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Bible Dictionary (Tyndale)</w:t>
      </w:r>
      <w:r>
        <w:t xml:space="preserve"> (French) is based on</w:t>
      </w:r>
      <w:r>
        <w:t xml:space="preserve">: </w:t>
      </w:r>
      <w:r>
        <w:t>Tyndale Open Bible Dictionary</w:t>
      </w:r>
      <w:r>
        <w:t xml:space="preserve">, </w:t>
      </w:r>
      <w:hyperlink r:id="rId13">
        <w:r>
          <w:rPr>
            <w:color w:val="0000EE"/>
            <w:u w:val="single"/>
          </w:rPr>
          <w:t>Tyndale House Publishers</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Bible Dictionary (Tyndale)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Abagtha</w:t>
      </w:r>
      <w:r/>
    </w:p>
    <w:p>
      <w:r/>
      <w:r>
        <w:t>L'un des sept eunuques à qui le roi Assuérus a commandé d'amener la reine Vasthi à sa fête débauchée (</w:t>
      </w:r>
      <w:hyperlink r:id="rId15">
        <w:r>
          <w:rPr>
            <w:color w:val="0000EE"/>
            <w:u w:val="single"/>
          </w:rPr>
          <w:t>Est 1.10</w:t>
        </w:r>
      </w:hyperlink>
      <w:r>
        <w:t>).</w:t>
      </w:r>
      <w:r/>
      <w:r/>
    </w:p>
    <w:p>
      <w:r/>
    </w:p>
    <w:p>
      <w:pPr>
        <w:pStyle w:val="Heading2"/>
      </w:pPr>
      <w:r>
        <w:t>Abba</w:t>
      </w:r>
      <w:r/>
    </w:p>
    <w:p>
      <w:r/>
      <w:r>
        <w:t xml:space="preserve">Mot araméen qui signifie « Père » et qui est utilisé pour désigner Dieu dans </w:t>
      </w:r>
      <w:hyperlink r:id="rId16">
        <w:r>
          <w:rPr>
            <w:color w:val="0000EE"/>
            <w:u w:val="single"/>
          </w:rPr>
          <w:t>Marc 14.36</w:t>
        </w:r>
      </w:hyperlink>
      <w:r>
        <w:t xml:space="preserve">, </w:t>
      </w:r>
      <w:hyperlink r:id="rId17">
        <w:r>
          <w:rPr>
            <w:color w:val="0000EE"/>
            <w:u w:val="single"/>
          </w:rPr>
          <w:t>Romains 8.15</w:t>
        </w:r>
      </w:hyperlink>
      <w:r>
        <w:t xml:space="preserve"> et </w:t>
      </w:r>
      <w:hyperlink r:id="rId18">
        <w:r>
          <w:rPr>
            <w:color w:val="0000EE"/>
            <w:u w:val="single"/>
          </w:rPr>
          <w:t>Galates 4.6</w:t>
        </w:r>
      </w:hyperlink>
      <w:r>
        <w:t>. Il exprime la relation intime et inséparable entre le Christ et le Père. Il exprime aussi la relation entre les disciples de Jésus et Dieu. Ils sont ses enfants et il est leur Père.</w:t>
      </w:r>
      <w:r/>
      <w:r/>
    </w:p>
    <w:p>
      <w:r/>
    </w:p>
    <w:p>
      <w:pPr>
        <w:pStyle w:val="Heading2"/>
      </w:pPr>
      <w:r>
        <w:t>Abel (Personne)</w:t>
      </w:r>
      <w:r/>
    </w:p>
    <w:p>
      <w:r/>
      <w:r>
        <w:t>Deuxième fils d'Adam et Ève (</w:t>
      </w:r>
      <w:hyperlink r:id="rId19">
        <w:r>
          <w:rPr>
            <w:color w:val="0000EE"/>
            <w:u w:val="single"/>
          </w:rPr>
          <w:t>Gn 4.2</w:t>
        </w:r>
      </w:hyperlink>
      <w:r>
        <w:t>). Son nom provient probablement des anciens mots sumériens et akkadiens qui signifient « fils ». « Abel » était également employé comme un terme général pour désigner l'ensemble des êtres humains.</w:t>
      </w:r>
    </w:p>
    <w:p>
      <w:r/>
      <w:r>
        <w:t>Le frère aîné d'Abel, Caïn, était agriculteur, tandis qu'Abel était berger. Lorsque les deux frères ont présenté leurs offrandes, Dieu a accepté le sacrifice animal d'Abel mais a rejeté l'offrande végétale de Caïn. En conséquence, Caïn est devenu jaloux d'Abel et l'a tué.</w:t>
      </w:r>
    </w:p>
    <w:p>
      <w:r/>
      <w:r>
        <w:t>L'histoire biblique suggère qu'Abel avait un meilleur caractère, et que c'est la raison pour laquelle Dieu a béni son offrande et non celle de Caïn (</w:t>
      </w:r>
      <w:hyperlink r:id="rId20">
        <w:r>
          <w:rPr>
            <w:color w:val="0000EE"/>
            <w:u w:val="single"/>
          </w:rPr>
          <w:t>Gn 4.7</w:t>
        </w:r>
      </w:hyperlink>
      <w:r>
        <w:t>). La Bible ne dit pas que les offrandes de céréales ou de légumes étaient inférieures aux offrandes animales pour les sacrifices de péché ou de communion. La loi mosaïque permet l'une ou l'autre. Dans le Nouveau Testament, il est dit qu'Abel est la première personne à être morte à cause de sa foi (</w:t>
      </w:r>
      <w:hyperlink r:id="rId21">
        <w:r>
          <w:rPr>
            <w:color w:val="0000EE"/>
            <w:u w:val="single"/>
          </w:rPr>
          <w:t>Mt 23.35</w:t>
        </w:r>
      </w:hyperlink>
      <w:r>
        <w:t xml:space="preserve"> ; </w:t>
      </w:r>
      <w:hyperlink r:id="rId22">
        <w:r>
          <w:rPr>
            <w:color w:val="0000EE"/>
            <w:u w:val="single"/>
          </w:rPr>
          <w:t>Lc 11.51</w:t>
        </w:r>
      </w:hyperlink>
      <w:r>
        <w:t xml:space="preserve"> ; </w:t>
      </w:r>
      <w:hyperlink r:id="rId23">
        <w:r>
          <w:rPr>
            <w:color w:val="0000EE"/>
            <w:u w:val="single"/>
          </w:rPr>
          <w:t>Hé 11.4</w:t>
        </w:r>
      </w:hyperlink>
      <w:r>
        <w:t>).</w:t>
      </w:r>
      <w:r/>
      <w:r/>
    </w:p>
    <w:p>
      <w:r/>
    </w:p>
    <w:p>
      <w:pPr>
        <w:pStyle w:val="Heading2"/>
      </w:pPr>
      <w:r>
        <w:t>Abel-Mitsraïm</w:t>
      </w:r>
      <w:r/>
    </w:p>
    <w:p>
      <w:r/>
      <w:r>
        <w:t xml:space="preserve">Un autre nom pour Atad, où les fils de Jacob se sont arrêtés pendant ses funérailles en route vers Hébron. </w:t>
      </w:r>
      <w:r>
        <w:t>Abel-Mitsraïm</w:t>
      </w:r>
      <w:r>
        <w:t xml:space="preserve"> était un lieu en Canaan (</w:t>
      </w:r>
      <w:hyperlink r:id="rId24">
        <w:r>
          <w:rPr>
            <w:color w:val="0000EE"/>
            <w:u w:val="single"/>
          </w:rPr>
          <w:t>Gn 50.11</w:t>
        </w:r>
      </w:hyperlink>
      <w:r>
        <w:t>).</w:t>
      </w:r>
    </w:p>
    <w:p>
      <w:r/>
      <w:r>
        <w:rPr>
          <w:i/>
        </w:rPr>
        <w:t>Voir</w:t>
      </w:r>
      <w:r>
        <w:t xml:space="preserve"> </w:t>
      </w:r>
      <w:r>
        <w:t>Atad</w:t>
      </w:r>
      <w:r>
        <w:t>.</w:t>
      </w:r>
      <w:r/>
      <w:r/>
    </w:p>
    <w:p>
      <w:r/>
    </w:p>
    <w:p>
      <w:pPr>
        <w:pStyle w:val="Heading2"/>
      </w:pPr>
      <w:r>
        <w:t>Abiathar</w:t>
      </w:r>
      <w:r/>
    </w:p>
    <w:p>
      <w:r/>
      <w:r>
        <w:t>L'un des deux souverains sacrificateurs à exercer le sacerdoce pendant le règne du roi David. Le deuxième est Tsadok, à qui David donne le rôle après sa conquête de Jérusalem.</w:t>
      </w:r>
    </w:p>
    <w:p>
      <w:r/>
      <w:r>
        <w:t>Abiathar est le seul sacrificateur qui réussit à s'échapper lorsque le roi Saül ordonne le massacre des sacrificateurs à Nob. Il les tient coupables d'avoir donné de la nourriture et l'épée de Goliath à David quand ce dernier fuyait loin de lui. Cela vaut aux sacrificateurs la haine du roi (</w:t>
      </w:r>
      <w:hyperlink r:id="rId25">
        <w:r>
          <w:rPr>
            <w:color w:val="0000EE"/>
            <w:u w:val="single"/>
          </w:rPr>
          <w:t>1S 21–22</w:t>
        </w:r>
      </w:hyperlink>
      <w:r>
        <w:t>). Abiathar apporte l'éphod (le vêtement sacerdotal spécial du souverain sacrificateur) à David, qui l'utilise pour déterminer la volonté de Dieu (</w:t>
      </w:r>
      <w:hyperlink r:id="rId26">
        <w:r>
          <w:rPr>
            <w:color w:val="0000EE"/>
            <w:u w:val="single"/>
          </w:rPr>
          <w:t>1S 23.6, 9</w:t>
        </w:r>
      </w:hyperlink>
      <w:r>
        <w:t>–</w:t>
      </w:r>
      <w:hyperlink r:id="rId26">
        <w:r>
          <w:rPr>
            <w:color w:val="0000EE"/>
            <w:u w:val="single"/>
          </w:rPr>
          <w:t xml:space="preserve">11 </w:t>
        </w:r>
      </w:hyperlink>
      <w:r>
        <w:t xml:space="preserve">; </w:t>
      </w:r>
      <w:hyperlink r:id="rId27">
        <w:r>
          <w:rPr>
            <w:color w:val="0000EE"/>
            <w:u w:val="single"/>
          </w:rPr>
          <w:t>30.7</w:t>
        </w:r>
      </w:hyperlink>
      <w:r>
        <w:t>–</w:t>
      </w:r>
      <w:hyperlink r:id="rId27">
        <w:r>
          <w:rPr>
            <w:color w:val="0000EE"/>
            <w:u w:val="single"/>
          </w:rPr>
          <w:t>8</w:t>
        </w:r>
      </w:hyperlink>
      <w:r>
        <w:t>). Abiathar est l'un des premiers partisans de David. Son soutien est important, car il représente le sacerdoce de la lignée d'Éli.</w:t>
      </w:r>
    </w:p>
    <w:p>
      <w:r/>
      <w:r>
        <w:t>Vers la fin de son règne, les fils de David luttent entre eux pour lui succéder. Les principaux rivaux sont Adonija et Salomon. Abiathar, le souverain sacrificateur, et Joab, le général de David, donnent leur soutien à Adonija (</w:t>
      </w:r>
      <w:hyperlink r:id="rId28">
        <w:r>
          <w:rPr>
            <w:color w:val="0000EE"/>
            <w:u w:val="single"/>
          </w:rPr>
          <w:t>1R 1.5</w:t>
        </w:r>
      </w:hyperlink>
      <w:r>
        <w:t>–</w:t>
      </w:r>
      <w:hyperlink r:id="rId28">
        <w:r>
          <w:rPr>
            <w:color w:val="0000EE"/>
            <w:u w:val="single"/>
          </w:rPr>
          <w:t>7</w:t>
        </w:r>
      </w:hyperlink>
      <w:r>
        <w:t>). Ils le soutiennent probablement parce qu'il est l'aîné parmi les héritiers vivants de David. Cependant, Tsadok soutient Salomon, qui devient roi. Abiathar est banni pour avoir pris parti contre le nouveau roi, et est envoyé à Anathoth, un village à environ six kilomètres au nord-est de Jérusalem (</w:t>
      </w:r>
      <w:hyperlink r:id="rId29">
        <w:r>
          <w:rPr>
            <w:color w:val="0000EE"/>
            <w:u w:val="single"/>
          </w:rPr>
          <w:t>1R 2.26</w:t>
        </w:r>
      </w:hyperlink>
      <w:r>
        <w:t>–</w:t>
      </w:r>
      <w:hyperlink r:id="rId29">
        <w:r>
          <w:rPr>
            <w:color w:val="0000EE"/>
            <w:u w:val="single"/>
          </w:rPr>
          <w:t>27</w:t>
        </w:r>
      </w:hyperlink>
      <w:r>
        <w:t xml:space="preserve">). </w:t>
      </w:r>
    </w:p>
    <w:p>
      <w:r/>
      <w:r>
        <w:t>La parenté entre Abiathar et Achimélec est incertaine. Ce dernier est soit le père d'Abiathar (</w:t>
      </w:r>
      <w:hyperlink r:id="rId30">
        <w:r>
          <w:rPr>
            <w:color w:val="0000EE"/>
            <w:u w:val="single"/>
          </w:rPr>
          <w:t xml:space="preserve">1S 22.20 </w:t>
        </w:r>
      </w:hyperlink>
      <w:r>
        <w:t xml:space="preserve">; </w:t>
      </w:r>
      <w:hyperlink r:id="rId26">
        <w:r>
          <w:rPr>
            <w:color w:val="0000EE"/>
            <w:u w:val="single"/>
          </w:rPr>
          <w:t>23.6</w:t>
        </w:r>
      </w:hyperlink>
      <w:r>
        <w:t>), soit son fils (</w:t>
      </w:r>
      <w:hyperlink r:id="rId31">
        <w:r>
          <w:rPr>
            <w:color w:val="0000EE"/>
            <w:u w:val="single"/>
          </w:rPr>
          <w:t xml:space="preserve">2S 8.17 </w:t>
        </w:r>
      </w:hyperlink>
      <w:r>
        <w:t xml:space="preserve">; </w:t>
      </w:r>
      <w:hyperlink r:id="rId32">
        <w:r>
          <w:rPr>
            <w:color w:val="0000EE"/>
            <w:u w:val="single"/>
          </w:rPr>
          <w:t xml:space="preserve">1Ch 18.16 </w:t>
        </w:r>
      </w:hyperlink>
      <w:r>
        <w:t xml:space="preserve">; </w:t>
      </w:r>
      <w:hyperlink r:id="rId33">
        <w:r>
          <w:rPr>
            <w:color w:val="0000EE"/>
            <w:u w:val="single"/>
          </w:rPr>
          <w:t>24.6</w:t>
        </w:r>
      </w:hyperlink>
      <w:r>
        <w:t>). Si tous ces versets parlent du même Achimélec, il est possible que les noms soient inversés dans les passages écrits plus tard.</w:t>
      </w:r>
    </w:p>
    <w:p>
      <w:r/>
      <w:r>
        <w:t>Le Nouveau Testament mentionne qu'Abiathar est le souverain sacrificateur lorsque David va à Nob. David a alors besoin de nourriture et d'armes (</w:t>
      </w:r>
      <w:hyperlink r:id="rId34">
        <w:r>
          <w:rPr>
            <w:color w:val="0000EE"/>
            <w:u w:val="single"/>
          </w:rPr>
          <w:t>Mc 2.26</w:t>
        </w:r>
      </w:hyperlink>
      <w:r>
        <w:t>). Cependant, le récit dans l'Ancien Testament dit que c'est Achimélec le souverain sacrificateur à ce moment-là (</w:t>
      </w:r>
      <w:hyperlink r:id="rId35">
        <w:r>
          <w:rPr>
            <w:color w:val="0000EE"/>
            <w:u w:val="single"/>
          </w:rPr>
          <w:t>1S 21.1</w:t>
        </w:r>
      </w:hyperlink>
      <w:r>
        <w:t>–</w:t>
      </w:r>
      <w:hyperlink r:id="rId35">
        <w:r>
          <w:rPr>
            <w:color w:val="0000EE"/>
            <w:u w:val="single"/>
          </w:rPr>
          <w:t>2</w:t>
        </w:r>
      </w:hyperlink>
      <w:r>
        <w:t>). Cette divergence provient peut-être d'une erreur de copiste ou du fait que le sacerdoce d'Abiathar a laissé une empreinte plus marquante dans l'histoire que celui d'Achimélec. Dans ce cas, la référence au sacerdoce d'Abiathar dans le Nouveau Testament serait une référence générale à l'époque à laquelle l'incident est arrivé (« du temps du souverain sacrificateur Abiathar ») plutôt qu'au fait qu'Abiathar aurait été le souverain sacrificateur au moment où David est allé à Nob.</w:t>
      </w:r>
      <w:r/>
      <w:r/>
    </w:p>
    <w:p>
      <w:r/>
    </w:p>
    <w:p>
      <w:pPr>
        <w:pStyle w:val="Heading2"/>
      </w:pPr>
      <w:r>
        <w:t>Abichaïl, Abihaïl</w:t>
      </w:r>
      <w:r/>
    </w:p>
    <w:p>
      <w:r/>
      <w:r>
        <w:t>Un nom utilisé pour les hommes et les femmes dans l'Ancien Testament.</w:t>
      </w:r>
    </w:p>
    <w:p>
      <w:pPr>
        <w:pStyle w:val="ListNumber"/>
        <w:spacing w:line="240" w:lineRule="auto"/>
        <w:ind w:left="720"/>
      </w:pPr>
      <w:r/>
      <w:r>
        <w:t>Père de Tsuriel et chef de la famille Merari des Lévites pendant l'errance d'Israël dans le désert (</w:t>
      </w:r>
      <w:hyperlink r:id="rId36">
        <w:r>
          <w:rPr>
            <w:color w:val="0000EE"/>
            <w:u w:val="single"/>
          </w:rPr>
          <w:t>Nb 3.35</w:t>
        </w:r>
      </w:hyperlink>
      <w:r>
        <w:t>).</w:t>
      </w:r>
    </w:p>
    <w:p>
      <w:pPr>
        <w:pStyle w:val="ListNumber"/>
        <w:spacing w:line="240" w:lineRule="auto"/>
        <w:ind w:left="720"/>
      </w:pPr>
      <w:r/>
      <w:r>
        <w:t>Femme d'Abischur et mère d'Achban et de Molid (</w:t>
      </w:r>
      <w:hyperlink r:id="rId37">
        <w:r>
          <w:rPr>
            <w:color w:val="0000EE"/>
            <w:u w:val="single"/>
          </w:rPr>
          <w:t>1Ch 2.29</w:t>
        </w:r>
      </w:hyperlink>
      <w:r>
        <w:t>).</w:t>
      </w:r>
    </w:p>
    <w:p>
      <w:pPr>
        <w:pStyle w:val="ListNumber"/>
        <w:spacing w:line="240" w:lineRule="auto"/>
        <w:ind w:left="720"/>
      </w:pPr>
      <w:r/>
      <w:r>
        <w:t>Fils d'Huri, un descendant de Gad, qui vivait en Galaad et Basan (</w:t>
      </w:r>
      <w:hyperlink r:id="rId38">
        <w:r>
          <w:rPr>
            <w:color w:val="0000EE"/>
            <w:u w:val="single"/>
          </w:rPr>
          <w:t>1Ch 5.14</w:t>
        </w:r>
      </w:hyperlink>
      <w:r>
        <w:t>).</w:t>
      </w:r>
    </w:p>
    <w:p>
      <w:pPr>
        <w:pStyle w:val="ListNumber"/>
        <w:spacing w:line="240" w:lineRule="auto"/>
        <w:ind w:left="720"/>
      </w:pPr>
      <w:r/>
      <w:r>
        <w:t xml:space="preserve">Femme mentionée dans </w:t>
      </w:r>
      <w:hyperlink r:id="rId39">
        <w:r>
          <w:rPr>
            <w:color w:val="0000EE"/>
            <w:u w:val="single"/>
          </w:rPr>
          <w:t>2 Chroniques 11.18.</w:t>
        </w:r>
      </w:hyperlink>
      <w:r>
        <w:t xml:space="preserve"> Sa relation avec le roi Roboam n'est pas claire. Dans certaines traductions, Abichaïl semble être la deuxième épouse de Roboam. Cependant, une seule épouse est mentionnée au début. Abichaïl était probablement la mère de la première épouse de Roboam, Mahalath. Ainsi, Abichaïl était une fille d'Éliab, le frère aîné de David. Elle a épousé son cousin Jérémoth, l'un des fils de David.</w:t>
      </w:r>
    </w:p>
    <w:p>
      <w:pPr>
        <w:pStyle w:val="ListNumber"/>
        <w:spacing w:line="240" w:lineRule="auto"/>
        <w:ind w:left="720"/>
      </w:pPr>
      <w:r/>
      <w:r>
        <w:t>Père d'Esther et oncle de Mardochée (</w:t>
      </w:r>
      <w:hyperlink r:id="rId40">
        <w:r>
          <w:rPr>
            <w:color w:val="0000EE"/>
            <w:u w:val="single"/>
          </w:rPr>
          <w:t>Est 2.15</w:t>
        </w:r>
      </w:hyperlink>
      <w:r>
        <w:t xml:space="preserve"> ; </w:t>
      </w:r>
      <w:hyperlink r:id="rId41">
        <w:r>
          <w:rPr>
            <w:color w:val="0000EE"/>
            <w:u w:val="single"/>
          </w:rPr>
          <w:t>9.29</w:t>
        </w:r>
      </w:hyperlink>
      <w:r>
        <w:t>).</w:t>
      </w:r>
      <w:r/>
      <w:r/>
    </w:p>
    <w:p>
      <w:r/>
    </w:p>
    <w:p>
      <w:pPr>
        <w:pStyle w:val="Heading2"/>
      </w:pPr>
      <w:r>
        <w:t>Abida</w:t>
      </w:r>
      <w:r/>
    </w:p>
    <w:p>
      <w:r/>
      <w:r>
        <w:t>Un des fils de Madian. Madian était le fils d'Abraham par sa concubine Ketura (</w:t>
      </w:r>
      <w:hyperlink r:id="rId42">
        <w:r>
          <w:rPr>
            <w:color w:val="0000EE"/>
            <w:u w:val="single"/>
          </w:rPr>
          <w:t>Gn 25.2, 4</w:t>
        </w:r>
      </w:hyperlink>
      <w:r>
        <w:t xml:space="preserve"> ; </w:t>
      </w:r>
      <w:hyperlink r:id="rId43">
        <w:r>
          <w:rPr>
            <w:color w:val="0000EE"/>
            <w:u w:val="single"/>
          </w:rPr>
          <w:t>1Ch 1.33</w:t>
        </w:r>
      </w:hyperlink>
      <w:r>
        <w:t>).</w:t>
      </w:r>
      <w:r/>
      <w:r/>
    </w:p>
    <w:p>
      <w:r/>
    </w:p>
    <w:p>
      <w:pPr>
        <w:pStyle w:val="Heading2"/>
      </w:pPr>
      <w:r>
        <w:t>Abimaël</w:t>
      </w:r>
      <w:r/>
    </w:p>
    <w:p>
      <w:r/>
      <w:r>
        <w:t>L'un des nombreux fils ou descendants de Jokthan, et donc un descendant de Sem (</w:t>
      </w:r>
      <w:hyperlink r:id="rId44">
        <w:r>
          <w:rPr>
            <w:color w:val="0000EE"/>
            <w:u w:val="single"/>
          </w:rPr>
          <w:t>Gn 10.28</w:t>
        </w:r>
      </w:hyperlink>
      <w:r>
        <w:t xml:space="preserve"> ; </w:t>
      </w:r>
      <w:hyperlink r:id="rId45">
        <w:r>
          <w:rPr>
            <w:color w:val="0000EE"/>
            <w:u w:val="single"/>
          </w:rPr>
          <w:t>1Ch 1.22</w:t>
        </w:r>
      </w:hyperlink>
      <w:r>
        <w:t>).</w:t>
      </w:r>
      <w:r/>
      <w:r/>
    </w:p>
    <w:p>
      <w:r/>
    </w:p>
    <w:p>
      <w:pPr>
        <w:pStyle w:val="Heading2"/>
      </w:pPr>
      <w:r>
        <w:t>Abîme, Puits sans fond</w:t>
      </w:r>
      <w:r/>
    </w:p>
    <w:p>
      <w:r/>
      <w:r>
        <w:t>Expression utilisée dans la Bible pour décrire un lieu très profond qui abrite à la fois les morts et les esprits maléfiques.</w:t>
      </w:r>
    </w:p>
    <w:p>
      <w:pPr>
        <w:pStyle w:val="Heading3"/>
      </w:pPr>
      <w:r>
        <w:t>L'Abîme dans l'Ancien Testament</w:t>
      </w:r>
    </w:p>
    <w:p>
      <w:r/>
      <w:r>
        <w:t>Le mot hébreu signifie « les profondeurs ». Dans de nombreuses traductions de la Bible, cet endroit est appelé « l'abîme ». Dans les temps anciens, on utilisait ce terme pour désigner tout lieu trop profond pour être mesuré, comme des puits ou des sources très profonds. L'Ancien Testament utilise cette idée en parlant des eaux à la création du monde (</w:t>
      </w:r>
      <w:hyperlink r:id="rId46">
        <w:r>
          <w:rPr>
            <w:color w:val="0000EE"/>
            <w:u w:val="single"/>
          </w:rPr>
          <w:t>Gn 1.2</w:t>
        </w:r>
      </w:hyperlink>
      <w:r>
        <w:t>) et des parties profondes de l'océan (</w:t>
      </w:r>
      <w:hyperlink r:id="rId47">
        <w:r>
          <w:rPr>
            <w:color w:val="0000EE"/>
            <w:u w:val="single"/>
          </w:rPr>
          <w:t>Ps 33.7</w:t>
        </w:r>
      </w:hyperlink>
      <w:r>
        <w:t xml:space="preserve"> ; </w:t>
      </w:r>
      <w:hyperlink r:id="rId48">
        <w:r>
          <w:rPr>
            <w:color w:val="0000EE"/>
            <w:u w:val="single"/>
          </w:rPr>
          <w:t>77.16</w:t>
        </w:r>
      </w:hyperlink>
      <w:r>
        <w:t>).</w:t>
      </w:r>
    </w:p>
    <w:p>
      <w:r/>
      <w:r>
        <w:t>Dans les cultures du Proche-Orient Ancien, les gens considéraient que cet endroit profond était l'opposé du ciel au-dessus. Au fil du temps, ils ont commencé à l'utiliser pour parler de la tombe, qu'ils appelaient aussi « séjour des morts » (</w:t>
      </w:r>
      <w:hyperlink r:id="rId49">
        <w:r>
          <w:rPr>
            <w:color w:val="0000EE"/>
            <w:u w:val="single"/>
          </w:rPr>
          <w:t>Ps 71.20</w:t>
        </w:r>
      </w:hyperlink>
      <w:r>
        <w:t>). Plus tard, lors de la période entre l'Ancien et le Nouveau Testament, on a commencé à le décrire comme un lieu où vivaient des esprits maléfiques (Jubilées 5.6 ; 1 Hénoch 10.4, 11).</w:t>
      </w:r>
    </w:p>
    <w:p>
      <w:pPr>
        <w:pStyle w:val="Heading3"/>
      </w:pPr>
      <w:r>
        <w:t>L'Abîme dans le Nouveau Testament</w:t>
      </w:r>
    </w:p>
    <w:p>
      <w:r/>
      <w:r>
        <w:t>Dans le Nouveau Testament, « abîme » est utilisé de ces deux manières symboliques. Ainsi, les démons ont supplié Jésus de ne pas les envoyer dans « l'abîme » (</w:t>
      </w:r>
      <w:hyperlink r:id="rId50">
        <w:r>
          <w:rPr>
            <w:color w:val="0000EE"/>
            <w:u w:val="single"/>
          </w:rPr>
          <w:t>Lc 8.31</w:t>
        </w:r>
      </w:hyperlink>
      <w:r>
        <w:t xml:space="preserve">). De nombreux commentateurs pensent que cela se rattache à des références ultérieures à une « prison » (voir </w:t>
      </w:r>
      <w:hyperlink r:id="rId51">
        <w:r>
          <w:rPr>
            <w:color w:val="0000EE"/>
            <w:u w:val="single"/>
          </w:rPr>
          <w:t>2P 2.4</w:t>
        </w:r>
      </w:hyperlink>
      <w:r>
        <w:t xml:space="preserve"> ; </w:t>
      </w:r>
      <w:hyperlink r:id="rId52">
        <w:r>
          <w:rPr>
            <w:color w:val="0000EE"/>
            <w:u w:val="single"/>
          </w:rPr>
          <w:t>Jd 1.6</w:t>
        </w:r>
      </w:hyperlink>
      <w:r>
        <w:t xml:space="preserve">). La signification de cette « prison » est incertaine. Cependant, des études de ces versets, ainsi que </w:t>
      </w:r>
      <w:hyperlink r:id="rId53">
        <w:r>
          <w:rPr>
            <w:color w:val="0000EE"/>
            <w:u w:val="single"/>
          </w:rPr>
          <w:t>1 Pierre 3.19</w:t>
        </w:r>
      </w:hyperlink>
      <w:r>
        <w:t xml:space="preserve"> et </w:t>
      </w:r>
      <w:hyperlink r:id="rId54">
        <w:r>
          <w:rPr>
            <w:color w:val="0000EE"/>
            <w:u w:val="single"/>
          </w:rPr>
          <w:t>4.6</w:t>
        </w:r>
      </w:hyperlink>
      <w:r>
        <w:t xml:space="preserve">, suggèrent que l'abîme n'est probablement pas la même chose que le séjour des morts. Au lieu de cela, il semble être un lieu où les esprits maléfiques sont retenus. Cependant, dans </w:t>
      </w:r>
      <w:hyperlink r:id="rId55">
        <w:r>
          <w:rPr>
            <w:color w:val="0000EE"/>
            <w:u w:val="single"/>
          </w:rPr>
          <w:t>Romains 10.7</w:t>
        </w:r>
      </w:hyperlink>
      <w:r>
        <w:t xml:space="preserve">, Paul utilise le mot « abîme » pour décrire la tombe, en la contrastant avec l'ascension au ciel. Paul reprend un passage de </w:t>
      </w:r>
      <w:hyperlink r:id="rId56">
        <w:r>
          <w:rPr>
            <w:color w:val="0000EE"/>
            <w:u w:val="single"/>
          </w:rPr>
          <w:t xml:space="preserve">Deutéronome 30.12–13 </w:t>
        </w:r>
      </w:hyperlink>
      <w:r>
        <w:t>dans ce contexte.</w:t>
      </w:r>
    </w:p>
    <w:p>
      <w:pPr>
        <w:pStyle w:val="Heading4"/>
      </w:pPr>
      <w:r>
        <w:t>L'Abîme dans le Livre de l'Apocalypse</w:t>
      </w:r>
    </w:p>
    <w:p>
      <w:r/>
      <w:r>
        <w:t>Le terme « abîme » est souvent utilisé dans le livre de l'Apocalypse. Dans ce dernier, il est décrit comme la demeure de plusieurs êtres :</w:t>
      </w:r>
    </w:p>
    <w:p>
      <w:pPr>
        <w:pStyle w:val="ListBullet"/>
        <w:spacing w:line="240" w:lineRule="auto"/>
        <w:ind w:left="720"/>
      </w:pPr>
      <w:r/>
      <w:r>
        <w:t>Des créatures ressemblant à des sauterelles avec des dards de scorpions (</w:t>
      </w:r>
      <w:hyperlink r:id="rId57">
        <w:r>
          <w:rPr>
            <w:color w:val="0000EE"/>
            <w:u w:val="single"/>
          </w:rPr>
          <w:t>Ap 9.1–11</w:t>
        </w:r>
      </w:hyperlink>
      <w:r>
        <w:t>).</w:t>
      </w:r>
    </w:p>
    <w:p>
      <w:pPr>
        <w:pStyle w:val="ListBullet"/>
        <w:spacing w:line="240" w:lineRule="auto"/>
        <w:ind w:left="720"/>
      </w:pPr>
      <w:r/>
      <w:r>
        <w:t>Un dirigeant de cet endroit sombre, dont le nom est « Abaddon » ou « Destruction » (</w:t>
      </w:r>
      <w:hyperlink r:id="rId58">
        <w:r>
          <w:rPr>
            <w:color w:val="0000EE"/>
            <w:u w:val="single"/>
          </w:rPr>
          <w:t>Ap 9.11</w:t>
        </w:r>
      </w:hyperlink>
      <w:r>
        <w:t>)</w:t>
      </w:r>
    </w:p>
    <w:p>
      <w:pPr>
        <w:pStyle w:val="ListBullet"/>
        <w:spacing w:line="240" w:lineRule="auto"/>
        <w:ind w:left="720"/>
      </w:pPr>
      <w:r/>
      <w:r>
        <w:t>La « Bête », ou l'Antéchrist (</w:t>
      </w:r>
      <w:hyperlink r:id="rId59">
        <w:r>
          <w:rPr>
            <w:color w:val="0000EE"/>
            <w:u w:val="single"/>
          </w:rPr>
          <w:t>Ap 11.7</w:t>
        </w:r>
      </w:hyperlink>
      <w:r>
        <w:t xml:space="preserve"> ; </w:t>
      </w:r>
      <w:hyperlink r:id="rId60">
        <w:r>
          <w:rPr>
            <w:color w:val="0000EE"/>
            <w:u w:val="single"/>
          </w:rPr>
          <w:t>17.8</w:t>
        </w:r>
      </w:hyperlink>
      <w:r>
        <w:t>)</w:t>
      </w:r>
    </w:p>
    <w:p>
      <w:r/>
      <w:r>
        <w:t>L'abîme est également le lieu où Satan sera gardé pendant 1 000 ans (</w:t>
      </w:r>
      <w:hyperlink r:id="rId61">
        <w:r>
          <w:rPr>
            <w:color w:val="0000EE"/>
            <w:u w:val="single"/>
          </w:rPr>
          <w:t>Ap 20.1, 3</w:t>
        </w:r>
      </w:hyperlink>
      <w:r>
        <w:t>).</w:t>
      </w:r>
    </w:p>
    <w:p>
      <w:r/>
      <w:r>
        <w:t>Le livre de l'Apocalypse nous montre trois choses importantes concernant cet abîme :</w:t>
      </w:r>
    </w:p>
    <w:p>
      <w:pPr>
        <w:pStyle w:val="ListNumber"/>
        <w:spacing w:line="240" w:lineRule="auto"/>
        <w:ind w:left="720"/>
      </w:pPr>
      <w:r/>
      <w:r>
        <w:t>Dieu a un contrôle total sur lui. Un ange reçoit une clé pour ouvrir l'abîme (</w:t>
      </w:r>
      <w:hyperlink r:id="rId62">
        <w:r>
          <w:rPr>
            <w:color w:val="0000EE"/>
            <w:u w:val="single"/>
          </w:rPr>
          <w:t>Ap 9.1</w:t>
        </w:r>
      </w:hyperlink>
      <w:r>
        <w:t>). La Bête sortira de l'abîme puis sera détruite (</w:t>
      </w:r>
      <w:hyperlink r:id="rId60">
        <w:r>
          <w:rPr>
            <w:color w:val="0000EE"/>
            <w:u w:val="single"/>
          </w:rPr>
          <w:t>Ap 17.8</w:t>
        </w:r>
      </w:hyperlink>
      <w:r>
        <w:t>). La puissance de Dieu est démontrée lorsque Satan est capturé, ligoté, jeté dans l'abîme et enfermé à l'intérieur (</w:t>
      </w:r>
      <w:hyperlink r:id="rId63">
        <w:r>
          <w:rPr>
            <w:color w:val="0000EE"/>
            <w:u w:val="single"/>
          </w:rPr>
          <w:t>Ap 20.2–3</w:t>
        </w:r>
      </w:hyperlink>
      <w:r>
        <w:t>).</w:t>
      </w:r>
    </w:p>
    <w:p>
      <w:pPr>
        <w:pStyle w:val="ListNumber"/>
        <w:spacing w:line="240" w:lineRule="auto"/>
        <w:ind w:left="720"/>
      </w:pPr>
      <w:r/>
      <w:r>
        <w:t xml:space="preserve">L'abîme a été créée pour la destruction. Lorsqu'elle a été ouverte, une « </w:t>
      </w:r>
      <w:r>
        <w:t>fumée, comme la fumée d’une grande fournaise</w:t>
      </w:r>
      <w:r>
        <w:t xml:space="preserve"> » en sort (</w:t>
      </w:r>
      <w:hyperlink r:id="rId64">
        <w:r>
          <w:rPr>
            <w:color w:val="0000EE"/>
            <w:u w:val="single"/>
          </w:rPr>
          <w:t>Ap 9.2</w:t>
        </w:r>
      </w:hyperlink>
      <w:r>
        <w:t xml:space="preserve">). Ce n'est pas le lieu de tourment (appelé « le lac de feu » dans </w:t>
      </w:r>
      <w:hyperlink r:id="rId65">
        <w:r>
          <w:rPr>
            <w:color w:val="0000EE"/>
            <w:u w:val="single"/>
          </w:rPr>
          <w:t>Ap 20.10–15</w:t>
        </w:r>
      </w:hyperlink>
      <w:r>
        <w:t xml:space="preserve">). Après la fin des temps, l'abîme sera remplacée par ce lieu final de punition (voir </w:t>
      </w:r>
      <w:hyperlink r:id="rId60">
        <w:r>
          <w:rPr>
            <w:color w:val="0000EE"/>
            <w:u w:val="single"/>
          </w:rPr>
          <w:t>Ap 17.8</w:t>
        </w:r>
      </w:hyperlink>
      <w:r>
        <w:t>).</w:t>
      </w:r>
    </w:p>
    <w:p>
      <w:pPr>
        <w:pStyle w:val="ListNumber"/>
        <w:spacing w:line="240" w:lineRule="auto"/>
        <w:ind w:left="720"/>
      </w:pPr>
      <w:r/>
      <w:r>
        <w:t>L'abîme est l'opposé du paradis. Le mal vient de l'abîme, tout comme les bonnes choses viennent du paradis. Dans l'Apocalypse, le dragon et la Bête tentent d'imiter la puissance et la gloire de Dieu, mais ils n'y parviennent pas (</w:t>
      </w:r>
      <w:hyperlink r:id="rId66">
        <w:r>
          <w:rPr>
            <w:color w:val="0000EE"/>
            <w:u w:val="single"/>
          </w:rPr>
          <w:t>Ap 12.9</w:t>
        </w:r>
      </w:hyperlink>
      <w:r>
        <w:t>). Alors que le paradis offre tout ce qui est bon, l'abîme, elle, apporte tout ce qui est mauvais.</w:t>
      </w:r>
    </w:p>
    <w:p>
      <w:r/>
      <w:r>
        <w:rPr>
          <w:i/>
        </w:rPr>
        <w:t>Voir</w:t>
      </w:r>
      <w:r>
        <w:t xml:space="preserve"> </w:t>
      </w:r>
      <w:r>
        <w:t>Apocalypse, Livre de l'</w:t>
      </w:r>
      <w:r>
        <w:t>.</w:t>
      </w:r>
      <w:r/>
      <w:r/>
    </w:p>
    <w:p>
      <w:r/>
    </w:p>
    <w:p>
      <w:pPr>
        <w:pStyle w:val="Heading2"/>
      </w:pPr>
      <w:r>
        <w:t>Abimélec</w:t>
      </w:r>
      <w:r/>
    </w:p>
    <w:p>
      <w:r/>
      <w:r>
        <w:t>Titre royal pour les dirigeants philistins. Similaire au titre « Pharaon » utilisé par les Égyptiens et « Agag » utilisé par les Amalécites.</w:t>
      </w:r>
    </w:p>
    <w:p>
      <w:pPr>
        <w:pStyle w:val="ListNumber"/>
        <w:spacing w:line="240" w:lineRule="auto"/>
        <w:ind w:left="720"/>
      </w:pPr>
      <w:r/>
      <w:r>
        <w:t>Roi de Guérar à l'époque d'Abraham. Guérar était une ville près de Gaza. Abraham, craignant pour sa vie, dira à la population que sa femme Sara était sa sœur (</w:t>
      </w:r>
      <w:hyperlink r:id="rId67">
        <w:r>
          <w:rPr>
            <w:color w:val="0000EE"/>
            <w:u w:val="single"/>
          </w:rPr>
          <w:t>Gn 20.1</w:t>
        </w:r>
      </w:hyperlink>
      <w:r>
        <w:t>–</w:t>
      </w:r>
      <w:hyperlink r:id="rId67">
        <w:r>
          <w:rPr>
            <w:color w:val="0000EE"/>
            <w:u w:val="single"/>
          </w:rPr>
          <w:t>18</w:t>
        </w:r>
      </w:hyperlink>
      <w:r>
        <w:t>). Il avait déjà fait cela en Égypte (</w:t>
      </w:r>
      <w:hyperlink r:id="rId68">
        <w:r>
          <w:rPr>
            <w:color w:val="0000EE"/>
            <w:u w:val="single"/>
          </w:rPr>
          <w:t>Gn 12.10</w:t>
        </w:r>
      </w:hyperlink>
      <w:r>
        <w:t>–</w:t>
      </w:r>
      <w:hyperlink r:id="rId68">
        <w:r>
          <w:rPr>
            <w:color w:val="0000EE"/>
            <w:u w:val="single"/>
          </w:rPr>
          <w:t>20</w:t>
        </w:r>
      </w:hyperlink>
      <w:r>
        <w:t>). Sara sera prise dans le harem d'Abimélec, mais Dieu avertira Abimélec dans un rêve que Sara était mariée et qu'il mourrait s'il la touchait. Abimélec rendra Sara à Abraham. Plus tard, Abraham et Abimélec concluront un traité pour clarifier les droits concernant l'eau dans le désert du Néguev à Beer-Schéba (</w:t>
      </w:r>
      <w:hyperlink r:id="rId69">
        <w:r>
          <w:rPr>
            <w:color w:val="0000EE"/>
            <w:u w:val="single"/>
          </w:rPr>
          <w:t>Gn 21.22</w:t>
        </w:r>
      </w:hyperlink>
      <w:r>
        <w:t>–</w:t>
      </w:r>
      <w:hyperlink r:id="rId69">
        <w:r>
          <w:rPr>
            <w:color w:val="0000EE"/>
            <w:u w:val="single"/>
          </w:rPr>
          <w:t>34</w:t>
        </w:r>
      </w:hyperlink>
      <w:r>
        <w:t>).</w:t>
      </w:r>
    </w:p>
    <w:p>
      <w:pPr>
        <w:pStyle w:val="ListNumber"/>
        <w:spacing w:line="240" w:lineRule="auto"/>
        <w:ind w:left="720"/>
      </w:pPr>
      <w:r/>
      <w:r>
        <w:t>Roi de Guérar à l'époque d'Isaac. Isaac, comme son père Abraham, dira à la population que sa femme Rebecca était sa sœur. Abimélec était conscient du danger car il savait ce qui était arrivé au roi avant lui. Ainsi, Abimélec protégera Rebecca en déclarant que quiconque la toucherait, elle ou Isaac, serait mis à mort (</w:t>
      </w:r>
      <w:hyperlink r:id="rId70">
        <w:r>
          <w:rPr>
            <w:color w:val="0000EE"/>
            <w:u w:val="single"/>
          </w:rPr>
          <w:t>Gn 26.1</w:t>
        </w:r>
      </w:hyperlink>
      <w:r>
        <w:t>–</w:t>
      </w:r>
      <w:hyperlink r:id="rId70">
        <w:r>
          <w:rPr>
            <w:color w:val="0000EE"/>
            <w:u w:val="single"/>
          </w:rPr>
          <w:t>11</w:t>
        </w:r>
      </w:hyperlink>
      <w:r>
        <w:t>). En raison de disputes concernant l'eau et la surpopulation, Abimélec demandera à Isaac de quitter le territoire philistin (</w:t>
      </w:r>
      <w:hyperlink r:id="rId71">
        <w:r>
          <w:rPr>
            <w:color w:val="0000EE"/>
            <w:u w:val="single"/>
          </w:rPr>
          <w:t>Gn 26.12</w:t>
        </w:r>
      </w:hyperlink>
      <w:r>
        <w:t>–</w:t>
      </w:r>
      <w:hyperlink r:id="rId71">
        <w:r>
          <w:rPr>
            <w:color w:val="0000EE"/>
            <w:u w:val="single"/>
          </w:rPr>
          <w:t>22</w:t>
        </w:r>
      </w:hyperlink>
      <w:r>
        <w:t>). Ils concluront finalement un traité de paix à Beer-Schéba, renouvelant celui conclu entre Abraham et l'Abimélec précédent (</w:t>
      </w:r>
      <w:hyperlink r:id="rId72">
        <w:r>
          <w:rPr>
            <w:color w:val="0000EE"/>
            <w:u w:val="single"/>
          </w:rPr>
          <w:t>Gn 26.26</w:t>
        </w:r>
      </w:hyperlink>
      <w:r>
        <w:t>–</w:t>
      </w:r>
      <w:hyperlink r:id="rId72">
        <w:r>
          <w:rPr>
            <w:color w:val="0000EE"/>
            <w:u w:val="single"/>
          </w:rPr>
          <w:t>33</w:t>
        </w:r>
      </w:hyperlink>
      <w:r>
        <w:t>).</w:t>
      </w:r>
    </w:p>
    <w:p>
      <w:pPr>
        <w:pStyle w:val="ListNumber"/>
        <w:spacing w:line="240" w:lineRule="auto"/>
        <w:ind w:left="720"/>
      </w:pPr>
      <w:r/>
      <w:r>
        <w:t>Fils de Gédéon par une concubine à Sichem (</w:t>
      </w:r>
      <w:hyperlink r:id="rId73">
        <w:r>
          <w:rPr>
            <w:color w:val="0000EE"/>
            <w:u w:val="single"/>
          </w:rPr>
          <w:t>Jg 8.31</w:t>
        </w:r>
      </w:hyperlink>
      <w:r>
        <w:t>). Après la mort de son père, Abimélec collaborera avec la famille de sa mère pour tuer ses soixante-dix demi-frères. Jotham sera le seul à échapper (</w:t>
      </w:r>
      <w:hyperlink r:id="rId74">
        <w:r>
          <w:rPr>
            <w:color w:val="0000EE"/>
            <w:u w:val="single"/>
          </w:rPr>
          <w:t>Jg 9.1–5</w:t>
        </w:r>
      </w:hyperlink>
      <w:r>
        <w:t>). Dans sa troisième année en tant que dirigeant, il réprimera brutalement une rébellion (</w:t>
      </w:r>
      <w:hyperlink r:id="rId75">
        <w:r>
          <w:rPr>
            <w:color w:val="0000EE"/>
            <w:u w:val="single"/>
          </w:rPr>
          <w:t>Jg 9.22–49</w:t>
        </w:r>
      </w:hyperlink>
      <w:r>
        <w:t>). Il sera finalement tué lorsqu'une femme laissera tomber une meule sur sa tête. Abimélec demandera à son porteur d'armes de le tuer avec une épée afin que personne ne puisse dire qu'il avait été tué par une femme (</w:t>
      </w:r>
      <w:hyperlink r:id="rId76">
        <w:r>
          <w:rPr>
            <w:color w:val="0000EE"/>
            <w:u w:val="single"/>
          </w:rPr>
          <w:t>Jg 9.53–57</w:t>
        </w:r>
      </w:hyperlink>
      <w:r>
        <w:t>).</w:t>
      </w:r>
    </w:p>
    <w:p>
      <w:pPr>
        <w:pStyle w:val="ListNumber"/>
        <w:spacing w:line="240" w:lineRule="auto"/>
        <w:ind w:left="720"/>
      </w:pPr>
      <w:r/>
      <w:r>
        <w:t>Akisch, roi de la ville philistine de Gath (</w:t>
      </w:r>
      <w:hyperlink r:id="rId77">
        <w:r>
          <w:rPr>
            <w:color w:val="0000EE"/>
            <w:u w:val="single"/>
          </w:rPr>
          <w:t>1S 21.10</w:t>
        </w:r>
      </w:hyperlink>
      <w:r>
        <w:t>–</w:t>
      </w:r>
      <w:hyperlink r:id="rId77">
        <w:r>
          <w:rPr>
            <w:color w:val="0000EE"/>
            <w:u w:val="single"/>
          </w:rPr>
          <w:t>15</w:t>
        </w:r>
      </w:hyperlink>
      <w:r>
        <w:t>).</w:t>
      </w:r>
    </w:p>
    <w:p>
      <w:pPr>
        <w:pStyle w:val="ListNumber"/>
        <w:spacing w:line="240" w:lineRule="auto"/>
        <w:ind w:left="720"/>
      </w:pPr>
      <w:r/>
      <w:r>
        <w:t>Le fils d'Abiathar, un prêtre qui servira avec Tsadok à l'époque de David (</w:t>
      </w:r>
      <w:hyperlink r:id="rId32">
        <w:r>
          <w:rPr>
            <w:color w:val="0000EE"/>
            <w:u w:val="single"/>
          </w:rPr>
          <w:t>1Ch 18.16</w:t>
        </w:r>
      </w:hyperlink>
      <w:r>
        <w:t>).</w:t>
      </w:r>
      <w:r/>
      <w:r/>
    </w:p>
    <w:p>
      <w:r/>
    </w:p>
    <w:p>
      <w:pPr>
        <w:pStyle w:val="Heading2"/>
      </w:pPr>
      <w:r>
        <w:t>Abraham</w:t>
      </w:r>
      <w:r/>
    </w:p>
    <w:p>
      <w:pPr>
        <w:pStyle w:val="Heading1"/>
      </w:pPr>
      <w:r>
        <w:rPr>
          <w:b/>
        </w:rPr>
        <w:t>ABRAHAM</w:t>
      </w:r>
    </w:p>
    <w:p>
      <w:r/>
      <w:r>
        <w:t>Un des personnages les plus importants de la Bible, appelé par Dieu à quitter la ville d'Ur afin de devenir le patriarche du peuple de Dieu.</w:t>
      </w:r>
    </w:p>
    <w:p>
      <w:r/>
      <w:r>
        <w:t>Le nom d'Abraham était à l'origine Abram, ce qui signifie « [le] père est exalté ». Lorsqu'il a reçu ce nom de ses parents, ceux-ci participaient probablement au culte de la Lune implanté dans la ville d'Ur. La divinité paternelle suggérée par son ancien nom pourrait avoir été la divinité personnifiant la Lune ou une autre divinité païenne. Dieu change le nom d'Abram à Abraham (</w:t>
      </w:r>
      <w:hyperlink r:id="rId78">
        <w:r>
          <w:rPr>
            <w:color w:val="0000EE"/>
            <w:u w:val="single"/>
          </w:rPr>
          <w:t>Gn 17.5</w:t>
        </w:r>
      </w:hyperlink>
      <w:r>
        <w:t>), en partie, sans doute, pour affirmer une séparation nette par rapport à ses racines païennes. Ce nouveau nom, interprété par le texte biblique comme signifiant « père d'une multitude », représente également une déclaration de la promesse de Dieu à Abraham qu'il aurait de nombreux descendants, ainsi qu'un test significatif de sa foi en lui, puisqu'il a, à l'époque, 99 ans et que sa femme, sans enfant, en a 90 (</w:t>
      </w:r>
      <w:hyperlink r:id="rId79">
        <w:r>
          <w:rPr>
            <w:color w:val="0000EE"/>
            <w:u w:val="single"/>
          </w:rPr>
          <w:t xml:space="preserve">Gn 11.30 </w:t>
        </w:r>
      </w:hyperlink>
      <w:r>
        <w:t xml:space="preserve">; </w:t>
      </w:r>
      <w:hyperlink r:id="rId80">
        <w:r>
          <w:rPr>
            <w:color w:val="0000EE"/>
            <w:u w:val="single"/>
          </w:rPr>
          <w:t>17.1–4</w:t>
        </w:r>
      </w:hyperlink>
      <w:r>
        <w:t xml:space="preserve">, </w:t>
      </w:r>
      <w:hyperlink r:id="rId81">
        <w:r>
          <w:rPr>
            <w:color w:val="0000EE"/>
            <w:u w:val="single"/>
          </w:rPr>
          <w:t>17</w:t>
        </w:r>
      </w:hyperlink>
      <w:r>
        <w:t>).</w:t>
      </w:r>
    </w:p>
    <w:p>
      <w:pPr>
        <w:pStyle w:val="Heading3"/>
      </w:pPr>
      <w:r>
        <w:t>La vie d'Abraham</w:t>
      </w:r>
    </w:p>
    <w:p>
      <w:r/>
      <w:r>
        <w:t xml:space="preserve">L'histoire d'Abram commence dans </w:t>
      </w:r>
      <w:hyperlink r:id="rId82">
        <w:r>
          <w:rPr>
            <w:color w:val="0000EE"/>
            <w:u w:val="single"/>
          </w:rPr>
          <w:t>Genèse 11</w:t>
        </w:r>
      </w:hyperlink>
      <w:r>
        <w:t>, où son ascendance est donnée (</w:t>
      </w:r>
      <w:hyperlink r:id="rId83">
        <w:r>
          <w:rPr>
            <w:color w:val="0000EE"/>
            <w:u w:val="single"/>
          </w:rPr>
          <w:t>Gn 11.26–32</w:t>
        </w:r>
      </w:hyperlink>
      <w:r>
        <w:t xml:space="preserve">). Térach, son père, est nommé d'après la divinité lunaire vénérée à Ur. Il a trois fils : Abram, Nachor et Haran. Ce dernier, père de Lot, meurt avant que la famille ne quitte Ur. Térach emmène Lot, Abram et la femme de celui-ci, Saraï, d'Ur vers Canaan, mais s'installe dans la ville de Charan (v. </w:t>
      </w:r>
      <w:r>
        <w:t xml:space="preserve"> </w:t>
      </w:r>
      <w:hyperlink r:id="rId84">
        <w:r>
          <w:rPr>
            <w:color w:val="0000EE"/>
            <w:u w:val="single"/>
          </w:rPr>
          <w:t>31</w:t>
        </w:r>
      </w:hyperlink>
      <w:r>
        <w:t>)</w:t>
      </w:r>
      <w:r>
        <w:t xml:space="preserve">. Il est dit dans </w:t>
      </w:r>
      <w:hyperlink r:id="rId85">
        <w:r>
          <w:rPr>
            <w:color w:val="0000EE"/>
            <w:u w:val="single"/>
          </w:rPr>
          <w:t>Acts 7.2–4</w:t>
        </w:r>
      </w:hyperlink>
      <w:r>
        <w:t xml:space="preserve"> qu'Abraham a entendu l'appel de Dieu à partir vers une nouvelle terre alors qu'il était encore à Ur.</w:t>
      </w:r>
    </w:p>
    <w:p>
      <w:r/>
      <w:r>
        <w:t xml:space="preserve">Une remarque revêtant une importance majeure pour le cours de la vie d'Abram se trouve dans </w:t>
      </w:r>
      <w:hyperlink r:id="rId79">
        <w:r>
          <w:rPr>
            <w:color w:val="0000EE"/>
            <w:u w:val="single"/>
          </w:rPr>
          <w:t>Genèse 11.30</w:t>
        </w:r>
      </w:hyperlink>
      <w:r>
        <w:t xml:space="preserve"> : « Saraï était stérile : elle n'avait point d'enfants ». Ce problème de stérilité est à l'origine de grandes crises de foi, de promesses et d'accomplissement dans la vie d'Abram et de Saraï.</w:t>
      </w:r>
    </w:p>
    <w:p>
      <w:r/>
      <w:r>
        <w:t>Après la mort de Térach, Dieu dit à Abram : « Va-t-en de ton pays, de ta patrie, et de la maison de ton père, dans le pays que je te montrerai ». Ce commandement est la base d'une « alliance », dans laquelle Dieu promet de faire d'Abram le fondateur d'une nouvelle nation dans ce nouveau pays (</w:t>
      </w:r>
      <w:hyperlink r:id="rId86">
        <w:r>
          <w:rPr>
            <w:color w:val="0000EE"/>
            <w:u w:val="single"/>
          </w:rPr>
          <w:t>Gn 12.1–3</w:t>
        </w:r>
      </w:hyperlink>
      <w:r>
        <w:t>). Abram, se fiant à la promesse divine, quitte Charan à l'âge de 74 ans. En arrivant à Canaan, il se rend d'abord à Sichem, une importante ville royale cananéenne entre le mont Garizim et le mont Ébal. Près du chêne de Moré, un sanctuaire cananéen, Dieu lui apparaît (</w:t>
      </w:r>
      <w:hyperlink r:id="rId87">
        <w:r>
          <w:rPr>
            <w:color w:val="0000EE"/>
            <w:u w:val="single"/>
          </w:rPr>
          <w:t>12.7</w:t>
        </w:r>
      </w:hyperlink>
      <w:r>
        <w:t>). Abram construit un autel à Sichem, puis se déplace aux environs de Béthel et construit de nouveau un autel pour le Seigneur (</w:t>
      </w:r>
      <w:hyperlink r:id="rId88">
        <w:r>
          <w:rPr>
            <w:color w:val="0000EE"/>
            <w:u w:val="single"/>
          </w:rPr>
          <w:t>12.8</w:t>
        </w:r>
      </w:hyperlink>
      <w:r>
        <w:t>). L'expression « invoquer le nom de l'Éternel » signifie plus que simplement prier. Abram fait plutôt une proclamation, déclarant la réalité de Dieu aux Cananéens dans leurs centres de faux culte. Plus tard, Abram continue ses déplacements et se rend à Hébron près des chênes de Mamré. Là, il construit un autre autel pour adorer Dieu. Une autre bénédiction révélée dans une vision (</w:t>
      </w:r>
      <w:hyperlink r:id="rId89">
        <w:r>
          <w:rPr>
            <w:color w:val="0000EE"/>
            <w:u w:val="single"/>
          </w:rPr>
          <w:t>15.1</w:t>
        </w:r>
      </w:hyperlink>
      <w:r>
        <w:t>) amène Abram à s'exclamer qu'il est toujours sans enfant et qu'Éliézer de Damas est son héritier (</w:t>
      </w:r>
      <w:hyperlink r:id="rId90">
        <w:r>
          <w:rPr>
            <w:color w:val="0000EE"/>
            <w:u w:val="single"/>
          </w:rPr>
          <w:t>15.2</w:t>
        </w:r>
      </w:hyperlink>
      <w:r>
        <w:t xml:space="preserve">). La découverte des textes de Nuzi a aidé à clarifier cette déclaration sinon obscure. Selon la coutume hourrite, un couple de statut et de substance </w:t>
      </w:r>
      <w:r>
        <w:t xml:space="preserve">sans enfant </w:t>
      </w:r>
      <w:r>
        <w:t>pouvait adopter un héritier. L'héritier, souvent un esclave, serait responsable de l'enterrement et du deuil de ses parents adoptifs. Si un fils devait naître après l'adoption d'un esclave-héritier, le fils naturel le supplanterait bien sûr. Ainsi, la réponse de Dieu à la question d'Abram est directe : « Ce n'est pas lui qui sera ton héritier, mais c'est celui qui sortira de tes entrailles qui sera ton héritier » (</w:t>
      </w:r>
      <w:hyperlink r:id="rId91">
        <w:r>
          <w:rPr>
            <w:color w:val="0000EE"/>
            <w:u w:val="single"/>
          </w:rPr>
          <w:t>Gn 15.4</w:t>
        </w:r>
      </w:hyperlink>
      <w:r>
        <w:t>). Dieu fait ensuite alliance avec Abram, lui assurant un héritier, une nation, et le pays.</w:t>
      </w:r>
    </w:p>
    <w:p>
      <w:r/>
      <w:r>
        <w:t>Abram a 86 ans lorsque son fils Ismaël naît. À 99 ans, le Seigneur apparaît au vieux patriarche et réaffirme encore une fois sa promesse d'un fils et de bénédictions (</w:t>
      </w:r>
      <w:hyperlink r:id="rId92">
        <w:r>
          <w:rPr>
            <w:color w:val="0000EE"/>
            <w:u w:val="single"/>
          </w:rPr>
          <w:t>Gn 17</w:t>
        </w:r>
      </w:hyperlink>
      <w:r>
        <w:t>). La circoncision est ajoutée comme sceau de la relation d'alliance (</w:t>
      </w:r>
      <w:hyperlink r:id="rId93">
        <w:r>
          <w:rPr>
            <w:color w:val="0000EE"/>
            <w:u w:val="single"/>
          </w:rPr>
          <w:t>17.9–14</w:t>
        </w:r>
      </w:hyperlink>
      <w:r>
        <w:t>), et à ce moment-là, leurs noms, Abram et Saraï, sont changés à Abraham et à Sara (</w:t>
      </w:r>
      <w:hyperlink r:id="rId78">
        <w:r>
          <w:rPr>
            <w:color w:val="0000EE"/>
            <w:u w:val="single"/>
          </w:rPr>
          <w:t>17.5</w:t>
        </w:r>
      </w:hyperlink>
      <w:r>
        <w:t xml:space="preserve">, </w:t>
      </w:r>
      <w:hyperlink r:id="rId94">
        <w:r>
          <w:rPr>
            <w:color w:val="0000EE"/>
            <w:u w:val="single"/>
          </w:rPr>
          <w:t>15</w:t>
        </w:r>
      </w:hyperlink>
      <w:r>
        <w:t>). La réaction d'Abraham à la promesse d'un autre fils est de rire : « Abraham tomba sur sa face ; il rit, et dit en son coeur : Naîtrait-il un fils à un homme de cent ans ? et Sara, âgée de quatre-vingt-dix ans, enfanterait-elle ? » (</w:t>
      </w:r>
      <w:hyperlink r:id="rId81">
        <w:r>
          <w:rPr>
            <w:color w:val="0000EE"/>
            <w:u w:val="single"/>
          </w:rPr>
          <w:t>Gn 17.17</w:t>
        </w:r>
      </w:hyperlink>
      <w:r>
        <w:t>).</w:t>
      </w:r>
    </w:p>
    <w:p>
      <w:r/>
      <w:hyperlink r:id="rId95">
        <w:r>
          <w:rPr>
            <w:color w:val="0000EE"/>
            <w:u w:val="single"/>
          </w:rPr>
          <w:t>Genèse 18</w:t>
        </w:r>
      </w:hyperlink>
      <w:r>
        <w:t xml:space="preserve"> et </w:t>
      </w:r>
      <w:hyperlink r:id="rId96">
        <w:r>
          <w:rPr>
            <w:color w:val="0000EE"/>
            <w:u w:val="single"/>
          </w:rPr>
          <w:t>19</w:t>
        </w:r>
      </w:hyperlink>
      <w:r>
        <w:t xml:space="preserve"> racontent la destruction totale de deux villes de la plaine du Jourdain, Sodome et Gomorrhe. Le chapitre </w:t>
      </w:r>
      <w:hyperlink r:id="rId95">
        <w:r>
          <w:rPr>
            <w:color w:val="0000EE"/>
            <w:u w:val="single"/>
          </w:rPr>
          <w:t>18</w:t>
        </w:r>
      </w:hyperlink>
      <w:r>
        <w:t xml:space="preserve"> commence avec trois individus cherchant un abri de la chaleur du jour. Abraham offre des rafraîchissements et un repas à ses invités. Ils se révèlent </w:t>
      </w:r>
      <w:r>
        <w:t xml:space="preserve">cependant </w:t>
      </w:r>
      <w:r>
        <w:t>être des voyageurs extraordinaires. Il s'agit de l'Ange du Seigneur ainsi que deux autres anges (</w:t>
      </w:r>
      <w:hyperlink r:id="rId97">
        <w:r>
          <w:rPr>
            <w:color w:val="0000EE"/>
            <w:u w:val="single"/>
          </w:rPr>
          <w:t xml:space="preserve">18.1–2 </w:t>
        </w:r>
      </w:hyperlink>
      <w:r>
        <w:t xml:space="preserve">; </w:t>
      </w:r>
      <w:hyperlink r:id="rId98">
        <w:r>
          <w:rPr>
            <w:color w:val="0000EE"/>
            <w:u w:val="single"/>
          </w:rPr>
          <w:t>19.1</w:t>
        </w:r>
      </w:hyperlink>
      <w:r>
        <w:t>). Il y a des raisons de croire que l'Ange du Seigneur était Dieu lui-même (</w:t>
      </w:r>
      <w:hyperlink r:id="rId99">
        <w:r>
          <w:rPr>
            <w:color w:val="0000EE"/>
            <w:u w:val="single"/>
          </w:rPr>
          <w:t>18.17</w:t>
        </w:r>
      </w:hyperlink>
      <w:r>
        <w:t xml:space="preserve">, </w:t>
      </w:r>
      <w:hyperlink r:id="rId100">
        <w:r>
          <w:rPr>
            <w:color w:val="0000EE"/>
            <w:u w:val="single"/>
          </w:rPr>
          <w:t>33</w:t>
        </w:r>
      </w:hyperlink>
      <w:r>
        <w:t>). Une autre annonce d'un fils promis fait rire Sara d'incrédulité, puis nier avoir ri (</w:t>
      </w:r>
      <w:hyperlink r:id="rId101">
        <w:r>
          <w:rPr>
            <w:color w:val="0000EE"/>
            <w:u w:val="single"/>
          </w:rPr>
          <w:t>18.12–15</w:t>
        </w:r>
      </w:hyperlink>
      <w:r>
        <w:t>).</w:t>
      </w:r>
    </w:p>
    <w:p>
      <w:r/>
      <w:hyperlink r:id="rId102">
        <w:r>
          <w:rPr>
            <w:color w:val="0000EE"/>
            <w:u w:val="single"/>
          </w:rPr>
          <w:t>Genèse 21</w:t>
        </w:r>
      </w:hyperlink>
      <w:r>
        <w:t xml:space="preserve"> à </w:t>
      </w:r>
      <w:hyperlink r:id="rId103">
        <w:r>
          <w:rPr>
            <w:color w:val="0000EE"/>
            <w:u w:val="single"/>
          </w:rPr>
          <w:t>23</w:t>
        </w:r>
      </w:hyperlink>
      <w:r>
        <w:t xml:space="preserve"> forment le point culminant de l'histoire d'Abraham. Enfin, lorsqu'il a 100 ans et sa femme 90, « l'Éternel accomplit pour Sara ce qu'il avait promis » (</w:t>
      </w:r>
      <w:hyperlink r:id="rId104">
        <w:r>
          <w:rPr>
            <w:color w:val="0000EE"/>
            <w:u w:val="single"/>
          </w:rPr>
          <w:t>Gn 21.1</w:t>
        </w:r>
      </w:hyperlink>
      <w:r>
        <w:t>). Le couple âgé ne peut retenir sa joie à la naissance de ce fils promis tant attendu. Ils avaient ri d'incrédulité aux jours de la promesse ; maintenant ils rient de joie car c'est Dieu qui « rit le dernier ». Le bébé, né au moment promis par Dieu, est nommé Isaac (« il rit ! »). Sarah dit alors : « Dieu m’a donné lieu de rire ; quiconque l’entendra rira avec moi » (</w:t>
      </w:r>
      <w:hyperlink r:id="rId105">
        <w:r>
          <w:rPr>
            <w:color w:val="0000EE"/>
            <w:u w:val="single"/>
          </w:rPr>
          <w:t>Gn 21.6</w:t>
        </w:r>
      </w:hyperlink>
      <w:r>
        <w:t>, DBY).</w:t>
      </w:r>
    </w:p>
    <w:p>
      <w:r/>
      <w:r>
        <w:t xml:space="preserve">Le rire suscité à la naissance d'Isaac s'estompe complètement lors de l'épreuve de foi d'Abraham décrite au chapitre </w:t>
      </w:r>
      <w:hyperlink r:id="rId106">
        <w:r>
          <w:rPr>
            <w:color w:val="0000EE"/>
            <w:u w:val="single"/>
          </w:rPr>
          <w:t>22</w:t>
        </w:r>
      </w:hyperlink>
      <w:r>
        <w:t>, quand Dieu lui commande de sacrifier Isaac. Ce n'est qu'après avoir indirectement vécu les longues 25 années de la promesse divine d'un fils aux côtés d'Abraham que l'on peut imaginer le traumatisme d'une telle épreuve suprême. Juste au moment où le couteau va s'abattre, et seulement à ce moment-là, l'ange de Dieu brise le silence du ciel avec l'appel, « Abraham ! Abraham ! » (</w:t>
      </w:r>
      <w:hyperlink r:id="rId107">
        <w:r>
          <w:rPr>
            <w:color w:val="0000EE"/>
            <w:u w:val="single"/>
          </w:rPr>
          <w:t>22.11</w:t>
        </w:r>
      </w:hyperlink>
      <w:r>
        <w:t>). Le nom de promesse, « père d'une multitude », prend son sens le plus significatif lorsque le fils d'Abraham est épargné et que l'épreuve est expliquée : « je sais maintenant que tu crains Dieu, et que tu ne m'as pas refusé ton fils, ton unique » (</w:t>
      </w:r>
      <w:hyperlink r:id="rId108">
        <w:r>
          <w:rPr>
            <w:color w:val="0000EE"/>
            <w:u w:val="single"/>
          </w:rPr>
          <w:t>Gn 22.12</w:t>
        </w:r>
      </w:hyperlink>
      <w:r>
        <w:t>).</w:t>
      </w:r>
    </w:p>
    <w:p>
      <w:r/>
      <w:r>
        <w:t>Ces mots sont accompagnés d'une promesse implicite dans la découverte d'un bélier pris dans un buisson par les cornes. Le Seigneur pourvoit ainsi une alternative au sacrifice, un substitut. L'endroit est nommé « Adonaï-Yiré » (NBS). Les chrétiens voient généralement tout l'épisode comme une anticipation de la provision de Dieu de son Fils unique, Jésus-Christ, en tant que sacrifice pour les péchés du monde.</w:t>
      </w:r>
    </w:p>
    <w:p>
      <w:r/>
      <w:r>
        <w:rPr>
          <w:i/>
        </w:rPr>
        <w:t>Voir aussi</w:t>
      </w:r>
      <w:r>
        <w:t xml:space="preserve"> </w:t>
      </w:r>
      <w:r>
        <w:t xml:space="preserve">Alliance </w:t>
      </w:r>
      <w:r>
        <w:t xml:space="preserve">; </w:t>
      </w:r>
      <w:r>
        <w:t xml:space="preserve">Patriarches, période des </w:t>
      </w:r>
      <w:r>
        <w:t xml:space="preserve">; </w:t>
      </w:r>
      <w:r>
        <w:t xml:space="preserve">Israël, histoire de </w:t>
      </w:r>
      <w:r>
        <w:t xml:space="preserve">; </w:t>
      </w:r>
      <w:r>
        <w:t>Sara #1</w:t>
      </w:r>
      <w:r>
        <w:t>.</w:t>
      </w:r>
      <w:r/>
      <w:r/>
    </w:p>
    <w:p>
      <w:r/>
    </w:p>
    <w:p>
      <w:pPr>
        <w:pStyle w:val="Heading2"/>
      </w:pPr>
      <w:r>
        <w:t>Abram</w:t>
      </w:r>
      <w:r/>
    </w:p>
    <w:p>
      <w:r/>
      <w:r>
        <w:t>Nom original du patriarche Abraham (</w:t>
      </w:r>
      <w:hyperlink r:id="rId109">
        <w:r>
          <w:rPr>
            <w:color w:val="0000EE"/>
            <w:u w:val="single"/>
          </w:rPr>
          <w:t>Gn 11.26</w:t>
        </w:r>
      </w:hyperlink>
      <w:r>
        <w:t>).</w:t>
      </w:r>
    </w:p>
    <w:p>
      <w:r/>
      <w:r>
        <w:rPr>
          <w:i/>
        </w:rPr>
        <w:t>Voir</w:t>
      </w:r>
      <w:r>
        <w:t xml:space="preserve"> </w:t>
      </w:r>
      <w:r>
        <w:t>Abraham</w:t>
      </w:r>
      <w:r>
        <w:t>.</w:t>
      </w:r>
      <w:r/>
      <w:r/>
    </w:p>
    <w:p>
      <w:r/>
    </w:p>
    <w:p>
      <w:pPr>
        <w:pStyle w:val="Heading2"/>
      </w:pPr>
      <w:r>
        <w:t>Acbor</w:t>
      </w:r>
      <w:r/>
    </w:p>
    <w:p>
      <w:pPr>
        <w:pStyle w:val="ListNumber"/>
        <w:spacing w:line="240" w:lineRule="auto"/>
        <w:ind w:left="720"/>
      </w:pPr>
      <w:r/>
      <w:r>
        <w:t>Père de Baal-Hanan, roi d'Édom, qui a régné avant l'établissement du royaume d'Israël (</w:t>
      </w:r>
      <w:hyperlink r:id="rId110">
        <w:r>
          <w:rPr>
            <w:color w:val="0000EE"/>
            <w:u w:val="single"/>
          </w:rPr>
          <w:t>Gn 36.38</w:t>
        </w:r>
      </w:hyperlink>
      <w:r>
        <w:t>–</w:t>
      </w:r>
      <w:hyperlink r:id="rId110">
        <w:r>
          <w:rPr>
            <w:color w:val="0000EE"/>
            <w:u w:val="single"/>
          </w:rPr>
          <w:t>39</w:t>
        </w:r>
      </w:hyperlink>
      <w:r>
        <w:t xml:space="preserve"> ; </w:t>
      </w:r>
      <w:hyperlink r:id="rId111">
        <w:r>
          <w:rPr>
            <w:color w:val="0000EE"/>
            <w:u w:val="single"/>
          </w:rPr>
          <w:t>1Ch 1.49</w:t>
        </w:r>
      </w:hyperlink>
      <w:r>
        <w:t>).</w:t>
      </w:r>
    </w:p>
    <w:p>
      <w:pPr>
        <w:pStyle w:val="ListNumber"/>
        <w:spacing w:line="240" w:lineRule="auto"/>
        <w:ind w:left="720"/>
      </w:pPr>
      <w:r/>
      <w:r>
        <w:t>Fils de Micaiah, un courtisan (compagnon qui travaillait à la cour d'un roi) du roi Josias dans le royaume du sud de Juda. Josias enverra Acbor demander à Hulda, la prophétesse, concernant le Livre de la Loi découvert à son époque (</w:t>
      </w:r>
      <w:hyperlink r:id="rId112">
        <w:r>
          <w:rPr>
            <w:color w:val="0000EE"/>
            <w:u w:val="single"/>
          </w:rPr>
          <w:t>2R 22.12</w:t>
        </w:r>
      </w:hyperlink>
      <w:r>
        <w:t>–</w:t>
      </w:r>
      <w:hyperlink r:id="rId112">
        <w:r>
          <w:rPr>
            <w:color w:val="0000EE"/>
            <w:u w:val="single"/>
          </w:rPr>
          <w:t>14</w:t>
        </w:r>
      </w:hyperlink>
      <w:r>
        <w:t>). Acbor est également appelé Abdon, fils de Michée (</w:t>
      </w:r>
      <w:hyperlink r:id="rId113">
        <w:r>
          <w:rPr>
            <w:color w:val="0000EE"/>
            <w:u w:val="single"/>
          </w:rPr>
          <w:t>2Ch 34.20</w:t>
        </w:r>
      </w:hyperlink>
      <w:r>
        <w:t>). Il était le père d'Elnathan (</w:t>
      </w:r>
      <w:hyperlink r:id="rId114">
        <w:r>
          <w:rPr>
            <w:color w:val="0000EE"/>
            <w:u w:val="single"/>
          </w:rPr>
          <w:t>Jr 26.22</w:t>
        </w:r>
      </w:hyperlink>
      <w:r>
        <w:t xml:space="preserve">; </w:t>
      </w:r>
      <w:hyperlink r:id="rId115">
        <w:r>
          <w:rPr>
            <w:color w:val="0000EE"/>
            <w:u w:val="single"/>
          </w:rPr>
          <w:t>36.12</w:t>
        </w:r>
      </w:hyperlink>
      <w:r>
        <w:t>).</w:t>
      </w:r>
      <w:r/>
      <w:r/>
    </w:p>
    <w:p>
      <w:r/>
    </w:p>
    <w:p>
      <w:pPr>
        <w:pStyle w:val="Heading2"/>
      </w:pPr>
      <w:r>
        <w:t>Accad</w:t>
      </w:r>
      <w:r/>
    </w:p>
    <w:p>
      <w:r/>
      <w:r>
        <w:t>Une des trois villes (Babel, Érec et Accad) situées entre les fleuves Hiddékel et Euphrate.</w:t>
      </w:r>
    </w:p>
    <w:p>
      <w:r/>
      <w:r>
        <w:t>Elle aurait été fondé par Nimrod (</w:t>
      </w:r>
      <w:hyperlink r:id="rId116">
        <w:r>
          <w:rPr>
            <w:color w:val="0000EE"/>
            <w:u w:val="single"/>
          </w:rPr>
          <w:t>Gn 10.10</w:t>
        </w:r>
      </w:hyperlink>
      <w:r>
        <w:t>). Le nom de la langue parlée en Mésopotamie depuis l'époque de Sargon (vers 2 360 av. J.‑C.) jusqu'aux périodes assyrienne et babylonienne et l'« Akkadien » (d'Accad).</w:t>
      </w:r>
      <w:r/>
      <w:r/>
    </w:p>
    <w:p>
      <w:r/>
    </w:p>
    <w:p>
      <w:pPr>
        <w:pStyle w:val="Heading2"/>
      </w:pPr>
      <w:r>
        <w:t>Acco</w:t>
      </w:r>
      <w:r/>
    </w:p>
    <w:p>
      <w:r/>
      <w:r>
        <w:t>Grande ville portuaire palestinienne datant de la première période cananéenne. L'Ancien Testament mentionne que la tribu d'Aser n'a pas réussi à chasser les habitants d'Acco au moment de la conquête de Canaan par Israël (</w:t>
      </w:r>
      <w:hyperlink r:id="rId117">
        <w:r>
          <w:rPr>
            <w:color w:val="0000EE"/>
            <w:u w:val="single"/>
          </w:rPr>
          <w:t>Jg 1.31</w:t>
        </w:r>
      </w:hyperlink>
      <w:r>
        <w:t>).</w:t>
      </w:r>
    </w:p>
    <w:p>
      <w:r/>
      <w:r>
        <w:t>Acco est souvent mentionnée dans les textes égyptiens du Moyen et du Nouvel Empire ainsi que dans les archives assyriennes. Acco était probablement contrôlée par Israël lorsque David était roi et a pu faire partie des vingt villes données par Salomon au roi Hiram de Tyr (</w:t>
      </w:r>
      <w:hyperlink r:id="rId118">
        <w:r>
          <w:rPr>
            <w:color w:val="0000EE"/>
            <w:u w:val="single"/>
          </w:rPr>
          <w:t>1R 9.11</w:t>
        </w:r>
      </w:hyperlink>
      <w:r>
        <w:t>–</w:t>
      </w:r>
      <w:hyperlink r:id="rId118">
        <w:r>
          <w:rPr>
            <w:color w:val="0000EE"/>
            <w:u w:val="single"/>
          </w:rPr>
          <w:t>14</w:t>
        </w:r>
      </w:hyperlink>
      <w:r>
        <w:t>). Plus tard, Alexandre le Grand de Macédoine capturera Acco. Elle sera finalement reconstruite et renommée Ptolémaïs (</w:t>
      </w:r>
      <w:hyperlink r:id="rId119">
        <w:r>
          <w:rPr>
            <w:color w:val="0000EE"/>
            <w:u w:val="single"/>
          </w:rPr>
          <w:t>Ac 21.7</w:t>
        </w:r>
      </w:hyperlink>
      <w:r>
        <w:t>).</w:t>
      </w:r>
      <w:r/>
      <w:r/>
    </w:p>
    <w:p>
      <w:r/>
    </w:p>
    <w:p>
      <w:pPr>
        <w:pStyle w:val="Heading2"/>
      </w:pPr>
      <w:r>
        <w:t>Aceldama</w:t>
      </w:r>
      <w:r/>
    </w:p>
    <w:p>
      <w:r/>
      <w:r>
        <w:t>Orthographe alternative de Hakeldama, qui signifie « champ du sang » (</w:t>
      </w:r>
      <w:hyperlink r:id="rId120">
        <w:r>
          <w:rPr>
            <w:color w:val="0000EE"/>
            <w:u w:val="single"/>
          </w:rPr>
          <w:t>Ac 1.19</w:t>
        </w:r>
      </w:hyperlink>
      <w:r>
        <w:t>).</w:t>
      </w:r>
    </w:p>
    <w:p>
      <w:r/>
      <w:r>
        <w:rPr>
          <w:i/>
        </w:rPr>
        <w:t>Voir</w:t>
      </w:r>
      <w:r>
        <w:t xml:space="preserve"> </w:t>
      </w:r>
      <w:r>
        <w:t>Sang, Champ-de-Sang</w:t>
      </w:r>
      <w:r>
        <w:t>.</w:t>
      </w:r>
      <w:r/>
      <w:r/>
    </w:p>
    <w:p>
      <w:r/>
    </w:p>
    <w:p>
      <w:pPr>
        <w:pStyle w:val="Heading2"/>
      </w:pPr>
      <w:r>
        <w:t>Achiram, Ahiramite</w:t>
      </w:r>
      <w:r/>
    </w:p>
    <w:p>
      <w:r/>
      <w:r>
        <w:t>Troisième fils de Benjamin. Il était l'ancêtre du clan Achiramite (</w:t>
      </w:r>
      <w:hyperlink r:id="rId121">
        <w:r>
          <w:rPr>
            <w:color w:val="0000EE"/>
            <w:u w:val="single"/>
          </w:rPr>
          <w:t>Nb 26.38</w:t>
        </w:r>
      </w:hyperlink>
      <w:r>
        <w:t xml:space="preserve"> ; </w:t>
      </w:r>
      <w:hyperlink r:id="rId122">
        <w:r>
          <w:rPr>
            <w:color w:val="0000EE"/>
            <w:u w:val="single"/>
          </w:rPr>
          <w:t>1Ch 8.1</w:t>
        </w:r>
      </w:hyperlink>
      <w:r>
        <w:t>, ici appelé « Achrach »). Deux formes abrégées d'« Achiram » dans les listes des ancêtres peuvent être Éhi (</w:t>
      </w:r>
      <w:hyperlink r:id="rId123">
        <w:r>
          <w:rPr>
            <w:color w:val="0000EE"/>
            <w:u w:val="single"/>
          </w:rPr>
          <w:t>Gn 46.21</w:t>
        </w:r>
      </w:hyperlink>
      <w:r>
        <w:t>) et Acher (</w:t>
      </w:r>
      <w:hyperlink r:id="rId124">
        <w:r>
          <w:rPr>
            <w:color w:val="0000EE"/>
            <w:u w:val="single"/>
          </w:rPr>
          <w:t>1Ch 7.12</w:t>
        </w:r>
      </w:hyperlink>
      <w:r>
        <w:t>).</w:t>
      </w:r>
      <w:r/>
      <w:r/>
    </w:p>
    <w:p>
      <w:r/>
    </w:p>
    <w:p>
      <w:pPr>
        <w:pStyle w:val="Heading2"/>
      </w:pPr>
      <w:r>
        <w:t>Acropole</w:t>
      </w:r>
      <w:r/>
    </w:p>
    <w:p>
      <w:r/>
      <w:r>
        <w:t xml:space="preserve">Terme combinant le grec </w:t>
      </w:r>
      <w:r>
        <w:rPr>
          <w:i/>
        </w:rPr>
        <w:t>akros</w:t>
      </w:r>
      <w:r>
        <w:t xml:space="preserve"> (signifiant « le plus haut ») et </w:t>
      </w:r>
      <w:r>
        <w:rPr>
          <w:i/>
        </w:rPr>
        <w:t>polis</w:t>
      </w:r>
      <w:r>
        <w:t xml:space="preserve"> (signifiant « ville »). Dans la Grèce antique, une acropole était un lieu fortifié et protégé. Elle était généralement construite sur une colline et servait de refuge. La zone autour de la base de la colline se développait souvent en une ville.</w:t>
      </w:r>
    </w:p>
    <w:p>
      <w:r/>
      <w:r>
        <w:t>L'Acropole à Athènes, la capitale de la Grèce, possédait un bâtiment célèbre appelé le Parthénon. Le Parthénon était un temple construit pour honorer Athéna, que les Grecs anciens considéraient comme la déesse de la sagesse. Ce temple a été édifié dans les années 500 av. J.‑C. (il y a plus de 2 500 ans). Le Parthénon a été construit dans un style appelé dorique, un type de design architectural grec. Beaucoup de gens estiment qu'il s'agit de l'un des meilleurs exemples des compétences architecturales grecques d'autrefois.</w:t>
      </w:r>
    </w:p>
    <w:p>
      <w:r/>
      <w:hyperlink r:id="rId125">
        <w:r>
          <w:rPr>
            <w:color w:val="0000EE"/>
            <w:u w:val="single"/>
          </w:rPr>
          <w:t>Actes 17.34</w:t>
        </w:r>
      </w:hyperlink>
      <w:r>
        <w:t xml:space="preserve"> mentionne que Paul a prêché à l'Aréopage, signifiant « colline d'Arès », une colline basse au nord-ouest de l'Acropole. Lorsque Paul y a parlé, il a conduit une personne du conseil municipal d'Athènes à devenir disciple de Jésus.</w:t>
      </w:r>
      <w:r/>
      <w:r/>
    </w:p>
    <w:p>
      <w:r/>
    </w:p>
    <w:p>
      <w:pPr>
        <w:pStyle w:val="Heading2"/>
      </w:pPr>
      <w:r>
        <w:t>Actes des Apôtres, Livre des</w:t>
      </w:r>
      <w:r/>
    </w:p>
    <w:p>
      <w:r/>
      <w:r>
        <w:t>Livre du NT présentant l'histoire de l'Église primitive et écrit comme suite à l'Évangile selon Luc. Dans l'arrangement des livres du NT, les Actes viennent après les quatre Évangiles et avant les Épîtres.</w:t>
      </w:r>
    </w:p>
    <w:p>
      <w:r/>
      <w:r>
        <w:t>Sommaire</w:t>
      </w:r>
    </w:p>
    <w:p>
      <w:r/>
      <w:r>
        <w:t>• Auteur</w:t>
      </w:r>
    </w:p>
    <w:p>
      <w:r/>
      <w:r>
        <w:t>• Date de composition, origine et destinataire</w:t>
      </w:r>
    </w:p>
    <w:p>
      <w:r/>
      <w:r>
        <w:t>• Contexte et contenu</w:t>
      </w:r>
    </w:p>
    <w:p>
      <w:r/>
      <w:r>
        <w:t>• Objectif</w:t>
      </w:r>
    </w:p>
    <w:p>
      <w:pPr>
        <w:pStyle w:val="Heading3"/>
      </w:pPr>
      <w:r>
        <w:t>Auteur</w:t>
      </w:r>
    </w:p>
    <w:p>
      <w:r/>
      <w:r>
        <w:t>Le livre des Actes ne précise pas clairement qui en est l'auteur, mais le consensus général est qu'il s'agit de Luc.</w:t>
      </w:r>
    </w:p>
    <w:p>
      <w:r/>
      <w:r>
        <w:t xml:space="preserve">La tradition de l'Église primitive du IIe siècle affirme que les Actes (ainsi que le troisième Évangile) ont été écrits par un compagnon de voyage et collaborateur de l'apôtre Paul. Ce compagnon est identifié dans </w:t>
      </w:r>
      <w:hyperlink r:id="rId126">
        <w:r>
          <w:rPr>
            <w:color w:val="0000EE"/>
            <w:u w:val="single"/>
          </w:rPr>
          <w:t>Colossiens 4.14</w:t>
        </w:r>
      </w:hyperlink>
      <w:r>
        <w:t xml:space="preserve"> comme « Luc, le médecin bien-aimé » et mentionné parmi les collaborateurs de Paul (</w:t>
      </w:r>
      <w:hyperlink r:id="rId127">
        <w:r>
          <w:rPr>
            <w:color w:val="0000EE"/>
            <w:u w:val="single"/>
          </w:rPr>
          <w:t xml:space="preserve">Col 4.10–17 </w:t>
        </w:r>
      </w:hyperlink>
      <w:r>
        <w:t xml:space="preserve">; voir aussi </w:t>
      </w:r>
      <w:hyperlink r:id="rId128">
        <w:r>
          <w:rPr>
            <w:color w:val="0000EE"/>
            <w:u w:val="single"/>
          </w:rPr>
          <w:t xml:space="preserve">2Tm 4.11 </w:t>
        </w:r>
      </w:hyperlink>
      <w:r>
        <w:t xml:space="preserve">; </w:t>
      </w:r>
      <w:hyperlink r:id="rId129">
        <w:r>
          <w:rPr>
            <w:color w:val="0000EE"/>
            <w:u w:val="single"/>
          </w:rPr>
          <w:t>Phm 1.24</w:t>
        </w:r>
      </w:hyperlink>
      <w:r>
        <w:t>).</w:t>
      </w:r>
    </w:p>
    <w:p>
      <w:r/>
      <w:r>
        <w:t>La tradition selon laquelle l'auteur des Actes était un compagnon de Paul provient de la seconde moitié du livre racontant son ministère. Plusieurs récits y sont écrits à la première personne du pluriel :</w:t>
      </w:r>
    </w:p>
    <w:p>
      <w:r/>
      <w:r>
        <w:t>1. « Pendant la nuit, Paul eut une vision : un Macédonien lui apparut, et lui fit cette prière : Passe en Macédoine, secours-nous ! Après cette vision de Paul, nous cherchâmes aussitôt à nous rendre en Macédoine, concluant que le Seigneur nous appelait à y annoncer la bonne nouvelle » (</w:t>
      </w:r>
      <w:hyperlink r:id="rId130">
        <w:r>
          <w:rPr>
            <w:color w:val="0000EE"/>
            <w:u w:val="single"/>
          </w:rPr>
          <w:t>16.9–10</w:t>
        </w:r>
      </w:hyperlink>
      <w:r>
        <w:t>).</w:t>
      </w:r>
    </w:p>
    <w:p>
      <w:r/>
      <w:r>
        <w:t>2. « Ceux-ci prirent les devants, et nous attendirent à Troas. Pour nous, après les jours des pains sans levain, nous nous embarquâmes à Philippes, et, au bout de cinq jours, nous les rejoignîmes à Troas, où nous passâmes sept jours » (</w:t>
      </w:r>
      <w:hyperlink r:id="rId131">
        <w:r>
          <w:rPr>
            <w:color w:val="0000EE"/>
            <w:u w:val="single"/>
          </w:rPr>
          <w:t>20.5–6</w:t>
        </w:r>
      </w:hyperlink>
      <w:r>
        <w:t>).</w:t>
      </w:r>
    </w:p>
    <w:p>
      <w:r/>
      <w:r>
        <w:t xml:space="preserve">3. « </w:t>
      </w:r>
      <w:r>
        <w:t>Lorsqu'il fut décidé que nous nous embarquerions pour l'Italie, on remit Paul et quelques autres prisonniers à un centenier de la cohorte Auguste, nommé Julius</w:t>
      </w:r>
      <w:r>
        <w:t xml:space="preserve"> » (</w:t>
      </w:r>
      <w:hyperlink r:id="rId132">
        <w:r>
          <w:rPr>
            <w:color w:val="0000EE"/>
            <w:u w:val="single"/>
          </w:rPr>
          <w:t>27.1</w:t>
        </w:r>
      </w:hyperlink>
      <w:r>
        <w:t>).</w:t>
      </w:r>
    </w:p>
    <w:p>
      <w:r/>
      <w:r>
        <w:t>Ces sections écrites à la première personne du pluriel (</w:t>
      </w:r>
      <w:hyperlink r:id="rId133">
        <w:r>
          <w:rPr>
            <w:color w:val="0000EE"/>
            <w:u w:val="single"/>
          </w:rPr>
          <w:t xml:space="preserve">16.9–18 </w:t>
        </w:r>
      </w:hyperlink>
      <w:r>
        <w:t xml:space="preserve">; </w:t>
      </w:r>
      <w:hyperlink r:id="rId134">
        <w:r>
          <w:rPr>
            <w:color w:val="0000EE"/>
            <w:u w:val="single"/>
          </w:rPr>
          <w:t xml:space="preserve">20.5–21.18 </w:t>
        </w:r>
      </w:hyperlink>
      <w:r>
        <w:t xml:space="preserve">; </w:t>
      </w:r>
      <w:hyperlink r:id="rId135">
        <w:r>
          <w:rPr>
            <w:color w:val="0000EE"/>
            <w:u w:val="single"/>
          </w:rPr>
          <w:t>27.1–28.16</w:t>
        </w:r>
      </w:hyperlink>
      <w:r>
        <w:t>) ressemblent à une partie de récit de voyage ou de journal écrit par un témoin oculaire ayant accompagné Paul de Troas à Philippes lors de son deuxième voyage missionnaire ; de Philippes à Milet lors du troisième ; de Milet à Jérusalem ; et de Césarée à Rome. Étant donné que le style et le vocabulaire de ces récits de voyage ressemblent à ceux du reste du livre, il est très probable que leur auteur soit également celui de l'ensemble du livre.</w:t>
      </w:r>
    </w:p>
    <w:p>
      <w:r/>
      <w:r>
        <w:t>Le style littéraire sophistiqué et l'utilisation raffinée de la langue grecque dans le livre, ainsi que le fait qu'il soit adressé à quelqu'un nommé Théophile (peut-être un haut fonctionnaire romain), soutiennent fortement la tradition selon laquelle Luc était un Gentil converti au christianisme. Son utilisation constante et fréquente de la Septante grecque pourrait indiquer qu'il avait été un « craignant-Dieu », c'est-à-dire un païen qui croyait au Dieu des Juifs, avant de se convertir à la nouvelle foi en Christ.</w:t>
      </w:r>
    </w:p>
    <w:p>
      <w:pPr>
        <w:pStyle w:val="Heading3"/>
      </w:pPr>
      <w:r>
        <w:t>Date, origine, et destinataire</w:t>
      </w:r>
    </w:p>
    <w:p>
      <w:r/>
      <w:r>
        <w:t>La question de la date et du lieu d'origine du livre des Actes continue d'être débattue. Le livre lui-mêne ne nous offre pas d'indications claires. En ce qui concerne son destinataire, cependant, Luc n'a laissé aucun doute. Dans le verset introductif, il s'adresse à un certain Théophile, à qui il avait déjà écrit un livre précédent sur la vie de Jésus. Il ne fait aucun doute qu'il faisait référence à l'œuvre que nous connaissons sous le nom de l'Évangile selon Luc. Dans la préface de cet Évangile (</w:t>
      </w:r>
      <w:hyperlink r:id="rId136">
        <w:r>
          <w:rPr>
            <w:color w:val="0000EE"/>
            <w:u w:val="single"/>
          </w:rPr>
          <w:t>Lc 1.1–4</w:t>
        </w:r>
      </w:hyperlink>
      <w:r>
        <w:t xml:space="preserve">), Luc énonce clairement l'objectif de son récit et l'adresse à l'« excellent Théophile ». L'identité de cette personne n'est pas claire. Certains interprètes pensent qu'il représente les lecteurs chrétiens en général plutôt qu'un individu spécifique (ce nom signifie « cher à Dieu » ou « celui qui aime Dieu »). Cependant, la désignation « excellent » va à l'encontre d'une telle supposition. Il s'agit d'un titre d'honneur courant désignant une personne possédant un statut officiel dans l'ordre socio-politique romain (voir l'utilisation du titre pour Félix dans </w:t>
      </w:r>
      <w:hyperlink r:id="rId137">
        <w:r>
          <w:rPr>
            <w:color w:val="0000EE"/>
            <w:u w:val="single"/>
          </w:rPr>
          <w:t xml:space="preserve">Ac 23.26 </w:t>
        </w:r>
      </w:hyperlink>
      <w:r>
        <w:t xml:space="preserve">et </w:t>
      </w:r>
      <w:hyperlink r:id="rId138">
        <w:r>
          <w:rPr>
            <w:color w:val="0000EE"/>
            <w:u w:val="single"/>
          </w:rPr>
          <w:t xml:space="preserve">24.3 </w:t>
        </w:r>
      </w:hyperlink>
      <w:r>
        <w:t xml:space="preserve">; et pour Festus dans </w:t>
      </w:r>
      <w:hyperlink r:id="rId139">
        <w:r>
          <w:rPr>
            <w:color w:val="0000EE"/>
            <w:u w:val="single"/>
          </w:rPr>
          <w:t>26.25</w:t>
        </w:r>
      </w:hyperlink>
      <w:r>
        <w:t>). Il est donc probable que Luc ait destiné son œuvre en deux volumes à un représentant officiel de la société romaine.</w:t>
      </w:r>
    </w:p>
    <w:p>
      <w:r/>
      <w:r>
        <w:t>Quand le livre des Actes a-t-il été écrit ? Certains spécialistes le datent au dernier quart du premier siècle. Puisque l'Évangile a été écrit en premier, et puisque Luc a basé son récit de la vie de Jésus sur des témoignages oculaires et des sources écrites (parmi lesquelles se trouvait peut-être l'Évangile selon Marc, probablement écrit dans les années 60), le livre des Actes ne devrait pas être daté bien avant 85 apr. J.-C. Les partisans d'une date aussi tardive revendiquent le soutien de la théologie du livre même, qu'ils voient comme représentant une Église chrétienne ancrée dans l'Histoire, qui s'est ajustée à la perspective d'une longue période avant le retour du Seigneur. L'attente de son retour imminent avait été vivement attisée par la révolte juive et la chute de Jérusalem en 70 apr. J.-C., il faut donc compter le temps qu'il aurait fallu à cette flamme pour s'atténuer un peu.</w:t>
      </w:r>
    </w:p>
    <w:p>
      <w:r/>
      <w:r>
        <w:t>D'autres érudits datent le livre des Actes à environ ou peu après 70 apr. J.-C. La rébellion juive de 66–70 apr. J.-C. ayant culminé avec la destruction de Jérusalem a discrédité la foi juive, qui avait jusqu'alors bénéficié d'un statut légal. Le mouvement chrétien, qui avait été accepté comme une secte juive, est donc devenu suspect. Les chrétiens sont alors accusés d'être des ennemis de Rome de plus en plus souvent. Une étude des Actes montre que parmi plusieurs objectifs (voir ci-dessous), Luc semble poursuivre celui de défendre les chrétiens contre l'accusation d'hostilité envers l'État. Il montre comment des fonctionnaires romains ont témoigné à plusieurs reprises de l'innocence complète des chrétiens et surtout de Paul (</w:t>
      </w:r>
      <w:hyperlink r:id="rId140">
        <w:r>
          <w:rPr>
            <w:color w:val="0000EE"/>
            <w:u w:val="single"/>
          </w:rPr>
          <w:t xml:space="preserve">16.39 </w:t>
        </w:r>
      </w:hyperlink>
      <w:r>
        <w:t xml:space="preserve">; </w:t>
      </w:r>
      <w:hyperlink r:id="rId141">
        <w:r>
          <w:rPr>
            <w:color w:val="0000EE"/>
            <w:u w:val="single"/>
          </w:rPr>
          <w:t xml:space="preserve">18.14–17 </w:t>
        </w:r>
      </w:hyperlink>
      <w:r>
        <w:t xml:space="preserve">; </w:t>
      </w:r>
      <w:hyperlink r:id="rId142">
        <w:r>
          <w:rPr>
            <w:color w:val="0000EE"/>
            <w:u w:val="single"/>
          </w:rPr>
          <w:t xml:space="preserve">19.37 </w:t>
        </w:r>
      </w:hyperlink>
      <w:r>
        <w:t xml:space="preserve">; </w:t>
      </w:r>
      <w:hyperlink r:id="rId143">
        <w:r>
          <w:rPr>
            <w:color w:val="0000EE"/>
            <w:u w:val="single"/>
          </w:rPr>
          <w:t xml:space="preserve">23.29 </w:t>
        </w:r>
      </w:hyperlink>
      <w:r>
        <w:t xml:space="preserve">; </w:t>
      </w:r>
      <w:hyperlink r:id="rId144">
        <w:r>
          <w:rPr>
            <w:color w:val="0000EE"/>
            <w:u w:val="single"/>
          </w:rPr>
          <w:t xml:space="preserve">25.25 </w:t>
        </w:r>
      </w:hyperlink>
      <w:r>
        <w:t xml:space="preserve">; </w:t>
      </w:r>
      <w:hyperlink r:id="rId145">
        <w:r>
          <w:rPr>
            <w:color w:val="0000EE"/>
            <w:u w:val="single"/>
          </w:rPr>
          <w:t>26.32</w:t>
        </w:r>
      </w:hyperlink>
      <w:r>
        <w:t>). Luc précise également que Paul a été autorisé à poursuivre sa mission avec l'approbation totale des fonctionnaires romains au cœur même de la capitale impériale (</w:t>
      </w:r>
      <w:hyperlink r:id="rId146">
        <w:r>
          <w:rPr>
            <w:color w:val="0000EE"/>
            <w:u w:val="single"/>
          </w:rPr>
          <w:t>28.16–31</w:t>
        </w:r>
      </w:hyperlink>
      <w:r>
        <w:t>).</w:t>
      </w:r>
    </w:p>
    <w:p>
      <w:r/>
      <w:r>
        <w:t>Une date encore plus reculée, plus proche de l'emprisonnement de Paul à Rome (début des années 60), a été préconisée par un certain nombre de spécialistes. Deux raisons convaincantes sont données : (1) La fin abrupte du livre des Actes, décrivant Paul poursuivant un ministère à Rome avant le début de son procès, pourrait indiquer que Luc a écrit à ce moment-là. Il est possible, bien sûr, qu'il ait terminé son récit avec Paul prêchant l'Évangile à Rome parce que l'un de ses objectifs avait été atteint : à savoir, montrer comment l'Évangile s'était répandu de Jérusalem à Rome. Il semble cependant très improbable que Luc termine son histoire sans la défense de l'Évangile par Paul devant César lui-même si elle avait déjà eu lieu. (2) La période la plus probable pendant laquelle Luc aurait écrit le livre des Actes, avec sa défense du mouvement chrétien contre toutes sortes d'accusations de la part de Juifs et de Gentils, est la période où le christianisme était suspect mais pas encore proscrit, c'est-à-dire avant le début des persécutions sous Néron en 64 apr. J.-C. Cette date correspondrait à l'affirmation que Luc était avec Paul pendant son emprisonnement à Rome et qu'il a écrit son histoire de là en attendant le début du procès. Il est possible que le travail de Luc ait été partiellement destiné à influencer le verdict. Il présente une image du christianisme et de Paul dont il espérait qu'il permettrait à ce dernier de continuer son travail parmi les Gentils.</w:t>
      </w:r>
    </w:p>
    <w:p>
      <w:pPr>
        <w:pStyle w:val="Heading3"/>
      </w:pPr>
      <w:r>
        <w:t>Contexte et contenu</w:t>
      </w:r>
    </w:p>
    <w:p>
      <w:r/>
      <w:r>
        <w:t>Luc ancre son écrit documentaire sur l'expansion rapide du christianisme dans l'histoire de l'Empire romain et de la Palestine pendant les trois décennies de 30 à 60 apr. J.-C. Quelques brèves considérations historiques et géographiques aideront à mieux comprendre ce récit.</w:t>
      </w:r>
    </w:p>
    <w:p>
      <w:r/>
      <w:hyperlink r:id="rId147">
        <w:r>
          <w:rPr>
            <w:color w:val="0000EE"/>
            <w:u w:val="single"/>
          </w:rPr>
          <w:t>Actes 1–12</w:t>
        </w:r>
      </w:hyperlink>
      <w:r>
        <w:t xml:space="preserve"> rapporte les débuts du mouvement chrétien dans la province impériale de Syrie (comprenant la Judée et la Samarie). Au premier siècle apr. J.-C., ces régions étaient généralement gouvernées par des procurateurs romains ou des rois fantoches. À l'époque de la mort et de la résurrection de Jésus (env. 30 apr. J.-C.), Ponce Pilate était procurateur de Judée et de Samarie (26–36 apr. J.-C.). La Galilée était gouvernée par le roi Hérode Antipas (4 av. J.-C.–39 apr. J.-C.). Tibère était empereur de l'Empire romain (14–37 apr. J.-C.). Les événements rapportés dans </w:t>
      </w:r>
      <w:hyperlink r:id="rId147">
        <w:r>
          <w:rPr>
            <w:color w:val="0000EE"/>
            <w:u w:val="single"/>
          </w:rPr>
          <w:t>Actes 1–12</w:t>
        </w:r>
      </w:hyperlink>
      <w:r>
        <w:t xml:space="preserve"> prennent place pendant la période de 30 à 44 apr. J.-C.</w:t>
      </w:r>
    </w:p>
    <w:p>
      <w:r/>
      <w:r>
        <w:t>La conversion de Saul (</w:t>
      </w:r>
      <w:hyperlink r:id="rId148">
        <w:r>
          <w:rPr>
            <w:color w:val="0000EE"/>
            <w:u w:val="single"/>
          </w:rPr>
          <w:t>Ac 9</w:t>
        </w:r>
      </w:hyperlink>
      <w:r>
        <w:t>) est généralement datée à l'an 33 apr. J.-C. Après sa conversion et son départ pour sa ville natale de Tarse, l'Église connaît manifestement une période de tranquillité, consolidant ses acquis et croissant régulièrement (</w:t>
      </w:r>
      <w:hyperlink r:id="rId149">
        <w:r>
          <w:rPr>
            <w:color w:val="0000EE"/>
            <w:u w:val="single"/>
          </w:rPr>
          <w:t>9.31–11.26</w:t>
        </w:r>
      </w:hyperlink>
      <w:r>
        <w:t xml:space="preserve">). On peut supposer, d'après </w:t>
      </w:r>
      <w:hyperlink r:id="rId150">
        <w:r>
          <w:rPr>
            <w:color w:val="0000EE"/>
            <w:u w:val="single"/>
          </w:rPr>
          <w:t>Galates 1.18–21</w:t>
        </w:r>
      </w:hyperlink>
      <w:r>
        <w:t xml:space="preserve"> et l'existence de communautés chrétiennes auxquelles Paul et Silas ont rendu visite lors du deuxième voyage missionnaire (</w:t>
      </w:r>
      <w:hyperlink r:id="rId151">
        <w:r>
          <w:rPr>
            <w:color w:val="0000EE"/>
            <w:u w:val="single"/>
          </w:rPr>
          <w:t>Ac 15.40–41</w:t>
        </w:r>
      </w:hyperlink>
      <w:r>
        <w:t xml:space="preserve">), que Paul n'a pas été inactif pendant cette décennie, mais s'est intensément impliqué dans la mission auprès des Gentils. (Après </w:t>
      </w:r>
      <w:hyperlink r:id="rId152">
        <w:r>
          <w:rPr>
            <w:color w:val="0000EE"/>
            <w:u w:val="single"/>
          </w:rPr>
          <w:t>Ac 13.9</w:t>
        </w:r>
      </w:hyperlink>
      <w:r>
        <w:t>, le nom « Paul » est utilisé alors que « Saul », la version hébraïque de son nom, ne l'est plus du tout.)</w:t>
      </w:r>
    </w:p>
    <w:p>
      <w:r/>
      <w:r>
        <w:t xml:space="preserve">En 41 apr. J.-C., Claude devient empereur de Rome et établit Hérode Agrippa I comme roi des Juifs. (Le procurateur Ponce Pilate avait été démis de ses fonctions plusieurs années auparavant à cause de son ineptitude à administrer la région.) Agrippa Ier était le petit-fils d'Hérode le Grand et de sa princesse hasmonéenne Mariamne. En raison de ses racines juives par sa mère, il était plus populaire auprès de ses sujets que les anciens dirigeants ayant eux aussi répondu au nom d'Hérode. Son désir était sans aucun doute d'augmenter cette popularité et d'obtenir le soutien des autorités religieuses juives, ce qui a conduit à un nouveau débordement de violence contre l'Église de Jérusalem. </w:t>
      </w:r>
      <w:hyperlink r:id="rId153">
        <w:r>
          <w:rPr>
            <w:color w:val="0000EE"/>
            <w:u w:val="single"/>
          </w:rPr>
          <w:t>Actes 12</w:t>
        </w:r>
      </w:hyperlink>
      <w:r>
        <w:t xml:space="preserve"> raconte l'exécution de Jacques (le frère de l'apôtre Jean) et l'emprisonnement de Pierre. L'histoire de la mort d'Agrippa Ier (</w:t>
      </w:r>
      <w:hyperlink r:id="rId154">
        <w:r>
          <w:rPr>
            <w:color w:val="0000EE"/>
            <w:u w:val="single"/>
          </w:rPr>
          <w:t>12.20–23</w:t>
        </w:r>
      </w:hyperlink>
      <w:r>
        <w:t>) trouve un parallèle dans un récit de l'historien juif Josèphe, qui date l'événement à l'année 44 apr. J.-C.</w:t>
      </w:r>
    </w:p>
    <w:p>
      <w:r/>
      <w:r>
        <w:t>Un deuxième événement fournissant une référence temporelle permettant de situer le déroulement de l'histoire de l'Église primitive est la collecte de secours contre la famine à Antioche en faveur des chrétiens de Judée (</w:t>
      </w:r>
      <w:hyperlink r:id="rId155">
        <w:r>
          <w:rPr>
            <w:color w:val="0000EE"/>
            <w:u w:val="single"/>
          </w:rPr>
          <w:t>11.27–29</w:t>
        </w:r>
      </w:hyperlink>
      <w:r>
        <w:t xml:space="preserve">). Luc déclare qu'une grave famine a lieu (v. </w:t>
      </w:r>
      <w:hyperlink r:id="rId156">
        <w:r>
          <w:rPr>
            <w:color w:val="0000EE"/>
            <w:u w:val="single"/>
          </w:rPr>
          <w:t>28</w:t>
        </w:r>
      </w:hyperlink>
      <w:r>
        <w:t xml:space="preserve">) pendant le règne de l'empereur Claude (41–54 apr. J.-C.). Josèphe, écrivant ses </w:t>
      </w:r>
      <w:r>
        <w:rPr>
          <w:i/>
        </w:rPr>
        <w:t>Antiquités</w:t>
      </w:r>
      <w:r>
        <w:t xml:space="preserve"> à la fin du premier siècle, parle d'une grave famine en Palestine entre les années 44 et 48 apr. J.-C. Selon </w:t>
      </w:r>
      <w:hyperlink r:id="rId157">
        <w:r>
          <w:rPr>
            <w:color w:val="0000EE"/>
            <w:u w:val="single"/>
          </w:rPr>
          <w:t>Actes 12.25</w:t>
        </w:r>
      </w:hyperlink>
      <w:r>
        <w:t>, Barnabas et Paul terminent leur mission auprès des chrétiens de Judée frappés par la famine après la mort d'Agrippa I, ce qui permet de dater leur mission vers l'an 45 apr. J.-C.</w:t>
      </w:r>
    </w:p>
    <w:p>
      <w:r/>
      <w:r>
        <w:t>À ce stade du récit des Actes, Paul a officiellement commencé sa mission auprès des Gentils (</w:t>
      </w:r>
      <w:hyperlink r:id="rId158">
        <w:r>
          <w:rPr>
            <w:color w:val="0000EE"/>
            <w:u w:val="single"/>
          </w:rPr>
          <w:t>13.1–3</w:t>
        </w:r>
      </w:hyperlink>
      <w:r>
        <w:t>), de laquelle l'histoire et la géographie de l'Empire romain dans son ensemble forment le décor. La politique romaine officielle envers les diverses religions de l'Empire était la tolérance. C'est cette politique, l'utilisation de la langue grecque dans tout l'Empire, ainsi qu'un réseau phénoménal de routes et de voies maritimes, qui ont ouvert la voie au travail missionnaire de grande envergure que l'apôtre Paul a pu mener.</w:t>
      </w:r>
    </w:p>
    <w:p>
      <w:r/>
      <w:r>
        <w:t xml:space="preserve">Le premier voyage missionnaire (46–47 apr. J.-C.) a conduit Paul et Barnabas à travers la province insulaire de Chypre, à la pointe nord-est de la mer Méditerranée, et dans la province de la Galatie, où des Églises ont été établies dans plusieurs villes au sud de cette région (Antioche de Pisidie, Iconium, Lystre, Derbe). La Galatie était située en Asie Mineure, et était bordée par la mer Noire, la mer Égée et la mer Méditerranée sur ses côtes nord, ouest et sud. Ces villes, importants avant-postes coloniaux pour les Romains, avaient des populations mixtes et comprenaient de grandes communautés juives. C'est dans leurs synagogues que Paul débutait partout ses efforts missionnaires, rencontrant presque toujours une opposition considérable (ch. </w:t>
      </w:r>
      <w:hyperlink r:id="rId159">
        <w:r>
          <w:rPr>
            <w:color w:val="0000EE"/>
            <w:u w:val="single"/>
          </w:rPr>
          <w:t>13–14</w:t>
        </w:r>
      </w:hyperlink>
      <w:r>
        <w:t>).</w:t>
      </w:r>
    </w:p>
    <w:p>
      <w:r/>
      <w:r>
        <w:t>La délibération du Concile de Jérusalem sur les différences entre les chrétiens d'origine juive et les chrétiens d'origine non-juive (</w:t>
      </w:r>
      <w:hyperlink r:id="rId160">
        <w:r>
          <w:rPr>
            <w:color w:val="0000EE"/>
            <w:u w:val="single"/>
          </w:rPr>
          <w:t>ch. 15</w:t>
        </w:r>
      </w:hyperlink>
      <w:r>
        <w:t>) peut être datée à l'année 48 apr. J.-C. Elle a été suivie par le deuxième voyage missionnaire de Paul, qui l'a conduit à travers le territoire déjà évangélisé de sa Cilicie natale, de la Galatie, et à travers Troas sur la côte égéenne jusqu'en Macédoine et dans l'Achaïe, la péninsule grecque (</w:t>
      </w:r>
      <w:hyperlink r:id="rId161">
        <w:r>
          <w:rPr>
            <w:color w:val="0000EE"/>
            <w:u w:val="single"/>
          </w:rPr>
          <w:t>15.40–18.22</w:t>
        </w:r>
      </w:hyperlink>
      <w:r>
        <w:t>). Des Églises ont été établies dans les importantes villes macédoniennes de Philippes, Thessalonique et Bérée.</w:t>
      </w:r>
    </w:p>
    <w:p>
      <w:r/>
      <w:r>
        <w:t>L'année et demie que Paul a passée à Corinthe (</w:t>
      </w:r>
      <w:hyperlink r:id="rId162">
        <w:r>
          <w:rPr>
            <w:color w:val="0000EE"/>
            <w:u w:val="single"/>
          </w:rPr>
          <w:t>18.11</w:t>
        </w:r>
      </w:hyperlink>
      <w:r>
        <w:t xml:space="preserve">) peut être datée avec un degré relatif de certitude à 51–52 apr. J.-C. Une inscription ancienne parmi les ruines de Delphes, une ville du centre de la Grèce, indique que Gallion est devenu proconsul d'Achaïe en 51. </w:t>
      </w:r>
      <w:hyperlink r:id="rId163">
        <w:r>
          <w:rPr>
            <w:color w:val="0000EE"/>
            <w:u w:val="single"/>
          </w:rPr>
          <w:t>Actes 18.12–17</w:t>
        </w:r>
      </w:hyperlink>
      <w:r>
        <w:t xml:space="preserve"> raconte comment Paul a été accusé par des Juifs antagonistes devant lui. L'implication est que les adversaires de Paul à Corinthe pensaient qu'un nouveau proconsul pourrait être persuadé de se ranger de leur côté. Ainsi, le séjour de Paul à Corinthe peut être daté autour du début du proconsulat de Gallion.</w:t>
      </w:r>
    </w:p>
    <w:p>
      <w:r/>
      <w:r>
        <w:t>Le récit de Luc concernant le retour de Paul en Palestine et le début de son troisième voyage missionnaire soulève une question historique fascinante sur ce qui est arrivé aux disciples de Jean-Baptiste (</w:t>
      </w:r>
      <w:hyperlink r:id="rId164">
        <w:r>
          <w:rPr>
            <w:color w:val="0000EE"/>
            <w:u w:val="single"/>
          </w:rPr>
          <w:t>13.13–19.7</w:t>
        </w:r>
      </w:hyperlink>
      <w:r>
        <w:t xml:space="preserve">). </w:t>
      </w:r>
      <w:hyperlink r:id="rId165">
        <w:r>
          <w:rPr>
            <w:color w:val="0000EE"/>
            <w:u w:val="single"/>
          </w:rPr>
          <w:t>Actes 18.24–28</w:t>
        </w:r>
      </w:hyperlink>
      <w:r>
        <w:t xml:space="preserve"> fait référence à un Juif érudit nommé Apollos, qui enseignait activement à propos de Jésus à la synagogue d'Éphèse, mais qui n'était apparemment pas membre d'une communauté distinctement chrétienne et n'avait pas été baptisé au nom de Jésus. Il ne connaissait que le baptême de repentance pratiqué par Jean le Baptiste. Apollos s'est rendu à Corinthe pour servir la jeune congrégation que Paul avait fondée l'année précédente. Paul est ensuite allé à Éphèse. Là, il a rencontré plusieurs disciples de Jésus qui, comme Apollos, avaient vécu le baptême de repentance de Jean, mais n'avaient pas été baptisés en tant que chrétiens.</w:t>
      </w:r>
    </w:p>
    <w:p>
      <w:r/>
      <w:r>
        <w:t>La référence de Luc à Apollos et à ces disciples, ainsi que plusieurs passages dans les Évangiles, indiquent que le mouvement commencé par Jean-Baptiste ne s'est pas simplement terminé lorsque Jésus a commencé son ministère. Jean a bien entendu continué à baptiser jusqu'à sa mort (</w:t>
      </w:r>
      <w:hyperlink r:id="rId166">
        <w:r>
          <w:rPr>
            <w:color w:val="0000EE"/>
            <w:u w:val="single"/>
          </w:rPr>
          <w:t>Jn 3.22–24</w:t>
        </w:r>
      </w:hyperlink>
      <w:r>
        <w:t>), et beaucoup de ses disciples ont maintenu son œuvre après son martyre. Apollos et les disciples éphésiens étaient probablement le fruit du ministère continu des disciples de Jean. Ils ont finalement été instruits dans « la voie du Seigneur » (</w:t>
      </w:r>
      <w:hyperlink r:id="rId167">
        <w:r>
          <w:rPr>
            <w:color w:val="0000EE"/>
            <w:u w:val="single"/>
          </w:rPr>
          <w:t>18.25</w:t>
        </w:r>
      </w:hyperlink>
      <w:r>
        <w:t>). Leur manque de connaissance au sujet d'un baptême chrétien distinctif ou de la réalité du Saint-Esprit (</w:t>
      </w:r>
      <w:hyperlink r:id="rId168">
        <w:r>
          <w:rPr>
            <w:color w:val="0000EE"/>
            <w:u w:val="single"/>
          </w:rPr>
          <w:t>19.2–4</w:t>
        </w:r>
      </w:hyperlink>
      <w:r>
        <w:t>) indique une progression irrégulière dans l'instruction et les pratiques chrétiennes au tout début du mouvement.</w:t>
      </w:r>
    </w:p>
    <w:p>
      <w:r/>
      <w:r>
        <w:t>Le troisième voyage missionnaire de Paul commence par un ministère de trois ans à Éphèse (</w:t>
      </w:r>
      <w:hyperlink r:id="rId169">
        <w:r>
          <w:rPr>
            <w:color w:val="0000EE"/>
            <w:u w:val="single"/>
          </w:rPr>
          <w:t>19.1–20.1</w:t>
        </w:r>
      </w:hyperlink>
      <w:r>
        <w:t>), se poursuit par une visite aux Églises établies lors du voyage précédent (</w:t>
      </w:r>
      <w:hyperlink r:id="rId170">
        <w:r>
          <w:rPr>
            <w:color w:val="0000EE"/>
            <w:u w:val="single"/>
          </w:rPr>
          <w:t>20.2–12</w:t>
        </w:r>
      </w:hyperlink>
      <w:r>
        <w:t>), et culmine avec son arrestation à Jérusalem (</w:t>
      </w:r>
      <w:hyperlink r:id="rId171">
        <w:r>
          <w:rPr>
            <w:color w:val="0000EE"/>
            <w:u w:val="single"/>
          </w:rPr>
          <w:t>Ac 21</w:t>
        </w:r>
      </w:hyperlink>
      <w:r>
        <w:t>). Ces événements prennent place au milieu des années 50 (53–57 apr. J.-C.). L'arrestation de Paul à Jérusalem et sa comparution devant le gouverneur provincial, Félix, à Césarée (</w:t>
      </w:r>
      <w:hyperlink r:id="rId172">
        <w:r>
          <w:rPr>
            <w:color w:val="0000EE"/>
            <w:u w:val="single"/>
          </w:rPr>
          <w:t>23.23–24.23</w:t>
        </w:r>
      </w:hyperlink>
      <w:r>
        <w:t>), doivent être datées vers 57. Paul passe deux ans en résidence surveillée, sans doute prolongée par Félix pour gagner la faveur de ses sujets juifs. Celui-ci est ensuite remplacé par Porcius Festus (59–60 apr. J.-C.). Josèphe note que la raison du rappel de Félix est une explosion de conflits civils entre les habitants juifs et gentils de Césarée, qu'il gère de façon imprudente.</w:t>
      </w:r>
    </w:p>
    <w:p>
      <w:r/>
      <w:r>
        <w:t>Le nouveau procurateur, Festus, ne sait pas quoi faire de son prisonnier. Les dirigeants juifs cherchent à saisir cette opportunité, conscients du désir des nouveaux procurateurs de gagner en popularité auprès de leurs sujets (</w:t>
      </w:r>
      <w:hyperlink r:id="rId173">
        <w:r>
          <w:rPr>
            <w:color w:val="0000EE"/>
            <w:u w:val="single"/>
          </w:rPr>
          <w:t>25.1–9</w:t>
        </w:r>
      </w:hyperlink>
      <w:r>
        <w:t>). Réalisant la menace, Paul fait appel à la plus haute cour de l'Empire, présidée par César lui-même (</w:t>
      </w:r>
      <w:hyperlink r:id="rId174">
        <w:r>
          <w:rPr>
            <w:color w:val="0000EE"/>
            <w:u w:val="single"/>
          </w:rPr>
          <w:t>25.10–12</w:t>
        </w:r>
      </w:hyperlink>
      <w:r>
        <w:t>).</w:t>
      </w:r>
    </w:p>
    <w:p>
      <w:r/>
      <w:r>
        <w:t>Festus fait alors face à un problème. Il doit envoyer, avec son prisonnier, un rapport à l'empereur, décrivant clairement les accusations. Puisqu'il ne comprend pas vraiment l'affaire (</w:t>
      </w:r>
      <w:hyperlink r:id="rId175">
        <w:r>
          <w:rPr>
            <w:color w:val="0000EE"/>
            <w:u w:val="single"/>
          </w:rPr>
          <w:t>25.25–27</w:t>
        </w:r>
      </w:hyperlink>
      <w:r>
        <w:t>), il demande conseil à Hérode Agrippa II, qui avec sa sœur était venu à Césarée pour rendre hommage au nouveau gouverneur impérial de Palestine (</w:t>
      </w:r>
      <w:hyperlink r:id="rId176">
        <w:r>
          <w:rPr>
            <w:color w:val="0000EE"/>
            <w:u w:val="single"/>
          </w:rPr>
          <w:t>25.13</w:t>
        </w:r>
      </w:hyperlink>
      <w:r>
        <w:t>). Agrippa II était le fils d'Hérode Agrippa I et, au moins en théorie, était un Juif. Il a régné sur des parties de la Palestine de 50 à 100 apr. J.-C. et avait reçu le droit de nommer les grands prêtres (ou souverains sacrificateurs) juifs. Sa familiarité avec les traditions religieuses juives et la loi lui conférait une meilleure compréhension des accusations des dirigeants de Jérusalem contre Paul. Le résultat de la comparution de ce dernier devant Festus et Agrippa (</w:t>
      </w:r>
      <w:hyperlink r:id="rId177">
        <w:r>
          <w:rPr>
            <w:color w:val="0000EE"/>
            <w:u w:val="single"/>
          </w:rPr>
          <w:t>26.1–29</w:t>
        </w:r>
      </w:hyperlink>
      <w:r>
        <w:t>) est la reconnaissance de son innocence (</w:t>
      </w:r>
      <w:hyperlink r:id="rId178">
        <w:r>
          <w:rPr>
            <w:color w:val="0000EE"/>
            <w:u w:val="single"/>
          </w:rPr>
          <w:t>26.31</w:t>
        </w:r>
      </w:hyperlink>
      <w:r>
        <w:t>). Pourtant, cet appel à Rome devait être honoré ; la loi régissant de tels cas devait être suivie (</w:t>
      </w:r>
      <w:hyperlink r:id="rId145">
        <w:r>
          <w:rPr>
            <w:color w:val="0000EE"/>
            <w:u w:val="single"/>
          </w:rPr>
          <w:t>26.32</w:t>
        </w:r>
      </w:hyperlink>
      <w:r>
        <w:t>).</w:t>
      </w:r>
    </w:p>
    <w:p>
      <w:r/>
      <w:r>
        <w:t>La relative liberté de Paul pendant la période de deux ans qui suit (</w:t>
      </w:r>
      <w:hyperlink r:id="rId179">
        <w:r>
          <w:rPr>
            <w:color w:val="0000EE"/>
            <w:u w:val="single"/>
          </w:rPr>
          <w:t>28.30</w:t>
        </w:r>
      </w:hyperlink>
      <w:r>
        <w:t>) semble inhabituelle. C'était cependant une pratique assez courante dans les procédures judiciaires romaines, surtout pour les citoyens romains qui avaient fait appel à l'empereur. Il n'y a aucune bonne raison de croire que Paul ait été exécuté au moment où le récit de Luc se termine (env. 61–62 apr. J.-C.). Le grand incendie de Rome et la persécution des chrétiens par Néron qui a suivi n'auraient pas lieu avant encore quelques années (64 apr. J.-C.). Il est probable que l'affaire contre Paul ait été rejetée, surtout à la lumière du verdict favorable de Festus et du roi Agrippa. Il est également probable que Paul ait été exécuté lors de la persécution ultérieure plus générale des chrétiens. Une telle séquence correspondrait à la tradition citée par Eusèbe (historien de l'Église du IVe siècle), selon laquelle Paul a repris son ministère et a ensuite connu le martyre sous Néron.</w:t>
      </w:r>
    </w:p>
    <w:p>
      <w:pPr>
        <w:pStyle w:val="Heading3"/>
      </w:pPr>
      <w:r>
        <w:t>But</w:t>
      </w:r>
    </w:p>
    <w:p>
      <w:r/>
      <w:r>
        <w:t>Dans la préface de l'Évangile, destinée à couvrir également le deuxième volume, Luc dit à Théophile (et au public qu'il représente) qu'il a entrepris d'écrire un récit précis et ordonné sur les débuts du mouvement chrétien ayant résulté du ministère de Jésus de Nazareth (</w:t>
      </w:r>
      <w:hyperlink r:id="rId136">
        <w:r>
          <w:rPr>
            <w:color w:val="0000EE"/>
            <w:u w:val="single"/>
          </w:rPr>
          <w:t>Lc 1.1–4</w:t>
        </w:r>
      </w:hyperlink>
      <w:r>
        <w:t>). Les premières lignes des Actes indiquent que le récit commencé avec Jésus de Nazareth, soit le premier volume, se poursuit dans le deuxième volume de Luc, où il a l'intention de retracer l'histoire du mouvement de la Palestine à Rome (</w:t>
      </w:r>
      <w:hyperlink r:id="rId180">
        <w:r>
          <w:rPr>
            <w:color w:val="0000EE"/>
            <w:u w:val="single"/>
          </w:rPr>
          <w:t>Ac 1.1–8</w:t>
        </w:r>
      </w:hyperlink>
      <w:r>
        <w:t>).</w:t>
      </w:r>
    </w:p>
    <w:p>
      <w:r/>
      <w:r>
        <w:t>Par ce récit, Luc tente de défendre le mouvement chrétien face aux fausses accusations portées contre lui. Un certain nombre de fausses idées ont effectivement accompagné la naissance et la croissance du christianisme. L'une concernait la relation entre la nouvelle foi et le judaïsme. Beaucoup, tant au sein de l'Église que parmi les fonctionnaires romains, comprenaient la foi chrétienne comme une simple expression particulière du judaïsme, ou une secte en son sein. Contre cette notion restreinte, Luc-Actes affirme une portée universelle. L'Évangile proclame Jésus comme le Sauveur du monde (</w:t>
      </w:r>
      <w:hyperlink r:id="rId181">
        <w:r>
          <w:rPr>
            <w:color w:val="0000EE"/>
            <w:u w:val="single"/>
          </w:rPr>
          <w:t>Lc 2.29–32</w:t>
        </w:r>
      </w:hyperlink>
      <w:r>
        <w:t>). Dans les Actes, la défense d'Étienne devant le conseil des dirigeants juifs (</w:t>
      </w:r>
      <w:hyperlink r:id="rId182">
        <w:r>
          <w:rPr>
            <w:color w:val="0000EE"/>
            <w:u w:val="single"/>
          </w:rPr>
          <w:t>ch. 7</w:t>
        </w:r>
      </w:hyperlink>
      <w:r>
        <w:t>), l'expérience de Pierre à Joppa avec Corneille (</w:t>
      </w:r>
      <w:hyperlink r:id="rId183">
        <w:r>
          <w:rPr>
            <w:color w:val="0000EE"/>
            <w:u w:val="single"/>
          </w:rPr>
          <w:t>ch. 10</w:t>
        </w:r>
      </w:hyperlink>
      <w:r>
        <w:t>), et le discours de Paul à Athènes (</w:t>
      </w:r>
      <w:hyperlink r:id="rId184">
        <w:r>
          <w:rPr>
            <w:color w:val="0000EE"/>
            <w:u w:val="single"/>
          </w:rPr>
          <w:t>ch. 17</w:t>
        </w:r>
      </w:hyperlink>
      <w:r>
        <w:t>) démontrent tous que le christianisme n'est pas simplement une secte juive, un mouvement messianique limité, mais plutôt une foi universelle. Un autre problème était l'identification populaire de la nouvelle foi avec les divers cultes religieux et religions à mystères de l'Empire romain. Les récits du conflit de l'Église primitive avec Simon le magicien (</w:t>
      </w:r>
      <w:hyperlink r:id="rId185">
        <w:r>
          <w:rPr>
            <w:color w:val="0000EE"/>
            <w:u w:val="single"/>
          </w:rPr>
          <w:t>ch. 8</w:t>
        </w:r>
      </w:hyperlink>
      <w:r>
        <w:t>) et du rejet par Paul et Barnabas d'une tentative de les adorer à Lystre (</w:t>
      </w:r>
      <w:hyperlink r:id="rId186">
        <w:r>
          <w:rPr>
            <w:color w:val="0000EE"/>
            <w:u w:val="single"/>
          </w:rPr>
          <w:t>ch. 14</w:t>
        </w:r>
      </w:hyperlink>
      <w:r>
        <w:t xml:space="preserve">) renversent l'accusation populaire de superstition. De plus, le christianisme n'est pas un culte mystique dans lequel des rites ésotériques et secrets unissent l'adorateur au divin. Le Seigneur adoré par les chrétiens, dit Luc, appartient à l'histoire réelle ; il a vécu sa vie en Palestine dans un passé alors récent, ouvertement, pour que tous puissent l'observer (voir les discours de Pierre et Paul dans </w:t>
      </w:r>
      <w:hyperlink r:id="rId187">
        <w:r>
          <w:rPr>
            <w:color w:val="0000EE"/>
            <w:u w:val="single"/>
          </w:rPr>
          <w:t xml:space="preserve">Ac 2 </w:t>
        </w:r>
      </w:hyperlink>
      <w:r>
        <w:t xml:space="preserve">; </w:t>
      </w:r>
      <w:hyperlink r:id="rId183">
        <w:r>
          <w:rPr>
            <w:color w:val="0000EE"/>
            <w:u w:val="single"/>
          </w:rPr>
          <w:t xml:space="preserve">10 </w:t>
        </w:r>
      </w:hyperlink>
      <w:r>
        <w:t xml:space="preserve">; </w:t>
      </w:r>
      <w:hyperlink r:id="rId188">
        <w:r>
          <w:rPr>
            <w:color w:val="0000EE"/>
            <w:u w:val="single"/>
          </w:rPr>
          <w:t>13</w:t>
        </w:r>
      </w:hyperlink>
      <w:r>
        <w:t>).</w:t>
      </w:r>
    </w:p>
    <w:p>
      <w:r/>
      <w:r>
        <w:t>Le but principal de Luc, cependant, est de défendre le christianisme contre l'accusation qu'il représente une menace pour l'ordre et la stabilité de l'Empire romain. Il y avait, bien sûr, des raisons derrière de tels soupçons. Après tout, le fondateur du mouvement avait été crucifié pour sédition par un procurateur romain, et le mouvement qui portait son nom semblait provoquer tumultes, désordre et émeutes partout où il se répandait. Le récit de Luc traite ces problèmes de front. Dans l'Évangile, il présente le procès de Jésus comme une grave erreur judiciaire. Pilate avait bien livré Jésus à la crucifixion, mais après l'avoir trouvé non coupable. Hérode Antipas n'avait également trouvé aucun fond aux accusations portées contre Jésus (</w:t>
      </w:r>
      <w:hyperlink r:id="rId189">
        <w:r>
          <w:rPr>
            <w:color w:val="0000EE"/>
            <w:u w:val="single"/>
          </w:rPr>
          <w:t xml:space="preserve">Lc 23.13–16 </w:t>
        </w:r>
      </w:hyperlink>
      <w:r>
        <w:t xml:space="preserve">; </w:t>
      </w:r>
      <w:hyperlink r:id="rId190">
        <w:r>
          <w:rPr>
            <w:color w:val="0000EE"/>
            <w:u w:val="single"/>
          </w:rPr>
          <w:t>Ac 13.28</w:t>
        </w:r>
      </w:hyperlink>
      <w:r>
        <w:t>). Une attitude neutre ou même amicale des fonctionnaires romains envers les dirigeants chrétiens et le mouvement dans son ensemble est documentée tout au long des Actes. Le proconsul romain de Chypre, Sergius Paulus, accueille Paul et Barnabas avec joie et répond positivement à leur message (</w:t>
      </w:r>
      <w:hyperlink r:id="rId191">
        <w:r>
          <w:rPr>
            <w:color w:val="0000EE"/>
            <w:u w:val="single"/>
          </w:rPr>
          <w:t>Ac 13.7–12</w:t>
        </w:r>
      </w:hyperlink>
      <w:r>
        <w:t>). Le magistrat en chef de Philippes s'excuse auprès de Paul et de Silas lorsqu'ils se font battre et détenir de façon illégale (</w:t>
      </w:r>
      <w:hyperlink r:id="rId192">
        <w:r>
          <w:rPr>
            <w:color w:val="0000EE"/>
            <w:u w:val="single"/>
          </w:rPr>
          <w:t>16.37–39</w:t>
        </w:r>
      </w:hyperlink>
      <w:r>
        <w:t>). Le proconsul d'Achaïe, Gallion, trouve Paul innocent aux yeux de la loi romaine (</w:t>
      </w:r>
      <w:hyperlink r:id="rId193">
        <w:r>
          <w:rPr>
            <w:color w:val="0000EE"/>
            <w:u w:val="single"/>
          </w:rPr>
          <w:t>18.12–16</w:t>
        </w:r>
      </w:hyperlink>
      <w:r>
        <w:t>). À Éphèse, le magistrat intervient dans l'attaque d'une foule contre Paul et ses compagnons, rejetant les accusations portées contre eux (</w:t>
      </w:r>
      <w:hyperlink r:id="rId194">
        <w:r>
          <w:rPr>
            <w:color w:val="0000EE"/>
            <w:u w:val="single"/>
          </w:rPr>
          <w:t>19.35–39</w:t>
        </w:r>
      </w:hyperlink>
      <w:r>
        <w:t>). Un tribun du contingent militaire romain à Jérusalem arrête Paul, mais il s'avère avoir en fait sauvé l'apôtre de la colère de la foule ; dans sa lettre au procurateur Félix, le tribun reconnaît que Paul n'est pas coupable selon la loi romaine (</w:t>
      </w:r>
      <w:hyperlink r:id="rId195">
        <w:r>
          <w:rPr>
            <w:color w:val="0000EE"/>
            <w:u w:val="single"/>
          </w:rPr>
          <w:t>23.26–29</w:t>
        </w:r>
      </w:hyperlink>
      <w:r>
        <w:t>). Le même verdict est répété après l'inculpation de Paul devant Félix, son successeur Festus, et Hérode Agrippa II : « Cet homme n'a rien fait qui mérite la mort ou la prison » (</w:t>
      </w:r>
      <w:hyperlink r:id="rId178">
        <w:r>
          <w:rPr>
            <w:color w:val="0000EE"/>
            <w:u w:val="single"/>
          </w:rPr>
          <w:t>26.31</w:t>
        </w:r>
      </w:hyperlink>
      <w:r>
        <w:t>). L'histoire de Luc atteint son point culminant lorsqu'il raconte comment Paul poursuit son activité missionnaire à Rome, le cœur même de l'Empire, avec la permission des gardes impériaux (</w:t>
      </w:r>
      <w:hyperlink r:id="rId196">
        <w:r>
          <w:rPr>
            <w:color w:val="0000EE"/>
            <w:u w:val="single"/>
          </w:rPr>
          <w:t>28.30–31</w:t>
        </w:r>
      </w:hyperlink>
      <w:r>
        <w:t>). Il est clair tout au long de la défense de Luc que les conflits qui ont accompagné les débuts et le progrès du christianisme n'étaient pas principalement dus à une quelconque raison provenant du mouvement même, mais plutôt à l'opposition et à la tromperie juives.</w:t>
      </w:r>
    </w:p>
    <w:p>
      <w:r/>
      <w:r>
        <w:t xml:space="preserve">Dans sa longue apologie en défense de l'intégrité du christianisme, les perspectives théologiques spécifiques de Luc peuvent être clairement discernées. L'ouvrage en deux volumes présente un grand schéma de l'histoire de la rédemption, s'étendant du </w:t>
      </w:r>
      <w:r>
        <w:rPr>
          <w:i/>
        </w:rPr>
        <w:t>temps d'Israël</w:t>
      </w:r>
      <w:r>
        <w:t xml:space="preserve"> (</w:t>
      </w:r>
      <w:hyperlink r:id="rId197">
        <w:r>
          <w:rPr>
            <w:color w:val="0000EE"/>
            <w:u w:val="single"/>
          </w:rPr>
          <w:t>Lc 1–2</w:t>
        </w:r>
      </w:hyperlink>
      <w:r>
        <w:t xml:space="preserve">) au </w:t>
      </w:r>
      <w:r>
        <w:rPr>
          <w:i/>
        </w:rPr>
        <w:t>temps de Jésus,</w:t>
      </w:r>
      <w:r>
        <w:t xml:space="preserve"> et se poursuivant à travers le </w:t>
      </w:r>
      <w:r>
        <w:rPr>
          <w:i/>
        </w:rPr>
        <w:t>temps de l'Église,</w:t>
      </w:r>
      <w:r>
        <w:t xml:space="preserve"> lorsque la Bonne Nouvelle en faveur d'Israël est étendue à toutes les nations. Parallèlement à cette insistance, Luc affirme à travers tout son récit que Dieu est présent dans l'histoire du salut à travers le Saint-Esprit. Dans l'Évangile, Jésus est présenté comme l'Homme de l'Esprit ; la réalité de l'Esprit l'habilite en vue de son œuvre (</w:t>
      </w:r>
      <w:hyperlink r:id="rId198">
        <w:r>
          <w:rPr>
            <w:color w:val="0000EE"/>
            <w:u w:val="single"/>
          </w:rPr>
          <w:t xml:space="preserve">Lc 3.22 </w:t>
        </w:r>
      </w:hyperlink>
      <w:r>
        <w:t xml:space="preserve">; </w:t>
      </w:r>
      <w:hyperlink r:id="rId199">
        <w:r>
          <w:rPr>
            <w:color w:val="0000EE"/>
            <w:u w:val="single"/>
          </w:rPr>
          <w:t>4.1, 14, 18</w:t>
        </w:r>
      </w:hyperlink>
      <w:r>
        <w:t>). Dans les Actes, la communion des disciples de Jésus est présentée comme la communauté de l'Esprit (</w:t>
      </w:r>
      <w:hyperlink r:id="rId200">
        <w:r>
          <w:rPr>
            <w:color w:val="0000EE"/>
            <w:u w:val="single"/>
          </w:rPr>
          <w:t xml:space="preserve">1.8 </w:t>
        </w:r>
      </w:hyperlink>
      <w:r>
        <w:t xml:space="preserve">; </w:t>
      </w:r>
      <w:hyperlink r:id="rId201">
        <w:r>
          <w:rPr>
            <w:color w:val="0000EE"/>
            <w:u w:val="single"/>
          </w:rPr>
          <w:t>2.1–8</w:t>
        </w:r>
      </w:hyperlink>
      <w:r>
        <w:t>). Ce que Jésus, dans la puissance de l'Esprit, a commencé dans son propre ministère, l'Église, dans la puissance de l'Esprit, continue de le faire.</w:t>
      </w:r>
    </w:p>
    <w:p>
      <w:r/>
      <w:r>
        <w:t>Pour Luc, la présence vivifiante de l'Esprit de Dieu est une réalité qui donne à la nouvelle foi sa puissance, son intégrité et sa persévérance. Il permet un témoignage fidèle (</w:t>
      </w:r>
      <w:hyperlink r:id="rId200">
        <w:r>
          <w:rPr>
            <w:color w:val="0000EE"/>
            <w:u w:val="single"/>
          </w:rPr>
          <w:t>1.8</w:t>
        </w:r>
      </w:hyperlink>
      <w:r>
        <w:t>) et crée une véritable communauté (</w:t>
      </w:r>
      <w:hyperlink r:id="rId202">
        <w:r>
          <w:rPr>
            <w:color w:val="0000EE"/>
            <w:u w:val="single"/>
          </w:rPr>
          <w:t xml:space="preserve">2.44–47 </w:t>
        </w:r>
      </w:hyperlink>
      <w:r>
        <w:t xml:space="preserve">; </w:t>
      </w:r>
      <w:hyperlink r:id="rId203">
        <w:r>
          <w:rPr>
            <w:color w:val="0000EE"/>
            <w:u w:val="single"/>
          </w:rPr>
          <w:t>4.32–37</w:t>
        </w:r>
      </w:hyperlink>
      <w:r>
        <w:t xml:space="preserve">), ce que le monde antique désirait désespérément. L'Esprit dans la nouvelle communauté amène courage et audace (voir les défenses de Pierre dans les ch. </w:t>
      </w:r>
      <w:hyperlink r:id="rId204">
        <w:r>
          <w:rPr>
            <w:color w:val="0000EE"/>
            <w:u w:val="single"/>
          </w:rPr>
          <w:t>2–5</w:t>
        </w:r>
      </w:hyperlink>
      <w:r>
        <w:t>), donne la capacité de servir (</w:t>
      </w:r>
      <w:hyperlink r:id="rId205">
        <w:r>
          <w:rPr>
            <w:color w:val="0000EE"/>
            <w:u w:val="single"/>
          </w:rPr>
          <w:t>ch. 6</w:t>
        </w:r>
      </w:hyperlink>
      <w:r>
        <w:t>), surmonte les préjugés comme dans la mission en Samarie (</w:t>
      </w:r>
      <w:hyperlink r:id="rId185">
        <w:r>
          <w:rPr>
            <w:color w:val="0000EE"/>
            <w:u w:val="single"/>
          </w:rPr>
          <w:t>ch. 8</w:t>
        </w:r>
      </w:hyperlink>
      <w:r>
        <w:t xml:space="preserve">), brise les barrières comme dans l'épisode de Corneille (ch. </w:t>
      </w:r>
      <w:hyperlink r:id="rId206">
        <w:r>
          <w:rPr>
            <w:color w:val="0000EE"/>
            <w:u w:val="single"/>
          </w:rPr>
          <w:t>10–11</w:t>
        </w:r>
      </w:hyperlink>
      <w:r>
        <w:t>) et envoie des croyants en mission (</w:t>
      </w:r>
      <w:hyperlink r:id="rId188">
        <w:r>
          <w:rPr>
            <w:color w:val="0000EE"/>
            <w:u w:val="single"/>
          </w:rPr>
          <w:t>ch. 13</w:t>
        </w:r>
      </w:hyperlink>
      <w:r>
        <w:t>).</w:t>
      </w:r>
    </w:p>
    <w:p>
      <w:r/>
      <w:r>
        <w:t xml:space="preserve">L'histoire entière est également ponctuée par la centralité de la résurrection de Jésus. Luc, comme Paul (voir </w:t>
      </w:r>
      <w:hyperlink r:id="rId207">
        <w:r>
          <w:rPr>
            <w:color w:val="0000EE"/>
            <w:u w:val="single"/>
          </w:rPr>
          <w:t>1Co 15.12–21</w:t>
        </w:r>
      </w:hyperlink>
      <w:r>
        <w:t>), devait être convaincu que sans la résurrection de Jésus, il n'y aurait pas de foi chrétienne du tout. Plus que cela, la résurrection a mis le sceau d'approbation de Dieu sur la vie et le ministère de Jésus, authentifiant la vérité de ses déclarations. Luc annonce son intérêt pour ce thème dès le début : le critère ultime pour le choix d'un remplaçant apostolique pour Judas est qu'il devait avoir été, avec les autres disciples, témoin de la résurrection de Jésus. Tout au long des Actes, du sermon de Pierre à la Pentecôte et des défenses devant le sanhédrin jusqu'aux discours de Paul devant Félix et Agrippa, l'Église témoigne de la résurrection de Jésus comme d'un grand renversement exécuté par Dieu (</w:t>
      </w:r>
      <w:hyperlink r:id="rId208">
        <w:r>
          <w:rPr>
            <w:color w:val="0000EE"/>
            <w:u w:val="single"/>
          </w:rPr>
          <w:t xml:space="preserve">2.22–24, 36 </w:t>
        </w:r>
      </w:hyperlink>
      <w:r>
        <w:t xml:space="preserve">; </w:t>
      </w:r>
      <w:hyperlink r:id="rId209">
        <w:r>
          <w:rPr>
            <w:color w:val="0000EE"/>
            <w:u w:val="single"/>
          </w:rPr>
          <w:t xml:space="preserve">3.14–15 </w:t>
        </w:r>
      </w:hyperlink>
      <w:r>
        <w:t xml:space="preserve">; </w:t>
      </w:r>
      <w:hyperlink r:id="rId210">
        <w:r>
          <w:rPr>
            <w:color w:val="0000EE"/>
            <w:u w:val="single"/>
          </w:rPr>
          <w:t xml:space="preserve">5.30–31 </w:t>
        </w:r>
      </w:hyperlink>
      <w:r>
        <w:t xml:space="preserve">; </w:t>
      </w:r>
      <w:hyperlink r:id="rId211">
        <w:r>
          <w:rPr>
            <w:color w:val="0000EE"/>
            <w:u w:val="single"/>
          </w:rPr>
          <w:t>10.39–42</w:t>
        </w:r>
      </w:hyperlink>
      <w:r>
        <w:t>).</w:t>
      </w:r>
    </w:p>
    <w:p>
      <w:r/>
      <w:r>
        <w:t xml:space="preserve">Les Actes se divisent naturellement en deux parties, les chapitres </w:t>
      </w:r>
      <w:hyperlink r:id="rId147">
        <w:r>
          <w:rPr>
            <w:color w:val="0000EE"/>
            <w:u w:val="single"/>
          </w:rPr>
          <w:t>1–12</w:t>
        </w:r>
      </w:hyperlink>
      <w:r>
        <w:t xml:space="preserve"> d'une part, et </w:t>
      </w:r>
      <w:hyperlink r:id="rId212">
        <w:r>
          <w:rPr>
            <w:color w:val="0000EE"/>
            <w:u w:val="single"/>
          </w:rPr>
          <w:t>13–28</w:t>
        </w:r>
      </w:hyperlink>
      <w:r>
        <w:t xml:space="preserve"> d'autre part. La première partie, grosso-modo, contient les « actes de Pierre » tandis que la deuxième raconte principalement les « actes de Paul ». Dans les 12 premiers chapitres, Pierre est la figure centrale qui initie le choix d'un remplaçant pour Judas Iscariot (</w:t>
      </w:r>
      <w:hyperlink r:id="rId213">
        <w:r>
          <w:rPr>
            <w:color w:val="0000EE"/>
            <w:u w:val="single"/>
          </w:rPr>
          <w:t>ch. 1</w:t>
        </w:r>
      </w:hyperlink>
      <w:r>
        <w:t>) ; s'adresse aux foules à la Pentecôte (</w:t>
      </w:r>
      <w:hyperlink r:id="rId187">
        <w:r>
          <w:rPr>
            <w:color w:val="0000EE"/>
            <w:u w:val="single"/>
          </w:rPr>
          <w:t>ch. 2</w:t>
        </w:r>
      </w:hyperlink>
      <w:r>
        <w:t>) ; interprète la signification de la guérison d'un homme boiteux devant une foule au Temple (</w:t>
      </w:r>
      <w:hyperlink r:id="rId214">
        <w:r>
          <w:rPr>
            <w:color w:val="0000EE"/>
            <w:u w:val="single"/>
          </w:rPr>
          <w:t>ch. 3</w:t>
        </w:r>
      </w:hyperlink>
      <w:r>
        <w:t>) ; défend la proclamation chrétienne devant le conseil suprême juif (</w:t>
      </w:r>
      <w:hyperlink r:id="rId215">
        <w:r>
          <w:rPr>
            <w:color w:val="0000EE"/>
            <w:u w:val="single"/>
          </w:rPr>
          <w:t>ch. 4</w:t>
        </w:r>
      </w:hyperlink>
      <w:r>
        <w:t>) ; dirige les apôtres dans un ministère de guérison et parle en leur nom (</w:t>
      </w:r>
      <w:hyperlink r:id="rId216">
        <w:r>
          <w:rPr>
            <w:color w:val="0000EE"/>
            <w:u w:val="single"/>
          </w:rPr>
          <w:t>ch. 5</w:t>
        </w:r>
      </w:hyperlink>
      <w:r>
        <w:t>) ; se trouve au premier plan du conflit avec un magicien samaritain, Simon, de qui les gens disaient qu'il était la grande puissance de Dieu (</w:t>
      </w:r>
      <w:hyperlink r:id="rId185">
        <w:r>
          <w:rPr>
            <w:color w:val="0000EE"/>
            <w:u w:val="single"/>
          </w:rPr>
          <w:t>ch. 8</w:t>
        </w:r>
      </w:hyperlink>
      <w:r>
        <w:t xml:space="preserve">) ; propulse (bien que quelque peu à contrecœur) l'Évangile vers les Gentils à travers Corneille (ch. </w:t>
      </w:r>
      <w:hyperlink r:id="rId206">
        <w:r>
          <w:rPr>
            <w:color w:val="0000EE"/>
            <w:u w:val="single"/>
          </w:rPr>
          <w:t>10–11</w:t>
        </w:r>
      </w:hyperlink>
      <w:r>
        <w:t>) et attire l'attention de la campagne d'Hérode contre l'Église, mais est miraculeusement délivré de prison (</w:t>
      </w:r>
      <w:hyperlink r:id="rId153">
        <w:r>
          <w:rPr>
            <w:color w:val="0000EE"/>
            <w:u w:val="single"/>
          </w:rPr>
          <w:t>ch. 12</w:t>
        </w:r>
      </w:hyperlink>
      <w:r>
        <w:t>).</w:t>
      </w:r>
    </w:p>
    <w:p>
      <w:r/>
      <w:r>
        <w:t xml:space="preserve">La proclamation de l'Évangile aux Gentils par le ministère de Paul est le thème de la deuxième partie des Actes (ch. </w:t>
      </w:r>
      <w:hyperlink r:id="rId212">
        <w:r>
          <w:rPr>
            <w:color w:val="0000EE"/>
            <w:u w:val="single"/>
          </w:rPr>
          <w:t>13–28</w:t>
        </w:r>
      </w:hyperlink>
      <w:r>
        <w:t xml:space="preserve">). L'histoire concerne principalement trois grandes tournées missionnaires, chacune d'elles apportant l'Évangile au sein de territoires dans lesquels il ne s'était pas encore répandu et étendant davantage encore les efforts missionnaires précédents. Le récit de la vie et de l'œuvre de Paul culmine avec son arrestation à Jérusalem (ch. </w:t>
      </w:r>
      <w:hyperlink r:id="rId217">
        <w:r>
          <w:rPr>
            <w:color w:val="0000EE"/>
            <w:u w:val="single"/>
          </w:rPr>
          <w:t>21–22</w:t>
        </w:r>
      </w:hyperlink>
      <w:r>
        <w:t xml:space="preserve">), un long emprisonnement à Césarée (ch. </w:t>
      </w:r>
      <w:hyperlink r:id="rId218">
        <w:r>
          <w:rPr>
            <w:color w:val="0000EE"/>
            <w:u w:val="single"/>
          </w:rPr>
          <w:t>23–26</w:t>
        </w:r>
      </w:hyperlink>
      <w:r>
        <w:t xml:space="preserve">) et un voyage à Rome (ch. </w:t>
      </w:r>
      <w:hyperlink r:id="rId219">
        <w:r>
          <w:rPr>
            <w:color w:val="0000EE"/>
            <w:u w:val="single"/>
          </w:rPr>
          <w:t>27–28</w:t>
        </w:r>
      </w:hyperlink>
      <w:r>
        <w:t>).</w:t>
      </w:r>
    </w:p>
    <w:p>
      <w:r/>
      <w:r>
        <w:t>Une autre manière d'aborder la structure et le contenu des Actes est celle des thèmes. Ceux-ci commencent par la déclaration de Jésus : « Vous recevrez une puissance, le Saint-Esprit survenant sur vous, et vous serez mes témoins à Jérusalem, dans toute la Judée, dans la Samarie, et jusqu'aux extrémités de la terre » (</w:t>
      </w:r>
      <w:hyperlink r:id="rId200">
        <w:r>
          <w:rPr>
            <w:color w:val="0000EE"/>
            <w:u w:val="single"/>
          </w:rPr>
          <w:t>1.8</w:t>
        </w:r>
      </w:hyperlink>
      <w:r>
        <w:t xml:space="preserve">). Les Actes peuvent être vus comme l'histoire de l'accomplissement de ce « Mandat Missionnaire », se déroulant essentiellement en trois étapes : (1) témoignage au judaïsme, focalisé sur Jérusalem mais s'étendant également dans la Judée environnante et au nord en Galilée (ch. </w:t>
      </w:r>
      <w:hyperlink r:id="rId220">
        <w:r>
          <w:rPr>
            <w:color w:val="0000EE"/>
            <w:u w:val="single"/>
          </w:rPr>
          <w:t>1–7</w:t>
        </w:r>
      </w:hyperlink>
      <w:r>
        <w:t>) ; (2) témoignage en Samarie par Philippe, Pierre et Jean (</w:t>
      </w:r>
      <w:hyperlink r:id="rId221">
        <w:r>
          <w:rPr>
            <w:color w:val="0000EE"/>
            <w:u w:val="single"/>
          </w:rPr>
          <w:t>8.1–9.31</w:t>
        </w:r>
      </w:hyperlink>
      <w:r>
        <w:t>) ; (3) témoignage au monde païen, d'abord timidement à travers Pierre (</w:t>
      </w:r>
      <w:hyperlink r:id="rId222">
        <w:r>
          <w:rPr>
            <w:color w:val="0000EE"/>
            <w:u w:val="single"/>
          </w:rPr>
          <w:t>9.32–12.25</w:t>
        </w:r>
      </w:hyperlink>
      <w:r>
        <w:t xml:space="preserve">), puis de manière décisive à travers Paul (ch. </w:t>
      </w:r>
      <w:hyperlink r:id="rId212">
        <w:r>
          <w:rPr>
            <w:color w:val="0000EE"/>
            <w:u w:val="single"/>
          </w:rPr>
          <w:t>13–28</w:t>
        </w:r>
      </w:hyperlink>
      <w:r>
        <w:t>).</w:t>
      </w:r>
    </w:p>
    <w:p>
      <w:r/>
      <w:r>
        <w:rPr>
          <w:i/>
        </w:rPr>
        <w:t>Voir aussi</w:t>
      </w:r>
      <w:r>
        <w:t xml:space="preserve"> </w:t>
      </w:r>
      <w:r>
        <w:t>Luc (personne)</w:t>
      </w:r>
      <w:r>
        <w:t xml:space="preserve"> ; </w:t>
      </w:r>
      <w:r>
        <w:t>Paul, l'apôtre</w:t>
      </w:r>
      <w:r>
        <w:t xml:space="preserve"> ; </w:t>
      </w:r>
      <w:r>
        <w:t>Simon Pierre</w:t>
      </w:r>
      <w:r>
        <w:t xml:space="preserve"> ; </w:t>
      </w:r>
      <w:r>
        <w:t>Théophile #1</w:t>
      </w:r>
      <w:r>
        <w:t xml:space="preserve"> ; </w:t>
      </w:r>
      <w:r>
        <w:t>Chronologie de la Bible (Nouveau Testament)</w:t>
      </w:r>
      <w:r>
        <w:t>.</w:t>
      </w:r>
      <w:r/>
      <w:r/>
    </w:p>
    <w:p>
      <w:r/>
    </w:p>
    <w:p>
      <w:pPr>
        <w:pStyle w:val="Heading2"/>
      </w:pPr>
      <w:r>
        <w:t>Aczib</w:t>
      </w:r>
      <w:r/>
    </w:p>
    <w:p>
      <w:pPr>
        <w:pStyle w:val="ListNumber"/>
        <w:spacing w:line="240" w:lineRule="auto"/>
        <w:ind w:left="720"/>
      </w:pPr>
      <w:r/>
      <w:r>
        <w:t>Ville en Juda (</w:t>
      </w:r>
      <w:hyperlink r:id="rId223">
        <w:r>
          <w:rPr>
            <w:color w:val="0000EE"/>
            <w:u w:val="single"/>
          </w:rPr>
          <w:t>Jos 15.44</w:t>
        </w:r>
      </w:hyperlink>
      <w:r>
        <w:t>). Le prophète Michée la mentionnera avec d'autres villes qui seraient détruites avec Samarie (</w:t>
      </w:r>
      <w:hyperlink r:id="rId224">
        <w:r>
          <w:rPr>
            <w:color w:val="0000EE"/>
            <w:u w:val="single"/>
          </w:rPr>
          <w:t>Mi 1.14</w:t>
        </w:r>
      </w:hyperlink>
      <w:r>
        <w:t>). Il s'agit probablement de la même ville que Czib (</w:t>
      </w:r>
      <w:hyperlink r:id="rId225">
        <w:r>
          <w:rPr>
            <w:color w:val="0000EE"/>
            <w:u w:val="single"/>
          </w:rPr>
          <w:t>Gn 38.5</w:t>
        </w:r>
      </w:hyperlink>
      <w:r>
        <w:t>) et Cozéba (</w:t>
      </w:r>
      <w:hyperlink r:id="rId226">
        <w:r>
          <w:rPr>
            <w:color w:val="0000EE"/>
            <w:u w:val="single"/>
          </w:rPr>
          <w:t>1Ch 4.22</w:t>
        </w:r>
      </w:hyperlink>
      <w:r>
        <w:t>).</w:t>
      </w:r>
    </w:p>
    <w:p>
      <w:pPr>
        <w:pStyle w:val="ListNumber"/>
        <w:spacing w:line="240" w:lineRule="auto"/>
        <w:ind w:left="720"/>
      </w:pPr>
      <w:r/>
      <w:r>
        <w:t>Ville en Aser (</w:t>
      </w:r>
      <w:hyperlink r:id="rId227">
        <w:r>
          <w:rPr>
            <w:color w:val="0000EE"/>
            <w:u w:val="single"/>
          </w:rPr>
          <w:t>Jos 19.29</w:t>
        </w:r>
      </w:hyperlink>
      <w:r>
        <w:t>), l'une des sept villes d'où Aser n'a pas réussi à expulser les habitants cananéens (</w:t>
      </w:r>
      <w:hyperlink r:id="rId117">
        <w:r>
          <w:rPr>
            <w:color w:val="0000EE"/>
            <w:u w:val="single"/>
          </w:rPr>
          <w:t>Jg 1.31</w:t>
        </w:r>
      </w:hyperlink>
      <w:r>
        <w:t>). Des fouilles archéologiques récentes à Aczib (actuel ez-Zib) montrent que des gens ont vécu dans la ville du 9e au 3e siècle av. J.‑C.</w:t>
      </w:r>
      <w:r/>
      <w:r/>
    </w:p>
    <w:p>
      <w:r/>
    </w:p>
    <w:p>
      <w:pPr>
        <w:pStyle w:val="Heading2"/>
      </w:pPr>
      <w:r>
        <w:t>Ada</w:t>
      </w:r>
      <w:r/>
    </w:p>
    <w:p>
      <w:pPr>
        <w:pStyle w:val="ListNumber"/>
        <w:spacing w:line="240" w:lineRule="auto"/>
        <w:ind w:left="720"/>
      </w:pPr>
      <w:r/>
      <w:r>
        <w:t>Une des deux épouses de Lémec et la mère de ses deux fils, Jabal et Jubal (</w:t>
      </w:r>
      <w:hyperlink r:id="rId228">
        <w:r>
          <w:rPr>
            <w:color w:val="0000EE"/>
            <w:u w:val="single"/>
          </w:rPr>
          <w:t>Gn 4.19</w:t>
        </w:r>
      </w:hyperlink>
      <w:r>
        <w:t>–</w:t>
      </w:r>
      <w:hyperlink r:id="rId228">
        <w:r>
          <w:rPr>
            <w:color w:val="0000EE"/>
            <w:u w:val="single"/>
          </w:rPr>
          <w:t>21, 23</w:t>
        </w:r>
      </w:hyperlink>
      <w:r>
        <w:t>).</w:t>
      </w:r>
    </w:p>
    <w:p>
      <w:pPr>
        <w:pStyle w:val="ListNumber"/>
        <w:spacing w:line="240" w:lineRule="auto"/>
        <w:ind w:left="720"/>
      </w:pPr>
      <w:r/>
      <w:r>
        <w:t>Première épouse d'Ésaü, la fille d'Élon le Héthien et mère d'Éliphaz (</w:t>
      </w:r>
      <w:hyperlink r:id="rId229">
        <w:r>
          <w:rPr>
            <w:color w:val="0000EE"/>
            <w:u w:val="single"/>
          </w:rPr>
          <w:t>Gn 36.2</w:t>
        </w:r>
      </w:hyperlink>
      <w:r>
        <w:t>–</w:t>
      </w:r>
      <w:hyperlink r:id="rId229">
        <w:r>
          <w:rPr>
            <w:color w:val="0000EE"/>
            <w:u w:val="single"/>
          </w:rPr>
          <w:t>16</w:t>
        </w:r>
      </w:hyperlink>
      <w:r>
        <w:t>).</w:t>
      </w:r>
      <w:r/>
      <w:r/>
    </w:p>
    <w:p>
      <w:r/>
    </w:p>
    <w:p>
      <w:pPr>
        <w:pStyle w:val="Heading2"/>
      </w:pPr>
      <w:r>
        <w:t>Adalia</w:t>
      </w:r>
      <w:r/>
    </w:p>
    <w:p>
      <w:r/>
      <w:r>
        <w:t>Le cinquième des dix fils d'Haman. Tous ses fils ont été tués avec leur père lorsque le complot d'Haman pour détruire les Juifs a été arrêté (</w:t>
      </w:r>
      <w:hyperlink r:id="rId230">
        <w:r>
          <w:rPr>
            <w:color w:val="0000EE"/>
            <w:u w:val="single"/>
          </w:rPr>
          <w:t>Est 9.8</w:t>
        </w:r>
      </w:hyperlink>
      <w:r>
        <w:t>).</w:t>
      </w:r>
      <w:r/>
      <w:r/>
    </w:p>
    <w:p>
      <w:r/>
    </w:p>
    <w:p>
      <w:pPr>
        <w:pStyle w:val="Heading2"/>
      </w:pPr>
      <w:r>
        <w:t>Adam (Personne)</w:t>
      </w:r>
      <w:r/>
    </w:p>
    <w:p>
      <w:r/>
      <w:r>
        <w:t>Premier homme et père de la race humaine. Le rôle d'Adam dans l'histoire biblique est important, non seulement dans en ce qui concerne l'Ancien Testament, mais également pour comprendre la portée du salut ainsi que l'identité et les actions de Jésus-Christ.</w:t>
      </w:r>
    </w:p>
    <w:p>
      <w:r/>
      <w:r>
        <w:t>La création d'Adam et de la première femme, Ève, est décrite dans deux récits du livre de la Genèse. L'objectif du premier récit (</w:t>
      </w:r>
      <w:hyperlink r:id="rId231">
        <w:r>
          <w:rPr>
            <w:color w:val="0000EE"/>
            <w:u w:val="single"/>
          </w:rPr>
          <w:t>1.26–31</w:t>
        </w:r>
      </w:hyperlink>
      <w:r>
        <w:t>) est de présenter le premier couple dans leur relation à Dieu et avec le reste de l'univers créé. Ce texte enseigne qu'en ce qui concerne le Seigneur, les premiers humains ont été créés homme et femme à l'image de Dieu. Ils reçoivent un mandat spécifique de sa part : peupler et régner sur la terre. En ce qui concerne le reste de la création, les premiers humains étaient, d'une part, une partie de celle-ci, étant créés le même jour que les autres animaux terrestres ; d'autre part, ils étaient distinctement au-dessus d'eux, étant le point culminant du processus de création et les seuls porteurs de l'image de Dieu.</w:t>
      </w:r>
    </w:p>
    <w:p>
      <w:r/>
      <w:r>
        <w:t>L'intention du deuxième récit est beaucoup plus précis (</w:t>
      </w:r>
      <w:hyperlink r:id="rId232">
        <w:r>
          <w:rPr>
            <w:color w:val="0000EE"/>
            <w:u w:val="single"/>
          </w:rPr>
          <w:t>2.4–3.24</w:t>
        </w:r>
      </w:hyperlink>
      <w:r>
        <w:t>) ; il cherche à expliquer l'origine de la condition humaine actuelle, marquée par le péché et la mort. Il sert également à planter le décor pour le grand récit de la rédemption. Le texte traite en détail des aspects de la création d'Adam omis dans le premier récit. Par exemple, il raconte la formation d'Adam à partir de la poussière du sol et sa réception du souffle de vie de Dieu (</w:t>
      </w:r>
      <w:hyperlink r:id="rId233">
        <w:r>
          <w:rPr>
            <w:color w:val="0000EE"/>
            <w:u w:val="single"/>
          </w:rPr>
          <w:t>2.7</w:t>
        </w:r>
      </w:hyperlink>
      <w:r>
        <w:t>). Il relate le façonnage du Jardin et la responsabilité donnée à Adam de le cultiver (</w:t>
      </w:r>
      <w:hyperlink r:id="rId234">
        <w:r>
          <w:rPr>
            <w:color w:val="0000EE"/>
            <w:u w:val="single"/>
          </w:rPr>
          <w:t>2.8–15</w:t>
        </w:r>
      </w:hyperlink>
      <w:r>
        <w:t>). L'instruction de Dieu à Adam, selon laquelle le fruit de chaque arbre du Jardin (sauf un) était à sa disposition pour se nourrir, est soigneusement consignée, ainsi que l'avertissement solennel que le fruit de « l'arbre de la connaissance du bien et du mal » ne devait jamais être mangé, sous peine de mort (</w:t>
      </w:r>
      <w:hyperlink r:id="rId235">
        <w:r>
          <w:rPr>
            <w:color w:val="0000EE"/>
            <w:u w:val="single"/>
          </w:rPr>
          <w:t>2.16–17</w:t>
        </w:r>
      </w:hyperlink>
      <w:r>
        <w:t>). La solitude d'Adam après avoir nommé les animaux et ne pas avoir trouvé de compagnon qui lui convienne est également décrite, introduisant ainsi la création de la première femme (</w:t>
      </w:r>
      <w:hyperlink r:id="rId236">
        <w:r>
          <w:rPr>
            <w:color w:val="0000EE"/>
            <w:u w:val="single"/>
          </w:rPr>
          <w:t>2.18–22</w:t>
        </w:r>
      </w:hyperlink>
      <w:r>
        <w:t>). La création d'Ève à partir de la côte d'Adam illustre de manière poignante l'unité essentielle d'esprit et de but des sexes voulue par Dieu.</w:t>
      </w:r>
    </w:p>
    <w:p>
      <w:r/>
      <w:r>
        <w:t xml:space="preserve">L'histoire ne se termine pas sur une note aussi positive, cependant. Elle relate la grande tromperie que Satan a infligée à Ève à travers le serpent. Par des insinuations habiles et une distorsion du commandement original de Dieu (cf. </w:t>
      </w:r>
      <w:hyperlink r:id="rId237">
        <w:r>
          <w:rPr>
            <w:color w:val="0000EE"/>
            <w:u w:val="single"/>
          </w:rPr>
          <w:t>3.1</w:t>
        </w:r>
      </w:hyperlink>
      <w:r>
        <w:t xml:space="preserve"> avec </w:t>
      </w:r>
      <w:hyperlink r:id="rId235">
        <w:r>
          <w:rPr>
            <w:color w:val="0000EE"/>
            <w:u w:val="single"/>
          </w:rPr>
          <w:t>2.16–17</w:t>
        </w:r>
      </w:hyperlink>
      <w:r>
        <w:t>), le serpent a trompé Ève pour qu'elle mange le fruit interdit et le partage avec Adam. Ève semble avoir mangé parce qu'elle a été trompée (</w:t>
      </w:r>
      <w:hyperlink r:id="rId238">
        <w:r>
          <w:rPr>
            <w:color w:val="0000EE"/>
            <w:u w:val="single"/>
          </w:rPr>
          <w:t>1Tm 2.14</w:t>
        </w:r>
      </w:hyperlink>
      <w:r>
        <w:t>), Adam l'ayant fait par une rébellion volontaire et consciente. Ironiquement, les deux êtres initialement créés à l'image et à la ressemblance de Dieu ont cru qu'ils pouvaient devenir « comme » Dieu en lui désobéissant (</w:t>
      </w:r>
      <w:hyperlink r:id="rId239">
        <w:r>
          <w:rPr>
            <w:color w:val="0000EE"/>
            <w:u w:val="single"/>
          </w:rPr>
          <w:t>Gn 3.5</w:t>
        </w:r>
      </w:hyperlink>
      <w:r>
        <w:t>).</w:t>
      </w:r>
    </w:p>
    <w:p>
      <w:r/>
      <w:r>
        <w:t>Les conséquences de leur désobéissance furent immédiates, bien que n'étant pas ce qu'Adam avait anticipé. Pour la première fois, une barrière de honte perturbait l'unité de l'homme et de la femme (</w:t>
      </w:r>
      <w:hyperlink r:id="rId240">
        <w:r>
          <w:rPr>
            <w:color w:val="0000EE"/>
            <w:u w:val="single"/>
          </w:rPr>
          <w:t>3.7</w:t>
        </w:r>
      </w:hyperlink>
      <w:r>
        <w:t>). Plus important encore, une barrière de véritable culpabilité morale fut érigée entre le premier couple et Dieu. L'histoire explique que lorsque Dieu est venu chercher Adam après sa rébellion, il se cachait parmi les arbres, déjà conscient de sa séparation d'avec Dieu (</w:t>
      </w:r>
      <w:hyperlink r:id="rId241">
        <w:r>
          <w:rPr>
            <w:color w:val="0000EE"/>
            <w:u w:val="single"/>
          </w:rPr>
          <w:t>3.8</w:t>
        </w:r>
      </w:hyperlink>
      <w:r>
        <w:t>). Lorsque Dieu l'interroge, Adam rejète la faute sur Ève et, par implication, sur Dieu : « La femme que tu as mise auprès de moi m'a donné de l'arbre» (</w:t>
      </w:r>
      <w:hyperlink r:id="rId242">
        <w:r>
          <w:rPr>
            <w:color w:val="0000EE"/>
            <w:u w:val="single"/>
          </w:rPr>
          <w:t>3.12</w:t>
        </w:r>
      </w:hyperlink>
      <w:r>
        <w:t>). Ève, à son tour, accuse le serpent (</w:t>
      </w:r>
      <w:hyperlink r:id="rId243">
        <w:r>
          <w:rPr>
            <w:color w:val="0000EE"/>
            <w:u w:val="single"/>
          </w:rPr>
          <w:t>3.13</w:t>
        </w:r>
      </w:hyperlink>
      <w:r>
        <w:t>).</w:t>
      </w:r>
    </w:p>
    <w:p>
      <w:r/>
      <w:r>
        <w:t>Selon l'histoire dans la Genèse, Dieu a tenu les trois responsables et a informé chacun des conséquences tragiques de leur rébellion (</w:t>
      </w:r>
      <w:hyperlink r:id="rId244">
        <w:r>
          <w:rPr>
            <w:color w:val="0000EE"/>
            <w:u w:val="single"/>
          </w:rPr>
          <w:t>3.14–19</w:t>
        </w:r>
      </w:hyperlink>
      <w:r>
        <w:t>). Les deux grands mandats, qui étaient à l'origine des signes de pure bénédiction, sont devenus mêlés de malédiction et de douleur : la terre ne pouvait désormais être peuplée qu'à travers les douleurs de l'enfantement de la femme et ne pouvait être soumise que par le travail et la sueur de l'homme (</w:t>
      </w:r>
      <w:hyperlink r:id="rId245">
        <w:r>
          <w:rPr>
            <w:color w:val="0000EE"/>
            <w:u w:val="single"/>
          </w:rPr>
          <w:t>3.16–18</w:t>
        </w:r>
      </w:hyperlink>
      <w:r>
        <w:t>). De plus, l'unité de l'homme et de la femme serait placée sous tension, par la subjugation de cette dernière par l'homme, ou possiblement par le début d'une lutte pour la domination entre eux (</w:t>
      </w:r>
      <w:hyperlink r:id="rId246">
        <w:r>
          <w:rPr>
            <w:color w:val="0000EE"/>
            <w:u w:val="single"/>
          </w:rPr>
          <w:t>3.16b</w:t>
        </w:r>
      </w:hyperlink>
      <w:r>
        <w:t xml:space="preserve"> peut être interprété des deux manières). Enfin, Dieu a prononcé la sentence ultime : comme il l'avait initialement averti, Adam et Ève devaient mourir. Un jour, le souffle de vie leur serait retiré, et leurs corps retourneraient à la poussière dont ils avaient été faits (</w:t>
      </w:r>
      <w:hyperlink r:id="rId247">
        <w:r>
          <w:rPr>
            <w:color w:val="0000EE"/>
            <w:u w:val="single"/>
          </w:rPr>
          <w:t>3.19</w:t>
        </w:r>
      </w:hyperlink>
      <w:r>
        <w:t xml:space="preserve">). Ce même jour, ils ont également connu une mort « spirituelle » : ils ont été séparés de Dieu (la source de la vie) et de l'arbre de vie (symbole la vie éternelle, </w:t>
      </w:r>
      <w:hyperlink r:id="rId248">
        <w:r>
          <w:rPr>
            <w:color w:val="0000EE"/>
            <w:u w:val="single"/>
          </w:rPr>
          <w:t>3.22</w:t>
        </w:r>
      </w:hyperlink>
      <w:r>
        <w:t>). Dieu les a envoyés hors d'Éden, et il n'y avait aucun moyen d'y revenir. L'entrée du paradis s'est trouvée bloquée par les chérubins et l'épée flamboyante (</w:t>
      </w:r>
      <w:hyperlink r:id="rId249">
        <w:r>
          <w:rPr>
            <w:color w:val="0000EE"/>
            <w:u w:val="single"/>
          </w:rPr>
          <w:t>3.23–24</w:t>
        </w:r>
      </w:hyperlink>
      <w:r>
        <w:t>). Seul Dieu pouvait restaurer ce qu'ils avaient perdu.</w:t>
      </w:r>
    </w:p>
    <w:p>
      <w:r/>
      <w:r>
        <w:t>L'histoire ne se conclut pas sur une note de désespoir. Dieu reste miséricordieux, même là. Il leur fera des vêtements de peau pour couvrir leurs corps et promet qu'un jour le pouvoir de Satan qui se cachait derrière le serpent serait vaincu par la « postérité » de la femme (</w:t>
      </w:r>
      <w:hyperlink r:id="rId250">
        <w:r>
          <w:rPr>
            <w:color w:val="0000EE"/>
            <w:u w:val="single"/>
          </w:rPr>
          <w:t>Gn 3.15</w:t>
        </w:r>
      </w:hyperlink>
      <w:r>
        <w:t xml:space="preserve"> ; cf. </w:t>
      </w:r>
      <w:hyperlink r:id="rId251">
        <w:r>
          <w:rPr>
            <w:color w:val="0000EE"/>
            <w:u w:val="single"/>
          </w:rPr>
          <w:t>Rm 16.20</w:t>
        </w:r>
      </w:hyperlink>
      <w:r>
        <w:t>). De nombreux experts considèrent cette promesse comme la première référence à la rédemption dans la Bible.</w:t>
      </w:r>
    </w:p>
    <w:p>
      <w:pPr>
        <w:pStyle w:val="Heading3"/>
      </w:pPr>
      <w:r>
        <w:t>Importance d'Adam</w:t>
      </w:r>
    </w:p>
    <w:p>
      <w:r/>
      <w:r>
        <w:t>L'importance d'Adam repose sur plusieurs présupposés, le premier étant qu'il était un individu historique. Ce présupposé a été tenu par de nombreux auteurs de l'Ancien Testament (</w:t>
      </w:r>
      <w:hyperlink r:id="rId252">
        <w:r>
          <w:rPr>
            <w:color w:val="0000EE"/>
            <w:u w:val="single"/>
          </w:rPr>
          <w:t>Gn 4.25</w:t>
        </w:r>
      </w:hyperlink>
      <w:r>
        <w:t xml:space="preserve">; </w:t>
      </w:r>
      <w:hyperlink r:id="rId253">
        <w:r>
          <w:rPr>
            <w:color w:val="0000EE"/>
            <w:u w:val="single"/>
          </w:rPr>
          <w:t>5.1–5</w:t>
        </w:r>
      </w:hyperlink>
      <w:r>
        <w:t xml:space="preserve">; </w:t>
      </w:r>
      <w:hyperlink r:id="rId254">
        <w:r>
          <w:rPr>
            <w:color w:val="0000EE"/>
            <w:u w:val="single"/>
          </w:rPr>
          <w:t>1Ch 1.1</w:t>
        </w:r>
      </w:hyperlink>
      <w:r>
        <w:t xml:space="preserve">; </w:t>
      </w:r>
      <w:hyperlink r:id="rId255">
        <w:r>
          <w:rPr>
            <w:color w:val="0000EE"/>
            <w:u w:val="single"/>
          </w:rPr>
          <w:t>Os 6.7</w:t>
        </w:r>
      </w:hyperlink>
      <w:r>
        <w:t>). Les auteurs du Nouveau Testament étaient du même avis (</w:t>
      </w:r>
      <w:hyperlink r:id="rId256">
        <w:r>
          <w:rPr>
            <w:color w:val="0000EE"/>
            <w:u w:val="single"/>
          </w:rPr>
          <w:t>Lc 3.38</w:t>
        </w:r>
      </w:hyperlink>
      <w:r>
        <w:t xml:space="preserve">; </w:t>
      </w:r>
      <w:hyperlink r:id="rId257">
        <w:r>
          <w:rPr>
            <w:color w:val="0000EE"/>
            <w:u w:val="single"/>
          </w:rPr>
          <w:t>Rm 5.14</w:t>
        </w:r>
      </w:hyperlink>
      <w:r>
        <w:t xml:space="preserve">; </w:t>
      </w:r>
      <w:hyperlink r:id="rId258">
        <w:r>
          <w:rPr>
            <w:color w:val="0000EE"/>
            <w:u w:val="single"/>
          </w:rPr>
          <w:t>1Co 15.22, 45</w:t>
        </w:r>
      </w:hyperlink>
      <w:r>
        <w:t xml:space="preserve">; </w:t>
      </w:r>
      <w:hyperlink r:id="rId259">
        <w:r>
          <w:rPr>
            <w:color w:val="0000EE"/>
            <w:u w:val="single"/>
          </w:rPr>
          <w:t>1Tm 2.13–14</w:t>
        </w:r>
      </w:hyperlink>
      <w:r>
        <w:t xml:space="preserve">; </w:t>
      </w:r>
      <w:hyperlink r:id="rId260">
        <w:r>
          <w:rPr>
            <w:color w:val="0000EE"/>
            <w:u w:val="single"/>
          </w:rPr>
          <w:t>Jude 1.14</w:t>
        </w:r>
      </w:hyperlink>
      <w:r>
        <w:t xml:space="preserve">). Tout aussi essentielle à l'importance d'Adam est un deuxième présupposé : le fait qu'il était plus qu'un individu. Pour commencer, le mot hébreu « Adam » n'est pas simplement un nom propre. Même dans le récit de la Genèse, il n'est pas utilisé comme un nom avant </w:t>
      </w:r>
      <w:hyperlink r:id="rId252">
        <w:r>
          <w:rPr>
            <w:color w:val="0000EE"/>
            <w:u w:val="single"/>
          </w:rPr>
          <w:t>Genèse 4.25</w:t>
        </w:r>
      </w:hyperlink>
      <w:r>
        <w:t>. Ce mot est l'un parmi plusieurs termes hébreux signifiant « homme ». Il est également le terme générique pour « race humaine ». Dans la grande majorité des cas, il se réfère soit à un individu masculin (</w:t>
      </w:r>
      <w:hyperlink r:id="rId261">
        <w:r>
          <w:rPr>
            <w:color w:val="0000EE"/>
            <w:u w:val="single"/>
          </w:rPr>
          <w:t>Lv 1.2</w:t>
        </w:r>
      </w:hyperlink>
      <w:r>
        <w:t xml:space="preserve">; </w:t>
      </w:r>
      <w:hyperlink r:id="rId262">
        <w:r>
          <w:rPr>
            <w:color w:val="0000EE"/>
            <w:u w:val="single"/>
          </w:rPr>
          <w:t>Jos 14.15</w:t>
        </w:r>
      </w:hyperlink>
      <w:r>
        <w:t xml:space="preserve">; </w:t>
      </w:r>
      <w:hyperlink r:id="rId263">
        <w:r>
          <w:rPr>
            <w:color w:val="0000EE"/>
            <w:u w:val="single"/>
          </w:rPr>
          <w:t>Né 9.29</w:t>
        </w:r>
      </w:hyperlink>
      <w:r>
        <w:t xml:space="preserve">; </w:t>
      </w:r>
      <w:hyperlink r:id="rId264">
        <w:r>
          <w:rPr>
            <w:color w:val="0000EE"/>
            <w:u w:val="single"/>
          </w:rPr>
          <w:t>Es 56.2</w:t>
        </w:r>
      </w:hyperlink>
      <w:r>
        <w:t>) soit à l'humanité en général (</w:t>
      </w:r>
      <w:hyperlink r:id="rId265">
        <w:r>
          <w:rPr>
            <w:color w:val="0000EE"/>
            <w:u w:val="single"/>
          </w:rPr>
          <w:t>Ex 4.11</w:t>
        </w:r>
      </w:hyperlink>
      <w:r>
        <w:t xml:space="preserve">; </w:t>
      </w:r>
      <w:hyperlink r:id="rId266">
        <w:r>
          <w:rPr>
            <w:color w:val="0000EE"/>
            <w:u w:val="single"/>
          </w:rPr>
          <w:t>Nb 12.3</w:t>
        </w:r>
      </w:hyperlink>
      <w:r>
        <w:t xml:space="preserve">; </w:t>
      </w:r>
      <w:hyperlink r:id="rId267">
        <w:r>
          <w:rPr>
            <w:color w:val="0000EE"/>
            <w:u w:val="single"/>
          </w:rPr>
          <w:t>16.29</w:t>
        </w:r>
      </w:hyperlink>
      <w:r>
        <w:t xml:space="preserve">; </w:t>
      </w:r>
      <w:hyperlink r:id="rId268">
        <w:r>
          <w:rPr>
            <w:color w:val="0000EE"/>
            <w:u w:val="single"/>
          </w:rPr>
          <w:t>Dt 4.28</w:t>
        </w:r>
      </w:hyperlink>
      <w:r>
        <w:t xml:space="preserve">; </w:t>
      </w:r>
      <w:hyperlink r:id="rId269">
        <w:r>
          <w:rPr>
            <w:color w:val="0000EE"/>
            <w:u w:val="single"/>
          </w:rPr>
          <w:t>1R 4.31</w:t>
        </w:r>
      </w:hyperlink>
      <w:r>
        <w:t xml:space="preserve">; </w:t>
      </w:r>
      <w:hyperlink r:id="rId270">
        <w:r>
          <w:rPr>
            <w:color w:val="0000EE"/>
            <w:u w:val="single"/>
          </w:rPr>
          <w:t>Jb 7.20</w:t>
        </w:r>
      </w:hyperlink>
      <w:r>
        <w:t xml:space="preserve">; </w:t>
      </w:r>
      <w:hyperlink r:id="rId271">
        <w:r>
          <w:rPr>
            <w:color w:val="0000EE"/>
            <w:u w:val="single"/>
          </w:rPr>
          <w:t>14.1</w:t>
        </w:r>
      </w:hyperlink>
      <w:r>
        <w:t>). Le sens générique et collectif du mot « Adam » se cache également derrière l'expression « enfants (ou fils) des hommes » (</w:t>
      </w:r>
      <w:hyperlink r:id="rId272">
        <w:r>
          <w:rPr>
            <w:color w:val="0000EE"/>
            <w:u w:val="single"/>
          </w:rPr>
          <w:t>2S 7.14</w:t>
        </w:r>
      </w:hyperlink>
      <w:r>
        <w:t xml:space="preserve">; </w:t>
      </w:r>
      <w:hyperlink r:id="rId273">
        <w:r>
          <w:rPr>
            <w:color w:val="0000EE"/>
            <w:u w:val="single"/>
          </w:rPr>
          <w:t>Ps 11.4</w:t>
        </w:r>
      </w:hyperlink>
      <w:r>
        <w:t xml:space="preserve">; </w:t>
      </w:r>
      <w:hyperlink r:id="rId274">
        <w:r>
          <w:rPr>
            <w:color w:val="0000EE"/>
            <w:u w:val="single"/>
          </w:rPr>
          <w:t>12.1</w:t>
        </w:r>
      </w:hyperlink>
      <w:r>
        <w:t xml:space="preserve">; </w:t>
      </w:r>
      <w:hyperlink r:id="rId275">
        <w:r>
          <w:rPr>
            <w:color w:val="0000EE"/>
            <w:u w:val="single"/>
          </w:rPr>
          <w:t>14.2</w:t>
        </w:r>
      </w:hyperlink>
      <w:r>
        <w:t xml:space="preserve">; </w:t>
      </w:r>
      <w:hyperlink r:id="rId276">
        <w:r>
          <w:rPr>
            <w:color w:val="0000EE"/>
            <w:u w:val="single"/>
          </w:rPr>
          <w:t>53.2</w:t>
        </w:r>
      </w:hyperlink>
      <w:r>
        <w:t xml:space="preserve">; </w:t>
      </w:r>
      <w:hyperlink r:id="rId277">
        <w:r>
          <w:rPr>
            <w:color w:val="0000EE"/>
            <w:u w:val="single"/>
          </w:rPr>
          <w:t>90.3</w:t>
        </w:r>
      </w:hyperlink>
      <w:r>
        <w:t xml:space="preserve">; </w:t>
      </w:r>
      <w:hyperlink r:id="rId278">
        <w:r>
          <w:rPr>
            <w:color w:val="0000EE"/>
            <w:u w:val="single"/>
          </w:rPr>
          <w:t>Ec 1.13</w:t>
        </w:r>
      </w:hyperlink>
      <w:r>
        <w:t xml:space="preserve">; </w:t>
      </w:r>
      <w:hyperlink r:id="rId279">
        <w:r>
          <w:rPr>
            <w:color w:val="0000EE"/>
            <w:u w:val="single"/>
          </w:rPr>
          <w:t>2.3</w:t>
        </w:r>
      </w:hyperlink>
      <w:r>
        <w:t xml:space="preserve">). Cette expression, littéralement « fils d'Adam », signifie simplement « hommes » ou « êtres humains », et lorsqu'elle est utilisée, c'est l'ensemble de la race humaine qui est visée. En effet, la connotation du mot </w:t>
      </w:r>
      <w:r>
        <w:rPr>
          <w:i/>
        </w:rPr>
        <w:t>Adam</w:t>
      </w:r>
      <w:r>
        <w:t xml:space="preserve"> dans le sens de l'universalité de l'humanité indique une préoccupation dans l'Ancien Testament qui se porte bien au-delà des espoirs nationalistes d'Israël et de son Dieu. Plutôt celui-ci concerne tous les peuples de la terre et le Seigneur de toutes les nations (</w:t>
      </w:r>
      <w:hyperlink r:id="rId280">
        <w:r>
          <w:rPr>
            <w:color w:val="0000EE"/>
            <w:u w:val="single"/>
          </w:rPr>
          <w:t>Gn 9.5–7</w:t>
        </w:r>
      </w:hyperlink>
      <w:r>
        <w:t xml:space="preserve">; </w:t>
      </w:r>
      <w:hyperlink r:id="rId281">
        <w:r>
          <w:rPr>
            <w:color w:val="0000EE"/>
            <w:u w:val="single"/>
          </w:rPr>
          <w:t>Dt 5.24</w:t>
        </w:r>
      </w:hyperlink>
      <w:r>
        <w:t xml:space="preserve">; </w:t>
      </w:r>
      <w:hyperlink r:id="rId282">
        <w:r>
          <w:rPr>
            <w:color w:val="0000EE"/>
            <w:u w:val="single"/>
          </w:rPr>
          <w:t>8.3</w:t>
        </w:r>
      </w:hyperlink>
      <w:r>
        <w:t xml:space="preserve">; </w:t>
      </w:r>
      <w:hyperlink r:id="rId283">
        <w:r>
          <w:rPr>
            <w:color w:val="0000EE"/>
            <w:u w:val="single"/>
          </w:rPr>
          <w:t>1R 8.38–39</w:t>
        </w:r>
      </w:hyperlink>
      <w:r>
        <w:t xml:space="preserve">; </w:t>
      </w:r>
      <w:hyperlink r:id="rId284">
        <w:r>
          <w:rPr>
            <w:color w:val="0000EE"/>
            <w:u w:val="single"/>
          </w:rPr>
          <w:t>Ps 8.4</w:t>
        </w:r>
      </w:hyperlink>
      <w:r>
        <w:t xml:space="preserve">; </w:t>
      </w:r>
      <w:hyperlink r:id="rId285">
        <w:r>
          <w:rPr>
            <w:color w:val="0000EE"/>
            <w:u w:val="single"/>
          </w:rPr>
          <w:t>89.48</w:t>
        </w:r>
      </w:hyperlink>
      <w:r>
        <w:t xml:space="preserve">; </w:t>
      </w:r>
      <w:hyperlink r:id="rId286">
        <w:r>
          <w:rPr>
            <w:color w:val="0000EE"/>
            <w:u w:val="single"/>
          </w:rPr>
          <w:t>107.8–31</w:t>
        </w:r>
      </w:hyperlink>
      <w:r>
        <w:t xml:space="preserve">; </w:t>
      </w:r>
      <w:hyperlink r:id="rId287">
        <w:r>
          <w:rPr>
            <w:color w:val="0000EE"/>
            <w:u w:val="single"/>
          </w:rPr>
          <w:t>Pr 12.14</w:t>
        </w:r>
      </w:hyperlink>
      <w:r>
        <w:t xml:space="preserve">; </w:t>
      </w:r>
      <w:hyperlink r:id="rId288">
        <w:r>
          <w:rPr>
            <w:color w:val="0000EE"/>
            <w:u w:val="single"/>
          </w:rPr>
          <w:t>Mi 6.8</w:t>
        </w:r>
      </w:hyperlink>
      <w:r>
        <w:t>).</w:t>
      </w:r>
    </w:p>
    <w:p>
      <w:r/>
      <w:r>
        <w:t>Ce n'est donc pas un hasard si le premier homme a été nommé « Adam » ou « Homme ». Le nom suggère que parler d'Adam revient d'une certaine manière à évoquer l'ensemble de la race humaine. Une telle utilisation peut être mieux comprise à travers le concept ancien d'identité et de représentativité collectives, familier aux Hébreux et à d'autres peuples du Proche-Orient. La pensée moderne met l'accent sur l'individu ; l'existence du groupe social et de toutes les relations sociales est vue comme secondaire et il découle de l'existence et du désir de l'individu. La compréhension hébraïque était assez différente. Bien que l'identité distincte de l'individu soit reconnue (</w:t>
      </w:r>
      <w:hyperlink r:id="rId289">
        <w:r>
          <w:rPr>
            <w:color w:val="0000EE"/>
            <w:u w:val="single"/>
          </w:rPr>
          <w:t>Jr 31.29–30</w:t>
        </w:r>
      </w:hyperlink>
      <w:r>
        <w:t xml:space="preserve"> ; </w:t>
      </w:r>
      <w:hyperlink r:id="rId290">
        <w:r>
          <w:rPr>
            <w:color w:val="0000EE"/>
            <w:u w:val="single"/>
          </w:rPr>
          <w:t>Ez 18.4</w:t>
        </w:r>
      </w:hyperlink>
      <w:r>
        <w:t>), il y avait une forte tendance à voir le groupe social (famille, tribu, nation) comme un organisme unique avec une identité collective propre. De même, le représentant du groupe était vu comme l'incarnation ou la personnification de l'identité collective du groupe. Au sein du représentant résidaient les qualités et caractéristiques essentielles du groupe social de telle manière que les actions et décisions du représentant engageaient l'ensemble du groupe. Si le groupe était une famille, le père était généralement considéré comme le représentant collectif. Pour le meilleur ou pour le pire, sa famille, et parfois ses descendants, récoltaient les conséquences de ses actes (</w:t>
      </w:r>
      <w:hyperlink r:id="rId291">
        <w:r>
          <w:rPr>
            <w:color w:val="0000EE"/>
            <w:u w:val="single"/>
          </w:rPr>
          <w:t>Gn 17.1–8</w:t>
        </w:r>
      </w:hyperlink>
      <w:r>
        <w:t xml:space="preserve"> ; cf. </w:t>
      </w:r>
      <w:hyperlink r:id="rId292">
        <w:r>
          <w:rPr>
            <w:color w:val="0000EE"/>
            <w:u w:val="single"/>
          </w:rPr>
          <w:t>Gn 20.1–9, 18</w:t>
        </w:r>
      </w:hyperlink>
      <w:r>
        <w:t xml:space="preserve"> ; </w:t>
      </w:r>
      <w:hyperlink r:id="rId293">
        <w:r>
          <w:rPr>
            <w:color w:val="0000EE"/>
            <w:u w:val="single"/>
          </w:rPr>
          <w:t>Ex 20.5–6</w:t>
        </w:r>
      </w:hyperlink>
      <w:r>
        <w:t xml:space="preserve"> ; </w:t>
      </w:r>
      <w:hyperlink r:id="rId294">
        <w:r>
          <w:rPr>
            <w:color w:val="0000EE"/>
            <w:u w:val="single"/>
          </w:rPr>
          <w:t>Jos 7.24–25</w:t>
        </w:r>
      </w:hyperlink>
      <w:r>
        <w:t xml:space="preserve"> ; </w:t>
      </w:r>
      <w:hyperlink r:id="rId295">
        <w:r>
          <w:rPr>
            <w:color w:val="0000EE"/>
            <w:u w:val="single"/>
          </w:rPr>
          <w:t>Rm 11.28</w:t>
        </w:r>
      </w:hyperlink>
      <w:r>
        <w:t xml:space="preserve"> ; </w:t>
      </w:r>
      <w:hyperlink r:id="rId296">
        <w:r>
          <w:rPr>
            <w:color w:val="0000EE"/>
            <w:u w:val="single"/>
          </w:rPr>
          <w:t>Hé 7.1–10</w:t>
        </w:r>
      </w:hyperlink>
      <w:r>
        <w:t>).</w:t>
      </w:r>
    </w:p>
    <w:p>
      <w:r/>
      <w:r>
        <w:t>En tant qu'homme originel et père de l'humanité, à l'image duquel toutes les générations suivantes seraient nées (</w:t>
      </w:r>
      <w:hyperlink r:id="rId297">
        <w:r>
          <w:rPr>
            <w:color w:val="0000EE"/>
            <w:u w:val="single"/>
          </w:rPr>
          <w:t>Gn 5.3</w:t>
        </w:r>
      </w:hyperlink>
      <w:r>
        <w:t xml:space="preserve">), Adam était le représentant collectif de l'humanité. Les récits de la création eux-mêmes donnent l'impression que les mandats de </w:t>
      </w:r>
      <w:hyperlink r:id="rId298">
        <w:r>
          <w:rPr>
            <w:color w:val="0000EE"/>
            <w:u w:val="single"/>
          </w:rPr>
          <w:t>Genèse 1.26–30</w:t>
        </w:r>
      </w:hyperlink>
      <w:r>
        <w:t xml:space="preserve"> (cf. </w:t>
      </w:r>
      <w:hyperlink r:id="rId299">
        <w:r>
          <w:rPr>
            <w:color w:val="0000EE"/>
            <w:u w:val="single"/>
          </w:rPr>
          <w:t>Gn 9.1, 7</w:t>
        </w:r>
      </w:hyperlink>
      <w:r>
        <w:t xml:space="preserve">; </w:t>
      </w:r>
      <w:hyperlink r:id="rId300">
        <w:r>
          <w:rPr>
            <w:color w:val="0000EE"/>
            <w:u w:val="single"/>
          </w:rPr>
          <w:t>Ps 8.5–7</w:t>
        </w:r>
      </w:hyperlink>
      <w:r>
        <w:t xml:space="preserve">; </w:t>
      </w:r>
      <w:hyperlink r:id="rId301">
        <w:r>
          <w:rPr>
            <w:color w:val="0000EE"/>
            <w:u w:val="single"/>
          </w:rPr>
          <w:t>104.14</w:t>
        </w:r>
      </w:hyperlink>
      <w:r>
        <w:t xml:space="preserve">) ainsi que les malédictions de </w:t>
      </w:r>
      <w:hyperlink r:id="rId302">
        <w:r>
          <w:rPr>
            <w:color w:val="0000EE"/>
            <w:u w:val="single"/>
          </w:rPr>
          <w:t>Genèse 3.16–19</w:t>
        </w:r>
      </w:hyperlink>
      <w:r>
        <w:t xml:space="preserve"> (cf. </w:t>
      </w:r>
      <w:hyperlink r:id="rId277">
        <w:r>
          <w:rPr>
            <w:color w:val="0000EE"/>
            <w:u w:val="single"/>
          </w:rPr>
          <w:t>Ps 90.3</w:t>
        </w:r>
      </w:hyperlink>
      <w:r>
        <w:t xml:space="preserve">; </w:t>
      </w:r>
      <w:hyperlink r:id="rId303">
        <w:r>
          <w:rPr>
            <w:color w:val="0000EE"/>
            <w:u w:val="single"/>
          </w:rPr>
          <w:t>Eccl 12.7</w:t>
        </w:r>
      </w:hyperlink>
      <w:r>
        <w:t xml:space="preserve">; </w:t>
      </w:r>
      <w:hyperlink r:id="rId304">
        <w:r>
          <w:rPr>
            <w:color w:val="0000EE"/>
            <w:u w:val="single"/>
          </w:rPr>
          <w:t>Es 13.8</w:t>
        </w:r>
      </w:hyperlink>
      <w:r>
        <w:t xml:space="preserve">; </w:t>
      </w:r>
      <w:hyperlink r:id="rId305">
        <w:r>
          <w:rPr>
            <w:color w:val="0000EE"/>
            <w:u w:val="single"/>
          </w:rPr>
          <w:t>21.3</w:t>
        </w:r>
      </w:hyperlink>
      <w:r>
        <w:t>) étaient destinés non seulement à Adam (et Ève) mais, à travers lui, à la race humaine tout entière.</w:t>
      </w:r>
    </w:p>
    <w:p>
      <w:r/>
      <w:r>
        <w:t xml:space="preserve">Dans </w:t>
      </w:r>
      <w:hyperlink r:id="rId306">
        <w:r>
          <w:rPr>
            <w:color w:val="0000EE"/>
            <w:u w:val="single"/>
          </w:rPr>
          <w:t>Romains 5.12–21</w:t>
        </w:r>
      </w:hyperlink>
      <w:r>
        <w:t xml:space="preserve">, l'apôtre Paul oppose la mort et la condamnation apportées à l'humanité par la désobéissance d'Adam à la vie et la justification données à l'humanité par l'obéissance du Christ. Plus explicitement, dans </w:t>
      </w:r>
      <w:hyperlink r:id="rId307">
        <w:r>
          <w:rPr>
            <w:color w:val="0000EE"/>
            <w:u w:val="single"/>
          </w:rPr>
          <w:t>1 Corinthiens 15.45–50</w:t>
        </w:r>
      </w:hyperlink>
      <w:r>
        <w:t>, Paul désigne le Christ comme le « dernier Adam », le « second homme » et l'« homme du ciel » (ou « céleste »), en contraste avec le « premier homme, Adam » et l'« homme, tiré de la terre, [...] terrestre ».</w:t>
      </w:r>
    </w:p>
    <w:p>
      <w:r/>
      <w:r>
        <w:t>Pour Paul, l'humanité est divisée en deux groupes représentés par Adam et Jésus-Christ. Ceux qui demeurent « incorporés » en Adam appartiennent à l'humanité « ancienne », portant l'image de l'« homme terrestre » et participant à son péché et à son aliénation de Dieu et de la Création (</w:t>
      </w:r>
      <w:hyperlink r:id="rId308">
        <w:r>
          <w:rPr>
            <w:color w:val="0000EE"/>
            <w:u w:val="single"/>
          </w:rPr>
          <w:t>Rm 5.12–19</w:t>
        </w:r>
      </w:hyperlink>
      <w:r>
        <w:t xml:space="preserve"> ; </w:t>
      </w:r>
      <w:hyperlink r:id="rId309">
        <w:r>
          <w:rPr>
            <w:color w:val="0000EE"/>
            <w:u w:val="single"/>
          </w:rPr>
          <w:t>8.20–22</w:t>
        </w:r>
      </w:hyperlink>
      <w:r>
        <w:t>). Mais ceux qui sont incorporés dans le Christ par la foi deviennent le « corps » du Christ (</w:t>
      </w:r>
      <w:hyperlink r:id="rId310">
        <w:r>
          <w:rPr>
            <w:color w:val="0000EE"/>
            <w:u w:val="single"/>
          </w:rPr>
          <w:t>Rm 12.4–5</w:t>
        </w:r>
      </w:hyperlink>
      <w:r>
        <w:t xml:space="preserve"> ; </w:t>
      </w:r>
      <w:hyperlink r:id="rId311">
        <w:r>
          <w:rPr>
            <w:color w:val="0000EE"/>
            <w:u w:val="single"/>
          </w:rPr>
          <w:t>1Co 12.12–13, 27</w:t>
        </w:r>
      </w:hyperlink>
      <w:r>
        <w:t xml:space="preserve"> ; </w:t>
      </w:r>
      <w:hyperlink r:id="rId312">
        <w:r>
          <w:rPr>
            <w:color w:val="0000EE"/>
            <w:u w:val="single"/>
          </w:rPr>
          <w:t>Ep 1.22–23</w:t>
        </w:r>
      </w:hyperlink>
      <w:r>
        <w:t xml:space="preserve"> ; </w:t>
      </w:r>
      <w:hyperlink r:id="rId313">
        <w:r>
          <w:rPr>
            <w:color w:val="0000EE"/>
            <w:u w:val="single"/>
          </w:rPr>
          <w:t>Col 1.18</w:t>
        </w:r>
      </w:hyperlink>
      <w:r>
        <w:t>) ; ils sont recréés à l'image du Christ (</w:t>
      </w:r>
      <w:hyperlink r:id="rId314">
        <w:r>
          <w:rPr>
            <w:color w:val="0000EE"/>
            <w:u w:val="single"/>
          </w:rPr>
          <w:t>Rm 8.29</w:t>
        </w:r>
      </w:hyperlink>
      <w:r>
        <w:t xml:space="preserve"> ; </w:t>
      </w:r>
      <w:hyperlink r:id="rId315">
        <w:r>
          <w:rPr>
            <w:color w:val="0000EE"/>
            <w:u w:val="single"/>
          </w:rPr>
          <w:t>1Co 15.49</w:t>
        </w:r>
      </w:hyperlink>
      <w:r>
        <w:t xml:space="preserve"> ; </w:t>
      </w:r>
      <w:hyperlink r:id="rId316">
        <w:r>
          <w:rPr>
            <w:color w:val="0000EE"/>
            <w:u w:val="single"/>
          </w:rPr>
          <w:t>2Co 3.18</w:t>
        </w:r>
      </w:hyperlink>
      <w:r>
        <w:t>) ; ils deviennent un « homme nouveau » (</w:t>
      </w:r>
      <w:hyperlink r:id="rId317">
        <w:r>
          <w:rPr>
            <w:color w:val="0000EE"/>
            <w:u w:val="single"/>
          </w:rPr>
          <w:t>Ep 2.15</w:t>
        </w:r>
      </w:hyperlink>
      <w:r>
        <w:t xml:space="preserve"> ; </w:t>
      </w:r>
      <w:hyperlink r:id="rId318">
        <w:r>
          <w:rPr>
            <w:color w:val="0000EE"/>
            <w:u w:val="single"/>
          </w:rPr>
          <w:t>4.24</w:t>
        </w:r>
      </w:hyperlink>
      <w:r>
        <w:t xml:space="preserve"> ; </w:t>
      </w:r>
      <w:hyperlink r:id="rId319">
        <w:r>
          <w:rPr>
            <w:color w:val="0000EE"/>
            <w:u w:val="single"/>
          </w:rPr>
          <w:t>Col 3.9–10</w:t>
        </w:r>
      </w:hyperlink>
      <w:r>
        <w:t>) ; et ils participent à la nouvelle création (</w:t>
      </w:r>
      <w:hyperlink r:id="rId320">
        <w:r>
          <w:rPr>
            <w:color w:val="0000EE"/>
            <w:u w:val="single"/>
          </w:rPr>
          <w:t>2Co 5.17</w:t>
        </w:r>
      </w:hyperlink>
      <w:r>
        <w:t xml:space="preserve"> ; </w:t>
      </w:r>
      <w:hyperlink r:id="rId321">
        <w:r>
          <w:rPr>
            <w:color w:val="0000EE"/>
            <w:u w:val="single"/>
          </w:rPr>
          <w:t>Ga 6.15</w:t>
        </w:r>
      </w:hyperlink>
      <w:r>
        <w:t>). Les anciennes barrières érigées par Adam sont supprimées par Christ (</w:t>
      </w:r>
      <w:hyperlink r:id="rId322">
        <w:r>
          <w:rPr>
            <w:color w:val="0000EE"/>
            <w:u w:val="single"/>
          </w:rPr>
          <w:t>Rm 5.1</w:t>
        </w:r>
      </w:hyperlink>
      <w:r>
        <w:t xml:space="preserve"> ; </w:t>
      </w:r>
      <w:hyperlink r:id="rId323">
        <w:r>
          <w:rPr>
            <w:color w:val="0000EE"/>
            <w:u w:val="single"/>
          </w:rPr>
          <w:t>2Co 5.19</w:t>
        </w:r>
      </w:hyperlink>
      <w:r>
        <w:t xml:space="preserve"> ; </w:t>
      </w:r>
      <w:hyperlink r:id="rId324">
        <w:r>
          <w:rPr>
            <w:color w:val="0000EE"/>
            <w:u w:val="single"/>
          </w:rPr>
          <w:t>Ga 3.27–28</w:t>
        </w:r>
      </w:hyperlink>
      <w:r>
        <w:t xml:space="preserve"> ; </w:t>
      </w:r>
      <w:hyperlink r:id="rId325">
        <w:r>
          <w:rPr>
            <w:color w:val="0000EE"/>
            <w:u w:val="single"/>
          </w:rPr>
          <w:t>Ep 2.14–16</w:t>
        </w:r>
      </w:hyperlink>
      <w:r>
        <w:t>). Pour Paul, la similitude fonctionnelle d'Adam et du Christ en tant que représentants signifiait que le Christ avait restauré ce qu'Adam avait perdu.</w:t>
      </w:r>
    </w:p>
    <w:p>
      <w:r/>
      <w:r>
        <w:rPr>
          <w:i/>
        </w:rPr>
        <w:t>Voir aussi</w:t>
      </w:r>
      <w:r>
        <w:t xml:space="preserve"> </w:t>
      </w:r>
      <w:r>
        <w:t>Ève</w:t>
      </w:r>
      <w:r>
        <w:t xml:space="preserve"> ; </w:t>
      </w:r>
      <w:r>
        <w:t>Homme, Ancien et Nouveau</w:t>
      </w:r>
      <w:r>
        <w:t xml:space="preserve"> ; </w:t>
      </w:r>
      <w:r>
        <w:t>Nouvelle Création, Nouvelle Créature</w:t>
      </w:r>
      <w:r>
        <w:t>.</w:t>
      </w:r>
      <w:r/>
      <w:r/>
    </w:p>
    <w:p>
      <w:r/>
    </w:p>
    <w:p>
      <w:pPr>
        <w:pStyle w:val="Heading2"/>
      </w:pPr>
      <w:r>
        <w:t>Adjoint</w:t>
      </w:r>
      <w:r/>
    </w:p>
    <w:p>
      <w:pPr>
        <w:pStyle w:val="ListNumber"/>
        <w:spacing w:line="240" w:lineRule="auto"/>
        <w:ind w:left="720"/>
      </w:pPr>
      <w:r/>
      <w:r>
        <w:t>Fonctionnaire de haut rang dont l'autorité est normalement donnée par un roi (</w:t>
      </w:r>
      <w:hyperlink r:id="rId326">
        <w:r>
          <w:rPr>
            <w:color w:val="0000EE"/>
            <w:u w:val="single"/>
          </w:rPr>
          <w:t>1R 22.47</w:t>
        </w:r>
      </w:hyperlink>
      <w:r>
        <w:t xml:space="preserve"> ; </w:t>
      </w:r>
      <w:hyperlink r:id="rId327">
        <w:r>
          <w:rPr>
            <w:color w:val="0000EE"/>
            <w:u w:val="single"/>
          </w:rPr>
          <w:t>Jr 51.28</w:t>
        </w:r>
      </w:hyperlink>
      <w:r>
        <w:t>).</w:t>
      </w:r>
    </w:p>
    <w:p>
      <w:r/>
      <w:r>
        <w:rPr>
          <w:i/>
        </w:rPr>
        <w:t>Voir</w:t>
      </w:r>
      <w:r>
        <w:t xml:space="preserve"> </w:t>
      </w:r>
      <w:r>
        <w:t>Gouverneur</w:t>
      </w:r>
      <w:r>
        <w:t>.</w:t>
      </w:r>
    </w:p>
    <w:p>
      <w:pPr>
        <w:pStyle w:val="ListNumber"/>
        <w:spacing w:line="240" w:lineRule="auto"/>
        <w:ind w:left="720"/>
      </w:pPr>
      <w:r/>
      <w:r>
        <w:t>Traduction parfois employée pour « proconsul ». Un proconsul était un officier nommé sur les provinces par le Sénat romain (</w:t>
      </w:r>
      <w:hyperlink r:id="rId191">
        <w:r>
          <w:rPr>
            <w:color w:val="0000EE"/>
            <w:u w:val="single"/>
          </w:rPr>
          <w:t>Ac 13.7–12</w:t>
        </w:r>
      </w:hyperlink>
      <w:r>
        <w:t xml:space="preserve"> ; </w:t>
      </w:r>
      <w:hyperlink r:id="rId328">
        <w:r>
          <w:rPr>
            <w:color w:val="0000EE"/>
            <w:u w:val="single"/>
          </w:rPr>
          <w:t>18.12</w:t>
        </w:r>
      </w:hyperlink>
      <w:r>
        <w:t xml:space="preserve"> ; </w:t>
      </w:r>
      <w:hyperlink r:id="rId329">
        <w:r>
          <w:rPr>
            <w:color w:val="0000EE"/>
            <w:u w:val="single"/>
          </w:rPr>
          <w:t>19.38</w:t>
        </w:r>
      </w:hyperlink>
      <w:r>
        <w:t>).</w:t>
      </w:r>
    </w:p>
    <w:p>
      <w:r/>
      <w:r>
        <w:rPr>
          <w:i/>
        </w:rPr>
        <w:t>Voir aussi</w:t>
      </w:r>
      <w:r>
        <w:t xml:space="preserve"> </w:t>
      </w:r>
      <w:r>
        <w:t>Proconsul</w:t>
      </w:r>
      <w:r>
        <w:t>.</w:t>
      </w:r>
      <w:r/>
      <w:r/>
    </w:p>
    <w:p>
      <w:r/>
    </w:p>
    <w:p>
      <w:pPr>
        <w:pStyle w:val="Heading2"/>
      </w:pPr>
      <w:r>
        <w:t>Adma</w:t>
      </w:r>
      <w:r/>
    </w:p>
    <w:p>
      <w:r/>
      <w:r>
        <w:t>Ville associée à Sodome, Gomorrhe et Tseboïm (</w:t>
      </w:r>
      <w:hyperlink r:id="rId330">
        <w:r>
          <w:rPr>
            <w:color w:val="0000EE"/>
            <w:u w:val="single"/>
          </w:rPr>
          <w:t>Gn 10.19</w:t>
        </w:r>
      </w:hyperlink>
      <w:r>
        <w:t xml:space="preserve"> ; </w:t>
      </w:r>
      <w:hyperlink r:id="rId331">
        <w:r>
          <w:rPr>
            <w:color w:val="0000EE"/>
            <w:u w:val="single"/>
          </w:rPr>
          <w:t>14.2, 8</w:t>
        </w:r>
      </w:hyperlink>
      <w:r>
        <w:t>). Probablement détruite lors du jugement de Dieu sur Sodome et Gomorrhe (</w:t>
      </w:r>
      <w:hyperlink r:id="rId332">
        <w:r>
          <w:rPr>
            <w:color w:val="0000EE"/>
            <w:u w:val="single"/>
          </w:rPr>
          <w:t>Dt 29.23</w:t>
        </w:r>
      </w:hyperlink>
      <w:r>
        <w:t xml:space="preserve"> ; elle n'est pas mentionnée dans </w:t>
      </w:r>
      <w:hyperlink r:id="rId333">
        <w:r>
          <w:rPr>
            <w:color w:val="0000EE"/>
            <w:u w:val="single"/>
          </w:rPr>
          <w:t>Gn 19.28</w:t>
        </w:r>
      </w:hyperlink>
      <w:r>
        <w:t>–</w:t>
      </w:r>
      <w:hyperlink r:id="rId333">
        <w:r>
          <w:rPr>
            <w:color w:val="0000EE"/>
            <w:u w:val="single"/>
          </w:rPr>
          <w:t>29</w:t>
        </w:r>
      </w:hyperlink>
      <w:r>
        <w:t>). Une enquête récente de la région à l'est et au sud de la mer Morte a révélé cinq villes de l'âge du bronze ancien (environ 3 300 à 2 000 av. J.‑C.) qui sont probablement les cinq « villes de la plaine » mentionnées dans Genèse. Chaque ville était située à côté de la vallée d'une rivière qui se jetait dans la plaine autour de la mer Morte.</w:t>
      </w:r>
      <w:r/>
      <w:r/>
    </w:p>
    <w:p>
      <w:r/>
    </w:p>
    <w:p>
      <w:pPr>
        <w:pStyle w:val="Heading2"/>
      </w:pPr>
      <w:r>
        <w:t>Admatha</w:t>
      </w:r>
      <w:r/>
    </w:p>
    <w:p>
      <w:r/>
      <w:r>
        <w:t>Un des sept conseillers du roi Assuérus (</w:t>
      </w:r>
      <w:hyperlink r:id="rId334">
        <w:r>
          <w:rPr>
            <w:color w:val="0000EE"/>
            <w:u w:val="single"/>
          </w:rPr>
          <w:t>Est 1.14</w:t>
        </w:r>
      </w:hyperlink>
      <w:r>
        <w:t>). Les conseillers du roi ont suggéré qu'il bannisse la reine Vasthi pour avoir refusé son invitation à se présenter à une fête débauchée.</w:t>
      </w:r>
      <w:r/>
      <w:r/>
    </w:p>
    <w:p>
      <w:r/>
    </w:p>
    <w:p>
      <w:pPr>
        <w:pStyle w:val="Heading2"/>
      </w:pPr>
      <w:r>
        <w:t>Adramytte</w:t>
      </w:r>
      <w:r/>
    </w:p>
    <w:p>
      <w:r/>
      <w:r>
        <w:t>Ancienne ville portuaire en Asie Mineure. Lors de son voyage vers Rome en tant que prisonnier, Paul naviguera sur un navire d'Adramytte (</w:t>
      </w:r>
      <w:hyperlink r:id="rId335">
        <w:r>
          <w:rPr>
            <w:color w:val="0000EE"/>
            <w:u w:val="single"/>
          </w:rPr>
          <w:t>Ac 27.2</w:t>
        </w:r>
      </w:hyperlink>
      <w:r>
        <w:t>). Adramytte est la ville turque moderne d'Edremit. Les pièces de monnaie trouvées dans la région indiquent qu'Adramytte a pu avoir été un centre cultuel pour Castor et Pollux (fils jumeaux du dieu païen Zeus).</w:t>
      </w:r>
      <w:r/>
      <w:r/>
    </w:p>
    <w:p>
      <w:r/>
    </w:p>
    <w:p>
      <w:pPr>
        <w:pStyle w:val="Heading2"/>
      </w:pPr>
      <w:r>
        <w:t>Adria</w:t>
      </w:r>
      <w:r/>
    </w:p>
    <w:p>
      <w:r/>
      <w:r>
        <w:t>La mer Adriatique est un bras de la mer Méditerranée situé entre l'Italie, la Grèce, l'Albanie, le Monténégro et la Croatie à l'est. L'apôtre Paul a connu une violente tempête sur la mer Adriatique pendant quatorze jours (</w:t>
      </w:r>
      <w:hyperlink r:id="rId336">
        <w:r>
          <w:rPr>
            <w:color w:val="0000EE"/>
            <w:u w:val="single"/>
          </w:rPr>
          <w:t>Ac 27.27</w:t>
        </w:r>
      </w:hyperlink>
      <w:r>
        <w:t>). D'autres textes anciens mentionnent également la violence de la mer Adriatique. L'historien juif Josèphe a également fait naufrage dans la mer Adriatique en 64 apr. J.‑C., et le poète grec Homère évoque ces violentes tempêtes dans ses écrits.</w:t>
      </w:r>
      <w:r/>
      <w:r/>
    </w:p>
    <w:p>
      <w:r/>
    </w:p>
    <w:p>
      <w:pPr>
        <w:pStyle w:val="Heading2"/>
      </w:pPr>
      <w:r>
        <w:t>Adullam, Adullamite</w:t>
      </w:r>
      <w:r/>
    </w:p>
    <w:p>
      <w:r/>
      <w:r>
        <w:t>Ancienne ville cananéenne située entre Lakis et Hébron. Il s'agit également du nom d'une région de grottes à proximité.</w:t>
      </w:r>
    </w:p>
    <w:p>
      <w:r/>
      <w:r>
        <w:t>La première référence à cette ville dans la Bible se trouve dans le mot « Adullamite » (personne issue d'Adullam). Ce terme est utilisé pour décrire Hira, un ami de Juda. Après que Juda a aidé à vendre son frère Joseph en esclavage, il quitte la maison et vit à Adullam avec Hira (</w:t>
      </w:r>
      <w:hyperlink r:id="rId337">
        <w:r>
          <w:rPr>
            <w:color w:val="0000EE"/>
            <w:u w:val="single"/>
          </w:rPr>
          <w:t>Gn 38.1, 12, 20</w:t>
        </w:r>
      </w:hyperlink>
      <w:r>
        <w:t>).</w:t>
      </w:r>
    </w:p>
    <w:p>
      <w:r/>
      <w:r>
        <w:t>Adullam se trouvait dans les basses terres de la région de la tribu de Juda (</w:t>
      </w:r>
      <w:hyperlink r:id="rId338">
        <w:r>
          <w:rPr>
            <w:color w:val="0000EE"/>
            <w:u w:val="single"/>
          </w:rPr>
          <w:t>Jos 15.35</w:t>
        </w:r>
      </w:hyperlink>
      <w:r>
        <w:t>). Josué l'a conquise, ainsi que trente-et-une autres villes royales cananéennes (</w:t>
      </w:r>
      <w:hyperlink r:id="rId339">
        <w:r>
          <w:rPr>
            <w:color w:val="0000EE"/>
            <w:u w:val="single"/>
          </w:rPr>
          <w:t>Jos 12.15</w:t>
        </w:r>
      </w:hyperlink>
      <w:r>
        <w:t>). Le roi Roboam la renforcera avec quinze autres villes (</w:t>
      </w:r>
      <w:hyperlink r:id="rId340">
        <w:r>
          <w:rPr>
            <w:color w:val="0000EE"/>
            <w:u w:val="single"/>
          </w:rPr>
          <w:t>2Ch 11.7</w:t>
        </w:r>
      </w:hyperlink>
      <w:r>
        <w:t>). Après le retour des exilés de la captivité à Babylone, des gens de Juda vivront de nouveau à Adullam (</w:t>
      </w:r>
      <w:hyperlink r:id="rId341">
        <w:r>
          <w:rPr>
            <w:color w:val="0000EE"/>
            <w:u w:val="single"/>
          </w:rPr>
          <w:t>Né 11.30</w:t>
        </w:r>
      </w:hyperlink>
      <w:r>
        <w:t>).</w:t>
      </w:r>
    </w:p>
    <w:p>
      <w:r/>
      <w:r>
        <w:t>Une caverne près d'Adullam a joué un rôle important à plusieurs reprises dans la vie de David. Il s'y cachera lors de sa fuite face au roi Saül (</w:t>
      </w:r>
      <w:hyperlink r:id="rId342">
        <w:r>
          <w:rPr>
            <w:color w:val="0000EE"/>
            <w:u w:val="single"/>
          </w:rPr>
          <w:t>1S 22.1</w:t>
        </w:r>
      </w:hyperlink>
      <w:r>
        <w:t>). Il l'utilisera également comme base dans sa guerre contre les Philistins (</w:t>
      </w:r>
      <w:hyperlink r:id="rId343">
        <w:r>
          <w:rPr>
            <w:color w:val="0000EE"/>
            <w:u w:val="single"/>
          </w:rPr>
          <w:t>2S 23.13</w:t>
        </w:r>
      </w:hyperlink>
      <w:r>
        <w:t>–</w:t>
      </w:r>
      <w:hyperlink r:id="rId343">
        <w:r>
          <w:rPr>
            <w:color w:val="0000EE"/>
            <w:u w:val="single"/>
          </w:rPr>
          <w:t>17</w:t>
        </w:r>
      </w:hyperlink>
      <w:r>
        <w:t xml:space="preserve"> ; </w:t>
      </w:r>
      <w:hyperlink r:id="rId344">
        <w:r>
          <w:rPr>
            <w:color w:val="0000EE"/>
            <w:u w:val="single"/>
          </w:rPr>
          <w:t>1Ch 11.15</w:t>
        </w:r>
      </w:hyperlink>
      <w:r>
        <w:t>–</w:t>
      </w:r>
      <w:hyperlink r:id="rId344">
        <w:r>
          <w:rPr>
            <w:color w:val="0000EE"/>
            <w:u w:val="single"/>
          </w:rPr>
          <w:t>19</w:t>
        </w:r>
      </w:hyperlink>
      <w:r>
        <w:t xml:space="preserve">). David écrira les </w:t>
      </w:r>
      <w:hyperlink r:id="rId345">
        <w:r>
          <w:rPr>
            <w:color w:val="0000EE"/>
            <w:u w:val="single"/>
          </w:rPr>
          <w:t>Psaumes 57</w:t>
        </w:r>
      </w:hyperlink>
      <w:r>
        <w:t xml:space="preserve"> et </w:t>
      </w:r>
      <w:hyperlink r:id="rId346">
        <w:r>
          <w:rPr>
            <w:color w:val="0000EE"/>
            <w:u w:val="single"/>
          </w:rPr>
          <w:t>142</w:t>
        </w:r>
      </w:hyperlink>
      <w:r>
        <w:t xml:space="preserve"> lorsqu'il était dans la caverne d'Adullam. Adullam est l'actuel Tell esh-Sheikh Madhkur.</w:t>
      </w:r>
      <w:r/>
      <w:r/>
    </w:p>
    <w:p>
      <w:r/>
    </w:p>
    <w:p>
      <w:pPr>
        <w:pStyle w:val="Heading2"/>
      </w:pPr>
      <w:r>
        <w:t>adultère</w:t>
      </w:r>
      <w:r/>
    </w:p>
    <w:p>
      <w:r/>
      <w:r>
        <w:t xml:space="preserve">Rapports sexuels entre un homme marié et une autre femme que son épouse ou entre une femme mariée et un autre homme que son mari. L'adultère trahit l'alliance qui unit le mari et sa femme. </w:t>
      </w:r>
    </w:p>
    <w:p>
      <w:r/>
      <w:r>
        <w:t>Dans l'Ancien Testament (AT), avoir plusieurs épouses n'était pas considéré comme un adultère (</w:t>
      </w:r>
      <w:hyperlink r:id="rId347">
        <w:r>
          <w:rPr>
            <w:color w:val="0000EE"/>
            <w:u w:val="single"/>
          </w:rPr>
          <w:t>Dt 21.15</w:t>
        </w:r>
      </w:hyperlink>
      <w:r>
        <w:t>). Au temps des patriarches, si la femme d'un homme ne pouvait pas ou plus avoir d'enfants, certaines coutumes lui permettaient d'aller vers une servante pour avoir un enfant d'elle. Ce cas particulier n'était pas traité comme un adultère non plus (</w:t>
      </w:r>
      <w:hyperlink r:id="rId348">
        <w:r>
          <w:rPr>
            <w:color w:val="0000EE"/>
            <w:u w:val="single"/>
          </w:rPr>
          <w:t>Gn 16.1–4</w:t>
        </w:r>
      </w:hyperlink>
      <w:r>
        <w:t xml:space="preserve"> ; </w:t>
      </w:r>
      <w:hyperlink r:id="rId349">
        <w:r>
          <w:rPr>
            <w:color w:val="0000EE"/>
            <w:u w:val="single"/>
          </w:rPr>
          <w:t>30.1–5</w:t>
        </w:r>
      </w:hyperlink>
      <w:r>
        <w:t>).</w:t>
      </w:r>
    </w:p>
    <w:p>
      <w:r/>
      <w:r>
        <w:t>Cependant, Jésus rejette toute inégalité entre homme et femme concernant ce qui constitue un adultère. Il souligne en particulier que le mariage est l'union d'un homme et d'une femme et ne permet le divorce qu'en cas d'adultère (</w:t>
      </w:r>
      <w:hyperlink r:id="rId350">
        <w:r>
          <w:rPr>
            <w:color w:val="0000EE"/>
            <w:u w:val="single"/>
          </w:rPr>
          <w:t>Mt 5.32</w:t>
        </w:r>
      </w:hyperlink>
      <w:r>
        <w:t xml:space="preserve"> ; </w:t>
      </w:r>
      <w:hyperlink r:id="rId351">
        <w:r>
          <w:rPr>
            <w:color w:val="0000EE"/>
            <w:u w:val="single"/>
          </w:rPr>
          <w:t>19.9</w:t>
        </w:r>
      </w:hyperlink>
      <w:r>
        <w:t>). Sinon, il y a adultère pour l'homme ou la femme qui se remarie après un divorce. Paul ajoute des instructions sur comment cela s'applique si l'un des conjoints, qui n'est pas chrétien, divorce. Autrement, la séparation d'un couple chrétien ne leur permet pas de se remarier. Cependant, un veuf ou une veuve qui se remarie ne commet pas d'adultère (</w:t>
      </w:r>
      <w:hyperlink r:id="rId352">
        <w:r>
          <w:rPr>
            <w:color w:val="0000EE"/>
            <w:u w:val="single"/>
          </w:rPr>
          <w:t>Rm 7.2–3</w:t>
        </w:r>
      </w:hyperlink>
      <w:r>
        <w:t>).</w:t>
      </w:r>
    </w:p>
    <w:p>
      <w:r/>
      <w:r>
        <w:t>Jésus déclare aussi que l'interdiction d'adultère qui vient des dix commandements s'applique aussi aux pensées et aux intentions. Toute personne mariée qui aime regarder une autre personne pour la convoiter sexuellement « a déjà commis un adultère avec elle dans son coeur » (</w:t>
      </w:r>
      <w:hyperlink r:id="rId353">
        <w:r>
          <w:rPr>
            <w:color w:val="0000EE"/>
            <w:u w:val="single"/>
          </w:rPr>
          <w:t>Mt 5.27–28</w:t>
        </w:r>
      </w:hyperlink>
      <w:r>
        <w:t xml:space="preserve"> ; voir aussi </w:t>
      </w:r>
      <w:hyperlink r:id="rId354">
        <w:r>
          <w:rPr>
            <w:color w:val="0000EE"/>
            <w:u w:val="single"/>
          </w:rPr>
          <w:t>Jb 31.1, 9</w:t>
        </w:r>
      </w:hyperlink>
      <w:r>
        <w:t>).</w:t>
      </w:r>
    </w:p>
    <w:p>
      <w:r/>
      <w:r>
        <w:t xml:space="preserve">L'adultère est condamnée tout au long de l'AT : dans la loi, les prophètes et les livres de sagesse. </w:t>
      </w:r>
    </w:p>
    <w:p>
      <w:pPr>
        <w:pStyle w:val="ListBullet"/>
        <w:spacing w:line="240" w:lineRule="auto"/>
        <w:ind w:left="720"/>
      </w:pPr>
      <w:r/>
      <w:r>
        <w:t>Les dix commandements interdisent catégoriquement l'adultère (</w:t>
      </w:r>
      <w:hyperlink r:id="rId355">
        <w:r>
          <w:rPr>
            <w:color w:val="0000EE"/>
            <w:u w:val="single"/>
          </w:rPr>
          <w:t>Ex 20.14</w:t>
        </w:r>
      </w:hyperlink>
      <w:r>
        <w:t xml:space="preserve"> ; </w:t>
      </w:r>
      <w:hyperlink r:id="rId356">
        <w:r>
          <w:rPr>
            <w:color w:val="0000EE"/>
            <w:u w:val="single"/>
          </w:rPr>
          <w:t>Dt 5.18</w:t>
        </w:r>
      </w:hyperlink>
      <w:r>
        <w:t>).</w:t>
      </w:r>
    </w:p>
    <w:p>
      <w:pPr>
        <w:pStyle w:val="ListBullet"/>
        <w:spacing w:line="240" w:lineRule="auto"/>
        <w:ind w:left="720"/>
      </w:pPr>
      <w:r/>
      <w:r>
        <w:t>Les prophètes répètent que l'adultère attise la colère de Dieu et provoque son jugement (</w:t>
      </w:r>
      <w:hyperlink r:id="rId357">
        <w:r>
          <w:rPr>
            <w:color w:val="0000EE"/>
            <w:u w:val="single"/>
          </w:rPr>
          <w:t>Jr 23.11–14</w:t>
        </w:r>
      </w:hyperlink>
      <w:r>
        <w:t xml:space="preserve"> ; </w:t>
      </w:r>
      <w:hyperlink r:id="rId358">
        <w:r>
          <w:rPr>
            <w:color w:val="0000EE"/>
            <w:u w:val="single"/>
          </w:rPr>
          <w:t>Ez 22.11</w:t>
        </w:r>
      </w:hyperlink>
      <w:r>
        <w:t xml:space="preserve"> ; </w:t>
      </w:r>
      <w:hyperlink r:id="rId359">
        <w:r>
          <w:rPr>
            <w:color w:val="0000EE"/>
            <w:u w:val="single"/>
          </w:rPr>
          <w:t>Ml 3.5</w:t>
        </w:r>
      </w:hyperlink>
      <w:r>
        <w:t>).</w:t>
      </w:r>
    </w:p>
    <w:p>
      <w:pPr>
        <w:pStyle w:val="ListBullet"/>
        <w:spacing w:line="240" w:lineRule="auto"/>
        <w:ind w:left="720"/>
      </w:pPr>
      <w:r/>
      <w:r>
        <w:t>Les proverbes décrivent l'adultère comme ce que fait un insensé qui veut se détruire lui-même (</w:t>
      </w:r>
      <w:hyperlink r:id="rId360">
        <w:r>
          <w:rPr>
            <w:color w:val="0000EE"/>
            <w:u w:val="single"/>
          </w:rPr>
          <w:t>Pr 6.23–35</w:t>
        </w:r>
      </w:hyperlink>
      <w:r>
        <w:t xml:space="preserve"> ; voir aussi </w:t>
      </w:r>
      <w:hyperlink r:id="rId361">
        <w:r>
          <w:rPr>
            <w:color w:val="0000EE"/>
            <w:u w:val="single"/>
          </w:rPr>
          <w:t>7.6–27</w:t>
        </w:r>
      </w:hyperlink>
      <w:r>
        <w:t>).</w:t>
      </w:r>
    </w:p>
    <w:p>
      <w:r/>
      <w:r>
        <w:t>Le Nouveau Testament (NT) condamne tout autant l'adultère. Toute personne qui commet l'adultère et qui ne se repent pas, sera exclue du royaume de Dieu (</w:t>
      </w:r>
      <w:hyperlink r:id="rId362">
        <w:r>
          <w:rPr>
            <w:color w:val="0000EE"/>
            <w:u w:val="single"/>
          </w:rPr>
          <w:t>1Co 6.9</w:t>
        </w:r>
      </w:hyperlink>
      <w:r>
        <w:t>). Dieu jugera les adultères (</w:t>
      </w:r>
      <w:hyperlink r:id="rId363">
        <w:r>
          <w:rPr>
            <w:color w:val="0000EE"/>
            <w:u w:val="single"/>
          </w:rPr>
          <w:t>Hé 13.4</w:t>
        </w:r>
      </w:hyperlink>
      <w:r>
        <w:t>). L'adultère est contraire à l'amour du prochain (</w:t>
      </w:r>
      <w:hyperlink r:id="rId364">
        <w:r>
          <w:rPr>
            <w:color w:val="0000EE"/>
            <w:u w:val="single"/>
          </w:rPr>
          <w:t>Rm 13.9</w:t>
        </w:r>
      </w:hyperlink>
      <w:r>
        <w:t>–</w:t>
      </w:r>
      <w:hyperlink r:id="rId364">
        <w:r>
          <w:rPr>
            <w:color w:val="0000EE"/>
            <w:u w:val="single"/>
          </w:rPr>
          <w:t>10</w:t>
        </w:r>
      </w:hyperlink>
      <w:r>
        <w:t xml:space="preserve">). </w:t>
      </w:r>
    </w:p>
    <w:p>
      <w:r/>
      <w:r>
        <w:t>Dans l'AT, l'adultère était puni de mort. L'homme et la femme coupables étaient tous les deux condamnés (</w:t>
      </w:r>
      <w:hyperlink r:id="rId365">
        <w:r>
          <w:rPr>
            <w:color w:val="0000EE"/>
            <w:u w:val="single"/>
          </w:rPr>
          <w:t>Lv 20.10</w:t>
        </w:r>
      </w:hyperlink>
      <w:r>
        <w:t xml:space="preserve"> ; </w:t>
      </w:r>
      <w:hyperlink r:id="rId366">
        <w:r>
          <w:rPr>
            <w:color w:val="0000EE"/>
            <w:u w:val="single"/>
          </w:rPr>
          <w:t>Dt 22.22</w:t>
        </w:r>
      </w:hyperlink>
      <w:r>
        <w:t>). Ceci s'appliquait aussi si une femme était fiancée et avait des relations sexuelles avec un autre homme. L'exception était si l'autre homme l'avait prise de force (violée) : dans ce cas là, lui seul était mis à mort (</w:t>
      </w:r>
      <w:hyperlink r:id="rId367">
        <w:r>
          <w:rPr>
            <w:color w:val="0000EE"/>
            <w:u w:val="single"/>
          </w:rPr>
          <w:t>Dt 22.23–27</w:t>
        </w:r>
      </w:hyperlink>
      <w:r>
        <w:t xml:space="preserve">). Le commandement « </w:t>
      </w:r>
      <w:r>
        <w:t>Tu ôteras ainsi le mal du milieu de toi</w:t>
      </w:r>
      <w:r>
        <w:t xml:space="preserve"> » (</w:t>
      </w:r>
      <w:hyperlink r:id="rId368">
        <w:r>
          <w:rPr>
            <w:color w:val="0000EE"/>
            <w:u w:val="single"/>
          </w:rPr>
          <w:t>Dt 22.24</w:t>
        </w:r>
      </w:hyperlink>
      <w:r>
        <w:t>) montre que l'adultère représentait un grave danger pour toute la société, pas juste pour les familles des deux personnes coupables.</w:t>
      </w:r>
    </w:p>
    <w:p>
      <w:r/>
      <w:r>
        <w:t>Puisque les conséquences étaient si graves, la culpabilité devait être prouvée. Lorsqu'un mari soupçonnait que sa femme avait commis un adultère mais n'avait pas de preuve, elle devait jurer qu'elle n'était pas coupable devant le sacrificateur et boire une eau amère. Si elle était coupable, son ventre enflerait et sa cuisse se dessécherait, et elle n'aurait plus d'enfants. Par contre, si elle était innocente, ces choses n'arriveraient pas. C'était donc Dieu lui-même qui révélait la vérité et jugeait (</w:t>
      </w:r>
      <w:hyperlink r:id="rId369">
        <w:r>
          <w:rPr>
            <w:color w:val="0000EE"/>
            <w:u w:val="single"/>
          </w:rPr>
          <w:t>Nb 5.11</w:t>
        </w:r>
      </w:hyperlink>
      <w:r>
        <w:t>–</w:t>
      </w:r>
      <w:hyperlink r:id="rId369">
        <w:r>
          <w:rPr>
            <w:color w:val="0000EE"/>
            <w:u w:val="single"/>
          </w:rPr>
          <w:t>31</w:t>
        </w:r>
      </w:hyperlink>
      <w:r>
        <w:t>).</w:t>
      </w:r>
    </w:p>
    <w:p>
      <w:r/>
      <w:r>
        <w:t>Dans les deux Testaments, l'infidélité humaine envers Dieu est représentée comme un adultère. Les prophètes de l'AT comparent l'alliance entre Dieu et son peuple à un mariage (</w:t>
      </w:r>
      <w:hyperlink r:id="rId370">
        <w:r>
          <w:rPr>
            <w:color w:val="0000EE"/>
            <w:u w:val="single"/>
          </w:rPr>
          <w:t>Es 54.5</w:t>
        </w:r>
      </w:hyperlink>
      <w:r>
        <w:t>–</w:t>
      </w:r>
      <w:hyperlink r:id="rId370">
        <w:r>
          <w:rPr>
            <w:color w:val="0000EE"/>
            <w:u w:val="single"/>
          </w:rPr>
          <w:t>8</w:t>
        </w:r>
      </w:hyperlink>
      <w:r>
        <w:t xml:space="preserve"> ; voir aussi </w:t>
      </w:r>
      <w:hyperlink r:id="rId371">
        <w:r>
          <w:rPr>
            <w:color w:val="0000EE"/>
            <w:u w:val="single"/>
          </w:rPr>
          <w:t>Ap. 21.2</w:t>
        </w:r>
      </w:hyperlink>
      <w:r>
        <w:t>). Trahir cette relation, surtout en adorant des idoles, est considéré comme un adultère spirituel (</w:t>
      </w:r>
      <w:hyperlink r:id="rId372">
        <w:r>
          <w:rPr>
            <w:color w:val="0000EE"/>
            <w:u w:val="single"/>
          </w:rPr>
          <w:t>Jr 5.7–8</w:t>
        </w:r>
      </w:hyperlink>
      <w:r>
        <w:t xml:space="preserve"> ; </w:t>
      </w:r>
      <w:hyperlink r:id="rId373">
        <w:r>
          <w:rPr>
            <w:color w:val="0000EE"/>
            <w:u w:val="single"/>
          </w:rPr>
          <w:t>13.22–27</w:t>
        </w:r>
      </w:hyperlink>
      <w:r>
        <w:t xml:space="preserve"> ; </w:t>
      </w:r>
      <w:hyperlink r:id="rId374">
        <w:r>
          <w:rPr>
            <w:color w:val="0000EE"/>
            <w:u w:val="single"/>
          </w:rPr>
          <w:t>Ez 23.37</w:t>
        </w:r>
      </w:hyperlink>
      <w:r>
        <w:t>).</w:t>
      </w:r>
    </w:p>
    <w:p>
      <w:r/>
      <w:r>
        <w:t>Jésus décrit ceux qui lui demandent un signe et refusent de croire comme une génération adultère (</w:t>
      </w:r>
      <w:hyperlink r:id="rId375">
        <w:r>
          <w:rPr>
            <w:color w:val="0000EE"/>
            <w:u w:val="single"/>
          </w:rPr>
          <w:t>Mt 12.39</w:t>
        </w:r>
      </w:hyperlink>
      <w:r>
        <w:t xml:space="preserve"> ; </w:t>
      </w:r>
      <w:hyperlink r:id="rId376">
        <w:r>
          <w:rPr>
            <w:color w:val="0000EE"/>
            <w:u w:val="single"/>
          </w:rPr>
          <w:t>16.4</w:t>
        </w:r>
      </w:hyperlink>
      <w:r>
        <w:t xml:space="preserve"> ; </w:t>
      </w:r>
      <w:hyperlink r:id="rId377">
        <w:r>
          <w:rPr>
            <w:color w:val="0000EE"/>
            <w:u w:val="single"/>
          </w:rPr>
          <w:t>Mc 8.38</w:t>
        </w:r>
      </w:hyperlink>
      <w:r>
        <w:t xml:space="preserve">). Dans </w:t>
      </w:r>
      <w:hyperlink r:id="rId378">
        <w:r>
          <w:rPr>
            <w:color w:val="0000EE"/>
            <w:u w:val="single"/>
          </w:rPr>
          <w:t>Jacques 4.4</w:t>
        </w:r>
      </w:hyperlink>
      <w:r>
        <w:t>, ceux qui aiment les choses du monde sont comme des adultères qui trahissent l'amour de Dieu et s'exposent au jugement de sa jalousie.</w:t>
      </w:r>
    </w:p>
    <w:p>
      <w:r/>
      <w:r>
        <w:t>Le message du prophète Osée est particulièrement centré sur l'adultère spirituel d'Israël. Dieu avait commandé à Osée de prendre pour femme une femme prostituée. Au travers de cette expérience difficile, il enseigne ce que signifient pour Dieu les infidélités de son peuple (</w:t>
      </w:r>
      <w:hyperlink r:id="rId379">
        <w:r>
          <w:rPr>
            <w:color w:val="0000EE"/>
            <w:u w:val="single"/>
          </w:rPr>
          <w:t>Os 2.4–8</w:t>
        </w:r>
      </w:hyperlink>
      <w:r>
        <w:t>). Toutefois, Dieu était prêt à reprendre son peuple s'il se repentait (</w:t>
      </w:r>
      <w:hyperlink r:id="rId380">
        <w:r>
          <w:rPr>
            <w:color w:val="0000EE"/>
            <w:u w:val="single"/>
          </w:rPr>
          <w:t>3.1–5</w:t>
        </w:r>
      </w:hyperlink>
      <w:r>
        <w:t xml:space="preserve">). </w:t>
      </w:r>
    </w:p>
    <w:p>
      <w:r/>
      <w:r>
        <w:t>Ainsi l'adultère tant entre époux qu'envers Dieu est un péché grave qui amène son jugement. Que ce soit envers un conjoint ou envers Dieu, Dieu offre le pardon à ceux qui se repentent véritablement (</w:t>
      </w:r>
      <w:hyperlink r:id="rId381">
        <w:r>
          <w:rPr>
            <w:color w:val="0000EE"/>
            <w:u w:val="single"/>
          </w:rPr>
          <w:t>Jr 3.1–14</w:t>
        </w:r>
      </w:hyperlink>
      <w:r>
        <w:t xml:space="preserve"> ; </w:t>
      </w:r>
      <w:hyperlink r:id="rId382">
        <w:r>
          <w:rPr>
            <w:color w:val="0000EE"/>
            <w:u w:val="single"/>
          </w:rPr>
          <w:t>Ez 16.1–63</w:t>
        </w:r>
      </w:hyperlink>
      <w:r>
        <w:t xml:space="preserve">). </w:t>
      </w:r>
    </w:p>
    <w:p>
      <w:r/>
      <w:r>
        <w:rPr>
          <w:i/>
        </w:rPr>
        <w:t>Voir aussi</w:t>
      </w:r>
      <w:r>
        <w:t xml:space="preserve"> </w:t>
      </w:r>
      <w:r>
        <w:t>divorce</w:t>
      </w:r>
      <w:r>
        <w:t xml:space="preserve"> ; </w:t>
      </w:r>
      <w:r>
        <w:t>mariage, coutumes de mariage</w:t>
      </w:r>
      <w:r>
        <w:t xml:space="preserve"> ; </w:t>
      </w:r>
      <w:r>
        <w:t>fornication</w:t>
      </w:r>
      <w:r>
        <w:t>.</w:t>
      </w:r>
      <w:r/>
      <w:r/>
    </w:p>
    <w:p>
      <w:r/>
    </w:p>
    <w:p>
      <w:pPr>
        <w:pStyle w:val="Heading2"/>
      </w:pPr>
      <w:r>
        <w:t>Affranchis</w:t>
      </w:r>
      <w:r/>
    </w:p>
    <w:p>
      <w:r/>
      <w:r>
        <w:t>Membres d'une synagogue juive à Jérusalem (</w:t>
      </w:r>
      <w:hyperlink r:id="rId383">
        <w:r>
          <w:rPr>
            <w:color w:val="0000EE"/>
            <w:u w:val="single"/>
          </w:rPr>
          <w:t>Ac 6.9</w:t>
        </w:r>
      </w:hyperlink>
      <w:r>
        <w:t>), descendants de Juifs qui avaient été capturés et emmenés à Rome par le général Pompée (106–48 av. J.‑C.), puis libérés par la suite. Pompée a constaté que les Juifs adhéraient si strictement à leurs coutumes religieuses et nationales qu'ils étaient inutilisables en tant qu'esclaves.</w:t>
      </w:r>
    </w:p>
    <w:p>
      <w:r/>
      <w:r>
        <w:t xml:space="preserve">Tous les affranchis ne sont pas retournés à Jérusalem ; certains sont restés à Rome. À l'époque de l'écrivain romain Pline, un affranchi était décrit comme un « roturier moyen ». Les affranchis (ou « Esclaves libérés », NFC) tiraient leur nom d'un terme latin désignant un homme racheté d'esclavage, ou le fils d'un tel ancien esclave. </w:t>
      </w:r>
      <w:r>
        <w:rPr>
          <w:i/>
        </w:rPr>
        <w:t>Voir</w:t>
      </w:r>
      <w:r>
        <w:t xml:space="preserve"> </w:t>
      </w:r>
      <w:r>
        <w:t>Libertines</w:t>
      </w:r>
      <w:r>
        <w:t>.</w:t>
      </w:r>
      <w:r/>
      <w:r/>
    </w:p>
    <w:p>
      <w:r/>
    </w:p>
    <w:p>
      <w:pPr>
        <w:pStyle w:val="Heading2"/>
      </w:pPr>
      <w:r>
        <w:t>Agabus</w:t>
      </w:r>
      <w:r/>
    </w:p>
    <w:p>
      <w:r/>
      <w:r>
        <w:t>Prophète de l'époque du Nouveau Testament. Il a fait deux prédictions notées dans Actes. Il a correctement prédit une grave famine, qui s'est produite lorsque Claude était l'empereur de Rome (</w:t>
      </w:r>
      <w:hyperlink r:id="rId384">
        <w:r>
          <w:rPr>
            <w:color w:val="0000EE"/>
            <w:u w:val="single"/>
          </w:rPr>
          <w:t>Ac 11.27</w:t>
        </w:r>
      </w:hyperlink>
      <w:r>
        <w:t>–</w:t>
      </w:r>
      <w:hyperlink r:id="rId384">
        <w:r>
          <w:rPr>
            <w:color w:val="0000EE"/>
            <w:u w:val="single"/>
          </w:rPr>
          <w:t>28</w:t>
        </w:r>
      </w:hyperlink>
      <w:r>
        <w:t>). Il a également prédit que Paul serait livré aux païens par les Juifs à Jérusalem s'il s'y rendait (</w:t>
      </w:r>
      <w:hyperlink r:id="rId385">
        <w:r>
          <w:rPr>
            <w:color w:val="0000EE"/>
            <w:u w:val="single"/>
          </w:rPr>
          <w:t>Ac 21.10</w:t>
        </w:r>
      </w:hyperlink>
      <w:r>
        <w:t>–</w:t>
      </w:r>
      <w:hyperlink r:id="rId385">
        <w:r>
          <w:rPr>
            <w:color w:val="0000EE"/>
            <w:u w:val="single"/>
          </w:rPr>
          <w:t>11</w:t>
        </w:r>
      </w:hyperlink>
      <w:r>
        <w:t>).</w:t>
      </w:r>
      <w:r/>
      <w:r/>
    </w:p>
    <w:p>
      <w:r/>
    </w:p>
    <w:p>
      <w:pPr>
        <w:pStyle w:val="Heading2"/>
      </w:pPr>
      <w:r>
        <w:t>Agaguite</w:t>
      </w:r>
      <w:r/>
    </w:p>
    <w:p>
      <w:r/>
      <w:r>
        <w:t>Terme utilisé pour décrire Haman, « ennemi de tous les Juifs », à la cour perse du roi Assuérus (</w:t>
      </w:r>
      <w:hyperlink r:id="rId386">
        <w:r>
          <w:rPr>
            <w:color w:val="0000EE"/>
            <w:u w:val="single"/>
          </w:rPr>
          <w:t>Est 3.1</w:t>
        </w:r>
      </w:hyperlink>
      <w:r>
        <w:t xml:space="preserve"> ; </w:t>
      </w:r>
      <w:hyperlink r:id="rId387">
        <w:r>
          <w:rPr>
            <w:color w:val="0000EE"/>
            <w:u w:val="single"/>
          </w:rPr>
          <w:t>9.24</w:t>
        </w:r>
      </w:hyperlink>
      <w:r>
        <w:t>). Agag était un roi amalécite et l'ennemi de Saül.</w:t>
      </w:r>
      <w:r/>
      <w:r/>
    </w:p>
    <w:p>
      <w:r/>
    </w:p>
    <w:p>
      <w:pPr>
        <w:pStyle w:val="Heading2"/>
      </w:pPr>
      <w:r>
        <w:t>Agar</w:t>
      </w:r>
      <w:r/>
    </w:p>
    <w:p>
      <w:r/>
      <w:r>
        <w:t>Servante égyptienne travaillait pour Saraï (plus tard appelée Sara), l'épouse d'Abram (plus tard appelé Abraham). Abram prendra Agar comme concubine (une seconde épouse de statut inférieur) suite à l'insistance de Saraï. Agar deviendra la mère d'Ismaël, le premier fils d'Abram (</w:t>
      </w:r>
      <w:hyperlink r:id="rId388">
        <w:r>
          <w:rPr>
            <w:color w:val="0000EE"/>
            <w:u w:val="single"/>
          </w:rPr>
          <w:t>Gn 16.1–16</w:t>
        </w:r>
      </w:hyperlink>
      <w:r>
        <w:t xml:space="preserve"> ; </w:t>
      </w:r>
      <w:hyperlink r:id="rId389">
        <w:r>
          <w:rPr>
            <w:color w:val="0000EE"/>
            <w:u w:val="single"/>
          </w:rPr>
          <w:t>21.9</w:t>
        </w:r>
      </w:hyperlink>
      <w:hyperlink r:id="rId388">
        <w:r>
          <w:rPr>
            <w:color w:val="0000EE"/>
            <w:u w:val="single"/>
          </w:rPr>
          <w:t>–</w:t>
        </w:r>
      </w:hyperlink>
      <w:hyperlink r:id="rId389">
        <w:r>
          <w:rPr>
            <w:color w:val="0000EE"/>
            <w:u w:val="single"/>
          </w:rPr>
          <w:t>21</w:t>
        </w:r>
      </w:hyperlink>
      <w:r>
        <w:t>).</w:t>
      </w:r>
    </w:p>
    <w:p>
      <w:pPr>
        <w:pStyle w:val="Heading3"/>
      </w:pPr>
      <w:r>
        <w:t>L'Histoire d'Agar</w:t>
      </w:r>
    </w:p>
    <w:p>
      <w:r/>
      <w:r>
        <w:t>Lorsque Dieu ordonnera à Abram de quitter la Mésopotamie, Il a promettra de faire d'Abram le père d'une grande nation et de donner à ses enfants un territoire nouveau (</w:t>
      </w:r>
      <w:hyperlink r:id="rId390">
        <w:r>
          <w:rPr>
            <w:color w:val="0000EE"/>
            <w:u w:val="single"/>
          </w:rPr>
          <w:t>Gn 12.2, 7</w:t>
        </w:r>
      </w:hyperlink>
      <w:r>
        <w:t xml:space="preserve">). Après dix ans en Canaan, Saraï et Abram n'auront toujours pas d'enfant. Saraï suggèrera à Abram de prendre Agar comme concubine et d'avoir des enfants par elle. Il était de coutume dans le nord-est de la Mésopotamie que si une femme ne pouvait pas avoir d'enfant, elle pouvait donner à son mari une esclave à cette fin. Tout fils auquel la concubine donnait naissance était considéré comme l'enfant de l'épouse (voir </w:t>
      </w:r>
      <w:hyperlink r:id="rId391">
        <w:r>
          <w:rPr>
            <w:color w:val="0000EE"/>
            <w:u w:val="single"/>
          </w:rPr>
          <w:t>30.1</w:t>
        </w:r>
      </w:hyperlink>
      <w:hyperlink r:id="rId388">
        <w:r>
          <w:rPr>
            <w:color w:val="0000EE"/>
            <w:u w:val="single"/>
          </w:rPr>
          <w:t>–</w:t>
        </w:r>
      </w:hyperlink>
      <w:hyperlink r:id="rId391">
        <w:r>
          <w:rPr>
            <w:color w:val="0000EE"/>
            <w:u w:val="single"/>
          </w:rPr>
          <w:t>6</w:t>
        </w:r>
      </w:hyperlink>
      <w:r>
        <w:t>).</w:t>
      </w:r>
    </w:p>
    <w:p>
      <w:r/>
      <w:r>
        <w:t>Quand Agar est tombera enceinte, elle commencera à traiter Saraï avec mépris. Saraï deviendra alors très dure avec Agar, ce qui la poussera à fuir dans le désert. Un ange de Dieu lui apparaît près d'un puits dans le désert et dira à Agar de retourner chez Abram. L'ange lui promet qu'elle aurait un fils, Ismaël (ce qui signifie « Dieu entend »). Ce fils serait de caractère déterminé et serait souvent en conflit avec les autres. Agar nommera alors cet endroit le puits de Lachaï-roï, ce qui signifie « le puits de celui qui voit et qui vit ».</w:t>
      </w:r>
    </w:p>
    <w:p>
      <w:r/>
      <w:r>
        <w:t>Ismaël est né quand Abram avait 86 ans. Quatorze ans plus tard, Dieu donnera à Abraham et Sara le fils promis, Isaac. Au moment du sevrage d'Isaac (à environ trois ans), une fête sera organisée. Lors de la fête de sevrage, Ismaël se moque d'Isaac (</w:t>
      </w:r>
      <w:hyperlink r:id="rId392">
        <w:r>
          <w:rPr>
            <w:color w:val="0000EE"/>
            <w:u w:val="single"/>
          </w:rPr>
          <w:t>Genèse 21.9</w:t>
        </w:r>
      </w:hyperlink>
      <w:r>
        <w:t xml:space="preserve">). Cela mettra Sara en colère, qui demandera donc à Abraham de renvoyer Agar et Ismaël. Au départ, Abraham ne voudra pas, mais Dieu lui parlera pour lui dire de faire ce que Sara demandait (v. </w:t>
      </w:r>
      <w:hyperlink r:id="rId393">
        <w:r>
          <w:rPr>
            <w:color w:val="0000EE"/>
            <w:u w:val="single"/>
          </w:rPr>
          <w:t>12</w:t>
        </w:r>
      </w:hyperlink>
      <w:r>
        <w:t>).</w:t>
      </w:r>
    </w:p>
    <w:p>
      <w:r/>
      <w:r>
        <w:t>Agar et Ismaël partiront ensuite et erreront dans le désert de Beer-Schéba. Au moment où ils n'auront plus d'eau, Dieu sauvera Agar et Ismaël de la mort. Dieu promet à Agar qu'Ismaël serait le père d'une grande nation (</w:t>
      </w:r>
      <w:hyperlink r:id="rId394">
        <w:r>
          <w:rPr>
            <w:color w:val="0000EE"/>
            <w:u w:val="single"/>
          </w:rPr>
          <w:t>Gn 21.17</w:t>
        </w:r>
      </w:hyperlink>
      <w:hyperlink r:id="rId388">
        <w:r>
          <w:rPr>
            <w:color w:val="0000EE"/>
            <w:u w:val="single"/>
          </w:rPr>
          <w:t>–</w:t>
        </w:r>
      </w:hyperlink>
      <w:hyperlink r:id="rId394">
        <w:r>
          <w:rPr>
            <w:color w:val="0000EE"/>
            <w:u w:val="single"/>
          </w:rPr>
          <w:t>19</w:t>
        </w:r>
      </w:hyperlink>
      <w:r>
        <w:t>). Ismaël vivra dans le désert de Paran et deviendra chasseur. Il épousera une Égyptienne et deviendra le père des Ismaélites.</w:t>
      </w:r>
    </w:p>
    <w:p>
      <w:pPr>
        <w:pStyle w:val="Heading3"/>
      </w:pPr>
      <w:r>
        <w:t>L'Enseignement de Paul concernant Agar</w:t>
      </w:r>
    </w:p>
    <w:p>
      <w:r/>
      <w:r>
        <w:t>Dans le Nouveau Testament, Paul utilise l'histoire d'Agar pour expliquer une vérité spirituelle importante (</w:t>
      </w:r>
      <w:hyperlink r:id="rId395">
        <w:r>
          <w:rPr>
            <w:color w:val="0000EE"/>
            <w:u w:val="single"/>
          </w:rPr>
          <w:t>Ga 4.22</w:t>
        </w:r>
      </w:hyperlink>
      <w:hyperlink r:id="rId388">
        <w:r>
          <w:rPr>
            <w:color w:val="0000EE"/>
            <w:u w:val="single"/>
          </w:rPr>
          <w:t>–</w:t>
        </w:r>
      </w:hyperlink>
      <w:hyperlink r:id="rId395">
        <w:r>
          <w:rPr>
            <w:color w:val="0000EE"/>
            <w:u w:val="single"/>
          </w:rPr>
          <w:t>31</w:t>
        </w:r>
      </w:hyperlink>
      <w:r>
        <w:t>). Agar représente l'ancienne alliance (accord) que Dieu avait conclue avec Moïse au Mont Sinaï. De la même manière qu'Ismaël était né par planification humaine, les chrétiens judaïsants sont comme les enfants d'Agar, nés dans l'esclavage. Ils enseignaient que tous les croyants étaient liés à la loi de Moïse et devaient faire tout ce qu'elle prescrivait. Sara, la femme libre, représente la nouvelle alliance de Jésus-Christ. Tout comme Isaac était le fils d'Abraham par la foi en la promesse de Dieu, les chrétiens qui sont libres vis-à-vis de la loi sont des enfants spirituels de Sara. Le contraste est fait entre le salut par les œuvres, qui est asservissement à la loi, et le salut par la grâce et la foi, qui est liberté.</w:t>
      </w:r>
    </w:p>
    <w:p>
      <w:r/>
      <w:r>
        <w:rPr>
          <w:i/>
        </w:rPr>
        <w:t>Voir aussi</w:t>
      </w:r>
      <w:r>
        <w:t xml:space="preserve"> </w:t>
      </w:r>
      <w:r>
        <w:t>Abraham</w:t>
      </w:r>
      <w:r>
        <w:t xml:space="preserve"> ; </w:t>
      </w:r>
      <w:r>
        <w:t>Sara n° 1</w:t>
      </w:r>
      <w:r>
        <w:t>.</w:t>
      </w:r>
      <w:r/>
      <w:r/>
    </w:p>
    <w:p>
      <w:r/>
    </w:p>
    <w:p>
      <w:pPr>
        <w:pStyle w:val="Heading2"/>
      </w:pPr>
      <w:r>
        <w:t>âge</w:t>
      </w:r>
      <w:r/>
    </w:p>
    <w:p>
      <w:r/>
      <w:r>
        <w:t>La Bible mentionne souvent l'âge de personnes, exprimé en années ou autrement. La sagesse est souvent associée à un âge avancé (</w:t>
      </w:r>
      <w:hyperlink r:id="rId396">
        <w:r>
          <w:rPr>
            <w:color w:val="0000EE"/>
            <w:u w:val="single"/>
          </w:rPr>
          <w:t>Jb 12.12</w:t>
        </w:r>
      </w:hyperlink>
      <w:r>
        <w:t>). Cependant, un âge avancé ne garantit pas la sagesse (</w:t>
      </w:r>
      <w:hyperlink r:id="rId397">
        <w:r>
          <w:rPr>
            <w:color w:val="0000EE"/>
            <w:u w:val="single"/>
          </w:rPr>
          <w:t>Ec 4.13</w:t>
        </w:r>
      </w:hyperlink>
      <w:r>
        <w:t>). La loi de Moïse commande toutefois de respecter les personnes âgées (</w:t>
      </w:r>
      <w:hyperlink r:id="rId398">
        <w:r>
          <w:rPr>
            <w:color w:val="0000EE"/>
            <w:u w:val="single"/>
          </w:rPr>
          <w:t>Lv 19.32</w:t>
        </w:r>
      </w:hyperlink>
      <w:r>
        <w:t>).</w:t>
      </w:r>
    </w:p>
    <w:p>
      <w:r/>
      <w:r>
        <w:t>Une longue vie est une bénédiction de Dieu (</w:t>
      </w:r>
      <w:hyperlink r:id="rId399">
        <w:r>
          <w:rPr>
            <w:color w:val="0000EE"/>
            <w:u w:val="single"/>
          </w:rPr>
          <w:t>Pr 16.31</w:t>
        </w:r>
      </w:hyperlink>
      <w:r>
        <w:t>), mais la Bible reconnaît que l'homme devient fragile dans sa vieillesse (</w:t>
      </w:r>
      <w:hyperlink r:id="rId400">
        <w:r>
          <w:rPr>
            <w:color w:val="0000EE"/>
            <w:u w:val="single"/>
          </w:rPr>
          <w:t>Ec</w:t>
        </w:r>
      </w:hyperlink>
      <w:r>
        <w:t xml:space="preserve"> 12.1–</w:t>
      </w:r>
      <w:hyperlink r:id="rId400">
        <w:r>
          <w:rPr>
            <w:color w:val="0000EE"/>
            <w:u w:val="single"/>
          </w:rPr>
          <w:t>6</w:t>
        </w:r>
      </w:hyperlink>
      <w:r>
        <w:t xml:space="preserve">). Le </w:t>
      </w:r>
      <w:hyperlink r:id="rId401">
        <w:r>
          <w:rPr>
            <w:color w:val="0000EE"/>
            <w:u w:val="single"/>
          </w:rPr>
          <w:t>Psaume 90.10</w:t>
        </w:r>
      </w:hyperlink>
      <w:r>
        <w:t xml:space="preserve"> décrit la durée de vie à l'époque de Moïse. Elle était de 70 à 80 ans et pleine de « peine et misère ».</w:t>
      </w:r>
      <w:r/>
      <w:r/>
    </w:p>
    <w:p>
      <w:r/>
    </w:p>
    <w:p>
      <w:pPr>
        <w:pStyle w:val="Heading2"/>
      </w:pPr>
      <w:r>
        <w:t>Aggée, Livre de</w:t>
      </w:r>
      <w:r/>
    </w:p>
    <w:p>
      <w:r/>
      <w:r>
        <w:t>Le dixième livre d'une collection de douze petits livres à la fin de l'Ancien Testament. Ces livres contiennent des messages de prophètes.</w:t>
      </w:r>
    </w:p>
    <w:p>
      <w:pPr>
        <w:pStyle w:val="Heading3"/>
      </w:pPr>
      <w:r>
        <w:t>Survol</w:t>
      </w:r>
    </w:p>
    <w:p>
      <w:pPr>
        <w:pStyle w:val="ListBullet"/>
        <w:spacing w:line="240" w:lineRule="auto"/>
        <w:ind w:left="720"/>
      </w:pPr>
      <w:r/>
      <w:r>
        <w:t>Qui a écrit le Livre d'Aggée ? Quand a-t-il été écrit ?</w:t>
      </w:r>
    </w:p>
    <w:p>
      <w:pPr>
        <w:pStyle w:val="ListBullet"/>
        <w:spacing w:line="240" w:lineRule="auto"/>
        <w:ind w:left="720"/>
      </w:pPr>
      <w:r/>
      <w:r>
        <w:t>Pourquoi le livre d'Aggée a-t-il été écrit ?</w:t>
      </w:r>
    </w:p>
    <w:p>
      <w:pPr>
        <w:pStyle w:val="ListBullet"/>
        <w:spacing w:line="240" w:lineRule="auto"/>
        <w:ind w:left="720"/>
      </w:pPr>
      <w:r/>
      <w:r>
        <w:t>Que nous enseigne le livre d'Aggée ?</w:t>
      </w:r>
    </w:p>
    <w:p>
      <w:pPr>
        <w:pStyle w:val="ListBullet"/>
        <w:spacing w:line="240" w:lineRule="auto"/>
        <w:ind w:left="720"/>
      </w:pPr>
      <w:r/>
      <w:r>
        <w:t>Quel est le message du Livre d'Aggée ?</w:t>
      </w:r>
    </w:p>
    <w:p>
      <w:pPr>
        <w:pStyle w:val="Heading3"/>
      </w:pPr>
      <w:r>
        <w:t>Qui a écrit le livre d'Aggée ? Quand a-t-il été écrit ?</w:t>
      </w:r>
    </w:p>
    <w:p>
      <w:r/>
      <w:r>
        <w:t>Aggée était l'un des juifs qui étaient retournés s'installer à Jérusalem en 520 av. J.‑C., date où ses paroles prophétiques ont été écrites (</w:t>
      </w:r>
      <w:hyperlink r:id="rId402">
        <w:r>
          <w:rPr>
            <w:color w:val="0000EE"/>
            <w:u w:val="single"/>
          </w:rPr>
          <w:t>Esd 5.1–2</w:t>
        </w:r>
      </w:hyperlink>
      <w:r>
        <w:t xml:space="preserve"> ; </w:t>
      </w:r>
      <w:hyperlink r:id="rId403">
        <w:r>
          <w:rPr>
            <w:color w:val="0000EE"/>
            <w:u w:val="single"/>
          </w:rPr>
          <w:t>6.14</w:t>
        </w:r>
      </w:hyperlink>
      <w:r>
        <w:t>). Le Seigneur a donné à Aggée quatre messages pour des personnes spécifiques. Le premier message était pour Zorobabel, le gouverneur, et Josué, le grand prêtre (</w:t>
      </w:r>
      <w:hyperlink r:id="rId404">
        <w:r>
          <w:rPr>
            <w:color w:val="0000EE"/>
            <w:u w:val="single"/>
          </w:rPr>
          <w:t>Ag 1.1</w:t>
        </w:r>
      </w:hyperlink>
      <w:r>
        <w:t>). Le deuxième message était pour Zorobabel, Josué et le reste du peuple (</w:t>
      </w:r>
      <w:hyperlink r:id="rId405">
        <w:r>
          <w:rPr>
            <w:color w:val="0000EE"/>
            <w:u w:val="single"/>
          </w:rPr>
          <w:t>Ag 2.2</w:t>
        </w:r>
      </w:hyperlink>
      <w:r>
        <w:t>). Le troisième message était pour les prêtres (</w:t>
      </w:r>
      <w:hyperlink r:id="rId406">
        <w:r>
          <w:rPr>
            <w:color w:val="0000EE"/>
            <w:u w:val="single"/>
          </w:rPr>
          <w:t>Ag 2.11</w:t>
        </w:r>
      </w:hyperlink>
      <w:r>
        <w:t>). Le dernier message était uniquement pour Zorobabel (</w:t>
      </w:r>
      <w:hyperlink r:id="rId407">
        <w:r>
          <w:rPr>
            <w:color w:val="0000EE"/>
            <w:u w:val="single"/>
          </w:rPr>
          <w:t>Ag 2.21</w:t>
        </w:r>
      </w:hyperlink>
      <w:r>
        <w:t>).</w:t>
      </w:r>
    </w:p>
    <w:p>
      <w:pPr>
        <w:pStyle w:val="Heading3"/>
      </w:pPr>
      <w:r>
        <w:t>Pourquoi le Livre d'Aggée a-t-il été écrit ?</w:t>
      </w:r>
    </w:p>
    <w:p>
      <w:r/>
      <w:r>
        <w:t xml:space="preserve">La phrase clé dans les prophéties d'Aggée est « </w:t>
      </w:r>
      <w:r>
        <w:t>Considérez attentivement vos voies</w:t>
      </w:r>
      <w:r>
        <w:t xml:space="preserve"> » ou « Réflechissez bien » (</w:t>
      </w:r>
      <w:hyperlink r:id="rId408">
        <w:r>
          <w:rPr>
            <w:color w:val="0000EE"/>
            <w:u w:val="single"/>
          </w:rPr>
          <w:t>Ag 1.5, 7</w:t>
        </w:r>
      </w:hyperlink>
      <w:r>
        <w:t xml:space="preserve"> ; </w:t>
      </w:r>
      <w:hyperlink r:id="rId409">
        <w:r>
          <w:rPr>
            <w:color w:val="0000EE"/>
            <w:u w:val="single"/>
          </w:rPr>
          <w:t>2.15, 18</w:t>
        </w:r>
      </w:hyperlink>
      <w:r>
        <w:t>). Dieu a envoyé des messages pour aider les dirigeants juifs et le peuple à comprendre qu'ils avaient négligé leurs devoirs envers Dieu. Il y avait deux groupes qui devaient changer : les vrais croyants qui avaient cessé de suivre les commandements de Dieu, et les personnes qui ne suivaient Dieu que pour des récompenses</w:t>
      </w:r>
    </w:p>
    <w:p>
      <w:r/>
      <w:r>
        <w:t>Les véritables croyants avaient besoin d'un rappel de la miséricorde de Dieu. Ils pouvaient résoudre la situation, même s'ils pensaient que les péchés de leurs ancêtres étaient impardonnables. Les personnes qui prétendaient être fidèles parmi les Judéens ne désiraient que les bénédictions promises par Dieu. Ils remplaçaient une forme d'idolâtrie par une autre. Quand Dieu ne les bénissait pas, ils se sentaient déçus.</w:t>
      </w:r>
    </w:p>
    <w:p>
      <w:r/>
      <w:r>
        <w:t>Le message principal était que ce qui se passe aujourd'hui ne prédit pas ce que Dieu fera demain. On ne peut pas juger de l'accomplissement des promesses de Dieu par les apparences. Le message d'Aggée comportait deux parties : la correction et l'encouragement. Les Juifs nouvellement installés dans le pays devaient être réprimandés pour leur manque de préoccupation et réconfortés pendant leurs difficultés.</w:t>
      </w:r>
    </w:p>
    <w:p>
      <w:pPr>
        <w:pStyle w:val="Heading3"/>
      </w:pPr>
      <w:r>
        <w:t>Que nous enseigne le livre d'Aggée ?</w:t>
      </w:r>
    </w:p>
    <w:p>
      <w:r/>
      <w:r>
        <w:t>Aggée est un livre pratique sur le service de Dieu. Lorsque le peuple de Dieu retarde son travail ou cesse de s'en soucier, cela cause du tort. Cela s'est produit de nombreuses fois au cours de l'histoire. Dieu apprécie lorsque les gens agissent rapidement et prennent son travail au sérieux (</w:t>
      </w:r>
      <w:hyperlink r:id="rId410">
        <w:r>
          <w:rPr>
            <w:color w:val="0000EE"/>
            <w:u w:val="single"/>
          </w:rPr>
          <w:t>Rm 13.11–14</w:t>
        </w:r>
      </w:hyperlink>
      <w:r>
        <w:t>).</w:t>
      </w:r>
    </w:p>
    <w:p>
      <w:r/>
      <w:r>
        <w:t>La présence de Dieu inspire le courage et aide les gens à ne pas se décourager (</w:t>
      </w:r>
      <w:hyperlink r:id="rId411">
        <w:r>
          <w:rPr>
            <w:color w:val="0000EE"/>
            <w:u w:val="single"/>
          </w:rPr>
          <w:t>Mt 28.19–20</w:t>
        </w:r>
      </w:hyperlink>
      <w:r>
        <w:t xml:space="preserve"> ; </w:t>
      </w:r>
      <w:hyperlink r:id="rId412">
        <w:r>
          <w:rPr>
            <w:color w:val="0000EE"/>
            <w:u w:val="single"/>
          </w:rPr>
          <w:t>Ep 3.8–21</w:t>
        </w:r>
      </w:hyperlink>
      <w:r>
        <w:t xml:space="preserve"> ; </w:t>
      </w:r>
      <w:hyperlink r:id="rId413">
        <w:r>
          <w:rPr>
            <w:color w:val="0000EE"/>
            <w:u w:val="single"/>
          </w:rPr>
          <w:t>Hé 13.5–6</w:t>
        </w:r>
      </w:hyperlink>
      <w:r>
        <w:t>).</w:t>
      </w:r>
    </w:p>
    <w:p>
      <w:r/>
      <w:r>
        <w:t>Tous les croyants doivent se séparer des influences négatives et du péché (</w:t>
      </w:r>
      <w:hyperlink r:id="rId414">
        <w:r>
          <w:rPr>
            <w:color w:val="0000EE"/>
            <w:u w:val="single"/>
          </w:rPr>
          <w:t>2Co 6.14–7.1</w:t>
        </w:r>
      </w:hyperlink>
      <w:r>
        <w:t>). Sans vivre de cette manière, un croyant ne peut pas être prêt pour le service de Dieu (</w:t>
      </w:r>
      <w:hyperlink r:id="rId415">
        <w:r>
          <w:rPr>
            <w:color w:val="0000EE"/>
            <w:u w:val="single"/>
          </w:rPr>
          <w:t>2Ti 2.19–26</w:t>
        </w:r>
      </w:hyperlink>
      <w:r>
        <w:t>). Un enfant de Dieu désobéissant peut s'attendre à perdre des bénédictions et à être discipliné par Dieu (</w:t>
      </w:r>
      <w:hyperlink r:id="rId416">
        <w:r>
          <w:rPr>
            <w:color w:val="0000EE"/>
            <w:u w:val="single"/>
          </w:rPr>
          <w:t>Hé 12.3–13</w:t>
        </w:r>
      </w:hyperlink>
      <w:r>
        <w:t xml:space="preserve"> ; </w:t>
      </w:r>
      <w:hyperlink r:id="rId417">
        <w:r>
          <w:rPr>
            <w:color w:val="0000EE"/>
            <w:u w:val="single"/>
          </w:rPr>
          <w:t>Jc 4.1–3</w:t>
        </w:r>
      </w:hyperlink>
      <w:r>
        <w:t>).</w:t>
      </w:r>
    </w:p>
    <w:p>
      <w:r/>
      <w:r>
        <w:t>Le message concernant le jugement du péché par Dieu et la création du royaume messianique apporte de l'espérance aux croyants du Nouveau Testament et aux Juifs à l'époque d'Aggée (</w:t>
      </w:r>
      <w:hyperlink r:id="rId418">
        <w:r>
          <w:rPr>
            <w:color w:val="0000EE"/>
            <w:u w:val="single"/>
          </w:rPr>
          <w:t>Rm 15.4–13</w:t>
        </w:r>
      </w:hyperlink>
      <w:r>
        <w:t xml:space="preserve"> ; </w:t>
      </w:r>
      <w:hyperlink r:id="rId419">
        <w:r>
          <w:rPr>
            <w:color w:val="0000EE"/>
            <w:u w:val="single"/>
          </w:rPr>
          <w:t>2P 3.10–18</w:t>
        </w:r>
      </w:hyperlink>
      <w:r>
        <w:t>).</w:t>
      </w:r>
    </w:p>
    <w:p>
      <w:r/>
      <w:r>
        <w:t xml:space="preserve">La phrase clé dans Aggée, « Considérez attentivement vos voies », est similaire aux messages dans </w:t>
      </w:r>
      <w:hyperlink r:id="rId420">
        <w:r>
          <w:rPr>
            <w:color w:val="0000EE"/>
            <w:u w:val="single"/>
          </w:rPr>
          <w:t>1 Corinthiens 11.28</w:t>
        </w:r>
      </w:hyperlink>
      <w:r>
        <w:t xml:space="preserve"> et </w:t>
      </w:r>
      <w:hyperlink r:id="rId421">
        <w:r>
          <w:rPr>
            <w:color w:val="0000EE"/>
            <w:u w:val="single"/>
          </w:rPr>
          <w:t>2 Corinthiens 13.5</w:t>
        </w:r>
      </w:hyperlink>
      <w:r>
        <w:t xml:space="preserve">. Ses écrits abordent également l'impact du péché et des bénédictions de Dieu, comme on le voit dans </w:t>
      </w:r>
      <w:hyperlink r:id="rId422">
        <w:r>
          <w:rPr>
            <w:color w:val="0000EE"/>
            <w:u w:val="single"/>
          </w:rPr>
          <w:t>Jude 1.1–25</w:t>
        </w:r>
      </w:hyperlink>
      <w:r>
        <w:t>.</w:t>
      </w:r>
    </w:p>
    <w:p>
      <w:r/>
      <w:r>
        <w:t>Dans le livre d'Aggée, Dieu est appelé « Seigneur des armées » ou « Seigneur Tout-Puissant » quatorze fois. Ce titre est courant dans les livres prophétiques écrits après l'exil à Babylone, y compris Aggée, Zacharie et Malachie. Ce titre est utilisé plus de quatre-vingts fois. Il montre que Dieu est tout-puissant et règne sur tous les êtres spirituels au ciel et toutes les créatures sur terre.</w:t>
      </w:r>
    </w:p>
    <w:p>
      <w:r/>
      <w:r>
        <w:t>Aggée montre que l'Écriture est inspirée par Dieu et possède une autorité divine. Le prophète affirme à plusieurs reprises que Dieu lui a parlé et est la source de ces messages, mentionnant cela au moins vingt-cinq fois en vingt-huit versets.</w:t>
      </w:r>
    </w:p>
    <w:p>
      <w:pPr>
        <w:pStyle w:val="Heading3"/>
      </w:pPr>
      <w:r>
        <w:t>Quel est le message du livre d'Aggée ?</w:t>
      </w:r>
    </w:p>
    <w:p>
      <w:pPr>
        <w:pStyle w:val="Heading4"/>
      </w:pPr>
      <w:r>
        <w:t>Premier message</w:t>
      </w:r>
    </w:p>
    <w:p>
      <w:r/>
      <w:r>
        <w:t>Aggée a reçu son premier message pour les Judéens le premier jour du mois (</w:t>
      </w:r>
      <w:hyperlink r:id="rId404">
        <w:r>
          <w:rPr>
            <w:color w:val="0000EE"/>
            <w:u w:val="single"/>
          </w:rPr>
          <w:t>Ag 1.1</w:t>
        </w:r>
      </w:hyperlink>
      <w:r>
        <w:t>). Ce jour-là, les Juifs devaient apporter des offrandes spéciales au sanctuaire (</w:t>
      </w:r>
      <w:hyperlink r:id="rId423">
        <w:r>
          <w:rPr>
            <w:color w:val="0000EE"/>
            <w:u w:val="single"/>
          </w:rPr>
          <w:t>Nb 28.11–15</w:t>
        </w:r>
      </w:hyperlink>
      <w:r>
        <w:t>). Dieu a choisi ce moment important pour révéler le péché du peuple lié au sanctuaire inachevé.</w:t>
      </w:r>
    </w:p>
    <w:p>
      <w:r/>
      <w:r>
        <w:t>Le Seigneur s'adresse d'abord aux chefs des Judéens (</w:t>
      </w:r>
      <w:hyperlink r:id="rId404">
        <w:r>
          <w:rPr>
            <w:color w:val="0000EE"/>
            <w:u w:val="single"/>
          </w:rPr>
          <w:t>Ag 1.1</w:t>
        </w:r>
      </w:hyperlink>
      <w:r>
        <w:t>). Zorobabel était le gouverneur, et Josué était le grand prêtre. Ensemble, ils étaient responsables des actions du peuple de Dieu.</w:t>
      </w:r>
    </w:p>
    <w:p>
      <w:r/>
      <w:r>
        <w:t>La parole du Seigneur a dénoncé la procrastination du peuple (</w:t>
      </w:r>
      <w:hyperlink r:id="rId424">
        <w:r>
          <w:rPr>
            <w:color w:val="0000EE"/>
            <w:u w:val="single"/>
          </w:rPr>
          <w:t>Ag 1.2</w:t>
        </w:r>
      </w:hyperlink>
      <w:r>
        <w:t>). Ils n'avaient pas achevé le temple de Dieu parce qu'ils avaient décidé que le moment n'était pas encore venu. Le peuple utilisait son énergie et son argent de manière égoïste pour ses propres maisons (</w:t>
      </w:r>
      <w:hyperlink r:id="rId425">
        <w:r>
          <w:rPr>
            <w:color w:val="0000EE"/>
            <w:u w:val="single"/>
          </w:rPr>
          <w:t>Ag 1.4</w:t>
        </w:r>
      </w:hyperlink>
      <w:r>
        <w:t>).</w:t>
      </w:r>
    </w:p>
    <w:p>
      <w:r/>
      <w:r>
        <w:t xml:space="preserve">En </w:t>
      </w:r>
      <w:hyperlink r:id="rId426">
        <w:r>
          <w:rPr>
            <w:color w:val="0000EE"/>
            <w:u w:val="single"/>
          </w:rPr>
          <w:t>1.5</w:t>
        </w:r>
      </w:hyperlink>
      <w:r>
        <w:t>, les Juifs sont appelés à prêter attention à ce que Dieu voulait qu'ils fassent, car ils avaient cessé de se soucier de son œuvre. Ils devaient réfléchir à leur état spirituel et matériel : « Considérez attentivement vos voies ! » Cette phrase clé dans les prophéties d'Aggée signifie littéralement « Mettez votre cœur sur vos voies » ou « Posez vos voies sur votre cœur. » En examinant leurs actions, ils verraient que leurs retards dans la reconstruction leur avaient causé de nombreux problèmes, pas seulement du temps perdu (16 ans).</w:t>
      </w:r>
    </w:p>
    <w:p>
      <w:r/>
      <w:hyperlink r:id="rId427">
        <w:r>
          <w:rPr>
            <w:color w:val="0000EE"/>
            <w:u w:val="single"/>
          </w:rPr>
          <w:t>Aggée 1.6</w:t>
        </w:r>
      </w:hyperlink>
      <w:r>
        <w:t xml:space="preserve"> illustre la pauvreté à laquelle les Juifs étaient confrontés en raison de la punition de Dieu pour leur péché. Dieu avait retiré ses bénédictions conformément à son alliance (voir </w:t>
      </w:r>
      <w:hyperlink r:id="rId428">
        <w:r>
          <w:rPr>
            <w:color w:val="0000EE"/>
            <w:u w:val="single"/>
          </w:rPr>
          <w:t>Dt 28.15–29.1</w:t>
        </w:r>
      </w:hyperlink>
      <w:r>
        <w:t>).</w:t>
      </w:r>
    </w:p>
    <w:p>
      <w:r/>
      <w:r>
        <w:t>Après les avoir exhortés à nouveau à « considérer » leurs voies (</w:t>
      </w:r>
      <w:hyperlink r:id="rId429">
        <w:r>
          <w:rPr>
            <w:color w:val="0000EE"/>
            <w:u w:val="single"/>
          </w:rPr>
          <w:t>Ag 1.7</w:t>
        </w:r>
      </w:hyperlink>
      <w:r>
        <w:t xml:space="preserve">), le Seigneur a révélé la solution pour l'état maudit des Juifs : « </w:t>
      </w:r>
      <w:r>
        <w:t>bâtissez</w:t>
      </w:r>
      <w:r>
        <w:t xml:space="preserve"> la maison » (</w:t>
      </w:r>
      <w:hyperlink r:id="rId430">
        <w:r>
          <w:rPr>
            <w:color w:val="0000EE"/>
            <w:u w:val="single"/>
          </w:rPr>
          <w:t>Ag 1.8</w:t>
        </w:r>
      </w:hyperlink>
      <w:r>
        <w:t>). Leur échec à achever le temple a causé leur pauvreté (</w:t>
      </w:r>
      <w:hyperlink r:id="rId431">
        <w:r>
          <w:rPr>
            <w:color w:val="0000EE"/>
            <w:u w:val="single"/>
          </w:rPr>
          <w:t>Ag 1.9–11</w:t>
        </w:r>
      </w:hyperlink>
      <w:r>
        <w:t>).</w:t>
      </w:r>
    </w:p>
    <w:p>
      <w:r/>
      <w:r>
        <w:t>Les dirigeants et le peuple ont répondu positivement. La reprise de la construction du temple démontrait leur croyance en la parole de Dieu (</w:t>
      </w:r>
      <w:hyperlink r:id="rId432">
        <w:r>
          <w:rPr>
            <w:color w:val="0000EE"/>
            <w:u w:val="single"/>
          </w:rPr>
          <w:t>Ag 1.12</w:t>
        </w:r>
      </w:hyperlink>
      <w:r>
        <w:t xml:space="preserve">). Leur obéissance rapide montrait également qu'ils acceptaient le rôle d'Aggée en tant qu'« </w:t>
      </w:r>
      <w:r>
        <w:t>envoyé de l’Éternel</w:t>
      </w:r>
      <w:r>
        <w:t xml:space="preserve"> » délivrant « </w:t>
      </w:r>
      <w:r>
        <w:t>l’ordre de l’Éternel</w:t>
      </w:r>
      <w:r>
        <w:t xml:space="preserve"> » (</w:t>
      </w:r>
      <w:hyperlink r:id="rId433">
        <w:r>
          <w:rPr>
            <w:color w:val="0000EE"/>
            <w:u w:val="single"/>
          </w:rPr>
          <w:t>Ag 1.13</w:t>
        </w:r>
      </w:hyperlink>
      <w:r>
        <w:t>).</w:t>
      </w:r>
    </w:p>
    <w:p>
      <w:pPr>
        <w:pStyle w:val="Heading4"/>
      </w:pPr>
      <w:r>
        <w:t>Deuxième message</w:t>
      </w:r>
    </w:p>
    <w:p>
      <w:r/>
      <w:r>
        <w:t>Environ un mois plus tard, le Seigneur appelle de nouveau Aggée (</w:t>
      </w:r>
      <w:hyperlink r:id="rId434">
        <w:r>
          <w:rPr>
            <w:color w:val="0000EE"/>
            <w:u w:val="single"/>
          </w:rPr>
          <w:t>Ag 2.1</w:t>
        </w:r>
      </w:hyperlink>
      <w:r>
        <w:t>). Le deuxième message continue de les encourager sur le même mode que la fin du premier message. Les bâtisseurs avaient peut-être commencé à ressentir la pression de leur travail. D'anciens doutes et découragements avaient peut-être troublé à nouveau leur foi. Les ennemis étaient revenus pour causer des problèmes (</w:t>
      </w:r>
      <w:hyperlink r:id="rId435">
        <w:r>
          <w:rPr>
            <w:color w:val="0000EE"/>
            <w:u w:val="single"/>
          </w:rPr>
          <w:t>Esd 5.3–6.12</w:t>
        </w:r>
      </w:hyperlink>
      <w:r>
        <w:t>). Le deuxième message d'Aggée était comme l'affirmation d'Esdras selon laquelle «</w:t>
      </w:r>
      <w:r>
        <w:t>l’œil de Dieu veillait sur les anciens des Juifs</w:t>
      </w:r>
      <w:r>
        <w:t xml:space="preserve"> » (</w:t>
      </w:r>
      <w:hyperlink r:id="rId436">
        <w:r>
          <w:rPr>
            <w:color w:val="0000EE"/>
            <w:u w:val="single"/>
          </w:rPr>
          <w:t>Esd 5.5</w:t>
        </w:r>
      </w:hyperlink>
      <w:r>
        <w:t>). Le Seigneur non seulement voit les besoins de ses serviteurs mais envoie aussi de l'aide et de l'encouragement.</w:t>
      </w:r>
    </w:p>
    <w:p>
      <w:r/>
      <w:r>
        <w:t>Le deuxième message est arrivé le dernier jour de la Fête des Tabernacles (</w:t>
      </w:r>
      <w:hyperlink r:id="rId437">
        <w:r>
          <w:rPr>
            <w:color w:val="0000EE"/>
            <w:u w:val="single"/>
          </w:rPr>
          <w:t>Lv 23.33–43</w:t>
        </w:r>
      </w:hyperlink>
      <w:r>
        <w:t>). Ce rappel de la présence de Dieu avec leurs ancêtres dans le désert pourrait avoir rendu leur situation actuelle plus décourageante. Ainsi, le Seigneur s'adresse à tout le monde, pas seulement aux dirigeants (</w:t>
      </w:r>
      <w:hyperlink r:id="rId405">
        <w:r>
          <w:rPr>
            <w:color w:val="0000EE"/>
            <w:u w:val="single"/>
          </w:rPr>
          <w:t>Ag 2.2</w:t>
        </w:r>
      </w:hyperlink>
      <w:r>
        <w:t>).</w:t>
      </w:r>
    </w:p>
    <w:p>
      <w:r/>
      <w:r>
        <w:t>Y avait-il quelqu'un avant l'exil qui avait vu la gloire de Dieu dans le temple de Salomon (</w:t>
      </w:r>
      <w:hyperlink r:id="rId438">
        <w:r>
          <w:rPr>
            <w:color w:val="0000EE"/>
            <w:u w:val="single"/>
          </w:rPr>
          <w:t>1R 8.1–11</w:t>
        </w:r>
      </w:hyperlink>
      <w:r>
        <w:t xml:space="preserve"> ; </w:t>
      </w:r>
      <w:hyperlink r:id="rId439">
        <w:r>
          <w:rPr>
            <w:color w:val="0000EE"/>
            <w:u w:val="single"/>
          </w:rPr>
          <w:t>Ez 9.1–11.23</w:t>
        </w:r>
      </w:hyperlink>
      <w:r>
        <w:t>) ? Le temple actuel était-il insignifiant en comparaison (</w:t>
      </w:r>
      <w:hyperlink r:id="rId440">
        <w:r>
          <w:rPr>
            <w:color w:val="0000EE"/>
            <w:u w:val="single"/>
          </w:rPr>
          <w:t>Ag 2.3</w:t>
        </w:r>
      </w:hyperlink>
      <w:r>
        <w:t>) ? Le Talmud babylonien (un texte important de la loi et de la tradition juives) mentionnait cinq choses manquantes dans le nouveau temple qui étaient présentes dans le temple de Salomon :</w:t>
      </w:r>
    </w:p>
    <w:p>
      <w:pPr>
        <w:pStyle w:val="ListNumber"/>
        <w:spacing w:line="240" w:lineRule="auto"/>
        <w:ind w:left="720"/>
      </w:pPr>
      <w:r/>
      <w:r>
        <w:t>L'arche de l'alliance</w:t>
      </w:r>
    </w:p>
    <w:p>
      <w:pPr>
        <w:pStyle w:val="ListNumber"/>
        <w:spacing w:line="240" w:lineRule="auto"/>
        <w:ind w:left="720"/>
      </w:pPr>
      <w:r/>
      <w:r>
        <w:t>Le feu sacré</w:t>
      </w:r>
    </w:p>
    <w:p>
      <w:pPr>
        <w:pStyle w:val="ListNumber"/>
        <w:spacing w:line="240" w:lineRule="auto"/>
        <w:ind w:left="720"/>
      </w:pPr>
      <w:r/>
      <w:r>
        <w:t>La gloire de la shekinah</w:t>
      </w:r>
    </w:p>
    <w:p>
      <w:pPr>
        <w:pStyle w:val="ListNumber"/>
        <w:spacing w:line="240" w:lineRule="auto"/>
        <w:ind w:left="720"/>
      </w:pPr>
      <w:r/>
      <w:r>
        <w:t>Le Saint-Esprit</w:t>
      </w:r>
    </w:p>
    <w:p>
      <w:pPr>
        <w:pStyle w:val="ListNumber"/>
        <w:spacing w:line="240" w:lineRule="auto"/>
        <w:ind w:left="720"/>
      </w:pPr>
      <w:r/>
      <w:r>
        <w:t>L'Ourim et le Thoummim</w:t>
      </w:r>
    </w:p>
    <w:p>
      <w:r/>
      <w:r>
        <w:t xml:space="preserve">Le mot « Maintenant » souligne la solution de Dieu. Le commandement « </w:t>
      </w:r>
      <w:r>
        <w:t>Fortifie-toi</w:t>
      </w:r>
      <w:r>
        <w:t xml:space="preserve"> » est répété trois fois (</w:t>
      </w:r>
      <w:hyperlink r:id="rId441">
        <w:r>
          <w:rPr>
            <w:color w:val="0000EE"/>
            <w:u w:val="single"/>
          </w:rPr>
          <w:t>Ag 2.4</w:t>
        </w:r>
      </w:hyperlink>
      <w:r>
        <w:t>). Chaque fois, il s'adresse à un des destinataires du message de Dieu (</w:t>
      </w:r>
      <w:hyperlink r:id="rId405">
        <w:r>
          <w:rPr>
            <w:color w:val="0000EE"/>
            <w:u w:val="single"/>
          </w:rPr>
          <w:t>Ag 2.2</w:t>
        </w:r>
      </w:hyperlink>
      <w:r>
        <w:t xml:space="preserve">). Le dernier commandement était « travaillez ». La raison de leur force et de leur action était la présence de Dieu. Le Saint-Esprit pourrait sembler absent du temple, mais il resterait avec le peuple : « </w:t>
      </w:r>
      <w:r>
        <w:t>Je reste fidèle à l’alliance que j’ai faite avec vous</w:t>
      </w:r>
      <w:r>
        <w:t xml:space="preserve"> » (</w:t>
      </w:r>
      <w:hyperlink r:id="rId442">
        <w:r>
          <w:rPr>
            <w:color w:val="0000EE"/>
            <w:u w:val="single"/>
          </w:rPr>
          <w:t>Ag 2.5</w:t>
        </w:r>
      </w:hyperlink>
      <w:r>
        <w:t>).</w:t>
      </w:r>
    </w:p>
    <w:p>
      <w:r/>
      <w:r>
        <w:t>Pour motiver davantage les travailleurs, Dieu révèle la gloire future de sa maison (</w:t>
      </w:r>
      <w:hyperlink r:id="rId443">
        <w:r>
          <w:rPr>
            <w:color w:val="0000EE"/>
            <w:u w:val="single"/>
          </w:rPr>
          <w:t>Ag 2.6–9</w:t>
        </w:r>
      </w:hyperlink>
      <w:r>
        <w:t>). Cette gloire apparaîtrait après une période de jugement (</w:t>
      </w:r>
      <w:hyperlink r:id="rId444">
        <w:r>
          <w:rPr>
            <w:color w:val="0000EE"/>
            <w:u w:val="single"/>
          </w:rPr>
          <w:t>Ag 2.6–7a</w:t>
        </w:r>
      </w:hyperlink>
      <w:r>
        <w:t>) lorsque les trésors de toutes les nations arriveraient (</w:t>
      </w:r>
      <w:hyperlink r:id="rId445">
        <w:r>
          <w:rPr>
            <w:color w:val="0000EE"/>
            <w:u w:val="single"/>
          </w:rPr>
          <w:t>Ag 2.7b</w:t>
        </w:r>
      </w:hyperlink>
      <w:r>
        <w:t>). La signification exacte de ce verset a différentes interprétations possibles :</w:t>
      </w:r>
    </w:p>
    <w:p>
      <w:pPr>
        <w:pStyle w:val="ListNumber"/>
        <w:spacing w:line="240" w:lineRule="auto"/>
        <w:ind w:left="720"/>
      </w:pPr>
      <w:r/>
      <w:r>
        <w:t xml:space="preserve">Les traductions françaises retiennent en général le sens suivant : « </w:t>
      </w:r>
      <w:r>
        <w:t>Les trésors de toutes les nations viendront</w:t>
      </w:r>
      <w:r>
        <w:t xml:space="preserve"> » (Version LSG)</w:t>
      </w:r>
    </w:p>
    <w:p>
      <w:pPr>
        <w:pStyle w:val="ListNumber"/>
        <w:spacing w:line="240" w:lineRule="auto"/>
        <w:ind w:left="720"/>
      </w:pPr>
      <w:r/>
      <w:r>
        <w:t>Mais il est également possible de le comprendre ainsi : « Le désir des nations viendra. »</w:t>
      </w:r>
    </w:p>
    <w:p>
      <w:r/>
      <w:r>
        <w:t>Les arguments en faveur de l'interprétation messianique basée sur la deuxième traduction peuvent être résumés ainsi :</w:t>
      </w:r>
    </w:p>
    <w:p>
      <w:pPr>
        <w:pStyle w:val="ListNumber"/>
        <w:spacing w:line="240" w:lineRule="auto"/>
        <w:ind w:left="720"/>
      </w:pPr>
      <w:r/>
      <w:r>
        <w:t>La plupart des interprètes chrétiens et juifs considèrent cette phrase comme une référence au Messie (l'élu de Dieu).</w:t>
      </w:r>
    </w:p>
    <w:p>
      <w:pPr>
        <w:pStyle w:val="ListNumber"/>
        <w:spacing w:line="240" w:lineRule="auto"/>
        <w:ind w:left="720"/>
      </w:pPr>
      <w:r/>
      <w:r>
        <w:t>Le nom abstrait « désir » peut désigner ce qui est désirable.</w:t>
      </w:r>
    </w:p>
    <w:p>
      <w:pPr>
        <w:pStyle w:val="ListNumber"/>
        <w:spacing w:line="240" w:lineRule="auto"/>
        <w:ind w:left="720"/>
      </w:pPr>
      <w:r/>
      <w:r>
        <w:t>Bien que le verbe hébreu soit au pluriel, il peut s'accorder avec le deuxième nom « nations » dans une relation génitive (indiquant la possession ou une association étroite).</w:t>
      </w:r>
    </w:p>
    <w:p>
      <w:pPr>
        <w:pStyle w:val="ListNumber"/>
        <w:spacing w:line="240" w:lineRule="auto"/>
        <w:ind w:left="720"/>
      </w:pPr>
      <w:r/>
      <w:r>
        <w:t>Le moment est opportun car Dieu vient de juger les nations, et la venue du Christ est proche.</w:t>
      </w:r>
    </w:p>
    <w:p>
      <w:pPr>
        <w:pStyle w:val="ListNumber"/>
        <w:spacing w:line="240" w:lineRule="auto"/>
        <w:ind w:left="720"/>
      </w:pPr>
      <w:r/>
      <w:r>
        <w:t>Une traduction alternative corrige les problèmes grammaticaux tout en conservant le sens messianique : « Ils [les nations] sont venus au désir de toutes les nations. »</w:t>
      </w:r>
    </w:p>
    <w:p>
      <w:r/>
      <w:r>
        <w:t>Malgré de solides arguments en faveur de cette interprétation, la première traduction et la perspective qui l'accompagnent semblent plus convaincantes. Les raisons sont les suivantes :</w:t>
      </w:r>
    </w:p>
    <w:p>
      <w:pPr>
        <w:pStyle w:val="ListNumber"/>
        <w:spacing w:line="240" w:lineRule="auto"/>
        <w:ind w:left="720"/>
      </w:pPr>
      <w:r/>
      <w:r>
        <w:t>La plupart des premiers interprètes chrétiens et juifs s'appuient sur la traduction de la Vulgate latine, rédigée vers 400 apr. J.‑C., tandis que la première traduction correspond à la Septante grecque, datant d'environ 300 av. J.‑C.</w:t>
      </w:r>
    </w:p>
    <w:p>
      <w:pPr>
        <w:pStyle w:val="ListNumber"/>
        <w:spacing w:line="240" w:lineRule="auto"/>
        <w:ind w:left="720"/>
      </w:pPr>
      <w:r/>
      <w:r>
        <w:t>Le singulier « désir » peut être un nom collectif pour « caractéristiques » ou « richesse ».</w:t>
      </w:r>
    </w:p>
    <w:p>
      <w:pPr>
        <w:pStyle w:val="ListNumber"/>
        <w:spacing w:line="240" w:lineRule="auto"/>
        <w:ind w:left="720"/>
      </w:pPr>
      <w:r/>
      <w:r>
        <w:t>La grammaire hébraïque permet au nom « nations » de s'accorder avec le verbe, mais il s'agit de quelque chose de rare dans les livres poétiques. Il est peu probable qu'Aggée utilise une telle formulation sans l'expliquer clairement dans le contexte.</w:t>
      </w:r>
    </w:p>
    <w:p>
      <w:pPr>
        <w:pStyle w:val="ListNumber"/>
        <w:spacing w:line="240" w:lineRule="auto"/>
        <w:ind w:left="720"/>
      </w:pPr>
      <w:r/>
      <w:r>
        <w:t>Le contexte immédiat clarifie en déclarant que l'argent et l'or appartiennent au Seigneur (</w:t>
      </w:r>
      <w:hyperlink r:id="rId446">
        <w:r>
          <w:rPr>
            <w:color w:val="0000EE"/>
            <w:u w:val="single"/>
          </w:rPr>
          <w:t>2.8</w:t>
        </w:r>
      </w:hyperlink>
      <w:r>
        <w:t>).</w:t>
      </w:r>
    </w:p>
    <w:p>
      <w:pPr>
        <w:pStyle w:val="ListNumber"/>
        <w:spacing w:line="240" w:lineRule="auto"/>
        <w:ind w:left="720"/>
      </w:pPr>
      <w:r/>
      <w:r>
        <w:t xml:space="preserve">Le contexte du royaume dans ces versets s'aligne bien avec des passages similaires comme </w:t>
      </w:r>
      <w:hyperlink r:id="rId447">
        <w:r>
          <w:rPr>
            <w:color w:val="0000EE"/>
            <w:u w:val="single"/>
          </w:rPr>
          <w:t>Ésaïe 60.5, 11</w:t>
        </w:r>
      </w:hyperlink>
      <w:r>
        <w:t xml:space="preserve">, et </w:t>
      </w:r>
      <w:hyperlink r:id="rId448">
        <w:r>
          <w:rPr>
            <w:color w:val="0000EE"/>
            <w:u w:val="single"/>
          </w:rPr>
          <w:t>Apocalypse 21.24</w:t>
        </w:r>
      </w:hyperlink>
      <w:r>
        <w:t>.</w:t>
      </w:r>
    </w:p>
    <w:p>
      <w:r/>
      <w:r>
        <w:t>Le message d'encouragement conclut que la gloire du futur temple surpassera celle du temple de Salomon. La présence divine reviendra, et le bâtiment sera très beau. Dieu apportera également la paix à son royaume durant cette période du futur temple glorieux.</w:t>
      </w:r>
    </w:p>
    <w:p>
      <w:pPr>
        <w:pStyle w:val="Heading4"/>
      </w:pPr>
      <w:r>
        <w:t>Troisième Message</w:t>
      </w:r>
    </w:p>
    <w:p>
      <w:r/>
      <w:r>
        <w:t>Environ deux mois plus tard, Aggée recevra un troisième message de la part de Dieu (</w:t>
      </w:r>
      <w:hyperlink r:id="rId449">
        <w:r>
          <w:rPr>
            <w:color w:val="0000EE"/>
            <w:u w:val="single"/>
          </w:rPr>
          <w:t>Ag 2.10</w:t>
        </w:r>
      </w:hyperlink>
      <w:r>
        <w:t>). Ce message était axé sur l'encouragement et était destiné uniquement aux prêtres (</w:t>
      </w:r>
      <w:hyperlink r:id="rId406">
        <w:r>
          <w:rPr>
            <w:color w:val="0000EE"/>
            <w:u w:val="single"/>
          </w:rPr>
          <w:t>Ag 2.11</w:t>
        </w:r>
      </w:hyperlink>
      <w:r>
        <w:t>). Aggée posera des questions sur la loi de Moïse pour enseigner aux prêtres comment le péché peut contaminer. Quelque chose de propre ou de saint ne peut pas rendre autre chose sainte (</w:t>
      </w:r>
      <w:hyperlink r:id="rId450">
        <w:r>
          <w:rPr>
            <w:color w:val="0000EE"/>
            <w:u w:val="single"/>
          </w:rPr>
          <w:t>Ag 2.12</w:t>
        </w:r>
      </w:hyperlink>
      <w:r>
        <w:t xml:space="preserve">). Cependant, quelque chose d'impur </w:t>
      </w:r>
      <w:r>
        <w:rPr>
          <w:i/>
        </w:rPr>
        <w:t>peut</w:t>
      </w:r>
      <w:r>
        <w:t xml:space="preserve"> rendre quelque chose de propre impur (</w:t>
      </w:r>
      <w:hyperlink r:id="rId451">
        <w:r>
          <w:rPr>
            <w:color w:val="0000EE"/>
            <w:u w:val="single"/>
          </w:rPr>
          <w:t>Ag 2.13</w:t>
        </w:r>
      </w:hyperlink>
      <w:r>
        <w:t xml:space="preserve"> ; voir aussi </w:t>
      </w:r>
      <w:hyperlink r:id="rId452">
        <w:r>
          <w:rPr>
            <w:color w:val="0000EE"/>
            <w:u w:val="single"/>
          </w:rPr>
          <w:t>Lv 22.4–6</w:t>
        </w:r>
      </w:hyperlink>
      <w:r>
        <w:t xml:space="preserve"> ; </w:t>
      </w:r>
      <w:hyperlink r:id="rId453">
        <w:r>
          <w:rPr>
            <w:color w:val="0000EE"/>
            <w:u w:val="single"/>
          </w:rPr>
          <w:t>Nb 19.11</w:t>
        </w:r>
      </w:hyperlink>
      <w:r>
        <w:t>).</w:t>
      </w:r>
    </w:p>
    <w:p>
      <w:r/>
      <w:r>
        <w:t>Ce principe était clair pour les Judéens : Dieu n'acceptait pas leurs offrandes pendant leur désobéissance parce que Juda était impur (</w:t>
      </w:r>
      <w:hyperlink r:id="rId454">
        <w:r>
          <w:rPr>
            <w:color w:val="0000EE"/>
            <w:u w:val="single"/>
          </w:rPr>
          <w:t>Ag 2.14</w:t>
        </w:r>
      </w:hyperlink>
      <w:r>
        <w:t>).</w:t>
      </w:r>
    </w:p>
    <w:p>
      <w:r/>
      <w:r>
        <w:t>En leur rappelant la désobéissance passée et la punition, Dieu exhorte les Juifs à toujours réfléchir (</w:t>
      </w:r>
      <w:hyperlink r:id="rId409">
        <w:r>
          <w:rPr>
            <w:color w:val="0000EE"/>
            <w:u w:val="single"/>
          </w:rPr>
          <w:t>Ag 2.15, 18</w:t>
        </w:r>
      </w:hyperlink>
      <w:r>
        <w:t>) aux conséquences de leur désobéissance. Cette réflexion devrait prévenir l'indifférence spirituelle future. Le message se termine par un rappel de la bénédiction de Dieu sur ceux qui obéissent (</w:t>
      </w:r>
      <w:hyperlink r:id="rId455">
        <w:r>
          <w:rPr>
            <w:color w:val="0000EE"/>
            <w:u w:val="single"/>
          </w:rPr>
          <w:t>Ag 2.19</w:t>
        </w:r>
      </w:hyperlink>
      <w:r>
        <w:t>).</w:t>
      </w:r>
    </w:p>
    <w:p>
      <w:pPr>
        <w:pStyle w:val="Heading4"/>
      </w:pPr>
      <w:r>
        <w:t>Quatrième message</w:t>
      </w:r>
    </w:p>
    <w:p>
      <w:r/>
      <w:r>
        <w:t>Le même jour, Aggée reçoit un autre message de Dieu (</w:t>
      </w:r>
      <w:hyperlink r:id="rId456">
        <w:r>
          <w:rPr>
            <w:color w:val="0000EE"/>
            <w:u w:val="single"/>
          </w:rPr>
          <w:t>Ag 2.20</w:t>
        </w:r>
      </w:hyperlink>
      <w:r>
        <w:t>). Ce message était destiné à Zorobabel (</w:t>
      </w:r>
      <w:hyperlink r:id="rId407">
        <w:r>
          <w:rPr>
            <w:color w:val="0000EE"/>
            <w:u w:val="single"/>
          </w:rPr>
          <w:t>Ag 2.21</w:t>
        </w:r>
      </w:hyperlink>
      <w:r>
        <w:t xml:space="preserve">), qui devait être encouragé par la nature durable de sa position davidique héritée (voir </w:t>
      </w:r>
      <w:hyperlink r:id="rId404">
        <w:r>
          <w:rPr>
            <w:color w:val="0000EE"/>
            <w:u w:val="single"/>
          </w:rPr>
          <w:t>Ag 1.1</w:t>
        </w:r>
      </w:hyperlink>
      <w:r>
        <w:t xml:space="preserve"> ; </w:t>
      </w:r>
      <w:hyperlink r:id="rId457">
        <w:r>
          <w:rPr>
            <w:color w:val="0000EE"/>
            <w:u w:val="single"/>
          </w:rPr>
          <w:t>2S 7.4–17</w:t>
        </w:r>
      </w:hyperlink>
      <w:r>
        <w:t xml:space="preserve"> ; </w:t>
      </w:r>
      <w:hyperlink r:id="rId458">
        <w:r>
          <w:rPr>
            <w:color w:val="0000EE"/>
            <w:u w:val="single"/>
          </w:rPr>
          <w:t>1Ch 3.1, 5, 10, 17–20</w:t>
        </w:r>
      </w:hyperlink>
      <w:r>
        <w:t>). Les nations païennes feraient face au jugement, et les royaumes du monde seraient renversés (</w:t>
      </w:r>
      <w:hyperlink r:id="rId459">
        <w:r>
          <w:rPr>
            <w:color w:val="0000EE"/>
            <w:u w:val="single"/>
          </w:rPr>
          <w:t>Ag 2.6–7, 21–22</w:t>
        </w:r>
      </w:hyperlink>
      <w:r>
        <w:t xml:space="preserve">). Cela préparerait le règne de Dieu (voir </w:t>
      </w:r>
      <w:hyperlink r:id="rId460">
        <w:r>
          <w:rPr>
            <w:color w:val="0000EE"/>
            <w:u w:val="single"/>
          </w:rPr>
          <w:t>Ap 11.15–18</w:t>
        </w:r>
      </w:hyperlink>
      <w:r>
        <w:t>).</w:t>
      </w:r>
    </w:p>
    <w:p>
      <w:r/>
      <w:r>
        <w:t xml:space="preserve">La promesse faite à Zorobabel dans </w:t>
      </w:r>
      <w:hyperlink r:id="rId461">
        <w:r>
          <w:rPr>
            <w:color w:val="0000EE"/>
            <w:u w:val="single"/>
          </w:rPr>
          <w:t>Aggée 2.23</w:t>
        </w:r>
      </w:hyperlink>
      <w:r>
        <w:t xml:space="preserve"> montrait que les promesses de Dieu à David restaient valables après la captivité babylonienne de soixante-dix ans et l'interruption de seize ans parmi les Judéens qui étaient retournés à Jérusalem. Dieu a désigné Zorobabel comme « un sceau ». Le sceau était un cachet personnel, tel un anneau ou un cylindre, utilisé pour attester l'authenticité d'une signature. Les rois les utilisaient pour identifier leurs décrets (</w:t>
      </w:r>
      <w:hyperlink r:id="rId462">
        <w:r>
          <w:rPr>
            <w:color w:val="0000EE"/>
            <w:u w:val="single"/>
          </w:rPr>
          <w:t>Est 3.10</w:t>
        </w:r>
      </w:hyperlink>
      <w:r>
        <w:t xml:space="preserve">; </w:t>
      </w:r>
      <w:hyperlink r:id="rId463">
        <w:r>
          <w:rPr>
            <w:color w:val="0000EE"/>
            <w:u w:val="single"/>
          </w:rPr>
          <w:t>8.8–10</w:t>
        </w:r>
      </w:hyperlink>
      <w:r>
        <w:t>) et pour confirmer l'autorité de leurs délégués (</w:t>
      </w:r>
      <w:hyperlink r:id="rId464">
        <w:r>
          <w:rPr>
            <w:color w:val="0000EE"/>
            <w:u w:val="single"/>
          </w:rPr>
          <w:t>Gn 41.42</w:t>
        </w:r>
      </w:hyperlink>
      <w:r>
        <w:t xml:space="preserve">). En désignant Zorobabel comme « un sceau », Dieu signifiait que celui-ci serait l'attestation de l'autorité de Dieu sur la continuation de la lignée davidique, d'où viendrait et régnerait le Messie (voir </w:t>
      </w:r>
      <w:hyperlink r:id="rId465">
        <w:r>
          <w:rPr>
            <w:color w:val="0000EE"/>
            <w:u w:val="single"/>
          </w:rPr>
          <w:t>Mt 1.12</w:t>
        </w:r>
      </w:hyperlink>
      <w:r>
        <w:t xml:space="preserve">; </w:t>
      </w:r>
      <w:hyperlink r:id="rId466">
        <w:r>
          <w:rPr>
            <w:color w:val="0000EE"/>
            <w:u w:val="single"/>
          </w:rPr>
          <w:t>Lc 3.27</w:t>
        </w:r>
      </w:hyperlink>
      <w:r>
        <w:t>).</w:t>
      </w:r>
    </w:p>
    <w:p>
      <w:r/>
      <w:r>
        <w:rPr>
          <w:i/>
        </w:rPr>
        <w:t>Voir aussi</w:t>
      </w:r>
      <w:r>
        <w:t xml:space="preserve"> </w:t>
      </w:r>
      <w:r>
        <w:t>Aggée (Personne)</w:t>
      </w:r>
      <w:r>
        <w:t xml:space="preserve"> ; </w:t>
      </w:r>
      <w:r>
        <w:t>Israël, Histoire d'</w:t>
      </w:r>
      <w:r>
        <w:t xml:space="preserve"> ; </w:t>
      </w:r>
      <w:r>
        <w:t>Période postexilique</w:t>
      </w:r>
      <w:r>
        <w:t xml:space="preserve"> ; </w:t>
      </w:r>
      <w:r>
        <w:t>Prophétie</w:t>
      </w:r>
      <w:r>
        <w:t xml:space="preserve"> ; </w:t>
      </w:r>
      <w:r>
        <w:t>Prophète, Prophétesse</w:t>
      </w:r>
      <w:r>
        <w:t>.</w:t>
      </w:r>
      <w:r/>
      <w:r/>
    </w:p>
    <w:p>
      <w:r/>
    </w:p>
    <w:p>
      <w:pPr>
        <w:pStyle w:val="Heading2"/>
      </w:pPr>
      <w:r>
        <w:t>Agriculture</w:t>
      </w:r>
      <w:r/>
    </w:p>
    <w:p>
      <w:r/>
      <w:r>
        <w:t>À l'époque biblique, l'agriculture en Palestine était organisée en trois formes principales, similaires à celles d'aujourd'hui. L'importance accordée à chaque type d'agriculture variait en fonction du développement social et technologique de la société.</w:t>
      </w:r>
    </w:p>
    <w:p>
      <w:pPr>
        <w:pStyle w:val="Heading3"/>
      </w:pPr>
      <w:r>
        <w:t>Vue d'ensemble</w:t>
      </w:r>
    </w:p>
    <w:p>
      <w:r/>
      <w:r>
        <w:t xml:space="preserve">• </w:t>
      </w:r>
      <w:r>
        <w:rPr>
          <w:b/>
          <w:u w:val="single"/>
        </w:rPr>
        <w:t>Élevage</w:t>
      </w:r>
    </w:p>
    <w:p>
      <w:r/>
      <w:r>
        <w:t xml:space="preserve">• </w:t>
      </w:r>
      <w:r>
        <w:rPr>
          <w:b/>
          <w:u w:val="single"/>
        </w:rPr>
        <w:t>Culture des champs</w:t>
      </w:r>
    </w:p>
    <w:p>
      <w:r/>
      <w:r>
        <w:t xml:space="preserve">• </w:t>
      </w:r>
      <w:r>
        <w:rPr>
          <w:b/>
          <w:u w:val="single"/>
        </w:rPr>
        <w:t>Fruiticulture</w:t>
      </w:r>
    </w:p>
    <w:p>
      <w:r/>
      <w:r>
        <w:t xml:space="preserve">• </w:t>
      </w:r>
      <w:r>
        <w:rPr>
          <w:b/>
          <w:u w:val="single"/>
        </w:rPr>
        <w:t>Cultiver</w:t>
      </w:r>
    </w:p>
    <w:p>
      <w:r/>
      <w:r>
        <w:t xml:space="preserve">• </w:t>
      </w:r>
      <w:r>
        <w:rPr>
          <w:b/>
          <w:u w:val="single"/>
        </w:rPr>
        <w:t>Récolter</w:t>
      </w:r>
    </w:p>
    <w:p>
      <w:pPr>
        <w:pStyle w:val="Heading3"/>
      </w:pPr>
      <w:r>
        <w:t>Élevage</w:t>
      </w:r>
    </w:p>
    <w:p>
      <w:r/>
      <w:r>
        <w:t>L'élevage de bétail est l'un des premiers métiers mentionnés dans la Bible. Abel (</w:t>
      </w:r>
      <w:hyperlink r:id="rId19">
        <w:r>
          <w:rPr>
            <w:color w:val="0000EE"/>
            <w:u w:val="single"/>
          </w:rPr>
          <w:t>Gn 4.2</w:t>
        </w:r>
      </w:hyperlink>
      <w:r>
        <w:t>) et Jabal (</w:t>
      </w:r>
      <w:hyperlink r:id="rId467">
        <w:r>
          <w:rPr>
            <w:color w:val="0000EE"/>
            <w:u w:val="single"/>
          </w:rPr>
          <w:t>Gn 4.20</w:t>
        </w:r>
      </w:hyperlink>
      <w:r>
        <w:t>) étaient bergers ou possédaient du bétail. Ce travail convenait à leur mode de vie semi-nomade (se déplaçant d'un endroit à l'autre), fournissant à la fois de la nourriture et des vêtements sans nécessiter de techniques ou d'équipements avancés.</w:t>
      </w:r>
    </w:p>
    <w:p>
      <w:r/>
      <w:r>
        <w:t>Les patriarches Abraham, Isaac et Jacob étaient principalement des bergers, qui faisaient paître leurs moutons et leur bétail sur des terres communes et ne cultivaient généralement pas le sol. Jacob et ses fils sont venus en Égypte en tant que bergers (</w:t>
      </w:r>
      <w:hyperlink r:id="rId468">
        <w:r>
          <w:rPr>
            <w:color w:val="0000EE"/>
            <w:u w:val="single"/>
          </w:rPr>
          <w:t>Gn 47.3</w:t>
        </w:r>
      </w:hyperlink>
      <w:r>
        <w:t>). Plus tard, ce mode de vie continuera parmi les tribus de Ruben, Gad et la demi-tribu de Manassé en Transjordanie (</w:t>
      </w:r>
      <w:hyperlink r:id="rId469">
        <w:r>
          <w:rPr>
            <w:color w:val="0000EE"/>
            <w:u w:val="single"/>
          </w:rPr>
          <w:t>Nb 32.1</w:t>
        </w:r>
      </w:hyperlink>
      <w:r>
        <w:t>), ainsi que dans certaines tribus vivant dans les collines occidentales de la Palestine (</w:t>
      </w:r>
      <w:hyperlink r:id="rId470">
        <w:r>
          <w:rPr>
            <w:color w:val="0000EE"/>
            <w:u w:val="single"/>
          </w:rPr>
          <w:t>1S 25.2</w:t>
        </w:r>
      </w:hyperlink>
      <w:r>
        <w:t>). Même après leur installation plus pérenne, l'élevage est resté une partie importante de la vie hébraïque parce que les animaux pouvaient paître sur des terres moins productives et en raison des pratiques traditionnelles, y compris les sacrifices faits dans le temple.</w:t>
      </w:r>
    </w:p>
    <w:p>
      <w:pPr>
        <w:pStyle w:val="Heading3"/>
      </w:pPr>
      <w:r>
        <w:t>Culture des champs</w:t>
      </w:r>
    </w:p>
    <w:p>
      <w:r/>
      <w:r>
        <w:t>La plupart des experts pensent que les Israélites ont appris à cultiver grâce aux Cananéens, car ils étaient en contact avec eux lorsqu'ils se sont installés dans la Terre Promise. Bien que la culture des céréales ait existé avant cela, Caïn étant un agriculteur ou « laboureur » (</w:t>
      </w:r>
      <w:hyperlink r:id="rId19">
        <w:r>
          <w:rPr>
            <w:color w:val="0000EE"/>
            <w:u w:val="single"/>
          </w:rPr>
          <w:t>Gn 4.2</w:t>
        </w:r>
      </w:hyperlink>
      <w:r>
        <w:t>), il est difficle de savoir ce qu'il cultivait exactement. Les archéologues ont trouvé des preuves de la culture céréalière datant d'environ 6 800 av. J.‑C. au Proche-Orient. Isaac a semé du grain à Guérar (</w:t>
      </w:r>
      <w:hyperlink r:id="rId471">
        <w:r>
          <w:rPr>
            <w:color w:val="0000EE"/>
            <w:u w:val="single"/>
          </w:rPr>
          <w:t>Gn 26.12</w:t>
        </w:r>
      </w:hyperlink>
      <w:r>
        <w:t>), et Joseph a rêvé de gerbes de grain (</w:t>
      </w:r>
      <w:hyperlink r:id="rId472">
        <w:r>
          <w:rPr>
            <w:color w:val="0000EE"/>
            <w:u w:val="single"/>
          </w:rPr>
          <w:t>Gn 37.6</w:t>
        </w:r>
      </w:hyperlink>
      <w:r>
        <w:t>–</w:t>
      </w:r>
      <w:hyperlink r:id="rId472">
        <w:r>
          <w:rPr>
            <w:color w:val="0000EE"/>
            <w:u w:val="single"/>
          </w:rPr>
          <w:t>7</w:t>
        </w:r>
      </w:hyperlink>
      <w:r>
        <w:t>). Joseph a probablement appris davantage sur la culture des céréales de la part des Égyptiens, qui les cultivaient sur les sols riches du Nil.</w:t>
      </w:r>
    </w:p>
    <w:p>
      <w:r/>
      <w:r>
        <w:t>Cependant, ce sont les Cananéens qui ont appris aux Israélites à cultiver le grain. Josué et Caleb ont rapporté la productivité de Canaan à Kadès-Barnéa (</w:t>
      </w:r>
      <w:hyperlink r:id="rId473">
        <w:r>
          <w:rPr>
            <w:color w:val="0000EE"/>
            <w:u w:val="single"/>
          </w:rPr>
          <w:t>Nb 13.26</w:t>
        </w:r>
      </w:hyperlink>
      <w:r>
        <w:t>), et les Cananéens conquis ont probablement aidé leurs conquérants à apprendre les techniques agricoles. Cette interaction a peut-être aussi contribué aux rechutes répétées des Israélites dans l'idolâtrie (</w:t>
      </w:r>
      <w:hyperlink r:id="rId474">
        <w:r>
          <w:rPr>
            <w:color w:val="0000EE"/>
            <w:u w:val="single"/>
          </w:rPr>
          <w:t>Jg 9.27</w:t>
        </w:r>
      </w:hyperlink>
      <w:r>
        <w:t>). La rapidité avec laquelle ils sont passés d'un mode de vie nomade à un mode de vie sédentaire n'est pas claire. Certaines tribus sont restées nomades, mais à l'époque des rois, de nombreux Israélites cultivaient la terre (</w:t>
      </w:r>
      <w:hyperlink r:id="rId475">
        <w:r>
          <w:rPr>
            <w:color w:val="0000EE"/>
            <w:u w:val="single"/>
          </w:rPr>
          <w:t>2S 14.30</w:t>
        </w:r>
      </w:hyperlink>
      <w:r>
        <w:t>).</w:t>
      </w:r>
    </w:p>
    <w:p>
      <w:r/>
      <w:r>
        <w:t>Le blé était l'une des cultures les plus importantes. Salomon enverra de grandes quantités de blé, ainsi que de l'orge et de l'huile, à Hiram (</w:t>
      </w:r>
      <w:hyperlink r:id="rId476">
        <w:r>
          <w:rPr>
            <w:color w:val="0000EE"/>
            <w:u w:val="single"/>
          </w:rPr>
          <w:t>2Ch 2.10</w:t>
        </w:r>
      </w:hyperlink>
      <w:r>
        <w:t>), et cela continuera d'être une exportation majeure (</w:t>
      </w:r>
      <w:hyperlink r:id="rId477">
        <w:r>
          <w:rPr>
            <w:color w:val="0000EE"/>
            <w:u w:val="single"/>
          </w:rPr>
          <w:t>Ez 27.17</w:t>
        </w:r>
      </w:hyperlink>
      <w:r>
        <w:t>). L'orge était la deuxième culture la plus importante, ayant été l'ingrédient principal du pain à l'origine (</w:t>
      </w:r>
      <w:hyperlink r:id="rId478">
        <w:r>
          <w:rPr>
            <w:color w:val="0000EE"/>
            <w:u w:val="single"/>
          </w:rPr>
          <w:t>Jg 7.13</w:t>
        </w:r>
      </w:hyperlink>
      <w:r>
        <w:t>). Plus tard, elle deviendra un aliment important pour les personnes plus pauvres (</w:t>
      </w:r>
      <w:hyperlink r:id="rId479">
        <w:r>
          <w:rPr>
            <w:color w:val="0000EE"/>
            <w:u w:val="single"/>
          </w:rPr>
          <w:t>Jn 6.9, 13</w:t>
        </w:r>
      </w:hyperlink>
      <w:r>
        <w:t>). Elle était également utilisée comme nourriture pour le bétail.</w:t>
      </w:r>
    </w:p>
    <w:p>
      <w:r/>
      <w:r>
        <w:t>D'autres cultures de champêtres comprenaient les haricots et les lentilles (</w:t>
      </w:r>
      <w:hyperlink r:id="rId480">
        <w:r>
          <w:rPr>
            <w:color w:val="0000EE"/>
            <w:u w:val="single"/>
          </w:rPr>
          <w:t>2S 17.28</w:t>
        </w:r>
      </w:hyperlink>
      <w:r>
        <w:t>), qui étaient moulus en farine et parfois utilisés pour faire du pain (</w:t>
      </w:r>
      <w:hyperlink r:id="rId481">
        <w:r>
          <w:rPr>
            <w:color w:val="0000EE"/>
            <w:u w:val="single"/>
          </w:rPr>
          <w:t>Ez 4.9</w:t>
        </w:r>
      </w:hyperlink>
      <w:r>
        <w:t>). Les poireaux, l'ail et les oignons étaient cultivés pour l'assaisonnement, tandis que le cumin, la coriandre, l'aneth, la menthe, la rue et la moutarde étaient utilisés comme épices. Le lin était important (</w:t>
      </w:r>
      <w:hyperlink r:id="rId482">
        <w:r>
          <w:rPr>
            <w:color w:val="0000EE"/>
            <w:u w:val="single"/>
          </w:rPr>
          <w:t>Jos 2.6</w:t>
        </w:r>
      </w:hyperlink>
      <w:r>
        <w:t>) et on cultivait un peu de coton (</w:t>
      </w:r>
      <w:hyperlink r:id="rId483">
        <w:r>
          <w:rPr>
            <w:color w:val="0000EE"/>
            <w:u w:val="single"/>
          </w:rPr>
          <w:t>Es 19.9</w:t>
        </w:r>
      </w:hyperlink>
      <w:r>
        <w:t>). La laine était utilisée pour compléter les approvisionnements en fibres. À l'époque romaine, le coton était devenu plus important que le lin.</w:t>
      </w:r>
    </w:p>
    <w:p>
      <w:pPr>
        <w:pStyle w:val="Heading3"/>
      </w:pPr>
      <w:r>
        <w:t>Fruiticulture</w:t>
      </w:r>
    </w:p>
    <w:p>
      <w:r/>
      <w:r>
        <w:t>Une fois installés, les Israélites ont commencé à planter des vergers et des vignobles, qui sont devenus des symboles de prospérité. Les vignobles produisaient du vin pour la consommation, tandis que les vergers d'oliviers fournissaient de l'huile utilisée en cuisine, en cosmétique et en médecine. Ils cultivaient également des figues et des grenades. La culture de ces récoltes nécessitait plus de compétences et d'équipements par rapport aux pratiques agricoles antérieures.</w:t>
      </w:r>
    </w:p>
    <w:p>
      <w:pPr>
        <w:pStyle w:val="Heading3"/>
      </w:pPr>
      <w:r>
        <w:t>Cultiver</w:t>
      </w:r>
    </w:p>
    <w:p>
      <w:r/>
      <w:r>
        <w:t>Tout au long des temps bibliques, une grande partie du travail agricole était effectuée par les agriculteurs eux-mêmes. Pour commencer à planter, ils devaient défricher la terre des forêts (</w:t>
      </w:r>
      <w:hyperlink r:id="rId484">
        <w:r>
          <w:rPr>
            <w:color w:val="0000EE"/>
            <w:u w:val="single"/>
          </w:rPr>
          <w:t>Jos 17.18</w:t>
        </w:r>
      </w:hyperlink>
      <w:r>
        <w:t>), des pierres (</w:t>
      </w:r>
      <w:hyperlink r:id="rId485">
        <w:r>
          <w:rPr>
            <w:color w:val="0000EE"/>
            <w:u w:val="single"/>
          </w:rPr>
          <w:t>Es 5.2</w:t>
        </w:r>
      </w:hyperlink>
      <w:r>
        <w:t>), des mauvaises herbes et des épines. Parfois, ils aménageaient en terrasses les terres vallonnées ou utilisaient l'irrigation. Ces tâches limitaient la taille des exploitations agricoles, de sorte que seuls des individus riches comme Job et Boaz pouvaient avoir de grandes fermes.</w:t>
      </w:r>
    </w:p>
    <w:p>
      <w:r/>
      <w:r>
        <w:t>Pour labourer la terre, les agriculteurs utilisaient des bœufs ou des vaches pour tirer des charrues très basiques (</w:t>
      </w:r>
      <w:hyperlink r:id="rId486">
        <w:r>
          <w:rPr>
            <w:color w:val="0000EE"/>
            <w:u w:val="single"/>
          </w:rPr>
          <w:t>Jg 14.18</w:t>
        </w:r>
      </w:hyperlink>
      <w:r>
        <w:t xml:space="preserve"> ; </w:t>
      </w:r>
      <w:hyperlink r:id="rId487">
        <w:r>
          <w:rPr>
            <w:color w:val="0000EE"/>
            <w:u w:val="single"/>
          </w:rPr>
          <w:t>Am 6.12</w:t>
        </w:r>
      </w:hyperlink>
      <w:r>
        <w:t>). Occasionnellement, on utilisait des ânes (</w:t>
      </w:r>
      <w:hyperlink r:id="rId488">
        <w:r>
          <w:rPr>
            <w:color w:val="0000EE"/>
            <w:u w:val="single"/>
          </w:rPr>
          <w:t>Dt 22.10</w:t>
        </w:r>
      </w:hyperlink>
      <w:r>
        <w:t>). Ils brisaient les mottes avec une houe ou un aiguillon, et lissaient la surface en traînant une simple herse, qui pouvait être un buisson épineux ou un traîneau de pierre. Les graines étaient semées à la main, soit soigneusement dans des sillons, soit répandues sur la surface puis légèrement recouvertes avec une herse ou un traîneau de pierre. Les mauvaises herbes étaient maîtrisées grâce à la charrue, la herse ou la houe.</w:t>
      </w:r>
    </w:p>
    <w:p>
      <w:r/>
      <w:r>
        <w:t>Les outils agricoles ont peu changé au cours des temps bibliques. La charrue était un simple morceau de bois dur en forme de J, attaché aux bœufs à une extrémité et tenu par le conducteur à l'autre extrémité. Cet outil de base ne pouvait briser que 10 à 15 centimètres) de sol. Après l'Exode, la pointe de la charrue a commencé à être faite à partir du fer (</w:t>
      </w:r>
      <w:hyperlink r:id="rId489">
        <w:r>
          <w:rPr>
            <w:color w:val="0000EE"/>
            <w:u w:val="single"/>
          </w:rPr>
          <w:t>1S 13.20</w:t>
        </w:r>
      </w:hyperlink>
      <w:r>
        <w:t>), ce qui a principalement aidé à réduire l'usure.</w:t>
      </w:r>
    </w:p>
    <w:p>
      <w:r/>
      <w:r>
        <w:t>L'utilisation d'engrais était très limitée dans les fermes palestiniennes. La loi exigeait que les champs restent en jachère tous les sept ans pour aider à reconstituer l'eau et les nutriments du sol. Le fumage des champs était rare car le fumier était principalement utilisé comme combustible. Cependant, la Bible mentionne une certaine utilisation de fumier autour des arbres (</w:t>
      </w:r>
      <w:hyperlink r:id="rId490">
        <w:r>
          <w:rPr>
            <w:color w:val="0000EE"/>
            <w:u w:val="single"/>
          </w:rPr>
          <w:t>Lc 13.8</w:t>
        </w:r>
      </w:hyperlink>
      <w:r>
        <w:t>). La Mishnah note l'utilisation de cendres de bois, de feuilles, de sang animal et de résidus d'huile comme engrais.</w:t>
      </w:r>
    </w:p>
    <w:p>
      <w:pPr>
        <w:pStyle w:val="Heading3"/>
      </w:pPr>
      <w:r>
        <w:t>Récolter</w:t>
      </w:r>
    </w:p>
    <w:p>
      <w:r/>
      <w:r>
        <w:t>Les semis étaient effectués au début de la saison des pluies, et la récolte commençait à la fin de celle-ci. La récolte durait généralement au moins sept semaines. Certaines cultures, comme les légumineuses, étaient arrachées par les racines, tandis que d'autres, comme certaines céréales, étaient déterrées grâce à une houe. Cependant, la plupart des cultures étaient coupées avec une faucille. Les archéologues ont trouvé des faucilles en fer, certaines avec des éclats de silex insérés dans les bords tranchants. Le grain récolté était attaché en gerbes (</w:t>
      </w:r>
      <w:hyperlink r:id="rId491">
        <w:r>
          <w:rPr>
            <w:color w:val="0000EE"/>
            <w:u w:val="single"/>
          </w:rPr>
          <w:t>Ps 126.6</w:t>
        </w:r>
      </w:hyperlink>
      <w:r>
        <w:t>) et empilé en tas pour être emporté à l'aire de battage. L'orge était récoltée en premier, suivie du blé.</w:t>
      </w:r>
    </w:p>
    <w:p>
      <w:r/>
      <w:r>
        <w:t>De petites quantités de grain, d'aneth, de cumin et d'autres petites cultures étaient battues avec un fléau (</w:t>
      </w:r>
      <w:hyperlink r:id="rId492">
        <w:r>
          <w:rPr>
            <w:color w:val="0000EE"/>
            <w:u w:val="single"/>
          </w:rPr>
          <w:t>Jg 6.11</w:t>
        </w:r>
      </w:hyperlink>
      <w:r>
        <w:t xml:space="preserve"> ; </w:t>
      </w:r>
      <w:hyperlink r:id="rId493">
        <w:r>
          <w:rPr>
            <w:color w:val="0000EE"/>
            <w:u w:val="single"/>
          </w:rPr>
          <w:t>Rt 2.17</w:t>
        </w:r>
      </w:hyperlink>
      <w:r>
        <w:t>). La plupart des grains étaient battus sur un sol surélevé pour que le vent emporte la paille. La méthode courante consistait à étaler la paille desserrée sur le sol et à y faire passer des bœufs pour libérer les grains. Parfois, de lourds outils lestés de pierres étaient tirés sur la paille (</w:t>
      </w:r>
      <w:hyperlink r:id="rId494">
        <w:r>
          <w:rPr>
            <w:color w:val="0000EE"/>
            <w:u w:val="single"/>
          </w:rPr>
          <w:t>Es 28.27</w:t>
        </w:r>
      </w:hyperlink>
      <w:r>
        <w:t xml:space="preserve"> ; </w:t>
      </w:r>
      <w:hyperlink r:id="rId495">
        <w:r>
          <w:rPr>
            <w:color w:val="0000EE"/>
            <w:u w:val="single"/>
          </w:rPr>
          <w:t>41.15</w:t>
        </w:r>
      </w:hyperlink>
      <w:r>
        <w:t>). Ces outils étaient montés par le conducteur. La paille qui en résultait était séparée du grain par un processus appelé vannage, où le mélange était lancé en l'air avec une fourche ou une pelle (</w:t>
      </w:r>
      <w:hyperlink r:id="rId496">
        <w:r>
          <w:rPr>
            <w:color w:val="0000EE"/>
            <w:u w:val="single"/>
          </w:rPr>
          <w:t>Es 30.24</w:t>
        </w:r>
      </w:hyperlink>
      <w:r>
        <w:t xml:space="preserve"> ; </w:t>
      </w:r>
      <w:hyperlink r:id="rId497">
        <w:r>
          <w:rPr>
            <w:color w:val="0000EE"/>
            <w:u w:val="single"/>
          </w:rPr>
          <w:t>Jé 15.7</w:t>
        </w:r>
      </w:hyperlink>
      <w:r>
        <w:t>). La paille plus légère était emportée par le vent, tandis que le grain plus lourd tombait au sol. La paille était soit brûlée, soit utilisée comme nourriture pour animaux. Le grain était tamisé (</w:t>
      </w:r>
      <w:hyperlink r:id="rId498">
        <w:r>
          <w:rPr>
            <w:color w:val="0000EE"/>
            <w:u w:val="single"/>
          </w:rPr>
          <w:t>Am 9.9</w:t>
        </w:r>
      </w:hyperlink>
      <w:r>
        <w:t>), rassemblé en tas et ensuite stocké dans des fosses couvertes dans le champ (</w:t>
      </w:r>
      <w:hyperlink r:id="rId499">
        <w:r>
          <w:rPr>
            <w:color w:val="0000EE"/>
            <w:u w:val="single"/>
          </w:rPr>
          <w:t>Jé 41.8</w:t>
        </w:r>
      </w:hyperlink>
      <w:r>
        <w:t>). Parfois, il était stocké dans des greniers (</w:t>
      </w:r>
      <w:hyperlink r:id="rId500">
        <w:r>
          <w:rPr>
            <w:color w:val="0000EE"/>
            <w:u w:val="single"/>
          </w:rPr>
          <w:t>Dt 28.8</w:t>
        </w:r>
      </w:hyperlink>
      <w:r>
        <w:t>).</w:t>
      </w:r>
    </w:p>
    <w:p>
      <w:r/>
      <w:r>
        <w:rPr>
          <w:i/>
        </w:rPr>
        <w:t>Voir aussi</w:t>
      </w:r>
      <w:r>
        <w:t xml:space="preserve"> </w:t>
      </w:r>
      <w:r>
        <w:t>Plantes</w:t>
      </w:r>
      <w:r>
        <w:t xml:space="preserve"> ; </w:t>
      </w:r>
      <w:r>
        <w:t>Récolte</w:t>
      </w:r>
      <w:r>
        <w:t xml:space="preserve"> ; </w:t>
      </w:r>
      <w:r>
        <w:t>Palestine</w:t>
      </w:r>
      <w:r>
        <w:t xml:space="preserve"> ; </w:t>
      </w:r>
      <w:r>
        <w:t>Vignes, Vignoble</w:t>
      </w:r>
      <w:r>
        <w:t xml:space="preserve"> ; </w:t>
      </w:r>
      <w:r>
        <w:t>Nourriture et Préparation des Aliments</w:t>
      </w:r>
      <w:r>
        <w:t>.</w:t>
      </w:r>
      <w:r/>
      <w:r/>
    </w:p>
    <w:p>
      <w:r/>
    </w:p>
    <w:p>
      <w:pPr>
        <w:pStyle w:val="Heading2"/>
      </w:pPr>
      <w:r>
        <w:t>Agur</w:t>
      </w:r>
      <w:r/>
    </w:p>
    <w:p>
      <w:r/>
      <w:r>
        <w:t xml:space="preserve">Fils de Jaké. Bien que non-Israélite, il a écrit ou recueilli les dictons dans </w:t>
      </w:r>
      <w:hyperlink r:id="rId501">
        <w:r>
          <w:rPr>
            <w:color w:val="0000EE"/>
            <w:u w:val="single"/>
          </w:rPr>
          <w:t>Proverbes 30</w:t>
        </w:r>
      </w:hyperlink>
      <w:r>
        <w:t>. Agur était de Massa (</w:t>
      </w:r>
      <w:hyperlink r:id="rId502">
        <w:r>
          <w:rPr>
            <w:color w:val="0000EE"/>
            <w:u w:val="single"/>
          </w:rPr>
          <w:t>Pr 30.1</w:t>
        </w:r>
      </w:hyperlink>
      <w:r>
        <w:t>), une région du nord de l'Arabie qui a été colonisée par un fils d'Ismaël (</w:t>
      </w:r>
      <w:hyperlink r:id="rId503">
        <w:r>
          <w:rPr>
            <w:color w:val="0000EE"/>
            <w:u w:val="single"/>
          </w:rPr>
          <w:t>Gn 25.14</w:t>
        </w:r>
      </w:hyperlink>
      <w:r>
        <w:t xml:space="preserve"> ; </w:t>
      </w:r>
      <w:hyperlink r:id="rId504">
        <w:r>
          <w:rPr>
            <w:color w:val="0000EE"/>
            <w:u w:val="single"/>
          </w:rPr>
          <w:t>1Ch 1.30</w:t>
        </w:r>
      </w:hyperlink>
      <w:r>
        <w:t>).</w:t>
      </w:r>
    </w:p>
    <w:p>
      <w:r/>
      <w:r>
        <w:rPr>
          <w:i/>
        </w:rPr>
        <w:t>Voir</w:t>
      </w:r>
      <w:r>
        <w:t xml:space="preserve"> </w:t>
      </w:r>
      <w:r>
        <w:t>Proverbes, Livre des</w:t>
      </w:r>
      <w:r>
        <w:t>.</w:t>
      </w:r>
      <w:r/>
      <w:r/>
    </w:p>
    <w:p>
      <w:r/>
    </w:p>
    <w:p>
      <w:pPr>
        <w:pStyle w:val="Heading2"/>
      </w:pPr>
      <w:r>
        <w:t>Ahuzath</w:t>
      </w:r>
      <w:r/>
    </w:p>
    <w:p>
      <w:r/>
      <w:r>
        <w:t>Conseiller royal d'Abimélec de Guérar. Ahuzath est allé avec Abimélec à Beer-Schéba pour conclure un accord avec Isaac (</w:t>
      </w:r>
      <w:hyperlink r:id="rId505">
        <w:r>
          <w:rPr>
            <w:color w:val="0000EE"/>
            <w:u w:val="single"/>
          </w:rPr>
          <w:t>Gn 26.26</w:t>
        </w:r>
      </w:hyperlink>
      <w:r>
        <w:t>).</w:t>
      </w:r>
      <w:r/>
      <w:r/>
    </w:p>
    <w:p>
      <w:r/>
    </w:p>
    <w:p>
      <w:pPr>
        <w:pStyle w:val="Heading2"/>
      </w:pPr>
      <w:r>
        <w:t>Aï</w:t>
      </w:r>
      <w:r/>
    </w:p>
    <w:p>
      <w:r/>
      <w:r>
        <w:t>Ville cananéenne qui existait avant l'époque d'Abraham (</w:t>
      </w:r>
      <w:hyperlink r:id="rId88">
        <w:r>
          <w:rPr>
            <w:color w:val="0000EE"/>
            <w:u w:val="single"/>
          </w:rPr>
          <w:t>Gn 12.8</w:t>
        </w:r>
      </w:hyperlink>
      <w:r>
        <w:t xml:space="preserve"> ; </w:t>
      </w:r>
      <w:hyperlink r:id="rId506">
        <w:r>
          <w:rPr>
            <w:color w:val="0000EE"/>
            <w:u w:val="single"/>
          </w:rPr>
          <w:t>13.3</w:t>
        </w:r>
      </w:hyperlink>
      <w:r>
        <w:t>). « Aï » signifie « ruine », ce qui pourrait indiquer qu'il s'aggissait d'un lieu en ruines important ou remarquable. Lorsque Abraham voyagera dans la région, les habitants d'Aï et d'autres villes cananéennes (Sichem, Béthel, Jérusalem) ne l'ont pas arrêté. Peut-être qu'Abraham a parlé à leurs rois et a montré qu'il venait en paix. Ou peut-être qu'Abraham avait tellement de gens avec lui que les Cananéens avaient peur de le combattre.</w:t>
      </w:r>
    </w:p>
    <w:p>
      <w:r/>
      <w:r>
        <w:t>Plus tard, lorsque Josué conduira les Israélites en Canaan, ils attaqueront Aï. C'était la deuxième ville contre laquelle ils se sont battus. Ils perdront lors de leur première attaque, dû au fait qu'un soldat israélite nommé Acan avait désobéi à Dieu en prenant des objets de Jéricho. Après avoir réglé le cas d'Acan, les Israélites attaqueront de nouveau et gagneront (</w:t>
      </w:r>
      <w:hyperlink r:id="rId507">
        <w:r>
          <w:rPr>
            <w:color w:val="0000EE"/>
            <w:u w:val="single"/>
          </w:rPr>
          <w:t>Jos 7.1–8.2</w:t>
        </w:r>
      </w:hyperlink>
      <w:r>
        <w:t>). Josué capturera le roi d'Aï, le tuera et brûlera la ville (</w:t>
      </w:r>
      <w:hyperlink r:id="rId508">
        <w:r>
          <w:rPr>
            <w:color w:val="0000EE"/>
            <w:u w:val="single"/>
          </w:rPr>
          <w:t>Jos 10.1</w:t>
        </w:r>
      </w:hyperlink>
      <w:r>
        <w:t>).</w:t>
      </w:r>
    </w:p>
    <w:p>
      <w:r/>
      <w:r>
        <w:t>Aï sera reconstruite et repeuplée à l'époque des rois Saül, David et Salomon. La ville semble avoir eu différents noms à différentes époques :</w:t>
      </w:r>
    </w:p>
    <w:p>
      <w:pPr>
        <w:pStyle w:val="ListBullet"/>
        <w:spacing w:line="240" w:lineRule="auto"/>
        <w:ind w:left="720"/>
      </w:pPr>
      <w:r/>
      <w:r>
        <w:t>Gaza, un village d'Éphraïm (</w:t>
      </w:r>
      <w:hyperlink r:id="rId509">
        <w:r>
          <w:rPr>
            <w:color w:val="0000EE"/>
            <w:u w:val="single"/>
          </w:rPr>
          <w:t>1Ch 7.28</w:t>
        </w:r>
      </w:hyperlink>
      <w:r>
        <w:t>)</w:t>
      </w:r>
    </w:p>
    <w:p>
      <w:pPr>
        <w:pStyle w:val="ListBullet"/>
        <w:spacing w:line="240" w:lineRule="auto"/>
        <w:ind w:left="720"/>
      </w:pPr>
      <w:r/>
      <w:r>
        <w:t>Ajjath, un village que les armées assyriennes ont traversé en route vers Jérusalem (</w:t>
      </w:r>
      <w:hyperlink r:id="rId510">
        <w:r>
          <w:rPr>
            <w:color w:val="0000EE"/>
            <w:u w:val="single"/>
          </w:rPr>
          <w:t>Es 10.28</w:t>
        </w:r>
      </w:hyperlink>
      <w:r>
        <w:t>)</w:t>
      </w:r>
    </w:p>
    <w:p>
      <w:pPr>
        <w:pStyle w:val="ListBullet"/>
        <w:spacing w:line="240" w:lineRule="auto"/>
        <w:ind w:left="720"/>
      </w:pPr>
      <w:r/>
      <w:r>
        <w:t>Ajja, un village où vivaient les gens de la tribu de Benjamin après leur retour d'exil (</w:t>
      </w:r>
      <w:hyperlink r:id="rId511">
        <w:r>
          <w:rPr>
            <w:color w:val="0000EE"/>
            <w:u w:val="single"/>
          </w:rPr>
          <w:t>Né 11.31</w:t>
        </w:r>
      </w:hyperlink>
      <w:r>
        <w:t>)</w:t>
      </w:r>
    </w:p>
    <w:p>
      <w:r/>
      <w:r>
        <w:rPr>
          <w:i/>
        </w:rPr>
        <w:t>Voir aussi</w:t>
      </w:r>
      <w:r>
        <w:t xml:space="preserve"> </w:t>
      </w:r>
      <w:r>
        <w:t>Conquête et répartition de la terre</w:t>
      </w:r>
      <w:r>
        <w:t xml:space="preserve"> ; </w:t>
      </w:r>
      <w:r>
        <w:t>Josué, Livre de</w:t>
      </w:r>
      <w:r>
        <w:t>.</w:t>
      </w:r>
      <w:r/>
      <w:r/>
    </w:p>
    <w:p>
      <w:r/>
    </w:p>
    <w:p>
      <w:pPr>
        <w:pStyle w:val="Heading2"/>
      </w:pPr>
      <w:r>
        <w:t>Aiguille</w:t>
      </w:r>
      <w:r/>
    </w:p>
    <w:p>
      <w:r/>
      <w:r>
        <w:t xml:space="preserve">Mince tige pointue qui sert à coudre et raccommoder des tissus. Un jeune homme riche a demandé à Jésus que faire pour avoir la vie éternelle. Mais quand Jésus lui a dit de vendre ses biens pour les donner aux pauvres et de le suivre, le jeune homme riche s'est senti très triste et est parti. C'est alors que Jésus a dit à ses disciples : « </w:t>
      </w:r>
      <w:r>
        <w:t>il est plus facile à un chameau de passer par le trou d’une aiguille qu’à un riche d’entrer dans le royaume de Dieu</w:t>
      </w:r>
      <w:r>
        <w:t xml:space="preserve"> » (</w:t>
      </w:r>
      <w:hyperlink r:id="rId512">
        <w:r>
          <w:rPr>
            <w:color w:val="0000EE"/>
            <w:u w:val="single"/>
          </w:rPr>
          <w:t xml:space="preserve">Mt 19.24 </w:t>
        </w:r>
      </w:hyperlink>
      <w:r>
        <w:t xml:space="preserve">; </w:t>
      </w:r>
      <w:hyperlink r:id="rId513">
        <w:r>
          <w:rPr>
            <w:color w:val="0000EE"/>
            <w:u w:val="single"/>
          </w:rPr>
          <w:t xml:space="preserve">Mc 10.25 </w:t>
        </w:r>
      </w:hyperlink>
      <w:r>
        <w:t xml:space="preserve">; </w:t>
      </w:r>
      <w:hyperlink r:id="rId514">
        <w:r>
          <w:rPr>
            <w:color w:val="0000EE"/>
            <w:u w:val="single"/>
          </w:rPr>
          <w:t>Lc18.25</w:t>
        </w:r>
      </w:hyperlink>
      <w:r>
        <w:t>).</w:t>
      </w:r>
    </w:p>
    <w:p>
      <w:r/>
      <w:r>
        <w:t xml:space="preserve">Jésus ne condamnait pas le fait d'être riche ou d'avoir des biens. Il condamnait plutôt l'amour des richesses, qui empêche quelqu'un de véritablement se consacrer à Dieu, comme ce jeune homme riche (voir </w:t>
      </w:r>
      <w:hyperlink r:id="rId515">
        <w:r>
          <w:rPr>
            <w:color w:val="0000EE"/>
            <w:u w:val="single"/>
          </w:rPr>
          <w:t>Mt 19.21–22</w:t>
        </w:r>
      </w:hyperlink>
      <w:r>
        <w:t xml:space="preserve"> ; </w:t>
      </w:r>
      <w:hyperlink r:id="rId516">
        <w:r>
          <w:rPr>
            <w:color w:val="0000EE"/>
            <w:u w:val="single"/>
          </w:rPr>
          <w:t>Mc 10.21–22</w:t>
        </w:r>
      </w:hyperlink>
      <w:r>
        <w:t xml:space="preserve"> ; </w:t>
      </w:r>
      <w:hyperlink r:id="rId517">
        <w:r>
          <w:rPr>
            <w:color w:val="0000EE"/>
            <w:u w:val="single"/>
          </w:rPr>
          <w:t>Lc 18.22–23</w:t>
        </w:r>
      </w:hyperlink>
      <w:r>
        <w:t xml:space="preserve">). </w:t>
      </w:r>
    </w:p>
    <w:p>
      <w:r/>
      <w:r>
        <w:t xml:space="preserve">Le chameau était le plus grand animal terrestre présent en Palestine. Il est impossible pour un tel animal de passer par le trou d'une aiguille, qui est extrêmement petit. Ce serait absurde pour un chameau de tenter cela. Le jeune homme pensait peut-être que sa richesse lui donnerait des avantages spirituels, ce qui est tout aussi absurde. </w:t>
      </w:r>
    </w:p>
    <w:p>
      <w:r/>
      <w:r>
        <w:t>Une idée similaire est mentionnée dans des écrits rabbiniques, mais il s'agit d'un éléphant plutôt qu'un chameau qui devrait passer par le trou d'une aiguille.</w:t>
      </w:r>
      <w:r/>
      <w:r/>
    </w:p>
    <w:p>
      <w:r/>
    </w:p>
    <w:p>
      <w:pPr>
        <w:pStyle w:val="Heading2"/>
      </w:pPr>
      <w:r>
        <w:t>Ajja</w:t>
      </w:r>
      <w:r/>
    </w:p>
    <w:p>
      <w:pPr>
        <w:pStyle w:val="ListNumber"/>
        <w:spacing w:line="240" w:lineRule="auto"/>
        <w:ind w:left="720"/>
      </w:pPr>
      <w:r/>
      <w:r>
        <w:t>Fils de Tsibeon, un Horite descendant de Séir. Ajja est mentionné dans la liste des ancêtres d'Ésaü (</w:t>
      </w:r>
      <w:hyperlink r:id="rId518">
        <w:r>
          <w:rPr>
            <w:color w:val="0000EE"/>
            <w:u w:val="single"/>
          </w:rPr>
          <w:t>Gn 36.24</w:t>
        </w:r>
      </w:hyperlink>
      <w:r>
        <w:t xml:space="preserve"> ; </w:t>
      </w:r>
      <w:hyperlink r:id="rId519">
        <w:r>
          <w:rPr>
            <w:color w:val="0000EE"/>
            <w:u w:val="single"/>
          </w:rPr>
          <w:t>1Ch 1.35</w:t>
        </w:r>
      </w:hyperlink>
      <w:r>
        <w:t>–</w:t>
      </w:r>
      <w:hyperlink r:id="rId519">
        <w:r>
          <w:rPr>
            <w:color w:val="0000EE"/>
            <w:u w:val="single"/>
          </w:rPr>
          <w:t>40</w:t>
        </w:r>
      </w:hyperlink>
      <w:r>
        <w:t>).</w:t>
      </w:r>
    </w:p>
    <w:p>
      <w:pPr>
        <w:pStyle w:val="ListNumber"/>
        <w:spacing w:line="240" w:lineRule="auto"/>
        <w:ind w:left="720"/>
      </w:pPr>
      <w:r/>
      <w:r>
        <w:t>Père (ou peut-être la mère) de Ritspa, la concubine de Saül (</w:t>
      </w:r>
      <w:hyperlink r:id="rId520">
        <w:r>
          <w:rPr>
            <w:color w:val="0000EE"/>
            <w:u w:val="single"/>
          </w:rPr>
          <w:t>2S 3.7</w:t>
        </w:r>
      </w:hyperlink>
      <w:r>
        <w:t xml:space="preserve"> ; </w:t>
      </w:r>
      <w:hyperlink r:id="rId521">
        <w:r>
          <w:rPr>
            <w:color w:val="0000EE"/>
            <w:u w:val="single"/>
          </w:rPr>
          <w:t>21.8</w:t>
        </w:r>
      </w:hyperlink>
      <w:r>
        <w:t>–</w:t>
      </w:r>
      <w:hyperlink r:id="rId521">
        <w:r>
          <w:rPr>
            <w:color w:val="0000EE"/>
            <w:u w:val="single"/>
          </w:rPr>
          <w:t>11</w:t>
        </w:r>
      </w:hyperlink>
      <w:r>
        <w:t>).</w:t>
      </w:r>
      <w:r/>
      <w:r/>
    </w:p>
    <w:p>
      <w:r/>
    </w:p>
    <w:p>
      <w:pPr>
        <w:pStyle w:val="Heading2"/>
      </w:pPr>
      <w:r>
        <w:t>Akan</w:t>
      </w:r>
      <w:r/>
    </w:p>
    <w:p>
      <w:r/>
      <w:r>
        <w:t>Un autre nom pour Jaakan, un fils d'Ézer (</w:t>
      </w:r>
      <w:hyperlink r:id="rId522">
        <w:r>
          <w:rPr>
            <w:color w:val="0000EE"/>
            <w:u w:val="single"/>
          </w:rPr>
          <w:t>Gn 36.27</w:t>
        </w:r>
      </w:hyperlink>
      <w:r>
        <w:t>).</w:t>
      </w:r>
    </w:p>
    <w:p>
      <w:r/>
      <w:r>
        <w:rPr>
          <w:i/>
        </w:rPr>
        <w:t>Voir</w:t>
      </w:r>
      <w:r>
        <w:t xml:space="preserve"> </w:t>
      </w:r>
      <w:r>
        <w:t>Jaakan</w:t>
      </w:r>
      <w:r>
        <w:t>.</w:t>
      </w:r>
      <w:r/>
      <w:r/>
    </w:p>
    <w:p>
      <w:r/>
    </w:p>
    <w:p>
      <w:pPr>
        <w:pStyle w:val="Heading2"/>
      </w:pPr>
      <w:r>
        <w:t>Alexandre</w:t>
      </w:r>
      <w:r/>
    </w:p>
    <w:p>
      <w:r/>
      <w:r>
        <w:t>1. Le conquérant macédonien, Alexandre le Grand, est né en 356 av. J.‑C. et est mort en 323 av. J.‑C. Sa vie a influencé l'histoire et la culture pendant plus de deux millénaires, jusqu'à nos jours. Brillant organisateur et stratège militaire, sa plus grande réussite fut l'hellénisation (la diffusion de la culture grecque) de l'empire qu'il a conquis. Il a unifié de nombreux peuples divers grâce à l'influence de cette culture.</w:t>
      </w:r>
    </w:p>
    <w:p>
      <w:r/>
      <w:r>
        <w:t xml:space="preserve">L'introduction de la langue grecque dans cet empire a également eu un effet considérable. L'Ancien Testament a été traduit en grec à Alexandrie, en Égypte. Les livres du Nouveau Testament ont été écrits dans cette langue. Les premiers missionnaires chrétiens parlaient plusieurs langues. Cela a permis de porter l'Évangile au « </w:t>
      </w:r>
      <w:r>
        <w:t>Juif premièrement, puis [au] Grec</w:t>
      </w:r>
      <w:r>
        <w:t xml:space="preserve"> » (</w:t>
      </w:r>
      <w:hyperlink r:id="rId523">
        <w:r>
          <w:rPr>
            <w:color w:val="0000EE"/>
            <w:u w:val="single"/>
          </w:rPr>
          <w:t>Rm 1.16</w:t>
        </w:r>
      </w:hyperlink>
      <w:r>
        <w:t>).</w:t>
      </w:r>
    </w:p>
    <w:p>
      <w:r/>
      <w:r>
        <w:t>Alexandre était le fils de Philippe II de Macédoine, qui était bien connu et respecté. Alexandre était déjà un chef militaire expérimenté dès son adolescence. Il est devenu roi à l'âge de vingt ans après l'assassinat de son père. Après avoir réprimé les rébellions qui ont éclaté à la mort de ce dernier, Alexandre a traversé les Dardanelles et conquis l'Asie Mineure. En 333 av. J.‑C., il a combattu et vaincu la grande armée perse de Darius III à Issos. Cette bataille a eu une signification historique durable.</w:t>
      </w:r>
    </w:p>
    <w:p>
      <w:r/>
      <w:r>
        <w:t>En descendant la côte méditerranéenne, il capturera Sidon, Tyr et Gaza. En 332 av. J.‑C., Alexandre arrive en Égypte. L'oracle de Siwa, qui prétendait parler pour le dieu égyptien Amon, louera Alexandre comme le pharaon divin (ou roi-dieu). Il fondera Alexandrie (l'une parmi les plus de soixante villes qu'il établira sous ce nom). Il marchera ensuite vers l'Orient. À Arbela en 331 av. J.‑C., il triomphe à nouveau des Perses. Lorsqu'il atteint la Perse, il s'emparera des villes de Suse, Persépolis et Achmetha. Il avance alors vers l'est jusqu'à ce qu'il atteigne l'Indus. Ses troupes, épuisées, menacent alors de se rebeller. Il fera demi-tour vers l'ouest.</w:t>
      </w:r>
    </w:p>
    <w:p>
      <w:r/>
      <w:r>
        <w:t>Il est mort à Babylone en 323 av. J.‑C. de fièvre, d'épuisement et d'un mode de vie malsain (consommation excessive d'alcool, par exemple). Il était le maître d'un empire qui s'étendait du Danube à l'Indus et, au sud, jusqu'au Nil égyptien.</w:t>
      </w:r>
    </w:p>
    <w:p>
      <w:r/>
      <w:r>
        <w:rPr>
          <w:i/>
        </w:rPr>
        <w:t>Voir aussi</w:t>
      </w:r>
      <w:r>
        <w:t xml:space="preserve"> </w:t>
      </w:r>
      <w:r>
        <w:t>Grèce, Grec</w:t>
      </w:r>
      <w:r>
        <w:t xml:space="preserve"> ; </w:t>
      </w:r>
      <w:r>
        <w:t>Hellénisme</w:t>
      </w:r>
      <w:r>
        <w:t xml:space="preserve"> ; </w:t>
      </w:r>
      <w:r>
        <w:t>Hellénistes</w:t>
      </w:r>
      <w:r>
        <w:t xml:space="preserve"> ; </w:t>
      </w:r>
      <w:r>
        <w:t>Judaïsme</w:t>
      </w:r>
      <w:r>
        <w:t xml:space="preserve"> ; </w:t>
      </w:r>
      <w:r>
        <w:t>Alexandrie</w:t>
      </w:r>
      <w:r>
        <w:t>.</w:t>
      </w:r>
    </w:p>
    <w:p>
      <w:r/>
      <w:r>
        <w:t>2. Frère de Rufus et fils de Simon de Cyrène. Le père d'Alexandre, Simon, était l'homme qui a croisé Jésus au moment où Jésus est conduit au Golgotha. Les soldats romains le contraindront à porter la croix (</w:t>
      </w:r>
      <w:hyperlink r:id="rId524">
        <w:r>
          <w:rPr>
            <w:color w:val="0000EE"/>
            <w:u w:val="single"/>
          </w:rPr>
          <w:t>Mc 15.21</w:t>
        </w:r>
      </w:hyperlink>
      <w:r>
        <w:t>).</w:t>
      </w:r>
    </w:p>
    <w:p>
      <w:r/>
      <w:r>
        <w:t>3. Membre de la famille des grands prêtres avec Caïphe, Anne le grand prêtre, et Jean (</w:t>
      </w:r>
      <w:hyperlink r:id="rId525">
        <w:r>
          <w:rPr>
            <w:color w:val="0000EE"/>
            <w:u w:val="single"/>
          </w:rPr>
          <w:t>Ac 4.6</w:t>
        </w:r>
      </w:hyperlink>
      <w:r>
        <w:t xml:space="preserve">). C'est ce groupe qui a convoqué Pierre et Jean pour comparaître devant eux afin de rendre compte de la guérison de l'homme boiteux à </w:t>
      </w:r>
      <w:r>
        <w:t>la porte du temple appelée la Belle</w:t>
      </w:r>
      <w:r>
        <w:t xml:space="preserve"> (</w:t>
      </w:r>
      <w:hyperlink r:id="rId214">
        <w:r>
          <w:rPr>
            <w:color w:val="0000EE"/>
            <w:u w:val="single"/>
          </w:rPr>
          <w:t>Ac 3</w:t>
        </w:r>
      </w:hyperlink>
      <w:r>
        <w:t>).</w:t>
      </w:r>
    </w:p>
    <w:p>
      <w:r/>
      <w:r>
        <w:t>4. Homme éphésien poussé par les Juifs à leur servir de porte-parole, lors de l'épisode où le bijoutier Démétrius incitera les Éphésiens à se révolter (</w:t>
      </w:r>
      <w:hyperlink r:id="rId526">
        <w:r>
          <w:rPr>
            <w:color w:val="0000EE"/>
            <w:u w:val="single"/>
          </w:rPr>
          <w:t>Ac 19.33</w:t>
        </w:r>
      </w:hyperlink>
      <w:r>
        <w:t>). La prédication de l'Évangile par Paul et ses compagnons avait entraîné la conversion de nombreuses personnes. Ces personnes avaient alors abandonné le culte de la déesse Diane, appelée Diana par les Romains, ce qui réduira les revenus des bijoutiers, dont les recettes provenaient de la fabrication d'images de cette déesse (</w:t>
      </w:r>
      <w:hyperlink r:id="rId527">
        <w:r>
          <w:rPr>
            <w:color w:val="0000EE"/>
            <w:u w:val="single"/>
          </w:rPr>
          <w:t>Ac 19.23–41</w:t>
        </w:r>
      </w:hyperlink>
      <w:r>
        <w:t>).</w:t>
      </w:r>
    </w:p>
    <w:p>
      <w:r/>
      <w:r>
        <w:t xml:space="preserve">5. Homme qui, avec Hyménée, a été mentionné comme ayant naufragé sa foi parce qu'il a rejeté sa conscience (savoir ce qui est bien et mal, </w:t>
      </w:r>
      <w:hyperlink r:id="rId528">
        <w:r>
          <w:rPr>
            <w:color w:val="0000EE"/>
            <w:u w:val="single"/>
          </w:rPr>
          <w:t>1Tm 1.20</w:t>
        </w:r>
      </w:hyperlink>
      <w:r>
        <w:t>). Paul déclare qu'il les avait livrés à Satan pour qu'ils apprennent à ne pas blasphémer.</w:t>
      </w:r>
    </w:p>
    <w:p>
      <w:r/>
      <w:r>
        <w:t>6. Forgeron (</w:t>
      </w:r>
      <w:hyperlink r:id="rId529">
        <w:r>
          <w:rPr>
            <w:color w:val="0000EE"/>
            <w:u w:val="single"/>
          </w:rPr>
          <w:t>2Ti 4.14</w:t>
        </w:r>
      </w:hyperlink>
      <w:r>
        <w:t>), Paul avertit Timothée de se méfier. Cet Alexandre a nui à Paul et s'est fortement opposé au message de l'Évangile. Certains experts pensent que cet Alexandre est le même que l'Alexandre d'</w:t>
      </w:r>
      <w:hyperlink r:id="rId528">
        <w:r>
          <w:rPr>
            <w:color w:val="0000EE"/>
            <w:u w:val="single"/>
          </w:rPr>
          <w:t>1 Timothée 1.20</w:t>
        </w:r>
      </w:hyperlink>
      <w:r>
        <w:t xml:space="preserve"> (Alexandre mentionné ci-dessus en numéro cinq).</w:t>
      </w:r>
      <w:r/>
      <w:r/>
    </w:p>
    <w:p>
      <w:r/>
    </w:p>
    <w:p>
      <w:pPr>
        <w:pStyle w:val="Heading2"/>
      </w:pPr>
      <w:r>
        <w:t>Alexandrie</w:t>
      </w:r>
      <w:r/>
    </w:p>
    <w:p>
      <w:r/>
      <w:r>
        <w:t>Ville égyptienne fondée par Alexandre le Grand en 331 av. J.-C. Alexandrie était la capitale de l'Égypte pendant les périodes hellénistique et romaine. Après Rome, c'était la ville la plus importante du monde antique. Alexandre l'a construite à l'extrémité ouest du delta du Nil sur une péninsule entre l'Égypte continentale et la mer Méditerranée.</w:t>
      </w:r>
    </w:p>
    <w:p>
      <w:r/>
      <w:r>
        <w:t>Son port était protégé par l'île de Pharos. Pharos était le site d'un immense phare (le phare d'Alexandrie). C'était l'une des sept merveilles du monde antique. L'île de Pharos avait la forme du trait en haut de la lettre française « T ». La tige du « T » était une structure longue et étroite construite depuis la péninsule et s'étendant jusque dans l'eau. Cette structure (une môle ou jetée) protégeait l'ancien port, qui se trouvait de part et d'autre du «T ».</w:t>
      </w:r>
    </w:p>
    <w:p>
      <w:r/>
      <w:r>
        <w:t>Alexandre a construit la ville pour avoir une base militaire, des installations portuaires et un centre commercial. Avec ces ressources, il pourrait contrôler l'Égypte et l'Orient. La ville était disposée en quadrillage, avec deux rues bordées d'arbres, d'environ 61 mètres (200 pi) de large, qui se croisaient au milieu. Elle était divisée en trois districts. Les Juifs vivaient dans celui du nord-est, les Égyptiens celui de l'ouest et les Grecs celui du sud.</w:t>
      </w:r>
    </w:p>
    <w:p>
      <w:r/>
      <w:r>
        <w:t>Dans l'Antiquité, Alexandrie était célèbre pour son architecture. Elle était connue en particulier pour son phare, son Musée, son Sérapéum, le mausolée d'Alexandre et ses bâtiments commerciaux. Le Musée (du grec Mouseîon, nom par lequel il est parfois désigné) était composé de la plus grande bibliothèque et du plus grand centre d'instruction de l'époque hellénistique. L'un des généraux d'Alexandre, Ptolémée, a construit le mausolée (grand tombeau) d'Alexandre dans la ville. Le Sérapéum était un temple dédié au dieu grec Pan. Selon le géographe Strabon, le Sérapéum avait la forme d'un cône de pin (rond comme un œuf avec une pointe en haut).</w:t>
      </w:r>
    </w:p>
    <w:p>
      <w:r/>
      <w:r>
        <w:t>Les preuves archéologiques de ces structures antiques de la ville sont rares. Un tremblement de terre a endommagé le phare en 796 apr. J.-C., et il a été détruit environ cinq siècles plus tard. Seuls un porte-rouleau et une statue du Musée ont été découvertes.</w:t>
      </w:r>
    </w:p>
    <w:p>
      <w:r/>
      <w:r>
        <w:t>Alexandrie a joué un rôle clé dans l'histoire du monde gréco-romain. Alexandre le Grand est mort en 323 av. J.-C. Après sa mort, l'Égypte est passée sous le contrôle de Ptolémée, dont la famille a régné jusqu'à Cléopâtre. Après la destruction de la ville de Tyr par Alexandre, Alexandrie est devenue le centre du commerce entre le monde grec et l'Orient, ainsi que l'Égypte centrale. La romance de Jules César avec Cléopâtre a conduit à la fin du règne de la famille de Ptolémée.</w:t>
      </w:r>
    </w:p>
    <w:p>
      <w:r/>
      <w:r>
        <w:t>Le Musée d'Alexandrie n'était pas comme les musées d'aujourd'hui. C'était en fait une université et une bibliothèque. Il a été fondé par Ptolémée Philadelphe. C'est ce Musée qui a fait d'Alexandrie le centre d'instruction le plus important du monde grec. L'étude de la grammaire, l'analyse de la littérature et la préservation de textes importants étaient les principales activités au Musée. Avant d'être partiellement détruit par les Égyptiens et les forces de Jules César en 47 av. J.-C., il aurait contenu 700 000 œuvres écrites, y compris des textes des classiques grecs (écrits grecs populaires) méticuleusement édités. À la fin des périodes hellénistique et romaine, le Musée a commencé à se tourner vers les nouvelles sciences. Un exemple de ce nouveau centre d'intérêt scientifique est le grand phare construit sur l'île. Il pouvait être observé à 32 kilomètres (20 miles) en mer par l'utilisation astucieuse de miroirs.</w:t>
      </w:r>
    </w:p>
    <w:p>
      <w:r/>
      <w:r>
        <w:t>Dès ses débuts, Alexandrie a abrité une importante population juive. Avec le soutien des Ptolémée, les érudits juifs ont produit la traduction grecque de l'Ancien Testament connue sous le nom de « Septante ». Les tensions ethniques ont augmenté dans la ville au fur et à mesure que la population juive a connu croissance et prospérité. En 42 apr. J.-C., la tension a éclaté lors d'émeutes initiées par les Grecs et de l'expulsion des Juifs des sections païennes dans lesquelles ils s'étaient installés. Le succès des Juifs dans le commerce, en particulier celui du blé, a conduit à une hostilité accrue envers eux.</w:t>
      </w:r>
    </w:p>
    <w:p>
      <w:r/>
      <w:r>
        <w:t>Il n'y a que quelques références à Alexandrie dans les Écritures :</w:t>
      </w:r>
    </w:p>
    <w:p>
      <w:pPr>
        <w:pStyle w:val="ListBullet"/>
        <w:spacing w:line="240" w:lineRule="auto"/>
        <w:ind w:left="720"/>
      </w:pPr>
      <w:r/>
      <w:r>
        <w:t>Étienne, le premier martyr chrétien, a débattu avec des « Alexandrins » à Jérusalem concernant le statut de Jésus en tant que Messie (</w:t>
      </w:r>
      <w:hyperlink r:id="rId383">
        <w:r>
          <w:rPr>
            <w:color w:val="0000EE"/>
            <w:u w:val="single"/>
          </w:rPr>
          <w:t>Ac 6.9</w:t>
        </w:r>
      </w:hyperlink>
      <w:r>
        <w:t>). Certaines traductions les identifient comme des « Juifs d'Alexandrie ».</w:t>
      </w:r>
    </w:p>
    <w:p>
      <w:pPr>
        <w:pStyle w:val="ListBullet"/>
        <w:spacing w:line="240" w:lineRule="auto"/>
        <w:ind w:left="720"/>
      </w:pPr>
      <w:r/>
      <w:r>
        <w:t>Apollos, originaire d'Alexandrie (</w:t>
      </w:r>
      <w:hyperlink r:id="rId530">
        <w:r>
          <w:rPr>
            <w:color w:val="0000EE"/>
            <w:u w:val="single"/>
          </w:rPr>
          <w:t>Ac 18.24</w:t>
        </w:r>
      </w:hyperlink>
      <w:r>
        <w:t>), est décrit comme un « homme éloquent et versé dans les Écritures ».</w:t>
      </w:r>
    </w:p>
    <w:p>
      <w:pPr>
        <w:pStyle w:val="ListBullet"/>
        <w:spacing w:line="240" w:lineRule="auto"/>
        <w:ind w:left="720"/>
      </w:pPr>
      <w:r/>
      <w:r>
        <w:t>L'apôtre Paul a pris la mer à destination de Rome à bord de deux navires alexandrins (</w:t>
      </w:r>
      <w:hyperlink r:id="rId531">
        <w:r>
          <w:rPr>
            <w:color w:val="0000EE"/>
            <w:u w:val="single"/>
          </w:rPr>
          <w:t xml:space="preserve">Ac 27.6 </w:t>
        </w:r>
      </w:hyperlink>
      <w:r>
        <w:t xml:space="preserve">; </w:t>
      </w:r>
      <w:hyperlink r:id="rId532">
        <w:r>
          <w:rPr>
            <w:color w:val="0000EE"/>
            <w:u w:val="single"/>
          </w:rPr>
          <w:t>28.11</w:t>
        </w:r>
      </w:hyperlink>
      <w:r>
        <w:t>).</w:t>
      </w:r>
    </w:p>
    <w:p>
      <w:r/>
      <w:r>
        <w:t xml:space="preserve">La première emphase des sciences bibliques à Alexandrie a été gnostique. Cette emphase a commencé sous l'influence d'un enseignant nommé Basilide et a continué avec son fils Isidore. </w:t>
      </w:r>
    </w:p>
    <w:p>
      <w:r/>
      <w:r>
        <w:t>Plus tard, une école d'allégorisation s'est développée. La méthode allégorique cherchait à découvrir des vérités spirituelles dans chaque détail de la Bible, même dans des parties qui pourraient sembler sans importance à première vue. Cette école a bénéficié d'un soutien régulier de la part de riches mécènes et d'un programme organisé. Clément et Origène sont les noms qui y sont le plus souvent associés. Cet enseignement mettait en évidence trois niveaux de signification dans les Écritures : historique, éthique et spirituel.</w:t>
      </w:r>
    </w:p>
    <w:p>
      <w:r/>
      <w:r>
        <w:t xml:space="preserve">L'arianisme est une croyance qui a pris racine au sein du christianisme primitif et a ensuite été considérée comme hérétique par l'Église. L'arianisme s'est développé à Alexandrie (ville importante de l'Égypte ancienne), à travers un homme nommé Arius, presbytre (c.-à-d. ancien) d'Alexandrie. Cette école de pensée affirmait que Christ n'était pas éternel. L'arianisme soutenait que puisqu'il avait été engendré, il devait avoir un commencement. </w:t>
      </w:r>
    </w:p>
    <w:p>
      <w:r/>
      <w:r>
        <w:t xml:space="preserve">Le principal opposant de l'arianisme était Athanase, également d'Alexandrie. Athanase a joué un rôle crucial dans la défense de la compréhension de l'identité de Jésus et de sa relation avec Dieu le Père au sein de l'Église primitive. C'est principalement grâce aux efforts d'Athanase que cet enseignement erroné a perdu son pouvoir et son influence au IVe siècle, et que le symbole de Nicée (profession de foi chrétienne) a été confirmé au Concile de Constantinople en 381 apr. J.-C. </w:t>
      </w:r>
    </w:p>
    <w:p>
      <w:r/>
      <w:r>
        <w:rPr>
          <w:i/>
        </w:rPr>
        <w:t>Voir aussi</w:t>
      </w:r>
      <w:r>
        <w:t xml:space="preserve"> </w:t>
      </w:r>
      <w:r>
        <w:t xml:space="preserve">Alexandre #1 </w:t>
      </w:r>
      <w:r>
        <w:t xml:space="preserve">; </w:t>
      </w:r>
      <w:r>
        <w:t xml:space="preserve">Hellénisme </w:t>
      </w:r>
      <w:r>
        <w:t xml:space="preserve">; </w:t>
      </w:r>
      <w:r>
        <w:t xml:space="preserve">Philon d'Alexandrie ou Philon le Juif </w:t>
      </w:r>
      <w:r>
        <w:t xml:space="preserve">; </w:t>
      </w:r>
      <w:r>
        <w:t>Hellénistes</w:t>
      </w:r>
      <w:r>
        <w:t>.</w:t>
      </w:r>
      <w:r/>
      <w:r/>
    </w:p>
    <w:p>
      <w:r/>
    </w:p>
    <w:p>
      <w:pPr>
        <w:pStyle w:val="Heading2"/>
      </w:pPr>
      <w:r>
        <w:t>Alliance</w:t>
      </w:r>
      <w:r/>
    </w:p>
    <w:p>
      <w:r/>
      <w:r>
        <w:t>Accord entre deux parties impliquant des obligations mutuelles ; en particulier, l'accord qui a établi la relation entre Dieu et son peuple, exprimé dans la grâce d'abord avec Israël, puis avec l'Église. Par cette alliance, Dieu a transmis à l'humanité le sens de la vie humaine et du salut. L'alliance est l'un des thèmes centraux de la Bible, dans laquelle certaines alliances sont conclues entre êtres humains et d'autres entre des êtres humains et Dieu.</w:t>
      </w:r>
    </w:p>
    <w:p>
      <w:r/>
      <w:r>
        <w:t>Le thème de l'alliance dans l'Ancien Testament (AT) est développé de Noé à Abraham et atteint son premier sommet dans l'alliance conclue entre Dieu et Israël au mont Sinaï. Après l'époque du roi David, l'histoire de l'alliance devient un thème moins en vue.</w:t>
      </w:r>
    </w:p>
    <w:p>
      <w:r/>
      <w:r>
        <w:t>À un moment compliqué de l'histoire de l'alliance, la Bible introduit la prophétie de Jérémie concernant une « nouvelle alliance » dans l'avenir d'Israël. Les chrétiens croient que cette prophétie a été accomplie dans la personne et l'œuvre de Jésus-Christ. Ce n'est pas par hasard que les deux volumes de la Bible chrétienne ont été appelés l'Ancienne Alliance et la Nouvelle Alliance (le mot couramment traduit par « testament » signifie « alliance »).</w:t>
      </w:r>
    </w:p>
    <w:p>
      <w:r/>
      <w:r>
        <w:t>Survol</w:t>
      </w:r>
    </w:p>
    <w:p>
      <w:r/>
      <w:r>
        <w:t xml:space="preserve">• </w:t>
      </w:r>
      <w:r>
        <w:rPr>
          <w:b/>
          <w:u w:val="single"/>
        </w:rPr>
        <w:t>Qu'est-ce qu'une Alliance ?</w:t>
      </w:r>
    </w:p>
    <w:p>
      <w:r/>
      <w:r>
        <w:t xml:space="preserve">• </w:t>
      </w:r>
      <w:r>
        <w:rPr>
          <w:b/>
          <w:u w:val="single"/>
        </w:rPr>
        <w:t>Alliances humaines</w:t>
      </w:r>
    </w:p>
    <w:p>
      <w:r/>
      <w:r>
        <w:t xml:space="preserve">• </w:t>
      </w:r>
      <w:r>
        <w:rPr>
          <w:b/>
          <w:u w:val="single"/>
        </w:rPr>
        <w:t>Alliances entre Dieu et les êtres humains</w:t>
      </w:r>
    </w:p>
    <w:p>
      <w:r/>
      <w:r>
        <w:t xml:space="preserve">• </w:t>
      </w:r>
      <w:r>
        <w:rPr>
          <w:b/>
          <w:u w:val="single"/>
        </w:rPr>
        <w:t>Les Débuts de la tradition de l'Alliance</w:t>
      </w:r>
    </w:p>
    <w:p>
      <w:r/>
      <w:r>
        <w:t xml:space="preserve">• </w:t>
      </w:r>
      <w:r>
        <w:rPr>
          <w:b/>
          <w:u w:val="single"/>
        </w:rPr>
        <w:t>L'Alliance au Sinaï</w:t>
      </w:r>
    </w:p>
    <w:p>
      <w:r/>
      <w:r>
        <w:t xml:space="preserve">• </w:t>
      </w:r>
      <w:r>
        <w:rPr>
          <w:b/>
          <w:u w:val="single"/>
        </w:rPr>
        <w:t>L’Alliance avec David</w:t>
      </w:r>
    </w:p>
    <w:p>
      <w:r/>
      <w:r>
        <w:t xml:space="preserve">• </w:t>
      </w:r>
      <w:r>
        <w:rPr>
          <w:b/>
          <w:u w:val="single"/>
        </w:rPr>
        <w:t>La Nouvelle Alliance annoncée dans l'Ancien Testament</w:t>
      </w:r>
    </w:p>
    <w:p>
      <w:pPr>
        <w:pStyle w:val="Heading3"/>
      </w:pPr>
      <w:r>
        <w:t>Qu'est-ce qu'une Alliance ?</w:t>
      </w:r>
    </w:p>
    <w:p>
      <w:r/>
      <w:r>
        <w:t>L'essence de l'alliance réside dans un type particulier de relation entre les parties. Ce type de relation est caractérisé par des obligations mutuelles. Ainsi, une relation d'alliance n'est pas simplement une connaissance réciproque, mais un engagement à la responsabilité et l'action. Un mot clé dans les Écritures pour décrire cet engagement est « fidélité », exprimée dans un contexte d'amitié durable.</w:t>
      </w:r>
    </w:p>
    <w:p>
      <w:r/>
      <w:r>
        <w:t>Dans l'AT, le mot « alliance » était utilisé au sens ordinaire ainsi que dans un sens théologique. Comprendre les alliances humaines offre un point de départ pour saisir l'alliance entre Dieu et les êtres humains.</w:t>
      </w:r>
    </w:p>
    <w:p>
      <w:pPr>
        <w:pStyle w:val="Heading3"/>
      </w:pPr>
      <w:r>
        <w:t>Alliances humaines</w:t>
      </w:r>
    </w:p>
    <w:p>
      <w:r/>
      <w:r>
        <w:t>Une variété de relations humaines, allant du profondément personnel au politiquement distant, peut être décrite comme étant de nature alliancielle. L'amour fraternel profond que David et Jonathan partageaient a conduit à une alliance formelle entre eux (</w:t>
      </w:r>
      <w:hyperlink r:id="rId533">
        <w:r>
          <w:rPr>
            <w:color w:val="0000EE"/>
            <w:u w:val="single"/>
          </w:rPr>
          <w:t>1S 18.3</w:t>
        </w:r>
      </w:hyperlink>
      <w:r>
        <w:t>). Leur alliance d'amitié était plus qu'un simple signe d'estime ; elle les obligeait à faire preuve de loyauté mutuelle et de bienveillance de manière concrète. La fidélité de Jonathan à cette alliance s'est manifestée lorsqu'il prend la défense de David, qui était en disgrâce auprès du roi ; Jonathan bravera la colère de son père pour parler en faveur de son ami. Par la suite, il avertit David en secret de fuir et de se cacher (</w:t>
      </w:r>
      <w:hyperlink r:id="rId534">
        <w:r>
          <w:rPr>
            <w:color w:val="0000EE"/>
            <w:u w:val="single"/>
          </w:rPr>
          <w:t>1S 19–20</w:t>
        </w:r>
      </w:hyperlink>
      <w:r>
        <w:t>).</w:t>
      </w:r>
    </w:p>
    <w:p>
      <w:r/>
      <w:r>
        <w:t>Pour apprécier les nombreuses lois de l'AT sur le mariage et le divorce, il faut comprendre que le mariage lui-même était une relation d'alliance (</w:t>
      </w:r>
      <w:hyperlink r:id="rId535">
        <w:r>
          <w:rPr>
            <w:color w:val="0000EE"/>
            <w:u w:val="single"/>
          </w:rPr>
          <w:t>Ml 2.14</w:t>
        </w:r>
      </w:hyperlink>
      <w:r>
        <w:t xml:space="preserve">). Les promesses solennelles échangées par un homme et une femme devenaient leurs obligations d'alliance. La fidélité à ces promesses apportait la bénédiction conjugale (voir </w:t>
      </w:r>
      <w:hyperlink r:id="rId536">
        <w:r>
          <w:rPr>
            <w:color w:val="0000EE"/>
            <w:u w:val="single"/>
          </w:rPr>
          <w:t>Ps 128</w:t>
        </w:r>
      </w:hyperlink>
      <w:r>
        <w:t xml:space="preserve"> ; </w:t>
      </w:r>
      <w:hyperlink r:id="rId537">
        <w:r>
          <w:rPr>
            <w:color w:val="0000EE"/>
            <w:u w:val="single"/>
          </w:rPr>
          <w:t>Pr 18.22</w:t>
        </w:r>
      </w:hyperlink>
      <w:r>
        <w:t>) ; la violation apportait une malédiction.</w:t>
      </w:r>
    </w:p>
    <w:p>
      <w:r/>
      <w:r>
        <w:t>Un individu pouvait, du moins figurativement, faire une alliance ou un vœu avec soi-même (semblable, dans un sens, à nos résolutions du Nouvel An). Job, défendant son intégrité devant Dieu, fait référence à une alliance qu'il avait conclue avec ses yeux pour s'empêcher de regarder les femmes de manière licencieuse (</w:t>
      </w:r>
      <w:hyperlink r:id="rId538">
        <w:r>
          <w:rPr>
            <w:color w:val="0000EE"/>
            <w:u w:val="single"/>
          </w:rPr>
          <w:t>Jb 31.1</w:t>
        </w:r>
      </w:hyperlink>
      <w:r>
        <w:t>).</w:t>
      </w:r>
    </w:p>
    <w:p>
      <w:r/>
      <w:r>
        <w:t>Les alliances pouvaient également avoir un caractère national ou international. Les anciens d'Israël ont conclu une alliance nationale avec le roi David à Hébron (</w:t>
      </w:r>
      <w:hyperlink r:id="rId539">
        <w:r>
          <w:rPr>
            <w:color w:val="0000EE"/>
            <w:u w:val="single"/>
          </w:rPr>
          <w:t>2 Sm 5.3</w:t>
        </w:r>
      </w:hyperlink>
      <w:r>
        <w:t>). Elle contenait probablement des promesses explicites à la fois des anciens, au nom du peuple, de se soumettre à l'autorité du roi, et de David, de gouverner la nation avec justice et selon la loi de Dieu (</w:t>
      </w:r>
      <w:hyperlink r:id="rId540">
        <w:r>
          <w:rPr>
            <w:color w:val="0000EE"/>
            <w:u w:val="single"/>
          </w:rPr>
          <w:t>Dt 17.15–20</w:t>
        </w:r>
      </w:hyperlink>
      <w:r>
        <w:t>). La relation d'alliance décrivait des obligations mutuelles entre un partenaire majeur (le roi) et des partenaires mineurs (les Israélites). Dans les relations internationales, les alliances de l'AT étaient similaires aux traités ou alliances modernes. Le roi Salomon conclura une telle alliance avec Hiram, roi de Tyr ; cette alliance, comme de nombreux traités internationaux modernes, était un accord commercial entre les deux nations (</w:t>
      </w:r>
      <w:hyperlink r:id="rId541">
        <w:r>
          <w:rPr>
            <w:color w:val="0000EE"/>
            <w:u w:val="single"/>
          </w:rPr>
          <w:t>1R 5.12</w:t>
        </w:r>
      </w:hyperlink>
      <w:r>
        <w:t>).</w:t>
      </w:r>
    </w:p>
    <w:p>
      <w:r/>
      <w:r>
        <w:t>L'alliance est donc un cadre interpersonnel de confiance, de responsabilités et d'avantages, avec une application élargie à presque toutes les relations humaines, allant de l'amitié personnelle aux accords commerciaux internationaux. Dans les Écritures, l'alliance est également le concept le plus complet couvrant la relation d'un individu avec Dieu.</w:t>
      </w:r>
    </w:p>
    <w:p>
      <w:pPr>
        <w:pStyle w:val="Heading3"/>
      </w:pPr>
      <w:r>
        <w:t>Alliances entre Dieu et les êtres humains</w:t>
      </w:r>
    </w:p>
    <w:p>
      <w:r/>
      <w:r>
        <w:t>Les mêmes caractéristiques fondamentales d'une alliance entre êtres humains se retrouvent dans une alliance avec Dieu : (1) il s'agit d'une relation entre deux parties (Dieu et un être humain ou une nation), et (2) elle contient des obligations mutuelles entre partenaires de l'alliance. Pour le croyant de l'AT, la religion était synonyme d'alliance. La religion de l'AT était, dans son être même, la fidélité à la relation d'alliance entre Dieu et son peuple élu ; les responsabilités religieuses en ce qui concerne la foi et la pratique d'Israël étaient des responsabilités d'alliance.</w:t>
      </w:r>
    </w:p>
    <w:p>
      <w:r/>
      <w:r>
        <w:t>Le concept d'une alliance entre Dieu et des êtres humains dans l'AT n'était pas quelque chose de statique. Bien que le caractère fondamental de l'alliance reste le même tout au long de la Bible, la nature spécifique et la forme de l'alliance ont changé et évolué au cours de l'histoire de l'Israël antique. Un bref aperçu de l'histoire de l'alliance clarifiera davantage ses dimensions.</w:t>
      </w:r>
    </w:p>
    <w:p>
      <w:pPr>
        <w:pStyle w:val="Heading3"/>
      </w:pPr>
      <w:r>
        <w:t>Les Débuts de la tradition de l'Alliance</w:t>
      </w:r>
    </w:p>
    <w:p>
      <w:pPr>
        <w:pStyle w:val="Heading4"/>
      </w:pPr>
      <w:r>
        <w:t>Adam</w:t>
      </w:r>
    </w:p>
    <w:p>
      <w:r/>
      <w:r>
        <w:t>Adam et Ève ont été placés dans le Jardin. Dieu était leur Créateur ; ils étaient ses créatures. Le sens de leur vie résidait dans leur relation l'un avec l'autre et avec Dieu, le donateur du Jardin. La chute a cependant provoqué une rupture de la relation avec Dieu, et ils ont été expulsés du Jardin.</w:t>
      </w:r>
    </w:p>
    <w:p>
      <w:r/>
      <w:r>
        <w:t>La Chute a considérablement influencé la nature des alliances religieuses par la suite. La séparation de l'humanité d'avec Dieu clarifie la nature du dilemme humain. Créés pour une relation avec le Créateur, les êtres humains pécheurs sont exclus de cette relation et ne peuvent, de leur propre gré, la rétablir. De cette circonstance émerge une caractéristique distinctive des alliances divino-humaines, à savoir que Dieu seul peut initier la relation d'alliance.</w:t>
      </w:r>
    </w:p>
    <w:p>
      <w:pPr>
        <w:pStyle w:val="Heading4"/>
      </w:pPr>
      <w:r>
        <w:t>Noé</w:t>
      </w:r>
    </w:p>
    <w:p>
      <w:r/>
      <w:r>
        <w:t>La première mention explicite de l'alliance dans les Écritures se réfère à l'initiative prise par Dieu pour se lier de nouveau par alliance aux êtres humains, malgré l'infidélité humaine. Lorsque Dieu avertit Noé de construire une arche pour échapper au Déluge imminent, il promet également d'établir une alliance avec lui (</w:t>
      </w:r>
      <w:hyperlink r:id="rId542">
        <w:r>
          <w:rPr>
            <w:color w:val="0000EE"/>
            <w:u w:val="single"/>
          </w:rPr>
          <w:t>Gn 6.18</w:t>
        </w:r>
      </w:hyperlink>
      <w:r>
        <w:t xml:space="preserve">). La corruption et la violence de la race humaine avaient provoqué la colère de Dieu, mais sa grâce s'est manifestée dans ses relations avec Noé. L'alliance promise prévoyait que Dieu maintiendrait une relation avec une famille, même si d'autres relations entre Dieu et les êtres humains étaient formellement rompues. De manière significative, la promesse d'alliance de Dieu à Noé est venue dans le contexte d'une exigence posée : Dieu ordonne à Noé de construire une arche (v. </w:t>
      </w:r>
      <w:hyperlink r:id="rId543">
        <w:r>
          <w:rPr>
            <w:color w:val="0000EE"/>
            <w:u w:val="single"/>
          </w:rPr>
          <w:t>14</w:t>
        </w:r>
      </w:hyperlink>
      <w:r>
        <w:t>). La réception de la bénédiction de l'alliance par Noé dépendait de son obéissance à un commandement divin.</w:t>
      </w:r>
    </w:p>
    <w:p>
      <w:r/>
      <w:r>
        <w:t>L'alliance n'a été élaborée qu'après le Déluge, lorsque Noé apporte une offrande à Dieu (</w:t>
      </w:r>
      <w:hyperlink r:id="rId544">
        <w:r>
          <w:rPr>
            <w:color w:val="0000EE"/>
            <w:u w:val="single"/>
          </w:rPr>
          <w:t>Gn 8.20–22</w:t>
        </w:r>
      </w:hyperlink>
      <w:r>
        <w:t>). L'alliance avec Noé était, en réalité, une alliance universelle avec l'humanité et toutes les créatures vivantes (</w:t>
      </w:r>
      <w:hyperlink r:id="rId545">
        <w:r>
          <w:rPr>
            <w:color w:val="0000EE"/>
            <w:u w:val="single"/>
          </w:rPr>
          <w:t>9.8–10</w:t>
        </w:r>
      </w:hyperlink>
      <w:r>
        <w:t>). Dieu promet de ne jamais plus envoyer un tel déluge comme jugement sur le monde. Le signe de cette alliance était l'arc-en-ciel.</w:t>
      </w:r>
    </w:p>
    <w:p>
      <w:r/>
      <w:r>
        <w:t>L'alliance avec Noé offre une perspective pour comprendre le « Dieu de l'alliance ». Bien que les êtres humains puissent mériter la destruction à cause de leur méchanceté, Dieu retient cette destruction. L'alliance de Noé n'a pas établi une relation intime entre Dieu et chaque être vivant ; néanmoins, elle laisse ouverte la possibilité d'une alliance plus intime. Les êtres humains, malgré leur péché, sont autorisés pendant un certain temps à vivre dans le monde de Dieu ; durant ces années, ils peuvent chercher une relation plus profonde avec le Créateur de ce monde.</w:t>
      </w:r>
    </w:p>
    <w:p>
      <w:pPr>
        <w:pStyle w:val="Heading4"/>
      </w:pPr>
      <w:r>
        <w:t>Abraham</w:t>
      </w:r>
    </w:p>
    <w:p>
      <w:r/>
      <w:r>
        <w:t xml:space="preserve">La première référence explicite à l'alliance de Dieu avec Abraham se trouve dans </w:t>
      </w:r>
      <w:hyperlink r:id="rId546">
        <w:r>
          <w:rPr>
            <w:color w:val="0000EE"/>
            <w:u w:val="single"/>
          </w:rPr>
          <w:t>Genèse 15</w:t>
        </w:r>
      </w:hyperlink>
      <w:r>
        <w:t>. Lorsque le Seigneur appelle Abram (son prénom d'alors), âgé de 75 ans, à quitter sa ville natale d'Ur pour se lancer dans un voyage, une relation existait déjà entre Dieu et Abram. Dans cette relation, qui a permis à Dieu de commander l'obéissance d'Abram, Dieu lui a fait certaines promesses : « J</w:t>
      </w:r>
      <w:r>
        <w:t>e ferai de toi une grande nation, et je te bénirai</w:t>
      </w:r>
      <w:r>
        <w:t xml:space="preserve"> </w:t>
      </w:r>
      <w:r>
        <w:t>; je rendrai ton nom grand, et tu seras une source de bénédiction</w:t>
      </w:r>
      <w:r>
        <w:t xml:space="preserve"> » (</w:t>
      </w:r>
      <w:hyperlink r:id="rId547">
        <w:r>
          <w:rPr>
            <w:color w:val="0000EE"/>
            <w:u w:val="single"/>
          </w:rPr>
          <w:t>Gn 12.2</w:t>
        </w:r>
      </w:hyperlink>
      <w:r>
        <w:t>).</w:t>
      </w:r>
    </w:p>
    <w:p>
      <w:r/>
      <w:r>
        <w:t xml:space="preserve">L'établissement formel de l'alliance avec Abram est décrit dans </w:t>
      </w:r>
      <w:hyperlink r:id="rId546">
        <w:r>
          <w:rPr>
            <w:color w:val="0000EE"/>
            <w:u w:val="single"/>
          </w:rPr>
          <w:t>Genèse 15</w:t>
        </w:r>
      </w:hyperlink>
      <w:r>
        <w:t xml:space="preserve"> comme une expérience religieuse profonde. L'initiative venait entièrement de Dieu, qui approche Abram dans une vision et lui parle. Abram soulève alors une objection fondamentale : comment pourrait-il recevoir la bénédiction de Dieu si elle devait lui venir par un fils qu'il n'avait pas ? Sa femme Saraï était au-delà de l'âge de procréer, et lui-même était « </w:t>
      </w:r>
      <w:r>
        <w:t>déjà usé</w:t>
      </w:r>
      <w:r>
        <w:t xml:space="preserve"> » (</w:t>
      </w:r>
      <w:hyperlink r:id="rId548">
        <w:r>
          <w:rPr>
            <w:color w:val="0000EE"/>
            <w:u w:val="single"/>
          </w:rPr>
          <w:t>Rm 4.19</w:t>
        </w:r>
      </w:hyperlink>
      <w:r>
        <w:t xml:space="preserve">). Dieu assure cependant à ce vieil homme qu'il aurait un fils par lequel ses descendants finiraient par être aussi nombreux que les étoiles du ciel. C'est en cet instant que la foi d'Abram introduit le thème de la justice, central au concept de l'alliance : Abram « </w:t>
      </w:r>
      <w:r>
        <w:t>eut confiance en l’Éternel, qui le lui imputa à justice</w:t>
      </w:r>
      <w:r>
        <w:t xml:space="preserve"> » (</w:t>
      </w:r>
      <w:hyperlink r:id="rId549">
        <w:r>
          <w:rPr>
            <w:color w:val="0000EE"/>
            <w:u w:val="single"/>
          </w:rPr>
          <w:t>Gn 15.6</w:t>
        </w:r>
      </w:hyperlink>
      <w:r>
        <w:t xml:space="preserve">). À la fin de cette journée, Abram savait que son propre avenir et celui de ses descendants étaient fermement entre les mains du Dieu d'alliance. Ce jour-là, le Seigneur a fait une alliance avec Abram, disant : « </w:t>
      </w:r>
      <w:r>
        <w:t>Je donne ce pays à ta postérité</w:t>
      </w:r>
      <w:r>
        <w:t xml:space="preserve"> » (v. </w:t>
      </w:r>
      <w:hyperlink r:id="rId550">
        <w:r>
          <w:rPr>
            <w:color w:val="0000EE"/>
            <w:u w:val="single"/>
          </w:rPr>
          <w:t>18</w:t>
        </w:r>
      </w:hyperlink>
      <w:r>
        <w:t>).</w:t>
      </w:r>
    </w:p>
    <w:p>
      <w:r/>
      <w:r>
        <w:t xml:space="preserve">L'alliance est plus pleinement exprimée dans </w:t>
      </w:r>
      <w:hyperlink r:id="rId92">
        <w:r>
          <w:rPr>
            <w:color w:val="0000EE"/>
            <w:u w:val="single"/>
          </w:rPr>
          <w:t>Genèse 17</w:t>
        </w:r>
      </w:hyperlink>
      <w:r>
        <w:t>, qui relate probablement un renouvellement de l'alliance de Dieu avec Abram. L'initiative reposait une fois de plus sur Dieu (</w:t>
      </w:r>
      <w:hyperlink r:id="rId551">
        <w:r>
          <w:rPr>
            <w:color w:val="0000EE"/>
            <w:u w:val="single"/>
          </w:rPr>
          <w:t>Gn 17.1</w:t>
        </w:r>
      </w:hyperlink>
      <w:r>
        <w:t>). Ce dernier s'adresse à Abram, âgé de 99 ans, avec des paroles qui clarifiaient le fait que l'alliance n'était pas une relation entre partenaires égaux. Dieu était le Tout-Puissant ; Abram était un être humain à qui un privilège extraordinaire avait été accordé.</w:t>
      </w:r>
    </w:p>
    <w:p>
      <w:r/>
      <w:r>
        <w:t xml:space="preserve">Cependant, les détails de l'alliance dans </w:t>
      </w:r>
      <w:hyperlink r:id="rId92">
        <w:r>
          <w:rPr>
            <w:color w:val="0000EE"/>
            <w:u w:val="single"/>
          </w:rPr>
          <w:t>Genèse 17</w:t>
        </w:r>
      </w:hyperlink>
      <w:r>
        <w:t xml:space="preserve"> montrent que les deux partenaires endossent des responsabilités. Dieu s'engage volontairement envers Abram et ses descendants tout en exigeant certains engagements de la part d'Abram. La bénédiction que recevrait Abram en tant que partenaire de l'alliance devient claire grâce au nouveau nom que Dieu lui donne. « </w:t>
      </w:r>
      <w:r>
        <w:t>On ne t’appellera plus Abram</w:t>
      </w:r>
      <w:r>
        <w:t xml:space="preserve"> </w:t>
      </w:r>
      <w:r>
        <w:t>; mais ton nom sera Abraham, car je te rends père d’une multitude de nations</w:t>
      </w:r>
      <w:r>
        <w:t xml:space="preserve"> » (</w:t>
      </w:r>
      <w:hyperlink r:id="rId78">
        <w:r>
          <w:rPr>
            <w:color w:val="0000EE"/>
            <w:u w:val="single"/>
          </w:rPr>
          <w:t>Gn 17.5</w:t>
        </w:r>
      </w:hyperlink>
      <w:r>
        <w:t xml:space="preserve">). Dieu donnerait à Abraham, par l'intermédiaire de ses descendants, le pays de Canaan comme un don éternel et serait le Dieu personnel d'Abraham et de sa famille à perpétuité (v. </w:t>
      </w:r>
      <w:hyperlink r:id="rId552">
        <w:r>
          <w:rPr>
            <w:color w:val="0000EE"/>
            <w:u w:val="single"/>
          </w:rPr>
          <w:t>7–8</w:t>
        </w:r>
      </w:hyperlink>
      <w:r>
        <w:t>).</w:t>
      </w:r>
    </w:p>
    <w:p>
      <w:r/>
      <w:r>
        <w:t xml:space="preserve">Le don de Dieu nécessitait une réponse d'obéissance de la part d'Abraham : « </w:t>
      </w:r>
      <w:r>
        <w:t>Marche devant ma face, et sois intègre</w:t>
      </w:r>
      <w:r>
        <w:t xml:space="preserve"> » (</w:t>
      </w:r>
      <w:hyperlink r:id="rId551">
        <w:r>
          <w:rPr>
            <w:color w:val="0000EE"/>
            <w:u w:val="single"/>
          </w:rPr>
          <w:t>Gn 17.1</w:t>
        </w:r>
      </w:hyperlink>
      <w:r>
        <w:t>). Ces paroles simples indiquent l'essence de la relation d'alliance : être en relation avec Dieu, c'est vivre en sa présence ; puisque Dieu est saint, celui qui le connaît est censé vivre une vie d'intégrité et d'irréprochabilité.</w:t>
      </w:r>
    </w:p>
    <w:p>
      <w:r/>
      <w:r>
        <w:t>L'alliance avait également un aspect plus formel. Abraham et les membres masculins de sa maison devaient subir le rite de la circoncision comme symbole de l'engagement envers l'alliance. Abraham était un vieil homme lorsqu'il a été circoncis (</w:t>
      </w:r>
      <w:hyperlink r:id="rId553">
        <w:r>
          <w:rPr>
            <w:color w:val="0000EE"/>
            <w:u w:val="single"/>
          </w:rPr>
          <w:t>Gn 17.24</w:t>
        </w:r>
      </w:hyperlink>
      <w:r>
        <w:t xml:space="preserve">), bien que les enfants mâles nés dans la famille de l'alliance devaient être circoncis à l'âge de huit jours (v. </w:t>
      </w:r>
      <w:hyperlink r:id="rId554">
        <w:r>
          <w:rPr>
            <w:color w:val="0000EE"/>
            <w:u w:val="single"/>
          </w:rPr>
          <w:t>12</w:t>
        </w:r>
      </w:hyperlink>
      <w:r>
        <w:t>). La circoncision n'était pas en soi un rituel propre aux Hébreux ; elle était pratiquée dans la plupart des sociétés du Proche-Orient ancien (les Philistins étaient une exception). La particularité résidait dans ce que l'acte symbolisait : entre autres, une relation continue et fidèle avec le Dieu vivant.</w:t>
      </w:r>
    </w:p>
    <w:p>
      <w:r/>
      <w:r>
        <w:t>L'alliance de Dieu avec Abraham était caractérisée par des réalités présentes et futures. Elle établissait une relation continue entre Abraham et son Créateur. Son objectif était cependant orienté vers une bénédiction future : à travers les enfants qui devaient encore naître, le « peuple élu », et à travers la terre que ses descendants finiraient par avoir en possession.</w:t>
      </w:r>
    </w:p>
    <w:p>
      <w:r/>
      <w:r>
        <w:t xml:space="preserve">Une autre dimension de l'alliance se situait plus loin encore dans le futur : « </w:t>
      </w:r>
      <w:r>
        <w:t>toutes les familles de la terre seront bénies en toi</w:t>
      </w:r>
      <w:r>
        <w:t xml:space="preserve"> » (</w:t>
      </w:r>
      <w:hyperlink r:id="rId555">
        <w:r>
          <w:rPr>
            <w:color w:val="0000EE"/>
            <w:u w:val="single"/>
          </w:rPr>
          <w:t>Gn 12.3</w:t>
        </w:r>
      </w:hyperlink>
      <w:r>
        <w:t xml:space="preserve">). C'es donc dès le début de l'AT que l'idée d'élection (la préférence inconditionnelle de Dieu ; voir </w:t>
      </w:r>
      <w:hyperlink r:id="rId556">
        <w:r>
          <w:rPr>
            <w:color w:val="0000EE"/>
            <w:u w:val="single"/>
          </w:rPr>
          <w:t>2Th 2.13</w:t>
        </w:r>
      </w:hyperlink>
      <w:r>
        <w:t xml:space="preserve">) est présente. Dieu choisit de s'engager dans une relation d'alliance avec un homme en particulier et ses descendants particuliers. Toutefois, Dieu élit toujours une personne en vue du service : Adam, pour cultiver le Jardin ; Noé, pour construire une arche ; Abraham, pour quitter sa maison pour un autre pays et vivre sans reproche devant Dieu (voir </w:t>
      </w:r>
      <w:hyperlink r:id="rId557">
        <w:r>
          <w:rPr>
            <w:color w:val="0000EE"/>
            <w:u w:val="single"/>
          </w:rPr>
          <w:t>Ep 2.8–10</w:t>
        </w:r>
      </w:hyperlink>
      <w:r>
        <w:t>). De plus, la « particularité » de l'élection d'Abraham contenait en elle l'universalité : à travers ses descendants, la bénédiction de Dieu serait offerte à tous.</w:t>
      </w:r>
    </w:p>
    <w:p>
      <w:r/>
      <w:r>
        <w:t>Ainsi, les aspects futurs de l'alliance d'Abraham reflètent deux étapes. Du point de vue d'Abraham, dans un avenir relativement proche, ses descendants posséderaient une terre donnée par Dieu. Mais dans un avenir plus lointain se profilait la perspective d'une bénédiction universelle, l'aboutissement de l'œuvre de Dieu dans le monde. L'accomplissement initial de cet avenir lointain est perçu dans le Nouveau Testament (NT), mais l'accomplissement plus immédiat de la promesse de Dieu était l'alliance du Sinaï à l'époque de Moïse.</w:t>
      </w:r>
    </w:p>
    <w:p>
      <w:pPr>
        <w:pStyle w:val="Heading3"/>
      </w:pPr>
      <w:r>
        <w:t>L'Alliance au Sinaï</w:t>
      </w:r>
    </w:p>
    <w:p>
      <w:r/>
      <w:r>
        <w:t>L'alliance établie entre Dieu et Israël au mont Sinaï est le point central de la tradition de l'alliance dans l'AT. Elle était anticipée dans l'alliance d'Abraham et se trouvait en arrière plan de l'alliance de David et de la proclamation des prophètes. Elle occupait une place centrale dans la religion de l'AT, posant les fondations du judaïsme qui perdurent dans le monde moderne. L'alliance du Sinaï était l'institution formelle d'une relation entre Dieu et son peuple élu, Israël.</w:t>
      </w:r>
    </w:p>
    <w:p>
      <w:r/>
      <w:r>
        <w:t>Pour appréhender l'impact de l'alliance du Sinaï, il est nécessaire de comprendre son contexte historique. Elle a été précédée par l'exode du peuple hébreu d'Égypte sous la direction de Moïse. L'exode était un acte extraordinaire de libération dans lequel Dieu est intervenu dans le cours normal de l'histoire pour libérer son peuple de l'esclavage en Égypte. L'exode est interprété dans l'AT comme un acte divin comparable à la Création, l'acte par lequel Dieu a « créé » la nation d'Israël. L'examen des deux versions du quatrième commandement (</w:t>
      </w:r>
      <w:hyperlink r:id="rId558">
        <w:r>
          <w:rPr>
            <w:color w:val="0000EE"/>
            <w:u w:val="single"/>
          </w:rPr>
          <w:t>Ex 20.8–11</w:t>
        </w:r>
      </w:hyperlink>
      <w:r>
        <w:t xml:space="preserve"> ; </w:t>
      </w:r>
      <w:hyperlink r:id="rId559">
        <w:r>
          <w:rPr>
            <w:color w:val="0000EE"/>
            <w:u w:val="single"/>
          </w:rPr>
          <w:t>Dt 5.12–15</w:t>
        </w:r>
      </w:hyperlink>
      <w:r>
        <w:t>) montre que l'exode d'Égypte est directement parallèle à la création du monde comme base pour l'observance du sabbat. Bien qu'Israël ait été créé lors de l'exode, la nation n'avait ni constitution ni territoire. L'alliance a fourni à l'état naissant d'Israël une constitution, en faisant un état théocratique (un état gouverné par Dieu).</w:t>
      </w:r>
    </w:p>
    <w:p>
      <w:r/>
      <w:r>
        <w:t xml:space="preserve">Le récit fondamental de l'alliance du Sinaï se trouve dans </w:t>
      </w:r>
      <w:hyperlink r:id="rId560">
        <w:r>
          <w:rPr>
            <w:color w:val="0000EE"/>
            <w:u w:val="single"/>
          </w:rPr>
          <w:t>Exode 19</w:t>
        </w:r>
      </w:hyperlink>
      <w:r>
        <w:t xml:space="preserve"> et </w:t>
      </w:r>
      <w:hyperlink r:id="rId561">
        <w:r>
          <w:rPr>
            <w:color w:val="0000EE"/>
            <w:u w:val="single"/>
          </w:rPr>
          <w:t>20</w:t>
        </w:r>
      </w:hyperlink>
      <w:r>
        <w:t>. L'initiative est venue de Dieu, qui a donné des instructions par l'intermédiaire de Moïse pour se préparer à l'alliance ; Dieu a prononcé les paroles contenant l'offre d'alliance. Il ne faisait aucun doute que le Dieu d'Israël était le partenaire principal dans la relation formalisée au Sinaï. Le Dieu qui s'était révélé par ses actes lors de l'Exode s'est ensuite révélé par des paroles. Ces deux aspects (le Dieu qui agit et qui parle), sont centraux pour la théologie de l'AT. Bien que l'alliance contienne la loi, elle a été précédée par l'Exode, un acte de grâce divine.</w:t>
      </w:r>
    </w:p>
    <w:p>
      <w:r/>
      <w:r>
        <w:t xml:space="preserve">L'offre de l'alliance de Dieu s'accompagnait d'une promesse divine : « </w:t>
      </w:r>
      <w:r>
        <w:t>vous serez pour moi un royaume de sacrificateurs et une nation sainte</w:t>
      </w:r>
      <w:r>
        <w:t xml:space="preserve"> » (</w:t>
      </w:r>
      <w:hyperlink r:id="rId562">
        <w:r>
          <w:rPr>
            <w:color w:val="0000EE"/>
            <w:u w:val="single"/>
          </w:rPr>
          <w:t>Ex 19.6</w:t>
        </w:r>
      </w:hyperlink>
      <w:r>
        <w:t>). La promesse était celle d'un privilège extraordinaire ; une nation entière était appelée à représenter toutes les autres nations devant le Dieu de l'univers. Mais la fonction sacerdotale, bien qu'elle confère un privilège, était également une fonction exigeante. Un prêtre devait être pur et devait connaître le Dieu dont il était tenu d'entrer en présence. Ainsi, Israël, la nation sacerdotale, reçoit une loi qui fournirait une direction pour vivre, aimer Dieu et servir tous les peuples. La loi donnée avec l'alliance exprimait les exigences pour le peuple de l'alliance de Dieu.</w:t>
      </w:r>
    </w:p>
    <w:p>
      <w:pPr>
        <w:pStyle w:val="Heading4"/>
      </w:pPr>
      <w:r>
        <w:t>La Loi de l'Alliance</w:t>
      </w:r>
    </w:p>
    <w:p>
      <w:r/>
      <w:r>
        <w:t>La loi de l'alliance comportait deux parties principales. Premièrement, les Dix Commandements exprimaient les exigences de Dieu pour Israël sous une forme concise (</w:t>
      </w:r>
      <w:hyperlink r:id="rId563">
        <w:r>
          <w:rPr>
            <w:color w:val="0000EE"/>
            <w:u w:val="single"/>
          </w:rPr>
          <w:t>Ex 20.2–17</w:t>
        </w:r>
      </w:hyperlink>
      <w:r>
        <w:t>). Les commandements définissaient la relation du peuple de l'alliance à la fois avec Dieu et avec les autres êtres humains. Bien que la tendance actuelle soit de considérer les Dix Commandements comme un système d'éthique ou de moralité, ils avaient un rôle différent dans l'Israël ancien. La loi de l'alliance était la fondation ou la constitution d'une nouvelle nation, une « nation de prêtres » mise à part. Le chef de l'État-nation était Dieu. Ainsi, dans l'Israël ancien, le statut des Dix Commandements était comparable à celui du code de droit pénal dans un État-nation moderne. Enfreindre une de ces lois revenait à commettre un crime contre Dieu, le chef de l'État. Ces lois avaient pourtant un but positif. Elles établissaient un mode de vie qui conduirait à une communion pleine et riche avec Dieu et à une communauté harmonieuse avec les autres.</w:t>
      </w:r>
    </w:p>
    <w:p>
      <w:r/>
      <w:r>
        <w:t xml:space="preserve">La deuxième partie de la loi de l'alliance était un code de lois détaillé couvrant les activités de la vie quotidienne. Des exemples de telles lois se trouvent dans </w:t>
      </w:r>
      <w:hyperlink r:id="rId564">
        <w:r>
          <w:rPr>
            <w:color w:val="0000EE"/>
            <w:u w:val="single"/>
          </w:rPr>
          <w:t>Exode 21–23</w:t>
        </w:r>
      </w:hyperlink>
      <w:r>
        <w:t>. Ces lois ont été compilées et enregistrées dans le « Livre de l'Alliance » (</w:t>
      </w:r>
      <w:hyperlink r:id="rId565">
        <w:r>
          <w:rPr>
            <w:color w:val="0000EE"/>
            <w:u w:val="single"/>
          </w:rPr>
          <w:t>Ex 24.7</w:t>
        </w:r>
      </w:hyperlink>
      <w:r>
        <w:t>). Bien que de nombreuses lois soient contenues dans ce livre, il était impossible de codifier chaque aspect du comportement humain. La diversité des exemples donnés indique que pour le membre de l'alliance, aucun aspect de la vie humaine ne sortait du cadre de l'influence de l'alliance. Les personnes qui entraient en relation avec Dieu entraient dans une relation qui touchait tous les aspects possibles de leur vie.</w:t>
      </w:r>
    </w:p>
    <w:p>
      <w:pPr>
        <w:pStyle w:val="Heading4"/>
      </w:pPr>
      <w:r>
        <w:t>Le Renouvellement de l'Alliance</w:t>
      </w:r>
    </w:p>
    <w:p>
      <w:r/>
      <w:r>
        <w:t>L'alliance au Sinaï a été conclue avec un groupe particulier de personnes sous la direction de Moïse, mais elle était contraignante pour les générations futures. Par conséquent, l'alliance a parfois été renouvelée. Des renouvellements d'alliance sont relatés à l'époque de Josué (</w:t>
      </w:r>
      <w:hyperlink r:id="rId566">
        <w:r>
          <w:rPr>
            <w:color w:val="0000EE"/>
            <w:u w:val="single"/>
          </w:rPr>
          <w:t>Jos 8.30–35</w:t>
        </w:r>
      </w:hyperlink>
      <w:r>
        <w:t xml:space="preserve"> ; </w:t>
      </w:r>
      <w:hyperlink r:id="rId567">
        <w:r>
          <w:rPr>
            <w:color w:val="0000EE"/>
            <w:u w:val="single"/>
          </w:rPr>
          <w:t>24.1–28</w:t>
        </w:r>
      </w:hyperlink>
      <w:r>
        <w:t>) et, bien plus tard, sous le règne du roi Josias (</w:t>
      </w:r>
      <w:hyperlink r:id="rId568">
        <w:r>
          <w:rPr>
            <w:color w:val="0000EE"/>
            <w:u w:val="single"/>
          </w:rPr>
          <w:t>2R 23.1–3</w:t>
        </w:r>
      </w:hyperlink>
      <w:r>
        <w:t>).</w:t>
      </w:r>
    </w:p>
    <w:p>
      <w:r/>
      <w:r>
        <w:t>Le passage le plus important de la Bible pour comprendre le renouvellement de l'alliance et la nature de l'alliance est le livre du Deutéronome. L'ensemble du livre décrit une cérémonie particulière de renouvellement de l'alliance qui a eu lieu à un moment critique de l'histoire ancienne d'Israël. L'alliance du Sinaï a été renouvelée juste avant la mort de Moïse, avant la transition du leadership à Josué, et avant une campagne militaire majeure pour prendre possession de la Terre Promise.</w:t>
      </w:r>
    </w:p>
    <w:p>
      <w:r/>
      <w:r>
        <w:t>L'alliance depuis l'époque d'Abraham contenait une promesse de terre. Juste avant qu'ils n'entrent dans cette terre (vers 1 250 av. J.‑C.), les vœux de l'alliance ont été renouvelés avec une nouvelle génération d'Israélites, dont la plupart n'avaient pas été au pied du mont Sinaï quelque 40 ans plus tôt. Bien que le renouvellement de l'alliance soit le thème central du Deutéronome, l'auteur se concentre principalement sur le sermon de Moïse plutôt que sur un récit détaillé de la cérémonie de renouvellement.</w:t>
      </w:r>
    </w:p>
    <w:p>
      <w:r/>
      <w:r>
        <w:t>De nombreux aspects de la cérémonie étaient simplement une répétition de ce qui s'était passé lors de la ratification originale de l'alliance. Les Dix Commandements ont été répétés (</w:t>
      </w:r>
      <w:hyperlink r:id="rId569">
        <w:r>
          <w:rPr>
            <w:color w:val="0000EE"/>
            <w:u w:val="single"/>
          </w:rPr>
          <w:t>Dt 5.6–21</w:t>
        </w:r>
      </w:hyperlink>
      <w:r>
        <w:t>), et les lois du Livre de l'Alliance ont été exposées de manière plus détaillée (</w:t>
      </w:r>
      <w:hyperlink r:id="rId570">
        <w:r>
          <w:rPr>
            <w:color w:val="0000EE"/>
            <w:u w:val="single"/>
          </w:rPr>
          <w:t>Dt 12–26</w:t>
        </w:r>
      </w:hyperlink>
      <w:r>
        <w:t>). Deux points qui émergent dans le Deutéronome sont particulièrement significatifs pour comprendre l'alliance : une déclaration claire de l'amour allianciel et une déclaration détaillée des bénédictions et malédictions qui accompagnaient la création et le renouvellement de l'alliance.</w:t>
      </w:r>
    </w:p>
    <w:p>
      <w:pPr>
        <w:pStyle w:val="Heading3"/>
      </w:pPr>
      <w:r>
        <w:t>L'Alliance avec David</w:t>
      </w:r>
    </w:p>
    <w:p>
      <w:r/>
      <w:r>
        <w:t>La tradition de l'alliance a subi une modification à l'époque du roi David (vers 1 000 av. J.‑C.). L'alliance du Sinaï avait été établie entre Dieu et Israël, avec Moïse comme médiateur. À l'époque de David, un élément supplémentaire est ajouté : Dieu conclut une alliance avec David en tant que roi. Cette alliance royale est révélée à David par le prophète Nathan (</w:t>
      </w:r>
      <w:hyperlink r:id="rId571">
        <w:r>
          <w:rPr>
            <w:color w:val="0000EE"/>
            <w:u w:val="single"/>
          </w:rPr>
          <w:t>2S 7.8–16</w:t>
        </w:r>
      </w:hyperlink>
      <w:r>
        <w:t>), indiquant une fois de plus l'initiative divine. Ce devait être une alliance éternelle avec la lignée royale de David (</w:t>
      </w:r>
      <w:hyperlink r:id="rId572">
        <w:r>
          <w:rPr>
            <w:color w:val="0000EE"/>
            <w:u w:val="single"/>
          </w:rPr>
          <w:t>23.5</w:t>
        </w:r>
      </w:hyperlink>
      <w:r>
        <w:t>).</w:t>
      </w:r>
    </w:p>
    <w:p>
      <w:r/>
      <w:r>
        <w:t>Les chrétiens interprètent généralement l'alliance avec David comme une alliance messianique. Pendant plusieurs siècles, la dynastie établie par David a régné sur un Israël uni, puis sur le royaume méridional restant de Juda. Mais en 586 av. J.‑C., Juda sera conquis par les Babyloniens. À partir de ce moment-là, un descendant de David ne régne plus sur un royaume indépendant du peuple élu de Dieu. Cependant, la nature éternelle de l'alliance avec David est mise en évidence, non pas dans les pages de l'histoire ancienne, mais dans l'attente d'un Messie qui naîtrait des descendants de David. Matthieu et Luc souligneront tous deux la descendance davidique de Jésus (</w:t>
      </w:r>
      <w:hyperlink r:id="rId573">
        <w:r>
          <w:rPr>
            <w:color w:val="0000EE"/>
            <w:u w:val="single"/>
          </w:rPr>
          <w:t>Mt 1.1</w:t>
        </w:r>
      </w:hyperlink>
      <w:r>
        <w:t xml:space="preserve"> ; </w:t>
      </w:r>
      <w:hyperlink r:id="rId574">
        <w:r>
          <w:rPr>
            <w:color w:val="0000EE"/>
            <w:u w:val="single"/>
          </w:rPr>
          <w:t>Lc 3.31</w:t>
        </w:r>
      </w:hyperlink>
      <w:r>
        <w:t>). Le NT étend ainsi les actes d'alliance de Dieu dans l'âge nouveau en la personne de Jésus.</w:t>
      </w:r>
    </w:p>
    <w:p>
      <w:pPr>
        <w:pStyle w:val="Heading3"/>
      </w:pPr>
      <w:r>
        <w:t>La Nouvelle alliance prédite dans l'Ancien Testament</w:t>
      </w:r>
    </w:p>
    <w:p>
      <w:r/>
      <w:r>
        <w:t>L'alliance de David avec Dieu était éternelle, mais en un sens, l'alliance établie avec Israël sur le mont Sinaï était temporaire. L'alliance du Sinaï comprenait des clauses conditionnelles, énoncées dans les bénédictions et malédictions du Deutéronome. La désobéissance d'Israël à la loi de l'alliance entraînerait, au pire, l'exil de la Terre Promise, un thème central de l'alliance d'Abraham à Moïse et au-delà.</w:t>
      </w:r>
    </w:p>
    <w:p>
      <w:r/>
      <w:r>
        <w:t>Les prophètes hébreux percevaient souvent le danger d'une rupture de l'alliance à cause des péchés d'Israël. Certains prophètes, notamment Osée et Jérémie, percevaient également une vérité plus profonde : à savoir que l'alliance était enracinée dans l'amour divin et que, par conséquent, même la malédiction de Dieu ne pouvait être définitive.</w:t>
      </w:r>
    </w:p>
    <w:p>
      <w:r/>
      <w:r>
        <w:t>Osée exprime de manière dramatique cette vérité à travers la « parabole vivante » de son mariage (</w:t>
      </w:r>
      <w:hyperlink r:id="rId575">
        <w:r>
          <w:rPr>
            <w:color w:val="0000EE"/>
            <w:u w:val="single"/>
          </w:rPr>
          <w:t>Os 1–3</w:t>
        </w:r>
      </w:hyperlink>
      <w:r>
        <w:t>). Il épouse Gomer sur ordre de Dieu, mais plus tard, à la suite de l'infidélité de celle-ci, l'alliance conjugale sera dissoute par le divorce. Bien que les actes adultères de Gomer aient contraint Osée à divorcer d'elle, il n'a pas cessé de l'aimer. Dieu ordonne ensuite à Osée de retourner vers Gomer (</w:t>
      </w:r>
      <w:hyperlink r:id="rId576">
        <w:r>
          <w:rPr>
            <w:color w:val="0000EE"/>
            <w:u w:val="single"/>
          </w:rPr>
          <w:t>Os 3.1</w:t>
        </w:r>
      </w:hyperlink>
      <w:r>
        <w:t>). Malgré son infidélité, le prophète devait la reprendre dans la relation d'alliance du mariage. Cette parabole actée représentait l'action de Dieu envers Israël. Le péché d'Israël aboutirait inévitablement à un divorce d'avec Dieu, mais Osée envisageait un nouveau mariage. Dans la nouvelle alliance entre Dieu et Israël, Israël serait gracieusement accepté de nouveau dans une relation avec Dieu (</w:t>
      </w:r>
      <w:hyperlink r:id="rId577">
        <w:r>
          <w:rPr>
            <w:color w:val="0000EE"/>
            <w:u w:val="single"/>
          </w:rPr>
          <w:t>Os 2.14–18</w:t>
        </w:r>
      </w:hyperlink>
      <w:r>
        <w:t>).</w:t>
      </w:r>
    </w:p>
    <w:p>
      <w:r/>
      <w:r>
        <w:t>La nouvelle alliance trouve une expression puissante dans les écrits du prophète Jérémie, qui a vécu à la fin du 7e et au début du 6e siècle av. J.‑C. Durant sa vie, Jérémie sera témoin de la défaite en guerre du royaume de Juda. La nation perdra son indépendance et deviendra un vassal de l'Empire babylonien. En un sens extérieur, cette défaite en 586 av. J.‑C. marque la fin de l'alliance du Sinaï. Israël ne pouvait plus revendiquer la Terre Promise comme sienne. Cependant, Jérémie percevra une vérité qui transcende les réalités politiques de son temps. L'œuvre de Dieu dans le monde, tout comme son amour pour le monde, n'avait pas touché à sa fin.</w:t>
      </w:r>
    </w:p>
    <w:p>
      <w:r/>
      <w:r>
        <w:t xml:space="preserve">Ainsi, Jérémie parlera d'une nouvelle alliance que Dieu mettrait en œuvre : « </w:t>
      </w:r>
      <w:r>
        <w:t>Voici, les jours viennent, dit l’Éternel, Où je ferai avec la maison d’Israël et la maison de Juda Une alliance nouvelle</w:t>
      </w:r>
      <w:r>
        <w:t xml:space="preserve"> » (</w:t>
      </w:r>
      <w:hyperlink r:id="rId578">
        <w:r>
          <w:rPr>
            <w:color w:val="0000EE"/>
            <w:u w:val="single"/>
          </w:rPr>
          <w:t>Jr 31.31</w:t>
        </w:r>
      </w:hyperlink>
      <w:r>
        <w:t>). La nouvelle alliance serait marquée par un acte de Dieu dans les cœurs humains, une transformation spirituelle radicale (</w:t>
      </w:r>
      <w:hyperlink r:id="rId579">
        <w:r>
          <w:rPr>
            <w:color w:val="0000EE"/>
            <w:u w:val="single"/>
          </w:rPr>
          <w:t>Jr 31.34</w:t>
        </w:r>
      </w:hyperlink>
      <w:r>
        <w:t xml:space="preserve">). Lors de la Dernière Cène, Jésus déclarera à ses disciples que « </w:t>
      </w:r>
      <w:r>
        <w:t>Cette coupe est la nouvelle alliance en mon sang, qui est répandu pour vous</w:t>
      </w:r>
      <w:r>
        <w:t xml:space="preserve"> » (</w:t>
      </w:r>
      <w:hyperlink r:id="rId580">
        <w:r>
          <w:rPr>
            <w:color w:val="0000EE"/>
            <w:u w:val="single"/>
          </w:rPr>
          <w:t>Lc 22.20</w:t>
        </w:r>
      </w:hyperlink>
      <w:r>
        <w:t>). Pour l'auteur de l'épître aux Hébreux, la nouvelle alliance était centrale pour une compréhension complète du ministère de Jésus-Christ (</w:t>
      </w:r>
      <w:hyperlink r:id="rId581">
        <w:r>
          <w:rPr>
            <w:color w:val="0000EE"/>
            <w:u w:val="single"/>
          </w:rPr>
          <w:t>Hé 8.8–12</w:t>
        </w:r>
      </w:hyperlink>
      <w:r>
        <w:t>).</w:t>
      </w:r>
    </w:p>
    <w:p>
      <w:pPr>
        <w:pStyle w:val="Heading3"/>
      </w:pPr>
      <w:r>
        <w:t>Conclusion</w:t>
      </w:r>
    </w:p>
    <w:p>
      <w:r/>
      <w:r>
        <w:t>L'alliance est un concept central au message et à l'histoire de l'AT. Le thème de l'alliance se poursuit dans le NT comme une manière d'interpréter l'Évangile chrétien. Le sens de la vie humaine se trouve dans une relation d'alliance avec le Dieu vivant. Les êtres humains pécheurs ne peuvent cependant pas se frayer un chemin dans une telle relation ; Dieu seul peut l'initier. Selon le NT, l'acte de Dieu en donnant à mourir son fils, Jésus, a ouvert la relation d'alliance à toute l'humanité. Le pardon rendu possible par le « sang de la nouvelle alliance » de Jésus permet à tout individu d'entrer dans une relation d'alliance avec Dieu. L'entrée dans une telle relation, aujourd'hui comme à l'époque d'Abraham, repose sur la foi (</w:t>
      </w:r>
      <w:hyperlink r:id="rId582">
        <w:r>
          <w:rPr>
            <w:color w:val="0000EE"/>
            <w:u w:val="single"/>
          </w:rPr>
          <w:t>Ga 3.6–14</w:t>
        </w:r>
      </w:hyperlink>
      <w:r>
        <w:t>).</w:t>
      </w:r>
    </w:p>
    <w:p>
      <w:r/>
      <w:r>
        <w:rPr>
          <w:i/>
        </w:rPr>
        <w:t>Voir aussi</w:t>
      </w:r>
      <w:r>
        <w:t xml:space="preserve"> </w:t>
      </w:r>
      <w:r>
        <w:t>Alliance</w:t>
      </w:r>
      <w:r>
        <w:t xml:space="preserve"> ; </w:t>
      </w:r>
      <w:r>
        <w:t>Alliance, La Nouvelle</w:t>
      </w:r>
      <w:r>
        <w:t xml:space="preserve"> ; </w:t>
      </w:r>
      <w:r>
        <w:t>Loi, Concept biblique de</w:t>
      </w:r>
      <w:r>
        <w:t xml:space="preserve"> ; </w:t>
      </w:r>
      <w:r>
        <w:t>Serment</w:t>
      </w:r>
      <w:r>
        <w:t xml:space="preserve"> ; </w:t>
      </w:r>
      <w:r>
        <w:t>Vœux</w:t>
      </w:r>
      <w:r>
        <w:t>.</w:t>
      </w:r>
      <w:r/>
      <w:r/>
    </w:p>
    <w:p>
      <w:r/>
    </w:p>
    <w:p>
      <w:pPr>
        <w:pStyle w:val="Heading2"/>
      </w:pPr>
      <w:r>
        <w:t>Almodad</w:t>
      </w:r>
      <w:r/>
    </w:p>
    <w:p>
      <w:r/>
      <w:r>
        <w:t>Fils ou descendant de Jokthan. Il est membre de la famille de Noé par l'intermédiaire du fils de Noé, Sem (</w:t>
      </w:r>
      <w:hyperlink r:id="rId583">
        <w:r>
          <w:rPr>
            <w:color w:val="0000EE"/>
            <w:u w:val="single"/>
          </w:rPr>
          <w:t>Gn 10.26</w:t>
        </w:r>
      </w:hyperlink>
      <w:r>
        <w:t xml:space="preserve"> ; </w:t>
      </w:r>
      <w:hyperlink r:id="rId584">
        <w:r>
          <w:rPr>
            <w:color w:val="0000EE"/>
            <w:u w:val="single"/>
          </w:rPr>
          <w:t>1Ch 1.20</w:t>
        </w:r>
      </w:hyperlink>
      <w:r>
        <w:t>).</w:t>
      </w:r>
      <w:r/>
      <w:r/>
    </w:p>
    <w:p>
      <w:r/>
    </w:p>
    <w:p>
      <w:pPr>
        <w:pStyle w:val="Heading2"/>
      </w:pPr>
      <w:r>
        <w:t>Alphée</w:t>
      </w:r>
      <w:r/>
    </w:p>
    <w:p>
      <w:r/>
      <w:r>
        <w:t>1. Père de Jacques, l'un des douze apôtres (</w:t>
      </w:r>
      <w:hyperlink r:id="rId585">
        <w:r>
          <w:rPr>
            <w:color w:val="0000EE"/>
            <w:u w:val="single"/>
          </w:rPr>
          <w:t>Mt 10.3</w:t>
        </w:r>
      </w:hyperlink>
      <w:r>
        <w:t xml:space="preserve">; </w:t>
      </w:r>
      <w:hyperlink r:id="rId586">
        <w:r>
          <w:rPr>
            <w:color w:val="0000EE"/>
            <w:u w:val="single"/>
          </w:rPr>
          <w:t xml:space="preserve">Mc 3.18 </w:t>
        </w:r>
      </w:hyperlink>
      <w:r>
        <w:t xml:space="preserve">; </w:t>
      </w:r>
      <w:hyperlink r:id="rId587">
        <w:r>
          <w:rPr>
            <w:color w:val="0000EE"/>
            <w:u w:val="single"/>
          </w:rPr>
          <w:t xml:space="preserve">Lc 6.15 </w:t>
        </w:r>
      </w:hyperlink>
      <w:r>
        <w:t xml:space="preserve">; </w:t>
      </w:r>
      <w:hyperlink r:id="rId588">
        <w:r>
          <w:rPr>
            <w:color w:val="0000EE"/>
            <w:u w:val="single"/>
          </w:rPr>
          <w:t>Ac 1.13</w:t>
        </w:r>
      </w:hyperlink>
      <w:r>
        <w:t xml:space="preserve">). Certains pensent qu'il s'agit de la même personne que le Clopas de </w:t>
      </w:r>
      <w:hyperlink r:id="rId589">
        <w:r>
          <w:rPr>
            <w:color w:val="0000EE"/>
            <w:u w:val="single"/>
          </w:rPr>
          <w:t>Jn 19.25</w:t>
        </w:r>
      </w:hyperlink>
      <w:r>
        <w:t>.</w:t>
      </w:r>
    </w:p>
    <w:p>
      <w:r/>
      <w:r>
        <w:t>2. Père de Lévi, le collecteur d'impôts (</w:t>
      </w:r>
      <w:hyperlink r:id="rId590">
        <w:r>
          <w:rPr>
            <w:color w:val="0000EE"/>
            <w:u w:val="single"/>
          </w:rPr>
          <w:t>Mc 2.14</w:t>
        </w:r>
      </w:hyperlink>
      <w:r>
        <w:t>), ce Lévi qui est également appelé Matthieu dans les Évangiles (</w:t>
      </w:r>
      <w:hyperlink r:id="rId591">
        <w:r>
          <w:rPr>
            <w:color w:val="0000EE"/>
            <w:u w:val="single"/>
          </w:rPr>
          <w:t>Mt 9.9</w:t>
        </w:r>
      </w:hyperlink>
      <w:r>
        <w:t>).</w:t>
      </w:r>
      <w:r/>
      <w:r/>
    </w:p>
    <w:p>
      <w:r/>
    </w:p>
    <w:p>
      <w:pPr>
        <w:pStyle w:val="Heading2"/>
      </w:pPr>
      <w:r>
        <w:t>Alva</w:t>
      </w:r>
      <w:r/>
    </w:p>
    <w:p>
      <w:r/>
      <w:r>
        <w:t>Descendant d'Ésaü et chef en Édom (</w:t>
      </w:r>
      <w:hyperlink r:id="rId592">
        <w:r>
          <w:rPr>
            <w:color w:val="0000EE"/>
            <w:u w:val="single"/>
          </w:rPr>
          <w:t>Gn 36.40</w:t>
        </w:r>
      </w:hyperlink>
      <w:r>
        <w:t xml:space="preserve">). Alva est également appelé Alja dans </w:t>
      </w:r>
      <w:hyperlink r:id="rId593">
        <w:r>
          <w:rPr>
            <w:color w:val="0000EE"/>
            <w:u w:val="single"/>
          </w:rPr>
          <w:t>1 Chroniques 1.51</w:t>
        </w:r>
      </w:hyperlink>
      <w:r>
        <w:t>.</w:t>
      </w:r>
      <w:r/>
      <w:r/>
    </w:p>
    <w:p>
      <w:r/>
    </w:p>
    <w:p>
      <w:pPr>
        <w:pStyle w:val="Heading2"/>
      </w:pPr>
      <w:r>
        <w:t>Alvan</w:t>
      </w:r>
      <w:r/>
    </w:p>
    <w:p>
      <w:r/>
      <w:r>
        <w:t>Fils de Schobal et descendant d'Ésaü (</w:t>
      </w:r>
      <w:hyperlink r:id="rId594">
        <w:r>
          <w:rPr>
            <w:color w:val="0000EE"/>
            <w:u w:val="single"/>
          </w:rPr>
          <w:t>Gn 36.23</w:t>
        </w:r>
      </w:hyperlink>
      <w:r>
        <w:t xml:space="preserve">). Alvan est également orthographié Aljan dans </w:t>
      </w:r>
      <w:hyperlink r:id="rId595">
        <w:r>
          <w:rPr>
            <w:color w:val="0000EE"/>
            <w:u w:val="single"/>
          </w:rPr>
          <w:t>1Ch 1.40</w:t>
        </w:r>
      </w:hyperlink>
      <w:r>
        <w:t>.</w:t>
      </w:r>
      <w:r/>
      <w:r/>
    </w:p>
    <w:p>
      <w:r/>
    </w:p>
    <w:p>
      <w:pPr>
        <w:pStyle w:val="Heading2"/>
      </w:pPr>
      <w:r>
        <w:t>Amalek, Amalécites</w:t>
      </w:r>
      <w:r/>
    </w:p>
    <w:p>
      <w:pPr>
        <w:pStyle w:val="Heading3"/>
      </w:pPr>
      <w:r>
        <w:t>D'où venaient les Amalécites et où vivaient-ils ?</w:t>
      </w:r>
    </w:p>
    <w:p>
      <w:r/>
      <w:r>
        <w:t>Amalek était le fils d'Éliphaz par sa concubine, Thimna (</w:t>
      </w:r>
      <w:hyperlink r:id="rId596">
        <w:r>
          <w:rPr>
            <w:color w:val="0000EE"/>
            <w:u w:val="single"/>
          </w:rPr>
          <w:t>Gn 36.12</w:t>
        </w:r>
      </w:hyperlink>
      <w:r>
        <w:t xml:space="preserve"> ; </w:t>
      </w:r>
      <w:hyperlink r:id="rId597">
        <w:r>
          <w:rPr>
            <w:color w:val="0000EE"/>
            <w:u w:val="single"/>
          </w:rPr>
          <w:t>1Ch 1.36</w:t>
        </w:r>
      </w:hyperlink>
      <w:r>
        <w:t>). Éliphaz était le fils d'Ésaü. Amalek était le chef d'Édom. Ses descendants étaient connus sous le nom d'Amalécites. Ils s'installeront dans le désert du Néguev et deviendront des alliés des Édomites, des Ammonites, des Moabites, des Ismaélites et des Madianites. Les Amalécites étaient des ennemis d'Israël. Amalek faisait partie du conflit entre frères qui avait commencé avec son grand-père Ésaü. Ésaü s'était disputé avec Jacob. Puisque Jacob était l'un des pères d'Israël, le conflit entre Amalek et Israël avait à la fois une base théologique et politique.</w:t>
      </w:r>
    </w:p>
    <w:p>
      <w:r/>
      <w:r>
        <w:t>Les Amalécites ne restaient pas longtemps dans une région mais se déplaçaient plutôt d'un endroit à l'autre. Parfois, leur territoire dans le Néguev s'étendait du sud de Beer-Schéba jusqu'au sud-est, aussi loin qu'Élath et Etsjon-Guéber. Ils ont combattu vers l'ouest dans la plaine côtière, vers l'est dans les terres désertiques, et peut-être jusqu'en Arabie. Dans le Néguev, ils ont bloqué le chemin des Israélites lors de l'exode hors d'Égypte (</w:t>
      </w:r>
      <w:hyperlink r:id="rId598">
        <w:r>
          <w:rPr>
            <w:color w:val="0000EE"/>
            <w:u w:val="single"/>
          </w:rPr>
          <w:t>Ex 17.8–16</w:t>
        </w:r>
      </w:hyperlink>
      <w:r>
        <w:t>).</w:t>
      </w:r>
    </w:p>
    <w:p>
      <w:pPr>
        <w:pStyle w:val="Heading3"/>
      </w:pPr>
      <w:r>
        <w:t>Conflits avec Israël</w:t>
      </w:r>
    </w:p>
    <w:p>
      <w:r/>
      <w:r>
        <w:t xml:space="preserve">La première rencontre d'Israël avec les guerriers d'Amalek aura lieu à Rephidim près du Sinaï. Moïse se tenait au sommet d'une colline et tenait la verge de Dieu jusqu'à ce qu'Israël remporte la bataille. Il construira un autel et le nomma « </w:t>
      </w:r>
      <w:r>
        <w:t>l’Éternel ma bannière</w:t>
      </w:r>
      <w:r>
        <w:t xml:space="preserve"> » (</w:t>
      </w:r>
      <w:hyperlink r:id="rId599">
        <w:r>
          <w:rPr>
            <w:color w:val="0000EE"/>
            <w:u w:val="single"/>
          </w:rPr>
          <w:t>Ex 17.1, 8–16</w:t>
        </w:r>
      </w:hyperlink>
      <w:r>
        <w:t>). Les Amalécites attaqueront les Israélites qui marchaient plus lentement que le reste du groupe pendant les errances d'Israël dans le désert (</w:t>
      </w:r>
      <w:hyperlink r:id="rId600">
        <w:r>
          <w:rPr>
            <w:color w:val="0000EE"/>
            <w:u w:val="single"/>
          </w:rPr>
          <w:t>Dt 25.17–18</w:t>
        </w:r>
      </w:hyperlink>
      <w:r>
        <w:t>). Lorsque les Israélites ont atteint la frontière de la terre promise, ils rejetteront le rapport de Caleb et Josué. Les Israélites incrédules attaqueront les Amalécites et perdront (</w:t>
      </w:r>
      <w:hyperlink r:id="rId601">
        <w:r>
          <w:rPr>
            <w:color w:val="0000EE"/>
            <w:u w:val="single"/>
          </w:rPr>
          <w:t>Nb 14.39–45</w:t>
        </w:r>
      </w:hyperlink>
      <w:r>
        <w:t>).</w:t>
      </w:r>
    </w:p>
    <w:p>
      <w:r/>
      <w:r>
        <w:t>Lorsque le roi Balak de Moab appelle Balaam pour maudire Israël, il retournera sa malédiction contre Moab. Dans son dernier message divin, il prédira la fin de la tribu d'Amalek (</w:t>
      </w:r>
      <w:hyperlink r:id="rId602">
        <w:r>
          <w:rPr>
            <w:color w:val="0000EE"/>
            <w:u w:val="single"/>
          </w:rPr>
          <w:t>Nb 24.20</w:t>
        </w:r>
      </w:hyperlink>
      <w:r>
        <w:t>). Dans son discours d'adieu, Moïse rappellera aux enfants d'Israël que le peuple d'Amalek les avait attaqués. Il leur dira d'effacer toute mémoire du nom d'Amalek (</w:t>
      </w:r>
      <w:hyperlink r:id="rId603">
        <w:r>
          <w:rPr>
            <w:color w:val="0000EE"/>
            <w:u w:val="single"/>
          </w:rPr>
          <w:t>Dt 25.17–19</w:t>
        </w:r>
      </w:hyperlink>
      <w:r>
        <w:t>).</w:t>
      </w:r>
    </w:p>
    <w:p>
      <w:r/>
      <w:r>
        <w:t>Pendant la période des juges, les Amalécites continueront à vivre dans leur région traditionnelle. Ils s'allieront aux Kéniens (</w:t>
      </w:r>
      <w:hyperlink r:id="rId604">
        <w:r>
          <w:rPr>
            <w:color w:val="0000EE"/>
            <w:u w:val="single"/>
          </w:rPr>
          <w:t>1S 15.5–6</w:t>
        </w:r>
      </w:hyperlink>
      <w:r>
        <w:t>). Les Kéniens sont les descendants du beau-père de Moïse. Ils vivaient dans le Néguev, au sud d'Arad (</w:t>
      </w:r>
      <w:hyperlink r:id="rId605">
        <w:r>
          <w:rPr>
            <w:color w:val="0000EE"/>
            <w:u w:val="single"/>
          </w:rPr>
          <w:t>Jg 1.16</w:t>
        </w:r>
      </w:hyperlink>
      <w:r>
        <w:t>). Les Amalécites étaient également liés à d'autres tribus nomades ou groupes de personnes qui se déplaçaient d'un endroit à l'autre, tels que les Moabites, les Ammonites et les Madianites.</w:t>
      </w:r>
    </w:p>
    <w:p>
      <w:r/>
      <w:r>
        <w:t>Églon était roi de Moab et il rassemblera ces tribus nomades pour vaincre Israël et s'emparer de Jéricho (</w:t>
      </w:r>
      <w:hyperlink r:id="rId606">
        <w:r>
          <w:rPr>
            <w:color w:val="0000EE"/>
            <w:u w:val="single"/>
          </w:rPr>
          <w:t>Jg 3.12–14</w:t>
        </w:r>
      </w:hyperlink>
      <w:r>
        <w:t>). Le Cantique de Débora cite Amalek comme l'une des tribus qui s'est opposé à Israël (</w:t>
      </w:r>
      <w:hyperlink r:id="rId607">
        <w:r>
          <w:rPr>
            <w:color w:val="0000EE"/>
            <w:u w:val="single"/>
          </w:rPr>
          <w:t>Jg 5.14</w:t>
        </w:r>
      </w:hyperlink>
      <w:r>
        <w:t>). Il est possible de traduire « Amalek » par « dans la vallée ». Cependant, les attaques des Amalécites sont mentionnées dans d'autres passages de l'époque de Débora et Barak (</w:t>
      </w:r>
      <w:hyperlink r:id="rId608">
        <w:r>
          <w:rPr>
            <w:color w:val="0000EE"/>
            <w:u w:val="single"/>
          </w:rPr>
          <w:t>Jg 6.3, 33</w:t>
        </w:r>
      </w:hyperlink>
      <w:r>
        <w:t xml:space="preserve"> ; </w:t>
      </w:r>
      <w:hyperlink r:id="rId609">
        <w:r>
          <w:rPr>
            <w:color w:val="0000EE"/>
            <w:u w:val="single"/>
          </w:rPr>
          <w:t>7.12</w:t>
        </w:r>
      </w:hyperlink>
      <w:r>
        <w:t>). Gédéon vaincra ce groupe (</w:t>
      </w:r>
      <w:hyperlink r:id="rId610">
        <w:r>
          <w:rPr>
            <w:color w:val="0000EE"/>
            <w:u w:val="single"/>
          </w:rPr>
          <w:t>Jg 7.12–25</w:t>
        </w:r>
      </w:hyperlink>
      <w:r>
        <w:t>). Il n'y a aucune preuve que les Amalécites aient été chassés du Néguev.</w:t>
      </w:r>
    </w:p>
    <w:p>
      <w:pPr>
        <w:pStyle w:val="Heading3"/>
      </w:pPr>
      <w:r>
        <w:t>Le Déclin et la Défaite des Amalécites</w:t>
      </w:r>
    </w:p>
    <w:p>
      <w:r/>
      <w:r>
        <w:t>Selon 1 Samuel, Saül a envoyé ses armées contre les Amalécites (</w:t>
      </w:r>
      <w:hyperlink r:id="rId611">
        <w:r>
          <w:rPr>
            <w:color w:val="0000EE"/>
            <w:u w:val="single"/>
          </w:rPr>
          <w:t>14.47–48</w:t>
        </w:r>
      </w:hyperlink>
      <w:r>
        <w:t>). Dieu lui ordonnera de les détruire ainsi que tout ce qu'ils possédaient (</w:t>
      </w:r>
      <w:hyperlink r:id="rId612">
        <w:r>
          <w:rPr>
            <w:color w:val="0000EE"/>
            <w:u w:val="single"/>
          </w:rPr>
          <w:t>15.1–3</w:t>
        </w:r>
      </w:hyperlink>
      <w:r>
        <w:t>). Il attaquera leur ville (</w:t>
      </w:r>
      <w:hyperlink r:id="rId613">
        <w:r>
          <w:rPr>
            <w:color w:val="0000EE"/>
            <w:u w:val="single"/>
          </w:rPr>
          <w:t>15.4–7</w:t>
        </w:r>
      </w:hyperlink>
      <w:r>
        <w:t>), mais il ne tuera pas leur roi, Agag (</w:t>
      </w:r>
      <w:hyperlink r:id="rId614">
        <w:r>
          <w:rPr>
            <w:color w:val="0000EE"/>
            <w:u w:val="single"/>
          </w:rPr>
          <w:t>15.8</w:t>
        </w:r>
      </w:hyperlink>
      <w:r>
        <w:t>). Saül donnera le meilleur bétail amalécite à ses hommes (</w:t>
      </w:r>
      <w:hyperlink r:id="rId615">
        <w:r>
          <w:rPr>
            <w:color w:val="0000EE"/>
            <w:u w:val="single"/>
          </w:rPr>
          <w:t>15.9</w:t>
        </w:r>
      </w:hyperlink>
      <w:r>
        <w:t>). Dieu le punira. Il enverra Samuel dire à Saül que sa royauté était terminée à cause de son péché (</w:t>
      </w:r>
      <w:hyperlink r:id="rId616">
        <w:r>
          <w:rPr>
            <w:color w:val="0000EE"/>
            <w:u w:val="single"/>
          </w:rPr>
          <w:t>15.10–31</w:t>
        </w:r>
      </w:hyperlink>
      <w:r>
        <w:t>). Samuel tuera ensuite Agag (</w:t>
      </w:r>
      <w:hyperlink r:id="rId617">
        <w:r>
          <w:rPr>
            <w:color w:val="0000EE"/>
            <w:u w:val="single"/>
          </w:rPr>
          <w:t>15.32–35</w:t>
        </w:r>
      </w:hyperlink>
      <w:r>
        <w:t>).</w:t>
      </w:r>
    </w:p>
    <w:p>
      <w:r/>
      <w:r>
        <w:t>Quelques Amalécites resteront et devront s'échapper. Ils apparaissent plus tard comme ennemis de David alors qu'il était encore un jeune guerrier (</w:t>
      </w:r>
      <w:hyperlink r:id="rId618">
        <w:r>
          <w:rPr>
            <w:color w:val="0000EE"/>
            <w:u w:val="single"/>
          </w:rPr>
          <w:t>27.8</w:t>
        </w:r>
      </w:hyperlink>
      <w:r>
        <w:t>). Quelques Amalécites prendront les deux femmes de David. Il les sauvera et tuera la plupart des assaillants (</w:t>
      </w:r>
      <w:hyperlink r:id="rId619">
        <w:r>
          <w:rPr>
            <w:color w:val="0000EE"/>
            <w:u w:val="single"/>
          </w:rPr>
          <w:t>30.1–20</w:t>
        </w:r>
      </w:hyperlink>
      <w:r>
        <w:t>).</w:t>
      </w:r>
    </w:p>
    <w:p>
      <w:r/>
      <w:r>
        <w:t>Les Amalécites étaient les ennemis jurés d'Israël tout au long du règne du roi David (</w:t>
      </w:r>
      <w:hyperlink r:id="rId620">
        <w:r>
          <w:rPr>
            <w:color w:val="0000EE"/>
            <w:u w:val="single"/>
          </w:rPr>
          <w:t>2S 1.1</w:t>
        </w:r>
      </w:hyperlink>
      <w:r>
        <w:t>). Ils seront répertoriés parmi les ennemis d'Israël (</w:t>
      </w:r>
      <w:hyperlink r:id="rId621">
        <w:r>
          <w:rPr>
            <w:color w:val="0000EE"/>
            <w:u w:val="single"/>
          </w:rPr>
          <w:t>2S 8.12</w:t>
        </w:r>
      </w:hyperlink>
      <w:r>
        <w:t xml:space="preserve"> ; </w:t>
      </w:r>
      <w:hyperlink r:id="rId622">
        <w:r>
          <w:rPr>
            <w:color w:val="0000EE"/>
            <w:u w:val="single"/>
          </w:rPr>
          <w:t>1Ch 18.11</w:t>
        </w:r>
      </w:hyperlink>
      <w:r>
        <w:t xml:space="preserve"> ; </w:t>
      </w:r>
      <w:hyperlink r:id="rId623">
        <w:r>
          <w:rPr>
            <w:color w:val="0000EE"/>
            <w:u w:val="single"/>
          </w:rPr>
          <w:t>Ps 83.7</w:t>
        </w:r>
      </w:hyperlink>
      <w:r>
        <w:t>). Le reste des Amalécites sera tué quelques centaines d'années après David lors du règne du roi Ézéchias sur le royaume du sud de Juda (</w:t>
      </w:r>
      <w:hyperlink r:id="rId624">
        <w:r>
          <w:rPr>
            <w:color w:val="0000EE"/>
            <w:u w:val="single"/>
          </w:rPr>
          <w:t>1Ch 4.41–43</w:t>
        </w:r>
      </w:hyperlink>
      <w:r>
        <w:t>).</w:t>
      </w:r>
      <w:r/>
      <w:r/>
    </w:p>
    <w:p>
      <w:r/>
    </w:p>
    <w:p>
      <w:pPr>
        <w:pStyle w:val="Heading2"/>
      </w:pPr>
      <w:r>
        <w:t>Âme</w:t>
      </w:r>
      <w:r/>
    </w:p>
    <w:p>
      <w:r/>
      <w:r>
        <w:t xml:space="preserve">Mot utilisé pour traduire le mot grec </w:t>
      </w:r>
      <w:r>
        <w:rPr>
          <w:i/>
        </w:rPr>
        <w:t>psuche</w:t>
      </w:r>
      <w:r>
        <w:t xml:space="preserve"> et le mot hébreu </w:t>
      </w:r>
      <w:r>
        <w:rPr>
          <w:i/>
        </w:rPr>
        <w:t>nephesh</w:t>
      </w:r>
      <w:r>
        <w:t>.</w:t>
      </w:r>
    </w:p>
    <w:p>
      <w:r/>
      <w:r>
        <w:t>Le philosophe grec Platon, qui vivait au 4</w:t>
      </w:r>
      <w:r>
        <w:t>ᵉ</w:t>
      </w:r>
      <w:r>
        <w:t xml:space="preserve"> siècle av. J.‑C., croyait que l'âme était la partie éternelle de l'homme. Il croyait que le corps mourait, mais que l'âme ne mourait pas. Selon lui, quand une personne mourait, son âme entrait dans un autre corps. Si la personne avait été mauvaise, son âme pouvait aller dans un être humain inférieur, dans un animal. En passant ainsi d'un corps à un autre, l'âme se faisait purifier du mal au fils du temps. Pendant les premiers siècles de l'ère chrétienne, le gnosticisme enseignait également que le corps était la prison dans laquelle l'âme habitait. La rédemption, ou le salut, était comprise par les Gnostiques comme se produisant pour ceux qui apprenaient les secrets gnostiques, permettant ainsi à leurs âmes de se libérer de leur corps.</w:t>
      </w:r>
    </w:p>
    <w:p>
      <w:pPr>
        <w:pStyle w:val="Heading3"/>
      </w:pPr>
      <w:r>
        <w:t>Perspective biblique sur l'âme</w:t>
      </w:r>
    </w:p>
    <w:p>
      <w:r/>
      <w:r>
        <w:t>Ce que la Bible enseigne sur l'âme est très différent des croyances mentionnées ci-dessus.</w:t>
      </w:r>
    </w:p>
    <w:p>
      <w:pPr>
        <w:pStyle w:val="Heading4"/>
      </w:pPr>
      <w:r>
        <w:t>L'âme dans l'Ancien Testament</w:t>
      </w:r>
    </w:p>
    <w:p>
      <w:r/>
      <w:r>
        <w:t>Dans l'Ancien Testament (AT), l'âme est essentielle à la vie humaine. Les mots hébreux et grecs qui se traduisent par le mot « âme » signifient souvent « vie » et peuvent parfois désigner la vie d'animaux (</w:t>
      </w:r>
      <w:hyperlink r:id="rId625">
        <w:r>
          <w:rPr>
            <w:color w:val="0000EE"/>
            <w:u w:val="single"/>
          </w:rPr>
          <w:t>Gn 1.20</w:t>
        </w:r>
      </w:hyperlink>
      <w:r>
        <w:t xml:space="preserve"> ; </w:t>
      </w:r>
      <w:hyperlink r:id="rId626">
        <w:r>
          <w:rPr>
            <w:color w:val="0000EE"/>
            <w:u w:val="single"/>
          </w:rPr>
          <w:t>Lv 11.10</w:t>
        </w:r>
      </w:hyperlink>
      <w:r>
        <w:t xml:space="preserve">). Par exemple, dans </w:t>
      </w:r>
      <w:hyperlink r:id="rId627">
        <w:r>
          <w:rPr>
            <w:color w:val="0000EE"/>
            <w:u w:val="single"/>
          </w:rPr>
          <w:t xml:space="preserve">Exode 21.23, </w:t>
        </w:r>
      </w:hyperlink>
      <w:r>
        <w:t xml:space="preserve">le sens est que les juges feront payer « vie pour vie ». Dans les textes juridiques, ce même mot sert souvent simplement à désigner une personne (p. ex. « quelqu'un » dans </w:t>
      </w:r>
      <w:hyperlink r:id="rId628">
        <w:r>
          <w:rPr>
            <w:color w:val="0000EE"/>
            <w:u w:val="single"/>
          </w:rPr>
          <w:t>Lv 4.2</w:t>
        </w:r>
      </w:hyperlink>
      <w:r>
        <w:t xml:space="preserve"> ou des « personnes » dans </w:t>
      </w:r>
      <w:hyperlink r:id="rId629">
        <w:r>
          <w:rPr>
            <w:color w:val="0000EE"/>
            <w:u w:val="single"/>
          </w:rPr>
          <w:t xml:space="preserve">Ex 1.5 </w:t>
        </w:r>
      </w:hyperlink>
      <w:r>
        <w:t xml:space="preserve">; </w:t>
      </w:r>
      <w:hyperlink r:id="rId630">
        <w:r>
          <w:rPr>
            <w:color w:val="0000EE"/>
            <w:u w:val="single"/>
          </w:rPr>
          <w:t>Dt 10.22</w:t>
        </w:r>
      </w:hyperlink>
      <w:r>
        <w:t xml:space="preserve">). </w:t>
      </w:r>
    </w:p>
    <w:p>
      <w:r/>
      <w:r>
        <w:t>Le mot âme peut dans certains contextes désigner à la fois les émotions et la force intérieure. Ainsi, les Israélites étaient appelés à aimer Dieu de tout leur cœur et de toute leur âme (</w:t>
      </w:r>
      <w:hyperlink r:id="rId631">
        <w:r>
          <w:rPr>
            <w:color w:val="0000EE"/>
            <w:u w:val="single"/>
          </w:rPr>
          <w:t>Dt 13.3</w:t>
        </w:r>
      </w:hyperlink>
      <w:r>
        <w:t>).</w:t>
      </w:r>
    </w:p>
    <w:p>
      <w:r/>
      <w:r>
        <w:t>L'âme est décrite comme l'origine de la connaissance et de la compréhension (</w:t>
      </w:r>
      <w:hyperlink r:id="rId632">
        <w:r>
          <w:rPr>
            <w:color w:val="0000EE"/>
            <w:u w:val="single"/>
          </w:rPr>
          <w:t>Ps 139.14</w:t>
        </w:r>
      </w:hyperlink>
      <w:r>
        <w:t>), de la pensée (</w:t>
      </w:r>
      <w:hyperlink r:id="rId633">
        <w:r>
          <w:rPr>
            <w:color w:val="0000EE"/>
            <w:u w:val="single"/>
          </w:rPr>
          <w:t>1S 20.3</w:t>
        </w:r>
      </w:hyperlink>
      <w:r>
        <w:t>), de l'amour (</w:t>
      </w:r>
      <w:hyperlink r:id="rId634">
        <w:r>
          <w:rPr>
            <w:color w:val="0000EE"/>
            <w:u w:val="single"/>
          </w:rPr>
          <w:t>1S 18.1</w:t>
        </w:r>
      </w:hyperlink>
      <w:r>
        <w:t>) et de la mémoire (</w:t>
      </w:r>
      <w:hyperlink r:id="rId635">
        <w:r>
          <w:rPr>
            <w:color w:val="0000EE"/>
            <w:u w:val="single"/>
          </w:rPr>
          <w:t>Lm 3.20</w:t>
        </w:r>
      </w:hyperlink>
      <w:r>
        <w:t xml:space="preserve">). Le concept d'âme se rapproche ici de qu'on appellerait aujourd'hui le moi, la personnalité ou l'égo. </w:t>
      </w:r>
    </w:p>
    <w:p>
      <w:r/>
      <w:r>
        <w:t xml:space="preserve">L'AT n'enseigne pas que l'âme se déplace vers un autre corps après la mort. Les êtres humains sont représentés comme l'union d'un corps et d'une âme. Il ne s'agit pas de deux parties distinctes de la personne, mais plutôt de la même personne vue sous des angles différents. Dans </w:t>
      </w:r>
      <w:hyperlink r:id="rId233">
        <w:r>
          <w:rPr>
            <w:color w:val="0000EE"/>
            <w:u w:val="single"/>
          </w:rPr>
          <w:t>Genèse 2.7</w:t>
        </w:r>
      </w:hyperlink>
      <w:r>
        <w:t xml:space="preserve">, les mots « un être vivant » sont parfois incorrectement traduits « une âme vivante » (p. ex. dans la Darby). Ce passage ne dit pas que l'homme est devenu une </w:t>
      </w:r>
      <w:r>
        <w:rPr>
          <w:i/>
        </w:rPr>
        <w:t xml:space="preserve">âme, </w:t>
      </w:r>
      <w:r>
        <w:t xml:space="preserve">car il avait aussi clairement un corps. L'accent est sur le fait d'avoir reçu le souffle de vie : il est devenu un être vivant. </w:t>
      </w:r>
    </w:p>
    <w:p>
      <w:r/>
      <w:r>
        <w:t>Le concept de l'unité de la personne dans l'AT aide à comprendre pourquoi les anciens hébreux pensaient à l'existence après la mort de façon obscure. En effet, il leur était difficile d'imaginer une existence sans corps (</w:t>
      </w:r>
      <w:hyperlink r:id="rId636">
        <w:r>
          <w:rPr>
            <w:color w:val="0000EE"/>
            <w:u w:val="single"/>
          </w:rPr>
          <w:t xml:space="preserve">Ps 16.10 </w:t>
        </w:r>
      </w:hyperlink>
      <w:r>
        <w:t xml:space="preserve">; </w:t>
      </w:r>
      <w:hyperlink r:id="rId637">
        <w:r>
          <w:rPr>
            <w:color w:val="0000EE"/>
            <w:u w:val="single"/>
          </w:rPr>
          <w:t xml:space="preserve">49.16 </w:t>
        </w:r>
      </w:hyperlink>
      <w:r>
        <w:t xml:space="preserve">; </w:t>
      </w:r>
      <w:hyperlink r:id="rId638">
        <w:r>
          <w:rPr>
            <w:color w:val="0000EE"/>
            <w:u w:val="single"/>
          </w:rPr>
          <w:t>88.4–13</w:t>
        </w:r>
      </w:hyperlink>
      <w:r>
        <w:t>). Là où l'espérance d'une vie après la mort apparaît dans l'AT, cette espérance repose sur la puissance de Dieu de vaincre la mort ou une conviction personnelle que la communion avec Dieu peut survivre à la mort (</w:t>
      </w:r>
      <w:hyperlink r:id="rId639">
        <w:r>
          <w:rPr>
            <w:color w:val="0000EE"/>
            <w:u w:val="single"/>
          </w:rPr>
          <w:t xml:space="preserve">Ex 3.6 </w:t>
        </w:r>
      </w:hyperlink>
      <w:r>
        <w:t xml:space="preserve">; </w:t>
      </w:r>
      <w:hyperlink r:id="rId640">
        <w:r>
          <w:rPr>
            <w:color w:val="0000EE"/>
            <w:u w:val="single"/>
          </w:rPr>
          <w:t xml:space="preserve">1S 2.6 </w:t>
        </w:r>
      </w:hyperlink>
      <w:r>
        <w:t xml:space="preserve">; </w:t>
      </w:r>
      <w:hyperlink r:id="rId641">
        <w:r>
          <w:rPr>
            <w:color w:val="0000EE"/>
            <w:u w:val="single"/>
          </w:rPr>
          <w:t xml:space="preserve">Jb 19.25–26 </w:t>
        </w:r>
      </w:hyperlink>
      <w:r>
        <w:t xml:space="preserve">; </w:t>
      </w:r>
      <w:hyperlink r:id="rId642">
        <w:r>
          <w:rPr>
            <w:color w:val="0000EE"/>
            <w:u w:val="single"/>
          </w:rPr>
          <w:t xml:space="preserve">Ps 16.10–11 </w:t>
        </w:r>
      </w:hyperlink>
      <w:r>
        <w:t xml:space="preserve">; </w:t>
      </w:r>
      <w:hyperlink r:id="rId643">
        <w:r>
          <w:rPr>
            <w:color w:val="0000EE"/>
            <w:u w:val="single"/>
          </w:rPr>
          <w:t xml:space="preserve">73.24–25 </w:t>
        </w:r>
      </w:hyperlink>
      <w:r>
        <w:t xml:space="preserve">; </w:t>
      </w:r>
      <w:hyperlink r:id="rId644">
        <w:r>
          <w:rPr>
            <w:color w:val="0000EE"/>
            <w:u w:val="single"/>
          </w:rPr>
          <w:t xml:space="preserve">Es 25.8 </w:t>
        </w:r>
      </w:hyperlink>
      <w:r>
        <w:t xml:space="preserve">; </w:t>
      </w:r>
      <w:hyperlink r:id="rId645">
        <w:r>
          <w:rPr>
            <w:color w:val="0000EE"/>
            <w:u w:val="single"/>
          </w:rPr>
          <w:t xml:space="preserve">26.19 </w:t>
        </w:r>
      </w:hyperlink>
      <w:r>
        <w:t xml:space="preserve">; </w:t>
      </w:r>
      <w:hyperlink r:id="rId646">
        <w:r>
          <w:rPr>
            <w:color w:val="0000EE"/>
            <w:u w:val="single"/>
          </w:rPr>
          <w:t xml:space="preserve">Dn 12.2 </w:t>
        </w:r>
      </w:hyperlink>
      <w:r>
        <w:t xml:space="preserve">; </w:t>
      </w:r>
      <w:hyperlink r:id="rId647">
        <w:r>
          <w:rPr>
            <w:color w:val="0000EE"/>
            <w:u w:val="single"/>
          </w:rPr>
          <w:t xml:space="preserve">Os 6.1–3 </w:t>
        </w:r>
      </w:hyperlink>
      <w:r>
        <w:t xml:space="preserve">; </w:t>
      </w:r>
      <w:hyperlink r:id="rId648">
        <w:r>
          <w:rPr>
            <w:color w:val="0000EE"/>
            <w:u w:val="single"/>
          </w:rPr>
          <w:t>13.14</w:t>
        </w:r>
      </w:hyperlink>
      <w:r>
        <w:t>).</w:t>
      </w:r>
    </w:p>
    <w:p>
      <w:pPr>
        <w:pStyle w:val="Heading4"/>
      </w:pPr>
      <w:r>
        <w:t>L'âme dans le Nouveau Testament</w:t>
      </w:r>
    </w:p>
    <w:p>
      <w:r/>
      <w:r>
        <w:t>Dans le Nouveau Testament (NT), le mot pour âme (</w:t>
      </w:r>
      <w:r>
        <w:rPr>
          <w:i/>
        </w:rPr>
        <w:t>psuche</w:t>
      </w:r>
      <w:r>
        <w:t xml:space="preserve">) a des sens similaires à ceux de </w:t>
      </w:r>
      <w:r>
        <w:rPr>
          <w:i/>
        </w:rPr>
        <w:t>nephesh</w:t>
      </w:r>
      <w:r>
        <w:t xml:space="preserve"> dans l'AT. Souvent, </w:t>
      </w:r>
      <w:r>
        <w:rPr>
          <w:i/>
        </w:rPr>
        <w:t xml:space="preserve">psuche </w:t>
      </w:r>
      <w:r>
        <w:t>désigne la vie elle-même, le fait d'être vivant. Ainsi, les disciples de Jésus exposent leur vie pour son nom (</w:t>
      </w:r>
      <w:hyperlink r:id="rId649">
        <w:r>
          <w:rPr>
            <w:color w:val="0000EE"/>
            <w:u w:val="single"/>
          </w:rPr>
          <w:t>Ac 15.26</w:t>
        </w:r>
      </w:hyperlink>
      <w:r>
        <w:t xml:space="preserve"> ; voir aussi </w:t>
      </w:r>
      <w:hyperlink r:id="rId650">
        <w:r>
          <w:rPr>
            <w:color w:val="0000EE"/>
            <w:u w:val="single"/>
          </w:rPr>
          <w:t>Jn 13.37</w:t>
        </w:r>
      </w:hyperlink>
      <w:r>
        <w:t xml:space="preserve"> ; </w:t>
      </w:r>
      <w:hyperlink r:id="rId651">
        <w:r>
          <w:rPr>
            <w:color w:val="0000EE"/>
            <w:u w:val="single"/>
          </w:rPr>
          <w:t>Rm 16.4</w:t>
        </w:r>
      </w:hyperlink>
      <w:r>
        <w:t xml:space="preserve"> ; </w:t>
      </w:r>
      <w:hyperlink r:id="rId652">
        <w:r>
          <w:rPr>
            <w:color w:val="0000EE"/>
            <w:u w:val="single"/>
          </w:rPr>
          <w:t>Ph 2.30</w:t>
        </w:r>
      </w:hyperlink>
      <w:r>
        <w:t>). Jésus, en tant que Fils de l'homme, est venu pour servir et donner sa vie comme rançon pour beaucoup (</w:t>
      </w:r>
      <w:hyperlink r:id="rId653">
        <w:r>
          <w:rPr>
            <w:color w:val="0000EE"/>
            <w:u w:val="single"/>
          </w:rPr>
          <w:t>Mt 20.28</w:t>
        </w:r>
      </w:hyperlink>
      <w:r>
        <w:t xml:space="preserve"> ; </w:t>
      </w:r>
      <w:hyperlink r:id="rId654">
        <w:r>
          <w:rPr>
            <w:color w:val="0000EE"/>
            <w:u w:val="single"/>
          </w:rPr>
          <w:t>Mc 10.45</w:t>
        </w:r>
      </w:hyperlink>
      <w:r>
        <w:t>). En tant que bon berger, il donne sa vie pour les brebis (</w:t>
      </w:r>
      <w:hyperlink r:id="rId655">
        <w:r>
          <w:rPr>
            <w:color w:val="0000EE"/>
            <w:u w:val="single"/>
          </w:rPr>
          <w:t>Jn 10.14, 17</w:t>
        </w:r>
      </w:hyperlink>
      <w:hyperlink r:id="rId656">
        <w:r>
          <w:rPr>
            <w:color w:val="0000EE"/>
            <w:u w:val="single"/>
          </w:rPr>
          <w:t>–</w:t>
        </w:r>
      </w:hyperlink>
      <w:hyperlink r:id="rId655">
        <w:r>
          <w:rPr>
            <w:color w:val="0000EE"/>
            <w:u w:val="single"/>
          </w:rPr>
          <w:t>18</w:t>
        </w:r>
      </w:hyperlink>
      <w:r>
        <w:t xml:space="preserve">). Dans </w:t>
      </w:r>
      <w:hyperlink r:id="rId657">
        <w:r>
          <w:rPr>
            <w:color w:val="0000EE"/>
            <w:u w:val="single"/>
          </w:rPr>
          <w:t xml:space="preserve">Luc 14.26, </w:t>
        </w:r>
      </w:hyperlink>
      <w:r>
        <w:t xml:space="preserve">être disciple signifie être prêt à renoncer à soi-même au point d'être prêt à perdre sa vie pour Christ (voir </w:t>
      </w:r>
      <w:hyperlink r:id="rId658">
        <w:r>
          <w:rPr>
            <w:color w:val="0000EE"/>
            <w:u w:val="single"/>
          </w:rPr>
          <w:t>Lc 9.23</w:t>
        </w:r>
      </w:hyperlink>
      <w:r>
        <w:t xml:space="preserve"> ; </w:t>
      </w:r>
      <w:hyperlink r:id="rId659">
        <w:r>
          <w:rPr>
            <w:color w:val="0000EE"/>
            <w:u w:val="single"/>
          </w:rPr>
          <w:t>Ap 12.11</w:t>
        </w:r>
      </w:hyperlink>
      <w:r>
        <w:t>).</w:t>
      </w:r>
    </w:p>
    <w:p>
      <w:r/>
      <w:r>
        <w:t xml:space="preserve">Parfois, </w:t>
      </w:r>
      <w:r>
        <w:rPr>
          <w:i/>
        </w:rPr>
        <w:t xml:space="preserve">psuche </w:t>
      </w:r>
      <w:r>
        <w:t xml:space="preserve">peut simplement signifier une personne et est traduit différemment selon le contexte (« chacun » </w:t>
      </w:r>
      <w:hyperlink r:id="rId660">
        <w:r>
          <w:rPr>
            <w:color w:val="0000EE"/>
            <w:u w:val="single"/>
          </w:rPr>
          <w:t xml:space="preserve">Ac 2.43 </w:t>
        </w:r>
      </w:hyperlink>
      <w:r>
        <w:t xml:space="preserve">; « quiconque » </w:t>
      </w:r>
      <w:hyperlink r:id="rId661">
        <w:r>
          <w:rPr>
            <w:color w:val="0000EE"/>
            <w:u w:val="single"/>
          </w:rPr>
          <w:t xml:space="preserve">3.23 </w:t>
        </w:r>
      </w:hyperlink>
      <w:r>
        <w:t xml:space="preserve">; « personne » </w:t>
      </w:r>
      <w:hyperlink r:id="rId662">
        <w:r>
          <w:rPr>
            <w:color w:val="0000EE"/>
            <w:u w:val="single"/>
          </w:rPr>
          <w:t xml:space="preserve">7.14 </w:t>
        </w:r>
      </w:hyperlink>
      <w:r>
        <w:t xml:space="preserve">; </w:t>
      </w:r>
      <w:hyperlink r:id="rId663">
        <w:r>
          <w:rPr>
            <w:color w:val="0000EE"/>
            <w:u w:val="single"/>
          </w:rPr>
          <w:t>Rm 13.1</w:t>
        </w:r>
      </w:hyperlink>
      <w:hyperlink r:id="rId662">
        <w:r>
          <w:rPr>
            <w:color w:val="0000EE"/>
            <w:u w:val="single"/>
          </w:rPr>
          <w:t xml:space="preserve"> </w:t>
        </w:r>
      </w:hyperlink>
      <w:r>
        <w:t xml:space="preserve">; </w:t>
      </w:r>
      <w:hyperlink r:id="rId664">
        <w:r>
          <w:rPr>
            <w:color w:val="0000EE"/>
            <w:u w:val="single"/>
          </w:rPr>
          <w:t>1P 3.20</w:t>
        </w:r>
      </w:hyperlink>
      <w:hyperlink r:id="rId662">
        <w:r>
          <w:rPr>
            <w:color w:val="0000EE"/>
            <w:u w:val="single"/>
          </w:rPr>
          <w:t xml:space="preserve"> </w:t>
        </w:r>
      </w:hyperlink>
      <w:r>
        <w:t>;</w:t>
      </w:r>
      <w:hyperlink r:id="rId664">
        <w:r>
          <w:rPr>
            <w:color w:val="0000EE"/>
            <w:u w:val="single"/>
          </w:rPr>
          <w:t xml:space="preserve"> </w:t>
        </w:r>
      </w:hyperlink>
      <w:r>
        <w:t xml:space="preserve">« âme » </w:t>
      </w:r>
      <w:hyperlink r:id="rId665">
        <w:r>
          <w:rPr>
            <w:color w:val="0000EE"/>
            <w:u w:val="single"/>
          </w:rPr>
          <w:t>Rm 2.9</w:t>
        </w:r>
      </w:hyperlink>
      <w:r>
        <w:t>). L'expression « tout être vivant » (</w:t>
      </w:r>
      <w:hyperlink r:id="rId666">
        <w:r>
          <w:rPr>
            <w:color w:val="0000EE"/>
            <w:u w:val="single"/>
          </w:rPr>
          <w:t>Ap 16.3</w:t>
        </w:r>
      </w:hyperlink>
      <w:r>
        <w:t xml:space="preserve">) décrit tout ce qui a la vie en soi. Comme dans l'AT, l'âme peut désigner l'énergie émotionnelle d'une personne. Elle représente l'être intérieur de la personne. Alors que Jésus est dans l'angoisse à l'approche de son arrestation, il dit que son « âme » </w:t>
      </w:r>
      <w:r>
        <w:t>est « triste jusqu’à la mort »</w:t>
      </w:r>
      <w:r>
        <w:t xml:space="preserve"> (</w:t>
      </w:r>
      <w:hyperlink r:id="rId667">
        <w:r>
          <w:rPr>
            <w:color w:val="0000EE"/>
            <w:u w:val="single"/>
          </w:rPr>
          <w:t xml:space="preserve">Mt 26.38 </w:t>
        </w:r>
      </w:hyperlink>
      <w:r>
        <w:t xml:space="preserve">; </w:t>
      </w:r>
      <w:hyperlink r:id="rId668">
        <w:r>
          <w:rPr>
            <w:color w:val="0000EE"/>
            <w:u w:val="single"/>
          </w:rPr>
          <w:t xml:space="preserve">Mc 14.34 </w:t>
        </w:r>
      </w:hyperlink>
      <w:r>
        <w:t xml:space="preserve">; voir aussi </w:t>
      </w:r>
      <w:hyperlink r:id="rId669">
        <w:r>
          <w:rPr>
            <w:color w:val="0000EE"/>
            <w:u w:val="single"/>
          </w:rPr>
          <w:t>Ps 42.6</w:t>
        </w:r>
      </w:hyperlink>
      <w:r>
        <w:t>). Dans un autre contexte, Jésus promet le repos aux âmes de ceux qui viendront à lui (</w:t>
      </w:r>
      <w:hyperlink r:id="rId670">
        <w:r>
          <w:rPr>
            <w:color w:val="0000EE"/>
            <w:u w:val="single"/>
          </w:rPr>
          <w:t>Mt 11.29</w:t>
        </w:r>
      </w:hyperlink>
      <w:r>
        <w:t xml:space="preserve">). Utilisé ainsi, le mot « âme » signifie l'essence de la personne (voir aussi </w:t>
      </w:r>
      <w:hyperlink r:id="rId671">
        <w:r>
          <w:rPr>
            <w:color w:val="0000EE"/>
            <w:u w:val="single"/>
          </w:rPr>
          <w:t xml:space="preserve">Lc 2.35 </w:t>
        </w:r>
      </w:hyperlink>
      <w:r>
        <w:t xml:space="preserve">; </w:t>
      </w:r>
      <w:hyperlink r:id="rId672">
        <w:r>
          <w:rPr>
            <w:color w:val="0000EE"/>
            <w:u w:val="single"/>
          </w:rPr>
          <w:t xml:space="preserve">2Co 1.23 </w:t>
        </w:r>
      </w:hyperlink>
      <w:r>
        <w:t xml:space="preserve">; </w:t>
      </w:r>
      <w:hyperlink r:id="rId673">
        <w:r>
          <w:rPr>
            <w:color w:val="0000EE"/>
            <w:u w:val="single"/>
          </w:rPr>
          <w:t xml:space="preserve">2Th 2.8 </w:t>
        </w:r>
      </w:hyperlink>
      <w:r>
        <w:t xml:space="preserve">; </w:t>
      </w:r>
      <w:hyperlink r:id="rId674">
        <w:r>
          <w:rPr>
            <w:color w:val="0000EE"/>
            <w:u w:val="single"/>
          </w:rPr>
          <w:t>3Jn 1.2</w:t>
        </w:r>
      </w:hyperlink>
      <w:r>
        <w:t>).</w:t>
      </w:r>
    </w:p>
    <w:p>
      <w:pPr>
        <w:pStyle w:val="Heading3"/>
      </w:pPr>
      <w:r>
        <w:t>Âme et esprit</w:t>
      </w:r>
    </w:p>
    <w:p>
      <w:r/>
      <w:r>
        <w:t xml:space="preserve">Plusieurs passages mentionnent l'âme et l'esprit en même temps. </w:t>
      </w:r>
      <w:hyperlink r:id="rId675">
        <w:r>
          <w:rPr>
            <w:color w:val="0000EE"/>
            <w:u w:val="single"/>
          </w:rPr>
          <w:t>Luc 1.46–47</w:t>
        </w:r>
      </w:hyperlink>
      <w:r>
        <w:t xml:space="preserve"> est probablement un parallélisme poétique, c'est-à-dire une même idée qui est répétée en utilisant des mots différents. Ici, âme et esprit sont deux façons de parler de l'être intérieur de Marie. </w:t>
      </w:r>
      <w:hyperlink r:id="rId676">
        <w:r>
          <w:rPr>
            <w:color w:val="0000EE"/>
            <w:u w:val="single"/>
          </w:rPr>
          <w:t>Hébreux 4.12</w:t>
        </w:r>
      </w:hyperlink>
      <w:r>
        <w:t xml:space="preserve">, « jusqu’à partager âme et esprit » est une image qui montre avec quelle précision la Parole de Dieu sonde l'être intérieur. Dans </w:t>
      </w:r>
      <w:hyperlink r:id="rId677">
        <w:r>
          <w:rPr>
            <w:color w:val="0000EE"/>
            <w:u w:val="single"/>
          </w:rPr>
          <w:t>1 Thessaloniciens 5.23</w:t>
        </w:r>
      </w:hyperlink>
      <w:r>
        <w:t xml:space="preserve">, la prière pour que les lecteurs soient gardés </w:t>
      </w:r>
      <w:r>
        <w:t xml:space="preserve">irrépréhensibles </w:t>
      </w:r>
      <w:r>
        <w:t xml:space="preserve">en esprit, en âme et en corps signifie le désir qu'ils soient gardés entièrement irrépréhensibles. Ici, </w:t>
      </w:r>
      <w:r>
        <w:rPr>
          <w:i/>
        </w:rPr>
        <w:t xml:space="preserve">psuche </w:t>
      </w:r>
      <w:r>
        <w:t>pourrait avoir le sens de « vie naturelle » (et donc d'existence physique) alors que l'esprit pourrait désigner une vie supérieure ou « spirituelle ».</w:t>
      </w:r>
    </w:p>
    <w:p>
      <w:r/>
      <w:r>
        <w:t>Dans d'autres passages, l'âme peut signifier les émotions, la volonté et la pensée, c'est-à-dire la personne intérieure. L'homme doit aimer Dieu de toute son âme (</w:t>
      </w:r>
      <w:hyperlink r:id="rId678">
        <w:r>
          <w:rPr>
            <w:color w:val="0000EE"/>
            <w:u w:val="single"/>
          </w:rPr>
          <w:t>Mt 22.37</w:t>
        </w:r>
      </w:hyperlink>
      <w:r>
        <w:t xml:space="preserve"> ; </w:t>
      </w:r>
      <w:hyperlink r:id="rId679">
        <w:r>
          <w:rPr>
            <w:color w:val="0000EE"/>
            <w:u w:val="single"/>
          </w:rPr>
          <w:t>Mc 12.30</w:t>
        </w:r>
      </w:hyperlink>
      <w:r>
        <w:t xml:space="preserve"> ; voir aussi </w:t>
      </w:r>
      <w:hyperlink r:id="rId680">
        <w:r>
          <w:rPr>
            <w:color w:val="0000EE"/>
            <w:u w:val="single"/>
          </w:rPr>
          <w:t>Dt 6.5</w:t>
        </w:r>
      </w:hyperlink>
      <w:r>
        <w:t xml:space="preserve">). Dans </w:t>
      </w:r>
      <w:hyperlink r:id="rId681">
        <w:r>
          <w:rPr>
            <w:color w:val="0000EE"/>
            <w:u w:val="single"/>
          </w:rPr>
          <w:t>Éphésiens 6.6</w:t>
        </w:r>
      </w:hyperlink>
      <w:r>
        <w:t xml:space="preserve"> et </w:t>
      </w:r>
      <w:hyperlink r:id="rId682">
        <w:r>
          <w:rPr>
            <w:color w:val="0000EE"/>
            <w:u w:val="single"/>
          </w:rPr>
          <w:t>Colossiens 3.23</w:t>
        </w:r>
      </w:hyperlink>
      <w:r>
        <w:t xml:space="preserve">, le contexte dans lequel ce même mot est utilisé fait qu'il est souvent traduit « cœur ». Le sens véritable est encore une fois l'être intérieur, mais en français, l'expression consacrée est « de tout cœur ». Dans </w:t>
      </w:r>
      <w:hyperlink r:id="rId683">
        <w:r>
          <w:rPr>
            <w:color w:val="0000EE"/>
            <w:u w:val="single"/>
          </w:rPr>
          <w:t>Philippiens 1.27</w:t>
        </w:r>
      </w:hyperlink>
      <w:r>
        <w:t xml:space="preserve">, les saints sont appelés à combattre « </w:t>
      </w:r>
      <w:r>
        <w:t>d’une même âme » et le sens est probablement qu'ils aient la même pensée</w:t>
      </w:r>
      <w:r>
        <w:t xml:space="preserve"> (voir </w:t>
      </w:r>
      <w:hyperlink r:id="rId684">
        <w:r>
          <w:rPr>
            <w:color w:val="0000EE"/>
            <w:u w:val="single"/>
          </w:rPr>
          <w:t>Ac 4.32</w:t>
        </w:r>
      </w:hyperlink>
      <w:r>
        <w:t xml:space="preserve"> ; </w:t>
      </w:r>
      <w:hyperlink r:id="rId685">
        <w:r>
          <w:rPr>
            <w:color w:val="0000EE"/>
            <w:u w:val="single"/>
          </w:rPr>
          <w:t>14.2</w:t>
        </w:r>
      </w:hyperlink>
      <w:r>
        <w:t xml:space="preserve">). Ces différences dans la façon dont </w:t>
      </w:r>
      <w:r>
        <w:rPr>
          <w:i/>
        </w:rPr>
        <w:t>psuche</w:t>
      </w:r>
      <w:r>
        <w:t xml:space="preserve"> est traduit dans nos Bibles modernes reflètent le fait que la conception biblique de termes tels qu'âme, esprit et cœur ne correspond pas exactement à la nôtre.</w:t>
      </w:r>
    </w:p>
    <w:p>
      <w:pPr>
        <w:pStyle w:val="Heading3"/>
      </w:pPr>
      <w:r>
        <w:t>L'âme et le salut</w:t>
      </w:r>
    </w:p>
    <w:p>
      <w:r/>
      <w:r>
        <w:t xml:space="preserve">Un certain nombre de passages du NT utilisent </w:t>
      </w:r>
      <w:r>
        <w:rPr>
          <w:i/>
        </w:rPr>
        <w:t>psuche</w:t>
      </w:r>
      <w:r>
        <w:t xml:space="preserve"> pour parler du salut. Dans ces passages, le terme est souvent, mais pas toujours, traduit « âme » (</w:t>
      </w:r>
      <w:hyperlink r:id="rId686">
        <w:r>
          <w:rPr>
            <w:color w:val="0000EE"/>
            <w:u w:val="single"/>
          </w:rPr>
          <w:t>Mt 10.28</w:t>
        </w:r>
      </w:hyperlink>
      <w:r>
        <w:t xml:space="preserve"> ;</w:t>
      </w:r>
      <w:hyperlink r:id="rId686">
        <w:r>
          <w:rPr>
            <w:color w:val="0000EE"/>
            <w:u w:val="single"/>
          </w:rPr>
          <w:t xml:space="preserve"> </w:t>
        </w:r>
      </w:hyperlink>
      <w:hyperlink r:id="rId687">
        <w:r>
          <w:rPr>
            <w:color w:val="0000EE"/>
            <w:u w:val="single"/>
          </w:rPr>
          <w:t>Lc 12.5</w:t>
        </w:r>
      </w:hyperlink>
      <w:r>
        <w:t xml:space="preserve"> ; </w:t>
      </w:r>
      <w:hyperlink r:id="rId688">
        <w:r>
          <w:rPr>
            <w:color w:val="0000EE"/>
            <w:u w:val="single"/>
          </w:rPr>
          <w:t>Hé 6.19</w:t>
        </w:r>
      </w:hyperlink>
      <w:r>
        <w:t xml:space="preserve"> ; </w:t>
      </w:r>
      <w:hyperlink r:id="rId689">
        <w:r>
          <w:rPr>
            <w:color w:val="0000EE"/>
            <w:u w:val="single"/>
          </w:rPr>
          <w:t>10.39</w:t>
        </w:r>
      </w:hyperlink>
      <w:r>
        <w:t xml:space="preserve"> ; </w:t>
      </w:r>
      <w:hyperlink r:id="rId690">
        <w:r>
          <w:rPr>
            <w:color w:val="0000EE"/>
            <w:u w:val="single"/>
          </w:rPr>
          <w:t>12.3</w:t>
        </w:r>
      </w:hyperlink>
      <w:r>
        <w:t xml:space="preserve"> ; </w:t>
      </w:r>
      <w:hyperlink r:id="rId691">
        <w:r>
          <w:rPr>
            <w:color w:val="0000EE"/>
            <w:u w:val="single"/>
          </w:rPr>
          <w:t>13.7</w:t>
        </w:r>
      </w:hyperlink>
      <w:r>
        <w:t xml:space="preserve"> ; </w:t>
      </w:r>
      <w:hyperlink r:id="rId692">
        <w:r>
          <w:rPr>
            <w:color w:val="0000EE"/>
            <w:u w:val="single"/>
          </w:rPr>
          <w:t>Jc 1.21</w:t>
        </w:r>
      </w:hyperlink>
      <w:r>
        <w:t xml:space="preserve"> ; </w:t>
      </w:r>
      <w:hyperlink r:id="rId693">
        <w:r>
          <w:rPr>
            <w:color w:val="0000EE"/>
            <w:u w:val="single"/>
          </w:rPr>
          <w:t>5.20</w:t>
        </w:r>
      </w:hyperlink>
      <w:r>
        <w:t xml:space="preserve"> ; </w:t>
      </w:r>
      <w:hyperlink r:id="rId694">
        <w:r>
          <w:rPr>
            <w:color w:val="0000EE"/>
            <w:u w:val="single"/>
          </w:rPr>
          <w:t>1P 1.9, 22</w:t>
        </w:r>
      </w:hyperlink>
      <w:hyperlink r:id="rId695">
        <w:r>
          <w:rPr>
            <w:color w:val="0000EE"/>
            <w:u w:val="single"/>
          </w:rPr>
          <w:t>–</w:t>
        </w:r>
      </w:hyperlink>
      <w:hyperlink r:id="rId694">
        <w:r>
          <w:rPr>
            <w:color w:val="0000EE"/>
            <w:u w:val="single"/>
          </w:rPr>
          <w:t>23</w:t>
        </w:r>
      </w:hyperlink>
      <w:r>
        <w:t xml:space="preserve"> ; </w:t>
      </w:r>
      <w:hyperlink r:id="rId696">
        <w:r>
          <w:rPr>
            <w:color w:val="0000EE"/>
            <w:u w:val="single"/>
          </w:rPr>
          <w:t>2.25</w:t>
        </w:r>
      </w:hyperlink>
      <w:r>
        <w:t xml:space="preserve"> ; </w:t>
      </w:r>
      <w:hyperlink r:id="rId697">
        <w:r>
          <w:rPr>
            <w:color w:val="0000EE"/>
            <w:u w:val="single"/>
          </w:rPr>
          <w:t>4.19</w:t>
        </w:r>
      </w:hyperlink>
      <w:r>
        <w:t xml:space="preserve"> ; </w:t>
      </w:r>
      <w:hyperlink r:id="rId698">
        <w:r>
          <w:rPr>
            <w:color w:val="0000EE"/>
            <w:u w:val="single"/>
          </w:rPr>
          <w:t>Ap 6.9</w:t>
        </w:r>
      </w:hyperlink>
      <w:r>
        <w:t xml:space="preserve"> ; </w:t>
      </w:r>
      <w:hyperlink r:id="rId699">
        <w:r>
          <w:rPr>
            <w:color w:val="0000EE"/>
            <w:u w:val="single"/>
          </w:rPr>
          <w:t>20.4</w:t>
        </w:r>
      </w:hyperlink>
      <w:r>
        <w:t>). Dans ces passages, « âme » peut désigner ce qui en l'être humain n'est pas physique ou peut désigner une partie de l'homme qui continue à exister avec Dieu en attendant la résurrection.</w:t>
      </w:r>
    </w:p>
    <w:p>
      <w:r/>
      <w:r>
        <w:rPr>
          <w:i/>
        </w:rPr>
        <w:t>Voir aussi</w:t>
      </w:r>
      <w:r>
        <w:t xml:space="preserve"> </w:t>
      </w:r>
      <w:r>
        <w:t>être humain</w:t>
      </w:r>
      <w:r>
        <w:t xml:space="preserve"> ; </w:t>
      </w:r>
      <w:r>
        <w:t>esprit humain</w:t>
      </w:r>
      <w:r>
        <w:t>.</w:t>
      </w:r>
      <w:r/>
      <w:r/>
    </w:p>
    <w:p>
      <w:r/>
    </w:p>
    <w:p>
      <w:pPr>
        <w:pStyle w:val="Heading2"/>
      </w:pPr>
      <w:r>
        <w:t>Ammon, Ammonites</w:t>
      </w:r>
      <w:r/>
    </w:p>
    <w:p>
      <w:r/>
      <w:r>
        <w:t>Les Ammonites étaient un peuple de descendance sémitique. Ils vivaient dans une région fertile au nord-est de Moab, dans le pays appelé Transjordanie (à l'est du Jourdain). Ammon se trouvait entre deux rivières, l'Arnon et le Jabbok. Le territoire s'étendait également à l'est jusqu'au désert syrien. La principale ville des Ammonites était Rabbah (également appelée Rabbath-Ammon). Aujourd'hui, cette ville s'appelle Amman. C'est la capitale du pays moderne de la Jordanie.</w:t>
      </w:r>
    </w:p>
    <w:p>
      <w:pPr>
        <w:pStyle w:val="Heading3"/>
      </w:pPr>
      <w:r>
        <w:t>Origines et nom</w:t>
      </w:r>
    </w:p>
    <w:p>
      <w:r/>
      <w:r>
        <w:t>Les Ammonites descendaient de la lignée familiale de la fille cadette de Lot (</w:t>
      </w:r>
      <w:hyperlink r:id="rId700">
        <w:r>
          <w:rPr>
            <w:color w:val="0000EE"/>
            <w:u w:val="single"/>
          </w:rPr>
          <w:t>Gn 19.38</w:t>
        </w:r>
      </w:hyperlink>
      <w:r>
        <w:t xml:space="preserve">). Le nom </w:t>
      </w:r>
      <w:r>
        <w:rPr>
          <w:i/>
        </w:rPr>
        <w:t>Ammon</w:t>
      </w:r>
      <w:r>
        <w:t xml:space="preserve"> en hébreu signifiait d'abord « fils du clan de mon père ». Ce nom gardait le souvenir d'un ancien groupe familial et d'une personne. Il montrait également un lien entre les Ammonites et les Israélites.</w:t>
      </w:r>
    </w:p>
    <w:p>
      <w:r/>
      <w:r>
        <w:t xml:space="preserve">Le nom </w:t>
      </w:r>
      <w:r>
        <w:rPr>
          <w:i/>
        </w:rPr>
        <w:t>Ammon</w:t>
      </w:r>
      <w:r>
        <w:t xml:space="preserve"> apparaît souvent dans les écrits anciens du milieu du 2e millénaire av. J.‑C. Une forme du nom se retrouve dans les écrits assyriens. D'autres formes apparaissent dans les écrits ougaritiques des années 1 400 av. J.‑C. Le nom figure également dans les écrits de Mari, Amarna et Alalakh.</w:t>
      </w:r>
    </w:p>
    <w:p>
      <w:r/>
      <w:r>
        <w:t>Les Ammonites étaient un groupe de personnes qui vivaient initialement dans la partie sud de la Transjordanie. Ils y ont habité dès le début du 2e millénaire av. J.‑C. Les Ammonites descendaient de lignées familiales mixtes, mais leur langue était très proche de l'hébreu.</w:t>
      </w:r>
    </w:p>
    <w:p>
      <w:r/>
      <w:r>
        <w:t>Les Ammonites utilisaient un ancien script cananéen-phénicien pour écrire. Il est probable que les Israélites pouvaient le lire et le comprendre. Les Ammonites épousaient souvent des personnes d'Israël (</w:t>
      </w:r>
      <w:hyperlink r:id="rId701">
        <w:r>
          <w:rPr>
            <w:color w:val="0000EE"/>
            <w:u w:val="single"/>
          </w:rPr>
          <w:t>1R 14.21, 31</w:t>
        </w:r>
      </w:hyperlink>
      <w:r>
        <w:t xml:space="preserve"> ; </w:t>
      </w:r>
      <w:hyperlink r:id="rId702">
        <w:r>
          <w:rPr>
            <w:color w:val="0000EE"/>
            <w:u w:val="single"/>
          </w:rPr>
          <w:t>2Ch 12.13</w:t>
        </w:r>
      </w:hyperlink>
      <w:r>
        <w:t>). Les noms ammonites montrent également une certaine influence arabe ancienne.</w:t>
      </w:r>
    </w:p>
    <w:p>
      <w:r/>
      <w:r>
        <w:t>Les Ammonites étaient très similaires aux Amoréens en termes de langue, d'ethnicité et d'apparence physique. Ces groupes de personnes étaient probablement étroitement liés. Il est possible que les deux groupes soient entrés dans le pays à peu près au même moment. Lorsque Josué a conduit les Israélites en Canaan, le royaume ammonite et le royaume amoréen de Hesbon étaient déjà forts et bien établis.</w:t>
      </w:r>
    </w:p>
    <w:p>
      <w:pPr>
        <w:pStyle w:val="Heading3"/>
      </w:pPr>
      <w:r>
        <w:t>Histoire ancienne des Ammonites</w:t>
      </w:r>
    </w:p>
    <w:p>
      <w:r/>
      <w:r>
        <w:t>L'Ancien Testament indique qu'une race de géants vivait autrefois dans le pays d'Ammon. Ces géants étaient appelés Rephaïm ou Zamzummim (</w:t>
      </w:r>
      <w:hyperlink r:id="rId703">
        <w:r>
          <w:rPr>
            <w:color w:val="0000EE"/>
            <w:u w:val="single"/>
          </w:rPr>
          <w:t>Dt 2.20–21</w:t>
        </w:r>
      </w:hyperlink>
      <w:r>
        <w:t xml:space="preserve"> ; </w:t>
      </w:r>
      <w:hyperlink r:id="rId704">
        <w:r>
          <w:rPr>
            <w:color w:val="0000EE"/>
            <w:u w:val="single"/>
          </w:rPr>
          <w:t>Gn 14.5</w:t>
        </w:r>
      </w:hyperlink>
      <w:r>
        <w:t>, où ils sont appelés Zuzim). Nous ne savons pas grand-chose à leur sujet.</w:t>
      </w:r>
    </w:p>
    <w:p>
      <w:r/>
      <w:r>
        <w:t>L'</w:t>
      </w:r>
      <w:r>
        <w:rPr>
          <w:i/>
        </w:rPr>
        <w:t>Apocryphe de la Genèse</w:t>
      </w:r>
      <w:r>
        <w:t>, un texte trouvé avec les Manuscrits de la mer Morte, mentionne également les Rephaïm. Il indique qu'ils ont été vaincus par une alliance de quatre rois (</w:t>
      </w:r>
      <w:hyperlink r:id="rId705">
        <w:r>
          <w:rPr>
            <w:color w:val="0000EE"/>
            <w:u w:val="single"/>
          </w:rPr>
          <w:t>Gn 14.1, 5</w:t>
        </w:r>
      </w:hyperlink>
      <w:r>
        <w:t>). L'un de ces rois, Kedorlaomer d'Élam, a mené une expédition qui a brisé le pouvoir de ces géants. Il se peut que cela ait facilité l'installation des peuples d'Ésaü, d'Ammon et de Moab dans le pays. Les Ammonites connaissaient également le roi Og (</w:t>
      </w:r>
      <w:hyperlink r:id="rId706">
        <w:r>
          <w:rPr>
            <w:color w:val="0000EE"/>
            <w:u w:val="single"/>
          </w:rPr>
          <w:t>Dt 3.11</w:t>
        </w:r>
      </w:hyperlink>
      <w:r>
        <w:t>). On croyait qu'il était l'un des derniers descendants des Rephaïm. Les gens honoraient son lit parce qu'il était si grand.</w:t>
      </w:r>
    </w:p>
    <w:p>
      <w:r/>
      <w:r>
        <w:t>Lorsque les Israélites sont arrivés à Kadès, ils ont rencontré le puissant royaume d'Édom. Le roi d'Édom refusera de les laisser traverser son pays (</w:t>
      </w:r>
      <w:hyperlink r:id="rId707">
        <w:r>
          <w:rPr>
            <w:color w:val="0000EE"/>
            <w:u w:val="single"/>
          </w:rPr>
          <w:t>Nb 20.14–21</w:t>
        </w:r>
      </w:hyperlink>
      <w:r>
        <w:t>). Les Israélites se dirigeront alors vers le nord en direction du pays d'Ammon. À cette époque, un roi amoréen nommé Sihon contrôlait le pays. Il refusera également de laisser passer les Israélites. Ces derniers le combattront, remporteront la bataille et prendront son pays (</w:t>
      </w:r>
      <w:hyperlink r:id="rId708">
        <w:r>
          <w:rPr>
            <w:color w:val="0000EE"/>
            <w:u w:val="single"/>
          </w:rPr>
          <w:t>Nb 21.21–24</w:t>
        </w:r>
      </w:hyperlink>
      <w:r>
        <w:t>). Dieu dira à Moïse que les Israélites ne devaient pas se battre pour le pays ammonite, ce pays ayant déjà été donné aux descendants de Lot (</w:t>
      </w:r>
      <w:hyperlink r:id="rId709">
        <w:r>
          <w:rPr>
            <w:color w:val="0000EE"/>
            <w:u w:val="single"/>
          </w:rPr>
          <w:t>Dt 2.19, 37</w:t>
        </w:r>
      </w:hyperlink>
      <w:r>
        <w:t>).</w:t>
      </w:r>
    </w:p>
    <w:p>
      <w:pPr>
        <w:pStyle w:val="Heading3"/>
      </w:pPr>
      <w:r>
        <w:t>Premiers conflits avec Israël</w:t>
      </w:r>
    </w:p>
    <w:p>
      <w:r/>
      <w:r>
        <w:t>Alors qu'ils poursuivaient leur route vers le nord, les Israélites vaincront le roi Og de Basan (</w:t>
      </w:r>
      <w:hyperlink r:id="rId710">
        <w:r>
          <w:rPr>
            <w:color w:val="0000EE"/>
            <w:u w:val="single"/>
          </w:rPr>
          <w:t>Dt 3.1–11</w:t>
        </w:r>
      </w:hyperlink>
      <w:r>
        <w:t>) et descendront ensuite dans la vallée du Jourdain, où ils camperont sur les plaines de Moab. Là, Balak, le roi de Moab, engagera un prophète nommé Balaam pour maudire les Israélites, mais Balaam les bénira à la place (</w:t>
      </w:r>
      <w:hyperlink r:id="rId711">
        <w:r>
          <w:rPr>
            <w:color w:val="0000EE"/>
            <w:u w:val="single"/>
          </w:rPr>
          <w:t>Nb 22–24</w:t>
        </w:r>
      </w:hyperlink>
      <w:r>
        <w:t>). Parce que les Ammonites ont aidé les Moabites, ils ont été exclus de l'assemblée du Seigneur pendant dix générations (</w:t>
      </w:r>
      <w:hyperlink r:id="rId712">
        <w:r>
          <w:rPr>
            <w:color w:val="0000EE"/>
            <w:u w:val="single"/>
          </w:rPr>
          <w:t>Dt 23.3</w:t>
        </w:r>
      </w:hyperlink>
      <w:r>
        <w:t xml:space="preserve"> ; </w:t>
      </w:r>
      <w:hyperlink r:id="rId713">
        <w:r>
          <w:rPr>
            <w:color w:val="0000EE"/>
            <w:u w:val="single"/>
          </w:rPr>
          <w:t>Né 13.1–2</w:t>
        </w:r>
      </w:hyperlink>
      <w:r>
        <w:t>).</w:t>
      </w:r>
    </w:p>
    <w:p>
      <w:r/>
      <w:r>
        <w:t>Les tribus de Gad, de Ruben et la moitié de Manassé choisiront de s'installer dans la région fertile de la Transjordanie. Ce territoire avait autrefois appartenu aux Amoréens et à Basan. Ces tribus se sont installées près de la frontière d'Ammon (</w:t>
      </w:r>
      <w:hyperlink r:id="rId714">
        <w:r>
          <w:rPr>
            <w:color w:val="0000EE"/>
            <w:u w:val="single"/>
          </w:rPr>
          <w:t>Nb 32</w:t>
        </w:r>
      </w:hyperlink>
      <w:r>
        <w:t xml:space="preserve"> ; </w:t>
      </w:r>
      <w:hyperlink r:id="rId715">
        <w:r>
          <w:rPr>
            <w:color w:val="0000EE"/>
            <w:u w:val="single"/>
          </w:rPr>
          <w:t>Dt 3.16</w:t>
        </w:r>
      </w:hyperlink>
      <w:r>
        <w:t xml:space="preserve"> ; </w:t>
      </w:r>
      <w:hyperlink r:id="rId716">
        <w:r>
          <w:rPr>
            <w:color w:val="0000EE"/>
            <w:u w:val="single"/>
          </w:rPr>
          <w:t>Jos 13.8–32</w:t>
        </w:r>
      </w:hyperlink>
      <w:r>
        <w:t>). Plus tard, ces tribus construiront un autel à côté du Jourdain. Au début, les autres tribus israélites penseront qu'il s'agissait d'un acte de rébellion, craignant que cela ne devienne un lieu de culte rival (</w:t>
      </w:r>
      <w:hyperlink r:id="rId717">
        <w:r>
          <w:rPr>
            <w:color w:val="0000EE"/>
            <w:u w:val="single"/>
          </w:rPr>
          <w:t>Jos 22.10–34</w:t>
        </w:r>
      </w:hyperlink>
      <w:r>
        <w:t>).</w:t>
      </w:r>
    </w:p>
    <w:p>
      <w:r/>
      <w:r>
        <w:t>Avant que les Israélites n'entrent en Canaan, les Ammonites n'étaient pas aussi organisés ni si bien installés que les Moabites et les Édomites. Même au 7e siècle av. J.‑C., les Ammonites vivaient encore principalement comme des nomades (des personnes qui se déplacent d'un lieu à l'autre). Après que les Israélites se seront installés en Canaan, les Ammonites se joindront aux Moabites et aux Amalécites. Ils aideront le roi Églon de Moab, qui tentera de reprendre les anciennes terres moabites près de l'extrémité nord de la mer Morte (</w:t>
      </w:r>
      <w:hyperlink r:id="rId718">
        <w:r>
          <w:rPr>
            <w:color w:val="0000EE"/>
            <w:u w:val="single"/>
          </w:rPr>
          <w:t>Jg 3.12–13</w:t>
        </w:r>
      </w:hyperlink>
      <w:r>
        <w:t>).</w:t>
      </w:r>
    </w:p>
    <w:p>
      <w:r/>
      <w:r>
        <w:t>À la fin du 7e siècle av. J.‑C., les Israélites étaient bien installés en Canaan. Ils feront cependant le mal aux yeux du Seigneur en adorant les dieux des Syriens, Sidoniens, Moabites, Ammonites et Philistins (</w:t>
      </w:r>
      <w:hyperlink r:id="rId719">
        <w:r>
          <w:rPr>
            <w:color w:val="0000EE"/>
            <w:u w:val="single"/>
          </w:rPr>
          <w:t>Jg 10.6</w:t>
        </w:r>
      </w:hyperlink>
      <w:r>
        <w:t>). C'est à cette époque que les Ammonites commenceront à devenir plus forts. Ils attaqueront Israël et prendront des terres en Galaad (</w:t>
      </w:r>
      <w:hyperlink r:id="rId720">
        <w:r>
          <w:rPr>
            <w:color w:val="0000EE"/>
            <w:u w:val="single"/>
          </w:rPr>
          <w:t>Jg 10.7–8</w:t>
        </w:r>
      </w:hyperlink>
      <w:r>
        <w:t>). Ils traverseront ensuite le Jourdain et attaqueront les tribus de Juda, Benjamin et Éphraïm (</w:t>
      </w:r>
      <w:hyperlink r:id="rId721">
        <w:r>
          <w:rPr>
            <w:color w:val="0000EE"/>
            <w:u w:val="single"/>
          </w:rPr>
          <w:t>Jg 10.9</w:t>
        </w:r>
      </w:hyperlink>
      <w:r>
        <w:t>).</w:t>
      </w:r>
    </w:p>
    <w:p>
      <w:r/>
      <w:r>
        <w:t>Dans leur détresse, les chefs de Galaad demanderont de l'aide à Jephthé. Jephthé était quelqu'un que le peuple avait rejeté, mais il était un chef militaire puissant (</w:t>
      </w:r>
      <w:hyperlink r:id="rId722">
        <w:r>
          <w:rPr>
            <w:color w:val="0000EE"/>
            <w:u w:val="single"/>
          </w:rPr>
          <w:t>Jg 11.1–11</w:t>
        </w:r>
      </w:hyperlink>
      <w:r>
        <w:t>). Il vaincra les Ammonites au combat. Sa victoire fut si grande qu'il n'aura pas besoin de livrer d'autres batailles contre les Ammonites à l'ouest du Jourdain (</w:t>
      </w:r>
      <w:hyperlink r:id="rId723">
        <w:r>
          <w:rPr>
            <w:color w:val="0000EE"/>
            <w:u w:val="single"/>
          </w:rPr>
          <w:t>Jg 11.12–33</w:t>
        </w:r>
      </w:hyperlink>
      <w:r>
        <w:t>).</w:t>
      </w:r>
    </w:p>
    <w:p>
      <w:pPr>
        <w:pStyle w:val="Heading3"/>
      </w:pPr>
      <w:r>
        <w:t>Conflits avec les rois d'Israël</w:t>
      </w:r>
    </w:p>
    <w:p>
      <w:r/>
      <w:r>
        <w:t>Vers la fin du 9e siècle av. J.‑C., un roi ammonite nommé Nachasch accédera au pouvoir. Il souhaitait prendre le contrôle des terres israélites en Transjordanie. Vers 1020 av. J.‑C., il mènera une campagne militaire importante, atteignant jusqu'au nord de Jabès en Galaad. Les habitants de Jabès en Galaad étaient prêts à se rendre, mais ils prendront du retard et demanderont de l'aide à Saül, le nouveau roi d'Israël. Ce dernier rassemblera rapidement une armée et triomphera des Ammonites (</w:t>
      </w:r>
      <w:hyperlink r:id="rId724">
        <w:r>
          <w:rPr>
            <w:color w:val="0000EE"/>
            <w:u w:val="single"/>
          </w:rPr>
          <w:t>1S 11.1–11</w:t>
        </w:r>
      </w:hyperlink>
      <w:r>
        <w:t>). Cette victoire empêchera les Ammonites de régner dans la vallée du Jourdain pendant de nombreuses années. Plus tard, Saül mènera d'autres batailles contre les ennemis d'Israël, y compris contre les Ammonites (</w:t>
      </w:r>
      <w:hyperlink r:id="rId611">
        <w:r>
          <w:rPr>
            <w:color w:val="0000EE"/>
            <w:u w:val="single"/>
          </w:rPr>
          <w:t>1S 14.47–48</w:t>
        </w:r>
      </w:hyperlink>
      <w:r>
        <w:t>).</w:t>
      </w:r>
    </w:p>
    <w:p>
      <w:r/>
      <w:r>
        <w:t>Quand David deviendra roi, il prendra de l'argent et de l'or des Ammonites, des Philistins et des Amalécites. Parfois, ce prélèvement sera fait au combat, et parfois à travers un tribut (</w:t>
      </w:r>
      <w:hyperlink r:id="rId725">
        <w:r>
          <w:rPr>
            <w:color w:val="0000EE"/>
            <w:u w:val="single"/>
          </w:rPr>
          <w:t>2S 8.11–12</w:t>
        </w:r>
      </w:hyperlink>
      <w:r>
        <w:t xml:space="preserve"> ; </w:t>
      </w:r>
      <w:hyperlink r:id="rId622">
        <w:r>
          <w:rPr>
            <w:color w:val="0000EE"/>
            <w:u w:val="single"/>
          </w:rPr>
          <w:t>1Ch 18.11</w:t>
        </w:r>
      </w:hyperlink>
      <w:r>
        <w:t>). Plus tard, David enverra Joab avec une grande armée pour attaquer le territoire ammonite. Ils entoureront la capitale, la ville de Rabba (</w:t>
      </w:r>
      <w:hyperlink r:id="rId726">
        <w:r>
          <w:rPr>
            <w:color w:val="0000EE"/>
            <w:u w:val="single"/>
          </w:rPr>
          <w:t>2S 11.1</w:t>
        </w:r>
      </w:hyperlink>
      <w:r>
        <w:t xml:space="preserve"> ; </w:t>
      </w:r>
      <w:hyperlink r:id="rId727">
        <w:r>
          <w:rPr>
            <w:color w:val="0000EE"/>
            <w:u w:val="single"/>
          </w:rPr>
          <w:t>1Ch 20.2</w:t>
        </w:r>
      </w:hyperlink>
      <w:r>
        <w:t>). La bataille durera de nombreux mois. Joab affaiblira la ville, et David finira par la prendre (</w:t>
      </w:r>
      <w:hyperlink r:id="rId728">
        <w:r>
          <w:rPr>
            <w:color w:val="0000EE"/>
            <w:u w:val="single"/>
          </w:rPr>
          <w:t>2S 12.26–29</w:t>
        </w:r>
      </w:hyperlink>
      <w:r>
        <w:t>).</w:t>
      </w:r>
    </w:p>
    <w:p>
      <w:r/>
      <w:r>
        <w:t>Après la reddition de la ville, la grande couronne d'or du roi ammonite sera placée sur la tête de David (</w:t>
      </w:r>
      <w:hyperlink r:id="rId729">
        <w:r>
          <w:rPr>
            <w:color w:val="0000EE"/>
            <w:u w:val="single"/>
          </w:rPr>
          <w:t>2S 12.30</w:t>
        </w:r>
      </w:hyperlink>
      <w:r>
        <w:t xml:space="preserve"> ; </w:t>
      </w:r>
      <w:hyperlink r:id="rId730">
        <w:r>
          <w:rPr>
            <w:color w:val="0000EE"/>
            <w:u w:val="single"/>
          </w:rPr>
          <w:t>1Ch 20.1</w:t>
        </w:r>
      </w:hyperlink>
      <w:r>
        <w:t>). L'armée de David s'emparera de la richesse de la ville et réduira les habitants en esclavage. D'autres villes ammonites seront également capturées. La nation deviendra l'un des États vassaux d'Israël (</w:t>
      </w:r>
      <w:hyperlink r:id="rId731">
        <w:r>
          <w:rPr>
            <w:color w:val="0000EE"/>
            <w:u w:val="single"/>
          </w:rPr>
          <w:t>2S 12.31</w:t>
        </w:r>
      </w:hyperlink>
      <w:r>
        <w:t xml:space="preserve"> ; </w:t>
      </w:r>
      <w:hyperlink r:id="rId732">
        <w:r>
          <w:rPr>
            <w:color w:val="0000EE"/>
            <w:u w:val="single"/>
          </w:rPr>
          <w:t>1Ch 20.3</w:t>
        </w:r>
      </w:hyperlink>
      <w:r>
        <w:t>). Le nombre d'États sous le contrôle d'Israël augmentait. David choisira un dirigeant de la famille royale ammonite pour gouverner le peuple d'Ammon. Schobi, un des fils de Nachasch, deviendra leur chef. Il aidera David, plus tard, lors de la révolte d'Absalom (</w:t>
      </w:r>
      <w:hyperlink r:id="rId733">
        <w:r>
          <w:rPr>
            <w:color w:val="0000EE"/>
            <w:u w:val="single"/>
          </w:rPr>
          <w:t>2S 17.27</w:t>
        </w:r>
      </w:hyperlink>
      <w:r>
        <w:t>). L'un des meilleurs guerriers de David était également un Ammonite (</w:t>
      </w:r>
      <w:hyperlink r:id="rId734">
        <w:r>
          <w:rPr>
            <w:color w:val="0000EE"/>
            <w:u w:val="single"/>
          </w:rPr>
          <w:t>2S 23.37</w:t>
        </w:r>
      </w:hyperlink>
      <w:r>
        <w:t>).</w:t>
      </w:r>
    </w:p>
    <w:p>
      <w:r/>
      <w:r>
        <w:t>Lors du règne de Salomon, les Ammonites vivront en paix avec Israël. Ils bénéficieront tous deux de la richesse de cette époque. Après la mort de Salomon, le royaume d'Israël se divisera en deux : le royaume d'Israël au nord et le royaume de Juda au sud. Les armées de Schischak, roi d'Égypte, envahiront la Palestine et le territoire ammonite. Les Ammonites déclareront alors leur indépendance vis-à-vis d'Israël et de Juda.</w:t>
      </w:r>
    </w:p>
    <w:p>
      <w:r/>
      <w:r>
        <w:t>Plus tard, les Ammonites s'allieront aux Moabites et aux Méunites pour attaquer le roi Josaphat de Juda (règne de 871 à 848 av. J.‑C.). Josaphat priera Dieu pour obtenir de l'aide (</w:t>
      </w:r>
      <w:hyperlink r:id="rId735">
        <w:r>
          <w:rPr>
            <w:color w:val="0000EE"/>
            <w:u w:val="single"/>
          </w:rPr>
          <w:t>2Ch 20.1–12</w:t>
        </w:r>
      </w:hyperlink>
      <w:r>
        <w:t>). Les Ammonites et leurs alliés se battront entre eux, le peuple de Juda rassemblant les dépouilles de la guerre pendant trois jours (</w:t>
      </w:r>
      <w:hyperlink r:id="rId736">
        <w:r>
          <w:rPr>
            <w:color w:val="0000EE"/>
            <w:u w:val="single"/>
          </w:rPr>
          <w:t>2Ch 20.22–25</w:t>
        </w:r>
      </w:hyperlink>
      <w:r>
        <w:t>).</w:t>
      </w:r>
    </w:p>
    <w:p>
      <w:pPr>
        <w:pStyle w:val="Heading3"/>
      </w:pPr>
      <w:r>
        <w:t>Ammon sous la domination babylonienne</w:t>
      </w:r>
    </w:p>
    <w:p>
      <w:r/>
      <w:r>
        <w:t>Les Ammonites se rétabliront rapidement. À la fin du 7e siècle av. J.‑C., Ammon sera de nouveau un peuple puissant qui sera en mesure de gouverner une grande partie du sud de la Transjordanie. L'indépendance ammonite ne durera toutefois pas longtemps. En 599 av. J.‑C., le roi babylonien Nebucadnetsar mènera son armée en Syrie et commencera à attaquer le sud de la Palestine. En 593 av. J.‑C., les dirigeants ammonites se réuniront à Jérusalem avec d'autres nations pour planifier une rébellion contre Babylone (</w:t>
      </w:r>
      <w:hyperlink r:id="rId737">
        <w:r>
          <w:rPr>
            <w:color w:val="0000EE"/>
            <w:u w:val="single"/>
          </w:rPr>
          <w:t>Jr 27.1–3</w:t>
        </w:r>
      </w:hyperlink>
      <w:r>
        <w:t>). Le prophète Jérémie les avertira que Dieu ferait échouer leur plan (</w:t>
      </w:r>
      <w:hyperlink r:id="rId738">
        <w:r>
          <w:rPr>
            <w:color w:val="0000EE"/>
            <w:u w:val="single"/>
          </w:rPr>
          <w:t>Jr 27.4–22</w:t>
        </w:r>
      </w:hyperlink>
      <w:r>
        <w:t>). Nebucadnetsar attaquera Jérusalem, détruisira la ville en 586 av. J.‑C., et emmènera de nombreux Juifs à Babylone.</w:t>
      </w:r>
    </w:p>
    <w:p>
      <w:r/>
      <w:r>
        <w:t>Le pays d'Ammon ne sera pas été envahi immédiatement. De nombreux Judéens s'y réfugieront (</w:t>
      </w:r>
      <w:hyperlink r:id="rId739">
        <w:r>
          <w:rPr>
            <w:color w:val="0000EE"/>
            <w:u w:val="single"/>
          </w:rPr>
          <w:t>Jr 40.11</w:t>
        </w:r>
      </w:hyperlink>
      <w:r>
        <w:t>). L'un d'eux, Ismaël, collaborera avec Baalis, roi d'Ammon. Ils comploteront pour tuer Guedalia, le gouverneur de Juda, qui était désormais une province de Babylone. (</w:t>
      </w:r>
      <w:hyperlink r:id="rId740">
        <w:r>
          <w:rPr>
            <w:color w:val="0000EE"/>
            <w:u w:val="single"/>
          </w:rPr>
          <w:t>Jr 40.13–16</w:t>
        </w:r>
      </w:hyperlink>
      <w:r>
        <w:t>). Après avoir tué Guedalia, Ismaël s'échappera à Ammon (</w:t>
      </w:r>
      <w:hyperlink r:id="rId741">
        <w:r>
          <w:rPr>
            <w:color w:val="0000EE"/>
            <w:u w:val="single"/>
          </w:rPr>
          <w:t>Jr 41.1–15</w:t>
        </w:r>
      </w:hyperlink>
      <w:r>
        <w:t>). Les troupes de Nebucadnetsar attaqueront ensuite Rabba et captureront de nombreux Ammonites. La ville ne sera pas été détruite, mais les terres environnantes seront ravagées. Des groupes arabes envahiront et détruiront ce qui restait du pouvoir politique d'Ammon. Ceci mettra fin à Ammon en tant qu'État indépendant.</w:t>
      </w:r>
      <w:r/>
      <w:r/>
    </w:p>
    <w:p>
      <w:r/>
    </w:p>
    <w:p>
      <w:pPr>
        <w:pStyle w:val="Heading2"/>
      </w:pPr>
      <w:r>
        <w:t>Amoréens</w:t>
      </w:r>
      <w:r/>
    </w:p>
    <w:p>
      <w:r/>
      <w:r>
        <w:t>Peuples sémitiques qui se trouvaient dans tout le Croissant fertile du Proche-Orient au début du 2e millénaire av. J.‑C. Les Amoréens sont d'abord mentionnés dans la Bible comme descendants de Canaan dans une liste de peuples anciens (</w:t>
      </w:r>
      <w:hyperlink r:id="rId742">
        <w:r>
          <w:rPr>
            <w:color w:val="0000EE"/>
            <w:u w:val="single"/>
          </w:rPr>
          <w:t>Gn 10.16</w:t>
        </w:r>
      </w:hyperlink>
      <w:r>
        <w:t xml:space="preserve"> ; voir </w:t>
      </w:r>
      <w:hyperlink r:id="rId743">
        <w:r>
          <w:rPr>
            <w:color w:val="0000EE"/>
            <w:u w:val="single"/>
          </w:rPr>
          <w:t>1Ch 1.13–16</w:t>
        </w:r>
      </w:hyperlink>
      <w:r>
        <w:t>). Certains de ces peuples nomades semblent avoir migré du désert syrien vers la Mésopotamie, d'autres vers la Palestine.</w:t>
      </w:r>
    </w:p>
    <w:p>
      <w:r/>
      <w:r>
        <w:t xml:space="preserve">Les inscriptions cunéiformes akkadiennes mentionnent un peuple relativement peu civilisé appelé </w:t>
      </w:r>
      <w:r>
        <w:rPr>
          <w:i/>
        </w:rPr>
        <w:t>Amurru</w:t>
      </w:r>
      <w:r>
        <w:t xml:space="preserve"> (traduction du sumérien </w:t>
      </w:r>
      <w:r>
        <w:rPr>
          <w:i/>
        </w:rPr>
        <w:t>Mar-tu</w:t>
      </w:r>
      <w:r>
        <w:t>). Il se peut que ce nom soit apparenté à un dieu de la tempête. Ils envahiront les Sumériens et, finalement, la majeure partie de la Mésopotamie. La ville de Mari, sur le haut Euphrate, tombera entre leurs mains vers 2000 av. J.‑C. ; puis Eshunna peu de temps après ; Babylone ensuite vers 1830 av. J.‑C. ; et enfin Assur vers 1750 av. J.‑C.</w:t>
      </w:r>
    </w:p>
    <w:p>
      <w:r/>
      <w:r>
        <w:t>Plus à l'ouest, les Amoréens se trouvaient en Palestine et en Syrie dès le 3e millénaire av. J.‑C. Les textes égyptiens du début du 19e siècle av. J.‑C. montrent que des vagues supplémentaires de nomades amoréens entraient en Canaan à cette époque. Beaucoup de leurs noms sont similaires aux noms amoréens de la haute Mésopotamie. De nombreux noms des tablettes de Mari sont identiques ou similaires à ceux des récits patriarcaux dans la Genèse. Des personnes nommées Jacob, Abraham, Lévi et Ismaël étaient connues à Mari, et des noms similaires à Gad et Dan y ont été trouvés. Benjamin était connu comme le nom d'une tribu. Nachor s'est trouvé être le nom d'une ville près d'Haran. Selon la Genèse, Abraham vivra à Haran de nombreuses années avant d'aller en Canaan. Jacob y passera vingt ans et épousera deux femmes d'Haran.</w:t>
      </w:r>
    </w:p>
    <w:p>
      <w:r/>
      <w:r>
        <w:t>Les Amoréens occupent une place importante dans l'Ancien Testament en tant qu'obstacles majeurs à l'occupation de Canaan (la Terre Promise) par les Israélites après l'exode. Lorsqu'il appellera Moïse à conduire Israël hors d'Égypte, le Seigneur parle de Canaan, alors occupée par les Amoréens et d'autres, comme d'une bonne terre (</w:t>
      </w:r>
      <w:hyperlink r:id="rId744">
        <w:r>
          <w:rPr>
            <w:color w:val="0000EE"/>
            <w:u w:val="single"/>
          </w:rPr>
          <w:t>Ex 3.8, 17</w:t>
        </w:r>
      </w:hyperlink>
      <w:r>
        <w:t xml:space="preserve"> ; </w:t>
      </w:r>
      <w:hyperlink r:id="rId745">
        <w:r>
          <w:rPr>
            <w:color w:val="0000EE"/>
            <w:u w:val="single"/>
          </w:rPr>
          <w:t>13.5</w:t>
        </w:r>
      </w:hyperlink>
      <w:r>
        <w:t>). Lorsque les Israélites se trouvaient dans le désert, Dieu promettra de détruire ces nations (</w:t>
      </w:r>
      <w:hyperlink r:id="rId746">
        <w:r>
          <w:rPr>
            <w:color w:val="0000EE"/>
            <w:u w:val="single"/>
          </w:rPr>
          <w:t>Ex 23.23</w:t>
        </w:r>
      </w:hyperlink>
      <w:r>
        <w:t>) et de les chasser du pays (</w:t>
      </w:r>
      <w:hyperlink r:id="rId747">
        <w:r>
          <w:rPr>
            <w:color w:val="0000EE"/>
            <w:u w:val="single"/>
          </w:rPr>
          <w:t>Ex 33.2</w:t>
        </w:r>
      </w:hyperlink>
      <w:r>
        <w:t>). Le peuple hébreu sera averti de ne pas conclure d'alliances avec eux, de ne pas se marier avec eux, ni de tolérer leur culte des idolâtre (</w:t>
      </w:r>
      <w:hyperlink r:id="rId748">
        <w:r>
          <w:rPr>
            <w:color w:val="0000EE"/>
            <w:u w:val="single"/>
          </w:rPr>
          <w:t>Ex 34.11–17</w:t>
        </w:r>
      </w:hyperlink>
      <w:r>
        <w:t>).</w:t>
      </w:r>
    </w:p>
    <w:p>
      <w:r/>
      <w:r>
        <w:t>Les espions envoyés dans le pays trouveront des Amalécites au sud, des Hétiens, Jébusiens et Amoréens dans les montagnes du nord et à l'ouest du Jourdain, et des Cananéens près de la mer et le long du Jourdain (</w:t>
      </w:r>
      <w:hyperlink r:id="rId749">
        <w:r>
          <w:rPr>
            <w:color w:val="0000EE"/>
            <w:u w:val="single"/>
          </w:rPr>
          <w:t>Nb 13.25–29</w:t>
        </w:r>
      </w:hyperlink>
      <w:r>
        <w:t>). À cette époque, des Amoréens se trouvaient également à l'est du Jourdain (</w:t>
      </w:r>
      <w:hyperlink r:id="rId750">
        <w:r>
          <w:rPr>
            <w:color w:val="0000EE"/>
            <w:u w:val="single"/>
          </w:rPr>
          <w:t>Nb 21.13</w:t>
        </w:r>
      </w:hyperlink>
      <w:r>
        <w:t>).</w:t>
      </w:r>
    </w:p>
    <w:p>
      <w:r/>
      <w:r>
        <w:t>Dieu instruira Israël de quitter Horeb et de conquérir la montagne des Amoréens du côté ouest du Jourdain jusqu'à la mer Méditerranée (</w:t>
      </w:r>
      <w:hyperlink r:id="rId751">
        <w:r>
          <w:rPr>
            <w:color w:val="0000EE"/>
            <w:u w:val="single"/>
          </w:rPr>
          <w:t>Dt 1.7</w:t>
        </w:r>
      </w:hyperlink>
      <w:r>
        <w:t>). Lorsqu'ils arrivent à Kadès-Barnéa, c'est au pied de ces montagnes qu'ils se trouvaient (</w:t>
      </w:r>
      <w:hyperlink r:id="rId752">
        <w:r>
          <w:rPr>
            <w:color w:val="0000EE"/>
            <w:u w:val="single"/>
          </w:rPr>
          <w:t>Dt 1.19–20</w:t>
        </w:r>
      </w:hyperlink>
      <w:r>
        <w:t>). Le peuple, cependant, murmurera et se plaindra que Dieu les avait fait sortir d'Égypte pour être ensuite massacrés par les Amoréens. D'après les rapports des espions, ils imaginaient que les Amoréens étaient un peuple redoutable, plus grand et plus puissant que les Israélites (</w:t>
      </w:r>
      <w:hyperlink r:id="rId753">
        <w:r>
          <w:rPr>
            <w:color w:val="0000EE"/>
            <w:u w:val="single"/>
          </w:rPr>
          <w:t>Dt 1.26–28</w:t>
        </w:r>
      </w:hyperlink>
      <w:r>
        <w:t>). Ils refusèrent de faire suffisamment confiance à Dieu pour y entrer, au départ. Dieu leur dira alors de faire demi-tour et de retourner dans le désert. Ils changeront d'avis, attaqueront obstinément les Amoréens contre l'ordre de Dieu, et seront sévèrement battus (</w:t>
      </w:r>
      <w:hyperlink r:id="rId754">
        <w:r>
          <w:rPr>
            <w:color w:val="0000EE"/>
            <w:u w:val="single"/>
          </w:rPr>
          <w:t>Dt 1.34–44</w:t>
        </w:r>
      </w:hyperlink>
      <w:r>
        <w:t>). Enfin, après trente-huit années supplémentaires dans le désert, les Israélites feront à nouveau face aux Amoréens, mais cette fois du côté oriental de la mer Morte (</w:t>
      </w:r>
      <w:hyperlink r:id="rId750">
        <w:r>
          <w:rPr>
            <w:color w:val="0000EE"/>
            <w:u w:val="single"/>
          </w:rPr>
          <w:t>Nb 21.13</w:t>
        </w:r>
      </w:hyperlink>
      <w:r>
        <w:t>). Le roi amoréen, Sihon, refusera de les laisser traverser son pays. Les Israélites étaient rassemblés au fleuve Arnon, qui se jette dans la mer Morte à environ deux tiers de la montée de sa rive orientale.</w:t>
      </w:r>
    </w:p>
    <w:p>
      <w:r/>
      <w:r>
        <w:t>La Transjordanie était contrôlée par deux rois amoréens, Sihon et Og. Israël devait d'abord affronter Sihon. Sa ville, Hesbon, se trouvait à l'est de l'extrémité nord de la mer Morte (</w:t>
      </w:r>
      <w:hyperlink r:id="rId755">
        <w:r>
          <w:rPr>
            <w:color w:val="0000EE"/>
            <w:u w:val="single"/>
          </w:rPr>
          <w:t>Nb 21.21–26</w:t>
        </w:r>
      </w:hyperlink>
      <w:r>
        <w:t>). Sihon lui-même avait pris cette terre aux Moabites. Moïse connaissait la réputation de Sihon et citera un poème qui vantait la victoire de Sihon sur Moab (</w:t>
      </w:r>
      <w:hyperlink r:id="rId756">
        <w:r>
          <w:rPr>
            <w:color w:val="0000EE"/>
            <w:u w:val="single"/>
          </w:rPr>
          <w:t>Nb 21.27–30</w:t>
        </w:r>
      </w:hyperlink>
      <w:r>
        <w:t>). Les Israélites triompheront néanmoins de Sihon et dévasteront son royaume de Dibon, à 6 km au nord de l'Arnon, jusqu'à Médeba, à 11 km au sud d'Hesbon. Le roi Og, plus au nord, subira le même sort (</w:t>
      </w:r>
      <w:hyperlink r:id="rId757">
        <w:r>
          <w:rPr>
            <w:color w:val="0000EE"/>
            <w:u w:val="single"/>
          </w:rPr>
          <w:t>Nb 21.31–35</w:t>
        </w:r>
      </w:hyperlink>
      <w:r>
        <w:t>). Le roi Balak de Moab entendra parler des victoires israélites et sera terrifié (</w:t>
      </w:r>
      <w:hyperlink r:id="rId758">
        <w:r>
          <w:rPr>
            <w:color w:val="0000EE"/>
            <w:u w:val="single"/>
          </w:rPr>
          <w:t>Nb 22.2–3</w:t>
        </w:r>
      </w:hyperlink>
      <w:r>
        <w:t>).</w:t>
      </w:r>
    </w:p>
    <w:p>
      <w:r/>
      <w:r>
        <w:t>Moïse rappellera au peuple qu'en se fiant aux promesses de Dieu, ils avaient pris tout le pays des Amoréens à l'est du Jourdain (</w:t>
      </w:r>
      <w:hyperlink r:id="rId759">
        <w:r>
          <w:rPr>
            <w:color w:val="0000EE"/>
            <w:u w:val="single"/>
          </w:rPr>
          <w:t>Dt 2.24–3.10</w:t>
        </w:r>
      </w:hyperlink>
      <w:r>
        <w:t>). Le territoire conquis sera donné aux tribus de Gad et Ruben et à la demi-tribu de Manassé (</w:t>
      </w:r>
      <w:hyperlink r:id="rId760">
        <w:r>
          <w:rPr>
            <w:color w:val="0000EE"/>
            <w:u w:val="single"/>
          </w:rPr>
          <w:t>Nb 32.33</w:t>
        </w:r>
      </w:hyperlink>
      <w:r>
        <w:t>). Puis, quarante années après le début de l'exode, Israël se tenait du côté est du Jourdain, y ayant dépossédé les deux grandes nations amoréennes (</w:t>
      </w:r>
      <w:hyperlink r:id="rId761">
        <w:r>
          <w:rPr>
            <w:color w:val="0000EE"/>
            <w:u w:val="single"/>
          </w:rPr>
          <w:t>Dt 1.1–4</w:t>
        </w:r>
      </w:hyperlink>
      <w:r>
        <w:t>). Il y avait cependant d'autres royaumes amoréens dans les collines à l'ouest du Jourdain, ainsi que d'autres nations (</w:t>
      </w:r>
      <w:hyperlink r:id="rId762">
        <w:r>
          <w:rPr>
            <w:color w:val="0000EE"/>
            <w:u w:val="single"/>
          </w:rPr>
          <w:t>Dt 7.1–2</w:t>
        </w:r>
      </w:hyperlink>
      <w:r>
        <w:t>). Ils devaient être détruits de la même manière que Sihon et Og avaient été vaincus (</w:t>
      </w:r>
      <w:hyperlink r:id="rId763">
        <w:r>
          <w:rPr>
            <w:color w:val="0000EE"/>
            <w:u w:val="single"/>
          </w:rPr>
          <w:t>Dt 31.3–6</w:t>
        </w:r>
      </w:hyperlink>
      <w:r>
        <w:t>).</w:t>
      </w:r>
    </w:p>
    <w:p>
      <w:r/>
      <w:r>
        <w:t>La victoire d'Israël à l'est du Jourdain était si célèbre que Rahab et d'autres à Jéricho, à l'ouest du Jourdain, en étaient informés et effrayés (</w:t>
      </w:r>
      <w:hyperlink r:id="rId764">
        <w:r>
          <w:rPr>
            <w:color w:val="0000EE"/>
            <w:u w:val="single"/>
          </w:rPr>
          <w:t>Jos 2.8–11</w:t>
        </w:r>
      </w:hyperlink>
      <w:r>
        <w:t>). Les Israélites traverseront le Jourdain et prendront Jéricho, mais seront vaincus à la plus petite ville d'Aï dans la région montagneuse à l'ouest de Jéricho. Ils supposeront immédiatement qu'ils seraient anéantis par les Amoréens dans ces collines (</w:t>
      </w:r>
      <w:hyperlink r:id="rId765">
        <w:r>
          <w:rPr>
            <w:color w:val="0000EE"/>
            <w:u w:val="single"/>
          </w:rPr>
          <w:t>Jos 7.7</w:t>
        </w:r>
      </w:hyperlink>
      <w:r>
        <w:t>).</w:t>
      </w:r>
    </w:p>
    <w:p>
      <w:r/>
      <w:r>
        <w:t>Les Israélites retrouveront la faveur de Dieu et vaincront Aï. Leur victoire impressionnera les autres royaumes à l'ouest du Jourdain dans les collines, vallées et régions côtières jusqu'au Liban, qui s'allieront pour combattre Josué (</w:t>
      </w:r>
      <w:hyperlink r:id="rId766">
        <w:r>
          <w:rPr>
            <w:color w:val="0000EE"/>
            <w:u w:val="single"/>
          </w:rPr>
          <w:t>Jos 9.1–2</w:t>
        </w:r>
      </w:hyperlink>
      <w:r>
        <w:t>). Gabaon, une ville amoréenne située à 11 km au sud-ouest d'Aï, fera la paix avec Israël, suscitant davantage de crainte dans le cœur des rois restants (</w:t>
      </w:r>
      <w:hyperlink r:id="rId767">
        <w:r>
          <w:rPr>
            <w:color w:val="0000EE"/>
            <w:u w:val="single"/>
          </w:rPr>
          <w:t>Jos 10.1–2</w:t>
        </w:r>
      </w:hyperlink>
      <w:r>
        <w:t>). Adoni-Tsédek, roi de Jérusalem, était, semble-t-il, le chef des rois amoréens à l'ouest du Jourdain (</w:t>
      </w:r>
      <w:hyperlink r:id="rId768">
        <w:r>
          <w:rPr>
            <w:color w:val="0000EE"/>
            <w:u w:val="single"/>
          </w:rPr>
          <w:t>Jos 10.3</w:t>
        </w:r>
      </w:hyperlink>
      <w:r>
        <w:t>). Jérusalem se trouvait à seulement 13 km au sud-est de Gabaon. Adoni-Tsédek convoquera les rois d'Hébron, de Jarmuth, de Lakis et d'Églon, tous situés à moins de 80 km de Jérusalem, pour combattre contre Gabaon et Josué (</w:t>
      </w:r>
      <w:hyperlink r:id="rId769">
        <w:r>
          <w:rPr>
            <w:color w:val="0000EE"/>
            <w:u w:val="single"/>
          </w:rPr>
          <w:t>Jos 10.3–5</w:t>
        </w:r>
      </w:hyperlink>
      <w:r>
        <w:t>).</w:t>
      </w:r>
    </w:p>
    <w:p>
      <w:r/>
      <w:r>
        <w:t>Josué viendra à la défense de Gabaon et mettra en déroute les Amoréens, les poursuivant vers le nord-ouest et le sud-ouest. Le Seigneur combattra pour Israël, faisant pleuvoir des grêlons sur les Amoréens à Azéka, au sud-ouest de Gabaon, et arrêtant le soleil pour prolonger le jour du combat (</w:t>
      </w:r>
      <w:hyperlink r:id="rId770">
        <w:r>
          <w:rPr>
            <w:color w:val="0000EE"/>
            <w:u w:val="single"/>
          </w:rPr>
          <w:t>Jos 10.6–14</w:t>
        </w:r>
      </w:hyperlink>
      <w:r>
        <w:t>).</w:t>
      </w:r>
    </w:p>
    <w:p>
      <w:r/>
      <w:r>
        <w:t>Dans l'extrême nord, Jabin, roi de Hatsor, rassemblera les Cananéens et les Amoréens restants jusqu'au nord du Mont Hermon (</w:t>
      </w:r>
      <w:hyperlink r:id="rId771">
        <w:r>
          <w:rPr>
            <w:color w:val="0000EE"/>
            <w:u w:val="single"/>
          </w:rPr>
          <w:t>Jos 11.1–5</w:t>
        </w:r>
      </w:hyperlink>
      <w:r>
        <w:t>). Eux aussi seront vaincus (</w:t>
      </w:r>
      <w:hyperlink r:id="rId772">
        <w:r>
          <w:rPr>
            <w:color w:val="0000EE"/>
            <w:u w:val="single"/>
          </w:rPr>
          <w:t>Jos 11.10–23</w:t>
        </w:r>
      </w:hyperlink>
      <w:r>
        <w:t>). Vers la fin de la carrière de Josué, il rappellera au peuple que c'était le Seigneur qui leur avait donné le pays des Amoréens (</w:t>
      </w:r>
      <w:hyperlink r:id="rId773">
        <w:r>
          <w:rPr>
            <w:color w:val="0000EE"/>
            <w:u w:val="single"/>
          </w:rPr>
          <w:t>Jos 24.1–18</w:t>
        </w:r>
      </w:hyperlink>
      <w:r>
        <w:t>).</w:t>
      </w:r>
    </w:p>
    <w:p>
      <w:r/>
      <w:r>
        <w:t>Après l'occupation de Canaan par Israël, les Amoréens encore présents dans le pays chasseront la tribu de Dan dans les montagnes et continueront à vivre près d'Ajalon, à 25 km à l'ouest de Jérusalem. Ils contrôlaient également les pentes vers l'extrémité sud de la mer Morte (</w:t>
      </w:r>
      <w:hyperlink r:id="rId774">
        <w:r>
          <w:rPr>
            <w:color w:val="0000EE"/>
            <w:u w:val="single"/>
          </w:rPr>
          <w:t>Jg 1.34–36</w:t>
        </w:r>
      </w:hyperlink>
      <w:r>
        <w:t>). À l'époque des juges, les Amoréens et leurs dieux représenteront une menace constante pour le bien-être d'Israël (</w:t>
      </w:r>
      <w:hyperlink r:id="rId775">
        <w:r>
          <w:rPr>
            <w:color w:val="0000EE"/>
            <w:u w:val="single"/>
          </w:rPr>
          <w:t>Jg 6.10</w:t>
        </w:r>
      </w:hyperlink>
      <w:r>
        <w:t>).</w:t>
      </w:r>
    </w:p>
    <w:p>
      <w:r/>
      <w:r>
        <w:t>À la fin de la période des juges, les relations entre Israël et les Amoréens s'amélioreront (</w:t>
      </w:r>
      <w:hyperlink r:id="rId776">
        <w:r>
          <w:rPr>
            <w:color w:val="0000EE"/>
            <w:u w:val="single"/>
          </w:rPr>
          <w:t>1S 7.14</w:t>
        </w:r>
      </w:hyperlink>
      <w:r>
        <w:t>). David continuera à honorer le traité de Josué avec le reste amoréen de Gabaon (</w:t>
      </w:r>
      <w:hyperlink r:id="rId777">
        <w:r>
          <w:rPr>
            <w:color w:val="0000EE"/>
            <w:u w:val="single"/>
          </w:rPr>
          <w:t>2S 21.2–6</w:t>
        </w:r>
      </w:hyperlink>
      <w:r>
        <w:t>). Salomon recrutera sa main d'œuvre parmi les Amoréens et d'autres peuples encore survivants de la conquête israélite (</w:t>
      </w:r>
      <w:hyperlink r:id="rId778">
        <w:r>
          <w:rPr>
            <w:color w:val="0000EE"/>
            <w:u w:val="single"/>
          </w:rPr>
          <w:t>1R 9.20–22</w:t>
        </w:r>
      </w:hyperlink>
      <w:r>
        <w:t>).</w:t>
      </w:r>
    </w:p>
    <w:p>
      <w:r/>
      <w:r>
        <w:t>L'Ancien Testament considère la délivrance des Amoréens et de leur terre entre les mains d'Israël comme un événement majeur, comparable à l'exode lui-même ; une victoire de laquelle se rappeler et importante à célébrer (</w:t>
      </w:r>
      <w:hyperlink r:id="rId779">
        <w:r>
          <w:rPr>
            <w:color w:val="0000EE"/>
            <w:u w:val="single"/>
          </w:rPr>
          <w:t>Ps 135.9–12</w:t>
        </w:r>
      </w:hyperlink>
      <w:r>
        <w:t xml:space="preserve"> ; </w:t>
      </w:r>
      <w:hyperlink r:id="rId780">
        <w:r>
          <w:rPr>
            <w:color w:val="0000EE"/>
            <w:u w:val="single"/>
          </w:rPr>
          <w:t>136.13–26</w:t>
        </w:r>
      </w:hyperlink>
      <w:r>
        <w:t>). Si le peuple l'oubliait, le Seigneur le leur rappelait par ses prophètes (</w:t>
      </w:r>
      <w:hyperlink r:id="rId781">
        <w:r>
          <w:rPr>
            <w:color w:val="0000EE"/>
            <w:u w:val="single"/>
          </w:rPr>
          <w:t>Am 2.9–10</w:t>
        </w:r>
      </w:hyperlink>
      <w:r>
        <w:t>). Longtemps après que Sihon et Og avaient été vaincus, la région à l'est du Jourdain était encore évoquée comme la terre de « Sihon roi des Amoréens » (</w:t>
      </w:r>
      <w:hyperlink r:id="rId782">
        <w:r>
          <w:rPr>
            <w:color w:val="0000EE"/>
            <w:u w:val="single"/>
          </w:rPr>
          <w:t>1R 4.19</w:t>
        </w:r>
      </w:hyperlink>
      <w:r>
        <w:t xml:space="preserve">). Lorsque les rois d'Israël et de Juda commenceront à faillir à Dieu, le souvenir des Amoréens servira de barème de comparaison en ce qui concerne le mal. La fascination continue des Juifs pour l'idolâtrie amènera Dieu à s'adresser ainsi à Jérusalem, représentant le peuple juif, par le prophète Ézéchiel : « </w:t>
      </w:r>
      <w:r>
        <w:t>Votre mère était une Héthienne, et votre père un Amoréen</w:t>
      </w:r>
      <w:r>
        <w:t xml:space="preserve"> » (</w:t>
      </w:r>
      <w:hyperlink r:id="rId783">
        <w:r>
          <w:rPr>
            <w:color w:val="0000EE"/>
            <w:u w:val="single"/>
          </w:rPr>
          <w:t>Ez 16.45</w:t>
        </w:r>
      </w:hyperlink>
      <w:r>
        <w:t>). Dans la vision biblique, les Amoréens représentaient tout ce qui est abominable aux yeux de Dieu.</w:t>
      </w:r>
      <w:r/>
      <w:r/>
    </w:p>
    <w:p>
      <w:r/>
    </w:p>
    <w:p>
      <w:pPr>
        <w:pStyle w:val="Heading2"/>
      </w:pPr>
      <w:r>
        <w:t>Amos, livre d'</w:t>
      </w:r>
      <w:r/>
    </w:p>
    <w:p>
      <w:r/>
      <w:r>
        <w:t>Écrits du prophète Amos, l'un des 12 prophètes mineurs de l'Ancien Testament hébreu. Le livre d'Amos est appelé mineur uniquement parce qu'il est relativement court. Son message est aussi important que celui de n'importe lequel des grands prophètes. En effet, il prononce une des déclarations les plus puissantes de la Bible au sujet du jugement de Dieu contre l'injustice, l'oppression et l'hypocrisie. Le livre se compose principalement de sermons prophétiques prêchés par Amos à Béthel, le sanctuaire royal du royaume du Nord d'Israël au VIIIe siècle av. J.-C.</w:t>
      </w:r>
    </w:p>
    <w:p>
      <w:r/>
      <w:r>
        <w:t>Sommaire</w:t>
      </w:r>
    </w:p>
    <w:p>
      <w:r/>
      <w:r>
        <w:t>• Auteur</w:t>
      </w:r>
    </w:p>
    <w:p>
      <w:r/>
      <w:r>
        <w:t>• Date de composition, origine et destinataires</w:t>
      </w:r>
    </w:p>
    <w:p>
      <w:r/>
      <w:r>
        <w:t>• Contexte</w:t>
      </w:r>
    </w:p>
    <w:p>
      <w:r/>
      <w:r>
        <w:t>• Contenu</w:t>
      </w:r>
    </w:p>
    <w:p>
      <w:r/>
      <w:r>
        <w:t>• Signification</w:t>
      </w:r>
    </w:p>
    <w:p>
      <w:pPr>
        <w:pStyle w:val="Heading3"/>
      </w:pPr>
      <w:r>
        <w:t>Auteur</w:t>
      </w:r>
    </w:p>
    <w:p>
      <w:r/>
      <w:r>
        <w:t>Le prédicateur des sermons (ou oracles) de ce livre est sans aucun doute Amos, berger et cultivateur de sycomores (figuiers), du village de Tekoa au sud de Jérusalem. Il reçoit une vision de jugement sur Israël de la part de Dieu. Il se rend au nord à Béthel, juste de l'autre côté de la frontière entre Juda et Israël, pour y prononcer ses sermons. Tout ce que nous savons sur le prophète est contenu dans la mention suscrite de l'introduction (</w:t>
      </w:r>
      <w:hyperlink r:id="rId784">
        <w:r>
          <w:rPr>
            <w:color w:val="0000EE"/>
            <w:u w:val="single"/>
          </w:rPr>
          <w:t>1.1–2</w:t>
        </w:r>
      </w:hyperlink>
      <w:r>
        <w:t>) et une section biographique (</w:t>
      </w:r>
      <w:hyperlink r:id="rId785">
        <w:r>
          <w:rPr>
            <w:color w:val="0000EE"/>
            <w:u w:val="single"/>
          </w:rPr>
          <w:t>7.10–14</w:t>
        </w:r>
      </w:hyperlink>
      <w:r>
        <w:t>) du livre d'Amos, ainsi que ce que l'on peut apprendre sur lui à partir du style et du contenu du reste du livre.</w:t>
      </w:r>
    </w:p>
    <w:p>
      <w:r/>
      <w:r>
        <w:t>Amos a-t-il lui-même écrit ses prophéties ? Bien que les érudits aient soulevé de nombreuses questions sur l'auteur de ce livre, il n'y a aucune raison convaincante de considérer le livre comme l'œuvre de quelqu'un d'autre. Certains ont suggéré que les sermons ont été transmis oralement pendant longtemps avant d'être mis par écrit dans leur forme finale. Que cela ait été le cas ou non, le texte hébreu est en bonne condition. Les nombreuses références à la première personne et la vigueur de l'expression impliquent fortement qu'Amos lui-même ait mis par écrit une grande partie de sa prophétie peu de temps après l'avoir prononcée à Béthel.</w:t>
      </w:r>
    </w:p>
    <w:p>
      <w:r/>
      <w:r>
        <w:t>Une autre proposition spéculative est que les visions décrites dans le livre (</w:t>
      </w:r>
      <w:hyperlink r:id="rId786">
        <w:r>
          <w:rPr>
            <w:color w:val="0000EE"/>
            <w:u w:val="single"/>
          </w:rPr>
          <w:t xml:space="preserve">7.1–9 </w:t>
        </w:r>
      </w:hyperlink>
      <w:r>
        <w:t xml:space="preserve">; </w:t>
      </w:r>
      <w:hyperlink r:id="rId787">
        <w:r>
          <w:rPr>
            <w:color w:val="0000EE"/>
            <w:u w:val="single"/>
          </w:rPr>
          <w:t xml:space="preserve">8 1–3 </w:t>
        </w:r>
      </w:hyperlink>
      <w:r>
        <w:t xml:space="preserve">; </w:t>
      </w:r>
      <w:hyperlink r:id="rId788">
        <w:r>
          <w:rPr>
            <w:color w:val="0000EE"/>
            <w:u w:val="single"/>
          </w:rPr>
          <w:t>9.1–4</w:t>
        </w:r>
      </w:hyperlink>
      <w:r>
        <w:t xml:space="preserve">) ont été compilées par Amos avant qu'il ne commence son ministère dans le royaume du Nord, et que les oracles (ch. </w:t>
      </w:r>
      <w:hyperlink r:id="rId789">
        <w:r>
          <w:rPr>
            <w:color w:val="0000EE"/>
            <w:u w:val="single"/>
          </w:rPr>
          <w:t>1–6</w:t>
        </w:r>
      </w:hyperlink>
      <w:r>
        <w:t>) ont été composés après cette période. Les deux sections auraient pu être réunies en un seul livre bien plus tard, pendant ou après l'exil babylonien, avec certaines sections insérées à ce moment-là. D'autres prophéties, cependant, comme Ézéchiel et Jérémie, contiennent à la fois des sections d'oracles et de visions que les chercheurs n'ont pas tenté de diviser, et les preuves internes ne rendent pas une telle division nécessaire pour le livre d'Amos. Dans les deux sections, le prophète fait face à des préoccupations similaires et dans les deux visions (</w:t>
      </w:r>
      <w:hyperlink r:id="rId790">
        <w:r>
          <w:rPr>
            <w:color w:val="0000EE"/>
            <w:u w:val="single"/>
          </w:rPr>
          <w:t>7.1–3</w:t>
        </w:r>
      </w:hyperlink>
      <w:r>
        <w:t>), ainsi que les oracles (</w:t>
      </w:r>
      <w:hyperlink r:id="rId791">
        <w:r>
          <w:rPr>
            <w:color w:val="0000EE"/>
            <w:u w:val="single"/>
          </w:rPr>
          <w:t>5.1–7</w:t>
        </w:r>
      </w:hyperlink>
      <w:r>
        <w:t>), il apparaît dans un rôle d'intercesseur en faveur d'Israël.</w:t>
      </w:r>
    </w:p>
    <w:p>
      <w:pPr>
        <w:pStyle w:val="Heading3"/>
      </w:pPr>
      <w:r>
        <w:t>Date de composition, origine et destinataires</w:t>
      </w:r>
    </w:p>
    <w:p>
      <w:r/>
      <w:r>
        <w:t xml:space="preserve">Selon la mention suscrite (dans l'introduction), Amos prophétise pendant les règnes d'Ozias, roi de Juda, et de Jéroboam II, roi d'Israël </w:t>
      </w:r>
      <w:r>
        <w:t>(</w:t>
      </w:r>
      <w:hyperlink r:id="rId792">
        <w:r>
          <w:rPr>
            <w:color w:val="0000EE"/>
            <w:u w:val="single"/>
          </w:rPr>
          <w:t>1.1</w:t>
        </w:r>
      </w:hyperlink>
      <w:r>
        <w:t>)</w:t>
      </w:r>
      <w:r>
        <w:t xml:space="preserve">, soit entre 792 et 740 av. J.-C. Le contenu de son message correspond à ce qui est connu de la situation en Israël à cette période. Il est difficile d'être plus précis quant au début et à la fin de son ministère prophétique. La vision lui vient « deux ans avant le tremblement de terre » </w:t>
      </w:r>
      <w:r>
        <w:t>(</w:t>
      </w:r>
      <w:hyperlink r:id="rId792">
        <w:r>
          <w:rPr>
            <w:color w:val="0000EE"/>
            <w:u w:val="single"/>
          </w:rPr>
          <w:t>1.1</w:t>
        </w:r>
      </w:hyperlink>
      <w:r>
        <w:t>)</w:t>
      </w:r>
      <w:r>
        <w:t xml:space="preserve">, mais une autre référence biblique au même tremblement de terre le situe pendant les jours du roi Ozias de Juda </w:t>
      </w:r>
      <w:r>
        <w:t>(</w:t>
      </w:r>
      <w:hyperlink r:id="rId793">
        <w:r>
          <w:rPr>
            <w:color w:val="0000EE"/>
            <w:u w:val="single"/>
          </w:rPr>
          <w:t>Za 14.5</w:t>
        </w:r>
      </w:hyperlink>
      <w:r>
        <w:t>)</w:t>
      </w:r>
      <w:r>
        <w:t xml:space="preserve">. Les fouilles archéologiques à Hazor semblent avoir fourni des preuves d'un tremblement de terre, qui a été daté à environ 760 av. J.-C. Amos contient également une référence prophétique à une éclipse solaire </w:t>
      </w:r>
      <w:r>
        <w:t>(</w:t>
      </w:r>
      <w:hyperlink r:id="rId794">
        <w:r>
          <w:rPr>
            <w:color w:val="0000EE"/>
            <w:u w:val="single"/>
          </w:rPr>
          <w:t>8.9</w:t>
        </w:r>
      </w:hyperlink>
      <w:r>
        <w:t xml:space="preserve">) ; on a calculé qu'une telle éclipse a eu lieu vers 763 av. J.-C. Après que le roi Ozias a été frappé de lèpre, il a vécu en isolement tandis que Juda était sous une co-régence </w:t>
      </w:r>
      <w:r>
        <w:t>(</w:t>
      </w:r>
      <w:hyperlink r:id="rId795">
        <w:r>
          <w:rPr>
            <w:color w:val="0000EE"/>
            <w:u w:val="single"/>
          </w:rPr>
          <w:t>2Ch 26.21</w:t>
        </w:r>
      </w:hyperlink>
      <w:r>
        <w:t>)</w:t>
      </w:r>
      <w:r>
        <w:t xml:space="preserve">. Par conséquent, la mention d'Amos d'Ozias comme roi </w:t>
      </w:r>
      <w:r>
        <w:t>(</w:t>
      </w:r>
      <w:hyperlink r:id="rId792">
        <w:r>
          <w:rPr>
            <w:color w:val="0000EE"/>
            <w:u w:val="single"/>
          </w:rPr>
          <w:t>1.1</w:t>
        </w:r>
      </w:hyperlink>
      <w:r>
        <w:t>)</w:t>
      </w:r>
      <w:r>
        <w:t xml:space="preserve"> fixe probablement 760 av. J.-C. comme la date la plus tardive possible pour le ministère du prophète.</w:t>
      </w:r>
    </w:p>
    <w:p>
      <w:r/>
      <w:r>
        <w:t>Le malheur qui s'abat sur Israël après la prophétie d'Amos est la conquête par le roi assyrien Tiglath Piléser III (745–727 av. J.-C.). Bien qu'Amos ait fait référence à une captivité imminente, il ne mentionne jamais l'Assyrie comme le ravisseur. Il dit cependant que la captivité emmènerait Israël dans une terre à l'est de Damas (</w:t>
      </w:r>
      <w:hyperlink r:id="rId796">
        <w:r>
          <w:rPr>
            <w:color w:val="0000EE"/>
            <w:u w:val="single"/>
          </w:rPr>
          <w:t>5.27</w:t>
        </w:r>
      </w:hyperlink>
      <w:r>
        <w:t>). Amos ne pense probablement pas spécifiquement à la montée en puissance de l'Assyrie, mais plutôt aux conséquences inévitables de l'idolâtrie et de l'hypocrisie d'Israël. Lorsque toutes les preuves sont prises en compte, il semble raisonnable de dater le début des prophéties d'Amos à Béthel vers 760 av. J.-C., soit approximativement au milieu de la période des règnes d'Ozias et de Jéroboam II. Nous ne savons pas combien de temps a duré le ministère du prophète ; cela pourrait n'avoir été que quelques mois.</w:t>
      </w:r>
    </w:p>
    <w:p>
      <w:r/>
      <w:r>
        <w:t>Amos s'occupait de ses troupeaux dans les collines de Judée au sud de Jérusalem lorsque Dieu lui a dit : « Va, prophétise à mon peuple d'Israël » (</w:t>
      </w:r>
      <w:hyperlink r:id="rId797">
        <w:r>
          <w:rPr>
            <w:color w:val="0000EE"/>
            <w:u w:val="single"/>
          </w:rPr>
          <w:t>7.15</w:t>
        </w:r>
      </w:hyperlink>
      <w:r>
        <w:t>). Il connaissait peut-être le nord plus urbain grâce à des voyages antérieurs pour y vendre de la laine ou des fruits, ou bien le culte païen et les injustices sociales là-bas ont peut-être eu un impact soudain sur lui après son appel à prophétiser. En tout cas, ses écrits révèlent non seulement son origine judéenne rurale mais aussi une connaissance de première main des conditions de vie dans le royaume du Nord d'Israël. Bien que ses prophéties aient été principalement dirigées contre Israël, il dénonce également le péché de Juda, prédisant que sa capitale, Jérusalem, serait brûlée (</w:t>
      </w:r>
      <w:hyperlink r:id="rId798">
        <w:r>
          <w:rPr>
            <w:color w:val="0000EE"/>
            <w:u w:val="single"/>
          </w:rPr>
          <w:t>2.4–5</w:t>
        </w:r>
      </w:hyperlink>
      <w:r>
        <w:t>). Plusieurs passages sont adressés aux habitants de Samarie, capitale d'Israël (</w:t>
      </w:r>
      <w:hyperlink r:id="rId799">
        <w:r>
          <w:rPr>
            <w:color w:val="0000EE"/>
            <w:u w:val="single"/>
          </w:rPr>
          <w:t xml:space="preserve">4.1, 11 </w:t>
        </w:r>
      </w:hyperlink>
      <w:r>
        <w:t xml:space="preserve">; </w:t>
      </w:r>
      <w:hyperlink r:id="rId800">
        <w:r>
          <w:rPr>
            <w:color w:val="0000EE"/>
            <w:u w:val="single"/>
          </w:rPr>
          <w:t>6.1</w:t>
        </w:r>
      </w:hyperlink>
      <w:r>
        <w:t>), qu'Amos connaissait de toute évidence très bien. Il aurait pu voyager jusqu'à Samarie depuis Béthel, ou il aurait pu entendre parler de ses splendeurs par les paroles suffisantes de ses citoyens. Il aurait pu s'adresser directement à eux lorsqu'ils venaient de la capitale pour adorer à Béthel.</w:t>
      </w:r>
    </w:p>
    <w:p>
      <w:pPr>
        <w:pStyle w:val="Heading3"/>
      </w:pPr>
      <w:r>
        <w:t>Contexte</w:t>
      </w:r>
    </w:p>
    <w:p>
      <w:r/>
      <w:r>
        <w:t>Le VIIIe siècle av. J.-C. est une période critique dans l'histoire juive. Les deux royaumes de la nation divisée ont atteint des sommets de prospérité économique inconnus depuis les jours de Salomon. Pourtant, la décadence religieuse interne sape la force des deux royaumes, et leur société est en train de se miner de l'intérieur. Une nouvelle classe aisée profite de l'opulence de l'époque, devenant de plus en plus riche tandis que les pauvres deviennent plus pauvres que jamais.</w:t>
      </w:r>
    </w:p>
    <w:p>
      <w:r/>
      <w:r>
        <w:t>En 803 av. J.-C., la conquête de Damas en Syrie par le roi assyrien Adad-Nerari III avait réduit au silence l'un des principaux ennemis d'Israël. Avec les Syriens sortis de la lice, le royaume d'Israël a pu étendre ses frontières sous le règne du roi Joas (</w:t>
      </w:r>
      <w:hyperlink r:id="rId801">
        <w:r>
          <w:rPr>
            <w:color w:val="0000EE"/>
            <w:u w:val="single"/>
          </w:rPr>
          <w:t>2R 13.25</w:t>
        </w:r>
      </w:hyperlink>
      <w:r>
        <w:t>), et pendant un certain temps, même l'élan du pouvoir assyrien vers l'ouest a été freiné. Les royaumes d'Israël et de Juda ont alors connu une période de repos après des guerres constantes ; ils ont donc tourné leur attention vers les affaires internes.</w:t>
      </w:r>
    </w:p>
    <w:p>
      <w:r/>
      <w:r>
        <w:t>Le fils de Joas, Jéroboam II, devient roi d'Israël en 793 et règne jusqu'en 753 av. J.-C. Ozias est sur le trône de Juda de 792 à 740 av. J.-C. Sous ces deux rois, Juda et Israël contrôlent un territoire presque aussi grand que l'empire de Salomon. Leur richesse a augmenté à la fois grâce à l'expansion du commerce et au butin des territoires conquis.</w:t>
      </w:r>
    </w:p>
    <w:p>
      <w:r/>
      <w:r>
        <w:t>L'archéologie a fourni des informations sur l'activité industrielle au sein des nations, comme une impressionnante industrie de la teinture à Debir. Des fouilles à Samarie ont produit un grand nombre d'objets d'ivoire incrustés confirmant la description d'Amos des riches dans la capitale (</w:t>
      </w:r>
      <w:hyperlink r:id="rId802">
        <w:r>
          <w:rPr>
            <w:color w:val="0000EE"/>
            <w:u w:val="single"/>
          </w:rPr>
          <w:t>6.4</w:t>
        </w:r>
      </w:hyperlink>
      <w:r>
        <w:t xml:space="preserve">). La ville était protégée par une énorme double muraille d'une épaisseur rare. Un palais, probablement celui de Jéroboam, dominait la ville avec une tour massive. </w:t>
      </w:r>
    </w:p>
    <w:p>
      <w:r/>
      <w:r>
        <w:t>La splendeur et la prospérité de l'époque, cependant, masquaient la propagation de la décadence interne. L'oppression des pauvres par de nombreux membres des classes riches menaçait non seulement l'unité de la nation, mais signifiait également que les lois de Dieu étaient violées. Dans ses dénonciations du traitement cruel des pauvres (</w:t>
      </w:r>
      <w:hyperlink r:id="rId803">
        <w:r>
          <w:rPr>
            <w:color w:val="0000EE"/>
            <w:u w:val="single"/>
          </w:rPr>
          <w:t xml:space="preserve">5.11–13 </w:t>
        </w:r>
      </w:hyperlink>
      <w:r>
        <w:t xml:space="preserve">; </w:t>
      </w:r>
      <w:hyperlink r:id="rId804">
        <w:r>
          <w:rPr>
            <w:color w:val="0000EE"/>
            <w:u w:val="single"/>
          </w:rPr>
          <w:t>8.4–10</w:t>
        </w:r>
      </w:hyperlink>
      <w:r>
        <w:t>), Amos avertit du châtiment inévitable de la désobéissance aux lois de Dieu.</w:t>
      </w:r>
    </w:p>
    <w:p>
      <w:r/>
      <w:r>
        <w:t xml:space="preserve">La nation d'Israël était coupable de plus que certains péchés sociétaires contre l'alliance. Elle avait également adopté des pratiques religieuses païennes. L'influence religieuse cananéenne s'était immiscée (introduite) dans la société de la nation d'Israël elle-même. La fouille d'un entrepôt du palais à Samarie a révélé de nombreux </w:t>
      </w:r>
      <w:r>
        <w:rPr>
          <w:i/>
        </w:rPr>
        <w:t>ostraca</w:t>
      </w:r>
      <w:r>
        <w:t xml:space="preserve"> (morceaux de poterie cassée utilisés pour écrire de courts messages tels que des lettres, des reçus, etc.) contenant des noms hébreux composés avec « Baal », un dieu important de la religion cananéenne.</w:t>
      </w:r>
    </w:p>
    <w:p>
      <w:r/>
      <w:r>
        <w:t>Malgré cette détérioration progressive, un optimisme trompeur semble avoir prévalu. Amos trouve des gens désirant le Jour du Seigneur (</w:t>
      </w:r>
      <w:hyperlink r:id="rId805">
        <w:r>
          <w:rPr>
            <w:color w:val="0000EE"/>
            <w:u w:val="single"/>
          </w:rPr>
          <w:t>5.18</w:t>
        </w:r>
      </w:hyperlink>
      <w:r>
        <w:t>) et cherche à corriger leur erreur : le Jour du Seigneur prophétisé dans les Écritures serait un temps de jugement contre tous les pécheurs. Un jugement plus immédiat devait cependant avoir lieu. L'Assyrie avait commencé à renforcer sa position dans le monde et à reprendre sa politique expansionniste. Sous la direction de Tiglath Piléser III (745–727 av. J.-C.), elle revient à une position de domination mondiale. Finalement, le royaume d'Israël est attaqué par Salmanasar V d'Assyrie. Peu de temps après, en 722 av. J.-C., Samarie est occupée. Lorsque les Assyriens envahissent Israël, beaucoup de ceux qui avaient ignoré le message d'Amos réalisent sans doute alors qu'un prophète de Dieu avait été parmi eux.</w:t>
      </w:r>
    </w:p>
    <w:p>
      <w:pPr>
        <w:pStyle w:val="Heading3"/>
      </w:pPr>
      <w:r>
        <w:t>Contenu</w:t>
      </w:r>
    </w:p>
    <w:p>
      <w:pPr>
        <w:pStyle w:val="Heading4"/>
      </w:pPr>
      <w:r>
        <w:t>Mention suscrite (</w:t>
      </w:r>
      <w:hyperlink r:id="rId792">
        <w:r>
          <w:rPr>
            <w:color w:val="0000EE"/>
            <w:u w:val="single"/>
          </w:rPr>
          <w:t>1.1</w:t>
        </w:r>
      </w:hyperlink>
      <w:r>
        <w:t>)</w:t>
      </w:r>
    </w:p>
    <w:p>
      <w:r/>
      <w:r>
        <w:t>Le prophète se présente comme un berger, peut-être sous-entendant ainsi qu'il souhaite empêcher plus que des moutons de s'égarer.</w:t>
      </w:r>
    </w:p>
    <w:p>
      <w:pPr>
        <w:pStyle w:val="Heading4"/>
      </w:pPr>
      <w:r>
        <w:t>Oracles prophétiques (</w:t>
      </w:r>
      <w:hyperlink r:id="rId806">
        <w:r>
          <w:rPr>
            <w:color w:val="0000EE"/>
            <w:u w:val="single"/>
          </w:rPr>
          <w:t>1.2–6.14</w:t>
        </w:r>
      </w:hyperlink>
      <w:r>
        <w:t>)</w:t>
      </w:r>
    </w:p>
    <w:p>
      <w:r/>
      <w:r>
        <w:t>Cette section commence par une image de la grande puissance de Dieu, qui agit dans l'Histoire pour juger les nations (</w:t>
      </w:r>
      <w:hyperlink r:id="rId807">
        <w:r>
          <w:rPr>
            <w:color w:val="0000EE"/>
            <w:u w:val="single"/>
          </w:rPr>
          <w:t>1.2</w:t>
        </w:r>
      </w:hyperlink>
      <w:r>
        <w:t>).</w:t>
      </w:r>
    </w:p>
    <w:p>
      <w:r/>
      <w:r>
        <w:t>Jugement sur les nations environnantes (</w:t>
      </w:r>
      <w:hyperlink r:id="rId808">
        <w:r>
          <w:rPr>
            <w:color w:val="0000EE"/>
            <w:u w:val="single"/>
          </w:rPr>
          <w:t>1.3–2.3</w:t>
        </w:r>
      </w:hyperlink>
      <w:r>
        <w:t>)</w:t>
      </w:r>
    </w:p>
    <w:p>
      <w:r/>
      <w:r>
        <w:t>Le prophète parle d'abord contre Damas, puis continue, prononçant la condamnation de divers peuples en cercles concentriques de plus en plus proches, se « focalisant » sur Israël. On peut imaginer les citoyens d'Israël applaudissant le jugement de Dieu contre d'autres nations jusqu'à ce qu'Amos les accuse de péchés similaires, avec un effet choquant.</w:t>
      </w:r>
    </w:p>
    <w:p>
      <w:r/>
      <w:r>
        <w:t>Damas était la capitale de la Syrie, au nord-est d'Israël, et représentait le centre de l'influence syrienne. La Syrie avait brutalisé Israël pendant le règne de Hazaël à Damas (842–806 av. J.-C.). Hazaël avait « entamé » ou réduit le territoire d'Israël lors de plusieurs campagnes (</w:t>
      </w:r>
      <w:hyperlink r:id="rId809">
        <w:r>
          <w:rPr>
            <w:color w:val="0000EE"/>
            <w:u w:val="single"/>
          </w:rPr>
          <w:t xml:space="preserve">2R 10.32–33 </w:t>
        </w:r>
      </w:hyperlink>
      <w:r>
        <w:t xml:space="preserve">; </w:t>
      </w:r>
      <w:hyperlink r:id="rId810">
        <w:r>
          <w:rPr>
            <w:color w:val="0000EE"/>
            <w:u w:val="single"/>
          </w:rPr>
          <w:t>13.3–5, 22–24</w:t>
        </w:r>
      </w:hyperlink>
      <w:r>
        <w:t>). Lors de celle qu'ils ont mené dans le territoire de Galaad, les Syriens ont détruit la majeure partie de l'armée d'Israël comme s'il s'agissait de poussière sur une aire de battage (</w:t>
      </w:r>
      <w:hyperlink r:id="rId811">
        <w:r>
          <w:rPr>
            <w:color w:val="0000EE"/>
            <w:u w:val="single"/>
          </w:rPr>
          <w:t>2R 13.7</w:t>
        </w:r>
      </w:hyperlink>
      <w:r>
        <w:t>). Ainsi, Amos dénonce la Syrie pour avoir battu Galaad sous des traîneaux de fer, comme on « foule » le grain (</w:t>
      </w:r>
      <w:hyperlink r:id="rId812">
        <w:r>
          <w:rPr>
            <w:color w:val="0000EE"/>
            <w:u w:val="single"/>
          </w:rPr>
          <w:t>Am 1.3</w:t>
        </w:r>
      </w:hyperlink>
      <w:r>
        <w:t xml:space="preserve">). Le prophète prédit que la Syrie sera détruite et que son peuple sera déporté à Kir, leur lieu d'origine selon Amos </w:t>
      </w:r>
      <w:hyperlink r:id="rId813">
        <w:r>
          <w:rPr>
            <w:color w:val="0000EE"/>
            <w:u w:val="single"/>
          </w:rPr>
          <w:t>9.7</w:t>
        </w:r>
      </w:hyperlink>
      <w:r>
        <w:t xml:space="preserve">). (Pour l'accomplissement de cette prophétie, voir </w:t>
      </w:r>
      <w:hyperlink r:id="rId814">
        <w:r>
          <w:rPr>
            <w:color w:val="0000EE"/>
            <w:u w:val="single"/>
          </w:rPr>
          <w:t>2R 16.9</w:t>
        </w:r>
      </w:hyperlink>
      <w:r>
        <w:t>.)</w:t>
      </w:r>
    </w:p>
    <w:p>
      <w:r/>
      <w:r>
        <w:t>Amos se tourne ensuite vers Gaza, ville philistine du sud-ouest de la Palestine. Gaza représente probablement les Philistins dans leur ensemble, car trois autres de leurs cinq grandes villes sont également mentionnées (</w:t>
      </w:r>
      <w:hyperlink r:id="rId815">
        <w:r>
          <w:rPr>
            <w:color w:val="0000EE"/>
            <w:u w:val="single"/>
          </w:rPr>
          <w:t>1.8</w:t>
        </w:r>
      </w:hyperlink>
      <w:r>
        <w:t>). La cinquième, Gath, avait déjà été conquise par Hazaël (</w:t>
      </w:r>
      <w:hyperlink r:id="rId816">
        <w:r>
          <w:rPr>
            <w:color w:val="0000EE"/>
            <w:u w:val="single"/>
          </w:rPr>
          <w:t>2R 12.17</w:t>
        </w:r>
      </w:hyperlink>
      <w:r>
        <w:t>). Amos dénonce les Philistins, probablement pour un raid frontalier sur Israël au cours duquel beaucoup ont été emmenés en esclavage (</w:t>
      </w:r>
      <w:hyperlink r:id="rId817">
        <w:r>
          <w:rPr>
            <w:color w:val="0000EE"/>
            <w:u w:val="single"/>
          </w:rPr>
          <w:t>1.6</w:t>
        </w:r>
      </w:hyperlink>
      <w:r>
        <w:t>).</w:t>
      </w:r>
    </w:p>
    <w:p>
      <w:r/>
      <w:r>
        <w:t>La ville phénicienne de Tyr est ensuite citée. Elle se situait sur la Méditerranée, au nord d'Israël et au sud-ouest de Damas. La destruction de Tyr, comme celle des villes philistines, est prédite comme punition pour avoir réduit en esclavage les Israélites conquis.</w:t>
      </w:r>
    </w:p>
    <w:p>
      <w:r/>
      <w:r>
        <w:t>C'est ensuite le tour d'Édom ; cette nation se trouve au sud de la mer Morte. Édom avait continuellement harcelé les Israélites et est mentionné de manière négative plusieurs fois dans l'Ancien Testament. Il est dit qu'Édom a été impitoyable envers Israël, son frère (</w:t>
      </w:r>
      <w:hyperlink r:id="rId818">
        <w:r>
          <w:rPr>
            <w:color w:val="0000EE"/>
            <w:u w:val="single"/>
          </w:rPr>
          <w:t>1.11</w:t>
        </w:r>
      </w:hyperlink>
      <w:r>
        <w:t>).</w:t>
      </w:r>
    </w:p>
    <w:p>
      <w:r/>
      <w:r>
        <w:t>Ammon, juste au sud-est d'Israël, est également jugé. L'incident particulièrement violent qui est mentionné (</w:t>
      </w:r>
      <w:hyperlink r:id="rId819">
        <w:r>
          <w:rPr>
            <w:color w:val="0000EE"/>
            <w:u w:val="single"/>
          </w:rPr>
          <w:t>1.13</w:t>
        </w:r>
      </w:hyperlink>
      <w:r>
        <w:t>) s'est manifestement produit lors de l'une de leurs nombreuses tentatives de s'enfoncer toujours plus au nord, dans le territoire israélite de Galaad.</w:t>
      </w:r>
    </w:p>
    <w:p>
      <w:r/>
      <w:r>
        <w:t>Moab est la dernière des nations environnantes à être dénoncée, en référence à ce qui pourrait avoir été un incident bien connu de profanation des morts (</w:t>
      </w:r>
      <w:hyperlink r:id="rId820">
        <w:r>
          <w:rPr>
            <w:color w:val="0000EE"/>
            <w:u w:val="single"/>
          </w:rPr>
          <w:t>2.1–3</w:t>
        </w:r>
      </w:hyperlink>
      <w:r>
        <w:t>).</w:t>
      </w:r>
    </w:p>
    <w:p>
      <w:r/>
      <w:r>
        <w:t>Oracles contre Israël et contre Juda (</w:t>
      </w:r>
      <w:hyperlink r:id="rId821">
        <w:r>
          <w:rPr>
            <w:color w:val="0000EE"/>
            <w:u w:val="single"/>
          </w:rPr>
          <w:t>2.4–16</w:t>
        </w:r>
      </w:hyperlink>
      <w:r>
        <w:t>)</w:t>
      </w:r>
    </w:p>
    <w:p>
      <w:r/>
      <w:r>
        <w:t>Bien que Juda et Israël aient été en paix à l'époque, leur inimitié avait perduré après la dissolution du royaume unique sous Saül, David et Salomon. Amos accuse Juda de rejeter « la loi du Seigneur » et prédit l'incendie de Jérusalem.</w:t>
      </w:r>
    </w:p>
    <w:p>
      <w:r/>
      <w:r>
        <w:t>L'oracle contre Israël est plus long que les autres. Amos précise soigneusement la nature sociale du péché d'Israël, soulignant qu'il n'est pas meilleur que les nations environnantes. Il mérite donc la même punition. Tout comme certaines nations étaient coupables de réduire des peuplades en esclavage, Israël vend ses propres pauvres qui sont incapables de rembourser leurs dettes (</w:t>
      </w:r>
      <w:hyperlink r:id="rId822">
        <w:r>
          <w:rPr>
            <w:color w:val="0000EE"/>
            <w:u w:val="single"/>
          </w:rPr>
          <w:t>2.6</w:t>
        </w:r>
      </w:hyperlink>
      <w:r>
        <w:t>). Selon la loi mosaïque, il était illégal de garder même pendant la nuit un vêtement donné en gage pour un prêt, car il aurait pu être la seule source de chaleur du débiteur (</w:t>
      </w:r>
      <w:hyperlink r:id="rId823">
        <w:r>
          <w:rPr>
            <w:color w:val="0000EE"/>
            <w:u w:val="single"/>
          </w:rPr>
          <w:t>Ex 22.26–27</w:t>
        </w:r>
      </w:hyperlink>
      <w:r>
        <w:t>). Les riches en Israël assistaient aux fêtes religieuses dans des vêtements « volés » aux pauvres (</w:t>
      </w:r>
      <w:hyperlink r:id="rId824">
        <w:r>
          <w:rPr>
            <w:color w:val="0000EE"/>
            <w:u w:val="single"/>
          </w:rPr>
          <w:t>2.8</w:t>
        </w:r>
      </w:hyperlink>
      <w:r>
        <w:t>).</w:t>
      </w:r>
    </w:p>
    <w:p>
      <w:r/>
      <w:r>
        <w:t>Amos rappelle à Israël toutes les bonnes choses que Dieu a faites pour eux (</w:t>
      </w:r>
      <w:hyperlink r:id="rId825">
        <w:r>
          <w:rPr>
            <w:color w:val="0000EE"/>
            <w:u w:val="single"/>
          </w:rPr>
          <w:t>2.9–11</w:t>
        </w:r>
      </w:hyperlink>
      <w:r>
        <w:t>). Mais puisqu'il avait choisi de continuer dans la désobéissance, il n'échapperait pas au jugement imminent (</w:t>
      </w:r>
      <w:hyperlink r:id="rId826">
        <w:r>
          <w:rPr>
            <w:color w:val="0000EE"/>
            <w:u w:val="single"/>
          </w:rPr>
          <w:t>2.12–16</w:t>
        </w:r>
      </w:hyperlink>
      <w:r>
        <w:t>).</w:t>
      </w:r>
    </w:p>
    <w:p>
      <w:r/>
      <w:r>
        <w:t>Dénonciation et avertissement contre Israël (</w:t>
      </w:r>
      <w:hyperlink r:id="rId827">
        <w:r>
          <w:rPr>
            <w:color w:val="0000EE"/>
            <w:u w:val="single"/>
          </w:rPr>
          <w:t>3.1–6.14</w:t>
        </w:r>
      </w:hyperlink>
      <w:r>
        <w:t>)</w:t>
      </w:r>
    </w:p>
    <w:p>
      <w:r/>
      <w:r>
        <w:t>Amos justifie son autorité prophétique avec une leçon de cause à effet (</w:t>
      </w:r>
      <w:hyperlink r:id="rId828">
        <w:r>
          <w:rPr>
            <w:color w:val="0000EE"/>
            <w:u w:val="single"/>
          </w:rPr>
          <w:t>3.1–8</w:t>
        </w:r>
      </w:hyperlink>
      <w:r>
        <w:t>). Un lion rugit quand il a une proie, et les gens ont peur quand une trompette sonne l'alarme. Si une calamité frappe une ville, c'est Dieu qui l'a permise. Dieu, qui révèle ses secrets à ses prophètes, a annoncé la ruine d'Israël, et Amos doit la proclamer.</w:t>
      </w:r>
    </w:p>
    <w:p>
      <w:r/>
      <w:r>
        <w:t>Dans une déclaration dramatique, Amos appelle l'Égypte et l'Assyrie, grands centres d'oppression et de cruauté, à être témoins des crimes d'Israël, comme si même ces nations en seraient choquées (</w:t>
      </w:r>
      <w:hyperlink r:id="rId829">
        <w:r>
          <w:rPr>
            <w:color w:val="0000EE"/>
            <w:u w:val="single"/>
          </w:rPr>
          <w:t>3.9–10</w:t>
        </w:r>
      </w:hyperlink>
      <w:r>
        <w:t>). Seul un reste en lambeaux survivra à la punition à venir (</w:t>
      </w:r>
      <w:hyperlink r:id="rId830">
        <w:r>
          <w:rPr>
            <w:color w:val="0000EE"/>
            <w:u w:val="single"/>
          </w:rPr>
          <w:t>3.11–12</w:t>
        </w:r>
      </w:hyperlink>
      <w:r>
        <w:t>). Le jugement tombera sur les objets qui symbolisent la désobéissance religieuse d'Israël (</w:t>
      </w:r>
      <w:hyperlink r:id="rId831">
        <w:r>
          <w:rPr>
            <w:color w:val="0000EE"/>
            <w:u w:val="single"/>
          </w:rPr>
          <w:t>3.14</w:t>
        </w:r>
      </w:hyperlink>
      <w:r>
        <w:t>) ainsi que sur les symboles de la richesse qui l'ont éloigné du Seigneur (</w:t>
      </w:r>
      <w:hyperlink r:id="rId832">
        <w:r>
          <w:rPr>
            <w:color w:val="0000EE"/>
            <w:u w:val="single"/>
          </w:rPr>
          <w:t>3.15</w:t>
        </w:r>
      </w:hyperlink>
      <w:r>
        <w:t>).</w:t>
      </w:r>
    </w:p>
    <w:p>
      <w:r/>
      <w:r>
        <w:t>Amos utilise un langage fort pour dénoncer la vie luxueuse et indolente menée aux dépens des pauvres (</w:t>
      </w:r>
      <w:hyperlink r:id="rId833">
        <w:r>
          <w:rPr>
            <w:color w:val="0000EE"/>
            <w:u w:val="single"/>
          </w:rPr>
          <w:t>4.1–3</w:t>
        </w:r>
      </w:hyperlink>
      <w:r>
        <w:t>). Les femmes riches dont l'amour pour la luxure pousse leurs maris à exploiter encore davantage les nécessiteux sont traitées de « génisses » ; elles seront un jour traitées comme du bétail. Puis Amos se moque de ceux qui adorent à Béthel en accomplissant des rituels dans la mauvaise disposition du péché (</w:t>
      </w:r>
      <w:hyperlink r:id="rId834">
        <w:r>
          <w:rPr>
            <w:color w:val="0000EE"/>
            <w:u w:val="single"/>
          </w:rPr>
          <w:t>4.4–5</w:t>
        </w:r>
      </w:hyperlink>
      <w:r>
        <w:t>).</w:t>
      </w:r>
    </w:p>
    <w:p>
      <w:r/>
      <w:r>
        <w:t xml:space="preserve">Dans le reste du quatrième chapitre, Amos rappelle des incidents de l'histoire d'Israël qui étaient censés ramener le peuple à Dieu : famine, sécheresse, fléaux, la destruction de certaines de leurs villes. Pourtant, ils ne s'étaient pas repentis. « </w:t>
      </w:r>
      <w:r>
        <w:t>Prépare-toi à la rencontre de ton Dieu, O Israël</w:t>
      </w:r>
      <w:r>
        <w:t xml:space="preserve"> ! » avertit le prophète, faisant suivre son avertissement d'un hymne à la puissance de Dieu (</w:t>
      </w:r>
      <w:hyperlink r:id="rId835">
        <w:r>
          <w:rPr>
            <w:color w:val="0000EE"/>
            <w:u w:val="single"/>
          </w:rPr>
          <w:t>4.6–13</w:t>
        </w:r>
      </w:hyperlink>
      <w:r>
        <w:t>).</w:t>
      </w:r>
    </w:p>
    <w:p>
      <w:r/>
      <w:r>
        <w:t>Le cinquième chapitre commence sous la forme d'un chant funèbre, comme si Israël était déjà considéré comme mort (</w:t>
      </w:r>
      <w:hyperlink r:id="rId836">
        <w:r>
          <w:rPr>
            <w:color w:val="0000EE"/>
            <w:u w:val="single"/>
          </w:rPr>
          <w:t>5.1–2</w:t>
        </w:r>
      </w:hyperlink>
      <w:r>
        <w:t>). Il n'y a personne pour l'aider ; ses propres armées seront décimées lorsque le désastre frappera (</w:t>
      </w:r>
      <w:hyperlink r:id="rId837">
        <w:r>
          <w:rPr>
            <w:color w:val="0000EE"/>
            <w:u w:val="single"/>
          </w:rPr>
          <w:t>5.3</w:t>
        </w:r>
      </w:hyperlink>
      <w:r>
        <w:t>). Bien sûr, Dieu est là pour aider : « Cherchez-moi, et vous vivrez ! » (</w:t>
      </w:r>
      <w:hyperlink r:id="rId838">
        <w:r>
          <w:rPr>
            <w:color w:val="0000EE"/>
            <w:u w:val="single"/>
          </w:rPr>
          <w:t>5.4–6</w:t>
        </w:r>
      </w:hyperlink>
      <w:r>
        <w:t>). La possibilité de délivrance, de « vie », contraste fortement avec la « mort » de la nation décrite juste auparavant. Les idoles, comme toujours, sont un faux espoir (</w:t>
      </w:r>
      <w:hyperlink r:id="rId839">
        <w:r>
          <w:rPr>
            <w:color w:val="0000EE"/>
            <w:u w:val="single"/>
          </w:rPr>
          <w:t>5.5</w:t>
        </w:r>
      </w:hyperlink>
      <w:r>
        <w:t>). L'appel à chercher le Seigneur est de nouveau suivi d'un hymne à sa puissance (</w:t>
      </w:r>
      <w:hyperlink r:id="rId840">
        <w:r>
          <w:rPr>
            <w:color w:val="0000EE"/>
            <w:u w:val="single"/>
          </w:rPr>
          <w:t>5.8–9</w:t>
        </w:r>
      </w:hyperlink>
      <w:r>
        <w:t>).</w:t>
      </w:r>
    </w:p>
    <w:p>
      <w:r/>
      <w:r>
        <w:t>Malgré l'espoir qui est offert à Israël, Amos doit présenter le sombre tableau de ce qu'il voit (</w:t>
      </w:r>
      <w:hyperlink r:id="rId841">
        <w:r>
          <w:rPr>
            <w:color w:val="0000EE"/>
            <w:u w:val="single"/>
          </w:rPr>
          <w:t>5.10–13</w:t>
        </w:r>
      </w:hyperlink>
      <w:r>
        <w:t>). Le système judiciaire est corrompu ; les impôts et les taux d'intérêt élevés des prêts (usure) écrasent les pauvres. Ces injustices pourraient être corrigées si les gens « haïssaient le mal et aimaient le bien » (</w:t>
      </w:r>
      <w:hyperlink r:id="rId842">
        <w:r>
          <w:rPr>
            <w:color w:val="0000EE"/>
            <w:u w:val="single"/>
          </w:rPr>
          <w:t>5.15</w:t>
        </w:r>
      </w:hyperlink>
      <w:r>
        <w:t>), mais le jugement apparaît déjà à l'horizon (</w:t>
      </w:r>
      <w:hyperlink r:id="rId843">
        <w:r>
          <w:rPr>
            <w:color w:val="0000EE"/>
            <w:u w:val="single"/>
          </w:rPr>
          <w:t>5.16–17</w:t>
        </w:r>
      </w:hyperlink>
      <w:r>
        <w:t>).</w:t>
      </w:r>
    </w:p>
    <w:p>
      <w:r/>
      <w:r>
        <w:t>Les gens sont pleins d'hypocrisie, prétendant attendre avec impatience le Jour du Seigneur. Ce jour sera un jour de jugement pour leurs péchés, déclare Amos. Au lieu de gestes vides d'offrandes et de louanges, Dieu veut que la droiture soit semblable à un courant d'eau et que la justice coule comme un torrent intarissable (</w:t>
      </w:r>
      <w:hyperlink r:id="rId844">
        <w:r>
          <w:rPr>
            <w:color w:val="0000EE"/>
            <w:u w:val="single"/>
          </w:rPr>
          <w:t>5.18–24</w:t>
        </w:r>
      </w:hyperlink>
      <w:r>
        <w:t>). Leur esprit désobéissant remonte à l'époque de l'exode d'Égypte, lorsque le peuple de Dieu était attiré par des dieux païens. Le Seigneur Dieu des armées enverra ces faux dieux en captivité avec les gens qui se tournaient vers eux (</w:t>
      </w:r>
      <w:hyperlink r:id="rId845">
        <w:r>
          <w:rPr>
            <w:color w:val="0000EE"/>
            <w:u w:val="single"/>
          </w:rPr>
          <w:t>5.25–27</w:t>
        </w:r>
      </w:hyperlink>
      <w:r>
        <w:t>).</w:t>
      </w:r>
    </w:p>
    <w:p>
      <w:r/>
      <w:r>
        <w:t>L'autosatisfaction ressentie par les classes supérieures en Israël s'était manifestement étendue à Juda, puisque des paroles dures sont adressées à Jérusalem, aussi bien qu'à Samarie (</w:t>
      </w:r>
      <w:hyperlink r:id="rId800">
        <w:r>
          <w:rPr>
            <w:color w:val="0000EE"/>
            <w:u w:val="single"/>
          </w:rPr>
          <w:t>6.1</w:t>
        </w:r>
      </w:hyperlink>
      <w:r>
        <w:t>). Amos dit à ceux qui se prélassent dans la surabondance de jeter un coup d'œil à trois royaumes voisins sur lesquels le jugement est déjà tombé : Calné, Hamath et Gath. Israël pense-t-il y échapper, alors que ses voisins n'ont pas réussi à s'en sortir ? Quand le Jour du jugement viendra, les riches, qui ont voyagé en « première classe », seront les premiers à partir en exil (</w:t>
      </w:r>
      <w:hyperlink r:id="rId846">
        <w:r>
          <w:rPr>
            <w:color w:val="0000EE"/>
            <w:u w:val="single"/>
          </w:rPr>
          <w:t>6.2–7</w:t>
        </w:r>
      </w:hyperlink>
      <w:r>
        <w:t>) ! La destruction laissera peu de survivants, mais ils sauront que la punition vient de Dieu (</w:t>
      </w:r>
      <w:hyperlink r:id="rId847">
        <w:r>
          <w:rPr>
            <w:color w:val="0000EE"/>
            <w:u w:val="single"/>
          </w:rPr>
          <w:t>6.8–11</w:t>
        </w:r>
      </w:hyperlink>
      <w:r>
        <w:t>). Israël se comporte de manière stupide, avec orgueil, alors qu'il se trompe complètement lui-même (</w:t>
      </w:r>
      <w:hyperlink r:id="rId848">
        <w:r>
          <w:rPr>
            <w:color w:val="0000EE"/>
            <w:u w:val="single"/>
          </w:rPr>
          <w:t>6.12–14</w:t>
        </w:r>
      </w:hyperlink>
      <w:r>
        <w:t>).</w:t>
      </w:r>
    </w:p>
    <w:p>
      <w:pPr>
        <w:pStyle w:val="Heading4"/>
      </w:pPr>
      <w:r>
        <w:t>Visions prophétiques (</w:t>
      </w:r>
      <w:hyperlink r:id="rId849">
        <w:r>
          <w:rPr>
            <w:color w:val="0000EE"/>
            <w:u w:val="single"/>
          </w:rPr>
          <w:t>7.1–9.10</w:t>
        </w:r>
      </w:hyperlink>
      <w:r>
        <w:t>)</w:t>
      </w:r>
    </w:p>
    <w:p>
      <w:r/>
      <w:r>
        <w:t>En décrivant trois visions que Dieu lui a données, Amos communique alors de manière dramatique la révélation divine.</w:t>
      </w:r>
    </w:p>
    <w:p>
      <w:r/>
      <w:r>
        <w:t>Destruction d'Israël (</w:t>
      </w:r>
      <w:hyperlink r:id="rId786">
        <w:r>
          <w:rPr>
            <w:color w:val="0000EE"/>
            <w:u w:val="single"/>
          </w:rPr>
          <w:t>7.1–9</w:t>
        </w:r>
      </w:hyperlink>
      <w:r>
        <w:t>)</w:t>
      </w:r>
    </w:p>
    <w:p>
      <w:r/>
      <w:r>
        <w:t>La première vision vient en trois parties. Dans la première, Amos reçoit la vision de la menace d'une invasion de sauterelles. Sa prière d'intercession pousse Dieu à y renoncer et à la retirer (</w:t>
      </w:r>
      <w:hyperlink r:id="rId790">
        <w:r>
          <w:rPr>
            <w:color w:val="0000EE"/>
            <w:u w:val="single"/>
          </w:rPr>
          <w:t>7.1–3</w:t>
        </w:r>
      </w:hyperlink>
      <w:r>
        <w:t>). Puis le prophète voit un feu dévorant, et encore une fois sa prière évite une catastrophe (</w:t>
      </w:r>
      <w:hyperlink r:id="rId850">
        <w:r>
          <w:rPr>
            <w:color w:val="0000EE"/>
            <w:u w:val="single"/>
          </w:rPr>
          <w:t>7.4–6</w:t>
        </w:r>
      </w:hyperlink>
      <w:r>
        <w:t>). Dans la troisième partie de la vision, Amos voit le Seigneur debout près d'un mur, tenant un fil à plomb (niveau) à la main. Cela implique que son peuple doit se conformer à sa norme, un élément manquant dans les deux images précédentes. Cette fois, parce que les gens n'ont pas été à la hauteur, la catastrophe ne peut pas être évitée (</w:t>
      </w:r>
      <w:hyperlink r:id="rId851">
        <w:r>
          <w:rPr>
            <w:color w:val="0000EE"/>
            <w:u w:val="single"/>
          </w:rPr>
          <w:t>7.7–9</w:t>
        </w:r>
      </w:hyperlink>
      <w:r>
        <w:t>).</w:t>
      </w:r>
    </w:p>
    <w:p>
      <w:r/>
      <w:r>
        <w:t>Intermède historique (</w:t>
      </w:r>
      <w:hyperlink r:id="rId852">
        <w:r>
          <w:rPr>
            <w:color w:val="0000EE"/>
            <w:u w:val="single"/>
          </w:rPr>
          <w:t>7.10–17</w:t>
        </w:r>
      </w:hyperlink>
      <w:r>
        <w:t>)</w:t>
      </w:r>
    </w:p>
    <w:p>
      <w:r/>
      <w:r>
        <w:t>À ce stade, Amos doit faire face à Amatsia, prêtre de Béthel, car sa vision du fil à plomb signifie la destruction des autels et temples idolâtres d'Israël, ainsi que de la maison de Jéroboam par l'épée. Amatsia envoie un message à Jéroboam accusant Amos d'être un traître, et dit à Amos de retourner en Juda. Ce dernier nie toute relation avec les prophètes professionnels, puis inclut spécifiquement la famille d'Amatsia dans une autre prédiction du désastre d'Israël.</w:t>
      </w:r>
    </w:p>
    <w:p>
      <w:r/>
      <w:r>
        <w:t>Les fruits mûrs (</w:t>
      </w:r>
      <w:hyperlink r:id="rId853">
        <w:r>
          <w:rPr>
            <w:color w:val="0000EE"/>
            <w:u w:val="single"/>
          </w:rPr>
          <w:t>8.1–14</w:t>
        </w:r>
      </w:hyperlink>
      <w:r>
        <w:t>)</w:t>
      </w:r>
    </w:p>
    <w:p>
      <w:r/>
      <w:r>
        <w:t xml:space="preserve">Dans la deuxième vision, Amos voit une corbeille de fruits mûrs (ou fruits d'été). Le mot hébreu pour désigner les fruits d'été est presque identique au mot qui signifie « fin », donc le jeu de mots communique que la nation est « mûre pour la punition ». Leur maturité est en réalité une pourriture morale. Les marchands avides attendent impatiemment la fin des fêtes religieuses afin de pouvoir tromper les pauvres davantage encore en utilisant de faux poids, en vendant des produits de qualité inférieure et en saisissant les débiteurs. Quand la captivité viendra, leurs festivités se transformeront en funérailles. Une famine s'abattra sur le pays, une famine non seulement de pain et d'eau, mais « la faim et la soif d'entendre les paroles de l'Éternel », faisant même tomber les jeunes les plus forts. </w:t>
      </w:r>
    </w:p>
    <w:p>
      <w:r/>
      <w:r>
        <w:t>Destruction du Temple (</w:t>
      </w:r>
      <w:hyperlink r:id="rId854">
        <w:r>
          <w:rPr>
            <w:color w:val="0000EE"/>
            <w:u w:val="single"/>
          </w:rPr>
          <w:t>9.1–10</w:t>
        </w:r>
      </w:hyperlink>
      <w:r>
        <w:t>)</w:t>
      </w:r>
    </w:p>
    <w:p>
      <w:r/>
      <w:r>
        <w:t>La troisième vision est celle du Seigneur détruisant le sanctuaire de Béthel alors qu'il est rempli de gens engagés dans leur culte dénué de sens. L'endroit où ils espéraient trouver la sécurité est celui où ils trouveront la destruction. Ceux qui ne sont pas à l'intérieur seront également détruits, peu importe où ils essaient de fuir. Ils ne pourront pas se cacher de Dieu dans le Shéol (séjour des morts), ou sur les hauteurs du Carmel, ou dans les profondeurs de la mer (</w:t>
      </w:r>
      <w:hyperlink r:id="rId788">
        <w:r>
          <w:rPr>
            <w:color w:val="0000EE"/>
            <w:u w:val="single"/>
          </w:rPr>
          <w:t>9.1–4</w:t>
        </w:r>
      </w:hyperlink>
      <w:r>
        <w:t>). Un autre hymne à la puissance de Dieu suit la vision (</w:t>
      </w:r>
      <w:hyperlink r:id="rId855">
        <w:r>
          <w:rPr>
            <w:color w:val="0000EE"/>
            <w:u w:val="single"/>
          </w:rPr>
          <w:t>9.5–6</w:t>
        </w:r>
      </w:hyperlink>
      <w:r>
        <w:t>).</w:t>
      </w:r>
    </w:p>
    <w:p>
      <w:r/>
      <w:r>
        <w:t xml:space="preserve">Les derniers mots de dénonciation du livre d'Amos se trouvent dans </w:t>
      </w:r>
      <w:hyperlink r:id="rId856">
        <w:r>
          <w:rPr>
            <w:color w:val="0000EE"/>
            <w:u w:val="single"/>
          </w:rPr>
          <w:t>9.7–10</w:t>
        </w:r>
      </w:hyperlink>
      <w:r>
        <w:t>. Ils représentent cependant un prélude à un message d'espoir. Le prophète montre qu'Israël n'est pas meilleur que toute autre nation aux yeux de Dieu. Ne l'a-t-il pas fait sortir d'Égypte ? Oui, mais il a aussi fait venir les Philistins de Caphtor et les Syriens de Kir. La signification religieuse de l'exode a été perdue à cause du péché d'Israël, donc tous sauf un reste fidèle seront condamnés.</w:t>
      </w:r>
    </w:p>
    <w:p>
      <w:r/>
      <w:r>
        <w:t xml:space="preserve">Le concept du « reste juste » est important dans la prédication prophétique du VIIIe siècle av. J.-C. (comp. avec </w:t>
      </w:r>
      <w:hyperlink r:id="rId857">
        <w:r>
          <w:rPr>
            <w:color w:val="0000EE"/>
            <w:u w:val="single"/>
          </w:rPr>
          <w:t xml:space="preserve">Est 6.12–13 </w:t>
        </w:r>
      </w:hyperlink>
      <w:r>
        <w:t xml:space="preserve">; </w:t>
      </w:r>
      <w:hyperlink r:id="rId858">
        <w:r>
          <w:rPr>
            <w:color w:val="0000EE"/>
            <w:u w:val="single"/>
          </w:rPr>
          <w:t>Mi 6.7–9</w:t>
        </w:r>
      </w:hyperlink>
      <w:r>
        <w:t>). Il rappelle la promesse de Dieu de maintenir la nation d'Israël à cause de l'alliance avec les patriarches (</w:t>
      </w:r>
      <w:hyperlink r:id="rId859">
        <w:r>
          <w:rPr>
            <w:color w:val="0000EE"/>
            <w:u w:val="single"/>
          </w:rPr>
          <w:t>Lv 26.44–45</w:t>
        </w:r>
      </w:hyperlink>
      <w:r>
        <w:t>). Dans la prophétie d'Amos, Israël doit être passé au crible (épuré ou vanné) par d'autres nations comme du grain dans un tamis ; la « paille » impie sera dispersée à travers le monde, mais le véritable « grain » sera préservé.</w:t>
      </w:r>
    </w:p>
    <w:p>
      <w:pPr>
        <w:pStyle w:val="Heading4"/>
      </w:pPr>
      <w:r>
        <w:t>L'espoir d'Israël (</w:t>
      </w:r>
      <w:hyperlink r:id="rId860">
        <w:r>
          <w:rPr>
            <w:color w:val="0000EE"/>
            <w:u w:val="single"/>
          </w:rPr>
          <w:t>9.11–15</w:t>
        </w:r>
      </w:hyperlink>
      <w:r>
        <w:t>)</w:t>
      </w:r>
    </w:p>
    <w:p>
      <w:r/>
      <w:r>
        <w:t>L'espoir exprimé au nom d'Israël est développé dans la dernière section du livre à travers une série de métaphores saisissantes et magnifiques.</w:t>
      </w:r>
    </w:p>
    <w:p>
      <w:r/>
      <w:r>
        <w:t>Restauration de la cité de David (</w:t>
      </w:r>
      <w:hyperlink r:id="rId861">
        <w:r>
          <w:rPr>
            <w:color w:val="0000EE"/>
            <w:u w:val="single"/>
          </w:rPr>
          <w:t>9.11–12</w:t>
        </w:r>
      </w:hyperlink>
      <w:r>
        <w:t>)</w:t>
      </w:r>
    </w:p>
    <w:p>
      <w:r/>
      <w:r>
        <w:t>La première métaphore est celle de la ville (litt. « maison ») de David, une maison tombée en ruine. La monarchie s'était effondrée à cause de dégradation interne et de menaces extérieures. Elle est maintenant vue comme restaurée à son ancienne gloire. De plus, une expansion du royaume davidique inclura toutes les nations qui appartiennent au Seigneur.</w:t>
      </w:r>
    </w:p>
    <w:p>
      <w:r/>
      <w:r>
        <w:t>Dans le NT, ce passage a été cité par Jacques pour soutenir l'inclusion des Gentils dans la promesse (</w:t>
      </w:r>
      <w:hyperlink r:id="rId862">
        <w:r>
          <w:rPr>
            <w:color w:val="0000EE"/>
            <w:u w:val="single"/>
          </w:rPr>
          <w:t>Ac 15.16–18</w:t>
        </w:r>
      </w:hyperlink>
      <w:r>
        <w:t>). La formulation de la prophétie dans le livre des Actes est légèrement différente de la formulation originale d'Amos, car elle est basée sur une ancienne traduction grecque de l'Ancien Testament appelée la Septante. Ceux qui sont appelés par le nom de Dieu ou qui appartiennent à Dieu incluent non seulement des entités géographiques telles que des nations, mais aussi des individus de n'importe quelle nation qui ont une relation étroite avec Dieu. Jacques a vu qu'Amos prédisait l'inclusion des Gentils dans le royaume de Dieu, un Royaume bien plus grand que celui de la monarchie davidique d'origine. Cette prophétie a été partiellement accomplie dans l'Église chrétienne.</w:t>
      </w:r>
    </w:p>
    <w:p>
      <w:r/>
      <w:r>
        <w:t>Restauration des fortunes d'Israël (</w:t>
      </w:r>
      <w:hyperlink r:id="rId863">
        <w:r>
          <w:rPr>
            <w:color w:val="0000EE"/>
            <w:u w:val="single"/>
          </w:rPr>
          <w:t>9.13–15</w:t>
        </w:r>
      </w:hyperlink>
      <w:r>
        <w:t>)</w:t>
      </w:r>
    </w:p>
    <w:p>
      <w:r/>
      <w:r>
        <w:t>Une série de métaphores pastorales clôt le livre d'Amos. Elles représentent l'abondance de bénédictions dans le royaume à venir. Les fortunes d'Israël seront restaurées, bien au-delà des événements sombres du siècle où Amos parle. Les théologiens divergent dans leur compréhension de l'application de cette prophétie. Si elle réfère à l'âge actuel de l'Église chrétienne, elle décrit les bénédictions présentes de l'Église comme à un « Israël spirituel ». Si elle réfère à l'avenir, au règne millénaire du Christ, elle dépeint ce qui se passera sur terre à ce moment-là.</w:t>
      </w:r>
    </w:p>
    <w:p>
      <w:r/>
      <w:r>
        <w:t>Le concept d'une terre renouvelée se trouve ailleurs dans la Bible (</w:t>
      </w:r>
      <w:hyperlink r:id="rId309">
        <w:r>
          <w:rPr>
            <w:color w:val="0000EE"/>
            <w:u w:val="single"/>
          </w:rPr>
          <w:t>Rm 8.20–22</w:t>
        </w:r>
      </w:hyperlink>
      <w:r>
        <w:t>). Michée utilise un langage quelque peu similaire à celui d'Amos pour décrire la restauration de ce qui semble littéralement être la ville de Jérusalem (</w:t>
      </w:r>
      <w:hyperlink r:id="rId864">
        <w:r>
          <w:rPr>
            <w:color w:val="0000EE"/>
            <w:u w:val="single"/>
          </w:rPr>
          <w:t>Mi 3.12–4.4</w:t>
        </w:r>
      </w:hyperlink>
      <w:r>
        <w:t>). Il est peut-être préférable d'appliquer la prophétie finale d'Amos à la restauration qui sera effectuée lors du retour ultime du Christ. Quelle que soit l'application correcte, le reste juste ou reste fidèle inclura les disciples de Jésus-Christ, et les bénédictions doivent être considérées comme destinées à tous ceux qui appartiennent au royaume de Dieu.</w:t>
      </w:r>
    </w:p>
    <w:p>
      <w:pPr>
        <w:pStyle w:val="Heading3"/>
      </w:pPr>
      <w:r>
        <w:t>Signification</w:t>
      </w:r>
    </w:p>
    <w:p>
      <w:r/>
      <w:r>
        <w:t>Le but principal des prophéties d'Amos est de dénoncer la désobéissance d'Israël à l'alliance. Bien que la promesse de l'alliance donnée à Abraham (</w:t>
      </w:r>
      <w:hyperlink r:id="rId865">
        <w:r>
          <w:rPr>
            <w:color w:val="0000EE"/>
            <w:u w:val="single"/>
          </w:rPr>
          <w:t>Gn 22.15–18</w:t>
        </w:r>
      </w:hyperlink>
      <w:r>
        <w:t>) et réitérée tout au long de l'AT ne soit pas mentionnée explicitement dans Amos, elle est implicite dans le message d'ensemble du livre. Amos soutient la nature spirituelle de l'alliance et souligne que la bénédiction vient par l'obéissance.</w:t>
      </w:r>
    </w:p>
    <w:p>
      <w:r/>
      <w:r>
        <w:t>En regardant autour de lui, Amos ne voit pas seulement la désobéissance, mais aussi l'hypocrisie. Un aspect fondamental de son enseignement éthique est l'insistance sur le fait que l'adhésion extérieure aux cérémonies religieuses sans réponse sincère à la volonté de Dieu (telle qu'exprimée dans la loi) est irrecevable par Dieu. La loi comprend de nombreux commandements visant à susciter l'amour de Dieu et du prochain (</w:t>
      </w:r>
      <w:hyperlink r:id="rId866">
        <w:r>
          <w:rPr>
            <w:color w:val="0000EE"/>
            <w:u w:val="single"/>
          </w:rPr>
          <w:t>Ex 23.1–13</w:t>
        </w:r>
      </w:hyperlink>
      <w:r>
        <w:t>). À l'époque d'Amos, les riches désobéissent volontairement à ces aspects sociaux de la loi, mais s'accrochent néanmoins aux rituels religieux. Amos voit ce qu'il y a dans leurs cœurs et le condamne. Pour lui, les obligations religieuses qui ne sont pas observées dans un véritable esprit de responsabilité envers Dieu peuvent en fait devenir péché (</w:t>
      </w:r>
      <w:hyperlink r:id="rId867">
        <w:r>
          <w:rPr>
            <w:color w:val="0000EE"/>
            <w:u w:val="single"/>
          </w:rPr>
          <w:t>4.4</w:t>
        </w:r>
      </w:hyperlink>
      <w:r>
        <w:t>). La religion peut dégénérer au point de devenir une malédiction, une moquerie de la volonté d'un Dieu saint.</w:t>
      </w:r>
    </w:p>
    <w:p>
      <w:r/>
      <w:r>
        <w:t>Amos voit la désobéissance et l'hypocrisie d'Israël comme culminant en un désastre national. Ainsi, sa prophétie sert d'avertissement d'un malheur imminent pour la nation. Il voit que d'autres nations en dehors d'Israël et de Juda sont tenues pour responsables devant Dieu par rapport à leur mauvais traitement des autres (</w:t>
      </w:r>
      <w:hyperlink r:id="rId808">
        <w:r>
          <w:rPr>
            <w:color w:val="0000EE"/>
            <w:u w:val="single"/>
          </w:rPr>
          <w:t>1.3–2.3</w:t>
        </w:r>
      </w:hyperlink>
      <w:r>
        <w:t>). Leurs péchés sociaux ont été punis par Dieu au cours de l'Histoire. Amos voit ainsi un aspect de la loi s'étendre au-delà d'Israël et de Juda à d'autres nations. Ils sont responsables devant Dieu en vertu de ce qu'on pourrait appeler une loi morale universelle, et ils ont été jugés pour leurs crimes contre l'humanité.</w:t>
      </w:r>
    </w:p>
    <w:p>
      <w:r/>
      <w:r>
        <w:t>Le concept prophétique du Jour du Seigneur, considéré par les gens de l'époque d'Amos comme un temps de justification nationale, est considéré par le prophète comme un temps de punition pour tous les pécheurs. Une telle punition n'exclurait donc pas la nation d'Israël.</w:t>
      </w:r>
    </w:p>
    <w:p>
      <w:r/>
      <w:r>
        <w:t>Pourtant, la dénonciation n'est pas le seul but de l'activité prophétique d'Amos. Il proclame un avenir d'espoir pour Israël, dans le rétablissement de la monarchie davidique, manifestement sous le Messie, à une époque qui serait caractérisée par la paix (</w:t>
      </w:r>
      <w:hyperlink r:id="rId868">
        <w:r>
          <w:rPr>
            <w:color w:val="0000EE"/>
            <w:u w:val="single"/>
          </w:rPr>
          <w:t>9.8–15</w:t>
        </w:r>
      </w:hyperlink>
      <w:r>
        <w:t>). La relation entre royaume davidique et royaume messianique remonte à la promesse faite à David (</w:t>
      </w:r>
      <w:hyperlink r:id="rId571">
        <w:r>
          <w:rPr>
            <w:color w:val="0000EE"/>
            <w:u w:val="single"/>
          </w:rPr>
          <w:t>2S 7.8–16</w:t>
        </w:r>
      </w:hyperlink>
      <w:r>
        <w:t>). Tout comme les autres nations participaient par extension aux exigences de la loi et au jugement, les autres nations qui appartenaient à Dieu participeraient aux bénédictions de la promesse (</w:t>
      </w:r>
      <w:hyperlink r:id="rId869">
        <w:r>
          <w:rPr>
            <w:color w:val="0000EE"/>
            <w:u w:val="single"/>
          </w:rPr>
          <w:t>9.12</w:t>
        </w:r>
      </w:hyperlink>
      <w:r>
        <w:t>).</w:t>
      </w:r>
    </w:p>
    <w:p>
      <w:r/>
      <w:r>
        <w:t>La souveraineté et la justice de Dieu sont les concepts les plus nettement dépeints dans le livre d'Amos. Il est souverain sur toutes les nations du monde. Ces nations sont caractérisées ou représentées par celles qui entourent Israël, et il les mène au jugement (</w:t>
      </w:r>
      <w:hyperlink r:id="rId808">
        <w:r>
          <w:rPr>
            <w:color w:val="0000EE"/>
            <w:u w:val="single"/>
          </w:rPr>
          <w:t>1.3–2.3</w:t>
        </w:r>
      </w:hyperlink>
      <w:r>
        <w:t>). Il est également souverain sur la nature, comme le démontre son contrôle de l'univers (</w:t>
      </w:r>
      <w:hyperlink r:id="rId870">
        <w:r>
          <w:rPr>
            <w:color w:val="0000EE"/>
            <w:u w:val="single"/>
          </w:rPr>
          <w:t xml:space="preserve">4.13 </w:t>
        </w:r>
      </w:hyperlink>
      <w:r>
        <w:t xml:space="preserve">; </w:t>
      </w:r>
      <w:hyperlink r:id="rId871">
        <w:r>
          <w:rPr>
            <w:color w:val="0000EE"/>
            <w:u w:val="single"/>
          </w:rPr>
          <w:t xml:space="preserve">5.8 </w:t>
        </w:r>
      </w:hyperlink>
      <w:r>
        <w:t xml:space="preserve">; </w:t>
      </w:r>
      <w:hyperlink r:id="rId872">
        <w:r>
          <w:rPr>
            <w:color w:val="0000EE"/>
            <w:u w:val="single"/>
          </w:rPr>
          <w:t>9.13–14</w:t>
        </w:r>
      </w:hyperlink>
      <w:r>
        <w:t>). Sa justice exige qu'il ne permette pas que sa loi continue d'être violée sans rétribution (châtiment). Mais sa justice est aussi une garantie d'espoir pour le reste juste d'Israël. Il tiendra en effet sa promesse de préserver Israël en tant que nation (</w:t>
      </w:r>
      <w:hyperlink r:id="rId859">
        <w:r>
          <w:rPr>
            <w:color w:val="0000EE"/>
            <w:u w:val="single"/>
          </w:rPr>
          <w:t>Lv 26.44–45</w:t>
        </w:r>
      </w:hyperlink>
      <w:r>
        <w:t>).</w:t>
      </w:r>
    </w:p>
    <w:p>
      <w:r/>
      <w:r>
        <w:t>Amos laisse entrevoir la possibilité d'éviter la catastrophe nationale qui se profile à l'horizon des événements mondiaux. Cependant, d'après sa description sombre des conditions sociales et de la dureté du cœur des gens à l'époque, aucune échappatoire ne lui semble probable.</w:t>
      </w:r>
    </w:p>
    <w:p>
      <w:r/>
      <w:r>
        <w:t>Son message est présenté sous forme de métaphores audacieuses et d'images vives qui restent en mémoire. Ce message est toujours pertinent, car de nombreux péchés caractérisant les gens de l'époque du prophète sont encore répandus dans la société et dans la vie des individus des temps modernes. Maltraiter ses semblables est autant une caractéristique de notre siècle que du VIIIe siècle av. J.-C.</w:t>
      </w:r>
    </w:p>
    <w:p>
      <w:r/>
      <w:r>
        <w:t>Le lecteur d'aujourd'hui devrait noter (1) l'insistance du prophète sur les conséquences du péché ; (2) son accent sur la responsabilité qui accompagne toujours le privilège ; (3) sa présentation de la fidélité de Dieu ; et (4) son message d'espoir, exprimé en partie aujourd'hui à travers l'Église.</w:t>
      </w:r>
    </w:p>
    <w:p>
      <w:r/>
      <w:r>
        <w:t xml:space="preserve">Si le livre d'Amos semble avoir une perspective maussade, il faut se rappeler que le prophète faisait face à une réalité sombre. Il regardait une nation s'effondrer à cause de son infidélité à Dieu. Au-delà de la perspective pessimiste de ce qui attendait Israël, Amos a vu émerger un nouveau royaume, un royaume de paix dans lequel le peuple de Dieu réaliserait l'accomplissement des promesses de ce dernier. </w:t>
      </w:r>
      <w:r>
        <w:rPr>
          <w:i/>
        </w:rPr>
        <w:t>Voir</w:t>
      </w:r>
      <w:r>
        <w:t xml:space="preserve"> </w:t>
      </w:r>
      <w:r>
        <w:t xml:space="preserve">Prophétie </w:t>
      </w:r>
      <w:r>
        <w:t xml:space="preserve">; </w:t>
      </w:r>
      <w:r>
        <w:t xml:space="preserve">prophète, prophétesse </w:t>
      </w:r>
      <w:r>
        <w:t xml:space="preserve">; </w:t>
      </w:r>
      <w:r>
        <w:t>Israël, histoire de</w:t>
      </w:r>
      <w:r>
        <w:t>.</w:t>
      </w:r>
      <w:r/>
      <w:r/>
    </w:p>
    <w:p>
      <w:r/>
    </w:p>
    <w:p>
      <w:pPr>
        <w:pStyle w:val="Heading2"/>
      </w:pPr>
      <w:r>
        <w:t>Amphipolis</w:t>
      </w:r>
      <w:r/>
    </w:p>
    <w:p>
      <w:r/>
      <w:r>
        <w:t>Ville de la Grèce antique. Elle était autrefois le foyer de la tribu thrace des Édoni. Amphipolis occupait un emplacement stratégique dans une région fertile sur la rive est du fleuve Strymon. Son nom signifie « autour de la ville ». Cela peut faire référence au fleuve qui entoure la ville sur trois de ses côtés. Elle est située à environ 50 km de Philippes. Elle a fini par devenir une station importante sur la route romaine appelée la Via Egnatia. Lors de son deuxième voyage missionnaire, Paul est passé par ce centre commercial en route vers Thessalonique (</w:t>
      </w:r>
      <w:hyperlink r:id="rId873">
        <w:r>
          <w:rPr>
            <w:color w:val="0000EE"/>
            <w:u w:val="single"/>
          </w:rPr>
          <w:t>Ac 17.1</w:t>
        </w:r>
      </w:hyperlink>
      <w:r>
        <w:t>).</w:t>
      </w:r>
      <w:r/>
      <w:r/>
    </w:p>
    <w:p>
      <w:r/>
    </w:p>
    <w:p>
      <w:pPr>
        <w:pStyle w:val="Heading2"/>
      </w:pPr>
      <w:r>
        <w:t>Amram</w:t>
      </w:r>
      <w:r/>
    </w:p>
    <w:p>
      <w:pPr>
        <w:pStyle w:val="ListNumber"/>
        <w:spacing w:line="240" w:lineRule="auto"/>
        <w:ind w:left="720"/>
      </w:pPr>
      <w:r/>
      <w:r>
        <w:t>Fils de Kehath, il était membre de la tribu de Lévi. Amram a épousé Jokébed et a eu trois enfants célèbres : Aaron, Moïse et Miriam (</w:t>
      </w:r>
      <w:hyperlink r:id="rId874">
        <w:r>
          <w:rPr>
            <w:color w:val="0000EE"/>
            <w:u w:val="single"/>
          </w:rPr>
          <w:t>Ex 6.16–20</w:t>
        </w:r>
      </w:hyperlink>
      <w:r>
        <w:t xml:space="preserve"> ; </w:t>
      </w:r>
      <w:hyperlink r:id="rId875">
        <w:r>
          <w:rPr>
            <w:color w:val="0000EE"/>
            <w:u w:val="single"/>
          </w:rPr>
          <w:t>Nb 26.58–59</w:t>
        </w:r>
      </w:hyperlink>
      <w:r>
        <w:t>). Pendant le voyage des Israélites dans le désert, les descendants d'Amram avaient une responsabilité spéciale. Ils étaient chargés de s'occuper de l'arche de l'alliance, de la table, du chandelier, des autels et d'autres meubles utilisés dans le tabernacle (</w:t>
      </w:r>
      <w:hyperlink r:id="rId876">
        <w:r>
          <w:rPr>
            <w:color w:val="0000EE"/>
            <w:u w:val="single"/>
          </w:rPr>
          <w:t>Nb 3.27, 31</w:t>
        </w:r>
      </w:hyperlink>
      <w:r>
        <w:t>). Plus tard, ils feront partie des groupes responsables des offrandes placées dans le trésor du temple (</w:t>
      </w:r>
      <w:hyperlink r:id="rId877">
        <w:r>
          <w:rPr>
            <w:color w:val="0000EE"/>
            <w:u w:val="single"/>
          </w:rPr>
          <w:t>1Ch 26.23–24</w:t>
        </w:r>
      </w:hyperlink>
      <w:r>
        <w:t>).</w:t>
      </w:r>
    </w:p>
    <w:p>
      <w:pPr>
        <w:pStyle w:val="ListNumber"/>
        <w:spacing w:line="240" w:lineRule="auto"/>
        <w:ind w:left="720"/>
      </w:pPr>
      <w:r/>
      <w:r>
        <w:t>Prêtre de la famille de Bani. Il suivra le conseil ferme d'Esdras de divorcer de sa femme non-juive après l'exil à Babylone (</w:t>
      </w:r>
      <w:hyperlink r:id="rId878">
        <w:r>
          <w:rPr>
            <w:color w:val="0000EE"/>
            <w:u w:val="single"/>
          </w:rPr>
          <w:t>Esd 10.34</w:t>
        </w:r>
      </w:hyperlink>
      <w:r>
        <w:t>).</w:t>
      </w:r>
      <w:r/>
      <w:r/>
    </w:p>
    <w:p>
      <w:r/>
    </w:p>
    <w:p>
      <w:pPr>
        <w:pStyle w:val="Heading2"/>
      </w:pPr>
      <w:r>
        <w:t>Amraphel</w:t>
      </w:r>
      <w:r/>
    </w:p>
    <w:p>
      <w:r/>
      <w:r>
        <w:t>Roi de Schinear ou de Babylone qui a aidé le roi Kedorlaomer d'Élam à réprimer une révolte de cinq villes en Palestine (</w:t>
      </w:r>
      <w:hyperlink r:id="rId879">
        <w:r>
          <w:rPr>
            <w:color w:val="0000EE"/>
            <w:u w:val="single"/>
          </w:rPr>
          <w:t>Gn 14.1–11</w:t>
        </w:r>
      </w:hyperlink>
      <w:r>
        <w:t>).</w:t>
      </w:r>
      <w:r/>
      <w:r/>
    </w:p>
    <w:p>
      <w:r/>
    </w:p>
    <w:p>
      <w:pPr>
        <w:pStyle w:val="Heading2"/>
      </w:pPr>
      <w:r>
        <w:t>Ana</w:t>
      </w:r>
      <w:r/>
    </w:p>
    <w:p>
      <w:pPr>
        <w:pStyle w:val="ListNumber"/>
        <w:spacing w:line="240" w:lineRule="auto"/>
        <w:ind w:left="720"/>
      </w:pPr>
      <w:r/>
      <w:r>
        <w:t>Fils de Tsibeon le Hivite et père d'Oholibama. Oholibama était l'une des épouses d'Ésaü (</w:t>
      </w:r>
      <w:hyperlink r:id="rId880">
        <w:r>
          <w:rPr>
            <w:color w:val="0000EE"/>
            <w:u w:val="single"/>
          </w:rPr>
          <w:t>Gn 36.2, 18</w:t>
        </w:r>
      </w:hyperlink>
      <w:r>
        <w:t>).</w:t>
      </w:r>
    </w:p>
    <w:p>
      <w:pPr>
        <w:pStyle w:val="ListNumber"/>
        <w:spacing w:line="240" w:lineRule="auto"/>
        <w:ind w:left="720"/>
      </w:pPr>
      <w:r/>
      <w:r>
        <w:t>Le quatrième fils de Séir le Horien. Ana était un chef parmi les Horien qui avait également une fille nommée Oholibama (</w:t>
      </w:r>
      <w:hyperlink r:id="rId881">
        <w:r>
          <w:rPr>
            <w:color w:val="0000EE"/>
            <w:u w:val="single"/>
          </w:rPr>
          <w:t>Gn 36.20, 25</w:t>
        </w:r>
      </w:hyperlink>
      <w:r>
        <w:t xml:space="preserve"> ; </w:t>
      </w:r>
      <w:hyperlink r:id="rId882">
        <w:r>
          <w:rPr>
            <w:color w:val="0000EE"/>
            <w:u w:val="single"/>
          </w:rPr>
          <w:t>1Ch 1.38, 41</w:t>
        </w:r>
      </w:hyperlink>
      <w:r>
        <w:t>).</w:t>
      </w:r>
    </w:p>
    <w:p>
      <w:pPr>
        <w:pStyle w:val="ListNumber"/>
        <w:spacing w:line="240" w:lineRule="auto"/>
        <w:ind w:left="720"/>
      </w:pPr>
      <w:r/>
      <w:r>
        <w:t>Fils de Tsibeon qui a trouvé des sources chaudes dans le désert (</w:t>
      </w:r>
      <w:hyperlink r:id="rId518">
        <w:r>
          <w:rPr>
            <w:color w:val="0000EE"/>
            <w:u w:val="single"/>
          </w:rPr>
          <w:t>Gn 36.24</w:t>
        </w:r>
      </w:hyperlink>
      <w:r>
        <w:t xml:space="preserve">). Ce Tsibeon était un frère du n°2 ci-dessus. </w:t>
      </w:r>
      <w:r>
        <w:rPr>
          <w:i/>
        </w:rPr>
        <w:t>Voir</w:t>
      </w:r>
      <w:r>
        <w:t xml:space="preserve"> </w:t>
      </w:r>
      <w:r>
        <w:t>Tsibeon</w:t>
      </w:r>
      <w:r>
        <w:t>.</w:t>
      </w:r>
      <w:r/>
      <w:r/>
    </w:p>
    <w:p>
      <w:r/>
    </w:p>
    <w:p>
      <w:pPr>
        <w:pStyle w:val="Heading2"/>
      </w:pPr>
      <w:r>
        <w:t>Anamim, Ananim</w:t>
      </w:r>
      <w:r/>
    </w:p>
    <w:p>
      <w:r/>
      <w:r>
        <w:t>Groupe de personnes non identifié, possiblement lié aux Égyptiens, mentionné dans les récits bibliques des nations primitives (</w:t>
      </w:r>
      <w:hyperlink r:id="rId883">
        <w:r>
          <w:rPr>
            <w:color w:val="0000EE"/>
            <w:u w:val="single"/>
          </w:rPr>
          <w:t>Gn 10.13</w:t>
        </w:r>
      </w:hyperlink>
      <w:r>
        <w:t xml:space="preserve"> ; </w:t>
      </w:r>
      <w:hyperlink r:id="rId884">
        <w:r>
          <w:rPr>
            <w:color w:val="0000EE"/>
            <w:u w:val="single"/>
          </w:rPr>
          <w:t>1Ch 1.11</w:t>
        </w:r>
      </w:hyperlink>
      <w:r>
        <w:t>).</w:t>
      </w:r>
      <w:r/>
      <w:r/>
    </w:p>
    <w:p>
      <w:r/>
    </w:p>
    <w:p>
      <w:pPr>
        <w:pStyle w:val="Heading2"/>
      </w:pPr>
      <w:r>
        <w:t>Ananias</w:t>
      </w:r>
      <w:r/>
    </w:p>
    <w:p>
      <w:r/>
      <w:r>
        <w:t>1. Membre de l'Église primitive (Église de la première génération) de Jérusalem. Il est frappé mort avec sa femme, Saphira, pour tentative de tromperie financière (</w:t>
      </w:r>
      <w:hyperlink r:id="rId885">
        <w:r>
          <w:rPr>
            <w:color w:val="0000EE"/>
            <w:u w:val="single"/>
          </w:rPr>
          <w:t>Ac 5.1–5</w:t>
        </w:r>
      </w:hyperlink>
      <w:r>
        <w:t>).</w:t>
      </w:r>
    </w:p>
    <w:p>
      <w:r/>
      <w:r>
        <w:t>2. Converti qui apparaît tôt dans l'histoire du christianisme. Il vit à Damas quand Saul de Tarse (Paul) y arrive. Tout le monde pense que c'est pour emprisonner les chrétiens. Ananias sait que Paul est un ennemi mortel des chrétiens, mais le Seigneur le rassure et lui explique que Paul a été choisi comme son instrument spécial pour l'Évangile (</w:t>
      </w:r>
      <w:hyperlink r:id="rId886">
        <w:r>
          <w:rPr>
            <w:color w:val="0000EE"/>
            <w:u w:val="single"/>
          </w:rPr>
          <w:t>Ac 9.13–16</w:t>
        </w:r>
      </w:hyperlink>
      <w:r>
        <w:t>). Le Seigneur envoie Ananias auprès de Paul, qui est tout nouvellement converti. Ananias lui rend la vue (</w:t>
      </w:r>
      <w:hyperlink r:id="rId887">
        <w:r>
          <w:rPr>
            <w:color w:val="0000EE"/>
            <w:u w:val="single"/>
          </w:rPr>
          <w:t>Ac 9.17–19</w:t>
        </w:r>
      </w:hyperlink>
      <w:r>
        <w:t>). Ananias explique à Paul la signification de sa rencontre exceptionnelle avec Christ sur le chemin de Damas (</w:t>
      </w:r>
      <w:hyperlink r:id="rId888">
        <w:r>
          <w:rPr>
            <w:color w:val="0000EE"/>
            <w:u w:val="single"/>
          </w:rPr>
          <w:t>Ac 22.12–16</w:t>
        </w:r>
      </w:hyperlink>
      <w:r>
        <w:t>). Il le présente probablement à l'Église de Damas comme un nouveau frère chrétien plutôt qu'un persécuteur. Diverses traditions disent qu'Ananias est plus tard devenu l'un des 70 disciples de Jérusalem, un évêque de Damas et un martyr.</w:t>
      </w:r>
    </w:p>
    <w:p>
      <w:r/>
      <w:r>
        <w:t>3. Grand prêtre (ou souverain sacrificateur) qui préside le sanhédrin quand l'apôtre Paul est arrêté et interrogé par ce conseil à Jérusalem à la fin de son troisième voyage missionnaire (</w:t>
      </w:r>
      <w:hyperlink r:id="rId889">
        <w:r>
          <w:rPr>
            <w:color w:val="0000EE"/>
            <w:u w:val="single"/>
          </w:rPr>
          <w:t>Ac 22.30–23.10</w:t>
        </w:r>
      </w:hyperlink>
      <w:r>
        <w:t>). Ananias est l'un des témoins qui témoignèrent contre Paul à Césarée lors de son procès devant Félix, le gouverneur romain (</w:t>
      </w:r>
      <w:hyperlink r:id="rId890">
        <w:r>
          <w:rPr>
            <w:color w:val="0000EE"/>
            <w:u w:val="single"/>
          </w:rPr>
          <w:t>Ac 24.1</w:t>
        </w:r>
      </w:hyperlink>
      <w:r>
        <w:t>). Cet Ananias est nommé grand prêtre (ou souverain sacrificateur) par Hérode Agrippa II en 48 apr. J.-C. et le reste jusqu'en 59 apr. J.-C. L'historien juif Josèphe le décrit comme riche, arrogant et sans scrupules. Il est connu pour sa collaboration avec les Romains, pour sa sévérité et pour sa cruauté. Les Juifs nationalistes le haïssent et le tuent quand la guerre avec Rome éclate en 66 apr. J.-C.</w:t>
      </w:r>
      <w:r/>
      <w:r/>
    </w:p>
    <w:p>
      <w:r/>
    </w:p>
    <w:p>
      <w:pPr>
        <w:pStyle w:val="Heading2"/>
      </w:pPr>
      <w:r>
        <w:t>Ancre</w:t>
      </w:r>
      <w:r/>
    </w:p>
    <w:p>
      <w:r/>
      <w:r>
        <w:t>Objet utilisé pour maintenir un navire ou un bateau en place dans l'eau. Une ancre est attachée à un navire par un câble ou une chaîne. Lorsqu'elle est jetée par-dessus bord, son poids et sa capacité à s'enfoncer dans le fond marin empêchent le bateau de dériver.</w:t>
      </w:r>
    </w:p>
    <w:p>
      <w:r/>
      <w:r>
        <w:t>Les ancres ont commencé à être utilisées plusieurs siècles avant l'époque de Christ. Elles ont commencé comme de simples poids en pierre et ont évolué en crochets en bois lestés de plomb ou de pierre.</w:t>
      </w:r>
    </w:p>
    <w:p>
      <w:r/>
      <w:r>
        <w:t>Peu de temps après l'époque de Christ, des ancres en fer de la forme qui nous est familière à l'époque moderne sont entrées en usage. Les ancres sont mentionnées dans le récit de Luc concernant le voyage de l'apôtre Paul à Rome (</w:t>
      </w:r>
      <w:hyperlink r:id="rId891">
        <w:r>
          <w:rPr>
            <w:color w:val="0000EE"/>
            <w:u w:val="single"/>
          </w:rPr>
          <w:t>Ac 27.13</w:t>
        </w:r>
      </w:hyperlink>
      <w:r>
        <w:t xml:space="preserve">, </w:t>
      </w:r>
      <w:hyperlink r:id="rId892">
        <w:r>
          <w:rPr>
            <w:color w:val="0000EE"/>
            <w:u w:val="single"/>
          </w:rPr>
          <w:t>29–30</w:t>
        </w:r>
      </w:hyperlink>
      <w:r>
        <w:t xml:space="preserve">, </w:t>
      </w:r>
      <w:hyperlink r:id="rId893">
        <w:r>
          <w:rPr>
            <w:color w:val="0000EE"/>
            <w:u w:val="single"/>
          </w:rPr>
          <w:t>40</w:t>
        </w:r>
      </w:hyperlink>
      <w:r>
        <w:t xml:space="preserve">). </w:t>
      </w:r>
      <w:hyperlink r:id="rId688">
        <w:r>
          <w:rPr>
            <w:color w:val="0000EE"/>
            <w:u w:val="single"/>
          </w:rPr>
          <w:t>Hébreux 6.19</w:t>
        </w:r>
      </w:hyperlink>
      <w:r>
        <w:t xml:space="preserve"> utilise « ancre » comme symbole pour indiquer la stabilité de la promesse de salut de Dieu pour ceux qui croient en lui.</w:t>
      </w:r>
      <w:r/>
      <w:r/>
    </w:p>
    <w:p>
      <w:r/>
    </w:p>
    <w:p>
      <w:pPr>
        <w:pStyle w:val="Heading2"/>
      </w:pPr>
      <w:r>
        <w:t>Aner (Personne)</w:t>
      </w:r>
      <w:r/>
    </w:p>
    <w:p>
      <w:r/>
      <w:r>
        <w:t>Allié amoréen d'Abram et frère de Mamré et d'Eschcol (</w:t>
      </w:r>
      <w:hyperlink r:id="rId894">
        <w:r>
          <w:rPr>
            <w:color w:val="0000EE"/>
            <w:u w:val="single"/>
          </w:rPr>
          <w:t>Gn 14.13</w:t>
        </w:r>
      </w:hyperlink>
      <w:r>
        <w:t>). Avec ses frères, Aner aidera Abram à vaincre un groupe de quatre rois qui avaient pillé Sodome et Gomorrhe et capturé Lot, le neveu d'Abram (</w:t>
      </w:r>
      <w:hyperlink r:id="rId895">
        <w:r>
          <w:rPr>
            <w:color w:val="0000EE"/>
            <w:u w:val="single"/>
          </w:rPr>
          <w:t>Gn 14.14–16, 21–24</w:t>
        </w:r>
      </w:hyperlink>
      <w:r>
        <w:t>).</w:t>
      </w:r>
      <w:r/>
      <w:r/>
    </w:p>
    <w:p>
      <w:r/>
    </w:p>
    <w:p>
      <w:pPr>
        <w:pStyle w:val="Heading2"/>
      </w:pPr>
      <w:r>
        <w:t>Ange</w:t>
      </w:r>
      <w:r/>
    </w:p>
    <w:p>
      <w:r/>
      <w:r>
        <w:t>Messager de Dieu ou être surnaturel, qu'il soit bon ou mauvais. Dans la Bible, les anges sont plus puissants que les êtres humains.</w:t>
      </w:r>
    </w:p>
    <w:p>
      <w:r/>
      <w:r>
        <w:t xml:space="preserve">Les chérubins (pluriel du mot hébreu </w:t>
      </w:r>
      <w:r>
        <w:rPr>
          <w:i/>
        </w:rPr>
        <w:t>cherub</w:t>
      </w:r>
      <w:r>
        <w:t>) sont les premiers anges mentionnés dans la Bible. Ce sont des êtres célestes. Ces chérubins ont été envoyés par Dieu pour garder l'arbre de vie dans le jardin d'Éden (</w:t>
      </w:r>
      <w:hyperlink r:id="rId896">
        <w:r>
          <w:rPr>
            <w:color w:val="0000EE"/>
            <w:u w:val="single"/>
          </w:rPr>
          <w:t>Gn 3.24</w:t>
        </w:r>
      </w:hyperlink>
      <w:r>
        <w:t>).</w:t>
      </w:r>
    </w:p>
    <w:p>
      <w:r/>
      <w:r>
        <w:t>Les anges ont été symboliquement représentés :</w:t>
      </w:r>
    </w:p>
    <w:p>
      <w:pPr>
        <w:pStyle w:val="ListBullet"/>
        <w:spacing w:line="240" w:lineRule="auto"/>
        <w:ind w:left="720"/>
      </w:pPr>
      <w:r/>
      <w:r>
        <w:t>sur l'arche de l'alliance (</w:t>
      </w:r>
      <w:hyperlink r:id="rId897">
        <w:r>
          <w:rPr>
            <w:color w:val="0000EE"/>
            <w:u w:val="single"/>
          </w:rPr>
          <w:t>Ex 25.18–22</w:t>
        </w:r>
      </w:hyperlink>
      <w:r>
        <w:t>),</w:t>
      </w:r>
    </w:p>
    <w:p>
      <w:pPr>
        <w:pStyle w:val="ListBullet"/>
        <w:spacing w:line="240" w:lineRule="auto"/>
        <w:ind w:left="720"/>
      </w:pPr>
      <w:r/>
      <w:r>
        <w:t>dans le tabernacle (</w:t>
      </w:r>
      <w:hyperlink r:id="rId898">
        <w:r>
          <w:rPr>
            <w:color w:val="0000EE"/>
            <w:u w:val="single"/>
          </w:rPr>
          <w:t>Ex 26.31</w:t>
        </w:r>
      </w:hyperlink>
      <w:r>
        <w:t xml:space="preserve">), </w:t>
      </w:r>
    </w:p>
    <w:p>
      <w:pPr>
        <w:pStyle w:val="ListBullet"/>
        <w:spacing w:line="240" w:lineRule="auto"/>
        <w:ind w:left="720"/>
      </w:pPr>
      <w:r/>
      <w:r>
        <w:t>dans le Temple (</w:t>
      </w:r>
      <w:hyperlink r:id="rId899">
        <w:r>
          <w:rPr>
            <w:color w:val="0000EE"/>
            <w:u w:val="single"/>
          </w:rPr>
          <w:t>2Ch 3.7</w:t>
        </w:r>
      </w:hyperlink>
      <w:r>
        <w:t>).</w:t>
      </w:r>
    </w:p>
    <w:p>
      <w:r/>
      <w:r>
        <w:t>Le prophète Ézéchiel a vu des anges dans une vision de Jérusalem restaurée (</w:t>
      </w:r>
      <w:hyperlink r:id="rId900">
        <w:r>
          <w:rPr>
            <w:color w:val="0000EE"/>
            <w:u w:val="single"/>
          </w:rPr>
          <w:t>Ez 41.18–20</w:t>
        </w:r>
      </w:hyperlink>
      <w:r>
        <w:t>). Deux anges, Gabriel et l'archange Micaël (ou Michel), sont nommés dans la Bible (</w:t>
      </w:r>
      <w:hyperlink r:id="rId901">
        <w:r>
          <w:rPr>
            <w:color w:val="0000EE"/>
            <w:u w:val="single"/>
          </w:rPr>
          <w:t>Dn 8.16</w:t>
        </w:r>
      </w:hyperlink>
      <w:r>
        <w:t xml:space="preserve"> ; </w:t>
      </w:r>
      <w:hyperlink r:id="rId902">
        <w:r>
          <w:rPr>
            <w:color w:val="0000EE"/>
            <w:u w:val="single"/>
          </w:rPr>
          <w:t>9.21</w:t>
        </w:r>
      </w:hyperlink>
      <w:r>
        <w:t xml:space="preserve"> ; </w:t>
      </w:r>
      <w:hyperlink r:id="rId903">
        <w:r>
          <w:rPr>
            <w:color w:val="0000EE"/>
            <w:u w:val="single"/>
          </w:rPr>
          <w:t>10.13</w:t>
        </w:r>
      </w:hyperlink>
      <w:r>
        <w:t xml:space="preserve"> ; </w:t>
      </w:r>
      <w:hyperlink r:id="rId904">
        <w:r>
          <w:rPr>
            <w:color w:val="0000EE"/>
            <w:u w:val="single"/>
          </w:rPr>
          <w:t>Lc 1.19, 26</w:t>
        </w:r>
      </w:hyperlink>
      <w:r>
        <w:t xml:space="preserve"> ; </w:t>
      </w:r>
      <w:hyperlink r:id="rId905">
        <w:r>
          <w:rPr>
            <w:color w:val="0000EE"/>
            <w:u w:val="single"/>
          </w:rPr>
          <w:t>Jd 1.9</w:t>
        </w:r>
      </w:hyperlink>
      <w:r>
        <w:t xml:space="preserve"> ; </w:t>
      </w:r>
      <w:hyperlink r:id="rId906">
        <w:r>
          <w:rPr>
            <w:color w:val="0000EE"/>
            <w:u w:val="single"/>
          </w:rPr>
          <w:t>Ap 12.7–9</w:t>
        </w:r>
      </w:hyperlink>
      <w:r>
        <w:t>). Un « archange » est un ange avec un rang plus élevé que d'autres anges, c'est-à-dire qui est chef au-dessus d'autres anges.</w:t>
      </w:r>
    </w:p>
    <w:p>
      <w:r/>
      <w:r>
        <w:t xml:space="preserve">Dans la Bible, les anges sont des êtres spirituels qui servent surtout de messagers. Le mot français « ange » vient directement d'un mot grec qui veut dire « messager ». Dans </w:t>
      </w:r>
      <w:hyperlink r:id="rId907">
        <w:r>
          <w:rPr>
            <w:color w:val="0000EE"/>
            <w:u w:val="single"/>
          </w:rPr>
          <w:t>Luc 9.52</w:t>
        </w:r>
      </w:hyperlink>
      <w:r>
        <w:t>, Jésus a envoyé des « messagers » devant lui. Habituellement, le même mot est traduit par « ange » et indique un messager spirituel de Dieu.</w:t>
      </w:r>
    </w:p>
    <w:p>
      <w:r/>
      <w:r>
        <w:t xml:space="preserve">Dans l'Ancien Testament également, un seul mot hébreu peut désigner soit un messager humain, soit un être spirituel. Il n'est pas toujours clair duquel il s'agit, surtout parce que les anges apparaissaient parfois sous forme humaine. Dans certains passages, « l'ange de Dieu » ou une expression similaire peut désigner Dieu prononçant son propre message (voir </w:t>
      </w:r>
      <w:hyperlink r:id="rId908">
        <w:r>
          <w:rPr>
            <w:color w:val="0000EE"/>
            <w:u w:val="single"/>
          </w:rPr>
          <w:t>Gn 18.2–15</w:t>
        </w:r>
      </w:hyperlink>
      <w:r>
        <w:t>).</w:t>
      </w:r>
    </w:p>
    <w:p>
      <w:pPr>
        <w:pStyle w:val="Heading3"/>
      </w:pPr>
      <w:r>
        <w:t>Rôles et fonctions des anges dans la Bible</w:t>
      </w:r>
    </w:p>
    <w:p>
      <w:r/>
      <w:r>
        <w:t>Dans la Bible, les anges apparaissent aux gens pour :</w:t>
      </w:r>
    </w:p>
    <w:p>
      <w:pPr>
        <w:pStyle w:val="ListBullet"/>
        <w:spacing w:line="240" w:lineRule="auto"/>
        <w:ind w:left="720"/>
      </w:pPr>
      <w:r/>
      <w:r>
        <w:t>annoncer de bonnes nouvelles (</w:t>
      </w:r>
      <w:hyperlink r:id="rId909">
        <w:r>
          <w:rPr>
            <w:color w:val="0000EE"/>
            <w:u w:val="single"/>
          </w:rPr>
          <w:t>Jg 13.3</w:t>
        </w:r>
      </w:hyperlink>
      <w:r>
        <w:t>)</w:t>
      </w:r>
    </w:p>
    <w:p>
      <w:pPr>
        <w:pStyle w:val="ListBullet"/>
        <w:spacing w:line="240" w:lineRule="auto"/>
        <w:ind w:left="720"/>
      </w:pPr>
      <w:r/>
      <w:r>
        <w:t>avertir du danger (</w:t>
      </w:r>
      <w:hyperlink r:id="rId910">
        <w:r>
          <w:rPr>
            <w:color w:val="0000EE"/>
            <w:u w:val="single"/>
          </w:rPr>
          <w:t>Gn 19.15</w:t>
        </w:r>
      </w:hyperlink>
      <w:r>
        <w:t>)</w:t>
      </w:r>
    </w:p>
    <w:p>
      <w:pPr>
        <w:pStyle w:val="ListBullet"/>
        <w:spacing w:line="240" w:lineRule="auto"/>
        <w:ind w:left="720"/>
      </w:pPr>
      <w:r/>
      <w:r>
        <w:t>protéger du mal (</w:t>
      </w:r>
      <w:hyperlink r:id="rId911">
        <w:r>
          <w:rPr>
            <w:color w:val="0000EE"/>
            <w:u w:val="single"/>
          </w:rPr>
          <w:t>Dn 3.28</w:t>
        </w:r>
      </w:hyperlink>
      <w:r>
        <w:t xml:space="preserve"> ; </w:t>
      </w:r>
      <w:hyperlink r:id="rId912">
        <w:r>
          <w:rPr>
            <w:color w:val="0000EE"/>
            <w:u w:val="single"/>
          </w:rPr>
          <w:t>6.22</w:t>
        </w:r>
      </w:hyperlink>
      <w:r>
        <w:t>)</w:t>
      </w:r>
    </w:p>
    <w:p>
      <w:pPr>
        <w:pStyle w:val="ListBullet"/>
        <w:spacing w:line="240" w:lineRule="auto"/>
        <w:ind w:left="720"/>
      </w:pPr>
      <w:r/>
      <w:r>
        <w:t>guider et protéger (</w:t>
      </w:r>
      <w:hyperlink r:id="rId913">
        <w:r>
          <w:rPr>
            <w:color w:val="0000EE"/>
            <w:u w:val="single"/>
          </w:rPr>
          <w:t>Ex 14.19</w:t>
        </w:r>
      </w:hyperlink>
      <w:r>
        <w:t>)</w:t>
      </w:r>
    </w:p>
    <w:p>
      <w:pPr>
        <w:pStyle w:val="ListBullet"/>
        <w:spacing w:line="240" w:lineRule="auto"/>
        <w:ind w:left="720"/>
      </w:pPr>
      <w:r/>
      <w:r>
        <w:t>donner eau et nourriture (</w:t>
      </w:r>
      <w:hyperlink r:id="rId914">
        <w:r>
          <w:rPr>
            <w:color w:val="0000EE"/>
            <w:u w:val="single"/>
          </w:rPr>
          <w:t>Gn 21.14–20</w:t>
        </w:r>
      </w:hyperlink>
      <w:r>
        <w:t xml:space="preserve"> ; </w:t>
      </w:r>
      <w:hyperlink r:id="rId915">
        <w:r>
          <w:rPr>
            <w:color w:val="0000EE"/>
            <w:u w:val="single"/>
          </w:rPr>
          <w:t>1R 19.4–7</w:t>
        </w:r>
      </w:hyperlink>
      <w:r>
        <w:t>)</w:t>
      </w:r>
    </w:p>
    <w:p>
      <w:pPr>
        <w:pStyle w:val="ListBullet"/>
        <w:spacing w:line="240" w:lineRule="auto"/>
        <w:ind w:left="720"/>
      </w:pPr>
      <w:r/>
      <w:r>
        <w:t>instruire (</w:t>
      </w:r>
      <w:hyperlink r:id="rId916">
        <w:r>
          <w:rPr>
            <w:color w:val="0000EE"/>
            <w:u w:val="single"/>
          </w:rPr>
          <w:t>Ac 7.38</w:t>
        </w:r>
      </w:hyperlink>
      <w:r>
        <w:t xml:space="preserve"> ; </w:t>
      </w:r>
      <w:hyperlink r:id="rId917">
        <w:r>
          <w:rPr>
            <w:color w:val="0000EE"/>
            <w:u w:val="single"/>
          </w:rPr>
          <w:t>Ga 3.19</w:t>
        </w:r>
      </w:hyperlink>
      <w:r>
        <w:t>)</w:t>
      </w:r>
    </w:p>
    <w:p>
      <w:r/>
      <w:r>
        <w:t>Quand le Christ est venu sur terre en tant que Sauveur, des anges :</w:t>
      </w:r>
    </w:p>
    <w:p>
      <w:pPr>
        <w:pStyle w:val="ListBullet"/>
        <w:spacing w:line="240" w:lineRule="auto"/>
        <w:ind w:left="720"/>
      </w:pPr>
      <w:r/>
      <w:r>
        <w:t>annoncent sa naissance (</w:t>
      </w:r>
      <w:hyperlink r:id="rId918">
        <w:r>
          <w:rPr>
            <w:color w:val="0000EE"/>
            <w:u w:val="single"/>
          </w:rPr>
          <w:t>Lc 2.8–15</w:t>
        </w:r>
      </w:hyperlink>
      <w:r>
        <w:t>)</w:t>
      </w:r>
    </w:p>
    <w:p>
      <w:pPr>
        <w:pStyle w:val="ListBullet"/>
        <w:spacing w:line="240" w:lineRule="auto"/>
        <w:ind w:left="720"/>
      </w:pPr>
      <w:r/>
      <w:r>
        <w:t>guident et avertissent ses parents (</w:t>
      </w:r>
      <w:hyperlink r:id="rId919">
        <w:r>
          <w:rPr>
            <w:color w:val="0000EE"/>
            <w:u w:val="single"/>
          </w:rPr>
          <w:t>Mt 2.13</w:t>
        </w:r>
      </w:hyperlink>
      <w:r>
        <w:t>)</w:t>
      </w:r>
    </w:p>
    <w:p>
      <w:pPr>
        <w:pStyle w:val="ListBullet"/>
        <w:spacing w:line="240" w:lineRule="auto"/>
        <w:ind w:left="720"/>
      </w:pPr>
      <w:r/>
      <w:r>
        <w:t>servent Jésus lors de sa tentation (</w:t>
      </w:r>
      <w:hyperlink r:id="rId920">
        <w:r>
          <w:rPr>
            <w:color w:val="0000EE"/>
            <w:u w:val="single"/>
          </w:rPr>
          <w:t>Mt 4.11</w:t>
        </w:r>
      </w:hyperlink>
      <w:r>
        <w:t>)</w:t>
      </w:r>
    </w:p>
    <w:p>
      <w:pPr>
        <w:pStyle w:val="ListBullet"/>
        <w:spacing w:line="240" w:lineRule="auto"/>
        <w:ind w:left="720"/>
      </w:pPr>
      <w:r/>
      <w:r>
        <w:t>fortifient Jésus dans ses derniers moments de détresse (</w:t>
      </w:r>
      <w:hyperlink r:id="rId921">
        <w:r>
          <w:rPr>
            <w:color w:val="0000EE"/>
            <w:u w:val="single"/>
          </w:rPr>
          <w:t>Lc 22.43–44</w:t>
        </w:r>
      </w:hyperlink>
      <w:r>
        <w:t xml:space="preserve"> dans certains manuscrits)</w:t>
      </w:r>
    </w:p>
    <w:p>
      <w:pPr>
        <w:pStyle w:val="ListBullet"/>
        <w:spacing w:line="240" w:lineRule="auto"/>
        <w:ind w:left="720"/>
      </w:pPr>
      <w:r/>
      <w:r>
        <w:t>sont témoins de sa résurrection (</w:t>
      </w:r>
      <w:hyperlink r:id="rId922">
        <w:r>
          <w:rPr>
            <w:color w:val="0000EE"/>
            <w:u w:val="single"/>
          </w:rPr>
          <w:t>Mt 28.1–6</w:t>
        </w:r>
      </w:hyperlink>
      <w:r>
        <w:t>)</w:t>
      </w:r>
    </w:p>
    <w:p>
      <w:r/>
      <w:r>
        <w:t>Le Nouveau Testament donne plusieurs exemples d'interaction entre anges et êtres humains :</w:t>
      </w:r>
    </w:p>
    <w:p>
      <w:pPr>
        <w:pStyle w:val="ListBullet"/>
        <w:spacing w:line="240" w:lineRule="auto"/>
        <w:ind w:left="720"/>
      </w:pPr>
      <w:r/>
      <w:r>
        <w:t>Jésus parle des anges des petits enfants (</w:t>
      </w:r>
      <w:hyperlink r:id="rId923">
        <w:r>
          <w:rPr>
            <w:color w:val="0000EE"/>
            <w:u w:val="single"/>
          </w:rPr>
          <w:t>Mt 18.10</w:t>
        </w:r>
      </w:hyperlink>
      <w:r>
        <w:t>).</w:t>
      </w:r>
    </w:p>
    <w:p>
      <w:pPr>
        <w:pStyle w:val="ListBullet"/>
        <w:spacing w:line="240" w:lineRule="auto"/>
        <w:ind w:left="720"/>
      </w:pPr>
      <w:r/>
      <w:r>
        <w:t>Un ange guide Philippe (</w:t>
      </w:r>
      <w:hyperlink r:id="rId924">
        <w:r>
          <w:rPr>
            <w:color w:val="0000EE"/>
            <w:u w:val="single"/>
          </w:rPr>
          <w:t>Ac 8.26</w:t>
        </w:r>
      </w:hyperlink>
      <w:r>
        <w:t>).</w:t>
      </w:r>
    </w:p>
    <w:p>
      <w:pPr>
        <w:pStyle w:val="ListBullet"/>
        <w:spacing w:line="240" w:lineRule="auto"/>
        <w:ind w:left="720"/>
      </w:pPr>
      <w:r/>
      <w:r>
        <w:t>Un ange délivre les apôtres de la prison (</w:t>
      </w:r>
      <w:hyperlink r:id="rId925">
        <w:r>
          <w:rPr>
            <w:color w:val="0000EE"/>
            <w:u w:val="single"/>
          </w:rPr>
          <w:t>Ac 5.19</w:t>
        </w:r>
      </w:hyperlink>
      <w:r>
        <w:t xml:space="preserve"> ; </w:t>
      </w:r>
      <w:hyperlink r:id="rId926">
        <w:r>
          <w:rPr>
            <w:color w:val="0000EE"/>
            <w:u w:val="single"/>
          </w:rPr>
          <w:t>12.7–11</w:t>
        </w:r>
      </w:hyperlink>
      <w:r>
        <w:t>).</w:t>
      </w:r>
    </w:p>
    <w:p>
      <w:pPr>
        <w:pStyle w:val="ListBullet"/>
        <w:spacing w:line="240" w:lineRule="auto"/>
        <w:ind w:left="720"/>
      </w:pPr>
      <w:r/>
      <w:r>
        <w:t>Un ange encourage l'apôtre Paul dans une situation périlleuse (</w:t>
      </w:r>
      <w:hyperlink r:id="rId927">
        <w:r>
          <w:rPr>
            <w:color w:val="0000EE"/>
            <w:u w:val="single"/>
          </w:rPr>
          <w:t>Ac 27.21–25</w:t>
        </w:r>
      </w:hyperlink>
      <w:r>
        <w:t>).</w:t>
      </w:r>
    </w:p>
    <w:p>
      <w:pPr>
        <w:pStyle w:val="Heading3"/>
      </w:pPr>
      <w:r>
        <w:t>Descriptions physiques et visions d'anges</w:t>
      </w:r>
    </w:p>
    <w:p>
      <w:r/>
      <w:r>
        <w:t>Dans la Bible, l'apparence physique des anges sort souvent assez de l'ordinaire, alors il est facile de les différencier des êtres humains. L'aspect de l'ange qui déplace la pierre à l'entrée du tombeau de Jésus est « comme l'éclair » et son vêtement « blanc comme la neige » (</w:t>
      </w:r>
      <w:hyperlink r:id="rId928">
        <w:r>
          <w:rPr>
            <w:color w:val="0000EE"/>
            <w:u w:val="single"/>
          </w:rPr>
          <w:t>Mt 28.3</w:t>
        </w:r>
      </w:hyperlink>
      <w:r>
        <w:t>).</w:t>
      </w:r>
    </w:p>
    <w:p>
      <w:r/>
      <w:r>
        <w:t>De nombreux passages à propos des anges sont des descriptions de rêves ou de visions. Par exemple, « l'échelle de Jacob », avec des anges qui montent et qui descendent par cette échelle (</w:t>
      </w:r>
      <w:hyperlink r:id="rId929">
        <w:r>
          <w:rPr>
            <w:color w:val="0000EE"/>
            <w:u w:val="single"/>
          </w:rPr>
          <w:t>Gn 28.12</w:t>
        </w:r>
      </w:hyperlink>
      <w:r>
        <w:t>). Dans un autre rêve, un ange parle à Jacob (</w:t>
      </w:r>
      <w:hyperlink r:id="rId930">
        <w:r>
          <w:rPr>
            <w:color w:val="0000EE"/>
            <w:u w:val="single"/>
          </w:rPr>
          <w:t>Gn 31.11</w:t>
        </w:r>
      </w:hyperlink>
      <w:r>
        <w:t>). C'est dans une vision qu'un ange apparaît à Corneille (</w:t>
      </w:r>
      <w:hyperlink r:id="rId931">
        <w:r>
          <w:rPr>
            <w:color w:val="0000EE"/>
            <w:u w:val="single"/>
          </w:rPr>
          <w:t>Ac 10.1–3</w:t>
        </w:r>
      </w:hyperlink>
      <w:r>
        <w:t xml:space="preserve">). Les principaux passages de ce type incluent </w:t>
      </w:r>
      <w:hyperlink r:id="rId932">
        <w:r>
          <w:rPr>
            <w:color w:val="0000EE"/>
            <w:u w:val="single"/>
          </w:rPr>
          <w:t>Ésaïe 6</w:t>
        </w:r>
      </w:hyperlink>
      <w:r>
        <w:t xml:space="preserve"> (avec des séraphins), une grande partie du livre d'Ézéchiel (avec des chérubins), ainsi qu'une grande partie des livres de Daniel et de Zacharie.</w:t>
      </w:r>
    </w:p>
    <w:p>
      <w:r/>
      <w:r>
        <w:t>Dans le Nouveau Testament, plus d'un tiers des références aux anges sont dans le livre de l'Apocalypse. Dans la plupart des cas, ils apparaissent dans des visions comme des êtres glorieux ou bien étranges et effrayants, et on ne doit pas les confondre avec des êtres humains. Le langage qui décrit ces visions angéliques est mystique, métaphorique et difficile à interpréter. « Métaphorique » signifie que des comparaisons sont faites dans les descriptions qui sont données.</w:t>
      </w:r>
    </w:p>
    <w:p>
      <w:pPr>
        <w:pStyle w:val="Heading3"/>
      </w:pPr>
      <w:r>
        <w:t>Les anges dans la théologie chrétienne</w:t>
      </w:r>
    </w:p>
    <w:p>
      <w:r/>
      <w:r>
        <w:t>L'angélologie, la doctrine des anges, n'est pas un thème important dans la théologie chrétienne, malgré les nombreuses références aux anges dans la Bible. Les anges sont inclus dans les descriptions de tout ce que Dieu a créé (</w:t>
      </w:r>
      <w:hyperlink r:id="rId933">
        <w:r>
          <w:rPr>
            <w:color w:val="0000EE"/>
            <w:u w:val="single"/>
          </w:rPr>
          <w:t>Ps 148.2</w:t>
        </w:r>
      </w:hyperlink>
      <w:r>
        <w:t xml:space="preserve"> ; </w:t>
      </w:r>
      <w:hyperlink r:id="rId934">
        <w:r>
          <w:rPr>
            <w:color w:val="0000EE"/>
            <w:u w:val="single"/>
          </w:rPr>
          <w:t>Col 1.16</w:t>
        </w:r>
      </w:hyperlink>
      <w:r>
        <w:t>). Il existe des indices dans la Bible que les anges ont vu la création du monde (</w:t>
      </w:r>
      <w:hyperlink r:id="rId935">
        <w:r>
          <w:rPr>
            <w:color w:val="0000EE"/>
            <w:u w:val="single"/>
          </w:rPr>
          <w:t>Jb 38.7</w:t>
        </w:r>
      </w:hyperlink>
      <w:r>
        <w:t>). Pourtant, peu importe à quel point ils peuvent être proches de Dieu, ils partagent avec l'humanité le statut de créatures.</w:t>
      </w:r>
    </w:p>
    <w:p>
      <w:r/>
      <w:r>
        <w:t>En tant que créatures purement spirituelles, les anges sont libres de nombreuses limitations humaines. Ils ne meurent pas (</w:t>
      </w:r>
      <w:hyperlink r:id="rId936">
        <w:r>
          <w:rPr>
            <w:color w:val="0000EE"/>
            <w:u w:val="single"/>
          </w:rPr>
          <w:t>Lc 20.36</w:t>
        </w:r>
      </w:hyperlink>
      <w:r>
        <w:t>). Ils ne se marient pas, et pourraient donc être considérés comme asexués (</w:t>
      </w:r>
      <w:hyperlink r:id="rId937">
        <w:r>
          <w:rPr>
            <w:color w:val="0000EE"/>
            <w:u w:val="single"/>
          </w:rPr>
          <w:t>Mt 22.30</w:t>
        </w:r>
      </w:hyperlink>
      <w:r>
        <w:t>). Dans toutes les apparitions d'anges sous forme humaine, ils ont été pris pour des hommes, jamais pour des femmes ou des enfants. La capacité des anges à communiquer dans le langage humain et à influencer la vie humaine d'autres manières est essentielle à leur rôle dans la Bible.</w:t>
      </w:r>
    </w:p>
    <w:p>
      <w:r/>
      <w:r>
        <w:t>La puissance et l'apparence impressionnante des anges ont parfois conduit des gens à les craindre ou à les adorer (</w:t>
      </w:r>
      <w:hyperlink r:id="rId938">
        <w:r>
          <w:rPr>
            <w:color w:val="0000EE"/>
            <w:u w:val="single"/>
          </w:rPr>
          <w:t>Mt 28.2–4</w:t>
        </w:r>
      </w:hyperlink>
      <w:r>
        <w:t>). Le Nouveau Testament n'approuve pas l'adoration des anges (</w:t>
      </w:r>
      <w:hyperlink r:id="rId939">
        <w:r>
          <w:rPr>
            <w:color w:val="0000EE"/>
            <w:u w:val="single"/>
          </w:rPr>
          <w:t>Col 2.18</w:t>
        </w:r>
      </w:hyperlink>
      <w:r>
        <w:t xml:space="preserve"> ; </w:t>
      </w:r>
      <w:hyperlink r:id="rId940">
        <w:r>
          <w:rPr>
            <w:color w:val="0000EE"/>
            <w:u w:val="single"/>
          </w:rPr>
          <w:t>Ap 22.8–9</w:t>
        </w:r>
      </w:hyperlink>
      <w:r>
        <w:t>). Ils sont plus forts et plus sages que les êtres humains, mais leur puissance et leur connaissance sont également limitées par Dieu (</w:t>
      </w:r>
      <w:hyperlink r:id="rId941">
        <w:r>
          <w:rPr>
            <w:color w:val="0000EE"/>
            <w:u w:val="single"/>
          </w:rPr>
          <w:t>Ps 103.20</w:t>
        </w:r>
      </w:hyperlink>
      <w:r>
        <w:t xml:space="preserve"> ; </w:t>
      </w:r>
      <w:hyperlink r:id="rId942">
        <w:r>
          <w:rPr>
            <w:color w:val="0000EE"/>
            <w:u w:val="single"/>
          </w:rPr>
          <w:t>Mt 24.36</w:t>
        </w:r>
      </w:hyperlink>
      <w:r>
        <w:t xml:space="preserve"> ; </w:t>
      </w:r>
      <w:hyperlink r:id="rId943">
        <w:r>
          <w:rPr>
            <w:color w:val="0000EE"/>
            <w:u w:val="single"/>
          </w:rPr>
          <w:t>1P 1.11–12</w:t>
        </w:r>
      </w:hyperlink>
      <w:r>
        <w:t xml:space="preserve"> ; </w:t>
      </w:r>
      <w:hyperlink r:id="rId944">
        <w:r>
          <w:rPr>
            <w:color w:val="0000EE"/>
            <w:u w:val="single"/>
          </w:rPr>
          <w:t>2P 2.11</w:t>
        </w:r>
      </w:hyperlink>
      <w:r>
        <w:t xml:space="preserve">). </w:t>
      </w:r>
      <w:r>
        <w:rPr>
          <w:i/>
        </w:rPr>
        <w:t>Voir</w:t>
      </w:r>
      <w:r>
        <w:t xml:space="preserve"> </w:t>
      </w:r>
      <w:r>
        <w:t>Chérubin, chérubins</w:t>
      </w:r>
      <w:r>
        <w:t xml:space="preserve"> ; </w:t>
      </w:r>
      <w:r>
        <w:t>Séraphin, séraphins</w:t>
      </w:r>
      <w:r>
        <w:t xml:space="preserve"> ; </w:t>
      </w:r>
      <w:r>
        <w:t>Démon</w:t>
      </w:r>
      <w:r>
        <w:t xml:space="preserve"> ; </w:t>
      </w:r>
      <w:r>
        <w:t>Possession démoniaque</w:t>
      </w:r>
      <w:r>
        <w:t xml:space="preserve"> ; </w:t>
      </w:r>
      <w:r>
        <w:t>Satan</w:t>
      </w:r>
      <w:r>
        <w:t>.</w:t>
      </w:r>
      <w:r/>
      <w:r/>
    </w:p>
    <w:p>
      <w:r/>
    </w:p>
    <w:p>
      <w:pPr>
        <w:pStyle w:val="Heading2"/>
      </w:pPr>
      <w:r>
        <w:t>Anne</w:t>
      </w:r>
      <w:r/>
    </w:p>
    <w:p>
      <w:r/>
      <w:r>
        <w:t>Souverain sacrificateur juif de l'an 7 à l'an 15 apr. J.‑C.</w:t>
      </w:r>
    </w:p>
    <w:p>
      <w:r/>
      <w:r>
        <w:t>C'est Quirinius, le gouverneur romain de Syrie, qui l'a nommé à ce poste. Plus tard, Valerius Gratus, le procurateur (gouverneur) de Judée, démettra Anne de son rôle de souverain sacrificateur. Après Anne, trois autres personnes serviront brièvement comme grands prêtres. C'est Caïphe (qui était marié à la fille d'Anne) qui deviendra ensuite souverain sacrificateur (</w:t>
      </w:r>
      <w:hyperlink r:id="rId945">
        <w:r>
          <w:rPr>
            <w:color w:val="0000EE"/>
            <w:u w:val="single"/>
          </w:rPr>
          <w:t>Jn 18.13, 24</w:t>
        </w:r>
      </w:hyperlink>
      <w:r>
        <w:t>) et le restera de l'an 18 à l'an 36 apr. J.‑C. C'est donc Caïphe qui était souverain sacrificateur pendant le ministère public de Jésus.</w:t>
      </w:r>
    </w:p>
    <w:p>
      <w:r/>
      <w:r>
        <w:t>Anne a continué d'exercer un certain pouvoir et une influence même après sa destitution de cette fonction. Le souverain sacrificateur détenait une nomination à vie. Il est probable que les Juifs aient fortement reproché aux Romains leur retrait d'Anne en tant que souverain sacrificateur. Même si Anne n'était plus officiellement souverain sacrificateur, beaucoup de gens l'appelaient encore par ce titre, dû au fait qu'ils croyaient qu'un homme choisi comme souverain sacrificateur devait conserver cet honneur à vie. Nous en retrouvons des exemples dans les écrits de l'historien juif Josèphe. Ces exemples clarifient les références à Anne en tant que souverain sacrificateur dans le Nouveau Testament, durant la même période que Caïphe (</w:t>
      </w:r>
      <w:hyperlink r:id="rId946">
        <w:r>
          <w:rPr>
            <w:color w:val="0000EE"/>
            <w:u w:val="single"/>
          </w:rPr>
          <w:t>Lc 3.2</w:t>
        </w:r>
      </w:hyperlink>
      <w:r>
        <w:t xml:space="preserve"> ; </w:t>
      </w:r>
      <w:hyperlink r:id="rId947">
        <w:r>
          <w:rPr>
            <w:color w:val="0000EE"/>
            <w:u w:val="single"/>
          </w:rPr>
          <w:t>Jn 18.19, 22–24</w:t>
        </w:r>
      </w:hyperlink>
      <w:r>
        <w:t xml:space="preserve"> ; </w:t>
      </w:r>
      <w:hyperlink r:id="rId525">
        <w:r>
          <w:rPr>
            <w:color w:val="0000EE"/>
            <w:u w:val="single"/>
          </w:rPr>
          <w:t>Ac 4.6</w:t>
        </w:r>
      </w:hyperlink>
      <w:r>
        <w:t>).</w:t>
      </w:r>
    </w:p>
    <w:p>
      <w:r/>
      <w:r>
        <w:t>Anne a interrogé Jésus en privé après son arrestation, avant qu'ils n'emmènent Jésus chez Caïphe (</w:t>
      </w:r>
      <w:hyperlink r:id="rId948">
        <w:r>
          <w:rPr>
            <w:color w:val="0000EE"/>
            <w:u w:val="single"/>
          </w:rPr>
          <w:t>Jn 18.13, 19–24</w:t>
        </w:r>
      </w:hyperlink>
      <w:r>
        <w:t>). Cela montre qu'Anne continuait d'avoir du pouvoir parmi les chefs religieux juifs.</w:t>
      </w:r>
    </w:p>
    <w:p>
      <w:r/>
      <w:r>
        <w:t>Le livre des Actes nous dit qu'Anne a aidé à interroger Pierre et Jean au sujet de leur enseignement (</w:t>
      </w:r>
      <w:hyperlink r:id="rId949">
        <w:r>
          <w:rPr>
            <w:color w:val="0000EE"/>
            <w:u w:val="single"/>
          </w:rPr>
          <w:t>Ac 4.6–21</w:t>
        </w:r>
      </w:hyperlink>
      <w:r>
        <w:t>). À la différence de ce qui est arrivé à Jésus, qui a été mis à mort, les chefs religieux ont averti Pierre et Jean d'arrêter d'enseigner au sujet de Jésus, mais les ont ensuite laissés partir libres.</w:t>
      </w:r>
      <w:r/>
      <w:r/>
    </w:p>
    <w:p>
      <w:r/>
    </w:p>
    <w:p>
      <w:pPr>
        <w:pStyle w:val="Heading2"/>
      </w:pPr>
      <w:r>
        <w:t>Année du jubilé</w:t>
      </w:r>
      <w:r/>
    </w:p>
    <w:p>
      <w:r/>
      <w:r>
        <w:t>Année d'émancipation et de restauration qui devait être célébrée tous les cinquante ans. Pour Israël, la septième année exprimait, sur un temps long, les valeurs du sabbat du septième jour (</w:t>
      </w:r>
      <w:hyperlink r:id="rId950">
        <w:r>
          <w:rPr>
            <w:color w:val="0000EE"/>
            <w:u w:val="single"/>
          </w:rPr>
          <w:t>Lv 25.1–7</w:t>
        </w:r>
      </w:hyperlink>
      <w:r>
        <w:t>). Lorsqu'une série de sept années atteignait la perfection de sept fois sept, la cinquantième année était annoncée par la trompette du jubilé et une année entière supplémentaire était mise de côté comme appartenant au Seigneur.</w:t>
      </w:r>
    </w:p>
    <w:p>
      <w:r/>
      <w:r>
        <w:t xml:space="preserve">Le mot « jubilé » signifie simplement corne de bélier ; il en est venu à désigner une trompette fabriquée à partir d'une corne de bélier ou en forme de corne de bélier. Ces cornes étaient exclusivement destinées à un usage religieux. La trompette sacrée a donné son nom à l'année de la corne de bélier, l'année du jubilé, une année à laquelle le peuple de Dieu était convoqué de manière marquante et sainte. Ce n'était pas qu'une libération du travail, ni juste un temps de repos, mais une année qui appartenait au Seigneur. Dans </w:t>
      </w:r>
      <w:hyperlink r:id="rId951">
        <w:r>
          <w:rPr>
            <w:color w:val="0000EE"/>
            <w:u w:val="single"/>
          </w:rPr>
          <w:t>Lévitique 25</w:t>
        </w:r>
      </w:hyperlink>
      <w:r>
        <w:t>, cette expression exacte apparaît en rapport avec la septième année plutôt qu'explicitement avec l'année du jubilé. Fonctionnellement, une telle année constituait un repos sabbatique pour la terre, et elle apportait honneur à l'Éternel (</w:t>
      </w:r>
      <w:hyperlink r:id="rId952">
        <w:r>
          <w:rPr>
            <w:color w:val="0000EE"/>
            <w:u w:val="single"/>
          </w:rPr>
          <w:t>Lv 25.4</w:t>
        </w:r>
      </w:hyperlink>
      <w:r>
        <w:t>). Cependant rien ne pouvait exprimer plus directement les implications et orientations de la cinquantième année.</w:t>
      </w:r>
    </w:p>
    <w:p>
      <w:pPr>
        <w:pStyle w:val="Heading3"/>
      </w:pPr>
      <w:r>
        <w:t>Seigneurie</w:t>
      </w:r>
    </w:p>
    <w:p>
      <w:r/>
      <w:r>
        <w:t xml:space="preserve">Le premier principe du jubilé est la souveraineté de Dieu sur toute la terre, reconnue par son peuple dans leur obéissance à son commandement de mettre l'année à part de cette manière. Tout comme le sabbat exprimait son droit d'ordonner la vie, la formant autour de six jours de travail et un jour de repos, et tout comme la septième année, liée dans </w:t>
      </w:r>
      <w:hyperlink r:id="rId953">
        <w:r>
          <w:rPr>
            <w:color w:val="0000EE"/>
            <w:u w:val="single"/>
          </w:rPr>
          <w:t>Deutéronome 31.9–13</w:t>
        </w:r>
      </w:hyperlink>
      <w:r>
        <w:t xml:space="preserve"> à la lecture de sa loi, exprimait son droit de commander l'obéissance de son peuple, ainsi la cinquantième année exprimait sa possession souveraine de toutes choses : la terre, le peuple, les moyens de production, et la vie elle-même. Prenons le cas typique du débiteur et du créancier. Lorsque Dieu a conduit son peuple à posséder la terre, il a donné à chacun son héritage. Dans une circonstance donnée, un homme pourrait être contraint de vendre sa terre en tout ou en partie, mais elle devait lui revenir : « </w:t>
      </w:r>
      <w:r>
        <w:t>Les terres ne se vendront point à perpétuité</w:t>
      </w:r>
      <w:r>
        <w:t xml:space="preserve"> </w:t>
      </w:r>
      <w:r>
        <w:t>; car le pays est à moi, car vous êtes chez moi comme étrangers et comme habitants</w:t>
      </w:r>
      <w:r>
        <w:t xml:space="preserve"> » (</w:t>
      </w:r>
      <w:hyperlink r:id="rId954">
        <w:r>
          <w:rPr>
            <w:color w:val="0000EE"/>
            <w:u w:val="single"/>
          </w:rPr>
          <w:t>Lv 25.23</w:t>
        </w:r>
      </w:hyperlink>
      <w:r>
        <w:t>). Dans ce verset, « étrangers » signifie « apatrides », « réfugiés », « demandeurs d'asile politique » ; en un mot, ceux qui n'ont aucun droit sauf ce que la miséricorde leur concède. Tels étaient le peuple de Dieu et tels devaient-ils se reconnaître lorsque venait l'année du jubilé. Lorsqu'un bien immobilier changeait de mains, le vendeur pouvait se féliciter de l'astuce avec laquelle il avait résolu son problème, et l'acheteur pouvait se réjouir de son habileté à acquérir, mais dans l'année du jubilé, le vendeur et l'acheteur étaient tous deux contraints de confesser une vérité différente : ni l'un ni l'autre n'est maître, ni de son propre bien-être ni de la personne et des biens d'un autre. Chacun a un Maître au ciel.</w:t>
      </w:r>
    </w:p>
    <w:p>
      <w:pPr>
        <w:pStyle w:val="Heading3"/>
      </w:pPr>
      <w:r>
        <w:t>Rédemption</w:t>
      </w:r>
    </w:p>
    <w:p>
      <w:r/>
      <w:r>
        <w:t>Selon l'ordonnance, la trompette qui annonçait l'année était sonnée le Jour des Expiations (</w:t>
      </w:r>
      <w:hyperlink r:id="rId955">
        <w:r>
          <w:rPr>
            <w:color w:val="0000EE"/>
            <w:u w:val="single"/>
          </w:rPr>
          <w:t>Lv 25.9</w:t>
        </w:r>
      </w:hyperlink>
      <w:r>
        <w:t>). C'était le jour où le Seigneur proclamait que son peuple était pur devant lui de tous ses péchés (</w:t>
      </w:r>
      <w:hyperlink r:id="rId956">
        <w:r>
          <w:rPr>
            <w:color w:val="0000EE"/>
            <w:u w:val="single"/>
          </w:rPr>
          <w:t>16.30</w:t>
        </w:r>
      </w:hyperlink>
      <w:r>
        <w:t>). Le pardon des péchés inaugurait l'année du jubilé. Le verbe « racheter » et le nom « rédemption » avaient une forte connotation commerciale dans la récupération de biens engagés contre des prêts d'argent, et durant la cinquantième année, ces mots auraient résonné alors que les débiteurs confessaient qu'ils ne pouvaient pas « racheter » et les créanciers renonçaient à leurs droits de « rédemption », chacun utilisant le même vocabulaire qui parlait de l'action du Seigneur lors de l'exode (</w:t>
      </w:r>
      <w:hyperlink r:id="rId957">
        <w:r>
          <w:rPr>
            <w:color w:val="0000EE"/>
            <w:u w:val="single"/>
          </w:rPr>
          <w:t>Ex 6.6</w:t>
        </w:r>
      </w:hyperlink>
      <w:r>
        <w:t>). Voilà ce que le Seigneur avait fait pour son peuple, et l'action divine sert de barème pour l'être l'humain. La générosité fraternelle est encouragée (</w:t>
      </w:r>
      <w:hyperlink r:id="rId958">
        <w:r>
          <w:rPr>
            <w:color w:val="0000EE"/>
            <w:u w:val="single"/>
          </w:rPr>
          <w:t>Lv 25.35–38</w:t>
        </w:r>
      </w:hyperlink>
      <w:r>
        <w:t xml:space="preserve">), la liberté est accordée (v. </w:t>
      </w:r>
      <w:hyperlink r:id="rId959">
        <w:r>
          <w:rPr>
            <w:color w:val="0000EE"/>
            <w:u w:val="single"/>
          </w:rPr>
          <w:t>39–43</w:t>
        </w:r>
      </w:hyperlink>
      <w:r>
        <w:t xml:space="preserve">), et l'esclavage à perpétuité est interdit (v. </w:t>
      </w:r>
      <w:hyperlink r:id="rId960">
        <w:r>
          <w:rPr>
            <w:color w:val="0000EE"/>
            <w:u w:val="single"/>
          </w:rPr>
          <w:t>47–55</w:t>
        </w:r>
      </w:hyperlink>
      <w:r>
        <w:t>) simplement parce que l'acte rédempteur divin transforme les rachetés en frères, les amène dans la servitude du Seigneur, et annule la servitude qui autrement serait la leur pour toujours.</w:t>
      </w:r>
    </w:p>
    <w:p>
      <w:pPr>
        <w:pStyle w:val="Heading3"/>
      </w:pPr>
      <w:r>
        <w:t>Repos</w:t>
      </w:r>
    </w:p>
    <w:p>
      <w:r/>
      <w:r>
        <w:t>Le corrélatif de la rédemption est le repos. Ce dernier est vivement illustré et renforcé lorsque Moïse légifère le repos de tout le labeur lié à la promotion de la récolte de l'année suivante (</w:t>
      </w:r>
      <w:hyperlink r:id="rId952">
        <w:r>
          <w:rPr>
            <w:color w:val="0000EE"/>
            <w:u w:val="single"/>
          </w:rPr>
          <w:t>Lv 25.4</w:t>
        </w:r>
      </w:hyperlink>
      <w:r>
        <w:t xml:space="preserve">) ; repos du labeur de la moisson, car le peuple de Dieu devait vivre au jour le jour, ne récoltant que ce que le besoin dictait et quand il le dictait (v. </w:t>
      </w:r>
      <w:hyperlink r:id="rId961">
        <w:r>
          <w:rPr>
            <w:color w:val="0000EE"/>
            <w:u w:val="single"/>
          </w:rPr>
          <w:t>5–7</w:t>
        </w:r>
      </w:hyperlink>
      <w:r>
        <w:t xml:space="preserve">) ; repos du fardeau anxieux des dettes contractées ; et repos de l'esclavage (v. </w:t>
      </w:r>
      <w:hyperlink r:id="rId962">
        <w:r>
          <w:rPr>
            <w:color w:val="0000EE"/>
            <w:u w:val="single"/>
          </w:rPr>
          <w:t>10</w:t>
        </w:r>
      </w:hyperlink>
      <w:r>
        <w:t xml:space="preserve">). À l'instar du sabbat, ce repos était à comprendre au sens propre : liberté vis-à-vis du labeur ; détente, rafraîchissement et récréation. La fatigue était sans doute tout aussi endémique parmi le peuple de Dieu qu'elle l'est maintenant, et la grâce de Dieu les touchait en vue de leur offrir des vacances. Mais tout comme avec le sabbat, la libération des préoccupations de la survie offrait du temps pour se préoccuper du Seigneur, de sa louange, de sa Parole, et de la vie qui lui plaît. Nous pouvons voir dans </w:t>
      </w:r>
      <w:hyperlink r:id="rId963">
        <w:r>
          <w:rPr>
            <w:color w:val="0000EE"/>
            <w:u w:val="single"/>
          </w:rPr>
          <w:t>Ésaïe 58</w:t>
        </w:r>
      </w:hyperlink>
      <w:r>
        <w:t xml:space="preserve"> une association des idéaux du sabbat et du jubilé. Le Seigneur libère son peuple non pas pour une oisiveté ininterrompue mais pour la réorientation de la vie vers lui-même. L'année de jubilé était donc un choix délibéré de sortir de la course effrénée ; elle mettait un terme à l'esprit d'acquisition ; elle nous faisait abandonner la préoccupation de la pression de la survie. Elle réorganisait les priorités, donnant l'occasion d'évaluer l'utilisation du temps et la sélection des objectifs. Pendant une année entière, le peuple de Dieu prenait du recul, se reposait, cessait les choses bonnes pour atteindre les choses les meilleures.</w:t>
      </w:r>
    </w:p>
    <w:p>
      <w:pPr>
        <w:pStyle w:val="Heading3"/>
      </w:pPr>
      <w:r>
        <w:t>Foi</w:t>
      </w:r>
    </w:p>
    <w:p>
      <w:r/>
      <w:r>
        <w:t>Ce recul par rapport à la vie ne se faisait toutefois pas dans le style d'un marginal. Il s'agissait d'un acte de foi responsable. Personne sur terre ne peut échapper à des questions telles que : « Que mangerons-nous ? » Le Seigneur prévoit et pourvoit (</w:t>
      </w:r>
      <w:hyperlink r:id="rId964">
        <w:r>
          <w:rPr>
            <w:color w:val="0000EE"/>
            <w:u w:val="single"/>
          </w:rPr>
          <w:t>Lv 25.20</w:t>
        </w:r>
      </w:hyperlink>
      <w:r>
        <w:t xml:space="preserve">) ; la grâce pourvoit afin que le peuple de Dieu puisse profiter des ordonnances de la grâce (voir </w:t>
      </w:r>
      <w:hyperlink r:id="rId965">
        <w:r>
          <w:rPr>
            <w:color w:val="0000EE"/>
            <w:u w:val="single"/>
          </w:rPr>
          <w:t>Ex 16.29</w:t>
        </w:r>
      </w:hyperlink>
      <w:r>
        <w:t>). Lorsqu'il commande une année de repos, il leur permet de la prendre. La cinquantième année était un témoignage vivant de sa fidélité. La dernière saison de semailles et de récoltes aurait été la quarante-neuvième année ; durant la dernière septièe année de la série, le peuple vivrait des pousses spontanées ; et durant la cinquantième année, rien d'autre que la pure fidélité attentive de leur Dieu ne pourrait pourvoir à leurs besoins (</w:t>
      </w:r>
      <w:hyperlink r:id="rId966">
        <w:r>
          <w:rPr>
            <w:color w:val="0000EE"/>
            <w:u w:val="single"/>
          </w:rPr>
          <w:t>Lv 25.21</w:t>
        </w:r>
      </w:hyperlink>
      <w:r>
        <w:t>). Ici, en effet, leur foi serait mise à l'épreuve, car Dieu prononçait une parole de promesse majestueuse et les appelait à croire. Au cœur de leur jubilé, ils prenaient Dieu au mot et le trouvaient fidèle.</w:t>
      </w:r>
    </w:p>
    <w:p>
      <w:pPr>
        <w:pStyle w:val="Heading3"/>
      </w:pPr>
      <w:r>
        <w:t>Obéissance</w:t>
      </w:r>
    </w:p>
    <w:p>
      <w:r/>
      <w:r>
        <w:t xml:space="preserve">Bibliquement, il est une caractéristique centrale du peuple de Dieu qu'ils fassent ce qu'il commande par pure obéissance à son commandement, sans autre motif. Dans l'ordonnance de la cinquantième année, le peuple de Dieu devait se montrer obéissant, et leur obéissance était la garantie qu'ils pourraient rester dans le pays qu'il leur a accordé. Ainsi, par exemple, </w:t>
      </w:r>
      <w:hyperlink r:id="rId967">
        <w:r>
          <w:rPr>
            <w:color w:val="0000EE"/>
            <w:u w:val="single"/>
          </w:rPr>
          <w:t>Lévitique 26.34–35</w:t>
        </w:r>
      </w:hyperlink>
      <w:r>
        <w:t xml:space="preserve"> enseigne que la perte de leur tenure de la terre et la perte de leur liberté seraient directement liées à la violation du principe du sabbat, trouvé le septième jour, la septième année, et dans l'année du jubilé. Le refus d'obéir va de pair avec la perte de possession, laissant derrière eux un pays vide, qui pourrait profiter alors du repos sabbatique qu'il n'aurait jamais reçu de ses habitants désobéissants.</w:t>
      </w:r>
    </w:p>
    <w:p>
      <w:pPr>
        <w:pStyle w:val="Heading3"/>
      </w:pPr>
      <w:r>
        <w:t>Espérance</w:t>
      </w:r>
    </w:p>
    <w:p>
      <w:r/>
      <w:r>
        <w:t>Dans la cinquantième année, le peuple vivait à la lumière du pardon des péchés, marchait dans l'obéissance en harmonie avec le Dieu qui les avait rachetés et, libéré du labeur, recevait de la terre ses bienfaits vitaux sans aucune sueur sur leur front (</w:t>
      </w:r>
      <w:hyperlink r:id="rId968">
        <w:r>
          <w:rPr>
            <w:color w:val="0000EE"/>
            <w:u w:val="single"/>
          </w:rPr>
          <w:t>Gn 2.16</w:t>
        </w:r>
      </w:hyperlink>
      <w:r>
        <w:t xml:space="preserve"> ; </w:t>
      </w:r>
      <w:hyperlink r:id="rId247">
        <w:r>
          <w:rPr>
            <w:color w:val="0000EE"/>
            <w:u w:val="single"/>
          </w:rPr>
          <w:t>3.19</w:t>
        </w:r>
      </w:hyperlink>
      <w:r>
        <w:t>). Il s'agissait d'une sorte d'Éden restauré, la malédiction momentanément suspendue ; mais également un avant-goût prolongé du jour à venir où les promesses seraient toutes accomplies, le sang de l'alliance efficace sans entrave, les prisonniers de l'espérance (c'est-à-dire ceux qui avaient attendu dans l'espoir de leur libération) libérés, et la trompette de la libération entendue à travers le monde (</w:t>
      </w:r>
      <w:hyperlink r:id="rId969">
        <w:r>
          <w:rPr>
            <w:color w:val="0000EE"/>
            <w:u w:val="single"/>
          </w:rPr>
          <w:t>Es 27.13</w:t>
        </w:r>
      </w:hyperlink>
      <w:r>
        <w:t xml:space="preserve"> ; </w:t>
      </w:r>
      <w:hyperlink r:id="rId970">
        <w:r>
          <w:rPr>
            <w:color w:val="0000EE"/>
            <w:u w:val="single"/>
          </w:rPr>
          <w:t>Za 9.11–14</w:t>
        </w:r>
      </w:hyperlink>
      <w:r>
        <w:t>). L'Année du Jubilé préfigurait de manière limitée mais réelle ce qui serait encore l'héritage éternel et la félicité du peuple de Dieu.</w:t>
      </w:r>
    </w:p>
    <w:p>
      <w:r/>
      <w:r>
        <w:rPr>
          <w:i/>
        </w:rPr>
        <w:t>Voir aussi</w:t>
      </w:r>
      <w:r>
        <w:t xml:space="preserve"> </w:t>
      </w:r>
      <w:r>
        <w:t>Fêtes et festivals d'Israël</w:t>
      </w:r>
      <w:r>
        <w:t>.</w:t>
      </w:r>
      <w:r/>
      <w:r/>
    </w:p>
    <w:p>
      <w:r/>
    </w:p>
    <w:p>
      <w:pPr>
        <w:pStyle w:val="Heading2"/>
      </w:pPr>
      <w:r>
        <w:t>Annonciation</w:t>
      </w:r>
      <w:r/>
    </w:p>
    <w:p>
      <w:r/>
      <w:r>
        <w:t>Le mot « Annonciation » se réfère à un événement important dans la foi chrétienne lorsqu'un ange nommé Gabriel est venu voir une jeune femme nommée Marie. Gabriel a dit à Marie que le Saint-Esprit de Dieu lui donnerait un fils de manière miraculeuse (</w:t>
      </w:r>
      <w:hyperlink r:id="rId971">
        <w:r>
          <w:rPr>
            <w:color w:val="0000EE"/>
            <w:u w:val="single"/>
          </w:rPr>
          <w:t>Lc 1.26–38</w:t>
        </w:r>
      </w:hyperlink>
      <w:r>
        <w:t>).</w:t>
      </w:r>
    </w:p>
    <w:p>
      <w:pPr>
        <w:pStyle w:val="Heading3"/>
      </w:pPr>
      <w:r>
        <w:t>Le Message de l'ange à Marie</w:t>
      </w:r>
    </w:p>
    <w:p>
      <w:r/>
      <w:r>
        <w:t xml:space="preserve">Marie ferait face à de nombreuses difficultés parce qu'elle était tombée enceinte avant le mariage. Mais l'ange Gabriel l'a saluée avec des paroles spéciales, disant qu'« </w:t>
      </w:r>
      <w:r>
        <w:t>une grâce [lui] a été faite</w:t>
      </w:r>
      <w:r>
        <w:t xml:space="preserve"> » et que « </w:t>
      </w:r>
      <w:r>
        <w:t>le Seigneur est avec [elle]</w:t>
      </w:r>
      <w:r>
        <w:t xml:space="preserve"> » (</w:t>
      </w:r>
      <w:hyperlink r:id="rId972">
        <w:r>
          <w:rPr>
            <w:color w:val="0000EE"/>
            <w:u w:val="single"/>
          </w:rPr>
          <w:t>Lc 1.28</w:t>
        </w:r>
      </w:hyperlink>
      <w:r>
        <w:t>). Comme toutes les personnes qui rencontrent des anges dans la Bible, Marie a eu peur en voyant Gabriel. Elle se demandait de quel genre de salutation il pouvait bien s'agir (</w:t>
      </w:r>
      <w:hyperlink r:id="rId973">
        <w:r>
          <w:rPr>
            <w:color w:val="0000EE"/>
            <w:u w:val="single"/>
          </w:rPr>
          <w:t>Lc 1.29</w:t>
        </w:r>
      </w:hyperlink>
      <w:r>
        <w:t>). Gabriel l'a réconfortée et lui a dit que Dieu l'avait choisie pour avoir un fils, qui serait nommé Jésus.</w:t>
      </w:r>
    </w:p>
    <w:p>
      <w:r/>
      <w:r>
        <w:t xml:space="preserve">« Jésus » est la forme grecque du nom hébreu « Josué », qui signifie « le Seigneur est salut ». Matthieu décrit l'apparition d'un ange à Joseph pour annoncer également que Marie était enceinte d'un enfant conçu par le Saint-Esprit, celui qui serait appelé Jésus, car « </w:t>
      </w:r>
      <w:r>
        <w:t>c’est lui qui sauvera son peuple de ses péchés</w:t>
      </w:r>
      <w:r>
        <w:t xml:space="preserve"> » (</w:t>
      </w:r>
      <w:hyperlink r:id="rId974">
        <w:r>
          <w:rPr>
            <w:color w:val="0000EE"/>
            <w:u w:val="single"/>
          </w:rPr>
          <w:t>Mt 1.18–21</w:t>
        </w:r>
      </w:hyperlink>
      <w:r>
        <w:t>).</w:t>
      </w:r>
    </w:p>
    <w:p>
      <w:pPr>
        <w:pStyle w:val="Heading3"/>
      </w:pPr>
      <w:r>
        <w:t>La Promesse de Dieu concernant Jésus</w:t>
      </w:r>
    </w:p>
    <w:p>
      <w:r/>
      <w:r>
        <w:t>En utilisant des figures de style tirées de l'Ancien Testament, Gabriel prophétise au sujet de l'enfant que Marie porterait (</w:t>
      </w:r>
      <w:hyperlink r:id="rId975">
        <w:r>
          <w:rPr>
            <w:color w:val="0000EE"/>
            <w:u w:val="single"/>
          </w:rPr>
          <w:t>Lc 1.32–33</w:t>
        </w:r>
      </w:hyperlink>
      <w:r>
        <w:t>). Comme Jean le Baptiste, Jésus serait grand. La grandeur de Jésus serait d'un autre genre. Jean devait être « grand devant le Seigneur » (</w:t>
      </w:r>
      <w:hyperlink r:id="rId976">
        <w:r>
          <w:rPr>
            <w:color w:val="0000EE"/>
            <w:u w:val="single"/>
          </w:rPr>
          <w:t>Lc 1.15</w:t>
        </w:r>
      </w:hyperlink>
      <w:r>
        <w:t>), mais Jésus serait grand et serait « appelé Fils du Très-Haut » (</w:t>
      </w:r>
      <w:hyperlink r:id="rId977">
        <w:r>
          <w:rPr>
            <w:color w:val="0000EE"/>
            <w:u w:val="single"/>
          </w:rPr>
          <w:t>Lc 1.32</w:t>
        </w:r>
      </w:hyperlink>
      <w:r>
        <w:t>).</w:t>
      </w:r>
    </w:p>
    <w:p>
      <w:r/>
      <w:r>
        <w:t>Jésus recevrait le trône de son père David (</w:t>
      </w:r>
      <w:hyperlink r:id="rId977">
        <w:r>
          <w:rPr>
            <w:color w:val="0000EE"/>
            <w:u w:val="single"/>
          </w:rPr>
          <w:t>Lc 1.32</w:t>
        </w:r>
      </w:hyperlink>
      <w:r>
        <w:t>). Il recevrait le pouvoir de régner promis dans l'Ancien Testament au Messie-Roi de la lignée de David. Le Messie ou « oint » était une figure de roi ou de prêtre. Contrairement à David, Jésus régnerait pour toujours (</w:t>
      </w:r>
      <w:hyperlink r:id="rId978">
        <w:r>
          <w:rPr>
            <w:color w:val="0000EE"/>
            <w:u w:val="single"/>
          </w:rPr>
          <w:t>2S 7.12–16</w:t>
        </w:r>
      </w:hyperlink>
      <w:r>
        <w:t xml:space="preserve"> ; </w:t>
      </w:r>
      <w:hyperlink r:id="rId979">
        <w:r>
          <w:rPr>
            <w:color w:val="0000EE"/>
            <w:u w:val="single"/>
          </w:rPr>
          <w:t>Ps 2.7</w:t>
        </w:r>
      </w:hyperlink>
      <w:r>
        <w:t xml:space="preserve"> ; </w:t>
      </w:r>
      <w:hyperlink r:id="rId980">
        <w:r>
          <w:rPr>
            <w:color w:val="0000EE"/>
            <w:u w:val="single"/>
          </w:rPr>
          <w:t>89.26–29</w:t>
        </w:r>
      </w:hyperlink>
      <w:r>
        <w:t>).</w:t>
      </w:r>
    </w:p>
    <w:p>
      <w:r/>
      <w:r>
        <w:t xml:space="preserve">La question de Marie dans </w:t>
      </w:r>
      <w:hyperlink r:id="rId981">
        <w:r>
          <w:rPr>
            <w:color w:val="0000EE"/>
            <w:u w:val="single"/>
          </w:rPr>
          <w:t>Luc 1.34</w:t>
        </w:r>
      </w:hyperlink>
      <w:r>
        <w:t xml:space="preserve"> (« </w:t>
      </w:r>
      <w:r>
        <w:t>Comment cela se fera-t-il, puisque je ne connais point d’homme</w:t>
      </w:r>
      <w:r>
        <w:t xml:space="preserve"> » n'exprimait pas le doute. Elle exprimait plutôt sa curiosité quant à la manière dont l'événement devait se produire. Gabriel expliquera que « la puissance du Très-Haut », le Saint-Esprit, « couvrirait » Marie. Son enfant serait conçu par la puissance de Dieu, comme aucun enfant auparavant.</w:t>
      </w:r>
    </w:p>
    <w:p>
      <w:r/>
      <w:r>
        <w:t>Gabriel rassure Marie : « Rien n'est impossible à Dieu. » Cela fait écho à la parole du Seigneur à Sara lorsqu'il annonce la naissance d'Isaac (</w:t>
      </w:r>
      <w:hyperlink r:id="rId982">
        <w:r>
          <w:rPr>
            <w:color w:val="0000EE"/>
            <w:u w:val="single"/>
          </w:rPr>
          <w:t>Gn 18.10–14</w:t>
        </w:r>
      </w:hyperlink>
      <w:r>
        <w:t>). Parce que Jésus a été conçu par le Saint-Esprit, il serait appelé le « saint » et reconnu comme « Fils de Dieu » (</w:t>
      </w:r>
      <w:hyperlink r:id="rId983">
        <w:r>
          <w:rPr>
            <w:color w:val="0000EE"/>
            <w:u w:val="single"/>
          </w:rPr>
          <w:t>Lc 1.35</w:t>
        </w:r>
      </w:hyperlink>
      <w:r>
        <w:t>).</w:t>
      </w:r>
    </w:p>
    <w:p>
      <w:pPr>
        <w:pStyle w:val="Heading3"/>
      </w:pPr>
      <w:r>
        <w:t>Réponse et héritage de Marie</w:t>
      </w:r>
    </w:p>
    <w:p>
      <w:r/>
      <w:r>
        <w:t xml:space="preserve">Il faudra du courage à Marie pour répondre à Gabriel : « Je suis la servante du Seigneur » et « </w:t>
      </w:r>
      <w:r>
        <w:t>qu’il me soit fait selon ta parole</w:t>
      </w:r>
      <w:r>
        <w:t xml:space="preserve"> » (</w:t>
      </w:r>
      <w:hyperlink r:id="rId984">
        <w:r>
          <w:rPr>
            <w:color w:val="0000EE"/>
            <w:u w:val="single"/>
          </w:rPr>
          <w:t>Lc 1.38</w:t>
        </w:r>
      </w:hyperlink>
      <w:r>
        <w:t>). En tant que servante ou esclave, Marie ne pouvait que faire la volonté de son maître. Cependant, en tant que femme enceinte non mariée, elle faisait face à la possibilité de la disgrâce (</w:t>
      </w:r>
      <w:hyperlink r:id="rId985">
        <w:r>
          <w:rPr>
            <w:color w:val="0000EE"/>
            <w:u w:val="single"/>
          </w:rPr>
          <w:t>Mt 1.19</w:t>
        </w:r>
      </w:hyperlink>
      <w:r>
        <w:t>). Elle risquait même la peine de mort (</w:t>
      </w:r>
      <w:hyperlink r:id="rId986">
        <w:r>
          <w:rPr>
            <w:color w:val="0000EE"/>
            <w:u w:val="single"/>
          </w:rPr>
          <w:t>Dt 22.20–24</w:t>
        </w:r>
      </w:hyperlink>
      <w:r>
        <w:t xml:space="preserve"> ; </w:t>
      </w:r>
      <w:hyperlink r:id="rId987">
        <w:r>
          <w:rPr>
            <w:color w:val="0000EE"/>
            <w:u w:val="single"/>
          </w:rPr>
          <w:t>Jn 8.3–5</w:t>
        </w:r>
      </w:hyperlink>
      <w:r>
        <w:t xml:space="preserve">). Cependant, Marie comprenait qu'en raison de la grande chose que Dieu ferait en elle, « </w:t>
      </w:r>
      <w:r>
        <w:t>désormais toutes les générations [la] diront bienheureuse</w:t>
      </w:r>
      <w:r>
        <w:t xml:space="preserve"> » (</w:t>
      </w:r>
      <w:hyperlink r:id="rId988">
        <w:r>
          <w:rPr>
            <w:color w:val="0000EE"/>
            <w:u w:val="single"/>
          </w:rPr>
          <w:t>Lc 1.48</w:t>
        </w:r>
      </w:hyperlink>
      <w:r>
        <w:t>).</w:t>
      </w:r>
    </w:p>
    <w:p>
      <w:r/>
      <w:r>
        <w:t>Étant donné que le 25 décembre est célébré comme la date traditionnelle de la naissance de Christ, les Églises qui suivent un calendrier liturgique structuré célèbrent la fête de l'Annonciation (Incarnation) neuf mois plus tôt, le 25 mars.</w:t>
      </w:r>
    </w:p>
    <w:p>
      <w:r/>
      <w:r>
        <w:rPr>
          <w:i/>
        </w:rPr>
        <w:t>Voir aussi</w:t>
      </w:r>
      <w:r>
        <w:t xml:space="preserve"> </w:t>
      </w:r>
      <w:r>
        <w:t>Naissance virginale de Jésus</w:t>
      </w:r>
      <w:r>
        <w:t>.</w:t>
      </w:r>
      <w:r/>
      <w:r/>
    </w:p>
    <w:p>
      <w:r/>
    </w:p>
    <w:p>
      <w:pPr>
        <w:pStyle w:val="Heading2"/>
      </w:pPr>
      <w:r>
        <w:t>Antioche de Pisidie</w:t>
      </w:r>
      <w:r/>
    </w:p>
    <w:p>
      <w:r/>
      <w:r>
        <w:t>Ville en Asie Mineure située entre les districts de Phrygie et de Pisidie. L'apôtre Paul s'y est rendu pour introduire l'Évangile. Paul a été invité par les anciens de la synagogue à Antioche. Ils l'ont invité à délivrer tout message d'encouragement qu'il pourrait avoir à leur apporter lors de leur réunion du sabbat ou du samedi (</w:t>
      </w:r>
      <w:hyperlink r:id="rId989">
        <w:r>
          <w:rPr>
            <w:color w:val="0000EE"/>
            <w:u w:val="single"/>
          </w:rPr>
          <w:t>Ac 13.14–15</w:t>
        </w:r>
      </w:hyperlink>
      <w:r>
        <w:t>).</w:t>
      </w:r>
    </w:p>
    <w:p>
      <w:r/>
      <w:r>
        <w:t>Selon le récit dans Actes, beaucoup ont désiré en entendre davantage (</w:t>
      </w:r>
      <w:hyperlink r:id="rId990">
        <w:r>
          <w:rPr>
            <w:color w:val="0000EE"/>
            <w:u w:val="single"/>
          </w:rPr>
          <w:t>13.42</w:t>
        </w:r>
      </w:hyperlink>
      <w:r>
        <w:t>). Certains des dirigeants juifs étaient jaloux de Paul parce qu'il était populaire. Ils ont commencé à dire des choses nuisibles à son sujet (</w:t>
      </w:r>
      <w:hyperlink r:id="rId991">
        <w:r>
          <w:rPr>
            <w:color w:val="0000EE"/>
            <w:u w:val="single"/>
          </w:rPr>
          <w:t>13.45</w:t>
        </w:r>
      </w:hyperlink>
      <w:r>
        <w:t>). Paul s'est alors tourné vers les auditeurs gentils (</w:t>
      </w:r>
      <w:hyperlink r:id="rId992">
        <w:r>
          <w:rPr>
            <w:color w:val="0000EE"/>
            <w:u w:val="single"/>
          </w:rPr>
          <w:t>13.46–48</w:t>
        </w:r>
      </w:hyperlink>
      <w:r>
        <w:t>). Certaines des autorités juives l'ont forcé à quitter la ville (</w:t>
      </w:r>
      <w:hyperlink r:id="rId993">
        <w:r>
          <w:rPr>
            <w:color w:val="0000EE"/>
            <w:u w:val="single"/>
          </w:rPr>
          <w:t>13.50</w:t>
        </w:r>
      </w:hyperlink>
      <w:r>
        <w:t>). Les mêmes Juifs d'Antioche ont continué à attaquer Paul alors qu'il voyageait vers Lystre (</w:t>
      </w:r>
      <w:hyperlink r:id="rId994">
        <w:r>
          <w:rPr>
            <w:color w:val="0000EE"/>
            <w:u w:val="single"/>
          </w:rPr>
          <w:t>Ac 14.19</w:t>
        </w:r>
      </w:hyperlink>
      <w:r>
        <w:t>). Paul a traversé Antioche une deuxième fois en se rendant à Perge et Attalie (</w:t>
      </w:r>
      <w:hyperlink r:id="rId995">
        <w:r>
          <w:rPr>
            <w:color w:val="0000EE"/>
            <w:u w:val="single"/>
          </w:rPr>
          <w:t>14.21</w:t>
        </w:r>
      </w:hyperlink>
      <w:r>
        <w:t>).</w:t>
      </w:r>
    </w:p>
    <w:p>
      <w:r/>
      <w:r>
        <w:t>La ville d'Antioche a été construite vers 300 av. J.‑C. par Séleucos Nicator. Il a nommé la ville d'après son fils, Antiochos I. À la suite de la conquête romaine en 188 av. J.‑C., la région a été déclarée libre de la domination des rois séleucides. Les Romains ont immédiatement commencé à la rendre plus semblable à leurs villes. Vers 36 av. J.‑C., Antoine a intégré Antioche au territoire du roi galate, Amyntas. À la mort d'Amyntas 11 ans plus tard, la ville a obtenu le statut de colonie et est devenue Césarée Antiochela. Elle était la capitale de la Galatie méridionale.</w:t>
      </w:r>
      <w:r/>
      <w:r/>
    </w:p>
    <w:p>
      <w:r/>
    </w:p>
    <w:p>
      <w:pPr>
        <w:pStyle w:val="Heading2"/>
      </w:pPr>
      <w:r>
        <w:t>Antioche de Syrie</w:t>
      </w:r>
      <w:r/>
    </w:p>
    <w:p>
      <w:r/>
      <w:r>
        <w:t>La principale ville parmi seize autres portant le même nom. Elle a été construite vers 300 av. J.‑C. par l'empereur syrien Séleucos Ier en l'honneur de son père Antiochus. Cette Antioche correspond à l'Antakya moderne, en Turquie. Elle est située sur une plaine fertile dans une courbe occidentale de l'Oronte qui se jette dans la mer Méditerranée.</w:t>
      </w:r>
    </w:p>
    <w:p>
      <w:pPr>
        <w:pStyle w:val="Heading3"/>
      </w:pPr>
      <w:r>
        <w:t>Où se trouvait Antioche et pourquoi était-elle importante ?</w:t>
      </w:r>
    </w:p>
    <w:p>
      <w:r/>
      <w:r>
        <w:t>Dans l'Antiquité, Antioche était une ville composée de cinq cent mille habitants. Cité animée, située au bord de l'eau, où les bateaux pouvaient parcourir 24 km jusqu'à un port méditerranéen, elle bénéficiait également d'un accès facile par des passages dans les montagnes du Taurus vers l'est, jusqu'à la partie centrale de la Syrie. Sa situation en faisait une ville dynamique au niveau du commerce, de l'activité religieuse et d'une vie intellectuelle et politique de haut niveau. Sous le gouvernement romain, Antioche a reçu une attention particulière sous la forme de magnifiques travaux publics, d'améliorations portuaires et d'avantages commerciaux spéciaux.</w:t>
      </w:r>
    </w:p>
    <w:p>
      <w:pPr>
        <w:pStyle w:val="Heading3"/>
      </w:pPr>
      <w:r>
        <w:t>À quoi ressemblait la vie à Antioche ?</w:t>
      </w:r>
    </w:p>
    <w:p>
      <w:r/>
      <w:r>
        <w:t>La ville présentait à la fois des aspects positifs et négatifs. Tandis que certaines personnes profitaient de l'offre l'artistique de la ville et de ses opportunités en termes d'éducation, d'autres participaient à des sports violents et à des pratiques religieuses dangereuses. Certaines de ces pratiques religieuses incluaient le culte de dieux que les gens croyaient capables d'aider les récoltes à pousser, ainsi que des groupes religieux secrets appelés cultes à mystère. Deux autres groupes importants vivaient à Antioche. L'un était une grande communauté juive qui bénéficiait de droits spéciaux et vivait bien dans la ville. L'autre était un groupe de fonctionnaires qui contribuaient à administrer la ville.</w:t>
      </w:r>
    </w:p>
    <w:p>
      <w:r/>
      <w:r>
        <w:t>De nombreux Juifs à Antioche sont devenus chrétiens et membres de l'Église primitive à Antioche. Les fonctionnaires du gouvernement assuraient une protection policière, ainsi que la stabilité et l'ordre. Ils étaient également friands de modes de vie onéreux. Ils prenaient part aux jeux de hasard, aux courses de chars, aux bordels, aux banquets exotiques et à d'autres activités similaires.</w:t>
      </w:r>
    </w:p>
    <w:p>
      <w:pPr>
        <w:pStyle w:val="Heading3"/>
      </w:pPr>
      <w:r>
        <w:t>Comment Antioche a-t-elle contribué à la propagation du christianisme ?</w:t>
      </w:r>
    </w:p>
    <w:p>
      <w:r/>
      <w:r>
        <w:t>Antioche de Syrie a joué un rôle important dans le livre des Actes. Un homme nommé Nicolas d'Antioche est devenu l'un des premiers diacres de l'Église primitive (</w:t>
      </w:r>
      <w:hyperlink r:id="rId996">
        <w:r>
          <w:rPr>
            <w:color w:val="0000EE"/>
            <w:u w:val="single"/>
          </w:rPr>
          <w:t>Ac 6.5</w:t>
        </w:r>
      </w:hyperlink>
      <w:r>
        <w:t>). Les chrétiens de Jérusalem ont fui vers Antioche en raison d'une persécution féroce (</w:t>
      </w:r>
      <w:hyperlink r:id="rId997">
        <w:r>
          <w:rPr>
            <w:color w:val="0000EE"/>
            <w:u w:val="single"/>
          </w:rPr>
          <w:t>Ac 11.19</w:t>
        </w:r>
      </w:hyperlink>
      <w:r>
        <w:t xml:space="preserve">). </w:t>
      </w:r>
      <w:hyperlink r:id="rId998">
        <w:r>
          <w:rPr>
            <w:color w:val="0000EE"/>
            <w:u w:val="single"/>
          </w:rPr>
          <w:t>Actes 11</w:t>
        </w:r>
      </w:hyperlink>
      <w:r>
        <w:t xml:space="preserve"> nous fournit des détails sur l'enseignement de Barnabas et Paul dans l'Église d'Antioche. Cette dernière était généreuse et représentait une bénédiction pour les chrétiens souffrants à Jérusalem. Le terme « chrétiens » a d'ailleurs été utilisé pour la première fois à Antioche (</w:t>
      </w:r>
      <w:hyperlink r:id="rId999">
        <w:r>
          <w:rPr>
            <w:color w:val="0000EE"/>
            <w:u w:val="single"/>
          </w:rPr>
          <w:t>Ac 11.26</w:t>
        </w:r>
      </w:hyperlink>
      <w:r>
        <w:t xml:space="preserve">). </w:t>
      </w:r>
      <w:hyperlink r:id="rId188">
        <w:r>
          <w:rPr>
            <w:color w:val="0000EE"/>
            <w:u w:val="single"/>
          </w:rPr>
          <w:t>Actes 13</w:t>
        </w:r>
      </w:hyperlink>
      <w:r>
        <w:t xml:space="preserve"> rapporte que c'est de là que les premiers missionnaires ont été envoyés. La déclaration du concile de l'Église de Jérusalem sur les exigences pour les croyants gentils était en partie le résultat du travail parmi les gentils à Antioche (voir </w:t>
      </w:r>
      <w:hyperlink r:id="rId160">
        <w:r>
          <w:rPr>
            <w:color w:val="0000EE"/>
            <w:u w:val="single"/>
          </w:rPr>
          <w:t>Ac 15</w:t>
        </w:r>
      </w:hyperlink>
      <w:r>
        <w:t xml:space="preserve"> et </w:t>
      </w:r>
      <w:hyperlink r:id="rId1000">
        <w:r>
          <w:rPr>
            <w:color w:val="0000EE"/>
            <w:u w:val="single"/>
          </w:rPr>
          <w:t>Ga 2</w:t>
        </w:r>
      </w:hyperlink>
      <w:r>
        <w:t>).</w:t>
      </w:r>
    </w:p>
    <w:p>
      <w:r/>
      <w:r>
        <w:t>Du IIIe siècle jusqu'au VIIIe siècle environ, Antioche était un centre important pour le développement de la théologie chrétienne. L'approche des Écritures et de la nature du Christ adoptée à Antioche avait tendance à être historique et rationnelle. L'approche adoptée à Alexandrie (Égypte), en contraste, était excessivement spiritualisée et allégorique. Des théologiens tels qu'Origène et Clément sont représentatifs de cette interprétation symbolique ou non-littérale en Égypte.</w:t>
      </w:r>
      <w:r/>
      <w:r/>
    </w:p>
    <w:p>
      <w:r/>
    </w:p>
    <w:p>
      <w:pPr>
        <w:pStyle w:val="Heading2"/>
      </w:pPr>
      <w:r>
        <w:t>Antipatris</w:t>
      </w:r>
      <w:r/>
    </w:p>
    <w:p>
      <w:r/>
      <w:r>
        <w:t>Ville située à environ 40 km au sud de Césarée. Elle avait été reconstruite par Hérode le Grand en 9 av. J.‑C. en l'honneur de son père, Antipater. Avant qu'Hérode ne la reconstruise, la ville était connue sous le nom d'Aphek. Lorsque Paul était prisonnier romain, il a voyagé par Antipatris en route de Jérusalem à Césarée (</w:t>
      </w:r>
      <w:hyperlink r:id="rId1001">
        <w:r>
          <w:rPr>
            <w:color w:val="0000EE"/>
            <w:u w:val="single"/>
          </w:rPr>
          <w:t>Ac 23.31</w:t>
        </w:r>
      </w:hyperlink>
      <w:r>
        <w:t>). Antipatris était une station de relais militaire romaine. Elle marquait également la frontière entre la Judée et la Samarie.</w:t>
      </w:r>
    </w:p>
    <w:p>
      <w:r/>
      <w:r>
        <w:rPr>
          <w:i/>
        </w:rPr>
        <w:t>Voir aussi</w:t>
      </w:r>
      <w:r>
        <w:t xml:space="preserve"> </w:t>
      </w:r>
      <w:r>
        <w:t>Aphek</w:t>
      </w:r>
      <w:r>
        <w:t>.</w:t>
      </w:r>
      <w:r/>
      <w:r/>
    </w:p>
    <w:p>
      <w:r/>
    </w:p>
    <w:p>
      <w:pPr>
        <w:pStyle w:val="Heading2"/>
      </w:pPr>
      <w:r>
        <w:t>Aphek</w:t>
      </w:r>
      <w:r/>
    </w:p>
    <w:p>
      <w:pPr>
        <w:pStyle w:val="ListNumber"/>
        <w:spacing w:line="240" w:lineRule="auto"/>
        <w:ind w:left="720"/>
      </w:pPr>
      <w:r/>
      <w:r>
        <w:t>Ville cananéenne à l'ouest du Jourdain. Elle a été conquise par Israël et plus tard incluse dans le territoire d'Éphraïm (</w:t>
      </w:r>
      <w:hyperlink r:id="rId1002">
        <w:r>
          <w:rPr>
            <w:color w:val="0000EE"/>
            <w:u w:val="single"/>
          </w:rPr>
          <w:t>Jos 12.18</w:t>
        </w:r>
      </w:hyperlink>
      <w:r>
        <w:t>). Elle était située près de la source de la rivière Yarkon dans la plaine de Saron. Aphek sera capturée, plus tard, par les Philistins (</w:t>
      </w:r>
      <w:hyperlink r:id="rId1003">
        <w:r>
          <w:rPr>
            <w:color w:val="0000EE"/>
            <w:u w:val="single"/>
          </w:rPr>
          <w:t>1S 4.1</w:t>
        </w:r>
      </w:hyperlink>
      <w:r>
        <w:t xml:space="preserve"> ; </w:t>
      </w:r>
      <w:hyperlink r:id="rId1004">
        <w:r>
          <w:rPr>
            <w:color w:val="0000EE"/>
            <w:u w:val="single"/>
          </w:rPr>
          <w:t>29.1</w:t>
        </w:r>
      </w:hyperlink>
      <w:r>
        <w:t xml:space="preserve">). À l'époque romaine, Hérode le Grand reconstruira la ville et la nommera Antipatris, mentionnée dans </w:t>
      </w:r>
      <w:hyperlink r:id="rId1001">
        <w:r>
          <w:rPr>
            <w:color w:val="0000EE"/>
            <w:u w:val="single"/>
          </w:rPr>
          <w:t>Actes 23.31</w:t>
        </w:r>
      </w:hyperlink>
      <w:r>
        <w:t xml:space="preserve">. Son nom moderne est Ras el-‘Aïn. </w:t>
      </w:r>
      <w:r>
        <w:rPr>
          <w:i/>
        </w:rPr>
        <w:t>Voir aussi</w:t>
      </w:r>
      <w:r>
        <w:t xml:space="preserve"> </w:t>
      </w:r>
      <w:r>
        <w:t>Antipatris</w:t>
      </w:r>
      <w:r>
        <w:t>.</w:t>
      </w:r>
    </w:p>
    <w:p>
      <w:pPr>
        <w:pStyle w:val="ListNumber"/>
        <w:spacing w:line="240" w:lineRule="auto"/>
        <w:ind w:left="720"/>
      </w:pPr>
      <w:r/>
      <w:r>
        <w:t>Localité en Phénicie (Liban moderne), resté non conquis après les campagnes de Josué (</w:t>
      </w:r>
      <w:hyperlink r:id="rId1005">
        <w:r>
          <w:rPr>
            <w:color w:val="0000EE"/>
            <w:u w:val="single"/>
          </w:rPr>
          <w:t>Jos 13.4</w:t>
        </w:r>
      </w:hyperlink>
      <w:r>
        <w:t>). Cet Aphek était probablement situé près de la source du fleuve Ibrahim, à l'est de Byblos.</w:t>
      </w:r>
    </w:p>
    <w:p>
      <w:pPr>
        <w:pStyle w:val="ListNumber"/>
        <w:spacing w:line="240" w:lineRule="auto"/>
        <w:ind w:left="720"/>
      </w:pPr>
      <w:r/>
      <w:r>
        <w:t>Ville attribuée à la tribu d'Aser lors de la distribution des villes conquises (</w:t>
      </w:r>
      <w:hyperlink r:id="rId1006">
        <w:r>
          <w:rPr>
            <w:color w:val="0000EE"/>
            <w:u w:val="single"/>
          </w:rPr>
          <w:t>Jos 19.30</w:t>
        </w:r>
      </w:hyperlink>
      <w:r>
        <w:t>). La tribu d'Aser n'a pas réussi à chasser les habitants païens (</w:t>
      </w:r>
      <w:hyperlink r:id="rId117">
        <w:r>
          <w:rPr>
            <w:color w:val="0000EE"/>
            <w:u w:val="single"/>
          </w:rPr>
          <w:t>Jg 1.31</w:t>
        </w:r>
      </w:hyperlink>
      <w:r>
        <w:t>). Dans ce dernier texte, la ville est orthographiée « Aphik ». Aphek était située sur la plaine d'Acco, à l'emplacement actuel de Tell Kurdaneh près de la source de la rivière Na'main.</w:t>
      </w:r>
    </w:p>
    <w:p>
      <w:pPr>
        <w:pStyle w:val="ListNumber"/>
        <w:spacing w:line="240" w:lineRule="auto"/>
        <w:ind w:left="720"/>
      </w:pPr>
      <w:r/>
      <w:r>
        <w:t>Ville à l'est du Jourdain, située sur la route principale entre Damas et la vallée de Jizreel. Le roi syrien Ben-Hadad, vaincu par le roi Achab d'Israël, se retirera à Aphek. C'est ici qu'un mur tombera pour détruire le reste de son armée (</w:t>
      </w:r>
      <w:hyperlink r:id="rId1007">
        <w:r>
          <w:rPr>
            <w:color w:val="0000EE"/>
            <w:u w:val="single"/>
          </w:rPr>
          <w:t>1R 20.26, 30</w:t>
        </w:r>
      </w:hyperlink>
      <w:r>
        <w:t>). Un siècle plus tard, Élisée prophétisera au roi Joas d'Israël qu'il vaincrait les Syriens dans la même ville (</w:t>
      </w:r>
      <w:hyperlink r:id="rId1008">
        <w:r>
          <w:rPr>
            <w:color w:val="0000EE"/>
            <w:u w:val="single"/>
          </w:rPr>
          <w:t>2R 13.17</w:t>
        </w:r>
      </w:hyperlink>
      <w:r>
        <w:t>).</w:t>
      </w:r>
      <w:r/>
      <w:r/>
    </w:p>
    <w:p>
      <w:r/>
    </w:p>
    <w:p>
      <w:pPr>
        <w:pStyle w:val="Heading2"/>
      </w:pPr>
      <w:r>
        <w:t>Apollonie</w:t>
      </w:r>
      <w:r/>
    </w:p>
    <w:p>
      <w:r/>
      <w:r>
        <w:t>Ville située sur la voie Egnatienne en Macédoine orientale. Paul est passé par Apollonie lors de son deuxième voyage missionnaire (</w:t>
      </w:r>
      <w:hyperlink r:id="rId873">
        <w:r>
          <w:rPr>
            <w:color w:val="0000EE"/>
            <w:u w:val="single"/>
          </w:rPr>
          <w:t>Ac 17.1)</w:t>
        </w:r>
      </w:hyperlink>
      <w:r>
        <w:t>. Il voyageait vers l'ouest de Philippes à Thessalonique, un trajet d'environ 150 km. Apollonie est généralement identifiée à la ville moderne de Pollina.</w:t>
      </w:r>
      <w:r/>
      <w:r/>
    </w:p>
    <w:p>
      <w:r/>
    </w:p>
    <w:p>
      <w:pPr>
        <w:pStyle w:val="Heading2"/>
      </w:pPr>
      <w:r>
        <w:t>Apollos</w:t>
      </w:r>
      <w:r/>
    </w:p>
    <w:p>
      <w:r/>
      <w:r>
        <w:t xml:space="preserve">Apollos était un Juif chrétien qui était un prédicateur habile à l'époque des voyages missionnaires de l'apôtre Paul. Il est né à Alexandrie (Égypte). Le principal passage biblique concernant Apollos est </w:t>
      </w:r>
      <w:hyperlink r:id="rId1009">
        <w:r>
          <w:rPr>
            <w:color w:val="0000EE"/>
            <w:u w:val="single"/>
          </w:rPr>
          <w:t>Actes 18.24–19.1</w:t>
        </w:r>
      </w:hyperlink>
      <w:r>
        <w:t>.</w:t>
      </w:r>
    </w:p>
    <w:p>
      <w:pPr>
        <w:pStyle w:val="Heading3"/>
      </w:pPr>
      <w:r>
        <w:t>Débuts du ministère d'Apollos</w:t>
      </w:r>
    </w:p>
    <w:p>
      <w:r/>
      <w:r>
        <w:t>Originaire d'Alexandrie, Apollos s'est rendu à Éphèse en Asie Mineure. Apollos était très enthousiaste au sujet de sa foi. Il était bien éduqué et connaissait beaucoup de choses sur la culture. Il avait étudié attentivement les Écritures de l'Ancien Testament. Il connaissait la voie du Seigneur et parlait avec audace et ouverture dans la synagogue à Éphèse. Apollos connaissait Jésus et enseignait correctement à son sujet. Cependant, Apollos ne savait que ce que Jean Baptiste avait dit à propos de Jésus. Jean Baptiste était un homme qui est venu avant Jésus pour préparer les gens à son arrivée.</w:t>
      </w:r>
    </w:p>
    <w:p>
      <w:pPr>
        <w:pStyle w:val="Heading3"/>
      </w:pPr>
      <w:r>
        <w:t>Apollos est enseigné par Priscille et d'Aquilas</w:t>
      </w:r>
    </w:p>
    <w:p>
      <w:r/>
      <w:r>
        <w:t>Priscille et Aquilas étaient des amis et anciens associés de Paul. Ils entendent Apollos parler à Éphèse et réalisent qu'il n'avait pas entendu ce qui était arrivé à Jésus. Ils le prennent donc à part en privé et lui expliquent plus clairement la voie de Dieu.</w:t>
      </w:r>
    </w:p>
    <w:p>
      <w:r/>
      <w:r>
        <w:t>Apollos avait été convaincu de l'importance du baptême de Jean et du message de Jean selon lequel Jésus était le Messie (le chef choisi par Dieu). Apollos ne connaissait pas les enseignements tels que la justification par la foi en Christ ou l'œuvre du Saint-Esprit dans le salut. La justification par la foi en Christ signifie être rendu juste avec Dieu en croyant en Jésus. L'œuvre du Saint-Esprit dans le salut est la manière dont l'Esprit de Dieu aide les gens à devenir disciples de Jésus. Priscille et Aquilas ont aidé Apollos à saisir ces informations.</w:t>
      </w:r>
    </w:p>
    <w:p>
      <w:pPr>
        <w:pStyle w:val="Heading3"/>
      </w:pPr>
      <w:r>
        <w:t>Ministère d'Apollos en Grèce</w:t>
      </w:r>
    </w:p>
    <w:p>
      <w:r/>
      <w:r>
        <w:t>Peu après ce temps d'instruction, Apollos quitte Éphèse pour la province romaine d'Achaïe en Grèce. Il apportera des lettres des chrétiens d'Éphèse, qui exhortaient les disciples en Achaïe à accueillir Apollos comme un frère chrétien. À son arrivée, il argumentera avec force et en public avec les Juifs, utilisant sa connaissance des Écritures de l'Ancien Testament pour prouver que Jésus était le Messie.</w:t>
      </w:r>
    </w:p>
    <w:p>
      <w:r/>
      <w:r>
        <w:t>Paul accordait beaucoup de valeur au travail d'Apollos à Corinthe. Paul a décrit Apollos comme celui qui arrosait la graine que Paul avait plantée en tant que fondateur de l'Église (</w:t>
      </w:r>
      <w:hyperlink r:id="rId1010">
        <w:r>
          <w:rPr>
            <w:color w:val="0000EE"/>
            <w:u w:val="single"/>
          </w:rPr>
          <w:t>1Co 3.5–11</w:t>
        </w:r>
      </w:hyperlink>
      <w:r>
        <w:t>). D'après 1 Corinthiens, il est également clair que l'un des groupes divisant l'Église de Corinthe était centré autour d'Apollos. Cependant, Apollos n'en était pas directement responsable (</w:t>
      </w:r>
      <w:hyperlink r:id="rId1011">
        <w:r>
          <w:rPr>
            <w:color w:val="0000EE"/>
            <w:u w:val="single"/>
          </w:rPr>
          <w:t>1Co 1.12</w:t>
        </w:r>
      </w:hyperlink>
      <w:r>
        <w:t xml:space="preserve"> ; </w:t>
      </w:r>
      <w:hyperlink r:id="rId1012">
        <w:r>
          <w:rPr>
            <w:color w:val="0000EE"/>
            <w:u w:val="single"/>
          </w:rPr>
          <w:t>3.1–4</w:t>
        </w:r>
      </w:hyperlink>
      <w:r>
        <w:t>). Paul aura du mal à convaincre Apollos de retourner à Corinthe. Il se peut que ce soit parce qu'Apollos ne voulait pas encourager la perpétuation de ce petit groupe (</w:t>
      </w:r>
      <w:hyperlink r:id="rId1013">
        <w:r>
          <w:rPr>
            <w:color w:val="0000EE"/>
            <w:u w:val="single"/>
          </w:rPr>
          <w:t>1Co 16.12</w:t>
        </w:r>
      </w:hyperlink>
      <w:r>
        <w:t>).</w:t>
      </w:r>
      <w:r/>
      <w:r/>
    </w:p>
    <w:p>
      <w:r/>
    </w:p>
    <w:p>
      <w:pPr>
        <w:pStyle w:val="Heading2"/>
      </w:pPr>
      <w:r>
        <w:t>Apophtegme</w:t>
      </w:r>
      <w:r/>
    </w:p>
    <w:p>
      <w:r/>
      <w:r>
        <w:t xml:space="preserve">Sentence brève et concise ; parole mémorable ayant valeur de maxime. Certains érudits bibliques utilisent le terme </w:t>
      </w:r>
      <w:r>
        <w:rPr>
          <w:i/>
        </w:rPr>
        <w:t>apophtegme</w:t>
      </w:r>
      <w:r>
        <w:t xml:space="preserve"> pour désigner le type d'histoires brèves dans les Evangiles qui se concluent par une sentence de Jésus (</w:t>
      </w:r>
      <w:hyperlink r:id="rId1014">
        <w:r>
          <w:rPr>
            <w:color w:val="0000EE"/>
            <w:u w:val="single"/>
          </w:rPr>
          <w:t xml:space="preserve">Mt 8.18–22 </w:t>
        </w:r>
      </w:hyperlink>
      <w:r>
        <w:t xml:space="preserve">; </w:t>
      </w:r>
      <w:hyperlink r:id="rId1015">
        <w:r>
          <w:rPr>
            <w:color w:val="0000EE"/>
            <w:u w:val="single"/>
          </w:rPr>
          <w:t xml:space="preserve">9.10–13 </w:t>
        </w:r>
      </w:hyperlink>
      <w:r>
        <w:t xml:space="preserve">; </w:t>
      </w:r>
      <w:hyperlink r:id="rId1016">
        <w:r>
          <w:rPr>
            <w:color w:val="0000EE"/>
            <w:u w:val="single"/>
          </w:rPr>
          <w:t>16:1–4</w:t>
        </w:r>
      </w:hyperlink>
      <w:r>
        <w:t xml:space="preserve">; </w:t>
      </w:r>
      <w:hyperlink r:id="rId1017">
        <w:r>
          <w:rPr>
            <w:color w:val="0000EE"/>
            <w:u w:val="single"/>
          </w:rPr>
          <w:t xml:space="preserve">Mc 2.18–22 </w:t>
        </w:r>
      </w:hyperlink>
      <w:r>
        <w:t xml:space="preserve">; </w:t>
      </w:r>
      <w:hyperlink r:id="rId1018">
        <w:r>
          <w:rPr>
            <w:color w:val="0000EE"/>
            <w:u w:val="single"/>
          </w:rPr>
          <w:t xml:space="preserve">10.13–15 </w:t>
        </w:r>
      </w:hyperlink>
      <w:r>
        <w:t xml:space="preserve">; </w:t>
      </w:r>
      <w:hyperlink r:id="rId1019">
        <w:r>
          <w:rPr>
            <w:color w:val="0000EE"/>
            <w:u w:val="single"/>
          </w:rPr>
          <w:t xml:space="preserve">Lc 6.1–5 </w:t>
        </w:r>
      </w:hyperlink>
      <w:r>
        <w:t xml:space="preserve">; </w:t>
      </w:r>
      <w:hyperlink r:id="rId1020">
        <w:r>
          <w:rPr>
            <w:color w:val="0000EE"/>
            <w:u w:val="single"/>
          </w:rPr>
          <w:t>11.37–44)</w:t>
        </w:r>
      </w:hyperlink>
      <w:r>
        <w:t>. Ce type d'histoires sont parfois décrites comme « récits de prononciation », c'est à dire des récits qui servent à rendre un jugement sur un sujet. Les apophtegmes ou apophtegmata (pluriel) n'incluent que peu de contexte historique. Elles contiennent tout juste assez de détails, pas plus qu'il n'en faut pour éclairer la déclaration de Jésus. Ces histoires intéressaient beaucoup l'Église primitive car elles étaient utilisées dans les cultes, pour former les jeunes convertis et pour corriger les fausses doctrines.</w:t>
      </w:r>
      <w:r/>
      <w:r/>
    </w:p>
    <w:p>
      <w:r/>
    </w:p>
    <w:p>
      <w:pPr>
        <w:pStyle w:val="Heading2"/>
      </w:pPr>
      <w:r>
        <w:t>Apostasie</w:t>
      </w:r>
      <w:r/>
    </w:p>
    <w:p>
      <w:r/>
      <w:r>
        <w:t>Se détourner de Dieu en abandonnant ou en rejetant ses croyances autrefois acceptées. Le terme se réfère à un rejet délibéré de la foi par quelqu'un qui croyait auparavant. Il ne s'agit pas d'un manque de compréhension ou d'une erreur. L'apostasie est différente de l'hérésie (le déni d'une partie de la foi) et du changement de dénomination. De plus, il est possible de renier la foi, comme Pierre l'a fait une fois, et de la réaffirmer plus tard.</w:t>
      </w:r>
    </w:p>
    <w:p>
      <w:r/>
      <w:r>
        <w:t xml:space="preserve">À l'origine, </w:t>
      </w:r>
      <w:r>
        <w:rPr>
          <w:i/>
        </w:rPr>
        <w:t>apostasie</w:t>
      </w:r>
      <w:r>
        <w:t xml:space="preserve"> signifiait rébellion, tout simplement. Ainsi, le peuple juif était décrit comme des « rebelles » contre le roi Artaxerxès (</w:t>
      </w:r>
      <w:hyperlink r:id="rId1021">
        <w:r>
          <w:rPr>
            <w:color w:val="0000EE"/>
            <w:u w:val="single"/>
          </w:rPr>
          <w:t>1 Esd 2.23</w:t>
        </w:r>
      </w:hyperlink>
      <w:r>
        <w:t>). De même, Jason était décrit comme un « rebelle contre les lois » (</w:t>
      </w:r>
      <w:hyperlink r:id="rId1022">
        <w:r>
          <w:rPr>
            <w:color w:val="0000EE"/>
            <w:u w:val="single"/>
          </w:rPr>
          <w:t>2 M 5.6</w:t>
        </w:r>
      </w:hyperlink>
      <w:r>
        <w:t>–</w:t>
      </w:r>
      <w:hyperlink r:id="rId1022">
        <w:r>
          <w:rPr>
            <w:color w:val="0000EE"/>
            <w:u w:val="single"/>
          </w:rPr>
          <w:t>8</w:t>
        </w:r>
      </w:hyperlink>
      <w:r>
        <w:t>). L'Ancien Testament énumère de nombreux exemples de rébellion spirituelle :</w:t>
      </w:r>
    </w:p>
    <w:p>
      <w:pPr>
        <w:pStyle w:val="ListBullet"/>
        <w:spacing w:line="240" w:lineRule="auto"/>
        <w:ind w:left="720"/>
      </w:pPr>
      <w:r/>
      <w:r>
        <w:t>Abandon de la loi (</w:t>
      </w:r>
      <w:hyperlink r:id="rId1023">
        <w:r>
          <w:rPr>
            <w:color w:val="0000EE"/>
            <w:u w:val="single"/>
          </w:rPr>
          <w:t>Jos 22.22</w:t>
        </w:r>
      </w:hyperlink>
      <w:r>
        <w:t>)</w:t>
      </w:r>
    </w:p>
    <w:p>
      <w:pPr>
        <w:pStyle w:val="ListBullet"/>
        <w:spacing w:line="240" w:lineRule="auto"/>
        <w:ind w:left="720"/>
      </w:pPr>
      <w:r/>
      <w:r>
        <w:t>Délaissement du culte du temple (</w:t>
      </w:r>
      <w:hyperlink r:id="rId1024">
        <w:r>
          <w:rPr>
            <w:color w:val="0000EE"/>
            <w:u w:val="single"/>
          </w:rPr>
          <w:t>2Ch 29.19)</w:t>
        </w:r>
      </w:hyperlink>
    </w:p>
    <w:p>
      <w:pPr>
        <w:pStyle w:val="ListBullet"/>
        <w:spacing w:line="240" w:lineRule="auto"/>
        <w:ind w:left="720"/>
      </w:pPr>
      <w:r/>
      <w:r>
        <w:t>Désobéissance volontaire envers Dieu (</w:t>
      </w:r>
      <w:hyperlink r:id="rId1025">
        <w:r>
          <w:rPr>
            <w:color w:val="0000EE"/>
            <w:u w:val="single"/>
          </w:rPr>
          <w:t>Jr 2.19</w:t>
        </w:r>
      </w:hyperlink>
      <w:r>
        <w:t>)</w:t>
      </w:r>
    </w:p>
    <w:p>
      <w:r/>
      <w:r>
        <w:t>Ésaïe et Jérémie fournissent de nombreux exemples des rébellions d'Israël (</w:t>
      </w:r>
      <w:hyperlink r:id="rId1026">
        <w:r>
          <w:rPr>
            <w:color w:val="0000EE"/>
            <w:u w:val="single"/>
          </w:rPr>
          <w:t>Es 1.2</w:t>
        </w:r>
      </w:hyperlink>
      <w:r>
        <w:t>–</w:t>
      </w:r>
      <w:hyperlink r:id="rId1026">
        <w:r>
          <w:rPr>
            <w:color w:val="0000EE"/>
            <w:u w:val="single"/>
          </w:rPr>
          <w:t>4</w:t>
        </w:r>
      </w:hyperlink>
      <w:r>
        <w:t xml:space="preserve"> ; </w:t>
      </w:r>
      <w:hyperlink r:id="rId1025">
        <w:r>
          <w:rPr>
            <w:color w:val="0000EE"/>
            <w:u w:val="single"/>
          </w:rPr>
          <w:t>Jr 2.19</w:t>
        </w:r>
      </w:hyperlink>
      <w:r>
        <w:t>). Les rois israélites étaient souvent coupables d'apostasie :</w:t>
      </w:r>
    </w:p>
    <w:p>
      <w:pPr>
        <w:pStyle w:val="ListBullet"/>
        <w:spacing w:line="240" w:lineRule="auto"/>
        <w:ind w:left="720"/>
      </w:pPr>
      <w:r/>
      <w:r>
        <w:t>Roboam (</w:t>
      </w:r>
      <w:hyperlink r:id="rId1027">
        <w:r>
          <w:rPr>
            <w:color w:val="0000EE"/>
            <w:u w:val="single"/>
          </w:rPr>
          <w:t>1R 14.22</w:t>
        </w:r>
      </w:hyperlink>
      <w:r>
        <w:t>–</w:t>
      </w:r>
      <w:hyperlink r:id="rId1027">
        <w:r>
          <w:rPr>
            <w:color w:val="0000EE"/>
            <w:u w:val="single"/>
          </w:rPr>
          <w:t>24</w:t>
        </w:r>
      </w:hyperlink>
      <w:r>
        <w:t>)</w:t>
      </w:r>
    </w:p>
    <w:p>
      <w:pPr>
        <w:pStyle w:val="ListBullet"/>
        <w:spacing w:line="240" w:lineRule="auto"/>
        <w:ind w:left="720"/>
      </w:pPr>
      <w:r/>
      <w:r>
        <w:t>Achab (</w:t>
      </w:r>
      <w:hyperlink r:id="rId1028">
        <w:r>
          <w:rPr>
            <w:color w:val="0000EE"/>
            <w:u w:val="single"/>
          </w:rPr>
          <w:t>1R 16.30</w:t>
        </w:r>
      </w:hyperlink>
      <w:r>
        <w:t>–</w:t>
      </w:r>
      <w:hyperlink r:id="rId1028">
        <w:r>
          <w:rPr>
            <w:color w:val="0000EE"/>
            <w:u w:val="single"/>
          </w:rPr>
          <w:t>33</w:t>
        </w:r>
      </w:hyperlink>
      <w:r>
        <w:t>)</w:t>
      </w:r>
    </w:p>
    <w:p>
      <w:pPr>
        <w:pStyle w:val="ListBullet"/>
        <w:spacing w:line="240" w:lineRule="auto"/>
        <w:ind w:left="720"/>
      </w:pPr>
      <w:r/>
      <w:r>
        <w:t>Achazia (</w:t>
      </w:r>
      <w:hyperlink r:id="rId1029">
        <w:r>
          <w:rPr>
            <w:color w:val="0000EE"/>
            <w:u w:val="single"/>
          </w:rPr>
          <w:t>1R 22.51</w:t>
        </w:r>
      </w:hyperlink>
      <w:r>
        <w:t>–</w:t>
      </w:r>
      <w:hyperlink r:id="rId1029">
        <w:r>
          <w:rPr>
            <w:color w:val="0000EE"/>
            <w:u w:val="single"/>
          </w:rPr>
          <w:t>53</w:t>
        </w:r>
      </w:hyperlink>
      <w:r>
        <w:t>)</w:t>
      </w:r>
    </w:p>
    <w:p>
      <w:pPr>
        <w:pStyle w:val="ListBullet"/>
        <w:spacing w:line="240" w:lineRule="auto"/>
        <w:ind w:left="720"/>
      </w:pPr>
      <w:r/>
      <w:r>
        <w:t>Joram (</w:t>
      </w:r>
      <w:hyperlink r:id="rId1030">
        <w:r>
          <w:rPr>
            <w:color w:val="0000EE"/>
            <w:u w:val="single"/>
          </w:rPr>
          <w:t>2Ch 21.6, 10</w:t>
        </w:r>
      </w:hyperlink>
      <w:r>
        <w:t>)</w:t>
      </w:r>
    </w:p>
    <w:p>
      <w:pPr>
        <w:pStyle w:val="ListBullet"/>
        <w:spacing w:line="240" w:lineRule="auto"/>
        <w:ind w:left="720"/>
      </w:pPr>
      <w:r/>
      <w:r>
        <w:t>Achaz (</w:t>
      </w:r>
      <w:hyperlink r:id="rId1031">
        <w:r>
          <w:rPr>
            <w:color w:val="0000EE"/>
            <w:u w:val="single"/>
          </w:rPr>
          <w:t>2Ch 28.1</w:t>
        </w:r>
      </w:hyperlink>
      <w:r>
        <w:t>–</w:t>
      </w:r>
      <w:hyperlink r:id="rId1031">
        <w:r>
          <w:rPr>
            <w:color w:val="0000EE"/>
            <w:u w:val="single"/>
          </w:rPr>
          <w:t>4</w:t>
        </w:r>
      </w:hyperlink>
      <w:r>
        <w:t>)</w:t>
      </w:r>
    </w:p>
    <w:p>
      <w:pPr>
        <w:pStyle w:val="ListBullet"/>
        <w:spacing w:line="240" w:lineRule="auto"/>
        <w:ind w:left="720"/>
      </w:pPr>
      <w:r/>
      <w:r>
        <w:t>Manassé (</w:t>
      </w:r>
      <w:hyperlink r:id="rId1032">
        <w:r>
          <w:rPr>
            <w:color w:val="0000EE"/>
            <w:u w:val="single"/>
          </w:rPr>
          <w:t>2Ch 33.1</w:t>
        </w:r>
      </w:hyperlink>
      <w:r>
        <w:t>–</w:t>
      </w:r>
      <w:hyperlink r:id="rId1032">
        <w:r>
          <w:rPr>
            <w:color w:val="0000EE"/>
            <w:u w:val="single"/>
          </w:rPr>
          <w:t>19</w:t>
        </w:r>
      </w:hyperlink>
      <w:r>
        <w:t>)</w:t>
      </w:r>
    </w:p>
    <w:p>
      <w:pPr>
        <w:pStyle w:val="ListBullet"/>
        <w:spacing w:line="240" w:lineRule="auto"/>
        <w:ind w:left="720"/>
      </w:pPr>
      <w:r/>
      <w:r>
        <w:t>Amon (</w:t>
      </w:r>
      <w:hyperlink r:id="rId1033">
        <w:r>
          <w:rPr>
            <w:color w:val="0000EE"/>
            <w:u w:val="single"/>
          </w:rPr>
          <w:t>2Ch 33.21</w:t>
        </w:r>
      </w:hyperlink>
      <w:r>
        <w:t>–</w:t>
      </w:r>
      <w:hyperlink r:id="rId1033">
        <w:r>
          <w:rPr>
            <w:color w:val="0000EE"/>
            <w:u w:val="single"/>
          </w:rPr>
          <w:t>23</w:t>
        </w:r>
      </w:hyperlink>
      <w:r>
        <w:t>)</w:t>
      </w:r>
    </w:p>
    <w:p>
      <w:r/>
      <w:r>
        <w:t>À l'époque du Nouveau Testament, de nombreux disciples s'éloigneront de Christ (</w:t>
      </w:r>
      <w:hyperlink r:id="rId1034">
        <w:r>
          <w:rPr>
            <w:color w:val="0000EE"/>
            <w:u w:val="single"/>
          </w:rPr>
          <w:t>Jn 6.66</w:t>
        </w:r>
      </w:hyperlink>
      <w:r>
        <w:t xml:space="preserve">). Judas Iscariot en est l'exemple le plus connu. Le mot grec d'où nous tirons </w:t>
      </w:r>
      <w:r>
        <w:rPr>
          <w:i/>
        </w:rPr>
        <w:t>apostasie</w:t>
      </w:r>
      <w:r>
        <w:t xml:space="preserve"> n'apparaît que dans deux passages. L'apôtre Paul sera accusé d'apostasie pour avoir enseigné aux autres à « </w:t>
      </w:r>
      <w:r>
        <w:t xml:space="preserve">renoncer à </w:t>
      </w:r>
      <w:r>
        <w:t>Moïse » (</w:t>
      </w:r>
      <w:hyperlink r:id="rId1035">
        <w:r>
          <w:rPr>
            <w:color w:val="0000EE"/>
            <w:u w:val="single"/>
          </w:rPr>
          <w:t>Ac 21.21</w:t>
        </w:r>
      </w:hyperlink>
      <w:r>
        <w:t>). L'apostasie sera significative dans les temps de la fin (</w:t>
      </w:r>
      <w:hyperlink r:id="rId1036">
        <w:r>
          <w:rPr>
            <w:color w:val="0000EE"/>
            <w:u w:val="single"/>
          </w:rPr>
          <w:t>2Th 2.3)</w:t>
        </w:r>
      </w:hyperlink>
      <w:r>
        <w:t>. Les chrétiens sont avertis de ne pas se laisser emporter et tromper par l'apostasie à venir à la fin des temps, avant le retour du Seigneur. Cette apostasie est due à l'ascension d'une figure rebelle qui sera utilisée par Satan pour accomplir son œuvre (</w:t>
      </w:r>
      <w:hyperlink r:id="rId1037">
        <w:r>
          <w:rPr>
            <w:color w:val="0000EE"/>
            <w:u w:val="single"/>
          </w:rPr>
          <w:t>2Th 2.3</w:t>
        </w:r>
      </w:hyperlink>
      <w:r>
        <w:t>–</w:t>
      </w:r>
      <w:hyperlink r:id="rId1037">
        <w:r>
          <w:rPr>
            <w:color w:val="0000EE"/>
            <w:u w:val="single"/>
          </w:rPr>
          <w:t>12</w:t>
        </w:r>
      </w:hyperlink>
      <w:r>
        <w:t xml:space="preserve"> ; voir </w:t>
      </w:r>
      <w:hyperlink r:id="rId1038">
        <w:r>
          <w:rPr>
            <w:color w:val="0000EE"/>
            <w:u w:val="single"/>
          </w:rPr>
          <w:t>1Tm 4.1</w:t>
        </w:r>
      </w:hyperlink>
      <w:r>
        <w:t>–</w:t>
      </w:r>
      <w:hyperlink r:id="rId1038">
        <w:r>
          <w:rPr>
            <w:color w:val="0000EE"/>
            <w:u w:val="single"/>
          </w:rPr>
          <w:t>3</w:t>
        </w:r>
      </w:hyperlink>
      <w:r>
        <w:t>).</w:t>
      </w:r>
      <w:r/>
      <w:r/>
    </w:p>
    <w:p>
      <w:r/>
    </w:p>
    <w:p>
      <w:pPr>
        <w:pStyle w:val="Heading2"/>
      </w:pPr>
      <w:r>
        <w:t>Apôtre, Apôtre</w:t>
      </w:r>
      <w:r/>
    </w:p>
    <w:p>
      <w:r/>
      <w:r>
        <w:t>Titre officiel important désignant le rôle de certains dirigeants des Églises du Nouveau Testament. Le terme « apostolat » réfère au ministère et aux responsabilités d'un apôtre. De nombreuses idées différentes ont cours sur l'origine des apôtres dans le NT, les faits qui leur sont attribués, et leurs passés. Il existe différentes traditions ecclésiastiques qui ne s'accordent pas sur ces points. Pour mieux comprendre les mots « apôtre » et « apostolat », il convient d'examiner l'origine de ces termes et les idées qui s'y rattachent.</w:t>
      </w:r>
    </w:p>
    <w:p>
      <w:r/>
      <w:r>
        <w:t>Le mot grec traduit « apôtre » signifie « celui qui est envoyé ». Il n'est pas utilisé dans le sens particulier qui lui est donné dans le NT en dehors de celui-ci. En grec, il est souvent appliqué dans le domaine de la marine, pouvant désigner un navire, un groupe de navires, une expédition maritime, ou le commandant d'une telle expédition. Le terme est généralement utilisé au sens passif, sans indication d'initiative personnelle ou de mandat officiel. Plus tard, le terme est aussi utilisé dans les papyrus pour désigner une facture, une note ou un passeport, mots également d'usage dans la marine. [Les papyrus sont des documents anciens écrits sur des feuilles fabriquées à partir de la plante du même nom].</w:t>
      </w:r>
    </w:p>
    <w:p>
      <w:r/>
      <w:r>
        <w:t>Dans le Nouveau Testament, le terme « apôtre » désigne un groupe d'hommes spécialement mandatés par Jésus pour être ses témoins. Parmi le groupe élargi de ses disciples, Jésus en a choisi douze (</w:t>
      </w:r>
      <w:hyperlink r:id="rId1039">
        <w:r>
          <w:rPr>
            <w:color w:val="0000EE"/>
            <w:u w:val="single"/>
          </w:rPr>
          <w:t>Mt 10.1</w:t>
        </w:r>
      </w:hyperlink>
      <w:r>
        <w:t>–</w:t>
      </w:r>
      <w:hyperlink r:id="rId1039">
        <w:r>
          <w:rPr>
            <w:color w:val="0000EE"/>
            <w:u w:val="single"/>
          </w:rPr>
          <w:t xml:space="preserve">4 </w:t>
        </w:r>
      </w:hyperlink>
      <w:r>
        <w:t xml:space="preserve">; </w:t>
      </w:r>
      <w:hyperlink r:id="rId1040">
        <w:r>
          <w:rPr>
            <w:color w:val="0000EE"/>
            <w:u w:val="single"/>
          </w:rPr>
          <w:t>Mc 3.13</w:t>
        </w:r>
      </w:hyperlink>
      <w:r>
        <w:t>–</w:t>
      </w:r>
      <w:hyperlink r:id="rId1040">
        <w:r>
          <w:rPr>
            <w:color w:val="0000EE"/>
            <w:u w:val="single"/>
          </w:rPr>
          <w:t xml:space="preserve">19 </w:t>
        </w:r>
      </w:hyperlink>
      <w:r>
        <w:t xml:space="preserve">; </w:t>
      </w:r>
      <w:hyperlink r:id="rId1041">
        <w:r>
          <w:rPr>
            <w:color w:val="0000EE"/>
            <w:u w:val="single"/>
          </w:rPr>
          <w:t>Lc 6.12</w:t>
        </w:r>
      </w:hyperlink>
      <w:r>
        <w:t>–</w:t>
      </w:r>
      <w:hyperlink r:id="rId1041">
        <w:r>
          <w:rPr>
            <w:color w:val="0000EE"/>
            <w:u w:val="single"/>
          </w:rPr>
          <w:t>16</w:t>
        </w:r>
      </w:hyperlink>
      <w:r>
        <w:t>) qui :</w:t>
      </w:r>
    </w:p>
    <w:p>
      <w:pPr>
        <w:pStyle w:val="ListBullet"/>
        <w:spacing w:line="240" w:lineRule="auto"/>
        <w:ind w:left="720"/>
      </w:pPr>
      <w:r/>
      <w:r>
        <w:t>avaient une relation étroite avec lui,</w:t>
      </w:r>
    </w:p>
    <w:p>
      <w:pPr>
        <w:pStyle w:val="ListBullet"/>
        <w:spacing w:line="240" w:lineRule="auto"/>
        <w:ind w:left="720"/>
      </w:pPr>
      <w:r/>
      <w:r>
        <w:t>ont bénéficié d'un enseignement plus soutenu, et</w:t>
      </w:r>
    </w:p>
    <w:p>
      <w:pPr>
        <w:pStyle w:val="ListBullet"/>
        <w:spacing w:line="240" w:lineRule="auto"/>
        <w:ind w:left="720"/>
      </w:pPr>
      <w:r/>
      <w:r>
        <w:t xml:space="preserve">ont été témoins de ses miracles et de ses disputes avec les autorités juives. </w:t>
      </w:r>
    </w:p>
    <w:p>
      <w:r/>
      <w:r>
        <w:t>Jésus a envoyé ces douze :</w:t>
      </w:r>
    </w:p>
    <w:p>
      <w:pPr>
        <w:pStyle w:val="ListBullet"/>
        <w:spacing w:line="240" w:lineRule="auto"/>
        <w:ind w:left="720"/>
      </w:pPr>
      <w:r/>
      <w:r>
        <w:t>prêcher la repentance,</w:t>
      </w:r>
    </w:p>
    <w:p>
      <w:pPr>
        <w:pStyle w:val="ListBullet"/>
        <w:spacing w:line="240" w:lineRule="auto"/>
        <w:ind w:left="720"/>
      </w:pPr>
      <w:r/>
      <w:r>
        <w:t>chasser les démons,</w:t>
      </w:r>
    </w:p>
    <w:p>
      <w:pPr>
        <w:pStyle w:val="ListBullet"/>
        <w:spacing w:line="240" w:lineRule="auto"/>
        <w:ind w:left="720"/>
      </w:pPr>
      <w:r/>
      <w:r>
        <w:t>guérir les malades, et</w:t>
      </w:r>
    </w:p>
    <w:p>
      <w:pPr>
        <w:pStyle w:val="ListBullet"/>
        <w:spacing w:line="240" w:lineRule="auto"/>
        <w:ind w:left="720"/>
      </w:pPr>
      <w:r/>
      <w:r>
        <w:t>servir le Seigneur en suivant son exemple (</w:t>
      </w:r>
      <w:hyperlink r:id="rId1042">
        <w:r>
          <w:rPr>
            <w:color w:val="0000EE"/>
            <w:u w:val="single"/>
          </w:rPr>
          <w:t>Mt 10.1</w:t>
        </w:r>
      </w:hyperlink>
      <w:r>
        <w:t>–</w:t>
      </w:r>
      <w:hyperlink r:id="rId1042">
        <w:r>
          <w:rPr>
            <w:color w:val="0000EE"/>
            <w:u w:val="single"/>
          </w:rPr>
          <w:t xml:space="preserve">15 </w:t>
        </w:r>
      </w:hyperlink>
      <w:r>
        <w:t xml:space="preserve">; </w:t>
      </w:r>
      <w:hyperlink r:id="rId1043">
        <w:r>
          <w:rPr>
            <w:color w:val="0000EE"/>
            <w:u w:val="single"/>
          </w:rPr>
          <w:t>Mc 6.7</w:t>
        </w:r>
      </w:hyperlink>
      <w:r>
        <w:t>–</w:t>
      </w:r>
      <w:hyperlink r:id="rId1043">
        <w:r>
          <w:rPr>
            <w:color w:val="0000EE"/>
            <w:u w:val="single"/>
          </w:rPr>
          <w:t xml:space="preserve">13, 30 </w:t>
        </w:r>
      </w:hyperlink>
      <w:r>
        <w:t xml:space="preserve">; </w:t>
      </w:r>
      <w:hyperlink r:id="rId1044">
        <w:r>
          <w:rPr>
            <w:color w:val="0000EE"/>
            <w:u w:val="single"/>
          </w:rPr>
          <w:t>Lc 9.1</w:t>
        </w:r>
      </w:hyperlink>
      <w:r>
        <w:t>–</w:t>
      </w:r>
      <w:hyperlink r:id="rId1044">
        <w:r>
          <w:rPr>
            <w:color w:val="0000EE"/>
            <w:u w:val="single"/>
          </w:rPr>
          <w:t>6</w:t>
        </w:r>
      </w:hyperlink>
      <w:r>
        <w:t xml:space="preserve">). </w:t>
      </w:r>
    </w:p>
    <w:p>
      <w:r/>
      <w:r>
        <w:t>Ils représentaient Jésus personnellement, ainsi qu'il l'a déclaré : « Celui qui vous écoute m'écoute ; celui qui vous rejette me rejette ; et celui qui me rejette rejette celui qui m'a envoyé » (</w:t>
      </w:r>
      <w:hyperlink r:id="rId1045">
        <w:r>
          <w:rPr>
            <w:color w:val="0000EE"/>
            <w:u w:val="single"/>
          </w:rPr>
          <w:t xml:space="preserve">Lc 10.16 </w:t>
        </w:r>
      </w:hyperlink>
      <w:r>
        <w:t xml:space="preserve">; comp. avec </w:t>
      </w:r>
      <w:hyperlink r:id="rId1046">
        <w:r>
          <w:rPr>
            <w:color w:val="0000EE"/>
            <w:u w:val="single"/>
          </w:rPr>
          <w:t>Mt 10.40</w:t>
        </w:r>
      </w:hyperlink>
      <w:r>
        <w:t xml:space="preserve">). Les Douze n'avaient pas juste pour rôle d'enseigner les paroles de Jésus. Ils devaient également représenter Jésus lui-même. </w:t>
      </w:r>
    </w:p>
    <w:p>
      <w:r/>
      <w:r>
        <w:t>Après la résurrection, Jésus charge les Douze de proclamer l'œuvre de Dieu accomplie en Christ pour tous les peuples (</w:t>
      </w:r>
      <w:hyperlink r:id="rId1047">
        <w:r>
          <w:rPr>
            <w:color w:val="0000EE"/>
            <w:u w:val="single"/>
          </w:rPr>
          <w:t xml:space="preserve">Mt 28 </w:t>
        </w:r>
      </w:hyperlink>
      <w:r>
        <w:t xml:space="preserve">; </w:t>
      </w:r>
      <w:hyperlink r:id="rId1048">
        <w:r>
          <w:rPr>
            <w:color w:val="0000EE"/>
            <w:u w:val="single"/>
          </w:rPr>
          <w:t xml:space="preserve">Lc 24 </w:t>
        </w:r>
      </w:hyperlink>
      <w:r>
        <w:t xml:space="preserve">; </w:t>
      </w:r>
      <w:hyperlink r:id="rId1049">
        <w:r>
          <w:rPr>
            <w:color w:val="0000EE"/>
            <w:u w:val="single"/>
          </w:rPr>
          <w:t>Jn 20–21</w:t>
        </w:r>
      </w:hyperlink>
      <w:r>
        <w:t>). Seuls ceux qui avaient été avec Jésus depuis le début de son ministère jusqu'à sa résurrection pouvaient être ses apôtres (</w:t>
      </w:r>
      <w:hyperlink r:id="rId1050">
        <w:r>
          <w:rPr>
            <w:color w:val="0000EE"/>
            <w:u w:val="single"/>
          </w:rPr>
          <w:t>Ac 1.21</w:t>
        </w:r>
      </w:hyperlink>
      <w:r>
        <w:t>–</w:t>
      </w:r>
      <w:hyperlink r:id="rId1050">
        <w:r>
          <w:rPr>
            <w:color w:val="0000EE"/>
            <w:u w:val="single"/>
          </w:rPr>
          <w:t>22</w:t>
        </w:r>
      </w:hyperlink>
      <w:r>
        <w:t>). Paul est un cas à part : il était qualifié parce qu'il avait vu le Christ ressuscité et que celui-ci l'avait personnellement appelé à ce ministère (</w:t>
      </w:r>
      <w:hyperlink r:id="rId1051">
        <w:r>
          <w:rPr>
            <w:color w:val="0000EE"/>
            <w:u w:val="single"/>
          </w:rPr>
          <w:t>1Co 15.4</w:t>
        </w:r>
      </w:hyperlink>
      <w:r>
        <w:t>–</w:t>
      </w:r>
      <w:hyperlink r:id="rId1051">
        <w:r>
          <w:rPr>
            <w:color w:val="0000EE"/>
            <w:u w:val="single"/>
          </w:rPr>
          <w:t>10</w:t>
        </w:r>
      </w:hyperlink>
      <w:r>
        <w:t>).</w:t>
      </w:r>
    </w:p>
    <w:p>
      <w:r/>
      <w:r>
        <w:t>Dans les écrits de Paul, il y a deux principales utilisations du mot « apôtre » :</w:t>
      </w:r>
    </w:p>
    <w:p>
      <w:pPr>
        <w:pStyle w:val="ListBullet"/>
        <w:spacing w:line="240" w:lineRule="auto"/>
        <w:ind w:left="720"/>
      </w:pPr>
      <w:r/>
      <w:r>
        <w:t>Parfois, Paul utilise « apôtre » pour désigner des personnes de confiance choisies par les Églises locales pour livrer les collectes de dons à leurs bénéficiaires (</w:t>
      </w:r>
      <w:hyperlink r:id="rId1052">
        <w:r>
          <w:rPr>
            <w:color w:val="0000EE"/>
            <w:u w:val="single"/>
          </w:rPr>
          <w:t xml:space="preserve">2Co 8.23 </w:t>
        </w:r>
      </w:hyperlink>
      <w:r>
        <w:t xml:space="preserve">; </w:t>
      </w:r>
      <w:hyperlink r:id="rId1053">
        <w:r>
          <w:rPr>
            <w:color w:val="0000EE"/>
            <w:u w:val="single"/>
          </w:rPr>
          <w:t>Ph 2.25).</w:t>
        </w:r>
      </w:hyperlink>
    </w:p>
    <w:p>
      <w:pPr>
        <w:pStyle w:val="ListBullet"/>
        <w:spacing w:line="240" w:lineRule="auto"/>
        <w:ind w:left="720"/>
      </w:pPr>
      <w:r/>
      <w:r>
        <w:t>L'usage le plus important du terme « apôtre » sert à désigner le ministère de Paul et des Douze, souvent avec le complément « de Jésus-Christ » (</w:t>
      </w:r>
      <w:hyperlink r:id="rId1054">
        <w:r>
          <w:rPr>
            <w:color w:val="0000EE"/>
            <w:u w:val="single"/>
          </w:rPr>
          <w:t xml:space="preserve">1Co 1.1 </w:t>
        </w:r>
      </w:hyperlink>
      <w:r>
        <w:t xml:space="preserve">; </w:t>
      </w:r>
      <w:hyperlink r:id="rId1055">
        <w:r>
          <w:rPr>
            <w:color w:val="0000EE"/>
            <w:u w:val="single"/>
          </w:rPr>
          <w:t xml:space="preserve">2Co 1.1 </w:t>
        </w:r>
      </w:hyperlink>
      <w:r>
        <w:t xml:space="preserve">; </w:t>
      </w:r>
      <w:hyperlink r:id="rId1056">
        <w:r>
          <w:rPr>
            <w:color w:val="0000EE"/>
            <w:u w:val="single"/>
          </w:rPr>
          <w:t xml:space="preserve">11.13 </w:t>
        </w:r>
      </w:hyperlink>
      <w:r>
        <w:t xml:space="preserve">; </w:t>
      </w:r>
      <w:hyperlink r:id="rId1057">
        <w:r>
          <w:rPr>
            <w:color w:val="0000EE"/>
            <w:u w:val="single"/>
          </w:rPr>
          <w:t xml:space="preserve">Ga 1:1 </w:t>
        </w:r>
      </w:hyperlink>
      <w:r>
        <w:t xml:space="preserve">; </w:t>
      </w:r>
      <w:hyperlink r:id="rId1058">
        <w:r>
          <w:rPr>
            <w:color w:val="0000EE"/>
            <w:u w:val="single"/>
          </w:rPr>
          <w:t xml:space="preserve">Ep 1.1 </w:t>
        </w:r>
      </w:hyperlink>
      <w:r>
        <w:t xml:space="preserve">; </w:t>
      </w:r>
      <w:hyperlink r:id="rId1059">
        <w:r>
          <w:rPr>
            <w:color w:val="0000EE"/>
            <w:u w:val="single"/>
          </w:rPr>
          <w:t xml:space="preserve">Col 1.1 </w:t>
        </w:r>
      </w:hyperlink>
      <w:r>
        <w:t xml:space="preserve">; </w:t>
      </w:r>
      <w:hyperlink r:id="rId1060">
        <w:r>
          <w:rPr>
            <w:color w:val="0000EE"/>
            <w:u w:val="single"/>
          </w:rPr>
          <w:t>1Th 2.6).</w:t>
        </w:r>
      </w:hyperlink>
    </w:p>
    <w:p>
      <w:r/>
      <w:r>
        <w:t>Cet « envoyé » est donc un « envoyé de Jésus-Christ » (</w:t>
      </w:r>
      <w:hyperlink r:id="rId1061">
        <w:r>
          <w:rPr>
            <w:color w:val="0000EE"/>
            <w:u w:val="single"/>
          </w:rPr>
          <w:t xml:space="preserve">Rm 16.7 </w:t>
        </w:r>
      </w:hyperlink>
      <w:r>
        <w:t xml:space="preserve">; </w:t>
      </w:r>
      <w:hyperlink r:id="rId1062">
        <w:r>
          <w:rPr>
            <w:color w:val="0000EE"/>
            <w:u w:val="single"/>
          </w:rPr>
          <w:t xml:space="preserve">1Co 9.1, 5 </w:t>
        </w:r>
      </w:hyperlink>
      <w:r>
        <w:t xml:space="preserve">; </w:t>
      </w:r>
      <w:hyperlink r:id="rId1063">
        <w:r>
          <w:rPr>
            <w:color w:val="0000EE"/>
            <w:u w:val="single"/>
          </w:rPr>
          <w:t xml:space="preserve">12.28 </w:t>
        </w:r>
      </w:hyperlink>
      <w:r>
        <w:t xml:space="preserve">; </w:t>
      </w:r>
      <w:hyperlink r:id="rId1064">
        <w:r>
          <w:rPr>
            <w:color w:val="0000EE"/>
            <w:u w:val="single"/>
          </w:rPr>
          <w:t>Ga 1.17</w:t>
        </w:r>
      </w:hyperlink>
      <w:r>
        <w:t>–</w:t>
      </w:r>
      <w:hyperlink r:id="rId1064">
        <w:r>
          <w:rPr>
            <w:color w:val="0000EE"/>
            <w:u w:val="single"/>
          </w:rPr>
          <w:t>19</w:t>
        </w:r>
      </w:hyperlink>
      <w:r>
        <w:t>). Paul affirme son droit d'être appelé « apôtre ». Il base cette affirmation sur des critères analogues à ceux qui ressortent de l'enseignement de Jésus concernant les apôtres. Paul relie toujours la légitimité de son apostolat à un événement spécifique de son passé : le fait que Jésus ressuscité lui soit apparu sur la route de Damas (</w:t>
      </w:r>
      <w:hyperlink r:id="rId1062">
        <w:r>
          <w:rPr>
            <w:color w:val="0000EE"/>
            <w:u w:val="single"/>
          </w:rPr>
          <w:t xml:space="preserve">1Co 9.1 </w:t>
        </w:r>
      </w:hyperlink>
      <w:r>
        <w:t xml:space="preserve">; </w:t>
      </w:r>
      <w:hyperlink r:id="rId1065">
        <w:r>
          <w:rPr>
            <w:color w:val="0000EE"/>
            <w:u w:val="single"/>
          </w:rPr>
          <w:t>Ga 1.12, 16</w:t>
        </w:r>
      </w:hyperlink>
      <w:r>
        <w:t>). Pour Paul, cette apparition comptait tout autant que celles dont les autres apôtres avaient été témoins (</w:t>
      </w:r>
      <w:hyperlink r:id="rId1066">
        <w:r>
          <w:rPr>
            <w:color w:val="0000EE"/>
            <w:u w:val="single"/>
          </w:rPr>
          <w:t>1 Co 15.3</w:t>
        </w:r>
      </w:hyperlink>
      <w:r>
        <w:t>–</w:t>
      </w:r>
      <w:hyperlink r:id="rId1066">
        <w:r>
          <w:rPr>
            <w:color w:val="0000EE"/>
            <w:u w:val="single"/>
          </w:rPr>
          <w:t>8</w:t>
        </w:r>
      </w:hyperlink>
      <w:r>
        <w:t xml:space="preserve">). </w:t>
      </w:r>
    </w:p>
    <w:p>
      <w:r/>
      <w:r>
        <w:t>Il souligne son expérience sur la route de Damas (</w:t>
      </w:r>
      <w:hyperlink r:id="rId1067">
        <w:r>
          <w:rPr>
            <w:color w:val="0000EE"/>
            <w:u w:val="single"/>
          </w:rPr>
          <w:t>Ac 9.1</w:t>
        </w:r>
      </w:hyperlink>
      <w:r>
        <w:t>–</w:t>
      </w:r>
      <w:hyperlink r:id="rId1067">
        <w:r>
          <w:rPr>
            <w:color w:val="0000EE"/>
            <w:u w:val="single"/>
          </w:rPr>
          <w:t xml:space="preserve">19a </w:t>
        </w:r>
      </w:hyperlink>
      <w:r>
        <w:t xml:space="preserve">; </w:t>
      </w:r>
      <w:hyperlink r:id="rId1068">
        <w:r>
          <w:rPr>
            <w:color w:val="0000EE"/>
            <w:u w:val="single"/>
          </w:rPr>
          <w:t>22.6</w:t>
        </w:r>
      </w:hyperlink>
      <w:r>
        <w:t>–</w:t>
      </w:r>
      <w:hyperlink r:id="rId1068">
        <w:r>
          <w:rPr>
            <w:color w:val="0000EE"/>
            <w:u w:val="single"/>
          </w:rPr>
          <w:t xml:space="preserve">16 </w:t>
        </w:r>
      </w:hyperlink>
      <w:r>
        <w:t xml:space="preserve">; </w:t>
      </w:r>
      <w:hyperlink r:id="rId1069">
        <w:r>
          <w:rPr>
            <w:color w:val="0000EE"/>
            <w:u w:val="single"/>
          </w:rPr>
          <w:t>26.12</w:t>
        </w:r>
      </w:hyperlink>
      <w:r>
        <w:t>–</w:t>
      </w:r>
      <w:hyperlink r:id="rId1069">
        <w:r>
          <w:rPr>
            <w:color w:val="0000EE"/>
            <w:u w:val="single"/>
          </w:rPr>
          <w:t xml:space="preserve">18 </w:t>
        </w:r>
      </w:hyperlink>
      <w:r>
        <w:t xml:space="preserve">; </w:t>
      </w:r>
      <w:hyperlink r:id="rId1070">
        <w:r>
          <w:rPr>
            <w:color w:val="0000EE"/>
            <w:u w:val="single"/>
          </w:rPr>
          <w:t>Ga 1.17</w:t>
        </w:r>
      </w:hyperlink>
      <w:r>
        <w:t>) au travers de laquelle il avait reçu sa mission de prêcher Christ ressuscité (</w:t>
      </w:r>
      <w:hyperlink r:id="rId1071">
        <w:r>
          <w:rPr>
            <w:color w:val="0000EE"/>
            <w:u w:val="single"/>
          </w:rPr>
          <w:t xml:space="preserve">1Co 1.17 </w:t>
        </w:r>
      </w:hyperlink>
      <w:r>
        <w:t xml:space="preserve">; </w:t>
      </w:r>
      <w:hyperlink r:id="rId1072">
        <w:r>
          <w:rPr>
            <w:color w:val="0000EE"/>
            <w:u w:val="single"/>
          </w:rPr>
          <w:t>2.1</w:t>
        </w:r>
      </w:hyperlink>
      <w:r>
        <w:t>–</w:t>
      </w:r>
      <w:hyperlink r:id="rId1072">
        <w:r>
          <w:rPr>
            <w:color w:val="0000EE"/>
            <w:u w:val="single"/>
          </w:rPr>
          <w:t>2</w:t>
        </w:r>
      </w:hyperlink>
      <w:r>
        <w:t>). Son appel était d'évangéliser principalement les non-Juifs (</w:t>
      </w:r>
      <w:hyperlink r:id="rId1073">
        <w:r>
          <w:rPr>
            <w:color w:val="0000EE"/>
            <w:u w:val="single"/>
          </w:rPr>
          <w:t xml:space="preserve">Ac 9.15 </w:t>
        </w:r>
      </w:hyperlink>
      <w:r>
        <w:t xml:space="preserve">; </w:t>
      </w:r>
      <w:hyperlink r:id="rId1074">
        <w:r>
          <w:rPr>
            <w:color w:val="0000EE"/>
            <w:u w:val="single"/>
          </w:rPr>
          <w:t xml:space="preserve">22.15 </w:t>
        </w:r>
      </w:hyperlink>
      <w:r>
        <w:t xml:space="preserve">; </w:t>
      </w:r>
      <w:hyperlink r:id="rId1075">
        <w:r>
          <w:rPr>
            <w:color w:val="0000EE"/>
            <w:u w:val="single"/>
          </w:rPr>
          <w:t xml:space="preserve">26.17, 23 </w:t>
        </w:r>
      </w:hyperlink>
      <w:r>
        <w:t xml:space="preserve">; </w:t>
      </w:r>
      <w:hyperlink r:id="rId1076">
        <w:r>
          <w:rPr>
            <w:color w:val="0000EE"/>
            <w:u w:val="single"/>
          </w:rPr>
          <w:t>Ga 1.15</w:t>
        </w:r>
      </w:hyperlink>
      <w:r>
        <w:t>–</w:t>
      </w:r>
      <w:hyperlink r:id="rId1076">
        <w:r>
          <w:rPr>
            <w:color w:val="0000EE"/>
            <w:u w:val="single"/>
          </w:rPr>
          <w:t>16</w:t>
        </w:r>
      </w:hyperlink>
      <w:r>
        <w:t>). Au travers de la prédication de Paul, le Christ a continué son œuvre de création du nouveau peuple de Dieu (</w:t>
      </w:r>
      <w:hyperlink r:id="rId1077">
        <w:r>
          <w:rPr>
            <w:color w:val="0000EE"/>
            <w:u w:val="single"/>
          </w:rPr>
          <w:t>1Co 9.1</w:t>
        </w:r>
      </w:hyperlink>
      <w:r>
        <w:t>–</w:t>
      </w:r>
      <w:hyperlink r:id="rId1077">
        <w:r>
          <w:rPr>
            <w:color w:val="0000EE"/>
            <w:u w:val="single"/>
          </w:rPr>
          <w:t xml:space="preserve">2 </w:t>
        </w:r>
      </w:hyperlink>
      <w:r>
        <w:t xml:space="preserve">; </w:t>
      </w:r>
      <w:hyperlink r:id="rId1078">
        <w:r>
          <w:rPr>
            <w:color w:val="0000EE"/>
            <w:u w:val="single"/>
          </w:rPr>
          <w:t>Ga 2.8</w:t>
        </w:r>
      </w:hyperlink>
      <w:r>
        <w:t>).</w:t>
      </w:r>
    </w:p>
    <w:p>
      <w:r/>
      <w:r>
        <w:rPr>
          <w:i/>
        </w:rPr>
        <w:t>Voir aussi</w:t>
      </w:r>
      <w:r>
        <w:t xml:space="preserve"> </w:t>
      </w:r>
      <w:r>
        <w:t xml:space="preserve">Actes des Apôtres (livre des) </w:t>
      </w:r>
      <w:r>
        <w:t xml:space="preserve">; </w:t>
      </w:r>
      <w:r>
        <w:t>Paul (apôtre)</w:t>
      </w:r>
      <w:r>
        <w:t>.</w:t>
      </w:r>
      <w:r/>
      <w:r/>
    </w:p>
    <w:p>
      <w:r/>
    </w:p>
    <w:p>
      <w:pPr>
        <w:pStyle w:val="Heading2"/>
      </w:pPr>
      <w:r>
        <w:t>Appel</w:t>
      </w:r>
      <w:r/>
    </w:p>
    <w:p>
      <w:r/>
      <w:r>
        <w:t>Terme juridique qui fait référence au fait de demander à une cour supérieure de réviser une décision d'une cour inférieure. La loi de l'Ancien Testament n'avait pas de provision pour faire appel. Dans le Nouveau Testament, l'apôtre Paul fera appel à César pour une audience après son arrestation à Jérusalem (</w:t>
      </w:r>
      <w:hyperlink r:id="rId1079">
        <w:r>
          <w:rPr>
            <w:color w:val="0000EE"/>
            <w:u w:val="single"/>
          </w:rPr>
          <w:t>Ac 25.11</w:t>
        </w:r>
      </w:hyperlink>
      <w:r>
        <w:t>). Parce que Paul était citoyen romain, il pouvait faire transférer son affaire des tribunaux juifs. Paul craignait un procès inéquitable dans les tribunaux juifs.</w:t>
      </w:r>
    </w:p>
    <w:p>
      <w:r/>
      <w:r>
        <w:rPr>
          <w:i/>
        </w:rPr>
        <w:t>Voir aussi</w:t>
      </w:r>
      <w:r>
        <w:t xml:space="preserve"> </w:t>
      </w:r>
      <w:r>
        <w:t>Droit civil et justice</w:t>
      </w:r>
      <w:r>
        <w:t>.</w:t>
      </w:r>
      <w:r/>
      <w:r/>
    </w:p>
    <w:p>
      <w:r/>
    </w:p>
    <w:p>
      <w:pPr>
        <w:pStyle w:val="Heading2"/>
      </w:pPr>
      <w:r>
        <w:t>Aquilas</w:t>
      </w:r>
      <w:r/>
    </w:p>
    <w:p>
      <w:r/>
      <w:r>
        <w:t>Mari de Priscille (</w:t>
      </w:r>
      <w:hyperlink r:id="rId1080">
        <w:r>
          <w:rPr>
            <w:color w:val="0000EE"/>
            <w:u w:val="single"/>
          </w:rPr>
          <w:t>Ac 18.2, 18, 26</w:t>
        </w:r>
      </w:hyperlink>
      <w:r>
        <w:t xml:space="preserve"> ; </w:t>
      </w:r>
      <w:hyperlink r:id="rId1081">
        <w:r>
          <w:rPr>
            <w:color w:val="0000EE"/>
            <w:u w:val="single"/>
          </w:rPr>
          <w:t>Rm 16.3</w:t>
        </w:r>
      </w:hyperlink>
      <w:r>
        <w:t xml:space="preserve"> ; </w:t>
      </w:r>
      <w:hyperlink r:id="rId1082">
        <w:r>
          <w:rPr>
            <w:color w:val="0000EE"/>
            <w:u w:val="single"/>
          </w:rPr>
          <w:t>1Co 16.19</w:t>
        </w:r>
      </w:hyperlink>
      <w:r>
        <w:t xml:space="preserve"> ; </w:t>
      </w:r>
      <w:hyperlink r:id="rId1083">
        <w:r>
          <w:rPr>
            <w:color w:val="0000EE"/>
            <w:u w:val="single"/>
          </w:rPr>
          <w:t>2Tm 4.19</w:t>
        </w:r>
      </w:hyperlink>
      <w:r>
        <w:t xml:space="preserve">). </w:t>
      </w:r>
      <w:r>
        <w:rPr>
          <w:i/>
        </w:rPr>
        <w:t>Voir</w:t>
      </w:r>
      <w:r>
        <w:t xml:space="preserve"> </w:t>
      </w:r>
      <w:r>
        <w:t>Priscille et Aquilas</w:t>
      </w:r>
      <w:r>
        <w:t>.</w:t>
      </w:r>
      <w:r/>
      <w:r/>
    </w:p>
    <w:p>
      <w:r/>
    </w:p>
    <w:p>
      <w:pPr>
        <w:pStyle w:val="Heading2"/>
      </w:pPr>
      <w:r>
        <w:t>Arabie, Arabes</w:t>
      </w:r>
      <w:r/>
    </w:p>
    <w:p>
      <w:r/>
      <w:r>
        <w:t>L'Arabie est une vaste péninsule (une étendue de terre presque entourée d'eau) située dans le sud-ouest de l'Asie. Elle est entourée d'eau sur trois côtés : la mer Rouge à l'ouest, l'océan Indien au sud et le golfe Persique à l'est. Au nord, elle est bordée par une région fertile de vallées fluviales et de terres agricoles appelée le Croissant Fertile. Aujourd'hui, les pays de la Jordanie et de l'Irak forment la frontière nord de l'Arabie. L'Arabie est très vaste : environ 1,6 million km2.</w:t>
      </w:r>
    </w:p>
    <w:p>
      <w:r/>
      <w:r>
        <w:t>Vers 150 apr. J.‑C., un géographe nommé Ptolémée a créé une méthode pour décrire différentes parties de l'Arabie. Il a divisé le territoire en trois régions. D'autres géographes antiques, comme Strabon, ont utilisé ces mêmes divisions :</w:t>
      </w:r>
    </w:p>
    <w:p>
      <w:pPr>
        <w:pStyle w:val="ListNumber"/>
        <w:spacing w:line="240" w:lineRule="auto"/>
        <w:ind w:left="720"/>
      </w:pPr>
      <w:r/>
      <w:r>
        <w:rPr>
          <w:i/>
        </w:rPr>
        <w:t>Arabia Petræa</w:t>
      </w:r>
      <w:r>
        <w:t xml:space="preserve"> (signifiant « Arabie Rocheuse ») au nord-ouest. Cette région comprenait la péninsule du Sinaï (le pont terrestre entre l'Afrique et l'Asie), les terres d'Édom et de Moab (zones à l'est de la mer Morte), et la région à l'est du Jourdain (appelée Transjordanie).</w:t>
      </w:r>
    </w:p>
    <w:p>
      <w:pPr>
        <w:pStyle w:val="ListNumber"/>
        <w:spacing w:line="240" w:lineRule="auto"/>
        <w:ind w:left="720"/>
      </w:pPr>
      <w:r/>
      <w:r>
        <w:rPr>
          <w:i/>
        </w:rPr>
        <w:t>Arabie Deserta</w:t>
      </w:r>
      <w:r>
        <w:t xml:space="preserve"> (le « Désert d'Arabie »). Il s'agit principalement du désert syrien.</w:t>
      </w:r>
    </w:p>
    <w:p>
      <w:pPr>
        <w:pStyle w:val="ListNumber"/>
        <w:spacing w:line="240" w:lineRule="auto"/>
        <w:ind w:left="720"/>
      </w:pPr>
      <w:r/>
      <w:r>
        <w:rPr>
          <w:i/>
        </w:rPr>
        <w:t>Arabia Félix</w:t>
      </w:r>
      <w:r>
        <w:t xml:space="preserve"> (signifiant « Arabie Heureuse »), couvrant la partie sud de l'Arabie. Elle était appelée « heureuse » parce qu'elle recevait plus de précipitations et était plus propice à l'agriculture que les autres régions.</w:t>
      </w:r>
    </w:p>
    <w:p>
      <w:pPr>
        <w:pStyle w:val="Heading3"/>
      </w:pPr>
      <w:r>
        <w:t>Que dit la Bible à propos de l'Arabie ?</w:t>
      </w:r>
    </w:p>
    <w:p>
      <w:r/>
      <w:r>
        <w:t xml:space="preserve">« Arabie » est utilisé comme un terme géographique dans la Bible. Il inclut parfois à la fois les sections nord et sud. Par exemple, </w:t>
      </w:r>
      <w:hyperlink r:id="rId1084">
        <w:r>
          <w:rPr>
            <w:color w:val="0000EE"/>
            <w:u w:val="single"/>
          </w:rPr>
          <w:t>2 Chroniques 9.14</w:t>
        </w:r>
      </w:hyperlink>
      <w:r>
        <w:t xml:space="preserve"> dit que les rois d'Arabie ont apporté de l'or à Salomon comme tribut, un paiement fait par une nation ou un dirigeant à un autre en signe de soumission ou de respect. À d'autres moments, le nom Arabie se réfère uniquement au nord-ouest, à l'</w:t>
      </w:r>
      <w:r>
        <w:rPr>
          <w:i/>
        </w:rPr>
        <w:t>Arabia Petræa.</w:t>
      </w:r>
      <w:r>
        <w:t xml:space="preserve"> Par exemple, Paul dira s'être rendu, après sa conversion, dans les déserts d'Arabie (</w:t>
      </w:r>
      <w:hyperlink r:id="rId1070">
        <w:r>
          <w:rPr>
            <w:color w:val="0000EE"/>
            <w:u w:val="single"/>
          </w:rPr>
          <w:t>Ga 1.17</w:t>
        </w:r>
      </w:hyperlink>
      <w:r>
        <w:t>) et il fait référence au mont Sinaï (</w:t>
      </w:r>
      <w:hyperlink r:id="rId1085">
        <w:r>
          <w:rPr>
            <w:color w:val="0000EE"/>
            <w:u w:val="single"/>
          </w:rPr>
          <w:t>4.25</w:t>
        </w:r>
      </w:hyperlink>
      <w:r>
        <w:t>), qui se trouve dans cette région du nord-ouest.</w:t>
      </w:r>
    </w:p>
    <w:p>
      <w:r/>
      <w:r>
        <w:t xml:space="preserve">De nombreux lieux nommés dans la Bible sous le nom d'Arabie se trouvent plus spécifiquement en </w:t>
      </w:r>
      <w:r>
        <w:rPr>
          <w:i/>
        </w:rPr>
        <w:t>Arabia Petræa.</w:t>
      </w:r>
      <w:r>
        <w:t xml:space="preserve"> Ces sites incluent Buz, Dedan, Duma, Épha, le Hatsor de </w:t>
      </w:r>
      <w:hyperlink r:id="rId1086">
        <w:r>
          <w:rPr>
            <w:color w:val="0000EE"/>
            <w:u w:val="single"/>
          </w:rPr>
          <w:t>Jérémie 49.28–33</w:t>
        </w:r>
      </w:hyperlink>
      <w:r>
        <w:t>, Massa, Méscha et Madian. Hatsarmaveth, Ophir, Sabta, Sephar, Sheba et Uzal se situent au sud. Havila et Parvaïm sont peut-être au nord-est. Les experts débattent de l'emplacement de Saba. Le pays d'Uts est mentionné dans le livre de Job. De nombreux érudits pensent qu'il est situé dans la région entre Édom et le nord de l'Arabie.</w:t>
      </w:r>
    </w:p>
    <w:p>
      <w:r/>
      <w:r>
        <w:t>Beaucoup pensent que l'Arabie est l'un des pays les plus chauds du monde. Dans certaines régions, cette impression est exacte. La péninsule est bordée par des mers à l'est et à l'ouest, mais ces étendues d'eau sont trop petites pour modifier le paysage sec afro-asiatique. Cependant, certaines régions bénéficient d'un climat doux. Au sud, une grande partie du territoire est suffisamment élevée pour éviter l'intensité de la chaleur tropicale. Les basses terres le long de la côte ont un environnement semi-tropical. Les brouillards et les rosées sont courants dans les régions humides. À l'intérieur des terres de l'Arabie, le soleil brille toute l'année. Il est parfois obscurci par une tempête de sable ou une averse de pluie encore plus rare.</w:t>
      </w:r>
    </w:p>
    <w:p>
      <w:r/>
      <w:r>
        <w:t>Les gens convoitent l'Arabie pour ses ressources naturelles. Les pharaons de la première dynastie exploitaient des mines de turquoise au Sinaï. L'or d'Ophir ainsi que l'encens et la myrrhe de l'Arabie du Sud étaient renommés dans le monde entier. La reine de Saba apportera de telles épices précieuses à Salomon (</w:t>
      </w:r>
      <w:hyperlink r:id="rId1087">
        <w:r>
          <w:rPr>
            <w:color w:val="0000EE"/>
            <w:u w:val="single"/>
          </w:rPr>
          <w:t>1R 10.2, 10</w:t>
        </w:r>
      </w:hyperlink>
      <w:r>
        <w:t>). Le commerce entre Israël et l'Arabie prospérait. Salomon possédait un port maritime à Étsjon-Guéber sur la mer Rouge. Salomon utilisait ce port pour commercer avec Ophir (</w:t>
      </w:r>
      <w:hyperlink r:id="rId1088">
        <w:r>
          <w:rPr>
            <w:color w:val="0000EE"/>
            <w:u w:val="single"/>
          </w:rPr>
          <w:t>1R 9.26–28</w:t>
        </w:r>
      </w:hyperlink>
      <w:r>
        <w:t>). Le roi Josaphat de Juda recevait également un tribut de la part des Arabes (</w:t>
      </w:r>
      <w:hyperlink r:id="rId1089">
        <w:r>
          <w:rPr>
            <w:color w:val="0000EE"/>
            <w:u w:val="single"/>
          </w:rPr>
          <w:t>2Ch 17.11</w:t>
        </w:r>
      </w:hyperlink>
      <w:r>
        <w:t>). Josaphat tentera de relancer le commerce avec Ophir, mais échouera (</w:t>
      </w:r>
      <w:hyperlink r:id="rId1090">
        <w:r>
          <w:rPr>
            <w:color w:val="0000EE"/>
            <w:u w:val="single"/>
          </w:rPr>
          <w:t>1R 22.48</w:t>
        </w:r>
      </w:hyperlink>
      <w:r>
        <w:t>).</w:t>
      </w:r>
    </w:p>
    <w:p>
      <w:pPr>
        <w:pStyle w:val="Heading3"/>
      </w:pPr>
      <w:r>
        <w:t>Quels étaient les peuples et tribus d'Arabie ?</w:t>
      </w:r>
    </w:p>
    <w:p>
      <w:r/>
      <w:r>
        <w:t>Les tribus associées à l'Arabie ont joué un rôle significatif dans l'histoire biblique. Les Ismaélites ou Madianites ont emmené Joseph en Égypte (</w:t>
      </w:r>
      <w:hyperlink r:id="rId1091">
        <w:r>
          <w:rPr>
            <w:color w:val="0000EE"/>
            <w:u w:val="single"/>
          </w:rPr>
          <w:t>Gn 37.25–36</w:t>
        </w:r>
      </w:hyperlink>
      <w:r>
        <w:t>). Il s'agissait d'Arabes. Les Amalécites étaient également des Arabes. Ils feront la guerre avec Moïse dans le désert d'</w:t>
      </w:r>
      <w:r>
        <w:rPr>
          <w:i/>
        </w:rPr>
        <w:t>Arabia Petræa</w:t>
      </w:r>
      <w:r>
        <w:t xml:space="preserve"> (</w:t>
      </w:r>
      <w:hyperlink r:id="rId598">
        <w:r>
          <w:rPr>
            <w:color w:val="0000EE"/>
            <w:u w:val="single"/>
          </w:rPr>
          <w:t>Ex 17.8–16</w:t>
        </w:r>
      </w:hyperlink>
      <w:r>
        <w:t>). Le beau-père de Moïse était un Madianite (</w:t>
      </w:r>
      <w:hyperlink r:id="rId1092">
        <w:r>
          <w:rPr>
            <w:color w:val="0000EE"/>
            <w:u w:val="single"/>
          </w:rPr>
          <w:t>Ex 18.1</w:t>
        </w:r>
      </w:hyperlink>
      <w:r>
        <w:t>). Son nom est Jéthro. Le roi Ozias de Juda combattra contre les Arabes (</w:t>
      </w:r>
      <w:hyperlink r:id="rId1093">
        <w:r>
          <w:rPr>
            <w:color w:val="0000EE"/>
            <w:u w:val="single"/>
          </w:rPr>
          <w:t>2Ch 26.7</w:t>
        </w:r>
      </w:hyperlink>
      <w:r>
        <w:t xml:space="preserve">). Les </w:t>
      </w:r>
      <w:r>
        <w:t>Maonites</w:t>
      </w:r>
      <w:r>
        <w:t xml:space="preserve"> mentionnés dans le même verset étaient sans doute originaires d'Arabie également. Guéschem l'Arabe résistera à la reconstruction du mur de Jérusalem (</w:t>
      </w:r>
      <w:hyperlink r:id="rId1094">
        <w:r>
          <w:rPr>
            <w:color w:val="0000EE"/>
            <w:u w:val="single"/>
          </w:rPr>
          <w:t>Né 2.19</w:t>
        </w:r>
      </w:hyperlink>
      <w:r>
        <w:t xml:space="preserve"> ; </w:t>
      </w:r>
      <w:hyperlink r:id="rId1095">
        <w:r>
          <w:rPr>
            <w:color w:val="0000EE"/>
            <w:u w:val="single"/>
          </w:rPr>
          <w:t>6.1, 6</w:t>
        </w:r>
      </w:hyperlink>
      <w:r>
        <w:t>). Il est également connu par des inscriptions non religieuses.</w:t>
      </w:r>
    </w:p>
    <w:p>
      <w:r/>
      <w:r>
        <w:t>Kédar était une importante tribu arabe du Nord. Elle sera condamnée dans l'oracle d'Ésaïe concernant l'Arabie (</w:t>
      </w:r>
      <w:hyperlink r:id="rId1096">
        <w:r>
          <w:rPr>
            <w:color w:val="0000EE"/>
            <w:u w:val="single"/>
          </w:rPr>
          <w:t>Es 21.13–17</w:t>
        </w:r>
      </w:hyperlink>
      <w:r>
        <w:t>). Jérémie parlera également contre elle. Il prophétisera sa destruction par Nebucadnetsar, qui a conquis l'Arabie (</w:t>
      </w:r>
      <w:hyperlink r:id="rId1086">
        <w:r>
          <w:rPr>
            <w:color w:val="0000EE"/>
            <w:u w:val="single"/>
          </w:rPr>
          <w:t>Jr 49.28–33</w:t>
        </w:r>
      </w:hyperlink>
      <w:r>
        <w:t>). Les Arabes Nabatéens étaient des alliés proches de la tribu de Kédar (</w:t>
      </w:r>
      <w:hyperlink r:id="rId1097">
        <w:r>
          <w:rPr>
            <w:color w:val="0000EE"/>
            <w:u w:val="single"/>
          </w:rPr>
          <w:t>Es 60.7</w:t>
        </w:r>
      </w:hyperlink>
      <w:r>
        <w:t>). Les Arabes Nabatéens deviendront très importants dans l'histoire ultérieure. Ils captureront Pétra et accompliront la prophétie d'Abdias concernant Édom. Les références à l'Arabie et aux Arabes dans les livres apocryphes et le Nouveau Testament concernent principalement les Arabes Nabatéens (</w:t>
      </w:r>
      <w:hyperlink r:id="rId1098">
        <w:r>
          <w:rPr>
            <w:color w:val="0000EE"/>
            <w:u w:val="single"/>
          </w:rPr>
          <w:t>1 M 11.16</w:t>
        </w:r>
      </w:hyperlink>
      <w:r>
        <w:t xml:space="preserve"> ; </w:t>
      </w:r>
      <w:hyperlink r:id="rId1070">
        <w:r>
          <w:rPr>
            <w:color w:val="0000EE"/>
            <w:u w:val="single"/>
          </w:rPr>
          <w:t>Gal 1.17</w:t>
        </w:r>
      </w:hyperlink>
      <w:r>
        <w:t>).</w:t>
      </w:r>
    </w:p>
    <w:p>
      <w:pPr>
        <w:pStyle w:val="Heading3"/>
      </w:pPr>
      <w:r>
        <w:t>Quels royaumes se sont développés dans le sud de l'Arabie ?</w:t>
      </w:r>
    </w:p>
    <w:p>
      <w:r/>
      <w:r>
        <w:t>Dans le sud de l'Arabie, quatre royaumes se sont développés :</w:t>
      </w:r>
    </w:p>
    <w:p>
      <w:pPr>
        <w:pStyle w:val="ListNumber"/>
        <w:spacing w:line="240" w:lineRule="auto"/>
        <w:ind w:left="720"/>
      </w:pPr>
      <w:r/>
      <w:r>
        <w:t>Le royaume de Saba (également appelé sabéen)</w:t>
      </w:r>
    </w:p>
    <w:p>
      <w:pPr>
        <w:pStyle w:val="ListNumber"/>
        <w:spacing w:line="240" w:lineRule="auto"/>
        <w:ind w:left="720"/>
      </w:pPr>
      <w:r/>
      <w:r>
        <w:t>Le royaume de Ma'in (également appelé minéen)</w:t>
      </w:r>
    </w:p>
    <w:p>
      <w:pPr>
        <w:pStyle w:val="ListNumber"/>
        <w:spacing w:line="240" w:lineRule="auto"/>
        <w:ind w:left="720"/>
      </w:pPr>
      <w:r/>
      <w:r>
        <w:t>Le royaume de Qataban</w:t>
      </w:r>
    </w:p>
    <w:p>
      <w:pPr>
        <w:pStyle w:val="ListNumber"/>
        <w:spacing w:line="240" w:lineRule="auto"/>
        <w:ind w:left="720"/>
      </w:pPr>
      <w:r/>
      <w:r>
        <w:t>Le royaume de l'Hadramaout</w:t>
      </w:r>
    </w:p>
    <w:p>
      <w:r/>
      <w:r>
        <w:t>Vers 115 av. J.‑C., le royaume himyarite prendra le contrôle du sud de l'Arabie. Ce royaume contrôlera l'Arabie jusqu'en l'an 300 apr. J.‑C. environ. Trois siècles plus tard, la péninsule arabique sera le théâtre des débuts de l'islam.</w:t>
      </w:r>
      <w:r/>
      <w:r/>
    </w:p>
    <w:p>
      <w:r/>
    </w:p>
    <w:p>
      <w:pPr>
        <w:pStyle w:val="Heading2"/>
      </w:pPr>
      <w:r>
        <w:t>Aram (Personne)</w:t>
      </w:r>
      <w:r/>
    </w:p>
    <w:p>
      <w:pPr>
        <w:pStyle w:val="ListNumber"/>
        <w:spacing w:line="240" w:lineRule="auto"/>
        <w:ind w:left="720"/>
      </w:pPr>
      <w:r/>
      <w:r>
        <w:t>Fils de Sem et petit-fils de Noé (</w:t>
      </w:r>
      <w:hyperlink r:id="rId1099">
        <w:r>
          <w:rPr>
            <w:color w:val="0000EE"/>
            <w:u w:val="single"/>
          </w:rPr>
          <w:t>Gn 10.22–23</w:t>
        </w:r>
      </w:hyperlink>
      <w:r>
        <w:t xml:space="preserve"> ; </w:t>
      </w:r>
      <w:hyperlink r:id="rId1100">
        <w:r>
          <w:rPr>
            <w:color w:val="0000EE"/>
            <w:u w:val="single"/>
          </w:rPr>
          <w:t>1Ch 1.17</w:t>
        </w:r>
      </w:hyperlink>
      <w:r>
        <w:t xml:space="preserve">). Ancêtre des Araméens. </w:t>
      </w:r>
      <w:r>
        <w:rPr>
          <w:i/>
        </w:rPr>
        <w:t>Voir</w:t>
      </w:r>
      <w:r>
        <w:t xml:space="preserve"> </w:t>
      </w:r>
      <w:r>
        <w:t>Syrie, Syriens</w:t>
      </w:r>
      <w:r>
        <w:t>.</w:t>
      </w:r>
    </w:p>
    <w:p>
      <w:pPr>
        <w:pStyle w:val="ListNumber"/>
        <w:spacing w:line="240" w:lineRule="auto"/>
        <w:ind w:left="720"/>
      </w:pPr>
      <w:r/>
      <w:r>
        <w:t>Fils de Kemuel, petit-fils de Nachor, le frère d'Abraham (</w:t>
      </w:r>
      <w:hyperlink r:id="rId1101">
        <w:r>
          <w:rPr>
            <w:color w:val="0000EE"/>
            <w:u w:val="single"/>
          </w:rPr>
          <w:t>Gn 22.21</w:t>
        </w:r>
      </w:hyperlink>
      <w:r>
        <w:t>).</w:t>
      </w:r>
    </w:p>
    <w:p>
      <w:pPr>
        <w:pStyle w:val="ListNumber"/>
        <w:spacing w:line="240" w:lineRule="auto"/>
        <w:ind w:left="720"/>
      </w:pPr>
      <w:r/>
      <w:r>
        <w:t>Fils de Shémer de la tribu d'Aser (</w:t>
      </w:r>
      <w:hyperlink r:id="rId1102">
        <w:r>
          <w:rPr>
            <w:color w:val="0000EE"/>
            <w:u w:val="single"/>
          </w:rPr>
          <w:t>1Ch 7.34</w:t>
        </w:r>
      </w:hyperlink>
      <w:r>
        <w:t>).</w:t>
      </w:r>
    </w:p>
    <w:p>
      <w:pPr>
        <w:pStyle w:val="ListNumber"/>
        <w:spacing w:line="240" w:lineRule="auto"/>
        <w:ind w:left="720"/>
      </w:pPr>
      <w:r/>
      <w:r>
        <w:t>L'Aram utilisé dans la liste des ancêtres de Jésus-Christ (</w:t>
      </w:r>
      <w:hyperlink r:id="rId1103">
        <w:r>
          <w:rPr>
            <w:color w:val="0000EE"/>
            <w:u w:val="single"/>
          </w:rPr>
          <w:t>Matthieu 1.3–4</w:t>
        </w:r>
      </w:hyperlink>
      <w:r>
        <w:t xml:space="preserve">, version LSG) est une mauvaise traduction du mot grec </w:t>
      </w:r>
      <w:r>
        <w:rPr>
          <w:i/>
        </w:rPr>
        <w:t>Aram</w:t>
      </w:r>
      <w:r>
        <w:t xml:space="preserve"> qui signifie « Ram », qui est un nom entièrement différent (</w:t>
      </w:r>
      <w:hyperlink r:id="rId1104">
        <w:r>
          <w:rPr>
            <w:color w:val="0000EE"/>
            <w:u w:val="single"/>
          </w:rPr>
          <w:t>Rt 4.19</w:t>
        </w:r>
      </w:hyperlink>
      <w:r>
        <w:t xml:space="preserve">). </w:t>
      </w:r>
      <w:r>
        <w:rPr>
          <w:i/>
        </w:rPr>
        <w:t>Voir</w:t>
      </w:r>
      <w:r>
        <w:t xml:space="preserve"> </w:t>
      </w:r>
      <w:r>
        <w:t>Ram (Personne) n° 1</w:t>
      </w:r>
      <w:r>
        <w:t>.</w:t>
      </w:r>
      <w:r/>
      <w:r/>
    </w:p>
    <w:p>
      <w:r/>
    </w:p>
    <w:p>
      <w:pPr>
        <w:pStyle w:val="Heading2"/>
      </w:pPr>
      <w:r>
        <w:t>Araméen</w:t>
      </w:r>
      <w:r/>
    </w:p>
    <w:p>
      <w:r/>
      <w:r>
        <w:t>Une des trois langues originales de la Bible. Certaines sections de Daniel (</w:t>
      </w:r>
      <w:hyperlink r:id="rId1105">
        <w:r>
          <w:rPr>
            <w:color w:val="0000EE"/>
            <w:u w:val="single"/>
          </w:rPr>
          <w:t>2.4b</w:t>
        </w:r>
      </w:hyperlink>
      <w:r>
        <w:t>–</w:t>
      </w:r>
      <w:hyperlink r:id="rId1105">
        <w:r>
          <w:rPr>
            <w:color w:val="0000EE"/>
            <w:u w:val="single"/>
          </w:rPr>
          <w:t>7.28</w:t>
        </w:r>
      </w:hyperlink>
      <w:r>
        <w:t>) et Esdras (</w:t>
      </w:r>
      <w:hyperlink r:id="rId1106">
        <w:r>
          <w:rPr>
            <w:color w:val="0000EE"/>
            <w:u w:val="single"/>
          </w:rPr>
          <w:t>4.8</w:t>
        </w:r>
      </w:hyperlink>
      <w:r>
        <w:t>–</w:t>
      </w:r>
      <w:hyperlink r:id="rId1106">
        <w:r>
          <w:rPr>
            <w:color w:val="0000EE"/>
            <w:u w:val="single"/>
          </w:rPr>
          <w:t>6.18</w:t>
        </w:r>
      </w:hyperlink>
      <w:r>
        <w:t xml:space="preserve">; </w:t>
      </w:r>
      <w:hyperlink r:id="rId1107">
        <w:r>
          <w:rPr>
            <w:color w:val="0000EE"/>
            <w:u w:val="single"/>
          </w:rPr>
          <w:t>7.12</w:t>
        </w:r>
      </w:hyperlink>
      <w:r>
        <w:t>–</w:t>
      </w:r>
      <w:hyperlink r:id="rId1107">
        <w:r>
          <w:rPr>
            <w:color w:val="0000EE"/>
            <w:u w:val="single"/>
          </w:rPr>
          <w:t>26</w:t>
        </w:r>
      </w:hyperlink>
      <w:r>
        <w:t>) ont été écrites originellement en araméen. Des phrases et expressions araméennes apparaissent également dans Genèse (</w:t>
      </w:r>
      <w:hyperlink r:id="rId1108">
        <w:r>
          <w:rPr>
            <w:color w:val="0000EE"/>
            <w:u w:val="single"/>
          </w:rPr>
          <w:t>31.47</w:t>
        </w:r>
      </w:hyperlink>
      <w:r>
        <w:t>), Jérémie (</w:t>
      </w:r>
      <w:hyperlink r:id="rId1109">
        <w:r>
          <w:rPr>
            <w:color w:val="0000EE"/>
            <w:u w:val="single"/>
          </w:rPr>
          <w:t>10.11</w:t>
        </w:r>
      </w:hyperlink>
      <w:r>
        <w:t>) et le Nouveau Testament.</w:t>
      </w:r>
    </w:p>
    <w:p>
      <w:pPr>
        <w:pStyle w:val="Heading3"/>
      </w:pPr>
      <w:r>
        <w:t>Usage dans l'Ancien Testament</w:t>
      </w:r>
    </w:p>
    <w:p>
      <w:r/>
      <w:r>
        <w:t>L'araméen est similaire à l'hébreu dans sa structure et s'écrit avec le même alphabet. Contrairement à l'hébreu, l'araméen possède un vocabulaire plus vaste avec de nombreux mots empruntés et une plus grande variété de mots de liaison. Il contient également beaucoup plus de temps verbaux, utilisant des participes avec des pronoms ou avec diverses formes du verbe « être ». Bien que l'araméen soit moins agréable à l'oreille et moins lyrique que l'hébreu, il est très probablement plus adapté pour une communication efficace.</w:t>
      </w:r>
    </w:p>
    <w:p>
      <w:r/>
      <w:r>
        <w:t>Il se peut que l'araméen ait la plus longue histoire de toutes les langues actuelles. Il était parlé pendant la période patriarcale de la Bible (durant la vie d'Abraham, d'Isaac et de Jacob) et est encore utilisé aujourd'hui. L'araméen et sa langue apparentée, le syriaque, se sont développés en de nombreux dialectes (mots et expressions propres à une région ou à un groupe social) à différentes époques et en divers lieux. La langue est simple, clair et précise. Elle s'est adapté facilement aux besoins quotidiens. Elle était tout aussi utile pour les érudits, les élèves, les avocats et les marchands. Certains l'ont décrit comme l'équivalent sémite de l'anglais.</w:t>
      </w:r>
    </w:p>
    <w:p>
      <w:r/>
      <w:r>
        <w:t>L'origine de l'araméen est inconnue, mais il semble avoir été étroitement lié à l'amoréen et peut-être à d'autres dialectes perdus de la langue sémitique du Nord-Ouest (une famille de langues qui inclut l'hébreu, l'ougaritique et le cananéen). Bien qu'un royaume araméen n'ait jamais existé, certains « états » araméens ont été influents. Quelques écrits courts en araméen datant du 10e au 8e siècle av. J.‑C. ont été découverts et étudiés.</w:t>
      </w:r>
    </w:p>
    <w:p>
      <w:r/>
      <w:r>
        <w:t xml:space="preserve">Au 8e siècle av. J.‑C., les représentants du roi Ézéchias ont demandé aux porte-parole du roi assyrien Sanchérib : « </w:t>
      </w:r>
      <w:r>
        <w:t>Parle à tes serviteurs en araméen, car nous le comprenons</w:t>
      </w:r>
      <w:r>
        <w:t xml:space="preserve"> </w:t>
      </w:r>
      <w:r>
        <w:t>; et ne nous parle pas en langue judaïque, aux oreilles du peuple qui est sur la muraille</w:t>
      </w:r>
      <w:r>
        <w:t xml:space="preserve"> » (</w:t>
      </w:r>
      <w:hyperlink r:id="rId1110">
        <w:r>
          <w:rPr>
            <w:color w:val="0000EE"/>
            <w:u w:val="single"/>
          </w:rPr>
          <w:t>2R 18.26</w:t>
        </w:r>
      </w:hyperlink>
      <w:r>
        <w:t>). À l'époque perse, l'araméen était la langue du commerce international. Le peuple juif a probablement commencé à l'utiliser en exil par commodité (au moins dans le commerce), tandis que l'hébreu était principalement utilisé par l'élite éduquée et les chefs religieux.</w:t>
      </w:r>
    </w:p>
    <w:p>
      <w:r/>
      <w:r>
        <w:t>Progressivement, à compter de l'exil à Babylone, l'araméen s'est largement répandu en Palestine. Néhémie se plaignait que les enfants issus de mariages mixtes (avec un parent qui n'était pas juif) ne savaient pas parler hébreu (</w:t>
      </w:r>
      <w:hyperlink r:id="rId1111">
        <w:r>
          <w:rPr>
            <w:color w:val="0000EE"/>
            <w:u w:val="single"/>
          </w:rPr>
          <w:t>Né 13.24</w:t>
        </w:r>
      </w:hyperlink>
      <w:r>
        <w:t xml:space="preserve">). Le peuple juif a continué à utiliser l'araméen de manière répandue pendant les périodes perse, grecque et romaine. L'Ancien Testament a finalement été traduit en paraphrases araméennes. Ces traductions sont appelées </w:t>
      </w:r>
      <w:r>
        <w:rPr>
          <w:i/>
        </w:rPr>
        <w:t>Targums</w:t>
      </w:r>
      <w:r>
        <w:t>, et certaines ont été trouvées avec les manuscrits de la mer Morte.</w:t>
      </w:r>
    </w:p>
    <w:p>
      <w:pPr>
        <w:pStyle w:val="Heading3"/>
      </w:pPr>
      <w:r>
        <w:t>Usage dans le Nouveau Testament</w:t>
      </w:r>
    </w:p>
    <w:p>
      <w:r/>
      <w:r>
        <w:t>On estime que l'araméen était la langue commune de la Palestine à l'époque de Jésus. Cependant, il pourrait s'agir d'une simplification excessive. Les noms utilisés dans le Nouveau Testament sont écrits dans plusieurs langues :</w:t>
      </w:r>
    </w:p>
    <w:p>
      <w:pPr>
        <w:pStyle w:val="ListBullet"/>
        <w:spacing w:line="240" w:lineRule="auto"/>
        <w:ind w:left="720"/>
      </w:pPr>
      <w:r/>
      <w:r>
        <w:t>Araméen (par exemple : Barthélemy, Bar-Jonas, Barnabas)</w:t>
      </w:r>
    </w:p>
    <w:p>
      <w:pPr>
        <w:pStyle w:val="ListBullet"/>
        <w:spacing w:line="240" w:lineRule="auto"/>
        <w:ind w:left="720"/>
      </w:pPr>
      <w:r/>
      <w:r>
        <w:t>Grec (par exemple : André, Philippe)</w:t>
      </w:r>
    </w:p>
    <w:p>
      <w:pPr>
        <w:pStyle w:val="ListBullet"/>
        <w:spacing w:line="240" w:lineRule="auto"/>
        <w:ind w:left="720"/>
      </w:pPr>
      <w:r/>
      <w:r>
        <w:t>Latin (par exemple : Marc)</w:t>
      </w:r>
    </w:p>
    <w:p>
      <w:pPr>
        <w:pStyle w:val="ListBullet"/>
        <w:spacing w:line="240" w:lineRule="auto"/>
        <w:ind w:left="720"/>
      </w:pPr>
      <w:r/>
      <w:r>
        <w:t>Hébreu</w:t>
      </w:r>
    </w:p>
    <w:p>
      <w:r/>
      <w:r>
        <w:t>L'araméen était largement utilisé aux côtés du grec et de l'hébreu. Le latin était probablement limité aux groupes militaires et politiques. Le dialecte hébraïque quotidien, l'hébreu mishnaïque, était également utilisé à l'époque de Jésus. Des documents en hébreu mishnaïque ont été trouvés avec les manuscrits de la mer Morte.</w:t>
      </w:r>
    </w:p>
    <w:p>
      <w:r/>
      <w:r>
        <w:t>Quel était donc l'« hébreu » mentionné dans certains passages du Nouveau Testament (</w:t>
      </w:r>
      <w:hyperlink r:id="rId1112">
        <w:r>
          <w:rPr>
            <w:color w:val="0000EE"/>
            <w:u w:val="single"/>
          </w:rPr>
          <w:t>Jn 5.2</w:t>
        </w:r>
      </w:hyperlink>
      <w:r>
        <w:t xml:space="preserve"> ; </w:t>
      </w:r>
      <w:hyperlink r:id="rId1113">
        <w:r>
          <w:rPr>
            <w:color w:val="0000EE"/>
            <w:u w:val="single"/>
          </w:rPr>
          <w:t>19.13, 17, 20</w:t>
        </w:r>
      </w:hyperlink>
      <w:r>
        <w:t xml:space="preserve"> ; </w:t>
      </w:r>
      <w:hyperlink r:id="rId1114">
        <w:r>
          <w:rPr>
            <w:color w:val="0000EE"/>
            <w:u w:val="single"/>
          </w:rPr>
          <w:t>20.16</w:t>
        </w:r>
      </w:hyperlink>
      <w:r>
        <w:t xml:space="preserve"> ; </w:t>
      </w:r>
      <w:hyperlink r:id="rId58">
        <w:r>
          <w:rPr>
            <w:color w:val="0000EE"/>
            <w:u w:val="single"/>
          </w:rPr>
          <w:t>Ap 9.11</w:t>
        </w:r>
      </w:hyperlink>
      <w:r>
        <w:t xml:space="preserve"> ; </w:t>
      </w:r>
      <w:hyperlink r:id="rId1115">
        <w:r>
          <w:rPr>
            <w:color w:val="0000EE"/>
            <w:u w:val="single"/>
          </w:rPr>
          <w:t>16.16</w:t>
        </w:r>
      </w:hyperlink>
      <w:r>
        <w:t>) ? Les langues de l'inscription sur la croix de Jésus étaient écrites en « hébreu, latin et grec » (</w:t>
      </w:r>
      <w:hyperlink r:id="rId1116">
        <w:r>
          <w:rPr>
            <w:color w:val="0000EE"/>
            <w:u w:val="single"/>
          </w:rPr>
          <w:t>Jn 19.19–20</w:t>
        </w:r>
      </w:hyperlink>
      <w:r>
        <w:t>). Plus tard, il a été dit que l'apôtre Paul parlait « hébreu » (</w:t>
      </w:r>
      <w:hyperlink r:id="rId1117">
        <w:r>
          <w:rPr>
            <w:color w:val="0000EE"/>
            <w:u w:val="single"/>
          </w:rPr>
          <w:t>Ac 22.2</w:t>
        </w:r>
      </w:hyperlink>
      <w:r>
        <w:t xml:space="preserve"> ; </w:t>
      </w:r>
      <w:hyperlink r:id="rId1118">
        <w:r>
          <w:rPr>
            <w:color w:val="0000EE"/>
            <w:u w:val="single"/>
          </w:rPr>
          <w:t>26.14</w:t>
        </w:r>
      </w:hyperlink>
      <w:r>
        <w:t xml:space="preserve">). Le dialecte exact qu'il parlait n'est pas clair, mais il était pharisien et aurait été capable de lire l'hébreu de l'Ancien Testament. Le mot grec pour </w:t>
      </w:r>
      <w:r>
        <w:rPr>
          <w:i/>
        </w:rPr>
        <w:t>hébreu</w:t>
      </w:r>
      <w:r>
        <w:t xml:space="preserve"> est parfois traduit par </w:t>
      </w:r>
      <w:r>
        <w:rPr>
          <w:i/>
        </w:rPr>
        <w:t>araméen</w:t>
      </w:r>
      <w:r>
        <w:t>. Il peut s'agir d'un terme général pour sémitique ou pour un mélange d'hébreu-araméen (de la même manière que le yiddish est de l'allemand mélangé avec de l'hébreu). Quoi qu'il en soit, l'araméen servait de moyen pour relier l'hébreu au grec comme la langue parlée par le peuple juif à l'époque de Jésus. En ce sens, l'araméen relie l'hébreu de l'Ancien Testament au grec du Nouveau Testament.</w:t>
      </w:r>
      <w:r/>
      <w:r/>
    </w:p>
    <w:p>
      <w:r/>
    </w:p>
    <w:p>
      <w:pPr>
        <w:pStyle w:val="Heading2"/>
      </w:pPr>
      <w:r>
        <w:t>Aram-Naharaïm</w:t>
      </w:r>
      <w:r/>
    </w:p>
    <w:p>
      <w:r/>
      <w:r>
        <w:t>Mot hébreu signifiant « Aram des deux rivières », qui se réfère à la région délimitée par le haut Euphrate et les rivières du Habur. Traduit par « Mésopotamie » (</w:t>
      </w:r>
      <w:hyperlink r:id="rId1119">
        <w:r>
          <w:rPr>
            <w:color w:val="0000EE"/>
            <w:u w:val="single"/>
          </w:rPr>
          <w:t>Dt 23.4</w:t>
        </w:r>
      </w:hyperlink>
      <w:r>
        <w:t>, Version LSG).</w:t>
      </w:r>
    </w:p>
    <w:p>
      <w:r/>
      <w:r>
        <w:t>La grande ville de cette région était Charan, où se sont arrêtés Térach et Abram. C'est aussi là que Térach est mort (</w:t>
      </w:r>
      <w:hyperlink r:id="rId1120">
        <w:r>
          <w:rPr>
            <w:color w:val="0000EE"/>
            <w:u w:val="single"/>
          </w:rPr>
          <w:t>Gn 11.31–32</w:t>
        </w:r>
      </w:hyperlink>
      <w:r>
        <w:t>). Un serviteur d'Abram (plus tard appelé Abraham) retournera dans la même région pour chercher une épouse pour Isaac, le fils d'Abraham (</w:t>
      </w:r>
      <w:hyperlink r:id="rId1121">
        <w:r>
          <w:rPr>
            <w:color w:val="0000EE"/>
            <w:u w:val="single"/>
          </w:rPr>
          <w:t>Gn 24.1–10</w:t>
        </w:r>
      </w:hyperlink>
      <w:r>
        <w:t>). Jacob, le fils d'Isaac, y retournera également pour y chercher une épouse (</w:t>
      </w:r>
      <w:hyperlink r:id="rId1122">
        <w:r>
          <w:rPr>
            <w:color w:val="0000EE"/>
            <w:u w:val="single"/>
          </w:rPr>
          <w:t>Gn 28.1–5</w:t>
        </w:r>
      </w:hyperlink>
      <w:r>
        <w:t>). Paddan-Aram est un autre nom pour Aram-Naharaïm. Aram-Naharaïm était le foyer de Balaam, un prophète païen (</w:t>
      </w:r>
      <w:hyperlink r:id="rId1119">
        <w:r>
          <w:rPr>
            <w:color w:val="0000EE"/>
            <w:u w:val="single"/>
          </w:rPr>
          <w:t>Dt 23.4</w:t>
        </w:r>
      </w:hyperlink>
      <w:r>
        <w:t>).</w:t>
      </w:r>
    </w:p>
    <w:p>
      <w:r/>
      <w:r>
        <w:t>Cuschan-Rischeathaïm, roi d'Aram-Naharaïm, était un oppresseur d'Israël pendant la période des juges (</w:t>
      </w:r>
      <w:hyperlink r:id="rId1123">
        <w:r>
          <w:rPr>
            <w:color w:val="0000EE"/>
            <w:u w:val="single"/>
          </w:rPr>
          <w:t>Jg 3.8–11</w:t>
        </w:r>
      </w:hyperlink>
      <w:r>
        <w:t>). Plus tard, pendant les guerres du roi David contre Ammon, il devra affronter des charretiers mercenaires engagés des centres araméens d'Aram-Naharaïm, les Syriens de Maaca et de Tsoba (</w:t>
      </w:r>
      <w:hyperlink r:id="rId1124">
        <w:r>
          <w:rPr>
            <w:color w:val="0000EE"/>
            <w:u w:val="single"/>
          </w:rPr>
          <w:t>1Ch 19.6</w:t>
        </w:r>
      </w:hyperlink>
      <w:r>
        <w:t xml:space="preserve"> ; voir le titre de </w:t>
      </w:r>
      <w:hyperlink r:id="rId1125">
        <w:r>
          <w:rPr>
            <w:color w:val="0000EE"/>
            <w:u w:val="single"/>
          </w:rPr>
          <w:t>Ps 60</w:t>
        </w:r>
      </w:hyperlink>
      <w:r>
        <w:t xml:space="preserve">). </w:t>
      </w:r>
      <w:r>
        <w:rPr>
          <w:i/>
        </w:rPr>
        <w:t>Voir</w:t>
      </w:r>
      <w:r>
        <w:t xml:space="preserve"> </w:t>
      </w:r>
      <w:r>
        <w:t>Syrie, Syriens</w:t>
      </w:r>
      <w:r>
        <w:t>.</w:t>
      </w:r>
      <w:r/>
      <w:r/>
    </w:p>
    <w:p>
      <w:r/>
    </w:p>
    <w:p>
      <w:pPr>
        <w:pStyle w:val="Heading2"/>
      </w:pPr>
      <w:r>
        <w:t>Aran</w:t>
      </w:r>
      <w:r/>
    </w:p>
    <w:p>
      <w:r/>
      <w:r>
        <w:t>Fils de Dischan, petit-fils de Séir le Horien, et descendant d'Ésaü (</w:t>
      </w:r>
      <w:hyperlink r:id="rId1126">
        <w:r>
          <w:rPr>
            <w:color w:val="0000EE"/>
            <w:u w:val="single"/>
          </w:rPr>
          <w:t>Gn 36.28</w:t>
        </w:r>
      </w:hyperlink>
      <w:r>
        <w:t xml:space="preserve"> ; </w:t>
      </w:r>
      <w:hyperlink r:id="rId1127">
        <w:r>
          <w:rPr>
            <w:color w:val="0000EE"/>
            <w:u w:val="single"/>
          </w:rPr>
          <w:t>1Ch 1.42</w:t>
        </w:r>
      </w:hyperlink>
      <w:r>
        <w:t>).</w:t>
      </w:r>
      <w:r/>
      <w:r/>
    </w:p>
    <w:p>
      <w:r/>
    </w:p>
    <w:p>
      <w:pPr>
        <w:pStyle w:val="Heading2"/>
      </w:pPr>
      <w:r>
        <w:t>Ararat</w:t>
      </w:r>
      <w:r/>
    </w:p>
    <w:p>
      <w:r/>
      <w:r>
        <w:t>L'Ararat est une chaîne de montagnes rocheuses en Arménie (</w:t>
      </w:r>
      <w:hyperlink r:id="rId1128">
        <w:r>
          <w:rPr>
            <w:color w:val="0000EE"/>
            <w:u w:val="single"/>
          </w:rPr>
          <w:t>2R 19.37</w:t>
        </w:r>
      </w:hyperlink>
      <w:r>
        <w:t xml:space="preserve"> ; </w:t>
      </w:r>
      <w:hyperlink r:id="rId1129">
        <w:r>
          <w:rPr>
            <w:color w:val="0000EE"/>
            <w:u w:val="single"/>
          </w:rPr>
          <w:t>Es 37.38</w:t>
        </w:r>
      </w:hyperlink>
      <w:r>
        <w:t>).</w:t>
      </w:r>
    </w:p>
    <w:p>
      <w:r/>
      <w:r>
        <w:t>Elle se situe juste au sud de la mer Noire et entre celle-ci et la mer Caspienne. La chaîne s'étend dans l'est de la Turquie, le sud de la Géorgie et le nord de l'Iran. Selon la Bible, l'arche de Noé a atterri sur ces montagnes lorsque les eaux du déluge ont commencé à baisser (</w:t>
      </w:r>
      <w:hyperlink r:id="rId1130">
        <w:r>
          <w:rPr>
            <w:color w:val="0000EE"/>
            <w:u w:val="single"/>
          </w:rPr>
          <w:t>Gn 8.4</w:t>
        </w:r>
      </w:hyperlink>
      <w:r>
        <w:t>). De nombreuses personnes ont exploré cette région reculée, espérant trouver l'arche.</w:t>
      </w:r>
    </w:p>
    <w:p>
      <w:r/>
      <w:r>
        <w:t xml:space="preserve">Nous ne connaissons pas l'emplacement exact d'un Mont Ararat en tant que tel. Il existe cependant un emplacement traditionnel entre le lac de Van et le lac d'Urmia, dans ce qui était autrefois appelé Urartu (un ancien nom similaire à « Ararat »). Cette région faisait autrefois partie de l'Assyrie. La terre environnante est une haute plaine avec très peu de végétation, très peu d'habitants, et des champs vides de lave durcie. Un sommet de montagne dans cette région est appelé Agri Dagh, ce qui signifie « Montagne des Ennuis » en turc. Il mesure 5 140 m de haut. Les habitants l'appellent Kohl Nu, ce qui signifie « Mont de Noé ». En raison de ce nom, la plupart des gens qui cherchent l'arche de Noé explorent cette région. </w:t>
      </w:r>
      <w:r>
        <w:rPr>
          <w:i/>
        </w:rPr>
        <w:t>Voir</w:t>
      </w:r>
      <w:r>
        <w:t xml:space="preserve"> </w:t>
      </w:r>
      <w:r>
        <w:t>Noé n° 1</w:t>
      </w:r>
      <w:r>
        <w:t xml:space="preserve"> ; </w:t>
      </w:r>
      <w:r>
        <w:t>Déluge</w:t>
      </w:r>
      <w:r>
        <w:t>.</w:t>
      </w:r>
      <w:r/>
      <w:r/>
    </w:p>
    <w:p>
      <w:r/>
    </w:p>
    <w:p>
      <w:pPr>
        <w:pStyle w:val="Heading2"/>
      </w:pPr>
      <w:r>
        <w:t>Aratus</w:t>
      </w:r>
      <w:r/>
    </w:p>
    <w:p>
      <w:r/>
      <w:r>
        <w:t xml:space="preserve">Poète grec (315 ?–245 ? av. J.‑C.). Aratus est né à Soli en Cilicie (en Asie Mineure). Il étudie à Athènes où il sera influencé par Zénon, le fondateur du stoïcisme. Le stoïcisme est une philosophie qui enseigne aux gens à rester calmes et à contrôler leurs émotions en se concentrant sur ce qu'ils peuvent maîtriser et en acceptant ce qu'ils ne peuvent pas. Plus tard, Aratus a vécu dans le palais d'Antigone Gonatas de Macédoine et d'Antiochus 1er, roi de Syrie. Le seul ouvrage existant d'Aratus est un poème sur l'astronomie, « Phénomènes », dédié à Zeus. L'apôtre Paul citera ce poème dans son discours sur l'Aréopage à Athènes : « </w:t>
      </w:r>
      <w:r>
        <w:t>De lui nous sommes la race</w:t>
      </w:r>
      <w:r>
        <w:t xml:space="preserve"> » (</w:t>
      </w:r>
      <w:hyperlink r:id="rId1131">
        <w:r>
          <w:rPr>
            <w:color w:val="0000EE"/>
            <w:u w:val="single"/>
          </w:rPr>
          <w:t>Ac 17.28</w:t>
        </w:r>
      </w:hyperlink>
      <w:r>
        <w:t>).</w:t>
      </w:r>
      <w:r/>
      <w:r/>
    </w:p>
    <w:p>
      <w:r/>
    </w:p>
    <w:p>
      <w:pPr>
        <w:pStyle w:val="Heading2"/>
      </w:pPr>
      <w:r>
        <w:t>Aravna</w:t>
      </w:r>
      <w:r/>
    </w:p>
    <w:p>
      <w:r/>
      <w:r>
        <w:t>Aravna était un Jébusien dont l'aire de battage (lieu où le grain était séparé de la paille) sera le théâtre de certains événements significatifs de l'histoire biblique (Jébus était le nom d'une ancienne ville cananéenne qui deviendra plus tard Jérusalem.)</w:t>
      </w:r>
    </w:p>
    <w:p>
      <w:r/>
      <w:r>
        <w:t>Le Seigneur empêchera un ange de continuer à infliger à Israël une peste (maladie ou fléau) après la mort de 70 000 Israélites (</w:t>
      </w:r>
      <w:hyperlink r:id="rId1132">
        <w:r>
          <w:rPr>
            <w:color w:val="0000EE"/>
            <w:u w:val="single"/>
          </w:rPr>
          <w:t>2S 24.15–16</w:t>
        </w:r>
      </w:hyperlink>
      <w:r>
        <w:t>). Cette peste du Seigneur était la conséquence du recensement orgueilleux du roi David. C'est à l'aire de battage d'Aravna que cet événement se produit.</w:t>
      </w:r>
    </w:p>
    <w:p>
      <w:r/>
      <w:r>
        <w:t>Sur l'instruction du prophète Gad, David, repentant, achète l'aire pour construire un autel (</w:t>
      </w:r>
      <w:hyperlink r:id="rId1133">
        <w:r>
          <w:rPr>
            <w:color w:val="0000EE"/>
            <w:u w:val="single"/>
          </w:rPr>
          <w:t>2S 24.17–25</w:t>
        </w:r>
      </w:hyperlink>
      <w:r>
        <w:t xml:space="preserve">). Aravna offre des bœufs et tout le nécessaire pour l'autel en cadeau. David insistera pour le payer, disant : « </w:t>
      </w:r>
      <w:r>
        <w:t>je n’offrirai point à l’Éternel, mon Dieu, des holocaustes qui ne me coûtent rien</w:t>
      </w:r>
      <w:r>
        <w:t xml:space="preserve"> » (</w:t>
      </w:r>
      <w:hyperlink r:id="rId1134">
        <w:r>
          <w:rPr>
            <w:color w:val="0000EE"/>
            <w:u w:val="single"/>
          </w:rPr>
          <w:t>2S 24.24</w:t>
        </w:r>
      </w:hyperlink>
      <w:r>
        <w:t>).</w:t>
      </w:r>
    </w:p>
    <w:p>
      <w:r/>
      <w:r>
        <w:t xml:space="preserve">Un récit parallèle utilise la forme hébraïque </w:t>
      </w:r>
      <w:r>
        <w:rPr>
          <w:i/>
        </w:rPr>
        <w:t>Ornan</w:t>
      </w:r>
      <w:r>
        <w:t xml:space="preserve"> pour désigner le nom étranger du Jébusien (</w:t>
      </w:r>
      <w:hyperlink r:id="rId1135">
        <w:r>
          <w:rPr>
            <w:color w:val="0000EE"/>
            <w:u w:val="single"/>
          </w:rPr>
          <w:t>1Ch 21.15–16</w:t>
        </w:r>
      </w:hyperlink>
      <w:r>
        <w:t>). Le tabernacle et l'autel étaient trop éloignés sur la colline de Gabaon (</w:t>
      </w:r>
      <w:hyperlink r:id="rId1136">
        <w:r>
          <w:rPr>
            <w:color w:val="0000EE"/>
            <w:u w:val="single"/>
          </w:rPr>
          <w:t>1Ch 21.27–30</w:t>
        </w:r>
      </w:hyperlink>
      <w:r>
        <w:t>). Ce récit indique que David était trop pressé pour se rendre au tabernacle afin d'y faire son sacrifice.</w:t>
      </w:r>
    </w:p>
    <w:p>
      <w:r/>
      <w:r>
        <w:t>David choisira l'aire de battage comme site pour le temple (</w:t>
      </w:r>
      <w:hyperlink r:id="rId1137">
        <w:r>
          <w:rPr>
            <w:color w:val="0000EE"/>
            <w:u w:val="single"/>
          </w:rPr>
          <w:t>1Ch 22.1</w:t>
        </w:r>
      </w:hyperlink>
      <w:r>
        <w:t>). Salomon y construira ensuite le temple, sur la montagne de Morija (</w:t>
      </w:r>
      <w:hyperlink r:id="rId1138">
        <w:r>
          <w:rPr>
            <w:color w:val="0000EE"/>
            <w:u w:val="single"/>
          </w:rPr>
          <w:t>2Ch 3.1</w:t>
        </w:r>
      </w:hyperlink>
      <w:r>
        <w:t>). L'aire de battage marquait la même zone où Dieu avait ordonné à Abraham d'aller sacrifier Isaac (</w:t>
      </w:r>
      <w:hyperlink r:id="rId1139">
        <w:r>
          <w:rPr>
            <w:color w:val="0000EE"/>
            <w:u w:val="single"/>
          </w:rPr>
          <w:t>Gn 22.2</w:t>
        </w:r>
      </w:hyperlink>
      <w:r>
        <w:t>).</w:t>
      </w:r>
    </w:p>
    <w:p>
      <w:r/>
      <w:r>
        <w:t>Aujourd'hui, un important sanctuaire musulman appelé le Dôme du Rocher se dresse là où beaucoup croient que se trouvait l'aire de battage d'Aravna autrefois.</w:t>
      </w:r>
      <w:r/>
      <w:r/>
    </w:p>
    <w:p>
      <w:r/>
    </w:p>
    <w:p>
      <w:pPr>
        <w:pStyle w:val="Heading2"/>
      </w:pPr>
      <w:r>
        <w:t>Arbre</w:t>
      </w:r>
      <w:r/>
    </w:p>
    <w:p>
      <w:r/>
      <w:r>
        <w:t>Un arbre est une plante dotée d'une tige en bois appelée tronc. La plupart des arbres possèdent des branches et des feuilles.</w:t>
      </w:r>
    </w:p>
    <w:p>
      <w:r/>
      <w:r>
        <w:t>La Bible mentionne de nombreux types d'arbres, tels que l'olivier, le palmier et le cèdre. Les arbres étaient importants pour la nourriture, l'abri, les outils et la construction. Ils apparaissent également souvent dans les symboles et les histoires de la Bible (</w:t>
      </w:r>
      <w:hyperlink r:id="rId1140">
        <w:r>
          <w:rPr>
            <w:color w:val="0000EE"/>
            <w:u w:val="single"/>
          </w:rPr>
          <w:t>Gn 2.9</w:t>
        </w:r>
      </w:hyperlink>
      <w:r>
        <w:t xml:space="preserve"> ; </w:t>
      </w:r>
      <w:hyperlink r:id="rId1141">
        <w:r>
          <w:rPr>
            <w:color w:val="0000EE"/>
            <w:u w:val="single"/>
          </w:rPr>
          <w:t>Ps 1.3</w:t>
        </w:r>
      </w:hyperlink>
      <w:r>
        <w:t xml:space="preserve"> ; </w:t>
      </w:r>
      <w:hyperlink r:id="rId1142">
        <w:r>
          <w:rPr>
            <w:color w:val="0000EE"/>
            <w:u w:val="single"/>
          </w:rPr>
          <w:t>Ap 22.2</w:t>
        </w:r>
      </w:hyperlink>
      <w:r>
        <w:t>).</w:t>
      </w:r>
    </w:p>
    <w:p>
      <w:r/>
      <w:r>
        <w:rPr>
          <w:i/>
        </w:rPr>
        <w:t>Voir</w:t>
      </w:r>
      <w:r>
        <w:t xml:space="preserve"> </w:t>
      </w:r>
      <w:r>
        <w:t>Plantes</w:t>
      </w:r>
      <w:r>
        <w:t xml:space="preserve"> ; </w:t>
      </w:r>
      <w:r>
        <w:rPr>
          <w:i/>
        </w:rPr>
        <w:t>voir aussi</w:t>
      </w:r>
      <w:r>
        <w:t xml:space="preserve"> </w:t>
      </w:r>
      <w:r>
        <w:t>Arbre de la Connaissance du Bien et du Mal</w:t>
      </w:r>
      <w:r>
        <w:t xml:space="preserve"> ; </w:t>
      </w:r>
      <w:r>
        <w:t>Arbre de Vie</w:t>
      </w:r>
      <w:r>
        <w:t>.</w:t>
      </w:r>
      <w:r/>
      <w:r/>
    </w:p>
    <w:p>
      <w:r/>
    </w:p>
    <w:p>
      <w:pPr>
        <w:pStyle w:val="Heading2"/>
      </w:pPr>
      <w:r>
        <w:t>Arbre de la Connaissance du Bien et du Mal</w:t>
      </w:r>
      <w:r/>
    </w:p>
    <w:p>
      <w:r/>
      <w:r>
        <w:t>Arbre interdit en Éden, dont le fruit a apporté la connaissance et la mort ultérieure, c'est-à-dire la séparation de Dieu et, en fin de compte, l'expiration (</w:t>
      </w:r>
      <w:hyperlink r:id="rId1143">
        <w:r>
          <w:rPr>
            <w:color w:val="0000EE"/>
            <w:u w:val="single"/>
          </w:rPr>
          <w:t>Gn 2.9, 15–17</w:t>
        </w:r>
      </w:hyperlink>
      <w:r>
        <w:t xml:space="preserve"> ; </w:t>
      </w:r>
      <w:hyperlink r:id="rId1144">
        <w:r>
          <w:rPr>
            <w:color w:val="0000EE"/>
            <w:u w:val="single"/>
          </w:rPr>
          <w:t>3.1–24</w:t>
        </w:r>
      </w:hyperlink>
      <w:r>
        <w:t>). Le serpent tentateur a promis à Ève l'égalité avec Dieu si elle mangeait le fruit. Le résultat du fait qu'Ève et Adam ont mangé de cet arbre fut qu'ils ont effectivement atteint la « connaissance du bien et du mal ». Selon l'utilisation de l'expression « connaître le bien et le mal » dans le reste de la Bible (</w:t>
      </w:r>
      <w:hyperlink r:id="rId1145">
        <w:r>
          <w:rPr>
            <w:color w:val="0000EE"/>
            <w:u w:val="single"/>
          </w:rPr>
          <w:t>Dt 1.39</w:t>
        </w:r>
      </w:hyperlink>
      <w:r>
        <w:t xml:space="preserve"> ; </w:t>
      </w:r>
      <w:hyperlink r:id="rId1146">
        <w:r>
          <w:rPr>
            <w:color w:val="0000EE"/>
            <w:u w:val="single"/>
          </w:rPr>
          <w:t>Es 7.15–16</w:t>
        </w:r>
      </w:hyperlink>
      <w:r>
        <w:t xml:space="preserve"> ; </w:t>
      </w:r>
      <w:hyperlink r:id="rId1147">
        <w:r>
          <w:rPr>
            <w:color w:val="0000EE"/>
            <w:u w:val="single"/>
          </w:rPr>
          <w:t>Hé 5.14</w:t>
        </w:r>
      </w:hyperlink>
      <w:r>
        <w:t>), l'idée est qu'elle décrit une étape dans la vie d'un enfant lorsqu'il ou elle passe de l'innocence à la conscience morale.</w:t>
      </w:r>
    </w:p>
    <w:p>
      <w:r/>
      <w:r>
        <w:t>Accompagnant cette connaissance se trouve la conscience de soi au niveau sexuel. Ainsi, lorsqu'Adam et Ève ont consommé le fruit, ils ont pris conscience de leur propre sexualité. Au même moment, ils ont pu voir comme Dieu voyait et ont donc pensé que Dieu les humilierait pour leur nudité. Ce récit est devenu le symbole de la perte de l'innocence et de la présence divine par la désobéissance délibérée dans une tentative d'atteindre la divinité.</w:t>
      </w:r>
    </w:p>
    <w:p>
      <w:r/>
      <w:r>
        <w:t>La triste conséquence d'avoir mangé le fruit de l'arbre de la connaissance du bien et du mal sera qu'Adam et Ève perdront leur innocence et seront ensuite séparés de Dieu. L'expulsion d'Éden s'en est suivie, pour les empêcher de manger le fruit d'un second arbre, « l'arbre de vie », qui les aurait rendus immortels. Cette immortalité, ils l'auraient eue dans leur état déchu et pécheur. Ainsi, c'était une bénédiction que de les bannir.</w:t>
      </w:r>
    </w:p>
    <w:p>
      <w:r/>
      <w:r>
        <w:rPr>
          <w:i/>
        </w:rPr>
        <w:t>Voir aussi</w:t>
      </w:r>
      <w:r>
        <w:t xml:space="preserve"> </w:t>
      </w:r>
      <w:r>
        <w:t>Adam (Personne)</w:t>
      </w:r>
      <w:r>
        <w:t xml:space="preserve"> ; </w:t>
      </w:r>
      <w:r>
        <w:t>Ève</w:t>
      </w:r>
      <w:r>
        <w:t xml:space="preserve"> ; </w:t>
      </w:r>
      <w:r>
        <w:t>Jardin d'Éden</w:t>
      </w:r>
      <w:r>
        <w:t xml:space="preserve"> ; </w:t>
      </w:r>
      <w:r>
        <w:t>Chute de l'humanité</w:t>
      </w:r>
      <w:r>
        <w:t xml:space="preserve"> ; </w:t>
      </w:r>
      <w:r>
        <w:t>Arbre de Vie</w:t>
      </w:r>
      <w:r>
        <w:t>.</w:t>
      </w:r>
      <w:r/>
      <w:r/>
    </w:p>
    <w:p>
      <w:r/>
    </w:p>
    <w:p>
      <w:pPr>
        <w:pStyle w:val="Heading2"/>
      </w:pPr>
      <w:r>
        <w:t>Arbre de Vie</w:t>
      </w:r>
      <w:r/>
    </w:p>
    <w:p>
      <w:r/>
      <w:r>
        <w:t>Arbre placé par Dieu au milieu du jardin d'Éden (</w:t>
      </w:r>
      <w:hyperlink r:id="rId1148">
        <w:r>
          <w:rPr>
            <w:color w:val="0000EE"/>
            <w:u w:val="single"/>
          </w:rPr>
          <w:t>Gn 2.8–9</w:t>
        </w:r>
      </w:hyperlink>
      <w:r>
        <w:t xml:space="preserve">), un arbre dont le fruit pouvait donner la vie éternelle. Dieu dit à Adam qu'il pouvait manger de tous les arbres du jardin sauf de l'arbre de la connaissance du bien et du mal (v. </w:t>
      </w:r>
      <w:hyperlink r:id="rId235">
        <w:r>
          <w:rPr>
            <w:color w:val="0000EE"/>
            <w:u w:val="single"/>
          </w:rPr>
          <w:t>16–17</w:t>
        </w:r>
      </w:hyperlink>
      <w:r>
        <w:t xml:space="preserve">). Quand Adam et Ève ont désobéi à Dieu en mangeant de l'arbre de la connaissance du bien et du mal, ils ont été expulsés du jardin pour leur éviter « </w:t>
      </w:r>
      <w:r>
        <w:t>de prendre de l’arbre de vie, d’en manger, et de vivre éternellement</w:t>
      </w:r>
      <w:r>
        <w:t xml:space="preserve"> » (</w:t>
      </w:r>
      <w:hyperlink r:id="rId248">
        <w:r>
          <w:rPr>
            <w:color w:val="0000EE"/>
            <w:u w:val="single"/>
          </w:rPr>
          <w:t>3.22</w:t>
        </w:r>
      </w:hyperlink>
      <w:r>
        <w:t>).</w:t>
      </w:r>
    </w:p>
    <w:p>
      <w:r/>
      <w:r>
        <w:t>Le récit de la Genèse suggère que Dieu avait l'intention que l'arbre de vie serve de symbole de vie en communion avec lui et en dépendance de lui pour Adam et Ève. La vie humaine, à la différence de celle des animaux, est bien plus que simplement biologique ; elle est aussi spirituelle et trouve son accomplissement le plus profond dans la communion avec Dieu. La vie dans la plénitude de ses dimensions physiques et spirituelles, cependant, ne pouvait rester la possession d'une personne que tant qu'elle demeurait obéissante au commandement de Dieu (</w:t>
      </w:r>
      <w:hyperlink r:id="rId1149">
        <w:r>
          <w:rPr>
            <w:color w:val="0000EE"/>
            <w:u w:val="single"/>
          </w:rPr>
          <w:t>Gn 2.17</w:t>
        </w:r>
      </w:hyperlink>
      <w:r>
        <w:t xml:space="preserve">). En dehors de la Genèse, les seules autres occurrences de l'expression « arbre de vie » dans l'Ancien Testament se trouvent dans Proverbes, où elle symbolise l'enrichissement de la vie de diverses manières. Dans </w:t>
      </w:r>
      <w:hyperlink r:id="rId1150">
        <w:r>
          <w:rPr>
            <w:color w:val="0000EE"/>
            <w:u w:val="single"/>
          </w:rPr>
          <w:t>Proverbes 3.18</w:t>
        </w:r>
      </w:hyperlink>
      <w:r>
        <w:t xml:space="preserve">, la sagesse est désignée comme « </w:t>
      </w:r>
      <w:r>
        <w:t>un arbre de vie pour ceux qui la saisissent</w:t>
      </w:r>
      <w:r>
        <w:t xml:space="preserve"> » ; dans </w:t>
      </w:r>
      <w:hyperlink r:id="rId1151">
        <w:r>
          <w:rPr>
            <w:color w:val="0000EE"/>
            <w:u w:val="single"/>
          </w:rPr>
          <w:t>11.30</w:t>
        </w:r>
      </w:hyperlink>
      <w:r>
        <w:t xml:space="preserve">, « </w:t>
      </w:r>
      <w:r>
        <w:t>Le fruit du juste est un arbre de vie</w:t>
      </w:r>
      <w:r>
        <w:t xml:space="preserve"> » ; dans </w:t>
      </w:r>
      <w:hyperlink r:id="rId1152">
        <w:r>
          <w:rPr>
            <w:color w:val="0000EE"/>
            <w:u w:val="single"/>
          </w:rPr>
          <w:t>13.12</w:t>
        </w:r>
      </w:hyperlink>
      <w:r>
        <w:t xml:space="preserve">, un désir accompli est comme « un arbre de vie » ; et dans </w:t>
      </w:r>
      <w:hyperlink r:id="rId1153">
        <w:r>
          <w:rPr>
            <w:color w:val="0000EE"/>
            <w:u w:val="single"/>
          </w:rPr>
          <w:t>15.4</w:t>
        </w:r>
      </w:hyperlink>
      <w:r>
        <w:t xml:space="preserve">, « </w:t>
      </w:r>
      <w:r>
        <w:t>La langue douce est un arbre de vie</w:t>
      </w:r>
      <w:r>
        <w:t xml:space="preserve"> ».</w:t>
      </w:r>
    </w:p>
    <w:p>
      <w:r/>
      <w:r>
        <w:t>Le livre de l'Apocalypse contient les seules références à l'arbre de vie dans le Nouveau Testament (</w:t>
      </w:r>
      <w:hyperlink r:id="rId1154">
        <w:r>
          <w:rPr>
            <w:color w:val="0000EE"/>
            <w:u w:val="single"/>
          </w:rPr>
          <w:t>Ap 2.7</w:t>
        </w:r>
      </w:hyperlink>
      <w:r>
        <w:t xml:space="preserve"> ; </w:t>
      </w:r>
      <w:hyperlink r:id="rId1155">
        <w:r>
          <w:rPr>
            <w:color w:val="0000EE"/>
            <w:u w:val="single"/>
          </w:rPr>
          <w:t>22.2, 14, 19</w:t>
        </w:r>
      </w:hyperlink>
      <w:r>
        <w:t xml:space="preserve">). La Bible commence et se termine par un Paradis au milieu duquel se trouve un arbre de vie. Le chemin vers l'arbre de vie, qui était barré dans </w:t>
      </w:r>
      <w:hyperlink r:id="rId1144">
        <w:r>
          <w:rPr>
            <w:color w:val="0000EE"/>
            <w:u w:val="single"/>
          </w:rPr>
          <w:t>Genèse 3</w:t>
        </w:r>
      </w:hyperlink>
      <w:r>
        <w:t xml:space="preserve">, est de nouveau ouvert pour le peuple croyant de Dieu. Cela a été rendu possible par le second Adam, Jésus-Christ. Ceux qui ont lavé leurs robes dans le sang de Christ (cf. </w:t>
      </w:r>
      <w:hyperlink r:id="rId1156">
        <w:r>
          <w:rPr>
            <w:color w:val="0000EE"/>
            <w:u w:val="single"/>
          </w:rPr>
          <w:t>Ap 7.14</w:t>
        </w:r>
      </w:hyperlink>
      <w:r>
        <w:t>) et ont cherché le pardon de leurs péchés à travers l'œuvre rédemptrice de Christ, reçoivent le droit à l'arbre de vie (</w:t>
      </w:r>
      <w:hyperlink r:id="rId1157">
        <w:r>
          <w:rPr>
            <w:color w:val="0000EE"/>
            <w:u w:val="single"/>
          </w:rPr>
          <w:t>22.14</w:t>
        </w:r>
      </w:hyperlink>
      <w:r>
        <w:t>), mais les désobéissants n'y auront pas accès.</w:t>
      </w:r>
    </w:p>
    <w:p>
      <w:r/>
      <w:r>
        <w:rPr>
          <w:i/>
        </w:rPr>
        <w:t>Voir aussi</w:t>
      </w:r>
      <w:r>
        <w:t xml:space="preserve"> </w:t>
      </w:r>
      <w:r>
        <w:t>Adam (Personne)</w:t>
      </w:r>
      <w:r>
        <w:t xml:space="preserve"> ; </w:t>
      </w:r>
      <w:r>
        <w:t>Ève</w:t>
      </w:r>
      <w:r>
        <w:t xml:space="preserve"> ; </w:t>
      </w:r>
      <w:r>
        <w:t>Chute de l'Homme</w:t>
      </w:r>
      <w:r>
        <w:t xml:space="preserve"> ; </w:t>
      </w:r>
      <w:r>
        <w:t>Jardin d'Éden</w:t>
      </w:r>
      <w:r>
        <w:t xml:space="preserve"> ; </w:t>
      </w:r>
      <w:r>
        <w:t>Arbre de la Connaissance du Bien et du Mal</w:t>
      </w:r>
      <w:r>
        <w:t>.</w:t>
      </w:r>
      <w:r/>
      <w:r/>
    </w:p>
    <w:p>
      <w:r/>
    </w:p>
    <w:p>
      <w:pPr>
        <w:pStyle w:val="Heading2"/>
      </w:pPr>
      <w:r>
        <w:t>Arc-en-ciel</w:t>
      </w:r>
      <w:r/>
    </w:p>
    <w:p>
      <w:r/>
      <w:r>
        <w:t>Signe de l'alliance de Dieu avec Noé après le déluge (</w:t>
      </w:r>
      <w:hyperlink r:id="rId1158">
        <w:r>
          <w:rPr>
            <w:color w:val="0000EE"/>
            <w:u w:val="single"/>
          </w:rPr>
          <w:t>Gn 9.8–17</w:t>
        </w:r>
      </w:hyperlink>
      <w:r>
        <w:t>). C'est le mot hébreu normal pour « arc de guerre » qui est utilisé. La tradition juive a interprété cela comme un symbole que la colère de Dieu avait cessé puisque l'arc-en-ciel pointait vers le bas, tout comme un assaillant abaisse son arc pour déclarer la paix. Dans le Nouveau Testament, l'arc-en-ciel fait partie de la vision céleste (</w:t>
      </w:r>
      <w:hyperlink r:id="rId1159">
        <w:r>
          <w:rPr>
            <w:color w:val="0000EE"/>
            <w:u w:val="single"/>
          </w:rPr>
          <w:t>Ap 4.3</w:t>
        </w:r>
      </w:hyperlink>
      <w:r>
        <w:t xml:space="preserve">; </w:t>
      </w:r>
      <w:hyperlink r:id="rId1160">
        <w:r>
          <w:rPr>
            <w:color w:val="0000EE"/>
            <w:u w:val="single"/>
          </w:rPr>
          <w:t>10.1</w:t>
        </w:r>
      </w:hyperlink>
      <w:r>
        <w:t>).</w:t>
      </w:r>
    </w:p>
    <w:p>
      <w:r/>
      <w:r>
        <w:rPr>
          <w:i/>
        </w:rPr>
        <w:t>Voir aussi</w:t>
      </w:r>
      <w:r>
        <w:t xml:space="preserve"> </w:t>
      </w:r>
      <w:r>
        <w:t>Déluge, Le</w:t>
      </w:r>
      <w:r>
        <w:t>.</w:t>
      </w:r>
      <w:r/>
      <w:r/>
    </w:p>
    <w:p>
      <w:r/>
    </w:p>
    <w:p>
      <w:pPr>
        <w:pStyle w:val="Heading2"/>
      </w:pPr>
      <w:r>
        <w:t>Arche de l'Alliance</w:t>
      </w:r>
      <w:r/>
    </w:p>
    <w:p>
      <w:r/>
      <w:r>
        <w:t>La pièce de mobilier la plus importante dans le tabernacle du désert (la tente qui servait de sanctuaire) que Dieu a ordonné à Moïse de construire (</w:t>
      </w:r>
      <w:hyperlink r:id="rId1161">
        <w:r>
          <w:rPr>
            <w:color w:val="0000EE"/>
            <w:u w:val="single"/>
          </w:rPr>
          <w:t>Ex 25.10</w:t>
        </w:r>
      </w:hyperlink>
      <w:r>
        <w:t>–</w:t>
      </w:r>
      <w:hyperlink r:id="rId1161">
        <w:r>
          <w:rPr>
            <w:color w:val="0000EE"/>
            <w:u w:val="single"/>
          </w:rPr>
          <w:t>22</w:t>
        </w:r>
      </w:hyperlink>
      <w:r>
        <w:t>). Le mot hébreu pour arche peut également signifier « coffre » (</w:t>
      </w:r>
      <w:hyperlink r:id="rId1162">
        <w:r>
          <w:rPr>
            <w:color w:val="0000EE"/>
            <w:u w:val="single"/>
          </w:rPr>
          <w:t>2R 12.9</w:t>
        </w:r>
      </w:hyperlink>
      <w:r>
        <w:t>–</w:t>
      </w:r>
      <w:hyperlink r:id="rId1162">
        <w:r>
          <w:rPr>
            <w:color w:val="0000EE"/>
            <w:u w:val="single"/>
          </w:rPr>
          <w:t>10</w:t>
        </w:r>
      </w:hyperlink>
      <w:r>
        <w:t>) ou « cercueil » (</w:t>
      </w:r>
      <w:hyperlink r:id="rId1163">
        <w:r>
          <w:rPr>
            <w:color w:val="0000EE"/>
            <w:u w:val="single"/>
          </w:rPr>
          <w:t>Gn 50.26</w:t>
        </w:r>
      </w:hyperlink>
      <w:r>
        <w:t>). Ce n'est pas le même mot utilisé pour l'arche de Noé.</w:t>
      </w:r>
    </w:p>
    <w:p>
      <w:pPr>
        <w:pStyle w:val="Heading3"/>
      </w:pPr>
      <w:r>
        <w:t>Description de l'Arche</w:t>
      </w:r>
    </w:p>
    <w:p>
      <w:r/>
      <w:r>
        <w:t>Moïse dira à Betsaleel de fabriquer une boîte spéciale appelée l'arche. Elle était faite de bois d'acacia et recouverte d'or à l'intérieur et à l'extérieur (</w:t>
      </w:r>
      <w:hyperlink r:id="rId1164">
        <w:r>
          <w:rPr>
            <w:color w:val="0000EE"/>
            <w:u w:val="single"/>
          </w:rPr>
          <w:t>Ex 31.1</w:t>
        </w:r>
      </w:hyperlink>
      <w:r>
        <w:t>–</w:t>
      </w:r>
      <w:hyperlink r:id="rId1164">
        <w:r>
          <w:rPr>
            <w:color w:val="0000EE"/>
            <w:u w:val="single"/>
          </w:rPr>
          <w:t>5</w:t>
        </w:r>
      </w:hyperlink>
      <w:r>
        <w:t xml:space="preserve"> ; </w:t>
      </w:r>
      <w:hyperlink r:id="rId1165">
        <w:r>
          <w:rPr>
            <w:color w:val="0000EE"/>
            <w:u w:val="single"/>
          </w:rPr>
          <w:t>37.1</w:t>
        </w:r>
      </w:hyperlink>
      <w:r>
        <w:t>–</w:t>
      </w:r>
      <w:hyperlink r:id="rId1165">
        <w:r>
          <w:rPr>
            <w:color w:val="0000EE"/>
            <w:u w:val="single"/>
          </w:rPr>
          <w:t>9</w:t>
        </w:r>
      </w:hyperlink>
      <w:r>
        <w:t>). Le coffre mesurait environ 115 par 70 par 70 cm. L'arche avait des anneaux sur chacun de ses côtés. Les gens pouvaient passer des barres à travers ces anneaux pour la transporter.</w:t>
      </w:r>
    </w:p>
    <w:p>
      <w:r/>
      <w:r>
        <w:t>L'arche était conçue pour contenir les deux tablettes de l'alliance données à Moïse (</w:t>
      </w:r>
      <w:hyperlink r:id="rId1166">
        <w:r>
          <w:rPr>
            <w:color w:val="0000EE"/>
            <w:u w:val="single"/>
          </w:rPr>
          <w:t>Ex 25.16</w:t>
        </w:r>
      </w:hyperlink>
      <w:r>
        <w:t>). Comme les tablettes étaient également appelées le « témoignage », l'arche était parfois appelée l'« arche du témoignage ». À l'intérieur de l'arche se trouvait également un vase rempli de manne, la nourriture miraculeuse de Dieu (</w:t>
      </w:r>
      <w:hyperlink r:id="rId1167">
        <w:r>
          <w:rPr>
            <w:color w:val="0000EE"/>
            <w:u w:val="single"/>
          </w:rPr>
          <w:t>Ex 16.33</w:t>
        </w:r>
      </w:hyperlink>
      <w:r>
        <w:t>), et la verge d'Aaron qui avait fleuri (</w:t>
      </w:r>
      <w:hyperlink r:id="rId1168">
        <w:r>
          <w:rPr>
            <w:color w:val="0000EE"/>
            <w:u w:val="single"/>
          </w:rPr>
          <w:t>Nb 17.10</w:t>
        </w:r>
      </w:hyperlink>
      <w:r>
        <w:t xml:space="preserve"> ; </w:t>
      </w:r>
      <w:hyperlink r:id="rId1169">
        <w:r>
          <w:rPr>
            <w:color w:val="0000EE"/>
            <w:u w:val="single"/>
          </w:rPr>
          <w:t>Hé 9.4</w:t>
        </w:r>
      </w:hyperlink>
      <w:r>
        <w:t>).</w:t>
      </w:r>
    </w:p>
    <w:p>
      <w:r/>
      <w:r>
        <w:t>Le couvercle de l'arche était appelé le « propitiatoire » ou « lieu de la miséricorde » (</w:t>
      </w:r>
      <w:hyperlink r:id="rId1170">
        <w:r>
          <w:rPr>
            <w:color w:val="0000EE"/>
            <w:u w:val="single"/>
          </w:rPr>
          <w:t>Ex 25.17</w:t>
        </w:r>
      </w:hyperlink>
      <w:r>
        <w:t>). Il s'agissait d'une dalle d'or qui recouvrait le sommet de l'arche et avait sa propre signification. Chaque année, le grand prêtre faisait l'expiation pour le peuple d'Israël en aspergeant le propitiatoire avec le sang des taureaux et des chèvres (</w:t>
      </w:r>
      <w:hyperlink r:id="rId1171">
        <w:r>
          <w:rPr>
            <w:color w:val="0000EE"/>
            <w:u w:val="single"/>
          </w:rPr>
          <w:t>Lv 16.2</w:t>
        </w:r>
      </w:hyperlink>
      <w:r>
        <w:t>–</w:t>
      </w:r>
      <w:hyperlink r:id="rId1171">
        <w:r>
          <w:rPr>
            <w:color w:val="0000EE"/>
            <w:u w:val="single"/>
          </w:rPr>
          <w:t>16</w:t>
        </w:r>
      </w:hyperlink>
      <w:r>
        <w:t>). Le terme « propitiatoire » est lié au mot hébreu pour « expiation ». Le couvercle était appelé un « siège » parce que le Seigneur était censé s'asseoir entre deux chérubins (créatures ailées) positionnés aux extrémités opposées du propitiatoire (</w:t>
      </w:r>
      <w:hyperlink r:id="rId1172">
        <w:r>
          <w:rPr>
            <w:color w:val="0000EE"/>
            <w:u w:val="single"/>
          </w:rPr>
          <w:t>Ps 99.1</w:t>
        </w:r>
      </w:hyperlink>
      <w:r>
        <w:t>). Le Seigneur parlait à Moïse d'entre les chérubins (</w:t>
      </w:r>
      <w:hyperlink r:id="rId1173">
        <w:r>
          <w:rPr>
            <w:color w:val="0000EE"/>
            <w:u w:val="single"/>
          </w:rPr>
          <w:t>Nb 7.89</w:t>
        </w:r>
      </w:hyperlink>
      <w:r>
        <w:t>).</w:t>
      </w:r>
    </w:p>
    <w:p>
      <w:r/>
      <w:r>
        <w:t>L'arche était parfois simplement appelée « l'arche » (</w:t>
      </w:r>
      <w:hyperlink r:id="rId1174">
        <w:r>
          <w:rPr>
            <w:color w:val="0000EE"/>
            <w:u w:val="single"/>
          </w:rPr>
          <w:t>Ex 37.1</w:t>
        </w:r>
      </w:hyperlink>
      <w:r>
        <w:t xml:space="preserve"> ; </w:t>
      </w:r>
      <w:hyperlink r:id="rId1175">
        <w:r>
          <w:rPr>
            <w:color w:val="0000EE"/>
            <w:u w:val="single"/>
          </w:rPr>
          <w:t>Nb 3.31</w:t>
        </w:r>
      </w:hyperlink>
      <w:r>
        <w:t>). D'autres fois, elle était appelée « l'arche du témoignage » (</w:t>
      </w:r>
      <w:hyperlink r:id="rId1176">
        <w:r>
          <w:rPr>
            <w:color w:val="0000EE"/>
            <w:u w:val="single"/>
          </w:rPr>
          <w:t>Nb 4.5</w:t>
        </w:r>
      </w:hyperlink>
      <w:r>
        <w:t xml:space="preserve"> ; </w:t>
      </w:r>
      <w:hyperlink r:id="rId1177">
        <w:r>
          <w:rPr>
            <w:color w:val="0000EE"/>
            <w:u w:val="single"/>
          </w:rPr>
          <w:t>Jos 4.16</w:t>
        </w:r>
      </w:hyperlink>
      <w:r>
        <w:t>). Les Israélites avaient de fréquents rappels que la sainteté de l'arche n'était pas magique mais provenait de la loi sainte de Dieu, qu'elle contenait en son sein. Le nom « arche du témoignage » leur rappelait également leur besoin de suivre les commandements donnés dans l'alliance de Dieu.</w:t>
      </w:r>
    </w:p>
    <w:p>
      <w:r/>
      <w:r>
        <w:t>Ces commandements ont été donnés par le Dieu qui a fait alliance (ou promesse) avec eux. Il s'agit du même Dieu qui a sauvé Israël de l'esclavage en Égypte et a promis d'être le Dieu qui serait toujours présent pour eux (</w:t>
      </w:r>
      <w:hyperlink r:id="rId1178">
        <w:r>
          <w:rPr>
            <w:color w:val="0000EE"/>
            <w:u w:val="single"/>
          </w:rPr>
          <w:t>Ex 6.6</w:t>
        </w:r>
      </w:hyperlink>
      <w:r>
        <w:t>–</w:t>
      </w:r>
      <w:hyperlink r:id="rId1178">
        <w:r>
          <w:rPr>
            <w:color w:val="0000EE"/>
            <w:u w:val="single"/>
          </w:rPr>
          <w:t>7</w:t>
        </w:r>
      </w:hyperlink>
      <w:r>
        <w:t xml:space="preserve">). Ainsi, l'arche était généralement appelée « l'arche de l'alliance ». Parfois, ce nom était « </w:t>
      </w:r>
      <w:r>
        <w:t>l’arche de l’alliance de l’Éternel</w:t>
      </w:r>
      <w:r>
        <w:t xml:space="preserve"> » (</w:t>
      </w:r>
      <w:hyperlink r:id="rId1179">
        <w:r>
          <w:rPr>
            <w:color w:val="0000EE"/>
            <w:u w:val="single"/>
          </w:rPr>
          <w:t>1Ch 28.18</w:t>
        </w:r>
      </w:hyperlink>
      <w:r>
        <w:t>).</w:t>
      </w:r>
    </w:p>
    <w:p>
      <w:r/>
      <w:r>
        <w:t>Parfois, l'arche était appelée « l'arche de Dieu ». Il s'agissait d'un signe visible que le Dieu invisible était présent parmi les Israélites. L'arche possédait une sainteté puissante et souvent mortelle. Par exemple, les habitants de Beth-Schémesch seront sévèrement punis pour ne pas avoir traité l'arche avec suffisamment de respect (</w:t>
      </w:r>
      <w:hyperlink r:id="rId1180">
        <w:r>
          <w:rPr>
            <w:color w:val="0000EE"/>
            <w:u w:val="single"/>
          </w:rPr>
          <w:t>1S 6.19</w:t>
        </w:r>
      </w:hyperlink>
      <w:r>
        <w:t>).</w:t>
      </w:r>
    </w:p>
    <w:p>
      <w:r/>
      <w:r>
        <w:t>De même, Uzza sera tué par le Seigneur lorsqu'il touchera l'arche pour l'empêcher de tomber d'un chariot (</w:t>
      </w:r>
      <w:hyperlink r:id="rId1181">
        <w:r>
          <w:rPr>
            <w:color w:val="0000EE"/>
            <w:u w:val="single"/>
          </w:rPr>
          <w:t>2S 6.6</w:t>
        </w:r>
      </w:hyperlink>
      <w:r>
        <w:t>–</w:t>
      </w:r>
      <w:hyperlink r:id="rId1181">
        <w:r>
          <w:rPr>
            <w:color w:val="0000EE"/>
            <w:u w:val="single"/>
          </w:rPr>
          <w:t>9</w:t>
        </w:r>
      </w:hyperlink>
      <w:r>
        <w:t>). L'arche était dangereuse à toucher car elle symbolisait la présence de Dieu. À cause de cela, Dieu ordonnera que l'arche soit placée dans le saint des saints, séparée du reste du tabernacle (et plus tard du temple) par un lourd voile (</w:t>
      </w:r>
      <w:hyperlink r:id="rId1182">
        <w:r>
          <w:rPr>
            <w:color w:val="0000EE"/>
            <w:u w:val="single"/>
          </w:rPr>
          <w:t>Ex 26.31</w:t>
        </w:r>
      </w:hyperlink>
      <w:r>
        <w:t>–</w:t>
      </w:r>
      <w:hyperlink r:id="rId1182">
        <w:r>
          <w:rPr>
            <w:color w:val="0000EE"/>
            <w:u w:val="single"/>
          </w:rPr>
          <w:t>33</w:t>
        </w:r>
      </w:hyperlink>
      <w:r>
        <w:t xml:space="preserve">; </w:t>
      </w:r>
      <w:hyperlink r:id="rId1183">
        <w:r>
          <w:rPr>
            <w:color w:val="0000EE"/>
            <w:u w:val="single"/>
          </w:rPr>
          <w:t>Hé 9.3</w:t>
        </w:r>
      </w:hyperlink>
      <w:r>
        <w:t>–</w:t>
      </w:r>
      <w:hyperlink r:id="rId1183">
        <w:r>
          <w:rPr>
            <w:color w:val="0000EE"/>
            <w:u w:val="single"/>
          </w:rPr>
          <w:t>5</w:t>
        </w:r>
      </w:hyperlink>
      <w:r>
        <w:t>). Aucune personne pécheresse ne pouvait regarder la gloire de Dieu au-dessus de l'arche et vivre (</w:t>
      </w:r>
      <w:hyperlink r:id="rId1184">
        <w:r>
          <w:rPr>
            <w:color w:val="0000EE"/>
            <w:u w:val="single"/>
          </w:rPr>
          <w:t>Lv 16.2</w:t>
        </w:r>
      </w:hyperlink>
      <w:r>
        <w:t>).</w:t>
      </w:r>
    </w:p>
    <w:p>
      <w:pPr>
        <w:pStyle w:val="Heading3"/>
      </w:pPr>
      <w:r>
        <w:t>Histoire</w:t>
      </w:r>
    </w:p>
    <w:p>
      <w:r/>
      <w:r>
        <w:t>Lorsque les Israélites ont voyagé de la montagne du Sinaï à Canaan, l'arche les a accompagnés à travers le désert. Elle servait de rappel constant de la présence sainte de Dieu. Au cours de ce voyage, l'arche était décrite presque comme si elle avait des caractéristiques personnelles (</w:t>
      </w:r>
      <w:hyperlink r:id="rId1185">
        <w:r>
          <w:rPr>
            <w:color w:val="0000EE"/>
            <w:u w:val="single"/>
          </w:rPr>
          <w:t>Nb 10.33</w:t>
        </w:r>
      </w:hyperlink>
      <w:r>
        <w:t>–</w:t>
      </w:r>
      <w:hyperlink r:id="rId1185">
        <w:r>
          <w:rPr>
            <w:color w:val="0000EE"/>
            <w:u w:val="single"/>
          </w:rPr>
          <w:t>36</w:t>
        </w:r>
      </w:hyperlink>
      <w:r>
        <w:t>). Les instructions détaillées pour envelopper et transporter l'arche (</w:t>
      </w:r>
      <w:hyperlink r:id="rId1186">
        <w:r>
          <w:rPr>
            <w:color w:val="0000EE"/>
            <w:u w:val="single"/>
          </w:rPr>
          <w:t>Nb 4</w:t>
        </w:r>
      </w:hyperlink>
      <w:r>
        <w:t>) montraient la relation étroite entre Dieu et l'arche, lui donnant un sentiment d'être « vivante ».</w:t>
      </w:r>
    </w:p>
    <w:p>
      <w:r/>
      <w:r>
        <w:t>L'arche a joué un rôle significatif lors du voyage dans le désert. Lorsqu'un groupe d'Israélites tentera d'envahir Canaan par eux-mêmes, sans l'arche ni Moïse, ils seront vaincus par leurs ennemis (</w:t>
      </w:r>
      <w:hyperlink r:id="rId1187">
        <w:r>
          <w:rPr>
            <w:color w:val="0000EE"/>
            <w:u w:val="single"/>
          </w:rPr>
          <w:t>Nb 14.44–45</w:t>
        </w:r>
      </w:hyperlink>
      <w:r>
        <w:t>). L'arche aura un rôle important dans les événements suivants :</w:t>
      </w:r>
    </w:p>
    <w:p>
      <w:pPr>
        <w:pStyle w:val="ListBullet"/>
        <w:spacing w:line="240" w:lineRule="auto"/>
        <w:ind w:left="720"/>
      </w:pPr>
      <w:r/>
      <w:r>
        <w:t>La traversée du Jourdain (</w:t>
      </w:r>
      <w:hyperlink r:id="rId1188">
        <w:r>
          <w:rPr>
            <w:color w:val="0000EE"/>
            <w:u w:val="single"/>
          </w:rPr>
          <w:t>Jos 3.13</w:t>
        </w:r>
      </w:hyperlink>
      <w:r>
        <w:t>–</w:t>
      </w:r>
      <w:hyperlink r:id="rId1188">
        <w:r>
          <w:rPr>
            <w:color w:val="0000EE"/>
            <w:u w:val="single"/>
          </w:rPr>
          <w:t>17</w:t>
        </w:r>
      </w:hyperlink>
      <w:r>
        <w:t xml:space="preserve">; </w:t>
      </w:r>
      <w:hyperlink r:id="rId1189">
        <w:r>
          <w:rPr>
            <w:color w:val="0000EE"/>
            <w:u w:val="single"/>
          </w:rPr>
          <w:t>4.9</w:t>
        </w:r>
      </w:hyperlink>
      <w:r>
        <w:t>–</w:t>
      </w:r>
      <w:hyperlink r:id="rId1189">
        <w:r>
          <w:rPr>
            <w:color w:val="0000EE"/>
            <w:u w:val="single"/>
          </w:rPr>
          <w:t>10</w:t>
        </w:r>
      </w:hyperlink>
      <w:r>
        <w:t>)</w:t>
      </w:r>
    </w:p>
    <w:p>
      <w:pPr>
        <w:pStyle w:val="ListBullet"/>
        <w:spacing w:line="240" w:lineRule="auto"/>
        <w:ind w:left="720"/>
      </w:pPr>
      <w:r/>
      <w:r>
        <w:t>La conquête de Jéricho (</w:t>
      </w:r>
      <w:hyperlink r:id="rId1190">
        <w:r>
          <w:rPr>
            <w:color w:val="0000EE"/>
            <w:u w:val="single"/>
          </w:rPr>
          <w:t>Jos 6.6</w:t>
        </w:r>
      </w:hyperlink>
      <w:r>
        <w:t>–</w:t>
      </w:r>
      <w:hyperlink r:id="rId1190">
        <w:r>
          <w:rPr>
            <w:color w:val="0000EE"/>
            <w:u w:val="single"/>
          </w:rPr>
          <w:t>11</w:t>
        </w:r>
      </w:hyperlink>
      <w:r>
        <w:t>)</w:t>
      </w:r>
    </w:p>
    <w:p>
      <w:pPr>
        <w:pStyle w:val="ListBullet"/>
        <w:spacing w:line="240" w:lineRule="auto"/>
        <w:ind w:left="720"/>
      </w:pPr>
      <w:r/>
      <w:r>
        <w:t>La vie des Israélites dans leur nouvelle terre (</w:t>
      </w:r>
      <w:hyperlink r:id="rId1191">
        <w:r>
          <w:rPr>
            <w:color w:val="0000EE"/>
            <w:u w:val="single"/>
          </w:rPr>
          <w:t>Jos 8.33</w:t>
        </w:r>
      </w:hyperlink>
      <w:r>
        <w:t xml:space="preserve"> ; </w:t>
      </w:r>
      <w:hyperlink r:id="rId1192">
        <w:r>
          <w:rPr>
            <w:color w:val="0000EE"/>
            <w:u w:val="single"/>
          </w:rPr>
          <w:t>Jg 20.27</w:t>
        </w:r>
      </w:hyperlink>
      <w:r>
        <w:t>)</w:t>
      </w:r>
    </w:p>
    <w:p>
      <w:r/>
      <w:r>
        <w:t>Les Israélites n'utilisaient pas l'arche de manière superstitieuse ou magique. Ils ne la considéraient pas comme un porte-bonheur ou un objet doté de pouvoirs spéciaux.</w:t>
      </w:r>
    </w:p>
    <w:p>
      <w:r/>
      <w:r>
        <w:t>Au lieu de cela, l'arche était importante pour deux raisons principales :</w:t>
      </w:r>
    </w:p>
    <w:p>
      <w:pPr>
        <w:pStyle w:val="ListNumber"/>
        <w:spacing w:line="240" w:lineRule="auto"/>
        <w:ind w:left="720"/>
      </w:pPr>
      <w:r/>
      <w:r>
        <w:t>Elle contenait les lois de Dieu (appelées le « témoignage »).</w:t>
      </w:r>
    </w:p>
    <w:p>
      <w:pPr>
        <w:pStyle w:val="ListNumber"/>
        <w:spacing w:line="240" w:lineRule="auto"/>
        <w:ind w:left="720"/>
      </w:pPr>
      <w:r/>
      <w:r>
        <w:t>Elle démontrait que Dieu était avec eux.</w:t>
      </w:r>
    </w:p>
    <w:p>
      <w:r/>
      <w:r>
        <w:t>En revanche, à l'époque d'Éli et de ses fils, à la fin de la période où les juges gouvernaient Israël, le rôle de l'arche avait changé. Les Israélites respectaient toujours l'arche, mais ils en comprenaient mal la raison d'être. Ils pensaient qu'il s'agissait d'un objet magique qui leur apporterait toujours succès ou victoire. Lorsque les Israélites perdront une bataille contre les Philistins, ils amèneront l'arche sur le champ de bataille en espérant qu'elle leur assurerait la victoire (</w:t>
      </w:r>
      <w:hyperlink r:id="rId1193">
        <w:r>
          <w:rPr>
            <w:color w:val="0000EE"/>
            <w:u w:val="single"/>
          </w:rPr>
          <w:t>1S 4.1</w:t>
        </w:r>
      </w:hyperlink>
      <w:r>
        <w:t>–</w:t>
      </w:r>
      <w:hyperlink r:id="rId1193">
        <w:r>
          <w:rPr>
            <w:color w:val="0000EE"/>
            <w:u w:val="single"/>
          </w:rPr>
          <w:t>10</w:t>
        </w:r>
      </w:hyperlink>
      <w:r>
        <w:t>). Ce mauvais usage conduira toutefois à la capture de l'arche par les Philistins (</w:t>
      </w:r>
      <w:hyperlink r:id="rId1194">
        <w:r>
          <w:rPr>
            <w:color w:val="0000EE"/>
            <w:u w:val="single"/>
          </w:rPr>
          <w:t>1S 4.11</w:t>
        </w:r>
      </w:hyperlink>
      <w:r>
        <w:t>) et causera défaite et mort parmi les Israélites, y compris dans la famille du grand prêtre Éli (</w:t>
      </w:r>
      <w:hyperlink r:id="rId1195">
        <w:r>
          <w:rPr>
            <w:color w:val="0000EE"/>
            <w:u w:val="single"/>
          </w:rPr>
          <w:t>1S 4.13</w:t>
        </w:r>
      </w:hyperlink>
      <w:r>
        <w:t>–</w:t>
      </w:r>
      <w:hyperlink r:id="rId1195">
        <w:r>
          <w:rPr>
            <w:color w:val="0000EE"/>
            <w:u w:val="single"/>
          </w:rPr>
          <w:t>22</w:t>
        </w:r>
      </w:hyperlink>
      <w:r>
        <w:t>).</w:t>
      </w:r>
    </w:p>
    <w:p>
      <w:r/>
      <w:r>
        <w:t>Même si les Israélites ont mal utilisé l'arche, Dieu protégera tout de même son honneur. Lorsque les Philistins placeront l'arche dans le temple de leur dieu Dagon, des événements surprenants se produiront (</w:t>
      </w:r>
      <w:hyperlink r:id="rId1196">
        <w:r>
          <w:rPr>
            <w:color w:val="0000EE"/>
            <w:u w:val="single"/>
          </w:rPr>
          <w:t>1S 5–6</w:t>
        </w:r>
      </w:hyperlink>
      <w:r>
        <w:t>). Cette histoire montre deux choses importantes :</w:t>
      </w:r>
    </w:p>
    <w:p>
      <w:pPr>
        <w:pStyle w:val="ListNumber"/>
        <w:spacing w:line="240" w:lineRule="auto"/>
        <w:ind w:left="720"/>
      </w:pPr>
      <w:r/>
      <w:r>
        <w:t>Le peuple de Dieu ne devrait pas considérer l'arche comme un objet magique.</w:t>
      </w:r>
    </w:p>
    <w:p>
      <w:pPr>
        <w:pStyle w:val="ListNumber"/>
        <w:spacing w:line="240" w:lineRule="auto"/>
        <w:ind w:left="720"/>
      </w:pPr>
      <w:r/>
      <w:r>
        <w:t>Les ennemis de Dieu ne peuvent pas se moquer de l'arche.</w:t>
      </w:r>
    </w:p>
    <w:p>
      <w:r/>
      <w:r>
        <w:t>Samuel, un grand réformateur et prophète, ne cherchera pas immédiatement à restaurer l'importance de l'arche après le retour de ce dernier en Israël. Il la laissera à Kirjath-Jearim jusqu'à ce qu'Israël revienne à l'obéissance (</w:t>
      </w:r>
      <w:hyperlink r:id="rId1197">
        <w:r>
          <w:rPr>
            <w:color w:val="0000EE"/>
            <w:u w:val="single"/>
          </w:rPr>
          <w:t>1S 6.21</w:t>
        </w:r>
      </w:hyperlink>
      <w:r>
        <w:t xml:space="preserve"> ; </w:t>
      </w:r>
      <w:hyperlink r:id="rId1198">
        <w:r>
          <w:rPr>
            <w:color w:val="0000EE"/>
            <w:u w:val="single"/>
          </w:rPr>
          <w:t>7.2</w:t>
        </w:r>
      </w:hyperlink>
      <w:r>
        <w:t>). Samuel devait d'abord s'assurer qu'Israël obéisse à l'alliance de Dieu avant que l'arche ne soit utile. David, qui était roi après Saül, œuvrera pour redonner à l'arche une place importante dans la vie d'Israël (</w:t>
      </w:r>
      <w:hyperlink r:id="rId1199">
        <w:r>
          <w:rPr>
            <w:color w:val="0000EE"/>
            <w:u w:val="single"/>
          </w:rPr>
          <w:t>2S 6.1</w:t>
        </w:r>
      </w:hyperlink>
      <w:r>
        <w:t>–</w:t>
      </w:r>
      <w:hyperlink r:id="rId1199">
        <w:r>
          <w:rPr>
            <w:color w:val="0000EE"/>
            <w:u w:val="single"/>
          </w:rPr>
          <w:t>17</w:t>
        </w:r>
      </w:hyperlink>
      <w:r>
        <w:t>).</w:t>
      </w:r>
    </w:p>
    <w:p>
      <w:r/>
      <w:r>
        <w:t xml:space="preserve">Bien que l'arche ait été un avantage pour la nouvelle capitale de David, Jérusalem, </w:t>
      </w:r>
      <w:hyperlink r:id="rId1200">
        <w:r>
          <w:rPr>
            <w:color w:val="0000EE"/>
            <w:u w:val="single"/>
          </w:rPr>
          <w:t>Psaume 132</w:t>
        </w:r>
      </w:hyperlink>
      <w:r>
        <w:t xml:space="preserve"> révèle la profonde préoccupation de David pour l'arche et l'honneur de Dieu. Dans un moment de grande joie religieuse et d'enthousiasme, David priera Dieu directement, en disant : « </w:t>
      </w:r>
      <w:r>
        <w:t>Lève-toi, Éternel, viens à ton lieu de repos, Toi et l’arche de ta majesté</w:t>
      </w:r>
      <w:r>
        <w:t xml:space="preserve"> </w:t>
      </w:r>
      <w:r>
        <w:t>!</w:t>
      </w:r>
      <w:r>
        <w:t xml:space="preserve"> » (</w:t>
      </w:r>
      <w:hyperlink r:id="rId1201">
        <w:r>
          <w:rPr>
            <w:color w:val="0000EE"/>
            <w:u w:val="single"/>
          </w:rPr>
          <w:t>Ps 132.8</w:t>
        </w:r>
      </w:hyperlink>
      <w:r>
        <w:t>) David voyait l'arche comme « inquiète » parce qu'Israël n'était pas en repos. Canaan n'était pas complètement conquis. Bien qu'une certaine paix ait été atteinte du temps de Josué (</w:t>
      </w:r>
      <w:hyperlink r:id="rId1202">
        <w:r>
          <w:rPr>
            <w:color w:val="0000EE"/>
            <w:u w:val="single"/>
          </w:rPr>
          <w:t>Jos 21.43</w:t>
        </w:r>
      </w:hyperlink>
      <w:r>
        <w:t>–</w:t>
      </w:r>
      <w:hyperlink r:id="rId1202">
        <w:r>
          <w:rPr>
            <w:color w:val="0000EE"/>
            <w:u w:val="single"/>
          </w:rPr>
          <w:t>45</w:t>
        </w:r>
      </w:hyperlink>
      <w:r>
        <w:t>), il restait encore du travail à faire. En conquérant Jébus (Jérusalem), David terminera presque la conquête de la terre promise.</w:t>
      </w:r>
    </w:p>
    <w:p>
      <w:r/>
      <w:r>
        <w:t>La terre ayant enfin trouvé son repos, le Seigneur pouvait désormais « demeurer » dans son temple, le lieu de repos approprié pour l'arche. Malgré le souhait de David de construire un temple pour l'arche, Dieu ne lui permettra pas de le faire (</w:t>
      </w:r>
      <w:hyperlink r:id="rId1203">
        <w:r>
          <w:rPr>
            <w:color w:val="0000EE"/>
            <w:u w:val="single"/>
          </w:rPr>
          <w:t>2S 7.1</w:t>
        </w:r>
      </w:hyperlink>
      <w:r>
        <w:t>–</w:t>
      </w:r>
      <w:hyperlink r:id="rId1203">
        <w:r>
          <w:rPr>
            <w:color w:val="0000EE"/>
            <w:u w:val="single"/>
          </w:rPr>
          <w:t>17</w:t>
        </w:r>
      </w:hyperlink>
      <w:r>
        <w:t>). Au lieu de cela, il lui sera dit que c'est son fils Salomon qui construira le temple. Salomon construira un grand temple, plaçant l'arche dans la partie la plus sainte, derrière le voile épais (</w:t>
      </w:r>
      <w:hyperlink r:id="rId438">
        <w:r>
          <w:rPr>
            <w:color w:val="0000EE"/>
            <w:u w:val="single"/>
          </w:rPr>
          <w:t>1R 8.1</w:t>
        </w:r>
      </w:hyperlink>
      <w:r>
        <w:t>–</w:t>
      </w:r>
      <w:hyperlink r:id="rId438">
        <w:r>
          <w:rPr>
            <w:color w:val="0000EE"/>
            <w:u w:val="single"/>
          </w:rPr>
          <w:t>11</w:t>
        </w:r>
      </w:hyperlink>
      <w:r>
        <w:t>).</w:t>
      </w:r>
      <w:r/>
      <w:r/>
    </w:p>
    <w:p>
      <w:r/>
    </w:p>
    <w:p>
      <w:pPr>
        <w:pStyle w:val="Heading2"/>
      </w:pPr>
      <w:r>
        <w:t>Archéologie biblique</w:t>
      </w:r>
      <w:r/>
    </w:p>
    <w:p>
      <w:r/>
      <w:r>
        <w:t>L'étude de l'histoire humaine ancienne se fait à travers la récupération et l'examen des vestiges physiques. L'archéologie biblique se concentre sur les objets et structures trouvés au Proche-Orient (Moyen-Orient) qui se rapportent à la Bible. Ces vestiges incluent des artefacts enfouis (objets anciens), des ruines et des monuments. Certains de ces artefacts portent des inscriptions (écrits) en langues anciennes. Les chercheurs doivent étudier attentivement ces inscriptions pour les comprendre. D'autres objets incluent des éléments du quotidien comme de la poterie cassée, du bois brûlé, des jouets et des outils. Tous ces éléments doivent être compris dans le contexte de la période historique dont ils proviennent.</w:t>
      </w:r>
    </w:p>
    <w:p>
      <w:pPr>
        <w:pStyle w:val="Heading3"/>
      </w:pPr>
      <w:r>
        <w:rPr>
          <w:b/>
        </w:rPr>
        <w:t>Découvertes en archéologie</w:t>
      </w:r>
    </w:p>
    <w:p>
      <w:r/>
      <w:r>
        <w:t>De nombreuses découvertes archéologiques importantes ont eu lieu par accident. C'est un agriculteur en Syrie qui a découvert l'ancienne ville d'Ougarit en labourant, par exemple. Un Bédouin, à la recherche d'une chèvre perdue, a découvert les manuscrits de la mer Morte dans une grotte. En 1887, une Égyptienne a trouvé les tablettes d'Amarna en cherchant des briques à utiliser comme engrais. En 1945, des Égyptiens, à la recherche de fientes d'oiseaux près de Nag Hammadi, ont trouvé d'importants manuscrits gnostiques. Cependant, les découvertes accidentelles ne remplacent pas les enquêtes archéologiques systématiques et minutieuses.</w:t>
      </w:r>
    </w:p>
    <w:p>
      <w:r/>
      <w:r>
        <w:t>Aujourd'hui, les archéologues examinent attentivement les sites potentiels en utilisant la photographie aérienne et l'équipement électronique. Ces méthodes servent à détecter des objets souterrains. Les artefacts sont datés en fonction de la couche de terre où ils ont été trouvés et d'autres méthodes, comme la datation au radiocarbone ; l'objectif étant de créer une chronologie qui reflète avec précision l'histoire des artefacts et du site lui-même.</w:t>
      </w:r>
    </w:p>
    <w:p>
      <w:pPr>
        <w:pStyle w:val="Heading3"/>
      </w:pPr>
      <w:r>
        <w:rPr>
          <w:b/>
        </w:rPr>
        <w:t>Le Rôle de l'archéologie dans la compréhension de la Bible</w:t>
      </w:r>
    </w:p>
    <w:p>
      <w:r/>
      <w:r>
        <w:t>Les archéologues et les chercheurs considèrent ces artefacts comme des preuves concrètes et factuelles de la vie humaine passée. Bien qu'il puisse y avoir différentes opinions sur la manière de les interpréter, ces objets demeurent des témoins directs de l'histoire. Il est important de comprendre ces objets d'une époque antérieure comme des preuves et de ne pas les manipuler pour les adapter à des théories personnelles sur l'histoire, la culture ou la religion. L'archéologie du Proche-Orient nous aide à comprendre la Bible en fournissant des éléments de contexte objectifs.</w:t>
      </w:r>
    </w:p>
    <w:p>
      <w:r/>
      <w:r>
        <w:t>Ainsi, si un artefact doté d'inscriptions est daté d'environ 3 000 av. J.‑C., cela démontre que l'écriture existait déjà à cette époque. Cela signifie que les premiers auteurs de l'Ancien Testament auraient donc pu écrire les histoires qui leur sont attribuées. Les découvertes archéologiques ont démontré que Moïse, l'auteur traditionnel des cinq premiers livres de la Bible, aurait pu écrire :</w:t>
      </w:r>
    </w:p>
    <w:p>
      <w:pPr>
        <w:pStyle w:val="ListBullet"/>
        <w:spacing w:line="240" w:lineRule="auto"/>
        <w:ind w:left="720"/>
      </w:pPr>
      <w:r/>
      <w:r>
        <w:t>En hiéroglyphes égyptiens,</w:t>
      </w:r>
    </w:p>
    <w:p>
      <w:pPr>
        <w:pStyle w:val="ListBullet"/>
        <w:spacing w:line="240" w:lineRule="auto"/>
        <w:ind w:left="720"/>
      </w:pPr>
      <w:r/>
      <w:r>
        <w:t>En écriture cunéiforme babylonienne, et</w:t>
      </w:r>
    </w:p>
    <w:p>
      <w:pPr>
        <w:pStyle w:val="ListBullet"/>
        <w:spacing w:line="240" w:lineRule="auto"/>
        <w:ind w:left="720"/>
      </w:pPr>
      <w:r/>
      <w:r>
        <w:t>En dialectes cananéens, y compris en hébreu.</w:t>
      </w:r>
    </w:p>
    <w:p>
      <w:r/>
      <w:r>
        <w:t>Toute théorie sur la Bible qui ignore de telles preuves risque d'être incorrecte.</w:t>
      </w:r>
    </w:p>
    <w:p>
      <w:pPr>
        <w:pStyle w:val="Heading3"/>
      </w:pPr>
      <w:r>
        <w:t>Survol</w:t>
      </w:r>
    </w:p>
    <w:p>
      <w:pPr>
        <w:pStyle w:val="ListBullet"/>
        <w:spacing w:line="240" w:lineRule="auto"/>
        <w:ind w:left="720"/>
      </w:pPr>
      <w:r/>
      <w:r>
        <w:rPr>
          <w:b/>
          <w:u w:val="single"/>
        </w:rPr>
        <w:t>Archéologie et vie quotidienne</w:t>
      </w:r>
    </w:p>
    <w:p>
      <w:pPr>
        <w:pStyle w:val="ListBullet"/>
        <w:spacing w:line="240" w:lineRule="auto"/>
        <w:ind w:left="720"/>
      </w:pPr>
      <w:r/>
      <w:r>
        <w:rPr>
          <w:b/>
          <w:u w:val="single"/>
        </w:rPr>
        <w:t>Archéologie et religion</w:t>
      </w:r>
    </w:p>
    <w:p>
      <w:pPr>
        <w:pStyle w:val="ListBullet"/>
        <w:spacing w:line="240" w:lineRule="auto"/>
        <w:ind w:left="720"/>
      </w:pPr>
      <w:r/>
      <w:r>
        <w:rPr>
          <w:b/>
          <w:u w:val="single"/>
        </w:rPr>
        <w:t>Archéologie et Guerre</w:t>
      </w:r>
    </w:p>
    <w:p>
      <w:pPr>
        <w:pStyle w:val="ListBullet"/>
        <w:spacing w:line="240" w:lineRule="auto"/>
        <w:ind w:left="720"/>
      </w:pPr>
      <w:r/>
      <w:r>
        <w:rPr>
          <w:b/>
          <w:u w:val="single"/>
        </w:rPr>
        <w:t>Archéologie et littérature</w:t>
      </w:r>
    </w:p>
    <w:p>
      <w:pPr>
        <w:pStyle w:val="ListBullet"/>
        <w:spacing w:line="240" w:lineRule="auto"/>
        <w:ind w:left="720"/>
      </w:pPr>
      <w:r/>
      <w:r>
        <w:rPr>
          <w:b/>
          <w:u w:val="single"/>
        </w:rPr>
        <w:t>Archéologie et linguistique</w:t>
      </w:r>
    </w:p>
    <w:p>
      <w:pPr>
        <w:pStyle w:val="Heading3"/>
      </w:pPr>
      <w:r>
        <w:t>Archéologie et vie quotidienne</w:t>
      </w:r>
    </w:p>
    <w:p>
      <w:r/>
      <w:r>
        <w:t>L'archéologie a révélé un grand nombre de de choses sur la vie quotidienne des peuples anciens. Les fouilles démontrent que pendant la période néolithique (fin de l'âge de pierre), les gens vivaient dans de simples huttes faites de bâtons entrelacés. Certaines de ces huttes étaient décorées à l'intérieur. Les maisons de la classe moyenne à Ur à l'époque d'Abram étaient élégantes, même selon les normes modernes. Les ruines des palais dans des endroits comme Knossos, Persépolis, Mari et Qantir révèlent leur magnificence d'antan. Le tissage est l'un des plus anciens métiers humains et était pratiqué même dans les temps anciens. Les techniques utilisées pour tisser les tapis orientaux ont commencé en Mésopotamie. La poterie, à la fois simple et décorée, était une autre forme ancienne d'artisanat.</w:t>
      </w:r>
    </w:p>
    <w:p>
      <w:pPr>
        <w:pStyle w:val="Heading4"/>
      </w:pPr>
      <w:r>
        <w:t>Us et coutumes</w:t>
      </w:r>
    </w:p>
    <w:p>
      <w:r/>
      <w:r>
        <w:t>L'archéologie a également aidé à clarifier les coutumes sociales mentionnées dans la Bible. Par exemple, le fait qu'Abram ait eu un enfant avec Agar, la servante de sa femme, suivait les coutumes locales à Nuzi et n'était pas considéré comme immoral. Les pratiques de l'adoption, comme dans le cas d'Éliézer avec Abram (</w:t>
      </w:r>
      <w:hyperlink r:id="rId1204">
        <w:r>
          <w:rPr>
            <w:color w:val="0000EE"/>
            <w:u w:val="single"/>
          </w:rPr>
          <w:t>Gn 15.2–4</w:t>
        </w:r>
      </w:hyperlink>
      <w:r>
        <w:t xml:space="preserve">), sont mieux comprises grâce aux textes de Nuzi. Ces écrits décrivent des couples sans enfants adoptant un serviteur qui hériterait de leur domaine. Ceux qui étaient adoptés devenaient les premiers-nés, bien que la naissance d'un enfant naturel puisse supprimer ces droits. Les textes de Nuzi, Ugarit et Alalakh expliquent également les droits des fils premiers-nés et comment ces droits pouvaient être échangés, comme on le voit dans </w:t>
      </w:r>
      <w:hyperlink r:id="rId1205">
        <w:r>
          <w:rPr>
            <w:color w:val="0000EE"/>
            <w:u w:val="single"/>
          </w:rPr>
          <w:t>Genèse</w:t>
        </w:r>
      </w:hyperlink>
      <w:hyperlink r:id="rId1206">
        <w:r>
          <w:rPr>
            <w:color w:val="0000EE"/>
            <w:u w:val="single"/>
          </w:rPr>
          <w:t xml:space="preserve"> 25.31–34</w:t>
        </w:r>
      </w:hyperlink>
      <w:r>
        <w:t>.</w:t>
      </w:r>
    </w:p>
    <w:p>
      <w:pPr>
        <w:pStyle w:val="Heading4"/>
      </w:pPr>
      <w:r>
        <w:t>Commerce</w:t>
      </w:r>
    </w:p>
    <w:p>
      <w:r/>
      <w:r>
        <w:t>Le travail et les métiers de la période biblique ont été illustrés par diverses découvertes archéologiques. Par exemple, un type d'image appelé « tableau » de Beni Hasan (réalisé vers 1900 av. J.‑C.) montre des Sémites apportant des marchandises en Égypte, possiblement en tant que métallurgistes. D'autres sources dépeignent des activités telles que :</w:t>
      </w:r>
    </w:p>
    <w:p>
      <w:pPr>
        <w:pStyle w:val="ListBullet"/>
        <w:spacing w:line="240" w:lineRule="auto"/>
        <w:ind w:left="720"/>
      </w:pPr>
      <w:r/>
      <w:r>
        <w:t>La chasse</w:t>
      </w:r>
    </w:p>
    <w:p>
      <w:pPr>
        <w:pStyle w:val="ListBullet"/>
        <w:spacing w:line="240" w:lineRule="auto"/>
        <w:ind w:left="720"/>
      </w:pPr>
      <w:r/>
      <w:r>
        <w:t>La pêche</w:t>
      </w:r>
    </w:p>
    <w:p>
      <w:pPr>
        <w:pStyle w:val="ListBullet"/>
        <w:spacing w:line="240" w:lineRule="auto"/>
        <w:ind w:left="720"/>
      </w:pPr>
      <w:r/>
      <w:r>
        <w:t>La fabrication de briques</w:t>
      </w:r>
    </w:p>
    <w:p>
      <w:pPr>
        <w:pStyle w:val="ListBullet"/>
        <w:spacing w:line="240" w:lineRule="auto"/>
        <w:ind w:left="720"/>
      </w:pPr>
      <w:r/>
      <w:r>
        <w:t>L'agriculture</w:t>
      </w:r>
    </w:p>
    <w:p>
      <w:pPr>
        <w:pStyle w:val="ListBullet"/>
        <w:spacing w:line="240" w:lineRule="auto"/>
        <w:ind w:left="720"/>
      </w:pPr>
      <w:r/>
      <w:r>
        <w:t>La poterie</w:t>
      </w:r>
    </w:p>
    <w:p>
      <w:r/>
      <w:r>
        <w:t>Ces sources fournissent également des informations sur la manière dont on s'habillait, avec des exemples de peintures égyptiennes datant de 500 ans plus tard, dans lesquelles des Sémites offrent des cadeaux au Pharaon, montrant des styles vestimentaires restés inchangés pendant des siècles. Les Israélites, cependant, avaient l'interdiction de faire des représentations d'êtres humains ou de Dieu.</w:t>
      </w:r>
    </w:p>
    <w:p>
      <w:pPr>
        <w:pStyle w:val="Heading4"/>
      </w:pPr>
      <w:r>
        <w:t>Fragments de poterie</w:t>
      </w:r>
    </w:p>
    <w:p>
      <w:r/>
      <w:r>
        <w:t>Les artefacts quotidiens les plus courants sont les tessons (morceaux de poterie cassés), souvent utilisés comme supports d'écriture. Par exemple, les « lettres de Lakis », une série de lettres militaires rédigées depuis un avant-poste en 587 av. J.‑C., ont été écrites sur des tessons. Même à l'époque du Nouveau Testament, les tessons étaient encore utilisés pour écrire. Cela s'expliquait par leur durabilité supérieure au papyrus et leur praticité par rapport aux tablettes de cire. Des stylos, palettes et encres ont été découverts en Égypte. L'encre utilisée pour écrire les manuscrits de la mer Morte a été retrouvée à Qumran.</w:t>
      </w:r>
    </w:p>
    <w:p>
      <w:pPr>
        <w:pStyle w:val="Heading4"/>
      </w:pPr>
      <w:r>
        <w:t>Jeux</w:t>
      </w:r>
    </w:p>
    <w:p>
      <w:r/>
      <w:r>
        <w:t>Les découvertes archéologiques incluent également des jeux et des jouets de l'Antiquité. Une peinture sur une tombe à Beni Hasan (vers 2000 av. J.‑C.) montre, par exemple, des filles égyptiennes jouant à un jeu de balle. Un relief d'un temple à Thèbes montre Ramsès III jouant aux dames. Les enfants égyptiens d'une période ultérieure jouaient à un jeu utilisant des cailloux, qui était peut-être une version précoce du backgammon. À Meguiddo, un plateau de jeu en ivoire avec des trous, vraisemblablement pour des chevilles, a été retrouvé, datant d'environ 1200 av. J.‑C. Les jouets pour enfants du Proche-Orient n'étaient pas si différents des jouets modernes. Divers jouets ont été trouvés, tels que :</w:t>
      </w:r>
    </w:p>
    <w:p>
      <w:pPr>
        <w:pStyle w:val="ListBullet"/>
        <w:spacing w:line="240" w:lineRule="auto"/>
        <w:ind w:left="720"/>
      </w:pPr>
      <w:r/>
      <w:r>
        <w:t>Des sifflets</w:t>
      </w:r>
    </w:p>
    <w:p>
      <w:pPr>
        <w:pStyle w:val="ListBullet"/>
        <w:spacing w:line="240" w:lineRule="auto"/>
        <w:ind w:left="720"/>
      </w:pPr>
      <w:r/>
      <w:r>
        <w:t>Des balles</w:t>
      </w:r>
    </w:p>
    <w:p>
      <w:pPr>
        <w:pStyle w:val="ListBullet"/>
        <w:spacing w:line="240" w:lineRule="auto"/>
        <w:ind w:left="720"/>
      </w:pPr>
      <w:r/>
      <w:r>
        <w:t>Des charrettes miniatures</w:t>
      </w:r>
    </w:p>
    <w:p>
      <w:pPr>
        <w:pStyle w:val="ListBullet"/>
        <w:spacing w:line="240" w:lineRule="auto"/>
        <w:ind w:left="720"/>
      </w:pPr>
      <w:r/>
      <w:r>
        <w:t>Des animaux sur roues</w:t>
      </w:r>
    </w:p>
    <w:p>
      <w:r/>
      <w:r>
        <w:t>Des sports pour adultes comme la lutte, le tir à l'arc et la course à pied étaient également représentés dans les peintures des tombes égyptiennes.</w:t>
      </w:r>
    </w:p>
    <w:p>
      <w:pPr>
        <w:pStyle w:val="Heading4"/>
      </w:pPr>
      <w:r>
        <w:t>Embaumement</w:t>
      </w:r>
    </w:p>
    <w:p>
      <w:r/>
      <w:r>
        <w:t xml:space="preserve">L'embaumement est un processus qui préserve les corps morts. L'embaumement de Jacob et Joseph, tel que décrit dans </w:t>
      </w:r>
      <w:hyperlink r:id="rId1207">
        <w:r>
          <w:rPr>
            <w:color w:val="0000EE"/>
            <w:u w:val="single"/>
          </w:rPr>
          <w:t>Genèse 50.2–3, 26</w:t>
        </w:r>
      </w:hyperlink>
      <w:r>
        <w:t>, était une coutume égyptienne millénaire. Jacob a été enterré dans la grotte de Macpéla avec ses ancêtres. Bien que le site soit connu, il ne peut être fouillé car c'est un lieu sacré pour les Arabes. Une inscription associée à un ancien site d'enterrement hébreu a été trouvée en 1931 sur le mont des Oliviers. Elle dit : « Ici ont été apportés les os d'Ozias roi de Juda. Ne pas ouvrir. » Cette inscription date de l'époque du Christ. Elle suggère que le tombeau du roi Ozias a été trouvé lors de fouilles à Jérusalem et que ses restes ont été déplacés vers un autre site.</w:t>
      </w:r>
    </w:p>
    <w:p>
      <w:r/>
      <w:r>
        <w:t>Les archéologues ont également démontré que le fait de mettre une porte en pierre pour couvrir l'entrée du tombeau du Christ était un pratique courante entre 100 av. J.‑C. à 100 apr. J.‑C. environ, ce qui correspond aux récits évangéliques.</w:t>
      </w:r>
    </w:p>
    <w:p>
      <w:pPr>
        <w:pStyle w:val="Heading3"/>
      </w:pPr>
      <w:r>
        <w:t>Archéologie et religion</w:t>
      </w:r>
    </w:p>
    <w:p>
      <w:r/>
      <w:r>
        <w:t>L'archéologie a fourni des données sur la nature de la religion et du culte bibliques. Bien avant qu'Abram ne quitte Ur pour suivre le seul vrai Dieu, les Mésopotamiens non-juifs adoraient divers dieux. Ils reconnaissaient ces divinités comme des dieux du ciel. Ce contexte rend la relation des patriarches hébreux avec leur Dieu plus compréhensible. Le culte des dieux païens dans des sanctuaires portables est illustré dans un relief de Ramsès II, montrant une tente divine dans le camp égyptien. Des écrits phéniciens du 7e siècle av. J.‑C. mentionnent également un sanctuaire portable tiré par des bœufs. Ces données soutiennent l'idée que le tabernacle israélite du désert n'était pas une invention ultérieure.</w:t>
      </w:r>
    </w:p>
    <w:p>
      <w:r/>
      <w:r>
        <w:t xml:space="preserve">L'archéologie a confirmé la tradition de chantres actifs dans les activités cultuelles avant l'exil babylonien. Pendant des siècles, les Palestiniens étaient réputés pour leurs talents musicaux. Des tablettes de Ras Shamra à Ougarit contiennent des éléments de poésie religieuse similaire aux psaumes hébreux. Le temple de Salomon, construit par des ouvriers phéniciens, suivait un plan (voir </w:t>
      </w:r>
      <w:hyperlink r:id="rId1208">
        <w:r>
          <w:rPr>
            <w:color w:val="0000EE"/>
            <w:u w:val="single"/>
          </w:rPr>
          <w:t>1R 6</w:t>
        </w:r>
      </w:hyperlink>
      <w:r>
        <w:t>) similaire à une chapelle du 8e siècle av. J.‑C. trouvée à Tel Tainat en Syrie. Le Mur des Lamentations à Jérusalem est dit inclure des pierres de l'époque de Néhémie ; toutefois, aucune trace des fondations de Salomon n'a été trouvée dans la ville. Des morceaux de maçonnerie du temple d'Hérode, détruit en 70 apr. J.‑C., ont été découverts. Ces pièces fournissent des informations précieuses sur la structure du temple. Bien que de nombreuses synagogues aient existé en Palestine à l'époque de Christ, peu de vestiges en ont été trouvés.</w:t>
      </w:r>
    </w:p>
    <w:p>
      <w:pPr>
        <w:pStyle w:val="Heading3"/>
      </w:pPr>
      <w:r>
        <w:t>Archéologie et Guerre</w:t>
      </w:r>
    </w:p>
    <w:p>
      <w:r/>
      <w:r>
        <w:t>L'archéologie a considérablement enrichi notre compréhension de la guerre antique (un thème biblique important). Les peuples du Proche-Orient Ancien considéraient la guerre comme un conflit entre les divinités des nations opposées. Le service militaire était considéré comme sacré, et les soldats étaient très respectés. Dieu, en tant qu'Éternel des armées, était vu comme commandant de l'armée hébraïque. Il pouvait ordonner la destruction complète d'une ville, appelée « anathème », comme dans le cas de Jéricho (</w:t>
      </w:r>
      <w:hyperlink r:id="rId1209">
        <w:r>
          <w:rPr>
            <w:color w:val="0000EE"/>
            <w:u w:val="single"/>
          </w:rPr>
          <w:t>Jos 6.17, 24</w:t>
        </w:r>
      </w:hyperlink>
      <w:r>
        <w:t>). La guerre suivait des règles entendues. Si une ville était menacée, ses habitants pouvaient se rendre et avoir la vie sauve, bien que leurs biens soient capturés. En cas de résistance, ils risquaient la destruction totale. Les tactiques de guerre comprenaient :</w:t>
      </w:r>
    </w:p>
    <w:p>
      <w:pPr>
        <w:pStyle w:val="ListBullet"/>
        <w:spacing w:line="240" w:lineRule="auto"/>
        <w:ind w:left="720"/>
      </w:pPr>
      <w:r/>
      <w:r>
        <w:t>Les assauts frontaux (attaques directes)</w:t>
      </w:r>
    </w:p>
    <w:p>
      <w:pPr>
        <w:pStyle w:val="ListBullet"/>
        <w:spacing w:line="240" w:lineRule="auto"/>
        <w:ind w:left="720"/>
      </w:pPr>
      <w:r/>
      <w:r>
        <w:t>L'espionnage</w:t>
      </w:r>
    </w:p>
    <w:p>
      <w:pPr>
        <w:pStyle w:val="ListBullet"/>
        <w:spacing w:line="240" w:lineRule="auto"/>
        <w:ind w:left="720"/>
      </w:pPr>
      <w:r/>
      <w:r>
        <w:t>L'embuscade</w:t>
      </w:r>
    </w:p>
    <w:p>
      <w:pPr>
        <w:pStyle w:val="ListBullet"/>
        <w:spacing w:line="240" w:lineRule="auto"/>
        <w:ind w:left="720"/>
      </w:pPr>
      <w:r/>
      <w:r>
        <w:t>La patrouille</w:t>
      </w:r>
    </w:p>
    <w:p>
      <w:r/>
      <w:r>
        <w:t>Le combat était parfois décidé par un combat singulier, comme dans l'histoire de David et Goliath (</w:t>
      </w:r>
      <w:hyperlink r:id="rId1210">
        <w:r>
          <w:rPr>
            <w:color w:val="0000EE"/>
            <w:u w:val="single"/>
          </w:rPr>
          <w:t>1S 17.38–54</w:t>
        </w:r>
      </w:hyperlink>
      <w:r>
        <w:t>).</w:t>
      </w:r>
    </w:p>
    <w:p>
      <w:r/>
      <w:r>
        <w:t>Les armures et armes antiques étaient fréquemment représentées dans les reliefs et monuments.</w:t>
      </w:r>
    </w:p>
    <w:p>
      <w:pPr>
        <w:pStyle w:val="ListBullet"/>
        <w:spacing w:line="240" w:lineRule="auto"/>
        <w:ind w:left="720"/>
      </w:pPr>
      <w:r/>
      <w:r>
        <w:t xml:space="preserve">Un casque en or d'Ur est un exemple remarquable de l'équipement militaire sumérien. Des casques hittites plus petits sont représentés sur le mur d'une tombe à Karnak. Au début, seuls les chefs des armées israélites portaient des casques en métal (voir </w:t>
      </w:r>
      <w:hyperlink r:id="rId1211">
        <w:r>
          <w:rPr>
            <w:color w:val="0000EE"/>
            <w:u w:val="single"/>
          </w:rPr>
          <w:t>1S 17.38</w:t>
        </w:r>
      </w:hyperlink>
      <w:r>
        <w:t>). Arrivé à l'époque de l'Empire séleucide toutefois, tous les soldats hébreux bénéficiaient de casques en bronze (</w:t>
      </w:r>
      <w:hyperlink r:id="rId1212">
        <w:r>
          <w:rPr>
            <w:color w:val="0000EE"/>
            <w:u w:val="single"/>
          </w:rPr>
          <w:t>1 M 6.35</w:t>
        </w:r>
      </w:hyperlink>
      <w:r>
        <w:t>). Les soldats romains portaient couramment des casques en cuir ou en bronze.</w:t>
      </w:r>
    </w:p>
    <w:p>
      <w:pPr>
        <w:pStyle w:val="ListBullet"/>
        <w:spacing w:line="240" w:lineRule="auto"/>
        <w:ind w:left="720"/>
      </w:pPr>
      <w:r/>
      <w:r>
        <w:t>Les Hébreux utilisaient deux types de boucliers : un grand pour l'infanterie et un plus petit pour les archers (</w:t>
      </w:r>
      <w:hyperlink r:id="rId1213">
        <w:r>
          <w:rPr>
            <w:color w:val="0000EE"/>
            <w:u w:val="single"/>
          </w:rPr>
          <w:t>2Ch 14.8</w:t>
        </w:r>
      </w:hyperlink>
      <w:r>
        <w:t>). Ces boucliers étaient généralement faits de bois et de cuir, bien que certains soient en bronze.</w:t>
      </w:r>
    </w:p>
    <w:p>
      <w:pPr>
        <w:pStyle w:val="ListBullet"/>
        <w:spacing w:line="240" w:lineRule="auto"/>
        <w:ind w:left="720"/>
      </w:pPr>
      <w:r/>
      <w:r>
        <w:t xml:space="preserve">Les cottes d'armure à écailles, comme dans </w:t>
      </w:r>
      <w:hyperlink r:id="rId1214">
        <w:r>
          <w:rPr>
            <w:color w:val="0000EE"/>
            <w:u w:val="single"/>
          </w:rPr>
          <w:t>Jérémie 46.4</w:t>
        </w:r>
      </w:hyperlink>
      <w:r>
        <w:t>, étaient utilisées au Proche-Orient dès le 15e siècle av. J.‑C., comme le prouvent les fouilles à Alalakh et Ugarit.</w:t>
      </w:r>
    </w:p>
    <w:p>
      <w:pPr>
        <w:pStyle w:val="ListBullet"/>
        <w:spacing w:line="240" w:lineRule="auto"/>
        <w:ind w:left="720"/>
      </w:pPr>
      <w:r/>
      <w:r>
        <w:t>Les épées et les lances, éléments essentiels de l'armement hébreu, existaient sous diverses formes et tailles. Des fours pour fabriquer des épées ont été découverts à Guérar, et des poignards de l'âge du bronze ont été retrouvés à Lakis et Meguiddo.</w:t>
      </w:r>
    </w:p>
    <w:p>
      <w:pPr>
        <w:pStyle w:val="ListBullet"/>
        <w:spacing w:line="240" w:lineRule="auto"/>
        <w:ind w:left="720"/>
      </w:pPr>
      <w:r/>
      <w:r>
        <w:t xml:space="preserve">L'arc à poulie asiatique était une développement important par rapport aux arcs plus simples représentés des temps anciens. Les pointes de flèches datant de 1300 à 900 av. J.‑C., inscrites avec des noms, suggèrent l'existence de compagnies d'archers (voir </w:t>
      </w:r>
      <w:hyperlink r:id="rId1215">
        <w:r>
          <w:rPr>
            <w:color w:val="0000EE"/>
            <w:u w:val="single"/>
          </w:rPr>
          <w:t>Es 21.17</w:t>
        </w:r>
      </w:hyperlink>
      <w:r>
        <w:t>).</w:t>
      </w:r>
    </w:p>
    <w:p>
      <w:r/>
      <w:r>
        <w:t>Le Nouveau Testament mentionne très peu de choses concernant l'équipement militaire.</w:t>
      </w:r>
    </w:p>
    <w:p>
      <w:pPr>
        <w:pStyle w:val="Heading3"/>
      </w:pPr>
      <w:r>
        <w:t>Archéologie et littérature</w:t>
      </w:r>
    </w:p>
    <w:p>
      <w:r/>
      <w:r>
        <w:t>Les découvertes archéologiques ont révélé des parallèles avec de nombreux types de littérature biblique. Par exemple, les fouilles à Ras Shamra ont mis au jour des tablettes en vers ainsi qu'en prose. Ces tablettes présentaient des formes grammaticales et littéraires similaires à celles des psaumes hébreux. Il est désormais évident que des codes de lois détaillés, semblables à ceux du Pentateuque, existaient avant l'époque de Moïse.</w:t>
      </w:r>
    </w:p>
    <w:p>
      <w:r/>
      <w:r>
        <w:t>Les codes sumériens fragmentaires datant du 19e siècle av. J.‑C. environ. Le Code de Hammurabi, similaire à la Loi mosaïque au niveau de sa forme et son style, en est un exemple. Le Code de Hammurabi expliquait les principes de justice en 300 sections. Ce code cherchait à contrôler la société par la loi et l'ordre. Son style est intéressant : il commence par un prologue poétique en vers, suivi de la section légale, et se termine par un épilogue en prose. Ce schéma en trois parties apparaît également dans le livre de Job, ainsi que dans des écrits plus modernes.</w:t>
      </w:r>
    </w:p>
    <w:p>
      <w:r/>
      <w:r>
        <w:t>La structure alliancielle d'</w:t>
      </w:r>
      <w:hyperlink r:id="rId1216">
        <w:r>
          <w:rPr>
            <w:color w:val="0000EE"/>
            <w:u w:val="single"/>
          </w:rPr>
          <w:t>Exode 20.1–17</w:t>
        </w:r>
      </w:hyperlink>
      <w:r>
        <w:t xml:space="preserve"> ainsi que sa forme plus complète dans le Deutéronome est similaire à la structure des traités de vassalité hittites du deuxième millénaire avant J.‑C. trouvés à </w:t>
      </w:r>
      <w:r>
        <w:t>Boğazkale</w:t>
      </w:r>
      <w:r>
        <w:t>. Les traités étaient rédigés selon un schéma standard, que l'on peut également observer dans divers passages de l'Ancien Testament comme</w:t>
      </w:r>
    </w:p>
    <w:p>
      <w:pPr>
        <w:pStyle w:val="ListBullet"/>
        <w:spacing w:line="240" w:lineRule="auto"/>
        <w:ind w:left="720"/>
      </w:pPr>
      <w:r/>
      <w:hyperlink r:id="rId1216">
        <w:r>
          <w:rPr>
            <w:color w:val="0000EE"/>
            <w:u w:val="single"/>
          </w:rPr>
          <w:t>Exode 20.1–17</w:t>
        </w:r>
      </w:hyperlink>
    </w:p>
    <w:p>
      <w:pPr>
        <w:pStyle w:val="ListBullet"/>
        <w:spacing w:line="240" w:lineRule="auto"/>
        <w:ind w:left="720"/>
      </w:pPr>
      <w:r/>
      <w:hyperlink r:id="rId1217">
        <w:r>
          <w:rPr>
            <w:color w:val="0000EE"/>
            <w:u w:val="single"/>
          </w:rPr>
          <w:t>Lévitique 18.1–30</w:t>
        </w:r>
      </w:hyperlink>
    </w:p>
    <w:p>
      <w:pPr>
        <w:pStyle w:val="ListBullet"/>
        <w:spacing w:line="240" w:lineRule="auto"/>
        <w:ind w:left="720"/>
      </w:pPr>
      <w:r/>
      <w:hyperlink r:id="rId1218">
        <w:r>
          <w:rPr>
            <w:color w:val="0000EE"/>
            <w:u w:val="single"/>
          </w:rPr>
          <w:t>Deutéronome 1.1–31.30</w:t>
        </w:r>
      </w:hyperlink>
    </w:p>
    <w:p>
      <w:pPr>
        <w:pStyle w:val="ListBullet"/>
        <w:spacing w:line="240" w:lineRule="auto"/>
        <w:ind w:left="720"/>
      </w:pPr>
      <w:r/>
      <w:hyperlink r:id="rId1219">
        <w:r>
          <w:rPr>
            <w:color w:val="0000EE"/>
            <w:u w:val="single"/>
          </w:rPr>
          <w:t>Jérémie 31.31–37</w:t>
        </w:r>
      </w:hyperlink>
    </w:p>
    <w:p>
      <w:r/>
      <w:r>
        <w:t>La Genèse contient des éléments similaires aux traditions littéraires mésopotamiennes. La phrase « voici les générations de », qui revient à intervalles régulières dans la Genèse, en est un exemple. Cette phrase et le texte environnant sont utilisés comme « colophons » (informations de publication dans les livres modernes) sur les tablettes mésopotamiennes. Cette phrase, ainsi que les listes familiales de sites comme Nuzi, suggère que le style concis du début de la Genèse est similaire à l'écriture historique sumérienne.</w:t>
      </w:r>
    </w:p>
    <w:p>
      <w:r/>
      <w:r>
        <w:t xml:space="preserve">La littérature de sagesse hébraïque, comme les Proverbes, trouve également des parallèles dans d'autres textes anciens. Par exemple, l'« Instruction d'Amenemope », un texte égyptien, présente des similitudes avec </w:t>
      </w:r>
      <w:hyperlink r:id="rId1220">
        <w:r>
          <w:rPr>
            <w:color w:val="0000EE"/>
            <w:u w:val="single"/>
          </w:rPr>
          <w:t>Proverbes 22.17–24.22</w:t>
        </w:r>
      </w:hyperlink>
      <w:r>
        <w:t>, bien que les chercheurs débattent pour savoir si un texte a influencé l'autre ou s'ils dérivent tous deux d'une source antérieure perdue.</w:t>
      </w:r>
    </w:p>
    <w:p>
      <w:r/>
      <w:r>
        <w:t xml:space="preserve">La forme des lettres du monde antique est souvent utilisée dans la Bible (voir par exemple </w:t>
      </w:r>
      <w:hyperlink r:id="rId1221">
        <w:r>
          <w:rPr>
            <w:color w:val="0000EE"/>
            <w:u w:val="single"/>
          </w:rPr>
          <w:t>2S 11</w:t>
        </w:r>
      </w:hyperlink>
      <w:r>
        <w:t xml:space="preserve"> ; </w:t>
      </w:r>
      <w:hyperlink r:id="rId1222">
        <w:r>
          <w:rPr>
            <w:color w:val="0000EE"/>
            <w:u w:val="single"/>
          </w:rPr>
          <w:t>1R 21</w:t>
        </w:r>
      </w:hyperlink>
      <w:r>
        <w:t xml:space="preserve"> ; </w:t>
      </w:r>
      <w:hyperlink r:id="rId1223">
        <w:r>
          <w:rPr>
            <w:color w:val="0000EE"/>
            <w:u w:val="single"/>
          </w:rPr>
          <w:t>2R 5.10, 20</w:t>
        </w:r>
      </w:hyperlink>
      <w:r>
        <w:t xml:space="preserve"> ; </w:t>
      </w:r>
      <w:hyperlink r:id="rId1224">
        <w:r>
          <w:rPr>
            <w:color w:val="0000EE"/>
            <w:u w:val="single"/>
          </w:rPr>
          <w:t>Esd 4.6–7</w:t>
        </w:r>
      </w:hyperlink>
      <w:r>
        <w:t xml:space="preserve"> ; </w:t>
      </w:r>
      <w:hyperlink r:id="rId1225">
        <w:r>
          <w:rPr>
            <w:color w:val="0000EE"/>
            <w:u w:val="single"/>
          </w:rPr>
          <w:t>Né 2.7</w:t>
        </w:r>
      </w:hyperlink>
      <w:r>
        <w:t xml:space="preserve">). Cette forme était employée dans les papyrus égyptiens, comme les documents de Zénon, et dans les écrits grecs, tels que les lettres de Platon. La </w:t>
      </w:r>
      <w:r>
        <w:rPr>
          <w:i/>
        </w:rPr>
        <w:t>Septième Lettre</w:t>
      </w:r>
      <w:r>
        <w:t xml:space="preserve"> de Platon, datant d'environ 354 av. J.‑C., est similaire aux lettres de l'apôtre Paul. La </w:t>
      </w:r>
      <w:r>
        <w:rPr>
          <w:i/>
        </w:rPr>
        <w:t>Septième Lettre</w:t>
      </w:r>
      <w:r>
        <w:t xml:space="preserve"> de Platon tente également de corriger les malentendus concernant son enseignement. Les lettres de Paul, de par leur nature personnelle, endossent certains éléments de lettres égyptiennes (la lettre à Philémon en particulier).</w:t>
      </w:r>
    </w:p>
    <w:p>
      <w:pPr>
        <w:pStyle w:val="Heading3"/>
      </w:pPr>
      <w:r>
        <w:t>Archéologie et Langue</w:t>
      </w:r>
    </w:p>
    <w:p>
      <w:r/>
      <w:r>
        <w:t xml:space="preserve">Le recouvrement de langues anciennes par l'archéologie nous aide à comprendre l'Ancien Testament. De nombreuses expressions de l'Ancien Testament ont été identifiées comme ayant des origines sumériennes ou akkadiennes, à l'instar, l'expression « les cieux et la terre » dans </w:t>
      </w:r>
      <w:hyperlink r:id="rId1226">
        <w:r>
          <w:rPr>
            <w:color w:val="0000EE"/>
            <w:u w:val="single"/>
          </w:rPr>
          <w:t>Genèse 1.1</w:t>
        </w:r>
      </w:hyperlink>
      <w:r>
        <w:t xml:space="preserve">. En sumérien, l'expression est </w:t>
      </w:r>
      <w:r>
        <w:rPr>
          <w:i/>
        </w:rPr>
        <w:t xml:space="preserve">an-ki, </w:t>
      </w:r>
      <w:r>
        <w:t xml:space="preserve">signifiant « univers ». Cette phrase emploie deux termes opposés pour exprimer la totalité, un procédé littéraire également observé dans </w:t>
      </w:r>
      <w:hyperlink r:id="rId1227">
        <w:r>
          <w:rPr>
            <w:color w:val="0000EE"/>
            <w:u w:val="single"/>
          </w:rPr>
          <w:t>Apocalypse 22.13</w:t>
        </w:r>
      </w:hyperlink>
      <w:r>
        <w:t>.</w:t>
      </w:r>
    </w:p>
    <w:p>
      <w:r/>
      <w:r>
        <w:t>Le ougaritique et l'eblaïque sont deux dialectes sémitiques occidentaux étroitement liés à l'hébreu. Ces dialectes fournissent des éclaircissements sur le langage poétique hébreu obscur, révélant qu'il préserve des expressions cananéennes anciennes. L'araméen est une autre langue sémitique du nord-ouest. L'étude de l'araméen a également clarifié la langue utilisée dans certaines parties de l'Ancien Testament, telles que les livres d'Esdras et de Daniel. Ceux-ci ont été écrits en araméen impérial. Les papyrus d'Éléphantine des 5e et 4e siècles av. J.‑C. soutiennent la datation ancienne de ces textes.</w:t>
      </w:r>
    </w:p>
    <w:p>
      <w:r/>
      <w:r>
        <w:t>Le Nouveau Testament a été écrit en koinè, ou grec « commun », la langue commune du Proche-Orient et de l'Empire romain. Le grec du Nouveau Testament contient souvent des expressions sémitiques sous-jacentes qui, si elles ne sont pas reconnues, peuvent conduire à des erreurs de traduction.</w:t>
      </w:r>
    </w:p>
    <w:p>
      <w:pPr>
        <w:pStyle w:val="Heading3"/>
      </w:pPr>
      <w:r>
        <w:t>Importance pour l'études de la Bible</w:t>
      </w:r>
    </w:p>
    <w:p>
      <w:r/>
      <w:r>
        <w:t>Les découvertes archéologiques ont considérablement élargi notre connaissance du monde ancien. Elles nous ont permis de voir les personnages de la Bible comme des figures historiques réelles. Ces individus ont vécu à des époques de tensions et de réalisations culturelles. Ils n'étaient pas des figures légendaires. Ils ont affronté les problèmes de la vie et ont parfois reçu des visions de Dieu, tout-puissant et entièrement saint, qui les guidait, eux et leurs nations, et les aidait à accomplir ses desseins dans le cours de l'histoire.</w:t>
      </w:r>
    </w:p>
    <w:p>
      <w:r/>
      <w:r>
        <w:t>L'archéologie montre que les Hébreux doivent être considérés dans le contexte plus large du Proche-Orient Ancien, comme faisant partie d'une grande culture incluant divers peuples tels que les Sumériens et les Égéens. Cette étude doit être abordée de manière objective. Nous devons utiliser des preuves pour comprendre les événements et la vie bibliques. Bien qu'il puisse y avoir des conflits occasionnels entre les interprétations archéologiques et les données bibliques, ceux-ci sont rares et tendent à diminuer à mesure que de nouvelles informations sont découvertes.</w:t>
      </w:r>
    </w:p>
    <w:p>
      <w:r/>
      <w:r>
        <w:t>L'archéologie ne peut ni prouver ni réfuter les vérités spirituelles des Écritures. Cependant, elle valide l'histoire hébraïque et clarifie de nombreux termes et traditions auparavant incertains dans l'Ancien et le Nouveau Testament. Ce faisant, l'archéologie fournit un solide contexte historique pour les prophéties qui mènent à la vie de Jésus-Christ.</w:t>
      </w:r>
      <w:r/>
      <w:r/>
    </w:p>
    <w:p>
      <w:r/>
    </w:p>
    <w:p>
      <w:pPr>
        <w:pStyle w:val="Heading2"/>
      </w:pPr>
      <w:r>
        <w:t>Archer, Tir à l'arc</w:t>
      </w:r>
      <w:r/>
    </w:p>
    <w:p>
      <w:r/>
      <w:r>
        <w:t>Les archers utilisaient des arcs et des flèches aussi bien en temps de paix qu'en temps de guerre. Les nomades, chasseurs, assaillants qui volaient les autres et les guerriers (</w:t>
      </w:r>
      <w:hyperlink r:id="rId1228">
        <w:r>
          <w:rPr>
            <w:color w:val="0000EE"/>
            <w:u w:val="single"/>
          </w:rPr>
          <w:t>Gn 21.20</w:t>
        </w:r>
      </w:hyperlink>
      <w:r>
        <w:t xml:space="preserve"> ; </w:t>
      </w:r>
      <w:hyperlink r:id="rId1229">
        <w:r>
          <w:rPr>
            <w:color w:val="0000EE"/>
            <w:u w:val="single"/>
          </w:rPr>
          <w:t>27.3</w:t>
        </w:r>
      </w:hyperlink>
      <w:r>
        <w:t xml:space="preserve"> ; </w:t>
      </w:r>
      <w:hyperlink r:id="rId1230">
        <w:r>
          <w:rPr>
            <w:color w:val="0000EE"/>
            <w:u w:val="single"/>
          </w:rPr>
          <w:t>48.22</w:t>
        </w:r>
      </w:hyperlink>
      <w:r>
        <w:t xml:space="preserve"> ; </w:t>
      </w:r>
      <w:hyperlink r:id="rId1231">
        <w:r>
          <w:rPr>
            <w:color w:val="0000EE"/>
            <w:u w:val="single"/>
          </w:rPr>
          <w:t>Jos 24.12</w:t>
        </w:r>
      </w:hyperlink>
      <w:r>
        <w:t xml:space="preserve"> ; </w:t>
      </w:r>
      <w:hyperlink r:id="rId1232">
        <w:r>
          <w:rPr>
            <w:color w:val="0000EE"/>
            <w:u w:val="single"/>
          </w:rPr>
          <w:t>Es 7.24</w:t>
        </w:r>
      </w:hyperlink>
      <w:r>
        <w:t xml:space="preserve"> ; </w:t>
      </w:r>
      <w:hyperlink r:id="rId1233">
        <w:r>
          <w:rPr>
            <w:color w:val="0000EE"/>
            <w:u w:val="single"/>
          </w:rPr>
          <w:t>Ez 39.9</w:t>
        </w:r>
      </w:hyperlink>
      <w:r>
        <w:t xml:space="preserve"> ; </w:t>
      </w:r>
      <w:hyperlink r:id="rId1234">
        <w:r>
          <w:rPr>
            <w:color w:val="0000EE"/>
            <w:u w:val="single"/>
          </w:rPr>
          <w:t>Os 1.7</w:t>
        </w:r>
      </w:hyperlink>
      <w:r>
        <w:t>) utilisaient le tir à l'arc pour la chasse et le combat tout au long de la Bible.</w:t>
      </w:r>
    </w:p>
    <w:p>
      <w:r/>
      <w:r>
        <w:t>Au fil des siècles, 'efficacité de l'arc et des flèches s'est amélioré. Le meilleur arc était l'« arc composite ». Les artisans collaient des bandes de tendon animal aux extrémités de l'arc et de la corne animale à la surface intérieure. Un arc de ce style pouvait tirer des flèches de 250 à 350 m. Un archer devait être une personne forte pour le bander et l'utiliser.</w:t>
      </w:r>
    </w:p>
    <w:p>
      <w:r/>
      <w:r>
        <w:t>Bien que les archers utilisaient des arcs pour la chasse, cette arme était surtout utile à la guerre. Saül et Jonathan combattaient avec épée et arc, et l'armée de David comprenait des archers habiles (</w:t>
      </w:r>
      <w:hyperlink r:id="rId1235">
        <w:r>
          <w:rPr>
            <w:color w:val="0000EE"/>
            <w:u w:val="single"/>
          </w:rPr>
          <w:t>1S 18.4</w:t>
        </w:r>
      </w:hyperlink>
      <w:r>
        <w:t xml:space="preserve"> ; </w:t>
      </w:r>
      <w:hyperlink r:id="rId1236">
        <w:r>
          <w:rPr>
            <w:color w:val="0000EE"/>
            <w:u w:val="single"/>
          </w:rPr>
          <w:t>1Ch 12.2</w:t>
        </w:r>
      </w:hyperlink>
      <w:r>
        <w:t>). Les rois d'Israël équipaient leurs troupes d'arcs (</w:t>
      </w:r>
      <w:hyperlink r:id="rId1237">
        <w:r>
          <w:rPr>
            <w:color w:val="0000EE"/>
            <w:u w:val="single"/>
          </w:rPr>
          <w:t>2Ch 17.17</w:t>
        </w:r>
      </w:hyperlink>
      <w:r>
        <w:t>). Les ennemis d'Israël, y compris les Égyptiens, Syriens, Assyriens, Babyloniens, Perses, Grecs et Romains, comptaient tous des archers parmi leurs armées. D'excellentes images d'archers historiques existent encore sous forme de sculpture.</w:t>
      </w:r>
    </w:p>
    <w:p>
      <w:r/>
      <w:r>
        <w:t>Job décrit ses souffrances physiques métaphoriquement comme les archers de Dieu l'entourant (</w:t>
      </w:r>
      <w:hyperlink r:id="rId1238">
        <w:r>
          <w:rPr>
            <w:color w:val="0000EE"/>
            <w:u w:val="single"/>
          </w:rPr>
          <w:t>Jb 16.13</w:t>
        </w:r>
      </w:hyperlink>
      <w:r>
        <w:t>). Certains Psaumes se réfèrent à l'arc d'un archer comme une métaphore de la violence (</w:t>
      </w:r>
      <w:hyperlink r:id="rId1239">
        <w:r>
          <w:rPr>
            <w:color w:val="0000EE"/>
            <w:u w:val="single"/>
          </w:rPr>
          <w:t>Ps 11.2</w:t>
        </w:r>
      </w:hyperlink>
      <w:r>
        <w:t xml:space="preserve"> ; </w:t>
      </w:r>
      <w:hyperlink r:id="rId1240">
        <w:r>
          <w:rPr>
            <w:color w:val="0000EE"/>
            <w:u w:val="single"/>
          </w:rPr>
          <w:t>57.4</w:t>
        </w:r>
      </w:hyperlink>
      <w:r>
        <w:t>). D'autres se réfèrent à l'arc d'un archer comme une métaphore du jugement divin (</w:t>
      </w:r>
      <w:hyperlink r:id="rId1241">
        <w:r>
          <w:rPr>
            <w:color w:val="0000EE"/>
            <w:u w:val="single"/>
          </w:rPr>
          <w:t>Ps 7.13</w:t>
        </w:r>
      </w:hyperlink>
      <w:r>
        <w:t xml:space="preserve"> ; </w:t>
      </w:r>
      <w:hyperlink r:id="rId1242">
        <w:r>
          <w:rPr>
            <w:color w:val="0000EE"/>
            <w:u w:val="single"/>
          </w:rPr>
          <w:t>38.2</w:t>
        </w:r>
      </w:hyperlink>
      <w:r>
        <w:t xml:space="preserve"> ; </w:t>
      </w:r>
      <w:hyperlink r:id="rId1243">
        <w:r>
          <w:rPr>
            <w:color w:val="0000EE"/>
            <w:u w:val="single"/>
          </w:rPr>
          <w:t>64.7</w:t>
        </w:r>
      </w:hyperlink>
      <w:r>
        <w:t>).</w:t>
      </w:r>
    </w:p>
    <w:p>
      <w:r/>
      <w:r>
        <w:rPr>
          <w:i/>
        </w:rPr>
        <w:t>Voir aussi</w:t>
      </w:r>
      <w:r>
        <w:t xml:space="preserve"> </w:t>
      </w:r>
      <w:r>
        <w:t>Armures et armes</w:t>
      </w:r>
      <w:r>
        <w:t>.</w:t>
      </w:r>
      <w:r/>
      <w:r/>
    </w:p>
    <w:p>
      <w:r/>
    </w:p>
    <w:p>
      <w:pPr>
        <w:pStyle w:val="Heading2"/>
      </w:pPr>
      <w:r>
        <w:t>Architecture</w:t>
      </w:r>
      <w:r/>
    </w:p>
    <w:p>
      <w:r/>
      <w:r>
        <w:t xml:space="preserve">L'architecture est la science et l'art de concevoir et de construire des bâtiments, des ponts, etc. Un architecte est un professionnel de ce domaine. En architecture, la construction et l'art sont combinés afin de produire quelque chose de beau qui sert également un but pratique. L'architecte doit faire preuve d'imagination, de créativité et de savoir-faire afin de produire des structures qui susciteront l'intérêt et offriront des avantages pratiques tout en reflétant unité et puissance. Lorsque l'on observe un bâtiment, un monument ou une tombe, on remarque l'art avec lequel la structure a été construite. </w:t>
      </w:r>
    </w:p>
    <w:p>
      <w:r/>
      <w:r>
        <w:t>Des types spécifiques d'architecture sont mentionnés dans les Écritures : ceux de maisons, de structures présentes dans certaines villes, et, bien sûr, de temples. La façon dont ces différents types de bâtiments ont été construits reflète l'influence des empires qui ont dominé Israël à diverses époques. Il est donc important d'examiner l'architecture des empires associés à l'histoire biblique pour comprendre celle de la Palestine.</w:t>
      </w:r>
    </w:p>
    <w:p>
      <w:r/>
      <w:r>
        <w:t>Sommaire</w:t>
      </w:r>
    </w:p>
    <w:p>
      <w:r/>
      <w:r>
        <w:t>• Architecture sumérienne</w:t>
      </w:r>
    </w:p>
    <w:p>
      <w:r/>
      <w:r>
        <w:t>• Architecture égyptienne</w:t>
      </w:r>
    </w:p>
    <w:p>
      <w:r/>
      <w:r>
        <w:t>• Architecture assyrienne et hittite</w:t>
      </w:r>
    </w:p>
    <w:p>
      <w:r/>
      <w:r>
        <w:t>• Architecture grecque</w:t>
      </w:r>
    </w:p>
    <w:p>
      <w:r/>
      <w:r>
        <w:t>• Architecture romaine</w:t>
      </w:r>
    </w:p>
    <w:p>
      <w:r/>
      <w:r>
        <w:t>• Architecture palestinienne</w:t>
      </w:r>
    </w:p>
    <w:p>
      <w:pPr>
        <w:pStyle w:val="Heading3"/>
      </w:pPr>
      <w:r>
        <w:t>Architecture sumérienne</w:t>
      </w:r>
    </w:p>
    <w:p>
      <w:r/>
      <w:r>
        <w:t>L'architecture a d'abord été développée par les Sumériens, un peuple d'origine non sémitique. (« Sémitique » signifie de la famille des peuples/langues originaires du sud et de l'est du Bassin méditerranéen et de la péninsule arabique). Les Sumériens se sont peut-être installés sur l'île de Bahreïn dans le golfe Persique mille ans avant de se déplacer vers le nord, sur le continent. Les Sumériens ont toujours considéré l'architecture comme une entreprise artistique importante au sein de leur culture. Elle a trouvé sa pleine expression dans la construction de temples. La ziggourat sumérienne, ou tour à plusieurs étages, est devenue la contribution la plus distinctive de la Mésopotamie à l'architecture, tant séculière (ou laïque) que sacrée. La ziggourat a souvent été comparée aux cathédrales médiévales européennes, dont le point le plus élevé pourrait sembler vouloir atteindre Dieu (comme une expression des aspirations religieuses humaines). Cependant, cela ne correspondait pas aux idéaux sumériens à la base de la construction de leurs sanctuaires. Pour eux, la ziggourat, sur son monticule ou sa plateforme, représentait une concentration de forces naturelles et vitales. Le dieu vénéré dans cette structure était déjà descendu dans sa maison, et c'était le devoir du fidèle de communier avec lui là-bas.</w:t>
      </w:r>
    </w:p>
    <w:p>
      <w:r/>
      <w:r>
        <w:t>Vers 2000 av. J.-C., la zone entourant un temple mésopotamien abritait normalement la ziggourat, plusieurs entrepôts, des sanctuaires, des ateliers et des logements pour les prêtres. La ziggourat se construisait généralement en trois étapes : les murs intérieurs en briques de boue séchée au soleil, les murs extérieurs en briques cuites posées dans du bitume. Les niveaux supérieurs étaient atteints par des escaliers ou des rampes, et parfois un petit sanctuaire dédié à une divinité locale couronnait l'étage le plus élevé. En plus de concevoir des murs et des colonnes décorés, les architectes sumériens avaient découvert comment utiliser des arcs, des dômes et des voûtes pour donner une impression de grandeur et d'espace à leurs constructions.</w:t>
      </w:r>
    </w:p>
    <w:p>
      <w:r/>
      <w:r>
        <w:t>L'architecture domestique sumérienne était assez variée en style. La plupart des maisons de la ville étaient des habitations à deux étages construites sur trois côtés d'un carré, avec une ouverture orientée à l'opposé des rues étroites. Les maisons des riches pouvaient contenir jusqu'à 20 pièces ; certaines incluaient des quartiers pour les domestiques. Les installations sanitaires intérieures étaient reliées à une fosse septique souterraine par des tuyaux de drainage. De nombreuses maisons avaient un caveau (tombeau) familial au sous-sol. Il ne fait guère de doute que les Akkadiens, les Hittites, les Égyptiens et les Grecs ont tous bénéficié de diverses manières des innovations architecturales des Sumériens.</w:t>
      </w:r>
    </w:p>
    <w:p>
      <w:pPr>
        <w:pStyle w:val="Heading3"/>
      </w:pPr>
      <w:r>
        <w:t>Architecture Égyptienne</w:t>
      </w:r>
    </w:p>
    <w:p>
      <w:r/>
      <w:r>
        <w:t>Les Égyptiens ont réalisé les formes architecturales les plus durables jamais tentées par une civilisation. Une grande partie de leurs réalisations a été préservée. Elles comprenaient temples, tombes et pyramides. D'énormes pierres devaient être amenées de carrières lointaines. Les Égyptiens ont utilisé des esclaves pour construire des structures en l'honneur de leurs dirigeants.</w:t>
      </w:r>
    </w:p>
    <w:p>
      <w:r/>
      <w:r>
        <w:t>Les pyramides sont des exemples remarquables de l'architecture égyptienne. Presque toutes les pyramides ont été construites pendant la période de l'Ancien Empire égyptien (env. 2700–2200 av. J.-C.). Le principe sumérien de la niche en retrait a été utilisé pour soutenir le poids d'énormes pierres. Sans cette technique, il aurait été impossible de construire un édifice aussi énorme que la Grande Pyramide, dont le poids est estimé à près de six millions de tonnes (5 448 000 tonnes métriques). La Grande Pyramide est l'un des bâtiments les plus parfaitement orientés sur terre, à seulement quelques secondes d'un degré près fidèle à une véritable orientation nord-sud. Beaucoup des énormes blocs de pierre ont été taillés et assemblés avec une telle précision qu'il est impossible d'insérer le bord d'une feuille de papier entre eux. Les pyramides étaient destinées à servir de tombes aux personnes qui les avaient commanditées, mais les structures elles-mêmes sont devenues des symboles de la créativité humaine.</w:t>
      </w:r>
    </w:p>
    <w:p>
      <w:r/>
      <w:r>
        <w:t>Le principal style architectural des Égyptiens était un système de poutres et traverses horizontales reposant sur des colonnes ou des poteaux. En conséquence, des bâtiments de toute taille ressemblent à une forêt de colonnes. Les surfaces murales étaient couvertes de sculptures, de peintures et de hiéroglyphes. Les temples étaient construits sur un axe en longueur dont la symétrie était presque parfaite. Les structures semblent avoir été conçues pour des cérémonies impériales et d'autres événements destinés à impressionner le peuple par le pouvoir et l'autorité de leurs dirigeants.</w:t>
      </w:r>
    </w:p>
    <w:p>
      <w:pPr>
        <w:pStyle w:val="Heading3"/>
      </w:pPr>
      <w:r>
        <w:t>Architecture assyrienne et hittite</w:t>
      </w:r>
    </w:p>
    <w:p>
      <w:r/>
      <w:r>
        <w:t>Les Assyriens ont suivi le modèle sumérien de construction de temples, mais ils ont agrandi les ziggourats et y ont ajouté plus d'étages. La grande ziggourat de Borsippa est un exemple remarquable de construction de temple à sept étages (les restes de cette ziggourat sont encore imposants). La fondation mesurait environ 83 mètres carrés (272 pi carrés), et le bâtiment s'élèvait à environ 49 mètres (160 pi) de hauteur. Chaque étage était en retrait par rapport au niveau inférieur, et était peint d'une couleur différente. Cela donnait à la structure l'aspect d'une terrasse. Chaque étage était censé représenter une planète. Conformément à la pratique sumérienne tardive, un petit sanctuaire était construit sur le toit du niveau le plus élevé : on pensait que le dieu Nabû y avait élu résidence. Beaucoup pensent que la Tour de Babel, détruite par Dieu, était une construction de type ziggourat (</w:t>
      </w:r>
      <w:hyperlink r:id="rId82">
        <w:r>
          <w:rPr>
            <w:color w:val="0000EE"/>
            <w:u w:val="single"/>
          </w:rPr>
          <w:t>Gn 11</w:t>
        </w:r>
      </w:hyperlink>
      <w:r>
        <w:t>).</w:t>
      </w:r>
    </w:p>
    <w:p>
      <w:r/>
      <w:r>
        <w:t>Les palais royaux assyriens des VIIIe et VIIe siècles av. J.-C. étaient grands et élégants, décorés avec d'énormes bas-reliefs représentant le roi occupé à diverses activités. (Un bas-relief est une sculpture qui ressort à peine du bloc sur lequel elle est sculptée ; elle donne l'impression de ne pas en ressortir complètement, mais d'y être en partie enfoncée ou incrustée). L'art assyrien était à son apogée à cette époque, et une attention méticuleuse était accordée aux détails, donnant un caractère viril à l'architecture assyrienne. De grandes sculptures en pierre d'animaux protecteurs étaient placées aux entrées des bâtiments publics. Des statues similaires à celles-ci représentent une caractéristique de l'architecture hittite en Anatolie, la partie orientale de l'Asie Mineure.</w:t>
      </w:r>
    </w:p>
    <w:p>
      <w:r/>
      <w:r>
        <w:t>Les bâtiments hittites excavés à Boğazkale et ailleurs rivalisaient facilement avec ceux des Assyriens en termes d'étendue et de grandeur. Des colonnes imposantes, de longs couloirs et des pièces spacieuses étaient typiques de la construction des palais hittites à l'âge du bronze.</w:t>
      </w:r>
    </w:p>
    <w:p>
      <w:r/>
      <w:r>
        <w:t>La conception des temples hittites suivait la norme babylonienne, avec plusieurs bâtiments regroupés autour d'une cour ouverte. Une différence était que le sanctuaire principal était accessible par une série d'entrées ou de porches s'étendant au-delà de la longueur des bâtiments adjacents. La conception permettait de placer de petites fenêtres en haut de la saillie (partie de la construction qui ressort, qui dépasse) afin que plus de lumière entre dans le sanctuaire.</w:t>
      </w:r>
    </w:p>
    <w:p>
      <w:pPr>
        <w:pStyle w:val="Heading3"/>
      </w:pPr>
      <w:r>
        <w:t>Architecture grecque</w:t>
      </w:r>
    </w:p>
    <w:p>
      <w:r/>
      <w:r>
        <w:t>Les Grecs ont réussi de grandes réalisations architecturales. La combinaison de nombreux facteurs a produit une architecture d'une grande beauté qui a survécu pendant des siècles. Ces facteurs comprenaient le climat, l'environnement, le gouvernement et des personnes de talent. Peut-être que le facteur le plus important était ces personnes, qui semblaient libres d'imaginer et de concevoir des structures qui continuent de nous enthousiasmer jusqu'à ce jour.</w:t>
      </w:r>
    </w:p>
    <w:p>
      <w:r/>
      <w:r>
        <w:t>Les Grecs s'efforçaient d'atteindre un idéal de la beauté dans leur architecture. Ce noble motif a trouvé sa plus haute expression au Ve siècle av J.-C. À l'époque de Périclès (461–429 av. J.-C.), le Parthénon et les Propylées de l'acropole d'Athènes ont été remodelés à partir des originaux antérieurs. (Le Parthénon est un temple dédié à la déesse Athéna et les Propylées sont la porte d'entrée du sanctuaire.) L'Érechthéion a également été construit sur l'acropole d'Athènes à cette époque. Les temples ultérieurs à Athènes comprennent celui d'Héphaïstos, une version moins gracieuse du Parthénon, et le sanctuaire d'Arès. Phidias, le sculpteur qui a conçu le Parthénon, avait également la responsabilité, avec ses élèves, de l'ensemble des statues du Ve siècle av. JC. Bien que les Sumériens aient été les premiers à sculpter des statues en pierre autoportantes (qui n'ont pas besoin du soutien d'une autre structure pour tenir debout) plutôt stéréotypées, ils l'avaient fait en grande partie avec des considérations théologiques. Pour les sculpteurs sumériens, la statue représentait un individu se tenant devant un dieu, prêt à être jugé. Pour les Grecs, cependant, l'objectif d'une bonne statue était d'être la reproduction la plus réaliste et la plus précise possible de l'anatomie humaine. Comme les Assyriens, leurs sculpteurs étudiaient l'anatomie. Les Grecs sont devenus les sculpteurs les plus compétents du monde.</w:t>
      </w:r>
    </w:p>
    <w:p>
      <w:r/>
      <w:r>
        <w:t xml:space="preserve">De nombreux bâtiments grecs faisaient preuve d'agencements harmonieux entre construction et environnement. Par exemple, les théâtres étaient construits sur des collines afin que la structure puisse avoir des rangées de sièges (gradins), mais toujours conserver un bel arrière-plan. Le marbre était amplement utilisé. Les bâtiments étaient placés de manière à ce que les jeux d'ombre ajoutent à leur élégance. L'apôtre Paul a vu toute cette splendeur structurelle lorsqu'il a visité la ville d'Athènes, mais il a senti « </w:t>
      </w:r>
      <w:r>
        <w:t>au dedans de lui son esprit s'irriter, à la vue de cette ville pleine d'idoles »</w:t>
      </w:r>
      <w:r>
        <w:t xml:space="preserve"> (</w:t>
      </w:r>
      <w:hyperlink r:id="rId1244">
        <w:r>
          <w:rPr>
            <w:color w:val="0000EE"/>
            <w:u w:val="single"/>
          </w:rPr>
          <w:t>Ac 17.16</w:t>
        </w:r>
      </w:hyperlink>
      <w:r>
        <w:t>). Beaucoup des plus beaux bâtiments, comme le Parthénon, ont été construits en l'honneur de dieux grecs païens. En réponse, Paul a prêché son célèbre sermon sur l'Aréopage. L'Aéropage correspond à la colline d'Arès (dieu grec de la guerre, assimilé par les Romains à leur propre dieu de la guerre, Mars) ; cette colline surplombe les temples d'Athènes.</w:t>
      </w:r>
    </w:p>
    <w:p>
      <w:pPr>
        <w:pStyle w:val="Heading3"/>
      </w:pPr>
      <w:r>
        <w:t>Architecture Romaine</w:t>
      </w:r>
    </w:p>
    <w:p>
      <w:r/>
      <w:r>
        <w:t>Les Romains étaient de grands bâtisseurs. Ils ont laissé leur empreinte dans l'histoire de l'architecture du monde. Plusieurs facteurs ont influencé leurs styles. Tout d'abord, les Romains avaient pris le contrôle d'autres empires les ayant précédés, et donc de leur formes d'architecture. Une certaine influence égyptienne a été observée, mais l'œil grec fixé sur la beauté et l'utilisation du marbre ont laissé une plus grande marque sur l'architecture romaine. Ensuite, les Romains ont découvert du ciment fabriqué à partir de terre volcanique. Mélangée à de la chaux, elle formait un mortier de grande cohésion (très solide). Ce ciment a permis aux Romains de construire des arcs monumentaux sans colonnes de soutien. Ces arches donnaient un sentiment de pompe et de majesté. L'utilisation du ciment a également permis aux Romains de construire des structures de plus d'un étage, comme le Colisée.</w:t>
      </w:r>
    </w:p>
    <w:p>
      <w:r/>
      <w:r>
        <w:t>Les architectes romains utilisaient des places centrales ou des forums publics au sein de leurs villes. C'est autour de ceux-ci que les bâtiments publics, les temples, les boutiques et les portiques étaient construits. Des arcs et des monuments commémorant des empereurs victorieux étaient construits dans les forums. Le concept romain de planification municipale (c.-à-d. l'agencement des principaux bâtiments de la vie urbaine autour d'un forum, qui devenait ainsi le cœur de la ville) a été copié dans tout l'Empire romain, y compris en Palestine.</w:t>
      </w:r>
    </w:p>
    <w:p>
      <w:r/>
      <w:r>
        <w:t>La pénurie d'eau dans plusieurs pays sous domination romaine a mené à la conception de moyens de transportation d'eau par voie terrestre, conduisant au développement de l'aqueduc. Les architectes romains étaient confrontés au problème de maintenir un degré de pente suffisant pour permettre à l'eau de s'écouler par gravité. Des canaux cimentés soutenus par des arches en pierre ont fourni une grande partie de la solution au problème. La conception architecturale des systèmes d'aqueducs est restée la même pendant toute la période impériale. Les piliers de fondation étaient enjambés par des arcs ronds. Un canal en pierre était construit au sommet de l'arche, doublé de ciment, et souvent couvert par un toit courbé.</w:t>
      </w:r>
    </w:p>
    <w:p>
      <w:pPr>
        <w:pStyle w:val="Heading3"/>
      </w:pPr>
      <w:r>
        <w:t>Architecture palestinienne</w:t>
      </w:r>
    </w:p>
    <w:p>
      <w:r/>
      <w:r>
        <w:t>Pendant une génération, les Israélites avaient habité dans des tentes et vécu au mieux des vies semi-sédentaires, sans besoin de structures permanentes de quelque sorte que ce soit. Quand le moment est venu pour eux de s'installer, ils ont été désavantagés par leur manque de compétences en construction. Les fouilles archéologiques de sites tels que Silo, Béthel et Debir ont révélé des tentatives israélites de reconstruire sur des fondations cananéennes antérieures. Leur niveau de savoir-faire était nettement inférieur à celui des constructeurs cananéens, comme en témoignent particulièrement les villes royales cananéennes. Jusqu'au Ve siècle av. J.-C., les bâtiments israélites avaient tendance à être petits et étroits, en partie parce que les architectes n'avaient pas trouvé d'autre moyen de couvrir une habitation qu'en posant des poutres en travers de sa largeur et en plaçant une couverture plate sur le dessus. Le premier arc voûté en Palestine a été construit à l'époque perse, mais il était si innovant (c.-à-d. qu'il introduisait quelque chose de neuf), que les Judéens, conservateurs, ont refusé de l'adopter comme style architectural. Ce n'est qu'à l'époque romaine que l'arc et la voûte ont été acceptés, en grande partie grâce à l'influence d'Hérode le Grand.</w:t>
      </w:r>
    </w:p>
    <w:p>
      <w:pPr>
        <w:pStyle w:val="Heading4"/>
      </w:pPr>
      <w:r>
        <w:t>Architecture dans l'Ancien Testament</w:t>
      </w:r>
    </w:p>
    <w:p>
      <w:r/>
      <w:r>
        <w:t>Villes</w:t>
      </w:r>
    </w:p>
    <w:p>
      <w:r/>
      <w:r>
        <w:t>À l'époque de l'AT, les villes étaient construites sur des collines ou des monticules et entourées d'un mur de protection. En général, les maisons étaient placées de manière aléatoire et étaient reliées par des chemins ou ruelles sinueux. Les personnes incapables de se permettre de vivre en ville habitaient les villages environnant la ville. Ils travaillaient les champs voisins, et en cas de danger fuyaient vers la ville.</w:t>
      </w:r>
    </w:p>
    <w:p>
      <w:r/>
      <w:r>
        <w:t>L'élément le plus crucial pour toute ville était un approvisionnement adéquat en eau. C'est pourquoi les villes étaient construites sur ou près de sources souterraines. Certaines villes utilisaient des citernes enduites et des bassins de collecte d'eau de pluie afin de compléter l'approvisionnement normal en eau. Les sources souterraines étaient protégées par des tunnels munis d'escaliers pour pouvoir y accéder lorsque la ville était assiégée.</w:t>
      </w:r>
    </w:p>
    <w:p>
      <w:r/>
      <w:r>
        <w:t>Fortifications</w:t>
      </w:r>
    </w:p>
    <w:p>
      <w:r/>
      <w:r>
        <w:t>Pendant une grande partie de l'époque de l'AT, les Israélites utilisaient les techniques de l'âge du bronze moyen (2100–1550 av. J.-C.) pour défendre leurs villes. La caractéristique centrale était un mur de pierre ou de briques d'environ 7,6 à 9,1 mètres (entre 25 et 30 pi) de hauteur. Ce mur était parfois complété par une pente artificielle et un fossé en contrebas pour le fortifier contre les béliers ennemis.</w:t>
      </w:r>
    </w:p>
    <w:p>
      <w:r/>
      <w:r>
        <w:t>Pendant la monarchie israélite, les murs pouvaient également être garnis de casemates (fortifications supplémentaires). Ces murs consistaient en deux murs parallèles reliés par une série de murs transversaux. Les pièces ainsi formées étaient ensuite remplies de terre pour offrir une protection supplémentaire contre les béliers ennemis (</w:t>
      </w:r>
      <w:hyperlink r:id="rId1245">
        <w:r>
          <w:rPr>
            <w:color w:val="0000EE"/>
            <w:u w:val="single"/>
          </w:rPr>
          <w:t>Ez 26:9</w:t>
        </w:r>
      </w:hyperlink>
      <w:r>
        <w:t>). Parfois, des murs de 6 mètres (20 pi) d'épaisseur étaient construits avec des porte-à-faux (surplombs) pour que les attaquants puissent être maîtrisés. L'apôtre Paul a été descendu du mur de Damas dans une corbeille depuis une pièce qui se trouvait dans ce mur (</w:t>
      </w:r>
      <w:hyperlink r:id="rId1246">
        <w:r>
          <w:rPr>
            <w:color w:val="0000EE"/>
            <w:u w:val="single"/>
          </w:rPr>
          <w:t xml:space="preserve">Ac 9.25 </w:t>
        </w:r>
      </w:hyperlink>
      <w:r>
        <w:t xml:space="preserve">; </w:t>
      </w:r>
      <w:hyperlink r:id="rId1247">
        <w:r>
          <w:rPr>
            <w:color w:val="0000EE"/>
            <w:u w:val="single"/>
          </w:rPr>
          <w:t>2Co 11.33</w:t>
        </w:r>
      </w:hyperlink>
      <w:r>
        <w:t>).</w:t>
      </w:r>
    </w:p>
    <w:p>
      <w:r/>
      <w:r>
        <w:t>Portes</w:t>
      </w:r>
    </w:p>
    <w:p>
      <w:r/>
      <w:r>
        <w:t>La plupart des murs de la ville avaient deux portes. L'un d'eux était réservé aux caravanes de chameaux, aux chars et aux grands convois ; l'autre, de l'autre côté de la ville, était réservé aux piétons, aux ânes et aux petits animaux. De nombreuses portes étaient constituées de doubles battants (</w:t>
      </w:r>
      <w:hyperlink r:id="rId1248">
        <w:r>
          <w:rPr>
            <w:color w:val="0000EE"/>
            <w:u w:val="single"/>
          </w:rPr>
          <w:t xml:space="preserve">Es 45.1 </w:t>
        </w:r>
      </w:hyperlink>
      <w:r>
        <w:t xml:space="preserve">; </w:t>
      </w:r>
      <w:hyperlink r:id="rId1249">
        <w:r>
          <w:rPr>
            <w:color w:val="0000EE"/>
            <w:u w:val="single"/>
          </w:rPr>
          <w:t>Né 6.1</w:t>
        </w:r>
      </w:hyperlink>
      <w:r>
        <w:t>). Ils étaient faits en bois et recouverts de plaques d'airain (bronze) (</w:t>
      </w:r>
      <w:hyperlink r:id="rId1250">
        <w:r>
          <w:rPr>
            <w:color w:val="0000EE"/>
            <w:u w:val="single"/>
          </w:rPr>
          <w:t>Es 45.2</w:t>
        </w:r>
      </w:hyperlink>
      <w:r>
        <w:t>). Les portes étaient sécurisées avec des barres horizontales en bois, en bronze (</w:t>
      </w:r>
      <w:hyperlink r:id="rId1251">
        <w:r>
          <w:rPr>
            <w:color w:val="0000EE"/>
            <w:u w:val="single"/>
          </w:rPr>
          <w:t>1R 4.13</w:t>
        </w:r>
      </w:hyperlink>
      <w:r>
        <w:t>) ou en fer (</w:t>
      </w:r>
      <w:hyperlink r:id="rId1252">
        <w:r>
          <w:rPr>
            <w:color w:val="0000EE"/>
            <w:u w:val="single"/>
          </w:rPr>
          <w:t>Ps 107.16</w:t>
        </w:r>
      </w:hyperlink>
      <w:r>
        <w:t>) qui s'inséraient dans des ouvertures prévues à cet effet dans les poteaux de la porte (</w:t>
      </w:r>
      <w:hyperlink r:id="rId1253">
        <w:r>
          <w:rPr>
            <w:color w:val="0000EE"/>
            <w:u w:val="single"/>
          </w:rPr>
          <w:t>Jg 16.3</w:t>
        </w:r>
      </w:hyperlink>
      <w:r>
        <w:t>).</w:t>
      </w:r>
    </w:p>
    <w:p>
      <w:r/>
      <w:r>
        <w:t>L'emplacement des portes était important pour la défense de la ville. Souvent, la route menant à la porte était aménagée de manière à ce que les attaquants, portant leurs boucliers dans leur main gauche, doivent faire face au mur de la ville et à ses défenseurs sur leur côté droit. Quelquefois, la porte faisait partie d'une grande tour (</w:t>
      </w:r>
      <w:hyperlink r:id="rId1254">
        <w:r>
          <w:rPr>
            <w:color w:val="0000EE"/>
            <w:u w:val="single"/>
          </w:rPr>
          <w:t>2Ch 26.9</w:t>
        </w:r>
      </w:hyperlink>
      <w:r>
        <w:t>). Parfois, des marches étaient construites à l'intérieur de la tour, afin que les sentinelles puissent atteindre le sommet pour monter la garde (</w:t>
      </w:r>
      <w:hyperlink r:id="rId1255">
        <w:r>
          <w:rPr>
            <w:color w:val="0000EE"/>
            <w:u w:val="single"/>
          </w:rPr>
          <w:t>2R 9.17</w:t>
        </w:r>
      </w:hyperlink>
      <w:r>
        <w:t>). La porte pouvait aussi être positionnée de manière à tourner de 90 degrés entre les portails, afin d'empêcher les archers ennemis de tirer directement à travers la porte.</w:t>
      </w:r>
    </w:p>
    <w:p>
      <w:r/>
      <w:r>
        <w:t>Maisons</w:t>
      </w:r>
    </w:p>
    <w:p>
      <w:r/>
      <w:r>
        <w:t>Une maison israélite supérieure à la moyenne se composait de plusieurs pièces donnant sur une cour ouverte (</w:t>
      </w:r>
      <w:hyperlink r:id="rId1256">
        <w:r>
          <w:rPr>
            <w:color w:val="0000EE"/>
            <w:u w:val="single"/>
          </w:rPr>
          <w:t>2S 17.18</w:t>
        </w:r>
      </w:hyperlink>
      <w:r>
        <w:t>). La plus grande pièce était pour la famille, une autre était pour son bétail, et une autre était utilisée comme entrepôt général. Parfois, les murs étaient faits de pierres, avec les joints façonnés en boue. Les murs intérieurs pouvaient être enduits de boue. Du cyprès (ou du cèdre) aurait été utilisé pour les murs intérieurs des maisons de gens plus prospères. Les sols étaient en argile ou en pierres de plâtre poli. Les toits plats étaient soutenus par des poutres et rendus étanches avec du bois ou de la broussaille. Un escalier extérieur donnait accès au toit, et certaines personnes y construisaient des chambres. Cela faisait de la demeure une maison à deux étages (</w:t>
      </w:r>
      <w:hyperlink r:id="rId1257">
        <w:r>
          <w:rPr>
            <w:color w:val="0000EE"/>
            <w:u w:val="single"/>
          </w:rPr>
          <w:t>1R 17.19</w:t>
        </w:r>
      </w:hyperlink>
      <w:r>
        <w:t>). Les toits plats des maisons offraient aux foyers nombreux un espace supplémentaire où dormir et se détendre. La loi mosaïque exigeait que ces toits soient entourés d'un parapet protecteur (petit mur à hauteur d'appui) pour empêcher les gens de tomber à leur mort (</w:t>
      </w:r>
      <w:hyperlink r:id="rId1258">
        <w:r>
          <w:rPr>
            <w:color w:val="0000EE"/>
            <w:u w:val="single"/>
          </w:rPr>
          <w:t>Dt 22.8</w:t>
        </w:r>
      </w:hyperlink>
      <w:r>
        <w:t>).</w:t>
      </w:r>
    </w:p>
    <w:p>
      <w:r/>
      <w:r>
        <w:t>Le Temple de Salomon</w:t>
      </w:r>
    </w:p>
    <w:p>
      <w:r/>
      <w:r>
        <w:t>Le Temple que le roi Salomon a fait construire était probablement la bâtiment le plus important de toutes les réalisations architecturales israélites. Il était situé sur le site où Abraham était censé avoir offert son fils Isaac (</w:t>
      </w:r>
      <w:hyperlink r:id="rId106">
        <w:r>
          <w:rPr>
            <w:color w:val="0000EE"/>
            <w:u w:val="single"/>
          </w:rPr>
          <w:t>Gn 22</w:t>
        </w:r>
      </w:hyperlink>
      <w:r>
        <w:t>). Il a fallu sept ans et demi pour le construire. Sa beauté et sa raison d'être étaient tous deux remarquables. La disposition du Temple était similaire à celle du tabernacle, sauf que qu'il faisait le double des dimensions et le triple de hauteur. Les murs étaient faits de pierres recouvertes d'or (</w:t>
      </w:r>
      <w:hyperlink r:id="rId1259">
        <w:r>
          <w:rPr>
            <w:color w:val="0000EE"/>
            <w:u w:val="single"/>
          </w:rPr>
          <w:t>1R 6.22</w:t>
        </w:r>
      </w:hyperlink>
      <w:r>
        <w:t>), de l'or couvrant également les plafonds et le sol. La cloison entre le Saint des Saints et le lieu saint était faite de bois de cèdre plaqué d'or. L'entrée du Saint des Saints consistait en une double porte en bois d'olivier sculpté et plaqué d'or. L'entrée demeurait ouverte, mais elle était voilée. À l'extérieur du Temple, il y avait deux cours, un parvis (une cour) intérieur pour les sacrificateurs (prêtres) et un parvis (cour) extérieur pour le peuple.</w:t>
      </w:r>
    </w:p>
    <w:p>
      <w:r/>
      <w:r>
        <w:t>Le manque d'expertise en construction en Israël a obligé Salomon à engager des ouvriers phéniciens. Le résultat a été une structure typiquement phénicienne, dont le plan au sol ressemblait étroitement à celui d'une chapelle cananéenne du VIIIe siècle av. J.-C. excavée à Tell Tayinat en Syrie. Les colonnes et les portiques étaient sans doute une caractéristique du temple de Salomon, bien que la fonction précise des piliers indépendants nommés Jakin et Boaz soit encore loin d'être certaine. Ce genre de travail de maçonnerie soignée semble être apparu en Israël initialement à l'époque de Salomon ; d'excellents spécimens de pierre taillée et de forme carrée ou rectangulaire ont été retrouvés en Samarie. Le site samaritain et Megiddo fournissent également des exemples intéressants de chapiteaux décorés de pilastres dont le style provient de représentations artistiques cananéennes. (Un pilastre est une sculpture en forme de colonne qui dépasse légèrement de la pierre dans laquelle elle est taillée).</w:t>
      </w:r>
    </w:p>
    <w:p>
      <w:r/>
      <w:r>
        <w:t>Lorsque Babylone a renversé et rasé Jérusalem en 586 av. J.-C., le Temple a été dépouillé de ses richesses et entièrement brûlé. Après le retour d'Israël de captivité, il a été reconstruit. Sa fondation a été posée en 525 av. J.-C. Cependant, ce second temple avait bien moins de splendeur que celui de Salomon. À l'époque du roi Hérode de Judée (37–4 av. J.-C.), il avait grand besoin de réparations.</w:t>
      </w:r>
    </w:p>
    <w:p>
      <w:r/>
      <w:r>
        <w:t>Bien que la tradition de l'AT ait accordé une importance considérable au temple de Salomon et loue sa magnificence, certains pensent que c'était en réalité une annexe du palais royal, servant de chapelle. Ce n'est que pendant la période post-exilique que le Temple aurait été libéré des associations royales pour devenir un sanctuaire indépendant où les gens pouvaient observer les rituels prescrits. Les temples avant et après l'exil étaient assez petits et étroits de dimensions, leur largeur étant limitée par la longueur des poutres en bois disponibles pour la toiture. La seule façon d'agrandir un tel bâtiment était de la manière proche-orientale habituelle, c'est-à-dire en ajoutant des pièces supplémentaires à l'extérieur.</w:t>
      </w:r>
    </w:p>
    <w:p>
      <w:pPr>
        <w:pStyle w:val="Heading4"/>
      </w:pPr>
      <w:r>
        <w:t>Architecture du Nouveau Testament</w:t>
      </w:r>
    </w:p>
    <w:p>
      <w:r/>
      <w:r>
        <w:t>L'architecture de l'époque du NT correspond à des structures grecques et romaines, puisque c'étaient des dirigeants de ces cultures qui avaient récemment dominé Israël. Les villes grecques étaient des modèles architecturaux, dont les plans de rues, d'arches, de théâtres, de bains publics, de temples et d'un marché central appelé agora étaient tirés avant leur construction</w:t>
      </w:r>
      <w:r>
        <w:rPr>
          <w:i/>
        </w:rPr>
        <w:t>.</w:t>
      </w:r>
      <w:r>
        <w:t xml:space="preserve"> Les maisons juives, cependant, restaient petites, avec des toits plats sur des pièces donnant sur une cour.</w:t>
      </w:r>
    </w:p>
    <w:p>
      <w:r/>
      <w:r>
        <w:t>Durant la domination romaine, Hérode le Grand (37–4 av. J.-C.) a fait construire des structures remarquables, y compris des aqueducs, des citernes, des cachots, des palais et des villes entières (p. ex. Césarée). Son plus grand travail a été la reconstruction du Temple, une structure remarquable qu'il a fallu 83 ans pour achever. Après avoir été achevé, il n'a duré que six ans. Il a été détruit par l'empereur romain Titus en 70 apr. J.-C.</w:t>
      </w:r>
    </w:p>
    <w:p>
      <w:r/>
      <w:r>
        <w:t xml:space="preserve">Le temple d'Hérode représentait un succès de mélange d'ancien et de nouveau. Bien qu'il ait semblé incarner les dernières modes architecturales hellénistiques dans ses colonnades, colonnes de marbre et façades, il était encore fermement enraciné dans les traditions de la Phénicie. La structure construite par Hérode constituait un agrandissement, et dans une certaine mesure une reconstruction, du temple du VIe siècle av. J.-C. Une série de parvis (cours) et de portiques entouraient le sanctuaire reconstruit, qui donnait une illusion de grandeur grâce à une entrée plus développée. Au milieu de ce portique se tenait un énorme portail donnant accès à la porte intérieure, beaucoup plus petite, du sanctuaire lui-même. Malheureusement, rien du bâtiment lui-même n'a survécu à la destruction de 70 apr. J.-C., nous laissant presque entièrement dépendants des écrits de Josèphe. </w:t>
      </w:r>
      <w:r>
        <w:rPr>
          <w:i/>
        </w:rPr>
        <w:t>Voir</w:t>
      </w:r>
      <w:r>
        <w:t xml:space="preserve"> </w:t>
      </w:r>
      <w:r>
        <w:t xml:space="preserve">Ville </w:t>
      </w:r>
      <w:r>
        <w:t xml:space="preserve">; </w:t>
      </w:r>
      <w:r>
        <w:t xml:space="preserve">Maisons et habitations </w:t>
      </w:r>
      <w:r>
        <w:t xml:space="preserve">; </w:t>
      </w:r>
      <w:r>
        <w:t>Temple</w:t>
      </w:r>
      <w:r>
        <w:t>.</w:t>
      </w:r>
      <w:r/>
      <w:r/>
    </w:p>
    <w:p>
      <w:r/>
    </w:p>
    <w:p>
      <w:pPr>
        <w:pStyle w:val="Heading2"/>
      </w:pPr>
      <w:r>
        <w:t>Ard, Ardite</w:t>
      </w:r>
      <w:r/>
    </w:p>
    <w:p>
      <w:r/>
      <w:r>
        <w:t>Le fils aîné de Benjamin, Béla, a eu neuf fils (</w:t>
      </w:r>
      <w:hyperlink r:id="rId122">
        <w:r>
          <w:rPr>
            <w:color w:val="0000EE"/>
            <w:u w:val="single"/>
          </w:rPr>
          <w:t>1Ch 8.1</w:t>
        </w:r>
      </w:hyperlink>
      <w:r>
        <w:t xml:space="preserve"> ; </w:t>
      </w:r>
      <w:hyperlink r:id="rId1260">
        <w:r>
          <w:rPr>
            <w:color w:val="0000EE"/>
            <w:u w:val="single"/>
          </w:rPr>
          <w:t>Nb 26.40</w:t>
        </w:r>
      </w:hyperlink>
      <w:r>
        <w:t>). Ard, l'un de ces neuf fils, est appelé fils de Benjamin au sens hébreu, signifiant descendant (</w:t>
      </w:r>
      <w:hyperlink r:id="rId123">
        <w:r>
          <w:rPr>
            <w:color w:val="0000EE"/>
            <w:u w:val="single"/>
          </w:rPr>
          <w:t>Gn 46.21</w:t>
        </w:r>
      </w:hyperlink>
      <w:r>
        <w:t>). Il était le fondateur de la famille des Ardiens, un groupe plus petit au sein de la plus grande tribu de Benjamin. Dans le livre de 1 Chroniques (</w:t>
      </w:r>
      <w:hyperlink r:id="rId1261">
        <w:r>
          <w:rPr>
            <w:color w:val="0000EE"/>
            <w:u w:val="single"/>
          </w:rPr>
          <w:t>8.3</w:t>
        </w:r>
      </w:hyperlink>
      <w:r>
        <w:t>), Ard est appelé Addar. Cette différence d'orthographe est probablement due à une erreur commise lors de la copie du texte il y a longtemps.</w:t>
      </w:r>
      <w:r/>
      <w:r/>
    </w:p>
    <w:p>
      <w:r/>
    </w:p>
    <w:p>
      <w:pPr>
        <w:pStyle w:val="Heading2"/>
      </w:pPr>
      <w:r>
        <w:t>Areéli, Areélite</w:t>
      </w:r>
      <w:r/>
    </w:p>
    <w:p>
      <w:r/>
      <w:r>
        <w:t>Un des sept fils de Gad (</w:t>
      </w:r>
      <w:hyperlink r:id="rId1262">
        <w:r>
          <w:rPr>
            <w:color w:val="0000EE"/>
            <w:u w:val="single"/>
          </w:rPr>
          <w:t>Gn 46.16</w:t>
        </w:r>
      </w:hyperlink>
      <w:r>
        <w:t>). Après la plaie de Baal-Peor, Moïse fera un recensement pour se préparer à la guerre contre les Madianites (</w:t>
      </w:r>
      <w:hyperlink r:id="rId1263">
        <w:r>
          <w:rPr>
            <w:color w:val="0000EE"/>
            <w:u w:val="single"/>
          </w:rPr>
          <w:t>Nb 25.6–18</w:t>
        </w:r>
      </w:hyperlink>
      <w:r>
        <w:t xml:space="preserve"> ; </w:t>
      </w:r>
      <w:hyperlink r:id="rId1264">
        <w:r>
          <w:rPr>
            <w:color w:val="0000EE"/>
            <w:u w:val="single"/>
          </w:rPr>
          <w:t>26.17</w:t>
        </w:r>
      </w:hyperlink>
      <w:r>
        <w:t xml:space="preserve">). Les descendants d'Areéli, appelés les </w:t>
      </w:r>
      <w:r>
        <w:t>Areélites</w:t>
      </w:r>
      <w:r>
        <w:t>, ont été comptés lors du recensement.</w:t>
      </w:r>
      <w:r/>
      <w:r/>
    </w:p>
    <w:p>
      <w:r/>
    </w:p>
    <w:p>
      <w:pPr>
        <w:pStyle w:val="Heading2"/>
      </w:pPr>
      <w:r>
        <w:t>Aréopage</w:t>
      </w:r>
      <w:r/>
    </w:p>
    <w:p>
      <w:r/>
      <w:r>
        <w:t>Colline à Athènes, en Grèce, au nord-ouest de l'Acropole, surplombant le marché (</w:t>
      </w:r>
      <w:hyperlink r:id="rId1265">
        <w:r>
          <w:rPr>
            <w:color w:val="0000EE"/>
            <w:u w:val="single"/>
          </w:rPr>
          <w:t>Ac 17.19</w:t>
        </w:r>
      </w:hyperlink>
      <w:r>
        <w:t>). « Aréopage » désigne également le conseil ou tribunal athénien qui s'y réunissait. Cet affleurement irrégulier de calcaire était aussi connu sous le nom de Champ de Mars. Mars était l'équivalent romain du dieu grec Arès.</w:t>
      </w:r>
    </w:p>
    <w:p>
      <w:r/>
      <w:r>
        <w:t xml:space="preserve">Certains philosophes épicuriens et stoïciens ont conduit l'Apôtre Paul devant le conseil à l'Aréopage. Paul avait discuté avec des Juifs et des Gentils craignant Dieu dans la synagogue et sur le marché </w:t>
      </w:r>
      <w:r>
        <w:rPr>
          <w:i/>
        </w:rPr>
        <w:t>(agora)</w:t>
      </w:r>
      <w:r>
        <w:t xml:space="preserve"> athéniens pendant plusieurs jours (</w:t>
      </w:r>
      <w:hyperlink r:id="rId1266">
        <w:r>
          <w:rPr>
            <w:color w:val="0000EE"/>
            <w:u w:val="single"/>
          </w:rPr>
          <w:t>Ac 17.16–21</w:t>
        </w:r>
      </w:hyperlink>
      <w:r>
        <w:t>).</w:t>
      </w:r>
    </w:p>
    <w:p>
      <w:r/>
      <w:r>
        <w:t>Bien que l'entretien avec Paul n'était pas un procès officiel, des procès se tenaient bien à l'Aréopage. Socrate avait affronté ceux qui l'accusaient de déprécier les dieux grecs là-bas cinq siècles plus tôt. À l'époque de Paul, le conseil de l'Aréopage était chargé d'examiner les questions politiques, éducatives, philosophiques et religieuses, ainsi que certaines procédures judiciaires.</w:t>
      </w:r>
    </w:p>
    <w:p>
      <w:r/>
      <w:r>
        <w:t>Le ton général du discours de Paul ne suggère pas de procédures judiciaires. Il a parlé en tant que croyant chrétien intelligent, capable de rencontrer les Athéniens intellectuels sur leur propre terrain (</w:t>
      </w:r>
      <w:hyperlink r:id="rId1267">
        <w:r>
          <w:rPr>
            <w:color w:val="0000EE"/>
            <w:u w:val="single"/>
          </w:rPr>
          <w:t>Ac 17.22–31</w:t>
        </w:r>
      </w:hyperlink>
      <w:r>
        <w:t>). Certains sont restés sceptiques, mais son discours a convaincu quelques-uns qui se sont joints à lui et sont devenus croyants (</w:t>
      </w:r>
      <w:hyperlink r:id="rId1268">
        <w:r>
          <w:rPr>
            <w:color w:val="0000EE"/>
            <w:u w:val="single"/>
          </w:rPr>
          <w:t>Ac 17.32–34</w:t>
        </w:r>
      </w:hyperlink>
      <w:r>
        <w:t>).</w:t>
      </w:r>
      <w:r/>
      <w:r/>
    </w:p>
    <w:p>
      <w:r/>
    </w:p>
    <w:p>
      <w:pPr>
        <w:pStyle w:val="Heading2"/>
      </w:pPr>
      <w:r>
        <w:t>Aréopagite</w:t>
      </w:r>
      <w:r/>
    </w:p>
    <w:p>
      <w:r/>
      <w:r>
        <w:t>Membre du conseil ou du tribunal de l'Aréopage à Athènes (</w:t>
      </w:r>
      <w:hyperlink r:id="rId125">
        <w:r>
          <w:rPr>
            <w:color w:val="0000EE"/>
            <w:u w:val="single"/>
          </w:rPr>
          <w:t>Ac 17.34</w:t>
        </w:r>
      </w:hyperlink>
      <w:r>
        <w:t xml:space="preserve">). </w:t>
      </w:r>
      <w:r>
        <w:rPr>
          <w:i/>
        </w:rPr>
        <w:t>Voir</w:t>
      </w:r>
      <w:r>
        <w:t xml:space="preserve"> </w:t>
      </w:r>
      <w:r>
        <w:t>Denys</w:t>
      </w:r>
      <w:r>
        <w:t>.</w:t>
      </w:r>
      <w:r/>
      <w:r/>
    </w:p>
    <w:p>
      <w:r/>
    </w:p>
    <w:p>
      <w:pPr>
        <w:pStyle w:val="Heading2"/>
      </w:pPr>
      <w:r>
        <w:t>Arétas</w:t>
      </w:r>
      <w:r/>
    </w:p>
    <w:p>
      <w:pPr>
        <w:pStyle w:val="ListNumber"/>
        <w:spacing w:line="240" w:lineRule="auto"/>
        <w:ind w:left="720"/>
      </w:pPr>
      <w:r/>
      <w:r>
        <w:t>Nom de plusieurs rois d'un peuple arabe appelé les Nabatéens. Ces personnes sont probablement des descendants de Nebajoth, le fils aîné d'Ismaël (</w:t>
      </w:r>
      <w:hyperlink r:id="rId1269">
        <w:r>
          <w:rPr>
            <w:color w:val="0000EE"/>
            <w:u w:val="single"/>
          </w:rPr>
          <w:t>Gn 25.12–16</w:t>
        </w:r>
      </w:hyperlink>
      <w:r>
        <w:t xml:space="preserve"> ; </w:t>
      </w:r>
      <w:hyperlink r:id="rId1270">
        <w:r>
          <w:rPr>
            <w:color w:val="0000EE"/>
            <w:u w:val="single"/>
          </w:rPr>
          <w:t>1Ch 1.29</w:t>
        </w:r>
      </w:hyperlink>
      <w:r>
        <w:t>). Selon l'historien juif Josèphe, les descendants d'Ismaël vivaient dans une région appelée la Nabatène. La Nabatène s'étendait de l'Euphrate à la mer Rouge. Sa capitale, Sela, était appelée Pétra à l'époque du Nouveau Testament.</w:t>
      </w:r>
    </w:p>
    <w:p>
      <w:pPr>
        <w:pStyle w:val="ListNumber"/>
        <w:spacing w:line="240" w:lineRule="auto"/>
        <w:ind w:left="720"/>
      </w:pPr>
      <w:r/>
      <w:r>
        <w:t xml:space="preserve">L'Arétas de </w:t>
      </w:r>
      <w:hyperlink r:id="rId1271">
        <w:r>
          <w:rPr>
            <w:color w:val="0000EE"/>
            <w:u w:val="single"/>
          </w:rPr>
          <w:t>2 Maccabées 5.8</w:t>
        </w:r>
      </w:hyperlink>
      <w:r>
        <w:t>, devant qui Jason le prêtre a été accusé, a régné vers 170 av. J.‑C. Les Nabatéens étaient manifestement amicaux envers les Maccabées (</w:t>
      </w:r>
      <w:hyperlink r:id="rId1272">
        <w:r>
          <w:rPr>
            <w:color w:val="0000EE"/>
            <w:u w:val="single"/>
          </w:rPr>
          <w:t>1 Maccabées 5.24–28</w:t>
        </w:r>
      </w:hyperlink>
      <w:r>
        <w:t xml:space="preserve"> ; </w:t>
      </w:r>
      <w:hyperlink r:id="rId1273">
        <w:r>
          <w:rPr>
            <w:color w:val="0000EE"/>
            <w:u w:val="single"/>
          </w:rPr>
          <w:t>9.35</w:t>
        </w:r>
      </w:hyperlink>
      <w:r>
        <w:t>). Josèphe mentionne deux autres rois nommés Arétas. Arétas III, à l'origine nommé Obodas, a étendu le contrôle nabatéen et occupé Damas pendant son règne de 87 à 62 av. J.‑C.</w:t>
      </w:r>
    </w:p>
    <w:p>
      <w:pPr>
        <w:pStyle w:val="ListNumber"/>
        <w:spacing w:line="240" w:lineRule="auto"/>
        <w:ind w:left="720"/>
      </w:pPr>
      <w:r/>
      <w:r>
        <w:t>Le Nouveau Testament fait référence à un autre Arétas. Le gouverneur de Damas sous le roi Arétas gardait la ville pour capturer l'apôtre Paul (</w:t>
      </w:r>
      <w:hyperlink r:id="rId1274">
        <w:r>
          <w:rPr>
            <w:color w:val="0000EE"/>
            <w:u w:val="single"/>
          </w:rPr>
          <w:t>2Co 11.32–33</w:t>
        </w:r>
      </w:hyperlink>
      <w:r>
        <w:t>). Pour s'échapper, les associés de Paul l'ont fait descendre dans un panier par une fenêtre du mur de la ville. Cet Arétas a été identifié comme Énéas, qui a pris le titre d'Arétas IV et a régné de 9 av. J.‑C. à 40 apr. J.‑C. Il a attaqué et vaincu Hérode Antipas à cause d'un différend frontalier, ainsi que par vengeance. Antipas avait divorcé de la fille d'Arétas pour épouser Hérodias.</w:t>
      </w:r>
      <w:r/>
      <w:r/>
    </w:p>
    <w:p>
      <w:r/>
    </w:p>
    <w:p>
      <w:pPr>
        <w:pStyle w:val="Heading2"/>
      </w:pPr>
      <w:r>
        <w:t>Argent</w:t>
      </w:r>
      <w:r/>
    </w:p>
    <w:p>
      <w:r/>
      <w:r>
        <w:t>Élément d'échange, mesure de valeur, moyen de paiement.</w:t>
      </w:r>
    </w:p>
    <w:p>
      <w:r/>
      <w:r>
        <w:t xml:space="preserve">L'argent a été développé comme un moyen d'échange pratique pour compléter et plus tard remplacer le troc, bien que les deux systèmes aient fonctionné simultanément pendant de nombreux siècles. De la période patriarcale à nos jours, la richesse a été mesurée en termes de biens et de métaux précieux, en particulier l'or et l'argent, qui restent des moyens d'échange universellement acceptés. </w:t>
      </w:r>
      <w:hyperlink r:id="rId1275">
        <w:r>
          <w:rPr>
            <w:color w:val="0000EE"/>
            <w:u w:val="single"/>
          </w:rPr>
          <w:t>Genèse 13.2</w:t>
        </w:r>
      </w:hyperlink>
      <w:r>
        <w:t xml:space="preserve"> décrit Abraham comme très riche en bétail, en argent et en or.</w:t>
      </w:r>
    </w:p>
    <w:p>
      <w:r/>
      <w:r>
        <w:t xml:space="preserve">Dans une société nomade ou semi-nomade, la richesse était souvent mesurée par le nombre de bovins qu'une personne possédait. En conséquence, les bovins étaient un moyen d'échange facilement accepté et évalué, bien que volumineux. Le fait que les bovins soient communément reconnus comme la norme pour la valeur, la richesse et l'échange se reflète dans le mot latin pour l'argent, </w:t>
      </w:r>
      <w:r>
        <w:rPr>
          <w:i/>
        </w:rPr>
        <w:t>pecunia</w:t>
      </w:r>
      <w:r>
        <w:t xml:space="preserve">, qui est directement dérivé de </w:t>
      </w:r>
      <w:r>
        <w:rPr>
          <w:i/>
        </w:rPr>
        <w:t>pecus</w:t>
      </w:r>
      <w:r>
        <w:t>, signifiant « bovins ». À des fins religieuses, les taxes ou les dons payés en bovins étaient les plus acceptables, ce qui augmentait non seulement la reconnaissance générale de ce moyen, mais faisait aussi du temple un dépôt pour de grands troupeaux de bovins, ainsi que pour des animaux plus petits et des produits qui, s'ils ne pouvaient pas être utilisés directement dans les rituels du temple, pouvaient être échangés contre les marchandises requises. Les aliments périssables étaient moins populaires à des fins d'échange que les animaux tels que les moutons et les ânes, bien que le bois, le vin et le miel soient régulièrement utilisés comme forme de monnaie (</w:t>
      </w:r>
      <w:hyperlink r:id="rId1276">
        <w:r>
          <w:rPr>
            <w:color w:val="0000EE"/>
            <w:u w:val="single"/>
          </w:rPr>
          <w:t>1S 8.15</w:t>
        </w:r>
      </w:hyperlink>
      <w:r>
        <w:t xml:space="preserve"> ; </w:t>
      </w:r>
      <w:hyperlink r:id="rId1277">
        <w:r>
          <w:rPr>
            <w:color w:val="0000EE"/>
            <w:u w:val="single"/>
          </w:rPr>
          <w:t>2R 3.4</w:t>
        </w:r>
      </w:hyperlink>
      <w:r>
        <w:t xml:space="preserve"> ; </w:t>
      </w:r>
      <w:hyperlink r:id="rId1278">
        <w:r>
          <w:rPr>
            <w:color w:val="0000EE"/>
            <w:u w:val="single"/>
          </w:rPr>
          <w:t>Ez 45.13–16</w:t>
        </w:r>
      </w:hyperlink>
      <w:r>
        <w:t>). Les taxes publiques et privées, les tributs et les dettes de toutes sortes étaient réglés de cette manière. Salomon payera Hiram, roi de Tyr, en blé et en huile d'olive pour son assistance dans la construction du temple (</w:t>
      </w:r>
      <w:hyperlink r:id="rId1279">
        <w:r>
          <w:rPr>
            <w:color w:val="0000EE"/>
            <w:u w:val="single"/>
          </w:rPr>
          <w:t>1R 5.11</w:t>
        </w:r>
      </w:hyperlink>
      <w:r>
        <w:t xml:space="preserve">), et au 8e siècle av. J.‑C., les taxes étaient couramment payées en jarres de vin ou d'huile d'olive. Le tribut sous forme de moutons et de laine est relaté dans </w:t>
      </w:r>
      <w:hyperlink r:id="rId1277">
        <w:r>
          <w:rPr>
            <w:color w:val="0000EE"/>
            <w:u w:val="single"/>
          </w:rPr>
          <w:t>2R 3.4</w:t>
        </w:r>
      </w:hyperlink>
      <w:r>
        <w:t>.</w:t>
      </w:r>
    </w:p>
    <w:p>
      <w:r/>
      <w:r>
        <w:t>Tous les moyens d'échange mentionnés représentaient des biens pouvant être mesurés ou comptés. Certains ont tenté d'établir un taux de change standard pour ces biens en relation les uns avec les autres.</w:t>
      </w:r>
    </w:p>
    <w:p>
      <w:r/>
      <w:r>
        <w:t xml:space="preserve">L'argent était le métal précieux le plus facilement disponible au Proche-Orient Ancien et était donc celui le plus fréquemment mentionné en lien avec les achats par poids, et, plus tard, par pièce. Le premier exemple de l'utilisation de l'argent comme moyen d'échange dans la Bible se trouve dans </w:t>
      </w:r>
      <w:hyperlink r:id="rId1280">
        <w:r>
          <w:rPr>
            <w:color w:val="0000EE"/>
            <w:u w:val="single"/>
          </w:rPr>
          <w:t>Genèse 20.14–16</w:t>
        </w:r>
      </w:hyperlink>
      <w:r>
        <w:t>, où Abraham recevra un paiement de mille sicles par poids d'argent, ainsi que des animaux et des esclaves. Abraham achètera également le champ et la grotte de Macpéla pour quatre-cents sicles d'argent (</w:t>
      </w:r>
      <w:hyperlink r:id="rId1281">
        <w:r>
          <w:rPr>
            <w:color w:val="0000EE"/>
            <w:u w:val="single"/>
          </w:rPr>
          <w:t>Gn 23.15–16</w:t>
        </w:r>
      </w:hyperlink>
      <w:r>
        <w:t xml:space="preserve">), qui, selon la coutume de l'époque, devaient être pesés en présence du vendeur et vérifiés devant témoins (voir </w:t>
      </w:r>
      <w:hyperlink r:id="rId1282">
        <w:r>
          <w:rPr>
            <w:color w:val="0000EE"/>
            <w:u w:val="single"/>
          </w:rPr>
          <w:t>Jr 32.9–10</w:t>
        </w:r>
      </w:hyperlink>
      <w:r>
        <w:t>).</w:t>
      </w:r>
    </w:p>
    <w:p>
      <w:r/>
      <w:r>
        <w:t>Comme ces événements se sont produits au début du 2e millénaire av. J.‑C., le terme « shekel » ne représenterait pas la pièce familière des périodes ultérieures mais plutôt un certain poids d'argent. Plus tard, les frères de Joseph le vendront à des marchands itinérants pour vingt shekels d'argent (</w:t>
      </w:r>
      <w:hyperlink r:id="rId1283">
        <w:r>
          <w:rPr>
            <w:color w:val="0000EE"/>
            <w:u w:val="single"/>
          </w:rPr>
          <w:t>Gn 37.28</w:t>
        </w:r>
      </w:hyperlink>
      <w:r>
        <w:t xml:space="preserve">). </w:t>
      </w:r>
      <w:hyperlink r:id="rId1284">
        <w:r>
          <w:rPr>
            <w:color w:val="0000EE"/>
            <w:u w:val="single"/>
          </w:rPr>
          <w:t>Genèse 33.19</w:t>
        </w:r>
      </w:hyperlink>
      <w:r>
        <w:t xml:space="preserve"> mentionne une autre unité de poids pour le métal, la</w:t>
      </w:r>
      <w:r>
        <w:rPr>
          <w:i/>
        </w:rPr>
        <w:t xml:space="preserve"> kesita</w:t>
      </w:r>
      <w:r>
        <w:t xml:space="preserve">, en lien avec l'achat d'un champ par Jacob ; le terme apparaît à nouveau dans </w:t>
      </w:r>
      <w:hyperlink r:id="rId1285">
        <w:r>
          <w:rPr>
            <w:color w:val="0000EE"/>
            <w:u w:val="single"/>
          </w:rPr>
          <w:t>Josué 24.32</w:t>
        </w:r>
      </w:hyperlink>
      <w:r>
        <w:t xml:space="preserve"> et </w:t>
      </w:r>
      <w:hyperlink r:id="rId1286">
        <w:r>
          <w:rPr>
            <w:color w:val="0000EE"/>
            <w:u w:val="single"/>
          </w:rPr>
          <w:t>Job 42.11</w:t>
        </w:r>
      </w:hyperlink>
      <w:r>
        <w:t>. Cette unité pouvait représenter un montant équivalent à la valeur monétaire d'un agneau.</w:t>
      </w:r>
    </w:p>
    <w:p>
      <w:r/>
      <w:r>
        <w:t>Au fil du temps, les grands animaux et les objets matériels ont fini par être considérés comme trop peu pratiques en tant que moyens d'échange, et le métal est devenu de plus en plus populaire. Cependant, le transport de grandes quantités de métal précieux restait un problème, et une méthode devait être mise au point pour la reconnaissance facile, l'accessibilité et le stockage de métaux de valeur précis.</w:t>
      </w:r>
    </w:p>
    <w:p>
      <w:r/>
      <w:r>
        <w:t>Au fil des années, des formes assez uniformes ont été conçues pour les métaux utilisés dans les transactions. L'argent pouvait être empilé ou attaché en paquets, comme le montrent les bas-reliefs égyptiens, et les fils de Jacob utiliseront une méthode similaire pour transporter le prix d'achat du grain qu'ils achetaient en Égypte (</w:t>
      </w:r>
      <w:hyperlink r:id="rId1287">
        <w:r>
          <w:rPr>
            <w:color w:val="0000EE"/>
            <w:u w:val="single"/>
          </w:rPr>
          <w:t>Gn 42.35</w:t>
        </w:r>
      </w:hyperlink>
      <w:r>
        <w:t>). Vers 1500 av. J.‑C., des morceaux de métal façonnés sous forme de lingots, de barres, de langues ou de têtes d'animaux étaient utilisés, ainsi que des disques d'or et des anneaux de fil d'or. Peut-être que les pièces les plus populaires acceptées comme monnaie étaient celles qui avaient également été conçues comme bijoux. Les objets de valeur énumérés parmi le butin des Madianites comprenaient des chaînes en or, des bracelets, des bagues-signet et des boucles d'oreilles (</w:t>
      </w:r>
      <w:hyperlink r:id="rId1288">
        <w:r>
          <w:rPr>
            <w:color w:val="0000EE"/>
            <w:u w:val="single"/>
          </w:rPr>
          <w:t>Nb 31.50</w:t>
        </w:r>
      </w:hyperlink>
      <w:r>
        <w:t>). Les bracelets et les anneaux en particulier représentaient probablement un poids standardisé, et pouvaient donc être utilisés facilement comme monnaie. Rebecca recevra des cadeaux de son fiancé sous forme de bijoux d'un poids spécifique : une bague en or pesant un demi-sicle et deux bracelets pesant dix sicles d'or (</w:t>
      </w:r>
      <w:hyperlink r:id="rId1289">
        <w:r>
          <w:rPr>
            <w:color w:val="0000EE"/>
            <w:u w:val="single"/>
          </w:rPr>
          <w:t>Gn 24.22</w:t>
        </w:r>
      </w:hyperlink>
      <w:r>
        <w:t>). Job recevra une belle bague en or de la part de plusieurs parents, et il est peu probable qu'ils lui aient tous offert le même cadeau si cela ne représentait pas en réalité une certaine valeur monétaire (</w:t>
      </w:r>
      <w:hyperlink r:id="rId1286">
        <w:r>
          <w:rPr>
            <w:color w:val="0000EE"/>
            <w:u w:val="single"/>
          </w:rPr>
          <w:t>Jb 42.11</w:t>
        </w:r>
      </w:hyperlink>
      <w:r>
        <w:t>).</w:t>
      </w:r>
    </w:p>
    <w:p>
      <w:r/>
      <w:r>
        <w:t xml:space="preserve">L'exigence dans </w:t>
      </w:r>
      <w:hyperlink r:id="rId1290">
        <w:r>
          <w:rPr>
            <w:color w:val="0000EE"/>
            <w:u w:val="single"/>
          </w:rPr>
          <w:t>Deutéronome 14.25</w:t>
        </w:r>
      </w:hyperlink>
      <w:r>
        <w:t xml:space="preserve"> de « [</w:t>
      </w:r>
      <w:r>
        <w:t>serrer] cet argent dans ta main</w:t>
      </w:r>
      <w:r>
        <w:t xml:space="preserve"> » impliquerait l'usage de bandes fines d'argent pouvant être regroupées, ou encore des anneaux pouvant être enfilés. Dans les deux cas, l'idée serait d'en faciliter le transport.</w:t>
      </w:r>
    </w:p>
    <w:p>
      <w:r/>
      <w:r>
        <w:t>La valeur des poids d'argent mentionnée à l'époque mosaïque peut être mieux comprise en termes de pouvoir d'achat. Un bélier pouvait être acheté pour deux sicles, tandis que cinquante sicles représentaient le prix d'environ quatre boisseaux d'orge (</w:t>
      </w:r>
      <w:hyperlink r:id="rId1291">
        <w:r>
          <w:rPr>
            <w:color w:val="0000EE"/>
            <w:u w:val="single"/>
          </w:rPr>
          <w:t>Lv 27.16</w:t>
        </w:r>
      </w:hyperlink>
      <w:r>
        <w:t>). À l'époque d'Élisée, durant une bonne année, un et demi boisseau de farine fine ou trois boisseaux d'orge pouvaient être achetés pour un sicle (</w:t>
      </w:r>
      <w:hyperlink r:id="rId1292">
        <w:r>
          <w:rPr>
            <w:color w:val="0000EE"/>
            <w:u w:val="single"/>
          </w:rPr>
          <w:t>2R 7.16</w:t>
        </w:r>
      </w:hyperlink>
      <w:r>
        <w:t>). Il va sans dire que de telles évaluations monétaires seraient affectées par des considérations économiques telles que l'offre et la demande.</w:t>
      </w:r>
    </w:p>
    <w:p>
      <w:r/>
      <w:r>
        <w:t>L'estimation à l'œil nu était un moyen imprécis d'évaluer la valeur de la monnaie, et il ne fait aucun doute que la fourberie était courante dans le pesage et l'examen du métal. Le pesage, une partie essentielle de chaque transaction majeure, était également très chronophage. Afin d'assurer la valeur correcte des poids, qui étaient généralement des morceaux de bronze, de fer ou de pierres taillées, ceux-ci portaient une sorte de cachet. Une fois cette pratique généralement établie, il n'y avait qu'un pas à franchir pour le marquage des pièces individuelles de métal, qu'il s'agisse de languettes, de barres ou de bracelets, utilisés comme monnaie. Le développement logique suivant sera le marquage d'une pièce d'argent pour authentifier sa valeur à des fins monétaires. Cela sera le précurseur de la pièce de monnaie, qui n'était pas connue au Proche-Orient Ancien avant la période de l'exil. Par conséquent, toute référence à l'argent avant cette époque indique des barres, des bracelets, des anneaux ou d'autres objets métalliques, marqués ou non.</w:t>
      </w:r>
    </w:p>
    <w:p>
      <w:r/>
      <w:r>
        <w:t>Les premières pièces frappées provenaient du royaume de Lydie en Asie Mineure et sont traditionnellement attribuées à Crésus (560–546 av. J.‑C.), le souverain fabuleusement riche de cette région. Les pièces de Lydie étaient faites d'électrum, un alliage naturel d'argent et d'or, et elles représentaient un lion et un taureau. Comme la plupart des premières pièces, le revers contenait simplement une marque de poinçon.</w:t>
      </w:r>
    </w:p>
    <w:p>
      <w:r/>
      <w:r>
        <w:t>À l'origine, une pièce de monnaie représentait non seulement une valeur, mais son poids correspondait également à la quantité d'argent ou d'or de sa valeur nominale. Ainsi, un grand nombre des premières pièces étaient fortement entaillées par certains sceptiques, qui voulaient s'assurer que la pièce était en argent pur et non en un métal moins précieux recouvert d'argent.</w:t>
      </w:r>
    </w:p>
    <w:p>
      <w:r/>
      <w:r>
        <w:t>La pureté de l'argent ou de l'or était également un facteur dans la popularité et l'acceptation de certaines pièces. Ainsi, à l'époque grecque et romaine, le tétradrachme de Tyr était l'une des pièces d'argent les plus largement acceptées en raison de la pureté de son métal.</w:t>
      </w:r>
    </w:p>
    <w:p>
      <w:r/>
      <w:r>
        <w:t>L'utilisation des pièces n'a pas éliminé la nécessité de les peser, car la fraude par rognage des bords était courante depuis leur introduction au 6e siècle av. J.‑C. Ce problème particulier affectera toutes les émissions de monnaie ultérieures, et ce n'est qu'à la fin du 18e siècle en Grande-Bretagne qu'il sera surmonté grâce à un procédé impliquant le fraisage, ou la striation, des bords des pièces les plus précieuses.</w:t>
      </w:r>
    </w:p>
    <w:p>
      <w:r/>
      <w:r>
        <w:t xml:space="preserve">Au 6e siècle av. J.‑C., lorsque les Juifs reviennent d'exil à Babylone, des pièces seront données pour la reconstruction du temple à Jérusalem, ainsi que de l'argent et de l'or sous d'autres formes. La pièce d'or mentionnée est le « daric ». Le terme, semble-t-il dérivé du nom du grand roi perse Darius 1er (521–486 av. J.‑C.), était largement utilisé et apparaît même dans des passages bibliques écrits à une date ultérieure mais se référant à une période avant le règne de Darius (voir </w:t>
      </w:r>
      <w:hyperlink r:id="rId1293">
        <w:r>
          <w:rPr>
            <w:color w:val="0000EE"/>
            <w:u w:val="single"/>
          </w:rPr>
          <w:t>1Ch 29.7</w:t>
        </w:r>
      </w:hyperlink>
      <w:r>
        <w:t>).</w:t>
      </w:r>
    </w:p>
    <w:p>
      <w:r/>
      <w:r>
        <w:t>Peu d'artisans possédaient les compétences requises pour la fabrication de pièces de monnaie avant le 6e siècle av. J.‑C., donc les premiers darics en or ont sans doute été frappés à Sardes. La monnaie elle-même sera adoptée par les Perses lorsqu'ils occuperont le territoire, et la production continuera comme auparavant.</w:t>
      </w:r>
    </w:p>
    <w:p>
      <w:r/>
      <w:r>
        <w:t>Les régions occidentales de l'Empire perse utilisaient probablement des pièces d'argent plus fréquemment que l'or. Selon certaines traditions, la monnaie s'est développée en Grèce à Égine à peu près au moment où les Lydiens ont adopté le concept pour la première fois. La plus ancienne de ces pièces d'argent à avoir été découverte jusqu'à présent date du 6e siècle av. J.‑C. et était frappée dans le nord de la Grèce.</w:t>
      </w:r>
    </w:p>
    <w:p>
      <w:r/>
      <w:r>
        <w:t>Également en usage à l'époque étaient les tétradrachmes d'Athènes, populaires au 5e siècle av. J.‑C. Ceux-ci avaient des motifs des deux côtés de la pièce qui représentaient l'effigie de la déesse Athéna et la chouette sacrée.</w:t>
      </w:r>
    </w:p>
    <w:p>
      <w:r/>
      <w:r>
        <w:t>Bien que la teneur en argent de nombreuses pièces en usage contemporain ait été réduite, celle du tétradrachme athénien est restée constamment à son niveau élevé d'origine en termes de pureté. Cette circonstance a naturellement augmenté son acceptabilité, surtout dans les régions en proie à des troubles politiques où la pureté de la monnaie locale était particulièrement douteuse. En raison de la stabilité de la teneur en argent de la pièce et de la rapidité avec laquelle l'Empire grec s'est étendu, le tétradrachme athénien a été frappé et utilisé de manière identique pendant une période de deux-cents ans. Beaucoup de ces pièces ont été trouvées dans des trésors partout dans l'est de la Méditerranée.</w:t>
      </w:r>
    </w:p>
    <w:p>
      <w:r/>
      <w:r>
        <w:t>Il ne fait aucun doute qu'au 4e siècle av. J.‑C., il existait une monnaie locale en Judée, car des pièces d'argent imitant le tétradrachme athénien, mais portant également la légende « Jehud », y ont été découvertes.</w:t>
      </w:r>
    </w:p>
    <w:p>
      <w:r/>
      <w:r>
        <w:t>En raison de l'ampleur du commerce à l'époque grecque et romaine, les pièces des grands centres étaient généralement acceptées dans toutes les zones côtières méditerranéennes. Elles étaient également prisées dans les régions intérieures, notamment celles traversées par des routes commerciales ou faisant partie d'un empire plus vaste.</w:t>
      </w:r>
    </w:p>
    <w:p>
      <w:r/>
      <w:r>
        <w:t>Des ateliers monétaires à Gaza, Joppa et Tyr ont été établis vers la fin du 4e siècle av. J.‑C. pour produire une monnaie locale. À cette époque, Sidon continuait d'être un important fournisseur de pièces d'argent, comme elle l'avait été depuis le 5e siècle av. J.‑C.</w:t>
      </w:r>
    </w:p>
    <w:p>
      <w:r/>
      <w:r>
        <w:t>Lorsque les Séleucides prennent le contrôle de la Judée en 198 av. J.‑C., une période de troubles politiques commencera, comme les Syriens tenteront d'helléniser le peuple juif. Le ressentiment envers la culture grecque et la résistance à toute altération de la foi juive traditionnelle augmentera régulièrement jusqu'à trouver un exutoire sous le leadership de Mattathias, père des Maccabées, qui initiera un soulèvement de guérilla en 167 av. J.‑C.</w:t>
      </w:r>
    </w:p>
    <w:p>
      <w:r/>
      <w:r>
        <w:t>Lorsque les fortunes de la guerre se sont temporairement tournées en faveur des Maccabées, le roi Antiochus de Syrie accordera à Simon Maccabée le droit de frapper sa propre monnaie (</w:t>
      </w:r>
      <w:hyperlink r:id="rId1294">
        <w:r>
          <w:rPr>
            <w:color w:val="0000EE"/>
            <w:u w:val="single"/>
          </w:rPr>
          <w:t>1 M 15.6</w:t>
        </w:r>
      </w:hyperlink>
      <w:r>
        <w:t>). Cependant, avant qu'il ne puisse profiter de ce symbole majeur d'indépendance, l'équilibre des pouvoirs changera de nouveau. La Judée retournera à son statut de tributaire, et la permission de frapper des pièces sera rapidement retirée.</w:t>
      </w:r>
    </w:p>
    <w:p>
      <w:r/>
      <w:r>
        <w:t>Le fils de Simon, Jean Hyrcan, réussira à vaincre les Syriens affaiblis et déclarera l'indépendance en 129 av. J.‑C. Les petites pièces de bronze frappées vers 110 av. J.‑C. montraient une couronne sur l'avers portant l'inscription « Jochanan le grand prêtre et la communauté des Juifs ». Le revers affichait une double corne d'abondance avec une tête de pavot, tous deux étant des symboles grecs d'abondance. Ce seront là les premières pièces véritablement juives.</w:t>
      </w:r>
    </w:p>
    <w:p>
      <w:r/>
      <w:r>
        <w:t>Avec le manque d'artisans qualifiés et de bons ateliers de battage, il n'est guère surprenant que les pièces produites aient été simples et sans prétention. En conséquence, elles étaient assez différentes des conceptions élaborées et souvent délicates de nombreuses pièces contemporaines.</w:t>
      </w:r>
    </w:p>
    <w:p>
      <w:r/>
      <w:r>
        <w:t>Parallèlement, des pièces d'argent continuaient d'être frappées dans les villes phéniciennes de Tyr et de Sidon sur ordre des Séleucides, et elles demeureront les pièces d'argent les plus populaires dans l'usage quotidien en Palestine jusqu'à l'époque romaine. Même alors, elles continueront à circuler aux côtés de la monnaie romaine.</w:t>
      </w:r>
    </w:p>
    <w:p>
      <w:r/>
      <w:r>
        <w:rPr>
          <w:i/>
        </w:rPr>
        <w:t>Voir aussi</w:t>
      </w:r>
      <w:r>
        <w:t xml:space="preserve"> </w:t>
      </w:r>
      <w:r>
        <w:t>Banquier, Banque</w:t>
      </w:r>
      <w:r>
        <w:t xml:space="preserve"> ; </w:t>
      </w:r>
      <w:r>
        <w:t>Pièces de monnaie</w:t>
      </w:r>
      <w:r>
        <w:t xml:space="preserve"> ; </w:t>
      </w:r>
      <w:r>
        <w:t>Changeur d'argent</w:t>
      </w:r>
      <w:r>
        <w:t>.</w:t>
      </w:r>
      <w:r/>
      <w:r/>
    </w:p>
    <w:p>
      <w:r/>
    </w:p>
    <w:p>
      <w:pPr>
        <w:pStyle w:val="Heading2"/>
      </w:pPr>
      <w:r>
        <w:t>Aridaï</w:t>
      </w:r>
      <w:r/>
    </w:p>
    <w:p>
      <w:r/>
      <w:r>
        <w:t>Un des dix fils d'Haman, qui a été tué avec son père lorsqu'Esther a exposé le complot d'Haman pour détruire les Juifs (</w:t>
      </w:r>
      <w:hyperlink r:id="rId1295">
        <w:r>
          <w:rPr>
            <w:color w:val="0000EE"/>
            <w:u w:val="single"/>
          </w:rPr>
          <w:t>Est 9.7–10</w:t>
        </w:r>
      </w:hyperlink>
      <w:r>
        <w:t>).</w:t>
      </w:r>
      <w:r/>
      <w:r/>
    </w:p>
    <w:p>
      <w:r/>
    </w:p>
    <w:p>
      <w:pPr>
        <w:pStyle w:val="Heading2"/>
      </w:pPr>
      <w:r>
        <w:t>Aridatha</w:t>
      </w:r>
      <w:r/>
    </w:p>
    <w:p>
      <w:r/>
      <w:r>
        <w:t>Un des dix fils d'Haman, qui a été tué avec son père lorsque Esther a exposé le complot d'Haman pour détruire les Juifs (</w:t>
      </w:r>
      <w:hyperlink r:id="rId1295">
        <w:r>
          <w:rPr>
            <w:color w:val="0000EE"/>
            <w:u w:val="single"/>
          </w:rPr>
          <w:t>Est 9.7–10</w:t>
        </w:r>
      </w:hyperlink>
      <w:r>
        <w:t>).</w:t>
      </w:r>
      <w:r/>
      <w:r/>
    </w:p>
    <w:p>
      <w:r/>
    </w:p>
    <w:p>
      <w:pPr>
        <w:pStyle w:val="Heading2"/>
      </w:pPr>
      <w:r>
        <w:t>Arimathée</w:t>
      </w:r>
      <w:r/>
    </w:p>
    <w:p>
      <w:r/>
      <w:r>
        <w:t>Ville natale du Joseph qui avait obtenu le corps crucifié de Jésus et l'avait enterré dans son propre sépulcre (</w:t>
      </w:r>
      <w:hyperlink r:id="rId1296">
        <w:r>
          <w:rPr>
            <w:color w:val="0000EE"/>
            <w:u w:val="single"/>
          </w:rPr>
          <w:t>Mt 27.57</w:t>
        </w:r>
      </w:hyperlink>
      <w:r>
        <w:t xml:space="preserve"> ; </w:t>
      </w:r>
      <w:hyperlink r:id="rId1297">
        <w:r>
          <w:rPr>
            <w:color w:val="0000EE"/>
            <w:u w:val="single"/>
          </w:rPr>
          <w:t>Mc 15.43</w:t>
        </w:r>
      </w:hyperlink>
      <w:r>
        <w:t xml:space="preserve"> ; </w:t>
      </w:r>
      <w:hyperlink r:id="rId1298">
        <w:r>
          <w:rPr>
            <w:color w:val="0000EE"/>
            <w:u w:val="single"/>
          </w:rPr>
          <w:t>Jn 19.38</w:t>
        </w:r>
      </w:hyperlink>
      <w:r>
        <w:t>). L'emplacement de cette ville est inconnu. Il pourrait s'agir de la même ville que Ramathaïm-Tsophim, d'où venait le prophète Samuel (</w:t>
      </w:r>
      <w:hyperlink r:id="rId1299">
        <w:r>
          <w:rPr>
            <w:color w:val="0000EE"/>
            <w:u w:val="single"/>
          </w:rPr>
          <w:t>1S 1.1</w:t>
        </w:r>
      </w:hyperlink>
      <w:r>
        <w:t>), située à 13 kilomètres environ au nord-ouest de Jérusalem. Luc dit qu'Arimathée était une ville des Juifs et que Joseph était lui-même un conseiller juif (</w:t>
      </w:r>
      <w:hyperlink r:id="rId1300">
        <w:r>
          <w:rPr>
            <w:color w:val="0000EE"/>
            <w:u w:val="single"/>
          </w:rPr>
          <w:t>Lc 23.50</w:t>
        </w:r>
      </w:hyperlink>
      <w:r>
        <w:t>).</w:t>
      </w:r>
      <w:r/>
      <w:r/>
    </w:p>
    <w:p>
      <w:r/>
    </w:p>
    <w:p>
      <w:pPr>
        <w:pStyle w:val="Heading2"/>
      </w:pPr>
      <w:r>
        <w:t>Aristarque</w:t>
      </w:r>
      <w:r/>
    </w:p>
    <w:p>
      <w:r/>
      <w:r>
        <w:t>Compagnon de l'apôtre Paul. Aristarque était un Macédonien de Thessalonique, possiblement d'ascendance juive. Il est mentionné pour la première fois comme l'un de ceux qui ont été saisis par une foule en colère à Éphèse (</w:t>
      </w:r>
      <w:hyperlink r:id="rId1301">
        <w:r>
          <w:rPr>
            <w:color w:val="0000EE"/>
            <w:u w:val="single"/>
          </w:rPr>
          <w:t>Ac 19.29</w:t>
        </w:r>
      </w:hyperlink>
      <w:r>
        <w:t>).</w:t>
      </w:r>
    </w:p>
    <w:p>
      <w:r/>
      <w:r>
        <w:t>Plus tard, Aristarque accompagnera Paul lors de son retour de son troisième voyage missionnaire (</w:t>
      </w:r>
      <w:hyperlink r:id="rId1302">
        <w:r>
          <w:rPr>
            <w:color w:val="0000EE"/>
            <w:u w:val="single"/>
          </w:rPr>
          <w:t>Ac 20.4</w:t>
        </w:r>
      </w:hyperlink>
      <w:r>
        <w:t>). Il ira également à Rome avec Paul pour affronter César (</w:t>
      </w:r>
      <w:hyperlink r:id="rId1303">
        <w:r>
          <w:rPr>
            <w:color w:val="0000EE"/>
            <w:u w:val="single"/>
          </w:rPr>
          <w:t>Ac 27.1–2</w:t>
        </w:r>
      </w:hyperlink>
      <w:r>
        <w:t>).</w:t>
      </w:r>
    </w:p>
    <w:p>
      <w:r/>
      <w:r>
        <w:t>Paul décrit Aristarque comme un collaborateur (</w:t>
      </w:r>
      <w:hyperlink r:id="rId129">
        <w:r>
          <w:rPr>
            <w:color w:val="0000EE"/>
            <w:u w:val="single"/>
          </w:rPr>
          <w:t>Phm 1.24</w:t>
        </w:r>
      </w:hyperlink>
      <w:r>
        <w:t>) et un compagnon de captivité. Paul a reçu un grand réconfort de l'amitié d'Aristarque (</w:t>
      </w:r>
      <w:hyperlink r:id="rId1304">
        <w:r>
          <w:rPr>
            <w:color w:val="0000EE"/>
            <w:u w:val="single"/>
          </w:rPr>
          <w:t>Col 4.10–11</w:t>
        </w:r>
      </w:hyperlink>
      <w:r>
        <w:t>). La tradition dit que l'empereur romain Néron a tué Aristarque à Rome en tant que martyr.</w:t>
      </w:r>
      <w:r/>
      <w:r/>
    </w:p>
    <w:p>
      <w:r/>
    </w:p>
    <w:p>
      <w:pPr>
        <w:pStyle w:val="Heading2"/>
      </w:pPr>
      <w:r>
        <w:t>Arizaï</w:t>
      </w:r>
      <w:r/>
    </w:p>
    <w:p>
      <w:r/>
      <w:r>
        <w:t>L'un des dix fils d'Haman, qui a été tué avec son père lorsqu'Esther a exposé le complot d'Haman pour détruire les Juifs (</w:t>
      </w:r>
      <w:hyperlink r:id="rId1295">
        <w:r>
          <w:rPr>
            <w:color w:val="0000EE"/>
            <w:u w:val="single"/>
          </w:rPr>
          <w:t>Est 9.7–10</w:t>
        </w:r>
      </w:hyperlink>
      <w:r>
        <w:t>).</w:t>
      </w:r>
      <w:r/>
      <w:r/>
    </w:p>
    <w:p>
      <w:r/>
    </w:p>
    <w:p>
      <w:pPr>
        <w:pStyle w:val="Heading2"/>
      </w:pPr>
      <w:r>
        <w:t>Arjoc</w:t>
      </w:r>
      <w:r/>
    </w:p>
    <w:p>
      <w:pPr>
        <w:pStyle w:val="ListNumber"/>
        <w:spacing w:line="240" w:lineRule="auto"/>
        <w:ind w:left="720"/>
      </w:pPr>
      <w:r/>
      <w:r>
        <w:t>Nom du roi d'Ellasar. Avec trois autres rois, Arjoc capturera cinq villes et prendra un certain nombre de prisonniers, y compris Lot, le neveu d'Abraham (</w:t>
      </w:r>
      <w:hyperlink r:id="rId1305">
        <w:r>
          <w:rPr>
            <w:color w:val="0000EE"/>
            <w:u w:val="single"/>
          </w:rPr>
          <w:t>Gn 14.1–16</w:t>
        </w:r>
      </w:hyperlink>
      <w:r>
        <w:t>).</w:t>
      </w:r>
    </w:p>
    <w:p>
      <w:pPr>
        <w:pStyle w:val="ListNumber"/>
        <w:spacing w:line="240" w:lineRule="auto"/>
        <w:ind w:left="720"/>
      </w:pPr>
      <w:r/>
      <w:r>
        <w:t>Capitaine de la garde ou chef des bourreaux de Nebucadnetsar. C'est Arjoc qui amènera Daniel au roi babylonien pour interpréter son rêve (</w:t>
      </w:r>
      <w:hyperlink r:id="rId1306">
        <w:r>
          <w:rPr>
            <w:color w:val="0000EE"/>
            <w:u w:val="single"/>
          </w:rPr>
          <w:t>Dn 2.14–25</w:t>
        </w:r>
      </w:hyperlink>
      <w:r>
        <w:t>).</w:t>
      </w:r>
      <w:r/>
      <w:r/>
    </w:p>
    <w:p>
      <w:r/>
    </w:p>
    <w:p>
      <w:pPr>
        <w:pStyle w:val="Heading2"/>
      </w:pPr>
      <w:r>
        <w:t>Arkien</w:t>
      </w:r>
      <w:r/>
    </w:p>
    <w:p>
      <w:r/>
      <w:r>
        <w:t>Nom d'un clan descendant du fils de Cham, Canaan (</w:t>
      </w:r>
      <w:hyperlink r:id="rId1307">
        <w:r>
          <w:rPr>
            <w:color w:val="0000EE"/>
            <w:u w:val="single"/>
          </w:rPr>
          <w:t>Gn 10.17</w:t>
        </w:r>
      </w:hyperlink>
      <w:r>
        <w:t xml:space="preserve"> ; </w:t>
      </w:r>
      <w:hyperlink r:id="rId1308">
        <w:r>
          <w:rPr>
            <w:color w:val="0000EE"/>
            <w:u w:val="single"/>
          </w:rPr>
          <w:t>1Ch 1.15</w:t>
        </w:r>
      </w:hyperlink>
      <w:r>
        <w:t>). Les Arkiens étaient probablement des résidents d'Arqa, une ville phénicienne au nord de Tripoli en Syrie.</w:t>
      </w:r>
    </w:p>
    <w:p>
      <w:r/>
      <w:r>
        <w:t>Selon une inscription ancienne, Arqa a été capturée par l'Assyrien Tiglath-Piléser III en 738 av. J.‑C. Une autre branche de la tribu pourrait s'être installée près d'Atharoth, une ville à la frontière entre Éphraïm et Benjamin (</w:t>
      </w:r>
      <w:hyperlink r:id="rId1309">
        <w:r>
          <w:rPr>
            <w:color w:val="0000EE"/>
            <w:u w:val="single"/>
          </w:rPr>
          <w:t>Jos 16.2</w:t>
        </w:r>
      </w:hyperlink>
      <w:r>
        <w:t>).</w:t>
      </w:r>
    </w:p>
    <w:p>
      <w:r/>
      <w:r>
        <w:rPr>
          <w:i/>
        </w:rPr>
        <w:t>Voir aussi</w:t>
      </w:r>
      <w:r>
        <w:t xml:space="preserve"> </w:t>
      </w:r>
      <w:r>
        <w:t>Archi, Archien</w:t>
      </w:r>
      <w:r>
        <w:t>.</w:t>
      </w:r>
      <w:r/>
      <w:r/>
    </w:p>
    <w:p>
      <w:r/>
    </w:p>
    <w:p>
      <w:pPr>
        <w:pStyle w:val="Heading2"/>
      </w:pPr>
      <w:r>
        <w:t>Arod, Arodi, Arodite</w:t>
      </w:r>
      <w:r/>
    </w:p>
    <w:p>
      <w:r/>
      <w:r>
        <w:t>Arod était le sixième fils de Gad et le fondateur de la famille des Arodites (</w:t>
      </w:r>
      <w:hyperlink r:id="rId1264">
        <w:r>
          <w:rPr>
            <w:color w:val="0000EE"/>
            <w:u w:val="single"/>
          </w:rPr>
          <w:t>Nb 26.17</w:t>
        </w:r>
      </w:hyperlink>
      <w:r>
        <w:t>). Il est appelé Arodi dans la liste de ceux qui sont allés en Égypte avec Jacob (</w:t>
      </w:r>
      <w:hyperlink r:id="rId1262">
        <w:r>
          <w:rPr>
            <w:color w:val="0000EE"/>
            <w:u w:val="single"/>
          </w:rPr>
          <w:t>Gn 46.16</w:t>
        </w:r>
      </w:hyperlink>
      <w:r>
        <w:t>).</w:t>
      </w:r>
      <w:r/>
      <w:r/>
    </w:p>
    <w:p>
      <w:r/>
    </w:p>
    <w:p>
      <w:pPr>
        <w:pStyle w:val="Heading2"/>
      </w:pPr>
      <w:r>
        <w:t>Arpacschad, Arphaxad</w:t>
      </w:r>
      <w:r/>
    </w:p>
    <w:p>
      <w:r/>
      <w:r>
        <w:t>Fils de Sem et petit-fils de Noé. Les descendants d'</w:t>
      </w:r>
      <w:r>
        <w:t>Arpacschad</w:t>
      </w:r>
      <w:r>
        <w:t xml:space="preserve"> étaient probablement les Chaldéens (</w:t>
      </w:r>
      <w:hyperlink r:id="rId1310">
        <w:r>
          <w:rPr>
            <w:color w:val="0000EE"/>
            <w:u w:val="single"/>
          </w:rPr>
          <w:t>Gn 10.22–24</w:t>
        </w:r>
      </w:hyperlink>
      <w:r>
        <w:t xml:space="preserve"> ; </w:t>
      </w:r>
      <w:hyperlink r:id="rId1311">
        <w:r>
          <w:rPr>
            <w:color w:val="0000EE"/>
            <w:u w:val="single"/>
          </w:rPr>
          <w:t>11.10–13</w:t>
        </w:r>
      </w:hyperlink>
      <w:r>
        <w:t xml:space="preserve"> ; </w:t>
      </w:r>
      <w:hyperlink r:id="rId1312">
        <w:r>
          <w:rPr>
            <w:color w:val="0000EE"/>
            <w:u w:val="single"/>
          </w:rPr>
          <w:t>1Ch 1.17–18, 24</w:t>
        </w:r>
      </w:hyperlink>
      <w:r>
        <w:t xml:space="preserve"> ; </w:t>
      </w:r>
      <w:hyperlink r:id="rId1313">
        <w:r>
          <w:rPr>
            <w:color w:val="0000EE"/>
            <w:u w:val="single"/>
          </w:rPr>
          <w:t>Lc 3.36</w:t>
        </w:r>
      </w:hyperlink>
      <w:r>
        <w:t>).</w:t>
      </w:r>
    </w:p>
    <w:p>
      <w:r/>
      <w:r>
        <w:t>Arpacschad</w:t>
      </w:r>
      <w:r>
        <w:t xml:space="preserve"> est né deux ans après le déluge lorsque son père avait cent ans (</w:t>
      </w:r>
      <w:hyperlink r:id="rId1314">
        <w:r>
          <w:rPr>
            <w:color w:val="0000EE"/>
            <w:u w:val="single"/>
          </w:rPr>
          <w:t>Gn 11.10</w:t>
        </w:r>
      </w:hyperlink>
      <w:r>
        <w:t>). Il était le grand-père d'Héber, que certains croient être l'ancêtre des Hébreux (</w:t>
      </w:r>
      <w:hyperlink r:id="rId1315">
        <w:r>
          <w:rPr>
            <w:color w:val="0000EE"/>
            <w:u w:val="single"/>
          </w:rPr>
          <w:t>1Ch 1.17–25</w:t>
        </w:r>
      </w:hyperlink>
      <w:r>
        <w:t xml:space="preserve"> ; </w:t>
      </w:r>
      <w:hyperlink r:id="rId1316">
        <w:r>
          <w:rPr>
            <w:color w:val="0000EE"/>
            <w:u w:val="single"/>
          </w:rPr>
          <w:t>Lc 3.35–36</w:t>
        </w:r>
      </w:hyperlink>
      <w:r>
        <w:t>).</w:t>
      </w:r>
      <w:r/>
      <w:r/>
    </w:p>
    <w:p>
      <w:r/>
    </w:p>
    <w:p>
      <w:pPr>
        <w:pStyle w:val="Heading2"/>
      </w:pPr>
      <w:r>
        <w:t>Artemis</w:t>
      </w:r>
      <w:r/>
    </w:p>
    <w:p>
      <w:r/>
      <w:r>
        <w:t>Déesse grecque de la lune, des animaux sauvages et de la chasse. Le culte d'Artemis à Éphèse, où elle était connue sous le nom de Diane par les Romains (</w:t>
      </w:r>
      <w:hyperlink r:id="rId527">
        <w:r>
          <w:rPr>
            <w:color w:val="0000EE"/>
            <w:u w:val="single"/>
          </w:rPr>
          <w:t>Ac 19.23–41</w:t>
        </w:r>
      </w:hyperlink>
      <w:r>
        <w:t>), la considérait surtout comme une déesse de la fertilité.</w:t>
      </w:r>
    </w:p>
    <w:p>
      <w:r/>
      <w:r>
        <w:rPr>
          <w:i/>
        </w:rPr>
        <w:t>Voir aussi</w:t>
      </w:r>
      <w:r>
        <w:t xml:space="preserve"> </w:t>
      </w:r>
      <w:r>
        <w:t>Diane</w:t>
      </w:r>
      <w:r>
        <w:t>.</w:t>
      </w:r>
      <w:r/>
      <w:r/>
    </w:p>
    <w:p>
      <w:r/>
    </w:p>
    <w:p>
      <w:pPr>
        <w:pStyle w:val="Heading2"/>
      </w:pPr>
      <w:r>
        <w:t>Artisan</w:t>
      </w:r>
      <w:r/>
    </w:p>
    <w:p>
      <w:r/>
      <w:r>
        <w:t xml:space="preserve">Un artisan est un ouvrier qualifié ou quelqu'un qui fabrique des objets de ses mains. On retrouve des artisans à divers endroits dans la Bible, et notamment dans </w:t>
      </w:r>
      <w:hyperlink r:id="rId1317">
        <w:r>
          <w:rPr>
            <w:color w:val="0000EE"/>
            <w:u w:val="single"/>
          </w:rPr>
          <w:t>Genèse 4.22</w:t>
        </w:r>
      </w:hyperlink>
      <w:r>
        <w:t xml:space="preserve"> ; </w:t>
      </w:r>
      <w:hyperlink r:id="rId1318">
        <w:r>
          <w:rPr>
            <w:color w:val="0000EE"/>
            <w:u w:val="single"/>
          </w:rPr>
          <w:t>1 Chroniques 29.5</w:t>
        </w:r>
      </w:hyperlink>
      <w:r>
        <w:t xml:space="preserve"> ; </w:t>
      </w:r>
      <w:hyperlink r:id="rId1319">
        <w:r>
          <w:rPr>
            <w:color w:val="0000EE"/>
            <w:u w:val="single"/>
          </w:rPr>
          <w:t>2 Chroniques 34.11</w:t>
        </w:r>
      </w:hyperlink>
      <w:r>
        <w:t xml:space="preserve"> ; et </w:t>
      </w:r>
      <w:hyperlink r:id="rId1320">
        <w:r>
          <w:rPr>
            <w:color w:val="0000EE"/>
            <w:u w:val="single"/>
          </w:rPr>
          <w:t>Ésaïe 3.3</w:t>
        </w:r>
      </w:hyperlink>
      <w:r>
        <w:t>.</w:t>
      </w:r>
    </w:p>
    <w:p>
      <w:r/>
      <w:r>
        <w:rPr>
          <w:i/>
        </w:rPr>
        <w:t>Voir</w:t>
      </w:r>
      <w:r>
        <w:t xml:space="preserve"> </w:t>
      </w:r>
      <w:r>
        <w:t>Travail</w:t>
      </w:r>
      <w:r>
        <w:t>.</w:t>
      </w:r>
      <w:r/>
      <w:r/>
    </w:p>
    <w:p>
      <w:r/>
    </w:p>
    <w:p>
      <w:pPr>
        <w:pStyle w:val="Heading2"/>
      </w:pPr>
      <w:r>
        <w:t>Arvad, Arvadien</w:t>
      </w:r>
      <w:r/>
    </w:p>
    <w:p>
      <w:r/>
      <w:r>
        <w:t>Petite île fortifiée à environ 3 km au large de la côte syrienne (ancienne Phénicie). Elle se trouve à environ 50 km au nord de Tripolis. Arvad a développé une grande flotte commerciale et de combat (un groupe de navires). Une description de la puissance navale de Tyr fait référence à la renommée des marins arvadiens (</w:t>
      </w:r>
      <w:hyperlink r:id="rId1321">
        <w:r>
          <w:rPr>
            <w:color w:val="0000EE"/>
            <w:u w:val="single"/>
          </w:rPr>
          <w:t>Ez 27.8, 11</w:t>
        </w:r>
      </w:hyperlink>
      <w:r>
        <w:t>).</w:t>
      </w:r>
    </w:p>
    <w:p>
      <w:r/>
      <w:r>
        <w:t>Les archives égyptiennes documentent la chute d'Arvad face à Thoutmôsis III vers 1 472 av. J.‑C. Les archives assyriennes soulignent l'importance d'Arvad et sa conquête récurrente par des puissances étrangères du 9e au 8e siècle av. J.‑C.</w:t>
      </w:r>
    </w:p>
    <w:p>
      <w:r/>
      <w:r>
        <w:t xml:space="preserve">Arvad sera plus tard connu sous le nom d'Aradus ou Arados, et est mentionné sous ce nom dans </w:t>
      </w:r>
      <w:hyperlink r:id="rId1322">
        <w:r>
          <w:rPr>
            <w:color w:val="0000EE"/>
            <w:u w:val="single"/>
          </w:rPr>
          <w:t>1 Maccabées 15.23</w:t>
        </w:r>
      </w:hyperlink>
      <w:r>
        <w:t>. L'île deviendra un port méditerranéen important pendant les périodes perse et hellénistique, avant de décliner à nouveau. La tribu cananéenne des Arvadites avait peut-être une connexion ethnique avec l'île d'Arvad (</w:t>
      </w:r>
      <w:hyperlink r:id="rId1323">
        <w:r>
          <w:rPr>
            <w:color w:val="0000EE"/>
            <w:u w:val="single"/>
          </w:rPr>
          <w:t>Gn 10.18</w:t>
        </w:r>
      </w:hyperlink>
      <w:r>
        <w:t xml:space="preserve"> ; </w:t>
      </w:r>
      <w:hyperlink r:id="rId1324">
        <w:r>
          <w:rPr>
            <w:color w:val="0000EE"/>
            <w:u w:val="single"/>
          </w:rPr>
          <w:t>1Ch 1.16</w:t>
        </w:r>
      </w:hyperlink>
      <w:r>
        <w:t>). Le nom moderne de l'île est Arwad ou Arouad.</w:t>
      </w:r>
      <w:r/>
      <w:r/>
    </w:p>
    <w:p>
      <w:r/>
    </w:p>
    <w:p>
      <w:pPr>
        <w:pStyle w:val="Heading2"/>
      </w:pPr>
      <w:r>
        <w:t>Ascension de Christ</w:t>
      </w:r>
      <w:r/>
    </w:p>
    <w:p>
      <w:r/>
      <w:r>
        <w:t>L'Ascension est l'événement où Jésus est monté aux cieux après sa résurrection d'entre les morts.</w:t>
      </w:r>
    </w:p>
    <w:p>
      <w:pPr>
        <w:pStyle w:val="Heading3"/>
      </w:pPr>
      <w:r>
        <w:t>Que dit la Bible sur l'ascension de Christ ?</w:t>
      </w:r>
    </w:p>
    <w:p>
      <w:r/>
      <w:r>
        <w:t xml:space="preserve">Parmi les auteurs du Nouveau Testament, seul Luc décrit l'ascension de Jésus. </w:t>
      </w:r>
      <w:hyperlink r:id="rId1325">
        <w:r>
          <w:rPr>
            <w:color w:val="0000EE"/>
            <w:u w:val="single"/>
          </w:rPr>
          <w:t>Ac 1.9–11</w:t>
        </w:r>
      </w:hyperlink>
      <w:r>
        <w:t xml:space="preserve"> dépeint une scène dans laquelle Jésus a été « enlevé » et a disparu dans un nuage. </w:t>
      </w:r>
      <w:hyperlink r:id="rId1326">
        <w:r>
          <w:rPr>
            <w:color w:val="0000EE"/>
            <w:u w:val="single"/>
          </w:rPr>
          <w:t>Lc 24.50–51</w:t>
        </w:r>
      </w:hyperlink>
      <w:r>
        <w:t xml:space="preserve"> et </w:t>
      </w:r>
      <w:hyperlink r:id="rId1327">
        <w:r>
          <w:rPr>
            <w:color w:val="0000EE"/>
            <w:u w:val="single"/>
          </w:rPr>
          <w:t>Ac 1.12</w:t>
        </w:r>
      </w:hyperlink>
      <w:r>
        <w:t xml:space="preserve"> situent cet événement final près de Béthanie. Béthanie se trouve à l'est de Jérusalem sur la montagne des Oliviers.</w:t>
      </w:r>
    </w:p>
    <w:p>
      <w:r/>
      <w:r>
        <w:t>Matthieu termine son récit avant le jour de la Pentecôte. Jean ne décrit pas l'Ascension directement, mais il inclut les propres paroles de Jésus à ce sujet. Jésus a dit qu'il partirait mais reviendrait plus tard (</w:t>
      </w:r>
      <w:hyperlink r:id="rId1328">
        <w:r>
          <w:rPr>
            <w:color w:val="0000EE"/>
            <w:u w:val="single"/>
          </w:rPr>
          <w:t>Jn 21.22</w:t>
        </w:r>
      </w:hyperlink>
      <w:r>
        <w:t>). Il ne peut être touché, car il doit monter (</w:t>
      </w:r>
      <w:hyperlink r:id="rId1329">
        <w:r>
          <w:rPr>
            <w:color w:val="0000EE"/>
            <w:u w:val="single"/>
          </w:rPr>
          <w:t>20.17</w:t>
        </w:r>
      </w:hyperlink>
      <w:r>
        <w:t>). Beaucoup croiront sans l'avoir vu (</w:t>
      </w:r>
      <w:hyperlink r:id="rId1330">
        <w:r>
          <w:rPr>
            <w:color w:val="0000EE"/>
            <w:u w:val="single"/>
          </w:rPr>
          <w:t>20.29</w:t>
        </w:r>
      </w:hyperlink>
      <w:r>
        <w:t>).</w:t>
      </w:r>
    </w:p>
    <w:p>
      <w:r/>
      <w:r>
        <w:t>Les Évangiles nous enseignent trois choses principales :</w:t>
      </w:r>
    </w:p>
    <w:p>
      <w:pPr>
        <w:pStyle w:val="ListNumber"/>
        <w:spacing w:line="240" w:lineRule="auto"/>
        <w:ind w:left="720"/>
      </w:pPr>
      <w:r/>
      <w:r>
        <w:t>Après sa résurrection, Jésus est apparu à ses disciples.</w:t>
      </w:r>
    </w:p>
    <w:p>
      <w:pPr>
        <w:pStyle w:val="ListNumber"/>
        <w:spacing w:line="240" w:lineRule="auto"/>
        <w:ind w:left="720"/>
      </w:pPr>
      <w:r/>
      <w:r>
        <w:t>À un certain moment, ces apparitions ont cessé.</w:t>
      </w:r>
    </w:p>
    <w:p>
      <w:pPr>
        <w:pStyle w:val="ListNumber"/>
        <w:spacing w:line="240" w:lineRule="auto"/>
        <w:ind w:left="720"/>
      </w:pPr>
      <w:r/>
      <w:r>
        <w:t>Bien que Jésus ne soit pas physiquement présent, il est spirituellement présent avec son Église.</w:t>
      </w:r>
    </w:p>
    <w:p>
      <w:r/>
      <w:r>
        <w:t>D'autres écrits du Nouveau Testament sont en accord avec cela. L'apôtre Paul a écrit que Dieu a ressuscité Christ d'entre les morts et l'a fait « asseoir à sa droite dans les lieux célestes » (</w:t>
      </w:r>
      <w:hyperlink r:id="rId1331">
        <w:r>
          <w:rPr>
            <w:color w:val="0000EE"/>
            <w:u w:val="single"/>
          </w:rPr>
          <w:t>Ep 1.20</w:t>
        </w:r>
      </w:hyperlink>
      <w:r>
        <w:t>). L'auteur de l'épître aux Hébreux a dit qu'il « s'est assis à la droite de la majesté divine dans les lieux très hauts » (</w:t>
      </w:r>
      <w:hyperlink r:id="rId1332">
        <w:r>
          <w:rPr>
            <w:color w:val="0000EE"/>
            <w:u w:val="single"/>
          </w:rPr>
          <w:t>Hé 1.3</w:t>
        </w:r>
      </w:hyperlink>
      <w:r>
        <w:t>).</w:t>
      </w:r>
    </w:p>
    <w:p>
      <w:pPr>
        <w:pStyle w:val="Heading3"/>
      </w:pPr>
      <w:r>
        <w:t>Pourquoi l'Ascension est-elle importante ?</w:t>
      </w:r>
    </w:p>
    <w:p>
      <w:r/>
      <w:r>
        <w:t>L'Ascension est importante pour deux raisons : ce qu'elle signifie pour Christ et ce qu'elle signifie pour les chrétiens.</w:t>
      </w:r>
    </w:p>
    <w:p>
      <w:pPr>
        <w:pStyle w:val="Heading4"/>
      </w:pPr>
      <w:r>
        <w:t>Quelle est la signification de l'Ascension pour Christ ?</w:t>
      </w:r>
    </w:p>
    <w:p>
      <w:r/>
      <w:r>
        <w:t xml:space="preserve">Pour Christ, l'Ascension est l'entrée nécessaire dans sa « glorification » céleste. Dans sa glorification, il est assis à la droite du Père jusqu'à ce que ses ennemis soient complètement vaincus. </w:t>
      </w:r>
      <w:hyperlink r:id="rId1333">
        <w:r>
          <w:rPr>
            <w:color w:val="0000EE"/>
            <w:u w:val="single"/>
          </w:rPr>
          <w:t>Psaume 110.1</w:t>
        </w:r>
      </w:hyperlink>
      <w:r>
        <w:t xml:space="preserve"> utilise un langage symbolique pour décrire cela : « Assieds-toi à ma droite, Jusqu'à ce que je fasse de tes ennemis ton marchepied » (Ce Psaume est le texte de l'Ancien Testament le plus cité dans le Nouveau Testament.) L'Ascension est la preuve de sa glorification et de sa supériorité sur des héros de l'Ancien Testament tels que David (</w:t>
      </w:r>
      <w:hyperlink r:id="rId1334">
        <w:r>
          <w:rPr>
            <w:color w:val="0000EE"/>
            <w:u w:val="single"/>
          </w:rPr>
          <w:t>Ac 2.33–36</w:t>
        </w:r>
      </w:hyperlink>
      <w:r>
        <w:t>).</w:t>
      </w:r>
    </w:p>
    <w:p>
      <w:r/>
      <w:r>
        <w:t>Par son ascension, Christ est élevé au-dessus de tout et remplit tout (</w:t>
      </w:r>
      <w:hyperlink r:id="rId1335">
        <w:r>
          <w:rPr>
            <w:color w:val="0000EE"/>
            <w:u w:val="single"/>
          </w:rPr>
          <w:t>Ep 4.10</w:t>
        </w:r>
      </w:hyperlink>
      <w:r>
        <w:t>). Dans son ascension, il reçoit « le nom qui est au-dessus de tout nom » (</w:t>
      </w:r>
      <w:hyperlink r:id="rId1336">
        <w:r>
          <w:rPr>
            <w:color w:val="0000EE"/>
            <w:u w:val="single"/>
          </w:rPr>
          <w:t>Ph 2.9–11</w:t>
        </w:r>
      </w:hyperlink>
      <w:r>
        <w:t>). Pour l'auteur du livre des Hébreux, l'Ascension est aussi la preuve de la supériorité de Christ sur les anges. Il est assis sur le trône tandis qu'ils sont constamment envoyés pour servir (</w:t>
      </w:r>
      <w:hyperlink r:id="rId1337">
        <w:r>
          <w:rPr>
            <w:color w:val="0000EE"/>
            <w:u w:val="single"/>
          </w:rPr>
          <w:t>Hé 1.13–14</w:t>
        </w:r>
      </w:hyperlink>
      <w:r>
        <w:t>). Les anges, les autorités et les puissances sont tous soumis au Christ ascensionné (</w:t>
      </w:r>
      <w:hyperlink r:id="rId1338">
        <w:r>
          <w:rPr>
            <w:color w:val="0000EE"/>
            <w:u w:val="single"/>
          </w:rPr>
          <w:t>1Tm 3.16</w:t>
        </w:r>
      </w:hyperlink>
      <w:r>
        <w:t xml:space="preserve"> ; </w:t>
      </w:r>
      <w:hyperlink r:id="rId1339">
        <w:r>
          <w:rPr>
            <w:color w:val="0000EE"/>
            <w:u w:val="single"/>
          </w:rPr>
          <w:t>1P 3.22</w:t>
        </w:r>
      </w:hyperlink>
      <w:r>
        <w:t>).</w:t>
      </w:r>
    </w:p>
    <w:p>
      <w:pPr>
        <w:pStyle w:val="Heading4"/>
      </w:pPr>
      <w:r>
        <w:t>Quelle est la signification de l'Ascension pour les chrétiens ?</w:t>
      </w:r>
    </w:p>
    <w:p>
      <w:r/>
      <w:r>
        <w:t>Pour le chrétien, l'ascension de Christ est significative de quatre manières :</w:t>
      </w:r>
    </w:p>
    <w:p>
      <w:pPr>
        <w:pStyle w:val="ListNumber"/>
        <w:spacing w:line="240" w:lineRule="auto"/>
        <w:ind w:left="720"/>
      </w:pPr>
      <w:r/>
      <w:r>
        <w:t>Sans cela, il n'y aurait pas de don du Saint-Esprit. Le Saint-Esprit ne pouvait pas venir jusqu'à ce que Jésus soit monté et l'ait envoyé (</w:t>
      </w:r>
      <w:hyperlink r:id="rId1340">
        <w:r>
          <w:rPr>
            <w:color w:val="0000EE"/>
            <w:u w:val="single"/>
          </w:rPr>
          <w:t>Jn 16.7</w:t>
        </w:r>
      </w:hyperlink>
      <w:r>
        <w:t>). Sans l'Ascension, l'Église aurait Jésus localement en un seul endroit, et non spirituellement présent « là où deux ou trois sont réunis » (</w:t>
      </w:r>
      <w:hyperlink r:id="rId1341">
        <w:r>
          <w:rPr>
            <w:color w:val="0000EE"/>
            <w:u w:val="single"/>
          </w:rPr>
          <w:t>Mt 18.20</w:t>
        </w:r>
      </w:hyperlink>
      <w:r>
        <w:t xml:space="preserve"> ; comparer </w:t>
      </w:r>
      <w:hyperlink r:id="rId1342">
        <w:r>
          <w:rPr>
            <w:color w:val="0000EE"/>
            <w:u w:val="single"/>
          </w:rPr>
          <w:t>28.20</w:t>
        </w:r>
      </w:hyperlink>
      <w:r>
        <w:t>).</w:t>
      </w:r>
    </w:p>
    <w:p>
      <w:pPr>
        <w:pStyle w:val="ListNumber"/>
        <w:spacing w:line="240" w:lineRule="auto"/>
        <w:ind w:left="720"/>
      </w:pPr>
      <w:r/>
      <w:r>
        <w:t>Puisqu'un Jésus véritablement humain est monté aux cieux, les êtres humains peuvent aussi y monter. Jésus est allé « préparer une place » pour ses disciples (</w:t>
      </w:r>
      <w:hyperlink r:id="rId1343">
        <w:r>
          <w:rPr>
            <w:color w:val="0000EE"/>
            <w:u w:val="single"/>
          </w:rPr>
          <w:t>Jn 14.2</w:t>
        </w:r>
      </w:hyperlink>
      <w:r>
        <w:t>). L'espoir de ceux qui sont « en Christ » est qu'ils monteront finalement pour être avec lui (</w:t>
      </w:r>
      <w:hyperlink r:id="rId1344">
        <w:r>
          <w:rPr>
            <w:color w:val="0000EE"/>
            <w:u w:val="single"/>
          </w:rPr>
          <w:t>2Co 5.1–10</w:t>
        </w:r>
      </w:hyperlink>
      <w:r>
        <w:t>).</w:t>
      </w:r>
    </w:p>
    <w:p>
      <w:pPr>
        <w:pStyle w:val="ListNumber"/>
        <w:spacing w:line="240" w:lineRule="auto"/>
        <w:ind w:left="720"/>
      </w:pPr>
      <w:r/>
      <w:r>
        <w:t>L'Ascension prouve que le sacrifice de Christ est achevé et accepté par Dieu. Jésus a traversé les cieux (</w:t>
      </w:r>
      <w:hyperlink r:id="rId1345">
        <w:r>
          <w:rPr>
            <w:color w:val="0000EE"/>
            <w:u w:val="single"/>
          </w:rPr>
          <w:t>Hé 4.14</w:t>
        </w:r>
      </w:hyperlink>
      <w:r>
        <w:t>). Il est entré dans la présence de Dieu (</w:t>
      </w:r>
      <w:hyperlink r:id="rId1346">
        <w:r>
          <w:rPr>
            <w:color w:val="0000EE"/>
            <w:u w:val="single"/>
          </w:rPr>
          <w:t>6.20</w:t>
        </w:r>
      </w:hyperlink>
      <w:r>
        <w:t>). Cette présence est décrite comme le lieu très saint du temple céleste. C'est le véritable temple dont celui sur terre était une copie (</w:t>
      </w:r>
      <w:hyperlink r:id="rId1347">
        <w:r>
          <w:rPr>
            <w:color w:val="0000EE"/>
            <w:u w:val="single"/>
          </w:rPr>
          <w:t>9.24</w:t>
        </w:r>
      </w:hyperlink>
      <w:r>
        <w:t>). Christ a apporté un sacrifice unique et final à Dieu qui n'a jamais besoin d'être répété (</w:t>
      </w:r>
      <w:hyperlink r:id="rId1348">
        <w:r>
          <w:rPr>
            <w:color w:val="0000EE"/>
            <w:u w:val="single"/>
          </w:rPr>
          <w:t>9.12</w:t>
        </w:r>
      </w:hyperlink>
      <w:r>
        <w:t>). Ensuite, Christ s'est assis, montrant qu'aucune répétition de son sacrifice n'est nécessaire (</w:t>
      </w:r>
      <w:hyperlink r:id="rId1332">
        <w:r>
          <w:rPr>
            <w:color w:val="0000EE"/>
            <w:u w:val="single"/>
          </w:rPr>
          <w:t>1.3</w:t>
        </w:r>
      </w:hyperlink>
      <w:r>
        <w:t xml:space="preserve"> ; </w:t>
      </w:r>
      <w:hyperlink r:id="rId1349">
        <w:r>
          <w:rPr>
            <w:color w:val="0000EE"/>
            <w:u w:val="single"/>
          </w:rPr>
          <w:t>10.12</w:t>
        </w:r>
      </w:hyperlink>
      <w:r>
        <w:t xml:space="preserve"> ; </w:t>
      </w:r>
      <w:hyperlink r:id="rId1350">
        <w:r>
          <w:rPr>
            <w:color w:val="0000EE"/>
            <w:u w:val="single"/>
          </w:rPr>
          <w:t>12.2</w:t>
        </w:r>
      </w:hyperlink>
      <w:r>
        <w:t>).</w:t>
      </w:r>
    </w:p>
    <w:p>
      <w:pPr>
        <w:pStyle w:val="ListNumber"/>
        <w:spacing w:line="240" w:lineRule="auto"/>
        <w:ind w:left="720"/>
      </w:pPr>
      <w:r/>
      <w:r>
        <w:t>L'Ascension signifie qu'il y a un être humain aux cieux qui compatit avec l'humanité et peut donc parler au nom de l'humanité (</w:t>
      </w:r>
      <w:hyperlink r:id="rId1351">
        <w:r>
          <w:rPr>
            <w:color w:val="0000EE"/>
            <w:u w:val="single"/>
          </w:rPr>
          <w:t>1Jn 2.1</w:t>
        </w:r>
      </w:hyperlink>
      <w:r>
        <w:t>). Jésus a vécu tout ce que les humains vivent. Il a connu la naissance, la croissance, la tentation, la souffrance et la mort. Jésus peut servir efficacement de médiateur devant Dieu au ciel (</w:t>
      </w:r>
      <w:hyperlink r:id="rId1352">
        <w:r>
          <w:rPr>
            <w:color w:val="0000EE"/>
            <w:u w:val="single"/>
          </w:rPr>
          <w:t>Hé 2.17</w:t>
        </w:r>
      </w:hyperlink>
      <w:r>
        <w:t xml:space="preserve"> ; </w:t>
      </w:r>
      <w:hyperlink r:id="rId1353">
        <w:r>
          <w:rPr>
            <w:color w:val="0000EE"/>
            <w:u w:val="single"/>
          </w:rPr>
          <w:t>5.7–10</w:t>
        </w:r>
      </w:hyperlink>
      <w:r>
        <w:t>). L'ascension de Christ assure à l'Église que Dieu comprend ce que c'est d'être humain, et que les chrétiens peuvent l'aborder avec assurance dans leurs prières (</w:t>
      </w:r>
      <w:hyperlink r:id="rId1354">
        <w:r>
          <w:rPr>
            <w:color w:val="0000EE"/>
            <w:u w:val="single"/>
          </w:rPr>
          <w:t>4.14–16</w:t>
        </w:r>
      </w:hyperlink>
      <w:r>
        <w:t>).</w:t>
      </w:r>
    </w:p>
    <w:p>
      <w:r/>
      <w:r>
        <w:t>L'ascension de Christ est une partie essentielle de l'enseignement du Nouveau Testament. Elle démontre la position élevée de Christ et offre aux chrétiens confiance et espoir.</w:t>
      </w:r>
    </w:p>
    <w:p>
      <w:r/>
      <w:r>
        <w:rPr>
          <w:i/>
        </w:rPr>
        <w:t>Voir aussi</w:t>
      </w:r>
      <w:r>
        <w:t xml:space="preserve"> </w:t>
      </w:r>
      <w:r>
        <w:t>Christologie</w:t>
      </w:r>
      <w:r>
        <w:t xml:space="preserve"> ; </w:t>
      </w:r>
      <w:r>
        <w:t>Jésus-Christ, vie et enseignements de</w:t>
      </w:r>
      <w:r>
        <w:t>.</w:t>
      </w:r>
      <w:r/>
      <w:r/>
    </w:p>
    <w:p>
      <w:r/>
    </w:p>
    <w:p>
      <w:pPr>
        <w:pStyle w:val="Heading2"/>
      </w:pPr>
      <w:r>
        <w:t>Aschbel, Aschbélite</w:t>
      </w:r>
      <w:r/>
    </w:p>
    <w:p>
      <w:r/>
      <w:r>
        <w:t>Le fils de Benjamin qui a déménagé en Égypte avec son grand-père Jacob (</w:t>
      </w:r>
      <w:hyperlink r:id="rId123">
        <w:r>
          <w:rPr>
            <w:color w:val="0000EE"/>
            <w:u w:val="single"/>
          </w:rPr>
          <w:t>Gn 46.21</w:t>
        </w:r>
      </w:hyperlink>
      <w:r>
        <w:t xml:space="preserve"> ; </w:t>
      </w:r>
      <w:hyperlink r:id="rId122">
        <w:r>
          <w:rPr>
            <w:color w:val="0000EE"/>
            <w:u w:val="single"/>
          </w:rPr>
          <w:t>1Ch 8.1</w:t>
        </w:r>
      </w:hyperlink>
      <w:r>
        <w:t>). Les Ashbelites, ses descendants, seront inclus dans le recensement de Moïse dans le désert (</w:t>
      </w:r>
      <w:hyperlink r:id="rId121">
        <w:r>
          <w:rPr>
            <w:color w:val="0000EE"/>
            <w:u w:val="single"/>
          </w:rPr>
          <w:t>Nb 26.38</w:t>
        </w:r>
      </w:hyperlink>
      <w:r>
        <w:t>). Aschbel est également appelé Jediaël (</w:t>
      </w:r>
      <w:hyperlink r:id="rId1355">
        <w:r>
          <w:rPr>
            <w:color w:val="0000EE"/>
            <w:u w:val="single"/>
          </w:rPr>
          <w:t>1Ch 7.6</w:t>
        </w:r>
      </w:hyperlink>
      <w:r>
        <w:t>).</w:t>
      </w:r>
      <w:r/>
      <w:r/>
    </w:p>
    <w:p>
      <w:r/>
    </w:p>
    <w:p>
      <w:pPr>
        <w:pStyle w:val="Heading2"/>
      </w:pPr>
      <w:r>
        <w:t>Aschkenaz</w:t>
      </w:r>
      <w:r/>
    </w:p>
    <w:p>
      <w:r/>
      <w:r>
        <w:t>Aschkenaz était le fils de Gomer. Il était l'arrière-petit-fils de Noé par Japhet (</w:t>
      </w:r>
      <w:hyperlink r:id="rId1356">
        <w:r>
          <w:rPr>
            <w:color w:val="0000EE"/>
            <w:u w:val="single"/>
          </w:rPr>
          <w:t>Gn 10.1</w:t>
        </w:r>
      </w:hyperlink>
      <w:r>
        <w:t>–</w:t>
      </w:r>
      <w:hyperlink r:id="rId1356">
        <w:r>
          <w:rPr>
            <w:color w:val="0000EE"/>
            <w:u w:val="single"/>
          </w:rPr>
          <w:t>3</w:t>
        </w:r>
      </w:hyperlink>
      <w:r>
        <w:t xml:space="preserve"> ; </w:t>
      </w:r>
      <w:hyperlink r:id="rId1357">
        <w:r>
          <w:rPr>
            <w:color w:val="0000EE"/>
            <w:u w:val="single"/>
          </w:rPr>
          <w:t>1Ch 1.6</w:t>
        </w:r>
      </w:hyperlink>
      <w:r>
        <w:t>).</w:t>
      </w:r>
    </w:p>
    <w:p>
      <w:r/>
      <w:r>
        <w:t xml:space="preserve">Aschkenaz est mentionné dans </w:t>
      </w:r>
      <w:hyperlink r:id="rId1358">
        <w:r>
          <w:rPr>
            <w:color w:val="0000EE"/>
            <w:u w:val="single"/>
          </w:rPr>
          <w:t xml:space="preserve">Jérémie 51.27 </w:t>
        </w:r>
      </w:hyperlink>
      <w:r>
        <w:t>avec Ararat et Minni. Cela montre qu'Aschkenaz était probablement l'ancêtre d'un groupe appelé les Scythes. Les Scythes vivaient dans la région d'Ararat à l'époque de Jérémie. Ils étaient connus pour être de redoutables combattants et ont causé des problèmes à l'Empire assyrien. Ils ont contribué à sa chute.</w:t>
      </w:r>
    </w:p>
    <w:p>
      <w:r/>
      <w:r>
        <w:t xml:space="preserve">Aujourd'hui, le nom </w:t>
      </w:r>
      <w:r>
        <w:rPr>
          <w:i/>
        </w:rPr>
        <w:t>Ashkénazim</w:t>
      </w:r>
      <w:r>
        <w:t xml:space="preserve"> (la forme plurielle d'Ashkénaze) a une signification différente. Il se réfère aux Juifs qui se sont installés en Europe centrale et orientale après avoir été contraints de quitter leur patrie. Cela les diffère des </w:t>
      </w:r>
      <w:r>
        <w:rPr>
          <w:i/>
        </w:rPr>
        <w:t>Séfarades</w:t>
      </w:r>
      <w:r>
        <w:t>, qui sont des Juifs ayant vécu en Espagne et au Portugal.</w:t>
      </w:r>
      <w:r/>
      <w:r/>
    </w:p>
    <w:p>
      <w:r/>
    </w:p>
    <w:p>
      <w:pPr>
        <w:pStyle w:val="Heading2"/>
      </w:pPr>
      <w:r>
        <w:t>Aschtaroth</w:t>
      </w:r>
      <w:r/>
    </w:p>
    <w:p>
      <w:r/>
      <w:r>
        <w:t>Ville de Basan, demeure du roi Og, ainsi qu'Édreï (</w:t>
      </w:r>
      <w:hyperlink r:id="rId1359">
        <w:r>
          <w:rPr>
            <w:color w:val="0000EE"/>
            <w:u w:val="single"/>
          </w:rPr>
          <w:t>Dt 1.4</w:t>
        </w:r>
      </w:hyperlink>
      <w:r>
        <w:t xml:space="preserve"> ; </w:t>
      </w:r>
      <w:hyperlink r:id="rId1360">
        <w:r>
          <w:rPr>
            <w:color w:val="0000EE"/>
            <w:u w:val="single"/>
          </w:rPr>
          <w:t>Jos 9.10</w:t>
        </w:r>
      </w:hyperlink>
      <w:r>
        <w:t xml:space="preserve"> ; </w:t>
      </w:r>
      <w:hyperlink r:id="rId1361">
        <w:r>
          <w:rPr>
            <w:color w:val="0000EE"/>
            <w:u w:val="single"/>
          </w:rPr>
          <w:t>12.4</w:t>
        </w:r>
      </w:hyperlink>
      <w:r>
        <w:t xml:space="preserve"> ; </w:t>
      </w:r>
      <w:hyperlink r:id="rId1362">
        <w:r>
          <w:rPr>
            <w:color w:val="0000EE"/>
            <w:u w:val="single"/>
          </w:rPr>
          <w:t>13.12, 31</w:t>
        </w:r>
      </w:hyperlink>
      <w:r>
        <w:t>).</w:t>
      </w:r>
    </w:p>
    <w:p>
      <w:r/>
      <w:r>
        <w:t>Aschtaroth est le pluriel d'Astarté, le nom d'une déesse de la fertilité cananéenne qui y était vénérée. Après la défait d'Og aux mains des Israélites (</w:t>
      </w:r>
      <w:hyperlink r:id="rId710">
        <w:r>
          <w:rPr>
            <w:color w:val="0000EE"/>
            <w:u w:val="single"/>
          </w:rPr>
          <w:t>Dt 3.1</w:t>
        </w:r>
      </w:hyperlink>
      <w:r>
        <w:t>–</w:t>
      </w:r>
      <w:hyperlink r:id="rId710">
        <w:r>
          <w:rPr>
            <w:color w:val="0000EE"/>
            <w:u w:val="single"/>
          </w:rPr>
          <w:t>11</w:t>
        </w:r>
      </w:hyperlink>
      <w:r>
        <w:t>), Moïse donnera Aschtaroth à la demi-tribu de Manassé (</w:t>
      </w:r>
      <w:hyperlink r:id="rId1362">
        <w:r>
          <w:rPr>
            <w:color w:val="0000EE"/>
            <w:u w:val="single"/>
          </w:rPr>
          <w:t>Jos 13.12, 31</w:t>
        </w:r>
      </w:hyperlink>
      <w:r>
        <w:t xml:space="preserve"> ; </w:t>
      </w:r>
      <w:hyperlink r:id="rId1363">
        <w:r>
          <w:rPr>
            <w:color w:val="0000EE"/>
            <w:u w:val="single"/>
          </w:rPr>
          <w:t>Dt 3.13</w:t>
        </w:r>
      </w:hyperlink>
      <w:r>
        <w:t>). Plus tard, elle deviendra une ville lévitique habitée par les Guershonites (</w:t>
      </w:r>
      <w:hyperlink r:id="rId1364">
        <w:r>
          <w:rPr>
            <w:color w:val="0000EE"/>
            <w:u w:val="single"/>
          </w:rPr>
          <w:t>1Ch 6.71</w:t>
        </w:r>
      </w:hyperlink>
      <w:r>
        <w:t>).</w:t>
      </w:r>
    </w:p>
    <w:p>
      <w:r/>
      <w:r>
        <w:t>Aschteroth-Karnaïm</w:t>
      </w:r>
      <w:r>
        <w:t xml:space="preserve"> (</w:t>
      </w:r>
      <w:hyperlink r:id="rId704">
        <w:r>
          <w:rPr>
            <w:color w:val="0000EE"/>
            <w:u w:val="single"/>
          </w:rPr>
          <w:t>Gn 14.5</w:t>
        </w:r>
      </w:hyperlink>
      <w:r>
        <w:t xml:space="preserve">) est probablement la même ville qu'Aschtaroth. Son emplacement est généralement identifié comme l'actuel Tell Ashtarah, à 35 km à l'est de la mer de Galilée. Dans </w:t>
      </w:r>
      <w:hyperlink r:id="rId1365">
        <w:r>
          <w:rPr>
            <w:color w:val="0000EE"/>
            <w:u w:val="single"/>
          </w:rPr>
          <w:t>1 Chroniques 11.44</w:t>
        </w:r>
      </w:hyperlink>
      <w:r>
        <w:t>, l'un des vaillants hommes de David, Ozias, est appelé un Ashterathite.</w:t>
      </w:r>
      <w:r/>
      <w:r/>
    </w:p>
    <w:p>
      <w:r/>
    </w:p>
    <w:p>
      <w:pPr>
        <w:pStyle w:val="Heading2"/>
      </w:pPr>
      <w:r>
        <w:t>Aschteroth-Karnaïm</w:t>
      </w:r>
      <w:r/>
    </w:p>
    <w:p>
      <w:r/>
      <w:r>
        <w:t>Ville où une alliance de quatre rois dirigée par Kedorlaomer, roi d'Élam, a vaincu les géants de Rephaïm (</w:t>
      </w:r>
      <w:hyperlink r:id="rId704">
        <w:r>
          <w:rPr>
            <w:color w:val="0000EE"/>
            <w:u w:val="single"/>
          </w:rPr>
          <w:t>Gn 14.5</w:t>
        </w:r>
      </w:hyperlink>
      <w:r>
        <w:t xml:space="preserve"> ; voir </w:t>
      </w:r>
      <w:hyperlink r:id="rId706">
        <w:r>
          <w:rPr>
            <w:color w:val="0000EE"/>
            <w:u w:val="single"/>
          </w:rPr>
          <w:t>Dt 3.11</w:t>
        </w:r>
      </w:hyperlink>
      <w:r>
        <w:t>). La région sera donnée à Abraham et à ses descendants par le Seigneur (</w:t>
      </w:r>
      <w:hyperlink r:id="rId1366">
        <w:r>
          <w:rPr>
            <w:color w:val="0000EE"/>
            <w:u w:val="single"/>
          </w:rPr>
          <w:t>Gn 15.18</w:t>
        </w:r>
      </w:hyperlink>
      <w:r>
        <w:t>–</w:t>
      </w:r>
      <w:hyperlink r:id="rId1366">
        <w:r>
          <w:rPr>
            <w:color w:val="0000EE"/>
            <w:u w:val="single"/>
          </w:rPr>
          <w:t>20</w:t>
        </w:r>
      </w:hyperlink>
      <w:r>
        <w:t>). Il s'agit sans doute du même lieu qu'Aschtaroth.</w:t>
      </w:r>
    </w:p>
    <w:p>
      <w:r/>
      <w:r>
        <w:rPr>
          <w:i/>
        </w:rPr>
        <w:t>Voir</w:t>
      </w:r>
      <w:r>
        <w:t xml:space="preserve"> </w:t>
      </w:r>
      <w:r>
        <w:t>Aschtaroth</w:t>
      </w:r>
      <w:r>
        <w:t>.</w:t>
      </w:r>
      <w:r/>
      <w:r/>
    </w:p>
    <w:p>
      <w:r/>
    </w:p>
    <w:p>
      <w:pPr>
        <w:pStyle w:val="Heading2"/>
      </w:pPr>
      <w:r>
        <w:t>Aschurim</w:t>
      </w:r>
      <w:r/>
    </w:p>
    <w:p>
      <w:r/>
      <w:r>
        <w:t>Les descendants d'Abraham et de sa seconde épouse, Ketura, par leur petit-fils Dedan (</w:t>
      </w:r>
      <w:hyperlink r:id="rId1367">
        <w:r>
          <w:rPr>
            <w:color w:val="0000EE"/>
            <w:u w:val="single"/>
          </w:rPr>
          <w:t>Gn 25.3</w:t>
        </w:r>
      </w:hyperlink>
      <w:r>
        <w:t xml:space="preserve">). Les </w:t>
      </w:r>
      <w:r>
        <w:t>Aschurim</w:t>
      </w:r>
      <w:r>
        <w:t xml:space="preserve"> vivaient probablement en Arabie.</w:t>
      </w:r>
      <w:r/>
      <w:r/>
    </w:p>
    <w:p>
      <w:r/>
    </w:p>
    <w:p>
      <w:pPr>
        <w:pStyle w:val="Heading2"/>
      </w:pPr>
      <w:r>
        <w:t>Asdod, Asdodien</w:t>
      </w:r>
      <w:r/>
    </w:p>
    <w:p>
      <w:r/>
      <w:r>
        <w:t>Une des cinq principales villes philistines, également appelée la « pentapole ». Les quatre autres villes sont Gaza, Askalon, Gath et Ékron (</w:t>
      </w:r>
      <w:hyperlink r:id="rId1368">
        <w:r>
          <w:rPr>
            <w:color w:val="0000EE"/>
            <w:u w:val="single"/>
          </w:rPr>
          <w:t>Jos 13.3</w:t>
        </w:r>
      </w:hyperlink>
      <w:r>
        <w:t>).</w:t>
      </w:r>
    </w:p>
    <w:p>
      <w:r/>
      <w:r>
        <w:t>Elle se trouvait dans un emplacement stratégique à environ 5 km à l'intérieur des terres, entre Joppa et Gaza, et près de la côte. Son ancien port, Asdod Yam, était un port maritime majeur, surpassant plus tard la ville intérieure elle-même. Les fouilles à Asdod ont révélé son occupation cananéenne précoce datant du 17e siècle av. J.‑C. Lorsque les Israélites sont entrés en Canaan, Asdod était occupée par les Anakim, une race de géants (gens de grande taille), (</w:t>
      </w:r>
      <w:hyperlink r:id="rId1369">
        <w:r>
          <w:rPr>
            <w:color w:val="0000EE"/>
            <w:u w:val="single"/>
          </w:rPr>
          <w:t>Jos 11.21</w:t>
        </w:r>
      </w:hyperlink>
      <w:r>
        <w:t>–</w:t>
      </w:r>
      <w:hyperlink r:id="rId1369">
        <w:r>
          <w:rPr>
            <w:color w:val="0000EE"/>
            <w:u w:val="single"/>
          </w:rPr>
          <w:t>22</w:t>
        </w:r>
      </w:hyperlink>
      <w:r>
        <w:t>). Bien qu'elle ait été assignée à la tribu de Juda, elle n'a pas été initialement conquise (</w:t>
      </w:r>
      <w:hyperlink r:id="rId1370">
        <w:r>
          <w:rPr>
            <w:color w:val="0000EE"/>
            <w:u w:val="single"/>
          </w:rPr>
          <w:t>Jos 15.46</w:t>
        </w:r>
      </w:hyperlink>
      <w:r>
        <w:t>–</w:t>
      </w:r>
      <w:hyperlink r:id="rId1370">
        <w:r>
          <w:rPr>
            <w:color w:val="0000EE"/>
            <w:u w:val="single"/>
          </w:rPr>
          <w:t>47</w:t>
        </w:r>
      </w:hyperlink>
      <w:r>
        <w:t>). Les habitants d'Asdod étaient appelés Asdodiens (</w:t>
      </w:r>
      <w:hyperlink r:id="rId1005">
        <w:r>
          <w:rPr>
            <w:color w:val="0000EE"/>
            <w:u w:val="single"/>
          </w:rPr>
          <w:t>Jos 13.4</w:t>
        </w:r>
      </w:hyperlink>
      <w:r>
        <w:t xml:space="preserve"> ; </w:t>
      </w:r>
      <w:hyperlink r:id="rId1371">
        <w:r>
          <w:rPr>
            <w:color w:val="0000EE"/>
            <w:u w:val="single"/>
          </w:rPr>
          <w:t>Né 4.7</w:t>
        </w:r>
      </w:hyperlink>
      <w:r>
        <w:t>).</w:t>
      </w:r>
    </w:p>
    <w:p>
      <w:r/>
      <w:r>
        <w:t>Le 12e siècle av. J.‑C. a été marqué par l'invasion des Peuples de la mer, y compris les Philistins, qui ont détruit Asdod. La ville a ensuite été réoccupée et développée en une grande cité philistine. Les archéologues ont découvert trois couches de zones d'habitation philistines à Asdod. Ces découvertes nous informent sur la vie des Philistins.</w:t>
      </w:r>
    </w:p>
    <w:p>
      <w:r/>
      <w:r>
        <w:t>Durant la période d'Éli le prêtre, les Philistins captureront l'arche de l'alliance et la placeront dans le temple de leur dieu Dagon à Asdod, puis à Gath et Ékron (</w:t>
      </w:r>
      <w:hyperlink r:id="rId1372">
        <w:r>
          <w:rPr>
            <w:color w:val="0000EE"/>
            <w:u w:val="single"/>
          </w:rPr>
          <w:t>1S 5</w:t>
        </w:r>
      </w:hyperlink>
      <w:r>
        <w:t>). Une peste frappera partout où l'arche sera emmenée, et les dirigeants philistins la retourneront donc avec une offrande en or (</w:t>
      </w:r>
      <w:hyperlink r:id="rId1373">
        <w:r>
          <w:rPr>
            <w:color w:val="0000EE"/>
            <w:u w:val="single"/>
          </w:rPr>
          <w:t>1S 6.1</w:t>
        </w:r>
      </w:hyperlink>
      <w:r>
        <w:t>–</w:t>
      </w:r>
      <w:hyperlink r:id="rId1373">
        <w:r>
          <w:rPr>
            <w:color w:val="0000EE"/>
            <w:u w:val="single"/>
          </w:rPr>
          <w:t>18</w:t>
        </w:r>
      </w:hyperlink>
      <w:r>
        <w:t>). Bien qu'étant sous le contrôle de David et Salomon, Asdod ne sera pleinement conquise que lorsque le roi Ozias de Juda commencera une guerre contre elle vers 792–740 av. J.‑C. (</w:t>
      </w:r>
      <w:hyperlink r:id="rId1374">
        <w:r>
          <w:rPr>
            <w:color w:val="0000EE"/>
            <w:u w:val="single"/>
          </w:rPr>
          <w:t>2Ch 26.6</w:t>
        </w:r>
      </w:hyperlink>
      <w:r>
        <w:t>).</w:t>
      </w:r>
    </w:p>
    <w:p>
      <w:r/>
      <w:r>
        <w:t>Après le règne d'Ozias, la ville retrouvera son indépendance alors que l'influence de Juda devient moins forte. Asdod résistera aux invasions assyriennes jusqu'à ce qu'elle soit finalement détruite par Sargon II en 711 av. J.‑C. Cette destruction est confirmée par des découvertes faites par des archéologues (personnes qui étudient les objets anciens). L'une de ces découvertes est un pilier de pierre avec des inscriptions. Le pilier est en basalte (une roche sombre et dure). Il mentionne Sargon et a été trouvé dans la ville d'Asdod en 1963. Le prophète Ésaïe avait précédemment averti Juda de ne pas compter sur Asdod, l'Égypte ou l'Éthiopie comme alliés contre les Assyriens (</w:t>
      </w:r>
      <w:hyperlink r:id="rId1375">
        <w:r>
          <w:rPr>
            <w:color w:val="0000EE"/>
            <w:u w:val="single"/>
          </w:rPr>
          <w:t>Es 20</w:t>
        </w:r>
      </w:hyperlink>
      <w:r>
        <w:t>). Les archéologues ont trouvé des preuves à Asdod que tant Ozias que Sargon II ont détruit des parties de la ville.</w:t>
      </w:r>
    </w:p>
    <w:p>
      <w:r/>
      <w:r>
        <w:t>Asdod est restée sous contrôle assyrien jusqu'à ce qu'elle soit capturée par le pharaon égyptien Psammétique 1er, qui règnera de 664 à 609 av. J.‑C. Asdod a été prise après un long siège de 29 ans, qui pourrait être le plus long siège enregistré dans l'histoire. Par la suite, vers l'époque de la chute de Jérusalem en 586 av. J.‑C., Nebucadnetsar II a conquis Asdod et a emmené son roi à Babylone. Des prophètes tels que Jérémie et Sophonie avaient prédit le destin d'Asdod et de son peuple (</w:t>
      </w:r>
      <w:hyperlink r:id="rId1376">
        <w:r>
          <w:rPr>
            <w:color w:val="0000EE"/>
            <w:u w:val="single"/>
          </w:rPr>
          <w:t>Jr 25.20</w:t>
        </w:r>
      </w:hyperlink>
      <w:r>
        <w:t xml:space="preserve"> ; </w:t>
      </w:r>
      <w:hyperlink r:id="rId1377">
        <w:r>
          <w:rPr>
            <w:color w:val="0000EE"/>
            <w:u w:val="single"/>
          </w:rPr>
          <w:t>So 2.4</w:t>
        </w:r>
      </w:hyperlink>
      <w:r>
        <w:t>). Les habitants restants d'Asdod résisteront ensuite aux efforts de Néhémie pour reconstruire Jérusalem, et certaines de leurs femmes se marieront avec des hommes juifs (</w:t>
      </w:r>
      <w:hyperlink r:id="rId1371">
        <w:r>
          <w:rPr>
            <w:color w:val="0000EE"/>
            <w:u w:val="single"/>
          </w:rPr>
          <w:t>Ne 4.7</w:t>
        </w:r>
      </w:hyperlink>
      <w:r>
        <w:t xml:space="preserve"> ; </w:t>
      </w:r>
      <w:hyperlink r:id="rId1378">
        <w:r>
          <w:rPr>
            <w:color w:val="0000EE"/>
            <w:u w:val="single"/>
          </w:rPr>
          <w:t>13.23</w:t>
        </w:r>
      </w:hyperlink>
      <w:r>
        <w:t>–</w:t>
      </w:r>
      <w:hyperlink r:id="rId1378">
        <w:r>
          <w:rPr>
            <w:color w:val="0000EE"/>
            <w:u w:val="single"/>
          </w:rPr>
          <w:t>24</w:t>
        </w:r>
      </w:hyperlink>
      <w:r>
        <w:t>). Le prophète Zacharie a prédit une destruction supplémentaire pour Asdod (</w:t>
      </w:r>
      <w:hyperlink r:id="rId1379">
        <w:r>
          <w:rPr>
            <w:color w:val="0000EE"/>
            <w:u w:val="single"/>
          </w:rPr>
          <w:t>Za 9.6</w:t>
        </w:r>
      </w:hyperlink>
      <w:r>
        <w:t>).</w:t>
      </w:r>
    </w:p>
    <w:p>
      <w:r/>
      <w:r>
        <w:t>Au cours de la période des Maccabées (lorsque les Maccabées régnaient), la ville, alors connue sous le nom d'Azot, a été attaquée, pillée et détruite par Judas et Jonathan Maccabée en raison de son idolâtrie (</w:t>
      </w:r>
      <w:hyperlink r:id="rId1380">
        <w:r>
          <w:rPr>
            <w:color w:val="0000EE"/>
            <w:u w:val="single"/>
          </w:rPr>
          <w:t>1 Ma 4.12</w:t>
        </w:r>
      </w:hyperlink>
      <w:r>
        <w:t>–</w:t>
      </w:r>
      <w:hyperlink r:id="rId1380">
        <w:r>
          <w:rPr>
            <w:color w:val="0000EE"/>
            <w:u w:val="single"/>
          </w:rPr>
          <w:t>15</w:t>
        </w:r>
      </w:hyperlink>
      <w:r>
        <w:t xml:space="preserve">; </w:t>
      </w:r>
      <w:hyperlink r:id="rId1381">
        <w:r>
          <w:rPr>
            <w:color w:val="0000EE"/>
            <w:u w:val="single"/>
          </w:rPr>
          <w:t>5.68</w:t>
        </w:r>
      </w:hyperlink>
      <w:r>
        <w:t xml:space="preserve">; </w:t>
      </w:r>
      <w:hyperlink r:id="rId1382">
        <w:r>
          <w:rPr>
            <w:color w:val="0000EE"/>
            <w:u w:val="single"/>
          </w:rPr>
          <w:t>10.77</w:t>
        </w:r>
      </w:hyperlink>
      <w:r>
        <w:t>–</w:t>
      </w:r>
      <w:hyperlink r:id="rId1382">
        <w:r>
          <w:rPr>
            <w:color w:val="0000EE"/>
            <w:u w:val="single"/>
          </w:rPr>
          <w:t>85</w:t>
        </w:r>
      </w:hyperlink>
      <w:r>
        <w:t xml:space="preserve">; </w:t>
      </w:r>
      <w:hyperlink r:id="rId1383">
        <w:r>
          <w:rPr>
            <w:color w:val="0000EE"/>
            <w:u w:val="single"/>
          </w:rPr>
          <w:t>11.4</w:t>
        </w:r>
      </w:hyperlink>
      <w:r>
        <w:t>). La ville a ensuite été libérée par Pompée en 63 av. J.‑C. et est devenue partie de la province romaine de Syrie. Hérode le Grand a ensuite offert la ville à sa sœur Salomé comme cadeau après sa mort.</w:t>
      </w:r>
    </w:p>
    <w:p>
      <w:r/>
      <w:r>
        <w:t>Le Nouveau Testament note que Philippe l'Évangéliste a prêché Christ à Azot (</w:t>
      </w:r>
      <w:hyperlink r:id="rId1384">
        <w:r>
          <w:rPr>
            <w:color w:val="0000EE"/>
            <w:u w:val="single"/>
          </w:rPr>
          <w:t>Ac 8.40</w:t>
        </w:r>
      </w:hyperlink>
      <w:r>
        <w:t>). Au 4e siècle apr. J.‑C., l'historien chrétien primitif Eusèbe la reconnaitra comme une ville importante, avec des évêques chrétiens y résidant du 4e au 6e siècle. Cependant, pendant le Moyen Âge, Asdod, ou Azot, a décliné et est maintenant un petit village nommé Esdud.</w:t>
      </w:r>
    </w:p>
    <w:p>
      <w:r/>
      <w:r>
        <w:t>Asdod était située à environ 5 km à l'intérieur des terres, mais elle possédait un port distinct connu sous le nom d'Asdod Yam, ou Asdod-sur-la-Mer. Au fil du temps, cette ville côtière est devenue plus grande que la ville intérieure. Les fouilles archéologiques au port ont révélé des couches d'occupation des périodes cananéenne, israélite et hellénistique. Une découverte notable inclut une installation de teinture hellénistique où une teinture pourpre était produite à partir de la coquille de murex, une teinture de luxe utilisée pour les vêtements par les membres de la famille royale et les riches. Le port est resté en usage durant la période arabe. Aujourd'hui, un port moderne a été établi près du site de l'ancien Asdod Yam.</w:t>
      </w:r>
      <w:r/>
      <w:r/>
    </w:p>
    <w:p>
      <w:r/>
    </w:p>
    <w:p>
      <w:pPr>
        <w:pStyle w:val="Heading2"/>
      </w:pPr>
      <w:r>
        <w:t>Aser (Personne)</w:t>
      </w:r>
      <w:r/>
    </w:p>
    <w:p>
      <w:r/>
      <w:r>
        <w:t>Fils de Jacob né de Zilpa, la servante de Léa (</w:t>
      </w:r>
      <w:hyperlink r:id="rId1385">
        <w:r>
          <w:rPr>
            <w:color w:val="0000EE"/>
            <w:u w:val="single"/>
          </w:rPr>
          <w:t>Gn 30.12</w:t>
        </w:r>
      </w:hyperlink>
      <w:r>
        <w:t>–</w:t>
      </w:r>
      <w:hyperlink r:id="rId1385">
        <w:r>
          <w:rPr>
            <w:color w:val="0000EE"/>
            <w:u w:val="single"/>
          </w:rPr>
          <w:t>13</w:t>
        </w:r>
      </w:hyperlink>
      <w:r>
        <w:t>). Le nom Aser signifie probablement « heureux ». Il sera choisi par Léa pour exprimer sa joie à sa naissance. Aser avait quatre fils : Jimna, Jischva, Jischvi et Beria, et une fille nommée Sérach (</w:t>
      </w:r>
      <w:hyperlink r:id="rId1386">
        <w:r>
          <w:rPr>
            <w:color w:val="0000EE"/>
            <w:u w:val="single"/>
          </w:rPr>
          <w:t>Gn 46.17</w:t>
        </w:r>
      </w:hyperlink>
      <w:r>
        <w:t xml:space="preserve"> ; </w:t>
      </w:r>
      <w:hyperlink r:id="rId1387">
        <w:r>
          <w:rPr>
            <w:color w:val="0000EE"/>
            <w:u w:val="single"/>
          </w:rPr>
          <w:t>1Ch 7.30</w:t>
        </w:r>
      </w:hyperlink>
      <w:r>
        <w:t>).</w:t>
      </w:r>
    </w:p>
    <w:p>
      <w:r/>
      <w:r>
        <w:t>Certains croient que la tribu d'Aser pourrait avoir été nommée d'après un lieu mentionné dans les textes égyptiens du 13e siècle av. J.‑C. Cependant, il est plus probable que la tribu ait été nommée d'après son ancêtre. Aser et ses frères ont reçu des bénédictions spéciales et des prophéties de Jacob alors qu'il était mourant (</w:t>
      </w:r>
      <w:hyperlink r:id="rId1388">
        <w:r>
          <w:rPr>
            <w:color w:val="0000EE"/>
            <w:u w:val="single"/>
          </w:rPr>
          <w:t>Gn 49.20</w:t>
        </w:r>
      </w:hyperlink>
      <w:r>
        <w:t xml:space="preserve"> ; voir </w:t>
      </w:r>
      <w:hyperlink r:id="rId1389">
        <w:r>
          <w:rPr>
            <w:color w:val="0000EE"/>
            <w:u w:val="single"/>
          </w:rPr>
          <w:t>Dt 33.24</w:t>
        </w:r>
      </w:hyperlink>
      <w:r>
        <w:t>–</w:t>
      </w:r>
      <w:hyperlink r:id="rId1389">
        <w:r>
          <w:rPr>
            <w:color w:val="0000EE"/>
            <w:u w:val="single"/>
          </w:rPr>
          <w:t>25</w:t>
        </w:r>
      </w:hyperlink>
      <w:r>
        <w:t>, où Moïse bénit également Aser et les autres tribus).</w:t>
      </w:r>
    </w:p>
    <w:p>
      <w:r/>
      <w:r>
        <w:rPr>
          <w:i/>
        </w:rPr>
        <w:t>Voir aussi</w:t>
      </w:r>
      <w:r>
        <w:t xml:space="preserve"> </w:t>
      </w:r>
      <w:r>
        <w:t>Aser (tribu)</w:t>
      </w:r>
      <w:r>
        <w:t>.</w:t>
      </w:r>
      <w:r/>
      <w:r/>
    </w:p>
    <w:p>
      <w:r/>
    </w:p>
    <w:p>
      <w:pPr>
        <w:pStyle w:val="Heading2"/>
      </w:pPr>
      <w:r>
        <w:t>Asiarque</w:t>
      </w:r>
      <w:r/>
    </w:p>
    <w:p>
      <w:r/>
      <w:r>
        <w:t>Titre d'un fonctionnaire important dans la province romaine d'Asie. Nous ne savons pas exactement en quoi consistait leur travail. Plusieurs Asiarques se sont préoccupés de la sécurité de Paul lors d'une émeute de bijoutiers à Éphèse (</w:t>
      </w:r>
      <w:hyperlink r:id="rId1390">
        <w:r>
          <w:rPr>
            <w:color w:val="0000EE"/>
            <w:u w:val="single"/>
          </w:rPr>
          <w:t>Ac 19.31</w:t>
        </w:r>
      </w:hyperlink>
      <w:r>
        <w:t>).</w:t>
      </w:r>
    </w:p>
    <w:p>
      <w:r/>
      <w:r>
        <w:t>Nous ne savons pas grand-chose d'autre sur les Asiarques. Nous ignorons quelles compétences étaient nécessaires pour le poste, combien de temps ils exerçaient en tant qu'Asiarques, ou quelles étaient leurs tâches exactes.</w:t>
      </w:r>
    </w:p>
    <w:p>
      <w:r/>
      <w:r>
        <w:t>Il n'est pas clair pourquoi il y avait de nombreux Asiarques à Éphèse pendant l'émeute ou pourquoi ils se souciaient de la sécurité de Paul. Ils étaient peut-être des dirigeants de la « Commune d'Asie ». Si c'est le cas, leur travail consistait à soutenir et à protéger le culte impérial (le culte de Rome et de l'empereur).</w:t>
      </w:r>
    </w:p>
    <w:p>
      <w:r/>
      <w:r>
        <w:t>Les Asiarques mentionnés dans Actes ne semblaient pas détester le christianisme. Le christianisme remettait en question le culte païen populaire de Diane, une déesse grecque.</w:t>
      </w:r>
    </w:p>
    <w:p>
      <w:r/>
      <w:r>
        <w:t>Le long récit d'</w:t>
      </w:r>
      <w:hyperlink r:id="rId1391">
        <w:r>
          <w:rPr>
            <w:color w:val="0000EE"/>
            <w:u w:val="single"/>
          </w:rPr>
          <w:t>Actes 19</w:t>
        </w:r>
      </w:hyperlink>
      <w:r>
        <w:t xml:space="preserve"> illustre l'une des idées principales de Luc : le christianisme ne cherchait pas à causer des problèmes, et Paul n'était pas une menace politique. S'il l'avait été, les Asiarques ne l'auraient probablement pas aidé.</w:t>
      </w:r>
      <w:r/>
      <w:r/>
    </w:p>
    <w:p>
      <w:r/>
    </w:p>
    <w:p>
      <w:pPr>
        <w:pStyle w:val="Heading2"/>
      </w:pPr>
      <w:r>
        <w:t>Asie</w:t>
      </w:r>
      <w:r/>
    </w:p>
    <w:p>
      <w:r/>
      <w:r>
        <w:t>À l'époque du Nouveau Testament, l'Asie était une province romaine située juste à l'est de la mer Égée. Les Romains ont créé cette province en l'an 133 après qu'Attale III, le roi de Pergame, leur a légué son royaume dans son testament.</w:t>
      </w:r>
    </w:p>
    <w:p>
      <w:r/>
      <w:r>
        <w:t>Les cartographes grecs utilisaient généralement le nom « Asie » pour désigner l'ensemble du continent oriental. Mais à partir du deuxième siècle, les Romains appelaient souvent les rois de Pergame « rois d'Asie ». À cause de cela, les gens ont lentement commencé à utiliser « Asie » pour désigner uniquement la péninsule (Asie Mineure).</w:t>
      </w:r>
    </w:p>
    <w:p>
      <w:r/>
      <w:r>
        <w:t>L'étendue de la province d'Asie a varié tout au long de son histoire. Avant l'occupation romaine, le terme faisait référence au royaume de la dynastie séleucide, que Séleucos Ier a fondé entre 305 et 281 av. J.‑C. Cette utilisation est visible dans les Apocryphes (</w:t>
      </w:r>
      <w:hyperlink r:id="rId1392">
        <w:r>
          <w:rPr>
            <w:color w:val="0000EE"/>
            <w:u w:val="single"/>
          </w:rPr>
          <w:t>1 M 8.6</w:t>
        </w:r>
      </w:hyperlink>
      <w:r>
        <w:t xml:space="preserve"> ; </w:t>
      </w:r>
      <w:hyperlink r:id="rId1393">
        <w:r>
          <w:rPr>
            <w:color w:val="0000EE"/>
            <w:u w:val="single"/>
          </w:rPr>
          <w:t>11.13</w:t>
        </w:r>
      </w:hyperlink>
      <w:r>
        <w:t xml:space="preserve"> ; </w:t>
      </w:r>
      <w:hyperlink r:id="rId1394">
        <w:r>
          <w:rPr>
            <w:color w:val="0000EE"/>
            <w:u w:val="single"/>
          </w:rPr>
          <w:t>12.39</w:t>
        </w:r>
      </w:hyperlink>
      <w:r>
        <w:t xml:space="preserve"> ; </w:t>
      </w:r>
      <w:hyperlink r:id="rId1395">
        <w:r>
          <w:rPr>
            <w:color w:val="0000EE"/>
            <w:u w:val="single"/>
          </w:rPr>
          <w:t>13.32</w:t>
        </w:r>
      </w:hyperlink>
      <w:r>
        <w:t xml:space="preserve"> ; </w:t>
      </w:r>
      <w:hyperlink r:id="rId1396">
        <w:r>
          <w:rPr>
            <w:color w:val="0000EE"/>
            <w:u w:val="single"/>
          </w:rPr>
          <w:t>2 M 3.3</w:t>
        </w:r>
      </w:hyperlink>
      <w:r>
        <w:t>) et dans les œuvres de l'historien juif ancien Josèphe dans ses « Antiquités ». Les Romains ont pris le territoire aux Séleucides après la guerre contre Antiochus le Grand. En récompense, ils l'ont donné à leurs alliés, les Attalides. Attale III l'a finalement légué aux Romains.</w:t>
      </w:r>
    </w:p>
    <w:p>
      <w:r/>
      <w:r>
        <w:t>Les frontières du contrôle romain ne sont devenues stables qu'après la fin d'une grande révolte. La province comprenait alors des régions comme la Mysie, la Lydie, la Carie et la Phrygie. Elle incluait également des zones proches de la mer Égée, telles que l'Éolide, l'Ionie et la Troade. Les îles côtières, telles que Lesbos, Chios, Samos, Rhodes et Patmos, faisaient également partie de la province. Cette région continentale fait maintenant partie de la Turquie moderne.</w:t>
      </w:r>
    </w:p>
    <w:p>
      <w:r/>
      <w:r>
        <w:t>En 116 av. J.‑C., la province s'est agrandie et a inclus la Grande Phrygie. Ses frontières étaient la Bithynie au nord, la Galatie à l'est, la Lycie au sud, et la mer Égée à l'ouest. Cependant, ces frontières ont changé au fil du temps. En 25 av. J.‑C., César Auguste a étendu le contrôle de Rome en ajoutant d'autres parties de la Phrygie, de la Lycaonie, de la Pisidie, et peut-être de la Pamphylie à une province appelée Galatie. Ces frontières sont restées les mêmes jusqu'en 285 ap. J.‑C. Ensuite, la province est devenue beaucoup plus petite, et « Asie » se référait seulement aux zones côtières et aux basses vallées des rivières Méandre, Caystre, Hermus et Caïque.</w:t>
      </w:r>
    </w:p>
    <w:p>
      <w:r/>
      <w:r>
        <w:t>Pendant la domination romaine, Pergame était la capitale de la province. À l'époque d'Auguste, le gouverneur romain s'est déplacé à Éphèse.</w:t>
      </w:r>
    </w:p>
    <w:p>
      <w:r/>
      <w:r>
        <w:t>Dans le Nouveau Testament, « Asie » désignait généralement la province romaine de ce nom. Parfois, cela signifiait la région, et d'autres fois, cela signifiait la région politique. Par exemple, lors de la fête de la Pentecôte à Jérusalem, il y avait des Juifs d'« Asie ». Cela incluait d'autres provinces romaines comme la Cappadoce, la Phrygie et la Pamphylie (Ac 2.9–10). Cela suggère que Luc, l'auteur du livre des Actes, utilisait le terme pour décrire la province initialement laissée aux Romains par Attale III. Luc a utilisé le mot de nouveau dans Ac 6.9, indiquant la force des communautés juives en Asie Mineure et confirmant l'utilisation d'« Asie » dans le sens plus restreint de la province romaine.</w:t>
      </w:r>
    </w:p>
    <w:p>
      <w:r/>
      <w:r>
        <w:t>Lors du deuxième voyage missionnaire de Paul, le Saint-Esprit a empêché Paul et Timothée de prêcher en Asie (</w:t>
      </w:r>
      <w:hyperlink r:id="rId1397">
        <w:r>
          <w:rPr>
            <w:color w:val="0000EE"/>
            <w:u w:val="single"/>
          </w:rPr>
          <w:t>Ac 16.6</w:t>
        </w:r>
      </w:hyperlink>
      <w:r>
        <w:t>–</w:t>
      </w:r>
      <w:hyperlink r:id="rId1397">
        <w:r>
          <w:rPr>
            <w:color w:val="0000EE"/>
            <w:u w:val="single"/>
          </w:rPr>
          <w:t>8</w:t>
        </w:r>
      </w:hyperlink>
      <w:r>
        <w:t>). Ici, Luc parlait probablement des frontières originales de la province. Quand Paul revient de Grèce, il s'arrête à Éphèse (</w:t>
      </w:r>
      <w:hyperlink r:id="rId1398">
        <w:r>
          <w:rPr>
            <w:color w:val="0000EE"/>
            <w:u w:val="single"/>
          </w:rPr>
          <w:t>Ac 18.19</w:t>
        </w:r>
      </w:hyperlink>
      <w:r>
        <w:t>–</w:t>
      </w:r>
      <w:hyperlink r:id="rId1398">
        <w:r>
          <w:rPr>
            <w:color w:val="0000EE"/>
            <w:u w:val="single"/>
          </w:rPr>
          <w:t>21</w:t>
        </w:r>
      </w:hyperlink>
      <w:r>
        <w:t xml:space="preserve">). Lors de son troisième voyage missionnaire, il demeure à Éphèse pendant plus de deux ans afin que, depuis cette ville capitale, « </w:t>
      </w:r>
      <w:r>
        <w:t>tous ceux qui habitaient l’Asie, Juifs et Grecs, entend[ent] la parole du Seigneur</w:t>
      </w:r>
      <w:r>
        <w:t xml:space="preserve"> » (</w:t>
      </w:r>
      <w:hyperlink r:id="rId1399">
        <w:r>
          <w:rPr>
            <w:color w:val="0000EE"/>
            <w:u w:val="single"/>
          </w:rPr>
          <w:t>Ac 19.10</w:t>
        </w:r>
      </w:hyperlink>
      <w:r>
        <w:t>).</w:t>
      </w:r>
    </w:p>
    <w:p>
      <w:r/>
      <w:r>
        <w:t xml:space="preserve">Luc fait référence à l'Asie de nouveau dans </w:t>
      </w:r>
      <w:hyperlink r:id="rId1400">
        <w:r>
          <w:rPr>
            <w:color w:val="0000EE"/>
            <w:u w:val="single"/>
          </w:rPr>
          <w:t>Ac 19.26</w:t>
        </w:r>
      </w:hyperlink>
      <w:r>
        <w:t>–</w:t>
      </w:r>
      <w:hyperlink r:id="rId1400">
        <w:r>
          <w:rPr>
            <w:color w:val="0000EE"/>
            <w:u w:val="single"/>
          </w:rPr>
          <w:t>27</w:t>
        </w:r>
      </w:hyperlink>
      <w:r>
        <w:t xml:space="preserve"> ; </w:t>
      </w:r>
      <w:hyperlink r:id="rId1302">
        <w:r>
          <w:rPr>
            <w:color w:val="0000EE"/>
            <w:u w:val="single"/>
          </w:rPr>
          <w:t>20.4, 16, 18</w:t>
        </w:r>
      </w:hyperlink>
      <w:r>
        <w:t xml:space="preserve"> ; et </w:t>
      </w:r>
      <w:hyperlink r:id="rId335">
        <w:r>
          <w:rPr>
            <w:color w:val="0000EE"/>
            <w:u w:val="single"/>
          </w:rPr>
          <w:t>27.2</w:t>
        </w:r>
      </w:hyperlink>
      <w:r>
        <w:t>. Paul s'y réfère plusieurs fois (</w:t>
      </w:r>
      <w:hyperlink r:id="rId1401">
        <w:r>
          <w:rPr>
            <w:color w:val="0000EE"/>
            <w:u w:val="single"/>
          </w:rPr>
          <w:t>Rm 16.5</w:t>
        </w:r>
      </w:hyperlink>
      <w:r>
        <w:t xml:space="preserve"> ; </w:t>
      </w:r>
      <w:hyperlink r:id="rId1082">
        <w:r>
          <w:rPr>
            <w:color w:val="0000EE"/>
            <w:u w:val="single"/>
          </w:rPr>
          <w:t>1Co 16.19</w:t>
        </w:r>
      </w:hyperlink>
      <w:r>
        <w:t xml:space="preserve"> ; </w:t>
      </w:r>
      <w:hyperlink r:id="rId1402">
        <w:r>
          <w:rPr>
            <w:color w:val="0000EE"/>
            <w:u w:val="single"/>
          </w:rPr>
          <w:t>2Co 1.8</w:t>
        </w:r>
      </w:hyperlink>
      <w:r>
        <w:t xml:space="preserve"> ; </w:t>
      </w:r>
      <w:hyperlink r:id="rId1403">
        <w:r>
          <w:rPr>
            <w:color w:val="0000EE"/>
            <w:u w:val="single"/>
          </w:rPr>
          <w:t>2Tm 1.15</w:t>
        </w:r>
      </w:hyperlink>
      <w:r>
        <w:t>). L'apôtre Pierre a également utilisé le terme (</w:t>
      </w:r>
      <w:hyperlink r:id="rId1404">
        <w:r>
          <w:rPr>
            <w:color w:val="0000EE"/>
            <w:u w:val="single"/>
          </w:rPr>
          <w:t>1 P 1.1</w:t>
        </w:r>
      </w:hyperlink>
      <w:r>
        <w:t>). Dans le Nouveau Testament, le Christ ressuscité a été le dernier à se référer à l'Asie. Il a instruit l'apôtre Jean, qui vivait en exil sur l'île de Patmos, d'écrire des lettres à sept Églises spécifiques en Asie (</w:t>
      </w:r>
      <w:hyperlink r:id="rId1405">
        <w:r>
          <w:rPr>
            <w:color w:val="0000EE"/>
            <w:u w:val="single"/>
          </w:rPr>
          <w:t>Ap 1.1</w:t>
        </w:r>
      </w:hyperlink>
      <w:r>
        <w:t>–</w:t>
      </w:r>
      <w:hyperlink r:id="rId1405">
        <w:r>
          <w:rPr>
            <w:color w:val="0000EE"/>
            <w:u w:val="single"/>
          </w:rPr>
          <w:t>4</w:t>
        </w:r>
      </w:hyperlink>
      <w:r>
        <w:t>).</w:t>
      </w:r>
    </w:p>
    <w:p>
      <w:r/>
      <w:r>
        <w:t>D'autres villes de cette province romaine mentionnées dans le Nouveau Testament incluent :</w:t>
      </w:r>
    </w:p>
    <w:p>
      <w:pPr>
        <w:pStyle w:val="ListBullet"/>
        <w:spacing w:line="240" w:lineRule="auto"/>
        <w:ind w:left="720"/>
      </w:pPr>
      <w:r/>
      <w:r>
        <w:t>Laodicée et Hiérapolis (</w:t>
      </w:r>
      <w:hyperlink r:id="rId1406">
        <w:r>
          <w:rPr>
            <w:color w:val="0000EE"/>
            <w:u w:val="single"/>
          </w:rPr>
          <w:t>Col 4.13</w:t>
        </w:r>
      </w:hyperlink>
      <w:r>
        <w:t>)</w:t>
      </w:r>
    </w:p>
    <w:p>
      <w:pPr>
        <w:pStyle w:val="ListBullet"/>
        <w:spacing w:line="240" w:lineRule="auto"/>
        <w:ind w:left="720"/>
      </w:pPr>
      <w:r/>
      <w:r>
        <w:t>Adramytte (</w:t>
      </w:r>
      <w:hyperlink r:id="rId335">
        <w:r>
          <w:rPr>
            <w:color w:val="0000EE"/>
            <w:u w:val="single"/>
          </w:rPr>
          <w:t>Ac 27.2</w:t>
        </w:r>
      </w:hyperlink>
      <w:r>
        <w:t>)</w:t>
      </w:r>
    </w:p>
    <w:p>
      <w:pPr>
        <w:pStyle w:val="ListBullet"/>
        <w:spacing w:line="240" w:lineRule="auto"/>
        <w:ind w:left="720"/>
      </w:pPr>
      <w:r/>
      <w:r>
        <w:t>Assos (</w:t>
      </w:r>
      <w:hyperlink r:id="rId1407">
        <w:r>
          <w:rPr>
            <w:color w:val="0000EE"/>
            <w:u w:val="single"/>
          </w:rPr>
          <w:t>Ac 20.13</w:t>
        </w:r>
      </w:hyperlink>
      <w:r>
        <w:t>–</w:t>
      </w:r>
      <w:hyperlink r:id="rId1407">
        <w:r>
          <w:rPr>
            <w:color w:val="0000EE"/>
            <w:u w:val="single"/>
          </w:rPr>
          <w:t>14</w:t>
        </w:r>
      </w:hyperlink>
      <w:r>
        <w:t>)</w:t>
      </w:r>
      <w:r/>
      <w:r/>
    </w:p>
    <w:p>
      <w:r/>
    </w:p>
    <w:p>
      <w:pPr>
        <w:pStyle w:val="Heading2"/>
      </w:pPr>
      <w:r>
        <w:t>Asnath</w:t>
      </w:r>
      <w:r/>
    </w:p>
    <w:p>
      <w:r/>
      <w:r>
        <w:t>La femme égyptienne de Joseph qui deviendra la mère de Manassé et d'Éphraïm. Asnath était la fille du prêtre Poti-Phéra (</w:t>
      </w:r>
      <w:hyperlink r:id="rId1408">
        <w:r>
          <w:rPr>
            <w:color w:val="0000EE"/>
            <w:u w:val="single"/>
          </w:rPr>
          <w:t>Gn 41.45, 50</w:t>
        </w:r>
      </w:hyperlink>
      <w:r>
        <w:t>–</w:t>
      </w:r>
      <w:hyperlink r:id="rId1408">
        <w:r>
          <w:rPr>
            <w:color w:val="0000EE"/>
            <w:u w:val="single"/>
          </w:rPr>
          <w:t>52</w:t>
        </w:r>
      </w:hyperlink>
      <w:r>
        <w:t xml:space="preserve"> ; </w:t>
      </w:r>
      <w:hyperlink r:id="rId1409">
        <w:r>
          <w:rPr>
            <w:color w:val="0000EE"/>
            <w:u w:val="single"/>
          </w:rPr>
          <w:t>46.20</w:t>
        </w:r>
      </w:hyperlink>
      <w:r>
        <w:t>).</w:t>
      </w:r>
      <w:r/>
      <w:r/>
    </w:p>
    <w:p>
      <w:r/>
    </w:p>
    <w:p>
      <w:pPr>
        <w:pStyle w:val="Heading2"/>
      </w:pPr>
      <w:r>
        <w:t>Aspatha</w:t>
      </w:r>
      <w:r/>
    </w:p>
    <w:p>
      <w:r/>
      <w:r>
        <w:t>Un des dix fils d'Haman. Il a été tué avec son père lorsque le complot d'Haman pour détruire les Juifs a été déjoué (</w:t>
      </w:r>
      <w:hyperlink r:id="rId1410">
        <w:r>
          <w:rPr>
            <w:color w:val="0000EE"/>
            <w:u w:val="single"/>
          </w:rPr>
          <w:t>Est 9.7</w:t>
        </w:r>
      </w:hyperlink>
      <w:r>
        <w:t>).</w:t>
      </w:r>
      <w:r/>
      <w:r/>
    </w:p>
    <w:p>
      <w:r/>
    </w:p>
    <w:p>
      <w:pPr>
        <w:pStyle w:val="Heading2"/>
      </w:pPr>
      <w:r>
        <w:t>Assos</w:t>
      </w:r>
      <w:r/>
    </w:p>
    <w:p>
      <w:r/>
      <w:r>
        <w:t xml:space="preserve">Assos était un port maritime en Mysie, partie de la province romaine d'Asie (Mineure). L'apôtre Paul et Luc se sont retrouvés à Assos après le voyage de Paul par voie terrestre depuis Troas, comme décrit dans </w:t>
      </w:r>
      <w:hyperlink r:id="rId1407">
        <w:r>
          <w:rPr>
            <w:color w:val="0000EE"/>
            <w:u w:val="single"/>
          </w:rPr>
          <w:t>Actes 20.13</w:t>
        </w:r>
      </w:hyperlink>
      <w:r>
        <w:t>–</w:t>
      </w:r>
      <w:hyperlink r:id="rId1407">
        <w:r>
          <w:rPr>
            <w:color w:val="0000EE"/>
            <w:u w:val="single"/>
          </w:rPr>
          <w:t>14</w:t>
        </w:r>
      </w:hyperlink>
      <w:r>
        <w:t xml:space="preserve">. L'écrivain romain Pline a noté que ce sont les rois de Pergame qui ont fondé la ville, elle s'appelait à l'origine Apollonie. Assos était situé au sommet et le long des côtés en terrasses d'un cône volcanique éteint qui s'élève à 230 m de hauteur. Le philosophe grec Aristote y a vécu plusieurs années. C'est aussi là qu'est né Cléanthe. Cléanthe était un poète stoïcien mentionné par Paul dans </w:t>
      </w:r>
      <w:hyperlink r:id="rId1131">
        <w:r>
          <w:rPr>
            <w:color w:val="0000EE"/>
            <w:u w:val="single"/>
          </w:rPr>
          <w:t>Actes 17.28</w:t>
        </w:r>
      </w:hyperlink>
      <w:r>
        <w:t>. Aujourd'hui, Assos est connu sous le nom de Behramkale.</w:t>
      </w:r>
      <w:r/>
      <w:r/>
    </w:p>
    <w:p>
      <w:r/>
    </w:p>
    <w:p>
      <w:pPr>
        <w:pStyle w:val="Heading2"/>
      </w:pPr>
      <w:r>
        <w:t>Assuérus</w:t>
      </w:r>
      <w:r/>
    </w:p>
    <w:p>
      <w:pPr>
        <w:pStyle w:val="ListNumber"/>
        <w:spacing w:line="240" w:lineRule="auto"/>
        <w:ind w:left="720"/>
      </w:pPr>
      <w:r/>
      <w:r>
        <w:t xml:space="preserve">Roi perse, mieux connu des lecteurs occidentaux sous le nom de Xerxès Ier. Il a régné de 486 à 465 avant J.‑C. Il était le fils et successeur de Darius 1er (Hystaspis). Dans </w:t>
      </w:r>
      <w:hyperlink r:id="rId1411">
        <w:r>
          <w:rPr>
            <w:color w:val="0000EE"/>
            <w:u w:val="single"/>
          </w:rPr>
          <w:t>Esdras 4.6</w:t>
        </w:r>
      </w:hyperlink>
      <w:r>
        <w:t>, Assuérus a reçu des lettres accusant les Juifs de reconstruire leur temple.</w:t>
      </w:r>
    </w:p>
    <w:p>
      <w:r/>
      <w:r>
        <w:t>Assuérus joue un rôle important dans le livre d'Esther. Selon l'historien grec Hérodote, lors de la troisième année de son règne, Assuérus a planifié une invasion de la Grèce. Le livre d'Esther commence par un festin qui faisait probablement partie de ce plan. Son attaque contre la Grèce en 480 av. J.‑C. a échoué. Par la suite, Assuérus s'est tourné vers des préoccupations personnelles, comme le rapporte Esther. Esther était la deuxième épouse d'Assuérus. Elle et son cousin Mardochée ont convaincu le roi d'arrêter un plan visant à tuer tous les Juifs. Assuérus a ordonné la mort d'Haman, son principal assistant, qui avait demandé qu'une loi soit faite contre les Juifs. Assuérus a fait exécuter Haman par pendaison.</w:t>
      </w:r>
    </w:p>
    <w:p>
      <w:r/>
      <w:r>
        <w:t xml:space="preserve">Assuérus contrôlait une vaste région « </w:t>
      </w:r>
      <w:r>
        <w:t>depuis l’Inde jusqu’en Éthiopie</w:t>
      </w:r>
      <w:r>
        <w:t xml:space="preserve"> » (</w:t>
      </w:r>
      <w:hyperlink r:id="rId1412">
        <w:r>
          <w:rPr>
            <w:color w:val="0000EE"/>
            <w:u w:val="single"/>
          </w:rPr>
          <w:t>Est 1.1</w:t>
        </w:r>
      </w:hyperlink>
      <w:r>
        <w:t>). Il a construit de nombreuses choses à Suse et à Persépolis. Son règne s'est terminé en 465 av. J.‑C. lorsqu'il a été tué dans sa chambre. Le livre de Tobit le désigne à tort comme le conquérant de Ninive (</w:t>
      </w:r>
      <w:hyperlink r:id="rId1413">
        <w:r>
          <w:rPr>
            <w:color w:val="0000EE"/>
            <w:u w:val="single"/>
          </w:rPr>
          <w:t>Tb 14.15</w:t>
        </w:r>
      </w:hyperlink>
      <w:r>
        <w:t xml:space="preserve">). Mais Ninive a été détruite en 612 av. J.‑C., plus d'un siècle avant la naissance d'Assuérus. </w:t>
      </w:r>
      <w:r>
        <w:rPr>
          <w:i/>
        </w:rPr>
        <w:t>Voir</w:t>
      </w:r>
      <w:r>
        <w:t xml:space="preserve"> </w:t>
      </w:r>
      <w:r>
        <w:t>Perse, Perses</w:t>
      </w:r>
      <w:r>
        <w:t xml:space="preserve"> ; </w:t>
      </w:r>
      <w:r>
        <w:t>Esther, Livre d'</w:t>
      </w:r>
      <w:r>
        <w:t xml:space="preserve"> ; </w:t>
      </w:r>
      <w:r>
        <w:t>Israël, Histoire d'</w:t>
      </w:r>
      <w:r>
        <w:t>.</w:t>
      </w:r>
    </w:p>
    <w:p>
      <w:pPr>
        <w:pStyle w:val="ListNumber"/>
        <w:spacing w:line="240" w:lineRule="auto"/>
        <w:ind w:left="720"/>
      </w:pPr>
      <w:r/>
      <w:r>
        <w:t>Père de Darius le Mède (</w:t>
      </w:r>
      <w:hyperlink r:id="rId1414">
        <w:r>
          <w:rPr>
            <w:color w:val="0000EE"/>
            <w:u w:val="single"/>
          </w:rPr>
          <w:t>Dn 9.1</w:t>
        </w:r>
      </w:hyperlink>
      <w:r>
        <w:t>). L'identité de ce père et de ce fils est inconnue.</w:t>
      </w:r>
      <w:r/>
      <w:r/>
    </w:p>
    <w:p>
      <w:r/>
    </w:p>
    <w:p>
      <w:pPr>
        <w:pStyle w:val="Heading2"/>
      </w:pPr>
      <w:r>
        <w:t>Assur</w:t>
      </w:r>
      <w:r/>
    </w:p>
    <w:p>
      <w:r/>
      <w:r>
        <w:t xml:space="preserve">Mot hébreu difficile à traduire. Dans les Bibles françaises, il est traduit par Assyrie, Assyrien, Assyriens, ou simplement « Assur ». Ces traductions proviennent toutes du mot assyrien </w:t>
      </w:r>
      <w:r>
        <w:rPr>
          <w:i/>
        </w:rPr>
        <w:t>Assur.</w:t>
      </w:r>
    </w:p>
    <w:p>
      <w:pPr>
        <w:pStyle w:val="ListNumber"/>
        <w:spacing w:line="240" w:lineRule="auto"/>
        <w:ind w:left="720"/>
      </w:pPr>
      <w:r/>
      <w:r>
        <w:t xml:space="preserve">Le mot pour Assur dans </w:t>
      </w:r>
      <w:hyperlink r:id="rId1415">
        <w:r>
          <w:rPr>
            <w:color w:val="0000EE"/>
            <w:u w:val="single"/>
          </w:rPr>
          <w:t>Genèse 10.11</w:t>
        </w:r>
      </w:hyperlink>
      <w:r>
        <w:t xml:space="preserve">. Il ne s'agit pas d'une personne et est donc correctement traduit : « </w:t>
      </w:r>
      <w:r>
        <w:t>De ce pays-là sortit Assur</w:t>
      </w:r>
      <w:r>
        <w:t xml:space="preserve"> ». Dans ce pays, à l'orient du fleuve Hiddékel, Nimrod construira quatre villes : Ninive, Rehoboth Hir, Calach et Résen.</w:t>
      </w:r>
    </w:p>
    <w:p>
      <w:pPr>
        <w:pStyle w:val="ListNumber"/>
        <w:spacing w:line="240" w:lineRule="auto"/>
        <w:ind w:left="720"/>
      </w:pPr>
      <w:r/>
      <w:r>
        <w:t>Fils de Sem (</w:t>
      </w:r>
      <w:hyperlink r:id="rId1416">
        <w:r>
          <w:rPr>
            <w:color w:val="0000EE"/>
            <w:u w:val="single"/>
          </w:rPr>
          <w:t>Gn 10.22</w:t>
        </w:r>
      </w:hyperlink>
      <w:r>
        <w:t xml:space="preserve"> ; </w:t>
      </w:r>
      <w:hyperlink r:id="rId1100">
        <w:r>
          <w:rPr>
            <w:color w:val="0000EE"/>
            <w:u w:val="single"/>
          </w:rPr>
          <w:t>1Ch 1.17</w:t>
        </w:r>
      </w:hyperlink>
      <w:r>
        <w:t xml:space="preserve">). Ce mot pourrait désigner l'ensemble du peuple assyrien, ou bien une personne physique. D'autres noms comme </w:t>
      </w:r>
      <w:r>
        <w:t>Arpacschad</w:t>
      </w:r>
      <w:r>
        <w:t xml:space="preserve"> semblent se référer à des individus, et Assur devrait donc être considéré de la même manière (</w:t>
      </w:r>
      <w:hyperlink r:id="rId1417">
        <w:r>
          <w:rPr>
            <w:color w:val="0000EE"/>
            <w:u w:val="single"/>
          </w:rPr>
          <w:t>Gn 10.24</w:t>
        </w:r>
      </w:hyperlink>
      <w:r>
        <w:t xml:space="preserve"> ; </w:t>
      </w:r>
      <w:hyperlink r:id="rId1418">
        <w:r>
          <w:rPr>
            <w:color w:val="0000EE"/>
            <w:u w:val="single"/>
          </w:rPr>
          <w:t>11.12</w:t>
        </w:r>
      </w:hyperlink>
      <w:r>
        <w:t>). Si c'est bien le cas, il pourrait avoir fondé la ville d'Assur, qui aurait alors pris son nom. La divinité et la nation d'Assur pourraient alors avoir été nommés d'après la ville.</w:t>
      </w:r>
    </w:p>
    <w:p>
      <w:r/>
      <w:r>
        <w:rPr>
          <w:i/>
        </w:rPr>
        <w:t>Voir</w:t>
      </w:r>
      <w:r>
        <w:t xml:space="preserve"> </w:t>
      </w:r>
      <w:r>
        <w:t>Assur (Lieu)</w:t>
      </w:r>
      <w:r>
        <w:t>.</w:t>
      </w:r>
    </w:p>
    <w:p>
      <w:pPr>
        <w:pStyle w:val="ListNumber"/>
        <w:spacing w:line="240" w:lineRule="auto"/>
        <w:ind w:left="720"/>
      </w:pPr>
      <w:r/>
      <w:r>
        <w:t>La divinité principale de la ville d'Assur.</w:t>
      </w:r>
      <w:r/>
      <w:r/>
    </w:p>
    <w:p>
      <w:r/>
    </w:p>
    <w:p>
      <w:pPr>
        <w:pStyle w:val="Heading2"/>
      </w:pPr>
      <w:r>
        <w:t>Assyrie, Assyriens</w:t>
      </w:r>
      <w:r/>
    </w:p>
    <w:p>
      <w:r/>
      <w:r>
        <w:t>Empire antique considéré comme le symbole de la terreur et de la tyrannie au Proche-Orient pendant plus de trois siècles. L'Assyrie tire son nom de la petite cité-état d'Assur, située sur la rive occidentale du Tigre dans le nord de la Mésopotamie (l'Irak moderne). La ville était le centre cultuel du dieu soleil Assur (également orthographié Assour). Le nom hébreu apparaît fréquemment dans la Bible et est traduit par Assyrie (</w:t>
      </w:r>
      <w:hyperlink r:id="rId1419">
        <w:r>
          <w:rPr>
            <w:color w:val="0000EE"/>
            <w:u w:val="single"/>
          </w:rPr>
          <w:t>Gn 2.14</w:t>
        </w:r>
      </w:hyperlink>
      <w:r>
        <w:t>), ou avec l'orthographe Assur (</w:t>
      </w:r>
      <w:hyperlink r:id="rId1415">
        <w:r>
          <w:rPr>
            <w:color w:val="0000EE"/>
            <w:u w:val="single"/>
          </w:rPr>
          <w:t>Gn 10.11</w:t>
        </w:r>
      </w:hyperlink>
      <w:r>
        <w:t>). La forme du nom provient à l'origine de la langue akkadienne.</w:t>
      </w:r>
    </w:p>
    <w:p>
      <w:r/>
      <w:r>
        <w:t>À l'origine, l'Assyrie était un petit district au nord de la Mésopotamie, situé dans un triangle approximatif entre le Tigre et le Haut Zab, un affluent du Tigre. L'Assyrie finira par prendre le contrôle du nord de la Syrie, assurant un accès à la mer Méditerranée, et conquerra la plaine fertile mésopotamienne, étendant le domaine assyrien sur toute la Babylonie jusqu'au golfe Persique.</w:t>
      </w:r>
    </w:p>
    <w:p>
      <w:pPr>
        <w:pStyle w:val="Heading3"/>
      </w:pPr>
      <w:r>
        <w:t>Histoire</w:t>
      </w:r>
    </w:p>
    <w:p>
      <w:pPr>
        <w:pStyle w:val="Heading4"/>
      </w:pPr>
      <w:r>
        <w:t>Avant le 8e siècle av. J.‑C.</w:t>
      </w:r>
    </w:p>
    <w:p>
      <w:r/>
      <w:r>
        <w:t>À la fin du troisième millénaire av. J.‑C., les Sumériens commerçaient avec l'Assyrie et exerçaient une influence culturelle sur son peuple. Périodiquement, les rois sumériens revendiquaient le contrôle politique de l'Assyrie. Sargon d'Agadé (vers 2350 av. J.‑C.) intégrera l'Assyrie dans la sphère de ses activités politiques et commerciales. Lorsque les Amoréens ont renversé la troisième dynastie d'Ur et ont établi leurs propres États, l'un d'eux incorpore l'Assyrie dans son territoire. Pendant la période de Hammurabi, l'un des derniers grands rois de la première dynastie babylonienne (vers 2360–1600 av. J.‑C.), les Assyriens fournissaient des matériaux de construction et d'autres biens pour le royaume babylonien.</w:t>
      </w:r>
    </w:p>
    <w:p>
      <w:r/>
      <w:r>
        <w:t>Le commerce entre Assur et la colonie assyrienne de Kanish en Anatolie a commencé très tôt dans l'histoire de l'Assyrie. Les marchandises étaient transportées par des caravanes pouvant compter jusqu'à deux cents ânes à la fois. La richesse générée par ce commerce a placé l'Assyrie dans une position économique très forte.</w:t>
      </w:r>
    </w:p>
    <w:p>
      <w:r/>
      <w:r>
        <w:t>La phase initiale du développement commercial assyrien sera suivie d'une longue période de déclin, culminant au 15e siècle av. J.‑C. À cette époque, l'Assyrie sera réduite à la vassalité par un peuple non sémitique, les Hourrites (Horiens, dans la Bible) de l'État de Mitanni. Au 14e siècle, un autre peuple non sémitique, les Hittites, renversera le pouvoir de Mitanni. L'Assyrie sera progressivement capable de se relever et d'assumer le rôle d'une grande puissance au Proche-Orient Ancien, en grande partie grâce aux politiques d'un prince avisé, Assur-uballit. Son règne marquera le début d'un long processus par lequel l'Assyrie atteindra finalement un poste de suprématie.</w:t>
      </w:r>
    </w:p>
    <w:p>
      <w:r/>
      <w:r>
        <w:t>Enlil-nirari (1329–1320 av. J.‑C.), fils et successeur d'Assur-uballit, attaquera Babylone et triomphera de Kurigalzu II, le roi kassite de Babylone (1345–1324 av. J.‑C.). Adad-nirari I (1307–1275 av. J.‑C.) étendra l'influence de l'Assyrie en remportant des victoires sur les Kassites en Babylonie. Il annexera également certains territoires au nord-ouest.</w:t>
      </w:r>
    </w:p>
    <w:p>
      <w:r/>
      <w:r>
        <w:t>La période de consolidation et d'expansion du premier Empire assyrien aura comme point culminant la capture de Babylone par Tukulti-Ninurta I (1244–1208 av. J.‑C.), plaçant pour la première fois Babylone sous domination assyrienne. Après cette apogée, cependant, le pouvoir assyrien connaîtra le déclin.</w:t>
      </w:r>
    </w:p>
    <w:p>
      <w:r/>
      <w:r>
        <w:t>Les trois siècles de 1 200 à 900 av. J.‑C. environ seront marqués par les mouvements de différents peuples tels que les Grecs, les Philistins, les Araméens et les Hébreux. Sous la pression des migrations de populations venant d'Europe, l'Empire Hittite, qui avait auparavant apporté une stabilité politique à l'Asie Mineure et protégé les routes commerciales, s'effondrera rapidement. Vers 1 200 avant J.‑C., il succombera aux attaques des Peuples de la Mer provenant du territoire grec.</w:t>
      </w:r>
    </w:p>
    <w:p>
      <w:r/>
      <w:r>
        <w:t>Au cours du 10e siècle avant J.‑C., l'Assyrie commencer à se rétablir lentement. Sous le règne d'Adad-nirari II (911–891 av. J.‑C.), l'Assyrie connaîtra de nouveau engagée une période d'expansion économique et militaire remarquable. Pendant les soixante années suivantes, les rois assyriens suivront une politique cohérente de consolidation du travail d'Adad-nirari II. Ashurnasirpal II (885–860 av. J.‑C.) est vu comme le premier grand monarque de cette nouvelle ère de l'histoire assyrienne. Il possédait toutes les qualités et les défauts de ses successeurs à l'extrême. Il avait l'ambition, l'énergie, le courage, la vanité et la magnificence d'un bâtisseur d'empire impitoyable et infatigable. Les premières activités d'Ashurnasirpal étaient dirigées vers la région montagneuse à l'est, où il étendra le contrôle de l'Assyrie parmi les peuples montagnards. À l'ouest, il soumettra les Araméens avec une cruauté caractéristique et fera de même en Asie Mineure.</w:t>
      </w:r>
    </w:p>
    <w:p>
      <w:r/>
      <w:r>
        <w:t>Salmanasar III est bien connu des historiens du monde biblique à cause de la bataille de Qarqar (853 av. J.‑C.), considérée comme l'événement le mieux documenté de l'Antiquité. Il lancera une invasion de la Syrie qui sera rencontrée par une coalition dirigée par Ben-Hadad de Damas et soutenue par le roi Achab d'Israël et plusieurs autres États. Comme Salmanasar n'a pas pu dérouter les 60 000 soldats qui lui faisaient face, il faudra de nombreuses années avant que les Assyriens ne parviennent à conquérir Damas et Samarie. Le roi Jéhu d'Israël (841–814 av. J.‑C.), qui avait ensuite choisi de payer un tribut plutôt que de se battre, est représenté, peut-être par un envoyé, sur l'Obélisque noir de Salmanasar III, déterré dans la capitale de Salmanasar, Calach (aujourd'hui appelée Nimroud). Jéhu est représenté en train de baiser le sol aux pieds du monarque assyrien et d'offrir un tribut de vases en argent, or et plomb.</w:t>
      </w:r>
    </w:p>
    <w:p>
      <w:r/>
      <w:r>
        <w:t>Vers la fin de son règne, Salmanasar devra réprimer une rébellion de certaines des principales villes assyriennes. Il sera remplacé par son héritier, Shamshi-adad V (823–811 av. J.‑C.). Le fils de Shamshi-adad, Adad-nirari III (810–782 av. J.‑C.), construira un nouveau palais à Calach et attaquera le roi Hazaël de Damas (Syrie) en 804 av. J.‑C. La pression assyrienne sur les Syriens aura sans doute été un soulagement pour Israël, qui avait été opprimé par Hazaël (</w:t>
      </w:r>
      <w:hyperlink r:id="rId1420">
        <w:r>
          <w:rPr>
            <w:color w:val="0000EE"/>
            <w:u w:val="single"/>
          </w:rPr>
          <w:t>2R 13.22–25</w:t>
        </w:r>
      </w:hyperlink>
      <w:r>
        <w:t>).</w:t>
      </w:r>
    </w:p>
    <w:p>
      <w:pPr>
        <w:pStyle w:val="Heading4"/>
      </w:pPr>
      <w:r>
        <w:t>Du 8e siècle à la bataille de Carkemisch (605 av. J.‑C.)</w:t>
      </w:r>
    </w:p>
    <w:p>
      <w:r/>
      <w:r>
        <w:t>À partir d'environ 800 av. J.‑C., l'influence de l'Urartu (Ararat) commencera à s'étendre, en particulier dans le nord de la Syrie, aux dépens de l'Assyrie. Le demi-siècle suivant sera marqué par un déclin drastique de la prospérité de l'Assyrie. En 746 av. J.‑C., lors d'une révolte dans la ville de Calach, toute la famille royale sera assassinée.</w:t>
      </w:r>
    </w:p>
    <w:p>
      <w:r/>
      <w:r>
        <w:t>La phase finale du pouvoir assyrien sera instituée par l'usurpateur Tiglath-Piléser III (745–727 av. J.‑C.), également connu sous le nom royal babylonien qu'il a adopté, Pul (</w:t>
      </w:r>
      <w:hyperlink r:id="rId1421">
        <w:r>
          <w:rPr>
            <w:color w:val="0000EE"/>
            <w:u w:val="single"/>
          </w:rPr>
          <w:t>2R 15.19</w:t>
        </w:r>
      </w:hyperlink>
      <w:r>
        <w:t xml:space="preserve"> ; </w:t>
      </w:r>
      <w:hyperlink r:id="rId1422">
        <w:r>
          <w:rPr>
            <w:color w:val="0000EE"/>
            <w:u w:val="single"/>
          </w:rPr>
          <w:t>1Ch 5.26</w:t>
        </w:r>
      </w:hyperlink>
      <w:r>
        <w:t>). Son règne initiera le processus par lequel l'Assyrie récupérera et consolidera le contrôle de tous ses territoires et sera fermement établie comme la puissance militaire et économique dominante du Proche-Orient. Tiglath-Piléser sécurisera d'abord le contrôle des cols de montagne au nord afin d'éliminer la menace d'invasion venant de cette direction. Il soumettra ensuite la Syrie et la Palestine à l'ouest et prendra le contrôle de la route vers l'Égypte et la mer Méditerranée. Enfin, par la diplomatie, il obtiendra également le trône de Babylone. Sous le nom de Pul, il gouvernera Babylone, créant la situation remarquable de deux couronnes unies en un seul souverain portant deux noms différents. Sa prudence politique était généralement absente chez les monarques assyriens impitoyables.</w:t>
      </w:r>
    </w:p>
    <w:p>
      <w:r/>
      <w:r>
        <w:t>À partir de l'an 743 av. J.‑C., Tiglath-Piléser III mènera plusieurs campagnes en Syrie et en Palestine. Le roi Menahem d'Israël (752–742 av. J.‑C.) lui payera un tribut (</w:t>
      </w:r>
      <w:hyperlink r:id="rId1423">
        <w:r>
          <w:rPr>
            <w:color w:val="0000EE"/>
            <w:u w:val="single"/>
          </w:rPr>
          <w:t>2R 15.19–20</w:t>
        </w:r>
      </w:hyperlink>
      <w:r>
        <w:t>), tout comme Tyr, Byblos et Damas. En 738, il subjuguera l'État du centre-nord d'Hamath. Répondant à un appel du roi Achaz de Juda (735–715 av. J.‑C.) pour aider à résister aux pressions d'une coalition anti-assyrienne proposée, Tiglath-Piléser conquerra Damas en 732 et Samarie, capitale du royaume du nord d'Israël, une décennie plus tard. À ces deux occasions, des déportations de personnes vers l'Assyrie auront lieu. La chute de Samarie en 722 av. J.‑C. marquera la fin du royaume d'Israël.</w:t>
      </w:r>
    </w:p>
    <w:p>
      <w:r/>
      <w:r>
        <w:t>Sargon II (722–705 av. J.‑C.) prétendait être le souverain assyrien qui a capturé Samarie, mais le récit biblique attribue la capture à Salmanasar (</w:t>
      </w:r>
      <w:hyperlink r:id="rId1424">
        <w:r>
          <w:rPr>
            <w:color w:val="0000EE"/>
            <w:u w:val="single"/>
          </w:rPr>
          <w:t>2R 17.2–6</w:t>
        </w:r>
      </w:hyperlink>
      <w:r>
        <w:t>). À la politique de déportation, Sargon et ses successeurs ajouteront celle de la colonisation. Pour remplacer les peuples emmenés en captivité, ces rois assyriens amèneront des tribus de Babylone, d'Élam, de Syrie et d'Arabie et les installeront à Samarie et dans le territoire environnant. Les nouveaux arrivants se mêleront aux populations indigènes restant dans le pays après la déportation, ce qui donnera lieu au peuple samaritain.</w:t>
      </w:r>
    </w:p>
    <w:p>
      <w:r/>
      <w:r>
        <w:t xml:space="preserve">Après dix ans de guerre contre ses ennemis à l'ouest en Syrie et en Asie Mineure, et au nord en Urartu, Sargon concentrera ses efforts sur la Babylonie. Il poursuivra Merodac-Baladan II (721–710 av. J.‑C.; cf. </w:t>
      </w:r>
      <w:hyperlink r:id="rId1425">
        <w:r>
          <w:rPr>
            <w:color w:val="0000EE"/>
            <w:u w:val="single"/>
          </w:rPr>
          <w:t>2R 20.12–19</w:t>
        </w:r>
      </w:hyperlink>
      <w:r>
        <w:t xml:space="preserve">; </w:t>
      </w:r>
      <w:hyperlink r:id="rId1426">
        <w:r>
          <w:rPr>
            <w:color w:val="0000EE"/>
            <w:u w:val="single"/>
          </w:rPr>
          <w:t>Es 39.1</w:t>
        </w:r>
      </w:hyperlink>
      <w:r>
        <w:t>) jusqu'à Élam et deviendra roi de Babylone en 709. Il commencera à se faire construire une nouvelle capitale, Dur-Sharrukin (Khorsabad) près de Ninive, mais sera tué au combat avant qu'elle ne soit terminée.</w:t>
      </w:r>
    </w:p>
    <w:p>
      <w:r/>
      <w:r>
        <w:t>Sargon sera succédé par son fils Sanchérib (705–681 av. J.‑C.), qui sera occupé tout au long de son règne par une série de guerres acharnées. Il est particulièrement connu dans les études bibliques pour sa campagne contre Juda et le siège de Jérusalem lors du règne du roi Ézéchias (715–686 av. J.‑C.) et le ministère du prophète Ésaïe (</w:t>
      </w:r>
      <w:hyperlink r:id="rId1427">
        <w:r>
          <w:rPr>
            <w:color w:val="0000EE"/>
            <w:u w:val="single"/>
          </w:rPr>
          <w:t>2R 18.13–19.37</w:t>
        </w:r>
      </w:hyperlink>
      <w:r>
        <w:t xml:space="preserve"> ; </w:t>
      </w:r>
      <w:hyperlink r:id="rId1428">
        <w:r>
          <w:rPr>
            <w:color w:val="0000EE"/>
            <w:u w:val="single"/>
          </w:rPr>
          <w:t>Es 36–37</w:t>
        </w:r>
      </w:hyperlink>
      <w:r>
        <w:t>). C'est pendant cette crise que le célèbre Tunnel de Siloé sera construit pour amener de l'eau dans la capitale assiégée depuis la source de Guihon, à l'extérieur du mur de la ville, jusqu'à la piscine de Siloé (</w:t>
      </w:r>
      <w:hyperlink r:id="rId1429">
        <w:r>
          <w:rPr>
            <w:color w:val="0000EE"/>
            <w:u w:val="single"/>
          </w:rPr>
          <w:t>2R 20.20</w:t>
        </w:r>
      </w:hyperlink>
      <w:r>
        <w:t>).</w:t>
      </w:r>
    </w:p>
    <w:p>
      <w:r/>
      <w:r>
        <w:t xml:space="preserve">Sanchérib sera assassiné en 681 av. J.‑C. et remplacé par </w:t>
      </w:r>
      <w:r>
        <w:t>Assarhaddon</w:t>
      </w:r>
      <w:r>
        <w:t xml:space="preserve">, qui tentera, sans succès, d'établir le contrôle assyrien sur l'Égypte. </w:t>
      </w:r>
      <w:r>
        <w:t>Assarhaddon</w:t>
      </w:r>
      <w:r>
        <w:t xml:space="preserve"> sera remplacé par </w:t>
      </w:r>
      <w:r>
        <w:t>Assurbanipal (Osnappar dans plusieurs versions de la Bible ; voir LSG, S21 par ex. ; ou Asnappar dans TOB2010, NFC)</w:t>
      </w:r>
      <w:r>
        <w:t xml:space="preserve"> (669–626 ? av. J.‑C.), qui réussira à capturer No-Amon (Thèbes), réalisant ainsi la plus grande victoire de l'histoire de l'Assyrie (voir </w:t>
      </w:r>
      <w:hyperlink r:id="rId1430">
        <w:r>
          <w:rPr>
            <w:color w:val="0000EE"/>
            <w:u w:val="single"/>
          </w:rPr>
          <w:t>Na 3.3–10</w:t>
        </w:r>
      </w:hyperlink>
      <w:r>
        <w:t>). Assurbanipal établira une grande bibliothèque à Ninive, excavée en 1860. De nombreuses tablettes faites de la plus fine argile et allant de 2,5 à 40 cm ont été trouvées, contenant une vaste sélection de matériel akkadien. Certaines de ces tablettes contiennent des archives historiques ; d'autres, des rapports astronomiques, des calculs mathématiques et des lettres privées ou publiques. Une partie considérable de la collection traite d'astrologie et de médecine. Beaucoup de tablettes contiennent des prières, des incantations, des psaumes et des textes religieux en général. Une copie du récit babylonien de la création a également été trouvée. Cette bibliothèque est désormais l'un des principaux trésors du British Museum à Londres.</w:t>
      </w:r>
    </w:p>
    <w:p>
      <w:r/>
      <w:r>
        <w:t>Très peu de choses sont connues sur le règne d'Assurbanipal après 639 av. J.‑C., car ses annales ne s'étendent pas au-delà de cette année. Cependant, certaines informations sur les événements de ses treize dernières années peuvent être glanées à partir d'allusions dans la correspondance d'État, les documents commerciaux et les prières adressées aux dieux. De toute évidence, la situation en Assyrie devenait de plus en plus grave, et lorsqu'Assurbanipal meurt en 626, son empire est en rapide déclin.</w:t>
      </w:r>
    </w:p>
    <w:p>
      <w:r/>
      <w:r>
        <w:t>Les Mèdes entrent dans les annales assyriennes pendant le règne d'Assarhaddon, alors qu'ils étaient encore constitués d'un grand nombre de tribus associées mais distinctes. Plus tard, ces tribus commenceront à se souder en un seul royaume. Hérodote affirme que leur roi, Phraortès, avait attaqué l'Assyrie mais qu'il a perdu la vie sur le champ de bataille, pour être remplacé par son fils Cyaxare.</w:t>
      </w:r>
    </w:p>
    <w:p>
      <w:r/>
      <w:r>
        <w:t>L'année 626 av. J.‑C. marque plusieurs événements importants dans le monde antique. Nabopolassar, un prince chaldéen, devient roi de Babylone (626–605 av. J.‑C.) vers la fin de l'année. Une alliance entre les Mèdes et Nabopolassar sera conclue, et à compter de ce jour, Nabopolassar connaîtra un succès presque incontesté contre l'Assyrie. Au tournant de l'an 617 av. J.‑C., il aura fini de débarrasser la Babylonie de toutes les garnisons assyriennes. Il remontera ensuite l'Euphrate vers les districts araméens qui faisaient partie de l'Empire assyrien depuis deux siècles et demi. Nabopolassar avait pour projet d'attaquer Ninive depuis l'ouest, les Mèdes l'attaquant en même temps depuis l'orient. Toutefois, les forces combinées des Assyriens et des Égyptiens, désormais alliés, contraindront Nabopolassar à se retirer à Babylone.</w:t>
      </w:r>
    </w:p>
    <w:p>
      <w:r/>
      <w:r>
        <w:t>En 614 av. J.‑C., les Mèdes meneront une attaque massive contre l'Assyrie. Bien que Ninive fût trop forte pour céder à l'attaque, les Mèdes captureront certaines des villes voisines, y compris Assur, l'ancienne capitale. À ce moment-là, Nabopolassar arrivera avec les forces babyloniennes. Il rencontrera Cyaxare à Assur, et ils établiront une amitié et une paix mutuelles. Leur alliance sera confirmée plus tard par le mariage de Nebucadnetsar, le fils de Nabopolassar, avec Amytis, la fille de Cyaxare. En 612 av. J.‑C., leurs forces combinées lanceront une ultime attaque contre Ninive. Après trois mois de siège, la grande ville tombera (</w:t>
      </w:r>
      <w:hyperlink r:id="rId1431">
        <w:r>
          <w:rPr>
            <w:color w:val="0000EE"/>
            <w:u w:val="single"/>
          </w:rPr>
          <w:t>Na 1.8</w:t>
        </w:r>
      </w:hyperlink>
      <w:r>
        <w:t>).</w:t>
      </w:r>
    </w:p>
    <w:p>
      <w:r/>
      <w:r>
        <w:t>Malgré la perte de leur capitale, un royaume assyrien affaibli survivra pendant trois années supplémentaires. Les troupes assyriennes qui avaient pu s'échapper de Ninive fuiront vers l'ouest jusqu'à Haran, où un prince assyrien, Assur-uballit, sera proclamé roi et sollicitera l'aide de l'Égypte pour restaurer la royauté d'Assyrie. Nékao II (609–593 av. J.‑C.), connu dans la Bible sous le nom de Néco, répondra à l'appel et marchera avec ses troupes égyptiennes vers Haran pour combattre les Babyloniens, qui avaient désormais anéanti l'Assyrie. Le roi Josias de Juda (640–609 av. J.‑C.), qui se considérait manifestement comme un vassal de l'héritier de l'Assyrie, la Néobabylonie, marchera pour s'opposer à l'avancée égyptienne et sera mortellement blessé par une flèche sur le champ de bataille de Meguiddo (</w:t>
      </w:r>
      <w:hyperlink r:id="rId1432">
        <w:r>
          <w:rPr>
            <w:color w:val="0000EE"/>
            <w:u w:val="single"/>
          </w:rPr>
          <w:t>2R 23.29–30</w:t>
        </w:r>
      </w:hyperlink>
      <w:r>
        <w:t xml:space="preserve"> ; </w:t>
      </w:r>
      <w:hyperlink r:id="rId1433">
        <w:r>
          <w:rPr>
            <w:color w:val="0000EE"/>
            <w:u w:val="single"/>
          </w:rPr>
          <w:t>2Ch 35.20–24</w:t>
        </w:r>
      </w:hyperlink>
      <w:r>
        <w:t>).</w:t>
      </w:r>
    </w:p>
    <w:p>
      <w:r/>
      <w:r>
        <w:t>Lorsque Nabopolassar et ses alliés attaquent Haran en 610 av. J.‑C., Assur-uballit ne tentera pas de le défendre mais s'enfuira vers le sud-ouest pour attendre Nékao et ses troupes. Les forces conjointes des Égyptiens et des Assyriens reviendront pour lancer un assaut sur Haran avec un certain succès initial. Cependant, l'armée de Nabopolassar obligera les forces assyriennes-égyptiennes à abandonner le siège et à se retirer à Carkemisch (l'actuel Jarablus). Là, sous la direction de Nebucadnetsar, les Babyloniens lanceront une attaque directe sur la puissante armée. Le carnage qui en résultera des deux côtés sera décrit avec un vocabulaire très vif par le prophète Jérémie (</w:t>
      </w:r>
      <w:hyperlink r:id="rId1434">
        <w:r>
          <w:rPr>
            <w:color w:val="0000EE"/>
            <w:u w:val="single"/>
          </w:rPr>
          <w:t>46.1–12</w:t>
        </w:r>
      </w:hyperlink>
      <w:r>
        <w:t>). Nebucadnetsar sortira victorieux de la bataille de Carkemisch (605 av. J.‑C.). Cependant, en raison de la mort de son père, il ne poursuivra pas sa victoire mais retournera à Babylone pour assumer le trône.</w:t>
      </w:r>
    </w:p>
    <w:p>
      <w:r/>
      <w:r>
        <w:t>Il existe une tradition dans l'Église chrétienne assyrienne selon laquelle, après l'effondrement de l'Empire assyrien sous l'assaut des Mèdes et des Néo-Babyloniens, un reste du peuple assyrien (principalement des princes, des nobles et des guerriers) s'est réfugié dans les montagnes du Kurdistan et qu'ils auraient construit un certain nombre de forteresses armées. Alexandre le Grand (336–323 av. J.‑C.), ses successeurs et les légions romaines n'ont fait aucune tentative pour conquérir ces tribus. Trajan (98–117 apr. J.‑C.) marchera à la tête des armées romaines à travers l'Arménie, touchant la région nord du Kurdistan, en route vers la Perse. Il est dit que les sages, ou mages, qui ont visité le roi nouveau-né à Bethléem, le bébé Jésus, venaient d'Édesse. Selon cette tradition, les mages, en revenant de Bethléem, ont proclamé les choses étonnantes qu'ils avaient entendues et vues lors de leur visite au roi. Une Église chrétienne a été fondée parmi les Assyriens et a survécu à travers les siècles.</w:t>
      </w:r>
    </w:p>
    <w:p>
      <w:r/>
      <w:r>
        <w:t>La région qui était l'Assyrie, y compris toute la Mésopotamie, se trouve dans l'Irak actuel, un pays arabophone à majorité musulmane.</w:t>
      </w:r>
    </w:p>
    <w:p>
      <w:r/>
      <w:r>
        <w:rPr>
          <w:i/>
        </w:rPr>
        <w:t>Voir aussi</w:t>
      </w:r>
      <w:r>
        <w:t xml:space="preserve"> </w:t>
      </w:r>
      <w:r>
        <w:t>Israël, Histoire d’</w:t>
      </w:r>
      <w:r>
        <w:t xml:space="preserve"> ; </w:t>
      </w:r>
      <w:r>
        <w:t>Rois, Livres de 1 et 2</w:t>
      </w:r>
      <w:r>
        <w:t xml:space="preserve"> ; </w:t>
      </w:r>
      <w:r>
        <w:t>Mésopotamie</w:t>
      </w:r>
      <w:r>
        <w:t>.</w:t>
      </w:r>
      <w:r/>
      <w:r/>
    </w:p>
    <w:p>
      <w:r/>
    </w:p>
    <w:p>
      <w:pPr>
        <w:pStyle w:val="Heading2"/>
      </w:pPr>
      <w:r>
        <w:t>Astronomie</w:t>
      </w:r>
      <w:r/>
    </w:p>
    <w:p>
      <w:r/>
      <w:r>
        <w:t>Étude des phénomènes qui dépassent l'atmosphère terrestre. Elle se concentre sur les positions, les mouvements et les caractéristiques des objets dans l'espace. Le mot « astronomie » vient des mots grecs signifiant « la loi des étoiles ».</w:t>
      </w:r>
    </w:p>
    <w:p>
      <w:r/>
      <w:r>
        <w:t>L'astronomie n'est pas une science moderne. Les gens s'intéressent à l'espace depuis de nombreux siècles. Les civilisations anciennes étudiaient le ciel à des fins de divination (astrologie) et pour aider à la navigation.</w:t>
      </w:r>
    </w:p>
    <w:p>
      <w:r/>
      <w:r>
        <w:t xml:space="preserve">La Bible aborde l'astronomie de manière diverse. Selon </w:t>
      </w:r>
      <w:hyperlink r:id="rId1435">
        <w:r>
          <w:rPr>
            <w:color w:val="0000EE"/>
            <w:u w:val="single"/>
          </w:rPr>
          <w:t>Genèse 1.14</w:t>
        </w:r>
      </w:hyperlink>
      <w:r>
        <w:t>–</w:t>
      </w:r>
      <w:hyperlink r:id="rId1435">
        <w:r>
          <w:rPr>
            <w:color w:val="0000EE"/>
            <w:u w:val="single"/>
          </w:rPr>
          <w:t>19</w:t>
        </w:r>
      </w:hyperlink>
      <w:r>
        <w:t>, Dieu a créé le soleil, la lune et les étoiles pour :</w:t>
      </w:r>
    </w:p>
    <w:p>
      <w:pPr>
        <w:pStyle w:val="ListNumber"/>
        <w:spacing w:line="240" w:lineRule="auto"/>
        <w:ind w:left="720"/>
      </w:pPr>
      <w:r/>
      <w:r>
        <w:t>éclairer la terre ;</w:t>
      </w:r>
    </w:p>
    <w:p>
      <w:pPr>
        <w:pStyle w:val="ListNumber"/>
        <w:spacing w:line="240" w:lineRule="auto"/>
        <w:ind w:left="720"/>
      </w:pPr>
      <w:r/>
      <w:r>
        <w:t>marquer les saisons et les fêtes ; et</w:t>
      </w:r>
    </w:p>
    <w:p>
      <w:pPr>
        <w:pStyle w:val="ListNumber"/>
        <w:spacing w:line="240" w:lineRule="auto"/>
        <w:ind w:left="720"/>
      </w:pPr>
      <w:r/>
      <w:r>
        <w:t>agir comme « panneaux » aidant à trouver son chemin.</w:t>
      </w:r>
    </w:p>
    <w:p>
      <w:r/>
      <w:r>
        <w:t>Le mot « saison » peut se référer aux fêtes et aux saisons de l'année. À l'instar du calendrier babylonien, le calendrier hébreu était basé sur les phases lunaires. Il utilisait la lune pour fixer les dates des fêtes religieuses. La fonction des étoiles et des planètes en tant que signes semble se rapporter à la manière dont elles dessinent les cieux. Cela permet aux gens sur Terre de trouver leur chemin, de naviguer et de s'orienter.</w:t>
      </w:r>
    </w:p>
    <w:p>
      <w:r/>
      <w:r>
        <w:t>La Bible ne mentionne pas directement les éclipses. Cependant, certains passages parlent de l'obscurcissement du soleil et de la lune. Il pourrait s'agir de références aux éclipses (</w:t>
      </w:r>
      <w:hyperlink r:id="rId1436">
        <w:r>
          <w:rPr>
            <w:color w:val="0000EE"/>
            <w:u w:val="single"/>
          </w:rPr>
          <w:t>Jl 2.31</w:t>
        </w:r>
      </w:hyperlink>
      <w:r>
        <w:t xml:space="preserve"> ; </w:t>
      </w:r>
      <w:hyperlink r:id="rId794">
        <w:r>
          <w:rPr>
            <w:color w:val="0000EE"/>
            <w:u w:val="single"/>
          </w:rPr>
          <w:t>Am 8.9</w:t>
        </w:r>
      </w:hyperlink>
      <w:r>
        <w:t xml:space="preserve"> ; </w:t>
      </w:r>
      <w:hyperlink r:id="rId1437">
        <w:r>
          <w:rPr>
            <w:color w:val="0000EE"/>
            <w:u w:val="single"/>
          </w:rPr>
          <w:t>Mt 24.29</w:t>
        </w:r>
      </w:hyperlink>
      <w:r>
        <w:t>).</w:t>
      </w:r>
    </w:p>
    <w:p>
      <w:r/>
      <w:r>
        <w:t>Certaines constellations sont mentionnées dans l'Ancien Testament. Il n'est pas toujours facile de déterminer quelles constellations sont désignées par certains mots hébreux. Le mot traduit par « Pléiades » (dans de nombreuses versions) signifie un « amas » ou un « tas ». Il s'applique probablement à l'amas d'étoiles le plus visible de la constellation du Taureau (</w:t>
      </w:r>
      <w:hyperlink r:id="rId1438">
        <w:r>
          <w:rPr>
            <w:color w:val="0000EE"/>
            <w:u w:val="single"/>
          </w:rPr>
          <w:t>Jb 9.9</w:t>
        </w:r>
      </w:hyperlink>
      <w:r>
        <w:t xml:space="preserve"> ; </w:t>
      </w:r>
      <w:hyperlink r:id="rId1439">
        <w:r>
          <w:rPr>
            <w:color w:val="0000EE"/>
            <w:u w:val="single"/>
          </w:rPr>
          <w:t>38.31</w:t>
        </w:r>
      </w:hyperlink>
      <w:r>
        <w:t xml:space="preserve"> ; </w:t>
      </w:r>
      <w:hyperlink r:id="rId871">
        <w:r>
          <w:rPr>
            <w:color w:val="0000EE"/>
            <w:u w:val="single"/>
          </w:rPr>
          <w:t>Am 5.8</w:t>
        </w:r>
      </w:hyperlink>
      <w:r>
        <w:t>). Un mot hébreu possiblement lié au mot « fou » est souvent compris comme étant la constellation d'Orion. La connexion entre cette constellation et le mot « fou » est inconnue. D'autres constellations sont mentionnées comme « les étoiles des régions australes » et « la grande Ourse » (</w:t>
      </w:r>
      <w:hyperlink r:id="rId1438">
        <w:r>
          <w:rPr>
            <w:color w:val="0000EE"/>
            <w:u w:val="single"/>
          </w:rPr>
          <w:t>Jb 9.9</w:t>
        </w:r>
      </w:hyperlink>
      <w:r>
        <w:t xml:space="preserve"> ; </w:t>
      </w:r>
      <w:hyperlink r:id="rId1440">
        <w:r>
          <w:rPr>
            <w:color w:val="0000EE"/>
            <w:u w:val="single"/>
          </w:rPr>
          <w:t>38.32</w:t>
        </w:r>
      </w:hyperlink>
      <w:r>
        <w:t>). Elle peut être vue dans le ciel septentrional.</w:t>
      </w:r>
    </w:p>
    <w:p>
      <w:r/>
      <w:r>
        <w:t>La Bible mentionne souvent les étoiles. Dieu dit à Abraham que ses descendants seraient aussi nombreux que les étoiles (</w:t>
      </w:r>
      <w:hyperlink r:id="rId1441">
        <w:r>
          <w:rPr>
            <w:color w:val="0000EE"/>
            <w:u w:val="single"/>
          </w:rPr>
          <w:t>Gn 15.5</w:t>
        </w:r>
      </w:hyperlink>
      <w:r>
        <w:t>). Paul écrit que les étoiles ont différents niveaux de luminosité (</w:t>
      </w:r>
      <w:hyperlink r:id="rId1442">
        <w:r>
          <w:rPr>
            <w:color w:val="0000EE"/>
            <w:u w:val="single"/>
          </w:rPr>
          <w:t>1Co 15.41</w:t>
        </w:r>
      </w:hyperlink>
      <w:r>
        <w:t>).</w:t>
      </w:r>
    </w:p>
    <w:p>
      <w:r/>
      <w:hyperlink r:id="rId1443">
        <w:r>
          <w:rPr>
            <w:color w:val="0000EE"/>
            <w:u w:val="single"/>
          </w:rPr>
          <w:t xml:space="preserve">Jude 1.13 </w:t>
        </w:r>
      </w:hyperlink>
      <w:r>
        <w:t>compare les faux enseignants à des «astres errants ». Certains pensent que cette métaphore est basée sur la façon dont les étoiles semblent se déplacer autour de l'étoile polaire (l'étoile fixe la plus proche en raison de sa proximité avec les pôles). L'étoile polaire fixe fournit un point de référence pour la navigation, tandis que les étoiles en mouvement seraient des guides peu fiables, comme les faux enseignants.</w:t>
      </w:r>
    </w:p>
    <w:p>
      <w:r/>
      <w:r>
        <w:t>Cependant, il est plus probable que la métaphore de Jude se réfère aux planètes. À cette époque, les gens connaissaient les mouvements réguliers des étoiles et des constellations autour de l'étoile polaire. Ainsi ils ne considéraient pas que toutes les étoiles hormis l'étoile polaire étaient « errantes ». Les planètes, en revanche, étaient perçues comme se déplaçant selon des trajectoires erratiques, contrairement à la rotation fixe des étoiles. Certains commentateurs pensent que les «astres errants » pourraient également être une référence aux comètes.</w:t>
      </w:r>
    </w:p>
    <w:p>
      <w:r/>
      <w:r>
        <w:rPr>
          <w:i/>
        </w:rPr>
        <w:t>Voir aussi</w:t>
      </w:r>
      <w:r>
        <w:t xml:space="preserve"> </w:t>
      </w:r>
      <w:r>
        <w:t>l'astrologie</w:t>
      </w:r>
      <w:r>
        <w:t>.</w:t>
      </w:r>
      <w:r/>
      <w:r/>
    </w:p>
    <w:p>
      <w:r/>
    </w:p>
    <w:p>
      <w:pPr>
        <w:pStyle w:val="Heading2"/>
      </w:pPr>
      <w:r>
        <w:t>Athad</w:t>
      </w:r>
      <w:r/>
    </w:p>
    <w:p>
      <w:r/>
      <w:r>
        <w:t>Le site où les fils de Jacob se sont arrêtés pendant ses funérailles en route vers Hébron, probablement situé en Canaan. À l'aire de battage (où le blé était séparé de la paille), la famille de Joseph et de nombreux Égyptiens de la maison du Pharaon passeront sept jours à pleurer la mort de Jacob (</w:t>
      </w:r>
      <w:hyperlink r:id="rId1444">
        <w:r>
          <w:rPr>
            <w:color w:val="0000EE"/>
            <w:u w:val="single"/>
          </w:rPr>
          <w:t>Gn 50.10</w:t>
        </w:r>
      </w:hyperlink>
      <w:r>
        <w:t>–</w:t>
      </w:r>
      <w:hyperlink r:id="rId1444">
        <w:r>
          <w:rPr>
            <w:color w:val="0000EE"/>
            <w:u w:val="single"/>
          </w:rPr>
          <w:t>11</w:t>
        </w:r>
      </w:hyperlink>
      <w:r>
        <w:t xml:space="preserve">). Les Cananéens seront marqués par leur deuil et nommeront l'endroit « </w:t>
      </w:r>
      <w:r>
        <w:t>Abel-Mitsraïm</w:t>
      </w:r>
      <w:r>
        <w:t xml:space="preserve"> ». Le nom est un jeu de mots, combinant « prairie » et « deuil », tandis que le second est le mot hébreu pour Égypte.</w:t>
      </w:r>
      <w:r/>
      <w:r/>
    </w:p>
    <w:p>
      <w:r/>
    </w:p>
    <w:p>
      <w:pPr>
        <w:pStyle w:val="Heading2"/>
      </w:pPr>
      <w:r>
        <w:t>Athènes</w:t>
      </w:r>
      <w:r/>
    </w:p>
    <w:p>
      <w:r/>
      <w:r>
        <w:t>Athènes est la capitale de la Grèce moderne. Pendant de nombreux siècles, elle a été la principale ville d'une région appelée l'Attique. Le monument le plus célèbre d'Athènes est l'Acropole. L'Acropole est un rocher plat qui s'élève à environ 60 m au-dessus de la zone environnante. Elle abrite encore plusieurs anciens bâtiments célèbres. Des murs de pierre datant de 1 100 av. J.‑C. montrent qu'une communauté développée y vivait il y a longtemps.</w:t>
      </w:r>
    </w:p>
    <w:p>
      <w:r/>
      <w:r>
        <w:t>Athènes a commencé à devenir une grande ville dans les années 500 av. J.‑C. Tout d'abord, un chef nommé Solon (mort en 559 av. J.‑C.) a créé des systèmes pour un gouvernement démocratique. Plus tard, un autre chef nommé Périclès (mort en 429 av. J.‑C.) a construit les magnifiques bâtiments sur l'Acropole. Pendant cette période, appelée l'âge d'or, Athènes est devenue un centre important pour la philosophie, l'art, le design architectural et le théâtre.</w:t>
      </w:r>
    </w:p>
    <w:p>
      <w:r/>
      <w:r>
        <w:t>Lorsque Paul apportera le message chrétien à Athènes (</w:t>
      </w:r>
      <w:hyperlink r:id="rId1445">
        <w:r>
          <w:rPr>
            <w:color w:val="0000EE"/>
            <w:u w:val="single"/>
          </w:rPr>
          <w:t>Ac 17.15–34</w:t>
        </w:r>
      </w:hyperlink>
      <w:r>
        <w:t>), la ville n'était pas aussi grande qu'elle l'avait été auparavant. Cependant, les empereurs romains soutenaient toujours Athènes. Ils y ont construit de nouvelles structures et ont rénové l'Agora (le marché). Athènes avait toujours la meilleure université du monde grec. Deux groupes de penseurs, appelés Épicuriens et Stoïciens, étaient encore actifs dans la ville.</w:t>
      </w:r>
    </w:p>
    <w:p>
      <w:r/>
      <w:r>
        <w:t xml:space="preserve">L'apôtre Paul a d'abord apporté le christianisme à Athènes lors de son deuxième voyage missionnaire vers l'an 50 ap. J.‑C. Il mentionne Athènes seulement une fois dans </w:t>
      </w:r>
      <w:hyperlink r:id="rId1446">
        <w:r>
          <w:rPr>
            <w:color w:val="0000EE"/>
            <w:u w:val="single"/>
          </w:rPr>
          <w:t>1 Thessaloniciens 3.1</w:t>
        </w:r>
      </w:hyperlink>
      <w:r>
        <w:t>, où il dit qu'il est arrivé dans la ville avec Timothée, mais qu'il a renvoyé Timothée à Thessalonique pendant qu'il restait à Athènes.</w:t>
      </w:r>
    </w:p>
    <w:p>
      <w:r/>
      <w:r>
        <w:t>Luc fournit un compte rendu détaillé du travail de Paul à Athènes (</w:t>
      </w:r>
      <w:hyperlink r:id="rId1447">
        <w:r>
          <w:rPr>
            <w:color w:val="0000EE"/>
            <w:u w:val="single"/>
          </w:rPr>
          <w:t>Ac 17.16</w:t>
        </w:r>
      </w:hyperlink>
      <w:r>
        <w:t>–</w:t>
      </w:r>
      <w:hyperlink r:id="rId1447">
        <w:r>
          <w:rPr>
            <w:color w:val="0000EE"/>
            <w:u w:val="single"/>
          </w:rPr>
          <w:t>34</w:t>
        </w:r>
      </w:hyperlink>
      <w:r>
        <w:t>). Paul était contrarié par les nombreuses statues de dieux qu'il voyait dans la ville. En tant que monothéiste juif, il considérait Athènes comme un lieu pécheur malgré ses réalisations culturelles.</w:t>
      </w:r>
    </w:p>
    <w:p>
      <w:r/>
      <w:r>
        <w:t>Comme dans d'autres villes à cette époque, Athènes avait une communauté juive. Paul a commencé à prêcher à ses compatriotes juifs, comme c'était sa coutume. Il a ensuite commencé à parler de Jésus sur le marché à quiconque voulait l'écouter, y compris certains philosophes qui se moquaient de lui en le qualifiant de « bavard » (NFC). Ils pensaient que Paul introduisait une nouvelle divinité, et ils l'ont donc conduit devant l'Aréopage, un conseil responsable des affaires religieuses et morales à Athènes. Ce conseil tire son nom d'une petite colline près de l'Acropole où il se réunissait auparavant. À l'époque de Paul, le conseil se réunissait dans un portique à une extrémité du marché.</w:t>
      </w:r>
    </w:p>
    <w:p>
      <w:r/>
      <w:r>
        <w:t>La majeure partie du récit de Luc porte sur le discours de Paul à l'Aréopage. Paul a mentionné leurs nombreux dieux, y compris un « dieu inconnu », et a déclaré qu'il leur révélait le vrai Dieu. Il les a appelé à la repentance et a averti du jugement. Certaines personnes se sont moquées de l'idée de résurrection, mais d'autres ont souhaité en entendre davantage.</w:t>
      </w:r>
    </w:p>
    <w:p>
      <w:r/>
      <w:r>
        <w:t>Luc dit que seules quelques personnes ont suivi Paul, y compris Denys, un membre de l'Aréopage, et une femme nommée Damaris. Il semble que Paul n'ait pas établi d'Église à Athènes, et la ville n'a donc pas joué un rôle majeur dans l'histoire du christianisme primitif.</w:t>
      </w:r>
      <w:r/>
      <w:r/>
    </w:p>
    <w:p>
      <w:r/>
    </w:p>
    <w:p>
      <w:pPr>
        <w:pStyle w:val="Heading2"/>
      </w:pPr>
      <w:r>
        <w:t>Attalie</w:t>
      </w:r>
      <w:r/>
    </w:p>
    <w:p>
      <w:r/>
      <w:r>
        <w:t>Port méditerranéen en Asie mineure.</w:t>
      </w:r>
    </w:p>
    <w:p>
      <w:r/>
      <w:r>
        <w:t>L'apôtre Paul et Barnabas ont navigué vers Antioche depuis Attalie à la fin du premier voyage missionnaire de Paul (</w:t>
      </w:r>
      <w:hyperlink r:id="rId1448">
        <w:r>
          <w:rPr>
            <w:color w:val="0000EE"/>
            <w:u w:val="single"/>
          </w:rPr>
          <w:t>Ac 14.25</w:t>
        </w:r>
      </w:hyperlink>
      <w:r>
        <w:t>). La ville a été fondée par Attale II Philadelphe, le roi de la province de Pergame de 159 à 138 av. J.‑C. Pergame a été prise par les Romains en 79 av. J.‑C. et est devenue une province en 43 apr. J.‑C. À l'époque de Paul, Attalie faisait partie de la province de Pamphylie.</w:t>
      </w:r>
    </w:p>
    <w:p>
      <w:r/>
      <w:r>
        <w:t>Aujourd'hui, bien que son port soit peu profond, il s'agit toujours d'un port maritime turc important (Antalya).</w:t>
      </w:r>
      <w:r/>
      <w:r/>
    </w:p>
    <w:p>
      <w:r/>
    </w:p>
    <w:p>
      <w:pPr>
        <w:pStyle w:val="Heading2"/>
      </w:pPr>
      <w:r>
        <w:t>Auberge</w:t>
      </w:r>
      <w:r/>
    </w:p>
    <w:p>
      <w:r/>
      <w:r>
        <w:t>Une auberge est un lieu où les voyageurs peuvent passer la nuit pendant un voyage. Les auberges ont évolué au fil du temps, passant de simples abris à des lieux plus semblables aux hôtels d'aujourd'hui.</w:t>
      </w:r>
    </w:p>
    <w:p>
      <w:pPr>
        <w:pStyle w:val="Heading3"/>
      </w:pPr>
      <w:r>
        <w:t>Les Auberges dans l'Ancien Testament</w:t>
      </w:r>
    </w:p>
    <w:p>
      <w:r/>
      <w:r>
        <w:t>Le mot qui pourrait être traduit par « auberge » apparaît trois fois dans l'Ancien Testament. Les frères de Joseph se reposent dans une auberge (traduit par « caravansérail » dans SER et « halte » dans TOB2010) pendant la nuit lors de leurs voyages entre l'Égypte et Canaan (</w:t>
      </w:r>
      <w:hyperlink r:id="rId1449">
        <w:r>
          <w:rPr>
            <w:color w:val="0000EE"/>
            <w:u w:val="single"/>
          </w:rPr>
          <w:t>Gn 42.27</w:t>
        </w:r>
      </w:hyperlink>
      <w:r>
        <w:t xml:space="preserve"> ; </w:t>
      </w:r>
      <w:hyperlink r:id="rId1450">
        <w:r>
          <w:rPr>
            <w:color w:val="0000EE"/>
            <w:u w:val="single"/>
          </w:rPr>
          <w:t>43.21</w:t>
        </w:r>
      </w:hyperlink>
      <w:r>
        <w:t>). La troisième occurrence est lorsque Moïse retourne en Égypte depuis Madian pour conduire les enfants d'Israël (</w:t>
      </w:r>
      <w:hyperlink r:id="rId1451">
        <w:r>
          <w:rPr>
            <w:color w:val="0000EE"/>
            <w:u w:val="single"/>
          </w:rPr>
          <w:t>Ex 4.24</w:t>
        </w:r>
      </w:hyperlink>
      <w:r>
        <w:t>).</w:t>
      </w:r>
    </w:p>
    <w:p>
      <w:r/>
      <w:r>
        <w:t xml:space="preserve">La Version Louis Segond traduit chacune de ces occurrences par « </w:t>
      </w:r>
      <w:r>
        <w:t>lieu où [passer] la nuit</w:t>
      </w:r>
      <w:r>
        <w:t xml:space="preserve"> ». À l'époque d'Abraham et de Moïse, le Proche-Orient ne disposait pas d'auberges telles que nous les connaissons aujourd'hui. Notre conception d'une auberge est un lieu public où les voyageurs peuvent payer pour séjourner.</w:t>
      </w:r>
    </w:p>
    <w:p>
      <w:r/>
      <w:r>
        <w:t xml:space="preserve">Dans les zones habitées, un voyageur pouvait généralement s'attendre à ce que les habitants lui offrent un endroit où séjourner. À travers le Proche-Orient, offrir un endroit où séjourner était considéré comme un devoir important (voir </w:t>
      </w:r>
      <w:hyperlink r:id="rId1452">
        <w:r>
          <w:rPr>
            <w:color w:val="0000EE"/>
            <w:u w:val="single"/>
          </w:rPr>
          <w:t>Gn 19.1–3</w:t>
        </w:r>
      </w:hyperlink>
      <w:r>
        <w:t xml:space="preserve"> ; </w:t>
      </w:r>
      <w:hyperlink r:id="rId1453">
        <w:r>
          <w:rPr>
            <w:color w:val="0000EE"/>
            <w:u w:val="single"/>
          </w:rPr>
          <w:t>Jg 19.15–21</w:t>
        </w:r>
      </w:hyperlink>
      <w:r>
        <w:t>). Dans les zones désertes, les voyageurs construisaient leur propre abri (</w:t>
      </w:r>
      <w:hyperlink r:id="rId1454">
        <w:r>
          <w:rPr>
            <w:color w:val="0000EE"/>
            <w:u w:val="single"/>
          </w:rPr>
          <w:t>Gn 28.11</w:t>
        </w:r>
      </w:hyperlink>
      <w:r>
        <w:t>). Ils apportaient également leur propre nourriture (</w:t>
      </w:r>
      <w:hyperlink r:id="rId1455">
        <w:r>
          <w:rPr>
            <w:color w:val="0000EE"/>
            <w:u w:val="single"/>
          </w:rPr>
          <w:t>Jos 9.11–13</w:t>
        </w:r>
      </w:hyperlink>
      <w:r>
        <w:t>).</w:t>
      </w:r>
    </w:p>
    <w:p>
      <w:r/>
      <w:r>
        <w:t>Nous ne savons pas exactement quand les véritables auberges ont commencé à apparaître en Palestine. Certains pensent qu'elles proviennent d'autres pays, car les mots hébreux pour « auberge » viennent du grec et du latin. Les anciens textes tels que le Targum et Josèphe (</w:t>
      </w:r>
      <w:r>
        <w:rPr>
          <w:i/>
        </w:rPr>
        <w:t>Antiquités</w:t>
      </w:r>
      <w:r>
        <w:t xml:space="preserve"> 5.1.12) qualifient Rahab d'aubergiste (</w:t>
      </w:r>
      <w:hyperlink r:id="rId1456">
        <w:r>
          <w:rPr>
            <w:color w:val="0000EE"/>
            <w:u w:val="single"/>
          </w:rPr>
          <w:t>Jos 2.1</w:t>
        </w:r>
      </w:hyperlink>
      <w:r>
        <w:t>). Cependant, il est possible que les auberges en tant que telles n'existaient pas à l'époque de Josué. Il existe néanmoins des parallèles au Proche-Orient de femmes tenant un établissement offrant à la fois des chambres et des activités sexuelles pour les voyageurs.</w:t>
      </w:r>
    </w:p>
    <w:p>
      <w:pPr>
        <w:pStyle w:val="Heading3"/>
      </w:pPr>
      <w:r>
        <w:t>Les Auberges dans le Nouveau Testament</w:t>
      </w:r>
    </w:p>
    <w:p>
      <w:r/>
      <w:r>
        <w:t>Nous savons que les auberges grecques existaient dès le Ve siècle av. J.‑C. Elles sont devenues courantes dans les régions influencées par la culture grecque. Ces auberges étaient généralement inconfortables et peu sûres.</w:t>
      </w:r>
    </w:p>
    <w:p>
      <w:r/>
      <w:r>
        <w:t>Ce type d'« auberge » avec un « aubergiste » est l'endroit où le Bon Samaritain a emmené l'homme qui avait été volé (</w:t>
      </w:r>
      <w:hyperlink r:id="rId1457">
        <w:r>
          <w:rPr>
            <w:color w:val="0000EE"/>
            <w:u w:val="single"/>
          </w:rPr>
          <w:t>Lc 10.34–35</w:t>
        </w:r>
      </w:hyperlink>
      <w:r>
        <w:t>). Cette auberge ressemblait probablement beaucoup à un khan (une petite auberge à l'intérieur des villes) ou à un caravansérail (une plus grande auberge à la périphérie d'une ville, surtout le long des routes commerciales). Ceux-ci auraient été courants depuis de nombreuses années le long des routes commerciales en Syrie.</w:t>
      </w:r>
    </w:p>
    <w:p>
      <w:r/>
      <w:r>
        <w:t>Ces auberges étaient des bâtiments carrés avec une zone ouverte au milieu où l'eau et un abri étaient disponibles, mais les voyageurs apportaient généralement leur propre nourriture et parfois leur propre literie. Le Bon Samaritain s'attendait clairement à ce que l'hôte prenne soin de l'homme blessé. Il est difficile de dire s'il s'agissait de quelque chose d'habituel ou une nécessité due à l'urgence de la situation.</w:t>
      </w:r>
    </w:p>
    <w:p>
      <w:r/>
      <w:r>
        <w:t>L'auberge dans la parabole Bon Samaritain racconté par Jésus a longtemps été identifiée avec le Khan Hathrur, situé à mi-chemin entre Jérusalem et Jéricho, bien que la structure actuelle soit probablement seulement l'un des nombreux khans construits en ce lieu.</w:t>
      </w:r>
    </w:p>
    <w:p>
      <w:r/>
      <w:r>
        <w:t>Deux autres parties bien connues du Nouveau Testament parlent de différents types de lieux où séjourner. Premièrement, des chrétiens de Rome ont rencontré Paul, qui était prisonnier, à Trois Tavernes, un lieu d'arrêt à 53 km de Rome où les deux routes se croisaient (</w:t>
      </w:r>
      <w:hyperlink r:id="rId1458">
        <w:r>
          <w:rPr>
            <w:color w:val="0000EE"/>
            <w:u w:val="single"/>
          </w:rPr>
          <w:t>Ac 28.15</w:t>
        </w:r>
      </w:hyperlink>
      <w:r>
        <w:t xml:space="preserve">). Deuxièmement, il y a l'« </w:t>
      </w:r>
      <w:r>
        <w:t>hôtellerie</w:t>
      </w:r>
      <w:r>
        <w:t xml:space="preserve"> » qui n'avait pas de place pour héberger Joseph et Marie (</w:t>
      </w:r>
      <w:hyperlink r:id="rId1459">
        <w:r>
          <w:rPr>
            <w:color w:val="0000EE"/>
            <w:u w:val="single"/>
          </w:rPr>
          <w:t>Lc 2.7</w:t>
        </w:r>
      </w:hyperlink>
      <w:r>
        <w:t xml:space="preserve">). Ce mot est également traduit par « salle d'hôtes » (TOB2010, voir S21) Voir aussi </w:t>
      </w:r>
      <w:hyperlink r:id="rId1460">
        <w:r>
          <w:rPr>
            <w:color w:val="0000EE"/>
            <w:u w:val="single"/>
          </w:rPr>
          <w:t>Marc 14.14</w:t>
        </w:r>
      </w:hyperlink>
      <w:r>
        <w:t xml:space="preserve"> ; </w:t>
      </w:r>
      <w:hyperlink r:id="rId1461">
        <w:r>
          <w:rPr>
            <w:color w:val="0000EE"/>
            <w:u w:val="single"/>
          </w:rPr>
          <w:t>Luc 22.11</w:t>
        </w:r>
      </w:hyperlink>
      <w:r>
        <w:t>.</w:t>
      </w:r>
    </w:p>
    <w:p>
      <w:r/>
      <w:r>
        <w:t>Les Juifs à Jérusalem étaient fiers d'avoir suffisamment de chambres d'hôtes pour tous les visiteurs venus pour la Pâque. Cela est également vrai pour la foule à la Pentecôte (</w:t>
      </w:r>
      <w:hyperlink r:id="rId1462">
        <w:r>
          <w:rPr>
            <w:color w:val="0000EE"/>
            <w:u w:val="single"/>
          </w:rPr>
          <w:t>Ac 2.6–11</w:t>
        </w:r>
      </w:hyperlink>
      <w:r>
        <w:t>). Il semble que Joseph et Marie s'attendaient à trouver un endroit comme celui-ci à Bethléhem pour le recensement, mais toutes les chambres étaient occupées.</w:t>
      </w:r>
    </w:p>
    <w:p>
      <w:r/>
      <w:r>
        <w:rPr>
          <w:i/>
        </w:rPr>
        <w:t>Voir aussi</w:t>
      </w:r>
      <w:r>
        <w:t xml:space="preserve"> </w:t>
      </w:r>
      <w:r>
        <w:t>Voyage</w:t>
      </w:r>
      <w:r>
        <w:t>.</w:t>
      </w:r>
      <w:r/>
      <w:r/>
    </w:p>
    <w:p>
      <w:r/>
    </w:p>
    <w:p>
      <w:pPr>
        <w:pStyle w:val="Heading2"/>
      </w:pPr>
      <w:r>
        <w:t>Autel</w:t>
      </w:r>
      <w:r/>
    </w:p>
    <w:p>
      <w:r/>
      <w:r>
        <w:t>Plateforme qui servait à offrir des sacrifices d'animaux ou des holocaustes à un dieu. D'autres rituels d'offrande incluent la combustion d'encens (</w:t>
      </w:r>
      <w:hyperlink r:id="rId1463">
        <w:r>
          <w:rPr>
            <w:color w:val="0000EE"/>
            <w:u w:val="single"/>
          </w:rPr>
          <w:t>Ex 30.1–10</w:t>
        </w:r>
      </w:hyperlink>
      <w:r>
        <w:t>). Le mot hébreu pour autel et le verbe « abattre » proviennent tous deux de la même racine. Le sens des deux mots se réfère au sacrifice rituel d'animaux à Dieu comme expiation pour le péché. De nombreuses communautés du Moyen-Orient Ancien pratiquaient ce type de sacrifice. Les voisins d'Israël, les Cananéens, avaient leurs propres autels et rituels. L'autel était toujours un lieu surélevé.</w:t>
      </w:r>
    </w:p>
    <w:p>
      <w:r/>
      <w:r>
        <w:t>La Bible mentionne plusieurs autels construits par des personnes dans l'Ancien Testament :</w:t>
      </w:r>
    </w:p>
    <w:p>
      <w:pPr>
        <w:pStyle w:val="ListBullet"/>
        <w:spacing w:line="240" w:lineRule="auto"/>
        <w:ind w:left="720"/>
      </w:pPr>
      <w:r/>
      <w:r>
        <w:t>Noé a offert des holocaustes (</w:t>
      </w:r>
      <w:hyperlink r:id="rId1464">
        <w:r>
          <w:rPr>
            <w:color w:val="0000EE"/>
            <w:u w:val="single"/>
          </w:rPr>
          <w:t>Gn 8.20</w:t>
        </w:r>
      </w:hyperlink>
      <w:r>
        <w:t>).</w:t>
      </w:r>
    </w:p>
    <w:p>
      <w:pPr>
        <w:pStyle w:val="ListBullet"/>
        <w:spacing w:line="240" w:lineRule="auto"/>
        <w:ind w:left="720"/>
      </w:pPr>
      <w:r/>
      <w:r>
        <w:t>Abraham a construit un autel à Sichem, un autre à Béthel, et un sur la montagne de Morija (</w:t>
      </w:r>
      <w:hyperlink r:id="rId87">
        <w:r>
          <w:rPr>
            <w:color w:val="0000EE"/>
            <w:u w:val="single"/>
          </w:rPr>
          <w:t>Gn 12.7</w:t>
        </w:r>
      </w:hyperlink>
      <w:r>
        <w:t xml:space="preserve"> ; </w:t>
      </w:r>
      <w:hyperlink r:id="rId88">
        <w:r>
          <w:rPr>
            <w:color w:val="0000EE"/>
            <w:u w:val="single"/>
          </w:rPr>
          <w:t>12.8</w:t>
        </w:r>
      </w:hyperlink>
      <w:r>
        <w:t xml:space="preserve"> ; </w:t>
      </w:r>
      <w:hyperlink r:id="rId1465">
        <w:r>
          <w:rPr>
            <w:color w:val="0000EE"/>
            <w:u w:val="single"/>
          </w:rPr>
          <w:t>22.9</w:t>
        </w:r>
      </w:hyperlink>
      <w:r>
        <w:t>).</w:t>
      </w:r>
    </w:p>
    <w:p>
      <w:pPr>
        <w:pStyle w:val="ListBullet"/>
        <w:spacing w:line="240" w:lineRule="auto"/>
        <w:ind w:left="720"/>
      </w:pPr>
      <w:r/>
      <w:r>
        <w:t>Isaac a construit un autel à Beer-Schéba (</w:t>
      </w:r>
      <w:hyperlink r:id="rId1466">
        <w:r>
          <w:rPr>
            <w:color w:val="0000EE"/>
            <w:u w:val="single"/>
          </w:rPr>
          <w:t>Gn 26.25</w:t>
        </w:r>
      </w:hyperlink>
      <w:r>
        <w:t>),</w:t>
      </w:r>
    </w:p>
    <w:p>
      <w:pPr>
        <w:pStyle w:val="ListBullet"/>
        <w:spacing w:line="240" w:lineRule="auto"/>
        <w:ind w:left="720"/>
      </w:pPr>
      <w:r/>
      <w:r>
        <w:t>Jacob a construit un autel à Sichem et Béthel (</w:t>
      </w:r>
      <w:hyperlink r:id="rId1467">
        <w:r>
          <w:rPr>
            <w:color w:val="0000EE"/>
            <w:u w:val="single"/>
          </w:rPr>
          <w:t>Gn 33.20</w:t>
        </w:r>
      </w:hyperlink>
      <w:r>
        <w:t>;</w:t>
      </w:r>
      <w:hyperlink r:id="rId1468">
        <w:r>
          <w:rPr>
            <w:color w:val="0000EE"/>
            <w:u w:val="single"/>
          </w:rPr>
          <w:t xml:space="preserve"> 35.7</w:t>
        </w:r>
      </w:hyperlink>
      <w:r>
        <w:t>).</w:t>
      </w:r>
    </w:p>
    <w:p>
      <w:pPr>
        <w:pStyle w:val="ListBullet"/>
        <w:spacing w:line="240" w:lineRule="auto"/>
        <w:ind w:left="720"/>
      </w:pPr>
      <w:r/>
      <w:r>
        <w:t>Moïse en a construit un à Rephidim et un autre à Horeb (</w:t>
      </w:r>
      <w:hyperlink r:id="rId1469">
        <w:r>
          <w:rPr>
            <w:color w:val="0000EE"/>
            <w:u w:val="single"/>
          </w:rPr>
          <w:t>Ex 17.15</w:t>
        </w:r>
      </w:hyperlink>
      <w:r>
        <w:t xml:space="preserve"> ; </w:t>
      </w:r>
      <w:hyperlink r:id="rId1470">
        <w:r>
          <w:rPr>
            <w:color w:val="0000EE"/>
            <w:u w:val="single"/>
          </w:rPr>
          <w:t>24.4</w:t>
        </w:r>
      </w:hyperlink>
      <w:r>
        <w:t>).</w:t>
      </w:r>
    </w:p>
    <w:p>
      <w:r/>
      <w:r>
        <w:t>Dans chaque cas, l'individu a érigé l'autel pour commémorer l'aide reçue de Dieu.</w:t>
      </w:r>
    </w:p>
    <w:p>
      <w:r/>
      <w:r>
        <w:t>La description du tabernacle dans Exode 25—27 comprenait deux autels. Le plus grand autel, fait de bois d'acacia recouvert de bronze, mesurait 2,5 x 2,5 x 1,5 m. Cet autel était utilisé pour les holocaustes (</w:t>
      </w:r>
      <w:hyperlink r:id="rId1471">
        <w:r>
          <w:rPr>
            <w:color w:val="0000EE"/>
            <w:u w:val="single"/>
          </w:rPr>
          <w:t>Ex 27.1–8</w:t>
        </w:r>
      </w:hyperlink>
      <w:r>
        <w:t xml:space="preserve"> ; </w:t>
      </w:r>
      <w:hyperlink r:id="rId1472">
        <w:r>
          <w:rPr>
            <w:color w:val="0000EE"/>
            <w:u w:val="single"/>
          </w:rPr>
          <w:t>38.1–7</w:t>
        </w:r>
      </w:hyperlink>
      <w:r>
        <w:t>). Le plus petit autel en or pour brûler de l'encens mesurait environ 45 cm2 et 90 cm de haut (</w:t>
      </w:r>
      <w:hyperlink r:id="rId1463">
        <w:r>
          <w:rPr>
            <w:color w:val="0000EE"/>
            <w:u w:val="single"/>
          </w:rPr>
          <w:t>Ex 30.1–10</w:t>
        </w:r>
      </w:hyperlink>
      <w:r>
        <w:t xml:space="preserve"> ; </w:t>
      </w:r>
      <w:hyperlink r:id="rId1473">
        <w:r>
          <w:rPr>
            <w:color w:val="0000EE"/>
            <w:u w:val="single"/>
          </w:rPr>
          <w:t>40.5</w:t>
        </w:r>
      </w:hyperlink>
      <w:r>
        <w:t>).</w:t>
      </w:r>
    </w:p>
    <w:p>
      <w:r/>
      <w:r>
        <w:t xml:space="preserve">Dans </w:t>
      </w:r>
      <w:hyperlink r:id="rId1474">
        <w:r>
          <w:rPr>
            <w:color w:val="0000EE"/>
            <w:u w:val="single"/>
          </w:rPr>
          <w:t>Exode 20.24–26</w:t>
        </w:r>
      </w:hyperlink>
      <w:r>
        <w:t xml:space="preserve">, Dieu a ordonné à Israël de faire un autel en terre ou en pierres non taillées. Dieu a commandé à Israël d'offrir des holocaustes et des sacrifices de paix « </w:t>
      </w:r>
      <w:r>
        <w:t>Partout où je rappellerai mon nom</w:t>
      </w:r>
      <w:r>
        <w:t xml:space="preserve"> ». Voilà pourquoi des individus construisent des autels tout au long de l'Ancien Testament :</w:t>
      </w:r>
    </w:p>
    <w:p>
      <w:pPr>
        <w:pStyle w:val="ListBullet"/>
        <w:spacing w:line="240" w:lineRule="auto"/>
        <w:ind w:left="720"/>
      </w:pPr>
      <w:r/>
      <w:r>
        <w:t>Josué a construit un autel sur le mont Ébal (</w:t>
      </w:r>
      <w:hyperlink r:id="rId1475">
        <w:r>
          <w:rPr>
            <w:color w:val="0000EE"/>
            <w:u w:val="single"/>
          </w:rPr>
          <w:t>Jos 8.30–31</w:t>
        </w:r>
      </w:hyperlink>
      <w:r>
        <w:t>).</w:t>
      </w:r>
    </w:p>
    <w:p>
      <w:pPr>
        <w:pStyle w:val="ListBullet"/>
        <w:spacing w:line="240" w:lineRule="auto"/>
        <w:ind w:left="720"/>
      </w:pPr>
      <w:r/>
      <w:r>
        <w:t>Les Rubénites, les Gadites et la demi-tribu de Manassé ont construit un autel en Transjordanie (</w:t>
      </w:r>
      <w:hyperlink r:id="rId1476">
        <w:r>
          <w:rPr>
            <w:color w:val="0000EE"/>
            <w:u w:val="single"/>
          </w:rPr>
          <w:t>Jos 22.10–16</w:t>
        </w:r>
      </w:hyperlink>
      <w:r>
        <w:t>).</w:t>
      </w:r>
    </w:p>
    <w:p>
      <w:pPr>
        <w:pStyle w:val="ListBullet"/>
        <w:spacing w:line="240" w:lineRule="auto"/>
        <w:ind w:left="720"/>
      </w:pPr>
      <w:r/>
      <w:r>
        <w:t>Gédéon a construit un autel à Ophra (</w:t>
      </w:r>
      <w:hyperlink r:id="rId1477">
        <w:r>
          <w:rPr>
            <w:color w:val="0000EE"/>
            <w:u w:val="single"/>
          </w:rPr>
          <w:t>Jg 6.24</w:t>
        </w:r>
      </w:hyperlink>
      <w:r>
        <w:t>).</w:t>
      </w:r>
    </w:p>
    <w:p>
      <w:pPr>
        <w:pStyle w:val="ListBullet"/>
        <w:spacing w:line="240" w:lineRule="auto"/>
        <w:ind w:left="720"/>
      </w:pPr>
      <w:r/>
      <w:r>
        <w:t>La famille de David a construit un autel à Bethléhem (</w:t>
      </w:r>
      <w:hyperlink r:id="rId1478">
        <w:r>
          <w:rPr>
            <w:color w:val="0000EE"/>
            <w:u w:val="single"/>
          </w:rPr>
          <w:t>1S 20.6, 29</w:t>
        </w:r>
      </w:hyperlink>
      <w:r>
        <w:t>).</w:t>
      </w:r>
    </w:p>
    <w:p>
      <w:pPr>
        <w:pStyle w:val="ListBullet"/>
        <w:spacing w:line="240" w:lineRule="auto"/>
        <w:ind w:left="720"/>
      </w:pPr>
      <w:r/>
      <w:r>
        <w:t>David a construit un autel à l'aire de battage d'Aravna (</w:t>
      </w:r>
      <w:hyperlink r:id="rId1479">
        <w:r>
          <w:rPr>
            <w:color w:val="0000EE"/>
            <w:u w:val="single"/>
          </w:rPr>
          <w:t>2S 24.25</w:t>
        </w:r>
      </w:hyperlink>
      <w:r>
        <w:t>). Une aire de battage est une zone plane où le grain est séparé des tiges.</w:t>
      </w:r>
    </w:p>
    <w:p>
      <w:pPr>
        <w:pStyle w:val="ListBullet"/>
        <w:spacing w:line="240" w:lineRule="auto"/>
        <w:ind w:left="720"/>
      </w:pPr>
      <w:r/>
      <w:r>
        <w:t>Élie a construit un autel sur le mont Carmel (</w:t>
      </w:r>
      <w:hyperlink r:id="rId1480">
        <w:r>
          <w:rPr>
            <w:color w:val="0000EE"/>
            <w:u w:val="single"/>
          </w:rPr>
          <w:t>1R 18.30</w:t>
        </w:r>
      </w:hyperlink>
      <w:r>
        <w:t>).</w:t>
      </w:r>
    </w:p>
    <w:p>
      <w:r/>
      <w:r>
        <w:t>Les gens ont construit tous ces autels, sauf celui d'Élie sur le mont Carmel, avant que le temple de Salomon n'existe.</w:t>
      </w:r>
    </w:p>
    <w:p>
      <w:r/>
      <w:r>
        <w:t>À l'instar du tabernacle, le temple de Salomon comprenait deux autels. L'un mesurait environ 7,5 m2 et 3,8 m de haut. Fait de bronze et utilisé pour les holocaustes, cet autel était le centre du culte du temple. Le roi Achaz retirera l'autel de bronze de son socle sur l'ordre du souverain assyrien Tiglath-Piléser (</w:t>
      </w:r>
      <w:hyperlink r:id="rId1481">
        <w:r>
          <w:rPr>
            <w:color w:val="0000EE"/>
            <w:u w:val="single"/>
          </w:rPr>
          <w:t>2R 16.14</w:t>
        </w:r>
      </w:hyperlink>
      <w:r>
        <w:t>). Cet autel sera plus tard restauré par Ézéchias (</w:t>
      </w:r>
      <w:hyperlink r:id="rId1482">
        <w:r>
          <w:rPr>
            <w:color w:val="0000EE"/>
            <w:u w:val="single"/>
          </w:rPr>
          <w:t>2Ch 29.18</w:t>
        </w:r>
      </w:hyperlink>
      <w:r>
        <w:t>). Le deuxième autel pour l'encens, fait de cèdre et recouvert d'or, se tenait devant le voile (</w:t>
      </w:r>
      <w:hyperlink r:id="rId1483">
        <w:r>
          <w:rPr>
            <w:color w:val="0000EE"/>
            <w:u w:val="single"/>
          </w:rPr>
          <w:t>1R 6.20–22</w:t>
        </w:r>
      </w:hyperlink>
      <w:r>
        <w:t>).</w:t>
      </w:r>
    </w:p>
    <w:p>
      <w:r/>
      <w:r>
        <w:t>La destruction du temple de Salomon et l'exil du peuple juif pousseront le prophète Ézéchiel à rêver de la restauration du temple. Dans sa vision, l'autel sacrificiel s'élevait en trois niveaux jusqu'à 5,5 m de haut. Le grand autel reposait sur une base d'environ 10 m2. Cet autel surdimensionné soulignait le besoin d'expiation en Israël (</w:t>
      </w:r>
      <w:hyperlink r:id="rId1484">
        <w:r>
          <w:rPr>
            <w:color w:val="0000EE"/>
            <w:u w:val="single"/>
          </w:rPr>
          <w:t>Ez 43.13–17</w:t>
        </w:r>
      </w:hyperlink>
      <w:r>
        <w:t>). Aucune référence à un autel d'encens n'apparaissait dans la vision.</w:t>
      </w:r>
    </w:p>
    <w:p>
      <w:r/>
      <w:r>
        <w:t>Zorobabel construira un autel des holocaustes (</w:t>
      </w:r>
      <w:hyperlink r:id="rId1485">
        <w:r>
          <w:rPr>
            <w:color w:val="0000EE"/>
            <w:u w:val="single"/>
          </w:rPr>
          <w:t>Esd 3.2</w:t>
        </w:r>
      </w:hyperlink>
      <w:r>
        <w:t>). Antiochus Épiphane profanera cet autel (le rendra impur), probablement avec une image de Zeus (</w:t>
      </w:r>
      <w:hyperlink r:id="rId1486">
        <w:r>
          <w:rPr>
            <w:color w:val="0000EE"/>
            <w:u w:val="single"/>
          </w:rPr>
          <w:t>1 M 1.54</w:t>
        </w:r>
      </w:hyperlink>
      <w:r>
        <w:t>). Il y avait aussi un autel d'encens. Antiochus Épiphane enlevera l'autel d'or (</w:t>
      </w:r>
      <w:hyperlink r:id="rId1487">
        <w:r>
          <w:rPr>
            <w:color w:val="0000EE"/>
            <w:u w:val="single"/>
          </w:rPr>
          <w:t>1 M 1.21</w:t>
        </w:r>
      </w:hyperlink>
      <w:r>
        <w:t>) en 169 av. J.‑C. Les deux seront plus tard restaurés par Judas Maccabée (</w:t>
      </w:r>
      <w:hyperlink r:id="rId1488">
        <w:r>
          <w:rPr>
            <w:color w:val="0000EE"/>
            <w:u w:val="single"/>
          </w:rPr>
          <w:t>1 M 4.44–49</w:t>
        </w:r>
      </w:hyperlink>
      <w:r>
        <w:t>).</w:t>
      </w:r>
    </w:p>
    <w:p>
      <w:r/>
      <w:r>
        <w:t>Le culte chrétien ne nécessite pas d'autel sacrificiel. La mort de Jésus-Christ sert de sacrifice pour le péché une fois pour toutes. La Bible fait souvent référence à l'autel des holocaustes et à l'autel de l'encens (</w:t>
      </w:r>
      <w:hyperlink r:id="rId1489">
        <w:r>
          <w:rPr>
            <w:color w:val="0000EE"/>
            <w:u w:val="single"/>
          </w:rPr>
          <w:t>Mt 5.23–24</w:t>
        </w:r>
      </w:hyperlink>
      <w:r>
        <w:t xml:space="preserve"> ; </w:t>
      </w:r>
      <w:hyperlink r:id="rId1490">
        <w:r>
          <w:rPr>
            <w:color w:val="0000EE"/>
            <w:u w:val="single"/>
          </w:rPr>
          <w:t>23.18–20, 35</w:t>
        </w:r>
      </w:hyperlink>
      <w:r>
        <w:t xml:space="preserve"> ; </w:t>
      </w:r>
      <w:hyperlink r:id="rId22">
        <w:r>
          <w:rPr>
            <w:color w:val="0000EE"/>
            <w:u w:val="single"/>
          </w:rPr>
          <w:t>Lc 11.51</w:t>
        </w:r>
      </w:hyperlink>
      <w:r>
        <w:t xml:space="preserve"> ; </w:t>
      </w:r>
      <w:hyperlink r:id="rId1491">
        <w:r>
          <w:rPr>
            <w:color w:val="0000EE"/>
            <w:u w:val="single"/>
          </w:rPr>
          <w:t>1Co 9.13</w:t>
        </w:r>
      </w:hyperlink>
      <w:r>
        <w:t xml:space="preserve"> ; </w:t>
      </w:r>
      <w:hyperlink r:id="rId1492">
        <w:r>
          <w:rPr>
            <w:color w:val="0000EE"/>
            <w:u w:val="single"/>
          </w:rPr>
          <w:t>10.18</w:t>
        </w:r>
      </w:hyperlink>
      <w:r>
        <w:t xml:space="preserve"> ; </w:t>
      </w:r>
      <w:hyperlink r:id="rId1493">
        <w:r>
          <w:rPr>
            <w:color w:val="0000EE"/>
            <w:u w:val="single"/>
          </w:rPr>
          <w:t>Hé 7.13</w:t>
        </w:r>
      </w:hyperlink>
      <w:r>
        <w:t xml:space="preserve"> ; </w:t>
      </w:r>
      <w:hyperlink r:id="rId1494">
        <w:r>
          <w:rPr>
            <w:color w:val="0000EE"/>
            <w:u w:val="single"/>
          </w:rPr>
          <w:t>Ap 11.1</w:t>
        </w:r>
      </w:hyperlink>
      <w:r>
        <w:t>). Certaines références s'appliquent au temple terrestre (</w:t>
      </w:r>
      <w:hyperlink r:id="rId1495">
        <w:r>
          <w:rPr>
            <w:color w:val="0000EE"/>
            <w:u w:val="single"/>
          </w:rPr>
          <w:t>Lc 1.11</w:t>
        </w:r>
      </w:hyperlink>
      <w:r>
        <w:t>). D'autres références s'appliquent au temple céleste (</w:t>
      </w:r>
      <w:hyperlink r:id="rId698">
        <w:r>
          <w:rPr>
            <w:color w:val="0000EE"/>
            <w:u w:val="single"/>
          </w:rPr>
          <w:t>Ap 6.9</w:t>
        </w:r>
      </w:hyperlink>
      <w:r>
        <w:t xml:space="preserve"> ; </w:t>
      </w:r>
      <w:hyperlink r:id="rId1496">
        <w:r>
          <w:rPr>
            <w:color w:val="0000EE"/>
            <w:u w:val="single"/>
          </w:rPr>
          <w:t>8.5</w:t>
        </w:r>
      </w:hyperlink>
      <w:r>
        <w:t xml:space="preserve"> ; </w:t>
      </w:r>
      <w:hyperlink r:id="rId1497">
        <w:r>
          <w:rPr>
            <w:color w:val="0000EE"/>
            <w:u w:val="single"/>
          </w:rPr>
          <w:t>9.13</w:t>
        </w:r>
      </w:hyperlink>
      <w:r>
        <w:t>).</w:t>
      </w:r>
    </w:p>
    <w:p>
      <w:r/>
      <w:r>
        <w:rPr>
          <w:i/>
        </w:rPr>
        <w:t>Voir aussi</w:t>
      </w:r>
      <w:r>
        <w:t xml:space="preserve"> </w:t>
      </w:r>
      <w:r>
        <w:t>Tabernacle</w:t>
      </w:r>
      <w:r>
        <w:t xml:space="preserve"> ; </w:t>
      </w:r>
      <w:r>
        <w:t>Temple</w:t>
      </w:r>
      <w:r>
        <w:t>.</w:t>
      </w:r>
      <w:r/>
      <w:r/>
    </w:p>
    <w:p>
      <w:r/>
    </w:p>
    <w:p>
      <w:pPr>
        <w:pStyle w:val="Heading2"/>
      </w:pPr>
      <w:r>
        <w:t>aveuglement, cécité</w:t>
      </w:r>
      <w:r/>
    </w:p>
    <w:p>
      <w:r/>
      <w:r>
        <w:t>La cécité ou l'aveuglement est un état de santé ou un handicap qui rend incapable de voir. Cette incapacité à voir peut être totale ou partielle, et permanente ou temporaire. Il y avait de nombreux aveugles dans le Proche-Orient de l'Antiquité. Ce handicap reste fréquent dans de nombreuses communautés tribales pauvres qui n'ont pas accès à la médecine moderne. La Bible parle aussi souvent de l'aveuglement spirituel : l'incapacité de certaines personnes à reconnaître ce que Dieu leur montre.</w:t>
      </w:r>
    </w:p>
    <w:p>
      <w:pPr>
        <w:pStyle w:val="Heading3"/>
      </w:pPr>
      <w:r>
        <w:t>Exemples d'aveugles dans la Bible</w:t>
      </w:r>
    </w:p>
    <w:p>
      <w:r/>
      <w:r>
        <w:t>La Bible n'explique pas les raisons qui causent l'aveuglement d'un point de vue médical. Il est probable que les conditions de vie de l'époque contribuaient à des maladies ou des infections qui pouvaient rendre aveugle. Les nouveau-nés étaient les plus à risque. La plupart des cas de cécité de naissance (</w:t>
      </w:r>
      <w:hyperlink r:id="rId1498">
        <w:r>
          <w:rPr>
            <w:color w:val="0000EE"/>
            <w:u w:val="single"/>
          </w:rPr>
          <w:t>Jn 9.1</w:t>
        </w:r>
      </w:hyperlink>
      <w:r>
        <w:t>–</w:t>
      </w:r>
      <w:hyperlink r:id="rId1498">
        <w:r>
          <w:rPr>
            <w:color w:val="0000EE"/>
            <w:u w:val="single"/>
          </w:rPr>
          <w:t>3</w:t>
        </w:r>
      </w:hyperlink>
      <w:r>
        <w:t>) étaient probablement causés par des germes transmis par la mère aux yeux du bébé. Dans le cas de la gonorrhée, par exemple, une inflammation, du pus et un gonflement se développent en trois jours. Des soins de base ne suffisent pas à empêcher des dommages aux yeux.</w:t>
      </w:r>
    </w:p>
    <w:p>
      <w:r/>
      <w:r>
        <w:t>La médecine moderne peut traiter les bébés avec des gouttes pour les yeux, mais ces traitements ne sont pas toujours accessibles aux personnes pauvres. Dans certaines régions du Moyen-Orient aujourd'hui encore, des populations refusent ces traitements. Les bébés et les jeunes enfants sont aussi menacés par d'autres maladies des yeux qui sont propagées par des animaux ou des insectes nuisibles. Ces maladies provoquent des croûtes épaisses sur les yeux, des paupières tombantes, la perte des cils et, finalement, la cécité totale. Dans certaines parties du monde, les superstitions populaires rendent encore acceptable de laisser les mouches voler autour des bébés.</w:t>
      </w:r>
    </w:p>
    <w:p>
      <w:r/>
      <w:r>
        <w:t xml:space="preserve">Chez les adultes, la cécité peut être causée par le paludisme, une exposition prolongée aux tempêtes de sable ou aux reflets du soleil sur le sable du désert. </w:t>
      </w:r>
    </w:p>
    <w:p>
      <w:r/>
      <w:r>
        <w:t>Dans la Bible, il y a plusieurs mentions de personnes qui perdent la vue en vieillissant (</w:t>
      </w:r>
      <w:hyperlink r:id="rId1499">
        <w:r>
          <w:rPr>
            <w:color w:val="0000EE"/>
            <w:u w:val="single"/>
          </w:rPr>
          <w:t>Gn 27.1</w:t>
        </w:r>
      </w:hyperlink>
      <w:r>
        <w:t xml:space="preserve"> ; </w:t>
      </w:r>
      <w:hyperlink r:id="rId1500">
        <w:r>
          <w:rPr>
            <w:color w:val="0000EE"/>
            <w:u w:val="single"/>
          </w:rPr>
          <w:t>1S 4.15</w:t>
        </w:r>
      </w:hyperlink>
      <w:r>
        <w:t xml:space="preserve"> ; </w:t>
      </w:r>
      <w:hyperlink r:id="rId1501">
        <w:r>
          <w:rPr>
            <w:color w:val="0000EE"/>
            <w:u w:val="single"/>
          </w:rPr>
          <w:t>1R 14.4</w:t>
        </w:r>
      </w:hyperlink>
      <w:r>
        <w:t>). Certains peuples crevaient les yeux de prisonniers (</w:t>
      </w:r>
      <w:hyperlink r:id="rId1502">
        <w:r>
          <w:rPr>
            <w:color w:val="0000EE"/>
            <w:u w:val="single"/>
          </w:rPr>
          <w:t>Jg 16.21</w:t>
        </w:r>
      </w:hyperlink>
      <w:r>
        <w:t>).</w:t>
      </w:r>
    </w:p>
    <w:p>
      <w:pPr>
        <w:pStyle w:val="Heading3"/>
      </w:pPr>
      <w:r>
        <w:t>Les aveugles et la loi de Moïse</w:t>
      </w:r>
    </w:p>
    <w:p>
      <w:r/>
      <w:r>
        <w:t>La loi mentionne les aveugles plusieurs fois. Elle interdit de profiter du handicap des aveugles pour les maltraiter. Les Israélites devaient les traiter avec respect dans la crainte de Dieu (</w:t>
      </w:r>
      <w:hyperlink r:id="rId1503">
        <w:r>
          <w:rPr>
            <w:color w:val="0000EE"/>
            <w:u w:val="single"/>
          </w:rPr>
          <w:t>Lv 19.14</w:t>
        </w:r>
      </w:hyperlink>
      <w:r>
        <w:t>). Sinon, une malédiction tomberait sur ceux qui abuseraient d'un aveugle (</w:t>
      </w:r>
      <w:hyperlink r:id="rId1504">
        <w:r>
          <w:rPr>
            <w:color w:val="0000EE"/>
            <w:u w:val="single"/>
          </w:rPr>
          <w:t>Dt 27.18</w:t>
        </w:r>
      </w:hyperlink>
      <w:r>
        <w:t>). Les sacrificateurs ne pouvaient avoir de handicaps physiques : un aveugle ne pouvait donc pas être sacrificateur (</w:t>
      </w:r>
      <w:hyperlink r:id="rId1505">
        <w:r>
          <w:rPr>
            <w:color w:val="0000EE"/>
            <w:u w:val="single"/>
          </w:rPr>
          <w:t>Lv 21.18</w:t>
        </w:r>
      </w:hyperlink>
      <w:r>
        <w:t>).</w:t>
      </w:r>
    </w:p>
    <w:p>
      <w:pPr>
        <w:pStyle w:val="Heading3"/>
      </w:pPr>
      <w:r>
        <w:t>Les aveugles et le Nouveau Testament</w:t>
      </w:r>
    </w:p>
    <w:p>
      <w:r/>
      <w:r>
        <w:t>La guérison d'aveugles fait partie du ministère de guérison de Jésus, prophétisé dès l'Ancien Testament (</w:t>
      </w:r>
      <w:hyperlink r:id="rId1506">
        <w:r>
          <w:rPr>
            <w:color w:val="0000EE"/>
            <w:u w:val="single"/>
          </w:rPr>
          <w:t>Lc 4.18</w:t>
        </w:r>
      </w:hyperlink>
      <w:r>
        <w:t>). Le fait de guérir des aveugles fait partie des preuves que Jésus donne aux messagers de Jean-Baptiste afin de le rassurer qu'il est vraiment le Messie attendu (</w:t>
      </w:r>
      <w:hyperlink r:id="rId1507">
        <w:r>
          <w:rPr>
            <w:color w:val="0000EE"/>
            <w:u w:val="single"/>
          </w:rPr>
          <w:t>Mt 11.5</w:t>
        </w:r>
      </w:hyperlink>
      <w:r>
        <w:t xml:space="preserve">). </w:t>
      </w:r>
    </w:p>
    <w:p>
      <w:r/>
      <w:r>
        <w:t>Les Évangiles racontent la guérison de plusieurs aveugles. Jésus guérit deux aveugles en Galilée (</w:t>
      </w:r>
      <w:hyperlink r:id="rId1508">
        <w:r>
          <w:rPr>
            <w:color w:val="0000EE"/>
            <w:u w:val="single"/>
          </w:rPr>
          <w:t>Mt 9.27</w:t>
        </w:r>
      </w:hyperlink>
      <w:r>
        <w:t>–</w:t>
      </w:r>
      <w:hyperlink r:id="rId1508">
        <w:r>
          <w:rPr>
            <w:color w:val="0000EE"/>
            <w:u w:val="single"/>
          </w:rPr>
          <w:t>30</w:t>
        </w:r>
      </w:hyperlink>
      <w:r>
        <w:t>), un aveugle à Bethsaïda (</w:t>
      </w:r>
      <w:hyperlink r:id="rId1509">
        <w:r>
          <w:rPr>
            <w:color w:val="0000EE"/>
            <w:u w:val="single"/>
          </w:rPr>
          <w:t>Mc 8.22</w:t>
        </w:r>
      </w:hyperlink>
      <w:r>
        <w:t>–</w:t>
      </w:r>
      <w:hyperlink r:id="rId1509">
        <w:r>
          <w:rPr>
            <w:color w:val="0000EE"/>
            <w:u w:val="single"/>
          </w:rPr>
          <w:t>26</w:t>
        </w:r>
      </w:hyperlink>
      <w:r>
        <w:t>), un homme aveugle de naissance à Jérusalem (</w:t>
      </w:r>
      <w:hyperlink r:id="rId1510">
        <w:r>
          <w:rPr>
            <w:color w:val="0000EE"/>
            <w:u w:val="single"/>
          </w:rPr>
          <w:t>Jn 9</w:t>
        </w:r>
      </w:hyperlink>
      <w:r>
        <w:t>) et un mendiant aveugle nommé Bartimée, ainsi que son ami à Jéricho (</w:t>
      </w:r>
      <w:hyperlink r:id="rId1511">
        <w:r>
          <w:rPr>
            <w:color w:val="0000EE"/>
            <w:u w:val="single"/>
          </w:rPr>
          <w:t>Mc 10.46</w:t>
        </w:r>
      </w:hyperlink>
      <w:r>
        <w:t>–</w:t>
      </w:r>
      <w:hyperlink r:id="rId1511">
        <w:r>
          <w:rPr>
            <w:color w:val="0000EE"/>
            <w:u w:val="single"/>
          </w:rPr>
          <w:t xml:space="preserve">52 </w:t>
        </w:r>
      </w:hyperlink>
      <w:r>
        <w:t xml:space="preserve">; voir aussi </w:t>
      </w:r>
      <w:hyperlink r:id="rId1512">
        <w:r>
          <w:rPr>
            <w:color w:val="0000EE"/>
            <w:u w:val="single"/>
          </w:rPr>
          <w:t>Mt 20.30</w:t>
        </w:r>
      </w:hyperlink>
      <w:r>
        <w:t>–</w:t>
      </w:r>
      <w:hyperlink r:id="rId1512">
        <w:r>
          <w:rPr>
            <w:color w:val="0000EE"/>
            <w:u w:val="single"/>
          </w:rPr>
          <w:t>34</w:t>
        </w:r>
      </w:hyperlink>
      <w:r>
        <w:t xml:space="preserve">; </w:t>
      </w:r>
      <w:hyperlink r:id="rId1513">
        <w:r>
          <w:rPr>
            <w:color w:val="0000EE"/>
            <w:u w:val="single"/>
          </w:rPr>
          <w:t>Lc 18.35</w:t>
        </w:r>
      </w:hyperlink>
      <w:r>
        <w:t>–</w:t>
      </w:r>
      <w:hyperlink r:id="rId1513">
        <w:r>
          <w:rPr>
            <w:color w:val="0000EE"/>
            <w:u w:val="single"/>
          </w:rPr>
          <w:t>43</w:t>
        </w:r>
      </w:hyperlink>
      <w:r>
        <w:t>).</w:t>
      </w:r>
    </w:p>
    <w:p>
      <w:r/>
      <w:r>
        <w:t>Jésus guérit directement par sa parole (</w:t>
      </w:r>
      <w:hyperlink r:id="rId1514">
        <w:r>
          <w:rPr>
            <w:color w:val="0000EE"/>
            <w:u w:val="single"/>
          </w:rPr>
          <w:t>Mc 10.52</w:t>
        </w:r>
      </w:hyperlink>
      <w:r>
        <w:t xml:space="preserve">). Toutefois, dans plusieurs récits, il utilise une méthode différente pour guérir. Dans </w:t>
      </w:r>
      <w:hyperlink r:id="rId1515">
        <w:r>
          <w:rPr>
            <w:color w:val="0000EE"/>
            <w:u w:val="single"/>
          </w:rPr>
          <w:t>Jean 9.6</w:t>
        </w:r>
      </w:hyperlink>
      <w:r>
        <w:t>–</w:t>
      </w:r>
      <w:hyperlink r:id="rId1515">
        <w:r>
          <w:rPr>
            <w:color w:val="0000EE"/>
            <w:u w:val="single"/>
          </w:rPr>
          <w:t xml:space="preserve">11, </w:t>
        </w:r>
      </w:hyperlink>
      <w:r>
        <w:t xml:space="preserve">il fait de la boue avec de la terre et de la salive, la met sur les yeux de l'aveugle et l'envoie à un endroit précis où il doit laver ses yeux pour être guéri. Dans </w:t>
      </w:r>
      <w:hyperlink r:id="rId1516">
        <w:r>
          <w:rPr>
            <w:color w:val="0000EE"/>
            <w:u w:val="single"/>
          </w:rPr>
          <w:t>Marc 8.23</w:t>
        </w:r>
      </w:hyperlink>
      <w:r>
        <w:t>, il utilise de la salive. Beaucoup pensent que la façon de faire de Jésus dans ces cas-là est symbolique. Il utilise la guérison de personnes aveugles physiquement pour montrer que les gens ont aussi besoin d'être guéris de leur aveuglement spirituel.</w:t>
      </w:r>
    </w:p>
    <w:p>
      <w:r/>
      <w:r>
        <w:t>Lors de sa conversion, l'apôtre Paul est aveuglé. Le Seigneur envoie un des disciples pour le guérir et le baptiser (</w:t>
      </w:r>
      <w:hyperlink r:id="rId1517">
        <w:r>
          <w:rPr>
            <w:color w:val="0000EE"/>
            <w:u w:val="single"/>
          </w:rPr>
          <w:t>Ac 9.1</w:t>
        </w:r>
      </w:hyperlink>
      <w:r>
        <w:t>–</w:t>
      </w:r>
      <w:hyperlink r:id="rId1517">
        <w:r>
          <w:rPr>
            <w:color w:val="0000EE"/>
            <w:u w:val="single"/>
          </w:rPr>
          <w:t>9, 18</w:t>
        </w:r>
      </w:hyperlink>
      <w:r>
        <w:t>). Il est probable que cet aveuglement avait pour but de lui montrer qu'il avait été aveugle spirituellement concernant Jésus et ses disciples. Jésus lui apparaît, et les disciples le guérissent et l'enseignent. Plus tard, Paul, qui est devenu missionnaire, rend temporairement aveugle un sorcier, Élymas, qui s'oppose à son ministère à Chypre (</w:t>
      </w:r>
      <w:hyperlink r:id="rId1518">
        <w:r>
          <w:rPr>
            <w:color w:val="0000EE"/>
            <w:u w:val="single"/>
          </w:rPr>
          <w:t>Ac 13.11</w:t>
        </w:r>
      </w:hyperlink>
      <w:r>
        <w:t>).</w:t>
      </w:r>
    </w:p>
    <w:p>
      <w:r/>
      <w:r>
        <w:rPr>
          <w:i/>
        </w:rPr>
        <w:t>Voir aussi</w:t>
      </w:r>
      <w:r>
        <w:t xml:space="preserve"> </w:t>
      </w:r>
      <w:r>
        <w:t>médecine et pratique médicale</w:t>
      </w:r>
      <w:r>
        <w:t xml:space="preserve"> ; </w:t>
      </w:r>
      <w:r>
        <w:t>maladie</w:t>
      </w:r>
      <w:r>
        <w:t>.</w:t>
      </w:r>
      <w:r/>
      <w:r/>
    </w:p>
    <w:p>
      <w:r/>
    </w:p>
    <w:p>
      <w:pPr>
        <w:pStyle w:val="Heading2"/>
      </w:pPr>
      <w:r>
        <w:t>Avith</w:t>
      </w:r>
      <w:r/>
    </w:p>
    <w:p>
      <w:r/>
      <w:r>
        <w:t>La capitale d'Hadad, le quatrième roi d'Édom (</w:t>
      </w:r>
      <w:hyperlink r:id="rId1519">
        <w:r>
          <w:rPr>
            <w:color w:val="0000EE"/>
            <w:u w:val="single"/>
          </w:rPr>
          <w:t>Gn 36.35</w:t>
        </w:r>
      </w:hyperlink>
      <w:r>
        <w:t xml:space="preserve"> ; </w:t>
      </w:r>
      <w:hyperlink r:id="rId1520">
        <w:r>
          <w:rPr>
            <w:color w:val="0000EE"/>
            <w:u w:val="single"/>
          </w:rPr>
          <w:t>1Ch 1.46</w:t>
        </w:r>
      </w:hyperlink>
      <w:r>
        <w:t>).</w:t>
      </w:r>
      <w:r/>
      <w:r/>
    </w:p>
    <w:p>
      <w:r/>
    </w:p>
    <w:p>
      <w:pPr>
        <w:pStyle w:val="Heading2"/>
      </w:pPr>
      <w:r>
        <w:t>Azot</w:t>
      </w:r>
      <w:r/>
    </w:p>
    <w:p>
      <w:r/>
      <w:r>
        <w:t>La forme du nom Asdod dans le Nouveau Testament (</w:t>
      </w:r>
      <w:hyperlink r:id="rId1384">
        <w:r>
          <w:rPr>
            <w:color w:val="0000EE"/>
            <w:u w:val="single"/>
          </w:rPr>
          <w:t>Ac 8.40</w:t>
        </w:r>
      </w:hyperlink>
      <w:r>
        <w:t>).</w:t>
      </w:r>
    </w:p>
    <w:p>
      <w:r/>
      <w:r>
        <w:rPr>
          <w:i/>
        </w:rPr>
        <w:t>Voir</w:t>
      </w:r>
      <w:r>
        <w:t xml:space="preserve"> </w:t>
      </w:r>
      <w:r>
        <w:t>Asdod, Asdodien</w:t>
      </w:r>
      <w:r>
        <w:t>.</w:t>
      </w:r>
      <w:r/>
      <w:r/>
    </w:p>
    <w:p>
      <w:r/>
    </w:p>
    <w:p>
      <w:pPr>
        <w:pStyle w:val="Heading2"/>
      </w:pPr>
      <w:r>
        <w:t>Baal-Hanan</w:t>
      </w:r>
      <w:r/>
    </w:p>
    <w:p>
      <w:pPr>
        <w:pStyle w:val="ListNumber"/>
        <w:spacing w:line="240" w:lineRule="auto"/>
        <w:ind w:left="720"/>
      </w:pPr>
      <w:r/>
      <w:r>
        <w:t>Le fils d'Acbor, un roi d'Édom (</w:t>
      </w:r>
      <w:hyperlink r:id="rId110">
        <w:r>
          <w:rPr>
            <w:color w:val="0000EE"/>
            <w:u w:val="single"/>
          </w:rPr>
          <w:t>Gn 36.38–39</w:t>
        </w:r>
      </w:hyperlink>
      <w:r>
        <w:t xml:space="preserve"> ; </w:t>
      </w:r>
      <w:hyperlink r:id="rId1521">
        <w:r>
          <w:rPr>
            <w:color w:val="0000EE"/>
            <w:u w:val="single"/>
          </w:rPr>
          <w:t>1Ch 1.49–50</w:t>
        </w:r>
      </w:hyperlink>
      <w:r>
        <w:t>).</w:t>
      </w:r>
    </w:p>
    <w:p>
      <w:pPr>
        <w:pStyle w:val="ListNumber"/>
        <w:spacing w:line="240" w:lineRule="auto"/>
        <w:ind w:left="720"/>
      </w:pPr>
      <w:r/>
      <w:r>
        <w:t>Fonctionnaire nommé par le roi David pour être responsable de l'approvisionnement royal en olives et en figues sycomores dans les basses terres près du pays des Philistins (</w:t>
      </w:r>
      <w:hyperlink r:id="rId1522">
        <w:r>
          <w:rPr>
            <w:color w:val="0000EE"/>
            <w:u w:val="single"/>
          </w:rPr>
          <w:t>1Ch 27.28</w:t>
        </w:r>
      </w:hyperlink>
      <w:r>
        <w:t>). Il venait de Guéder, une ville de la région.</w:t>
      </w:r>
      <w:r/>
      <w:r/>
    </w:p>
    <w:p>
      <w:r/>
    </w:p>
    <w:p>
      <w:pPr>
        <w:pStyle w:val="Heading2"/>
      </w:pPr>
      <w:r>
        <w:t>Babel</w:t>
      </w:r>
      <w:r/>
    </w:p>
    <w:p>
      <w:r/>
      <w:r>
        <w:t xml:space="preserve">Traduction d'un mot hébreu dans </w:t>
      </w:r>
      <w:hyperlink r:id="rId116">
        <w:r>
          <w:rPr>
            <w:color w:val="0000EE"/>
            <w:u w:val="single"/>
          </w:rPr>
          <w:t>Genèse 10.10</w:t>
        </w:r>
      </w:hyperlink>
      <w:r>
        <w:t xml:space="preserve"> et </w:t>
      </w:r>
      <w:hyperlink r:id="rId1523">
        <w:r>
          <w:rPr>
            <w:color w:val="0000EE"/>
            <w:u w:val="single"/>
          </w:rPr>
          <w:t>11.9</w:t>
        </w:r>
      </w:hyperlink>
      <w:r>
        <w:t xml:space="preserve">. Dans d'autres parties de la Bible, il est traduit par « Babylone » ou « Babylonie » (voir </w:t>
      </w:r>
      <w:hyperlink r:id="rId1524">
        <w:r>
          <w:rPr>
            <w:color w:val="0000EE"/>
            <w:u w:val="single"/>
          </w:rPr>
          <w:t>2R 17.24</w:t>
        </w:r>
      </w:hyperlink>
      <w:r>
        <w:t xml:space="preserve">). La traduction de « Babel » dans la Genèse vise à relier le nom au contexte culturel précoce de </w:t>
      </w:r>
      <w:hyperlink r:id="rId1525">
        <w:r>
          <w:rPr>
            <w:color w:val="0000EE"/>
            <w:u w:val="single"/>
          </w:rPr>
          <w:t>Genèse 11.1–9</w:t>
        </w:r>
      </w:hyperlink>
      <w:r>
        <w:t>, en particulier l'histoire de la Tour de Babel. Cette traduction relie également l'incident de la Tour de Babel à l'interprétation populaire selon laquelle le nom Babel provient d'une racine signifiant « confondre » (</w:t>
      </w:r>
      <w:hyperlink r:id="rId1523">
        <w:r>
          <w:rPr>
            <w:color w:val="0000EE"/>
            <w:u w:val="single"/>
          </w:rPr>
          <w:t>Gn 11.9</w:t>
        </w:r>
      </w:hyperlink>
      <w:r>
        <w:t>).</w:t>
      </w:r>
    </w:p>
    <w:p>
      <w:r/>
      <w:r>
        <w:t>Les fouilles archéologiques ont révélé des informations sur la construction des ziggourats, qui étaient des tours érigées pour les temples. Ces ziggourats se composaient de plusieurs plateformes, chacune plus petite que celle en dessous, avec un petit temple sur la plateforme supérieure dédié à la divinité du constructeur ou de la ville.</w:t>
      </w:r>
    </w:p>
    <w:p>
      <w:r/>
      <w:r>
        <w:t>La première ziggourat à Babylone a été construite par Shar-kali-sharri, roi d'Akkad, vers la fin du 23e siècle av. J.‑C. Cette ziggourat a été détruite et reconstruite plusieurs fois au cours des siècles. La ziggourat était en ruines d'environ 2000 av. J.‑C. jusqu'à environ 1830 av. J.‑C. Puis, un roi qui a régné avant Hammurabi a reconstruit la ville, la nommant Bab-ilu ou Babel. Hammurabi a régné de 1728 à 1636 av. J.‑C.</w:t>
      </w:r>
    </w:p>
    <w:p>
      <w:r/>
      <w:r>
        <w:t>L'Épopée de la Création babylonienne décrit la construction d'une « cité céleste » comme demeure du dieu Marduk. Dans ce contexte, Babel, signifiant « porte de dieu », était un terme important. La terminologie associée au temple de Marduk et à la ziggourat suggère que Babel était considérée comme l'entrée terrestre du royaume céleste ou divin.</w:t>
      </w:r>
    </w:p>
    <w:p>
      <w:r/>
      <w:r>
        <w:t>Les traditions juives et arabes associent la Tour de Babel dans la Genèse à une grande ruine de temple dédiée à Nabu à Borsippa, également connue sous le nom de Birs-Nimrod.</w:t>
      </w:r>
    </w:p>
    <w:p>
      <w:r/>
      <w:r>
        <w:rPr>
          <w:i/>
        </w:rPr>
        <w:t>Voir aussi</w:t>
      </w:r>
      <w:r>
        <w:t xml:space="preserve"> </w:t>
      </w:r>
      <w:r>
        <w:t>Babylone, Babylonie</w:t>
      </w:r>
      <w:r>
        <w:t>.</w:t>
      </w:r>
      <w:r/>
      <w:r/>
    </w:p>
    <w:p>
      <w:r/>
    </w:p>
    <w:p>
      <w:pPr>
        <w:pStyle w:val="Heading2"/>
      </w:pPr>
      <w:r>
        <w:t>Bain, Se Baigner</w:t>
      </w:r>
      <w:r/>
    </w:p>
    <w:p>
      <w:r/>
      <w:r>
        <w:t>Se purifier comme avec de l'eau ou se laver. Dans la Bible, les termes « se baigner » et « se laver » traduisent souvent de manière interchangeable plusieurs mots différents. Un passage de l'Ancien Testament utilise un mot hébreu pour nettoyer les vêtements, et un autre pour laver d'autres objets, y compris le corps (</w:t>
      </w:r>
      <w:hyperlink r:id="rId1526">
        <w:r>
          <w:rPr>
            <w:color w:val="0000EE"/>
            <w:u w:val="single"/>
          </w:rPr>
          <w:t>Lv 15.8–12</w:t>
        </w:r>
      </w:hyperlink>
      <w:r>
        <w:t>).</w:t>
      </w:r>
    </w:p>
    <w:p>
      <w:r/>
      <w:r>
        <w:t>Le climat sec d'Israël et la rareté de l'eau décourageaient le bain, sauf là où un ruisseau ou une piscine était disponible (</w:t>
      </w:r>
      <w:hyperlink r:id="rId1223">
        <w:r>
          <w:rPr>
            <w:color w:val="0000EE"/>
            <w:u w:val="single"/>
          </w:rPr>
          <w:t>2R 5.10</w:t>
        </w:r>
      </w:hyperlink>
      <w:r>
        <w:t xml:space="preserve"> ; </w:t>
      </w:r>
      <w:hyperlink r:id="rId1527">
        <w:r>
          <w:rPr>
            <w:color w:val="0000EE"/>
            <w:u w:val="single"/>
          </w:rPr>
          <w:t>Jn 9.7</w:t>
        </w:r>
      </w:hyperlink>
      <w:r>
        <w:t>). Cependant, les gens lavaient encore les bébés à la naissance (</w:t>
      </w:r>
      <w:hyperlink r:id="rId1528">
        <w:r>
          <w:rPr>
            <w:color w:val="0000EE"/>
            <w:u w:val="single"/>
          </w:rPr>
          <w:t>Ez 16.4</w:t>
        </w:r>
      </w:hyperlink>
      <w:r>
        <w:t>), les corps des défunts en préparation pour l'enterrement (</w:t>
      </w:r>
      <w:hyperlink r:id="rId1529">
        <w:r>
          <w:rPr>
            <w:color w:val="0000EE"/>
            <w:u w:val="single"/>
          </w:rPr>
          <w:t>Ac 9.37</w:t>
        </w:r>
      </w:hyperlink>
      <w:r>
        <w:t>) et les brebis pour leur tonte (</w:t>
      </w:r>
      <w:hyperlink r:id="rId1530">
        <w:r>
          <w:rPr>
            <w:color w:val="0000EE"/>
            <w:u w:val="single"/>
          </w:rPr>
          <w:t>Ct 6.6</w:t>
        </w:r>
      </w:hyperlink>
      <w:r>
        <w:t>). Le bain fréquent de tout le corps était probablement réservé aux riches (</w:t>
      </w:r>
      <w:hyperlink r:id="rId1531">
        <w:r>
          <w:rPr>
            <w:color w:val="0000EE"/>
            <w:u w:val="single"/>
          </w:rPr>
          <w:t>Ex 2.5</w:t>
        </w:r>
      </w:hyperlink>
      <w:r>
        <w:t>). Mais la prévalence de la poussière rendait nécessaire le lavage fréquent du visage, des mains et des pieds (</w:t>
      </w:r>
      <w:hyperlink r:id="rId1532">
        <w:r>
          <w:rPr>
            <w:color w:val="0000EE"/>
            <w:u w:val="single"/>
          </w:rPr>
          <w:t>Gn 18.4</w:t>
        </w:r>
      </w:hyperlink>
      <w:r>
        <w:t xml:space="preserve"> ; </w:t>
      </w:r>
      <w:hyperlink r:id="rId1533">
        <w:r>
          <w:rPr>
            <w:color w:val="0000EE"/>
            <w:u w:val="single"/>
          </w:rPr>
          <w:t>19.2</w:t>
        </w:r>
      </w:hyperlink>
      <w:r>
        <w:t xml:space="preserve"> ; </w:t>
      </w:r>
      <w:hyperlink r:id="rId1534">
        <w:r>
          <w:rPr>
            <w:color w:val="0000EE"/>
            <w:u w:val="single"/>
          </w:rPr>
          <w:t>24.32</w:t>
        </w:r>
      </w:hyperlink>
      <w:r>
        <w:t xml:space="preserve"> ; </w:t>
      </w:r>
      <w:hyperlink r:id="rId1535">
        <w:r>
          <w:rPr>
            <w:color w:val="0000EE"/>
            <w:u w:val="single"/>
          </w:rPr>
          <w:t>43.24</w:t>
        </w:r>
      </w:hyperlink>
      <w:r>
        <w:t xml:space="preserve"> ; </w:t>
      </w:r>
      <w:hyperlink r:id="rId1536">
        <w:r>
          <w:rPr>
            <w:color w:val="0000EE"/>
            <w:u w:val="single"/>
          </w:rPr>
          <w:t>Jg 19.21</w:t>
        </w:r>
      </w:hyperlink>
      <w:r>
        <w:t xml:space="preserve"> ; </w:t>
      </w:r>
      <w:hyperlink r:id="rId1537">
        <w:r>
          <w:rPr>
            <w:color w:val="0000EE"/>
            <w:u w:val="single"/>
          </w:rPr>
          <w:t>Ct 5.3</w:t>
        </w:r>
      </w:hyperlink>
      <w:r>
        <w:t>). Une bonne toilette pour les privilégiés exigeait de laver son corps avant de s'oindre d'huile (</w:t>
      </w:r>
      <w:hyperlink r:id="rId1538">
        <w:r>
          <w:rPr>
            <w:color w:val="0000EE"/>
            <w:u w:val="single"/>
          </w:rPr>
          <w:t>Rt 3.3</w:t>
        </w:r>
      </w:hyperlink>
      <w:r>
        <w:t xml:space="preserve"> ; </w:t>
      </w:r>
      <w:hyperlink r:id="rId1539">
        <w:r>
          <w:rPr>
            <w:color w:val="0000EE"/>
            <w:u w:val="single"/>
          </w:rPr>
          <w:t>2S 12.20</w:t>
        </w:r>
      </w:hyperlink>
      <w:r>
        <w:t xml:space="preserve"> ; </w:t>
      </w:r>
      <w:hyperlink r:id="rId1540">
        <w:r>
          <w:rPr>
            <w:color w:val="0000EE"/>
            <w:u w:val="single"/>
          </w:rPr>
          <w:t>Ez 23.41</w:t>
        </w:r>
      </w:hyperlink>
      <w:r>
        <w:t>). Un bon hôte fournissait de l'eau pour les pieds d'un invité (</w:t>
      </w:r>
      <w:hyperlink r:id="rId1532">
        <w:r>
          <w:rPr>
            <w:color w:val="0000EE"/>
            <w:u w:val="single"/>
          </w:rPr>
          <w:t>Gn 18.4</w:t>
        </w:r>
      </w:hyperlink>
      <w:r>
        <w:t xml:space="preserve"> ; </w:t>
      </w:r>
      <w:hyperlink r:id="rId1536">
        <w:r>
          <w:rPr>
            <w:color w:val="0000EE"/>
            <w:u w:val="single"/>
          </w:rPr>
          <w:t>Jg 19.21</w:t>
        </w:r>
      </w:hyperlink>
      <w:r>
        <w:t xml:space="preserve"> ; </w:t>
      </w:r>
      <w:hyperlink r:id="rId1541">
        <w:r>
          <w:rPr>
            <w:color w:val="0000EE"/>
            <w:u w:val="single"/>
          </w:rPr>
          <w:t>Lc 7.44</w:t>
        </w:r>
      </w:hyperlink>
      <w:r>
        <w:t xml:space="preserve"> ; </w:t>
      </w:r>
      <w:hyperlink r:id="rId1542">
        <w:r>
          <w:rPr>
            <w:color w:val="0000EE"/>
            <w:u w:val="single"/>
          </w:rPr>
          <w:t>Jn 13.4–5</w:t>
        </w:r>
      </w:hyperlink>
      <w:r>
        <w:t>). Laver les pieds de quelqu'un était la tâche d'un serviteur. Pour quiconque d'autre, c'était un signe d'humilité (</w:t>
      </w:r>
      <w:hyperlink r:id="rId1543">
        <w:r>
          <w:rPr>
            <w:color w:val="0000EE"/>
            <w:u w:val="single"/>
          </w:rPr>
          <w:t>1S 25.41</w:t>
        </w:r>
      </w:hyperlink>
      <w:r>
        <w:t xml:space="preserve"> ; </w:t>
      </w:r>
      <w:hyperlink r:id="rId1544">
        <w:r>
          <w:rPr>
            <w:color w:val="0000EE"/>
            <w:u w:val="single"/>
          </w:rPr>
          <w:t>Lc 7.44–47</w:t>
        </w:r>
      </w:hyperlink>
      <w:r>
        <w:t xml:space="preserve"> ; </w:t>
      </w:r>
      <w:hyperlink r:id="rId1545">
        <w:r>
          <w:rPr>
            <w:color w:val="0000EE"/>
            <w:u w:val="single"/>
          </w:rPr>
          <w:t>Jn 13.3–16</w:t>
        </w:r>
      </w:hyperlink>
      <w:r>
        <w:t xml:space="preserve"> ; </w:t>
      </w:r>
      <w:hyperlink r:id="rId1546">
        <w:r>
          <w:rPr>
            <w:color w:val="0000EE"/>
            <w:u w:val="single"/>
          </w:rPr>
          <w:t>1Tm 5.10</w:t>
        </w:r>
      </w:hyperlink>
      <w:r>
        <w:t>).</w:t>
      </w:r>
    </w:p>
    <w:p>
      <w:r/>
      <w:r>
        <w:t>La plupart des références bibliques au lavage ou au bain concernent le nettoyage rituel. Les prêtres et les lévites devaient laver leurs vêtements et leurs visages, et parfois leurs corps, avant de s'approcher de l'autel et lors d'occasions cérémonielles (</w:t>
      </w:r>
      <w:hyperlink r:id="rId1547">
        <w:r>
          <w:rPr>
            <w:color w:val="0000EE"/>
            <w:u w:val="single"/>
          </w:rPr>
          <w:t>Ex 29.4</w:t>
        </w:r>
      </w:hyperlink>
      <w:r>
        <w:t xml:space="preserve">; </w:t>
      </w:r>
      <w:hyperlink r:id="rId1548">
        <w:r>
          <w:rPr>
            <w:color w:val="0000EE"/>
            <w:u w:val="single"/>
          </w:rPr>
          <w:t>30.19–21</w:t>
        </w:r>
      </w:hyperlink>
      <w:r>
        <w:t xml:space="preserve">; </w:t>
      </w:r>
      <w:hyperlink r:id="rId1549">
        <w:r>
          <w:rPr>
            <w:color w:val="0000EE"/>
            <w:u w:val="single"/>
          </w:rPr>
          <w:t>40.7, 12, 30–32</w:t>
        </w:r>
      </w:hyperlink>
      <w:r>
        <w:t xml:space="preserve">; </w:t>
      </w:r>
      <w:hyperlink r:id="rId1550">
        <w:r>
          <w:rPr>
            <w:color w:val="0000EE"/>
            <w:u w:val="single"/>
          </w:rPr>
          <w:t>Nb 8.21</w:t>
        </w:r>
      </w:hyperlink>
      <w:r>
        <w:t>). Avant qu'un animal abattu ne soit sacrifié, ses jambes et ses intestins étaient lavés (</w:t>
      </w:r>
      <w:hyperlink r:id="rId1551">
        <w:r>
          <w:rPr>
            <w:color w:val="0000EE"/>
            <w:u w:val="single"/>
          </w:rPr>
          <w:t>Lv 1.9, 13</w:t>
        </w:r>
      </w:hyperlink>
      <w:r>
        <w:t xml:space="preserve">; </w:t>
      </w:r>
      <w:hyperlink r:id="rId1552">
        <w:r>
          <w:rPr>
            <w:color w:val="0000EE"/>
            <w:u w:val="single"/>
          </w:rPr>
          <w:t>8.21</w:t>
        </w:r>
      </w:hyperlink>
      <w:r>
        <w:t xml:space="preserve">; </w:t>
      </w:r>
      <w:hyperlink r:id="rId1553">
        <w:r>
          <w:rPr>
            <w:color w:val="0000EE"/>
            <w:u w:val="single"/>
          </w:rPr>
          <w:t>9.14</w:t>
        </w:r>
      </w:hyperlink>
      <w:r>
        <w:t>). Toute personne qui était autrefois impure devait laver ses vêtements et se baigner pour être rituellement pure (</w:t>
      </w:r>
      <w:hyperlink r:id="rId1554">
        <w:r>
          <w:rPr>
            <w:color w:val="0000EE"/>
            <w:u w:val="single"/>
          </w:rPr>
          <w:t>Lv 14.8–10</w:t>
        </w:r>
      </w:hyperlink>
      <w:r>
        <w:t xml:space="preserve">; </w:t>
      </w:r>
      <w:hyperlink r:id="rId1555">
        <w:r>
          <w:rPr>
            <w:color w:val="0000EE"/>
            <w:u w:val="single"/>
          </w:rPr>
          <w:t>15.5–11, 21–27</w:t>
        </w:r>
      </w:hyperlink>
      <w:r>
        <w:t>). Par exemple, un lépreux guéri ou quelqu'un qui avait eu une décharge génitale serait considéré comme impur et devrait se laver et se baigner. Tout vêtement souillé devait être nettoyé cérémonieusement (</w:t>
      </w:r>
      <w:hyperlink r:id="rId1556">
        <w:r>
          <w:rPr>
            <w:color w:val="0000EE"/>
            <w:u w:val="single"/>
          </w:rPr>
          <w:t>Lv 6.27</w:t>
        </w:r>
      </w:hyperlink>
      <w:r>
        <w:t xml:space="preserve">; </w:t>
      </w:r>
      <w:hyperlink r:id="rId1557">
        <w:r>
          <w:rPr>
            <w:color w:val="0000EE"/>
            <w:u w:val="single"/>
          </w:rPr>
          <w:t>13.54</w:t>
        </w:r>
      </w:hyperlink>
      <w:r>
        <w:t>).</w:t>
      </w:r>
    </w:p>
    <w:p>
      <w:r/>
      <w:r>
        <w:t>Le fait d'être « lavé » est également utilisé de manière figurée pour la purification du péché (</w:t>
      </w:r>
      <w:hyperlink r:id="rId1558">
        <w:r>
          <w:rPr>
            <w:color w:val="0000EE"/>
            <w:u w:val="single"/>
          </w:rPr>
          <w:t>Ps 51.2</w:t>
        </w:r>
      </w:hyperlink>
      <w:r>
        <w:t xml:space="preserve"> ; </w:t>
      </w:r>
      <w:hyperlink r:id="rId1559">
        <w:r>
          <w:rPr>
            <w:color w:val="0000EE"/>
            <w:u w:val="single"/>
          </w:rPr>
          <w:t>Es 1.16</w:t>
        </w:r>
      </w:hyperlink>
      <w:r>
        <w:t xml:space="preserve"> ; </w:t>
      </w:r>
      <w:hyperlink r:id="rId1560">
        <w:r>
          <w:rPr>
            <w:color w:val="0000EE"/>
            <w:u w:val="single"/>
          </w:rPr>
          <w:t>4.4</w:t>
        </w:r>
      </w:hyperlink>
      <w:r>
        <w:t xml:space="preserve"> ; </w:t>
      </w:r>
      <w:hyperlink r:id="rId1561">
        <w:r>
          <w:rPr>
            <w:color w:val="0000EE"/>
            <w:u w:val="single"/>
          </w:rPr>
          <w:t>Jr 2.22</w:t>
        </w:r>
      </w:hyperlink>
      <w:r>
        <w:t xml:space="preserve"> ; </w:t>
      </w:r>
      <w:hyperlink r:id="rId1562">
        <w:r>
          <w:rPr>
            <w:color w:val="0000EE"/>
            <w:u w:val="single"/>
          </w:rPr>
          <w:t>4.14</w:t>
        </w:r>
      </w:hyperlink>
      <w:r>
        <w:t xml:space="preserve"> ; </w:t>
      </w:r>
      <w:hyperlink r:id="rId1563">
        <w:r>
          <w:rPr>
            <w:color w:val="0000EE"/>
            <w:u w:val="single"/>
          </w:rPr>
          <w:t>1Co 6.11</w:t>
        </w:r>
      </w:hyperlink>
      <w:r>
        <w:t xml:space="preserve"> ; </w:t>
      </w:r>
      <w:hyperlink r:id="rId1564">
        <w:r>
          <w:rPr>
            <w:color w:val="0000EE"/>
            <w:u w:val="single"/>
          </w:rPr>
          <w:t>Hé 10.22</w:t>
        </w:r>
      </w:hyperlink>
      <w:r>
        <w:t>).</w:t>
      </w:r>
      <w:r/>
      <w:r/>
    </w:p>
    <w:p>
      <w:r/>
    </w:p>
    <w:p>
      <w:pPr>
        <w:pStyle w:val="Heading2"/>
      </w:pPr>
      <w:r>
        <w:t>Baiser, Baiser de paix</w:t>
      </w:r>
      <w:r/>
    </w:p>
    <w:p>
      <w:r/>
      <w:r>
        <w:t>Une manière courante de manifester l'amour et la fraternité à l'époque biblique.</w:t>
      </w:r>
    </w:p>
    <w:p>
      <w:r/>
      <w:r>
        <w:t>Le baiser apparaît dans la Bible dans de nombreux contextes différents :</w:t>
      </w:r>
    </w:p>
    <w:p>
      <w:pPr>
        <w:pStyle w:val="ListBullet"/>
        <w:spacing w:line="240" w:lineRule="auto"/>
        <w:ind w:left="720"/>
      </w:pPr>
      <w:r/>
      <w:r>
        <w:t>Des baisers étaient échangés entre parents et amis en signe d'affection (</w:t>
      </w:r>
      <w:hyperlink r:id="rId1565">
        <w:r>
          <w:rPr>
            <w:color w:val="0000EE"/>
            <w:u w:val="single"/>
          </w:rPr>
          <w:t>Gn 29.11</w:t>
        </w:r>
      </w:hyperlink>
      <w:r>
        <w:t xml:space="preserve"> ; </w:t>
      </w:r>
      <w:hyperlink r:id="rId1566">
        <w:r>
          <w:rPr>
            <w:color w:val="0000EE"/>
            <w:u w:val="single"/>
          </w:rPr>
          <w:t>33.4</w:t>
        </w:r>
      </w:hyperlink>
      <w:r>
        <w:t>).</w:t>
      </w:r>
    </w:p>
    <w:p>
      <w:pPr>
        <w:pStyle w:val="ListBullet"/>
        <w:spacing w:line="240" w:lineRule="auto"/>
        <w:ind w:left="720"/>
      </w:pPr>
      <w:r/>
      <w:r>
        <w:t>Parfois, les baisers avaient une signification sensuelle (</w:t>
      </w:r>
      <w:hyperlink r:id="rId1567">
        <w:r>
          <w:rPr>
            <w:color w:val="0000EE"/>
            <w:u w:val="single"/>
          </w:rPr>
          <w:t>Pr 7.6–13</w:t>
        </w:r>
      </w:hyperlink>
      <w:r>
        <w:t xml:space="preserve"> ; </w:t>
      </w:r>
      <w:hyperlink r:id="rId1568">
        <w:r>
          <w:rPr>
            <w:color w:val="0000EE"/>
            <w:u w:val="single"/>
          </w:rPr>
          <w:t>Ct 1.2</w:t>
        </w:r>
      </w:hyperlink>
      <w:r>
        <w:t>).</w:t>
      </w:r>
    </w:p>
    <w:p>
      <w:pPr>
        <w:pStyle w:val="ListBullet"/>
        <w:spacing w:line="240" w:lineRule="auto"/>
        <w:ind w:left="720"/>
      </w:pPr>
      <w:r/>
      <w:r>
        <w:t>Embrasser était aussi une façon de montrer du respect ou de l'adoration (</w:t>
      </w:r>
      <w:hyperlink r:id="rId1569">
        <w:r>
          <w:rPr>
            <w:color w:val="0000EE"/>
            <w:u w:val="single"/>
          </w:rPr>
          <w:t>1S 10.1</w:t>
        </w:r>
      </w:hyperlink>
      <w:r>
        <w:t xml:space="preserve"> ; </w:t>
      </w:r>
      <w:hyperlink r:id="rId1570">
        <w:r>
          <w:rPr>
            <w:color w:val="0000EE"/>
            <w:u w:val="single"/>
          </w:rPr>
          <w:t>Jb 31.27</w:t>
        </w:r>
      </w:hyperlink>
      <w:r>
        <w:t>), bien que cela puisse être considéré comme mal dans certaines situations (</w:t>
      </w:r>
      <w:hyperlink r:id="rId1571">
        <w:r>
          <w:rPr>
            <w:color w:val="0000EE"/>
            <w:u w:val="single"/>
          </w:rPr>
          <w:t>1R 19.18</w:t>
        </w:r>
      </w:hyperlink>
      <w:r>
        <w:t xml:space="preserve"> ; </w:t>
      </w:r>
      <w:hyperlink r:id="rId1572">
        <w:r>
          <w:rPr>
            <w:color w:val="0000EE"/>
            <w:u w:val="single"/>
          </w:rPr>
          <w:t>Os 13.2</w:t>
        </w:r>
      </w:hyperlink>
      <w:r>
        <w:t>).</w:t>
      </w:r>
    </w:p>
    <w:p>
      <w:pPr>
        <w:pStyle w:val="ListBullet"/>
        <w:spacing w:line="240" w:lineRule="auto"/>
        <w:ind w:left="720"/>
      </w:pPr>
      <w:r/>
      <w:r>
        <w:t>Un baiser pourrait être utilisé pour trahir quelqu'un, comme on le voit dans l'histoire de la trahison de Jésus (</w:t>
      </w:r>
      <w:hyperlink r:id="rId1573">
        <w:r>
          <w:rPr>
            <w:color w:val="0000EE"/>
            <w:u w:val="single"/>
          </w:rPr>
          <w:t>Mt 26.48–49</w:t>
        </w:r>
      </w:hyperlink>
      <w:r>
        <w:t>).</w:t>
      </w:r>
    </w:p>
    <w:p>
      <w:r/>
      <w:r>
        <w:t>Dans le Nouveau Testament, il y a cinq mentions d'un « saint baiser », également connu sous le nom de « baiser de paix » :</w:t>
      </w:r>
    </w:p>
    <w:p>
      <w:pPr>
        <w:pStyle w:val="ListNumber"/>
        <w:spacing w:line="240" w:lineRule="auto"/>
        <w:ind w:left="720"/>
      </w:pPr>
      <w:r/>
      <w:hyperlink r:id="rId1574">
        <w:r>
          <w:rPr>
            <w:color w:val="0000EE"/>
            <w:u w:val="single"/>
          </w:rPr>
          <w:t>Romains 16.16</w:t>
        </w:r>
      </w:hyperlink>
    </w:p>
    <w:p>
      <w:pPr>
        <w:pStyle w:val="ListNumber"/>
        <w:spacing w:line="240" w:lineRule="auto"/>
        <w:ind w:left="720"/>
      </w:pPr>
      <w:r/>
      <w:hyperlink r:id="rId1575">
        <w:r>
          <w:rPr>
            <w:color w:val="0000EE"/>
            <w:u w:val="single"/>
          </w:rPr>
          <w:t>1 Corinthiens 16.20</w:t>
        </w:r>
      </w:hyperlink>
    </w:p>
    <w:p>
      <w:pPr>
        <w:pStyle w:val="ListNumber"/>
        <w:spacing w:line="240" w:lineRule="auto"/>
        <w:ind w:left="720"/>
      </w:pPr>
      <w:r/>
      <w:hyperlink r:id="rId1576">
        <w:r>
          <w:rPr>
            <w:color w:val="0000EE"/>
            <w:u w:val="single"/>
          </w:rPr>
          <w:t>2 Corinthiens 13.12</w:t>
        </w:r>
      </w:hyperlink>
    </w:p>
    <w:p>
      <w:pPr>
        <w:pStyle w:val="ListNumber"/>
        <w:spacing w:line="240" w:lineRule="auto"/>
        <w:ind w:left="720"/>
      </w:pPr>
      <w:r/>
      <w:hyperlink r:id="rId1577">
        <w:r>
          <w:rPr>
            <w:color w:val="0000EE"/>
            <w:u w:val="single"/>
          </w:rPr>
          <w:t>1 Thessaloniciens 5.26</w:t>
        </w:r>
      </w:hyperlink>
    </w:p>
    <w:p>
      <w:pPr>
        <w:pStyle w:val="ListNumber"/>
        <w:spacing w:line="240" w:lineRule="auto"/>
        <w:ind w:left="720"/>
      </w:pPr>
      <w:r/>
      <w:hyperlink r:id="rId1578">
        <w:r>
          <w:rPr>
            <w:color w:val="0000EE"/>
            <w:u w:val="single"/>
          </w:rPr>
          <w:t>1</w:t>
        </w:r>
      </w:hyperlink>
      <w:hyperlink r:id="rId1577">
        <w:r>
          <w:rPr>
            <w:color w:val="0000EE"/>
            <w:u w:val="single"/>
          </w:rPr>
          <w:t xml:space="preserve"> </w:t>
        </w:r>
      </w:hyperlink>
      <w:hyperlink r:id="rId1578">
        <w:r>
          <w:rPr>
            <w:color w:val="0000EE"/>
            <w:u w:val="single"/>
          </w:rPr>
          <w:t>Pierre 5.14</w:t>
        </w:r>
      </w:hyperlink>
    </w:p>
    <w:p>
      <w:r/>
      <w:r>
        <w:t>Ce baiser était un symbole d'amour et d'unité chrétienne. Bien que la Bible ne donne pas d'instructions détaillées, c'était un geste d'amitié et d'engagement parmi les premiers chrétiens (</w:t>
      </w:r>
      <w:hyperlink r:id="rId1579">
        <w:r>
          <w:rPr>
            <w:color w:val="0000EE"/>
            <w:u w:val="single"/>
          </w:rPr>
          <w:t>1Th 5.25–27</w:t>
        </w:r>
      </w:hyperlink>
      <w:r>
        <w:t>).</w:t>
      </w:r>
    </w:p>
    <w:p>
      <w:r/>
      <w:r>
        <w:t>À la fin du 2e siècle, cette pratique est devenue une partie de la liturgie de l'Église. Justin Martyr l'a décrite comme un baiser échangé parmi l'assemblée après la prière. Avec le temps, elle sera déplacée avant la Sainte Cène et sera finalement remplacée par une simple révérence dans de nombreuses Églises. Aujourd'hui, certaines Églises conservent encore cette pratique sous différentes formes.</w:t>
      </w:r>
      <w:r/>
      <w:r/>
    </w:p>
    <w:p>
      <w:r/>
    </w:p>
    <w:p>
      <w:pPr>
        <w:pStyle w:val="Heading2"/>
      </w:pPr>
      <w:r>
        <w:t>Balaam</w:t>
      </w:r>
      <w:r/>
    </w:p>
    <w:p>
      <w:r/>
      <w:r>
        <w:t>Le fils de Beor, un prophète ou devin du nord de la Mésopotamie. Il sera engagé par le roi moabite Balak pour maudire les Israélites.</w:t>
      </w:r>
    </w:p>
    <w:p>
      <w:r/>
      <w:r>
        <w:t>Après quarante années d'errance, les Israélites étaient arrivés dans la vallée du Jourdain, en face de Jéricho. Ils avaient vaincu les Amoréens (</w:t>
      </w:r>
      <w:hyperlink r:id="rId1580">
        <w:r>
          <w:rPr>
            <w:color w:val="0000EE"/>
            <w:u w:val="single"/>
          </w:rPr>
          <w:t>Nb 21.21–25</w:t>
        </w:r>
      </w:hyperlink>
      <w:r>
        <w:t>). Balak était terrifié par les Israélites (</w:t>
      </w:r>
      <w:hyperlink r:id="rId1581">
        <w:r>
          <w:rPr>
            <w:color w:val="0000EE"/>
            <w:u w:val="single"/>
          </w:rPr>
          <w:t>22.3</w:t>
        </w:r>
      </w:hyperlink>
      <w:r>
        <w:t>). Les malédictions et les bénédictions étaient considérées comme permanentes (</w:t>
      </w:r>
      <w:hyperlink r:id="rId1582">
        <w:r>
          <w:rPr>
            <w:color w:val="0000EE"/>
            <w:u w:val="single"/>
          </w:rPr>
          <w:t>Gn 27.34–38</w:t>
        </w:r>
      </w:hyperlink>
      <w:r>
        <w:t>). Ainsi, Balak croyait que s'il pouvait engager un prophète pour maudire les Israélites au nom de leur Dieu, Yahvé, il pourrait les vaincre. Il enverra des messagers à Pethor, où vivait Balaam. On pense que la ville était près de Charan, sur la rivière Chabor. Il fera à Balaam une offre importante pour maudire les Israélites.</w:t>
      </w:r>
    </w:p>
    <w:p>
      <w:r/>
      <w:r>
        <w:t xml:space="preserve">Le Seigneur avait initialement averti Balaam de ne pas aller à Moab. Malgré cela, Balak persistera et enverra davantage de messagers avec des offres plus importantes de richesse et d'honneur. Le désir de richesse de Balaam le poussera à demander à nouveau au Seigneur s'il devait y aller. Ses paroles aux messagers, cependant, étaient très pieuses : « </w:t>
      </w:r>
      <w:r>
        <w:t>Quand Balak me donnerait sa maison pleine d’argent et d’or, je ne pourrais faire aucune chose, ni petite ni grande, contre l’ordre de l’Éternel, mon Dieu</w:t>
      </w:r>
      <w:r>
        <w:t xml:space="preserve"> » (</w:t>
      </w:r>
      <w:hyperlink r:id="rId1583">
        <w:r>
          <w:rPr>
            <w:color w:val="0000EE"/>
            <w:u w:val="single"/>
          </w:rPr>
          <w:t>Nb 22.18</w:t>
        </w:r>
      </w:hyperlink>
      <w:r>
        <w:t>). Bien que Dieu ait permis à Balaam d'y aller, il instruira Balaam de ne dire que ce qu'il lui commandait.</w:t>
      </w:r>
    </w:p>
    <w:p>
      <w:r/>
      <w:r>
        <w:t xml:space="preserve">Balak enverra « </w:t>
      </w:r>
      <w:r>
        <w:t>des présents pour le devin</w:t>
      </w:r>
      <w:r>
        <w:t xml:space="preserve"> » avec ses messagers (</w:t>
      </w:r>
      <w:hyperlink r:id="rId1584">
        <w:r>
          <w:rPr>
            <w:color w:val="0000EE"/>
            <w:u w:val="single"/>
          </w:rPr>
          <w:t>Nb 22.7</w:t>
        </w:r>
      </w:hyperlink>
      <w:r>
        <w:t>). Cela montre qu'il considérait Balaam comme un devin païen (quelqu'un qui pratiquait la recherche de connaissances sur l'avenir par des moyens surnaturels), ce qui était interdit pour les Israélites (</w:t>
      </w:r>
      <w:hyperlink r:id="rId1585">
        <w:r>
          <w:rPr>
            <w:color w:val="0000EE"/>
            <w:u w:val="single"/>
          </w:rPr>
          <w:t>Dt 18.10–11</w:t>
        </w:r>
      </w:hyperlink>
      <w:r>
        <w:t>). Un vrai prophète n'aurait pas même écouté l'offre de Balak. La permission de Dieu pour que Balaam parte était destinée à contrecarrer les plans de Balak et à protéger son peuple.</w:t>
      </w:r>
    </w:p>
    <w:p>
      <w:r/>
      <w:r>
        <w:t>Alors que Balaam voyageait, Dieu se mettra en colère et enverra un ange avec une épée dégainée pour bloquer son chemin (</w:t>
      </w:r>
      <w:hyperlink r:id="rId1586">
        <w:r>
          <w:rPr>
            <w:color w:val="0000EE"/>
            <w:u w:val="single"/>
          </w:rPr>
          <w:t>Nb 22.22</w:t>
        </w:r>
      </w:hyperlink>
      <w:r>
        <w:t>). L'ânesse de Balaam verra l'ange et refusera d'avancer, ce qui poussera Balaam à battre l'ânesse. Miraculeusement, l'ânesse parlera à Balaam, se plaignant des coups (</w:t>
      </w:r>
      <w:hyperlink r:id="rId1587">
        <w:r>
          <w:rPr>
            <w:color w:val="0000EE"/>
            <w:u w:val="single"/>
          </w:rPr>
          <w:t>Nb 22.28–30</w:t>
        </w:r>
      </w:hyperlink>
      <w:r>
        <w:t>).</w:t>
      </w:r>
    </w:p>
    <w:p>
      <w:r/>
      <w:r>
        <w:t xml:space="preserve">En surface, l'histoire de </w:t>
      </w:r>
      <w:hyperlink r:id="rId1588">
        <w:r>
          <w:rPr>
            <w:color w:val="0000EE"/>
            <w:u w:val="single"/>
          </w:rPr>
          <w:t>Nombres 22</w:t>
        </w:r>
      </w:hyperlink>
      <w:r>
        <w:t xml:space="preserve"> présente Balaam comme quelqu'un qui suivait simplement ce que le Seigneur lui permettait de faire. Mais </w:t>
      </w:r>
      <w:hyperlink r:id="rId1589">
        <w:r>
          <w:rPr>
            <w:color w:val="0000EE"/>
            <w:u w:val="single"/>
          </w:rPr>
          <w:t>Deutéronome 23.5</w:t>
        </w:r>
      </w:hyperlink>
      <w:r>
        <w:t xml:space="preserve"> révèle que le Seigneur n'a pas écouté Balaam et a transformé la malédiction qu'il avait prévue en bénédiction. Lorsque le Seigneur ouvre les yeux de Balaam pour voir l'ange, il tombe sur son visage (</w:t>
      </w:r>
      <w:hyperlink r:id="rId1590">
        <w:r>
          <w:rPr>
            <w:color w:val="0000EE"/>
            <w:u w:val="single"/>
          </w:rPr>
          <w:t>Nb 22.31</w:t>
        </w:r>
      </w:hyperlink>
      <w:r>
        <w:t xml:space="preserve">). Balaam reconnaît alors son péché et accepte de dire seulement ce que le Seigneur mettra dans sa bouche. Les poèmes de Balaam dans </w:t>
      </w:r>
      <w:hyperlink r:id="rId1591">
        <w:r>
          <w:rPr>
            <w:color w:val="0000EE"/>
            <w:u w:val="single"/>
          </w:rPr>
          <w:t>Nombres 23</w:t>
        </w:r>
      </w:hyperlink>
      <w:r>
        <w:t xml:space="preserve"> et </w:t>
      </w:r>
      <w:hyperlink r:id="rId1592">
        <w:r>
          <w:rPr>
            <w:color w:val="0000EE"/>
            <w:u w:val="single"/>
          </w:rPr>
          <w:t>24</w:t>
        </w:r>
      </w:hyperlink>
      <w:r>
        <w:t xml:space="preserve"> sont écrits en hébreu archaïque. Ils décrivent les bénédictions passées de Dieu sur son peuple et prédisent des bénédictions futures pour Israël.</w:t>
      </w:r>
    </w:p>
    <w:p>
      <w:r/>
      <w:r>
        <w:t>Balaam prononcera uniquement des bénédictions pour Israël et jamais de malédictions. Le roi moabite, Balak, tentera de faire maudire Israël par Balaam depuis différents points de vue surplombant la vallée du Jourdain. Lorsque Balaam ne les maudit toujours pas, Balak, furieux, renverra Balaam sans aucune récompense.</w:t>
      </w:r>
    </w:p>
    <w:p>
      <w:r/>
      <w:hyperlink r:id="rId1593">
        <w:r>
          <w:rPr>
            <w:color w:val="0000EE"/>
            <w:u w:val="single"/>
          </w:rPr>
          <w:t>Nombres 25</w:t>
        </w:r>
      </w:hyperlink>
      <w:r>
        <w:t xml:space="preserve"> raconte comment le roi moabite réussit presque à détourner les Israélites. À Peor, les Israélites seront livrés à un comportement immoral avec des femmes moabites, impliquant possiblement de la prostitution sacrée, sur les conseils de Balaam, pour affaiblir Israël (</w:t>
      </w:r>
      <w:hyperlink r:id="rId1594">
        <w:r>
          <w:rPr>
            <w:color w:val="0000EE"/>
            <w:u w:val="single"/>
          </w:rPr>
          <w:t>Nb 31.14–16</w:t>
        </w:r>
      </w:hyperlink>
      <w:r>
        <w:t>). Balaam sera ensuite tué par les Israélites lors de leur campagne contre Madian (</w:t>
      </w:r>
      <w:hyperlink r:id="rId1595">
        <w:r>
          <w:rPr>
            <w:color w:val="0000EE"/>
            <w:u w:val="single"/>
          </w:rPr>
          <w:t>Nb 31.8</w:t>
        </w:r>
      </w:hyperlink>
      <w:r>
        <w:t xml:space="preserve"> ; </w:t>
      </w:r>
      <w:hyperlink r:id="rId1596">
        <w:r>
          <w:rPr>
            <w:color w:val="0000EE"/>
            <w:u w:val="single"/>
          </w:rPr>
          <w:t>Jos 13.22</w:t>
        </w:r>
      </w:hyperlink>
      <w:r>
        <w:t>).</w:t>
      </w:r>
    </w:p>
    <w:p>
      <w:r/>
      <w:r>
        <w:rPr>
          <w:i/>
        </w:rPr>
        <w:t>Voir aussi</w:t>
      </w:r>
      <w:r>
        <w:t xml:space="preserve"> </w:t>
      </w:r>
      <w:r>
        <w:t>Balak</w:t>
      </w:r>
      <w:r>
        <w:t>.</w:t>
      </w:r>
      <w:r/>
      <w:r/>
    </w:p>
    <w:p>
      <w:r/>
    </w:p>
    <w:p>
      <w:pPr>
        <w:pStyle w:val="Heading2"/>
      </w:pPr>
      <w:r>
        <w:t>Bannir, Bannissement</w:t>
      </w:r>
      <w:r/>
    </w:p>
    <w:p>
      <w:r/>
      <w:r>
        <w:t>Exclusion d'une personne d'un pays ou d'un groupe en tant que forme de punition.</w:t>
      </w:r>
    </w:p>
    <w:p>
      <w:r/>
      <w:r>
        <w:t>Dans la Bible, le terme « bannissement » ou des mots similaires sont utilisés plusieurs fois :</w:t>
      </w:r>
    </w:p>
    <w:p>
      <w:pPr>
        <w:pStyle w:val="ListBullet"/>
        <w:spacing w:line="240" w:lineRule="auto"/>
        <w:ind w:left="720"/>
      </w:pPr>
      <w:r/>
      <w:r>
        <w:t>Le jugement de Dieu sur Adam et Ève (</w:t>
      </w:r>
      <w:hyperlink r:id="rId249">
        <w:r>
          <w:rPr>
            <w:color w:val="0000EE"/>
            <w:u w:val="single"/>
          </w:rPr>
          <w:t>Gn 3.23–24</w:t>
        </w:r>
      </w:hyperlink>
      <w:r>
        <w:t>)</w:t>
      </w:r>
    </w:p>
    <w:p>
      <w:pPr>
        <w:pStyle w:val="ListBullet"/>
        <w:spacing w:line="240" w:lineRule="auto"/>
        <w:ind w:left="720"/>
      </w:pPr>
      <w:r/>
      <w:r>
        <w:t>Le jugement de Dieu sur Caïn (</w:t>
      </w:r>
      <w:hyperlink r:id="rId1597">
        <w:r>
          <w:rPr>
            <w:color w:val="0000EE"/>
            <w:u w:val="single"/>
          </w:rPr>
          <w:t>4.9–14</w:t>
        </w:r>
      </w:hyperlink>
      <w:r>
        <w:t>)</w:t>
      </w:r>
    </w:p>
    <w:p>
      <w:pPr>
        <w:pStyle w:val="ListBullet"/>
        <w:spacing w:line="240" w:lineRule="auto"/>
        <w:ind w:left="720"/>
      </w:pPr>
      <w:r/>
      <w:r>
        <w:t>L'exil d'Absalom loin de son père David (</w:t>
      </w:r>
      <w:hyperlink r:id="rId1598">
        <w:r>
          <w:rPr>
            <w:color w:val="0000EE"/>
            <w:u w:val="single"/>
          </w:rPr>
          <w:t>2S 13.37–39</w:t>
        </w:r>
      </w:hyperlink>
      <w:r>
        <w:t xml:space="preserve"> ; </w:t>
      </w:r>
      <w:hyperlink r:id="rId1599">
        <w:r>
          <w:rPr>
            <w:color w:val="0000EE"/>
            <w:u w:val="single"/>
          </w:rPr>
          <w:t>14.13–14</w:t>
        </w:r>
      </w:hyperlink>
      <w:r>
        <w:t>)</w:t>
      </w:r>
    </w:p>
    <w:p>
      <w:pPr>
        <w:pStyle w:val="ListBullet"/>
        <w:spacing w:line="240" w:lineRule="auto"/>
        <w:ind w:left="720"/>
      </w:pPr>
      <w:r/>
      <w:r>
        <w:t>L'exil d'Israël de la terre promise (</w:t>
      </w:r>
      <w:hyperlink r:id="rId1600">
        <w:r>
          <w:rPr>
            <w:color w:val="0000EE"/>
            <w:u w:val="single"/>
          </w:rPr>
          <w:t>Dt 30.1</w:t>
        </w:r>
      </w:hyperlink>
      <w:r>
        <w:t xml:space="preserve"> ; </w:t>
      </w:r>
      <w:hyperlink r:id="rId1601">
        <w:r>
          <w:rPr>
            <w:color w:val="0000EE"/>
            <w:u w:val="single"/>
          </w:rPr>
          <w:t>Es 11.12</w:t>
        </w:r>
      </w:hyperlink>
      <w:r>
        <w:t xml:space="preserve"> ; </w:t>
      </w:r>
      <w:hyperlink r:id="rId1602">
        <w:r>
          <w:rPr>
            <w:color w:val="0000EE"/>
            <w:u w:val="single"/>
          </w:rPr>
          <w:t>Jr 16.15</w:t>
        </w:r>
      </w:hyperlink>
      <w:r>
        <w:t xml:space="preserve"> ; </w:t>
      </w:r>
      <w:hyperlink r:id="rId1603">
        <w:r>
          <w:rPr>
            <w:color w:val="0000EE"/>
            <w:u w:val="single"/>
          </w:rPr>
          <w:t>Ez 4.13</w:t>
        </w:r>
      </w:hyperlink>
      <w:r>
        <w:t>)</w:t>
      </w:r>
    </w:p>
    <w:p>
      <w:r/>
      <w:r>
        <w:t>Le bannissement était inclus dans une liste de punitions lors de l'exil à Babylone pour ceux qui désobéissaient à Dieu ou au roi perse Artaxerxès (</w:t>
      </w:r>
      <w:hyperlink r:id="rId1604">
        <w:r>
          <w:rPr>
            <w:color w:val="0000EE"/>
            <w:u w:val="single"/>
          </w:rPr>
          <w:t>Esd 7.26</w:t>
        </w:r>
      </w:hyperlink>
      <w:r>
        <w:t>).</w:t>
      </w:r>
    </w:p>
    <w:p>
      <w:r/>
      <w:r>
        <w:t>La loi mosaïque prescrivait qu'un Israélite pouvait être « retranché » de la communauté pour diverses infractions :</w:t>
      </w:r>
    </w:p>
    <w:p>
      <w:pPr>
        <w:pStyle w:val="ListBullet"/>
        <w:spacing w:line="240" w:lineRule="auto"/>
        <w:ind w:left="720"/>
      </w:pPr>
      <w:r/>
      <w:r>
        <w:t>non-circoncision d'un enfant mâle (</w:t>
      </w:r>
      <w:hyperlink r:id="rId1605">
        <w:r>
          <w:rPr>
            <w:color w:val="0000EE"/>
            <w:u w:val="single"/>
          </w:rPr>
          <w:t>Gn 17.12, 14</w:t>
        </w:r>
      </w:hyperlink>
      <w:r>
        <w:t>)</w:t>
      </w:r>
    </w:p>
    <w:p>
      <w:pPr>
        <w:pStyle w:val="ListBullet"/>
        <w:spacing w:line="240" w:lineRule="auto"/>
        <w:ind w:left="720"/>
      </w:pPr>
      <w:r/>
      <w:r>
        <w:t>manger du pain levé pendant la Pâque (</w:t>
      </w:r>
      <w:hyperlink r:id="rId1606">
        <w:r>
          <w:rPr>
            <w:color w:val="0000EE"/>
            <w:u w:val="single"/>
          </w:rPr>
          <w:t>Ex 12.15</w:t>
        </w:r>
      </w:hyperlink>
      <w:r>
        <w:t>)</w:t>
      </w:r>
    </w:p>
    <w:p>
      <w:pPr>
        <w:pStyle w:val="ListBullet"/>
        <w:spacing w:line="240" w:lineRule="auto"/>
        <w:ind w:left="720"/>
      </w:pPr>
      <w:r/>
      <w:r>
        <w:t>faire un sacrifice animal impie (</w:t>
      </w:r>
      <w:hyperlink r:id="rId1607">
        <w:r>
          <w:rPr>
            <w:color w:val="0000EE"/>
            <w:u w:val="single"/>
          </w:rPr>
          <w:t>Lv 17.1–4</w:t>
        </w:r>
      </w:hyperlink>
      <w:r>
        <w:t>)</w:t>
      </w:r>
    </w:p>
    <w:p>
      <w:pPr>
        <w:pStyle w:val="ListBullet"/>
        <w:spacing w:line="240" w:lineRule="auto"/>
        <w:ind w:left="720"/>
      </w:pPr>
      <w:r/>
      <w:r>
        <w:t>manger du sang (</w:t>
      </w:r>
      <w:hyperlink r:id="rId1608">
        <w:r>
          <w:rPr>
            <w:color w:val="0000EE"/>
            <w:u w:val="single"/>
          </w:rPr>
          <w:t>Lv 17.10</w:t>
        </w:r>
      </w:hyperlink>
      <w:r>
        <w:t>)</w:t>
      </w:r>
    </w:p>
    <w:p>
      <w:pPr>
        <w:pStyle w:val="ListBullet"/>
        <w:spacing w:line="240" w:lineRule="auto"/>
        <w:ind w:left="720"/>
      </w:pPr>
      <w:r/>
      <w:r>
        <w:t>pécher délibérément (</w:t>
      </w:r>
      <w:hyperlink r:id="rId1609">
        <w:r>
          <w:rPr>
            <w:color w:val="0000EE"/>
            <w:u w:val="single"/>
          </w:rPr>
          <w:t>Nb 15.30–31</w:t>
        </w:r>
      </w:hyperlink>
      <w:r>
        <w:t>)</w:t>
      </w:r>
    </w:p>
    <w:p>
      <w:pPr>
        <w:pStyle w:val="ListBullet"/>
        <w:spacing w:line="240" w:lineRule="auto"/>
        <w:ind w:left="720"/>
      </w:pPr>
      <w:r/>
      <w:r>
        <w:t>ne pas se soumettre à la purification rituelle après un contact avec un cadavre (</w:t>
      </w:r>
      <w:hyperlink r:id="rId1610">
        <w:r>
          <w:rPr>
            <w:color w:val="0000EE"/>
            <w:u w:val="single"/>
          </w:rPr>
          <w:t>Nb 19.11–20</w:t>
        </w:r>
      </w:hyperlink>
      <w:r>
        <w:t>)</w:t>
      </w:r>
    </w:p>
    <w:p>
      <w:r/>
      <w:r>
        <w:t>Être « retranché » signifiait probablement l'exclusion de la vie sociale et religieuse (</w:t>
      </w:r>
      <w:hyperlink r:id="rId1611">
        <w:r>
          <w:rPr>
            <w:color w:val="0000EE"/>
            <w:u w:val="single"/>
          </w:rPr>
          <w:t>Jn 9.18</w:t>
        </w:r>
      </w:hyperlink>
      <w:hyperlink r:id="rId1612">
        <w:r>
          <w:rPr>
            <w:color w:val="0000EE"/>
            <w:u w:val="single"/>
          </w:rPr>
          <w:t>–</w:t>
        </w:r>
      </w:hyperlink>
      <w:hyperlink r:id="rId1611">
        <w:r>
          <w:rPr>
            <w:color w:val="0000EE"/>
            <w:u w:val="single"/>
          </w:rPr>
          <w:t>23, 34</w:t>
        </w:r>
      </w:hyperlink>
      <w:r>
        <w:t>). Après l'exil, lorsque la nation d'Israël a été bannie, la déshérence et l'excommunication permanente du peuple de Dieu sont devenues des punitions formelles (</w:t>
      </w:r>
      <w:hyperlink r:id="rId1613">
        <w:r>
          <w:rPr>
            <w:color w:val="0000EE"/>
            <w:u w:val="single"/>
          </w:rPr>
          <w:t>Esd 10.7–8</w:t>
        </w:r>
      </w:hyperlink>
      <w:r>
        <w:t>).</w:t>
      </w:r>
    </w:p>
    <w:p>
      <w:r/>
      <w:r>
        <w:t>Les Romains, comme d'autres conquérants, utilisaient la déportation comme forme de punition. Par exemple, les Juifs ont été bannis de Rome sous l'empereur Claude en raison de controverses (</w:t>
      </w:r>
      <w:hyperlink r:id="rId1614">
        <w:r>
          <w:rPr>
            <w:color w:val="0000EE"/>
            <w:u w:val="single"/>
          </w:rPr>
          <w:t>Ac 18.2</w:t>
        </w:r>
      </w:hyperlink>
      <w:r>
        <w:t>). L'auteur de l'Apocalypse a été exilé sur l'île de Patmos pendant la persécution romaine (</w:t>
      </w:r>
      <w:hyperlink r:id="rId1615">
        <w:r>
          <w:rPr>
            <w:color w:val="0000EE"/>
            <w:u w:val="single"/>
          </w:rPr>
          <w:t>Ap 1.9</w:t>
        </w:r>
      </w:hyperlink>
      <w:r>
        <w:t>). Des formes plus sévères de bannissement incluaient l'exclusion permanente d'une région, la perte de citoyenneté et la confiscation de biens.</w:t>
      </w:r>
    </w:p>
    <w:p>
      <w:r/>
      <w:r>
        <w:rPr>
          <w:i/>
        </w:rPr>
        <w:t>Voir aussi</w:t>
      </w:r>
      <w:r>
        <w:t xml:space="preserve"> </w:t>
      </w:r>
      <w:r>
        <w:t>Diaspora juive</w:t>
      </w:r>
      <w:r>
        <w:t>.</w:t>
      </w:r>
      <w:r/>
      <w:r/>
    </w:p>
    <w:p>
      <w:r/>
    </w:p>
    <w:p>
      <w:pPr>
        <w:pStyle w:val="Heading2"/>
      </w:pPr>
      <w:r>
        <w:t>Banquet</w:t>
      </w:r>
      <w:r/>
    </w:p>
    <w:p>
      <w:r/>
      <w:r>
        <w:t>Grand repas cérémonial organisé pour célébrer un événement ou une personne importante. Il symbolise également le futur festin que le Christ tiendra dans le royaume de Dieu.</w:t>
      </w:r>
    </w:p>
    <w:p>
      <w:r/>
      <w:r>
        <w:t>À l'époque biblique, les banquets et les festins étaient au cœur de la vie sociale et religieuse. En plus des fêtes religieuses établies par la loi mosaïque, les gens célébraient avec des banquets lors de diverses occasions joyeuses ou significatives, telles que :</w:t>
      </w:r>
    </w:p>
    <w:p>
      <w:pPr>
        <w:pStyle w:val="ListBullet"/>
        <w:spacing w:line="240" w:lineRule="auto"/>
        <w:ind w:left="720"/>
      </w:pPr>
      <w:r/>
      <w:r>
        <w:t>Les accords formels (</w:t>
      </w:r>
      <w:hyperlink r:id="rId1616">
        <w:r>
          <w:rPr>
            <w:color w:val="0000EE"/>
            <w:u w:val="single"/>
          </w:rPr>
          <w:t>Gn 26.30</w:t>
        </w:r>
      </w:hyperlink>
      <w:r>
        <w:t xml:space="preserve"> ; </w:t>
      </w:r>
      <w:hyperlink r:id="rId1617">
        <w:r>
          <w:rPr>
            <w:color w:val="0000EE"/>
            <w:u w:val="single"/>
          </w:rPr>
          <w:t>31.54</w:t>
        </w:r>
      </w:hyperlink>
      <w:r>
        <w:t xml:space="preserve"> ; </w:t>
      </w:r>
      <w:hyperlink r:id="rId1618">
        <w:r>
          <w:rPr>
            <w:color w:val="0000EE"/>
            <w:u w:val="single"/>
          </w:rPr>
          <w:t>Ex 24.11</w:t>
        </w:r>
      </w:hyperlink>
      <w:r>
        <w:t>)</w:t>
      </w:r>
    </w:p>
    <w:p>
      <w:pPr>
        <w:pStyle w:val="ListBullet"/>
        <w:spacing w:line="240" w:lineRule="auto"/>
        <w:ind w:left="720"/>
      </w:pPr>
      <w:r/>
      <w:r>
        <w:t>Les mariages (</w:t>
      </w:r>
      <w:hyperlink r:id="rId1619">
        <w:r>
          <w:rPr>
            <w:color w:val="0000EE"/>
            <w:u w:val="single"/>
          </w:rPr>
          <w:t>Gn 29.22</w:t>
        </w:r>
      </w:hyperlink>
      <w:r>
        <w:t xml:space="preserve"> ; </w:t>
      </w:r>
      <w:hyperlink r:id="rId1620">
        <w:r>
          <w:rPr>
            <w:color w:val="0000EE"/>
            <w:u w:val="single"/>
          </w:rPr>
          <w:t>Jg 14.10</w:t>
        </w:r>
      </w:hyperlink>
      <w:r>
        <w:t>)</w:t>
      </w:r>
    </w:p>
    <w:p>
      <w:pPr>
        <w:pStyle w:val="ListBullet"/>
        <w:spacing w:line="240" w:lineRule="auto"/>
        <w:ind w:left="720"/>
      </w:pPr>
      <w:r/>
      <w:r>
        <w:t>Les récoltes (</w:t>
      </w:r>
      <w:hyperlink r:id="rId474">
        <w:r>
          <w:rPr>
            <w:color w:val="0000EE"/>
            <w:u w:val="single"/>
          </w:rPr>
          <w:t>Jg 9.27</w:t>
        </w:r>
      </w:hyperlink>
      <w:r>
        <w:t xml:space="preserve"> ; </w:t>
      </w:r>
      <w:hyperlink r:id="rId1621">
        <w:r>
          <w:rPr>
            <w:color w:val="0000EE"/>
            <w:u w:val="single"/>
          </w:rPr>
          <w:t>Rt 3.1–3</w:t>
        </w:r>
      </w:hyperlink>
      <w:r>
        <w:t>)</w:t>
      </w:r>
    </w:p>
    <w:p>
      <w:pPr>
        <w:pStyle w:val="ListBullet"/>
        <w:spacing w:line="240" w:lineRule="auto"/>
        <w:ind w:left="720"/>
      </w:pPr>
      <w:r/>
      <w:r>
        <w:t>La tonte de moutons (</w:t>
      </w:r>
      <w:hyperlink r:id="rId1622">
        <w:r>
          <w:rPr>
            <w:color w:val="0000EE"/>
            <w:u w:val="single"/>
          </w:rPr>
          <w:t>1S 25.11</w:t>
        </w:r>
      </w:hyperlink>
      <w:r>
        <w:t xml:space="preserve"> ; </w:t>
      </w:r>
      <w:hyperlink r:id="rId1623">
        <w:r>
          <w:rPr>
            <w:color w:val="0000EE"/>
            <w:u w:val="single"/>
          </w:rPr>
          <w:t>2S 13.23–29</w:t>
        </w:r>
      </w:hyperlink>
      <w:r>
        <w:t>)</w:t>
      </w:r>
    </w:p>
    <w:p>
      <w:pPr>
        <w:pStyle w:val="ListBullet"/>
        <w:spacing w:line="240" w:lineRule="auto"/>
        <w:ind w:left="720"/>
      </w:pPr>
      <w:r/>
      <w:r>
        <w:t>L'accueil d'invités (</w:t>
      </w:r>
      <w:hyperlink r:id="rId1624">
        <w:r>
          <w:rPr>
            <w:color w:val="0000EE"/>
            <w:u w:val="single"/>
          </w:rPr>
          <w:t>Gn 19.3</w:t>
        </w:r>
      </w:hyperlink>
      <w:r>
        <w:t>)</w:t>
      </w:r>
    </w:p>
    <w:p>
      <w:pPr>
        <w:pStyle w:val="ListBullet"/>
        <w:spacing w:line="240" w:lineRule="auto"/>
        <w:ind w:left="720"/>
      </w:pPr>
      <w:r/>
      <w:r>
        <w:t>Le sevrage d'un enfant (</w:t>
      </w:r>
      <w:hyperlink r:id="rId1625">
        <w:r>
          <w:rPr>
            <w:color w:val="0000EE"/>
            <w:u w:val="single"/>
          </w:rPr>
          <w:t>Gn 21.8</w:t>
        </w:r>
      </w:hyperlink>
      <w:r>
        <w:t>)</w:t>
      </w:r>
    </w:p>
    <w:p>
      <w:pPr>
        <w:pStyle w:val="ListBullet"/>
        <w:spacing w:line="240" w:lineRule="auto"/>
        <w:ind w:left="720"/>
      </w:pPr>
      <w:r/>
      <w:r>
        <w:t>Les cérémonies de couronnement d'un roi ou d'une reine (</w:t>
      </w:r>
      <w:hyperlink r:id="rId1626">
        <w:r>
          <w:rPr>
            <w:color w:val="0000EE"/>
            <w:u w:val="single"/>
          </w:rPr>
          <w:t>1R 1.9, 19</w:t>
        </w:r>
      </w:hyperlink>
      <w:hyperlink r:id="rId1627">
        <w:r>
          <w:rPr>
            <w:color w:val="0000EE"/>
            <w:u w:val="single"/>
          </w:rPr>
          <w:t>–</w:t>
        </w:r>
      </w:hyperlink>
      <w:hyperlink r:id="rId1626">
        <w:r>
          <w:rPr>
            <w:color w:val="0000EE"/>
            <w:u w:val="single"/>
          </w:rPr>
          <w:t>25</w:t>
        </w:r>
      </w:hyperlink>
      <w:r>
        <w:t>)</w:t>
      </w:r>
    </w:p>
    <w:p>
      <w:pPr>
        <w:pStyle w:val="ListBullet"/>
        <w:spacing w:line="240" w:lineRule="auto"/>
        <w:ind w:left="720"/>
      </w:pPr>
      <w:r/>
      <w:r>
        <w:t>Les événements d'État (</w:t>
      </w:r>
      <w:hyperlink r:id="rId1628">
        <w:r>
          <w:rPr>
            <w:color w:val="0000EE"/>
            <w:u w:val="single"/>
          </w:rPr>
          <w:t>Est 1.3–9</w:t>
        </w:r>
      </w:hyperlink>
      <w:r>
        <w:t xml:space="preserve">; </w:t>
      </w:r>
      <w:hyperlink r:id="rId1629">
        <w:r>
          <w:rPr>
            <w:color w:val="0000EE"/>
            <w:u w:val="single"/>
          </w:rPr>
          <w:t>2.18</w:t>
        </w:r>
      </w:hyperlink>
      <w:r>
        <w:t xml:space="preserve">; </w:t>
      </w:r>
      <w:hyperlink r:id="rId1630">
        <w:r>
          <w:rPr>
            <w:color w:val="0000EE"/>
            <w:u w:val="single"/>
          </w:rPr>
          <w:t>5.4–8</w:t>
        </w:r>
      </w:hyperlink>
      <w:r>
        <w:t>)</w:t>
      </w:r>
    </w:p>
    <w:p>
      <w:pPr>
        <w:pStyle w:val="ListBullet"/>
        <w:spacing w:line="240" w:lineRule="auto"/>
        <w:ind w:left="720"/>
      </w:pPr>
      <w:r/>
      <w:r>
        <w:t>Ainsi que pour de nombreuses autres raisons.</w:t>
      </w:r>
    </w:p>
    <w:p>
      <w:r/>
      <w:r>
        <w:t xml:space="preserve">Les coutumes lors de banquets des anciennes cultures du Moyen-Orient sont décrites dans la Bible et d'autres textes anciens. Les objets trouvés par les personnes qui étudient les cultures anciennes montrent souvent des scènes de banquets. Le processus d'organisation d'un banquet dans les textes bibliques, tels que </w:t>
      </w:r>
      <w:hyperlink r:id="rId1631">
        <w:r>
          <w:rPr>
            <w:color w:val="0000EE"/>
            <w:u w:val="single"/>
          </w:rPr>
          <w:t>Proverbes 9.2–5</w:t>
        </w:r>
      </w:hyperlink>
      <w:r>
        <w:t xml:space="preserve">, </w:t>
      </w:r>
      <w:hyperlink r:id="rId1632">
        <w:r>
          <w:rPr>
            <w:color w:val="0000EE"/>
            <w:u w:val="single"/>
          </w:rPr>
          <w:t>Matthieu 22.1–14</w:t>
        </w:r>
      </w:hyperlink>
      <w:r>
        <w:t xml:space="preserve">, et </w:t>
      </w:r>
      <w:hyperlink r:id="rId1633">
        <w:r>
          <w:rPr>
            <w:color w:val="0000EE"/>
            <w:u w:val="single"/>
          </w:rPr>
          <w:t>Luc 14.15–24,</w:t>
        </w:r>
      </w:hyperlink>
      <w:r>
        <w:t xml:space="preserve"> est également connu de la légende du roi Keret dans la littérature ougaritique :</w:t>
      </w:r>
    </w:p>
    <w:p>
      <w:pPr>
        <w:pStyle w:val="ListNumber"/>
        <w:spacing w:line="240" w:lineRule="auto"/>
        <w:ind w:left="720"/>
      </w:pPr>
      <w:r/>
      <w:r>
        <w:t>Préparation des aliments</w:t>
      </w:r>
    </w:p>
    <w:p>
      <w:pPr>
        <w:pStyle w:val="ListNumber"/>
        <w:spacing w:line="240" w:lineRule="auto"/>
        <w:ind w:left="720"/>
      </w:pPr>
      <w:r/>
      <w:r>
        <w:t>Envoi de messagers portant l'invitation et l'annonce que tout est prêt.</w:t>
      </w:r>
    </w:p>
    <w:p>
      <w:pPr>
        <w:pStyle w:val="ListNumber"/>
        <w:spacing w:line="240" w:lineRule="auto"/>
        <w:ind w:left="720"/>
      </w:pPr>
      <w:r/>
      <w:r>
        <w:t>Présentation des plats et des vins dans l'ordre</w:t>
      </w:r>
    </w:p>
    <w:p>
      <w:r/>
      <w:r>
        <w:t>Le prophète Amos décrit de grands festins et montre les principales coutumes alimentaires (</w:t>
      </w:r>
      <w:hyperlink r:id="rId1634">
        <w:r>
          <w:rPr>
            <w:color w:val="0000EE"/>
            <w:u w:val="single"/>
          </w:rPr>
          <w:t>Am 6.4–6</w:t>
        </w:r>
      </w:hyperlink>
      <w:r>
        <w:t>). Les repas étaient généralement dégustés en s'allongeant sur un canapé devant une table (</w:t>
      </w:r>
      <w:hyperlink r:id="rId1635">
        <w:r>
          <w:rPr>
            <w:color w:val="0000EE"/>
            <w:u w:val="single"/>
          </w:rPr>
          <w:t>Est 1.6</w:t>
        </w:r>
      </w:hyperlink>
      <w:r>
        <w:t xml:space="preserve"> ; </w:t>
      </w:r>
      <w:hyperlink r:id="rId1540">
        <w:r>
          <w:rPr>
            <w:color w:val="0000EE"/>
            <w:u w:val="single"/>
          </w:rPr>
          <w:t>Ez 23.41</w:t>
        </w:r>
      </w:hyperlink>
      <w:r>
        <w:t xml:space="preserve"> ; </w:t>
      </w:r>
      <w:hyperlink r:id="rId802">
        <w:r>
          <w:rPr>
            <w:color w:val="0000EE"/>
            <w:u w:val="single"/>
          </w:rPr>
          <w:t>Am 6.4</w:t>
        </w:r>
      </w:hyperlink>
      <w:r>
        <w:t xml:space="preserve"> ; </w:t>
      </w:r>
      <w:hyperlink r:id="rId1636">
        <w:r>
          <w:rPr>
            <w:color w:val="0000EE"/>
            <w:u w:val="single"/>
          </w:rPr>
          <w:t>Mt 9.10</w:t>
        </w:r>
      </w:hyperlink>
      <w:r>
        <w:t xml:space="preserve"> ; </w:t>
      </w:r>
      <w:hyperlink r:id="rId1637">
        <w:r>
          <w:rPr>
            <w:color w:val="0000EE"/>
            <w:u w:val="single"/>
          </w:rPr>
          <w:t>Lc 7.49</w:t>
        </w:r>
      </w:hyperlink>
      <w:r>
        <w:t xml:space="preserve"> ; </w:t>
      </w:r>
      <w:hyperlink r:id="rId1638">
        <w:r>
          <w:rPr>
            <w:color w:val="0000EE"/>
            <w:u w:val="single"/>
          </w:rPr>
          <w:t>14.10, 15</w:t>
        </w:r>
      </w:hyperlink>
      <w:r>
        <w:t>).</w:t>
      </w:r>
    </w:p>
    <w:p>
      <w:r/>
      <w:r>
        <w:t>Les images de banquet sont significatives dans les Ancien et Nouveau Testaments comme symbole du royaume de Dieu. Ésaïe prédit un grand banquet suivant le jugement des nations et la délivrance d'Israël, où le Seigneur règne sur son peuple (</w:t>
      </w:r>
      <w:hyperlink r:id="rId1639">
        <w:r>
          <w:rPr>
            <w:color w:val="0000EE"/>
            <w:u w:val="single"/>
          </w:rPr>
          <w:t>Es 24.23</w:t>
        </w:r>
      </w:hyperlink>
      <w:r>
        <w:t>). Le début de ce règne est célébré par un immense banquet avec tous les peuples (</w:t>
      </w:r>
      <w:hyperlink r:id="rId1640">
        <w:r>
          <w:rPr>
            <w:color w:val="0000EE"/>
            <w:u w:val="single"/>
          </w:rPr>
          <w:t>Es 25.6–8</w:t>
        </w:r>
      </w:hyperlink>
      <w:r>
        <w:t xml:space="preserve"> ; voir </w:t>
      </w:r>
      <w:hyperlink r:id="rId1641">
        <w:r>
          <w:rPr>
            <w:color w:val="0000EE"/>
            <w:u w:val="single"/>
          </w:rPr>
          <w:t>Lc 13.29</w:t>
        </w:r>
      </w:hyperlink>
      <w:r>
        <w:t>). Les repas de sacrifice animal de l'Ancien Testament pointent vers ce grand festin où il n'y aura plus de mort ni de chagrin pour le peuple de Dieu (</w:t>
      </w:r>
      <w:hyperlink r:id="rId1642">
        <w:r>
          <w:rPr>
            <w:color w:val="0000EE"/>
            <w:u w:val="single"/>
          </w:rPr>
          <w:t>Es 25.7</w:t>
        </w:r>
      </w:hyperlink>
      <w:r>
        <w:t xml:space="preserve"> ; voir </w:t>
      </w:r>
      <w:hyperlink r:id="rId1643">
        <w:r>
          <w:rPr>
            <w:color w:val="0000EE"/>
            <w:u w:val="single"/>
          </w:rPr>
          <w:t>Ap 21.4</w:t>
        </w:r>
      </w:hyperlink>
      <w:r>
        <w:t>). Le banquet de la nouvelle alliance indique l'avenir dans lequel les rachetés partageront du bon vin (</w:t>
      </w:r>
      <w:hyperlink r:id="rId1644">
        <w:r>
          <w:rPr>
            <w:color w:val="0000EE"/>
            <w:u w:val="single"/>
          </w:rPr>
          <w:t>Es 25.6</w:t>
        </w:r>
      </w:hyperlink>
      <w:r>
        <w:t>) avec Christ dans le royaume de Dieu (</w:t>
      </w:r>
      <w:hyperlink r:id="rId1645">
        <w:r>
          <w:rPr>
            <w:color w:val="0000EE"/>
            <w:u w:val="single"/>
          </w:rPr>
          <w:t>Lc 22.14–20</w:t>
        </w:r>
      </w:hyperlink>
      <w:r>
        <w:t>). Participer au Repas du Seigneur (Communion) est une manière pour les chrétiens d'anticiper ce futur festin.</w:t>
      </w:r>
    </w:p>
    <w:p>
      <w:r/>
      <w:r>
        <w:t>Ce banquet final dans le royaume de Dieu est également décrit comme un festin de noces. Bien que tout soit prêt et que beaucoup soient invités, seuls quelques-uns sont choisis (</w:t>
      </w:r>
      <w:hyperlink r:id="rId1632">
        <w:r>
          <w:rPr>
            <w:color w:val="0000EE"/>
            <w:u w:val="single"/>
          </w:rPr>
          <w:t>Mt 22.1–14</w:t>
        </w:r>
      </w:hyperlink>
      <w:r>
        <w:t>). L'Église attend avec impatience le festin des noces de l'Agneau (</w:t>
      </w:r>
      <w:hyperlink r:id="rId1646">
        <w:r>
          <w:rPr>
            <w:color w:val="0000EE"/>
            <w:u w:val="single"/>
          </w:rPr>
          <w:t>Ap 19.7–9</w:t>
        </w:r>
      </w:hyperlink>
      <w:r>
        <w:t>).</w:t>
      </w:r>
      <w:r/>
      <w:r/>
    </w:p>
    <w:p>
      <w:r/>
    </w:p>
    <w:p>
      <w:pPr>
        <w:pStyle w:val="Heading2"/>
      </w:pPr>
      <w:r>
        <w:t>baptême de feu</w:t>
      </w:r>
      <w:r/>
    </w:p>
    <w:p>
      <w:r/>
      <w:r>
        <w:t>Image que Jean-Baptiste utilise pour décrire ce que le Messie fera à sa venue. Jean prêchait un baptême de repentance. Ceux qui confessaient leurs péchés se faisaient baptiser dans l'eau. Il annonçait aussi que son baptême préparait la venue du Messie : « Moi, je vous baptise d’eau, pour vous amener à la repentance ; mais celui qui vient après moi est plus puissant que moi, et je ne suis pas digne de porter ses souliers. Lui, il vous baptisera du Saint-Esprit et de feu » (</w:t>
      </w:r>
      <w:hyperlink r:id="rId1647">
        <w:r>
          <w:rPr>
            <w:color w:val="0000EE"/>
            <w:u w:val="single"/>
          </w:rPr>
          <w:t>Mt 3.11</w:t>
        </w:r>
      </w:hyperlink>
      <w:r>
        <w:t xml:space="preserve"> ; </w:t>
      </w:r>
      <w:hyperlink r:id="rId1648">
        <w:r>
          <w:rPr>
            <w:color w:val="0000EE"/>
            <w:u w:val="single"/>
          </w:rPr>
          <w:t>Lc 3.16</w:t>
        </w:r>
      </w:hyperlink>
      <w:r>
        <w:t xml:space="preserve">). </w:t>
      </w:r>
    </w:p>
    <w:p>
      <w:r/>
      <w:r>
        <w:t xml:space="preserve">Le contexte de ce passage indique très clairement que le feu représente ici le jugement. Il est possible que ce feu doive purifier ceux qui se repentent (voir </w:t>
      </w:r>
      <w:hyperlink r:id="rId1560">
        <w:r>
          <w:rPr>
            <w:color w:val="0000EE"/>
            <w:u w:val="single"/>
          </w:rPr>
          <w:t>Es 4.4</w:t>
        </w:r>
      </w:hyperlink>
      <w:r>
        <w:t xml:space="preserve"> ; </w:t>
      </w:r>
      <w:hyperlink r:id="rId1649">
        <w:r>
          <w:rPr>
            <w:color w:val="0000EE"/>
            <w:u w:val="single"/>
          </w:rPr>
          <w:t>Ml 3.2–3</w:t>
        </w:r>
      </w:hyperlink>
      <w:r>
        <w:t>), en plus de détruire ceux qui ne se repentent pas (</w:t>
      </w:r>
      <w:hyperlink r:id="rId1650">
        <w:r>
          <w:rPr>
            <w:color w:val="0000EE"/>
            <w:u w:val="single"/>
          </w:rPr>
          <w:t>Ml 4.1</w:t>
        </w:r>
      </w:hyperlink>
      <w:r>
        <w:t xml:space="preserve"> ; </w:t>
      </w:r>
      <w:hyperlink r:id="rId1651">
        <w:r>
          <w:rPr>
            <w:color w:val="0000EE"/>
            <w:u w:val="single"/>
          </w:rPr>
          <w:t>Mt 3.10, 12</w:t>
        </w:r>
      </w:hyperlink>
      <w:r>
        <w:t>).</w:t>
      </w:r>
    </w:p>
    <w:p>
      <w:r/>
      <w:r>
        <w:t xml:space="preserve">Les prophètes et les auteurs de textes apocalyptiques disaient souvent qu'il était nécessaire qu'une période de tribulations et de souffrances vienne avant l'arrivée du Messie et du nouvel âge. Ils en parlent comme de souffrances, plaies ou douleurs messianiques, de douleurs de l'enfantement du Messie ou encore comme d'une rivière de feu. </w:t>
      </w:r>
    </w:p>
    <w:p>
      <w:r/>
      <w:r>
        <w:t xml:space="preserve">Ce dont Jean-Baptiste a parlé est similaire à ce qui est dit dans d'autres écrits comme </w:t>
      </w:r>
      <w:hyperlink r:id="rId1652">
        <w:r>
          <w:rPr>
            <w:color w:val="0000EE"/>
            <w:u w:val="single"/>
          </w:rPr>
          <w:t>Ésaïe 30.27–28</w:t>
        </w:r>
      </w:hyperlink>
      <w:r>
        <w:t xml:space="preserve"> et </w:t>
      </w:r>
      <w:hyperlink r:id="rId1653">
        <w:r>
          <w:rPr>
            <w:color w:val="0000EE"/>
            <w:u w:val="single"/>
          </w:rPr>
          <w:t xml:space="preserve">2 Esdras 13.10–11 </w:t>
        </w:r>
      </w:hyperlink>
      <w:r>
        <w:t>(un livre juif qui ne fait pas partie de la Bible). Jean-Baptiste adapte son message à propos du Messie en utilisant son baptême pour donner une image de ce qui va arriver. « Baptiser de feu » signifie probablement le jugement purificateur qui amène le nouvel âge et y fait entrer les repentants.</w:t>
      </w:r>
    </w:p>
    <w:p>
      <w:r/>
      <w:r>
        <w:t xml:space="preserve">Le baptême de feu n'est pas mentionné ailleurs dans la Bible. Les Évangiles de Marc et de Jean n'incluent qu'une version abrégée du message de Jean le Baptiste. Cette version abrégée ne parle pas de ce jugement. </w:t>
      </w:r>
    </w:p>
    <w:p>
      <w:r/>
      <w:r>
        <w:t>Lorsque le Saint-Esprit vient à la Pentecôte sur les disciples, ce que Jean avait annoncé sur le baptême du Saint-Esprit s'accomplit enfin. Dans l'enseignement de Jésus, le feu de purification est un événement encore futur (</w:t>
      </w:r>
      <w:hyperlink r:id="rId1654">
        <w:r>
          <w:rPr>
            <w:color w:val="0000EE"/>
            <w:u w:val="single"/>
          </w:rPr>
          <w:t>Mc 9.49</w:t>
        </w:r>
      </w:hyperlink>
      <w:r>
        <w:t>). Toutefois, Jésus parle aussi de sa mission et de sa propre mort comme d'un feu et d'un baptême (</w:t>
      </w:r>
      <w:hyperlink r:id="rId1655">
        <w:r>
          <w:rPr>
            <w:color w:val="0000EE"/>
            <w:u w:val="single"/>
          </w:rPr>
          <w:t>Lc 12.49–50</w:t>
        </w:r>
      </w:hyperlink>
      <w:r>
        <w:t>). Il est possible de penser à sa mort comme à un baptême de feu qu'il a subi pour ceux qu'il sauve.</w:t>
      </w:r>
    </w:p>
    <w:p>
      <w:r/>
      <w:r>
        <w:t>Plus tard, l'apôtre Paul écrit que ceux qui sont baptisés en Christ sont baptisés en sa mort (</w:t>
      </w:r>
      <w:hyperlink r:id="rId1656">
        <w:r>
          <w:rPr>
            <w:color w:val="0000EE"/>
            <w:u w:val="single"/>
          </w:rPr>
          <w:t>Rm 6.3</w:t>
        </w:r>
      </w:hyperlink>
      <w:r>
        <w:t>). Si le feu purificateur dont Jean parlait comme un baptême avait pour but d'enlever les péchés de ceux qui se repentent, alors cela s'est réalisé par la mort de Jésus. Ceux qui obéissent à l'Évangile sont unis à Christ et souffrent avec lui pour le royaume de Dieu. C'est ainsi qu'ils reçoivent aussi la puissance de sa résurrection (</w:t>
      </w:r>
      <w:hyperlink r:id="rId1657">
        <w:r>
          <w:rPr>
            <w:color w:val="0000EE"/>
            <w:u w:val="single"/>
          </w:rPr>
          <w:t>Rm 6.5</w:t>
        </w:r>
      </w:hyperlink>
      <w:r>
        <w:t xml:space="preserve"> ; </w:t>
      </w:r>
      <w:hyperlink r:id="rId1658">
        <w:r>
          <w:rPr>
            <w:color w:val="0000EE"/>
            <w:u w:val="single"/>
          </w:rPr>
          <w:t>8.17–23</w:t>
        </w:r>
      </w:hyperlink>
      <w:r>
        <w:t xml:space="preserve"> ; </w:t>
      </w:r>
      <w:hyperlink r:id="rId1659">
        <w:r>
          <w:rPr>
            <w:color w:val="0000EE"/>
            <w:u w:val="single"/>
          </w:rPr>
          <w:t>Ph 3.10–11</w:t>
        </w:r>
      </w:hyperlink>
      <w:r>
        <w:t>).</w:t>
      </w:r>
    </w:p>
    <w:p>
      <w:r/>
      <w:r>
        <w:rPr>
          <w:i/>
        </w:rPr>
        <w:t>Voir aussi</w:t>
      </w:r>
      <w:r>
        <w:t xml:space="preserve"> </w:t>
      </w:r>
      <w:r>
        <w:t>baptême</w:t>
      </w:r>
      <w:r>
        <w:t xml:space="preserve"> ; </w:t>
      </w:r>
      <w:r>
        <w:t>baptême de l'Esprit</w:t>
      </w:r>
      <w:r>
        <w:t>.</w:t>
      </w:r>
      <w:r/>
      <w:r/>
    </w:p>
    <w:p>
      <w:r/>
    </w:p>
    <w:p>
      <w:pPr>
        <w:pStyle w:val="Heading2"/>
      </w:pPr>
      <w:r>
        <w:t>baptême des morts</w:t>
      </w:r>
      <w:r/>
    </w:p>
    <w:p>
      <w:r/>
      <w:r>
        <w:t xml:space="preserve">Pratique dont la signification est incertaine et qui mentionnée une seule fois dans le Nouveau Testament (NT). Paul en parle dans </w:t>
      </w:r>
      <w:hyperlink r:id="rId1660">
        <w:r>
          <w:rPr>
            <w:color w:val="0000EE"/>
            <w:u w:val="single"/>
          </w:rPr>
          <w:t>1 Corinthiens 15.29</w:t>
        </w:r>
      </w:hyperlink>
      <w:r>
        <w:t xml:space="preserve">. Le sens de ce verset a été l'objet de beaucoup de débats et d'interprétations différentes. Deux questions principales ressortent de ce verset : </w:t>
      </w:r>
    </w:p>
    <w:p>
      <w:pPr>
        <w:pStyle w:val="ListNumber"/>
        <w:spacing w:line="240" w:lineRule="auto"/>
        <w:ind w:left="720"/>
      </w:pPr>
      <w:r/>
      <w:r>
        <w:t>Qu'était exactement le baptême des morts ?</w:t>
      </w:r>
    </w:p>
    <w:p>
      <w:pPr>
        <w:pStyle w:val="ListNumber"/>
        <w:spacing w:line="240" w:lineRule="auto"/>
        <w:ind w:left="720"/>
      </w:pPr>
      <w:r/>
      <w:r>
        <w:t>Est-ce que Paul en approuvait la pratique ?</w:t>
      </w:r>
    </w:p>
    <w:p>
      <w:pPr>
        <w:pStyle w:val="Heading3"/>
      </w:pPr>
      <w:r>
        <w:t>Interprétations du baptême des morts</w:t>
      </w:r>
    </w:p>
    <w:p>
      <w:r/>
      <w:r>
        <w:t>Le sens de « baptiser pour les morts » est le plus souvent compris de trois façons différentes. Certains pensent que le mot « baptême » ne signifie pas ici un baptême au sens littéral, comme quand un disciple se fait baptiser avec de l'eau. D'autres pensent qu'au contraire, il s'agit effectivement d'un véritable baptême physique. Enfin, d'autres encore pensent qu'il s'agit d'un baptême dans lequel une personne vivante se fait baptiser à la place d'une personne décédée. Voici une explication plus détaillée de ces trois types d'interprétations :</w:t>
      </w:r>
    </w:p>
    <w:p>
      <w:r/>
      <w:r>
        <w:t xml:space="preserve">Dans </w:t>
      </w:r>
      <w:hyperlink r:id="rId1661">
        <w:r>
          <w:rPr>
            <w:color w:val="0000EE"/>
            <w:u w:val="single"/>
          </w:rPr>
          <w:t>Marc 10.38</w:t>
        </w:r>
      </w:hyperlink>
      <w:r>
        <w:t xml:space="preserve"> et </w:t>
      </w:r>
      <w:hyperlink r:id="rId1662">
        <w:r>
          <w:rPr>
            <w:color w:val="0000EE"/>
            <w:u w:val="single"/>
          </w:rPr>
          <w:t>Luc 12.50,</w:t>
        </w:r>
      </w:hyperlink>
      <w:r>
        <w:t xml:space="preserve"> le mot « baptême » est utilisé pour signifier l'expérience de souffrances ou de la mort pour la foi. Certains proposent que c'est ainsi qu'il faut comprendre « baptiser les morts » (c'est-à-dire se faire baptiser en vue d'une mort prochaine). </w:t>
      </w:r>
    </w:p>
    <w:p>
      <w:r/>
      <w:r>
        <w:t xml:space="preserve">Toutefois, beaucoup pensent que baptiser doit être compris dans son sens ordinaire : une personne se faisant baptiser pour son propre bénéfice. Martin Luther interprétait le sens des paroles de Paul en grec comme signifiant non pas « baptiser [pour] les morts », mais « baptiser sur [dessus] les morts ». Il croyait que des gens faisaient faire leurs baptêmes au-dessus de tombes de chrétiens pour affirmer leur foi dans la résurrection. </w:t>
      </w:r>
    </w:p>
    <w:p>
      <w:r/>
      <w:r>
        <w:t>Pour Jean Calvin, ce verset désignait probablement des chrétiens qui voulaient se faire baptiser alors qu'ils allaient bientôt mourir (p. ex. des gens gravement malades). D'autres encore pensent que des nouveaux croyants se faisaient baptiser à cause du témoignage de martyrs chrétiens ou de proches décédés.</w:t>
      </w:r>
    </w:p>
    <w:p>
      <w:pPr>
        <w:pStyle w:val="Heading3"/>
      </w:pPr>
      <w:r>
        <w:t>Le symbolisme du baptême dans 1 Corinthiens</w:t>
      </w:r>
    </w:p>
    <w:p>
      <w:r/>
      <w:r>
        <w:t xml:space="preserve">La façon la plus normale de lire les mots que Paul utilise est qu'il s'agit de se faire baptiser </w:t>
      </w:r>
      <w:r>
        <w:rPr>
          <w:i/>
        </w:rPr>
        <w:t>pour</w:t>
      </w:r>
      <w:r>
        <w:t xml:space="preserve"> les morts, donc pour quelqu'un d'autre que soi-même. Apparemment, certaines personnes à Corinthe se faisaient baptiser pour le bénéfice de personnes décédées. </w:t>
      </w:r>
    </w:p>
    <w:p>
      <w:r/>
      <w:r>
        <w:t>Les Corinthiens avaient des idées fausses à propos du baptême, ce qui explique pourquoi Paul a minimisé son propre rôle en tant que baptiseur (</w:t>
      </w:r>
      <w:hyperlink r:id="rId1663">
        <w:r>
          <w:rPr>
            <w:color w:val="0000EE"/>
            <w:u w:val="single"/>
          </w:rPr>
          <w:t>1Co 1.14–17</w:t>
        </w:r>
      </w:hyperlink>
      <w:r>
        <w:t>).</w:t>
      </w:r>
    </w:p>
    <w:p>
      <w:r/>
      <w:r>
        <w:t>Plus tard dans l'épître, Paul compare l'expérience des Corinthiens à celle d'Israël dans le désert (</w:t>
      </w:r>
      <w:hyperlink r:id="rId1664">
        <w:r>
          <w:rPr>
            <w:color w:val="0000EE"/>
            <w:u w:val="single"/>
          </w:rPr>
          <w:t>1Co 10.1–13</w:t>
        </w:r>
      </w:hyperlink>
      <w:r>
        <w:t xml:space="preserve">). Il rappelle que les Israélites avaient traversé la mer Rouge en disant qu'ils avaient « </w:t>
      </w:r>
      <w:r>
        <w:t>tous été baptisés en Moïse dans la nuée et dans la mer »</w:t>
      </w:r>
      <w:r>
        <w:t>. Paul souligne que les expériences spirituelles importantes des Israélites n'ont pas empêché que beaucoup meurent dans le désert à cause de leurs péchés. Il est possible que des chrétiens de Corinthe pensaient que faire des choses comme se faire baptiser suffirait à leur donner le salut, même s'ils continuaient dans le péché. Si c'était le cas, peut-être que certains pensaient aussi qu'en se faisant baptiser pour des personnes décédées, ces personnes seraient sauvés.</w:t>
      </w:r>
    </w:p>
    <w:p>
      <w:r/>
      <w:r>
        <w:t>Est-ce que Paul donnait son approbation à la pratique du baptême des morts ? Il ne le dit pas. Il ne la mentionne que pour montrer qu'il ne serait pas logique de faire certaines choses s'il n'y a pas de résurrection des morts (</w:t>
      </w:r>
      <w:hyperlink r:id="rId1665">
        <w:r>
          <w:rPr>
            <w:color w:val="0000EE"/>
            <w:u w:val="single"/>
          </w:rPr>
          <w:t>1Co 15.29–34</w:t>
        </w:r>
      </w:hyperlink>
      <w:r>
        <w:t>). S'il n'y a pas de résurrection des morts, alors se faire baptiser pour les morts n'aurait pas de sens. Si les Corinthiens le faisaient, ils ne devraient pas dire aussi qu'il n'y a pas de résurrection.</w:t>
      </w:r>
      <w:r/>
      <w:r/>
    </w:p>
    <w:p>
      <w:r/>
    </w:p>
    <w:p>
      <w:pPr>
        <w:pStyle w:val="Heading2"/>
      </w:pPr>
      <w:r>
        <w:t>Barabbas</w:t>
      </w:r>
      <w:r/>
    </w:p>
    <w:p>
      <w:r/>
      <w:r>
        <w:t>Criminel qui a été libéré à la place de Jésus. Les quatre évangélistes ont tous pris note de cet événement (</w:t>
      </w:r>
      <w:hyperlink r:id="rId1666">
        <w:r>
          <w:rPr>
            <w:color w:val="0000EE"/>
            <w:u w:val="single"/>
          </w:rPr>
          <w:t>Mt 27.15–26</w:t>
        </w:r>
      </w:hyperlink>
      <w:r>
        <w:t xml:space="preserve">; </w:t>
      </w:r>
      <w:hyperlink r:id="rId1667">
        <w:r>
          <w:rPr>
            <w:color w:val="0000EE"/>
            <w:u w:val="single"/>
          </w:rPr>
          <w:t>Mc 15.6–15</w:t>
        </w:r>
      </w:hyperlink>
      <w:r>
        <w:t xml:space="preserve">; </w:t>
      </w:r>
      <w:hyperlink r:id="rId1668">
        <w:r>
          <w:rPr>
            <w:color w:val="0000EE"/>
            <w:u w:val="single"/>
          </w:rPr>
          <w:t>Lc 23.18–25</w:t>
        </w:r>
      </w:hyperlink>
      <w:r>
        <w:t xml:space="preserve">; </w:t>
      </w:r>
      <w:hyperlink r:id="rId1669">
        <w:r>
          <w:rPr>
            <w:color w:val="0000EE"/>
            <w:u w:val="single"/>
          </w:rPr>
          <w:t>Jn 18.39–40</w:t>
        </w:r>
      </w:hyperlink>
      <w:r>
        <w:t>). L'apôtre Pierre l'a également mentionné dans son sermon au temple (</w:t>
      </w:r>
      <w:hyperlink r:id="rId1670">
        <w:r>
          <w:rPr>
            <w:color w:val="0000EE"/>
            <w:u w:val="single"/>
          </w:rPr>
          <w:t>Ac 3.14</w:t>
        </w:r>
      </w:hyperlink>
      <w:r>
        <w:t>).</w:t>
      </w:r>
    </w:p>
    <w:p>
      <w:r/>
      <w:r>
        <w:t>Barabbas était connu comme un bandit ou un révolutionnaire (Jn 18.40) et avait été emprisonné pour meurtre lors d'une rébellion (</w:t>
      </w:r>
      <w:hyperlink r:id="rId1671">
        <w:r>
          <w:rPr>
            <w:color w:val="0000EE"/>
            <w:u w:val="single"/>
          </w:rPr>
          <w:t>Mc 15.7</w:t>
        </w:r>
      </w:hyperlink>
      <w:r>
        <w:t xml:space="preserve"> ; </w:t>
      </w:r>
      <w:hyperlink r:id="rId1672">
        <w:r>
          <w:rPr>
            <w:color w:val="0000EE"/>
            <w:u w:val="single"/>
          </w:rPr>
          <w:t>Lc 23.19</w:t>
        </w:r>
      </w:hyperlink>
      <w:r>
        <w:t xml:space="preserve">). Le mot traduit par « </w:t>
      </w:r>
      <w:r>
        <w:t>brigand</w:t>
      </w:r>
      <w:r>
        <w:t xml:space="preserve"> » dans </w:t>
      </w:r>
      <w:hyperlink r:id="rId1673">
        <w:r>
          <w:rPr>
            <w:color w:val="0000EE"/>
            <w:u w:val="single"/>
          </w:rPr>
          <w:t>Jn 18.40</w:t>
        </w:r>
      </w:hyperlink>
      <w:r>
        <w:t xml:space="preserve"> peut désigner soit un bandit, soit un révolutionnaire. Il était un prisonnier bien connu (</w:t>
      </w:r>
      <w:hyperlink r:id="rId1674">
        <w:r>
          <w:rPr>
            <w:color w:val="0000EE"/>
            <w:u w:val="single"/>
          </w:rPr>
          <w:t>Mt 27.16</w:t>
        </w:r>
      </w:hyperlink>
      <w:r>
        <w:t>). Son crime aurait pu être un vol violent ou une révolte politique contre les autorités romaines à Jérusalem. De nombreux chercheurs pensent que Barabbas pourrait avoir été membre des Zélotes, un groupe juif qui cherchait à renverser la domination romaine par la violence.</w:t>
      </w:r>
    </w:p>
    <w:p>
      <w:r/>
      <w:r>
        <w:t>Ponce Pilate, le gouverneur romain, a trouvé Jésus innocent et voulait le libérer. Cependant, Pilate devait aussi satisfaire les dirigeants juifs pour protéger sa propre position. Pour résoudre ce dilemme, il a proposé de libérer un prisonnier à la foule pendant le festival de la Pâque (</w:t>
      </w:r>
      <w:hyperlink r:id="rId1675">
        <w:r>
          <w:rPr>
            <w:color w:val="0000EE"/>
            <w:u w:val="single"/>
          </w:rPr>
          <w:t>Jn 18.39</w:t>
        </w:r>
      </w:hyperlink>
      <w:r>
        <w:t>). Pilate pensait que la foule choisirait de libérer Jésus, mais il a mal évalué leur humeur ou l'influence des dirigeants juifs (ou les deux). Au lieu de cela, la foule a exigé que Barabbas soit libéré et que Jésus soit crucifié (</w:t>
      </w:r>
      <w:hyperlink r:id="rId1676">
        <w:r>
          <w:rPr>
            <w:color w:val="0000EE"/>
            <w:u w:val="single"/>
          </w:rPr>
          <w:t>Mt 27.21–22</w:t>
        </w:r>
      </w:hyperlink>
      <w:r>
        <w:t>). En conséquence, Jésus a été crucifié, et Barabbas, après avoir été libéré, a disparu à la fois de la Bible et des archives historiques.</w:t>
      </w:r>
      <w:r/>
      <w:r/>
    </w:p>
    <w:p>
      <w:r/>
    </w:p>
    <w:p>
      <w:pPr>
        <w:pStyle w:val="Heading2"/>
      </w:pPr>
      <w:r>
        <w:t>Barakeel</w:t>
      </w:r>
      <w:r/>
    </w:p>
    <w:p>
      <w:r/>
      <w:r>
        <w:t>Barakeel était le père d'Élihu. Il est décrit comme un Buzite (</w:t>
      </w:r>
      <w:hyperlink r:id="rId1677">
        <w:r>
          <w:rPr>
            <w:color w:val="0000EE"/>
            <w:u w:val="single"/>
          </w:rPr>
          <w:t>Jb 32.2, 6</w:t>
        </w:r>
      </w:hyperlink>
      <w:r>
        <w:t xml:space="preserve"> ; voir </w:t>
      </w:r>
      <w:hyperlink r:id="rId1101">
        <w:r>
          <w:rPr>
            <w:color w:val="0000EE"/>
            <w:u w:val="single"/>
          </w:rPr>
          <w:t>Gn 22.21</w:t>
        </w:r>
      </w:hyperlink>
      <w:r>
        <w:t xml:space="preserve"> ; </w:t>
      </w:r>
      <w:hyperlink r:id="rId1678">
        <w:r>
          <w:rPr>
            <w:color w:val="0000EE"/>
            <w:u w:val="single"/>
          </w:rPr>
          <w:t>Jr 25.23</w:t>
        </w:r>
      </w:hyperlink>
      <w:r>
        <w:t>). Élihu essaiera de conseiller Job après les tentatives infructueuses des trois amis plus âgés de Job.</w:t>
      </w:r>
      <w:r/>
      <w:r/>
    </w:p>
    <w:p>
      <w:r/>
    </w:p>
    <w:p>
      <w:pPr>
        <w:pStyle w:val="Heading2"/>
      </w:pPr>
      <w:r>
        <w:t>Barbare</w:t>
      </w:r>
      <w:r/>
    </w:p>
    <w:p>
      <w:r/>
      <w:r>
        <w:t xml:space="preserve">Étranger, en particulier quelqu'un d'une culture considérée comme non avancée ou développée. Le mot grec « </w:t>
      </w:r>
      <w:r>
        <w:rPr>
          <w:i/>
        </w:rPr>
        <w:t>barbarous</w:t>
      </w:r>
      <w:r>
        <w:t xml:space="preserve"> », que nous traduisons par « barbare », provient à l'origine du son répétitif et absurde « </w:t>
      </w:r>
      <w:r>
        <w:rPr>
          <w:i/>
        </w:rPr>
        <w:t>bar-bar</w:t>
      </w:r>
      <w:r>
        <w:t xml:space="preserve"> ». Ce son imite les sons inconnus des langues étrangères. Les Grecs se considéraient comme le peuple le plus cultivé et utilisaient ce terme pour décrire toute personne qui n'était pas grecque. Les Romains, qui ont adopté la culture grecque et se considéraient comme égaux aux Grecs, utilisaient également « barbare » pour désigner les personnes qui ne partageaient pas leurs langues ou leurs coutumes.</w:t>
      </w:r>
    </w:p>
    <w:p>
      <w:r/>
      <w:r>
        <w:t xml:space="preserve">Dans le Nouveau Testament, le mot « barbare » endosse différentes significations. La relation avec la langue est évidente dans une déclaration concernant le parler en langues par le Saint-Esprit. Dans </w:t>
      </w:r>
      <w:hyperlink r:id="rId1679">
        <w:r>
          <w:rPr>
            <w:color w:val="0000EE"/>
            <w:u w:val="single"/>
          </w:rPr>
          <w:t>1 Corinthiens 14.11,</w:t>
        </w:r>
      </w:hyperlink>
      <w:r>
        <w:t xml:space="preserve"> Paul mentionne que si la langue spirituelle d'un chrétien n'est pas comprise, cela ferait du locuteur un « barbare » pour Paul et vice versa. Dans </w:t>
      </w:r>
      <w:hyperlink r:id="rId1680">
        <w:r>
          <w:rPr>
            <w:color w:val="0000EE"/>
            <w:u w:val="single"/>
          </w:rPr>
          <w:t>Actes 28.2–4</w:t>
        </w:r>
      </w:hyperlink>
      <w:r>
        <w:t>, Luc décrit les habitants de Malte comme « barbares », sans que cela soit entendu de manière insultante. Au contraire, il soulignait leur gentillesse envers Paul après son naufrage.</w:t>
      </w:r>
    </w:p>
    <w:p>
      <w:r/>
      <w:r>
        <w:t>Paul a également employé le terme dans un sens gréco-romain plus large, déclarant qu'il ressentait une responsabilité envers les Grecs et les barbares (</w:t>
      </w:r>
      <w:hyperlink r:id="rId1681">
        <w:r>
          <w:rPr>
            <w:color w:val="0000EE"/>
            <w:u w:val="single"/>
          </w:rPr>
          <w:t>Rm 1.14</w:t>
        </w:r>
      </w:hyperlink>
      <w:r>
        <w:t xml:space="preserve">). Paul souligne que l'Évangile de Jésus-Christ est pour tout le monde en disant qu'« </w:t>
      </w:r>
      <w:r>
        <w:t>Il n’y a ici ni Grec ni Juif, ni circoncis ni incirconcis, ni barbare ni Scythe, ni esclave ni libre</w:t>
      </w:r>
      <w:r>
        <w:t xml:space="preserve"> </w:t>
      </w:r>
      <w:r>
        <w:t>; mais Christ est tout et en tous</w:t>
      </w:r>
      <w:r>
        <w:t xml:space="preserve"> » (</w:t>
      </w:r>
      <w:hyperlink r:id="rId1682">
        <w:r>
          <w:rPr>
            <w:color w:val="0000EE"/>
            <w:u w:val="single"/>
          </w:rPr>
          <w:t>Col 3.11</w:t>
        </w:r>
      </w:hyperlink>
      <w:r>
        <w:t>).</w:t>
      </w:r>
      <w:r/>
      <w:r/>
    </w:p>
    <w:p>
      <w:r/>
    </w:p>
    <w:p>
      <w:pPr>
        <w:pStyle w:val="Heading2"/>
      </w:pPr>
      <w:r>
        <w:t>Bared (Lieu)</w:t>
      </w:r>
      <w:r/>
    </w:p>
    <w:p>
      <w:r/>
      <w:r>
        <w:t>Lieu dans la partie sud d'Israël appelé le désert du Néguev. Nous ne savons pas exactement où se trouvait Bared. Dieu a parlé à la servante de Saraï, Agar, à un puits entre Kadès et Bared (</w:t>
      </w:r>
      <w:hyperlink r:id="rId1683">
        <w:r>
          <w:rPr>
            <w:color w:val="0000EE"/>
            <w:u w:val="single"/>
          </w:rPr>
          <w:t>Gn 16.14</w:t>
        </w:r>
      </w:hyperlink>
      <w:r>
        <w:t>).</w:t>
      </w:r>
      <w:r/>
      <w:r/>
    </w:p>
    <w:p>
      <w:r/>
    </w:p>
    <w:p>
      <w:pPr>
        <w:pStyle w:val="Heading2"/>
      </w:pPr>
      <w:r>
        <w:t>Bar-Jésus</w:t>
      </w:r>
      <w:r/>
    </w:p>
    <w:p>
      <w:r/>
      <w:r>
        <w:t>Un sorcier juif et « faux prophète » (quelqu'un qui prétendait à tort parler au nom de Dieu). Il travaillait avec le gouverneur de Paphos sur l'île de Chypre (</w:t>
      </w:r>
      <w:hyperlink r:id="rId1684">
        <w:r>
          <w:rPr>
            <w:color w:val="0000EE"/>
            <w:u w:val="single"/>
          </w:rPr>
          <w:t>Ac 13.6</w:t>
        </w:r>
      </w:hyperlink>
      <w:r>
        <w:t>). Lorsque le gouverneur, Sergius Paulus, s'est intéressé au message de Paul et Barnabas, Bar-Jésus a essayé de le détourner de leurs enseignements. Paul a confronté Bar-Jésus, le qualifiant de « fils du diable » et prédisant qu'il serait temporairement aveuglé comme punition de Dieu. Immédiatement, Bar-Jésus a été frappé de cécité (</w:t>
      </w:r>
      <w:hyperlink r:id="rId191">
        <w:r>
          <w:rPr>
            <w:color w:val="0000EE"/>
            <w:u w:val="single"/>
          </w:rPr>
          <w:t>Ac 13.7–12</w:t>
        </w:r>
      </w:hyperlink>
      <w:r>
        <w:t>). Le gouverneur semble s'être converti au christianisme.</w:t>
      </w:r>
    </w:p>
    <w:p>
      <w:r/>
      <w:r>
        <w:t xml:space="preserve">À cette époque, de nombreuses personnes qui croyaient facilement aux événements surnaturels étaient influencées par ceux qui prétendaient avoir des pouvoirs spéciaux comme Bar-Jésus (voir </w:t>
      </w:r>
      <w:hyperlink r:id="rId1685">
        <w:r>
          <w:rPr>
            <w:color w:val="0000EE"/>
            <w:u w:val="single"/>
          </w:rPr>
          <w:t>Ac 8.9–11</w:t>
        </w:r>
      </w:hyperlink>
      <w:r>
        <w:t>). Le terme « sorcier » utilisé pour le désigner signifiait plus qu'un simple magicien ; ce mot faisait souvent référence à un sage dont la connaissance était considérée comme supérieure à celle de la plupart des autres dans la société.</w:t>
      </w:r>
    </w:p>
    <w:p>
      <w:r/>
      <w:r>
        <w:t>Bar-Jésus était également connu sous son nom grec, Élymas (</w:t>
      </w:r>
      <w:hyperlink r:id="rId1686">
        <w:r>
          <w:rPr>
            <w:color w:val="0000EE"/>
            <w:u w:val="single"/>
          </w:rPr>
          <w:t>Ac 13.8</w:t>
        </w:r>
      </w:hyperlink>
      <w:r>
        <w:t>). Les Juifs ayant des liens avec la culture grecque adoptaient souvent des noms grecs. Certains pensent qu'Élymas vient d'un mot araméen signifiant « fort » et d'un mot arabe signifiant « sage », qui peut également signifier « magicien ».</w:t>
      </w:r>
      <w:r/>
      <w:r/>
    </w:p>
    <w:p>
      <w:r/>
    </w:p>
    <w:p>
      <w:pPr>
        <w:pStyle w:val="Heading2"/>
      </w:pPr>
      <w:r>
        <w:t>Barnabas</w:t>
      </w:r>
      <w:r/>
    </w:p>
    <w:p>
      <w:r/>
      <w:r>
        <w:t>Un des premiers convertis au christianisme à Jérusalem. Originellement nommé Joseph, Barnabas a obtenu son nouveau nom grâce à sa prédication et son enseignement influents.</w:t>
      </w:r>
    </w:p>
    <w:p>
      <w:pPr>
        <w:pStyle w:val="Heading3"/>
      </w:pPr>
      <w:r>
        <w:t>Contexte et jeunesse</w:t>
      </w:r>
    </w:p>
    <w:p>
      <w:r/>
      <w:r>
        <w:t>C'est grâce au livre des Actes et aux lettres de Paul que nous en savons le plus sur Barnabas. L'« Épître de Barnabas », écrite au milieu du IIe siècle, n'est pas de lui. De même, les « Actes de Barnabas », un texte du Ve siècle, ne fournissent pas d'informations fiables à son sujet. Tertullien a affirmé à tort que l'Épître aux Hébreux avait été écrite par Barnabas ; affirmation qui manque de preuves à l'appui.</w:t>
      </w:r>
    </w:p>
    <w:p>
      <w:r/>
      <w:r>
        <w:t>Barnabas était un Juif de Chypre. Issu d'une famille de prêtres, cela a probablement influencé son intérêt pour Jérusalem. Il a sans doute déménagé à Jérusalem et a peut-être rencontré Jésus. Cependant, sa conversion au christianisme s'est probablement faite grâce à l'enseignement des apôtres après la résurrection de Christ.</w:t>
      </w:r>
    </w:p>
    <w:p>
      <w:pPr>
        <w:pStyle w:val="Heading3"/>
      </w:pPr>
      <w:r>
        <w:t>Voyages missionnaires avec Paul</w:t>
      </w:r>
    </w:p>
    <w:p>
      <w:r/>
      <w:r>
        <w:t>Barnabas apparaît d'abord dans les Actes sous le nom de Joseph, ayant vendu un champ dont il a fait don du produit à la communauté chrétienne (</w:t>
      </w:r>
      <w:hyperlink r:id="rId1687">
        <w:r>
          <w:rPr>
            <w:color w:val="0000EE"/>
            <w:u w:val="single"/>
          </w:rPr>
          <w:t>Ac 4.36–37</w:t>
        </w:r>
      </w:hyperlink>
      <w:r>
        <w:t>). Lorsque la persécution a frappé Jérusalem et que les gens ont été attaqués pour leurs croyances, Barnabas est resté dans la ville, contrairement à d'autres qui ont fui (</w:t>
      </w:r>
      <w:hyperlink r:id="rId1688">
        <w:r>
          <w:rPr>
            <w:color w:val="0000EE"/>
            <w:u w:val="single"/>
          </w:rPr>
          <w:t>Ac 8.1–8</w:t>
        </w:r>
      </w:hyperlink>
      <w:r>
        <w:t xml:space="preserve"> ; </w:t>
      </w:r>
      <w:hyperlink r:id="rId1689">
        <w:r>
          <w:rPr>
            <w:color w:val="0000EE"/>
            <w:u w:val="single"/>
          </w:rPr>
          <w:t>11.19–22</w:t>
        </w:r>
      </w:hyperlink>
      <w:r>
        <w:t>). Sa bonne réputation a peut-être conduit les apôtres à le choisir comme compagnon pour le travail missionnaire de Paul afin de répandre l'Évangile.</w:t>
      </w:r>
    </w:p>
    <w:p>
      <w:r/>
      <w:r>
        <w:t>Alors que les chrétiens fuyaient vers Antioche de Syrie, l'Église de Jérusalem y enverra Barnabas pour aider la communauté chrétienne croissante (</w:t>
      </w:r>
      <w:hyperlink r:id="rId1690">
        <w:r>
          <w:rPr>
            <w:color w:val="0000EE"/>
            <w:u w:val="single"/>
          </w:rPr>
          <w:t>Ac 11.19–26</w:t>
        </w:r>
      </w:hyperlink>
      <w:r>
        <w:t xml:space="preserve">). L'auteur du livre des Actes dit que Barnabas « était </w:t>
      </w:r>
      <w:r>
        <w:t>un homme de bien, plein d’Esprit-Saint et de foi</w:t>
      </w:r>
      <w:r>
        <w:t xml:space="preserve"> » (</w:t>
      </w:r>
      <w:hyperlink r:id="rId1691">
        <w:r>
          <w:rPr>
            <w:color w:val="0000EE"/>
            <w:u w:val="single"/>
          </w:rPr>
          <w:t>Ac 11.24</w:t>
        </w:r>
      </w:hyperlink>
      <w:r>
        <w:t>). Barnabas recrutera Paul pour l'aider à Antioche. Ils travailleront ensemble pendant un an, enseignant de nombreux chrétiens (</w:t>
      </w:r>
      <w:hyperlink r:id="rId999">
        <w:r>
          <w:rPr>
            <w:color w:val="0000EE"/>
            <w:u w:val="single"/>
          </w:rPr>
          <w:t>Ac 11.26</w:t>
        </w:r>
      </w:hyperlink>
      <w:r>
        <w:t>). Lors d'une famine à Jérusalem, Barnabas et Paul ramennent des fonds de secours à la ville, et Jean Marc les rejoint à leur retour à Antioche (</w:t>
      </w:r>
      <w:hyperlink r:id="rId157">
        <w:r>
          <w:rPr>
            <w:color w:val="0000EE"/>
            <w:u w:val="single"/>
          </w:rPr>
          <w:t>Ac 12.25</w:t>
        </w:r>
      </w:hyperlink>
      <w:r>
        <w:t>).</w:t>
      </w:r>
    </w:p>
    <w:p>
      <w:r/>
      <w:r>
        <w:t>Barnabas et Paul seront ensuite envoyés pour répandre le message chrétien au-delà d'Antioche (</w:t>
      </w:r>
      <w:hyperlink r:id="rId1692">
        <w:r>
          <w:rPr>
            <w:color w:val="0000EE"/>
            <w:u w:val="single"/>
          </w:rPr>
          <w:t>Ac 13.2–3</w:t>
        </w:r>
      </w:hyperlink>
      <w:r>
        <w:t>). À ce stade, le nom de Barnabas est mentionné en premier, indiquant peut-être son rôle de leader. Ils voyageront à Chypre et dans plusieurs lieux clés en Asie Mineure. À Lystre, les gens prendront Barnabas pour le dieu Zeus et Paul pour Hermès (</w:t>
      </w:r>
      <w:hyperlink r:id="rId1693">
        <w:r>
          <w:rPr>
            <w:color w:val="0000EE"/>
            <w:u w:val="single"/>
          </w:rPr>
          <w:t>Ac 14.8–12</w:t>
        </w:r>
      </w:hyperlink>
      <w:r>
        <w:t>). Cela montre à quel point ils semblaient impressionnants aux yeux des gens là-bas.</w:t>
      </w:r>
    </w:p>
    <w:p>
      <w:pPr>
        <w:pStyle w:val="Heading3"/>
      </w:pPr>
      <w:r>
        <w:t>Barnabas et Paul se séparent</w:t>
      </w:r>
    </w:p>
    <w:p>
      <w:r/>
      <w:r>
        <w:t>Lors d'un concile à Jérusalem, Barnabas et Paul rendront compte de leur mission auprès des Gentils (</w:t>
      </w:r>
      <w:hyperlink r:id="rId160">
        <w:r>
          <w:rPr>
            <w:color w:val="0000EE"/>
            <w:u w:val="single"/>
          </w:rPr>
          <w:t>Ac 15</w:t>
        </w:r>
      </w:hyperlink>
      <w:r>
        <w:t>). Après ce concile, alors que les deux hommes planifiaient une autre mission, un désaccord sérieux a surgi, entraînant leur séparation (</w:t>
      </w:r>
      <w:hyperlink r:id="rId1694">
        <w:r>
          <w:rPr>
            <w:color w:val="0000EE"/>
            <w:u w:val="single"/>
          </w:rPr>
          <w:t>Ac 15.36–41</w:t>
        </w:r>
      </w:hyperlink>
      <w:r>
        <w:t>). Barnabas voulait emmener son cousin Jean Marc (</w:t>
      </w:r>
      <w:hyperlink r:id="rId1695">
        <w:r>
          <w:rPr>
            <w:color w:val="0000EE"/>
            <w:u w:val="single"/>
          </w:rPr>
          <w:t>Col 4.10</w:t>
        </w:r>
      </w:hyperlink>
      <w:r>
        <w:t>), mais Paul refusera parce que Marc les avait abandonnés lors de la mission précédente (</w:t>
      </w:r>
      <w:hyperlink r:id="rId1696">
        <w:r>
          <w:rPr>
            <w:color w:val="0000EE"/>
            <w:u w:val="single"/>
          </w:rPr>
          <w:t>Ac 13.13</w:t>
        </w:r>
      </w:hyperlink>
      <w:r>
        <w:t>). Barnabas et Jean Marc iront allés à Chypre, tandis que Paul voyagera avec Silas en Syrie et en Cilicie. Après cette séparation, l'accent du récit se déplace de Barnabas à Paul.</w:t>
      </w:r>
    </w:p>
    <w:p>
      <w:r/>
      <w:r>
        <w:rPr>
          <w:i/>
        </w:rPr>
        <w:t>Voir aussi</w:t>
      </w:r>
      <w:r>
        <w:t xml:space="preserve"> </w:t>
      </w:r>
      <w:r>
        <w:t>Apocryphes (Barnabas, Épître de)</w:t>
      </w:r>
      <w:r>
        <w:t>.</w:t>
      </w:r>
      <w:r/>
      <w:r/>
    </w:p>
    <w:p>
      <w:r/>
    </w:p>
    <w:p>
      <w:pPr>
        <w:pStyle w:val="Heading2"/>
      </w:pPr>
      <w:r>
        <w:t>Barsabas, Barsabbas</w:t>
      </w:r>
      <w:r/>
    </w:p>
    <w:p>
      <w:r/>
      <w:r>
        <w:t>Un nom de famille biblique. Barsabas signifie « fils de Saba » en araméen. Barsabbas, « fils du Sabbat », est employé comme orthographe dans les traductions modernes. Deux personnes dans le Nouveau Testament portent ce nom de famille : Joseph Barsabbas et Judas Barsabbas (</w:t>
      </w:r>
      <w:hyperlink r:id="rId1697">
        <w:r>
          <w:rPr>
            <w:color w:val="0000EE"/>
            <w:u w:val="single"/>
          </w:rPr>
          <w:t>Ac 1.23</w:t>
        </w:r>
      </w:hyperlink>
      <w:r>
        <w:t xml:space="preserve"> ; </w:t>
      </w:r>
      <w:hyperlink r:id="rId1698">
        <w:r>
          <w:rPr>
            <w:color w:val="0000EE"/>
            <w:u w:val="single"/>
          </w:rPr>
          <w:t>15.22</w:t>
        </w:r>
      </w:hyperlink>
      <w:r>
        <w:t>).</w:t>
      </w:r>
    </w:p>
    <w:p>
      <w:r/>
      <w:r>
        <w:rPr>
          <w:i/>
        </w:rPr>
        <w:t>Voir</w:t>
      </w:r>
      <w:r>
        <w:t xml:space="preserve"> </w:t>
      </w:r>
      <w:r>
        <w:t>Joseph n° 12</w:t>
      </w:r>
      <w:r>
        <w:t xml:space="preserve"> ; </w:t>
      </w:r>
      <w:r>
        <w:t>Judas n° 6</w:t>
      </w:r>
      <w:r>
        <w:t>.</w:t>
      </w:r>
      <w:r/>
      <w:r/>
    </w:p>
    <w:p>
      <w:r/>
    </w:p>
    <w:p>
      <w:pPr>
        <w:pStyle w:val="Heading2"/>
      </w:pPr>
      <w:r>
        <w:t>Barthélemy (apôtre)</w:t>
      </w:r>
      <w:r/>
    </w:p>
    <w:p>
      <w:r/>
      <w:r>
        <w:t>Disciple de Jésus qui figure dans les quatre listes des douze apôtres (</w:t>
      </w:r>
      <w:hyperlink r:id="rId1699">
        <w:r>
          <w:rPr>
            <w:color w:val="0000EE"/>
            <w:u w:val="single"/>
          </w:rPr>
          <w:t xml:space="preserve">Mt 10.2–4 </w:t>
        </w:r>
      </w:hyperlink>
      <w:r>
        <w:t xml:space="preserve">; </w:t>
      </w:r>
      <w:hyperlink r:id="rId1700">
        <w:r>
          <w:rPr>
            <w:color w:val="0000EE"/>
            <w:u w:val="single"/>
          </w:rPr>
          <w:t xml:space="preserve">Mc 3.16–19 </w:t>
        </w:r>
      </w:hyperlink>
      <w:r>
        <w:t xml:space="preserve">; </w:t>
      </w:r>
      <w:hyperlink r:id="rId1701">
        <w:r>
          <w:rPr>
            <w:color w:val="0000EE"/>
            <w:u w:val="single"/>
          </w:rPr>
          <w:t xml:space="preserve">Lc 6.14–16 </w:t>
        </w:r>
      </w:hyperlink>
      <w:r>
        <w:t xml:space="preserve">; </w:t>
      </w:r>
      <w:hyperlink r:id="rId588">
        <w:r>
          <w:rPr>
            <w:color w:val="0000EE"/>
            <w:u w:val="single"/>
          </w:rPr>
          <w:t>Ac 1.13</w:t>
        </w:r>
      </w:hyperlink>
      <w:r>
        <w:t>). Cependant, il n'est mentionné nulle part ailleurs dans le Nouveau Testament, et rien de spécifique n'est indiqué à son sujet dans ces listes. Le nom « Barthélemy » signifie « fils de Talmaï », ce qui peut laisser entendre qu'il avait peut-être un autre nom.</w:t>
      </w:r>
    </w:p>
    <w:p>
      <w:r/>
      <w:r>
        <w:t>Dans les listes de Matthieu, Marc et Luc (les Évangiles synoptiques), le nom de Barthélemy figure juste après celui de Philippe. Certains se sont demandés si cela pouvait indiquer qu'il est le Nathanaël mentionné dans l'Évangile de Jean (</w:t>
      </w:r>
      <w:hyperlink r:id="rId1702">
        <w:r>
          <w:rPr>
            <w:color w:val="0000EE"/>
            <w:u w:val="single"/>
          </w:rPr>
          <w:t>Jn 1.45–50</w:t>
        </w:r>
      </w:hyperlink>
      <w:r>
        <w:t>). Ce Nathanaël a été amené à Jésus par Philippe et semble être lié à certains disciples en particulier (</w:t>
      </w:r>
      <w:hyperlink r:id="rId1703">
        <w:r>
          <w:rPr>
            <w:color w:val="0000EE"/>
            <w:u w:val="single"/>
          </w:rPr>
          <w:t>Jn 21.2</w:t>
        </w:r>
      </w:hyperlink>
      <w:r>
        <w:t>). L'Évangile de Jean pourrait donc avoir fait référence à l'apôtre Barthélemy sous un autre nom. Cependant, il n'est pas clair dans Jean que Nathanaël est l'un des Douze.</w:t>
      </w:r>
    </w:p>
    <w:p>
      <w:r/>
      <w:r>
        <w:t>Eusèbe, l'historien de l'Église primitive, mentionne une tradition selon laquelle Pantène, le premier directeur de l'école catéchétique (qui enseignait les croyances chrétiennes) d'Alexandrie vers 180 apr. J.-C., a trouvé, lors d'un voyage en Inde, des chrétiens qui connaissaient l'Évangile selon Matthieu, écrit en hébreu. Selon Eusèbe, Barthélemy les aurait évangélisés et leur aurait laissé cet Évangile. Selon d'autres traditions, Barthélemy aurait fait équipe avec Philippe et Thomas pour propager la foi et est mort en martyr en Arménie.</w:t>
      </w:r>
    </w:p>
    <w:p>
      <w:r/>
      <w:r>
        <w:t>Plusieurs écrits ont été faussement attribués à Barthélemy. Jérôme, un écrivain du IVe siècle, mentionne un Évangile de Barthélemy ; quelques autres sources y réfèrent également. Il y a aussi des mentions des Questions de Barthélemy, du Livre de la Résurrection de Barthélemy et d'autres textes comme les Actes de Barthélemy et l'Apocalypse de Barthélemy. Cependant, aucun de ces écrits n'est considéré authentique.</w:t>
      </w:r>
    </w:p>
    <w:p>
      <w:r/>
      <w:r>
        <w:rPr>
          <w:i/>
        </w:rPr>
        <w:t>Voir aussi</w:t>
      </w:r>
      <w:r>
        <w:t xml:space="preserve"> </w:t>
      </w:r>
      <w:r>
        <w:t xml:space="preserve">Apôtre, apostolat </w:t>
      </w:r>
      <w:r>
        <w:t xml:space="preserve">; </w:t>
      </w:r>
      <w:r>
        <w:t>Apocryphes (plusieurs titres attribués à Barthélemy)</w:t>
      </w:r>
      <w:r>
        <w:t>.</w:t>
      </w:r>
      <w:r/>
      <w:r/>
    </w:p>
    <w:p>
      <w:r/>
    </w:p>
    <w:p>
      <w:pPr>
        <w:pStyle w:val="Heading2"/>
      </w:pPr>
      <w:r>
        <w:t>Bartimée</w:t>
      </w:r>
      <w:r/>
    </w:p>
    <w:p>
      <w:r/>
      <w:r>
        <w:t>Nom du fils de Timée, mendiant aveugle qui appelle Jésus alors qu'il part de Jéricho pour se rendre à Jérusalem pour la dernière fois (</w:t>
      </w:r>
      <w:hyperlink r:id="rId1511">
        <w:r>
          <w:rPr>
            <w:color w:val="0000EE"/>
            <w:u w:val="single"/>
          </w:rPr>
          <w:t>Mc 10.46–52</w:t>
        </w:r>
      </w:hyperlink>
      <w:r>
        <w:t>). Voyant la foi de Bartimée, Jésus le guérit.</w:t>
      </w:r>
      <w:r/>
      <w:r/>
    </w:p>
    <w:p>
      <w:r/>
    </w:p>
    <w:p>
      <w:pPr>
        <w:pStyle w:val="Heading2"/>
      </w:pPr>
      <w:r>
        <w:t>Basan</w:t>
      </w:r>
      <w:r/>
    </w:p>
    <w:p>
      <w:r/>
      <w:r>
        <w:t>Région située à l'est et au nord-est de la mer de Galilée. Ses limites exactes sont floues, mais elle s'étendait sur environ 50 à 60 km du pied du mont Hermon au nord jusqu'à la rivière Yarmouk au sud. Elle s'étendait sur environ 100 à 110 km vers l'est à partir de la mer de Galilée.</w:t>
      </w:r>
    </w:p>
    <w:p>
      <w:r/>
      <w:r>
        <w:t xml:space="preserve">La région (également appelée « Havran » dans </w:t>
      </w:r>
      <w:hyperlink r:id="rId1704">
        <w:r>
          <w:rPr>
            <w:color w:val="0000EE"/>
            <w:u w:val="single"/>
          </w:rPr>
          <w:t>Ez 47.16, 18</w:t>
        </w:r>
      </w:hyperlink>
      <w:r>
        <w:t>) est principalement un plateau fertile situé entre 500 et 700 m au-dessus du niveau de la mer. Son sol volcanique riche est bien arrosé, car les basses collines du sud de la Galilée à l'ouest permettent aux pluies de pénétrer plus à l'intérieur des terres que dans la plupart des autres endroits le long de la côte palestinienne. Aujourd'hui, comme dans les temps anciens, il s'agit d'une région agricole productive. À l'époque du Nouveau Testament, c'était une des zones de production de céréales de l'Empire romain. Basan était connu pour ses bovins et moutons de haute qualité (</w:t>
      </w:r>
      <w:hyperlink r:id="rId1705">
        <w:r>
          <w:rPr>
            <w:color w:val="0000EE"/>
            <w:u w:val="single"/>
          </w:rPr>
          <w:t>Dt 32.14</w:t>
        </w:r>
      </w:hyperlink>
      <w:r>
        <w:t xml:space="preserve"> ; </w:t>
      </w:r>
      <w:hyperlink r:id="rId1706">
        <w:r>
          <w:rPr>
            <w:color w:val="0000EE"/>
            <w:u w:val="single"/>
          </w:rPr>
          <w:t>Ez 39.18</w:t>
        </w:r>
      </w:hyperlink>
      <w:r>
        <w:t xml:space="preserve"> ; </w:t>
      </w:r>
      <w:hyperlink r:id="rId799">
        <w:r>
          <w:rPr>
            <w:color w:val="0000EE"/>
            <w:u w:val="single"/>
          </w:rPr>
          <w:t>Am 4.1</w:t>
        </w:r>
      </w:hyperlink>
      <w:r>
        <w:t>).</w:t>
      </w:r>
    </w:p>
    <w:p>
      <w:r/>
      <w:r>
        <w:t>À l'époque du patriarche Abraham, les habitants de Basan étaient des géants appelés Rephaïm (</w:t>
      </w:r>
      <w:hyperlink r:id="rId704">
        <w:r>
          <w:rPr>
            <w:color w:val="0000EE"/>
            <w:u w:val="single"/>
          </w:rPr>
          <w:t>Gn 14.5</w:t>
        </w:r>
      </w:hyperlink>
      <w:r>
        <w:t>). Og, le dernier des Rephaïm, était un ennemi des Israélites lorsqu'ils tentaient d'entrer en Canaan après avoir quitté l'Égypte et erré dans le désert (</w:t>
      </w:r>
      <w:hyperlink r:id="rId1707">
        <w:r>
          <w:rPr>
            <w:color w:val="0000EE"/>
            <w:u w:val="single"/>
          </w:rPr>
          <w:t>Dt 29.7</w:t>
        </w:r>
      </w:hyperlink>
      <w:r>
        <w:t>). Og a été vaincu et tué par les Israélites (</w:t>
      </w:r>
      <w:hyperlink r:id="rId1708">
        <w:r>
          <w:rPr>
            <w:color w:val="0000EE"/>
            <w:u w:val="single"/>
          </w:rPr>
          <w:t>Nb 21.33–35</w:t>
        </w:r>
      </w:hyperlink>
      <w:r>
        <w:t>).</w:t>
      </w:r>
    </w:p>
    <w:p>
      <w:r/>
      <w:r>
        <w:t>La prospérité de Basan à cette époque est démontrée par le fait que l'une de ses provinces, Argob, comptait soixante grandes villes fortifiées (</w:t>
      </w:r>
      <w:hyperlink r:id="rId1709">
        <w:r>
          <w:rPr>
            <w:color w:val="0000EE"/>
            <w:u w:val="single"/>
          </w:rPr>
          <w:t>Dt 3.4–5</w:t>
        </w:r>
      </w:hyperlink>
      <w:r>
        <w:t>). Les principales villes de Basan étaient :</w:t>
      </w:r>
    </w:p>
    <w:p>
      <w:pPr>
        <w:pStyle w:val="ListBullet"/>
        <w:spacing w:line="240" w:lineRule="auto"/>
        <w:ind w:left="720"/>
      </w:pPr>
      <w:r/>
      <w:r>
        <w:t>Édrei</w:t>
      </w:r>
    </w:p>
    <w:p>
      <w:pPr>
        <w:pStyle w:val="ListBullet"/>
        <w:spacing w:line="240" w:lineRule="auto"/>
        <w:ind w:left="720"/>
      </w:pPr>
      <w:r/>
      <w:r>
        <w:t>Aschtaroth</w:t>
      </w:r>
    </w:p>
    <w:p>
      <w:pPr>
        <w:pStyle w:val="ListBullet"/>
        <w:spacing w:line="240" w:lineRule="auto"/>
        <w:ind w:left="720"/>
      </w:pPr>
      <w:r/>
      <w:r>
        <w:t>Golan</w:t>
      </w:r>
    </w:p>
    <w:p>
      <w:pPr>
        <w:pStyle w:val="ListBullet"/>
        <w:spacing w:line="240" w:lineRule="auto"/>
        <w:ind w:left="720"/>
      </w:pPr>
      <w:r/>
      <w:r>
        <w:t>Salca</w:t>
      </w:r>
    </w:p>
    <w:p>
      <w:r/>
      <w:r>
        <w:t>Après que les Israélites eurent conquis la terre à l'est du Jourdain, Basan fut donnée à la demi-tribu de Manassé (</w:t>
      </w:r>
      <w:hyperlink r:id="rId1710">
        <w:r>
          <w:rPr>
            <w:color w:val="0000EE"/>
            <w:u w:val="single"/>
          </w:rPr>
          <w:t>Jos 13.29–30</w:t>
        </w:r>
      </w:hyperlink>
      <w:r>
        <w:t>). Golan et Aschtaroth, deux villes de Basan, furent réservées aux Lévites (</w:t>
      </w:r>
      <w:hyperlink r:id="rId1364">
        <w:r>
          <w:rPr>
            <w:color w:val="0000EE"/>
            <w:u w:val="single"/>
          </w:rPr>
          <w:t>1Ch 6.71</w:t>
        </w:r>
      </w:hyperlink>
      <w:r>
        <w:t>). Ben-Guéber de Ramoth en Galaad gérait Argob, une région de Basan, pour le roi Salomon (</w:t>
      </w:r>
      <w:hyperlink r:id="rId1251">
        <w:r>
          <w:rPr>
            <w:color w:val="0000EE"/>
            <w:u w:val="single"/>
          </w:rPr>
          <w:t>1R 4.13</w:t>
        </w:r>
      </w:hyperlink>
      <w:r>
        <w:t>).</w:t>
      </w:r>
    </w:p>
    <w:p>
      <w:r/>
      <w:r>
        <w:t>À l'époque de Jéhu (841–814 av. J.‑C.), le roi Hazaël de Syrie conquerra la région (</w:t>
      </w:r>
      <w:hyperlink r:id="rId1711">
        <w:r>
          <w:rPr>
            <w:color w:val="0000EE"/>
            <w:u w:val="single"/>
          </w:rPr>
          <w:t>2R 10.33</w:t>
        </w:r>
      </w:hyperlink>
      <w:r>
        <w:t>). Tiglath-Piléser III incorporera ensuite le Basan dans l'Empire assyrien au 8e siècle av. J.‑C. (</w:t>
      </w:r>
      <w:hyperlink r:id="rId1712">
        <w:r>
          <w:rPr>
            <w:color w:val="0000EE"/>
            <w:u w:val="single"/>
          </w:rPr>
          <w:t>2R 15.29</w:t>
        </w:r>
      </w:hyperlink>
      <w:r>
        <w:t>). Les Nabatéens l'ont détenue au 2e siècle av. J.‑C., et c'est Hérode le Grand (37–4 av. J.‑C.) qui en était gouverneur à la naissance de Jésus.</w:t>
      </w:r>
      <w:r/>
      <w:r/>
    </w:p>
    <w:p>
      <w:r/>
    </w:p>
    <w:p>
      <w:pPr>
        <w:pStyle w:val="Heading2"/>
      </w:pPr>
      <w:r>
        <w:t>Basmath</w:t>
      </w:r>
      <w:r/>
    </w:p>
    <w:p>
      <w:r/>
      <w:r>
        <w:t>1. Fille d'Élon le Hétien. Basmath était une Cananéenne qu'Ésaü épousera contre la volonté de ses parents (</w:t>
      </w:r>
      <w:hyperlink r:id="rId1713">
        <w:r>
          <w:rPr>
            <w:color w:val="0000EE"/>
            <w:u w:val="single"/>
          </w:rPr>
          <w:t>Gn 26.34</w:t>
        </w:r>
      </w:hyperlink>
      <w:r>
        <w:t>). Basmath pourrait être la même personne que la fille d'Élon, Ada, ou il peut s'agir de sa sœur (</w:t>
      </w:r>
      <w:hyperlink r:id="rId1714">
        <w:r>
          <w:rPr>
            <w:color w:val="0000EE"/>
            <w:u w:val="single"/>
          </w:rPr>
          <w:t>Gn 36.2</w:t>
        </w:r>
      </w:hyperlink>
      <w:r>
        <w:t>).</w:t>
      </w:r>
    </w:p>
    <w:p>
      <w:r/>
      <w:r>
        <w:t>2. Fille d'Ismaël, qui épousera Ésaü (</w:t>
      </w:r>
      <w:hyperlink r:id="rId1715">
        <w:r>
          <w:rPr>
            <w:color w:val="0000EE"/>
            <w:u w:val="single"/>
          </w:rPr>
          <w:t>Gn 36.3</w:t>
        </w:r>
      </w:hyperlink>
      <w:r>
        <w:t xml:space="preserve">) et lui donnera Reuel (v. </w:t>
      </w:r>
      <w:hyperlink r:id="rId1716">
        <w:r>
          <w:rPr>
            <w:color w:val="0000EE"/>
            <w:u w:val="single"/>
          </w:rPr>
          <w:t>4, 10</w:t>
        </w:r>
      </w:hyperlink>
      <w:r>
        <w:t>). Cette Basmath est probablement la même personne que Mahalath, la fille d'Ismaël (</w:t>
      </w:r>
      <w:hyperlink r:id="rId1717">
        <w:r>
          <w:rPr>
            <w:color w:val="0000EE"/>
            <w:u w:val="single"/>
          </w:rPr>
          <w:t>28.9</w:t>
        </w:r>
      </w:hyperlink>
      <w:r>
        <w:t>). Puisqu'Ismaël était le fils du patriarche Abraham, ce mariage aurait été plus acceptable pour Isaac et Rebecca (</w:t>
      </w:r>
      <w:hyperlink r:id="rId1718">
        <w:r>
          <w:rPr>
            <w:color w:val="0000EE"/>
            <w:u w:val="single"/>
          </w:rPr>
          <w:t>36.6–8</w:t>
        </w:r>
      </w:hyperlink>
      <w:r>
        <w:t>).</w:t>
      </w:r>
    </w:p>
    <w:p>
      <w:r/>
      <w:r>
        <w:rPr>
          <w:i/>
        </w:rPr>
        <w:t>Voir aussi</w:t>
      </w:r>
      <w:r>
        <w:t xml:space="preserve"> </w:t>
      </w:r>
      <w:r>
        <w:t>Mahalath (Personne) n° 1</w:t>
      </w:r>
      <w:r>
        <w:t>.</w:t>
      </w:r>
    </w:p>
    <w:p>
      <w:r/>
      <w:r>
        <w:t>Les identifications de n°1 et n°2 ci-dessus sont quelque peu confuses. La plupart des érudits soupçonnent qu'Ésaü a épousé Ada, la fille d'Élon (</w:t>
      </w:r>
      <w:hyperlink r:id="rId1719">
        <w:r>
          <w:rPr>
            <w:color w:val="0000EE"/>
            <w:u w:val="single"/>
          </w:rPr>
          <w:t>Gn 36.2–4</w:t>
        </w:r>
      </w:hyperlink>
      <w:r>
        <w:t>), qui était également appelée Basmath (</w:t>
      </w:r>
      <w:hyperlink r:id="rId1713">
        <w:r>
          <w:rPr>
            <w:color w:val="0000EE"/>
            <w:u w:val="single"/>
          </w:rPr>
          <w:t>26.34</w:t>
        </w:r>
      </w:hyperlink>
      <w:r>
        <w:t>). Plus tard, Ésaü épousera Mahalath, la fille d'Ismaël (</w:t>
      </w:r>
      <w:hyperlink r:id="rId1717">
        <w:r>
          <w:rPr>
            <w:color w:val="0000EE"/>
            <w:u w:val="single"/>
          </w:rPr>
          <w:t>28.9</w:t>
        </w:r>
      </w:hyperlink>
      <w:r>
        <w:t>), qui était également appelée Basmath (</w:t>
      </w:r>
      <w:hyperlink r:id="rId1720">
        <w:r>
          <w:rPr>
            <w:color w:val="0000EE"/>
            <w:u w:val="single"/>
          </w:rPr>
          <w:t>36.3–4</w:t>
        </w:r>
      </w:hyperlink>
      <w:r>
        <w:t>). Que deux des épouses d'Ésaü portent le prénom Basmath pourrait être en raison du fait qu'Ésaü a choisi de donner aux deux le même nom affectueux, qui signifie « parfumée ».</w:t>
      </w:r>
    </w:p>
    <w:p>
      <w:r/>
      <w:r>
        <w:t>3. Fille du roi Salomon qui épousera Achimaats, l'administrateur du roi en Nephthali (</w:t>
      </w:r>
      <w:hyperlink r:id="rId1721">
        <w:r>
          <w:rPr>
            <w:color w:val="0000EE"/>
            <w:u w:val="single"/>
          </w:rPr>
          <w:t>1R 4.15</w:t>
        </w:r>
      </w:hyperlink>
      <w:r>
        <w:t>).</w:t>
      </w:r>
      <w:r/>
      <w:r/>
    </w:p>
    <w:p>
      <w:r/>
    </w:p>
    <w:p>
      <w:pPr>
        <w:pStyle w:val="Heading2"/>
      </w:pPr>
      <w:r>
        <w:t>Bdellium</w:t>
      </w:r>
      <w:r/>
    </w:p>
    <w:p>
      <w:r/>
      <w:r>
        <w:t xml:space="preserve">Le bdellium est une résine gommeuse aromatique qui ressemble à la myrrhe. Il provient de divers arbres du genre </w:t>
      </w:r>
      <w:r>
        <w:rPr>
          <w:i/>
        </w:rPr>
        <w:t>Commiphora</w:t>
      </w:r>
      <w:r>
        <w:t xml:space="preserve"> qui poussent en Afrique et en Asie occidentale. La plupart des érudits pensent que le bdellium mentionné dans </w:t>
      </w:r>
      <w:hyperlink r:id="rId1722">
        <w:r>
          <w:rPr>
            <w:color w:val="0000EE"/>
            <w:u w:val="single"/>
          </w:rPr>
          <w:t>Genèse 2.12</w:t>
        </w:r>
      </w:hyperlink>
      <w:r>
        <w:t xml:space="preserve"> et </w:t>
      </w:r>
      <w:hyperlink r:id="rId1723">
        <w:r>
          <w:rPr>
            <w:color w:val="0000EE"/>
            <w:u w:val="single"/>
          </w:rPr>
          <w:t>Nombres 11.7</w:t>
        </w:r>
      </w:hyperlink>
      <w:r>
        <w:t xml:space="preserve"> provient du </w:t>
      </w:r>
      <w:r>
        <w:rPr>
          <w:i/>
        </w:rPr>
        <w:t>Commiphora africana</w:t>
      </w:r>
      <w:r>
        <w:t>, un arbuste qui pousse naturellement dans le sud de l'Arabie et le nord-est de l'Afrique. Cette résine jaune, transparente et parfumée ressemble à une perle.</w:t>
      </w:r>
    </w:p>
    <w:p>
      <w:r/>
      <w:r>
        <w:t>La Bible décrit la manne recueillie par les Israélites comme ayant la même couleur que le bdellium (</w:t>
      </w:r>
      <w:hyperlink r:id="rId1723">
        <w:r>
          <w:rPr>
            <w:color w:val="0000EE"/>
            <w:u w:val="single"/>
          </w:rPr>
          <w:t>Nb 11.7</w:t>
        </w:r>
      </w:hyperlink>
      <w:r>
        <w:t>). Le bdellium est également mentionné avec l'or et la pierre d'onyx trouvés près du jardin d'Éden (</w:t>
      </w:r>
      <w:hyperlink r:id="rId1722">
        <w:r>
          <w:rPr>
            <w:color w:val="0000EE"/>
            <w:u w:val="single"/>
          </w:rPr>
          <w:t>Gn 2.12</w:t>
        </w:r>
      </w:hyperlink>
      <w:r>
        <w:t>). Parce qu'il apparaissait dans cette liste d'objets précieux, on pensait autrefois que le bdellium pouvait être une perle ou une pierre précieuse.</w:t>
      </w:r>
    </w:p>
    <w:p>
      <w:r/>
      <w:r>
        <w:t xml:space="preserve">Le genre </w:t>
      </w:r>
      <w:r>
        <w:rPr>
          <w:i/>
        </w:rPr>
        <w:t>Commiphora</w:t>
      </w:r>
      <w:r>
        <w:t xml:space="preserve"> comprend les plantes qui produisent la myrrhe et possiblement ce que la Bible appelle le « baume ». En dehors de la Bible, un expert botaniste anglais a décrit le bdellium comme une gomme aromatique provenant d'un arbre connu en Perse et au-delà. L'écrivain romain Pline, qui a vécu au 1er siècle apr. J.‑C., a également décrit le bdellium comme une substance cireuse ressemblant à une perle.</w:t>
      </w:r>
    </w:p>
    <w:p>
      <w:r/>
      <w:r>
        <w:t xml:space="preserve">Voir aussi </w:t>
      </w:r>
      <w:r>
        <w:t>Baume</w:t>
      </w:r>
      <w:r>
        <w:t xml:space="preserve"> ; </w:t>
      </w:r>
      <w:r>
        <w:t>Myrrhe</w:t>
      </w:r>
      <w:r>
        <w:t>.</w:t>
      </w:r>
      <w:r/>
      <w:r/>
    </w:p>
    <w:p>
      <w:r/>
    </w:p>
    <w:p>
      <w:pPr>
        <w:pStyle w:val="Heading2"/>
      </w:pPr>
      <w:r>
        <w:t>Beaux Ports</w:t>
      </w:r>
      <w:r/>
    </w:p>
    <w:p>
      <w:r/>
      <w:r>
        <w:t>Petit port situé le long de la côte sud de la Crète, une île de la mer Méditerranée. Il est connu aujourd'hui sous le nom de Limenes Kali. Beaux Ports se trouve à environ 8 km à l'est du cap Matala et est proche de la ville de Lasée.</w:t>
      </w:r>
    </w:p>
    <w:p>
      <w:r/>
      <w:r>
        <w:t>Ce port apparaît dans la Bible lorsque le navire de l'apôtre Paul s'y arrêtera pour trouver protection contre les vents violents lors de son voyage vers Rome (</w:t>
      </w:r>
      <w:hyperlink r:id="rId1724">
        <w:r>
          <w:rPr>
            <w:color w:val="0000EE"/>
            <w:u w:val="single"/>
          </w:rPr>
          <w:t>Ac 27.8</w:t>
        </w:r>
      </w:hyperlink>
      <w:r>
        <w:t>). L'équipage du navire cherchera refuge dans ce port car le temps rendait la navigation dangereuse.</w:t>
      </w:r>
      <w:r/>
      <w:r/>
    </w:p>
    <w:p>
      <w:r/>
    </w:p>
    <w:p>
      <w:pPr>
        <w:pStyle w:val="Heading2"/>
      </w:pPr>
      <w:r>
        <w:t>Bedad</w:t>
      </w:r>
      <w:r/>
    </w:p>
    <w:p>
      <w:r/>
      <w:r>
        <w:t>Père de Hadad, l'un des rois d'Édom avant qu'Israël n'ait des rois (</w:t>
      </w:r>
      <w:hyperlink r:id="rId1519">
        <w:r>
          <w:rPr>
            <w:color w:val="0000EE"/>
            <w:u w:val="single"/>
          </w:rPr>
          <w:t>Gn 36.35</w:t>
        </w:r>
      </w:hyperlink>
      <w:r>
        <w:t xml:space="preserve"> ; </w:t>
      </w:r>
      <w:hyperlink r:id="rId1520">
        <w:r>
          <w:rPr>
            <w:color w:val="0000EE"/>
            <w:u w:val="single"/>
          </w:rPr>
          <w:t>1Ch 1.46</w:t>
        </w:r>
      </w:hyperlink>
      <w:r>
        <w:t>).</w:t>
      </w:r>
      <w:r/>
      <w:r/>
    </w:p>
    <w:p>
      <w:r/>
    </w:p>
    <w:p>
      <w:pPr>
        <w:pStyle w:val="Heading2"/>
      </w:pPr>
      <w:r>
        <w:t>Beéri</w:t>
      </w:r>
      <w:r/>
    </w:p>
    <w:p>
      <w:pPr>
        <w:pStyle w:val="ListNumber"/>
        <w:spacing w:line="240" w:lineRule="auto"/>
        <w:ind w:left="720"/>
      </w:pPr>
      <w:r/>
      <w:r>
        <w:t>Père de Judith, un Hétien (parfois orthographié Hittite). Judith était l'une des épouses d'Ésaü (</w:t>
      </w:r>
      <w:hyperlink r:id="rId1713">
        <w:r>
          <w:rPr>
            <w:color w:val="0000EE"/>
            <w:u w:val="single"/>
          </w:rPr>
          <w:t>Gn 26.34</w:t>
        </w:r>
      </w:hyperlink>
      <w:r>
        <w:t>).</w:t>
      </w:r>
    </w:p>
    <w:p>
      <w:pPr>
        <w:pStyle w:val="ListNumber"/>
        <w:spacing w:line="240" w:lineRule="auto"/>
        <w:ind w:left="720"/>
      </w:pPr>
      <w:r/>
      <w:r>
        <w:t>Père d'Osée le prophète (</w:t>
      </w:r>
      <w:hyperlink r:id="rId1725">
        <w:r>
          <w:rPr>
            <w:color w:val="0000EE"/>
            <w:u w:val="single"/>
          </w:rPr>
          <w:t>Os 1.1</w:t>
        </w:r>
      </w:hyperlink>
      <w:r>
        <w:t>).</w:t>
      </w:r>
      <w:r/>
      <w:r/>
    </w:p>
    <w:p>
      <w:r/>
    </w:p>
    <w:p>
      <w:pPr>
        <w:pStyle w:val="Heading2"/>
      </w:pPr>
      <w:r>
        <w:t>Beer-Schéba</w:t>
      </w:r>
      <w:r/>
    </w:p>
    <w:p>
      <w:r/>
      <w:r>
        <w:t>Beer-Schéba est le nom utilisé dans la Bible pour désigner la partie la plus méridionale de la Terre Promise, située à 45 km au sud-ouest d'Hébron. Dès son origine, il s'agissait d'un lieu important dans le désert du Néguev. C'est là qu'Agar errera avec Ismaël, et Abraham y passera également du temps. Plus tard, à la fois Isaac (</w:t>
      </w:r>
      <w:hyperlink r:id="rId1726">
        <w:r>
          <w:rPr>
            <w:color w:val="0000EE"/>
            <w:u w:val="single"/>
          </w:rPr>
          <w:t>Gn 26.23</w:t>
        </w:r>
      </w:hyperlink>
      <w:r>
        <w:t>) et Jacob (</w:t>
      </w:r>
      <w:hyperlink r:id="rId1727">
        <w:r>
          <w:rPr>
            <w:color w:val="0000EE"/>
            <w:u w:val="single"/>
          </w:rPr>
          <w:t>46.1</w:t>
        </w:r>
      </w:hyperlink>
      <w:r>
        <w:t>) auront eu des expériences spirituelles significatives dans cette région. Elle restera un lieu important pour de nombreux autres Hébreux à des époques ultérieures.</w:t>
      </w:r>
    </w:p>
    <w:p>
      <w:r/>
      <w:r>
        <w:t>À l'époque de la monarchie hébraïque, Beer-Schéba était située à Tell Beer-Schéba, à 3 km au nord-est de la ville moderne. Des fouilles archéologiques récentes montrent que les Hébreux ont construit la ville au 12e ou 11e siècle av. J.‑C. C'était probablement là que les fils de Samuel servaient de juges pour le peuple (</w:t>
      </w:r>
      <w:hyperlink r:id="rId1728">
        <w:r>
          <w:rPr>
            <w:color w:val="0000EE"/>
            <w:u w:val="single"/>
          </w:rPr>
          <w:t>1S 8.2</w:t>
        </w:r>
      </w:hyperlink>
      <w:r>
        <w:t>).</w:t>
      </w:r>
    </w:p>
    <w:p>
      <w:r/>
      <w:r>
        <w:t>La ville elle-même était petite, couvrant environ un hectare. Dans ses ruines, les archéologues ont trouvé des morceaux d'un autel à cornes. Une fois reconstitué, l'autel mesurait environ 1,5 m de haut, la même hauteur que l'autel découvert à Arad. Ce sont les deux seuls autels hébreux de l'époque du premier temple qui ont été retrouvés. La hauteur de ces autels correspond à celle de l'autel décrit pour le tabernacle (</w:t>
      </w:r>
      <w:hyperlink r:id="rId1729">
        <w:r>
          <w:rPr>
            <w:color w:val="0000EE"/>
            <w:u w:val="single"/>
          </w:rPr>
          <w:t>Ex 27.1</w:t>
        </w:r>
      </w:hyperlink>
      <w:r>
        <w:t>) et était probablement la même que celle de l'autel original dans le temple de Salomon (</w:t>
      </w:r>
      <w:hyperlink r:id="rId1730">
        <w:r>
          <w:rPr>
            <w:color w:val="0000EE"/>
            <w:u w:val="single"/>
          </w:rPr>
          <w:t>2Ch 6.13</w:t>
        </w:r>
      </w:hyperlink>
      <w:r>
        <w:t>). Un grand système d'eau a également été découvert à Beer-Schéba, similaire à ceux trouvés dans les anciennes villes de Meguiddo et Hatsor.</w:t>
      </w:r>
      <w:r/>
      <w:r/>
    </w:p>
    <w:p>
      <w:r/>
    </w:p>
    <w:p>
      <w:pPr>
        <w:pStyle w:val="Heading2"/>
      </w:pPr>
      <w:r>
        <w:t>Béker, Bakrite</w:t>
      </w:r>
      <w:r/>
    </w:p>
    <w:p>
      <w:pPr>
        <w:pStyle w:val="Heading1"/>
      </w:pPr>
      <w:r>
        <w:t xml:space="preserve">BÉKER, </w:t>
      </w:r>
      <w:r>
        <w:t>BAKRITE</w:t>
      </w:r>
    </w:p>
    <w:p>
      <w:pPr>
        <w:pStyle w:val="ListNumber"/>
        <w:spacing w:line="240" w:lineRule="auto"/>
        <w:ind w:left="720"/>
      </w:pPr>
      <w:r/>
      <w:r>
        <w:t>Deuxième fils de Benjamin, qui déménagera en Égypte avec son grand-père Jacob (</w:t>
      </w:r>
      <w:hyperlink r:id="rId123">
        <w:r>
          <w:rPr>
            <w:color w:val="0000EE"/>
            <w:u w:val="single"/>
          </w:rPr>
          <w:t>Gn 46.21</w:t>
        </w:r>
      </w:hyperlink>
      <w:r>
        <w:t xml:space="preserve"> ; </w:t>
      </w:r>
      <w:hyperlink r:id="rId1355">
        <w:r>
          <w:rPr>
            <w:color w:val="0000EE"/>
            <w:u w:val="single"/>
          </w:rPr>
          <w:t>1Ch 7.6</w:t>
        </w:r>
      </w:hyperlink>
      <w:r>
        <w:t>).</w:t>
      </w:r>
    </w:p>
    <w:p>
      <w:pPr>
        <w:pStyle w:val="ListNumber"/>
        <w:spacing w:line="240" w:lineRule="auto"/>
        <w:ind w:left="720"/>
      </w:pPr>
      <w:r/>
      <w:r>
        <w:t xml:space="preserve">Deuxième fils d'Éphraïm. La famille des « </w:t>
      </w:r>
      <w:r>
        <w:t>Bakrites</w:t>
      </w:r>
      <w:r>
        <w:t xml:space="preserve"> » est issue de sa lignée (</w:t>
      </w:r>
      <w:hyperlink r:id="rId1731">
        <w:r>
          <w:rPr>
            <w:color w:val="0000EE"/>
            <w:u w:val="single"/>
          </w:rPr>
          <w:t>Nb 26.35</w:t>
        </w:r>
      </w:hyperlink>
      <w:r>
        <w:t>). Il est également appelé Béréd (</w:t>
      </w:r>
      <w:hyperlink r:id="rId1732">
        <w:r>
          <w:rPr>
            <w:color w:val="0000EE"/>
            <w:u w:val="single"/>
          </w:rPr>
          <w:t>1Ch 7.20</w:t>
        </w:r>
      </w:hyperlink>
      <w:r>
        <w:t>).</w:t>
      </w:r>
      <w:r/>
      <w:r/>
    </w:p>
    <w:p>
      <w:r/>
    </w:p>
    <w:p>
      <w:pPr>
        <w:pStyle w:val="Heading2"/>
      </w:pPr>
      <w:r>
        <w:t>Béla (Lieu)</w:t>
      </w:r>
      <w:r/>
    </w:p>
    <w:p>
      <w:r/>
      <w:r>
        <w:t xml:space="preserve">Nom alternatif pour Tsoar, une ville de la plaine, dans </w:t>
      </w:r>
      <w:hyperlink r:id="rId1733">
        <w:r>
          <w:rPr>
            <w:color w:val="0000EE"/>
            <w:u w:val="single"/>
          </w:rPr>
          <w:t>Genèse 14.2</w:t>
        </w:r>
      </w:hyperlink>
      <w:r>
        <w:t xml:space="preserve">. </w:t>
      </w:r>
      <w:r>
        <w:rPr>
          <w:i/>
        </w:rPr>
        <w:t>Voir</w:t>
      </w:r>
      <w:r>
        <w:t xml:space="preserve"> </w:t>
      </w:r>
      <w:r>
        <w:t>Villes de la Plaine</w:t>
      </w:r>
      <w:r>
        <w:t xml:space="preserve"> ; </w:t>
      </w:r>
      <w:r>
        <w:t>Tsoar</w:t>
      </w:r>
      <w:r>
        <w:t>.</w:t>
      </w:r>
      <w:r/>
      <w:r/>
    </w:p>
    <w:p>
      <w:r/>
    </w:p>
    <w:p>
      <w:pPr>
        <w:pStyle w:val="Heading2"/>
      </w:pPr>
      <w:r>
        <w:t>Béla (Personne)</w:t>
      </w:r>
      <w:r/>
    </w:p>
    <w:p>
      <w:pPr>
        <w:pStyle w:val="ListNumber"/>
        <w:spacing w:line="240" w:lineRule="auto"/>
        <w:ind w:left="720"/>
      </w:pPr>
      <w:r/>
      <w:r>
        <w:t>Fils de Beor, un roi d'Édom qui a régné avant qu'Israël n'ait un roi (</w:t>
      </w:r>
      <w:hyperlink r:id="rId1734">
        <w:r>
          <w:rPr>
            <w:color w:val="0000EE"/>
            <w:u w:val="single"/>
          </w:rPr>
          <w:t>Gn 36.31–33</w:t>
        </w:r>
      </w:hyperlink>
      <w:r>
        <w:t>). Balaam, le prophète païen du nord de la Syrie, avait également un père nommé Beor (</w:t>
      </w:r>
      <w:hyperlink r:id="rId1735">
        <w:r>
          <w:rPr>
            <w:color w:val="0000EE"/>
            <w:u w:val="single"/>
          </w:rPr>
          <w:t>Nb 22.5</w:t>
        </w:r>
      </w:hyperlink>
      <w:r>
        <w:t>). Ainsi, certains érudits ont confondu Béla l'Édomite avec Balaam.</w:t>
      </w:r>
    </w:p>
    <w:p>
      <w:pPr>
        <w:pStyle w:val="ListNumber"/>
        <w:spacing w:line="240" w:lineRule="auto"/>
        <w:ind w:left="720"/>
      </w:pPr>
      <w:r/>
      <w:r>
        <w:t>Fils aîné de Benjamin (</w:t>
      </w:r>
      <w:hyperlink r:id="rId123">
        <w:r>
          <w:rPr>
            <w:color w:val="0000EE"/>
            <w:u w:val="single"/>
          </w:rPr>
          <w:t>Gn 46.21</w:t>
        </w:r>
      </w:hyperlink>
      <w:r>
        <w:t xml:space="preserve"> ; </w:t>
      </w:r>
      <w:hyperlink r:id="rId122">
        <w:r>
          <w:rPr>
            <w:color w:val="0000EE"/>
            <w:u w:val="single"/>
          </w:rPr>
          <w:t>1Ch 8.1</w:t>
        </w:r>
      </w:hyperlink>
      <w:r>
        <w:t xml:space="preserve">), dont les descendants étaient appelés </w:t>
      </w:r>
      <w:r>
        <w:t>Balites</w:t>
      </w:r>
      <w:r>
        <w:t xml:space="preserve"> (</w:t>
      </w:r>
      <w:hyperlink r:id="rId121">
        <w:r>
          <w:rPr>
            <w:color w:val="0000EE"/>
            <w:u w:val="single"/>
          </w:rPr>
          <w:t>Nb 26.38</w:t>
        </w:r>
      </w:hyperlink>
      <w:r>
        <w:t>).</w:t>
      </w:r>
    </w:p>
    <w:p>
      <w:pPr>
        <w:pStyle w:val="ListNumber"/>
        <w:spacing w:line="240" w:lineRule="auto"/>
        <w:ind w:left="720"/>
      </w:pPr>
      <w:r/>
      <w:r>
        <w:t>Fils d'Azaz, un descendant de Ruben, qui vivait en Galaad en Transjordanie. Sa famille possédait tellement de terres que leur bétail vivait près de l'Euphrate (</w:t>
      </w:r>
      <w:hyperlink r:id="rId1736">
        <w:r>
          <w:rPr>
            <w:color w:val="0000EE"/>
            <w:u w:val="single"/>
          </w:rPr>
          <w:t>1Ch 5.8–9</w:t>
        </w:r>
      </w:hyperlink>
      <w:r>
        <w:t>). Sous le règne de Saül, sa famille défendra leur terre contre l'hostilité hagrite.</w:t>
      </w:r>
      <w:r/>
      <w:r/>
    </w:p>
    <w:p>
      <w:r/>
    </w:p>
    <w:p>
      <w:pPr>
        <w:pStyle w:val="Heading2"/>
      </w:pPr>
      <w:r>
        <w:t>Belle Porte</w:t>
      </w:r>
      <w:r/>
    </w:p>
    <w:p>
      <w:r/>
      <w:r>
        <w:t>Porte dans le temple d'Hérode à Jérusalem.</w:t>
      </w:r>
    </w:p>
    <w:p>
      <w:r/>
      <w:r>
        <w:t>Un homme qui ne pouvait pas marcher a été miraculeusement guéri par Pierre et Jean à cette porte (</w:t>
      </w:r>
      <w:hyperlink r:id="rId1737">
        <w:r>
          <w:rPr>
            <w:color w:val="0000EE"/>
            <w:u w:val="single"/>
          </w:rPr>
          <w:t>Ac 3.2, 10</w:t>
        </w:r>
      </w:hyperlink>
      <w:r>
        <w:t>). Nous ne savons pas où se trouvait cette porte, mais il s'agissait probablement de la porte menant du parvis des Gentils au parvis des Femmes. Celle-ci était également appelée la Porte Corinthienne (pour son bronze corinthien) par l'historien juif Josèphe. Selon lui, elle mesurait 23 mètres de haut pour 18 mètres de large. Une inscription funéraire trouvée sur le Mont des Oliviers indique que la porte a été construite par un Juif d'Alexandrie nommé Nicanor.</w:t>
      </w:r>
    </w:p>
    <w:p>
      <w:r/>
      <w:r>
        <w:rPr>
          <w:i/>
        </w:rPr>
        <w:t>Voir aussi</w:t>
      </w:r>
      <w:r>
        <w:t xml:space="preserve"> </w:t>
      </w:r>
      <w:r>
        <w:t>Temple</w:t>
      </w:r>
      <w:r>
        <w:t>.</w:t>
      </w:r>
      <w:r/>
      <w:r/>
    </w:p>
    <w:p>
      <w:r/>
    </w:p>
    <w:p>
      <w:pPr>
        <w:pStyle w:val="Heading2"/>
      </w:pPr>
      <w:r>
        <w:t>Bema, tribunal</w:t>
      </w:r>
      <w:r/>
    </w:p>
    <w:p>
      <w:r/>
      <w:r>
        <w:t>Un mot grec désignant un siège de jugement ou un tribunal d'un fonctionnaire romain. Ce mot, qui signifie littéralement « pas » ou « foulée », était couramment utilisé au 1er siècle ap. J.‑C. pour désigner une plateforme surélevée où étaient prononcés des discours politiques ou des décisions judiciaires. Le bema était un élément important dans les villes anciennes, souvent situé dans des zones publiques importantes telles que les marchés.</w:t>
      </w:r>
    </w:p>
    <w:p>
      <w:r/>
      <w:r>
        <w:t>Dans le Nouveau Testament, le mot est utilisé plusieurs fois :</w:t>
      </w:r>
    </w:p>
    <w:p>
      <w:pPr>
        <w:pStyle w:val="ListBullet"/>
        <w:spacing w:line="240" w:lineRule="auto"/>
        <w:ind w:left="720"/>
      </w:pPr>
      <w:r/>
      <w:r>
        <w:t>Jésus a été interrogé devant le tribunal de Pilate (</w:t>
      </w:r>
      <w:hyperlink r:id="rId1738">
        <w:r>
          <w:rPr>
            <w:color w:val="0000EE"/>
            <w:u w:val="single"/>
          </w:rPr>
          <w:t>Mt 27.19</w:t>
        </w:r>
      </w:hyperlink>
      <w:r>
        <w:t xml:space="preserve"> ; </w:t>
      </w:r>
      <w:hyperlink r:id="rId1739">
        <w:r>
          <w:rPr>
            <w:color w:val="0000EE"/>
            <w:u w:val="single"/>
          </w:rPr>
          <w:t>Jn 19.13</w:t>
        </w:r>
      </w:hyperlink>
      <w:r>
        <w:t>).</w:t>
      </w:r>
    </w:p>
    <w:p>
      <w:pPr>
        <w:pStyle w:val="ListBullet"/>
        <w:spacing w:line="240" w:lineRule="auto"/>
        <w:ind w:left="720"/>
      </w:pPr>
      <w:r/>
      <w:r>
        <w:t>Hérode Agrippa 1er s'est adressé au peuple de Tyr et de Sidon depuis un siège de jugement (</w:t>
      </w:r>
      <w:hyperlink r:id="rId1740">
        <w:r>
          <w:rPr>
            <w:color w:val="0000EE"/>
            <w:u w:val="single"/>
          </w:rPr>
          <w:t>Ac 12.21</w:t>
        </w:r>
      </w:hyperlink>
      <w:r>
        <w:t>).</w:t>
      </w:r>
    </w:p>
    <w:p>
      <w:pPr>
        <w:pStyle w:val="ListBullet"/>
        <w:spacing w:line="240" w:lineRule="auto"/>
        <w:ind w:left="720"/>
      </w:pPr>
      <w:r/>
      <w:r>
        <w:t>L'apôtre Paul a été amené devant le tribunal de Gallion à Corinthe (</w:t>
      </w:r>
      <w:hyperlink r:id="rId163">
        <w:r>
          <w:rPr>
            <w:color w:val="0000EE"/>
            <w:u w:val="single"/>
          </w:rPr>
          <w:t>Ac 18.12–17</w:t>
        </w:r>
      </w:hyperlink>
      <w:r>
        <w:t>).</w:t>
      </w:r>
    </w:p>
    <w:p>
      <w:pPr>
        <w:pStyle w:val="ListBullet"/>
        <w:spacing w:line="240" w:lineRule="auto"/>
        <w:ind w:left="720"/>
      </w:pPr>
      <w:r/>
      <w:r>
        <w:t>L'apôtre Paul sera de nouveau amené devant le tribunal de Festus à Césarée (</w:t>
      </w:r>
      <w:hyperlink r:id="rId1741">
        <w:r>
          <w:rPr>
            <w:color w:val="0000EE"/>
            <w:u w:val="single"/>
          </w:rPr>
          <w:t>Ac 25.6, 10, 17</w:t>
        </w:r>
      </w:hyperlink>
      <w:r>
        <w:t>).</w:t>
      </w:r>
    </w:p>
    <w:p>
      <w:pPr>
        <w:pStyle w:val="ListBullet"/>
        <w:spacing w:line="240" w:lineRule="auto"/>
        <w:ind w:left="720"/>
      </w:pPr>
      <w:r/>
      <w:r>
        <w:t>Paul a utilisé ce mot pour se référer au siège du jugement de Dieu.</w:t>
      </w:r>
    </w:p>
    <w:p>
      <w:pPr>
        <w:pStyle w:val="ListBullet"/>
        <w:spacing w:line="240" w:lineRule="auto"/>
        <w:ind w:left="1440"/>
      </w:pPr>
      <w:r/>
      <w:r>
        <w:t xml:space="preserve">Dans </w:t>
      </w:r>
      <w:hyperlink r:id="rId1742">
        <w:r>
          <w:rPr>
            <w:color w:val="0000EE"/>
            <w:u w:val="single"/>
          </w:rPr>
          <w:t>Romains 14.10</w:t>
        </w:r>
      </w:hyperlink>
      <w:r>
        <w:t>, il a averti que tous se tiendront devant le tribunal de Dieu.</w:t>
      </w:r>
    </w:p>
    <w:p>
      <w:pPr>
        <w:pStyle w:val="ListBullet"/>
        <w:spacing w:line="240" w:lineRule="auto"/>
        <w:ind w:left="1440"/>
      </w:pPr>
      <w:r/>
      <w:r>
        <w:t xml:space="preserve">Dans </w:t>
      </w:r>
      <w:hyperlink r:id="rId1743">
        <w:r>
          <w:rPr>
            <w:color w:val="0000EE"/>
            <w:u w:val="single"/>
          </w:rPr>
          <w:t>2 Corinthiens 5.10</w:t>
        </w:r>
      </w:hyperlink>
      <w:r>
        <w:t xml:space="preserve">, Paul décrit le tribunal de Christ, où la valeur du travail de chaque personne sera jugée (voir </w:t>
      </w:r>
      <w:hyperlink r:id="rId1744">
        <w:r>
          <w:rPr>
            <w:color w:val="0000EE"/>
            <w:u w:val="single"/>
          </w:rPr>
          <w:t>1Co 3.13–15</w:t>
        </w:r>
      </w:hyperlink>
      <w:r>
        <w:t>).</w:t>
      </w:r>
    </w:p>
    <w:p>
      <w:r/>
      <w:r>
        <w:rPr>
          <w:i/>
        </w:rPr>
        <w:t>Voir aussi</w:t>
      </w:r>
      <w:r>
        <w:t xml:space="preserve"> </w:t>
      </w:r>
      <w:r>
        <w:t>Jugement</w:t>
      </w:r>
      <w:r>
        <w:t xml:space="preserve"> ; </w:t>
      </w:r>
      <w:r>
        <w:t>Siège du jugement</w:t>
      </w:r>
      <w:r>
        <w:t xml:space="preserve"> ; </w:t>
      </w:r>
      <w:r>
        <w:t>Jugement dernier</w:t>
      </w:r>
      <w:r>
        <w:t>.</w:t>
      </w:r>
      <w:r/>
      <w:r/>
    </w:p>
    <w:p>
      <w:r/>
    </w:p>
    <w:p>
      <w:pPr>
        <w:pStyle w:val="Heading2"/>
      </w:pPr>
      <w:r>
        <w:t>Ben-Ammi</w:t>
      </w:r>
      <w:r/>
    </w:p>
    <w:p>
      <w:r/>
      <w:r>
        <w:t>Fils de Lot et de sa fille cadette. Une relation incestueuse similaire entre Lot et sa fille aînée a donné naissance à un fils nommé Moab. Les deux fils sont considérés comme les ancêtres des peuples Ammonite et Moabite respectivement (</w:t>
      </w:r>
      <w:hyperlink r:id="rId700">
        <w:r>
          <w:rPr>
            <w:color w:val="0000EE"/>
            <w:u w:val="single"/>
          </w:rPr>
          <w:t>Gn 19.38</w:t>
        </w:r>
      </w:hyperlink>
      <w:r>
        <w:t>).</w:t>
      </w:r>
    </w:p>
    <w:p>
      <w:r/>
      <w:r>
        <w:t>Bien que Lot aurait pu partager la promesse faite à Abraham (</w:t>
      </w:r>
      <w:hyperlink r:id="rId84">
        <w:r>
          <w:rPr>
            <w:color w:val="0000EE"/>
            <w:u w:val="single"/>
          </w:rPr>
          <w:t>Gn 11.31</w:t>
        </w:r>
      </w:hyperlink>
      <w:r>
        <w:t xml:space="preserve">; </w:t>
      </w:r>
      <w:hyperlink r:id="rId1745">
        <w:r>
          <w:rPr>
            <w:color w:val="0000EE"/>
            <w:u w:val="single"/>
          </w:rPr>
          <w:t>12.1–4</w:t>
        </w:r>
      </w:hyperlink>
      <w:r>
        <w:t>), il choisira de suivre son propre chemin (</w:t>
      </w:r>
      <w:hyperlink r:id="rId1746">
        <w:r>
          <w:rPr>
            <w:color w:val="0000EE"/>
            <w:u w:val="single"/>
          </w:rPr>
          <w:t>13.2–12</w:t>
        </w:r>
      </w:hyperlink>
      <w:r>
        <w:t>) et ne fera pas confiance au Seigneur (</w:t>
      </w:r>
      <w:hyperlink r:id="rId1747">
        <w:r>
          <w:rPr>
            <w:color w:val="0000EE"/>
            <w:u w:val="single"/>
          </w:rPr>
          <w:t>19.15–23</w:t>
        </w:r>
      </w:hyperlink>
      <w:r>
        <w:t>). En raison de sa relation avec Abraham, toutefois, les Israélites traiteront les descendants de Lot avec respect, malgré le fait que les Ammonites et les Moabites soient parfois de grands ennemis d'Israël (</w:t>
      </w:r>
      <w:hyperlink r:id="rId735">
        <w:r>
          <w:rPr>
            <w:color w:val="0000EE"/>
            <w:u w:val="single"/>
          </w:rPr>
          <w:t>2Ch 20.1–12</w:t>
        </w:r>
      </w:hyperlink>
      <w:r>
        <w:t>).</w:t>
      </w:r>
    </w:p>
    <w:p>
      <w:r/>
      <w:r>
        <w:rPr>
          <w:i/>
        </w:rPr>
        <w:t>Voir aussi</w:t>
      </w:r>
      <w:r>
        <w:t xml:space="preserve"> </w:t>
      </w:r>
      <w:r>
        <w:t>Ammon, Ammonites</w:t>
      </w:r>
      <w:r>
        <w:t>.</w:t>
      </w:r>
      <w:r/>
      <w:r/>
    </w:p>
    <w:p>
      <w:r/>
    </w:p>
    <w:p>
      <w:pPr>
        <w:pStyle w:val="Heading2"/>
      </w:pPr>
      <w:r>
        <w:t>Bénédiction ecclésiastique</w:t>
      </w:r>
      <w:r/>
    </w:p>
    <w:p>
      <w:r/>
      <w:r>
        <w:t>Dans certaines Églises contemporaines, le fait d'invoquer la bénédiction de Dieu sur la congrégation. Les Églises orthodoxes, catholiques et la plupart des Églises protestantes terminent généralement leurs cultes ou messes par une bénédiction d'un membre du clergé. Cette pratique est basée sur des exemples bibliques de bénédictions, notamment la conclusion de lettres pastorales par une bénédiction (</w:t>
      </w:r>
      <w:hyperlink r:id="rId1748">
        <w:r>
          <w:rPr>
            <w:color w:val="0000EE"/>
            <w:u w:val="single"/>
          </w:rPr>
          <w:t>Gn 27.27</w:t>
        </w:r>
      </w:hyperlink>
      <w:r>
        <w:t>–</w:t>
      </w:r>
      <w:hyperlink r:id="rId1748">
        <w:r>
          <w:rPr>
            <w:color w:val="0000EE"/>
            <w:u w:val="single"/>
          </w:rPr>
          <w:t>29</w:t>
        </w:r>
      </w:hyperlink>
      <w:r>
        <w:t xml:space="preserve"> ; </w:t>
      </w:r>
      <w:hyperlink r:id="rId1749">
        <w:r>
          <w:rPr>
            <w:color w:val="0000EE"/>
            <w:u w:val="single"/>
          </w:rPr>
          <w:t>Nb 6.22</w:t>
        </w:r>
      </w:hyperlink>
      <w:r>
        <w:t>–</w:t>
      </w:r>
      <w:hyperlink r:id="rId1749">
        <w:r>
          <w:rPr>
            <w:color w:val="0000EE"/>
            <w:u w:val="single"/>
          </w:rPr>
          <w:t>27</w:t>
        </w:r>
      </w:hyperlink>
      <w:r>
        <w:t xml:space="preserve"> ; </w:t>
      </w:r>
      <w:hyperlink r:id="rId1750">
        <w:r>
          <w:rPr>
            <w:color w:val="0000EE"/>
            <w:u w:val="single"/>
          </w:rPr>
          <w:t>Lc 24.50</w:t>
        </w:r>
      </w:hyperlink>
      <w:r>
        <w:t xml:space="preserve"> ; </w:t>
      </w:r>
      <w:hyperlink r:id="rId1751">
        <w:r>
          <w:rPr>
            <w:color w:val="0000EE"/>
            <w:u w:val="single"/>
          </w:rPr>
          <w:t>2Co 13.11, 14</w:t>
        </w:r>
      </w:hyperlink>
      <w:r>
        <w:t xml:space="preserve"> ; </w:t>
      </w:r>
      <w:hyperlink r:id="rId1752">
        <w:r>
          <w:rPr>
            <w:color w:val="0000EE"/>
            <w:u w:val="single"/>
          </w:rPr>
          <w:t>Ph 4.7</w:t>
        </w:r>
      </w:hyperlink>
      <w:r>
        <w:t xml:space="preserve"> ; </w:t>
      </w:r>
      <w:hyperlink r:id="rId1753">
        <w:r>
          <w:rPr>
            <w:color w:val="0000EE"/>
            <w:u w:val="single"/>
          </w:rPr>
          <w:t>2Th 2.16</w:t>
        </w:r>
      </w:hyperlink>
      <w:r>
        <w:t>–</w:t>
      </w:r>
      <w:hyperlink r:id="rId1753">
        <w:r>
          <w:rPr>
            <w:color w:val="0000EE"/>
            <w:u w:val="single"/>
          </w:rPr>
          <w:t>17</w:t>
        </w:r>
      </w:hyperlink>
      <w:r>
        <w:t xml:space="preserve"> ; </w:t>
      </w:r>
      <w:hyperlink r:id="rId1754">
        <w:r>
          <w:rPr>
            <w:color w:val="0000EE"/>
            <w:u w:val="single"/>
          </w:rPr>
          <w:t>Hé 13.20</w:t>
        </w:r>
      </w:hyperlink>
      <w:r>
        <w:t>–</w:t>
      </w:r>
      <w:hyperlink r:id="rId1754">
        <w:r>
          <w:rPr>
            <w:color w:val="0000EE"/>
            <w:u w:val="single"/>
          </w:rPr>
          <w:t>21</w:t>
        </w:r>
      </w:hyperlink>
      <w:r>
        <w:t>).</w:t>
      </w:r>
    </w:p>
    <w:p>
      <w:r/>
      <w:r>
        <w:t>Dans certaines traditions chrétiennes, on croit que certains rôles (pasteur, prêtre) donnent l'autorité spirituelle de proclamer la faveur de Dieu sur les chrétiens fidèles. La bénédiction pastorale rappelle à tout chrétien fidèle de désirer et de compter sur la grâce de Dieu le Père, l'amour du Fils et la communion du Saint-Esprit.</w:t>
      </w:r>
    </w:p>
    <w:p>
      <w:r/>
      <w:r>
        <w:t xml:space="preserve">Dans certains cercles chrétiens, on parle aussi de prononcer une bénédiction pour décrire le fait de rendre grâce pour un repas (voir </w:t>
      </w:r>
      <w:hyperlink r:id="rId1755">
        <w:r>
          <w:rPr>
            <w:color w:val="0000EE"/>
            <w:u w:val="single"/>
          </w:rPr>
          <w:t>Mt 14.19</w:t>
        </w:r>
      </w:hyperlink>
      <w:r>
        <w:t xml:space="preserve"> ; </w:t>
      </w:r>
      <w:hyperlink r:id="rId1756">
        <w:r>
          <w:rPr>
            <w:color w:val="0000EE"/>
            <w:u w:val="single"/>
          </w:rPr>
          <w:t>Mc 8.7</w:t>
        </w:r>
      </w:hyperlink>
      <w:r>
        <w:t xml:space="preserve"> ; </w:t>
      </w:r>
      <w:hyperlink r:id="rId1757">
        <w:r>
          <w:rPr>
            <w:color w:val="0000EE"/>
            <w:u w:val="single"/>
          </w:rPr>
          <w:t>Lc 24.30</w:t>
        </w:r>
      </w:hyperlink>
      <w:r>
        <w:t>).</w:t>
      </w:r>
    </w:p>
    <w:p>
      <w:r/>
      <w:r>
        <w:rPr>
          <w:i/>
        </w:rPr>
        <w:t>Voir aussi</w:t>
      </w:r>
      <w:r>
        <w:t xml:space="preserve"> </w:t>
      </w:r>
      <w:r>
        <w:t>Béatitudes</w:t>
      </w:r>
      <w:r>
        <w:t>.</w:t>
      </w:r>
      <w:r/>
      <w:r/>
    </w:p>
    <w:p>
      <w:r/>
    </w:p>
    <w:p>
      <w:pPr>
        <w:pStyle w:val="Heading2"/>
      </w:pPr>
      <w:r>
        <w:t>Benjamin (Personne)</w:t>
      </w:r>
      <w:r/>
    </w:p>
    <w:p>
      <w:pPr>
        <w:pStyle w:val="ListNumber"/>
        <w:spacing w:line="240" w:lineRule="auto"/>
        <w:ind w:left="720"/>
      </w:pPr>
      <w:r/>
      <w:r>
        <w:t xml:space="preserve">Le plus jeune des douze fils de Jacob et frère de Joseph. Jacob le nommera Benjamin (« fils de ma main droite ») après que sa mère mourante, Rachel, l'avait appelé Ben-Oni (« fils de ma douleur », </w:t>
      </w:r>
      <w:hyperlink r:id="rId1758">
        <w:r>
          <w:rPr>
            <w:color w:val="0000EE"/>
            <w:u w:val="single"/>
          </w:rPr>
          <w:t>Gn 35.18</w:t>
        </w:r>
      </w:hyperlink>
      <w:r>
        <w:t>). Après que Joseph a été vendu en Égypte par ses demi-frères, leur père, Jacob, supposera que Joseph était mort, devenant par la suite très protecteur envers Benjamin. Plus tard, en raison d'un plan fomenté par Joseph, Benjamin sera utilisé pour aider à réunir Jacob avec ses douze fils en Égypte (</w:t>
      </w:r>
      <w:hyperlink r:id="rId1759">
        <w:r>
          <w:rPr>
            <w:color w:val="0000EE"/>
            <w:u w:val="single"/>
          </w:rPr>
          <w:t>Gn 42–45</w:t>
        </w:r>
      </w:hyperlink>
      <w:r>
        <w:t xml:space="preserve">). Dans une prophétie concernant ses fils, Jacob parlera de l'habileté de Benjamin en tant que guerrier ou prédira la puissance militaire de sa tribu en disant : « </w:t>
      </w:r>
      <w:r>
        <w:t>Benjamin est un loup qui déchire</w:t>
      </w:r>
      <w:r>
        <w:t xml:space="preserve"> </w:t>
      </w:r>
      <w:r>
        <w:t>; Le matin, il dévore la proie, Et le soir, il partage le butin</w:t>
      </w:r>
      <w:r>
        <w:t xml:space="preserve"> » (</w:t>
      </w:r>
      <w:hyperlink r:id="rId1760">
        <w:r>
          <w:rPr>
            <w:color w:val="0000EE"/>
            <w:u w:val="single"/>
          </w:rPr>
          <w:t>Gn 49.27</w:t>
        </w:r>
      </w:hyperlink>
      <w:r>
        <w:t>).</w:t>
      </w:r>
    </w:p>
    <w:p>
      <w:r/>
      <w:r>
        <w:rPr>
          <w:i/>
        </w:rPr>
        <w:t>Voir</w:t>
      </w:r>
      <w:r>
        <w:t xml:space="preserve"> </w:t>
      </w:r>
      <w:r>
        <w:t>Benjamin, Tribu de</w:t>
      </w:r>
      <w:r>
        <w:t>.</w:t>
      </w:r>
    </w:p>
    <w:p>
      <w:pPr>
        <w:pStyle w:val="ListNumber"/>
        <w:spacing w:line="240" w:lineRule="auto"/>
        <w:ind w:left="720"/>
      </w:pPr>
      <w:r/>
      <w:r>
        <w:t>Fils de Bilhan et arrière-petit-fils de Jacob (</w:t>
      </w:r>
      <w:hyperlink r:id="rId1761">
        <w:r>
          <w:rPr>
            <w:color w:val="0000EE"/>
            <w:u w:val="single"/>
          </w:rPr>
          <w:t>1Ch 7.10</w:t>
        </w:r>
      </w:hyperlink>
      <w:r>
        <w:t>).</w:t>
      </w:r>
    </w:p>
    <w:p>
      <w:pPr>
        <w:pStyle w:val="ListNumber"/>
        <w:spacing w:line="240" w:lineRule="auto"/>
        <w:ind w:left="720"/>
      </w:pPr>
      <w:r/>
      <w:r>
        <w:t>Membre du clan de Harim après l'exil à Babylone, qui épousera une femme non juive (</w:t>
      </w:r>
      <w:hyperlink r:id="rId1762">
        <w:r>
          <w:rPr>
            <w:color w:val="0000EE"/>
            <w:u w:val="single"/>
          </w:rPr>
          <w:t>Esd 10.32</w:t>
        </w:r>
      </w:hyperlink>
      <w:r>
        <w:t>).</w:t>
      </w:r>
    </w:p>
    <w:p>
      <w:pPr>
        <w:pStyle w:val="ListNumber"/>
        <w:spacing w:line="240" w:lineRule="auto"/>
        <w:ind w:left="720"/>
      </w:pPr>
      <w:r/>
      <w:r>
        <w:t>Celui qui a réparé une section du mur à côté de sa propre maison (</w:t>
      </w:r>
      <w:hyperlink r:id="rId1763">
        <w:r>
          <w:rPr>
            <w:color w:val="0000EE"/>
            <w:u w:val="single"/>
          </w:rPr>
          <w:t>Né 3.23</w:t>
        </w:r>
      </w:hyperlink>
      <w:r>
        <w:t>).</w:t>
      </w:r>
    </w:p>
    <w:p>
      <w:pPr>
        <w:pStyle w:val="ListNumber"/>
        <w:spacing w:line="240" w:lineRule="auto"/>
        <w:ind w:left="720"/>
      </w:pPr>
      <w:r/>
      <w:r>
        <w:t>L'un des membres de la communauté juive qui a participé à la dédicace du mur à Jérusalem (</w:t>
      </w:r>
      <w:hyperlink r:id="rId1764">
        <w:r>
          <w:rPr>
            <w:color w:val="0000EE"/>
            <w:u w:val="single"/>
          </w:rPr>
          <w:t>Né 12.34</w:t>
        </w:r>
      </w:hyperlink>
      <w:r>
        <w:t>). Il pourrait d'agir de la même personne que n° 4 ci-dessus.</w:t>
      </w:r>
      <w:r/>
      <w:r/>
    </w:p>
    <w:p>
      <w:r/>
    </w:p>
    <w:p>
      <w:pPr>
        <w:pStyle w:val="Heading2"/>
      </w:pPr>
      <w:r>
        <w:t>Benjamin, Tribu de</w:t>
      </w:r>
      <w:r/>
    </w:p>
    <w:p>
      <w:r/>
      <w:r>
        <w:t>L'une des plus petites des douze tribus d'Israël, composée de descendants du plus jeune fils de Jacob (</w:t>
      </w:r>
      <w:hyperlink r:id="rId1765">
        <w:r>
          <w:rPr>
            <w:color w:val="0000EE"/>
            <w:u w:val="single"/>
          </w:rPr>
          <w:t>Nb 1.36</w:t>
        </w:r>
      </w:hyperlink>
      <w:r>
        <w:t>). Dans l'Ancien Testament, la tribu est souvent simplement appelée « Benjamin ». Malgré sa petite taille, la tribu a joué un rôle important dans l'histoire d'Israël, notamment par sa conduite guerrière lors de combats divers (</w:t>
      </w:r>
      <w:hyperlink r:id="rId1766">
        <w:r>
          <w:rPr>
            <w:color w:val="0000EE"/>
            <w:u w:val="single"/>
          </w:rPr>
          <w:t>Jg 20.13–16</w:t>
        </w:r>
      </w:hyperlink>
      <w:r>
        <w:t xml:space="preserve"> ; </w:t>
      </w:r>
      <w:hyperlink r:id="rId1767">
        <w:r>
          <w:rPr>
            <w:color w:val="0000EE"/>
            <w:u w:val="single"/>
          </w:rPr>
          <w:t>1Ch 12.1–2</w:t>
        </w:r>
      </w:hyperlink>
      <w:r>
        <w:t>).</w:t>
      </w:r>
    </w:p>
    <w:p>
      <w:pPr>
        <w:pStyle w:val="Heading3"/>
      </w:pPr>
      <w:r>
        <w:t>Le territoire de la tribu de Benjamin</w:t>
      </w:r>
    </w:p>
    <w:p>
      <w:r/>
      <w:r>
        <w:t>Lorsque de la conqûete de Canaan par les Israélites, Benjamin sera la première tribu à recevoir son territoire après Juda et Éphraïm. Le territoire de Benjamin était situé entre les territoires de Juda et d'Éphraïm, s'étendant des collines du mont Éphraïm aux collines de Judée. La frontière sud avec Juda était bien définie, traversant la vallée d'Hinnom juste au sud de Jérusalem jusqu'à un point au nord de la mer Morte. Sa frontière orientale était le Jourdain, et la frontière nord avec Éphraïm s'étendait du Jourdain à Béthel jusqu'à Atharoth-Addar, qui est au sud de Beth-Horon la basse (</w:t>
      </w:r>
      <w:hyperlink r:id="rId1768">
        <w:r>
          <w:rPr>
            <w:color w:val="0000EE"/>
            <w:u w:val="single"/>
          </w:rPr>
          <w:t>Jos 18.11–20</w:t>
        </w:r>
      </w:hyperlink>
      <w:r>
        <w:t>).</w:t>
      </w:r>
    </w:p>
    <w:p>
      <w:r/>
      <w:r>
        <w:t xml:space="preserve">Le territoire de Benjamin s'étendait sur environ 45 km d'ouest en est et 20 kilomètres du nord au sud. C'était une région vallonnée, stratégiquement placée pour contrôler des passages montagneux clés, mais aussi dotée de vallées fertiles. Certaines de ses villes importantes, mentionnées dans </w:t>
      </w:r>
      <w:hyperlink r:id="rId1769">
        <w:r>
          <w:rPr>
            <w:color w:val="0000EE"/>
            <w:u w:val="single"/>
          </w:rPr>
          <w:t>Josué 18.21–28</w:t>
        </w:r>
      </w:hyperlink>
      <w:r>
        <w:t>, incluaient :</w:t>
      </w:r>
    </w:p>
    <w:p>
      <w:pPr>
        <w:pStyle w:val="ListBullet"/>
        <w:spacing w:line="240" w:lineRule="auto"/>
        <w:ind w:left="720"/>
      </w:pPr>
      <w:r/>
      <w:r>
        <w:t>Jérusalem</w:t>
      </w:r>
    </w:p>
    <w:p>
      <w:pPr>
        <w:pStyle w:val="ListBullet"/>
        <w:spacing w:line="240" w:lineRule="auto"/>
        <w:ind w:left="720"/>
      </w:pPr>
      <w:r/>
      <w:r>
        <w:t>Jéricho</w:t>
      </w:r>
    </w:p>
    <w:p>
      <w:pPr>
        <w:pStyle w:val="ListBullet"/>
        <w:spacing w:line="240" w:lineRule="auto"/>
        <w:ind w:left="720"/>
      </w:pPr>
      <w:r/>
      <w:r>
        <w:t>Bethel</w:t>
      </w:r>
    </w:p>
    <w:p>
      <w:pPr>
        <w:pStyle w:val="ListBullet"/>
        <w:spacing w:line="240" w:lineRule="auto"/>
        <w:ind w:left="720"/>
      </w:pPr>
      <w:r/>
      <w:r>
        <w:t>Gabaon</w:t>
      </w:r>
    </w:p>
    <w:p>
      <w:pPr>
        <w:pStyle w:val="ListBullet"/>
        <w:spacing w:line="240" w:lineRule="auto"/>
        <w:ind w:left="720"/>
      </w:pPr>
      <w:r/>
      <w:r>
        <w:t>Guibéa</w:t>
      </w:r>
    </w:p>
    <w:p>
      <w:pPr>
        <w:pStyle w:val="ListBullet"/>
        <w:spacing w:line="240" w:lineRule="auto"/>
        <w:ind w:left="720"/>
      </w:pPr>
      <w:r/>
      <w:r>
        <w:t>Mitspé</w:t>
      </w:r>
    </w:p>
    <w:p>
      <w:r/>
      <w:r>
        <w:t>Ces villes n'ont pas toutes été prises immédiatement aux personnes qui y vivaient auparavant ; par exemple, Jérusalem est restée entre les mains des Jébusiens jusqu'à l'époque de David. L'environnement difficile a produit un peuple robuste, décrit dans la bénédiction de Jacob sur Benjamin comme « un loup qui déchire » (</w:t>
      </w:r>
      <w:hyperlink r:id="rId1760">
        <w:r>
          <w:rPr>
            <w:color w:val="0000EE"/>
            <w:u w:val="single"/>
          </w:rPr>
          <w:t>Gn 49.27</w:t>
        </w:r>
      </w:hyperlink>
      <w:r>
        <w:t>).</w:t>
      </w:r>
    </w:p>
    <w:p>
      <w:pPr>
        <w:pStyle w:val="Heading3"/>
      </w:pPr>
      <w:r>
        <w:t>Les personnes de la tribu de Benjamin</w:t>
      </w:r>
    </w:p>
    <w:p>
      <w:r/>
      <w:r>
        <w:t>L'un des premiers juges en Canaan, Éhud, était issu de la tribu de Benjamin. Il a délivré les Israélites en tuant Églon, le roi de Moab (</w:t>
      </w:r>
      <w:hyperlink r:id="rId1770">
        <w:r>
          <w:rPr>
            <w:color w:val="0000EE"/>
            <w:u w:val="single"/>
          </w:rPr>
          <w:t>Jg 3.15</w:t>
        </w:r>
      </w:hyperlink>
      <w:r>
        <w:t>). Les membres de la tribu ont ensuite aidé Débora et Barak à vaincre Sisera (</w:t>
      </w:r>
      <w:hyperlink r:id="rId607">
        <w:r>
          <w:rPr>
            <w:color w:val="0000EE"/>
            <w:u w:val="single"/>
          </w:rPr>
          <w:t>Jg 5.14</w:t>
        </w:r>
      </w:hyperlink>
      <w:r>
        <w:t>). La tribu a produit d'autres grandes personnalités :</w:t>
      </w:r>
    </w:p>
    <w:p>
      <w:pPr>
        <w:pStyle w:val="ListBullet"/>
        <w:spacing w:line="240" w:lineRule="auto"/>
        <w:ind w:left="720"/>
      </w:pPr>
      <w:r/>
      <w:r>
        <w:t>Des dirigeants politiques (</w:t>
      </w:r>
      <w:hyperlink r:id="rId1771">
        <w:r>
          <w:rPr>
            <w:color w:val="0000EE"/>
            <w:u w:val="single"/>
          </w:rPr>
          <w:t>1Ch 27.21</w:t>
        </w:r>
      </w:hyperlink>
      <w:r>
        <w:t>)</w:t>
      </w:r>
    </w:p>
    <w:p>
      <w:pPr>
        <w:pStyle w:val="ListBullet"/>
        <w:spacing w:line="240" w:lineRule="auto"/>
        <w:ind w:left="720"/>
      </w:pPr>
      <w:r/>
      <w:r>
        <w:t>Des capitaines dans l'armée de Saül (</w:t>
      </w:r>
      <w:hyperlink r:id="rId1772">
        <w:r>
          <w:rPr>
            <w:color w:val="0000EE"/>
            <w:u w:val="single"/>
          </w:rPr>
          <w:t>2S 4.2</w:t>
        </w:r>
      </w:hyperlink>
      <w:r>
        <w:t>) et l'armée de David (</w:t>
      </w:r>
      <w:hyperlink r:id="rId1773">
        <w:r>
          <w:rPr>
            <w:color w:val="0000EE"/>
            <w:u w:val="single"/>
          </w:rPr>
          <w:t>2S 23.29</w:t>
        </w:r>
      </w:hyperlink>
      <w:r>
        <w:t>)</w:t>
      </w:r>
    </w:p>
    <w:p>
      <w:pPr>
        <w:pStyle w:val="ListBullet"/>
        <w:spacing w:line="240" w:lineRule="auto"/>
        <w:ind w:left="720"/>
      </w:pPr>
      <w:r/>
      <w:r>
        <w:t>Des archers qualifiés (</w:t>
      </w:r>
      <w:hyperlink r:id="rId1774">
        <w:r>
          <w:rPr>
            <w:color w:val="0000EE"/>
            <w:u w:val="single"/>
          </w:rPr>
          <w:t>1Ch 8.40</w:t>
        </w:r>
      </w:hyperlink>
      <w:r>
        <w:t>)</w:t>
      </w:r>
    </w:p>
    <w:p>
      <w:pPr>
        <w:pStyle w:val="ListBullet"/>
        <w:spacing w:line="240" w:lineRule="auto"/>
        <w:ind w:left="720"/>
      </w:pPr>
      <w:r/>
      <w:r>
        <w:t>Des dirigeants dans la main-d'œuvre de Salomon (</w:t>
      </w:r>
      <w:hyperlink r:id="rId1775">
        <w:r>
          <w:rPr>
            <w:color w:val="0000EE"/>
            <w:u w:val="single"/>
          </w:rPr>
          <w:t>1R 4.18</w:t>
        </w:r>
      </w:hyperlink>
      <w:r>
        <w:t>)</w:t>
      </w:r>
    </w:p>
    <w:p>
      <w:r/>
      <w:r>
        <w:t>Les descendants de Benjamin ont également montré des traits moins nobles :</w:t>
      </w:r>
    </w:p>
    <w:p>
      <w:pPr>
        <w:pStyle w:val="ListBullet"/>
        <w:spacing w:line="240" w:lineRule="auto"/>
        <w:ind w:left="720"/>
      </w:pPr>
      <w:r/>
      <w:r>
        <w:t>Palthi, un Benjaminite, fera un mauvais rapport lorsque les douze espions reviennent de l'exploration du pays de Canaan (</w:t>
      </w:r>
      <w:hyperlink r:id="rId1776">
        <w:r>
          <w:rPr>
            <w:color w:val="0000EE"/>
            <w:u w:val="single"/>
          </w:rPr>
          <w:t>Nb 13.1</w:t>
        </w:r>
      </w:hyperlink>
      <w:hyperlink r:id="rId1777">
        <w:r>
          <w:rPr>
            <w:color w:val="0000EE"/>
            <w:u w:val="single"/>
          </w:rPr>
          <w:t>–</w:t>
        </w:r>
      </w:hyperlink>
      <w:hyperlink r:id="rId1776">
        <w:r>
          <w:rPr>
            <w:color w:val="0000EE"/>
            <w:u w:val="single"/>
          </w:rPr>
          <w:t>2, 9, 31</w:t>
        </w:r>
      </w:hyperlink>
      <w:hyperlink r:id="rId1777">
        <w:r>
          <w:rPr>
            <w:color w:val="0000EE"/>
            <w:u w:val="single"/>
          </w:rPr>
          <w:t>–</w:t>
        </w:r>
      </w:hyperlink>
      <w:hyperlink r:id="rId1776">
        <w:r>
          <w:rPr>
            <w:color w:val="0000EE"/>
            <w:u w:val="single"/>
          </w:rPr>
          <w:t>33</w:t>
        </w:r>
      </w:hyperlink>
      <w:r>
        <w:t>).</w:t>
      </w:r>
    </w:p>
    <w:p>
      <w:pPr>
        <w:pStyle w:val="ListBullet"/>
        <w:spacing w:line="240" w:lineRule="auto"/>
        <w:ind w:left="720"/>
      </w:pPr>
      <w:r/>
      <w:r>
        <w:t>La tribu se montrera désobéissante et manquant de courage en ne réussissant pas à débarrasser son héritage des Cananéens (</w:t>
      </w:r>
      <w:hyperlink r:id="rId1778">
        <w:r>
          <w:rPr>
            <w:color w:val="0000EE"/>
            <w:u w:val="single"/>
          </w:rPr>
          <w:t>Jg 1.21</w:t>
        </w:r>
      </w:hyperlink>
      <w:r>
        <w:t>).</w:t>
      </w:r>
    </w:p>
    <w:p>
      <w:pPr>
        <w:pStyle w:val="ListBullet"/>
        <w:spacing w:line="240" w:lineRule="auto"/>
        <w:ind w:left="720"/>
      </w:pPr>
      <w:r/>
      <w:r>
        <w:t>La tribu défendra le comportement obscène et le meurtre d'une concubine par certains de ses membres, ce qui conduira à une destruction quasi totale de la tribu lors d'une guerre contre les autres tribus (</w:t>
      </w:r>
      <w:hyperlink r:id="rId1779">
        <w:r>
          <w:rPr>
            <w:color w:val="0000EE"/>
            <w:u w:val="single"/>
          </w:rPr>
          <w:t>Jg 19–20</w:t>
        </w:r>
      </w:hyperlink>
      <w:r>
        <w:t>). Pour empêcher la tribu de Benjamin de s'éteindre, les autres tribus permettront aux Benjaminites survivants de capturer plusieurs centaines de femmes qui deviendront leurs épouses (</w:t>
      </w:r>
      <w:hyperlink r:id="rId1780">
        <w:r>
          <w:rPr>
            <w:color w:val="0000EE"/>
            <w:u w:val="single"/>
          </w:rPr>
          <w:t>Jg 21</w:t>
        </w:r>
      </w:hyperlink>
      <w:r>
        <w:t>)</w:t>
      </w:r>
    </w:p>
    <w:p>
      <w:r/>
      <w:r>
        <w:t>La tribu de Benjamin s'est révélée fiable de différentes manières :</w:t>
      </w:r>
    </w:p>
    <w:p>
      <w:pPr>
        <w:pStyle w:val="ListBullet"/>
        <w:spacing w:line="240" w:lineRule="auto"/>
        <w:ind w:left="720"/>
      </w:pPr>
      <w:r/>
      <w:r>
        <w:t>Lors de l'exode d'Égypte, elle a pris sa place dans l'administration (</w:t>
      </w:r>
      <w:hyperlink r:id="rId1781">
        <w:r>
          <w:rPr>
            <w:color w:val="0000EE"/>
            <w:u w:val="single"/>
          </w:rPr>
          <w:t>Nb 1.11</w:t>
        </w:r>
      </w:hyperlink>
      <w:r>
        <w:t>) et l'armée (</w:t>
      </w:r>
      <w:hyperlink r:id="rId1782">
        <w:r>
          <w:rPr>
            <w:color w:val="0000EE"/>
            <w:u w:val="single"/>
          </w:rPr>
          <w:t>Nb 2.22</w:t>
        </w:r>
      </w:hyperlink>
      <w:r>
        <w:t>) et a fait ses offrandes tribales (</w:t>
      </w:r>
      <w:hyperlink r:id="rId1783">
        <w:r>
          <w:rPr>
            <w:color w:val="0000EE"/>
            <w:u w:val="single"/>
          </w:rPr>
          <w:t>Nb 7.60</w:t>
        </w:r>
      </w:hyperlink>
      <w:r>
        <w:t>).</w:t>
      </w:r>
    </w:p>
    <w:p>
      <w:pPr>
        <w:pStyle w:val="ListBullet"/>
        <w:spacing w:line="240" w:lineRule="auto"/>
        <w:ind w:left="720"/>
      </w:pPr>
      <w:r/>
      <w:r>
        <w:t>Elle sera très loyale au trône : d'abord à Saül et sa famille (</w:t>
      </w:r>
      <w:hyperlink r:id="rId1784">
        <w:r>
          <w:rPr>
            <w:color w:val="0000EE"/>
            <w:u w:val="single"/>
          </w:rPr>
          <w:t>2S 2.8–31</w:t>
        </w:r>
      </w:hyperlink>
      <w:r>
        <w:t>), mais également à David et ses descendants. Benjamin est resté fidèle au fils de Salomon, Roboam, lorsque Jéroboam s'est séparé de Juda (</w:t>
      </w:r>
      <w:hyperlink r:id="rId1785">
        <w:r>
          <w:rPr>
            <w:color w:val="0000EE"/>
            <w:u w:val="single"/>
          </w:rPr>
          <w:t>1R 12.21–24</w:t>
        </w:r>
      </w:hyperlink>
      <w:r>
        <w:t>).</w:t>
      </w:r>
    </w:p>
    <w:p>
      <w:r/>
      <w:r>
        <w:t>D'autres hommes de Benjamin (souvent appelés Benjaminites) mentionnés dans l'Ancien Testament incluent :</w:t>
      </w:r>
    </w:p>
    <w:p>
      <w:pPr>
        <w:pStyle w:val="ListBullet"/>
        <w:spacing w:line="240" w:lineRule="auto"/>
        <w:ind w:left="720"/>
      </w:pPr>
      <w:r/>
      <w:r>
        <w:t xml:space="preserve">Cusch, à propos duquel David a chanté (voir l'inscription du </w:t>
      </w:r>
      <w:hyperlink r:id="rId1786">
        <w:r>
          <w:rPr>
            <w:color w:val="0000EE"/>
            <w:u w:val="single"/>
          </w:rPr>
          <w:t>Psaume 7</w:t>
        </w:r>
      </w:hyperlink>
      <w:r>
        <w:t>).</w:t>
      </w:r>
    </w:p>
    <w:p>
      <w:pPr>
        <w:pStyle w:val="ListBullet"/>
        <w:spacing w:line="240" w:lineRule="auto"/>
        <w:ind w:left="720"/>
      </w:pPr>
      <w:r/>
      <w:r>
        <w:t>Jérémie le prophète, qui vivait en Benjamin bien qu'il soit Lévite (</w:t>
      </w:r>
      <w:hyperlink r:id="rId1787">
        <w:r>
          <w:rPr>
            <w:color w:val="0000EE"/>
            <w:u w:val="single"/>
          </w:rPr>
          <w:t>Jr 1.1</w:t>
        </w:r>
      </w:hyperlink>
      <w:r>
        <w:t xml:space="preserve"> ; </w:t>
      </w:r>
      <w:hyperlink r:id="rId1788">
        <w:r>
          <w:rPr>
            <w:color w:val="0000EE"/>
            <w:u w:val="single"/>
          </w:rPr>
          <w:t>32.8</w:t>
        </w:r>
      </w:hyperlink>
      <w:r>
        <w:t>).</w:t>
      </w:r>
    </w:p>
    <w:p>
      <w:pPr>
        <w:pStyle w:val="ListBullet"/>
        <w:spacing w:line="240" w:lineRule="auto"/>
        <w:ind w:left="720"/>
      </w:pPr>
      <w:r/>
      <w:r>
        <w:t>Mardochée, oncle et conseiller de la reine Esther (</w:t>
      </w:r>
      <w:hyperlink r:id="rId1789">
        <w:r>
          <w:rPr>
            <w:color w:val="0000EE"/>
            <w:u w:val="single"/>
          </w:rPr>
          <w:t>Est 2.5</w:t>
        </w:r>
      </w:hyperlink>
      <w:r>
        <w:t>).</w:t>
      </w:r>
    </w:p>
    <w:p>
      <w:pPr>
        <w:pStyle w:val="Heading3"/>
      </w:pPr>
      <w:r>
        <w:t>La tribu de Benjamin dans le Nouveau Testament</w:t>
      </w:r>
    </w:p>
    <w:p>
      <w:r/>
      <w:r>
        <w:t>Dans le Nouveau Testament, l'apôtre Paul se déclarait fièrement membre de la tribu de Benjamin, affirmant son appartenance à Benjamin à deux reprises (</w:t>
      </w:r>
      <w:hyperlink r:id="rId1790">
        <w:r>
          <w:rPr>
            <w:color w:val="0000EE"/>
            <w:u w:val="single"/>
          </w:rPr>
          <w:t>Rm 11.1</w:t>
        </w:r>
      </w:hyperlink>
      <w:r>
        <w:t xml:space="preserve"> ; </w:t>
      </w:r>
      <w:hyperlink r:id="rId1791">
        <w:r>
          <w:rPr>
            <w:color w:val="0000EE"/>
            <w:u w:val="single"/>
          </w:rPr>
          <w:t>Ph 3.5</w:t>
        </w:r>
      </w:hyperlink>
      <w:r>
        <w:t>). Dans son sermon à Antioche de Pisidie, Paul a également mentionné Benjamin comme la tribu du roi Saül, dans son bref récit de l'histoire d'Israël (</w:t>
      </w:r>
      <w:hyperlink r:id="rId1792">
        <w:r>
          <w:rPr>
            <w:color w:val="0000EE"/>
            <w:u w:val="single"/>
          </w:rPr>
          <w:t>Ac 13.21</w:t>
        </w:r>
      </w:hyperlink>
      <w:r>
        <w:t>). Dans une autre référence du Nouveau Testament, Benjamin est nommé avec les onze autres tribus dans la vision de Jean dans le livre de l'Apocalypse (</w:t>
      </w:r>
      <w:hyperlink r:id="rId1793">
        <w:r>
          <w:rPr>
            <w:color w:val="0000EE"/>
            <w:u w:val="single"/>
          </w:rPr>
          <w:t>Ap 7.8</w:t>
        </w:r>
      </w:hyperlink>
      <w:r>
        <w:t>).</w:t>
      </w:r>
    </w:p>
    <w:p>
      <w:r/>
      <w:r>
        <w:rPr>
          <w:i/>
        </w:rPr>
        <w:t>Voir</w:t>
      </w:r>
      <w:r>
        <w:t xml:space="preserve"> </w:t>
      </w:r>
      <w:r>
        <w:t>Benjamin (personne) n° 1</w:t>
      </w:r>
      <w:r>
        <w:t>.</w:t>
      </w:r>
      <w:r/>
      <w:r/>
    </w:p>
    <w:p>
      <w:r/>
    </w:p>
    <w:p>
      <w:pPr>
        <w:pStyle w:val="Heading2"/>
      </w:pPr>
      <w:r>
        <w:t>Ben-Oni</w:t>
      </w:r>
      <w:r/>
    </w:p>
    <w:p>
      <w:r/>
      <w:r>
        <w:t>Nom donné par Rachel à son dernier fils alors qu'elle mourait en couches (</w:t>
      </w:r>
      <w:hyperlink r:id="rId1758">
        <w:r>
          <w:rPr>
            <w:color w:val="0000EE"/>
            <w:u w:val="single"/>
          </w:rPr>
          <w:t>Gn 35.18</w:t>
        </w:r>
      </w:hyperlink>
      <w:r>
        <w:t>). Son père, Jacob, changera son nom de Ben-Oni (« fils de ma douleur ») à Benjamin (« fils de ma main droite »).</w:t>
      </w:r>
    </w:p>
    <w:p>
      <w:r/>
      <w:r>
        <w:rPr>
          <w:i/>
        </w:rPr>
        <w:t>Voir</w:t>
      </w:r>
      <w:r>
        <w:t xml:space="preserve"> </w:t>
      </w:r>
      <w:r>
        <w:t>Benjamin (personne) n° 1</w:t>
      </w:r>
      <w:r>
        <w:t>.</w:t>
      </w:r>
      <w:r/>
      <w:r/>
    </w:p>
    <w:p>
      <w:r/>
    </w:p>
    <w:p>
      <w:pPr>
        <w:pStyle w:val="Heading2"/>
      </w:pPr>
      <w:r>
        <w:t>Beor</w:t>
      </w:r>
      <w:r/>
    </w:p>
    <w:p>
      <w:pPr>
        <w:pStyle w:val="ListNumber"/>
        <w:spacing w:line="240" w:lineRule="auto"/>
        <w:ind w:left="720"/>
      </w:pPr>
      <w:r/>
      <w:r>
        <w:t>Père de Béla (</w:t>
      </w:r>
      <w:hyperlink r:id="rId1794">
        <w:r>
          <w:rPr>
            <w:color w:val="0000EE"/>
            <w:u w:val="single"/>
          </w:rPr>
          <w:t>Gn 36.32</w:t>
        </w:r>
      </w:hyperlink>
      <w:r>
        <w:t>). Béla était un roi d'Édom.</w:t>
      </w:r>
    </w:p>
    <w:p>
      <w:pPr>
        <w:pStyle w:val="ListNumber"/>
        <w:spacing w:line="240" w:lineRule="auto"/>
        <w:ind w:left="720"/>
      </w:pPr>
      <w:r/>
      <w:r>
        <w:t>Le père de Balaam (</w:t>
      </w:r>
      <w:hyperlink r:id="rId1735">
        <w:r>
          <w:rPr>
            <w:color w:val="0000EE"/>
            <w:u w:val="single"/>
          </w:rPr>
          <w:t>Nb 22.5</w:t>
        </w:r>
      </w:hyperlink>
      <w:r>
        <w:t xml:space="preserve"> ; </w:t>
      </w:r>
      <w:hyperlink r:id="rId1795">
        <w:r>
          <w:rPr>
            <w:color w:val="0000EE"/>
            <w:u w:val="single"/>
          </w:rPr>
          <w:t>2P 2.15</w:t>
        </w:r>
      </w:hyperlink>
      <w:r>
        <w:t>, parfois appelé « Bosor »). Balaam sera sollicité par Balak, roi de Moab, pour maudire Israël.</w:t>
      </w:r>
      <w:r/>
      <w:r/>
    </w:p>
    <w:p>
      <w:r/>
    </w:p>
    <w:p>
      <w:pPr>
        <w:pStyle w:val="Heading2"/>
      </w:pPr>
      <w:r>
        <w:t>Béra</w:t>
      </w:r>
      <w:r/>
    </w:p>
    <w:p>
      <w:r/>
      <w:r>
        <w:t>Souverain de Sodome à l'époque d'Abraham et de Lot. Béra était l'un des cinq rois des villes cananéennes qui ont échoué à se rebeller contre le roi Kedorlaomer d'Élam et ses trois alliés (</w:t>
      </w:r>
      <w:hyperlink r:id="rId1733">
        <w:r>
          <w:rPr>
            <w:color w:val="0000EE"/>
            <w:u w:val="single"/>
          </w:rPr>
          <w:t>Gn 14.2</w:t>
        </w:r>
      </w:hyperlink>
      <w:r>
        <w:t>).</w:t>
      </w:r>
      <w:r/>
      <w:r/>
    </w:p>
    <w:p>
      <w:r/>
    </w:p>
    <w:p>
      <w:pPr>
        <w:pStyle w:val="Heading2"/>
      </w:pPr>
      <w:r>
        <w:t>Bérée</w:t>
      </w:r>
      <w:r/>
    </w:p>
    <w:p>
      <w:pPr>
        <w:pStyle w:val="ListNumber"/>
        <w:spacing w:line="240" w:lineRule="auto"/>
        <w:ind w:left="720"/>
      </w:pPr>
      <w:r/>
      <w:r>
        <w:t>Lieu au nord de Jérusalem où l'armée syrienne a campé avant d'attaquer et de tuer Judas Maccabée en 161 av. J.‑C. (</w:t>
      </w:r>
      <w:hyperlink r:id="rId1796">
        <w:r>
          <w:rPr>
            <w:color w:val="0000EE"/>
            <w:u w:val="single"/>
          </w:rPr>
          <w:t>1 Ma 9.4</w:t>
        </w:r>
      </w:hyperlink>
      <w:r>
        <w:t>).</w:t>
      </w:r>
    </w:p>
    <w:p>
      <w:pPr>
        <w:pStyle w:val="ListNumber"/>
        <w:spacing w:line="240" w:lineRule="auto"/>
        <w:ind w:left="720"/>
      </w:pPr>
      <w:r/>
      <w:r>
        <w:t>Ville antique de Macédoine, une région désormais partagée entre la Grèce, la Macédoine du Nord et la Bulgarie. Elle a probablement été fondée au 5e siècle av. J.‑C. La ville se trouvait à environ 40 km à l'intérieur des terres de la mer Égée, sur une plaine pittoresque et fertile à 180 m d'altitude dans les contreforts au nord de la chaîne olympienne. Rome a conquis Bérée en 168 av. J.‑C., et il s'agissait de l'une des villes macédoniennes les plus peuplées à l'époque de Christ. Aujourd'hui, la ville s'appelle Véria.</w:t>
      </w:r>
    </w:p>
    <w:p>
      <w:r/>
      <w:r>
        <w:t>L'apôtre Paul a visité Bérée lors de son deuxième voyage missionnaire (</w:t>
      </w:r>
      <w:hyperlink r:id="rId1797">
        <w:r>
          <w:rPr>
            <w:color w:val="0000EE"/>
            <w:u w:val="single"/>
          </w:rPr>
          <w:t>Ac 17.10–15</w:t>
        </w:r>
      </w:hyperlink>
      <w:r>
        <w:t>). Il s'agissait aussi de la ville natale de Sopater, l'un des compagnons de Paul (</w:t>
      </w:r>
      <w:hyperlink r:id="rId1302">
        <w:r>
          <w:rPr>
            <w:color w:val="0000EE"/>
            <w:u w:val="single"/>
          </w:rPr>
          <w:t>Ac 20.4</w:t>
        </w:r>
      </w:hyperlink>
      <w:r>
        <w:t>). Paul et Silas se sont rendus à Bérée, située à environ 80 km au sud-ouest, après avoir fait face à une opposition religieuse et politique violente à Thessalonique. À Bérée, tant les Juifs que les Grecs ont accepté avec enthousiasme l'Évangile, mais Paul a dû partir lorsque des Juifs hostiles de Thessalonique sont venus semer le trouble.</w:t>
      </w:r>
      <w:r/>
      <w:r/>
    </w:p>
    <w:p>
      <w:r/>
    </w:p>
    <w:p>
      <w:pPr>
        <w:pStyle w:val="Heading2"/>
      </w:pPr>
      <w:r>
        <w:t>Bérénice</w:t>
      </w:r>
      <w:r/>
    </w:p>
    <w:p>
      <w:r/>
      <w:r>
        <w:t>Fille aînée d'Hérode Agrippa 1er. Elle était présente lorsque l'apôtre Paul a parlé à son frère, le roi Agrippa II (</w:t>
      </w:r>
      <w:hyperlink r:id="rId176">
        <w:r>
          <w:rPr>
            <w:color w:val="0000EE"/>
            <w:u w:val="single"/>
          </w:rPr>
          <w:t>Ac 25.13, 23</w:t>
        </w:r>
      </w:hyperlink>
      <w:r>
        <w:t xml:space="preserve"> ; </w:t>
      </w:r>
      <w:hyperlink r:id="rId1798">
        <w:r>
          <w:rPr>
            <w:color w:val="0000EE"/>
            <w:u w:val="single"/>
          </w:rPr>
          <w:t>26.30</w:t>
        </w:r>
      </w:hyperlink>
      <w:r>
        <w:t>).</w:t>
      </w:r>
    </w:p>
    <w:p>
      <w:r/>
      <w:r>
        <w:t>Bérénice, également orthographiée Berenice, est née vers 28 apr. J.‑C. À l'âge de treize ans, elle épouse Marcus, le fils d'un fonctionnaire juif nommé Alexandre. Après la mort de Marcus, son père arrangera son mariage avec son frère aîné, Hérode de Chalcis. Bérénice aura deux fils, Bernicianus et Hyrcan, avant que son deuxième mari ne meure en 48 apr. J.‑C. Lorsque sa relation avec son frère, Agrippa II, devient plus étroite, des rumeurs d'inceste commenceront à se répandre. Pour contrer ces rumeurs, Bérénice convaincra Polemo, le roi de Cilicie, de l'épouser, mais elle le quittera peu après.</w:t>
      </w:r>
    </w:p>
    <w:p>
      <w:r/>
      <w:r>
        <w:t>En 66 apr. J.‑C., Bérénice tente courageusement, mais sans succès, d'empêcher le procurateur romain Gessius Florus de piller le temple à Jérusalem. Elle se tient aux côtés de son frère lorsqu'il avertit le peuple de ne pas entrer en guerre. Lorsque la guerre commence cette même année, les rebelles juifs incendieront son palais et celui de son frère.</w:t>
      </w:r>
      <w:r/>
      <w:r/>
    </w:p>
    <w:p>
      <w:r/>
    </w:p>
    <w:p>
      <w:pPr>
        <w:pStyle w:val="Heading2"/>
      </w:pPr>
      <w:r>
        <w:t>berger</w:t>
      </w:r>
      <w:r/>
    </w:p>
    <w:p>
      <w:r/>
      <w:r>
        <w:t>Personne responsable d'un troupeau et qui avait pour tâche de les amener aux pâturages et de les abreuver. Elle devait aussi les protéger des prédateurs et des voleurs (</w:t>
      </w:r>
      <w:hyperlink r:id="rId1799">
        <w:r>
          <w:rPr>
            <w:color w:val="0000EE"/>
            <w:u w:val="single"/>
          </w:rPr>
          <w:t>Am 3.12</w:t>
        </w:r>
      </w:hyperlink>
      <w:r>
        <w:t>) et retrouver les animaux du troupeau qui s'égaraient (</w:t>
      </w:r>
      <w:hyperlink r:id="rId1800">
        <w:r>
          <w:rPr>
            <w:color w:val="0000EE"/>
            <w:u w:val="single"/>
          </w:rPr>
          <w:t>Ez 34.8</w:t>
        </w:r>
      </w:hyperlink>
      <w:r>
        <w:t xml:space="preserve"> ; </w:t>
      </w:r>
      <w:hyperlink r:id="rId1801">
        <w:r>
          <w:rPr>
            <w:color w:val="0000EE"/>
            <w:u w:val="single"/>
          </w:rPr>
          <w:t>Mt 18.12</w:t>
        </w:r>
      </w:hyperlink>
      <w:r>
        <w:t>). Un ou plusieurs bergers conduisaient le troupeau hors de l'enclos chaque jour et le ramenaient à l'enclos à la fin de la journée (</w:t>
      </w:r>
      <w:hyperlink r:id="rId1802">
        <w:r>
          <w:rPr>
            <w:color w:val="0000EE"/>
            <w:u w:val="single"/>
          </w:rPr>
          <w:t>Jn 10.2–4</w:t>
        </w:r>
      </w:hyperlink>
      <w:r>
        <w:t>).</w:t>
      </w:r>
    </w:p>
    <w:p>
      <w:r/>
      <w:r>
        <w:t>L'élevage d'animaux domestiques avait une place importante dans l'économie et les cultures de l'antiquité. Le berger qui s'occupait d'un troupeau de moutons ou de chèvres en était responsable. Le troupeau dépendait du berger pour sa nourriture, sa protection et les soins. Que ce soit en sortant, en rentrant ou en amenant aux pâturages, le berger guidait et dirigeait le troupeau. Le mot « berger » est donc naturellement devenu un terme courant pour désigner un dirigeant. Les rois d'Assyrie, de Babylone et d'Égypte étaient souvent appelés des bergers et devaient protéger leurs peuples. Dans l'Ancien Testament (AT), Dieu est représenté comme le berger d'Israël car il conduit son peuple et s'occupe de lui. Les chefs du peuple sont souvent appelés des bergers (</w:t>
      </w:r>
      <w:hyperlink r:id="rId1803">
        <w:r>
          <w:rPr>
            <w:color w:val="0000EE"/>
            <w:u w:val="single"/>
          </w:rPr>
          <w:t>Nb 27.17</w:t>
        </w:r>
      </w:hyperlink>
      <w:r>
        <w:t xml:space="preserve"> ; </w:t>
      </w:r>
      <w:hyperlink r:id="rId1804">
        <w:r>
          <w:rPr>
            <w:color w:val="0000EE"/>
            <w:u w:val="single"/>
          </w:rPr>
          <w:t>1R 22.17</w:t>
        </w:r>
      </w:hyperlink>
      <w:r>
        <w:t xml:space="preserve"> ; </w:t>
      </w:r>
      <w:hyperlink r:id="rId1805">
        <w:r>
          <w:rPr>
            <w:color w:val="0000EE"/>
            <w:u w:val="single"/>
          </w:rPr>
          <w:t>Jr 10.21</w:t>
        </w:r>
      </w:hyperlink>
      <w:r>
        <w:t xml:space="preserve"> ; </w:t>
      </w:r>
      <w:hyperlink r:id="rId1806">
        <w:r>
          <w:rPr>
            <w:color w:val="0000EE"/>
            <w:u w:val="single"/>
          </w:rPr>
          <w:t>12.10</w:t>
        </w:r>
      </w:hyperlink>
      <w:r>
        <w:t xml:space="preserve"> ; </w:t>
      </w:r>
      <w:hyperlink r:id="rId1807">
        <w:r>
          <w:rPr>
            <w:color w:val="0000EE"/>
            <w:u w:val="single"/>
          </w:rPr>
          <w:t>22.22</w:t>
        </w:r>
      </w:hyperlink>
      <w:r>
        <w:t xml:space="preserve"> ; </w:t>
      </w:r>
      <w:hyperlink r:id="rId1808">
        <w:r>
          <w:rPr>
            <w:color w:val="0000EE"/>
            <w:u w:val="single"/>
          </w:rPr>
          <w:t>23.1–2</w:t>
        </w:r>
      </w:hyperlink>
      <w:r>
        <w:t>). Dieu était le Berger d'Israël (</w:t>
      </w:r>
      <w:hyperlink r:id="rId1809">
        <w:r>
          <w:rPr>
            <w:color w:val="0000EE"/>
            <w:u w:val="single"/>
          </w:rPr>
          <w:t>Gn 49.24</w:t>
        </w:r>
      </w:hyperlink>
      <w:r>
        <w:t xml:space="preserve"> ; </w:t>
      </w:r>
      <w:hyperlink r:id="rId1810">
        <w:r>
          <w:rPr>
            <w:color w:val="0000EE"/>
            <w:u w:val="single"/>
          </w:rPr>
          <w:t>Ps 23.1</w:t>
        </w:r>
      </w:hyperlink>
      <w:r>
        <w:t xml:space="preserve"> ; </w:t>
      </w:r>
      <w:hyperlink r:id="rId1811">
        <w:r>
          <w:rPr>
            <w:color w:val="0000EE"/>
            <w:u w:val="single"/>
          </w:rPr>
          <w:t>80.1</w:t>
        </w:r>
      </w:hyperlink>
      <w:r>
        <w:t xml:space="preserve"> ; </w:t>
      </w:r>
      <w:hyperlink r:id="rId1812">
        <w:r>
          <w:rPr>
            <w:color w:val="0000EE"/>
            <w:u w:val="single"/>
          </w:rPr>
          <w:t>Es 40.11</w:t>
        </w:r>
      </w:hyperlink>
      <w:r>
        <w:t xml:space="preserve">). </w:t>
      </w:r>
    </w:p>
    <w:p>
      <w:r/>
      <w:r>
        <w:t>À l'époque de Jérémie, le terme « berger » commence à être utilisé comme titre du Messie à venir. Puisque beaucoup des dirigeants d'Israël avaient été de mauvais bergers du peuple, Dieu intervient et promet de lui-même prendre soin de son troupeau (</w:t>
      </w:r>
      <w:hyperlink r:id="rId1813">
        <w:r>
          <w:rPr>
            <w:color w:val="0000EE"/>
            <w:u w:val="single"/>
          </w:rPr>
          <w:t>Jr 23.3</w:t>
        </w:r>
      </w:hyperlink>
      <w:r>
        <w:t xml:space="preserve"> ; </w:t>
      </w:r>
      <w:hyperlink r:id="rId1814">
        <w:r>
          <w:rPr>
            <w:color w:val="0000EE"/>
            <w:u w:val="single"/>
          </w:rPr>
          <w:t>31.10</w:t>
        </w:r>
      </w:hyperlink>
      <w:r>
        <w:t xml:space="preserve"> ; </w:t>
      </w:r>
      <w:hyperlink r:id="rId1815">
        <w:r>
          <w:rPr>
            <w:color w:val="0000EE"/>
            <w:u w:val="single"/>
          </w:rPr>
          <w:t>Ez 34.11–22</w:t>
        </w:r>
      </w:hyperlink>
      <w:r>
        <w:t>). Il promet qu'il leur donnera des bergers fidèles qui mèneront son peuple avec intelligence et sagesse (</w:t>
      </w:r>
      <w:hyperlink r:id="rId1816">
        <w:r>
          <w:rPr>
            <w:color w:val="0000EE"/>
            <w:u w:val="single"/>
          </w:rPr>
          <w:t>Jr 3.15</w:t>
        </w:r>
      </w:hyperlink>
      <w:r>
        <w:t xml:space="preserve"> ; </w:t>
      </w:r>
      <w:hyperlink r:id="rId1817">
        <w:r>
          <w:rPr>
            <w:color w:val="0000EE"/>
            <w:u w:val="single"/>
          </w:rPr>
          <w:t>23.4</w:t>
        </w:r>
      </w:hyperlink>
      <w:r>
        <w:t>) et qu'il établira le Fils messianique de David comme berger sur eux (</w:t>
      </w:r>
      <w:hyperlink r:id="rId1818">
        <w:r>
          <w:rPr>
            <w:color w:val="0000EE"/>
            <w:u w:val="single"/>
          </w:rPr>
          <w:t>Ez 34.23–24</w:t>
        </w:r>
      </w:hyperlink>
      <w:r>
        <w:t xml:space="preserve">). </w:t>
      </w:r>
    </w:p>
    <w:p>
      <w:r/>
      <w:r>
        <w:t>Ces images et ces promesses sont reprises dans le Nouveau Testament (NT), particulièrement dans les paroles de Jésus ou à propos de lui. En effet, le NT proclame que Jésus est le Fils de David et Messie qui avait été promis, l'ultime berger du peuple de Dieu (</w:t>
      </w:r>
      <w:hyperlink r:id="rId1819">
        <w:r>
          <w:rPr>
            <w:color w:val="0000EE"/>
            <w:u w:val="single"/>
          </w:rPr>
          <w:t>Hé 13.20)</w:t>
        </w:r>
      </w:hyperlink>
      <w:r>
        <w:t xml:space="preserve">. Jésus l'enseigne et le démontre dans ce qu'il fait pour le peuple et ses disciples. </w:t>
      </w:r>
    </w:p>
    <w:p>
      <w:r/>
      <w:r>
        <w:t>Ainsi, Jésus cherche à ramener les pécheurs à Dieu tel le berger qui cherche les brebis perdues (</w:t>
      </w:r>
      <w:hyperlink r:id="rId1820">
        <w:r>
          <w:rPr>
            <w:color w:val="0000EE"/>
            <w:u w:val="single"/>
          </w:rPr>
          <w:t>Mt 18.10–14</w:t>
        </w:r>
      </w:hyperlink>
      <w:r>
        <w:t>). Il a compassion des foules qui sont comme un troupeau sans berger (</w:t>
      </w:r>
      <w:hyperlink r:id="rId1821">
        <w:r>
          <w:rPr>
            <w:color w:val="0000EE"/>
            <w:u w:val="single"/>
          </w:rPr>
          <w:t>Mc 6.34</w:t>
        </w:r>
      </w:hyperlink>
      <w:r>
        <w:t>). Il les appelle à croire en lui en leur révélant qu'il est le Bon Berger, venu pour leur donner la vie en abondance, et qu'il ne les abandonnera pas. Il révèle même qu'il va donner sa vie pour son troupeau et ne s'enfuira pas quand viendra le danger comme le font les mauvais bergers (</w:t>
      </w:r>
      <w:hyperlink r:id="rId1822">
        <w:r>
          <w:rPr>
            <w:color w:val="0000EE"/>
            <w:u w:val="single"/>
          </w:rPr>
          <w:t>Jn 10</w:t>
        </w:r>
      </w:hyperlink>
      <w:r>
        <w:t xml:space="preserve">). </w:t>
      </w:r>
    </w:p>
    <w:p>
      <w:r/>
      <w:r>
        <w:t xml:space="preserve">Quand Jésus envoie les apôtres prêcher dans un contexte de persécution probable, il leur dit « </w:t>
      </w:r>
      <w:r>
        <w:t>je vous envoie comme des brebis au milieu des loups »</w:t>
      </w:r>
      <w:r>
        <w:t xml:space="preserve"> (</w:t>
      </w:r>
      <w:hyperlink r:id="rId1823">
        <w:r>
          <w:rPr>
            <w:color w:val="0000EE"/>
            <w:u w:val="single"/>
          </w:rPr>
          <w:t>Mt 10.16</w:t>
        </w:r>
      </w:hyperlink>
      <w:r>
        <w:t>). Avant son arrestation, Jésus prédit que ses disciples s'enfuiront, comme Dieu l'avait annoncé : « Je frapperai le berger, et les brebis seront dispersées » (</w:t>
      </w:r>
      <w:hyperlink r:id="rId1824">
        <w:r>
          <w:rPr>
            <w:color w:val="0000EE"/>
            <w:u w:val="single"/>
          </w:rPr>
          <w:t>Mc 14.27</w:t>
        </w:r>
      </w:hyperlink>
      <w:r>
        <w:t>). Au jugement dernier, Jésus, le berger des nations, séparera les fidèles identifiés à des brebis des infidèles identifiés à des boucs (</w:t>
      </w:r>
      <w:hyperlink r:id="rId1825">
        <w:r>
          <w:rPr>
            <w:color w:val="0000EE"/>
            <w:u w:val="single"/>
          </w:rPr>
          <w:t>25.32</w:t>
        </w:r>
      </w:hyperlink>
      <w:r>
        <w:t xml:space="preserve"> voir aussi Ez 34.17–22). </w:t>
      </w:r>
    </w:p>
    <w:p>
      <w:r/>
      <w:r>
        <w:t>Le reste du NT parle aussi des dirigeants de l'Église comme de bergers. Le mot « pasteur » signifie en fait « berger » (</w:t>
      </w:r>
      <w:hyperlink r:id="rId1826">
        <w:r>
          <w:rPr>
            <w:color w:val="0000EE"/>
            <w:u w:val="single"/>
          </w:rPr>
          <w:t>Ep 4.11</w:t>
        </w:r>
      </w:hyperlink>
      <w:r>
        <w:t>). Pierre parle aussi des anciens comme de bergers. Il les encourage à rester des bergers fidèles jusqu'au moment où Jésus-Christ, « le souverain pasteur », reviendra (</w:t>
      </w:r>
      <w:hyperlink r:id="rId1827">
        <w:r>
          <w:rPr>
            <w:color w:val="0000EE"/>
            <w:u w:val="single"/>
          </w:rPr>
          <w:t>1P 5.1–4</w:t>
        </w:r>
      </w:hyperlink>
      <w:r>
        <w:t xml:space="preserve">). Ceux qui viennent à la foi en Christ sont décrits comme des brebis qui étaient perdues mais qui sont revenues vers « </w:t>
      </w:r>
      <w:r>
        <w:t>vers le pasteur et le gardien » de leurs âmes (</w:t>
      </w:r>
      <w:hyperlink r:id="rId696">
        <w:r>
          <w:rPr>
            <w:color w:val="0000EE"/>
            <w:u w:val="single"/>
          </w:rPr>
          <w:t>1P 2.25</w:t>
        </w:r>
      </w:hyperlink>
      <w:r>
        <w:t xml:space="preserve">). Cette façon de parler de Dieu, de son peuple et de ses dirigeants a continué dans l'Église primitive et jusqu'à nos jours. </w:t>
      </w:r>
      <w:r/>
      <w:r/>
    </w:p>
    <w:p>
      <w:r/>
    </w:p>
    <w:p>
      <w:pPr>
        <w:pStyle w:val="Heading2"/>
      </w:pPr>
      <w:r>
        <w:t>Bergers</w:t>
      </w:r>
      <w:r/>
    </w:p>
    <w:p>
      <w:r/>
      <w:r>
        <w:t>Hommes qui s'occupaient des animaux domestiques, tels que le bétail, les moutons et les chèvres (</w:t>
      </w:r>
      <w:hyperlink r:id="rId1828">
        <w:r>
          <w:rPr>
            <w:color w:val="0000EE"/>
            <w:u w:val="single"/>
          </w:rPr>
          <w:t>Gn 13.7–8</w:t>
        </w:r>
      </w:hyperlink>
      <w:r>
        <w:t xml:space="preserve"> ; </w:t>
      </w:r>
      <w:hyperlink r:id="rId1829">
        <w:r>
          <w:rPr>
            <w:color w:val="0000EE"/>
            <w:u w:val="single"/>
          </w:rPr>
          <w:t>26.20</w:t>
        </w:r>
      </w:hyperlink>
      <w:r>
        <w:t xml:space="preserve"> ; </w:t>
      </w:r>
      <w:hyperlink r:id="rId1830">
        <w:r>
          <w:rPr>
            <w:color w:val="0000EE"/>
            <w:u w:val="single"/>
          </w:rPr>
          <w:t>1S 21.7</w:t>
        </w:r>
      </w:hyperlink>
      <w:r>
        <w:t>). Dans le Nouveau Testament, les bergers étaient bien connus. La métaphore du berger et de ses brebis a été utilisée par Jésus (</w:t>
      </w:r>
      <w:hyperlink r:id="rId1831">
        <w:r>
          <w:rPr>
            <w:color w:val="0000EE"/>
            <w:u w:val="single"/>
          </w:rPr>
          <w:t>Jn 10.1–16</w:t>
        </w:r>
      </w:hyperlink>
      <w:r>
        <w:t>). Certains gardiens de troupeaux s'occupaient de cochons (</w:t>
      </w:r>
      <w:hyperlink r:id="rId1832">
        <w:r>
          <w:rPr>
            <w:color w:val="0000EE"/>
            <w:u w:val="single"/>
          </w:rPr>
          <w:t>Mt 8.33</w:t>
        </w:r>
      </w:hyperlink>
      <w:r>
        <w:t xml:space="preserve"> ; </w:t>
      </w:r>
      <w:hyperlink r:id="rId1833">
        <w:r>
          <w:rPr>
            <w:color w:val="0000EE"/>
            <w:u w:val="single"/>
          </w:rPr>
          <w:t>Mc 5.14</w:t>
        </w:r>
      </w:hyperlink>
      <w:r>
        <w:t xml:space="preserve"> ; </w:t>
      </w:r>
      <w:hyperlink r:id="rId1834">
        <w:r>
          <w:rPr>
            <w:color w:val="0000EE"/>
            <w:u w:val="single"/>
          </w:rPr>
          <w:t>Lc 8.34</w:t>
        </w:r>
      </w:hyperlink>
      <w:r>
        <w:t>).</w:t>
      </w:r>
      <w:r/>
      <w:r/>
    </w:p>
    <w:p>
      <w:r/>
    </w:p>
    <w:p>
      <w:pPr>
        <w:pStyle w:val="Heading2"/>
      </w:pPr>
      <w:r>
        <w:t>Beria</w:t>
      </w:r>
      <w:r/>
    </w:p>
    <w:p>
      <w:pPr>
        <w:pStyle w:val="ListNumber"/>
        <w:spacing w:line="240" w:lineRule="auto"/>
        <w:ind w:left="720"/>
      </w:pPr>
      <w:r/>
      <w:r>
        <w:t>Fils d'Aser, qui déménagera en Égypte avec sa famille, ses proches et son grand-père Jacob (</w:t>
      </w:r>
      <w:hyperlink r:id="rId1386">
        <w:r>
          <w:rPr>
            <w:color w:val="0000EE"/>
            <w:u w:val="single"/>
          </w:rPr>
          <w:t>Gn 46.17</w:t>
        </w:r>
      </w:hyperlink>
      <w:r>
        <w:t xml:space="preserve"> ; </w:t>
      </w:r>
      <w:hyperlink r:id="rId1387">
        <w:r>
          <w:rPr>
            <w:color w:val="0000EE"/>
            <w:u w:val="single"/>
          </w:rPr>
          <w:t>1Ch 7.30</w:t>
        </w:r>
      </w:hyperlink>
      <w:r>
        <w:t xml:space="preserve">). Ses descendants étaient appelés </w:t>
      </w:r>
      <w:r>
        <w:t>Beriites</w:t>
      </w:r>
      <w:r>
        <w:t xml:space="preserve"> (</w:t>
      </w:r>
      <w:hyperlink r:id="rId1835">
        <w:r>
          <w:rPr>
            <w:color w:val="0000EE"/>
            <w:u w:val="single"/>
          </w:rPr>
          <w:t>Nb 26.44</w:t>
        </w:r>
      </w:hyperlink>
      <w:r>
        <w:t>).</w:t>
      </w:r>
    </w:p>
    <w:p>
      <w:pPr>
        <w:pStyle w:val="ListNumber"/>
        <w:spacing w:line="240" w:lineRule="auto"/>
        <w:ind w:left="720"/>
      </w:pPr>
      <w:r/>
      <w:r>
        <w:t>Le plus jeune fils d'Éphraïm, né après que plusieurs de ses frères ont été tués à Gath pour avoir volé du bétail (</w:t>
      </w:r>
      <w:hyperlink r:id="rId1836">
        <w:r>
          <w:rPr>
            <w:color w:val="0000EE"/>
            <w:u w:val="single"/>
          </w:rPr>
          <w:t>1Ch 7.20–23</w:t>
        </w:r>
      </w:hyperlink>
      <w:r>
        <w:t>).</w:t>
      </w:r>
    </w:p>
    <w:p>
      <w:pPr>
        <w:pStyle w:val="ListNumber"/>
        <w:spacing w:line="240" w:lineRule="auto"/>
        <w:ind w:left="720"/>
      </w:pPr>
      <w:r/>
      <w:r>
        <w:t>Fils d'Elpaal, chef de famille de la tribu de Benjamin. Ce Beria vivait à Ajalon et aidera à expulser les envahisseurs de Gath (</w:t>
      </w:r>
      <w:hyperlink r:id="rId1837">
        <w:r>
          <w:rPr>
            <w:color w:val="0000EE"/>
            <w:u w:val="single"/>
          </w:rPr>
          <w:t>1Ch 8.13</w:t>
        </w:r>
      </w:hyperlink>
      <w:r>
        <w:t>).</w:t>
      </w:r>
    </w:p>
    <w:p>
      <w:pPr>
        <w:pStyle w:val="ListNumber"/>
        <w:spacing w:line="240" w:lineRule="auto"/>
        <w:ind w:left="720"/>
      </w:pPr>
      <w:r/>
      <w:r>
        <w:t xml:space="preserve">Fils de Schimeï, un Lévite du clan de Guerschon, qui servait dans le temple à Jérusalem. Comme ni Beria ni son frère </w:t>
      </w:r>
      <w:r>
        <w:t>Jeusch</w:t>
      </w:r>
      <w:r>
        <w:t xml:space="preserve"> n'avaient beaucoup de fils, leurs familles étaient comptées comme un seul sous-clan parmi les Lévites (</w:t>
      </w:r>
      <w:hyperlink r:id="rId1838">
        <w:r>
          <w:rPr>
            <w:color w:val="0000EE"/>
            <w:u w:val="single"/>
          </w:rPr>
          <w:t>1Ch 23.10–11</w:t>
        </w:r>
      </w:hyperlink>
      <w:r>
        <w:t>).</w:t>
      </w:r>
      <w:r/>
      <w:r/>
    </w:p>
    <w:p>
      <w:r/>
    </w:p>
    <w:p>
      <w:pPr>
        <w:pStyle w:val="Heading2"/>
      </w:pPr>
      <w:r>
        <w:t>Bête</w:t>
      </w:r>
      <w:r/>
    </w:p>
    <w:p>
      <w:r/>
      <w:r>
        <w:t>Un animal, à la fois dans l'Ancien et le Nouveau Testament. Ce terme est parfois utilisé métaphoriquement. Le mot a plusieurs significations dans l'Ancien Testament et est parfois traduit différemment ; en effet, plusieurs mots hébreux peuvent signifier « créature vivante » ainsi que « bête », mais sont uniquement traduits par « bête ». Dans l'Ancien Testament, par conséquent, « bête » peut se référer aux éléments suivants :</w:t>
      </w:r>
    </w:p>
    <w:p>
      <w:pPr>
        <w:pStyle w:val="ListNumber"/>
        <w:spacing w:line="240" w:lineRule="auto"/>
        <w:ind w:left="720"/>
      </w:pPr>
      <w:r/>
      <w:r>
        <w:t xml:space="preserve">En général, tout animal (voir par exemple </w:t>
      </w:r>
      <w:hyperlink r:id="rId1839">
        <w:r>
          <w:rPr>
            <w:color w:val="0000EE"/>
            <w:u w:val="single"/>
          </w:rPr>
          <w:t>Ps 36.6</w:t>
        </w:r>
      </w:hyperlink>
      <w:r>
        <w:t xml:space="preserve">), mais pas les poissons, les oiseaux et les insectes (voir par exemple </w:t>
      </w:r>
      <w:hyperlink r:id="rId1840">
        <w:r>
          <w:rPr>
            <w:color w:val="0000EE"/>
            <w:u w:val="single"/>
          </w:rPr>
          <w:t>Gn 6.7</w:t>
        </w:r>
      </w:hyperlink>
      <w:r>
        <w:t xml:space="preserve"> ; </w:t>
      </w:r>
      <w:hyperlink r:id="rId1841">
        <w:r>
          <w:rPr>
            <w:color w:val="0000EE"/>
            <w:u w:val="single"/>
          </w:rPr>
          <w:t>Dt 4.17</w:t>
        </w:r>
      </w:hyperlink>
      <w:r>
        <w:t xml:space="preserve"> ; </w:t>
      </w:r>
      <w:hyperlink r:id="rId1842">
        <w:r>
          <w:rPr>
            <w:color w:val="0000EE"/>
            <w:u w:val="single"/>
          </w:rPr>
          <w:t>Jb 12.7</w:t>
        </w:r>
      </w:hyperlink>
      <w:r>
        <w:t xml:space="preserve"> ; </w:t>
      </w:r>
      <w:hyperlink r:id="rId1843">
        <w:r>
          <w:rPr>
            <w:color w:val="0000EE"/>
            <w:u w:val="single"/>
          </w:rPr>
          <w:t>35.11</w:t>
        </w:r>
      </w:hyperlink>
      <w:r>
        <w:t xml:space="preserve"> ; </w:t>
      </w:r>
      <w:hyperlink r:id="rId1844">
        <w:r>
          <w:rPr>
            <w:color w:val="0000EE"/>
            <w:u w:val="single"/>
          </w:rPr>
          <w:t>So 1.3</w:t>
        </w:r>
      </w:hyperlink>
      <w:r>
        <w:t>).</w:t>
      </w:r>
    </w:p>
    <w:p>
      <w:pPr>
        <w:pStyle w:val="ListNumber"/>
        <w:spacing w:line="240" w:lineRule="auto"/>
        <w:ind w:left="720"/>
      </w:pPr>
      <w:r/>
      <w:r>
        <w:t xml:space="preserve">Un animal de compagnie, un animal dressé, ou le bétail (voir par exemple </w:t>
      </w:r>
      <w:hyperlink r:id="rId1845">
        <w:r>
          <w:rPr>
            <w:color w:val="0000EE"/>
            <w:u w:val="single"/>
          </w:rPr>
          <w:t>Ex 19.13</w:t>
        </w:r>
      </w:hyperlink>
      <w:r>
        <w:t xml:space="preserve"> ; </w:t>
      </w:r>
      <w:hyperlink r:id="rId1846">
        <w:r>
          <w:rPr>
            <w:color w:val="0000EE"/>
            <w:u w:val="single"/>
          </w:rPr>
          <w:t>22.10</w:t>
        </w:r>
      </w:hyperlink>
      <w:r>
        <w:t xml:space="preserve"> ; </w:t>
      </w:r>
      <w:hyperlink r:id="rId1847">
        <w:r>
          <w:rPr>
            <w:color w:val="0000EE"/>
            <w:u w:val="single"/>
          </w:rPr>
          <w:t>Nb 3.13</w:t>
        </w:r>
      </w:hyperlink>
      <w:r>
        <w:t xml:space="preserve"> ; </w:t>
      </w:r>
      <w:hyperlink r:id="rId1848">
        <w:r>
          <w:rPr>
            <w:color w:val="0000EE"/>
            <w:u w:val="single"/>
          </w:rPr>
          <w:t>31.47</w:t>
        </w:r>
      </w:hyperlink>
      <w:r>
        <w:t xml:space="preserve"> ; </w:t>
      </w:r>
      <w:hyperlink r:id="rId1849">
        <w:r>
          <w:rPr>
            <w:color w:val="0000EE"/>
            <w:u w:val="single"/>
          </w:rPr>
          <w:t>Jg 20.48</w:t>
        </w:r>
      </w:hyperlink>
      <w:r>
        <w:t xml:space="preserve"> ; </w:t>
      </w:r>
      <w:hyperlink r:id="rId1850">
        <w:r>
          <w:rPr>
            <w:color w:val="0000EE"/>
            <w:u w:val="single"/>
          </w:rPr>
          <w:t>Pr 12.10</w:t>
        </w:r>
      </w:hyperlink>
      <w:r>
        <w:t xml:space="preserve"> ; </w:t>
      </w:r>
      <w:hyperlink r:id="rId1851">
        <w:r>
          <w:rPr>
            <w:color w:val="0000EE"/>
            <w:u w:val="single"/>
          </w:rPr>
          <w:t>Jr 21.6</w:t>
        </w:r>
      </w:hyperlink>
      <w:r>
        <w:t xml:space="preserve"> ; </w:t>
      </w:r>
      <w:hyperlink r:id="rId1852">
        <w:r>
          <w:rPr>
            <w:color w:val="0000EE"/>
            <w:u w:val="single"/>
          </w:rPr>
          <w:t>Za 8.10</w:t>
        </w:r>
      </w:hyperlink>
      <w:r>
        <w:t>).</w:t>
      </w:r>
    </w:p>
    <w:p>
      <w:pPr>
        <w:pStyle w:val="ListNumber"/>
        <w:spacing w:line="240" w:lineRule="auto"/>
        <w:ind w:left="720"/>
      </w:pPr>
      <w:r/>
      <w:r>
        <w:t xml:space="preserve">Un animal sauvage et parfois carnivore (voir par exemple </w:t>
      </w:r>
      <w:hyperlink r:id="rId1853">
        <w:r>
          <w:rPr>
            <w:color w:val="0000EE"/>
            <w:u w:val="single"/>
          </w:rPr>
          <w:t>Gn 37.20</w:t>
        </w:r>
      </w:hyperlink>
      <w:r>
        <w:t xml:space="preserve"> ; </w:t>
      </w:r>
      <w:hyperlink r:id="rId1854">
        <w:r>
          <w:rPr>
            <w:color w:val="0000EE"/>
            <w:u w:val="single"/>
          </w:rPr>
          <w:t>Ex 23.11</w:t>
        </w:r>
      </w:hyperlink>
      <w:r>
        <w:t xml:space="preserve"> ; </w:t>
      </w:r>
      <w:hyperlink r:id="rId1855">
        <w:r>
          <w:rPr>
            <w:color w:val="0000EE"/>
            <w:u w:val="single"/>
          </w:rPr>
          <w:t>Dt 28.26</w:t>
        </w:r>
      </w:hyperlink>
      <w:r>
        <w:t xml:space="preserve"> ; </w:t>
      </w:r>
      <w:hyperlink r:id="rId1856">
        <w:r>
          <w:rPr>
            <w:color w:val="0000EE"/>
            <w:u w:val="single"/>
          </w:rPr>
          <w:t>1S 17.44</w:t>
        </w:r>
      </w:hyperlink>
      <w:r>
        <w:t xml:space="preserve"> ; </w:t>
      </w:r>
      <w:hyperlink r:id="rId1857">
        <w:r>
          <w:rPr>
            <w:color w:val="0000EE"/>
            <w:u w:val="single"/>
          </w:rPr>
          <w:t>Ez 14.15</w:t>
        </w:r>
      </w:hyperlink>
      <w:r>
        <w:t>).</w:t>
      </w:r>
    </w:p>
    <w:p>
      <w:pPr>
        <w:pStyle w:val="ListNumber"/>
        <w:spacing w:line="240" w:lineRule="auto"/>
        <w:ind w:left="720"/>
      </w:pPr>
      <w:r/>
      <w:r>
        <w:t xml:space="preserve">En ce qui concerne son usage figuratif, le terme « bête » est utilisé principalement dans Daniel et l'Apocalypse. Dans Daniel (surtout </w:t>
      </w:r>
      <w:hyperlink r:id="rId1858">
        <w:r>
          <w:rPr>
            <w:color w:val="0000EE"/>
            <w:u w:val="single"/>
          </w:rPr>
          <w:t>Daniel 7</w:t>
        </w:r>
      </w:hyperlink>
      <w:r>
        <w:t>), la bête symbolise un dirigeant mondial qui persécute et opprime le peuple de Dieu. Dans l'Apocalypse, l'apôtre Jean applique ce concept pour parler de la persécution finale du peuple de Dieu à la fin de l'histoire. La « bête » de Jean est similaire à l'« antéchrist » dans ses lettres antérieures (</w:t>
      </w:r>
      <w:hyperlink r:id="rId1859">
        <w:r>
          <w:rPr>
            <w:color w:val="0000EE"/>
            <w:u w:val="single"/>
          </w:rPr>
          <w:t>1Jn 2.18, 22</w:t>
        </w:r>
      </w:hyperlink>
      <w:r>
        <w:t xml:space="preserve"> ; </w:t>
      </w:r>
      <w:hyperlink r:id="rId1860">
        <w:r>
          <w:rPr>
            <w:color w:val="0000EE"/>
            <w:u w:val="single"/>
          </w:rPr>
          <w:t>4.3</w:t>
        </w:r>
      </w:hyperlink>
      <w:r>
        <w:t xml:space="preserve"> ; </w:t>
      </w:r>
      <w:hyperlink r:id="rId1861">
        <w:r>
          <w:rPr>
            <w:color w:val="0000EE"/>
            <w:u w:val="single"/>
          </w:rPr>
          <w:t>2Jn 1.7</w:t>
        </w:r>
      </w:hyperlink>
      <w:r>
        <w:t>) et à l'« homme du péché » de Paul (</w:t>
      </w:r>
      <w:hyperlink r:id="rId1036">
        <w:r>
          <w:rPr>
            <w:color w:val="0000EE"/>
            <w:u w:val="single"/>
          </w:rPr>
          <w:t>2Th 2.3</w:t>
        </w:r>
      </w:hyperlink>
      <w:r>
        <w:t>). De nombreux commentateurs bibliques pensent que les trois termes font référence à la même personne.</w:t>
      </w:r>
    </w:p>
    <w:p>
      <w:r/>
      <w:r>
        <w:rPr>
          <w:i/>
        </w:rPr>
        <w:t>Voir</w:t>
      </w:r>
      <w:r>
        <w:t xml:space="preserve"> </w:t>
      </w:r>
      <w:r>
        <w:t>Antéchrist</w:t>
      </w:r>
      <w:r>
        <w:t xml:space="preserve"> ; </w:t>
      </w:r>
      <w:r>
        <w:t>Harmaguédon</w:t>
      </w:r>
      <w:r>
        <w:t xml:space="preserve"> ; </w:t>
      </w:r>
      <w:r>
        <w:t>Marque de la Bête</w:t>
      </w:r>
      <w:r>
        <w:t xml:space="preserve"> ; </w:t>
      </w:r>
      <w:r>
        <w:t>Apocalypse, Livre de l'</w:t>
      </w:r>
      <w:r>
        <w:t>.</w:t>
      </w:r>
      <w:r/>
      <w:r/>
    </w:p>
    <w:p>
      <w:r/>
    </w:p>
    <w:p>
      <w:pPr>
        <w:pStyle w:val="Heading2"/>
      </w:pPr>
      <w:r>
        <w:t>Béthanie</w:t>
      </w:r>
      <w:r/>
    </w:p>
    <w:p>
      <w:r/>
      <w:r>
        <w:t>1. Nom d'un village situé sur le versant est de la montagne des Oliviers à 2,4 kilomètres à l'est de Jérusalem. Jésus et ses disciples séjournaient parfois à Béthanie lorsqu'ils étaient en Judée. Ils y ont séjourné lorsqu'ils se sont rendus à Jérusalem pour observer la Pâque (</w:t>
      </w:r>
      <w:hyperlink r:id="rId1862">
        <w:r>
          <w:rPr>
            <w:color w:val="0000EE"/>
            <w:u w:val="single"/>
          </w:rPr>
          <w:t>Mt 21.17</w:t>
        </w:r>
      </w:hyperlink>
      <w:r>
        <w:t xml:space="preserve"> ; </w:t>
      </w:r>
      <w:hyperlink r:id="rId1863">
        <w:r>
          <w:rPr>
            <w:color w:val="0000EE"/>
            <w:u w:val="single"/>
          </w:rPr>
          <w:t>Mc 11.11</w:t>
        </w:r>
      </w:hyperlink>
      <w:r>
        <w:t>). Jésus était chez Simon le lépreux à Béthanie lorsqu'une femme est entrée et l'a oint avec un parfum de grand prix (</w:t>
      </w:r>
      <w:hyperlink r:id="rId1864">
        <w:r>
          <w:rPr>
            <w:color w:val="0000EE"/>
            <w:u w:val="single"/>
          </w:rPr>
          <w:t>Mt 26.6–13</w:t>
        </w:r>
      </w:hyperlink>
      <w:r>
        <w:t xml:space="preserve"> ; </w:t>
      </w:r>
      <w:hyperlink r:id="rId1865">
        <w:r>
          <w:rPr>
            <w:color w:val="0000EE"/>
            <w:u w:val="single"/>
          </w:rPr>
          <w:t>Mc 14.3–9</w:t>
        </w:r>
      </w:hyperlink>
      <w:r>
        <w:t>).</w:t>
      </w:r>
    </w:p>
    <w:p>
      <w:r/>
      <w:r>
        <w:t>Marie, Marthe et leur frère Lazare habitaient à Béthanie. C'est là que Jésus a ressuscité Lazare d'entre les morts (</w:t>
      </w:r>
      <w:hyperlink r:id="rId1866">
        <w:r>
          <w:rPr>
            <w:color w:val="0000EE"/>
            <w:u w:val="single"/>
          </w:rPr>
          <w:t>Jn 11.1, 18</w:t>
        </w:r>
      </w:hyperlink>
      <w:r>
        <w:t>). Quand Jésus est entré à Jérusalem triomphalement, il était venu par une route qui passe près de Bethphagé et de Béthanie (</w:t>
      </w:r>
      <w:hyperlink r:id="rId1867">
        <w:r>
          <w:rPr>
            <w:color w:val="0000EE"/>
            <w:u w:val="single"/>
          </w:rPr>
          <w:t>Mc 11.1</w:t>
        </w:r>
      </w:hyperlink>
      <w:r>
        <w:t xml:space="preserve"> ; </w:t>
      </w:r>
      <w:hyperlink r:id="rId1868">
        <w:r>
          <w:rPr>
            <w:color w:val="0000EE"/>
            <w:u w:val="single"/>
          </w:rPr>
          <w:t>Lc 19.29</w:t>
        </w:r>
      </w:hyperlink>
      <w:r>
        <w:t>). C'est aussi à Béthanie que Jésus a béni ses disciples après sa résurrection et a été enlevé au ciel (</w:t>
      </w:r>
      <w:hyperlink r:id="rId1750">
        <w:r>
          <w:rPr>
            <w:color w:val="0000EE"/>
            <w:u w:val="single"/>
          </w:rPr>
          <w:t>Lc 24.50</w:t>
        </w:r>
      </w:hyperlink>
      <w:r>
        <w:t>). Aujourd'hui, la ville s'appelle el-Azariyeh, ce qui signifie en arabe, « le lieu de Lazare ».</w:t>
      </w:r>
    </w:p>
    <w:p>
      <w:r/>
      <w:r>
        <w:t xml:space="preserve">2. Nom d'un autre village qui lui est situé « </w:t>
      </w:r>
      <w:r>
        <w:t>au-delà du Jourdain</w:t>
      </w:r>
      <w:r>
        <w:t xml:space="preserve"> » (du côté est). C'est là que Jean-Baptiste baptisait (</w:t>
      </w:r>
      <w:hyperlink r:id="rId1869">
        <w:r>
          <w:rPr>
            <w:color w:val="0000EE"/>
            <w:u w:val="single"/>
          </w:rPr>
          <w:t>Jn 1.28</w:t>
        </w:r>
      </w:hyperlink>
      <w:r>
        <w:t>).</w:t>
      </w:r>
      <w:r/>
      <w:r/>
    </w:p>
    <w:p>
      <w:r/>
    </w:p>
    <w:p>
      <w:pPr>
        <w:pStyle w:val="Heading2"/>
      </w:pPr>
      <w:r>
        <w:t>Béthel (Lieu), Béthélite</w:t>
      </w:r>
      <w:r/>
    </w:p>
    <w:p>
      <w:pPr>
        <w:pStyle w:val="ListNumber"/>
        <w:spacing w:line="240" w:lineRule="auto"/>
        <w:ind w:left="720"/>
      </w:pPr>
      <w:r/>
      <w:r>
        <w:t>Ville importante de l'Ancien Testament située à environ 18 km au nord de Jérusalem sur la route de crête nord-sud le long des frontières de Benjamin et d'Éphraïm (</w:t>
      </w:r>
      <w:hyperlink r:id="rId1870">
        <w:r>
          <w:rPr>
            <w:color w:val="0000EE"/>
            <w:u w:val="single"/>
          </w:rPr>
          <w:t>Jos 16.1–2</w:t>
        </w:r>
      </w:hyperlink>
      <w:r>
        <w:t xml:space="preserve"> ; </w:t>
      </w:r>
      <w:hyperlink r:id="rId1871">
        <w:r>
          <w:rPr>
            <w:color w:val="0000EE"/>
            <w:u w:val="single"/>
          </w:rPr>
          <w:t>18.13</w:t>
        </w:r>
      </w:hyperlink>
      <w:r>
        <w:t xml:space="preserve">). Hiel, un résident de la ville, est mentionné comme un Béthélite dans </w:t>
      </w:r>
      <w:hyperlink r:id="rId1872">
        <w:r>
          <w:rPr>
            <w:color w:val="0000EE"/>
            <w:u w:val="single"/>
          </w:rPr>
          <w:t>1R 16.34</w:t>
        </w:r>
      </w:hyperlink>
      <w:r>
        <w:t>. En tant que centre commercial, Béthel collectait des marchandises à la fois de la côte méditerranéenne et de la Transjordanie via Jéricho. Bien que Béthel se trouvât dans une région sèche et vallonnée, plusieurs sources fournissaient suffisamment d'eau à ses habitants. Le plus ancien artefact trouvé sur le site est un pot à eau datant d'environ 3 500 av. J.‑C.</w:t>
      </w:r>
    </w:p>
    <w:p>
      <w:r/>
      <w:r>
        <w:t>Il se peut que le nom « Béthel », signifiant « maison d'El (dieu) », ait été utilisé par les Cananéens dès le 4e millénaire av. J.‑C. Les découvertes archéologiques entre l'âge de pierre et l'âge du bronze impliquent que les Cananéens adoraient la divinité El au sommet de la colline.</w:t>
      </w:r>
    </w:p>
    <w:p>
      <w:r/>
      <w:r>
        <w:t>Le patriarche Jacob a nommé l'endroit Béthel (ou a donné un nouveau sens à l'ancien nom) après que Dieu lui y a envoyé un rêve (</w:t>
      </w:r>
      <w:hyperlink r:id="rId1873">
        <w:r>
          <w:rPr>
            <w:color w:val="0000EE"/>
            <w:u w:val="single"/>
          </w:rPr>
          <w:t>Gn 28.10–22</w:t>
        </w:r>
      </w:hyperlink>
      <w:r>
        <w:t>). Le site était dit être connu sous le nom de Béthel par le patriarche Abraham (</w:t>
      </w:r>
      <w:hyperlink r:id="rId88">
        <w:r>
          <w:rPr>
            <w:color w:val="0000EE"/>
            <w:u w:val="single"/>
          </w:rPr>
          <w:t>Gn 12.8</w:t>
        </w:r>
      </w:hyperlink>
      <w:r>
        <w:t>). Cependant, il se peut que ça ait été une mise à jour ultérieure d'un ancien nom local puisque Béthel était auparavant connu sous le nom de Luz (</w:t>
      </w:r>
      <w:hyperlink r:id="rId1874">
        <w:r>
          <w:rPr>
            <w:color w:val="0000EE"/>
            <w:u w:val="single"/>
          </w:rPr>
          <w:t>Gn 28.19</w:t>
        </w:r>
      </w:hyperlink>
      <w:r>
        <w:t>). Il est possible que le sanctuaire ait été connu sous le nom de Béthel et que la ville voisine ait été appelée Luz.</w:t>
      </w:r>
    </w:p>
    <w:p>
      <w:r/>
      <w:r>
        <w:t>Au début de l'âge du bronze intermédiaire, vers 2 200 av. J.‑C., le nom Béthel était bien établi et a perduré tout au long de son histoire. Un passage biblique mentionne les deux noms, indiquant qu'un homme de Luz a fondé une autre ville portant le même nom sur le territoire hétien (</w:t>
      </w:r>
      <w:hyperlink r:id="rId1875">
        <w:r>
          <w:rPr>
            <w:color w:val="0000EE"/>
            <w:u w:val="single"/>
          </w:rPr>
          <w:t>Jg 1.26</w:t>
        </w:r>
      </w:hyperlink>
      <w:r>
        <w:t>).</w:t>
      </w:r>
    </w:p>
    <w:p>
      <w:r/>
      <w:r>
        <w:t>Bien que Béthel ait été assigné à la tribu de Benjamin, il a en réalité été capturé par la tribu d'Éphraïm de sa forteresse cananéenne (</w:t>
      </w:r>
      <w:hyperlink r:id="rId1876">
        <w:r>
          <w:rPr>
            <w:color w:val="0000EE"/>
            <w:u w:val="single"/>
          </w:rPr>
          <w:t>Jg 1.22–26</w:t>
        </w:r>
      </w:hyperlink>
      <w:r>
        <w:t xml:space="preserve"> ; </w:t>
      </w:r>
      <w:hyperlink r:id="rId509">
        <w:r>
          <w:rPr>
            <w:color w:val="0000EE"/>
            <w:u w:val="single"/>
          </w:rPr>
          <w:t>1Ch 7.28</w:t>
        </w:r>
      </w:hyperlink>
      <w:r>
        <w:t>). Pendant la période des juges, l'Arche de l'Alliance se trouvait à Béthel, où les pratiques cultuelles israélites habituelles avaient lieu sous le grand prêtre Phinées, fils d'Éléazar (</w:t>
      </w:r>
      <w:hyperlink r:id="rId1877">
        <w:r>
          <w:rPr>
            <w:color w:val="0000EE"/>
            <w:u w:val="single"/>
          </w:rPr>
          <w:t>Jg 20.18–28</w:t>
        </w:r>
      </w:hyperlink>
      <w:r>
        <w:t xml:space="preserve"> ; </w:t>
      </w:r>
      <w:hyperlink r:id="rId1878">
        <w:r>
          <w:rPr>
            <w:color w:val="0000EE"/>
            <w:u w:val="single"/>
          </w:rPr>
          <w:t>21.2–4</w:t>
        </w:r>
      </w:hyperlink>
      <w:r>
        <w:t>). Il n'y a aucune preuve archéologique que les Philistins vivaient à Béthel à l'époque des juges.</w:t>
      </w:r>
    </w:p>
    <w:p>
      <w:r/>
      <w:r>
        <w:t xml:space="preserve">Durant le règne du roi Saül, Béthel sera épargnée alors que d'autres villes israélites ont été attaquées (voir </w:t>
      </w:r>
      <w:hyperlink r:id="rId1879">
        <w:r>
          <w:rPr>
            <w:color w:val="0000EE"/>
            <w:u w:val="single"/>
          </w:rPr>
          <w:t>1S 12–14</w:t>
        </w:r>
      </w:hyperlink>
      <w:r>
        <w:t>). Les preuves archéologiques montrent que Béthel était prospère au début du règne de Saül, mais lorsqu'il fera de Guibea sa capitale, elle commencera à décliner.</w:t>
      </w:r>
    </w:p>
    <w:p>
      <w:r/>
      <w:r>
        <w:t>Lorsque les royaumes d'Israël et de Juda se sont séparés à l'époque de Jéroboam 1er, Béthel redeviendra importante en tant que capitale du royaume du nord d'Israël. La ville était le pendant de la capitale de Juda, Jérusalem. Béthel était l'une des deux villes du nord où des veaux d'or étaient adorés (</w:t>
      </w:r>
      <w:hyperlink r:id="rId1880">
        <w:r>
          <w:rPr>
            <w:color w:val="0000EE"/>
            <w:u w:val="single"/>
          </w:rPr>
          <w:t>1R 12.28–33</w:t>
        </w:r>
      </w:hyperlink>
      <w:r>
        <w:t>). L'emplacement exact du sanctuaire pour cette pratique n'a pas été découvert.</w:t>
      </w:r>
    </w:p>
    <w:p>
      <w:r/>
      <w:r>
        <w:t>La ville abritait également un prophète âgé (</w:t>
      </w:r>
      <w:hyperlink r:id="rId1881">
        <w:r>
          <w:rPr>
            <w:color w:val="0000EE"/>
            <w:u w:val="single"/>
          </w:rPr>
          <w:t>1R 13.11</w:t>
        </w:r>
      </w:hyperlink>
      <w:r>
        <w:t>) qui aurait pu faire partie d'une communauté prophétique existant à Béthel à l'époque d'Élie et d'Élisée (</w:t>
      </w:r>
      <w:hyperlink r:id="rId1882">
        <w:r>
          <w:rPr>
            <w:color w:val="0000EE"/>
            <w:u w:val="single"/>
          </w:rPr>
          <w:t>2R 2.2–3</w:t>
        </w:r>
      </w:hyperlink>
      <w:r>
        <w:t>). Sous le règne du roi Abija de Juda, Béthel tombera sous le contrôle de Juda (</w:t>
      </w:r>
      <w:hyperlink r:id="rId1883">
        <w:r>
          <w:rPr>
            <w:color w:val="0000EE"/>
            <w:u w:val="single"/>
          </w:rPr>
          <w:t>2Ch 13.19</w:t>
        </w:r>
      </w:hyperlink>
      <w:r>
        <w:t>), mais sera ensuite rendue à Israël. Le prophète Amos formulera de sévères critiques sur la vie sociale et religieuse d'Israël à Béthel, ce qui conduira le prêtre Amatsia à l'expulser (</w:t>
      </w:r>
      <w:hyperlink r:id="rId1884">
        <w:r>
          <w:rPr>
            <w:color w:val="0000EE"/>
            <w:u w:val="single"/>
          </w:rPr>
          <w:t>Am 7.10–13</w:t>
        </w:r>
      </w:hyperlink>
      <w:r>
        <w:t>).</w:t>
      </w:r>
    </w:p>
    <w:p>
      <w:r/>
      <w:r>
        <w:t>Il n'existe aucune preuve archéologique que Béthel ait été détruite lors de la conquête assyrienne d'Israël en 722 av. J.‑C. L'un des prêtres déportés a même été renvoyé à Béthel pour enseigner aux colons mésopotamiens les voies du Seigneur (</w:t>
      </w:r>
      <w:hyperlink r:id="rId1885">
        <w:r>
          <w:rPr>
            <w:color w:val="0000EE"/>
            <w:u w:val="single"/>
          </w:rPr>
          <w:t>2R 17.28</w:t>
        </w:r>
      </w:hyperlink>
      <w:r>
        <w:t>). Sous le règne du roi Josias de Juda, le sanctuaire païen de Béthel sera détruit (</w:t>
      </w:r>
      <w:hyperlink r:id="rId1886">
        <w:r>
          <w:rPr>
            <w:color w:val="0000EE"/>
            <w:u w:val="single"/>
          </w:rPr>
          <w:t>2R 23.15–20</w:t>
        </w:r>
      </w:hyperlink>
      <w:r>
        <w:t>), mais la ville elle-même n'a pas été endommagée. Cependant, sous le règne de Nabonide ou de Darius 1er, Béthel sera incendiée, et à l'époque d'Esdras, elle deviendra un petit village (</w:t>
      </w:r>
      <w:hyperlink r:id="rId1887">
        <w:r>
          <w:rPr>
            <w:color w:val="0000EE"/>
            <w:u w:val="single"/>
          </w:rPr>
          <w:t>Esd 2.28</w:t>
        </w:r>
      </w:hyperlink>
      <w:r>
        <w:t>).</w:t>
      </w:r>
    </w:p>
    <w:p>
      <w:pPr>
        <w:pStyle w:val="ListNumber"/>
        <w:spacing w:line="240" w:lineRule="auto"/>
        <w:ind w:left="720"/>
      </w:pPr>
      <w:r/>
      <w:r>
        <w:t>Un autre nom pour Bethuel, une ville dans le territoire de Juda (</w:t>
      </w:r>
      <w:hyperlink r:id="rId1888">
        <w:r>
          <w:rPr>
            <w:color w:val="0000EE"/>
            <w:u w:val="single"/>
          </w:rPr>
          <w:t>1S 30.27</w:t>
        </w:r>
      </w:hyperlink>
      <w:r>
        <w:t>).</w:t>
      </w:r>
    </w:p>
    <w:p>
      <w:r/>
      <w:r>
        <w:rPr>
          <w:i/>
        </w:rPr>
        <w:t>Voir</w:t>
      </w:r>
      <w:r>
        <w:t xml:space="preserve"> </w:t>
      </w:r>
      <w:r>
        <w:t>Bethuel (lieu)</w:t>
      </w:r>
      <w:r>
        <w:t>.</w:t>
      </w:r>
      <w:r/>
      <w:r/>
    </w:p>
    <w:p>
      <w:r/>
    </w:p>
    <w:p>
      <w:pPr>
        <w:pStyle w:val="Heading2"/>
      </w:pPr>
      <w:r>
        <w:t>Bethléhem</w:t>
      </w:r>
      <w:r/>
    </w:p>
    <w:p>
      <w:pPr>
        <w:pStyle w:val="ListNumber"/>
        <w:spacing w:line="240" w:lineRule="auto"/>
        <w:ind w:left="720"/>
      </w:pPr>
      <w:r/>
      <w:r>
        <w:t>« Ville de David » et lieu de naissance de Jésus-Christ, située à 8 km au sud de Jérusalem. Pour la distinguer d'une autre Bethléhem dans la région de Zabulon, cette ville est parfois appelée Bethléhem-Juda ou Éphrata (</w:t>
      </w:r>
      <w:hyperlink r:id="rId1889">
        <w:r>
          <w:rPr>
            <w:color w:val="0000EE"/>
            <w:u w:val="single"/>
          </w:rPr>
          <w:t>Gn 35.19</w:t>
        </w:r>
      </w:hyperlink>
      <w:r>
        <w:t xml:space="preserve"> ; </w:t>
      </w:r>
      <w:hyperlink r:id="rId1890">
        <w:r>
          <w:rPr>
            <w:color w:val="0000EE"/>
            <w:u w:val="single"/>
          </w:rPr>
          <w:t>Mi 5.2</w:t>
        </w:r>
      </w:hyperlink>
      <w:r>
        <w:t>).</w:t>
      </w:r>
    </w:p>
    <w:p>
      <w:r/>
      <w:r>
        <w:t>Bethléhem était à l'origine un établissement cananéen lié aux patriarches. Rachel, l'épouse de Jacob, est morte et a été enterrée près de Bethléhem (</w:t>
      </w:r>
      <w:hyperlink r:id="rId1891">
        <w:r>
          <w:rPr>
            <w:color w:val="0000EE"/>
            <w:u w:val="single"/>
          </w:rPr>
          <w:t>Gn 35.16, 19</w:t>
        </w:r>
      </w:hyperlink>
      <w:r>
        <w:t xml:space="preserve"> ; </w:t>
      </w:r>
      <w:hyperlink r:id="rId1892">
        <w:r>
          <w:rPr>
            <w:color w:val="0000EE"/>
            <w:u w:val="single"/>
          </w:rPr>
          <w:t>48.7</w:t>
        </w:r>
      </w:hyperlink>
      <w:r>
        <w:t xml:space="preserve">). La première mention historique de Bethléhem provient des lettres d'Amarna au 14e siècle av. J.‑C., où elle est appelée </w:t>
      </w:r>
      <w:r>
        <w:rPr>
          <w:i/>
        </w:rPr>
        <w:t>bitil u-lahama</w:t>
      </w:r>
      <w:r>
        <w:t xml:space="preserve">, située au sud de Jérusalem. Le nom pourrait avoir signifié « maison de la déesse Lahama ». Une branche de la famille de Caleb s'y installera, et son fils Salma était connu comme « </w:t>
      </w:r>
      <w:r>
        <w:t>père de Bethléhem</w:t>
      </w:r>
      <w:r>
        <w:t xml:space="preserve"> » (</w:t>
      </w:r>
      <w:hyperlink r:id="rId1893">
        <w:r>
          <w:rPr>
            <w:color w:val="0000EE"/>
            <w:u w:val="single"/>
          </w:rPr>
          <w:t>1Ch 2.51</w:t>
        </w:r>
      </w:hyperlink>
      <w:r>
        <w:t>). Bethléhem était également le foyer d'un jeune Lévite qui servait comme prêtre pour Michée (</w:t>
      </w:r>
      <w:hyperlink r:id="rId1894">
        <w:r>
          <w:rPr>
            <w:color w:val="0000EE"/>
            <w:u w:val="single"/>
          </w:rPr>
          <w:t>Jg 17.7–8</w:t>
        </w:r>
      </w:hyperlink>
      <w:r>
        <w:t>), et de Boaz, Ruth, Obed et Isaï, le Père de David (</w:t>
      </w:r>
      <w:hyperlink r:id="rId1895">
        <w:r>
          <w:rPr>
            <w:color w:val="0000EE"/>
            <w:u w:val="single"/>
          </w:rPr>
          <w:t>Rt 4.11, 17</w:t>
        </w:r>
      </w:hyperlink>
      <w:r>
        <w:t xml:space="preserve"> ; </w:t>
      </w:r>
      <w:hyperlink r:id="rId1896">
        <w:r>
          <w:rPr>
            <w:color w:val="0000EE"/>
            <w:u w:val="single"/>
          </w:rPr>
          <w:t>1S 16.18</w:t>
        </w:r>
      </w:hyperlink>
      <w:r>
        <w:t>).</w:t>
      </w:r>
    </w:p>
    <w:p>
      <w:r/>
      <w:r>
        <w:t>Bethléhem était le lieu de naissance de David (</w:t>
      </w:r>
      <w:hyperlink r:id="rId1897">
        <w:r>
          <w:rPr>
            <w:color w:val="0000EE"/>
            <w:u w:val="single"/>
          </w:rPr>
          <w:t>1S 17.12</w:t>
        </w:r>
      </w:hyperlink>
      <w:r>
        <w:t>) et le domicile de l'un de sess vaillants hommes, Elchanan (</w:t>
      </w:r>
      <w:hyperlink r:id="rId1898">
        <w:r>
          <w:rPr>
            <w:color w:val="0000EE"/>
            <w:u w:val="single"/>
          </w:rPr>
          <w:t>2S 23.24</w:t>
        </w:r>
      </w:hyperlink>
      <w:r>
        <w:t xml:space="preserve"> ; </w:t>
      </w:r>
      <w:hyperlink r:id="rId1899">
        <w:r>
          <w:rPr>
            <w:color w:val="0000EE"/>
            <w:u w:val="single"/>
          </w:rPr>
          <w:t>1Ch 11.26</w:t>
        </w:r>
      </w:hyperlink>
      <w:r>
        <w:t>). C'était le site d'un acte courageux de trois des soldats de David, qui ont traversé un groupe de pillards philistins occupant Bethléhem pour apporter à David de l'eau du puits près de la porte de la ville (</w:t>
      </w:r>
      <w:hyperlink r:id="rId1900">
        <w:r>
          <w:rPr>
            <w:color w:val="0000EE"/>
            <w:u w:val="single"/>
          </w:rPr>
          <w:t>2S 23.14–17</w:t>
        </w:r>
      </w:hyperlink>
      <w:r>
        <w:t>). Bien plus tard, Bethléhem est mentionnée comme située près du village de Geruth-Kimham, où les Juifs fuyant les Babyloniens se sont arrêtés en route vers l'Égypte (</w:t>
      </w:r>
      <w:hyperlink r:id="rId1901">
        <w:r>
          <w:rPr>
            <w:color w:val="0000EE"/>
            <w:u w:val="single"/>
          </w:rPr>
          <w:t>Jr 41.17</w:t>
        </w:r>
      </w:hyperlink>
      <w:r>
        <w:t>). Des gens de Bethléhem faisaient partie de ceux qui sont revenus de l'exil babylonien (</w:t>
      </w:r>
      <w:hyperlink r:id="rId1902">
        <w:r>
          <w:rPr>
            <w:color w:val="0000EE"/>
            <w:u w:val="single"/>
          </w:rPr>
          <w:t>Esd 2.21</w:t>
        </w:r>
      </w:hyperlink>
      <w:r>
        <w:t xml:space="preserve"> ; </w:t>
      </w:r>
      <w:hyperlink r:id="rId1903">
        <w:r>
          <w:rPr>
            <w:color w:val="0000EE"/>
            <w:u w:val="single"/>
          </w:rPr>
          <w:t>Né 7.26</w:t>
        </w:r>
      </w:hyperlink>
      <w:r>
        <w:t xml:space="preserve"> ; </w:t>
      </w:r>
      <w:hyperlink r:id="rId1904">
        <w:r>
          <w:rPr>
            <w:color w:val="0000EE"/>
            <w:u w:val="single"/>
          </w:rPr>
          <w:t>1 Esd 5.17</w:t>
        </w:r>
      </w:hyperlink>
      <w:r>
        <w:t>).</w:t>
      </w:r>
    </w:p>
    <w:p>
      <w:r/>
      <w:r>
        <w:t>Au moment de la naissance de Jésus, Bethléhem n'était qu'un village (</w:t>
      </w:r>
      <w:hyperlink r:id="rId1905">
        <w:r>
          <w:rPr>
            <w:color w:val="0000EE"/>
            <w:u w:val="single"/>
          </w:rPr>
          <w:t>Mt 2.1–16</w:t>
        </w:r>
      </w:hyperlink>
      <w:r>
        <w:t xml:space="preserve"> ; </w:t>
      </w:r>
      <w:hyperlink r:id="rId1906">
        <w:r>
          <w:rPr>
            <w:color w:val="0000EE"/>
            <w:u w:val="single"/>
          </w:rPr>
          <w:t>Lc 2.4</w:t>
        </w:r>
      </w:hyperlink>
      <w:hyperlink r:id="rId1907">
        <w:r>
          <w:rPr>
            <w:color w:val="0000EE"/>
            <w:u w:val="single"/>
          </w:rPr>
          <w:t>–</w:t>
        </w:r>
      </w:hyperlink>
      <w:hyperlink r:id="rId1906">
        <w:r>
          <w:rPr>
            <w:color w:val="0000EE"/>
            <w:u w:val="single"/>
          </w:rPr>
          <w:t>6, 15</w:t>
        </w:r>
      </w:hyperlink>
      <w:r>
        <w:t xml:space="preserve"> ; </w:t>
      </w:r>
      <w:hyperlink r:id="rId1908">
        <w:r>
          <w:rPr>
            <w:color w:val="0000EE"/>
            <w:u w:val="single"/>
          </w:rPr>
          <w:t>Jn 7.42</w:t>
        </w:r>
      </w:hyperlink>
      <w:r>
        <w:t xml:space="preserve">). En raison d'un recensement ordonné par César Auguste, Joseph devait se rendre à Bethléhem, « </w:t>
      </w:r>
      <w:r>
        <w:t>parce qu’il était de la maison et de la famille de David</w:t>
      </w:r>
      <w:r>
        <w:t xml:space="preserve"> » (</w:t>
      </w:r>
      <w:hyperlink r:id="rId1909">
        <w:r>
          <w:rPr>
            <w:color w:val="0000EE"/>
            <w:u w:val="single"/>
          </w:rPr>
          <w:t>Lc 2.4</w:t>
        </w:r>
      </w:hyperlink>
      <w:r>
        <w:t>). Il est possible que la famille possédait encore des biens là-bas. La naissance de Jésus a peut-être eu lieu dans une grotte en dehors de la ville, une croyance soutenue par des auteurs chrétiens anciens comme Justin Martyr et Origène. Origène, qui vivait en Terre Sainte, a écrit : « À Bethléhem, on vous montre la grotte où il est né et dans la grotte la mangeoire où il a été enveloppé de langes. »</w:t>
      </w:r>
    </w:p>
    <w:p>
      <w:r/>
      <w:r>
        <w:t>Plus tard, Jérôme décrira la grotte (une petite caverne), qui était une basilique construite par l'empereur Constantin. Des fouilles archéologiques en 1934–1935 ont révélé qu'une deuxième phase de construction a eu lieu sous le règne de Justinien de 527 à 565 apr. J.‑C., lorsque la basilique de Constantin sera agrandie. Des marches mènent à la grotte, qui a une forme rectangulaire, suggérant que les constructeurs sous Constantin ont modifié la caverne originale. Cependant, il n'existe aucune description de la grotte avant la construction de la basilique de Constantin.</w:t>
      </w:r>
    </w:p>
    <w:p>
      <w:pPr>
        <w:pStyle w:val="ListNumber"/>
        <w:spacing w:line="240" w:lineRule="auto"/>
        <w:ind w:left="720"/>
      </w:pPr>
      <w:r/>
      <w:r>
        <w:t>Une ville en Zabulon (</w:t>
      </w:r>
      <w:hyperlink r:id="rId1910">
        <w:r>
          <w:rPr>
            <w:color w:val="0000EE"/>
            <w:u w:val="single"/>
          </w:rPr>
          <w:t>Jos 19.15</w:t>
        </w:r>
      </w:hyperlink>
      <w:r>
        <w:t>). Il s'agit probablement de la maison du juge Ibtsan, un des premiers dirigeants d'Israël (</w:t>
      </w:r>
      <w:hyperlink r:id="rId1911">
        <w:r>
          <w:rPr>
            <w:color w:val="0000EE"/>
            <w:u w:val="single"/>
          </w:rPr>
          <w:t>Jg 12.8–10</w:t>
        </w:r>
      </w:hyperlink>
      <w:r>
        <w:t>). Elle est identifiée aujourd'hui avec le village de Beit Lahm, à environ 11 km au nord-ouest de Nazareth.</w:t>
      </w:r>
      <w:r/>
      <w:r/>
    </w:p>
    <w:p>
      <w:r/>
    </w:p>
    <w:p>
      <w:pPr>
        <w:pStyle w:val="Heading2"/>
      </w:pPr>
      <w:r>
        <w:t>Bethphagé</w:t>
      </w:r>
      <w:r/>
    </w:p>
    <w:p>
      <w:r/>
      <w:r>
        <w:t>Nom d'un village situé sur la montagne des Oliviers, près de Jérusalem. Alors qu'il s'apprête à entrer dans Jérusalem, Jésus envoie deux de ses disciples à Bethphagé pour y chercher un ânon. Jésus s'en sert comme monture lors de son entrée triomphale dans Jérusalem (</w:t>
      </w:r>
      <w:hyperlink r:id="rId1912">
        <w:r>
          <w:rPr>
            <w:color w:val="0000EE"/>
            <w:u w:val="single"/>
          </w:rPr>
          <w:t>Mt 21.1–6</w:t>
        </w:r>
      </w:hyperlink>
      <w:r>
        <w:t xml:space="preserve"> ; </w:t>
      </w:r>
      <w:hyperlink r:id="rId1913">
        <w:r>
          <w:rPr>
            <w:color w:val="0000EE"/>
            <w:u w:val="single"/>
          </w:rPr>
          <w:t>Mc 11.1–6</w:t>
        </w:r>
      </w:hyperlink>
      <w:r>
        <w:t xml:space="preserve"> ; </w:t>
      </w:r>
      <w:hyperlink r:id="rId1914">
        <w:r>
          <w:rPr>
            <w:color w:val="0000EE"/>
            <w:u w:val="single"/>
          </w:rPr>
          <w:t>Lc 19.29–35</w:t>
        </w:r>
      </w:hyperlink>
      <w:r>
        <w:t>).</w:t>
      </w:r>
      <w:r/>
      <w:r/>
    </w:p>
    <w:p>
      <w:r/>
    </w:p>
    <w:p>
      <w:pPr>
        <w:pStyle w:val="Heading2"/>
      </w:pPr>
      <w:r>
        <w:t>Bethsaïda</w:t>
      </w:r>
      <w:r/>
    </w:p>
    <w:p>
      <w:pPr>
        <w:pStyle w:val="ListNumber"/>
        <w:spacing w:line="240" w:lineRule="auto"/>
        <w:ind w:left="720"/>
      </w:pPr>
      <w:r/>
      <w:r>
        <w:t>Ville au nord-est de la mer de Galilée. C'est la ville de trois des disciples de Jésus : André, Pierre et Philippe (</w:t>
      </w:r>
      <w:hyperlink r:id="rId1915">
        <w:r>
          <w:rPr>
            <w:color w:val="0000EE"/>
            <w:u w:val="single"/>
          </w:rPr>
          <w:t xml:space="preserve">Jn 1.44 </w:t>
        </w:r>
      </w:hyperlink>
      <w:r>
        <w:t xml:space="preserve">; </w:t>
      </w:r>
      <w:hyperlink r:id="rId1916">
        <w:r>
          <w:rPr>
            <w:color w:val="0000EE"/>
            <w:u w:val="single"/>
          </w:rPr>
          <w:t>12.21</w:t>
        </w:r>
      </w:hyperlink>
      <w:r>
        <w:t>). Malgré les miracles que Jésus y a accomplis, les habitants de Bethsaïda n'ont pas cru en lui. La ville sera jugée plus sévèrement à cause du manque de repentance de ses habitants (</w:t>
      </w:r>
      <w:hyperlink r:id="rId1917">
        <w:r>
          <w:rPr>
            <w:color w:val="0000EE"/>
            <w:u w:val="single"/>
          </w:rPr>
          <w:t xml:space="preserve">Mt 11.21–22 </w:t>
        </w:r>
      </w:hyperlink>
      <w:r>
        <w:t xml:space="preserve">; </w:t>
      </w:r>
      <w:hyperlink r:id="rId1918">
        <w:r>
          <w:rPr>
            <w:color w:val="0000EE"/>
            <w:u w:val="single"/>
          </w:rPr>
          <w:t>Lc 10.13</w:t>
        </w:r>
      </w:hyperlink>
      <w:r>
        <w:t>). Jésus guérit un aveugle à Bethsaïda (</w:t>
      </w:r>
      <w:hyperlink r:id="rId1509">
        <w:r>
          <w:rPr>
            <w:color w:val="0000EE"/>
            <w:u w:val="single"/>
          </w:rPr>
          <w:t>Mc 8.22–26</w:t>
        </w:r>
      </w:hyperlink>
      <w:r>
        <w:t>) et nourrit miraculeusement avec des pains et des poissons plus de 5 000 personnes non loin de la ville (</w:t>
      </w:r>
      <w:hyperlink r:id="rId1919">
        <w:r>
          <w:rPr>
            <w:color w:val="0000EE"/>
            <w:u w:val="single"/>
          </w:rPr>
          <w:t xml:space="preserve">Mc 6.34–45 </w:t>
        </w:r>
      </w:hyperlink>
      <w:r>
        <w:t xml:space="preserve">; </w:t>
      </w:r>
      <w:hyperlink r:id="rId1920">
        <w:r>
          <w:rPr>
            <w:color w:val="0000EE"/>
            <w:u w:val="single"/>
          </w:rPr>
          <w:t>Lc 9.10–17</w:t>
        </w:r>
      </w:hyperlink>
      <w:r>
        <w:t>).</w:t>
      </w:r>
    </w:p>
    <w:p>
      <w:r/>
      <w:r>
        <w:t>En plus de la Bible, Bethsaïda est mentionnée dans plusieurs autres sources anciennes, notamment dans les écrits de Josèphe, historien juif du premier siècle apr. J.‑C. Il avait été théorisé qu'il y avait deux villes appelées Bethsaïda, une de chaque côté de la mer de Galilée. Cette théorie provient du récit de la multiplication des pains dans Marc qui semble indiquer que le miracle se produit de l'autre côté du lac par rapport à Bethsaïda, tandis que Luc situe le même miracle près de Bethsaïda. Une explication possible est que le miracle se serait produit dans la région de Bethsaïda et que le moyen le plus rapide d'atteindre la ville elle-même était de traverser une partie du lac. Cette interprétation remet en question le site traditionnellement attribué au miracle (et-Tabgha sur la rive ouest, qui est plus proche de Capernaüm). Cependant, cela semble une meilleure solution que l'idée qu'il y avait deux Bethsaïda si proches l'une de l'autre.</w:t>
      </w:r>
    </w:p>
    <w:p>
      <w:r/>
      <w:r>
        <w:t>Bethsaïda était à l'origine un simple village de pêcheurs, mais la ville a été agrandie et embellie par Philippe le Tétrarque, fils d'Hérode le Grand, après la mort de César Auguste. Selon Josèphe, Philippe a été enterré à Bethsaïda. La ville a été renommée Julias en l'honneur de Julie, fille d'Auguste. Josèphe a également défendu Bethsaïda alors qu'il commandait des troupes durant la première révolte juive contre Rome de 66 à 70 apr. J.‑C.</w:t>
      </w:r>
    </w:p>
    <w:p>
      <w:r/>
      <w:r>
        <w:t>Josèphe dit que Bethsaïda était « situé près du lac de Gennésareth » (autre nom de la mer de Galilée), mais à proximité du Jourdain. Il mentionne également qu'elle était située dans la basse Gaulanitide, un district bordant la partie nord-est de la mer de Galilée. Cependant, aucune ruine ancienne qui correspondrait à la taille ou à la description de Bethsaïda n'a été retrouvée près du lac ou du fleuve. Il a été proposé que Bethsaïda était peut-être située où se trouve le petit port d'el-’Araj, mais il y a peu d'indices archéologiques en faveur de cette théorie. Le site d'et-Tell, situé à environ 3 200 mètres (deux miles) du lac, révèle une importante occupation romaine et des constructions. Ce site est actuellement considéré comme l'emplacement le plus probable de l'ancienne Bethsaïda.</w:t>
      </w:r>
    </w:p>
    <w:p>
      <w:pPr>
        <w:pStyle w:val="ListNumber"/>
        <w:spacing w:line="240" w:lineRule="auto"/>
        <w:ind w:left="720"/>
      </w:pPr>
      <w:r/>
      <w:r>
        <w:t>Autre nom d'un bassin de Jérusalem, également appelé Béthesda ou Beth-zatha.</w:t>
      </w:r>
    </w:p>
    <w:p>
      <w:r/>
      <w:r>
        <w:rPr>
          <w:i/>
        </w:rPr>
        <w:t>Voir</w:t>
      </w:r>
      <w:r>
        <w:t xml:space="preserve"> </w:t>
      </w:r>
      <w:r>
        <w:t>Béthesda</w:t>
      </w:r>
      <w:r>
        <w:t xml:space="preserve"> ; </w:t>
      </w:r>
      <w:r>
        <w:t>Beth-zatha</w:t>
      </w:r>
      <w:r>
        <w:t>.</w:t>
      </w:r>
      <w:r/>
      <w:r/>
    </w:p>
    <w:p>
      <w:r/>
    </w:p>
    <w:p>
      <w:pPr>
        <w:pStyle w:val="Heading2"/>
      </w:pPr>
      <w:r>
        <w:t>Beth-Schan, Beth-Shean</w:t>
      </w:r>
      <w:r/>
    </w:p>
    <w:p>
      <w:r/>
      <w:r>
        <w:t xml:space="preserve">Nom d'une ville stratégique de la vallée subtropicale du Jourdain. Elle se situe à 24,1 kilomètres au sud de la mer de Galilée et à 6,4 kilomètres à l'ouest du Jourdain. Le nom de cette ville est aussi épelé </w:t>
      </w:r>
      <w:r>
        <w:t xml:space="preserve">Beth-Shéane (Bible liturgique), Bethsan (Crampon), Beth-Shean (Darby), Beth-Séan (Bible de Neufchâtel), Beit-Chéan (Bible juive), Beth-Chéan (Parole de Vie), </w:t>
      </w:r>
      <w:r>
        <w:t xml:space="preserve">Beth-Shéân (Semeur, Nouvelle Bible Segond, TOB 2010) et Beth-Cheân (Colombe). L'article présent utilise l'orthographe de la Louis Segond 1910 qui inclut les deux variantes mentionnées dans le titre. </w:t>
      </w:r>
    </w:p>
    <w:p>
      <w:r/>
      <w:r>
        <w:t>Beth-Schan était située à l'extrémité est de la vallée de Jizreel et surplombait un important passage du Jourdain. C'était l'intersection de deux routes commerciales. L'une menait au nord vers la Galilée et Damas, tandis que l'autre se dirigeait vers l'ouest à travers la vallée de Jizreel et les collines de Samarie.</w:t>
      </w:r>
    </w:p>
    <w:p>
      <w:r/>
      <w:r>
        <w:t>Lorsque les Philistins ont remporté la victoire contre Israël et le roi Saül sur la montagne de Guilboa, Beth-Schan appartenait aux Philistins. En effet, c'est sur le mur de cette ville qu'ont été pendus les corps de Saül et de ses fils pour les déshonorer. Les armes de Saül sont alors placées le temple de Dagon, une divinité philistine (</w:t>
      </w:r>
      <w:hyperlink r:id="rId1921">
        <w:r>
          <w:rPr>
            <w:color w:val="0000EE"/>
            <w:u w:val="single"/>
          </w:rPr>
          <w:t>1S 31.10</w:t>
        </w:r>
      </w:hyperlink>
      <w:r>
        <w:t>–</w:t>
      </w:r>
      <w:hyperlink r:id="rId1921">
        <w:r>
          <w:rPr>
            <w:color w:val="0000EE"/>
            <w:u w:val="single"/>
          </w:rPr>
          <w:t xml:space="preserve">13 </w:t>
        </w:r>
      </w:hyperlink>
      <w:r>
        <w:t xml:space="preserve">; </w:t>
      </w:r>
      <w:hyperlink r:id="rId1922">
        <w:r>
          <w:rPr>
            <w:color w:val="0000EE"/>
            <w:u w:val="single"/>
          </w:rPr>
          <w:t>2S 21.12</w:t>
        </w:r>
      </w:hyperlink>
      <w:r>
        <w:t>–</w:t>
      </w:r>
      <w:hyperlink r:id="rId1922">
        <w:r>
          <w:rPr>
            <w:color w:val="0000EE"/>
            <w:u w:val="single"/>
          </w:rPr>
          <w:t xml:space="preserve">14 </w:t>
        </w:r>
      </w:hyperlink>
      <w:r>
        <w:t xml:space="preserve">; </w:t>
      </w:r>
      <w:hyperlink r:id="rId1923">
        <w:r>
          <w:rPr>
            <w:color w:val="0000EE"/>
            <w:u w:val="single"/>
          </w:rPr>
          <w:t>1Ch 10.8</w:t>
        </w:r>
      </w:hyperlink>
      <w:r>
        <w:t>–</w:t>
      </w:r>
      <w:hyperlink r:id="rId1923">
        <w:r>
          <w:rPr>
            <w:color w:val="0000EE"/>
            <w:u w:val="single"/>
          </w:rPr>
          <w:t>10</w:t>
        </w:r>
      </w:hyperlink>
      <w:r>
        <w:t>). Cependant, la ville a fait partie du territoire d'Israël avant et après cette période.</w:t>
      </w:r>
    </w:p>
    <w:p>
      <w:r/>
      <w:r>
        <w:t>Le Tell el-Husn est le site où se trouvait la ville biblique de Beth-Schan. Deux anciens textes égyptiens qui mentionnent son nom confirment cette identification. Le tell (ou monticule) mesure 64,9 mètres de hauteur et environ 804,5 mètres de circonférence à la base. Au temps de la conquête de Canaan par Israël, la région qui comprenait Beth-Schan faisait partie de la tribu d'Issacar. Ensuite, elle est passée sous contrôle de la tribu de Manassé (</w:t>
      </w:r>
      <w:hyperlink r:id="rId1924">
        <w:r>
          <w:rPr>
            <w:color w:val="0000EE"/>
            <w:u w:val="single"/>
          </w:rPr>
          <w:t>Jos 17.11</w:t>
        </w:r>
      </w:hyperlink>
      <w:r>
        <w:t>). Pendant le règne du roi Salomon, elle faisait partie du district de Baana (</w:t>
      </w:r>
      <w:hyperlink r:id="rId1925">
        <w:r>
          <w:rPr>
            <w:color w:val="0000EE"/>
            <w:u w:val="single"/>
          </w:rPr>
          <w:t>1R 4.12</w:t>
        </w:r>
      </w:hyperlink>
      <w:r>
        <w:t>).</w:t>
      </w:r>
    </w:p>
    <w:p>
      <w:r/>
      <w:r>
        <w:t>La ville a été détruite par Schischak (Sheshonq I</w:t>
      </w:r>
      <w:r>
        <w:rPr>
          <w:vertAlign w:val="superscript"/>
        </w:rPr>
        <w:t>er</w:t>
      </w:r>
      <w:r>
        <w:t>), pharaon d'Égypte au 10</w:t>
      </w:r>
      <w:r>
        <w:rPr>
          <w:vertAlign w:val="superscript"/>
        </w:rPr>
        <w:t>e</w:t>
      </w:r>
      <w:r>
        <w:t xml:space="preserve"> siècle av. J.‑C. Elle n'a plus d'importance pendant le reste de la période de l'Ancien Testament. Elle est ensuite occupée occasionnellement durant l'exil babylonien et la période perse post-exilique.</w:t>
      </w:r>
    </w:p>
    <w:p>
      <w:r/>
      <w:r>
        <w:t>À l'époque hellénistique, Beth-Schan est nommée Scythopolis car elle a été colonisée par des mercenaires scythes durant le règne du roi égyptien Ptolémée II. Des temples dédiés à Dionysos et Zeus (divinités grecques) y ont été construits. Au temps de la dynastie hasmonéenne, Beth-Schan est devenu un centre administratif important. La ville a prospéré, faisant partie de la Décapole, une ligue de villes commerciales gréco-romaines (</w:t>
      </w:r>
      <w:hyperlink r:id="rId1926">
        <w:r>
          <w:rPr>
            <w:color w:val="0000EE"/>
            <w:u w:val="single"/>
          </w:rPr>
          <w:t>Mt 4.25</w:t>
        </w:r>
      </w:hyperlink>
      <w:r>
        <w:t xml:space="preserve"> ; </w:t>
      </w:r>
      <w:hyperlink r:id="rId1927">
        <w:r>
          <w:rPr>
            <w:color w:val="0000EE"/>
            <w:u w:val="single"/>
          </w:rPr>
          <w:t>Mc 7.31</w:t>
        </w:r>
      </w:hyperlink>
      <w:r>
        <w:t>). C'était la seule de ces villes qui était située à l'ouest du Jourdain.</w:t>
      </w:r>
      <w:r/>
      <w:r/>
    </w:p>
    <w:p>
      <w:r/>
    </w:p>
    <w:p>
      <w:pPr>
        <w:pStyle w:val="Heading2"/>
      </w:pPr>
      <w:r>
        <w:t>Bethuel (Personne)</w:t>
      </w:r>
      <w:r/>
    </w:p>
    <w:p>
      <w:r/>
      <w:r>
        <w:t>Le plus jeune fils du frère d'Abraham, Nachor, et de sa femme, Milca. Bethuel était le neveu d'Abraham et le père de Rebecca (</w:t>
      </w:r>
      <w:hyperlink r:id="rId1928">
        <w:r>
          <w:rPr>
            <w:color w:val="0000EE"/>
            <w:u w:val="single"/>
          </w:rPr>
          <w:t>Gn 22.23</w:t>
        </w:r>
      </w:hyperlink>
      <w:r>
        <w:t>;</w:t>
      </w:r>
      <w:hyperlink r:id="rId1929">
        <w:r>
          <w:rPr>
            <w:color w:val="0000EE"/>
            <w:u w:val="single"/>
          </w:rPr>
          <w:t xml:space="preserve"> 24.15, 24</w:t>
        </w:r>
      </w:hyperlink>
      <w:r>
        <w:t>). Il est désigné comme un Araméen de Paddan-Aram (</w:t>
      </w:r>
      <w:hyperlink r:id="rId1930">
        <w:r>
          <w:rPr>
            <w:color w:val="0000EE"/>
            <w:u w:val="single"/>
          </w:rPr>
          <w:t>Gn 25.20</w:t>
        </w:r>
      </w:hyperlink>
      <w:r>
        <w:t xml:space="preserve">; </w:t>
      </w:r>
      <w:hyperlink r:id="rId1931">
        <w:r>
          <w:rPr>
            <w:color w:val="0000EE"/>
            <w:u w:val="single"/>
          </w:rPr>
          <w:t>28.5</w:t>
        </w:r>
      </w:hyperlink>
      <w:r>
        <w:t>).</w:t>
      </w:r>
      <w:r/>
      <w:r/>
    </w:p>
    <w:p>
      <w:r/>
    </w:p>
    <w:p>
      <w:pPr>
        <w:pStyle w:val="Heading2"/>
      </w:pPr>
      <w:r>
        <w:t>Bible (canon de la)</w:t>
      </w:r>
      <w:r/>
    </w:p>
    <w:p>
      <w:r/>
      <w:r>
        <w:t xml:space="preserve">Le canon de la Bible désigne les livres de la Bible juive et chrétienne qui sont considérés comme les Écritures et qui font donc autorité en matière de foi et de doctrine. Le terme tire son origine d'un mot hébreu et d'un mot grec qui tous les deux servent à désigner une tige à mesurer (p. ex. un roseau d'une longueur précise). Par extension, ce mot désigne un standard ou une règle à suivre. Le mot « canon » est utilisé au départ pour signifier une liste de livres à laquelle d'autres livres sont comparés et par lesquels ils sont mesurés ou évalués. </w:t>
      </w:r>
    </w:p>
    <w:p>
      <w:r/>
      <w:r>
        <w:t>Au 4</w:t>
      </w:r>
      <w:r>
        <w:t>ᵉ</w:t>
      </w:r>
      <w:r>
        <w:t xml:space="preserve"> siècle </w:t>
      </w:r>
      <w:r>
        <w:t>apr. J.‑C.</w:t>
      </w:r>
      <w:r>
        <w:t xml:space="preserve">, la liste des 39 livres de l'Ancien Testament (AT) considérés canoniques par les Juifs, ainsi que celle des 27 livres du Nouveau Testament (NT) considérés canoniques par l'Église, sont déjà établies (66 livres au total). Tout comme Platon, Aristote et Homère forment un canon de la littérature grecque classique, les livres du NT sont devenus le canon de la littérature chrétienne. </w:t>
      </w:r>
    </w:p>
    <w:p>
      <w:r/>
      <w:r>
        <w:t>Comment les Juifs ont déterminé quels livres faisaient partie de l'AT n'est pas documenté, mais il est clair que les auteurs d'un certain nombre de livres étaient considérés comme des porte-paroles de Dieu (p. ex. Moïse, David et les prophètes). Les critères de canonicité d'autres livres de l'AT ne sont plus connus, même s'il est clair qu'ils étaient considérés comme appartenant au canon. Les critères de sélection des livres du NT sont mieux connus. Selon les écrits de l'Église des premiers siècles, l'origine apostolique était un critère majeur. Ces livres et ceux de l'AT ont été collectés et préservés par les Églises locales, qui s'en servaient pour leurs cultes et comme standard de vie chrétienne. Le judaïsme, tout comme le christianisme généralement, tient que l'Esprit de Dieu a été actif d'une manière providentielle dans la production et la préservation de sa Parole.</w:t>
      </w:r>
    </w:p>
    <w:p>
      <w:r/>
      <w:r>
        <w:t xml:space="preserve">La formation du canon a été un processus, plutôt qu'un événement ponctuel. Le processus de finalisation du canon dans toutes les parties de l'Empire romain a duré plusieurs siècles. Des canons locaux ont été utilisés comme base de comparaison au départ et à partir de ceux-ci, un canon plus généralement accepté s'est constitué. Toutefois, aujourd'hui encore, il y a des différences entre les canons de certaines traditions. Par exemple, les Églises des régions qui faisaient auparavant partie de l'Empire romain oriental ont un canon du NT plus petit que celui qui a été accepté dans les régions qui faisaient auparavant partie de l'Empire occidental. </w:t>
      </w:r>
    </w:p>
    <w:p>
      <w:pPr>
        <w:pStyle w:val="Heading3"/>
      </w:pPr>
      <w:r>
        <w:t>Le canon de l'Ancien Testament</w:t>
      </w:r>
    </w:p>
    <w:p>
      <w:r/>
      <w:r>
        <w:t xml:space="preserve">Les Juifs ne parlent pas d'Ancien Testament. Ils appellent la Bible hébraïque le TANAKH. « TaNaKh » est un acronyme formé à partir des initiales de </w:t>
      </w:r>
      <w:r>
        <w:rPr>
          <w:i/>
        </w:rPr>
        <w:t>Torah</w:t>
      </w:r>
      <w:r>
        <w:t xml:space="preserve"> (Loi), </w:t>
      </w:r>
      <w:r>
        <w:rPr>
          <w:i/>
        </w:rPr>
        <w:t>Nevi’im</w:t>
      </w:r>
      <w:r>
        <w:t xml:space="preserve"> (Prophètes) et </w:t>
      </w:r>
      <w:r>
        <w:rPr>
          <w:i/>
        </w:rPr>
        <w:t>Kethuvim</w:t>
      </w:r>
      <w:r>
        <w:t xml:space="preserve"> (Écrits). Ce sont probablement ces trois groupement qui sont désignés dans </w:t>
      </w:r>
      <w:hyperlink r:id="rId1932">
        <w:r>
          <w:rPr>
            <w:color w:val="0000EE"/>
            <w:u w:val="single"/>
          </w:rPr>
          <w:t xml:space="preserve">Luc 24.44 : </w:t>
        </w:r>
      </w:hyperlink>
      <w:r>
        <w:t xml:space="preserve">« la Loi de Moïse, les Prophètes et les Psaumes ». (En effet, les Psaumes sont le premier livre des Écrits dans la Bible hébraïque.) </w:t>
      </w:r>
    </w:p>
    <w:p>
      <w:r/>
      <w:r>
        <w:t>Les chrétiens appellent les livres canoniques de l'Église apostolique le Nouveau Testament. Le mot « Testament » est utilisé ainsi dans le sens d'</w:t>
      </w:r>
      <w:r>
        <w:rPr>
          <w:i/>
        </w:rPr>
        <w:t>alliance</w:t>
      </w:r>
      <w:r>
        <w:t xml:space="preserve">. </w:t>
      </w:r>
      <w:r>
        <w:rPr>
          <w:i/>
        </w:rPr>
        <w:t>Ancien Testament</w:t>
      </w:r>
      <w:r>
        <w:t xml:space="preserve"> signifie « ancienne alliance » et </w:t>
      </w:r>
      <w:r>
        <w:rPr>
          <w:i/>
        </w:rPr>
        <w:t>Nouveau Testament</w:t>
      </w:r>
      <w:r>
        <w:t xml:space="preserve"> signifie « nouvelle alliance ». Les chrétiens du premier siècle considéraient la nouvelle alliance de Christ (</w:t>
      </w:r>
      <w:hyperlink r:id="rId1933">
        <w:r>
          <w:rPr>
            <w:color w:val="0000EE"/>
            <w:u w:val="single"/>
          </w:rPr>
          <w:t xml:space="preserve">Mt 26:28 </w:t>
        </w:r>
      </w:hyperlink>
      <w:r>
        <w:t xml:space="preserve">; </w:t>
      </w:r>
      <w:hyperlink r:id="rId1934">
        <w:r>
          <w:rPr>
            <w:color w:val="0000EE"/>
            <w:u w:val="single"/>
          </w:rPr>
          <w:t>1Co 11.25</w:t>
        </w:r>
      </w:hyperlink>
      <w:r>
        <w:t>) comme la continuation de celle qui avait auparavant été faite avec les patriarches (</w:t>
      </w:r>
      <w:hyperlink r:id="rId1935">
        <w:r>
          <w:rPr>
            <w:color w:val="0000EE"/>
            <w:u w:val="single"/>
          </w:rPr>
          <w:t>Ep 2.12</w:t>
        </w:r>
      </w:hyperlink>
      <w:r>
        <w:t>). Toutefois, elle est nouvelle parce qu'elle remplace l'alliance de Moïse (</w:t>
      </w:r>
      <w:hyperlink r:id="rId1936">
        <w:r>
          <w:rPr>
            <w:color w:val="0000EE"/>
            <w:u w:val="single"/>
          </w:rPr>
          <w:t>Jr 31.31–34</w:t>
        </w:r>
      </w:hyperlink>
      <w:r>
        <w:t>). Celle-ci est donc appelée « ancienne alliance » (</w:t>
      </w:r>
      <w:hyperlink r:id="rId1937">
        <w:r>
          <w:rPr>
            <w:color w:val="0000EE"/>
            <w:u w:val="single"/>
          </w:rPr>
          <w:t>Hé 8.7–13</w:t>
        </w:r>
      </w:hyperlink>
      <w:r>
        <w:t xml:space="preserve"> ; </w:t>
      </w:r>
      <w:hyperlink r:id="rId1938">
        <w:r>
          <w:rPr>
            <w:color w:val="0000EE"/>
            <w:u w:val="single"/>
          </w:rPr>
          <w:t>9.1, 15–22</w:t>
        </w:r>
      </w:hyperlink>
      <w:r>
        <w:t>) dans le NT et « Ancien Testament » dans les siècles suivants. Les termes « Ancien » et « Nouveau » ne sont pas utilisés dans les écrits des pères apostoliques des deux premiers siècles. Ils ne le sont pas non plus dans les écrits des apologistes du début jusqu'à la moitié du 2</w:t>
      </w:r>
      <w:r>
        <w:t>ᵉ</w:t>
      </w:r>
      <w:r>
        <w:t xml:space="preserve"> siècle. </w:t>
      </w:r>
    </w:p>
    <w:p>
      <w:r/>
      <w:r>
        <w:t>Les termes « Ancien Testament » et « Nouveau Testament » paraissent cependant dans la seconde moitié du 2</w:t>
      </w:r>
      <w:r>
        <w:t>ᵉ</w:t>
      </w:r>
      <w:r>
        <w:t xml:space="preserve"> siècle dans les écrits de Justin Martyr (</w:t>
      </w:r>
      <w:r>
        <w:rPr>
          <w:i/>
        </w:rPr>
        <w:t>Dialogues</w:t>
      </w:r>
      <w:r>
        <w:t xml:space="preserve"> 11.2), d'Irénée (</w:t>
      </w:r>
      <w:r>
        <w:rPr>
          <w:i/>
        </w:rPr>
        <w:t>Contre les Hérésies</w:t>
      </w:r>
      <w:r>
        <w:t xml:space="preserve"> 4.9.1) et de Clément d'Alexandrie (</w:t>
      </w:r>
      <w:r>
        <w:rPr>
          <w:i/>
        </w:rPr>
        <w:t>Stromates</w:t>
      </w:r>
      <w:r>
        <w:t xml:space="preserve"> 1.5). Chez ces auteurs, ces termes servent à décrire les alliances elles-mêmes plutôt que les livres de la Bible qui y correspondent, mais au fil du temps, ces termes en viennent à décrire ce qu'on appelle maintenant l'AT et le NT. </w:t>
      </w:r>
    </w:p>
    <w:p>
      <w:r/>
      <w:r>
        <w:t>Le terme « canon » n'est pas utilisé dans l'AT ou le NT pour désigner la Bible hébraïque. L'idée d'une collection de livres faisant autorité n'a pas été d'actualité pendant les mille ans durant lesquels les livres de l'AT ont été écrits. Seule la Torah était comprise comme ayant cette autorité en tant que parole de Dieu mise à l'écrit, à laquelle nul ne devait ajouter ou enlever (</w:t>
      </w:r>
      <w:hyperlink r:id="rId1939">
        <w:r>
          <w:rPr>
            <w:color w:val="0000EE"/>
            <w:u w:val="single"/>
          </w:rPr>
          <w:t>Dt 4.2</w:t>
        </w:r>
      </w:hyperlink>
      <w:r>
        <w:t xml:space="preserve">). Pendant un millénaire, c'est-à-dire la période de temps qui sépare Moïse de Malachie, il n'y a pas eu de liste terminée et complète de livres faisant autorité. La majorité des Israélites qui ont vécu durant la période de l'AT n'ont eu accès qu'a un nombre limité des 39 livres qui constituent maintenant la Bible hébraïque. </w:t>
      </w:r>
    </w:p>
    <w:p>
      <w:r/>
      <w:r>
        <w:t xml:space="preserve">Il est difficile de savoir avec certitude quand le canon a pris sa forme finale, c'est-à-dire quand les 39 livres de l'AT ont été reconnus comme faisant autorité et comme seuls à faire autorité parmi d'autres livres juifs. Des questions sur l'autorité religieuse ont été abordées par les rabbins de Jabneel (aussi appelée Yabneh, Yavnéel et plus tard, Jamnia) 20 ans après la chute de Jérusalem en 70 </w:t>
      </w:r>
      <w:r>
        <w:t>apr. J.‑C.</w:t>
      </w:r>
      <w:r>
        <w:t xml:space="preserve"> Toutefois, la première liste qui inclut presque tous les 39 livres de l'AT est celle qui est produite par Méliton de Sardes vers 170 </w:t>
      </w:r>
      <w:r>
        <w:t>apr. J.‑C.</w:t>
      </w:r>
      <w:r>
        <w:t xml:space="preserve"> Cette liste n'inclut aucun livre écrit après l'époque de Malachie (sauf si on est disposé à dater Daniel au 2ᵉ siècle </w:t>
      </w:r>
      <w:r>
        <w:t>av. J.‑C.</w:t>
      </w:r>
      <w:r>
        <w:t xml:space="preserve"> et à comprendre que la « sagesse » de Salomon, mentionnée par Méliton, correspond au livre apocryphe appelé « Sagesse de Salomon » en grec). </w:t>
      </w:r>
    </w:p>
    <w:p>
      <w:r/>
      <w:r>
        <w:t xml:space="preserve">Les Prophètes et les Écrits étaient considérés comme secondaires à la loi de Moïse. Ils sont eux-mêmes basés sur l'application et l'autorité de la loi. La composition et la compilation de ces livres se sont faites progressivement. Selon les écrits juifs anciens (la tradition rabbinique : Talmud babylonien, </w:t>
      </w:r>
      <w:r>
        <w:rPr>
          <w:i/>
        </w:rPr>
        <w:t>Baba Bathra</w:t>
      </w:r>
      <w:r>
        <w:t xml:space="preserve"> 14a ; voir aussi </w:t>
      </w:r>
      <w:r>
        <w:rPr>
          <w:i/>
        </w:rPr>
        <w:t>Document de Damas du Caire</w:t>
      </w:r>
      <w:r>
        <w:t xml:space="preserve"> 5.2), la loi était considérée si sacrée qu'elle était conservée </w:t>
      </w:r>
      <w:r>
        <w:rPr>
          <w:i/>
        </w:rPr>
        <w:t>dans l'arche de l'alliance</w:t>
      </w:r>
      <w:r>
        <w:t xml:space="preserve"> qui se trouvait dans le Saint des saints dans le tabernacle. </w:t>
      </w:r>
      <w:hyperlink r:id="rId1940">
        <w:r>
          <w:rPr>
            <w:color w:val="0000EE"/>
            <w:u w:val="single"/>
          </w:rPr>
          <w:t>Deutéronome 31.26</w:t>
        </w:r>
      </w:hyperlink>
      <w:r>
        <w:t xml:space="preserve"> avait cependant seulement commandé aux Lévites de mettre le livre de la loi </w:t>
      </w:r>
      <w:r>
        <w:rPr>
          <w:i/>
        </w:rPr>
        <w:t>à côté de l'arche</w:t>
      </w:r>
      <w:r>
        <w:t>. Pourtant, le fait qu'il s'agit de la seule partie de l'AT à propos de laquelle un tel commandement a été donné montre son importance fondamentale et particulière par rapport aux autres livres de l'AT.</w:t>
      </w:r>
    </w:p>
    <w:p>
      <w:r/>
      <w:r>
        <w:t xml:space="preserve">Même si la Bible hébraïque est couramment divisée en 39 livres aujourd'hui, la division la plus fréquente dans les sources juives anciennes était en 24 livres. Selon le Talmud, la littérature rabbinique, et probablement selon 4 Esdras également, l'AT était divisé comme suit : cinq livres de la Loi, huit livres des Prophètes, et onze livres des Écrits (appelés en grec, </w:t>
      </w:r>
      <w:r>
        <w:rPr>
          <w:i/>
        </w:rPr>
        <w:t>hagiographa</w:t>
      </w:r>
      <w:r>
        <w:t xml:space="preserve">). Cet arrangement en trois groupements se retrouve dans les trois premières éditions imprimées de la Bible hébraïque (Soncino, 1488 ; Naples, 1491–1493 ; Brescia, 1492–1494). </w:t>
      </w:r>
    </w:p>
    <w:p>
      <w:r/>
      <w:r>
        <w:t xml:space="preserve">La loi contenait le Pentateuque dans l'ordre qui nous est familier (Genèse à Deutéronome). Les huit Prophètes étaient Josué, Juges, Samuel (contenant 1 &amp; 2 Samuel), Rois (contenant 1 &amp; 2 Rois), Ésaïe, Jérémie, Ézéchiel, et les Douze petits prophètes. Les Douze petits prophètes étaient considérés un seul livre et apparaissaient dans le même ordre que dans les Bibles françaises modernes. Les onze livres des Écrits contenaient trois livres poétiques (Psaumes, Proverbes et Job), les Cinq rouleaux (Cantique des cantiques, Ruth, Lamentations, l'Ecclésiaste et Esther) et trois livres de récits historiques (Daniel, Esdras-Néhémie et 1 &amp; 2 Chroniques). Les Cinq rouleaux étaient lus lors de fêtes importantes et étaient disposés selon l'ordre calendaire de ces fêtes. Par exemple, le Cantique des cantiques est le premier des Cinq rouleaux, car il est lu lors de la première fête (la Pâque). </w:t>
      </w:r>
    </w:p>
    <w:p>
      <w:r/>
      <w:r>
        <w:t xml:space="preserve">En parallèle à l'arrangement du canon de la Bible hébraïque, certains ont tenté de diviser l'AT en 21 livres, plutôt qu'en 24. Le livre de Ruth était alors combiné avec Juges et le livre des Lamentations avec Jérémie. Flavius Josèphe est le premier à mentionner cette division, au premier siècle </w:t>
      </w:r>
      <w:r>
        <w:t>apr. J.‑C.</w:t>
      </w:r>
      <w:r>
        <w:t xml:space="preserve"> Cependant, il est clair qu'il a été influencé par la façon dont ces livres étaient arrangés dans la Septante (traduction grecque de l'Ancien Testament). Au début du 3</w:t>
      </w:r>
      <w:r>
        <w:t>ᵉ</w:t>
      </w:r>
      <w:r>
        <w:t xml:space="preserve"> siècle, Origène remarque que cet agencement correspond au nombre de lettres de l'alphabet hébreu, suivi ensuite par Athanase au 4</w:t>
      </w:r>
      <w:r>
        <w:t>ᵉ</w:t>
      </w:r>
      <w:r>
        <w:t xml:space="preserve"> siècle, ainsi que d'autres, y compris Jérôme. Suite à cela, certains en ont conclu que le nombre de livres dans la Bible hébraïque avait été divinement ordonné pour correspondre au nombre de lettres de l'alphabet hébreu ! Les Pères de l'Église ont ajouté leur soutien à cette « coïncidence », qu'il ont compris comme étant une providence. Cependant, tout ceci repose à l'origine sur l'arrangement du texte grec de l'AT et non pas sur la façon dont le texte original hébreu était divisé.</w:t>
      </w:r>
    </w:p>
    <w:p>
      <w:r/>
      <w:r>
        <w:t xml:space="preserve">Les plus anciens manuscrits qui contiennent tout l'AT en hébreu à avoir survécu correspondent au </w:t>
      </w:r>
      <w:r>
        <w:rPr>
          <w:b/>
        </w:rPr>
        <w:t>texte massorétique.</w:t>
      </w:r>
      <w:r>
        <w:t xml:space="preserve"> Ces manuscrits datent au plus tôt du 8</w:t>
      </w:r>
      <w:r>
        <w:t>ᵉ</w:t>
      </w:r>
      <w:r>
        <w:t xml:space="preserve"> siècle </w:t>
      </w:r>
      <w:r>
        <w:t>apr. J.‑C.</w:t>
      </w:r>
      <w:r>
        <w:t xml:space="preserve"> De plus, seuls des manuscrits de livres bibliques individuels ont été retrouvés parmi les manuscrits de la mer Morte. Les plus tardifs dateraient du premier siècle </w:t>
      </w:r>
      <w:r>
        <w:t>apr. J.‑C.</w:t>
      </w:r>
      <w:r>
        <w:t>, tandis que d'autres seraient aussi anciens que le 2</w:t>
      </w:r>
      <w:r>
        <w:t>ᵉ</w:t>
      </w:r>
      <w:r>
        <w:t xml:space="preserve"> siècle </w:t>
      </w:r>
      <w:r>
        <w:t>av. J.‑C.</w:t>
      </w:r>
      <w:r>
        <w:t xml:space="preserve"> </w:t>
      </w:r>
    </w:p>
    <w:p>
      <w:r/>
      <w:r>
        <w:t>Les scribes massorétiques n'ont apparemment établi aucune règle concernant l'arrangement des livres, car l'ordre des derniers prophètes et des Écrits n'est pas toujours le même dans les manuscrits hébreux les plus anciens. Ceci est aussi le cas dans les anciennes traductions grecques de l'hébreu. Il y a beaucoup de différences dans l'ordre des livres des trois plus anciens manuscrits : Codex Alexandrinus, Codex Vaticanus et Codex Sinaïticus. Les auteurs du christianisme des premiers siècles qui proposent une liste et un ordre des livres de l'AT qui ne correspondent pas aux trois divisions juives (Loi, Prophètes, Écrits) se basent tous sur l'ordre alexandrin (Codex Alexandrinus) de ces éditions grecques, plutôt que sur celui de la Bible hébraïque. Les Bibles protestantes modernes sont basées sur le contenu de la Bible hébraïque, mais suivent l'ordre des livres de la Vulgate latine. La Vulgate (latin) et la Septante (grec) contiennent toutes deux des livres apocryphes qui n'ont cependant jamais été reconnus comme Écritures par les Juifs. Le canon catholique inclut les livres apocryphes (considérés comme deutérocanoniques) sur la base du contenu de la Vulgate.</w:t>
      </w:r>
    </w:p>
    <w:p>
      <w:r/>
      <w:r>
        <w:t>Malgré les différences d'ordre entre les manuscrits, l'ordre alexandrin qui est reflété dans les manuscrits grecs regroupe globalement les livres selon leurs types : livres narratifs et historiques, livres poétiques et livres prophétiques (les livres apocryphes étant répartis selon ces catégories). La division hébraïque d'origine est complètement mise de côté.</w:t>
      </w:r>
    </w:p>
    <w:p>
      <w:r/>
      <w:r>
        <w:t>Les premières Bibles hébraïques divisaient le texte en petits paragraphes et en sections plus grandes, semblables à nos paragraphes. Ceux-ci étaient indiqués par des espaces laissés entre eux : un espace équivalent à l'espace que prendraient trois lettres entre les petites sections et un espace équivalent à l'espace que prendraient neuf lettres entre les plus grandes sections. Le nombre de sections n'est pas le même dans tous les manuscrits. Jésus faisait probablement allusion à une telle section quand il a parlé de ce qui est écrit dans la loi « à propos du buisson » (</w:t>
      </w:r>
      <w:hyperlink r:id="rId1941">
        <w:r>
          <w:rPr>
            <w:color w:val="0000EE"/>
            <w:u w:val="single"/>
          </w:rPr>
          <w:t>Mc 12.26</w:t>
        </w:r>
      </w:hyperlink>
      <w:r>
        <w:t>). Plus tard, les Juifs ont divisé le texte différemment pour pouvoir lire l'AT en entier en un an dans les synagogues babyloniennes (54 sections) ou en trois ans dans les synagogues palestiniennes (154 sections). Des marques dans des Bibles hébraïques anciennes servent à indiquer ces cycles de lecture.</w:t>
      </w:r>
    </w:p>
    <w:p>
      <w:r/>
      <w:r>
        <w:t>Le texte de la Vulgate est divisé en chapitres au 13</w:t>
      </w:r>
      <w:r>
        <w:t>ᵉ</w:t>
      </w:r>
      <w:r>
        <w:t xml:space="preserve"> siècle (vers 1228) par Étienne Langton, un cardinal anglais. Ce système est appliqué à la Bible hébraïque en 1518 (Édition de Bomberg). Toutefois, les chapitres ne sont numérotés qu'en 1571 dans le texte de Montanus, une Bible hébraïque avec traduction interlinéaire latine. La division du texte en versets est introduite pour la première fois dans la Grande Bible de Bomberg de 1547–1548. Tous les cinq versets, une désignation est insérée correspondant à un numéro hébreu : 1, 5, 10, et ainsi de suite. La division par versets est appliquée à la Vulgate latine en 1555 dans la petite édition in-octavo d'Estienne.</w:t>
      </w:r>
    </w:p>
    <w:p>
      <w:pPr>
        <w:pStyle w:val="Heading3"/>
      </w:pPr>
      <w:r>
        <w:t>Le canon du Nouveau Testament</w:t>
      </w:r>
    </w:p>
    <w:p>
      <w:r/>
      <w:r>
        <w:t>Les livres qui composent le NT ont été écrits sur une période d'un demi-siècle, plusieurs centaines d'années après l'achèvement de l'AT. Cependant, des critiques modernes contestent ces deux affirmations et avancent que les deux Testaments ont tous deux été composés sur de plus grandes durées. Le point de vue de l'auteur de l'article présent est cependant que la datation expliquée dans la première phrase de ce paragraphe est fidèle aux faits historiques et que ce point de vue est à la fois solidement établi et essentiel pour expliquer la canonisation de l'AT et du NT.</w:t>
      </w:r>
    </w:p>
    <w:p>
      <w:r/>
      <w:r>
        <w:t>D'un certain point de vue, nous avons une bien meilleure confirmation du canon de l'AT que de celui du NT. En effet, les paroles du Seigneur Jésus-Christ traitent la Bible hébraïque comme Parole de Dieu faisant autorité. Cependant, les paroles de Jésus-Christ sont aussi pertinentes à la formation du canon du NT, car il a promis que : « le consolateur, l’Esprit-Saint, que le Père enverra en mon nom, vous enseignera toutes choses, et vous rappellera tout ce que je vous ai dit » et qu'« il vous conduira dans toute la vérité » (</w:t>
      </w:r>
      <w:hyperlink r:id="rId1942">
        <w:r>
          <w:rPr>
            <w:color w:val="0000EE"/>
            <w:u w:val="single"/>
          </w:rPr>
          <w:t>Jn 14.26</w:t>
        </w:r>
      </w:hyperlink>
      <w:r>
        <w:t xml:space="preserve"> ; </w:t>
      </w:r>
      <w:hyperlink r:id="rId1943">
        <w:r>
          <w:rPr>
            <w:color w:val="0000EE"/>
            <w:u w:val="single"/>
          </w:rPr>
          <w:t>16.13</w:t>
        </w:r>
      </w:hyperlink>
      <w:r>
        <w:t>).</w:t>
      </w:r>
    </w:p>
    <w:p>
      <w:r/>
      <w:r>
        <w:t>De cette déclaration ressort le principe de base de la canonicité du NT, qui est identique à celui de la canonicité de l'AT, puisqu'il se résume au critère fondamental de l'inspiration divine. Que ce soient les prophètes de l'AT ou les apôtres et les compagnons que Dieu leur a donnés dans le NT, le fait qu'ils ont été reconnus comme porte-paroles de Dieu a été essentiel pour déterminer la canonicité de leurs écrits. Ces écrits sont pleinement Parole de Dieu seulement s'ils sont inspirés par lui. Il serait logique de supposer que de leur vivant, les apôtres ont joué un rôle non seulement comme auteurs des Écritures, mais aussi comme authentificateurs de ces écrits inspirés. Toutefois, comme ces livres étaient à l'origine destinés à des groupes de chrétiens dans des régions spécifiques (p. ex., 1 Corinthiens aux chrétiens de Corinthe), leur utilisation dans d'autres régions s'est nécessairement faite progressivement. Ceci peut expliquer pourquoi tous les livres du NT n'ont pas été reconnus tout de suite partout. Le fait qu'au bout d'un certain temps, ils aient tous été acceptés montre qu'après examen et recherches, chaque écrit a été reconnu comme authentique et inspiré.</w:t>
      </w:r>
    </w:p>
    <w:p>
      <w:r/>
      <w:r>
        <w:t>Tertullien, auteur chrétien remarquable des deux premières décennies du 3</w:t>
      </w:r>
      <w:r>
        <w:t>ᵉ</w:t>
      </w:r>
      <w:r>
        <w:t xml:space="preserve"> siècle, a été l'un des premiers à appeler les écrits inspirés chrétiens le « Nouveau Testament ». Ce titre apparaît déjà avant (vers 190 </w:t>
      </w:r>
      <w:r>
        <w:t>apr. J.‑C.</w:t>
      </w:r>
      <w:r>
        <w:t>), dans un traité contre le montanisme dont l'auteur est inconnu. Ce nom est important, car il indique que les Écritures du NT étaient considérées comme comparables à l'AT en termes d'inspiration et d'autorité.</w:t>
      </w:r>
    </w:p>
    <w:p>
      <w:r/>
      <w:r>
        <w:t>D'après les informations disponibles, le processus qui a conduit à la reconnaissance publique complète et formelle du canon définitif des 27 livres du NT a duré jusqu'au 4</w:t>
      </w:r>
      <w:r>
        <w:t>ᵉ</w:t>
      </w:r>
      <w:r>
        <w:t xml:space="preserve"> siècle de notre ère. Cela ne signifie pas nécessairement que ces livres n'ont pas été reconnus comme inspirés auparavant, mais que le besoin de définir officiellement le canon du NT est devenu plus pressant plus tard.</w:t>
      </w:r>
    </w:p>
    <w:p>
      <w:r/>
      <w:r>
        <w:t xml:space="preserve">Même si la production des livres du NT a pris bien moins de temps que celle des de ceux de l'AT, ils ont été beaucoup plus dispersés géographiquement parlant. Ce seul fait suffit à expliquer l'absence de reconnaissance spontanée ou simultanée de tous les livres du canon du NT. La séparation géographique des divers destinataires des livres du NT présuppose qu'il a fallu du temps pour qu'ils circulent partout et qu'ils y soient authentifiés en tant que livres inspirés. </w:t>
      </w:r>
    </w:p>
    <w:p>
      <w:r/>
      <w:r>
        <w:t xml:space="preserve">Pour comprendre le processus de canonisation des livres du NT, il faut examiner les faits à notre disposition. Cela nous permettra d'analyser </w:t>
      </w:r>
      <w:r>
        <w:rPr>
          <w:i/>
        </w:rPr>
        <w:t>comment</w:t>
      </w:r>
      <w:r>
        <w:t xml:space="preserve"> et </w:t>
      </w:r>
      <w:r>
        <w:rPr>
          <w:i/>
        </w:rPr>
        <w:t>pourquoi</w:t>
      </w:r>
      <w:r>
        <w:t xml:space="preserve"> les premiers chrétiens ont choisi les 27 livres de notre NT.</w:t>
      </w:r>
    </w:p>
    <w:p>
      <w:r/>
      <w:r>
        <w:t>Ce processus historique a été graduel et continu. Pour mieux le cerner, il convient de subdiviser la période de presque trois siècles et demi en question en périodes plus courtes. Certains identifient trois grandes étapes menant vers la canonisation. Toutefois, ceci indiquerait l'existence d'étapes faciles à distinguer en cours de route, ce qui ne peut être justifié. D'autres préfèrent simplement identifier la longue liste de noms de personnes et de documents impliqués, mais cela rend la perception de l'évolution du processus difficile. L'article présent divise le processus en cinq périodes de façon relativement arbitraire, tout en reconnaissant que la diffusion des livres inspirés et le développement du consensus à leur sujet se sont poursuivis sans interruption. Ces périodes sont :</w:t>
      </w:r>
    </w:p>
    <w:p>
      <w:r/>
      <w:r>
        <w:t>1. Le premier siècle</w:t>
      </w:r>
    </w:p>
    <w:p>
      <w:r/>
      <w:r>
        <w:t>2. La première moitié du 2</w:t>
      </w:r>
      <w:r>
        <w:rPr>
          <w:vertAlign w:val="superscript"/>
        </w:rPr>
        <w:t>e</w:t>
      </w:r>
      <w:r>
        <w:t xml:space="preserve"> siècle</w:t>
      </w:r>
    </w:p>
    <w:p>
      <w:r/>
      <w:r>
        <w:t>3. La seconde moitié du 2</w:t>
      </w:r>
      <w:r>
        <w:rPr>
          <w:vertAlign w:val="superscript"/>
        </w:rPr>
        <w:t>e</w:t>
      </w:r>
      <w:r>
        <w:t xml:space="preserve"> siècle</w:t>
      </w:r>
    </w:p>
    <w:p>
      <w:r/>
      <w:r>
        <w:t>4. Le 3</w:t>
      </w:r>
      <w:r>
        <w:t>ᵉ</w:t>
      </w:r>
      <w:r>
        <w:t xml:space="preserve"> siècle</w:t>
      </w:r>
    </w:p>
    <w:p>
      <w:r/>
      <w:r>
        <w:t>5. Le 4</w:t>
      </w:r>
      <w:r>
        <w:t>ᵉ</w:t>
      </w:r>
      <w:r>
        <w:t xml:space="preserve"> siècle</w:t>
      </w:r>
    </w:p>
    <w:p>
      <w:r/>
      <w:r>
        <w:t xml:space="preserve">Même s'il ne s'agit pas d'étapes distinctes ou consécutives, il est utile de remarquer les grandes tendances observables dans chacune des périodes identifiées. </w:t>
      </w:r>
    </w:p>
    <w:p>
      <w:pPr>
        <w:pStyle w:val="ListBullet"/>
        <w:spacing w:line="240" w:lineRule="auto"/>
        <w:ind w:left="720"/>
      </w:pPr>
      <w:r/>
      <w:r>
        <w:t xml:space="preserve">Dans la première période (au premier siècle), les livres du NT ont bien sûr été écrits. Ils ont également commencé à être copiés et diffusés parmi les Églises. </w:t>
      </w:r>
    </w:p>
    <w:p>
      <w:pPr>
        <w:pStyle w:val="ListBullet"/>
        <w:spacing w:line="240" w:lineRule="auto"/>
        <w:ind w:left="720"/>
      </w:pPr>
      <w:r/>
      <w:r>
        <w:t>Dans la deuxième période (la première moitié du 2</w:t>
      </w:r>
      <w:r>
        <w:rPr>
          <w:vertAlign w:val="superscript"/>
        </w:rPr>
        <w:t>e</w:t>
      </w:r>
      <w:r>
        <w:t xml:space="preserve"> siècle), ils sont devenus plus connus et ont été reconnus pour leur contenu. Ils ont commencé à être cités comme faisant autorité. </w:t>
      </w:r>
    </w:p>
    <w:p>
      <w:pPr>
        <w:pStyle w:val="ListBullet"/>
        <w:spacing w:line="240" w:lineRule="auto"/>
        <w:ind w:left="720"/>
      </w:pPr>
      <w:r/>
      <w:r>
        <w:t>À la fin de la troisième période (la seconde moitié du 2</w:t>
      </w:r>
      <w:r>
        <w:rPr>
          <w:vertAlign w:val="superscript"/>
        </w:rPr>
        <w:t>e</w:t>
      </w:r>
      <w:r>
        <w:t xml:space="preserve"> siècle), ils ont été reconnus aux côtés de l'AT en tant qu'« Écritures » et ont commencé à être traduits dans des langues régionales et à faire l'objet de commentaires. </w:t>
      </w:r>
    </w:p>
    <w:p>
      <w:pPr>
        <w:pStyle w:val="ListBullet"/>
        <w:spacing w:line="240" w:lineRule="auto"/>
        <w:ind w:left="720"/>
      </w:pPr>
      <w:r/>
      <w:r>
        <w:t>Au cours du 3</w:t>
      </w:r>
      <w:r>
        <w:t>ᵉ</w:t>
      </w:r>
      <w:r>
        <w:t xml:space="preserve"> siècle </w:t>
      </w:r>
      <w:r>
        <w:t>apr. J.‑C.</w:t>
      </w:r>
      <w:r>
        <w:t xml:space="preserve">, notre quatrième période, a débuté un effort de regroupement de ces livres pour constituer un « Nouveau Testament », accompagné d'un processus de tri pour les différencier des autres livres chrétiens sans autorité. </w:t>
      </w:r>
    </w:p>
    <w:p>
      <w:pPr>
        <w:pStyle w:val="ListBullet"/>
        <w:spacing w:line="240" w:lineRule="auto"/>
        <w:ind w:left="720"/>
      </w:pPr>
      <w:r/>
      <w:r>
        <w:t>La cinquième et dernière période (4</w:t>
      </w:r>
      <w:r>
        <w:rPr>
          <w:vertAlign w:val="superscript"/>
        </w:rPr>
        <w:t>e</w:t>
      </w:r>
      <w:r>
        <w:t xml:space="preserve"> siècle) voit les Pères de l'Église de l'époque déclarer que des conclusions concernant le canon ont été atteintes, indiquant une acceptation plus généralisée et officielle. Le contenu du canon a été établi et celui-ci est désormais considéré définitif. </w:t>
      </w:r>
    </w:p>
    <w:p>
      <w:r/>
      <w:r>
        <w:t>Ce qui suit décrit plus en détail les forces et les individus ayant produit les sources écrites témoignant de ce processus remarquable par lequel, par la providence de Dieu, le NT est passé à la postérité.</w:t>
      </w:r>
    </w:p>
    <w:p>
      <w:pPr>
        <w:pStyle w:val="Heading4"/>
      </w:pPr>
      <w:r>
        <w:t>Première période : le premier siècle</w:t>
      </w:r>
    </w:p>
    <w:p>
      <w:r/>
      <w:r>
        <w:t>Le premier élément qui a contribué à la reconnaissance de l'autorité des écrits canoniques du NT provient du contenu de ces livres eux-mêmes. En effet, les épîtres apostoliques exhortent les destinataires à les lire publiquement. À la fin de sa première épître aux Thessaloniciens (peut-être le premier des livres du NT à avoir été écrit), Paul dit : « je vous en conjure par le Seigneur, que cette lettre soit lue à tous les frères » (</w:t>
      </w:r>
      <w:hyperlink r:id="rId1944">
        <w:r>
          <w:rPr>
            <w:color w:val="0000EE"/>
            <w:u w:val="single"/>
          </w:rPr>
          <w:t>1Th 5.27</w:t>
        </w:r>
      </w:hyperlink>
      <w:r>
        <w:t>). Plus tôt dans cette même lettre, Paul loue les Thessaloniciens comme ayant accepté la parole qu'il leur avait annoncée comme « la parole de Dieu » (</w:t>
      </w:r>
      <w:hyperlink r:id="rId1945">
        <w:r>
          <w:rPr>
            <w:color w:val="0000EE"/>
            <w:u w:val="single"/>
          </w:rPr>
          <w:t>2.13</w:t>
        </w:r>
      </w:hyperlink>
      <w:r>
        <w:t xml:space="preserve">). Il parle de façon similaire dans </w:t>
      </w:r>
      <w:hyperlink r:id="rId1946">
        <w:r>
          <w:rPr>
            <w:color w:val="0000EE"/>
            <w:u w:val="single"/>
          </w:rPr>
          <w:t>1 Corinthiens 14.37</w:t>
        </w:r>
      </w:hyperlink>
      <w:r>
        <w:t xml:space="preserve">, insistant pour que ce qu'il a écrit soit reconnu comme un commandement du Seigneur lui-même (voir aussi </w:t>
      </w:r>
      <w:hyperlink r:id="rId1947">
        <w:r>
          <w:rPr>
            <w:color w:val="0000EE"/>
            <w:u w:val="single"/>
          </w:rPr>
          <w:t>Col 4.16</w:t>
        </w:r>
      </w:hyperlink>
      <w:r>
        <w:t xml:space="preserve"> ; </w:t>
      </w:r>
      <w:hyperlink r:id="rId1948">
        <w:r>
          <w:rPr>
            <w:color w:val="0000EE"/>
            <w:u w:val="single"/>
          </w:rPr>
          <w:t>Ap 1.3</w:t>
        </w:r>
      </w:hyperlink>
      <w:r>
        <w:t xml:space="preserve">). </w:t>
      </w:r>
      <w:hyperlink r:id="rId1949">
        <w:r>
          <w:rPr>
            <w:color w:val="0000EE"/>
            <w:u w:val="single"/>
          </w:rPr>
          <w:t>2 Pierre 3.15–16</w:t>
        </w:r>
      </w:hyperlink>
      <w:r>
        <w:t xml:space="preserve"> compare les lettres de Paul aux « autres Écritures ». Puisque 2 Pierre est une lettre générale, cela indique que les lettres de Paul étaient connues dans une zone géographique large. Dans </w:t>
      </w:r>
      <w:hyperlink r:id="rId1950">
        <w:r>
          <w:rPr>
            <w:color w:val="0000EE"/>
            <w:u w:val="single"/>
          </w:rPr>
          <w:t>1 Timothée 5.18</w:t>
        </w:r>
      </w:hyperlink>
      <w:r>
        <w:t>, le texte que Paul décrit comme ce que disent « les Écritures » combine une citation de l'AT (</w:t>
      </w:r>
      <w:hyperlink r:id="rId1951">
        <w:r>
          <w:rPr>
            <w:color w:val="0000EE"/>
            <w:u w:val="single"/>
          </w:rPr>
          <w:t>Dt 25.4</w:t>
        </w:r>
      </w:hyperlink>
      <w:r>
        <w:t>) avec une citation d'un Évangile (</w:t>
      </w:r>
      <w:hyperlink r:id="rId1952">
        <w:r>
          <w:rPr>
            <w:color w:val="0000EE"/>
            <w:u w:val="single"/>
          </w:rPr>
          <w:t>Lc 10.7</w:t>
        </w:r>
      </w:hyperlink>
      <w:r>
        <w:t>). Cela signifie que l'Évangile du NT était déjà considéré tout autant Écriture que le Deutéronome de l'AT.</w:t>
      </w:r>
    </w:p>
    <w:p>
      <w:r/>
      <w:r>
        <w:t xml:space="preserve">En 95 </w:t>
      </w:r>
      <w:r>
        <w:t>apr. J.‑C.</w:t>
      </w:r>
      <w:r>
        <w:t>, Clément de Rome écrit aux chrétiens de Corinthe et paraphrase des parties des Évangiles de Matthieu et de Luc. Il semble avoir été fortement influencé par l'Épître aux Hébreux, et connaissait à l'évidence les épîtres de Paul aux Romains et aux Corinthiens. Il fait aussi des allusions à Éphésiens, 1 Timothée, Tite et 1 Pierre.</w:t>
      </w:r>
    </w:p>
    <w:p>
      <w:pPr>
        <w:pStyle w:val="Heading4"/>
      </w:pPr>
      <w:r>
        <w:t>Deuxième période : première moitié du 2</w:t>
      </w:r>
      <w:r>
        <w:rPr>
          <w:vertAlign w:val="superscript"/>
        </w:rPr>
        <w:t>e</w:t>
      </w:r>
      <w:r>
        <w:t xml:space="preserve"> siècle</w:t>
      </w:r>
    </w:p>
    <w:p>
      <w:r/>
      <w:r>
        <w:t>L'un des plus anciens manuscrits du NT est un fragment de l'Évangile de Jean provenant d'Égypte, le papyrus Rylands. Des éléments indiquent qu'en l'espace d'environ 30 ans après la mort de l'apôtre Jean, tous les Évangiles et toutes les lettres pauliniennes étaient connus et utilisés dans tous les centres d'influence où des découvertes pertinentes ont été faites. Il est vrai qu'il existait des doutes sur l'autorité scripturaire de certaines des plus petites épîtres. Ces doutes ont perduré à certains endroits pendant près de 50 ans, mais cela était dû uniquement à une incertitude concernant l'identité de leurs auteurs dans ces lieux en particulier. Cela démontre que l'acceptation de ces livres comme inspirés n'a pas été imposée par les actions de conciles, mais s'est produite assez spontanément de la part de ceux qui ont pu confirmer qui en étaient les auteurs. Dans les lieux où les Églises étaient incertaines de l'identité des auteurs ou de l'approbation apostolique de certains livres, il a fallu plus de temps pour qu'ils soient reconnus.</w:t>
      </w:r>
    </w:p>
    <w:p>
      <w:r/>
      <w:r>
        <w:t>Les trois premiers Pères distingués de l'Église (Clément, Polycarpe et Ignace) traitaient la majeure partie du contenu du NT comme allant de soi, ce qui est révélateur. Les Écritures authentifiées ont été acceptées comme faisant autorité, sans débat. Dans les écrits de ces hommes, seuls l'Évangile de Marc (dont le contenu se trouve aussi presque entièrement dans Matthieu), 2 Pierre, 2 &amp; 3 Jean et Jude ne sont pas clairement attestés.</w:t>
      </w:r>
    </w:p>
    <w:p>
      <w:r/>
      <w:r>
        <w:t xml:space="preserve">Les épîtres d'Ignace (vers 115 </w:t>
      </w:r>
      <w:r>
        <w:t>apr. J.‑C.</w:t>
      </w:r>
      <w:r>
        <w:t>) correspondent à plusieurs endroits aux Évangiles et semblent utiliser des tournures qui proviennent des lettres de Paul. La Didachè (ou Enseignement des douze Apôtres), qui est peut-être encore plus ancienne, fait mention d'un Évangile écrit. Le fait le plus significatif est que Clément, Barnabé et Ignace font tous une distinction entre leurs propres écrits et les écrits apostoliques inspirés et faisant autorité.</w:t>
      </w:r>
    </w:p>
    <w:p>
      <w:r/>
      <w:r>
        <w:t xml:space="preserve">L'épître de Barnabé (vers 130 </w:t>
      </w:r>
      <w:r>
        <w:t>apr. J.‑C.</w:t>
      </w:r>
      <w:r>
        <w:t>) documente la première utilisation de la formule « il est écrit » (4.14) pour mentionner le contenu d'un livre du NT (</w:t>
      </w:r>
      <w:hyperlink r:id="rId1953">
        <w:r>
          <w:rPr>
            <w:color w:val="0000EE"/>
            <w:u w:val="single"/>
          </w:rPr>
          <w:t>Mt 22.14</w:t>
        </w:r>
      </w:hyperlink>
      <w:r>
        <w:t xml:space="preserve">). Avant lui, Polycarpe, qui avait connu personnellement des témoins oculaires du ministère de Jésus, avait déjà utilisé une citation qui combinait un texte de l'AT et un texte du NT. En effet, dans sa propre Épître aux Philippiens, Polycarpe cite l'apôtre Paul qui, dans </w:t>
      </w:r>
      <w:hyperlink r:id="rId1954">
        <w:r>
          <w:rPr>
            <w:color w:val="0000EE"/>
            <w:u w:val="single"/>
          </w:rPr>
          <w:t>Éphésiens 4.26</w:t>
        </w:r>
      </w:hyperlink>
      <w:r>
        <w:t xml:space="preserve">, cite le </w:t>
      </w:r>
      <w:hyperlink r:id="rId1955">
        <w:r>
          <w:rPr>
            <w:color w:val="0000EE"/>
            <w:u w:val="single"/>
          </w:rPr>
          <w:t>Psaume 4.5</w:t>
        </w:r>
      </w:hyperlink>
      <w:r>
        <w:t xml:space="preserve"> et y ajoute. Polycarpe cite </w:t>
      </w:r>
      <w:r>
        <w:rPr>
          <w:i/>
        </w:rPr>
        <w:t>le tout</w:t>
      </w:r>
      <w:r>
        <w:t xml:space="preserve"> comme un rappel de « ces mots de l’Écriture » (12.4). Plus tard, Papias, évêque d'Hiérapolis vers 130–140 apr. J.‑C. (et lui-même cité par l'historien Eusèbe de Césarée), mentionne les Évangiles de Matthieu et de Marc. Il dit les utiliser comme la base d'enseignements et les reconnaît comme faisant autorité. De plus, vers 140 </w:t>
      </w:r>
      <w:r>
        <w:t>apr. J.‑C.</w:t>
      </w:r>
      <w:r>
        <w:t xml:space="preserve">, l'évangile de Vérité (une œuvre à orientation gnostique probablement rédigée par Valentin de Phrébon) apporte un témoignage historique important. En effet, Valentin y cite des livres canoniques du NT et les traite comme faisant autorité. Il cite à partir des Évangiles, des Actes des apôtres, de lettres de Paul, de l'Épître aux Hébreux et de l'Apocalypse. Il est raisonnable d'en conclure qu'au moment où il écrit, il existe à Rome une compilation de livres du NT très proche de la nôtre. </w:t>
      </w:r>
    </w:p>
    <w:p>
      <w:r/>
      <w:r>
        <w:t xml:space="preserve">Vers 140 apr. J.‑C., l'hérétique Marcion publie sa propre liste de livres inspirés. Cela a pour effet d'accélérer les efforts de l'Église pour clarifier une liste canonique de livres inspirés. Marcion avait rejeté tout l'AT. Sa liste n'incluait que l'Évangile de Luc (dont il avait éliminé les chap. </w:t>
      </w:r>
      <w:hyperlink r:id="rId1956">
        <w:r>
          <w:rPr>
            <w:color w:val="0000EE"/>
            <w:u w:val="single"/>
          </w:rPr>
          <w:t>1</w:t>
        </w:r>
      </w:hyperlink>
      <w:r>
        <w:t xml:space="preserve"> et </w:t>
      </w:r>
      <w:hyperlink r:id="rId1957">
        <w:r>
          <w:rPr>
            <w:color w:val="0000EE"/>
            <w:u w:val="single"/>
          </w:rPr>
          <w:t>2</w:t>
        </w:r>
      </w:hyperlink>
      <w:r>
        <w:t xml:space="preserve">, les jugeant trop « juifs ») et les lettres de Paul (à l'exception des épîtres pastorales). Fait intéressant à la lumière de </w:t>
      </w:r>
      <w:hyperlink r:id="rId1947">
        <w:r>
          <w:rPr>
            <w:color w:val="0000EE"/>
            <w:u w:val="single"/>
          </w:rPr>
          <w:t>Colossiens 4.16</w:t>
        </w:r>
      </w:hyperlink>
      <w:r>
        <w:t>, sa liste semble appeler l'épître aux Éphésiens par le nom d'</w:t>
      </w:r>
      <w:r>
        <w:rPr>
          <w:i/>
        </w:rPr>
        <w:t>épître aux Laodicéens</w:t>
      </w:r>
      <w:r>
        <w:t xml:space="preserve">. </w:t>
      </w:r>
    </w:p>
    <w:p>
      <w:r/>
      <w:r>
        <w:t>Vers la fin de cette période, Justin Martyr, décrivant les cultes de l'Église primitive, met les écrits apostoliques au même niveau que ceux des prophètes de l'AT. Il affirme que la voix qui a parlé à travers les apôtres de Christ dans le NT est la même que celle qui a parlé à travers les prophètes de l'AT et que celle qu'Abraham a entendue et à laquelle il a répondu avec foi et obéissance : la voix de Dieu. Justin introduit aussi des citations du NT par « il est écrit ».</w:t>
      </w:r>
    </w:p>
    <w:p>
      <w:pPr>
        <w:pStyle w:val="Heading4"/>
      </w:pPr>
      <w:r>
        <w:t>Troisième période : la seconde moitié du 2</w:t>
      </w:r>
      <w:r>
        <w:t>ᵉ</w:t>
      </w:r>
      <w:r>
        <w:t xml:space="preserve"> siècle</w:t>
      </w:r>
    </w:p>
    <w:p>
      <w:r/>
      <w:r>
        <w:t>Irénée a eu le privilège de commencer sa formation chrétienne sous la direction de Polycarpe, un disciple des apôtres. Ensuite, en tant que presbytre à Lyon, il a été au contact de l'évêque Pothin, qui lui-même a aussi été au contact de chrétiens de la première génération. Irénée cite presque tous les livres du NT comme faisant autorité. Selon lui, les apôtres avaient été revêtus de la vertu de l’Esprit-Saint. Ils avaient, dit-il, « reçu la perfection de la connaissance… tous et chacun possédaient également l’Évangile de Dieu » (</w:t>
      </w:r>
      <w:r>
        <w:rPr>
          <w:i/>
        </w:rPr>
        <w:t>Contre les hérésies</w:t>
      </w:r>
      <w:r>
        <w:t xml:space="preserve"> 3.1.1). Irénée mentionne les Évangiles et Actes, toutes les lettres de Paul (sauf Philémon), 1 Pierre, 1 Jean et l'Apocalypse.</w:t>
      </w:r>
    </w:p>
    <w:p>
      <w:r/>
      <w:r>
        <w:t xml:space="preserve">Vers 170 </w:t>
      </w:r>
      <w:r>
        <w:t>apr. J.‑C.</w:t>
      </w:r>
      <w:r>
        <w:t xml:space="preserve">, Tatien, élève de Justin Martyr, publie son </w:t>
      </w:r>
      <w:r>
        <w:rPr>
          <w:i/>
        </w:rPr>
        <w:t xml:space="preserve">Diatessaron, </w:t>
      </w:r>
      <w:r>
        <w:t xml:space="preserve">une harmonie des quatre Évangiles, montrant qu'ils étaient considérés à pied d'égalité dans l'Église. D'autres « Évangiles » circulaient à cette époque, mais Tatien ne reconnaît que ces quatre. Le </w:t>
      </w:r>
      <w:r>
        <w:rPr>
          <w:i/>
        </w:rPr>
        <w:t>canon de Muratori</w:t>
      </w:r>
      <w:r>
        <w:t xml:space="preserve"> date également d'à peu près 170 </w:t>
      </w:r>
      <w:r>
        <w:t>apr. J.‑C.</w:t>
      </w:r>
      <w:r>
        <w:t xml:space="preserve"> Une copie de ce document datant du 8</w:t>
      </w:r>
      <w:r>
        <w:t>ᵉ</w:t>
      </w:r>
      <w:r>
        <w:t xml:space="preserve"> siècle est découverte et publiée en 1740 par le bibliothécaire L. A. Muratori, d'où son appellation. Le manuscrit est mutilé au début et à la fin, mais le texte restant montre clairement que Matthieu et Marc étaient inclus dans la partie manquante. Le fragment qui a survécu commence avec Luc et Jean, cite les Actes, les 13 lettres pauliniennes, 1 et 2 Jean, Jude et l'Apocalypse. Ensuite vient la déclaration « Il faut ajouter l’Apocalypse de Jean et une de Pierre, mais celle-ci, à vrai dire, certains des nôtres ne veulent pas qu’elle soit lue dans l’Église ». La liste continue en nommant des personnalités hérétiques et leurs écrits, qui ont été rejetés.</w:t>
      </w:r>
    </w:p>
    <w:p>
      <w:r/>
      <w:r>
        <w:t>Des traductions de livres du NT dans d'autres langues que le grec existaient désormais. Les traductions syriaques et les vieilles versions italiques témoignent aussi à cette période des livres qui étaient reconnus aux extrémités orientales et occidentales de l'Église. Le canon du NT qui y est représenté n'ajoute aucun livre et n'en omet qu'un seul : 2 Pierre.</w:t>
      </w:r>
    </w:p>
    <w:p>
      <w:pPr>
        <w:pStyle w:val="Heading4"/>
      </w:pPr>
      <w:r>
        <w:t>Quatrième période : le 3</w:t>
      </w:r>
      <w:r>
        <w:t>ᵉ</w:t>
      </w:r>
      <w:r>
        <w:t xml:space="preserve"> siècle</w:t>
      </w:r>
    </w:p>
    <w:p>
      <w:r/>
      <w:r>
        <w:t>Origène (185–254 apr. J.‑C.) est le chrétien le plus célèbre de l'histoire de l'Église au 3</w:t>
      </w:r>
      <w:r>
        <w:t>ᵉ</w:t>
      </w:r>
      <w:r>
        <w:t xml:space="preserve"> siècle. C'est un érudit et un exégète phénoménal. Il écrit des études critiques du texte du NT en parallèle à son travail sur l'</w:t>
      </w:r>
      <w:r>
        <w:rPr>
          <w:i/>
        </w:rPr>
        <w:t>Hexaples</w:t>
      </w:r>
      <w:r>
        <w:t>, une Bible polyglotte qui réunit six versions différentes. Il est également auteur de commentaires et d'homélies sur la plupart des livres du NT et met en avant leur inspiration divine.</w:t>
      </w:r>
    </w:p>
    <w:p>
      <w:r/>
      <w:r>
        <w:t>Denys d'Alexandrie, élève d'Origène, explique que l'Église occidentale a reconnu l'Apocalypse dès le début, mais que cela n'a pas été le cas partout dans l'Église orientale. Cela a été l'inverse en ce qui concerne l'épître aux Hébreux, objet de plus de débats à l'ouest qu'à l'est. Les autres livres sur lesquels il y a eu débat sont ceux qui sont placés en dernier dans notre NT (Hébreux à Apocalypse). Parmi les épîtres générales (aussi appelées épîtres catholiques), Denys considérait Jacques ainsi que 1, 2 et 3 Jean canoniques, mais pas 2 Pierre, ni Jude. Il y avait donc à la fin du 3</w:t>
      </w:r>
      <w:r>
        <w:t>ᵉ</w:t>
      </w:r>
      <w:r>
        <w:t xml:space="preserve"> siècle le même type d'incertitude concernant certains livres qu'au début.</w:t>
      </w:r>
    </w:p>
    <w:p>
      <w:pPr>
        <w:pStyle w:val="Heading4"/>
      </w:pPr>
      <w:r>
        <w:t>Cinquième période : le 4</w:t>
      </w:r>
      <w:r>
        <w:t>ᵉ</w:t>
      </w:r>
      <w:r>
        <w:t xml:space="preserve"> siècle</w:t>
      </w:r>
    </w:p>
    <w:p>
      <w:r/>
      <w:r>
        <w:t xml:space="preserve">Relativement tôt dans cette période, une plus grande clarté se dégage concernant la canonicité des livres du NT. Eusèbe (270–340 </w:t>
      </w:r>
      <w:r>
        <w:t>apr. J.‑C.</w:t>
      </w:r>
      <w:r>
        <w:t>, évêque de Césarée avant 315 apr. J.‑C.), le grand historien de l'Église, présente où en est le canon au début du 4</w:t>
      </w:r>
      <w:r>
        <w:t>ᵉ</w:t>
      </w:r>
      <w:r>
        <w:t xml:space="preserve"> siècle dans son </w:t>
      </w:r>
      <w:r>
        <w:rPr>
          <w:i/>
        </w:rPr>
        <w:t>Histoire ecclésiastique</w:t>
      </w:r>
      <w:r>
        <w:t xml:space="preserve"> (3.3–25). Il en donne une description claire : (1) Les quatre Évangiles, Actes, les lettres de Paul (y compris Hébreux, même s'il y avait débat sur l'identité de son auteur), 1 Pierre, 1 Jean et l'Apocalypse sont universellement reconnus. (2) La majorité, dont Eusèbe, reconnaissent aussi Jacques, 2 Pierre (le livre le plus contesté), 2 et 3 Jean, ainsi que Jude, mais certains ne reconnaissent pas ces livres. (3) Les Actes de Paul, la Didachè et le Pasteur d'Hermas sont considérés comme des livres apocryphes. D'autres livres sont considérés comme hérétiques et absurdes.</w:t>
      </w:r>
    </w:p>
    <w:p>
      <w:r/>
      <w:r>
        <w:t>C'est pendant la seconde moitié du 4</w:t>
      </w:r>
      <w:r>
        <w:t>ᵉ</w:t>
      </w:r>
      <w:r>
        <w:t xml:space="preserve"> siècle que la liste des 27 livres du canon du NT devient définitive. Dans sa </w:t>
      </w:r>
      <w:r>
        <w:rPr>
          <w:i/>
        </w:rPr>
        <w:t>Lettre pascale</w:t>
      </w:r>
      <w:r>
        <w:t xml:space="preserve"> pour la fête de Pâques de 367 apr. J.‑C., l'évêque Athanase d'Alexandrie inclut des instructions destinées à éliminer une fois pour toutes l'utilisation de certains livres apocryphes. Cette lettre est le plus ancien document historique qui établit la liste des 27 livres du NT sans hésitation. Athanase avertit : « que personne n'y ajoute rien, et qu'il n'en retranche rien ». À la fin du siècle, le Concile de Carthage (397 </w:t>
      </w:r>
      <w:r>
        <w:t>apr. J.‑C.</w:t>
      </w:r>
      <w:r>
        <w:t xml:space="preserve">) donne aussi la liste des 27 livres du NT et décrète qu'hormis les Écritures canoniques, rien ne doit être lu dans l'Église sous le nom d'Écritures divines. </w:t>
      </w:r>
    </w:p>
    <w:p>
      <w:r/>
      <w:r>
        <w:t>L'expansion significative du christianisme durant le règne de l'empereur Constantin (Édit de Milan, 313 apr. J.‑C.) contribue beaucoup à l'acceptation de tous les livres du NT en Orient. Constantin confie à Eusèbe la tâche de préparer cinquante copies des Écritures divines. L'historien, connaissant fort bien les livres sacrés pour lesquels de nombreux croyants avaient été prêts à donner leur vie, établit de fait le standard qui reconnaît tous les livres auparavant débattus. Dans l'Église occidentale, Jérôme et Augustin ont bien sûr été les dirigeants qui ont eu une influence déterminante sur la question. La publication des 27 livres dans la Vulgate a quasiment clos le débat.</w:t>
      </w:r>
    </w:p>
    <w:p>
      <w:pPr>
        <w:pStyle w:val="Heading4"/>
      </w:pPr>
      <w:r>
        <w:t>Principes et facteurs déterminant le canon</w:t>
      </w:r>
    </w:p>
    <w:p>
      <w:r/>
      <w:r>
        <w:t>Par nature, les saintes Écritures de l'AT et du NT sont une œuvre donnée par Dieu et non une création humaine. L'élément au cœur de la canonicité est l'inspiration divine. Par conséquent, la méthode de détermination du canon n'est pas tant un choix parmi un certain nombre de candidats (il n'y a en réalité pas d'autres candidats), mais le fait de recevoir comme tels ces écrits authentiques. Cela inclut aussi leur reconnaissance progressive en tant que tels, par tous, au fur et à mesure que les faits concernant leurs origines ont été connus.</w:t>
      </w:r>
    </w:p>
    <w:p>
      <w:r/>
      <w:r>
        <w:t>D'un certain point de vue, le montanisme, mouvement déclaré hérétique par l'Église au milieu du 2</w:t>
      </w:r>
      <w:r>
        <w:t>ᵉ</w:t>
      </w:r>
      <w:r>
        <w:t xml:space="preserve"> siècle, a motivé la reconnaissance du canon définitif de la Parole écrite de Dieu. En effet, Montanus a enseigné que le don de prophétie était accordé de façon permanente à l'Église et qu'il était lui-même prophète. Le besoin de réagir au montanisme a mis en relief la question de ce qui fait autorité dans l'Église. Les écrits des apôtres ou ceux qu'ils avaient approuvé ont été reconnus comme seul standard fiable pour déterminer quels écrits étaient inspirés. Dans les Écritures elles-mêmes, les prophètes du premier siècle étaient subordonnés aux apôtres et soumis à l'autorité apostolique (voir p. ex. </w:t>
      </w:r>
      <w:hyperlink r:id="rId1958">
        <w:r>
          <w:rPr>
            <w:color w:val="0000EE"/>
            <w:u w:val="single"/>
          </w:rPr>
          <w:t>1Co 14.29–30</w:t>
        </w:r>
      </w:hyperlink>
      <w:r>
        <w:t xml:space="preserve"> ; </w:t>
      </w:r>
      <w:hyperlink r:id="rId1826">
        <w:r>
          <w:rPr>
            <w:color w:val="0000EE"/>
            <w:u w:val="single"/>
          </w:rPr>
          <w:t>Ep 4.11</w:t>
        </w:r>
      </w:hyperlink>
      <w:r>
        <w:t>).</w:t>
      </w:r>
    </w:p>
    <w:p>
      <w:r/>
      <w:r>
        <w:t>Lors de la Réforme protestante, les réformateurs se penchent à nouveau sur la question de la canonicité. Le test de Luther est théologique et remet en question certains des livres bibliques : enseignent-ils le Christ ? Le critère de Calvin semble tout aussi subjectif, car il insiste que l'Esprit de Dieu témoigne à chaque chrétien à toute époque ce qui est sa Parole et ce qui ne l'est pas.</w:t>
      </w:r>
    </w:p>
    <w:p>
      <w:r/>
      <w:r>
        <w:t>En réalité, même en ce qui concerne l'acceptation première de la Parole écrite, il n'est ni fiable, ni sain d'en appeler à l'intuition pour déterminer ce qui est inspiré. La Bible elle-même et l'Histoire démontrent cela. Il s'agit plutôt d'obéir simplement aux commandements du Christ et de ses apôtres, qui ont été connus comme tels. Comme mentionné plus tôt, le Seigneur a promis (</w:t>
      </w:r>
      <w:hyperlink r:id="rId1942">
        <w:r>
          <w:rPr>
            <w:color w:val="0000EE"/>
            <w:u w:val="single"/>
          </w:rPr>
          <w:t>Jn 14.26</w:t>
        </w:r>
      </w:hyperlink>
      <w:r>
        <w:t xml:space="preserve"> ; </w:t>
      </w:r>
      <w:hyperlink r:id="rId1943">
        <w:r>
          <w:rPr>
            <w:color w:val="0000EE"/>
            <w:u w:val="single"/>
          </w:rPr>
          <w:t>16.13</w:t>
        </w:r>
      </w:hyperlink>
      <w:r>
        <w:t xml:space="preserve">) de communiquer toutes choses nécessaires par l'intermédiaire de ses agents. Les apôtres étaient conscients de cette responsabilité et de cette mission lorsqu'ils écrivaient. L'explication de Paul dans </w:t>
      </w:r>
      <w:hyperlink r:id="rId1959">
        <w:r>
          <w:rPr>
            <w:color w:val="0000EE"/>
            <w:u w:val="single"/>
          </w:rPr>
          <w:t>1 Corinthiens 2.13</w:t>
        </w:r>
      </w:hyperlink>
      <w:r>
        <w:t xml:space="preserve"> est pertinente : « </w:t>
      </w:r>
      <w:r>
        <w:t>non avec des discours qu’enseigne la sagesse humaine, mais avec ceux qu’enseigne l’Esprit, employant un langage spirituel pour les choses spirituelles</w:t>
      </w:r>
      <w:r>
        <w:t xml:space="preserve"> ».</w:t>
      </w:r>
    </w:p>
    <w:p>
      <w:r/>
      <w:r>
        <w:t>L'Église primitive, qui était plus proche des apôtres et disposait de plus d'informations que nous aujourd'hui, a examiné le témoignage des anciens. Elle a pu discerner quels livres étaient authentiques et faisaient autorité par leurs origines apostoliques. La relation entre Marc et Pierre, et celle entre Luc et Paul, ont donné à ces auteurs le sceau d'approbation apostolique. Même les épîtres aux Hébreux et Jude ont été connectés au message et au ministère apostoliques. Un critère secondaire a peut-être été celui de la concordance doctrinale parmi tous les livres canoniques, y compris ceux qui ont parfois été contestés. Mais historiquement parlant, le processus a essentiellement été celui de l'acceptation et de l'approbation de ces livres dont étaient garants les dirigeants de l'Église qui étaient bien informés. Les destinataires initiaux de ces écrits ont été les premiers à pleinement reconnaître leur inspiration, et ils ont été suivis par d'autres, qui en prenant connaissance de ces écrits, ont continué de les reconnaître. C'est principalement ainsi que le canon s'est développé.</w:t>
      </w:r>
    </w:p>
    <w:p>
      <w:r/>
      <w:r>
        <w:t>Le concept de canon de l'Église dérive initialement de la reconnaissance de l'inspiration et de l'autorité des Écritures de l'AT. En ce qui concerne le NT, il repose sur la conviction que les apôtres étaient les seuls autorisés à parler au nom de celui a toute autorité : le Seigneur Jésus-Christ. En partant de ce principe, le développement du canon a été logique et direct. Ceux qui ont entendu Jésus en personne étaient immédiatement soumis à son autorité. Il a personnellement authentifié ses propres paroles pour ses disciples. Ces mêmes disciples savaient que Jésus avait donné l'autorité aux apôtres de parler en son nom, pendant et après son ministère terrestre. La parole apostolique au nom du Christ a été reconnue dans l'Église, qu'elle ait pris la forme d'enseignement personnel ou d'enseignement écrit. Tant la parole prononcée par un apôtre qu'une lettre de lui constituaient la parole du Christ.</w:t>
      </w:r>
    </w:p>
    <w:p>
      <w:r/>
      <w:r>
        <w:t xml:space="preserve">La génération qui a suivi celle des apôtres a reçu le témoignage de ceux qui savaient que les apôtres avaient le droit de parler et d'écrire au nom du Christ. Par conséquent, la deuxième et la troisième génération de chrétiens se sont tournées vers les paroles apostoliques </w:t>
      </w:r>
      <w:r>
        <w:rPr>
          <w:i/>
        </w:rPr>
        <w:t>écrites</w:t>
      </w:r>
      <w:r>
        <w:t xml:space="preserve"> comme les paroles mêmes du Christ. C'est ce que l'on entend vraiment par canonisation : la reconnaissance de la Parole divinement authentifiée. Ainsi, les croyants (l'Église) n'ont pas établi le canon, mais ont simplement témoigné de son étendue en reconnaissant l'autorité de la parole du Christ.</w:t>
      </w:r>
      <w:r/>
      <w:r/>
    </w:p>
    <w:p>
      <w:r/>
    </w:p>
    <w:p>
      <w:pPr>
        <w:pStyle w:val="Heading2"/>
      </w:pPr>
      <w:r>
        <w:t>Bible, Inspiration de la</w:t>
      </w:r>
      <w:r/>
    </w:p>
    <w:p>
      <w:r/>
      <w:r>
        <w:t>Terme théologique décrivant l'influence exercée par Dieu sur les auteurs des Écritures, leur permettant de transmettre ses révélations par écrit.</w:t>
      </w:r>
    </w:p>
    <w:p>
      <w:r/>
      <w:r>
        <w:t>La Bible elle-même affirme être un texte inspiré. Il est écrit : « Toute Écriture est inspirée de Dieu » (</w:t>
      </w:r>
      <w:hyperlink r:id="rId1960">
        <w:r>
          <w:rPr>
            <w:color w:val="0000EE"/>
            <w:u w:val="single"/>
          </w:rPr>
          <w:t>2Tm 3.16</w:t>
        </w:r>
      </w:hyperlink>
      <w:r>
        <w:t>). Cela veut dire que tous les mots de la Bible viennent de lui, même s'ils ont été produits par des hommes. Ainsi, l'apôtre Pierre affirme qu'« aucune prophétie de l'Écriture ne peut être un objet d'interprétation particulière, car ce n'est pas par une volonté d'homme qu'une prophétie a jamais été apportée, mais c'est poussés par le Saint-Esprit que des hommes ont parlé de la part de Dieu » (</w:t>
      </w:r>
      <w:hyperlink r:id="rId1961">
        <w:r>
          <w:rPr>
            <w:color w:val="0000EE"/>
            <w:u w:val="single"/>
          </w:rPr>
          <w:t>2P 1.20–21</w:t>
        </w:r>
      </w:hyperlink>
      <w:r>
        <w:t>).</w:t>
      </w:r>
    </w:p>
    <w:p>
      <w:r/>
      <w:r>
        <w:t>« Des hommes ont parlé de la part de Dieu ». Cette courte phrase est la clé pour comprendre comment la Bible a vu le jour. Il y a des milliers d'années, Dieu a choisi certains hommes tels que Moïse, David, Ésaïe, Jérémie, Ézéchiel et Daniel pour recevoir ses paroles et les écrire. Leurs écrits sont devenus des livres, ou des sections, de l'AT. Il y a près de 2 000 ans, Dieu a choisi d'autres hommes, tels que Matthieu, Marc, Luc, Jean et Paul, afin de communiquer son nouveau message, celui du salut par Jésus-Christ. Leurs écrits sont devenus des livres, ou des sections, du NT.</w:t>
      </w:r>
    </w:p>
    <w:p>
      <w:r/>
      <w:r>
        <w:t>Dieu a donné ses paroles à ces hommes de nombreuses manières différentes. Certains auteurs de l'AT ont reçu des messages directement de Dieu. Moïse a reçu les dix commandements inscrits sur deux tables de pierre lorsqu'il était en présence de Dieu sur le mont Sinaï. Lorsque David a composé ses psaumes, il a été divinement inspiré et a prédit certains événements qui se sont produits 1 000 ans plus tard, dans la vie de Jésus-Christ. Dieu a dit à ses prophètes, comme par exemple Ésaïe et Jérémie, exactement quoi dire. Par conséquent, quand ils donnaient un message, c'était la parole de Dieu et non la leur. C'est pourquoi de nombreux prophètes de l'AT disaient souvent : « Ainsi parle l'Éternel [le Seigneur] ». (Cette déclaration y apparaît plus de 2 000 fois.) À d'autres prophètes, comme Ézéchiel et Daniel, Dieu a communiqué son message par des visions et des rêves. Ils ont écrit exactement ce qu'ils ont vu, qu'ils l'aient compris ou non. D'autres auteurs de l'AT encore, tels que Samuel et Esdras, ont été dirigés par Dieu pour mettre par écrit les événements de l'histoire d'Israël.</w:t>
      </w:r>
    </w:p>
    <w:p>
      <w:r/>
      <w:r>
        <w:t xml:space="preserve">Quatre cents ans après la rédaction du dernier livre de l'AT (Malachie), le Fils de Dieu, Jésus-Christ, est venu sur terre. Dans ses discours, il a affirmé l'origine divine des écrits de l'AT (voir </w:t>
      </w:r>
      <w:hyperlink r:id="rId1962">
        <w:r>
          <w:rPr>
            <w:color w:val="0000EE"/>
            <w:u w:val="single"/>
          </w:rPr>
          <w:t xml:space="preserve">Mt 5.17–19 </w:t>
        </w:r>
      </w:hyperlink>
      <w:r>
        <w:t xml:space="preserve">; </w:t>
      </w:r>
      <w:hyperlink r:id="rId1963">
        <w:r>
          <w:rPr>
            <w:color w:val="0000EE"/>
            <w:u w:val="single"/>
          </w:rPr>
          <w:t xml:space="preserve">Lc 16.17 </w:t>
        </w:r>
      </w:hyperlink>
      <w:r>
        <w:t xml:space="preserve">; </w:t>
      </w:r>
      <w:hyperlink r:id="rId1964">
        <w:r>
          <w:rPr>
            <w:color w:val="0000EE"/>
            <w:u w:val="single"/>
          </w:rPr>
          <w:t>Jn 10.35</w:t>
        </w:r>
      </w:hyperlink>
      <w:r>
        <w:t xml:space="preserve">). De plus, il faisait souvent référence à certains passages de l'AT comme ayant prédit des événements de sa vie (voir </w:t>
      </w:r>
      <w:hyperlink r:id="rId1965">
        <w:r>
          <w:rPr>
            <w:color w:val="0000EE"/>
            <w:u w:val="single"/>
          </w:rPr>
          <w:t>Lc 24.27, 44</w:t>
        </w:r>
      </w:hyperlink>
      <w:r>
        <w:t>). Les auteurs du NT ont également affirmé l'inspiration divine du texte de l'AT. Ainsi, l'apôtre Paul, guidé par Dieu, a écrit : « Toute Écriture est inspirée de Dieu ». Plus précisément, il parlait de l'AT. Et, comme cela a déjà été noté, Pierre a affirmé que les prophètes de l'AT avaient été guidés par le Saint-Esprit afin de parler de la part de Dieu.</w:t>
      </w:r>
    </w:p>
    <w:p>
      <w:r/>
      <w:r>
        <w:t xml:space="preserve">Le NT est également un livre inspiré par Dieu. Avant que Jésus ne quitte cette terre et ne retourne auprès de son Père, il promet aux disciples de leur envoyer le Saint-Esprit. Une des fonctions de ce dernier serait de leur rappeler tout ce que Jésus leur avait dit et ensuite de les guider vers plus de vérité (voir </w:t>
      </w:r>
      <w:hyperlink r:id="rId1942">
        <w:r>
          <w:rPr>
            <w:color w:val="0000EE"/>
            <w:u w:val="single"/>
          </w:rPr>
          <w:t xml:space="preserve">Jn 14.26 </w:t>
        </w:r>
      </w:hyperlink>
      <w:r>
        <w:t xml:space="preserve">; </w:t>
      </w:r>
      <w:hyperlink r:id="rId1966">
        <w:r>
          <w:rPr>
            <w:color w:val="0000EE"/>
            <w:u w:val="single"/>
          </w:rPr>
          <w:t xml:space="preserve">15.26 </w:t>
        </w:r>
      </w:hyperlink>
      <w:r>
        <w:t xml:space="preserve">; </w:t>
      </w:r>
      <w:hyperlink r:id="rId1967">
        <w:r>
          <w:rPr>
            <w:color w:val="0000EE"/>
            <w:u w:val="single"/>
          </w:rPr>
          <w:t>16.13–15</w:t>
        </w:r>
      </w:hyperlink>
      <w:r>
        <w:t>). Les auteurs des Évangiles ont reçu l'aide du Saint-Esprit pour se rappeler des mots exacts de Jésus. Ceux qui ont écrit les autres parties du NT ont été guidés par l'Esprit dans cette tâche.</w:t>
      </w:r>
    </w:p>
    <w:p>
      <w:r/>
      <w:r>
        <w:t>L'inspiration des Évangiles n'a pas commencé lorsque les auteurs ont pris la plume, mais plutôt lorsque les disciples Matthieu, Pierre (pour qui Marc a écrit) et Jean ont été éclairés par leurs rencontres avec Jésus-Christ, le Fils de Dieu. Les expériences des apôtres avec lui ont changé leurs vies à jamais, imprimant dans leurs âmes des images inoubliables de l'homme-Dieu révélé, Jésus-Christ.</w:t>
      </w:r>
    </w:p>
    <w:p>
      <w:r/>
      <w:r>
        <w:t>C'est ce dont Jean parle dans le prologue de son Évangile lorsqu'il déclare : « Et la parole a été faite chair, et elle a habité parmi nous [...] et nous avons contemplé sa gloire » (</w:t>
      </w:r>
      <w:hyperlink r:id="rId1968">
        <w:r>
          <w:rPr>
            <w:color w:val="0000EE"/>
            <w:u w:val="single"/>
          </w:rPr>
          <w:t>1.14</w:t>
        </w:r>
      </w:hyperlink>
      <w:r>
        <w:t>). Le pronom « nous » réfère à ces témoins oculaires de la gloire de Jésus, c'est-à-dire les apôtres qui ont vécu avec lui pendant plus de trois ans. C'est aussi ce dont Jean discute dans le prologue de sa première épître : « ce que nous avons entendu, ce que nous avons vu de nos yeux, ce que nous avons contemplé et que nos mains ont touché » (</w:t>
      </w:r>
      <w:hyperlink r:id="rId1969">
        <w:r>
          <w:rPr>
            <w:color w:val="0000EE"/>
            <w:u w:val="single"/>
          </w:rPr>
          <w:t>1 Jn 1.1–2</w:t>
        </w:r>
      </w:hyperlink>
      <w:r>
        <w:t xml:space="preserve">). Dans l'Évangile selon Jean et dans sa première épître, ces verbes sont conjugués au parfait dans le texte grec, indiquant une action passée avec un effet présent et durable. Jean n'a jamais oublié ces rencontres passées avec Jésus ; elles sont restées avec lui jusqu'au jour où, de nombreuses années plus tard, il a été inspiré et a écrit son Évangile. On pourrait en dire autant de Matthieu, qui a écrit un Évangile important, et de Pierre, le véritable auteur derrière la composition de Marc. Luc n'était pas lui-même un témoin oculaire, mais a basé son Évangile sur les récits de ceux qui l'étaient (voir </w:t>
      </w:r>
      <w:hyperlink r:id="rId136">
        <w:r>
          <w:rPr>
            <w:color w:val="0000EE"/>
            <w:u w:val="single"/>
          </w:rPr>
          <w:t>Lc 1.1–4</w:t>
        </w:r>
      </w:hyperlink>
      <w:r>
        <w:t>).</w:t>
      </w:r>
    </w:p>
    <w:p>
      <w:r/>
      <w:r>
        <w:t xml:space="preserve">Les rencontres des auteurs des épîtres avec le Christ vivant a également été la source de leur inspiration. Le plus éminent d'entre eux, Paul, affirme à plusieurs reprises que son inspiration et sa mission proviennent de sa rencontre avec le Christ ressuscité (voir p. ex. </w:t>
      </w:r>
      <w:hyperlink r:id="rId1970">
        <w:r>
          <w:rPr>
            <w:color w:val="0000EE"/>
            <w:u w:val="single"/>
          </w:rPr>
          <w:t>1Co 15.8–10</w:t>
        </w:r>
      </w:hyperlink>
      <w:r>
        <w:t xml:space="preserve">). Pierre affirme également que ses enseignements sont basés sur ses expériences avec le Christ vivant (voir </w:t>
      </w:r>
      <w:hyperlink r:id="rId1971">
        <w:r>
          <w:rPr>
            <w:color w:val="0000EE"/>
            <w:u w:val="single"/>
          </w:rPr>
          <w:t xml:space="preserve">1P 5.1 </w:t>
        </w:r>
      </w:hyperlink>
      <w:r>
        <w:t xml:space="preserve">; </w:t>
      </w:r>
      <w:hyperlink r:id="rId1972">
        <w:r>
          <w:rPr>
            <w:color w:val="0000EE"/>
            <w:u w:val="single"/>
          </w:rPr>
          <w:t>2P 1.16–18</w:t>
        </w:r>
      </w:hyperlink>
      <w:r>
        <w:t xml:space="preserve">). De même, Jean affirme avoir fait l'expérience de l'homme-Dieu par la vue, l'ouïe et le toucher (voir </w:t>
      </w:r>
      <w:hyperlink r:id="rId1973">
        <w:r>
          <w:rPr>
            <w:color w:val="0000EE"/>
            <w:u w:val="single"/>
          </w:rPr>
          <w:t>1Jn 1.1–4</w:t>
        </w:r>
      </w:hyperlink>
      <w:r>
        <w:t xml:space="preserve">). Jacques et Jude ne formulent pas de telles affirmations directement, mais c'étaient les frères de Jésus. On peut supposer qu'ils se sont convertis lorsqu'ils ont vu le Christ ressuscité (c'est certain pour Jacques, voir </w:t>
      </w:r>
      <w:hyperlink r:id="rId1974">
        <w:r>
          <w:rPr>
            <w:color w:val="0000EE"/>
            <w:u w:val="single"/>
          </w:rPr>
          <w:t>1Co 15.7</w:t>
        </w:r>
      </w:hyperlink>
      <w:r>
        <w:t xml:space="preserve">, et présumé pour Jude, voir </w:t>
      </w:r>
      <w:hyperlink r:id="rId1975">
        <w:r>
          <w:rPr>
            <w:color w:val="0000EE"/>
            <w:u w:val="single"/>
          </w:rPr>
          <w:t>Ac 1.14</w:t>
        </w:r>
      </w:hyperlink>
      <w:r>
        <w:t>), et qu'ils se sont également inspirés de leurs rencontres avec le Christ vivant. Ainsi, tous les auteurs des épîtres ont connu le Christ vivant (à l'exception possible de celui qui a écrit Hébreux, dont l'identité ne nous est pas connue). C'est de cette relation que provient leur qualification en tant qu'auteurs de ces livres qui ont fini par faire partie du Canon du NT. Cela les différenciait de tous les autres, peu importe la qualité de leurs écrits.</w:t>
      </w:r>
    </w:p>
    <w:p>
      <w:r/>
      <w:r>
        <w:t xml:space="preserve">Les auteurs des épîtres du NT ont également été inspirés par l'Esprit lorsqu'ils les ont écrites. En parlant en leur nom à tous, Paul indique que les apôtres du NT ont été enseignés par le Saint-Esprit sur ce qu'il fallait dire. Les auteurs du NT n'ont pas utilisé des mots « que la sagesse humaine enseigne », mais des mots « qu'enseigne l'Esprit » (voir </w:t>
      </w:r>
      <w:hyperlink r:id="rId1976">
        <w:r>
          <w:rPr>
            <w:color w:val="0000EE"/>
            <w:u w:val="single"/>
          </w:rPr>
          <w:t>1Co 2.10–13</w:t>
        </w:r>
      </w:hyperlink>
      <w:r>
        <w:t xml:space="preserve">). Leurs écrits correspondent à l'enseignement du Saint-Esprit. Par exemple, lorsque l'apôtre Jean a vu que Jésus-Christ était venu donner la vie éternelle aux hommes, l'Esprit l'a aidé à exprimer cette vérité de nombreuses manières distinctes. Ainsi, le lecteur de l'Évangile de Jean observera différentes expressions sur Jésus donnant la vie : « En elle [la Parole] était la vie », « l'eau que je lui donnerai deviendra en lui une source d'eau qui jaillira jusque dans la vie éternelle », « Je suis le pain de vie », « Je suis la lumière de la vie », « Je suis la résurrection et la vie », etc. (voir </w:t>
      </w:r>
      <w:hyperlink r:id="rId1977">
        <w:r>
          <w:rPr>
            <w:color w:val="0000EE"/>
            <w:u w:val="single"/>
          </w:rPr>
          <w:t xml:space="preserve">Jn 1.4 </w:t>
        </w:r>
      </w:hyperlink>
      <w:r>
        <w:t xml:space="preserve">; </w:t>
      </w:r>
      <w:hyperlink r:id="rId1978">
        <w:r>
          <w:rPr>
            <w:color w:val="0000EE"/>
            <w:u w:val="single"/>
          </w:rPr>
          <w:t xml:space="preserve">4.14 </w:t>
        </w:r>
      </w:hyperlink>
      <w:r>
        <w:t xml:space="preserve">; </w:t>
      </w:r>
      <w:hyperlink r:id="rId1979">
        <w:r>
          <w:rPr>
            <w:color w:val="0000EE"/>
            <w:u w:val="single"/>
          </w:rPr>
          <w:t xml:space="preserve">6.48 </w:t>
        </w:r>
      </w:hyperlink>
      <w:r>
        <w:t xml:space="preserve">; </w:t>
      </w:r>
      <w:hyperlink r:id="rId1980">
        <w:r>
          <w:rPr>
            <w:color w:val="0000EE"/>
            <w:u w:val="single"/>
          </w:rPr>
          <w:t xml:space="preserve">8.12 </w:t>
        </w:r>
      </w:hyperlink>
      <w:r>
        <w:t xml:space="preserve">; </w:t>
      </w:r>
      <w:hyperlink r:id="rId1981">
        <w:r>
          <w:rPr>
            <w:color w:val="0000EE"/>
            <w:u w:val="single"/>
          </w:rPr>
          <w:t xml:space="preserve">11.25 </w:t>
        </w:r>
      </w:hyperlink>
      <w:r>
        <w:t xml:space="preserve">; </w:t>
      </w:r>
      <w:hyperlink r:id="rId1982">
        <w:r>
          <w:rPr>
            <w:color w:val="0000EE"/>
            <w:u w:val="single"/>
          </w:rPr>
          <w:t>14.6</w:t>
        </w:r>
      </w:hyperlink>
      <w:r>
        <w:t xml:space="preserve">). Quand l'apôtre Paul a contemplé la plénitude de la divinité du Christ, il a été inspiré par l'Esprit dans l'utilisation d'expressions telles que « en lui habite corporellement toute la plénitude de la divinité », « en lui sont cachés tous les trésors de la sagesse et de la connaissance » et « les richesses incompréhensibles de Christ » (voir </w:t>
      </w:r>
      <w:hyperlink r:id="rId1983">
        <w:r>
          <w:rPr>
            <w:color w:val="0000EE"/>
            <w:u w:val="single"/>
          </w:rPr>
          <w:t xml:space="preserve">Col 2.3, 9 </w:t>
        </w:r>
      </w:hyperlink>
      <w:r>
        <w:t xml:space="preserve">; </w:t>
      </w:r>
      <w:hyperlink r:id="rId1984">
        <w:r>
          <w:rPr>
            <w:color w:val="0000EE"/>
            <w:u w:val="single"/>
          </w:rPr>
          <w:t>Ep 3.8</w:t>
        </w:r>
      </w:hyperlink>
      <w:r>
        <w:t>).</w:t>
      </w:r>
    </w:p>
    <w:p>
      <w:r/>
      <w:r>
        <w:t>Alors que l'Esprit enseignait à ces auteurs, ils ont utilisé leur propre vocabulaire et style d'écriture pour exprimer sa pensée. Ainsi, les Écritures sont le résultat d'une coopération divine et humaine. Les Écritures n'ont pas été inspirées mécaniquement, comme si Dieu avait utilisé ces hommes comme des machines à travers lesquelles il aurait dicté les paroles divines. Les Écritures ont plutôt été inspirées par lui, puis écrites par des hommes. La Bible, par conséquent, est à la fois entièrement divine et entièrement humaine.</w:t>
      </w:r>
      <w:r/>
      <w:r/>
    </w:p>
    <w:p>
      <w:r/>
    </w:p>
    <w:p>
      <w:pPr>
        <w:pStyle w:val="Heading2"/>
      </w:pPr>
      <w:r>
        <w:t>Bigtha</w:t>
      </w:r>
      <w:r/>
    </w:p>
    <w:p>
      <w:r/>
      <w:r>
        <w:t>Eunuque qui servait le roi Assuérus de Perse. Lui et six autres étaient responsables de la maison royale (</w:t>
      </w:r>
      <w:hyperlink r:id="rId15">
        <w:r>
          <w:rPr>
            <w:color w:val="0000EE"/>
            <w:u w:val="single"/>
          </w:rPr>
          <w:t>Est 1.10</w:t>
        </w:r>
      </w:hyperlink>
      <w:r>
        <w:t xml:space="preserve">). Il pourrait être le Bigthana metionné en </w:t>
      </w:r>
      <w:hyperlink r:id="rId1985">
        <w:r>
          <w:rPr>
            <w:color w:val="0000EE"/>
            <w:u w:val="single"/>
          </w:rPr>
          <w:t>Esther 2.21</w:t>
        </w:r>
      </w:hyperlink>
      <w:r>
        <w:t xml:space="preserve"> ; </w:t>
      </w:r>
      <w:hyperlink r:id="rId1986">
        <w:r>
          <w:rPr>
            <w:color w:val="0000EE"/>
            <w:u w:val="single"/>
          </w:rPr>
          <w:t>6.2</w:t>
        </w:r>
      </w:hyperlink>
      <w:r>
        <w:t>.</w:t>
      </w:r>
    </w:p>
    <w:p>
      <w:r/>
      <w:r>
        <w:rPr>
          <w:i/>
        </w:rPr>
        <w:t>Voir aussi</w:t>
      </w:r>
      <w:r>
        <w:t xml:space="preserve"> </w:t>
      </w:r>
      <w:r>
        <w:t>Bigthan, Bigthana</w:t>
      </w:r>
      <w:r>
        <w:t>.</w:t>
      </w:r>
      <w:r/>
      <w:r/>
    </w:p>
    <w:p>
      <w:r/>
    </w:p>
    <w:p>
      <w:pPr>
        <w:pStyle w:val="Heading2"/>
      </w:pPr>
      <w:r>
        <w:t>Bigthan</w:t>
      </w:r>
      <w:r/>
    </w:p>
    <w:p>
      <w:r/>
      <w:r>
        <w:t>Eunuque qui servait le roi Assuérus de Perse en tant que garde du palais. Lui et un autre garde nommé Théresch ont planifié une tentative d'assassinat contre le roi. Lorsque leur complot a été découvert par l'oncle de la reine Esther, Mardochée, Bigthan et Théresch ont été exécutés (</w:t>
      </w:r>
      <w:hyperlink r:id="rId1987">
        <w:r>
          <w:rPr>
            <w:color w:val="0000EE"/>
            <w:u w:val="single"/>
          </w:rPr>
          <w:t>Est 2.21–23</w:t>
        </w:r>
      </w:hyperlink>
      <w:r>
        <w:t>).</w:t>
      </w:r>
    </w:p>
    <w:p>
      <w:r/>
      <w:r>
        <w:rPr>
          <w:i/>
        </w:rPr>
        <w:t>Voir aussi</w:t>
      </w:r>
      <w:r>
        <w:t xml:space="preserve"> </w:t>
      </w:r>
      <w:r>
        <w:t>Bigtha</w:t>
      </w:r>
      <w:r>
        <w:t>.</w:t>
      </w:r>
      <w:r/>
      <w:r/>
    </w:p>
    <w:p>
      <w:r/>
    </w:p>
    <w:p>
      <w:pPr>
        <w:pStyle w:val="Heading2"/>
      </w:pPr>
      <w:r>
        <w:t>Bijoux, Joyaux</w:t>
      </w:r>
      <w:r/>
    </w:p>
    <w:p>
      <w:r/>
      <w:r>
        <w:t>Accessoire décoré. Dans la Bible, hommes et femmes fesaient usage de bijoux (</w:t>
      </w:r>
      <w:hyperlink r:id="rId1988">
        <w:r>
          <w:rPr>
            <w:color w:val="0000EE"/>
            <w:u w:val="single"/>
          </w:rPr>
          <w:t>Ex 11.2</w:t>
        </w:r>
      </w:hyperlink>
      <w:r>
        <w:t xml:space="preserve"> ; </w:t>
      </w:r>
      <w:hyperlink r:id="rId1989">
        <w:r>
          <w:rPr>
            <w:color w:val="0000EE"/>
            <w:u w:val="single"/>
          </w:rPr>
          <w:t>Es 3.18</w:t>
        </w:r>
      </w:hyperlink>
      <w:r>
        <w:t>–</w:t>
      </w:r>
      <w:hyperlink r:id="rId1989">
        <w:r>
          <w:rPr>
            <w:color w:val="0000EE"/>
            <w:u w:val="single"/>
          </w:rPr>
          <w:t>21</w:t>
        </w:r>
      </w:hyperlink>
      <w:r>
        <w:t>). Les gens offraient des bijoux en cadeau (</w:t>
      </w:r>
      <w:hyperlink r:id="rId1990">
        <w:r>
          <w:rPr>
            <w:color w:val="0000EE"/>
            <w:u w:val="single"/>
          </w:rPr>
          <w:t>Gn 24.22, 53</w:t>
        </w:r>
      </w:hyperlink>
      <w:r>
        <w:t>). Les bijoux étaient souvent volés à la guerre (</w:t>
      </w:r>
      <w:hyperlink r:id="rId1991">
        <w:r>
          <w:rPr>
            <w:color w:val="0000EE"/>
            <w:u w:val="single"/>
          </w:rPr>
          <w:t>2Ch 20.25</w:t>
        </w:r>
      </w:hyperlink>
      <w:r>
        <w:t>). Avant l'existence de pièces de monnaie, les bijoux en or étaient un signe de richesse (</w:t>
      </w:r>
      <w:hyperlink r:id="rId1992">
        <w:r>
          <w:rPr>
            <w:color w:val="0000EE"/>
            <w:u w:val="single"/>
          </w:rPr>
          <w:t>2Ch 21.3</w:t>
        </w:r>
      </w:hyperlink>
      <w:r>
        <w:t>).</w:t>
      </w:r>
    </w:p>
    <w:p>
      <w:pPr>
        <w:pStyle w:val="Heading3"/>
      </w:pPr>
      <w:r>
        <w:t>Différents types de bijoux dans l'Ancien Testament</w:t>
      </w:r>
    </w:p>
    <w:p>
      <w:r/>
      <w:r>
        <w:t>L'Ancien Testament mentionne de nombreux types de bijoux</w:t>
      </w:r>
    </w:p>
    <w:p>
      <w:pPr>
        <w:pStyle w:val="ListBullet"/>
        <w:spacing w:line="240" w:lineRule="auto"/>
        <w:ind w:left="720"/>
      </w:pPr>
      <w:r/>
      <w:r>
        <w:t>Bracelets (</w:t>
      </w:r>
      <w:hyperlink r:id="rId1993">
        <w:r>
          <w:rPr>
            <w:color w:val="0000EE"/>
            <w:u w:val="single"/>
          </w:rPr>
          <w:t>Gn 24.22, 30, 47</w:t>
        </w:r>
      </w:hyperlink>
      <w:r>
        <w:t xml:space="preserve"> ; </w:t>
      </w:r>
      <w:hyperlink r:id="rId1994">
        <w:r>
          <w:rPr>
            <w:color w:val="0000EE"/>
            <w:u w:val="single"/>
          </w:rPr>
          <w:t>Ez 16.11</w:t>
        </w:r>
      </w:hyperlink>
      <w:r>
        <w:t>)</w:t>
      </w:r>
    </w:p>
    <w:p>
      <w:pPr>
        <w:pStyle w:val="ListBullet"/>
        <w:spacing w:line="240" w:lineRule="auto"/>
        <w:ind w:left="720"/>
      </w:pPr>
      <w:r/>
      <w:r>
        <w:t>Ornements de cheville (</w:t>
      </w:r>
      <w:hyperlink r:id="rId1995">
        <w:r>
          <w:rPr>
            <w:color w:val="0000EE"/>
            <w:u w:val="single"/>
          </w:rPr>
          <w:t>Es 3.18</w:t>
        </w:r>
      </w:hyperlink>
      <w:r>
        <w:t>–</w:t>
      </w:r>
      <w:hyperlink r:id="rId1995">
        <w:r>
          <w:rPr>
            <w:color w:val="0000EE"/>
            <w:u w:val="single"/>
          </w:rPr>
          <w:t>20</w:t>
        </w:r>
      </w:hyperlink>
      <w:r>
        <w:t>)</w:t>
      </w:r>
    </w:p>
    <w:p>
      <w:pPr>
        <w:pStyle w:val="ListBullet"/>
        <w:spacing w:line="240" w:lineRule="auto"/>
        <w:ind w:left="720"/>
      </w:pPr>
      <w:r/>
      <w:r>
        <w:t>Colliers (</w:t>
      </w:r>
      <w:hyperlink r:id="rId464">
        <w:r>
          <w:rPr>
            <w:color w:val="0000EE"/>
            <w:u w:val="single"/>
          </w:rPr>
          <w:t>Gn 41.42</w:t>
        </w:r>
      </w:hyperlink>
      <w:r>
        <w:t>)</w:t>
      </w:r>
    </w:p>
    <w:p>
      <w:pPr>
        <w:pStyle w:val="ListBullet"/>
        <w:spacing w:line="240" w:lineRule="auto"/>
        <w:ind w:left="720"/>
      </w:pPr>
      <w:r/>
      <w:r>
        <w:t>Couronnes et diadèmes (</w:t>
      </w:r>
      <w:hyperlink r:id="rId1996">
        <w:r>
          <w:rPr>
            <w:color w:val="0000EE"/>
            <w:u w:val="single"/>
          </w:rPr>
          <w:t>Za 9.16</w:t>
        </w:r>
      </w:hyperlink>
      <w:r>
        <w:t>)</w:t>
      </w:r>
    </w:p>
    <w:p>
      <w:pPr>
        <w:pStyle w:val="ListBullet"/>
        <w:spacing w:line="240" w:lineRule="auto"/>
        <w:ind w:left="720"/>
      </w:pPr>
      <w:r/>
      <w:r>
        <w:t>Boucles d'oreilles (</w:t>
      </w:r>
      <w:hyperlink r:id="rId1289">
        <w:r>
          <w:rPr>
            <w:color w:val="0000EE"/>
            <w:u w:val="single"/>
          </w:rPr>
          <w:t>Gn 24.22</w:t>
        </w:r>
      </w:hyperlink>
      <w:r>
        <w:t>)</w:t>
      </w:r>
    </w:p>
    <w:p>
      <w:pPr>
        <w:pStyle w:val="ListBullet"/>
        <w:spacing w:line="240" w:lineRule="auto"/>
        <w:ind w:left="720"/>
      </w:pPr>
      <w:r/>
      <w:r>
        <w:t>Anneaux du nez (</w:t>
      </w:r>
      <w:hyperlink r:id="rId1997">
        <w:r>
          <w:rPr>
            <w:color w:val="0000EE"/>
            <w:u w:val="single"/>
          </w:rPr>
          <w:t>Es 3.21</w:t>
        </w:r>
      </w:hyperlink>
      <w:r>
        <w:t>)</w:t>
      </w:r>
    </w:p>
    <w:p>
      <w:pPr>
        <w:pStyle w:val="ListBullet"/>
        <w:spacing w:line="240" w:lineRule="auto"/>
        <w:ind w:left="720"/>
      </w:pPr>
      <w:r/>
      <w:r>
        <w:t>Bagues et anneaux (</w:t>
      </w:r>
      <w:hyperlink r:id="rId464">
        <w:r>
          <w:rPr>
            <w:color w:val="0000EE"/>
            <w:u w:val="single"/>
          </w:rPr>
          <w:t>Gn 41.42</w:t>
        </w:r>
      </w:hyperlink>
      <w:r>
        <w:t xml:space="preserve"> ; </w:t>
      </w:r>
      <w:hyperlink r:id="rId462">
        <w:r>
          <w:rPr>
            <w:color w:val="0000EE"/>
            <w:u w:val="single"/>
          </w:rPr>
          <w:t>Est 3.10</w:t>
        </w:r>
      </w:hyperlink>
      <w:r>
        <w:t>)</w:t>
      </w:r>
    </w:p>
    <w:p>
      <w:r/>
      <w:r>
        <w:t>Des bases en or ou en argent étaient utilisées pour maintenir les pierres précieuses dans ces objets. Les pierres précieuses étaient arrondies, polies et parfois gravées (sculptées, gravées ou inscrites dans un matériau). De nombreuses pierres considérées comme précieuses à l'époque ne seraient pas jugées précieuses aujourd'hui. Elles seraient plutôt considérées comme semi-précieuses (moins rares ou précieuses que les pierres précieuses).</w:t>
      </w:r>
    </w:p>
    <w:p>
      <w:r/>
      <w:r>
        <w:t xml:space="preserve">Des pierres semi-précieuses étaient ajoutées aux colliers et à d'autres pièces de joaillerie. Les coiffes royales anciennes des tombes d'Ur démontrent l'habileté des joailliers de l'époque. Des bandeaux et des épingles étaient souvent utilisés pour décorer les cheveux, et beaucoup ont été retrouvés. Les bagues avec des pierres gravées étaient extrêmement populaires, ainsi que les anneaux du nez (voir </w:t>
      </w:r>
      <w:hyperlink r:id="rId1998">
        <w:r>
          <w:rPr>
            <w:color w:val="0000EE"/>
            <w:u w:val="single"/>
          </w:rPr>
          <w:t>Gn 24.47</w:t>
        </w:r>
      </w:hyperlink>
      <w:r>
        <w:t>). De fines chaînes en or étaient fréquentes. Les bagues-sceaux et les lourdes chaînes en or étaient des symboles de fonction (</w:t>
      </w:r>
      <w:hyperlink r:id="rId464">
        <w:r>
          <w:rPr>
            <w:color w:val="0000EE"/>
            <w:u w:val="single"/>
          </w:rPr>
          <w:t>Gn 41.42</w:t>
        </w:r>
      </w:hyperlink>
      <w:r>
        <w:t>). Des bracelets et des amulettes étaient portés autour du poignet, du haut du bras et du cou. Des épingles décoratives, similaires à l'épingle de sûreté moderne, étaient souvent utilisées pour maintenir les vêtements ensemble.</w:t>
      </w:r>
    </w:p>
    <w:p>
      <w:r/>
      <w:hyperlink r:id="rId1999">
        <w:r>
          <w:rPr>
            <w:color w:val="0000EE"/>
            <w:u w:val="single"/>
          </w:rPr>
          <w:t>Ésaïe 3.18</w:t>
        </w:r>
      </w:hyperlink>
      <w:r>
        <w:t>–</w:t>
      </w:r>
      <w:hyperlink r:id="rId1999">
        <w:r>
          <w:rPr>
            <w:color w:val="0000EE"/>
            <w:u w:val="single"/>
          </w:rPr>
          <w:t>23</w:t>
        </w:r>
      </w:hyperlink>
      <w:r>
        <w:t xml:space="preserve"> donne une description détaillée des bijoux et vêtements des femmes. Le prophète avertit : « En ce jour, le Seigneur ôtera les boucles qui servent d’ornement à leurs pieds, Et les filets et les croissants ; Les pendants d’oreilles, les bracelets et les voiles ; Les diadèmes, les chaînettes des pieds et les ceintures, Les boîtes de senteur et les amulettes ; Les bagues et les anneaux du nez ; Les vêtements précieux et les larges tuniques, Les manteaux et les gibecières ; Les miroirs et les chemises fines, Les turbans et les surtouts légers. »</w:t>
      </w:r>
    </w:p>
    <w:p>
      <w:r/>
      <w:r>
        <w:rPr>
          <w:i/>
        </w:rPr>
        <w:t>Voir</w:t>
      </w:r>
      <w:r>
        <w:t xml:space="preserve"> </w:t>
      </w:r>
      <w:r>
        <w:t>Minéraux et métaux</w:t>
      </w:r>
      <w:r>
        <w:t xml:space="preserve"> ; </w:t>
      </w:r>
      <w:r>
        <w:t>Pierres précieuses</w:t>
      </w:r>
      <w:r>
        <w:t>.</w:t>
      </w:r>
      <w:r/>
      <w:r/>
    </w:p>
    <w:p>
      <w:r/>
    </w:p>
    <w:p>
      <w:pPr>
        <w:pStyle w:val="Heading2"/>
      </w:pPr>
      <w:r>
        <w:t>Bildad</w:t>
      </w:r>
      <w:r/>
    </w:p>
    <w:p>
      <w:r/>
      <w:r>
        <w:t>Un des trois amis venus réconforter Job dans son angoisse, identifié comme venant de Schuach (</w:t>
      </w:r>
      <w:hyperlink r:id="rId2000">
        <w:r>
          <w:rPr>
            <w:color w:val="0000EE"/>
            <w:u w:val="single"/>
          </w:rPr>
          <w:t>Jb 2.11</w:t>
        </w:r>
      </w:hyperlink>
      <w:r>
        <w:t>). Ce terme suggère qu'il était un descendant de Schuach, fils d'Abraham et de sa seconde épouse Ketura (</w:t>
      </w:r>
      <w:hyperlink r:id="rId2001">
        <w:r>
          <w:rPr>
            <w:color w:val="0000EE"/>
            <w:u w:val="single"/>
          </w:rPr>
          <w:t>Gn 25.1–2</w:t>
        </w:r>
      </w:hyperlink>
      <w:r>
        <w:t>). Bildad s'adressa à Job à trois reprises. Dans son premier discours, il affirme que Dieu soutient les justes et punit les méchants (</w:t>
      </w:r>
      <w:hyperlink r:id="rId2002">
        <w:r>
          <w:rPr>
            <w:color w:val="0000EE"/>
            <w:u w:val="single"/>
          </w:rPr>
          <w:t>Jb 8</w:t>
        </w:r>
      </w:hyperlink>
      <w:r>
        <w:t xml:space="preserve">). Job doit donc être un hypocrite puisqu'il prétend être en accord avec Dieu. Dans son deuxième discours, Bildad souligne la punition immédiate des méchants dans cette vie (chap. </w:t>
      </w:r>
      <w:hyperlink r:id="rId2003">
        <w:r>
          <w:rPr>
            <w:color w:val="0000EE"/>
            <w:u w:val="single"/>
          </w:rPr>
          <w:t>18</w:t>
        </w:r>
      </w:hyperlink>
      <w:r>
        <w:t xml:space="preserve">). Job doit donc être méchant à cause de sa souffrance intense. Dans son troisième discours, Bildad proclame la majesté de Dieu et compara l'homme à un ver (chap. </w:t>
      </w:r>
      <w:hyperlink r:id="rId2004">
        <w:r>
          <w:rPr>
            <w:color w:val="0000EE"/>
            <w:u w:val="single"/>
          </w:rPr>
          <w:t>25</w:t>
        </w:r>
      </w:hyperlink>
      <w:r>
        <w:t>). Il laisse entendre que Job était insensé de prétendre être juste devant un Dieu si saint.</w:t>
      </w:r>
    </w:p>
    <w:p>
      <w:r/>
      <w:r>
        <w:rPr>
          <w:i/>
        </w:rPr>
        <w:t>Voir aussi</w:t>
      </w:r>
      <w:r>
        <w:t xml:space="preserve"> </w:t>
      </w:r>
      <w:r>
        <w:t>Job, Livre de</w:t>
      </w:r>
      <w:r>
        <w:t>.</w:t>
      </w:r>
      <w:r/>
      <w:r/>
    </w:p>
    <w:p>
      <w:r/>
    </w:p>
    <w:p>
      <w:pPr>
        <w:pStyle w:val="Heading2"/>
      </w:pPr>
      <w:r>
        <w:t>Bilha (Personne)</w:t>
      </w:r>
      <w:r/>
    </w:p>
    <w:p>
      <w:r/>
      <w:r>
        <w:t>Servante donnée par Laban à sa fille Rachel lorsqu'elle a épousé Jacob (</w:t>
      </w:r>
      <w:hyperlink r:id="rId2005">
        <w:r>
          <w:rPr>
            <w:color w:val="0000EE"/>
            <w:u w:val="single"/>
          </w:rPr>
          <w:t>Gn 29.29</w:t>
        </w:r>
      </w:hyperlink>
      <w:r>
        <w:t>). Constatant sa propre stérilité, Rachel donnera Bilha à son mari comme concubine et acceptera leurs deux fils comme les siens, les nommant Dan et Nephthali (</w:t>
      </w:r>
      <w:hyperlink r:id="rId2006">
        <w:r>
          <w:rPr>
            <w:color w:val="0000EE"/>
            <w:u w:val="single"/>
          </w:rPr>
          <w:t>30.3–8</w:t>
        </w:r>
      </w:hyperlink>
      <w:r>
        <w:t xml:space="preserve"> ; </w:t>
      </w:r>
      <w:hyperlink r:id="rId2007">
        <w:r>
          <w:rPr>
            <w:color w:val="0000EE"/>
            <w:u w:val="single"/>
          </w:rPr>
          <w:t>35.25</w:t>
        </w:r>
      </w:hyperlink>
      <w:r>
        <w:t xml:space="preserve"> ; </w:t>
      </w:r>
      <w:hyperlink r:id="rId2008">
        <w:r>
          <w:rPr>
            <w:color w:val="0000EE"/>
            <w:u w:val="single"/>
          </w:rPr>
          <w:t>46.25</w:t>
        </w:r>
      </w:hyperlink>
      <w:r>
        <w:t xml:space="preserve">). Les recherches archéologiques confirmeront la coutume pour une épouse stérile de fournir une concubine afin de garantir des enfants à son mari. Un tel arrangement est mentionné dans des documents de contrat de mariage découverts à Nuzi et datant d'environ la même époque que les événements de </w:t>
      </w:r>
      <w:hyperlink r:id="rId2009">
        <w:r>
          <w:rPr>
            <w:color w:val="0000EE"/>
            <w:u w:val="single"/>
          </w:rPr>
          <w:t>Genèse 29</w:t>
        </w:r>
      </w:hyperlink>
      <w:r>
        <w:t>. Le fils de Jacob, Ruben, sera plus tard coupable d'inceste avec Bilha (</w:t>
      </w:r>
      <w:hyperlink r:id="rId2010">
        <w:r>
          <w:rPr>
            <w:color w:val="0000EE"/>
            <w:u w:val="single"/>
          </w:rPr>
          <w:t>35.22</w:t>
        </w:r>
      </w:hyperlink>
      <w:r>
        <w:t>).</w:t>
      </w:r>
      <w:r/>
      <w:r/>
    </w:p>
    <w:p>
      <w:r/>
    </w:p>
    <w:p>
      <w:pPr>
        <w:pStyle w:val="Heading2"/>
      </w:pPr>
      <w:r>
        <w:t>Bilhan</w:t>
      </w:r>
      <w:r/>
    </w:p>
    <w:p>
      <w:r/>
      <w:r>
        <w:t>1. Fils aîné d'</w:t>
      </w:r>
      <w:r>
        <w:t>Étser</w:t>
      </w:r>
      <w:r>
        <w:t xml:space="preserve"> et descendant de Séir (</w:t>
      </w:r>
      <w:hyperlink r:id="rId522">
        <w:r>
          <w:rPr>
            <w:color w:val="0000EE"/>
            <w:u w:val="single"/>
          </w:rPr>
          <w:t>Gn 36.27</w:t>
        </w:r>
      </w:hyperlink>
      <w:r>
        <w:t xml:space="preserve"> ; </w:t>
      </w:r>
      <w:hyperlink r:id="rId1127">
        <w:r>
          <w:rPr>
            <w:color w:val="0000EE"/>
            <w:u w:val="single"/>
          </w:rPr>
          <w:t>1Ch 1.42</w:t>
        </w:r>
      </w:hyperlink>
      <w:r>
        <w:t>).</w:t>
      </w:r>
    </w:p>
    <w:p>
      <w:r/>
      <w:r>
        <w:t xml:space="preserve">2. Fils de </w:t>
      </w:r>
      <w:r>
        <w:t>Jediaël</w:t>
      </w:r>
      <w:r>
        <w:t xml:space="preserve"> de la tribu de Benjamin (</w:t>
      </w:r>
      <w:hyperlink r:id="rId1761">
        <w:r>
          <w:rPr>
            <w:color w:val="0000EE"/>
            <w:u w:val="single"/>
          </w:rPr>
          <w:t>1Ch 7.10</w:t>
        </w:r>
      </w:hyperlink>
      <w:r>
        <w:t>).</w:t>
      </w:r>
      <w:r/>
      <w:r/>
    </w:p>
    <w:p>
      <w:r/>
    </w:p>
    <w:p>
      <w:pPr>
        <w:pStyle w:val="Heading2"/>
      </w:pPr>
      <w:r>
        <w:t>Birscha</w:t>
      </w:r>
      <w:r/>
    </w:p>
    <w:p>
      <w:r/>
      <w:r>
        <w:t>Roi de Gomorrhe à l'époque d'Abraham et de Lot, Birscha était l'un des cinq rois des villes cananéennes qui se sont rebellés sans succès contre le roi Kedorlaomer d'Élam et ses trois alliés (</w:t>
      </w:r>
      <w:hyperlink r:id="rId1733">
        <w:r>
          <w:rPr>
            <w:color w:val="0000EE"/>
            <w:u w:val="single"/>
          </w:rPr>
          <w:t>Gn 14.2</w:t>
        </w:r>
      </w:hyperlink>
      <w:r>
        <w:t>).</w:t>
      </w:r>
      <w:r/>
      <w:r/>
    </w:p>
    <w:p>
      <w:r/>
    </w:p>
    <w:p>
      <w:pPr>
        <w:pStyle w:val="Heading2"/>
      </w:pPr>
      <w:r>
        <w:t>Birzavith</w:t>
      </w:r>
      <w:r/>
    </w:p>
    <w:p>
      <w:r/>
      <w:r>
        <w:t>Fils de Malkiel de la tribu d'Aser (</w:t>
      </w:r>
      <w:hyperlink r:id="rId2011">
        <w:r>
          <w:rPr>
            <w:color w:val="0000EE"/>
            <w:u w:val="single"/>
          </w:rPr>
          <w:t>1Ch 7.31</w:t>
        </w:r>
      </w:hyperlink>
      <w:r>
        <w:t>). Étant donné que les listes parallèles ne le mentionnent pas (</w:t>
      </w:r>
      <w:hyperlink r:id="rId1386">
        <w:r>
          <w:rPr>
            <w:color w:val="0000EE"/>
            <w:u w:val="single"/>
          </w:rPr>
          <w:t>Gn 46.17</w:t>
        </w:r>
      </w:hyperlink>
      <w:r>
        <w:t xml:space="preserve"> ; </w:t>
      </w:r>
      <w:hyperlink r:id="rId2012">
        <w:r>
          <w:rPr>
            <w:color w:val="0000EE"/>
            <w:u w:val="single"/>
          </w:rPr>
          <w:t>Nb 26.44–47</w:t>
        </w:r>
      </w:hyperlink>
      <w:r>
        <w:t>), il est possible que Birzavith ait été le nom d'une ville fondée par Malkiel. Si c'est le cas, la ville pourrait avoir été au nord-ouest de Béthel, près de Tyr, et correspondrait à la ville désormais appelée Birzeit.</w:t>
      </w:r>
      <w:r/>
      <w:r/>
    </w:p>
    <w:p>
      <w:r/>
    </w:p>
    <w:p>
      <w:pPr>
        <w:pStyle w:val="Heading2"/>
      </w:pPr>
      <w:r>
        <w:t>Bithynie</w:t>
      </w:r>
      <w:r/>
    </w:p>
    <w:p>
      <w:r/>
      <w:r>
        <w:t>Province romaine située dans l'extrémité nord-ouest de l'Asie Mineure. L'apôtre Paul et Silas voulaient prêcher l'Évangile en Bithynie lors du deuxième voyage missionnaire de Paul, mais le Saint-Esprit les en a empêchés (</w:t>
      </w:r>
      <w:hyperlink r:id="rId2013">
        <w:r>
          <w:rPr>
            <w:color w:val="0000EE"/>
            <w:u w:val="single"/>
          </w:rPr>
          <w:t>Ac 16.7</w:t>
        </w:r>
      </w:hyperlink>
      <w:r>
        <w:t>). L'apôtre Pierre a peut-être exercé son ministère en Bithynie et dans d'autres provinces de l'Asie Mineure, car il a adressé sa première lettre aux croyants là-bas (</w:t>
      </w:r>
      <w:hyperlink r:id="rId1404">
        <w:r>
          <w:rPr>
            <w:color w:val="0000EE"/>
            <w:u w:val="single"/>
          </w:rPr>
          <w:t>1P 1.1</w:t>
        </w:r>
      </w:hyperlink>
      <w:r>
        <w:t>). Le christianisme est entré en Bithynie d'une manière ou d'une autre, possiblement par l'intermédiaire de Pierre.</w:t>
      </w:r>
    </w:p>
    <w:p>
      <w:r/>
      <w:r>
        <w:t>La Bithynie était occupée par une tribu thrace qui y avait établi un royaume prospère au 3e siècle av. J.‑C. En 75 av. J.‑C., lorsque Nicomède III, le dernier roi de Bithynie, lègue son royaume au peuple romain, celui-ci deviendra partie de l'Empire romain. À des fins administratives, elle était généralement associée à la province du Pont vers l'orient.</w:t>
      </w:r>
    </w:p>
    <w:p>
      <w:r/>
      <w:r>
        <w:t>Après l'époque du Nouveau Testament, la Bithynie a joué un rôle significatif dans l'histoire de l'Église. Au début du 2e siècle, son gouverneur romain, Pline le Jeune, obtiendra de l'empereur Trajan la première politique impériale déclarée sur la persécution des chrétiens. Plus tard, les conciles de l'Église de Nicée (325 ap. J.‑C.) et de Chalcédoine (451) se tiendront dans deux des villes occidentales de Bithynie. Le Concile de Nicée affirmera la pleine divinité de Christ ; le Concile de Chalcédoine fera des déclarations sur la nature de la personne de Christ et la canonicité des vingt-sept livres du Nouveau Testament.</w:t>
      </w:r>
    </w:p>
    <w:p>
      <w:r/>
      <w:r>
        <w:t>La province romaine de Bithynie était bordée au nord par la mer Noire, à l'ouest par la Propontide (actuelle mer de Marmara), au sud par la province d'Asie, et à l'est par la Galatie et le Pont. La Bithynie était montagneuse, avec le mont Olympe au sud s'élevant à 2 900 m, mais possédait des districts d'une grande fertilité près de la côte et dans ses vallées intérieures. En plus de produire des fruits et des céréales, la province avait de belles carrières de marbre, de bons bois et d'excellents pâturages. Le principal fleuve était le Sangarios (actuel Sakarya), qui coulait du sud au nord vers la mer Noire. Le transport se faisait principalement le long des vallées fluviales.</w:t>
      </w:r>
      <w:r/>
      <w:r/>
    </w:p>
    <w:p>
      <w:r/>
    </w:p>
    <w:p>
      <w:pPr>
        <w:pStyle w:val="Heading2"/>
      </w:pPr>
      <w:r>
        <w:t>Bitume</w:t>
      </w:r>
      <w:r/>
    </w:p>
    <w:p>
      <w:r/>
      <w:r>
        <w:t>Substance naturelle semblable à l'asphalte, au brai ou au goudron. Matière épaisse et collante que l'on trouve naturellement dans le sol, on l'utilisait comme un type de colle ou de mastic dans l'Antiquité.</w:t>
      </w:r>
    </w:p>
    <w:p>
      <w:r/>
      <w:r>
        <w:t>Le bitume (ou goudron) était utilisé comme mortier lors de la construction de la Tour de Babel (</w:t>
      </w:r>
      <w:hyperlink r:id="rId2014">
        <w:r>
          <w:rPr>
            <w:color w:val="0000EE"/>
            <w:u w:val="single"/>
          </w:rPr>
          <w:t>Gn 11.3</w:t>
        </w:r>
      </w:hyperlink>
      <w:r>
        <w:t>). Il sera également utilisé pour sceller le panier en roseau dans lequel sera caché le bébé Moïse (</w:t>
      </w:r>
      <w:hyperlink r:id="rId2015">
        <w:r>
          <w:rPr>
            <w:color w:val="0000EE"/>
            <w:u w:val="single"/>
          </w:rPr>
          <w:t>Ex 2.3</w:t>
        </w:r>
      </w:hyperlink>
      <w:r>
        <w:t>). En Israël, la vallée de Siddim avait de nombreuses fosses de bitume. Certains soldats y tomberont pendant la guerre de Kedorlaomer contre Sodome et Gomorrhe (</w:t>
      </w:r>
      <w:hyperlink r:id="rId2016">
        <w:r>
          <w:rPr>
            <w:color w:val="0000EE"/>
            <w:u w:val="single"/>
          </w:rPr>
          <w:t>Gn 14.10</w:t>
        </w:r>
      </w:hyperlink>
      <w:r>
        <w:t>).</w:t>
      </w:r>
    </w:p>
    <w:p>
      <w:r/>
      <w:r>
        <w:rPr>
          <w:i/>
        </w:rPr>
        <w:t>Voir aussi</w:t>
      </w:r>
      <w:r>
        <w:t xml:space="preserve"> </w:t>
      </w:r>
      <w:r>
        <w:t>Asphalte</w:t>
      </w:r>
      <w:r>
        <w:t xml:space="preserve"> ; </w:t>
      </w:r>
      <w:r>
        <w:t>Minéraux et métaux</w:t>
      </w:r>
      <w:r>
        <w:t>.</w:t>
      </w:r>
      <w:r/>
      <w:r/>
    </w:p>
    <w:p>
      <w:r/>
    </w:p>
    <w:p>
      <w:pPr>
        <w:pStyle w:val="Heading2"/>
      </w:pPr>
      <w:r>
        <w:t>Biztha</w:t>
      </w:r>
      <w:r/>
    </w:p>
    <w:p>
      <w:r/>
      <w:r>
        <w:t>L'un des sept eunuques à qui le roi Assuérus a commandé d'amener la reine Vasthi à sa fête débauchée (</w:t>
      </w:r>
      <w:hyperlink r:id="rId15">
        <w:r>
          <w:rPr>
            <w:color w:val="0000EE"/>
            <w:u w:val="single"/>
          </w:rPr>
          <w:t>Est 1.10</w:t>
        </w:r>
      </w:hyperlink>
      <w:r>
        <w:t>).</w:t>
      </w:r>
      <w:r/>
      <w:r/>
    </w:p>
    <w:p>
      <w:r/>
    </w:p>
    <w:p>
      <w:pPr>
        <w:pStyle w:val="Heading2"/>
      </w:pPr>
      <w:r>
        <w:t>Blaste</w:t>
      </w:r>
      <w:r/>
    </w:p>
    <w:p>
      <w:r/>
      <w:r>
        <w:t>Secrétaire royal du roi Hérode Agrippa 1er (</w:t>
      </w:r>
      <w:hyperlink r:id="rId2017">
        <w:r>
          <w:rPr>
            <w:color w:val="0000EE"/>
            <w:u w:val="single"/>
          </w:rPr>
          <w:t>Ac 12.20</w:t>
        </w:r>
      </w:hyperlink>
      <w:r>
        <w:t xml:space="preserve">). Les habitants des villes de Tyr et de Sidon avaient besoin de nourriture du pays d'Hérode, mais Hérode était en colère contre eux. Ils se sont d'abord liés d'amitié avec Blaste pour qu'il les aide à obtenir une rencontre avec le roi. Après que Blaste a organisé cette rencontre, Hérode a prononcé un discours aux délégués. Pendant ce discours, Hérode a accepté l'adoration du peuple au lieu de donner gloire à Dieu. À cause de cela, un ange du Seigneur a frappé Hérode d'une maladie mortelle (v. </w:t>
      </w:r>
      <w:hyperlink r:id="rId2018">
        <w:r>
          <w:rPr>
            <w:color w:val="0000EE"/>
            <w:u w:val="single"/>
          </w:rPr>
          <w:t>21–23</w:t>
        </w:r>
      </w:hyperlink>
      <w:r>
        <w:t>).</w:t>
      </w:r>
      <w:r/>
      <w:r/>
    </w:p>
    <w:p>
      <w:r/>
    </w:p>
    <w:p>
      <w:pPr>
        <w:pStyle w:val="Heading2"/>
      </w:pPr>
      <w:r>
        <w:t>Boanerges</w:t>
      </w:r>
      <w:r/>
    </w:p>
    <w:p>
      <w:r/>
      <w:r>
        <w:t>Nom signifiant « fils du tonnerre ». Surnom donné par Jésus à Jacques et à Jean, les fils de Zébédée (</w:t>
      </w:r>
      <w:hyperlink r:id="rId2019">
        <w:r>
          <w:rPr>
            <w:color w:val="0000EE"/>
            <w:u w:val="single"/>
          </w:rPr>
          <w:t>Mc 3.17</w:t>
        </w:r>
      </w:hyperlink>
      <w:r>
        <w:t>). Ce qui leur a valu le surnom n'est pas clair, mais en voici plusieurs possibilités :</w:t>
      </w:r>
    </w:p>
    <w:p>
      <w:pPr>
        <w:pStyle w:val="ListBullet"/>
        <w:spacing w:line="240" w:lineRule="auto"/>
        <w:ind w:left="720"/>
      </w:pPr>
      <w:r/>
      <w:r>
        <w:t>le caractère imprévisible des deux frères (</w:t>
      </w:r>
      <w:hyperlink r:id="rId2020">
        <w:r>
          <w:rPr>
            <w:color w:val="0000EE"/>
            <w:u w:val="single"/>
          </w:rPr>
          <w:t>Lc 9.54</w:t>
        </w:r>
      </w:hyperlink>
      <w:r>
        <w:t>),</w:t>
      </w:r>
    </w:p>
    <w:p>
      <w:pPr>
        <w:pStyle w:val="ListBullet"/>
        <w:spacing w:line="240" w:lineRule="auto"/>
        <w:ind w:left="720"/>
      </w:pPr>
      <w:r/>
      <w:r>
        <w:t>la possibilité qu'avant de devenir disciples, ils faisaient partie du mouvement révolutionnaire zélote (un groupe violent en Judée qui s'opposait à la domination de l'Empire romain),</w:t>
      </w:r>
    </w:p>
    <w:p>
      <w:pPr>
        <w:pStyle w:val="ListBullet"/>
        <w:spacing w:line="240" w:lineRule="auto"/>
        <w:ind w:left="720"/>
      </w:pPr>
      <w:r/>
      <w:r>
        <w:t>leur façon de s'exprimer qui avait quelque chose de comparable au tonnerre.</w:t>
      </w:r>
    </w:p>
    <w:p>
      <w:r/>
      <w:r>
        <w:rPr>
          <w:i/>
        </w:rPr>
        <w:t>Voir aussi</w:t>
      </w:r>
      <w:r>
        <w:t xml:space="preserve"> </w:t>
      </w:r>
      <w:r>
        <w:t>Jacques (personne)</w:t>
      </w:r>
      <w:r>
        <w:t xml:space="preserve"> ; </w:t>
      </w:r>
      <w:r>
        <w:t>Jean (apôtre)</w:t>
      </w:r>
      <w:r>
        <w:t>.</w:t>
      </w:r>
      <w:r/>
      <w:r/>
    </w:p>
    <w:p>
      <w:r/>
    </w:p>
    <w:p>
      <w:pPr>
        <w:pStyle w:val="Heading2"/>
      </w:pPr>
      <w:r>
        <w:t>Bois de gopher</w:t>
      </w:r>
      <w:r/>
    </w:p>
    <w:p>
      <w:r/>
      <w:r>
        <w:t>Matériau utilisé par Noé pour construire l'arche (</w:t>
      </w:r>
      <w:hyperlink r:id="rId543">
        <w:r>
          <w:rPr>
            <w:color w:val="0000EE"/>
            <w:u w:val="single"/>
          </w:rPr>
          <w:t>Gn 6.14</w:t>
        </w:r>
      </w:hyperlink>
      <w:r>
        <w:t xml:space="preserve">). </w:t>
      </w:r>
      <w:r>
        <w:rPr>
          <w:i/>
        </w:rPr>
        <w:t>Voir</w:t>
      </w:r>
      <w:r>
        <w:t xml:space="preserve"> </w:t>
      </w:r>
      <w:r>
        <w:t>Plantes (Cyprès)</w:t>
      </w:r>
      <w:r>
        <w:t>.</w:t>
      </w:r>
      <w:r/>
      <w:r/>
    </w:p>
    <w:p>
      <w:r/>
    </w:p>
    <w:p>
      <w:pPr>
        <w:pStyle w:val="Heading2"/>
      </w:pPr>
      <w:r>
        <w:t>Boisseau</w:t>
      </w:r>
      <w:r/>
    </w:p>
    <w:p>
      <w:pPr>
        <w:pStyle w:val="ListNumber"/>
        <w:spacing w:line="240" w:lineRule="auto"/>
        <w:ind w:left="720"/>
      </w:pPr>
      <w:r/>
      <w:r>
        <w:t>Petit panier à grain ou à farine (« mesure à grain », Semeur ; « seau », Parole de Vie). Jésus mentionne ce récipient quand il dit qu'on ne devrait pas le mettre au-dessus d'une lampe, car cela cacherait sa lumière et la rendrait inutile (</w:t>
      </w:r>
      <w:hyperlink r:id="rId2021">
        <w:r>
          <w:rPr>
            <w:color w:val="0000EE"/>
            <w:u w:val="single"/>
          </w:rPr>
          <w:t>Mt 5.15</w:t>
        </w:r>
      </w:hyperlink>
      <w:r>
        <w:t xml:space="preserve"> ; </w:t>
      </w:r>
      <w:hyperlink r:id="rId2022">
        <w:r>
          <w:rPr>
            <w:color w:val="0000EE"/>
            <w:u w:val="single"/>
          </w:rPr>
          <w:t>Mc 4.21</w:t>
        </w:r>
      </w:hyperlink>
      <w:r>
        <w:t xml:space="preserve"> ; </w:t>
      </w:r>
      <w:hyperlink r:id="rId2023">
        <w:r>
          <w:rPr>
            <w:color w:val="0000EE"/>
            <w:u w:val="single"/>
          </w:rPr>
          <w:t>Lc 11.33</w:t>
        </w:r>
      </w:hyperlink>
      <w:r>
        <w:t xml:space="preserve">). </w:t>
      </w:r>
    </w:p>
    <w:p>
      <w:pPr>
        <w:pStyle w:val="ListNumber"/>
        <w:spacing w:line="240" w:lineRule="auto"/>
        <w:ind w:left="720"/>
      </w:pPr>
      <w:r/>
      <w:r>
        <w:t xml:space="preserve">Le boisseau pouvait aussi être utilisé pour mesurer la quantité de grain. Il avait une capacité d'environ 18 litres, correspondant à l'épha hébreu. </w:t>
      </w:r>
      <w:r>
        <w:rPr>
          <w:i/>
        </w:rPr>
        <w:t>Voir</w:t>
      </w:r>
      <w:r>
        <w:t xml:space="preserve"> </w:t>
      </w:r>
      <w:r>
        <w:t>Poids et mesures</w:t>
      </w:r>
      <w:r>
        <w:t>.</w:t>
      </w:r>
      <w:r/>
      <w:r/>
    </w:p>
    <w:p>
      <w:r/>
    </w:p>
    <w:p>
      <w:pPr>
        <w:pStyle w:val="Heading2"/>
      </w:pPr>
      <w:r>
        <w:t>Borne</w:t>
      </w:r>
      <w:r/>
    </w:p>
    <w:p>
      <w:r/>
      <w:r>
        <w:t>Pierre inscrite indiquant une limite de champs, de districts ou de nations (</w:t>
      </w:r>
      <w:hyperlink r:id="rId2024">
        <w:r>
          <w:rPr>
            <w:color w:val="0000EE"/>
            <w:u w:val="single"/>
          </w:rPr>
          <w:t>Gn 31.51–52</w:t>
        </w:r>
      </w:hyperlink>
      <w:r>
        <w:t>). Dans la plupart des pays du Proche-Orient, déplacer une borne était un crime grave ; en Israël, c'était une violation de la loi de Moïse (</w:t>
      </w:r>
      <w:hyperlink r:id="rId2025">
        <w:r>
          <w:rPr>
            <w:color w:val="0000EE"/>
            <w:u w:val="single"/>
          </w:rPr>
          <w:t>Dt 19.14</w:t>
        </w:r>
      </w:hyperlink>
      <w:r>
        <w:t xml:space="preserve"> ; </w:t>
      </w:r>
      <w:hyperlink r:id="rId2026">
        <w:r>
          <w:rPr>
            <w:color w:val="0000EE"/>
            <w:u w:val="single"/>
          </w:rPr>
          <w:t>27.17</w:t>
        </w:r>
      </w:hyperlink>
      <w:r>
        <w:t>). Déplacer des bornes (« marqueurs de limites ») pouvait être perçu comme un changement des coutumes et lois anciennes (</w:t>
      </w:r>
      <w:hyperlink r:id="rId2027">
        <w:r>
          <w:rPr>
            <w:color w:val="0000EE"/>
            <w:u w:val="single"/>
          </w:rPr>
          <w:t>Pr 22.28</w:t>
        </w:r>
      </w:hyperlink>
      <w:r>
        <w:t xml:space="preserve"> ; </w:t>
      </w:r>
      <w:hyperlink r:id="rId2028">
        <w:r>
          <w:rPr>
            <w:color w:val="0000EE"/>
            <w:u w:val="single"/>
          </w:rPr>
          <w:t>23.10</w:t>
        </w:r>
      </w:hyperlink>
      <w:r>
        <w:t xml:space="preserve"> ; voir </w:t>
      </w:r>
      <w:hyperlink r:id="rId2029">
        <w:r>
          <w:rPr>
            <w:color w:val="0000EE"/>
            <w:u w:val="single"/>
          </w:rPr>
          <w:t>Jb 24.2</w:t>
        </w:r>
      </w:hyperlink>
      <w:r>
        <w:t>).</w:t>
      </w:r>
    </w:p>
    <w:p>
      <w:r/>
      <w:r>
        <w:rPr>
          <w:i/>
        </w:rPr>
        <w:t>Voir aussi</w:t>
      </w:r>
      <w:r>
        <w:t xml:space="preserve"> </w:t>
      </w:r>
      <w:r>
        <w:t>Inscriptions</w:t>
      </w:r>
      <w:r>
        <w:t>.</w:t>
      </w:r>
      <w:r/>
      <w:r/>
    </w:p>
    <w:p>
      <w:r/>
    </w:p>
    <w:p>
      <w:pPr>
        <w:pStyle w:val="Heading2"/>
      </w:pPr>
      <w:r>
        <w:t>Botsra</w:t>
      </w:r>
      <w:r/>
    </w:p>
    <w:p>
      <w:r/>
      <w:r>
        <w:t>1. Ville fortifiée dans le nord d'Édom (</w:t>
      </w:r>
      <w:hyperlink r:id="rId2030">
        <w:r>
          <w:rPr>
            <w:color w:val="0000EE"/>
            <w:u w:val="single"/>
          </w:rPr>
          <w:t>Gn 36.33</w:t>
        </w:r>
      </w:hyperlink>
      <w:r>
        <w:t xml:space="preserve"> ; </w:t>
      </w:r>
      <w:hyperlink r:id="rId2031">
        <w:r>
          <w:rPr>
            <w:color w:val="0000EE"/>
            <w:u w:val="single"/>
          </w:rPr>
          <w:t>1Ch 1.44</w:t>
        </w:r>
      </w:hyperlink>
      <w:r>
        <w:t>), considérée comme impossible à conquérir car elle était protégée par des falaises sur trois côtés. Située à 50 km au nord de Pétra environ, à l'emplacement de l'actuelle Buseirah, la ville contrôlait le trafic sur la route royale. Botsra est mentionnée comme l'une des forteresses qui tomberaient lorsque Dieu jugerait Édom (</w:t>
      </w:r>
      <w:hyperlink r:id="rId2032">
        <w:r>
          <w:rPr>
            <w:color w:val="0000EE"/>
            <w:u w:val="single"/>
          </w:rPr>
          <w:t>Es 34.6</w:t>
        </w:r>
      </w:hyperlink>
      <w:r>
        <w:t xml:space="preserve"> ; </w:t>
      </w:r>
      <w:hyperlink r:id="rId2033">
        <w:r>
          <w:rPr>
            <w:color w:val="0000EE"/>
            <w:u w:val="single"/>
          </w:rPr>
          <w:t>63.1</w:t>
        </w:r>
      </w:hyperlink>
      <w:r>
        <w:t xml:space="preserve"> ; </w:t>
      </w:r>
      <w:hyperlink r:id="rId2034">
        <w:r>
          <w:rPr>
            <w:color w:val="0000EE"/>
            <w:u w:val="single"/>
          </w:rPr>
          <w:t>Jr 49.13</w:t>
        </w:r>
      </w:hyperlink>
      <w:r>
        <w:t xml:space="preserve"> ; </w:t>
      </w:r>
      <w:hyperlink r:id="rId2035">
        <w:r>
          <w:rPr>
            <w:color w:val="0000EE"/>
            <w:u w:val="single"/>
          </w:rPr>
          <w:t>Am 1.12</w:t>
        </w:r>
      </w:hyperlink>
      <w:r>
        <w:t>).</w:t>
      </w:r>
    </w:p>
    <w:p>
      <w:r/>
      <w:r>
        <w:t>2. L'une des villes citées par le prophète Jérémie comme s'effondrant avec la nation moabite (</w:t>
      </w:r>
      <w:hyperlink r:id="rId2036">
        <w:r>
          <w:rPr>
            <w:color w:val="0000EE"/>
            <w:u w:val="single"/>
          </w:rPr>
          <w:t>Jr 48.24</w:t>
        </w:r>
      </w:hyperlink>
      <w:r>
        <w:t xml:space="preserve">) ; sans doute une variante orthographique de Betser. </w:t>
      </w:r>
      <w:r>
        <w:rPr>
          <w:i/>
        </w:rPr>
        <w:t>Voir</w:t>
      </w:r>
      <w:r>
        <w:t xml:space="preserve"> </w:t>
      </w:r>
      <w:r>
        <w:t>Betser (Lieu)</w:t>
      </w:r>
      <w:r>
        <w:t>.</w:t>
      </w:r>
    </w:p>
    <w:p>
      <w:r/>
      <w:r>
        <w:t>3. Ville également appelée Bosorah, capturée par Judas Maccabée au cours de sa campagne de Galaad (</w:t>
      </w:r>
      <w:hyperlink r:id="rId2037">
        <w:r>
          <w:rPr>
            <w:color w:val="0000EE"/>
            <w:u w:val="single"/>
          </w:rPr>
          <w:t>1 M 5.26, 28</w:t>
        </w:r>
      </w:hyperlink>
      <w:r>
        <w:t>). Il s'agit peut-être du même endroit que n° 2 ci-dessus.</w:t>
      </w:r>
      <w:r/>
      <w:r/>
    </w:p>
    <w:p>
      <w:r/>
    </w:p>
    <w:p>
      <w:pPr>
        <w:pStyle w:val="Heading2"/>
      </w:pPr>
      <w:r>
        <w:t>Boulanger</w:t>
      </w:r>
      <w:r/>
    </w:p>
    <w:p>
      <w:r/>
      <w:r>
        <w:t>Celui qui prépare la nourriture et notamment le pain. À l'époque biblique, le boulanger travaillait :</w:t>
      </w:r>
    </w:p>
    <w:p>
      <w:pPr>
        <w:pStyle w:val="ListBullet"/>
        <w:spacing w:line="240" w:lineRule="auto"/>
        <w:ind w:left="720"/>
      </w:pPr>
      <w:r/>
      <w:r>
        <w:t>Dans la maison (</w:t>
      </w:r>
      <w:hyperlink r:id="rId1624">
        <w:r>
          <w:rPr>
            <w:color w:val="0000EE"/>
            <w:u w:val="single"/>
          </w:rPr>
          <w:t>Gn 19.3</w:t>
        </w:r>
      </w:hyperlink>
      <w:r>
        <w:t>),</w:t>
      </w:r>
    </w:p>
    <w:p>
      <w:pPr>
        <w:pStyle w:val="ListBullet"/>
        <w:spacing w:line="240" w:lineRule="auto"/>
        <w:ind w:left="720"/>
      </w:pPr>
      <w:r/>
      <w:r>
        <w:t>Dans la boulangerie publique (</w:t>
      </w:r>
      <w:hyperlink r:id="rId2038">
        <w:r>
          <w:rPr>
            <w:color w:val="0000EE"/>
            <w:u w:val="single"/>
          </w:rPr>
          <w:t>Jr 37.21</w:t>
        </w:r>
      </w:hyperlink>
      <w:r>
        <w:t>), et</w:t>
      </w:r>
    </w:p>
    <w:p>
      <w:pPr>
        <w:pStyle w:val="ListBullet"/>
        <w:spacing w:line="240" w:lineRule="auto"/>
        <w:ind w:left="720"/>
      </w:pPr>
      <w:r/>
      <w:r>
        <w:t>Dans les palais des rois et des nobles (</w:t>
      </w:r>
      <w:hyperlink r:id="rId2039">
        <w:r>
          <w:rPr>
            <w:color w:val="0000EE"/>
            <w:u w:val="single"/>
          </w:rPr>
          <w:t>Gn 40.1–22</w:t>
        </w:r>
      </w:hyperlink>
      <w:r>
        <w:t xml:space="preserve"> ; </w:t>
      </w:r>
      <w:hyperlink r:id="rId2040">
        <w:r>
          <w:rPr>
            <w:color w:val="0000EE"/>
            <w:u w:val="single"/>
          </w:rPr>
          <w:t>41.10, 13</w:t>
        </w:r>
      </w:hyperlink>
      <w:r>
        <w:t xml:space="preserve"> ; </w:t>
      </w:r>
      <w:hyperlink r:id="rId2041">
        <w:r>
          <w:rPr>
            <w:color w:val="0000EE"/>
            <w:u w:val="single"/>
          </w:rPr>
          <w:t>1S 8.13</w:t>
        </w:r>
      </w:hyperlink>
      <w:r>
        <w:t>)</w:t>
      </w:r>
    </w:p>
    <w:p>
      <w:r/>
      <w:r>
        <w:t>Ils faisaient du pain et des gâteaux à partir des produits de base que sont l'huile et la farine. Les Israélites fuyant l'Égypte ont cuit du pain sans levain pour leur voyage (</w:t>
      </w:r>
      <w:hyperlink r:id="rId2042">
        <w:r>
          <w:rPr>
            <w:color w:val="0000EE"/>
            <w:u w:val="single"/>
          </w:rPr>
          <w:t>Ex 12.39</w:t>
        </w:r>
      </w:hyperlink>
      <w:r>
        <w:t>). Le pain et les gâteaux étaient cuits dans une poêle ou un four (</w:t>
      </w:r>
      <w:hyperlink r:id="rId2043">
        <w:r>
          <w:rPr>
            <w:color w:val="0000EE"/>
            <w:u w:val="single"/>
          </w:rPr>
          <w:t>Lv 2.4</w:t>
        </w:r>
      </w:hyperlink>
      <w:r>
        <w:t xml:space="preserve"> ; </w:t>
      </w:r>
      <w:hyperlink r:id="rId2044">
        <w:r>
          <w:rPr>
            <w:color w:val="0000EE"/>
            <w:u w:val="single"/>
          </w:rPr>
          <w:t>26.26</w:t>
        </w:r>
      </w:hyperlink>
      <w:r>
        <w:t>). Au fur et à mesure que la société israélite se développait, des boulangers professionnels travaillaient et formaient des guildes. Certains ont soutenu qu'Osée était boulanger en raison de sa connaissance des techniques de cuisson (</w:t>
      </w:r>
      <w:hyperlink r:id="rId2045">
        <w:r>
          <w:rPr>
            <w:color w:val="0000EE"/>
            <w:u w:val="single"/>
          </w:rPr>
          <w:t>Os 7.4–8</w:t>
        </w:r>
      </w:hyperlink>
      <w:r>
        <w:t>).</w:t>
      </w:r>
    </w:p>
    <w:p>
      <w:r/>
      <w:r>
        <w:rPr>
          <w:i/>
        </w:rPr>
        <w:t>Voir aussi</w:t>
      </w:r>
      <w:r>
        <w:t xml:space="preserve"> </w:t>
      </w:r>
      <w:r>
        <w:t>Nourriture et préparation des aliments</w:t>
      </w:r>
      <w:r>
        <w:t>.</w:t>
      </w:r>
      <w:r/>
      <w:r/>
    </w:p>
    <w:p>
      <w:r/>
    </w:p>
    <w:p>
      <w:pPr>
        <w:pStyle w:val="Heading2"/>
      </w:pPr>
      <w:r>
        <w:t>bourse, sac</w:t>
      </w:r>
      <w:r/>
    </w:p>
    <w:p>
      <w:r/>
      <w:r>
        <w:t>Petit sac qui était utilisé pour transporter de l'argent et souvent d'autres petits objets sur soi. Il y a trois mots hébreux et trois mots grecs utilisés dans la Bible pour désigner de tels petits sacs. Le premier peut désigner une bourse d'argent ou un petit sac utilisé pour porter des poids en pierre utilisés sur des balances (</w:t>
      </w:r>
      <w:hyperlink r:id="rId2046">
        <w:r>
          <w:rPr>
            <w:color w:val="0000EE"/>
            <w:u w:val="single"/>
          </w:rPr>
          <w:t>Dt 25.13</w:t>
        </w:r>
      </w:hyperlink>
      <w:r>
        <w:t xml:space="preserve"> ; </w:t>
      </w:r>
      <w:hyperlink r:id="rId2047">
        <w:r>
          <w:rPr>
            <w:color w:val="0000EE"/>
            <w:u w:val="single"/>
          </w:rPr>
          <w:t>Pr 1.14</w:t>
        </w:r>
      </w:hyperlink>
      <w:r>
        <w:t xml:space="preserve"> ; </w:t>
      </w:r>
      <w:hyperlink r:id="rId2048">
        <w:r>
          <w:rPr>
            <w:color w:val="0000EE"/>
            <w:u w:val="single"/>
          </w:rPr>
          <w:t>Es 46.6</w:t>
        </w:r>
      </w:hyperlink>
      <w:r>
        <w:t xml:space="preserve"> ; </w:t>
      </w:r>
      <w:hyperlink r:id="rId2049">
        <w:r>
          <w:rPr>
            <w:color w:val="0000EE"/>
            <w:u w:val="single"/>
          </w:rPr>
          <w:t>Mi 6.11</w:t>
        </w:r>
      </w:hyperlink>
      <w:r>
        <w:t>). Les bourses pouvaient être faites de cuir ou d'un coton solide.</w:t>
      </w:r>
    </w:p>
    <w:p>
      <w:r/>
      <w:r>
        <w:t xml:space="preserve">Un autre mot hébreu qui désigne un type de sac similaire est mentionné dans </w:t>
      </w:r>
      <w:hyperlink r:id="rId2050">
        <w:r>
          <w:rPr>
            <w:color w:val="0000EE"/>
            <w:u w:val="single"/>
          </w:rPr>
          <w:t>2 Rois 5.23</w:t>
        </w:r>
      </w:hyperlink>
      <w:r>
        <w:t xml:space="preserve">. Ce mot est inclus dans une liste d'articles dont les femmes se paraient dans </w:t>
      </w:r>
      <w:hyperlink r:id="rId2051">
        <w:r>
          <w:rPr>
            <w:color w:val="0000EE"/>
            <w:u w:val="single"/>
          </w:rPr>
          <w:t>Ésaïe 3.22</w:t>
        </w:r>
      </w:hyperlink>
      <w:r>
        <w:t>. Il est donc possible qu'il s'agit là d'un sac plus élégant que ceux que désignent le premier mot.</w:t>
      </w:r>
    </w:p>
    <w:p>
      <w:r/>
      <w:r>
        <w:t xml:space="preserve">Le troisième mot hébreu est mentionné dans </w:t>
      </w:r>
      <w:hyperlink r:id="rId1287">
        <w:r>
          <w:rPr>
            <w:color w:val="0000EE"/>
            <w:u w:val="single"/>
          </w:rPr>
          <w:t>Genèse 42.35</w:t>
        </w:r>
      </w:hyperlink>
      <w:r>
        <w:t xml:space="preserve"> et est décrit comme un petit sac qui s'ouvre en haut. Il s'agit des petits « paquets » d'argent qui avaient été remis dans les sacs de grains des frères de Joseph.</w:t>
      </w:r>
    </w:p>
    <w:p>
      <w:r/>
      <w:r>
        <w:t>Le mot grec unique qui est utilisé pour traduire ces trois mots hébreux désigne un sac d'argent ou une bourse. Lorsque Jésus envoie ses disciples deux par deux, il leur dit de ne pas emporter de bourse (</w:t>
      </w:r>
      <w:hyperlink r:id="rId2052">
        <w:r>
          <w:rPr>
            <w:color w:val="0000EE"/>
            <w:u w:val="single"/>
          </w:rPr>
          <w:t>Lc 10.4</w:t>
        </w:r>
      </w:hyperlink>
      <w:r>
        <w:t xml:space="preserve">; </w:t>
      </w:r>
      <w:hyperlink r:id="rId2053">
        <w:r>
          <w:rPr>
            <w:color w:val="0000EE"/>
            <w:u w:val="single"/>
          </w:rPr>
          <w:t>22.35–36</w:t>
        </w:r>
      </w:hyperlink>
      <w:r>
        <w:t xml:space="preserve">). Dans </w:t>
      </w:r>
      <w:hyperlink r:id="rId2054">
        <w:r>
          <w:rPr>
            <w:color w:val="0000EE"/>
            <w:u w:val="single"/>
          </w:rPr>
          <w:t>Luc 12.33</w:t>
        </w:r>
      </w:hyperlink>
      <w:r>
        <w:t>, Jésus utilise ce même mot pour signifier le trésor qu'il faut se constituer dans le ciel et qui ne peut s'épuiser, être volé ou être détruit.</w:t>
      </w:r>
    </w:p>
    <w:p>
      <w:r/>
      <w:r>
        <w:t>Un autre mot grec désigne la façon dont l'argent était habituellement porté, c'est à dire à la ceinture ou au ceinturon. Les ceintures étaient un accessoire essentiel à l'habillement pour les hommes et les femmes en Orient pendant l'Antiquité. Lorsqu'elles étaient faites de cuir, elles étaient creuses ou avec des fentes qui servaient de porte-monnaie. Lorsqu'elles étaient faites de tissu, elles étaient pliées de telle façon que l'argent pouvait être transporté dans ses plis, qui servaient de poches (</w:t>
      </w:r>
      <w:hyperlink r:id="rId2055">
        <w:r>
          <w:rPr>
            <w:color w:val="0000EE"/>
            <w:u w:val="single"/>
          </w:rPr>
          <w:t>Mt 10.9</w:t>
        </w:r>
      </w:hyperlink>
      <w:r>
        <w:t xml:space="preserve"> ; </w:t>
      </w:r>
      <w:hyperlink r:id="rId2056">
        <w:r>
          <w:rPr>
            <w:color w:val="0000EE"/>
            <w:u w:val="single"/>
          </w:rPr>
          <w:t>Mc 6.8</w:t>
        </w:r>
      </w:hyperlink>
      <w:r>
        <w:t>).</w:t>
      </w:r>
    </w:p>
    <w:p>
      <w:r/>
      <w:r>
        <w:t>Le mot grec utilisé pour décrire la bourse dont Judas était responsable pour le groupe de disciples de Jésus, désigne un étui ou une sorte de housse pour l'embouchure d'un instrument à vent. À l'époque du NT, ce terme servait à désigner en grec une boîte à argent ou peut-être un sac d'argent (</w:t>
      </w:r>
      <w:hyperlink r:id="rId2057">
        <w:r>
          <w:rPr>
            <w:color w:val="0000EE"/>
            <w:u w:val="single"/>
          </w:rPr>
          <w:t>Jn 12.6</w:t>
        </w:r>
      </w:hyperlink>
      <w:r>
        <w:t xml:space="preserve"> ; </w:t>
      </w:r>
      <w:hyperlink r:id="rId2058">
        <w:r>
          <w:rPr>
            <w:color w:val="0000EE"/>
            <w:u w:val="single"/>
          </w:rPr>
          <w:t>13.29</w:t>
        </w:r>
      </w:hyperlink>
      <w:r>
        <w:t>).</w:t>
      </w:r>
      <w:r/>
      <w:r/>
    </w:p>
    <w:p>
      <w:r/>
    </w:p>
    <w:p>
      <w:pPr>
        <w:pStyle w:val="Heading2"/>
      </w:pPr>
      <w:r>
        <w:t>Branche</w:t>
      </w:r>
      <w:r/>
    </w:p>
    <w:p>
      <w:r/>
      <w:r>
        <w:t>Une branche est une pousse ou un rejeton qui se développe à partir d'un arbre ou d'un buisson. Dans la Bible, ce mot revêt des significations à la fois littérales et symboliques.</w:t>
      </w:r>
    </w:p>
    <w:p>
      <w:r/>
      <w:r>
        <w:t xml:space="preserve">Dans son sens littéral, « branche » se réfère aux trois ensembles de bras qui s'étendent depuis le fût principal du chandelier d'or dans le tabernacle (voir par exemple </w:t>
      </w:r>
      <w:hyperlink r:id="rId2059">
        <w:r>
          <w:rPr>
            <w:color w:val="0000EE"/>
            <w:u w:val="single"/>
          </w:rPr>
          <w:t>Ex 25.31–36</w:t>
        </w:r>
      </w:hyperlink>
      <w:r>
        <w:t>). Le mot est également utilisé pour les branches de palmier que l'on utilisait pour construire des abris temporaires pendant l'ancienne fête juive des Tabernacles (</w:t>
      </w:r>
      <w:hyperlink r:id="rId2060">
        <w:r>
          <w:rPr>
            <w:color w:val="0000EE"/>
            <w:u w:val="single"/>
          </w:rPr>
          <w:t>Lv 23.40–43</w:t>
        </w:r>
      </w:hyperlink>
      <w:r>
        <w:t>).</w:t>
      </w:r>
    </w:p>
    <w:p>
      <w:r/>
      <w:r>
        <w:t>Dans son sens figuré, « branche » est utilisé comme un symbole dans les prophéties concernant le Messie (l'élu de Dieu) et dans d'autres enseignements spirituels. Dans la Bible, les utilisations métaphoriques de « branche » apparaissent dans plusieurs passages. Israël est décrit comme différents types de plantes avec des branches :</w:t>
      </w:r>
    </w:p>
    <w:p>
      <w:pPr>
        <w:pStyle w:val="ListBullet"/>
        <w:spacing w:line="240" w:lineRule="auto"/>
        <w:ind w:left="720"/>
      </w:pPr>
      <w:r/>
      <w:r>
        <w:t>un olivier (</w:t>
      </w:r>
      <w:hyperlink r:id="rId2061">
        <w:r>
          <w:rPr>
            <w:color w:val="0000EE"/>
            <w:u w:val="single"/>
          </w:rPr>
          <w:t>Os 14.6</w:t>
        </w:r>
      </w:hyperlink>
      <w:r>
        <w:t>),</w:t>
      </w:r>
    </w:p>
    <w:p>
      <w:pPr>
        <w:pStyle w:val="ListBullet"/>
        <w:spacing w:line="240" w:lineRule="auto"/>
        <w:ind w:left="720"/>
      </w:pPr>
      <w:r/>
      <w:r>
        <w:t>un cèdre (</w:t>
      </w:r>
      <w:hyperlink r:id="rId2062">
        <w:r>
          <w:rPr>
            <w:color w:val="0000EE"/>
            <w:u w:val="single"/>
          </w:rPr>
          <w:t>Ez 17.23</w:t>
        </w:r>
      </w:hyperlink>
      <w:r>
        <w:t>), et</w:t>
      </w:r>
    </w:p>
    <w:p>
      <w:pPr>
        <w:pStyle w:val="ListBullet"/>
        <w:spacing w:line="240" w:lineRule="auto"/>
        <w:ind w:left="720"/>
      </w:pPr>
      <w:r/>
      <w:r>
        <w:t>une vigne (</w:t>
      </w:r>
      <w:hyperlink r:id="rId2063">
        <w:r>
          <w:rPr>
            <w:color w:val="0000EE"/>
            <w:u w:val="single"/>
          </w:rPr>
          <w:t>Ez 17.6</w:t>
        </w:r>
      </w:hyperlink>
      <w:r>
        <w:t xml:space="preserve"> ; voir </w:t>
      </w:r>
      <w:hyperlink r:id="rId2064">
        <w:r>
          <w:rPr>
            <w:color w:val="0000EE"/>
            <w:u w:val="single"/>
          </w:rPr>
          <w:t>Ps 80.8–11</w:t>
        </w:r>
      </w:hyperlink>
      <w:r>
        <w:t>).</w:t>
      </w:r>
    </w:p>
    <w:p>
      <w:r/>
      <w:r>
        <w:t>L'image d'une « branche » avec sa nouvelle croissance représente souvent la prospérité et la bénédiction dans la Bible (</w:t>
      </w:r>
      <w:hyperlink r:id="rId2065">
        <w:r>
          <w:rPr>
            <w:color w:val="0000EE"/>
            <w:u w:val="single"/>
          </w:rPr>
          <w:t>Gn 49.22</w:t>
        </w:r>
      </w:hyperlink>
      <w:r>
        <w:t xml:space="preserve"> ; </w:t>
      </w:r>
      <w:hyperlink r:id="rId2066">
        <w:r>
          <w:rPr>
            <w:color w:val="0000EE"/>
            <w:u w:val="single"/>
          </w:rPr>
          <w:t>Jb 8.16</w:t>
        </w:r>
      </w:hyperlink>
      <w:r>
        <w:t xml:space="preserve"> ; </w:t>
      </w:r>
      <w:hyperlink r:id="rId2064">
        <w:r>
          <w:rPr>
            <w:color w:val="0000EE"/>
            <w:u w:val="single"/>
          </w:rPr>
          <w:t>Ps 80.8–11</w:t>
        </w:r>
      </w:hyperlink>
      <w:r>
        <w:t xml:space="preserve"> ; </w:t>
      </w:r>
      <w:hyperlink r:id="rId2067">
        <w:r>
          <w:rPr>
            <w:color w:val="0000EE"/>
            <w:u w:val="single"/>
          </w:rPr>
          <w:t>Ez 36.8</w:t>
        </w:r>
      </w:hyperlink>
      <w:r>
        <w:t>).</w:t>
      </w:r>
    </w:p>
    <w:p>
      <w:r/>
      <w:r>
        <w:t>Les branches peuvent également symboliser le jugement lorsqu'elles sont décrites comme étant coupées, brisées, desséchées ou brûlées (</w:t>
      </w:r>
      <w:hyperlink r:id="rId2068">
        <w:r>
          <w:rPr>
            <w:color w:val="0000EE"/>
            <w:u w:val="single"/>
          </w:rPr>
          <w:t>Jb 18.16</w:t>
        </w:r>
      </w:hyperlink>
      <w:r>
        <w:t xml:space="preserve"> ; </w:t>
      </w:r>
      <w:hyperlink r:id="rId2069">
        <w:r>
          <w:rPr>
            <w:color w:val="0000EE"/>
            <w:u w:val="single"/>
          </w:rPr>
          <w:t>Es 9.14</w:t>
        </w:r>
      </w:hyperlink>
      <w:r>
        <w:t xml:space="preserve"> ; </w:t>
      </w:r>
      <w:hyperlink r:id="rId2070">
        <w:r>
          <w:rPr>
            <w:color w:val="0000EE"/>
            <w:u w:val="single"/>
          </w:rPr>
          <w:t>Jr 11.16</w:t>
        </w:r>
      </w:hyperlink>
      <w:r>
        <w:t>). Jésus a combiné trois de ces idées (dessèchement, le fait d'être coupé ou d'être brûlé) en une seule métaphore (</w:t>
      </w:r>
      <w:hyperlink r:id="rId2071">
        <w:r>
          <w:rPr>
            <w:color w:val="0000EE"/>
            <w:u w:val="single"/>
          </w:rPr>
          <w:t>Jn 15.6</w:t>
        </w:r>
      </w:hyperlink>
      <w:r>
        <w:t>). De manière similaire, l'apôtre Paul écrira que les Juifs qui ne croyaient pas seraient brisés comme des branches (</w:t>
      </w:r>
      <w:hyperlink r:id="rId2072">
        <w:r>
          <w:rPr>
            <w:color w:val="0000EE"/>
            <w:u w:val="single"/>
          </w:rPr>
          <w:t>Rm 11.19–21</w:t>
        </w:r>
      </w:hyperlink>
      <w:r>
        <w:t>).</w:t>
      </w:r>
    </w:p>
    <w:p>
      <w:r/>
      <w:r>
        <w:t>L'utilisation la plus significative du symbolisme de la branche dans la Bible se réfère au Messie promis de la lignée de la famille du roi David. Bien que ce symbolisme soit devenu courant à l'époque des prophètes, ses origines remontent bien plus tôt dans la Bible. Le concept de « branche » était utilisé pour décrire des personnes importantes telles que :</w:t>
      </w:r>
    </w:p>
    <w:p>
      <w:pPr>
        <w:pStyle w:val="ListBullet"/>
        <w:spacing w:line="240" w:lineRule="auto"/>
        <w:ind w:left="720"/>
      </w:pPr>
      <w:r/>
      <w:r>
        <w:t>Un serviteur personnel du roi (</w:t>
      </w:r>
      <w:hyperlink r:id="rId2073">
        <w:r>
          <w:rPr>
            <w:color w:val="0000EE"/>
            <w:u w:val="single"/>
          </w:rPr>
          <w:t>Gn 40.9–13</w:t>
        </w:r>
      </w:hyperlink>
      <w:r>
        <w:t>),</w:t>
      </w:r>
    </w:p>
    <w:p>
      <w:pPr>
        <w:pStyle w:val="ListBullet"/>
        <w:spacing w:line="240" w:lineRule="auto"/>
        <w:ind w:left="720"/>
      </w:pPr>
      <w:r/>
      <w:r>
        <w:t>Le patriarche Joseph (</w:t>
      </w:r>
      <w:hyperlink r:id="rId2065">
        <w:r>
          <w:rPr>
            <w:color w:val="0000EE"/>
            <w:u w:val="single"/>
          </w:rPr>
          <w:t>Gn 49.22</w:t>
        </w:r>
      </w:hyperlink>
      <w:r>
        <w:t>),</w:t>
      </w:r>
    </w:p>
    <w:p>
      <w:pPr>
        <w:pStyle w:val="ListBullet"/>
        <w:spacing w:line="240" w:lineRule="auto"/>
        <w:ind w:left="720"/>
      </w:pPr>
      <w:r/>
      <w:r>
        <w:t>Job (</w:t>
      </w:r>
      <w:hyperlink r:id="rId2074">
        <w:r>
          <w:rPr>
            <w:color w:val="0000EE"/>
            <w:u w:val="single"/>
          </w:rPr>
          <w:t>Jb 29.19</w:t>
        </w:r>
      </w:hyperlink>
      <w:r>
        <w:t>), ou</w:t>
      </w:r>
    </w:p>
    <w:p>
      <w:pPr>
        <w:pStyle w:val="ListBullet"/>
        <w:spacing w:line="240" w:lineRule="auto"/>
        <w:ind w:left="720"/>
      </w:pPr>
      <w:r/>
      <w:r>
        <w:t>Nebucadnetsar, le roi d'Assyrie (</w:t>
      </w:r>
      <w:hyperlink r:id="rId2075">
        <w:r>
          <w:rPr>
            <w:color w:val="0000EE"/>
            <w:u w:val="single"/>
          </w:rPr>
          <w:t>Dn 4.12</w:t>
        </w:r>
      </w:hyperlink>
      <w:r>
        <w:t>).</w:t>
      </w:r>
    </w:p>
    <w:p>
      <w:r/>
      <w:r>
        <w:t xml:space="preserve">Des passages tels que </w:t>
      </w:r>
      <w:hyperlink r:id="rId2076">
        <w:r>
          <w:rPr>
            <w:color w:val="0000EE"/>
            <w:u w:val="single"/>
          </w:rPr>
          <w:t>2 Samuel 23.4</w:t>
        </w:r>
      </w:hyperlink>
      <w:r>
        <w:t xml:space="preserve"> et </w:t>
      </w:r>
      <w:hyperlink r:id="rId2077">
        <w:r>
          <w:rPr>
            <w:color w:val="0000EE"/>
            <w:u w:val="single"/>
          </w:rPr>
          <w:t>Psaume 132.17</w:t>
        </w:r>
      </w:hyperlink>
      <w:r>
        <w:t xml:space="preserve"> parlent de la lignée davidique comme « croissant » ou « jaillissant » (ce qui est le sens littéral des verbes hébreux utilisés dans ces versets). Enfin, des images d'une récolte abondante ont été utilisées pour décrire les bénédictions qui viendraient lorsque le Messie viendrait et régnerait (voir </w:t>
      </w:r>
      <w:hyperlink r:id="rId2078">
        <w:r>
          <w:rPr>
            <w:color w:val="0000EE"/>
            <w:u w:val="single"/>
          </w:rPr>
          <w:t>Lévitique 26</w:t>
        </w:r>
      </w:hyperlink>
      <w:r>
        <w:t xml:space="preserve"> en lien avec les passages prophétiques mentionnés précédemment). À partir de ces utilisations antérieures, il est logique de comprendre comment le terme « branche » est finalement devenu un titre spécial pour le Messie dans les prophéties ultérieures.</w:t>
      </w:r>
      <w:r/>
      <w:r/>
    </w:p>
    <w:p>
      <w:r/>
    </w:p>
    <w:p>
      <w:pPr>
        <w:pStyle w:val="Heading2"/>
      </w:pPr>
      <w:r>
        <w:t>Brasse</w:t>
      </w:r>
      <w:r/>
    </w:p>
    <w:p>
      <w:r/>
      <w:r>
        <w:t>Unité de mesure de l'eau équivalant à environ 2 m. Les marins utilisaient les brasses pour mesurer la profondeur de l'eau. Lors du voyage de Paul vers Rome, les marins ont mesuré la profondeur de l'eau alors que leur navire approchait de la terre pendant une tempête (</w:t>
      </w:r>
      <w:hyperlink r:id="rId2079">
        <w:r>
          <w:rPr>
            <w:color w:val="0000EE"/>
            <w:u w:val="single"/>
          </w:rPr>
          <w:t>Ac 27.28</w:t>
        </w:r>
      </w:hyperlink>
      <w:r>
        <w:t>).</w:t>
      </w:r>
    </w:p>
    <w:p>
      <w:r/>
      <w:r>
        <w:rPr>
          <w:i/>
        </w:rPr>
        <w:t>Voir</w:t>
      </w:r>
      <w:r>
        <w:t xml:space="preserve"> </w:t>
      </w:r>
      <w:r>
        <w:t>Poids et Mesures</w:t>
      </w:r>
      <w:r>
        <w:t>.</w:t>
      </w:r>
      <w:r/>
      <w:r/>
    </w:p>
    <w:p>
      <w:r/>
    </w:p>
    <w:p>
      <w:pPr>
        <w:pStyle w:val="Heading2"/>
      </w:pPr>
      <w:r>
        <w:t>Brodeur, Broderie</w:t>
      </w:r>
      <w:r/>
    </w:p>
    <w:p>
      <w:r/>
      <w:r>
        <w:t>L'art de créer des motifs décoratifs sur les vêtements. Cet art était pratiqué à la fois à la maison et comme profession. La broderie se réalisait sur un métier ou avec une aiguille. Le tabernacle et le temple comportaient des tissus délicats et brodés (</w:t>
      </w:r>
      <w:hyperlink r:id="rId2080">
        <w:r>
          <w:rPr>
            <w:color w:val="0000EE"/>
            <w:u w:val="single"/>
          </w:rPr>
          <w:t>Ex 26.1, 31</w:t>
        </w:r>
      </w:hyperlink>
      <w:r>
        <w:t>). Les vêtements des prêtres étaient magnifiquement brodés (</w:t>
      </w:r>
      <w:hyperlink r:id="rId2081">
        <w:r>
          <w:rPr>
            <w:color w:val="0000EE"/>
            <w:u w:val="single"/>
          </w:rPr>
          <w:t>Ex 28.6, 8</w:t>
        </w:r>
      </w:hyperlink>
      <w:r>
        <w:t xml:space="preserve"> ; </w:t>
      </w:r>
      <w:hyperlink r:id="rId2082">
        <w:r>
          <w:rPr>
            <w:color w:val="0000EE"/>
            <w:u w:val="single"/>
          </w:rPr>
          <w:t>39.2</w:t>
        </w:r>
      </w:hyperlink>
      <w:r>
        <w:t>). La broderie était pratiquée :</w:t>
      </w:r>
    </w:p>
    <w:p>
      <w:pPr>
        <w:pStyle w:val="ListBullet"/>
        <w:spacing w:line="240" w:lineRule="auto"/>
        <w:ind w:left="720"/>
      </w:pPr>
      <w:r/>
      <w:r>
        <w:t>En Canaan (</w:t>
      </w:r>
      <w:hyperlink r:id="rId2083">
        <w:r>
          <w:rPr>
            <w:color w:val="0000EE"/>
            <w:u w:val="single"/>
          </w:rPr>
          <w:t>Jg 5.30</w:t>
        </w:r>
      </w:hyperlink>
      <w:r>
        <w:t>)</w:t>
      </w:r>
    </w:p>
    <w:p>
      <w:pPr>
        <w:pStyle w:val="ListBullet"/>
        <w:spacing w:line="240" w:lineRule="auto"/>
        <w:ind w:left="720"/>
      </w:pPr>
      <w:r/>
      <w:r>
        <w:t>En Égypte (</w:t>
      </w:r>
      <w:hyperlink r:id="rId2084">
        <w:r>
          <w:rPr>
            <w:color w:val="0000EE"/>
            <w:u w:val="single"/>
          </w:rPr>
          <w:t>Ez 27.7</w:t>
        </w:r>
      </w:hyperlink>
      <w:r>
        <w:t>)</w:t>
      </w:r>
    </w:p>
    <w:p>
      <w:pPr>
        <w:pStyle w:val="ListBullet"/>
        <w:spacing w:line="240" w:lineRule="auto"/>
        <w:ind w:left="720"/>
      </w:pPr>
      <w:r/>
      <w:r>
        <w:t>En Syrie (</w:t>
      </w:r>
      <w:hyperlink r:id="rId2085">
        <w:r>
          <w:rPr>
            <w:color w:val="0000EE"/>
            <w:u w:val="single"/>
          </w:rPr>
          <w:t>Ez 27.16</w:t>
        </w:r>
      </w:hyperlink>
      <w:r>
        <w:t>)</w:t>
      </w:r>
    </w:p>
    <w:p>
      <w:pPr>
        <w:pStyle w:val="ListBullet"/>
        <w:spacing w:line="240" w:lineRule="auto"/>
        <w:ind w:left="720"/>
      </w:pPr>
      <w:r/>
      <w:r>
        <w:t>À Babylone (</w:t>
      </w:r>
      <w:hyperlink r:id="rId2086">
        <w:r>
          <w:rPr>
            <w:color w:val="0000EE"/>
            <w:u w:val="single"/>
          </w:rPr>
          <w:t>Jos 7.21</w:t>
        </w:r>
      </w:hyperlink>
      <w:r>
        <w:t>)</w:t>
      </w:r>
    </w:p>
    <w:p>
      <w:pPr>
        <w:pStyle w:val="ListBullet"/>
        <w:spacing w:line="240" w:lineRule="auto"/>
        <w:ind w:left="720"/>
      </w:pPr>
      <w:r/>
      <w:r>
        <w:t>En Assyrie</w:t>
      </w:r>
    </w:p>
    <w:p>
      <w:pPr>
        <w:pStyle w:val="ListBullet"/>
        <w:spacing w:line="240" w:lineRule="auto"/>
        <w:ind w:left="720"/>
      </w:pPr>
      <w:r/>
      <w:r>
        <w:t>En Perse (</w:t>
      </w:r>
      <w:hyperlink r:id="rId1635">
        <w:r>
          <w:rPr>
            <w:color w:val="0000EE"/>
            <w:u w:val="single"/>
          </w:rPr>
          <w:t>Est 1.6</w:t>
        </w:r>
      </w:hyperlink>
      <w:r>
        <w:t>)</w:t>
      </w:r>
    </w:p>
    <w:p>
      <w:r/>
      <w:r>
        <w:rPr>
          <w:i/>
        </w:rPr>
        <w:t>Voir aussi</w:t>
      </w:r>
      <w:r>
        <w:t xml:space="preserve"> </w:t>
      </w:r>
      <w:r>
        <w:t>Tissu et fabrication de tissus</w:t>
      </w:r>
      <w:r>
        <w:t>.</w:t>
      </w:r>
      <w:r/>
      <w:r/>
    </w:p>
    <w:p>
      <w:r/>
    </w:p>
    <w:p>
      <w:pPr>
        <w:pStyle w:val="Heading2"/>
      </w:pPr>
      <w:r>
        <w:t>Buisson ardent</w:t>
      </w:r>
      <w:r/>
    </w:p>
    <w:p>
      <w:r/>
      <w:r>
        <w:t>Buisson enflammé à partir duquel Dieu a parlé avec Moïse au Mont Horeb. Il l'a envoyé au peuple d'Israël pour le faire sortir d'Égypte (</w:t>
      </w:r>
      <w:hyperlink r:id="rId2087">
        <w:r>
          <w:rPr>
            <w:color w:val="0000EE"/>
            <w:u w:val="single"/>
          </w:rPr>
          <w:t>Ex 3.1</w:t>
        </w:r>
      </w:hyperlink>
      <w:r>
        <w:t>–</w:t>
      </w:r>
      <w:hyperlink r:id="rId2087">
        <w:r>
          <w:rPr>
            <w:color w:val="0000EE"/>
            <w:u w:val="single"/>
          </w:rPr>
          <w:t xml:space="preserve">15 </w:t>
        </w:r>
      </w:hyperlink>
      <w:r>
        <w:t xml:space="preserve">; </w:t>
      </w:r>
      <w:hyperlink r:id="rId1941">
        <w:r>
          <w:rPr>
            <w:color w:val="0000EE"/>
            <w:u w:val="single"/>
          </w:rPr>
          <w:t xml:space="preserve">Mc 12.26 </w:t>
        </w:r>
      </w:hyperlink>
      <w:r>
        <w:t xml:space="preserve">; </w:t>
      </w:r>
      <w:hyperlink r:id="rId2088">
        <w:r>
          <w:rPr>
            <w:color w:val="0000EE"/>
            <w:u w:val="single"/>
          </w:rPr>
          <w:t xml:space="preserve">Lc 20.37 </w:t>
        </w:r>
      </w:hyperlink>
      <w:r>
        <w:t xml:space="preserve">; </w:t>
      </w:r>
      <w:hyperlink r:id="rId2089">
        <w:r>
          <w:rPr>
            <w:color w:val="0000EE"/>
            <w:u w:val="single"/>
          </w:rPr>
          <w:t>Ac 7.30</w:t>
        </w:r>
      </w:hyperlink>
      <w:r>
        <w:t>–</w:t>
      </w:r>
      <w:hyperlink r:id="rId2089">
        <w:r>
          <w:rPr>
            <w:color w:val="0000EE"/>
            <w:u w:val="single"/>
          </w:rPr>
          <w:t>34</w:t>
        </w:r>
      </w:hyperlink>
      <w:r>
        <w:t xml:space="preserve">). Moïse a vu de loin un buisson qui était en feu, mais qui ne se consumait pas. Quand Moïse est allé voir de plus près ce mystérieux buisson, Dieu lui a parlé et s'est révélé à lui par son nom : « Je suis celui qui suis ». </w:t>
      </w:r>
    </w:p>
    <w:p>
      <w:r/>
      <w:r>
        <w:t xml:space="preserve">Le buisson ardent était une théophanie, un signe visible de la présence de Dieu. Dans la Bible, les manifestations de la gloire de Dieu sont souvent accompagnées de nuées, de feu et de fumée (voir </w:t>
      </w:r>
      <w:hyperlink r:id="rId2090">
        <w:r>
          <w:rPr>
            <w:color w:val="0000EE"/>
            <w:u w:val="single"/>
          </w:rPr>
          <w:t xml:space="preserve">Ex 13.21 </w:t>
        </w:r>
      </w:hyperlink>
      <w:r>
        <w:t xml:space="preserve">; </w:t>
      </w:r>
      <w:hyperlink r:id="rId2091">
        <w:r>
          <w:rPr>
            <w:color w:val="0000EE"/>
            <w:u w:val="single"/>
          </w:rPr>
          <w:t xml:space="preserve">19.18 </w:t>
        </w:r>
      </w:hyperlink>
      <w:r>
        <w:t xml:space="preserve">; </w:t>
      </w:r>
      <w:hyperlink r:id="rId2092">
        <w:r>
          <w:rPr>
            <w:color w:val="0000EE"/>
            <w:u w:val="single"/>
          </w:rPr>
          <w:t>1R 8.10</w:t>
        </w:r>
      </w:hyperlink>
      <w:r>
        <w:t>–</w:t>
      </w:r>
      <w:hyperlink r:id="rId2092">
        <w:r>
          <w:rPr>
            <w:color w:val="0000EE"/>
            <w:u w:val="single"/>
          </w:rPr>
          <w:t xml:space="preserve">11 </w:t>
        </w:r>
      </w:hyperlink>
      <w:r>
        <w:t xml:space="preserve">; </w:t>
      </w:r>
      <w:hyperlink r:id="rId2093">
        <w:r>
          <w:rPr>
            <w:color w:val="0000EE"/>
            <w:u w:val="single"/>
          </w:rPr>
          <w:t xml:space="preserve">2R 1.12 </w:t>
        </w:r>
      </w:hyperlink>
      <w:r>
        <w:t xml:space="preserve">; </w:t>
      </w:r>
      <w:hyperlink r:id="rId2094">
        <w:r>
          <w:rPr>
            <w:color w:val="0000EE"/>
            <w:u w:val="single"/>
          </w:rPr>
          <w:t xml:space="preserve">2.11 </w:t>
        </w:r>
      </w:hyperlink>
      <w:r>
        <w:t xml:space="preserve">; </w:t>
      </w:r>
      <w:hyperlink r:id="rId2095">
        <w:r>
          <w:rPr>
            <w:color w:val="0000EE"/>
            <w:u w:val="single"/>
          </w:rPr>
          <w:t>Es 6.1</w:t>
        </w:r>
      </w:hyperlink>
      <w:r>
        <w:t>–</w:t>
      </w:r>
      <w:hyperlink r:id="rId2095">
        <w:r>
          <w:rPr>
            <w:color w:val="0000EE"/>
            <w:u w:val="single"/>
          </w:rPr>
          <w:t xml:space="preserve">6 </w:t>
        </w:r>
      </w:hyperlink>
      <w:r>
        <w:t xml:space="preserve">; </w:t>
      </w:r>
      <w:hyperlink r:id="rId2096">
        <w:r>
          <w:rPr>
            <w:color w:val="0000EE"/>
            <w:u w:val="single"/>
          </w:rPr>
          <w:t xml:space="preserve">2Th 1.7 </w:t>
        </w:r>
      </w:hyperlink>
      <w:r>
        <w:t xml:space="preserve">; </w:t>
      </w:r>
      <w:hyperlink r:id="rId2097">
        <w:r>
          <w:rPr>
            <w:color w:val="0000EE"/>
            <w:u w:val="single"/>
          </w:rPr>
          <w:t xml:space="preserve">Ap 1.14 </w:t>
        </w:r>
      </w:hyperlink>
      <w:r>
        <w:t xml:space="preserve">; </w:t>
      </w:r>
      <w:hyperlink r:id="rId2098">
        <w:r>
          <w:rPr>
            <w:color w:val="0000EE"/>
            <w:u w:val="single"/>
          </w:rPr>
          <w:t>19.12</w:t>
        </w:r>
      </w:hyperlink>
      <w:r>
        <w:t>).</w:t>
      </w:r>
    </w:p>
    <w:p>
      <w:r/>
      <w:r>
        <w:t>Au travers du buisson ardent, Dieu enseigne aussi sa sainteté. En effet, quand Moïse s'en approche, Dieu lui commande de retirer ses chaussures. La manifestation de la présence de Dieu en cet endroit rendait le sol même autour du buisson saint (</w:t>
      </w:r>
      <w:hyperlink r:id="rId2099">
        <w:r>
          <w:rPr>
            <w:color w:val="0000EE"/>
            <w:u w:val="single"/>
          </w:rPr>
          <w:t>Ex 3.5</w:t>
        </w:r>
      </w:hyperlink>
      <w:r>
        <w:t xml:space="preserve">). </w:t>
      </w:r>
    </w:p>
    <w:p>
      <w:r/>
      <w:r>
        <w:t>Les Égyptiens croyaient que leurs dieux vivaient dans une obscurité lugubre, mais le Dieu d'Israël vit dans une lumière inaccessible (</w:t>
      </w:r>
      <w:hyperlink r:id="rId2100">
        <w:r>
          <w:rPr>
            <w:color w:val="0000EE"/>
            <w:u w:val="single"/>
          </w:rPr>
          <w:t>1Tm 6.16</w:t>
        </w:r>
      </w:hyperlink>
      <w:r>
        <w:t>). Le buisson ardent peut être compris comme un symbole de ses intentions envers son peuple : sa présence accompagnerait Israël hors d'Égypte et vers la Terre promise sans les consumer.</w:t>
      </w:r>
    </w:p>
    <w:p>
      <w:r/>
      <w:r>
        <w:rPr>
          <w:i/>
        </w:rPr>
        <w:t>Voir aussi</w:t>
      </w:r>
      <w:r>
        <w:t xml:space="preserve"> </w:t>
      </w:r>
      <w:r>
        <w:t>Exode (livre)</w:t>
      </w:r>
      <w:r>
        <w:t xml:space="preserve"> ; </w:t>
      </w:r>
      <w:r>
        <w:t>Moïse</w:t>
      </w:r>
      <w:r>
        <w:t xml:space="preserve"> ; </w:t>
      </w:r>
      <w:r>
        <w:t>théophanie</w:t>
      </w:r>
      <w:r>
        <w:t xml:space="preserve"> ; </w:t>
      </w:r>
      <w:r>
        <w:t>Dieu (noms)</w:t>
      </w:r>
      <w:r>
        <w:t>.</w:t>
      </w:r>
      <w:r/>
      <w:r/>
    </w:p>
    <w:p>
      <w:r/>
    </w:p>
    <w:p>
      <w:pPr>
        <w:pStyle w:val="Heading2"/>
      </w:pPr>
      <w:r>
        <w:t>Buz (Personne)</w:t>
      </w:r>
      <w:r/>
    </w:p>
    <w:p>
      <w:pPr>
        <w:pStyle w:val="ListNumber"/>
        <w:spacing w:line="240" w:lineRule="auto"/>
        <w:ind w:left="720"/>
      </w:pPr>
      <w:r/>
      <w:r>
        <w:t>Neveu d'Abraham, et l'un des huit fils de Nachor (</w:t>
      </w:r>
      <w:hyperlink r:id="rId1101">
        <w:r>
          <w:rPr>
            <w:color w:val="0000EE"/>
            <w:u w:val="single"/>
          </w:rPr>
          <w:t>Gn 22.21</w:t>
        </w:r>
      </w:hyperlink>
      <w:r>
        <w:t>).</w:t>
      </w:r>
    </w:p>
    <w:p>
      <w:pPr>
        <w:pStyle w:val="ListNumber"/>
        <w:spacing w:line="240" w:lineRule="auto"/>
        <w:ind w:left="720"/>
      </w:pPr>
      <w:r/>
      <w:r>
        <w:t>Membre de la tribu de Gad (</w:t>
      </w:r>
      <w:hyperlink r:id="rId38">
        <w:r>
          <w:rPr>
            <w:color w:val="0000EE"/>
            <w:u w:val="single"/>
          </w:rPr>
          <w:t>1Ch 5.14</w:t>
        </w:r>
      </w:hyperlink>
      <w:r>
        <w:t>).</w:t>
      </w:r>
      <w:r/>
      <w:r/>
    </w:p>
    <w:p>
      <w:r/>
    </w:p>
    <w:p>
      <w:pPr>
        <w:pStyle w:val="Heading2"/>
      </w:pPr>
      <w:r>
        <w:t>Cabane</w:t>
      </w:r>
      <w:r/>
    </w:p>
    <w:p>
      <w:r/>
      <w:r>
        <w:t>Une cabane est une petite hutte ou un abri temporaire fait de branches et de bâtons. Les cabanes étaient construites lorsque les bâtiments permanents n'étaient pas disponibles. Elles offraient de l'ombre pendant la journée et une protection contre la rosée et les vents pendant la nuit (</w:t>
      </w:r>
      <w:hyperlink r:id="rId2101">
        <w:r>
          <w:rPr>
            <w:color w:val="0000EE"/>
            <w:u w:val="single"/>
          </w:rPr>
          <w:t>Gn 33.17</w:t>
        </w:r>
      </w:hyperlink>
      <w:r>
        <w:t xml:space="preserve"> ; </w:t>
      </w:r>
      <w:hyperlink r:id="rId2102">
        <w:r>
          <w:rPr>
            <w:color w:val="0000EE"/>
            <w:u w:val="single"/>
          </w:rPr>
          <w:t>Jon 4.5</w:t>
        </w:r>
      </w:hyperlink>
      <w:r>
        <w:t>).</w:t>
      </w:r>
    </w:p>
    <w:p>
      <w:r/>
      <w:r>
        <w:t xml:space="preserve">Le mot est également employé comme une figure de style pour désigner quelque chose de fragile et de facilement détruit, comme dans </w:t>
      </w:r>
      <w:hyperlink r:id="rId2103">
        <w:r>
          <w:rPr>
            <w:color w:val="0000EE"/>
            <w:u w:val="single"/>
          </w:rPr>
          <w:t>Job 27.18</w:t>
        </w:r>
      </w:hyperlink>
      <w:r>
        <w:t xml:space="preserve"> et </w:t>
      </w:r>
      <w:hyperlink r:id="rId2104">
        <w:r>
          <w:rPr>
            <w:color w:val="0000EE"/>
            <w:u w:val="single"/>
          </w:rPr>
          <w:t>Ésaïe 1.8</w:t>
        </w:r>
      </w:hyperlink>
      <w:r>
        <w:t>.</w:t>
      </w:r>
    </w:p>
    <w:p>
      <w:r/>
      <w:r>
        <w:rPr>
          <w:i/>
        </w:rPr>
        <w:t>Voir aussi</w:t>
      </w:r>
      <w:r>
        <w:t xml:space="preserve"> </w:t>
      </w:r>
      <w:r>
        <w:t>Fêtes et festivals d'Israël</w:t>
      </w:r>
      <w:r>
        <w:t xml:space="preserve"> ; </w:t>
      </w:r>
      <w:r>
        <w:t>Pavillon</w:t>
      </w:r>
      <w:r>
        <w:t>.</w:t>
      </w:r>
      <w:r/>
      <w:r/>
    </w:p>
    <w:p>
      <w:r/>
    </w:p>
    <w:p>
      <w:pPr>
        <w:pStyle w:val="Heading2"/>
      </w:pPr>
      <w:r>
        <w:t>Caïn (Personne)</w:t>
      </w:r>
      <w:r/>
    </w:p>
    <w:p>
      <w:r/>
      <w:r>
        <w:t>Premier fils d'</w:t>
      </w:r>
      <w:r>
        <w:t>Adam</w:t>
      </w:r>
      <w:r>
        <w:t xml:space="preserve"> et </w:t>
      </w:r>
      <w:r>
        <w:t>Ève</w:t>
      </w:r>
      <w:r>
        <w:t xml:space="preserve">. Il était cultivateur tandis que son frère, </w:t>
      </w:r>
      <w:r>
        <w:t>Abel</w:t>
      </w:r>
      <w:r>
        <w:t>, était berger. Lorsque les gens parlent d'actes de violence terribles, ils mentionnent souvent le meurtre d'Abel par Caïn comme exemple (</w:t>
      </w:r>
      <w:hyperlink r:id="rId2105">
        <w:r>
          <w:rPr>
            <w:color w:val="0000EE"/>
            <w:u w:val="single"/>
          </w:rPr>
          <w:t>Jd 1.11</w:t>
        </w:r>
      </w:hyperlink>
      <w:r>
        <w:t xml:space="preserve">). Chacun des deux frères avait apporté un </w:t>
      </w:r>
      <w:r>
        <w:t>sacrifice</w:t>
      </w:r>
      <w:r>
        <w:t xml:space="preserve"> au Seigneur (</w:t>
      </w:r>
      <w:hyperlink r:id="rId2106">
        <w:r>
          <w:rPr>
            <w:color w:val="0000EE"/>
            <w:u w:val="single"/>
          </w:rPr>
          <w:t>Gn 4.3–4</w:t>
        </w:r>
      </w:hyperlink>
      <w:r>
        <w:t xml:space="preserve">). Selon </w:t>
      </w:r>
      <w:hyperlink r:id="rId23">
        <w:r>
          <w:rPr>
            <w:color w:val="0000EE"/>
            <w:u w:val="single"/>
          </w:rPr>
          <w:t>Hébreux 11.4</w:t>
        </w:r>
      </w:hyperlink>
      <w:r>
        <w:t>, Abel avait agi par la foi en apportant un sacrifice plus acceptable que celui de Caïn. Caïn a été pris d'une vive colère parce que Dieu n'a pas accepté son offrande. Parce que Dieu a accepté l'offrande d'Abel mais pas la sienne, Caïn a tué son frère (</w:t>
      </w:r>
      <w:hyperlink r:id="rId2107">
        <w:r>
          <w:rPr>
            <w:color w:val="0000EE"/>
            <w:u w:val="single"/>
          </w:rPr>
          <w:t>Gn 4.5–8</w:t>
        </w:r>
      </w:hyperlink>
      <w:r>
        <w:t>).</w:t>
      </w:r>
    </w:p>
    <w:p>
      <w:r/>
      <w:r>
        <w:t>Dans son explication de la violence de Caïn, la Bible nous dit qu'il appartenait au malin (</w:t>
      </w:r>
      <w:hyperlink r:id="rId2108">
        <w:r>
          <w:rPr>
            <w:color w:val="0000EE"/>
            <w:u w:val="single"/>
          </w:rPr>
          <w:t>1Jn 3.12</w:t>
        </w:r>
      </w:hyperlink>
      <w:r>
        <w:t xml:space="preserve">). Le Seigneur a confronté Caïn à sa culpabilité, l'a jugé et a prononcé une </w:t>
      </w:r>
      <w:r>
        <w:t>malédiction</w:t>
      </w:r>
      <w:r>
        <w:t xml:space="preserve"> sur lui. Dieu condamnera Caïn à une vie d'errance, avant qu'il ne s'installe dans le pays de </w:t>
      </w:r>
      <w:r>
        <w:t>Nod</w:t>
      </w:r>
      <w:r>
        <w:t xml:space="preserve">, à l'est de </w:t>
      </w:r>
      <w:r>
        <w:t>Éden</w:t>
      </w:r>
      <w:r>
        <w:t xml:space="preserve"> (</w:t>
      </w:r>
      <w:hyperlink r:id="rId2109">
        <w:r>
          <w:rPr>
            <w:color w:val="0000EE"/>
            <w:u w:val="single"/>
          </w:rPr>
          <w:t>Gn 4.9–16</w:t>
        </w:r>
      </w:hyperlink>
      <w:r>
        <w:t>). Caïn a adressé à Dieu une plainte, affirmant que sa punition était plus grande qu'il ne pouvait supporter. Il avait peur que quelqu'un le trouve et le tue. Le Seigneur a donc mis une marque sur Caïn pour le protéger. Le Seigneur a également promis que si quelqu'un tuait Caïn, cette personne recevrait une punition sept fois pire.</w:t>
      </w:r>
    </w:p>
    <w:p>
      <w:r/>
      <w:r>
        <w:t xml:space="preserve">Dans le pays de Nod, Caïn construira une ville et la nommera du nom de son fils </w:t>
      </w:r>
      <w:r>
        <w:t>Hénoc</w:t>
      </w:r>
      <w:r>
        <w:t xml:space="preserve"> (</w:t>
      </w:r>
      <w:hyperlink r:id="rId2110">
        <w:r>
          <w:rPr>
            <w:color w:val="0000EE"/>
            <w:u w:val="single"/>
          </w:rPr>
          <w:t>Gn 4.17</w:t>
        </w:r>
      </w:hyperlink>
      <w:r>
        <w:t xml:space="preserve">). Par Hénoc, Caïn aura de nombreux descendants. Dans les premières générations, ces descendants développeront diverses compétences. Certains vivaient sous des tentes et s'occupaient des animaux. D'autres sont devenus </w:t>
      </w:r>
      <w:r>
        <w:t>musiciens</w:t>
      </w:r>
      <w:r>
        <w:t xml:space="preserve">, et certains apprendront à fabriquer des objets en métal (v. </w:t>
      </w:r>
      <w:hyperlink r:id="rId2111">
        <w:r>
          <w:rPr>
            <w:color w:val="0000EE"/>
            <w:u w:val="single"/>
          </w:rPr>
          <w:t>18–22</w:t>
        </w:r>
      </w:hyperlink>
      <w:r>
        <w:t>).</w:t>
      </w:r>
      <w:r/>
      <w:r/>
    </w:p>
    <w:p>
      <w:r/>
    </w:p>
    <w:p>
      <w:pPr>
        <w:pStyle w:val="Heading2"/>
      </w:pPr>
      <w:r>
        <w:t>Caïphe</w:t>
      </w:r>
      <w:r/>
    </w:p>
    <w:p>
      <w:r/>
      <w:r>
        <w:t>Caïphe était le souverain sacrificateur durant la vie et le ministère de Jésus. En tant que chef de la nation juive, il dirigeait le Sanhédrin (la plus haute cour du peuple). Aux côtés du gouverneur romain, Caïphe était l'homme le plus puissant en Judée, responsable devant les Romains du comportement de la nation. Il était particulièrement préoccupé par l'excitation et l'agitation entourant Jésus, surtout au vu des activités croissantes des Zélotes, qui allaient bientôt déclencher une rébellion.</w:t>
      </w:r>
    </w:p>
    <w:p>
      <w:r/>
      <w:r>
        <w:t>La résurrection de Lazare (</w:t>
      </w:r>
      <w:hyperlink r:id="rId2112">
        <w:r>
          <w:rPr>
            <w:color w:val="0000EE"/>
            <w:u w:val="single"/>
          </w:rPr>
          <w:t>Jn 11</w:t>
        </w:r>
      </w:hyperlink>
      <w:r>
        <w:t>) provoquera une grande agitation, poussant les tensions à leur paroxysme. Caïphe, craignant que ceux qui cherchaient un Messie politique ne déclenchent une répression romaine, suggérera que Jésus soit mis à mort (</w:t>
      </w:r>
      <w:hyperlink r:id="rId2113">
        <w:r>
          <w:rPr>
            <w:color w:val="0000EE"/>
            <w:u w:val="single"/>
          </w:rPr>
          <w:t>Jn 11.48–50</w:t>
        </w:r>
      </w:hyperlink>
      <w:r>
        <w:t>). L'Évangile de Jean note qu'en agissant ainsi, Caïphe a prophétisé sans le savoir la nature expiatoire de la mort de Jésus (</w:t>
      </w:r>
      <w:hyperlink r:id="rId2114">
        <w:r>
          <w:rPr>
            <w:color w:val="0000EE"/>
            <w:u w:val="single"/>
          </w:rPr>
          <w:t>Jn 11.51–52</w:t>
        </w:r>
      </w:hyperlink>
      <w:r>
        <w:t>).</w:t>
      </w:r>
    </w:p>
    <w:p>
      <w:r/>
      <w:r>
        <w:t>Caïphe jouera un rôle central dans l'arrestation et le procès de Jésus. Les chefs religieux ont élaboré leurs plans dans son palais (</w:t>
      </w:r>
      <w:hyperlink r:id="rId2115">
        <w:r>
          <w:rPr>
            <w:color w:val="0000EE"/>
            <w:u w:val="single"/>
          </w:rPr>
          <w:t>Mt 26.3–5</w:t>
        </w:r>
      </w:hyperlink>
      <w:r>
        <w:t>), et une partie du procès de Jésus s'y déroulera, sous la présidence de Caïphe (</w:t>
      </w:r>
      <w:hyperlink r:id="rId2116">
        <w:r>
          <w:rPr>
            <w:color w:val="0000EE"/>
            <w:u w:val="single"/>
          </w:rPr>
          <w:t>Mt 26.57–68</w:t>
        </w:r>
      </w:hyperlink>
      <w:r>
        <w:t>). Avant cela, Jésus avait d'abord été amené à Anne, le beau-père de Caïphe (</w:t>
      </w:r>
      <w:hyperlink r:id="rId2117">
        <w:r>
          <w:rPr>
            <w:color w:val="0000EE"/>
            <w:u w:val="single"/>
          </w:rPr>
          <w:t>Jn 18.13</w:t>
        </w:r>
      </w:hyperlink>
      <w:r>
        <w:t>). Bien que Matthieu, Marc et Luc ne mentionnent pas la visite à Anne, et que Marc et Luc ne se réfèrent pas à Caïphe par son nom, le récit de Jean montre qu'Anne était encore influent.</w:t>
      </w:r>
    </w:p>
    <w:p>
      <w:r/>
      <w:r>
        <w:t>Lorsque Jésus admettra qu'il était bien « le Christ, le Fils de Dieu », Caïphe déchirera ses vêtements et l'accusera de blasphème (</w:t>
      </w:r>
      <w:hyperlink r:id="rId2118">
        <w:r>
          <w:rPr>
            <w:color w:val="0000EE"/>
            <w:u w:val="single"/>
          </w:rPr>
          <w:t>Mt 26.63–66</w:t>
        </w:r>
      </w:hyperlink>
      <w:r>
        <w:t>). Après la Pentecôte, Caïphe, avec d'autres dirigeants juifs, dirigera le procès de Pierre et Jean, essayant d'arrêter la prédication des apôtres (</w:t>
      </w:r>
      <w:hyperlink r:id="rId2119">
        <w:r>
          <w:rPr>
            <w:color w:val="0000EE"/>
            <w:u w:val="single"/>
          </w:rPr>
          <w:t>Ac 4.5–6</w:t>
        </w:r>
      </w:hyperlink>
      <w:r>
        <w:t>).</w:t>
      </w:r>
    </w:p>
    <w:p>
      <w:r/>
      <w:r>
        <w:t>Anne, un ancien souverain sacrificateur, a gardé une influence forte dans les affaires juives, ce qui explique pourquoi Luc mentionne à la fois Anne et Caïphe en lien avec le ministère de Jean Baptiste (</w:t>
      </w:r>
      <w:hyperlink r:id="rId946">
        <w:r>
          <w:rPr>
            <w:color w:val="0000EE"/>
            <w:u w:val="single"/>
          </w:rPr>
          <w:t>Lc 3.2</w:t>
        </w:r>
      </w:hyperlink>
      <w:r>
        <w:t>) et pourquoi dans le livre des Actes, Anne est appelé le souverain sacrificateur (</w:t>
      </w:r>
      <w:hyperlink r:id="rId525">
        <w:r>
          <w:rPr>
            <w:color w:val="0000EE"/>
            <w:u w:val="single"/>
          </w:rPr>
          <w:t>Ac 4.6</w:t>
        </w:r>
      </w:hyperlink>
      <w:r>
        <w:t>). L'Évangile de Jean montre également qu'Anne était encore couramment appelé « souverain sacrificateur » (</w:t>
      </w:r>
      <w:hyperlink r:id="rId2120">
        <w:r>
          <w:rPr>
            <w:color w:val="0000EE"/>
            <w:u w:val="single"/>
          </w:rPr>
          <w:t>Jn 18.22</w:t>
        </w:r>
      </w:hyperlink>
      <w:r>
        <w:t>).</w:t>
      </w:r>
    </w:p>
    <w:p>
      <w:r/>
      <w:r>
        <w:t>Selon l'historien Josèphe, Caïphe a été nommé souverain sacrificateur vers l'an 18 après J.‑C. et a servi jusqu'à ce qu'il soit démis de ses fonctions vers l'an 36 après J.‑C. Étant donné que le souverain sacrificateur était soumis à la nomination des Romains, la longue durée de son mandat suggère qu'il était politiquement habile. Après avoir été démis par le proconsul romain Vitellius, on ne sait plus rien de lui.</w:t>
      </w:r>
      <w:r/>
      <w:r/>
    </w:p>
    <w:p>
      <w:r/>
    </w:p>
    <w:p>
      <w:pPr>
        <w:pStyle w:val="Heading2"/>
      </w:pPr>
      <w:r>
        <w:t>Calach</w:t>
      </w:r>
      <w:r/>
    </w:p>
    <w:p>
      <w:r/>
      <w:r>
        <w:t>Une des anciennes capitales de l'Assyrie construite par Nimrod (</w:t>
      </w:r>
      <w:hyperlink r:id="rId2121">
        <w:r>
          <w:rPr>
            <w:color w:val="0000EE"/>
            <w:u w:val="single"/>
          </w:rPr>
          <w:t>Gn 10.11–12</w:t>
        </w:r>
      </w:hyperlink>
      <w:r>
        <w:t>). Calach est le nom ancien de l'actuel Nimrod, situé à 40 km au sud de Ninive sur la rive orientale du fleuve Hiddékel (ou Tigre). Il a été fouillé par Henry Layard de 1845 à 1849 et par l'École britannique d'archéologie en Irak de 1949 à 1964. Le site a été occupé depuis les temps préhistoriques jusqu'à la période hellénistique.</w:t>
      </w:r>
    </w:p>
    <w:p>
      <w:r/>
      <w:r>
        <w:t>Les fouilles à Calach ont révélé une grande ziggourat et des temples dédiés à Ninurta et Nabu. Une grande citadelle construite par Salmanasar 1er au 13e siècle av. J.‑C. et un palais construit par Assurnasirpal II (883–859 av. J.‑C.) y ont également été découverts. Les palais de Salmanasar III (858–824 av. J.‑C.) et d'Assarhaddon (680–669 av. J.‑C.) ont été partiellement dégagés. Parmi les autres découvertes notables de la ville se trouve l'obélisque noir de Salmanasar III, qui est actuellement au British Museum. Le monument est important pour les études bibliques en raison de son enregistrement du tribut payé par le roi Jéhu d'Israël aux Assyriens.</w:t>
      </w:r>
    </w:p>
    <w:p>
      <w:r/>
      <w:r>
        <w:t>Tiglath-Piléser III (745–727 av. J.‑C.) et Sargon II (721–705 av. J.‑C.) ont lancé leurs attaques sur Israël et Juda depuis Calach. Sargon a capturé Samarie. Tiglath-Piléser était impliqué avec Juda lorsqu'Achaz formera une coalition avec lui contre Israël et la Syrie (</w:t>
      </w:r>
      <w:hyperlink r:id="rId2122">
        <w:r>
          <w:rPr>
            <w:color w:val="0000EE"/>
            <w:u w:val="single"/>
          </w:rPr>
          <w:t>Es 7.1–17</w:t>
        </w:r>
      </w:hyperlink>
      <w:r>
        <w:t>). Calach finira par être détruite par les Babyloniens et les Mèdes en 612 av. J.‑C.</w:t>
      </w:r>
      <w:r/>
      <w:r/>
    </w:p>
    <w:p>
      <w:r/>
    </w:p>
    <w:p>
      <w:pPr>
        <w:pStyle w:val="Heading2"/>
      </w:pPr>
      <w:r>
        <w:t>Calendriers, Anciens et modernes</w:t>
      </w:r>
      <w:r/>
    </w:p>
    <w:p>
      <w:r/>
      <w:r>
        <w:t>Représentation visuelle du début et de la durée de chaque année et de sa division en jours, semaines et mois. Nous présummons généralement de l'existence du calendrier moderne. Cependant, sans celui-ci, il serait difficile de s'accorder sur une chronologie uniforme des événements. De plus, il serait impossible de prévoir les saisons.</w:t>
      </w:r>
    </w:p>
    <w:p>
      <w:r/>
      <w:r>
        <w:t>Le calendrier moderne (grégorien) a traversé plusieurs étapes de développement.</w:t>
      </w:r>
    </w:p>
    <w:p>
      <w:pPr>
        <w:pStyle w:val="Heading3"/>
      </w:pPr>
      <w:r>
        <w:t>Survol</w:t>
      </w:r>
    </w:p>
    <w:p>
      <w:r/>
      <w:r>
        <w:t xml:space="preserve">• </w:t>
      </w:r>
      <w:r>
        <w:rPr>
          <w:b/>
          <w:u w:val="single"/>
        </w:rPr>
        <w:t>Les Jours et leurs subdivisions</w:t>
      </w:r>
    </w:p>
    <w:p>
      <w:r/>
      <w:r>
        <w:t xml:space="preserve">• </w:t>
      </w:r>
      <w:r>
        <w:rPr>
          <w:b/>
          <w:u w:val="single"/>
        </w:rPr>
        <w:t>L'Astronomie et le calendrier</w:t>
      </w:r>
    </w:p>
    <w:p>
      <w:r/>
      <w:r>
        <w:t xml:space="preserve">• </w:t>
      </w:r>
      <w:r>
        <w:rPr>
          <w:b/>
          <w:u w:val="single"/>
        </w:rPr>
        <w:t>Le calendrier hébraïque</w:t>
      </w:r>
    </w:p>
    <w:p>
      <w:r/>
      <w:r>
        <w:t xml:space="preserve">• </w:t>
      </w:r>
      <w:r>
        <w:rPr>
          <w:b/>
          <w:u w:val="single"/>
        </w:rPr>
        <w:t>Les Fêtes juives</w:t>
      </w:r>
    </w:p>
    <w:p>
      <w:r/>
      <w:r>
        <w:t xml:space="preserve">• </w:t>
      </w:r>
      <w:r>
        <w:rPr>
          <w:b/>
          <w:u w:val="single"/>
        </w:rPr>
        <w:t>Conclusion</w:t>
      </w:r>
    </w:p>
    <w:p>
      <w:pPr>
        <w:pStyle w:val="Heading3"/>
      </w:pPr>
      <w:r>
        <w:t>Les Jours et leurs subdivisions</w:t>
      </w:r>
    </w:p>
    <w:p>
      <w:r/>
      <w:r>
        <w:t>La première méthode pour enregistrer le temps qui passe était probablement de compter les jours, ce qui a conduit à diviser chaque jour en vingt-quatre parties égales appelées heures. Les Sumériens semblent avoir été les premiers à mesurer le temps en minutes, en heures et en jours. Ils connaissaient également la définition plus restreinte de « jour » pour une période de douze heures.</w:t>
      </w:r>
    </w:p>
    <w:p>
      <w:r/>
      <w:r>
        <w:t>À l'époque du roi Achaz, le temps était mesuré à l'aide de cadrans solaires (</w:t>
      </w:r>
      <w:hyperlink r:id="rId2123">
        <w:r>
          <w:rPr>
            <w:color w:val="0000EE"/>
            <w:u w:val="single"/>
          </w:rPr>
          <w:t>2R 20.9</w:t>
        </w:r>
      </w:hyperlink>
      <w:r>
        <w:t xml:space="preserve"> ; </w:t>
      </w:r>
      <w:hyperlink r:id="rId2124">
        <w:r>
          <w:rPr>
            <w:color w:val="0000EE"/>
            <w:u w:val="single"/>
          </w:rPr>
          <w:t>Es 38.8</w:t>
        </w:r>
      </w:hyperlink>
      <w:r>
        <w:t>). La division de la journée en heures est apparue plus tard. Les premiers Européens et les anciens Égyptiens commençaient la journée à minuit et la divisaient en deux segments de douze heures. Au IIe siècle av. J.‑C., l'astronome égyptien Ptolémée et ses disciples calculaient le début de la journée à midi, lorsque le soleil atteignait son paroxysme. À Rome, la journée commençait au lever du soleil, et la seconde partie de la journée débutait au coucher du soleil.</w:t>
      </w:r>
    </w:p>
    <w:p>
      <w:pPr>
        <w:pStyle w:val="Heading3"/>
      </w:pPr>
      <w:r>
        <w:t>L'Astronomie et le calendrier</w:t>
      </w:r>
    </w:p>
    <w:p>
      <w:r/>
      <w:r>
        <w:t>Les peuples anciens basaient leurs calendriers sur les « cycles » du soleil et de la lune. Une année solaire est le temps nécessaire à la Terre pour compléter son orbite autour du soleil.</w:t>
      </w:r>
    </w:p>
    <w:p>
      <w:r/>
      <w:r>
        <w:t>La vie des peuples anciens était étroitement liée aux variations de température et à la durée relative des jours et des nuits, caractéristiques des quatre saisons. L'inclinaison de la Terre en orbite autour du Soleil crée le changement de saisons. Dans l'hémisphère Nord, le jour le plus long de l'année est appelé le solstice d'été (environ le 21 juin), tandis que le jour le plus court de l'année est appelé le solstice d'hiver (21 ou 22 décembre). Pendant le solstice d'hiver (21 ou 22 décembre), le soleil de midi apparaît le plus bas (le plus au sud). Cependant, dans l'hémisphère Sud, l'été et l'hiver sont inversés.</w:t>
      </w:r>
    </w:p>
    <w:p>
      <w:r/>
      <w:r>
        <w:t>L'équinoxe du printemps se situe autour du 21 mars, et l'équinoxe de l'automne autour du 23 septembre. Le soleil est directement au-dessus de l'équateur, ce qui rend les jours et les nuits d'égale longueur. Le terme « équinoxe » provient du mot latin signifiant « nuit égale ». Les peuples anciens mesuraient une année solaire en suivant la période entre deux solstices ou équinoxes similaires.</w:t>
      </w:r>
    </w:p>
    <w:p>
      <w:r/>
      <w:r>
        <w:t>Le calendrier solaire définit les jours en fonction du temps que met le soleil pour revenir au même endroit au-dessus de la Terre (par exemple, le lever, le coucher ou le point le plus haut à midi). Ainsi, un « jour » correspond à une rotation complète de la Terre sur son axe, désormais divisée en vingt-quatre heures. La rotation de la Terre autour de son axe n'est pas liée à l'orbite annuelle de la Terre autour du soleil. Pour cette raison, certains problèmes surviennent car une année solaire n'est pas facilement divisible en un nombre de jours. En réalité, une année solaire compte 365 jours, en plus d'une fraction de jour.</w:t>
      </w:r>
    </w:p>
    <w:p>
      <w:r/>
      <w:r>
        <w:t>C'est le fait de définir une année par plus de facteurs que la rotation autour de la Terre qui pose les plus grands problèmes avec le calendrier. Les anciens ont rencontré des difficultés considérables en essayant de combiner les périodes solaires et lunaires. Cela a été aggravé par le fait que les mois correspondaient aux phases de la lune, qui sont peu fiables. Les orbites du soleil, de la lune et de la Terre entraînent de nombreuses complications.</w:t>
      </w:r>
    </w:p>
    <w:p>
      <w:r/>
      <w:r>
        <w:t>Le calendrier lunaire mesurait le temps par lunaisons (le nombre de jours entre les nouvelles lunes). Un mois lunaire dure un peu plus de vingt-neuf jours et demi, commençant avec la nouvelle lune. En réalité, l'orbite de la lune autour de la Terre est d'environ vingt-sept jours et un tiers. Cependant, la rotation de la Terre autour du Soleil fait que la lune prend deux jours supplémentaires pour revenir à la même position entre le Soleil et la Terre et produire une « nouvelle lune ».</w:t>
      </w:r>
    </w:p>
    <w:p>
      <w:r/>
      <w:r>
        <w:t>Douze mois lunaires étaient environ 11 jours plus courts que l'année solaire. Ainsi, des jours supplémentaires ont été ajoutés pour compenser la différence. La pratique d'ajouter des jours s'appelle l'intercalation. C'était un procédé courant utilisé dans les calendriers lunaires. Par exemple, les anciens Chinois ajoutaient un mois supplémentaire tous les 30 ans à leur calendrier. Cette année se composait de 12 mois de 29 ou 30 jours chacun. Le calendrier lunaire musulman, qui est encore utilisé dans l'Islam, a également un cycle de 30 ans. La deuxième année de chaque cycle, et tous les trois ans par la suite, contient une « année bissextile » (une année de longueur anormale). Dans le calendrier musulman, une année bissextile dure 355 jours, au lieu de l'année musulmane ordinaire de 354 jours. Le calendrier hébreu ancien rencontrait les mêmes problèmes que les autres calendriers lunaires.</w:t>
      </w:r>
    </w:p>
    <w:p>
      <w:pPr>
        <w:pStyle w:val="Heading3"/>
      </w:pPr>
      <w:r>
        <w:t>Le Calendrier juif</w:t>
      </w:r>
    </w:p>
    <w:p>
      <w:r/>
      <w:r>
        <w:t>Les vies des anciens Israélites étaient grandement influencées par le calendrier. Le calendrier juif commence à partir de la date supposée de la Création : 3 760 ans et trois mois avant l'ère chrétienne. L'année actuelle dans le calendrier juif rajoute 3 759 ans à la date du calendrier grégorien. Cependant, cela ne tient pas compte des mois puisque l'année juive commence à l'automne plutôt qu'au 1er janvier.</w:t>
      </w:r>
    </w:p>
    <w:p>
      <w:pPr>
        <w:pStyle w:val="Heading4"/>
      </w:pPr>
      <w:r>
        <w:t>Les Mois</w:t>
      </w:r>
    </w:p>
    <w:p>
      <w:r/>
      <w:r>
        <w:t>Le calendrier juif après l'exil babylonien compte douze mois. Les noms des mois ont été empruntés aux Babyloniens. Les mois ne correspondent pas aux mois du calendrier romain.</w:t>
      </w:r>
    </w:p>
    <w:p>
      <w:r/>
      <w:r>
        <w:t>Plus de la moitié des mois sont mentionnés dans l'Ancien Testament :</w:t>
      </w:r>
    </w:p>
    <w:p>
      <w:pPr>
        <w:pStyle w:val="ListBullet"/>
        <w:spacing w:line="240" w:lineRule="auto"/>
        <w:ind w:left="720"/>
      </w:pPr>
      <w:r/>
      <w:r>
        <w:t>Kisleu (</w:t>
      </w:r>
      <w:hyperlink r:id="rId2125">
        <w:r>
          <w:rPr>
            <w:color w:val="0000EE"/>
            <w:u w:val="single"/>
          </w:rPr>
          <w:t>Néhémie 1.1</w:t>
        </w:r>
      </w:hyperlink>
      <w:r>
        <w:t xml:space="preserve"> ; </w:t>
      </w:r>
      <w:hyperlink r:id="rId2126">
        <w:r>
          <w:rPr>
            <w:color w:val="0000EE"/>
            <w:u w:val="single"/>
          </w:rPr>
          <w:t>Zacharie 7</w:t>
        </w:r>
      </w:hyperlink>
      <w:r>
        <w:t>)</w:t>
      </w:r>
    </w:p>
    <w:p>
      <w:pPr>
        <w:pStyle w:val="ListBullet"/>
        <w:spacing w:line="240" w:lineRule="auto"/>
        <w:ind w:left="720"/>
      </w:pPr>
      <w:r/>
      <w:r>
        <w:t>Tébeth (</w:t>
      </w:r>
      <w:hyperlink r:id="rId2127">
        <w:r>
          <w:rPr>
            <w:color w:val="0000EE"/>
            <w:u w:val="single"/>
          </w:rPr>
          <w:t>Est 2.16</w:t>
        </w:r>
      </w:hyperlink>
      <w:r>
        <w:t>)</w:t>
      </w:r>
    </w:p>
    <w:p>
      <w:pPr>
        <w:pStyle w:val="ListBullet"/>
        <w:spacing w:line="240" w:lineRule="auto"/>
        <w:ind w:left="720"/>
      </w:pPr>
      <w:r/>
      <w:r>
        <w:t>Schebat (</w:t>
      </w:r>
      <w:hyperlink r:id="rId2128">
        <w:r>
          <w:rPr>
            <w:color w:val="0000EE"/>
            <w:u w:val="single"/>
          </w:rPr>
          <w:t>Za 1.7</w:t>
        </w:r>
      </w:hyperlink>
      <w:r>
        <w:t>)</w:t>
      </w:r>
    </w:p>
    <w:p>
      <w:pPr>
        <w:pStyle w:val="ListBullet"/>
        <w:spacing w:line="240" w:lineRule="auto"/>
        <w:ind w:left="720"/>
      </w:pPr>
      <w:r/>
      <w:r>
        <w:t>Adar (</w:t>
      </w:r>
      <w:hyperlink r:id="rId2129">
        <w:r>
          <w:rPr>
            <w:color w:val="0000EE"/>
            <w:u w:val="single"/>
          </w:rPr>
          <w:t>Esther 3.7, 8.12</w:t>
        </w:r>
      </w:hyperlink>
      <w:r>
        <w:t>)</w:t>
      </w:r>
    </w:p>
    <w:p>
      <w:pPr>
        <w:pStyle w:val="ListBullet"/>
        <w:spacing w:line="240" w:lineRule="auto"/>
        <w:ind w:left="720"/>
      </w:pPr>
      <w:r/>
      <w:r>
        <w:t>Nisan (</w:t>
      </w:r>
      <w:hyperlink r:id="rId2130">
        <w:r>
          <w:rPr>
            <w:color w:val="0000EE"/>
            <w:u w:val="single"/>
          </w:rPr>
          <w:t>Né 2.1</w:t>
        </w:r>
      </w:hyperlink>
      <w:r>
        <w:t xml:space="preserve"> ; </w:t>
      </w:r>
      <w:hyperlink r:id="rId2131">
        <w:r>
          <w:rPr>
            <w:color w:val="0000EE"/>
            <w:u w:val="single"/>
          </w:rPr>
          <w:t>Est 3.7</w:t>
        </w:r>
      </w:hyperlink>
      <w:r>
        <w:t>)</w:t>
      </w:r>
    </w:p>
    <w:p>
      <w:pPr>
        <w:pStyle w:val="ListBullet"/>
        <w:spacing w:line="240" w:lineRule="auto"/>
        <w:ind w:left="720"/>
      </w:pPr>
      <w:r/>
      <w:r>
        <w:t>Sivan (</w:t>
      </w:r>
      <w:hyperlink r:id="rId2132">
        <w:r>
          <w:rPr>
            <w:color w:val="0000EE"/>
            <w:u w:val="single"/>
          </w:rPr>
          <w:t>Est 8.9</w:t>
        </w:r>
      </w:hyperlink>
      <w:r>
        <w:t>)</w:t>
      </w:r>
    </w:p>
    <w:p>
      <w:pPr>
        <w:pStyle w:val="ListBullet"/>
        <w:spacing w:line="240" w:lineRule="auto"/>
        <w:ind w:left="720"/>
      </w:pPr>
      <w:r/>
      <w:r>
        <w:t>Élul (</w:t>
      </w:r>
      <w:hyperlink r:id="rId2133">
        <w:r>
          <w:rPr>
            <w:color w:val="0000EE"/>
            <w:u w:val="single"/>
          </w:rPr>
          <w:t>Né 6.15</w:t>
        </w:r>
      </w:hyperlink>
      <w:r>
        <w:t>)</w:t>
      </w:r>
    </w:p>
    <w:p>
      <w:r/>
      <w:r>
        <w:t>Le mois juif commence toujours avec la nouvelle lune. Comme les mois durent environ vingt-neuf jours et demi, l'année juive compte 354 jours. Nous ne savons pas exactement comment le peuple juif ajustait à l'origine le calendrier lunaire pour le réaligner avec l'année solaire réelle. Ils ont fini par ajouter un mois supplémentaire appelé Veader (« deuxième Adar ») entre Adar et Nisan sept fois dans un cycle de dix-neuf ans. La dix-neuvième année, Adar recevait une demi-journée supplémentaire.</w:t>
      </w:r>
    </w:p>
    <w:p>
      <w:r/>
      <w:r>
        <w:t>Les noms des mois juifs, tels que nous les connaissons aujourd'hui, trouvent leur origine après le retour de Babylone en Palestine. Avant l'exil babylonien, au moins quatre autres noms étaient utilisés :</w:t>
      </w:r>
    </w:p>
    <w:p>
      <w:pPr>
        <w:pStyle w:val="ListBullet"/>
        <w:spacing w:line="240" w:lineRule="auto"/>
        <w:ind w:left="720"/>
      </w:pPr>
      <w:r/>
      <w:r>
        <w:t>Abib (</w:t>
      </w:r>
      <w:hyperlink r:id="rId2134">
        <w:r>
          <w:rPr>
            <w:color w:val="0000EE"/>
            <w:u w:val="single"/>
          </w:rPr>
          <w:t>Ex 13.4</w:t>
        </w:r>
      </w:hyperlink>
      <w:r>
        <w:t>)</w:t>
      </w:r>
    </w:p>
    <w:p>
      <w:pPr>
        <w:pStyle w:val="ListBullet"/>
        <w:spacing w:line="240" w:lineRule="auto"/>
        <w:ind w:left="720"/>
      </w:pPr>
      <w:r/>
      <w:r>
        <w:t>Ziv (</w:t>
      </w:r>
      <w:hyperlink r:id="rId2135">
        <w:r>
          <w:rPr>
            <w:color w:val="0000EE"/>
            <w:u w:val="single"/>
          </w:rPr>
          <w:t>1R 6.1, 37</w:t>
        </w:r>
      </w:hyperlink>
      <w:r>
        <w:t>)</w:t>
      </w:r>
    </w:p>
    <w:p>
      <w:pPr>
        <w:pStyle w:val="ListBullet"/>
        <w:spacing w:line="240" w:lineRule="auto"/>
        <w:ind w:left="720"/>
      </w:pPr>
      <w:r/>
      <w:r>
        <w:t>Éthanim (</w:t>
      </w:r>
      <w:hyperlink r:id="rId2136">
        <w:r>
          <w:rPr>
            <w:color w:val="0000EE"/>
            <w:u w:val="single"/>
          </w:rPr>
          <w:t>1R 8.2</w:t>
        </w:r>
      </w:hyperlink>
      <w:r>
        <w:t>)</w:t>
      </w:r>
    </w:p>
    <w:p>
      <w:pPr>
        <w:pStyle w:val="ListBullet"/>
        <w:spacing w:line="240" w:lineRule="auto"/>
        <w:ind w:left="720"/>
      </w:pPr>
      <w:r/>
      <w:r>
        <w:t>Bul (</w:t>
      </w:r>
      <w:hyperlink r:id="rId2137">
        <w:r>
          <w:rPr>
            <w:color w:val="0000EE"/>
            <w:u w:val="single"/>
          </w:rPr>
          <w:t>1R 6.38</w:t>
        </w:r>
      </w:hyperlink>
      <w:r>
        <w:t>)</w:t>
      </w:r>
    </w:p>
    <w:p>
      <w:r/>
      <w:r>
        <w:t>Après la captivité babylonienne, ces mois ont été renommés Nisan, Iyyar, Tishri et Heshvan, respectivement. Les noms originaux étaient liés à l'agriculture. Par exemple, en Abib, les épis de céréales arrivaient à maturité et en Ziv, les fleurs du désert s'épanouissaient.</w:t>
      </w:r>
    </w:p>
    <w:p>
      <w:r/>
      <w:r>
        <w:t>Le plus ancien calendrier hébreu a été découvert à Guézer (au sud-est de Tel-Aviv) en 1908. Il a été créé au Xe siècle av. J.‑C. Dans celui-ci, les mois sont divisés par activités agricoles telles que les semailles, la moisson, la taille et le stockage. Il a probablement été réalisé par un écolier juif.</w:t>
      </w:r>
    </w:p>
    <w:p>
      <w:r/>
      <w:r>
        <w:t>Les mois avaient une signification religieuse pour le peuple juif. Cela leur permettait de se souvenir de certains événements importants de leur histoire. Le début de chaque mois était considéré comme sacré. La lune était un symbole spirituel pour les anciens Israélites. Elle représentait Israël, et le soleil a fini par devenir un symbole du Messie, l'oint de Dieu (</w:t>
      </w:r>
      <w:hyperlink r:id="rId2138">
        <w:r>
          <w:rPr>
            <w:color w:val="0000EE"/>
            <w:u w:val="single"/>
          </w:rPr>
          <w:t>Ml 4.2</w:t>
        </w:r>
      </w:hyperlink>
      <w:r>
        <w:t>). Tout comme la lune ne produit pas sa propre lumière, Israël était censé refléter la lumière du Messie au monde.</w:t>
      </w:r>
    </w:p>
    <w:p>
      <w:r/>
      <w:r>
        <w:t>Le calendrier juif est resté inchangé pendant les quatre cents ans entre l'Ancien Testament et le Nouveau Testament, malgré les tentatives des dirigeants grecs de le modifier. Dans le calendrier grec, cinq jours ont été ajoutés au dernier mois de l'année, chacun des douze mois comptant trente jours. Malgré cela, il n'avait pas la même durée qu'une année solaire.</w:t>
      </w:r>
    </w:p>
    <w:p>
      <w:pPr>
        <w:pStyle w:val="Heading4"/>
      </w:pPr>
      <w:r>
        <w:t>Le Calcul des dates</w:t>
      </w:r>
    </w:p>
    <w:p>
      <w:r/>
      <w:r>
        <w:t>Les anciens Israélites n'enregistraient pas les dates par mois et par jour. Ils enregistraient les dates en se référant à des événements significatifs, comme l'année où le roi au pouvoir était monté sur le trône. À l'époque du Nouveau Testament, les Juifs ont poursuivi cette méthode en synchronisant les dates avec leur calendrier religieux ou le calendrier romain. Les auteurs du Nouveau Testament ont suivi le même principe (</w:t>
      </w:r>
      <w:hyperlink r:id="rId2139">
        <w:r>
          <w:rPr>
            <w:color w:val="0000EE"/>
            <w:u w:val="single"/>
          </w:rPr>
          <w:t>Lc 1.5</w:t>
        </w:r>
      </w:hyperlink>
      <w:r>
        <w:t xml:space="preserve"> ; </w:t>
      </w:r>
      <w:hyperlink r:id="rId2140">
        <w:r>
          <w:rPr>
            <w:color w:val="0000EE"/>
            <w:u w:val="single"/>
          </w:rPr>
          <w:t>Jn 12.1</w:t>
        </w:r>
      </w:hyperlink>
      <w:r>
        <w:t xml:space="preserve"> ; </w:t>
      </w:r>
      <w:hyperlink r:id="rId328">
        <w:r>
          <w:rPr>
            <w:color w:val="0000EE"/>
            <w:u w:val="single"/>
          </w:rPr>
          <w:t>Ac 18.12</w:t>
        </w:r>
      </w:hyperlink>
      <w:r>
        <w:t>). Le calendrier créé par Jules César a poussé les gens à passer de cette méthode à un système plus standardisé.</w:t>
      </w:r>
    </w:p>
    <w:p>
      <w:pPr>
        <w:pStyle w:val="Heading3"/>
      </w:pPr>
      <w:r>
        <w:t>Fêtes juives</w:t>
      </w:r>
    </w:p>
    <w:p>
      <w:r/>
      <w:r>
        <w:t>En plus de respecter le sabbat, les Juifs observent sept fêtes annuelles.</w:t>
      </w:r>
    </w:p>
    <w:p>
      <w:r/>
      <w:r>
        <w:t xml:space="preserve">1. </w:t>
      </w:r>
      <w:r>
        <w:rPr>
          <w:b/>
        </w:rPr>
        <w:t>Pâque</w:t>
      </w:r>
      <w:r>
        <w:t xml:space="preserve"> commence le soir du 14 Nisan. Elle marque l'exode d'Égypte. Le premier jour de Nisan détermine la date de la Pâque. La Pâque est observée pendant sept jours et inclut la Fête des Pains sans Levain, qui symbolise la préparation rapide d'Israël pour l'évasion d'Égypte (</w:t>
      </w:r>
      <w:hyperlink r:id="rId1606">
        <w:r>
          <w:rPr>
            <w:color w:val="0000EE"/>
            <w:u w:val="single"/>
          </w:rPr>
          <w:t>Ex 12.15</w:t>
        </w:r>
      </w:hyperlink>
      <w:r>
        <w:t>). Le festival des prémices de la récolte d'orge vient ensuite (</w:t>
      </w:r>
      <w:hyperlink r:id="rId2141">
        <w:r>
          <w:rPr>
            <w:color w:val="0000EE"/>
            <w:u w:val="single"/>
          </w:rPr>
          <w:t>Lv 23.10</w:t>
        </w:r>
      </w:hyperlink>
      <w:r>
        <w:t>).</w:t>
      </w:r>
    </w:p>
    <w:p>
      <w:r/>
      <w:r>
        <w:t xml:space="preserve">2. </w:t>
      </w:r>
      <w:r>
        <w:rPr>
          <w:b/>
        </w:rPr>
        <w:t>La Pentecôte</w:t>
      </w:r>
      <w:r>
        <w:t xml:space="preserve"> est observée cinquante jours après la Pâque. La Pentecôte est un moment de célébration où les premiers fruits de la récolte de blé sont collectés (</w:t>
      </w:r>
      <w:hyperlink r:id="rId2142">
        <w:r>
          <w:rPr>
            <w:color w:val="0000EE"/>
            <w:u w:val="single"/>
          </w:rPr>
          <w:t>Ex 34.22</w:t>
        </w:r>
      </w:hyperlink>
      <w:r>
        <w:t xml:space="preserve"> ; </w:t>
      </w:r>
      <w:hyperlink r:id="rId2143">
        <w:r>
          <w:rPr>
            <w:color w:val="0000EE"/>
            <w:u w:val="single"/>
          </w:rPr>
          <w:t>Lv 23.15–17</w:t>
        </w:r>
      </w:hyperlink>
      <w:r>
        <w:t>).</w:t>
      </w:r>
    </w:p>
    <w:p>
      <w:r/>
      <w:r>
        <w:t xml:space="preserve">3. </w:t>
      </w:r>
      <w:r>
        <w:rPr>
          <w:b/>
        </w:rPr>
        <w:t>Roch Hachana</w:t>
      </w:r>
      <w:r>
        <w:t xml:space="preserve"> est observé le 1er Tishri. Selon les enseignants religieux juifs, connus sous le nom de rabbins, le 1er Tishri était le jour où le Seigneur a créé le monde. Roch Hachana signifie « tête de l'année ».</w:t>
      </w:r>
    </w:p>
    <w:p>
      <w:r/>
      <w:r>
        <w:t xml:space="preserve">4. </w:t>
      </w:r>
      <w:r>
        <w:rPr>
          <w:b/>
        </w:rPr>
        <w:t>Yom Kippour</w:t>
      </w:r>
      <w:r>
        <w:t xml:space="preserve"> est célébré le 10 Tishri. Il s'agit du jour le plus solennel pour Israël. C'est un jour saint connu sous le nom de « Sabbat des sabbats ». Le rituel complexe requis pour l'observer est décrit dans la Bible (</w:t>
      </w:r>
      <w:hyperlink r:id="rId2144">
        <w:r>
          <w:rPr>
            <w:color w:val="0000EE"/>
            <w:u w:val="single"/>
          </w:rPr>
          <w:t>Lv 16</w:t>
        </w:r>
      </w:hyperlink>
      <w:r>
        <w:t>).</w:t>
      </w:r>
    </w:p>
    <w:p>
      <w:r/>
      <w:r>
        <w:t xml:space="preserve">5. </w:t>
      </w:r>
      <w:r>
        <w:rPr>
          <w:b/>
        </w:rPr>
        <w:t>Souccot</w:t>
      </w:r>
      <w:r>
        <w:t xml:space="preserve"> est observé les 15–22 Tishri. Il est également connu sous le nom de Fête des Tabernacles. C'est une fête basée sur les traditions agricoles. Elle célèbre la récolte d'automne. L'apôtre Jean l'a appelée « la fête » (Jn 7.37). La Fête des Tabernacles est aussi appelée la Fête des Cabanes (Abris). Elle commémore également les soins de Dieu envers son peuple pendant les quarante ans d'Israël dans le désert (Lv 23.39–43).</w:t>
      </w:r>
    </w:p>
    <w:p>
      <w:r/>
      <w:r>
        <w:t xml:space="preserve">6. </w:t>
      </w:r>
      <w:r>
        <w:rPr>
          <w:b/>
        </w:rPr>
        <w:t>Hanoucca</w:t>
      </w:r>
      <w:r>
        <w:t xml:space="preserve"> est observée le 25 Kislev et les sept jours suivants. Elle a été ajoutée au calendrier plus tard dans l'histoire juive. Elle est également appelée la Fête de la Dédicace. Elle commémore la victoire de Judas Maccabée sur Antiochus Épiphane et les Syriens, cent cinquante ans avant Jésus-Christ. L'époque de Judas Maccabée était postérieure au dernier des prophètes de l'Ancien Testament. Ainsi, la tradition détermine comment Hanoucca est célébrée. Pendant la semaine d'Hanoucca, des activités joyeuses marquent le calendrier juif.</w:t>
      </w:r>
    </w:p>
    <w:p>
      <w:r/>
      <w:r>
        <w:t xml:space="preserve">7. </w:t>
      </w:r>
      <w:r>
        <w:rPr>
          <w:b/>
        </w:rPr>
        <w:t>Pourim</w:t>
      </w:r>
      <w:r>
        <w:t xml:space="preserve"> est observé les 14–15 Adar. La fête, qui a commencé dans l'ancienne Perse, commémore la délivrance apportée par Mardochée et Esther lorsqu'ils ont déjoué le complot d'Haman visant à détruire les Juifs (</w:t>
      </w:r>
      <w:hyperlink r:id="rId2145">
        <w:r>
          <w:rPr>
            <w:color w:val="0000EE"/>
            <w:u w:val="single"/>
          </w:rPr>
          <w:t>Est 9</w:t>
        </w:r>
      </w:hyperlink>
      <w:r>
        <w:t>).</w:t>
      </w:r>
    </w:p>
    <w:p>
      <w:pPr>
        <w:pStyle w:val="Heading3"/>
      </w:pPr>
      <w:r>
        <w:t>Conclusion</w:t>
      </w:r>
    </w:p>
    <w:p>
      <w:r/>
      <w:r>
        <w:t>De la même manière que les cadrans solaires anciens et les horloges modernes suivent les minutes et les heures, un calendrier suit les jours, les semaines, les mois, les années, et même les siècles. Une manière uniforme de mesurer le temps aide à l'agriculture, aux affaires et au gouvernement. Cela est également utile pour les historiens et unifie la célébration des fêtes religieuses. Le développement du calendrier moderne (grégorien) reflète à la fois la science et les traditions religieuses. Pour les chrétiens, le calendrier met en évidence le contraste biblique entre l'intemporalité de Dieu et la mortalité humaine (</w:t>
      </w:r>
      <w:hyperlink r:id="rId2146">
        <w:r>
          <w:rPr>
            <w:color w:val="0000EE"/>
            <w:u w:val="single"/>
          </w:rPr>
          <w:t>Ps 90</w:t>
        </w:r>
      </w:hyperlink>
      <w:r>
        <w:t xml:space="preserve">). Le Psaume 90 demande à Dieu de « </w:t>
      </w:r>
      <w:r>
        <w:t>Enseigne[r] à bien compter nos jours, Afin que nous appliquions notre cœur à la sagesse</w:t>
      </w:r>
      <w:r>
        <w:t xml:space="preserve"> » (</w:t>
      </w:r>
      <w:hyperlink r:id="rId2147">
        <w:r>
          <w:rPr>
            <w:color w:val="0000EE"/>
            <w:u w:val="single"/>
          </w:rPr>
          <w:t>Ps 90.12</w:t>
        </w:r>
      </w:hyperlink>
      <w:r>
        <w:t>).</w:t>
      </w:r>
    </w:p>
    <w:p>
      <w:r/>
      <w:r>
        <w:rPr>
          <w:i/>
        </w:rPr>
        <w:t>Voir aussi</w:t>
      </w:r>
      <w:r>
        <w:t xml:space="preserve"> </w:t>
      </w:r>
      <w:r>
        <w:t>Astrologie</w:t>
      </w:r>
      <w:r>
        <w:t xml:space="preserve"> ; </w:t>
      </w:r>
      <w:r>
        <w:t>Astronomie</w:t>
      </w:r>
      <w:r>
        <w:t xml:space="preserve"> ; </w:t>
      </w:r>
      <w:r>
        <w:t>Jour</w:t>
      </w:r>
      <w:r>
        <w:t xml:space="preserve"> ; </w:t>
      </w:r>
      <w:r>
        <w:t>Fêtes et festivals d'Israël</w:t>
      </w:r>
      <w:r>
        <w:t xml:space="preserve"> ; </w:t>
      </w:r>
      <w:r>
        <w:t>Année du Jubilé</w:t>
      </w:r>
      <w:r>
        <w:t xml:space="preserve"> ; </w:t>
      </w:r>
      <w:r>
        <w:t>Lune</w:t>
      </w:r>
      <w:r>
        <w:t xml:space="preserve"> ; </w:t>
      </w:r>
      <w:r>
        <w:t>Nuit</w:t>
      </w:r>
      <w:r>
        <w:t xml:space="preserve"> ; </w:t>
      </w:r>
      <w:r>
        <w:t>Soleil</w:t>
      </w:r>
      <w:r>
        <w:t>.</w:t>
      </w:r>
      <w:r/>
      <w:r/>
    </w:p>
    <w:p>
      <w:r/>
    </w:p>
    <w:p>
      <w:pPr>
        <w:pStyle w:val="Heading2"/>
      </w:pPr>
      <w:r>
        <w:t>Calné</w:t>
      </w:r>
      <w:r/>
    </w:p>
    <w:p>
      <w:r/>
      <w:r>
        <w:t>1. Ville en Babylone (</w:t>
      </w:r>
      <w:hyperlink r:id="rId116">
        <w:r>
          <w:rPr>
            <w:color w:val="0000EE"/>
            <w:u w:val="single"/>
          </w:rPr>
          <w:t>Gn 10.10</w:t>
        </w:r>
      </w:hyperlink>
      <w:r>
        <w:t>).</w:t>
      </w:r>
    </w:p>
    <w:p>
      <w:r/>
      <w:r>
        <w:t xml:space="preserve">2. Ville identifiée comme Kullani (Kullan Koy), à environ 30 km au nord d'Alep dans le nord de la Syrie. Cette identification nordique est suggérée dans </w:t>
      </w:r>
      <w:hyperlink r:id="rId2148">
        <w:r>
          <w:rPr>
            <w:color w:val="0000EE"/>
            <w:u w:val="single"/>
          </w:rPr>
          <w:t>Ésaïe 10.9</w:t>
        </w:r>
      </w:hyperlink>
      <w:r>
        <w:t xml:space="preserve">, où Calné est associée à Carkemisch, à environ 80 km au nord-est, ainsi que dans le contexte de </w:t>
      </w:r>
      <w:hyperlink r:id="rId2149">
        <w:r>
          <w:rPr>
            <w:color w:val="0000EE"/>
            <w:u w:val="single"/>
          </w:rPr>
          <w:t>Amos 6.2</w:t>
        </w:r>
      </w:hyperlink>
      <w:r>
        <w:t xml:space="preserve"> (notez la progression du nord au sud : Calné, Hamath, Gath). Canné dans </w:t>
      </w:r>
      <w:hyperlink r:id="rId2150">
        <w:r>
          <w:rPr>
            <w:color w:val="0000EE"/>
            <w:u w:val="single"/>
          </w:rPr>
          <w:t>Ézéchiel 27.23</w:t>
        </w:r>
      </w:hyperlink>
      <w:r>
        <w:t xml:space="preserve"> semble se référer au même emplacement général et est peut-être à relier à Calné. Kullani sera capturée par Tiglath-Piléser II, roi d'Assyrie, vers 741 av. J.‑C.</w:t>
      </w:r>
      <w:r/>
      <w:r/>
    </w:p>
    <w:p>
      <w:r/>
    </w:p>
    <w:p>
      <w:pPr>
        <w:pStyle w:val="Heading2"/>
      </w:pPr>
      <w:r>
        <w:t>Calvitie</w:t>
      </w:r>
      <w:r/>
    </w:p>
    <w:p>
      <w:r/>
      <w:r>
        <w:t>La condition d'avoir peu ou pas de cheveux sur le cuir chevelu.</w:t>
      </w:r>
    </w:p>
    <w:p>
      <w:r/>
      <w:r>
        <w:t>La Bible fait indirectement référence à la calvitie naturelle due à l'âge, en la contrastant avec la calvitie causée par la lèpre (</w:t>
      </w:r>
      <w:hyperlink r:id="rId2151">
        <w:r>
          <w:rPr>
            <w:color w:val="0000EE"/>
            <w:u w:val="single"/>
          </w:rPr>
          <w:t>Lv 13.40–42</w:t>
        </w:r>
      </w:hyperlink>
      <w:r>
        <w:t>). Les Israélites avaient l'interdiction de se raser la tête ou de façonner leur barbe de manière à imiter les pratiques religieuses païennes (</w:t>
      </w:r>
      <w:hyperlink r:id="rId2152">
        <w:r>
          <w:rPr>
            <w:color w:val="0000EE"/>
            <w:u w:val="single"/>
          </w:rPr>
          <w:t>Dt 14.1</w:t>
        </w:r>
      </w:hyperlink>
      <w:r>
        <w:t>), et de telles restrictions s'appliquaient particulièrement aux prêtres israélites (</w:t>
      </w:r>
      <w:hyperlink r:id="rId2153">
        <w:r>
          <w:rPr>
            <w:color w:val="0000EE"/>
            <w:u w:val="single"/>
          </w:rPr>
          <w:t>Lv 21.5</w:t>
        </w:r>
      </w:hyperlink>
      <w:r>
        <w:t>). Cependant, se raser les cheveux et les offrir en sacrifice à Dieu était un acte prescrit pour ceux qui faisaient un vœu de naziréat (</w:t>
      </w:r>
      <w:hyperlink r:id="rId2154">
        <w:r>
          <w:rPr>
            <w:color w:val="0000EE"/>
            <w:u w:val="single"/>
          </w:rPr>
          <w:t>Nb 6.1</w:t>
        </w:r>
      </w:hyperlink>
      <w:hyperlink r:id="rId2155">
        <w:r>
          <w:rPr>
            <w:color w:val="0000EE"/>
            <w:u w:val="single"/>
          </w:rPr>
          <w:t>–</w:t>
        </w:r>
      </w:hyperlink>
      <w:hyperlink r:id="rId2154">
        <w:r>
          <w:rPr>
            <w:color w:val="0000EE"/>
            <w:u w:val="single"/>
          </w:rPr>
          <w:t>5, 18</w:t>
        </w:r>
      </w:hyperlink>
      <w:r>
        <w:t xml:space="preserve"> ; </w:t>
      </w:r>
      <w:hyperlink r:id="rId2156">
        <w:r>
          <w:rPr>
            <w:color w:val="0000EE"/>
            <w:u w:val="single"/>
          </w:rPr>
          <w:t>Ac 18.18</w:t>
        </w:r>
      </w:hyperlink>
      <w:r>
        <w:t>).</w:t>
      </w:r>
    </w:p>
    <w:p>
      <w:r/>
      <w:r>
        <w:t>Dans les cultures anciennes comme l'Égypte, se raser les cheveux et les sourcils était un signe de respect pour les morts. La Bible fait référence à cette coutume parmi les non-Israélites comme un signe de deuil ou d'angoisse (</w:t>
      </w:r>
      <w:hyperlink r:id="rId2157">
        <w:r>
          <w:rPr>
            <w:color w:val="0000EE"/>
            <w:u w:val="single"/>
          </w:rPr>
          <w:t>Jr 16.6</w:t>
        </w:r>
      </w:hyperlink>
      <w:r>
        <w:t xml:space="preserve"> ; </w:t>
      </w:r>
      <w:hyperlink r:id="rId2158">
        <w:r>
          <w:rPr>
            <w:color w:val="0000EE"/>
            <w:u w:val="single"/>
          </w:rPr>
          <w:t>48.37</w:t>
        </w:r>
      </w:hyperlink>
      <w:r>
        <w:t xml:space="preserve"> ; </w:t>
      </w:r>
      <w:hyperlink r:id="rId2159">
        <w:r>
          <w:rPr>
            <w:color w:val="0000EE"/>
            <w:u w:val="single"/>
          </w:rPr>
          <w:t>Ez 27.31</w:t>
        </w:r>
      </w:hyperlink>
      <w:r>
        <w:t xml:space="preserve"> ; </w:t>
      </w:r>
      <w:hyperlink r:id="rId2160">
        <w:r>
          <w:rPr>
            <w:color w:val="0000EE"/>
            <w:u w:val="single"/>
          </w:rPr>
          <w:t>Mi 1.16</w:t>
        </w:r>
      </w:hyperlink>
      <w:r>
        <w:t>). Ces mentions se trouvent souvent dans le contexte du jugement de Dieu contre les villes ou nations païennes. Parce que la calvitie était associée à la lèpre, aux maladies vénériennes, à l'idolâtrie ou à la mort, les avertissements prophétiques incluaient parfois des prédictions ou des menaces de calvitie (</w:t>
      </w:r>
      <w:hyperlink r:id="rId2161">
        <w:r>
          <w:rPr>
            <w:color w:val="0000EE"/>
            <w:u w:val="single"/>
          </w:rPr>
          <w:t>Es 3.16–24</w:t>
        </w:r>
      </w:hyperlink>
      <w:r>
        <w:t>).</w:t>
      </w:r>
      <w:r/>
      <w:r/>
    </w:p>
    <w:p>
      <w:r/>
    </w:p>
    <w:p>
      <w:pPr>
        <w:pStyle w:val="Heading2"/>
      </w:pPr>
      <w:r>
        <w:t>Canaan, cananéen(ne)</w:t>
      </w:r>
      <w:r/>
    </w:p>
    <w:p>
      <w:r/>
      <w:r>
        <w:t>Canaan est la région du Proche-Orient qui correspond à la Terre promise (et comprend la Palestine d'aujourd'hui) : le territoire situé à l'ouest du Jourdain colonisé par les Israélites sous le commandement de Josué. Plusieurs régions du sud de la Syrie sont souvent considérées comme faisant également partie du territoire des Cananéens, dont les frontières nord n'ont jamais vraiment été définies. Les peuples qui ont précédé les Israélites en Palestine occidentale sont généralement appelés des Cananéens, sauf ceux du nord de la Syrie et d'Ougarit (Ras Shamra) sur la côte méditerranéenne syrienne.</w:t>
      </w:r>
    </w:p>
    <w:p>
      <w:r/>
      <w:r>
        <w:t>Sommaire</w:t>
      </w:r>
    </w:p>
    <w:p>
      <w:r/>
      <w:r>
        <w:t>• Terre et peuple</w:t>
      </w:r>
    </w:p>
    <w:p>
      <w:r/>
      <w:r>
        <w:t>• Langue</w:t>
      </w:r>
    </w:p>
    <w:p>
      <w:r/>
      <w:r>
        <w:t>• Littérature</w:t>
      </w:r>
    </w:p>
    <w:p>
      <w:r/>
      <w:r>
        <w:t>• Histoire</w:t>
      </w:r>
    </w:p>
    <w:p>
      <w:r/>
      <w:r>
        <w:t>• Religion</w:t>
      </w:r>
    </w:p>
    <w:p>
      <w:r/>
      <w:r>
        <w:t>• Influence sur Israël</w:t>
      </w:r>
    </w:p>
    <w:p>
      <w:pPr>
        <w:pStyle w:val="Heading3"/>
      </w:pPr>
      <w:r>
        <w:t>Terre et peuple</w:t>
      </w:r>
    </w:p>
    <w:p>
      <w:r/>
      <w:r>
        <w:t>Dans la « table des peuples » (</w:t>
      </w:r>
      <w:hyperlink r:id="rId2162">
        <w:r>
          <w:rPr>
            <w:color w:val="0000EE"/>
            <w:u w:val="single"/>
          </w:rPr>
          <w:t>Gn 10.15–19</w:t>
        </w:r>
      </w:hyperlink>
      <w:r>
        <w:t>), Canaan, petit-fils de Noé, est l'ancêtre de 11 groupes vivant dans la région de la Syrie et de la Palestine. À l'évidence, les six premiers occupent un territoire incluant Sidon et les régions au sud de celle-ci. Les autres groupes vivent plus au nord. Les groupes vivant au nord se sont principalement installés en bordure de la plaine côtière. Au sud, les Cananéens se sont établis vers l'est jusqu'aux régions montagneuses. L'Ancien Testament (AT) situent les Cananéens spécifiquement dans les vallées et les zones côtières de la Palestine occidentale. Les régions montagneuses sont occupées par les Amoréens et d'autres peuples (</w:t>
      </w:r>
      <w:hyperlink r:id="rId2163">
        <w:r>
          <w:rPr>
            <w:color w:val="0000EE"/>
            <w:u w:val="single"/>
          </w:rPr>
          <w:t>Nb 13.29</w:t>
        </w:r>
      </w:hyperlink>
      <w:r>
        <w:t xml:space="preserve"> ; </w:t>
      </w:r>
      <w:hyperlink r:id="rId2164">
        <w:r>
          <w:rPr>
            <w:color w:val="0000EE"/>
            <w:u w:val="single"/>
          </w:rPr>
          <w:t>Jos 5.1</w:t>
        </w:r>
      </w:hyperlink>
      <w:r>
        <w:t xml:space="preserve"> ; </w:t>
      </w:r>
      <w:hyperlink r:id="rId2165">
        <w:r>
          <w:rPr>
            <w:color w:val="0000EE"/>
            <w:u w:val="single"/>
          </w:rPr>
          <w:t>7.9</w:t>
        </w:r>
      </w:hyperlink>
      <w:r>
        <w:t xml:space="preserve"> ; </w:t>
      </w:r>
      <w:hyperlink r:id="rId2166">
        <w:r>
          <w:rPr>
            <w:color w:val="0000EE"/>
            <w:u w:val="single"/>
          </w:rPr>
          <w:t>Jg 1.27–36</w:t>
        </w:r>
      </w:hyperlink>
      <w:r>
        <w:t>).</w:t>
      </w:r>
    </w:p>
    <w:p>
      <w:r/>
      <w:r>
        <w:t>Parmi les sources qui ont été préservées, l'une des premières références aux habitants de Canaan provient d'une tablette trouvée à Mari (15ᵉ siècle av. J.‑C.). Un officier militaire y rapporte qu'il surveillait « voleurs et Cananéens ». Les Cananéens sont également inscrits en tant que groupe sur la stèle de Memphis (colonne écrite) du pharaon égyptien Amenhotep II (env. 1440 av. J.‑C.). Le pays de Canaan est aussi mentionné dans une inscription du 15ᵉ siècle du roi Idrimi d'Alep (à l'ouest d'Ougarit), qui s'enfuit vers le port cananéen d'Ammiya et devient ensuite souverain d'Alalakh (au nord d'Ougarit). Pendant l'époque d'Amarna et selon les tables du même nom (15ᵉ–14ᵉ siècles av. J.‑C.), la Palestine est sous domination égyptienne.</w:t>
      </w:r>
    </w:p>
    <w:p>
      <w:r/>
      <w:r>
        <w:t>Tout comme le mot « Canaan » est utilisé pour désigner l'ensemble de la région palestinienne occidentale, le mot « Cananéen » décrit ses habitants avant la conquête israélite sans distinction de race. Parmi les peuples vivant alors en Palestine, les Amoréens seraient arrivés au II</w:t>
      </w:r>
      <w:r>
        <w:t>ᵉ</w:t>
      </w:r>
      <w:r>
        <w:t xml:space="preserve"> millénaire avant J.‑C. en provenance de la Mésopotamie.</w:t>
      </w:r>
    </w:p>
    <w:p>
      <w:r/>
      <w:r>
        <w:t>Plusieurs passages de l'AT semblent assimiler le territoire amoréen au pays de Canaan (</w:t>
      </w:r>
      <w:hyperlink r:id="rId2167">
        <w:r>
          <w:rPr>
            <w:color w:val="0000EE"/>
            <w:u w:val="single"/>
          </w:rPr>
          <w:t>Gn 12.5–6</w:t>
        </w:r>
      </w:hyperlink>
      <w:r>
        <w:t xml:space="preserve"> ; </w:t>
      </w:r>
      <w:hyperlink r:id="rId2168">
        <w:r>
          <w:rPr>
            <w:color w:val="0000EE"/>
            <w:u w:val="single"/>
          </w:rPr>
          <w:t>15.18–21</w:t>
        </w:r>
      </w:hyperlink>
      <w:r>
        <w:t xml:space="preserve"> ; </w:t>
      </w:r>
      <w:hyperlink r:id="rId1230">
        <w:r>
          <w:rPr>
            <w:color w:val="0000EE"/>
            <w:u w:val="single"/>
          </w:rPr>
          <w:t>48.22</w:t>
        </w:r>
      </w:hyperlink>
      <w:r>
        <w:t>), une tradition qui se retrouve aussi dans les tablettes d'Alalakh du 18</w:t>
      </w:r>
      <w:r>
        <w:rPr>
          <w:vertAlign w:val="superscript"/>
        </w:rPr>
        <w:t>e</w:t>
      </w:r>
      <w:r>
        <w:t xml:space="preserve"> siècle av. J.‑C., qui décrivent « Amurru » comme faisant partie de la Syrie-Palestine. Les tablettes de Mari de la même période mentionnent un souverain amoréen de Hatsor dans le nord de la Palestine. Les textes de Tell el-Amarna (14</w:t>
      </w:r>
      <w:r>
        <w:rPr>
          <w:vertAlign w:val="superscript"/>
        </w:rPr>
        <w:t>e</w:t>
      </w:r>
      <w:r>
        <w:t>-13</w:t>
      </w:r>
      <w:r>
        <w:rPr>
          <w:vertAlign w:val="superscript"/>
        </w:rPr>
        <w:t>e</w:t>
      </w:r>
      <w:r>
        <w:t xml:space="preserve"> siècles av. J.‑C.) indiquent que le royaume d'Amurru de la région du Liban exerçait alors un monopole sur le commerce côtier. Par conséquent, le fait que les deux peuples (Amoréens et Cananéens) sont mentionnés conjointement à l'époque de Moïse et tout au long de l'âge du bronze final (env. 1550–1200 av. J.‑C.) n'est pas surprenant.</w:t>
      </w:r>
    </w:p>
    <w:p>
      <w:r/>
      <w:r>
        <w:t xml:space="preserve">À la fin de cette période, les « peuples de la mer » (principalement des Philistins) détruisent l'Empire hittite. À l'époque de Ramsès III (vers 1180 av. J.‑C.), ils occupent la Palestine occidentale. La conquête israélite de la Palestine brise le pouvoir de nombreuses cités-États cananéennes et amoréennes, tandis que l'essor d'une confédération philistine sur la côte palestinienne sud restreint davantage l'étendue du territoire spécifiquement cananéen. Dès le début de l'âge du fer, les héritiers culturels des Cananéens sont les Phéniciens. Ils vivent principalement dans les cités-États de Tyr et de Sidon et aiment se faire appeler « Cananéens » (voir </w:t>
      </w:r>
      <w:hyperlink r:id="rId2169">
        <w:r>
          <w:rPr>
            <w:color w:val="0000EE"/>
            <w:u w:val="single"/>
          </w:rPr>
          <w:t>Mt 15.21–22</w:t>
        </w:r>
      </w:hyperlink>
      <w:r>
        <w:t xml:space="preserve"> ; </w:t>
      </w:r>
      <w:hyperlink r:id="rId2170">
        <w:r>
          <w:rPr>
            <w:color w:val="0000EE"/>
            <w:u w:val="single"/>
          </w:rPr>
          <w:t>Mc 7.24–26</w:t>
        </w:r>
      </w:hyperlink>
      <w:r>
        <w:t>).</w:t>
      </w:r>
    </w:p>
    <w:p>
      <w:pPr>
        <w:pStyle w:val="Heading3"/>
      </w:pPr>
      <w:r>
        <w:t>Langue</w:t>
      </w:r>
    </w:p>
    <w:p>
      <w:r/>
      <w:r>
        <w:t>Les peuples qui habitent en Palestine occidentale pendant la période pré-israélite parlent probablement des dialectes apparentés faisant partie de la famille linguistique sémitique du nord-ouest. Le vaste territoire qu'habitent ces peuples et la possibilité d'influence des langues amoréenne, hourrite et ougaritique ajoutent à la complexité des théories modernes concernant ce que l'on entend précisément par langue « cananéenne ».</w:t>
      </w:r>
    </w:p>
    <w:p>
      <w:pPr>
        <w:pStyle w:val="Heading3"/>
      </w:pPr>
      <w:r>
        <w:t>Littérature</w:t>
      </w:r>
    </w:p>
    <w:p>
      <w:r/>
      <w:r>
        <w:t>Il est tout aussi difficile d'atteindre des conclusions précises à propos de la littérature cananéenne qu'à propos de la langue cananéenne. Le fait qui peut être établi avec certitude est que notre alphabet remonte à l'âge du bronze moyen (ou intermédiaire) en Canaan. Avant cette époque, l'écriture était soit pictographique (des mots et des idées représentés par des images), soit cunéiforme (des impressions en forme de coins dans de l'argile molle qui représentent des syllabes et des mots entiers), soit hiéroglyphique (une écriture picturale égyptienne). L'écriture alphabétique a été transmise par les Hébreux et les Phéniciens aux Grecs, qui ont donné à notre alphabet actuel sa forme classique.</w:t>
      </w:r>
    </w:p>
    <w:p>
      <w:r/>
      <w:r>
        <w:t>Jusqu'en 1929, peu de littérature cananéenne nous était connue, mais de nombreux artéfacts littéraires ont depuis été découverts à Ougarit. Ces découvertes incluent des parties d'un poème épique sur la divinité Baal et sa compagne Anat (date estimée 2000 av. J.‑C.), une légende sur un personnage royal nommé Aqhat (env. 1800 av. J.‑C.), les activités légendaires du roi Keret (écrites env. 1500 av. J.‑C.), ainsi que des fragments de textes religieux, médicaux et administratifs.</w:t>
      </w:r>
    </w:p>
    <w:p>
      <w:pPr>
        <w:pStyle w:val="Heading3"/>
      </w:pPr>
      <w:r>
        <w:t>Histoire</w:t>
      </w:r>
    </w:p>
    <w:p>
      <w:r/>
      <w:r>
        <w:t>Les découvertes archéologiques indiquent que la Palestine occidentale a été occupée dès le Paléolithique. Des dépôts mésolithiques, néolithiques et chalcolithiques ont également été découverts dans plusieurs sites. Il est possible que des peuples parlant des langues sémitiques aient habité des lieux tels que Jéricho, Meguiddo et Byblos aux environs de 3000 av. J.‑C. Les découvertes à Tell Mardikh (Ebla) ont révélé l'existence d'un empire cananéen puissant en Syrie vers 2500 av. J.‑C. Il ne fait aucun doute que les Amoréens et les Cananéens étaient bien établis en Syrie et en Palestine vers 2000 av. J.‑C. Les meilleures découvertes qui confirment l'occupation de la Palestine occidentale par les Cananéens datent de l'âge du bronze moyen (ou intermédiaire) et de l'âge du bronze final (env. 1950–1200 av. J.‑C.). Des cités-États cananéennes et amoréennes parsemaient alors le pays.</w:t>
      </w:r>
    </w:p>
    <w:p>
      <w:r/>
      <w:r>
        <w:t>Les Égyptiens effectuent des incursions intermittentes en Palestine pendant les 5</w:t>
      </w:r>
      <w:r>
        <w:rPr>
          <w:vertAlign w:val="superscript"/>
        </w:rPr>
        <w:t>e</w:t>
      </w:r>
      <w:r>
        <w:t xml:space="preserve"> et 6</w:t>
      </w:r>
      <w:r>
        <w:rPr>
          <w:vertAlign w:val="superscript"/>
        </w:rPr>
        <w:t>e</w:t>
      </w:r>
      <w:r>
        <w:t xml:space="preserve"> dynasties. Durant la 13</w:t>
      </w:r>
      <w:r>
        <w:rPr>
          <w:vertAlign w:val="superscript"/>
        </w:rPr>
        <w:t>e</w:t>
      </w:r>
      <w:r>
        <w:t xml:space="preserve"> dynastie (au II</w:t>
      </w:r>
      <w:r>
        <w:rPr>
          <w:vertAlign w:val="superscript"/>
        </w:rPr>
        <w:t>e</w:t>
      </w:r>
      <w:r>
        <w:t xml:space="preserve"> millénaire av. J.‑C.), ils exercent un contrôle politique et économique sur une grande partie de la Syrie-Palestine.</w:t>
      </w:r>
    </w:p>
    <w:p>
      <w:r/>
      <w:r>
        <w:t>Des contacts entre les Cananéens et la Mésopotamie datant d'environ 2000 av. J.‑C. sont attestés dans des textes découverts à Mari et à Ougarit. À l'évidence, il y a eu des migrations périodiques d'Amoréens, d'Hourrites, de premiers Assyriens et d'autres peuples vers Canaan. Ils y ont apporté différents systèmes politiques et normes sociales. À la fin du 16</w:t>
      </w:r>
      <w:r>
        <w:rPr>
          <w:vertAlign w:val="superscript"/>
        </w:rPr>
        <w:t>e</w:t>
      </w:r>
      <w:r>
        <w:t xml:space="preserve"> siècle av. J.‑C., la plupart des petits royaumes cananéens sont assujettis aux Égyptiens. En l'espace de deux siècles, les plus au nord sont sous l'influence politique des Héthiens (Hittites).</w:t>
      </w:r>
    </w:p>
    <w:p>
      <w:r/>
      <w:r>
        <w:t>L'histoire cananéenne se complique davantage quand les Hyksos arrivent entre environ 1800 et 1500 av. J.‑C. D'origine asiatique mixte, les Hyksos doivent une grande partie de leur hégémonie à leur utilisation de chars de fer et de l'arc composite asiatique. À partir de bases cananéennes comme Hatsor et Jéricho, ils envahissent l'Égypte et y établissent leur contrôle d'environ 1776 à environ 1570 av. J.‑C. Lorsqu'ils en sont expulsés au début du Nouvel Empire égyptien (1570–1100 av. J.‑C.), ils se replient dans des sites fortifiés du sud de Canaan.</w:t>
      </w:r>
    </w:p>
    <w:p>
      <w:r/>
      <w:r>
        <w:t>Les Égyptiens ne contrôlent plus l'ouest de la Palestine au moment de la conquête israélite de Canaan. Josué y rencontre principalement de l'opposition de la part des Cananéens et des Amoréens. L'occupation israélite de Canaan est facilitée par le grand déclin des petits royaumes palestiniens de cette époque. Suite à la destruction de la culture héthienne (hittite) par les peuples de la mer et à l'occupation par ces derniers des régions du nord et de la côte, les cités-États traditionnelles finissent par sombrer. À partir d'environ 1 100 av. J.‑C., la culture cananéenne ne se trouve plus qu'à Tyr, Sidon et à quelques autres endroits.</w:t>
      </w:r>
    </w:p>
    <w:p>
      <w:pPr>
        <w:pStyle w:val="Heading3"/>
      </w:pPr>
      <w:r>
        <w:t>Religion</w:t>
      </w:r>
    </w:p>
    <w:p>
      <w:r/>
      <w:r>
        <w:t>Avant les découvertes ougaritiques, peu d'informations sur la religion cananéenne étaient disponibles en dehors de ce qui peut être appris dans l'AT. D'après ce que l'on sait maintenant de la culture cananéenne, le chef du panthéon cananéen était un personnage mystérieux nommé El, qui était vénéré comme le « Père des hommes ». Ses consorts étaient Athirat (connue des Israélites sous le nom d'Asherah ou Astarté) et Baâlat. El avait un fils, Baal, une divinité de la fertilité décrite dans les mythes comme seigneur de la pluie et des tempêtes. Baal succéda à son père en tant que chef du panthéon. Sa résidence était située dans les cieux nordiques lointains. Un monument excavé à Ougarit le représente portant un éclair sur son côté gauche et une masse (ou bâton de cérémonie) dans sa main droite.</w:t>
      </w:r>
    </w:p>
    <w:p>
      <w:r/>
      <w:r>
        <w:t xml:space="preserve">De nombreuses petites figurines en terre cuite aux caractéristiques sexuelles secondaires exagérées et représentant l'une ou l'autre des divinités féminines ont été trouvées sur des sites de Palestine occidentale datant de l'âge du bronze moyen (ou intermédiaire) et de l'âge du bronze final. Un centre du culte d'Anat, excavé à Byblos en Phénicie, était manifestement réputé pour la prostitution religieuse et les rites de fertilité sexuelle qui s'y déroulaient. De nombreuses représentations féminines nues y ont été trouvées. D'autres objets cultuels cananéens qui y ont été trouvés incluent une sorte de pilier sacré </w:t>
      </w:r>
      <w:r>
        <w:rPr>
          <w:i/>
        </w:rPr>
        <w:t>(</w:t>
      </w:r>
      <w:r>
        <w:t>massebah</w:t>
      </w:r>
      <w:r>
        <w:rPr>
          <w:i/>
        </w:rPr>
        <w:t>)</w:t>
      </w:r>
      <w:r>
        <w:t xml:space="preserve"> et une image en bois </w:t>
      </w:r>
      <w:r>
        <w:rPr>
          <w:i/>
        </w:rPr>
        <w:t>(</w:t>
      </w:r>
      <w:r>
        <w:t>astarté</w:t>
      </w:r>
      <w:r>
        <w:rPr>
          <w:i/>
        </w:rPr>
        <w:t>)</w:t>
      </w:r>
      <w:r>
        <w:t>, qui représente probablement la déesse elle-même.</w:t>
      </w:r>
    </w:p>
    <w:p>
      <w:r/>
      <w:r>
        <w:t>À l'époque d'Amarna, la religion orgiaque cananéenne exerçait une influence notable au Proche-Orient. Elle avait même infiltré dans une certaine mesure les religions conservatrices d'Égypte et de Babylone. Quatre festivals principaux liés à l'agriculture semblent avoir été célébrés par les Cananéens. Ils étaient invariablement des occasions de réjouissances, d'ivresse et d'excès sexuels. La religion cananéenne était manifestement la plus dépravée de toutes sur le plan sexuel dans le monde antique.</w:t>
      </w:r>
    </w:p>
    <w:p>
      <w:pPr>
        <w:pStyle w:val="Heading3"/>
      </w:pPr>
      <w:r>
        <w:t>Influence sur Israël</w:t>
      </w:r>
    </w:p>
    <w:p>
      <w:r/>
      <w:r>
        <w:t>Les normes morales israélites que les lois de l'alliance du mont Sinaï définissent étaient en conflit avec les traditions cultuelles des Cananéens. Le monothéisme éthique hébreu s'opposait à bien des égards au culte de la nature polythéiste et dépravé de la religion cananéenne. Il était clair que les deux systèmes ne pouvaient pas coexister. Ainsi, la loi ordonne d'éliminer les Cananéens et leurs pratiques de la Terre Promise (</w:t>
      </w:r>
      <w:hyperlink r:id="rId2171">
        <w:r>
          <w:rPr>
            <w:color w:val="0000EE"/>
            <w:u w:val="single"/>
          </w:rPr>
          <w:t>Ex 23.24</w:t>
        </w:r>
      </w:hyperlink>
      <w:r>
        <w:t xml:space="preserve"> ; </w:t>
      </w:r>
      <w:hyperlink r:id="rId2172">
        <w:r>
          <w:rPr>
            <w:color w:val="0000EE"/>
            <w:u w:val="single"/>
          </w:rPr>
          <w:t>34.13–16</w:t>
        </w:r>
      </w:hyperlink>
      <w:r>
        <w:t xml:space="preserve"> ; </w:t>
      </w:r>
      <w:hyperlink r:id="rId2173">
        <w:r>
          <w:rPr>
            <w:color w:val="0000EE"/>
            <w:u w:val="single"/>
          </w:rPr>
          <w:t>Dt 7.1–5</w:t>
        </w:r>
      </w:hyperlink>
      <w:r>
        <w:t>). Les Hébreux devaient se garder de tout contact avec la religion cananéenne par fidélité à l'alliance de Dieu. Cela n'était pas facile à réaliser, ne serait-ce que parce que les deux peuples parlaient des dialectes proches, utilisant donc des expressions similaires. De plus, les envahisseurs israélites du temps de Josué ont pu découvrir que les Cananéens leur étaient supérieurs en matière de construction de structures en pierre et dans la fabrication d'outils, d'instruments et d'armes en métal. Les Hébreux, ainsi désavantagés, auraient été tentés de chercher à apprendre des Cananéens dans leurs domaines d'expertise. À l'époque du roi Salomon, des Cananéens de Phénicie sont engagés pour la conception et la construction du Temple à Jérusalem. Certaines ressemblances superficielles entre divers aspects des religions cananéennes et hébraïques, tels que les sacrifices d'actions de grâces et certains titres divins, rendait également difficile le maintien de la distinction culturelle d'Israël.</w:t>
      </w:r>
    </w:p>
    <w:p>
      <w:r/>
      <w:r>
        <w:t xml:space="preserve">À l'exception de l'interdiction formelle donnée concernant Jéricho, les Israélites pouvaient utiliser de l'équipement cananéen acquis au combat. Ainsi, leur détermination à détruire toute trace des Cananéens, y compris leur religion corrompue, s'est progressivement affaiblie. Leurs sacrificateurs, qui auraient dû jouer un rôle important dans le maintien de l'unicité de la foi de l'alliance, imitaient souvent l'immoralité de leurs voisins païens et encourageaient même le peuple israélite à faire de même (voir </w:t>
      </w:r>
      <w:hyperlink r:id="rId2174">
        <w:r>
          <w:rPr>
            <w:color w:val="0000EE"/>
            <w:u w:val="single"/>
          </w:rPr>
          <w:t>1S 2.22</w:t>
        </w:r>
      </w:hyperlink>
      <w:r>
        <w:t xml:space="preserve">). À l'époque du roi Achab, alors que le culte du Baal de Tyr était fermement enraciné dans le royaume d'Israël du nord, la distinction spirituelle et théologique des Hébreux étaient en grand danger de se perdre. </w:t>
      </w:r>
    </w:p>
    <w:p>
      <w:r/>
      <w:r>
        <w:t>En conséquence, les prophètes hébreux finirent par proclamer que leur nation, qui avait presque complètement succombé aux séductions cananéennes, devrait être purifiée par l'exil avant qu'une foi renouvelée ne redevienne possible pour le peuple d'Israël.</w:t>
      </w:r>
    </w:p>
    <w:p>
      <w:r/>
      <w:r>
        <w:rPr>
          <w:i/>
        </w:rPr>
        <w:t>Voir aussi</w:t>
      </w:r>
      <w:r>
        <w:t xml:space="preserve"> </w:t>
      </w:r>
      <w:r>
        <w:t>divinités et religion cananéennes</w:t>
      </w:r>
      <w:r>
        <w:t xml:space="preserve"> ; </w:t>
      </w:r>
      <w:r>
        <w:t>Israël (histoire)</w:t>
      </w:r>
      <w:r>
        <w:t xml:space="preserve"> ; </w:t>
      </w:r>
      <w:r>
        <w:t>Palestine</w:t>
      </w:r>
      <w:r>
        <w:t>.</w:t>
      </w:r>
      <w:r/>
      <w:r/>
    </w:p>
    <w:p>
      <w:r/>
    </w:p>
    <w:p>
      <w:pPr>
        <w:pStyle w:val="Heading2"/>
      </w:pPr>
      <w:r>
        <w:t>Candace</w:t>
      </w:r>
      <w:r/>
    </w:p>
    <w:p>
      <w:r/>
      <w:r>
        <w:t>Titre donné aux reines éthiopiennes antiques. Philippe, un leader de l'Église primitive, a rencontré et baptisé un eunuque éthiopien qui était ministre sous Candace, reine des Éthiopiens (</w:t>
      </w:r>
      <w:hyperlink r:id="rId2175">
        <w:r>
          <w:rPr>
            <w:color w:val="0000EE"/>
            <w:u w:val="single"/>
          </w:rPr>
          <w:t>Ac 8.27</w:t>
        </w:r>
      </w:hyperlink>
      <w:r>
        <w:t>). La Candace à laquelle il est fait référence ici a régné sur la Nubie (Soudan moderne) de 25 à 41 apr. J.‑C. Son nom était probablement Amanitore.</w:t>
      </w:r>
      <w:r/>
      <w:r/>
    </w:p>
    <w:p>
      <w:r/>
    </w:p>
    <w:p>
      <w:pPr>
        <w:pStyle w:val="Heading2"/>
      </w:pPr>
      <w:r>
        <w:t>Caphtor, Caphtorim, Caphtorites</w:t>
      </w:r>
      <w:r/>
    </w:p>
    <w:p>
      <w:r/>
      <w:r>
        <w:t>Nom de lieu et de personnes associées à celui-ci. Les Caphtorim parmi les peuples hamitiques dans la « Table des nations » sont répertoriés comme les « fils » d'Égypte (</w:t>
      </w:r>
      <w:hyperlink r:id="rId2176">
        <w:r>
          <w:rPr>
            <w:color w:val="0000EE"/>
            <w:u w:val="single"/>
          </w:rPr>
          <w:t>Gn 10.13–14</w:t>
        </w:r>
      </w:hyperlink>
      <w:r>
        <w:t xml:space="preserve"> ; </w:t>
      </w:r>
      <w:hyperlink r:id="rId2177">
        <w:r>
          <w:rPr>
            <w:color w:val="0000EE"/>
            <w:u w:val="single"/>
          </w:rPr>
          <w:t>1Ch 1.12</w:t>
        </w:r>
      </w:hyperlink>
      <w:r>
        <w:t>). Le texte fait des Casluhim le peuple parent des Philistins. Cependant, les prophètes ont fait référence aux Philistins comme des colons venus de Caphtor (</w:t>
      </w:r>
      <w:hyperlink r:id="rId2178">
        <w:r>
          <w:rPr>
            <w:color w:val="0000EE"/>
            <w:u w:val="single"/>
          </w:rPr>
          <w:t>Jr 47.4</w:t>
        </w:r>
      </w:hyperlink>
      <w:r>
        <w:t xml:space="preserve"> ; voir </w:t>
      </w:r>
      <w:hyperlink r:id="rId813">
        <w:r>
          <w:rPr>
            <w:color w:val="0000EE"/>
            <w:u w:val="single"/>
          </w:rPr>
          <w:t>Am 9.7</w:t>
        </w:r>
      </w:hyperlink>
      <w:r>
        <w:t xml:space="preserve">). Sur la base de cela, certains traducteurs ont transposé la clause de </w:t>
      </w:r>
      <w:hyperlink r:id="rId2179">
        <w:r>
          <w:rPr>
            <w:color w:val="0000EE"/>
            <w:u w:val="single"/>
          </w:rPr>
          <w:t>Genèse 10.14</w:t>
        </w:r>
      </w:hyperlink>
      <w:r>
        <w:t xml:space="preserve"> pour la traduire ainsi : « Caphtorites, dont descendaient les Philistins ». D'autres comprennent que, bien que les Philistins aient pu à l'origine être une colonie casluhienne, ils se sont installés dans des régions qui sont devenues principalement connues comme celles des Caphtorites.</w:t>
      </w:r>
    </w:p>
    <w:p>
      <w:r/>
      <w:r>
        <w:t xml:space="preserve">Caphtor est appelé </w:t>
      </w:r>
      <w:r>
        <w:rPr>
          <w:i/>
        </w:rPr>
        <w:t>Kaptara</w:t>
      </w:r>
      <w:r>
        <w:t xml:space="preserve"> en accadien, </w:t>
      </w:r>
      <w:r>
        <w:rPr>
          <w:i/>
        </w:rPr>
        <w:t>kptr</w:t>
      </w:r>
      <w:r>
        <w:t xml:space="preserve"> en ougaritique, et </w:t>
      </w:r>
      <w:r>
        <w:rPr>
          <w:i/>
        </w:rPr>
        <w:t>Keftiu</w:t>
      </w:r>
      <w:r>
        <w:t xml:space="preserve"> en égyptien. Ces références datent d'aussi tôt que 2200 av. J.‑C. jusqu'à environ 1200 av. J.‑C. Les sources égyptiennes sont particulièrement utiles pour identifier Caphtor comme la Crète. D'autre part, il existe une tradition juive selon laquelle les Caphtorim venaient de Cappadoce ; la Septante lit « Cappadoce » au lieu de « Caphtor ». Ceci conduira certains à suggérer que Caphtor doit être identifié avec une région côtière de l'Asie Mineure ou avec l'île de Carpathos. Il est possible qu'au 13e siècle av. J.‑C., « Caphtor » ait été utilisé dans un sens large pour désigner la région égéenne d'où venaient les Philistins.</w:t>
      </w:r>
    </w:p>
    <w:p>
      <w:r/>
      <w:r>
        <w:t>Les Caphtorim sont également mentionnés comme un peuple qui a envahi la région autour de Gaza, dépossédé les Avvim et s'y est installé (</w:t>
      </w:r>
      <w:hyperlink r:id="rId2180">
        <w:r>
          <w:rPr>
            <w:color w:val="0000EE"/>
            <w:u w:val="single"/>
          </w:rPr>
          <w:t>Dt 2.23</w:t>
        </w:r>
      </w:hyperlink>
      <w:r>
        <w:t xml:space="preserve">). Il semble que les Caphtorim étaient fermement installés autour de Gaza avant qu'Israël ne traverse le Jourdain au moment de la Conquête. </w:t>
      </w:r>
      <w:r>
        <w:rPr>
          <w:i/>
        </w:rPr>
        <w:t>Voir</w:t>
      </w:r>
      <w:r>
        <w:t xml:space="preserve"> </w:t>
      </w:r>
      <w:r>
        <w:t>Casluhim, Casluhites</w:t>
      </w:r>
      <w:r>
        <w:t>.</w:t>
      </w:r>
      <w:r/>
      <w:r/>
    </w:p>
    <w:p>
      <w:r/>
    </w:p>
    <w:p>
      <w:pPr>
        <w:pStyle w:val="Heading2"/>
      </w:pPr>
      <w:r>
        <w:t>Cappadoce</w:t>
      </w:r>
      <w:r/>
    </w:p>
    <w:p>
      <w:r/>
      <w:r>
        <w:t>Région du plateau de l'est de l'Asie Mineure traversée par des chaînes de montagnes. Le nom Cappadoce n'apparaît pas dans l'Ancien Testament hébreu. Les passages qui mentionnent Caphtor ou les Caphtorim (</w:t>
      </w:r>
      <w:hyperlink r:id="rId2180">
        <w:r>
          <w:rPr>
            <w:color w:val="0000EE"/>
            <w:u w:val="single"/>
          </w:rPr>
          <w:t>Dt 2.23</w:t>
        </w:r>
      </w:hyperlink>
      <w:r>
        <w:t xml:space="preserve"> ; </w:t>
      </w:r>
      <w:hyperlink r:id="rId813">
        <w:r>
          <w:rPr>
            <w:color w:val="0000EE"/>
            <w:u w:val="single"/>
          </w:rPr>
          <w:t>Am 9.7</w:t>
        </w:r>
      </w:hyperlink>
      <w:r>
        <w:t>), cependant, ont été traduits par « Cappadoce » dans la Septante (ancienne traduction grecque de l'Ancien Testament). Quelques chercheurs suggèrent que la Cappadoce était le foyer d'origine des Philistins.</w:t>
      </w:r>
    </w:p>
    <w:p>
      <w:r/>
      <w:r>
        <w:t>Dans le NT, la Cappadoce était la patrie de certains des visiteurs à Jérusalem qui furent émerveillés d'entendre leurs propres langues parlées le jour de la Pentecôte (</w:t>
      </w:r>
      <w:hyperlink r:id="rId2181">
        <w:r>
          <w:rPr>
            <w:color w:val="0000EE"/>
            <w:u w:val="single"/>
          </w:rPr>
          <w:t>Ac 2.5–13</w:t>
        </w:r>
      </w:hyperlink>
      <w:r>
        <w:t>). La Cappadoce fut plus tard l'un des endroits en Asie Mineure où les chrétiens s'installèrent, des personnes auxquelles l'apôtre Pierre adressa sa première lettre (</w:t>
      </w:r>
      <w:hyperlink r:id="rId1404">
        <w:r>
          <w:rPr>
            <w:color w:val="0000EE"/>
            <w:u w:val="single"/>
          </w:rPr>
          <w:t>1P 1.1</w:t>
        </w:r>
      </w:hyperlink>
      <w:r>
        <w:t>).</w:t>
      </w:r>
    </w:p>
    <w:p>
      <w:r/>
      <w:r>
        <w:t>La Cappadoce était bordée par le Pont au nord, la Syrie et l'Arménie à l'est, la Cilicie au sud, et la Lycaonie à l'ouest. Réputée pour son blé, son bétail et ses chevaux, elle exportait également de l'albâtre, du mica, de l'argent et du plomb. La région était traversée par d'importantes routes commerciales, telles que la route à travers les Portes Ciliciennes vers le nord jusqu'au Pont. La zone a été contrôlée ou dominée tour à tour par les Hittites, les Assyriens, les Babyloniens, les Perses, les Grecs, les Séleucides et les Romains.</w:t>
      </w:r>
    </w:p>
    <w:p>
      <w:r/>
      <w:r>
        <w:t>La référence à une lettre adressée à Ariarathe, roi de Cappadoce (</w:t>
      </w:r>
      <w:hyperlink r:id="rId2182">
        <w:r>
          <w:rPr>
            <w:color w:val="0000EE"/>
            <w:u w:val="single"/>
          </w:rPr>
          <w:t>1 M 15.22</w:t>
        </w:r>
      </w:hyperlink>
      <w:r>
        <w:t>), peut indiquer qu'une importante communauté juive s'y trouvait au début du IIe s. av. J.‑C. Les Juifs de cette communauté visitaient apparemment Jérusalem à l'époque de la Pentecôte. Le christianisme semble s'être propagé vers le nord jusqu'en Cappadoce le long de la route de Tarse. La Cappadoce est devenue une région de dirigeants d'Église chrétiens influents au IVe s. ap. J.‑C.</w:t>
      </w:r>
      <w:r/>
      <w:r/>
    </w:p>
    <w:p>
      <w:r/>
    </w:p>
    <w:p>
      <w:pPr>
        <w:pStyle w:val="Heading2"/>
      </w:pPr>
      <w:r>
        <w:t>Caravane</w:t>
      </w:r>
      <w:r/>
    </w:p>
    <w:p>
      <w:r/>
      <w:r>
        <w:t>Groupe itinérant de marchands, pèlerins ou autres à l'époque biblique qui se réunissaient par souci de protection mutuelle. Habituellement, les voyageurs utilisaient des animaux de bât pour transporter leurs marchandises ou effets personnels. Pour transporter des biens d'un district à un autre, les ânes étaient principalement utilisés jusqu'en l'an 1100 av. J.‑C. environ, à la date duquel l'utilisation des chameaux est devenue plus courante. La Palestine antique, située entre la mer Méditerranée et l'Égypte d'une part et la Syrie, la Mésopotamie, l'Arabie et les terres plus à l'orient de l'autre, était traversée par des routes commerciales. La nation d'Israël était donc intimement familière avec les caravanes, un grand nombre desquels venaient de Transjordanie et d'Arabie à l'époque de l'Ancien Testament. Les caravanes arabes transportaient souvent des épices et de l'encens (des produits particulièrement lucratifs). Les dirigeants de Séba étaient impliqués dans cette industrie (</w:t>
      </w:r>
      <w:hyperlink r:id="rId2183">
        <w:r>
          <w:rPr>
            <w:color w:val="0000EE"/>
            <w:u w:val="single"/>
          </w:rPr>
          <w:t>1R 10.2</w:t>
        </w:r>
      </w:hyperlink>
      <w:r>
        <w:t>). La taille d'une caravane dépendait de la quantité de trafic, de la précarité de la route et de la disponibilité des chameaux. Il est possible que jusqu'à quarante chameaux pouvaient être reliés par des cordes attachées de la selle d'un chameau à l'anneau nasal du chameau suivant. Les caravanes pouvaient voyager en file indienne ou avec trois à quatre chameaux de front. Par temps chaud ou lors d'un long voyage, un chameau pouvait transporter environ 16 kg ; lors de trajets courts et frais, il pouvait en transporter beaucoup plus. Joseph sera vendu en esclavage à une caravane d'épices se rendant en Égypte (</w:t>
      </w:r>
      <w:hyperlink r:id="rId2184">
        <w:r>
          <w:rPr>
            <w:color w:val="0000EE"/>
            <w:u w:val="single"/>
          </w:rPr>
          <w:t>Gn 37.25–28</w:t>
        </w:r>
      </w:hyperlink>
      <w:r>
        <w:t>). Des expéditions de raids formaient également des caravanes à certains moments (</w:t>
      </w:r>
      <w:hyperlink r:id="rId2185">
        <w:r>
          <w:rPr>
            <w:color w:val="0000EE"/>
            <w:u w:val="single"/>
          </w:rPr>
          <w:t>Jg 6.3–5</w:t>
        </w:r>
      </w:hyperlink>
      <w:r>
        <w:t xml:space="preserve"> ; </w:t>
      </w:r>
      <w:hyperlink r:id="rId619">
        <w:r>
          <w:rPr>
            <w:color w:val="0000EE"/>
            <w:u w:val="single"/>
          </w:rPr>
          <w:t>1S 30.1–20</w:t>
        </w:r>
      </w:hyperlink>
      <w:r>
        <w:t>).</w:t>
      </w:r>
    </w:p>
    <w:p>
      <w:r/>
      <w:r>
        <w:rPr>
          <w:i/>
        </w:rPr>
        <w:t>Voir aussi</w:t>
      </w:r>
      <w:r>
        <w:t xml:space="preserve"> </w:t>
      </w:r>
      <w:r>
        <w:t>Voyage</w:t>
      </w:r>
      <w:r>
        <w:t>.</w:t>
      </w:r>
      <w:r/>
      <w:r/>
    </w:p>
    <w:p>
      <w:r/>
    </w:p>
    <w:p>
      <w:pPr>
        <w:pStyle w:val="Heading2"/>
      </w:pPr>
      <w:r>
        <w:t>Carcas</w:t>
      </w:r>
      <w:r/>
    </w:p>
    <w:p>
      <w:r/>
      <w:r>
        <w:t xml:space="preserve">Un des sept conseillers du roi Assuérus, dans </w:t>
      </w:r>
      <w:hyperlink r:id="rId15">
        <w:r>
          <w:rPr>
            <w:color w:val="0000EE"/>
            <w:u w:val="single"/>
          </w:rPr>
          <w:t>Esther 1.10</w:t>
        </w:r>
      </w:hyperlink>
      <w:r>
        <w:t>.</w:t>
      </w:r>
      <w:r/>
      <w:r/>
    </w:p>
    <w:p>
      <w:r/>
    </w:p>
    <w:p>
      <w:pPr>
        <w:pStyle w:val="Heading2"/>
      </w:pPr>
      <w:r>
        <w:t>Carmi</w:t>
      </w:r>
      <w:r/>
    </w:p>
    <w:p>
      <w:pPr>
        <w:pStyle w:val="ListNumber"/>
        <w:spacing w:line="240" w:lineRule="auto"/>
        <w:ind w:left="720"/>
      </w:pPr>
      <w:r/>
      <w:r>
        <w:t>Un des fils de Ruben ; il rejoindra son grand-père Jacob pour déménager en Égypte (</w:t>
      </w:r>
      <w:hyperlink r:id="rId2186">
        <w:r>
          <w:rPr>
            <w:color w:val="0000EE"/>
            <w:u w:val="single"/>
          </w:rPr>
          <w:t>Gn 46.9</w:t>
        </w:r>
      </w:hyperlink>
      <w:r>
        <w:t xml:space="preserve"> ; </w:t>
      </w:r>
      <w:hyperlink r:id="rId2187">
        <w:r>
          <w:rPr>
            <w:color w:val="0000EE"/>
            <w:u w:val="single"/>
          </w:rPr>
          <w:t>Ex 6.14</w:t>
        </w:r>
      </w:hyperlink>
      <w:r>
        <w:t xml:space="preserve"> ; </w:t>
      </w:r>
      <w:hyperlink r:id="rId2188">
        <w:r>
          <w:rPr>
            <w:color w:val="0000EE"/>
            <w:u w:val="single"/>
          </w:rPr>
          <w:t>1Ch 5.3</w:t>
        </w:r>
      </w:hyperlink>
      <w:r>
        <w:t>). Il fondera la famille des Carmites (</w:t>
      </w:r>
      <w:hyperlink r:id="rId2189">
        <w:r>
          <w:rPr>
            <w:color w:val="0000EE"/>
            <w:u w:val="single"/>
          </w:rPr>
          <w:t>Nb 26.5–7</w:t>
        </w:r>
      </w:hyperlink>
      <w:r>
        <w:t>).</w:t>
      </w:r>
    </w:p>
    <w:p>
      <w:pPr>
        <w:pStyle w:val="ListNumber"/>
        <w:spacing w:line="240" w:lineRule="auto"/>
        <w:ind w:left="720"/>
      </w:pPr>
      <w:r/>
      <w:r>
        <w:t>Père d'Acan et membre de la tribu de Juda (</w:t>
      </w:r>
      <w:hyperlink r:id="rId2190">
        <w:r>
          <w:rPr>
            <w:color w:val="0000EE"/>
            <w:u w:val="single"/>
          </w:rPr>
          <w:t>Jos 7.1, 18</w:t>
        </w:r>
      </w:hyperlink>
      <w:r>
        <w:t xml:space="preserve"> ; </w:t>
      </w:r>
      <w:hyperlink r:id="rId2191">
        <w:r>
          <w:rPr>
            <w:color w:val="0000EE"/>
            <w:u w:val="single"/>
          </w:rPr>
          <w:t>1Ch 2.7</w:t>
        </w:r>
      </w:hyperlink>
      <w:r>
        <w:t xml:space="preserve"> ; </w:t>
      </w:r>
      <w:hyperlink r:id="rId2192">
        <w:r>
          <w:rPr>
            <w:color w:val="0000EE"/>
            <w:u w:val="single"/>
          </w:rPr>
          <w:t>4.1</w:t>
        </w:r>
      </w:hyperlink>
      <w:r>
        <w:t>).</w:t>
      </w:r>
      <w:r/>
      <w:r/>
    </w:p>
    <w:p>
      <w:r/>
    </w:p>
    <w:p>
      <w:pPr>
        <w:pStyle w:val="Heading2"/>
      </w:pPr>
      <w:r>
        <w:t>Carschena</w:t>
      </w:r>
      <w:r/>
    </w:p>
    <w:p>
      <w:r/>
      <w:r>
        <w:t>Un des sept princes, sages de Perse et de Médie, à qui le roi Assuérus (également appelé Xerxès) a demandé des conseils juridiques (</w:t>
      </w:r>
      <w:hyperlink r:id="rId334">
        <w:r>
          <w:rPr>
            <w:color w:val="0000EE"/>
            <w:u w:val="single"/>
          </w:rPr>
          <w:t>Est 1.14</w:t>
        </w:r>
      </w:hyperlink>
      <w:r>
        <w:t>).</w:t>
      </w:r>
      <w:r/>
      <w:r/>
    </w:p>
    <w:p>
      <w:r/>
    </w:p>
    <w:p>
      <w:pPr>
        <w:pStyle w:val="Heading2"/>
      </w:pPr>
      <w:r>
        <w:t>Casluhim</w:t>
      </w:r>
      <w:r/>
    </w:p>
    <w:p>
      <w:r/>
      <w:r>
        <w:t>Descendants de Noé par son fils Cham et son petit-fils Mizraïm (« Égypte » dans certaines versions), et ancêtres des Philistins (</w:t>
      </w:r>
      <w:hyperlink r:id="rId2179">
        <w:r>
          <w:rPr>
            <w:color w:val="0000EE"/>
            <w:u w:val="single"/>
          </w:rPr>
          <w:t>Gn 10.14</w:t>
        </w:r>
      </w:hyperlink>
      <w:r>
        <w:t xml:space="preserve"> ; </w:t>
      </w:r>
      <w:hyperlink r:id="rId2177">
        <w:r>
          <w:rPr>
            <w:color w:val="0000EE"/>
            <w:u w:val="single"/>
          </w:rPr>
          <w:t>1Ch 1.12</w:t>
        </w:r>
      </w:hyperlink>
      <w:r>
        <w:t>).</w:t>
      </w:r>
      <w:r/>
      <w:r/>
    </w:p>
    <w:p>
      <w:r/>
    </w:p>
    <w:p>
      <w:pPr>
        <w:pStyle w:val="Heading2"/>
      </w:pPr>
      <w:r>
        <w:t>Castor et Pollux</w:t>
      </w:r>
      <w:r/>
    </w:p>
    <w:p>
      <w:r/>
      <w:r>
        <w:t xml:space="preserve">Fils jumeaux de Zeus, selon la mythologie grecque et romaine. L'apôtre Paul a navigué de Malte à Pouzzoles sur un navire dont le signe ou la figure de proue était les « Dioscures » (ou frères jumeaux, </w:t>
      </w:r>
      <w:hyperlink r:id="rId532">
        <w:r>
          <w:rPr>
            <w:color w:val="0000EE"/>
            <w:u w:val="single"/>
          </w:rPr>
          <w:t>Ac 28.11</w:t>
        </w:r>
      </w:hyperlink>
      <w:r>
        <w:t>). Ce terme signifie « fils de Zeus ».</w:t>
      </w:r>
    </w:p>
    <w:p>
      <w:r/>
      <w:r>
        <w:rPr>
          <w:i/>
        </w:rPr>
        <w:t>Voir</w:t>
      </w:r>
      <w:r>
        <w:t xml:space="preserve"> </w:t>
      </w:r>
      <w:r>
        <w:t>Dioscures</w:t>
      </w:r>
      <w:r>
        <w:t>.</w:t>
      </w:r>
      <w:r/>
      <w:r/>
    </w:p>
    <w:p>
      <w:r/>
    </w:p>
    <w:p>
      <w:pPr>
        <w:pStyle w:val="Heading2"/>
      </w:pPr>
      <w:r>
        <w:t>Cenchrées</w:t>
      </w:r>
      <w:r/>
    </w:p>
    <w:p>
      <w:r/>
      <w:r>
        <w:t>Ville portuaire qui répondait aux besoins maritimes de la grande ville de Corinthe, à environ 13 km à l'ouest. Cenchrées est connue dès le 5e siècle av. J.‑C. en lien avec une attaque athénienne sur Corinthe. Avant que le canal de Corinthe ne soit creusé à travers l'isthme, le trafic vers l'Europe depuis l'Asie passait souvent de Cenchrées à Corinthe jusqu'à Lechaion.</w:t>
      </w:r>
    </w:p>
    <w:p>
      <w:r/>
      <w:r>
        <w:t>Les fouilles commencées en 1963 ont permis de localiser le môle du port (brise-lames), des vestiges d'entrepôts datant du début du 1er siècle, ainsi qu'un grand bâtiment en pierre du 2e siècle. Une église du 4e siècle témoigne de l'influence du christianisme dans la ville. Des portions de l'ancienne route menant au sud-est depuis la porte de Cenchrée à Corinthe peuvent encore être observées parmi les ruines de l'agora (marché) de cette ville.</w:t>
      </w:r>
    </w:p>
    <w:p>
      <w:r/>
      <w:r>
        <w:t>Cenchrées est mentionné deux fois dans le Nouveau Testament. L'apôtre Paul y a fait un vœu nécessitant la coupe de ses cheveux avant de quitter la ville lors de son troisième voyage missionnaire (</w:t>
      </w:r>
      <w:hyperlink r:id="rId2156">
        <w:r>
          <w:rPr>
            <w:color w:val="0000EE"/>
            <w:u w:val="single"/>
          </w:rPr>
          <w:t>Ac 18.18</w:t>
        </w:r>
      </w:hyperlink>
      <w:r>
        <w:t>). Dans sa lettre à l'Église de Rome, Paul recommandera Phœbé, une diaconesse de l'Église de Cenchrées, bien connue pour son service chrétien (</w:t>
      </w:r>
      <w:hyperlink r:id="rId2193">
        <w:r>
          <w:rPr>
            <w:color w:val="0000EE"/>
            <w:u w:val="single"/>
          </w:rPr>
          <w:t>Rm 16.1</w:t>
        </w:r>
      </w:hyperlink>
      <w:r>
        <w:t>).</w:t>
      </w:r>
      <w:r/>
      <w:r/>
    </w:p>
    <w:p>
      <w:r/>
    </w:p>
    <w:p>
      <w:pPr>
        <w:pStyle w:val="Heading2"/>
      </w:pPr>
      <w:r>
        <w:t>Cendres</w:t>
      </w:r>
      <w:r/>
    </w:p>
    <w:p>
      <w:r/>
      <w:r>
        <w:t>Fine poudre ; ce qui reste après que quelque chose a été complètement brûlé. La combustion des offrandes sacrificielles sur l'autel du tabernacle ou du temple produisait des cendres qui devaient être jetées lors d'une cérémonie (</w:t>
      </w:r>
      <w:hyperlink r:id="rId2194">
        <w:r>
          <w:rPr>
            <w:color w:val="0000EE"/>
            <w:u w:val="single"/>
          </w:rPr>
          <w:t>Lv 1.16</w:t>
        </w:r>
      </w:hyperlink>
      <w:r>
        <w:t xml:space="preserve"> ; </w:t>
      </w:r>
      <w:hyperlink r:id="rId2195">
        <w:r>
          <w:rPr>
            <w:color w:val="0000EE"/>
            <w:u w:val="single"/>
          </w:rPr>
          <w:t>4.12</w:t>
        </w:r>
      </w:hyperlink>
      <w:r>
        <w:t xml:space="preserve"> ; </w:t>
      </w:r>
      <w:hyperlink r:id="rId2196">
        <w:r>
          <w:rPr>
            <w:color w:val="0000EE"/>
            <w:u w:val="single"/>
          </w:rPr>
          <w:t>6.10</w:t>
        </w:r>
      </w:hyperlink>
      <w:r>
        <w:t>–</w:t>
      </w:r>
      <w:hyperlink r:id="rId2196">
        <w:r>
          <w:rPr>
            <w:color w:val="0000EE"/>
            <w:u w:val="single"/>
          </w:rPr>
          <w:t>11</w:t>
        </w:r>
      </w:hyperlink>
      <w:r>
        <w:t xml:space="preserve"> ; voir </w:t>
      </w:r>
      <w:hyperlink r:id="rId2197">
        <w:r>
          <w:rPr>
            <w:color w:val="0000EE"/>
            <w:u w:val="single"/>
          </w:rPr>
          <w:t>Hb 9.13</w:t>
        </w:r>
      </w:hyperlink>
      <w:r>
        <w:t>). Les cendres sur les autels païens sont mentionnées dans plusieurs récits de l'Ancien Testament (</w:t>
      </w:r>
      <w:hyperlink r:id="rId2198">
        <w:r>
          <w:rPr>
            <w:color w:val="0000EE"/>
            <w:u w:val="single"/>
          </w:rPr>
          <w:t>1R 13.1</w:t>
        </w:r>
      </w:hyperlink>
      <w:r>
        <w:t>–</w:t>
      </w:r>
      <w:hyperlink r:id="rId2198">
        <w:r>
          <w:rPr>
            <w:color w:val="0000EE"/>
            <w:u w:val="single"/>
          </w:rPr>
          <w:t>5</w:t>
        </w:r>
      </w:hyperlink>
      <w:r>
        <w:t xml:space="preserve"> ; </w:t>
      </w:r>
      <w:hyperlink r:id="rId2199">
        <w:r>
          <w:rPr>
            <w:color w:val="0000EE"/>
            <w:u w:val="single"/>
          </w:rPr>
          <w:t>2R 23.4</w:t>
        </w:r>
      </w:hyperlink>
      <w:r>
        <w:t>). Lorsque Moïse a jeté des cendres en l'air lors de l'affrontement avec le Pharaon égyptien, les cendres se sont répandues comme une fine poussière à travers toute l'Égypte. Cela a provoqué une épidémie d'ulcères sur les personnes et les animaux (</w:t>
      </w:r>
      <w:hyperlink r:id="rId2200">
        <w:r>
          <w:rPr>
            <w:color w:val="0000EE"/>
            <w:u w:val="single"/>
          </w:rPr>
          <w:t>Ex 9.8</w:t>
        </w:r>
      </w:hyperlink>
      <w:r>
        <w:t>–</w:t>
      </w:r>
      <w:hyperlink r:id="rId2200">
        <w:r>
          <w:rPr>
            <w:color w:val="0000EE"/>
            <w:u w:val="single"/>
          </w:rPr>
          <w:t>10</w:t>
        </w:r>
      </w:hyperlink>
      <w:r>
        <w:t>).</w:t>
      </w:r>
    </w:p>
    <w:p>
      <w:r/>
      <w:r>
        <w:t>Dans la Bible, les cendres sont souvent mentionnées comme un signe de profonde douleur, de repentance, d'humiliation ou de sentiment d'inutilité. Les gens se couvraient de cendres pour exprimer ces émotions intenses. La Bible utilise parfois les cendres et la poussière de manière similaire. Par exemple :</w:t>
      </w:r>
    </w:p>
    <w:p>
      <w:pPr>
        <w:pStyle w:val="ListBullet"/>
        <w:spacing w:line="240" w:lineRule="auto"/>
        <w:ind w:left="720"/>
      </w:pPr>
      <w:r/>
      <w:r>
        <w:t>Tamar s'est mis des cendres pour montrer à quel point elle était bouleversée après avoir été agressée sexuellement par son demi-frère (</w:t>
      </w:r>
      <w:hyperlink r:id="rId2201">
        <w:r>
          <w:rPr>
            <w:color w:val="0000EE"/>
            <w:u w:val="single"/>
          </w:rPr>
          <w:t>2S 13.19</w:t>
        </w:r>
      </w:hyperlink>
      <w:r>
        <w:t>).</w:t>
      </w:r>
    </w:p>
    <w:p>
      <w:pPr>
        <w:pStyle w:val="ListBullet"/>
        <w:spacing w:line="240" w:lineRule="auto"/>
        <w:ind w:left="720"/>
      </w:pPr>
      <w:r/>
      <w:r>
        <w:t>Mardochée s'est couvert de cendres, car il était très inquiet après que le roi avait ordonné que tous les Juifs de son royaume soient tués (</w:t>
      </w:r>
      <w:hyperlink r:id="rId2202">
        <w:r>
          <w:rPr>
            <w:color w:val="0000EE"/>
            <w:u w:val="single"/>
          </w:rPr>
          <w:t>Est 4.1</w:t>
        </w:r>
      </w:hyperlink>
      <w:r>
        <w:t>–</w:t>
      </w:r>
      <w:hyperlink r:id="rId2202">
        <w:r>
          <w:rPr>
            <w:color w:val="0000EE"/>
            <w:u w:val="single"/>
          </w:rPr>
          <w:t>3</w:t>
        </w:r>
      </w:hyperlink>
      <w:r>
        <w:t>).</w:t>
      </w:r>
    </w:p>
    <w:p>
      <w:pPr>
        <w:pStyle w:val="ListBullet"/>
        <w:spacing w:line="240" w:lineRule="auto"/>
        <w:ind w:left="720"/>
      </w:pPr>
      <w:r/>
      <w:r>
        <w:t>Daniel s'est couvert de cendres lorsqu'il a prié Dieu pour son peuple qui a été forcé de vivre dans un pays étranger (</w:t>
      </w:r>
      <w:hyperlink r:id="rId2203">
        <w:r>
          <w:rPr>
            <w:color w:val="0000EE"/>
            <w:u w:val="single"/>
          </w:rPr>
          <w:t>Dn 9.3</w:t>
        </w:r>
      </w:hyperlink>
      <w:r>
        <w:t>).</w:t>
      </w:r>
    </w:p>
    <w:p>
      <w:pPr>
        <w:pStyle w:val="ListBullet"/>
        <w:spacing w:line="240" w:lineRule="auto"/>
        <w:ind w:left="720"/>
      </w:pPr>
      <w:r/>
      <w:r>
        <w:t>Le roi de Ninive s'est couvert de cendres pour montrer qu'il regrettait ses mauvaises actions après avoir entendu le message de Jonas de la part de Dieu (</w:t>
      </w:r>
      <w:hyperlink r:id="rId2204">
        <w:r>
          <w:rPr>
            <w:color w:val="0000EE"/>
            <w:u w:val="single"/>
          </w:rPr>
          <w:t>Jon 3.6</w:t>
        </w:r>
      </w:hyperlink>
      <w:r>
        <w:t xml:space="preserve"> ; voir </w:t>
      </w:r>
      <w:hyperlink r:id="rId1918">
        <w:r>
          <w:rPr>
            <w:color w:val="0000EE"/>
            <w:u w:val="single"/>
          </w:rPr>
          <w:t>Lc 10.13</w:t>
        </w:r>
      </w:hyperlink>
      <w:r>
        <w:t>)</w:t>
      </w:r>
    </w:p>
    <w:p>
      <w:r/>
      <w:r>
        <w:t>Dans la Bible, on utilisait également des cendres comme symbole pour représenter différentes idées :</w:t>
      </w:r>
    </w:p>
    <w:p>
      <w:pPr>
        <w:pStyle w:val="ListBullet"/>
        <w:spacing w:line="240" w:lineRule="auto"/>
        <w:ind w:left="720"/>
      </w:pPr>
      <w:r/>
      <w:r>
        <w:t>Un sentiment d'humilité et de petitesse (</w:t>
      </w:r>
      <w:hyperlink r:id="rId2205">
        <w:r>
          <w:rPr>
            <w:color w:val="0000EE"/>
            <w:u w:val="single"/>
          </w:rPr>
          <w:t>Gn 18.27</w:t>
        </w:r>
      </w:hyperlink>
      <w:r>
        <w:t>)</w:t>
      </w:r>
    </w:p>
    <w:p>
      <w:pPr>
        <w:pStyle w:val="ListBullet"/>
        <w:spacing w:line="240" w:lineRule="auto"/>
        <w:ind w:left="720"/>
      </w:pPr>
      <w:r/>
      <w:r>
        <w:t>Un sentiment de dévalorisation, ou un manque d'utilité (</w:t>
      </w:r>
      <w:hyperlink r:id="rId2206">
        <w:r>
          <w:rPr>
            <w:color w:val="0000EE"/>
            <w:u w:val="single"/>
          </w:rPr>
          <w:t>Jb 13.12</w:t>
        </w:r>
      </w:hyperlink>
      <w:r>
        <w:t xml:space="preserve"> ; </w:t>
      </w:r>
      <w:hyperlink r:id="rId2207">
        <w:r>
          <w:rPr>
            <w:color w:val="0000EE"/>
            <w:u w:val="single"/>
          </w:rPr>
          <w:t>30.19</w:t>
        </w:r>
      </w:hyperlink>
      <w:r>
        <w:t xml:space="preserve"> ; </w:t>
      </w:r>
      <w:hyperlink r:id="rId2208">
        <w:r>
          <w:rPr>
            <w:color w:val="0000EE"/>
            <w:u w:val="single"/>
          </w:rPr>
          <w:t>Es 44.20</w:t>
        </w:r>
      </w:hyperlink>
      <w:r>
        <w:t>)</w:t>
      </w:r>
    </w:p>
    <w:p>
      <w:pPr>
        <w:pStyle w:val="ListBullet"/>
        <w:spacing w:line="240" w:lineRule="auto"/>
        <w:ind w:left="720"/>
      </w:pPr>
      <w:r/>
      <w:r>
        <w:t>La destruction totale (</w:t>
      </w:r>
      <w:hyperlink r:id="rId2209">
        <w:r>
          <w:rPr>
            <w:color w:val="0000EE"/>
            <w:u w:val="single"/>
          </w:rPr>
          <w:t>Ez 28.18</w:t>
        </w:r>
      </w:hyperlink>
      <w:r>
        <w:t xml:space="preserve"> ; </w:t>
      </w:r>
      <w:hyperlink r:id="rId2210">
        <w:r>
          <w:rPr>
            <w:color w:val="0000EE"/>
            <w:u w:val="single"/>
          </w:rPr>
          <w:t>2P 2.6</w:t>
        </w:r>
      </w:hyperlink>
      <w:r>
        <w:t>)</w:t>
      </w:r>
    </w:p>
    <w:p>
      <w:r/>
      <w:r>
        <w:rPr>
          <w:i/>
        </w:rPr>
        <w:t>Voir aussi</w:t>
      </w:r>
      <w:r>
        <w:t xml:space="preserve"> </w:t>
      </w:r>
      <w:r>
        <w:t>Deuil</w:t>
      </w:r>
      <w:r>
        <w:t>.</w:t>
      </w:r>
      <w:r/>
      <w:r/>
    </w:p>
    <w:p>
      <w:r/>
    </w:p>
    <w:p>
      <w:pPr>
        <w:pStyle w:val="Heading2"/>
      </w:pPr>
      <w:r>
        <w:t>Césarée</w:t>
      </w:r>
      <w:r/>
    </w:p>
    <w:p>
      <w:r/>
      <w:r>
        <w:t>Ville nommée en l'honneur d'Auguste César, construite par Hérode le Grand entre l'an 22 et l'an 10 av. J.‑C. Le site de 3 200 hectares se trouve à 40 km au sud de l'Haïfa moderne, dans la belle plaine du Saron sur la côte méditerranéenne d'Israël. Connue sous le nom de Césarée Maritima, elle est devenue le centre administratif du pays pendant la période de l'occupation romaine. Trois gouverneurs romains de Palestine y ont vécu : Félix (</w:t>
      </w:r>
      <w:hyperlink r:id="rId2211">
        <w:r>
          <w:rPr>
            <w:color w:val="0000EE"/>
            <w:u w:val="single"/>
          </w:rPr>
          <w:t>Ac 24</w:t>
        </w:r>
      </w:hyperlink>
      <w:r>
        <w:t>), Festus (</w:t>
      </w:r>
      <w:hyperlink r:id="rId2212">
        <w:r>
          <w:rPr>
            <w:color w:val="0000EE"/>
            <w:u w:val="single"/>
          </w:rPr>
          <w:t>25.1, 4–6, 13</w:t>
        </w:r>
      </w:hyperlink>
      <w:r>
        <w:t xml:space="preserve">), et Ponce Pilate, qui visitait Jérusalem lors de grandes occasions (voir </w:t>
      </w:r>
      <w:hyperlink r:id="rId2213">
        <w:r>
          <w:rPr>
            <w:color w:val="0000EE"/>
            <w:u w:val="single"/>
          </w:rPr>
          <w:t>Jn 19</w:t>
        </w:r>
      </w:hyperlink>
      <w:r>
        <w:t>). Les archéologues ont trouvé le nom de Pilate gravé dans la pierre dans le théâtre de Césarée.</w:t>
      </w:r>
    </w:p>
    <w:p>
      <w:r/>
      <w:r>
        <w:t>Césarée était le principal port maritime de Judée à l'époque du Nouveau Testament. Étant donné que la côte sud de la Palestine manquait d'un bon port, Hérode en a créé un en construisant deux énormes digues capables d'abriter les navires des tempêtes méditerranéennes.</w:t>
      </w:r>
    </w:p>
    <w:p>
      <w:r/>
      <w:r>
        <w:t>Un officier romain nommé Corneille s'est converti au christianisme à Césarée (</w:t>
      </w:r>
      <w:hyperlink r:id="rId2214">
        <w:r>
          <w:rPr>
            <w:color w:val="0000EE"/>
            <w:u w:val="single"/>
          </w:rPr>
          <w:t>Ac 10.1, 24</w:t>
        </w:r>
      </w:hyperlink>
      <w:r>
        <w:t>). Plus tard, l'apôtre Pierre a rendu visite à Philippe, un leader chrétien important qui y vivait (</w:t>
      </w:r>
      <w:hyperlink r:id="rId2215">
        <w:r>
          <w:rPr>
            <w:color w:val="0000EE"/>
            <w:u w:val="single"/>
          </w:rPr>
          <w:t>21.8</w:t>
        </w:r>
      </w:hyperlink>
      <w:r>
        <w:t>). Paul a passé plus de deux ans en prison à Césarée (</w:t>
      </w:r>
      <w:hyperlink r:id="rId2216">
        <w:r>
          <w:rPr>
            <w:color w:val="0000EE"/>
            <w:u w:val="single"/>
          </w:rPr>
          <w:t>24.27–25.1</w:t>
        </w:r>
      </w:hyperlink>
      <w:r>
        <w:t xml:space="preserve">) et c'est depuis ce port qu'il a embarqué pour son voyage vers Rome (chap. </w:t>
      </w:r>
      <w:hyperlink r:id="rId2217">
        <w:r>
          <w:rPr>
            <w:color w:val="0000EE"/>
            <w:u w:val="single"/>
          </w:rPr>
          <w:t>27</w:t>
        </w:r>
      </w:hyperlink>
      <w:r>
        <w:t>). En l'an 70 apr. J.‑C., le général romain Titus est retourné à Césarée après avoir conquis Jérusalem, tout comme Flavius Silva en l'an 73 apr. J.‑C. après avoir vaincu les villes forteresses de Massada et Hérodion (toutes deux en Judée orientale).</w:t>
      </w:r>
    </w:p>
    <w:p>
      <w:r/>
      <w:r>
        <w:t xml:space="preserve">Les fouilles continues depuis 1971 ont enrichi la somme d'informations concernant la ville de Césarée. Hérode a construit un aqueduc de haut niveau pour amener de l'eau douce du Mont Carmel à Césarée ; l'eau provenait de sources au nord-est et voyageait dans un aqueduc souterrain jusqu'au Mont Carmel. Un aqueduc plus petit apportait de l'eau saumâtre d'une source au nord de la ville pour l'irrigation. De grands égouts (mentionnés par l'historien juif Josèphe), nettoyés par l'action de la mer, ont été découverts sous la ville. Un hippodrome de trente mille places se trouvait du côté oriental de la ville. Il semble avoir été construit au 2e siècle apr. J.‑C., mais a été détruit lors de l'invasion musulmane de 640, ainsi qu'un grand bâtiment d'archives sur la côte. L'excavation du bâtiment d'archives a révélé plusieurs inscriptions sur ses sols en mosaïque, parmi lesquelles se trouvaient deux citations du texte grec de </w:t>
      </w:r>
      <w:hyperlink r:id="rId2218">
        <w:r>
          <w:rPr>
            <w:color w:val="0000EE"/>
            <w:u w:val="single"/>
          </w:rPr>
          <w:t>Romains 13.3</w:t>
        </w:r>
      </w:hyperlink>
      <w:r>
        <w:t>. Toujours enfoui sous terre et visible uniquement en photographie infrarouge se trouve un grand amphithéâtre au nord-ouest de l'hippodrome.</w:t>
      </w:r>
    </w:p>
    <w:p>
      <w:r/>
      <w:r>
        <w:t>Les fouilles de 1976 ont fourni les premières traces de la Tour de Straton, le site hellénistique près duquel Hérode a construit Césarée, selon Josèphe. Une petite synagogue a été mise au jour au nord d'un grand fort construit au port hérodién pendant les Croisades. La zone portuaire contenait de nombreux entrepôts en pierre ; bien que sept aient fait l'objet d'explorations, jusqu'à soixante-treize pourraient encore rester non fouillés. Un entrepôt a été réutilisé par les légions romaines comme Mithraeum (un centre cultuel dédié au dieu perse Mithra), le seul jamais trouvé en Palestine. La ville de Césarée n'a pas été reconstruite après sa destruction par les musulmans au 13e siècle.</w:t>
      </w:r>
      <w:r/>
      <w:r/>
    </w:p>
    <w:p>
      <w:r/>
    </w:p>
    <w:p>
      <w:pPr>
        <w:pStyle w:val="Heading2"/>
      </w:pPr>
      <w:r>
        <w:t>Césarée de Philippe</w:t>
      </w:r>
      <w:r/>
    </w:p>
    <w:p>
      <w:r/>
      <w:r>
        <w:t>Ville située à l'extrémité nord de la Palestine, sur les pentes sud du mont Hermon, près de la ville antique de Dan. Césarée de Philippe se trouve dans une très belle région, près de l'une des trois sources du Jourdain, la rivière (ou oued) Banias.</w:t>
      </w:r>
    </w:p>
    <w:p>
      <w:pPr>
        <w:pStyle w:val="Heading3"/>
      </w:pPr>
      <w:r>
        <w:t>Histoire ancienne</w:t>
      </w:r>
    </w:p>
    <w:p>
      <w:r/>
      <w:r>
        <w:t>Au 2</w:t>
      </w:r>
      <w:r>
        <w:t>ᵉ</w:t>
      </w:r>
      <w:r>
        <w:t xml:space="preserve"> siècle av. J.‑C., cet emplacement était appelé Panion parce que Pan, un dieu grec, y était vénéré dans une grotte. Polybe, l'historien grec, mentionne que ce serait l'endroit où le roi syrien Antiochos III avait vaincu les Ptolémées d'Égypte. Cette bataille importante a eu lieu vers 200 av. J.‑C.</w:t>
      </w:r>
    </w:p>
    <w:p>
      <w:r/>
      <w:r>
        <w:t>Selon l'historien juif Flavius Josèphe, Panion était gouverné par Zénodore, tétrarque d'Iturée. « Il y a en cet endroit de la montagne une grotte charmante, au-dessous de laquelle s’ouvrent un précipice et un gouffre inaccessible, plein d’eau dormante ; au-dessus se dresse une haute montagne : c’est dans cette grotte que le Jourdain prend sa source » (</w:t>
      </w:r>
      <w:r>
        <w:rPr>
          <w:i/>
        </w:rPr>
        <w:t>Antiquités</w:t>
      </w:r>
      <w:r>
        <w:t xml:space="preserve"> 15.10.3).</w:t>
      </w:r>
    </w:p>
    <w:p>
      <w:pPr>
        <w:pStyle w:val="Heading3"/>
      </w:pPr>
      <w:r>
        <w:t>Contrôle hérodien</w:t>
      </w:r>
    </w:p>
    <w:p>
      <w:r/>
      <w:r>
        <w:t>Après la mort de Zénodore, Auguste César donne la ville à Hérode le Grand. Josèphe raconte qu'Hérode « voulut ajouter à cet admirable site l’ornement d’un temple, qu’il dédia à César. » C'était « un temple magnifique en marbre blanc ».</w:t>
      </w:r>
    </w:p>
    <w:p>
      <w:r/>
      <w:r>
        <w:t>À la mort d'Hérode en 4 av. J.‑C., son fils Philippe reçoit le territoire dont Panion fait partie, une région nommée Panéade. Josèphe rapporte que « Philippe le tétrarque bâtit, dans le territoire de Panéade, auprès des sources du Jourdain, une ville qu’il nomma Césarée » (</w:t>
      </w:r>
      <w:r>
        <w:rPr>
          <w:i/>
        </w:rPr>
        <w:t>Guerre des Juifs,</w:t>
      </w:r>
      <w:r>
        <w:t xml:space="preserve"> 2.9.1). Philippe en fit sa capitale. Il la nomma Césarée de Philippe en son propre honneur et en l'honneur de l'empereur romain Tibère César. Ce nom aidait à ne pas la confondre avec la ville plus grande, Césarée Maritime, située sur la côte méditerranéenne.</w:t>
      </w:r>
    </w:p>
    <w:p>
      <w:r/>
      <w:r>
        <w:t>Selon Josèphe, les empereurs romains Vespasien et Titus ont tous deux marché avec leurs armées « de Césarée, qui se trouve sur le bord de la mer, pour se rendre à Césarée de Philippes » (</w:t>
      </w:r>
      <w:r>
        <w:rPr>
          <w:i/>
        </w:rPr>
        <w:t>Guerre des Juifs,</w:t>
      </w:r>
      <w:r>
        <w:t xml:space="preserve"> 3.9.7).</w:t>
      </w:r>
    </w:p>
    <w:p>
      <w:pPr>
        <w:pStyle w:val="Heading3"/>
      </w:pPr>
      <w:r>
        <w:t>Césarée de Philippe et Jésus</w:t>
      </w:r>
    </w:p>
    <w:p>
      <w:r/>
      <w:r>
        <w:t xml:space="preserve">Un moment clé du ministère de Jésus prend place à Césarée de Philippe. En effet, c'est à cet endroit que Jésus a demandé aux disciples qui les gens disaient qu'il était. Quand il leur a ensuite demandé ce que </w:t>
      </w:r>
      <w:r>
        <w:rPr>
          <w:i/>
        </w:rPr>
        <w:t>eux</w:t>
      </w:r>
      <w:r>
        <w:t xml:space="preserve"> croyaient, Pierre lui a répondu : « Tu es le Christ, le Fils du Dieu vivant » (</w:t>
      </w:r>
      <w:hyperlink r:id="rId2219">
        <w:r>
          <w:rPr>
            <w:color w:val="0000EE"/>
            <w:u w:val="single"/>
          </w:rPr>
          <w:t>Mt 16.13–16</w:t>
        </w:r>
      </w:hyperlink>
      <w:r>
        <w:t xml:space="preserve"> ; </w:t>
      </w:r>
      <w:hyperlink r:id="rId2220">
        <w:r>
          <w:rPr>
            <w:color w:val="0000EE"/>
            <w:u w:val="single"/>
          </w:rPr>
          <w:t>Mc 8.27–29</w:t>
        </w:r>
      </w:hyperlink>
      <w:r>
        <w:t>). C'est à partir de ce moment que Jésus a parlé de l'avenir certain de son Église et qu'il a commencé à annoncer qu'il allait mourir aux mains des autorités.</w:t>
      </w:r>
    </w:p>
    <w:p>
      <w:pPr>
        <w:pStyle w:val="Heading3"/>
      </w:pPr>
      <w:r>
        <w:t>Césarée de Philippe plus tard</w:t>
      </w:r>
    </w:p>
    <w:p>
      <w:r/>
      <w:r>
        <w:t>Vers l'an 50 apr. J.‑C., le roi Agrippa II agrandit Césarée de Philippe. Il renomme la ville Neronias en l'honneur de l'empereur Néron. Aujourd'hui, la ville est à nouveau appelée Banias. En effet, les Arabes trouvaient difficile de prononcer Panion, son ancien nom.</w:t>
      </w:r>
      <w:r/>
      <w:r/>
    </w:p>
    <w:p>
      <w:r/>
    </w:p>
    <w:p>
      <w:pPr>
        <w:pStyle w:val="Heading2"/>
      </w:pPr>
      <w:r>
        <w:t>Césars, les</w:t>
      </w:r>
      <w:r/>
    </w:p>
    <w:p>
      <w:r/>
      <w:r>
        <w:t xml:space="preserve">Succession des empereurs romains. Les mots allemand </w:t>
      </w:r>
      <w:r>
        <w:rPr>
          <w:i/>
        </w:rPr>
        <w:t>Kaiser</w:t>
      </w:r>
      <w:r>
        <w:t xml:space="preserve">, néerlandais </w:t>
      </w:r>
      <w:r>
        <w:rPr>
          <w:i/>
        </w:rPr>
        <w:t>Keizer</w:t>
      </w:r>
      <w:r>
        <w:t xml:space="preserve"> et russe </w:t>
      </w:r>
      <w:r>
        <w:rPr>
          <w:i/>
        </w:rPr>
        <w:t>Tsar</w:t>
      </w:r>
      <w:r>
        <w:t xml:space="preserve"> sont des dérivés de « Caesar », le nom de famille de Jules César (100–44 av. J.-C.). Ce nom sera adopté par ses successeurs. L’Évangile de Luc mentionne César Auguste (</w:t>
      </w:r>
      <w:hyperlink r:id="rId2221">
        <w:r>
          <w:rPr>
            <w:color w:val="0000EE"/>
            <w:u w:val="single"/>
          </w:rPr>
          <w:t>Lc 2.1</w:t>
        </w:r>
      </w:hyperlink>
      <w:r>
        <w:t>) et Tibère César (</w:t>
      </w:r>
      <w:hyperlink r:id="rId2222">
        <w:r>
          <w:rPr>
            <w:color w:val="0000EE"/>
            <w:u w:val="single"/>
          </w:rPr>
          <w:t>Lc 3.1</w:t>
        </w:r>
      </w:hyperlink>
      <w:r>
        <w:t>). Dans le livre des Actes, le titre « César » est utilisé pour désigner Néron (</w:t>
      </w:r>
      <w:hyperlink r:id="rId2223">
        <w:r>
          <w:rPr>
            <w:color w:val="0000EE"/>
            <w:u w:val="single"/>
          </w:rPr>
          <w:t xml:space="preserve">Ac 25.11–12, 21 </w:t>
        </w:r>
      </w:hyperlink>
      <w:r>
        <w:t xml:space="preserve">; </w:t>
      </w:r>
      <w:hyperlink r:id="rId145">
        <w:r>
          <w:rPr>
            <w:color w:val="0000EE"/>
            <w:u w:val="single"/>
          </w:rPr>
          <w:t xml:space="preserve">26.32 </w:t>
        </w:r>
      </w:hyperlink>
      <w:r>
        <w:t xml:space="preserve">; </w:t>
      </w:r>
      <w:hyperlink r:id="rId2224">
        <w:r>
          <w:rPr>
            <w:color w:val="0000EE"/>
            <w:u w:val="single"/>
          </w:rPr>
          <w:t xml:space="preserve">27.24 </w:t>
        </w:r>
      </w:hyperlink>
      <w:r>
        <w:t xml:space="preserve">; </w:t>
      </w:r>
      <w:hyperlink r:id="rId2225">
        <w:r>
          <w:rPr>
            <w:color w:val="0000EE"/>
            <w:u w:val="single"/>
          </w:rPr>
          <w:t>28.19</w:t>
        </w:r>
      </w:hyperlink>
      <w:r>
        <w:t>). À l'époque du Nouveau Testament (NT), 12 Césars ont régné, dont 6 réellement issus de la lignée césarienne.</w:t>
      </w:r>
    </w:p>
    <w:p>
      <w:pPr>
        <w:pStyle w:val="Heading3"/>
      </w:pPr>
      <w:r>
        <w:t>Empereurs de la lignée de César</w:t>
      </w:r>
    </w:p>
    <w:p>
      <w:pPr>
        <w:pStyle w:val="Heading4"/>
      </w:pPr>
      <w:r>
        <w:t>Jules César (100–44 av. J.-C.)</w:t>
      </w:r>
    </w:p>
    <w:p>
      <w:r/>
      <w:r>
        <w:t xml:space="preserve">Jules a des pouvoirs impériaux mais ne détiendra jamais le titre d'empereur. À son époque, Rome a été une république (en réalité une aristocratie) depuis près de 500 ans. Ses citoyens détestent l'idée d'un roi, position que Jules César refuse sagement. Il accepte plutôt une fonction au sein de la république mais gouverne comme un dictateur. La république est de toute façon morte, en pratique sinon en principe. Espérant vainement lui redonner vie et craignant les ambitions impériales de César, un groupe de républicains complote de l'assassiner. Cet assassinat a lieu le 15 mars (les « ides de mars ») en 44 av. J.-C., alors que Jules entre au Sénat romain. Malgré la réussite de la conspiration, son but échoue. Dans la guerre civile qui suit, le petit-neveu de César, Octavien, émerge comme vainqueur. Il devient le premier empereur romain en 31 av. J.-C. </w:t>
      </w:r>
    </w:p>
    <w:p>
      <w:pPr>
        <w:pStyle w:val="Heading4"/>
      </w:pPr>
      <w:r>
        <w:t>Auguste (63 av. J.-C.–14 apr. J.-C.), règne de 31 av. J.-C. à 14 apr. J.-C.</w:t>
      </w:r>
    </w:p>
    <w:p>
      <w:r/>
      <w:r>
        <w:t>Gaïus Octavianus (Octavien) est le petit-fils de Julie, la sœur de Jules César. Il a 18 ans et étudie en Grèce lorsque son grand-oncle est assassiné. Le testament de César, qui l'adopte comme fils et en fait son héritier, l'entraîne dans la lutte de pouvoir qui suit.</w:t>
      </w:r>
    </w:p>
    <w:p>
      <w:r/>
      <w:r>
        <w:t>En un an et demi, un trio (triumvirat) composé d'Antoine, de Lépide et d'Octavien se retrouve au pouvoir. L'année suivante, lors d'une bataille à Philippes (en Macédoine, maintenant en Grèce), Octavien vainc à la fois Cassius et Brutus, les principaux conspirateurs contre César. Antoine prend le commandement des provinces de l'est (y compris la Grèce et l'Égypte). Octavien ramène ses forces en Italie. Lépide prend la juridiction de la Gaule et de l'Afrique du Nord occidentale. Lépide, cependant, est écarté, et la région qu'il contrôle tombe aux mains d'Octavien. Ainsi, Octavien et Antoine, qui ont déjà eu des différends avant de s'allier, deviennent à nouveau rivaux. Lors de la bataille d'Actium (31 av. J.-C.), Octavien vainc Antoine pour devenir le seul dirigeant du monde romain et son premier empereur.</w:t>
      </w:r>
    </w:p>
    <w:p>
      <w:r/>
      <w:r>
        <w:t>Octavien n'a pas le génie militaire de son grand-oncle, mais il a un talent pour mettre fin aux conflits et maintenir la paix. Cela lui vaut immédiatement le soutien du peuple. Pendant son règne, la culture romaine connaît un âge d'or, notamment en architecture et en littérature. Auguste fonde la garde prétorienne, le corps d'honneur privé de l'empereur composé de 9 000 soldats. Initialement destinée à stabiliser la position de l'empereur, elle devient par la suite si influente qu'elle peut déposer un empereur ou en élire un nouveau sans confirmation du Sénat.</w:t>
      </w:r>
    </w:p>
    <w:p>
      <w:r/>
      <w:r>
        <w:t xml:space="preserve">Le titre Auguste </w:t>
      </w:r>
      <w:r>
        <w:rPr>
          <w:i/>
        </w:rPr>
        <w:t>(Augoustos),</w:t>
      </w:r>
      <w:r>
        <w:t xml:space="preserve"> signifiant « celui qui est exalté », est donné à Octavien en 27 av. J.-C. Le titre reflète la pratique du culte de l'empereur qui a commencé, au moins en partie, sous le règne de Jules César. Celui-ci s'était déclaré « le dieu invaincu » et « le père de la patrie ». Auguste fait continuer ce culte, après avoir déclaré qu'il doit être vénéré uniquement en association avec la déesse Roma. Plus tard, cependant, le nom d'Auguste se confond avec celui de Rome, et il est considéré comme le sauveur du monde. Un temple dédié à Auguste est construit à Athènes, et même Hérode le Grand construit des temples en son honneur.</w:t>
      </w:r>
    </w:p>
    <w:p>
      <w:r/>
      <w:r>
        <w:t>Lorsque Auguste devient empereur, il se consacre à la réorganisation de son empire. En raison du chaos qui règne dans les provinces, il restructure les politiques économiques et financières.</w:t>
      </w:r>
    </w:p>
    <w:p>
      <w:r/>
      <w:r>
        <w:t>César Auguste est mentionné une seule fois dans le NT. Il est néanmoins connu de tous les lecteurs de la Bible à cause du recensement qu'il ordonne dans toutes les provinces romaines juste avant la naissance de Jésus (</w:t>
      </w:r>
      <w:hyperlink r:id="rId2221">
        <w:r>
          <w:rPr>
            <w:color w:val="0000EE"/>
            <w:u w:val="single"/>
          </w:rPr>
          <w:t>Lc 2.1</w:t>
        </w:r>
      </w:hyperlink>
      <w:r>
        <w:t>). Peu d'informations sont disponibles sur ce recensement. Cependant, Luc écrit que le premier recensement a lieu lorsque Jésus naît. Le second a lieu en 6 apr. J.-C. et entraîne un soulèvement provoqué par Judas de Galilée (</w:t>
      </w:r>
      <w:hyperlink r:id="rId2226">
        <w:r>
          <w:rPr>
            <w:color w:val="0000EE"/>
            <w:u w:val="single"/>
          </w:rPr>
          <w:t>Ac 5.37</w:t>
        </w:r>
      </w:hyperlink>
      <w:r>
        <w:t>).</w:t>
      </w:r>
    </w:p>
    <w:p>
      <w:r/>
      <w:r>
        <w:t>Hérode le Grand gagne la confiance de l'empereur Auguste et est autorisé à gouverner les Juifs sans intervention romaine. En signe de reconnaissance, Hérode reconstruit l'ancienne ville de Samarie et la renomme Sébaste pour honorer Auguste. Césarée, sur la côte méditerranéenne de la Palestine, est également nommée en son honneur.</w:t>
      </w:r>
    </w:p>
    <w:p>
      <w:r/>
      <w:r>
        <w:t>Les conflits entre Hérode et ses fils sont réglés par Auguste en 12 av. J.-C. Cependant, lorsque des disputes entre le père et ses fils ressurgissent, Auguste ordonne qu'ils soient réglés dans un tribunal romain. En 7 av. J.-C., deux d'entre eux, Alexandre et Aristobule, sont exécutés. En 4 av. J.-C., Auguste permet l'exécution d'Antipater, un autre fils d'Hérode.</w:t>
      </w:r>
    </w:p>
    <w:p>
      <w:r/>
      <w:r>
        <w:t>Dans le testament d'Hérode, trois de ses fils (Archélaüs, Antipas et Philippe) sont nommés pour gouverner son royaume. L'approbation d'Auguste est nécessaire. Archélaüs se rend personnellement à Rome immédiatement après la mort de son père pour demander un changement à son statut. Antipas fait de même pour voir si Auguste est prêt à lui accorder un statut royal. Tandis qu'ils cherchent chacun une audience séparée avec l'empereur, une délégation représentant le peuple de Judée se présente devant lui, demandant que le règne hérodien, qui n'a jamais été très populaire, prenne fin. En même temps, des émeutes en Judée doivent être maîtrisées par des légions romaines envoyées de Syrie.</w:t>
      </w:r>
    </w:p>
    <w:p>
      <w:r/>
      <w:r>
        <w:t>Auguste fait un compromis. Il convertit l'ancien royaume d'Hérode en province romaine et refuse la royauté à tous ses fils. À part cela, il respecte le testament d'Hérode : Archélaüs devient ethnarque (suzerain) de Judée, de Samarie et de l'Idumée (la moitié de la nouvelle province) ; Antipas devient tétrarque de Galilée et de Pérée (un quart de la province) ; Philippe devient tétrarque d'Iturée et de Trachonite (</w:t>
      </w:r>
      <w:hyperlink r:id="rId2222">
        <w:r>
          <w:rPr>
            <w:color w:val="0000EE"/>
            <w:u w:val="single"/>
          </w:rPr>
          <w:t xml:space="preserve">Lc 3.1 </w:t>
        </w:r>
      </w:hyperlink>
      <w:r>
        <w:t>; région à l'est de la Galilée et dernier quart de la province). Archélaüs est incapable de gouverner efficacement ; il est donc détrôné par l'empereur en 6 apr. J.-C. Il est banni à Vienne dans le sud de la France.</w:t>
      </w:r>
    </w:p>
    <w:p>
      <w:r/>
      <w:r>
        <w:t>Auguste meurt en 14 apr. J.-C. après une brève maladie, laissant l'empire à son successeur désigné, Tibère.</w:t>
      </w:r>
    </w:p>
    <w:p>
      <w:pPr>
        <w:pStyle w:val="Heading4"/>
      </w:pPr>
      <w:r>
        <w:t>Tibère (42 av. J.-C.–37 apr. J.-C.), règne de 14 à 37 apr. J.-C.</w:t>
      </w:r>
    </w:p>
    <w:p>
      <w:r/>
      <w:r>
        <w:t>Tibère naît Tiberius Claudius Nero. Il devient le beau-fils d'Octavien à l'âge de quatre ans, lorsque sa mère, Livie, divorce de son père pour épouser le futur empereur. Tibère est nommé corégent d'Auguste en 13 apr. J.-C. et lui succède l'année suivante. Lorsqu'il devient empereur, il change son nom à Tibère César Auguste.</w:t>
      </w:r>
    </w:p>
    <w:p>
      <w:r/>
      <w:r>
        <w:t>La vie de Tibère n'a pas été facile. Son beau-père lui a imposé un mariage malheureux. Le Sénat romain s'oppose souvent à lui. En 27 apr. J.-C., Tibère quitte Rome pour l'île de Capri, laissant la tâche de gouverner l'empire aux mains de Séjan, un préfet (haut fonctionnaire) romain. Au cours des cinq années suivantes, Séjan tente secrètement de déposer l'empereur et de s'emparer du pouvoir. Sa conspiration réussit presque, mais Tibère finit par le faire exécuter. Malgré cela, l'administration de Tibère se caractérise par la sagesse, l'intelligence, la prudence et le devoir. Il poursuit la politique de son prédécesseur visant à la paix et à la sécurité.</w:t>
      </w:r>
    </w:p>
    <w:p>
      <w:r/>
      <w:r>
        <w:t>En 26 apr. J.-C., probablement avant de prendre sa semi-retraite, Tibère nomme Ponce Pilate gouverneur de Judée. Directement responsable devant l'empereur, Pilate peut être immédiatement démis de ses fonctions si des rumeurs de troubles juifs ou si des plaintes parviennent à Tibère. La capitulation de Pilate face aux autorités juives lors du procès de Jésus est mieux comprise à la lumière de cette information. Les Juifs accusent Jésus de prétendre être roi, impliquant une rivalité avec l'empereur. Lorsque Pilate juge le Christ innocent de l'accusation et cherche à le libérer (</w:t>
      </w:r>
      <w:hyperlink r:id="rId2227">
        <w:r>
          <w:rPr>
            <w:color w:val="0000EE"/>
            <w:u w:val="single"/>
          </w:rPr>
          <w:t>Jn 18.33–38</w:t>
        </w:r>
      </w:hyperlink>
      <w:r>
        <w:t>), les Juifs insistent qu'il ne peut pas faire cela et rester l'ami de César (</w:t>
      </w:r>
      <w:hyperlink r:id="rId2228">
        <w:r>
          <w:rPr>
            <w:color w:val="0000EE"/>
            <w:u w:val="single"/>
          </w:rPr>
          <w:t>19.12</w:t>
        </w:r>
      </w:hyperlink>
      <w:r>
        <w:t>). S'il libère Jésus, disent-ils, il risque de perdre la faveur de l'empereur. En raison des crimes commis sur son ordre contre les Juifs, Pilate sait qu'ils pourraient mettre leur menace à exécution et entraîner son bannissement. Ainsi, cédant à leurs exigences, il condamne Jésus à mort par crucifixion.</w:t>
      </w:r>
    </w:p>
    <w:p>
      <w:r/>
      <w:r>
        <w:t>Tibère César est mentionné seulement une fois dans le NT. L'Évangile de Luc indique que Jean le Baptiste a commencé son ministère la quinzième année de son règne, alors que Ponce Pilate est gouverneur de Judée (</w:t>
      </w:r>
      <w:hyperlink r:id="rId2222">
        <w:r>
          <w:rPr>
            <w:color w:val="0000EE"/>
            <w:u w:val="single"/>
          </w:rPr>
          <w:t>Lc 3.1</w:t>
        </w:r>
      </w:hyperlink>
      <w:r>
        <w:t>). Il est difficile de déterminer si cette date est calculée à partir du moment où Tibère devient empereur ou à partir de sa corégence.</w:t>
      </w:r>
    </w:p>
    <w:p>
      <w:r/>
      <w:r>
        <w:t xml:space="preserve">Tibère est un empereur étrangement humble. À sa propre demande, il n'est jamais officiellement reconnu comme un dieu (sorte de titre honorifique accordé à ses prédécesseurs par le Sénat). L'intérêt pour le culte de l'empereur a alors diminué. Tibère a l'intention de limiter la divinité à ses deux prédécesseurs. Il met également fin à la pratique de nommer les mois de l'année d'après les empereurs. Ainsi, il y a un </w:t>
      </w:r>
      <w:r>
        <w:rPr>
          <w:i/>
        </w:rPr>
        <w:t>juillet</w:t>
      </w:r>
      <w:r>
        <w:t xml:space="preserve"> pour Jules, un </w:t>
      </w:r>
      <w:r>
        <w:rPr>
          <w:i/>
        </w:rPr>
        <w:t>août</w:t>
      </w:r>
      <w:r>
        <w:t xml:space="preserve"> pour Auguste, mais pas de </w:t>
      </w:r>
      <w:r>
        <w:rPr>
          <w:i/>
        </w:rPr>
        <w:t>tiber</w:t>
      </w:r>
      <w:r>
        <w:t xml:space="preserve"> pour Tibère. Tourmenté par des problèmes domestiques et politiques toute sa vie, Tibère meurt en vieil homme fatigué et abattu. En fait, il s'est montré excellent administrateur.</w:t>
      </w:r>
    </w:p>
    <w:p>
      <w:pPr>
        <w:pStyle w:val="Heading4"/>
      </w:pPr>
      <w:r>
        <w:t>Caligula (12–41 apr. J.-C.), règne de 37 à 41 apr. J.-C.</w:t>
      </w:r>
    </w:p>
    <w:p>
      <w:r/>
      <w:r>
        <w:t>À la mort de Tibère, Gaïus Julius Caesar devient empereur à l'âge de 25 ans. C'est le fils d'un général influent, Germanicus. Auguste avait forcé Tibère à adopter Gaïus et à en faire son héritier. Enfant, Gaïus avait accompagné Germanicus dans ses fonctions militaires le long du Rhin en Allemagne. Les soldats l'avaient surnommé Caligula (« petite botte ») en raison de sa tenue militaire. Le nom était resté.</w:t>
      </w:r>
    </w:p>
    <w:p>
      <w:r/>
      <w:r>
        <w:t>Pour gagner en popularité auprès des Romains, Caligula commence son règne en pardonnant des personnes et en rappelant des exilés. Cependant, il gaspille l'argent du trésor romain et est obligé de lever de nouveaux impôts. Sa popularité est de courte durée.</w:t>
      </w:r>
    </w:p>
    <w:p>
      <w:r/>
      <w:r>
        <w:t>Six mois après avoir pris ses fonctions, Caligula souffre d'une maladie grave qui le rend fou. À une occasion, par exemple, il nomme son cheval consul (magistrat en chef). Il insulte de nombreuses personnes, en exile d'autres sur un coup de tête, et en fait assassiner d'autres sans provocation. Lorsqu'il pense avoir été insulté par les Juifs de Jamnia, une ville judéenne près de la côte méditerranéenne, il ordonne qu'une statue de lui-même soit placée dans le Temple à Jérusalem pour se venger. Les Juifs sont scandalisés, et une révolte à grande échelle n'est évitée que grâce à la prudence du gouverneur de Syrie, Petronius. En effet, celui-ci retarde l'exécution de l'ordre de Caligula. Peu de temps après, l'empereur est assassiné par l'un des nombreux hommes qu'il avait insultés.</w:t>
      </w:r>
    </w:p>
    <w:p>
      <w:r/>
      <w:r>
        <w:t>C'est Caligula qui nomme Hérode Agrippa I</w:t>
      </w:r>
      <w:r>
        <w:rPr>
          <w:vertAlign w:val="superscript"/>
        </w:rPr>
        <w:t>er</w:t>
      </w:r>
      <w:r>
        <w:t xml:space="preserve"> (le Hérode dans </w:t>
      </w:r>
      <w:hyperlink r:id="rId153">
        <w:r>
          <w:rPr>
            <w:color w:val="0000EE"/>
            <w:u w:val="single"/>
          </w:rPr>
          <w:t>Ac 12</w:t>
        </w:r>
      </w:hyperlink>
      <w:r>
        <w:t>) roi sur une tétrarchie au nord-est de la Galilée. C'est, selon l'historien Josèphe, l'un de ses premiers actes en tant qu'empereur. Caligula et Hérode Agrippa I</w:t>
      </w:r>
      <w:r>
        <w:rPr>
          <w:vertAlign w:val="superscript"/>
        </w:rPr>
        <w:t>er</w:t>
      </w:r>
      <w:r>
        <w:t xml:space="preserve"> deviennent de proches amis avant de monter au pouvoir, quand Agrippa vit encore à Rome. D'ailleurs, plus tard, même en tant que roi, Agrippa y passera encore beaucoup de temps. Contrairement à Caligula, Agrippa est un dirigeant capable et populaire. Tant le roi Agrippa que l'empereur Caligula, comme de nombreux souverains orientaux, se prennent pour des dieux. Caligula, en fait, redonne vie à la notion de la divinité de l'empereur à Rome. Il se proclame même follement égal à Jupiter. Le Sénat, cependant, s'abstient de reconnaître officiellement ce statut.</w:t>
      </w:r>
    </w:p>
    <w:p>
      <w:pPr>
        <w:pStyle w:val="Heading4"/>
      </w:pPr>
      <w:r>
        <w:t>Claude (10 av. J.-C.–54 apr. J.-C.), règne de 41 à 54 apr. J.-C.</w:t>
      </w:r>
    </w:p>
    <w:p>
      <w:r/>
      <w:r>
        <w:t>Claude naît Tiberius Claudius Germanicus à Lyon (France). C'est le neveu de Tibère et le petit-fils de Livie, épouse d'Auguste. En 37 apr. J.-C., il est nommé consul par Caligula. Après la mort de ce dernier, Claude est proclamé empereur par la garde prétorienne, et le Sénat approuve ce choix.</w:t>
      </w:r>
    </w:p>
    <w:p>
      <w:r/>
      <w:r>
        <w:t>Lorsque Claude devint empereur, il est confronté à la tâche de guérir les relations brisées causées par la folie de Caligula. Il met fin à la persécution des Juifs dans la ville d'Alexandrie. Josèphe écrit que Claude envoie un édit en Égypte. Selon Josèphe, Claude redonne aux Juifs leurs droits et privilèges et leur permet de continuer à vivre selon leurs propres coutumes.</w:t>
      </w:r>
    </w:p>
    <w:p>
      <w:r/>
      <w:r>
        <w:t>Ce changement de politique reflète l'amitié de Claude avec Hérode Agrippa, dont l'influence l'a aidé à devenir empereur. Claude ajoute aussi la Judée et la Samarie au royaume d'Agrippa, lui donnant ainsi l'ancienne domination de son grand-père, Hérode le Grand. Il l'élève également au rang de consul. De plus, Claude a une confiance totale dans ses capacités. La Judée n'est donc plus une province romaine.</w:t>
      </w:r>
    </w:p>
    <w:p>
      <w:r/>
      <w:r>
        <w:t>Le règne d'Agrippa, cependant, est de courte durée. Pour plaire aux Juifs, il fait tuer l'apôtre Jacques, fils de Zébédée. Il fait également emprisonner l'apôtre Pierre, voulant le faire exécuter après la fête de la Pâque au printemps de l'an 44 apr. J.-C. (</w:t>
      </w:r>
      <w:hyperlink r:id="rId2229">
        <w:r>
          <w:rPr>
            <w:color w:val="0000EE"/>
            <w:u w:val="single"/>
          </w:rPr>
          <w:t>Ac 12.1–5</w:t>
        </w:r>
      </w:hyperlink>
      <w:r>
        <w:t>). Pierre s'échappe. Au cours de l'été de cette année-là, Agrippa, vêtu d'un vêtement étincelant fait de fil d'argent, prononce un discours depuis son trône. Le peuple l'acclame comme un dieu (v.</w:t>
      </w:r>
      <w:hyperlink r:id="rId2230">
        <w:r>
          <w:rPr>
            <w:color w:val="0000EE"/>
            <w:u w:val="single"/>
          </w:rPr>
          <w:t xml:space="preserve"> 22</w:t>
        </w:r>
      </w:hyperlink>
      <w:r>
        <w:t>). l est immédiatement frappé par un ange du Seigneur et meurt cinq jours plus tard.</w:t>
      </w:r>
    </w:p>
    <w:p>
      <w:r/>
      <w:r>
        <w:t>L'empereur souhaite rester en bons termes avec le peuple juif. Pourtant, cinq ans après la mort d'Agrippa, Claude ordonne l'expulsion de tous les Juifs de Rome. Luc rapporte qu'Aquilas et Priscille font partie de ceux qui quittent la ville impériale (</w:t>
      </w:r>
      <w:hyperlink r:id="rId1614">
        <w:r>
          <w:rPr>
            <w:color w:val="0000EE"/>
            <w:u w:val="single"/>
          </w:rPr>
          <w:t>Ac 18.2</w:t>
        </w:r>
      </w:hyperlink>
      <w:r>
        <w:t>). Le biographe et historien romain Suétone écrit à propos de Claude : « Les Juifs provoquants continuellement des troubles à l'instigation de Chrestos, il les chassa de Rome » (Claude, XXV). L'auteur a facilement pu se tromper d'orthographe, car Chrestos, un nom fréquent parmi les esclaves, se prononce pratiquement de la même manière que Christos. Il semble que Suétone cherche à communiquer à ses lecteurs que Chrestos est le fondateur d'un mouvement (vraisemblablement le christianisme).</w:t>
      </w:r>
    </w:p>
    <w:p>
      <w:r/>
      <w:r>
        <w:t xml:space="preserve">En raison de la mauvaise gestion de Caligula, l'approvisionnement en grain est à un niveau historiquement bas lorsque Claude commence à régner (comp. avec </w:t>
      </w:r>
      <w:hyperlink r:id="rId156">
        <w:r>
          <w:rPr>
            <w:color w:val="0000EE"/>
            <w:u w:val="single"/>
          </w:rPr>
          <w:t>Ac 11.28</w:t>
        </w:r>
      </w:hyperlink>
      <w:r>
        <w:t>). Josèphe rapporte que pendant l'administration de Claude, la famine frappe la Judée, la Samarie et la Galilée. Pour réduire la famine à Jérusalem, Hélène d'Adiabène, mère du roi d'Adiabène, achète du grain d'Égypte et des figues sèches de Chypre. Cela a probablement lieu en 45–46 apr. J.-C. Divers historiens anciens, dont Tacite, Suétone et Eusèbe, rapportent que des famines sévissent fréquemment à Rome et ailleurs. À plusieurs reprises, les récoltes sont minimes et la distribution des provisions alimentaires est médiocre.</w:t>
      </w:r>
    </w:p>
    <w:p>
      <w:r/>
      <w:r>
        <w:t>La vie familiale et la réputation de Claude sont salies par l'intrigue. Sa troisième épouse immorale, Messaline, est finalement mise à mort. Provoquant un léger scandale, il épouse sa nièce Agrippine, qui a un fils d'un précédent mariage. Elle veut que son fils Néron devienne empereur, mais Britannicus, le fils de Messaline, est premier dans la ligne de succession. En 54 apr. J.-C., lorsque Claude décide que Britannicus lui succèdera, Agrippine empoisonne son mari et fait de son fils Néron l'empereur. Le Sénat accorde officiellement la divinité à Claude. C'est le troisième empereur à recevoir cet honneur.</w:t>
      </w:r>
    </w:p>
    <w:p>
      <w:pPr>
        <w:pStyle w:val="Heading4"/>
      </w:pPr>
      <w:r>
        <w:t>Néron (37–68 apr. J.-C.), règne de 54 à 68 apr. J.-C.</w:t>
      </w:r>
    </w:p>
    <w:p>
      <w:r/>
      <w:r>
        <w:t>Néron naît Lucius Domitius Ahenobarbus. Son père est sénateur et consul. Il meurt quand Néron est encore jeune garçon. Sa mère, Agrippine, fille de Germanicus, a la réputation d'être l'une des femmes les plus riches et les plus belles de Rome. Lorsqu'elle épouse l'empereur, son fils reçoit le nom de Nero Claudius Caesar Germanicus lors de son adoption par Claude.</w:t>
      </w:r>
    </w:p>
    <w:p>
      <w:r/>
      <w:r>
        <w:t>Néron est d'abord dominé par sa mère qui, orgueilleuse, souhaite régner aux côtés de son fils. À cette époque, Rome est un foyer d'intrigues politiques, de complots meurtriers et d'assassinats. Au cours des cinq premières années de son règne, Néron fait éliminer son beau-frère Britannicus et sa mère Agrippine l'un après l'autre. Quelques années plus tard, il bannit sa femme, Octavie, et la fait tuer.</w:t>
      </w:r>
    </w:p>
    <w:p>
      <w:r/>
      <w:r>
        <w:t>Ironiquement, l'Église de Rome prospère à la même époque. Le dernier chapitre de la lettre de l'apôtre Paul aux Romains, écrite depuis Corinthe en 57 apr. J.-C., contient une longue et impressionnante liste de noms de connaissances personnelles. Cette liste est particulièrement impressionnante car Paul n'a jamais été à Rome.</w:t>
      </w:r>
    </w:p>
    <w:p>
      <w:r/>
      <w:r>
        <w:t>Néron règne depuis plus de cinq ans lorsque Paul, emprisonné à Césarée, fait appel à César (</w:t>
      </w:r>
      <w:hyperlink r:id="rId1079">
        <w:r>
          <w:rPr>
            <w:color w:val="0000EE"/>
            <w:u w:val="single"/>
          </w:rPr>
          <w:t>Ac 25.11</w:t>
        </w:r>
      </w:hyperlink>
      <w:r>
        <w:t xml:space="preserve">). Les motifs de son appel sont peut-être la libération et une occasion de chercher à faire reconnaître le christianisme de façon légale. Cependant, cet appel à César ne signifie pas nécessairement que Paul a été jugé par Néron lui-même. L'empereur avait fait savoir au début de son règne qu'il ne serait pas juge. Il avait nommé des préfets de la garde prétorienne pour juger les affaires à sa place. Au début de l'an 62 apr. J.-C., Néron change cette règle et juge lui-même une affaire. Par conséquent, il est difficile de déterminer si Paul s'est présenté devant Néron ou devant un préfet. Si les procureurs ne se sont pas présentés, l'affaire de Paul n'a peut-être pas été jugée du tout. Selon </w:t>
      </w:r>
      <w:hyperlink r:id="rId2231">
        <w:r>
          <w:rPr>
            <w:color w:val="0000EE"/>
            <w:u w:val="single"/>
          </w:rPr>
          <w:t>Philippiens 1.7–14</w:t>
        </w:r>
      </w:hyperlink>
      <w:r>
        <w:t>, Paul attend encore un procès au moment où il écrit cette lettre.</w:t>
      </w:r>
    </w:p>
    <w:p>
      <w:r/>
      <w:r>
        <w:t>En 62 apr. J.-C., l'adjoint de Néron, Afranius Burrus, meurt. Burrus avait été préfet de la garde prétorienne. Avec un sénateur compétent, Sénèque, Burrus avait dirigé l'empire efficacement pendant que Néron passait son temps à se divertir. Après la mort de Burrus, Néron commence à donner libre cours à ses caprices. Sénèque est obligé de se suicider trois ans plus tard. Les conseillers de Néron, avides de gain, cherchent à s'enrichir aux dépens de l'État. Ils provoquent une grave crise financière. Néron est également déséquilibré et se considère comme le sauveur du monde.</w:t>
      </w:r>
    </w:p>
    <w:p>
      <w:r/>
      <w:r>
        <w:t>En 64 apr. J.-C., un incendie éclate aux environs du Cirque Maxime à Rome. Il se propage rapidement, dévorant tout sur son passage. Attisé par le vent, il fait rage pendant plus de cinq jours et dévaste une grande partie de la ville avant d'être maîtrisé. Au moment où l'incendie éclate, Néron se trouve à Antium, son lieu de naissance, à environ 53 kilomètres (33 mi) au sud. Il se précipite à Rome pour organiser les secours. Cependant, à cause de sa mauvaise réputation, les gens prennent au sérieux la rumeur qu'il aurait lui-même déclenché l'incendie.</w:t>
      </w:r>
    </w:p>
    <w:p>
      <w:r/>
      <w:r>
        <w:t>Néron, à son tour, trouve un bouc émissaire. Il accuse les chrétiens du crime. Beaucoup sont persécutés. Peut-être que l'apôtre Pierre, dans sa première lettre, fait référence à leurs souffrances durant les dernières années du règne de Néron (</w:t>
      </w:r>
      <w:hyperlink r:id="rId2232">
        <w:r>
          <w:rPr>
            <w:color w:val="0000EE"/>
            <w:u w:val="single"/>
          </w:rPr>
          <w:t>1P 4.12</w:t>
        </w:r>
      </w:hyperlink>
      <w:r>
        <w:t xml:space="preserve">). L'empereur a peut-être été influencé par sa seconde épouse, Poppée, à accuser les chrétiens de la dévastation de Rome. L'Église avait augmenté en nombre et était devenue un mouvement. Tacite fait allusion à la taille de l'Église lorsqu'il écrit qu'« </w:t>
      </w:r>
      <w:r>
        <w:t>une foule immense fut trouvée coupable moins du crime d'incendie que de haine contre le genre humain</w:t>
      </w:r>
      <w:r>
        <w:t xml:space="preserve"> ».</w:t>
      </w:r>
    </w:p>
    <w:p>
      <w:r/>
      <w:r>
        <w:t>Il est probable que Pierre et Paul ont été exécutés pendant la persécution de Néron. Clément de Rome, un des premiers Pères de l'Église, dans sa lettre à l'Église de Corinthe (vraisemblablement écrite en 95 apr. J.-C.), parle des héros de la foi « qui ont vécu le plus près de notre époque », c'est-à-dire Pierre et Paul, tués en martyrs.</w:t>
      </w:r>
    </w:p>
    <w:p>
      <w:r/>
      <w:r>
        <w:t>En 66 apr. J.-C., une révolte juive éclate à Césarée. Néron, ne s'intéressant pas lui-même aux affaires d'État, envoie son général Vespasien la maîtriser. Lui-même quitte Rome pour un voyage en Grèce, laissant la responsabilité de gouverner l'empire à un préfet romain, Helius. À son retour, il doit faire face à l'opposition inévitable des principaux gouverneurs en France, en Espagne et en Afrique. Il se suicide en 68 apr. J.-C. C'est le dernier empereur de la lignée césarienne par le sang ou le mariage.</w:t>
      </w:r>
    </w:p>
    <w:p>
      <w:pPr>
        <w:pStyle w:val="Heading3"/>
      </w:pPr>
      <w:r>
        <w:t>Autres empereurs</w:t>
      </w:r>
    </w:p>
    <w:p>
      <w:pPr>
        <w:pStyle w:val="Heading4"/>
      </w:pPr>
      <w:r>
        <w:t>Galba (3 av. J.-C.–69 apr. J.-C.), règne de 68 à 69 apr. J.-C.</w:t>
      </w:r>
    </w:p>
    <w:p>
      <w:r/>
      <w:r>
        <w:t>Après la mort de Néron, la garde prétorienne choisit Servius Sulpicius Galba comme empereur. Galba est un gouverneur populaire, qui a montré sa compétence à divers moments dans les provinces de France, d'Allemagne, d'Espagne et d'Afrique. Il ne réussit pas autant en tant qu'empereur. Il devient de plus en plus impopulaire auprès de l'armée et du peuple en raison de sa modération et de son horreur de la cérémonie. Les légions germaniques de l'armée romaine ne l'avaient reconnu qu'avec réticence comme leur commandant en chef. Elles lui retirent leur soutien en 69 apr. J.-C. et proclament Aulus Vitellius empereur.</w:t>
      </w:r>
    </w:p>
    <w:p>
      <w:r/>
      <w:r>
        <w:t>Lorsque Galba ne nomme pas l'un de ses principaux partisans, Marcus Salvius Othon, comme successeur, il signe en quelque sorte son propre arrêt de mort. Othon obtient le soutien de la garde prétorienne, est proclamé empereur, fait tuer Galba et est confirmé par le Sénat.</w:t>
      </w:r>
    </w:p>
    <w:p>
      <w:pPr>
        <w:pStyle w:val="Heading4"/>
      </w:pPr>
      <w:r>
        <w:t>Vespasien (9–79 apr. J.-C.), règne de 69 à 79 apr. J.-C.</w:t>
      </w:r>
    </w:p>
    <w:p>
      <w:r/>
      <w:r>
        <w:t>À l'automne de l'an 69 apr. J.-C., Vespasien trouve Rome prête à entamer une période de stabilité, de paix et d'ordre. Fils d'un collecteur d'impôts, il vit dans la modération. Il rétablit les finances de Rome, réorganise les armées et renforce les formes extérieures de l'ancienne république. Selon Suétone, aucun parti innocent n'est jamais puni pendant le règne de Vespasien. Il est affligé lorsque des criminels condamnés sont exécutés.</w:t>
      </w:r>
    </w:p>
    <w:p>
      <w:r/>
      <w:r>
        <w:t>À cause de la mauvaise gestion financière de Néron, Vespasien doit lever de nouveaux impôts et augmenter les impôts existants afin de respecter ses obligations fiscales. Il est alors accusé d'être avare, malgré sa générosité envers les sénateurs défavorisés et les anciens consuls appauvris. Vespasien améliore la condition d'un certain nombre de villes de l'empire dévastées par le feu ou des tremblements de terre. Il encourage les arts et les sciences. À Rome, il construit le Temple de la Paix après la destruction de Jérusalem et la défaite des Juifs. Il construit un forum, restaure le Capitole et commence la construction du Colisée.</w:t>
      </w:r>
    </w:p>
    <w:p>
      <w:r/>
      <w:r>
        <w:t>Durant son règne de 10 ans, Vespasien établit la paix dans tout l'empire. Son fils Titus met fin à la guerre en Palestine, et d'autres généraux romains répriment une révolte en Allemagne. La confiance publique est largement restaurée avec le retour aux normes morales antérieures. Vespasien nomme ses fils Titus et Domitien comme successeurs.</w:t>
      </w:r>
    </w:p>
    <w:p>
      <w:pPr>
        <w:pStyle w:val="Heading4"/>
      </w:pPr>
      <w:r>
        <w:t>Titus (39–81 apr. J.-C.), règne de 79 à 81 apr. J.-C.</w:t>
      </w:r>
    </w:p>
    <w:p>
      <w:r/>
      <w:r>
        <w:t>Titus Flavius Vespasianus sert efficacement comme tribun militaire en Allemagne et en Bretagne. Lorsque la révolte juive éclate, il accompagne son père en Palestine. Quand Vespasien part pour Rome cinq ans plus tard, Titus est nommé général des forces romaines en Palestine. Le 26 septembre 70 apr. J.-C., le temple de Jérusalem est détruit par le feu, la citadelle tombe entre les mains des Romains, et d'innombrables Juifs sont tués. Titus retourne à Rome avec des captifs juifs et du butin pillé au Temple de Jérusalem pour célébrer sa victoire avec son père. L'Arc de Titus est construit à Rome, représentant sa conquête de Jérusalem.</w:t>
      </w:r>
    </w:p>
    <w:p>
      <w:r/>
      <w:r>
        <w:t xml:space="preserve">Jusqu'à la mort de Vespasien, Titus est presque co-dirigeant avec lui. Il sert comme son secrétaire, rédige des édits et s'addresse au Sénat en session. Titus est talentueux, surtout en politique et en musique. Il tombe amoureux de la reine Bérénice, sœur du roi Agrippa II (voir </w:t>
      </w:r>
      <w:hyperlink r:id="rId2233">
        <w:r>
          <w:rPr>
            <w:color w:val="0000EE"/>
            <w:u w:val="single"/>
          </w:rPr>
          <w:t>Ac 25–26</w:t>
        </w:r>
      </w:hyperlink>
      <w:r>
        <w:t>) et aurait promis de l'épouser. Cependant, son intégrité morale l'en empêche lorsque la rumeur d'une relation incestueuse avec son frère lui parvient.</w:t>
      </w:r>
    </w:p>
    <w:p>
      <w:r/>
      <w:r>
        <w:t>Durant le bref règne de Tite en tant qu'empereur (79–81 apr. J.-C.), une série de catastrophes se produit. Tout d'abord, le mont Vésuve dans le sud de l'Italie éclate et ensevelit les villes de Pompéi, Stabies et Herculanum (août 79 apr. J.-C.). Ensuite, un incendie fait rage pendant trois jours et trois nuits à Rome (80 apr. J.-C.). Finalement, une peste se répand dans la ville impériale. Suétone écrit que pendant ces désastres, Tite s'occupe du peuple avec un amour ressemblant à l'amour profond d'un père pour ses enfants. Lorsque Tite meurt de manière inattendue, sa mort cause un deuil universel ; il est l'objet des éloges des sénateurs et du petit peuple.</w:t>
      </w:r>
    </w:p>
    <w:p>
      <w:pPr>
        <w:pStyle w:val="Heading4"/>
      </w:pPr>
      <w:r>
        <w:t>Domitien (51–96 apr. J.-C.), règne de 81 à 96 apr. J.-C.</w:t>
      </w:r>
    </w:p>
    <w:p>
      <w:r/>
      <w:r>
        <w:t>Durant le règne de Tite, son frère Domitien exprime de l'amertume à devoir occuper la seconde place. Il convoite ouvertement le pouvoir et conspire pour prendre le commandement des forces armées. Il se réjouit secrètement de la mort soudaine de Tite et tente de ternir la réputation de son frère aîné. Il s'avère que Domitien est un administrateur compétent : il restaure le Capitole ravagé par le feu et construit un temple dédié à Jupiter, le Temple Flavien, un forum, un stade, une salle de concert et un lac artificiel pour les batailles navales. Il institue les jeux capitolins, encourage les arts et les sciences, et maintient les bibliothèques publiques.</w:t>
      </w:r>
    </w:p>
    <w:p>
      <w:r/>
      <w:r>
        <w:t>Selon la coutume des empereurs précédents, Domitien se proclame divin et fait en sorte que ses sujets l'appellent « seigneur dieu ». Le Sénat, cependant, ne le déifie jamais officiellement. Tout au long de son règne, ils nourrissent de la rancune envers lui ; ils s'opposent souvent au pouvoir de sa fonction. Domitien n'hésite pas à persécuter les sénateurs qui font connaître leurs objections. Afin de se protéger, il cherche le soutien de l'armée en augmentant périodiquement leur solde. Il collecte des taxes supplémentaires et se rend souvent coupable d'extorsion. Les Juifs sont particulièrement affectés par sa fiscalité. Dans les dernières années de son règne, la persécution religieuse renaît.</w:t>
      </w:r>
    </w:p>
    <w:p>
      <w:r/>
      <w:r>
        <w:t>Les premiers auteurs chrétiens Irénée, Tertullien et Eusèbe mentionnent la persécution des chrétiens sous l'administration de Domitien. Il semble avoir été un persécuteur implacable, dépassé seulement par Néron. Il fait même exécuter des membres de sa propre famille. Sa femme, Domitia, craint pour sa vie en raison de son affiliation présumée au christianisme. Avec des amis et des affranchis, elle complote l'assassinat de son mari.</w:t>
      </w:r>
    </w:p>
    <w:p>
      <w:r/>
      <w:r>
        <w:t>Après un règne de 15 ans, Domitien est assassiné. Il n'est pleuré par personne, sauf peut-être par son armée bien payée. Il laisse derrière lui un goût amer d'oppression.</w:t>
      </w:r>
    </w:p>
    <w:p>
      <w:pPr>
        <w:pStyle w:val="Heading4"/>
      </w:pPr>
      <w:r>
        <w:t>Trajan (53–117 apr. J.-C.), règne de 98 à 117 apr. J.-C.</w:t>
      </w:r>
    </w:p>
    <w:p>
      <w:r/>
      <w:r>
        <w:t>Trajan naît Marcus Trajanus de parents romains à Italica, en Espagne. Son père est un soldat promu gouverneur d'une province orientale en Espagne. Trajan, formé pour être un commandant militaire, se distingue dans des campagnes en Espagne, en Syrie et en Allemagne. En 97 apr. J.-C., l'empereur Nerva l'adopte comme son fils et héritier. À la mort de Nerva l'année suivante, Trajan est nommé empereur.</w:t>
      </w:r>
    </w:p>
    <w:p>
      <w:r/>
      <w:r>
        <w:t xml:space="preserve">Puissant chef militaire, Trajan étend l'Empire romain par de nombreuses conquêtes en Dacie (région qui fait aujourd'hui partie de la Roumanie et de la Hongrie), en Arabie et en Parthie (région qui fait aujourd'hui partie de l'Iran). Il fonde de nouvelles villes, dont Thamugadi (ou Timgad) dans l'actuelle Algérie. Il supervise également de nombreux programmes de construction, y compris des ponts sur le Danube en Dacie et le Tage en Espagne, ainsi qu'un port à Rome. Selon les écrits de Pline (voir </w:t>
      </w:r>
      <w:r>
        <w:rPr>
          <w:i/>
        </w:rPr>
        <w:t>Lettres</w:t>
      </w:r>
      <w:r>
        <w:t xml:space="preserve"> 10.96), nous savons que Trajan persécute les chrétiens parce que leur adoration de Jésus menace de détruire les formes traditionnelles de culte romain. Le refus des chrétiens d'invoquer les dieux romains et de faire des offrandes à la statue de l'empereur est considéré comme un acte de trahison car il affaiblit la sécurité de l'empire.</w:t>
      </w:r>
    </w:p>
    <w:p>
      <w:pPr>
        <w:pStyle w:val="Heading4"/>
      </w:pPr>
      <w:r>
        <w:t>Dioclétien (245–313 apr. J.-C.), règne de 284 à 305 apr. J.-C.</w:t>
      </w:r>
    </w:p>
    <w:p>
      <w:r/>
      <w:r>
        <w:t>Né de parents modestes en Dalmatie (région qui fait aujourd'hui partie de la Croatie, et aussi du Monténégro et de l'Herzégovine), Dioclès change son nom à Dioclétien lorsqu'il devient empereur. Jeune homme, il rejoint l'armée et gravit les échelons, devenant commandant de la garde impériale. Lorsque l'empereur Numérien est assassiné, les troupes de Dioclès le proclament nouveau souverain. Le frère de Numérien, Carin, est tué par ses propres troupes lorsqu'il cherche à prendre le trône. La voie est libre pour que Dioclès prenne le pouvoir.</w:t>
      </w:r>
    </w:p>
    <w:p>
      <w:r/>
      <w:r>
        <w:t>Dioclétien, organisateur et administrateur compétent, met en œuvre de nombreuses réformes structurelles dans l'Empire romain, y compris l'établissement de la tétrarchie (293), un nouveau système impérial de partage de pouvoir entre quatre dirigeants. Ses autres réformes touchent les domaines militaire, administratif et économique. Grâce à cette réorganisation, Dioclétien crée une bureaucratie efficace. Pourtant, Rome s'affaiblit en tant que centre du pouvoir politique, et le Sénat est davantage subordonné à la tétrarchie.</w:t>
      </w:r>
    </w:p>
    <w:p>
      <w:r/>
      <w:r>
        <w:t>Une persécution des chrétiens commence sous le règne de Dioclétien en 303 apr. J.-C., visant à détruire les bâtiments d'église et les copies des Écritures du NT. Parmi les tétrarques, Galère est le plus actif dans la mise en œuvre de cette persécution. Comme elle continue sous Galère après l'abdication de Dioclétien, certains chercheurs soutiennent que Dioclétien n'en est pas à l'origine. Dioclétien se retire dans une villa à Split dans sa Dalmatie natale, évitant toute association publique avec les politiques superstitieuses et violentes de la nouvelle administration.</w:t>
      </w:r>
    </w:p>
    <w:p>
      <w:pPr>
        <w:pStyle w:val="Heading4"/>
      </w:pPr>
      <w:r>
        <w:t>Constantin le Grand (272 ou 273–337 apr. J.-C.), règne de 306 à 337 apr. J.-C.</w:t>
      </w:r>
    </w:p>
    <w:p>
      <w:r/>
      <w:r>
        <w:t>Les parents de Constantin sont Constance Chlore, le co-empereur occidental de l'Empire romain, et Hélène, une concubine. Lorsque son père meurt en Angleterre en 306, Constantin est proclamé empereur par les troupes et accepté à contrecœur par Galère, l'empereur oriental. Le gouvernement de l'empire est plongé dans le chaos, et en deux ans, cinq hommes revendiquent le titre d'empereur.</w:t>
      </w:r>
    </w:p>
    <w:p>
      <w:r/>
      <w:r>
        <w:t>Peu avant sa mort en 311, Galère, le co-empereur supérieur, publie un édit de tolérance qui met fin à la persécution des chrétiens. Avec la disparition de Galère, Constantin et Licinius (qui est devenu son co-empereur) s'allient contre Maxence et Maximin Daïa. En 312, Constantin vainc et tue Maxence lors d'une bataille au pont Milvius près de Rome. Maximin Daïa est éliminé par Licinius l'année suivante. Une paix fragile entre Constantin et Licinius est maintenue jusqu'en 323, lorsque Constantin pénètre sur le territoire de Licinius en poursuivant des envahisseurs goths. Les batailles d'Andrinople et de Chrysopolis l'année suivante sont décisives. Constantin devient le seul empereur.</w:t>
      </w:r>
    </w:p>
    <w:p>
      <w:r/>
      <w:r>
        <w:t>Une de ses décisions politiques les plus significatives est la fondation de la ville de Constantinople, dédiée en 330 sur le site de Byzance. Son emplacement sur le détroit du Bosphore est idéal d'un point de vue militaire, car il donne accès à la fois aux fronts du Rhin-Danube et de la Perse. Constantin poursuit la réorganisation du gouvernement commencée par Dioclétien (qui a régné de 284 à 305) et réforme la monnaie. Il permet également aux barbares de s'installer dans l'empire afin de les utiliser dans l'armée.</w:t>
      </w:r>
    </w:p>
    <w:p>
      <w:r/>
      <w:r>
        <w:t xml:space="preserve">Constantin est surtout connu pour sa politique religieuse. La nature de ses propres croyances est disputée. Dès le début, il est tolérant envers les chrétiens dans son propre royaume. Sa préférence pour le christianisme est démontrée juste avant la bataille du pont Milvius. Selon un récit, dans un rêve avant la bataille, Constantin a une vision. C'est une vision d'un monogramme composé des deux premières lettres grecques du nom de « Christ ». Le lendemain, il fait inscrire ce monogramme sur les boucliers de ses soldats. Une autre histoire raconte qu'en marchant, lui et son armée voient l'image d'une croix apparaître devant le soleil avec les mots « par ce signe, tu vaincras ». </w:t>
      </w:r>
    </w:p>
    <w:p>
      <w:r/>
      <w:r>
        <w:t>Pendant l'hiver 312–313, il écrit à un officier en Afrique du Nord pour lui dire de donner de l'argent à l'évêque de Carthage afin de payer les dépenses du clergé. Lorsqu'il rencontre Licinius à Milan en 313, ils publient un édit accordant à toutes les personnes la liberté de suivre la religion de leur choix. Ses sentiments chrétiens aboutissent également à des lois réformatrices. Ces lois permettent aux évêques de trancher les procès civils, interdisent toute marque au fer rouge sur le visage (car cela défigure l'image de Dieu), ferment les tribunaux et les ateliers le dimanche, et interdisent les jeux de gladiateurs. Malgré la faveur qu'il montre au christianisme, Constantin est également tolérant envers le paganisme et, aussi tard qu'en 324, des thèmes païens sont gravés sur ses pièces de monnaie. Les chrétiens étant une si petite minorité dans l'empire, Constantin estime qu'il ne peut pas risquer d'offenser la majorité païenne.</w:t>
      </w:r>
    </w:p>
    <w:p>
      <w:r/>
      <w:r>
        <w:t xml:space="preserve">Constantin joue un rôle actif dans les controverses ecclésiastiques. L'évêché de Caecilianus est disputé à Carthage (313) par les donatistes (séparatistes de l'Église africaine). Constantin ordonne alors aux évêques de Rome de convoquer une commission pour entendre l'affaire. Les donatistes ne sont pas satisfaits des résultats de cette commission. Constantin lui-même finit par entendre l'affaire, et en 316, il déclare que Caecilianus est l'évêque légitime de Cathage. </w:t>
      </w:r>
    </w:p>
    <w:p>
      <w:r/>
      <w:r>
        <w:t>Constantin convoque également le concile de Nicée en 325, qui se prononce contre l'arianisme (une hérésie qui nie que le Christ en tant que Fils de Dieu est coéternel avec le Père). C'est l'édit de l'empereur qui donne force légale au symbole de Nicée (la confession de foi issue du concile de Nicée).</w:t>
      </w:r>
    </w:p>
    <w:p>
      <w:r/>
      <w:r>
        <w:t>Un grave scandale ternit le règne de Constantin. En 326, il fait exécuter son fils Crispus et sa propre épouse, Fausta, peut-être sur des accusations d'adultère. Constantin est, selon la légende, baptisé chrétien sur son lit de mort. Ses trois autres fils lui succèdent (Constant, Constance, Constantin II).</w:t>
      </w:r>
    </w:p>
    <w:p>
      <w:r/>
      <w:r>
        <w:rPr>
          <w:i/>
        </w:rPr>
        <w:t>Voir aussi</w:t>
      </w:r>
      <w:r>
        <w:t xml:space="preserve"> </w:t>
      </w:r>
      <w:r>
        <w:t>Rome, ville de</w:t>
      </w:r>
      <w:r>
        <w:t>.</w:t>
      </w:r>
      <w:r/>
      <w:r/>
    </w:p>
    <w:p>
      <w:r/>
    </w:p>
    <w:p>
      <w:pPr>
        <w:pStyle w:val="Heading2"/>
      </w:pPr>
      <w:r>
        <w:t>Ceux qui craignent Dieu</w:t>
      </w:r>
      <w:r/>
    </w:p>
    <w:p>
      <w:r/>
      <w:r>
        <w:t>Quelqu'un qui craint Dieu et a une grande révérence pour lui. Cette crainte peut être :</w:t>
      </w:r>
    </w:p>
    <w:p>
      <w:pPr>
        <w:pStyle w:val="ListBullet"/>
        <w:spacing w:line="240" w:lineRule="auto"/>
        <w:ind w:left="720"/>
      </w:pPr>
      <w:r/>
      <w:r>
        <w:t>un terme de respect</w:t>
      </w:r>
    </w:p>
    <w:p>
      <w:pPr>
        <w:pStyle w:val="ListBullet"/>
        <w:spacing w:line="240" w:lineRule="auto"/>
        <w:ind w:left="720"/>
      </w:pPr>
      <w:r/>
      <w:r>
        <w:t>une réaction émotionnelle de terreur</w:t>
      </w:r>
    </w:p>
    <w:p>
      <w:pPr>
        <w:pStyle w:val="ListBullet"/>
        <w:spacing w:line="240" w:lineRule="auto"/>
        <w:ind w:left="720"/>
      </w:pPr>
      <w:r/>
      <w:r>
        <w:t>une peur de la punition de Dieu</w:t>
      </w:r>
    </w:p>
    <w:p>
      <w:r/>
      <w:r>
        <w:t>Dans l'Ancien Testament, les expressions de quelqu'un qui craint Dieu sont souvent associées à des termes comme « trembler » ou « redouter ». La révérence pour le Seigneur est moins courante. On la voit quand Abdias cache des prophètes pour les sauver de Jézabel (</w:t>
      </w:r>
      <w:hyperlink r:id="rId2234">
        <w:r>
          <w:rPr>
            <w:color w:val="0000EE"/>
            <w:u w:val="single"/>
          </w:rPr>
          <w:t>1R 18.3–4, 12</w:t>
        </w:r>
      </w:hyperlink>
      <w:r>
        <w:t>). Un dirigeant qui craint Dieu doit rendre la justice (</w:t>
      </w:r>
      <w:hyperlink r:id="rId2235">
        <w:r>
          <w:rPr>
            <w:color w:val="0000EE"/>
            <w:u w:val="single"/>
          </w:rPr>
          <w:t>2S 23.3</w:t>
        </w:r>
      </w:hyperlink>
      <w:r>
        <w:t xml:space="preserve"> ; </w:t>
      </w:r>
      <w:hyperlink r:id="rId2236">
        <w:r>
          <w:rPr>
            <w:color w:val="0000EE"/>
            <w:u w:val="single"/>
          </w:rPr>
          <w:t>2Ch 19.7</w:t>
        </w:r>
      </w:hyperlink>
      <w:r>
        <w:t>). La promesse d'une longue vie est donnée à ceux qui craignent le Seigneur (</w:t>
      </w:r>
      <w:hyperlink r:id="rId2237">
        <w:r>
          <w:rPr>
            <w:color w:val="0000EE"/>
            <w:u w:val="single"/>
          </w:rPr>
          <w:t>Pr 10.27</w:t>
        </w:r>
      </w:hyperlink>
      <w:r>
        <w:t xml:space="preserve"> ; </w:t>
      </w:r>
      <w:hyperlink r:id="rId2238">
        <w:r>
          <w:rPr>
            <w:color w:val="0000EE"/>
            <w:u w:val="single"/>
          </w:rPr>
          <w:t>14.27</w:t>
        </w:r>
      </w:hyperlink>
      <w:r>
        <w:t xml:space="preserve"> ; </w:t>
      </w:r>
      <w:hyperlink r:id="rId2239">
        <w:r>
          <w:rPr>
            <w:color w:val="0000EE"/>
            <w:u w:val="single"/>
          </w:rPr>
          <w:t>19.23</w:t>
        </w:r>
      </w:hyperlink>
      <w:r>
        <w:t>). Une famille qui craint Dieu se tourne vers lui pour obtenir de l'aide en cas de difficulté (</w:t>
      </w:r>
      <w:hyperlink r:id="rId2240">
        <w:r>
          <w:rPr>
            <w:color w:val="0000EE"/>
            <w:u w:val="single"/>
          </w:rPr>
          <w:t>2R 4.1</w:t>
        </w:r>
      </w:hyperlink>
      <w:r>
        <w:t xml:space="preserve"> ; </w:t>
      </w:r>
      <w:hyperlink r:id="rId2241">
        <w:r>
          <w:rPr>
            <w:color w:val="0000EE"/>
            <w:u w:val="single"/>
          </w:rPr>
          <w:t>Pr 14.26</w:t>
        </w:r>
      </w:hyperlink>
      <w:r>
        <w:t>). La crainte du Seigneur agit puissamment pour éloigner du péché et est le commencement de la sagesse (</w:t>
      </w:r>
      <w:hyperlink r:id="rId2242">
        <w:r>
          <w:rPr>
            <w:color w:val="0000EE"/>
            <w:u w:val="single"/>
          </w:rPr>
          <w:t>Sg 10.13</w:t>
        </w:r>
      </w:hyperlink>
      <w:r>
        <w:t>).</w:t>
      </w:r>
    </w:p>
    <w:p>
      <w:r/>
      <w:r>
        <w:t>Dans le Nouveau Testament, la crainte de Dieu accompagne souvent les instructions d'aimer et de servir le Seigneur (</w:t>
      </w:r>
      <w:hyperlink r:id="rId2243">
        <w:r>
          <w:rPr>
            <w:color w:val="0000EE"/>
            <w:u w:val="single"/>
          </w:rPr>
          <w:t>Col 3.22</w:t>
        </w:r>
      </w:hyperlink>
      <w:r>
        <w:t xml:space="preserve"> ; </w:t>
      </w:r>
      <w:hyperlink r:id="rId2244">
        <w:r>
          <w:rPr>
            <w:color w:val="0000EE"/>
            <w:u w:val="single"/>
          </w:rPr>
          <w:t>1P 2.17</w:t>
        </w:r>
      </w:hyperlink>
      <w:r>
        <w:t xml:space="preserve">). Dans </w:t>
      </w:r>
      <w:hyperlink r:id="rId2245">
        <w:r>
          <w:rPr>
            <w:color w:val="0000EE"/>
            <w:u w:val="single"/>
          </w:rPr>
          <w:t>Luc 1.50</w:t>
        </w:r>
      </w:hyperlink>
      <w:r>
        <w:t>, Marie fait la déclaration suivante : « Sa miséricorde s'étend d'âge en âge Sur ceux qui le craignent ». Cela veut dire que la miséricorde ou compassion de Dieu est sur ceux qui le révèrent et lui obéissent. Dans le livre des Actes, le terme « craignant-Dieu » parle les Gentils qui fréquentent la synagogue. Paul s'adresse à eux séparément : « Hommes Israélites, et vous qui craignez Dieu, écoutez ! » (</w:t>
      </w:r>
      <w:hyperlink r:id="rId2246">
        <w:r>
          <w:rPr>
            <w:color w:val="0000EE"/>
            <w:u w:val="single"/>
          </w:rPr>
          <w:t>Ac 13.16</w:t>
        </w:r>
      </w:hyperlink>
      <w:r>
        <w:t>). Corneille est un centurion romain qui craint Dieu. Il est connu comme quelqu'un qui mène une vie acceptable au Seigneur, même si ce n'est pas un Juif (</w:t>
      </w:r>
      <w:hyperlink r:id="rId2247">
        <w:r>
          <w:rPr>
            <w:color w:val="0000EE"/>
            <w:u w:val="single"/>
          </w:rPr>
          <w:t>Ac 10.2, 35</w:t>
        </w:r>
      </w:hyperlink>
      <w:r>
        <w:t>).</w:t>
      </w:r>
    </w:p>
    <w:p>
      <w:r/>
      <w:r>
        <w:t>La crainte de Dieu représente également la peur ou la terreur de sa puissance et de son jugement, comme on le voit dans l'Ancien Testament et le Nouveau (</w:t>
      </w:r>
      <w:hyperlink r:id="rId2248">
        <w:r>
          <w:rPr>
            <w:color w:val="0000EE"/>
            <w:u w:val="single"/>
          </w:rPr>
          <w:t>Gn 3.10</w:t>
        </w:r>
      </w:hyperlink>
      <w:r>
        <w:t xml:space="preserve"> ; </w:t>
      </w:r>
      <w:hyperlink r:id="rId2249">
        <w:r>
          <w:rPr>
            <w:color w:val="0000EE"/>
            <w:u w:val="single"/>
          </w:rPr>
          <w:t>Dt 9.19</w:t>
        </w:r>
      </w:hyperlink>
      <w:r>
        <w:t xml:space="preserve"> ; </w:t>
      </w:r>
      <w:hyperlink r:id="rId2250">
        <w:r>
          <w:rPr>
            <w:color w:val="0000EE"/>
            <w:u w:val="single"/>
          </w:rPr>
          <w:t>Jb 6.4</w:t>
        </w:r>
      </w:hyperlink>
      <w:r>
        <w:t xml:space="preserve"> ; </w:t>
      </w:r>
      <w:hyperlink r:id="rId2251">
        <w:r>
          <w:rPr>
            <w:color w:val="0000EE"/>
            <w:u w:val="single"/>
          </w:rPr>
          <w:t>9.28–29</w:t>
        </w:r>
      </w:hyperlink>
      <w:r>
        <w:t xml:space="preserve"> ; </w:t>
      </w:r>
      <w:hyperlink r:id="rId2252">
        <w:r>
          <w:rPr>
            <w:color w:val="0000EE"/>
            <w:u w:val="single"/>
          </w:rPr>
          <w:t>Ps 76.8</w:t>
        </w:r>
      </w:hyperlink>
      <w:r>
        <w:t xml:space="preserve"> ; </w:t>
      </w:r>
      <w:hyperlink r:id="rId2253">
        <w:r>
          <w:rPr>
            <w:color w:val="0000EE"/>
            <w:u w:val="single"/>
          </w:rPr>
          <w:t>Mt 17.7</w:t>
        </w:r>
      </w:hyperlink>
      <w:r>
        <w:t xml:space="preserve"> ; </w:t>
      </w:r>
      <w:hyperlink r:id="rId2254">
        <w:r>
          <w:rPr>
            <w:color w:val="0000EE"/>
            <w:u w:val="single"/>
          </w:rPr>
          <w:t>28.10</w:t>
        </w:r>
      </w:hyperlink>
      <w:r>
        <w:t xml:space="preserve"> ; </w:t>
      </w:r>
      <w:hyperlink r:id="rId2255">
        <w:r>
          <w:rPr>
            <w:color w:val="0000EE"/>
            <w:u w:val="single"/>
          </w:rPr>
          <w:t>Lc 5.10</w:t>
        </w:r>
      </w:hyperlink>
      <w:r>
        <w:t xml:space="preserve"> ; </w:t>
      </w:r>
      <w:hyperlink r:id="rId687">
        <w:r>
          <w:rPr>
            <w:color w:val="0000EE"/>
            <w:u w:val="single"/>
          </w:rPr>
          <w:t>12.5</w:t>
        </w:r>
      </w:hyperlink>
      <w:r>
        <w:t xml:space="preserve"> ; </w:t>
      </w:r>
      <w:hyperlink r:id="rId2256">
        <w:r>
          <w:rPr>
            <w:color w:val="0000EE"/>
            <w:u w:val="single"/>
          </w:rPr>
          <w:t>Ac 5.5, 11</w:t>
        </w:r>
      </w:hyperlink>
      <w:r>
        <w:t xml:space="preserve"> ; </w:t>
      </w:r>
      <w:hyperlink r:id="rId2257">
        <w:r>
          <w:rPr>
            <w:color w:val="0000EE"/>
            <w:u w:val="single"/>
          </w:rPr>
          <w:t>1Tm 5.20</w:t>
        </w:r>
      </w:hyperlink>
      <w:r>
        <w:t>).</w:t>
      </w:r>
    </w:p>
    <w:p>
      <w:r/>
      <w:r>
        <w:rPr>
          <w:i/>
        </w:rPr>
        <w:t>Voir aussi</w:t>
      </w:r>
      <w:r>
        <w:t xml:space="preserve"> </w:t>
      </w:r>
      <w:r>
        <w:t>peur</w:t>
      </w:r>
      <w:r>
        <w:t xml:space="preserve"> ; </w:t>
      </w:r>
      <w:r>
        <w:t>prosélyte</w:t>
      </w:r>
      <w:r>
        <w:t>.</w:t>
      </w:r>
      <w:r/>
      <w:r/>
    </w:p>
    <w:p>
      <w:r/>
    </w:p>
    <w:p>
      <w:pPr>
        <w:pStyle w:val="Heading2"/>
      </w:pPr>
      <w:r>
        <w:t>Chagrin, Tristesse, Douleur, Peine, Affliction, Abattement, Accablement</w:t>
      </w:r>
      <w:r/>
    </w:p>
    <w:p>
      <w:r/>
      <w:r>
        <w:t>Souffrance émotionnelle causée par le deuil, un incident ou une catastrophe. La tristesse ou abattement peut être causée par soi-même ou par autrui. Les Écritures donnent des exemples de différents types de douleur émotionnelle provenant de diverses circonstances. Isaac et Rebecca ressentent de l'amertume à cause des femmes hittites de leur fils Ésaü (</w:t>
      </w:r>
      <w:hyperlink r:id="rId2258">
        <w:r>
          <w:rPr>
            <w:color w:val="0000EE"/>
            <w:u w:val="single"/>
          </w:rPr>
          <w:t>Gn 26.35</w:t>
        </w:r>
      </w:hyperlink>
      <w:r>
        <w:t>). Dieu est touché par le malheur d'Israël même si c'est le résultat de sa désobéissance (</w:t>
      </w:r>
      <w:hyperlink r:id="rId2259">
        <w:r>
          <w:rPr>
            <w:color w:val="0000EE"/>
            <w:u w:val="single"/>
          </w:rPr>
          <w:t>Jg 10.16</w:t>
        </w:r>
      </w:hyperlink>
      <w:r>
        <w:t>). Anne est accablée de douleur et de chagrin parce qu'elle n'arrive pas à avoir d'enfant (</w:t>
      </w:r>
      <w:hyperlink r:id="rId2260">
        <w:r>
          <w:rPr>
            <w:color w:val="0000EE"/>
            <w:u w:val="single"/>
          </w:rPr>
          <w:t>1S 1.16</w:t>
        </w:r>
      </w:hyperlink>
      <w:r>
        <w:t>). Samuel est bouleversé par la désobéissance du roi Saül au point de prier toute la nuit à ce sujet. Job est abattu à cause de toutes ses pertes (</w:t>
      </w:r>
      <w:hyperlink r:id="rId2261">
        <w:r>
          <w:rPr>
            <w:color w:val="0000EE"/>
            <w:u w:val="single"/>
          </w:rPr>
          <w:t>Jb 2.13</w:t>
        </w:r>
      </w:hyperlink>
      <w:r>
        <w:t xml:space="preserve"> ; voir </w:t>
      </w:r>
      <w:hyperlink r:id="rId2262">
        <w:r>
          <w:rPr>
            <w:color w:val="0000EE"/>
            <w:u w:val="single"/>
          </w:rPr>
          <w:t>6.2</w:t>
        </w:r>
      </w:hyperlink>
      <w:r>
        <w:t xml:space="preserve"> ; </w:t>
      </w:r>
      <w:hyperlink r:id="rId2263">
        <w:r>
          <w:rPr>
            <w:color w:val="0000EE"/>
            <w:u w:val="single"/>
          </w:rPr>
          <w:t>16.6</w:t>
        </w:r>
      </w:hyperlink>
      <w:r>
        <w:t>). Il est souvent question de douleur, de tristesse et de chagrin dans les psaumes (</w:t>
      </w:r>
      <w:hyperlink r:id="rId2264">
        <w:r>
          <w:rPr>
            <w:color w:val="0000EE"/>
            <w:u w:val="single"/>
          </w:rPr>
          <w:t>Ps 6.7</w:t>
        </w:r>
      </w:hyperlink>
      <w:r>
        <w:t xml:space="preserve"> ; </w:t>
      </w:r>
      <w:hyperlink r:id="rId2265">
        <w:r>
          <w:rPr>
            <w:color w:val="0000EE"/>
            <w:u w:val="single"/>
          </w:rPr>
          <w:t>31.9–10</w:t>
        </w:r>
      </w:hyperlink>
      <w:r>
        <w:t xml:space="preserve"> ; </w:t>
      </w:r>
      <w:hyperlink r:id="rId2266">
        <w:r>
          <w:rPr>
            <w:color w:val="0000EE"/>
            <w:u w:val="single"/>
          </w:rPr>
          <w:t>69.26</w:t>
        </w:r>
      </w:hyperlink>
      <w:r>
        <w:t xml:space="preserve"> ; </w:t>
      </w:r>
      <w:hyperlink r:id="rId2267">
        <w:r>
          <w:rPr>
            <w:color w:val="0000EE"/>
            <w:u w:val="single"/>
          </w:rPr>
          <w:t>73.21</w:t>
        </w:r>
      </w:hyperlink>
      <w:r>
        <w:t xml:space="preserve"> ; </w:t>
      </w:r>
      <w:hyperlink r:id="rId2268">
        <w:r>
          <w:rPr>
            <w:color w:val="0000EE"/>
            <w:u w:val="single"/>
          </w:rPr>
          <w:t>95.10</w:t>
        </w:r>
      </w:hyperlink>
      <w:r>
        <w:t xml:space="preserve"> ; </w:t>
      </w:r>
      <w:hyperlink r:id="rId2269">
        <w:r>
          <w:rPr>
            <w:color w:val="0000EE"/>
            <w:u w:val="single"/>
          </w:rPr>
          <w:t>112.10</w:t>
        </w:r>
      </w:hyperlink>
      <w:r>
        <w:t>). Le livre des Lamentations a pour sujet principal le deuil de Jérusalem. Les prophètes disent que c'est parce qu'Israël a attristé le Dieu saint qu'il a été jugé.</w:t>
      </w:r>
    </w:p>
    <w:p>
      <w:r/>
      <w:r>
        <w:t>Jésus connaît la tristesse et la détresse (</w:t>
      </w:r>
      <w:hyperlink r:id="rId2270">
        <w:r>
          <w:rPr>
            <w:color w:val="0000EE"/>
            <w:u w:val="single"/>
          </w:rPr>
          <w:t>Mc 3.5</w:t>
        </w:r>
      </w:hyperlink>
      <w:r>
        <w:t xml:space="preserve"> ; </w:t>
      </w:r>
      <w:hyperlink r:id="rId2271">
        <w:r>
          <w:rPr>
            <w:color w:val="0000EE"/>
            <w:u w:val="single"/>
          </w:rPr>
          <w:t>Jn 11.33</w:t>
        </w:r>
      </w:hyperlink>
      <w:r>
        <w:t>). Il pleure à la mort d'un ami (</w:t>
      </w:r>
      <w:hyperlink r:id="rId2272">
        <w:r>
          <w:rPr>
            <w:color w:val="0000EE"/>
            <w:u w:val="single"/>
          </w:rPr>
          <w:t>Jn 11.35</w:t>
        </w:r>
      </w:hyperlink>
      <w:r>
        <w:t>). Les Juifs sont « en peine » (DBY) parce que les apôtres enseignent au sujet du Christ et de la résurrection (</w:t>
      </w:r>
      <w:hyperlink r:id="rId2273">
        <w:r>
          <w:rPr>
            <w:color w:val="0000EE"/>
            <w:u w:val="single"/>
          </w:rPr>
          <w:t>Ac 4.2</w:t>
        </w:r>
      </w:hyperlink>
      <w:r>
        <w:t>). L'apôtre Paul exhorte les disciples à ne pas causer de tristesse aux autres (</w:t>
      </w:r>
      <w:hyperlink r:id="rId2274">
        <w:r>
          <w:rPr>
            <w:color w:val="0000EE"/>
            <w:u w:val="single"/>
          </w:rPr>
          <w:t>Rm 14.15</w:t>
        </w:r>
      </w:hyperlink>
      <w:r>
        <w:t>), et lui non plus ne veut pas causer de tristesse (</w:t>
      </w:r>
      <w:hyperlink r:id="rId2275">
        <w:r>
          <w:rPr>
            <w:color w:val="0000EE"/>
            <w:u w:val="single"/>
          </w:rPr>
          <w:t>2Co 2.1–5</w:t>
        </w:r>
      </w:hyperlink>
      <w:r>
        <w:t>). Le disciple de Christ ne doit pas attrister le Saint-Esprit (</w:t>
      </w:r>
      <w:hyperlink r:id="rId2276">
        <w:r>
          <w:rPr>
            <w:color w:val="0000EE"/>
            <w:u w:val="single"/>
          </w:rPr>
          <w:t>Ep 4.30</w:t>
        </w:r>
      </w:hyperlink>
      <w:r>
        <w:t>). Un disciple peut, bien entendu, éprouver du chagrin et connaître la souffrance dans ce monde, puisqu'il y est étranger (</w:t>
      </w:r>
      <w:hyperlink r:id="rId2277">
        <w:r>
          <w:rPr>
            <w:color w:val="0000EE"/>
            <w:u w:val="single"/>
          </w:rPr>
          <w:t>1P 2.19</w:t>
        </w:r>
      </w:hyperlink>
      <w:r>
        <w:t>). À l'époque biblique, il était commun de pousser de grands cris, de grandes lamentations et de pleurer à haute voix quand il y avait un décès (</w:t>
      </w:r>
      <w:hyperlink r:id="rId2278">
        <w:r>
          <w:rPr>
            <w:color w:val="0000EE"/>
            <w:u w:val="single"/>
          </w:rPr>
          <w:t>Jr 9.17–18</w:t>
        </w:r>
      </w:hyperlink>
      <w:r>
        <w:t xml:space="preserve"> ; </w:t>
      </w:r>
      <w:hyperlink r:id="rId2279">
        <w:r>
          <w:rPr>
            <w:color w:val="0000EE"/>
            <w:u w:val="single"/>
          </w:rPr>
          <w:t>Am 5.16</w:t>
        </w:r>
      </w:hyperlink>
      <w:r>
        <w:t xml:space="preserve"> ; </w:t>
      </w:r>
      <w:hyperlink r:id="rId2280">
        <w:r>
          <w:rPr>
            <w:color w:val="0000EE"/>
            <w:u w:val="single"/>
          </w:rPr>
          <w:t>Mc 5.38</w:t>
        </w:r>
      </w:hyperlink>
      <w:r>
        <w:t>).</w:t>
      </w:r>
    </w:p>
    <w:p>
      <w:r/>
      <w:r>
        <w:rPr>
          <w:i/>
        </w:rPr>
        <w:t>Voir aussi</w:t>
      </w:r>
      <w:r>
        <w:t xml:space="preserve"> </w:t>
      </w:r>
      <w:r>
        <w:t>Deuil</w:t>
      </w:r>
      <w:r>
        <w:t>.</w:t>
      </w:r>
      <w:r/>
      <w:r/>
    </w:p>
    <w:p>
      <w:r/>
    </w:p>
    <w:p>
      <w:pPr>
        <w:pStyle w:val="Heading2"/>
      </w:pPr>
      <w:r>
        <w:t>Chair</w:t>
      </w:r>
      <w:r/>
    </w:p>
    <w:p>
      <w:r/>
      <w:r>
        <w:t>Le corps ; l'être physique des humains, la personne humaine et l'existence humaine, la nature charnelle des humains.</w:t>
      </w:r>
    </w:p>
    <w:p>
      <w:pPr>
        <w:pStyle w:val="Heading3"/>
      </w:pPr>
      <w:r>
        <w:t>Dans l’Ancien Testament</w:t>
      </w:r>
    </w:p>
    <w:p>
      <w:r/>
      <w:r>
        <w:t>Terme couramment utilisé pour désigner la matière corporelle, qu'il s'agisse de personnes (</w:t>
      </w:r>
      <w:hyperlink r:id="rId2281">
        <w:r>
          <w:rPr>
            <w:color w:val="0000EE"/>
            <w:u w:val="single"/>
          </w:rPr>
          <w:t>Gn 40.19</w:t>
        </w:r>
      </w:hyperlink>
      <w:r>
        <w:t>) ou d'animaux (</w:t>
      </w:r>
      <w:hyperlink r:id="rId1556">
        <w:r>
          <w:rPr>
            <w:color w:val="0000EE"/>
            <w:u w:val="single"/>
          </w:rPr>
          <w:t>Lv 6.27</w:t>
        </w:r>
      </w:hyperlink>
      <w:r>
        <w:t>). Cependant, le terme « chair » est utilisé dans l'Ancien Testament (AT) avec une variété de significations. Il est parfois utilisé comme équivalent pour le corps entier (</w:t>
      </w:r>
      <w:hyperlink r:id="rId2282">
        <w:r>
          <w:rPr>
            <w:color w:val="0000EE"/>
            <w:u w:val="single"/>
          </w:rPr>
          <w:t>Pr 14.30</w:t>
        </w:r>
      </w:hyperlink>
      <w:r>
        <w:t xml:space="preserve">), et le sens est étendu pour désigner la personne tout entière (« </w:t>
      </w:r>
      <w:r>
        <w:t>ma chair même repose en sécurité</w:t>
      </w:r>
      <w:r>
        <w:t xml:space="preserve"> », </w:t>
      </w:r>
      <w:hyperlink r:id="rId2283">
        <w:r>
          <w:rPr>
            <w:color w:val="0000EE"/>
            <w:u w:val="single"/>
          </w:rPr>
          <w:t>Ps 16.9</w:t>
        </w:r>
      </w:hyperlink>
      <w:r>
        <w:t>, NBS). Cette idée conduit à l'union de deux personnes différentes, l'homme et la femme comme « une seule chair » (</w:t>
      </w:r>
      <w:hyperlink r:id="rId2284">
        <w:r>
          <w:rPr>
            <w:color w:val="0000EE"/>
            <w:u w:val="single"/>
          </w:rPr>
          <w:t>Gn 2.24</w:t>
        </w:r>
      </w:hyperlink>
      <w:r>
        <w:t xml:space="preserve">), et un homme peut dire de ses proches : « </w:t>
      </w:r>
      <w:r>
        <w:t>je suis votre os et votre chair</w:t>
      </w:r>
      <w:r>
        <w:t xml:space="preserve"> » (</w:t>
      </w:r>
      <w:hyperlink r:id="rId2285">
        <w:r>
          <w:rPr>
            <w:color w:val="0000EE"/>
            <w:u w:val="single"/>
          </w:rPr>
          <w:t>Jgs 9.2</w:t>
        </w:r>
      </w:hyperlink>
      <w:r>
        <w:t>). L'idée de la chair comme la personne entière conduit à l'expression « toute chair », désignant la totalité de l'humanité, incluant parfois aussi le monde animal.</w:t>
      </w:r>
    </w:p>
    <w:p>
      <w:r/>
      <w:r>
        <w:t xml:space="preserve">Peut-être que l'utilisation la plus distinctive de « chair » dans l'AT se trouve dans les passages où elle désigne la faiblesse et la fragilité humaines par opposition à Dieu. « </w:t>
      </w:r>
      <w:r>
        <w:t>Mon esprit ne restera pas à toujours dans l’homme, car l’homme n’est que chair</w:t>
      </w:r>
      <w:r>
        <w:t xml:space="preserve"> » (</w:t>
      </w:r>
      <w:hyperlink r:id="rId2286">
        <w:r>
          <w:rPr>
            <w:color w:val="0000EE"/>
            <w:u w:val="single"/>
          </w:rPr>
          <w:t>Gn 6.3</w:t>
        </w:r>
      </w:hyperlink>
      <w:r>
        <w:t xml:space="preserve">). Dans </w:t>
      </w:r>
      <w:hyperlink r:id="rId2287">
        <w:r>
          <w:rPr>
            <w:color w:val="0000EE"/>
            <w:u w:val="single"/>
          </w:rPr>
          <w:t>Psaumes 78.39</w:t>
        </w:r>
      </w:hyperlink>
      <w:r>
        <w:t xml:space="preserve">, Dieu attribue le péché au fait que les hommes ne sont que chair. Dans </w:t>
      </w:r>
      <w:hyperlink r:id="rId2288">
        <w:r>
          <w:rPr>
            <w:color w:val="0000EE"/>
            <w:u w:val="single"/>
          </w:rPr>
          <w:t>2 Chroniques 32.8</w:t>
        </w:r>
      </w:hyperlink>
      <w:r>
        <w:t>, le bras de chair du roi d'Assyrie (c'est-à-dire sa faiblesse) est contrasté avec le Dieu tout-puissant. Celui qui met sa confiance en Dieu n'a pas à craindre ce que peut lui faire la « chair » (</w:t>
      </w:r>
      <w:hyperlink r:id="rId2289">
        <w:r>
          <w:rPr>
            <w:color w:val="0000EE"/>
            <w:u w:val="single"/>
          </w:rPr>
          <w:t>Ps 56.4</w:t>
        </w:r>
      </w:hyperlink>
      <w:r>
        <w:t>), mais celui qui met sa confiance dans la chair humaine au lieu de Dieu se trouve sous une malédiction (</w:t>
      </w:r>
      <w:hyperlink r:id="rId2290">
        <w:r>
          <w:rPr>
            <w:color w:val="0000EE"/>
            <w:u w:val="single"/>
          </w:rPr>
          <w:t>Jr 17.5</w:t>
        </w:r>
      </w:hyperlink>
      <w:r>
        <w:t xml:space="preserve">). Dans </w:t>
      </w:r>
      <w:hyperlink r:id="rId2291">
        <w:r>
          <w:rPr>
            <w:color w:val="0000EE"/>
            <w:u w:val="single"/>
          </w:rPr>
          <w:t>Ésaïe 31.3</w:t>
        </w:r>
      </w:hyperlink>
      <w:r>
        <w:t>, la chair est contrastée avec l'esprit, tout comme la faiblesse l'est avec la force.</w:t>
      </w:r>
    </w:p>
    <w:p>
      <w:r/>
      <w:r>
        <w:t>Cependant, nulle part dans l'Ancien Testament la chair n'est-elle considérée comme pécheresse. La chair est vue comme créée par Dieu à partir de la poussière de la terre (</w:t>
      </w:r>
      <w:hyperlink r:id="rId233">
        <w:r>
          <w:rPr>
            <w:color w:val="0000EE"/>
            <w:u w:val="single"/>
          </w:rPr>
          <w:t>Gn 2.7</w:t>
        </w:r>
      </w:hyperlink>
      <w:r>
        <w:t>). En tant que création de Dieu, elle est bonne.</w:t>
      </w:r>
    </w:p>
    <w:p>
      <w:pPr>
        <w:pStyle w:val="Heading3"/>
      </w:pPr>
      <w:r>
        <w:t>Dans le Nouveau Testament</w:t>
      </w:r>
    </w:p>
    <w:p>
      <w:r/>
      <w:r>
        <w:t xml:space="preserve">Paul attribue de nombreuses définitions (souvent uniques) au mot « chair » (grec, </w:t>
      </w:r>
      <w:r>
        <w:rPr>
          <w:i/>
        </w:rPr>
        <w:t>sarx</w:t>
      </w:r>
      <w:r>
        <w:t>).</w:t>
      </w:r>
    </w:p>
    <w:p>
      <w:pPr>
        <w:pStyle w:val="Heading4"/>
      </w:pPr>
      <w:r>
        <w:t>La Chair en tant que substance du corps</w:t>
      </w:r>
    </w:p>
    <w:p>
      <w:r/>
      <w:r>
        <w:t xml:space="preserve">Le terme « chair » est fréquemment employé pour décrire les tissus qui constituent le corps. Il existe différents types de chair : celle « des hommes », « des </w:t>
      </w:r>
      <w:r>
        <w:t>quadrupèdes</w:t>
      </w:r>
      <w:r>
        <w:t xml:space="preserve"> », « des oiseaux », « des poissons » (</w:t>
      </w:r>
      <w:hyperlink r:id="rId2292">
        <w:r>
          <w:rPr>
            <w:color w:val="0000EE"/>
            <w:u w:val="single"/>
          </w:rPr>
          <w:t>1Co 15.39</w:t>
        </w:r>
      </w:hyperlink>
      <w:r>
        <w:t>). La douleur et la souffrance peuvent être ressenties dans la chair (</w:t>
      </w:r>
      <w:hyperlink r:id="rId2293">
        <w:r>
          <w:rPr>
            <w:color w:val="0000EE"/>
            <w:u w:val="single"/>
          </w:rPr>
          <w:t>2Co 12.7</w:t>
        </w:r>
      </w:hyperlink>
      <w:r>
        <w:t>). La circoncision est pratiquée dans la chair (</w:t>
      </w:r>
      <w:hyperlink r:id="rId2294">
        <w:r>
          <w:rPr>
            <w:color w:val="0000EE"/>
            <w:u w:val="single"/>
          </w:rPr>
          <w:t>Rm 2.28</w:t>
        </w:r>
      </w:hyperlink>
      <w:r>
        <w:t>). Bien que la « chair » dans de telles références ne soit pas pécheresse, elle est corruptible et ne peut hériter du royaume de Dieu (</w:t>
      </w:r>
      <w:hyperlink r:id="rId2295">
        <w:r>
          <w:rPr>
            <w:color w:val="0000EE"/>
            <w:u w:val="single"/>
          </w:rPr>
          <w:t>1Co 15.50</w:t>
        </w:r>
      </w:hyperlink>
      <w:r>
        <w:t>). Le corps de Jésus était également un corps de chair (</w:t>
      </w:r>
      <w:hyperlink r:id="rId2296">
        <w:r>
          <w:rPr>
            <w:color w:val="0000EE"/>
            <w:u w:val="single"/>
          </w:rPr>
          <w:t>Col 1.22</w:t>
        </w:r>
      </w:hyperlink>
      <w:r>
        <w:t>).</w:t>
      </w:r>
    </w:p>
    <w:p>
      <w:pPr>
        <w:pStyle w:val="Heading4"/>
      </w:pPr>
      <w:r>
        <w:t>La Chair en tant que corps lui-même</w:t>
      </w:r>
    </w:p>
    <w:p>
      <w:r/>
      <w:r>
        <w:t>Par une transition naturelle, la partie est employée pour désigner le tout, et dans de nombreux endroits, « chair » est synonyme du corps dans son ensemble plutôt que de désigner uniquement la partie charnue du corps. Paul peut ainsi parler soit d'être absent de corps (</w:t>
      </w:r>
      <w:hyperlink r:id="rId2297">
        <w:r>
          <w:rPr>
            <w:color w:val="0000EE"/>
            <w:u w:val="single"/>
          </w:rPr>
          <w:t>1Co 5.3</w:t>
        </w:r>
      </w:hyperlink>
      <w:r>
        <w:t xml:space="preserve">, </w:t>
      </w:r>
      <w:r>
        <w:rPr>
          <w:i/>
        </w:rPr>
        <w:t>sôma</w:t>
      </w:r>
      <w:r>
        <w:t>) soit de chair (</w:t>
      </w:r>
      <w:hyperlink r:id="rId2298">
        <w:r>
          <w:rPr>
            <w:color w:val="0000EE"/>
            <w:u w:val="single"/>
          </w:rPr>
          <w:t>Col 2.5</w:t>
        </w:r>
      </w:hyperlink>
      <w:r>
        <w:t xml:space="preserve">, </w:t>
      </w:r>
      <w:r>
        <w:rPr>
          <w:i/>
        </w:rPr>
        <w:t>sarx</w:t>
      </w:r>
      <w:r>
        <w:t>). Paul peut dire que la vie de Jésus peut être manifestée dans notre corps ou dans notre chair mortelle (</w:t>
      </w:r>
      <w:hyperlink r:id="rId2299">
        <w:r>
          <w:rPr>
            <w:color w:val="0000EE"/>
            <w:u w:val="single"/>
          </w:rPr>
          <w:t>2Co 4.10–11</w:t>
        </w:r>
      </w:hyperlink>
      <w:r>
        <w:t xml:space="preserve">). « </w:t>
      </w:r>
      <w:r>
        <w:t>Celui qui s’attache à la prostituée est un seul corps avec elle? Car, est-il dit, les deux deviendront une seule chair</w:t>
      </w:r>
      <w:r>
        <w:t xml:space="preserve"> » (</w:t>
      </w:r>
      <w:hyperlink r:id="rId2300">
        <w:r>
          <w:rPr>
            <w:color w:val="0000EE"/>
            <w:u w:val="single"/>
          </w:rPr>
          <w:t>1Co 6.16</w:t>
        </w:r>
      </w:hyperlink>
      <w:r>
        <w:t>).</w:t>
      </w:r>
    </w:p>
    <w:p>
      <w:pPr>
        <w:pStyle w:val="Heading4"/>
      </w:pPr>
      <w:r>
        <w:t>La Chair en tant que personne, en référence à l'origine</w:t>
      </w:r>
    </w:p>
    <w:p>
      <w:r/>
      <w:r>
        <w:t>Suivant l'usage de l'AT, « chair » était utilisé par Paul pour désigner non seulement la matière du corps ou le corps lui-même, mais concrètement la personne constituée par la chair. Dans cet usage, le mot peut se référer à la relation humaine de la personne, à l'origine physique et aux liens naturels qui l'unissent à d'autres humains. Paul parle de ses compatriotes « selon la chair », ses compatriotes juifs (</w:t>
      </w:r>
      <w:hyperlink r:id="rId2301">
        <w:r>
          <w:rPr>
            <w:color w:val="0000EE"/>
            <w:u w:val="single"/>
          </w:rPr>
          <w:t>Rm 9.3</w:t>
        </w:r>
      </w:hyperlink>
      <w:r>
        <w:t>), et utilise même « ma propre chair » (</w:t>
      </w:r>
      <w:hyperlink r:id="rId2302">
        <w:r>
          <w:rPr>
            <w:color w:val="0000EE"/>
            <w:u w:val="single"/>
          </w:rPr>
          <w:t>11.14</w:t>
        </w:r>
      </w:hyperlink>
      <w:r>
        <w:t>, NBS), comme synonyme pour ces mêmes compatriotes. Les « enfants de la chair » (</w:t>
      </w:r>
      <w:hyperlink r:id="rId2303">
        <w:r>
          <w:rPr>
            <w:color w:val="0000EE"/>
            <w:u w:val="single"/>
          </w:rPr>
          <w:t>9.8</w:t>
        </w:r>
      </w:hyperlink>
      <w:r>
        <w:t>) sont ceux nés par génération naturelle par opposition à ceux nés à la suite d'une intervention divine. Christ était issu de David selon la chair (</w:t>
      </w:r>
      <w:hyperlink r:id="rId2304">
        <w:r>
          <w:rPr>
            <w:color w:val="0000EE"/>
            <w:u w:val="single"/>
          </w:rPr>
          <w:t>1.3</w:t>
        </w:r>
      </w:hyperlink>
      <w:r>
        <w:t>). La phrase ne désigne pas seulement la source de sa vie corporelle mais de toute son existence humaine, incluant à la fois son corps et son esprit humain.</w:t>
      </w:r>
    </w:p>
    <w:p>
      <w:pPr>
        <w:pStyle w:val="Heading4"/>
      </w:pPr>
      <w:r>
        <w:t>La Chair en tant qu'existence humaine</w:t>
      </w:r>
    </w:p>
    <w:p>
      <w:r/>
      <w:r>
        <w:t>Une autre utilisation de « chair » désigne simplement l'existence humaine. Tant qu'une personne vit dans le corps, elle est « dans la chair ». Ainsi, Paul peut parler de la vie qu'il vit « dans la chair » comme vécue par la foi dans le Fils de Dieu (</w:t>
      </w:r>
      <w:hyperlink r:id="rId2305">
        <w:r>
          <w:rPr>
            <w:color w:val="0000EE"/>
            <w:u w:val="single"/>
          </w:rPr>
          <w:t>Ga 2.20</w:t>
        </w:r>
      </w:hyperlink>
      <w:r>
        <w:t>). En se référant au ministère terrestre de Jésus, Paul dit qu'il a aboli « par sa chair » l'inimitié entre Juif et Gentil (</w:t>
      </w:r>
      <w:hyperlink r:id="rId317">
        <w:r>
          <w:rPr>
            <w:color w:val="0000EE"/>
            <w:u w:val="single"/>
          </w:rPr>
          <w:t>Ep 2.15</w:t>
        </w:r>
      </w:hyperlink>
      <w:r>
        <w:t xml:space="preserve">). Pierre a le même sens lorsqu'il parle de Jésus ayant été mis à mort « </w:t>
      </w:r>
      <w:r>
        <w:t>quant à l</w:t>
      </w:r>
      <w:r>
        <w:t>a chair » (</w:t>
      </w:r>
      <w:hyperlink r:id="rId2306">
        <w:r>
          <w:rPr>
            <w:color w:val="0000EE"/>
            <w:u w:val="single"/>
          </w:rPr>
          <w:t>1P 3.18</w:t>
        </w:r>
      </w:hyperlink>
      <w:r>
        <w:t xml:space="preserve">). De même Jean : « </w:t>
      </w:r>
      <w:r>
        <w:t>Jésus-Christ venu en chair</w:t>
      </w:r>
      <w:r>
        <w:t xml:space="preserve"> » (</w:t>
      </w:r>
      <w:hyperlink r:id="rId2307">
        <w:r>
          <w:rPr>
            <w:color w:val="0000EE"/>
            <w:u w:val="single"/>
          </w:rPr>
          <w:t>1Jn 4.2</w:t>
        </w:r>
      </w:hyperlink>
      <w:r>
        <w:t xml:space="preserve">). Cette utilisation se reflète notamment dans l'expression johannique « </w:t>
      </w:r>
      <w:r>
        <w:t>la parole a été faite chair, et elle a habité parmi nous</w:t>
      </w:r>
      <w:r>
        <w:t xml:space="preserve"> » (</w:t>
      </w:r>
      <w:hyperlink r:id="rId1968">
        <w:r>
          <w:rPr>
            <w:color w:val="0000EE"/>
            <w:u w:val="single"/>
          </w:rPr>
          <w:t>Jn 1.14</w:t>
        </w:r>
      </w:hyperlink>
      <w:r>
        <w:t>).</w:t>
      </w:r>
    </w:p>
    <w:p>
      <w:pPr>
        <w:pStyle w:val="Heading4"/>
      </w:pPr>
      <w:r>
        <w:t>La Chair en tant qu'existence humaine sous l'angle de la présentation extérieure</w:t>
      </w:r>
    </w:p>
    <w:p>
      <w:r/>
      <w:r>
        <w:t>« Chair » s'étend également au-delà des humains dans leur vie corporelle pour inclure d'autres facteurs cruciaux à l'existence humaine. Ainsi, « confiance en la chair » (</w:t>
      </w:r>
      <w:hyperlink r:id="rId2308">
        <w:r>
          <w:rPr>
            <w:color w:val="0000EE"/>
            <w:u w:val="single"/>
          </w:rPr>
          <w:t>Ph 3.3</w:t>
        </w:r>
      </w:hyperlink>
      <w:r>
        <w:t>) ne signifie pas confiance dans le corps mais confiance dans l'ensemble complexe du domaine extérieur de l'existence humaine. Cela inclut l'ascendance juive de Paul, sa formation religieuse stricte, son zèle et sa notoriété dans les cercles religieux juifs. L'expression « se glorifi[er] selon la chair » (</w:t>
      </w:r>
      <w:hyperlink r:id="rId2309">
        <w:r>
          <w:rPr>
            <w:color w:val="0000EE"/>
            <w:u w:val="single"/>
          </w:rPr>
          <w:t>2Co 11.18</w:t>
        </w:r>
      </w:hyperlink>
      <w:r>
        <w:t xml:space="preserve">) est rendue par « </w:t>
      </w:r>
      <w:r>
        <w:t>se vant[er] pour des raisons tout humaines</w:t>
      </w:r>
      <w:r>
        <w:t xml:space="preserve"> » dans la BDS. Avoir une bonne apparence « dans votre chair » est pratiquement synonyme de notoriété mondaine (</w:t>
      </w:r>
      <w:hyperlink r:id="rId2310">
        <w:r>
          <w:rPr>
            <w:color w:val="0000EE"/>
            <w:u w:val="single"/>
          </w:rPr>
          <w:t>Ga 6.11–14</w:t>
        </w:r>
      </w:hyperlink>
      <w:r>
        <w:t>). Les judaïsants insistaient sur la circoncision pour promouvoir un sentiment de réussite orgueilleuse dans la vie religieuse afin qu'ils puissent avoir un motif de gloire. Ces distinctions externes et ces motifs de gloire n'attiraient plus Paul, car le monde avait été crucifié pour lui et lui pour le monde.</w:t>
      </w:r>
    </w:p>
    <w:p>
      <w:r/>
      <w:r>
        <w:t>« Chair » est également utilisé pour les relations extérieures, comme lorsqu'on décrit les liens sociaux existant entre esclave et maître (</w:t>
      </w:r>
      <w:hyperlink r:id="rId2311">
        <w:r>
          <w:rPr>
            <w:color w:val="0000EE"/>
            <w:u w:val="single"/>
          </w:rPr>
          <w:t>Ep 6.5</w:t>
        </w:r>
      </w:hyperlink>
      <w:r>
        <w:t xml:space="preserve"> ; </w:t>
      </w:r>
      <w:hyperlink r:id="rId2243">
        <w:r>
          <w:rPr>
            <w:color w:val="0000EE"/>
            <w:u w:val="single"/>
          </w:rPr>
          <w:t>Col 3.22</w:t>
        </w:r>
      </w:hyperlink>
      <w:r>
        <w:t xml:space="preserve"> ; </w:t>
      </w:r>
      <w:hyperlink r:id="rId2312">
        <w:r>
          <w:rPr>
            <w:color w:val="0000EE"/>
            <w:u w:val="single"/>
          </w:rPr>
          <w:t>Phm 1.16</w:t>
        </w:r>
      </w:hyperlink>
      <w:r>
        <w:t>). « Dans la chair » décrit également le domaine des relations conjugales, qui implique certains problèmes difficiles (</w:t>
      </w:r>
      <w:hyperlink r:id="rId2313">
        <w:r>
          <w:rPr>
            <w:color w:val="0000EE"/>
            <w:u w:val="single"/>
          </w:rPr>
          <w:t>1Co 7.28</w:t>
        </w:r>
      </w:hyperlink>
      <w:r>
        <w:t>).</w:t>
      </w:r>
    </w:p>
    <w:p>
      <w:r/>
      <w:r>
        <w:t xml:space="preserve">Cette utilisation éclaire un dicton autrement difficile : « </w:t>
      </w:r>
      <w:r>
        <w:t>Ainsi, dès maintenant, nous ne connaissons personne selon la chair</w:t>
      </w:r>
      <w:r>
        <w:t xml:space="preserve"> </w:t>
      </w:r>
      <w:r>
        <w:t>; et si nous avons connu Christ selon la chair, maintenant nous ne le connaissons plus de cette manière</w:t>
      </w:r>
      <w:r>
        <w:t xml:space="preserve"> » (</w:t>
      </w:r>
      <w:hyperlink r:id="rId2314">
        <w:r>
          <w:rPr>
            <w:color w:val="0000EE"/>
            <w:u w:val="single"/>
          </w:rPr>
          <w:t>2Co 5.16</w:t>
        </w:r>
      </w:hyperlink>
      <w:r>
        <w:t>). La S21 traduit correctement l'expression par « de manière purement humaine ». Le verset ne signifie pas que Paul avait entendu et vu Jésus à Jérusalem à un moment antérieur et avait acquis une certaine connaissance de Christ « selon la chair ». « Selon la chair » modifie le verbe « connaître », non le nom « Christ ». Avant sa conversion, Paul connaissait toutes personnes « selon la chair » ; c'est-à-dire qu'il les jugeait selon des barèmes mondains, humains. Connaître Christ « selon la chair » signifie le regarder à travers des yeux purement humains. En tant que Juif, Paul avait estimé que Jésus était un prétendant à la messianité délirant. Selon la compréhension juive, le Messie devait régner sur la terre comme un roi davidique, sauver son peuple Israël et punir les Gentils tant haïs. Mais Paul a renoncé à cette fausse vision humaine et en est venu à connaître Christ tel qu'il est réellement ; à savoir le Fils incarné de Dieu, seul Sauveur de tous ceux qui croient. En tant que chrétien, Paul ne jugeait plus les autres selon la chair.</w:t>
      </w:r>
    </w:p>
    <w:p>
      <w:pPr>
        <w:pStyle w:val="Heading4"/>
      </w:pPr>
      <w:r>
        <w:t>La Chair en tant qu'Humanité Déchue</w:t>
      </w:r>
    </w:p>
    <w:p>
      <w:r/>
      <w:r>
        <w:t xml:space="preserve">Quand Paul dit que « </w:t>
      </w:r>
      <w:r>
        <w:t>la chair et le sang ne peuvent hériter le royaume de Dieu</w:t>
      </w:r>
      <w:r>
        <w:t xml:space="preserve"> » (</w:t>
      </w:r>
      <w:hyperlink r:id="rId2295">
        <w:r>
          <w:rPr>
            <w:color w:val="0000EE"/>
            <w:u w:val="single"/>
          </w:rPr>
          <w:t>1Co 15.50</w:t>
        </w:r>
      </w:hyperlink>
      <w:r>
        <w:t xml:space="preserve">), il ne veut pas dire que les humains ne peuvent pas hériter du royaume de Dieu, mais plutôt que la déchéance humaine ne le peut pas ; comme le montre la clause suivante, « </w:t>
      </w:r>
      <w:r>
        <w:t>et que la corruption n’hérite pas l’incorruptibilité</w:t>
      </w:r>
      <w:r>
        <w:t xml:space="preserve"> ». Le corps faible, déchu, corruptible ne peut hériter du royaume de Dieu ; il doit y avoir un changement ; « </w:t>
      </w:r>
      <w:r>
        <w:t>il faut que ce corps corruptible revête l’incorruptibilité, et que ce corps mortel revête l’immortalité</w:t>
      </w:r>
      <w:r>
        <w:t xml:space="preserve"> » (</w:t>
      </w:r>
      <w:hyperlink r:id="rId2315">
        <w:r>
          <w:rPr>
            <w:color w:val="0000EE"/>
            <w:u w:val="single"/>
          </w:rPr>
          <w:t>1Co 15.53</w:t>
        </w:r>
      </w:hyperlink>
      <w:r>
        <w:t>). Ce n'est pas le salut de l'âme ou de l'esprit, mais l'échange d'un type de corps pour un autre qui est adapté au royaume final et glorieux de Dieu.</w:t>
      </w:r>
    </w:p>
    <w:p>
      <w:r/>
      <w:r>
        <w:t xml:space="preserve">Quand Pierre a confessé la messianité de Jésus, Jésus a répondu que « </w:t>
      </w:r>
      <w:r>
        <w:t>ce ne sont pas la chair et le sang qui t’ont révélé cela, mais c’est mon Père qui est dans les cieux</w:t>
      </w:r>
      <w:r>
        <w:t xml:space="preserve"> » (</w:t>
      </w:r>
      <w:hyperlink r:id="rId2316">
        <w:r>
          <w:rPr>
            <w:color w:val="0000EE"/>
            <w:u w:val="single"/>
          </w:rPr>
          <w:t>Mt 16.17</w:t>
        </w:r>
      </w:hyperlink>
      <w:r>
        <w:t>). Le sens de ce verset est évident. Cette connaissance de la messianité de Jésus n'était pas une déduction humaine ; elle ne pouvait être atteinte que par révélation divine.</w:t>
      </w:r>
    </w:p>
    <w:p>
      <w:pPr>
        <w:pStyle w:val="Heading4"/>
      </w:pPr>
      <w:r>
        <w:t>La Chair en tant qu'humanité pécheresse</w:t>
      </w:r>
    </w:p>
    <w:p>
      <w:r/>
      <w:r>
        <w:t xml:space="preserve">Il existe un ensemble de références éthiques qui sont distinctement pauliniennes. La caractéristique la plus importante de cet usage est que l'homme est vu non seulement comme déchu et faible devant Dieu, mais aussi comme pécheur. La chair est opposée à l'esprit humain régénéré par l'Esprit divin, et sans l'aide de l'Esprit, on ne peut plaire à Dieu. Le passage le plus vif dans ce sens est la première partie de </w:t>
      </w:r>
      <w:hyperlink r:id="rId2317">
        <w:r>
          <w:rPr>
            <w:color w:val="0000EE"/>
            <w:u w:val="single"/>
          </w:rPr>
          <w:t>Romains 8</w:t>
        </w:r>
      </w:hyperlink>
      <w:r>
        <w:t>, où Paul oppose nettement ceux qui sont « dans la chair » à ceux qui sont « dans l'Esprit ». Être « dans l'Esprit » dans ce sens ne signifie pas être dans un état d'extase, mais vivre sa vie dans un domaine spirituel qui est contrôlé par l'Esprit de Dieu. Ceux qui sont « dans la chair », c'est-à-dire non régénérés, ne peuvent plaire à Dieu. Il y a deux domaines contrastés et mutuellement exclusifs : « dans la chair » et « dans l'Esprit ». Être « dans l'Esprit » signifie être habité par le Saint-Esprit de Dieu, c'est-à-dire être une personne régénérée.</w:t>
      </w:r>
    </w:p>
    <w:p>
      <w:r/>
      <w:r>
        <w:t xml:space="preserve">Dans </w:t>
      </w:r>
      <w:hyperlink r:id="rId2318">
        <w:r>
          <w:rPr>
            <w:color w:val="0000EE"/>
            <w:u w:val="single"/>
          </w:rPr>
          <w:t>Romains 7–8</w:t>
        </w:r>
      </w:hyperlink>
      <w:r>
        <w:t>, Paul précise que la personne non régénérée ne peut plaire à Dieu en l'aimant et en le servant comme Dieu l'exige. Ainsi, la Loi était incapable de rendre l'humanité véritablement juste, car la chair est faible (</w:t>
      </w:r>
      <w:hyperlink r:id="rId2319">
        <w:r>
          <w:rPr>
            <w:color w:val="0000EE"/>
            <w:u w:val="single"/>
          </w:rPr>
          <w:t>8.2</w:t>
        </w:r>
      </w:hyperlink>
      <w:r>
        <w:t>). Vivre selon la chair, c'est la mort ; vivre selon l'Esprit, c'est la vie (</w:t>
      </w:r>
      <w:hyperlink r:id="rId2320">
        <w:r>
          <w:rPr>
            <w:color w:val="0000EE"/>
            <w:u w:val="single"/>
          </w:rPr>
          <w:t>8.6</w:t>
        </w:r>
      </w:hyperlink>
      <w:r>
        <w:t xml:space="preserve">). Ailleurs, Paul dit : « </w:t>
      </w:r>
      <w:r>
        <w:t>Ce qui est bon, je le sais, n’habite pas en moi, c’est-à-dire dans ma chair</w:t>
      </w:r>
      <w:r>
        <w:t xml:space="preserve"> » (</w:t>
      </w:r>
      <w:hyperlink r:id="rId2321">
        <w:r>
          <w:rPr>
            <w:color w:val="0000EE"/>
            <w:u w:val="single"/>
          </w:rPr>
          <w:t>7.18</w:t>
        </w:r>
      </w:hyperlink>
      <w:r>
        <w:t>). La chair ici ne peut pas être la chair physique, car le corps de chair est le temple de l'Esprit (</w:t>
      </w:r>
      <w:hyperlink r:id="rId2322">
        <w:r>
          <w:rPr>
            <w:color w:val="0000EE"/>
            <w:u w:val="single"/>
          </w:rPr>
          <w:t>1Co 6.19</w:t>
        </w:r>
      </w:hyperlink>
      <w:r>
        <w:t>) et un membre de Christ (</w:t>
      </w:r>
      <w:hyperlink r:id="rId2323">
        <w:r>
          <w:rPr>
            <w:color w:val="0000EE"/>
            <w:u w:val="single"/>
          </w:rPr>
          <w:t>6.15</w:t>
        </w:r>
      </w:hyperlink>
      <w:r>
        <w:t>) et doit être le moyen de glorifier Dieu (</w:t>
      </w:r>
      <w:hyperlink r:id="rId2324">
        <w:r>
          <w:rPr>
            <w:color w:val="0000EE"/>
            <w:u w:val="single"/>
          </w:rPr>
          <w:t>6.20</w:t>
        </w:r>
      </w:hyperlink>
      <w:r>
        <w:t>). Paul signifie donc que dans sa nature non régénérée, on ne trouve aucune des bontés que Dieu exige.</w:t>
      </w:r>
    </w:p>
    <w:p>
      <w:r/>
      <w:r>
        <w:t xml:space="preserve">Alors que Paul établit un contraste net et absolu entre être « dans la chair » (non régénéré) et « dans l'Esprit » (régénéré), lorsqu'une personne est régénérée et vient à être « dans l'Esprit », cette personne n'est plus dans la chair. La chair, elle, est toutefois toujours en elle. Il reste chez le croyant une lutte entre la chair et l'Esprit. Écrivant à des personnes qui sont « dans l'Esprit », Paul dit : « </w:t>
      </w:r>
      <w:r>
        <w:t>Car la chair a des désirs</w:t>
      </w:r>
      <w:r>
        <w:t xml:space="preserve"> [s'efforce] </w:t>
      </w:r>
      <w:r>
        <w:t>contraires à ceux de l’Esprit, et l’Esprit en a de contraires à ceux de la chair</w:t>
      </w:r>
      <w:r>
        <w:t xml:space="preserve"> </w:t>
      </w:r>
      <w:r>
        <w:t>; ils sont opposés entre eux, afin que vous ne fassiez point ce que vous voudriez</w:t>
      </w:r>
      <w:r>
        <w:t xml:space="preserve"> » (</w:t>
      </w:r>
      <w:hyperlink r:id="rId2325">
        <w:r>
          <w:rPr>
            <w:color w:val="0000EE"/>
            <w:u w:val="single"/>
          </w:rPr>
          <w:t>Ga 5.17</w:t>
        </w:r>
      </w:hyperlink>
      <w:r>
        <w:t>). Parce que la vie chrétienne est le champ de bataille de ces deux principes opposés, il est impossible d'être la personne parfaite que l'on souhaiterait être.</w:t>
      </w:r>
    </w:p>
    <w:p>
      <w:r/>
      <w:r>
        <w:t xml:space="preserve">La même situation se retrouve dans </w:t>
      </w:r>
      <w:hyperlink r:id="rId2326">
        <w:r>
          <w:rPr>
            <w:color w:val="0000EE"/>
            <w:u w:val="single"/>
          </w:rPr>
          <w:t>1 Corinthiens 2.14–3.3</w:t>
        </w:r>
      </w:hyperlink>
      <w:r>
        <w:t>, où Paul décrit trois classes de personnes : le « naturel » (</w:t>
      </w:r>
      <w:hyperlink r:id="rId2327">
        <w:r>
          <w:rPr>
            <w:color w:val="0000EE"/>
            <w:u w:val="single"/>
          </w:rPr>
          <w:t>2.14</w:t>
        </w:r>
      </w:hyperlink>
      <w:r>
        <w:t>, S21) ; le « charnel » (</w:t>
      </w:r>
      <w:hyperlink r:id="rId2328">
        <w:r>
          <w:rPr>
            <w:color w:val="0000EE"/>
            <w:u w:val="single"/>
          </w:rPr>
          <w:t>3.1, 3</w:t>
        </w:r>
      </w:hyperlink>
      <w:r>
        <w:t>) ; et l'« homme spirituel » (</w:t>
      </w:r>
      <w:hyperlink r:id="rId2329">
        <w:r>
          <w:rPr>
            <w:color w:val="0000EE"/>
            <w:u w:val="single"/>
          </w:rPr>
          <w:t>3.1</w:t>
        </w:r>
      </w:hyperlink>
      <w:r>
        <w:t>). L'« homme naturel » est non régénéré. Ceux qui sont « dans la chair » (</w:t>
      </w:r>
      <w:hyperlink r:id="rId2330">
        <w:r>
          <w:rPr>
            <w:color w:val="0000EE"/>
            <w:u w:val="single"/>
          </w:rPr>
          <w:t>Rm 8.9</w:t>
        </w:r>
      </w:hyperlink>
      <w:r>
        <w:t>) ont consacré toute leur vie au domaine humain et sont donc incapables de connaître les choses de Dieu. L'« homme spirituel » se réfère à ceux dont la vie est régie par l'Esprit de Dieu, de sorte que le fruit de l'Esprit (</w:t>
      </w:r>
      <w:hyperlink r:id="rId2331">
        <w:r>
          <w:rPr>
            <w:color w:val="0000EE"/>
            <w:u w:val="single"/>
          </w:rPr>
          <w:t>Ga 5.22–23</w:t>
        </w:r>
      </w:hyperlink>
      <w:r>
        <w:t>) est évident dans leur vie. Entre ces deux catégories se trouve une troisième classe : ceux qui sont « charnels » et qui sont nourrissons en Christ. Par conséquent, ils doivent être « dans l'Esprit », mais ils ne marchent pas « selon l'Esprit ». Parce qu'ils sont « nourrissons en Christ », l'Esprit de Dieu habite en eux, mais le Saint-Esprit n'a pas un plein contrôle sur eux, et ils marchent encore « comme des hommes » (</w:t>
      </w:r>
      <w:hyperlink r:id="rId2332">
        <w:r>
          <w:rPr>
            <w:color w:val="0000EE"/>
            <w:u w:val="single"/>
          </w:rPr>
          <w:t>1Co 3.3</w:t>
        </w:r>
      </w:hyperlink>
      <w:r>
        <w:t>), manifestant les œuvres de la chair dans la jalousie et la discorde.</w:t>
      </w:r>
    </w:p>
    <w:p>
      <w:pPr>
        <w:pStyle w:val="Heading4"/>
      </w:pPr>
      <w:r>
        <w:t>Les Œuvres de la chair</w:t>
      </w:r>
    </w:p>
    <w:p>
      <w:r/>
      <w:r>
        <w:t xml:space="preserve">Dans </w:t>
      </w:r>
      <w:hyperlink r:id="rId2333">
        <w:r>
          <w:rPr>
            <w:color w:val="0000EE"/>
            <w:u w:val="single"/>
          </w:rPr>
          <w:t>Galates 5.19–23</w:t>
        </w:r>
      </w:hyperlink>
      <w:r>
        <w:t>, Paul contraste la vie dans la chair et la vie dans l'Esprit : « Or, les œuvres de la chair sont manifestes, ce sont l’impudicité, l’impureté, la dissolution, l’idolâtrie, la magie, les inimitiés, les querelles, les jalousies, les animosités, les disputes, les divisions, les sectes, l’envie, l’ivrognerie, les excès de table, et les choses semblables. Je vous dis d’avance, comme je l’ai déjà dit, que ceux qui commettent de telles choses n’hériteront point le royaume de Dieu » (</w:t>
      </w:r>
      <w:hyperlink r:id="rId2334">
        <w:r>
          <w:rPr>
            <w:color w:val="0000EE"/>
            <w:u w:val="single"/>
          </w:rPr>
          <w:t>Ga 5.19–21</w:t>
        </w:r>
      </w:hyperlink>
      <w:r>
        <w:t>). Il est important de noter que, bien que certains de ces péchés soient liés à l'appétit corporel et sexuel, d'autres sont des péchés d'ordre religieux (l'idolâtrie, la magie) et plusieurs sont des péchés « de l'esprit », c'est-à-dire au niveau de notre disposition (l'animosité, les disputes, les jalousies, les querelles, les divisions). Les mots « divisions » et « sectes » ne se réfèrent pas à des hérésies théologiques mais à un esprit factieux et diviseur. Cela prouve de manière concluante que pour Paul, la « chair » n'est pas synonyme du corps mais inclut la personne tout entière, avec toutes les attitudes intérieures et la disposition.</w:t>
      </w:r>
    </w:p>
    <w:p>
      <w:pPr>
        <w:pStyle w:val="Heading4"/>
      </w:pPr>
      <w:r>
        <w:t>La Victoire sur la chair</w:t>
      </w:r>
    </w:p>
    <w:p>
      <w:r/>
      <w:r>
        <w:t>Bien qu'une lutte subsiste chez le chrétien entre l'Esprit et la chair, Paul connaît un moyen de victoire pour l'Esprit. La chair au sens du corps entre dans le domaine de la sanctification (</w:t>
      </w:r>
      <w:hyperlink r:id="rId677">
        <w:r>
          <w:rPr>
            <w:color w:val="0000EE"/>
            <w:u w:val="single"/>
          </w:rPr>
          <w:t>1Th 5.23</w:t>
        </w:r>
      </w:hyperlink>
      <w:r>
        <w:t>), mais la chair en tant que nature humaine non régénérée ne peut être que mise à mort.</w:t>
      </w:r>
    </w:p>
    <w:p>
      <w:r/>
      <w:r>
        <w:t>On appelle ceci la tension entre l'objectif et le subjectif. Parce que certaines choses se sont produites en Christ (objectif), certains résultats inévitables devraient en découler (subjectif). Selon Paul, la chair a déjà été mise à mort dans la mort de Christ. Ceux qui appartiennent à Christ ont déjà crucifié la chair avec ses passions et ses désirs (</w:t>
      </w:r>
      <w:hyperlink r:id="rId2335">
        <w:r>
          <w:rPr>
            <w:color w:val="0000EE"/>
            <w:u w:val="single"/>
          </w:rPr>
          <w:t>Ga 5.24</w:t>
        </w:r>
      </w:hyperlink>
      <w:r>
        <w:t>). Paul dit ailleurs : « J'ai été crucifié avec Christ » (</w:t>
      </w:r>
      <w:hyperlink r:id="rId2305">
        <w:r>
          <w:rPr>
            <w:color w:val="0000EE"/>
            <w:u w:val="single"/>
          </w:rPr>
          <w:t>2.20</w:t>
        </w:r>
      </w:hyperlink>
      <w:r>
        <w:t xml:space="preserve">) et « </w:t>
      </w:r>
      <w:r>
        <w:t>notre vieil homme a été crucifié avec lui</w:t>
      </w:r>
      <w:r>
        <w:t xml:space="preserve"> » (</w:t>
      </w:r>
      <w:hyperlink r:id="rId2336">
        <w:r>
          <w:rPr>
            <w:color w:val="0000EE"/>
            <w:u w:val="single"/>
          </w:rPr>
          <w:t>Rm 6.6</w:t>
        </w:r>
      </w:hyperlink>
      <w:r>
        <w:t xml:space="preserve">). De telles références mettent en évidence le fait que la « chair » et le « moi » doivent être identifiés d'une certaine manière. Cette identité est soutenue une fois de plus dans l'enseignement sur la crucifixion, car Paul signifie la même chose par la crucifixion de la chair que ce à quoi il fait référence lorsqu'il dit : « </w:t>
      </w:r>
      <w:r>
        <w:t>Nous qui sommes morts au péché, comment vivrions-nous encore dans le péché</w:t>
      </w:r>
      <w:r>
        <w:t xml:space="preserve"> </w:t>
      </w:r>
      <w:r>
        <w:t>?</w:t>
      </w:r>
      <w:r>
        <w:t xml:space="preserve"> </w:t>
      </w:r>
      <w:r>
        <w:t>Ignorez-vous que nous tous qui avons été baptisés en Jésus-Christ, c’est en sa mort que nous avons été baptisés</w:t>
      </w:r>
      <w:r>
        <w:t xml:space="preserve"> </w:t>
      </w:r>
      <w:r>
        <w:t>?</w:t>
      </w:r>
      <w:r>
        <w:t xml:space="preserve"> » (v. </w:t>
      </w:r>
      <w:hyperlink r:id="rId2337">
        <w:r>
          <w:rPr>
            <w:color w:val="0000EE"/>
            <w:u w:val="single"/>
          </w:rPr>
          <w:t>1–4</w:t>
        </w:r>
      </w:hyperlink>
      <w:r>
        <w:t>). C'est moi-même qui suis mort avec Christ.</w:t>
      </w:r>
    </w:p>
    <w:p>
      <w:r/>
      <w:r>
        <w:t xml:space="preserve">Cette crucifixion et mort de la chair ne fonctionnent pas automatiquement. C'est un événement que l'on doit s'approprier par la foi. Ceci implique deux aspects. Premièrement, le croyant doit reconnaître que la chair a été crucifiée avec Christ. « </w:t>
      </w:r>
      <w:r>
        <w:t>regardez-vous comme morts au péché, et comme vivants pour Dieu en Jésus-Christ</w:t>
      </w:r>
      <w:r>
        <w:t xml:space="preserve"> » (</w:t>
      </w:r>
      <w:hyperlink r:id="rId2338">
        <w:r>
          <w:rPr>
            <w:color w:val="0000EE"/>
            <w:u w:val="single"/>
          </w:rPr>
          <w:t>Rm 6.11</w:t>
        </w:r>
      </w:hyperlink>
      <w:r>
        <w:t xml:space="preserve">). On ne peut se considérer comme mort avec Christ au péché que si cette personne est réellement morte et a été crucifiée avec Christ. Toutefois, comme cela s'est déjà produit au moment où l'on place sa foi en Christ, à salut, il s'agit désormais de quelque chose qui peut être mis en pratique quotidiennement. Ceux qui sont morts avec Christ doivent « </w:t>
      </w:r>
      <w:r>
        <w:t>fai[re] mourir les actions du corps</w:t>
      </w:r>
      <w:r>
        <w:t xml:space="preserve"> » (</w:t>
      </w:r>
      <w:hyperlink r:id="rId2339">
        <w:r>
          <w:rPr>
            <w:color w:val="0000EE"/>
            <w:u w:val="single"/>
          </w:rPr>
          <w:t>8.13</w:t>
        </w:r>
      </w:hyperlink>
      <w:r>
        <w:t>). « Corps » est ici utilisé comme un véhicule pour les œuvres de la « chair » (la vie sensuelle de la nature non régénérée). Ceux qui ont été amenés de la mort à la vie sont désormais appelés à offrir leurs membres à Dieu comme instruments de justice (</w:t>
      </w:r>
      <w:hyperlink r:id="rId2340">
        <w:r>
          <w:rPr>
            <w:color w:val="0000EE"/>
            <w:u w:val="single"/>
          </w:rPr>
          <w:t>6.13</w:t>
        </w:r>
      </w:hyperlink>
      <w:r>
        <w:t>). Celui qui est mort avec Christ doit « mortifier » (comme le disent les théologiens puritains), c'est-à-dire mettre à mort ce qui est terrestre, les choses telles que la fornication, l'impureté, la convoitise (</w:t>
      </w:r>
      <w:hyperlink r:id="rId2341">
        <w:r>
          <w:rPr>
            <w:color w:val="0000EE"/>
            <w:u w:val="single"/>
          </w:rPr>
          <w:t>Col 3.5</w:t>
        </w:r>
      </w:hyperlink>
      <w:r>
        <w:t>). Ayant déjà dépouillé l'ancienne nature et revêtu la nouvelle, le croyant doit revêtir la compassion, la bonté, l'humilité et autres.</w:t>
      </w:r>
    </w:p>
    <w:p>
      <w:r/>
      <w:r>
        <w:t xml:space="preserve">La victoire sur la chair est parfois décrite comme marcher par l'Esprit. « </w:t>
      </w:r>
      <w:r>
        <w:t>Marchez selon l’Esprit, et vous n’accomplirez pas les désirs de la chair</w:t>
      </w:r>
      <w:r>
        <w:t xml:space="preserve"> » (</w:t>
      </w:r>
      <w:hyperlink r:id="rId2342">
        <w:r>
          <w:rPr>
            <w:color w:val="0000EE"/>
            <w:u w:val="single"/>
          </w:rPr>
          <w:t>Ga 5.16</w:t>
        </w:r>
      </w:hyperlink>
      <w:r>
        <w:t xml:space="preserve"> ; voir </w:t>
      </w:r>
      <w:hyperlink r:id="rId2343">
        <w:r>
          <w:rPr>
            <w:color w:val="0000EE"/>
            <w:u w:val="single"/>
          </w:rPr>
          <w:t>Rm 8.4</w:t>
        </w:r>
      </w:hyperlink>
      <w:r>
        <w:t>). Marcher par l'Esprit signifie vivre chaque instant sous le contrôle du Saint-Esprit.</w:t>
      </w:r>
    </w:p>
    <w:p>
      <w:r/>
      <w:r>
        <w:rPr>
          <w:i/>
        </w:rPr>
        <w:t>Voir aussi</w:t>
      </w:r>
      <w:r>
        <w:t xml:space="preserve"> </w:t>
      </w:r>
      <w:r>
        <w:t>Corps</w:t>
      </w:r>
      <w:r>
        <w:t xml:space="preserve"> ; </w:t>
      </w:r>
      <w:r>
        <w:t>Péché</w:t>
      </w:r>
      <w:r>
        <w:t>.</w:t>
      </w:r>
      <w:r/>
      <w:r/>
    </w:p>
    <w:p>
      <w:r/>
    </w:p>
    <w:p>
      <w:pPr>
        <w:pStyle w:val="Heading2"/>
      </w:pPr>
      <w:r>
        <w:t>Chaldée, Chaldéens</w:t>
      </w:r>
      <w:r/>
    </w:p>
    <w:p>
      <w:r/>
      <w:r>
        <w:t xml:space="preserve">Ancienne région en Mésopotamie et ses habitants. Le nom vient des tribus chaldéennes qui partageaient la Babylonie dans le sud-est de la Mésopotamie avec plusieurs autres peuples, notamment les Sumériens et les Akkadiens. Après l'absorption de l'ancien Empire babylonien par les Assyriens, les Chaldéens, sous la direction de Nebucadnetsar, prendront le contrôle et construiront un Empire néo-babylonien qui a dominé le Proche-Orient pendant près d'un siècle. La région appelée Chaldée est également associée au patriarche Abraham, dont le foyer mésopotamien était « </w:t>
      </w:r>
      <w:r>
        <w:t>Ur en Chaldée</w:t>
      </w:r>
      <w:r>
        <w:t xml:space="preserve"> » (</w:t>
      </w:r>
      <w:hyperlink r:id="rId2344">
        <w:r>
          <w:rPr>
            <w:color w:val="0000EE"/>
            <w:u w:val="single"/>
          </w:rPr>
          <w:t>Gn 11.28</w:t>
        </w:r>
      </w:hyperlink>
      <w:r>
        <w:t>).</w:t>
      </w:r>
    </w:p>
    <w:p>
      <w:pPr>
        <w:pStyle w:val="Heading3"/>
      </w:pPr>
      <w:r>
        <w:t>Le Territoire et sa population</w:t>
      </w:r>
    </w:p>
    <w:p>
      <w:r/>
      <w:r>
        <w:t>Jusqu'à la fin du 8e siècle av. J.‑C., la Chaldée désignait uniquement un petit territoire dans le sud de la Babylonie. En l'espace de cent ans, après une conquête rapide et réussie du pouvoir, elle englobait toute la Babylonie. À cette époque, elle comprenait le territoire allant de Bagdad sur le Tigre jusqu'au golfe Persique et s'étendait le long de l'Euphrate jusqu'à la ville de Hit. Bien que la Chaldée soit généralement située entre le Tigre et l'Euphrate, elle s'étendait dans les plaines entre le Tigre et les montagnes du Zagros à l'est et incluait également des terres à l'ouest de l'Euphrate. Le désert d'Arabie formait sa frontière occidentale. La Chaldée dépassait rarement 65 km de largeur, avec une superficie d'environ 13 000 km2, c'est-à-dire un peu plus que la taille de la Gambie. Sur la carte actuelle, la Chaldée se trouve à l'intérieur de l'Irak, son extrémité sud-ouest touchant le Koweït.</w:t>
      </w:r>
    </w:p>
    <w:p>
      <w:pPr>
        <w:pStyle w:val="Heading3"/>
      </w:pPr>
      <w:r>
        <w:t>Histoire</w:t>
      </w:r>
    </w:p>
    <w:p>
      <w:r/>
      <w:r>
        <w:t>La première mention des Chaldéens se trouve dans les annales assyriennes d'Assurnasirpal II (885–860 av. J.‑C.), ce qui amène certaines autorités à suggérer qu'ils sont entrés en Babylonie vers 1000 av. J.‑C. Ils sont généralement associés, bien que non identifiés, aux tribus sémitiques araméennes qui avançaient constamment depuis les déserts occidentaux vers la Mésopotamie. Ils se sont installés principalement à l'extrémité sud de la Babylonie, à l'extrémité nord du golfe Persique, sans doute plusieurs siècles avant que les annales assyriennes ne les mentionnent.</w:t>
      </w:r>
    </w:p>
    <w:p>
      <w:r/>
      <w:hyperlink r:id="rId2345">
        <w:r>
          <w:rPr>
            <w:color w:val="0000EE"/>
            <w:u w:val="single"/>
          </w:rPr>
          <w:t>Job 1.17</w:t>
        </w:r>
      </w:hyperlink>
      <w:r>
        <w:t xml:space="preserve"> mentionne trois bandes de Chaldéens qui ont participé à un raid contre les chameaux et les serviteurs de Job, probablement dans les environs d'Édom ou du nord de l'Arabie. Leur présence dans ces régions ne signifie pas nécessairement qu'ils vivaient à proximité, puisque des armées de Babylone (Sinar) et d'Élam se sont aventurées jusqu'en Palestine quelques siècles plus tôt (</w:t>
      </w:r>
      <w:hyperlink r:id="rId2346">
        <w:r>
          <w:rPr>
            <w:color w:val="0000EE"/>
            <w:u w:val="single"/>
          </w:rPr>
          <w:t>Gn 14.1–2</w:t>
        </w:r>
      </w:hyperlink>
      <w:r>
        <w:t>).</w:t>
      </w:r>
    </w:p>
    <w:p>
      <w:pPr>
        <w:pStyle w:val="Heading4"/>
      </w:pPr>
      <w:r>
        <w:t>Sous la domination assyrienne</w:t>
      </w:r>
    </w:p>
    <w:p>
      <w:r/>
      <w:r>
        <w:t>Vivant près des marais et des lacs de l'extrême sud, les Chaldéens maintenaient un haut degré d'indépendance, même lorsque la domination assyrienne s'étendait sur eux. Il était difficile pour les armées envahissantes de manœuvrer dans les marais chaldéens. En conséquence, les Chaldéens résistaient à payer des impôts ou à fournir toute forme de service au gouvernement assyrien. Lorsque les Assyriens cherchaient à limiter leur liberté, les Chaldéens se tournaient vers la guérilla et l'intrigue politique. Ils étaient prompts à ignorer les traités ou à changer d'alliance selon les circonstances. Sous la domination assyrienne, alors que les habitants natifs des villes babyloniennes étaient généralement satisfaits, les Chaldéens étaient à la tête d'un mouvement national d'indépendance. Pendant 250 ans, les Assyriens ont dû imposer leur domination face aux tentatives persistantes des Chaldéens d'affirmer leur autonomie et leur influence.</w:t>
      </w:r>
    </w:p>
    <w:p>
      <w:r/>
      <w:r>
        <w:t xml:space="preserve">Enfin, en 721 av. J.‑C., le chef chaldéen Marduk-apla-iddina II (connu sous le nom de Berodac-Baladan dans </w:t>
      </w:r>
      <w:hyperlink r:id="rId2347">
        <w:r>
          <w:rPr>
            <w:color w:val="0000EE"/>
            <w:u w:val="single"/>
          </w:rPr>
          <w:t>2 R 20.12</w:t>
        </w:r>
      </w:hyperlink>
      <w:r>
        <w:t xml:space="preserve"> et </w:t>
      </w:r>
      <w:hyperlink r:id="rId1426">
        <w:r>
          <w:rPr>
            <w:color w:val="0000EE"/>
            <w:u w:val="single"/>
          </w:rPr>
          <w:t>Es 39.1</w:t>
        </w:r>
      </w:hyperlink>
      <w:r>
        <w:t>, qui enverra une ambassade à Ézéchias, roi de Juda) entre à Babylone et revendique la royauté de Babylone, une position longtemps désignée par le roi assyrien. Rusé et ingénieux, il maintiendra avec succès sa prétention au trône pendant dix ans avant d'être repoussé dans son propre territoire du sud par Sargon II d'Assyrie. À la mort de Sargon en 705 av. J.‑C., il réaffirmera sa prétention au trône mais sera vaincu par le nouveau roi assyrien, Sanchérib, qui détruira Babylone en guise de leçon pour les Chaldéens et leurs alliés.</w:t>
      </w:r>
    </w:p>
    <w:p>
      <w:r/>
      <w:r>
        <w:t>Le fils et successeur de Sanchérib, Assarhaddon, poursuivra une politique de conciliation avec les Babyloniens et reconstruira leur capitale, un geste qui neutralisera efficacement l'agitation chaldéenne et inaugurera une période de paix qui durera plus de trente ans. La dernière révolte infructueuse aura lieu sous le règne d'Assurbanipal et sera en réalité instiguée par son frère, que le roi assyrien avait nommé sur le trône babylonien. Les Chaldéens se joindront volontiers à la rébellion, qui sera écrasée en 648 av. J.‑C.</w:t>
      </w:r>
    </w:p>
    <w:p>
      <w:pPr>
        <w:pStyle w:val="Heading4"/>
      </w:pPr>
      <w:r>
        <w:t>L'Empire néo-babylonien</w:t>
      </w:r>
    </w:p>
    <w:p>
      <w:r/>
      <w:r>
        <w:t>Deux décennies plus tard, au moment de la mort d'Assurbanipal, le pouvoir assyrien déclinera soudainement et dramatiquement. Nabopolassar, un gouverneur chaldéen, saisira l'occasion pour chasser les Assyriens de Babylone. Il deviendra roi de Babylone en 625 av. J.‑C. Alliés aux Mèdes, les Babyloniens détruiront ensuite l'Empire assyrien, capturant les villes capitales d'Assur en 614 et de Ninive en 612. Ils diviseront les terres conquises avec les Mèdes et annexeront les régions assyriennes à l'ouest et au sud du Tigre, créant un nouvel Empire babylonien. (Le premier Empire babylonien, auquel Hammurabi est associé, avait prospéré plus de 1 000 ans auparavant.) Partout dans le Proche-Orient, Chaldée et Babylone sont devenues synonymes.</w:t>
      </w:r>
    </w:p>
    <w:p>
      <w:r/>
      <w:r>
        <w:t xml:space="preserve">Durant le long et brillant règne du fils de Nabopolassar, Nebucadnetsar (ou Nabuchodonosor) II, l'empire atteindra son apogée. En tant que prince héritier, il remportra une victoire décisive en 605 av. J.‑C. sur les Égyptiens à Carkemisch (la bataille mentionnée dans </w:t>
      </w:r>
      <w:hyperlink r:id="rId2348">
        <w:r>
          <w:rPr>
            <w:color w:val="0000EE"/>
            <w:u w:val="single"/>
          </w:rPr>
          <w:t>2Ch 35.20</w:t>
        </w:r>
      </w:hyperlink>
      <w:r>
        <w:t xml:space="preserve">), ce qui établira effectivement la suprématie babylonienne au Proche-Orient (voir </w:t>
      </w:r>
      <w:hyperlink r:id="rId2349">
        <w:r>
          <w:rPr>
            <w:color w:val="0000EE"/>
            <w:u w:val="single"/>
          </w:rPr>
          <w:t>2R 24.7</w:t>
        </w:r>
      </w:hyperlink>
      <w:r>
        <w:t>). La même année, le royaume du sud de Juda deviendra une nation vassale de Babylone. Nebucadnetsar obtiendra la soumission du roi Jojakim, emportera les objets les plus précieux du temple pour son propre temple à Babylone, et prendra en captivité les principaux dirigeants et jeunes de Juda (</w:t>
      </w:r>
      <w:hyperlink r:id="rId2350">
        <w:r>
          <w:rPr>
            <w:color w:val="0000EE"/>
            <w:u w:val="single"/>
          </w:rPr>
          <w:t>2R 24.1</w:t>
        </w:r>
      </w:hyperlink>
      <w:r>
        <w:t xml:space="preserve"> ; </w:t>
      </w:r>
      <w:hyperlink r:id="rId2351">
        <w:r>
          <w:rPr>
            <w:color w:val="0000EE"/>
            <w:u w:val="single"/>
          </w:rPr>
          <w:t>2Ch 36.5–7</w:t>
        </w:r>
      </w:hyperlink>
      <w:r>
        <w:t xml:space="preserve"> ; </w:t>
      </w:r>
      <w:hyperlink r:id="rId2352">
        <w:r>
          <w:rPr>
            <w:color w:val="0000EE"/>
            <w:u w:val="single"/>
          </w:rPr>
          <w:t>Dn 1.1–4</w:t>
        </w:r>
      </w:hyperlink>
      <w:r>
        <w:t>). Lorsque Juda se révoltera plusieurs années plus tard à l'instigation de l'Égypte, l'armée chaldéenne capturera Jérusalem en 597 av. J.‑C. Le nouveau roi de Juda, Joïakin, sera déposé à ce moment-là avec d'autres de ses dirigeants (</w:t>
      </w:r>
      <w:hyperlink r:id="rId2353">
        <w:r>
          <w:rPr>
            <w:color w:val="0000EE"/>
            <w:u w:val="single"/>
          </w:rPr>
          <w:t>2R 24.8–16</w:t>
        </w:r>
      </w:hyperlink>
      <w:r>
        <w:t>). Une deuxième révolte en 594 av. J.‑C. par le roi nommé par les Chaldéens (Sédécias) entraînera une troisième invasion, la destruction de Jérusalem en 586 av. J.‑C., et l'exil de la plupart des citoyens de Juda (</w:t>
      </w:r>
      <w:hyperlink r:id="rId2354">
        <w:r>
          <w:rPr>
            <w:color w:val="0000EE"/>
            <w:u w:val="single"/>
          </w:rPr>
          <w:t>2R 24.20–25.12</w:t>
        </w:r>
      </w:hyperlink>
      <w:r>
        <w:t xml:space="preserve">; </w:t>
      </w:r>
      <w:hyperlink r:id="rId2355">
        <w:r>
          <w:rPr>
            <w:color w:val="0000EE"/>
            <w:u w:val="single"/>
          </w:rPr>
          <w:t>2Ch 36.11–21</w:t>
        </w:r>
      </w:hyperlink>
      <w:r>
        <w:t>). Avec le butin de cette conquête et d'autres, Nebucadnetsar fera de Babylone une des villes les plus éblouissantes du monde antique. Ses projets inclueront les Jardins suspendus (l'une des sept merveilles du monde antique), la Porte d'Ishtar, et un mur extérieur de 27 km conçu pour la défense de la ville. Sa fierté pour de tels accomplissements finira par entraîner le jugement de Dieu (</w:t>
      </w:r>
      <w:hyperlink r:id="rId2356">
        <w:r>
          <w:rPr>
            <w:color w:val="0000EE"/>
            <w:u w:val="single"/>
          </w:rPr>
          <w:t>Dn 4.30–33</w:t>
        </w:r>
      </w:hyperlink>
      <w:r>
        <w:t>).</w:t>
      </w:r>
    </w:p>
    <w:p>
      <w:r/>
      <w:r>
        <w:t xml:space="preserve">Nebucadnetsar sera succédée par son fils Amel-Marduk (Évil-Merodac dans </w:t>
      </w:r>
      <w:hyperlink r:id="rId2357">
        <w:r>
          <w:rPr>
            <w:color w:val="0000EE"/>
            <w:u w:val="single"/>
          </w:rPr>
          <w:t>2R 25.27</w:t>
        </w:r>
      </w:hyperlink>
      <w:r>
        <w:t xml:space="preserve"> et </w:t>
      </w:r>
      <w:hyperlink r:id="rId2358">
        <w:r>
          <w:rPr>
            <w:color w:val="0000EE"/>
            <w:u w:val="single"/>
          </w:rPr>
          <w:t>Jr 52.31</w:t>
        </w:r>
      </w:hyperlink>
      <w:r>
        <w:t>, connu pour sa bienveillance particulière envers le roi exilé Jojakin). Après deux ans, il sera tué lors d'une rébellion armée menée par son beau-frère, Nergal-shar-usur (</w:t>
      </w:r>
      <w:r>
        <w:t>Nergal-Scharetser</w:t>
      </w:r>
      <w:r>
        <w:t xml:space="preserve"> dans </w:t>
      </w:r>
      <w:hyperlink r:id="rId2359">
        <w:r>
          <w:rPr>
            <w:color w:val="0000EE"/>
            <w:u w:val="single"/>
          </w:rPr>
          <w:t>Jr 39.3</w:t>
        </w:r>
      </w:hyperlink>
      <w:r>
        <w:t>), qui tentera d'établir sa propre dynastie. Après un règne de quatre ans, Nergal-shar-usur sera remplacé par son fils, qui ne durera que quelques mois avant d'être évincé par un usurpateur, Nabonide.</w:t>
      </w:r>
    </w:p>
    <w:p>
      <w:pPr>
        <w:pStyle w:val="Heading4"/>
      </w:pPr>
      <w:r>
        <w:t>La Chute de Babylone</w:t>
      </w:r>
    </w:p>
    <w:p>
      <w:r/>
      <w:r>
        <w:t xml:space="preserve">Nabonide sera le dernier des monarques chaldéens. Son accession au trône sera soutenue par de nombreux fonctionnaires babyloniens. Ils verront leurs anciens alliés, les Mèdes, devenir progressivement une puissance rivale et verront en Nabonide un dirigeant suffisamment fort pour faire face à cette menace. Fort ou non, ses tentatives de réformer la religion babylonienne se révéleront extrêmement impopulaires, et ses efforts pour renforcer l'économie échoueront. Ces deux faits rendront Babylone désagréable aux yeux de Nabonide ; lors d'une absence prolongée de la capitale, il installera son fils Belschatsar comme corégent. (La position de Belschatsar explique pourquoi il est décrit comme le roi de Babylone dans le livre de Daniel dans l'Ancien Testament et pourquoi dans </w:t>
      </w:r>
      <w:hyperlink r:id="rId2360">
        <w:r>
          <w:rPr>
            <w:color w:val="0000EE"/>
            <w:u w:val="single"/>
          </w:rPr>
          <w:t>Daniel 5.7</w:t>
        </w:r>
      </w:hyperlink>
      <w:r>
        <w:t xml:space="preserve"> il ne pouvait donner à Daniel que « </w:t>
      </w:r>
      <w:r>
        <w:t>la troisième place dans le gouvernement du royaume</w:t>
      </w:r>
      <w:r>
        <w:t xml:space="preserve"> ».)</w:t>
      </w:r>
    </w:p>
    <w:p>
      <w:r/>
      <w:r>
        <w:t>C'est alors que Belschatsar s'occupait des affaires gouvernementales que se produira le célèbre incident de l'« écriture sur le mur », prédisant de manière inquiétante la chute de Babylone (</w:t>
      </w:r>
      <w:hyperlink r:id="rId2361">
        <w:r>
          <w:rPr>
            <w:color w:val="0000EE"/>
            <w:u w:val="single"/>
          </w:rPr>
          <w:t>Dn 5</w:t>
        </w:r>
      </w:hyperlink>
      <w:r>
        <w:t>). Les Élamites attaquaient déjà le flanc est de l'empire. Les rumeurs du pouvoir perse au nord ramèneront Nabonide à Babylone juste à temps pour une invasion par le roi perse, Cyrus le Grand. Cyrus prendra Babylone sans combat, mettant fin à la fois au pouvoir chaldéen et à l'Empire néo-babylonien.</w:t>
      </w:r>
    </w:p>
    <w:p>
      <w:r/>
      <w:r>
        <w:rPr>
          <w:i/>
        </w:rPr>
        <w:t>Voir aussi</w:t>
      </w:r>
      <w:r>
        <w:t xml:space="preserve"> </w:t>
      </w:r>
      <w:r>
        <w:t>Assyrie, Assyriens</w:t>
      </w:r>
      <w:r>
        <w:t xml:space="preserve"> ; </w:t>
      </w:r>
      <w:r>
        <w:t>Astrologie</w:t>
      </w:r>
      <w:r>
        <w:t xml:space="preserve"> ; </w:t>
      </w:r>
      <w:r>
        <w:t>Babylone, Babylonie</w:t>
      </w:r>
      <w:r>
        <w:t xml:space="preserve"> ; </w:t>
      </w:r>
      <w:r>
        <w:t>Daniel, Livre de</w:t>
      </w:r>
      <w:r>
        <w:t xml:space="preserve"> ; </w:t>
      </w:r>
      <w:r>
        <w:t>Diaspora des Juifs</w:t>
      </w:r>
      <w:r>
        <w:t xml:space="preserve"> ; </w:t>
      </w:r>
      <w:r>
        <w:t>Nebucadnetsar, Nabuchodonosor</w:t>
      </w:r>
      <w:r>
        <w:t xml:space="preserve"> ; </w:t>
      </w:r>
      <w:r>
        <w:t>Ur (Lieu)</w:t>
      </w:r>
      <w:r>
        <w:t>.</w:t>
      </w:r>
      <w:r/>
      <w:r/>
    </w:p>
    <w:p>
      <w:r/>
    </w:p>
    <w:p>
      <w:pPr>
        <w:pStyle w:val="Heading2"/>
      </w:pPr>
      <w:r>
        <w:t>Cham (Personne)</w:t>
      </w:r>
      <w:r/>
    </w:p>
    <w:p>
      <w:r/>
      <w:r>
        <w:t>Deuxième fils de Noé (</w:t>
      </w:r>
      <w:hyperlink r:id="rId2362">
        <w:r>
          <w:rPr>
            <w:color w:val="0000EE"/>
            <w:u w:val="single"/>
          </w:rPr>
          <w:t>Gn 5.32</w:t>
        </w:r>
      </w:hyperlink>
      <w:r>
        <w:t xml:space="preserve"> ; </w:t>
      </w:r>
      <w:hyperlink r:id="rId2363">
        <w:r>
          <w:rPr>
            <w:color w:val="0000EE"/>
            <w:u w:val="single"/>
          </w:rPr>
          <w:t>6.10</w:t>
        </w:r>
      </w:hyperlink>
      <w:r>
        <w:t xml:space="preserve"> ; </w:t>
      </w:r>
      <w:hyperlink r:id="rId2364">
        <w:r>
          <w:rPr>
            <w:color w:val="0000EE"/>
            <w:u w:val="single"/>
          </w:rPr>
          <w:t>7.13</w:t>
        </w:r>
      </w:hyperlink>
      <w:r>
        <w:t xml:space="preserve"> ; </w:t>
      </w:r>
      <w:hyperlink r:id="rId2365">
        <w:r>
          <w:rPr>
            <w:color w:val="0000EE"/>
            <w:u w:val="single"/>
          </w:rPr>
          <w:t>9.18, 22</w:t>
        </w:r>
      </w:hyperlink>
      <w:r>
        <w:t xml:space="preserve"> ; </w:t>
      </w:r>
      <w:hyperlink r:id="rId2366">
        <w:r>
          <w:rPr>
            <w:color w:val="0000EE"/>
            <w:u w:val="single"/>
          </w:rPr>
          <w:t>10.1, 6, 20</w:t>
        </w:r>
      </w:hyperlink>
      <w:r>
        <w:t>). Cham avait quatre fils dont les noms étaient Cusch, Mitsraïm (hébreu pour Égypte), Puth et Canaan (</w:t>
      </w:r>
      <w:hyperlink r:id="rId2367">
        <w:r>
          <w:rPr>
            <w:color w:val="0000EE"/>
            <w:u w:val="single"/>
          </w:rPr>
          <w:t>Gn 10.6</w:t>
        </w:r>
      </w:hyperlink>
      <w:r>
        <w:t xml:space="preserve"> ; </w:t>
      </w:r>
      <w:hyperlink r:id="rId2368">
        <w:r>
          <w:rPr>
            <w:color w:val="0000EE"/>
            <w:u w:val="single"/>
          </w:rPr>
          <w:t>1Ch 1.8</w:t>
        </w:r>
      </w:hyperlink>
      <w:r>
        <w:t>). Cham est donc considéré comme l'ancêtre des Égyptiens (bien qu'une race mixte soit apparemment apparue plus tard), ainsi que des peuples en Afrique, en Arabie et à Canaan.</w:t>
      </w:r>
    </w:p>
    <w:p>
      <w:r/>
      <w:r>
        <w:t>Après le Déluge, Noé commencera à cultiver des vignes, et à une occasion, il exposera sa nudité, sous le coup de l'ivresse (</w:t>
      </w:r>
      <w:hyperlink r:id="rId2369">
        <w:r>
          <w:rPr>
            <w:color w:val="0000EE"/>
            <w:u w:val="single"/>
          </w:rPr>
          <w:t>Gn 9.20–24</w:t>
        </w:r>
      </w:hyperlink>
      <w:r>
        <w:t xml:space="preserve">). Lorsque Cham voit son père allongé nu et qu'il raconte l'incident à Sem et Japhet, ceux-ci couvrent Noé discrètement. Lorsque Noé se réveille et apprend ce que « son plus jeune fils » (vu par certains comme Cham) avait fait, il maudit le fils de Cham, Canaan, disant que ses frères (Cusch, Mitsraïm et Puth) ainsi que Sem et Japhet régneraient sur lui. Mais si Cham est celui mentionné dans </w:t>
      </w:r>
      <w:hyperlink r:id="rId2370">
        <w:r>
          <w:rPr>
            <w:color w:val="0000EE"/>
            <w:u w:val="single"/>
          </w:rPr>
          <w:t>9.24</w:t>
        </w:r>
      </w:hyperlink>
      <w:r>
        <w:t xml:space="preserve"> comme ayant offensé Noé, pourquoi la malédiction devrait-elle tomber sur son fils Canaan ? La réponse la plus probable est que Cham n'est pas celui dont il est question au verset </w:t>
      </w:r>
      <w:hyperlink r:id="rId2370">
        <w:r>
          <w:rPr>
            <w:color w:val="0000EE"/>
            <w:u w:val="single"/>
          </w:rPr>
          <w:t>24</w:t>
        </w:r>
      </w:hyperlink>
      <w:r>
        <w:t>. L'expression est « son fils cadet », alors que Cham est à plusieurs reprises vu comme le deuxième des frères, non le plus jeune (</w:t>
      </w:r>
      <w:hyperlink r:id="rId2362">
        <w:r>
          <w:rPr>
            <w:color w:val="0000EE"/>
            <w:u w:val="single"/>
          </w:rPr>
          <w:t>5.32</w:t>
        </w:r>
      </w:hyperlink>
      <w:r>
        <w:t xml:space="preserve"> ; </w:t>
      </w:r>
      <w:hyperlink r:id="rId2363">
        <w:r>
          <w:rPr>
            <w:color w:val="0000EE"/>
            <w:u w:val="single"/>
          </w:rPr>
          <w:t>6.10</w:t>
        </w:r>
      </w:hyperlink>
      <w:r>
        <w:t xml:space="preserve"> ; </w:t>
      </w:r>
      <w:hyperlink r:id="rId2364">
        <w:r>
          <w:rPr>
            <w:color w:val="0000EE"/>
            <w:u w:val="single"/>
          </w:rPr>
          <w:t>7.13</w:t>
        </w:r>
      </w:hyperlink>
      <w:r>
        <w:t xml:space="preserve"> ; </w:t>
      </w:r>
      <w:hyperlink r:id="rId2371">
        <w:r>
          <w:rPr>
            <w:color w:val="0000EE"/>
            <w:u w:val="single"/>
          </w:rPr>
          <w:t>9.18</w:t>
        </w:r>
      </w:hyperlink>
      <w:r>
        <w:t xml:space="preserve"> ; </w:t>
      </w:r>
      <w:hyperlink r:id="rId2372">
        <w:r>
          <w:rPr>
            <w:color w:val="0000EE"/>
            <w:u w:val="single"/>
          </w:rPr>
          <w:t>10.1</w:t>
        </w:r>
      </w:hyperlink>
      <w:r>
        <w:t>), l'ordre explicite des fils indiquant l'âge. Au lieu de cela, « son plus jeune fils » se réfère à Canaan, et à quelque acte vil non enregistré, sur qui la malédiction tombe. L'emploi de « fils » pour désigner le « petit-fils » est un usage sémitique courant, et il semble avoir été utilisé ici de cette manière puisque Canaan est le « plus jeune » des (petits-)fils. La malédiction, donc, comme le texte le dit clairement, repose sur Canaan plutôt que Cham. Canaan (et sa postérité) doit être soumis à Japhet et Sem avec les Cananéens, et ceux-ci disparaitront à l'époque du Nouveau Testament.</w:t>
      </w:r>
    </w:p>
    <w:p>
      <w:r/>
      <w:r>
        <w:rPr>
          <w:i/>
        </w:rPr>
        <w:t>Voir aussi</w:t>
      </w:r>
      <w:r>
        <w:t xml:space="preserve"> </w:t>
      </w:r>
      <w:r>
        <w:t>Nations</w:t>
      </w:r>
      <w:r>
        <w:t xml:space="preserve"> ; </w:t>
      </w:r>
      <w:r>
        <w:t>Noé n° 1</w:t>
      </w:r>
      <w:r>
        <w:t>.</w:t>
      </w:r>
      <w:r/>
      <w:r/>
    </w:p>
    <w:p>
      <w:r/>
    </w:p>
    <w:p>
      <w:pPr>
        <w:pStyle w:val="Heading2"/>
      </w:pPr>
      <w:r>
        <w:t>Chambellan</w:t>
      </w:r>
      <w:r/>
    </w:p>
    <w:p>
      <w:r/>
      <w:r>
        <w:t>Fonctionnaire royal responsable des appartements privés du roi. Ils avaient parfois des tâches importantes et exerçaient une influence sur ceux au pouvoir (</w:t>
      </w:r>
      <w:hyperlink r:id="rId2017">
        <w:r>
          <w:rPr>
            <w:color w:val="0000EE"/>
            <w:u w:val="single"/>
          </w:rPr>
          <w:t>Ac 12.20</w:t>
        </w:r>
      </w:hyperlink>
      <w:r>
        <w:t>). Le chambellan Éraste était en réalité le trésorier de la ville (</w:t>
      </w:r>
      <w:hyperlink r:id="rId2373">
        <w:r>
          <w:rPr>
            <w:color w:val="0000EE"/>
            <w:u w:val="single"/>
          </w:rPr>
          <w:t>Rm 16.23</w:t>
        </w:r>
      </w:hyperlink>
      <w:r>
        <w:t>). Nethan-Mélec, le chambellan, était un fonctionnaire de la cour à l'époque de Josias (</w:t>
      </w:r>
      <w:hyperlink r:id="rId2374">
        <w:r>
          <w:rPr>
            <w:color w:val="0000EE"/>
            <w:u w:val="single"/>
          </w:rPr>
          <w:t>2R 23.11</w:t>
        </w:r>
      </w:hyperlink>
      <w:r>
        <w:t>). Les rois perses utilisaient des eunuques (des hommes physiquement incapables d'avoir des enfants) comme chambellans (</w:t>
      </w:r>
      <w:hyperlink r:id="rId2375">
        <w:r>
          <w:rPr>
            <w:color w:val="0000EE"/>
            <w:u w:val="single"/>
          </w:rPr>
          <w:t xml:space="preserve">Est 1.10, 12, 15 </w:t>
        </w:r>
      </w:hyperlink>
      <w:r>
        <w:t xml:space="preserve">; </w:t>
      </w:r>
      <w:hyperlink r:id="rId2376">
        <w:r>
          <w:rPr>
            <w:color w:val="0000EE"/>
            <w:u w:val="single"/>
          </w:rPr>
          <w:t xml:space="preserve">2.3, 14–15 </w:t>
        </w:r>
      </w:hyperlink>
      <w:r>
        <w:t xml:space="preserve">; </w:t>
      </w:r>
      <w:hyperlink r:id="rId2377">
        <w:r>
          <w:rPr>
            <w:color w:val="0000EE"/>
            <w:u w:val="single"/>
          </w:rPr>
          <w:t xml:space="preserve">4.4–5 </w:t>
        </w:r>
      </w:hyperlink>
      <w:r>
        <w:t xml:space="preserve">; </w:t>
      </w:r>
      <w:hyperlink r:id="rId2378">
        <w:r>
          <w:rPr>
            <w:color w:val="0000EE"/>
            <w:u w:val="single"/>
          </w:rPr>
          <w:t xml:space="preserve">6.2, 14 </w:t>
        </w:r>
      </w:hyperlink>
      <w:r>
        <w:t xml:space="preserve">; </w:t>
      </w:r>
      <w:hyperlink r:id="rId2379">
        <w:r>
          <w:rPr>
            <w:color w:val="0000EE"/>
            <w:u w:val="single"/>
          </w:rPr>
          <w:t>7.9</w:t>
        </w:r>
      </w:hyperlink>
      <w:r>
        <w:t>).</w:t>
      </w:r>
      <w:r/>
      <w:r/>
    </w:p>
    <w:p>
      <w:r/>
    </w:p>
    <w:p>
      <w:pPr>
        <w:pStyle w:val="Heading2"/>
      </w:pPr>
      <w:r>
        <w:t>Champ de Mars</w:t>
      </w:r>
      <w:r/>
    </w:p>
    <w:p>
      <w:r/>
      <w:r>
        <w:t>Nom alternatif pour désigner l'Aréopage. C'était le nom d'une petite colline située au nord-ouest de l'Acropole à Athènes, en Grèce. C'était aussi le nom du conseil qui s'y réunissait. Le champ de Mars était le site où Paul a prononcé son célèbre discours aux philosophes athéniens (</w:t>
      </w:r>
      <w:hyperlink r:id="rId1447">
        <w:r>
          <w:rPr>
            <w:color w:val="0000EE"/>
            <w:u w:val="single"/>
          </w:rPr>
          <w:t>Ac 17.16–34</w:t>
        </w:r>
      </w:hyperlink>
      <w:r>
        <w:t>).</w:t>
      </w:r>
    </w:p>
    <w:p>
      <w:r/>
      <w:r>
        <w:rPr>
          <w:i/>
        </w:rPr>
        <w:t>Voir</w:t>
      </w:r>
      <w:r>
        <w:t xml:space="preserve"> </w:t>
      </w:r>
      <w:r>
        <w:t>Aréopage</w:t>
      </w:r>
      <w:r>
        <w:t>.</w:t>
      </w:r>
      <w:r/>
      <w:r/>
    </w:p>
    <w:p>
      <w:r/>
    </w:p>
    <w:p>
      <w:pPr>
        <w:pStyle w:val="Heading2"/>
      </w:pPr>
      <w:r>
        <w:t>Chanaan</w:t>
      </w:r>
      <w:r/>
    </w:p>
    <w:p>
      <w:r/>
      <w:r>
        <w:t>Orthographe alternative de Canaan dans certaines versions d'</w:t>
      </w:r>
      <w:hyperlink r:id="rId2380">
        <w:r>
          <w:rPr>
            <w:color w:val="0000EE"/>
            <w:u w:val="single"/>
          </w:rPr>
          <w:t>Actes 7.11</w:t>
        </w:r>
      </w:hyperlink>
      <w:r>
        <w:t xml:space="preserve"> et </w:t>
      </w:r>
      <w:hyperlink r:id="rId2381">
        <w:r>
          <w:rPr>
            <w:color w:val="0000EE"/>
            <w:u w:val="single"/>
          </w:rPr>
          <w:t>13.19</w:t>
        </w:r>
      </w:hyperlink>
      <w:r>
        <w:t>.</w:t>
      </w:r>
    </w:p>
    <w:p>
      <w:r/>
      <w:r>
        <w:rPr>
          <w:i/>
        </w:rPr>
        <w:t>Voir</w:t>
      </w:r>
      <w:r>
        <w:t xml:space="preserve"> </w:t>
      </w:r>
      <w:r>
        <w:t>Canaan, Cananéen</w:t>
      </w:r>
      <w:r>
        <w:t>.</w:t>
      </w:r>
      <w:r/>
      <w:r/>
    </w:p>
    <w:p>
      <w:r/>
    </w:p>
    <w:p>
      <w:pPr>
        <w:pStyle w:val="Heading2"/>
      </w:pPr>
      <w:r>
        <w:t>changeur, créancier, banquier, prêteur</w:t>
      </w:r>
      <w:r/>
    </w:p>
    <w:p>
      <w:r/>
      <w:r>
        <w:t>La Bible décrit des personnes qui gagnaient de l'argent ou leur vie en prêtant de l'argent avec intérêt, en gardant les biens des autres ou en échangeant les monnaies de pays différents. C'étaient des changeurs de monnaie ou des créanciers.</w:t>
      </w:r>
    </w:p>
    <w:p>
      <w:r/>
      <w:r>
        <w:t>Avec la croissance des échanges commerciaux entre différentes nations, il est devenu important d'inventer un système pour faciliter les paiements. Les pièces de monnaies ont commencé à être utilisées au 7</w:t>
      </w:r>
      <w:r>
        <w:t>ᵉ</w:t>
      </w:r>
      <w:r>
        <w:t xml:space="preserve"> siècle av. J.‑C. C'est ainsi qu'apparaissent aussi les premiers changeurs de monnaie. En effet, dans un premier temps, les transactions entre nations se faisaient par échange de produits, et les souverains contrôlaient une grande partie de ces échanges commerciaux (</w:t>
      </w:r>
      <w:hyperlink r:id="rId2382">
        <w:r>
          <w:rPr>
            <w:color w:val="0000EE"/>
            <w:u w:val="single"/>
          </w:rPr>
          <w:t>2S 5.11</w:t>
        </w:r>
      </w:hyperlink>
      <w:r>
        <w:t xml:space="preserve">; </w:t>
      </w:r>
      <w:hyperlink r:id="rId2383">
        <w:r>
          <w:rPr>
            <w:color w:val="0000EE"/>
            <w:u w:val="single"/>
          </w:rPr>
          <w:t>1R 10.14</w:t>
        </w:r>
      </w:hyperlink>
      <w:r>
        <w:t>–</w:t>
      </w:r>
      <w:hyperlink r:id="rId2383">
        <w:r>
          <w:rPr>
            <w:color w:val="0000EE"/>
            <w:u w:val="single"/>
          </w:rPr>
          <w:t>29</w:t>
        </w:r>
      </w:hyperlink>
      <w:r>
        <w:t xml:space="preserve">). Avec le temps, cela a changé, avec un nouveau système commercial basé sur l'argent. </w:t>
      </w:r>
    </w:p>
    <w:p>
      <w:r/>
      <w:r>
        <w:t>À l'époque du Nouveau Testament, changeur de monnaie était un métier bien établi et important pour la société. Différentes monnaies circulaient dans l'Empire romain (monnaie romaine, grecque, tyrienne, etc.) et en Israël. Les Juifs ne voulaient pas utiliser les pièces de monnaie étrangères qui portaient une effigie idolâtre pour payer la taxe du Temple. Les changeurs de monnaie leur permettaient d'échanger ces pièces pour le demi-sicle du Temple (</w:t>
      </w:r>
      <w:hyperlink r:id="rId2384">
        <w:r>
          <w:rPr>
            <w:color w:val="0000EE"/>
            <w:u w:val="single"/>
          </w:rPr>
          <w:t>Mt 17.24</w:t>
        </w:r>
      </w:hyperlink>
      <w:r>
        <w:t xml:space="preserve"> ; </w:t>
      </w:r>
      <w:hyperlink r:id="rId2385">
        <w:r>
          <w:rPr>
            <w:color w:val="0000EE"/>
            <w:u w:val="single"/>
          </w:rPr>
          <w:t>21.12</w:t>
        </w:r>
      </w:hyperlink>
      <w:r>
        <w:t xml:space="preserve"> ;</w:t>
      </w:r>
      <w:hyperlink r:id="rId2386">
        <w:r>
          <w:rPr>
            <w:color w:val="0000EE"/>
            <w:u w:val="single"/>
          </w:rPr>
          <w:t xml:space="preserve"> 25.27</w:t>
        </w:r>
      </w:hyperlink>
      <w:r>
        <w:t xml:space="preserve"> ; </w:t>
      </w:r>
      <w:hyperlink r:id="rId2387">
        <w:r>
          <w:rPr>
            <w:color w:val="0000EE"/>
            <w:u w:val="single"/>
          </w:rPr>
          <w:t>Mc 11.15</w:t>
        </w:r>
      </w:hyperlink>
      <w:r>
        <w:t xml:space="preserve"> ; </w:t>
      </w:r>
      <w:hyperlink r:id="rId2388">
        <w:r>
          <w:rPr>
            <w:color w:val="0000EE"/>
            <w:u w:val="single"/>
          </w:rPr>
          <w:t>Lc 19.23</w:t>
        </w:r>
      </w:hyperlink>
      <w:r>
        <w:t xml:space="preserve"> ; </w:t>
      </w:r>
      <w:hyperlink r:id="rId2389">
        <w:r>
          <w:rPr>
            <w:color w:val="0000EE"/>
            <w:u w:val="single"/>
          </w:rPr>
          <w:t>Jn 2.14</w:t>
        </w:r>
      </w:hyperlink>
      <w:r>
        <w:t>–</w:t>
      </w:r>
      <w:hyperlink r:id="rId2389">
        <w:r>
          <w:rPr>
            <w:color w:val="0000EE"/>
            <w:u w:val="single"/>
          </w:rPr>
          <w:t>15</w:t>
        </w:r>
      </w:hyperlink>
      <w:r>
        <w:t>).</w:t>
      </w:r>
    </w:p>
    <w:p>
      <w:r/>
      <w:r>
        <w:t xml:space="preserve">Les prêteurs permettaient d'emprunter de l'argent et les créanciers, d'acheter à crédit. Ceux qui utilisaient leurs services devaient proposer quelque chose de valeur comme garantie qu'ils allaient rembourser ce qu'ils devaient. </w:t>
      </w:r>
    </w:p>
    <w:p>
      <w:r/>
      <w:r>
        <w:t>La loi de Moïse interdisait de prêter en demandant des intérêts (</w:t>
      </w:r>
      <w:hyperlink r:id="rId2390">
        <w:r>
          <w:rPr>
            <w:color w:val="0000EE"/>
            <w:u w:val="single"/>
          </w:rPr>
          <w:t>Ex 22.25</w:t>
        </w:r>
      </w:hyperlink>
      <w:r>
        <w:t xml:space="preserve"> ; </w:t>
      </w:r>
      <w:hyperlink r:id="rId2391">
        <w:r>
          <w:rPr>
            <w:color w:val="0000EE"/>
            <w:u w:val="single"/>
          </w:rPr>
          <w:t>Dt 15.1–18</w:t>
        </w:r>
      </w:hyperlink>
      <w:r>
        <w:t>). Cependant, cette loi n'était pas observée par tous et certains imposaient des taux d'intérêt très élevés. Les prophètes et d'autres serviteurs de Dieu ont dénoncé cette pratique abusive (</w:t>
      </w:r>
      <w:hyperlink r:id="rId2392">
        <w:r>
          <w:rPr>
            <w:color w:val="0000EE"/>
            <w:u w:val="single"/>
          </w:rPr>
          <w:t>Né 5.6</w:t>
        </w:r>
      </w:hyperlink>
      <w:r>
        <w:t>–</w:t>
      </w:r>
      <w:hyperlink r:id="rId2392">
        <w:r>
          <w:rPr>
            <w:color w:val="0000EE"/>
            <w:u w:val="single"/>
          </w:rPr>
          <w:t>13</w:t>
        </w:r>
      </w:hyperlink>
      <w:r>
        <w:t xml:space="preserve"> ; </w:t>
      </w:r>
      <w:hyperlink r:id="rId2393">
        <w:r>
          <w:rPr>
            <w:color w:val="0000EE"/>
            <w:u w:val="single"/>
          </w:rPr>
          <w:t>Ez 18.8, 13, 17</w:t>
        </w:r>
      </w:hyperlink>
      <w:r>
        <w:t xml:space="preserve"> ; </w:t>
      </w:r>
      <w:hyperlink r:id="rId2394">
        <w:r>
          <w:rPr>
            <w:color w:val="0000EE"/>
            <w:u w:val="single"/>
          </w:rPr>
          <w:t>22.12</w:t>
        </w:r>
      </w:hyperlink>
      <w:r>
        <w:t>).</w:t>
      </w:r>
    </w:p>
    <w:p>
      <w:r/>
      <w:r>
        <w:t>Le créancier était redouté (</w:t>
      </w:r>
      <w:hyperlink r:id="rId2240">
        <w:r>
          <w:rPr>
            <w:color w:val="0000EE"/>
            <w:u w:val="single"/>
          </w:rPr>
          <w:t xml:space="preserve">2R 4.1 </w:t>
        </w:r>
      </w:hyperlink>
      <w:r>
        <w:t xml:space="preserve">; </w:t>
      </w:r>
      <w:hyperlink r:id="rId2395">
        <w:r>
          <w:rPr>
            <w:color w:val="0000EE"/>
            <w:u w:val="single"/>
          </w:rPr>
          <w:t xml:space="preserve">Ps 109.11 </w:t>
        </w:r>
      </w:hyperlink>
      <w:r>
        <w:t xml:space="preserve">; </w:t>
      </w:r>
      <w:hyperlink r:id="rId2396">
        <w:r>
          <w:rPr>
            <w:color w:val="0000EE"/>
            <w:u w:val="single"/>
          </w:rPr>
          <w:t xml:space="preserve">Es 24.2 </w:t>
        </w:r>
      </w:hyperlink>
      <w:r>
        <w:t xml:space="preserve">; </w:t>
      </w:r>
      <w:hyperlink r:id="rId2397">
        <w:r>
          <w:rPr>
            <w:color w:val="0000EE"/>
            <w:u w:val="single"/>
          </w:rPr>
          <w:t>50.1</w:t>
        </w:r>
      </w:hyperlink>
      <w:r>
        <w:t>). En effet, il pouvait entrer dans les maisons pour prendre de force ce qui lui était dû. Les enfants de ceux qui ne pouvaient pas rembourser pouvaient être vendus comme esclaves pour payer la dette (</w:t>
      </w:r>
      <w:hyperlink r:id="rId2240">
        <w:r>
          <w:rPr>
            <w:color w:val="0000EE"/>
            <w:u w:val="single"/>
          </w:rPr>
          <w:t xml:space="preserve">2R 4.1 </w:t>
        </w:r>
      </w:hyperlink>
      <w:r>
        <w:t xml:space="preserve">; </w:t>
      </w:r>
      <w:hyperlink r:id="rId2397">
        <w:r>
          <w:rPr>
            <w:color w:val="0000EE"/>
            <w:u w:val="single"/>
          </w:rPr>
          <w:t>Es 50.1</w:t>
        </w:r>
      </w:hyperlink>
      <w:r>
        <w:t xml:space="preserve">). </w:t>
      </w:r>
    </w:p>
    <w:p>
      <w:r/>
      <w:r>
        <w:t>Les pratiques commerciales et financières de l'époque font partie de plusieurs des paraboles que Jésus utilise pour enseigner (</w:t>
      </w:r>
      <w:hyperlink r:id="rId2398">
        <w:r>
          <w:rPr>
            <w:color w:val="0000EE"/>
            <w:u w:val="single"/>
          </w:rPr>
          <w:t>Lc 7.41</w:t>
        </w:r>
      </w:hyperlink>
      <w:r>
        <w:t>–</w:t>
      </w:r>
      <w:hyperlink r:id="rId2398">
        <w:r>
          <w:rPr>
            <w:color w:val="0000EE"/>
            <w:u w:val="single"/>
          </w:rPr>
          <w:t>42</w:t>
        </w:r>
      </w:hyperlink>
      <w:r>
        <w:t>).</w:t>
      </w:r>
    </w:p>
    <w:p>
      <w:r/>
      <w:r>
        <w:rPr>
          <w:i/>
        </w:rPr>
        <w:t>Voir aussi</w:t>
      </w:r>
      <w:r>
        <w:t xml:space="preserve"> </w:t>
      </w:r>
      <w:r>
        <w:t>argent</w:t>
      </w:r>
      <w:r>
        <w:t xml:space="preserve"> ; </w:t>
      </w:r>
      <w:r>
        <w:t>changeur d'argent</w:t>
      </w:r>
      <w:r>
        <w:t>.</w:t>
      </w:r>
      <w:r/>
      <w:r/>
    </w:p>
    <w:p>
      <w:r/>
    </w:p>
    <w:p>
      <w:pPr>
        <w:pStyle w:val="Heading2"/>
      </w:pPr>
      <w:r>
        <w:t>Chaos, Eaux de</w:t>
      </w:r>
      <w:r/>
    </w:p>
    <w:p>
      <w:r/>
      <w:r>
        <w:t>Dans la pensée ancienne, les mers primordiales étaient divisées. Le monde était alors situé entre les « eaux d'en haut » et les « eaux d'en bas », ou « l'Abîme » (</w:t>
      </w:r>
      <w:hyperlink r:id="rId2399">
        <w:r>
          <w:rPr>
            <w:color w:val="0000EE"/>
            <w:u w:val="single"/>
          </w:rPr>
          <w:t>Gn 1.1–2, 6–7</w:t>
        </w:r>
      </w:hyperlink>
      <w:r>
        <w:t>).</w:t>
      </w:r>
      <w:r/>
      <w:r/>
    </w:p>
    <w:p>
      <w:r/>
    </w:p>
    <w:p>
      <w:pPr>
        <w:pStyle w:val="Heading2"/>
      </w:pPr>
      <w:r>
        <w:t>Charan (Lieu)</w:t>
      </w:r>
      <w:r/>
    </w:p>
    <w:p>
      <w:r/>
      <w:r>
        <w:t xml:space="preserve">Ville du nord de la Mésopotamie, mentionnée pour la première fois dans </w:t>
      </w:r>
      <w:hyperlink r:id="rId84">
        <w:r>
          <w:rPr>
            <w:color w:val="0000EE"/>
            <w:u w:val="single"/>
          </w:rPr>
          <w:t>Genèse 11.31</w:t>
        </w:r>
      </w:hyperlink>
      <w:r>
        <w:t xml:space="preserve"> comme destination de Térach, le père d'Abraham, lors de sa migration d'Ur en Chaldée, et son domicile jusqu'à sa mort. À l'âge de 75 ans, Abraham recevra l'ordre de Dieu de se déplacer vers une terre que Dieu avait pour lui (</w:t>
      </w:r>
      <w:hyperlink r:id="rId1745">
        <w:r>
          <w:rPr>
            <w:color w:val="0000EE"/>
            <w:u w:val="single"/>
          </w:rPr>
          <w:t>Gn 12.1–4</w:t>
        </w:r>
      </w:hyperlink>
      <w:r>
        <w:t>). Il y avait des parents qui resteront à Charan, vers lesquels Jacob, le petit-fils d'Abraham, s'enfuit par crainte d'Ésaü (</w:t>
      </w:r>
      <w:hyperlink r:id="rId2400">
        <w:r>
          <w:rPr>
            <w:color w:val="0000EE"/>
            <w:u w:val="single"/>
          </w:rPr>
          <w:t>Gn 27.42–43</w:t>
        </w:r>
      </w:hyperlink>
      <w:r>
        <w:t>). Jacob restera à Charan de nombreuses années en servant son oncle Laban et en acquérant Léa et Rachel comme épouses, ainsi que de nombreux moutons et chèvres, serviteurs, chameaux et ânes (</w:t>
      </w:r>
      <w:hyperlink r:id="rId2401">
        <w:r>
          <w:rPr>
            <w:color w:val="0000EE"/>
            <w:u w:val="single"/>
          </w:rPr>
          <w:t>Gn 30.43</w:t>
        </w:r>
      </w:hyperlink>
      <w:r>
        <w:t>).</w:t>
      </w:r>
    </w:p>
    <w:p>
      <w:r/>
      <w:r>
        <w:t>Cette « ville de Nachor » (</w:t>
      </w:r>
      <w:hyperlink r:id="rId2402">
        <w:r>
          <w:rPr>
            <w:color w:val="0000EE"/>
            <w:u w:val="single"/>
          </w:rPr>
          <w:t>Gn 11.27–29</w:t>
        </w:r>
      </w:hyperlink>
      <w:r>
        <w:t xml:space="preserve"> ; </w:t>
      </w:r>
      <w:hyperlink r:id="rId2403">
        <w:r>
          <w:rPr>
            <w:color w:val="0000EE"/>
            <w:u w:val="single"/>
          </w:rPr>
          <w:t>24.10</w:t>
        </w:r>
      </w:hyperlink>
      <w:r>
        <w:t xml:space="preserve"> ; </w:t>
      </w:r>
      <w:hyperlink r:id="rId2404">
        <w:r>
          <w:rPr>
            <w:color w:val="0000EE"/>
            <w:u w:val="single"/>
          </w:rPr>
          <w:t>27.43</w:t>
        </w:r>
      </w:hyperlink>
      <w:r>
        <w:t>) a été établie au troisième millénaire av. J.‑C., et sa position sur une branche de l'Euphrate en a rapidement fait un centre commercial important. Il est possible que l'ancienne route commerciale reliant Damas, Ninive et Carkemisch passait par Charan. Ézéchiel mentionne le commerce entre Charan et Tyr (</w:t>
      </w:r>
      <w:hyperlink r:id="rId2150">
        <w:r>
          <w:rPr>
            <w:color w:val="0000EE"/>
            <w:u w:val="single"/>
          </w:rPr>
          <w:t>Ez 27.23</w:t>
        </w:r>
      </w:hyperlink>
      <w:r>
        <w:t xml:space="preserve">). Charan était une ville araméenne et était célèbre pour son culte du dieu lunaire Sin et de Nikkal. Ce système était une émanation du culte trouvé à Ur en Sumer. Sin et sa consort Nikkal étaient vénérés non seulement ici mais dans tout Canaan et même en Égypte. Le culte a persisté au-delà des temps du Nouveau Testament, son temple étant finalement détruit par les Mongols au 13e siècle apr. J.‑C. Il n'est guère surprenant que Dieu ait commandé à Abraham de quitter ce siège d'idolâtrie. La ville moderne d'Harran moderne préserve l'ancienne orthographe cunéiforme du nom (voir « Charran », </w:t>
      </w:r>
      <w:hyperlink r:id="rId2405">
        <w:r>
          <w:rPr>
            <w:color w:val="0000EE"/>
            <w:u w:val="single"/>
          </w:rPr>
          <w:t>Ac 7.2, 4</w:t>
        </w:r>
      </w:hyperlink>
      <w:r>
        <w:t>).</w:t>
      </w:r>
      <w:r/>
      <w:r/>
    </w:p>
    <w:p>
      <w:r/>
    </w:p>
    <w:p>
      <w:pPr>
        <w:pStyle w:val="Heading2"/>
      </w:pPr>
      <w:r>
        <w:t>Charpentier, menuisier</w:t>
      </w:r>
      <w:r/>
    </w:p>
    <w:p>
      <w:r/>
      <w:r>
        <w:t>Artisan ou ouvrier qui fabriquait des objets en bois, des meubles, de la charpente et des toits de maisons, des fenêtres et des portes. Souvent, de petites constructions comme les maisons étaient construites par les propriétaires mêmes. La construction de temples et de palais devait employer des ouvriers qualifiés. Pour de tels projets, menuisiers et charpentiers travaillaient aux côtés de tailleurs de pierre, des ouvriers spécialisés qui savaient tailler et préparer la pierre pour les constructions (</w:t>
      </w:r>
      <w:hyperlink r:id="rId2406">
        <w:r>
          <w:rPr>
            <w:color w:val="0000EE"/>
            <w:u w:val="single"/>
          </w:rPr>
          <w:t>2R 12.11</w:t>
        </w:r>
      </w:hyperlink>
      <w:r>
        <w:t xml:space="preserve"> ; </w:t>
      </w:r>
      <w:hyperlink r:id="rId2407">
        <w:r>
          <w:rPr>
            <w:color w:val="0000EE"/>
            <w:u w:val="single"/>
          </w:rPr>
          <w:t>22.6</w:t>
        </w:r>
      </w:hyperlink>
      <w:r>
        <w:t xml:space="preserve"> ; </w:t>
      </w:r>
      <w:hyperlink r:id="rId2408">
        <w:r>
          <w:rPr>
            <w:color w:val="0000EE"/>
            <w:u w:val="single"/>
          </w:rPr>
          <w:t>1Ch 14.1</w:t>
        </w:r>
      </w:hyperlink>
      <w:r>
        <w:t xml:space="preserve"> ; </w:t>
      </w:r>
      <w:hyperlink r:id="rId2409">
        <w:r>
          <w:rPr>
            <w:color w:val="0000EE"/>
            <w:u w:val="single"/>
          </w:rPr>
          <w:t>22.15</w:t>
        </w:r>
      </w:hyperlink>
      <w:r>
        <w:t xml:space="preserve"> ; </w:t>
      </w:r>
      <w:hyperlink r:id="rId2410">
        <w:r>
          <w:rPr>
            <w:color w:val="0000EE"/>
            <w:u w:val="single"/>
          </w:rPr>
          <w:t>2Ch 24.12</w:t>
        </w:r>
      </w:hyperlink>
      <w:r>
        <w:t xml:space="preserve"> ; </w:t>
      </w:r>
      <w:hyperlink r:id="rId1319">
        <w:r>
          <w:rPr>
            <w:color w:val="0000EE"/>
            <w:u w:val="single"/>
          </w:rPr>
          <w:t>34.11</w:t>
        </w:r>
      </w:hyperlink>
      <w:r>
        <w:t xml:space="preserve"> ; </w:t>
      </w:r>
      <w:hyperlink r:id="rId2411">
        <w:r>
          <w:rPr>
            <w:color w:val="0000EE"/>
            <w:u w:val="single"/>
          </w:rPr>
          <w:t>Esd 3.7</w:t>
        </w:r>
      </w:hyperlink>
      <w:r>
        <w:t>). La charpenterie est rarement mentionnée dans le Nouveau Testament. Jésus et son père, Joseph, étaient probablement charpentiers ou menuisiers (</w:t>
      </w:r>
      <w:hyperlink r:id="rId2412">
        <w:r>
          <w:rPr>
            <w:color w:val="0000EE"/>
            <w:u w:val="single"/>
          </w:rPr>
          <w:t>Mt 13.55</w:t>
        </w:r>
      </w:hyperlink>
      <w:r>
        <w:t xml:space="preserve"> ; </w:t>
      </w:r>
      <w:hyperlink r:id="rId2413">
        <w:r>
          <w:rPr>
            <w:color w:val="0000EE"/>
            <w:u w:val="single"/>
          </w:rPr>
          <w:t>Mc 6.3</w:t>
        </w:r>
      </w:hyperlink>
      <w:r>
        <w:t>).</w:t>
      </w:r>
      <w:r/>
      <w:r/>
    </w:p>
    <w:p>
      <w:r/>
    </w:p>
    <w:p>
      <w:pPr>
        <w:pStyle w:val="Heading2"/>
      </w:pPr>
      <w:r>
        <w:t>Charran</w:t>
      </w:r>
      <w:r/>
    </w:p>
    <w:p>
      <w:r/>
      <w:r>
        <w:t>Orthographe dans certaines versions de la Bible pour Charan, une ville en Mésopotamie (</w:t>
      </w:r>
      <w:hyperlink r:id="rId85">
        <w:r>
          <w:rPr>
            <w:color w:val="0000EE"/>
            <w:u w:val="single"/>
          </w:rPr>
          <w:t>Ac 7.2–4</w:t>
        </w:r>
      </w:hyperlink>
      <w:r>
        <w:t>).</w:t>
      </w:r>
    </w:p>
    <w:p>
      <w:r/>
      <w:r>
        <w:rPr>
          <w:i/>
        </w:rPr>
        <w:t>Voir</w:t>
      </w:r>
      <w:r>
        <w:t xml:space="preserve"> </w:t>
      </w:r>
      <w:r>
        <w:t>Charan (lieu)</w:t>
      </w:r>
      <w:r>
        <w:t>.</w:t>
      </w:r>
      <w:r/>
      <w:r/>
    </w:p>
    <w:p>
      <w:r/>
    </w:p>
    <w:p>
      <w:pPr>
        <w:pStyle w:val="Heading2"/>
      </w:pPr>
      <w:r>
        <w:t>Chasse</w:t>
      </w:r>
      <w:r/>
    </w:p>
    <w:p>
      <w:r/>
      <w:r>
        <w:t>La chasse est la pratique consistant à traquer et à poursuivre des animaux pour la nourriture, les produits animaux ou le sport. Les gens chassent depuis le début de l'humanité. À l'époque biblique, la chasse était courante dans de nombreux endroits.</w:t>
      </w:r>
    </w:p>
    <w:p>
      <w:r/>
      <w:hyperlink r:id="rId2414">
        <w:r>
          <w:rPr>
            <w:color w:val="0000EE"/>
            <w:u w:val="single"/>
          </w:rPr>
          <w:t>Genèse 10.9</w:t>
        </w:r>
      </w:hyperlink>
      <w:r>
        <w:t xml:space="preserve"> fait référence à un homme nommé Nimrod qui était un «</w:t>
      </w:r>
      <w:r>
        <w:t>vaillant chasseur devant l’Éternel</w:t>
      </w:r>
      <w:r>
        <w:t>». C'était bien avant l'époque d'Abraham, d'Isaac et de Jacob. Dans les premières histoires humaines, les gens chassaient pour survivre. Ils utilisaient la viande des animaux pour se nourrir, les peaux pour se vêtir et fabriquaient des outils à partir des os et des cornes. Plus tard, les gens ont commencé à cultiver des plantes et à élever des animaux, mais ils chassaient encore des animaux sauvages pour compléter leur alimentation.</w:t>
      </w:r>
    </w:p>
    <w:p>
      <w:pPr>
        <w:pStyle w:val="Heading3"/>
      </w:pPr>
      <w:r>
        <w:t>Chasse dans les terres avoisinantes</w:t>
      </w:r>
    </w:p>
    <w:p>
      <w:r/>
      <w:r>
        <w:t>Les habitants des terres entourant Israël chassaient également fréquemment. Les peintures et les gravures sur pierre le démontrent clairement.</w:t>
      </w:r>
    </w:p>
    <w:p>
      <w:r/>
      <w:r>
        <w:t>Dans l'Égypte antique, la chasse est devenue un sport. Les Égyptiens chassaient des oiseaux et des animaux sauvages. Ils utilisaient souvent des chiens et des chats pour les aider. Les chasseurs dirigeaient les animaux vers des pièges ou des zones fermées.</w:t>
      </w:r>
    </w:p>
    <w:p>
      <w:r/>
      <w:r>
        <w:t>En Mésopotamie, les gens chassaient également de nombreux animaux. Des sculptures en pierre montrent des cerfs et d'autres animaux capturés dans des filets.</w:t>
      </w:r>
    </w:p>
    <w:p>
      <w:r/>
      <w:r>
        <w:t>En Assyrie, la chasse aux animaux sauvages, comme les lions, était courante. Des sculptures de Ninive montrent l'habileté des chasseurs assyriens.</w:t>
      </w:r>
    </w:p>
    <w:p>
      <w:pPr>
        <w:pStyle w:val="Heading3"/>
      </w:pPr>
      <w:r>
        <w:t>Chasse en Palestine</w:t>
      </w:r>
    </w:p>
    <w:p>
      <w:r/>
      <w:r>
        <w:t>Les gens chassaient en Palestine depuis des temps très anciens. Des ossements d'animaux chassés ont été découverts dans d'anciennes villes et villages. À l'âge du bronze moyen (vers 1 800–1 500 av. J.‑C.), la chasse était courante. Cela se déroulait à l'époque des patriarches.</w:t>
      </w:r>
    </w:p>
    <w:p>
      <w:r/>
      <w:r>
        <w:t>La Bible dit qu'Ésaü était un chasseur habile (</w:t>
      </w:r>
      <w:hyperlink r:id="rId2415">
        <w:r>
          <w:rPr>
            <w:color w:val="0000EE"/>
            <w:u w:val="single"/>
          </w:rPr>
          <w:t>Gn 25.27</w:t>
        </w:r>
      </w:hyperlink>
      <w:r>
        <w:t>). Cela correspond à une époque où les gens cultivaient et chassaient. Une vieille histoire égyptienne appelée « Conte de Sinouhé », datant du 20e siècle av J.‑C., parle également de la chasse avec des chiens.</w:t>
      </w:r>
    </w:p>
    <w:p>
      <w:pPr>
        <w:pStyle w:val="Heading3"/>
      </w:pPr>
      <w:r>
        <w:t>Animaux chassés</w:t>
      </w:r>
    </w:p>
    <w:p>
      <w:r/>
      <w:r>
        <w:t xml:space="preserve">La Bible nous indique quels types d'oiseaux et d'animaux les gens chassaient. </w:t>
      </w:r>
      <w:hyperlink r:id="rId2416">
        <w:r>
          <w:rPr>
            <w:color w:val="0000EE"/>
            <w:u w:val="single"/>
          </w:rPr>
          <w:t xml:space="preserve">Deutéronome 14.4–6 </w:t>
        </w:r>
      </w:hyperlink>
      <w:r>
        <w:t>fournit une liste d'animaux qui étaient « propres » et pouvaient être consommés. Beaucoup étaient des animaux de ferme, mais les gens chassaient aussi des animaux sauvages. Ceux-ci incluaient :</w:t>
      </w:r>
    </w:p>
    <w:p>
      <w:pPr>
        <w:pStyle w:val="ListBullet"/>
        <w:spacing w:line="240" w:lineRule="auto"/>
        <w:ind w:left="720"/>
      </w:pPr>
      <w:r/>
      <w:r>
        <w:t>Les chèvres,</w:t>
      </w:r>
    </w:p>
    <w:p>
      <w:pPr>
        <w:pStyle w:val="ListBullet"/>
        <w:spacing w:line="240" w:lineRule="auto"/>
        <w:ind w:left="720"/>
      </w:pPr>
      <w:r/>
      <w:r>
        <w:t>Les lièvres,</w:t>
      </w:r>
    </w:p>
    <w:p>
      <w:pPr>
        <w:pStyle w:val="ListBullet"/>
        <w:spacing w:line="240" w:lineRule="auto"/>
        <w:ind w:left="720"/>
      </w:pPr>
      <w:r/>
      <w:r>
        <w:t>Les gazelles,</w:t>
      </w:r>
    </w:p>
    <w:p>
      <w:pPr>
        <w:pStyle w:val="ListBullet"/>
        <w:spacing w:line="240" w:lineRule="auto"/>
        <w:ind w:left="720"/>
      </w:pPr>
      <w:r/>
      <w:r>
        <w:t xml:space="preserve">Les chevreuils (voir </w:t>
      </w:r>
      <w:hyperlink r:id="rId2417">
        <w:r>
          <w:rPr>
            <w:color w:val="0000EE"/>
            <w:u w:val="single"/>
          </w:rPr>
          <w:t>1R 4.23</w:t>
        </w:r>
      </w:hyperlink>
      <w:r>
        <w:t>),</w:t>
      </w:r>
    </w:p>
    <w:p>
      <w:pPr>
        <w:pStyle w:val="ListBullet"/>
        <w:spacing w:line="240" w:lineRule="auto"/>
        <w:ind w:left="720"/>
      </w:pPr>
      <w:r/>
      <w:r>
        <w:t>Les chèvres sauvages,</w:t>
      </w:r>
    </w:p>
    <w:p>
      <w:pPr>
        <w:pStyle w:val="ListBullet"/>
        <w:spacing w:line="240" w:lineRule="auto"/>
        <w:ind w:left="720"/>
      </w:pPr>
      <w:r/>
      <w:r>
        <w:t>Les bouquetins,</w:t>
      </w:r>
    </w:p>
    <w:p>
      <w:pPr>
        <w:pStyle w:val="ListBullet"/>
        <w:spacing w:line="240" w:lineRule="auto"/>
        <w:ind w:left="720"/>
      </w:pPr>
      <w:r/>
      <w:r>
        <w:t>Les antilopes, et</w:t>
      </w:r>
    </w:p>
    <w:p>
      <w:pPr>
        <w:pStyle w:val="ListBullet"/>
        <w:spacing w:line="240" w:lineRule="auto"/>
        <w:ind w:left="720"/>
      </w:pPr>
      <w:r/>
      <w:r>
        <w:t>Les moutons de montagne.</w:t>
      </w:r>
    </w:p>
    <w:p>
      <w:r/>
      <w:r>
        <w:t>Les chasseurs devaient faire couler le sang de l'animal après l'avoir tué.</w:t>
      </w:r>
    </w:p>
    <w:p>
      <w:r/>
      <w:r>
        <w:t xml:space="preserve">Les gens chassaient aussi différents types d'oiseaux. </w:t>
      </w:r>
      <w:hyperlink r:id="rId2418">
        <w:r>
          <w:rPr>
            <w:color w:val="0000EE"/>
            <w:u w:val="single"/>
          </w:rPr>
          <w:t>1 Samuel 26.20</w:t>
        </w:r>
      </w:hyperlink>
      <w:r>
        <w:t xml:space="preserve"> mentionne la perdrix (voir </w:t>
      </w:r>
      <w:hyperlink r:id="rId2419">
        <w:r>
          <w:rPr>
            <w:color w:val="0000EE"/>
            <w:u w:val="single"/>
          </w:rPr>
          <w:t>Dt 14.11–18</w:t>
        </w:r>
      </w:hyperlink>
      <w:r>
        <w:t xml:space="preserve">). </w:t>
      </w:r>
      <w:hyperlink r:id="rId2420">
        <w:r>
          <w:rPr>
            <w:color w:val="0000EE"/>
            <w:u w:val="single"/>
          </w:rPr>
          <w:t>Proverbes 12.27</w:t>
        </w:r>
      </w:hyperlink>
      <w:r>
        <w:t xml:space="preserve"> parle d'une personne paresseuse. Il est dit qu'elle ne cuisine même pas l'animal qu'elle a attrapé.</w:t>
      </w:r>
    </w:p>
    <w:p>
      <w:r/>
      <w:r>
        <w:t>Certains passages de l'Ancien Testament montrent des personnes tuant des animaux pour se protéger (</w:t>
      </w:r>
      <w:hyperlink r:id="rId2421">
        <w:r>
          <w:rPr>
            <w:color w:val="0000EE"/>
            <w:u w:val="single"/>
          </w:rPr>
          <w:t>Jg 14.6</w:t>
        </w:r>
      </w:hyperlink>
      <w:r>
        <w:t xml:space="preserve"> ; </w:t>
      </w:r>
      <w:hyperlink r:id="rId2422">
        <w:r>
          <w:rPr>
            <w:color w:val="0000EE"/>
            <w:u w:val="single"/>
          </w:rPr>
          <w:t>1S 17.34–37</w:t>
        </w:r>
      </w:hyperlink>
      <w:r>
        <w:t xml:space="preserve"> ; </w:t>
      </w:r>
      <w:hyperlink r:id="rId2423">
        <w:r>
          <w:rPr>
            <w:color w:val="0000EE"/>
            <w:u w:val="single"/>
          </w:rPr>
          <w:t>2S 23.20</w:t>
        </w:r>
      </w:hyperlink>
      <w:r>
        <w:t>). Les bergers portaient souvent une massue et une fronde. Ils utilisaient ces armes pour protéger leurs brebis des animaux sauvages (</w:t>
      </w:r>
      <w:hyperlink r:id="rId2424">
        <w:r>
          <w:rPr>
            <w:color w:val="0000EE"/>
            <w:u w:val="single"/>
          </w:rPr>
          <w:t>1S 17.40</w:t>
        </w:r>
      </w:hyperlink>
      <w:r>
        <w:t xml:space="preserve"> ; </w:t>
      </w:r>
      <w:hyperlink r:id="rId2425">
        <w:r>
          <w:rPr>
            <w:color w:val="0000EE"/>
            <w:u w:val="single"/>
          </w:rPr>
          <w:t>Ps 23.4</w:t>
        </w:r>
      </w:hyperlink>
      <w:r>
        <w:t>).</w:t>
      </w:r>
    </w:p>
    <w:p>
      <w:pPr>
        <w:pStyle w:val="Heading3"/>
      </w:pPr>
      <w:r>
        <w:t>Outils de chasse</w:t>
      </w:r>
    </w:p>
    <w:p>
      <w:r/>
      <w:r>
        <w:t>La Bible mentionne également des outils et des pièges utilisés pour la chasse. Les chasseurs utilisaient :</w:t>
      </w:r>
    </w:p>
    <w:p>
      <w:pPr>
        <w:pStyle w:val="ListBullet"/>
        <w:spacing w:line="240" w:lineRule="auto"/>
        <w:ind w:left="720"/>
      </w:pPr>
      <w:r/>
      <w:r>
        <w:t>Des arcs et des flèches (</w:t>
      </w:r>
      <w:hyperlink r:id="rId1229">
        <w:r>
          <w:rPr>
            <w:color w:val="0000EE"/>
            <w:u w:val="single"/>
          </w:rPr>
          <w:t>Gn 27.3</w:t>
        </w:r>
      </w:hyperlink>
      <w:r>
        <w:t>),</w:t>
      </w:r>
    </w:p>
    <w:p>
      <w:pPr>
        <w:pStyle w:val="ListBullet"/>
        <w:spacing w:line="240" w:lineRule="auto"/>
        <w:ind w:left="720"/>
      </w:pPr>
      <w:r/>
      <w:r>
        <w:t>Des massues (</w:t>
      </w:r>
      <w:hyperlink r:id="rId2426">
        <w:r>
          <w:rPr>
            <w:color w:val="0000EE"/>
            <w:u w:val="single"/>
          </w:rPr>
          <w:t>Jb 41.29</w:t>
        </w:r>
      </w:hyperlink>
      <w:r>
        <w:t>),</w:t>
      </w:r>
    </w:p>
    <w:p>
      <w:pPr>
        <w:pStyle w:val="ListBullet"/>
        <w:spacing w:line="240" w:lineRule="auto"/>
        <w:ind w:left="720"/>
      </w:pPr>
      <w:r/>
      <w:r>
        <w:t>Des frondes (</w:t>
      </w:r>
      <w:hyperlink r:id="rId2424">
        <w:r>
          <w:rPr>
            <w:color w:val="0000EE"/>
            <w:u w:val="single"/>
          </w:rPr>
          <w:t>1S 17.40</w:t>
        </w:r>
      </w:hyperlink>
      <w:r>
        <w:t>),</w:t>
      </w:r>
    </w:p>
    <w:p>
      <w:pPr>
        <w:pStyle w:val="ListBullet"/>
        <w:spacing w:line="240" w:lineRule="auto"/>
        <w:ind w:left="720"/>
      </w:pPr>
      <w:r/>
      <w:r>
        <w:t>Des filets (</w:t>
      </w:r>
      <w:hyperlink r:id="rId2427">
        <w:r>
          <w:rPr>
            <w:color w:val="0000EE"/>
            <w:u w:val="single"/>
          </w:rPr>
          <w:t>Jb 19.6</w:t>
        </w:r>
      </w:hyperlink>
      <w:r>
        <w:t>), et</w:t>
      </w:r>
    </w:p>
    <w:p>
      <w:pPr>
        <w:pStyle w:val="ListBullet"/>
        <w:spacing w:line="240" w:lineRule="auto"/>
        <w:ind w:left="720"/>
      </w:pPr>
      <w:r/>
      <w:r>
        <w:t>Des pièges à oiseaux (</w:t>
      </w:r>
      <w:hyperlink r:id="rId2428">
        <w:r>
          <w:rPr>
            <w:color w:val="0000EE"/>
            <w:u w:val="single"/>
          </w:rPr>
          <w:t>Ps 91.3</w:t>
        </w:r>
      </w:hyperlink>
      <w:r>
        <w:t>).</w:t>
      </w:r>
    </w:p>
    <w:p>
      <w:r/>
      <w:r>
        <w:t>Certains pièges étaient des fosses recouvertes de feuilles ou de branches pour les dissimuler (</w:t>
      </w:r>
      <w:hyperlink r:id="rId2429">
        <w:r>
          <w:rPr>
            <w:color w:val="0000EE"/>
            <w:u w:val="single"/>
          </w:rPr>
          <w:t>Ps 7.15</w:t>
        </w:r>
      </w:hyperlink>
      <w:r>
        <w:t xml:space="preserve"> ; </w:t>
      </w:r>
      <w:hyperlink r:id="rId2430">
        <w:r>
          <w:rPr>
            <w:color w:val="0000EE"/>
            <w:u w:val="single"/>
          </w:rPr>
          <w:t>35.7</w:t>
        </w:r>
      </w:hyperlink>
      <w:r>
        <w:t xml:space="preserve"> ; </w:t>
      </w:r>
      <w:hyperlink r:id="rId2431">
        <w:r>
          <w:rPr>
            <w:color w:val="0000EE"/>
            <w:u w:val="single"/>
          </w:rPr>
          <w:t>Pr 22.14</w:t>
        </w:r>
      </w:hyperlink>
      <w:r>
        <w:t xml:space="preserve"> ; </w:t>
      </w:r>
      <w:hyperlink r:id="rId2432">
        <w:r>
          <w:rPr>
            <w:color w:val="0000EE"/>
            <w:u w:val="single"/>
          </w:rPr>
          <w:t>26.27</w:t>
        </w:r>
      </w:hyperlink>
      <w:r>
        <w:t xml:space="preserve"> ; </w:t>
      </w:r>
      <w:hyperlink r:id="rId2433">
        <w:r>
          <w:rPr>
            <w:color w:val="0000EE"/>
            <w:u w:val="single"/>
          </w:rPr>
          <w:t>Es 24.17–18</w:t>
        </w:r>
      </w:hyperlink>
      <w:r>
        <w:t>). D'autres étaient des pièges à ressort qui se déclenchaient lorsqu'on les touchait (</w:t>
      </w:r>
      <w:hyperlink r:id="rId2434">
        <w:r>
          <w:rPr>
            <w:color w:val="0000EE"/>
            <w:u w:val="single"/>
          </w:rPr>
          <w:t>Am 3.5</w:t>
        </w:r>
      </w:hyperlink>
      <w:r>
        <w:t xml:space="preserve"> ; </w:t>
      </w:r>
      <w:hyperlink r:id="rId2435">
        <w:r>
          <w:rPr>
            <w:color w:val="0000EE"/>
            <w:u w:val="single"/>
          </w:rPr>
          <w:t>Ps 69.22</w:t>
        </w:r>
      </w:hyperlink>
      <w:r>
        <w:t xml:space="preserve"> ; </w:t>
      </w:r>
      <w:hyperlink r:id="rId2436">
        <w:r>
          <w:rPr>
            <w:color w:val="0000EE"/>
            <w:u w:val="single"/>
          </w:rPr>
          <w:t>Os 9.8</w:t>
        </w:r>
      </w:hyperlink>
      <w:r>
        <w:t>). Certains pièges fonctionnaient lorsqu'un chasseur tirait une corde (</w:t>
      </w:r>
      <w:hyperlink r:id="rId2437">
        <w:r>
          <w:rPr>
            <w:color w:val="0000EE"/>
            <w:u w:val="single"/>
          </w:rPr>
          <w:t>Ps 140.5</w:t>
        </w:r>
      </w:hyperlink>
      <w:r>
        <w:t xml:space="preserve"> ; </w:t>
      </w:r>
      <w:hyperlink r:id="rId2438">
        <w:r>
          <w:rPr>
            <w:color w:val="0000EE"/>
            <w:u w:val="single"/>
          </w:rPr>
          <w:t>Jr 5.26</w:t>
        </w:r>
      </w:hyperlink>
      <w:r>
        <w:t>). Parfois, les chasseurs poussaient les animaux vers un piège (</w:t>
      </w:r>
      <w:hyperlink r:id="rId2439">
        <w:r>
          <w:rPr>
            <w:color w:val="0000EE"/>
            <w:u w:val="single"/>
          </w:rPr>
          <w:t>Jr 16.16</w:t>
        </w:r>
      </w:hyperlink>
      <w:r>
        <w:t xml:space="preserve"> ; </w:t>
      </w:r>
      <w:hyperlink r:id="rId2440">
        <w:r>
          <w:rPr>
            <w:color w:val="0000EE"/>
            <w:u w:val="single"/>
          </w:rPr>
          <w:t>Ez 19.8</w:t>
        </w:r>
      </w:hyperlink>
      <w:r>
        <w:t>).</w:t>
      </w:r>
      <w:r/>
      <w:r/>
    </w:p>
    <w:p>
      <w:r/>
    </w:p>
    <w:p>
      <w:pPr>
        <w:pStyle w:val="Heading2"/>
      </w:pPr>
      <w:r>
        <w:t>Châtiment</w:t>
      </w:r>
      <w:r/>
    </w:p>
    <w:p>
      <w:r/>
      <w:r>
        <w:t>Le châtiment survient lorsqu'une personne en position d'autorité inflige de la douleur ou une perte à une autre personne qui a commis une faute. Cela peut inclure la privation de liberté ou d'argent. Pour qu'il y ait châtiment, deux éléments doivent être présents :</w:t>
      </w:r>
    </w:p>
    <w:p>
      <w:pPr>
        <w:pStyle w:val="ListBullet"/>
        <w:spacing w:line="240" w:lineRule="auto"/>
        <w:ind w:left="720"/>
      </w:pPr>
      <w:r/>
      <w:r>
        <w:t>Quelqu'un ayant l'autorité pour infliger une punition</w:t>
      </w:r>
    </w:p>
    <w:p>
      <w:pPr>
        <w:pStyle w:val="ListBullet"/>
        <w:spacing w:line="240" w:lineRule="auto"/>
        <w:ind w:left="720"/>
      </w:pPr>
      <w:r/>
      <w:r>
        <w:t>Quelqu'un qui a fait du mal</w:t>
      </w:r>
    </w:p>
    <w:p>
      <w:pPr>
        <w:pStyle w:val="Heading3"/>
      </w:pPr>
      <w:r>
        <w:t>Le Châtiment en tant que prévention</w:t>
      </w:r>
    </w:p>
    <w:p>
      <w:r/>
      <w:r>
        <w:t>Certaines personnes affirment que le châtiment est justifié s'il empêche quelqu'un de commettre à nouveau des actes répréhensibles. Elles estiment que la punition devrait soit :</w:t>
      </w:r>
    </w:p>
    <w:p>
      <w:pPr>
        <w:pStyle w:val="ListBullet"/>
        <w:spacing w:line="240" w:lineRule="auto"/>
        <w:ind w:left="720"/>
      </w:pPr>
      <w:r/>
      <w:r>
        <w:t>Aider la personne qui a commis une erreur à apprendre et à s'améliorer (réforme).</w:t>
      </w:r>
    </w:p>
    <w:p>
      <w:pPr>
        <w:pStyle w:val="ListBullet"/>
        <w:spacing w:line="240" w:lineRule="auto"/>
        <w:ind w:left="720"/>
      </w:pPr>
      <w:r/>
      <w:r>
        <w:t>Empêcher cette personne et d'autres de commettre des actes répréhensibles à l'avenir (dissuader).</w:t>
      </w:r>
    </w:p>
    <w:p>
      <w:r/>
      <w:r>
        <w:t>Ces personnes estiment que si la punition n'aide pas quelqu'un à s'améliorer ou à cesser un mauvais comportement, elle ne devrait pas être utilisée.</w:t>
      </w:r>
    </w:p>
    <w:p>
      <w:pPr>
        <w:pStyle w:val="Heading3"/>
      </w:pPr>
      <w:r>
        <w:t>Le Châtiment en tant que Rétribution</w:t>
      </w:r>
    </w:p>
    <w:p>
      <w:r/>
      <w:r>
        <w:t>D'autres affirment que les personnes qui commettent le mal devraient être punies simplement parce qu'elles ont fait le mal. Cette vision du châtiment est appelée « rétribution » (donner à quelqu'un ce qu'il mérite). Elle repose sur la loi morale de Dieu et une certaine vision de la justice.</w:t>
      </w:r>
    </w:p>
    <w:p>
      <w:r/>
      <w:r>
        <w:t>Cette perspective diffère de la vengeance ou du désir de blesser quelqu'un sous le coup de la colère. Il s'agit plutôt de s'assurer que les méfaits entraînent des conséquences justes. En faveur de l'idée que la punition doit être rétributive, les arguments suivants ont été proposés :</w:t>
      </w:r>
    </w:p>
    <w:p>
      <w:pPr>
        <w:pStyle w:val="ListNumber"/>
        <w:spacing w:line="240" w:lineRule="auto"/>
        <w:ind w:left="720"/>
      </w:pPr>
      <w:r/>
      <w:r>
        <w:t>La Bible donne des instructions claires sur le fait de punir quelqu'un en le tuant (</w:t>
      </w:r>
      <w:hyperlink r:id="rId2441">
        <w:r>
          <w:rPr>
            <w:color w:val="0000EE"/>
            <w:u w:val="single"/>
          </w:rPr>
          <w:t>Gn 9.5–6</w:t>
        </w:r>
      </w:hyperlink>
      <w:r>
        <w:t xml:space="preserve">). Celles-ci ne font pas partie des lois morales et cérémonielles que les chrétiens croient avoir été abolies par Jésus. Le Nouveau Testament dit également que les gouvernements ont le droit de punir les méfaits (« porter l'épée », </w:t>
      </w:r>
      <w:hyperlink r:id="rId2442">
        <w:r>
          <w:rPr>
            <w:color w:val="0000EE"/>
            <w:u w:val="single"/>
          </w:rPr>
          <w:t>Rm 13.1</w:t>
        </w:r>
      </w:hyperlink>
      <w:hyperlink r:id="rId2441">
        <w:r>
          <w:rPr>
            <w:color w:val="0000EE"/>
            <w:u w:val="single"/>
          </w:rPr>
          <w:t>–</w:t>
        </w:r>
      </w:hyperlink>
      <w:hyperlink r:id="rId2442">
        <w:r>
          <w:rPr>
            <w:color w:val="0000EE"/>
            <w:u w:val="single"/>
          </w:rPr>
          <w:t>5</w:t>
        </w:r>
      </w:hyperlink>
      <w:r>
        <w:t>).</w:t>
      </w:r>
    </w:p>
    <w:p>
      <w:pPr>
        <w:pStyle w:val="ListNumber"/>
        <w:spacing w:line="240" w:lineRule="auto"/>
        <w:ind w:left="720"/>
      </w:pPr>
      <w:r/>
      <w:r>
        <w:t xml:space="preserve">En plus des arguments tirés de la Bible, nous pouvons également examiner les principes fondamentaux d'équité et de justice. Un principe important est que la punition doit être proportionnelle au crime. Cela aide à protéger les gens contre le pouvoir gouvernemental injuste en fixant des limites claires sur la manière dont le gouvernement peut punir quelqu'un qui enfreint la loi. </w:t>
        <w:br/>
        <w:br/>
      </w:r>
      <w:r>
        <w:t>Ainsi, un gouvernement juste et équitable ne peut pas garder quelqu'un en prison indéfiniment en simple guise de « traitement ». Il ne peut pas non plus répondre aux crimes par des punitions extrêmes et illimitées.</w:t>
      </w:r>
    </w:p>
    <w:p>
      <w:r/>
      <w:r>
        <w:t>Cette approche du châtiment considère chaque personne comme responsable de ses propres actes. Elle suppose également que chacun est libre jusqu'à ce qu'il commette un crime. Cela aide tout le monde à savoir à quoi s'attendre de la loi. Certaines personnes affirment que l'exécution des criminels est mauvaise parce qu'elle ajoute une autre mort à la première. Cependant, ce même argument pourrait être utilisé contre tous les types de punitions.</w:t>
      </w:r>
    </w:p>
    <w:p>
      <w:pPr>
        <w:pStyle w:val="Heading3"/>
      </w:pPr>
      <w:r>
        <w:t>Le Problème de la sévérité du châtiment</w:t>
      </w:r>
    </w:p>
    <w:p>
      <w:r/>
      <w:r>
        <w:t>Les deux points de vue rencontrent le même problème pour déterminer quelle quantité de punition est appropriée pour chaque mauvaise action. Les petites fautes pourraient être stoppées par des punitions très sévères, mais cela pourrait ne pas être juste. De plus, une punition correspond rarement exactement à la faute commise.</w:t>
      </w:r>
    </w:p>
    <w:p>
      <w:pPr>
        <w:pStyle w:val="Heading3"/>
      </w:pPr>
      <w:r>
        <w:t>Le Châtiment uniquement lorsqu'il bénéficie à la société</w:t>
      </w:r>
    </w:p>
    <w:p>
      <w:r/>
      <w:r>
        <w:t>Certains ne sont pas d'accord avec l'idée que la punition vise à équilibrer les méfaits. Ils croient que le châtiment ne devrait être utilisé que lorsqu'il conduit à de meilleurs résultats que l'absence de punition. Cette vision se concentre sur ce qui fonctionne le mieux pour la société plutôt que de répondre à l'action répréhensible elle-même. Un autre argument contre la punition affirme que chaque être humain fait partie d'une seule famille, et qu'aucune personne ou groupe ne devrait avoir le droit de punir les autres.</w:t>
      </w:r>
    </w:p>
    <w:p>
      <w:r/>
      <w:r>
        <w:t>Cependant, ces deux points de vue posent problème. Le premier point de vue pourrait permettre des punitions très sévères si quelqu'un pensait que les résultats seraient bénéfiques pour la société. Le deuxième point de vue rendrait impossible l'existence de tout type de gouvernement pour des personnes qui font parfois de mauvaises choses.</w:t>
      </w:r>
    </w:p>
    <w:p>
      <w:pPr>
        <w:pStyle w:val="Heading3"/>
      </w:pPr>
      <w:r>
        <w:t>Différentes perspectives sur la mort de Jésus</w:t>
      </w:r>
    </w:p>
    <w:p>
      <w:r/>
      <w:r>
        <w:t>La mort de Jésus est comprise par de nombreux chrétiens comme une offrande sacrificielle. Elle est souvent perçue comme vicaire et pénale, Jésus ayant pris la pénalité du péché au nom de l'humanité pour satisfaire la justice divine. Cette perspective souligne que sa mort ôte la culpabilité du péché et restaure la relation entre l'humanité et Dieu (</w:t>
      </w:r>
      <w:hyperlink r:id="rId2443">
        <w:r>
          <w:rPr>
            <w:color w:val="0000EE"/>
            <w:u w:val="single"/>
          </w:rPr>
          <w:t>Rm 5.8</w:t>
        </w:r>
      </w:hyperlink>
      <w:r>
        <w:t xml:space="preserve"> ; </w:t>
      </w:r>
      <w:hyperlink r:id="rId2444">
        <w:r>
          <w:rPr>
            <w:color w:val="0000EE"/>
            <w:u w:val="single"/>
          </w:rPr>
          <w:t>Ga 3.13</w:t>
        </w:r>
      </w:hyperlink>
      <w:r>
        <w:t>).</w:t>
      </w:r>
    </w:p>
    <w:p>
      <w:r/>
      <w:r>
        <w:t>Cependant, une autre perspective se concentre davantage sur la mort et la résurrection de Jésus comme une victoire sur la mort et le péché, en soulignant son rôle dans la guérison, la restauration de l'humanité et la réconciliation des êtres humains avec Dieu. Cette perspective accorde moins d'importance à la souffrance en tant que punition à la place des pécheurs.</w:t>
      </w:r>
    </w:p>
    <w:p>
      <w:r/>
      <w:r>
        <w:t>Alors que certaines traditions chrétiennes mettent l'accent sur les aspects rétributifs de la justice, d'autres se concentrent sur l'aspect restaurateur de la justice, illustré par l'œuvre de guérison, de victoire et de réconciliation de Jésus. Le débat se poursuit sur la manière dont la justice rétributive devrait être comprise ou appliquée dans les contextes modernes.</w:t>
      </w:r>
    </w:p>
    <w:p>
      <w:pPr>
        <w:pStyle w:val="Heading3"/>
      </w:pPr>
      <w:r>
        <w:t>Les Idées modernes à propos du châtiment</w:t>
      </w:r>
    </w:p>
    <w:p>
      <w:r/>
      <w:r>
        <w:t>Une autre question importante est de savoir quels types de punitions devraient être autorisés dans un système judiciaire. Aux siècles précédents, de nombreux délinquants ont subi des punitions cruelles comme la pendaison, l'amputation de parties du corps ou des exécutions douloureuses (même pour de petits crimes). Aujourd'hui, la plupart des gens estiment que ces punitions étaient cruelles et dérobaient la dignité humaine.</w:t>
      </w:r>
    </w:p>
    <w:p>
      <w:r/>
      <w:r>
        <w:t>Ce que les gens considèrent comme une punition juste ou injuste peut évoluer avec le temps. Par exemple, certains soutiennent que certains types de punitions physiques pourraient être moins nocifs que d'incarcérer des personnes dans des prisons insalubres avec d'autres criminels.</w:t>
      </w:r>
    </w:p>
    <w:p>
      <w:r/>
      <w:r>
        <w:t>La Bible enseigne qu'après la mort, Dieu jugera chaque personne équitablement. Étant donné ce que dit la Bible sur la sagesse, la justice et la miséricorde parfaites de Dieu, nous pouvons avoir confiance que ce jugement sera équitable et juste.</w:t>
      </w:r>
    </w:p>
    <w:p>
      <w:r/>
      <w:r>
        <w:rPr>
          <w:i/>
        </w:rPr>
        <w:t>Voir aussi</w:t>
      </w:r>
      <w:r>
        <w:t xml:space="preserve"> </w:t>
      </w:r>
      <w:r>
        <w:t>Droit pénal et châtiment</w:t>
      </w:r>
      <w:r>
        <w:t>.</w:t>
      </w:r>
      <w:r/>
      <w:r/>
    </w:p>
    <w:p>
      <w:r/>
    </w:p>
    <w:p>
      <w:pPr>
        <w:pStyle w:val="Heading2"/>
      </w:pPr>
      <w:r>
        <w:t>Chef de la synagogue</w:t>
      </w:r>
      <w:r/>
    </w:p>
    <w:p>
      <w:r/>
      <w:r>
        <w:t>Principal dirigeant d'un lieu de culte juif à l'époque du Nouveau Testament. Chaque synagogue avait généralement un seul dirigeant de ce type.</w:t>
      </w:r>
    </w:p>
    <w:p>
      <w:r/>
      <w:r>
        <w:t>Les fonctions du dirigeant consistaient à gérer les dispositions matérielles pour les moments de culte et à entretenir le bâtiment. Ce « chef » décidait également qui serait appelé à lire la Loi et les Prophètes ou à diriger les prières. Le poste était parfois occupé pour une période déterminée, parfois à vie.</w:t>
      </w:r>
    </w:p>
    <w:p>
      <w:r/>
      <w:r>
        <w:t>Le Nouveau Testament mentionne cet officiel à quatre reprises différentes. Jaïrus était le chef d'une synagogue à Capernaüm. Lorsque sa fille était malade, il est allé voir Jésus pour obtenir de l'aide, et Jésus l'a ressuscitée d'entre les morts (</w:t>
      </w:r>
      <w:hyperlink r:id="rId2445">
        <w:r>
          <w:rPr>
            <w:color w:val="0000EE"/>
            <w:u w:val="single"/>
          </w:rPr>
          <w:t>Mt 9.18–26</w:t>
        </w:r>
      </w:hyperlink>
      <w:r>
        <w:t xml:space="preserve"> ; </w:t>
      </w:r>
      <w:hyperlink r:id="rId2446">
        <w:r>
          <w:rPr>
            <w:color w:val="0000EE"/>
            <w:u w:val="single"/>
          </w:rPr>
          <w:t>Mc 5.21–43</w:t>
        </w:r>
      </w:hyperlink>
      <w:r>
        <w:t xml:space="preserve"> ; </w:t>
      </w:r>
      <w:hyperlink r:id="rId2447">
        <w:r>
          <w:rPr>
            <w:color w:val="0000EE"/>
            <w:u w:val="single"/>
          </w:rPr>
          <w:t>Lc 8.41–56</w:t>
        </w:r>
      </w:hyperlink>
      <w:r>
        <w:t>).</w:t>
      </w:r>
    </w:p>
    <w:p>
      <w:r/>
      <w:hyperlink r:id="rId2448">
        <w:r>
          <w:rPr>
            <w:color w:val="0000EE"/>
            <w:u w:val="single"/>
          </w:rPr>
          <w:t>Luc 13.14</w:t>
        </w:r>
      </w:hyperlink>
      <w:r>
        <w:t xml:space="preserve"> raconte l'histoire d'un autre chef de synagogue qui a traité Jésus avec une grande hostilité. Le chef s'est opposé à Jésus lorsqu'il a guéri quelqu'un le jour du sabbat après avoir enseigné à la synagogue.</w:t>
      </w:r>
    </w:p>
    <w:p>
      <w:r/>
      <w:r>
        <w:t>Lors de ses voyages missionnaires, Paul commençait souvent son ministère dans chaque lieu qu'il visitait en se rendant à la synagogue. À Antioche de Pisidie (</w:t>
      </w:r>
      <w:hyperlink r:id="rId2449">
        <w:r>
          <w:rPr>
            <w:color w:val="0000EE"/>
            <w:u w:val="single"/>
          </w:rPr>
          <w:t>Ac 13.15</w:t>
        </w:r>
      </w:hyperlink>
      <w:r>
        <w:t>), les chefs de la synagogue l'ont accueilli et encouragé à prêcher l'Évangile et à revenir la semaine suivante. Crispus, le chef de la synagogue à Corinthe, s'est converti (</w:t>
      </w:r>
      <w:hyperlink r:id="rId2450">
        <w:r>
          <w:rPr>
            <w:color w:val="0000EE"/>
            <w:u w:val="single"/>
          </w:rPr>
          <w:t>18.8</w:t>
        </w:r>
      </w:hyperlink>
      <w:r>
        <w:t>). Le successeur de Crispus, Sosthène, a été battu par la foule après que les Juifs ont porté plainte contre Paul devant Gallion, le gouverneur d'Achaïe.</w:t>
      </w:r>
    </w:p>
    <w:p>
      <w:r/>
      <w:r>
        <w:rPr>
          <w:i/>
        </w:rPr>
        <w:t>Voir aussi</w:t>
      </w:r>
      <w:r>
        <w:t xml:space="preserve"> </w:t>
      </w:r>
      <w:r>
        <w:t>Synagogue</w:t>
      </w:r>
      <w:r>
        <w:t>.</w:t>
      </w:r>
      <w:r/>
      <w:r/>
    </w:p>
    <w:p>
      <w:r/>
    </w:p>
    <w:p>
      <w:pPr>
        <w:pStyle w:val="Heading2"/>
      </w:pPr>
      <w:r>
        <w:t>Chéma, Shéma, (le)</w:t>
      </w:r>
      <w:r/>
    </w:p>
    <w:p>
      <w:r/>
      <w:r>
        <w:t xml:space="preserve">Nom qui est donné à la déclaration de </w:t>
      </w:r>
      <w:hyperlink r:id="rId2451">
        <w:r>
          <w:rPr>
            <w:color w:val="0000EE"/>
            <w:u w:val="single"/>
          </w:rPr>
          <w:t xml:space="preserve">Deutéronome 6.4 </w:t>
        </w:r>
      </w:hyperlink>
      <w:r>
        <w:t xml:space="preserve">: « </w:t>
      </w:r>
      <w:r>
        <w:t>Écoute, Israël ! L’Éternel, notre Dieu, est le seul Éternel</w:t>
      </w:r>
      <w:r>
        <w:t xml:space="preserve"> ». Ce nom est inspiré du premier mot dans ce verset, </w:t>
      </w:r>
      <w:r>
        <w:rPr>
          <w:i/>
        </w:rPr>
        <w:t>chéma</w:t>
      </w:r>
      <w:r>
        <w:t xml:space="preserve">, qui signifie « écoute ». </w:t>
      </w:r>
      <w:hyperlink r:id="rId2452">
        <w:r>
          <w:rPr>
            <w:color w:val="0000EE"/>
            <w:u w:val="single"/>
          </w:rPr>
          <w:t xml:space="preserve">Deutéronome 6.4–9 </w:t>
        </w:r>
      </w:hyperlink>
      <w:r>
        <w:t xml:space="preserve">explique ce que cette vérité essentielle signifie pour Israël. Les Israélites devaient aimer Dieu sans partage et se rappeler ses paroles dans toutes leurs activités. </w:t>
      </w:r>
    </w:p>
    <w:p>
      <w:r/>
      <w:r>
        <w:t xml:space="preserve">Même s'il est possible de traduire le verset </w:t>
      </w:r>
      <w:hyperlink r:id="rId2451">
        <w:r>
          <w:rPr>
            <w:color w:val="0000EE"/>
            <w:u w:val="single"/>
          </w:rPr>
          <w:t>4</w:t>
        </w:r>
      </w:hyperlink>
      <w:r>
        <w:t xml:space="preserve"> de plusieurs façons qui seraient grammaticalement correctes, les paroles de Jésus dans </w:t>
      </w:r>
      <w:hyperlink r:id="rId2453">
        <w:r>
          <w:rPr>
            <w:color w:val="0000EE"/>
            <w:u w:val="single"/>
          </w:rPr>
          <w:t>Mc 12.29</w:t>
        </w:r>
      </w:hyperlink>
      <w:r>
        <w:t xml:space="preserve"> correspondent le plus justement à ce que dit ce verset en hébreu. </w:t>
      </w:r>
    </w:p>
    <w:p>
      <w:r/>
      <w:r>
        <w:t>Le chéma est devenu très important pour le judaïsme. Les Juifs religieux le récitent trois fois par jour. Il est également récité chaque sabbat dans les synagogues.</w:t>
      </w:r>
    </w:p>
    <w:p>
      <w:r/>
      <w:r>
        <w:t>Le chéma contient une vérité doctrinale essentielle, à la lumière de laquelle l'homme doit vivre. Le mot « écoute » appelle à une attention totale et à agir en réaction à ce que la déclaration proclame. En effet, « écouter » en hébreu signifie souvent recevoir et obéir à ce qui est dit.</w:t>
      </w:r>
    </w:p>
    <w:p>
      <w:r/>
      <w:r>
        <w:t xml:space="preserve">Le mot traduit « seul » dans Deutéronome signifie littéralement que Dieu est « un » (en hébreu : </w:t>
      </w:r>
      <w:r>
        <w:rPr>
          <w:i/>
        </w:rPr>
        <w:t>echad</w:t>
      </w:r>
      <w:r>
        <w:t xml:space="preserve">). Ceci signifie que Dieu est une unité. En effet, c'est le même mot qui est utilisé dans </w:t>
      </w:r>
      <w:hyperlink r:id="rId2284">
        <w:r>
          <w:rPr>
            <w:color w:val="0000EE"/>
            <w:u w:val="single"/>
          </w:rPr>
          <w:t xml:space="preserve">Genèse 2.24 </w:t>
        </w:r>
      </w:hyperlink>
      <w:r>
        <w:t xml:space="preserve">pour indiquer que l'homme et la femme deviennent un en se mariant. Le théologien juif médiéval Maïmonide a soutenu que Dieu était </w:t>
      </w:r>
      <w:r>
        <w:rPr>
          <w:i/>
        </w:rPr>
        <w:t>yachid</w:t>
      </w:r>
      <w:r>
        <w:t xml:space="preserve"> (un tout indivisible). Cependant, l'Ancien Testament n'utilise pas ce mot pour décrire Dieu. Ainsi quand Jésus cite </w:t>
      </w:r>
      <w:hyperlink r:id="rId2451">
        <w:r>
          <w:rPr>
            <w:color w:val="0000EE"/>
            <w:u w:val="single"/>
          </w:rPr>
          <w:t>Deutéronome 6.4</w:t>
        </w:r>
      </w:hyperlink>
      <w:r>
        <w:t>, il ne contredit pas le fait qu'il est lui-même Dieu le Fils.</w:t>
      </w:r>
    </w:p>
    <w:p>
      <w:r/>
      <w:r>
        <w:rPr>
          <w:i/>
        </w:rPr>
        <w:t>Voir aussi</w:t>
      </w:r>
      <w:r>
        <w:t xml:space="preserve"> </w:t>
      </w:r>
      <w:r>
        <w:t>Deutéronome (livre)</w:t>
      </w:r>
      <w:r>
        <w:t>.</w:t>
      </w:r>
      <w:r/>
      <w:r/>
    </w:p>
    <w:p>
      <w:r/>
    </w:p>
    <w:p>
      <w:pPr>
        <w:pStyle w:val="Heading2"/>
      </w:pPr>
      <w:r>
        <w:t>Chemin de Sabbat</w:t>
      </w:r>
      <w:r/>
    </w:p>
    <w:p>
      <w:r/>
      <w:r>
        <w:t>Une règle de la tradition juive limitait la distance que les gens pouvaient parcourir le jour du sabbat. Le commandement qui interdisait de travailler le jour du sabbat était compris comme incluant l'interdiction de parcourir de longues distances (</w:t>
      </w:r>
      <w:hyperlink r:id="rId2454">
        <w:r>
          <w:rPr>
            <w:color w:val="0000EE"/>
            <w:u w:val="single"/>
          </w:rPr>
          <w:t>Ex 16.27–30</w:t>
        </w:r>
      </w:hyperlink>
      <w:r>
        <w:t xml:space="preserve">). Une personne était autorisée à parcourir deux mille coudées, soit environ un kilomètre, mais pas plus loin (voir </w:t>
      </w:r>
      <w:hyperlink r:id="rId2455">
        <w:r>
          <w:rPr>
            <w:color w:val="0000EE"/>
            <w:u w:val="single"/>
          </w:rPr>
          <w:t>Jos 3.4</w:t>
        </w:r>
      </w:hyperlink>
      <w:r>
        <w:t>).</w:t>
      </w:r>
    </w:p>
    <w:p>
      <w:r/>
      <w:r>
        <w:t>Cette distance a été décidée sur la base de deux références bibliques :</w:t>
      </w:r>
    </w:p>
    <w:p>
      <w:pPr>
        <w:pStyle w:val="ListBullet"/>
        <w:spacing w:line="240" w:lineRule="auto"/>
        <w:ind w:left="720"/>
      </w:pPr>
      <w:r/>
      <w:r>
        <w:t>L'espace entre l'arche et les personnes qui la suivaient (</w:t>
      </w:r>
      <w:hyperlink r:id="rId2455">
        <w:r>
          <w:rPr>
            <w:color w:val="0000EE"/>
            <w:u w:val="single"/>
          </w:rPr>
          <w:t>Jos 3.4</w:t>
        </w:r>
      </w:hyperlink>
      <w:r>
        <w:t>), ou</w:t>
      </w:r>
    </w:p>
    <w:p>
      <w:pPr>
        <w:pStyle w:val="ListBullet"/>
        <w:spacing w:line="240" w:lineRule="auto"/>
        <w:ind w:left="720"/>
      </w:pPr>
      <w:r/>
      <w:r>
        <w:t>Des pâturages aux villes lévitiques (</w:t>
      </w:r>
      <w:hyperlink r:id="rId2456">
        <w:r>
          <w:rPr>
            <w:color w:val="0000EE"/>
            <w:u w:val="single"/>
          </w:rPr>
          <w:t>Nb 35.4–5</w:t>
        </w:r>
      </w:hyperlink>
      <w:r>
        <w:t>).</w:t>
      </w:r>
    </w:p>
    <w:p>
      <w:r/>
      <w:r>
        <w:t>L'idée était qu'une personne ne devrait pas aller au-delà de ce qui est nécessaire pour adorer ou pour s'occuper des animaux.</w:t>
      </w:r>
    </w:p>
    <w:p>
      <w:r/>
      <w:r>
        <w:t xml:space="preserve">Le seul endroit où la Bible mentionne directement cette pratique est dans </w:t>
      </w:r>
      <w:hyperlink r:id="rId1327">
        <w:r>
          <w:rPr>
            <w:color w:val="0000EE"/>
            <w:u w:val="single"/>
          </w:rPr>
          <w:t>Actes 1.12</w:t>
        </w:r>
      </w:hyperlink>
      <w:r>
        <w:t>, qui décrit la distance de la montagne des Oliviers à Jérusalem comme « un chemin de sabbat ». Selon Josèphe (un historien juif), cette distance était entre 914 et 1 097 mètres.</w:t>
      </w:r>
    </w:p>
    <w:p>
      <w:r/>
      <w:r>
        <w:t>Les rabbins (enseignants juifs) ont mis en place des moyens pour au moins doubler cette distance autorisée. Une méthode consistait à établir une résidence temporaire à deux mille coudées en emportant suffisamment de nourriture pour deux repas. Ils mangeaient un repas et enterraient l'autre dans le sol pour marquer un lieu de résidence temporaire. Une autre méthode consistait à désigner un endroit à deux mille coudées et à le considérer comme leur domicile légal pour le sabbat. Ils pouvaient également considérer l'ensemble de leur ville comme leur domicile et calculer le « chemin de sabbat » à partir des abords du village.</w:t>
      </w:r>
    </w:p>
    <w:p>
      <w:r/>
      <w:r>
        <w:rPr>
          <w:i/>
        </w:rPr>
        <w:t>Voir aussi</w:t>
      </w:r>
      <w:r>
        <w:t xml:space="preserve"> </w:t>
      </w:r>
      <w:r>
        <w:t>Sabbat</w:t>
      </w:r>
      <w:r>
        <w:t>.</w:t>
      </w:r>
      <w:r/>
      <w:r/>
    </w:p>
    <w:p>
      <w:r/>
    </w:p>
    <w:p>
      <w:pPr>
        <w:pStyle w:val="Heading2"/>
      </w:pPr>
      <w:r>
        <w:t>Chêne de Paran</w:t>
      </w:r>
      <w:r/>
    </w:p>
    <w:p>
      <w:r/>
      <w:r>
        <w:t>Lieu situé à la lisière du désert de Paran, sans doute à l'extrémité sud des montagnes de Séir dans la péninsule du Sinaï, l'Arabie actuelle. Il s'agissait du point le plus au sud où le roi Kedorlaomer et ses alliés ont mené leur raid punitif contre les rois rebelles de Sodome et Gomorrhe (</w:t>
      </w:r>
      <w:hyperlink r:id="rId2457">
        <w:r>
          <w:rPr>
            <w:color w:val="0000EE"/>
            <w:u w:val="single"/>
          </w:rPr>
          <w:t>Gn 14.5–6</w:t>
        </w:r>
      </w:hyperlink>
      <w:r>
        <w:t xml:space="preserve">). </w:t>
      </w:r>
      <w:r>
        <w:rPr>
          <w:i/>
        </w:rPr>
        <w:t>Voir</w:t>
      </w:r>
      <w:r>
        <w:t xml:space="preserve"> </w:t>
      </w:r>
      <w:r>
        <w:t>Élath</w:t>
      </w:r>
      <w:r>
        <w:t>.</w:t>
      </w:r>
      <w:r/>
      <w:r/>
    </w:p>
    <w:p>
      <w:r/>
    </w:p>
    <w:p>
      <w:pPr>
        <w:pStyle w:val="Heading2"/>
      </w:pPr>
      <w:r>
        <w:t>Chêne des pleurs</w:t>
      </w:r>
      <w:r/>
    </w:p>
    <w:p>
      <w:r/>
      <w:r>
        <w:t>Chêne près de Béthel sous lequel sera enterrée Débora (</w:t>
      </w:r>
      <w:hyperlink r:id="rId2458">
        <w:r>
          <w:rPr>
            <w:color w:val="0000EE"/>
            <w:u w:val="single"/>
          </w:rPr>
          <w:t>Gn 35.8</w:t>
        </w:r>
      </w:hyperlink>
      <w:r>
        <w:t>), la nourrice de Rebecca qui était avancée en âge. L'arbre sera nommé le « Chêne des pleurs ».</w:t>
      </w:r>
      <w:r/>
      <w:r/>
    </w:p>
    <w:p>
      <w:r/>
    </w:p>
    <w:p>
      <w:pPr>
        <w:pStyle w:val="Heading2"/>
      </w:pPr>
      <w:r>
        <w:t>Chênes de Mamré</w:t>
      </w:r>
      <w:r/>
    </w:p>
    <w:p>
      <w:r/>
      <w:r>
        <w:t>Site associé à Abraham et Isaac (</w:t>
      </w:r>
      <w:hyperlink r:id="rId2459">
        <w:r>
          <w:rPr>
            <w:color w:val="0000EE"/>
            <w:u w:val="single"/>
          </w:rPr>
          <w:t>Gn 13.18</w:t>
        </w:r>
      </w:hyperlink>
      <w:r>
        <w:t xml:space="preserve">). </w:t>
      </w:r>
      <w:r>
        <w:rPr>
          <w:i/>
        </w:rPr>
        <w:t>Voir</w:t>
      </w:r>
      <w:r>
        <w:t xml:space="preserve"> </w:t>
      </w:r>
      <w:r>
        <w:t>Mamré (Lieu)</w:t>
      </w:r>
      <w:r>
        <w:t>.</w:t>
      </w:r>
      <w:r/>
      <w:r/>
    </w:p>
    <w:p>
      <w:r/>
    </w:p>
    <w:p>
      <w:pPr>
        <w:pStyle w:val="Heading2"/>
      </w:pPr>
      <w:r>
        <w:t>Chérubin</w:t>
      </w:r>
      <w:r/>
    </w:p>
    <w:p>
      <w:r/>
      <w:r>
        <w:t xml:space="preserve">Les chérubins sont des créatures spirituelles ailées décrites dans la Bible. Le mot « chérubins » est la forme plurielle du mot hébreu </w:t>
      </w:r>
      <w:r>
        <w:rPr>
          <w:i/>
        </w:rPr>
        <w:t>karouv</w:t>
      </w:r>
      <w:r>
        <w:t xml:space="preserve">. Ces êtres sont un type de créatures surnaturelles, comme les séraphins et les anges. Certains experts pensent que le terme « chérubin » pourrait provenir du </w:t>
      </w:r>
      <w:r>
        <w:rPr>
          <w:i/>
        </w:rPr>
        <w:t>karibu</w:t>
      </w:r>
      <w:r>
        <w:t xml:space="preserve"> (signifiant « intercesseur ») de la mythologie akkadienne. Dans l'art mésopotamien, ils étaient souvent représentés comme des griffons (moitié lion et moitié aigle) ou des humains avec des ailes. Le sphinx (une créature mythique de l'Égypte antique qui avait une tête humaine et un corps de lion) pourrait également être lié à cette idée. Cependant, les descriptions dans la Bible montrent que les chérubins étaient différents de ces autres créatures anciennes.</w:t>
      </w:r>
    </w:p>
    <w:p>
      <w:r/>
      <w:r>
        <w:t>Le prophète Ézéchiel a décrit quatre « créatures vivantes ». Chaque créature avait quatre visages et quatre ailes (</w:t>
      </w:r>
      <w:hyperlink r:id="rId2460">
        <w:r>
          <w:rPr>
            <w:color w:val="0000EE"/>
            <w:u w:val="single"/>
          </w:rPr>
          <w:t>Ez 1.5–24</w:t>
        </w:r>
      </w:hyperlink>
      <w:r>
        <w:t>). Plus tard dans ses écrits, Ézéchiel révèle que ces créatures étaient des chérubins (</w:t>
      </w:r>
      <w:hyperlink r:id="rId2461">
        <w:r>
          <w:rPr>
            <w:color w:val="0000EE"/>
            <w:u w:val="single"/>
          </w:rPr>
          <w:t>Ez 10.2–22</w:t>
        </w:r>
      </w:hyperlink>
      <w:r>
        <w:t>). La splendeyr de la vision d'Ézéchiel a été dépeinte, plus modestement cette fois-ci, dans sa description du roi du Tyr. Dans sa propre prospérité, il semble avoir comme joué le rôle d'un chérubin dont la tâche était la protection de la ville, avant qu'il ne soit dépossédé (</w:t>
      </w:r>
      <w:hyperlink r:id="rId2462">
        <w:r>
          <w:rPr>
            <w:color w:val="0000EE"/>
            <w:u w:val="single"/>
          </w:rPr>
          <w:t>Ez 28.13–16</w:t>
        </w:r>
      </w:hyperlink>
      <w:r>
        <w:t>). Certaines personnes croient que cette histoire concernant le roi de Tyr nous parle également de Satan. Elles pensent qu'elle décrit comment Satan est tombé de sa position en tant qu'être céleste de haut rang devant Dieu.</w:t>
      </w:r>
    </w:p>
    <w:p>
      <w:r/>
      <w:r>
        <w:t xml:space="preserve">Même si Ézéchiel a décrit les chérubins en détail, il est difficile de savoir exactement à quoi ils ressemblaient. Ainsi, dans </w:t>
      </w:r>
      <w:hyperlink r:id="rId2463">
        <w:r>
          <w:rPr>
            <w:color w:val="0000EE"/>
            <w:u w:val="single"/>
          </w:rPr>
          <w:t>Ézéchiel 41.18,</w:t>
        </w:r>
      </w:hyperlink>
      <w:r>
        <w:t xml:space="preserve"> les chérubins dans le temple qu'il a vu en vision n'avaient que deux visages : celui d'un homme et celui d'un jeune lion. Ceci diffère des créatures à quatre visages de sa vision antérieure. Dans </w:t>
      </w:r>
      <w:hyperlink r:id="rId2464">
        <w:r>
          <w:rPr>
            <w:color w:val="0000EE"/>
            <w:u w:val="single"/>
          </w:rPr>
          <w:t>Ézéchiel 1.10</w:t>
        </w:r>
      </w:hyperlink>
      <w:r>
        <w:t xml:space="preserve">, il s'agissait d'un homme, d'un lion, d'un bœuf et d'un aigle. Cependant, dans </w:t>
      </w:r>
      <w:hyperlink r:id="rId2465">
        <w:r>
          <w:rPr>
            <w:color w:val="0000EE"/>
            <w:u w:val="single"/>
          </w:rPr>
          <w:t>Ézéchiel 10.14</w:t>
        </w:r>
      </w:hyperlink>
      <w:r>
        <w:t>, l'un des visages est appelé « le visage du chérubin », ce qui pourrait se référer à un visage de bœuf. Ceci pourrait expliquer pourquoi les œuvres artistiques du Proche-Orient Ancien représentait les chérubins comme des créatures à quatre pattes. Ils sont généralement différents des chérubins bibliques. Dans la vision d'Ézéchiel, les chérubins avaient des ailes, des jambes droites et des sabots comme ceux d'un veau (</w:t>
      </w:r>
      <w:hyperlink r:id="rId2466">
        <w:r>
          <w:rPr>
            <w:color w:val="0000EE"/>
            <w:u w:val="single"/>
          </w:rPr>
          <w:t>Ez 1.7</w:t>
        </w:r>
      </w:hyperlink>
      <w:r>
        <w:t>).</w:t>
      </w:r>
    </w:p>
    <w:p>
      <w:r/>
      <w:r>
        <w:t>Certains experts, intrigués par ce sujet, cherchent des liens entre les chérubins bibliques et les statues ou sculptures d'autres cultures. Le trône d'Achiram, roi de Byblos, par exemple, avait des sphinx de part et d'autre. Certains pensent qu'il s'agissait de chérubins. Le sphinx était un symbole décoratif courant dans le monde antique. On le trouvait sur des objets de Meguiddo, Samarie et Nimroud. De plus, l'art ancien montre d'autres créatures décoratives avec des parties humaines et animales, ainsi que des ailes. Cependant, aucune ne correspond aux descriptions des chérubins de l'Ancien Testament.</w:t>
      </w:r>
    </w:p>
    <w:p>
      <w:r/>
      <w:r>
        <w:t>Les quatre créatures vivantes dans l'Apocalypse sont semblables aux chérubins d'Ézéchiel. Cependant, elles n'ont pas les « roues tourbillonnantes » de la vision d'Ézéchiel (</w:t>
      </w:r>
      <w:hyperlink r:id="rId2467">
        <w:r>
          <w:rPr>
            <w:color w:val="0000EE"/>
            <w:u w:val="single"/>
          </w:rPr>
          <w:t>Ap 4.6–9</w:t>
        </w:r>
      </w:hyperlink>
      <w:r>
        <w:t>). Les références ultérieures aux créatures dans l'Apocalypse (</w:t>
      </w:r>
      <w:hyperlink r:id="rId2468">
        <w:r>
          <w:rPr>
            <w:color w:val="0000EE"/>
            <w:u w:val="single"/>
          </w:rPr>
          <w:t>Ap 5.6–14</w:t>
        </w:r>
      </w:hyperlink>
      <w:r>
        <w:t xml:space="preserve"> ; </w:t>
      </w:r>
      <w:hyperlink r:id="rId2469">
        <w:r>
          <w:rPr>
            <w:color w:val="0000EE"/>
            <w:u w:val="single"/>
          </w:rPr>
          <w:t>6.1–8</w:t>
        </w:r>
      </w:hyperlink>
      <w:r>
        <w:t xml:space="preserve"> ; </w:t>
      </w:r>
      <w:hyperlink r:id="rId2470">
        <w:r>
          <w:rPr>
            <w:color w:val="0000EE"/>
            <w:u w:val="single"/>
          </w:rPr>
          <w:t>7.1–11</w:t>
        </w:r>
      </w:hyperlink>
      <w:r>
        <w:t xml:space="preserve"> ; </w:t>
      </w:r>
      <w:hyperlink r:id="rId2471">
        <w:r>
          <w:rPr>
            <w:color w:val="0000EE"/>
            <w:u w:val="single"/>
          </w:rPr>
          <w:t>14.3</w:t>
        </w:r>
      </w:hyperlink>
      <w:r>
        <w:t xml:space="preserve"> ; </w:t>
      </w:r>
      <w:hyperlink r:id="rId2472">
        <w:r>
          <w:rPr>
            <w:color w:val="0000EE"/>
            <w:u w:val="single"/>
          </w:rPr>
          <w:t>15.7</w:t>
        </w:r>
      </w:hyperlink>
      <w:r>
        <w:t xml:space="preserve"> ; </w:t>
      </w:r>
      <w:hyperlink r:id="rId2473">
        <w:r>
          <w:rPr>
            <w:color w:val="0000EE"/>
            <w:u w:val="single"/>
          </w:rPr>
          <w:t>19.4</w:t>
        </w:r>
      </w:hyperlink>
      <w:r>
        <w:t>) ne les décrivent pas davantage.</w:t>
      </w:r>
    </w:p>
    <w:p>
      <w:r/>
      <w:r>
        <w:t xml:space="preserve">Dans </w:t>
      </w:r>
      <w:hyperlink r:id="rId896">
        <w:r>
          <w:rPr>
            <w:color w:val="0000EE"/>
            <w:u w:val="single"/>
          </w:rPr>
          <w:t>Genèse 3.24</w:t>
        </w:r>
      </w:hyperlink>
      <w:r>
        <w:t xml:space="preserve">, des chérubins gardent l'entrée d'Éden. Il s'agit d'un rôle commun pour les êtres surnaturels dans les traditions du Proche-Orient. Dans </w:t>
      </w:r>
      <w:hyperlink r:id="rId2474">
        <w:r>
          <w:rPr>
            <w:color w:val="0000EE"/>
            <w:u w:val="single"/>
          </w:rPr>
          <w:t>Ézéchiel 10</w:t>
        </w:r>
      </w:hyperlink>
      <w:r>
        <w:t>, les chérubins exécutent également le jugement de Dieu en répandant des charbons ardents sur une ville (</w:t>
      </w:r>
      <w:hyperlink r:id="rId2475">
        <w:r>
          <w:rPr>
            <w:color w:val="0000EE"/>
            <w:u w:val="single"/>
          </w:rPr>
          <w:t>Ez 10.2, 7</w:t>
        </w:r>
      </w:hyperlink>
      <w:r>
        <w:t>).</w:t>
      </w:r>
    </w:p>
    <w:p>
      <w:r/>
      <w:r>
        <w:t>Dans la tradition israélite antique, les chérubins fournissaient à Dieu un trône en déployant leurs ailes (</w:t>
      </w:r>
      <w:hyperlink r:id="rId2476">
        <w:r>
          <w:rPr>
            <w:color w:val="0000EE"/>
            <w:u w:val="single"/>
          </w:rPr>
          <w:t>1S 4.4</w:t>
        </w:r>
      </w:hyperlink>
      <w:r>
        <w:t xml:space="preserve"> ; </w:t>
      </w:r>
      <w:hyperlink r:id="rId2477">
        <w:r>
          <w:rPr>
            <w:color w:val="0000EE"/>
            <w:u w:val="single"/>
          </w:rPr>
          <w:t>2S 6.2</w:t>
        </w:r>
      </w:hyperlink>
      <w:r>
        <w:t xml:space="preserve"> ; et plus). Dieu parlait à Moïse depuis ce trône, qui était situé sur le couvercle de l'arche du témoignage (</w:t>
      </w:r>
      <w:hyperlink r:id="rId2478">
        <w:r>
          <w:rPr>
            <w:color w:val="0000EE"/>
            <w:u w:val="single"/>
          </w:rPr>
          <w:t>Ex 25.22</w:t>
        </w:r>
      </w:hyperlink>
      <w:r>
        <w:t>). Dans la vision d'Ézéchiel (</w:t>
      </w:r>
      <w:hyperlink r:id="rId2479">
        <w:r>
          <w:rPr>
            <w:color w:val="0000EE"/>
            <w:u w:val="single"/>
          </w:rPr>
          <w:t>Ez 1.26</w:t>
        </w:r>
      </w:hyperlink>
      <w:r>
        <w:t xml:space="preserve"> ; </w:t>
      </w:r>
      <w:hyperlink r:id="rId2480">
        <w:r>
          <w:rPr>
            <w:color w:val="0000EE"/>
            <w:u w:val="single"/>
          </w:rPr>
          <w:t>10.1</w:t>
        </w:r>
      </w:hyperlink>
      <w:r>
        <w:t>), Dieu se trouve assis sur un char à quatre roues qui est déplacé par des chérubins, lesquels le soulèvent avec leurs ailes. Dans la poésie hébraïque, Dieu est parfois décrit comme chevauchant les nuages (</w:t>
      </w:r>
      <w:hyperlink r:id="rId2481">
        <w:r>
          <w:rPr>
            <w:color w:val="0000EE"/>
            <w:u w:val="single"/>
          </w:rPr>
          <w:t>Ps 104.3</w:t>
        </w:r>
      </w:hyperlink>
      <w:r>
        <w:t xml:space="preserve"> ; voir </w:t>
      </w:r>
      <w:hyperlink r:id="rId2482">
        <w:r>
          <w:rPr>
            <w:color w:val="0000EE"/>
            <w:u w:val="single"/>
          </w:rPr>
          <w:t>Es 19.1</w:t>
        </w:r>
      </w:hyperlink>
      <w:r>
        <w:t>) ou volant sur un chérubin (</w:t>
      </w:r>
      <w:hyperlink r:id="rId2483">
        <w:r>
          <w:rPr>
            <w:color w:val="0000EE"/>
            <w:u w:val="single"/>
          </w:rPr>
          <w:t>2S 22.11</w:t>
        </w:r>
      </w:hyperlink>
      <w:r>
        <w:t xml:space="preserve"> ; </w:t>
      </w:r>
      <w:hyperlink r:id="rId2484">
        <w:r>
          <w:rPr>
            <w:color w:val="0000EE"/>
            <w:u w:val="single"/>
          </w:rPr>
          <w:t>Ps 18.10</w:t>
        </w:r>
      </w:hyperlink>
      <w:r>
        <w:t>). L'art du Proche-Orient montre des dieux debout sur le dos d'animaux. Il montre également des chérubins qui soutiennent un trône divin.</w:t>
      </w:r>
    </w:p>
    <w:p>
      <w:r/>
      <w:r>
        <w:t>En Israël, des chérubins étaient sculptés sur l'arche du témoignage (</w:t>
      </w:r>
      <w:hyperlink r:id="rId2485">
        <w:r>
          <w:rPr>
            <w:color w:val="0000EE"/>
            <w:u w:val="single"/>
          </w:rPr>
          <w:t>Ex 25.18–20</w:t>
        </w:r>
      </w:hyperlink>
      <w:r>
        <w:t xml:space="preserve"> ; </w:t>
      </w:r>
      <w:hyperlink r:id="rId2486">
        <w:r>
          <w:rPr>
            <w:color w:val="0000EE"/>
            <w:u w:val="single"/>
          </w:rPr>
          <w:t>37.7–9</w:t>
        </w:r>
      </w:hyperlink>
      <w:r>
        <w:t>). Ils figuraient également sur les rideaux du tabernacle et le voile couvrant le sanctuaire (la pièce la plus sacrée), là où l'arche était conservée.</w:t>
      </w:r>
    </w:p>
    <w:p>
      <w:r/>
      <w:r>
        <w:t>Le lieu très saint du temple de Salomon comportait deux grands chérubins faits de bois d'olivier et recouverts d'or. Avec leurs ailes déployées, ils s'étendaient sur toute la largeur du sanctuaire intérieur. Les panneaux et portes en bois du temple étaient sculptés de plus petits chérubins et de palmiers. Ils se trouvaient également sur les côtés des bases des bassins (</w:t>
      </w:r>
      <w:hyperlink r:id="rId2487">
        <w:r>
          <w:rPr>
            <w:color w:val="0000EE"/>
            <w:u w:val="single"/>
          </w:rPr>
          <w:t>1R 7.29, 36</w:t>
        </w:r>
      </w:hyperlink>
      <w:r>
        <w:t>). La vision du temple d'Ézéchiel montrait des décorations faites d'une alternance de chérubins et de palmiers (</w:t>
      </w:r>
      <w:hyperlink r:id="rId2488">
        <w:r>
          <w:rPr>
            <w:color w:val="0000EE"/>
            <w:u w:val="single"/>
          </w:rPr>
          <w:t>Ez 41.17–20</w:t>
        </w:r>
      </w:hyperlink>
      <w:r>
        <w:t>).</w:t>
      </w:r>
    </w:p>
    <w:p>
      <w:r/>
      <w:r>
        <w:rPr>
          <w:i/>
        </w:rPr>
        <w:t>Voir aussi</w:t>
      </w:r>
      <w:r>
        <w:t xml:space="preserve"> </w:t>
      </w:r>
      <w:r>
        <w:t>Ange</w:t>
      </w:r>
      <w:r>
        <w:t xml:space="preserve"> ; </w:t>
      </w:r>
      <w:r>
        <w:t>Séraphin</w:t>
      </w:r>
      <w:r>
        <w:t>.</w:t>
      </w:r>
      <w:r/>
      <w:r/>
    </w:p>
    <w:p>
      <w:r/>
    </w:p>
    <w:p>
      <w:pPr>
        <w:pStyle w:val="Heading2"/>
      </w:pPr>
      <w:r>
        <w:t>Chio</w:t>
      </w:r>
      <w:r/>
    </w:p>
    <w:p>
      <w:r/>
      <w:r>
        <w:t>Une autre orthographe de Chios, une île de la mer Égée (NBS, TOB2010).</w:t>
      </w:r>
    </w:p>
    <w:p>
      <w:r/>
      <w:r>
        <w:rPr>
          <w:i/>
        </w:rPr>
        <w:t>Voir</w:t>
      </w:r>
      <w:r>
        <w:t xml:space="preserve"> </w:t>
      </w:r>
      <w:r>
        <w:t>Chios</w:t>
      </w:r>
      <w:r>
        <w:t>.</w:t>
      </w:r>
      <w:r/>
      <w:r/>
    </w:p>
    <w:p>
      <w:r/>
    </w:p>
    <w:p>
      <w:pPr>
        <w:pStyle w:val="Heading2"/>
      </w:pPr>
      <w:r>
        <w:t>Choba</w:t>
      </w:r>
      <w:r/>
    </w:p>
    <w:p>
      <w:r/>
      <w:r>
        <w:t>Village mentionné dans le livre de Judith comme étant fortifié par les Juifs lorsque le commandant assyrien Holopherne envahit la Palestine (</w:t>
      </w:r>
      <w:hyperlink r:id="rId2489">
        <w:r>
          <w:rPr>
            <w:color w:val="0000EE"/>
            <w:u w:val="single"/>
          </w:rPr>
          <w:t>Jdt 4.4</w:t>
        </w:r>
      </w:hyperlink>
      <w:r>
        <w:t xml:space="preserve">). Sa localisation précise ne peut être identifiée, mais il pourrait s'agir d'el-Makhubbi, à 5 km de Besan, ou possiblement le Choba de </w:t>
      </w:r>
      <w:hyperlink r:id="rId2490">
        <w:r>
          <w:rPr>
            <w:color w:val="0000EE"/>
            <w:u w:val="single"/>
          </w:rPr>
          <w:t>Genèse 14.15</w:t>
        </w:r>
      </w:hyperlink>
      <w:r>
        <w:t>. Le récit indique que les Juifs ont poursuivi l'armée d'Holopherne jusqu'à Choba et au-delà de Damas (</w:t>
      </w:r>
      <w:hyperlink r:id="rId2491">
        <w:r>
          <w:rPr>
            <w:color w:val="0000EE"/>
            <w:u w:val="single"/>
          </w:rPr>
          <w:t>Jdt 15.4–5</w:t>
        </w:r>
      </w:hyperlink>
      <w:r>
        <w:t>).</w:t>
      </w:r>
      <w:r/>
      <w:r/>
    </w:p>
    <w:p>
      <w:r/>
    </w:p>
    <w:p>
      <w:pPr>
        <w:pStyle w:val="Heading2"/>
      </w:pPr>
      <w:r>
        <w:t>Choba</w:t>
      </w:r>
      <w:r/>
    </w:p>
    <w:p>
      <w:r/>
      <w:r>
        <w:t>Ville jusqu'à laquelle Abraham poursuivra les armées sous Kedorlaomer (</w:t>
      </w:r>
      <w:hyperlink r:id="rId2490">
        <w:r>
          <w:rPr>
            <w:color w:val="0000EE"/>
            <w:u w:val="single"/>
          </w:rPr>
          <w:t>Gn 14.15</w:t>
        </w:r>
      </w:hyperlink>
      <w:r>
        <w:t>). Sa localisation est incertaine, mais diverses suggestions ont été faites. Certains l'assimilent à la ville de Choba qui se situait à environ 80 km au nord-ouest de Damas ; d'autres, au territoire appelé Ube dans les lettres d'Amarna ; et d'autres encore, à Tell el-Salihite, à 15 km à l'est de Damas.</w:t>
      </w:r>
      <w:r/>
      <w:r/>
    </w:p>
    <w:p>
      <w:r/>
    </w:p>
    <w:p>
      <w:pPr>
        <w:pStyle w:val="Heading2"/>
      </w:pPr>
      <w:r>
        <w:t>Chrétien</w:t>
      </w:r>
      <w:r/>
    </w:p>
    <w:p>
      <w:r/>
      <w:r>
        <w:t>Nom d'abord donné aux disciples de Jésus-Christ (</w:t>
      </w:r>
      <w:hyperlink r:id="rId999">
        <w:r>
          <w:rPr>
            <w:color w:val="0000EE"/>
            <w:u w:val="single"/>
          </w:rPr>
          <w:t>Ac 11.26</w:t>
        </w:r>
      </w:hyperlink>
      <w:r>
        <w:t>). Lorsque le mouvement chrétien atteindra Antioche en Syrie, l'Évangile sera prêché aux Gentils ainsi qu'aux Juifs. Une telle évangélisation démarquera la secte comme plus qu'un nouveau type de judaïsme, mais comme une nouvelle religion à part entière. Les Gentils à Antioche inventeront un nom pour ce nouveau groupe. Puisque les membres du groupe parlaient constamment de Christ, ils seront appelés chrétiens, signifiant la « maisonnée » ou les « partisans » de Christ. Une certaine satire peut avoir été voulue à travers ce nom. Par exemple, puisque les « Augustiniens » étaient un groupe organisé qui menait le culte public de l'empereur Néron Auguste, les citoyens d'Antioche ont peut-être créé un nom latinisé comparable à partir de Christ, comme une blague. Des groupes similaires incluaient les partisans d'Hérode, les Hérodiens. « Christ » était un nom inhabituel et dénué de sens pour les Gentils, mais Chrestos (signifiant « bon » ou « gentil ») était un nom courant ; certains païens appelaient la nouvelle secte « Chrestiens ». Ainsi, Suétone écrira que les Juifs ont été expulsés de Rome en 49 ap. J.‑C. à cause de « Chrestus ».</w:t>
      </w:r>
    </w:p>
    <w:p>
      <w:r/>
      <w:r>
        <w:t xml:space="preserve">Les chrétiens eux-mêmes n'appréciaient apparemment pas le nom, mais comme beaucoup d'autres surnoms, « chrétien » est resté. Il apparaît seulement trois fois dans le Nouveau Testament grec : </w:t>
      </w:r>
      <w:hyperlink r:id="rId999">
        <w:r>
          <w:rPr>
            <w:color w:val="0000EE"/>
            <w:u w:val="single"/>
          </w:rPr>
          <w:t>Actes 11.26</w:t>
        </w:r>
      </w:hyperlink>
      <w:r>
        <w:t xml:space="preserve"> décrit son origine ; </w:t>
      </w:r>
      <w:hyperlink r:id="rId2492">
        <w:r>
          <w:rPr>
            <w:color w:val="0000EE"/>
            <w:u w:val="single"/>
          </w:rPr>
          <w:t>Actes 26.28</w:t>
        </w:r>
      </w:hyperlink>
      <w:r>
        <w:t xml:space="preserve"> rapporte qu'Hérode Agrippa II a dit de manière satirique à Paul que « </w:t>
      </w:r>
      <w:r>
        <w:t>Tu vas bientôt me persuader de devenir chrétien</w:t>
      </w:r>
      <w:r>
        <w:t xml:space="preserve"> ! » ; </w:t>
      </w:r>
      <w:hyperlink r:id="rId2493">
        <w:r>
          <w:rPr>
            <w:color w:val="0000EE"/>
            <w:u w:val="single"/>
          </w:rPr>
          <w:t>1 Pierre 4.16</w:t>
        </w:r>
      </w:hyperlink>
      <w:r>
        <w:t xml:space="preserve"> instruit les croyants de ne pas avoir honte s'ils souffrent parce que le nom leur a été appliqué. Aucune autre trace du nom n'apparaît jusqu'au 2e siècle, lorsqu'Ignace d'Antioche devient le premier chrétien à appeler les croyants des chrétiens. Le gouverneur romain Pline (de la région à laquelle 1 Pierre était adressé) écrit à l'empereur Trajan au sujet des personnes accusées dans son tribunal d'être chrétiennes. À partir de ce moment, le surnom est devenu populaire parmi les chrétiens. Quel meilleur nom pourrait-il y avoir que celui qui déclare qu'ils appartenaient à Christ ?</w:t>
      </w:r>
      <w:r/>
      <w:r/>
    </w:p>
    <w:p>
      <w:r/>
    </w:p>
    <w:p>
      <w:pPr>
        <w:pStyle w:val="Heading2"/>
      </w:pPr>
      <w:r>
        <w:t>Christ</w:t>
      </w:r>
      <w:r/>
    </w:p>
    <w:p>
      <w:r/>
      <w:r>
        <w:t>Christ est le titre officiel attribué à Jésus dans le Nouveau Testament. Ce titre renvoie à sa fonction de Sauveur oint et fait allusion à ses attributs spirituels, notamment celui de sauver les hommes. Le mot Christ vient du grec Christos</w:t>
      </w:r>
      <w:r>
        <w:rPr>
          <w:i/>
        </w:rPr>
        <w:t>,</w:t>
      </w:r>
      <w:r>
        <w:t xml:space="preserve"> qui se traduit en hébreu par Messie (</w:t>
      </w:r>
      <w:hyperlink r:id="rId2494">
        <w:r>
          <w:rPr>
            <w:color w:val="0000EE"/>
            <w:u w:val="single"/>
          </w:rPr>
          <w:t>Jean 1:41</w:t>
        </w:r>
      </w:hyperlink>
      <w:r>
        <w:t>). Ces deux termes sont issus de verbes qui signifient « oindre d’huile sacrée » ; ainsi, en tant que titres, ils signifient « l’Oint. » Dans le cas de Jésus, ces titres expriment la conviction selon laquelle il a été désigné par Dieu pour remplir sa fonction.</w:t>
      </w:r>
    </w:p>
    <w:p>
      <w:r/>
      <w:r>
        <w:t>Dans le Nouveau Testament, le titre Christ est employé avec le nom, sous la forme « Jésus-Christ » (</w:t>
      </w:r>
      <w:hyperlink r:id="rId573">
        <w:r>
          <w:rPr>
            <w:color w:val="0000EE"/>
            <w:u w:val="single"/>
          </w:rPr>
          <w:t>Matthieu 1:1</w:t>
        </w:r>
      </w:hyperlink>
      <w:r>
        <w:t xml:space="preserve">; </w:t>
      </w:r>
      <w:hyperlink r:id="rId2495">
        <w:r>
          <w:rPr>
            <w:color w:val="0000EE"/>
            <w:u w:val="single"/>
          </w:rPr>
          <w:t>Marc 1:1</w:t>
        </w:r>
      </w:hyperlink>
      <w:r>
        <w:t xml:space="preserve">; </w:t>
      </w:r>
      <w:hyperlink r:id="rId2496">
        <w:r>
          <w:rPr>
            <w:color w:val="0000EE"/>
            <w:u w:val="single"/>
          </w:rPr>
          <w:t>Romains 1:4</w:t>
        </w:r>
      </w:hyperlink>
      <w:r>
        <w:t xml:space="preserve">), « Jésus-Christ » (lsg </w:t>
      </w:r>
      <w:hyperlink r:id="rId2497">
        <w:r>
          <w:rPr>
            <w:color w:val="0000EE"/>
            <w:u w:val="single"/>
          </w:rPr>
          <w:t>Romains 1:1</w:t>
        </w:r>
      </w:hyperlink>
      <w:r>
        <w:t xml:space="preserve">; </w:t>
      </w:r>
      <w:hyperlink r:id="rId1054">
        <w:r>
          <w:rPr>
            <w:color w:val="0000EE"/>
            <w:u w:val="single"/>
          </w:rPr>
          <w:t>1 Corinthiens 1:1</w:t>
        </w:r>
      </w:hyperlink>
      <w:r>
        <w:t>), avec l’article « le » (</w:t>
      </w:r>
      <w:hyperlink r:id="rId2498">
        <w:r>
          <w:rPr>
            <w:color w:val="0000EE"/>
            <w:u w:val="single"/>
          </w:rPr>
          <w:t>Romains 7:4</w:t>
        </w:r>
      </w:hyperlink>
      <w:r>
        <w:t>), ou avec un autre titre « Seigneur » (</w:t>
      </w:r>
      <w:hyperlink r:id="rId2499">
        <w:r>
          <w:rPr>
            <w:color w:val="0000EE"/>
            <w:u w:val="single"/>
          </w:rPr>
          <w:t>Romains 16:18</w:t>
        </w:r>
      </w:hyperlink>
      <w:r>
        <w:t>). Ce titre s’emploie aussi seul comme nom ou titre de substitution privilégié pour Jésus (</w:t>
      </w:r>
      <w:hyperlink r:id="rId2500">
        <w:r>
          <w:rPr>
            <w:color w:val="0000EE"/>
            <w:u w:val="single"/>
          </w:rPr>
          <w:t>Jean 20:31</w:t>
        </w:r>
      </w:hyperlink>
      <w:r>
        <w:t xml:space="preserve">; </w:t>
      </w:r>
      <w:hyperlink r:id="rId2501">
        <w:r>
          <w:rPr>
            <w:color w:val="0000EE"/>
            <w:u w:val="single"/>
          </w:rPr>
          <w:t>Romains 15:3</w:t>
        </w:r>
      </w:hyperlink>
      <w:r>
        <w:t xml:space="preserve">; </w:t>
      </w:r>
      <w:hyperlink r:id="rId2502">
        <w:r>
          <w:rPr>
            <w:color w:val="0000EE"/>
            <w:u w:val="single"/>
          </w:rPr>
          <w:t>Hébreux 3:6</w:t>
        </w:r>
      </w:hyperlink>
      <w:r>
        <w:t xml:space="preserve">; </w:t>
      </w:r>
      <w:hyperlink r:id="rId2503">
        <w:r>
          <w:rPr>
            <w:color w:val="0000EE"/>
            <w:u w:val="single"/>
          </w:rPr>
          <w:t>5:5</w:t>
        </w:r>
      </w:hyperlink>
      <w:r>
        <w:t xml:space="preserve">; </w:t>
      </w:r>
      <w:hyperlink r:id="rId2504">
        <w:r>
          <w:rPr>
            <w:color w:val="0000EE"/>
            <w:u w:val="single"/>
          </w:rPr>
          <w:t>1 Pierre 1:11, 19</w:t>
        </w:r>
      </w:hyperlink>
      <w:r>
        <w:t>).</w:t>
      </w:r>
    </w:p>
    <w:p>
      <w:r/>
      <w:r>
        <w:t xml:space="preserve">Les Évangiles présentent Jésus comme celui qui accepte modestement le titre et le rôle de Messie. On doit concevoir son baptême comme son onction pour la triple fonction de prophète, de sacrificateur et de roi. Lors de son baptême par Jean (le nouvel Élie, </w:t>
      </w:r>
      <w:hyperlink r:id="rId2505">
        <w:r>
          <w:rPr>
            <w:color w:val="0000EE"/>
            <w:u w:val="single"/>
          </w:rPr>
          <w:t>Matthieu 11:14</w:t>
        </w:r>
      </w:hyperlink>
      <w:r>
        <w:t>), Jésus a reçu l’effusion de l’Esprit et le mandat de Dieu pour commencer son ministère (</w:t>
      </w:r>
      <w:hyperlink r:id="rId2506">
        <w:r>
          <w:rPr>
            <w:color w:val="0000EE"/>
            <w:u w:val="single"/>
          </w:rPr>
          <w:t>Matthieu 3:16–4:17</w:t>
        </w:r>
      </w:hyperlink>
      <w:r>
        <w:t>). Jean lui-même a nié être l’oint, mais a tacitement identifié Jésus comme le Christ (</w:t>
      </w:r>
      <w:hyperlink r:id="rId2507">
        <w:r>
          <w:rPr>
            <w:color w:val="0000EE"/>
            <w:u w:val="single"/>
          </w:rPr>
          <w:t>Jean 1:20</w:t>
        </w:r>
      </w:hyperlink>
      <w:r>
        <w:t xml:space="preserve">; </w:t>
      </w:r>
      <w:hyperlink r:id="rId2508">
        <w:r>
          <w:rPr>
            <w:color w:val="0000EE"/>
            <w:u w:val="single"/>
          </w:rPr>
          <w:t>Luc 3:14–17</w:t>
        </w:r>
      </w:hyperlink>
      <w:r>
        <w:t>). Les premiers disciples de Jésus l’ont suivi parce qu’ils savaient qu’il est le Messie (</w:t>
      </w:r>
      <w:hyperlink r:id="rId2494">
        <w:r>
          <w:rPr>
            <w:color w:val="0000EE"/>
            <w:u w:val="single"/>
          </w:rPr>
          <w:t>Jean 1:41</w:t>
        </w:r>
      </w:hyperlink>
      <w:r>
        <w:t>). Les démons ont reconnu Christ comme « le Saint [l’oint] de Dieu ». (</w:t>
      </w:r>
      <w:hyperlink r:id="rId2509">
        <w:r>
          <w:rPr>
            <w:color w:val="0000EE"/>
            <w:u w:val="single"/>
          </w:rPr>
          <w:t>Marc 1:24</w:t>
        </w:r>
      </w:hyperlink>
      <w:r>
        <w:t xml:space="preserve">; cf. </w:t>
      </w:r>
      <w:hyperlink r:id="rId2510">
        <w:r>
          <w:rPr>
            <w:color w:val="0000EE"/>
            <w:u w:val="single"/>
          </w:rPr>
          <w:t>Matthieu 8:29</w:t>
        </w:r>
      </w:hyperlink>
      <w:r>
        <w:t>). La foule le suivait pour l’avoir reconnu comme un Prophète, le nouveau Moïse (</w:t>
      </w:r>
      <w:hyperlink r:id="rId2511">
        <w:r>
          <w:rPr>
            <w:color w:val="0000EE"/>
            <w:u w:val="single"/>
          </w:rPr>
          <w:t>Jean 6:14, 32</w:t>
        </w:r>
      </w:hyperlink>
      <w:r>
        <w:t xml:space="preserve">), cependant, cette même foule a abandonné Jésus lorsqu’elle a su que son Royaume était spirituel et non politique (verset </w:t>
      </w:r>
      <w:hyperlink r:id="rId1034">
        <w:r>
          <w:rPr>
            <w:color w:val="0000EE"/>
            <w:u w:val="single"/>
          </w:rPr>
          <w:t>66</w:t>
        </w:r>
      </w:hyperlink>
      <w:r>
        <w:t>). Les douze disciples sont demeurés loyaux, en déclarant : « Nous croyons que tu es le Saint de Dieu » (</w:t>
      </w:r>
      <w:hyperlink r:id="rId2512">
        <w:r>
          <w:rPr>
            <w:color w:val="0000EE"/>
            <w:u w:val="single"/>
          </w:rPr>
          <w:t>Jean 6:69</w:t>
        </w:r>
      </w:hyperlink>
      <w:r>
        <w:t>, lsg). La confession des disciples exprimée par Pierre et approuvée par Jésus comme une révélation divine est : « Tu es le Christ, le Fils du Dieu vivant » (</w:t>
      </w:r>
      <w:hyperlink r:id="rId2513">
        <w:r>
          <w:rPr>
            <w:color w:val="0000EE"/>
            <w:u w:val="single"/>
          </w:rPr>
          <w:t>Matthieu 16:16</w:t>
        </w:r>
      </w:hyperlink>
      <w:r>
        <w:t>, lsg). Lors de son procès, le facteur décisif de la condamnation de Jésus a été sa prétention d’être le Christ (</w:t>
      </w:r>
      <w:hyperlink r:id="rId2514">
        <w:r>
          <w:rPr>
            <w:color w:val="0000EE"/>
            <w:u w:val="single"/>
          </w:rPr>
          <w:t>Matthieu 26:63–64, 68</w:t>
        </w:r>
      </w:hyperlink>
      <w:r>
        <w:t xml:space="preserve">; </w:t>
      </w:r>
      <w:hyperlink r:id="rId2515">
        <w:r>
          <w:rPr>
            <w:color w:val="0000EE"/>
            <w:u w:val="single"/>
          </w:rPr>
          <w:t>27:11, 17, 22, 37</w:t>
        </w:r>
      </w:hyperlink>
      <w:r>
        <w:t>).</w:t>
      </w:r>
    </w:p>
    <w:p>
      <w:r/>
      <w:r>
        <w:t>Un élément important de la prédication chrétienne la plus ancienne était la proclamation que Jésus est le Christ (</w:t>
      </w:r>
      <w:hyperlink r:id="rId2516">
        <w:r>
          <w:rPr>
            <w:color w:val="0000EE"/>
            <w:u w:val="single"/>
          </w:rPr>
          <w:t>Actes 2:36</w:t>
        </w:r>
      </w:hyperlink>
      <w:r>
        <w:t xml:space="preserve">; </w:t>
      </w:r>
      <w:hyperlink r:id="rId2517">
        <w:r>
          <w:rPr>
            <w:color w:val="0000EE"/>
            <w:u w:val="single"/>
          </w:rPr>
          <w:t>3:18–20</w:t>
        </w:r>
      </w:hyperlink>
      <w:r>
        <w:t xml:space="preserve">; </w:t>
      </w:r>
      <w:hyperlink r:id="rId2518">
        <w:r>
          <w:rPr>
            <w:color w:val="0000EE"/>
            <w:u w:val="single"/>
          </w:rPr>
          <w:t>9:22</w:t>
        </w:r>
      </w:hyperlink>
      <w:r>
        <w:t xml:space="preserve">; </w:t>
      </w:r>
      <w:hyperlink r:id="rId2519">
        <w:r>
          <w:rPr>
            <w:color w:val="0000EE"/>
            <w:u w:val="single"/>
          </w:rPr>
          <w:t>28:23, 31</w:t>
        </w:r>
      </w:hyperlink>
      <w:r>
        <w:t>). Cet élément reste le plus ancien (</w:t>
      </w:r>
      <w:hyperlink r:id="rId2513">
        <w:r>
          <w:rPr>
            <w:color w:val="0000EE"/>
            <w:u w:val="single"/>
          </w:rPr>
          <w:t>Matthieu 16:16</w:t>
        </w:r>
      </w:hyperlink>
      <w:r>
        <w:t>) et la base la plus fondamentale de la confession chrétienne (</w:t>
      </w:r>
      <w:hyperlink r:id="rId2520">
        <w:r>
          <w:rPr>
            <w:color w:val="0000EE"/>
            <w:u w:val="single"/>
          </w:rPr>
          <w:t>1 Corinthiens 1:23</w:t>
        </w:r>
      </w:hyperlink>
      <w:r>
        <w:t xml:space="preserve">; </w:t>
      </w:r>
      <w:hyperlink r:id="rId2521">
        <w:r>
          <w:rPr>
            <w:color w:val="0000EE"/>
            <w:u w:val="single"/>
          </w:rPr>
          <w:t>1 Jean 5:1</w:t>
        </w:r>
      </w:hyperlink>
      <w:r>
        <w:t>), qui affirme que Jésus a parfaitement rempli le rôle de prophète oint, de sacrificateur et de roi en tant que serviteur de Dieu pour son peuple (</w:t>
      </w:r>
      <w:hyperlink r:id="rId2522">
        <w:r>
          <w:rPr>
            <w:color w:val="0000EE"/>
            <w:u w:val="single"/>
          </w:rPr>
          <w:t>Luc 7:16</w:t>
        </w:r>
      </w:hyperlink>
      <w:r>
        <w:t xml:space="preserve">; </w:t>
      </w:r>
      <w:hyperlink r:id="rId2523">
        <w:r>
          <w:rPr>
            <w:color w:val="0000EE"/>
            <w:u w:val="single"/>
          </w:rPr>
          <w:t>1 Corinthiens 15:25</w:t>
        </w:r>
      </w:hyperlink>
      <w:r>
        <w:t xml:space="preserve">; </w:t>
      </w:r>
      <w:hyperlink r:id="rId2524">
        <w:r>
          <w:rPr>
            <w:color w:val="0000EE"/>
            <w:u w:val="single"/>
          </w:rPr>
          <w:t>Hébreux 7:22–28</w:t>
        </w:r>
      </w:hyperlink>
      <w:r>
        <w:t xml:space="preserve">; </w:t>
      </w:r>
      <w:hyperlink r:id="rId2525">
        <w:r>
          <w:rPr>
            <w:color w:val="0000EE"/>
            <w:u w:val="single"/>
          </w:rPr>
          <w:t>Apocalypse 19:16</w:t>
        </w:r>
      </w:hyperlink>
      <w:r>
        <w:t>).</w:t>
      </w:r>
    </w:p>
    <w:p>
      <w:r/>
      <w:r>
        <w:rPr>
          <w:i/>
        </w:rPr>
        <w:t>Consultez aussi</w:t>
      </w:r>
      <w:r>
        <w:t xml:space="preserve"> </w:t>
      </w:r>
      <w:r>
        <w:t>Jésus-Christ, la vie et les enseignements du</w:t>
      </w:r>
      <w:r>
        <w:t xml:space="preserve">; </w:t>
      </w:r>
      <w:r>
        <w:t>Messie</w:t>
      </w:r>
      <w:r>
        <w:t>.</w:t>
      </w:r>
      <w:r/>
      <w:r/>
    </w:p>
    <w:p>
      <w:r/>
    </w:p>
    <w:p>
      <w:pPr>
        <w:pStyle w:val="Heading2"/>
      </w:pPr>
      <w:r>
        <w:t>Christologie</w:t>
      </w:r>
      <w:r/>
    </w:p>
    <w:p>
      <w:r/>
      <w:r>
        <w:t>Étude de la personne et l'être de Jésus-Christ et de ce qu'il a accompli. La croyance que Jésus est le Christ, le Fils du Dieu vivant, a été d'abord déclarée avec témérité par Pierre à Césarée de Philippe (</w:t>
      </w:r>
      <w:hyperlink r:id="rId2513">
        <w:r>
          <w:rPr>
            <w:color w:val="0000EE"/>
            <w:u w:val="single"/>
          </w:rPr>
          <w:t>Mt 16.16</w:t>
        </w:r>
      </w:hyperlink>
      <w:r>
        <w:t>). Il s'agit de la croyance centrale de la foi chrétienne. C'est ce qui fait de quelqu'un un chrétien. Toute la théologie chrétienne est centrée sur la compréhension du sens de cette croyance.</w:t>
      </w:r>
    </w:p>
    <w:p>
      <w:r/>
      <w:r>
        <w:t>La première décision théologique de taille dans l'Église, fondée sur cette croyance, sera d'accepter que Jésus, le Fils de Dieu, est véritablement divin. Cela signifie qu'il partage la même essence que Dieu le Père et le Saint-Esprit. Cette croyance a été rendue explicite dans la doctrine de la Trinité lors du Concile de Nicée en 325 ap. J.‑C. Puisque cette doctrine a été appliquée à Jésus de Nazareth, elle a soulevé la question : comment une personne peut-elle être à la fois Dieu et homme ? Comment quelqu'un d'infini peut-il devenir fini ? Comment quelqu'un d'éternel peut-il faire partie du temps ? Comment Dieu peut-il devenir humain ?</w:t>
      </w:r>
    </w:p>
    <w:p>
      <w:r/>
      <w:r>
        <w:t>Pour répondre à cela, l'Église a accepté la doctrine de l'Incarnation, qui affirme que Dieu est devenu un être humain en Jésus. Cette doctrine a été élaborée après de nombreuses discussions. Au cours de ces débats, l'Église a rejeté certaines idées :</w:t>
      </w:r>
    </w:p>
    <w:p>
      <w:pPr>
        <w:pStyle w:val="ListBullet"/>
        <w:spacing w:line="240" w:lineRule="auto"/>
        <w:ind w:left="720"/>
      </w:pPr>
      <w:r/>
      <w:r>
        <w:t>Le docétisme niait l'humanité de Jésus pour mettre en avant sa divinité.</w:t>
      </w:r>
    </w:p>
    <w:p>
      <w:pPr>
        <w:pStyle w:val="ListBullet"/>
        <w:spacing w:line="240" w:lineRule="auto"/>
        <w:ind w:left="720"/>
      </w:pPr>
      <w:r/>
      <w:r>
        <w:t>L'adoptionisme niait sa divinité pour mettre en avant son humanité.</w:t>
      </w:r>
    </w:p>
    <w:p>
      <w:pPr>
        <w:pStyle w:val="ListBullet"/>
        <w:spacing w:line="240" w:lineRule="auto"/>
        <w:ind w:left="720"/>
      </w:pPr>
      <w:r/>
      <w:r>
        <w:t>Les Apollinariens croyaient que Jésus avait seulement l'apparence humaine, mais que son esprit était divin.</w:t>
      </w:r>
    </w:p>
    <w:p>
      <w:pPr>
        <w:pStyle w:val="ListBullet"/>
        <w:spacing w:line="240" w:lineRule="auto"/>
        <w:ind w:left="720"/>
      </w:pPr>
      <w:r/>
      <w:r>
        <w:t xml:space="preserve">D'autres croyaient que Jésus était humain mais qu'il est devenu divin par le développement moral, pour ensuite devenir Dieu. Cela s'est produit soit lors de son baptême quand il a reçu le Saint-Esprit, soit lors de sa résurrection, comme le suggèrerait </w:t>
      </w:r>
      <w:hyperlink r:id="rId2526">
        <w:r>
          <w:rPr>
            <w:color w:val="0000EE"/>
            <w:u w:val="single"/>
          </w:rPr>
          <w:t>Actes 13.33</w:t>
        </w:r>
      </w:hyperlink>
      <w:r>
        <w:t xml:space="preserve"> : « </w:t>
      </w:r>
      <w:r>
        <w:t>Je t’ai engendré aujourd’hui</w:t>
      </w:r>
      <w:r>
        <w:t xml:space="preserve"> ».</w:t>
      </w:r>
    </w:p>
    <w:p>
      <w:pPr>
        <w:pStyle w:val="ListBullet"/>
        <w:spacing w:line="240" w:lineRule="auto"/>
        <w:ind w:left="720"/>
      </w:pPr>
      <w:r/>
      <w:r>
        <w:t>Le nestorianisme soutenait que Jésus était deux personnes distinctes : une divine et une humaine.</w:t>
      </w:r>
    </w:p>
    <w:p>
      <w:pPr>
        <w:pStyle w:val="ListBullet"/>
        <w:spacing w:line="240" w:lineRule="auto"/>
        <w:ind w:left="720"/>
      </w:pPr>
      <w:r/>
      <w:r>
        <w:t>Le monophysisme soutenait que Jésus possédait une nature divine et humaine fusionnée.</w:t>
      </w:r>
    </w:p>
    <w:p>
      <w:pPr>
        <w:pStyle w:val="Heading3"/>
      </w:pPr>
      <w:r>
        <w:t>Le Credo de Chalcédoine</w:t>
      </w:r>
    </w:p>
    <w:p>
      <w:r/>
      <w:r>
        <w:t>Lors du Concile de Chalcédoine en 451 ap. J.‑C., l'Église a affirmé que Jésus-Christ est véritablement Dieu et véritablement homme. Le credo de ce concile le dit ainsi :</w:t>
      </w:r>
    </w:p>
    <w:p>
      <w:r/>
      <w:r>
        <w:t>« [Il est] consubstantiel au Père selon la divinité et [il est] consubstantiel à nous selon l'humanité, en tout semblable à nous sauf le péché, avant les siècles engendré du Père selon la divinité, et aux derniers jours [engendré] pour nous et pour notre salut de la Vierge Marie, Mère de Dieu selon l'humanité, un seul même Christ, Fils, Seigneur, Monogène [unique-engendré], reconnu en deux natures, sans confusion, sans changement, sans division et sans séparation, la différence des deux natures n'étant nullement supprimée à cause de l'union, la propriété de l'une et l'autre nature étant bien plutôt sauvegardée et concourant à une seule personne et une seule hypostase [subsistence], un Christ ne se fractionnant ni se divisant en deux personnes, mais en un seul et même Fils, unique engendré, Dieu Verbe, Seigneur Jésus-Christ. »</w:t>
      </w:r>
    </w:p>
    <w:p>
      <w:r/>
      <w:r>
        <w:t>Lors de la Réforme, les réformateurs protestants ont également accepté cette confession.</w:t>
      </w:r>
    </w:p>
    <w:p>
      <w:r/>
      <w:r>
        <w:t>Cette compréhension de Christ n'explique pas le mystère de l'Incarnation, mais elle définit comment les croyants devraient penser Christ. Cela a été important dans la pensée chrétienne tout au long de l'histoire.</w:t>
      </w:r>
    </w:p>
    <w:p>
      <w:r/>
      <w:r>
        <w:t>Certains termes clés du credo sont :</w:t>
      </w:r>
    </w:p>
    <w:p>
      <w:pPr>
        <w:pStyle w:val="ListBullet"/>
        <w:spacing w:line="240" w:lineRule="auto"/>
        <w:ind w:left="720"/>
      </w:pPr>
      <w:r/>
      <w:r>
        <w:rPr>
          <w:b/>
        </w:rPr>
        <w:t>Nature</w:t>
      </w:r>
      <w:r>
        <w:t xml:space="preserve"> (du grec </w:t>
      </w:r>
      <w:r>
        <w:rPr>
          <w:i/>
        </w:rPr>
        <w:t>phusis</w:t>
      </w:r>
      <w:r>
        <w:t>)</w:t>
      </w:r>
    </w:p>
    <w:p>
      <w:r/>
      <w:r>
        <w:t>Cela se réfère non pas à des choses physiques pouvant être étudiées par la science. Plutôt, « nature » se réfère à l'essence d'une chose. La nature de Jésus-Christ étant « divine » signifie que toutes les qualités qui définissent Dieu s'appliquent également à lui. Il n'est pas seulement comme Dieu, il est Dieu. Mais, la même chose est vraie pour sa nature humaine : Jésus ne ressemble pas seulement à un homme, il est un homme. Il n'est pas seulement un homme ou seulement Dieu, il est le Dieu qui est devenu un homme. Jésus n'a pas cessé d'être Dieu quand il est devenu un homme, ni échangé un esprit divin pour un esprit humain. Au lieu de cela, il est devenu humain, et est donc maintenant à la fois divin et humain.</w:t>
      </w:r>
    </w:p>
    <w:p>
      <w:pPr>
        <w:pStyle w:val="ListBullet"/>
        <w:spacing w:line="240" w:lineRule="auto"/>
        <w:ind w:left="720"/>
      </w:pPr>
      <w:r/>
      <w:r>
        <w:rPr>
          <w:b/>
        </w:rPr>
        <w:t>Personne</w:t>
      </w:r>
      <w:r>
        <w:t xml:space="preserve"> (du grec </w:t>
      </w:r>
      <w:r>
        <w:rPr>
          <w:i/>
        </w:rPr>
        <w:t>hupostasis</w:t>
      </w:r>
      <w:r>
        <w:t>)</w:t>
      </w:r>
    </w:p>
    <w:p>
      <w:r/>
      <w:r>
        <w:t>Ce mot décrit Jésus-Christ comme un individu libre doté d'une conscience de soi, quelqu'un qui peut se référer à lui-même comme « je » et se rapporter aux autres comme « tu ». Liant Dieu et l'humanité, Jésus est une personne avec deux natures : une divine et une humaine. Bien qu'il ne puisse y avoir de « personne » sans « nature », il peut y avoir une « nature » sans « personne ». Par exemple, un objet comme une pierre peut avoir la « nature » d'être grise, dure, ronde et lisse, mais ce n'est pas une « personne » car elle n'est ni consciente d'elle-même ni libre.</w:t>
      </w:r>
    </w:p>
    <w:p>
      <w:r/>
      <w:r>
        <w:t xml:space="preserve">Christ est une « personne » avec à la fois une « nature divine » et une « nature humaine ». Les Pères de l'Église ont enseigné que, bien que Christ ait toutes les qualités divines et humaines (y compris les attributs physiques humains, la Parole ayant « </w:t>
      </w:r>
      <w:r>
        <w:t>été faite chair</w:t>
      </w:r>
      <w:r>
        <w:t xml:space="preserve"> », </w:t>
      </w:r>
      <w:hyperlink r:id="rId1968">
        <w:r>
          <w:rPr>
            <w:color w:val="0000EE"/>
            <w:u w:val="single"/>
          </w:rPr>
          <w:t>Jn 1.14</w:t>
        </w:r>
      </w:hyperlink>
      <w:r>
        <w:t xml:space="preserve">), Il n'était pas « deux personnes ». Il est une personne divine avec une nature humaine. Il n'est pas une personne humaine. Tous les humains ont un commencement. Un humain devient conscient de lui-même à un moment donné. Cependant, Jésus a dit : « </w:t>
      </w:r>
      <w:r>
        <w:t>avant qu’Abraham fût, je suis</w:t>
      </w:r>
      <w:r>
        <w:t xml:space="preserve"> » (</w:t>
      </w:r>
      <w:hyperlink r:id="rId2527">
        <w:r>
          <w:rPr>
            <w:color w:val="0000EE"/>
            <w:u w:val="single"/>
          </w:rPr>
          <w:t>Jn 8.58</w:t>
        </w:r>
      </w:hyperlink>
      <w:r>
        <w:t>). Cette déclaration est la vérité absolue. La personne qui prêchait sur la montagne et appelait les pêcheurs à le suivre au bord de la mer est la même personne qui existait avant qu'il n'y ait une mer, une montagne, ou même des pêcheurs.</w:t>
      </w:r>
    </w:p>
    <w:p>
      <w:r/>
      <w:r>
        <w:t>Jésus n'est pas seulement un humain qui a reçu des révélations par la Parole de Dieu. Jésus est le Fils éternel de Dieu qui est devenu un être humain. Le Fils de Dieu n'est pas entré dans une personne humaine. Il a ajouté la nature humaine à sa personne divine. Il reste la même personne, bien qu'il partage maintenant notre humanité. Par conséquent, Jésus vit dans l'histoire et transcende l'histoire. Par exemple, il a dit : « Je t’ai glorifié sur la terre,j’ai achevé l’œuvre que tu m’as donnée à faire. Et maintenant toi, Père, glorifie-moi auprès de toi-même de la gloireque j’avais auprès de toi avant que le monde fût » (</w:t>
      </w:r>
      <w:hyperlink r:id="rId2528">
        <w:r>
          <w:rPr>
            <w:color w:val="0000EE"/>
            <w:u w:val="single"/>
          </w:rPr>
          <w:t>Jn 17.4–5</w:t>
        </w:r>
      </w:hyperlink>
      <w:r>
        <w:t>). Jésus parle comme quelqu'un dans le monde qui existait aussi avant le commencement du monde et partageait la gloire du Père.</w:t>
      </w:r>
    </w:p>
    <w:p>
      <w:r/>
      <w:r>
        <w:t>Essayer de comprendre ce mystère conduit généralement à le simplifier à l'excès. En voici certaines tentatives :</w:t>
      </w:r>
    </w:p>
    <w:p>
      <w:pPr>
        <w:pStyle w:val="ListBullet"/>
        <w:spacing w:line="240" w:lineRule="auto"/>
        <w:ind w:left="720"/>
      </w:pPr>
      <w:r/>
      <w:r>
        <w:rPr>
          <w:b/>
        </w:rPr>
        <w:t>Docétisme</w:t>
      </w:r>
      <w:r>
        <w:t xml:space="preserve"> : Christ serait un être divin qui ne fait qu'apparaître comme humain.</w:t>
      </w:r>
    </w:p>
    <w:p>
      <w:pPr>
        <w:pStyle w:val="ListBullet"/>
        <w:spacing w:line="240" w:lineRule="auto"/>
        <w:ind w:left="720"/>
      </w:pPr>
      <w:r/>
      <w:r>
        <w:rPr>
          <w:b/>
        </w:rPr>
        <w:t>Adoptionisme</w:t>
      </w:r>
      <w:r>
        <w:t xml:space="preserve"> : Christ serait un être humain qui est devenu divin.</w:t>
      </w:r>
    </w:p>
    <w:p>
      <w:pPr>
        <w:pStyle w:val="ListBullet"/>
        <w:spacing w:line="240" w:lineRule="auto"/>
        <w:ind w:left="720"/>
      </w:pPr>
      <w:r/>
      <w:r>
        <w:rPr>
          <w:b/>
        </w:rPr>
        <w:t>Ritschlianisme</w:t>
      </w:r>
      <w:r>
        <w:t xml:space="preserve"> : Christ n'aurait de valeur divine que pour autrui.</w:t>
      </w:r>
    </w:p>
    <w:p>
      <w:r/>
      <w:r>
        <w:t>Pour préserver les deux natures de Jésus-Christ, le credo utilise quatre phrases qui nous indiquent ce qui est vrai à propos de l'Incarnation (lorsque Christ est devenu homme) :</w:t>
      </w:r>
    </w:p>
    <w:p>
      <w:pPr>
        <w:pStyle w:val="ListNumber"/>
        <w:spacing w:line="240" w:lineRule="auto"/>
        <w:ind w:left="720"/>
      </w:pPr>
      <w:r/>
      <w:r>
        <w:t>Sans confusion</w:t>
      </w:r>
    </w:p>
    <w:p>
      <w:pPr>
        <w:pStyle w:val="ListNumber"/>
        <w:spacing w:line="240" w:lineRule="auto"/>
        <w:ind w:left="720"/>
      </w:pPr>
      <w:r/>
      <w:r>
        <w:t>Sans changement</w:t>
      </w:r>
    </w:p>
    <w:p>
      <w:pPr>
        <w:pStyle w:val="ListNumber"/>
        <w:spacing w:line="240" w:lineRule="auto"/>
        <w:ind w:left="720"/>
      </w:pPr>
      <w:r/>
      <w:r>
        <w:t>Sans séparation</w:t>
      </w:r>
    </w:p>
    <w:p>
      <w:pPr>
        <w:pStyle w:val="ListNumber"/>
        <w:spacing w:line="240" w:lineRule="auto"/>
        <w:ind w:left="720"/>
      </w:pPr>
      <w:r/>
      <w:r>
        <w:t>Sans division</w:t>
      </w:r>
    </w:p>
    <w:p>
      <w:r/>
      <w:r>
        <w:t>Certaines personnes se sont moquées de ces propositions en les qualifiant de « quatre simples négations », mais elles sont en réalité très importantes. Si l'une d'entre elles est fausse, nous perdrons une croyance centrale de la foi chrétienne : que Jésus-Christ est pleinement à la fois Dieu et homme.</w:t>
      </w:r>
    </w:p>
    <w:p>
      <w:r/>
      <w:r>
        <w:t>Le credo ne dit pas seulement ce qui ne s'est pas passé lors de l'Incarnation, il nous dit aussi ce qui s'est passé :</w:t>
      </w:r>
    </w:p>
    <w:p>
      <w:pPr>
        <w:pStyle w:val="ListBullet"/>
        <w:spacing w:line="240" w:lineRule="auto"/>
        <w:ind w:left="720"/>
      </w:pPr>
      <w:r/>
      <w:r>
        <w:t>Les deux natures de Jésus ont été unies.</w:t>
      </w:r>
    </w:p>
    <w:p>
      <w:pPr>
        <w:pStyle w:val="ListBullet"/>
        <w:spacing w:line="240" w:lineRule="auto"/>
        <w:ind w:left="720"/>
      </w:pPr>
      <w:r/>
      <w:r>
        <w:t>Les deux natures se manifestent en une seule personne.</w:t>
      </w:r>
    </w:p>
    <w:p>
      <w:pPr>
        <w:pStyle w:val="ListBullet"/>
        <w:spacing w:line="240" w:lineRule="auto"/>
        <w:ind w:left="720"/>
      </w:pPr>
      <w:r/>
      <w:r>
        <w:t>Cette personne est le Fils éternel du Père.</w:t>
      </w:r>
    </w:p>
    <w:p>
      <w:r/>
      <w:r>
        <w:t>Cette union des deux natures a été réalisée par le Fils de Dieu. Voilà le mystère principal de l'Incarnation : personne ne sait comment un Dieu infini est devenu un homme fini. Les théologiens ont profondément réfléchi à cela, et de nombreuses explications ont été écrites depuis le Concile de Chalcédoine.</w:t>
      </w:r>
    </w:p>
    <w:p>
      <w:r/>
      <w:r>
        <w:t>L'union des natures divine et humaine en Jésus est appelée l'« union hypostatique ». Ce terme vient d'un mot grec qui signifie « personne ». L'union est personnelle car c'est l'acte d'une personne, le Fils de Dieu, qui est devenu humain. Cela signifie que Jésus est une personne divine qui mérite d'être adorée. Il n'est pas simplement un humain comme n'importe qui d'autre. Adorer un humain serait de l'idolâtrie. Parce que la nature divine et humaine de Jésus sont unies en une seule personne, Jésus est une personne et non pas deux. Adorer deux personnes (une humaine et une divine) serait absurde. Par conséquent, cette personne, qui combine à la fois les natures divine et humaine, est souvent appelée le « Dieu-homme ». Tant que ce terme est compris pour signifier que Jésus-Christ est pleinement à la fois Dieu et homme, il est cohérent avec l'enseignement du credo.</w:t>
      </w:r>
    </w:p>
    <w:p>
      <w:pPr>
        <w:pStyle w:val="Heading3"/>
      </w:pPr>
      <w:r>
        <w:t>La Christologie après Chalcédoine</w:t>
      </w:r>
    </w:p>
    <w:p>
      <w:r/>
      <w:r>
        <w:t>Après le Concile de Chalcédoine, comprendre l'humanité de Jésus est devenu difficile, et il n'y a eu que peu d'accord entre les théologiens. Cependant, la perspective la plus cohérente avec le Credo de Chalcédoine et largement acceptée par les protestants se réfère à l'« humanité impersonnelle » de Jésus. Des théologiens modernes comme Karl Barth, Emil Brunner et G. C. Berkouwer ont également soutenu cette vision.</w:t>
      </w:r>
    </w:p>
    <w:p>
      <w:r/>
      <w:r>
        <w:t>« Humanité impersonnelle » ne signifie pas que le Jésus incarné manquait de qualités humaines. Au contraire, cela signifie que son humanité n'existe que comme partie de la Personne divine qui a pris la nature humaine dans l'Incarnation. La nature humaine de Jésus existe dans et à travers le Verbe (le Fils de Dieu), qui est Dieu. Bien que Dieu soit présent dans toute la création, Dieu ne partage pas son identité avec quoi que ce soit. Même lorsque le Nouveau Testament dit que le Saint-Esprit vit dans les chrétiens, cela ne signifie pas qu'ils sont identiques à Dieu. L'humain et le divin ne sont pas identiques. Cependant, Jésus-Christ était unique : Jésus est identique à Dieu parce qu'il est le Verbe fait chair. Comme le dit Karl Barth, Jésus ne vit pas seulement à travers Dieu ou avec Dieu ; il est Dieu. Sa nature humaine est unie à sa nature divine, ce qui signifie que son humanité est une caractéristique de sa divinité. Sa nature humaine n'existe que grâce au Verbe divin agissant en lui et à travers lui.</w:t>
      </w:r>
    </w:p>
    <w:p>
      <w:r/>
      <w:r>
        <w:t>En termes simples, Jésus est si uni à Dieu qu'il ne peut exister en tant qu'homme que parce qu'il est Dieu. Cela est confirmé par deux doctrines :</w:t>
      </w:r>
    </w:p>
    <w:p>
      <w:pPr>
        <w:pStyle w:val="ListBullet"/>
        <w:spacing w:line="240" w:lineRule="auto"/>
        <w:ind w:left="720"/>
      </w:pPr>
      <w:r/>
      <w:r>
        <w:rPr>
          <w:b/>
        </w:rPr>
        <w:t>Anhypostasie :</w:t>
      </w:r>
      <w:r>
        <w:t xml:space="preserve"> La nature humaine de Jésus n'existe pas par elle-même.</w:t>
      </w:r>
    </w:p>
    <w:p>
      <w:pPr>
        <w:pStyle w:val="ListBullet"/>
        <w:spacing w:line="240" w:lineRule="auto"/>
        <w:ind w:left="720"/>
      </w:pPr>
      <w:r/>
      <w:r>
        <w:rPr>
          <w:b/>
        </w:rPr>
        <w:t>Enhypostasie</w:t>
      </w:r>
      <w:r>
        <w:t xml:space="preserve"> : La nature humaine de Jésus existe par son union avec le Fils divin de Dieu. Jésus de Nazareth n'est pas devenu le Fils de Dieu, c'est le Fils de Dieu qui est devenu Jésus de Nazareth.</w:t>
      </w:r>
    </w:p>
    <w:p>
      <w:r/>
      <w:r>
        <w:t>L'Incarnation est un acte d'une Personne divine, non l'expérience d'une personne humaine qui devient divine. Dans l'Incarnation, le Fils de Dieu a agi, mais une personne humaine n'a pas été transformée. Parce que le Fils divin agit pour devenir homme en Jésus de Nazareth, cet homme est le Fils de Dieu d'une manière qu'aucun autre humain ne peut l'être.</w:t>
      </w:r>
    </w:p>
    <w:p>
      <w:r/>
      <w:r>
        <w:t>La preuve scripturaire de la doctrine de l'Incarnation inclut :</w:t>
      </w:r>
    </w:p>
    <w:p>
      <w:pPr>
        <w:pStyle w:val="ListBullet"/>
        <w:spacing w:line="240" w:lineRule="auto"/>
        <w:ind w:left="720"/>
      </w:pPr>
      <w:r/>
      <w:r>
        <w:t>Les Évangiles</w:t>
      </w:r>
    </w:p>
    <w:p>
      <w:pPr>
        <w:pStyle w:val="ListBullet"/>
        <w:spacing w:line="240" w:lineRule="auto"/>
        <w:ind w:left="720"/>
      </w:pPr>
      <w:r/>
      <w:r>
        <w:t xml:space="preserve">Plusieurs passages dans les lettres de Paul, en particulier </w:t>
      </w:r>
      <w:hyperlink r:id="rId2529">
        <w:r>
          <w:rPr>
            <w:color w:val="0000EE"/>
            <w:u w:val="single"/>
          </w:rPr>
          <w:t>Philippiens 2.6–8</w:t>
        </w:r>
      </w:hyperlink>
      <w:r>
        <w:t>, qui constitue la déclaration la plus importante sur Christ dans le Nouveau Testament. Paul parle de Jésus, « lequel, existant en forme de Dieu, n’a point regardé comme une proie à arracher d’être égal avec Dieu, mais s’est dépouillé lui-même, en prenant une forme de serviteur, en devenant semblable aux hommes. »</w:t>
      </w:r>
    </w:p>
    <w:p>
      <w:r/>
      <w:r>
        <w:t>Le Credo de Chalcédoine ne résout pas le mystère de l'Incarnation, et les théologiens ont fait de nombreux efforts pour mieux le comprendre. Une théorie bien connue, basée sur le passage de Philippiens mentionné précédemment, est appelée « kénotisme ». Elle suggère que lorsque le Fils de Dieu est devenu humain, il a abandonné (« s'est dépouillé ») certains aspects de sa divinité. Cependant, le texte de Philippiens ne dit pas qu'il a été vidé de quoi que ce soit, mais plutôt qu'il « s'est dépouillé », une figure de style signifiant qu'il s'est humilié. Malgré la difficulté d'interprrétation de cette déclaration, la théorie du kénotisme fait toujours rage, en particulier dans la théologie britannique. Une autre interprétation suggère que l'humanité de Jésus était un déguisement (un terme utilisé par le philosophe Søren Kierkegaard) qui cachait son identité divine à tout le monde sauf à ceux qui avaient la foi. Selon ce point de vue, l'Incarnation révèle la vérité mais la cache aussi.</w:t>
      </w:r>
    </w:p>
    <w:p>
      <w:r/>
      <w:r>
        <w:rPr>
          <w:i/>
        </w:rPr>
        <w:t>Voir aussi</w:t>
      </w:r>
      <w:r>
        <w:t xml:space="preserve"> </w:t>
      </w:r>
      <w:r>
        <w:t>Ascension de Christ</w:t>
      </w:r>
      <w:r>
        <w:t xml:space="preserve"> ; </w:t>
      </w:r>
      <w:r>
        <w:t>Christ</w:t>
      </w:r>
      <w:r>
        <w:t xml:space="preserve"> ; </w:t>
      </w:r>
      <w:r>
        <w:t>Incarnation</w:t>
      </w:r>
      <w:r>
        <w:t xml:space="preserve"> ; </w:t>
      </w:r>
      <w:r>
        <w:t>Jésus-Christ, Vie et enseignements de</w:t>
      </w:r>
      <w:r>
        <w:t xml:space="preserve"> ; </w:t>
      </w:r>
      <w:r>
        <w:t>Royaume de Dieu, Royaume des cieux</w:t>
      </w:r>
      <w:r>
        <w:t xml:space="preserve"> ; </w:t>
      </w:r>
      <w:r>
        <w:t>Messie</w:t>
      </w:r>
      <w:r>
        <w:t xml:space="preserve"> ; </w:t>
      </w:r>
      <w:r>
        <w:t>Parabole</w:t>
      </w:r>
      <w:r>
        <w:t xml:space="preserve"> ; </w:t>
      </w:r>
      <w:r>
        <w:t>Fils de Dieu</w:t>
      </w:r>
      <w:r>
        <w:t xml:space="preserve"> ; </w:t>
      </w:r>
      <w:r>
        <w:t>Fils de l'Homme</w:t>
      </w:r>
      <w:r>
        <w:t xml:space="preserve"> ; </w:t>
      </w:r>
      <w:r>
        <w:t>Naissance virginale de Jésus</w:t>
      </w:r>
      <w:r>
        <w:t xml:space="preserve"> ; </w:t>
      </w:r>
      <w:r>
        <w:t>Parole, Parole de Dieu, Paroles de Dieu</w:t>
      </w:r>
      <w:r>
        <w:t>.</w:t>
      </w:r>
      <w:r/>
      <w:r/>
    </w:p>
    <w:p>
      <w:r/>
    </w:p>
    <w:p>
      <w:pPr>
        <w:pStyle w:val="Heading2"/>
      </w:pPr>
      <w:r>
        <w:t>Chronologie de la Bible (Ancien Testament)</w:t>
      </w:r>
      <w:r/>
    </w:p>
    <w:p>
      <w:r/>
      <w:r>
        <w:t>La branche des études bibliques qui s'efforce d'attribuer des dates et des séquences aux événements de l'Ancien Testament (AT) s'appelle la chronologie. Il s'agit d'une science qui traite de preuves, de théories, d'hypothèses et de l'équilibre de probabilités. Il s'agira souvent de choisir parmi des théories qui ne parviennent pas toutes à résoudre les problèmes soulevés par d'autres points de vue. La chronologie de l'AT est une branche reconnue des études bibliques, en grande partie parce qu'elle est essentielle pour comprendre le contexte historique approprié des textes bibliques. En général, la chronologie de l'AT est suffisamment bien comprise pour justifier l'exactitude de base et l'ordre séquentiel des Écritures.</w:t>
      </w:r>
    </w:p>
    <w:p>
      <w:r/>
      <w:r>
        <w:t xml:space="preserve">Les données bibliques et non bibliques sont utilisées par les étudiants de la chronologie de l'AT. Les éléments bibliques incluent (1) les généalogies montrant les affiliations personnelles et tribales parmi divers peuples ; (2) les chiffres spécifiques donnés par les auteurs bibliques pour indiquer la longévité d'une personne, le règne d'un roi ou la durée d'un événement spécifique ; (3) les déclarations de synchronisation qui datent un événement dans une année spécifique du règne d'un roi ou le relient à un phénomène naturel supposé être de notoriété publique au moment de l'écriture (voir par exemple </w:t>
      </w:r>
      <w:hyperlink r:id="rId792">
        <w:r>
          <w:rPr>
            <w:color w:val="0000EE"/>
            <w:u w:val="single"/>
          </w:rPr>
          <w:t>Am 1.1</w:t>
        </w:r>
      </w:hyperlink>
      <w:r>
        <w:t xml:space="preserve"> ; </w:t>
      </w:r>
      <w:hyperlink r:id="rId793">
        <w:r>
          <w:rPr>
            <w:color w:val="0000EE"/>
            <w:u w:val="single"/>
          </w:rPr>
          <w:t>Za 14.5</w:t>
        </w:r>
      </w:hyperlink>
      <w:r>
        <w:t>).</w:t>
      </w:r>
    </w:p>
    <w:p>
      <w:r/>
      <w:r>
        <w:t>Au vu de l'abondance de tels passages chronologiques dans l'AT, il pourrait sembler que l'établissement des dates et des séquences de l'AT soit une procédure simple. Toutefois, chacun des ces trois types de données présente des problèmes qui doivent d'abord être résolus.</w:t>
      </w:r>
    </w:p>
    <w:p>
      <w:r/>
      <w:r>
        <w:t>Les données non-bibliques qui éclairent la chronologie de l'AT sont assez nombreuses, et de nouvelles sont découvertes chaque année. Elles incluent (1) des archives officielles d'affaires importantes telles que des campagnes militaires de pays comme l'Égypte ou Babylone ; (2) des inscriptions officielles dédicatoires ou commémorant une grande victoire ; (3) des annales répertoriant les réalisations majeures d'un souverain année par année ; (4) des ostraca (morceaux de poterie inscrits) contenant des lettres, des transactions fiscales et des dossiers économiques, des dépêches militaires entre les officiers de terrain et les quartiers généraux, ou d'autres informations. Les ostraca peuvent être datés archéologiquement et sont souvent utilisés pour compléter le récit biblique.</w:t>
      </w:r>
    </w:p>
    <w:p>
      <w:r/>
      <w:r>
        <w:t>Le chronologiste s'efforce d'examiner les données bibliques et non-bibliques pertinentes, note les zones de corrélation parmi toutes les données et établit finalement un système provisoire dans lequel le plus grand nombre possible de faits peut être intégré. De nouvelles preuves découvertes à tout moment peuvent nécessiter des ajustements dans le système provisoire actuel. Bien que la structure de base de la chronologie biblique semble raisonnablement solide, de nombreux détails seront sans doute sujets à changement à mesure que de nouvelles preuves seront découvertes.</w:t>
      </w:r>
    </w:p>
    <w:p>
      <w:r/>
      <w:r>
        <w:t>En règle générale, plus la période est ancienne, moins on peut être certain de sa datation. Au deuxième millénaire av. J.‑C., par exemple, de nombreuses dates peuvent être attribuées dans une fourchette d'environ 100 ans. À l'époque de David et Salomon (vers 1000 avant J.‑C.), la marge d'erreur sur laquelle les chercheurs débattent est d'une décennie ou moins. La fourchette se rétrécit à mesure que l'on se rapproche du présent, de sorte que, à l'exception d'une ou deux périodes problématiques, des dates précises à une ou deux années près sont possibles à compter du milieu du 9e siècle av. J.‑C. De telles limitations doivent être prises en compte dans toute étude des grandes périodes de l'histoire de l'AT.</w:t>
      </w:r>
    </w:p>
    <w:p>
      <w:r/>
      <w:r>
        <w:t>Survol</w:t>
      </w:r>
    </w:p>
    <w:p>
      <w:r/>
      <w:r>
        <w:t xml:space="preserve">• </w:t>
      </w:r>
      <w:r>
        <w:rPr>
          <w:b/>
          <w:u w:val="single"/>
        </w:rPr>
        <w:t>Période prépatriarcale</w:t>
      </w:r>
    </w:p>
    <w:p>
      <w:r/>
      <w:r>
        <w:t xml:space="preserve">• </w:t>
      </w:r>
      <w:r>
        <w:rPr>
          <w:b/>
          <w:u w:val="single"/>
        </w:rPr>
        <w:t>D’Abraham à Moïse</w:t>
      </w:r>
    </w:p>
    <w:p>
      <w:r/>
      <w:r>
        <w:t xml:space="preserve">• </w:t>
      </w:r>
      <w:r>
        <w:rPr>
          <w:b/>
          <w:u w:val="single"/>
        </w:rPr>
        <w:t>Conquête et consolidation</w:t>
      </w:r>
    </w:p>
    <w:p>
      <w:r/>
      <w:r>
        <w:t xml:space="preserve">• </w:t>
      </w:r>
      <w:r>
        <w:rPr>
          <w:b/>
          <w:u w:val="single"/>
        </w:rPr>
        <w:t>La monarchie</w:t>
      </w:r>
    </w:p>
    <w:p>
      <w:r/>
      <w:r>
        <w:t xml:space="preserve">• </w:t>
      </w:r>
      <w:r>
        <w:rPr>
          <w:b/>
          <w:u w:val="single"/>
        </w:rPr>
        <w:t>Juda après la chute d’Israël</w:t>
      </w:r>
    </w:p>
    <w:p>
      <w:r/>
      <w:r>
        <w:t xml:space="preserve">• </w:t>
      </w:r>
      <w:r>
        <w:rPr>
          <w:b/>
          <w:u w:val="single"/>
        </w:rPr>
        <w:t>Après 587 av. J.‑C.</w:t>
      </w:r>
    </w:p>
    <w:p>
      <w:pPr>
        <w:pStyle w:val="Heading3"/>
      </w:pPr>
      <w:r>
        <w:t>Période pré-patriarcale</w:t>
      </w:r>
    </w:p>
    <w:p>
      <w:pPr>
        <w:pStyle w:val="Heading4"/>
      </w:pPr>
      <w:r>
        <w:t>Preuves bibliques</w:t>
      </w:r>
    </w:p>
    <w:p>
      <w:r/>
      <w:r>
        <w:t xml:space="preserve">Dans les onze premiers chapitres de la Genèse se trouvent les récits de la Création (chap. </w:t>
      </w:r>
      <w:hyperlink r:id="rId2530">
        <w:r>
          <w:rPr>
            <w:color w:val="0000EE"/>
            <w:u w:val="single"/>
          </w:rPr>
          <w:t>1–2</w:t>
        </w:r>
      </w:hyperlink>
      <w:r>
        <w:t xml:space="preserve">), la chute (chap. </w:t>
      </w:r>
      <w:hyperlink r:id="rId2531">
        <w:r>
          <w:rPr>
            <w:color w:val="0000EE"/>
            <w:u w:val="single"/>
          </w:rPr>
          <w:t>3</w:t>
        </w:r>
      </w:hyperlink>
      <w:r>
        <w:t xml:space="preserve">), Caïn et Abel (chap. </w:t>
      </w:r>
      <w:hyperlink r:id="rId2532">
        <w:r>
          <w:rPr>
            <w:color w:val="0000EE"/>
            <w:u w:val="single"/>
          </w:rPr>
          <w:t>4</w:t>
        </w:r>
      </w:hyperlink>
      <w:r>
        <w:t xml:space="preserve">), le Déluge (chap. </w:t>
      </w:r>
      <w:hyperlink r:id="rId2533">
        <w:r>
          <w:rPr>
            <w:color w:val="0000EE"/>
            <w:u w:val="single"/>
          </w:rPr>
          <w:t>6–9</w:t>
        </w:r>
      </w:hyperlink>
      <w:r>
        <w:t xml:space="preserve">), et la Tour de Babel (chap. </w:t>
      </w:r>
      <w:hyperlink r:id="rId2534">
        <w:r>
          <w:rPr>
            <w:color w:val="0000EE"/>
            <w:u w:val="single"/>
          </w:rPr>
          <w:t>11</w:t>
        </w:r>
      </w:hyperlink>
      <w:r>
        <w:t>). Ces événements sont situés dans un certain cadre chronologique.</w:t>
      </w:r>
    </w:p>
    <w:p>
      <w:r/>
      <w:r>
        <w:t xml:space="preserve">Selon </w:t>
      </w:r>
      <w:hyperlink r:id="rId2535">
        <w:r>
          <w:rPr>
            <w:color w:val="0000EE"/>
            <w:u w:val="single"/>
          </w:rPr>
          <w:t>Genèse 5</w:t>
        </w:r>
      </w:hyperlink>
      <w:r>
        <w:t>, une période de dix générations s'est écoulée entre la Création et le Déluge. Bien que les individus listés aient bénéficié d'une durée de vie totale de 847 ans et plus, le temps total écoulé entre Adam et le Déluge n'était que de 1 656 ans.</w:t>
      </w:r>
    </w:p>
    <w:p>
      <w:r/>
      <w:r>
        <w:t xml:space="preserve">Selon </w:t>
      </w:r>
      <w:hyperlink r:id="rId82">
        <w:r>
          <w:rPr>
            <w:color w:val="0000EE"/>
            <w:u w:val="single"/>
          </w:rPr>
          <w:t>Genèse 11</w:t>
        </w:r>
      </w:hyperlink>
      <w:r>
        <w:t xml:space="preserve">, dix autres générations se sont écoulées depuis le temps du Déluge jusqu'à l'époque d'Abraham (du moins dans la Septante, la traduction grecque de l'AT datant du 3e siècle av. J.‑C. ; le texte hébreu massorétique en compte neuf). Pendant cette période, l'âge moyen atteint par les individus de la liste est de 346 ans (en utilisant un chiffre de 460 pour Kaïnan, fils d'Arphaxad, qui est inclus au v. </w:t>
      </w:r>
      <w:hyperlink r:id="rId2536">
        <w:r>
          <w:rPr>
            <w:color w:val="0000EE"/>
            <w:u w:val="single"/>
          </w:rPr>
          <w:t>13</w:t>
        </w:r>
      </w:hyperlink>
      <w:r>
        <w:t xml:space="preserve"> de la LXX ; voir </w:t>
      </w:r>
      <w:hyperlink r:id="rId1313">
        <w:r>
          <w:rPr>
            <w:color w:val="0000EE"/>
            <w:u w:val="single"/>
          </w:rPr>
          <w:t>Lc 3.36</w:t>
        </w:r>
      </w:hyperlink>
      <w:r>
        <w:t>) ; le temps total écoulé du Déluge à Abraham est de 520 ans seulement. Si on prend ces données au sens strict, cela signifierait que tous les ancêtres d'Abraham jusqu'à Sem, fils de Noé, étaient encore vivants à la naissance d'Abraham, et qu'un total de seulement 2 176 ans s'est écoulé entre la Création et la vie d'Abraham.</w:t>
      </w:r>
    </w:p>
    <w:p>
      <w:pPr>
        <w:pStyle w:val="Heading4"/>
      </w:pPr>
      <w:r>
        <w:t>Analyse des données bibliques</w:t>
      </w:r>
    </w:p>
    <w:p>
      <w:r/>
      <w:r>
        <w:t>Une interprétation littérale ou strictement mathématique des chiffres, comme on en a trouvé dans la marge de nombreuses versions françaises de la Bible au 20e siècle de notre ère, nécessite un certain nombre d'hypothèses : qu'aucun nom n'est omis des généalogies, que tous les chiffres donnés sont consécutifs, et surtout que les chiffres utilisés dans une source biblique ancienne portent la même signification que celle qui leur est associée dans l'esprit occidental moderne. Chaque hypothèse nécessite un examen sérieux à la lumière d'autres faits établis.</w:t>
      </w:r>
    </w:p>
    <w:p>
      <w:r/>
      <w:r>
        <w:t xml:space="preserve">Une lecture rapide d'autres généalogies bibliques, par exemple, révèle que tous les noms d'une famille donnée n'étaient pas toujours inclus. Même Matthieu a noté un total de 28 générations (deux séries de 14 chacune) entre David et Jésus ; or la comparaison avec les généalogies de l'AT révèle que Matthieu a omis plusieurs noms. Luc liste un total de 42 générations pour le même intervalle. Les omissions sont également évidentes lorsque l'on compare les listes généalogiques données dans </w:t>
      </w:r>
      <w:hyperlink r:id="rId2537">
        <w:r>
          <w:rPr>
            <w:color w:val="0000EE"/>
            <w:u w:val="single"/>
          </w:rPr>
          <w:t>1 Chroniques 1–8</w:t>
        </w:r>
      </w:hyperlink>
      <w:r>
        <w:t xml:space="preserve"> avec celles notées plus tôt dans la Genèse, l'Exode, les Nombres, Josué, 1 et 2 Samuel, et 1 et 2 Rois.</w:t>
      </w:r>
    </w:p>
    <w:p>
      <w:r/>
      <w:r>
        <w:t>De plus, les peuples anciens considéraient les nombres de manière schématique ou stylisée. L'utilisation des nombres parmi les nations du Proche-Orient Ancien différait nettement de la pratique occidentale actuelle. Des exemples de cette pratique sont connus à la fois de sources bibliques et non bibliques. Par exemple, une liste de huit rois sumériens ayant régné dans la ville de Shurruppak avant le « grand déluge » de l'ère Jemdet Nasr (vers 3 000 av. J.‑C.) attribue à chaque homme un règne moyen de plus de 30 000 ans. Bérose, prêtre babylonien de Marduk ayant vécu au 3e siècle av. J.‑C., ajoutera deux noms aux huit trouvés dans cette liste antérieure de rois et attribuera une moyenne de 43 200 ans à chaque roi. De tels nombres extraordinairement élevés offrent une perspective pour considérer les nombres de la Genèse.</w:t>
      </w:r>
    </w:p>
    <w:p>
      <w:r/>
      <w:r>
        <w:t>Par conséquent, bien que l'on puisse supposer que les nombres attribués aux âges des patriarches précédant Abraham dans la Genèse avaient une signification réelle pour ceux qui étaient responsables de leur préservation, ils ne devraient pas être utilisés de manière purement littérale pour calculer la durée des différentes générations mentionnées dans le texte. De plus, les nombres donnés dans la Septante et dans le Pentateuque Samaritain (une autre version ancienne du Pentateuque) divergent à bien des égards de ceux du Texte Massorétique hébreu. Cela signifie, entre autres, que les nombres de la Genèse ont posé des problèmes même aux premiers interprètes des Écritures.</w:t>
      </w:r>
    </w:p>
    <w:p>
      <w:pPr>
        <w:pStyle w:val="Heading4"/>
      </w:pPr>
      <w:r>
        <w:t>Preuves non-bibliques</w:t>
      </w:r>
    </w:p>
    <w:p>
      <w:r/>
      <w:r>
        <w:t xml:space="preserve">L'archéologie ne fournit aucune preuve pouvant être utilisée pour dater la Création, ni quelqu'autre récit conservé dans </w:t>
      </w:r>
      <w:hyperlink r:id="rId2538">
        <w:r>
          <w:rPr>
            <w:color w:val="0000EE"/>
            <w:u w:val="single"/>
          </w:rPr>
          <w:t>Genèse 1–11</w:t>
        </w:r>
      </w:hyperlink>
      <w:r>
        <w:t>. Le Déluge est un exemple qui illustre certaines de ces difficultés. De nombreuses personnes de divers horizons (scientifiques, explorateurs, théologiens et autres) ont affirmé que l'archéologie a prouvé que le récit du Déluge de la Genèse est vrai. Cependant, aucune ville fouillée en Palestine et en Syrie (y compris certaines des plus anciennes villes du monde) ne montre à ce jour de preuves archéologiques du Déluge.</w:t>
      </w:r>
    </w:p>
    <w:p>
      <w:r/>
      <w:r>
        <w:t xml:space="preserve">Bien que plusieurs villes en Mésopotamie montrent des signes clairs d'une inondation, trois facteurs rendent difficile de lier ces preuves avec </w:t>
      </w:r>
      <w:hyperlink r:id="rId2533">
        <w:r>
          <w:rPr>
            <w:color w:val="0000EE"/>
            <w:u w:val="single"/>
          </w:rPr>
          <w:t>Genèse 6–9</w:t>
        </w:r>
      </w:hyperlink>
      <w:r>
        <w:t>. Chacun des niveaux d'inondation découverts jusqu'à présent date d'une période différente. De plus, comme les sites voisins ne montrent aucune trace d'inondation, toutes les données mésopotamiennes indiquent des inondations locales relativement petites. Enfin, les données n'indiquent pas de grandes discontinuités culturelles qui résulteraient de la destruction d'une population entière. Ainsi, il semble que les anciennes inondations mésopotamiennes découvertes par la recherche archéologique soient du même type que les inondations qui se produisent encore dans la vallée de l'Euphrate.</w:t>
      </w:r>
    </w:p>
    <w:p>
      <w:r/>
      <w:r>
        <w:t xml:space="preserve">Il est évident que certaines questions que l'on pourrait poser sur les récits de la Genèse ne peuvent tout simplement pas trouver de réponse. Beaucoup de ceux qui considèrent la Bible comme la Parole de Dieu ont conclu que la datation des événements trouvés dans </w:t>
      </w:r>
      <w:hyperlink r:id="rId2538">
        <w:r>
          <w:rPr>
            <w:color w:val="0000EE"/>
            <w:u w:val="single"/>
          </w:rPr>
          <w:t>Genèse 1–11</w:t>
        </w:r>
      </w:hyperlink>
      <w:r>
        <w:t xml:space="preserve"> est moins importante que les vérités théologiques du salut, de la foi et de l'obéissance que ces récits présentent.</w:t>
      </w:r>
    </w:p>
    <w:p>
      <w:pPr>
        <w:pStyle w:val="Heading3"/>
      </w:pPr>
      <w:r>
        <w:t>D'Abraham à Moïse</w:t>
      </w:r>
    </w:p>
    <w:p>
      <w:pPr>
        <w:pStyle w:val="Heading4"/>
      </w:pPr>
      <w:r>
        <w:t>L'Âge patriarcal</w:t>
      </w:r>
    </w:p>
    <w:p>
      <w:r/>
      <w:r>
        <w:t>Dater la vie d'Abraham est une question qui a suscité un certain débat parmi les experts de l'AT qui s'accordent à dire qu'Abraham, Isaac et Jacob étaient effectivement des personnes historiques. Les opinions varient entre une datation précoce, estimant que l'âge patriarcal s'étendait de 2 086 à 1 871 av. J.‑C., et une datation tardive situant Abraham vers 1 400 av. J.‑C. Puisque chaque position prétend correspondre aux données bibliques, un examen plus attentif des deux points de vue s'impose.</w:t>
      </w:r>
    </w:p>
    <w:p>
      <w:r/>
      <w:r>
        <w:t xml:space="preserve">De nombreux passages de l'AT semblent soutenir l'idée qui placerait Abraham à une date relativement ancienne. </w:t>
      </w:r>
      <w:hyperlink r:id="rId2539">
        <w:r>
          <w:rPr>
            <w:color w:val="0000EE"/>
            <w:u w:val="single"/>
          </w:rPr>
          <w:t>1 Rois 6.1</w:t>
        </w:r>
      </w:hyperlink>
      <w:r>
        <w:t xml:space="preserve"> calcule 480 ans depuis la fondation du temple dans la quatrième année du règne de Salomon (961 av. J.‑C., selon le point de vue de la date ancienne) jusqu'à l'exode d'Égypte, qui serait alors daté de 1441 av. J.‑C. Si l'on compte 430 ans pour la période du séjour des Israélites en Égypte (voir </w:t>
      </w:r>
      <w:hyperlink r:id="rId2540">
        <w:r>
          <w:rPr>
            <w:color w:val="0000EE"/>
            <w:u w:val="single"/>
          </w:rPr>
          <w:t>Gn 15.13</w:t>
        </w:r>
      </w:hyperlink>
      <w:r>
        <w:t xml:space="preserve"> ; </w:t>
      </w:r>
      <w:hyperlink r:id="rId2541">
        <w:r>
          <w:rPr>
            <w:color w:val="0000EE"/>
            <w:u w:val="single"/>
          </w:rPr>
          <w:t>Ex 12.40</w:t>
        </w:r>
      </w:hyperlink>
      <w:r>
        <w:t xml:space="preserve">), cela ramène la date à 1871 av. J.‑C. À cette date s'ajoutent les 215 ans exigés par le total de (1) l'âge d'Abraham lors de son entrée en Canaan (75 ans selon </w:t>
      </w:r>
      <w:hyperlink r:id="rId2542">
        <w:r>
          <w:rPr>
            <w:color w:val="0000EE"/>
            <w:u w:val="single"/>
          </w:rPr>
          <w:t>Gn 12.4</w:t>
        </w:r>
      </w:hyperlink>
      <w:r>
        <w:t>) ; (2) 25 années supplémentaires avant la naissance d'Isaac (</w:t>
      </w:r>
      <w:hyperlink r:id="rId2543">
        <w:r>
          <w:rPr>
            <w:color w:val="0000EE"/>
            <w:u w:val="single"/>
          </w:rPr>
          <w:t>Gn 21.5</w:t>
        </w:r>
      </w:hyperlink>
      <w:r>
        <w:t>) ; (3) 60 années de plus jusqu'à la naissance de Jacob (</w:t>
      </w:r>
      <w:hyperlink r:id="rId2544">
        <w:r>
          <w:rPr>
            <w:color w:val="0000EE"/>
            <w:u w:val="single"/>
          </w:rPr>
          <w:t>Gn 25.26</w:t>
        </w:r>
      </w:hyperlink>
      <w:r>
        <w:t>) ; et (4) l'apparition de Jacob devant le Pharaon à l'âge de 130 ans (</w:t>
      </w:r>
      <w:hyperlink r:id="rId2545">
        <w:r>
          <w:rPr>
            <w:color w:val="0000EE"/>
            <w:u w:val="single"/>
          </w:rPr>
          <w:t>Gn 47.9</w:t>
        </w:r>
      </w:hyperlink>
      <w:r>
        <w:t>). Ces 215 années ajoutées au total précédent donnent une date de 2086 av. J.‑C. pour l'entrée d'Abraham en Canaan et une date de 2161 av. J.‑C. pour sa naissance.</w:t>
      </w:r>
    </w:p>
    <w:p>
      <w:r/>
      <w:r>
        <w:t>Un tel calcul n'utilise pas toutes les preuves chronologiques présentées dans l'AT ; par conséquent, la datation de la vie d'Abraham est sujette à contestation. Par exemple, les 480 années entre l'exode et la quatrième année de règne de Salomon représentent une période de temps dans laquelle doivent être placées les errances dans le désert, la carrière de Josué et de ses successeurs immédiats, la période des Juges, Samuel, Saül et David. Bien que l'AT ne précise pas spécifiquement combien de temps ont duré les carrières de Josué, Samuel ou Saül, même un calcul modeste pousse le total des années requises par toutes les données bibliques réunies à environ 600.</w:t>
      </w:r>
    </w:p>
    <w:p>
      <w:r/>
      <w:r>
        <w:t>De plus, la durée à attribuer au séjour égyptien pose problème. Le Pentateuque Samaritain et la Septante considèrent tous deux que le nombre 430 (</w:t>
      </w:r>
      <w:hyperlink r:id="rId2541">
        <w:r>
          <w:rPr>
            <w:color w:val="0000EE"/>
            <w:u w:val="single"/>
          </w:rPr>
          <w:t>Ex 12.40</w:t>
        </w:r>
      </w:hyperlink>
      <w:r>
        <w:t xml:space="preserve">) s'applique non seulement aux années en Égypte, mais aussi aux années d'Abraham, Isaac et Jacob en Canaan. Paul semble avoir suivi la tradition de la Septante lorsqu'il date la promulgation de la loi 430 années après la promesse de Dieu à Abraham (voir </w:t>
      </w:r>
      <w:hyperlink r:id="rId2546">
        <w:r>
          <w:rPr>
            <w:color w:val="0000EE"/>
            <w:u w:val="single"/>
          </w:rPr>
          <w:t>Ga 3.15–18</w:t>
        </w:r>
      </w:hyperlink>
      <w:r>
        <w:t>). Cela signifie que le chiffre de la Septante ne peut être écarté à la légère.</w:t>
      </w:r>
    </w:p>
    <w:p>
      <w:r/>
      <w:r>
        <w:t>La datation tardive d'Abraham (vers 1400 av. J.‑C.) repose sur deux propositions : (1) L'image de la société patriarcale décrite dans la Genèse ressemble le plus à celle reflétée dans les tablettes cunéiformes récupérées à Nuzi, une ville du nord-est de la Mésopotamie à environ 280 km au nord de Bagdad. (2) Étant donné que ces tablettes doivent être datées des 15e et 14e siècles av. J.‑C., l'âge patriarcal parallèle doit s'être situé dans la même période générale.</w:t>
      </w:r>
    </w:p>
    <w:p>
      <w:r/>
      <w:r>
        <w:t>Ceux qui soutiennent l'idée d'une date tardive sont conscients que leur datation pour Abraham ne peut être assimilée à l'ensemble des chiffres sur lequel repose l'idée d'une date précoce. Ils se réfèrent à d'autres données, également tirées de l'AT. Joseph, qui était déjà un haut fonctionnaire égyptien lorsque Jacob a déménagé en Égypte, a vécu jusqu'à 110 ans (</w:t>
      </w:r>
      <w:hyperlink r:id="rId1163">
        <w:r>
          <w:rPr>
            <w:color w:val="0000EE"/>
            <w:u w:val="single"/>
          </w:rPr>
          <w:t>Gn 50.26</w:t>
        </w:r>
      </w:hyperlink>
      <w:r>
        <w:t xml:space="preserve">). Moïse était un arrière-petit-fils de Lévi, le frère aîné de Joseph. Puisque Joseph a vécu pour voir naître ses propres arrière-petits-enfants (qui seraient probablement plus jeunes que Moïse puisque leur arrière-grand-père était plus jeune que le sien), l'idée d'une date tardive conclut que Joseph aurait pu être vivant lorsque Moïse est né. La généalogie de quatre générations de Moïse (Lévi-Kehath-Amram-Moïse, dans </w:t>
      </w:r>
      <w:hyperlink r:id="rId874">
        <w:r>
          <w:rPr>
            <w:color w:val="0000EE"/>
            <w:u w:val="single"/>
          </w:rPr>
          <w:t>Ex 6.16–20</w:t>
        </w:r>
      </w:hyperlink>
      <w:r>
        <w:t xml:space="preserve"> ; </w:t>
      </w:r>
      <w:hyperlink r:id="rId2547">
        <w:r>
          <w:rPr>
            <w:color w:val="0000EE"/>
            <w:u w:val="single"/>
          </w:rPr>
          <w:t>Nb 3.17–19</w:t>
        </w:r>
      </w:hyperlink>
      <w:r>
        <w:t xml:space="preserve"> ; </w:t>
      </w:r>
      <w:hyperlink r:id="rId875">
        <w:r>
          <w:rPr>
            <w:color w:val="0000EE"/>
            <w:u w:val="single"/>
          </w:rPr>
          <w:t>26.58–59</w:t>
        </w:r>
      </w:hyperlink>
      <w:r>
        <w:t xml:space="preserve"> ; </w:t>
      </w:r>
      <w:hyperlink r:id="rId2548">
        <w:r>
          <w:rPr>
            <w:color w:val="0000EE"/>
            <w:u w:val="single"/>
          </w:rPr>
          <w:t>1Ch 6.1–3</w:t>
        </w:r>
      </w:hyperlink>
      <w:r>
        <w:t xml:space="preserve">) était manifestement considérée comme complète selon </w:t>
      </w:r>
      <w:hyperlink r:id="rId2549">
        <w:r>
          <w:rPr>
            <w:color w:val="0000EE"/>
            <w:u w:val="single"/>
          </w:rPr>
          <w:t>Genèse 15.16</w:t>
        </w:r>
      </w:hyperlink>
      <w:r>
        <w:t>, qui prédisait que les descendants d'Abraham seraient libérés de l'esclavage égyptien « À la quatrième génération ».</w:t>
      </w:r>
    </w:p>
    <w:p>
      <w:r/>
      <w:r>
        <w:t xml:space="preserve">Cependant, une date d'environ 1400 av. J.‑C. pour Abraham ne colle pas avec certaines autres données bibliques, y compris le long séjour égyptien exigé par </w:t>
      </w:r>
      <w:hyperlink r:id="rId2540">
        <w:r>
          <w:rPr>
            <w:color w:val="0000EE"/>
            <w:u w:val="single"/>
          </w:rPr>
          <w:t>Genèse 15.13</w:t>
        </w:r>
      </w:hyperlink>
      <w:r>
        <w:t xml:space="preserve"> et </w:t>
      </w:r>
      <w:hyperlink r:id="rId2541">
        <w:r>
          <w:rPr>
            <w:color w:val="0000EE"/>
            <w:u w:val="single"/>
          </w:rPr>
          <w:t>Exode 12.40</w:t>
        </w:r>
      </w:hyperlink>
      <w:r>
        <w:t xml:space="preserve"> et un séjour de quarante années (ou « une génération ») dans le désert. Certains experts modérés sont contraints de réduire le temps passé dans le désert à deux ans afin de maintenir leur date tardive pour Abraham.</w:t>
      </w:r>
    </w:p>
    <w:p>
      <w:r/>
      <w:r>
        <w:t>En résumé, la théorie de la datation tardive est cohérente avec certaines données bibliques (les généalogies de Moïse), tandis que la théorie de la datation précoce s'accorde avec d'autres éléments (les chiffres annuels mentionnés dans divers versets de la Genèse et de l'Exode). La théorie de la datation tardive soutient que les généalogies représentent des informations plus fiables dans les sociétés sémitiques en général, alors que la théorie de la datation précoce prend en compte les années indiquées dans le récit biblique au sens littéral tout au long de son schéma.</w:t>
      </w:r>
    </w:p>
    <w:p>
      <w:r/>
      <w:r>
        <w:t>En raison des problèmes liés aux deux positions, un grand nombre d'experts adopte une position intermédiaire pour dater l'âge patriarcal. Archéologiquement, disent-ils, Abraham, sa vie et son époque s'insèrent parfaitement dans le début du deuxième millénaire, mais imparfaitement dans toute période ultérieure. En plaçant Abraham approximativement entre 1 800 et 1 600 av. J.‑C., ils offrent suffisamment de latitude pour une fusion de toutes les preuves disponibles, bibliques et non bibliques, dans un schéma chronologique fonctionnel. L'archéologie fournit quatre éléments de preuve majeurs pour une ère patriarcale du début du deuxième millénaire.</w:t>
      </w:r>
    </w:p>
    <w:p>
      <w:r/>
      <w:r>
        <w:t>1. Bien que les tablettes de Nuzi offrent un parallèle clair à la vie sociale patriarcale, d'autres tablettes provenant d'autres villes et d'une époque antérieure reflètent de nombreuses coutumes similaires à celles de Nuzi et de la Genèse. Étant donné que les Nuziens étaient des Hourrites venus du nord-est de la Mésopotamie depuis une autre localité (peut-être l'Arménie), leurs coutumes sociales ont sans doute pris naissance bien avant l'époque des tablettes actuellement en notre possession. Par conséquent, la date du 15e siècle av. J.‑C. des tablettes de Nuzi n'exclut pas une date antérieure pour Abraham.</w:t>
      </w:r>
    </w:p>
    <w:p>
      <w:r/>
      <w:r>
        <w:t xml:space="preserve">2. Les noms de plusieurs ancêtres d'Abraham listés dans </w:t>
      </w:r>
      <w:hyperlink r:id="rId82">
        <w:r>
          <w:rPr>
            <w:color w:val="0000EE"/>
            <w:u w:val="single"/>
          </w:rPr>
          <w:t>Genèse 11</w:t>
        </w:r>
      </w:hyperlink>
      <w:r>
        <w:t xml:space="preserve"> peuvent désormais être identifiés avec des villes dans la région nord de la Mésopotamie autour d'Haran, la ville d'où Abraham a migré vers Canaan (</w:t>
      </w:r>
      <w:hyperlink r:id="rId2550">
        <w:r>
          <w:rPr>
            <w:color w:val="0000EE"/>
            <w:u w:val="single"/>
          </w:rPr>
          <w:t>Gn 11.31–12.3</w:t>
        </w:r>
      </w:hyperlink>
      <w:r>
        <w:t>). Il est intéressant de noter qu'Haran a prospéré aux 19e et 18e siècles av. J.‑C.</w:t>
      </w:r>
    </w:p>
    <w:p>
      <w:r/>
      <w:r>
        <w:t xml:space="preserve">3. Peu après 2 000 av. J.‑C., des nomades sémites du désert envahissent les communautés civilisées du Croissant Fertile. Ces envahisseurs, appelés Amoréens dans l'AT, s'établiront dans plusieurs villes du nord de la Syrie et de la Mésopotamie. L'une des villes amoréennes était Babylone, gouvernée par Hammurabi vers le début du 18e siècle av. J.‑C. Bien que le roi Amraphel de </w:t>
      </w:r>
      <w:hyperlink r:id="rId705">
        <w:r>
          <w:rPr>
            <w:color w:val="0000EE"/>
            <w:u w:val="single"/>
          </w:rPr>
          <w:t>Genèse 14.1</w:t>
        </w:r>
      </w:hyperlink>
      <w:r>
        <w:t xml:space="preserve"> ne soit pas linguistiquement identifiable au roi babylonien Hammurabi, comme le croyaient plusieurs commentateurs anciens, l'image données de la période suivant l'invasion amoréenne correspond toujours bien aux récits de la Genèse en général.</w:t>
      </w:r>
    </w:p>
    <w:p>
      <w:r/>
      <w:r>
        <w:t>4. Mari, une autre ville amoréenne, est maintenant bien connue grâce à plus de vingt mille tablettes récupérées de son palais royal et de ses archives. Géographiquement, Mari est située dans la région d'Haran. Chronologiquement, les tablettes récupérées datent du 18e siècle av. J.‑C. Zimri-Lim, roi de Mari au 18e siècle, a entretenu une correspondance étendue avec Hammurabi de Babylone. Les tablettes de Mari fournissent également des informations précieuses sur les groupes tribaux et ethniques et leurs mouvements dans la région. D'une importance fondamentale pour dater les données de la Genèse, certains documents de Mari incluent des noms personnels très similaires à Abraham (Abi-Ram), Jacob, Laban, et plusieurs autres noms ouest-sémitiques.</w:t>
      </w:r>
    </w:p>
    <w:p>
      <w:r/>
      <w:r>
        <w:t>Les preuves archéologiques ne prouvent ni ne réfutent l'existence réelle d'Abraham, d'Isaac ou de Jacob (tous s'accordent à dire cela). Plutôt, l'archéologie nous fournit un cadre de probabilités dans lequel les récits patriarcaux bibliques semblent de plus en plus à leur place.</w:t>
      </w:r>
    </w:p>
    <w:p>
      <w:pPr>
        <w:pStyle w:val="Heading4"/>
      </w:pPr>
      <w:r>
        <w:t>Datation de l'Exode</w:t>
      </w:r>
    </w:p>
    <w:p>
      <w:r/>
      <w:r>
        <w:t>Le problème de la datation de l'âge patriarcal est étroitement lié à celui de l'attribution d'une date à l'exode des Israélites hors d'Égypte. Étant donné que les données ne permettent pas de déterminer une date précise pour situer Abraham, il est également impossible de déterminer une date exacte pour l'entrée de Joseph ou de Jacob en Égypte. De plus, les données bibliques ne fournissent pas de chiffre exact pour la durée du séjour des Israélites en Égypte.</w:t>
      </w:r>
    </w:p>
    <w:p>
      <w:r/>
      <w:r>
        <w:t xml:space="preserve">Pendant de nombreuses années, les experts bibliques ont vu en </w:t>
      </w:r>
      <w:hyperlink r:id="rId2539">
        <w:r>
          <w:rPr>
            <w:color w:val="0000EE"/>
            <w:u w:val="single"/>
          </w:rPr>
          <w:t>1 Rois 6.1</w:t>
        </w:r>
      </w:hyperlink>
      <w:r>
        <w:t xml:space="preserve"> une base pour établir une date certaine pour l'Exode. Comme la quatrième année de Salomon pouvait être fixée de manière assurée à une période de dix années (967–958 av. J.‑C.), l'Exode pouvait également être daté avec la même précision en y ajoutant simplement 480 ans. Cependant, d'autres données bibliques soulèvent de sérieuses questions. Lorsque la Bible traite de tous les événements entre le temps de l'Exode et la fondation du temple de Salomon, c'est-à-dire de Nombres à </w:t>
      </w:r>
      <w:hyperlink r:id="rId2551">
        <w:r>
          <w:rPr>
            <w:color w:val="0000EE"/>
            <w:u w:val="single"/>
          </w:rPr>
          <w:t>1 Rois 5.18</w:t>
        </w:r>
      </w:hyperlink>
      <w:r>
        <w:t>, les chiffres précis donnés totalisent près de 600 ans plutôt que 480 ans.</w:t>
      </w:r>
    </w:p>
    <w:p>
      <w:r/>
      <w:r>
        <w:t xml:space="preserve">Comme les preuves sont insuffisantes pour déterminer une date précise de l'exode, l'opinion des experts reste partagée entre deux possibilités. Un exode au 15e siècle est soutenu par plusieurs éléments. La chronologie dans </w:t>
      </w:r>
      <w:hyperlink r:id="rId2539">
        <w:r>
          <w:rPr>
            <w:color w:val="0000EE"/>
            <w:u w:val="single"/>
          </w:rPr>
          <w:t>1 Rois 6.1</w:t>
        </w:r>
      </w:hyperlink>
      <w:r>
        <w:t xml:space="preserve"> semble être corroborée indépendamment par un passage dans </w:t>
      </w:r>
      <w:hyperlink r:id="rId2552">
        <w:r>
          <w:rPr>
            <w:color w:val="0000EE"/>
            <w:u w:val="single"/>
          </w:rPr>
          <w:t>Juges 11.26</w:t>
        </w:r>
      </w:hyperlink>
      <w:r>
        <w:t>. Ce passage affirme qu'Israël avait occupé la région autour de Hesbon pendant 300 ans avant l'époque de Jephté. Si on peut situer Jephté à 1100 av. J.‑C. environ, cela nous ramène à un exode au milieu du 15e siècle. De plus, il y a eu trois générations successives de pharaons du 16e et 15e siècles qui n'ont produit aucun descendant mâle, rendant plus probable le fait que Moïse soit devenu le fils adoptif d'une princesse royale à cette époque ; tous les rois de la 19e dynastie (1306–1200 av. J.‑C.) avaient des héritiers mâles légitimes.</w:t>
      </w:r>
    </w:p>
    <w:p>
      <w:r/>
      <w:r>
        <w:t>De plus, une datation au 15e siècle rend possible un lien entre l'invasion des Habiru en Canaan (1400–1350 av. J.‑C.), décrite dans les lettres d'Amarna trouvées à Tell el-Amarna, en Égypte, et l'invasion de Canaan par les Hébreux décrite dans le livre de Josué dans l'AT. Lié à cela, il y a une référence à « Israël » dans la stèle de Mérenptah, un pilier de pierre inscrit avec les exploits du roi égyptien Mérenptah, vers 1220 av. J.‑C. Cela implique que le peuple mentionné, rencontré par Mérenptah au cours d'une campagne militaire cananéenne, existait depuis un certain temps. Enfin, John Garstang, archéologue du site de Jéricho, a placé la destruction de cette ville vers 1400 av. J.‑C.</w:t>
      </w:r>
    </w:p>
    <w:p>
      <w:r/>
      <w:r>
        <w:t xml:space="preserve">D'autres preuves, cependant, suggèrent fortement non pas une date du 15e mais du 13e siècle pour l'exode. De nombreux chercheurs s'appuient sur ces preuves pour attribuer une datation de l'exode entre 1290 et 1275 av. J.‑C. Premièrement, les 480 ans de </w:t>
      </w:r>
      <w:hyperlink r:id="rId2539">
        <w:r>
          <w:rPr>
            <w:color w:val="0000EE"/>
            <w:u w:val="single"/>
          </w:rPr>
          <w:t>1 Rois 6.1</w:t>
        </w:r>
      </w:hyperlink>
      <w:r>
        <w:t xml:space="preserve"> discutés ci-dessus peuvent être interprétés comme représentant schématiquement douze générations, comme indiqué par </w:t>
      </w:r>
      <w:hyperlink r:id="rId2553">
        <w:r>
          <w:rPr>
            <w:color w:val="0000EE"/>
            <w:u w:val="single"/>
          </w:rPr>
          <w:t>1 Chroniques 6.3–8</w:t>
        </w:r>
      </w:hyperlink>
      <w:r>
        <w:t xml:space="preserve">. Ainsi, si douze générations duraient en moyenne vingt-cinq ans au lieu de quarante ans, la réduction de 480 ans schématisés à 300 ans réels indiquerait une datation de l'exode autour de 1266 avant J.‑C. Deuxièmement, il existe des preuves archéologiques datant la destruction de sites présumés de plusieurs villes conquises par Josué (Lakis, Debir, Béthel et Hatsor) à la fin du 13e siècle. Troisièmement, il n'y a aucune mention biblique de campagnes militaires égyptiennes (telles que l'incursion de Merneptah en 1220 avant J.‑C.) ; les Israélites vivant en Canaan avant l'époque des pharaons militairement actifs Séthi 1er (1319–1301 avant J.‑C.) et Ramsès II (1301–1234 avant J.‑C.) auraient certainement été affectés par une telle activité. Quatrièmement, </w:t>
      </w:r>
      <w:hyperlink r:id="rId2554">
        <w:r>
          <w:rPr>
            <w:color w:val="0000EE"/>
            <w:u w:val="single"/>
          </w:rPr>
          <w:t>Exode 1.11</w:t>
        </w:r>
      </w:hyperlink>
      <w:r>
        <w:t xml:space="preserve"> mentionne la ville de Ramsès, la capitale construite par Ramsès II, selon ses propres inscriptions. Un cinquième argument provient des conclusions archéologiques selon lesquelles la Transjordanie et le désert du Néguev n'étaient pas occupés par des populations sédentaires entre 1900 et 1300 avant J.‑C., alors que la Bible indique clairement que les Israélites ont rencontré une forte opposition de groupes dans cette même région. Ainsi, il est soutenu que les Israélites ont dû entrer dans cette région après 1300 avant J.‑C. Sixièmement, relier les Habiru aux Israélites de la Conquête manque de poids car de nombreux textes en dehors des tablettes d'Amarna attestent de l'existence de groupes Habiru pratiquement partout dans l'ancien Proche-Orient. « Habiru » semble être un terme beaucoup plus large, signifiant possiblement « intrus », et est probablement sans rapport étymologiquement ou sémantiquement avec « Hébreu ». Le septième et dernier argument est que le travail de Garstang à Jéricho a désormais été révisé par l'archéologue Kathleen Kenyon, qui a montré que les murs déchus que Garstang avait datés d'environ 1400 avant J.‑C. ont en réalité été détruits en 1800 avant J.‑C. ou plus tôt encore.</w:t>
      </w:r>
    </w:p>
    <w:p>
      <w:r/>
      <w:r>
        <w:t>Jusqu'à présent, il a été impossible de décider avec certitude entre les deux siècles proposés pour l'exode. L'opinion majoritaire parmi les spécialistes de l'AT, y compris un nombre croissant de spécialistes modérés ou conservateurs, penche en faveur de l'option du 13e siècle. D'un autre côté, de nombreux autres spécialistes conservateurs continuent de privilégier la date du 15e siècle. Il est important d'éviter tout dogmatisme à ce sujet, car des problèmes restent non résolus dans l'un ou l'autre cas.</w:t>
      </w:r>
    </w:p>
    <w:p>
      <w:r/>
      <w:r>
        <w:t>Cependant, conformément à l'opinion majoritaire, une date d'environ 1 290 av. J.‑C. pour l'Exode sera utilisée alors que nous abordons les problèmes ultérieurs.</w:t>
      </w:r>
    </w:p>
    <w:p>
      <w:pPr>
        <w:pStyle w:val="Heading3"/>
      </w:pPr>
      <w:r>
        <w:t>Conquête et consolidation</w:t>
      </w:r>
    </w:p>
    <w:p>
      <w:r/>
      <w:r>
        <w:t>La tâche chronologique pour la période de la conquête et de la consolidation en Canaan consiste à intégrer tous les événements racontés par l'AT, principalement dans Josué et Juges, entre l'Exode (vers 1 290 av. J.‑C.) et la période de David (vers 1 000 av. J.‑C.) et Salomon (mort en 930 av. J.‑C.). En d'autres termes, il convient d'intégrer environ 550 ans d'événements bibliques entre Moïse et David dans une période de 290 ans.</w:t>
      </w:r>
    </w:p>
    <w:p>
      <w:r/>
      <w:r>
        <w:t>Bien que fixer une date précoce pour l'exode (vers 1447 av. J.‑C.) puisse rendre la tâche quelque peu plus facile, le simple ajout d'environ 157 années ne résout pas à lui seul tous les problèmes. Aucune des deux dates ne permet suffisamment de temps pour que tous les événements de l'AT, de Josué à David, se déroulent individuellement et successivement. En conséquence, les partisans des deux dates supposent que certains des juges ont régné simultanément plutôt que successivement. La différence est uniquement une question de degré.</w:t>
      </w:r>
    </w:p>
    <w:p>
      <w:r/>
      <w:r>
        <w:t>Le livre de Josué fournit la plupart des preuves de l'AT concernant la conquête de Canaan par les Israélites. Malheureusement, le livre de Josué ne contient aucune note chronologique précisant la durée de la carrière de Josué. De plus, il n'y a pas de références bibliques à des événements contemporains majeurs dans d'autres parties du monde antique, dont les dates pourraient être utilisées pour établir la chronologie. Au contraire, dans ce qui est manifestement un récit condensé, le livre de Josué relate la chute de Jéricho et d'Aï, suivie de près par une campagne au sud puis au nord. Après ces victoires, couvrant une grande partie du territoire total de Canaan, diverses parcelles de terre seront distribuées aux groupes tribaux d'Israël ; les tribus étaient censées achever la tâche de détruire les habitants cananéens restants dans leur région particulière. On cherche en vain, cependant, des déclarations indiquant combien de temps ces événements ont pris.</w:t>
      </w:r>
    </w:p>
    <w:p>
      <w:r/>
      <w:r>
        <w:t>Dans le livre des Juges, une situation légèrement différente prévaut. L'AT y fournit une liste assez complète de chiffres pour indiquer la durée des périodes d'oppression étrangère, des juges et de la paix qui s'ensuit. Le nombre total d'années décrit pour cette période est de 410, mais ce total n'inclut pas le temps où auraient régné les nombreux juges « mineurs ». Il semble donc évident que la plupart, sinon tous, des juges étaient simplement des chefs locaux dont l'activité était simultanée avec celle d'autres juges, du moins pendant une partie de leur règne. Malheureusement, le livre des Juges ne fournit aucun système de renvoi pour indiquer quels juges étaient contemporains de quels autres. Peut-être que le mieux que l'on puisse faire est de supposer des lignes directrices générales pour la chronologie de cette période entre Moïse et David.</w:t>
      </w:r>
    </w:p>
    <w:p>
      <w:r/>
      <w:r>
        <w:t>Deux faits importants doivent être gardés à l'esprit. Premièrement, les informations archéologiques semblent indiquer que la Conquête a commencé vers 1250 av. J.‑C. plutôt que 200 ans plus tôt. Supposer des carrières simultanées pour les juges permet de compresser les chiffres littéraux de l'AT dans le schéma général exigé par d'autres preuves.</w:t>
      </w:r>
    </w:p>
    <w:p>
      <w:r/>
      <w:r>
        <w:t>Deuxièmement, les scribes antiques ont manifestement lié la chronologie de la période à un schéma basé sur quarante années (ou une génération), une pratique qui a perduré jusqu'à l'époque du royaume divisé, lorsqu'une chronologie dynastique régulière est introduite. Étant donné que de nombreuses carrières ont été assignées exactement à quarante années, il est évident que les totaux littéraux de ces chiffres ne peuvent pas être harmonisés avec les preuves bibliques ou archéologiques de la période. En conséquence, la plupart des chercheurs doutent que le nombre quarante ait jamais été destiné à être un calcul mathématique exact. Ce point de vue offre suffisamment de marge pour un ajustement prudent des données bibliques et autres au sein d'un calendrier général.</w:t>
      </w:r>
    </w:p>
    <w:p>
      <w:pPr>
        <w:pStyle w:val="Heading3"/>
      </w:pPr>
      <w:r>
        <w:t>La Monarchie</w:t>
      </w:r>
    </w:p>
    <w:p>
      <w:pPr>
        <w:pStyle w:val="Heading4"/>
      </w:pPr>
      <w:r>
        <w:t>Types de données</w:t>
      </w:r>
    </w:p>
    <w:p>
      <w:r/>
      <w:r>
        <w:t>En ce qui concerne la période de la monarchie israélite, les preuves chronologiques sont nombreuses.</w:t>
      </w:r>
    </w:p>
    <w:p>
      <w:r/>
      <w:r>
        <w:t>L'AT lui-même s'efforce de fournir toutes les informations nécessaires pour la chronologie de la période, y compris : (1) une liste complète de tous les rois en Israël et en Juda, à la fois avant et après la division du royaume ; (2) l'âge de chaque roi (sauf Saül) lors de son accession ; (3) les synchronismes du royaume du nord d'Israël et du royaume du sud de Juda, montrant en quelle année chaque roi est monté sur le trône en rapport à son contemporain dans l'autre royaume ; et (4) des calculs précis de la durée du règne de chaque roi. De plus, certains événements importants sont datés par référence à un autre événement ; d'autres sont coordonnés avec des événements concomitants dans l'histoire séculière.</w:t>
      </w:r>
    </w:p>
    <w:p>
      <w:r/>
      <w:r>
        <w:t xml:space="preserve">En dehors de l'AT, une abondance de données fournit des preuves attestant la chronologie de cette période. De loin, la source unique la plus importante est une collection de listes </w:t>
      </w:r>
      <w:r>
        <w:rPr>
          <w:i/>
        </w:rPr>
        <w:t>limmu</w:t>
      </w:r>
      <w:r>
        <w:t xml:space="preserve"> assyriennes. En Assyrie, un rapport du règne de chaque roi était conservé dans un type particulier d'annales. Chaque année du règne était nommée d'après un individu de haut rang à la cour. La première année était nommée d'après le roi lui-même, la deuxième d'après le prochain fonctionnaire de rang le plus élevé (bien que ce nom semble avoir été sélectionné par tirage au sort à l'origine), et ainsi de suite, jusqu'à la mort du roi. Le mot </w:t>
      </w:r>
      <w:r>
        <w:rPr>
          <w:i/>
        </w:rPr>
        <w:t>limmu</w:t>
      </w:r>
      <w:r>
        <w:t xml:space="preserve"> était utilisé pour introduire le nom du fonctionnaire d'après lequel l'année en cours devait être nommée, d'où la désignation « listes limmu ».</w:t>
      </w:r>
    </w:p>
    <w:p>
      <w:r/>
      <w:r>
        <w:t xml:space="preserve">Les listes </w:t>
      </w:r>
      <w:r>
        <w:rPr>
          <w:i/>
        </w:rPr>
        <w:t>limmu</w:t>
      </w:r>
      <w:r>
        <w:t xml:space="preserve"> assyriennes sont précisément liées à l'année solaire, rendant les documents très fiables. De plus, en dehors de nombreux événements de l'histoire assyrienne, des phénomènes naturels notables ont été datés sur la base du </w:t>
      </w:r>
      <w:r>
        <w:rPr>
          <w:i/>
        </w:rPr>
        <w:t>limmu</w:t>
      </w:r>
      <w:r>
        <w:t xml:space="preserve"> dans lequel ils se sont produits. Par exemple, une éclipse solaire datée par les scribes assyriens dans l'année </w:t>
      </w:r>
      <w:r>
        <w:rPr>
          <w:i/>
        </w:rPr>
        <w:t>limmu</w:t>
      </w:r>
      <w:r>
        <w:t xml:space="preserve"> de Bur-Sagale a été calculée astronomiquement au 15 juin 763 av. J.‑C. À partir de l'année 763, travaillant à la fois en arrière et en avant, une liste complète des fonctionnaires </w:t>
      </w:r>
      <w:r>
        <w:rPr>
          <w:i/>
        </w:rPr>
        <w:t>limmu</w:t>
      </w:r>
      <w:r>
        <w:t xml:space="preserve"> assyriens a été obtenue pour la période entre 891 et 648 av. J.‑C.</w:t>
      </w:r>
    </w:p>
    <w:p>
      <w:r/>
      <w:r>
        <w:t xml:space="preserve">Grâce à l'exactitude des listes </w:t>
      </w:r>
      <w:r>
        <w:rPr>
          <w:i/>
        </w:rPr>
        <w:t>limmu</w:t>
      </w:r>
      <w:r>
        <w:t xml:space="preserve"> assyriennes, corroborée par un certain nombre de sources, celles-ci peuvent être utilisées avec confiance pour reconstruire la chronologie de la période correspondante de l'histoire biblique. Ceci est d'autant plus vrai lorsqu'un écrivain biblique reliait un événement israélite ou judéen à une année précise du règne d'un roi assyrien dont la liste </w:t>
      </w:r>
      <w:r>
        <w:rPr>
          <w:i/>
        </w:rPr>
        <w:t>limmu</w:t>
      </w:r>
      <w:r>
        <w:t xml:space="preserve"> indique les années exactes de son règne.</w:t>
      </w:r>
    </w:p>
    <w:p>
      <w:r/>
      <w:r>
        <w:t>Il existe également des archives provenant des listes de rois chaldéens (babyloniens) et des historiens grecs ultérieurs. Ptolémée, au 2e siècle apr. J.‑C., par exemple, a fourni des dates pour les rois babyloniens à partir de 747 av. J.‑C. et a continué avec des dates pour les souverains perses, grecs et romains jusqu'en 161 apr. J.‑C. Enfin, des informations utiles se trouvent dans les inscriptions des monuments, stèles et autres artefacts d'Assyrie et d'ailleurs.</w:t>
      </w:r>
    </w:p>
    <w:p>
      <w:pPr>
        <w:pStyle w:val="Heading4"/>
      </w:pPr>
      <w:r>
        <w:t>Chronologie de la monarchie</w:t>
      </w:r>
    </w:p>
    <w:p>
      <w:r/>
      <w:r>
        <w:t xml:space="preserve">La liste </w:t>
      </w:r>
      <w:r>
        <w:rPr>
          <w:i/>
        </w:rPr>
        <w:t>limmu</w:t>
      </w:r>
      <w:r>
        <w:t xml:space="preserve"> du roi assyrien Salmanasar III fournit une base pour la première comparaison des dates entre l'Assyrie, Israël et Juda. Dans le </w:t>
      </w:r>
      <w:r>
        <w:rPr>
          <w:i/>
        </w:rPr>
        <w:t>limmu</w:t>
      </w:r>
      <w:r>
        <w:t xml:space="preserve"> de Daian-Assur, la sixième année de règne de Salmanasar, Achab d'Israël est répertorié comme l'un des rois qui ont combattu contre les Assyriens lors de la bataille de Qarqar. Ainsi, la date de cette bataille peut être placée avec certitude en l'an 853 av. J.‑C.</w:t>
      </w:r>
    </w:p>
    <w:p>
      <w:r/>
      <w:r>
        <w:t>Les archives assyriennes indiquent également que Salmanasar III est entré en contact avec un roi israélite douze ans plus tard, en 841 av. J.‑C. Ce roi était Jéhu. Ainsi, deux points fixes sont disponibles pour corréler les informations bibliques. Après la mort d'Achab, qui n'est pas datée précisément par référence aux archives assyriennes, deux de ses fils sont montés au pouvoir. Le premier, Achazia, a régné deux ans (</w:t>
      </w:r>
      <w:hyperlink r:id="rId2555">
        <w:r>
          <w:rPr>
            <w:color w:val="0000EE"/>
            <w:u w:val="single"/>
          </w:rPr>
          <w:t>1R 22.51</w:t>
        </w:r>
      </w:hyperlink>
      <w:r>
        <w:t>) ; le second, Joram (également appelé Jehoram), a régné un total de douze ans (</w:t>
      </w:r>
      <w:hyperlink r:id="rId2556">
        <w:r>
          <w:rPr>
            <w:color w:val="0000EE"/>
            <w:u w:val="single"/>
          </w:rPr>
          <w:t>2R 3.1</w:t>
        </w:r>
      </w:hyperlink>
      <w:r>
        <w:t>). En reconnaissant un calcul sans année d'accession par les Israélites à cette époque, le total apparent de quatorze ans peut être réduit à un total réel de douze. Ainsi, il semble évident qu'Achab a non seulement combattu Salmanasar III en 853 av. J.‑C., mais qu'il est également mort cette année-là. Achab a ensuite été succédé par ses deux fils pendant un total de douze ans avant l'accession de Jéhu, à temps pour expliquer son contact avec Salmanasar III en 841 av. J.‑C. De plus, parce que Jéhu a assassiné à la fois le roi d'Israël (Joram) et le roi de Juda (Achazia) en même temps (</w:t>
      </w:r>
      <w:hyperlink r:id="rId2557">
        <w:r>
          <w:rPr>
            <w:color w:val="0000EE"/>
            <w:u w:val="single"/>
          </w:rPr>
          <w:t>2R 9.24–27</w:t>
        </w:r>
      </w:hyperlink>
      <w:r>
        <w:t>), un synchronisme fixe est fourni entre les deux royaumes pour l'année 841 av. J.‑C.</w:t>
      </w:r>
    </w:p>
    <w:p>
      <w:r/>
      <w:r>
        <w:t>Les neuf premiers rois d'Israël ont régné un total apparent de quatre-vingt-dix-huit ans ou un total réel (en tenant compte de la politique d'année de non-accession d'Israël) de quatre-vingt-dix ans. Zimri, qui a régné seulement sept jours (</w:t>
      </w:r>
      <w:hyperlink r:id="rId2558">
        <w:r>
          <w:rPr>
            <w:color w:val="0000EE"/>
            <w:u w:val="single"/>
          </w:rPr>
          <w:t>1R 16.15–18</w:t>
        </w:r>
      </w:hyperlink>
      <w:r>
        <w:t xml:space="preserve">), compte comme l'un des neuf mais n'ajoute pas d'année supplémentaire dans les totaux réels ou apparents. L'accession de Jéroboam I a donc eu lieu en 930 av. J.‑C. (ajoutant 90 ans à 841 av. J.‑C.), et Roboam de Juda a commencé à régner cette même année également. En accordant à Salomon le règne de quarante ans indiqué dans </w:t>
      </w:r>
      <w:hyperlink r:id="rId2559">
        <w:r>
          <w:rPr>
            <w:color w:val="0000EE"/>
            <w:u w:val="single"/>
          </w:rPr>
          <w:t>1 Rois 11.42</w:t>
        </w:r>
      </w:hyperlink>
      <w:r>
        <w:t>, cela indique l'année 970 av. J.‑C. pour son accession. La mort de David serait également située dans cette période, bien qu'il faille tenir compte de la possibilité d'une courte co-régence de David et Salomon avant la mort de David. Le règne de Saül se situe donc approximativement à la fin du 11e siècle av. J.‑C.</w:t>
      </w:r>
    </w:p>
    <w:p>
      <w:r/>
      <w:r>
        <w:t>En Juda, la période entre la mort de Salomon en 930 av. J.‑C. et le meurtre d'Achazia par Jéhu en 841 av. J.‑C. a été marquée par les règnes de six hommes dont le temps sur le trône totalise quatre-vingt-quinze années bibliques. Le calcul de cette époque en Juda n'est pas aussi simple que pour les rois israélites pour plusieurs raisons. Les problèmes incluent un changement de calcul d'année d'accession à non-accession vers 850 av. J.‑C., au moins deux corégences (Josaphat avec Asa puis Joram avec Josaphat), et les différences de calendrier entre les deux royaumes. Il est clair que les quatre-vingt-quinze années apparentes doivent être réduites, sur la base des différences de calcul et de calendrier, à quatre-vingt-dix années réelles afin d'aligner les chiffres judéens avec les synchronismes assyriens et israélites établis.</w:t>
      </w:r>
    </w:p>
    <w:p>
      <w:r/>
      <w:r>
        <w:t>Après l'année 841 av. J.‑C., le prochain événement biblique confirmé par des sources non bibliques est la chute de Samarie en 722 av. J.‑C. Cette date est fournie par les annales de Sargon II d'Assyrie (722–705 av. J.‑C.), successeur de Salmanasar V (727–722 av. J.‑C.). Bien que cette date survienne seulement cent-vingt ans après le point fixe de 841 av. J.‑C. dans l'histoire israélite, les données chronologiques pour cette période sont assez difficiles à interpréter avec précision. Par le passé, les chercheurs ont eu recours à des hypothèses de co-régences étendues, à une confusion présumée de la part de certains scribes sur les méthodes de calcul, ou à d'autres théories pour tenter de comprendre la période. Malgré les nombreuses difficultés, cependant, toutes les dates bibliques et assyriennes pour la période de la monarchie divisée ont été harmonisées, à l'exception de quatre chiffres liés aux dernières années du royaume israélite, tous associés d'une manière ou d'une autre au règne problématique d'Osée.</w:t>
      </w:r>
    </w:p>
    <w:p>
      <w:pPr>
        <w:pStyle w:val="Heading3"/>
      </w:pPr>
      <w:r>
        <w:t>Juda après la chute d'Israël</w:t>
      </w:r>
    </w:p>
    <w:p>
      <w:r/>
      <w:r>
        <w:t>Après la chute de Samarie en 722 av. J.‑C., la chronologie de l'AT se concentre uniquement sur le royaume du sud, Juda, jusqu'à sa destruction environ cent-trente-cinq ans plus tard. Deux événements importants dans le récit biblique pour établir une chronologie de cette période sont le siège de Jérusalem par Sanchérib d'Assyrie à la fin du 8e siècle et la chute éventuelle de Jérusalem aux mains des Babyloniens au début du 6e siècle.</w:t>
      </w:r>
    </w:p>
    <w:p>
      <w:pPr>
        <w:pStyle w:val="Heading4"/>
      </w:pPr>
      <w:r>
        <w:t>L'Invasion de Juda par Sanchérib</w:t>
      </w:r>
    </w:p>
    <w:p>
      <w:r/>
      <w:r>
        <w:t xml:space="preserve">L'invasion assyrienne (704–681 av. J.‑C.) est consignée par écrit dans </w:t>
      </w:r>
      <w:hyperlink r:id="rId2560">
        <w:r>
          <w:rPr>
            <w:color w:val="0000EE"/>
            <w:u w:val="single"/>
          </w:rPr>
          <w:t>2 Rois 18.13–16</w:t>
        </w:r>
      </w:hyperlink>
      <w:r>
        <w:t xml:space="preserve">. Le verset </w:t>
      </w:r>
      <w:hyperlink r:id="rId2561">
        <w:r>
          <w:rPr>
            <w:color w:val="0000EE"/>
            <w:u w:val="single"/>
          </w:rPr>
          <w:t>13</w:t>
        </w:r>
      </w:hyperlink>
      <w:r>
        <w:t xml:space="preserve"> date l'événement à la quatorzième année du roi Ézéchias. Les inscriptions de Sanchérib lui-même incluent une version plus longue des événements. D'après elles, la date de 701 av. J.‑C. est établie, plaçant l'accession d'Ézéchias en 715 av. J.‑C. Des problèmes subsistent, malgré la simplicité de ce calcul. Par exemple, </w:t>
      </w:r>
      <w:hyperlink r:id="rId2562">
        <w:r>
          <w:rPr>
            <w:color w:val="0000EE"/>
            <w:u w:val="single"/>
          </w:rPr>
          <w:t>2 Rois 19.9</w:t>
        </w:r>
      </w:hyperlink>
      <w:r>
        <w:t xml:space="preserve"> rapporte que Sanchérib était en contact avec un roi éthiopien, Tirhaka (env. 690–664 av. J.‑C.), au cours de sa campagne, qui comprenait un siège de Jérusalem. Une prise de contact avec un souverain qui est monté au pouvoir en 690 av. J.‑C. au plus tôt ne pouvait pas se référer à des événements en 701 av. J.‑C. Il est cependant possible que Sanchérib ait en fait mené deux invasions de Juda : la première en 701 et la seconde quelque temps plus tard. La date de cette supposée seconde invasion n'est pas assurée, bien que </w:t>
      </w:r>
      <w:hyperlink r:id="rId2563">
        <w:r>
          <w:rPr>
            <w:color w:val="0000EE"/>
            <w:u w:val="single"/>
          </w:rPr>
          <w:t>2 Rois 19.35–37</w:t>
        </w:r>
      </w:hyperlink>
      <w:r>
        <w:t xml:space="preserve"> puisse impliquer que Sanchérib a été assassiné peu de temps après son retrait de Jérusalem. Puisque Sanchérib a été remplacé par son fils Assarhaddon en l'an 681, la présumée seconde invasion de Juda aurait eu lieu quelque part dans la seconde moitié de la même décennie.</w:t>
      </w:r>
    </w:p>
    <w:p>
      <w:r/>
      <w:r>
        <w:t xml:space="preserve">Un certain nombre de chercheurs s'opposent à l'hypothèse d'une seconde invasion de Jérusalem par Sanchérib. Ils suggèrent plutôt la possibilité que Tirhaka, bien que roi seulement à partir de 690 av. J.‑C., ait pu mener des troupes contre Sanchérib dès 701, avant d'accéder au trône. La référence au roi Tirhaka dans </w:t>
      </w:r>
      <w:hyperlink r:id="rId2562">
        <w:r>
          <w:rPr>
            <w:color w:val="0000EE"/>
            <w:u w:val="single"/>
          </w:rPr>
          <w:t>2 Rois 19.9</w:t>
        </w:r>
      </w:hyperlink>
      <w:r>
        <w:t xml:space="preserve"> serait alors comprise comme l'utilisation du titre qu'il endosserait plus tard, dans le but de l'identifier à une génération ultérieure de lecteurs.</w:t>
      </w:r>
    </w:p>
    <w:p>
      <w:r/>
      <w:r>
        <w:t xml:space="preserve">Cependant, quelle que soit la question du nombre d'invasions, il est certain que Sanchérib a envahi Juda en 701 av. J.‑C., la quatorzième année du règne d'Ézéchias. Un tel synchronisme établit l'année d'accession d'Ézéchias à 715 av. J.‑C., mais cette date soulève un autre problème. La chute de Samarie, maintenant établie en 722, est datée par </w:t>
      </w:r>
      <w:hyperlink r:id="rId2564">
        <w:r>
          <w:rPr>
            <w:color w:val="0000EE"/>
            <w:u w:val="single"/>
          </w:rPr>
          <w:t>2 Rois 18.10</w:t>
        </w:r>
      </w:hyperlink>
      <w:r>
        <w:t xml:space="preserve"> dans la sixième année du règne d'Ézéchias. La solution la plus probable est qu'Ézéchias a commencé une co-régence avec son père, Achaz, six ans avant la chute de Samarie. La confusion possible provient du fait qu'un verset (</w:t>
      </w:r>
      <w:hyperlink r:id="rId2561">
        <w:r>
          <w:rPr>
            <w:color w:val="0000EE"/>
            <w:u w:val="single"/>
          </w:rPr>
          <w:t>2R 18.13</w:t>
        </w:r>
      </w:hyperlink>
      <w:r>
        <w:t xml:space="preserve">; répété dans </w:t>
      </w:r>
      <w:hyperlink r:id="rId2565">
        <w:r>
          <w:rPr>
            <w:color w:val="0000EE"/>
            <w:u w:val="single"/>
          </w:rPr>
          <w:t>Es 36.1</w:t>
        </w:r>
      </w:hyperlink>
      <w:r>
        <w:t>) synchronise l'invasion de Sanchérib en 701 av. J.‑C. avec la quatorzième année du règne indépendant d'Ézéchias ; un autre verset (</w:t>
      </w:r>
      <w:hyperlink r:id="rId2564">
        <w:r>
          <w:rPr>
            <w:color w:val="0000EE"/>
            <w:u w:val="single"/>
          </w:rPr>
          <w:t>2R 18.10</w:t>
        </w:r>
      </w:hyperlink>
      <w:r>
        <w:t>) corrèle la chute de Samarie avec le début de la co-régence d'Ézéchias. Ainsi, d'environ 728 à 715 av. J.‑C., Ézéchias était co-régent avec Achaz. De 715 à 697, il a régné seul. De 696 à 686, son fils Manassé était co-régent avec lui.</w:t>
      </w:r>
    </w:p>
    <w:p>
      <w:r/>
      <w:r>
        <w:t xml:space="preserve">Selon les informations chronologiques fournies par plusieurs versets dans 2 Rois, un total de cent-vingt-huit ans et six mois s'est écoulé entre l'accession d'Ézéchias en l'an 715 et la capture du roi Jojakin en 597 (une date qui sera discutée ci-dessous). Ainsi, un autre enjeu est celui de l'excédent de plus de dix ans qui semble requis par les totaux bibliques. La meilleure solution semble résider dans l'hypothèse que Manassé est d'abord arrivé au pouvoir en 697 en tant que co-régent avec son père, Ézéchias. Manassé est mort en 642, après ce que </w:t>
      </w:r>
      <w:hyperlink r:id="rId2566">
        <w:r>
          <w:rPr>
            <w:color w:val="0000EE"/>
            <w:u w:val="single"/>
          </w:rPr>
          <w:t>2 Rois 21.1</w:t>
        </w:r>
      </w:hyperlink>
      <w:r>
        <w:t xml:space="preserve"> indique être un règne de cinquante-cinq ans. Ézéchias, qui est monté sur le trône en l'an 715, aurait régné vingt-neuf ans (</w:t>
      </w:r>
      <w:hyperlink r:id="rId2567">
        <w:r>
          <w:rPr>
            <w:color w:val="0000EE"/>
            <w:u w:val="single"/>
          </w:rPr>
          <w:t>2R 18.2</w:t>
        </w:r>
      </w:hyperlink>
      <w:r>
        <w:t>), ce qui signifierait qu'il était roi jusqu'en 686, soit environ onze ans après le moment où Manassé devait être monté sur le trône pour avoir complété un règne de cinquante-cinq ans, d'ici 642.</w:t>
      </w:r>
    </w:p>
    <w:p>
      <w:pPr>
        <w:pStyle w:val="Heading4"/>
      </w:pPr>
      <w:r>
        <w:t>La Chute de Jérusalem</w:t>
      </w:r>
    </w:p>
    <w:p>
      <w:r/>
      <w:r>
        <w:t>Les archives babyloniennes contemporaines sont disponibles pour éclairer de manière précieuse les dernières années de l'existence de Juda. Pour les années 626–623, 618–595 et 556 av. J.‑C., la Chronique babylonienne, un compte rendu officiel des affaires d'État babyloniennes, a été retrouvée. À partir des informations contenues dans cette chronique et d'autres documents cunéiformes de l'époque, trois dates de l'histoire de Juda peuvent être fixées avec certitude. La première est la mort de Josias en 609 ; la deuxième est la bataille de Carkemisch en 605 ; la troisième est la fin du règne de Jojakin, qui est datée par la Chronique babylonienne au deuxième mois d'Adar de la neuvième année de Nebucadnetsar, soit le 16 mars 597.</w:t>
      </w:r>
    </w:p>
    <w:p>
      <w:r/>
      <w:r>
        <w:t>Après la capture de Jojakin, Sédécias devint roi fantoche de Juda pendant onze ans (</w:t>
      </w:r>
      <w:hyperlink r:id="rId2568">
        <w:r>
          <w:rPr>
            <w:color w:val="0000EE"/>
            <w:u w:val="single"/>
          </w:rPr>
          <w:t>2R 24.18</w:t>
        </w:r>
      </w:hyperlink>
      <w:r>
        <w:t>). Le dixième jour du dixième mois de la neuvième année du règne de Sédécias (</w:t>
      </w:r>
      <w:hyperlink r:id="rId2569">
        <w:r>
          <w:rPr>
            <w:color w:val="0000EE"/>
            <w:u w:val="single"/>
          </w:rPr>
          <w:t>2R 25.1</w:t>
        </w:r>
      </w:hyperlink>
      <w:r>
        <w:t>), le siège final de Jérusalem sera entamé par l'armée babylonienne. Il s'agit du 15 janvier 588. Le neuvième jour du quatrième mois de la onzième année du règne de Sédécias, après un siège de presque dix-huit mois, la muraille de Jérusalem sera percée (</w:t>
      </w:r>
      <w:hyperlink r:id="rId2570">
        <w:r>
          <w:rPr>
            <w:color w:val="0000EE"/>
            <w:u w:val="single"/>
          </w:rPr>
          <w:t>2R 25.3–4</w:t>
        </w:r>
      </w:hyperlink>
      <w:r>
        <w:t>). Le temple sera brûlé le septième jour du mois suivant (cinquième mois).</w:t>
      </w:r>
    </w:p>
    <w:p>
      <w:pPr>
        <w:pStyle w:val="Heading3"/>
      </w:pPr>
      <w:r>
        <w:t>Après 586 av. J.‑C.</w:t>
      </w:r>
    </w:p>
    <w:p>
      <w:r/>
      <w:r>
        <w:t xml:space="preserve">Après la tragédie de 586 av. J.‑C., plusieurs autres développements sont mentionnés chronologiquement dans l'AT. </w:t>
      </w:r>
      <w:hyperlink r:id="rId2571">
        <w:r>
          <w:rPr>
            <w:color w:val="0000EE"/>
            <w:u w:val="single"/>
          </w:rPr>
          <w:t>Jérémie 52.30</w:t>
        </w:r>
      </w:hyperlink>
      <w:r>
        <w:t xml:space="preserve"> rapporte une troisième déportation de Juifs en Babylonie dans la vingt-troisième année du roi Nebucadnetsar (582 ou 581 av. J.‑C.). Tant </w:t>
      </w:r>
      <w:hyperlink r:id="rId2357">
        <w:r>
          <w:rPr>
            <w:color w:val="0000EE"/>
            <w:u w:val="single"/>
          </w:rPr>
          <w:t>2 Rois 25.27</w:t>
        </w:r>
      </w:hyperlink>
      <w:r>
        <w:t xml:space="preserve"> que </w:t>
      </w:r>
      <w:hyperlink r:id="rId2358">
        <w:r>
          <w:rPr>
            <w:color w:val="0000EE"/>
            <w:u w:val="single"/>
          </w:rPr>
          <w:t>Jérémie 52.31</w:t>
        </w:r>
      </w:hyperlink>
      <w:r>
        <w:t xml:space="preserve"> témoignent de la libération du roi Jojakin de prison ; la Chronique babylonienne date cet événement au 27 Adar, ou 21 mars 561 av. J.‑C.</w:t>
      </w:r>
    </w:p>
    <w:p>
      <w:r/>
      <w:r>
        <w:t>En 539 av. J.‑C., les Babyloniens eux-mêmes allaient découvrir le sens de la défaite. Cette année-là, un souverain perse, Cyrus le Grand, mène une campagne victorieuse contre Babylone et son roi, Nabonide. Héritant du contrôle sur les Juifs exilés et de nombreux autres groupes de personnes précédemment conquis par Babylone, Cyrus s'empresse d'initier une politique de tolérance envers ses nouveaux sujets. La première année de son règne, Cyrus publiera un édit permettant aux Juifs de retourner dans leur ancienne terre (</w:t>
      </w:r>
      <w:hyperlink r:id="rId2572">
        <w:r>
          <w:rPr>
            <w:color w:val="0000EE"/>
            <w:u w:val="single"/>
          </w:rPr>
          <w:t>Esd 1.1</w:t>
        </w:r>
      </w:hyperlink>
      <w:r>
        <w:t>). Le premier jour de l'année suivante, 1 Tishri (</w:t>
      </w:r>
      <w:hyperlink r:id="rId2573">
        <w:r>
          <w:rPr>
            <w:color w:val="0000EE"/>
            <w:u w:val="single"/>
          </w:rPr>
          <w:t>Esd 3.6</w:t>
        </w:r>
      </w:hyperlink>
      <w:r>
        <w:t>), un autel sera érigé à Jérusalem. Au mois de Iyyar de l'année suivante (avril/mai 536), les travaux commenceront pour restaurer le temple lui-même (</w:t>
      </w:r>
      <w:hyperlink r:id="rId2574">
        <w:r>
          <w:rPr>
            <w:color w:val="0000EE"/>
            <w:u w:val="single"/>
          </w:rPr>
          <w:t>Esd 3.8</w:t>
        </w:r>
      </w:hyperlink>
      <w:r>
        <w:t>).</w:t>
      </w:r>
    </w:p>
    <w:p>
      <w:r/>
      <w:r>
        <w:t>Après une période d'arrêts de travail frustrants de durées variées, la prédication d'Aggée et de Zacharie incitera les Juifs à achever le temple. Le travail a repris en 520 (</w:t>
      </w:r>
      <w:hyperlink r:id="rId2575">
        <w:r>
          <w:rPr>
            <w:color w:val="0000EE"/>
            <w:u w:val="single"/>
          </w:rPr>
          <w:t>Esd 4.24</w:t>
        </w:r>
      </w:hyperlink>
      <w:r>
        <w:t xml:space="preserve"> ; </w:t>
      </w:r>
      <w:hyperlink r:id="rId2576">
        <w:r>
          <w:rPr>
            <w:color w:val="0000EE"/>
            <w:u w:val="single"/>
          </w:rPr>
          <w:t>Ag 1.1, 15</w:t>
        </w:r>
      </w:hyperlink>
      <w:r>
        <w:t>) et sera achevé le 3 Adar, soit le 12 mars 515 (</w:t>
      </w:r>
      <w:hyperlink r:id="rId2577">
        <w:r>
          <w:rPr>
            <w:color w:val="0000EE"/>
            <w:u w:val="single"/>
          </w:rPr>
          <w:t>Esd 6.15</w:t>
        </w:r>
      </w:hyperlink>
      <w:r>
        <w:t>). Les dernières étapes de la chronologie de l'AT concernent les carrières d'Esdras et de Néhémie. La vision traditionnelle de leur époque place Esdras dans la septième année d'Artaxerxès I (458 av. J.‑C.) et Néhémie dans la vingtième (445 av. J.‑C.).</w:t>
      </w:r>
    </w:p>
    <w:p>
      <w:r/>
      <w:r>
        <w:rPr>
          <w:i/>
        </w:rPr>
        <w:t>Voir aussi</w:t>
      </w:r>
      <w:r>
        <w:t xml:space="preserve"> « Date » sous chaque livre de l'AT ; </w:t>
      </w:r>
      <w:r>
        <w:t>Conquête et attribution de la terre</w:t>
      </w:r>
      <w:r>
        <w:t xml:space="preserve"> ; </w:t>
      </w:r>
      <w:r>
        <w:t>Diaspora des Juifs</w:t>
      </w:r>
      <w:r>
        <w:t xml:space="preserve"> ; </w:t>
      </w:r>
      <w:r>
        <w:t>Exode, L'</w:t>
      </w:r>
      <w:r>
        <w:t xml:space="preserve"> ; </w:t>
      </w:r>
      <w:r>
        <w:t>Israël, histoire d'</w:t>
      </w:r>
      <w:r>
        <w:t xml:space="preserve"> ; </w:t>
      </w:r>
      <w:r>
        <w:t>Patriarches, période des</w:t>
      </w:r>
      <w:r>
        <w:t xml:space="preserve"> ; </w:t>
      </w:r>
      <w:r>
        <w:t>Période postexilique</w:t>
      </w:r>
      <w:r>
        <w:t xml:space="preserve"> ; </w:t>
      </w:r>
      <w:r>
        <w:t>Errances dans le désert</w:t>
      </w:r>
      <w:r>
        <w:t>.</w:t>
      </w:r>
      <w:r/>
      <w:r/>
    </w:p>
    <w:p>
      <w:r/>
    </w:p>
    <w:p>
      <w:pPr>
        <w:pStyle w:val="Heading2"/>
      </w:pPr>
      <w:r>
        <w:t>Chronologie de la Bible (Nouveau Testament)</w:t>
      </w:r>
      <w:r/>
    </w:p>
    <w:p>
      <w:r/>
      <w:r>
        <w:t>La chronologie est une branche des études bibliques qui cherche à découvrir la séquence des événements du NT et le temps écoulé entre eux. La chronologie est essentielle pour les historiens, dont la tâche est de déterminer les causes et les effets des événements passés. En général, pour les historiens, attribuer des dates absolues est moins important que de connaître la séquence des événements qui ont pu s'influencer mutuellement. Autrement dit, il est plus important pour les historiens de comprendre l'ordre des événements et comment ils ont pu s'affecter mutuellement, plutôt que de leur attribuer des dates spécifiques. En réalité, très peu d'événements du NT peuvent être datés avec précision.</w:t>
      </w:r>
    </w:p>
    <w:p>
      <w:r/>
      <w:r>
        <w:t>Un témoignage remarquable de l'influence du christianisme est le fait que le monde occidental entier divise maintenant l'histoire en avant Jésus‑Christ et après Jésus‑Christ. Avant que cette méthode de datation ne devienne répandue au Moyen Âge, les événements étaient datés par leur relation à d'autres événements importants tels que la fondation de Rome ou le début du règne d'un roi. Lorsqu'un moine nommé Denys le Petit (VIe siècle) inventa notre méthode actuelle de datation, avec la naissance de Christ comme facteur diviseur de l'histoire, il a commis une erreur dans ses calculs. Le résultat de cette erreur est l'anomalie historique selon laquelle Jésus lui-même est né au plus tard quatre ans « avant Jésus-Christ ».</w:t>
      </w:r>
    </w:p>
    <w:p>
      <w:pPr>
        <w:pStyle w:val="Heading3"/>
      </w:pPr>
      <w:r>
        <w:t>Chronologie de la vie de Jésus</w:t>
      </w:r>
    </w:p>
    <w:p>
      <w:pPr>
        <w:pStyle w:val="Heading4"/>
      </w:pPr>
      <w:r>
        <w:t>Débuts de vie</w:t>
      </w:r>
    </w:p>
    <w:p>
      <w:r/>
      <w:r>
        <w:t xml:space="preserve">Selon </w:t>
      </w:r>
      <w:hyperlink r:id="rId2578">
        <w:r>
          <w:rPr>
            <w:color w:val="0000EE"/>
            <w:u w:val="single"/>
          </w:rPr>
          <w:t>Matthieu 2.1</w:t>
        </w:r>
      </w:hyperlink>
      <w:r>
        <w:t xml:space="preserve">, Jésus est né « au temps du roi Hérode ». Un historien du premier siècle ap. J.‑C., Josèphe, a rapporté qu'Hérode est mort au printemps de l'année que nous identifions comme 4 av. J.‑C. Ainsi, Jésus est né quelque temps avant cela ; combien de temps avant exactement reste incertain. </w:t>
      </w:r>
      <w:hyperlink r:id="rId2579">
        <w:r>
          <w:rPr>
            <w:color w:val="0000EE"/>
            <w:u w:val="single"/>
          </w:rPr>
          <w:t>Luc 2.1–2</w:t>
        </w:r>
      </w:hyperlink>
      <w:r>
        <w:t xml:space="preserve"> rapporte que la naissance de Jésus a eu lieu lorsque « César Auguste », l'empereur romain, a décrété qu'un recensement devait être effectué dans tout le pays. C'était le premier recensement effectué lorsque Quirinius était gouverneur de Syrie. Ces déclarations soulèvent deux questions : Quand un tel recensement a-t-il eu lieu, et quand Quirinius était-il gouverneur de Syrie ? Aucune de ces questions n'a reçu de réponse entièrement satisfaisante.</w:t>
      </w:r>
    </w:p>
    <w:p>
      <w:r/>
      <w:r>
        <w:t>Les documents de recensements découverts en Égypte, ainsi que des références antérieures, suggèrent que de tels recensements avaient lieu tous les quatorze ans. Cela situerait un recensement vers l'an 8 ou 9 av. J.‑C. Compte tenu du temps nécessaire pour réaliser le recensement (qui exigeait qu'une personne se rende à son lieu de naissance), la naissance de Jésus pourrait avoir eu lieu quelque peu après l'année réelle du décret (peut-être en 7 av. J.‑C.). Il est important de noter que le terme « avant Jésus‑Christ » se réfère à la période avant la naissance de Jésus et est utilisé en référence au système de datation employé dans le monde occidental.</w:t>
      </w:r>
    </w:p>
    <w:p>
      <w:r/>
      <w:r>
        <w:t xml:space="preserve">Josèphe a rapporté que Quirinius est devenu gouverneur de Syrie en l'an 6 ap. J.‑C., une date assez tardive pour la naissance de Jésus. Cependant, certains chercheurs ont soutenu, à partir d'inscriptions anciennes, que Quirinius a également servi en Syrie en tant que légat spécial de l'empereur Auguste avant l'an 6 av. J.‑C. Cela pourrait être la période à laquelle </w:t>
      </w:r>
      <w:hyperlink r:id="rId2580">
        <w:r>
          <w:rPr>
            <w:color w:val="0000EE"/>
            <w:u w:val="single"/>
          </w:rPr>
          <w:t>Luc 2.2</w:t>
        </w:r>
      </w:hyperlink>
      <w:r>
        <w:t xml:space="preserve"> fait référence. Pourquoi Luc a-t-il choisi de citer Quirinius au lieu du gouverneur régulier de Syrie à cette époque ? Peut-être qu'en agissant ainsi, il pouvait fournir une date plus précise pour la naissance de Jésus, puisque Quirinius était en fonction pour une période plus courte que le gouverneur régulier de Syrie. Il est possible que Luc ait choisi de mentionner Quirinius au lieu du gouverneur régulier de Syrie à cette époque afin de fournir une date plus précise pour la naissance de Jésus, car Quirinius avait un mandat plus court.</w:t>
      </w:r>
    </w:p>
    <w:p>
      <w:r/>
      <w:r>
        <w:t xml:space="preserve">Il serait raisonnable de conclure que Jésus est né vers l'an 7 ou 6 av. J.‑C. Cela correspond bien à ce que dit </w:t>
      </w:r>
      <w:hyperlink r:id="rId2581">
        <w:r>
          <w:rPr>
            <w:color w:val="0000EE"/>
            <w:u w:val="single"/>
          </w:rPr>
          <w:t>Matthieu 2.16</w:t>
        </w:r>
      </w:hyperlink>
      <w:r>
        <w:t xml:space="preserve"> : ce verset semble indiquer que Jésus est né au moins deux ans avant la mort d'Hérode en 4 av. J.‑C. Aucune preuve claire n'existe concernant le jour et le mois de sa naissance. La célébration de Noël le 25 décembre est une tradition qui a émergé au IVe siècle, fournissant, sans doute, une alternative chrétienne au festival païen du solstice d'hiver (Saturnales). Il est important de noter que la célébration de Noël le 25 décembre est une tradition chrétienne qui a vu le jour au IVe siècle et était probablement destinée à être une alternative au festival païen des Saturnales.</w:t>
      </w:r>
    </w:p>
    <w:p>
      <w:pPr>
        <w:pStyle w:val="Heading4"/>
      </w:pPr>
      <w:r>
        <w:t>Débuts du ministère public</w:t>
      </w:r>
    </w:p>
    <w:p>
      <w:r/>
      <w:hyperlink r:id="rId2582">
        <w:r>
          <w:rPr>
            <w:color w:val="0000EE"/>
            <w:u w:val="single"/>
          </w:rPr>
          <w:t>Luc 3.23</w:t>
        </w:r>
      </w:hyperlink>
      <w:r>
        <w:t xml:space="preserve"> dit que Jésus « </w:t>
      </w:r>
      <w:r>
        <w:t>avait environ trente ans lorsqu’il commença son ministère</w:t>
      </w:r>
      <w:r>
        <w:t xml:space="preserve"> ». Puisque l'âge donné est seulement approximatif, il se peut qu'il ait eu deux ou trois ans de plus ou de moins (cf. le Testament pseudépigraphe de Lévi 2.2 ; 12.5). Si l'on ajoute exactement trente à la date de naissance suggérée, on obtient l'an 24 ap. J.‑C. Cette date ne peut pas être correcte, car le ministère de Jésus a commencé après l'apparition de Jean le Baptiste ; </w:t>
      </w:r>
      <w:hyperlink r:id="rId2583">
        <w:r>
          <w:rPr>
            <w:color w:val="0000EE"/>
            <w:u w:val="single"/>
          </w:rPr>
          <w:t>Lc 3.1–3</w:t>
        </w:r>
      </w:hyperlink>
      <w:r>
        <w:t xml:space="preserve"> date l'apparition publique de Jean précisément dans « </w:t>
      </w:r>
      <w:r>
        <w:t>La quinzième année du règne de Tibère César</w:t>
      </w:r>
      <w:r>
        <w:t xml:space="preserve"> » alors que Pilate était procurateur (gouverneur) de Judée. Pilate a gouverné de l'an 26 à 36 ap. J.‑C., et la quinzième année de Tibère était très probablement l'an 27 ap. J.‑C. Par conséquent, Jésus n'a pas commencé son ministère public avant l'an 27 ap. J.‑C. Si seulement un court laps de temps s'est écoulé entre le début du ministère de Jean et le début du ministère de Jésus, alors Jésus a probablement commencé en l'an 27 ou 28 ap. J.‑C. lorsqu'il avait environ 33 ans.</w:t>
      </w:r>
    </w:p>
    <w:p>
      <w:pPr>
        <w:pStyle w:val="Heading4"/>
      </w:pPr>
      <w:r>
        <w:t>La mort de Jésus</w:t>
      </w:r>
    </w:p>
    <w:p>
      <w:r/>
      <w:r>
        <w:t>Les quatre récits des Évangiles semblent indiquer que Jésus a pris la Dernière Cène avec ses disciples le jeudi soir, a été crucifié le vendredi et est ressuscité des morts tôt le dimanche matin (</w:t>
      </w:r>
      <w:hyperlink r:id="rId2584">
        <w:r>
          <w:rPr>
            <w:color w:val="0000EE"/>
            <w:u w:val="single"/>
          </w:rPr>
          <w:t>Mt 28.1</w:t>
        </w:r>
      </w:hyperlink>
      <w:r>
        <w:t xml:space="preserve"> ; </w:t>
      </w:r>
      <w:hyperlink r:id="rId2585">
        <w:r>
          <w:rPr>
            <w:color w:val="0000EE"/>
            <w:u w:val="single"/>
          </w:rPr>
          <w:t>Mc 16.1</w:t>
        </w:r>
      </w:hyperlink>
      <w:r>
        <w:t xml:space="preserve"> ; </w:t>
      </w:r>
      <w:hyperlink r:id="rId2586">
        <w:r>
          <w:rPr>
            <w:color w:val="0000EE"/>
            <w:u w:val="single"/>
          </w:rPr>
          <w:t>Lc 24.1</w:t>
        </w:r>
      </w:hyperlink>
      <w:r>
        <w:t>). L'affirmation selon laquelle Jésus est ressuscité le troisième jour (</w:t>
      </w:r>
      <w:hyperlink r:id="rId2587">
        <w:r>
          <w:rPr>
            <w:color w:val="0000EE"/>
            <w:u w:val="single"/>
          </w:rPr>
          <w:t>1Co 15.4</w:t>
        </w:r>
      </w:hyperlink>
      <w:r>
        <w:t>) provient de la coutume juive de compter une partie de la journée comme une journée entière. Selon Matthieu (</w:t>
      </w:r>
      <w:hyperlink r:id="rId2588">
        <w:r>
          <w:rPr>
            <w:color w:val="0000EE"/>
            <w:u w:val="single"/>
          </w:rPr>
          <w:t>26.19</w:t>
        </w:r>
      </w:hyperlink>
      <w:r>
        <w:t>), Marc (</w:t>
      </w:r>
      <w:hyperlink r:id="rId2589">
        <w:r>
          <w:rPr>
            <w:color w:val="0000EE"/>
            <w:u w:val="single"/>
          </w:rPr>
          <w:t>14.12</w:t>
        </w:r>
      </w:hyperlink>
      <w:r>
        <w:t>) et Luc (</w:t>
      </w:r>
      <w:hyperlink r:id="rId2590">
        <w:r>
          <w:rPr>
            <w:color w:val="0000EE"/>
            <w:u w:val="single"/>
          </w:rPr>
          <w:t>22.15</w:t>
        </w:r>
      </w:hyperlink>
      <w:r>
        <w:t>), la Dernière Cène était le repas de la Pâque, une célébration annuelle de la fuite d'Israël d'Égypte (</w:t>
      </w:r>
      <w:hyperlink r:id="rId2591">
        <w:r>
          <w:rPr>
            <w:color w:val="0000EE"/>
            <w:u w:val="single"/>
          </w:rPr>
          <w:t>Ex 12–15</w:t>
        </w:r>
      </w:hyperlink>
      <w:r>
        <w:t xml:space="preserve">). Mais selon </w:t>
      </w:r>
      <w:hyperlink r:id="rId2592">
        <w:r>
          <w:rPr>
            <w:color w:val="0000EE"/>
            <w:u w:val="single"/>
          </w:rPr>
          <w:t>Jn 13.1</w:t>
        </w:r>
      </w:hyperlink>
      <w:r>
        <w:t xml:space="preserve"> et </w:t>
      </w:r>
      <w:hyperlink r:id="rId2593">
        <w:r>
          <w:rPr>
            <w:color w:val="0000EE"/>
            <w:u w:val="single"/>
          </w:rPr>
          <w:t>19.14</w:t>
        </w:r>
      </w:hyperlink>
      <w:r>
        <w:t>, le repas de la Pâque n'avait pas encore été consommé le vendredi ; ainsi, la Dernière Cène dans Jean n'était pas le repas de la Pâque. Cependant, il est important de noter que la Dernière Cène dans Jean était un repas significatif partagé par Jésus et ses disciples avant sa crucifixion.</w:t>
      </w:r>
    </w:p>
    <w:p>
      <w:r/>
      <w:r>
        <w:t xml:space="preserve">Aucune solution entièrement satisfaisante à la divergence apparente n'a été avancée. Certains chercheurs suggèrent de manière plausible que l'utilisation de deux calendriers différents en était la cause. Selon cette théorie, Jésus suivait un calendrier qui plaçait le repas de la Pâque le jeudi soir. Les responsables du Temple, en revanche, suivaient un calendrier alternatif qui plaçait l'immolation des victimes sacrificielles le jour suivant. Jean a peut-être utilisé le deuxième système pour souligner le fait que le Christ a été offert en tant que sacrifice pascal (cf. </w:t>
      </w:r>
      <w:hyperlink r:id="rId2594">
        <w:r>
          <w:rPr>
            <w:color w:val="0000EE"/>
            <w:u w:val="single"/>
          </w:rPr>
          <w:t>Jn 19.36</w:t>
        </w:r>
      </w:hyperlink>
      <w:r>
        <w:t xml:space="preserve"> ; </w:t>
      </w:r>
      <w:hyperlink r:id="rId2595">
        <w:r>
          <w:rPr>
            <w:color w:val="0000EE"/>
            <w:u w:val="single"/>
          </w:rPr>
          <w:t>1Co 5.7</w:t>
        </w:r>
      </w:hyperlink>
      <w:r>
        <w:t>). Cela a peut-être été fait pour mettre en évidence l'importance du sacrifice du Christ en tant qu'agneau pascal.</w:t>
      </w:r>
    </w:p>
    <w:p>
      <w:r/>
      <w:r>
        <w:t>Pour déterminer la durée du ministère public de Jésus et l'année de sa mort, on peut se référer aux indications temporelles dans l'Évangile de Jean. Jean a mentionné au moins trois Pâques (</w:t>
      </w:r>
      <w:hyperlink r:id="rId2596">
        <w:r>
          <w:rPr>
            <w:color w:val="0000EE"/>
            <w:u w:val="single"/>
          </w:rPr>
          <w:t>2.13</w:t>
        </w:r>
      </w:hyperlink>
      <w:r>
        <w:t xml:space="preserve"> ; </w:t>
      </w:r>
      <w:hyperlink r:id="rId2597">
        <w:r>
          <w:rPr>
            <w:color w:val="0000EE"/>
            <w:u w:val="single"/>
          </w:rPr>
          <w:t>6.4</w:t>
        </w:r>
      </w:hyperlink>
      <w:r>
        <w:t xml:space="preserve"> ; </w:t>
      </w:r>
      <w:hyperlink r:id="rId2592">
        <w:r>
          <w:rPr>
            <w:color w:val="0000EE"/>
            <w:u w:val="single"/>
          </w:rPr>
          <w:t>13.1</w:t>
        </w:r>
      </w:hyperlink>
      <w:r>
        <w:t>) et possiblement quatre (</w:t>
      </w:r>
      <w:hyperlink r:id="rId2598">
        <w:r>
          <w:rPr>
            <w:color w:val="0000EE"/>
            <w:u w:val="single"/>
          </w:rPr>
          <w:t>5.1</w:t>
        </w:r>
      </w:hyperlink>
      <w:r>
        <w:t>). Puisque la Pâque était une fête annuelle, le ministère de Jésus aurait duré au moins deux et possiblement trois ans. Dans Matthieu, Marc et Luc, le vendredi de la mort de Jésus s'est produit le 15 du mois juif de Nisan (qui chevauche mars et avril). Selon Jean, Jésus est mort le 14 Nisan. La question qui se pose est la suivante : dans quelles années de 26 à 36 (lorsque Pilate était procurateur en Judée) le 14 ou le 15 Nisan est-il tombé un vendredi ? La réponse est l'an 27, 29, 30 et 33 ap. J.‑C. Parmi celles-ci, l'année 27 est trop tôt et 33 est probablement trop tard. Ainsi, Jésus a probablement été crucifié en l'an 29 ou 30, son ministère public ayant duré deux ou trois ans, et il avait 35 ou 36 ans à sa mort.</w:t>
      </w:r>
    </w:p>
    <w:p>
      <w:pPr>
        <w:pStyle w:val="Heading3"/>
      </w:pPr>
      <w:r>
        <w:t>Événements de l'an 30 à 50 ap. J.‑C.</w:t>
      </w:r>
    </w:p>
    <w:p>
      <w:r/>
      <w:r>
        <w:t>Le livre des Actes est le seul livre du NT qui relate combien de temps s'est écoulé entre la mort de Jésus et son ascension : « Après qu'il eut souffert, il leur apparut vivant, et leur en donna plusieurs preuves, se montrant à eux pendant quarante jours, et parlant des choses qui concernent le royaume de Dieu » (</w:t>
      </w:r>
      <w:hyperlink r:id="rId2599">
        <w:r>
          <w:rPr>
            <w:color w:val="0000EE"/>
            <w:u w:val="single"/>
          </w:rPr>
          <w:t>Ac 1.3</w:t>
        </w:r>
      </w:hyperlink>
      <w:r>
        <w:t>). Le prochain événement clé après l'ascension de Jésus au ciel sera la Pentecôte (</w:t>
      </w:r>
      <w:hyperlink r:id="rId2600">
        <w:r>
          <w:rPr>
            <w:color w:val="0000EE"/>
            <w:u w:val="single"/>
          </w:rPr>
          <w:t>Ac 2.1</w:t>
        </w:r>
      </w:hyperlink>
      <w:r>
        <w:t xml:space="preserve">). Pentecôte, le mot grec pour « cinquantième », faisait référence à une célébration de la Fête des Semaines/Récolte (cf. </w:t>
      </w:r>
      <w:hyperlink r:id="rId2142">
        <w:r>
          <w:rPr>
            <w:color w:val="0000EE"/>
            <w:u w:val="single"/>
          </w:rPr>
          <w:t>Ex 34.22</w:t>
        </w:r>
      </w:hyperlink>
      <w:r>
        <w:t xml:space="preserve"> ; </w:t>
      </w:r>
      <w:hyperlink r:id="rId2601">
        <w:r>
          <w:rPr>
            <w:color w:val="0000EE"/>
            <w:u w:val="single"/>
          </w:rPr>
          <w:t>Dt 16.9–12</w:t>
        </w:r>
      </w:hyperlink>
      <w:r>
        <w:t xml:space="preserve">) cinquante jours après la Pâque. Puisque Jésus a été crucifié pendant la saison de la Pâque, la Pentecôte de </w:t>
      </w:r>
      <w:hyperlink r:id="rId2600">
        <w:r>
          <w:rPr>
            <w:color w:val="0000EE"/>
            <w:u w:val="single"/>
          </w:rPr>
          <w:t>Ac 2.1</w:t>
        </w:r>
      </w:hyperlink>
      <w:r>
        <w:t>, durant laquelle les disciples seront remplis du Saint-Esprit, a eu lieu en 29 ou 30 après J.‑C., environ cinquante jours après la Crucifixion et environ dix jours après l'Ascension.</w:t>
      </w:r>
    </w:p>
    <w:p>
      <w:r/>
      <w:r>
        <w:t>Après cela, il devient difficile de déterminer les dates exactes des événements dans les premiers chapitres des Actes, car aucun cadre temporel spécifique n'est mentionné. Par conséquent, l'approche typique pour dater les événements de l'âge apostolique consiste à identifier d'abord au moins un événement qui peut être daté avec précision en utilisant des sources extérieures au NT. Ensuite, le laps de temps qui s'écoule entre les événements (avant et après) peut être estimé. Occasionnellement, Actes mentionne la durée entre deux événements, mais généralement ce n'est pas le cas ; ainsi, la datation ne peut être qu'approximative.</w:t>
      </w:r>
    </w:p>
    <w:p>
      <w:r/>
      <w:r>
        <w:t>Un point de départ crucial est la grande famine prophétisée par Agabus, qui s'est abattue sur la Palestine pendant le règne de l'empereur romain Claude (</w:t>
      </w:r>
      <w:hyperlink r:id="rId2602">
        <w:r>
          <w:rPr>
            <w:color w:val="0000EE"/>
            <w:u w:val="single"/>
          </w:rPr>
          <w:t>Ac 11.28–29</w:t>
        </w:r>
      </w:hyperlink>
      <w:r>
        <w:t xml:space="preserve">). Josèphe, qui vivait à cette époque, fournit suffisamment d'informations pour situer la famine entre les années 46 et 48. Nous savons également d'après la Mishnah (une collection de lois juives) que l'automne de l'an 47 à l'automne de l'an 48 était une année sabbatique, lorsque les Juifs laissaient la terre se reposer et ne récoltaient rien (cf. </w:t>
      </w:r>
      <w:hyperlink r:id="rId2603">
        <w:r>
          <w:rPr>
            <w:color w:val="0000EE"/>
            <w:u w:val="single"/>
          </w:rPr>
          <w:t>Lv 25.2–7</w:t>
        </w:r>
      </w:hyperlink>
      <w:r>
        <w:t>). Cela aurait pu aggraver et prolonger une famine, mais on ne peut être sûr de la date de début de la famine ; certains chercheurs proposent 46 et d'autres 47.</w:t>
      </w:r>
    </w:p>
    <w:p>
      <w:r/>
      <w:r>
        <w:t>Au début, il semble étrange que Luc, l'auteur des Actes, ait noté cette famine (</w:t>
      </w:r>
      <w:hyperlink r:id="rId156">
        <w:r>
          <w:rPr>
            <w:color w:val="0000EE"/>
            <w:u w:val="single"/>
          </w:rPr>
          <w:t>Ac 11.28</w:t>
        </w:r>
      </w:hyperlink>
      <w:r>
        <w:t>) avant de mentionner la mort d'Hérode Agrippa (</w:t>
      </w:r>
      <w:hyperlink r:id="rId154">
        <w:r>
          <w:rPr>
            <w:color w:val="0000EE"/>
            <w:u w:val="single"/>
          </w:rPr>
          <w:t>12.20–23</w:t>
        </w:r>
      </w:hyperlink>
      <w:r>
        <w:t xml:space="preserve">). D'après les faits rapportés par Josèphe, la mort d'Hérode (un petit-fils d'Hérode le Grand) peut être datée de l'an 44 ap. J.‑C., probablement au printemps. Cela signifie qu'Hérode doit être mort plusieurs années avant la famine que Luc a rapportée plus tôt. Certains experts pensent que Luc s'est simplement trompé dans ses faits chronologiques. D'autres voient </w:t>
      </w:r>
      <w:hyperlink r:id="rId2604">
        <w:r>
          <w:rPr>
            <w:color w:val="0000EE"/>
            <w:u w:val="single"/>
          </w:rPr>
          <w:t>Actes 12.1–24</w:t>
        </w:r>
      </w:hyperlink>
      <w:r>
        <w:t xml:space="preserve"> comme une sorte de retour en arrière pour mettre à jour l'histoire de l'Église à Jérusalem. Une telle pratique était courante parmi les historiens anciens, qui suivaient souvent une source jusqu'à un point d'arrêt approprié avant de passer à une autre source. Accuser Luc d'une datation inexacte, soutient-on, revient à mal comprendre les techniques d'écriture historique qu'il utilisait.</w:t>
      </w:r>
    </w:p>
    <w:p>
      <w:r/>
      <w:r>
        <w:t>Comme Hérode Agrippa est mort en 44 ap. J.‑C. (</w:t>
      </w:r>
      <w:hyperlink r:id="rId2605">
        <w:r>
          <w:rPr>
            <w:color w:val="0000EE"/>
            <w:u w:val="single"/>
          </w:rPr>
          <w:t>Ac 12.23</w:t>
        </w:r>
      </w:hyperlink>
      <w:r>
        <w:t xml:space="preserve">), l'apôtre Jacques, que Hérode a mis à mort par l'épée (v. </w:t>
      </w:r>
      <w:hyperlink r:id="rId2606">
        <w:r>
          <w:rPr>
            <w:color w:val="0000EE"/>
            <w:u w:val="single"/>
          </w:rPr>
          <w:t>2</w:t>
        </w:r>
      </w:hyperlink>
      <w:r>
        <w:t xml:space="preserve">), doit être mort peu avant 44, peut-être pendant la saison de la Pâque de 43 (v. </w:t>
      </w:r>
      <w:hyperlink r:id="rId2607">
        <w:r>
          <w:rPr>
            <w:color w:val="0000EE"/>
            <w:u w:val="single"/>
          </w:rPr>
          <w:t>3</w:t>
        </w:r>
      </w:hyperlink>
      <w:r>
        <w:t xml:space="preserve">). L'emprisonnement de l'apôtre Pierre et son évasion miraculeuse (vv. </w:t>
      </w:r>
      <w:hyperlink r:id="rId2608">
        <w:r>
          <w:rPr>
            <w:color w:val="0000EE"/>
            <w:u w:val="single"/>
          </w:rPr>
          <w:t>3–17</w:t>
        </w:r>
      </w:hyperlink>
      <w:r>
        <w:t>) appartiennent également à cette période. Il est important de noter que l'apôtre Jacques a été tué par Hérode, qui était au pouvoir à l'époque, et que l'apôtre Pierre a été emprisonné et s'est échappé miraculeusement durant cette période.</w:t>
      </w:r>
    </w:p>
    <w:p>
      <w:r/>
      <w:r>
        <w:t>Lorsque les chrétiens d'Antioche décident d'envoyer des secours aux chrétiens de Jérusalem au milieu de la grande famine (</w:t>
      </w:r>
      <w:hyperlink r:id="rId156">
        <w:r>
          <w:rPr>
            <w:color w:val="0000EE"/>
            <w:u w:val="single"/>
          </w:rPr>
          <w:t>Ac 11.29</w:t>
        </w:r>
      </w:hyperlink>
      <w:r>
        <w:t xml:space="preserve">), Barnabas et Paul ont été désignés pour transporter l'argent à Jérusalem. Ce fut la deuxième visite de Paul à Jérusalem après sa conversion. La première visite est rapportée dans </w:t>
      </w:r>
      <w:hyperlink r:id="rId2609">
        <w:r>
          <w:rPr>
            <w:color w:val="0000EE"/>
            <w:u w:val="single"/>
          </w:rPr>
          <w:t>Actes 9.26–30</w:t>
        </w:r>
      </w:hyperlink>
      <w:r>
        <w:t xml:space="preserve">. La troisième se trouve dans </w:t>
      </w:r>
      <w:hyperlink r:id="rId2610">
        <w:r>
          <w:rPr>
            <w:color w:val="0000EE"/>
            <w:u w:val="single"/>
          </w:rPr>
          <w:t>Actes 15</w:t>
        </w:r>
      </w:hyperlink>
      <w:r>
        <w:t xml:space="preserve"> lorsque Paul et Barnabas sont envoyés pour discuter avec les apôtres et les anciens pour savoir si les Gentils convertis au christianisme devaient être circoncis. La datation des première et troisième visites à Jérusalem, ainsi que de la conversion de Paul, dépend de la manière dont ces visites à Jérusalem sont liées à celles rapportées dans la lettre de Paul aux Galates.</w:t>
      </w:r>
    </w:p>
    <w:p>
      <w:r/>
      <w:r>
        <w:t xml:space="preserve">Le principal problème, qui divise encore les spécialistes du NT, est le suivant : dans </w:t>
      </w:r>
      <w:hyperlink r:id="rId2611">
        <w:r>
          <w:rPr>
            <w:color w:val="0000EE"/>
            <w:u w:val="single"/>
          </w:rPr>
          <w:t>Galates 1.15–2.10</w:t>
        </w:r>
      </w:hyperlink>
      <w:r>
        <w:t>, Paul a raconté que sa conversion a été suivie de deux visites à Jérusalem, l'une trois ans après sa conversion (</w:t>
      </w:r>
      <w:hyperlink r:id="rId2612">
        <w:r>
          <w:rPr>
            <w:color w:val="0000EE"/>
            <w:u w:val="single"/>
          </w:rPr>
          <w:t>1.18</w:t>
        </w:r>
      </w:hyperlink>
      <w:r>
        <w:t>) et l'autre quatorze ans après cela (</w:t>
      </w:r>
      <w:hyperlink r:id="rId2613">
        <w:r>
          <w:rPr>
            <w:color w:val="0000EE"/>
            <w:u w:val="single"/>
          </w:rPr>
          <w:t>2.1–10</w:t>
        </w:r>
      </w:hyperlink>
      <w:r>
        <w:t xml:space="preserve">). Tous les spécialistes s'accordent à dire que la première visite trois ans après sa conversion est la même que la première visite racontée dans </w:t>
      </w:r>
      <w:hyperlink r:id="rId2614">
        <w:r>
          <w:rPr>
            <w:color w:val="0000EE"/>
            <w:u w:val="single"/>
          </w:rPr>
          <w:t>Actes 9.26–30</w:t>
        </w:r>
      </w:hyperlink>
      <w:r>
        <w:t xml:space="preserve">. Les réponses diffèrent, cependant, à la question de savoir si </w:t>
      </w:r>
      <w:hyperlink r:id="rId2613">
        <w:r>
          <w:rPr>
            <w:color w:val="0000EE"/>
            <w:u w:val="single"/>
          </w:rPr>
          <w:t>Galates 2.1–10</w:t>
        </w:r>
      </w:hyperlink>
      <w:r>
        <w:t xml:space="preserve"> se réfère à la deuxième visite (au temps de la famine) à Jérusalem dans </w:t>
      </w:r>
      <w:hyperlink r:id="rId2615">
        <w:r>
          <w:rPr>
            <w:color w:val="0000EE"/>
            <w:u w:val="single"/>
          </w:rPr>
          <w:t>Actes 11.30</w:t>
        </w:r>
      </w:hyperlink>
      <w:r>
        <w:t xml:space="preserve"> (auquel cas la troisième visite d'</w:t>
      </w:r>
      <w:hyperlink r:id="rId160">
        <w:r>
          <w:rPr>
            <w:color w:val="0000EE"/>
            <w:u w:val="single"/>
          </w:rPr>
          <w:t>Actes 15</w:t>
        </w:r>
      </w:hyperlink>
      <w:r>
        <w:t xml:space="preserve"> est celle omise dans Galates) ou si </w:t>
      </w:r>
      <w:hyperlink r:id="rId2613">
        <w:r>
          <w:rPr>
            <w:color w:val="0000EE"/>
            <w:u w:val="single"/>
          </w:rPr>
          <w:t>Galates 2.1–10</w:t>
        </w:r>
      </w:hyperlink>
      <w:r>
        <w:t xml:space="preserve"> se réfère à la visite dans </w:t>
      </w:r>
      <w:hyperlink r:id="rId160">
        <w:r>
          <w:rPr>
            <w:color w:val="0000EE"/>
            <w:u w:val="single"/>
          </w:rPr>
          <w:t>Actes 15</w:t>
        </w:r>
      </w:hyperlink>
      <w:r>
        <w:t xml:space="preserve"> (auquel cas la visite liée à la famine est celle qui est omise dans Galates).</w:t>
      </w:r>
    </w:p>
    <w:p>
      <w:r/>
      <w:r>
        <w:t xml:space="preserve">Ceux qui soutiennent la première reconstruction avancent six arguments : 1) La raison pour laquelle Paul a donné un compte rendu aussi rigoureux de ses allées et venues dans </w:t>
      </w:r>
      <w:hyperlink r:id="rId2616">
        <w:r>
          <w:rPr>
            <w:color w:val="0000EE"/>
            <w:u w:val="single"/>
          </w:rPr>
          <w:t>Galates 1.15–24</w:t>
        </w:r>
      </w:hyperlink>
      <w:r>
        <w:t xml:space="preserve"> était de montrer qu'il n'avait pas reçu son Évangile des hommes, ni ne l'avait-il appris (</w:t>
      </w:r>
      <w:hyperlink r:id="rId1065">
        <w:r>
          <w:rPr>
            <w:color w:val="0000EE"/>
            <w:u w:val="single"/>
          </w:rPr>
          <w:t>1.12</w:t>
        </w:r>
      </w:hyperlink>
      <w:r>
        <w:t xml:space="preserve">). En d'autres termes, ses visites aux apôtres de Jérusalem n'étaient pas destinées à recevoir son Évangile. Si tel est le cas, pour Paul, omettre la deuxième visite à Jérusalem compromettrait son intégrité et son autorité auprès des Galates. La première reconstruction évite cette difficulté ; l'omission d'une troisième visite à Jérusalem dans </w:t>
      </w:r>
      <w:hyperlink r:id="rId2613">
        <w:r>
          <w:rPr>
            <w:color w:val="0000EE"/>
            <w:u w:val="single"/>
          </w:rPr>
          <w:t>Galates 2.1–10</w:t>
        </w:r>
      </w:hyperlink>
      <w:r>
        <w:t xml:space="preserve"> pourrait signifier qu'elle n'avait pas encore eu lieu lorsque Galates a été écrit. 2) </w:t>
      </w:r>
      <w:hyperlink r:id="rId2613">
        <w:r>
          <w:rPr>
            <w:color w:val="0000EE"/>
            <w:u w:val="single"/>
          </w:rPr>
          <w:t>Galates 2.1–10</w:t>
        </w:r>
      </w:hyperlink>
      <w:r>
        <w:t xml:space="preserve"> décrit une réunion privée entre Paul et Barnabas d'une part, et les apôtres « </w:t>
      </w:r>
      <w:r>
        <w:t>colonnes</w:t>
      </w:r>
      <w:r>
        <w:t xml:space="preserve"> » d'autre part. Mais la réunion dans </w:t>
      </w:r>
      <w:hyperlink r:id="rId160">
        <w:r>
          <w:rPr>
            <w:color w:val="0000EE"/>
            <w:u w:val="single"/>
          </w:rPr>
          <w:t>Actes 15</w:t>
        </w:r>
      </w:hyperlink>
      <w:r>
        <w:t xml:space="preserve"> était publique et devant toute l'Église. Ainsi, </w:t>
      </w:r>
      <w:hyperlink r:id="rId2613">
        <w:r>
          <w:rPr>
            <w:color w:val="0000EE"/>
            <w:u w:val="single"/>
          </w:rPr>
          <w:t>Galates 2.1–10</w:t>
        </w:r>
      </w:hyperlink>
      <w:r>
        <w:t xml:space="preserve"> se réfère plus probablement à une réunion privée lors de la visite d'</w:t>
      </w:r>
      <w:hyperlink r:id="rId2615">
        <w:r>
          <w:rPr>
            <w:color w:val="0000EE"/>
            <w:u w:val="single"/>
          </w:rPr>
          <w:t>Actes 11.30</w:t>
        </w:r>
      </w:hyperlink>
      <w:r>
        <w:t xml:space="preserve">, que Galates ne mentionne pas. 3) L'empressement de Paul à donner le don pour les pauvres mentionné dans </w:t>
      </w:r>
      <w:hyperlink r:id="rId2617">
        <w:r>
          <w:rPr>
            <w:color w:val="0000EE"/>
            <w:u w:val="single"/>
          </w:rPr>
          <w:t>Galates 2.10</w:t>
        </w:r>
      </w:hyperlink>
      <w:r>
        <w:t xml:space="preserve"> se rapporte naturellement à la deuxième visite à Jérusalem, lorsqu'il apportait effectivement des secours aux pauvres (</w:t>
      </w:r>
      <w:hyperlink r:id="rId2615">
        <w:r>
          <w:rPr>
            <w:color w:val="0000EE"/>
            <w:u w:val="single"/>
          </w:rPr>
          <w:t>Actes 11.30</w:t>
        </w:r>
      </w:hyperlink>
      <w:r>
        <w:t xml:space="preserve">). 4) Si Galates 2 parlait du même voyage que </w:t>
      </w:r>
      <w:hyperlink r:id="rId160">
        <w:r>
          <w:rPr>
            <w:color w:val="0000EE"/>
            <w:u w:val="single"/>
          </w:rPr>
          <w:t>Actes 15</w:t>
        </w:r>
      </w:hyperlink>
      <w:r>
        <w:t xml:space="preserve">, on s'attendrait à une mention de la décision prise par le Concile de Jérusalem, d'autant plus que cette décision était directement liée au problème de la circoncision que Paul traitait dans sa Lettre aux Galates. 5) De plus, il semble peu probable que le Concile de Jérusalem ait précédé l'événement de </w:t>
      </w:r>
      <w:hyperlink r:id="rId2618">
        <w:r>
          <w:rPr>
            <w:color w:val="0000EE"/>
            <w:u w:val="single"/>
          </w:rPr>
          <w:t>Galates 2.11–21</w:t>
        </w:r>
      </w:hyperlink>
      <w:r>
        <w:t xml:space="preserve">, lorsque Pierre a été réprimandé par Paul pour s'être retiré de la communion avec les croyants gentils ; cet incident aurait difficilement pu se produire si peu de temps après que la question du statut des gentils dans l'Église ait été réglée à Jérusalem. (6) Selon </w:t>
      </w:r>
      <w:hyperlink r:id="rId2619">
        <w:r>
          <w:rPr>
            <w:color w:val="0000EE"/>
            <w:u w:val="single"/>
          </w:rPr>
          <w:t>Galates 1.6</w:t>
        </w:r>
      </w:hyperlink>
      <w:r>
        <w:t>, la lettre a été écrite « promptement » après que Paul ait établi les Églises de Galatie. Cela tombe de sens si Galates a été écrit peu après le premier voyage missionnaire, donc juste avant le Concile de Jérusalem d'</w:t>
      </w:r>
      <w:hyperlink r:id="rId160">
        <w:r>
          <w:rPr>
            <w:color w:val="0000EE"/>
            <w:u w:val="single"/>
          </w:rPr>
          <w:t>Actes 15</w:t>
        </w:r>
      </w:hyperlink>
      <w:r>
        <w:t xml:space="preserve"> ; cela ferait de Galates la première lettre de Paul.</w:t>
      </w:r>
    </w:p>
    <w:p>
      <w:r/>
      <w:r>
        <w:t xml:space="preserve">Les chercheurs qui privilégient la deuxième reconstruction avancent quatre arguments : 1) Le principal objectif de la visite de Paul dans </w:t>
      </w:r>
      <w:hyperlink r:id="rId2613">
        <w:r>
          <w:rPr>
            <w:color w:val="0000EE"/>
            <w:u w:val="single"/>
          </w:rPr>
          <w:t>Galates 2.1–10</w:t>
        </w:r>
      </w:hyperlink>
      <w:r>
        <w:t xml:space="preserve"> semble être le même que celui d'</w:t>
      </w:r>
      <w:hyperlink r:id="rId2620">
        <w:r>
          <w:rPr>
            <w:color w:val="0000EE"/>
            <w:u w:val="single"/>
          </w:rPr>
          <w:t xml:space="preserve">Actes 15.1–20 </w:t>
        </w:r>
      </w:hyperlink>
      <w:r>
        <w:t>; les deux traitaient de la question de savoir si la circoncision devait être exigée des convertis gentils (</w:t>
      </w:r>
      <w:hyperlink r:id="rId2621">
        <w:r>
          <w:rPr>
            <w:color w:val="0000EE"/>
            <w:u w:val="single"/>
          </w:rPr>
          <w:t>Ga 2.3–5</w:t>
        </w:r>
      </w:hyperlink>
      <w:r>
        <w:t xml:space="preserve">; </w:t>
      </w:r>
      <w:hyperlink r:id="rId2622">
        <w:r>
          <w:rPr>
            <w:color w:val="0000EE"/>
            <w:u w:val="single"/>
          </w:rPr>
          <w:t>Ac 15.1, 5</w:t>
        </w:r>
      </w:hyperlink>
      <w:r>
        <w:t xml:space="preserve">). Cette similitude est évidente, mais il n'y a pas de similitude explicite entre </w:t>
      </w:r>
      <w:hyperlink r:id="rId1000">
        <w:r>
          <w:rPr>
            <w:color w:val="0000EE"/>
            <w:u w:val="single"/>
          </w:rPr>
          <w:t>Galates 2</w:t>
        </w:r>
      </w:hyperlink>
      <w:r>
        <w:t xml:space="preserve"> et </w:t>
      </w:r>
      <w:hyperlink r:id="rId2615">
        <w:r>
          <w:rPr>
            <w:color w:val="0000EE"/>
            <w:u w:val="single"/>
          </w:rPr>
          <w:t>Actes 11.30</w:t>
        </w:r>
      </w:hyperlink>
      <w:r>
        <w:t xml:space="preserve">. 2) Sur la base de la forme et du contenu, Galates est similaire à Romains et à 1 et 2 Corinthiens ; il semblerait donc provenir de la même période ; considérablement plus tard que le Concile de Jérusalem. Si c'est le cas, il est probable que Paul aurait inclus une référence au Concile de Jérusalem (à savoir </w:t>
      </w:r>
      <w:hyperlink r:id="rId2613">
        <w:r>
          <w:rPr>
            <w:color w:val="0000EE"/>
            <w:u w:val="single"/>
          </w:rPr>
          <w:t>Ga 2.1–10</w:t>
        </w:r>
      </w:hyperlink>
      <w:r>
        <w:t xml:space="preserve">) dans ses souvenirs, puisque son résultat soutenait sa propre position sur la circoncision exposée dans la lettre. 3) </w:t>
      </w:r>
      <w:hyperlink r:id="rId2615">
        <w:r>
          <w:rPr>
            <w:color w:val="0000EE"/>
            <w:u w:val="single"/>
          </w:rPr>
          <w:t>Actes 11.30</w:t>
        </w:r>
      </w:hyperlink>
      <w:r>
        <w:t xml:space="preserve"> présente Barnabas comme le leader de l'équipe Barnabas/Paul, puisque son nom est mentionné en premier (comme dans </w:t>
      </w:r>
      <w:hyperlink r:id="rId157">
        <w:r>
          <w:rPr>
            <w:color w:val="0000EE"/>
            <w:u w:val="single"/>
          </w:rPr>
          <w:t>Ac 12.25</w:t>
        </w:r>
      </w:hyperlink>
      <w:r>
        <w:t xml:space="preserve">; </w:t>
      </w:r>
      <w:hyperlink r:id="rId2623">
        <w:r>
          <w:rPr>
            <w:color w:val="0000EE"/>
            <w:u w:val="single"/>
          </w:rPr>
          <w:t>13.1–2, 7</w:t>
        </w:r>
      </w:hyperlink>
      <w:r>
        <w:t xml:space="preserve">; cf. </w:t>
      </w:r>
      <w:hyperlink r:id="rId2624">
        <w:r>
          <w:rPr>
            <w:color w:val="0000EE"/>
            <w:u w:val="single"/>
          </w:rPr>
          <w:t>11.25–26</w:t>
        </w:r>
      </w:hyperlink>
      <w:r>
        <w:t xml:space="preserve">). Mais dans la description que Paul donne de la visite dans </w:t>
      </w:r>
      <w:hyperlink r:id="rId1000">
        <w:r>
          <w:rPr>
            <w:color w:val="0000EE"/>
            <w:u w:val="single"/>
          </w:rPr>
          <w:t>Galates 2</w:t>
        </w:r>
      </w:hyperlink>
      <w:r>
        <w:t>, il se voit comme le leader de l'équipe. Puisque Actes présente Paul comme le leader à partir du moment du premier voyage missionnaire (</w:t>
      </w:r>
      <w:hyperlink r:id="rId2625">
        <w:r>
          <w:rPr>
            <w:color w:val="0000EE"/>
            <w:u w:val="single"/>
          </w:rPr>
          <w:t>Ac 13.9, 13, 43, 46, 50</w:t>
        </w:r>
      </w:hyperlink>
      <w:r>
        <w:t>), y compris la troisième visite à Jérusalem (</w:t>
      </w:r>
      <w:hyperlink r:id="rId2626">
        <w:r>
          <w:rPr>
            <w:color w:val="0000EE"/>
            <w:u w:val="single"/>
          </w:rPr>
          <w:t>15.2</w:t>
        </w:r>
      </w:hyperlink>
      <w:r>
        <w:t xml:space="preserve">), il est plus probable que </w:t>
      </w:r>
      <w:hyperlink r:id="rId1000">
        <w:r>
          <w:rPr>
            <w:color w:val="0000EE"/>
            <w:u w:val="single"/>
          </w:rPr>
          <w:t>Galates 2</w:t>
        </w:r>
      </w:hyperlink>
      <w:r>
        <w:t xml:space="preserve"> relate le voyage d'</w:t>
      </w:r>
      <w:hyperlink r:id="rId160">
        <w:r>
          <w:rPr>
            <w:color w:val="0000EE"/>
            <w:u w:val="single"/>
          </w:rPr>
          <w:t>Actes 15</w:t>
        </w:r>
      </w:hyperlink>
      <w:r>
        <w:t xml:space="preserve">. 4) Enfin, dans </w:t>
      </w:r>
      <w:hyperlink r:id="rId2627">
        <w:r>
          <w:rPr>
            <w:color w:val="0000EE"/>
            <w:u w:val="single"/>
          </w:rPr>
          <w:t>Galates 2.7–8</w:t>
        </w:r>
      </w:hyperlink>
      <w:r>
        <w:t xml:space="preserve">, Paul a été reconnu comme un apôtre des Gentils avec un statut égal à celui de Pierre. Mais si </w:t>
      </w:r>
      <w:hyperlink r:id="rId1000">
        <w:r>
          <w:rPr>
            <w:color w:val="0000EE"/>
            <w:u w:val="single"/>
          </w:rPr>
          <w:t>Galates 2</w:t>
        </w:r>
      </w:hyperlink>
      <w:r>
        <w:t xml:space="preserve"> notait les événements d'</w:t>
      </w:r>
      <w:hyperlink r:id="rId2615">
        <w:r>
          <w:rPr>
            <w:color w:val="0000EE"/>
            <w:u w:val="single"/>
          </w:rPr>
          <w:t>Actes 11.30</w:t>
        </w:r>
      </w:hyperlink>
      <w:r>
        <w:t xml:space="preserve"> et que le premier voyage missionnaire n'avait pas encore eu lieu, les apôtres « piliers » auraient difficilement pu reconnaître l'autorité de Paul en tant qu'apôtre des Gentils. Il est plus probable que </w:t>
      </w:r>
      <w:hyperlink r:id="rId1000">
        <w:r>
          <w:rPr>
            <w:color w:val="0000EE"/>
            <w:u w:val="single"/>
          </w:rPr>
          <w:t>Galates 2</w:t>
        </w:r>
      </w:hyperlink>
      <w:r>
        <w:t xml:space="preserve"> ait suivi le premier voyage missionnaire, tout comme </w:t>
      </w:r>
      <w:hyperlink r:id="rId160">
        <w:r>
          <w:rPr>
            <w:color w:val="0000EE"/>
            <w:u w:val="single"/>
          </w:rPr>
          <w:t>Actes 15</w:t>
        </w:r>
      </w:hyperlink>
      <w:r>
        <w:t xml:space="preserve"> a suivi le premier voyage missionnaire dans Actes, et que les deux se réfèrent au même événement.</w:t>
      </w:r>
    </w:p>
    <w:p>
      <w:r/>
      <w:r>
        <w:t>La signification de ces arguments pour la chronologie est que, selon la première perspective, la conversion de Paul a eu lieu dix-sept ans avant la visite de la famine d'</w:t>
      </w:r>
      <w:hyperlink r:id="rId2615">
        <w:r>
          <w:rPr>
            <w:color w:val="0000EE"/>
            <w:u w:val="single"/>
          </w:rPr>
          <w:t>Actes 11.30</w:t>
        </w:r>
      </w:hyperlink>
      <w:r>
        <w:t xml:space="preserve"> (cf. </w:t>
      </w:r>
      <w:hyperlink r:id="rId2612">
        <w:r>
          <w:rPr>
            <w:color w:val="0000EE"/>
            <w:u w:val="single"/>
          </w:rPr>
          <w:t>Ga 1.18</w:t>
        </w:r>
      </w:hyperlink>
      <w:r>
        <w:t xml:space="preserve"> ; </w:t>
      </w:r>
      <w:hyperlink r:id="rId2628">
        <w:r>
          <w:rPr>
            <w:color w:val="0000EE"/>
            <w:u w:val="single"/>
          </w:rPr>
          <w:t>2.1</w:t>
        </w:r>
      </w:hyperlink>
      <w:r>
        <w:t xml:space="preserve">). Selon la deuxième perspective, la conversion de Paul a eu lieu dix-sept ans avant le Concile de Jérusalem dans </w:t>
      </w:r>
      <w:hyperlink r:id="rId160">
        <w:r>
          <w:rPr>
            <w:color w:val="0000EE"/>
            <w:u w:val="single"/>
          </w:rPr>
          <w:t>Actes 15</w:t>
        </w:r>
      </w:hyperlink>
      <w:r>
        <w:t>. La différence ne représente qu'une année. Cela signifie que, selon la première perspective, la conversion de Paul s'est produite dix-sept ans avant la visite de la famine d'</w:t>
      </w:r>
      <w:hyperlink r:id="rId2615">
        <w:r>
          <w:rPr>
            <w:color w:val="0000EE"/>
            <w:u w:val="single"/>
          </w:rPr>
          <w:t>Actes 11.30</w:t>
        </w:r>
      </w:hyperlink>
      <w:r>
        <w:t xml:space="preserve">, tandis que selon la deuxième perspective, elle a eu lieu dix-sept ans avant le Concile de Jérusalem dans </w:t>
      </w:r>
      <w:hyperlink r:id="rId160">
        <w:r>
          <w:rPr>
            <w:color w:val="0000EE"/>
            <w:u w:val="single"/>
          </w:rPr>
          <w:t>Actes 15</w:t>
        </w:r>
      </w:hyperlink>
      <w:r>
        <w:t>. Cependant, la différence entre les deux perspectives n'est que d'une année.</w:t>
      </w:r>
    </w:p>
    <w:p>
      <w:r/>
      <w:r>
        <w:t>Il est utile de considérer une autre date qui peut être fixée avec une haute probabilité, à savoir l'arrivée de Paul à Corinthe lors de son deuxième voyage missionnaire (</w:t>
      </w:r>
      <w:hyperlink r:id="rId2629">
        <w:r>
          <w:rPr>
            <w:color w:val="0000EE"/>
            <w:u w:val="single"/>
          </w:rPr>
          <w:t>Ac 18.1</w:t>
        </w:r>
      </w:hyperlink>
      <w:r>
        <w:t>). Lors du deuxième voyage missionnaire (</w:t>
      </w:r>
      <w:hyperlink r:id="rId161">
        <w:r>
          <w:rPr>
            <w:color w:val="0000EE"/>
            <w:u w:val="single"/>
          </w:rPr>
          <w:t>15.40–18.22</w:t>
        </w:r>
      </w:hyperlink>
      <w:r>
        <w:t xml:space="preserve">), Paul et Silas partent par voie terrestre à travers la Syrie, la Cilicie, la Phrygie et la Galatie, visitant les Églises fondées lors du premier voyage missionnaire. Ils arrivent à Troas, puis passent à Philippes et continuent le long de la côte à travers Thessalonique et Bérée. Paul se rend ensuite à Athènes avant d'arriver à Corinthe. D'après </w:t>
      </w:r>
      <w:hyperlink r:id="rId328">
        <w:r>
          <w:rPr>
            <w:color w:val="0000EE"/>
            <w:u w:val="single"/>
          </w:rPr>
          <w:t>Actes 18.12</w:t>
        </w:r>
      </w:hyperlink>
      <w:r>
        <w:t xml:space="preserve">, nous savons que Gallion était proconsul à Corinthe pendant que Paul s'y trouvait. Une inscription découverte à proximité de Delphes indique qu'il est très probable que le mandat de Gallion ait été de mi-51 à mi-52. L'incident rapporté dans </w:t>
      </w:r>
      <w:hyperlink r:id="rId163">
        <w:r>
          <w:rPr>
            <w:color w:val="0000EE"/>
            <w:u w:val="single"/>
          </w:rPr>
          <w:t>Actes 18.12–17</w:t>
        </w:r>
      </w:hyperlink>
      <w:r>
        <w:t xml:space="preserve"> s'est probablement produit au début du mandat de Gallion, car les Juifs espéraient obtenir une décision contre Paul de leur nouveau proconsul. Peu de temps après, Paul quitte Corinthe, probablement à l'été ou à l'automne 52. Selon </w:t>
      </w:r>
      <w:hyperlink r:id="rId162">
        <w:r>
          <w:rPr>
            <w:color w:val="0000EE"/>
            <w:u w:val="single"/>
          </w:rPr>
          <w:t>Actes 18.11</w:t>
        </w:r>
      </w:hyperlink>
      <w:r>
        <w:t xml:space="preserve">, Paul avait passé dix-huit mois à Corinthe. Cela signifie qu'il est probablement arrivé au début de l'an 50 ou à la fin de l'an 49. Cette date d'arrivée est confirmée par </w:t>
      </w:r>
      <w:hyperlink r:id="rId1614">
        <w:r>
          <w:rPr>
            <w:color w:val="0000EE"/>
            <w:u w:val="single"/>
          </w:rPr>
          <w:t>Actes 18.2</w:t>
        </w:r>
      </w:hyperlink>
      <w:r>
        <w:t>, qui dit qu'Aquilas et Priscille avaient été récemment exilés de Rome lorsque Paul est arrivé à Corinthe. Un historien du Ve siècle, Orosius, a daté l'édit de Claude expulsant les Juifs de Rome en 49 ap. J.‑C. Par conséquent, Paul, ainsi qu'Aquilas et Priscille sont probablement arrivés ensemble à la fin de l'an 49 ou au début de l'an 50. Au début de son séjour de dix-huit mois, Paul écrit ses Première et Deuxième Lettres aux Thessaloniciens.</w:t>
      </w:r>
    </w:p>
    <w:p>
      <w:r/>
      <w:r>
        <w:t>Les deux dates fixes, ainsi, sont l'an 46 ou l'an 47 pour la visite liée à la famine (</w:t>
      </w:r>
      <w:hyperlink r:id="rId156">
        <w:r>
          <w:rPr>
            <w:color w:val="0000EE"/>
            <w:u w:val="single"/>
          </w:rPr>
          <w:t>Ac 11.30</w:t>
        </w:r>
      </w:hyperlink>
      <w:r>
        <w:t>) et fin 49 ou début 50 pour l'arrivée de Paul à Corinthe (</w:t>
      </w:r>
      <w:hyperlink r:id="rId2629">
        <w:r>
          <w:rPr>
            <w:color w:val="0000EE"/>
            <w:u w:val="single"/>
          </w:rPr>
          <w:t>Ac 18.1</w:t>
        </w:r>
      </w:hyperlink>
      <w:r>
        <w:t xml:space="preserve">). En tenant compte des écarts de temps mentionnés dans </w:t>
      </w:r>
      <w:hyperlink r:id="rId2612">
        <w:r>
          <w:rPr>
            <w:color w:val="0000EE"/>
            <w:u w:val="single"/>
          </w:rPr>
          <w:t>Galates 1.18</w:t>
        </w:r>
      </w:hyperlink>
      <w:r>
        <w:t xml:space="preserve"> et </w:t>
      </w:r>
      <w:hyperlink r:id="rId2628">
        <w:r>
          <w:rPr>
            <w:color w:val="0000EE"/>
            <w:u w:val="single"/>
          </w:rPr>
          <w:t>2.1</w:t>
        </w:r>
      </w:hyperlink>
      <w:r>
        <w:t>, et en supposant que le premier voyage missionnaire a duré environ un an, les deux reconstructions sont présentées dans le tableau suivant. Gardez à l'esprit qu'il s'agit d'approximations et qu'elles reflètent la coutume ancienne de compter une partie d'une année comme une année entière.</w:t>
      </w:r>
    </w:p>
    <w:p>
      <w:pPr>
        <w:pStyle w:val="Heading3"/>
      </w:pPr>
      <w:r>
        <w:t>Événements de 50 à 70 ap. J.‑C.</w:t>
      </w:r>
    </w:p>
    <w:p>
      <w:r/>
      <w:hyperlink r:id="rId2630">
        <w:r>
          <w:rPr>
            <w:color w:val="0000EE"/>
            <w:u w:val="single"/>
          </w:rPr>
          <w:t>Actes 24.27</w:t>
        </w:r>
      </w:hyperlink>
      <w:r>
        <w:t xml:space="preserve"> décrit un événement qui nous aide à dater les événements dans le reste du livre, à savoir le remplacement de Félix par Porcius Festus en tant que gouverneur de Judée. Une analyse minutieuse des preuves fournies par Eusèbe, un historien du IVe siècle, conduit à la conclusion probable que Félix a été remplacé à l'été 59.</w:t>
      </w:r>
    </w:p>
    <w:p>
      <w:r/>
      <w:r>
        <w:t>En remontant à partir de cette date, l'arrestation de Paul à Jérusalem (</w:t>
      </w:r>
      <w:hyperlink r:id="rId2631">
        <w:r>
          <w:rPr>
            <w:color w:val="0000EE"/>
            <w:u w:val="single"/>
          </w:rPr>
          <w:t>Ac 21.33</w:t>
        </w:r>
      </w:hyperlink>
      <w:r>
        <w:t>) a dû avoir lieu en 57, environ deux ans avant l'arrivée de Festus. Plus précisément, l'arrestation de Paul a probablement eu lieu à la fin du printemps ou en été 57 ; l'objectif de Paul (</w:t>
      </w:r>
      <w:hyperlink r:id="rId2632">
        <w:r>
          <w:rPr>
            <w:color w:val="0000EE"/>
            <w:u w:val="single"/>
          </w:rPr>
          <w:t>20.16</w:t>
        </w:r>
      </w:hyperlink>
      <w:r>
        <w:t>) était d'arriver à Jérusalem pour la Pentecôte de cette année-là, et la Pentecôte a eu lieu à la fin du mois de mai. Il n'était pas resté longtemps dans la ville avant d'être arrêté.</w:t>
      </w:r>
    </w:p>
    <w:p>
      <w:r/>
      <w:r>
        <w:t>La fête de la Pâque, cinquante jours avant la Pentecôte, a été célébrée par Paul avec l'église de Philippes (</w:t>
      </w:r>
      <w:hyperlink r:id="rId2632">
        <w:r>
          <w:rPr>
            <w:color w:val="0000EE"/>
            <w:u w:val="single"/>
          </w:rPr>
          <w:t>Ac 20.6</w:t>
        </w:r>
      </w:hyperlink>
      <w:r>
        <w:t>). Cela aurait eu lieu du 7 au 14 avril de l'an 57 ap. J.‑C. Ce n'est qu'après la fête qu'il a poursuivi son voyage précipité vers Césarée et Jérusalem (</w:t>
      </w:r>
      <w:hyperlink r:id="rId2633">
        <w:r>
          <w:rPr>
            <w:color w:val="0000EE"/>
            <w:u w:val="single"/>
          </w:rPr>
          <w:t>20.6–21.16</w:t>
        </w:r>
      </w:hyperlink>
      <w:r>
        <w:t>). Avant sa visite à la Pâque à Philippes, Paul avait passé trois mois en Grèce (</w:t>
      </w:r>
      <w:hyperlink r:id="rId2632">
        <w:r>
          <w:rPr>
            <w:color w:val="0000EE"/>
            <w:u w:val="single"/>
          </w:rPr>
          <w:t>20.3</w:t>
        </w:r>
      </w:hyperlink>
      <w:r>
        <w:t>). En lui laissant le temps de voyager à travers la Macédoine et de visiter les Thessaloniciens et les Béréens, ces trois mois étaient probablement les mois d'hiver de 56–57 (</w:t>
      </w:r>
      <w:hyperlink r:id="rId2632">
        <w:r>
          <w:rPr>
            <w:color w:val="0000EE"/>
            <w:u w:val="single"/>
          </w:rPr>
          <w:t>Ac 20.3</w:t>
        </w:r>
      </w:hyperlink>
      <w:r>
        <w:t xml:space="preserve"> ; cf. </w:t>
      </w:r>
      <w:hyperlink r:id="rId2634">
        <w:r>
          <w:rPr>
            <w:color w:val="0000EE"/>
            <w:u w:val="single"/>
          </w:rPr>
          <w:t>1Co 16.6</w:t>
        </w:r>
      </w:hyperlink>
      <w:r>
        <w:t>). Sans doute ont-ils été passés dans l'Église principale de Grèce, Corinthe, et ont été en partie utilisés pour la rédaction de la lettre aux Romains.</w:t>
      </w:r>
    </w:p>
    <w:p>
      <w:r/>
      <w:r>
        <w:t>Entre le départ de Paul de Corinthe lors du deuxième voyage missionnaire (</w:t>
      </w:r>
      <w:hyperlink r:id="rId2629">
        <w:r>
          <w:rPr>
            <w:color w:val="0000EE"/>
            <w:u w:val="single"/>
          </w:rPr>
          <w:t>Ac 18.18</w:t>
        </w:r>
      </w:hyperlink>
      <w:r>
        <w:t>) à l'automne 51 et son arrivée à Corinthe lors du troisième voyage missionnaire (</w:t>
      </w:r>
      <w:hyperlink r:id="rId2632">
        <w:r>
          <w:rPr>
            <w:color w:val="0000EE"/>
            <w:u w:val="single"/>
          </w:rPr>
          <w:t>20.2</w:t>
        </w:r>
      </w:hyperlink>
      <w:r>
        <w:t>) à la fin de l'hiver 56, il y a cinq années d'activités qui ne peuvent être datées avec précision. Paul dit qu'il a travaillé pendant trois de ces années à Éphèse (</w:t>
      </w:r>
      <w:hyperlink r:id="rId2632">
        <w:r>
          <w:rPr>
            <w:color w:val="0000EE"/>
            <w:u w:val="single"/>
          </w:rPr>
          <w:t>20.31</w:t>
        </w:r>
      </w:hyperlink>
      <w:r>
        <w:t xml:space="preserve"> ; cf. </w:t>
      </w:r>
      <w:hyperlink r:id="rId2635">
        <w:r>
          <w:rPr>
            <w:color w:val="0000EE"/>
            <w:u w:val="single"/>
          </w:rPr>
          <w:t>19.1–20.1</w:t>
        </w:r>
      </w:hyperlink>
      <w:r>
        <w:t xml:space="preserve">). En tenant compte du temps nécessaire pour les voyages avant et après, ce séjour à Éphèse a probablement duré de l'an 52 ou 53 jusqu'à l'été de l'an 55 ou 56 (cf. </w:t>
      </w:r>
      <w:hyperlink r:id="rId2634">
        <w:r>
          <w:rPr>
            <w:color w:val="0000EE"/>
            <w:u w:val="single"/>
          </w:rPr>
          <w:t>1Co 16.8</w:t>
        </w:r>
      </w:hyperlink>
      <w:r>
        <w:t>). Pendant son long séjour à Éphèse, Paul a écrit sa Première lettre aux Corinthiens. Puis, en route vers Corinthe en 56, il a écrit 2 Corinthiens depuis la Macédoine.</w:t>
      </w:r>
    </w:p>
    <w:p>
      <w:r/>
      <w:r>
        <w:t>Festus est arrivé comme gouverneur à l'été 59, après que Paul a été emprisonné à Césarée pendant deux ans. En quelques jours, Paul a été jugé devant Festus (</w:t>
      </w:r>
      <w:hyperlink r:id="rId2636">
        <w:r>
          <w:rPr>
            <w:color w:val="0000EE"/>
            <w:u w:val="single"/>
          </w:rPr>
          <w:t>Ac 25.1–12</w:t>
        </w:r>
      </w:hyperlink>
      <w:r>
        <w:t xml:space="preserve">). Ne voulant pas être remis aux autorités juives, Paul a fait appel à César (v. </w:t>
      </w:r>
      <w:hyperlink r:id="rId2637">
        <w:r>
          <w:rPr>
            <w:color w:val="0000EE"/>
            <w:u w:val="single"/>
          </w:rPr>
          <w:t>12</w:t>
        </w:r>
      </w:hyperlink>
      <w:r>
        <w:t>), ce qui signifiait qu'il irait à Rome. Le récit dans les Actes ne laisse entrevoir aucun retard, donc le voyage a probablement commencé à l'été ou à l'automne 59 (</w:t>
      </w:r>
      <w:hyperlink r:id="rId335">
        <w:r>
          <w:rPr>
            <w:color w:val="0000EE"/>
            <w:u w:val="single"/>
          </w:rPr>
          <w:t>27.2</w:t>
        </w:r>
      </w:hyperlink>
      <w:r>
        <w:t>). Il est important de noter que Festus était un gouverneur (une position politique dans le gouvernement romain). C'était pendant la période où Paul était emprisonné à Césarée pendant deux ans. Après avoir été jugé devant Festus, Paul a fait appel à César, ce qui signifiait qu'il serait emmené à Rome. Le récit dans les Actes ne mentionne aucun retard, donc on peut supposer que le voyage a commencé à l'été ou à l'automne 59.</w:t>
      </w:r>
    </w:p>
    <w:p>
      <w:r/>
      <w:r>
        <w:t xml:space="preserve">Luc a rapporté que lorsque Paul, le prisonnier, est arrivé à Beaux Ports sur l'île de Crète, le temps était devenu dangereux pour la navigation maritime « </w:t>
      </w:r>
      <w:r>
        <w:t>car l’époque même du jeûne était déjà passée</w:t>
      </w:r>
      <w:r>
        <w:t xml:space="preserve"> » (</w:t>
      </w:r>
      <w:hyperlink r:id="rId2638">
        <w:r>
          <w:rPr>
            <w:color w:val="0000EE"/>
            <w:u w:val="single"/>
          </w:rPr>
          <w:t>Ac 27.8–9</w:t>
        </w:r>
      </w:hyperlink>
      <w:r>
        <w:t xml:space="preserve">). Un écrivain ancien a dit que la navigation devenait dangereuse entre la mi-septembre et la mi-novembre, et après cela, impossible jusqu'au printemps. Le jeûne mentionné était sans doute celui en préparation pour le Jour des Expiations, qui en l'an 59, tombait le 5 octobre. Il n'est pas surprenant que, quatorze jours après avoir quitté Beaux Ports, le navire dans lequel Paul voyageait ait fait naufrage sur la côte de Malte, au sud de la Sicile (vv. </w:t>
      </w:r>
      <w:hyperlink r:id="rId2639">
        <w:r>
          <w:rPr>
            <w:color w:val="0000EE"/>
            <w:u w:val="single"/>
          </w:rPr>
          <w:t>27–44</w:t>
        </w:r>
      </w:hyperlink>
      <w:r>
        <w:t>). Trois mois plus tard, Paul a repris la mer pour Rome dans un navire qui avait passé l'hiver à Malte (</w:t>
      </w:r>
      <w:hyperlink r:id="rId532">
        <w:r>
          <w:rPr>
            <w:color w:val="0000EE"/>
            <w:u w:val="single"/>
          </w:rPr>
          <w:t>Ac 28.11</w:t>
        </w:r>
      </w:hyperlink>
      <w:r>
        <w:t xml:space="preserve">). Bientôt, il sera accueilli à Rome par des chrétiens qui étaient venus à sa rencontre (v. </w:t>
      </w:r>
      <w:hyperlink r:id="rId1458">
        <w:r>
          <w:rPr>
            <w:color w:val="0000EE"/>
            <w:u w:val="single"/>
          </w:rPr>
          <w:t>15</w:t>
        </w:r>
      </w:hyperlink>
      <w:r>
        <w:t xml:space="preserve">). Ainsi, Paul arrive à Rome au début de l'an 60 ap. J.‑C. Le livre des Actes se termine sur la remarque suivante : « </w:t>
      </w:r>
      <w:r>
        <w:t>Paul demeura deux ans entiers dans une maison qu’il avait louée</w:t>
      </w:r>
      <w:r>
        <w:t xml:space="preserve"> » (v. </w:t>
      </w:r>
      <w:hyperlink r:id="rId179">
        <w:r>
          <w:rPr>
            <w:color w:val="0000EE"/>
            <w:u w:val="single"/>
          </w:rPr>
          <w:t>30</w:t>
        </w:r>
      </w:hyperlink>
      <w:r>
        <w:t>). Le NT ne rapporte pas l'issue de son procès. Pendant cette période, selon la perspective traditionnelle, il a écrit Éphésiens, Philippiens, Colossiens et Philémon.</w:t>
      </w:r>
    </w:p>
    <w:p>
      <w:r/>
      <w:r>
        <w:t>Selon la tradition, Eusèbe a écrit qu'après s'être défendu, l'Apôtre a été envoyé de nouveau pour le ministère de la prédication et a été martyrisé sous Néron lors de sa deuxième visite dans la même ville. Néron, qui était l'empereur romain de 54 à 68, a mis à mort une multitude de chrétiens à Rome peu après un incendie désastreux en juillet 64, selon l'historien romain Tacite. Un certain nombre d'écrits chrétiens anciens (par exemple, Clément) semblent indiquer que Pierre et Paul ont tous deux été tués à Rome pendant cette persécution sauvage. Si cela est vrai, et si Eusèbe avait raison, alors Paul a peut-être passé les deux années de 62 à 64 à prêcher librement dans les provinces orientales. De nombreux experts conservateurs datent la première lettre de Paul à Timothée et sa lettre à Tite de cette période. Écrite depuis Rome peu avant le martyre de Paul en l'an 64, 2 Timothée était très probablement sa dernière lettre (</w:t>
      </w:r>
      <w:hyperlink r:id="rId2640">
        <w:r>
          <w:rPr>
            <w:color w:val="0000EE"/>
            <w:u w:val="single"/>
          </w:rPr>
          <w:t>2Tm 2.9</w:t>
        </w:r>
      </w:hyperlink>
      <w:r>
        <w:t xml:space="preserve"> ; </w:t>
      </w:r>
      <w:hyperlink r:id="rId2641">
        <w:r>
          <w:rPr>
            <w:color w:val="0000EE"/>
            <w:u w:val="single"/>
          </w:rPr>
          <w:t>4.6</w:t>
        </w:r>
      </w:hyperlink>
      <w:r>
        <w:t>).</w:t>
      </w:r>
    </w:p>
    <w:p>
      <w:r/>
      <w:r>
        <w:t xml:space="preserve">À Jérusalem, trois ans après que Paul est emmené à Rome, Jacques, le frère de Jésus, est lapidé à mort par les autorités juives. Selon Josèphe, cela s'est produit en l'an 62. Peu de temps après, selon Eusèbe, l'Église de Jérusalem a reçu une prophétie les avertissant de quitter cette ville condamnée et de s'installer à Pella, l'une des villes de la Décapole (« dix villes ») à l'est du Jourdain. Ainsi, lorsque la guerre a éclaté entre les Juifs et les Romains en l'an 66, les chrétiens ont échappé, pour la plupart, à sa fureur. Cette guerre s'est soldée en l'an 70 par la destruction de Jérusalem et du temple (cf. </w:t>
      </w:r>
      <w:hyperlink r:id="rId2642">
        <w:r>
          <w:rPr>
            <w:color w:val="0000EE"/>
            <w:u w:val="single"/>
          </w:rPr>
          <w:t>Mc 13.2</w:t>
        </w:r>
      </w:hyperlink>
      <w:r>
        <w:t xml:space="preserve"> ; </w:t>
      </w:r>
      <w:hyperlink r:id="rId2643">
        <w:r>
          <w:rPr>
            <w:color w:val="0000EE"/>
            <w:u w:val="single"/>
          </w:rPr>
          <w:t>Lc 21.24</w:t>
        </w:r>
      </w:hyperlink>
      <w:r>
        <w:t>).</w:t>
      </w:r>
    </w:p>
    <w:p>
      <w:r/>
      <w:r>
        <w:rPr>
          <w:i/>
        </w:rPr>
        <w:t>Voir aussi</w:t>
      </w:r>
      <w:r>
        <w:t xml:space="preserve"> </w:t>
      </w:r>
      <w:r>
        <w:t>Actes des Apôtres, Livre des</w:t>
      </w:r>
      <w:r>
        <w:t xml:space="preserve"> ; </w:t>
      </w:r>
      <w:r>
        <w:t>Apôtre, Apostolat</w:t>
      </w:r>
      <w:r>
        <w:t xml:space="preserve"> ; </w:t>
      </w:r>
      <w:r>
        <w:t>Âge</w:t>
      </w:r>
      <w:r>
        <w:t xml:space="preserve"> ; « Date » sous chaque livre du Nouveau Testament ; </w:t>
      </w:r>
      <w:r>
        <w:t>Première Révolte juive</w:t>
      </w:r>
      <w:r>
        <w:t xml:space="preserve"> ; </w:t>
      </w:r>
      <w:r>
        <w:t>Ascendance de Jésus-Christ</w:t>
      </w:r>
      <w:r>
        <w:t xml:space="preserve"> ; </w:t>
      </w:r>
      <w:r>
        <w:t>Jésus-Christ, Vie et Enseignements de</w:t>
      </w:r>
      <w:r>
        <w:t xml:space="preserve"> ; </w:t>
      </w:r>
      <w:r>
        <w:t>Paul, l'Apôtre</w:t>
      </w:r>
      <w:r>
        <w:t>.</w:t>
      </w:r>
      <w:r/>
      <w:r/>
    </w:p>
    <w:p>
      <w:r/>
    </w:p>
    <w:p>
      <w:pPr>
        <w:pStyle w:val="Heading2"/>
      </w:pPr>
      <w:r>
        <w:t>Chute de l'humanité</w:t>
      </w:r>
      <w:r/>
    </w:p>
    <w:p>
      <w:r/>
      <w:r>
        <w:t>Le passage d'une condition d'innocence morale et de faveur avec Dieu à une condition de condamnation à mort, qui s'est produit dans l'histoire de l'humanité avec la consommation du fruit défendu par Adam.</w:t>
      </w:r>
    </w:p>
    <w:p>
      <w:pPr>
        <w:pStyle w:val="Heading3"/>
      </w:pPr>
      <w:r>
        <w:t>Preuves bibliques</w:t>
      </w:r>
    </w:p>
    <w:p>
      <w:r/>
      <w:r>
        <w:t xml:space="preserve">Le récit de la Création dans </w:t>
      </w:r>
      <w:hyperlink r:id="rId2644">
        <w:r>
          <w:rPr>
            <w:color w:val="0000EE"/>
            <w:u w:val="single"/>
          </w:rPr>
          <w:t>Genèse 1</w:t>
        </w:r>
      </w:hyperlink>
      <w:r>
        <w:t xml:space="preserve"> et </w:t>
      </w:r>
      <w:hyperlink r:id="rId2645">
        <w:r>
          <w:rPr>
            <w:color w:val="0000EE"/>
            <w:u w:val="single"/>
          </w:rPr>
          <w:t>2</w:t>
        </w:r>
      </w:hyperlink>
      <w:r>
        <w:t xml:space="preserve"> affirme que la nature et la mission de l'humanité les met à part du reste de la création. L'humanité a été créée à l'image de Dieu dans le but de vivre en communion et en relation avec Dieu. En tant que représentant de Dieu, l'être humain a reçu la domination sur la terre pour cultiver et utiliser ses ressources pour la gloire de Dieu.</w:t>
      </w:r>
    </w:p>
    <w:p>
      <w:r/>
      <w:r>
        <w:t>En plus du mandat culturel, l'être humain a également reçu un commandement spécifique. Il était autorisé à utiliser la végétation du jardin d'Éden pour se nourrir, mais il lui était expressément interdit de manger de l'arbre de la connaissance du bien et du mal. Le but de ce commandement était d'introduire dans la conscience humaine l'antithèse radicale entre le bien et le mal et de confirmer l'être humain dans le service du Créateur. En tant que serviteur fidèle et loyal, l'être humain devait jouir de toutes les bénédictions accordées par son Père au ciel et être finalement conduit dans la plénitude de la vie éternelle avec Dieu.</w:t>
      </w:r>
    </w:p>
    <w:p>
      <w:r/>
      <w:r>
        <w:t>L'être humain a été créé comme une créature vivante, tout comme les animaux, mais le cœur de sa vie devait être l'union et la communion avec Dieu. La communion avec Dieu devait devenir la possession consciente d'Adam, contrairement aux animaux qui ne connaissent ni la possibilité du péché ni la communion consciente avec Dieu. En pleine conscience de ce que représentait l'alternative, et le caractère extrêmement mauvais de celle-ci, l'être humain était donc appelé à servir Dieu volontairement et avec amour. Sa vie devant Dieu devait donc être religieuse plutôt qu'instinctive.</w:t>
      </w:r>
    </w:p>
    <w:p>
      <w:r/>
      <w:r>
        <w:t>L'objectif de Dieu en donnant le commandement de ne pas manger le fruit de la connaissance du bien et du mal était d'établir les êtres humains dans les voies de la justice et de la foi. Cependant, Satan a utilisé ce commandement comme une occasion pour tenter l'être humain vers la rébellion contre Dieu. Être tenté ne constituait pas en soi le mal ; en revanche, en tentant l'être humain, Satan, lui, commettait le mal. Cela signifie que le mal existait dans l'univers avant la chute de l'être humain. Le but apparent de Satan était de soumettre l'être humain à lui-même et, à travers lui, d'étendre son royaume de ténèbres sur la terre. La chute de l'humanité et le projet de rédemption qui a suivi doivent être compris dans le contexte du conflit cosmique entre Dieu et Satan, dans lequel le triomphe ultime de Dieu est assuré. Satan a approché Adam par l'intermédiaire d'Ève, utilisant le serpent comme instrument pour les inciter à manger de l'arbre de la connaissance du bien et du mal.</w:t>
      </w:r>
    </w:p>
    <w:p>
      <w:r/>
      <w:r>
        <w:t>La différence entre le bien et le mal n'était pas cachée à l'être humain avant la chute, bien que l'expérience de l'être humain ne portât que sur le bien. Adam avait reçu des instructions concernant la nature de cette distinction et les conséquences de manger ou de ne pas manger de la part de Dieu seul. Comme il avait originellement reçu la vie de la part de son Créateur, il était désormais appelé à vivre dans l'obéissance à chaque parole qui sortait de la bouche de Dieu. Le but de la tentation était d'inciter à l'indépendance vis-à-vis de Dieu. Satan a remis en question la vérité de Dieu et a défié son autorité. Il a amené l'être humain à penser qu'il pouvait déterminer par lui-même la différence entre le bien et le mal et qu'il pouvait contrôler les conséquences à son propre avantage. La tentation était que l'être humain devienne un dieu pour lui-même.</w:t>
      </w:r>
    </w:p>
    <w:p>
      <w:r/>
      <w:r>
        <w:t>Adam a chuté lorsqu'il a cédé à la tentation de Satan et, avec sa femme, a mangé du fruit défendu. Cet acte de rébellion était un acte de désobéissance, de déloyauté, d'infidélité et d'incrédulité. De même que le commandement de ne pas manger résumait et concentrait tout ce qui était impliqué dans la justice devant Dieu, la transgression a incarné l'apostasie radicale envers Dieu. L'obéissance totale à Dieu a cédé la place à une rébellion complète et à une révolte totale : l'autorité de Dieu a été répudiée, la bonté de Dieu a été remise en question, la sagesse de Dieu a été contestée et la vérité de Dieu a été contredite. Un tout nouveau complexe d'affects et d'émotions a pris possession du cœur et de la pensée de l'être humain.</w:t>
      </w:r>
    </w:p>
    <w:p>
      <w:pPr>
        <w:pStyle w:val="Heading3"/>
      </w:pPr>
      <w:r>
        <w:t>Les effets de la chute</w:t>
      </w:r>
    </w:p>
    <w:p>
      <w:r/>
      <w:r>
        <w:t>Les effets immédiats de la chute se manifestent par la perte de l'assurance et de la joie en présence de Dieu, ainsi que par l'apparition de la peur et de la honte. Ils se traduisent également par l'aliénation d'Adam et Ève vis-à-vis de Dieu. La malédiction de l'humanité, mais plus encore l'expulsion d'Adam et Ève du Jardin illustrent ces effets. Le Jardin était le lieu de résidence de la justice, la sphère de l'union et de la communion entre l'être humain et Dieu. L'expulsion était inévitable une fois que la communion était rompue par l'injustice. Comme Dieu l'avait averti, la conséquence du péché était la mort. Puisque la mort intervient partout où se trouvait de la vie, elle se manifeste également dans la dissolution du corps dans la tombe.</w:t>
      </w:r>
    </w:p>
    <w:p>
      <w:r/>
      <w:r>
        <w:t>Les conséquences de la chute ne se limitent pas à Adam et Ève, mais s'étendent à tous ceux qui descendent du premier couple par génération naturelle, car il existe une relation unique de solidarité entre Adam et le reste de l'humanité. Certains théologiens mettent l'accent sur le lien générique entre Adam et ses descendants, tandis que d'autres se concentrent sur le lien d'alliance d'Adam en tant que chef et représentant de sa postérité. Les conséquences de la transgression d'Adam pour l'humanité sont l'imputation de son péché à tous ses descendants, leur responsabilité conséquente face à la mort, et la nature dépravée dont ils héritent.</w:t>
      </w:r>
    </w:p>
    <w:p>
      <w:r/>
      <w:r>
        <w:t>Les conséquences de la chute se manifestent également à l'échelle du cosmos, alors que la malédiction se déploie à travers la résistance à l'accomplissement du mandat culturel originel. Ce n'est qu'avec la douleur et le danger liés à l'accouchement que le monde est peuplé, et ce n'est qu'avec un travail ardu et pénible que la nourriture, les vêtements et l'abri nécessaires pour soutenir la vie sont fournis.</w:t>
      </w:r>
    </w:p>
    <w:p>
      <w:r/>
      <w:r>
        <w:t xml:space="preserve">Cependant, le fait que la mort ne s'abatte pas </w:t>
      </w:r>
      <w:r>
        <w:rPr>
          <w:i/>
        </w:rPr>
        <w:t>immédiatement</w:t>
      </w:r>
      <w:r>
        <w:t xml:space="preserve"> sur l'être humain après la chute comme un jugement </w:t>
      </w:r>
      <w:r>
        <w:rPr>
          <w:i/>
        </w:rPr>
        <w:t>final</w:t>
      </w:r>
      <w:r>
        <w:t xml:space="preserve"> indique le but salvateur de Dieu pour l'être humain. Adam n'entend pas la malédiction de la mort prononcée avant d'avoir entendu la promesse d'un Sauveur (</w:t>
      </w:r>
      <w:hyperlink r:id="rId250">
        <w:r>
          <w:rPr>
            <w:color w:val="0000EE"/>
            <w:u w:val="single"/>
          </w:rPr>
          <w:t>Gn 3.15</w:t>
        </w:r>
      </w:hyperlink>
      <w:r>
        <w:t>).</w:t>
      </w:r>
    </w:p>
    <w:p>
      <w:r/>
      <w:r>
        <w:t xml:space="preserve">Après </w:t>
      </w:r>
      <w:hyperlink r:id="rId1144">
        <w:r>
          <w:rPr>
            <w:color w:val="0000EE"/>
            <w:u w:val="single"/>
          </w:rPr>
          <w:t>Genèse 3</w:t>
        </w:r>
      </w:hyperlink>
      <w:r>
        <w:t>, la Bible fait rarement référence à la chute de l'humanité, mais cet événement historique est la présupposition indispensable de tout ce qui suit. L'élan de la Bible est tourné vers l'avenir : les effets croissants du péché et le déploiement du remède de Dieu.</w:t>
      </w:r>
    </w:p>
    <w:p>
      <w:r/>
      <w:r>
        <w:rPr>
          <w:i/>
        </w:rPr>
        <w:t>Voir aussi</w:t>
      </w:r>
      <w:r>
        <w:t xml:space="preserve"> </w:t>
      </w:r>
      <w:r>
        <w:t>Adam (Personne)</w:t>
      </w:r>
      <w:r>
        <w:t xml:space="preserve"> ; </w:t>
      </w:r>
      <w:r>
        <w:t>Mort</w:t>
      </w:r>
      <w:r>
        <w:t xml:space="preserve"> ; </w:t>
      </w:r>
      <w:r>
        <w:t>Péché</w:t>
      </w:r>
      <w:r>
        <w:t>.</w:t>
      </w:r>
      <w:r/>
      <w:r/>
    </w:p>
    <w:p>
      <w:r/>
    </w:p>
    <w:p>
      <w:pPr>
        <w:pStyle w:val="Heading2"/>
      </w:pPr>
      <w:r>
        <w:t>Chypre</w:t>
      </w:r>
      <w:r/>
    </w:p>
    <w:p>
      <w:r/>
      <w:r>
        <w:t>Chypre est un pays insulaire situé dans le nord-est de la mer Méditerranée. Elle se trouve à 80 km au sud de la Turquie (Asie Mineure), à près de 110 km à l'ouest de la Syrie et à 395 km au nord de l'Égypte. L'île mesure environ 180 km de long et 80 km de large. La plaine fertile de Mesaoria divise deux chaînes de montagnes, celles du Kyrenia et du massif du Troodos. Une bande étroite de terre de 65 km de long et 8 km de large s'étend depuis la partie nord-est de l'île.</w:t>
      </w:r>
    </w:p>
    <w:p>
      <w:r/>
      <w:r>
        <w:t>Chypre possède de nombreux ports naturels. Dans l'Antiquité, ces ports constituaient un point de connexion stratégique pour les routes maritimes en provenance d'Asie Mineure, de Syrie, de Palestine et d'Égypte. Les mines de cuivre chypriotes sont désormais principalement épuisées, mais elles ont historiquement représenté une industrie majeure pour l'île.</w:t>
      </w:r>
    </w:p>
    <w:p>
      <w:pPr>
        <w:pStyle w:val="Heading3"/>
      </w:pPr>
      <w:r>
        <w:t>Histoire de Chypre</w:t>
      </w:r>
    </w:p>
    <w:p>
      <w:r/>
      <w:r>
        <w:t xml:space="preserve">La population et l'importance économique de Chypre ont augmenté pendant l'âge du bronze, de la fin du quatrième au deuxième millénaire av. J.‑C. L'île a d'abord été nommée Alashiya, selon les documents anciens d'Ebla du XXIVe siècle av. J.‑C. Des documents de Mari au XVIIIe siècle av. J.‑C., ainsi que d'Ougarit et de Tel el-Amarna au XIVe siècle av. J.‑C., l'identifient également par ce nom. Élischa semble être un nom de l'île dans l'Ancien Testament. Ce nom pourrait être une interprétation hébraïque d'Alashiya (voir </w:t>
      </w:r>
      <w:hyperlink r:id="rId2084">
        <w:r>
          <w:rPr>
            <w:color w:val="0000EE"/>
            <w:u w:val="single"/>
          </w:rPr>
          <w:t>Esd 27.7</w:t>
        </w:r>
      </w:hyperlink>
      <w:r>
        <w:t>).</w:t>
      </w:r>
    </w:p>
    <w:p>
      <w:r/>
      <w:r>
        <w:t>Les réseaux commerciaux avec la Syrie, la Palestine et l'Égypte ont rendu l'île célèbre pour ses exportations, notamment de cuivre, d'huile, de bois et de poterie. Des vestiges de poterie alashiyenne ont été trouvés en Égypte, en Palestine et en Syrie. Les textes anciens d'Ebla, Mari et Amarna notent les détails commerciaux concernant les échanges précieux de cuivre. Vers la fin de l'âge du bronze, les Grecs de Mycènes et d'Achaïe ont commencé à migrer vers Chypre. Les colonies grecques de Salamine et de Paphos ont été fondées entre 1 270 et 1 190 av. J.‑C.</w:t>
      </w:r>
    </w:p>
    <w:p>
      <w:r/>
      <w:r>
        <w:t>Aux IXe et VIIIe siècles av. J.‑C., les Phéniciens ont établi des colonies et affirmé leur domination sur Chypre. Le roi Hiram II de Tyr a régné sur Chypre, selon les inscriptions trouvées au mont Sinoas. Il a été roi de 741 à 738 av. J.‑C. Kition, près de l'actuelle Larnaka, était une colonie phénicienne dont les habitants étaient appelés Kittim. Les Hébreux ont nommé toute l'île Kittim (</w:t>
      </w:r>
      <w:hyperlink r:id="rId2646">
        <w:r>
          <w:rPr>
            <w:color w:val="0000EE"/>
            <w:u w:val="single"/>
          </w:rPr>
          <w:t>Nb 24.24</w:t>
        </w:r>
      </w:hyperlink>
      <w:r>
        <w:t>). Les textes hébreux ont fini par désigner tout pays maritime par ce nom (</w:t>
      </w:r>
      <w:hyperlink r:id="rId2647">
        <w:r>
          <w:rPr>
            <w:color w:val="0000EE"/>
            <w:u w:val="single"/>
          </w:rPr>
          <w:t>Jr 2.10</w:t>
        </w:r>
      </w:hyperlink>
      <w:r>
        <w:t xml:space="preserve">; </w:t>
      </w:r>
      <w:hyperlink r:id="rId2648">
        <w:r>
          <w:rPr>
            <w:color w:val="0000EE"/>
            <w:u w:val="single"/>
          </w:rPr>
          <w:t>Dn 11.30</w:t>
        </w:r>
      </w:hyperlink>
      <w:r>
        <w:t xml:space="preserve">; </w:t>
      </w:r>
      <w:hyperlink r:id="rId2649">
        <w:r>
          <w:rPr>
            <w:color w:val="0000EE"/>
            <w:u w:val="single"/>
          </w:rPr>
          <w:t>1 M 1.1</w:t>
        </w:r>
      </w:hyperlink>
      <w:r>
        <w:t>). Ésaïe a annoncé que les rapports de la destruction de Tyr seraient confirmés depuis les ports de Kittim (Chypre) (</w:t>
      </w:r>
      <w:hyperlink r:id="rId2650">
        <w:r>
          <w:rPr>
            <w:color w:val="0000EE"/>
            <w:u w:val="single"/>
          </w:rPr>
          <w:t>Es 23.1, 12</w:t>
        </w:r>
      </w:hyperlink>
      <w:r>
        <w:t>).</w:t>
      </w:r>
    </w:p>
    <w:p>
      <w:r/>
      <w:r>
        <w:t>L'Assyrie (la puissance montante du Proche-Orient au cours des VIIIe et VIIe siècles av. J.‑C.) fera de Chypre l'un de ses tributaires. La stèle du roi Sargon II, qui régnera de 721 à 705 av. J.‑C., est un monument en pierre qui relate l'argent et les cadeaux reçus de la part de sept rois de Chypre. Le roi Ésar-Haddon a tenu des registres sur un objet en argile en forme de prisme. Il régnera vers 670 av. J.‑C. Le prisme liste dix rois qui régnaient sur différentes villes de Chypre. Pendant l'occupation assyrienne, Chypre était appelée Iadnan. Après la fin de l'Empire assyrien, Chypre sera gouvernée par Amasis, qui régnera sur l'Égypte de 569 à 527 av. J.‑C. Plus tard, Chypre sera gouvernée par le roi Cambyse II de Perse (529–522 av. J.‑C.).</w:t>
      </w:r>
    </w:p>
    <w:p>
      <w:r/>
      <w:r>
        <w:t>Alexandre le Grand triomphera de l'armée perse à Issos en 333 av. J.‑C. Après cela, Chypre enverra cent vingt navires pour soutenir son siège contre Tyr. Les Ptolémées d'Égypte (une subdivision de l'Empire grec) prendront possession de l'île après la mort d'Alexandre en 323. L'Égypte conservera le contrôle de Chypre de 294 à 258 av. J.‑C. Cette période apportera une paix et une prospérité relatives à l'île. C'est alors que le nom Chypre, signifiant cuivre en grec, lui sera attribué.</w:t>
      </w:r>
    </w:p>
    <w:p>
      <w:r/>
      <w:r>
        <w:t>Chypre a été annexée à Rome en 58 av. J.‑C. Cicéron sera nommé gouverneur de Chypre en 52. En l'an 22 av. J.‑C., Rome fera de Chypre une province sénatoriale ; Sergius Paulus sera choisi comme proconsul en 46 apr. J.‑C. Plus tard, Hadrien réprimera une violente révolte juive en l'an 117, après quoi il bannira tous les Juifs de l'île.</w:t>
      </w:r>
    </w:p>
    <w:p>
      <w:pPr>
        <w:pStyle w:val="Heading3"/>
      </w:pPr>
      <w:r>
        <w:t>Chypre dans le Nouveau Testament</w:t>
      </w:r>
    </w:p>
    <w:p>
      <w:r/>
      <w:r>
        <w:t>Dans le Nouveau Testament, Chypre est d'abord mentionnée comme le lieu de naissance de Barnabas (</w:t>
      </w:r>
      <w:hyperlink r:id="rId2651">
        <w:r>
          <w:rPr>
            <w:color w:val="0000EE"/>
            <w:u w:val="single"/>
          </w:rPr>
          <w:t>Ac 4.36</w:t>
        </w:r>
      </w:hyperlink>
      <w:r>
        <w:t>). Plus tard, des croyants juifs chercheront refuge à Chypre pour échapper à la persécution à Jérusalem à cause d'Étienne (</w:t>
      </w:r>
      <w:hyperlink r:id="rId2652">
        <w:r>
          <w:rPr>
            <w:color w:val="0000EE"/>
            <w:u w:val="single"/>
          </w:rPr>
          <w:t>11.19–20</w:t>
        </w:r>
      </w:hyperlink>
      <w:r>
        <w:t>). Paul et Barnabas prendront la mer depuis Séleucie, traversant vers Chypre avant de se rendre en Asie Mineure (vers 47 apr. J.‑C.) lors du premier voyage missionnaire de Paul.</w:t>
      </w:r>
    </w:p>
    <w:p>
      <w:r/>
      <w:r>
        <w:t>En débarquant à Salamine, ils traverseront l'île jusqu'à la ville portuaire occidentale de Paphos. Là, ils rencontreront Bar-Jésus, le faux prophète, et convertiront le proconsul romain Sergius Paulus. De Paphos, Paul et Barnabas navigueront vers l'Asie Mineure, accostant à Perge en Pamphylie (</w:t>
      </w:r>
      <w:hyperlink r:id="rId2653">
        <w:r>
          <w:rPr>
            <w:color w:val="0000EE"/>
            <w:u w:val="single"/>
          </w:rPr>
          <w:t>13.4–13</w:t>
        </w:r>
      </w:hyperlink>
      <w:r>
        <w:t>).</w:t>
      </w:r>
    </w:p>
    <w:p>
      <w:r/>
      <w:r>
        <w:t>Paul contournera Chypre lors de son deuxième voyage missionnaire. Barnabas, avec Jean Marc, revisitera l'île (</w:t>
      </w:r>
      <w:hyperlink r:id="rId2654">
        <w:r>
          <w:rPr>
            <w:color w:val="0000EE"/>
            <w:u w:val="single"/>
          </w:rPr>
          <w:t>15.39</w:t>
        </w:r>
      </w:hyperlink>
      <w:r>
        <w:t>). Lors du dernier voyage de Paul à Jérusalem, Chypre était un point de repère de navigation pour traverser de Patara à Tyr (</w:t>
      </w:r>
      <w:hyperlink r:id="rId2655">
        <w:r>
          <w:rPr>
            <w:color w:val="0000EE"/>
            <w:u w:val="single"/>
          </w:rPr>
          <w:t>21.3</w:t>
        </w:r>
      </w:hyperlink>
      <w:r>
        <w:t>). Lors du voyage vers Rome, le navire de Paul naviguera à l'abri de Chypre pour éviter les vents violents (</w:t>
      </w:r>
      <w:hyperlink r:id="rId2656">
        <w:r>
          <w:rPr>
            <w:color w:val="0000EE"/>
            <w:u w:val="single"/>
          </w:rPr>
          <w:t>27.4</w:t>
        </w:r>
      </w:hyperlink>
      <w:r>
        <w:t>).</w:t>
      </w:r>
      <w:r/>
      <w:r/>
    </w:p>
    <w:p>
      <w:r/>
    </w:p>
    <w:p>
      <w:pPr>
        <w:pStyle w:val="Heading2"/>
      </w:pPr>
      <w:r>
        <w:t>Cieux</w:t>
      </w:r>
      <w:r/>
    </w:p>
    <w:p>
      <w:r/>
      <w:r>
        <w:t>Dans la Bible, le mot « cieux » peut avoir deux significations différentes. Premièrement, il peut désigner le ciel au-dessus de nous, où nous voyons nuages, oiseaux et étoiles. Deuxièmement, il peut désigner la demeure particulière de Dieu ; un lieu spirituel où Dieu réside.</w:t>
      </w:r>
    </w:p>
    <w:p>
      <w:r/>
      <w:r>
        <w:t>Le mot hébreu original pour « cieux » est intéressant car sa forme duale suggère qu'il pourrait y avoir deux cieux. Certains experts pensent que cela pourrait indiquer les deux significations différentes que nous venons de voir : le ciel physique (le ciel) et le ciel spirituel (là où Dieu se trouve). Cependant, d'autres pensent que cette forme de mot était simplement une manière ancienne d'écrire sur plus d'une chose.</w:t>
      </w:r>
    </w:p>
    <w:p>
      <w:pPr>
        <w:pStyle w:val="Heading3"/>
      </w:pPr>
      <w:r>
        <w:t>Les Cieux dans l'Ancien Testament</w:t>
      </w:r>
    </w:p>
    <w:p>
      <w:pPr>
        <w:pStyle w:val="Heading4"/>
      </w:pPr>
      <w:r>
        <w:t>Le Ciel et la météo</w:t>
      </w:r>
    </w:p>
    <w:p>
      <w:r/>
      <w:r>
        <w:t>Les auteurs de l'Ancien Testament considéraient les cieux physiques (le ciel) comme un « firmament », une arche au-dessus de la terre soutenue par des fondations et des piliers (</w:t>
      </w:r>
      <w:hyperlink r:id="rId2657">
        <w:r>
          <w:rPr>
            <w:color w:val="0000EE"/>
            <w:u w:val="single"/>
          </w:rPr>
          <w:t>2S 22.8</w:t>
        </w:r>
      </w:hyperlink>
      <w:r>
        <w:t>). La pluie tombait à travers ses portes (</w:t>
      </w:r>
      <w:hyperlink r:id="rId2658">
        <w:r>
          <w:rPr>
            <w:color w:val="0000EE"/>
            <w:u w:val="single"/>
          </w:rPr>
          <w:t>Ps 78.23</w:t>
        </w:r>
      </w:hyperlink>
      <w:r>
        <w:t>).</w:t>
      </w:r>
    </w:p>
    <w:p>
      <w:r/>
      <w:hyperlink r:id="rId2659">
        <w:r>
          <w:rPr>
            <w:color w:val="0000EE"/>
            <w:u w:val="single"/>
          </w:rPr>
          <w:t>Psaumes 8</w:t>
        </w:r>
      </w:hyperlink>
      <w:r>
        <w:t xml:space="preserve"> et </w:t>
      </w:r>
      <w:hyperlink r:id="rId2660">
        <w:r>
          <w:rPr>
            <w:color w:val="0000EE"/>
            <w:u w:val="single"/>
          </w:rPr>
          <w:t>19.1–6</w:t>
        </w:r>
      </w:hyperlink>
      <w:r>
        <w:t xml:space="preserve"> sont des descriptions du ciel. L'Ancien Testament décrit le ciel comme la région :</w:t>
      </w:r>
    </w:p>
    <w:p>
      <w:pPr>
        <w:pStyle w:val="ListBullet"/>
        <w:spacing w:line="240" w:lineRule="auto"/>
        <w:ind w:left="720"/>
      </w:pPr>
      <w:r/>
      <w:r>
        <w:t>Des nuages (</w:t>
      </w:r>
      <w:hyperlink r:id="rId2661">
        <w:r>
          <w:rPr>
            <w:color w:val="0000EE"/>
            <w:u w:val="single"/>
          </w:rPr>
          <w:t>Ps 147.8</w:t>
        </w:r>
      </w:hyperlink>
      <w:r>
        <w:t>)</w:t>
      </w:r>
    </w:p>
    <w:p>
      <w:pPr>
        <w:pStyle w:val="ListBullet"/>
        <w:spacing w:line="240" w:lineRule="auto"/>
        <w:ind w:left="720"/>
      </w:pPr>
      <w:r/>
      <w:r>
        <w:t>Des vents (</w:t>
      </w:r>
      <w:hyperlink r:id="rId2662">
        <w:r>
          <w:rPr>
            <w:color w:val="0000EE"/>
            <w:u w:val="single"/>
          </w:rPr>
          <w:t>Za 2.6</w:t>
        </w:r>
      </w:hyperlink>
      <w:r>
        <w:t>)</w:t>
      </w:r>
    </w:p>
    <w:p>
      <w:pPr>
        <w:pStyle w:val="ListBullet"/>
        <w:spacing w:line="240" w:lineRule="auto"/>
        <w:ind w:left="720"/>
      </w:pPr>
      <w:r/>
      <w:r>
        <w:t>De la pluie (</w:t>
      </w:r>
      <w:hyperlink r:id="rId2663">
        <w:r>
          <w:rPr>
            <w:color w:val="0000EE"/>
            <w:u w:val="single"/>
          </w:rPr>
          <w:t>Dt 11.11</w:t>
        </w:r>
      </w:hyperlink>
      <w:r>
        <w:t>)</w:t>
      </w:r>
    </w:p>
    <w:p>
      <w:pPr>
        <w:pStyle w:val="ListBullet"/>
        <w:spacing w:line="240" w:lineRule="auto"/>
        <w:ind w:left="720"/>
      </w:pPr>
      <w:r/>
      <w:r>
        <w:t>Du tonnerre (</w:t>
      </w:r>
      <w:hyperlink r:id="rId2664">
        <w:r>
          <w:rPr>
            <w:color w:val="0000EE"/>
            <w:u w:val="single"/>
          </w:rPr>
          <w:t>1S 2.10</w:t>
        </w:r>
      </w:hyperlink>
      <w:r>
        <w:t>)</w:t>
      </w:r>
    </w:p>
    <w:p>
      <w:pPr>
        <w:pStyle w:val="ListBullet"/>
        <w:spacing w:line="240" w:lineRule="auto"/>
        <w:ind w:left="720"/>
      </w:pPr>
      <w:r/>
      <w:r>
        <w:t>De la rosée (</w:t>
      </w:r>
      <w:hyperlink r:id="rId2665">
        <w:r>
          <w:rPr>
            <w:color w:val="0000EE"/>
            <w:u w:val="single"/>
          </w:rPr>
          <w:t>Dt 33.13</w:t>
        </w:r>
      </w:hyperlink>
      <w:r>
        <w:t>)</w:t>
      </w:r>
    </w:p>
    <w:p>
      <w:pPr>
        <w:pStyle w:val="ListBullet"/>
        <w:spacing w:line="240" w:lineRule="auto"/>
        <w:ind w:left="720"/>
      </w:pPr>
      <w:r/>
      <w:r>
        <w:t>Du gel (</w:t>
      </w:r>
      <w:hyperlink r:id="rId2666">
        <w:r>
          <w:rPr>
            <w:color w:val="0000EE"/>
            <w:u w:val="single"/>
          </w:rPr>
          <w:t>Jb 38.29</w:t>
        </w:r>
      </w:hyperlink>
      <w:r>
        <w:t>)</w:t>
      </w:r>
    </w:p>
    <w:p>
      <w:pPr>
        <w:pStyle w:val="ListBullet"/>
        <w:spacing w:line="240" w:lineRule="auto"/>
        <w:ind w:left="720"/>
      </w:pPr>
      <w:r/>
      <w:r>
        <w:t>Des oiseaux (</w:t>
      </w:r>
      <w:hyperlink r:id="rId2667">
        <w:r>
          <w:rPr>
            <w:color w:val="0000EE"/>
            <w:u w:val="single"/>
          </w:rPr>
          <w:t>Gn 1.26, 30</w:t>
        </w:r>
      </w:hyperlink>
      <w:r>
        <w:t>)</w:t>
      </w:r>
    </w:p>
    <w:p>
      <w:r/>
      <w:r>
        <w:t>Il s'agit également de l'emplacement de forces destructrices telles que :</w:t>
      </w:r>
    </w:p>
    <w:p>
      <w:pPr>
        <w:pStyle w:val="ListBullet"/>
        <w:spacing w:line="240" w:lineRule="auto"/>
        <w:ind w:left="720"/>
      </w:pPr>
      <w:r/>
      <w:r>
        <w:t>La grêle (</w:t>
      </w:r>
      <w:hyperlink r:id="rId2668">
        <w:r>
          <w:rPr>
            <w:color w:val="0000EE"/>
            <w:u w:val="single"/>
          </w:rPr>
          <w:t>Jos 10.11</w:t>
        </w:r>
      </w:hyperlink>
      <w:r>
        <w:t>)</w:t>
      </w:r>
    </w:p>
    <w:p>
      <w:pPr>
        <w:pStyle w:val="ListBullet"/>
        <w:spacing w:line="240" w:lineRule="auto"/>
        <w:ind w:left="720"/>
      </w:pPr>
      <w:r/>
      <w:r>
        <w:t>Le feu et le soufre (</w:t>
      </w:r>
      <w:hyperlink r:id="rId2669">
        <w:r>
          <w:rPr>
            <w:color w:val="0000EE"/>
            <w:u w:val="single"/>
          </w:rPr>
          <w:t>Gn 19.24</w:t>
        </w:r>
      </w:hyperlink>
      <w:r>
        <w:t>).</w:t>
      </w:r>
    </w:p>
    <w:p>
      <w:r/>
      <w:r>
        <w:t>Le Nouveau Testament poursuit cette description des cieux comme le lieu où se produisent les phénomènes météorologiques, avec des nuages et des tempêtes (</w:t>
      </w:r>
      <w:hyperlink r:id="rId2670">
        <w:r>
          <w:rPr>
            <w:color w:val="0000EE"/>
            <w:u w:val="single"/>
          </w:rPr>
          <w:t>Mt 16.2</w:t>
        </w:r>
      </w:hyperlink>
      <w:r>
        <w:t xml:space="preserve"> ; </w:t>
      </w:r>
      <w:hyperlink r:id="rId2671">
        <w:r>
          <w:rPr>
            <w:color w:val="0000EE"/>
            <w:u w:val="single"/>
          </w:rPr>
          <w:t>Lc 4.25</w:t>
        </w:r>
      </w:hyperlink>
      <w:r>
        <w:t>). Les cieux sont aussi l'endroit où volent les oiseaux (</w:t>
      </w:r>
      <w:hyperlink r:id="rId2672">
        <w:r>
          <w:rPr>
            <w:color w:val="0000EE"/>
            <w:u w:val="single"/>
          </w:rPr>
          <w:t>Lc 9.58</w:t>
        </w:r>
      </w:hyperlink>
      <w:r>
        <w:t>).</w:t>
      </w:r>
    </w:p>
    <w:p>
      <w:pPr>
        <w:pStyle w:val="Heading4"/>
      </w:pPr>
      <w:r>
        <w:t>L'Espace et les corps célestes</w:t>
      </w:r>
    </w:p>
    <w:p>
      <w:r/>
      <w:r>
        <w:t>L'idée israélite des cieux inclut l'espace, qui comprend l'univers. Les corps célestes dans les cieux étaient vus comme des créations de Dieu qui ne détenaient pas un pouvoir en propre. Ceux-ci incluent :</w:t>
      </w:r>
    </w:p>
    <w:p>
      <w:pPr>
        <w:pStyle w:val="ListBullet"/>
        <w:spacing w:line="240" w:lineRule="auto"/>
        <w:ind w:left="720"/>
      </w:pPr>
      <w:r/>
      <w:r>
        <w:t>Le soleil</w:t>
      </w:r>
    </w:p>
    <w:p>
      <w:pPr>
        <w:pStyle w:val="ListBullet"/>
        <w:spacing w:line="240" w:lineRule="auto"/>
        <w:ind w:left="720"/>
      </w:pPr>
      <w:r/>
      <w:r>
        <w:t>La lune</w:t>
      </w:r>
    </w:p>
    <w:p>
      <w:pPr>
        <w:pStyle w:val="ListBullet"/>
        <w:spacing w:line="240" w:lineRule="auto"/>
        <w:ind w:left="720"/>
      </w:pPr>
      <w:r/>
      <w:r>
        <w:t>Les planètes</w:t>
      </w:r>
    </w:p>
    <w:p>
      <w:pPr>
        <w:pStyle w:val="ListBullet"/>
        <w:spacing w:line="240" w:lineRule="auto"/>
        <w:ind w:left="720"/>
      </w:pPr>
      <w:r/>
      <w:r>
        <w:t xml:space="preserve">Les étoiles (vues comme des lumières dans l'étendue du ciel ; </w:t>
      </w:r>
      <w:hyperlink r:id="rId2673">
        <w:r>
          <w:rPr>
            <w:color w:val="0000EE"/>
            <w:u w:val="single"/>
          </w:rPr>
          <w:t>Gn 1.14</w:t>
        </w:r>
      </w:hyperlink>
      <w:r>
        <w:t xml:space="preserve"> ; </w:t>
      </w:r>
      <w:hyperlink r:id="rId1441">
        <w:r>
          <w:rPr>
            <w:color w:val="0000EE"/>
            <w:u w:val="single"/>
          </w:rPr>
          <w:t>15.5</w:t>
        </w:r>
      </w:hyperlink>
      <w:r>
        <w:t>)</w:t>
      </w:r>
    </w:p>
    <w:p>
      <w:r/>
      <w:r>
        <w:t>Ils n'étaient pas dignes d'adoration parce que Dieu a fait les humains supérieurs à eux. Les Israélites n'étaient pas autorisés à adorer ces corps célestes (</w:t>
      </w:r>
      <w:hyperlink r:id="rId2674">
        <w:r>
          <w:rPr>
            <w:color w:val="0000EE"/>
            <w:u w:val="single"/>
          </w:rPr>
          <w:t>Ex 20.4</w:t>
        </w:r>
      </w:hyperlink>
      <w:r>
        <w:t>) ou les dieux et déesses qui les représentaient (</w:t>
      </w:r>
      <w:hyperlink r:id="rId2675">
        <w:r>
          <w:rPr>
            <w:color w:val="0000EE"/>
            <w:u w:val="single"/>
          </w:rPr>
          <w:t>Jr 44.17–25</w:t>
        </w:r>
      </w:hyperlink>
      <w:r>
        <w:t>). Ils n'étaient pas non plus autorisés à essayer de prédire l'avenir à travers les étoiles (</w:t>
      </w:r>
      <w:hyperlink r:id="rId2676">
        <w:r>
          <w:rPr>
            <w:color w:val="0000EE"/>
            <w:u w:val="single"/>
          </w:rPr>
          <w:t>Es 47.13</w:t>
        </w:r>
      </w:hyperlink>
      <w:r>
        <w:t>). L'absence de cette croyance était une des choses qui distinguait les Israélites. Israël croyait que les corps célestes étaient créés par Dieu, tandis que d'autres nations les adoraient.</w:t>
      </w:r>
    </w:p>
    <w:p>
      <w:pPr>
        <w:pStyle w:val="Heading4"/>
      </w:pPr>
      <w:r>
        <w:t>Les Trois cieux</w:t>
      </w:r>
    </w:p>
    <w:p>
      <w:r/>
      <w:r>
        <w:t>La Bible parle des « cieux immenses » (</w:t>
      </w:r>
      <w:hyperlink r:id="rId2677">
        <w:r>
          <w:rPr>
            <w:color w:val="0000EE"/>
            <w:u w:val="single"/>
          </w:rPr>
          <w:t>Dt 10.14</w:t>
        </w:r>
      </w:hyperlink>
      <w:r>
        <w:t xml:space="preserve">, NFC ; voir aussi </w:t>
      </w:r>
      <w:hyperlink r:id="rId2678">
        <w:r>
          <w:rPr>
            <w:color w:val="0000EE"/>
            <w:u w:val="single"/>
          </w:rPr>
          <w:t>1R 8.27</w:t>
        </w:r>
      </w:hyperlink>
      <w:r>
        <w:t xml:space="preserve"> ; </w:t>
      </w:r>
      <w:hyperlink r:id="rId2679">
        <w:r>
          <w:rPr>
            <w:color w:val="0000EE"/>
            <w:u w:val="single"/>
          </w:rPr>
          <w:t>Psaumes 68.33</w:t>
        </w:r>
      </w:hyperlink>
      <w:r>
        <w:t xml:space="preserve"> ; </w:t>
      </w:r>
      <w:hyperlink r:id="rId2680">
        <w:r>
          <w:rPr>
            <w:color w:val="0000EE"/>
            <w:u w:val="single"/>
          </w:rPr>
          <w:t>148.4</w:t>
        </w:r>
      </w:hyperlink>
      <w:r>
        <w:t>). Certaines traductions plus littérales, comme la version Louis Segond ou la Traduction Œcuménique de la Bible, utilisent l'expression « cieux des cieux » à la place. Ce sont autant de façons de traduire une expression hébraïque ancienne qui souligne les cieux les plus importants, là où Dieu réside.</w:t>
      </w:r>
    </w:p>
    <w:p>
      <w:r/>
      <w:r>
        <w:t>Dans l'une de ses lettres, Paul a parlé d'être emporté jusqu'au « troisième ciel » (</w:t>
      </w:r>
      <w:hyperlink r:id="rId2681">
        <w:r>
          <w:rPr>
            <w:color w:val="0000EE"/>
            <w:u w:val="single"/>
          </w:rPr>
          <w:t>2Co 12.2</w:t>
        </w:r>
      </w:hyperlink>
      <w:r>
        <w:t>). Certaines personnes ont lié cela aux idées grecques anciennes concernant trois niveaux différents de cieux. L'Église catholique romaine au Moyen Âge a également enseigné l'existence de trois cieux :</w:t>
      </w:r>
    </w:p>
    <w:p>
      <w:pPr>
        <w:pStyle w:val="ListNumber"/>
        <w:spacing w:line="240" w:lineRule="auto"/>
        <w:ind w:left="720"/>
      </w:pPr>
      <w:r/>
      <w:r>
        <w:t xml:space="preserve">Des cieux pour l'eau et l'air (appelé </w:t>
      </w:r>
      <w:r>
        <w:rPr>
          <w:i/>
        </w:rPr>
        <w:t>Coelum Aqueum</w:t>
      </w:r>
      <w:r>
        <w:t xml:space="preserve"> en latin)</w:t>
      </w:r>
    </w:p>
    <w:p>
      <w:pPr>
        <w:pStyle w:val="ListNumber"/>
        <w:spacing w:line="240" w:lineRule="auto"/>
        <w:ind w:left="720"/>
      </w:pPr>
      <w:r/>
      <w:r>
        <w:t xml:space="preserve">Des cieux pour les étoiles (appelé </w:t>
      </w:r>
      <w:r>
        <w:rPr>
          <w:i/>
        </w:rPr>
        <w:t>Coelum Sidereum</w:t>
      </w:r>
      <w:r>
        <w:t xml:space="preserve"> en latin)</w:t>
      </w:r>
    </w:p>
    <w:p>
      <w:pPr>
        <w:pStyle w:val="ListNumber"/>
        <w:spacing w:line="240" w:lineRule="auto"/>
        <w:ind w:left="720"/>
      </w:pPr>
      <w:r/>
      <w:r>
        <w:t xml:space="preserve">Des cieux pour le trône de Dieu (appelé </w:t>
      </w:r>
      <w:r>
        <w:rPr>
          <w:i/>
        </w:rPr>
        <w:t>Coelum Empyreum</w:t>
      </w:r>
      <w:r>
        <w:t xml:space="preserve"> en latin)</w:t>
      </w:r>
    </w:p>
    <w:p>
      <w:r/>
      <w:r>
        <w:t>Les personnes qui croient en cette idée considèrent les trois cieux comme :</w:t>
      </w:r>
    </w:p>
    <w:p>
      <w:pPr>
        <w:pStyle w:val="ListNumber"/>
        <w:spacing w:line="240" w:lineRule="auto"/>
        <w:ind w:left="720"/>
      </w:pPr>
      <w:r/>
      <w:r>
        <w:t>Le ciel où volent les oiseaux et où les nuages se forment</w:t>
      </w:r>
    </w:p>
    <w:p>
      <w:pPr>
        <w:pStyle w:val="ListNumber"/>
        <w:spacing w:line="240" w:lineRule="auto"/>
        <w:ind w:left="720"/>
      </w:pPr>
      <w:r/>
      <w:r>
        <w:t>L'espace, dans lequel nous voyons le soleil, la lune et les étoiles</w:t>
      </w:r>
    </w:p>
    <w:p>
      <w:pPr>
        <w:pStyle w:val="ListNumber"/>
        <w:spacing w:line="240" w:lineRule="auto"/>
        <w:ind w:left="720"/>
      </w:pPr>
      <w:r/>
      <w:r>
        <w:t>Les « cieux des cieux », où Dieu réside et où les croyants se rendent après la mort</w:t>
      </w:r>
    </w:p>
    <w:p>
      <w:pPr>
        <w:pStyle w:val="Heading3"/>
      </w:pPr>
      <w:r>
        <w:t>Les Cieux dans le Nouveau Testament</w:t>
      </w:r>
    </w:p>
    <w:p>
      <w:pPr>
        <w:pStyle w:val="Heading4"/>
      </w:pPr>
      <w:r>
        <w:t>Jésus et les cieux</w:t>
      </w:r>
    </w:p>
    <w:p>
      <w:r/>
      <w:r>
        <w:t>Jésus a enseigné que les cieux sont le lieu où Dieu réside (</w:t>
      </w:r>
      <w:hyperlink r:id="rId2682">
        <w:r>
          <w:rPr>
            <w:color w:val="0000EE"/>
            <w:u w:val="single"/>
          </w:rPr>
          <w:t>Mt 6.9</w:t>
        </w:r>
      </w:hyperlink>
      <w:r>
        <w:t>). Pendant son ministère terrestre, Jésus disait souvent qu'il était venu du ciel (</w:t>
      </w:r>
      <w:hyperlink r:id="rId2683">
        <w:r>
          <w:rPr>
            <w:color w:val="0000EE"/>
            <w:u w:val="single"/>
          </w:rPr>
          <w:t>Jn 3.13</w:t>
        </w:r>
      </w:hyperlink>
      <w:r>
        <w:t xml:space="preserve"> ; </w:t>
      </w:r>
      <w:hyperlink r:id="rId2684">
        <w:r>
          <w:rPr>
            <w:color w:val="0000EE"/>
            <w:u w:val="single"/>
          </w:rPr>
          <w:t>6.33–51</w:t>
        </w:r>
      </w:hyperlink>
      <w:r>
        <w:t>). Trois fois, la voix de Dieu a parlé depuis les cieux pour confirmer ce que Jésus disait (</w:t>
      </w:r>
      <w:hyperlink r:id="rId2685">
        <w:r>
          <w:rPr>
            <w:color w:val="0000EE"/>
            <w:u w:val="single"/>
          </w:rPr>
          <w:t>Mt 3.16–17</w:t>
        </w:r>
      </w:hyperlink>
      <w:r>
        <w:t xml:space="preserve"> ; </w:t>
      </w:r>
      <w:hyperlink r:id="rId2686">
        <w:r>
          <w:rPr>
            <w:color w:val="0000EE"/>
            <w:u w:val="single"/>
          </w:rPr>
          <w:t>17.5</w:t>
        </w:r>
      </w:hyperlink>
      <w:r>
        <w:t xml:space="preserve"> ; </w:t>
      </w:r>
      <w:hyperlink r:id="rId2687">
        <w:r>
          <w:rPr>
            <w:color w:val="0000EE"/>
            <w:u w:val="single"/>
          </w:rPr>
          <w:t>Jn 12.28</w:t>
        </w:r>
      </w:hyperlink>
      <w:r>
        <w:t>).</w:t>
      </w:r>
    </w:p>
    <w:p>
      <w:pPr>
        <w:pStyle w:val="Heading4"/>
      </w:pPr>
      <w:r>
        <w:t>L'Adoration aux cieux</w:t>
      </w:r>
    </w:p>
    <w:p>
      <w:r/>
      <w:r>
        <w:t>Les cieux sont le véritable lieu d'adoration saint. Le tabernacle construit sur terre n'était qu'une copie du céleste (</w:t>
      </w:r>
      <w:hyperlink r:id="rId2688">
        <w:r>
          <w:rPr>
            <w:color w:val="0000EE"/>
            <w:u w:val="single"/>
          </w:rPr>
          <w:t>Hé 8.1–5</w:t>
        </w:r>
      </w:hyperlink>
      <w:r>
        <w:t>). C'est des cieux dont Paul a parlé lorsqu'il parlait du « troisième ciel » (</w:t>
      </w:r>
      <w:hyperlink r:id="rId2681">
        <w:r>
          <w:rPr>
            <w:color w:val="0000EE"/>
            <w:u w:val="single"/>
          </w:rPr>
          <w:t>2Co 12.2</w:t>
        </w:r>
      </w:hyperlink>
      <w:r>
        <w:t xml:space="preserve">). Parfois, lorsque la Bible utilise le mot « cieux », elle fait en réalité référence à Dieu lui-même (comparer </w:t>
      </w:r>
      <w:hyperlink r:id="rId2689">
        <w:r>
          <w:rPr>
            <w:color w:val="0000EE"/>
            <w:u w:val="single"/>
          </w:rPr>
          <w:t>Mt 23.22</w:t>
        </w:r>
      </w:hyperlink>
      <w:r>
        <w:t xml:space="preserve"> ; </w:t>
      </w:r>
      <w:hyperlink r:id="rId2690">
        <w:r>
          <w:rPr>
            <w:color w:val="0000EE"/>
            <w:u w:val="single"/>
          </w:rPr>
          <w:t>Lc 15.18</w:t>
        </w:r>
      </w:hyperlink>
      <w:r>
        <w:t>).</w:t>
      </w:r>
    </w:p>
    <w:p>
      <w:pPr>
        <w:pStyle w:val="Heading4"/>
      </w:pPr>
      <w:r>
        <w:t>Le Retour de Jésus depuis les cieux</w:t>
      </w:r>
    </w:p>
    <w:p>
      <w:r/>
      <w:r>
        <w:t>Après l'Ascension (la montée de Jésus aux cieux), des anges ont dit à ses disciples qu'il reviendrait du ciel un jour (</w:t>
      </w:r>
      <w:hyperlink r:id="rId2691">
        <w:r>
          <w:rPr>
            <w:color w:val="0000EE"/>
            <w:u w:val="single"/>
          </w:rPr>
          <w:t>Ac 1.6–11</w:t>
        </w:r>
      </w:hyperlink>
      <w:r>
        <w:t>). L'apôtre Paul a ensuite écrit à ce sujet dans ses lettres (</w:t>
      </w:r>
      <w:hyperlink r:id="rId2692">
        <w:r>
          <w:rPr>
            <w:color w:val="0000EE"/>
            <w:u w:val="single"/>
          </w:rPr>
          <w:t>1Co 15.1–11</w:t>
        </w:r>
      </w:hyperlink>
      <w:r>
        <w:t xml:space="preserve"> ; </w:t>
      </w:r>
      <w:hyperlink r:id="rId2693">
        <w:r>
          <w:rPr>
            <w:color w:val="0000EE"/>
            <w:u w:val="single"/>
          </w:rPr>
          <w:t>Ep 4.7–16</w:t>
        </w:r>
      </w:hyperlink>
      <w:r>
        <w:t xml:space="preserve"> ; </w:t>
      </w:r>
      <w:hyperlink r:id="rId1338">
        <w:r>
          <w:rPr>
            <w:color w:val="0000EE"/>
            <w:u w:val="single"/>
          </w:rPr>
          <w:t>1Tm 3.16</w:t>
        </w:r>
      </w:hyperlink>
      <w:r>
        <w:t xml:space="preserve">). Cet enseignement est devenu une partie importante de ce que croient les chrétiens, comme le montre le </w:t>
      </w:r>
      <w:r>
        <w:rPr>
          <w:i/>
        </w:rPr>
        <w:t>Credo</w:t>
      </w:r>
      <w:r>
        <w:t>, une déclaration ancienne des croyances chrétiennes.</w:t>
      </w:r>
    </w:p>
    <w:p>
      <w:r/>
      <w:r>
        <w:t>Le Nouveau Testament parle souvent de Jésus étant aux cieux avec Dieu. Il s'agit d'une partie clé de la Bonne Nouvelle concernant Jésus. La Bible enseigne que Jésus se trouve désormais à la droite de Dieu (la place d'honneur suprême), où il prie pour ceux qui croient en lui (</w:t>
      </w:r>
      <w:hyperlink r:id="rId2694">
        <w:r>
          <w:rPr>
            <w:color w:val="0000EE"/>
            <w:u w:val="single"/>
          </w:rPr>
          <w:t>Hé 7.25</w:t>
        </w:r>
      </w:hyperlink>
      <w:r>
        <w:t xml:space="preserve"> ; comparer </w:t>
      </w:r>
      <w:hyperlink r:id="rId2695">
        <w:r>
          <w:rPr>
            <w:color w:val="0000EE"/>
            <w:u w:val="single"/>
          </w:rPr>
          <w:t>Mc 14.62</w:t>
        </w:r>
      </w:hyperlink>
      <w:r>
        <w:t>).</w:t>
      </w:r>
    </w:p>
    <w:p>
      <w:pPr>
        <w:pStyle w:val="Heading4"/>
      </w:pPr>
      <w:r>
        <w:t>Citoyens des cieux</w:t>
      </w:r>
    </w:p>
    <w:p>
      <w:r/>
      <w:r>
        <w:t>Paul enseigne que lorsque Jésus reviendra des cieux, il transformera les corps des croyants pour qu'ils soient semblables à son propre corps glorieux (</w:t>
      </w:r>
      <w:hyperlink r:id="rId2696">
        <w:r>
          <w:rPr>
            <w:color w:val="0000EE"/>
            <w:u w:val="single"/>
          </w:rPr>
          <w:t>Ph 3.20–21</w:t>
        </w:r>
      </w:hyperlink>
      <w:r>
        <w:t>). Les croyants ont besoin de ces corps célestes car ils sont citoyens des cieux.</w:t>
      </w:r>
    </w:p>
    <w:p>
      <w:r/>
      <w:r>
        <w:t>Lorsque la Bible parle des croyants comme étant des « citoyens des cieux », cela signifie qu'ils sont comme des personnes qui vivent dans un certain pays mais suivent les lois de leur pays d'origine (</w:t>
      </w:r>
      <w:hyperlink r:id="rId2697">
        <w:r>
          <w:rPr>
            <w:color w:val="0000EE"/>
            <w:u w:val="single"/>
          </w:rPr>
          <w:t>Ac 22.28</w:t>
        </w:r>
      </w:hyperlink>
      <w:r>
        <w:t>). Cela signifie que les chrétiens devraient suivre les voies de Dieu telles que montrées dans la Bible, même lorsque le monde suit des normes différentes.</w:t>
      </w:r>
    </w:p>
    <w:p>
      <w:pPr>
        <w:pStyle w:val="Heading4"/>
      </w:pPr>
      <w:r>
        <w:t>Bénédictions célestes</w:t>
      </w:r>
    </w:p>
    <w:p>
      <w:r/>
      <w:r>
        <w:t xml:space="preserve">Dieu a uni les croyants avec Christ et leur dit de « </w:t>
      </w:r>
      <w:r>
        <w:t>cherche[r] les choses d’en haut, où Christ est assis à la droite de Dieu</w:t>
      </w:r>
      <w:r>
        <w:t xml:space="preserve"> » (</w:t>
      </w:r>
      <w:hyperlink r:id="rId2698">
        <w:r>
          <w:rPr>
            <w:color w:val="0000EE"/>
            <w:u w:val="single"/>
          </w:rPr>
          <w:t>Col 3.1</w:t>
        </w:r>
      </w:hyperlink>
      <w:r>
        <w:t xml:space="preserve">). Christ bénit ses disciples depuis les cieux « </w:t>
      </w:r>
      <w:r>
        <w:t>de toutes sortes de bénédictions spirituelles dans les lieux célestes</w:t>
      </w:r>
      <w:r>
        <w:t xml:space="preserve"> » (</w:t>
      </w:r>
      <w:hyperlink r:id="rId2699">
        <w:r>
          <w:rPr>
            <w:color w:val="0000EE"/>
            <w:u w:val="single"/>
          </w:rPr>
          <w:t>Ep 1.3</w:t>
        </w:r>
      </w:hyperlink>
      <w:r>
        <w:t>). L'expression « dans les lieux célestes » ne se trouve que dans Éphésiens (</w:t>
      </w:r>
      <w:hyperlink r:id="rId2700">
        <w:r>
          <w:rPr>
            <w:color w:val="0000EE"/>
            <w:u w:val="single"/>
          </w:rPr>
          <w:t>Ep 1.3, 20</w:t>
        </w:r>
      </w:hyperlink>
      <w:r>
        <w:t xml:space="preserve"> ; </w:t>
      </w:r>
      <w:hyperlink r:id="rId2701">
        <w:r>
          <w:rPr>
            <w:color w:val="0000EE"/>
            <w:u w:val="single"/>
          </w:rPr>
          <w:t>2.6</w:t>
        </w:r>
      </w:hyperlink>
      <w:r>
        <w:t xml:space="preserve"> ; </w:t>
      </w:r>
      <w:hyperlink r:id="rId2702">
        <w:r>
          <w:rPr>
            <w:color w:val="0000EE"/>
            <w:u w:val="single"/>
          </w:rPr>
          <w:t>3.10</w:t>
        </w:r>
      </w:hyperlink>
      <w:r>
        <w:t xml:space="preserve"> ; </w:t>
      </w:r>
      <w:hyperlink r:id="rId2703">
        <w:r>
          <w:rPr>
            <w:color w:val="0000EE"/>
            <w:u w:val="single"/>
          </w:rPr>
          <w:t>6.12</w:t>
        </w:r>
      </w:hyperlink>
      <w:r>
        <w:t>). L'enseignement est que les bénédictions spirituelles ne sont pas seulement pour l'avenir. Les croyants peuvent les vivre maintenant par la foi. Voilà pourquoi la Bible dit que les croyants participent déjà à la « vocation céleste » (</w:t>
      </w:r>
      <w:hyperlink r:id="rId2704">
        <w:r>
          <w:rPr>
            <w:color w:val="0000EE"/>
            <w:u w:val="single"/>
          </w:rPr>
          <w:t>Hé 3.1</w:t>
        </w:r>
      </w:hyperlink>
      <w:r>
        <w:t xml:space="preserve"> ; </w:t>
      </w:r>
      <w:hyperlink r:id="rId2705">
        <w:r>
          <w:rPr>
            <w:color w:val="0000EE"/>
            <w:u w:val="single"/>
          </w:rPr>
          <w:t>6.4</w:t>
        </w:r>
      </w:hyperlink>
      <w:r>
        <w:t>).</w:t>
      </w:r>
    </w:p>
    <w:p>
      <w:pPr>
        <w:pStyle w:val="Heading4"/>
      </w:pPr>
      <w:r>
        <w:t>Les Cieux dans le futur</w:t>
      </w:r>
    </w:p>
    <w:p>
      <w:r/>
      <w:r>
        <w:t>Alors que les croyants attendent le retour de Christ, ils espèrent un nouveau ciel et une nouvelle terre, avec une nouvelle Jérusalem. La Bible dit que ce sera un endroit merveilleux où il n'y aura ni larmes, ni tristesse, ni douleur, ni mort, ni ténèbres, car c'est là que se trouvera Jésus, le Fils de Dieu (</w:t>
      </w:r>
      <w:hyperlink r:id="rId2706">
        <w:r>
          <w:rPr>
            <w:color w:val="0000EE"/>
            <w:u w:val="single"/>
          </w:rPr>
          <w:t>Ap 21.1–4, 27</w:t>
        </w:r>
      </w:hyperlink>
      <w:r>
        <w:t xml:space="preserve"> ; </w:t>
      </w:r>
      <w:hyperlink r:id="rId2707">
        <w:r>
          <w:rPr>
            <w:color w:val="0000EE"/>
            <w:u w:val="single"/>
          </w:rPr>
          <w:t>22.1–5</w:t>
        </w:r>
      </w:hyperlink>
      <w:r>
        <w:t>). Il n'y aura pas de mariage dans cette nouvelle vie après la mort (</w:t>
      </w:r>
      <w:hyperlink r:id="rId2708">
        <w:r>
          <w:rPr>
            <w:color w:val="0000EE"/>
            <w:u w:val="single"/>
          </w:rPr>
          <w:t>Lc 20.27–38</w:t>
        </w:r>
      </w:hyperlink>
      <w:r>
        <w:t>).</w:t>
      </w:r>
    </w:p>
    <w:p>
      <w:r/>
      <w:r>
        <w:t>Dans l'Ancien Testament, deux personnes sont allées directement aux cieux sans mourir :</w:t>
      </w:r>
    </w:p>
    <w:p>
      <w:pPr>
        <w:pStyle w:val="ListBullet"/>
        <w:spacing w:line="240" w:lineRule="auto"/>
        <w:ind w:left="720"/>
      </w:pPr>
      <w:r/>
      <w:r>
        <w:t>Hénoc (</w:t>
      </w:r>
      <w:hyperlink r:id="rId2709">
        <w:r>
          <w:rPr>
            <w:color w:val="0000EE"/>
            <w:u w:val="single"/>
          </w:rPr>
          <w:t>Gn 5.22–24</w:t>
        </w:r>
      </w:hyperlink>
      <w:r>
        <w:t xml:space="preserve"> ; </w:t>
      </w:r>
      <w:hyperlink r:id="rId2710">
        <w:r>
          <w:rPr>
            <w:color w:val="0000EE"/>
            <w:u w:val="single"/>
          </w:rPr>
          <w:t>Hé 11.5</w:t>
        </w:r>
      </w:hyperlink>
      <w:r>
        <w:t>) et</w:t>
      </w:r>
    </w:p>
    <w:p>
      <w:pPr>
        <w:pStyle w:val="ListBullet"/>
        <w:spacing w:line="240" w:lineRule="auto"/>
        <w:ind w:left="720"/>
      </w:pPr>
      <w:r/>
      <w:r>
        <w:t>Élie (</w:t>
      </w:r>
      <w:hyperlink r:id="rId2094">
        <w:r>
          <w:rPr>
            <w:color w:val="0000EE"/>
            <w:u w:val="single"/>
          </w:rPr>
          <w:t>2R 2.11</w:t>
        </w:r>
      </w:hyperlink>
      <w:r>
        <w:t>)</w:t>
      </w:r>
    </w:p>
    <w:p>
      <w:r/>
      <w:r>
        <w:t>Plus tard, Paul écrira au sujet de sa visite au troisième ciel, et Jean a également été appelé à monter au ciel (</w:t>
      </w:r>
      <w:hyperlink r:id="rId2711">
        <w:r>
          <w:rPr>
            <w:color w:val="0000EE"/>
            <w:u w:val="single"/>
          </w:rPr>
          <w:t>Ap 4.1</w:t>
        </w:r>
      </w:hyperlink>
      <w:r>
        <w:t xml:space="preserve">), que Dieu prévoit de remplir de personnes (voir </w:t>
      </w:r>
      <w:hyperlink r:id="rId2712">
        <w:r>
          <w:rPr>
            <w:color w:val="0000EE"/>
            <w:u w:val="single"/>
          </w:rPr>
          <w:t>Ap 19.1</w:t>
        </w:r>
      </w:hyperlink>
      <w:r>
        <w:t>). Tous les croyants vivront finalement aux cieux avec des nouveaux corps de résurrection. Ils recevront ces corps lorsque Jésus reviendra pour eux (</w:t>
      </w:r>
      <w:hyperlink r:id="rId2713">
        <w:r>
          <w:rPr>
            <w:color w:val="0000EE"/>
            <w:u w:val="single"/>
          </w:rPr>
          <w:t>1 Th 4.16–17</w:t>
        </w:r>
      </w:hyperlink>
      <w:r>
        <w:t xml:space="preserve">; </w:t>
      </w:r>
      <w:hyperlink r:id="rId2714">
        <w:r>
          <w:rPr>
            <w:color w:val="0000EE"/>
            <w:u w:val="single"/>
          </w:rPr>
          <w:t>Ap 19.1–4</w:t>
        </w:r>
      </w:hyperlink>
      <w:r>
        <w:t>). À ce moment-là, Jésus donnera également des récompenses spéciales à ses disciples (</w:t>
      </w:r>
      <w:hyperlink r:id="rId2715">
        <w:r>
          <w:rPr>
            <w:color w:val="0000EE"/>
            <w:u w:val="single"/>
          </w:rPr>
          <w:t>Mt 5.12</w:t>
        </w:r>
      </w:hyperlink>
      <w:r>
        <w:t xml:space="preserve">; </w:t>
      </w:r>
      <w:hyperlink r:id="rId2716">
        <w:r>
          <w:rPr>
            <w:color w:val="0000EE"/>
            <w:u w:val="single"/>
          </w:rPr>
          <w:t>1 Co 9.25</w:t>
        </w:r>
      </w:hyperlink>
      <w:r>
        <w:t xml:space="preserve">; </w:t>
      </w:r>
      <w:hyperlink r:id="rId2717">
        <w:r>
          <w:rPr>
            <w:color w:val="0000EE"/>
            <w:u w:val="single"/>
          </w:rPr>
          <w:t>2 Co 5.1</w:t>
        </w:r>
      </w:hyperlink>
      <w:r>
        <w:t xml:space="preserve">; </w:t>
      </w:r>
      <w:hyperlink r:id="rId2718">
        <w:r>
          <w:rPr>
            <w:color w:val="0000EE"/>
            <w:u w:val="single"/>
          </w:rPr>
          <w:t>2Tm 4.8</w:t>
        </w:r>
      </w:hyperlink>
      <w:r>
        <w:t xml:space="preserve">; </w:t>
      </w:r>
      <w:hyperlink r:id="rId2719">
        <w:r>
          <w:rPr>
            <w:color w:val="0000EE"/>
            <w:u w:val="single"/>
          </w:rPr>
          <w:t>Jc 1.12</w:t>
        </w:r>
      </w:hyperlink>
      <w:r>
        <w:t xml:space="preserve">; </w:t>
      </w:r>
      <w:hyperlink r:id="rId2720">
        <w:r>
          <w:rPr>
            <w:color w:val="0000EE"/>
            <w:u w:val="single"/>
          </w:rPr>
          <w:t>1 P 1.4</w:t>
        </w:r>
      </w:hyperlink>
      <w:r>
        <w:t xml:space="preserve">; </w:t>
      </w:r>
      <w:hyperlink r:id="rId2721">
        <w:r>
          <w:rPr>
            <w:color w:val="0000EE"/>
            <w:u w:val="single"/>
          </w:rPr>
          <w:t>5.4</w:t>
        </w:r>
      </w:hyperlink>
      <w:r>
        <w:t xml:space="preserve">; </w:t>
      </w:r>
      <w:hyperlink r:id="rId2722">
        <w:r>
          <w:rPr>
            <w:color w:val="0000EE"/>
            <w:u w:val="single"/>
          </w:rPr>
          <w:t>Ap 2.10</w:t>
        </w:r>
      </w:hyperlink>
      <w:r>
        <w:t xml:space="preserve">; </w:t>
      </w:r>
      <w:hyperlink r:id="rId2723">
        <w:r>
          <w:rPr>
            <w:color w:val="0000EE"/>
            <w:u w:val="single"/>
          </w:rPr>
          <w:t>4.10</w:t>
        </w:r>
      </w:hyperlink>
      <w:r>
        <w:t>).</w:t>
      </w:r>
    </w:p>
    <w:p>
      <w:r/>
      <w:r>
        <w:rPr>
          <w:i/>
        </w:rPr>
        <w:t>Voir aussi</w:t>
      </w:r>
      <w:r>
        <w:t xml:space="preserve"> </w:t>
      </w:r>
      <w:r>
        <w:t>« Le sein d'Abraham »</w:t>
      </w:r>
      <w:r>
        <w:t xml:space="preserve"> ; </w:t>
      </w:r>
      <w:r>
        <w:t>Nouveaux Cieux et Nouvelle Terre</w:t>
      </w:r>
      <w:r>
        <w:t xml:space="preserve"> ; </w:t>
      </w:r>
      <w:r>
        <w:t>Paradis</w:t>
      </w:r>
      <w:r>
        <w:t>.</w:t>
      </w:r>
      <w:r/>
      <w:r/>
    </w:p>
    <w:p>
      <w:r/>
    </w:p>
    <w:p>
      <w:pPr>
        <w:pStyle w:val="Heading2"/>
      </w:pPr>
      <w:r>
        <w:t>Cilicie</w:t>
      </w:r>
      <w:r/>
    </w:p>
    <w:p>
      <w:r/>
      <w:r>
        <w:t>Province de l'Empire romain, située dans le sud-est de l'Asie Mineure. Sa capitale était Tarse, la ville natale de Paul (</w:t>
      </w:r>
      <w:hyperlink r:id="rId2724">
        <w:r>
          <w:rPr>
            <w:color w:val="0000EE"/>
            <w:u w:val="single"/>
          </w:rPr>
          <w:t>Ac 21.39</w:t>
        </w:r>
      </w:hyperlink>
      <w:r>
        <w:t xml:space="preserve"> ; </w:t>
      </w:r>
      <w:hyperlink r:id="rId2725">
        <w:r>
          <w:rPr>
            <w:color w:val="0000EE"/>
            <w:u w:val="single"/>
          </w:rPr>
          <w:t>22.3</w:t>
        </w:r>
      </w:hyperlink>
      <w:r>
        <w:t>). Voilà pourquoi Paul avait la citoyenneté romaine bien qu'étant juif (</w:t>
      </w:r>
      <w:hyperlink r:id="rId2726">
        <w:r>
          <w:rPr>
            <w:color w:val="0000EE"/>
            <w:u w:val="single"/>
          </w:rPr>
          <w:t>16.37</w:t>
        </w:r>
      </w:hyperlink>
      <w:r>
        <w:t>).</w:t>
      </w:r>
    </w:p>
    <w:p>
      <w:pPr>
        <w:pStyle w:val="Heading3"/>
      </w:pPr>
      <w:r>
        <w:t>Histoire de la Cilicie</w:t>
      </w:r>
    </w:p>
    <w:p>
      <w:r/>
      <w:r>
        <w:t xml:space="preserve">Antiochus le Grand a installé deux mille familles juives dans les régions d'Asie Mineure de Lydie et de Phrygie au IIe siècle av. J.‑C. (Josèphe, </w:t>
      </w:r>
      <w:r>
        <w:rPr>
          <w:i/>
        </w:rPr>
        <w:t>Antiquités</w:t>
      </w:r>
      <w:r>
        <w:t xml:space="preserve"> 12.3.4). Il est possible que cette décision politique ait été à l'origine de la présence juive dans la région.</w:t>
      </w:r>
    </w:p>
    <w:p>
      <w:r/>
      <w:r>
        <w:t xml:space="preserve">Dans l'Ancien Testament, la Cilicie était appelée </w:t>
      </w:r>
      <w:r>
        <w:t>Qevé (NBS)</w:t>
      </w:r>
      <w:r>
        <w:t>. La région formait un pont entre le pays maintenant connu sous le nom de Turquie et la Syrie. Le pays était divisé entre la Cilicie Tracheia et la Cilicie Pedias.</w:t>
      </w:r>
    </w:p>
    <w:p>
      <w:pPr>
        <w:pStyle w:val="ListBullet"/>
        <w:spacing w:line="240" w:lineRule="auto"/>
        <w:ind w:left="720"/>
      </w:pPr>
      <w:r/>
      <w:r>
        <w:t>La Cilicie Tracheia est la région montagneuse située dans la moitié ouest. La Cilicie Tracheia était un territoire que Marc Antoine avait offert à Cléopâtre en 36 av. J.‑C. À l'époque de Paul, le roi grec Antiochus IV de Commagène régnait sur cette région. Il régnera de 38 à 72 apr. J.‑C. Les Portes de Cilicie, un passage étroit dans les montagnes du Taurus, constituaient un accès à la Turquie.</w:t>
      </w:r>
    </w:p>
    <w:p>
      <w:pPr>
        <w:pStyle w:val="ListBullet"/>
        <w:spacing w:line="240" w:lineRule="auto"/>
        <w:ind w:left="720"/>
      </w:pPr>
      <w:r/>
      <w:r>
        <w:t>La Cilicie Pédias correspondait aux plaines à l'est. La Cilicie Pédias était rattachée à la province de Syrie (env. 38 av. J.‑C.). Le Nouveau Testament mentionne la Syrie et la Cilicie comme une seule région (</w:t>
      </w:r>
      <w:hyperlink r:id="rId2727">
        <w:r>
          <w:rPr>
            <w:color w:val="0000EE"/>
            <w:u w:val="single"/>
          </w:rPr>
          <w:t>Ga 1.21</w:t>
        </w:r>
      </w:hyperlink>
      <w:r>
        <w:t>).</w:t>
      </w:r>
    </w:p>
    <w:p>
      <w:r/>
      <w:r>
        <w:t>En l'an 72 apr. J.‑C., l'empereur romain Vespasien unira les deux régions en une seule province romaine appelée la Cilicie.</w:t>
      </w:r>
    </w:p>
    <w:p>
      <w:pPr>
        <w:pStyle w:val="Heading3"/>
      </w:pPr>
      <w:r>
        <w:t>La Cilicie dans le christianisme primitif</w:t>
      </w:r>
    </w:p>
    <w:p>
      <w:r/>
      <w:r>
        <w:t>Des Juifs de Cilicie ont participé à la persécution d'Étienne (</w:t>
      </w:r>
      <w:hyperlink r:id="rId383">
        <w:r>
          <w:rPr>
            <w:color w:val="0000EE"/>
            <w:u w:val="single"/>
          </w:rPr>
          <w:t>Ac 6.9</w:t>
        </w:r>
      </w:hyperlink>
      <w:r>
        <w:t>). Après que Paul se soit converti au christianisme, il retournera à Tarse. Paul voyagera ensuite avec Barnabas à Antioche (</w:t>
      </w:r>
      <w:hyperlink r:id="rId2624">
        <w:r>
          <w:rPr>
            <w:color w:val="0000EE"/>
            <w:u w:val="single"/>
          </w:rPr>
          <w:t>Ac 11.25–26</w:t>
        </w:r>
      </w:hyperlink>
      <w:r>
        <w:t>). En raison de l'histoire de Paul, la Syrie et la Cilicie sont devenues le premier centre majeur du christianisme non-juif. Le christianisme s'est répandu de cette région au reste de la population gentille de l'Empire romain.</w:t>
      </w:r>
    </w:p>
    <w:p>
      <w:r/>
      <w:r>
        <w:rPr>
          <w:i/>
        </w:rPr>
        <w:t>Voir aussi</w:t>
      </w:r>
      <w:r>
        <w:t xml:space="preserve"> </w:t>
      </w:r>
      <w:r>
        <w:t>Qevé</w:t>
      </w:r>
      <w:r>
        <w:t>.</w:t>
      </w:r>
      <w:r/>
      <w:r/>
    </w:p>
    <w:p>
      <w:r/>
    </w:p>
    <w:p>
      <w:pPr>
        <w:pStyle w:val="Heading2"/>
      </w:pPr>
      <w:r>
        <w:t>Citoyenneté</w:t>
      </w:r>
      <w:r/>
    </w:p>
    <w:p>
      <w:r/>
      <w:r>
        <w:t>Dans le Nouveau Testament, ce terme a deux significations :</w:t>
      </w:r>
    </w:p>
    <w:p>
      <w:pPr>
        <w:pStyle w:val="ListNumber"/>
        <w:spacing w:line="240" w:lineRule="auto"/>
        <w:ind w:left="720"/>
      </w:pPr>
      <w:r/>
      <w:r>
        <w:t>Relatif à la ville ou à la cité-état où l'on est né et a grandi.</w:t>
      </w:r>
    </w:p>
    <w:p>
      <w:pPr>
        <w:pStyle w:val="ListNumber"/>
        <w:spacing w:line="240" w:lineRule="auto"/>
        <w:ind w:left="720"/>
      </w:pPr>
      <w:r/>
      <w:r>
        <w:t>Le statut de partage des privilèges et des responsabilités de l'Empire romain.</w:t>
      </w:r>
    </w:p>
    <w:p>
      <w:r/>
      <w:r>
        <w:t>Ainsi, l'apôtre Paul a affirmé être citoyen à la fois de Tarse et de Rome (</w:t>
      </w:r>
      <w:hyperlink r:id="rId2724">
        <w:r>
          <w:rPr>
            <w:color w:val="0000EE"/>
            <w:u w:val="single"/>
          </w:rPr>
          <w:t>Ac 21.39</w:t>
        </w:r>
      </w:hyperlink>
      <w:r>
        <w:t xml:space="preserve"> ; </w:t>
      </w:r>
      <w:hyperlink r:id="rId2728">
        <w:r>
          <w:rPr>
            <w:color w:val="0000EE"/>
            <w:u w:val="single"/>
          </w:rPr>
          <w:t>22.27–28</w:t>
        </w:r>
      </w:hyperlink>
      <w:r>
        <w:t>).</w:t>
      </w:r>
    </w:p>
    <w:p>
      <w:r/>
      <w:r>
        <w:t>Le droit de citoyenneté romaine était le plus souvent acquis par naissance, comme c'était le cas pour Paul. Le statut d'un enfant avec des parents mariés dépendait du statut du père au moment de la conception. Le statut d'un enfant né hors mariage était déterminé par celui de la mère à la naissance de l'enfant. Les esclaves devenaient automatiquement citoyens lorsqu'ils étaient libérés par leurs maîtres. Bien qu'ils aient été appelés « affranchis », ils se voyaient souvent refuser les droits des citoyens nés libres.</w:t>
      </w:r>
    </w:p>
    <w:p>
      <w:r/>
      <w:r>
        <w:t>Les fonctionnaires avides vendaient souvent le droit de citoyenneté à un prix élevé. Le fonctionnaire, Claude Lysias, a obtenu sa citoyenneté de cette manière (</w:t>
      </w:r>
      <w:hyperlink r:id="rId2697">
        <w:r>
          <w:rPr>
            <w:color w:val="0000EE"/>
            <w:u w:val="single"/>
          </w:rPr>
          <w:t>Ac 22.28</w:t>
        </w:r>
      </w:hyperlink>
      <w:r>
        <w:t xml:space="preserve">). Les droits de citoyenneté pouvaient également être accordés par traité ou par ordre de l'empire. Après une guerre en Italie appelée la Guerre Sociale (vers 90–85 av. J.‑C.), Rome a accordé la citoyenneté à tous les habitants de l'Italie. Plus tard, Jules César a accordé les droits de citoyenneté aux personnes vivant dans les colonies romaines en Gaule (la France actuelle) et en Asie Mineure (la Turquie actuelle). Selon le recensement de l'empereur Auguste (mentionné dans </w:t>
      </w:r>
      <w:hyperlink r:id="rId2221">
        <w:r>
          <w:rPr>
            <w:color w:val="0000EE"/>
            <w:u w:val="single"/>
          </w:rPr>
          <w:t>Lc 2.1</w:t>
        </w:r>
      </w:hyperlink>
      <w:r>
        <w:t>), il y avait environ 4 233 000 citoyens romains à l'époque de la naissance de Jésus. À l'époque du ministère de Paul, le nombre avait atteint 6 000 000.</w:t>
      </w:r>
    </w:p>
    <w:p>
      <w:r/>
      <w:r>
        <w:t>Les citoyens romains devaient souvent prouver leur citoyenneté. Cela se faisait généralement en vérifiant les archives du recensement (listes officielles des citoyens), qui enregistraient le nom de chaque citoyen. De plus, les citoyens nés libres possédaient un petit certificat de naissance en bois, indiquant leur statut de naissance. Les documents militaires et les registres fiscaux mentionnaient également les noms des citoyens enregistrés. Par ailleurs, chaque citoyen romain avait trois noms, tandis que les non-citoyens en avaient généralement un seul.</w:t>
      </w:r>
    </w:p>
    <w:p>
      <w:r/>
      <w:r>
        <w:t>La citoyenneté romaine accordait de nombreux droits. Ceux-ci incluaient le droit de voter, d'occuper des fonctions et de servir dans l'armée. Les citoyens pouvaient acheter, posséder, vendre et donner des biens. Ils pouvaient conclure des contrats, avoir un procès équitable et faire appel à César. Ainsi, en mentionnant sa citoyenneté romaine, les autorités de la ville de Philippes se sont excusés de l'avoir emprisonné sans procès (</w:t>
      </w:r>
      <w:hyperlink r:id="rId2729">
        <w:r>
          <w:rPr>
            <w:color w:val="0000EE"/>
            <w:u w:val="single"/>
          </w:rPr>
          <w:t>Ac 16.38–39</w:t>
        </w:r>
      </w:hyperlink>
      <w:r>
        <w:t>). Il a également évité une flagellation à Jérusalem et a pu demander un procès devant César (</w:t>
      </w:r>
      <w:hyperlink r:id="rId2730">
        <w:r>
          <w:rPr>
            <w:color w:val="0000EE"/>
            <w:u w:val="single"/>
          </w:rPr>
          <w:t>Ac 22.24–29</w:t>
        </w:r>
      </w:hyperlink>
      <w:r>
        <w:t xml:space="preserve"> ; </w:t>
      </w:r>
      <w:hyperlink r:id="rId174">
        <w:r>
          <w:rPr>
            <w:color w:val="0000EE"/>
            <w:u w:val="single"/>
          </w:rPr>
          <w:t>25.10–12</w:t>
        </w:r>
      </w:hyperlink>
      <w:r>
        <w:t xml:space="preserve"> ; comparer </w:t>
      </w:r>
      <w:hyperlink r:id="rId145">
        <w:r>
          <w:rPr>
            <w:color w:val="0000EE"/>
            <w:u w:val="single"/>
          </w:rPr>
          <w:t>26.32</w:t>
        </w:r>
      </w:hyperlink>
      <w:r>
        <w:t>).</w:t>
      </w:r>
      <w:r/>
      <w:r/>
    </w:p>
    <w:p>
      <w:r/>
    </w:p>
    <w:p>
      <w:pPr>
        <w:pStyle w:val="Heading2"/>
      </w:pPr>
      <w:r>
        <w:t>Clauda</w:t>
      </w:r>
      <w:r/>
    </w:p>
    <w:p>
      <w:r/>
      <w:r>
        <w:t>Clauda était une petite île au sud de la Crète. Le navire qui transportait l'apôtre Paul vers Rome s'arrêtera à Clauda pendant une tempête pour trouver une protection temporaire (</w:t>
      </w:r>
      <w:hyperlink r:id="rId2731">
        <w:r>
          <w:rPr>
            <w:color w:val="0000EE"/>
            <w:u w:val="single"/>
          </w:rPr>
          <w:t>Ac 27.16</w:t>
        </w:r>
      </w:hyperlink>
      <w:r>
        <w:t>).</w:t>
      </w:r>
    </w:p>
    <w:p>
      <w:r/>
      <w:r>
        <w:t>Derrière l'île, l'eau était plus calme. Dans cette zone protégée, les marins hisseront à bord un petit bateau qu'ils avaient remorqué derrière le navire. Ils travailleront à renforcer la coque du navire.</w:t>
      </w:r>
    </w:p>
    <w:p>
      <w:r/>
      <w:r>
        <w:t>Même après avoir abaissé les voiles, les vents forts les pousseront au-delà de l'île. Le navire finira par faire naufrage.</w:t>
      </w:r>
    </w:p>
    <w:p>
      <w:r/>
      <w:r>
        <w:t>Clauda correspond à l'île moderne de Gaudos (également appelée Gozzo). Les copies manuscrites anciennes de la Bible épellent le nom de différentes manières.</w:t>
      </w:r>
      <w:r/>
      <w:r/>
    </w:p>
    <w:p>
      <w:r/>
    </w:p>
    <w:p>
      <w:pPr>
        <w:pStyle w:val="Heading2"/>
      </w:pPr>
      <w:r>
        <w:t>Claude</w:t>
      </w:r>
      <w:r/>
    </w:p>
    <w:p>
      <w:r/>
      <w:r>
        <w:t>Empereur romain qui a régné de 41 à 54 ap. J.‑C. Il est mentionné deux fois dans le Nouveau Testament (</w:t>
      </w:r>
      <w:hyperlink r:id="rId156">
        <w:r>
          <w:rPr>
            <w:color w:val="0000EE"/>
            <w:u w:val="single"/>
          </w:rPr>
          <w:t>Ac 11.28</w:t>
        </w:r>
      </w:hyperlink>
      <w:r>
        <w:t xml:space="preserve"> ; </w:t>
      </w:r>
      <w:hyperlink r:id="rId1614">
        <w:r>
          <w:rPr>
            <w:color w:val="0000EE"/>
            <w:u w:val="single"/>
          </w:rPr>
          <w:t>18.2</w:t>
        </w:r>
      </w:hyperlink>
      <w:r>
        <w:t>).</w:t>
      </w:r>
    </w:p>
    <w:p>
      <w:r/>
      <w:r>
        <w:rPr>
          <w:i/>
        </w:rPr>
        <w:t>Voir</w:t>
      </w:r>
      <w:r>
        <w:t xml:space="preserve"> </w:t>
      </w:r>
      <w:r>
        <w:t>Césars, Les</w:t>
      </w:r>
      <w:r>
        <w:t>.</w:t>
      </w:r>
      <w:r/>
      <w:r/>
    </w:p>
    <w:p>
      <w:r/>
    </w:p>
    <w:p>
      <w:pPr>
        <w:pStyle w:val="Heading2"/>
      </w:pPr>
      <w:r>
        <w:t>Claude Lysias</w:t>
      </w:r>
      <w:r/>
    </w:p>
    <w:p>
      <w:r/>
      <w:r>
        <w:t>Commandant de la garnison romaine à Jérusalem, il a écrit une lettre au procurateur romain Félix concernant l'apôtre Paul (</w:t>
      </w:r>
      <w:hyperlink r:id="rId137">
        <w:r>
          <w:rPr>
            <w:color w:val="0000EE"/>
            <w:u w:val="single"/>
          </w:rPr>
          <w:t>Ac 23.26</w:t>
        </w:r>
      </w:hyperlink>
      <w:r>
        <w:t xml:space="preserve">). Son titre en grec </w:t>
      </w:r>
      <w:r>
        <w:rPr>
          <w:i/>
        </w:rPr>
        <w:t>(</w:t>
      </w:r>
      <w:r>
        <w:t>chiliarque</w:t>
      </w:r>
      <w:r>
        <w:rPr>
          <w:i/>
        </w:rPr>
        <w:t>)</w:t>
      </w:r>
      <w:r>
        <w:t xml:space="preserve"> l'identifie comme un commandant de mille soldats. Bien que Claude Lysias soit inconnu en dehors du Nouveau Testament, certaines informations à son sujet sont fournies par le livre des Actes. Son nom de famille, Lysias, est grec. Le nom romain Claude a semble-t-il été pris au moment où il aurait acheté sa citoyenneté romaine (</w:t>
      </w:r>
      <w:hyperlink r:id="rId2697">
        <w:r>
          <w:rPr>
            <w:color w:val="0000EE"/>
            <w:u w:val="single"/>
          </w:rPr>
          <w:t>22.28</w:t>
        </w:r>
      </w:hyperlink>
      <w:r>
        <w:t>).</w:t>
      </w:r>
    </w:p>
    <w:p>
      <w:r/>
      <w:r>
        <w:t>Stationné dans la forteresse Antonia surplombant le secteur nord de la zone du temple à Jérusalem, il sauvera Paul d'une foule juive qui était sur le point de le tuer. Il a permis à Paul de parler aux Juifs depuis l'un des deux escaliers qui menaient du parvis des Gentils dans le temple jusqu'à l'Antonia (</w:t>
      </w:r>
      <w:hyperlink r:id="rId2732">
        <w:r>
          <w:rPr>
            <w:color w:val="0000EE"/>
            <w:u w:val="single"/>
          </w:rPr>
          <w:t>Ac 21.40</w:t>
        </w:r>
      </w:hyperlink>
      <w:r>
        <w:t>) et a empêché Paul d'être flagellé lorsqu'il a appris la citoyenneté romaine de Paul (</w:t>
      </w:r>
      <w:hyperlink r:id="rId2733">
        <w:r>
          <w:rPr>
            <w:color w:val="0000EE"/>
            <w:u w:val="single"/>
          </w:rPr>
          <w:t>22.22–29</w:t>
        </w:r>
      </w:hyperlink>
      <w:r>
        <w:t>). Claude Lysias enverra Paul secrètement à Césarée sous forte garde lorsque le neveu de Paul informe le tribun d'un complot juif visant à assassiner l'apôtre à Jérusalem (</w:t>
      </w:r>
      <w:hyperlink r:id="rId2734">
        <w:r>
          <w:rPr>
            <w:color w:val="0000EE"/>
            <w:u w:val="single"/>
          </w:rPr>
          <w:t>23.16–35</w:t>
        </w:r>
      </w:hyperlink>
      <w:r>
        <w:t>).</w:t>
      </w:r>
    </w:p>
    <w:p>
      <w:r/>
      <w:r>
        <w:t>On ne sait pas comment Luc, l'auteur des Actes, a obtenu une copie de la lettre officielle concernant Paul écrite par Claude à Félix, le gouverneur, mais le document fournit une justification importante du caractère et de la conduite de Paul face aux accusations de ses adversaires.</w:t>
      </w:r>
      <w:r/>
      <w:r/>
    </w:p>
    <w:p>
      <w:r/>
    </w:p>
    <w:p>
      <w:pPr>
        <w:pStyle w:val="Heading2"/>
      </w:pPr>
      <w:r>
        <w:t>Cléanthe</w:t>
      </w:r>
      <w:r/>
    </w:p>
    <w:p>
      <w:r/>
      <w:r>
        <w:t>Chef de l'école stoïcienne de philosophie à Athènes de 269 à 232 av. J.‑C. Les stoïciens étaient des personnes qui suivaient un type de philosophie (une manière de penser la vie) qui a commencé dans la Grèce antique. Cette philosophie s'appelait « stoïcisme ».</w:t>
      </w:r>
    </w:p>
    <w:p>
      <w:r/>
      <w:r>
        <w:t xml:space="preserve">Cléanthe a écrit un poème intitulé « Hymne à Zeus ». Un autre poète stoïcien nommé Aratus a ensuite adapté des parties de ce poème lorsqu'il a écrit son propre poème intitulé « Phénomènes ». Des siècles plus tard, l'apôtre Paul a cité le cinquième vers de « Phénomènes ». Il s'adressait à une foule sur l'Aréopage à Athènes. Paul a cité les mots suivants : « </w:t>
      </w:r>
      <w:r>
        <w:t>De lui nous sommes la race</w:t>
      </w:r>
      <w:r>
        <w:t xml:space="preserve"> » (</w:t>
      </w:r>
      <w:hyperlink r:id="rId1131">
        <w:r>
          <w:rPr>
            <w:color w:val="0000EE"/>
            <w:u w:val="single"/>
          </w:rPr>
          <w:t>Ac 17.28</w:t>
        </w:r>
      </w:hyperlink>
      <w:r>
        <w:t>).</w:t>
      </w:r>
    </w:p>
    <w:p>
      <w:r/>
      <w:r>
        <w:rPr>
          <w:i/>
        </w:rPr>
        <w:t>Voir</w:t>
      </w:r>
      <w:r>
        <w:t xml:space="preserve"> </w:t>
      </w:r>
      <w:r>
        <w:t>Stoïcisme, Stoïciens</w:t>
      </w:r>
      <w:r>
        <w:t>.</w:t>
      </w:r>
      <w:r/>
      <w:r/>
    </w:p>
    <w:p>
      <w:r/>
    </w:p>
    <w:p>
      <w:pPr>
        <w:pStyle w:val="Heading2"/>
      </w:pPr>
      <w:r>
        <w:t>Cléopâtre</w:t>
      </w:r>
      <w:r/>
    </w:p>
    <w:p>
      <w:r/>
      <w:r>
        <w:t>Cléopâtre était le nom d'une reine d'Égypte et de sa fille, mentionnées dans les Apocryphes et dans les écrits de l'historien juif Flavius Josèphe.</w:t>
      </w:r>
    </w:p>
    <w:p>
      <w:pPr>
        <w:pStyle w:val="ListNumber"/>
        <w:spacing w:line="240" w:lineRule="auto"/>
        <w:ind w:left="720"/>
      </w:pPr>
      <w:r/>
      <w:r>
        <w:t>Cléopâtre, épouse de Ptolémée VI Philométor : Cette Cléopâtre était probablement l'épouse de Ptolémée VI Philométor, qui a régné sur l'Égypte de 181 à 146 av. J.‑C. Au cours de la quatrième année du règne de Ptolémée, Dositheus, prétendant être un prêtre lévite et le fils de Ptolémée, a apporté la Lettre de Pourim en Égypte (</w:t>
      </w:r>
      <w:hyperlink r:id="rId2735">
        <w:r>
          <w:rPr>
            <w:color w:val="0000EE"/>
            <w:u w:val="single"/>
          </w:rPr>
          <w:t>Additions à Esther 11.1</w:t>
        </w:r>
      </w:hyperlink>
      <w:r>
        <w:t>). Cette « lettre » fait probablement référence non seulement à la lettre de Mardochée (</w:t>
      </w:r>
      <w:hyperlink r:id="rId2736">
        <w:r>
          <w:rPr>
            <w:color w:val="0000EE"/>
            <w:u w:val="single"/>
          </w:rPr>
          <w:t>Est 9.20–22</w:t>
        </w:r>
      </w:hyperlink>
      <w:r>
        <w:t>), mais aussi à la traduction grecque du livre d'Esther par Lysimachus.</w:t>
      </w:r>
    </w:p>
    <w:p>
      <w:pPr>
        <w:pStyle w:val="ListNumber"/>
        <w:spacing w:line="240" w:lineRule="auto"/>
        <w:ind w:left="720"/>
      </w:pPr>
      <w:r/>
      <w:r>
        <w:t>Cléopâtre, fille de Ptolémée VI Philométor : Cette Cléopâtre, probablement la fille de la reine mentionnée précédemment, sera mariée à Alexandre Épiphanes après sa conquête de la Syrie. Il régnera sur la Syrie de 150 à 145 av. J.‑C. (</w:t>
      </w:r>
      <w:hyperlink r:id="rId2737">
        <w:r>
          <w:rPr>
            <w:color w:val="0000EE"/>
            <w:u w:val="single"/>
          </w:rPr>
          <w:t>1 M 10.57–58</w:t>
        </w:r>
      </w:hyperlink>
      <w:r>
        <w:t>).</w:t>
      </w:r>
    </w:p>
    <w:p>
      <w:r/>
      <w:r>
        <w:t>Plus tard, le père de Cléopâtre, Ptolémée VI, la retirera à Alexandre en signe de colère et la donnera à Démétrius Nicator lors de son invasion de la Syrie (</w:t>
      </w:r>
      <w:hyperlink r:id="rId2738">
        <w:r>
          <w:rPr>
            <w:color w:val="0000EE"/>
            <w:u w:val="single"/>
          </w:rPr>
          <w:t>1 M 11.8–12</w:t>
        </w:r>
      </w:hyperlink>
      <w:r>
        <w:t>). Alexandre a ensuite été tué au combat contre les forces combinées de Ptolémée et de Démétrius. Après que Démétrius a été capturé et détenu en Parthie, Cléopâtre épousera son frère, Antiochus VII (Sidetes), qui deviendra souverain de la Syrie en 137 av. J.‑C.</w:t>
      </w:r>
      <w:r/>
      <w:r/>
    </w:p>
    <w:p>
      <w:r/>
    </w:p>
    <w:p>
      <w:pPr>
        <w:pStyle w:val="Heading2"/>
      </w:pPr>
      <w:r>
        <w:t>Clopas</w:t>
      </w:r>
      <w:r/>
    </w:p>
    <w:p>
      <w:r/>
      <w:r>
        <w:t>Le mari de Marie, l'une des femmes présentes lorsque Jésus a été crucifié (</w:t>
      </w:r>
      <w:hyperlink r:id="rId589">
        <w:r>
          <w:rPr>
            <w:color w:val="0000EE"/>
            <w:u w:val="single"/>
          </w:rPr>
          <w:t>Jn 19.25</w:t>
        </w:r>
      </w:hyperlink>
      <w:r>
        <w:t>). Dans le texte grec, il n'est pas clair si Marie, la femme de Clopas, était également la sœur de la mère de Jésus ou si elle était une personne différente. Il existe trois hypothèses différentes sur qui Clopas pourrait avoir été :</w:t>
      </w:r>
    </w:p>
    <w:p>
      <w:pPr>
        <w:pStyle w:val="ListNumber"/>
        <w:spacing w:line="240" w:lineRule="auto"/>
        <w:ind w:left="720"/>
      </w:pPr>
      <w:r/>
      <w:r>
        <w:t>Certains disent que Clopas était le frère de Joseph.</w:t>
      </w:r>
    </w:p>
    <w:p>
      <w:pPr>
        <w:pStyle w:val="ListNumber"/>
        <w:spacing w:line="240" w:lineRule="auto"/>
        <w:ind w:left="720"/>
      </w:pPr>
      <w:r/>
      <w:r>
        <w:t xml:space="preserve">Certains le relient à Cléopas, qui apparaît dans </w:t>
      </w:r>
      <w:hyperlink r:id="rId2739">
        <w:r>
          <w:rPr>
            <w:color w:val="0000EE"/>
            <w:u w:val="single"/>
          </w:rPr>
          <w:t>Luc 24.18.</w:t>
        </w:r>
      </w:hyperlink>
      <w:r>
        <w:t xml:space="preserve"> Cependant, le nom « Clopas » vient de l'hébreu, tandis que « Cléopas » vient du grec.</w:t>
      </w:r>
    </w:p>
    <w:p>
      <w:pPr>
        <w:pStyle w:val="ListNumber"/>
        <w:spacing w:line="240" w:lineRule="auto"/>
        <w:ind w:left="720"/>
      </w:pPr>
      <w:r/>
      <w:r>
        <w:t>Certains pensent qu'il pourrait être la même personne qu'Alphée. Cela ne serait possible que si Jacques, le fils d'Alphée (</w:t>
      </w:r>
      <w:hyperlink r:id="rId585">
        <w:r>
          <w:rPr>
            <w:color w:val="0000EE"/>
            <w:u w:val="single"/>
          </w:rPr>
          <w:t>Mt 10.3</w:t>
        </w:r>
      </w:hyperlink>
      <w:r>
        <w:t xml:space="preserve"> ; </w:t>
      </w:r>
      <w:hyperlink r:id="rId587">
        <w:r>
          <w:rPr>
            <w:color w:val="0000EE"/>
            <w:u w:val="single"/>
          </w:rPr>
          <w:t>Lc 6.15</w:t>
        </w:r>
      </w:hyperlink>
      <w:r>
        <w:t xml:space="preserve"> ; </w:t>
      </w:r>
      <w:hyperlink r:id="rId588">
        <w:r>
          <w:rPr>
            <w:color w:val="0000EE"/>
            <w:u w:val="single"/>
          </w:rPr>
          <w:t>Ac 1.13</w:t>
        </w:r>
      </w:hyperlink>
      <w:r>
        <w:t>) est le même que Jacques, le fils de Marie (</w:t>
      </w:r>
      <w:hyperlink r:id="rId2740">
        <w:r>
          <w:rPr>
            <w:color w:val="0000EE"/>
            <w:u w:val="single"/>
          </w:rPr>
          <w:t>Mt 27.56</w:t>
        </w:r>
      </w:hyperlink>
      <w:r>
        <w:t xml:space="preserve"> ; </w:t>
      </w:r>
      <w:hyperlink r:id="rId2741">
        <w:r>
          <w:rPr>
            <w:color w:val="0000EE"/>
            <w:u w:val="single"/>
          </w:rPr>
          <w:t>Mc 15.40</w:t>
        </w:r>
      </w:hyperlink>
      <w:r>
        <w:t xml:space="preserve">). Marie doit également être la même personne mentionnée dans </w:t>
      </w:r>
      <w:hyperlink r:id="rId589">
        <w:r>
          <w:rPr>
            <w:color w:val="0000EE"/>
            <w:u w:val="single"/>
          </w:rPr>
          <w:t>Jn 19.25</w:t>
        </w:r>
      </w:hyperlink>
      <w:r>
        <w:t>.</w:t>
      </w:r>
    </w:p>
    <w:p>
      <w:r/>
      <w:r>
        <w:t>Ce sont toutes des hypothèses possibles, mais nous ne pouvons pas en être certains. Clopas, Cléopas et Alphée pourraient être des personnes distinctes.</w:t>
      </w:r>
      <w:r/>
      <w:r/>
    </w:p>
    <w:p>
      <w:r/>
    </w:p>
    <w:p>
      <w:pPr>
        <w:pStyle w:val="Heading2"/>
      </w:pPr>
      <w:r>
        <w:t>Cnide</w:t>
      </w:r>
      <w:r/>
    </w:p>
    <w:p>
      <w:r/>
      <w:r>
        <w:t>Ville portuaire située au large du coin sud-ouest de l'Asie Mineure. Le navire de l'apôtre Paul est passé par ce port alors qu'il voyageait vers l'Italie (</w:t>
      </w:r>
      <w:hyperlink r:id="rId2742">
        <w:r>
          <w:rPr>
            <w:color w:val="0000EE"/>
            <w:u w:val="single"/>
          </w:rPr>
          <w:t>Ac 27.7</w:t>
        </w:r>
      </w:hyperlink>
      <w:r>
        <w:t>). Au cours du 2e siècle av. J.‑C., des Juifs y avaient établi une communauté (</w:t>
      </w:r>
      <w:hyperlink r:id="rId1322">
        <w:r>
          <w:rPr>
            <w:color w:val="0000EE"/>
            <w:u w:val="single"/>
          </w:rPr>
          <w:t>1 M 15.23</w:t>
        </w:r>
      </w:hyperlink>
      <w:r>
        <w:t>). Cnide a été initialement construite sur une île, mais cette île est aujourd'hui reliée au continent par un banc de sable (une étroite bande de sable).</w:t>
      </w:r>
      <w:r/>
      <w:r/>
    </w:p>
    <w:p>
      <w:r/>
    </w:p>
    <w:p>
      <w:pPr>
        <w:pStyle w:val="Heading2"/>
      </w:pPr>
      <w:r>
        <w:t>Cœur</w:t>
      </w:r>
      <w:r/>
    </w:p>
    <w:p>
      <w:r/>
      <w:r>
        <w:t>Organe vital du corps ; siège de l'homme intérieur.</w:t>
      </w:r>
    </w:p>
    <w:p>
      <w:r/>
      <w:r>
        <w:t>En hébreu et en grec, le mot « cœur » est utilisé pour désigner un organe physique ainsi que l'homme intérieur. Le mot traduit « cœur » (</w:t>
      </w:r>
      <w:r>
        <w:rPr>
          <w:i/>
        </w:rPr>
        <w:t>leb</w:t>
      </w:r>
      <w:r>
        <w:t xml:space="preserve"> en hébreu et </w:t>
      </w:r>
      <w:r>
        <w:rPr>
          <w:i/>
        </w:rPr>
        <w:t>kardia</w:t>
      </w:r>
      <w:r>
        <w:t xml:space="preserve"> en grec) apparaît environ 1 000 fois dans la Bible. Le sens du mot dans la Bible peut beaucoup varier selon le contexte.</w:t>
      </w:r>
    </w:p>
    <w:p>
      <w:pPr>
        <w:pStyle w:val="Heading3"/>
      </w:pPr>
      <w:r>
        <w:t>Le cœur physique</w:t>
      </w:r>
    </w:p>
    <w:p>
      <w:r/>
      <w:hyperlink r:id="rId2743">
        <w:r>
          <w:rPr>
            <w:color w:val="0000EE"/>
            <w:u w:val="single"/>
          </w:rPr>
          <w:t>1 Samuel 25.37–39</w:t>
        </w:r>
      </w:hyperlink>
      <w:r>
        <w:t xml:space="preserve"> indique de façon implicite qu'un cœur qui bat est signe de vie, même si Nabal ne meurt pas tout de suite. Les aliments et le vin affectent le cœur (</w:t>
      </w:r>
      <w:hyperlink r:id="rId2744">
        <w:r>
          <w:rPr>
            <w:color w:val="0000EE"/>
            <w:u w:val="single"/>
          </w:rPr>
          <w:t xml:space="preserve">Jg 19.5 </w:t>
        </w:r>
      </w:hyperlink>
      <w:r>
        <w:t xml:space="preserve">; </w:t>
      </w:r>
      <w:hyperlink r:id="rId2745">
        <w:r>
          <w:rPr>
            <w:color w:val="0000EE"/>
            <w:u w:val="single"/>
          </w:rPr>
          <w:t xml:space="preserve">Ps 104.15 </w:t>
        </w:r>
      </w:hyperlink>
      <w:r>
        <w:t xml:space="preserve">; </w:t>
      </w:r>
      <w:hyperlink r:id="rId2746">
        <w:r>
          <w:rPr>
            <w:color w:val="0000EE"/>
            <w:u w:val="single"/>
          </w:rPr>
          <w:t>Ac 14.17</w:t>
        </w:r>
      </w:hyperlink>
      <w:r>
        <w:t xml:space="preserve">). Le cœur peut « défaillir » et « trembler ». Du fait de sa position dans le corps, le cœur sert de métaphore pour désigner le centre ou l'intérieur (LSG « dans le sein de » </w:t>
      </w:r>
      <w:hyperlink r:id="rId2747">
        <w:r>
          <w:rPr>
            <w:color w:val="0000EE"/>
            <w:u w:val="single"/>
          </w:rPr>
          <w:t>Mt 12.40</w:t>
        </w:r>
      </w:hyperlink>
      <w:r>
        <w:t>).</w:t>
      </w:r>
    </w:p>
    <w:p>
      <w:pPr>
        <w:pStyle w:val="Heading3"/>
      </w:pPr>
      <w:r>
        <w:t>Le cœur psychologique</w:t>
      </w:r>
    </w:p>
    <w:p>
      <w:r/>
      <w:r>
        <w:t xml:space="preserve">Le cœur a un rôle dans la perception intellectuelle (p. ex. « prendre à cœur » dans </w:t>
      </w:r>
      <w:hyperlink r:id="rId2748">
        <w:r>
          <w:rPr>
            <w:color w:val="0000EE"/>
            <w:u w:val="single"/>
          </w:rPr>
          <w:t>Jr 12.11</w:t>
        </w:r>
      </w:hyperlink>
      <w:r>
        <w:t>, DBY) ; le cœur comprend (</w:t>
      </w:r>
      <w:hyperlink r:id="rId2749">
        <w:r>
          <w:rPr>
            <w:color w:val="0000EE"/>
            <w:u w:val="single"/>
          </w:rPr>
          <w:t>Jn 12.40</w:t>
        </w:r>
      </w:hyperlink>
      <w:r>
        <w:t>), discerne (</w:t>
      </w:r>
      <w:hyperlink r:id="rId2750">
        <w:r>
          <w:rPr>
            <w:color w:val="0000EE"/>
            <w:u w:val="single"/>
          </w:rPr>
          <w:t>1R 3.9</w:t>
        </w:r>
      </w:hyperlink>
      <w:r>
        <w:t>), délibère (</w:t>
      </w:r>
      <w:hyperlink r:id="rId2751">
        <w:r>
          <w:rPr>
            <w:color w:val="0000EE"/>
            <w:u w:val="single"/>
          </w:rPr>
          <w:t>Mc 2.6</w:t>
        </w:r>
      </w:hyperlink>
      <w:r>
        <w:t>), médite (</w:t>
      </w:r>
      <w:hyperlink r:id="rId2752">
        <w:r>
          <w:rPr>
            <w:color w:val="0000EE"/>
            <w:u w:val="single"/>
          </w:rPr>
          <w:t>Lc 2.19</w:t>
        </w:r>
      </w:hyperlink>
      <w:r>
        <w:t>), se rappelle (</w:t>
      </w:r>
      <w:hyperlink r:id="rId2753">
        <w:r>
          <w:rPr>
            <w:color w:val="0000EE"/>
            <w:u w:val="single"/>
          </w:rPr>
          <w:t>Lc 2.51</w:t>
        </w:r>
      </w:hyperlink>
      <w:r>
        <w:t>), formule des pensées (</w:t>
      </w:r>
      <w:hyperlink r:id="rId2754">
        <w:r>
          <w:rPr>
            <w:color w:val="0000EE"/>
            <w:u w:val="single"/>
          </w:rPr>
          <w:t>Dt 8.17</w:t>
        </w:r>
      </w:hyperlink>
      <w:r>
        <w:t>), imagine (</w:t>
      </w:r>
      <w:hyperlink r:id="rId2755">
        <w:r>
          <w:rPr>
            <w:color w:val="0000EE"/>
            <w:u w:val="single"/>
          </w:rPr>
          <w:t>Lc 1.51</w:t>
        </w:r>
      </w:hyperlink>
      <w:r>
        <w:t>), peut faire preuve de sagesse (</w:t>
      </w:r>
      <w:hyperlink r:id="rId2756">
        <w:r>
          <w:rPr>
            <w:color w:val="0000EE"/>
            <w:u w:val="single"/>
          </w:rPr>
          <w:t>Ec 1.17</w:t>
        </w:r>
      </w:hyperlink>
      <w:r>
        <w:t>), renferme des compétences (</w:t>
      </w:r>
      <w:hyperlink r:id="rId2757">
        <w:r>
          <w:rPr>
            <w:color w:val="0000EE"/>
            <w:u w:val="single"/>
          </w:rPr>
          <w:t>Ex 28.3</w:t>
        </w:r>
      </w:hyperlink>
      <w:r>
        <w:t>) et bien plus encore.</w:t>
      </w:r>
    </w:p>
    <w:p>
      <w:r/>
      <w:r>
        <w:t>Dans le domaine des émotions, le cœur peut être gai dans l'ivresse (</w:t>
      </w:r>
      <w:hyperlink r:id="rId2758">
        <w:r>
          <w:rPr>
            <w:color w:val="0000EE"/>
            <w:u w:val="single"/>
          </w:rPr>
          <w:t>1S 25.36</w:t>
        </w:r>
      </w:hyperlink>
      <w:r>
        <w:t>), joyeux lors de réjouissances (</w:t>
      </w:r>
      <w:hyperlink r:id="rId2759">
        <w:r>
          <w:rPr>
            <w:color w:val="0000EE"/>
            <w:u w:val="single"/>
          </w:rPr>
          <w:t>Es 30.29</w:t>
        </w:r>
      </w:hyperlink>
      <w:r>
        <w:t>), heureux (</w:t>
      </w:r>
      <w:hyperlink r:id="rId2760">
        <w:r>
          <w:rPr>
            <w:color w:val="0000EE"/>
            <w:u w:val="single"/>
          </w:rPr>
          <w:t>Jn 16.22</w:t>
        </w:r>
      </w:hyperlink>
      <w:r>
        <w:t>), triste (</w:t>
      </w:r>
      <w:hyperlink r:id="rId2761">
        <w:r>
          <w:rPr>
            <w:color w:val="0000EE"/>
            <w:u w:val="single"/>
          </w:rPr>
          <w:t>Né 2.2</w:t>
        </w:r>
      </w:hyperlink>
      <w:r>
        <w:t>), angoissé (</w:t>
      </w:r>
      <w:hyperlink r:id="rId2762">
        <w:r>
          <w:rPr>
            <w:color w:val="0000EE"/>
            <w:u w:val="single"/>
          </w:rPr>
          <w:t>Rm 9.2</w:t>
        </w:r>
      </w:hyperlink>
      <w:r>
        <w:t>), lourd (</w:t>
      </w:r>
      <w:hyperlink r:id="rId2763">
        <w:r>
          <w:rPr>
            <w:color w:val="0000EE"/>
            <w:u w:val="single"/>
          </w:rPr>
          <w:t>Pr 14.10</w:t>
        </w:r>
      </w:hyperlink>
      <w:r>
        <w:t>), inquiet (</w:t>
      </w:r>
      <w:hyperlink r:id="rId2764">
        <w:r>
          <w:rPr>
            <w:color w:val="0000EE"/>
            <w:u w:val="single"/>
          </w:rPr>
          <w:t>1S 4.13</w:t>
        </w:r>
      </w:hyperlink>
      <w:r>
        <w:t>), désespéré (</w:t>
      </w:r>
      <w:hyperlink r:id="rId2765">
        <w:r>
          <w:rPr>
            <w:color w:val="0000EE"/>
            <w:u w:val="single"/>
          </w:rPr>
          <w:t>Ec 2.20</w:t>
        </w:r>
      </w:hyperlink>
      <w:r>
        <w:t>), attaché (</w:t>
      </w:r>
      <w:hyperlink r:id="rId2766">
        <w:r>
          <w:rPr>
            <w:color w:val="0000EE"/>
            <w:u w:val="single"/>
          </w:rPr>
          <w:t>2S 14.1</w:t>
        </w:r>
      </w:hyperlink>
      <w:r>
        <w:t>), confiant (</w:t>
      </w:r>
      <w:hyperlink r:id="rId2767">
        <w:r>
          <w:rPr>
            <w:color w:val="0000EE"/>
            <w:u w:val="single"/>
          </w:rPr>
          <w:t>Ps 112.7</w:t>
        </w:r>
      </w:hyperlink>
      <w:r>
        <w:t>), affectueux (</w:t>
      </w:r>
      <w:hyperlink r:id="rId2768">
        <w:r>
          <w:rPr>
            <w:color w:val="0000EE"/>
            <w:u w:val="single"/>
          </w:rPr>
          <w:t>2Co 7.3</w:t>
        </w:r>
      </w:hyperlink>
      <w:r>
        <w:t>) ; le cœur peut aussi avoir des désirs sensuels (</w:t>
      </w:r>
      <w:hyperlink r:id="rId2769">
        <w:r>
          <w:rPr>
            <w:color w:val="0000EE"/>
            <w:u w:val="single"/>
          </w:rPr>
          <w:t>Mt 5.28</w:t>
        </w:r>
      </w:hyperlink>
      <w:r>
        <w:t>), être insensible (</w:t>
      </w:r>
      <w:hyperlink r:id="rId2270">
        <w:r>
          <w:rPr>
            <w:color w:val="0000EE"/>
            <w:u w:val="single"/>
          </w:rPr>
          <w:t>Mc 3.5</w:t>
        </w:r>
      </w:hyperlink>
      <w:r>
        <w:t>), avoir de la haine (</w:t>
      </w:r>
      <w:hyperlink r:id="rId2770">
        <w:r>
          <w:rPr>
            <w:color w:val="0000EE"/>
            <w:u w:val="single"/>
          </w:rPr>
          <w:t>Lv 19.17</w:t>
        </w:r>
      </w:hyperlink>
      <w:r>
        <w:t>), de la crainte (</w:t>
      </w:r>
      <w:hyperlink r:id="rId2771">
        <w:r>
          <w:rPr>
            <w:color w:val="0000EE"/>
            <w:u w:val="single"/>
          </w:rPr>
          <w:t>Gn 42.28</w:t>
        </w:r>
      </w:hyperlink>
      <w:r>
        <w:t>), un zèle amer (</w:t>
      </w:r>
      <w:hyperlink r:id="rId2772">
        <w:r>
          <w:rPr>
            <w:color w:val="0000EE"/>
            <w:u w:val="single"/>
          </w:rPr>
          <w:t>Jc 3.14</w:t>
        </w:r>
      </w:hyperlink>
      <w:r>
        <w:t>), de la sollicitude (</w:t>
      </w:r>
      <w:hyperlink r:id="rId2773">
        <w:r>
          <w:rPr>
            <w:color w:val="0000EE"/>
            <w:u w:val="single"/>
          </w:rPr>
          <w:t>Rm 10.1</w:t>
        </w:r>
      </w:hyperlink>
      <w:r>
        <w:t>) ; le cœur peut se décourager (</w:t>
      </w:r>
      <w:hyperlink r:id="rId2774">
        <w:r>
          <w:rPr>
            <w:color w:val="0000EE"/>
            <w:u w:val="single"/>
          </w:rPr>
          <w:t>Nb 32.9</w:t>
        </w:r>
      </w:hyperlink>
      <w:r>
        <w:t>), éprouver de la compassion (</w:t>
      </w:r>
      <w:hyperlink r:id="rId2775">
        <w:r>
          <w:rPr>
            <w:color w:val="0000EE"/>
            <w:u w:val="single"/>
          </w:rPr>
          <w:t>Ex 23.9</w:t>
        </w:r>
      </w:hyperlink>
      <w:r>
        <w:t>), de la colère (</w:t>
      </w:r>
      <w:hyperlink r:id="rId2776">
        <w:r>
          <w:rPr>
            <w:color w:val="0000EE"/>
            <w:u w:val="single"/>
          </w:rPr>
          <w:t>Dt 19.6</w:t>
        </w:r>
      </w:hyperlink>
      <w:r>
        <w:t>), de l'indécision (</w:t>
      </w:r>
      <w:hyperlink r:id="rId2777">
        <w:r>
          <w:rPr>
            <w:color w:val="0000EE"/>
            <w:u w:val="single"/>
          </w:rPr>
          <w:t>2Ch 13.7</w:t>
        </w:r>
      </w:hyperlink>
      <w:r>
        <w:t>) et bien plus encore.</w:t>
      </w:r>
    </w:p>
    <w:p>
      <w:r/>
      <w:r>
        <w:t>En ce qui concerne la volition, le cœur peut avoir des desseins (</w:t>
      </w:r>
      <w:hyperlink r:id="rId2778">
        <w:r>
          <w:rPr>
            <w:color w:val="0000EE"/>
            <w:u w:val="single"/>
          </w:rPr>
          <w:t>1Co 4.5</w:t>
        </w:r>
      </w:hyperlink>
      <w:r>
        <w:t>), être enclin (</w:t>
      </w:r>
      <w:hyperlink r:id="rId2779">
        <w:r>
          <w:rPr>
            <w:color w:val="0000EE"/>
            <w:u w:val="single"/>
          </w:rPr>
          <w:t>1S 14.7</w:t>
        </w:r>
      </w:hyperlink>
      <w:r>
        <w:t>), être motivé (</w:t>
      </w:r>
      <w:hyperlink r:id="rId2780">
        <w:r>
          <w:rPr>
            <w:color w:val="0000EE"/>
            <w:u w:val="single"/>
          </w:rPr>
          <w:t xml:space="preserve">2R 12.4 </w:t>
        </w:r>
      </w:hyperlink>
      <w:r>
        <w:t xml:space="preserve">; comp. avec </w:t>
      </w:r>
      <w:hyperlink r:id="rId2781">
        <w:r>
          <w:rPr>
            <w:color w:val="0000EE"/>
            <w:u w:val="single"/>
          </w:rPr>
          <w:t>Pr 4.23</w:t>
        </w:r>
      </w:hyperlink>
      <w:r>
        <w:t>), être ferme (</w:t>
      </w:r>
      <w:hyperlink r:id="rId2782">
        <w:r>
          <w:rPr>
            <w:color w:val="0000EE"/>
            <w:u w:val="single"/>
          </w:rPr>
          <w:t>Ac 11.23</w:t>
        </w:r>
      </w:hyperlink>
      <w:r>
        <w:t>), être bien disposé (</w:t>
      </w:r>
      <w:hyperlink r:id="rId2783">
        <w:r>
          <w:rPr>
            <w:color w:val="0000EE"/>
            <w:u w:val="single"/>
          </w:rPr>
          <w:t>Ex 35.22</w:t>
        </w:r>
      </w:hyperlink>
      <w:r>
        <w:t>), concevoir le mal (</w:t>
      </w:r>
      <w:hyperlink r:id="rId2784">
        <w:r>
          <w:rPr>
            <w:color w:val="0000EE"/>
            <w:u w:val="single"/>
          </w:rPr>
          <w:t>Ac 5.4</w:t>
        </w:r>
      </w:hyperlink>
      <w:r>
        <w:t>) ou être dirigé par son « trésor » (</w:t>
      </w:r>
      <w:hyperlink r:id="rId2785">
        <w:r>
          <w:rPr>
            <w:color w:val="0000EE"/>
            <w:u w:val="single"/>
          </w:rPr>
          <w:t>Mt 6.21</w:t>
        </w:r>
      </w:hyperlink>
      <w:r>
        <w:t>).</w:t>
      </w:r>
    </w:p>
    <w:p>
      <w:r/>
      <w:r>
        <w:t>En ce qui concerne le caractère moral, le cœur peut être doux et humble (</w:t>
      </w:r>
      <w:hyperlink r:id="rId670">
        <w:r>
          <w:rPr>
            <w:color w:val="0000EE"/>
            <w:u w:val="single"/>
          </w:rPr>
          <w:t>Mt 11.29</w:t>
        </w:r>
      </w:hyperlink>
      <w:r>
        <w:t>), saint (</w:t>
      </w:r>
      <w:hyperlink r:id="rId2786">
        <w:r>
          <w:rPr>
            <w:color w:val="0000EE"/>
            <w:u w:val="single"/>
          </w:rPr>
          <w:t>1Th 3.13</w:t>
        </w:r>
      </w:hyperlink>
      <w:r>
        <w:t>), fidèle (</w:t>
      </w:r>
      <w:hyperlink r:id="rId2787">
        <w:r>
          <w:rPr>
            <w:color w:val="0000EE"/>
            <w:u w:val="single"/>
          </w:rPr>
          <w:t>Né 9.8</w:t>
        </w:r>
      </w:hyperlink>
      <w:r>
        <w:t>), droit (</w:t>
      </w:r>
      <w:hyperlink r:id="rId2788">
        <w:r>
          <w:rPr>
            <w:color w:val="0000EE"/>
            <w:u w:val="single"/>
          </w:rPr>
          <w:t>Ps 97.11</w:t>
        </w:r>
      </w:hyperlink>
      <w:r>
        <w:t>), pur (</w:t>
      </w:r>
      <w:hyperlink r:id="rId2789">
        <w:r>
          <w:rPr>
            <w:color w:val="0000EE"/>
            <w:u w:val="single"/>
          </w:rPr>
          <w:t>Jc 4.8</w:t>
        </w:r>
      </w:hyperlink>
      <w:r>
        <w:t>) ou purifié (</w:t>
      </w:r>
      <w:hyperlink r:id="rId2790">
        <w:r>
          <w:rPr>
            <w:color w:val="0000EE"/>
            <w:u w:val="single"/>
          </w:rPr>
          <w:t>Ac 15.8</w:t>
        </w:r>
      </w:hyperlink>
      <w:r>
        <w:t>), aimant envers Dieu (</w:t>
      </w:r>
      <w:hyperlink r:id="rId679">
        <w:r>
          <w:rPr>
            <w:color w:val="0000EE"/>
            <w:u w:val="single"/>
          </w:rPr>
          <w:t>Mc 12.30</w:t>
        </w:r>
      </w:hyperlink>
      <w:r>
        <w:t>) et envers les autres (</w:t>
      </w:r>
      <w:hyperlink r:id="rId2791">
        <w:r>
          <w:rPr>
            <w:color w:val="0000EE"/>
            <w:u w:val="single"/>
          </w:rPr>
          <w:t>1P 1.22</w:t>
        </w:r>
      </w:hyperlink>
      <w:r>
        <w:t>), endurci ou sensible (</w:t>
      </w:r>
      <w:hyperlink r:id="rId2792">
        <w:r>
          <w:rPr>
            <w:color w:val="0000EE"/>
            <w:u w:val="single"/>
          </w:rPr>
          <w:t>Ez 11.19</w:t>
        </w:r>
      </w:hyperlink>
      <w:r>
        <w:t>). La Bible insiste sur le fait que le cœur est rempli de mal (</w:t>
      </w:r>
      <w:hyperlink r:id="rId2793">
        <w:r>
          <w:rPr>
            <w:color w:val="0000EE"/>
            <w:u w:val="single"/>
          </w:rPr>
          <w:t>Gn 6.5</w:t>
        </w:r>
      </w:hyperlink>
      <w:r>
        <w:t xml:space="preserve"> entre autres), car il se trompe lui-même (</w:t>
      </w:r>
      <w:hyperlink r:id="rId2794">
        <w:r>
          <w:rPr>
            <w:color w:val="0000EE"/>
            <w:u w:val="single"/>
          </w:rPr>
          <w:t>Jc 1.26</w:t>
        </w:r>
      </w:hyperlink>
      <w:r>
        <w:t>), est tortueux (</w:t>
      </w:r>
      <w:hyperlink r:id="rId2795">
        <w:r>
          <w:rPr>
            <w:color w:val="0000EE"/>
            <w:u w:val="single"/>
          </w:rPr>
          <w:t>Jr 17.9</w:t>
        </w:r>
      </w:hyperlink>
      <w:r>
        <w:t>), peut être avare (</w:t>
      </w:r>
      <w:hyperlink r:id="rId2796">
        <w:r>
          <w:rPr>
            <w:color w:val="0000EE"/>
            <w:u w:val="single"/>
          </w:rPr>
          <w:t>Mt 6.19–21</w:t>
        </w:r>
      </w:hyperlink>
      <w:r>
        <w:t>), sensuel (</w:t>
      </w:r>
      <w:hyperlink r:id="rId2769">
        <w:r>
          <w:rPr>
            <w:color w:val="0000EE"/>
            <w:u w:val="single"/>
          </w:rPr>
          <w:t>Mt 5.28</w:t>
        </w:r>
      </w:hyperlink>
      <w:r>
        <w:t>), arrogant (</w:t>
      </w:r>
      <w:hyperlink r:id="rId2797">
        <w:r>
          <w:rPr>
            <w:color w:val="0000EE"/>
            <w:u w:val="single"/>
          </w:rPr>
          <w:t>Es 9.9</w:t>
        </w:r>
      </w:hyperlink>
      <w:r>
        <w:t>), rebelle à Dieu (</w:t>
      </w:r>
      <w:hyperlink r:id="rId2798">
        <w:r>
          <w:rPr>
            <w:color w:val="0000EE"/>
            <w:u w:val="single"/>
          </w:rPr>
          <w:t>Ac 7.51</w:t>
        </w:r>
      </w:hyperlink>
      <w:r>
        <w:t>), pervers (</w:t>
      </w:r>
      <w:hyperlink r:id="rId2799">
        <w:r>
          <w:rPr>
            <w:color w:val="0000EE"/>
            <w:u w:val="single"/>
          </w:rPr>
          <w:t>Ps 101.4</w:t>
        </w:r>
      </w:hyperlink>
      <w:r>
        <w:t>) et impénitent (</w:t>
      </w:r>
      <w:hyperlink r:id="rId2800">
        <w:r>
          <w:rPr>
            <w:color w:val="0000EE"/>
            <w:u w:val="single"/>
          </w:rPr>
          <w:t>Rm 2.5</w:t>
        </w:r>
      </w:hyperlink>
      <w:r>
        <w:t>). Rien ne souille un homme plus que son propre cœur (</w:t>
      </w:r>
      <w:hyperlink r:id="rId2801">
        <w:r>
          <w:rPr>
            <w:color w:val="0000EE"/>
            <w:u w:val="single"/>
          </w:rPr>
          <w:t>Mc 7.18–19</w:t>
        </w:r>
      </w:hyperlink>
      <w:r>
        <w:t>).</w:t>
      </w:r>
    </w:p>
    <w:p>
      <w:r/>
      <w:r>
        <w:t>Pourtant, du cœur peut venir le bien (</w:t>
      </w:r>
      <w:hyperlink r:id="rId2802">
        <w:r>
          <w:rPr>
            <w:color w:val="0000EE"/>
            <w:u w:val="single"/>
          </w:rPr>
          <w:t xml:space="preserve">Lc 6.45 </w:t>
        </w:r>
      </w:hyperlink>
      <w:r>
        <w:t xml:space="preserve">; </w:t>
      </w:r>
      <w:hyperlink r:id="rId2803">
        <w:r>
          <w:rPr>
            <w:color w:val="0000EE"/>
            <w:u w:val="single"/>
          </w:rPr>
          <w:t>8.15</w:t>
        </w:r>
      </w:hyperlink>
      <w:r>
        <w:t>). Même quand il est frustré par les circonstances ou par la peur, la bonne intention du cœur reste bonne et sa mauvaise intention, mauvaise (</w:t>
      </w:r>
      <w:hyperlink r:id="rId2804">
        <w:r>
          <w:rPr>
            <w:color w:val="0000EE"/>
            <w:u w:val="single"/>
          </w:rPr>
          <w:t xml:space="preserve">1R 8.18 </w:t>
        </w:r>
      </w:hyperlink>
      <w:r>
        <w:t xml:space="preserve">; </w:t>
      </w:r>
      <w:hyperlink r:id="rId2769">
        <w:r>
          <w:rPr>
            <w:color w:val="0000EE"/>
            <w:u w:val="single"/>
          </w:rPr>
          <w:t>Mt 5.28</w:t>
        </w:r>
      </w:hyperlink>
      <w:r>
        <w:t>).</w:t>
      </w:r>
    </w:p>
    <w:p>
      <w:r/>
      <w:r>
        <w:t>À cause de cette complexité, le cœur d'une personne est malheureusement divisé, et l'Écriture loue souvent un cœur pur, bien disposé, et plein de foi (</w:t>
      </w:r>
      <w:hyperlink r:id="rId2805">
        <w:r>
          <w:rPr>
            <w:color w:val="0000EE"/>
            <w:u w:val="single"/>
          </w:rPr>
          <w:t xml:space="preserve">Gn 20.5 </w:t>
        </w:r>
      </w:hyperlink>
      <w:r>
        <w:t xml:space="preserve">; </w:t>
      </w:r>
      <w:hyperlink r:id="rId2806">
        <w:r>
          <w:rPr>
            <w:color w:val="0000EE"/>
            <w:u w:val="single"/>
          </w:rPr>
          <w:t xml:space="preserve">Ps 86.11 </w:t>
        </w:r>
      </w:hyperlink>
      <w:r>
        <w:t xml:space="preserve">; </w:t>
      </w:r>
      <w:hyperlink r:id="rId2807">
        <w:r>
          <w:rPr>
            <w:color w:val="0000EE"/>
            <w:u w:val="single"/>
          </w:rPr>
          <w:t>Ac 8.37</w:t>
        </w:r>
      </w:hyperlink>
      <w:r>
        <w:t>). Le « cœur » signifie la totalité de l'être intérieur (</w:t>
      </w:r>
      <w:hyperlink r:id="rId2808">
        <w:r>
          <w:rPr>
            <w:color w:val="0000EE"/>
            <w:u w:val="single"/>
          </w:rPr>
          <w:t>1P 3.4</w:t>
        </w:r>
      </w:hyperlink>
      <w:r>
        <w:t>), avec lequel l'individu est en communion et qui se révèle dans la prière, les paroles et les actes (</w:t>
      </w:r>
      <w:hyperlink r:id="rId2809">
        <w:r>
          <w:rPr>
            <w:color w:val="0000EE"/>
            <w:u w:val="single"/>
          </w:rPr>
          <w:t xml:space="preserve">Ps 62.8 </w:t>
        </w:r>
      </w:hyperlink>
      <w:r>
        <w:t xml:space="preserve">; </w:t>
      </w:r>
      <w:hyperlink r:id="rId2810">
        <w:r>
          <w:rPr>
            <w:color w:val="0000EE"/>
            <w:u w:val="single"/>
          </w:rPr>
          <w:t>Mt 15.18–19</w:t>
        </w:r>
      </w:hyperlink>
      <w:r>
        <w:t>). Le cœur est en fait qui l'individu est vraiment, par contraste aux apparences, à la position sociale et la présence physique (</w:t>
      </w:r>
      <w:hyperlink r:id="rId2811">
        <w:r>
          <w:rPr>
            <w:color w:val="0000EE"/>
            <w:u w:val="single"/>
          </w:rPr>
          <w:t xml:space="preserve">1S 16.7 </w:t>
        </w:r>
      </w:hyperlink>
      <w:r>
        <w:t xml:space="preserve">; </w:t>
      </w:r>
      <w:hyperlink r:id="rId2812">
        <w:r>
          <w:rPr>
            <w:color w:val="0000EE"/>
            <w:u w:val="single"/>
          </w:rPr>
          <w:t xml:space="preserve">2Co 5.12 </w:t>
        </w:r>
      </w:hyperlink>
      <w:r>
        <w:t xml:space="preserve">; </w:t>
      </w:r>
      <w:hyperlink r:id="rId2813">
        <w:r>
          <w:rPr>
            <w:color w:val="0000EE"/>
            <w:u w:val="single"/>
          </w:rPr>
          <w:t>1Th 2.17</w:t>
        </w:r>
      </w:hyperlink>
      <w:r>
        <w:t>). Le cœur (c'est-à-dire la personne qu'il représente réellement) a sa propre nature, son propre caractère et ses propres dispositions (</w:t>
      </w:r>
      <w:hyperlink r:id="rId2814">
        <w:r>
          <w:rPr>
            <w:color w:val="0000EE"/>
            <w:u w:val="single"/>
          </w:rPr>
          <w:t xml:space="preserve">Dn 4.16 </w:t>
        </w:r>
      </w:hyperlink>
      <w:r>
        <w:t xml:space="preserve">; </w:t>
      </w:r>
      <w:hyperlink r:id="rId2815">
        <w:r>
          <w:rPr>
            <w:color w:val="0000EE"/>
            <w:u w:val="single"/>
          </w:rPr>
          <w:t xml:space="preserve">7.4 </w:t>
        </w:r>
      </w:hyperlink>
      <w:r>
        <w:t xml:space="preserve">; voir </w:t>
      </w:r>
      <w:hyperlink r:id="rId2816">
        <w:r>
          <w:rPr>
            <w:color w:val="0000EE"/>
            <w:u w:val="single"/>
          </w:rPr>
          <w:t>Mt 12.33–37</w:t>
        </w:r>
      </w:hyperlink>
      <w:r>
        <w:t>).</w:t>
      </w:r>
    </w:p>
    <w:p>
      <w:pPr>
        <w:pStyle w:val="Heading3"/>
      </w:pPr>
      <w:r>
        <w:t>Le cœur spirituel</w:t>
      </w:r>
    </w:p>
    <w:p>
      <w:r/>
      <w:r>
        <w:t>Le cœur est particulièrement important dans la religion biblique. Les mystères cachés du cœur de l'individu sont à découvert devant Dieu et le Christ (</w:t>
      </w:r>
      <w:hyperlink r:id="rId2817">
        <w:r>
          <w:rPr>
            <w:color w:val="0000EE"/>
            <w:u w:val="single"/>
          </w:rPr>
          <w:t xml:space="preserve">Jr 17.10 </w:t>
        </w:r>
      </w:hyperlink>
      <w:r>
        <w:t xml:space="preserve">; </w:t>
      </w:r>
      <w:hyperlink r:id="rId2818">
        <w:r>
          <w:rPr>
            <w:color w:val="0000EE"/>
            <w:u w:val="single"/>
          </w:rPr>
          <w:t xml:space="preserve">Lc 9.47 </w:t>
        </w:r>
      </w:hyperlink>
      <w:r>
        <w:t xml:space="preserve">; </w:t>
      </w:r>
      <w:hyperlink r:id="rId2819">
        <w:r>
          <w:rPr>
            <w:color w:val="0000EE"/>
            <w:u w:val="single"/>
          </w:rPr>
          <w:t>Rm 8.27</w:t>
        </w:r>
      </w:hyperlink>
      <w:r>
        <w:t>), et c'est dans le cœur que siège la connaissance de Dieu (</w:t>
      </w:r>
      <w:hyperlink r:id="rId2820">
        <w:r>
          <w:rPr>
            <w:color w:val="0000EE"/>
            <w:u w:val="single"/>
          </w:rPr>
          <w:t>2Co 4.6</w:t>
        </w:r>
      </w:hyperlink>
      <w:r>
        <w:t>). La condition du cœur détermine comment l'individu voit Dieu (</w:t>
      </w:r>
      <w:hyperlink r:id="rId2821">
        <w:r>
          <w:rPr>
            <w:color w:val="0000EE"/>
            <w:u w:val="single"/>
          </w:rPr>
          <w:t>Mt 5.8</w:t>
        </w:r>
      </w:hyperlink>
      <w:r>
        <w:t>). C'est à partir du cœur qu'une personne peut parler à Dieu (</w:t>
      </w:r>
      <w:hyperlink r:id="rId2822">
        <w:r>
          <w:rPr>
            <w:color w:val="0000EE"/>
            <w:u w:val="single"/>
          </w:rPr>
          <w:t>Ps 27.8</w:t>
        </w:r>
      </w:hyperlink>
      <w:r>
        <w:t>). Le cœur est aussi là où Dieu peut résider en l'homme (</w:t>
      </w:r>
      <w:hyperlink r:id="rId2823">
        <w:r>
          <w:rPr>
            <w:color w:val="0000EE"/>
            <w:u w:val="single"/>
          </w:rPr>
          <w:t xml:space="preserve">2Co 1.22 </w:t>
        </w:r>
      </w:hyperlink>
      <w:r>
        <w:t xml:space="preserve">; </w:t>
      </w:r>
      <w:hyperlink r:id="rId18">
        <w:r>
          <w:rPr>
            <w:color w:val="0000EE"/>
            <w:u w:val="single"/>
          </w:rPr>
          <w:t xml:space="preserve">Ga 4.6 </w:t>
        </w:r>
      </w:hyperlink>
      <w:r>
        <w:t xml:space="preserve">; </w:t>
      </w:r>
      <w:hyperlink r:id="rId2824">
        <w:r>
          <w:rPr>
            <w:color w:val="0000EE"/>
            <w:u w:val="single"/>
          </w:rPr>
          <w:t>Ep 3.17</w:t>
        </w:r>
      </w:hyperlink>
      <w:r>
        <w:t>).</w:t>
      </w:r>
    </w:p>
    <w:p>
      <w:r/>
      <w:r>
        <w:t>Cependant, le mal qui est dans le cœur est considéré, du point de vue biblique, comme un péché contre Dieu. Les cœurs insensés sont obscurcis, souvent secrètement idolâtres, éloignés de Dieu, et ne sont pas droits devant lui (</w:t>
      </w:r>
      <w:hyperlink r:id="rId2825">
        <w:r>
          <w:rPr>
            <w:color w:val="0000EE"/>
            <w:u w:val="single"/>
          </w:rPr>
          <w:t xml:space="preserve">Dt 29.18–19 </w:t>
        </w:r>
      </w:hyperlink>
      <w:r>
        <w:t xml:space="preserve">; </w:t>
      </w:r>
      <w:hyperlink r:id="rId2826">
        <w:r>
          <w:rPr>
            <w:color w:val="0000EE"/>
            <w:u w:val="single"/>
          </w:rPr>
          <w:t xml:space="preserve">Mt 15.8 </w:t>
        </w:r>
      </w:hyperlink>
      <w:r>
        <w:t xml:space="preserve">; </w:t>
      </w:r>
      <w:hyperlink r:id="rId2827">
        <w:r>
          <w:rPr>
            <w:color w:val="0000EE"/>
            <w:u w:val="single"/>
          </w:rPr>
          <w:t xml:space="preserve">Ac 8.21 </w:t>
        </w:r>
      </w:hyperlink>
      <w:r>
        <w:t xml:space="preserve">; </w:t>
      </w:r>
      <w:hyperlink r:id="rId2828">
        <w:r>
          <w:rPr>
            <w:color w:val="0000EE"/>
            <w:u w:val="single"/>
          </w:rPr>
          <w:t>Rm 1.21</w:t>
        </w:r>
      </w:hyperlink>
      <w:r>
        <w:t>). Pourtant, le Seigneur ne méprise pas un cœur « brisé et contrit » (</w:t>
      </w:r>
      <w:hyperlink r:id="rId2829">
        <w:r>
          <w:rPr>
            <w:color w:val="0000EE"/>
            <w:u w:val="single"/>
          </w:rPr>
          <w:t>Ps 51.17</w:t>
        </w:r>
      </w:hyperlink>
      <w:r>
        <w:t>). Quand le cœur de quelqu'un se tourne vers Dieu, il promet de le rendre sensible aux choses spirituelles, de le renouveler et de le purifier (</w:t>
      </w:r>
      <w:hyperlink r:id="rId2830">
        <w:r>
          <w:rPr>
            <w:color w:val="0000EE"/>
            <w:u w:val="single"/>
          </w:rPr>
          <w:t xml:space="preserve">Dt 4.29 </w:t>
        </w:r>
      </w:hyperlink>
      <w:r>
        <w:t xml:space="preserve">; </w:t>
      </w:r>
      <w:hyperlink r:id="rId2831">
        <w:r>
          <w:rPr>
            <w:color w:val="0000EE"/>
            <w:u w:val="single"/>
          </w:rPr>
          <w:t xml:space="preserve">2R 23.25 </w:t>
        </w:r>
      </w:hyperlink>
      <w:r>
        <w:t xml:space="preserve">; </w:t>
      </w:r>
      <w:hyperlink r:id="rId2832">
        <w:r>
          <w:rPr>
            <w:color w:val="0000EE"/>
            <w:u w:val="single"/>
          </w:rPr>
          <w:t xml:space="preserve">Ps 51.10 </w:t>
        </w:r>
      </w:hyperlink>
      <w:r>
        <w:t xml:space="preserve">; </w:t>
      </w:r>
      <w:hyperlink r:id="rId2833">
        <w:r>
          <w:rPr>
            <w:color w:val="0000EE"/>
            <w:u w:val="single"/>
          </w:rPr>
          <w:t xml:space="preserve">Jl 2.13 </w:t>
        </w:r>
      </w:hyperlink>
      <w:r>
        <w:t xml:space="preserve">; </w:t>
      </w:r>
      <w:hyperlink r:id="rId2834">
        <w:r>
          <w:rPr>
            <w:color w:val="0000EE"/>
            <w:u w:val="single"/>
          </w:rPr>
          <w:t>Ez 36.25–27</w:t>
        </w:r>
      </w:hyperlink>
      <w:r>
        <w:t>). Dieu inscrit alors sa loi dans ce cœur pour le guider et l'inciter à ses voies (</w:t>
      </w:r>
      <w:hyperlink r:id="rId2835">
        <w:r>
          <w:rPr>
            <w:color w:val="0000EE"/>
            <w:u w:val="single"/>
          </w:rPr>
          <w:t xml:space="preserve">Jr 31.33 </w:t>
        </w:r>
      </w:hyperlink>
      <w:r>
        <w:t xml:space="preserve">; </w:t>
      </w:r>
      <w:hyperlink r:id="rId2836">
        <w:r>
          <w:rPr>
            <w:color w:val="0000EE"/>
            <w:u w:val="single"/>
          </w:rPr>
          <w:t xml:space="preserve">Hé 8.10 </w:t>
        </w:r>
      </w:hyperlink>
      <w:r>
        <w:t xml:space="preserve">; voir </w:t>
      </w:r>
      <w:hyperlink r:id="rId2837">
        <w:r>
          <w:rPr>
            <w:color w:val="0000EE"/>
            <w:u w:val="single"/>
          </w:rPr>
          <w:t>2Co 3.2–3</w:t>
        </w:r>
      </w:hyperlink>
      <w:r>
        <w:t>).</w:t>
      </w:r>
    </w:p>
    <w:p>
      <w:r/>
      <w:r>
        <w:t>En termes chrétiens, cette transformation implique de croire à l'Évangile avec un « cœur honnête et bon » qui se montre un sol fertile pour la Parole de Dieu (</w:t>
      </w:r>
      <w:hyperlink r:id="rId2803">
        <w:r>
          <w:rPr>
            <w:color w:val="0000EE"/>
            <w:u w:val="single"/>
          </w:rPr>
          <w:t xml:space="preserve">Lc 8.15 </w:t>
        </w:r>
      </w:hyperlink>
      <w:r>
        <w:t xml:space="preserve">; </w:t>
      </w:r>
      <w:hyperlink r:id="rId2838">
        <w:r>
          <w:rPr>
            <w:color w:val="0000EE"/>
            <w:u w:val="single"/>
          </w:rPr>
          <w:t>Rm 10.9</w:t>
        </w:r>
      </w:hyperlink>
      <w:r>
        <w:t>). Un cœur qui est vrai s'approche de Dieu, l'aime de toute sa pensée, de toutes ses émotions et de toute sa volonté (</w:t>
      </w:r>
      <w:hyperlink r:id="rId2839">
        <w:r>
          <w:rPr>
            <w:color w:val="0000EE"/>
            <w:u w:val="single"/>
          </w:rPr>
          <w:t xml:space="preserve">Lc 10.27 </w:t>
        </w:r>
      </w:hyperlink>
      <w:r>
        <w:t xml:space="preserve">; </w:t>
      </w:r>
      <w:hyperlink r:id="rId1564">
        <w:r>
          <w:rPr>
            <w:color w:val="0000EE"/>
            <w:u w:val="single"/>
          </w:rPr>
          <w:t>Hé 10.22</w:t>
        </w:r>
      </w:hyperlink>
      <w:r>
        <w:t>). Alors Dieu donne la force, la récompense, le renouveau, la grâce, la paix et la joie au cœur (</w:t>
      </w:r>
      <w:hyperlink r:id="rId2840">
        <w:r>
          <w:rPr>
            <w:color w:val="0000EE"/>
            <w:u w:val="single"/>
          </w:rPr>
          <w:t xml:space="preserve">Ps 73.26 </w:t>
        </w:r>
      </w:hyperlink>
      <w:r>
        <w:t xml:space="preserve">; </w:t>
      </w:r>
      <w:hyperlink r:id="rId2841">
        <w:r>
          <w:rPr>
            <w:color w:val="0000EE"/>
            <w:u w:val="single"/>
          </w:rPr>
          <w:t xml:space="preserve">Es 57.15 </w:t>
        </w:r>
      </w:hyperlink>
      <w:r>
        <w:t xml:space="preserve">; </w:t>
      </w:r>
      <w:hyperlink r:id="rId2842">
        <w:r>
          <w:rPr>
            <w:color w:val="0000EE"/>
            <w:u w:val="single"/>
          </w:rPr>
          <w:t xml:space="preserve">Ac 2.46 </w:t>
        </w:r>
      </w:hyperlink>
      <w:r>
        <w:t xml:space="preserve">; </w:t>
      </w:r>
      <w:hyperlink r:id="rId1752">
        <w:r>
          <w:rPr>
            <w:color w:val="0000EE"/>
            <w:u w:val="single"/>
          </w:rPr>
          <w:t xml:space="preserve">Ph 4.7 </w:t>
        </w:r>
      </w:hyperlink>
      <w:r>
        <w:t xml:space="preserve">; </w:t>
      </w:r>
      <w:hyperlink r:id="rId2843">
        <w:r>
          <w:rPr>
            <w:color w:val="0000EE"/>
            <w:u w:val="single"/>
          </w:rPr>
          <w:t>Hé 13.9</w:t>
        </w:r>
      </w:hyperlink>
      <w:r>
        <w:t>). Ainsi, l'idéal ancien redevient possible, celui d'être « un homme selon son cœur », le cœur de Dieu (</w:t>
      </w:r>
      <w:hyperlink r:id="rId2844">
        <w:r>
          <w:rPr>
            <w:color w:val="0000EE"/>
            <w:u w:val="single"/>
          </w:rPr>
          <w:t xml:space="preserve">1S 13.14 </w:t>
        </w:r>
      </w:hyperlink>
      <w:r>
        <w:t xml:space="preserve">; </w:t>
      </w:r>
      <w:hyperlink r:id="rId2845">
        <w:r>
          <w:rPr>
            <w:color w:val="0000EE"/>
            <w:u w:val="single"/>
          </w:rPr>
          <w:t>Ac 13.22</w:t>
        </w:r>
      </w:hyperlink>
      <w:r>
        <w:t>).</w:t>
      </w:r>
      <w:r/>
      <w:r/>
    </w:p>
    <w:p>
      <w:r/>
    </w:p>
    <w:p>
      <w:pPr>
        <w:pStyle w:val="Heading2"/>
      </w:pPr>
      <w:r>
        <w:t>Cohorte Auguste</w:t>
      </w:r>
      <w:r/>
    </w:p>
    <w:p>
      <w:r/>
      <w:r>
        <w:t xml:space="preserve">Unité militaire romaine mentionnée dans </w:t>
      </w:r>
      <w:hyperlink r:id="rId132">
        <w:r>
          <w:rPr>
            <w:color w:val="0000EE"/>
            <w:u w:val="single"/>
          </w:rPr>
          <w:t>Actes 27.1</w:t>
        </w:r>
      </w:hyperlink>
      <w:r>
        <w:t xml:space="preserve">. D'autres versions françaises utilisent une traduction similaire à « </w:t>
      </w:r>
      <w:r>
        <w:t>cohorte impériale</w:t>
      </w:r>
      <w:r>
        <w:t xml:space="preserve"> » (SER) ou « </w:t>
      </w:r>
      <w:r>
        <w:t>bataillon de l'empereur</w:t>
      </w:r>
      <w:r>
        <w:t xml:space="preserve"> » (NFC) au lieu de « cohorte Auguste » ou apparentés.</w:t>
      </w:r>
    </w:p>
    <w:p>
      <w:r/>
      <w:r>
        <w:t>Un centurion (un officier responsable d'environ cent soldats) nommé Julius était membre de la cohorte Auguste. Il était commandant, chargé de la garde de l'apôtre Paul en route pour Rome. Le mot grec traduit par « cohorte » désignait normalement une cohorte romaine (cinq cents hommes) ou une unité de deux cohortes.</w:t>
      </w:r>
    </w:p>
    <w:p>
      <w:r/>
      <w:r>
        <w:t>Certains chercheurs supposent que Julius était à la tête de cette unité. Il est inhabituel qu'un officier qui commandait normalement une centurie (cent hommes) soit en charge de cinq cents à mille hommes. Il est possible que Julius n'ait pas été à la tête de l'ensemble de l'unité. Il se pourrait, alternativement, que ce n'ait pas été une cohorte régulière, mais plutôt un groupe spécial destiné à envoyer des messages ou à servir de gardes.</w:t>
      </w:r>
    </w:p>
    <w:p>
      <w:r/>
      <w:r>
        <w:rPr>
          <w:i/>
        </w:rPr>
        <w:t>Voir aussi</w:t>
      </w:r>
      <w:r>
        <w:t xml:space="preserve"> </w:t>
      </w:r>
      <w:r>
        <w:t>Guerre</w:t>
      </w:r>
      <w:r>
        <w:t>.</w:t>
      </w:r>
      <w:r/>
      <w:r/>
    </w:p>
    <w:p>
      <w:r/>
    </w:p>
    <w:p>
      <w:pPr>
        <w:pStyle w:val="Heading2"/>
      </w:pPr>
      <w:r>
        <w:t>Cohorte italienne, Bataillon italien, Régiment italien</w:t>
      </w:r>
      <w:r/>
    </w:p>
    <w:p>
      <w:r/>
      <w:r>
        <w:t xml:space="preserve">Unité militaire romaine à laquelle appartenait le centurion Corneille. La seule référence biblique à ce régiment (« cohorte », LSG ; « bataillon », NFC) se trouve dans </w:t>
      </w:r>
      <w:hyperlink r:id="rId2846">
        <w:r>
          <w:rPr>
            <w:color w:val="0000EE"/>
            <w:u w:val="single"/>
          </w:rPr>
          <w:t>Actes 10.1</w:t>
        </w:r>
      </w:hyperlink>
      <w:r>
        <w:t>.</w:t>
      </w:r>
    </w:p>
    <w:p>
      <w:r/>
      <w:r>
        <w:t>L'armée romaine comprenait des régiments auxiliaires, dont la plupart semblaient être composés de sujets provinciaux, à l'exception des Juifs (qui étaient exemptés). Ces unités étaient parfois désignées par des noms distinctifs comme « Italien » ou « Augusta » (</w:t>
      </w:r>
      <w:hyperlink r:id="rId132">
        <w:r>
          <w:rPr>
            <w:color w:val="0000EE"/>
            <w:u w:val="single"/>
          </w:rPr>
          <w:t>Ac 27.1</w:t>
        </w:r>
      </w:hyperlink>
      <w:r>
        <w:t>, TOB2010), c'est-à-dire la cohorte impériale (voir NFC). Le Régiment Italien était manifestement composé principalement de ceux qui non seulement étaient citoyens romains, mais étaient nés à Rome. Les régiments étaient composés de six centuries de cents hommes, chaque centurie étant commandée par un centurion (dans ce cas, Corneille). Dix régiments constituaient une Légion (six mille hommes).</w:t>
      </w:r>
    </w:p>
    <w:p>
      <w:r/>
      <w:r>
        <w:t>Les inscriptions indiquent qu'un tel régiment italien avait effectivement été stationné en Syrie entre 69 et 157 apr J.‑C. Cela n'exclut pas une présence antérieure dans la province ; les archives militaires ne sont tout simplement pas disponibles.</w:t>
      </w:r>
      <w:r/>
      <w:r/>
    </w:p>
    <w:p>
      <w:r/>
    </w:p>
    <w:p>
      <w:pPr>
        <w:pStyle w:val="Heading2"/>
      </w:pPr>
      <w:r>
        <w:t>Coiffures et Barbes</w:t>
      </w:r>
      <w:r/>
    </w:p>
    <w:p>
      <w:r/>
      <w:r>
        <w:t xml:space="preserve">En Palestine et au Proche-Orient, les femmes avaient généralement les cheveux longs. À l'époque du Nouveau Testament, se couper les cheveux pouvait être perçu comme signe que l'on était une prêtresse païenne, entraînant la disgrâce (voir </w:t>
      </w:r>
      <w:hyperlink r:id="rId2847">
        <w:r>
          <w:rPr>
            <w:color w:val="0000EE"/>
            <w:u w:val="single"/>
          </w:rPr>
          <w:t>1Co 11.15</w:t>
        </w:r>
      </w:hyperlink>
      <w:r>
        <w:t>). L'apôtre Pierre conseillait aux femmes chrétiennes de ne pas se concentrer excessivement sur des coiffures élaborées (</w:t>
      </w:r>
      <w:hyperlink r:id="rId2848">
        <w:r>
          <w:rPr>
            <w:color w:val="0000EE"/>
            <w:u w:val="single"/>
          </w:rPr>
          <w:t>1P 3.3</w:t>
        </w:r>
      </w:hyperlink>
      <w:r>
        <w:t>). Lorsqu'une femme se mariait, elle modifiait souvent sa coiffure pour refléter un aspect plus mature, certaines utilisant des fers à friser et des huiles capillaires.</w:t>
      </w:r>
    </w:p>
    <w:p>
      <w:r/>
      <w:r>
        <w:t>Les cheveux foncés sont souvent mentionnés dans la Bible, bien que les cheveux gris soient respectés comme un signe de maturité. Certaines personnes utilisaient des teintures pour cheveux noirs et rouges, et la tradition veut qu'Hérode le Grand ait teint ses cheveux grisonnants au henné.</w:t>
      </w:r>
    </w:p>
    <w:p>
      <w:r/>
      <w:r>
        <w:t>Dans la culture juive, la taille de la barbe et des cheveux suivait des règles spécifiques. Les Israélites étaient instruits de ne pas couper les cheveux sur leurs tempes ni de tailler les bords de leurs barbes (</w:t>
      </w:r>
      <w:hyperlink r:id="rId2849">
        <w:r>
          <w:rPr>
            <w:color w:val="0000EE"/>
            <w:u w:val="single"/>
          </w:rPr>
          <w:t>Lv 19.27</w:t>
        </w:r>
      </w:hyperlink>
      <w:r>
        <w:t>). Cette pratique aidait à distinguer les Israélites des Cananéens idolâtres et d'autres peuples (</w:t>
      </w:r>
      <w:hyperlink r:id="rId2850">
        <w:r>
          <w:rPr>
            <w:color w:val="0000EE"/>
            <w:u w:val="single"/>
          </w:rPr>
          <w:t>Dt 12.29</w:t>
        </w:r>
      </w:hyperlink>
      <w:r>
        <w:t>–</w:t>
      </w:r>
      <w:hyperlink r:id="rId2850">
        <w:r>
          <w:rPr>
            <w:color w:val="0000EE"/>
            <w:u w:val="single"/>
          </w:rPr>
          <w:t>30</w:t>
        </w:r>
      </w:hyperlink>
      <w:r>
        <w:t>). Les barbes distinguaient les Hébreux des Égyptiens, qui étaient généralement rasés de près mais portaient parfois de fausses barbes pour les cérémonies. Raser ou couper la barbe des captifs était considéré comme une humiliation sévère, tandis qu'une tête rasée était un symbole de purification après avoir accompli un vœu (</w:t>
      </w:r>
      <w:hyperlink r:id="rId2851">
        <w:r>
          <w:rPr>
            <w:color w:val="0000EE"/>
            <w:u w:val="single"/>
          </w:rPr>
          <w:t>Lv 14.8</w:t>
        </w:r>
      </w:hyperlink>
      <w:r>
        <w:t>–</w:t>
      </w:r>
      <w:hyperlink r:id="rId2851">
        <w:r>
          <w:rPr>
            <w:color w:val="0000EE"/>
            <w:u w:val="single"/>
          </w:rPr>
          <w:t>9</w:t>
        </w:r>
      </w:hyperlink>
      <w:r>
        <w:t xml:space="preserve"> ; </w:t>
      </w:r>
      <w:hyperlink r:id="rId2156">
        <w:r>
          <w:rPr>
            <w:color w:val="0000EE"/>
            <w:u w:val="single"/>
          </w:rPr>
          <w:t>Ac 18.18</w:t>
        </w:r>
      </w:hyperlink>
      <w:r>
        <w:t>). Raser sa barbe était un signe habituel de deuil (</w:t>
      </w:r>
      <w:hyperlink r:id="rId2852">
        <w:r>
          <w:rPr>
            <w:color w:val="0000EE"/>
            <w:u w:val="single"/>
          </w:rPr>
          <w:t>Es 15.2</w:t>
        </w:r>
      </w:hyperlink>
      <w:r>
        <w:t>). Cela pouvait également symboliser un malheur imminent (</w:t>
      </w:r>
      <w:hyperlink r:id="rId2853">
        <w:r>
          <w:rPr>
            <w:color w:val="0000EE"/>
            <w:u w:val="single"/>
          </w:rPr>
          <w:t>Es 7.20</w:t>
        </w:r>
      </w:hyperlink>
      <w:r>
        <w:t xml:space="preserve"> ; </w:t>
      </w:r>
      <w:hyperlink r:id="rId2854">
        <w:r>
          <w:rPr>
            <w:color w:val="0000EE"/>
            <w:u w:val="single"/>
          </w:rPr>
          <w:t>Jr 41.5</w:t>
        </w:r>
      </w:hyperlink>
      <w:r>
        <w:t xml:space="preserve"> ; </w:t>
      </w:r>
      <w:hyperlink r:id="rId2158">
        <w:r>
          <w:rPr>
            <w:color w:val="0000EE"/>
            <w:u w:val="single"/>
          </w:rPr>
          <w:t>48.37</w:t>
        </w:r>
      </w:hyperlink>
      <w:r>
        <w:t>).</w:t>
      </w:r>
      <w:r/>
      <w:r/>
    </w:p>
    <w:p>
      <w:r/>
    </w:p>
    <w:p>
      <w:pPr>
        <w:pStyle w:val="Heading2"/>
      </w:pPr>
      <w:r>
        <w:t>Collecteur d'impôts, péager, publicain</w:t>
      </w:r>
      <w:r/>
    </w:p>
    <w:p>
      <w:r/>
      <w:r>
        <w:t>Personne qui collectait ou recueillait des impôts pour le gouvernement. À l'époque du Nouveau Testament, les Romains levaient divers impôts. Leurs propres officiers se chargeaient d'une partie de ce travail. Ils en confiaient aussi une partie à des individus qui n'étaient pas des officiers romains. Juifs et non-Juifs pouvaient devenir collecteurs d'impôts (ou péagers, publicains). Ils devaient donner aux autorités une somme arrangée. Des individus malhonnêtes collectaient bien plus que ce qu'ils devaient payer. Les collecteurs d'impôts sont donc devenus un groupe détesté par le peuple. Le peuple détestait particulièrement les Juifs qui volaient leurs compatriotes. Zachée, un Juif de Jéricho, était un « chef des collecteurs d'impôts ». Il avait amassé une richesse importante (</w:t>
      </w:r>
      <w:hyperlink r:id="rId2855">
        <w:r>
          <w:rPr>
            <w:color w:val="0000EE"/>
            <w:u w:val="single"/>
          </w:rPr>
          <w:t>Lc 19.2–10</w:t>
        </w:r>
      </w:hyperlink>
      <w:r>
        <w:t>). Des hommes comme lui étaient considérés comme des pécheurs. Ils étaient souvent associés aux pécheurs dans l'expression « publicains ou gens de mauvaise vie ». C'est une autre façon de dire « collecteurs d'impôts et pécheurs » (</w:t>
      </w:r>
      <w:hyperlink r:id="rId2856">
        <w:r>
          <w:rPr>
            <w:color w:val="0000EE"/>
            <w:u w:val="single"/>
          </w:rPr>
          <w:t>Mt 9.10–11</w:t>
        </w:r>
      </w:hyperlink>
      <w:r>
        <w:t xml:space="preserve"> ; </w:t>
      </w:r>
      <w:hyperlink r:id="rId2857">
        <w:r>
          <w:rPr>
            <w:color w:val="0000EE"/>
            <w:u w:val="single"/>
          </w:rPr>
          <w:t>11.19</w:t>
        </w:r>
      </w:hyperlink>
      <w:r>
        <w:t xml:space="preserve"> ; </w:t>
      </w:r>
      <w:hyperlink r:id="rId2858">
        <w:r>
          <w:rPr>
            <w:color w:val="0000EE"/>
            <w:u w:val="single"/>
          </w:rPr>
          <w:t>Mc 2.15–16</w:t>
        </w:r>
      </w:hyperlink>
      <w:r>
        <w:t xml:space="preserve"> ; </w:t>
      </w:r>
      <w:hyperlink r:id="rId2859">
        <w:r>
          <w:rPr>
            <w:color w:val="0000EE"/>
            <w:u w:val="single"/>
          </w:rPr>
          <w:t>Lc 5.30</w:t>
        </w:r>
      </w:hyperlink>
      <w:r>
        <w:t xml:space="preserve"> ; </w:t>
      </w:r>
      <w:hyperlink r:id="rId2855">
        <w:r>
          <w:rPr>
            <w:color w:val="0000EE"/>
            <w:u w:val="single"/>
          </w:rPr>
          <w:t>19.2–10</w:t>
        </w:r>
      </w:hyperlink>
      <w:r>
        <w:t>).</w:t>
      </w:r>
      <w:r/>
      <w:r/>
    </w:p>
    <w:p>
      <w:r/>
    </w:p>
    <w:p>
      <w:pPr>
        <w:pStyle w:val="Heading2"/>
      </w:pPr>
      <w:r>
        <w:t>colonne de feu et colonne de nuée, Shekinah</w:t>
      </w:r>
      <w:r/>
    </w:p>
    <w:p>
      <w:r/>
      <w:r>
        <w:t>La colonne de feu et la colonee de nuée sont toutes les deux un moyen que Dieu a fréquemment utilisé pour manifester sa présence dans l'Ancien Testament (AT). Il s'agissait d'un symbole visuel de la présence du Dieu invisible. Il s'est particulièrement manifesté ainsi pendant la sortie d'Égypte, l'alliance au Sinaï, les trajets des Israélites dans le désert et la dédicace du Temple.</w:t>
      </w:r>
    </w:p>
    <w:p>
      <w:pPr>
        <w:pStyle w:val="Heading3"/>
      </w:pPr>
      <w:r>
        <w:t>Différentes apparitions par la nuée et le feu</w:t>
      </w:r>
    </w:p>
    <w:p>
      <w:r/>
      <w:r>
        <w:t>Cette manifestation de la présence de Dieu est décrite de différentes manières. Quand Dieu est intervenu pour empêcher l'armée Égyptienne de s'approcher des Israélites, il est dit qu'il regardait le camp des Égyptiens d'une « colonne de feu et de nuée » (</w:t>
      </w:r>
      <w:hyperlink r:id="rId2860">
        <w:r>
          <w:rPr>
            <w:color w:val="0000EE"/>
            <w:u w:val="single"/>
          </w:rPr>
          <w:t>Ex 14.24</w:t>
        </w:r>
      </w:hyperlink>
      <w:r>
        <w:t>). La colonne que Dieu utilisait pour guider les Israélites dans leur voyage dans le désert était une colonne de nuée le jour et une colonne de feu la nuit (</w:t>
      </w:r>
      <w:hyperlink r:id="rId2090">
        <w:r>
          <w:rPr>
            <w:color w:val="0000EE"/>
            <w:u w:val="single"/>
          </w:rPr>
          <w:t>Ex 13.21</w:t>
        </w:r>
      </w:hyperlink>
      <w:r>
        <w:t xml:space="preserve"> ; </w:t>
      </w:r>
      <w:hyperlink r:id="rId2861">
        <w:r>
          <w:rPr>
            <w:color w:val="0000EE"/>
            <w:u w:val="single"/>
          </w:rPr>
          <w:t>Nb 14.14</w:t>
        </w:r>
      </w:hyperlink>
      <w:r>
        <w:t xml:space="preserve"> ; </w:t>
      </w:r>
      <w:hyperlink r:id="rId2862">
        <w:r>
          <w:rPr>
            <w:color w:val="0000EE"/>
            <w:u w:val="single"/>
          </w:rPr>
          <w:t>Dt 1.33</w:t>
        </w:r>
      </w:hyperlink>
      <w:r>
        <w:t xml:space="preserve">). </w:t>
      </w:r>
    </w:p>
    <w:p>
      <w:r/>
      <w:r>
        <w:t>Pendant le jour, la colonne de nuée allait sur la tente de la rencontre quand Dieu y parlait avec Moïse (</w:t>
      </w:r>
      <w:hyperlink r:id="rId2863">
        <w:r>
          <w:rPr>
            <w:color w:val="0000EE"/>
            <w:u w:val="single"/>
          </w:rPr>
          <w:t>Ex 33.9–10</w:t>
        </w:r>
      </w:hyperlink>
      <w:r>
        <w:t>). La nuée a rempli le tabernacle quand il a été dressé (</w:t>
      </w:r>
      <w:hyperlink r:id="rId2864">
        <w:r>
          <w:rPr>
            <w:color w:val="0000EE"/>
            <w:u w:val="single"/>
          </w:rPr>
          <w:t>Ex 40.34–35</w:t>
        </w:r>
      </w:hyperlink>
      <w:r>
        <w:t>). Lorsque Dieu a parlé à Moïse la première fois, il l'a fait du milieu d'un buisson en feu (le « buisson ardent »). Quand l'Éternel a parlé aux Israélites du haut du mont Sinaï, il a fait entendre sa voix « du milieu du feu » qui était sur le sommet de la montagne (</w:t>
      </w:r>
      <w:hyperlink r:id="rId2862">
        <w:r>
          <w:rPr>
            <w:color w:val="0000EE"/>
            <w:u w:val="single"/>
          </w:rPr>
          <w:t xml:space="preserve">Dt </w:t>
        </w:r>
      </w:hyperlink>
      <w:hyperlink r:id="rId2865">
        <w:r>
          <w:rPr>
            <w:color w:val="0000EE"/>
            <w:u w:val="single"/>
          </w:rPr>
          <w:t>4.12</w:t>
        </w:r>
      </w:hyperlink>
      <w:r>
        <w:t>). Une épaisse nuée était également présente (</w:t>
      </w:r>
      <w:hyperlink r:id="rId2866">
        <w:r>
          <w:rPr>
            <w:color w:val="0000EE"/>
            <w:u w:val="single"/>
          </w:rPr>
          <w:t>Ex 19.16</w:t>
        </w:r>
      </w:hyperlink>
      <w:r>
        <w:t>).</w:t>
      </w:r>
    </w:p>
    <w:p>
      <w:pPr>
        <w:pStyle w:val="Heading3"/>
      </w:pPr>
      <w:r>
        <w:t>La Shekinah</w:t>
      </w:r>
    </w:p>
    <w:p>
      <w:r/>
      <w:r>
        <w:t xml:space="preserve">Ce mot qui vient de l'araméen n'est pas utilisé dans l'AT. Il était utilisé par les rabbins pour parler de la nuée et d'autres manifestations de la présence de Dieu. La Shekinah désigne particulièrement la gloire des manifestations de la présence de Dieu. Le mot « théophanie » est aussi utilisé pour parler des apparitions de Dieu. Toutefois, le mot théophanie peut aussi désigner les occasions où Dieu apparaît sous forme humaine. </w:t>
      </w:r>
    </w:p>
    <w:p>
      <w:pPr>
        <w:pStyle w:val="Heading3"/>
      </w:pPr>
      <w:r>
        <w:t>Les fonctions des apparitions de la nuée</w:t>
      </w:r>
    </w:p>
    <w:p>
      <w:r/>
      <w:r>
        <w:t>L'apparition de la nuée comme manifestation de la présence de Dieu pouvait avoir plusieurs fonctions.</w:t>
      </w:r>
    </w:p>
    <w:p>
      <w:pPr>
        <w:pStyle w:val="ListNumber"/>
        <w:spacing w:line="240" w:lineRule="auto"/>
        <w:ind w:left="720"/>
      </w:pPr>
      <w:r/>
      <w:r>
        <w:t>Sa fonction principale était de manifester la présence de Dieu. Après avoir rempli le tabernacle, la nuée se déplaçait sous forme de colonne le jour. La nuit, une colonne de feu était avec les Israélites pour montrer que Dieu les accompagnait (</w:t>
      </w:r>
      <w:hyperlink r:id="rId2867">
        <w:r>
          <w:rPr>
            <w:color w:val="0000EE"/>
            <w:u w:val="single"/>
          </w:rPr>
          <w:t>Ex 40.34–38</w:t>
        </w:r>
      </w:hyperlink>
      <w:r>
        <w:t>). La nuée couvrait le propitiatoire le Jour des Expiations (</w:t>
      </w:r>
      <w:hyperlink r:id="rId1184">
        <w:r>
          <w:rPr>
            <w:color w:val="0000EE"/>
            <w:u w:val="single"/>
          </w:rPr>
          <w:t>Lv 16.2</w:t>
        </w:r>
      </w:hyperlink>
      <w:r>
        <w:t>). Le jour de la dédicace du Temple, la nuée l'a rempli pour montrer que Dieu l'acceptait comme endroit où résiderait son nom (</w:t>
      </w:r>
      <w:hyperlink r:id="rId2092">
        <w:r>
          <w:rPr>
            <w:color w:val="0000EE"/>
            <w:u w:val="single"/>
          </w:rPr>
          <w:t>1R 8.10–11</w:t>
        </w:r>
      </w:hyperlink>
      <w:r>
        <w:t xml:space="preserve"> ; </w:t>
      </w:r>
      <w:hyperlink r:id="rId2868">
        <w:r>
          <w:rPr>
            <w:color w:val="0000EE"/>
            <w:u w:val="single"/>
          </w:rPr>
          <w:t>2Ch 5.13–14</w:t>
        </w:r>
      </w:hyperlink>
      <w:r>
        <w:t>).</w:t>
      </w:r>
    </w:p>
    <w:p>
      <w:pPr>
        <w:pStyle w:val="ListNumber"/>
        <w:spacing w:line="240" w:lineRule="auto"/>
        <w:ind w:left="720"/>
      </w:pPr>
      <w:r/>
      <w:r>
        <w:t>La nuée a occasionnellement servi à protéger Israël pendant l'exode. Elle s'est placée entre l'armée égyptienne et le camp israélite. Elle gardait les Égyptiens dans l'obscurité d'un côté, mais donnait de la lumière du côté des Israélites (</w:t>
      </w:r>
      <w:hyperlink r:id="rId2869">
        <w:r>
          <w:rPr>
            <w:color w:val="0000EE"/>
            <w:u w:val="single"/>
          </w:rPr>
          <w:t>Ex 14.19–20</w:t>
        </w:r>
      </w:hyperlink>
      <w:r>
        <w:t xml:space="preserve">). Le </w:t>
      </w:r>
      <w:hyperlink r:id="rId2870">
        <w:r>
          <w:rPr>
            <w:color w:val="0000EE"/>
            <w:u w:val="single"/>
          </w:rPr>
          <w:t>Psaume 105.39</w:t>
        </w:r>
      </w:hyperlink>
      <w:r>
        <w:t xml:space="preserve"> déclare que Dieu « étendit la nuée pour les couvrir, Et le feu pour éclairer la nuit » (</w:t>
      </w:r>
      <w:hyperlink r:id="rId2870">
        <w:r>
          <w:rPr>
            <w:color w:val="0000EE"/>
            <w:u w:val="single"/>
          </w:rPr>
          <w:t>Ps 105.39</w:t>
        </w:r>
      </w:hyperlink>
      <w:r>
        <w:t>).</w:t>
      </w:r>
    </w:p>
    <w:p>
      <w:pPr>
        <w:pStyle w:val="ListNumber"/>
        <w:spacing w:line="240" w:lineRule="auto"/>
        <w:ind w:left="720"/>
      </w:pPr>
      <w:r/>
      <w:r>
        <w:t>La nuée a guidé Israël pendant ses voyages dans le désert : le Seigneur allait devant eux dans une colonne de nuée pour guider leur chemin le jour, et dans une colonne de feu pour leur donner de la lumière la nuit. Ceci leur permettait de voyager de jour ou de nuit. Ni la colonne de nuée le jour, ni la colonne de feu la nuit ne se retirait de devant le peuple (</w:t>
      </w:r>
      <w:hyperlink r:id="rId2871">
        <w:r>
          <w:rPr>
            <w:color w:val="0000EE"/>
            <w:u w:val="single"/>
          </w:rPr>
          <w:t>Ex 13.21–22</w:t>
        </w:r>
      </w:hyperlink>
      <w:r>
        <w:t>). Lorsque le nuage se levait, les Israélites se mettaient en marche. Lorsqu'il se posait, ils s'arrêtaient et installaient leur campement (</w:t>
      </w:r>
      <w:hyperlink r:id="rId2872">
        <w:r>
          <w:rPr>
            <w:color w:val="0000EE"/>
            <w:u w:val="single"/>
          </w:rPr>
          <w:t>Nb 9.17</w:t>
        </w:r>
      </w:hyperlink>
      <w:r>
        <w:t>). Malgré les péchés du peuple, Dieu a continué à les guider (</w:t>
      </w:r>
      <w:hyperlink r:id="rId2862">
        <w:r>
          <w:rPr>
            <w:color w:val="0000EE"/>
            <w:u w:val="single"/>
          </w:rPr>
          <w:t>Dt 1.33</w:t>
        </w:r>
      </w:hyperlink>
      <w:r>
        <w:t>). Les générations suivantes se sont souvenues de comment Dieu avait guidé son peuple jour et nuit (</w:t>
      </w:r>
      <w:hyperlink r:id="rId2873">
        <w:r>
          <w:rPr>
            <w:color w:val="0000EE"/>
            <w:u w:val="single"/>
          </w:rPr>
          <w:t xml:space="preserve">Né 9.12, 19 </w:t>
        </w:r>
      </w:hyperlink>
      <w:r>
        <w:t xml:space="preserve">; </w:t>
      </w:r>
      <w:hyperlink r:id="rId2874">
        <w:r>
          <w:rPr>
            <w:color w:val="0000EE"/>
            <w:u w:val="single"/>
          </w:rPr>
          <w:t>Ps 78.14</w:t>
        </w:r>
      </w:hyperlink>
      <w:r>
        <w:t>).</w:t>
      </w:r>
    </w:p>
    <w:p>
      <w:pPr>
        <w:pStyle w:val="ListNumber"/>
        <w:spacing w:line="240" w:lineRule="auto"/>
        <w:ind w:left="720"/>
      </w:pPr>
      <w:r/>
      <w:r>
        <w:t>La nuée apparaissait parfois quand Dieu allait parler (</w:t>
      </w:r>
      <w:hyperlink r:id="rId2875">
        <w:r>
          <w:rPr>
            <w:color w:val="0000EE"/>
            <w:u w:val="single"/>
          </w:rPr>
          <w:t>Ps 99.7</w:t>
        </w:r>
      </w:hyperlink>
      <w:r>
        <w:t>). Il a parlé à Moïse et aux Israélites depuis la nuée qui couvrait le mont Sinaï (</w:t>
      </w:r>
      <w:hyperlink r:id="rId2866">
        <w:r>
          <w:rPr>
            <w:color w:val="0000EE"/>
            <w:u w:val="single"/>
          </w:rPr>
          <w:t xml:space="preserve">Ex 19.9, 16 </w:t>
        </w:r>
      </w:hyperlink>
      <w:r>
        <w:t xml:space="preserve">; </w:t>
      </w:r>
      <w:hyperlink r:id="rId2876">
        <w:r>
          <w:rPr>
            <w:color w:val="0000EE"/>
            <w:u w:val="single"/>
          </w:rPr>
          <w:t xml:space="preserve">34.1–25 </w:t>
        </w:r>
      </w:hyperlink>
      <w:r>
        <w:t xml:space="preserve">; </w:t>
      </w:r>
      <w:hyperlink r:id="rId2877">
        <w:r>
          <w:rPr>
            <w:color w:val="0000EE"/>
            <w:u w:val="single"/>
          </w:rPr>
          <w:t xml:space="preserve">Dt 4.11–12 </w:t>
        </w:r>
      </w:hyperlink>
      <w:r>
        <w:t xml:space="preserve">; </w:t>
      </w:r>
      <w:hyperlink r:id="rId2878">
        <w:r>
          <w:rPr>
            <w:color w:val="0000EE"/>
            <w:u w:val="single"/>
          </w:rPr>
          <w:t>5.22</w:t>
        </w:r>
      </w:hyperlink>
      <w:r>
        <w:t>). La gloire de l'Éternel s'est manifestée particulièrement dans la nuée quand Dieu a pris la parole pour punir les rebellions du peuple (</w:t>
      </w:r>
      <w:hyperlink r:id="rId2879">
        <w:r>
          <w:rPr>
            <w:color w:val="0000EE"/>
            <w:u w:val="single"/>
          </w:rPr>
          <w:t xml:space="preserve">Ex 16.10 </w:t>
        </w:r>
      </w:hyperlink>
      <w:r>
        <w:t xml:space="preserve">; </w:t>
      </w:r>
      <w:hyperlink r:id="rId2880">
        <w:r>
          <w:rPr>
            <w:color w:val="0000EE"/>
            <w:u w:val="single"/>
          </w:rPr>
          <w:t xml:space="preserve">Nb 14.10 </w:t>
        </w:r>
      </w:hyperlink>
      <w:r>
        <w:t xml:space="preserve">; </w:t>
      </w:r>
      <w:hyperlink r:id="rId2881">
        <w:r>
          <w:rPr>
            <w:color w:val="0000EE"/>
            <w:u w:val="single"/>
          </w:rPr>
          <w:t>16.42–43</w:t>
        </w:r>
      </w:hyperlink>
      <w:r>
        <w:t>). Elle est aussi apparue quand Aaron et Miriam se sont opposés à Moïse (</w:t>
      </w:r>
      <w:hyperlink r:id="rId2882">
        <w:r>
          <w:rPr>
            <w:color w:val="0000EE"/>
            <w:u w:val="single"/>
          </w:rPr>
          <w:t>Nb 12.1–15</w:t>
        </w:r>
      </w:hyperlink>
      <w:r>
        <w:t>) et quand les 70 anciens d'Israël ont été choisis. Dieu parlait plus directement avec Moïse seulement dans la tente d'assignation. « La colonne de nuée descendait et s’arrêtait à l’entrée de la tente, et l’Éternel parlait avec Moïse » (</w:t>
      </w:r>
      <w:hyperlink r:id="rId2883">
        <w:r>
          <w:rPr>
            <w:color w:val="0000EE"/>
            <w:u w:val="single"/>
          </w:rPr>
          <w:t>Ex 33.9</w:t>
        </w:r>
      </w:hyperlink>
      <w:r>
        <w:t>). Alors que Moïse allait bientôt mourir, Dieu est aussi apparu dans la colonne de nuée pour prononcer des paroles sur l'avenir de la nation (</w:t>
      </w:r>
      <w:hyperlink r:id="rId2884">
        <w:r>
          <w:rPr>
            <w:color w:val="0000EE"/>
            <w:u w:val="single"/>
          </w:rPr>
          <w:t>Dt 31.14–29</w:t>
        </w:r>
      </w:hyperlink>
      <w:r>
        <w:t>).</w:t>
      </w:r>
    </w:p>
    <w:p>
      <w:pPr>
        <w:pStyle w:val="Heading3"/>
      </w:pPr>
      <w:r>
        <w:t>Autres apparitions semblables</w:t>
      </w:r>
    </w:p>
    <w:p>
      <w:r/>
      <w:r>
        <w:t>D'autres manifestations ou apparitions de la présence de Dieu ressemblent et rappellent peut-être la colonne de nuée et la colonne de feu dans le désert.</w:t>
      </w:r>
    </w:p>
    <w:p>
      <w:pPr>
        <w:pStyle w:val="ListBullet"/>
        <w:spacing w:line="240" w:lineRule="auto"/>
        <w:ind w:left="720"/>
      </w:pPr>
      <w:r/>
      <w:r>
        <w:t>Ézéchiel a une vision d'une immense nuée. Il y a aussi des éclairs et une lumière éclatante (</w:t>
      </w:r>
      <w:hyperlink r:id="rId2885">
        <w:r>
          <w:rPr>
            <w:color w:val="0000EE"/>
            <w:u w:val="single"/>
          </w:rPr>
          <w:t>Ez 1.4</w:t>
        </w:r>
      </w:hyperlink>
      <w:r>
        <w:t>). Dans la nuée, il y a du feu, des créatures au service de Dieu, le trône de Dieu et la présence de Dieu lui-même (</w:t>
      </w:r>
      <w:hyperlink r:id="rId2886">
        <w:r>
          <w:rPr>
            <w:color w:val="0000EE"/>
            <w:u w:val="single"/>
          </w:rPr>
          <w:t>Ez 1.5–28</w:t>
        </w:r>
      </w:hyperlink>
      <w:r>
        <w:t>). Plus tard, le prophète voit la gloire de Dieu partir du Temple et y revenir ensuite (</w:t>
      </w:r>
      <w:hyperlink r:id="rId2474">
        <w:r>
          <w:rPr>
            <w:color w:val="0000EE"/>
            <w:u w:val="single"/>
          </w:rPr>
          <w:t>Ezéchiel 10 et</w:t>
        </w:r>
      </w:hyperlink>
      <w:r>
        <w:t xml:space="preserve"> </w:t>
      </w:r>
      <w:hyperlink r:id="rId2887">
        <w:r>
          <w:rPr>
            <w:color w:val="0000EE"/>
            <w:u w:val="single"/>
          </w:rPr>
          <w:t>43</w:t>
        </w:r>
      </w:hyperlink>
      <w:r>
        <w:t>).</w:t>
      </w:r>
    </w:p>
    <w:p>
      <w:pPr>
        <w:pStyle w:val="ListBullet"/>
        <w:spacing w:line="240" w:lineRule="auto"/>
        <w:ind w:left="720"/>
      </w:pPr>
      <w:r/>
      <w:r>
        <w:t xml:space="preserve">Daniel a également une vision de quelqu'un « </w:t>
      </w:r>
      <w:r>
        <w:t>de semblable à un fils de l’homme</w:t>
      </w:r>
      <w:r>
        <w:t xml:space="preserve"> » qui arrive « </w:t>
      </w:r>
      <w:r>
        <w:t xml:space="preserve">sur les nuées des cieux » </w:t>
      </w:r>
      <w:r>
        <w:t>pour recevoir autorité, gloire et pouvoir (</w:t>
      </w:r>
      <w:hyperlink r:id="rId2888">
        <w:r>
          <w:rPr>
            <w:color w:val="0000EE"/>
            <w:u w:val="single"/>
          </w:rPr>
          <w:t>Dn 7.13</w:t>
        </w:r>
      </w:hyperlink>
      <w:r>
        <w:t>). Dans les Évangiles, Jésus parle souvent du « Fils de l'homme » pour se désigner lui-même.</w:t>
      </w:r>
    </w:p>
    <w:p>
      <w:pPr>
        <w:pStyle w:val="ListBullet"/>
        <w:spacing w:line="240" w:lineRule="auto"/>
        <w:ind w:left="720"/>
      </w:pPr>
      <w:r/>
      <w:r>
        <w:t>Sur la montagne où Jésus est transfiguré, une nuée lumineuse vient le couvrir, ainsi que Moïse et Élie qui sont avec lui. La voix de Dieu parle du ciel pour révéler la gloire de Jésus (</w:t>
      </w:r>
      <w:hyperlink r:id="rId2686">
        <w:r>
          <w:rPr>
            <w:color w:val="0000EE"/>
            <w:u w:val="single"/>
          </w:rPr>
          <w:t>Mt 17.5</w:t>
        </w:r>
      </w:hyperlink>
      <w:r>
        <w:t xml:space="preserve"> ; </w:t>
      </w:r>
      <w:hyperlink r:id="rId2889">
        <w:r>
          <w:rPr>
            <w:color w:val="0000EE"/>
            <w:u w:val="single"/>
          </w:rPr>
          <w:t>Mc 9.7</w:t>
        </w:r>
      </w:hyperlink>
      <w:r>
        <w:t xml:space="preserve"> ; </w:t>
      </w:r>
      <w:hyperlink r:id="rId2890">
        <w:r>
          <w:rPr>
            <w:color w:val="0000EE"/>
            <w:u w:val="single"/>
          </w:rPr>
          <w:t>Lc 9.34</w:t>
        </w:r>
      </w:hyperlink>
      <w:r>
        <w:t>).</w:t>
      </w:r>
    </w:p>
    <w:p>
      <w:pPr>
        <w:pStyle w:val="ListBullet"/>
        <w:spacing w:line="240" w:lineRule="auto"/>
        <w:ind w:left="720"/>
      </w:pPr>
      <w:r/>
      <w:r>
        <w:t>Lorsque Jésus repart au ciel après sa résurrection, il est enlevé dans une nuée. Des anges apparaissent pour rappeler aux apôtres sa promesse de revenir de la même manière (</w:t>
      </w:r>
      <w:hyperlink r:id="rId1325">
        <w:r>
          <w:rPr>
            <w:color w:val="0000EE"/>
            <w:u w:val="single"/>
          </w:rPr>
          <w:t>Ac 1.9–11</w:t>
        </w:r>
      </w:hyperlink>
      <w:r>
        <w:t xml:space="preserve"> ; voir </w:t>
      </w:r>
      <w:hyperlink r:id="rId2891">
        <w:r>
          <w:rPr>
            <w:color w:val="0000EE"/>
            <w:u w:val="single"/>
          </w:rPr>
          <w:t>Mt 24.30</w:t>
        </w:r>
      </w:hyperlink>
      <w:r>
        <w:t xml:space="preserve"> ; </w:t>
      </w:r>
      <w:hyperlink r:id="rId2892">
        <w:r>
          <w:rPr>
            <w:color w:val="0000EE"/>
            <w:u w:val="single"/>
          </w:rPr>
          <w:t>Mc 13.26</w:t>
        </w:r>
      </w:hyperlink>
      <w:r>
        <w:t xml:space="preserve"> ; </w:t>
      </w:r>
      <w:hyperlink r:id="rId2893">
        <w:r>
          <w:rPr>
            <w:color w:val="0000EE"/>
            <w:u w:val="single"/>
          </w:rPr>
          <w:t>Lc 21.27</w:t>
        </w:r>
      </w:hyperlink>
      <w:r>
        <w:t xml:space="preserve"> ; </w:t>
      </w:r>
      <w:hyperlink r:id="rId2894">
        <w:r>
          <w:rPr>
            <w:color w:val="0000EE"/>
            <w:u w:val="single"/>
          </w:rPr>
          <w:t>Ap 1.7</w:t>
        </w:r>
      </w:hyperlink>
      <w:r>
        <w:t>).</w:t>
      </w:r>
    </w:p>
    <w:p>
      <w:r/>
      <w:r>
        <w:rPr>
          <w:i/>
        </w:rPr>
        <w:t>Voir aussi</w:t>
      </w:r>
      <w:r>
        <w:t xml:space="preserve"> </w:t>
      </w:r>
      <w:r>
        <w:t>gloire</w:t>
      </w:r>
      <w:r>
        <w:t xml:space="preserve"> ; </w:t>
      </w:r>
      <w:r>
        <w:t>Shekinah</w:t>
      </w:r>
      <w:r>
        <w:t xml:space="preserve"> ; </w:t>
      </w:r>
      <w:r>
        <w:t>théophanie</w:t>
      </w:r>
      <w:r>
        <w:t>.</w:t>
      </w:r>
      <w:r/>
      <w:r/>
    </w:p>
    <w:p>
      <w:r/>
    </w:p>
    <w:p>
      <w:pPr>
        <w:pStyle w:val="Heading2"/>
      </w:pPr>
      <w:r>
        <w:t>Colosses</w:t>
      </w:r>
      <w:r/>
    </w:p>
    <w:p>
      <w:r/>
      <w:r>
        <w:t>Ville antique en Asie Mineure, située dans la partie sud-ouest de la Turquie actuelle, principalement connue pour la lettre que l'apôtre Paul a addressé à l'église de la ville (</w:t>
      </w:r>
      <w:hyperlink r:id="rId2895">
        <w:r>
          <w:rPr>
            <w:color w:val="0000EE"/>
            <w:u w:val="single"/>
          </w:rPr>
          <w:t>Col 1.2</w:t>
        </w:r>
      </w:hyperlink>
      <w:r>
        <w:t>). Colosses se trouvait près de la rivière Lycus, un affluent du Méandre. La ville a prospéré au cours du 6e siècle av. J.‑C. Selon Hérodote (un historien grec antique), lorsque le roi perse Xerxès est venu à Colosses, il s'agissait d'une ville de grande taille. Un autre historien grec, Xénophon, a rapporté que Cyrus le Grand, fondateur de l'Empire perse, était passé par Colosses encore plus tôt en route vers la Grèce.</w:t>
      </w:r>
    </w:p>
    <w:p>
      <w:r/>
      <w:r>
        <w:t xml:space="preserve">Colosses était située dans la région connue sous le nom de Phrygie et constituait un centre commercial à un carrefour sur la route principale d'Éphèse vers l'est. À l'époque romaine, le déplacement de la route vers le nord en direction de Pergame a entraîné à la fois la croissance de Laodicée, une ville située à 15 km de là, et le déclin progressif de Colosses. Colosses et Laodicée partageaient le commerce de la laine. Ainsi, le nom Colosses était dérivé du nom latin </w:t>
      </w:r>
      <w:r>
        <w:rPr>
          <w:i/>
        </w:rPr>
        <w:t>collossinus</w:t>
      </w:r>
      <w:r>
        <w:t>, signifiant « laine pourpre ».</w:t>
      </w:r>
    </w:p>
    <w:p>
      <w:r/>
      <w:r>
        <w:t>À l'époque de l'apôtre Paul, Colosses était une petite ville avec une population mixte de Phrygiens, de Grecs et de Juifs. Pendant son séjour prolongé à Éphèse, Paul a peut-être enseigné des Juifs et des Grecs qui vivaient à Colosses (</w:t>
      </w:r>
      <w:hyperlink r:id="rId1399">
        <w:r>
          <w:rPr>
            <w:color w:val="0000EE"/>
            <w:u w:val="single"/>
          </w:rPr>
          <w:t>Ac 19.10</w:t>
        </w:r>
      </w:hyperlink>
      <w:r>
        <w:t>). Épaphras, un Colossien, a rendu visite à Paul à Rome et l'a informé de l'état de l'église à Colosses (</w:t>
      </w:r>
      <w:hyperlink r:id="rId2896">
        <w:r>
          <w:rPr>
            <w:color w:val="0000EE"/>
            <w:u w:val="single"/>
          </w:rPr>
          <w:t>Col 1.7</w:t>
        </w:r>
      </w:hyperlink>
      <w:r>
        <w:t xml:space="preserve"> ; </w:t>
      </w:r>
      <w:hyperlink r:id="rId2897">
        <w:r>
          <w:rPr>
            <w:color w:val="0000EE"/>
            <w:u w:val="single"/>
          </w:rPr>
          <w:t>4.12</w:t>
        </w:r>
      </w:hyperlink>
      <w:r>
        <w:t>), avant d'être lui aussi emprisonné avec Paul (</w:t>
      </w:r>
      <w:hyperlink r:id="rId2898">
        <w:r>
          <w:rPr>
            <w:color w:val="0000EE"/>
            <w:u w:val="single"/>
          </w:rPr>
          <w:t>Phm 1.23</w:t>
        </w:r>
      </w:hyperlink>
      <w:r>
        <w:t>). D'autres membres de l'Église de Colosses comprenaient Philémon, Apphia, Archippe et Onésime, un esclave devenu chrétien (</w:t>
      </w:r>
      <w:hyperlink r:id="rId2312">
        <w:r>
          <w:rPr>
            <w:color w:val="0000EE"/>
            <w:u w:val="single"/>
          </w:rPr>
          <w:t>Phm 1.16</w:t>
        </w:r>
      </w:hyperlink>
      <w:r>
        <w:t>). L'histoire ne nous dit rien de plus sur l'Église de Colosses. La ville a été affaiblie sous la domination islamique et a finalement été détruite au 7e siècle.</w:t>
      </w:r>
      <w:r/>
      <w:r/>
    </w:p>
    <w:p>
      <w:r/>
    </w:p>
    <w:p>
      <w:pPr>
        <w:pStyle w:val="Heading2"/>
      </w:pPr>
      <w:r>
        <w:t>Colossiens, Lettre aux</w:t>
      </w:r>
      <w:r/>
    </w:p>
    <w:p>
      <w:r/>
      <w:r>
        <w:t>Épître du Nouveau Testament, l'une des quatre « lettres de la captivité » attribuées à l'apôtre Paul. Comme pour Éphésiens, Philippiens et Philémon, Paul déclare qu'il est en prison lorsqu'il écrit Colossiens (</w:t>
      </w:r>
      <w:hyperlink r:id="rId2899">
        <w:r>
          <w:rPr>
            <w:color w:val="0000EE"/>
            <w:u w:val="single"/>
          </w:rPr>
          <w:t>Col 4.3, 10</w:t>
        </w:r>
      </w:hyperlink>
      <w:r>
        <w:t xml:space="preserve"> ; voir </w:t>
      </w:r>
      <w:hyperlink r:id="rId2900">
        <w:r>
          <w:rPr>
            <w:color w:val="0000EE"/>
            <w:u w:val="single"/>
          </w:rPr>
          <w:t>Ep 3.1</w:t>
        </w:r>
      </w:hyperlink>
      <w:r>
        <w:t xml:space="preserve"> ; </w:t>
      </w:r>
      <w:hyperlink r:id="rId2901">
        <w:r>
          <w:rPr>
            <w:color w:val="0000EE"/>
            <w:u w:val="single"/>
          </w:rPr>
          <w:t>4.1</w:t>
        </w:r>
      </w:hyperlink>
      <w:r>
        <w:t xml:space="preserve"> ; </w:t>
      </w:r>
      <w:hyperlink r:id="rId2902">
        <w:r>
          <w:rPr>
            <w:color w:val="0000EE"/>
            <w:u w:val="single"/>
          </w:rPr>
          <w:t>6.20</w:t>
        </w:r>
      </w:hyperlink>
      <w:r>
        <w:t xml:space="preserve"> ; </w:t>
      </w:r>
      <w:hyperlink r:id="rId2903">
        <w:r>
          <w:rPr>
            <w:color w:val="0000EE"/>
            <w:u w:val="single"/>
          </w:rPr>
          <w:t>Ph 1.12–14</w:t>
        </w:r>
      </w:hyperlink>
      <w:r>
        <w:t xml:space="preserve"> ; </w:t>
      </w:r>
      <w:hyperlink r:id="rId2904">
        <w:r>
          <w:rPr>
            <w:color w:val="0000EE"/>
            <w:u w:val="single"/>
          </w:rPr>
          <w:t>Phm 1.9–10</w:t>
        </w:r>
      </w:hyperlink>
      <w:r>
        <w:t>). Il a envoyé trois des lettres aux Églises en Asie Mineure et les a confiées à son collègue, Tychique (</w:t>
      </w:r>
      <w:hyperlink r:id="rId2905">
        <w:r>
          <w:rPr>
            <w:color w:val="0000EE"/>
            <w:u w:val="single"/>
          </w:rPr>
          <w:t>Col 4.7–9</w:t>
        </w:r>
      </w:hyperlink>
      <w:r>
        <w:t xml:space="preserve"> ; </w:t>
      </w:r>
      <w:hyperlink r:id="rId2906">
        <w:r>
          <w:rPr>
            <w:color w:val="0000EE"/>
            <w:u w:val="single"/>
          </w:rPr>
          <w:t>Ep 6.21–22</w:t>
        </w:r>
      </w:hyperlink>
      <w:r>
        <w:t>). Cela semble indiquer qu'il les a écrites à peu près au même moment et que Tychique les a livrées.</w:t>
      </w:r>
    </w:p>
    <w:p>
      <w:r/>
      <w:r>
        <w:t>Survol</w:t>
      </w:r>
    </w:p>
    <w:p>
      <w:r/>
      <w:r>
        <w:t>•</w:t>
      </w:r>
      <w:r>
        <w:rPr>
          <w:b/>
          <w:u w:val="single"/>
        </w:rPr>
        <w:t xml:space="preserve"> Auteur</w:t>
      </w:r>
    </w:p>
    <w:p>
      <w:r/>
      <w:r>
        <w:t xml:space="preserve">• </w:t>
      </w:r>
      <w:r>
        <w:rPr>
          <w:b/>
          <w:u w:val="single"/>
        </w:rPr>
        <w:t>Date, origine et destinataires</w:t>
      </w:r>
    </w:p>
    <w:p>
      <w:r/>
      <w:r>
        <w:t xml:space="preserve">• </w:t>
      </w:r>
      <w:r>
        <w:rPr>
          <w:b/>
          <w:u w:val="single"/>
        </w:rPr>
        <w:t>Contexte</w:t>
      </w:r>
    </w:p>
    <w:p>
      <w:r/>
      <w:r>
        <w:t xml:space="preserve">• </w:t>
      </w:r>
      <w:r>
        <w:rPr>
          <w:b/>
          <w:u w:val="single"/>
        </w:rPr>
        <w:t>Objectif et enseignement</w:t>
      </w:r>
    </w:p>
    <w:p>
      <w:r/>
      <w:r>
        <w:t xml:space="preserve">• </w:t>
      </w:r>
      <w:r>
        <w:rPr>
          <w:b/>
          <w:u w:val="single"/>
        </w:rPr>
        <w:t>Contenu</w:t>
      </w:r>
    </w:p>
    <w:p>
      <w:pPr>
        <w:pStyle w:val="Heading3"/>
      </w:pPr>
      <w:r>
        <w:t>Auteur</w:t>
      </w:r>
    </w:p>
    <w:p>
      <w:r/>
      <w:r>
        <w:t>Bien que la tradition selon laquelle Paul a écrit Colossiens repose sur des bases solides, de nombreux chercheurs débattent aujourd'hui pour savoir qui en est son auteur. Les raisons de leurs doutes se divisent en deux grandes catégories : la théologie et le style.</w:t>
      </w:r>
    </w:p>
    <w:p>
      <w:r/>
      <w:r>
        <w:t xml:space="preserve">Tout d'abord, certains érudits remettent en question l'attribution à Paul pour des raisons théologiques. Le développement de certains thèmes théologiques majeurs dans Colossiens diffère de la manière dont ils sont présentés dans les lettres incontestées de Paul. Dans Colossiens, la doctrine de Christ est développée sur la base d'un hymne concernant Christ en </w:t>
      </w:r>
      <w:hyperlink r:id="rId2907">
        <w:r>
          <w:rPr>
            <w:color w:val="0000EE"/>
            <w:u w:val="single"/>
          </w:rPr>
          <w:t>1.15–20</w:t>
        </w:r>
      </w:hyperlink>
      <w:r>
        <w:t>. Il y est vu comme le « premier-né de toute la création » ; toutes choses lui doivent à la fois leur origine et leur existence continue. En lui réside toute la plénitude de la divinité. Sa mort est interprétée non pas comme une victoire sur le péché, la loi et la mort, mais comme un triomphe sur les autorités et puissances cosmiques.</w:t>
      </w:r>
    </w:p>
    <w:p>
      <w:r/>
      <w:r>
        <w:t>Pour certains chercheurs, cela suggère que la christologie dans Colossiens est beaucoup plus « exaltée » que dans n'importe laquelle des lettres incontestées. Pourtant, Paul considérait typiquement Christ comme hautement exalté. Il a déclaré que Christ est le créateur de toutes choses (</w:t>
      </w:r>
      <w:hyperlink r:id="rId2908">
        <w:r>
          <w:rPr>
            <w:color w:val="0000EE"/>
            <w:u w:val="single"/>
          </w:rPr>
          <w:t>1Co 8.6</w:t>
        </w:r>
      </w:hyperlink>
      <w:r>
        <w:t>) et a établi sa seigneurie sur tout l'ordre cosmique en citant un autre hymne (</w:t>
      </w:r>
      <w:hyperlink r:id="rId2909">
        <w:r>
          <w:rPr>
            <w:color w:val="0000EE"/>
            <w:u w:val="single"/>
          </w:rPr>
          <w:t>Ph 2.6–11</w:t>
        </w:r>
      </w:hyperlink>
      <w:r>
        <w:t>). De plus, le genre de déclarations faites à propos de Christ dans Colossiens était exigé par la situation qui s'était développée dans la ville de Colosses. L'hérésie qui avait pénétré dans l'assemblée nécessitait de telles déclarations.</w:t>
      </w:r>
    </w:p>
    <w:p>
      <w:r/>
      <w:r>
        <w:t xml:space="preserve">Colossiens semble également enseigner des doctrines sur « les choses dernières » et le baptême qui diffèrent quelque peu des doctrines dans les lettres incontestées. Dans Corinthiens, Paul a basé son enseignement sur les choses de la fin des temps sur la doctrine juive des « deux âges ». Le judaïsme enseignait que dans « cet âge », le monde se trouve sous la tyrannie des puissances maléfiques, mais que dans « l'âge à venir », Dieu le libérerait. L'enseignement de Paul quant à lui était unique, affirmant que l'âge à venir était déjà arrivé avec l'avènement de Christ ; bien que pas dans sa plénitude. Paul voyait le temps entre le premier et le second avènement de Christ comme une période de conflit. Il faut que Christ « </w:t>
      </w:r>
      <w:r>
        <w:t>règne jusqu’à ce qu’il ait mis tous les ennemis sous ses pieds</w:t>
      </w:r>
      <w:r>
        <w:t xml:space="preserve"> » (</w:t>
      </w:r>
      <w:hyperlink r:id="rId2523">
        <w:r>
          <w:rPr>
            <w:color w:val="0000EE"/>
            <w:u w:val="single"/>
          </w:rPr>
          <w:t>1Co 15.25</w:t>
        </w:r>
      </w:hyperlink>
      <w:r>
        <w:t xml:space="preserve">). Par sa mission, Christ libère l'âge présent des puissances maléfiques, mais le conflit ne se terminera qu'à son second avènement. Par conséquent, les chrétiens vivent dans l'espérance de son apparition future. Cet élément futur d'espérance n'est pas souligné dans Colossiens (voir cependant </w:t>
      </w:r>
      <w:hyperlink r:id="rId2910">
        <w:r>
          <w:rPr>
            <w:color w:val="0000EE"/>
            <w:u w:val="single"/>
          </w:rPr>
          <w:t>3.1–4</w:t>
        </w:r>
      </w:hyperlink>
      <w:r>
        <w:t>) ; l'accent est mis, plutôt, sur une espérance déjà présente au ciel (</w:t>
      </w:r>
      <w:hyperlink r:id="rId2911">
        <w:r>
          <w:rPr>
            <w:color w:val="0000EE"/>
            <w:u w:val="single"/>
          </w:rPr>
          <w:t>1.5</w:t>
        </w:r>
      </w:hyperlink>
      <w:r>
        <w:t>).</w:t>
      </w:r>
    </w:p>
    <w:p>
      <w:r/>
      <w:r>
        <w:t>La doctrine du baptême dans Colossiens a été influencée par l'accent mis sur l'aspect déjà réalisé de l'espérance. Dans sa Lettre aux Romains, Paul a enseigné que les chrétiens baptisés vivent par la foi au Seigneur ressuscité et sont remplis d'espérance pour leur résurrection future (</w:t>
      </w:r>
      <w:hyperlink r:id="rId2912">
        <w:r>
          <w:rPr>
            <w:color w:val="0000EE"/>
            <w:u w:val="single"/>
          </w:rPr>
          <w:t>Rm 6.1–11</w:t>
        </w:r>
      </w:hyperlink>
      <w:r>
        <w:t>). Dans Colossiens, il a déclaré que les croyants baptisés non seulement sont morts avec Christ, mais ont déjà été ressuscités avec lui (</w:t>
      </w:r>
      <w:hyperlink r:id="rId2913">
        <w:r>
          <w:rPr>
            <w:color w:val="0000EE"/>
            <w:u w:val="single"/>
          </w:rPr>
          <w:t>Col 2.12–13</w:t>
        </w:r>
      </w:hyperlink>
      <w:r>
        <w:t xml:space="preserve"> ; </w:t>
      </w:r>
      <w:hyperlink r:id="rId2698">
        <w:r>
          <w:rPr>
            <w:color w:val="0000EE"/>
            <w:u w:val="single"/>
          </w:rPr>
          <w:t>3.1</w:t>
        </w:r>
      </w:hyperlink>
      <w:r>
        <w:t>). L'espérance pour l'avenir n'est pas pour la résurrection mais pour la manifestation de la vie qui est déjà cachée avec Christ en Dieu (</w:t>
      </w:r>
      <w:hyperlink r:id="rId2914">
        <w:r>
          <w:rPr>
            <w:color w:val="0000EE"/>
            <w:u w:val="single"/>
          </w:rPr>
          <w:t>3.2–3</w:t>
        </w:r>
      </w:hyperlink>
      <w:r>
        <w:t>). De plus, dans Romains, Paul déclare que dans le baptême, les chrétiens sont morts au péché, et n'ont donc plus besoin de le servir. Colossiens, lui, déclare qu'en Christ, les chrétiens sont morts à ce qui peut littéralement être traduit par les « rudiments de l'univers » (</w:t>
      </w:r>
      <w:hyperlink r:id="rId2915">
        <w:r>
          <w:rPr>
            <w:color w:val="0000EE"/>
            <w:u w:val="single"/>
          </w:rPr>
          <w:t>2.20</w:t>
        </w:r>
      </w:hyperlink>
      <w:r>
        <w:t xml:space="preserve">). Beaucoup interprètent cette phrase comme signifiant l'enseignement religieux de base du monde. Dans Colossiens, cependant, un argument solide peut être avancé pour voir dans cette expression le sens de « </w:t>
      </w:r>
      <w:r>
        <w:t>forces [spirituelles] qui gouvernent le monde</w:t>
      </w:r>
      <w:r>
        <w:t xml:space="preserve"> » (NFC). Dans les deux cas, l'accent, sinon le sens, diffère de Romains.</w:t>
      </w:r>
    </w:p>
    <w:p>
      <w:r/>
      <w:r>
        <w:t>De telles questions théologiques ont conduit beaucoup à croire que Paul n'aurait pas pu écrire la Lettre aux Colossiens. Ils voient la lettre comme le produit d'un disciple de Paul qui l'aurait écrite à une époque ultérieure. Il convient de noter, cependant, que les différences sont des questions de perspective ou d'accent, et non des différences qui constitueraient une contradiction.</w:t>
      </w:r>
    </w:p>
    <w:p>
      <w:r/>
      <w:r>
        <w:t>La deuxième raison de remettre en question la paternité de Paul pour l'épître aux Colossiens est littéraire, pour des questions de vocabulaire et de style. Cette brève lettre emploie trente-quatre mots qui n'apparaissent nulle part ailleurs dans le Nouveau Testament. De plus, des termes couramment utilisés par Paul sont absents de passages où ils pourraient logiquement être attendus. En outre, le style de la lettre, bien que similaire à celui d'Éphésiens, diffère notablement des autres lettres incontestées de Paul. Dans ces lettres, les pensées sont généralement développées dans un style argumentatif similaire aux débats des scribes juifs. Colossiens se distingue par des caractéristiques stylistiques que l'on trouve dans les hymnes, les liturgies et les premiers catéchismes juifs et chrétiens. Cependant, certaines différences évidentes dans la perspective théologique et le style littéraire ne forcent pas à conclure que quelqu'un d'autre que Paul a écrit Colossiens.</w:t>
      </w:r>
    </w:p>
    <w:p>
      <w:pPr>
        <w:pStyle w:val="Heading3"/>
      </w:pPr>
      <w:r>
        <w:t>Date, origine et destinataires</w:t>
      </w:r>
    </w:p>
    <w:p>
      <w:r/>
      <w:r>
        <w:t>La date de la lettre aux Colossiens dépend de l'endroit où Paul était emprisonné lorsqu'il l'a écrite. Traditionnellement, les experts ont soutenu que les quatre « lettres de la captivité » provenaient de Rome. Si c'est le cas, Paul les aurait écrites entre 60 et 62 ap. J.‑C.</w:t>
      </w:r>
    </w:p>
    <w:p>
      <w:r/>
      <w:r>
        <w:t>Le livre des Actes indique trois endroits où Paul a été emprisonné : Philippes, Césarée et Rome. Paul, écrivant 2 Corinthiens avant l'un de ces deux derniers emprisonnements, a suggéré qu'il avait déjà été en prison de nombreuses fois (</w:t>
      </w:r>
      <w:hyperlink r:id="rId2916">
        <w:r>
          <w:rPr>
            <w:color w:val="0000EE"/>
            <w:u w:val="single"/>
          </w:rPr>
          <w:t>2Co 11.23</w:t>
        </w:r>
      </w:hyperlink>
      <w:r>
        <w:t xml:space="preserve">). Éphèse est un lieu probable pour l'un de ces emprisonnements (voir </w:t>
      </w:r>
      <w:hyperlink r:id="rId2917">
        <w:r>
          <w:rPr>
            <w:color w:val="0000EE"/>
            <w:u w:val="single"/>
          </w:rPr>
          <w:t>Ac 19–20</w:t>
        </w:r>
      </w:hyperlink>
      <w:r>
        <w:t xml:space="preserve"> ; </w:t>
      </w:r>
      <w:hyperlink r:id="rId2918">
        <w:r>
          <w:rPr>
            <w:color w:val="0000EE"/>
            <w:u w:val="single"/>
          </w:rPr>
          <w:t>1Co 15.32</w:t>
        </w:r>
      </w:hyperlink>
      <w:r>
        <w:t xml:space="preserve"> ; </w:t>
      </w:r>
      <w:hyperlink r:id="rId2919">
        <w:r>
          <w:rPr>
            <w:color w:val="0000EE"/>
            <w:u w:val="single"/>
          </w:rPr>
          <w:t>2Co 1.8–10</w:t>
        </w:r>
      </w:hyperlink>
      <w:r>
        <w:t>). Par conséquent, un nombre croissant d'experts nomment cette ville comme le lieu probable où Paul se trouve en prison pour écrire ces lettres. Si cela est correct, Paul a écrit Colossiens entre 52 et 55 ap. J.‑C. Mais le consensus général est que toutes les épîtres de la captivité ont été écrites à Rome, conduisant ainsi à une datation de 60–62 ap. J.‑C.</w:t>
      </w:r>
    </w:p>
    <w:p>
      <w:pPr>
        <w:pStyle w:val="Heading3"/>
      </w:pPr>
      <w:r>
        <w:t>Contexte</w:t>
      </w:r>
    </w:p>
    <w:p>
      <w:r/>
      <w:r>
        <w:t>Identifier l'enseignement qui mettait en danger l'Église de Colosse est une tâche difficile. Le problème n'est pas le manque de données, mais plutôt l'inverse. La recherche historique a révélé une abondance d'informations sur les croyances et pratiques religieuses qui proliféraient dans le monde romain du 1er siècle. L'Asie Mineure était une région particulièrement fertile pour les religions. Beaucoup de gens appartenaient même à plus d'une secte religieuse, et il était courant de sélectionner des idées et pratiques de plusieurs religions. Les chrétiens n'étaient pas exempts de ces tendances.</w:t>
      </w:r>
    </w:p>
    <w:p>
      <w:pPr>
        <w:pStyle w:val="Heading4"/>
      </w:pPr>
      <w:r>
        <w:t>Hérésie colossienne</w:t>
      </w:r>
    </w:p>
    <w:p>
      <w:r/>
      <w:r>
        <w:t>Paul n'a pas fourni de définition formelle de l'hérésie chrétienne à Colosses. Au lieu de cela, il a abordé plusieurs problèmes sans les identifier précisément. Cependant, si l'on ne reçoit que les réponses à certaines questions, il peut être possible de recréer ces questions à partir des réponses. Le lecteur de Colossiens doit essayer de comprendre quel était l'enseignement erroné en se basant sur la réponse de Paul à ces questions.</w:t>
      </w:r>
    </w:p>
    <w:p>
      <w:r/>
      <w:r>
        <w:t>Certains experts ont conclu que l'hérésie est née du dualisme chair-esprit, devenu caractéristique du gnosticisme grec et oriental ultérieur. Les gnostiques ultérieurs enseignaient que l'ordre matériel des choses est mauvais, donc seul ce qui est exempt de matière est bon. D'autres experts, notant les injonctions de Paul contre certaines lois alimentaires, festivals, sabbats et circoncision externe, ont conclu que le faux enseignement provenait de croyances juives. Puisque la tendance à mélanger une variété d'idées était si répandue, les deux théories sont probablement vraies.</w:t>
      </w:r>
    </w:p>
    <w:p>
      <w:r/>
      <w:r>
        <w:t>Paul considérait l'enseignement hérétique comme une « philosophie » basée sur la tradition humaine (</w:t>
      </w:r>
      <w:hyperlink r:id="rId2920">
        <w:r>
          <w:rPr>
            <w:color w:val="0000EE"/>
            <w:u w:val="single"/>
          </w:rPr>
          <w:t>2.8</w:t>
        </w:r>
      </w:hyperlink>
      <w:r>
        <w:t>). Sa prière pour les Colossiens (</w:t>
      </w:r>
      <w:hyperlink r:id="rId2921">
        <w:r>
          <w:rPr>
            <w:color w:val="0000EE"/>
            <w:u w:val="single"/>
          </w:rPr>
          <w:t>1.9–11</w:t>
        </w:r>
      </w:hyperlink>
      <w:r>
        <w:t>) et certaines autres remarques (</w:t>
      </w:r>
      <w:hyperlink r:id="rId2922">
        <w:r>
          <w:rPr>
            <w:color w:val="0000EE"/>
            <w:u w:val="single"/>
          </w:rPr>
          <w:t>1.26–28</w:t>
        </w:r>
      </w:hyperlink>
      <w:r>
        <w:t xml:space="preserve"> ; </w:t>
      </w:r>
      <w:hyperlink r:id="rId2923">
        <w:r>
          <w:rPr>
            <w:color w:val="0000EE"/>
            <w:u w:val="single"/>
          </w:rPr>
          <w:t>2.2–3</w:t>
        </w:r>
      </w:hyperlink>
      <w:r>
        <w:t xml:space="preserve">) suggèrent qu'il s'opposait à l'idée que, pour certaines personnes, la « philosophie » menait à une compréhension spéciale, peut-être magique. Cette philosophie était basée sur les « rudiments du monde ». Cette phrase est ouverte à deux principales interprétations. Premièrement, le sens fondamental de « rudiments » est « objets qui se tiennent en rang ou en série », comme les lettres de l'alphabet. Cela peut facilement être étendu pour signifier des principes rudimentaires ou un enseignement de base. Tel est le sens dans </w:t>
      </w:r>
      <w:hyperlink r:id="rId2924">
        <w:r>
          <w:rPr>
            <w:color w:val="0000EE"/>
            <w:u w:val="single"/>
          </w:rPr>
          <w:t>Hébreux 5.12</w:t>
        </w:r>
      </w:hyperlink>
      <w:r>
        <w:t>, où le terme se réfère aux « premiers principes » de la Parole de Dieu. Deuxièmement, les Grecs appliquaient la phrase aux quatre substances physiques qu'ils pensaient constituer le monde : la terre, l'eau, le feu et l'air.</w:t>
      </w:r>
    </w:p>
    <w:p>
      <w:r/>
      <w:r>
        <w:t>Un texte grec du 1er siècle av. J.‑C., se référant aux adeptes du philosophe Pythagore, utilise plusieurs des mêmes mots que Paul a appliqués à l'hérésie colossienne. Un messager des dieux les plus élevés transporte l'âme à travers tous les éléments du monde, du plus bas de la terre et de l'eau au plus haut. Si l'âme est pure, elle reste dans l'élément le plus élevé. Sinon, elle est renvoyée aux éléments inférieurs. La pureté requise est atteinte par l'abnégation et certaines observances cultuelles. L'air supérieur contient le soleil, la lune et les étoiles, considérés comme des dieux qui contrôlent les destinées humaines. De plus, l'atmosphère autour de la terre est remplie de puissances spirituelles qui doivent être vénérées. Ainsi, les éléments du monde deviennent associés aux dieux et aux puissances spirituelles qui tiennent tous les gens captifs et déterminent leur destin. Avec l'aide de connaissances magiques et de cérémonies cultuelles, les êtres humains pouvaient non seulement échapper au destin imposé par les puissances spirituelles, mais même les manipuler à leur avantage.</w:t>
      </w:r>
    </w:p>
    <w:p>
      <w:r/>
      <w:r>
        <w:t>Pour résumer, l'expression « rudiments du monde » peut se référer soit à un enseignement religieux de base, soit aux puissances spirituelles de l'univers. Les déclarations dans Colossiens rendent le dernier sens probable. Par sa croix, Christ a triomphé des dirigeants et des autorités et les a publiquement exposés (</w:t>
      </w:r>
      <w:hyperlink r:id="rId2925">
        <w:r>
          <w:rPr>
            <w:color w:val="0000EE"/>
            <w:u w:val="single"/>
          </w:rPr>
          <w:t>2.15</w:t>
        </w:r>
      </w:hyperlink>
      <w:r>
        <w:t>). Ils ne gouvernent pas l'ordre mondial ; c'est lui qui règne (</w:t>
      </w:r>
      <w:hyperlink r:id="rId2926">
        <w:r>
          <w:rPr>
            <w:color w:val="0000EE"/>
            <w:u w:val="single"/>
          </w:rPr>
          <w:t>1.16–20</w:t>
        </w:r>
      </w:hyperlink>
      <w:r>
        <w:t>). La « plénitude » divine réside en Christ, non pas dans une divinité éloignée (</w:t>
      </w:r>
      <w:hyperlink r:id="rId2927">
        <w:r>
          <w:rPr>
            <w:color w:val="0000EE"/>
            <w:u w:val="single"/>
          </w:rPr>
          <w:t>1.19</w:t>
        </w:r>
      </w:hyperlink>
      <w:r>
        <w:t xml:space="preserve"> ; </w:t>
      </w:r>
      <w:hyperlink r:id="rId2928">
        <w:r>
          <w:rPr>
            <w:color w:val="0000EE"/>
            <w:u w:val="single"/>
          </w:rPr>
          <w:t>2.9</w:t>
        </w:r>
      </w:hyperlink>
      <w:r>
        <w:t>). Les puissances spirituelles sont sous l'autorité de Christ (</w:t>
      </w:r>
      <w:hyperlink r:id="rId2929">
        <w:r>
          <w:rPr>
            <w:color w:val="0000EE"/>
            <w:u w:val="single"/>
          </w:rPr>
          <w:t>2.10</w:t>
        </w:r>
      </w:hyperlink>
      <w:r>
        <w:t>) et c'est à lui qu'ils doivent leur existence (</w:t>
      </w:r>
      <w:hyperlink r:id="rId934">
        <w:r>
          <w:rPr>
            <w:color w:val="0000EE"/>
            <w:u w:val="single"/>
          </w:rPr>
          <w:t>1.16</w:t>
        </w:r>
      </w:hyperlink>
      <w:r>
        <w:t>). Le « culte des anges » (une pratique incluant probablement l'hommage rendu aux puissances célestes) est si erroné qu'il peut avoir des conséquences désastreuses (</w:t>
      </w:r>
      <w:hyperlink r:id="rId939">
        <w:r>
          <w:rPr>
            <w:color w:val="0000EE"/>
            <w:u w:val="single"/>
          </w:rPr>
          <w:t>2.18</w:t>
        </w:r>
      </w:hyperlink>
      <w:r>
        <w:t>).</w:t>
      </w:r>
    </w:p>
    <w:p>
      <w:pPr>
        <w:pStyle w:val="Heading4"/>
      </w:pPr>
      <w:r>
        <w:t>Principales caractéristiques de l'hérésie</w:t>
      </w:r>
    </w:p>
    <w:p>
      <w:r/>
      <w:r>
        <w:t>Un dogme majeur de la philosophie colossienne semble avoir affirmé que Dieu était distant et inaccessible. Deux facteurs vont dans ce sens. Premièrement, la fascination pour les anges et les puissances spirituelles discutée précédemment semble indiquer que le Dieu distant n'était accessible qu'à travers une longue chaîne d'intermédiaires. Christ semble avoir été considéré comme l'un d'eux, peut-être intronisé au-dessus d'eux. Deuxièmement, la philosophie adhérait manifestement à un dualisme qui séparait le Dieu suprême de la création. Pour l'approcher, les personnes qui voulaient entrer dans une démarche spirituelle devaient d'abord être délivrés de l'influence maléfique de l'ordre matériel.</w:t>
      </w:r>
    </w:p>
    <w:p>
      <w:r/>
      <w:r>
        <w:t>Comment les êtres humains pouvaient-ils court-circuiter ou manipuler les pouvoirs stellaires angéliques qui les empêchaient d'atteindre le Dieu suprême ? Comment pouvaient-ils être délivrés du pouvoir asservissant de la matière ? La philosophie offrait manifestement la sagesse magique et l'intuition comme réponse. En adorant les anges et en observant des jours spéciaux et des pratiques cultuelles (</w:t>
      </w:r>
      <w:hyperlink r:id="rId2930">
        <w:r>
          <w:rPr>
            <w:color w:val="0000EE"/>
            <w:u w:val="single"/>
          </w:rPr>
          <w:t>2.16–18</w:t>
        </w:r>
      </w:hyperlink>
      <w:r>
        <w:t>), les personnes en recherche spirituelle pouvaient apaiser ou plaire aux intermédiaires et accéder à la « plénitude » divine. Par l'auto-abaissement volontaire, l'abnégation et l'accomplissement de visions (</w:t>
      </w:r>
      <w:hyperlink r:id="rId2931">
        <w:r>
          <w:rPr>
            <w:color w:val="0000EE"/>
            <w:u w:val="single"/>
          </w:rPr>
          <w:t>2.18, 21–23</w:t>
        </w:r>
      </w:hyperlink>
      <w:r>
        <w:t xml:space="preserve">), ils pouvaient échapper à l'attraction de l'ordre matériel. La pratique de l'abnégation par l'abstinence de nourriture et possiblement de relations sexuelles (« ne touche pas » dans </w:t>
      </w:r>
      <w:hyperlink r:id="rId2932">
        <w:r>
          <w:rPr>
            <w:color w:val="0000EE"/>
            <w:u w:val="single"/>
          </w:rPr>
          <w:t>2.21</w:t>
        </w:r>
      </w:hyperlink>
      <w:r>
        <w:t>) semble avoir été limitée à des saisons spéciales pour atteindre la « vision » de Dieu. Sinon, la philosophie semble avoir permis la liberté de s'engager dans des pratiques libertines (</w:t>
      </w:r>
      <w:hyperlink r:id="rId2933">
        <w:r>
          <w:rPr>
            <w:color w:val="0000EE"/>
            <w:u w:val="single"/>
          </w:rPr>
          <w:t>3.5–11</w:t>
        </w:r>
      </w:hyperlink>
      <w:r>
        <w:t>).</w:t>
      </w:r>
    </w:p>
    <w:p>
      <w:pPr>
        <w:pStyle w:val="Heading3"/>
      </w:pPr>
      <w:r>
        <w:t>Objectif et enseignement</w:t>
      </w:r>
    </w:p>
    <w:p>
      <w:r/>
      <w:r>
        <w:t xml:space="preserve">Un avertissement dans </w:t>
      </w:r>
      <w:hyperlink r:id="rId2920">
        <w:r>
          <w:rPr>
            <w:color w:val="0000EE"/>
            <w:u w:val="single"/>
          </w:rPr>
          <w:t>Colossiens 2.8</w:t>
        </w:r>
      </w:hyperlink>
      <w:r>
        <w:t xml:space="preserve"> souligne le but principal de la lettre aux Colossiens. Les lecteurs sont exhortés à ne pas suivre quiconque « </w:t>
      </w:r>
      <w:r>
        <w:t>fasse de vous sa proie par la philosophie et par une vaine tromperie, s’appuyant sur la tradition des hommes, sur les rudiments du monde, et non sur Christ</w:t>
      </w:r>
      <w:r>
        <w:t xml:space="preserve"> ». Un faux enseignement s'installait et menaçait la santé de l'assemblée, alors Paul a écrit aux Colossiens pour le contrer.</w:t>
      </w:r>
    </w:p>
    <w:p>
      <w:r/>
      <w:r>
        <w:t>Paul a abordé l'hérésie en contrastant ses enseignements avec l'enseignement correct que ses lecteurs avaient reçu dans les traditions précédemment transmises, probablement par Épaphras (</w:t>
      </w:r>
      <w:hyperlink r:id="rId2896">
        <w:r>
          <w:rPr>
            <w:color w:val="0000EE"/>
            <w:u w:val="single"/>
          </w:rPr>
          <w:t>1.7</w:t>
        </w:r>
      </w:hyperlink>
      <w:r>
        <w:t xml:space="preserve"> ; </w:t>
      </w:r>
      <w:hyperlink r:id="rId2934">
        <w:r>
          <w:rPr>
            <w:color w:val="0000EE"/>
            <w:u w:val="single"/>
          </w:rPr>
          <w:t>4.12–13</w:t>
        </w:r>
      </w:hyperlink>
      <w:r>
        <w:t>). Dieu, par Christ, les avait qualifiés pour être exclusivement son propre peuple, son Église (</w:t>
      </w:r>
      <w:hyperlink r:id="rId2935">
        <w:r>
          <w:rPr>
            <w:color w:val="0000EE"/>
            <w:u w:val="single"/>
          </w:rPr>
          <w:t>1.12–14</w:t>
        </w:r>
      </w:hyperlink>
      <w:r>
        <w:t>). Les partisans du faux enseignement menaçaient de disqualifier les Colossiens de cette position privilégiée en les persuadant de ne pas rester attachés à Christ, le Chef de l'Église (</w:t>
      </w:r>
      <w:hyperlink r:id="rId2936">
        <w:r>
          <w:rPr>
            <w:color w:val="0000EE"/>
            <w:u w:val="single"/>
          </w:rPr>
          <w:t>2.18–19</w:t>
        </w:r>
      </w:hyperlink>
      <w:r>
        <w:t>). Par conséquent, les traditions citées par Paul enseignent principalement Christ ou l'Église. Les premières sont principalement liées à l'impressionnant hymne concernant Christ (</w:t>
      </w:r>
      <w:hyperlink r:id="rId2907">
        <w:r>
          <w:rPr>
            <w:color w:val="0000EE"/>
            <w:u w:val="single"/>
          </w:rPr>
          <w:t>1.15–20</w:t>
        </w:r>
      </w:hyperlink>
      <w:r>
        <w:t xml:space="preserve"> ; mentionné à nouveau dans </w:t>
      </w:r>
      <w:hyperlink r:id="rId2937">
        <w:r>
          <w:rPr>
            <w:color w:val="0000EE"/>
            <w:u w:val="single"/>
          </w:rPr>
          <w:t>2.9–10</w:t>
        </w:r>
      </w:hyperlink>
      <w:r>
        <w:t>), les dernières principalement associées au baptême.</w:t>
      </w:r>
    </w:p>
    <w:p>
      <w:pPr>
        <w:pStyle w:val="Heading4"/>
      </w:pPr>
      <w:r>
        <w:t>Christ</w:t>
      </w:r>
    </w:p>
    <w:p>
      <w:r/>
      <w:r>
        <w:t xml:space="preserve">Dans </w:t>
      </w:r>
      <w:hyperlink r:id="rId2907">
        <w:r>
          <w:rPr>
            <w:color w:val="0000EE"/>
            <w:u w:val="single"/>
          </w:rPr>
          <w:t>1.15–20</w:t>
        </w:r>
      </w:hyperlink>
      <w:r>
        <w:t>, Christ est célébré comme le Créateur préexistant de tout et comme le Rédempteur divin de tous. Ce « tout » a des dimensions cosmiques. Il inclut la terre et les cieux, le visible et l'invisible, l'Église et les puissances universelles. Toutes choses, y compris les puissances célestes, doivent leur existence, leur subsistance et leur destinée à Christ. Il ne doit pas être considéré comme l'un des médiateurs célestes. Il est le prééminent en qui habite toute la plénitude de Dieu (</w:t>
      </w:r>
      <w:hyperlink r:id="rId2927">
        <w:r>
          <w:rPr>
            <w:color w:val="0000EE"/>
            <w:u w:val="single"/>
          </w:rPr>
          <w:t>1.19</w:t>
        </w:r>
      </w:hyperlink>
      <w:r>
        <w:t xml:space="preserve">; </w:t>
      </w:r>
      <w:hyperlink r:id="rId2928">
        <w:r>
          <w:rPr>
            <w:color w:val="0000EE"/>
            <w:u w:val="single"/>
          </w:rPr>
          <w:t>2.9</w:t>
        </w:r>
      </w:hyperlink>
      <w:r>
        <w:t>) et en qui les êtres humains trouvent leur accomplissement (</w:t>
      </w:r>
      <w:hyperlink r:id="rId2929">
        <w:r>
          <w:rPr>
            <w:color w:val="0000EE"/>
            <w:u w:val="single"/>
          </w:rPr>
          <w:t>2.10</w:t>
        </w:r>
      </w:hyperlink>
      <w:r>
        <w:t>).</w:t>
      </w:r>
    </w:p>
    <w:p>
      <w:r/>
      <w:r>
        <w:t xml:space="preserve">Paul a accordé une attention particulière à l'importance de la mort de Christ. Dans l'hymne de </w:t>
      </w:r>
      <w:hyperlink r:id="rId2938">
        <w:r>
          <w:rPr>
            <w:color w:val="0000EE"/>
            <w:u w:val="single"/>
          </w:rPr>
          <w:t>Colossiens 1</w:t>
        </w:r>
      </w:hyperlink>
      <w:r>
        <w:t xml:space="preserve">, il explique l'œuvre de réconciliation de Christ par l'expression « </w:t>
      </w:r>
      <w:r>
        <w:t>faisant la paix par lui, par le sang de sa croix</w:t>
      </w:r>
      <w:r>
        <w:t xml:space="preserve"> » (</w:t>
      </w:r>
      <w:hyperlink r:id="rId2939">
        <w:r>
          <w:rPr>
            <w:color w:val="0000EE"/>
            <w:u w:val="single"/>
          </w:rPr>
          <w:t>1.20</w:t>
        </w:r>
      </w:hyperlink>
      <w:r>
        <w:t xml:space="preserve">). Il a contrasté les expériences passées et présentes des lecteurs. Autrefois, ils étaient aliénés de Dieu tant dans l'attitude que dans le comportement. Ils sont désormais réconciliés « </w:t>
      </w:r>
      <w:r>
        <w:t>par sa mort dans le corps de sa chair</w:t>
      </w:r>
      <w:r>
        <w:t xml:space="preserve"> » (</w:t>
      </w:r>
      <w:hyperlink r:id="rId2940">
        <w:r>
          <w:rPr>
            <w:color w:val="0000EE"/>
            <w:u w:val="single"/>
          </w:rPr>
          <w:t>1.21–22</w:t>
        </w:r>
      </w:hyperlink>
      <w:r>
        <w:t>). En conséquence de cette réconciliation, Dieu transforme le caractère humain.</w:t>
      </w:r>
    </w:p>
    <w:p>
      <w:r/>
      <w:r>
        <w:t xml:space="preserve">La mort de Christ non seulement rétablit les relations entre les individus et Dieu, mais elle les libère également des intentions hostiles de ceux qui sont appelés « </w:t>
      </w:r>
      <w:r>
        <w:t>les dominations et les autorités</w:t>
      </w:r>
      <w:r>
        <w:t xml:space="preserve"> ». Ces puissances semblent être des agents démoniaques qui portent des accusations contre les êtres humains ; accusations fondées sur un « certificat de dette » basé sur des ordonnances (lois). Paul a proclamé aux Colossiens que Dieu avait supprimé le fondement de ces accusations, le clouant à la croix (</w:t>
      </w:r>
      <w:hyperlink r:id="rId2941">
        <w:r>
          <w:rPr>
            <w:color w:val="0000EE"/>
            <w:u w:val="single"/>
          </w:rPr>
          <w:t>2.14</w:t>
        </w:r>
      </w:hyperlink>
      <w:r>
        <w:t xml:space="preserve">), et que sur la croix, il avait publiquement exposé et triomphé des accusateurs (v. </w:t>
      </w:r>
      <w:hyperlink r:id="rId2925">
        <w:r>
          <w:rPr>
            <w:color w:val="0000EE"/>
            <w:u w:val="single"/>
          </w:rPr>
          <w:t>15</w:t>
        </w:r>
      </w:hyperlink>
      <w:r>
        <w:t>). La mort de Christ n'était pas une tragédie mais un triomphe libérateur et transformateur sur le péché et les puissances du mal.</w:t>
      </w:r>
    </w:p>
    <w:p>
      <w:pPr>
        <w:pStyle w:val="Heading4"/>
      </w:pPr>
      <w:r>
        <w:t>L’Église</w:t>
      </w:r>
    </w:p>
    <w:p>
      <w:r/>
      <w:r>
        <w:t>L'Église est le « corps » de Christ (</w:t>
      </w:r>
      <w:hyperlink r:id="rId2942">
        <w:r>
          <w:rPr>
            <w:color w:val="0000EE"/>
            <w:u w:val="single"/>
          </w:rPr>
          <w:t>1.18, 24</w:t>
        </w:r>
      </w:hyperlink>
      <w:r>
        <w:t>), dont Christ est la tête et la source de vie (</w:t>
      </w:r>
      <w:hyperlink r:id="rId2943">
        <w:r>
          <w:rPr>
            <w:color w:val="0000EE"/>
            <w:u w:val="single"/>
          </w:rPr>
          <w:t>2.19</w:t>
        </w:r>
      </w:hyperlink>
      <w:r>
        <w:t xml:space="preserve">). L'Église est une communauté que le Père a qualifiée pour participer à l'héritage céleste avec les saints ; il l'a délivrée des pouvoirs de l'âge du mal et l'a fait participer au pouvoir de l'âge à venir, « </w:t>
      </w:r>
      <w:r>
        <w:t>le royaume du Fils de son amour</w:t>
      </w:r>
      <w:r>
        <w:t xml:space="preserve"> » (</w:t>
      </w:r>
      <w:hyperlink r:id="rId2944">
        <w:r>
          <w:rPr>
            <w:color w:val="0000EE"/>
            <w:u w:val="single"/>
          </w:rPr>
          <w:t>1.13</w:t>
        </w:r>
      </w:hyperlink>
      <w:r>
        <w:t>). L'Église, par conséquent, ne devrait pas vivre dans la peur des « dominations » et des « autorités », mais devrait participer au triomphe de Christ sur ces pouvoirs hostiles.</w:t>
      </w:r>
    </w:p>
    <w:p>
      <w:pPr>
        <w:pStyle w:val="Heading3"/>
      </w:pPr>
      <w:r>
        <w:t>Contenu</w:t>
      </w:r>
    </w:p>
    <w:p>
      <w:r/>
      <w:r>
        <w:t>En écrivant aux Colossiens, Paul a suivi une forme standard de lettre comprenant une salutation, des remerciements, une prière, le corps principal et des remarques finales. La salutation (</w:t>
      </w:r>
      <w:hyperlink r:id="rId2945">
        <w:r>
          <w:rPr>
            <w:color w:val="0000EE"/>
            <w:u w:val="single"/>
          </w:rPr>
          <w:t>1.1–2</w:t>
        </w:r>
      </w:hyperlink>
      <w:r>
        <w:t>) transmet des salutations à l'Église de sa part et de celle de Timothée. Suit ensuite une déclaration de remerciement pour la bonne condition de la communauté (</w:t>
      </w:r>
      <w:hyperlink r:id="rId2946">
        <w:r>
          <w:rPr>
            <w:color w:val="0000EE"/>
            <w:u w:val="single"/>
          </w:rPr>
          <w:t>1.3–8</w:t>
        </w:r>
      </w:hyperlink>
      <w:r>
        <w:t>) et une prière, demandant que les Colossiens soient remplis de la connaissance de la volonté de Dieu, ce qui se traduira par une conduite digne (</w:t>
      </w:r>
      <w:hyperlink r:id="rId2921">
        <w:r>
          <w:rPr>
            <w:color w:val="0000EE"/>
            <w:u w:val="single"/>
          </w:rPr>
          <w:t>1.9–11</w:t>
        </w:r>
      </w:hyperlink>
      <w:r>
        <w:t>).</w:t>
      </w:r>
    </w:p>
    <w:p>
      <w:r/>
      <w:r>
        <w:t>La première partie du corps de la lettre invite les Colossiens à louer Dieu avant de citer le grand hymne sur Christ (</w:t>
      </w:r>
      <w:hyperlink r:id="rId2947">
        <w:r>
          <w:rPr>
            <w:color w:val="0000EE"/>
            <w:u w:val="single"/>
          </w:rPr>
          <w:t>1.12–23</w:t>
        </w:r>
      </w:hyperlink>
      <w:r>
        <w:t>). Plus précisément, la première partie commence par une action de grâce confessionnelle au Père, le remerciant de les avoir appelés à être son peuple unique (</w:t>
      </w:r>
      <w:hyperlink r:id="rId2935">
        <w:r>
          <w:rPr>
            <w:color w:val="0000EE"/>
            <w:u w:val="single"/>
          </w:rPr>
          <w:t>1.12–14</w:t>
        </w:r>
      </w:hyperlink>
      <w:r>
        <w:t>). S'en suit un hymne qui célèbre Christ en tant que Créateur et Rédempteur souverain de tout ce qui existe (</w:t>
      </w:r>
      <w:hyperlink r:id="rId2907">
        <w:r>
          <w:rPr>
            <w:color w:val="0000EE"/>
            <w:u w:val="single"/>
          </w:rPr>
          <w:t>1.15–20</w:t>
        </w:r>
      </w:hyperlink>
      <w:r>
        <w:t>). Les Colossiens participent aux résultats du ministère de réconciliation de Christ (</w:t>
      </w:r>
      <w:hyperlink r:id="rId2948">
        <w:r>
          <w:rPr>
            <w:color w:val="0000EE"/>
            <w:u w:val="single"/>
          </w:rPr>
          <w:t>1.21–23</w:t>
        </w:r>
      </w:hyperlink>
      <w:r>
        <w:t>).</w:t>
      </w:r>
    </w:p>
    <w:p>
      <w:r/>
      <w:r>
        <w:t>La deuxième partie du corps de la lettre décrit le ministère apostolique de Paul (</w:t>
      </w:r>
      <w:hyperlink r:id="rId2949">
        <w:r>
          <w:rPr>
            <w:color w:val="0000EE"/>
            <w:u w:val="single"/>
          </w:rPr>
          <w:t>1.24–2.5</w:t>
        </w:r>
      </w:hyperlink>
      <w:r>
        <w:t>). Sa tâche était de faire connaître le mystère de Dieu concernant Christ aux Gentils en général (</w:t>
      </w:r>
      <w:hyperlink r:id="rId2950">
        <w:r>
          <w:rPr>
            <w:color w:val="0000EE"/>
            <w:u w:val="single"/>
          </w:rPr>
          <w:t>1.24–29</w:t>
        </w:r>
      </w:hyperlink>
      <w:r>
        <w:t>) et aux Églises de Colosses et de Laodicée en particulier (</w:t>
      </w:r>
      <w:hyperlink r:id="rId2951">
        <w:r>
          <w:rPr>
            <w:color w:val="0000EE"/>
            <w:u w:val="single"/>
          </w:rPr>
          <w:t>2.1–5</w:t>
        </w:r>
      </w:hyperlink>
      <w:r>
        <w:t>).</w:t>
      </w:r>
    </w:p>
    <w:p>
      <w:r/>
      <w:r>
        <w:t>La troisième partie du corps de la lettre introduit la préoccupation principale de Paul pour l'assemblée de Colosses : ils doivent suivre la tradition reçue concernant Christ (c'est-à-dire les enseignements sur Christ qu'ils avaient d'abord acceptés), et ne pas succomber à l'enseignement erroné actuel (</w:t>
      </w:r>
      <w:hyperlink r:id="rId2952">
        <w:r>
          <w:rPr>
            <w:color w:val="0000EE"/>
            <w:u w:val="single"/>
          </w:rPr>
          <w:t>2.6–23</w:t>
        </w:r>
      </w:hyperlink>
      <w:r>
        <w:t xml:space="preserve">). Ils doivent marcher à la lumière de la tradition reçue (v. </w:t>
      </w:r>
      <w:hyperlink r:id="rId2953">
        <w:r>
          <w:rPr>
            <w:color w:val="0000EE"/>
            <w:u w:val="single"/>
          </w:rPr>
          <w:t>6–7</w:t>
        </w:r>
      </w:hyperlink>
      <w:r>
        <w:t xml:space="preserve">), et ils sont avertis contre la fausse philosophie (v. </w:t>
      </w:r>
      <w:hyperlink r:id="rId2920">
        <w:r>
          <w:rPr>
            <w:color w:val="0000EE"/>
            <w:u w:val="single"/>
          </w:rPr>
          <w:t>8</w:t>
        </w:r>
      </w:hyperlink>
      <w:r>
        <w:t xml:space="preserve">). L'hymne de </w:t>
      </w:r>
      <w:hyperlink r:id="rId2907">
        <w:r>
          <w:rPr>
            <w:color w:val="0000EE"/>
            <w:u w:val="single"/>
          </w:rPr>
          <w:t>1.15–20</w:t>
        </w:r>
      </w:hyperlink>
      <w:r>
        <w:t xml:space="preserve"> est à nouveau mentionné, soulignant ici la seigneurie divine de Christ (</w:t>
      </w:r>
      <w:hyperlink r:id="rId2937">
        <w:r>
          <w:rPr>
            <w:color w:val="0000EE"/>
            <w:u w:val="single"/>
          </w:rPr>
          <w:t>2.9–10</w:t>
        </w:r>
      </w:hyperlink>
      <w:r>
        <w:t xml:space="preserve">) et proclamant sa victoire sur les principautés et les puissances (v. </w:t>
      </w:r>
      <w:hyperlink r:id="rId2954">
        <w:r>
          <w:rPr>
            <w:color w:val="0000EE"/>
            <w:u w:val="single"/>
          </w:rPr>
          <w:t>11–15</w:t>
        </w:r>
      </w:hyperlink>
      <w:r>
        <w:t xml:space="preserve">). En raison d'un tel Christ, les Colossiens sont exhortés à ne pas se soumettre aux règlements et aux principes de l'enseignement erroné (v. </w:t>
      </w:r>
      <w:hyperlink r:id="rId2955">
        <w:r>
          <w:rPr>
            <w:color w:val="0000EE"/>
            <w:u w:val="single"/>
          </w:rPr>
          <w:t>16–23</w:t>
        </w:r>
      </w:hyperlink>
      <w:r>
        <w:t>).</w:t>
      </w:r>
    </w:p>
    <w:p>
      <w:r/>
      <w:r>
        <w:t>La quatrième partie du corps de la lettre exhorte l'Église à mener une vie digne d'un chrétien (</w:t>
      </w:r>
      <w:hyperlink r:id="rId2956">
        <w:r>
          <w:rPr>
            <w:color w:val="0000EE"/>
            <w:u w:val="single"/>
          </w:rPr>
          <w:t>3.1–4.6</w:t>
        </w:r>
      </w:hyperlink>
      <w:r>
        <w:t>). Ceux qui ont été ressuscités avec Christ doivent rechercher les choses d'en haut (</w:t>
      </w:r>
      <w:hyperlink r:id="rId2910">
        <w:r>
          <w:rPr>
            <w:color w:val="0000EE"/>
            <w:u w:val="single"/>
          </w:rPr>
          <w:t>3.1–4</w:t>
        </w:r>
      </w:hyperlink>
      <w:r>
        <w:t xml:space="preserve">). Cela signifie qu'ils doivent renoncer aux traits et attitudes énumérés dans un catalogue de vices (v. </w:t>
      </w:r>
      <w:hyperlink r:id="rId2933">
        <w:r>
          <w:rPr>
            <w:color w:val="0000EE"/>
            <w:u w:val="single"/>
          </w:rPr>
          <w:t>5–11</w:t>
        </w:r>
      </w:hyperlink>
      <w:r>
        <w:t xml:space="preserve">) et adopter les traits et attitudes énumérés dans un catalogue de vertus (v. </w:t>
      </w:r>
      <w:hyperlink r:id="rId2957">
        <w:r>
          <w:rPr>
            <w:color w:val="0000EE"/>
            <w:u w:val="single"/>
          </w:rPr>
          <w:t>12–14</w:t>
        </w:r>
      </w:hyperlink>
      <w:r>
        <w:t>). Dans le culte, ils doivent se comporter de manière unifiée et ordonnée (</w:t>
      </w:r>
      <w:hyperlink r:id="rId2958">
        <w:r>
          <w:rPr>
            <w:color w:val="0000EE"/>
            <w:u w:val="single"/>
          </w:rPr>
          <w:t>3.15–4.1</w:t>
        </w:r>
      </w:hyperlink>
      <w:r>
        <w:t>). Le soi-disant « code domestique » concernant le mariage, les enfants et l'esclavage (</w:t>
      </w:r>
      <w:hyperlink r:id="rId2959">
        <w:r>
          <w:rPr>
            <w:color w:val="0000EE"/>
            <w:u w:val="single"/>
          </w:rPr>
          <w:t>3.18–4.1</w:t>
        </w:r>
      </w:hyperlink>
      <w:r>
        <w:t>) apparaît dans un contexte traitant du culte (</w:t>
      </w:r>
      <w:hyperlink r:id="rId2960">
        <w:r>
          <w:rPr>
            <w:color w:val="0000EE"/>
            <w:u w:val="single"/>
          </w:rPr>
          <w:t>3.15–17</w:t>
        </w:r>
      </w:hyperlink>
      <w:r>
        <w:t xml:space="preserve"> ; </w:t>
      </w:r>
      <w:hyperlink r:id="rId2961">
        <w:r>
          <w:rPr>
            <w:color w:val="0000EE"/>
            <w:u w:val="single"/>
          </w:rPr>
          <w:t>4.2–6</w:t>
        </w:r>
      </w:hyperlink>
      <w:r>
        <w:t>). Les exhortations les plus pressantes du code s'adressent aux femmes et aux esclaves, des groupes qui aspireraient particulièrement à l'égalité promise dans l'Évangile (</w:t>
      </w:r>
      <w:hyperlink r:id="rId2962">
        <w:r>
          <w:rPr>
            <w:color w:val="0000EE"/>
            <w:u w:val="single"/>
          </w:rPr>
          <w:t>Gal 3.28</w:t>
        </w:r>
      </w:hyperlink>
      <w:r>
        <w:t xml:space="preserve"> ; voir </w:t>
      </w:r>
      <w:hyperlink r:id="rId1682">
        <w:r>
          <w:rPr>
            <w:color w:val="0000EE"/>
            <w:u w:val="single"/>
          </w:rPr>
          <w:t>Col 3.11</w:t>
        </w:r>
      </w:hyperlink>
      <w:r>
        <w:t>). Ainsi, Paul utilise probablement le code pour appeler à l'ordre dans le culte public.</w:t>
      </w:r>
    </w:p>
    <w:p>
      <w:r/>
      <w:r>
        <w:t>Paul conclut sa lettre en déclarant d'abord que Tychique et l'esclave récemment converti, Onésime, informeraient l'Église de sa situation (</w:t>
      </w:r>
      <w:hyperlink r:id="rId2905">
        <w:r>
          <w:rPr>
            <w:color w:val="0000EE"/>
            <w:u w:val="single"/>
          </w:rPr>
          <w:t>4.7–9</w:t>
        </w:r>
      </w:hyperlink>
      <w:r>
        <w:t xml:space="preserve">), puis ajoute une série de salutations (v. </w:t>
      </w:r>
      <w:hyperlink r:id="rId2963">
        <w:r>
          <w:rPr>
            <w:color w:val="0000EE"/>
            <w:u w:val="single"/>
          </w:rPr>
          <w:t>10–18</w:t>
        </w:r>
      </w:hyperlink>
      <w:r>
        <w:t>).</w:t>
      </w:r>
    </w:p>
    <w:p>
      <w:r/>
      <w:r>
        <w:rPr>
          <w:i/>
        </w:rPr>
        <w:t>Voir aussi</w:t>
      </w:r>
      <w:r>
        <w:t xml:space="preserve"> </w:t>
      </w:r>
      <w:r>
        <w:t>Actes des Apôtres, Livre des</w:t>
      </w:r>
      <w:r>
        <w:t xml:space="preserve"> ; </w:t>
      </w:r>
      <w:r>
        <w:t>Apôtre, Apostolat</w:t>
      </w:r>
      <w:r>
        <w:t xml:space="preserve"> ; </w:t>
      </w:r>
      <w:r>
        <w:t>Colosses</w:t>
      </w:r>
      <w:r>
        <w:t xml:space="preserve"> ; </w:t>
      </w:r>
      <w:r>
        <w:t>Paul, L'Apôtre</w:t>
      </w:r>
      <w:r>
        <w:t>.</w:t>
      </w:r>
      <w:r/>
      <w:r/>
    </w:p>
    <w:p>
      <w:r/>
    </w:p>
    <w:p>
      <w:pPr>
        <w:pStyle w:val="Heading2"/>
      </w:pPr>
      <w:r>
        <w:t>Communication</w:t>
      </w:r>
      <w:r/>
    </w:p>
    <w:p>
      <w:r/>
      <w:r>
        <w:t>L'action d'envoyer un message d'un endroit à un autre. Dans les temps anciens, les gens utilisaient différentes méthodes pour transmettre des messages sur de longues distances. Les premières méthodes incluaient le feu, la lumière et les signaux de fumée. Les Babyloniens seront les premiers à utiliser un système simple appelé héliographe, qui utilisait la lumière du soleil réfléchie pour envoyer des messages sur de courtes distances.</w:t>
      </w:r>
    </w:p>
    <w:p>
      <w:pPr>
        <w:pStyle w:val="Heading3"/>
      </w:pPr>
      <w:r>
        <w:t>Signaux de feu</w:t>
      </w:r>
    </w:p>
    <w:p>
      <w:r/>
      <w:r>
        <w:t>Un écrivain grec nommé Eschyle a raconté une histoire sur les signaux de feu. Il a dit qu'autour de 1 084 av. J.‑C., les gens utilisaient des feux sur les sommets des montagnes pour envoyer la nouvelle que Troie était tombée. Le message a voyagé jusqu'à Clytemnestre à Mycènes en utilisant environ douze feux ou plus.</w:t>
      </w:r>
    </w:p>
    <w:p>
      <w:r/>
      <w:r>
        <w:t xml:space="preserve">En 587 av. J.‑C., les lettres de Lakis décrivaient l'utilisation de signaux de feu pour aider Israël à se défendre contre les Babyloniens. Une lettre conclut : « Que mon Seigneur sache que nous surveillons les signaux de feu de Lakis selon les signes que mon Seigneur a donnés, car nous ne voyons pas Azéka » (voir </w:t>
      </w:r>
      <w:hyperlink r:id="rId2964">
        <w:r>
          <w:rPr>
            <w:color w:val="0000EE"/>
            <w:u w:val="single"/>
          </w:rPr>
          <w:t>Jr 6.1</w:t>
        </w:r>
      </w:hyperlink>
      <w:r>
        <w:t xml:space="preserve"> ; </w:t>
      </w:r>
      <w:hyperlink r:id="rId2965">
        <w:r>
          <w:rPr>
            <w:color w:val="0000EE"/>
            <w:u w:val="single"/>
          </w:rPr>
          <w:t>34.7</w:t>
        </w:r>
      </w:hyperlink>
      <w:r>
        <w:t>).</w:t>
      </w:r>
    </w:p>
    <w:p>
      <w:r/>
      <w:r>
        <w:t>Plus tard, des signaux de feu seront utilisés dans les phares (tours avec des lumières pour guider les navires près de la côte), comme le célèbre phare d'Alexandrie, en Égypte.</w:t>
      </w:r>
    </w:p>
    <w:p>
      <w:pPr>
        <w:pStyle w:val="Heading3"/>
      </w:pPr>
      <w:r>
        <w:t>Communiquer par le son</w:t>
      </w:r>
    </w:p>
    <w:p>
      <w:r/>
      <w:r>
        <w:t>Les gens ont utilisé des sons forts pour envoyer des messages pendant des milliers d'années. Vers 550 av. J.‑C., Cyrus de Perse construira un réseau de tours. Les soldats dans ces tours se transmettaient des messages en criant.</w:t>
      </w:r>
    </w:p>
    <w:p>
      <w:r/>
      <w:r>
        <w:t>Selon une histoire antique, Alexandre le Grand possédait un très grand outil en forme de corne (comme un mégaphone) qui pouvait faire voyager la voix sur plusieurs kilomètres.</w:t>
      </w:r>
    </w:p>
    <w:p>
      <w:r/>
      <w:r>
        <w:t>Un historien nommé Severus a écrit que les Romains utilisaient des tubes en laiton pour communiquer le long de leur mur de défense en Angleterre.</w:t>
      </w:r>
    </w:p>
    <w:p>
      <w:r/>
      <w:r>
        <w:t>Le peuple hébreu utilisait une trompette spéciale appelée shofar, fabriquée à partir d'une corne de bélier. Ils l'utilisaient pour annoncer la nouvelle lune, le sabbat et le danger (</w:t>
      </w:r>
      <w:hyperlink r:id="rId2966">
        <w:r>
          <w:rPr>
            <w:color w:val="0000EE"/>
            <w:u w:val="single"/>
          </w:rPr>
          <w:t>Jos 6.4</w:t>
        </w:r>
      </w:hyperlink>
      <w:r>
        <w:t xml:space="preserve"> ; </w:t>
      </w:r>
      <w:hyperlink r:id="rId2967">
        <w:r>
          <w:rPr>
            <w:color w:val="0000EE"/>
            <w:u w:val="single"/>
          </w:rPr>
          <w:t>Jg 7.16</w:t>
        </w:r>
      </w:hyperlink>
      <w:r>
        <w:t xml:space="preserve"> ; </w:t>
      </w:r>
      <w:hyperlink r:id="rId2968">
        <w:r>
          <w:rPr>
            <w:color w:val="0000EE"/>
            <w:u w:val="single"/>
          </w:rPr>
          <w:t>Os 8.1</w:t>
        </w:r>
      </w:hyperlink>
      <w:r>
        <w:t>).</w:t>
      </w:r>
    </w:p>
    <w:p>
      <w:r/>
      <w:r>
        <w:t>Les gens utilisaient également des battements de tambour pour envoyer des messages. Aujourd'hui encore, les batteurs ashantis au Ghana peuvent utiliser des sons de tambour aigus et graves qui correspondent aux tons de leur langue parlée.</w:t>
      </w:r>
    </w:p>
    <w:p>
      <w:pPr>
        <w:pStyle w:val="Heading3"/>
      </w:pPr>
      <w:r>
        <w:t>Tablettes d’argile</w:t>
      </w:r>
    </w:p>
    <w:p>
      <w:r/>
      <w:r>
        <w:t>Les archéologues, scientifiques qui étudient les cultures anciennes en fouillant et en examinant des artefacts et des vestiges, ont découvert des milliers de lettres anciennes écrites sur des tablettes d'argile. Vers 2000 av. J.‑C., les Assyriens utilisaient un service postal informel, un système pour envoyer et recevoir du courrier et des colis, pour communiquer avec l'Anatolie orientale (Asie Mineure). Ils utilisaient des caravanes (des groupes qui voyageaient ensemble) pour se déplacer entre eux.</w:t>
      </w:r>
    </w:p>
    <w:p>
      <w:r/>
      <w:r>
        <w:t>Plus tard, les routes assyriennes étaient utilisées par les messagers royaux pour envoyer du courrier. Les officiers de ce service postal dans les villes importantes géraient les messagers et le courrier. Des tablettes d'argile avec une liste de noms de lieux et les distances entre eux servaient de guides de voyage. Les historiens utilisent des lettres royales d'Assyrie et d'autres régions du Moyen-Orient pour mieux comprendre l'histoire antique.</w:t>
      </w:r>
    </w:p>
    <w:p>
      <w:pPr>
        <w:pStyle w:val="Heading3"/>
      </w:pPr>
      <w:r>
        <w:t>Service postal</w:t>
      </w:r>
    </w:p>
    <w:p>
      <w:r/>
      <w:r>
        <w:t>Lorsque les Perses ont pris le pouvoir, ils ont amélioré le service postal des Assyriens. Les Perses ont construit une « voie royale » pour les messagers du gouvernement, mais elle était ouverte à tout le monde. Elle mesurait plus de 2 500 km de long. Elle s'étendait de Sardes en Asie Mineure à Suse, la capitale perse près de l'extrémité nord du golfe Persique (</w:t>
      </w:r>
      <w:hyperlink r:id="rId2969">
        <w:r>
          <w:rPr>
            <w:color w:val="0000EE"/>
            <w:u w:val="single"/>
          </w:rPr>
          <w:t>Est 3.13</w:t>
        </w:r>
      </w:hyperlink>
      <w:r>
        <w:t xml:space="preserve"> ; </w:t>
      </w:r>
      <w:hyperlink r:id="rId2970">
        <w:r>
          <w:rPr>
            <w:color w:val="0000EE"/>
            <w:u w:val="single"/>
          </w:rPr>
          <w:t>8.10</w:t>
        </w:r>
      </w:hyperlink>
      <w:r>
        <w:t>). Des maisons et des auberges étaient construites tous les 25 km environ. Des forts et des navettes étaient également construits à des sites importants le long du chemin.</w:t>
      </w:r>
    </w:p>
    <w:p>
      <w:r/>
      <w:r>
        <w:t>Un voyageur ordinaire pouvait parcourir la « voie royale » sur toute sa longueur en trois mois environ. Pendant ce temps, le service de messagerie perse utilisait des montures fraîches (chevaux ou autres animaux bien reposés). Celles-ci étaient obtenues dans des stations de service et permettaient au service de messagerie de parcourir généralement la même distance en deux ou trois semaines. Un historien grec nommé Hérodote a écrit que les messagers perses terminaient leurs tournées malgré un très mauvais temps.</w:t>
      </w:r>
    </w:p>
    <w:p>
      <w:r/>
      <w:r>
        <w:t>Parallèlement, la dynastie Zhou en Chine a également développé un système postal efficace. Au IIIe siècle av. J.‑C., la dynastie Han de Chine et les Ptolémées d'Égypte ont créé le service postal le plus avancé du monde antique.</w:t>
      </w:r>
    </w:p>
    <w:p>
      <w:r/>
      <w:r>
        <w:t>César Auguste, qui a vécu de 27 av. J.‑C. à 14 apr. J.‑C., a créé un système de communication capable de relier l'ensemble de l'Empire romain. Dans le système romain, le courrier envoyé sur de courtes distances arrivait rapidement, mais celui envoyé sur de longues distances ou par voie d'eau prenait des semaines. Ce système postal n'était pas un avantage pour le public ordinaire. Il s'agissait au contraire d'un fardeau fiscal supplémentaire. Les familles riches pouvaient utiliser leurs esclaves pour livrer le courrier, les entreprises employaient des porteurs de lettres, et les pauvres envoyaient du courrier grâce à des amis en voyage.</w:t>
      </w:r>
    </w:p>
    <w:p>
      <w:r/>
      <w:r>
        <w:t>Dans la Bible, les dirigeants chrétiens à Jérusalem ont envoyé des messages aux églises d'Asie Mineure. Ces messages ont été livrés par les apôtres Paul et Barnabas (</w:t>
      </w:r>
      <w:hyperlink r:id="rId2971">
        <w:r>
          <w:rPr>
            <w:color w:val="0000EE"/>
            <w:u w:val="single"/>
          </w:rPr>
          <w:t>Ac 15.22–29</w:t>
        </w:r>
      </w:hyperlink>
      <w:r>
        <w:t xml:space="preserve">). Plus tard, Paul demandera à Timothée, Tychique et Épaphrodite d'être des messagers (voir </w:t>
      </w:r>
      <w:hyperlink r:id="rId2972">
        <w:r>
          <w:rPr>
            <w:color w:val="0000EE"/>
            <w:u w:val="single"/>
          </w:rPr>
          <w:t>1Th 3.2</w:t>
        </w:r>
      </w:hyperlink>
      <w:r>
        <w:t xml:space="preserve">; </w:t>
      </w:r>
      <w:hyperlink r:id="rId2973">
        <w:r>
          <w:rPr>
            <w:color w:val="0000EE"/>
            <w:u w:val="single"/>
          </w:rPr>
          <w:t>Col 4.7, 9</w:t>
        </w:r>
      </w:hyperlink>
      <w:r>
        <w:t xml:space="preserve">; </w:t>
      </w:r>
      <w:hyperlink r:id="rId1053">
        <w:r>
          <w:rPr>
            <w:color w:val="0000EE"/>
            <w:u w:val="single"/>
          </w:rPr>
          <w:t>Ph 2.25</w:t>
        </w:r>
      </w:hyperlink>
      <w:r>
        <w:t xml:space="preserve">; </w:t>
      </w:r>
      <w:hyperlink r:id="rId2974">
        <w:r>
          <w:rPr>
            <w:color w:val="0000EE"/>
            <w:u w:val="single"/>
          </w:rPr>
          <w:t>4.18</w:t>
        </w:r>
      </w:hyperlink>
      <w:r>
        <w:t>).</w:t>
      </w:r>
    </w:p>
    <w:p>
      <w:r/>
      <w:r>
        <w:t>Les Romains avaient une manière particulière de diffuser les nouvelles dans leurs villes. Ils utilisaient un dispositif appelé l'</w:t>
      </w:r>
      <w:r>
        <w:rPr>
          <w:i/>
        </w:rPr>
        <w:t>album</w:t>
      </w:r>
      <w:r>
        <w:t>, un tableau d'affichage public peint en blanc. Celui-ci présentait des messages au centre de la ville.</w:t>
      </w:r>
    </w:p>
    <w:p>
      <w:r/>
      <w:r>
        <w:rPr>
          <w:i/>
        </w:rPr>
        <w:t>Voir aussi</w:t>
      </w:r>
      <w:r>
        <w:t xml:space="preserve"> </w:t>
      </w:r>
      <w:r>
        <w:t>Voyage</w:t>
      </w:r>
      <w:r>
        <w:t>.</w:t>
      </w:r>
      <w:r/>
      <w:r/>
    </w:p>
    <w:p>
      <w:r/>
    </w:p>
    <w:p>
      <w:pPr>
        <w:pStyle w:val="Heading2"/>
      </w:pPr>
      <w:r>
        <w:t>Communion fraternelle</w:t>
      </w:r>
      <w:r/>
    </w:p>
    <w:p>
      <w:r/>
      <w:r>
        <w:t>La communion, c'est entretenir une relation étroite avec Dieu et partager cette relation avec d'autres croyants.</w:t>
      </w:r>
    </w:p>
    <w:p>
      <w:pPr>
        <w:pStyle w:val="Heading3"/>
      </w:pPr>
      <w:r>
        <w:t>La Communion dans l'Ancien Testament</w:t>
      </w:r>
    </w:p>
    <w:p>
      <w:r/>
      <w:r>
        <w:t>Au commencement, Adam a été placé dans le Jardin pour profiter de l'amitié avec Dieu. Lorsque Adam et Ève ont choisi l'indépendance plutôt que de vivre sous la bienveillance de Dieu, leur relation a été rompue. En conséquence, Adam et Ève se sont cachés de Dieu (</w:t>
      </w:r>
      <w:hyperlink r:id="rId241">
        <w:r>
          <w:rPr>
            <w:color w:val="0000EE"/>
            <w:u w:val="single"/>
          </w:rPr>
          <w:t>Gn 3.8</w:t>
        </w:r>
      </w:hyperlink>
      <w:r>
        <w:t>). Mais Dieu les a immédiatement cherchés et a partagé son plan pour sauver les pécheurs par l'œuvre du Sauveur (</w:t>
      </w:r>
      <w:hyperlink r:id="rId250">
        <w:r>
          <w:rPr>
            <w:color w:val="0000EE"/>
            <w:u w:val="single"/>
          </w:rPr>
          <w:t>3.15</w:t>
        </w:r>
      </w:hyperlink>
      <w:r>
        <w:t>).</w:t>
      </w:r>
    </w:p>
    <w:p>
      <w:r/>
      <w:r>
        <w:t>L'Ancien Testament raconte comment Dieu a commencé à établir une relation spéciale avec certaines personnes. Hénoc est décrit comme un homme qui marchait avec Dieu (</w:t>
      </w:r>
      <w:hyperlink r:id="rId2975">
        <w:r>
          <w:rPr>
            <w:color w:val="0000EE"/>
            <w:u w:val="single"/>
          </w:rPr>
          <w:t>Gn 5.22, 24</w:t>
        </w:r>
      </w:hyperlink>
      <w:r>
        <w:t>). Noé marchait aussi avec Dieu (</w:t>
      </w:r>
      <w:hyperlink r:id="rId2976">
        <w:r>
          <w:rPr>
            <w:color w:val="0000EE"/>
            <w:u w:val="single"/>
          </w:rPr>
          <w:t>6.9</w:t>
        </w:r>
      </w:hyperlink>
      <w:r>
        <w:t>). Et Abraham, le père d'Israël, est appelé « un ami de Dieu » (</w:t>
      </w:r>
      <w:hyperlink r:id="rId2977">
        <w:r>
          <w:rPr>
            <w:color w:val="0000EE"/>
            <w:u w:val="single"/>
          </w:rPr>
          <w:t>Jc 2.23</w:t>
        </w:r>
      </w:hyperlink>
      <w:r>
        <w:t>). Personne dans l'Ancien Testament n'avait une relation plus étroite avec Dieu que Moïse lors de sa rencontre de quarante jours avec Dieu sur la montagne du Sinaï (</w:t>
      </w:r>
      <w:hyperlink r:id="rId2978">
        <w:r>
          <w:rPr>
            <w:color w:val="0000EE"/>
            <w:u w:val="single"/>
          </w:rPr>
          <w:t>Ex 24</w:t>
        </w:r>
      </w:hyperlink>
      <w:r>
        <w:t>). Plus tard, David a écrit des psaumes qui montrent un cœur profondément connecté avec Dieu (</w:t>
      </w:r>
      <w:hyperlink r:id="rId2979">
        <w:r>
          <w:rPr>
            <w:color w:val="0000EE"/>
            <w:u w:val="single"/>
          </w:rPr>
          <w:t>Ps 16</w:t>
        </w:r>
      </w:hyperlink>
      <w:r>
        <w:t xml:space="preserve">, </w:t>
      </w:r>
      <w:hyperlink r:id="rId2980">
        <w:r>
          <w:rPr>
            <w:color w:val="0000EE"/>
            <w:u w:val="single"/>
          </w:rPr>
          <w:t>34</w:t>
        </w:r>
      </w:hyperlink>
      <w:r>
        <w:t xml:space="preserve">, </w:t>
      </w:r>
      <w:hyperlink r:id="rId2981">
        <w:r>
          <w:rPr>
            <w:color w:val="0000EE"/>
            <w:u w:val="single"/>
          </w:rPr>
          <w:t>40</w:t>
        </w:r>
      </w:hyperlink>
      <w:r>
        <w:t xml:space="preserve">, </w:t>
      </w:r>
      <w:hyperlink r:id="rId2982">
        <w:r>
          <w:rPr>
            <w:color w:val="0000EE"/>
            <w:u w:val="single"/>
          </w:rPr>
          <w:t>63</w:t>
        </w:r>
      </w:hyperlink>
      <w:r>
        <w:t>).</w:t>
      </w:r>
    </w:p>
    <w:p>
      <w:pPr>
        <w:pStyle w:val="Heading3"/>
      </w:pPr>
      <w:r>
        <w:t>La Communion dans le Nouveau Testament</w:t>
      </w:r>
    </w:p>
    <w:p>
      <w:r/>
      <w:r>
        <w:t>Grâce à l'œuvre de Jésus sur la croix, Dieu vit maintenant dans le cœur de chaque croyant (</w:t>
      </w:r>
      <w:hyperlink r:id="rId2983">
        <w:r>
          <w:rPr>
            <w:color w:val="0000EE"/>
            <w:u w:val="single"/>
          </w:rPr>
          <w:t>Jn 14.23</w:t>
        </w:r>
      </w:hyperlink>
      <w:r>
        <w:t>). Par conséquent, la relation que nous avons maintenant sous la nouvelle alliance est l'union spirituelle, essentielle, du croyant avec Jésus (</w:t>
      </w:r>
      <w:hyperlink r:id="rId2984">
        <w:r>
          <w:rPr>
            <w:color w:val="0000EE"/>
            <w:u w:val="single"/>
          </w:rPr>
          <w:t>14.20–21</w:t>
        </w:r>
      </w:hyperlink>
      <w:r>
        <w:t>). La relation avec Dieu est la raison d'être de la vie chrétienne (</w:t>
      </w:r>
      <w:hyperlink r:id="rId2985">
        <w:r>
          <w:rPr>
            <w:color w:val="0000EE"/>
            <w:u w:val="single"/>
          </w:rPr>
          <w:t>1Jn 1.3</w:t>
        </w:r>
      </w:hyperlink>
      <w:r>
        <w:t>), et cette relation sera rendue parfaite pour toujours lorsque nous verrons notre Sauveur « face à face » (</w:t>
      </w:r>
      <w:hyperlink r:id="rId2986">
        <w:r>
          <w:rPr>
            <w:color w:val="0000EE"/>
            <w:u w:val="single"/>
          </w:rPr>
          <w:t>1Co 13.12</w:t>
        </w:r>
      </w:hyperlink>
      <w:r>
        <w:t>), au moment où Dieu habitera avec son peuple pour toujours (</w:t>
      </w:r>
      <w:hyperlink r:id="rId2987">
        <w:r>
          <w:rPr>
            <w:color w:val="0000EE"/>
            <w:u w:val="single"/>
          </w:rPr>
          <w:t>Ap 21.3</w:t>
        </w:r>
      </w:hyperlink>
      <w:r>
        <w:t>).</w:t>
      </w:r>
    </w:p>
    <w:p>
      <w:r/>
      <w:r>
        <w:t>La Bonne Nouvelle restaure notre relation non seulement avec Dieu, mais aussi entre croyants. Le dernier repas de Jésus avec ses disciples (</w:t>
      </w:r>
      <w:hyperlink r:id="rId2988">
        <w:r>
          <w:rPr>
            <w:color w:val="0000EE"/>
            <w:u w:val="single"/>
          </w:rPr>
          <w:t>Mc 14.22–25</w:t>
        </w:r>
      </w:hyperlink>
      <w:r>
        <w:t>) montre le lien entre notre relation avec Dieu et avec autrui : dans la chambre haute, Jésus a partagé un repas spécial avec ses disciples. Les cœurs de Jésus et de ses disciples étaient unis par un amour et un engagement profonds. Plus tard, les disciples ont découvert que leurs cœurs étaient fortement unis grâce à leur loyauté partagée envers Jésus. Après la croix et la venue de l'Esprit, l'Église est née. L'Église est un nouveau groupe de personnes en relation avec Dieu et entre elles.</w:t>
      </w:r>
    </w:p>
    <w:p>
      <w:r/>
      <w:r>
        <w:t>Les premiers chapitres des Actes montrent une profonde amitié parmi les premiers chrétiens. Les croyants se réunissaient en groupes de maison pour l'enseignement, la communion, le Repas du Seigneur et la prière (</w:t>
      </w:r>
      <w:hyperlink r:id="rId2989">
        <w:r>
          <w:rPr>
            <w:color w:val="0000EE"/>
            <w:u w:val="single"/>
          </w:rPr>
          <w:t>Ac 2.42, 46</w:t>
        </w:r>
      </w:hyperlink>
      <w:r>
        <w:t>). Leur sens de l'unité était si fort que les chrétiens partageaient leurs possessions et les donnaient à leurs frères et sœurs dans le besoin (</w:t>
      </w:r>
      <w:hyperlink r:id="rId2990">
        <w:r>
          <w:rPr>
            <w:color w:val="0000EE"/>
            <w:u w:val="single"/>
          </w:rPr>
          <w:t>2.44–45</w:t>
        </w:r>
      </w:hyperlink>
      <w:r>
        <w:t xml:space="preserve"> ; </w:t>
      </w:r>
      <w:hyperlink r:id="rId2991">
        <w:r>
          <w:rPr>
            <w:color w:val="0000EE"/>
            <w:u w:val="single"/>
          </w:rPr>
          <w:t>4.32–35</w:t>
        </w:r>
      </w:hyperlink>
      <w:r>
        <w:t>). La principale caractéristique de cette première communion chrétienne était sans doute l'amour parmi les croyants (</w:t>
      </w:r>
      <w:hyperlink r:id="rId2992">
        <w:r>
          <w:rPr>
            <w:color w:val="0000EE"/>
            <w:u w:val="single"/>
          </w:rPr>
          <w:t>1Th 4.9</w:t>
        </w:r>
      </w:hyperlink>
      <w:r>
        <w:t xml:space="preserve"> ; </w:t>
      </w:r>
      <w:hyperlink r:id="rId2791">
        <w:r>
          <w:rPr>
            <w:color w:val="0000EE"/>
            <w:u w:val="single"/>
          </w:rPr>
          <w:t>1P 1.22</w:t>
        </w:r>
      </w:hyperlink>
      <w:r>
        <w:t>).</w:t>
      </w:r>
    </w:p>
    <w:p>
      <w:r/>
      <w:r>
        <w:t xml:space="preserve">Poussé par l'amour, Paul a organisé une collecte parmi les Églises non-juives pour les croyants pauvres à Jérusalem. </w:t>
      </w:r>
      <w:hyperlink r:id="rId2993">
        <w:r>
          <w:rPr>
            <w:color w:val="0000EE"/>
            <w:u w:val="single"/>
          </w:rPr>
          <w:t>Romains 15.26</w:t>
        </w:r>
      </w:hyperlink>
      <w:r>
        <w:t xml:space="preserve"> parle des dons des Églises en Macédoine et en Achaïe. Paul utilise le mot grec commun pour « communion » pour décrire cette « contribution ». De même, la communion que l'Église de Philippes partageait avec Paul prenait la forme de dons pour soutenir le travail de l'apôtre (</w:t>
      </w:r>
      <w:hyperlink r:id="rId2994">
        <w:r>
          <w:rPr>
            <w:color w:val="0000EE"/>
            <w:u w:val="single"/>
          </w:rPr>
          <w:t>Ph 1.5</w:t>
        </w:r>
      </w:hyperlink>
      <w:r>
        <w:t xml:space="preserve"> ; </w:t>
      </w:r>
      <w:hyperlink r:id="rId2995">
        <w:r>
          <w:rPr>
            <w:color w:val="0000EE"/>
            <w:u w:val="single"/>
          </w:rPr>
          <w:t>4.14–15</w:t>
        </w:r>
      </w:hyperlink>
      <w:r>
        <w:t>).</w:t>
      </w:r>
    </w:p>
    <w:p>
      <w:r/>
      <w:r>
        <w:t>La Bible utilise plusieurs images pour décrire l'esprit de solidarité qui était typique de l'église primitive. La première est « la maison de Dieu » (</w:t>
      </w:r>
      <w:hyperlink r:id="rId2996">
        <w:r>
          <w:rPr>
            <w:color w:val="0000EE"/>
            <w:u w:val="single"/>
          </w:rPr>
          <w:t>Ep 2.19</w:t>
        </w:r>
      </w:hyperlink>
      <w:r>
        <w:t xml:space="preserve"> ; </w:t>
      </w:r>
      <w:hyperlink r:id="rId2997">
        <w:r>
          <w:rPr>
            <w:color w:val="0000EE"/>
            <w:u w:val="single"/>
          </w:rPr>
          <w:t>1Ti 3.15</w:t>
        </w:r>
      </w:hyperlink>
      <w:r>
        <w:t>), ou «</w:t>
      </w:r>
      <w:r>
        <w:t>nos frères et [...] nos sœurs dans la foi</w:t>
      </w:r>
      <w:r>
        <w:t xml:space="preserve"> » (</w:t>
      </w:r>
      <w:hyperlink r:id="rId2998">
        <w:r>
          <w:rPr>
            <w:color w:val="0000EE"/>
            <w:u w:val="single"/>
          </w:rPr>
          <w:t>Ga 6.10</w:t>
        </w:r>
      </w:hyperlink>
      <w:r>
        <w:t>, NFC). Dans la maison de Dieu, l'amour et l'hospitalité devraient être la règle (</w:t>
      </w:r>
      <w:hyperlink r:id="rId2999">
        <w:r>
          <w:rPr>
            <w:color w:val="0000EE"/>
            <w:u w:val="single"/>
          </w:rPr>
          <w:t>Hé 13.1–2</w:t>
        </w:r>
      </w:hyperlink>
      <w:r>
        <w:t>). De plus, l'Église est présentée comme la famille de Dieu sur terre (</w:t>
      </w:r>
      <w:hyperlink r:id="rId3000">
        <w:r>
          <w:rPr>
            <w:color w:val="0000EE"/>
            <w:u w:val="single"/>
          </w:rPr>
          <w:t>Ep 3.15</w:t>
        </w:r>
      </w:hyperlink>
      <w:r>
        <w:t>). Dieu est le Père, et les croyants sont ses fils et filles fidèles. La vie de la famille de Dieu devrait être guidée par l'amour, la bonté, la compassion et l'humilité (</w:t>
      </w:r>
      <w:hyperlink r:id="rId3001">
        <w:r>
          <w:rPr>
            <w:color w:val="0000EE"/>
            <w:u w:val="single"/>
          </w:rPr>
          <w:t>Ph 2.1–4</w:t>
        </w:r>
      </w:hyperlink>
      <w:r>
        <w:t>). Enfin, la communion chrétienne est décrite comme « un seul homme nouveau » ou « un seul corps » (</w:t>
      </w:r>
      <w:hyperlink r:id="rId3002">
        <w:r>
          <w:rPr>
            <w:color w:val="0000EE"/>
            <w:u w:val="single"/>
          </w:rPr>
          <w:t>Ep 2.15–16</w:t>
        </w:r>
      </w:hyperlink>
      <w:r>
        <w:t>). Malgré de grandes différences naturelles dans le corps, le Saint-Esprit unit les croyants en un seul organisme (</w:t>
      </w:r>
      <w:hyperlink r:id="rId3003">
        <w:r>
          <w:rPr>
            <w:color w:val="0000EE"/>
            <w:u w:val="single"/>
          </w:rPr>
          <w:t>4.4–6</w:t>
        </w:r>
      </w:hyperlink>
      <w:r>
        <w:t>). Au sein de cette communion d'amour, aucun croyant n'est sans importance. Chaque membre a reçu des dons pour la croissance spirituelle de l'ensemble du corps.</w:t>
      </w:r>
    </w:p>
    <w:p>
      <w:pPr>
        <w:pStyle w:val="Heading3"/>
      </w:pPr>
      <w:r>
        <w:t>Lignes directrices pour la communion chrétienne</w:t>
      </w:r>
    </w:p>
    <w:p>
      <w:r/>
      <w:r>
        <w:t xml:space="preserve">La Bible explique comment avoir une véritable communion dans </w:t>
      </w:r>
      <w:hyperlink r:id="rId3004">
        <w:r>
          <w:rPr>
            <w:color w:val="0000EE"/>
            <w:u w:val="single"/>
          </w:rPr>
          <w:t>1 Jean 1.7</w:t>
        </w:r>
      </w:hyperlink>
      <w:r>
        <w:t xml:space="preserve"> : « </w:t>
      </w:r>
      <w:r>
        <w:t>si nous marchons dans la lumière, comme il est lui-même dans la lumière, nous sommes mutuellement en communion</w:t>
      </w:r>
      <w:r>
        <w:t xml:space="preserve"> ». Cela signifie que lorsque nous vivons selon la vérité de Dieu, tout comme Dieu est vérité, nous pouvons avoir une véritable communion spirituelle (une relation spéciale à travers l'Esprit de Dieu) avec d'autres croyants. Jésus-Christ est celui qui rend la communion possible. Nous ne pouvons avoir une véritable communion avec d'autres chrétiens que lorsque nous avons d'abord une relation étroite avec Jésus.</w:t>
      </w:r>
    </w:p>
    <w:p>
      <w:r/>
      <w:r>
        <w:t>Tout comme la lumière et l'obscurité ne peuvent coexister, les croyants ne peuvent pas avoir une véritable communion avec les personnes qui ne croient pas en Jésus. La Bible dit également que les chrétiens ne devraient pas entretenir de relations étroites avec les personnes qui prétendent être croyantes mais qui :</w:t>
      </w:r>
    </w:p>
    <w:p>
      <w:pPr>
        <w:pStyle w:val="ListBullet"/>
        <w:spacing w:line="240" w:lineRule="auto"/>
        <w:ind w:left="720"/>
      </w:pPr>
      <w:r/>
      <w:r>
        <w:t>rejetent les enseignements de Jésus (</w:t>
      </w:r>
      <w:hyperlink r:id="rId3005">
        <w:r>
          <w:rPr>
            <w:color w:val="0000EE"/>
            <w:u w:val="single"/>
          </w:rPr>
          <w:t>2Jn 1.9–11</w:t>
        </w:r>
      </w:hyperlink>
      <w:r>
        <w:t>)</w:t>
      </w:r>
    </w:p>
    <w:p>
      <w:pPr>
        <w:pStyle w:val="ListBullet"/>
        <w:spacing w:line="240" w:lineRule="auto"/>
        <w:ind w:left="720"/>
      </w:pPr>
      <w:r/>
      <w:r>
        <w:t>font de mauvaises choses</w:t>
      </w:r>
    </w:p>
    <w:p>
      <w:pPr>
        <w:pStyle w:val="ListBullet"/>
        <w:spacing w:line="240" w:lineRule="auto"/>
        <w:ind w:left="720"/>
      </w:pPr>
      <w:r/>
      <w:r>
        <w:t>adorent de faux dieux</w:t>
      </w:r>
    </w:p>
    <w:p>
      <w:pPr>
        <w:pStyle w:val="ListBullet"/>
        <w:spacing w:line="240" w:lineRule="auto"/>
        <w:ind w:left="720"/>
      </w:pPr>
      <w:r/>
      <w:r>
        <w:t>sont souvent ivres.</w:t>
      </w:r>
    </w:p>
    <w:p>
      <w:pPr>
        <w:pStyle w:val="ListBullet"/>
        <w:spacing w:line="240" w:lineRule="auto"/>
        <w:ind w:left="720"/>
      </w:pPr>
      <w:r/>
      <w:r>
        <w:t>volent aux autres (</w:t>
      </w:r>
      <w:hyperlink r:id="rId3006">
        <w:r>
          <w:rPr>
            <w:color w:val="0000EE"/>
            <w:u w:val="single"/>
          </w:rPr>
          <w:t>1Co 5.11</w:t>
        </w:r>
      </w:hyperlink>
      <w:r>
        <w:t>).</w:t>
      </w:r>
    </w:p>
    <w:p>
      <w:r/>
      <w:r>
        <w:t>La Bible donne plusieurs directives pour améliorer la communion des croyants au sein du corps :</w:t>
      </w:r>
    </w:p>
    <w:p>
      <w:pPr>
        <w:pStyle w:val="ListNumber"/>
        <w:spacing w:line="240" w:lineRule="auto"/>
        <w:ind w:left="720"/>
      </w:pPr>
      <w:r/>
      <w:r>
        <w:t>Aimez-vous les uns les autres avec la même compassion que Jésus a montrée à ses propres (</w:t>
      </w:r>
      <w:hyperlink r:id="rId3007">
        <w:r>
          <w:rPr>
            <w:color w:val="0000EE"/>
            <w:u w:val="single"/>
          </w:rPr>
          <w:t>Jn 13.34–35</w:t>
        </w:r>
      </w:hyperlink>
      <w:r>
        <w:t xml:space="preserve"> ; </w:t>
      </w:r>
      <w:hyperlink r:id="rId3008">
        <w:r>
          <w:rPr>
            <w:color w:val="0000EE"/>
            <w:u w:val="single"/>
          </w:rPr>
          <w:t>15.12</w:t>
        </w:r>
      </w:hyperlink>
      <w:r>
        <w:t>). C'est la règle de l'amour qui devrait constituer la loi de la communion fraternelle (</w:t>
      </w:r>
      <w:hyperlink r:id="rId3009">
        <w:r>
          <w:rPr>
            <w:color w:val="0000EE"/>
            <w:u w:val="single"/>
          </w:rPr>
          <w:t>Hé 13.1</w:t>
        </w:r>
      </w:hyperlink>
      <w:r>
        <w:t>).</w:t>
      </w:r>
    </w:p>
    <w:p>
      <w:pPr>
        <w:pStyle w:val="ListNumber"/>
        <w:spacing w:line="240" w:lineRule="auto"/>
        <w:ind w:left="720"/>
      </w:pPr>
      <w:r/>
      <w:r>
        <w:t>Développez un esprit d'humilité qui cherche à honorer l'autre (</w:t>
      </w:r>
      <w:hyperlink r:id="rId3010">
        <w:r>
          <w:rPr>
            <w:color w:val="0000EE"/>
            <w:u w:val="single"/>
          </w:rPr>
          <w:t>Ph 2.3–5</w:t>
        </w:r>
      </w:hyperlink>
      <w:r>
        <w:t>).</w:t>
      </w:r>
    </w:p>
    <w:p>
      <w:pPr>
        <w:pStyle w:val="ListNumber"/>
        <w:spacing w:line="240" w:lineRule="auto"/>
        <w:ind w:left="720"/>
      </w:pPr>
      <w:r/>
      <w:r>
        <w:t>Aidez vos frères et sœurs croyants en partageant leurs fardeaux (</w:t>
      </w:r>
      <w:hyperlink r:id="rId3011">
        <w:r>
          <w:rPr>
            <w:color w:val="0000EE"/>
            <w:u w:val="single"/>
          </w:rPr>
          <w:t>Ga 6.2</w:t>
        </w:r>
      </w:hyperlink>
      <w:r>
        <w:t>).</w:t>
      </w:r>
    </w:p>
    <w:p>
      <w:pPr>
        <w:pStyle w:val="ListNumber"/>
        <w:spacing w:line="240" w:lineRule="auto"/>
        <w:ind w:left="720"/>
      </w:pPr>
      <w:r/>
      <w:r>
        <w:t>Partagez les bénédictions matérielles telles que l'argent et la nourriture avec les frères et sœurs dans le besoin (</w:t>
      </w:r>
      <w:hyperlink r:id="rId3012">
        <w:r>
          <w:rPr>
            <w:color w:val="0000EE"/>
            <w:u w:val="single"/>
          </w:rPr>
          <w:t>2Co 9.13</w:t>
        </w:r>
      </w:hyperlink>
      <w:r>
        <w:t>).</w:t>
      </w:r>
    </w:p>
    <w:p>
      <w:pPr>
        <w:pStyle w:val="ListNumber"/>
        <w:spacing w:line="240" w:lineRule="auto"/>
        <w:ind w:left="720"/>
      </w:pPr>
      <w:r/>
      <w:r>
        <w:t>Corrigez dans la douceur un pécheur tout en aidant à trouver des solutions aux enjeux en présence (</w:t>
      </w:r>
      <w:hyperlink r:id="rId3013">
        <w:r>
          <w:rPr>
            <w:color w:val="0000EE"/>
            <w:u w:val="single"/>
          </w:rPr>
          <w:t>Ga 6.1</w:t>
        </w:r>
      </w:hyperlink>
      <w:r>
        <w:t>).</w:t>
      </w:r>
    </w:p>
    <w:p>
      <w:pPr>
        <w:pStyle w:val="ListNumber"/>
        <w:spacing w:line="240" w:lineRule="auto"/>
        <w:ind w:left="720"/>
      </w:pPr>
      <w:r/>
      <w:r>
        <w:t>Aidez un autre croyant en temps de souffrance (</w:t>
      </w:r>
      <w:hyperlink r:id="rId3014">
        <w:r>
          <w:rPr>
            <w:color w:val="0000EE"/>
            <w:u w:val="single"/>
          </w:rPr>
          <w:t>1Co 12.26</w:t>
        </w:r>
      </w:hyperlink>
      <w:r>
        <w:t>).</w:t>
      </w:r>
    </w:p>
    <w:p>
      <w:pPr>
        <w:pStyle w:val="ListNumber"/>
        <w:spacing w:line="240" w:lineRule="auto"/>
        <w:ind w:left="720"/>
      </w:pPr>
      <w:r/>
      <w:r>
        <w:t>Prier les uns pour les autres dans l'Esprit sans cesse (</w:t>
      </w:r>
      <w:hyperlink r:id="rId3015">
        <w:r>
          <w:rPr>
            <w:color w:val="0000EE"/>
            <w:u w:val="single"/>
          </w:rPr>
          <w:t>Ep 6.18</w:t>
        </w:r>
      </w:hyperlink>
      <w:r>
        <w:t>).</w:t>
      </w:r>
    </w:p>
    <w:p>
      <w:r/>
      <w:r>
        <w:t>Le chrétien devrait méditer attentivement ce dicton d'un saint inconnu : «On ne peut pas s'approcher de Dieu si l'on est loin de son frère. »</w:t>
      </w:r>
      <w:r/>
      <w:r/>
    </w:p>
    <w:p>
      <w:r/>
    </w:p>
    <w:p>
      <w:pPr>
        <w:pStyle w:val="Heading2"/>
      </w:pPr>
      <w:r>
        <w:t>Concile de Jérusalem</w:t>
      </w:r>
      <w:r/>
    </w:p>
    <w:p>
      <w:r/>
      <w:r>
        <w:t xml:space="preserve">Réunion décrite dans </w:t>
      </w:r>
      <w:hyperlink r:id="rId3016">
        <w:r>
          <w:rPr>
            <w:color w:val="0000EE"/>
            <w:u w:val="single"/>
          </w:rPr>
          <w:t>Actes 15.6–29</w:t>
        </w:r>
      </w:hyperlink>
      <w:r>
        <w:t>, tenue vers l'an 50 apr. J.‑C. Actes rapporte que le concile a été organisé pour traiter la question de l'exigence pour les Gentils en ce qui concerne le salut, soulevée par les Juifs d'abord à Antioche (</w:t>
      </w:r>
      <w:hyperlink r:id="rId3017">
        <w:r>
          <w:rPr>
            <w:color w:val="0000EE"/>
            <w:u w:val="single"/>
          </w:rPr>
          <w:t>14.26–15.1</w:t>
        </w:r>
      </w:hyperlink>
      <w:r>
        <w:t>) et plus tard à Jérusalem (</w:t>
      </w:r>
      <w:hyperlink r:id="rId3018">
        <w:r>
          <w:rPr>
            <w:color w:val="0000EE"/>
            <w:u w:val="single"/>
          </w:rPr>
          <w:t>15.3–5</w:t>
        </w:r>
      </w:hyperlink>
      <w:r>
        <w:t xml:space="preserve">). La question a été soumise à un examen approfondi par les apôtres et les anciens (v. </w:t>
      </w:r>
      <w:hyperlink r:id="rId3019">
        <w:r>
          <w:rPr>
            <w:color w:val="0000EE"/>
            <w:u w:val="single"/>
          </w:rPr>
          <w:t>6</w:t>
        </w:r>
      </w:hyperlink>
      <w:r>
        <w:t xml:space="preserve">), avec Pierre (v. </w:t>
      </w:r>
      <w:hyperlink r:id="rId3020">
        <w:r>
          <w:rPr>
            <w:color w:val="0000EE"/>
            <w:u w:val="single"/>
          </w:rPr>
          <w:t>7–11</w:t>
        </w:r>
      </w:hyperlink>
      <w:r>
        <w:t xml:space="preserve">), Paul et Barnabas (v. </w:t>
      </w:r>
      <w:hyperlink r:id="rId3021">
        <w:r>
          <w:rPr>
            <w:color w:val="0000EE"/>
            <w:u w:val="single"/>
          </w:rPr>
          <w:t>12, 22–26</w:t>
        </w:r>
      </w:hyperlink>
      <w:r>
        <w:t xml:space="preserve">), et Jacques, le frère de Jésus (v. </w:t>
      </w:r>
      <w:hyperlink r:id="rId3022">
        <w:r>
          <w:rPr>
            <w:color w:val="0000EE"/>
            <w:u w:val="single"/>
          </w:rPr>
          <w:t>13–21</w:t>
        </w:r>
      </w:hyperlink>
      <w:r>
        <w:t>), qui semble avoir été le modérateur.</w:t>
      </w:r>
    </w:p>
    <w:p>
      <w:r/>
      <w:r>
        <w:t>Les principaux points convenus par le conseil étaient les suivants : 1° Dieu ne fait aucune distinction entre les croyants, qu'ils soient juifs ou païens (</w:t>
      </w:r>
      <w:hyperlink r:id="rId3023">
        <w:r>
          <w:rPr>
            <w:color w:val="0000EE"/>
            <w:u w:val="single"/>
          </w:rPr>
          <w:t>15.9</w:t>
        </w:r>
      </w:hyperlink>
      <w:r>
        <w:t xml:space="preserve">) ; 2° le salut est par la grâce, par la foi (v. </w:t>
      </w:r>
      <w:hyperlink r:id="rId3024">
        <w:r>
          <w:rPr>
            <w:color w:val="0000EE"/>
            <w:u w:val="single"/>
          </w:rPr>
          <w:t>9–11</w:t>
        </w:r>
      </w:hyperlink>
      <w:r>
        <w:t xml:space="preserve">) ; 3° Dieu a confirmé son acceptation des païens par des signes et des prodiges (v. </w:t>
      </w:r>
      <w:hyperlink r:id="rId3025">
        <w:r>
          <w:rPr>
            <w:color w:val="0000EE"/>
            <w:u w:val="single"/>
          </w:rPr>
          <w:t>8, 12</w:t>
        </w:r>
      </w:hyperlink>
      <w:r>
        <w:t xml:space="preserve">) ; 4° l'inclusion des païens parmi son peuple faisait partie de l'intention divine révélée dans l'Ancien Testament (v. </w:t>
      </w:r>
      <w:hyperlink r:id="rId3026">
        <w:r>
          <w:rPr>
            <w:color w:val="0000EE"/>
            <w:u w:val="single"/>
          </w:rPr>
          <w:t>15–18</w:t>
        </w:r>
      </w:hyperlink>
      <w:r>
        <w:t xml:space="preserve"> ; citant </w:t>
      </w:r>
      <w:hyperlink r:id="rId861">
        <w:r>
          <w:rPr>
            <w:color w:val="0000EE"/>
            <w:u w:val="single"/>
          </w:rPr>
          <w:t>Am 9.11–12</w:t>
        </w:r>
      </w:hyperlink>
      <w:r>
        <w:t>). L'assemblée a également publié une liste (parfois appelée « le décret ») instruisant les chrétiens païens de s'abstenir de 1° l'idolâtrie, 2° la fornication, 3° la consomation d'animaux qui avaient été étranglés, et 4° la consommation du sang (les deux derniers points concernaient des questions alimentaires qui séparaient grandement les Juifs des païens). La décision a été diffusée par lettre aux Églises d'Antioche, de Syrie et de Cilicie (</w:t>
      </w:r>
      <w:hyperlink r:id="rId3027">
        <w:r>
          <w:rPr>
            <w:color w:val="0000EE"/>
            <w:u w:val="single"/>
          </w:rPr>
          <w:t>Ac 15.23</w:t>
        </w:r>
      </w:hyperlink>
      <w:r>
        <w:t xml:space="preserve"> ; voir </w:t>
      </w:r>
      <w:hyperlink r:id="rId3028">
        <w:r>
          <w:rPr>
            <w:color w:val="0000EE"/>
            <w:u w:val="single"/>
          </w:rPr>
          <w:t>16.4</w:t>
        </w:r>
      </w:hyperlink>
      <w:r>
        <w:t>).</w:t>
      </w:r>
    </w:p>
    <w:p>
      <w:r/>
      <w:r>
        <w:t>Le récit, lorsqu'il est considéré dans son contexte dans le livre des Actes dans son ensemble, constitue le point culminant de la lutte de l'Église primitive pour se comprendre elle-même. Le judaïsme, dont est issu le christianisme, était une religion légaliste où les gens cherchaient à gagner la faveur de Dieu en observant des cérémonies et en respectant des lois. Il avait également une perspective nationaliste exclusive qui considérait Israël seul comme « le peuple de Dieu » et qui exigeait des non-Juifs souhaitant être identifiés à Dieu de se soumettre à la circoncision et à la loi mosaïque, ainsi que d'offrir des sacrifices prescrits. Les premiers chrétiens à Jérusalem semblent avoir adopté au moins certaines de ces opinions, même après avoir reconnu Jésus comme le Messie.</w:t>
      </w:r>
    </w:p>
    <w:p>
      <w:r/>
      <w:r>
        <w:t xml:space="preserve">Actes décrit une série d'événements à travers lesquels la fausseté des attitudes légalistes et exclusivistes juives a été exposée. Étienne a remis en question la vision religieuse étroite qui limitait la présence, l'activité et la préoccupation de Dieu à Jérusalem (chap. </w:t>
      </w:r>
      <w:hyperlink r:id="rId182">
        <w:r>
          <w:rPr>
            <w:color w:val="0000EE"/>
            <w:u w:val="single"/>
          </w:rPr>
          <w:t>7</w:t>
        </w:r>
      </w:hyperlink>
      <w:r>
        <w:t xml:space="preserve">). Philippe a conduit des Samaritains et un fonctionnaire éthiopien, représentants de groupes ayant seulement des liens traditionnels lâches avec le judaïsme, à la foi en Jésus (chap. </w:t>
      </w:r>
      <w:hyperlink r:id="rId185">
        <w:r>
          <w:rPr>
            <w:color w:val="0000EE"/>
            <w:u w:val="single"/>
          </w:rPr>
          <w:t>8</w:t>
        </w:r>
      </w:hyperlink>
      <w:r>
        <w:t xml:space="preserve">). Sur ordre direct de Dieu, Pierre a proclamé Jésus comme Messie et Seigneur à Corneille, un Gentil pieux mais incirconcis (chap. </w:t>
      </w:r>
      <w:hyperlink r:id="rId183">
        <w:r>
          <w:rPr>
            <w:color w:val="0000EE"/>
            <w:u w:val="single"/>
          </w:rPr>
          <w:t>10</w:t>
        </w:r>
      </w:hyperlink>
      <w:r>
        <w:t>). À travers cet incident, Pierre a reconnu que Dieu ne fait pas de discrimination entre les peuples (</w:t>
      </w:r>
      <w:hyperlink r:id="rId3029">
        <w:r>
          <w:rPr>
            <w:color w:val="0000EE"/>
            <w:u w:val="single"/>
          </w:rPr>
          <w:t>10.34–35</w:t>
        </w:r>
      </w:hyperlink>
      <w:r>
        <w:t xml:space="preserve">). La venue indéniable du Saint-Esprit sur Corneille et sa maison (v. </w:t>
      </w:r>
      <w:hyperlink r:id="rId3030">
        <w:r>
          <w:rPr>
            <w:color w:val="0000EE"/>
            <w:u w:val="single"/>
          </w:rPr>
          <w:t>44</w:t>
        </w:r>
      </w:hyperlink>
      <w:r>
        <w:t xml:space="preserve">) a fourni une preuve surprenante de l'acceptation des Gentils par Dieu, qui ne pouvait être mise en doute même par les membres du groupe juif scrupuleux, pro-circoncision, qui ont été témoins de l'événement (v. </w:t>
      </w:r>
      <w:hyperlink r:id="rId3031">
        <w:r>
          <w:rPr>
            <w:color w:val="0000EE"/>
            <w:u w:val="single"/>
          </w:rPr>
          <w:t>45–48</w:t>
        </w:r>
      </w:hyperlink>
      <w:r>
        <w:t>) ou à qui il a été rapporté plus tard (</w:t>
      </w:r>
      <w:hyperlink r:id="rId3032">
        <w:r>
          <w:rPr>
            <w:color w:val="0000EE"/>
            <w:u w:val="single"/>
          </w:rPr>
          <w:t>11.1–18</w:t>
        </w:r>
      </w:hyperlink>
      <w:r>
        <w:t>). La conversion de Corneille est devenue un précédent cité plus tard par Pierre au concile (</w:t>
      </w:r>
      <w:hyperlink r:id="rId3020">
        <w:r>
          <w:rPr>
            <w:color w:val="0000EE"/>
            <w:u w:val="single"/>
          </w:rPr>
          <w:t>15.7–11</w:t>
        </w:r>
      </w:hyperlink>
      <w:r>
        <w:t>).</w:t>
      </w:r>
    </w:p>
    <w:p>
      <w:r/>
      <w:r>
        <w:t>L'acceptation de Corneille par Dieu aurait pu être considérée comme un cas exceptionnel par les chrétiens juifs stricts. Cela a été rendu impossible par la conversion des Grecs à Antioche (</w:t>
      </w:r>
      <w:hyperlink r:id="rId3033">
        <w:r>
          <w:rPr>
            <w:color w:val="0000EE"/>
            <w:u w:val="single"/>
          </w:rPr>
          <w:t>11.20</w:t>
        </w:r>
      </w:hyperlink>
      <w:r>
        <w:t xml:space="preserve">), l'établissement d'une Église ethniquement et culturellement mixte dans cette ville (comme l'implique la diversité des origines des dirigeants mentionnés dans </w:t>
      </w:r>
      <w:hyperlink r:id="rId3034">
        <w:r>
          <w:rPr>
            <w:color w:val="0000EE"/>
            <w:u w:val="single"/>
          </w:rPr>
          <w:t>Ac 13.1</w:t>
        </w:r>
      </w:hyperlink>
      <w:r>
        <w:t xml:space="preserve">), et le grand nombre de Gentils convertis lors du voyage missionnaire de Paul en Asie Mineure du sud-centre (chap. </w:t>
      </w:r>
      <w:hyperlink r:id="rId159">
        <w:r>
          <w:rPr>
            <w:color w:val="0000EE"/>
            <w:u w:val="single"/>
          </w:rPr>
          <w:t>13–14</w:t>
        </w:r>
      </w:hyperlink>
      <w:r>
        <w:t>).</w:t>
      </w:r>
    </w:p>
    <w:p>
      <w:r/>
      <w:r>
        <w:t>Actes rapporte qu'à ce moment-là, des chrétiens juifs de Jérusalem sont venus à Antioche et ont précipité la crise qui a rendu nécessaire la convocation du concile. Leur insistance pour que les croyants gentils soient circoncis et se soumettent à la loi mosaïque revenait à exiger qu'ils deviennent juifs nationalement, socialement et religieusement pour devenir chrétiens. L'Église primitive était donc confrontée à la nécessité de clarifier sa relation avec le judaïsme (en faisait-elle partie ou en était-elle séparée ?) et la nature du salut qu'elle proclamait (nationaliste et légaliste ou par grâce au moyen de la foi ?)</w:t>
      </w:r>
    </w:p>
    <w:p>
      <w:r/>
      <w:r>
        <w:t>Le Concile de Jérusalem a établi que le salut est un don gratuit à recevoir par la foi ; il a rejeté l'effort humain comme moyen ou contributeur au salut. Par implication, il a également dissocié le christianisme de toute tentative de le restreindre à un groupe ethnique, national, culturel ou social particulier. Le concile a affirmé que les chrétiens sont libres de l'obligation de gagner le salut par des cérémonies ou l'observance de la loi. En même temps, il a reconnu la nécessité pratique d'une conduite responsable et appropriée, qui prend en compte la nature morale de Dieu ainsi que les sensibilités et préoccupations des autres chrétiens.</w:t>
      </w:r>
    </w:p>
    <w:p>
      <w:r/>
      <w:r>
        <w:rPr>
          <w:i/>
        </w:rPr>
        <w:t>Voir aussi</w:t>
      </w:r>
      <w:r>
        <w:t xml:space="preserve"> </w:t>
      </w:r>
      <w:r>
        <w:t>Actes des Apôtres, Livre des</w:t>
      </w:r>
      <w:r>
        <w:t xml:space="preserve"> ; </w:t>
      </w:r>
      <w:r>
        <w:t>Galates, Lettre aux</w:t>
      </w:r>
      <w:r>
        <w:t xml:space="preserve"> ; </w:t>
      </w:r>
      <w:r>
        <w:t>Judaïsants</w:t>
      </w:r>
      <w:r>
        <w:t xml:space="preserve"> ; </w:t>
      </w:r>
      <w:r>
        <w:t>Paul, Apôtre</w:t>
      </w:r>
      <w:r>
        <w:t>.</w:t>
      </w:r>
      <w:r/>
      <w:r/>
    </w:p>
    <w:p>
      <w:r/>
    </w:p>
    <w:p>
      <w:pPr>
        <w:pStyle w:val="Heading2"/>
      </w:pPr>
      <w:r>
        <w:t>Concubinage, Concubines</w:t>
      </w:r>
      <w:r/>
    </w:p>
    <w:p>
      <w:r/>
      <w:r>
        <w:t>Situation d'un homme qui vit avec une femme (sa concubine) qui est considérée soit comme sa partenaire sexuelle, soit comme une épouse secondaire, cette femme ayant un statut inférieur à celui de son épouse principale. Le concubinage était pratiqué dans de nombreuses cultures anciennes, notamment en Mésopotamie. Là-bas, les rois avaient des harems, et même les citoyens privés pouvaient avoir une ou deux concubines en plus de leur épouse principale. La Bible fait également référence aux deux types de concubinage. Souvent, une concubine était une esclave ou une femme capturée à la guerre (</w:t>
      </w:r>
      <w:hyperlink r:id="rId2083">
        <w:r>
          <w:rPr>
            <w:color w:val="0000EE"/>
            <w:u w:val="single"/>
          </w:rPr>
          <w:t>Jg 5.30</w:t>
        </w:r>
      </w:hyperlink>
      <w:r>
        <w:t>).</w:t>
      </w:r>
    </w:p>
    <w:p>
      <w:r/>
      <w:r>
        <w:t>Le choix d'avoir une concubine pour un homme pouvait être parce qu'il s'agissait d'une manière moins coûteuse de se marier. En effet, aucune dot ni prix de la mariée n'étaient nécessaires. Avoir une concubine pouvait également augmenter le prestige d'un homme en lui donnant plus d'enfants. Ces enfants étaient souvent reconnus comme légitimes en étant présentés à l'épouse principale, les intégrant ainsi à la famille. La concubine contribuait également à la main-d'œuvre du foyer.</w:t>
      </w:r>
    </w:p>
    <w:p>
      <w:r/>
      <w:r>
        <w:t>À l'époque patriarcale, le concubinage était une pratique courante (</w:t>
      </w:r>
      <w:hyperlink r:id="rId3035">
        <w:r>
          <w:rPr>
            <w:color w:val="0000EE"/>
            <w:u w:val="single"/>
          </w:rPr>
          <w:t>Gn 22.24</w:t>
        </w:r>
      </w:hyperlink>
      <w:r>
        <w:t xml:space="preserve"> ; </w:t>
      </w:r>
      <w:hyperlink r:id="rId2010">
        <w:r>
          <w:rPr>
            <w:color w:val="0000EE"/>
            <w:u w:val="single"/>
          </w:rPr>
          <w:t>35.22</w:t>
        </w:r>
      </w:hyperlink>
      <w:r>
        <w:t xml:space="preserve"> ; </w:t>
      </w:r>
      <w:hyperlink r:id="rId596">
        <w:r>
          <w:rPr>
            <w:color w:val="0000EE"/>
            <w:u w:val="single"/>
          </w:rPr>
          <w:t>36.12</w:t>
        </w:r>
      </w:hyperlink>
      <w:r>
        <w:t>), surtout lorsque l'épouse principale ne pouvait pas avoir d'enfants (</w:t>
      </w:r>
      <w:hyperlink r:id="rId3036">
        <w:r>
          <w:rPr>
            <w:color w:val="0000EE"/>
            <w:u w:val="single"/>
          </w:rPr>
          <w:t>Gn 16.1–3</w:t>
        </w:r>
      </w:hyperlink>
      <w:r>
        <w:t xml:space="preserve"> ; </w:t>
      </w:r>
      <w:hyperlink r:id="rId3037">
        <w:r>
          <w:rPr>
            <w:color w:val="0000EE"/>
            <w:u w:val="single"/>
          </w:rPr>
          <w:t>25.5–6</w:t>
        </w:r>
      </w:hyperlink>
      <w:r>
        <w:t xml:space="preserve"> ; </w:t>
      </w:r>
      <w:hyperlink r:id="rId3038">
        <w:r>
          <w:rPr>
            <w:color w:val="0000EE"/>
            <w:u w:val="single"/>
          </w:rPr>
          <w:t>1Ch 1.32</w:t>
        </w:r>
      </w:hyperlink>
      <w:r>
        <w:t>). Une concubine avait certains droits, et ses enfants pouvaient être reconnus comme faisant partie de la famille et hériter de biens (</w:t>
      </w:r>
      <w:hyperlink r:id="rId3039">
        <w:r>
          <w:rPr>
            <w:color w:val="0000EE"/>
            <w:u w:val="single"/>
          </w:rPr>
          <w:t>Genèse 49.1–28</w:t>
        </w:r>
      </w:hyperlink>
      <w:r>
        <w:t xml:space="preserve"> par exemple inclut les fils des concubines ainsi que ceux des épouses principales ; voir aussi </w:t>
      </w:r>
      <w:hyperlink r:id="rId3040">
        <w:r>
          <w:rPr>
            <w:color w:val="0000EE"/>
            <w:u w:val="single"/>
          </w:rPr>
          <w:t>Gn 35.22–26</w:t>
        </w:r>
      </w:hyperlink>
      <w:r>
        <w:t>). La loi mosaïque ne prohibait pas le concubinage et l'incluait dans ses règles pour les épouses multiples (</w:t>
      </w:r>
      <w:hyperlink r:id="rId3041">
        <w:r>
          <w:rPr>
            <w:color w:val="0000EE"/>
            <w:u w:val="single"/>
          </w:rPr>
          <w:t>Dt 17.17</w:t>
        </w:r>
      </w:hyperlink>
      <w:r>
        <w:t xml:space="preserve">; </w:t>
      </w:r>
      <w:hyperlink r:id="rId3042">
        <w:r>
          <w:rPr>
            <w:color w:val="0000EE"/>
            <w:u w:val="single"/>
          </w:rPr>
          <w:t>21.15–17</w:t>
        </w:r>
      </w:hyperlink>
      <w:r>
        <w:t>).</w:t>
      </w:r>
    </w:p>
    <w:p>
      <w:r/>
      <w:r>
        <w:t>Le concubinage a continué pendant l'époque des Juges. Gédéon avait une concubine (</w:t>
      </w:r>
      <w:hyperlink r:id="rId73">
        <w:r>
          <w:rPr>
            <w:color w:val="0000EE"/>
            <w:u w:val="single"/>
          </w:rPr>
          <w:t>Jg 8.31</w:t>
        </w:r>
      </w:hyperlink>
      <w:r>
        <w:t>), et un Lévite en avait également une (</w:t>
      </w:r>
      <w:hyperlink r:id="rId3043">
        <w:r>
          <w:rPr>
            <w:color w:val="0000EE"/>
            <w:u w:val="single"/>
          </w:rPr>
          <w:t>Jg 19</w:t>
        </w:r>
      </w:hyperlink>
      <w:r>
        <w:t>). Le mauvais traitement de la concubine de ce Lévite par des hommes de la tribu de Benjamin a conduit à une guerre civile sanglante (</w:t>
      </w:r>
      <w:hyperlink r:id="rId3044">
        <w:r>
          <w:rPr>
            <w:color w:val="0000EE"/>
            <w:u w:val="single"/>
          </w:rPr>
          <w:t>Jg 20–21</w:t>
        </w:r>
      </w:hyperlink>
      <w:r>
        <w:t>). Pendant la monarchie d'Israël, seuls les rois pouvaient se permettre le luxe des concubines, tels que :</w:t>
      </w:r>
    </w:p>
    <w:p>
      <w:pPr>
        <w:pStyle w:val="ListBullet"/>
        <w:spacing w:line="240" w:lineRule="auto"/>
        <w:ind w:left="720"/>
      </w:pPr>
      <w:r/>
      <w:r>
        <w:t>Saül (</w:t>
      </w:r>
      <w:hyperlink r:id="rId520">
        <w:r>
          <w:rPr>
            <w:color w:val="0000EE"/>
            <w:u w:val="single"/>
          </w:rPr>
          <w:t>2S 3.7</w:t>
        </w:r>
      </w:hyperlink>
      <w:r>
        <w:t>)</w:t>
      </w:r>
    </w:p>
    <w:p>
      <w:pPr>
        <w:pStyle w:val="ListBullet"/>
        <w:spacing w:line="240" w:lineRule="auto"/>
        <w:ind w:left="720"/>
      </w:pPr>
      <w:r/>
      <w:r>
        <w:t>David (</w:t>
      </w:r>
      <w:hyperlink r:id="rId3045">
        <w:r>
          <w:rPr>
            <w:color w:val="0000EE"/>
            <w:u w:val="single"/>
          </w:rPr>
          <w:t>2S 5.13</w:t>
        </w:r>
      </w:hyperlink>
      <w:r>
        <w:t xml:space="preserve"> ; </w:t>
      </w:r>
      <w:hyperlink r:id="rId3046">
        <w:r>
          <w:rPr>
            <w:color w:val="0000EE"/>
            <w:u w:val="single"/>
          </w:rPr>
          <w:t>15.16</w:t>
        </w:r>
      </w:hyperlink>
      <w:r>
        <w:t>)</w:t>
      </w:r>
    </w:p>
    <w:p>
      <w:pPr>
        <w:pStyle w:val="ListBullet"/>
        <w:spacing w:line="240" w:lineRule="auto"/>
        <w:ind w:left="720"/>
      </w:pPr>
      <w:r/>
      <w:r>
        <w:t>Salomon (</w:t>
      </w:r>
      <w:hyperlink r:id="rId3047">
        <w:r>
          <w:rPr>
            <w:color w:val="0000EE"/>
            <w:u w:val="single"/>
          </w:rPr>
          <w:t>1R 11.3</w:t>
        </w:r>
      </w:hyperlink>
      <w:r>
        <w:t>)</w:t>
      </w:r>
    </w:p>
    <w:p>
      <w:pPr>
        <w:pStyle w:val="ListBullet"/>
        <w:spacing w:line="240" w:lineRule="auto"/>
        <w:ind w:left="720"/>
      </w:pPr>
      <w:r/>
      <w:r>
        <w:t>Roboam (</w:t>
      </w:r>
      <w:hyperlink r:id="rId3048">
        <w:r>
          <w:rPr>
            <w:color w:val="0000EE"/>
            <w:u w:val="single"/>
          </w:rPr>
          <w:t>2Ch 11.21</w:t>
        </w:r>
      </w:hyperlink>
      <w:r>
        <w:t>)</w:t>
      </w:r>
    </w:p>
    <w:p>
      <w:r/>
      <w:r>
        <w:t>Les harems royaux étaient également courants dans d'autres cultures de cette époque, y compris :</w:t>
      </w:r>
    </w:p>
    <w:p>
      <w:pPr>
        <w:pStyle w:val="ListBullet"/>
        <w:spacing w:line="240" w:lineRule="auto"/>
        <w:ind w:left="720"/>
      </w:pPr>
      <w:r/>
      <w:r>
        <w:t>L'Égypte</w:t>
      </w:r>
    </w:p>
    <w:p>
      <w:pPr>
        <w:pStyle w:val="ListBullet"/>
        <w:spacing w:line="240" w:lineRule="auto"/>
        <w:ind w:left="720"/>
      </w:pPr>
      <w:r/>
      <w:r>
        <w:t>La Perse (</w:t>
      </w:r>
      <w:hyperlink r:id="rId3049">
        <w:r>
          <w:rPr>
            <w:color w:val="0000EE"/>
            <w:u w:val="single"/>
          </w:rPr>
          <w:t>Est 2.14</w:t>
        </w:r>
      </w:hyperlink>
      <w:r>
        <w:t>)</w:t>
      </w:r>
    </w:p>
    <w:p>
      <w:pPr>
        <w:pStyle w:val="ListBullet"/>
        <w:spacing w:line="240" w:lineRule="auto"/>
        <w:ind w:left="720"/>
      </w:pPr>
      <w:r/>
      <w:r>
        <w:t>Babylone (</w:t>
      </w:r>
      <w:hyperlink r:id="rId3050">
        <w:r>
          <w:rPr>
            <w:color w:val="0000EE"/>
            <w:u w:val="single"/>
          </w:rPr>
          <w:t>Dn 5.2–3, 23</w:t>
        </w:r>
      </w:hyperlink>
      <w:r>
        <w:t>)</w:t>
      </w:r>
    </w:p>
    <w:p>
      <w:r/>
      <w:r>
        <w:t>Bien que le concubinage ait été accepté dans de nombreuses cultures anciennes, le mariage entre deux personnes était considéré comme préférable. Le concubinage était le résultat d'un désir de prestige et d'une grande famille, mais pouvait parfois mener au libertinage sexuel (</w:t>
      </w:r>
      <w:hyperlink r:id="rId3051">
        <w:r>
          <w:rPr>
            <w:color w:val="0000EE"/>
            <w:u w:val="single"/>
          </w:rPr>
          <w:t>Ec 2.8</w:t>
        </w:r>
      </w:hyperlink>
      <w:r>
        <w:t>). Alors que le concubinage était courant dans les cultures grecque et romaine, il n'était pas en accord avec les enseignements de Jésus (</w:t>
      </w:r>
      <w:hyperlink r:id="rId3052">
        <w:r>
          <w:rPr>
            <w:color w:val="0000EE"/>
            <w:u w:val="single"/>
          </w:rPr>
          <w:t>Mt 19.1–9</w:t>
        </w:r>
      </w:hyperlink>
      <w:r>
        <w:t>).</w:t>
      </w:r>
    </w:p>
    <w:p>
      <w:r/>
      <w:r>
        <w:rPr>
          <w:i/>
        </w:rPr>
        <w:t>Voir aussi</w:t>
      </w:r>
      <w:r>
        <w:t xml:space="preserve"> </w:t>
      </w:r>
      <w:r>
        <w:t>Droit civil et justice</w:t>
      </w:r>
      <w:r>
        <w:t xml:space="preserve"> ; </w:t>
      </w:r>
      <w:r>
        <w:t>Vie familiale et relations</w:t>
      </w:r>
      <w:r>
        <w:t xml:space="preserve"> ; </w:t>
      </w:r>
      <w:r>
        <w:t>Mariage, coutumes matrimoniales</w:t>
      </w:r>
      <w:r>
        <w:t>.</w:t>
      </w:r>
      <w:r/>
      <w:r/>
    </w:p>
    <w:p>
      <w:r/>
    </w:p>
    <w:p>
      <w:pPr>
        <w:pStyle w:val="Heading2"/>
      </w:pPr>
      <w:r>
        <w:t>Conquête et attribution de la terre</w:t>
      </w:r>
      <w:r/>
    </w:p>
    <w:p>
      <w:r/>
      <w:r>
        <w:t>Termes se référant à la conquête de la Terre Promise par Israël et à la manière particulière dont elle a été divisée entre les tribus israélites.</w:t>
      </w:r>
    </w:p>
    <w:p>
      <w:pPr>
        <w:pStyle w:val="Heading3"/>
      </w:pPr>
      <w:r>
        <w:t>Conquête</w:t>
      </w:r>
    </w:p>
    <w:p>
      <w:r/>
      <w:r>
        <w:t>La conquête de Canaan par les Israélites est l'un des événements les plus remarquables de l'histoire de l'Ancien Testament : un peuple nomade faiblement organisé a réussi à envahir une culture bien établie, sécurisée dans ses centres urbains protégés. Cet exploit, selon les Écritures, était le résultat d'une promesse que Dieu avait faite à Abraham, Isaac et Jacob selon laquelle leurs descendants posséderaient le pays (</w:t>
      </w:r>
      <w:hyperlink r:id="rId3053">
        <w:r>
          <w:rPr>
            <w:color w:val="0000EE"/>
            <w:u w:val="single"/>
          </w:rPr>
          <w:t>Gn 17.8</w:t>
        </w:r>
      </w:hyperlink>
      <w:r>
        <w:t xml:space="preserve"> ; </w:t>
      </w:r>
      <w:hyperlink r:id="rId3054">
        <w:r>
          <w:rPr>
            <w:color w:val="0000EE"/>
            <w:u w:val="single"/>
          </w:rPr>
          <w:t>26.4</w:t>
        </w:r>
      </w:hyperlink>
      <w:r>
        <w:t xml:space="preserve"> ; </w:t>
      </w:r>
      <w:hyperlink r:id="rId3055">
        <w:r>
          <w:rPr>
            <w:color w:val="0000EE"/>
            <w:u w:val="single"/>
          </w:rPr>
          <w:t>28.13</w:t>
        </w:r>
      </w:hyperlink>
      <w:r>
        <w:t xml:space="preserve"> ; </w:t>
      </w:r>
      <w:hyperlink r:id="rId3056">
        <w:r>
          <w:rPr>
            <w:color w:val="0000EE"/>
            <w:u w:val="single"/>
          </w:rPr>
          <w:t>Ex 3.15–17</w:t>
        </w:r>
      </w:hyperlink>
      <w:r>
        <w:t>). La dépossession des habitants païens était un jugement divin sur la fausse religion et l'immoralité qui lui était associée (</w:t>
      </w:r>
      <w:hyperlink r:id="rId2173">
        <w:r>
          <w:rPr>
            <w:color w:val="0000EE"/>
            <w:u w:val="single"/>
          </w:rPr>
          <w:t>Dt 7.1–5</w:t>
        </w:r>
      </w:hyperlink>
      <w:r>
        <w:t>).</w:t>
      </w:r>
    </w:p>
    <w:p>
      <w:r/>
      <w:r>
        <w:t>Les chercheurs qui tentent de reconstruire l'histoire de la Conquête rencontrent certains problèmes. La recherche critique s'est heurtée à des déclarations de la Bible à trois points clés : la chronologie, le rythme d'occupation et la question de l'anéantissement militaire par Israël de certaines parties de la population des cités-états cananéennes.</w:t>
      </w:r>
    </w:p>
    <w:p>
      <w:pPr>
        <w:pStyle w:val="Heading3"/>
      </w:pPr>
      <w:r>
        <w:t>Date</w:t>
      </w:r>
    </w:p>
    <w:p>
      <w:r/>
      <w:r>
        <w:t xml:space="preserve">Les ouvrages de référence et les études savantes sur l'histoire de l'Ancien Testament suggèrent souvent une date pour l'exode d'Égypte au 13e siècle av. J.‑C. (1280 av. J.‑C. ou plus tard). Plusieurs références bibliques à cet événement semblent indiquer une date antérieure. Selon </w:t>
      </w:r>
      <w:hyperlink r:id="rId2539">
        <w:r>
          <w:rPr>
            <w:color w:val="0000EE"/>
            <w:u w:val="single"/>
          </w:rPr>
          <w:t>1 Rois 6.1</w:t>
        </w:r>
      </w:hyperlink>
      <w:r>
        <w:t xml:space="preserve">, la construction du temple de Salomon a commencé la quatrième année de son règne, 480 ans après l'exode. Puisque la quatrième année de Salomon était vers 960 av. J.‑C., cela placerait l'exode en 1440 av. J.‑C. Dans </w:t>
      </w:r>
      <w:hyperlink r:id="rId3057">
        <w:r>
          <w:rPr>
            <w:color w:val="0000EE"/>
            <w:u w:val="single"/>
          </w:rPr>
          <w:t>Juges 11.26–28</w:t>
        </w:r>
      </w:hyperlink>
      <w:r>
        <w:t>, lorsque Jephté, huitième des juges nommés, discute avec le roi d'Ammon au sujet de la possession israélite de terres à l'est du Jourdain, il indique qu'Israël occupait ce territoire depuis 300 ans. L'accession de Saül à la royauté vers 1020 av. J.‑C. était encore à quelques décennies, et la date plus tardive proposée pour l'exode ne permet donc pas suffisamment de temps pour la période des juges. De plus, l'apôtre Paul fait référence à une période d'environ 450 ans entre l'exode et le temps de Samuel (</w:t>
      </w:r>
      <w:hyperlink r:id="rId3058">
        <w:r>
          <w:rPr>
            <w:color w:val="0000EE"/>
            <w:u w:val="single"/>
          </w:rPr>
          <w:t>Ac 13.20</w:t>
        </w:r>
      </w:hyperlink>
      <w:r>
        <w:t>).</w:t>
      </w:r>
    </w:p>
    <w:p>
      <w:pPr>
        <w:pStyle w:val="Heading3"/>
      </w:pPr>
      <w:r>
        <w:t>Les Campagnes de Josué</w:t>
      </w:r>
    </w:p>
    <w:p>
      <w:r/>
      <w:r>
        <w:t xml:space="preserve">Le livre de Josué présente une image d'une période concentrée pour la conquête israélite de Canaan. Cependant, de nombreux chercheurs soutiennent qu'une pénétration progressive antérieure a eu lieu (par des Hébreux qui, supposément, n'ont pas accompagné Jacob en Égypte), ainsi qu'une procédure de finalisation de l'installation dans le territoire prolongée qui a continué jusqu'à l'époque de la monarchie. Bien que le récit biblique permette des acquisitions ultérieures dans certaines régions (par exemple, Meguiddo et Beth-Schan), il n'y a aucune raison valable de rejeter la description de la conquête majeure donnée dans </w:t>
      </w:r>
      <w:hyperlink r:id="rId3059">
        <w:r>
          <w:rPr>
            <w:color w:val="0000EE"/>
            <w:u w:val="single"/>
          </w:rPr>
          <w:t>Josué 1–12</w:t>
        </w:r>
      </w:hyperlink>
      <w:r>
        <w:t>.</w:t>
      </w:r>
    </w:p>
    <w:p>
      <w:r/>
      <w:r>
        <w:t>La conquête a commencé à l'est du Jourdain sous Moïse. Après la mort de Moïse, Josué conduit Israël à travers le fleuve, capturant d'abord les villes fortifiées de Jéricho et d'Aï. Ces victoires stratégiques permettront l'accès aux régions montagneuses et créeront une brèche au milieu de Canaan. Deux grandes campagnes s'en suivront : d'abord au sud, puis au nord, permettant à Israël, en six ans, de conquérir les principales villes de Canaan, battant trente-et-un rois et concluant ainsi la phase initiale et principale de la conquête.</w:t>
      </w:r>
    </w:p>
    <w:p>
      <w:r/>
      <w:hyperlink r:id="rId714">
        <w:r>
          <w:rPr>
            <w:color w:val="0000EE"/>
            <w:u w:val="single"/>
          </w:rPr>
          <w:t>Nombres 32</w:t>
        </w:r>
      </w:hyperlink>
      <w:r>
        <w:t xml:space="preserve"> relate l'attribution antérieure du territoire à l'est du Jourdain (Galaad et Basan, acquis par la défaite de deux rois, Sihon des Amoréens et Og de Basan) aux tribus de Ruben, Gad et la demi-tribu de Manassé. Bien que leur terre ait déjà été acquise, les hommes de ces tribus étaient obligés de traverser le Jourdain avec le reste du peuple pour participer à la conquête militaire de Canaan elle-même.</w:t>
      </w:r>
    </w:p>
    <w:p>
      <w:r/>
      <w:hyperlink r:id="rId3060">
        <w:r>
          <w:rPr>
            <w:color w:val="0000EE"/>
            <w:u w:val="single"/>
          </w:rPr>
          <w:t>Josué 2–8</w:t>
        </w:r>
      </w:hyperlink>
      <w:r>
        <w:t xml:space="preserve"> relate les événements inhabituels de la destruction de Jéricho et d'Aï lors de l'avancée initiale vers l'ouest. Ces victoires ont eu tendance à démoraliser les villes restantes du pays. Les chapitres </w:t>
      </w:r>
      <w:hyperlink r:id="rId3061">
        <w:r>
          <w:rPr>
            <w:color w:val="0000EE"/>
            <w:u w:val="single"/>
          </w:rPr>
          <w:t>9</w:t>
        </w:r>
      </w:hyperlink>
      <w:r>
        <w:t xml:space="preserve"> et </w:t>
      </w:r>
      <w:hyperlink r:id="rId3062">
        <w:r>
          <w:rPr>
            <w:color w:val="0000EE"/>
            <w:u w:val="single"/>
          </w:rPr>
          <w:t>10</w:t>
        </w:r>
      </w:hyperlink>
      <w:r>
        <w:t xml:space="preserve"> décrivent la campagne du sud, y compris l'obtention d'un traité par tromperie par les Gabaonites. </w:t>
      </w:r>
      <w:hyperlink r:id="rId3062">
        <w:r>
          <w:rPr>
            <w:color w:val="0000EE"/>
            <w:u w:val="single"/>
          </w:rPr>
          <w:t>Josué 10</w:t>
        </w:r>
      </w:hyperlink>
      <w:r>
        <w:t xml:space="preserve">, avec son récit de la remarquable déroute des forces ennemies (v. </w:t>
      </w:r>
      <w:hyperlink r:id="rId3063">
        <w:r>
          <w:rPr>
            <w:color w:val="0000EE"/>
            <w:u w:val="single"/>
          </w:rPr>
          <w:t>9–12</w:t>
        </w:r>
      </w:hyperlink>
      <w:r>
        <w:t>) et le prolongement miraculeux de la lumière du jour, est le passage central concernant la campagne du sud. Dans la bataille suivante, une alliance de cinq rois amoréens sera écrasée, les rois tués, et les cités-états de la région détruites, à l'exception de Jérusalem (capturée plus tard par David).</w:t>
      </w:r>
    </w:p>
    <w:p>
      <w:r/>
      <w:r>
        <w:t xml:space="preserve">Dans sa campagne au nord, Josué affrontera une alliance plus redoutable. Pourtant, même Jabin, le puissant roi de Hatsor, la plus grande des villes cananéennes, soutenu par ses vassaux locaux, ne fera pas le poids face aux armées d'Israël. </w:t>
      </w:r>
      <w:hyperlink r:id="rId3064">
        <w:r>
          <w:rPr>
            <w:color w:val="0000EE"/>
            <w:u w:val="single"/>
          </w:rPr>
          <w:t>Josué 11</w:t>
        </w:r>
      </w:hyperlink>
      <w:r>
        <w:t xml:space="preserve"> décrit cette phase, puis résume toute la conquête dans les versets </w:t>
      </w:r>
      <w:hyperlink r:id="rId3065">
        <w:r>
          <w:rPr>
            <w:color w:val="0000EE"/>
            <w:u w:val="single"/>
          </w:rPr>
          <w:t>16–23</w:t>
        </w:r>
      </w:hyperlink>
      <w:r>
        <w:t xml:space="preserve"> et jusqu'au chapitre </w:t>
      </w:r>
      <w:hyperlink r:id="rId3066">
        <w:r>
          <w:rPr>
            <w:color w:val="0000EE"/>
            <w:u w:val="single"/>
          </w:rPr>
          <w:t>12</w:t>
        </w:r>
      </w:hyperlink>
      <w:r>
        <w:t>.</w:t>
      </w:r>
    </w:p>
    <w:p>
      <w:r/>
      <w:r>
        <w:rPr>
          <w:i/>
        </w:rPr>
        <w:t>Voir aussi</w:t>
      </w:r>
      <w:r>
        <w:t xml:space="preserve"> </w:t>
      </w:r>
      <w:r>
        <w:t>Attribution de la Terre</w:t>
      </w:r>
      <w:r>
        <w:t>.</w:t>
      </w:r>
      <w:r/>
      <w:r/>
    </w:p>
    <w:p>
      <w:r/>
    </w:p>
    <w:p>
      <w:pPr>
        <w:pStyle w:val="Heading2"/>
      </w:pPr>
      <w:r>
        <w:t>Conscience</w:t>
      </w:r>
      <w:r/>
    </w:p>
    <w:p>
      <w:r/>
      <w:r>
        <w:t>Terme désignant la connaissance de soi. La conscience détermine si ce qu'une personne a fait ou fera est en accord avec ses propres normes morales. La conscience rend également conscient des actions mauvaises déjà commises.</w:t>
      </w:r>
    </w:p>
    <w:p>
      <w:r/>
      <w:r>
        <w:t>Le mot français « conscience » et le mot grec signifient « être avec la connaissance ». Dans l'Ancien Testament, Adam et Ève se sentaient honteux et se cachaient de Dieu, parce que leurs consciences avaient déterminé que désobéir à Dieu était mal (</w:t>
      </w:r>
      <w:hyperlink r:id="rId3067">
        <w:r>
          <w:rPr>
            <w:color w:val="0000EE"/>
            <w:u w:val="single"/>
          </w:rPr>
          <w:t>Gn 3.8–10</w:t>
        </w:r>
      </w:hyperlink>
      <w:r>
        <w:t xml:space="preserve">). Il est normal pour tous les êtres humains de pouvoir distinguer le bien du mal. « </w:t>
      </w:r>
      <w:r>
        <w:t>Le souffle de l’homme est une lampe de l’Éternel</w:t>
      </w:r>
      <w:r>
        <w:t xml:space="preserve"> </w:t>
      </w:r>
      <w:r>
        <w:t>; Il pénètre jusqu’au fond des entrailles</w:t>
      </w:r>
      <w:r>
        <w:t xml:space="preserve"> » (</w:t>
      </w:r>
      <w:hyperlink r:id="rId3068">
        <w:r>
          <w:rPr>
            <w:color w:val="0000EE"/>
            <w:u w:val="single"/>
          </w:rPr>
          <w:t>Pr 20.27</w:t>
        </w:r>
      </w:hyperlink>
      <w:r>
        <w:t>). Ainsi, la conscience est un don de Dieu pour aider une personne à savoir si quelque chose est bon ou mauvais.</w:t>
      </w:r>
    </w:p>
    <w:p>
      <w:pPr>
        <w:pStyle w:val="Heading3"/>
      </w:pPr>
      <w:r>
        <w:t>Que signifie « conscience » dans le Nouveau Testament ?</w:t>
      </w:r>
    </w:p>
    <w:p>
      <w:r/>
      <w:r>
        <w:t>Le mot « conscience » se trouve trente-deux fois dans le Nouveau Testament (voir version Louis Segond). Il est particulièrement présent dans les écrits de l'apôtre Paul. Dans ses écrits, la conscience est présentée comme déterminant ce qui était juste à faire dans le passé et ce qui sera juste à faire à l'avenir. Les personnes qui ne connaissent pas la loi de Dieu peuvent encore faire ce qu'elle dit. Cela montre que la loi et l'œuvre qu'elle exige est « écrite dans leurs cœurs » (</w:t>
      </w:r>
      <w:hyperlink r:id="rId3069">
        <w:r>
          <w:rPr>
            <w:color w:val="0000EE"/>
            <w:u w:val="single"/>
          </w:rPr>
          <w:t>Rm 2.14–15</w:t>
        </w:r>
      </w:hyperlink>
      <w:r>
        <w:t>). Paul dit aussi que chaque personne doit se soumettre aux autorité pour éviter le jugement de Dieu et « par motif de conscience » (</w:t>
      </w:r>
      <w:hyperlink r:id="rId3070">
        <w:r>
          <w:rPr>
            <w:color w:val="0000EE"/>
            <w:u w:val="single"/>
          </w:rPr>
          <w:t>13.5</w:t>
        </w:r>
      </w:hyperlink>
      <w:r>
        <w:t>). Cet enseignement suppose que la conscience peut rendre l'obéissance nécessaire pour ce qui est juste.</w:t>
      </w:r>
    </w:p>
    <w:p>
      <w:r/>
      <w:r>
        <w:t xml:space="preserve">La conscience approuve, détermine ou juge également quand quelqu'un est innocent. C'est tout aussi important que lorsqu'une personne prend conscience qu'elle a fait quelque chose de mal. Paul a dit : « </w:t>
      </w:r>
      <w:r>
        <w:t>je n'ai rien sur la conscience</w:t>
      </w:r>
      <w:r>
        <w:t xml:space="preserve"> » (</w:t>
      </w:r>
      <w:hyperlink r:id="rId3071">
        <w:r>
          <w:rPr>
            <w:color w:val="0000EE"/>
            <w:u w:val="single"/>
          </w:rPr>
          <w:t>1Co 4.3</w:t>
        </w:r>
      </w:hyperlink>
      <w:r>
        <w:t xml:space="preserve">, NFC). Pourtant, la conscience ne peut ni déterminer parfaitement le bien et le mal ni est-elle suffisante à elle seule pour guider une personne. Paul poursuit : « </w:t>
      </w:r>
      <w:r>
        <w:t>mais ce n’est pas pour cela que je suis justifié. Celui qui me juge, c’est le Seigneur</w:t>
      </w:r>
      <w:r>
        <w:t>. » Dans un autre passage, Paul dit que sa conscience a confirmé qu'il disait la vérité. Il lie ce que la conscience approuve avec le Saint-Esprit (</w:t>
      </w:r>
      <w:hyperlink r:id="rId3072">
        <w:r>
          <w:rPr>
            <w:color w:val="0000EE"/>
            <w:u w:val="single"/>
          </w:rPr>
          <w:t>Rm 9.1</w:t>
        </w:r>
      </w:hyperlink>
      <w:r>
        <w:t xml:space="preserve"> ; voir </w:t>
      </w:r>
      <w:hyperlink r:id="rId3073">
        <w:r>
          <w:rPr>
            <w:color w:val="0000EE"/>
            <w:u w:val="single"/>
          </w:rPr>
          <w:t>2Co 1.12</w:t>
        </w:r>
      </w:hyperlink>
      <w:r>
        <w:t>). Cependant, il ne développe pas exactement en quoi consiste ce lien.</w:t>
      </w:r>
    </w:p>
    <w:p>
      <w:r/>
      <w:r>
        <w:t>Paul a cherché à défendre son ministère auprès de l'Église de Corinthe en leur demandant de juger si son comportement était juste ou non. Ils étaient censés pouvoir le faire avec l'aide de leur propre conscience (</w:t>
      </w:r>
      <w:hyperlink r:id="rId3074">
        <w:r>
          <w:rPr>
            <w:color w:val="0000EE"/>
            <w:u w:val="single"/>
          </w:rPr>
          <w:t>2Co 4.1–2</w:t>
        </w:r>
      </w:hyperlink>
      <w:r>
        <w:t>). Paul insistait sur le fait que Dieu connaissait ce qui motivait son comportement. Ainsi, Paul espérait que la conscience des Corinthiens reconnaîtrait également ce motif de « la crainte du Seigneur » (</w:t>
      </w:r>
      <w:hyperlink r:id="rId3075">
        <w:r>
          <w:rPr>
            <w:color w:val="0000EE"/>
            <w:u w:val="single"/>
          </w:rPr>
          <w:t>5.11</w:t>
        </w:r>
      </w:hyperlink>
      <w:r>
        <w:t>). Lorsque Paul écrit à Timothée, il associe une bonne conscience à une foi sincère (</w:t>
      </w:r>
      <w:hyperlink r:id="rId3076">
        <w:r>
          <w:rPr>
            <w:color w:val="0000EE"/>
            <w:u w:val="single"/>
          </w:rPr>
          <w:t>1Tm 1.5</w:t>
        </w:r>
      </w:hyperlink>
      <w:r>
        <w:t>). Lorsque les gens cessent de vivre selon la foi chrétienne, leur conscience peut se trouver comme « cautérisée ». Cela signifie qu'ils ne sont plus conscients de ce qui est bien et mal parce qu'ils persistent à faire ce qui est mal (</w:t>
      </w:r>
      <w:hyperlink r:id="rId3077">
        <w:r>
          <w:rPr>
            <w:color w:val="0000EE"/>
            <w:u w:val="single"/>
          </w:rPr>
          <w:t>4.2</w:t>
        </w:r>
      </w:hyperlink>
      <w:r>
        <w:t>).</w:t>
      </w:r>
    </w:p>
    <w:p>
      <w:r/>
      <w:r>
        <w:t>Dans sa première lettre à l'Église de Corinthe, Paul répond à une question concernant la nourriture offerte en sacrifice aux idoles. Il parle de la façon dont la conscience détermine le comportement futur et passé (</w:t>
      </w:r>
      <w:hyperlink r:id="rId3078">
        <w:r>
          <w:rPr>
            <w:color w:val="0000EE"/>
            <w:u w:val="single"/>
          </w:rPr>
          <w:t>1Co 8–10</w:t>
        </w:r>
      </w:hyperlink>
      <w:r>
        <w:t>). Certains Corinthiens avaient une conscience « faible » car ils pensaient qu'il était mal de manger des aliments offerts en sacrifice aux idoles (</w:t>
      </w:r>
      <w:hyperlink r:id="rId3079">
        <w:r>
          <w:rPr>
            <w:color w:val="0000EE"/>
            <w:u w:val="single"/>
          </w:rPr>
          <w:t>1Co 8.7</w:t>
        </w:r>
      </w:hyperlink>
      <w:r>
        <w:t>). Ils n'ont pas reconnu que toute nourriture peut être consommée, ou est « propre » (</w:t>
      </w:r>
      <w:hyperlink r:id="rId3080">
        <w:r>
          <w:rPr>
            <w:color w:val="0000EE"/>
            <w:u w:val="single"/>
          </w:rPr>
          <w:t>Rm 14.20</w:t>
        </w:r>
      </w:hyperlink>
      <w:r>
        <w:t>).</w:t>
      </w:r>
      <w:r/>
      <w:r/>
    </w:p>
    <w:p>
      <w:r/>
    </w:p>
    <w:p>
      <w:pPr>
        <w:pStyle w:val="Heading2"/>
      </w:pPr>
      <w:r>
        <w:t>Convoiter, convoitise</w:t>
      </w:r>
      <w:r/>
    </w:p>
    <w:p>
      <w:r/>
      <w:r>
        <w:t>Convoiter signifie désirer fortement quelque chose qui appartient à quelqu'un d'autre : un désir ardent ou une envie passionnée.</w:t>
      </w:r>
    </w:p>
    <w:p>
      <w:pPr>
        <w:pStyle w:val="Heading3"/>
      </w:pPr>
      <w:r>
        <w:t>Utilisation dans l'Ancien Testament</w:t>
      </w:r>
    </w:p>
    <w:p>
      <w:r/>
      <w:r>
        <w:t>Dans l'Ancien Testament (AT), trois mots hébreux différents sont traduits par « convoiter » ou « désirer ». Dans une version des dix commandements, il est dit : « Tu ne convoiteras point la femme de ton prochain » (</w:t>
      </w:r>
      <w:hyperlink r:id="rId3081">
        <w:r>
          <w:rPr>
            <w:color w:val="0000EE"/>
            <w:u w:val="single"/>
          </w:rPr>
          <w:t>Dt 5.21</w:t>
        </w:r>
      </w:hyperlink>
      <w:r>
        <w:t xml:space="preserve">). Le même mot hébreu apparaît dans </w:t>
      </w:r>
      <w:hyperlink r:id="rId3082">
        <w:r>
          <w:rPr>
            <w:color w:val="0000EE"/>
            <w:u w:val="single"/>
          </w:rPr>
          <w:t>Proverbes 21.26</w:t>
        </w:r>
      </w:hyperlink>
      <w:r>
        <w:t xml:space="preserve"> : « Tout le jour </w:t>
      </w:r>
      <w:r>
        <w:t>il éprouve des désirs</w:t>
      </w:r>
      <w:r>
        <w:t xml:space="preserve"> ». Un autre mot hébreu suggère un désir de gain malhonnête (</w:t>
      </w:r>
      <w:hyperlink r:id="rId3083">
        <w:r>
          <w:rPr>
            <w:color w:val="0000EE"/>
            <w:u w:val="single"/>
          </w:rPr>
          <w:t>Ha 2.9</w:t>
        </w:r>
      </w:hyperlink>
      <w:r>
        <w:t>). Dans la version des dix commandements du livre de l'Exode, un troisième mot est utilisé pour décrire un désir pour la femme d'un prochain (</w:t>
      </w:r>
      <w:hyperlink r:id="rId3084">
        <w:r>
          <w:rPr>
            <w:color w:val="0000EE"/>
            <w:u w:val="single"/>
          </w:rPr>
          <w:t>Ex 20.17</w:t>
        </w:r>
      </w:hyperlink>
      <w:r>
        <w:t>). Ce mot est également utilisé quand Acan convoite le butin d'Aï (</w:t>
      </w:r>
      <w:hyperlink r:id="rId2086">
        <w:r>
          <w:rPr>
            <w:color w:val="0000EE"/>
            <w:u w:val="single"/>
          </w:rPr>
          <w:t>Jos 7.21</w:t>
        </w:r>
      </w:hyperlink>
      <w:r>
        <w:t xml:space="preserve"> ; comp. avec </w:t>
      </w:r>
      <w:hyperlink r:id="rId3085">
        <w:r>
          <w:rPr>
            <w:color w:val="0000EE"/>
            <w:u w:val="single"/>
          </w:rPr>
          <w:t>Mi 2.2</w:t>
        </w:r>
      </w:hyperlink>
      <w:r>
        <w:t>). « Convoiter » signifie désirer quelque chose si fortement que cela devient plus important que l'amour pour Dieu ou la dévotion envers lui.</w:t>
      </w:r>
    </w:p>
    <w:p>
      <w:pPr>
        <w:pStyle w:val="Heading3"/>
      </w:pPr>
      <w:r>
        <w:t>Utilisation dans le Nouveau Testament</w:t>
      </w:r>
    </w:p>
    <w:p>
      <w:r/>
      <w:r>
        <w:t xml:space="preserve">Dans le Nouveau Testament (NT), un mot grec qui signifie littéralement « désir immodéré d'avoir plus » communique l'idée de convoitise. L'apôtre Paul inclut ce type de convoitise parmi les attitudes terrestres dont les chrétiens doivent se débarrasser. Il écrit : « </w:t>
      </w:r>
      <w:r>
        <w:t>Faites donc mourir les membres qui sont sur la terre, l'impudicité, l'impureté, les passions, les mauvais désirs, et la cupidité, qui est une idolâtrie</w:t>
      </w:r>
      <w:r>
        <w:t xml:space="preserve"> » (</w:t>
      </w:r>
      <w:hyperlink r:id="rId2341">
        <w:r>
          <w:rPr>
            <w:color w:val="0000EE"/>
            <w:u w:val="single"/>
          </w:rPr>
          <w:t>Col 3.5</w:t>
        </w:r>
      </w:hyperlink>
      <w:r>
        <w:t xml:space="preserve"> ; voir </w:t>
      </w:r>
      <w:hyperlink r:id="rId3086">
        <w:r>
          <w:rPr>
            <w:color w:val="0000EE"/>
            <w:u w:val="single"/>
          </w:rPr>
          <w:t>Ep 5.3</w:t>
        </w:r>
      </w:hyperlink>
      <w:r>
        <w:t xml:space="preserve"> ; </w:t>
      </w:r>
      <w:hyperlink r:id="rId3087">
        <w:r>
          <w:rPr>
            <w:color w:val="0000EE"/>
            <w:u w:val="single"/>
          </w:rPr>
          <w:t>1Co 6.10</w:t>
        </w:r>
      </w:hyperlink>
      <w:r>
        <w:t>).</w:t>
      </w:r>
    </w:p>
    <w:p>
      <w:r/>
      <w:r>
        <w:t>L'avidité est présentée comme un péché grave qui peut mener à de nombreux autres péchés. L'amour de l'argent est la racine de toutes sortes de maux (</w:t>
      </w:r>
      <w:hyperlink r:id="rId3088">
        <w:r>
          <w:rPr>
            <w:color w:val="0000EE"/>
            <w:u w:val="single"/>
          </w:rPr>
          <w:t>1Tm 6.9–10</w:t>
        </w:r>
      </w:hyperlink>
      <w:r>
        <w:t xml:space="preserve"> ; voir </w:t>
      </w:r>
      <w:hyperlink r:id="rId3089">
        <w:r>
          <w:rPr>
            <w:color w:val="0000EE"/>
            <w:u w:val="single"/>
          </w:rPr>
          <w:t>Pr 15.27</w:t>
        </w:r>
      </w:hyperlink>
      <w:r>
        <w:t>). L'avarice est le péché d'Ananias et de Saphira (</w:t>
      </w:r>
      <w:hyperlink r:id="rId3090">
        <w:r>
          <w:rPr>
            <w:color w:val="0000EE"/>
            <w:u w:val="single"/>
          </w:rPr>
          <w:t>Ac 5.1–3</w:t>
        </w:r>
      </w:hyperlink>
      <w:r>
        <w:t xml:space="preserve"> ; voir </w:t>
      </w:r>
      <w:hyperlink r:id="rId615">
        <w:r>
          <w:rPr>
            <w:color w:val="0000EE"/>
            <w:u w:val="single"/>
          </w:rPr>
          <w:t>1S 15.9, 19</w:t>
        </w:r>
      </w:hyperlink>
      <w:r>
        <w:t xml:space="preserve"> ; </w:t>
      </w:r>
      <w:hyperlink r:id="rId3091">
        <w:r>
          <w:rPr>
            <w:color w:val="0000EE"/>
            <w:u w:val="single"/>
          </w:rPr>
          <w:t>Mt 26.14–15</w:t>
        </w:r>
      </w:hyperlink>
      <w:r>
        <w:t xml:space="preserve"> ; </w:t>
      </w:r>
      <w:hyperlink r:id="rId1795">
        <w:r>
          <w:rPr>
            <w:color w:val="0000EE"/>
            <w:u w:val="single"/>
          </w:rPr>
          <w:t>2P 2.15</w:t>
        </w:r>
      </w:hyperlink>
      <w:r>
        <w:t xml:space="preserve"> ; </w:t>
      </w:r>
      <w:hyperlink r:id="rId2105">
        <w:r>
          <w:rPr>
            <w:color w:val="0000EE"/>
            <w:u w:val="single"/>
          </w:rPr>
          <w:t>Jd 1.11</w:t>
        </w:r>
      </w:hyperlink>
      <w:r>
        <w:t xml:space="preserve">). Jésus avertit : « </w:t>
      </w:r>
      <w:r>
        <w:t>Gardez-vous avec soin de toute avarice ; car la vie d'un homme ne dépend pas de ses biens, fût-il dans l'abondance</w:t>
      </w:r>
      <w:r>
        <w:t xml:space="preserve"> » (</w:t>
      </w:r>
      <w:hyperlink r:id="rId3092">
        <w:r>
          <w:rPr>
            <w:color w:val="0000EE"/>
            <w:u w:val="single"/>
          </w:rPr>
          <w:t>Lc 12.15</w:t>
        </w:r>
      </w:hyperlink>
      <w:r>
        <w:t xml:space="preserve">). Un autre mot grec traduit par « désirer » ou « aspirer » dans de nombreuses versions françaises a un sens positif (aspirer ou désirer un don spirituel, voir </w:t>
      </w:r>
      <w:hyperlink r:id="rId3093">
        <w:r>
          <w:rPr>
            <w:color w:val="0000EE"/>
            <w:u w:val="single"/>
          </w:rPr>
          <w:t>1Co 14.39</w:t>
        </w:r>
      </w:hyperlink>
      <w:r>
        <w:t>).</w:t>
      </w:r>
    </w:p>
    <w:p>
      <w:r/>
      <w:r>
        <w:t>Les traducteurs de l'AT qui ont produit la Septante ont utilisé un autre mot grec encore pour les trois mots hébreux traduits par « convoiter » ou « désirer » dans les versions françaises. Dans le NT, la forme verbale de ce mot est utilisée de manière à la fois positive et négative. Elle signifie « désirer » ou « aspirer à » et peut s'appliquer à :</w:t>
      </w:r>
    </w:p>
    <w:p>
      <w:pPr>
        <w:pStyle w:val="ListBullet"/>
        <w:spacing w:line="240" w:lineRule="auto"/>
        <w:ind w:left="720"/>
      </w:pPr>
      <w:r/>
      <w:r>
        <w:t>la nourriture (</w:t>
      </w:r>
      <w:hyperlink r:id="rId3094">
        <w:r>
          <w:rPr>
            <w:color w:val="0000EE"/>
            <w:u w:val="single"/>
          </w:rPr>
          <w:t>Lc 15.16</w:t>
        </w:r>
      </w:hyperlink>
      <w:r>
        <w:t>)</w:t>
      </w:r>
    </w:p>
    <w:p>
      <w:pPr>
        <w:pStyle w:val="ListBullet"/>
        <w:spacing w:line="240" w:lineRule="auto"/>
        <w:ind w:left="720"/>
      </w:pPr>
      <w:r/>
      <w:r>
        <w:t>les mystères divins (</w:t>
      </w:r>
      <w:hyperlink r:id="rId3095">
        <w:r>
          <w:rPr>
            <w:color w:val="0000EE"/>
            <w:u w:val="single"/>
          </w:rPr>
          <w:t>Mt 13.17</w:t>
        </w:r>
      </w:hyperlink>
      <w:r>
        <w:t xml:space="preserve"> ; </w:t>
      </w:r>
      <w:hyperlink r:id="rId3096">
        <w:r>
          <w:rPr>
            <w:color w:val="0000EE"/>
            <w:u w:val="single"/>
          </w:rPr>
          <w:t>1P 1.12</w:t>
        </w:r>
      </w:hyperlink>
      <w:r>
        <w:t>)</w:t>
      </w:r>
    </w:p>
    <w:p>
      <w:pPr>
        <w:pStyle w:val="ListBullet"/>
        <w:spacing w:line="240" w:lineRule="auto"/>
        <w:ind w:left="720"/>
      </w:pPr>
      <w:r/>
      <w:r>
        <w:t>de bonnes choses (</w:t>
      </w:r>
      <w:hyperlink r:id="rId3097">
        <w:r>
          <w:rPr>
            <w:color w:val="0000EE"/>
            <w:u w:val="single"/>
          </w:rPr>
          <w:t>Ph 1.23</w:t>
        </w:r>
      </w:hyperlink>
      <w:r>
        <w:t xml:space="preserve"> ; </w:t>
      </w:r>
      <w:hyperlink r:id="rId3098">
        <w:r>
          <w:rPr>
            <w:color w:val="0000EE"/>
            <w:u w:val="single"/>
          </w:rPr>
          <w:t>Hé 6.11</w:t>
        </w:r>
      </w:hyperlink>
      <w:r>
        <w:t>)</w:t>
      </w:r>
    </w:p>
    <w:p>
      <w:pPr>
        <w:pStyle w:val="ListBullet"/>
        <w:spacing w:line="240" w:lineRule="auto"/>
        <w:ind w:left="720"/>
      </w:pPr>
      <w:r/>
      <w:r>
        <w:t>de mauvaises choses (</w:t>
      </w:r>
      <w:hyperlink r:id="rId2769">
        <w:r>
          <w:rPr>
            <w:color w:val="0000EE"/>
            <w:u w:val="single"/>
          </w:rPr>
          <w:t>Mt 5.28</w:t>
        </w:r>
      </w:hyperlink>
      <w:r>
        <w:t xml:space="preserve"> ; </w:t>
      </w:r>
      <w:hyperlink r:id="rId3099">
        <w:r>
          <w:rPr>
            <w:color w:val="0000EE"/>
            <w:u w:val="single"/>
          </w:rPr>
          <w:t>1Th 4.5</w:t>
        </w:r>
      </w:hyperlink>
      <w:r>
        <w:t xml:space="preserve"> ; </w:t>
      </w:r>
      <w:hyperlink r:id="rId3100">
        <w:r>
          <w:rPr>
            <w:color w:val="0000EE"/>
            <w:u w:val="single"/>
          </w:rPr>
          <w:t>1J 2.17</w:t>
        </w:r>
      </w:hyperlink>
      <w:r>
        <w:t>)</w:t>
      </w:r>
    </w:p>
    <w:p>
      <w:r/>
      <w:r>
        <w:t>La forme nominale de ce mot reflète généralement une attitude de désobéissance à la loi de Dieu. Le désir conduit alors à une impulsion mauvaise aboutissant au péché (</w:t>
      </w:r>
      <w:hyperlink r:id="rId3101">
        <w:r>
          <w:rPr>
            <w:color w:val="0000EE"/>
            <w:u w:val="single"/>
          </w:rPr>
          <w:t>Jn 8.44</w:t>
        </w:r>
      </w:hyperlink>
      <w:r>
        <w:t xml:space="preserve"> ; </w:t>
      </w:r>
      <w:hyperlink r:id="rId3102">
        <w:r>
          <w:rPr>
            <w:color w:val="0000EE"/>
            <w:u w:val="single"/>
          </w:rPr>
          <w:t>Rm 1.24</w:t>
        </w:r>
      </w:hyperlink>
      <w:r>
        <w:t xml:space="preserve"> ; </w:t>
      </w:r>
      <w:hyperlink r:id="rId3103">
        <w:r>
          <w:rPr>
            <w:color w:val="0000EE"/>
            <w:u w:val="single"/>
          </w:rPr>
          <w:t>6.12</w:t>
        </w:r>
      </w:hyperlink>
      <w:r>
        <w:t xml:space="preserve"> ; </w:t>
      </w:r>
      <w:hyperlink r:id="rId3104">
        <w:r>
          <w:rPr>
            <w:color w:val="0000EE"/>
            <w:u w:val="single"/>
          </w:rPr>
          <w:t>7.7–8</w:t>
        </w:r>
      </w:hyperlink>
      <w:r>
        <w:t xml:space="preserve"> ; </w:t>
      </w:r>
      <w:hyperlink r:id="rId3105">
        <w:r>
          <w:rPr>
            <w:color w:val="0000EE"/>
            <w:u w:val="single"/>
          </w:rPr>
          <w:t>13.14</w:t>
        </w:r>
      </w:hyperlink>
      <w:r>
        <w:t xml:space="preserve"> ; </w:t>
      </w:r>
      <w:hyperlink r:id="rId2342">
        <w:r>
          <w:rPr>
            <w:color w:val="0000EE"/>
            <w:u w:val="single"/>
          </w:rPr>
          <w:t>Ga 5.16, 26</w:t>
        </w:r>
      </w:hyperlink>
      <w:r>
        <w:t>).</w:t>
      </w:r>
    </w:p>
    <w:p>
      <w:r/>
      <w:r>
        <w:rPr>
          <w:i/>
        </w:rPr>
        <w:t>Voir aussi</w:t>
      </w:r>
      <w:r>
        <w:t xml:space="preserve"> </w:t>
      </w:r>
      <w:r>
        <w:t>commandements, les dix</w:t>
      </w:r>
      <w:r>
        <w:t>.</w:t>
      </w:r>
      <w:r/>
      <w:r/>
    </w:p>
    <w:p>
      <w:r/>
    </w:p>
    <w:p>
      <w:pPr>
        <w:pStyle w:val="Heading2"/>
      </w:pPr>
      <w:r>
        <w:t>corban</w:t>
      </w:r>
      <w:r/>
    </w:p>
    <w:p>
      <w:r/>
      <w:r>
        <w:t>« Corban » est un mot qui vient de l'hébreu (</w:t>
      </w:r>
      <w:r>
        <w:rPr>
          <w:i/>
        </w:rPr>
        <w:t>korban</w:t>
      </w:r>
      <w:r>
        <w:t xml:space="preserve">). Dans la Bible, il apparaît seulement dans </w:t>
      </w:r>
      <w:hyperlink r:id="rId3106">
        <w:r>
          <w:rPr>
            <w:color w:val="0000EE"/>
            <w:u w:val="single"/>
          </w:rPr>
          <w:t>Marc 7.11.</w:t>
        </w:r>
      </w:hyperlink>
      <w:r>
        <w:t xml:space="preserve"> Dans ce verset, Marc explique que « corban » signifie quelque chose qui est donné à Dieu comme une offrande.</w:t>
      </w:r>
    </w:p>
    <w:p>
      <w:r/>
      <w:r>
        <w:t>Déclarer quelque chose « corban » était un choix très sérieux. La Mishna (une collection de lois et traditions orales juives) explique qu'une fois que quelque chose était déclaré corban, cette décision était rarement modifiée (Mishna, Nedarim 5). Rompre un vœu de corban était considéré comme très grave, car les gens croyaient que Dieu les punirait.</w:t>
      </w:r>
    </w:p>
    <w:p>
      <w:r/>
      <w:r>
        <w:t xml:space="preserve">Dans </w:t>
      </w:r>
      <w:hyperlink r:id="rId3107">
        <w:r>
          <w:rPr>
            <w:color w:val="0000EE"/>
            <w:u w:val="single"/>
          </w:rPr>
          <w:t>Marc 7</w:t>
        </w:r>
      </w:hyperlink>
      <w:r>
        <w:t>, Jésus rejette l'enseignement des scribes. Ils enseignaient que, selon la loi, un fils pouvait empêcher ses parents de tirer profit de ses biens. Pour ce faire, il déclarait que ses biens étaient « corban pour eux ». Cette pratique va à l'encontre du commandement de Dieu d'honorer ses parents (</w:t>
      </w:r>
      <w:hyperlink r:id="rId3108">
        <w:r>
          <w:rPr>
            <w:color w:val="0000EE"/>
            <w:u w:val="single"/>
          </w:rPr>
          <w:t>Ex 20.12</w:t>
        </w:r>
      </w:hyperlink>
      <w:r>
        <w:t>). Les règles des enseignants juifs concernant le corban étaient donc en conflit avec la loi de Dieu donnée par Moïse.</w:t>
      </w:r>
    </w:p>
    <w:p>
      <w:r/>
      <w:r>
        <w:t>Même si un fils avait plus tard du remords et voulait aider ses parents, les chefs religieux juifs ne lui permettaient pas de revenir sur sa déclaration de corban (</w:t>
      </w:r>
      <w:hyperlink r:id="rId3109">
        <w:r>
          <w:rPr>
            <w:color w:val="0000EE"/>
            <w:u w:val="single"/>
          </w:rPr>
          <w:t>Mc 7.12</w:t>
        </w:r>
      </w:hyperlink>
      <w:r>
        <w:t xml:space="preserve"> ; voir aussi </w:t>
      </w:r>
      <w:hyperlink r:id="rId3110">
        <w:r>
          <w:rPr>
            <w:color w:val="0000EE"/>
            <w:u w:val="single"/>
          </w:rPr>
          <w:t>Nb 30.1–2</w:t>
        </w:r>
      </w:hyperlink>
      <w:r>
        <w:t>).</w:t>
      </w:r>
      <w:r/>
      <w:r/>
    </w:p>
    <w:p>
      <w:r/>
    </w:p>
    <w:p>
      <w:pPr>
        <w:pStyle w:val="Heading2"/>
      </w:pPr>
      <w:r>
        <w:t>Corinthe</w:t>
      </w:r>
      <w:r/>
    </w:p>
    <w:p>
      <w:r/>
      <w:r>
        <w:t>Ville éminente de Grèce, autrefois capitale de l'ancienne province d'Achaïe, où prêcha l'apôtre Paul. Le site de l'ancienne Corinthe se trouve à l'ouest de l'isthme séparant la péninsule du Péloponnèse de la Grèce continentale. Les ruines antiques, en grande partie d'origine romaine, sont situées à environ 1,25 km de la Corinthe actuelle. La région était habitée depuis les temps néolithiques. Corinthe est dominée par un affleurement rocheux connu sous le nom d'Acrocorinthe (Haute Corinthe). La grandeur de la ville à la période grecque est évidente dans les vestiges du temple d'Apollon, dont les colonnes massives dominent le site. L'entrée de la ville antique se faisait par une très large avenue qui s'étend en ligne droite depuis la porte de la ville. Cette avenue se termine sur le marché, avec des routes menant de là à l'Acrocorinthe. À l'époque apostolique, la ville était un centre commercial et industriel animé, avec une population de près de 700 000 habitants.</w:t>
      </w:r>
    </w:p>
    <w:p>
      <w:pPr>
        <w:pStyle w:val="Heading3"/>
      </w:pPr>
      <w:r>
        <w:t>Histoire et archéologie</w:t>
      </w:r>
    </w:p>
    <w:p>
      <w:r/>
      <w:r>
        <w:t>Vers le milieu du 8e siècle av. J.‑C., Corinthe, stratégiquement située le long des routes commerciales est-ouest, était une cité-État florissante. De 350 à 250 av. J.‑C., elle était la ville la plus importante de Grèce. Puis, la machine militaire romaine commencera une marche implacable pour forger un vaste empire. En 146 av. J.‑C., Corinthe sera complètement détruite et restera en ruines pendant un siècle. En 46 av. J.‑C., Jules César installera un groupe mixte d'Italiens et de Grecs dépossédés sur le site, et une fois de plus, une ville magnifique s'élèvera, cette fois en tant que colonie romaine. Comme dans la plupart des villes romaines, des temples en marbre dominaient le paysage. La ville était approvisionnée en eau par un puits souterrain. Elle deviendra une ville cosmopolite attirant des commerçants du monde entier, bien que sa réputation ait simultanément grandi en tant que centre de luxe, de faste et de vice. Une grande colonie de Juifs déplacés (faisant partie de la Diaspora) s'est développée dans la ville. C'est sans doute ce groupe qui a attiré l'apôtre Paul.</w:t>
      </w:r>
    </w:p>
    <w:p>
      <w:r/>
      <w:r>
        <w:t>En 1896, l'École américaine d'études classiques à Athènes a obtenu la permission de commencer les fouilles du site ancien. Les découvertes sont d'un intérêt particulier pour l'étude des épîtres corinthiennes du Nouveau Testament. Une découverte archéologique importante était un linteau de porte portant une partie d'une inscription désignant le bâtiment comme la « Synagogue des Hébreux ». Cela pourrait avoir marqué la synagogue dans laquelle l'apôtre a prêché (</w:t>
      </w:r>
      <w:hyperlink r:id="rId3111">
        <w:r>
          <w:rPr>
            <w:color w:val="0000EE"/>
            <w:u w:val="single"/>
          </w:rPr>
          <w:t>Ac 18.4</w:t>
        </w:r>
      </w:hyperlink>
      <w:r>
        <w:t>). Une autre découverte était le Bema</w:t>
      </w:r>
      <w:r>
        <w:rPr>
          <w:i/>
        </w:rPr>
        <w:t>,</w:t>
      </w:r>
      <w:r>
        <w:t xml:space="preserve"> ou tribunal (v. </w:t>
      </w:r>
      <w:hyperlink r:id="rId163">
        <w:r>
          <w:rPr>
            <w:color w:val="0000EE"/>
            <w:u w:val="single"/>
          </w:rPr>
          <w:t>12–17</w:t>
        </w:r>
      </w:hyperlink>
      <w:r>
        <w:t>), situé au centre de l'agora</w:t>
      </w:r>
      <w:r>
        <w:rPr>
          <w:i/>
        </w:rPr>
        <w:t>,</w:t>
      </w:r>
      <w:r>
        <w:t xml:space="preserve"> ou marché. C'est là que Paul est apparu devant Gallion, proconsul d'Achaïe. Les dates de Gallion sont bien établies par d'autres inscriptions. Il ne devait pas être arrivé à Corinthe avant juillet 51 ap. J.‑C. Paul est apparu devant lui après avoir exercé son ministère dans la ville pendant presque dix-huit mois. Cela daterait l'arrivée de Paul à Corinthe au début de l'an 50 ap. J.‑C.</w:t>
      </w:r>
    </w:p>
    <w:p>
      <w:r/>
      <w:r>
        <w:t>Corinthe est significative dans l'histoire de l'Église en raison du ministère de l'apôtre Paul en réponse à sa vision macédonienne (</w:t>
      </w:r>
      <w:hyperlink r:id="rId130">
        <w:r>
          <w:rPr>
            <w:color w:val="0000EE"/>
            <w:u w:val="single"/>
          </w:rPr>
          <w:t>Ac 16.9–10</w:t>
        </w:r>
      </w:hyperlink>
      <w:r>
        <w:t xml:space="preserve">). Il a établi des Églises à Philippes, Thessalonique, Bérée, et possiblement Athènes en se rendant à Corinthe. </w:t>
      </w:r>
      <w:hyperlink r:id="rId3112">
        <w:r>
          <w:rPr>
            <w:color w:val="0000EE"/>
            <w:u w:val="single"/>
          </w:rPr>
          <w:t>Actes 18</w:t>
        </w:r>
      </w:hyperlink>
      <w:r>
        <w:t xml:space="preserve"> décrit le travail de Paul à Corinthe, d'abord avec les Juifs, qui s'y sont violemment opposés (v. </w:t>
      </w:r>
      <w:hyperlink r:id="rId3113">
        <w:r>
          <w:rPr>
            <w:color w:val="0000EE"/>
            <w:u w:val="single"/>
          </w:rPr>
          <w:t>6</w:t>
        </w:r>
      </w:hyperlink>
      <w:r>
        <w:t>). À Corinthe, Paul s'est engagé dans son activité ministérielle la plus longue jusqu'alors, lors de ses premiers voyages missionnaires. L'église de Corinthe, née dans un tel creuset de paganisme, a dû traverser de sérieuses douleurs lors de sa mise en route. Les lettres de Paul au groupe de croyants là-bas reflètent un grand catalogue de problèmes pour les chrétiens du 1er siècle, une liste pas si différente des problèmes des chrétiens d'aujourd'hui.</w:t>
      </w:r>
    </w:p>
    <w:p>
      <w:r/>
      <w:r>
        <w:rPr>
          <w:i/>
        </w:rPr>
        <w:t>Voir aussi</w:t>
      </w:r>
      <w:r>
        <w:t xml:space="preserve"> </w:t>
      </w:r>
      <w:r>
        <w:t>Corinthiens, Première Lettre aux</w:t>
      </w:r>
      <w:r>
        <w:t xml:space="preserve"> ; </w:t>
      </w:r>
      <w:r>
        <w:t>Corinthiens, Deuxième Lettre aux</w:t>
      </w:r>
      <w:r>
        <w:t>.</w:t>
      </w:r>
      <w:r/>
      <w:r/>
    </w:p>
    <w:p>
      <w:r/>
    </w:p>
    <w:p>
      <w:pPr>
        <w:pStyle w:val="Heading2"/>
      </w:pPr>
      <w:r>
        <w:t>Corinthiens, Deuxième Lettre aux</w:t>
      </w:r>
      <w:r/>
    </w:p>
    <w:p>
      <w:r/>
      <w:r>
        <w:rPr>
          <w:b/>
        </w:rPr>
        <w:t>Survol</w:t>
      </w:r>
    </w:p>
    <w:p>
      <w:r/>
      <w:r>
        <w:t xml:space="preserve">• </w:t>
      </w:r>
      <w:r>
        <w:rPr>
          <w:b/>
          <w:u w:val="single"/>
        </w:rPr>
        <w:t>Auteur</w:t>
      </w:r>
    </w:p>
    <w:p>
      <w:r/>
      <w:r>
        <w:t xml:space="preserve">• </w:t>
      </w:r>
      <w:r>
        <w:rPr>
          <w:b/>
          <w:u w:val="single"/>
        </w:rPr>
        <w:t>Date et origine</w:t>
      </w:r>
    </w:p>
    <w:p>
      <w:r/>
      <w:r>
        <w:t xml:space="preserve">• </w:t>
      </w:r>
      <w:r>
        <w:rPr>
          <w:b/>
          <w:u w:val="single"/>
        </w:rPr>
        <w:t>Contexte</w:t>
      </w:r>
    </w:p>
    <w:p>
      <w:r/>
      <w:r>
        <w:t xml:space="preserve">• </w:t>
      </w:r>
      <w:r>
        <w:rPr>
          <w:b/>
          <w:u w:val="single"/>
        </w:rPr>
        <w:t>Objectif et enseignement</w:t>
      </w:r>
    </w:p>
    <w:p>
      <w:r/>
      <w:r>
        <w:t xml:space="preserve">• </w:t>
      </w:r>
      <w:r>
        <w:rPr>
          <w:b/>
          <w:u w:val="single"/>
        </w:rPr>
        <w:t>Sommaire</w:t>
      </w:r>
    </w:p>
    <w:p>
      <w:pPr>
        <w:pStyle w:val="Heading3"/>
      </w:pPr>
      <w:r>
        <w:t>Auteur</w:t>
      </w:r>
    </w:p>
    <w:p>
      <w:r/>
      <w:r>
        <w:t xml:space="preserve">L'apôtre Paul est l'auteur reconnu de 2 Corinthiens. Bien que certains érudits soutiennent que </w:t>
      </w:r>
      <w:hyperlink r:id="rId3114">
        <w:r>
          <w:rPr>
            <w:color w:val="0000EE"/>
            <w:u w:val="single"/>
          </w:rPr>
          <w:t>2 Corinthiens 2.14–7.4</w:t>
        </w:r>
      </w:hyperlink>
      <w:r>
        <w:t xml:space="preserve"> et </w:t>
      </w:r>
      <w:hyperlink r:id="rId3115">
        <w:r>
          <w:rPr>
            <w:color w:val="0000EE"/>
            <w:u w:val="single"/>
          </w:rPr>
          <w:t>10–13</w:t>
        </w:r>
      </w:hyperlink>
      <w:r>
        <w:t xml:space="preserve"> sont des lettres distinctes, ce n'est que dans le cas de </w:t>
      </w:r>
      <w:hyperlink r:id="rId414">
        <w:r>
          <w:rPr>
            <w:color w:val="0000EE"/>
            <w:u w:val="single"/>
          </w:rPr>
          <w:t>6.14–7.1</w:t>
        </w:r>
      </w:hyperlink>
      <w:r>
        <w:t xml:space="preserve"> que l'attribution à Paul est contestée. Cette section est certes une digression étrange, mais il serait encore plus étrange de penser qu'un éditeur aurait pu l'insérer à un endroit si inhabituel. De plus, la répétition de la pensée dans </w:t>
      </w:r>
      <w:hyperlink r:id="rId3116">
        <w:r>
          <w:rPr>
            <w:color w:val="0000EE"/>
            <w:u w:val="single"/>
          </w:rPr>
          <w:t>7.2</w:t>
        </w:r>
      </w:hyperlink>
      <w:r>
        <w:t xml:space="preserve"> à partir de </w:t>
      </w:r>
      <w:hyperlink r:id="rId3117">
        <w:r>
          <w:rPr>
            <w:color w:val="0000EE"/>
            <w:u w:val="single"/>
          </w:rPr>
          <w:t>6.13</w:t>
        </w:r>
      </w:hyperlink>
      <w:r>
        <w:t xml:space="preserve"> indique que Paul est conscient d'avoir dévié de son sujet et répète une phrase pour ramener ses lecteurs au sujet.</w:t>
      </w:r>
    </w:p>
    <w:p>
      <w:pPr>
        <w:pStyle w:val="Heading3"/>
      </w:pPr>
      <w:r>
        <w:t>Date et origine</w:t>
      </w:r>
    </w:p>
    <w:p>
      <w:r/>
      <w:r>
        <w:t xml:space="preserve">Après avoir écrit à la fois sa lettre précédente (voir </w:t>
      </w:r>
      <w:hyperlink r:id="rId3118">
        <w:r>
          <w:rPr>
            <w:color w:val="0000EE"/>
            <w:u w:val="single"/>
          </w:rPr>
          <w:t>1Co 5.9</w:t>
        </w:r>
      </w:hyperlink>
      <w:r>
        <w:t>) et 1 Corinthiens depuis Éphèse en l'an 55 apr. J.‑C., Paul a continué à y travailler. À un certain moment durant l'année suivante, une crise a éclaté à Corinthe. Paul a fait un voyage rapide, traversant la mer Égée, mais il n'a pas pu résoudre la crise, et en raison de l'opposition personnelle d'un dirigeant de l'Église (probablement un intrus portant des lettres de recommandation de Jérusalem), il a dû se retirer (</w:t>
      </w:r>
      <w:hyperlink r:id="rId3119">
        <w:r>
          <w:rPr>
            <w:color w:val="0000EE"/>
            <w:u w:val="single"/>
          </w:rPr>
          <w:t>2Co 2.1, 5</w:t>
        </w:r>
      </w:hyperlink>
      <w:r>
        <w:t>). De retour à Éphèse après cette « visite douloureuse », Paul a envoyé Tite avec une « lettre de larmes » cinglante, sa troisième lettre à cette Église (</w:t>
      </w:r>
      <w:hyperlink r:id="rId3120">
        <w:r>
          <w:rPr>
            <w:color w:val="0000EE"/>
            <w:u w:val="single"/>
          </w:rPr>
          <w:t>2Co 2.4</w:t>
        </w:r>
      </w:hyperlink>
      <w:r>
        <w:t xml:space="preserve"> ; </w:t>
      </w:r>
      <w:hyperlink r:id="rId3121">
        <w:r>
          <w:rPr>
            <w:color w:val="0000EE"/>
            <w:u w:val="single"/>
          </w:rPr>
          <w:t>7.8, 12</w:t>
        </w:r>
      </w:hyperlink>
      <w:r>
        <w:t xml:space="preserve">), qui a conduit à l'excommunication du dirigeant et à la repentance de l'Église. Cette lettre a été perdue. Pendant ce temps, une situation a éclaté à Éphèse durant laquelle la mort (probablement par voie d'exécution) semblait si certaine que Paul désespérait de la vie (voir </w:t>
      </w:r>
      <w:hyperlink r:id="rId527">
        <w:r>
          <w:rPr>
            <w:color w:val="0000EE"/>
            <w:u w:val="single"/>
          </w:rPr>
          <w:t>Ac 19.23–41</w:t>
        </w:r>
      </w:hyperlink>
      <w:r>
        <w:t xml:space="preserve"> ; voir aussi </w:t>
      </w:r>
      <w:hyperlink r:id="rId651">
        <w:r>
          <w:rPr>
            <w:color w:val="0000EE"/>
            <w:u w:val="single"/>
          </w:rPr>
          <w:t>Rm 16.4</w:t>
        </w:r>
      </w:hyperlink>
      <w:r>
        <w:t xml:space="preserve"> ; </w:t>
      </w:r>
      <w:hyperlink r:id="rId3122">
        <w:r>
          <w:rPr>
            <w:color w:val="0000EE"/>
            <w:u w:val="single"/>
          </w:rPr>
          <w:t>2Co 1.8–9</w:t>
        </w:r>
      </w:hyperlink>
      <w:r>
        <w:t>). Paul n'a pas été tué, mais son évasion semblait miraculeuse.</w:t>
      </w:r>
    </w:p>
    <w:p>
      <w:r/>
      <w:r>
        <w:t xml:space="preserve">En quittant Éphèse au début de l'an 56 apr. J.‑C., Paul voyagera vers le nord jusqu'à Troas à la recherche de Tite et de nouvelles de Corinthe. Incapable de supporter l'absence de nouvelles, il abandonnera une mission prometteuse à Troas et naviguera vers Philippes. Là, il rencontrera Tite, qui lui expliquera le changement d'attitude des Corinthiens. </w:t>
      </w:r>
      <w:hyperlink r:id="rId3123">
        <w:r>
          <w:rPr>
            <w:color w:val="0000EE"/>
            <w:u w:val="single"/>
          </w:rPr>
          <w:t>2 Corinthiens 1–9</w:t>
        </w:r>
      </w:hyperlink>
      <w:r>
        <w:t xml:space="preserve"> répond à cette situation, les chapitres </w:t>
      </w:r>
      <w:hyperlink r:id="rId3124">
        <w:r>
          <w:rPr>
            <w:color w:val="0000EE"/>
            <w:u w:val="single"/>
          </w:rPr>
          <w:t>8–9</w:t>
        </w:r>
      </w:hyperlink>
      <w:r>
        <w:t xml:space="preserve"> préparant les Corinthiens pour une visite à venir. Plus tard, Paul recevra d'autres nouvelles de Corinthe indiquant une opposition renouvelée contre lui. En réponse, il rédigera la défense personnelle trouvée dans </w:t>
      </w:r>
      <w:hyperlink r:id="rId3115">
        <w:r>
          <w:rPr>
            <w:color w:val="0000EE"/>
            <w:u w:val="single"/>
          </w:rPr>
          <w:t>2 Corinthiens 10–13</w:t>
        </w:r>
      </w:hyperlink>
      <w:r>
        <w:t>. Paul suivra la lettre d'une visite plus tard dans l'année (</w:t>
      </w:r>
      <w:hyperlink r:id="rId3125">
        <w:r>
          <w:rPr>
            <w:color w:val="0000EE"/>
            <w:u w:val="single"/>
          </w:rPr>
          <w:t>Ac 20.2–3</w:t>
        </w:r>
      </w:hyperlink>
      <w:r>
        <w:t>). Nous ne connaissons pas la réponse à 2 Corinthiens ni l'issue de sa visite finale, mais plus tard, l'histoire troublée de l'Église de Corinthe continuera, un autre leader chrétien devant écrire une lettre à la fin du siècle (Épître de Clément).</w:t>
      </w:r>
    </w:p>
    <w:p>
      <w:pPr>
        <w:pStyle w:val="Heading3"/>
      </w:pPr>
      <w:r>
        <w:t>Contexte</w:t>
      </w:r>
    </w:p>
    <w:p>
      <w:r/>
      <w:r>
        <w:t>Les Églises de maison de Corinthe avaient toujours une grande diversité. Alors que ceux qui appréciaient Apollos méprisaient sans doute le style direct de Paul, d'autres qui préféraient Pierre faisaient probablement appel, au-delà de Paul, aux plus authentiques « apôtres originaux » à Jérusalem avec leurs coutumes juives (</w:t>
      </w:r>
      <w:hyperlink r:id="rId3126">
        <w:r>
          <w:rPr>
            <w:color w:val="0000EE"/>
            <w:u w:val="single"/>
          </w:rPr>
          <w:t>1Co 1</w:t>
        </w:r>
      </w:hyperlink>
      <w:r>
        <w:t>). Les enseignants itinérants avec des lettres de recommandation de ces apôtres attiraient facilement des adeptes lorsqu'ils venaient à Corinthe et sapaient l'autorité de Paul et même son caractère. De plus, en raison de cette influence extérieure, la collecte pour les pauvres à Jérusalem que Paul avait initiée (</w:t>
      </w:r>
      <w:hyperlink r:id="rId3127">
        <w:r>
          <w:rPr>
            <w:color w:val="0000EE"/>
            <w:u w:val="single"/>
          </w:rPr>
          <w:t>16.1–4</w:t>
        </w:r>
      </w:hyperlink>
      <w:r>
        <w:t>) était laissée en suspens, à la fois parce qu'elle était liée à Paul et parce que les enseignants eux-mêmes prenaient de l'argent de l'Église. Paul écrit pour réaffirmer son amour et réparer les dommages causés par les intrus.</w:t>
      </w:r>
    </w:p>
    <w:p>
      <w:pPr>
        <w:pStyle w:val="Heading3"/>
      </w:pPr>
      <w:r>
        <w:t>Objectif et enseignement</w:t>
      </w:r>
    </w:p>
    <w:p>
      <w:r/>
      <w:r>
        <w:t>Dans la première section de la lettre, Paul a deux objectifs principaux. Le premier est de consolider sa relation restaurée avec Corinthe, en expliquant certaines situations, en pardonnant à ceux qui se sont opposés à lui et en réfléchissant à la nature du ministère chrétien. Pour Paul, le ministère signifiait à la fois une souffrance intense et du réconfort. La souffrance physique et émotionnelle provenait des situations et des personnes avec lesquelles il travaillait, mais sa connaissance de la récompense future et son expérience de la puissance de Dieu agissant en lui lui apportaient une joie et un réconfort profonds. En raison de sa récente expérience de l'imminence de la mort, Paul réfléchit également à ce qui se passe après la mort. Son attente est de recevoir un corps de résurrection et d'être en présence de Jésus après la mort.</w:t>
      </w:r>
    </w:p>
    <w:p>
      <w:r/>
      <w:r>
        <w:t>Le deuxième objectif de cette section est de relancer la collecte pour Jérusalem. Dans ce contexte, il offre un enseignement majeur sur le don et l'économie chrétienne : les chrétiens doivent suivre Christ en donnant librement ; l'égalité économique est le principe qui détermine qui donne à qui.</w:t>
      </w:r>
    </w:p>
    <w:p>
      <w:r/>
      <w:r>
        <w:t>La deuxième section de la lettre est une défense passionnée, réfutant les prétentions de supériorité de l'intrus. Ni l'éloquence ni la lignée ne comptent dans le ministère chrétien ; seul importe l'appel de Dieu.</w:t>
      </w:r>
    </w:p>
    <w:p>
      <w:r/>
      <w:r>
        <w:t>Dans les deux sections, on observe le profond désir de Paul pour l'unité de l'Église, tant au sein de la communauté locale qu'avec les dirigeants nommés par Dieu, tels que Paul.</w:t>
      </w:r>
    </w:p>
    <w:p>
      <w:pPr>
        <w:pStyle w:val="Heading3"/>
      </w:pPr>
      <w:r>
        <w:t>Contenus</w:t>
      </w:r>
    </w:p>
    <w:p>
      <w:pPr>
        <w:pStyle w:val="Heading4"/>
      </w:pPr>
      <w:r>
        <w:t xml:space="preserve">Salutation, </w:t>
      </w:r>
      <w:hyperlink r:id="rId3128">
        <w:r>
          <w:rPr>
            <w:color w:val="0000EE"/>
            <w:u w:val="single"/>
          </w:rPr>
          <w:t>1.1–7</w:t>
        </w:r>
      </w:hyperlink>
    </w:p>
    <w:p>
      <w:r/>
      <w:r>
        <w:t>Une salutation standard (</w:t>
      </w:r>
      <w:hyperlink r:id="rId3129">
        <w:r>
          <w:rPr>
            <w:color w:val="0000EE"/>
            <w:u w:val="single"/>
          </w:rPr>
          <w:t>2Co 1.1–2</w:t>
        </w:r>
      </w:hyperlink>
      <w:r>
        <w:t xml:space="preserve">) précède l'action de grâce habituelle de Paul (v. </w:t>
      </w:r>
      <w:hyperlink r:id="rId3130">
        <w:r>
          <w:rPr>
            <w:color w:val="0000EE"/>
            <w:u w:val="single"/>
          </w:rPr>
          <w:t>3–7</w:t>
        </w:r>
      </w:hyperlink>
      <w:r>
        <w:t xml:space="preserve">). Le sujet de l'action de grâce (le réconfort au milieu de la souffrance) est le sujet des chapitres </w:t>
      </w:r>
      <w:hyperlink r:id="rId3131">
        <w:r>
          <w:rPr>
            <w:color w:val="0000EE"/>
            <w:u w:val="single"/>
          </w:rPr>
          <w:t>1–7</w:t>
        </w:r>
      </w:hyperlink>
      <w:r>
        <w:t>. Paul sait ce que c'est que de souffrir, mais c'est dans la souffrance qu'il a expérimenté le réconfort de Dieu, qu'il transmet aux Corinthiens.</w:t>
      </w:r>
    </w:p>
    <w:p>
      <w:pPr>
        <w:pStyle w:val="Heading4"/>
      </w:pPr>
      <w:r>
        <w:t xml:space="preserve">Explications de Paul, </w:t>
      </w:r>
      <w:hyperlink r:id="rId3132">
        <w:r>
          <w:rPr>
            <w:color w:val="0000EE"/>
            <w:u w:val="single"/>
          </w:rPr>
          <w:t>1.8–2.13</w:t>
        </w:r>
      </w:hyperlink>
    </w:p>
    <w:p>
      <w:r/>
      <w:r>
        <w:t>Paul les informe du danger qu'il a subi à Éphèse, un danger si grand qu'il ne croyait pas survivre. Sa survie éventuelle semblait être une résurrection virtuelle, renforçant sa conviction que Dieu, et non la force humaine, est le seul refuge chrétien (</w:t>
      </w:r>
      <w:hyperlink r:id="rId3133">
        <w:r>
          <w:rPr>
            <w:color w:val="0000EE"/>
            <w:u w:val="single"/>
          </w:rPr>
          <w:t>1.8–11</w:t>
        </w:r>
      </w:hyperlink>
      <w:r>
        <w:t xml:space="preserve">). Dans cette situation et dans toutes les autres, la seule fierté de Paul est celle d'une conscience claire devant Dieu (v. </w:t>
      </w:r>
      <w:hyperlink r:id="rId3134">
        <w:r>
          <w:rPr>
            <w:color w:val="0000EE"/>
            <w:u w:val="single"/>
          </w:rPr>
          <w:t>12–14</w:t>
        </w:r>
      </w:hyperlink>
      <w:r>
        <w:t>).</w:t>
      </w:r>
    </w:p>
    <w:p>
      <w:r/>
      <w:r>
        <w:t xml:space="preserve">Paul leur avait parlé de projets pour une double visite (voir </w:t>
      </w:r>
      <w:hyperlink r:id="rId3135">
        <w:r>
          <w:rPr>
            <w:color w:val="0000EE"/>
            <w:u w:val="single"/>
          </w:rPr>
          <w:t>1Co 16.5–6</w:t>
        </w:r>
      </w:hyperlink>
      <w:r>
        <w:t>), mais à l'exception de sa brève « visite douloureuse », il n'avait pas réalisé son plan (</w:t>
      </w:r>
      <w:hyperlink r:id="rId3136">
        <w:r>
          <w:rPr>
            <w:color w:val="0000EE"/>
            <w:u w:val="single"/>
          </w:rPr>
          <w:t>2Co 1.15–2.4</w:t>
        </w:r>
      </w:hyperlink>
      <w:r>
        <w:t xml:space="preserve">). Il se défend des accusations de ne pas planifier dans l'Esprit ou de vacillation hypocrite. Il n'avait en effet qu'une parole (cf. </w:t>
      </w:r>
      <w:hyperlink r:id="rId3137">
        <w:r>
          <w:rPr>
            <w:color w:val="0000EE"/>
            <w:u w:val="single"/>
          </w:rPr>
          <w:t>Jc 5.12</w:t>
        </w:r>
      </w:hyperlink>
      <w:r>
        <w:t>), car sa vie reflétait la promesse accomplie de Dieu en Jésus, mais il avait changé ses plans pour ne pas répéter la « visite douloureuse » de l'année précédente. C'était l'amour, et non l'inconstance, qui motivait la visite retardée.</w:t>
      </w:r>
    </w:p>
    <w:p>
      <w:r/>
      <w:r>
        <w:t xml:space="preserve">Les Corinthiens avaient répondu à la « lettre de larmes » de Paul en excommuniant la personne qui s'était opposée à Paul (pas la même personne que dans </w:t>
      </w:r>
      <w:hyperlink r:id="rId3138">
        <w:r>
          <w:rPr>
            <w:color w:val="0000EE"/>
            <w:u w:val="single"/>
          </w:rPr>
          <w:t>1Co 5</w:t>
        </w:r>
      </w:hyperlink>
      <w:r>
        <w:t>). Comme cette personne s'était repentie, Paul a demandé sa réintégration dans la communauté, pardonnant librement et gracieusement à l'homme qui l'avait blessé. L'excommunication est destinée aux personnes non-repentantes ; son but est atteint une fois que la personne se repent (</w:t>
      </w:r>
      <w:hyperlink r:id="rId3139">
        <w:r>
          <w:rPr>
            <w:color w:val="0000EE"/>
            <w:u w:val="single"/>
          </w:rPr>
          <w:t>2Co 2.5–11</w:t>
        </w:r>
      </w:hyperlink>
      <w:r>
        <w:t>).</w:t>
      </w:r>
    </w:p>
    <w:p>
      <w:r/>
      <w:r>
        <w:t>Paul raconte ensuite son voyage d'Éphèse à Philippes, lorsqu'il cherchait des nouvelles de la réponse à la « lettre de larmes » (</w:t>
      </w:r>
      <w:hyperlink r:id="rId3140">
        <w:r>
          <w:rPr>
            <w:color w:val="0000EE"/>
            <w:u w:val="single"/>
          </w:rPr>
          <w:t>2.12–13</w:t>
        </w:r>
      </w:hyperlink>
      <w:r>
        <w:t>). Après avoir expliqué comment il a quitté une opportunité de ministère à Troas pour aller retrouver Tite à Philippes, il interrompt le récit avec une longue digression.</w:t>
      </w:r>
    </w:p>
    <w:p>
      <w:pPr>
        <w:pStyle w:val="Heading4"/>
      </w:pPr>
      <w:r>
        <w:t xml:space="preserve">Nature du ministère apostolique, </w:t>
      </w:r>
      <w:hyperlink r:id="rId3114">
        <w:r>
          <w:rPr>
            <w:color w:val="0000EE"/>
            <w:u w:val="single"/>
          </w:rPr>
          <w:t>2.14–7.4</w:t>
        </w:r>
      </w:hyperlink>
    </w:p>
    <w:p>
      <w:r/>
      <w:r>
        <w:t>Le ministère apostolique auquel Paul a participé est semblable au ministère de Jésus, un ministère de souffrance et de gloire. Même dans la souffrance, il y a un triomphe en Christ, car les chrétiens partagent le triomphe de Christ. Pourtant, tout comme les parfums d'un triomphe romain étaient une joie pour les vainqueurs mais signifiaient la mort pour les prisonniers en route vers l'exécution, le triomphe de Jésus est la vie pour le croyant et la mort pour l'incroyant (</w:t>
      </w:r>
      <w:hyperlink r:id="rId3141">
        <w:r>
          <w:rPr>
            <w:color w:val="0000EE"/>
            <w:u w:val="single"/>
          </w:rPr>
          <w:t>2.14–17</w:t>
        </w:r>
      </w:hyperlink>
      <w:r>
        <w:t>).</w:t>
      </w:r>
    </w:p>
    <w:p>
      <w:r/>
      <w:r>
        <w:t>Ce triomphe a peut-être semblé être un sujet d'orgueil, mais Paul ne s'engage pas dans l'auto-exaltation. En effet, il n'a pas besoin des lettres de recommandation que l'intrus à Corinthe a apportées de Jérusalem, car les Corinthiens sont eux-mêmes la preuve de son ministère (</w:t>
      </w:r>
      <w:hyperlink r:id="rId3142">
        <w:r>
          <w:rPr>
            <w:color w:val="0000EE"/>
            <w:u w:val="single"/>
          </w:rPr>
          <w:t>3.1–3</w:t>
        </w:r>
      </w:hyperlink>
      <w:r>
        <w:t>). Sa fierté ne réside pas en lui-même mais dans la nouvelle alliance dans l'Esprit, qui, contrairement à l'ancienne alliance, ne s'efface pas (ici Paul suit une interprétation juive d'</w:t>
      </w:r>
      <w:hyperlink r:id="rId3143">
        <w:r>
          <w:rPr>
            <w:color w:val="0000EE"/>
            <w:u w:val="single"/>
          </w:rPr>
          <w:t>Ex 34.29–35</w:t>
        </w:r>
      </w:hyperlink>
      <w:r>
        <w:t>, selon laquelle Moïse a mis le voile sur son visage pour que le peuple ne voie pas la gloire s'estomper), et elle ne voile pas non plus la présence de Dieu. La nouvelle alliance est permanente ; elle révèle Dieu directement dans l'Esprit. Il n'y a ni tromperie ni dissimulation, car le message ne concerne pas Paul mais Jésus, qui est la lumière elle-même (</w:t>
      </w:r>
      <w:hyperlink r:id="rId3144">
        <w:r>
          <w:rPr>
            <w:color w:val="0000EE"/>
            <w:u w:val="single"/>
          </w:rPr>
          <w:t>2Co 3.4–4.6</w:t>
        </w:r>
      </w:hyperlink>
      <w:r>
        <w:t>).</w:t>
      </w:r>
    </w:p>
    <w:p>
      <w:r/>
      <w:r>
        <w:t>Paul, le messager, est simplement le vase bon marché et fragile qui contient le trésor inestimable, révélant par contraste que la seule puissance dans l'Évangile est celle de Dieu. Ce contraste entre faiblesse et puissance se manifeste dans les souffrances de l'apôtre, une sorte de mort vivante inspirée par les souffrances de Jésus, d'où la vie de Jésus se répand vers les autres (</w:t>
      </w:r>
      <w:hyperlink r:id="rId3145">
        <w:r>
          <w:rPr>
            <w:color w:val="0000EE"/>
            <w:u w:val="single"/>
          </w:rPr>
          <w:t>4.7–15</w:t>
        </w:r>
      </w:hyperlink>
      <w:r>
        <w:t>).</w:t>
      </w:r>
    </w:p>
    <w:p>
      <w:r/>
      <w:r>
        <w:t>Par conséquent, malgré des souffrances intenses, Paul a du courage, car il regarde au-delà de cette vie vers les récompenses de la vie à venir. Toute sa motivation est fondée sur la foi, non sur la vue, car il vit déjà pour des réalités invisibles (</w:t>
      </w:r>
      <w:hyperlink r:id="rId3146">
        <w:r>
          <w:rPr>
            <w:color w:val="0000EE"/>
            <w:u w:val="single"/>
          </w:rPr>
          <w:t>4.16–18</w:t>
        </w:r>
      </w:hyperlink>
      <w:r>
        <w:t>). Lorsqu'il mourra, Paul s'attend à recevoir un corps de résurrection éternel. Son espérance n'est pas de devenir une âme désincarnée (« nue ») mais de passer immédiatement à une vie corporelle glorifiée, déjà garantie par la présence de l'Esprit. Cet espoir était probablement le fruit de sa rencontre proche avec la mort à Éphèse, lorsqu'il a dû méditer et prier sur ce qui viendrait à la mort (</w:t>
      </w:r>
      <w:hyperlink r:id="rId3147">
        <w:r>
          <w:rPr>
            <w:color w:val="0000EE"/>
            <w:u w:val="single"/>
          </w:rPr>
          <w:t>5.1–5</w:t>
        </w:r>
      </w:hyperlink>
      <w:r>
        <w:t xml:space="preserve">). Parce que cet avenir inclut le jugement du Christ, Paul voulait faire tous les efforts pour vivre à la lumière de ce jugement, qu'il voyait déjà par la foi (v. </w:t>
      </w:r>
      <w:hyperlink r:id="rId3148">
        <w:r>
          <w:rPr>
            <w:color w:val="0000EE"/>
            <w:u w:val="single"/>
          </w:rPr>
          <w:t>6–10</w:t>
        </w:r>
      </w:hyperlink>
      <w:r>
        <w:t>).</w:t>
      </w:r>
    </w:p>
    <w:p>
      <w:r/>
      <w:r>
        <w:t>Loin de chercher à se vanter ou à s'exalter, Paul se présentait simplement tel qu'il était : une personne remplie de l'amour de Christ et convaincue que tous devaient vivre non pour eux-mêmes mais pour Christ (</w:t>
      </w:r>
      <w:hyperlink r:id="rId3149">
        <w:r>
          <w:rPr>
            <w:color w:val="0000EE"/>
            <w:u w:val="single"/>
          </w:rPr>
          <w:t>5.11–15</w:t>
        </w:r>
      </w:hyperlink>
      <w:r>
        <w:t>). Personne ne devrait être évalué d'un point de vue purement humain, ni Paul, ni même Christ (car Paul, avant sa conversion, avait une opinion humaine de Christ que sa conversion avait radicalement changée) ; chacun devrait être évalué du point de vue de la nouvelle création. Le travail de Paul était simplement d'annoncer la réconciliation de la nouvelle création, que Dieu a déjà effectuée de son côté et qui n'attend que la ratification d'une personne du côté humain (</w:t>
      </w:r>
      <w:hyperlink r:id="rId3150">
        <w:r>
          <w:rPr>
            <w:color w:val="0000EE"/>
            <w:u w:val="single"/>
          </w:rPr>
          <w:t>5.16–20</w:t>
        </w:r>
      </w:hyperlink>
      <w:r>
        <w:t>).</w:t>
      </w:r>
    </w:p>
    <w:p>
      <w:r/>
      <w:r>
        <w:t>Paul était donc un collaborateur de Dieu, annonçant le salut, utilisant tous les moyens compatibles avec le caractère de Dieu pour proclamer le message, et souffrant de tout ce qui est imaginable pour démontrer l'étendue de l'amour de Dieu (</w:t>
      </w:r>
      <w:hyperlink r:id="rId3151">
        <w:r>
          <w:rPr>
            <w:color w:val="0000EE"/>
            <w:u w:val="single"/>
          </w:rPr>
          <w:t>6.1–10</w:t>
        </w:r>
      </w:hyperlink>
      <w:r>
        <w:t>). Par conséquent, Paul n'avait rien contre les Corinthiens. S'il y avait un blocage dans leur relation avec lui, cela devait venir de leur côté (</w:t>
      </w:r>
      <w:hyperlink r:id="rId3152">
        <w:r>
          <w:rPr>
            <w:color w:val="0000EE"/>
            <w:u w:val="single"/>
          </w:rPr>
          <w:t>6.11–13</w:t>
        </w:r>
      </w:hyperlink>
      <w:r>
        <w:t>).</w:t>
      </w:r>
    </w:p>
    <w:p>
      <w:pPr>
        <w:pStyle w:val="Heading4"/>
      </w:pPr>
      <w:r>
        <w:t xml:space="preserve">Digression sur la Pureté, </w:t>
      </w:r>
      <w:hyperlink r:id="rId414">
        <w:r>
          <w:rPr>
            <w:color w:val="0000EE"/>
            <w:u w:val="single"/>
          </w:rPr>
          <w:t>6.14–7.1</w:t>
        </w:r>
      </w:hyperlink>
    </w:p>
    <w:p>
      <w:r/>
      <w:r>
        <w:t xml:space="preserve">Peut-être soupçonnant que le véritable obstacle dans la relation était leur amour du monde, ou que les Corinthiens n'étaient pas totalement remis des problèmes mentionnés dans 1 Corinthiens, Paul a fait un aparté pour aborder la pureté et la sanctification des croyants. Il y a deux groupes : la lumière et les ténèbres, Christ et le diable, les croyants et les non-croyants. Par conséquent, comme le montrent </w:t>
      </w:r>
      <w:hyperlink r:id="rId3153">
        <w:r>
          <w:rPr>
            <w:color w:val="0000EE"/>
            <w:u w:val="single"/>
          </w:rPr>
          <w:t>Exode 25.8</w:t>
        </w:r>
      </w:hyperlink>
      <w:r>
        <w:t xml:space="preserve">, </w:t>
      </w:r>
      <w:hyperlink r:id="rId3154">
        <w:r>
          <w:rPr>
            <w:color w:val="0000EE"/>
            <w:u w:val="single"/>
          </w:rPr>
          <w:t>Lévitique 26.11–12</w:t>
        </w:r>
      </w:hyperlink>
      <w:r>
        <w:t xml:space="preserve">, </w:t>
      </w:r>
      <w:hyperlink r:id="rId3155">
        <w:r>
          <w:rPr>
            <w:color w:val="0000EE"/>
            <w:u w:val="single"/>
          </w:rPr>
          <w:t>Ésaïe 52.11</w:t>
        </w:r>
      </w:hyperlink>
      <w:r>
        <w:t xml:space="preserve">, </w:t>
      </w:r>
      <w:hyperlink r:id="rId3156">
        <w:r>
          <w:rPr>
            <w:color w:val="0000EE"/>
            <w:u w:val="single"/>
          </w:rPr>
          <w:t>Ézéchiel 37.27</w:t>
        </w:r>
      </w:hyperlink>
      <w:r>
        <w:t xml:space="preserve"> et </w:t>
      </w:r>
      <w:hyperlink r:id="rId3157">
        <w:r>
          <w:rPr>
            <w:color w:val="0000EE"/>
            <w:u w:val="single"/>
          </w:rPr>
          <w:t>Osée 1.10</w:t>
        </w:r>
      </w:hyperlink>
      <w:r>
        <w:t xml:space="preserve"> (les phrases de ces passages s'enchaînent dans un style de citation en chaîne familier aux Juifs), les chrétiens ne devraient pas être étroitement liés aux non-croyants dans le mariage ou dans les affaires, car cela affectera leur pureté morale.</w:t>
      </w:r>
    </w:p>
    <w:p>
      <w:pPr>
        <w:pStyle w:val="Heading4"/>
      </w:pPr>
      <w:r>
        <w:t xml:space="preserve">Retour à la nature du ministère apostolique, </w:t>
      </w:r>
      <w:hyperlink r:id="rId3158">
        <w:r>
          <w:rPr>
            <w:color w:val="0000EE"/>
            <w:u w:val="single"/>
          </w:rPr>
          <w:t>7.2–4</w:t>
        </w:r>
      </w:hyperlink>
    </w:p>
    <w:p>
      <w:r/>
      <w:r>
        <w:t xml:space="preserve">À partir de </w:t>
      </w:r>
      <w:hyperlink r:id="rId3117">
        <w:r>
          <w:rPr>
            <w:color w:val="0000EE"/>
            <w:u w:val="single"/>
          </w:rPr>
          <w:t>6.13</w:t>
        </w:r>
      </w:hyperlink>
      <w:r>
        <w:t>, Paul souligne que les Corinthiens n'ont rien de substantiel contre lui. Il ne les critique pas, mais fait simplement appel à leur cœur, avec amour ; même maintenant, il est prêt à mourir pour eux.</w:t>
      </w:r>
    </w:p>
    <w:p>
      <w:pPr>
        <w:pStyle w:val="Heading4"/>
      </w:pPr>
      <w:r>
        <w:t xml:space="preserve">Conclusion de l'explication, </w:t>
      </w:r>
      <w:hyperlink r:id="rId3159">
        <w:r>
          <w:rPr>
            <w:color w:val="0000EE"/>
            <w:u w:val="single"/>
          </w:rPr>
          <w:t>7.5–16</w:t>
        </w:r>
      </w:hyperlink>
    </w:p>
    <w:p>
      <w:r/>
      <w:r>
        <w:t xml:space="preserve">Ayant conclu sa digression, Paul revient maintenant à la question de son voyage, qu'il avait laissé en </w:t>
      </w:r>
      <w:hyperlink r:id="rId3160">
        <w:r>
          <w:rPr>
            <w:color w:val="0000EE"/>
            <w:u w:val="single"/>
          </w:rPr>
          <w:t>2.13</w:t>
        </w:r>
      </w:hyperlink>
      <w:r>
        <w:t>. Lorsqu'il a rencontré Tite, il a reçu de bonnes nouvelles concernant Corinthe. Il était soulagé que sa « lettre de larmes » ait été efficace, non pas simplement en conduisant à ce qu'ils soient désolés, mais en les amenant à une véritable repentance qui a produit du zèle, une pureté morale et de la joie. De plus, leur comportement envers Tite avait été si impressionnant que le rapport enthousiaste de Tite sur ses propres impressions avait encore plus réjoui Paul.</w:t>
      </w:r>
    </w:p>
    <w:p>
      <w:pPr>
        <w:pStyle w:val="Heading4"/>
      </w:pPr>
      <w:r>
        <w:t xml:space="preserve">Collecte pour Jérusalem, </w:t>
      </w:r>
      <w:hyperlink r:id="rId3124">
        <w:r>
          <w:rPr>
            <w:color w:val="0000EE"/>
            <w:u w:val="single"/>
          </w:rPr>
          <w:t>8.1–9.15</w:t>
        </w:r>
      </w:hyperlink>
    </w:p>
    <w:p>
      <w:r/>
      <w:r>
        <w:t xml:space="preserve">Dans le contexte des relations restaurées, Paul aborde le sujet sensible de la collecte pour l'Église de Jérusalem, qui avait été appauvrie par des famines en Judée dans les années 40. Cette collecte était à la fois un acte de charité (cf. </w:t>
      </w:r>
      <w:hyperlink r:id="rId3161">
        <w:r>
          <w:rPr>
            <w:color w:val="0000EE"/>
            <w:u w:val="single"/>
          </w:rPr>
          <w:t>Ac 11.27–30</w:t>
        </w:r>
      </w:hyperlink>
      <w:r>
        <w:t xml:space="preserve"> ; </w:t>
      </w:r>
      <w:hyperlink r:id="rId2617">
        <w:r>
          <w:rPr>
            <w:color w:val="0000EE"/>
            <w:u w:val="single"/>
          </w:rPr>
          <w:t>Ga 2.10</w:t>
        </w:r>
      </w:hyperlink>
      <w:r>
        <w:t>) et un acte symbolique d'unité et de communion entre les branches païennes et juives de l'Église.</w:t>
      </w:r>
    </w:p>
    <w:p>
      <w:r/>
      <w:r>
        <w:t xml:space="preserve">L'Église appauvrie et souffrante en Macédoine (Philippes) avait donné avec empressement. Par conséquent, Tite revenait pour aider les Corinthiens à achever ce qu'ils avaient commencé l'année précédente (et probablement abandonné lors de la controverse avec Paul, </w:t>
      </w:r>
      <w:hyperlink r:id="rId3162">
        <w:r>
          <w:rPr>
            <w:color w:val="0000EE"/>
            <w:u w:val="single"/>
          </w:rPr>
          <w:t>2Co 8.1–7</w:t>
        </w:r>
      </w:hyperlink>
      <w:r>
        <w:t xml:space="preserve">). Les principes de la collecte sont : 1° les Corinthiens devraient suivre l'exemple de Jésus, qui s'est fait pauvre pour eux ; 2° ils devraient donner librement ce qu'ils peuvent sans regretter de ne pas pouvoir donner plus, car Dieu valorise l'empressement à donner exprimé par l'action, et non le montant net du don ; et 3° il devrait y avoir une égalité économique parmi les sections de l'Église, aucune section ne devant s'enrichir aux dépens d'une autre (voir </w:t>
      </w:r>
      <w:hyperlink r:id="rId3163">
        <w:r>
          <w:rPr>
            <w:color w:val="0000EE"/>
            <w:u w:val="single"/>
          </w:rPr>
          <w:t>Ex 16.18</w:t>
        </w:r>
      </w:hyperlink>
      <w:r>
        <w:t>). Cette égalité économique s'étend à la relation entre deux Églises séparées par un continent (</w:t>
      </w:r>
      <w:hyperlink r:id="rId3164">
        <w:r>
          <w:rPr>
            <w:color w:val="0000EE"/>
            <w:u w:val="single"/>
          </w:rPr>
          <w:t>2Co 8.8–15</w:t>
        </w:r>
      </w:hyperlink>
      <w:r>
        <w:t>).</w:t>
      </w:r>
    </w:p>
    <w:p>
      <w:r/>
      <w:r>
        <w:t>Tite et deux hommes absolument dignes de confiance, nommés par les Églises pour ce travail, viendront superviser le rassemblement final (Paul n'aurait rien à voir personnellement avec l'argent) car il est important que non seulement Dieu, mais aussi le monde, puissent voir l'honnêteté et l'intégrité de la manière dont l'Église gère l'argent (</w:t>
      </w:r>
      <w:hyperlink r:id="rId3165">
        <w:r>
          <w:rPr>
            <w:color w:val="0000EE"/>
            <w:u w:val="single"/>
          </w:rPr>
          <w:t>8.16–24</w:t>
        </w:r>
      </w:hyperlink>
      <w:r>
        <w:t>).</w:t>
      </w:r>
    </w:p>
    <w:p>
      <w:r/>
      <w:r>
        <w:t>Dans cette section, Paul souligne qu'il n'a pas besoin de discuter des raisons de cette collecte ; ils en étaient conscients lorsqu'ils ont commencé à rassembler de l'argent l'année précédente. Cette lettre n'est pas un argument pour la collecte mais un encouragement à parachever le travail. Ainsi, lorsque Paul arriverait avec des représentants d'autres Églises portant leurs contributions, les Corinthiens ne seraient pas embarrassés par le fait que leurs Églises relativement riches ne seraient pas prêtes ou capables de donner généreusement, malgré le fait que Paul avait loué leur empressement précédent. En disant cela, Paul se montre diplomate et perspicace dans la motivation du comportement humain ; il suppose le meilleur au sujet de la situation actuelle (</w:t>
      </w:r>
      <w:hyperlink r:id="rId3166">
        <w:r>
          <w:rPr>
            <w:color w:val="0000EE"/>
            <w:u w:val="single"/>
          </w:rPr>
          <w:t>9.1–5</w:t>
        </w:r>
      </w:hyperlink>
      <w:r>
        <w:t>).</w:t>
      </w:r>
    </w:p>
    <w:p>
      <w:r/>
      <w:r>
        <w:t>Paul ne voulait pas que les Corinthiens donnent par culpabilité, bien qu'il, comme Jésus (</w:t>
      </w:r>
      <w:hyperlink r:id="rId3167">
        <w:r>
          <w:rPr>
            <w:color w:val="0000EE"/>
            <w:u w:val="single"/>
          </w:rPr>
          <w:t>Mt 6.19–20</w:t>
        </w:r>
      </w:hyperlink>
      <w:r>
        <w:t>), ait souligné que la seule véritable valeur de l'argent réside dans le fait de donner pour aider les autres. Il souhaitait plutôt qu'ils soient tellement convaincus de la générosité de Dieu et de sa capacité à pourvoir qu'ils donnent librement et joyeusement. Dieu voulait les enrichir pour qu'ils puissent donner davantage. Le don entraînerait des actions de grâce à Dieu de la part des bénéficiaires, qui prieraient également pour ceux qui ont fait le don, unissant ainsi l'Église. Un rappel final de l'ampleur du don de Dieu clôt la section (</w:t>
      </w:r>
      <w:hyperlink r:id="rId3168">
        <w:r>
          <w:rPr>
            <w:color w:val="0000EE"/>
            <w:u w:val="single"/>
          </w:rPr>
          <w:t>2Co 9.6–15</w:t>
        </w:r>
      </w:hyperlink>
      <w:r>
        <w:t>).</w:t>
      </w:r>
    </w:p>
    <w:p>
      <w:pPr>
        <w:pStyle w:val="Heading4"/>
      </w:pPr>
      <w:r>
        <w:t xml:space="preserve">La Défense de Paul, </w:t>
      </w:r>
      <w:hyperlink r:id="rId3115">
        <w:r>
          <w:rPr>
            <w:color w:val="0000EE"/>
            <w:u w:val="single"/>
          </w:rPr>
          <w:t>10.1–13.14</w:t>
        </w:r>
      </w:hyperlink>
    </w:p>
    <w:p>
      <w:r/>
      <w:r>
        <w:t xml:space="preserve">Un changement de ton abrupt a lieu entre </w:t>
      </w:r>
      <w:hyperlink r:id="rId3169">
        <w:r>
          <w:rPr>
            <w:color w:val="0000EE"/>
            <w:u w:val="single"/>
          </w:rPr>
          <w:t>9.15</w:t>
        </w:r>
      </w:hyperlink>
      <w:r>
        <w:t xml:space="preserve"> et </w:t>
      </w:r>
      <w:hyperlink r:id="rId3170">
        <w:r>
          <w:rPr>
            <w:color w:val="0000EE"/>
            <w:u w:val="single"/>
          </w:rPr>
          <w:t>10.1</w:t>
        </w:r>
      </w:hyperlink>
      <w:r>
        <w:t xml:space="preserve">. Désormais, au lieu du ton conciliant trouvé dans </w:t>
      </w:r>
      <w:hyperlink r:id="rId3131">
        <w:r>
          <w:rPr>
            <w:color w:val="0000EE"/>
            <w:u w:val="single"/>
          </w:rPr>
          <w:t>1.1–7.16</w:t>
        </w:r>
      </w:hyperlink>
      <w:r>
        <w:t>, nous trouvons à la place argumentation et défense, voire menace. L'apostolat de Paul a été attaqué, et il le défendra avec vigueur.</w:t>
      </w:r>
    </w:p>
    <w:p>
      <w:r/>
      <w:r>
        <w:t>Paul était en effet une personne humble qui préférait ne pas faire usage de son autorité. Pourtant, lorsqu'il y était contraint, il possédait quelque chose de plus que l'autorité : il avait un pouvoir spirituel, capable de détruire les arguments opposés et de soumettre tous à l'obéissance à Jésus. Il utiliserait ce pouvoir à Corinthe si nécessaire, bien qu'à ce moment-là il ait été doux et n'ait montré que ce côté-là de son ministère dans ses lettres (</w:t>
      </w:r>
      <w:hyperlink r:id="rId3171">
        <w:r>
          <w:rPr>
            <w:color w:val="0000EE"/>
            <w:u w:val="single"/>
          </w:rPr>
          <w:t>10.1–11</w:t>
        </w:r>
      </w:hyperlink>
      <w:r>
        <w:t>).</w:t>
      </w:r>
    </w:p>
    <w:p>
      <w:r/>
      <w:r>
        <w:t>Ses adversaires parlaient de leurs qualifications et se comparaient favorablement à d'autres ministres. Paul ne voulait pas entrer dans ce jeu de comparaisons. Dieu avait défini le champ de ses travaux, qui était la zone dans laquelle il avait fondé des Églises. C'est lui qui a été le pionnier de l'Église à Corinthe, et celui-ci constitue donc son domaine de ministère ; pas celui de l'intrus (et ceux qui lui ressemblent). Ils se vantaient d'avoir récolté les bénéfices de son ministère ; Paul pouvait montrer un ministère original accordé par Dieu, car c'est la recommandation de Dieu qui compte en dernière analyse (</w:t>
      </w:r>
      <w:hyperlink r:id="rId3172">
        <w:r>
          <w:rPr>
            <w:color w:val="0000EE"/>
            <w:u w:val="single"/>
          </w:rPr>
          <w:t>10.13–18</w:t>
        </w:r>
      </w:hyperlink>
      <w:r>
        <w:t>).</w:t>
      </w:r>
    </w:p>
    <w:p>
      <w:r/>
      <w:r>
        <w:t>Cependant, la rébellion corinthienne est suffisamment grave pour le forcer à se défendre, aussi ridicule qu'un tel exercice puisse sembler. Il a été choqué par la facilité avec laquelle ils se sont détournés vers chaque nouvelle doctrine qui se présentait. Cette tendance inspire la crainte dans le cœur de Paul (</w:t>
      </w:r>
      <w:hyperlink r:id="rId3173">
        <w:r>
          <w:rPr>
            <w:color w:val="0000EE"/>
            <w:u w:val="single"/>
          </w:rPr>
          <w:t>11.1–6</w:t>
        </w:r>
      </w:hyperlink>
      <w:r>
        <w:t>).</w:t>
      </w:r>
    </w:p>
    <w:p>
      <w:r/>
      <w:r>
        <w:t xml:space="preserve">Paul avait été critiqué pour avoir refusé le soutien financier de Corinthe (même s'il acceptait des dons d'autres Églises ; voir </w:t>
      </w:r>
      <w:hyperlink r:id="rId3174">
        <w:r>
          <w:rPr>
            <w:color w:val="0000EE"/>
            <w:u w:val="single"/>
          </w:rPr>
          <w:t>1Co 9</w:t>
        </w:r>
      </w:hyperlink>
      <w:r>
        <w:t>). Il continuerait à refuser un tel soutien, car il voulait saper les revendications de l'intrus. Si l'intrus servait vraiment Dieu seul, qu'il travaille sur la même base que Paul ! Mais puisque l'intrus était faux dans son cœur, servant Satan et non Dieu, il cherchait de l'argent auprès de l'église. Paul était étonné que, dans la sagesse vantée des Corinthiens, ils ne voient pas à travers cette hypocrisie, mais il espérait que même s'il devait jouer l'imbécile en se défendant, ils accepteraient au moins un imbécile comme Paul. L'ironie est que son soin et sa préoccupation très tendres pour l'Église, sa douceur, étaient utilisés contre lui comme une supposée « faiblesse ». Paul, argumentait l'opposant, savait qu'il était faux, donc n'osait pas prendre d'argent des Corinthiens (</w:t>
      </w:r>
      <w:hyperlink r:id="rId3175">
        <w:r>
          <w:rPr>
            <w:color w:val="0000EE"/>
            <w:u w:val="single"/>
          </w:rPr>
          <w:t>11.7–21</w:t>
        </w:r>
      </w:hyperlink>
      <w:r>
        <w:t>).</w:t>
      </w:r>
    </w:p>
    <w:p>
      <w:r/>
      <w:r>
        <w:t>Des intrus prétendaient venir avec l'autorité de Jérusalem. Ils avaient des lettres des apôtres ; il est peu probable, cependant, que les apôtres auraient approuvé leurs activités. Mais ils étaient des Juifs qui pouvaient se vanter d'une autorité respectable derrière eux. Paul se sentait obligé de déclarer ses propres références. S'ils étaient Juifs, il était tout aussi pur en tant que Juif. S'ils servaient le Christ, leur travail et leurs souffrances pouvaient-ils égaler les siens ? La liste des souffrances fournit à la fois des informations historiques non trouvées dans les Actes et pointe vers un labeur infatigable, y compris des jours de jeûne (« sans nourriture ») et des nuits passées en prière (« sans sommeil ») (</w:t>
      </w:r>
      <w:hyperlink r:id="rId3176">
        <w:r>
          <w:rPr>
            <w:color w:val="0000EE"/>
            <w:u w:val="single"/>
          </w:rPr>
          <w:t>11.21–29</w:t>
        </w:r>
      </w:hyperlink>
      <w:r>
        <w:t>).</w:t>
      </w:r>
    </w:p>
    <w:p>
      <w:r/>
      <w:r>
        <w:t>Mais cette manière de se vanter était répugnante pour Paul, alors il a isolé une souffrance particulière : sa fuite de Damas, lorsqu'il a dû se cacher et s'échapper de la ville dans un panier. L'histoire montre à la fois son efficacité en tant qu'évangéliste (car il était une cible de persécution) et le couvre de honte, car il ne pouvait pas se défendre et a dû s'éclipser, de nuit. Cependant, c'est bien cette faiblesse qui était en réalité sa gloire (</w:t>
      </w:r>
      <w:hyperlink r:id="rId3177">
        <w:r>
          <w:rPr>
            <w:color w:val="0000EE"/>
            <w:u w:val="single"/>
          </w:rPr>
          <w:t>11.30–33</w:t>
        </w:r>
      </w:hyperlink>
      <w:r>
        <w:t>).</w:t>
      </w:r>
    </w:p>
    <w:p>
      <w:r/>
      <w:r>
        <w:t>Ses adversaires se vantaient de révélations de Dieu. Paul savait que ces prétentions étaient insensées ; cependant, s'il le fallait, il leur parlerait d'une révélation supérieure à la leur, un moment où il a réellement vu les cieux de l'intérieur (il n'est pas certain de s'il s'agissait d'une vision ou d'une expérience corporelle réelle). Cela s'est probablement produit vers l'an 42 apr. J.‑C., alors que Paul se trouvait à Tarse, avant que Barnabas ne vienne le chercher (</w:t>
      </w:r>
      <w:hyperlink r:id="rId3178">
        <w:r>
          <w:rPr>
            <w:color w:val="0000EE"/>
            <w:u w:val="single"/>
          </w:rPr>
          <w:t>Ac 9.30</w:t>
        </w:r>
      </w:hyperlink>
      <w:r>
        <w:t xml:space="preserve"> ; </w:t>
      </w:r>
      <w:hyperlink r:id="rId3179">
        <w:r>
          <w:rPr>
            <w:color w:val="0000EE"/>
            <w:u w:val="single"/>
          </w:rPr>
          <w:t>11.25</w:t>
        </w:r>
      </w:hyperlink>
      <w:r>
        <w:t xml:space="preserve">). Paul n'aimait pas parler de cela, car la puissance de Dieu se voit plus facilement dans sa faiblesse. En réalité, les adversaires de Paul étaient une affliction de Satan que Dieu a permise pour garder Paul dans l'humilité et pour démontrer sa puissance dans la faiblesse de Paul. (L'image d'une « écharde dans la chair » est celle des ennemis : </w:t>
      </w:r>
      <w:hyperlink r:id="rId3180">
        <w:r>
          <w:rPr>
            <w:color w:val="0000EE"/>
            <w:u w:val="single"/>
          </w:rPr>
          <w:t>Nb 33.55</w:t>
        </w:r>
      </w:hyperlink>
      <w:r>
        <w:t xml:space="preserve"> ; </w:t>
      </w:r>
      <w:hyperlink r:id="rId3181">
        <w:r>
          <w:rPr>
            <w:color w:val="0000EE"/>
            <w:u w:val="single"/>
          </w:rPr>
          <w:t>Jos 23.13</w:t>
        </w:r>
      </w:hyperlink>
      <w:r>
        <w:t xml:space="preserve"> ; Paul décrit également plus clairement ce qu'il entend par là dans </w:t>
      </w:r>
      <w:hyperlink r:id="rId3182">
        <w:r>
          <w:rPr>
            <w:color w:val="0000EE"/>
            <w:u w:val="single"/>
          </w:rPr>
          <w:t>2Co 12.10</w:t>
        </w:r>
      </w:hyperlink>
      <w:r>
        <w:t>). Si la vulnérabilité montre la puissance de Dieu, Paul accepte volontiers la faiblesse (</w:t>
      </w:r>
      <w:hyperlink r:id="rId3183">
        <w:r>
          <w:rPr>
            <w:color w:val="0000EE"/>
            <w:u w:val="single"/>
          </w:rPr>
          <w:t>12.1–10</w:t>
        </w:r>
      </w:hyperlink>
      <w:r>
        <w:t>).</w:t>
      </w:r>
    </w:p>
    <w:p>
      <w:r/>
      <w:r>
        <w:t>Paul se sentait honteux de devoir se vanter. Les adversaires se vantaient de venir des « super-apôtres » de Jérusalem. Paul soulignait qu'il était leur égal, bien que tous deux ne soient rien. Dieu avait marqué le travail de Paul. Avec une ironie mordante, il demande pardon de ne pas avoir pris d'argent des Corinthiens (</w:t>
      </w:r>
      <w:hyperlink r:id="rId3184">
        <w:r>
          <w:rPr>
            <w:color w:val="0000EE"/>
            <w:u w:val="single"/>
          </w:rPr>
          <w:t>12.11–13</w:t>
        </w:r>
      </w:hyperlink>
      <w:r>
        <w:t>).</w:t>
      </w:r>
    </w:p>
    <w:p>
      <w:r/>
      <w:r>
        <w:t>Pourtant, Paul viendrait une troisième fois, et il s'en tiendrait à la même politique de ne pas accepter de soutien de leur part mais de se donner librement à eux, tout comme Jésus l'avait fait sur terre. Non seulement lui, mais tous ses envoyés, s'en tenaient à la même politique. Personne ne pouvait l'accuser de tromperie ou d'incohérence (</w:t>
      </w:r>
      <w:hyperlink r:id="rId3185">
        <w:r>
          <w:rPr>
            <w:color w:val="0000EE"/>
            <w:u w:val="single"/>
          </w:rPr>
          <w:t>12.14–18</w:t>
        </w:r>
      </w:hyperlink>
      <w:r>
        <w:t>). Cependant, il craignait de venir à eux, car il savait que la communauté ne s'était pas seulement rebellée contre lui mais était également en désordre interne. Cette désunion et immoralité humilieraient et peineraient Paul (</w:t>
      </w:r>
      <w:hyperlink r:id="rId3186">
        <w:r>
          <w:rPr>
            <w:color w:val="0000EE"/>
            <w:u w:val="single"/>
          </w:rPr>
          <w:t>12.19–13.4</w:t>
        </w:r>
      </w:hyperlink>
      <w:r>
        <w:t>).</w:t>
      </w:r>
    </w:p>
    <w:p>
      <w:r/>
      <w:r>
        <w:t>Par conséquent, les Corinthiens feraient mieux de s'examiner eux-mêmes. Suivaient-ils vraiment Jésus ou non ? Si c'était le cas, ils devraient voir que Paul suivait également Jésus. Pourtant, la préoccupation de Paul n'était pas pour sa propre position : il était content que lui et son équipe soient rejetés (« faibles »), mais pour que les corinthiens suivent la vérité. Il espérait leur repentance, non pas pour se protéger, mais pour ne pas avoir à être sévère lorsqu'il viendrait (</w:t>
      </w:r>
      <w:hyperlink r:id="rId3187">
        <w:r>
          <w:rPr>
            <w:color w:val="0000EE"/>
            <w:u w:val="single"/>
          </w:rPr>
          <w:t>13.5–10</w:t>
        </w:r>
      </w:hyperlink>
      <w:r>
        <w:t>).</w:t>
      </w:r>
    </w:p>
    <w:p>
      <w:r/>
      <w:r>
        <w:t xml:space="preserve">Il est probable que c'est Paul qui prend lui-même le stylo du scribe à ce stade, pour conclure avec un dernier appel à la repentance et à l'unité en tant qu'Église. De brèves salutations de l'Église en Macédoine et une bénédiction formelle clôturent sa correspondance avec les Corinthiens (v. </w:t>
      </w:r>
      <w:hyperlink r:id="rId3188">
        <w:r>
          <w:rPr>
            <w:color w:val="0000EE"/>
            <w:u w:val="single"/>
          </w:rPr>
          <w:t>11–13</w:t>
        </w:r>
      </w:hyperlink>
      <w:r>
        <w:t>).</w:t>
      </w:r>
    </w:p>
    <w:p>
      <w:r/>
      <w:r>
        <w:rPr>
          <w:i/>
        </w:rPr>
        <w:t>Voir aussi</w:t>
      </w:r>
      <w:r>
        <w:t xml:space="preserve"> </w:t>
      </w:r>
      <w:r>
        <w:t>Actes des Apôtres, Livre des</w:t>
      </w:r>
      <w:r>
        <w:t xml:space="preserve"> ; </w:t>
      </w:r>
      <w:r>
        <w:t>Corinthe</w:t>
      </w:r>
      <w:r>
        <w:t xml:space="preserve"> ; </w:t>
      </w:r>
      <w:r>
        <w:t>Corinthiens, Première lettre aux</w:t>
      </w:r>
      <w:r>
        <w:t xml:space="preserve"> ; </w:t>
      </w:r>
      <w:r>
        <w:t>Paul, Apôtre</w:t>
      </w:r>
      <w:r>
        <w:t>.</w:t>
      </w:r>
      <w:r/>
      <w:r/>
    </w:p>
    <w:p>
      <w:r/>
    </w:p>
    <w:p>
      <w:pPr>
        <w:pStyle w:val="Heading2"/>
      </w:pPr>
      <w:r>
        <w:t>Corinthiens, Première Épître aux</w:t>
      </w:r>
      <w:r/>
    </w:p>
    <w:p>
      <w:r/>
      <w:r>
        <w:t>Sommaire</w:t>
      </w:r>
    </w:p>
    <w:p>
      <w:r/>
      <w:r>
        <w:t>• Auteur</w:t>
      </w:r>
    </w:p>
    <w:p>
      <w:r/>
      <w:r>
        <w:t>• Date de composition et origine</w:t>
      </w:r>
    </w:p>
    <w:p>
      <w:r/>
      <w:r>
        <w:t>• Contexte</w:t>
      </w:r>
    </w:p>
    <w:p>
      <w:r/>
      <w:r>
        <w:t>• Objectif et enseignement</w:t>
      </w:r>
    </w:p>
    <w:p>
      <w:r/>
      <w:r>
        <w:t>• Survol</w:t>
      </w:r>
    </w:p>
    <w:p>
      <w:r/>
    </w:p>
    <w:p>
      <w:pPr>
        <w:pStyle w:val="Heading1"/>
      </w:pPr>
      <w:r>
        <w:t>Auteur</w:t>
      </w:r>
    </w:p>
    <w:p>
      <w:r/>
      <w:r>
        <w:t>Il n'y a aucun doute sur l'identité de l'auteur de 1 Corinthiens ; tous les érudits s'accordent sur le fait que l'apôtre Paul a écrit cette épître de la ville d'Éphèse durant son troisième voyage missionnaire. À ce stade de son ministère, c'est un missionnaire accompli et expérimenté de probablement 55 ans qui a implanté des Églises dans environ un quart du monde méditerranéen.</w:t>
      </w:r>
    </w:p>
    <w:p>
      <w:r/>
    </w:p>
    <w:p>
      <w:pPr>
        <w:pStyle w:val="Heading1"/>
      </w:pPr>
      <w:r>
        <w:t>Date de composition et origine</w:t>
      </w:r>
    </w:p>
    <w:p>
      <w:r/>
      <w:r>
        <w:t>Paul œuvre comme missionnaire à Corinthe vers 50 à 52 apr. J.‑C. Après un passage bref à Jérusalem, il continue son travail missionnaire, cette fois à Éphèse (</w:t>
      </w:r>
      <w:hyperlink r:id="rId1391">
        <w:r>
          <w:rPr>
            <w:color w:val="0000EE"/>
            <w:u w:val="single"/>
          </w:rPr>
          <w:t>Ac 19</w:t>
        </w:r>
      </w:hyperlink>
      <w:r>
        <w:t xml:space="preserve">) où il prêche et enseigne pendant trois ans (53–55/56 apr. J.‑C.). Durant cette période, il écrit au moins trois lettres à l'Église de Corinthe et leur rend visite une fois. La première de ces lettres est mentionnée dans </w:t>
      </w:r>
      <w:hyperlink r:id="rId3189">
        <w:r>
          <w:rPr>
            <w:color w:val="0000EE"/>
            <w:u w:val="single"/>
          </w:rPr>
          <w:t>1 Corinthiens 5.9–11</w:t>
        </w:r>
      </w:hyperlink>
      <w:r>
        <w:t>. Ce passage révèle qu'elle a été mal comprise, mais il y a peu d'informations sur son contenu, car elle n'a pas été préservée.</w:t>
      </w:r>
    </w:p>
    <w:p>
      <w:r/>
      <w:r>
        <w:t>Vers 55 apr. J.‑C., Paul reçoit un rapport sur l'Église de Corinthe par l'intermédiaire de « gens de Chloé » (</w:t>
      </w:r>
      <w:hyperlink r:id="rId3190">
        <w:r>
          <w:rPr>
            <w:color w:val="0000EE"/>
            <w:u w:val="single"/>
          </w:rPr>
          <w:t>1Co 1.11</w:t>
        </w:r>
      </w:hyperlink>
      <w:r>
        <w:t>). Il s'agit probablement de membres de l'Église se réunissant dans la maison de Chloé. Il dicte alors une deuxième lettre à Corinthe, celle que nous appelons 1 Corinthiens. Celle-ci est probablement acheminée à ses destinataires par Stéphanas, Fortunatus et Achaïcus (</w:t>
      </w:r>
      <w:hyperlink r:id="rId3191">
        <w:r>
          <w:rPr>
            <w:color w:val="0000EE"/>
            <w:u w:val="single"/>
          </w:rPr>
          <w:t>16.17</w:t>
        </w:r>
      </w:hyperlink>
      <w:r>
        <w:t>). Paul écrit plus tard une troisième lettre à l'Église de Corinthe, « la lettre de larmes » (</w:t>
      </w:r>
      <w:hyperlink r:id="rId3192">
        <w:r>
          <w:rPr>
            <w:color w:val="0000EE"/>
            <w:u w:val="single"/>
          </w:rPr>
          <w:t>2Co 2.2–3</w:t>
        </w:r>
      </w:hyperlink>
      <w:r>
        <w:t>) et finalement, la lettre que nous appelons 2 Corinthiens.</w:t>
      </w:r>
    </w:p>
    <w:p>
      <w:r/>
    </w:p>
    <w:p>
      <w:pPr>
        <w:pStyle w:val="Heading1"/>
      </w:pPr>
      <w:r>
        <w:t>Contexte</w:t>
      </w:r>
    </w:p>
    <w:p>
      <w:r/>
      <w:r>
        <w:t>Corinthe, ville portuaire, est détruite par les Romains en 146 av. J.‑C. et reconstruite en 46 av. J.‑C. par Jules César. À partir de 27 av. J.‑C., elle devient la capitale de la province romaine de l'Achaïe et le lieu de résidence du proconsul (</w:t>
      </w:r>
      <w:hyperlink r:id="rId328">
        <w:r>
          <w:rPr>
            <w:color w:val="0000EE"/>
            <w:u w:val="single"/>
          </w:rPr>
          <w:t>Ac 18.12</w:t>
        </w:r>
      </w:hyperlink>
      <w:r>
        <w:t>). La métropole comprenait trois sites :</w:t>
      </w:r>
    </w:p>
    <w:p>
      <w:pPr>
        <w:pStyle w:val="ListNumber"/>
        <w:spacing w:line="240" w:lineRule="auto"/>
        <w:ind w:left="720"/>
      </w:pPr>
      <w:r/>
      <w:r>
        <w:t xml:space="preserve">Le port de Cenchrées, situé à environ 13 kilomètres à l'est de Corinthe. Ce port recevait les cargaisons des navires en provenance de la mer Égée. </w:t>
      </w:r>
    </w:p>
    <w:p>
      <w:pPr>
        <w:pStyle w:val="ListNumber"/>
        <w:spacing w:line="240" w:lineRule="auto"/>
        <w:ind w:left="720"/>
      </w:pPr>
      <w:r/>
      <w:r>
        <w:t xml:space="preserve">Le port de Léchée (Léchaion), situé à un peu moins de deux kilomètres de Corinthe, du côté ouest du golfe de Corinthe. Les navires y étaient chargés. On transportait leurs cargaisons sur des chariots pour traverser l'isthme. On faisait traverser les navires en les faisant rouler sur des rondins. </w:t>
      </w:r>
    </w:p>
    <w:p>
      <w:pPr>
        <w:pStyle w:val="ListNumber"/>
        <w:spacing w:line="240" w:lineRule="auto"/>
        <w:ind w:left="720"/>
      </w:pPr>
      <w:r/>
      <w:r>
        <w:t>La cité elle-même, située en hauteur entre les deux ports.</w:t>
      </w:r>
    </w:p>
    <w:p>
      <w:r/>
      <w:r>
        <w:t>L'acropole de la cité était située sur le sommet escarpé et élevé de l'Acrocorinthe. Le temple d'Aphrodite s'y trouvait, où 1 000 femmes esclaves étaient consacrées au service de la déesse de l'amour. Corinthe se distinguait par ce culte et la vénération d'Aphrodite, déesse de l'amour, de la beauté et de la fertilité. Aphrodite est l'équivalent grec de la déesse romaine Vénus. Ce culte s'accompagnait d'immoralité généralisée. Les habitants de Corinthe étaient particulièrement connus pour leurs mœurs immoraux, qui surpassaient même ceux de Rome. Il y avait une synagogue dans la ville (</w:t>
      </w:r>
      <w:hyperlink r:id="rId3111">
        <w:r>
          <w:rPr>
            <w:color w:val="0000EE"/>
            <w:u w:val="single"/>
          </w:rPr>
          <w:t>Ac 18.4</w:t>
        </w:r>
      </w:hyperlink>
      <w:r>
        <w:t>). En effet, même si cette colonie romaine avait une forte population italienne, elle avait attiré d'autres peuples de la région Méditerranéenne, parmi lesquels des Juifs.</w:t>
      </w:r>
    </w:p>
    <w:p>
      <w:r/>
    </w:p>
    <w:p>
      <w:pPr>
        <w:pStyle w:val="Heading1"/>
      </w:pPr>
      <w:r>
        <w:t>Objectif et enseignement</w:t>
      </w:r>
    </w:p>
    <w:p>
      <w:r/>
      <w:r>
        <w:t>La principale préoccupation de Paul dans 1 Corinthiens est de restaurer l'unité de l'Église. Il y avait beaucoup d'égocentrisme dans l'Église et des cliques s'y étaient constituées. Certains, se vantant de leurs connaissances et leurs libertés, se comportaient sans considération pour les autres. Même les assemblées de l'Église étaient caractérisées par des comportements égoïstes.</w:t>
      </w:r>
    </w:p>
    <w:p>
      <w:r/>
      <w:r>
        <w:t>Le contenu de la lettre révèle deux autres préoccupations importantes. Premièrement, il semblerait que l'immoralité sexuelle de Corinthe ainsi que d'autres pratiques païennes avaient influencé l'Église. Paul se devait de redresser l'Église et de la rappeler à l'ordre. Deuxièmement, certains enseignaient qu'il n'y avait pas de résurrection. Considérant l'importance capitale de cette doctrine pour la foi, Paul devait corriger et affermir la foi des Corinthiens à ce sujet.</w:t>
      </w:r>
    </w:p>
    <w:p>
      <w:r/>
      <w:r>
        <w:t>Des érudits soutiennent que les problèmes touchant à l'immoralité, à la résurrection et certains aspects de la question de l'unité (en particulier, l'importance de la connaissance) indiquent une influence gnostique. Ils avancent que Paul a écrit cette épître pour s'opposer à un groupe de gnostiques dans l'Église de Corinthe. Toutefois, il serait plus juste de discerner dans l'Église de Corinthe la présence d'éléments qui mèneront plus tard au développement du gnosticisme. Il serait en fait anachronique (une erreur de chronologie) de les identifier comme gnostiques. Même si on reconnaît des éléments proto-gnostiques dans les problèmes qui troublaient l'Église de Corinthe, il est important d'interpréter ces derniers dans le contexte du premier siècle.</w:t>
      </w:r>
    </w:p>
    <w:p>
      <w:r/>
      <w:r>
        <w:t>Ainsi, l'objectif principal de Paul était de restaurer et de fortifier l'unité et la pureté de l'Église. Paul voulait empêcher cette Église de se déchirer entre plusieurs factions concurrentes et querelleuses s'opposant sur des questions morales et doctrinales. Il cherchait plutôt à la recentrer sur Jésus, le Seigneur exalté de l'Église.</w:t>
      </w:r>
    </w:p>
    <w:p>
      <w:r/>
    </w:p>
    <w:p>
      <w:pPr>
        <w:pStyle w:val="Heading1"/>
      </w:pPr>
      <w:r>
        <w:t>Survol</w:t>
      </w:r>
    </w:p>
    <w:p>
      <w:pPr>
        <w:pStyle w:val="Heading3"/>
      </w:pPr>
      <w:r>
        <w:t>Salutations (</w:t>
      </w:r>
      <w:hyperlink r:id="rId3193">
        <w:r>
          <w:rPr>
            <w:color w:val="0000EE"/>
            <w:u w:val="single"/>
          </w:rPr>
          <w:t>1.1–9</w:t>
        </w:r>
      </w:hyperlink>
      <w:r>
        <w:t>)</w:t>
      </w:r>
    </w:p>
    <w:p>
      <w:r/>
      <w:r>
        <w:t xml:space="preserve">Paul commence la lettre par une salutation typique, suivie d'une prière de gratitude comme il en a l'habitude. Deux éléments sont à noter. Premièrement, la salutation est adressée de la part de Paul et de Sosthène. Il n'est pas possible de déterminer avec certitude l'identité de ce Sosthène, mais il devait être bien connu des Corinthiens. Il est donc probable qu'il s'agit du chef de synagogue Sosthène mentionné dans </w:t>
      </w:r>
      <w:hyperlink r:id="rId3194">
        <w:r>
          <w:rPr>
            <w:color w:val="0000EE"/>
            <w:u w:val="single"/>
          </w:rPr>
          <w:t>Actes 18.17</w:t>
        </w:r>
      </w:hyperlink>
      <w:r>
        <w:t>, à l'occasion du récit de la conversion d'un autre chef de synagogue de Corinthe, Crispus.</w:t>
      </w:r>
    </w:p>
    <w:p>
      <w:r/>
      <w:r>
        <w:t>Deuxièmement, Paul met en avant la richesse en dons spirituels de l'Église de Corinthe, notamment en matière de parole et de connaissance. Ils possédaient véritablement ces dons, mais c'était précisément ces bonnes choses dont ils abusaient. La réaction de Paul n'est pas de chercher à en supprimer l'usage (il remercie Dieu pour leurs dons), mais d'instruire les Corinthiens sur comment véritablement les utiliser à la gloire de Dieu.</w:t>
      </w:r>
    </w:p>
    <w:p>
      <w:pPr>
        <w:pStyle w:val="Heading3"/>
      </w:pPr>
      <w:r>
        <w:t>Rapport des gens de Chloé (</w:t>
      </w:r>
      <w:hyperlink r:id="rId3195">
        <w:r>
          <w:rPr>
            <w:color w:val="0000EE"/>
            <w:u w:val="single"/>
          </w:rPr>
          <w:t>1.10–4.21</w:t>
        </w:r>
      </w:hyperlink>
      <w:r>
        <w:t>)</w:t>
      </w:r>
    </w:p>
    <w:p>
      <w:r/>
      <w:r>
        <w:t>Les Corinthiens s'étaient divisés entre partisans de Paul, de Céphas (Pierre), d'Apollos et même de Christ. Il n'y a pas d'information sur comment ces groupes se définissaient plus précisément. On pourrait imaginer que le groupe s'identifiant à Paul mettait en avant la liberté en Christ, que le groupe s'identifiant à Pierre défendait peut-être plutôt les pratiques juives et que le groupe s'identifiant à Apollos admirait peut-être la philosophie et le discours. Quoiqu'il en soit, Paul est consterné de la division ainsi engendrée. Il commence par préciser qu'il n'a pas lui-même cherché à créer un groupe de partisans. Il voulait prêcher Christ. Il n'a pas insisté pour baptiser personnellement les convertis. Pour lui, peu importait qui baptisait car tous étaient baptisés en Christ.</w:t>
      </w:r>
    </w:p>
    <w:p>
      <w:r/>
      <w:r>
        <w:t>Paul se penche immédiatement sur le véritable problème : le désir des uns et des autres de prouver qu'ils sont meilleurs ou plus sages que ceux qui ne sont pas dans leur groupe. Cette recherche de « sagesse » contredit l'Évangile tel que prêché par Paul.</w:t>
      </w:r>
    </w:p>
    <w:p>
      <w:r/>
      <w:r>
        <w:t>En effet, la prédication du Christ crucifié (</w:t>
      </w:r>
      <w:hyperlink r:id="rId3196">
        <w:r>
          <w:rPr>
            <w:color w:val="0000EE"/>
            <w:u w:val="single"/>
          </w:rPr>
          <w:t>1.18</w:t>
        </w:r>
      </w:hyperlink>
      <w:r>
        <w:t>) n'a aucun sens selon la sagesse et les valeurs acceptées des Juifs ou des Grecs. L'Évangile exige une toute nouvelle façon de concevoir la vie et le monde et est une sagesse révélée par Dieu.</w:t>
      </w:r>
    </w:p>
    <w:p>
      <w:r/>
      <w:r>
        <w:t>De plus, Paul rappelle aux membres de l'Église leurs humbles origines. Dieu ne les avait de toute évidence pas choisis en fonction de leur importance dans la société. Ils devaient désormais tous se considérer de même importance, une importance dérivée de leur nouvelle identité en Christ (</w:t>
      </w:r>
      <w:hyperlink r:id="rId3197">
        <w:r>
          <w:rPr>
            <w:color w:val="0000EE"/>
            <w:u w:val="single"/>
          </w:rPr>
          <w:t>1.26–31</w:t>
        </w:r>
      </w:hyperlink>
      <w:r>
        <w:t>).</w:t>
      </w:r>
    </w:p>
    <w:p>
      <w:r/>
      <w:r>
        <w:t>Par ailleurs, leur foi n'avait pas été le fruit de l'éloquence de Paul, mais avait été produite par la démonstration de la puissance de l'Esprit (</w:t>
      </w:r>
      <w:hyperlink r:id="rId3198">
        <w:r>
          <w:rPr>
            <w:color w:val="0000EE"/>
            <w:u w:val="single"/>
          </w:rPr>
          <w:t>2.4</w:t>
        </w:r>
      </w:hyperlink>
      <w:r>
        <w:t>). Ainsi, ce n'était pas une argumentation persuasive qui les avait conduits à la foi, mais l'Esprit de Dieu. Par conséquent, c'était la sagesse divine et non la sagesse humaine qui continuerait à leur faire connaître Dieu. Il fallait devenir insensés par rapport à la sagesse humaine pour pouvoir comprendre la vie du point de vue de l'Esprit, qui donne la véritable sagesse.</w:t>
      </w:r>
    </w:p>
    <w:p>
      <w:r/>
      <w:r>
        <w:t>Les Corinthiens, en se divisant comme ils le faisaient, ne se comportaient pas comme des personnes spirituelles. Ils démontraient au contraire qu'ils agissaient selon l'impulsion pécheresse humaine, ce que Paul appelle la chair ou la nature humaine. En effet, ils se vantaient d'être partisans de serviteurs de Dieu plutôt que de glorifier le Dieu de ces serviteurs œuvrant à travers eux.</w:t>
      </w:r>
    </w:p>
    <w:p>
      <w:r/>
      <w:r>
        <w:t>Le but de ces serviteurs de Dieu était de construire en l'Église un « temple » pour Dieu avec pour seul fondement Jésus-Christ. Dieu seul jugera comment chacun contribue à la construction de son Église. Mais malheur à celui qui divise l'Église, car « si quelqu’un détruit le temple de Dieu, Dieu le détruira » (</w:t>
      </w:r>
      <w:hyperlink r:id="rId3199">
        <w:r>
          <w:rPr>
            <w:color w:val="0000EE"/>
            <w:u w:val="single"/>
          </w:rPr>
          <w:t>3.17</w:t>
        </w:r>
      </w:hyperlink>
      <w:r>
        <w:t>). Paul utilise d'abord le temple comme image de l'Église. Au chapitre 6, il montrera que chaque chrétien est aussi un temple.</w:t>
      </w:r>
    </w:p>
    <w:p>
      <w:r/>
      <w:r>
        <w:t>Enfin, Paul leur reproche leur perspective eschatologique, c'est-à-dire leur croyance que des choses qui doivent arriver à la fin des temps sont déjà arrivées. Puisqu'ils avaient de véritables dons spirituels, mais que la sagesse dont ils se vantaient était celle du monde, ils prétendaient déjà régner avec Christ (</w:t>
      </w:r>
      <w:hyperlink r:id="rId3200">
        <w:r>
          <w:rPr>
            <w:color w:val="0000EE"/>
            <w:u w:val="single"/>
          </w:rPr>
          <w:t>4.8–13</w:t>
        </w:r>
      </w:hyperlink>
      <w:r>
        <w:t>). Paul fait preuve de sarcasme et d'ironie en leur soulignant à quel point cette revendication tranche avec les épreuves et l'humilité de la vie des apôtres. Ceux-ci vivaient comme Jésus et souffraient à son service en attendant d'être exaltés plus tard, mais les Corinthiens se pensaient exaltés maintenant, sans avoir à être crucifiés dans cette vie.</w:t>
      </w:r>
    </w:p>
    <w:p>
      <w:r/>
      <w:r>
        <w:t xml:space="preserve">Paul conclut cette section par une mise en garde. Il fait preuve de douceur envers ceux qui seraient réceptifs et les exhorte à imiter son mode de vie. Il leur présente son propre exemple (v. </w:t>
      </w:r>
      <w:hyperlink r:id="rId3201">
        <w:r>
          <w:rPr>
            <w:color w:val="0000EE"/>
            <w:u w:val="single"/>
          </w:rPr>
          <w:t>14–16</w:t>
        </w:r>
      </w:hyperlink>
      <w:r>
        <w:t xml:space="preserve">), que Timothée leur rappellera quand il ira les voir. Cependant, il avertit ceux qui se sont enflés d'orgueil (v. </w:t>
      </w:r>
      <w:hyperlink r:id="rId3202">
        <w:r>
          <w:rPr>
            <w:color w:val="0000EE"/>
            <w:u w:val="single"/>
          </w:rPr>
          <w:t>18</w:t>
        </w:r>
      </w:hyperlink>
      <w:r>
        <w:t>) et leur dit que quand il viendra, ce ne sera pas leurs paroles qu'il mettra à l'épreuve, mais leur puissance spirituelle.</w:t>
      </w:r>
    </w:p>
    <w:p>
      <w:pPr>
        <w:pStyle w:val="Heading3"/>
      </w:pPr>
      <w:r>
        <w:t>Rapport des messagers corinthiens (</w:t>
      </w:r>
      <w:hyperlink r:id="rId3203">
        <w:r>
          <w:rPr>
            <w:color w:val="0000EE"/>
            <w:u w:val="single"/>
          </w:rPr>
          <w:t>5.1–6.20</w:t>
        </w:r>
      </w:hyperlink>
      <w:r>
        <w:t>)</w:t>
      </w:r>
    </w:p>
    <w:p>
      <w:r/>
      <w:r>
        <w:t xml:space="preserve">Paul aborde maintenant trois problèmes de l'Église, rapportés en personne par les messagers ayant acheminé la lettre des Corinthiens jusqu'à lui (voir </w:t>
      </w:r>
      <w:hyperlink r:id="rId3204">
        <w:r>
          <w:rPr>
            <w:color w:val="0000EE"/>
            <w:u w:val="single"/>
          </w:rPr>
          <w:t>7.1</w:t>
        </w:r>
      </w:hyperlink>
      <w:r>
        <w:t>).</w:t>
      </w:r>
    </w:p>
    <w:p>
      <w:pPr>
        <w:pStyle w:val="Heading4"/>
      </w:pPr>
      <w:r>
        <w:rPr>
          <w:b/>
        </w:rPr>
        <w:t>Premier problème de l'Église de Corinthe</w:t>
      </w:r>
    </w:p>
    <w:p>
      <w:r/>
      <w:r>
        <w:t>Le premier problème est le manque de mesures disciplinaires dans l'Église (</w:t>
      </w:r>
      <w:hyperlink r:id="rId3205">
        <w:r>
          <w:rPr>
            <w:color w:val="0000EE"/>
            <w:u w:val="single"/>
          </w:rPr>
          <w:t>5.12–13</w:t>
        </w:r>
      </w:hyperlink>
      <w:r>
        <w:t>). Paul leur reproche particulièrement leur manque de réactivité à un cas d'inceste parmi eux. Cette immoralité était telle que même les païens la considéraient scandaleusement immorale. Il ne pouvait donc pas s'agir d'ignorance de principes chrétiens. L'Église n'avait pris aucune mesure, mais était néanmoins enflée d'orgueil. Peut-être qu'ils comprenaient mal l'enseignement de Paul sur la liberté par rapport à la loi.</w:t>
      </w:r>
    </w:p>
    <w:p>
      <w:r/>
      <w:r>
        <w:t>Trois principes émergent de ce que Paul leur écrit à ce sujet. (1) L'objectif premier des mesures disciplinaires est de produire la repentance et de pouvoir restaurer le coupable. (2) Un second objectif fondamental de telles mesures est de protéger l'Église (</w:t>
      </w:r>
      <w:hyperlink r:id="rId3206">
        <w:r>
          <w:rPr>
            <w:color w:val="0000EE"/>
            <w:u w:val="single"/>
          </w:rPr>
          <w:t>5.6–8</w:t>
        </w:r>
      </w:hyperlink>
      <w:r>
        <w:t xml:space="preserve">). (3) Ainsi, ce n'est pas le rôle de l'Église de juger les actions de non-chrétiens qui font le mal. Ce rôle appartient à Dieu. Le rôle de l'Église est de juger le mal quand il se produit parmi les chrétiens (v. </w:t>
      </w:r>
      <w:hyperlink r:id="rId3207">
        <w:r>
          <w:rPr>
            <w:color w:val="0000EE"/>
            <w:u w:val="single"/>
          </w:rPr>
          <w:t>9–13</w:t>
        </w:r>
      </w:hyperlink>
      <w:r>
        <w:t xml:space="preserve">). Certains de ces principes seront à nouveau évoqués à propos d'autres sujets abordés dans les chapitres suivants (p. ex. </w:t>
      </w:r>
      <w:hyperlink r:id="rId3208">
        <w:r>
          <w:rPr>
            <w:color w:val="0000EE"/>
            <w:u w:val="single"/>
          </w:rPr>
          <w:t>7.12–16</w:t>
        </w:r>
      </w:hyperlink>
      <w:r>
        <w:t>).</w:t>
      </w:r>
    </w:p>
    <w:p>
      <w:pPr>
        <w:pStyle w:val="Heading4"/>
      </w:pPr>
      <w:r>
        <w:rPr>
          <w:b/>
        </w:rPr>
        <w:t>Deuxième problème de l'Église de Corinthe</w:t>
      </w:r>
    </w:p>
    <w:p>
      <w:r/>
      <w:r>
        <w:t>Le deuxième problème à propos duquel Paul écrit concerne des procès entre chrétiens (</w:t>
      </w:r>
      <w:hyperlink r:id="rId3209">
        <w:r>
          <w:rPr>
            <w:color w:val="0000EE"/>
            <w:u w:val="single"/>
          </w:rPr>
          <w:t>6.1–11</w:t>
        </w:r>
      </w:hyperlink>
      <w:r>
        <w:t>). La société corinthienne était aussi encline aux litiges que la nôtre et certains chrétiens de Corinthe poursuivaient en justice leurs frères dans la foi. Paul trouvait cela troublant. Comment des chrétiens pouvaient-ils avoir de tels conflits, jusqu'à les pousser à se poursuivre en justice ? En plus, ce faisant, ils faisaient étalage de cette triste situation devant des non-chrétiens. Il rappelle aux Corinthiens que l'Église jugera le monde et qu'elle est donc compétente pour juger les différends entre chrétiens.</w:t>
      </w:r>
    </w:p>
    <w:p>
      <w:r/>
      <w:r>
        <w:t>Mieux encore, leur dit Paul, ne vaut-il pas mieux souffrir quelque injustice que d'en arriver là (</w:t>
      </w:r>
      <w:hyperlink r:id="rId3210">
        <w:r>
          <w:rPr>
            <w:color w:val="0000EE"/>
            <w:u w:val="single"/>
          </w:rPr>
          <w:t>1Co 6.7</w:t>
        </w:r>
      </w:hyperlink>
      <w:r>
        <w:t>) ? Comme l'a enseigné Jésus (</w:t>
      </w:r>
      <w:hyperlink r:id="rId3211">
        <w:r>
          <w:rPr>
            <w:color w:val="0000EE"/>
            <w:u w:val="single"/>
          </w:rPr>
          <w:t>Mt 5.38–42</w:t>
        </w:r>
      </w:hyperlink>
      <w:r>
        <w:t>), Paul soutient qu'il vaut parfois mieux se laisser voler. Au lieu de cela, certains des Corinthiens étaient prêts à aller en guerre contre leurs frères en Christ pour obtenir ce qu'ils estimaient être leurs droits. Immédiatement après, Paul évoque la cupidité, affirmant que les cupides n'hériteront pas le royaume de Dieu (</w:t>
      </w:r>
      <w:hyperlink r:id="rId3212">
        <w:r>
          <w:rPr>
            <w:color w:val="0000EE"/>
            <w:u w:val="single"/>
          </w:rPr>
          <w:t>1Co 6.9–11</w:t>
        </w:r>
      </w:hyperlink>
      <w:r>
        <w:t>). Paul leur rappelle qu'ils vivaient avant comme le monde autour d'eux, mais que Jésus les avait sanctifiés et purifiés. Quelle qu'ait été leur profession de foi au moment présent, ceux qui vivaient encore ainsi ne faisaient pas partie du royaume de Dieu.</w:t>
      </w:r>
    </w:p>
    <w:p>
      <w:pPr>
        <w:pStyle w:val="Heading4"/>
      </w:pPr>
      <w:r>
        <w:rPr>
          <w:b/>
        </w:rPr>
        <w:t>Troisième problème de l'Église de Corinthe</w:t>
      </w:r>
    </w:p>
    <w:p>
      <w:r/>
      <w:r>
        <w:t>Le dernier problème à propos duquel Paul leur écrit dans cette section est celui des rapports sexuels en dehors du mariage (</w:t>
      </w:r>
      <w:hyperlink r:id="rId3213">
        <w:r>
          <w:rPr>
            <w:color w:val="0000EE"/>
            <w:u w:val="single"/>
          </w:rPr>
          <w:t>6.12–20</w:t>
        </w:r>
      </w:hyperlink>
      <w:r>
        <w:t>). La culture sociétaire valorisait la virginité des femmes à marier. Cependant, le temple d'Aphrodite rendait disponibles des esclaves comme prostituées. Ainsi, les hommes qui souhaitaient avoir des relations sexuelles en dehors du mariage profitaient librement de cette prostitution. Il est possible que Paul reprenne des slogans de libertins dans l'Église quand il écrit « Tout m'est permis » et « Les aliments sont pour le ventre, et le ventre pour les aliments ». Le premier était peut-être basé sur l'enseignement de Paul sur la liberté en Christ. Le second était peut-être basé sur le raisonnement que puisque le corps fonctionne ainsi, cela doit être la volonté du Créateur d'en profiter. Paul nuance plutôt que contredit ces déclarations. La liberté est conditionnée par d'autres objectifs qui lui sont supérieurs (</w:t>
      </w:r>
      <w:hyperlink r:id="rId3214">
        <w:r>
          <w:rPr>
            <w:color w:val="0000EE"/>
            <w:u w:val="single"/>
          </w:rPr>
          <w:t>6.12, 20</w:t>
        </w:r>
      </w:hyperlink>
      <w:r>
        <w:t xml:space="preserve">). Le corps n'a pas été créé pour être utilisé comme il nous plaît, mais doit être consacré au Seigneur, comme le démontre la résurrection (v. </w:t>
      </w:r>
      <w:hyperlink r:id="rId3215">
        <w:r>
          <w:rPr>
            <w:color w:val="0000EE"/>
            <w:u w:val="single"/>
          </w:rPr>
          <w:t>13–14</w:t>
        </w:r>
      </w:hyperlink>
      <w:r>
        <w:t>).</w:t>
      </w:r>
    </w:p>
    <w:p>
      <w:r/>
      <w:r>
        <w:t xml:space="preserve">De plus, contrairement à la question de ce qu'il est permis de manger, avoir des rapports sexuels illicites a un impact sur toute la personne. Paul rappelle ici ce qu'enseigne </w:t>
      </w:r>
      <w:hyperlink r:id="rId2284">
        <w:r>
          <w:rPr>
            <w:color w:val="0000EE"/>
            <w:u w:val="single"/>
          </w:rPr>
          <w:t>Genèse 2.24</w:t>
        </w:r>
      </w:hyperlink>
      <w:r>
        <w:t xml:space="preserve"> (voir aussi les paroles de Jésus dans </w:t>
      </w:r>
      <w:hyperlink r:id="rId3216">
        <w:r>
          <w:rPr>
            <w:color w:val="0000EE"/>
            <w:u w:val="single"/>
          </w:rPr>
          <w:t>Mt 19.5</w:t>
        </w:r>
      </w:hyperlink>
      <w:r>
        <w:t>). Le chrétien fait partie du corps de Christ. En ayant des rapports sexuels avec une prostituée, le chrétien se fait un avec elle. Il est inacceptable d'unir ainsi un membre de Christ à une prostituée (</w:t>
      </w:r>
      <w:hyperlink r:id="rId3217">
        <w:r>
          <w:rPr>
            <w:color w:val="0000EE"/>
            <w:u w:val="single"/>
          </w:rPr>
          <w:t>1Co 6.15–17</w:t>
        </w:r>
      </w:hyperlink>
      <w:r>
        <w:t>). L'immoralité sexuelle est différente des autres péchés qui sont externes à soi-même, car elle produit une unité plus profonde et souille le corps, où le Saint-Esprit habite. Le corps a été racheté par Christ et le chrétien appartient désormais à Dieu et non à lui-même.</w:t>
      </w:r>
    </w:p>
    <w:p>
      <w:pPr>
        <w:pStyle w:val="Heading3"/>
      </w:pPr>
      <w:r>
        <w:t>Réponses de Paul aux Corinthiens (</w:t>
      </w:r>
      <w:hyperlink r:id="rId3218">
        <w:r>
          <w:rPr>
            <w:color w:val="0000EE"/>
            <w:u w:val="single"/>
          </w:rPr>
          <w:t>7.1–16.4</w:t>
        </w:r>
      </w:hyperlink>
      <w:r>
        <w:t>)</w:t>
      </w:r>
    </w:p>
    <w:p>
      <w:r/>
      <w:r>
        <w:t>Paul se consacre maintenant à répondre aux questions que l'Église de Corinthe lui a posées en s'appuyant sur les sujets qu'il a déjà traités.</w:t>
      </w:r>
    </w:p>
    <w:p>
      <w:pPr>
        <w:pStyle w:val="Heading4"/>
      </w:pPr>
      <w:r>
        <w:rPr>
          <w:b/>
        </w:rPr>
        <w:t>Première question des Corinthiens</w:t>
      </w:r>
    </w:p>
    <w:p>
      <w:r/>
      <w:r>
        <w:t>La première question concerne le mariage (</w:t>
      </w:r>
      <w:hyperlink r:id="rId3219">
        <w:r>
          <w:rPr>
            <w:color w:val="0000EE"/>
            <w:u w:val="single"/>
          </w:rPr>
          <w:t>7.1–24</w:t>
        </w:r>
      </w:hyperlink>
      <w:r>
        <w:t xml:space="preserve">). À l'inverse des libertins du chapitre </w:t>
      </w:r>
      <w:hyperlink r:id="rId3220">
        <w:r>
          <w:rPr>
            <w:color w:val="0000EE"/>
            <w:u w:val="single"/>
          </w:rPr>
          <w:t xml:space="preserve">6 </w:t>
        </w:r>
      </w:hyperlink>
      <w:r>
        <w:t>et possiblement en réaction à leur conduite, peut-être qu'un groupe d'ascètes dans l'Église tenait « qu’il est bon pour l’homme de ne point toucher de femme » (</w:t>
      </w:r>
      <w:hyperlink r:id="rId3204">
        <w:r>
          <w:rPr>
            <w:color w:val="0000EE"/>
            <w:u w:val="single"/>
          </w:rPr>
          <w:t>7.1</w:t>
        </w:r>
      </w:hyperlink>
      <w:r>
        <w:t xml:space="preserve">). Les Corinthiens se demandaient ce qui était préférable pour les mariés et les célibataires. Certains considéraient peut-être qu'il fallait s'abstenir de relations sexuelles même entre époux. Paul leur répond en établissant trois arguments : (1) L'abstinence complète est irréaliste et peut mener à l'immoralité sexuelle (v. </w:t>
      </w:r>
      <w:hyperlink r:id="rId3221">
        <w:r>
          <w:rPr>
            <w:color w:val="0000EE"/>
            <w:u w:val="single"/>
          </w:rPr>
          <w:t>2, 7–9</w:t>
        </w:r>
      </w:hyperlink>
      <w:r>
        <w:t xml:space="preserve">). (2) Dans la relation maritale, les époux ne possèdent plus leurs propres corps. Du point de vue de la sexualité, ils s'appartiennent l'un à l'autre pour leur bénéfice mutuel (v. </w:t>
      </w:r>
      <w:hyperlink r:id="rId3222">
        <w:r>
          <w:rPr>
            <w:color w:val="0000EE"/>
            <w:u w:val="single"/>
          </w:rPr>
          <w:t>3–4</w:t>
        </w:r>
      </w:hyperlink>
      <w:r>
        <w:t xml:space="preserve">). Le refus sexuel prive un conjoint de ce qui lui appartient légitimement. (3) L'abstinence est envisageable pour des périodes limitées par accord mutuel, comme dans le cas de jeûnes qui servent à se consacrer à Christ (v. </w:t>
      </w:r>
      <w:hyperlink r:id="rId3223">
        <w:r>
          <w:rPr>
            <w:color w:val="0000EE"/>
            <w:u w:val="single"/>
          </w:rPr>
          <w:t>5</w:t>
        </w:r>
      </w:hyperlink>
      <w:r>
        <w:t>).</w:t>
      </w:r>
    </w:p>
    <w:p>
      <w:r/>
      <w:r>
        <w:t xml:space="preserve">Paul se penchera plus en détail sur la question des célibataires dans </w:t>
      </w:r>
      <w:hyperlink r:id="rId3224">
        <w:r>
          <w:rPr>
            <w:color w:val="0000EE"/>
            <w:u w:val="single"/>
          </w:rPr>
          <w:t>7.25–40</w:t>
        </w:r>
      </w:hyperlink>
      <w:r>
        <w:t>, mais indique déjà en passant qu'il est lui-même content d'en être un. Toutefois, il en parle comme un don que tous n'ont pas. Ceci étant le cas, il est préférable d'avoir des relations sexuelles dans le cadre du mariage que de chuter à cause de la tentation (</w:t>
      </w:r>
      <w:hyperlink r:id="rId3225">
        <w:r>
          <w:rPr>
            <w:color w:val="0000EE"/>
            <w:u w:val="single"/>
          </w:rPr>
          <w:t>7.7–9</w:t>
        </w:r>
      </w:hyperlink>
      <w:r>
        <w:t xml:space="preserve">). Paul rappelle aux mariés que le Seigneur ordonne qu'ils ne doivent pas divorcer (voir </w:t>
      </w:r>
      <w:hyperlink r:id="rId3226">
        <w:r>
          <w:rPr>
            <w:color w:val="0000EE"/>
            <w:u w:val="single"/>
          </w:rPr>
          <w:t>Mt 5.31–32</w:t>
        </w:r>
      </w:hyperlink>
      <w:r>
        <w:t xml:space="preserve"> ; </w:t>
      </w:r>
      <w:hyperlink r:id="rId3227">
        <w:r>
          <w:rPr>
            <w:color w:val="0000EE"/>
            <w:u w:val="single"/>
          </w:rPr>
          <w:t>Mc 10.11–12</w:t>
        </w:r>
      </w:hyperlink>
      <w:r>
        <w:t xml:space="preserve"> ; </w:t>
      </w:r>
      <w:hyperlink r:id="rId3228">
        <w:r>
          <w:rPr>
            <w:color w:val="0000EE"/>
            <w:u w:val="single"/>
          </w:rPr>
          <w:t>Lc 16.18</w:t>
        </w:r>
      </w:hyperlink>
      <w:r>
        <w:t xml:space="preserve"> et passages parallèles). Paul ne mentionne pas l'exception donnée dans </w:t>
      </w:r>
      <w:hyperlink r:id="rId351">
        <w:r>
          <w:rPr>
            <w:color w:val="0000EE"/>
            <w:u w:val="single"/>
          </w:rPr>
          <w:t>Matthieu 19.9</w:t>
        </w:r>
      </w:hyperlink>
      <w:r>
        <w:t xml:space="preserve"> (« sauf pour infidélité »), ce qui pourrait indiquer qu'il ne la connaissait pas. Ou alors, Paul l'a comprise comme une annulation de l'engagement marital avant que le couple ne vive ensemble (p. ex. en cas d'impureté pré-maritale découverte avant le mariage) et non comme une référence à un adultère après le mariage. Paul souligne que si dans certaines circonstances, des époux doivent se séparer, cela doit toujours être dans la perspective de réconciliation. L'enseignement de Jésus ne permet pas à Paul de penser que le mariage chrétien puisse prendre fin (</w:t>
      </w:r>
      <w:hyperlink r:id="rId3229">
        <w:r>
          <w:rPr>
            <w:color w:val="0000EE"/>
            <w:u w:val="single"/>
          </w:rPr>
          <w:t>1Co 7.10–11</w:t>
        </w:r>
      </w:hyperlink>
      <w:r>
        <w:t>).</w:t>
      </w:r>
    </w:p>
    <w:p>
      <w:r/>
      <w:r>
        <w:t>Mais comment est-ce que cela s'applique si le conjoint n'est pas chrétien ? Paul étend ses principes à un cas dont Jésus n'a pas parlé directement. Tout d'abord, même dans cette situation, le chrétien ne doit pas demander de divorce (</w:t>
      </w:r>
      <w:hyperlink r:id="rId3230">
        <w:r>
          <w:rPr>
            <w:color w:val="0000EE"/>
            <w:u w:val="single"/>
          </w:rPr>
          <w:t>7.12–13</w:t>
        </w:r>
      </w:hyperlink>
      <w:r>
        <w:t>). Ensuite, puisque le comportement des non-chrétiens n'est pas sous l'autorité de l'Église (</w:t>
      </w:r>
      <w:hyperlink r:id="rId3231">
        <w:r>
          <w:rPr>
            <w:color w:val="0000EE"/>
            <w:u w:val="single"/>
          </w:rPr>
          <w:t>6.12–13</w:t>
        </w:r>
      </w:hyperlink>
      <w:r>
        <w:t>), le chrétien est libéré de son engagement si le non-chrétien divorce (</w:t>
      </w:r>
      <w:hyperlink r:id="rId3232">
        <w:r>
          <w:rPr>
            <w:color w:val="0000EE"/>
            <w:u w:val="single"/>
          </w:rPr>
          <w:t>7.15</w:t>
        </w:r>
      </w:hyperlink>
      <w:r>
        <w:t xml:space="preserve">). Finalement, le mariage avec un non-chrétien n'est pas impur en soi comme l'est l'union avec une prostituée dans </w:t>
      </w:r>
      <w:hyperlink r:id="rId2323">
        <w:r>
          <w:rPr>
            <w:color w:val="0000EE"/>
            <w:u w:val="single"/>
          </w:rPr>
          <w:t>6.15</w:t>
        </w:r>
      </w:hyperlink>
      <w:r>
        <w:t>. Le conjoint chrétien sanctifie la relation maritale et les enfants qui en sont nés, et cela peut même mener au salut du conjoint non-chrétien (</w:t>
      </w:r>
      <w:hyperlink r:id="rId3233">
        <w:r>
          <w:rPr>
            <w:color w:val="0000EE"/>
            <w:u w:val="single"/>
          </w:rPr>
          <w:t>7.14, 16</w:t>
        </w:r>
      </w:hyperlink>
      <w:r>
        <w:t>). Bien que ceci ne constitue pas un appel à rester dans des situations d'abus physique ou sexuel, c'est un appel à respecter la relation maritale même si le conjoint n'est pas dans la foi.</w:t>
      </w:r>
    </w:p>
    <w:p>
      <w:r/>
      <w:r>
        <w:t>Le principe de base que Paul défend est qu'il n'est pas nécessaire de changer sa situation quand on devient chrétien (</w:t>
      </w:r>
      <w:hyperlink r:id="rId3234">
        <w:r>
          <w:rPr>
            <w:color w:val="0000EE"/>
            <w:u w:val="single"/>
          </w:rPr>
          <w:t>7.17–24</w:t>
        </w:r>
      </w:hyperlink>
      <w:r>
        <w:t xml:space="preserve">). Par conséquent et en règle générale, chaque personne devrait rester dans la situation où elle se trouvait lorsqu'elle a été appelée par Christ. Paul applique ce principe au mariage et au célibat, à la circoncision et à l'incirconcision, ainsi qu'à l'esclavage et la liberté. Toutefois, il est clair qu'il ne l'applique pas aux situations immorales dans lesquelles quelqu'un pouvait se trouver avant de se convertir. Si un esclave peut devenir libre, qu'il en profite. Néanmoins, Paul souligne qu'un esclave est affranchi par Christ et que l'homme libre est esclave de Christ, étant à son service et lui devant obéissance (v. </w:t>
      </w:r>
      <w:hyperlink r:id="rId3235">
        <w:r>
          <w:rPr>
            <w:color w:val="0000EE"/>
            <w:u w:val="single"/>
          </w:rPr>
          <w:t>21–23</w:t>
        </w:r>
      </w:hyperlink>
      <w:r>
        <w:t>).</w:t>
      </w:r>
    </w:p>
    <w:p>
      <w:pPr>
        <w:pStyle w:val="Heading4"/>
      </w:pPr>
      <w:r>
        <w:rPr>
          <w:b/>
        </w:rPr>
        <w:t>Deuxième question des Corinthiens</w:t>
      </w:r>
    </w:p>
    <w:p>
      <w:r/>
      <w:r>
        <w:t>La deuxième question sur laquelle Paul se penche concerne plus particulièrement les célibataires (</w:t>
      </w:r>
      <w:hyperlink r:id="rId3224">
        <w:r>
          <w:rPr>
            <w:color w:val="0000EE"/>
            <w:u w:val="single"/>
          </w:rPr>
          <w:t>7.25–40</w:t>
        </w:r>
      </w:hyperlink>
      <w:r>
        <w:t xml:space="preserve">). Paul soutient que les célibataires et les veuves qui se marient ne font pas mal, mais leur conseille de rester célibataires. Puisque le monde tel qu'il est va passer de toute façon, il est bon de rester célibataire pour éviter les souffrances auxquelles le mariage expose une personne (v. </w:t>
      </w:r>
      <w:hyperlink r:id="rId3236">
        <w:r>
          <w:rPr>
            <w:color w:val="0000EE"/>
            <w:u w:val="single"/>
          </w:rPr>
          <w:t>25–31</w:t>
        </w:r>
      </w:hyperlink>
      <w:r>
        <w:t xml:space="preserve">). De plus, le mariage ne permet pas de se consacrer uniquement au service de Dieu, puisqu'il faut aussi se consacrer à son conjoint. Ce que Paul a déjà dit sur le mariage montre qu'il ne faut pas abandonner son conjoint ou ignorer ses besoins pour servir le Seigneur. Toutefois, on peut choisir de rester célibataire pour être complètement consacré au Seigneur sans distractions (v. </w:t>
      </w:r>
      <w:hyperlink r:id="rId3237">
        <w:r>
          <w:rPr>
            <w:color w:val="0000EE"/>
            <w:u w:val="single"/>
          </w:rPr>
          <w:t>32–35</w:t>
        </w:r>
      </w:hyperlink>
      <w:r>
        <w:t xml:space="preserve">). Si une personne se trouve dans une situation où il est attendu qu'elle se marie, elle doit prendre sa propre décision (v. </w:t>
      </w:r>
      <w:hyperlink r:id="rId3238">
        <w:r>
          <w:rPr>
            <w:color w:val="0000EE"/>
            <w:u w:val="single"/>
          </w:rPr>
          <w:t>36–38</w:t>
        </w:r>
      </w:hyperlink>
      <w:r>
        <w:t xml:space="preserve">). Paul finit la section avec des remarques sur les veuves. Tout remariage doit être « dans le Seigneur » (v. </w:t>
      </w:r>
      <w:hyperlink r:id="rId3239">
        <w:r>
          <w:rPr>
            <w:color w:val="0000EE"/>
            <w:u w:val="single"/>
          </w:rPr>
          <w:t>39–40</w:t>
        </w:r>
      </w:hyperlink>
      <w:r>
        <w:t>).</w:t>
      </w:r>
    </w:p>
    <w:p>
      <w:pPr>
        <w:pStyle w:val="Heading4"/>
      </w:pPr>
      <w:r>
        <w:rPr>
          <w:b/>
        </w:rPr>
        <w:t>Troisième question des Corinthiens</w:t>
      </w:r>
    </w:p>
    <w:p>
      <w:r/>
      <w:r>
        <w:t>Paul aborde ensuite la question des chrétiens mangeant de la viande sacrifiée aux idoles (</w:t>
      </w:r>
      <w:hyperlink r:id="rId3240">
        <w:r>
          <w:rPr>
            <w:color w:val="0000EE"/>
            <w:u w:val="single"/>
          </w:rPr>
          <w:t>8.1–11.1</w:t>
        </w:r>
      </w:hyperlink>
      <w:r>
        <w:t>). Presque toute la viande disponible au marché provenait soit d'animaux abattus comme sacrifices aux temples, soit de groupes d'animaux dont l'un avait été offert en sacrifice de dédicace.</w:t>
      </w:r>
      <w:r>
        <w:rPr>
          <w:b/>
          <w:i/>
        </w:rPr>
        <w:t xml:space="preserve"> </w:t>
      </w:r>
      <w:r>
        <w:t>Pour les fidèles Juifs, ces viandes étaient intouchables. Les chrétiens pouvaient être invités et se trouver dans des situations où la question se posait d'autant plus. Parfois, c'était des invitations personnelles à manger chez des païens. Un chrétien pouvait aussi être invité à manger dans l'enceinte de temples païens où se tenaient des banquets privés et des festins de guildes commerciales. Paul utilise des principes généraux de conduite chrétienne pour répondre à ces questions.</w:t>
      </w:r>
    </w:p>
    <w:p>
      <w:r/>
      <w:r>
        <w:t>Tout d'abord, il exhorte les Corinthiens à ne pas user de leur connaissance au détriment de l'amour (</w:t>
      </w:r>
      <w:hyperlink r:id="rId3241">
        <w:r>
          <w:rPr>
            <w:color w:val="0000EE"/>
            <w:u w:val="single"/>
          </w:rPr>
          <w:t>8.1–13</w:t>
        </w:r>
      </w:hyperlink>
      <w:r>
        <w:t xml:space="preserve">). Certains d'entre eux considéraient que puisqu'il n'y a qu'un seul Dieu, les idoles ne représentent rien. Ils se sentaient donc en droit de manger ce qui leur était présenté. Toutefois, Paul condamne un usage inconsidéré de cette connaissance. En effet, « la connaissance enfle, mais la charité édifie » (v. </w:t>
      </w:r>
      <w:hyperlink r:id="rId3242">
        <w:r>
          <w:rPr>
            <w:color w:val="0000EE"/>
            <w:u w:val="single"/>
          </w:rPr>
          <w:t>1</w:t>
        </w:r>
      </w:hyperlink>
      <w:r>
        <w:t>). Ce que le chrétien mange ne le rapproche ni ne l'éloigne de Dieu. Par contre, l'intérêt spirituel d'un frère chrétien est primordial. Le souci principal que Paul met en avant est celui d'un frère dans la foi qui est vulnérable et qui peut être encouragé à mettre sa conscience de côté par l'exemple des autres, et retomber dans l'idolâtrie. Par amour, chacun doit user de sa liberté avec considération pour ne pas risquer de faire chuter quelqu'un d'autre. Mieux vaut ne jamais manger de viande que de faire chuter un frère.</w:t>
      </w:r>
    </w:p>
    <w:p>
      <w:r/>
      <w:r>
        <w:t>Deuxièmement, Paul souligne que l'on doit subordonner ses propres intérêts à ceux des autres, et en particulier à ceux du Christ et de son Évangile (</w:t>
      </w:r>
      <w:hyperlink r:id="rId3243">
        <w:r>
          <w:rPr>
            <w:color w:val="0000EE"/>
            <w:u w:val="single"/>
          </w:rPr>
          <w:t>9.1–23</w:t>
        </w:r>
      </w:hyperlink>
      <w:r>
        <w:t xml:space="preserve">). L'exemple des apôtres, s'attendant à ce que les Églises les soutiennent (comp. avec </w:t>
      </w:r>
      <w:hyperlink r:id="rId3244">
        <w:r>
          <w:rPr>
            <w:color w:val="0000EE"/>
            <w:u w:val="single"/>
          </w:rPr>
          <w:t>Lc 10.5–7</w:t>
        </w:r>
      </w:hyperlink>
      <w:r>
        <w:t>), ainsi que les Écritures, montrent que Paul avait le droit de recevoir un soutien financier des Corinthiens. Toutefois, il ne s'était pas saisi de ce droit. Paul avait reçu des dons d'autres Églises, mais le plus souvent, il avait travaillé en fabriquant des tentes pour financer son propre ministère. Il ne voulait pas que l'on pense qu'il annonçait l'Évangile pour l'argent (</w:t>
      </w:r>
      <w:hyperlink r:id="rId3245">
        <w:r>
          <w:rPr>
            <w:color w:val="0000EE"/>
            <w:u w:val="single"/>
          </w:rPr>
          <w:t>9.12</w:t>
        </w:r>
      </w:hyperlink>
      <w:r>
        <w:t xml:space="preserve">). Paul subordonnait ainsi ses préférences et intérêts personnels à ce qui était plus profitable à Christ et évitait de faire obstacle à l'Évangile (v. </w:t>
      </w:r>
      <w:hyperlink r:id="rId3246">
        <w:r>
          <w:rPr>
            <w:color w:val="0000EE"/>
            <w:u w:val="single"/>
          </w:rPr>
          <w:t>19–23</w:t>
        </w:r>
      </w:hyperlink>
      <w:r>
        <w:t>).</w:t>
      </w:r>
    </w:p>
    <w:p>
      <w:r/>
      <w:r>
        <w:t>Troisièmement, l'orgueil de ceux qui exercent leur liberté sans se soucier des autres est spirituellement dangereux (</w:t>
      </w:r>
      <w:hyperlink r:id="rId3247">
        <w:r>
          <w:rPr>
            <w:color w:val="0000EE"/>
            <w:u w:val="single"/>
          </w:rPr>
          <w:t>9.24–10.22</w:t>
        </w:r>
      </w:hyperlink>
      <w:r>
        <w:t>). Ce n'est pas de commencer mais de franchir la ligne d'arrivée de la vie chrétienne qui compte. Il faut donc vivre de façon disciplinée, et non « comme à l'aventure » (</w:t>
      </w:r>
      <w:hyperlink r:id="rId3248">
        <w:r>
          <w:rPr>
            <w:color w:val="0000EE"/>
            <w:u w:val="single"/>
          </w:rPr>
          <w:t>9.24–27</w:t>
        </w:r>
      </w:hyperlink>
      <w:r>
        <w:t>). Ce qui était arrivé à la génération d'Israélites après être sortie d'Égypte montre la réalité de ce danger. Tout comme les chrétiens ont été baptisés et participent au repas du Seigneur, ces Israélites étaient entrés dans l'alliance de Dieu et en avaient goûté les avantages (</w:t>
      </w:r>
      <w:hyperlink r:id="rId3249">
        <w:r>
          <w:rPr>
            <w:color w:val="0000EE"/>
            <w:u w:val="single"/>
          </w:rPr>
          <w:t>10.2–4</w:t>
        </w:r>
      </w:hyperlink>
      <w:r>
        <w:t xml:space="preserve">). Pourtant, la plupart d'entre eux n'étaient pas arrivés en Terre Promise. La raison pour laquelle Dieu les avait détruits était simple : ils s'étaient détournés de lui vers le péché. Le chrétien doit donc aussi se garder de l'orgueil et d'un mauvais usage de sa liberté afin de ne pas tomber dans le péché et se détourner de la foi (v. </w:t>
      </w:r>
      <w:hyperlink r:id="rId3250">
        <w:r>
          <w:rPr>
            <w:color w:val="0000EE"/>
            <w:u w:val="single"/>
          </w:rPr>
          <w:t>12</w:t>
        </w:r>
      </w:hyperlink>
      <w:r>
        <w:t xml:space="preserve">). Cependant, il ne faut pas que le chrétien soit terrifié par la possibilité d'être vaincu par la tentation. Il n'y a pas de tentation au-dessus de ses forces, car Dieu pourvoit toujours le moyen de la supporter (v. </w:t>
      </w:r>
      <w:hyperlink r:id="rId3251">
        <w:r>
          <w:rPr>
            <w:color w:val="0000EE"/>
            <w:u w:val="single"/>
          </w:rPr>
          <w:t>13</w:t>
        </w:r>
      </w:hyperlink>
      <w:r>
        <w:t>).</w:t>
      </w:r>
    </w:p>
    <w:p>
      <w:r/>
      <w:r>
        <w:t>Paul établit une autre comparaison entre les Israélites et les Corinthiens en ce qui concerne la participation à un repas sacrificiel (</w:t>
      </w:r>
      <w:hyperlink r:id="rId3252">
        <w:r>
          <w:rPr>
            <w:color w:val="0000EE"/>
            <w:u w:val="single"/>
          </w:rPr>
          <w:t>10.14–22</w:t>
        </w:r>
      </w:hyperlink>
      <w:r>
        <w:t xml:space="preserve">). La participation à la Sainte Cène est tout autant une communion au sang et au corps de Christ que la participation des Israélites aux sacrifices qu'ils offraient sur l'autel. De la même façon, le fait de manger de la nourriture offerte aux idoles est une communion, pas avec la divinité que représente l'idole, mais avec les démons qui se cachent derrière ce culte. Vouloir manger à la table du Seigneur et à celle de démons, c'est provoquer la jalousie de Dieu, tout comme Israël l'avait fait (v. </w:t>
      </w:r>
      <w:hyperlink r:id="rId3253">
        <w:r>
          <w:rPr>
            <w:color w:val="0000EE"/>
            <w:u w:val="single"/>
          </w:rPr>
          <w:t>22</w:t>
        </w:r>
      </w:hyperlink>
      <w:r>
        <w:t>).</w:t>
      </w:r>
    </w:p>
    <w:p>
      <w:r/>
      <w:r>
        <w:t>Ces trois chapitres sont conclus par un résumé (</w:t>
      </w:r>
      <w:hyperlink r:id="rId3254">
        <w:r>
          <w:rPr>
            <w:color w:val="0000EE"/>
            <w:u w:val="single"/>
          </w:rPr>
          <w:t>10.23–11.1</w:t>
        </w:r>
      </w:hyperlink>
      <w:r>
        <w:t>). Puisque la nourriture, même offerte à une idole, n'a pas de vertus spirituelles et que tout appartient à Dieu, le chrétien peut manger ce qui est vendu au marché sans poser de questions (</w:t>
      </w:r>
      <w:hyperlink r:id="rId3255">
        <w:r>
          <w:rPr>
            <w:color w:val="0000EE"/>
            <w:u w:val="single"/>
          </w:rPr>
          <w:t>10.25–26</w:t>
        </w:r>
      </w:hyperlink>
      <w:r>
        <w:t xml:space="preserve">). De même, le chrétien peut manger de tout ce qui est servi lors d'un dîner chez un non-croyant. Cependant, si quelqu'un fait remarquer que la nourriture a été offerte aux idoles, le chrétien devrait s'en abstenir. Il s'en abstient alors dans l'intérêt de la personne qui l'a fait remarquer, car il se soucie de son bien (v. </w:t>
      </w:r>
      <w:hyperlink r:id="rId3256">
        <w:r>
          <w:rPr>
            <w:color w:val="0000EE"/>
            <w:u w:val="single"/>
          </w:rPr>
          <w:t>27–30</w:t>
        </w:r>
      </w:hyperlink>
      <w:r>
        <w:t xml:space="preserve">). Tout doit être fait en cherchant la gloire de Dieu (v. </w:t>
      </w:r>
      <w:hyperlink r:id="rId3257">
        <w:r>
          <w:rPr>
            <w:color w:val="0000EE"/>
            <w:u w:val="single"/>
          </w:rPr>
          <w:t>31</w:t>
        </w:r>
      </w:hyperlink>
      <w:r>
        <w:t xml:space="preserve">). Il faut particulièrement éviter de faire obstacle à l'Évangile et au salut des autres (v. </w:t>
      </w:r>
      <w:hyperlink r:id="rId3258">
        <w:r>
          <w:rPr>
            <w:color w:val="0000EE"/>
            <w:u w:val="single"/>
          </w:rPr>
          <w:t>32</w:t>
        </w:r>
      </w:hyperlink>
      <w:r>
        <w:t>). Paul exhorte les Corinthiens à suivre son exemple dans ce domaine, comme lui-même suit celui de Christ (</w:t>
      </w:r>
      <w:hyperlink r:id="rId3259">
        <w:r>
          <w:rPr>
            <w:color w:val="0000EE"/>
            <w:u w:val="single"/>
          </w:rPr>
          <w:t>11.1</w:t>
        </w:r>
      </w:hyperlink>
      <w:r>
        <w:t xml:space="preserve">). </w:t>
      </w:r>
    </w:p>
    <w:p>
      <w:pPr>
        <w:pStyle w:val="Heading4"/>
      </w:pPr>
      <w:r>
        <w:rPr>
          <w:b/>
        </w:rPr>
        <w:t>Quatrième question des Corinthiens</w:t>
      </w:r>
    </w:p>
    <w:p>
      <w:r/>
      <w:r>
        <w:t>La quatrième question sur laquelle Paul se penche est celle de l'ordre dans les réunions d'Église (</w:t>
      </w:r>
      <w:hyperlink r:id="rId3260">
        <w:r>
          <w:rPr>
            <w:color w:val="0000EE"/>
            <w:u w:val="single"/>
          </w:rPr>
          <w:t>11.2–14.40</w:t>
        </w:r>
      </w:hyperlink>
      <w:r>
        <w:t>). Les assemblées étaient animées dans les Églises de maison des Corinthiens, et certains comportement égoïstes ne tenaient pas compte de l'unité des chrétiens en Christ. Les instructions de Paul ne cherchent pas à changer ce qu'ils faisaient, mais plutôt à changer comment ils le faisaient.</w:t>
      </w:r>
    </w:p>
    <w:p>
      <w:r/>
      <w:r>
        <w:t>Une première question à régler était celle du comportement des femmes mariées lors des assemblées (</w:t>
      </w:r>
      <w:hyperlink r:id="rId3259">
        <w:r>
          <w:rPr>
            <w:color w:val="0000EE"/>
            <w:u w:val="single"/>
          </w:rPr>
          <w:t>11.1–16</w:t>
        </w:r>
      </w:hyperlink>
      <w:r>
        <w:t>). Une femme exprimait sa situation maritale en portant un voile ou une coiffure distinctive, de la même façon que l'on porte une alliance au doigt dans beaucoup de pays aujourd'hui. Cela ne posait pas de problème à Paul que des femmes prient et prophétisent à l'Église. Il semble cependant que certaines mettaient de côté leur voile ou n'en portaient plus, et pensaient peut-être être libérées de l'autorité de leur mari. Paul soutient que ce n'est pas la femme seulement qui a un chef : l'homme a son chef, Christ et Christ a son chef, Dieu le Père (</w:t>
      </w:r>
      <w:hyperlink r:id="rId3261">
        <w:r>
          <w:rPr>
            <w:color w:val="0000EE"/>
            <w:u w:val="single"/>
          </w:rPr>
          <w:t>1Co 11.3</w:t>
        </w:r>
      </w:hyperlink>
      <w:r>
        <w:t>). Chacun doit honorer l'autorité que Dieu a placée au-dessus de lui. Tout comme les êtres humains unis à Dieu devraient le glorifier, ainsi la femme, unie à son mari, devraient aussi le respecter. Ainsi Paul approuve le ministère des femmes, mais celui-ci doit respecter la relation maritale.</w:t>
      </w:r>
    </w:p>
    <w:p>
      <w:r/>
      <w:r>
        <w:t>Un autre problème lors des assemblées des Corinthiens était leur façon de se comporter envers les plus pauvres d'entre eux (</w:t>
      </w:r>
      <w:hyperlink r:id="rId3262">
        <w:r>
          <w:rPr>
            <w:color w:val="0000EE"/>
            <w:u w:val="single"/>
          </w:rPr>
          <w:t>11.17–34</w:t>
        </w:r>
      </w:hyperlink>
      <w:r>
        <w:t xml:space="preserve">). Avant que le repas hebdomadaire du Seigneur ne devienne une cérémonie séparée aux troisième et quatrième siècles, c'était un repas complet que partageaient les chrétiens. Ceux qui appartenaient aux classes moyennes et supérieures pouvaient venir plus tôt aux rassemblements d'Église et se procurer de meilleurs aliments et boissons pour eux-mêmes. Suivant les coutumes des groupes païens, ils n'avaient aucun scrupule à commencer tôt et à festoyer comme il convenait à leur classe. De la nourriture simple pouvait être fournie pour les esclaves et les paysans qui ne pouvaient pas venir aussi tôt (v. </w:t>
      </w:r>
      <w:hyperlink r:id="rId3263">
        <w:r>
          <w:rPr>
            <w:color w:val="0000EE"/>
            <w:u w:val="single"/>
          </w:rPr>
          <w:t>21</w:t>
        </w:r>
      </w:hyperlink>
      <w:r>
        <w:t xml:space="preserve">). Cette pratique aurait été embarrassante pour les chrétiens les plus pauvres de l'assemblée, leur faisant ressentir vivement qu'ils appartenaient à une classe inférieure (v. </w:t>
      </w:r>
      <w:hyperlink r:id="rId3264">
        <w:r>
          <w:rPr>
            <w:color w:val="0000EE"/>
            <w:u w:val="single"/>
          </w:rPr>
          <w:t>22</w:t>
        </w:r>
      </w:hyperlink>
      <w:r>
        <w:t xml:space="preserve">). Un tel comportement n'est pas prendre le repas du Seigneur, mais une imposture (v. </w:t>
      </w:r>
      <w:hyperlink r:id="rId3265">
        <w:r>
          <w:rPr>
            <w:color w:val="0000EE"/>
            <w:u w:val="single"/>
          </w:rPr>
          <w:t>20</w:t>
        </w:r>
      </w:hyperlink>
      <w:r>
        <w:t>).</w:t>
      </w:r>
    </w:p>
    <w:p>
      <w:r/>
      <w:r>
        <w:t xml:space="preserve">Paul leur rappelle comment le Seigneur a institué la Sainte Cène et que ce repas est une participation au corps et au sang de Christ (voir </w:t>
      </w:r>
      <w:hyperlink r:id="rId3266">
        <w:r>
          <w:rPr>
            <w:color w:val="0000EE"/>
            <w:u w:val="single"/>
          </w:rPr>
          <w:t>10.16–17</w:t>
        </w:r>
      </w:hyperlink>
      <w:r>
        <w:t>) qui ne doit pas être traité comme un repas ordinaire. Manger et boire la Sainte Cène de façon indigne, avec des divisions et des distinctions de classe, c'est la profaner (</w:t>
      </w:r>
      <w:hyperlink r:id="rId3267">
        <w:r>
          <w:rPr>
            <w:color w:val="0000EE"/>
            <w:u w:val="single"/>
          </w:rPr>
          <w:t>11.29</w:t>
        </w:r>
      </w:hyperlink>
      <w:r>
        <w:t>). Paul explique que c'est pour cela que le jugement de Dieu était sur eux et que certains étaient déjà morts et d'autres malades. Au lieu de cela, Paul dit que chacun s'examine lui-même avant de manger le repas du Seigneur pour pouvoir le manger dignement.</w:t>
      </w:r>
    </w:p>
    <w:p>
      <w:r/>
      <w:r>
        <w:t>Un troisième problème dans leurs assemblées était la façon dont ils utilisaient certains dons spirituels (</w:t>
      </w:r>
      <w:hyperlink r:id="rId3268">
        <w:r>
          <w:rPr>
            <w:color w:val="0000EE"/>
            <w:u w:val="single"/>
          </w:rPr>
          <w:t>12.1–14.40</w:t>
        </w:r>
      </w:hyperlink>
      <w:r>
        <w:t>). Paul commence par distinguer les communications de l'Esprit des manifestations extatiques idolâtres. Un charismatique chrétien ne peut pas dire n'importe quoi au nom de l'Esprit. Par exemple, personne ne peut maudire Christ par l'Esprit. (Il est possible que certaines de ces manifestations aient été inspirées par les éléments proto-gnostiques évoqués plus tôt dans cet article.) Par contre, l'Esprit est manifeste dans quiconque confesse que Jésus est Seigneur.</w:t>
      </w:r>
    </w:p>
    <w:p>
      <w:r/>
      <w:r>
        <w:t>Certains des Corinthiens mettaient en avant leur propres dons pendant les assemblées, particulièrement le parler en langue. Il semble que certains parlaient en même temps ou ne s'arrêtaient pas de parler pour laisser quelqu'un d'autre le faire. Paul commence par leur rappeler qu'il n'y a qu'un seul Esprit et que c'est lui qui donne tous les dons (</w:t>
      </w:r>
      <w:hyperlink r:id="rId3269">
        <w:r>
          <w:rPr>
            <w:color w:val="0000EE"/>
            <w:u w:val="single"/>
          </w:rPr>
          <w:t>12.4–6</w:t>
        </w:r>
      </w:hyperlink>
      <w:r>
        <w:t xml:space="preserve">). L'Esprit choisit quel don il donne à chacun et ne les donne pas pour leur bénéfice personnel, mais pour l'édification de l'Église (v. </w:t>
      </w:r>
      <w:hyperlink r:id="rId3270">
        <w:r>
          <w:rPr>
            <w:color w:val="0000EE"/>
            <w:u w:val="single"/>
          </w:rPr>
          <w:t>7</w:t>
        </w:r>
      </w:hyperlink>
      <w:r>
        <w:t xml:space="preserve">). </w:t>
      </w:r>
    </w:p>
    <w:p>
      <w:r/>
      <w:r>
        <w:t>L'Esprit unit tous les chrétiens comme les membres d'un seul corps en Christ (</w:t>
      </w:r>
      <w:hyperlink r:id="rId3271">
        <w:r>
          <w:rPr>
            <w:color w:val="0000EE"/>
            <w:u w:val="single"/>
          </w:rPr>
          <w:t>12.12–13</w:t>
        </w:r>
      </w:hyperlink>
      <w:r>
        <w:t xml:space="preserve">). Ainsi, non seulement le même Esprit accorde des dons à tous, mais tous ceux-ci sont nécessaires pour le bon fonctionnement du corps de Christ (v. </w:t>
      </w:r>
      <w:hyperlink r:id="rId3272">
        <w:r>
          <w:rPr>
            <w:color w:val="0000EE"/>
            <w:u w:val="single"/>
          </w:rPr>
          <w:t>14–26</w:t>
        </w:r>
      </w:hyperlink>
      <w:r>
        <w:t>).</w:t>
      </w:r>
      <w:r>
        <w:rPr>
          <w:b/>
          <w:i/>
        </w:rPr>
        <w:t xml:space="preserve"> </w:t>
      </w:r>
      <w:r>
        <w:t xml:space="preserve">Ne pas avoir certains dons ne rend pas un chrétien moins membre du corps de Christ, et les dons les moins visibles sont particulièrement honorables. Par ailleurs, l'Esprit agit dans l'Église non seulement au travers de dons, mais aussi de différents ministères et différentes opérations (v. </w:t>
      </w:r>
      <w:hyperlink r:id="rId3273">
        <w:r>
          <w:rPr>
            <w:color w:val="0000EE"/>
            <w:u w:val="single"/>
          </w:rPr>
          <w:t>27–31</w:t>
        </w:r>
      </w:hyperlink>
      <w:r>
        <w:t>). Ainsi, la manifestation des dons spirituels, dépendantes de la volonté de l'Esprit, pouvait varier d'une assemblée à une autre.</w:t>
      </w:r>
    </w:p>
    <w:p>
      <w:r/>
      <w:r>
        <w:t>En fait, souligne Paul, ce n'est pas le fait d'avoir certains dons qui rend un chrétien plus spirituel, mais le fait de tout faire dans l'amour (</w:t>
      </w:r>
      <w:hyperlink r:id="rId3274">
        <w:r>
          <w:rPr>
            <w:color w:val="0000EE"/>
            <w:u w:val="single"/>
          </w:rPr>
          <w:t>13.1–13</w:t>
        </w:r>
      </w:hyperlink>
      <w:r>
        <w:t xml:space="preserve">). Un don exercé sans amour peut véritablement venir de l'Esprit mais ne sert à rien (v. </w:t>
      </w:r>
      <w:hyperlink r:id="rId3275">
        <w:r>
          <w:rPr>
            <w:color w:val="0000EE"/>
            <w:u w:val="single"/>
          </w:rPr>
          <w:t>1–3</w:t>
        </w:r>
      </w:hyperlink>
      <w:r>
        <w:t xml:space="preserve">). L'amour recherche constamment le bien des autres (v. </w:t>
      </w:r>
      <w:hyperlink r:id="rId3276">
        <w:r>
          <w:rPr>
            <w:color w:val="0000EE"/>
            <w:u w:val="single"/>
          </w:rPr>
          <w:t>4–7</w:t>
        </w:r>
      </w:hyperlink>
      <w:r>
        <w:t xml:space="preserve">). En plus, les dons de l'Esprit ne sont pas permanents. Ils ne sont utiles qu'en attendant que Christ revienne et que le royaume de Dieu soit pleinement manifesté. Ensuite, ils disparaîtront (v. </w:t>
      </w:r>
      <w:hyperlink r:id="rId3277">
        <w:r>
          <w:rPr>
            <w:color w:val="0000EE"/>
            <w:u w:val="single"/>
          </w:rPr>
          <w:t>10, 12</w:t>
        </w:r>
      </w:hyperlink>
      <w:r>
        <w:t xml:space="preserve">). Ce ne sont pas les dons spirituel mais l'amour, la foi et l'espérance qui ont une valeur qui ne passe pas, et l'amour est le plus grand des trois (v. </w:t>
      </w:r>
      <w:hyperlink r:id="rId3278">
        <w:r>
          <w:rPr>
            <w:color w:val="0000EE"/>
            <w:u w:val="single"/>
          </w:rPr>
          <w:t>13</w:t>
        </w:r>
      </w:hyperlink>
      <w:r>
        <w:t>).</w:t>
      </w:r>
    </w:p>
    <w:p>
      <w:r/>
      <w:r>
        <w:t>Paul dit qu'il est bon d'aspirer aux dons spirituels si c'est dans le but d'aimer les autres et d'édifier l'Église. Il explique que pour cette raison, la prophétie est un meilleur don pour les assemblées que le parler en langue (</w:t>
      </w:r>
      <w:hyperlink r:id="rId3279">
        <w:r>
          <w:rPr>
            <w:color w:val="0000EE"/>
            <w:u w:val="single"/>
          </w:rPr>
          <w:t>14.1–25</w:t>
        </w:r>
      </w:hyperlink>
      <w:r>
        <w:t xml:space="preserve">). Il est clair que les Corinthiens aimaient particulièrement le don des langues, pourtant, leur dit Paul, ce don n'a pas de valeur dans l'assemblée quand il n'y a pas d'interprétation. Ce que les autres ne peuvent pas comprendre ne les édifie pas, et ressemblerait d'ailleurs à de la folie pour un non-chrétien qui viendrait à l'assemblée. En dehors des réunions d'Église, les langues sont utiles comme signe de jugement (v. </w:t>
      </w:r>
      <w:hyperlink r:id="rId3280">
        <w:r>
          <w:rPr>
            <w:color w:val="0000EE"/>
            <w:u w:val="single"/>
          </w:rPr>
          <w:t>21</w:t>
        </w:r>
      </w:hyperlink>
      <w:r>
        <w:t xml:space="preserve">) et pour l'adoration en privé (v. </w:t>
      </w:r>
      <w:hyperlink r:id="rId3281">
        <w:r>
          <w:rPr>
            <w:color w:val="0000EE"/>
            <w:u w:val="single"/>
          </w:rPr>
          <w:t>18</w:t>
        </w:r>
      </w:hyperlink>
      <w:r>
        <w:t>), mais dans l'assemblée, elles ne sont utiles que si elles sont interprétées. Par contre, la prophétie édifie et aide les non-chrétiens à réaliser leurs péchés. C'est donc le don supérieur auquel devait aspirer les Corinthiens pour leurs assemblées.</w:t>
      </w:r>
    </w:p>
    <w:p>
      <w:r/>
      <w:r>
        <w:t>Dans les assemblées de l'Église, de nombreux dons pouvaient contribuer tant que cela se faisait pour l'édification commune et dans l'ordre (</w:t>
      </w:r>
      <w:hyperlink r:id="rId3282">
        <w:r>
          <w:rPr>
            <w:color w:val="0000EE"/>
            <w:u w:val="single"/>
          </w:rPr>
          <w:t>14.26–40</w:t>
        </w:r>
      </w:hyperlink>
      <w:r>
        <w:t xml:space="preserve">). Il y avait différentes façons de partager et d'édifier pendant le culte (v </w:t>
      </w:r>
      <w:hyperlink r:id="rId3283">
        <w:r>
          <w:rPr>
            <w:color w:val="0000EE"/>
            <w:u w:val="single"/>
          </w:rPr>
          <w:t>26</w:t>
        </w:r>
      </w:hyperlink>
      <w:r>
        <w:t xml:space="preserve">). Quiconque souhaitait parler en langue ne pouvait le faire qu'avec un interprète. Que ce soient eux ou les prophètes, il ne fallait pas parler en même temps, mais à tour de rôle. Pas plus de deux ou trois pouvaient prendre la parole pendant le culte. Les prophéties devaient être évaluées par ceux qui les entendaient (v. </w:t>
      </w:r>
      <w:hyperlink r:id="rId3284">
        <w:r>
          <w:rPr>
            <w:color w:val="0000EE"/>
            <w:u w:val="single"/>
          </w:rPr>
          <w:t>27–33</w:t>
        </w:r>
      </w:hyperlink>
      <w:r>
        <w:t xml:space="preserve">). Il y avait aussi un problème avec la prise de parole de certaines femmes. Peut-être que certaines bavardaient pendant le culte (peut-être en raison d'habitudes apprises dans les synagogues juives, où elles étaient séparées et ne participaient pas). Quoiqu'il en soit, Paul voulait que ce problème de parole cesse. Il leur recommande de poser leurs questions à la maison (v. </w:t>
      </w:r>
      <w:hyperlink r:id="rId3285">
        <w:r>
          <w:rPr>
            <w:color w:val="0000EE"/>
            <w:u w:val="single"/>
          </w:rPr>
          <w:t>34–36</w:t>
        </w:r>
      </w:hyperlink>
      <w:r>
        <w:t xml:space="preserve">). En conclusion, il répète que tout doit être fait dans l'ordre, car Dieu n'est pas un Dieu de désordre (v. </w:t>
      </w:r>
      <w:hyperlink r:id="rId3286">
        <w:r>
          <w:rPr>
            <w:color w:val="0000EE"/>
            <w:u w:val="single"/>
          </w:rPr>
          <w:t>37–40</w:t>
        </w:r>
      </w:hyperlink>
      <w:r>
        <w:t>).</w:t>
      </w:r>
    </w:p>
    <w:p>
      <w:pPr>
        <w:pStyle w:val="Heading4"/>
      </w:pPr>
      <w:r>
        <w:rPr>
          <w:b/>
        </w:rPr>
        <w:t>Cinquième question des Corinthiens</w:t>
      </w:r>
    </w:p>
    <w:p>
      <w:r/>
      <w:r>
        <w:t xml:space="preserve">Le cinquième sujet que Paul traite est celui de la résurrection des morts (chap. </w:t>
      </w:r>
      <w:hyperlink r:id="rId3287">
        <w:r>
          <w:rPr>
            <w:color w:val="0000EE"/>
            <w:u w:val="single"/>
          </w:rPr>
          <w:t>15</w:t>
        </w:r>
      </w:hyperlink>
      <w:r>
        <w:t xml:space="preserve">). Certains des problèmes de l'Église, comme l'immoralité sexuelle (chap. </w:t>
      </w:r>
      <w:hyperlink r:id="rId3203">
        <w:r>
          <w:rPr>
            <w:color w:val="0000EE"/>
            <w:u w:val="single"/>
          </w:rPr>
          <w:t>5–6</w:t>
        </w:r>
      </w:hyperlink>
      <w:r>
        <w:t>) et l'ascétisme sexuel (chap. 7) ainsi que le sentiment d'avoir commencé à régner (chap. 15) étaient peut-être liés au fait que certains enseignaient qu'il n'y avait pas de résurrection (</w:t>
      </w:r>
      <w:hyperlink r:id="rId3288">
        <w:r>
          <w:rPr>
            <w:color w:val="0000EE"/>
            <w:u w:val="single"/>
          </w:rPr>
          <w:t>15.12</w:t>
        </w:r>
      </w:hyperlink>
      <w:r>
        <w:t>). Cet enseignement semblait particulièrement nier la résurrection du corps plutôt que l'immortalité de l'âme ou la résurrection de Jésus.</w:t>
      </w:r>
    </w:p>
    <w:p>
      <w:r/>
      <w:r>
        <w:t>Paul insiste que la résurrection de Jésus est une partie essentielle du message de l'Évangile (</w:t>
      </w:r>
      <w:hyperlink r:id="rId3289">
        <w:r>
          <w:rPr>
            <w:color w:val="0000EE"/>
            <w:u w:val="single"/>
          </w:rPr>
          <w:t>15.1–19</w:t>
        </w:r>
      </w:hyperlink>
      <w:r>
        <w:t xml:space="preserve">). Tous les témoignages s'accordent pour prouver que non seulement Jésus est mort, mais qu'il est ensuite ressuscité des morts et est apparu à de nombreux témoins (v. </w:t>
      </w:r>
      <w:hyperlink r:id="rId3290">
        <w:r>
          <w:rPr>
            <w:color w:val="0000EE"/>
            <w:u w:val="single"/>
          </w:rPr>
          <w:t>3–11</w:t>
        </w:r>
      </w:hyperlink>
      <w:r>
        <w:t xml:space="preserve">). S'il n'y a de résurrection, Jésus n'est pas ressuscité non plus. Dans ce cas, le message de l'Évangile aurait été faux et tous les espoirs de salut des chrétiens auraient été vains (v. </w:t>
      </w:r>
      <w:hyperlink r:id="rId3288">
        <w:r>
          <w:rPr>
            <w:color w:val="0000EE"/>
            <w:u w:val="single"/>
          </w:rPr>
          <w:t>12–19</w:t>
        </w:r>
      </w:hyperlink>
      <w:r>
        <w:t>).</w:t>
      </w:r>
    </w:p>
    <w:p>
      <w:r/>
      <w:r>
        <w:t>Le fait que Christ est ressuscité prouve au contraire que les chrétiens seront également ressuscités en raison de leur union avec lui (</w:t>
      </w:r>
      <w:hyperlink r:id="rId3291">
        <w:r>
          <w:rPr>
            <w:color w:val="0000EE"/>
            <w:u w:val="single"/>
          </w:rPr>
          <w:t>15.20–28</w:t>
        </w:r>
      </w:hyperlink>
      <w:r>
        <w:t xml:space="preserve">). Tout comme ils ont subi les conséquences du péché d'Adam en étant unis à lui en tant qu'êtres humains, ils bénéficieront de la vie en Christ à qui ils sont maintenant unis. Cependant, la résurrection ne se produit pas en une seule fois. Il y a plusieurs étapes. La résurrection a commencé avec Christ. Ensuite, les chrétiens seront ressuscités à son avènement. Christ doit régner jusqu'à ce qu'il étende le royaume de Dieu sur le monde entier. Il va ainsi détruire toutes les puissances démoniaques, y compris la mort elle-même. Enfin, il remettra ce règne total au Père (v. </w:t>
      </w:r>
      <w:hyperlink r:id="rId3292">
        <w:r>
          <w:rPr>
            <w:color w:val="0000EE"/>
            <w:u w:val="single"/>
          </w:rPr>
          <w:t>23–28</w:t>
        </w:r>
      </w:hyperlink>
      <w:r>
        <w:t>).</w:t>
      </w:r>
    </w:p>
    <w:p>
      <w:r/>
      <w:r>
        <w:t xml:space="preserve">L'espérance de la résurrection explique aussi que des personnes pouvaient se faire baptiser au nom d'autres personnes déjà décédées (qui s'étaient probablement tournées vers Christ mais étaient mortes avant de pouvoir être baptisées, </w:t>
      </w:r>
      <w:hyperlink r:id="rId1660">
        <w:r>
          <w:rPr>
            <w:color w:val="0000EE"/>
            <w:u w:val="single"/>
          </w:rPr>
          <w:t>15.29</w:t>
        </w:r>
      </w:hyperlink>
      <w:r>
        <w:t xml:space="preserve">). C'est aussi pour cela qu'il n'est pas insensé de risquer sa vie pour Christ (v. </w:t>
      </w:r>
      <w:hyperlink r:id="rId3293">
        <w:r>
          <w:rPr>
            <w:color w:val="0000EE"/>
            <w:u w:val="single"/>
          </w:rPr>
          <w:t>30–32</w:t>
        </w:r>
      </w:hyperlink>
      <w:r>
        <w:t>).</w:t>
      </w:r>
    </w:p>
    <w:p>
      <w:r/>
      <w:r>
        <w:t>Paul admet que ce n'est pas facile de comprendre comment les corps seront ressuscités. Toutefois, il faut savoir que même si la personne sera toujours elle-même, la résurrection produira aussi d'importants changements (</w:t>
      </w:r>
      <w:hyperlink r:id="rId3294">
        <w:r>
          <w:rPr>
            <w:color w:val="0000EE"/>
            <w:u w:val="single"/>
          </w:rPr>
          <w:t>15.35–50</w:t>
        </w:r>
      </w:hyperlink>
      <w:r>
        <w:t>). Une plante a une relation étroite à sa semence, mais n'a pas la même apparence. Même dans le monde actuel, il y a des types différents de corps. Il en sera ainsi à la résurrection. Ce qui était corruptible, méprisable, infirme et physique (en Adam) sera ressuscité incorruptible, glorieux, plein de force et spirituel (en Christ). En effet, c'est seulement en devenant ainsi comme Christ, l'homme céleste, que les chrétiens peuvent hériter le royaume de Dieu.</w:t>
      </w:r>
    </w:p>
    <w:p>
      <w:r/>
      <w:r>
        <w:t>Avec enthousiasme, Paul partage sa véritable espérance : celle de la transformation (</w:t>
      </w:r>
      <w:hyperlink r:id="rId3295">
        <w:r>
          <w:rPr>
            <w:color w:val="0000EE"/>
            <w:u w:val="single"/>
          </w:rPr>
          <w:t>15.51–58</w:t>
        </w:r>
      </w:hyperlink>
      <w:r>
        <w:t xml:space="preserve">). À la venue du Christ, les morts seront ressuscités et transformés. Mais les vivants le seront également. Cela se produira en une fraction de seconde et les rendra tous invulnérables à la mort. Alors, ils connaîtront véritablement la victoire déjà manifestée en la résurrection de Jésus (v. </w:t>
      </w:r>
      <w:hyperlink r:id="rId3296">
        <w:r>
          <w:rPr>
            <w:color w:val="0000EE"/>
            <w:u w:val="single"/>
          </w:rPr>
          <w:t>54–57</w:t>
        </w:r>
      </w:hyperlink>
      <w:r>
        <w:t xml:space="preserve">). Paul conclut ce sujet en exhortant ceux qui servent Christ à persévérer et à rester fermes, sachant que leur travail pour Christ n'est pas en vain (v. </w:t>
      </w:r>
      <w:hyperlink r:id="rId3297">
        <w:r>
          <w:rPr>
            <w:color w:val="0000EE"/>
            <w:u w:val="single"/>
          </w:rPr>
          <w:t>58</w:t>
        </w:r>
      </w:hyperlink>
      <w:r>
        <w:t>).</w:t>
      </w:r>
    </w:p>
    <w:p>
      <w:pPr>
        <w:pStyle w:val="Heading4"/>
      </w:pPr>
      <w:r>
        <w:rPr>
          <w:b/>
        </w:rPr>
        <w:t>Sixième question des Corinthiens</w:t>
      </w:r>
    </w:p>
    <w:p>
      <w:r/>
      <w:r>
        <w:t>Paul aborde ensuite le sujet de la collecte organisée pour aider l'Église de Jérusalem (</w:t>
      </w:r>
      <w:hyperlink r:id="rId3127">
        <w:r>
          <w:rPr>
            <w:color w:val="0000EE"/>
            <w:u w:val="single"/>
          </w:rPr>
          <w:t>16.1–4</w:t>
        </w:r>
      </w:hyperlink>
      <w:r>
        <w:t>). Celle-ci avait souffert des effets de la famine en Judée pendant les années 40 apr. J.-C. Pour les aider et pour renforcer la solidarité entre Églises, Paul organise une collecte parmi plusieurs assemblées. Il répond aux questions pratiques des Corinthiens en leur donnant des instructions précises. Il leur dit de mettre de côté leurs dons au début de chaque semaine plutôt que d'attendre qu'il arrive pour commencer la collecte. Chacun pouvait contribuer selon sa capacité et sans contrainte (</w:t>
      </w:r>
      <w:hyperlink r:id="rId3298">
        <w:r>
          <w:rPr>
            <w:color w:val="0000EE"/>
            <w:u w:val="single"/>
          </w:rPr>
          <w:t>16.2</w:t>
        </w:r>
      </w:hyperlink>
      <w:r>
        <w:t xml:space="preserve">). Paul leur explique qu'il enverra l'argent par leurs propres messagers, pour prévenir toute crainte que l'argent puisse être détourné (voir aussi </w:t>
      </w:r>
      <w:hyperlink r:id="rId3124">
        <w:r>
          <w:rPr>
            <w:color w:val="0000EE"/>
            <w:u w:val="single"/>
          </w:rPr>
          <w:t>2Co 8–9</w:t>
        </w:r>
      </w:hyperlink>
      <w:r>
        <w:t>).</w:t>
      </w:r>
    </w:p>
    <w:p>
      <w:pPr>
        <w:pStyle w:val="Heading3"/>
      </w:pPr>
      <w:r>
        <w:t>Dernières remarques et conclusion (</w:t>
      </w:r>
      <w:hyperlink r:id="rId3299">
        <w:r>
          <w:rPr>
            <w:color w:val="0000EE"/>
            <w:u w:val="single"/>
          </w:rPr>
          <w:t>16.5–24</w:t>
        </w:r>
      </w:hyperlink>
      <w:r>
        <w:t>)</w:t>
      </w:r>
    </w:p>
    <w:p>
      <w:r/>
      <w:r>
        <w:t xml:space="preserve">Pour conclure la lettre, Paul explique ses projets aux Corinthiens. Il espérait notamment pouvoir passer un certain temps chez eux une fois parti d'Éphèse (voir </w:t>
      </w:r>
      <w:hyperlink r:id="rId3300">
        <w:r>
          <w:rPr>
            <w:color w:val="0000EE"/>
            <w:u w:val="single"/>
          </w:rPr>
          <w:t>2Co 1</w:t>
        </w:r>
      </w:hyperlink>
      <w:r>
        <w:t>). Timothée allait se rendre à Corinthe en portant la lettre avec lui ou plus tard. Paul demande aux Corinthiens de bien le recevoir et de l'assister dans ses besoins. Paul leur confie avoir exhorté exhorté Apollos à leur rendre visite, peut-être pour les rassurer au sujet de ses bonnes relations avec lui. Les dernières lignes de la lettre incluent une exhortation à rester fermes et à marcher dans l'amour, ainsi que les salutations coutumières de ses lettres. Il loue le dévouement des messagers des Corinthiens qui lui avaient apporté leur lettre (</w:t>
      </w:r>
      <w:hyperlink r:id="rId3301">
        <w:r>
          <w:rPr>
            <w:color w:val="0000EE"/>
            <w:u w:val="single"/>
          </w:rPr>
          <w:t>16.15–18</w:t>
        </w:r>
      </w:hyperlink>
      <w:r>
        <w:t>). Il leur transmet aussi des salutations de la part d'Aquilas et de Priscille, qui l'avaient aidé à fonder l'Église à Corinthe (</w:t>
      </w:r>
      <w:hyperlink r:id="rId3302">
        <w:r>
          <w:rPr>
            <w:color w:val="0000EE"/>
            <w:u w:val="single"/>
          </w:rPr>
          <w:t>Ac 18.2–3, 18</w:t>
        </w:r>
      </w:hyperlink>
      <w:r>
        <w:t>). Il les exhorte également à se saluer les uns les autres par un saint baiser (</w:t>
      </w:r>
      <w:hyperlink r:id="rId1575">
        <w:r>
          <w:rPr>
            <w:color w:val="0000EE"/>
            <w:u w:val="single"/>
          </w:rPr>
          <w:t>16.20</w:t>
        </w:r>
      </w:hyperlink>
      <w:r>
        <w:t xml:space="preserve">). Paul prend ensuite la plume du scribe, comme c'était la norme, et écrit l'exhortation finale et prononce une malédiction sur ceux qui n'aiment pas Jésus. Il prie </w:t>
      </w:r>
      <w:r>
        <w:rPr>
          <w:i/>
        </w:rPr>
        <w:t>Marana tha,</w:t>
      </w:r>
      <w:r>
        <w:t xml:space="preserve"> expression araméenne</w:t>
      </w:r>
      <w:r>
        <w:rPr>
          <w:i/>
        </w:rPr>
        <w:t xml:space="preserve"> </w:t>
      </w:r>
      <w:r>
        <w:t xml:space="preserve">qui signifie « Viens, Seigneur ! » et leur affirme à nouveau son amour pour eux (v. </w:t>
      </w:r>
      <w:hyperlink r:id="rId3303">
        <w:r>
          <w:rPr>
            <w:color w:val="0000EE"/>
            <w:u w:val="single"/>
          </w:rPr>
          <w:t>21–24</w:t>
        </w:r>
      </w:hyperlink>
      <w:r>
        <w:t>).</w:t>
      </w:r>
    </w:p>
    <w:p>
      <w:r/>
      <w:r>
        <w:rPr>
          <w:i/>
        </w:rPr>
        <w:t>Voir aussi</w:t>
      </w:r>
      <w:r>
        <w:t xml:space="preserve"> </w:t>
      </w:r>
      <w:r>
        <w:t>Actes des Apôtres (livre)</w:t>
      </w:r>
      <w:r>
        <w:t xml:space="preserve"> ; </w:t>
      </w:r>
      <w:r>
        <w:t>Corinthe</w:t>
      </w:r>
      <w:r>
        <w:t xml:space="preserve"> ; </w:t>
      </w:r>
      <w:r>
        <w:t>Corinthiens (Seconde Épître)</w:t>
      </w:r>
      <w:r>
        <w:t xml:space="preserve"> ; </w:t>
      </w:r>
      <w:r>
        <w:t>Paul (apôtre)</w:t>
      </w:r>
      <w:r>
        <w:t>.</w:t>
      </w:r>
      <w:r/>
      <w:r/>
    </w:p>
    <w:p>
      <w:r/>
    </w:p>
    <w:p>
      <w:pPr>
        <w:pStyle w:val="Heading2"/>
      </w:pPr>
      <w:r>
        <w:t>Corneille</w:t>
      </w:r>
      <w:r/>
    </w:p>
    <w:p>
      <w:r/>
      <w:r>
        <w:t>Centurion romain et premier chrétien païen mentionné dans le livre des Actes.</w:t>
      </w:r>
    </w:p>
    <w:p>
      <w:r/>
      <w:r>
        <w:t xml:space="preserve">L'histoire de la conversion de Corneille par la prédication de l'apôtre Pierre est relatée dans </w:t>
      </w:r>
      <w:hyperlink r:id="rId3304">
        <w:r>
          <w:rPr>
            <w:color w:val="0000EE"/>
            <w:u w:val="single"/>
          </w:rPr>
          <w:t>Actes 10.1–11.18</w:t>
        </w:r>
      </w:hyperlink>
      <w:r>
        <w:t>. Avant sa conversion, Corneille était bien connu des Juifs comme une personne qui craignait Dieu, priait continuellement et faisait des aumônes.</w:t>
      </w:r>
    </w:p>
    <w:p>
      <w:r/>
      <w:r>
        <w:t>Au départ, l'Église était composée uniquement de Juifs, qui hésitaient à prêcher l'Évangile aux Gentils parce que les Juifs respectueux de la loi n'avaient jamais de communion avec les « païens ». Pierre, un Juif respectueux de la loi, avait des scrupules à entrer dans la maison d'un Gentil et à manger de la nourriture « impure ». Cependant, à travers une vision, Dieu a conduit Pierre à la maison de Corneille pour prêcher l'Évangile à lui, sa famille et ses amis proches. Avant que Pierre ait fini de parler, et avant que le baptême ou l'imposition des mains ne puissent être administrés, Dieu a démontré de manière spectaculaire son acceptation des Gentils dans la communion de l'Église en leur donnant le don du Saint-Esprit. Pierre est resté plusieurs jours dans la maison de Corneille, sans doute se réjouissant de la conversion du centurion et l'instruisant dans sa foi nouvellement acquise.</w:t>
      </w:r>
    </w:p>
    <w:p>
      <w:r/>
      <w:r>
        <w:t>La conversion de Corneille a représenté une étape significative dans la séparation de l'Église primitive du judaïsme. Corneille n'a eu à se soumettre à aucune des pratiques juives, telles que la circoncision ou le fait de manger uniquement des animaux rituellement « purs ». Pour la première fois, un croyant païen a été accepté dans l'Église sur un pied d'égalité avec les chrétiens juifs.</w:t>
      </w:r>
    </w:p>
    <w:p>
      <w:r/>
      <w:r>
        <w:rPr>
          <w:i/>
        </w:rPr>
        <w:t>Voir aussi</w:t>
      </w:r>
      <w:r>
        <w:t xml:space="preserve"> </w:t>
      </w:r>
      <w:r>
        <w:t>Actes des Apôtres, Livre des</w:t>
      </w:r>
      <w:r>
        <w:t>.</w:t>
      </w:r>
      <w:r/>
      <w:r/>
    </w:p>
    <w:p>
      <w:r/>
    </w:p>
    <w:p>
      <w:pPr>
        <w:pStyle w:val="Heading2"/>
      </w:pPr>
      <w:r>
        <w:t>Cos</w:t>
      </w:r>
      <w:r/>
    </w:p>
    <w:p>
      <w:r/>
      <w:r>
        <w:t>Île de la mer Égée, faisant partie du groupe des Sporades. L'île possède une ville du même nom. Cos est située près de la côte de Carie en Asie Mineure (Turquie moderne).</w:t>
      </w:r>
    </w:p>
    <w:p>
      <w:r/>
      <w:r>
        <w:t>L'apôtre Paul a visité Cos lors de ses voyages. Ce sera sa première escale après avoir quitté Éphèse alors qu'il se rendait à Jérusalem à la fin de son troisième voyage missionnaire (</w:t>
      </w:r>
      <w:hyperlink r:id="rId3305">
        <w:r>
          <w:rPr>
            <w:color w:val="0000EE"/>
            <w:u w:val="single"/>
          </w:rPr>
          <w:t>Ac 21.1</w:t>
        </w:r>
      </w:hyperlink>
      <w:r>
        <w:t>).</w:t>
      </w:r>
    </w:p>
    <w:p>
      <w:r/>
      <w:r>
        <w:t>Dans les Apocryphes (ensemble de textes anciens non inclus dans la Bible hébraïque mais acceptés par certains groupes chrétiens), Cos est mentionné aux côtés d'autres régions. Ces lieux avaient reçu une lettre du consul romain Lucius. La lettre interdisait la guerre contre le peuple juif qui vivait dans ces régions (</w:t>
      </w:r>
      <w:hyperlink r:id="rId1322">
        <w:r>
          <w:rPr>
            <w:color w:val="0000EE"/>
            <w:u w:val="single"/>
          </w:rPr>
          <w:t>1 M 15.23</w:t>
        </w:r>
      </w:hyperlink>
      <w:r>
        <w:t>).</w:t>
      </w:r>
    </w:p>
    <w:p>
      <w:r/>
      <w:r>
        <w:t>Cos (aujourd'hui appelé Kos) était un centre important pour le transport maritime et le commerce. Il était célèbre pour son blé, ses onguents, ses vins et sa soie. Plus tard, il deviendra l'un des centres financiers de la Méditerranée orientale.</w:t>
      </w:r>
    </w:p>
    <w:p>
      <w:r/>
      <w:r>
        <w:t>Hippocrate, connu comme le « Père de la médecine », est né à Cos. Il y pratiquera la médecine pendant les 5e et 4e siècles av. J.‑C. Sous le règne du roi Hérode, Cos recevra des paiements financiers de façon régulière. Les habitants de Cos érigeront une statue pour honorer le fils d'Hérode, Hérode Antipas.</w:t>
      </w:r>
      <w:r/>
      <w:r/>
    </w:p>
    <w:p>
      <w:r/>
    </w:p>
    <w:p>
      <w:pPr>
        <w:pStyle w:val="Heading2"/>
      </w:pPr>
      <w:r>
        <w:t>couleur</w:t>
      </w:r>
      <w:r/>
    </w:p>
    <w:p>
      <w:r/>
      <w:r>
        <w:t>L'Ancien Testament (AT) et le Nouveau Testament (NT) n'utilisent pas de mot qui signifie « couleur », même si ce terme apparaît plusieurs fois dans nos Bibles françaises (p. ex. 15 fois dans la Louis Segond). Le mot « couleur » est parfois pourvu pour la compréhension du texte en français. Quand il s'agit de la traduction d'un mot spécifique, le mot en question a une signification différente dans la langue originale. En effet, la coloration d'une chose est souvent communiquée par d'autres termes. De plus, la couleur d'une chose peut également être communiquée avec d'autres termes que le mot « couleur » ou des couleurs spécifiques.</w:t>
      </w:r>
    </w:p>
    <w:p>
      <w:r/>
      <w:r>
        <w:t>L'un de ces termes qui peut suggérer une apparence colorée est souvent traduit par « apparence », « aspect », « éclat » ou même « étincelant » (</w:t>
      </w:r>
      <w:hyperlink r:id="rId3306">
        <w:r>
          <w:rPr>
            <w:color w:val="0000EE"/>
            <w:u w:val="single"/>
          </w:rPr>
          <w:t>Lv 13.55</w:t>
        </w:r>
      </w:hyperlink>
      <w:r>
        <w:t xml:space="preserve"> ; </w:t>
      </w:r>
      <w:hyperlink r:id="rId1723">
        <w:r>
          <w:rPr>
            <w:color w:val="0000EE"/>
            <w:u w:val="single"/>
          </w:rPr>
          <w:t>Nb 11.7</w:t>
        </w:r>
      </w:hyperlink>
      <w:r>
        <w:t xml:space="preserve"> ; </w:t>
      </w:r>
      <w:hyperlink r:id="rId3307">
        <w:r>
          <w:rPr>
            <w:color w:val="0000EE"/>
            <w:u w:val="single"/>
          </w:rPr>
          <w:t>Pr 23.31</w:t>
        </w:r>
      </w:hyperlink>
      <w:r>
        <w:t xml:space="preserve"> ; </w:t>
      </w:r>
      <w:hyperlink r:id="rId3308">
        <w:r>
          <w:rPr>
            <w:color w:val="0000EE"/>
            <w:u w:val="single"/>
          </w:rPr>
          <w:t>Ez 1.4, 7, 16, 22, 27</w:t>
        </w:r>
      </w:hyperlink>
      <w:r>
        <w:t xml:space="preserve"> ; </w:t>
      </w:r>
      <w:hyperlink r:id="rId3309">
        <w:r>
          <w:rPr>
            <w:color w:val="0000EE"/>
            <w:u w:val="single"/>
          </w:rPr>
          <w:t>8.2</w:t>
        </w:r>
      </w:hyperlink>
      <w:r>
        <w:t xml:space="preserve"> ; </w:t>
      </w:r>
      <w:hyperlink r:id="rId3310">
        <w:r>
          <w:rPr>
            <w:color w:val="0000EE"/>
            <w:u w:val="single"/>
          </w:rPr>
          <w:t>10.9</w:t>
        </w:r>
      </w:hyperlink>
      <w:r>
        <w:t xml:space="preserve"> ; </w:t>
      </w:r>
      <w:hyperlink r:id="rId3311">
        <w:r>
          <w:rPr>
            <w:color w:val="0000EE"/>
            <w:u w:val="single"/>
          </w:rPr>
          <w:t>Dn 10.6</w:t>
        </w:r>
      </w:hyperlink>
      <w:r>
        <w:t xml:space="preserve">). Le mot traduit « changer de couleur » dans </w:t>
      </w:r>
      <w:hyperlink r:id="rId3312">
        <w:r>
          <w:rPr>
            <w:color w:val="0000EE"/>
            <w:u w:val="single"/>
          </w:rPr>
          <w:t>Daniel 5.6–10</w:t>
        </w:r>
      </w:hyperlink>
      <w:r>
        <w:t xml:space="preserve"> ; </w:t>
      </w:r>
      <w:hyperlink r:id="rId3313">
        <w:r>
          <w:rPr>
            <w:color w:val="0000EE"/>
            <w:u w:val="single"/>
          </w:rPr>
          <w:t>7.28</w:t>
        </w:r>
      </w:hyperlink>
      <w:r>
        <w:t xml:space="preserve"> signifie « rayonnement » ou « splendeur ». Ce mot est utilisé dans une expression idiomatique pour décrire l'apparence du visage. </w:t>
      </w:r>
    </w:p>
    <w:p>
      <w:r/>
      <w:r>
        <w:t xml:space="preserve">Un autre mot désigne habituellement une broderie ou un bel ouvrage tissé de couleurs variées, comme par exemple dans </w:t>
      </w:r>
      <w:hyperlink r:id="rId3314">
        <w:r>
          <w:rPr>
            <w:color w:val="0000EE"/>
            <w:u w:val="single"/>
          </w:rPr>
          <w:t>Proverbes 7.16</w:t>
        </w:r>
      </w:hyperlink>
      <w:r>
        <w:t>. Ce mot peut être traduit par « multicolore » (Traduction Officielle Liturgique), « de couleurs variées » (Darby), « bigarré » (Bible Annotée), « coloré » (Bible Juive) ou « de toutes couleurs » (Parole de Vie). Comme le terme « mosaïque » en français, le mot hébreu dont il est question ne signifie pas de coloration en soit, mais selon le contexte, il sera compris qu'il y a coloration. Par exemple, c'est le terme employé pour décrire la beauté du plumage de l'aigle (</w:t>
      </w:r>
      <w:hyperlink r:id="rId3315">
        <w:r>
          <w:rPr>
            <w:color w:val="0000EE"/>
            <w:u w:val="single"/>
          </w:rPr>
          <w:t>Ez 17.3</w:t>
        </w:r>
      </w:hyperlink>
      <w:r>
        <w:t xml:space="preserve"> « de toutes couleurs ») ou la beauté de pierres précieuses ou semi-précieuses (</w:t>
      </w:r>
      <w:hyperlink r:id="rId3316">
        <w:r>
          <w:rPr>
            <w:color w:val="0000EE"/>
            <w:u w:val="single"/>
          </w:rPr>
          <w:t>1Ch 29.2</w:t>
        </w:r>
      </w:hyperlink>
      <w:r>
        <w:t xml:space="preserve">). Les cuirasses (armures de poitrine) peuvent également être décrites comme telles (« cuirasses couleur de feu, d'hyacinthe, et de soufre », </w:t>
      </w:r>
      <w:hyperlink r:id="rId3317">
        <w:r>
          <w:rPr>
            <w:color w:val="0000EE"/>
            <w:u w:val="single"/>
          </w:rPr>
          <w:t>Ap 9.17</w:t>
        </w:r>
      </w:hyperlink>
      <w:r>
        <w:t>). La « tunique de plusieurs couleurs » de Joseph (</w:t>
      </w:r>
      <w:hyperlink r:id="rId3318">
        <w:r>
          <w:rPr>
            <w:color w:val="0000EE"/>
            <w:u w:val="single"/>
          </w:rPr>
          <w:t>Gn 37.3</w:t>
        </w:r>
      </w:hyperlink>
      <w:r>
        <w:t>) et de de Tamar (</w:t>
      </w:r>
      <w:hyperlink r:id="rId3319">
        <w:r>
          <w:rPr>
            <w:color w:val="0000EE"/>
            <w:u w:val="single"/>
          </w:rPr>
          <w:t>2S 13.18–19</w:t>
        </w:r>
      </w:hyperlink>
      <w:r>
        <w:t>) étaient soit des robes à manches longues, soit des tuniques richement ornées servant à signaler un statut privilégié.</w:t>
      </w:r>
    </w:p>
    <w:p>
      <w:r/>
      <w:r>
        <w:t>De nombreuses couleurs sont mentionnées dans la Bible, mais elles ne sont pas particulièrement mises en avant. Les couleurs naturelles sont rarement mentionnées dans les descriptions. Les couleurs qui sont mentionnées fréquemment et qui sont le plus soigneusement différenciées sont les colorants de fabrication artisanale et particulièrement les teintures utilisées pour les tissus.</w:t>
      </w:r>
    </w:p>
    <w:p>
      <w:pPr>
        <w:pStyle w:val="Heading3"/>
      </w:pPr>
      <w:r>
        <w:t>Couleurs mentionnées dans la Bible</w:t>
      </w:r>
    </w:p>
    <w:p>
      <w:r/>
      <w:r>
        <w:t>Les Hébreux différenciaient entre les couleurs différemment de la culture occidentale, ce qui rend parfois difficile la traduction précise de certains mots hébreux désignant les couleurs. Par conséquent, il y a souvent des différences de traduction dans les Bibles françaises (p. ex. rouge, pourpre, cramoisi ou écarlate). Sauf indication contraire, cet article reflétera les choix de traduction de la Louis Segond 1910.</w:t>
      </w:r>
    </w:p>
    <w:p>
      <w:r/>
      <w:r>
        <w:t>Les couleurs mentionnées le plus souvent dans l'AT et le NT sont le blanc, le bleu, le noir, le rouge et le vert.</w:t>
      </w:r>
    </w:p>
    <w:p>
      <w:pPr>
        <w:pStyle w:val="Heading4"/>
      </w:pPr>
      <w:r>
        <w:t>Blanc</w:t>
      </w:r>
    </w:p>
    <w:p>
      <w:r/>
      <w:r>
        <w:t>Plusieurs mots bibliques se traduisent par la couleur blanche. Il s'agit le plus souvent de la couleur naturelle de chèvres (</w:t>
      </w:r>
      <w:hyperlink r:id="rId3320">
        <w:r>
          <w:rPr>
            <w:color w:val="0000EE"/>
            <w:u w:val="single"/>
          </w:rPr>
          <w:t>Gn 30.35</w:t>
        </w:r>
      </w:hyperlink>
      <w:r>
        <w:t>), de cheveux (</w:t>
      </w:r>
      <w:hyperlink r:id="rId3321">
        <w:r>
          <w:rPr>
            <w:color w:val="0000EE"/>
            <w:u w:val="single"/>
          </w:rPr>
          <w:t xml:space="preserve">Lv 13.10 </w:t>
        </w:r>
      </w:hyperlink>
      <w:r>
        <w:t xml:space="preserve">; </w:t>
      </w:r>
      <w:hyperlink r:id="rId3322">
        <w:r>
          <w:rPr>
            <w:color w:val="0000EE"/>
            <w:u w:val="single"/>
          </w:rPr>
          <w:t xml:space="preserve">Mt 5.36 </w:t>
        </w:r>
      </w:hyperlink>
      <w:r>
        <w:t xml:space="preserve">; </w:t>
      </w:r>
      <w:hyperlink r:id="rId2097">
        <w:r>
          <w:rPr>
            <w:color w:val="0000EE"/>
            <w:u w:val="single"/>
          </w:rPr>
          <w:t>Ap 1.14</w:t>
        </w:r>
      </w:hyperlink>
      <w:r>
        <w:t>), d'infection de la peau (</w:t>
      </w:r>
      <w:hyperlink r:id="rId3323">
        <w:r>
          <w:rPr>
            <w:color w:val="0000EE"/>
            <w:u w:val="single"/>
          </w:rPr>
          <w:t xml:space="preserve">Ex 4.6 </w:t>
        </w:r>
      </w:hyperlink>
      <w:r>
        <w:t xml:space="preserve">; </w:t>
      </w:r>
      <w:hyperlink r:id="rId3324">
        <w:r>
          <w:rPr>
            <w:color w:val="0000EE"/>
            <w:u w:val="single"/>
          </w:rPr>
          <w:t>Lv 13.4, 17</w:t>
        </w:r>
      </w:hyperlink>
      <w:r>
        <w:t>), de la manne (</w:t>
      </w:r>
      <w:hyperlink r:id="rId3325">
        <w:r>
          <w:rPr>
            <w:color w:val="0000EE"/>
            <w:u w:val="single"/>
          </w:rPr>
          <w:t>Ex 16.31</w:t>
        </w:r>
      </w:hyperlink>
      <w:r>
        <w:t>), de la neige (</w:t>
      </w:r>
      <w:hyperlink r:id="rId3326">
        <w:r>
          <w:rPr>
            <w:color w:val="0000EE"/>
            <w:u w:val="single"/>
          </w:rPr>
          <w:t>2R 5.27</w:t>
        </w:r>
      </w:hyperlink>
      <w:r>
        <w:t>), du lait et des dents (</w:t>
      </w:r>
      <w:hyperlink r:id="rId3327">
        <w:r>
          <w:rPr>
            <w:color w:val="0000EE"/>
            <w:u w:val="single"/>
          </w:rPr>
          <w:t>Gn 49.12</w:t>
        </w:r>
      </w:hyperlink>
      <w:r>
        <w:t>), de chevaux (</w:t>
      </w:r>
      <w:hyperlink r:id="rId3328">
        <w:r>
          <w:rPr>
            <w:color w:val="0000EE"/>
            <w:u w:val="single"/>
          </w:rPr>
          <w:t xml:space="preserve">Za 1.8 </w:t>
        </w:r>
      </w:hyperlink>
      <w:r>
        <w:t xml:space="preserve">; </w:t>
      </w:r>
      <w:hyperlink r:id="rId3329">
        <w:r>
          <w:rPr>
            <w:color w:val="0000EE"/>
            <w:u w:val="single"/>
          </w:rPr>
          <w:t xml:space="preserve">6.3 </w:t>
        </w:r>
      </w:hyperlink>
      <w:r>
        <w:t xml:space="preserve">; </w:t>
      </w:r>
      <w:hyperlink r:id="rId3330">
        <w:r>
          <w:rPr>
            <w:color w:val="0000EE"/>
            <w:u w:val="single"/>
          </w:rPr>
          <w:t xml:space="preserve">Ap 6.2 </w:t>
        </w:r>
      </w:hyperlink>
      <w:r>
        <w:t xml:space="preserve">; </w:t>
      </w:r>
      <w:hyperlink r:id="rId3331">
        <w:r>
          <w:rPr>
            <w:color w:val="0000EE"/>
            <w:u w:val="single"/>
          </w:rPr>
          <w:t>19.11</w:t>
        </w:r>
      </w:hyperlink>
      <w:r>
        <w:t>), d'ânesses (</w:t>
      </w:r>
      <w:hyperlink r:id="rId3332">
        <w:r>
          <w:rPr>
            <w:color w:val="0000EE"/>
            <w:u w:val="single"/>
          </w:rPr>
          <w:t>Jg 5.10</w:t>
        </w:r>
      </w:hyperlink>
      <w:r>
        <w:t>), de laine (</w:t>
      </w:r>
      <w:hyperlink r:id="rId3333">
        <w:r>
          <w:rPr>
            <w:color w:val="0000EE"/>
            <w:u w:val="single"/>
          </w:rPr>
          <w:t>Ez 27.18</w:t>
        </w:r>
      </w:hyperlink>
      <w:r>
        <w:t>), d'une pierre particulière (</w:t>
      </w:r>
      <w:hyperlink r:id="rId3334">
        <w:r>
          <w:rPr>
            <w:color w:val="0000EE"/>
            <w:u w:val="single"/>
          </w:rPr>
          <w:t>Ap 2.17</w:t>
        </w:r>
      </w:hyperlink>
      <w:r>
        <w:t>), de la lumière (</w:t>
      </w:r>
      <w:hyperlink r:id="rId3335">
        <w:r>
          <w:rPr>
            <w:color w:val="0000EE"/>
            <w:u w:val="single"/>
          </w:rPr>
          <w:t>Mt 17.2</w:t>
        </w:r>
      </w:hyperlink>
      <w:r>
        <w:t>), de nuages (</w:t>
      </w:r>
      <w:hyperlink r:id="rId3336">
        <w:r>
          <w:rPr>
            <w:color w:val="0000EE"/>
            <w:u w:val="single"/>
          </w:rPr>
          <w:t>Ap 14.14</w:t>
        </w:r>
      </w:hyperlink>
      <w:r>
        <w:t>) et enfin de champs prêts pour la moisson (</w:t>
      </w:r>
      <w:hyperlink r:id="rId3337">
        <w:r>
          <w:rPr>
            <w:color w:val="0000EE"/>
            <w:u w:val="single"/>
          </w:rPr>
          <w:t>Jn 4.35</w:t>
        </w:r>
      </w:hyperlink>
      <w:r>
        <w:t>). D'autres objets blancs mentionnés dans la Bible : des rideaux ou tentures (</w:t>
      </w:r>
      <w:hyperlink r:id="rId1635">
        <w:r>
          <w:rPr>
            <w:color w:val="0000EE"/>
            <w:u w:val="single"/>
          </w:rPr>
          <w:t>Est 1.6</w:t>
        </w:r>
      </w:hyperlink>
      <w:r>
        <w:t>), des vêtements (</w:t>
      </w:r>
      <w:hyperlink r:id="rId3338">
        <w:r>
          <w:rPr>
            <w:color w:val="0000EE"/>
            <w:u w:val="single"/>
          </w:rPr>
          <w:t xml:space="preserve">Est 8.15 </w:t>
        </w:r>
      </w:hyperlink>
      <w:r>
        <w:t xml:space="preserve">; </w:t>
      </w:r>
      <w:hyperlink r:id="rId3339">
        <w:r>
          <w:rPr>
            <w:color w:val="0000EE"/>
            <w:u w:val="single"/>
          </w:rPr>
          <w:t xml:space="preserve">Ec 9.8 </w:t>
        </w:r>
      </w:hyperlink>
      <w:r>
        <w:t xml:space="preserve">; </w:t>
      </w:r>
      <w:hyperlink r:id="rId3340">
        <w:r>
          <w:rPr>
            <w:color w:val="0000EE"/>
            <w:u w:val="single"/>
          </w:rPr>
          <w:t xml:space="preserve">Dn 7.9 </w:t>
        </w:r>
      </w:hyperlink>
      <w:r>
        <w:t xml:space="preserve">; </w:t>
      </w:r>
      <w:hyperlink r:id="rId3341">
        <w:r>
          <w:rPr>
            <w:color w:val="0000EE"/>
            <w:u w:val="single"/>
          </w:rPr>
          <w:t xml:space="preserve">Mc 16.5 </w:t>
        </w:r>
      </w:hyperlink>
      <w:r>
        <w:t xml:space="preserve">; </w:t>
      </w:r>
      <w:hyperlink r:id="rId3342">
        <w:r>
          <w:rPr>
            <w:color w:val="0000EE"/>
            <w:u w:val="single"/>
          </w:rPr>
          <w:t xml:space="preserve">Ap 3.5, 18 </w:t>
        </w:r>
      </w:hyperlink>
      <w:r>
        <w:t xml:space="preserve">; </w:t>
      </w:r>
      <w:hyperlink r:id="rId3343">
        <w:r>
          <w:rPr>
            <w:color w:val="0000EE"/>
            <w:u w:val="single"/>
          </w:rPr>
          <w:t>4.4</w:t>
        </w:r>
      </w:hyperlink>
      <w:r>
        <w:t>), des habits d'anges (</w:t>
      </w:r>
      <w:hyperlink r:id="rId3344">
        <w:r>
          <w:rPr>
            <w:color w:val="0000EE"/>
            <w:u w:val="single"/>
          </w:rPr>
          <w:t xml:space="preserve">Jn 20.12 </w:t>
        </w:r>
      </w:hyperlink>
      <w:r>
        <w:t xml:space="preserve">; </w:t>
      </w:r>
      <w:hyperlink r:id="rId3345">
        <w:r>
          <w:rPr>
            <w:color w:val="0000EE"/>
            <w:u w:val="single"/>
          </w:rPr>
          <w:t>Ac 1.10</w:t>
        </w:r>
      </w:hyperlink>
      <w:r>
        <w:t>) et un trône (</w:t>
      </w:r>
      <w:hyperlink r:id="rId3346">
        <w:r>
          <w:rPr>
            <w:color w:val="0000EE"/>
            <w:u w:val="single"/>
          </w:rPr>
          <w:t>Ap 20.11</w:t>
        </w:r>
      </w:hyperlink>
      <w:r>
        <w:t>). Le blanc est utilisé au sens figuré pour décrire la purification du péché (</w:t>
      </w:r>
      <w:hyperlink r:id="rId3347">
        <w:r>
          <w:rPr>
            <w:color w:val="0000EE"/>
            <w:u w:val="single"/>
          </w:rPr>
          <w:t xml:space="preserve">Ps 51.7 </w:t>
        </w:r>
      </w:hyperlink>
      <w:r>
        <w:t xml:space="preserve">; </w:t>
      </w:r>
      <w:hyperlink r:id="rId3348">
        <w:r>
          <w:rPr>
            <w:color w:val="0000EE"/>
            <w:u w:val="single"/>
          </w:rPr>
          <w:t xml:space="preserve">Es 1.18 </w:t>
        </w:r>
      </w:hyperlink>
      <w:r>
        <w:t xml:space="preserve">; </w:t>
      </w:r>
      <w:hyperlink r:id="rId3349">
        <w:r>
          <w:rPr>
            <w:color w:val="0000EE"/>
            <w:u w:val="single"/>
          </w:rPr>
          <w:t>Dn 12.10</w:t>
        </w:r>
      </w:hyperlink>
      <w:r>
        <w:t>) et l'apparence de princes (</w:t>
      </w:r>
      <w:hyperlink r:id="rId3350">
        <w:r>
          <w:rPr>
            <w:color w:val="0000EE"/>
            <w:u w:val="single"/>
          </w:rPr>
          <w:t>Lm 4.7</w:t>
        </w:r>
      </w:hyperlink>
      <w:r>
        <w:t>).</w:t>
      </w:r>
    </w:p>
    <w:p>
      <w:r/>
      <w:r>
        <w:t>Le blanc est également souvent mentionné dans l'AT pour décrire la vieillesse, particulièrement les cheveux blancs d'une personne âgée (</w:t>
      </w:r>
      <w:hyperlink r:id="rId3351">
        <w:r>
          <w:rPr>
            <w:color w:val="0000EE"/>
            <w:u w:val="single"/>
          </w:rPr>
          <w:t>Gn 42.38</w:t>
        </w:r>
      </w:hyperlink>
      <w:r>
        <w:t xml:space="preserve"> ; </w:t>
      </w:r>
      <w:hyperlink r:id="rId3352">
        <w:r>
          <w:rPr>
            <w:color w:val="0000EE"/>
            <w:u w:val="single"/>
          </w:rPr>
          <w:t>44.29–31</w:t>
        </w:r>
      </w:hyperlink>
      <w:r>
        <w:t xml:space="preserve"> ; </w:t>
      </w:r>
      <w:hyperlink r:id="rId3353">
        <w:r>
          <w:rPr>
            <w:color w:val="0000EE"/>
            <w:u w:val="single"/>
          </w:rPr>
          <w:t>Dt 32.25</w:t>
        </w:r>
      </w:hyperlink>
      <w:r>
        <w:t xml:space="preserve"> ; </w:t>
      </w:r>
      <w:hyperlink r:id="rId3354">
        <w:r>
          <w:rPr>
            <w:color w:val="0000EE"/>
            <w:u w:val="single"/>
          </w:rPr>
          <w:t>1S 12.2</w:t>
        </w:r>
      </w:hyperlink>
      <w:r>
        <w:t xml:space="preserve"> ; </w:t>
      </w:r>
      <w:hyperlink r:id="rId3355">
        <w:r>
          <w:rPr>
            <w:color w:val="0000EE"/>
            <w:u w:val="single"/>
          </w:rPr>
          <w:t>1R 2.6, 9</w:t>
        </w:r>
      </w:hyperlink>
      <w:r>
        <w:t xml:space="preserve"> ; </w:t>
      </w:r>
      <w:hyperlink r:id="rId3356">
        <w:r>
          <w:rPr>
            <w:color w:val="0000EE"/>
            <w:u w:val="single"/>
          </w:rPr>
          <w:t>Jb 15.10</w:t>
        </w:r>
      </w:hyperlink>
      <w:r>
        <w:t xml:space="preserve"> ; </w:t>
      </w:r>
      <w:hyperlink r:id="rId3357">
        <w:r>
          <w:rPr>
            <w:color w:val="0000EE"/>
            <w:u w:val="single"/>
          </w:rPr>
          <w:t>Ps 71.18</w:t>
        </w:r>
      </w:hyperlink>
      <w:r>
        <w:t xml:space="preserve"> ; </w:t>
      </w:r>
      <w:hyperlink r:id="rId3358">
        <w:r>
          <w:rPr>
            <w:color w:val="0000EE"/>
            <w:u w:val="single"/>
          </w:rPr>
          <w:t>Es 46.4</w:t>
        </w:r>
      </w:hyperlink>
      <w:r>
        <w:t xml:space="preserve">). Ce terme est souvent rendu « gris » dans les versions anglaises, mais rarement dans certaines versions françaises (voir cependant </w:t>
      </w:r>
      <w:hyperlink r:id="rId3359">
        <w:r>
          <w:rPr>
            <w:color w:val="0000EE"/>
            <w:u w:val="single"/>
          </w:rPr>
          <w:t xml:space="preserve">Pr 20.29 </w:t>
        </w:r>
      </w:hyperlink>
      <w:r>
        <w:t xml:space="preserve">dans la Traduction Œcuménique de la Bible et </w:t>
      </w:r>
      <w:hyperlink r:id="rId3360">
        <w:r>
          <w:rPr>
            <w:color w:val="0000EE"/>
            <w:u w:val="single"/>
          </w:rPr>
          <w:t>Os 7.9</w:t>
        </w:r>
      </w:hyperlink>
      <w:r>
        <w:t xml:space="preserve"> dans la Darby). Le mot hébreu qui est utilisé pour décrire les chevaux « gris pommelés » (</w:t>
      </w:r>
      <w:hyperlink r:id="rId3329">
        <w:r>
          <w:rPr>
            <w:color w:val="0000EE"/>
            <w:u w:val="single"/>
          </w:rPr>
          <w:t>Za 6.3</w:t>
        </w:r>
      </w:hyperlink>
      <w:r>
        <w:t xml:space="preserve"> dans la Septante de Giguet) signifie probablement « tachetés » ou « mouchetés ».</w:t>
      </w:r>
    </w:p>
    <w:p>
      <w:pPr>
        <w:pStyle w:val="Heading4"/>
      </w:pPr>
      <w:r>
        <w:t>Bleu</w:t>
      </w:r>
    </w:p>
    <w:p>
      <w:r/>
      <w:r>
        <w:t>Le bleu biblique correspond probablement à une teinture bleue-violette qui était extraite de mollusques méditerranéens. Couleur populaire, elle était cependant moins prisée dans l'Antiquité que le pourpre « royal ». Les deux teintures étaient produites à Tyr, qui à une époque avait le monopole de la fabrication des teintures bleues et pourpres (</w:t>
      </w:r>
      <w:hyperlink r:id="rId3361">
        <w:r>
          <w:rPr>
            <w:color w:val="0000EE"/>
            <w:u w:val="single"/>
          </w:rPr>
          <w:t>2Ch 2.7, 14</w:t>
        </w:r>
      </w:hyperlink>
      <w:r>
        <w:t xml:space="preserve"> ; </w:t>
      </w:r>
      <w:hyperlink r:id="rId3362">
        <w:r>
          <w:rPr>
            <w:color w:val="0000EE"/>
            <w:u w:val="single"/>
          </w:rPr>
          <w:t>Ez 27.24</w:t>
        </w:r>
      </w:hyperlink>
      <w:r>
        <w:t>). Les navires de Tyr avaient des tentures de bleu et de pourpre (</w:t>
      </w:r>
      <w:hyperlink r:id="rId2084">
        <w:r>
          <w:rPr>
            <w:color w:val="0000EE"/>
            <w:u w:val="single"/>
          </w:rPr>
          <w:t>Ez 27.7</w:t>
        </w:r>
      </w:hyperlink>
      <w:r>
        <w:t>). Le bleu est utilisé pour les textiles qui ont servi à la construction du tabernacle (</w:t>
      </w:r>
      <w:hyperlink r:id="rId3363">
        <w:r>
          <w:rPr>
            <w:color w:val="0000EE"/>
            <w:u w:val="single"/>
          </w:rPr>
          <w:t>Ex 26.1</w:t>
        </w:r>
      </w:hyperlink>
      <w:r>
        <w:t xml:space="preserve"> ; </w:t>
      </w:r>
      <w:hyperlink r:id="rId3364">
        <w:r>
          <w:rPr>
            <w:color w:val="0000EE"/>
            <w:u w:val="single"/>
          </w:rPr>
          <w:t>Nb 4.6–9</w:t>
        </w:r>
      </w:hyperlink>
      <w:r>
        <w:t>), pour les vêtements des sacrificateurs (</w:t>
      </w:r>
      <w:hyperlink r:id="rId3365">
        <w:r>
          <w:rPr>
            <w:color w:val="0000EE"/>
            <w:u w:val="single"/>
          </w:rPr>
          <w:t>Ex 28.5–6</w:t>
        </w:r>
      </w:hyperlink>
      <w:r>
        <w:t>), pour les étoffes du temple de Salomon (</w:t>
      </w:r>
      <w:hyperlink r:id="rId3361">
        <w:r>
          <w:rPr>
            <w:color w:val="0000EE"/>
            <w:u w:val="single"/>
          </w:rPr>
          <w:t>2Ch 2.7, 14</w:t>
        </w:r>
      </w:hyperlink>
      <w:r>
        <w:t>) et pour les étoffes de la cour perse (</w:t>
      </w:r>
      <w:hyperlink r:id="rId1635">
        <w:r>
          <w:rPr>
            <w:color w:val="0000EE"/>
            <w:u w:val="single"/>
          </w:rPr>
          <w:t>Est 1.6</w:t>
        </w:r>
      </w:hyperlink>
      <w:r>
        <w:t xml:space="preserve"> ; </w:t>
      </w:r>
      <w:hyperlink r:id="rId3338">
        <w:r>
          <w:rPr>
            <w:color w:val="0000EE"/>
            <w:u w:val="single"/>
          </w:rPr>
          <w:t>8.15</w:t>
        </w:r>
      </w:hyperlink>
      <w:r>
        <w:t>). Le bleu n'est pas mentionné dans le NT.</w:t>
      </w:r>
    </w:p>
    <w:p>
      <w:pPr>
        <w:pStyle w:val="Heading4"/>
      </w:pPr>
      <w:r>
        <w:t>Noir</w:t>
      </w:r>
    </w:p>
    <w:p>
      <w:r/>
      <w:r>
        <w:t>Cinq mots dans l'AT et un dans le NT se traduisent par « noir ». Dans les versions françaises, ces mots sont souvent traduits par « obscurité », « sombre(s) » ou « ténèbres ». Il s'agit d'une nuance plus que d'une couleur ; en effet, ils expriment différents degrés de noirceur ou d'obscurité. Ces mots décrivent la couleur d'agneaux (</w:t>
      </w:r>
      <w:hyperlink r:id="rId3366">
        <w:r>
          <w:rPr>
            <w:color w:val="0000EE"/>
            <w:u w:val="single"/>
          </w:rPr>
          <w:t>Gn 30.32–33, 35, 40</w:t>
        </w:r>
      </w:hyperlink>
      <w:r>
        <w:t>), de poils ou de cheveux (</w:t>
      </w:r>
      <w:hyperlink r:id="rId3367">
        <w:r>
          <w:rPr>
            <w:color w:val="0000EE"/>
            <w:u w:val="single"/>
          </w:rPr>
          <w:t>Lv 13.31, 37</w:t>
        </w:r>
      </w:hyperlink>
      <w:r>
        <w:t xml:space="preserve"> ; </w:t>
      </w:r>
      <w:hyperlink r:id="rId3368">
        <w:r>
          <w:rPr>
            <w:color w:val="0000EE"/>
            <w:u w:val="single"/>
          </w:rPr>
          <w:t>Ct 5.11</w:t>
        </w:r>
      </w:hyperlink>
      <w:r>
        <w:t xml:space="preserve"> ; </w:t>
      </w:r>
      <w:hyperlink r:id="rId3322">
        <w:r>
          <w:rPr>
            <w:color w:val="0000EE"/>
            <w:u w:val="single"/>
          </w:rPr>
          <w:t>Mt 5.36</w:t>
        </w:r>
      </w:hyperlink>
      <w:r>
        <w:t>), de la peau (</w:t>
      </w:r>
      <w:hyperlink r:id="rId3369">
        <w:r>
          <w:rPr>
            <w:color w:val="0000EE"/>
            <w:u w:val="single"/>
          </w:rPr>
          <w:t>Jb 30.30</w:t>
        </w:r>
      </w:hyperlink>
      <w:r>
        <w:t>), de chevaux (</w:t>
      </w:r>
      <w:hyperlink r:id="rId3370">
        <w:r>
          <w:rPr>
            <w:color w:val="0000EE"/>
            <w:u w:val="single"/>
          </w:rPr>
          <w:t>Za 6.2, 6</w:t>
        </w:r>
      </w:hyperlink>
      <w:r>
        <w:t xml:space="preserve"> ; </w:t>
      </w:r>
      <w:hyperlink r:id="rId3371">
        <w:r>
          <w:rPr>
            <w:color w:val="0000EE"/>
            <w:u w:val="single"/>
          </w:rPr>
          <w:t>Ap 6.5</w:t>
        </w:r>
      </w:hyperlink>
      <w:r>
        <w:t>), du ciel (</w:t>
      </w:r>
      <w:hyperlink r:id="rId3372">
        <w:r>
          <w:rPr>
            <w:color w:val="0000EE"/>
            <w:u w:val="single"/>
          </w:rPr>
          <w:t>1R 18.45</w:t>
        </w:r>
      </w:hyperlink>
      <w:r>
        <w:t xml:space="preserve"> ; </w:t>
      </w:r>
      <w:hyperlink r:id="rId3373">
        <w:r>
          <w:rPr>
            <w:color w:val="0000EE"/>
            <w:u w:val="single"/>
          </w:rPr>
          <w:t>Es 50.3</w:t>
        </w:r>
      </w:hyperlink>
      <w:r>
        <w:t xml:space="preserve"> ; </w:t>
      </w:r>
      <w:hyperlink r:id="rId3374">
        <w:r>
          <w:rPr>
            <w:color w:val="0000EE"/>
            <w:u w:val="single"/>
          </w:rPr>
          <w:t>Jr 4.28</w:t>
        </w:r>
      </w:hyperlink>
      <w:r>
        <w:t>), du jour (</w:t>
      </w:r>
      <w:hyperlink r:id="rId3375">
        <w:r>
          <w:rPr>
            <w:color w:val="0000EE"/>
            <w:u w:val="single"/>
          </w:rPr>
          <w:t>Jb 3.5</w:t>
        </w:r>
      </w:hyperlink>
      <w:r>
        <w:t xml:space="preserve"> ; </w:t>
      </w:r>
      <w:hyperlink r:id="rId3376">
        <w:r>
          <w:rPr>
            <w:color w:val="0000EE"/>
            <w:u w:val="single"/>
          </w:rPr>
          <w:t>Mi 3.6</w:t>
        </w:r>
      </w:hyperlink>
      <w:r>
        <w:t>) et du soleil obscurci (</w:t>
      </w:r>
      <w:hyperlink r:id="rId3377">
        <w:r>
          <w:rPr>
            <w:color w:val="0000EE"/>
            <w:u w:val="single"/>
          </w:rPr>
          <w:t>Ap 6.12</w:t>
        </w:r>
      </w:hyperlink>
      <w:r>
        <w:t>). La « noirceur » de Job (</w:t>
      </w:r>
      <w:hyperlink r:id="rId3378">
        <w:r>
          <w:rPr>
            <w:color w:val="0000EE"/>
            <w:u w:val="single"/>
          </w:rPr>
          <w:t>Jb 30.28</w:t>
        </w:r>
      </w:hyperlink>
      <w:r>
        <w:t>) est interprété par certains comme le résultat de la maladie ou de la tristesse.</w:t>
      </w:r>
    </w:p>
    <w:p>
      <w:pPr>
        <w:pStyle w:val="Heading4"/>
      </w:pPr>
      <w:r>
        <w:t>Rouge</w:t>
      </w:r>
    </w:p>
    <w:p>
      <w:r/>
      <w:r>
        <w:t>Plusieurs teintes qui correspondent plus ou moins à notre rouge actuel sont mentionnées dans la Bible.</w:t>
      </w:r>
    </w:p>
    <w:p>
      <w:r/>
      <w:r>
        <w:t>Le mot «</w:t>
      </w:r>
      <w:r>
        <w:rPr>
          <w:b/>
        </w:rPr>
        <w:t xml:space="preserve"> cramoisi </w:t>
      </w:r>
      <w:r>
        <w:t>» traduit trois mots hébreux différents. Cette couleur rouge aux nuances variées était obtenue d'insectes. Le mot décrit la couleur de tissus dans le temple de Salomon (</w:t>
      </w:r>
      <w:hyperlink r:id="rId3361">
        <w:r>
          <w:rPr>
            <w:color w:val="0000EE"/>
            <w:u w:val="single"/>
          </w:rPr>
          <w:t xml:space="preserve">2Ch 2.7, 14 </w:t>
        </w:r>
      </w:hyperlink>
      <w:r>
        <w:t xml:space="preserve">; </w:t>
      </w:r>
      <w:hyperlink r:id="rId3379">
        <w:r>
          <w:rPr>
            <w:color w:val="0000EE"/>
            <w:u w:val="single"/>
          </w:rPr>
          <w:t>3.14</w:t>
        </w:r>
      </w:hyperlink>
      <w:r>
        <w:t>), et pourrait souligner le fait que ces couleurs pouvaient être « éclatantes » (« habits éclatants »</w:t>
      </w:r>
      <w:r>
        <w:rPr>
          <w:i/>
        </w:rPr>
        <w:t xml:space="preserve">, </w:t>
      </w:r>
      <w:hyperlink r:id="rId2033">
        <w:r>
          <w:rPr>
            <w:color w:val="0000EE"/>
            <w:u w:val="single"/>
          </w:rPr>
          <w:t>Es 63.1</w:t>
        </w:r>
      </w:hyperlink>
      <w:r>
        <w:t>). Ce mot décrit le péché au sens figuré (</w:t>
      </w:r>
      <w:hyperlink r:id="rId3348">
        <w:r>
          <w:rPr>
            <w:color w:val="0000EE"/>
            <w:u w:val="single"/>
          </w:rPr>
          <w:t>Es 1.18</w:t>
        </w:r>
      </w:hyperlink>
      <w:r>
        <w:t xml:space="preserve">). </w:t>
      </w:r>
    </w:p>
    <w:p>
      <w:r/>
      <w:r>
        <w:t xml:space="preserve">La </w:t>
      </w:r>
      <w:r>
        <w:rPr>
          <w:b/>
        </w:rPr>
        <w:t>pourpre</w:t>
      </w:r>
      <w:r>
        <w:t xml:space="preserve"> était la teinture la plus prisée dans le monde antique. Sa couleur pouvait varier du violet jusqu'au rouge. Elle était obtenue à partir de mollusques de la classe des gastropodes. Les Phéniciens ont peut-être été les premiers à utiliser cette teinture. Le mot « phénicien » lui-même pourrait provenir d'un mot grec qui signifie « rouge sang ». Quoi qu'il en soit, les Phéniciens ont longtemps exercé un monopole sur la fabrication de la teinture pourpre. Dans la Bible, des tissus et textiles sont décrits comme étant pourpres : ceux utilisés dans la fabrication du tabernacle (</w:t>
      </w:r>
      <w:hyperlink r:id="rId3380">
        <w:r>
          <w:rPr>
            <w:color w:val="0000EE"/>
            <w:u w:val="single"/>
          </w:rPr>
          <w:t xml:space="preserve">Ex 25.4 </w:t>
        </w:r>
      </w:hyperlink>
      <w:r>
        <w:t xml:space="preserve">; </w:t>
      </w:r>
      <w:hyperlink r:id="rId3363">
        <w:r>
          <w:rPr>
            <w:color w:val="0000EE"/>
            <w:u w:val="single"/>
          </w:rPr>
          <w:t>26.1</w:t>
        </w:r>
      </w:hyperlink>
      <w:r>
        <w:t>), des habits des sacrificateurs (</w:t>
      </w:r>
      <w:hyperlink r:id="rId3381">
        <w:r>
          <w:rPr>
            <w:color w:val="0000EE"/>
            <w:u w:val="single"/>
          </w:rPr>
          <w:t>28.5–8, 15, 33</w:t>
        </w:r>
      </w:hyperlink>
      <w:r>
        <w:t>), du temple de Salomon (</w:t>
      </w:r>
      <w:hyperlink r:id="rId3382">
        <w:r>
          <w:rPr>
            <w:color w:val="0000EE"/>
            <w:u w:val="single"/>
          </w:rPr>
          <w:t>2Ch 2.7</w:t>
        </w:r>
      </w:hyperlink>
      <w:r>
        <w:t>), du siège du char de Salomon (</w:t>
      </w:r>
      <w:hyperlink r:id="rId3383">
        <w:r>
          <w:rPr>
            <w:color w:val="0000EE"/>
            <w:u w:val="single"/>
          </w:rPr>
          <w:t>Ct 3.10</w:t>
        </w:r>
      </w:hyperlink>
      <w:r>
        <w:t>) et des ornements de la cour perse (</w:t>
      </w:r>
      <w:hyperlink r:id="rId1635">
        <w:r>
          <w:rPr>
            <w:color w:val="0000EE"/>
            <w:u w:val="single"/>
          </w:rPr>
          <w:t>Est 1.6</w:t>
        </w:r>
      </w:hyperlink>
      <w:r>
        <w:t>). La couleur pourpre était habituellement portée par les personnes riches ou prospères et par la royauté (</w:t>
      </w:r>
      <w:hyperlink r:id="rId3384">
        <w:r>
          <w:rPr>
            <w:color w:val="0000EE"/>
            <w:u w:val="single"/>
          </w:rPr>
          <w:t xml:space="preserve">Jg 8.26 </w:t>
        </w:r>
      </w:hyperlink>
      <w:r>
        <w:t xml:space="preserve">; </w:t>
      </w:r>
      <w:hyperlink r:id="rId3385">
        <w:r>
          <w:rPr>
            <w:color w:val="0000EE"/>
            <w:u w:val="single"/>
          </w:rPr>
          <w:t xml:space="preserve">Pr 31.22 </w:t>
        </w:r>
      </w:hyperlink>
      <w:r>
        <w:t xml:space="preserve">; </w:t>
      </w:r>
      <w:hyperlink r:id="rId2360">
        <w:r>
          <w:rPr>
            <w:color w:val="0000EE"/>
            <w:u w:val="single"/>
          </w:rPr>
          <w:t>Dn 5.7</w:t>
        </w:r>
      </w:hyperlink>
      <w:r>
        <w:t>). Mardochée reçoit pour récompense un vêtement de pourpre (</w:t>
      </w:r>
      <w:hyperlink r:id="rId3338">
        <w:r>
          <w:rPr>
            <w:color w:val="0000EE"/>
            <w:u w:val="single"/>
          </w:rPr>
          <w:t>Est 8.15</w:t>
        </w:r>
      </w:hyperlink>
      <w:r>
        <w:t>) ainsi que Daniel (</w:t>
      </w:r>
      <w:hyperlink r:id="rId3386">
        <w:r>
          <w:rPr>
            <w:color w:val="0000EE"/>
            <w:u w:val="single"/>
          </w:rPr>
          <w:t>Dn 5.29</w:t>
        </w:r>
      </w:hyperlink>
      <w:r>
        <w:t>). Des soldats assyriens sont décrits comme revêtus de pourpre (</w:t>
      </w:r>
      <w:hyperlink r:id="rId3387">
        <w:r>
          <w:rPr>
            <w:color w:val="0000EE"/>
            <w:u w:val="single"/>
          </w:rPr>
          <w:t>Ez 23.6</w:t>
        </w:r>
      </w:hyperlink>
      <w:r>
        <w:t>, voir par exemple la Bible Officielle Liturgique et la Bible Annotée). Leurs idoles sont ainsi décrites également (</w:t>
      </w:r>
      <w:hyperlink r:id="rId3388">
        <w:r>
          <w:rPr>
            <w:color w:val="0000EE"/>
            <w:u w:val="single"/>
          </w:rPr>
          <w:t>Jr 10.9</w:t>
        </w:r>
      </w:hyperlink>
      <w:r>
        <w:t>). La beauté de Tyr comprenait ses tentures bleues et pourpres (</w:t>
      </w:r>
      <w:hyperlink r:id="rId2084">
        <w:r>
          <w:rPr>
            <w:color w:val="0000EE"/>
            <w:u w:val="single"/>
          </w:rPr>
          <w:t>Ez 27.7</w:t>
        </w:r>
      </w:hyperlink>
      <w:r>
        <w:t xml:space="preserve">). Mention est faite du commerce de Tyr en pourpre dont la Syrie était cliente (v. </w:t>
      </w:r>
      <w:hyperlink r:id="rId3389">
        <w:r>
          <w:rPr>
            <w:color w:val="0000EE"/>
            <w:u w:val="single"/>
          </w:rPr>
          <w:t>16</w:t>
        </w:r>
      </w:hyperlink>
      <w:r>
        <w:t>). Le terme est utilisé une fois pour exprimer la beauté des cheveux de la Sunamite (</w:t>
      </w:r>
      <w:hyperlink r:id="rId3390">
        <w:r>
          <w:rPr>
            <w:color w:val="0000EE"/>
            <w:u w:val="single"/>
          </w:rPr>
          <w:t>Ct 7.5</w:t>
        </w:r>
      </w:hyperlink>
      <w:r>
        <w:t>).</w:t>
      </w:r>
    </w:p>
    <w:p>
      <w:r/>
      <w:r>
        <w:t>Il y a moins de références à la pourpre dans le NT, mais celles-ci confirment qu'elle continuait à être importante comme produit de commerce et teinture. Les vêtements pourpres sont synonymes de richesse (</w:t>
      </w:r>
      <w:hyperlink r:id="rId3391">
        <w:r>
          <w:rPr>
            <w:color w:val="0000EE"/>
            <w:u w:val="single"/>
          </w:rPr>
          <w:t>Lc 16.19</w:t>
        </w:r>
      </w:hyperlink>
      <w:r>
        <w:t>). Jésus est vêtu de pourpre par les soldats romains qui se moquent de lui (</w:t>
      </w:r>
      <w:hyperlink r:id="rId3392">
        <w:r>
          <w:rPr>
            <w:color w:val="0000EE"/>
            <w:u w:val="single"/>
          </w:rPr>
          <w:t>Mc 15.17, 20</w:t>
        </w:r>
      </w:hyperlink>
      <w:r>
        <w:t xml:space="preserve"> ; </w:t>
      </w:r>
      <w:hyperlink r:id="rId3393">
        <w:r>
          <w:rPr>
            <w:color w:val="0000EE"/>
            <w:u w:val="single"/>
          </w:rPr>
          <w:t>Jn 19.2, 5</w:t>
        </w:r>
      </w:hyperlink>
      <w:r>
        <w:t xml:space="preserve"> ; voir aussi </w:t>
      </w:r>
      <w:hyperlink r:id="rId3394">
        <w:r>
          <w:rPr>
            <w:color w:val="0000EE"/>
            <w:u w:val="single"/>
          </w:rPr>
          <w:t>Mt 27.28</w:t>
        </w:r>
      </w:hyperlink>
      <w:r>
        <w:t>, « écarlate »). La parure pourpre et écarlate de Babylone la prostituée symbolise son opulence et sa royauté (</w:t>
      </w:r>
      <w:hyperlink r:id="rId3395">
        <w:r>
          <w:rPr>
            <w:color w:val="0000EE"/>
            <w:u w:val="single"/>
          </w:rPr>
          <w:t>Ap 17.4</w:t>
        </w:r>
      </w:hyperlink>
      <w:r>
        <w:t>). Lydie de Thyatire, une chrétienne, était marchande de pourpre (</w:t>
      </w:r>
      <w:hyperlink r:id="rId3396">
        <w:r>
          <w:rPr>
            <w:color w:val="0000EE"/>
            <w:u w:val="single"/>
          </w:rPr>
          <w:t>Ac 16.14</w:t>
        </w:r>
      </w:hyperlink>
      <w:r>
        <w:t>).</w:t>
      </w:r>
    </w:p>
    <w:p>
      <w:r/>
      <w:r>
        <w:t xml:space="preserve">Dans la Bible, la couleur </w:t>
      </w:r>
      <w:r>
        <w:rPr>
          <w:b/>
        </w:rPr>
        <w:t>rouge</w:t>
      </w:r>
      <w:r>
        <w:t xml:space="preserve"> (dans certains contextes, traduit par « roux/rousse ») est fréquemment mentionnée en tant que couleur naturelle : de poils (</w:t>
      </w:r>
      <w:hyperlink r:id="rId3397">
        <w:r>
          <w:rPr>
            <w:color w:val="0000EE"/>
            <w:u w:val="single"/>
          </w:rPr>
          <w:t>Gn 25.25</w:t>
        </w:r>
      </w:hyperlink>
      <w:r>
        <w:t xml:space="preserve">), d'un potage (v. </w:t>
      </w:r>
      <w:hyperlink r:id="rId3398">
        <w:r>
          <w:rPr>
            <w:color w:val="0000EE"/>
            <w:u w:val="single"/>
          </w:rPr>
          <w:t>30</w:t>
        </w:r>
      </w:hyperlink>
      <w:r>
        <w:t>), des yeux (</w:t>
      </w:r>
      <w:hyperlink r:id="rId3327">
        <w:r>
          <w:rPr>
            <w:color w:val="0000EE"/>
            <w:u w:val="single"/>
          </w:rPr>
          <w:t>49.12</w:t>
        </w:r>
      </w:hyperlink>
      <w:r>
        <w:t>, quoique le mot utilisé ici pourrait signifier « étincelant » ou « sombre »), de la vache sacrificielle (</w:t>
      </w:r>
      <w:hyperlink r:id="rId3399">
        <w:r>
          <w:rPr>
            <w:color w:val="0000EE"/>
            <w:u w:val="single"/>
          </w:rPr>
          <w:t>Nb 19.2</w:t>
        </w:r>
      </w:hyperlink>
      <w:r>
        <w:t>), de l'eau comparée à du sang (</w:t>
      </w:r>
      <w:hyperlink r:id="rId3400">
        <w:r>
          <w:rPr>
            <w:color w:val="0000EE"/>
            <w:u w:val="single"/>
          </w:rPr>
          <w:t>2R 3.22</w:t>
        </w:r>
      </w:hyperlink>
      <w:r>
        <w:t>), du vin (</w:t>
      </w:r>
      <w:hyperlink r:id="rId3307">
        <w:r>
          <w:rPr>
            <w:color w:val="0000EE"/>
            <w:u w:val="single"/>
          </w:rPr>
          <w:t>Pr 23.31</w:t>
        </w:r>
      </w:hyperlink>
      <w:r>
        <w:t xml:space="preserve">), des yeux de celui qui boit du vin (v. </w:t>
      </w:r>
      <w:hyperlink r:id="rId3401">
        <w:r>
          <w:rPr>
            <w:color w:val="0000EE"/>
            <w:u w:val="single"/>
          </w:rPr>
          <w:t>29</w:t>
        </w:r>
      </w:hyperlink>
      <w:r>
        <w:t>), de vêtements (</w:t>
      </w:r>
      <w:hyperlink r:id="rId3402">
        <w:r>
          <w:rPr>
            <w:color w:val="0000EE"/>
            <w:u w:val="single"/>
          </w:rPr>
          <w:t>Es 63.2</w:t>
        </w:r>
      </w:hyperlink>
      <w:r>
        <w:t>), de boucliers (</w:t>
      </w:r>
      <w:hyperlink r:id="rId3403">
        <w:r>
          <w:rPr>
            <w:color w:val="0000EE"/>
            <w:u w:val="single"/>
          </w:rPr>
          <w:t>Na 2.3</w:t>
        </w:r>
      </w:hyperlink>
      <w:r>
        <w:t>), et de chevaux (</w:t>
      </w:r>
      <w:hyperlink r:id="rId3328">
        <w:r>
          <w:rPr>
            <w:color w:val="0000EE"/>
            <w:u w:val="single"/>
          </w:rPr>
          <w:t>Za 1.8</w:t>
        </w:r>
      </w:hyperlink>
      <w:r>
        <w:t xml:space="preserve"> ; </w:t>
      </w:r>
      <w:hyperlink r:id="rId3404">
        <w:r>
          <w:rPr>
            <w:color w:val="0000EE"/>
            <w:u w:val="single"/>
          </w:rPr>
          <w:t>6.2</w:t>
        </w:r>
      </w:hyperlink>
      <w:r>
        <w:t>). Le rouge est aussi utilisé au sens figuré pour décrire le péché (</w:t>
      </w:r>
      <w:hyperlink r:id="rId3348">
        <w:r>
          <w:rPr>
            <w:color w:val="0000EE"/>
            <w:u w:val="single"/>
          </w:rPr>
          <w:t>Es 1.18</w:t>
        </w:r>
      </w:hyperlink>
      <w:r>
        <w:t xml:space="preserve">). </w:t>
      </w:r>
    </w:p>
    <w:p>
      <w:r/>
      <w:r>
        <w:t>Des décolorations de la peau ou d'un mur suite à une infection sont décrites comme de couleur rougeâtre (</w:t>
      </w:r>
      <w:hyperlink r:id="rId3405">
        <w:r>
          <w:rPr>
            <w:color w:val="0000EE"/>
            <w:u w:val="single"/>
          </w:rPr>
          <w:t>Lv 13.49</w:t>
        </w:r>
      </w:hyperlink>
      <w:r>
        <w:t xml:space="preserve">, </w:t>
      </w:r>
      <w:hyperlink r:id="rId3406">
        <w:r>
          <w:rPr>
            <w:color w:val="0000EE"/>
            <w:u w:val="single"/>
          </w:rPr>
          <w:t>19, 24, 42–43</w:t>
        </w:r>
      </w:hyperlink>
      <w:r>
        <w:t xml:space="preserve"> ; </w:t>
      </w:r>
      <w:hyperlink r:id="rId3407">
        <w:r>
          <w:rPr>
            <w:color w:val="0000EE"/>
            <w:u w:val="single"/>
          </w:rPr>
          <w:t>14.37</w:t>
        </w:r>
      </w:hyperlink>
      <w:r>
        <w:t xml:space="preserve">). </w:t>
      </w:r>
    </w:p>
    <w:p>
      <w:r/>
      <w:r>
        <w:t>La mer Rouge est mentionnée fréquemment dans l'AT (</w:t>
      </w:r>
      <w:hyperlink r:id="rId3408">
        <w:r>
          <w:rPr>
            <w:color w:val="0000EE"/>
            <w:u w:val="single"/>
          </w:rPr>
          <w:t>Ex 10.19</w:t>
        </w:r>
      </w:hyperlink>
      <w:r>
        <w:t xml:space="preserve"> ; </w:t>
      </w:r>
      <w:hyperlink r:id="rId3409">
        <w:r>
          <w:rPr>
            <w:color w:val="0000EE"/>
            <w:u w:val="single"/>
          </w:rPr>
          <w:t>15.4</w:t>
        </w:r>
      </w:hyperlink>
      <w:r>
        <w:t>). Dans l'hébreu, elle est en fait appelée « mer des Roseaux ». Toutefois, elle est bel et bien appelée « mer Rouge » dans le NT (</w:t>
      </w:r>
      <w:hyperlink r:id="rId3410">
        <w:r>
          <w:rPr>
            <w:color w:val="0000EE"/>
            <w:u w:val="single"/>
          </w:rPr>
          <w:t>Ac 7.36</w:t>
        </w:r>
      </w:hyperlink>
      <w:r>
        <w:t xml:space="preserve"> ; </w:t>
      </w:r>
      <w:hyperlink r:id="rId3411">
        <w:r>
          <w:rPr>
            <w:color w:val="0000EE"/>
            <w:u w:val="single"/>
          </w:rPr>
          <w:t>Hé 11.29</w:t>
        </w:r>
      </w:hyperlink>
      <w:r>
        <w:t xml:space="preserve">). </w:t>
      </w:r>
    </w:p>
    <w:p>
      <w:r/>
      <w:r>
        <w:t>Dans le NT, le rouge décrit la couleur du ciel dans certaines circonstances (</w:t>
      </w:r>
      <w:hyperlink r:id="rId3412">
        <w:r>
          <w:rPr>
            <w:color w:val="0000EE"/>
            <w:u w:val="single"/>
          </w:rPr>
          <w:t>Mt 16.2–3</w:t>
        </w:r>
      </w:hyperlink>
      <w:r>
        <w:t xml:space="preserve">), un cheval (« roux », </w:t>
      </w:r>
      <w:hyperlink r:id="rId3413">
        <w:r>
          <w:rPr>
            <w:color w:val="0000EE"/>
            <w:u w:val="single"/>
          </w:rPr>
          <w:t>Ap 6.4</w:t>
        </w:r>
      </w:hyperlink>
      <w:r>
        <w:t>) et un dragon (</w:t>
      </w:r>
      <w:hyperlink r:id="rId3414">
        <w:r>
          <w:rPr>
            <w:color w:val="0000EE"/>
            <w:u w:val="single"/>
          </w:rPr>
          <w:t>12.3</w:t>
        </w:r>
      </w:hyperlink>
      <w:r>
        <w:t>).</w:t>
      </w:r>
    </w:p>
    <w:p>
      <w:r/>
      <w:r>
        <w:t xml:space="preserve">La teinte </w:t>
      </w:r>
      <w:r>
        <w:rPr>
          <w:b/>
        </w:rPr>
        <w:t>écarlate</w:t>
      </w:r>
      <w:r>
        <w:t xml:space="preserve"> est rouge brillante et obtenue à partir d'insectes. Elle aussi était utilisée pour teindre les textiles et les fils. Elle était très prisée dans le monde antique (</w:t>
      </w:r>
      <w:hyperlink r:id="rId3415">
        <w:r>
          <w:rPr>
            <w:color w:val="0000EE"/>
            <w:u w:val="single"/>
          </w:rPr>
          <w:t>Ap 18.12</w:t>
        </w:r>
      </w:hyperlink>
      <w:r>
        <w:t>). Cependant, il est souvent difficile de déterminer si certains mots bibliques signifient « écarlate » ou « cramoisi ». La couleur mentionnée dans les passages suivants pourrait être écarlate, bien que presque toujours traduite « cramoisi » dans la Louis Segond : le fil attaché à la main de Zérach à sa naissance (</w:t>
      </w:r>
      <w:hyperlink r:id="rId3416">
        <w:r>
          <w:rPr>
            <w:color w:val="0000EE"/>
            <w:u w:val="single"/>
          </w:rPr>
          <w:t>Gn 38.28, 30</w:t>
        </w:r>
      </w:hyperlink>
      <w:r>
        <w:t>), la couleur de certains textiles du tabernacle (</w:t>
      </w:r>
      <w:hyperlink r:id="rId3380">
        <w:r>
          <w:rPr>
            <w:color w:val="0000EE"/>
            <w:u w:val="single"/>
          </w:rPr>
          <w:t xml:space="preserve">Ex 25.4 </w:t>
        </w:r>
      </w:hyperlink>
      <w:r>
        <w:t xml:space="preserve">; </w:t>
      </w:r>
      <w:hyperlink r:id="rId3417">
        <w:r>
          <w:rPr>
            <w:color w:val="0000EE"/>
            <w:u w:val="single"/>
          </w:rPr>
          <w:t xml:space="preserve">26.1, 31, 36 </w:t>
        </w:r>
      </w:hyperlink>
      <w:r>
        <w:t xml:space="preserve">; </w:t>
      </w:r>
      <w:hyperlink r:id="rId2085">
        <w:r>
          <w:rPr>
            <w:color w:val="0000EE"/>
            <w:u w:val="single"/>
          </w:rPr>
          <w:t>27.16</w:t>
        </w:r>
      </w:hyperlink>
      <w:r>
        <w:t>), de l'habit des sacrificateurs (</w:t>
      </w:r>
      <w:hyperlink r:id="rId3381">
        <w:r>
          <w:rPr>
            <w:color w:val="0000EE"/>
            <w:u w:val="single"/>
          </w:rPr>
          <w:t>28.5–8, 15, 33</w:t>
        </w:r>
      </w:hyperlink>
      <w:r>
        <w:t>), de la corde utilisée par Rahab (</w:t>
      </w:r>
      <w:hyperlink r:id="rId3418">
        <w:r>
          <w:rPr>
            <w:color w:val="0000EE"/>
            <w:u w:val="single"/>
          </w:rPr>
          <w:t>Jos 2.18, 21</w:t>
        </w:r>
      </w:hyperlink>
      <w:r>
        <w:t>), de la couleur de vêtements (</w:t>
      </w:r>
      <w:hyperlink r:id="rId3419">
        <w:r>
          <w:rPr>
            <w:color w:val="0000EE"/>
            <w:u w:val="single"/>
          </w:rPr>
          <w:t xml:space="preserve">2S 1.24 </w:t>
        </w:r>
      </w:hyperlink>
      <w:r>
        <w:t xml:space="preserve">; </w:t>
      </w:r>
      <w:hyperlink r:id="rId3420">
        <w:r>
          <w:rPr>
            <w:color w:val="0000EE"/>
            <w:u w:val="single"/>
          </w:rPr>
          <w:t xml:space="preserve">Pr 31.21 </w:t>
        </w:r>
      </w:hyperlink>
      <w:r>
        <w:t xml:space="preserve">; </w:t>
      </w:r>
      <w:hyperlink r:id="rId3421">
        <w:r>
          <w:rPr>
            <w:color w:val="0000EE"/>
            <w:u w:val="single"/>
          </w:rPr>
          <w:t>Jr 4.30</w:t>
        </w:r>
      </w:hyperlink>
      <w:r>
        <w:t>), de lèvres (</w:t>
      </w:r>
      <w:hyperlink r:id="rId3422">
        <w:r>
          <w:rPr>
            <w:color w:val="0000EE"/>
            <w:u w:val="single"/>
          </w:rPr>
          <w:t>Ct 4.3</w:t>
        </w:r>
      </w:hyperlink>
      <w:r>
        <w:t>) et d'uniformes de soldats (</w:t>
      </w:r>
      <w:hyperlink r:id="rId3403">
        <w:r>
          <w:rPr>
            <w:color w:val="0000EE"/>
            <w:u w:val="single"/>
          </w:rPr>
          <w:t>Na 2.3</w:t>
        </w:r>
      </w:hyperlink>
      <w:r>
        <w:t>). Elle fait partie des couleurs symboliques utilisées lors de l'aspersion du sang de ratification de l'alliance au Sinaï (</w:t>
      </w:r>
      <w:hyperlink r:id="rId3423">
        <w:r>
          <w:rPr>
            <w:color w:val="0000EE"/>
            <w:u w:val="single"/>
          </w:rPr>
          <w:t>Hé 9.19</w:t>
        </w:r>
      </w:hyperlink>
      <w:r>
        <w:t>), lors de la purification des lépreux (</w:t>
      </w:r>
      <w:hyperlink r:id="rId3424">
        <w:r>
          <w:rPr>
            <w:color w:val="0000EE"/>
            <w:u w:val="single"/>
          </w:rPr>
          <w:t>Lv 14.4–6</w:t>
        </w:r>
      </w:hyperlink>
      <w:r>
        <w:t xml:space="preserve">) et lors de la purification de maisons infectées (v. </w:t>
      </w:r>
      <w:hyperlink r:id="rId3425">
        <w:r>
          <w:rPr>
            <w:color w:val="0000EE"/>
            <w:u w:val="single"/>
          </w:rPr>
          <w:t>49–52</w:t>
        </w:r>
      </w:hyperlink>
      <w:r>
        <w:t>). L'écarlate est peut-être signifiée au lieu de cramoisi concernant la couleur de la couverture des objets sur la table des pains de proposition (</w:t>
      </w:r>
      <w:hyperlink r:id="rId3426">
        <w:r>
          <w:rPr>
            <w:color w:val="0000EE"/>
            <w:u w:val="single"/>
          </w:rPr>
          <w:t>Nb 4.8</w:t>
        </w:r>
      </w:hyperlink>
      <w:r>
        <w:t>) et lors du rituel de la vache rousse (</w:t>
      </w:r>
      <w:hyperlink r:id="rId3427">
        <w:r>
          <w:rPr>
            <w:color w:val="0000EE"/>
            <w:u w:val="single"/>
          </w:rPr>
          <w:t>19.6</w:t>
        </w:r>
      </w:hyperlink>
      <w:r>
        <w:t xml:space="preserve">). </w:t>
      </w:r>
    </w:p>
    <w:p>
      <w:r/>
      <w:r>
        <w:t>Selon Matthieu, le manteau mis sur Jésus lors de son procès était écarlate (</w:t>
      </w:r>
      <w:hyperlink r:id="rId3394">
        <w:r>
          <w:rPr>
            <w:color w:val="0000EE"/>
            <w:u w:val="single"/>
          </w:rPr>
          <w:t>Mt 27.28</w:t>
        </w:r>
      </w:hyperlink>
      <w:r>
        <w:t xml:space="preserve">). La femme qui représente Babylone dans </w:t>
      </w:r>
      <w:hyperlink r:id="rId3428">
        <w:r>
          <w:rPr>
            <w:color w:val="0000EE"/>
            <w:u w:val="single"/>
          </w:rPr>
          <w:t>Apocalypse 17.3–4</w:t>
        </w:r>
      </w:hyperlink>
      <w:r>
        <w:t xml:space="preserve"> était vêtue de pourpre et d'écarlate et assise sur une bête écarlate. Le fait de décrire ses vêtements comme pourpres et écarlates pourrait être une allusion à l'opulence de Rome (</w:t>
      </w:r>
      <w:hyperlink r:id="rId3429">
        <w:r>
          <w:rPr>
            <w:color w:val="0000EE"/>
            <w:u w:val="single"/>
          </w:rPr>
          <w:t>Ap 18.16</w:t>
        </w:r>
      </w:hyperlink>
      <w:r>
        <w:t xml:space="preserve">). L'écarlate est aussi peut-être en vue dans </w:t>
      </w:r>
      <w:hyperlink r:id="rId3348">
        <w:r>
          <w:rPr>
            <w:color w:val="0000EE"/>
            <w:u w:val="single"/>
          </w:rPr>
          <w:t>Ésaïe 1.18</w:t>
        </w:r>
      </w:hyperlink>
      <w:r>
        <w:t xml:space="preserve"> pour décrire le péché au sens figuré (</w:t>
      </w:r>
      <w:hyperlink r:id="rId3348">
        <w:r>
          <w:rPr>
            <w:color w:val="0000EE"/>
            <w:u w:val="single"/>
          </w:rPr>
          <w:t>Es 1.18</w:t>
        </w:r>
      </w:hyperlink>
      <w:r>
        <w:t>).</w:t>
      </w:r>
    </w:p>
    <w:p>
      <w:pPr>
        <w:pStyle w:val="Heading4"/>
      </w:pPr>
      <w:r>
        <w:t>Vert</w:t>
      </w:r>
    </w:p>
    <w:p>
      <w:r/>
      <w:r>
        <w:t>Sept mots de l'AT et deux du NT sont traduits par « vert » (ou encore « (re)verdir », « verdure » ou « verdoyant »). La plupart de ces mots servent à décrire la végétation et décrivent plus la fraîcheur ou l'humidité relative des plantes que leur couleur. Dans la Bible, la couleur verte décrit des plantes (</w:t>
      </w:r>
      <w:hyperlink r:id="rId3430">
        <w:r>
          <w:rPr>
            <w:color w:val="0000EE"/>
            <w:u w:val="single"/>
          </w:rPr>
          <w:t>Gn 1.30</w:t>
        </w:r>
      </w:hyperlink>
      <w:r>
        <w:t>), des arbres (</w:t>
      </w:r>
      <w:hyperlink r:id="rId3431">
        <w:r>
          <w:rPr>
            <w:color w:val="0000EE"/>
            <w:u w:val="single"/>
          </w:rPr>
          <w:t>1R 14.23</w:t>
        </w:r>
      </w:hyperlink>
      <w:r>
        <w:t>), des branches (</w:t>
      </w:r>
      <w:hyperlink r:id="rId3432">
        <w:r>
          <w:rPr>
            <w:color w:val="0000EE"/>
            <w:u w:val="single"/>
          </w:rPr>
          <w:t>Jb 15.32</w:t>
        </w:r>
      </w:hyperlink>
      <w:r>
        <w:t>), des pâturages (</w:t>
      </w:r>
      <w:hyperlink r:id="rId3433">
        <w:r>
          <w:rPr>
            <w:color w:val="0000EE"/>
            <w:u w:val="single"/>
          </w:rPr>
          <w:t>Ps 23.2</w:t>
        </w:r>
      </w:hyperlink>
      <w:r>
        <w:t xml:space="preserve"> ; </w:t>
      </w:r>
      <w:hyperlink r:id="rId3434">
        <w:r>
          <w:rPr>
            <w:color w:val="0000EE"/>
            <w:u w:val="single"/>
          </w:rPr>
          <w:t>Jl 2.22</w:t>
        </w:r>
      </w:hyperlink>
      <w:r>
        <w:t>), l'herbe (</w:t>
      </w:r>
      <w:hyperlink r:id="rId3435">
        <w:r>
          <w:rPr>
            <w:color w:val="0000EE"/>
            <w:u w:val="single"/>
          </w:rPr>
          <w:t xml:space="preserve">Ps 37.2 </w:t>
        </w:r>
      </w:hyperlink>
      <w:r>
        <w:t xml:space="preserve">; </w:t>
      </w:r>
      <w:hyperlink r:id="rId3436">
        <w:r>
          <w:rPr>
            <w:color w:val="0000EE"/>
            <w:u w:val="single"/>
          </w:rPr>
          <w:t>Mc 6.39</w:t>
        </w:r>
      </w:hyperlink>
      <w:r>
        <w:t xml:space="preserve"> ; </w:t>
      </w:r>
      <w:hyperlink r:id="rId3437">
        <w:r>
          <w:rPr>
            <w:color w:val="0000EE"/>
            <w:u w:val="single"/>
          </w:rPr>
          <w:t>Ap 8.7)</w:t>
        </w:r>
      </w:hyperlink>
      <w:r>
        <w:t>, des oliviers (</w:t>
      </w:r>
      <w:hyperlink r:id="rId3438">
        <w:r>
          <w:rPr>
            <w:color w:val="0000EE"/>
            <w:u w:val="single"/>
          </w:rPr>
          <w:t>Ps 52.8</w:t>
        </w:r>
      </w:hyperlink>
      <w:r>
        <w:t xml:space="preserve"> ; </w:t>
      </w:r>
      <w:hyperlink r:id="rId2070">
        <w:r>
          <w:rPr>
            <w:color w:val="0000EE"/>
            <w:u w:val="single"/>
          </w:rPr>
          <w:t>Jr 11.16</w:t>
        </w:r>
      </w:hyperlink>
      <w:r>
        <w:t>), des épines (</w:t>
      </w:r>
      <w:hyperlink r:id="rId3439">
        <w:r>
          <w:rPr>
            <w:color w:val="0000EE"/>
            <w:u w:val="single"/>
          </w:rPr>
          <w:t>Ps 58.9</w:t>
        </w:r>
      </w:hyperlink>
      <w:r>
        <w:t>), du feuillage (</w:t>
      </w:r>
      <w:hyperlink r:id="rId3440">
        <w:r>
          <w:rPr>
            <w:color w:val="0000EE"/>
            <w:u w:val="single"/>
          </w:rPr>
          <w:t>Jr 17.8</w:t>
        </w:r>
      </w:hyperlink>
      <w:r>
        <w:t>) et du bois (</w:t>
      </w:r>
      <w:hyperlink r:id="rId3441">
        <w:r>
          <w:rPr>
            <w:color w:val="0000EE"/>
            <w:u w:val="single"/>
          </w:rPr>
          <w:t>Lc 23.31</w:t>
        </w:r>
      </w:hyperlink>
      <w:r>
        <w:t>). En plus de diverses plantes, un lit (</w:t>
      </w:r>
      <w:hyperlink r:id="rId3442">
        <w:r>
          <w:rPr>
            <w:color w:val="0000EE"/>
            <w:u w:val="single"/>
          </w:rPr>
          <w:t>Ct 1.16</w:t>
        </w:r>
      </w:hyperlink>
      <w:r>
        <w:t>) et le juste (</w:t>
      </w:r>
      <w:hyperlink r:id="rId3443">
        <w:r>
          <w:rPr>
            <w:color w:val="0000EE"/>
            <w:u w:val="single"/>
          </w:rPr>
          <w:t>Ps 92.14</w:t>
        </w:r>
      </w:hyperlink>
      <w:r>
        <w:t>) sont également décrits comme verdoyants ou comme de la verdure. C'est sous « tout arbre vert » que de nombreux cultes idolâtres étaient tenus (</w:t>
      </w:r>
      <w:hyperlink r:id="rId3444">
        <w:r>
          <w:rPr>
            <w:color w:val="0000EE"/>
            <w:u w:val="single"/>
          </w:rPr>
          <w:t>Dt 12.2</w:t>
        </w:r>
      </w:hyperlink>
      <w:r>
        <w:t xml:space="preserve"> ; </w:t>
      </w:r>
      <w:hyperlink r:id="rId3445">
        <w:r>
          <w:rPr>
            <w:color w:val="0000EE"/>
            <w:u w:val="single"/>
          </w:rPr>
          <w:t>2R 16.4</w:t>
        </w:r>
      </w:hyperlink>
      <w:r>
        <w:t xml:space="preserve"> ; </w:t>
      </w:r>
      <w:hyperlink r:id="rId3446">
        <w:r>
          <w:rPr>
            <w:color w:val="0000EE"/>
            <w:u w:val="single"/>
          </w:rPr>
          <w:t>Es 57.5</w:t>
        </w:r>
      </w:hyperlink>
      <w:r>
        <w:t xml:space="preserve"> ; </w:t>
      </w:r>
      <w:hyperlink r:id="rId3447">
        <w:r>
          <w:rPr>
            <w:color w:val="0000EE"/>
            <w:u w:val="single"/>
          </w:rPr>
          <w:t>Jr 2.20</w:t>
        </w:r>
      </w:hyperlink>
      <w:r>
        <w:t xml:space="preserve"> ; </w:t>
      </w:r>
      <w:hyperlink r:id="rId3448">
        <w:r>
          <w:rPr>
            <w:color w:val="0000EE"/>
            <w:u w:val="single"/>
          </w:rPr>
          <w:t>Ez 6.13</w:t>
        </w:r>
      </w:hyperlink>
      <w:r>
        <w:t xml:space="preserve">). Toutefois, le mot ainsi traduit décrit en fait les feuilles de ces arbres plutôt que leur couleur. </w:t>
      </w:r>
    </w:p>
    <w:p>
      <w:r/>
      <w:r>
        <w:t>Un autre terme est traduit « verdâtre ». Il dérive d'un des mots de l'AT qui signifie « vert » et est utilisé pour décrire la couleur de moisissures sur la peau, sur des vêtements ou sur des murs (</w:t>
      </w:r>
      <w:hyperlink r:id="rId3405">
        <w:r>
          <w:rPr>
            <w:color w:val="0000EE"/>
            <w:u w:val="single"/>
          </w:rPr>
          <w:t>Lv 13.49</w:t>
        </w:r>
      </w:hyperlink>
      <w:r>
        <w:t xml:space="preserve"> ; </w:t>
      </w:r>
      <w:hyperlink r:id="rId3407">
        <w:r>
          <w:rPr>
            <w:color w:val="0000EE"/>
            <w:u w:val="single"/>
          </w:rPr>
          <w:t>14.37</w:t>
        </w:r>
      </w:hyperlink>
      <w:r>
        <w:t>).</w:t>
      </w:r>
    </w:p>
    <w:p>
      <w:r/>
      <w:r>
        <w:rPr>
          <w:i/>
        </w:rPr>
        <w:t>Voir aussi</w:t>
      </w:r>
      <w:r>
        <w:t xml:space="preserve"> </w:t>
      </w:r>
      <w:r>
        <w:t>tissu et fabrication de tissu</w:t>
      </w:r>
      <w:r>
        <w:t xml:space="preserve"> ; </w:t>
      </w:r>
      <w:r>
        <w:t>teinture, teindre, teinturier</w:t>
      </w:r>
      <w:r>
        <w:t>.</w:t>
      </w:r>
      <w:r/>
      <w:r/>
    </w:p>
    <w:p>
      <w:r/>
    </w:p>
    <w:p>
      <w:pPr>
        <w:pStyle w:val="Heading2"/>
      </w:pPr>
      <w:r>
        <w:t>coupe</w:t>
      </w:r>
      <w:r/>
    </w:p>
    <w:p>
      <w:r/>
      <w:r>
        <w:t xml:space="preserve">Dans la Bible, une coupe est un petit récipient qui sert à boire un liquide. Boire la coupe signifie boire ce qu'elle contient. Certaines versions françaises utilisent parfois le mot « calice » pour désigner une coupe dans des textes poétiques. Dans la Bible, les coupes pouvaient être faites de cuir, de métal ou de terre cuite. </w:t>
      </w:r>
    </w:p>
    <w:p>
      <w:r/>
      <w:r>
        <w:t>Le terme peut être utilisé au sens figuré et représenter le partage, la participation ou le fait de faire l'expérience de quelque chose :</w:t>
      </w:r>
    </w:p>
    <w:p>
      <w:pPr>
        <w:pStyle w:val="ListBullet"/>
        <w:spacing w:line="240" w:lineRule="auto"/>
        <w:ind w:left="720"/>
      </w:pPr>
      <w:r/>
      <w:r>
        <w:t>La coupe de consolation était offerte par quelqu'un dans le deuil (</w:t>
      </w:r>
      <w:hyperlink r:id="rId3449">
        <w:r>
          <w:rPr>
            <w:color w:val="0000EE"/>
            <w:u w:val="single"/>
          </w:rPr>
          <w:t>Jr 16.7</w:t>
        </w:r>
      </w:hyperlink>
      <w:r>
        <w:t>).</w:t>
      </w:r>
    </w:p>
    <w:p>
      <w:pPr>
        <w:pStyle w:val="ListBullet"/>
        <w:spacing w:line="240" w:lineRule="auto"/>
        <w:ind w:left="720"/>
      </w:pPr>
      <w:r/>
      <w:r>
        <w:t>Paul appelle les boissons dans les repas de temples idolâtres « la coupe des démons » (</w:t>
      </w:r>
      <w:hyperlink r:id="rId3450">
        <w:r>
          <w:rPr>
            <w:color w:val="0000EE"/>
            <w:u w:val="single"/>
          </w:rPr>
          <w:t>1Co 10.21</w:t>
        </w:r>
      </w:hyperlink>
      <w:r>
        <w:t>).</w:t>
      </w:r>
    </w:p>
    <w:p>
      <w:pPr>
        <w:pStyle w:val="ListBullet"/>
        <w:spacing w:line="240" w:lineRule="auto"/>
        <w:ind w:left="720"/>
      </w:pPr>
      <w:r/>
      <w:r>
        <w:t>Le serviteur de Joseph a dit qu'il se servait d'une coupe en argent pour deviner (</w:t>
      </w:r>
      <w:hyperlink r:id="rId3451">
        <w:r>
          <w:rPr>
            <w:color w:val="0000EE"/>
            <w:u w:val="single"/>
          </w:rPr>
          <w:t>Gn 44.2, 5</w:t>
        </w:r>
      </w:hyperlink>
      <w:r>
        <w:t>).</w:t>
      </w:r>
    </w:p>
    <w:p>
      <w:pPr>
        <w:pStyle w:val="ListBullet"/>
        <w:spacing w:line="240" w:lineRule="auto"/>
        <w:ind w:left="720"/>
      </w:pPr>
      <w:r/>
      <w:r>
        <w:t>La coupe de vin peut représenter l'ivresse (</w:t>
      </w:r>
      <w:hyperlink r:id="rId3307">
        <w:r>
          <w:rPr>
            <w:color w:val="0000EE"/>
            <w:u w:val="single"/>
          </w:rPr>
          <w:t>Pr 23.31</w:t>
        </w:r>
      </w:hyperlink>
      <w:r>
        <w:t>).</w:t>
      </w:r>
    </w:p>
    <w:p>
      <w:pPr>
        <w:pStyle w:val="ListBullet"/>
        <w:spacing w:line="240" w:lineRule="auto"/>
        <w:ind w:left="720"/>
      </w:pPr>
      <w:r/>
      <w:r>
        <w:t>Dans sa vision, Jean voit une femme impudique qui monte sur une bête et qui tient dans sa main une coupe remplie d'abominations et d'impuretés (</w:t>
      </w:r>
      <w:hyperlink r:id="rId3395">
        <w:r>
          <w:rPr>
            <w:color w:val="0000EE"/>
            <w:u w:val="single"/>
          </w:rPr>
          <w:t>Ap 17.4</w:t>
        </w:r>
      </w:hyperlink>
      <w:r>
        <w:t xml:space="preserve"> ; </w:t>
      </w:r>
      <w:hyperlink r:id="rId3452">
        <w:r>
          <w:rPr>
            <w:color w:val="0000EE"/>
            <w:u w:val="single"/>
          </w:rPr>
          <w:t>18.6</w:t>
        </w:r>
      </w:hyperlink>
      <w:r>
        <w:t>).</w:t>
      </w:r>
    </w:p>
    <w:p>
      <w:pPr>
        <w:pStyle w:val="ListBullet"/>
        <w:spacing w:line="240" w:lineRule="auto"/>
        <w:ind w:left="720"/>
      </w:pPr>
      <w:r/>
      <w:r>
        <w:t>David décrit l’Éternel comme son partage et son calice (</w:t>
      </w:r>
      <w:hyperlink r:id="rId3453">
        <w:r>
          <w:rPr>
            <w:color w:val="0000EE"/>
            <w:u w:val="single"/>
          </w:rPr>
          <w:t>Ps 16.5</w:t>
        </w:r>
      </w:hyperlink>
      <w:r>
        <w:t>).</w:t>
      </w:r>
    </w:p>
    <w:p>
      <w:pPr>
        <w:pStyle w:val="ListBullet"/>
        <w:spacing w:line="240" w:lineRule="auto"/>
        <w:ind w:left="720"/>
      </w:pPr>
      <w:r/>
      <w:r>
        <w:t>Le jugement de Dieu est souvent représenté comme une coupe à boire ou qu'il verse sur les méchants (</w:t>
      </w:r>
      <w:hyperlink r:id="rId3454">
        <w:r>
          <w:rPr>
            <w:color w:val="0000EE"/>
            <w:u w:val="single"/>
          </w:rPr>
          <w:t>Ps 11.6</w:t>
        </w:r>
      </w:hyperlink>
      <w:r>
        <w:t xml:space="preserve"> ; </w:t>
      </w:r>
      <w:hyperlink r:id="rId3455">
        <w:r>
          <w:rPr>
            <w:color w:val="0000EE"/>
            <w:u w:val="single"/>
          </w:rPr>
          <w:t>75.8</w:t>
        </w:r>
      </w:hyperlink>
      <w:r>
        <w:t xml:space="preserve"> ; </w:t>
      </w:r>
      <w:hyperlink r:id="rId3456">
        <w:r>
          <w:rPr>
            <w:color w:val="0000EE"/>
            <w:u w:val="single"/>
          </w:rPr>
          <w:t>Es 51.17, 22</w:t>
        </w:r>
      </w:hyperlink>
      <w:r>
        <w:t xml:space="preserve"> ; </w:t>
      </w:r>
      <w:hyperlink r:id="rId3457">
        <w:r>
          <w:rPr>
            <w:color w:val="0000EE"/>
            <w:u w:val="single"/>
          </w:rPr>
          <w:t>Jr 49.12</w:t>
        </w:r>
      </w:hyperlink>
      <w:r>
        <w:t xml:space="preserve"> ; </w:t>
      </w:r>
      <w:hyperlink r:id="rId3458">
        <w:r>
          <w:rPr>
            <w:color w:val="0000EE"/>
            <w:u w:val="single"/>
          </w:rPr>
          <w:t>Ez 23.33</w:t>
        </w:r>
      </w:hyperlink>
      <w:r>
        <w:t xml:space="preserve"> ; </w:t>
      </w:r>
      <w:hyperlink r:id="rId3459">
        <w:r>
          <w:rPr>
            <w:color w:val="0000EE"/>
            <w:u w:val="single"/>
          </w:rPr>
          <w:t>Za 12.2</w:t>
        </w:r>
      </w:hyperlink>
      <w:r>
        <w:t xml:space="preserve"> ; </w:t>
      </w:r>
      <w:hyperlink r:id="rId3460">
        <w:r>
          <w:rPr>
            <w:color w:val="0000EE"/>
            <w:u w:val="single"/>
          </w:rPr>
          <w:t>Ap 14.10</w:t>
        </w:r>
      </w:hyperlink>
      <w:r>
        <w:t xml:space="preserve"> ; </w:t>
      </w:r>
      <w:hyperlink r:id="rId3461">
        <w:r>
          <w:rPr>
            <w:color w:val="0000EE"/>
            <w:u w:val="single"/>
          </w:rPr>
          <w:t>16.19</w:t>
        </w:r>
      </w:hyperlink>
      <w:r>
        <w:t xml:space="preserve"> ; </w:t>
      </w:r>
      <w:hyperlink r:id="rId3452">
        <w:r>
          <w:rPr>
            <w:color w:val="0000EE"/>
            <w:u w:val="single"/>
          </w:rPr>
          <w:t>18.6</w:t>
        </w:r>
      </w:hyperlink>
      <w:r>
        <w:t>).</w:t>
      </w:r>
    </w:p>
    <w:p>
      <w:pPr>
        <w:pStyle w:val="ListBullet"/>
        <w:spacing w:line="240" w:lineRule="auto"/>
        <w:ind w:left="720"/>
      </w:pPr>
      <w:r/>
      <w:r>
        <w:t>Paul appelle le vin qui fait partie de la Sainte Cène « la coupe du Seigneur » (</w:t>
      </w:r>
      <w:hyperlink r:id="rId3450">
        <w:r>
          <w:rPr>
            <w:color w:val="0000EE"/>
            <w:u w:val="single"/>
          </w:rPr>
          <w:t>1Co 10.21</w:t>
        </w:r>
      </w:hyperlink>
      <w:r>
        <w:t xml:space="preserve">) et la « </w:t>
      </w:r>
      <w:r>
        <w:t>coupe de bénédiction »</w:t>
      </w:r>
      <w:r>
        <w:t xml:space="preserve"> (</w:t>
      </w:r>
      <w:hyperlink r:id="rId3462">
        <w:r>
          <w:rPr>
            <w:color w:val="0000EE"/>
            <w:u w:val="single"/>
          </w:rPr>
          <w:t>1Co 10.16</w:t>
        </w:r>
      </w:hyperlink>
      <w:r>
        <w:t>).</w:t>
      </w:r>
    </w:p>
    <w:p>
      <w:pPr>
        <w:pStyle w:val="ListBullet"/>
        <w:spacing w:line="240" w:lineRule="auto"/>
        <w:ind w:left="720"/>
      </w:pPr>
      <w:r/>
      <w:r>
        <w:t>Une coupe qui est remplie ou déborde représente la prospérité et la bénédiction (</w:t>
      </w:r>
      <w:hyperlink r:id="rId3463">
        <w:r>
          <w:rPr>
            <w:color w:val="0000EE"/>
            <w:u w:val="single"/>
          </w:rPr>
          <w:t>Ps 23.5</w:t>
        </w:r>
      </w:hyperlink>
      <w:r>
        <w:t>).</w:t>
      </w:r>
    </w:p>
    <w:p>
      <w:pPr>
        <w:pStyle w:val="ListBullet"/>
        <w:spacing w:line="240" w:lineRule="auto"/>
        <w:ind w:left="720"/>
      </w:pPr>
      <w:r/>
      <w:r>
        <w:t>Élever la coupe des délivrances est une façon de célébrer le secours de Dieu (</w:t>
      </w:r>
      <w:hyperlink r:id="rId3464">
        <w:r>
          <w:rPr>
            <w:color w:val="0000EE"/>
            <w:u w:val="single"/>
          </w:rPr>
          <w:t>Ps 116.13</w:t>
        </w:r>
      </w:hyperlink>
      <w:r>
        <w:t>).</w:t>
      </w:r>
    </w:p>
    <w:p>
      <w:pPr>
        <w:pStyle w:val="ListBullet"/>
        <w:spacing w:line="240" w:lineRule="auto"/>
        <w:ind w:left="720"/>
      </w:pPr>
      <w:r/>
      <w:r>
        <w:t>Les souffrances que les justes doivent traverser et qui font partie de la volonté de Dieu peuvent aussi être décrites comme une coupe qu'il leur faut boire (</w:t>
      </w:r>
      <w:hyperlink r:id="rId3465">
        <w:r>
          <w:rPr>
            <w:color w:val="0000EE"/>
            <w:u w:val="single"/>
          </w:rPr>
          <w:t>Mt 20.22</w:t>
        </w:r>
      </w:hyperlink>
      <w:r>
        <w:t xml:space="preserve"> ; </w:t>
      </w:r>
      <w:hyperlink r:id="rId3466">
        <w:r>
          <w:rPr>
            <w:color w:val="0000EE"/>
            <w:u w:val="single"/>
          </w:rPr>
          <w:t>26.39</w:t>
        </w:r>
      </w:hyperlink>
      <w:r>
        <w:t xml:space="preserve"> ; </w:t>
      </w:r>
      <w:hyperlink r:id="rId3467">
        <w:r>
          <w:rPr>
            <w:color w:val="0000EE"/>
            <w:u w:val="single"/>
          </w:rPr>
          <w:t>Mc 10.39</w:t>
        </w:r>
      </w:hyperlink>
      <w:r>
        <w:t xml:space="preserve"> ; </w:t>
      </w:r>
      <w:hyperlink r:id="rId16">
        <w:r>
          <w:rPr>
            <w:color w:val="0000EE"/>
            <w:u w:val="single"/>
          </w:rPr>
          <w:t>14.36</w:t>
        </w:r>
      </w:hyperlink>
      <w:r>
        <w:t xml:space="preserve"> ; </w:t>
      </w:r>
      <w:hyperlink r:id="rId3468">
        <w:r>
          <w:rPr>
            <w:color w:val="0000EE"/>
            <w:u w:val="single"/>
          </w:rPr>
          <w:t>Lc 22.42</w:t>
        </w:r>
      </w:hyperlink>
      <w:r>
        <w:t xml:space="preserve"> ; </w:t>
      </w:r>
      <w:hyperlink r:id="rId3469">
        <w:r>
          <w:rPr>
            <w:color w:val="0000EE"/>
            <w:u w:val="single"/>
          </w:rPr>
          <w:t>Jn 18.11</w:t>
        </w:r>
      </w:hyperlink>
      <w:r>
        <w:t>).</w:t>
      </w:r>
    </w:p>
    <w:p>
      <w:r/>
      <w:r>
        <w:rPr>
          <w:i/>
        </w:rPr>
        <w:t>Voir aussi</w:t>
      </w:r>
      <w:r>
        <w:t xml:space="preserve"> </w:t>
      </w:r>
      <w:r>
        <w:t>coupe de bénédiction</w:t>
      </w:r>
      <w:r>
        <w:t>.</w:t>
      </w:r>
      <w:r/>
      <w:r/>
    </w:p>
    <w:p>
      <w:r/>
    </w:p>
    <w:p>
      <w:pPr>
        <w:pStyle w:val="Heading2"/>
      </w:pPr>
      <w:r>
        <w:t>Crâne (lieu du)</w:t>
      </w:r>
      <w:r/>
    </w:p>
    <w:p>
      <w:r/>
      <w:r>
        <w:t>Endroit à Jérusalem où Jésus a été crucifié (</w:t>
      </w:r>
      <w:hyperlink r:id="rId3470">
        <w:r>
          <w:rPr>
            <w:color w:val="0000EE"/>
            <w:u w:val="single"/>
          </w:rPr>
          <w:t>Mt 27.33</w:t>
        </w:r>
      </w:hyperlink>
      <w:r>
        <w:t xml:space="preserve"> ; </w:t>
      </w:r>
      <w:hyperlink r:id="rId3471">
        <w:r>
          <w:rPr>
            <w:color w:val="0000EE"/>
            <w:u w:val="single"/>
          </w:rPr>
          <w:t>Mc 15.22</w:t>
        </w:r>
      </w:hyperlink>
      <w:r>
        <w:t xml:space="preserve"> ; </w:t>
      </w:r>
      <w:hyperlink r:id="rId3472">
        <w:r>
          <w:rPr>
            <w:color w:val="0000EE"/>
            <w:u w:val="single"/>
          </w:rPr>
          <w:t>Jn 19.17</w:t>
        </w:r>
      </w:hyperlink>
      <w:r>
        <w:t xml:space="preserve">). Golgotha est l'orthographe grecque du mot araméen qui signifie « crâne ». </w:t>
      </w:r>
      <w:r>
        <w:rPr>
          <w:i/>
        </w:rPr>
        <w:t>Voir</w:t>
      </w:r>
      <w:r>
        <w:t xml:space="preserve"> </w:t>
      </w:r>
      <w:r>
        <w:t>Golgotha</w:t>
      </w:r>
      <w:r>
        <w:t>.</w:t>
      </w:r>
      <w:r/>
      <w:r/>
    </w:p>
    <w:p>
      <w:r/>
    </w:p>
    <w:p>
      <w:pPr>
        <w:pStyle w:val="Heading2"/>
      </w:pPr>
      <w:r>
        <w:t>Création</w:t>
      </w:r>
      <w:r/>
    </w:p>
    <w:p>
      <w:r/>
      <w:r>
        <w:t>Acte divin qui consiste à donner l'existence à des choses ou à des êtres à partir de rien. L'œuvre créatrice de Dieu donne au monde une existence ordonnée. L'être humain ne peut pas complètement parvenir à la doctrine biblique de la création en ne s'appuyant que sur la spéculation théologique, philosophique ou scientifique. Dieu a révélé comment il a créé le monde. Selon la Bible, c'est par la foi que l'on reconnaît que le monde a été formé par la parole de Dieu (</w:t>
      </w:r>
      <w:hyperlink r:id="rId3473">
        <w:r>
          <w:rPr>
            <w:color w:val="0000EE"/>
            <w:u w:val="single"/>
          </w:rPr>
          <w:t>Hé 11.3</w:t>
        </w:r>
      </w:hyperlink>
      <w:r>
        <w:t>).</w:t>
      </w:r>
    </w:p>
    <w:p>
      <w:r/>
      <w:r>
        <w:t>Sommaire</w:t>
      </w:r>
    </w:p>
    <w:p>
      <w:r/>
      <w:r>
        <w:t>• Comprendre la création</w:t>
      </w:r>
    </w:p>
    <w:p>
      <w:r/>
      <w:r>
        <w:t>• Création et théologie</w:t>
      </w:r>
    </w:p>
    <w:p>
      <w:r/>
      <w:r>
        <w:t>• Création et science</w:t>
      </w:r>
    </w:p>
    <w:p>
      <w:r/>
      <w:r>
        <w:t>• Questions qui concernent l'évolution</w:t>
      </w:r>
    </w:p>
    <w:p>
      <w:r/>
      <w:r>
        <w:t>• Création, science et écologie</w:t>
      </w:r>
    </w:p>
    <w:p>
      <w:pPr>
        <w:pStyle w:val="Heading3"/>
      </w:pPr>
      <w:r>
        <w:t>Comprendre la création</w:t>
      </w:r>
    </w:p>
    <w:p>
      <w:r/>
      <w:r>
        <w:t>Il ne faut pas commencer à explorer le sujet de la création en comparant le récit de la Genèse avec ce qu'affirme la science moderne. Il faut d'abord explorer la question de ce que le récit de la création signifiait pour un Hébreu à l'époque biblique. La question qui suit est comment les prophètes d'Israël ont utilisé la doctrine de la création. Voici quelques points importants à souligner.</w:t>
      </w:r>
    </w:p>
    <w:p>
      <w:r/>
      <w:r>
        <w:t xml:space="preserve">1. La création est comprise comme une conquête du chaos. Au commencement de la plupart des récits antiques de la création du monde, il y a un chaos primordial. La divinité capable de conquérir le chaos (habituellement aussi une autre divinité) s'impose comme divinité principale. </w:t>
      </w:r>
      <w:hyperlink r:id="rId2644">
        <w:r>
          <w:rPr>
            <w:color w:val="0000EE"/>
            <w:u w:val="single"/>
          </w:rPr>
          <w:t>Genèse 1</w:t>
        </w:r>
      </w:hyperlink>
      <w:r>
        <w:t xml:space="preserve"> est un récit magnifique de la manière dont le Dieu d'Israël a transformé le chaos de </w:t>
      </w:r>
      <w:hyperlink r:id="rId46">
        <w:r>
          <w:rPr>
            <w:color w:val="0000EE"/>
            <w:u w:val="single"/>
          </w:rPr>
          <w:t>Genèse 1.2</w:t>
        </w:r>
      </w:hyperlink>
      <w:r>
        <w:t xml:space="preserve"> en un cosmos bien ordonné. Contrairement aux mythes païens, la Bible enseigne qu'il n'y a qu'un seul Dieu. Le chaos tel qu'il était avant que Dieu ne sépare les éléments et ne remplisse la création n'est pas présenté comme une autre divinité.</w:t>
      </w:r>
    </w:p>
    <w:p>
      <w:r/>
      <w:r>
        <w:t>2. La création est le produit de la bienveillance de Dieu. Il a simplement choisi de créer par bonté et la création a donc été créée bonne (</w:t>
      </w:r>
      <w:hyperlink r:id="rId3474">
        <w:r>
          <w:rPr>
            <w:color w:val="0000EE"/>
            <w:u w:val="single"/>
          </w:rPr>
          <w:t>Gn 1.4, 10, 12, 18, 21, 25, 31</w:t>
        </w:r>
      </w:hyperlink>
      <w:r>
        <w:t>). Sur cette base, la foi chrétienne voit dans la vie un don de Dieu. Ce fait s'oppose à tous les nihilismes et pessimismes de l'histoire religieuse et philosophique.</w:t>
      </w:r>
    </w:p>
    <w:p>
      <w:r/>
      <w:r>
        <w:t>3. La création est dans l'ombre du péché (</w:t>
      </w:r>
      <w:hyperlink r:id="rId3475">
        <w:r>
          <w:rPr>
            <w:color w:val="0000EE"/>
            <w:u w:val="single"/>
          </w:rPr>
          <w:t>Rm 8.18–25</w:t>
        </w:r>
      </w:hyperlink>
      <w:r>
        <w:t>). Les Écritures enseignent que la création aujourd'hui n'a plus sa pureté immaculée originelle. La création telle qu'elle est perçue aujourd'hui est un monde trouble.</w:t>
      </w:r>
    </w:p>
    <w:p>
      <w:r/>
      <w:r>
        <w:t xml:space="preserve">4. La création dépend de Dieu. La relation de Dieu à sa création est exposée dans </w:t>
      </w:r>
      <w:hyperlink r:id="rId3476">
        <w:r>
          <w:rPr>
            <w:color w:val="0000EE"/>
            <w:u w:val="single"/>
          </w:rPr>
          <w:t>Éphésiens 4.6</w:t>
        </w:r>
      </w:hyperlink>
      <w:r>
        <w:t>. Dieu est au-dessus de tous. Il ne fait pas partie de la création, mais la dirige. Dieu est parmi tous. Il est actif dans toute sa création. Dieu est en tous. Il ne fait pas partie de la création mais est présent partout (</w:t>
      </w:r>
      <w:hyperlink r:id="rId3477">
        <w:r>
          <w:rPr>
            <w:color w:val="0000EE"/>
            <w:u w:val="single"/>
          </w:rPr>
          <w:t>Ps 90.1–4</w:t>
        </w:r>
      </w:hyperlink>
      <w:r>
        <w:t xml:space="preserve"> ; voir aussi </w:t>
      </w:r>
      <w:hyperlink r:id="rId3478">
        <w:r>
          <w:rPr>
            <w:color w:val="0000EE"/>
            <w:u w:val="single"/>
          </w:rPr>
          <w:t>Jn 1.3</w:t>
        </w:r>
      </w:hyperlink>
      <w:r>
        <w:t xml:space="preserve"> ; </w:t>
      </w:r>
      <w:hyperlink r:id="rId2908">
        <w:r>
          <w:rPr>
            <w:color w:val="0000EE"/>
            <w:u w:val="single"/>
          </w:rPr>
          <w:t>1Co 8.6</w:t>
        </w:r>
      </w:hyperlink>
      <w:r>
        <w:t xml:space="preserve"> ; </w:t>
      </w:r>
      <w:hyperlink r:id="rId3479">
        <w:r>
          <w:rPr>
            <w:color w:val="0000EE"/>
            <w:u w:val="single"/>
          </w:rPr>
          <w:t>Col 1.16–17</w:t>
        </w:r>
      </w:hyperlink>
      <w:r>
        <w:t>).</w:t>
      </w:r>
    </w:p>
    <w:p>
      <w:r/>
      <w:r>
        <w:t>5. Dieu a créé l'univers par sa parole (</w:t>
      </w:r>
      <w:hyperlink r:id="rId2644">
        <w:r>
          <w:rPr>
            <w:color w:val="0000EE"/>
            <w:u w:val="single"/>
          </w:rPr>
          <w:t>Gn 1</w:t>
        </w:r>
      </w:hyperlink>
      <w:r>
        <w:t xml:space="preserve"> ; </w:t>
      </w:r>
      <w:hyperlink r:id="rId3473">
        <w:r>
          <w:rPr>
            <w:color w:val="0000EE"/>
            <w:u w:val="single"/>
          </w:rPr>
          <w:t>Hé 11.3</w:t>
        </w:r>
      </w:hyperlink>
      <w:r>
        <w:t>). Que le monde ait été créé « par la parole de Dieu » est une idée unique et saisissante. Une des implications est que l'univers a été créé par une Personne. La vaste étendue de l'univers et le nombre énorme d'étoiles et de galaxies peuvent donner à celui qui y réfléchit un sentiment d'insignifiance. Mais de savoir que tout a été créé par la parole de Dieu, fait savoir qu'il y a une présence personnelle dans l'immensité des espaces stellaires (</w:t>
      </w:r>
      <w:hyperlink r:id="rId2659">
        <w:r>
          <w:rPr>
            <w:color w:val="0000EE"/>
            <w:u w:val="single"/>
          </w:rPr>
          <w:t>Ps 8</w:t>
        </w:r>
      </w:hyperlink>
      <w:r>
        <w:t xml:space="preserve"> ; </w:t>
      </w:r>
      <w:hyperlink r:id="rId3480">
        <w:r>
          <w:rPr>
            <w:color w:val="0000EE"/>
            <w:u w:val="single"/>
          </w:rPr>
          <w:t>19</w:t>
        </w:r>
      </w:hyperlink>
      <w:r>
        <w:t xml:space="preserve"> ; </w:t>
      </w:r>
      <w:hyperlink r:id="rId3481">
        <w:r>
          <w:rPr>
            <w:color w:val="0000EE"/>
            <w:u w:val="single"/>
          </w:rPr>
          <w:t>Rm 1.20</w:t>
        </w:r>
      </w:hyperlink>
      <w:r>
        <w:t>).</w:t>
      </w:r>
    </w:p>
    <w:p>
      <w:r/>
      <w:r>
        <w:t>6. La création telle que décrite dans la Bible n'est pas, comme il est souvent dit, un mythe similaire à ceux d'autres civilisations anciennes. De nombreuses études des récits de création des autres peuples ont été faites. Aucun de ceux-ci ne sont si majestueux et ne révèlent une théologie si profonde que celle du récit de la Genèse.</w:t>
      </w:r>
    </w:p>
    <w:p>
      <w:pPr>
        <w:pStyle w:val="Heading3"/>
      </w:pPr>
      <w:r>
        <w:t>Création et théologie</w:t>
      </w:r>
    </w:p>
    <w:p>
      <w:r/>
      <w:r>
        <w:t>Un examen de l'ensemble de ce que la Bible enseigne au sujet de la création mène aux conclusions suivantes :</w:t>
      </w:r>
    </w:p>
    <w:p>
      <w:r/>
      <w:r>
        <w:t>1. La doctrine de la création est la source fondamentale d'enseignement sur la nature de l'humanité. Les hommes et les femmes ont été créés à l'image de Dieu (</w:t>
      </w:r>
      <w:hyperlink r:id="rId3482">
        <w:r>
          <w:rPr>
            <w:color w:val="0000EE"/>
            <w:u w:val="single"/>
          </w:rPr>
          <w:t>Gn 1.26–27</w:t>
        </w:r>
      </w:hyperlink>
      <w:r>
        <w:t>). Cela signifie, au minimum, que l'être humain est supérieur aux animaux, même si les deux ont été créés à partir de la poussière de la terre et ont beaucoup en commun. Il y a eu beaucoup de spéculations sur ce qu'est cette « image de Dieu » en l'homme. Le dénominateur commun de toutes ces réflexions, c'est que le sens, le destin et la valeur de chaque être humain provient de cette relation spéciale avec Dieu.</w:t>
      </w:r>
    </w:p>
    <w:p>
      <w:r/>
      <w:r>
        <w:t>2. Cette déclaration de la relation unique de l'homme avec Dieu s'exprime également dans la déclaration qu'il lui a été donné de dominer sur la terre, la création de Dieu. Là encore, les êtres humains reçoivent une distinction qui les sépare du monde animal. Dieu leur a donné des responsabilités spécifiques (</w:t>
      </w:r>
      <w:hyperlink r:id="rId3483">
        <w:r>
          <w:rPr>
            <w:color w:val="0000EE"/>
            <w:u w:val="single"/>
          </w:rPr>
          <w:t>Gn 1.28</w:t>
        </w:r>
      </w:hyperlink>
      <w:r>
        <w:t xml:space="preserve"> ; </w:t>
      </w:r>
      <w:hyperlink r:id="rId3484">
        <w:r>
          <w:rPr>
            <w:color w:val="0000EE"/>
            <w:u w:val="single"/>
          </w:rPr>
          <w:t>2.15</w:t>
        </w:r>
      </w:hyperlink>
      <w:r>
        <w:t xml:space="preserve"> ; </w:t>
      </w:r>
      <w:hyperlink r:id="rId2659">
        <w:r>
          <w:rPr>
            <w:color w:val="0000EE"/>
            <w:u w:val="single"/>
          </w:rPr>
          <w:t>Ps 8</w:t>
        </w:r>
      </w:hyperlink>
      <w:r>
        <w:t>).</w:t>
      </w:r>
    </w:p>
    <w:p>
      <w:r/>
      <w:r>
        <w:t>3. Dieu a créé l'être humain, homme et femme, à son image. Ceci signifie que l'image divine est portée également par les deux sexes. Cela a aussi des implications pour la sexualité des êtres humains qui a beaucoup plus de dimensions que celle des animaux. La vie sexuelle des êtres humains est donc immensément plus riche que celle des animaux et sujette à une corruption plus profonde (</w:t>
      </w:r>
      <w:hyperlink r:id="rId3485">
        <w:r>
          <w:rPr>
            <w:color w:val="0000EE"/>
            <w:u w:val="single"/>
          </w:rPr>
          <w:t>Mc 10.2–9</w:t>
        </w:r>
      </w:hyperlink>
      <w:r>
        <w:t xml:space="preserve"> ; </w:t>
      </w:r>
      <w:hyperlink r:id="rId3486">
        <w:r>
          <w:rPr>
            <w:color w:val="0000EE"/>
            <w:u w:val="single"/>
          </w:rPr>
          <w:t>1Co 7.1–5</w:t>
        </w:r>
      </w:hyperlink>
      <w:r>
        <w:t xml:space="preserve"> ; </w:t>
      </w:r>
      <w:hyperlink r:id="rId3487">
        <w:r>
          <w:rPr>
            <w:color w:val="0000EE"/>
            <w:u w:val="single"/>
          </w:rPr>
          <w:t>Ep 5.25–31</w:t>
        </w:r>
      </w:hyperlink>
      <w:r>
        <w:t xml:space="preserve"> ; voir aussi </w:t>
      </w:r>
      <w:hyperlink r:id="rId363">
        <w:r>
          <w:rPr>
            <w:color w:val="0000EE"/>
            <w:u w:val="single"/>
          </w:rPr>
          <w:t>Hé 13.4</w:t>
        </w:r>
      </w:hyperlink>
      <w:r>
        <w:t>).</w:t>
      </w:r>
    </w:p>
    <w:p>
      <w:r/>
      <w:r>
        <w:t>4. L'enseignement biblique sur la prière, qui consiste à demander et recevoir, est fondée sur la providence de Dieu, qui elle-même repose sur la création. Il n'y a de sens à la prière que s'il existe un créateur souverain qui peut répondre aux prières de ses propres créatures (</w:t>
      </w:r>
      <w:hyperlink r:id="rId3488">
        <w:r>
          <w:rPr>
            <w:color w:val="0000EE"/>
            <w:u w:val="single"/>
          </w:rPr>
          <w:t>Mt 6.5–13</w:t>
        </w:r>
      </w:hyperlink>
      <w:r>
        <w:t xml:space="preserve"> ; </w:t>
      </w:r>
      <w:hyperlink r:id="rId3489">
        <w:r>
          <w:rPr>
            <w:color w:val="0000EE"/>
            <w:u w:val="single"/>
          </w:rPr>
          <w:t>Col 4.2</w:t>
        </w:r>
      </w:hyperlink>
      <w:r>
        <w:t xml:space="preserve"> ; </w:t>
      </w:r>
      <w:hyperlink r:id="rId3490">
        <w:r>
          <w:rPr>
            <w:color w:val="0000EE"/>
            <w:u w:val="single"/>
          </w:rPr>
          <w:t>1P 5.6–7</w:t>
        </w:r>
      </w:hyperlink>
      <w:r>
        <w:t xml:space="preserve"> ; </w:t>
      </w:r>
      <w:hyperlink r:id="rId3491">
        <w:r>
          <w:rPr>
            <w:color w:val="0000EE"/>
            <w:u w:val="single"/>
          </w:rPr>
          <w:t>Ap 8.3</w:t>
        </w:r>
      </w:hyperlink>
      <w:r>
        <w:t>).</w:t>
      </w:r>
    </w:p>
    <w:p>
      <w:r/>
      <w:r>
        <w:t xml:space="preserve">5. L'histoire de l'humanité et d'Israël commence dans </w:t>
      </w:r>
      <w:hyperlink r:id="rId2644">
        <w:r>
          <w:rPr>
            <w:color w:val="0000EE"/>
            <w:u w:val="single"/>
          </w:rPr>
          <w:t>Genèse 1</w:t>
        </w:r>
      </w:hyperlink>
      <w:r>
        <w:t>. La création inaugure l'Histoire et n'est pas simplement une présupposition de celle-ci. Le Dieu créateur est le Dieu d'Abraham, de Moïse, des prophètes et de Jésus-Christ.</w:t>
      </w:r>
    </w:p>
    <w:p>
      <w:r/>
      <w:r>
        <w:t>6. La création elle-même montre que Dieu existe et révèle dans la création des aspects de sa nature (</w:t>
      </w:r>
      <w:hyperlink r:id="rId3480">
        <w:r>
          <w:rPr>
            <w:color w:val="0000EE"/>
            <w:u w:val="single"/>
          </w:rPr>
          <w:t>Ps 19</w:t>
        </w:r>
      </w:hyperlink>
      <w:r>
        <w:t xml:space="preserve"> ; </w:t>
      </w:r>
      <w:hyperlink r:id="rId3492">
        <w:r>
          <w:rPr>
            <w:color w:val="0000EE"/>
            <w:u w:val="single"/>
          </w:rPr>
          <w:t>Rm 1.18–19</w:t>
        </w:r>
      </w:hyperlink>
      <w:r>
        <w:t>). Ce type de révélation est appelée la « révélation générale » en théologie. Elle est « générale » dans le sens où il s'agit d'une façon dont Dieu se rend visible à tous.</w:t>
      </w:r>
    </w:p>
    <w:p>
      <w:r/>
      <w:r>
        <w:t xml:space="preserve">7. Le récit de la création décrit la création de tout. Le récit de la Genèse mentionne corps célestes, créatures marines, plantes et animaux terrestres. Le nombre d'espèces se compte par millions. La Genèse ne tente pas de les énumérer mais évoque leur diversité et leur nombre. Dieu a créé tout ce qui existe (voir </w:t>
      </w:r>
      <w:hyperlink r:id="rId3493">
        <w:r>
          <w:rPr>
            <w:color w:val="0000EE"/>
            <w:u w:val="single"/>
          </w:rPr>
          <w:t>Jn 1.1–2</w:t>
        </w:r>
      </w:hyperlink>
      <w:r>
        <w:t xml:space="preserve">). Par conséquent, il n'y a rien dans l'univers qui puisse menacer le peuple de Dieu et qui soit en dehors du domaine sur lequel il règne et qui lui est soumis. Il n'y a qu'un seul Seigneur, et non plusieurs dieux et seigneurs, à qui tous sont appelés à obéir. Dans </w:t>
      </w:r>
      <w:hyperlink r:id="rId3494">
        <w:r>
          <w:rPr>
            <w:color w:val="0000EE"/>
            <w:u w:val="single"/>
          </w:rPr>
          <w:t>Romains 8.38–39</w:t>
        </w:r>
      </w:hyperlink>
      <w:r>
        <w:t xml:space="preserve"> l'apôtre Paul déclare que rien dans l'univers entier, nul endroit, nulle époque, ne peut séparer le chrétien de l'amour de Dieu en Christ.</w:t>
      </w:r>
    </w:p>
    <w:p>
      <w:r/>
      <w:r>
        <w:t>8. La principale application théologique de la doctrine de la création dans l'Ancien Testament est de qualifier l'idolâtrie de péché. L'idolâtrie est un mensonge qui remonte aux origines et elle conduit à l'immoralité, transformant la vie de celui qui la pratique en mensonge.</w:t>
      </w:r>
    </w:p>
    <w:p>
      <w:r/>
      <w:r>
        <w:t>9. L'un des enseignements remarquables du Nouveau Testament est le « Christ cosmique ». Il est le créateur qui soutient l'univers par sa parole (</w:t>
      </w:r>
      <w:hyperlink r:id="rId3493">
        <w:r>
          <w:rPr>
            <w:color w:val="0000EE"/>
            <w:u w:val="single"/>
          </w:rPr>
          <w:t>Jn 1.1–2</w:t>
        </w:r>
      </w:hyperlink>
      <w:r>
        <w:t xml:space="preserve"> ; </w:t>
      </w:r>
      <w:hyperlink r:id="rId3479">
        <w:r>
          <w:rPr>
            <w:color w:val="0000EE"/>
            <w:u w:val="single"/>
          </w:rPr>
          <w:t>Col 1.16–17</w:t>
        </w:r>
      </w:hyperlink>
      <w:r>
        <w:t xml:space="preserve"> ; </w:t>
      </w:r>
      <w:hyperlink r:id="rId1332">
        <w:r>
          <w:rPr>
            <w:color w:val="0000EE"/>
            <w:u w:val="single"/>
          </w:rPr>
          <w:t>Hé 1.3</w:t>
        </w:r>
      </w:hyperlink>
      <w:r>
        <w:t>). Le fait que le Christ est directement impliqué dans la création montre qu'il est bien plus qu'un Juif de Palestine du premier siècle.</w:t>
      </w:r>
    </w:p>
    <w:p>
      <w:pPr>
        <w:pStyle w:val="Heading3"/>
      </w:pPr>
      <w:r>
        <w:t>Création et science</w:t>
      </w:r>
    </w:p>
    <w:p>
      <w:r/>
      <w:r>
        <w:t>La science prouve-t-elle la création ? Certains scientifiques ont estimé que les innombrables conditions nécessaires à la vie, qui existent effectivement sur Terre, constituent une telle preuve. Cet argument est appelé la « théologie cosmique ».</w:t>
      </w:r>
    </w:p>
    <w:p>
      <w:r/>
      <w:r>
        <w:t xml:space="preserve">Une théorie que certains considèrent comme preuve concernant la création et qui est avancée par la science est la théorie du « big bang », qui est supposée expliquer origine de l'univers. Bien que cette théorie ait pris de l'avance sur ses concurrentes, il s'agit d'une théorie des « premiers états » et non de l'origine absolue de toutes choses. La doctrine chrétienne de la création à partir de rien (en latin, </w:t>
      </w:r>
      <w:r>
        <w:rPr>
          <w:i/>
        </w:rPr>
        <w:t>ex nihilo</w:t>
      </w:r>
      <w:r>
        <w:t>) signifie plus que cela : elle signifie que l'origine absolue, le maintien et le sens de toutes choses se trouvent dans le Seigneur vivant d'Israël et de l'Église.</w:t>
      </w:r>
    </w:p>
    <w:p>
      <w:r/>
      <w:r>
        <w:t>Un autre argument provient de la deuxième loi de la thermodynamique et du concept d'entropie. L'entropie décrit le fait que l'énergie ou la température se propagent pour s'égaliser, ce qui mène vers un état où il y a de moins en moins d'énergie, jusqu'à ce qu'il n'y en ait plus. Tout ensemble naturel qui contient de la chaleur se refroidit progressivement. L'univers n'est donc pas infiniment vieux, car sinon il serait maintenant froid. Puisqu'il y a encore des étoiles et des soleils, l'univers doit avoir été créé à un moment précis. Une autre proposition qui repose sur cette loi est qu'il était nécessaire de créer un univers qui se dégraderait. En effet, c'est en se dégradant ainsi, qu'il fournit de la chaleur à la Terre et permet que les plans de Dieu pour l'humanité aient pu et continuent à se produire.</w:t>
      </w:r>
    </w:p>
    <w:p>
      <w:pPr>
        <w:pStyle w:val="Heading3"/>
      </w:pPr>
      <w:r>
        <w:t>Questions qui concernent l'évolution</w:t>
      </w:r>
    </w:p>
    <w:p>
      <w:r/>
      <w:r>
        <w:t>Lorsque Charles Darwin a proposé l'évolution biologique au milieu du 19</w:t>
      </w:r>
      <w:r>
        <w:rPr>
          <w:vertAlign w:val="superscript"/>
        </w:rPr>
        <w:t>e</w:t>
      </w:r>
      <w:r>
        <w:t xml:space="preserve"> siècle, de nombreux chrétiens évangéliques s'y sont opposés. Ils ont protesté encore plus vigoureusement lorsque des livres ont été écrits sur l'évolution de l'être humain. Cette controverse a été l'objet de deux débats historiquement célèbres. En Angleterre, la question a été débattue en 1860 devant la </w:t>
      </w:r>
      <w:r>
        <w:rPr>
          <w:i/>
        </w:rPr>
        <w:t>British Association for the Advancement of Science</w:t>
      </w:r>
      <w:r>
        <w:t xml:space="preserve"> (Association britannique pour l'avancée de la science) à Oxford. Ce débat a opposé l'évêque Samuel Wilberforce (contre la théorie) à T. H. Huxley (en faveur la théorie). Même s'il n'y a pas eu de décision formelle à l'issue du débat, la majorité était en faveur du point de vue d'Huxley. Le deuxième débat est le célèbre procès Scopes à Dayton, au Tennessee, en 1925. William Jennings Bryan représentait l'accusation et la loi selon laquelle John T. Scopes devait être reconnu coupable d'avoir enseigné l'évolution en classe. Clarence Darrow a assuré la défense de Scopes. Là encore, la balance a penché en faveur du partisan de l'évolution, Darrow (bien que Bryan ait offert une défense plus solide de ses croyances qu'on ne le reconnaît généralement).</w:t>
      </w:r>
    </w:p>
    <w:p>
      <w:r/>
      <w:r>
        <w:t>Les catholiques, les orthodoxes et les protestants évangéliques ont adopté un certain nombre de positions différentes sur la question de l'évolution. Seules quelques-unes peuvent être mentionnées ici.</w:t>
      </w:r>
    </w:p>
    <w:p>
      <w:r/>
      <w:r>
        <w:t>1. Certains soutiennent que l'évolution est contraire aux enseignements des Écritures. Selon eux, cette théorie se sert de la science pour s'attaquer de front à l'autorité des Écritures. Il ne faut donc faire aucune concession à cette théorie mais s'y opposer.</w:t>
      </w:r>
    </w:p>
    <w:p>
      <w:r/>
      <w:r>
        <w:t>2. D'autres trouvent en « l'évolution théiste » un bon compromis. Selon ce point de vue, Dieu a créé le monde puis démarré le processus évolutif.</w:t>
      </w:r>
    </w:p>
    <w:p>
      <w:r/>
      <w:r>
        <w:t>3. Beaucoup voient des parallèles entre l'ordre des strates contenant des fossiles dans la colonne géologique et les six jours de la création. Ils les considèrent trop proches pour être accidentels. Ceux qui ont ce point de vue soutiennent qu'il y a harmonie entre le récit de la Genèse et la géologie sur l'essentiel.</w:t>
      </w:r>
    </w:p>
    <w:p>
      <w:r/>
      <w:r>
        <w:t>4. Beaucoup considèrent l'évolution comme une théorie parmi d'autres, qui sera confirmée ou réfutée en laboratoire ou sur le terrain. Pour eux, la doctrine de la création n'est ni pour ni contre l'évolution. Elle aborde la question différemment de la science : « La science dit comment ; l'Écriture dit pourquoi. »</w:t>
      </w:r>
    </w:p>
    <w:p>
      <w:r/>
      <w:r>
        <w:t>5. Le paléontologue jésuite Teilhard de Chardin a tenté de défendre le christianisme contre l'évolution en « christifiant » tout le processus évolutif.</w:t>
      </w:r>
    </w:p>
    <w:p>
      <w:r/>
      <w:r>
        <w:t>6. L'auteur britannique C. S. Lewis, parmi d'autres, a distingué l'évolution de ce qui pourrait être appelé « l'évolutionnisme ». Lewis a déclaré que la validité de l'évolution en tant que thèse scientifique étroitement définie doit être décidée par les scientifiques. Cependant, la notion d'un mythe évolutif total et universel, en tant que pseudo-doctrine humaine de la création, n'est clairement pas scientifique.</w:t>
      </w:r>
    </w:p>
    <w:p>
      <w:pPr>
        <w:pStyle w:val="Heading3"/>
      </w:pPr>
      <w:r>
        <w:t>Création, science et écologie</w:t>
      </w:r>
    </w:p>
    <w:p>
      <w:r/>
      <w:r>
        <w:t xml:space="preserve">La croissance de la population mondiale et le développement l'industrialisation ont fait de la pollution un problème tant local que mondial. La crise écologique a été attribuée par certains penseurs à la foi chrétienne, qui aurait inspiré l'homme, en tant que maîtres de la création, à l'exploiter. Mais ce n'est pas ce qu'enseigne </w:t>
      </w:r>
      <w:hyperlink r:id="rId3483">
        <w:r>
          <w:rPr>
            <w:color w:val="0000EE"/>
            <w:u w:val="single"/>
          </w:rPr>
          <w:t>Genèse 1.28</w:t>
        </w:r>
      </w:hyperlink>
      <w:r>
        <w:t>, car ce passage implique que l'homme doit s'acquitter de son mandat de façon responsable. Un certain nombre de passages de l'Ancien Testament montrent clairement qu'il est attendu de l'homme qu'il traite la création avec soin. Ainsi, l'Écriture soutient plutôt que ne contredit l'écologie.</w:t>
      </w:r>
    </w:p>
    <w:p>
      <w:r/>
      <w:r>
        <w:t>La science élargit la compréhension théologique en révisant continuellement notre connaissance de l'univers, mais la doctrine biblique de la création n'est pas réellement menacée par le progrès scientifique. Pour le chrétien, le monde que les scientifiques étudient et sur lequel les philosophes réfléchissent demeure le monde que Dieu a créé.</w:t>
      </w:r>
    </w:p>
    <w:p>
      <w:r/>
      <w:r>
        <w:rPr>
          <w:i/>
        </w:rPr>
        <w:t>Voir aussi</w:t>
      </w:r>
      <w:r>
        <w:t xml:space="preserve"> </w:t>
      </w:r>
      <w:r>
        <w:t>mythes de la création</w:t>
      </w:r>
      <w:r>
        <w:t xml:space="preserve"> ; </w:t>
      </w:r>
      <w:r>
        <w:t>Dieu (être et attributs)</w:t>
      </w:r>
      <w:r>
        <w:t>.</w:t>
      </w:r>
      <w:r/>
      <w:r/>
    </w:p>
    <w:p>
      <w:r/>
    </w:p>
    <w:p>
      <w:pPr>
        <w:pStyle w:val="Heading2"/>
      </w:pPr>
      <w:r>
        <w:t>Créneau</w:t>
      </w:r>
      <w:r/>
    </w:p>
    <w:p>
      <w:r/>
      <w:r>
        <w:t>Mur défensif avec des ouvertures pour tirer, généralement trouvé au sommet d'une forteresse. Peut également désigner un parapet ou une balustrade autour de tout toit plat.</w:t>
      </w:r>
    </w:p>
    <w:p>
      <w:r/>
      <w:r>
        <w:t>Au Proche-Orient, les maisons étaient souvent construites avec des toits plats, utilisés à diverses fins :</w:t>
      </w:r>
    </w:p>
    <w:p>
      <w:pPr>
        <w:pStyle w:val="ListBullet"/>
        <w:spacing w:line="240" w:lineRule="auto"/>
        <w:ind w:left="720"/>
      </w:pPr>
      <w:r/>
      <w:r>
        <w:t>Rahab a caché deux espions israélites sur son toit (</w:t>
      </w:r>
      <w:hyperlink r:id="rId482">
        <w:r>
          <w:rPr>
            <w:color w:val="0000EE"/>
            <w:u w:val="single"/>
          </w:rPr>
          <w:t>Jos 2.6</w:t>
        </w:r>
      </w:hyperlink>
      <w:r>
        <w:t>)</w:t>
      </w:r>
    </w:p>
    <w:p>
      <w:pPr>
        <w:pStyle w:val="ListBullet"/>
        <w:spacing w:line="240" w:lineRule="auto"/>
        <w:ind w:left="720"/>
      </w:pPr>
      <w:r/>
      <w:r>
        <w:t>Saül a dormi sur le toit de Samuel (</w:t>
      </w:r>
      <w:hyperlink r:id="rId3495">
        <w:r>
          <w:rPr>
            <w:color w:val="0000EE"/>
            <w:u w:val="single"/>
          </w:rPr>
          <w:t>1S 9.25</w:t>
        </w:r>
      </w:hyperlink>
      <w:r>
        <w:t>)</w:t>
      </w:r>
    </w:p>
    <w:p>
      <w:pPr>
        <w:pStyle w:val="ListBullet"/>
        <w:spacing w:line="240" w:lineRule="auto"/>
        <w:ind w:left="720"/>
      </w:pPr>
      <w:r/>
      <w:r>
        <w:t>Le roi David, depuis son toit, vit Bath-Schéba prendre un bain (</w:t>
      </w:r>
      <w:hyperlink r:id="rId3496">
        <w:r>
          <w:rPr>
            <w:color w:val="0000EE"/>
            <w:u w:val="single"/>
          </w:rPr>
          <w:t>2S 11.2</w:t>
        </w:r>
      </w:hyperlink>
      <w:r>
        <w:t>)</w:t>
      </w:r>
    </w:p>
    <w:p>
      <w:pPr>
        <w:pStyle w:val="ListBullet"/>
        <w:spacing w:line="240" w:lineRule="auto"/>
        <w:ind w:left="720"/>
      </w:pPr>
      <w:r/>
      <w:r>
        <w:t>Les gens ont célébré sur les toits (</w:t>
      </w:r>
      <w:hyperlink r:id="rId3497">
        <w:r>
          <w:rPr>
            <w:color w:val="0000EE"/>
            <w:u w:val="single"/>
          </w:rPr>
          <w:t>Es 22.1–2</w:t>
        </w:r>
      </w:hyperlink>
      <w:r>
        <w:t>)</w:t>
      </w:r>
    </w:p>
    <w:p>
      <w:pPr>
        <w:pStyle w:val="ListBullet"/>
        <w:spacing w:line="240" w:lineRule="auto"/>
        <w:ind w:left="720"/>
      </w:pPr>
      <w:r/>
      <w:r>
        <w:t>Pierre pria sur son toit (</w:t>
      </w:r>
      <w:hyperlink r:id="rId3498">
        <w:r>
          <w:rPr>
            <w:color w:val="0000EE"/>
            <w:u w:val="single"/>
          </w:rPr>
          <w:t>Ac 10.9</w:t>
        </w:r>
      </w:hyperlink>
      <w:r>
        <w:t>)</w:t>
      </w:r>
    </w:p>
    <w:p>
      <w:r/>
      <w:r>
        <w:t xml:space="preserve">Avec tant d'activités sur les toits, il est facile de comprendre la nécessité de la loi suivante : « </w:t>
      </w:r>
      <w:r>
        <w:t>Si tu bâtis une maison neuve, tu feras une balustrade autour de ton toit, afin de ne pas mettre du sang sur ta maison, dans le cas où il en tomberait quelqu’un</w:t>
      </w:r>
      <w:r>
        <w:t xml:space="preserve"> » (</w:t>
      </w:r>
      <w:hyperlink r:id="rId1258">
        <w:r>
          <w:rPr>
            <w:color w:val="0000EE"/>
            <w:u w:val="single"/>
          </w:rPr>
          <w:t>Dt 22.8</w:t>
        </w:r>
      </w:hyperlink>
      <w:r>
        <w:t>).</w:t>
      </w:r>
    </w:p>
    <w:p>
      <w:r/>
      <w:r>
        <w:t>Les murs de la ville comportaient souvent des créneaux aux portes et aux coins pour se défendre contre les attaques. Les mots hébreux pour ces fortifications sont souvent traduits par « tours » (</w:t>
      </w:r>
      <w:hyperlink r:id="rId3499">
        <w:r>
          <w:rPr>
            <w:color w:val="0000EE"/>
            <w:u w:val="single"/>
          </w:rPr>
          <w:t>2Ch 26.15</w:t>
        </w:r>
      </w:hyperlink>
      <w:r>
        <w:t xml:space="preserve"> ; </w:t>
      </w:r>
      <w:hyperlink r:id="rId3500">
        <w:r>
          <w:rPr>
            <w:color w:val="0000EE"/>
            <w:u w:val="single"/>
          </w:rPr>
          <w:t>So 1.16</w:t>
        </w:r>
      </w:hyperlink>
      <w:r>
        <w:t>).</w:t>
      </w:r>
      <w:r/>
      <w:r/>
    </w:p>
    <w:p>
      <w:r/>
    </w:p>
    <w:p>
      <w:pPr>
        <w:pStyle w:val="Heading2"/>
      </w:pPr>
      <w:r>
        <w:t>Crispus</w:t>
      </w:r>
      <w:r/>
    </w:p>
    <w:p>
      <w:r/>
      <w:r>
        <w:t>Chef de la synagogue juive à Corinthe. Lui, ainsi que tous les membres de sa maison, sont devenus disciples de Jésus lors de la visite missionnaire de dix-huit mois de l'apôtre Paul dans la ville (</w:t>
      </w:r>
      <w:hyperlink r:id="rId3501">
        <w:r>
          <w:rPr>
            <w:color w:val="0000EE"/>
            <w:u w:val="single"/>
          </w:rPr>
          <w:t>Ac 18.8, 11</w:t>
        </w:r>
      </w:hyperlink>
      <w:r>
        <w:t>). Paul mentionne Crispus comme l'une des rares personnes qu'il a personnellement baptisées à Corinthe (</w:t>
      </w:r>
      <w:hyperlink r:id="rId3502">
        <w:r>
          <w:rPr>
            <w:color w:val="0000EE"/>
            <w:u w:val="single"/>
          </w:rPr>
          <w:t>1Co 1.14</w:t>
        </w:r>
      </w:hyperlink>
      <w:r>
        <w:t>).</w:t>
      </w:r>
      <w:r/>
      <w:r/>
    </w:p>
    <w:p>
      <w:r/>
    </w:p>
    <w:p>
      <w:pPr>
        <w:pStyle w:val="Heading2"/>
      </w:pPr>
      <w:r>
        <w:t>Croyants</w:t>
      </w:r>
      <w:r/>
    </w:p>
    <w:p>
      <w:r/>
      <w:r>
        <w:t>Les personnes qui croient. Dans le Nouveau Testament, cela désigne spécifiquement les personnes qui croient en Jésus comme Seigneur et qui le suivent (</w:t>
      </w:r>
      <w:hyperlink r:id="rId3503">
        <w:r>
          <w:rPr>
            <w:color w:val="0000EE"/>
            <w:u w:val="single"/>
          </w:rPr>
          <w:t>Ac 5.14</w:t>
        </w:r>
      </w:hyperlink>
      <w:r>
        <w:t>).</w:t>
      </w:r>
    </w:p>
    <w:p>
      <w:r/>
      <w:r>
        <w:t>On pourrait penser que le mot « croyants » (parfois traduit par « fidèles ») est un titre pour les chrétiens, puisque le Nouveau Testament met l'accent sur la croyance en Jésus. Les auteurs du Nouveau Testament soulignent l'importance de croire, mais ils utilisent rarement le mot « croyant » comme nom pour désigner les chrétiens.</w:t>
      </w:r>
    </w:p>
    <w:p>
      <w:r/>
      <w:r>
        <w:t xml:space="preserve">Il existe quelques exemples clairs du mot « croyants » utilisé comme nom pour les chrétiens. Ces exemples sont dans </w:t>
      </w:r>
      <w:hyperlink r:id="rId684">
        <w:r>
          <w:rPr>
            <w:color w:val="0000EE"/>
            <w:u w:val="single"/>
          </w:rPr>
          <w:t>Actes 4.32</w:t>
        </w:r>
      </w:hyperlink>
      <w:r>
        <w:t xml:space="preserve">, </w:t>
      </w:r>
      <w:hyperlink r:id="rId3504">
        <w:r>
          <w:rPr>
            <w:color w:val="0000EE"/>
            <w:u w:val="single"/>
          </w:rPr>
          <w:t>10.45</w:t>
        </w:r>
      </w:hyperlink>
      <w:r>
        <w:t xml:space="preserve">, </w:t>
      </w:r>
      <w:hyperlink r:id="rId3505">
        <w:r>
          <w:rPr>
            <w:color w:val="0000EE"/>
            <w:u w:val="single"/>
          </w:rPr>
          <w:t>19.18</w:t>
        </w:r>
      </w:hyperlink>
      <w:r>
        <w:t xml:space="preserve"> et </w:t>
      </w:r>
      <w:hyperlink r:id="rId3506">
        <w:r>
          <w:rPr>
            <w:color w:val="0000EE"/>
            <w:u w:val="single"/>
          </w:rPr>
          <w:t>1 Timothée 4.12</w:t>
        </w:r>
      </w:hyperlink>
      <w:r>
        <w:t>. Cependant, ailleurs, le mot correspond à une description, pas à un nom (</w:t>
      </w:r>
      <w:hyperlink r:id="rId3507">
        <w:r>
          <w:rPr>
            <w:color w:val="0000EE"/>
            <w:u w:val="single"/>
          </w:rPr>
          <w:t>Ac 2.44</w:t>
        </w:r>
      </w:hyperlink>
      <w:r>
        <w:t xml:space="preserve"> ; </w:t>
      </w:r>
      <w:hyperlink r:id="rId3508">
        <w:r>
          <w:rPr>
            <w:color w:val="0000EE"/>
            <w:u w:val="single"/>
          </w:rPr>
          <w:t>15.5</w:t>
        </w:r>
      </w:hyperlink>
      <w:r>
        <w:t xml:space="preserve"> ; </w:t>
      </w:r>
      <w:hyperlink r:id="rId3509">
        <w:r>
          <w:rPr>
            <w:color w:val="0000EE"/>
            <w:u w:val="single"/>
          </w:rPr>
          <w:t>18.27</w:t>
        </w:r>
      </w:hyperlink>
      <w:r>
        <w:t xml:space="preserve"> ; </w:t>
      </w:r>
      <w:hyperlink r:id="rId3510">
        <w:r>
          <w:rPr>
            <w:color w:val="0000EE"/>
            <w:u w:val="single"/>
          </w:rPr>
          <w:t>1Tm 4.3</w:t>
        </w:r>
      </w:hyperlink>
      <w:r>
        <w:t>). En tant que nom, « croyant » souligne l'engagement personnel du chrétien envers Jésus. Un chrétien est appelé non seulement à croire, mais aussi à se donner à son Seigneur.</w:t>
      </w:r>
      <w:r/>
      <w:r/>
    </w:p>
    <w:p>
      <w:r/>
    </w:p>
    <w:p>
      <w:pPr>
        <w:pStyle w:val="Heading2"/>
      </w:pPr>
      <w:r>
        <w:t>Cruche</w:t>
      </w:r>
      <w:r/>
    </w:p>
    <w:p>
      <w:r/>
      <w:r>
        <w:t>Une cruche est un autre mot pour désigner un pot ou un pichet utilisé pour transporter et verser des liquides, comme de l'eau ou du vin. Les cruches étaient souvent en argile, mais pouvaient aussi être faites de métal. On les portaient sur les épaules ou la tête. À l'époque biblique, les femmes allaient souvent au puits avec des cruches pour recueillir de l'eau (</w:t>
      </w:r>
      <w:hyperlink r:id="rId3511">
        <w:r>
          <w:rPr>
            <w:color w:val="0000EE"/>
            <w:u w:val="single"/>
          </w:rPr>
          <w:t>Gn 24.14–20</w:t>
        </w:r>
      </w:hyperlink>
      <w:r>
        <w:t xml:space="preserve"> ; </w:t>
      </w:r>
      <w:hyperlink r:id="rId3512">
        <w:r>
          <w:rPr>
            <w:color w:val="0000EE"/>
            <w:u w:val="single"/>
          </w:rPr>
          <w:t>Mc 14.13</w:t>
        </w:r>
      </w:hyperlink>
      <w:r>
        <w:t>).</w:t>
      </w:r>
    </w:p>
    <w:p>
      <w:r/>
      <w:r>
        <w:rPr>
          <w:i/>
        </w:rPr>
        <w:t>Voir</w:t>
      </w:r>
      <w:r>
        <w:t xml:space="preserve"> </w:t>
      </w:r>
      <w:r>
        <w:t>Poterie</w:t>
      </w:r>
      <w:r>
        <w:t>.</w:t>
      </w:r>
      <w:r/>
      <w:r/>
    </w:p>
    <w:p>
      <w:r/>
    </w:p>
    <w:p>
      <w:pPr>
        <w:pStyle w:val="Heading2"/>
      </w:pPr>
      <w:r>
        <w:t>Cuir</w:t>
      </w:r>
      <w:r/>
    </w:p>
    <w:p>
      <w:r/>
      <w:r>
        <w:t>Le cuir est une peau d'animal qui a été séchée et traitée pour la rendre plus solide et souple. Le cuir était très utilisé à l'époque biblique. On en faisait des vêtements, des récipients, des articles ménagers et on s'en servait pour écrire dessus.</w:t>
      </w:r>
    </w:p>
    <w:p>
      <w:pPr>
        <w:pStyle w:val="Heading3"/>
      </w:pPr>
      <w:r>
        <w:t>Utilisation du cuir à l'époque biblique</w:t>
      </w:r>
    </w:p>
    <w:p>
      <w:r/>
      <w:r>
        <w:t>Des peaux d'animaux ont été utilisées pour servir de vêtement dès les temps anciens (</w:t>
      </w:r>
      <w:hyperlink r:id="rId3513">
        <w:r>
          <w:rPr>
            <w:color w:val="0000EE"/>
            <w:u w:val="single"/>
          </w:rPr>
          <w:t>Gn 3.21</w:t>
        </w:r>
      </w:hyperlink>
      <w:r>
        <w:t>). Des vêtements de prophètes étaient faits de peaux d'animaux et c'est devenu une façon de les identifier (</w:t>
      </w:r>
      <w:hyperlink r:id="rId3514">
        <w:r>
          <w:rPr>
            <w:color w:val="0000EE"/>
            <w:u w:val="single"/>
          </w:rPr>
          <w:t xml:space="preserve">2R 1.8 </w:t>
        </w:r>
      </w:hyperlink>
      <w:r>
        <w:t xml:space="preserve">; </w:t>
      </w:r>
      <w:hyperlink r:id="rId3515">
        <w:r>
          <w:rPr>
            <w:color w:val="0000EE"/>
            <w:u w:val="single"/>
          </w:rPr>
          <w:t>Za 13.4</w:t>
        </w:r>
      </w:hyperlink>
      <w:r>
        <w:t>). L'Ancien Testament grec décrit le manteau d'Élie comme étant fait de peau de mouton (</w:t>
      </w:r>
      <w:hyperlink r:id="rId3516">
        <w:r>
          <w:rPr>
            <w:color w:val="0000EE"/>
            <w:u w:val="single"/>
          </w:rPr>
          <w:t xml:space="preserve">1R 19.13, 19 </w:t>
        </w:r>
      </w:hyperlink>
      <w:r>
        <w:t xml:space="preserve">; </w:t>
      </w:r>
      <w:hyperlink r:id="rId3517">
        <w:r>
          <w:rPr>
            <w:color w:val="0000EE"/>
            <w:u w:val="single"/>
          </w:rPr>
          <w:t>2R 2.8, 13–14</w:t>
        </w:r>
      </w:hyperlink>
      <w:r>
        <w:t>). Les peaux d'animaux étaient également utilisées pour fabriquer des chaussures, des ceintures et d'autres sortes d'articles à porter (</w:t>
      </w:r>
      <w:hyperlink r:id="rId3518">
        <w:r>
          <w:rPr>
            <w:color w:val="0000EE"/>
            <w:u w:val="single"/>
          </w:rPr>
          <w:t xml:space="preserve">Lv 13.48 </w:t>
        </w:r>
      </w:hyperlink>
      <w:r>
        <w:t xml:space="preserve">; </w:t>
      </w:r>
      <w:hyperlink r:id="rId3519">
        <w:r>
          <w:rPr>
            <w:color w:val="0000EE"/>
            <w:u w:val="single"/>
          </w:rPr>
          <w:t xml:space="preserve">Ez 16.10 </w:t>
        </w:r>
      </w:hyperlink>
      <w:r>
        <w:t xml:space="preserve">; </w:t>
      </w:r>
      <w:hyperlink r:id="rId3520">
        <w:r>
          <w:rPr>
            <w:color w:val="0000EE"/>
            <w:u w:val="single"/>
          </w:rPr>
          <w:t>Mt 3.4</w:t>
        </w:r>
      </w:hyperlink>
      <w:r>
        <w:t>).</w:t>
      </w:r>
    </w:p>
    <w:p>
      <w:r/>
      <w:r>
        <w:t>Certains ustensiles ménagers étaient fabriqués en cuir. Le plus commun, appelée une outre, était un récipient qui servait à contenir des liquides, tels que du lait (</w:t>
      </w:r>
      <w:hyperlink r:id="rId3521">
        <w:r>
          <w:rPr>
            <w:color w:val="0000EE"/>
            <w:u w:val="single"/>
          </w:rPr>
          <w:t>Jg 4.19</w:t>
        </w:r>
      </w:hyperlink>
      <w:r>
        <w:t>), du vin (</w:t>
      </w:r>
      <w:hyperlink r:id="rId3522">
        <w:r>
          <w:rPr>
            <w:color w:val="0000EE"/>
            <w:u w:val="single"/>
          </w:rPr>
          <w:t>Mc 2.22</w:t>
        </w:r>
      </w:hyperlink>
      <w:r>
        <w:t>) ou de l'eau (</w:t>
      </w:r>
      <w:hyperlink r:id="rId3523">
        <w:r>
          <w:rPr>
            <w:color w:val="0000EE"/>
            <w:u w:val="single"/>
          </w:rPr>
          <w:t>Gn 21.14</w:t>
        </w:r>
      </w:hyperlink>
      <w:r>
        <w:t>). L'huile d'olive était également gardée dans de tels récipients. L'huile était un produit de base pour la cuisine, la toilette et les utilisations médicales. Elle était également utilisée comme combustible pour les lampes (c'est-à-dire pour brûler et produire une flamme).</w:t>
      </w:r>
    </w:p>
    <w:p>
      <w:r/>
      <w:r>
        <w:t>Le cuir était probablement aussi utilisé dans la fabrication de lits, de chaises et d'autres articles ménagers. Il n'y a aucune mention d'utilisation de cuir pour fabriquer des tentes, mais des peaux d'animaux avaient été utilisées pour couvrir le tabernacle (</w:t>
      </w:r>
      <w:hyperlink r:id="rId3524">
        <w:r>
          <w:rPr>
            <w:color w:val="0000EE"/>
            <w:u w:val="single"/>
          </w:rPr>
          <w:t xml:space="preserve">Ex 25.5 </w:t>
        </w:r>
      </w:hyperlink>
      <w:r>
        <w:t xml:space="preserve">; </w:t>
      </w:r>
      <w:hyperlink r:id="rId3426">
        <w:r>
          <w:rPr>
            <w:color w:val="0000EE"/>
            <w:u w:val="single"/>
          </w:rPr>
          <w:t>Nb 4.8</w:t>
        </w:r>
      </w:hyperlink>
      <w:r>
        <w:t>). Il s'agissait très probablement de peaux tannées. Les peaux ainsi traitées auraient donc servi de couvertures imperméables (c'est-à-dire pour protéger de l'eau).</w:t>
      </w:r>
    </w:p>
    <w:p>
      <w:r/>
      <w:r>
        <w:t xml:space="preserve">La Bible ne mentionne pas l'utilisation de cuir pour fabriquer des armures ou des armes. Cependant, cela aurait été un choix naturel pour fabriquer des armes de défense ou d'attaque : des casques, des boucliers, des frondes et des carquois pour contenir les flèches. </w:t>
      </w:r>
      <w:hyperlink r:id="rId3525">
        <w:r>
          <w:rPr>
            <w:color w:val="0000EE"/>
            <w:u w:val="single"/>
          </w:rPr>
          <w:t>2 Samuel 1.21</w:t>
        </w:r>
      </w:hyperlink>
      <w:r>
        <w:t xml:space="preserve"> et </w:t>
      </w:r>
      <w:hyperlink r:id="rId3526">
        <w:r>
          <w:rPr>
            <w:color w:val="0000EE"/>
            <w:u w:val="single"/>
          </w:rPr>
          <w:t>Ésaïe 21.5</w:t>
        </w:r>
      </w:hyperlink>
      <w:r>
        <w:t xml:space="preserve"> mentionnent que l'on frottait de l'huile sur des boucliers, peut-être pour éviter qu'ils ne s'abîment et ne deviennent inutilisables. Cela indiquerait qu'ils étaient probablement faits en cuir.</w:t>
      </w:r>
    </w:p>
    <w:p>
      <w:r/>
      <w:r>
        <w:t>Une peinture dans la tombe d'un noble égyptien datant d'environ 1900 av. J.-C. donne un exemple de comment le cuir était peut-être utilisé à l'époque de l'Ancien Testament. Dans la peinture, les hommes portent des sandales et les femmes des bottes. Un homme porte une gourde en cuir attachée à son dos. Un autre homme, un archer, porte un carquois sur son dos. Les ânes transportent deux paires de soufflets faits de peau de chèvres.</w:t>
      </w:r>
    </w:p>
    <w:p>
      <w:pPr>
        <w:pStyle w:val="Heading4"/>
      </w:pPr>
      <w:r>
        <w:t>Le cuir comme surface d'écriture</w:t>
      </w:r>
    </w:p>
    <w:p>
      <w:r/>
      <w:r>
        <w:t>Le cuir était très utilisé comme surface d'écriture. Au début, c'était principalement en Égypte que cela se faisait. Le parchemin, également fait à partir de peaux d'animaux, était utilisé depuis très longtemps en Égypte. Le cuir était tanné, mais pas les parchemins. Le parchemin était fabriqué en traitant les peaux avec des solutions de chaux, de sel ou de teintures. On enlevait ensuite les poils d'un côté et la chair de l'autre. Les peaux étaient tendues et séchées dans un cadre. Après cela, on les frottait avec une pierre ponce pour obtenir une surface lisse des deux côtés.</w:t>
      </w:r>
    </w:p>
    <w:p>
      <w:r/>
      <w:r>
        <w:t>L'utilisation de peaux préparées pour servir de surface d'écriture était connue avant 2000 av. J.-C. en Égypte. Selon Pline, le terme « parchemin » n'a été utilisé qu'à partir de 160 av. J.-C. dans d'autres régions.</w:t>
      </w:r>
    </w:p>
    <w:p>
      <w:r/>
      <w:r>
        <w:t>Aucun document écrit sur du cuir n'a été retrouvé en Assyrie ou en territoire babylonien. Le cuir était probablement beaucoup moins utilisé à ces endroits qu'ailleurs en Orient dans l'Antiquité. Les allusions littéraires du Moyen-Orient semblent indiquer que ce n'est que plus tard que le cuir y est utilisé ainsi. On ne trouve pas le terme « parchemin » avant la période perse. L'expression « écrit sur parchemin » apparaît seulement aux premières années des Séleucides (312–64 av. J.-C.). Même en ces temps-là, le papyrus était la surface sur laquelle on écrivait habituellement.</w:t>
      </w:r>
    </w:p>
    <w:p>
      <w:r/>
      <w:r>
        <w:t>Le vélin est un autre produit fait de cuir. Le vélin est un parchemin fin fabriqué à partir de peaux de veaux, de chevreaux, d'agneaux ou d'antilopes. Le vélin n'était pas très utilisé à Rome entre le premier siècle av. J.-C. et le 2</w:t>
      </w:r>
      <w:r>
        <w:rPr>
          <w:vertAlign w:val="superscript"/>
        </w:rPr>
        <w:t xml:space="preserve">e </w:t>
      </w:r>
      <w:r>
        <w:t>siècle apr. J.-C. Ce n'est qu'aux 3</w:t>
      </w:r>
      <w:r>
        <w:rPr>
          <w:vertAlign w:val="superscript"/>
        </w:rPr>
        <w:t>e</w:t>
      </w:r>
      <w:r>
        <w:t xml:space="preserve"> et au 4</w:t>
      </w:r>
      <w:r>
        <w:rPr>
          <w:vertAlign w:val="superscript"/>
        </w:rPr>
        <w:t>e</w:t>
      </w:r>
      <w:r>
        <w:t xml:space="preserve"> siècles que le vélin devient commun. Le célèbre Codex Vaticanus et le Codex Sinaiticus ont été produits à cette époque. La Bible entière pouvait désormais être rassemblée en un seul codex, qui avait la forme d'un livre moderne avec des feuilles pliées. Avant cela, il fallait entre 30 et 40 rouleaux de papyrus pour contenir toute la Bible. Le vélin pouvait aussi être utilisé comme palimpseste, c'est-à-dire un parchemin réutilisé après que son contenu avait été effacé. </w:t>
      </w:r>
    </w:p>
    <w:p>
      <w:r/>
      <w:r>
        <w:t xml:space="preserve">Dans l'Ancien Testament, rien n'est dit sur l'utilisation du cuir ou de peaux comme surfaces d'écriture. Le </w:t>
      </w:r>
      <w:hyperlink r:id="rId3527">
        <w:r>
          <w:rPr>
            <w:color w:val="0000EE"/>
            <w:u w:val="single"/>
          </w:rPr>
          <w:t>Psaume 40.7</w:t>
        </w:r>
      </w:hyperlink>
      <w:r>
        <w:t xml:space="preserve">, </w:t>
      </w:r>
      <w:hyperlink r:id="rId3528">
        <w:r>
          <w:rPr>
            <w:color w:val="0000EE"/>
            <w:u w:val="single"/>
          </w:rPr>
          <w:t>Jérémie 36</w:t>
        </w:r>
      </w:hyperlink>
      <w:r>
        <w:t xml:space="preserve"> et </w:t>
      </w:r>
      <w:hyperlink r:id="rId3529">
        <w:r>
          <w:rPr>
            <w:color w:val="0000EE"/>
            <w:u w:val="single"/>
          </w:rPr>
          <w:t>Ézéchiel 2.9–3.3</w:t>
        </w:r>
      </w:hyperlink>
      <w:r>
        <w:t xml:space="preserve"> mentionnent des livres sous forme de rouleaux, mais il s'agissait probablement de papyrus.</w:t>
      </w:r>
    </w:p>
    <w:p>
      <w:r/>
      <w:r>
        <w:t>Flavius Josèphe est le premier à mentionner l'utilisation de parchemin ou de cuir comme surface d'écriture par des Juifs à la fin du premier siècle apr. J.-C. Cependant, la découverte récente des manuscrits de la mer Morte a montré que les Juifs utilisaient déjà le parchemin dès 100 av. J.-C. Selon le Talmud, il ne faut écrire la loi de Moïse que sur des peaux d'animaux purs. Cette règle s'applique encore aux livres utilisés dans les synagogues. Il n'est pas certain que l'origine de cette tradition soit ancienne.</w:t>
      </w:r>
    </w:p>
    <w:p>
      <w:r/>
      <w:r>
        <w:t>Certains des manuscrits de la mer Morte ont été écrits sur du cuir. Le grand rouleau d'Ésaïe a été écrit vers 100 av. J.-C. Il est composé de 17 feuillets cousus ensemble. Le tout fait une longueur de presque 7 mètres. Les documents originaux du Nouveau Testament ont probablement été écrits sur du papyrus. Jean a écrit sa deuxième lettre sur du papyrus au cours du dernier quart du premier siècle (</w:t>
      </w:r>
      <w:hyperlink r:id="rId3530">
        <w:r>
          <w:rPr>
            <w:color w:val="0000EE"/>
            <w:u w:val="single"/>
          </w:rPr>
          <w:t>2Jn 1.12</w:t>
        </w:r>
      </w:hyperlink>
      <w:r>
        <w:t>).</w:t>
      </w:r>
    </w:p>
    <w:p>
      <w:pPr>
        <w:pStyle w:val="Heading3"/>
      </w:pPr>
      <w:r>
        <w:t xml:space="preserve">Fabrication du cuir et réputation du métier de tanneur </w:t>
      </w:r>
    </w:p>
    <w:p>
      <w:r/>
      <w:r>
        <w:t xml:space="preserve">Le tannage est un processus de traitement de peaux d'animaux avec diverses substances pour les transformer en cuir, rendant ainsi les peaux plus durables et résistantes à la décomposition. Le tannage n'est pas mentionné dans l'Ancien Testament, mais il est sous-entendu dans </w:t>
      </w:r>
      <w:hyperlink r:id="rId3524">
        <w:r>
          <w:rPr>
            <w:color w:val="0000EE"/>
            <w:u w:val="single"/>
          </w:rPr>
          <w:t>Exode 25.5</w:t>
        </w:r>
      </w:hyperlink>
      <w:r>
        <w:t xml:space="preserve"> et </w:t>
      </w:r>
      <w:hyperlink r:id="rId3518">
        <w:r>
          <w:rPr>
            <w:color w:val="0000EE"/>
            <w:u w:val="single"/>
          </w:rPr>
          <w:t>Lévitique 13.48</w:t>
        </w:r>
      </w:hyperlink>
      <w:r>
        <w:t>. Le tannage ouvrait la porte aux contacts avec des peaux d'animaux impurs et avec des cadavres d'animaux. Le métier de tanneur était donc considéré impur. Il était interdit de tanner à l'intérieur d'une ville. Cependant, la préparation de peaux pour la fabrication de parchemins était considérée comme une vocation honorable.</w:t>
      </w:r>
    </w:p>
    <w:p>
      <w:r/>
      <w:r>
        <w:rPr>
          <w:i/>
        </w:rPr>
        <w:t>Voir aussi</w:t>
      </w:r>
      <w:r>
        <w:t xml:space="preserve"> </w:t>
      </w:r>
      <w:r>
        <w:t xml:space="preserve">lettres (rédaction dans l'Antiquité), </w:t>
      </w:r>
      <w:r>
        <w:t>écriture</w:t>
      </w:r>
      <w:r>
        <w:t>.</w:t>
      </w:r>
      <w:r/>
      <w:r/>
    </w:p>
    <w:p>
      <w:r/>
    </w:p>
    <w:p>
      <w:pPr>
        <w:pStyle w:val="Heading2"/>
      </w:pPr>
      <w:r>
        <w:t>Cusch (Lieu)</w:t>
      </w:r>
      <w:r/>
    </w:p>
    <w:p>
      <w:r/>
      <w:r>
        <w:t>Cusch est un nom utilisé dans les écrits égyptiens, akkadiens et hébreux pour désigner les pays le long du Haut Nil, au sud de l'Égypte. Dans un sens plus restreint, Cusch désignait la région entre les deuxième et quatrième cataractes (grandes chutes d'eau) du Nil. Cela correspond approximativement à la partie nord du Soudan moderne. Cette région était également connue sous le nom de Nubie antique.</w:t>
      </w:r>
    </w:p>
    <w:p>
      <w:r/>
      <w:r>
        <w:t>L'Ancien Testament utilise généralement le terme dans un sens plus restreint. Les Grecs appelaient cette région Éthiopie, ce qui a ensuite donné son nom au pays moderne de l'Éthiopie (le pays moderne de l'Éthiopie est situé plus au sud et à l'est.)</w:t>
      </w:r>
    </w:p>
    <w:p>
      <w:pPr>
        <w:pStyle w:val="Heading3"/>
      </w:pPr>
      <w:r>
        <w:t>Cusch dans le livre de la Genèse</w:t>
      </w:r>
    </w:p>
    <w:p>
      <w:r/>
      <w:r>
        <w:t>Le sens de « Cusch » dans le livre de la Genèse n'est pas très clair. Dans l'histoire du jardin d'Éden, Cusch semble se trouver en Mésopotamie (</w:t>
      </w:r>
      <w:hyperlink r:id="rId3531">
        <w:r>
          <w:rPr>
            <w:color w:val="0000EE"/>
            <w:u w:val="single"/>
          </w:rPr>
          <w:t>Gn 2.13</w:t>
        </w:r>
      </w:hyperlink>
      <w:r>
        <w:t xml:space="preserve">). C'est la région des fleuves Hiddékel (Tigre) et Euphrate (v. </w:t>
      </w:r>
      <w:hyperlink r:id="rId1419">
        <w:r>
          <w:rPr>
            <w:color w:val="0000EE"/>
            <w:u w:val="single"/>
          </w:rPr>
          <w:t>14</w:t>
        </w:r>
      </w:hyperlink>
      <w:r>
        <w:t>). Ce « Cusch » pourrait être le même que Kassite (Cosséen), qui était le nom utilisé pour les dirigeants babyloniens ayant contrôlé la Mésopotamie pendant environ 500 ans jusqu'au 12e siècle av. J.‑C.</w:t>
      </w:r>
    </w:p>
    <w:p>
      <w:r/>
      <w:r>
        <w:t xml:space="preserve">Donc, le Cusch mentionné dans </w:t>
      </w:r>
      <w:hyperlink r:id="rId3532">
        <w:r>
          <w:rPr>
            <w:color w:val="0000EE"/>
            <w:u w:val="single"/>
          </w:rPr>
          <w:t>Genèse 10.6–8</w:t>
        </w:r>
      </w:hyperlink>
      <w:r>
        <w:t xml:space="preserve"> pourrait se référer à deux endroits différents : la Nubie (v. </w:t>
      </w:r>
      <w:hyperlink r:id="rId3533">
        <w:r>
          <w:rPr>
            <w:color w:val="0000EE"/>
            <w:u w:val="single"/>
          </w:rPr>
          <w:t>6–7</w:t>
        </w:r>
      </w:hyperlink>
      <w:r>
        <w:t xml:space="preserve">) et la Mésopotamie (v. </w:t>
      </w:r>
      <w:hyperlink r:id="rId3534">
        <w:r>
          <w:rPr>
            <w:color w:val="0000EE"/>
            <w:u w:val="single"/>
          </w:rPr>
          <w:t>9–12</w:t>
        </w:r>
      </w:hyperlink>
      <w:r>
        <w:t xml:space="preserve">). Une autre possibilité est que Cusch dans </w:t>
      </w:r>
      <w:hyperlink r:id="rId3531">
        <w:r>
          <w:rPr>
            <w:color w:val="0000EE"/>
            <w:u w:val="single"/>
          </w:rPr>
          <w:t>Genèse 2.13</w:t>
        </w:r>
      </w:hyperlink>
      <w:r>
        <w:t xml:space="preserve"> et </w:t>
      </w:r>
      <w:hyperlink r:id="rId3535">
        <w:r>
          <w:rPr>
            <w:color w:val="0000EE"/>
            <w:u w:val="single"/>
          </w:rPr>
          <w:t>10.8</w:t>
        </w:r>
      </w:hyperlink>
      <w:r>
        <w:t xml:space="preserve"> pourrait être Kis, une ville mésopotamienne traditionnellement considérée comme le siège de la première dynastie sumérienne après le grand déluge.</w:t>
      </w:r>
    </w:p>
    <w:p>
      <w:pPr>
        <w:pStyle w:val="Heading3"/>
      </w:pPr>
      <w:r>
        <w:t>Les Cuschites dans la Bible</w:t>
      </w:r>
    </w:p>
    <w:p>
      <w:r/>
      <w:r>
        <w:t xml:space="preserve">Il y a moins de confusion concernant le terme « Cuschite » (traduit Éthiopien dans la version Louis Segond). À une possible exception près dans </w:t>
      </w:r>
      <w:hyperlink r:id="rId3536">
        <w:r>
          <w:rPr>
            <w:color w:val="0000EE"/>
            <w:u w:val="single"/>
          </w:rPr>
          <w:t>Nombres 12.1</w:t>
        </w:r>
      </w:hyperlink>
      <w:r>
        <w:t>, Cuschite se réfère toujours aux personnes de Nubie, le Cusch africain.</w:t>
      </w:r>
    </w:p>
    <w:p>
      <w:r/>
      <w:r>
        <w:t>Le premier messager que Joab, le commandant militaire du roi David, a envoyé pour annoncer la défaite d'Absalom à David était un Cuschite (</w:t>
      </w:r>
      <w:hyperlink r:id="rId3537">
        <w:r>
          <w:rPr>
            <w:color w:val="0000EE"/>
            <w:u w:val="single"/>
          </w:rPr>
          <w:t>2S 18.21–32</w:t>
        </w:r>
      </w:hyperlink>
      <w:r>
        <w:t>). Nous pouvons dire que ce messager était un étranger parce qu'il ne connaissait pas de raccourci et parce qu'il n'était pas sensible aux sentiments de David en livrant le message. La Version Louis Segond traduit le mot hébreu par le nom « Cuschi », mais la plupart des experts estiment qu'il s'agit d'une traduction incorrecte. La plupart des versions françaises de la Bible traduisent les autres occurrences de Cusch et Cuschite par Éthiopie et Éthiopiens.</w:t>
      </w:r>
    </w:p>
    <w:p>
      <w:r/>
      <w:r>
        <w:t>Moïse avait une épouse connue comme étant une Cushite (</w:t>
      </w:r>
      <w:hyperlink r:id="rId3536">
        <w:r>
          <w:rPr>
            <w:color w:val="0000EE"/>
            <w:u w:val="single"/>
          </w:rPr>
          <w:t>Nb 12.1</w:t>
        </w:r>
      </w:hyperlink>
      <w:r>
        <w:t>). Cette description peut être comprise de plusieurs manières :</w:t>
      </w:r>
    </w:p>
    <w:p>
      <w:pPr>
        <w:pStyle w:val="ListNumber"/>
        <w:spacing w:line="240" w:lineRule="auto"/>
        <w:ind w:left="720"/>
      </w:pPr>
      <w:r/>
      <w:r>
        <w:t>Il se peut qu'elle ait été issue de la Nubie, ce qui ferait d'elle une seconde épouse, différente de Séphora.</w:t>
      </w:r>
    </w:p>
    <w:p>
      <w:pPr>
        <w:pStyle w:val="ListNumber"/>
        <w:spacing w:line="240" w:lineRule="auto"/>
        <w:ind w:left="720"/>
      </w:pPr>
      <w:r/>
      <w:r>
        <w:t>Il se peut qu'elle ait été issue d'Éthiopie, ce qui ferait d'elle peut-être une Madianite, et peut-être la même personne que Séphora.</w:t>
      </w:r>
    </w:p>
    <w:p>
      <w:pPr>
        <w:pStyle w:val="ListNumber"/>
        <w:spacing w:line="240" w:lineRule="auto"/>
        <w:ind w:left="720"/>
      </w:pPr>
      <w:r/>
      <w:r>
        <w:t>Le terme pourrait faire référence à sa peau plus foncée et à son origine étrangère, se rapportant possiblement, mais pas nécessairement, à Séphora.</w:t>
      </w:r>
    </w:p>
    <w:p>
      <w:r/>
      <w:r>
        <w:rPr>
          <w:i/>
        </w:rPr>
        <w:t>Voir aussi</w:t>
      </w:r>
      <w:r>
        <w:t xml:space="preserve"> </w:t>
      </w:r>
      <w:r>
        <w:t>Éthiopie</w:t>
      </w:r>
      <w:r>
        <w:t xml:space="preserve"> ; </w:t>
      </w:r>
      <w:r>
        <w:t>Cuschi n° 1</w:t>
      </w:r>
      <w:r>
        <w:t xml:space="preserve"> ; </w:t>
      </w:r>
      <w:r>
        <w:t>Éthiopie</w:t>
      </w:r>
      <w:r>
        <w:t>.</w:t>
      </w:r>
      <w:r/>
      <w:r/>
    </w:p>
    <w:p>
      <w:r/>
    </w:p>
    <w:p>
      <w:pPr>
        <w:pStyle w:val="Heading2"/>
      </w:pPr>
      <w:r>
        <w:t>Cusch (Personne)</w:t>
      </w:r>
      <w:r/>
    </w:p>
    <w:p>
      <w:r/>
      <w:r>
        <w:t>1. Aîné des quatre fils de Cham (</w:t>
      </w:r>
      <w:hyperlink r:id="rId2367">
        <w:r>
          <w:rPr>
            <w:color w:val="0000EE"/>
            <w:u w:val="single"/>
          </w:rPr>
          <w:t>Gn 10.6</w:t>
        </w:r>
      </w:hyperlink>
      <w:r>
        <w:t xml:space="preserve"> ; </w:t>
      </w:r>
      <w:hyperlink r:id="rId2368">
        <w:r>
          <w:rPr>
            <w:color w:val="0000EE"/>
            <w:u w:val="single"/>
          </w:rPr>
          <w:t>1Ch 1.8</w:t>
        </w:r>
      </w:hyperlink>
      <w:r>
        <w:t xml:space="preserve">). Comme les trois autres (Mitsraïm, Puth et Canaan) sont des noms de lieux, il est probable que Cusch soit également un lieu. Il est généralement identifié à l'Éthiopie. </w:t>
      </w:r>
      <w:r>
        <w:rPr>
          <w:i/>
        </w:rPr>
        <w:t>Voir</w:t>
      </w:r>
      <w:r>
        <w:t xml:space="preserve"> </w:t>
      </w:r>
      <w:r>
        <w:t>Cusch (Lieu)</w:t>
      </w:r>
      <w:r>
        <w:t xml:space="preserve"> ; </w:t>
      </w:r>
      <w:r>
        <w:t>Éthiopie</w:t>
      </w:r>
      <w:r>
        <w:t>.</w:t>
      </w:r>
    </w:p>
    <w:p>
      <w:r/>
      <w:r>
        <w:t xml:space="preserve">2. Benjaminite et ennemi présumé de David, mentionné dans le titre du </w:t>
      </w:r>
      <w:hyperlink r:id="rId1786">
        <w:r>
          <w:rPr>
            <w:color w:val="0000EE"/>
            <w:u w:val="single"/>
          </w:rPr>
          <w:t>Psaume 7</w:t>
        </w:r>
      </w:hyperlink>
      <w:r>
        <w:t>.</w:t>
      </w:r>
      <w:r/>
      <w:r/>
    </w:p>
    <w:p>
      <w:r/>
    </w:p>
    <w:p>
      <w:pPr>
        <w:pStyle w:val="Heading2"/>
      </w:pPr>
      <w:r>
        <w:t>Cyrène, Cyréniens</w:t>
      </w:r>
      <w:r/>
    </w:p>
    <w:p>
      <w:r/>
      <w:r>
        <w:t>Une ville sur la côte de l'Afrique du Nord, connue comme la capitale de la Cyrénaïque. Elle a été fondée au VIIe siècle av. J.‑C. par des Grecs qui étaient principalement des agriculteurs. Hérodote, un historien du Ve siècle av. J.‑C., a noté que Cyrène était unique car elle avait trois saisons de récolte, ce qui entraînait un long automne continu de huit mois : « La terre de Cyrène, la plus haute de cette partie de la Libye habitée par des nomades, a la particularité remarquable de trois saisons de récolte distinctes [...] offrant la fortune d'un automne continu de huit mois d'affilée aux Cyrénies » (4.199).</w:t>
      </w:r>
    </w:p>
    <w:p>
      <w:r/>
      <w:r>
        <w:t>Alexandre le Grand a conquis Cyrène en 331 av. J.‑C., et elle est ensuite devenue partie de l'Empire romain. Pendant la période du NT, la ville avait une grande population juive issue d'Alexandrie. L'un de ces Juifs, Simon de Cyrène, était à Jérusalem pendant la Pâque lorsqu'il fut contraint de porter la croix de Jésus (</w:t>
      </w:r>
      <w:hyperlink r:id="rId3538">
        <w:r>
          <w:rPr>
            <w:color w:val="0000EE"/>
            <w:u w:val="single"/>
          </w:rPr>
          <w:t>Mt 27.32</w:t>
        </w:r>
      </w:hyperlink>
      <w:r>
        <w:t>). À la Pentecôte, Pierre a prêché aux Juifs de Cyrène à Jérusalem (</w:t>
      </w:r>
      <w:hyperlink r:id="rId3539">
        <w:r>
          <w:rPr>
            <w:color w:val="0000EE"/>
            <w:u w:val="single"/>
          </w:rPr>
          <w:t>Ac 2.10</w:t>
        </w:r>
      </w:hyperlink>
      <w:r>
        <w:t>). Étienne a été attaqué par des Juifs d'une synagogue qui comprenait des personnes de Cyrène (</w:t>
      </w:r>
      <w:hyperlink r:id="rId383">
        <w:r>
          <w:rPr>
            <w:color w:val="0000EE"/>
            <w:u w:val="single"/>
          </w:rPr>
          <w:t>Ac 6.9</w:t>
        </w:r>
      </w:hyperlink>
      <w:r>
        <w:t>). Certains de ces Juifs de Cyrène ont ensuite été convertis au christianisme et sont devenus prédicateurs (</w:t>
      </w:r>
      <w:hyperlink r:id="rId3033">
        <w:r>
          <w:rPr>
            <w:color w:val="0000EE"/>
            <w:u w:val="single"/>
          </w:rPr>
          <w:t>Ac 11.20</w:t>
        </w:r>
      </w:hyperlink>
      <w:r>
        <w:t>), voyageant jusqu'à Antioche, où Lucius de Cyrène était un enseignant chrétien notable (</w:t>
      </w:r>
      <w:hyperlink r:id="rId3034">
        <w:r>
          <w:rPr>
            <w:color w:val="0000EE"/>
            <w:u w:val="single"/>
          </w:rPr>
          <w:t>Ac 13.1</w:t>
        </w:r>
      </w:hyperlink>
      <w:r>
        <w:t>).</w:t>
      </w:r>
      <w:r/>
      <w:r/>
    </w:p>
    <w:p>
      <w:r/>
    </w:p>
    <w:p>
      <w:pPr>
        <w:pStyle w:val="Heading2"/>
      </w:pPr>
      <w:r>
        <w:t>Czib</w:t>
      </w:r>
      <w:r/>
    </w:p>
    <w:p>
      <w:r/>
      <w:r>
        <w:t>Une autre orthographe d'Aczib, une ville dans le territoire de Juda (</w:t>
      </w:r>
      <w:hyperlink r:id="rId225">
        <w:r>
          <w:rPr>
            <w:color w:val="0000EE"/>
            <w:u w:val="single"/>
          </w:rPr>
          <w:t>Gn 38.5</w:t>
        </w:r>
      </w:hyperlink>
      <w:r>
        <w:t>).</w:t>
      </w:r>
    </w:p>
    <w:p>
      <w:r/>
      <w:r/>
      <w:r/>
    </w:p>
    <w:p>
      <w:r/>
    </w:p>
    <w:p>
      <w:pPr>
        <w:pStyle w:val="Heading2"/>
      </w:pPr>
      <w:r>
        <w:t>Dalmanutha</w:t>
      </w:r>
      <w:r/>
    </w:p>
    <w:p>
      <w:r/>
      <w:r>
        <w:t>Endroit situé à l'ouest de la mer de Galilée, près de l'extrémité sud de la région de Génésareth. Son emplacement exact n'a pas été déterminé avec certitude. Jésus et ses disciples y sont allés après le miracle de la multiplication des pains pour nourrir 4 000 hommes (</w:t>
      </w:r>
      <w:hyperlink r:id="rId3540">
        <w:r>
          <w:rPr>
            <w:color w:val="0000EE"/>
            <w:u w:val="single"/>
          </w:rPr>
          <w:t>Mc 8.10</w:t>
        </w:r>
      </w:hyperlink>
      <w:r>
        <w:t>). C'est là que des pharisiens sont venus pour tester Jésus en lui demandant de leur donner un signe du ciel. Jésus leur a répondu qu'aucun signe ne serait donné à cette génération (</w:t>
      </w:r>
      <w:hyperlink r:id="rId3541">
        <w:r>
          <w:rPr>
            <w:color w:val="0000EE"/>
            <w:u w:val="single"/>
          </w:rPr>
          <w:t>Mc 8.12</w:t>
        </w:r>
      </w:hyperlink>
      <w:r>
        <w:t>).</w:t>
      </w:r>
    </w:p>
    <w:p>
      <w:r/>
      <w:r>
        <w:t>Le nom « Dalmanutha » est utilisé dans les meilleurs manuscrits anciens de ce passage biblique. Cependant, d'autres manuscrits nomment cet endroit Magadan ou Magdala. Le récit de la multiplication des pains dans l'Évangile de Matthieu mentionne aussi Magadan (</w:t>
      </w:r>
      <w:hyperlink r:id="rId3542">
        <w:r>
          <w:rPr>
            <w:color w:val="0000EE"/>
            <w:u w:val="single"/>
          </w:rPr>
          <w:t>Mt 15.39</w:t>
        </w:r>
      </w:hyperlink>
      <w:r>
        <w:t>). Ceci explique pourquoi le nom exact et l'emplacement du lieu sont difficiles à identifier. Il est possible que ce soient des noms différents du même endroit ou des endroits proches l'un de l'autre.</w:t>
      </w:r>
    </w:p>
    <w:p>
      <w:r/>
      <w:r>
        <w:rPr>
          <w:i/>
        </w:rPr>
        <w:t>Voir aussi</w:t>
      </w:r>
      <w:r>
        <w:t xml:space="preserve"> </w:t>
      </w:r>
      <w:r>
        <w:t>Magadan</w:t>
      </w:r>
      <w:r>
        <w:t xml:space="preserve"> ; </w:t>
      </w:r>
      <w:r>
        <w:t>Magdala</w:t>
      </w:r>
      <w:r>
        <w:t>.</w:t>
      </w:r>
      <w:r/>
      <w:r/>
    </w:p>
    <w:p>
      <w:r/>
    </w:p>
    <w:p>
      <w:pPr>
        <w:pStyle w:val="Heading2"/>
      </w:pPr>
      <w:r>
        <w:t>Dalphon</w:t>
      </w:r>
      <w:r/>
    </w:p>
    <w:p>
      <w:r/>
      <w:r>
        <w:t>Fils d'Haman, tué par les Juifs après le complot contre Mardochée (</w:t>
      </w:r>
      <w:hyperlink r:id="rId1410">
        <w:r>
          <w:rPr>
            <w:color w:val="0000EE"/>
            <w:u w:val="single"/>
          </w:rPr>
          <w:t>Est 9.7</w:t>
        </w:r>
      </w:hyperlink>
      <w:r>
        <w:t>).</w:t>
      </w:r>
      <w:r/>
      <w:r/>
    </w:p>
    <w:p>
      <w:r/>
    </w:p>
    <w:p>
      <w:pPr>
        <w:pStyle w:val="Heading2"/>
      </w:pPr>
      <w:r>
        <w:t>Damaris</w:t>
      </w:r>
      <w:r/>
    </w:p>
    <w:p>
      <w:r/>
      <w:r>
        <w:t>Femme devenue disciple de Jésus dans la ville d'Athènes après avoir entendu Paul enseigner là-bas (</w:t>
      </w:r>
      <w:hyperlink r:id="rId125">
        <w:r>
          <w:rPr>
            <w:color w:val="0000EE"/>
            <w:u w:val="single"/>
          </w:rPr>
          <w:t>Ac 17.34</w:t>
        </w:r>
      </w:hyperlink>
      <w:r>
        <w:t xml:space="preserve">). Comme Luc la mentionne par son nom dans la Bible, il se peut qu'elle ait été une personne importante à Athènes (voir </w:t>
      </w:r>
      <w:hyperlink r:id="rId993">
        <w:r>
          <w:rPr>
            <w:color w:val="0000EE"/>
            <w:u w:val="single"/>
          </w:rPr>
          <w:t>Ac 13.50</w:t>
        </w:r>
      </w:hyperlink>
      <w:r>
        <w:t xml:space="preserve"> ; </w:t>
      </w:r>
      <w:hyperlink r:id="rId3543">
        <w:r>
          <w:rPr>
            <w:color w:val="0000EE"/>
            <w:u w:val="single"/>
          </w:rPr>
          <w:t>17.12</w:t>
        </w:r>
      </w:hyperlink>
      <w:r>
        <w:t>).</w:t>
      </w:r>
      <w:r/>
      <w:r/>
    </w:p>
    <w:p>
      <w:r/>
    </w:p>
    <w:p>
      <w:pPr>
        <w:pStyle w:val="Heading2"/>
      </w:pPr>
      <w:r>
        <w:t>Damas</w:t>
      </w:r>
      <w:r/>
    </w:p>
    <w:p>
      <w:r/>
      <w:r>
        <w:t>Ville oasis syrienne protégée sur trois côtés par des montagnes et située sur des routes commerciales à environ 250 km au nord-est de Jérusalem. Le nom Damas peut également se référer à la région environnante et à l'État sud-syrien. Bien que proche du désert, le district est riche en amandes, abricots, coton, lin, céréales, chanvre, olives, pistaches, grenades, tabac, vignobles et noix. La poussée de ces cultures est favorisée par la présence de deux rivières : le Nahr Barada, (« le Frais », Abana dans la Bible), qui coule des montagnes du nord-ouest à travers un profond ravin jusqu'à la ville ; et le Nahr el-A waj, (« le Tordu », Parpar dans la Bible), qui coule vers l'ouest jusqu'à l'orient. Ensemble, les deux rivières irriguent 650 km de terre. Leur beauté et importance à l'époque biblique sont transmises par les paroles hautaines de Naaman, un résident de la région, qui a presque refusé de laver sa lèpre dans le Jourdain, comme Élisée l'avait prescrit, car c'était une rivière si pauvre en comparaison avec l'Abana et le Parpar (</w:t>
      </w:r>
      <w:hyperlink r:id="rId3544">
        <w:r>
          <w:rPr>
            <w:color w:val="0000EE"/>
            <w:u w:val="single"/>
          </w:rPr>
          <w:t>2R 5</w:t>
        </w:r>
      </w:hyperlink>
      <w:r>
        <w:t>).</w:t>
      </w:r>
    </w:p>
    <w:p>
      <w:r/>
      <w:r>
        <w:t>Parmi les nombreuses routes commerciales qui convergeaient dans la région, l'une menait à Tyr et descendait le long de la côte méditerranéenne, une autre à Meguiddo, puis à Memphis et en Égypte, et une troisième au golfe d'Aqaba.</w:t>
      </w:r>
    </w:p>
    <w:p>
      <w:r/>
      <w:r>
        <w:t>La première mention biblique de Damas (</w:t>
      </w:r>
      <w:hyperlink r:id="rId2490">
        <w:r>
          <w:rPr>
            <w:color w:val="0000EE"/>
            <w:u w:val="single"/>
          </w:rPr>
          <w:t>Gn 14.15</w:t>
        </w:r>
      </w:hyperlink>
      <w:r>
        <w:t>) se réfère à la ville en lien avec l'attaque réussie d'Abraham contre la confédération de rois qui avaient enlevé Lot et sa famille. La Bible ne mentionne plus la ville jusqu'à l'époque de David (vers 1 000 av. J.‑C.).</w:t>
      </w:r>
    </w:p>
    <w:p>
      <w:r/>
      <w:r>
        <w:t>Israël occupait une position stratégique le long des routes commerciales entre la Mésopotamie et l'Égypte. Bien qu'à l'époque de Josué et des Juges, Israël fût en conflit avec ses voisins immédiats, les Amoréens, Moabites, Philistins, Ammonites et Madianites, il y avait relativement peu d'opposition de la part de la Syrie.</w:t>
      </w:r>
    </w:p>
    <w:p>
      <w:r/>
      <w:r>
        <w:t>À l'époque de Saül, Tsoba, un royaume araméen au nord de Damas, menaçait les Israélites. Damas était possiblement en alliance avec Tsoba à cette époque, et les Israélites menaient une action défensive (</w:t>
      </w:r>
      <w:hyperlink r:id="rId3545">
        <w:r>
          <w:rPr>
            <w:color w:val="0000EE"/>
            <w:u w:val="single"/>
          </w:rPr>
          <w:t>1S 14.47</w:t>
        </w:r>
      </w:hyperlink>
      <w:r>
        <w:t>). David a ensuite vaincu Hadadézer de Tsoba et a pris le contrôle du sud de la Syrie et de Damas, où il a stationné ses troupes. Les forces de David sous Joab ont connu un succès continu, et un tribut a été envoyé de Damas à Israël. Un des officiers d'Hadadézer, Rezon, a déserté et formé une guérilla dans la région de Damas. Par la suite, sous le règne de Salomon, il a même érodé le contrôle économique des Israélites sur la région et s'est établi comme roi à Damas vers 940 av. J.‑C. (</w:t>
      </w:r>
      <w:hyperlink r:id="rId3546">
        <w:r>
          <w:rPr>
            <w:color w:val="0000EE"/>
            <w:u w:val="single"/>
          </w:rPr>
          <w:t>1R 11.23–25</w:t>
        </w:r>
      </w:hyperlink>
      <w:r>
        <w:t>).</w:t>
      </w:r>
    </w:p>
    <w:p>
      <w:r/>
      <w:r>
        <w:t>Sous le règne de Ben-Hadad 1er, vers 883–843 av. J.‑C., des soldats de Damas assiègeront Samarie et enverront à Achab des conditions raisonnables, qui seront rapidement acceptées. Damas était à l'apogée de sa puissance lorsque Ben-Hadad menait campagne avec succès contre les Assyriens. À cette époque, lorsque Joram, le fils d'Achab, était roi d'Israël, Naaman le lépreux, un capitaine syrien, sera guéri par le prophète Élisée lorsqu'il accepte humblement le remède prescrit.</w:t>
      </w:r>
    </w:p>
    <w:p>
      <w:r/>
      <w:r>
        <w:t>La stratégie pour vaincre le royaume par le meurtre du roi avait été couronnée de succès pour Ben-Hadad dans son combat contre Achab, et il continuera de suivre la même politique. Peu de temps après, dans un nouvel effort pour soumettre Samarie, il enverra des assassins pour tuer soit Joram, soit le prophète Élisée. Le Seigneur préservera la vie des poursuivis, et le Syrien attaquera sans succès. Plusieurs années plus tard, Élisée, qui avait gagné le respect des Syriens, entrera dans Damas et annoncera que la maladie de Ben-Hadad n'était pas fatale mais que sa mort était imminente. Ben-Hadad sera ensuite assassiné par Hazaël, qui lui succédera. Bien que Damas ait été solidement vaincue par l'Assyrie vers 838 av. J.‑C., Hazaël se rétablira rapidement, et vers 830 av. J.‑C., d'autres prédictions d'Élisée seront accomplies. Les troupes damascènes contrôleront alors de vastes zones du territoire palestinien, et le trésor du temple sera utilisé pour soudoyer les Syriens et sauver Jérusalem (</w:t>
      </w:r>
      <w:hyperlink r:id="rId3547">
        <w:r>
          <w:rPr>
            <w:color w:val="0000EE"/>
            <w:u w:val="single"/>
          </w:rPr>
          <w:t>2R 12.17–18</w:t>
        </w:r>
      </w:hyperlink>
      <w:r>
        <w:t>).</w:t>
      </w:r>
    </w:p>
    <w:p>
      <w:r/>
      <w:r>
        <w:t>Cherchant à continuer la soumission d'Israël, Ben-Hadad II devra faire face à des attaques répétées de l'Assyrie. En 803 av. J.‑C., Damas deviendra tributaire de l'Assyrie, mais les forces du nord ne pourront maintenir la région. Après une nouvelle campagne où l'Assyrie prouvera à nouveau sa domination, un Damas affaibli ne pourra réprimer une rébellion israélite en 795 av. J.‑C. À l'époque de Jéroboam II, les Damascènes seront contraints de payer un tribut à Samarie (</w:t>
      </w:r>
      <w:hyperlink r:id="rId3548">
        <w:r>
          <w:rPr>
            <w:color w:val="0000EE"/>
            <w:u w:val="single"/>
          </w:rPr>
          <w:t>2R 14.28</w:t>
        </w:r>
      </w:hyperlink>
      <w:r>
        <w:t>).</w:t>
      </w:r>
    </w:p>
    <w:p>
      <w:r/>
      <w:r>
        <w:t>Vers 738 av. J.‑C., les Syriens, dirigés par leur nouveau chef Retsin, s'associeront avec Pékach, roi d'Israël, pour soumettre Juda. Beaucoup de terres seront capturées, bien que leur siège de Jérusalem ait échoué (</w:t>
      </w:r>
      <w:hyperlink r:id="rId3549">
        <w:r>
          <w:rPr>
            <w:color w:val="0000EE"/>
            <w:u w:val="single"/>
          </w:rPr>
          <w:t>2R 16.5–6</w:t>
        </w:r>
      </w:hyperlink>
      <w:r>
        <w:t xml:space="preserve"> ; </w:t>
      </w:r>
      <w:hyperlink r:id="rId3550">
        <w:r>
          <w:rPr>
            <w:color w:val="0000EE"/>
            <w:u w:val="single"/>
          </w:rPr>
          <w:t>2 Chroniques 28.5</w:t>
        </w:r>
      </w:hyperlink>
      <w:r>
        <w:t>). À cette époque de succès apparent pour Damas, la chute de la ville sera prédite par Ésaïe (</w:t>
      </w:r>
      <w:hyperlink r:id="rId3551">
        <w:r>
          <w:rPr>
            <w:color w:val="0000EE"/>
            <w:u w:val="single"/>
          </w:rPr>
          <w:t>Es 8.4</w:t>
        </w:r>
      </w:hyperlink>
      <w:r>
        <w:t xml:space="preserve"> ; </w:t>
      </w:r>
      <w:hyperlink r:id="rId3552">
        <w:r>
          <w:rPr>
            <w:color w:val="0000EE"/>
            <w:u w:val="single"/>
          </w:rPr>
          <w:t>17.1</w:t>
        </w:r>
      </w:hyperlink>
      <w:r>
        <w:t>), Amos (</w:t>
      </w:r>
      <w:hyperlink r:id="rId3553">
        <w:r>
          <w:rPr>
            <w:color w:val="0000EE"/>
            <w:u w:val="single"/>
          </w:rPr>
          <w:t>Am 1.3–5</w:t>
        </w:r>
      </w:hyperlink>
      <w:r>
        <w:t>) et Jérémie (</w:t>
      </w:r>
      <w:hyperlink r:id="rId3554">
        <w:r>
          <w:rPr>
            <w:color w:val="0000EE"/>
            <w:u w:val="single"/>
          </w:rPr>
          <w:t>Jr 49.23–27</w:t>
        </w:r>
      </w:hyperlink>
      <w:r>
        <w:t>). Rejetant Dieu, Achaz de Juda se tournera, pour se protéger, vers une alliance avec les Assyriens, qu'il soudoya avec le trésor du temple. Le roi assyrien Tiglath-Piléser III (« Pul ») acceptera et marchera contre la confédération syro-israélite. Après avoir vaincu Israël, il attaquera Damas, pillera la ville, déportera la population et la remplacera par des étrangers d'autres terres conquises. Damas ne sera dès lors plus une cité-État indépendante.</w:t>
      </w:r>
    </w:p>
    <w:p>
      <w:r/>
      <w:r>
        <w:t>En raison de son emplacement clé, Damas restera une ville importante, et les Assyriens utiliseront la ville comme capitale provinciale. Leurs archives la mentionnent en 727, 720 et 694 av. J.‑C., ainsi qu'à l'époque d'Osnappar (669–663 av. J.‑C.). La domination mondiale assyrienne succombera à celle de la Néo-Babylonie, qui sera ensuite remplacée par celle des Mèdes et des Perses. Pendant la période de contrôle perse, Damas sera un centre administratif réputé. Sous le régime d'Alexandre le Grand, l'importance de Damas sera diminuée par la montée en importance commerciale d'Antioche.</w:t>
      </w:r>
    </w:p>
    <w:p>
      <w:r/>
      <w:r>
        <w:t>Pendant la période intertestamentaire, Damas passe d'un dirigeant à un autre. Après la mort d'Alexandre, la ville sera contrôlée par les Ptolémées d'Égypte et les Séleucides de Babylone. Un peu avant 100 av. J.‑C., la Syrie sera divisée, Damas devenant la capitale de la Cœlé-Syrie. Ses rois non syriens étaient constamment en difficulté chez eux en termes économiques et à l'étranger en termes politique (les Parthes, Hasmonéens et Nabatéens contrôleront Damas sous Arétas, de 84 à 72 av. J.‑C.) Par la suite, l'autorité passera aux Hasmonéens, descendants des Maccabées, puis aux Iduméens (les Hérodes). La région sera soumise à la domination romaine après la défaite de la Syrie par les Romains en 65 av. J.‑C.</w:t>
      </w:r>
    </w:p>
    <w:p>
      <w:r/>
      <w:r>
        <w:t>Peu après la mort de Christ, les Nabatéens reprendront le contrôle de la région, gouvernant Damas depuis Pétra par l'intermédiaire d'un ethnarque. Elle sera sous le contrôle d'un Arabe nommé par les autorités (probablement Arétas IV), lorsque Saul de Tarse se verra chargé par les autorités juives pour purger Damas de ses chrétiens (</w:t>
      </w:r>
      <w:hyperlink r:id="rId3555">
        <w:r>
          <w:rPr>
            <w:color w:val="0000EE"/>
            <w:u w:val="single"/>
          </w:rPr>
          <w:t>2Co 11.32</w:t>
        </w:r>
      </w:hyperlink>
      <w:r>
        <w:t xml:space="preserve">). Le rapport de Luc dans </w:t>
      </w:r>
      <w:hyperlink r:id="rId148">
        <w:r>
          <w:rPr>
            <w:color w:val="0000EE"/>
            <w:u w:val="single"/>
          </w:rPr>
          <w:t>Actes 9</w:t>
        </w:r>
      </w:hyperlink>
      <w:r>
        <w:t>, corroboré par la confession de Paul (</w:t>
      </w:r>
      <w:hyperlink r:id="rId3556">
        <w:r>
          <w:rPr>
            <w:color w:val="0000EE"/>
            <w:u w:val="single"/>
          </w:rPr>
          <w:t>Ac 22.5–21</w:t>
        </w:r>
      </w:hyperlink>
      <w:r>
        <w:t xml:space="preserve"> ; </w:t>
      </w:r>
      <w:hyperlink r:id="rId3557">
        <w:r>
          <w:rPr>
            <w:color w:val="0000EE"/>
            <w:u w:val="single"/>
          </w:rPr>
          <w:t>26.11–23</w:t>
        </w:r>
      </w:hyperlink>
      <w:r>
        <w:t>), relate la vision de Saul, son aveuglement et sa conversion ultérieure sur la route de Damas. Cela pourrait avoir été proche de l'endroit où des soldats syriens ont été aveuglés lorsqu'ils planifiaient d'assassiner Élisée (</w:t>
      </w:r>
      <w:hyperlink r:id="rId3558">
        <w:r>
          <w:rPr>
            <w:color w:val="0000EE"/>
            <w:u w:val="single"/>
          </w:rPr>
          <w:t>2R 6.18–23</w:t>
        </w:r>
      </w:hyperlink>
      <w:r>
        <w:t xml:space="preserve">). Après que la vue de Saul a été restaurée dans une maison sur la rue appelée « la droite », il a préchera le christianisme. Il semblerait que le tumulte dans le quartier juif concernant sa prédication était si grand que l'ethnarque était prêt à tolérer le meurtre de Saul par des Juifs orthodoxes. </w:t>
      </w:r>
      <w:hyperlink r:id="rId3559">
        <w:r>
          <w:rPr>
            <w:color w:val="0000EE"/>
            <w:u w:val="single"/>
          </w:rPr>
          <w:t>Actes 9.23–25</w:t>
        </w:r>
      </w:hyperlink>
      <w:r>
        <w:t xml:space="preserve"> décrit sa fuite vers Jérusalem. Damas n'est plus mentionnée par la suite dans l'histoire biblique.</w:t>
      </w:r>
    </w:p>
    <w:p>
      <w:r/>
      <w:r>
        <w:rPr>
          <w:i/>
        </w:rPr>
        <w:t>Voir aussi</w:t>
      </w:r>
      <w:r>
        <w:t xml:space="preserve"> </w:t>
      </w:r>
      <w:r>
        <w:t>Syrie, Syriens</w:t>
      </w:r>
      <w:r>
        <w:t>.</w:t>
      </w:r>
      <w:r/>
      <w:r/>
    </w:p>
    <w:p>
      <w:r/>
    </w:p>
    <w:p>
      <w:pPr>
        <w:pStyle w:val="Heading2"/>
      </w:pPr>
      <w:r>
        <w:t>Dan (Personne)</w:t>
      </w:r>
      <w:r/>
    </w:p>
    <w:p>
      <w:r/>
      <w:r>
        <w:t>Cinquième fils du patriarche juif Jacob. La mère de Dan était Bilha, qui était la servante de Rachel, l'épouse de Jacob (</w:t>
      </w:r>
      <w:hyperlink r:id="rId391">
        <w:r>
          <w:rPr>
            <w:color w:val="0000EE"/>
            <w:u w:val="single"/>
          </w:rPr>
          <w:t>Gn 30.1–6</w:t>
        </w:r>
      </w:hyperlink>
      <w:r>
        <w:t>). Les descendants de Dan se sont installés en Israël, surplombant la plaine de la Houla. Ils s'établiront sur un territoire qui était d'abord attribué à Nephthali, le frère de Dan (</w:t>
      </w:r>
      <w:hyperlink r:id="rId3560">
        <w:r>
          <w:rPr>
            <w:color w:val="0000EE"/>
            <w:u w:val="single"/>
          </w:rPr>
          <w:t>Gn 30.7–8</w:t>
        </w:r>
      </w:hyperlink>
      <w:r>
        <w:t xml:space="preserve"> ; </w:t>
      </w:r>
      <w:hyperlink r:id="rId2007">
        <w:r>
          <w:rPr>
            <w:color w:val="0000EE"/>
            <w:u w:val="single"/>
          </w:rPr>
          <w:t>35.25</w:t>
        </w:r>
      </w:hyperlink>
      <w:r>
        <w:t xml:space="preserve"> ; </w:t>
      </w:r>
      <w:hyperlink r:id="rId3561">
        <w:r>
          <w:rPr>
            <w:color w:val="0000EE"/>
            <w:u w:val="single"/>
          </w:rPr>
          <w:t>Jos 19.32–48</w:t>
        </w:r>
      </w:hyperlink>
      <w:r>
        <w:t xml:space="preserve">). Les deux frères sont mentionnés ensemble dans de nombreuses références dans la Bible (voir par exemple </w:t>
      </w:r>
      <w:hyperlink r:id="rId3562">
        <w:r>
          <w:rPr>
            <w:color w:val="0000EE"/>
            <w:u w:val="single"/>
          </w:rPr>
          <w:t>Ex 1.4</w:t>
        </w:r>
      </w:hyperlink>
      <w:r>
        <w:t>).</w:t>
      </w:r>
    </w:p>
    <w:p>
      <w:r/>
      <w:r>
        <w:t>Le nom de Dan lui a été donné non pas par sa mère Bilha, mais par Rachel, qui considérait l'enfant comme le sien. Rachel n'avait pas été en mesure d'avoir des enfants pendant de longues années, ce qui était considéré comme honteux pour les femmes dans les cultures antiques. Elle était jalouse de l'autre épouse de Jacob, Léa, qui avait déjà donné naissance à quatre fils. Rachel voyait la naissance du fils de Bilha comme une façon d'enlever sa honte et comme l'approbation de Dieu de sa position en tant qu'épouse. Le prénom Dan, qui signifie « il a jugé », signifiait que Dieu avait jugé sa situation et l'avait soutenue à travers la naissance de l'enfant (</w:t>
      </w:r>
      <w:hyperlink r:id="rId3563">
        <w:r>
          <w:rPr>
            <w:color w:val="0000EE"/>
            <w:u w:val="single"/>
          </w:rPr>
          <w:t>Gn 30.6</w:t>
        </w:r>
      </w:hyperlink>
      <w:r>
        <w:t>).</w:t>
      </w:r>
    </w:p>
    <w:p>
      <w:r/>
      <w:r>
        <w:t>Dan n'avait qu'un seul fils pour continuer sa lignée, Huschim (</w:t>
      </w:r>
      <w:hyperlink r:id="rId3564">
        <w:r>
          <w:rPr>
            <w:color w:val="0000EE"/>
            <w:u w:val="single"/>
          </w:rPr>
          <w:t>Gn 46.23</w:t>
        </w:r>
      </w:hyperlink>
      <w:r>
        <w:t xml:space="preserve"> ; également appelé « </w:t>
      </w:r>
      <w:r>
        <w:t>Schucham</w:t>
      </w:r>
      <w:r>
        <w:t xml:space="preserve"> » dans </w:t>
      </w:r>
      <w:hyperlink r:id="rId3565">
        <w:r>
          <w:rPr>
            <w:color w:val="0000EE"/>
            <w:u w:val="single"/>
          </w:rPr>
          <w:t>Nb 26.42–43</w:t>
        </w:r>
      </w:hyperlink>
      <w:r>
        <w:t>). Dans la bénédiction de Jacob à ses fils, Dan se verra vu promettre le rôle de « juge » parmi son peuple, mais il sera également décrit comme quelqu'un de secret et de dangereux, tel un serpent (</w:t>
      </w:r>
      <w:hyperlink r:id="rId3566">
        <w:r>
          <w:rPr>
            <w:color w:val="0000EE"/>
            <w:u w:val="single"/>
          </w:rPr>
          <w:t>Gn 49.16–17</w:t>
        </w:r>
      </w:hyperlink>
      <w:r>
        <w:t>). La manière dont cette bénédiction s'est réalisée dans la vie de ses descendants demeure inconnu. Le peu d'informations données sur Dan lui-même correspond à l'importance mineure de sa tribu à des époques ultérieures.</w:t>
      </w:r>
    </w:p>
    <w:p>
      <w:r/>
      <w:r>
        <w:rPr>
          <w:i/>
        </w:rPr>
        <w:t>Voir aussi</w:t>
      </w:r>
      <w:r>
        <w:t xml:space="preserve"> </w:t>
      </w:r>
      <w:r>
        <w:t>Dan (Lieu)</w:t>
      </w:r>
      <w:r>
        <w:t xml:space="preserve"> ; </w:t>
      </w:r>
      <w:r>
        <w:t>Dan, Tribu de</w:t>
      </w:r>
      <w:r>
        <w:t>.</w:t>
      </w:r>
      <w:r/>
      <w:r/>
    </w:p>
    <w:p>
      <w:r/>
    </w:p>
    <w:p>
      <w:pPr>
        <w:pStyle w:val="Heading2"/>
      </w:pPr>
      <w:r>
        <w:t>David</w:t>
      </w:r>
      <w:r/>
    </w:p>
    <w:p>
      <w:r/>
      <w:r>
        <w:t>Hormis Jésus, David est le roi le plus important de l'histoire d'Israël. Dans l'AT, son règne représente l'apogée de la puissance et de l'influence d'Israël en tant que nation.</w:t>
      </w:r>
    </w:p>
    <w:p>
      <w:r/>
      <w:r>
        <w:t xml:space="preserve">Deux livres de l'AT sont consacrés au règne de David : 2 Samuel et 1 Chroniques. La première partie de son histoire est racontée dans 1 Samuel, à partir du chapitre </w:t>
      </w:r>
      <w:hyperlink r:id="rId3567">
        <w:r>
          <w:rPr>
            <w:color w:val="0000EE"/>
            <w:u w:val="single"/>
          </w:rPr>
          <w:t>16</w:t>
        </w:r>
      </w:hyperlink>
      <w:r>
        <w:t>. Près de la moitié des psaumes bibliques lui sont attribués. David est important même dans le NT, en tant qu'ancêtre de Jésus-Christ et précurseur du roi messianique.</w:t>
      </w:r>
    </w:p>
    <w:p>
      <w:r/>
      <w:r>
        <w:t>Sommaire</w:t>
      </w:r>
    </w:p>
    <w:p>
      <w:pPr>
        <w:pStyle w:val="ListBullet"/>
        <w:spacing w:line="240" w:lineRule="auto"/>
        <w:ind w:left="720"/>
      </w:pPr>
      <w:r/>
      <w:r>
        <w:t>Premières années de David</w:t>
      </w:r>
    </w:p>
    <w:p>
      <w:pPr>
        <w:pStyle w:val="ListBullet"/>
        <w:spacing w:line="240" w:lineRule="auto"/>
        <w:ind w:left="720"/>
      </w:pPr>
      <w:r/>
      <w:r>
        <w:t>Préparation à la royauté</w:t>
      </w:r>
    </w:p>
    <w:p>
      <w:pPr>
        <w:pStyle w:val="ListBullet"/>
        <w:spacing w:line="240" w:lineRule="auto"/>
        <w:ind w:left="720"/>
      </w:pPr>
      <w:r/>
      <w:r>
        <w:t>David, le roi</w:t>
      </w:r>
    </w:p>
    <w:p>
      <w:pPr>
        <w:pStyle w:val="ListBullet"/>
        <w:spacing w:line="240" w:lineRule="auto"/>
        <w:ind w:left="720"/>
      </w:pPr>
      <w:r/>
      <w:r>
        <w:t>Importance de David au-delà de son règne</w:t>
      </w:r>
    </w:p>
    <w:p>
      <w:pPr>
        <w:pStyle w:val="Heading3"/>
      </w:pPr>
      <w:r>
        <w:t>Premières années de David</w:t>
      </w:r>
    </w:p>
    <w:p>
      <w:pPr>
        <w:pStyle w:val="Heading4"/>
      </w:pPr>
      <w:r>
        <w:t>Famille</w:t>
      </w:r>
    </w:p>
    <w:p>
      <w:r/>
      <w:r>
        <w:t>David est le plus jeune fils de la famille d'Isaï, de la tribu de Juda. Cette famille est de Bethléhem, à environ 10 kilomètres au sud de Jérusalem. Son arrière-grand-mère est Ruth, originaire du pays de Moab (</w:t>
      </w:r>
      <w:hyperlink r:id="rId3568">
        <w:r>
          <w:rPr>
            <w:color w:val="0000EE"/>
            <w:u w:val="single"/>
          </w:rPr>
          <w:t>Ru 4.18–22</w:t>
        </w:r>
      </w:hyperlink>
      <w:r>
        <w:t>). Des généalogies dans l'AT et le NT retracent la lignée de David jusqu'à Juda, fils du patriarche Jacob (</w:t>
      </w:r>
      <w:hyperlink r:id="rId3569">
        <w:r>
          <w:rPr>
            <w:color w:val="0000EE"/>
            <w:u w:val="single"/>
          </w:rPr>
          <w:t xml:space="preserve">1Ch 2.3–15 </w:t>
        </w:r>
      </w:hyperlink>
      <w:r>
        <w:t xml:space="preserve">; </w:t>
      </w:r>
      <w:hyperlink r:id="rId3570">
        <w:r>
          <w:rPr>
            <w:color w:val="0000EE"/>
            <w:u w:val="single"/>
          </w:rPr>
          <w:t xml:space="preserve">Mt 1.3–6 </w:t>
        </w:r>
      </w:hyperlink>
      <w:r>
        <w:t xml:space="preserve">; </w:t>
      </w:r>
      <w:hyperlink r:id="rId3571">
        <w:r>
          <w:rPr>
            <w:color w:val="0000EE"/>
            <w:u w:val="single"/>
          </w:rPr>
          <w:t>Lc 3.31–33</w:t>
        </w:r>
      </w:hyperlink>
      <w:r>
        <w:t>).</w:t>
      </w:r>
    </w:p>
    <w:p>
      <w:pPr>
        <w:pStyle w:val="Heading4"/>
      </w:pPr>
      <w:r>
        <w:t>Formation et aptitudes</w:t>
      </w:r>
    </w:p>
    <w:p>
      <w:r/>
      <w:r>
        <w:t>Peu de choses sont connues concernant la jeunesse de David. Jeune, il s'occupe des moutons de son père, risquant sa vie pour tuer ours et lions qui attaquent le troupeau. Plus tard, il reconnaît publiquement l'aide de Dieu, qui lui a donné la force de protéger les troupeaux sous sa garde (</w:t>
      </w:r>
      <w:hyperlink r:id="rId2422">
        <w:r>
          <w:rPr>
            <w:color w:val="0000EE"/>
            <w:u w:val="single"/>
          </w:rPr>
          <w:t>1S 17.34–37</w:t>
        </w:r>
      </w:hyperlink>
      <w:r>
        <w:t>).</w:t>
      </w:r>
    </w:p>
    <w:p>
      <w:r/>
      <w:r>
        <w:t>David est très bon musicien. Il est suffisamment doué en tant que joueur de harpe que, lorsque le roi Saül a besoin d'un musicien à la cour, David est recommandé pour le poste.</w:t>
      </w:r>
    </w:p>
    <w:p>
      <w:r/>
      <w:r>
        <w:t>Dans la famille d'Isaï, David n'est pas considéré important. Lorsque le prophète Samuel, qui est alors connu de toute la nation, leur rend visite, tous les fils d'Isaï plus âgés que David lui sont présentés, pendant que ce dernier garde le troupeau. Dieu avait dit à Samuel d'oindre le prochain roi de parmi les fils d'Isaï, mais ne lui avait pas dit lequel à l'avance. Alors que les frères de David passent devant lui, Samuel réalise qu'aucun n'est celui que Dieu a choisi. Après s'être renseigné, il apprend qu'Isaï a un autre fils, et David est immédiatement appelé. Il est oint par Samuel et reçoit l'Esprit du Seigneur (</w:t>
      </w:r>
      <w:hyperlink r:id="rId3572">
        <w:r>
          <w:rPr>
            <w:color w:val="0000EE"/>
            <w:u w:val="single"/>
          </w:rPr>
          <w:t>1S 16.1–13</w:t>
        </w:r>
      </w:hyperlink>
      <w:r>
        <w:t>). Si et comment le reste de la famille de David a compris tout cela n'est pas clair. Toutefois, cela ne semble pas apporter de changement immédiat à son quotidien. Il continue à garder les moutons.</w:t>
      </w:r>
    </w:p>
    <w:p>
      <w:pPr>
        <w:pStyle w:val="Heading3"/>
      </w:pPr>
      <w:r>
        <w:t>Préparation à la royauté</w:t>
      </w:r>
    </w:p>
    <w:p>
      <w:r/>
      <w:r>
        <w:t>Durant sa jeunesse, David est encore au service des autres, même après son onction en tant que roi. Alors qu'il est envoyé par son père afin d'emporter des provisions à trois de ses frères aînés qui sont dans l'armée, il se produit un événement qui le fera connaître à l'échelle nationale.</w:t>
      </w:r>
    </w:p>
    <w:p>
      <w:r/>
      <w:r>
        <w:t>En tant que jeune homme, David aime clairement Dieu. Lorsqu'il va saluer ses frères qui sont en ligne de front, il entend Goliath, un redoutable Philistin géant, lancer un défi à l'armée d'Israël et manquer de respect à Dieu. Les frères de David essaient de le dissuader de s'en mêler et le réprimandent, mais il accepte de relever le défi de Goliath et de l'affronter en duel. Même si Goliath terrorise tous les autres, David a foi que le Dieu qui l'a aidé à vaincre le lion et l'ours l'aidera à vaincre Goliath pour l'honneur de son nom. Armé seulement de sa foi et d'une fronde, David remporte le duel et tue le géant (</w:t>
      </w:r>
      <w:hyperlink r:id="rId3573">
        <w:r>
          <w:rPr>
            <w:color w:val="0000EE"/>
            <w:u w:val="single"/>
          </w:rPr>
          <w:t>1S 17.12–58</w:t>
        </w:r>
      </w:hyperlink>
      <w:r>
        <w:t>).</w:t>
      </w:r>
    </w:p>
    <w:p>
      <w:pPr>
        <w:pStyle w:val="Heading4"/>
      </w:pPr>
      <w:r>
        <w:t>Renommée nationale</w:t>
      </w:r>
    </w:p>
    <w:p>
      <w:r/>
      <w:r>
        <w:t>L'exploit de David contre Goliath en fait un héros pour la nation d'Israël. Cela le rapproche également de la famille royale de Saül. Cependant, son succès et sa popularité provoquent la jalousie du roi. Les femmes israélites chantent les louanges de ses exploits, mettant sa vie en danger en intensifiant la jalousie de Saül à son égard (</w:t>
      </w:r>
      <w:hyperlink r:id="rId3574">
        <w:r>
          <w:rPr>
            <w:color w:val="0000EE"/>
            <w:u w:val="single"/>
          </w:rPr>
          <w:t>1S 18.6–30</w:t>
        </w:r>
      </w:hyperlink>
      <w:r>
        <w:t>, voir v. 6–8 en particulier).</w:t>
      </w:r>
    </w:p>
    <w:p>
      <w:pPr>
        <w:pStyle w:val="Heading4"/>
      </w:pPr>
      <w:r>
        <w:t>À la cour royale</w:t>
      </w:r>
    </w:p>
    <w:p>
      <w:r/>
      <w:r>
        <w:t>Saül promet de donner à David sa fille aînée, Mérab, comme épouse. Cependant, il revient sur sa promesse et finalement lui donne son autre fille, Mical. David doit également mériter de la marier en apportant la preuve qu'il a tué cent Philistins. Saül espère ainsi que David sera tué en essayant d'accomplir cette prouesse. Mais une fois de plus, il est victorieux (</w:t>
      </w:r>
      <w:hyperlink r:id="rId3574">
        <w:r>
          <w:rPr>
            <w:color w:val="0000EE"/>
            <w:u w:val="single"/>
          </w:rPr>
          <w:t>1S 18.6–30</w:t>
        </w:r>
      </w:hyperlink>
      <w:r>
        <w:t xml:space="preserve">, voir à partir du v. 17 en particulier). </w:t>
      </w:r>
    </w:p>
    <w:p>
      <w:r/>
      <w:r>
        <w:t>Entre-temps, David et Jonathan, le fils de Saül, deviennent des amis très proches. Lorsqu'ils concluent une alliance, Jonathan donne à David son meilleur équipement militaire (son épée, son arc et sa ceinture). Saül essaie de monter Jonathan contre David, mais ne réussit pas. Quand Saül essaie de faire tuer David, celui-ci doit s'enfuir et commence à vivre en fugitif.</w:t>
      </w:r>
    </w:p>
    <w:p>
      <w:r/>
      <w:r>
        <w:t>Jonathan avertit David que son père Saül cherche toujours à le tuer. David se rend alors à Rama pour voir le prophète Samuel. Ensemble, ils partent pour Najoth, près de Rama. Saül envoie plusieurs troupes poursuivre David sans succès et finit par y aller lui-même. Toutes ses tentatives de capturer David sont contrecarrées par l'Esprit de Dieu. Saül et ses hommes sont saisis par l'Esprit, qui les fait prophétiser toute la nuit (</w:t>
      </w:r>
      <w:hyperlink r:id="rId3575">
        <w:r>
          <w:rPr>
            <w:color w:val="0000EE"/>
            <w:u w:val="single"/>
          </w:rPr>
          <w:t>1S 19</w:t>
        </w:r>
      </w:hyperlink>
      <w:r>
        <w:t>).</w:t>
      </w:r>
    </w:p>
    <w:p>
      <w:r/>
      <w:r>
        <w:t>Après en avoir discuté à nouveau avec Jonathan, David réalise que la jalousie de Saül s'est transformée en haine. Jonathan, conscient que David deviendra roi d'Israël, lui demande de promettre de protéger ses descendants quand il régnera (</w:t>
      </w:r>
      <w:hyperlink r:id="rId3576">
        <w:r>
          <w:rPr>
            <w:color w:val="0000EE"/>
            <w:u w:val="single"/>
          </w:rPr>
          <w:t>1S 20</w:t>
        </w:r>
      </w:hyperlink>
      <w:r>
        <w:t>).</w:t>
      </w:r>
    </w:p>
    <w:p>
      <w:pPr>
        <w:pStyle w:val="Heading4"/>
      </w:pPr>
      <w:r>
        <w:t>David, le fugitif</w:t>
      </w:r>
    </w:p>
    <w:p>
      <w:r/>
      <w:r>
        <w:t>Quand David s'enfuit, il s'arrête à la ville de Nob. Il cache au sacrificateur Achimélec qu'il est en fuite et prétend être en mission pour le roi. Achimélec le croit et lui donne de la nourriture et l'épée de Goliath, qui avait été conservée comme trophée. Doëg, Édomite et chef des bergers de Saül, se trouve à Nob lors de cet événement. David part et se réfugie temporairement à Gath auprès du roi Akisch (</w:t>
      </w:r>
      <w:hyperlink r:id="rId3577">
        <w:r>
          <w:rPr>
            <w:color w:val="0000EE"/>
            <w:u w:val="single"/>
          </w:rPr>
          <w:t>1S 21</w:t>
        </w:r>
      </w:hyperlink>
      <w:r>
        <w:t>), puis s'abrite dans la grotte d'Adullam, située à environ 16 kilomètres au sud-ouest de Bethléhem. Là, ses proches et environ 400 hommes de combat le rejoignent. Il se rend à Mitspé en Moab, où il obtient asile pour ses parents, puis se réfugie dans une forteresse. Le prophète Gad l'avertit de ne pas y rester et David retourne en Juda dans les bois de Héreth (</w:t>
      </w:r>
      <w:hyperlink r:id="rId3578">
        <w:r>
          <w:rPr>
            <w:color w:val="0000EE"/>
            <w:u w:val="single"/>
          </w:rPr>
          <w:t>1S 22.1–5</w:t>
        </w:r>
      </w:hyperlink>
      <w:r>
        <w:t>).</w:t>
      </w:r>
    </w:p>
    <w:p>
      <w:r/>
      <w:r>
        <w:t>Saül est frustré par le fait que David lui échappe constamment et accuse son propre entourage de conspirer contre lui. Alors Doëg lui rapporte ce qu'il a vu à Nob. Saül fait exécuter Achimélec et 84 autres sacrificateurs, et fait massacrer tous les habitants de Nob. Abiathar, l'un des sacrificateurs, s'échappe et rapporte tout cela à David, qui le prend sous sa protection (</w:t>
      </w:r>
      <w:hyperlink r:id="rId3579">
        <w:r>
          <w:rPr>
            <w:color w:val="0000EE"/>
            <w:u w:val="single"/>
          </w:rPr>
          <w:t>1S 22.6–23</w:t>
        </w:r>
      </w:hyperlink>
      <w:r>
        <w:t>).</w:t>
      </w:r>
    </w:p>
    <w:p>
      <w:r/>
      <w:r>
        <w:t>Les Philistins attaquent la ville de Keïla, qui se trouve à environ 19 kilomètres au sud-ouest de Bethléem. Quand David secourt la ville, Saül l'apprend et le poursuit. David s'échappe au désert de Ziph, une région désertique près d'Hébron. David et Jonathan s'y rencontrent pour la dernière fois. Poursuivi par les troupes de Saül, David s'enfuit encore plus au sud. Il est presque encerclé dans une région inhabitée près de Maon, mais Saül est obligé de se retirer quand il apprend que les Philistins ont commencé à envahir le pays (</w:t>
      </w:r>
      <w:hyperlink r:id="rId3580">
        <w:r>
          <w:rPr>
            <w:color w:val="0000EE"/>
            <w:u w:val="single"/>
          </w:rPr>
          <w:t>1S 23</w:t>
        </w:r>
      </w:hyperlink>
      <w:r>
        <w:t>).</w:t>
      </w:r>
    </w:p>
    <w:p>
      <w:r/>
      <w:r>
        <w:t>Alors qu'il est à En-Guédi, sur la rive occidentale de la mer Morte, David est encore poursuivi par Saül avec 3 000 soldats. Une occasion se présente à David de le tuer à un moment où il n'est pas protégé par ses troupes. Toutefois, David n'écoute pas ceux qui l'incitent à le faire, car il ne veut pas porter la main sur le roi d'Israël, « l'oint de l'Éternel ». Quand Saül apprend que David l'a épargné, il confesse qu'il a péché en cherchant à le tuer et abandonne la poursuite (</w:t>
      </w:r>
      <w:hyperlink r:id="rId3581">
        <w:r>
          <w:rPr>
            <w:color w:val="0000EE"/>
            <w:u w:val="single"/>
          </w:rPr>
          <w:t>1S 24</w:t>
        </w:r>
      </w:hyperlink>
      <w:r>
        <w:t>).</w:t>
      </w:r>
    </w:p>
    <w:p>
      <w:r/>
      <w:r>
        <w:t>Pendant tout le temps où ils étaient restés dans le désert de la région de Maon/Ziph/En-Guédi, les hommes de David avaient offert une protection aux troupeaux d'un homme de Maon nommé Nabal. C'était un homme riche avec de grands troupeaux de moutons à Carmel. Alors qu'il tient une fête, David envoie des hommes pour lui demander s'il veut bien donner de la nourriture à sa troupe. Nabal répond avec mépris, ce qui rend David furieux. Cependant, Abigaïl, femme de Nabal, vient au-devant de David et arrive à le dissuader de se venger comme il en avait l'intention. Lorsqu'elle raconte à Nabal ce qui s'est passé, il est frappé par ce qui est peut-être une crise cardiaque. Il meurt dix jours plus tard. Abigaïl devient ensuite l'épouse de David (</w:t>
      </w:r>
      <w:hyperlink r:id="rId3582">
        <w:r>
          <w:rPr>
            <w:color w:val="0000EE"/>
            <w:u w:val="single"/>
          </w:rPr>
          <w:t>1S 25</w:t>
        </w:r>
      </w:hyperlink>
      <w:r>
        <w:t>).</w:t>
      </w:r>
    </w:p>
    <w:p>
      <w:r/>
      <w:r>
        <w:t>Une fois de plus, Saül revient avec 3 000 hommes pour pourchasser David dans le désert de Ziph. Cette fois-ci encore, David choisit de ne pas tuer le roi alors qu'il en a l'occasion. Saül se retire alors (</w:t>
      </w:r>
      <w:hyperlink r:id="rId3583">
        <w:r>
          <w:rPr>
            <w:color w:val="0000EE"/>
            <w:u w:val="single"/>
          </w:rPr>
          <w:t>1S 26</w:t>
        </w:r>
      </w:hyperlink>
      <w:r>
        <w:t>).</w:t>
      </w:r>
    </w:p>
    <w:p>
      <w:pPr>
        <w:pStyle w:val="Heading4"/>
      </w:pPr>
      <w:r>
        <w:t>Exil chez les Philistins</w:t>
      </w:r>
    </w:p>
    <w:p>
      <w:r/>
      <w:r>
        <w:t>David sait qu'il est en danger tant qu'il habite dans le territoire de Saül. Il retourne à Gath, en pays philistin, où il est accueilli par le roi Akisch. Il reçoit la ville de Tsiklag en cadeau, où il séjourne avec sa troupe et leurs familles environ 16 mois. Pendant qu'il y vit, de nouvelles recrues de Juda et du reste d'Israël se joignent à lui (</w:t>
      </w:r>
      <w:hyperlink r:id="rId3584">
        <w:r>
          <w:rPr>
            <w:color w:val="0000EE"/>
            <w:u w:val="single"/>
          </w:rPr>
          <w:t>1S 27</w:t>
        </w:r>
      </w:hyperlink>
      <w:r>
        <w:t xml:space="preserve"> ; </w:t>
      </w:r>
      <w:hyperlink r:id="rId3585">
        <w:r>
          <w:rPr>
            <w:color w:val="0000EE"/>
            <w:u w:val="single"/>
          </w:rPr>
          <w:t>1Ch 12.19–22</w:t>
        </w:r>
      </w:hyperlink>
      <w:r>
        <w:t>).</w:t>
      </w:r>
    </w:p>
    <w:p>
      <w:r/>
      <w:r>
        <w:t>L'armée philistine se met en marche pour aller combattre l'armée de Saül. Même si David est en bons termes avec le roi philistin Akisch, les autres chefs ne lui font pas confiance. David et ses hommes sont donc renvoyés de l'armée. De retour à Tsiklag, ils trouvent la ville pillée par les Amalécites. Les femmes et les enfants des hommes de la troupe de David ont été emmenés prisonniers. David poursuit l'ennemi, secourt les siens, récupère ses biens et partage le butin entre les combattants et ceux qui sont restés garder les bagages (</w:t>
      </w:r>
      <w:hyperlink r:id="rId3586">
        <w:r>
          <w:rPr>
            <w:color w:val="0000EE"/>
            <w:u w:val="single"/>
          </w:rPr>
          <w:t>1S 29–30</w:t>
        </w:r>
      </w:hyperlink>
      <w:r>
        <w:t>).</w:t>
      </w:r>
      <w:r>
        <w:rPr>
          <w:b/>
          <w:i/>
        </w:rPr>
        <w:t xml:space="preserve"> </w:t>
      </w:r>
      <w:r>
        <w:t xml:space="preserve">Pendant ce temps, les Israélites sont vaincus par les Philistins au mont Guilboa. Les Philistins tuent Jonathan et deux autres fils de Saül pendant le combat. Saül, gravement blessé, choisit de se suicider avec sa propre épée (chap. </w:t>
      </w:r>
      <w:hyperlink r:id="rId3587">
        <w:r>
          <w:rPr>
            <w:color w:val="0000EE"/>
            <w:u w:val="single"/>
          </w:rPr>
          <w:t>31</w:t>
        </w:r>
      </w:hyperlink>
      <w:r>
        <w:t>).</w:t>
      </w:r>
    </w:p>
    <w:p>
      <w:pPr>
        <w:pStyle w:val="Heading3"/>
      </w:pPr>
      <w:r>
        <w:t>David, le roi</w:t>
      </w:r>
    </w:p>
    <w:p>
      <w:r/>
      <w:r>
        <w:t>David règne sur Israël pendant environ 40 ans. Toutefois, les récits de son règne ne contiennent pas suffisamment d'informations pour établir une chronologie exacte de son règne. Il le commence à Hébron et gouverne la tribu de Juda pendant sept ou huit ans. À la mort d’Isch-Boscheth, le fils de Saül qui lui avait succédé, David est fait roi par toutes les tribus. Il fait de Jérusalem sa capitale. Au cours de la décennie suivante, il unifie Israël par des expansions militaires et le développement économique. La décennie qui suit est caractérisée par d'importants problèmes dans sa famille. Après cela, les dernières années de son règne semblent avoir été consacrées à planifier la construction du temple de Jérusalem, qui a lieu sous le règne de son fils Salomon.</w:t>
      </w:r>
    </w:p>
    <w:p>
      <w:pPr>
        <w:pStyle w:val="Heading4"/>
      </w:pPr>
      <w:r>
        <w:t>Règne à Hébron</w:t>
      </w:r>
    </w:p>
    <w:p>
      <w:r/>
      <w:r>
        <w:t>David est soumis à une période de préparation particulièrement exigeante avant de devenir roi. Au service de Saül, il devient un guerrier expérimenté grâce à ses exploits contre les Philistins. Pendant qu'il est fugitif et erre dans la région désertique du sud de Juda, il tisse des liens avec les propriétaires et les éleveurs de troupeaux de la région en leur offrant sa protection. Quand il devient hors-la-loi en Israël, il entretient des relations diplomatiques avec Moab et les Philistins.</w:t>
      </w:r>
    </w:p>
    <w:p>
      <w:r/>
      <w:r>
        <w:t>David est au pays des Philistins lorsqu'il apprend la mort de Saül et de Jonathan au combat. Il compose un cantique funèbre pour leur rendre hommage (</w:t>
      </w:r>
      <w:hyperlink r:id="rId3588">
        <w:r>
          <w:rPr>
            <w:color w:val="0000EE"/>
            <w:u w:val="single"/>
          </w:rPr>
          <w:t>2S 1</w:t>
        </w:r>
      </w:hyperlink>
      <w:r>
        <w:t>).</w:t>
      </w:r>
    </w:p>
    <w:p>
      <w:r/>
      <w:r>
        <w:t>Guidé par Dieu, David retourne chez lui, où les chefs de Juda l'oignent roi à Hébron. Il envoie un message aux hommes de Jabès en Galaad pour les remercier d'avoir donné une digne sépulture au roi Saül. Il est possible qu'il leur ait aussi demandé leur soutien.</w:t>
      </w:r>
    </w:p>
    <w:p>
      <w:r/>
      <w:r>
        <w:t>Israël est probablement dans la confusion suite à la mort du roi Saül. Les Philistins occupent une grande partie du pays. Des chefs rassemblent tous les hommes de combat qu'ils peuvent trouver, tandis que les anciennes loyautés tribales se réaffirment. David peut compter sur le soutien de la majeure partie de la tribu de Juda.</w:t>
      </w:r>
    </w:p>
    <w:p>
      <w:r/>
      <w:r>
        <w:t>Une sorte de guerre civile se déclenche entre les partisans de David et ceux de la famille de Saül. David gagne l'allégeance d'un nombre croissant de personnes. Le général de Saül, Abner, finit par négocier la paix avec lui. David lui demande que Mical lui soit rendue comme épouse, peut-être pour indiquer qu'il ne nourrit aucune animosité envers la dynastie de Saül. Avec le consentement du fils de Saül, Isch-Boscheth (qu'Abner avait intronisé comme roi), Abner se rend à Hébron et promet le soutien d'Israël à David. Mais Abner est tué par Joab, un chef de guerre de David, dans une vengeance familiale. Peu après, Isch-Boscheth est également assassiné. David pleure publiquement la mort d'Abner et fait exécuter les deux assassins d'Isch-Boscheth. Ainsi, lorsque la dynastie de Saül prend fin, David devient aux yeux du peuple non pas un prétendant rival au trône, mais son successeur légitime. Il est fait roi par tout Israël peu de temps après (</w:t>
      </w:r>
      <w:hyperlink r:id="rId3589">
        <w:r>
          <w:rPr>
            <w:color w:val="0000EE"/>
            <w:u w:val="single"/>
          </w:rPr>
          <w:t>2S 2–4</w:t>
        </w:r>
      </w:hyperlink>
      <w:r>
        <w:t>).</w:t>
      </w:r>
    </w:p>
    <w:p>
      <w:pPr>
        <w:pStyle w:val="Heading4"/>
      </w:pPr>
      <w:r>
        <w:t>Le trône affermi à Jérusalem</w:t>
      </w:r>
    </w:p>
    <w:p>
      <w:r/>
      <w:r>
        <w:t>Lorsque les Israélites font de David leur roi, les Philistins s'alarment et attaquent (</w:t>
      </w:r>
      <w:hyperlink r:id="rId3590">
        <w:r>
          <w:rPr>
            <w:color w:val="0000EE"/>
            <w:u w:val="single"/>
          </w:rPr>
          <w:t>2S 5</w:t>
        </w:r>
      </w:hyperlink>
      <w:r>
        <w:t xml:space="preserve"> ; </w:t>
      </w:r>
      <w:hyperlink r:id="rId3591">
        <w:r>
          <w:rPr>
            <w:color w:val="0000EE"/>
            <w:u w:val="single"/>
          </w:rPr>
          <w:t>1Ch 14.8–17</w:t>
        </w:r>
      </w:hyperlink>
      <w:r>
        <w:t>). David réussit à les vaincre et unifie le peuple d'Israël.</w:t>
      </w:r>
    </w:p>
    <w:p>
      <w:r/>
      <w:r>
        <w:t>Il cherche une capitale pour son royaume plus centralisée qu'Hébron. Il choisit Jérusalem, une forteresse alors aux mains de Jébusiens. Joab relève le défi d'être le premier à les battre et est nommé général de l'armée de David en récompense. Jérusalem sera désormais également connue sous le nom de « cité de David » (</w:t>
      </w:r>
      <w:hyperlink r:id="rId3592">
        <w:r>
          <w:rPr>
            <w:color w:val="0000EE"/>
            <w:u w:val="single"/>
          </w:rPr>
          <w:t>1Ch 11.4–9</w:t>
        </w:r>
      </w:hyperlink>
      <w:r>
        <w:t>).</w:t>
      </w:r>
    </w:p>
    <w:p>
      <w:r/>
      <w:r>
        <w:t>Tout comme David avait su organiser ses premiers partisans en une troupe militaire efficace à Hébron (</w:t>
      </w:r>
      <w:hyperlink r:id="rId3593">
        <w:r>
          <w:rPr>
            <w:color w:val="0000EE"/>
            <w:u w:val="single"/>
          </w:rPr>
          <w:t>1Ch 11.1–12.22</w:t>
        </w:r>
      </w:hyperlink>
      <w:r>
        <w:t>), il commence maintenant à organiser toute la nation (</w:t>
      </w:r>
      <w:hyperlink r:id="rId3594">
        <w:r>
          <w:rPr>
            <w:color w:val="0000EE"/>
            <w:u w:val="single"/>
          </w:rPr>
          <w:t>12.23–40</w:t>
        </w:r>
      </w:hyperlink>
      <w:r>
        <w:t>). Une fois établi à Jérusalem, il est reconnu comme roi d'Israël par les Phéniciens. Il passe un accord avec leur roi pour que leurs artisans construisent un magnifique palais royal à Jérusalem (</w:t>
      </w:r>
      <w:hyperlink r:id="rId3595">
        <w:r>
          <w:rPr>
            <w:color w:val="0000EE"/>
            <w:u w:val="single"/>
          </w:rPr>
          <w:t>14.1–2</w:t>
        </w:r>
      </w:hyperlink>
      <w:r>
        <w:t>). Il s'assure aussi que Jérusalem devienne le centre religieux d'Israël (</w:t>
      </w:r>
      <w:hyperlink r:id="rId3596">
        <w:r>
          <w:rPr>
            <w:color w:val="0000EE"/>
            <w:u w:val="single"/>
          </w:rPr>
          <w:t>2S 6</w:t>
        </w:r>
      </w:hyperlink>
      <w:r>
        <w:t xml:space="preserve"> ; </w:t>
      </w:r>
      <w:hyperlink r:id="rId3597">
        <w:r>
          <w:rPr>
            <w:color w:val="0000EE"/>
            <w:u w:val="single"/>
          </w:rPr>
          <w:t>1Ch 13–16</w:t>
        </w:r>
      </w:hyperlink>
      <w:r>
        <w:t xml:space="preserve">). Il tente de déplacer l'arche de l'alliance, mais cela tourne au désastre car il ne le fait pas en suivant les instructions catégoriques de la loi (voir </w:t>
      </w:r>
      <w:hyperlink r:id="rId1186">
        <w:r>
          <w:rPr>
            <w:color w:val="0000EE"/>
            <w:u w:val="single"/>
          </w:rPr>
          <w:t>Nb 4</w:t>
        </w:r>
      </w:hyperlink>
      <w:r>
        <w:t>). Ainsi, il se fait rappeler par Dieu qu'il doit s'assurer de suivre ses commandements pour réussir.</w:t>
      </w:r>
    </w:p>
    <w:p>
      <w:r/>
      <w:r>
        <w:t>Comme Jérusalem est maintenant bien établie en tant que capitale, David désire construire un Temple pour Dieu. Il parle de son projet au prophète Nathan, qui l'encourage. Cependant, la nuit suivante, Dieu envoie un message par l'intermédiaire du prophète pour dire à David qu'il ne construira pas le Temple lui-même. Cependant, Dieu promet à David d'établir son trône éternellement et que, contrairement à Saül, un de ses fils lui succèdera et perpétuera le royaume. Ce sera ce fils qui construira le Temple (</w:t>
      </w:r>
      <w:hyperlink r:id="rId3598">
        <w:r>
          <w:rPr>
            <w:color w:val="0000EE"/>
            <w:u w:val="single"/>
          </w:rPr>
          <w:t>2S 7</w:t>
        </w:r>
      </w:hyperlink>
      <w:r>
        <w:t xml:space="preserve"> ; </w:t>
      </w:r>
      <w:hyperlink r:id="rId3599">
        <w:r>
          <w:rPr>
            <w:color w:val="0000EE"/>
            <w:u w:val="single"/>
          </w:rPr>
          <w:t>1Ch 17</w:t>
        </w:r>
      </w:hyperlink>
      <w:r>
        <w:t>).</w:t>
      </w:r>
    </w:p>
    <w:p>
      <w:pPr>
        <w:pStyle w:val="Heading4"/>
      </w:pPr>
      <w:r>
        <w:t>Prospérité et suprématie</w:t>
      </w:r>
    </w:p>
    <w:p>
      <w:r/>
      <w:r>
        <w:t>Relativement peu d'informations sont données sur la croissance du territoire sur lequel David règne. Il a commencé avec la région tribale de Juda et s'est étendu jusqu'au Nil en Égypte et aux régions de la vallée du Hiddékel-Euphrate. Rien dans l'Histoire ne contredit la perspective biblique selon laquelle David est à la tête du royaume le plus puissant au cœur du « croissant fertile » vers 1 000 av. J.‑C.</w:t>
      </w:r>
    </w:p>
    <w:p>
      <w:r/>
      <w:r>
        <w:t>De fréquentes confrontations armées ont lieu avec les Philistins à l'ouest, jusqu'à ce qu'ils soient finalement assujettis à David et lui paient un tribut. À l'époque de Saül, les Philistins avaient le monopole de l'utilisation du fer (</w:t>
      </w:r>
      <w:hyperlink r:id="rId3600">
        <w:r>
          <w:rPr>
            <w:color w:val="0000EE"/>
            <w:u w:val="single"/>
          </w:rPr>
          <w:t>1S 13.19–21</w:t>
        </w:r>
      </w:hyperlink>
      <w:r>
        <w:t>). Le fait que David l'utilise librement vers la fin de son règne (</w:t>
      </w:r>
      <w:hyperlink r:id="rId3601">
        <w:r>
          <w:rPr>
            <w:color w:val="0000EE"/>
            <w:u w:val="single"/>
          </w:rPr>
          <w:t>1Ch 22.3</w:t>
        </w:r>
      </w:hyperlink>
      <w:r>
        <w:t>) montre que la situation économique d'Israël a beaucoup évolué.</w:t>
      </w:r>
    </w:p>
    <w:p>
      <w:r/>
      <w:r>
        <w:t>Le royaume de David s'étend vers le sud quand il établit des garnisons en territoire édomite. Au-delà d'Édom, David contrôle aussi les Moabites et les Amalécites, qui lui versent un tribut en argent et en or. Au nord-est, la domination israélite s'étend sur les Ammonites et les Araméens, dont la capitale est Damas. La façon dont David traite ses amis d'une part et ses ennemis d'autre part semble avoir contribué à la puissance de son royaume (</w:t>
      </w:r>
      <w:hyperlink r:id="rId3602">
        <w:r>
          <w:rPr>
            <w:color w:val="0000EE"/>
            <w:u w:val="single"/>
          </w:rPr>
          <w:t>2S 8–10</w:t>
        </w:r>
      </w:hyperlink>
      <w:r>
        <w:t>). C'est un brillant stratège militaire qui utilise tous les moyens et ressources disponibles pour assurer le succès d'Israël. Toutefois, il reste suffisamment humble pour donner gloire à Dieu (</w:t>
      </w:r>
      <w:hyperlink r:id="rId3603">
        <w:r>
          <w:rPr>
            <w:color w:val="0000EE"/>
            <w:u w:val="single"/>
          </w:rPr>
          <w:t>2S 22</w:t>
        </w:r>
      </w:hyperlink>
      <w:r>
        <w:t xml:space="preserve"> ; voir </w:t>
      </w:r>
      <w:hyperlink r:id="rId3604">
        <w:r>
          <w:rPr>
            <w:color w:val="0000EE"/>
            <w:u w:val="single"/>
          </w:rPr>
          <w:t>Ps 18</w:t>
        </w:r>
      </w:hyperlink>
      <w:r>
        <w:t>).</w:t>
      </w:r>
    </w:p>
    <w:p>
      <w:pPr>
        <w:pStyle w:val="Heading4"/>
      </w:pPr>
      <w:r>
        <w:t>Les péchés de la famille royale</w:t>
      </w:r>
    </w:p>
    <w:p>
      <w:r/>
      <w:r>
        <w:t xml:space="preserve">Une longue section du livre de 2 Samuel (chap. </w:t>
      </w:r>
      <w:hyperlink r:id="rId3605">
        <w:r>
          <w:rPr>
            <w:color w:val="0000EE"/>
            <w:u w:val="single"/>
          </w:rPr>
          <w:t>11–20</w:t>
        </w:r>
      </w:hyperlink>
      <w:r>
        <w:t xml:space="preserve">) raconte ouvertement les péchés, les crimes et la rébellion au sein de la famille de David. Le roi lui-même n'est pas sans reproche et n'échappe pas au jugement de Dieu pour ses propres péchés. </w:t>
      </w:r>
    </w:p>
    <w:p>
      <w:r/>
      <w:r>
        <w:t>Le fait d'avoir de nombreuses femmes était un symbole d'importance au Proche-Orient, mais la loi l'interdisait au roi d'Israël (</w:t>
      </w:r>
      <w:hyperlink r:id="rId3041">
        <w:r>
          <w:rPr>
            <w:color w:val="0000EE"/>
            <w:u w:val="single"/>
          </w:rPr>
          <w:t>Dt 17.17</w:t>
        </w:r>
      </w:hyperlink>
      <w:r>
        <w:t xml:space="preserve">). David a cependant eu bien des femmes. Certains de ses mariages étaient probablement politiquement motivés, comme son mariage avec Mical, fille de Saül, et avec la princesse Maaca de Gueschur. </w:t>
      </w:r>
    </w:p>
    <w:p>
      <w:r/>
      <w:r>
        <w:t xml:space="preserve">L'inceste, le meurtre et la rébellion dans la famille de David lui occasionnent beaucoup de souffrances et lui coûtent presque le trône. David commet l'adultère avec Bath-Schéba, alors qu'il est au sommet de son succès militaire et de son expansion territoriale. Il ajoute à son péché en faisant tuer Urie, mari de Bath-Schéba. David s'est alors clairement éloigné de Dieu. Cependant, lorsqu'il est repris par le prophète Nathan pour ces péchés, il reconnaît sa culpabilité. Il confesse son péché et implore le pardon de Dieu (voir les </w:t>
      </w:r>
      <w:hyperlink r:id="rId3606">
        <w:r>
          <w:rPr>
            <w:color w:val="0000EE"/>
            <w:u w:val="single"/>
          </w:rPr>
          <w:t>Ps 32</w:t>
        </w:r>
      </w:hyperlink>
      <w:r>
        <w:t xml:space="preserve"> et </w:t>
      </w:r>
      <w:hyperlink r:id="rId3607">
        <w:r>
          <w:rPr>
            <w:color w:val="0000EE"/>
            <w:u w:val="single"/>
          </w:rPr>
          <w:t>51</w:t>
        </w:r>
      </w:hyperlink>
      <w:r>
        <w:t>). Dieu lui pardonne, mais pendant près de dix ans, David endurera les conséquences de ce péché ainsi que de son incapacité à punir les péchés graves de ses fils. Bien que sans égal concernant la guerre et la diplomatie, David manque de force de caractère dans ses affaires domestiques. Le mal a pris racine dans sa propre maison. L'indulgence excessive de David en tant que père permet le viol de sa fille Tamar par l'inceste de son fils Amnon, qui est ensuite assassiné par leur frère, Absalom.</w:t>
      </w:r>
    </w:p>
    <w:p>
      <w:r/>
      <w:r>
        <w:t>Après avoir tué Amnon, Absalom s'enfuit et se réfugie pendant trois ans à Gueschur, chez le peuple de sa mère. Joab, général de David, réussit finalement à réconcilier Absalom avec son père. Cependant, Absalom se met à éloigner le peuple de David et à s'en faire des partisans. Après un certain temps, il passe à l'action et organise une conspiration. Il se fait proclamer roi à Hébron. Cette conspiration est tellement forte que David doit fuir Jérusalem. David, toujours un maître stratège, utilise une ruse pour gagner du temps et organiser ses forces afin de réprimer la rébellion de son fils. Absalom est tué dans la bataille qui suit. David, qui n'a pas souhaité sa mort, est dévasté par le chagrin.</w:t>
      </w:r>
    </w:p>
    <w:p>
      <w:r/>
      <w:r>
        <w:t>De retour à Jérusalem, il doit s'employer à réparer les dommages causés par la révolte d'Absalom. Juda, sa propre tribu, a soutenu Absalom. Une autre rébellion, organisée par Schéba, de la tribu de Benjamin, doit être réprimée par Joab pour restabiliser la nation.</w:t>
      </w:r>
    </w:p>
    <w:p>
      <w:pPr>
        <w:pStyle w:val="Heading4"/>
      </w:pPr>
      <w:r>
        <w:t>Les dernières années de David</w:t>
      </w:r>
    </w:p>
    <w:p>
      <w:r/>
      <w:r>
        <w:t>Dieu avait dit à David que ce serait son fils, et non lui, qui construirait le Temple à Jérusalem. Dans les dernières années de son règne, David fait des préparatifs considérables pour l'aider dans ce projet. Il accumule des matériaux de construction et prend des dispositions pour organiser la main-d'œuvre et répartir les tâches entre Israélites et étrangers. Il organise aussi le fonctionnement du futur temple et met en place des sacrificateurs et des Lévites pour diriger les louanges d'Israël (</w:t>
      </w:r>
      <w:hyperlink r:id="rId3608">
        <w:r>
          <w:rPr>
            <w:color w:val="0000EE"/>
            <w:u w:val="single"/>
          </w:rPr>
          <w:t>1Ch 21–29</w:t>
        </w:r>
      </w:hyperlink>
      <w:r>
        <w:t>).</w:t>
      </w:r>
    </w:p>
    <w:p>
      <w:r/>
      <w:r>
        <w:t>L'organisation militaire et civique développée par David a probablement été inspirée des pratiques égyptiennes. L'armée, fermement sous le contrôle d'officiers loyaux au roi, inclut des mercenaires. Le roi nomme aussi des intendants de confiance pour gérer les cultures, les troupeaux et les vergers dans différentes parties de son empire (</w:t>
      </w:r>
      <w:hyperlink r:id="rId3609">
        <w:r>
          <w:rPr>
            <w:color w:val="0000EE"/>
            <w:u w:val="single"/>
          </w:rPr>
          <w:t>1Ch 27.25–31</w:t>
        </w:r>
      </w:hyperlink>
      <w:r>
        <w:t>).</w:t>
      </w:r>
    </w:p>
    <w:p>
      <w:r/>
      <w:r>
        <w:t>David effectue un recensement d'Israël, qui semble ne pas avoir été complètement terminé (</w:t>
      </w:r>
      <w:hyperlink r:id="rId3610">
        <w:r>
          <w:rPr>
            <w:color w:val="0000EE"/>
            <w:u w:val="single"/>
          </w:rPr>
          <w:t>2 S 24</w:t>
        </w:r>
      </w:hyperlink>
      <w:r>
        <w:t xml:space="preserve"> ; </w:t>
      </w:r>
      <w:hyperlink r:id="rId3611">
        <w:r>
          <w:rPr>
            <w:color w:val="0000EE"/>
            <w:u w:val="single"/>
          </w:rPr>
          <w:t>1Ch 21</w:t>
        </w:r>
      </w:hyperlink>
      <w:r>
        <w:t>). Le récit montre que cette décision est un péché aux yeux de Dieu mais n'explique pas tout, notamment pourquoi celui-ci choisit de punir David comme il le fait. Le roi ignore les objections de Joab et insiste pour faire effectuer ce recensement. David semble prendre conscience trop tard de son péché. Peut-être a-t-il été poussé, par orgueil, à vouloir déterminer sa force militaire avec exactitude (environ 1,5 million d'hommes). Il est possible que le jugement de Dieu qui a suivi et qui a fait mourir beaucoup des gens du peuple a aussi été une façon de punir le soutien qu'ils avaient donné aux rébellions d'Absalom et de Schéba.</w:t>
      </w:r>
    </w:p>
    <w:p>
      <w:r/>
      <w:r>
        <w:t>Par l'intermédiaire du prophète Gad, Dieu donne à David le choix entre plusieurs châtiments pour son péché. David choisit une plaie qui doit sévir pendant trois jours. Alors que David et les anciens s'humilient en signe de repentance, ils voient l'ange destructeur à l'aire de battage d'Ornan le Jébusien (appelé également Aravna), non loin de Jérusalem. David y offre un sacrifice et intercède pour son peuple. Plus tard, il achète cette aire de battage, située juste à l'extérieur de la ville, pour en faire le site où son fils Salomon construira le Temple (</w:t>
      </w:r>
      <w:hyperlink r:id="rId3612">
        <w:r>
          <w:rPr>
            <w:color w:val="0000EE"/>
            <w:u w:val="single"/>
          </w:rPr>
          <w:t>1Ch 21.28–22.1</w:t>
        </w:r>
      </w:hyperlink>
      <w:r>
        <w:t>).</w:t>
      </w:r>
    </w:p>
    <w:p>
      <w:pPr>
        <w:pStyle w:val="Heading3"/>
      </w:pPr>
      <w:r>
        <w:t>Importance de David au-delà de son règne</w:t>
      </w:r>
    </w:p>
    <w:p>
      <w:pPr>
        <w:pStyle w:val="Heading4"/>
      </w:pPr>
      <w:r>
        <w:t>David, l'auteur de psaumes</w:t>
      </w:r>
    </w:p>
    <w:p>
      <w:r/>
      <w:r>
        <w:t>Le livre des Psaumes de l'AT est devenu l'un des livres bibliques les plus populaires tant dans la période biblique qu'à travers des siècles depuis. Les paroles de prière et de louange composées par David étaient destinées à être utilisées au Temple pour l'adoration et les occasions spéciales (</w:t>
      </w:r>
      <w:hyperlink r:id="rId3613">
        <w:r>
          <w:rPr>
            <w:color w:val="0000EE"/>
            <w:u w:val="single"/>
          </w:rPr>
          <w:t>2Ch 29.30</w:t>
        </w:r>
      </w:hyperlink>
      <w:r>
        <w:t>). Les 73 psaumes attribués à David tirent principalement leur origine de sa propre relation avec Dieu et avec les autres. David est probablement celui qui a rassemblé en collections le Livre I des Psaumes (</w:t>
      </w:r>
      <w:hyperlink r:id="rId3614">
        <w:r>
          <w:rPr>
            <w:color w:val="0000EE"/>
            <w:u w:val="single"/>
          </w:rPr>
          <w:t>Psaumes 1–41</w:t>
        </w:r>
      </w:hyperlink>
      <w:r>
        <w:t>) ainsi que le Livre IV des Psaumes (</w:t>
      </w:r>
      <w:hyperlink r:id="rId3615">
        <w:r>
          <w:rPr>
            <w:color w:val="0000EE"/>
            <w:u w:val="single"/>
          </w:rPr>
          <w:t>Psaumes 90–106</w:t>
        </w:r>
      </w:hyperlink>
      <w:r>
        <w:t>), puisque c'est lui qui est l'auteur de la plupart de ces psaumes. D'autres psaumes de David (</w:t>
      </w:r>
      <w:hyperlink r:id="rId3616">
        <w:r>
          <w:rPr>
            <w:color w:val="0000EE"/>
            <w:u w:val="single"/>
          </w:rPr>
          <w:t>Ps 51–71</w:t>
        </w:r>
      </w:hyperlink>
      <w:r>
        <w:t>) se trouvent dans le Livre II (</w:t>
      </w:r>
      <w:hyperlink r:id="rId3617">
        <w:r>
          <w:rPr>
            <w:color w:val="0000EE"/>
            <w:u w:val="single"/>
          </w:rPr>
          <w:t>Psaumes 42–72</w:t>
        </w:r>
      </w:hyperlink>
      <w:r>
        <w:t>), dont la collection a probablement été rassemblée par Salomon. Comme ces psaumes ont été utilisés pour l'adoration par les générations suivantes, d'autres psaumes ont été ajoutés au livre jusqu'à l'époque d'Esdras.</w:t>
      </w:r>
    </w:p>
    <w:p>
      <w:r/>
      <w:r>
        <w:t>Les psaumes de David ont été la source principale des paroles poétiques mises en musique comme cantiques d'adoration pour Israël. Le système d'organisation du culte, du rôle des sacrificateurs et des Lévites, ainsi que les instruments fournis par David (</w:t>
      </w:r>
      <w:hyperlink r:id="rId3618">
        <w:r>
          <w:rPr>
            <w:color w:val="0000EE"/>
            <w:u w:val="single"/>
          </w:rPr>
          <w:t>2Ch 7.6</w:t>
        </w:r>
      </w:hyperlink>
      <w:r>
        <w:t xml:space="preserve"> ; </w:t>
      </w:r>
      <w:hyperlink r:id="rId3619">
        <w:r>
          <w:rPr>
            <w:color w:val="0000EE"/>
            <w:u w:val="single"/>
          </w:rPr>
          <w:t>8.14</w:t>
        </w:r>
      </w:hyperlink>
      <w:r>
        <w:t>) ont établi le modèle de la vie religieuse des générations d'Israël qui ont suivi.</w:t>
      </w:r>
    </w:p>
    <w:p>
      <w:pPr>
        <w:pStyle w:val="Heading4"/>
      </w:pPr>
      <w:r>
        <w:t>David dans les écrits des prophètes</w:t>
      </w:r>
    </w:p>
    <w:p>
      <w:r/>
      <w:r>
        <w:t xml:space="preserve">David est considéré comme le plus grand roi israélite et est souvent pris comme une référence par excellence dans les écrits des prophètes de l'AT. Ésaïe (p. ex. </w:t>
      </w:r>
      <w:hyperlink r:id="rId3620">
        <w:r>
          <w:rPr>
            <w:color w:val="0000EE"/>
            <w:u w:val="single"/>
          </w:rPr>
          <w:t>Es 7.2, 13</w:t>
        </w:r>
      </w:hyperlink>
      <w:r>
        <w:t xml:space="preserve"> ; </w:t>
      </w:r>
      <w:hyperlink r:id="rId3621">
        <w:r>
          <w:rPr>
            <w:color w:val="0000EE"/>
            <w:u w:val="single"/>
          </w:rPr>
          <w:t>22.22</w:t>
        </w:r>
      </w:hyperlink>
      <w:r>
        <w:t>) et Jérémie décrivent souvent leurs rois contemporains comme appartenant à la « maison » ou étant sur le « trône » de David. Il est souvent mis en contraste avec certains de ses descendants, qui sont infidèles à Dieu. Les deux prophètes prédisent qu'un chef messianique établira un jour, et pour toujours, la justice et la droiture sur le trône de David (</w:t>
      </w:r>
      <w:hyperlink r:id="rId3622">
        <w:r>
          <w:rPr>
            <w:color w:val="0000EE"/>
            <w:u w:val="single"/>
          </w:rPr>
          <w:t>Es 9.6</w:t>
        </w:r>
      </w:hyperlink>
      <w:r>
        <w:t xml:space="preserve"> ; </w:t>
      </w:r>
      <w:hyperlink r:id="rId3623">
        <w:r>
          <w:rPr>
            <w:color w:val="0000EE"/>
            <w:u w:val="single"/>
          </w:rPr>
          <w:t>Jr 33.15</w:t>
        </w:r>
      </w:hyperlink>
      <w:r>
        <w:t>). Lorsque le prophète Ésaïe décrit ce chef à venir, il dit qu'il sera de la lignée d'Isaï, le père de David (</w:t>
      </w:r>
      <w:hyperlink r:id="rId3624">
        <w:r>
          <w:rPr>
            <w:color w:val="0000EE"/>
            <w:u w:val="single"/>
          </w:rPr>
          <w:t>Es 11.1–10</w:t>
        </w:r>
      </w:hyperlink>
      <w:r>
        <w:t>). Une paix universelle viendra et sera centrée sur « Sion », la ville de David (</w:t>
      </w:r>
      <w:hyperlink r:id="rId3625">
        <w:r>
          <w:rPr>
            <w:color w:val="0000EE"/>
            <w:u w:val="single"/>
          </w:rPr>
          <w:t>2.1–4</w:t>
        </w:r>
      </w:hyperlink>
      <w:r>
        <w:t>).</w:t>
      </w:r>
    </w:p>
    <w:p>
      <w:r/>
      <w:r>
        <w:t>Ézéchiel prophétise aussi la restauration de David en tant que roi dans un sens eschatologique et messianique (</w:t>
      </w:r>
      <w:hyperlink r:id="rId3626">
        <w:r>
          <w:rPr>
            <w:color w:val="0000EE"/>
            <w:u w:val="single"/>
          </w:rPr>
          <w:t>Ez 37.24–25</w:t>
        </w:r>
      </w:hyperlink>
      <w:r>
        <w:t>) et de « mon serviteur David » comme berger d'Israël (</w:t>
      </w:r>
      <w:hyperlink r:id="rId3627">
        <w:r>
          <w:rPr>
            <w:color w:val="0000EE"/>
            <w:u w:val="single"/>
          </w:rPr>
          <w:t>34.23</w:t>
        </w:r>
      </w:hyperlink>
      <w:r>
        <w:t>). Osée parle également de ce futur chef comme le roi David (</w:t>
      </w:r>
      <w:hyperlink r:id="rId3628">
        <w:r>
          <w:rPr>
            <w:color w:val="0000EE"/>
            <w:u w:val="single"/>
          </w:rPr>
          <w:t>Os 3.5</w:t>
        </w:r>
      </w:hyperlink>
      <w:r>
        <w:t>). Amos assure au peuple que Dieu restaurera le « tabernacle » de David (</w:t>
      </w:r>
      <w:hyperlink r:id="rId3629">
        <w:r>
          <w:rPr>
            <w:color w:val="0000EE"/>
            <w:u w:val="single"/>
          </w:rPr>
          <w:t>Am 9.11</w:t>
        </w:r>
      </w:hyperlink>
      <w:r>
        <w:t>) afin qu'ils puissent à nouveau habiter en sécurité. Zacharie mentionne cinq fois la « maison de David » dans les prophéties des chapitres</w:t>
      </w:r>
      <w:hyperlink r:id="rId3630">
        <w:r>
          <w:rPr>
            <w:color w:val="0000EE"/>
            <w:u w:val="single"/>
          </w:rPr>
          <w:t xml:space="preserve"> 12–13,</w:t>
        </w:r>
      </w:hyperlink>
      <w:r>
        <w:t xml:space="preserve"> qui encouragent l'espérance d'une restauration de sa glorieuse dynastie. Ainsi, le trône éternel promis à David pendant son règne est davantage expliqué par les prophètes. Tout en annonçant des jugements à venir sur les chefs et le peuple de leur temps, ils rappellent aussi la promesse messianique de Dieu.</w:t>
      </w:r>
    </w:p>
    <w:p>
      <w:pPr>
        <w:pStyle w:val="Heading4"/>
      </w:pPr>
      <w:r>
        <w:t>David dans le Nouveau Testament</w:t>
      </w:r>
    </w:p>
    <w:p>
      <w:r/>
      <w:r>
        <w:t>David est souvent mentionné par les auteurs des Évangiles. Jésus est clairement désigné comme le « Fils de David ». L'alliance de Dieu conclue avec David était qu'un roi éternel viendrait de sa famille (</w:t>
      </w:r>
      <w:hyperlink r:id="rId573">
        <w:r>
          <w:rPr>
            <w:color w:val="0000EE"/>
            <w:u w:val="single"/>
          </w:rPr>
          <w:t xml:space="preserve">Mt 1.1 </w:t>
        </w:r>
      </w:hyperlink>
      <w:r>
        <w:t xml:space="preserve">; </w:t>
      </w:r>
      <w:hyperlink r:id="rId3631">
        <w:r>
          <w:rPr>
            <w:color w:val="0000EE"/>
            <w:u w:val="single"/>
          </w:rPr>
          <w:t xml:space="preserve">9.27 </w:t>
        </w:r>
      </w:hyperlink>
      <w:r>
        <w:t xml:space="preserve">; </w:t>
      </w:r>
      <w:hyperlink r:id="rId3632">
        <w:r>
          <w:rPr>
            <w:color w:val="0000EE"/>
            <w:u w:val="single"/>
          </w:rPr>
          <w:t xml:space="preserve">12.23 </w:t>
        </w:r>
      </w:hyperlink>
      <w:r>
        <w:t xml:space="preserve">; </w:t>
      </w:r>
      <w:hyperlink r:id="rId3633">
        <w:r>
          <w:rPr>
            <w:color w:val="0000EE"/>
            <w:u w:val="single"/>
          </w:rPr>
          <w:t xml:space="preserve">Mc 10.48 </w:t>
        </w:r>
      </w:hyperlink>
      <w:r>
        <w:t xml:space="preserve">; </w:t>
      </w:r>
      <w:hyperlink r:id="rId3634">
        <w:r>
          <w:rPr>
            <w:color w:val="0000EE"/>
            <w:u w:val="single"/>
          </w:rPr>
          <w:t xml:space="preserve">12.35 </w:t>
        </w:r>
      </w:hyperlink>
      <w:r>
        <w:t xml:space="preserve">; </w:t>
      </w:r>
      <w:hyperlink r:id="rId3635">
        <w:r>
          <w:rPr>
            <w:color w:val="0000EE"/>
            <w:u w:val="single"/>
          </w:rPr>
          <w:t xml:space="preserve">Lc 18.38–39 </w:t>
        </w:r>
      </w:hyperlink>
      <w:r>
        <w:t xml:space="preserve">; </w:t>
      </w:r>
      <w:hyperlink r:id="rId3636">
        <w:r>
          <w:rPr>
            <w:color w:val="0000EE"/>
            <w:u w:val="single"/>
          </w:rPr>
          <w:t>20.41</w:t>
        </w:r>
      </w:hyperlink>
      <w:r>
        <w:t xml:space="preserve">). Selon </w:t>
      </w:r>
      <w:hyperlink r:id="rId3637">
        <w:r>
          <w:rPr>
            <w:color w:val="0000EE"/>
            <w:u w:val="single"/>
          </w:rPr>
          <w:t>Marc 11.10</w:t>
        </w:r>
      </w:hyperlink>
      <w:r>
        <w:t xml:space="preserve"> et </w:t>
      </w:r>
      <w:hyperlink r:id="rId1908">
        <w:r>
          <w:rPr>
            <w:color w:val="0000EE"/>
            <w:u w:val="single"/>
          </w:rPr>
          <w:t>Jean 7.42</w:t>
        </w:r>
      </w:hyperlink>
      <w:r>
        <w:t>, les Juifs du temps de Jésus l'avaient compris et s'attendaient à ce que le Messie (le Christ) soit un descendant de David. Les Évangiles affirment que Jésus est à la fois Fils de David et Fils de Dieu (</w:t>
      </w:r>
      <w:hyperlink r:id="rId3638">
        <w:r>
          <w:rPr>
            <w:color w:val="0000EE"/>
            <w:u w:val="single"/>
          </w:rPr>
          <w:t xml:space="preserve">Mt 22.41–45 </w:t>
        </w:r>
      </w:hyperlink>
      <w:r>
        <w:t xml:space="preserve">; </w:t>
      </w:r>
      <w:hyperlink r:id="rId3639">
        <w:r>
          <w:rPr>
            <w:color w:val="0000EE"/>
            <w:u w:val="single"/>
          </w:rPr>
          <w:t xml:space="preserve">Mc 12.35–37 </w:t>
        </w:r>
      </w:hyperlink>
      <w:r>
        <w:t xml:space="preserve">; </w:t>
      </w:r>
      <w:hyperlink r:id="rId3640">
        <w:r>
          <w:rPr>
            <w:color w:val="0000EE"/>
            <w:u w:val="single"/>
          </w:rPr>
          <w:t>Lc 20.41–44</w:t>
        </w:r>
      </w:hyperlink>
      <w:r>
        <w:t>).</w:t>
      </w:r>
    </w:p>
    <w:p>
      <w:r/>
      <w:r>
        <w:t>Dans Actes, David est présenté comme celui par qui Dieu avait annoncé et promis ce qui s'est ensuite réalisé en Jésus-Christ. David est reconnu comme prophète inspiré par le Saint-Esprit dans les psaumes (</w:t>
      </w:r>
      <w:hyperlink r:id="rId3641">
        <w:r>
          <w:rPr>
            <w:color w:val="0000EE"/>
            <w:u w:val="single"/>
          </w:rPr>
          <w:t>Ac 1.16</w:t>
        </w:r>
      </w:hyperlink>
      <w:r>
        <w:t xml:space="preserve"> ; </w:t>
      </w:r>
      <w:hyperlink r:id="rId3642">
        <w:r>
          <w:rPr>
            <w:color w:val="0000EE"/>
            <w:u w:val="single"/>
          </w:rPr>
          <w:t>2.22–36</w:t>
        </w:r>
      </w:hyperlink>
      <w:r>
        <w:t xml:space="preserve"> ; </w:t>
      </w:r>
      <w:hyperlink r:id="rId3643">
        <w:r>
          <w:rPr>
            <w:color w:val="0000EE"/>
            <w:u w:val="single"/>
          </w:rPr>
          <w:t>4.25</w:t>
        </w:r>
      </w:hyperlink>
      <w:r>
        <w:t xml:space="preserve"> ; </w:t>
      </w:r>
      <w:hyperlink r:id="rId3644">
        <w:r>
          <w:rPr>
            <w:color w:val="0000EE"/>
            <w:u w:val="single"/>
          </w:rPr>
          <w:t>13.26–39</w:t>
        </w:r>
      </w:hyperlink>
      <w:r>
        <w:t>).</w:t>
      </w:r>
    </w:p>
    <w:p>
      <w:r/>
      <w:r>
        <w:t>Dans Apocalypse, Jésus est décrit comme celui qui a la « clef de David » (</w:t>
      </w:r>
      <w:hyperlink r:id="rId3645">
        <w:r>
          <w:rPr>
            <w:color w:val="0000EE"/>
            <w:u w:val="single"/>
          </w:rPr>
          <w:t>Ap 3.7</w:t>
        </w:r>
      </w:hyperlink>
      <w:r>
        <w:t>) et comme « le lion de la tribu de Juda, le rejeton de David » (</w:t>
      </w:r>
      <w:hyperlink r:id="rId3646">
        <w:r>
          <w:rPr>
            <w:color w:val="0000EE"/>
            <w:u w:val="single"/>
          </w:rPr>
          <w:t>5.5</w:t>
        </w:r>
      </w:hyperlink>
      <w:r>
        <w:t>). Jésus lui-même déclare : « Je suis le rejeton et la postérité de David, l’étoile brillante du matin » (</w:t>
      </w:r>
      <w:hyperlink r:id="rId3647">
        <w:r>
          <w:rPr>
            <w:color w:val="0000EE"/>
            <w:u w:val="single"/>
          </w:rPr>
          <w:t>22.16</w:t>
        </w:r>
      </w:hyperlink>
      <w:r>
        <w:t>).</w:t>
      </w:r>
    </w:p>
    <w:p>
      <w:r/>
      <w:r>
        <w:rPr>
          <w:i/>
        </w:rPr>
        <w:t>Voir aussi</w:t>
      </w:r>
      <w:r>
        <w:t xml:space="preserve"> </w:t>
      </w:r>
      <w:r>
        <w:t>christologie</w:t>
      </w:r>
      <w:r>
        <w:t xml:space="preserve"> ; </w:t>
      </w:r>
      <w:r>
        <w:t>chronologie de la Bible (Ancien Testament)</w:t>
      </w:r>
      <w:r>
        <w:t xml:space="preserve"> ; </w:t>
      </w:r>
      <w:r>
        <w:t>Israël (histoire)</w:t>
      </w:r>
      <w:r>
        <w:t xml:space="preserve"> ; </w:t>
      </w:r>
      <w:r>
        <w:t>roi</w:t>
      </w:r>
      <w:r>
        <w:t xml:space="preserve"> ; </w:t>
      </w:r>
      <w:r>
        <w:t>royaume de Dieu, royaume des Cieux</w:t>
      </w:r>
      <w:r>
        <w:t xml:space="preserve"> ; </w:t>
      </w:r>
      <w:r>
        <w:t>Messie</w:t>
      </w:r>
      <w:r>
        <w:t>.</w:t>
      </w:r>
      <w:r/>
      <w:r/>
    </w:p>
    <w:p>
      <w:r/>
    </w:p>
    <w:p>
      <w:pPr>
        <w:pStyle w:val="Heading2"/>
      </w:pPr>
      <w:r>
        <w:t>Débora</w:t>
      </w:r>
      <w:r/>
    </w:p>
    <w:p>
      <w:r/>
      <w:r>
        <w:t>Le nom de deux femmes dans l'Ancien Testament. En hébreu, Débora signifie « abeille » (</w:t>
      </w:r>
      <w:hyperlink r:id="rId3648">
        <w:r>
          <w:rPr>
            <w:color w:val="0000EE"/>
            <w:u w:val="single"/>
          </w:rPr>
          <w:t>Ps 118.12</w:t>
        </w:r>
      </w:hyperlink>
      <w:r>
        <w:t xml:space="preserve"> ; </w:t>
      </w:r>
      <w:hyperlink r:id="rId3649">
        <w:r>
          <w:rPr>
            <w:color w:val="0000EE"/>
            <w:u w:val="single"/>
          </w:rPr>
          <w:t>Es 7.18</w:t>
        </w:r>
      </w:hyperlink>
      <w:r>
        <w:t>).</w:t>
      </w:r>
    </w:p>
    <w:p>
      <w:pPr>
        <w:pStyle w:val="ListNumber"/>
        <w:spacing w:line="240" w:lineRule="auto"/>
        <w:ind w:left="720"/>
      </w:pPr>
      <w:r/>
      <w:r>
        <w:t>Nourrice de Rebecca (</w:t>
      </w:r>
      <w:hyperlink r:id="rId2458">
        <w:r>
          <w:rPr>
            <w:color w:val="0000EE"/>
            <w:u w:val="single"/>
          </w:rPr>
          <w:t>Gn 35.8</w:t>
        </w:r>
      </w:hyperlink>
      <w:r>
        <w:t>). Débora meurt alors qu'elle voyageait vers Béthel avec la maisonnée de son maître Jacob. Elle sera enterrée dans un lieu connu sous le nom d'</w:t>
      </w:r>
      <w:r>
        <w:rPr>
          <w:i/>
        </w:rPr>
        <w:t>Allon-bacuth</w:t>
      </w:r>
      <w:r>
        <w:t xml:space="preserve"> (signifiant « le chêne des pleurs »), ce qui montrait qu'elle était très appréciée. Elle était probablement l'amie de longue date de Rebecca (voir </w:t>
      </w:r>
      <w:hyperlink r:id="rId3650">
        <w:r>
          <w:rPr>
            <w:color w:val="0000EE"/>
            <w:u w:val="single"/>
          </w:rPr>
          <w:t>Gn 24.59–61</w:t>
        </w:r>
      </w:hyperlink>
      <w:r>
        <w:t>).</w:t>
      </w:r>
    </w:p>
    <w:p>
      <w:pPr>
        <w:pStyle w:val="ListNumber"/>
        <w:spacing w:line="240" w:lineRule="auto"/>
        <w:ind w:left="720"/>
      </w:pPr>
      <w:r/>
      <w:r>
        <w:t>Prophétesse et juge (</w:t>
      </w:r>
      <w:hyperlink r:id="rId3651">
        <w:r>
          <w:rPr>
            <w:color w:val="0000EE"/>
            <w:u w:val="single"/>
          </w:rPr>
          <w:t>Jg 4–5</w:t>
        </w:r>
      </w:hyperlink>
      <w:r>
        <w:t>). Le rôle de Débora en tant que prophétesse était de transmettre le message de Dieu. En tant que juge, elle était dirigeante des Israélites. Bien que d'autres femmes aient agi comme prophétesses dans la Bible, ce n'était pas fréquent. D'autres prophétesses incluent :</w:t>
      </w:r>
    </w:p>
    <w:p>
      <w:pPr>
        <w:pStyle w:val="ListBullet"/>
        <w:spacing w:line="240" w:lineRule="auto"/>
        <w:ind w:left="1440"/>
      </w:pPr>
      <w:r/>
      <w:r>
        <w:t>Miriam (</w:t>
      </w:r>
      <w:hyperlink r:id="rId3652">
        <w:r>
          <w:rPr>
            <w:color w:val="0000EE"/>
            <w:u w:val="single"/>
          </w:rPr>
          <w:t>Ex 15.20</w:t>
        </w:r>
      </w:hyperlink>
      <w:r>
        <w:t>)</w:t>
      </w:r>
    </w:p>
    <w:p>
      <w:pPr>
        <w:pStyle w:val="ListBullet"/>
        <w:spacing w:line="240" w:lineRule="auto"/>
        <w:ind w:left="1440"/>
      </w:pPr>
      <w:r/>
      <w:r>
        <w:t>Hulda (</w:t>
      </w:r>
      <w:hyperlink r:id="rId3653">
        <w:r>
          <w:rPr>
            <w:color w:val="0000EE"/>
            <w:u w:val="single"/>
          </w:rPr>
          <w:t>2R 22.14</w:t>
        </w:r>
      </w:hyperlink>
      <w:r>
        <w:t>)</w:t>
      </w:r>
    </w:p>
    <w:p>
      <w:pPr>
        <w:pStyle w:val="ListBullet"/>
        <w:spacing w:line="240" w:lineRule="auto"/>
        <w:ind w:left="1440"/>
      </w:pPr>
      <w:r/>
      <w:r>
        <w:t>Anne (</w:t>
      </w:r>
      <w:hyperlink r:id="rId3654">
        <w:r>
          <w:rPr>
            <w:color w:val="0000EE"/>
            <w:u w:val="single"/>
          </w:rPr>
          <w:t>Lc 2.36</w:t>
        </w:r>
      </w:hyperlink>
      <w:r>
        <w:t>)</w:t>
      </w:r>
    </w:p>
    <w:p>
      <w:r/>
      <w:r>
        <w:t xml:space="preserve">Débora était unique car elle dirigeait déjà le peuple en tant que juge </w:t>
      </w:r>
      <w:r>
        <w:rPr>
          <w:i/>
        </w:rPr>
        <w:t>avant</w:t>
      </w:r>
      <w:r>
        <w:t xml:space="preserve"> que les principaux événements de son histoire ne se produisent (</w:t>
      </w:r>
      <w:hyperlink r:id="rId3655">
        <w:r>
          <w:rPr>
            <w:color w:val="0000EE"/>
            <w:u w:val="single"/>
          </w:rPr>
          <w:t>Jg 4.4</w:t>
        </w:r>
      </w:hyperlink>
      <w:r>
        <w:t>). Son mari, Lappidoth, est autrement inconnu.</w:t>
      </w:r>
    </w:p>
    <w:p>
      <w:r/>
      <w:r>
        <w:t>Débora était célébrée comme une « mère en Israël » (</w:t>
      </w:r>
      <w:hyperlink r:id="rId3656">
        <w:r>
          <w:rPr>
            <w:color w:val="0000EE"/>
            <w:u w:val="single"/>
          </w:rPr>
          <w:t>Jg 5.7</w:t>
        </w:r>
      </w:hyperlink>
      <w:r>
        <w:t>). Elle restait à un endroit, et on venait à elle pour des conseils. Plus de deux cents ans plus tard, lorsque le livre des Juges sera mis par écrit, un grand palmier marquait encore l'endroit. Bien qu'elle ait vécu dans le pays de Benjamin (</w:t>
      </w:r>
      <w:hyperlink r:id="rId3657">
        <w:r>
          <w:rPr>
            <w:color w:val="0000EE"/>
            <w:u w:val="single"/>
          </w:rPr>
          <w:t>Jg 4.5</w:t>
        </w:r>
      </w:hyperlink>
      <w:r>
        <w:t xml:space="preserve"> ; voir </w:t>
      </w:r>
      <w:hyperlink r:id="rId1309">
        <w:r>
          <w:rPr>
            <w:color w:val="0000EE"/>
            <w:u w:val="single"/>
          </w:rPr>
          <w:t>Jos 16.2</w:t>
        </w:r>
      </w:hyperlink>
      <w:r>
        <w:t xml:space="preserve"> ; </w:t>
      </w:r>
      <w:hyperlink r:id="rId1871">
        <w:r>
          <w:rPr>
            <w:color w:val="0000EE"/>
            <w:u w:val="single"/>
          </w:rPr>
          <w:t>18.13</w:t>
        </w:r>
      </w:hyperlink>
      <w:r>
        <w:t>), Débora était probablement de la tribu d'Éphraïm, la tribu la plus importante du nord d'Israël. Cependant, certains experts disent qu'elle venait de la tribu d'Issacar (</w:t>
      </w:r>
      <w:hyperlink r:id="rId3658">
        <w:r>
          <w:rPr>
            <w:color w:val="0000EE"/>
            <w:u w:val="single"/>
          </w:rPr>
          <w:t>Jg 5.14–15</w:t>
        </w:r>
      </w:hyperlink>
      <w:r>
        <w:t>). À cette époque, les tribus étaient peu organisées. Elles n'occupaient pas toujours le territoire qui leur était assigné.</w:t>
      </w:r>
    </w:p>
    <w:p>
      <w:r/>
      <w:r>
        <w:t>Sous l'excellente direction de Débora, les Israélites mal équipés ont vaincu les Cananéens dans la plaine d'Esdraelon (</w:t>
      </w:r>
      <w:hyperlink r:id="rId3659">
        <w:r>
          <w:rPr>
            <w:color w:val="0000EE"/>
            <w:u w:val="single"/>
          </w:rPr>
          <w:t>Jg 4.15</w:t>
        </w:r>
      </w:hyperlink>
      <w:r>
        <w:t>). La crue de la rivière Kison a perturbé les chars de l'ennemi (</w:t>
      </w:r>
      <w:hyperlink r:id="rId3660">
        <w:r>
          <w:rPr>
            <w:color w:val="0000EE"/>
            <w:u w:val="single"/>
          </w:rPr>
          <w:t>Jg 5.21–22</w:t>
        </w:r>
      </w:hyperlink>
      <w:r>
        <w:t>). Les Cananéens se sont enfuis vers le nord, peut-être vers Taanach près de Meguiddo (</w:t>
      </w:r>
      <w:hyperlink r:id="rId3661">
        <w:r>
          <w:rPr>
            <w:color w:val="0000EE"/>
            <w:u w:val="single"/>
          </w:rPr>
          <w:t>Jg 5.19</w:t>
        </w:r>
      </w:hyperlink>
      <w:r>
        <w:t>). Ils ne sont jamais revenus en tant qu'ennemis en Israël. Le Chant de Débora (</w:t>
      </w:r>
      <w:hyperlink r:id="rId3662">
        <w:r>
          <w:rPr>
            <w:color w:val="0000EE"/>
            <w:u w:val="single"/>
          </w:rPr>
          <w:t>Jg 5</w:t>
        </w:r>
      </w:hyperlink>
      <w:r>
        <w:t xml:space="preserve">) est une version poétique du récit en prose dans </w:t>
      </w:r>
      <w:hyperlink r:id="rId3663">
        <w:r>
          <w:rPr>
            <w:color w:val="0000EE"/>
            <w:u w:val="single"/>
          </w:rPr>
          <w:t>Jg 4</w:t>
        </w:r>
      </w:hyperlink>
      <w:r>
        <w:t>.</w:t>
      </w:r>
    </w:p>
    <w:p>
      <w:r/>
      <w:r>
        <w:rPr>
          <w:i/>
        </w:rPr>
        <w:t>Voir aussi</w:t>
      </w:r>
      <w:r>
        <w:t xml:space="preserve"> </w:t>
      </w:r>
      <w:r>
        <w:t>Barak</w:t>
      </w:r>
      <w:r>
        <w:t xml:space="preserve"> ; </w:t>
      </w:r>
      <w:r>
        <w:t>Débora, Chant de</w:t>
      </w:r>
      <w:r>
        <w:t xml:space="preserve"> ; </w:t>
      </w:r>
      <w:r>
        <w:t>Juges, Livre des</w:t>
      </w:r>
      <w:r>
        <w:t>.</w:t>
      </w:r>
      <w:r/>
      <w:r/>
    </w:p>
    <w:p>
      <w:r/>
    </w:p>
    <w:p>
      <w:pPr>
        <w:pStyle w:val="Heading2"/>
      </w:pPr>
      <w:r>
        <w:t>Décapole</w:t>
      </w:r>
      <w:r/>
    </w:p>
    <w:p>
      <w:r/>
      <w:r>
        <w:t>Ligue de dix villes indépendantes mentionnée dans le Nouveau Testament (NT). (En grec, « déca » signifie dix et « polis » signifie ville). Des Grecs s'installent dans cette région après sa conquête par Alexandre le Grand au 4</w:t>
      </w:r>
      <w:r>
        <w:t>ᵉ</w:t>
      </w:r>
      <w:r>
        <w:t xml:space="preserve"> siècle av. J.‑C. Neuf de ces villes sont situées au sud-est de la mer de Galilée. La dixième, Scythopolis, est située à l'ouest du Jourdain. Vers 77 apr. J.‑C., Pline l'Ancien, auteur romain, est l'auteur de la première liste connue de ces dix villes : Canatha, Damas, Dion, Gadara, Gerasa, Hippo, Pella, Philadelphie, Rhaphana et Scythopolis.</w:t>
      </w:r>
    </w:p>
    <w:p>
      <w:r/>
      <w:r>
        <w:t>Au 2</w:t>
      </w:r>
      <w:r>
        <w:t>ᵉ</w:t>
      </w:r>
      <w:r>
        <w:t xml:space="preserve"> siècle av. J.‑C., le peuple juif désire plus d'indépendance vis-à-vis de la domination étrangère. Pendant cette période, le roi juif Alexandre Jannée prend contrôle de plusieurs villes de la Décapole. Elles restent sous contrôle juif jusqu'en 63 av. J.‑C. Elles tombent alors au pouvoir des Romains sous le commandement de Pompée. À l'époque de Jésus, ces dix villes s'étaient enrichies grâce au commerce. Les Romains forment alors une ligue de ces villes contre l'éventualité d'une rébellion du peuple juif.</w:t>
      </w:r>
    </w:p>
    <w:p>
      <w:r/>
      <w:r>
        <w:t xml:space="preserve">Le NT mentionne la région de la Décapole trois fois. Selon </w:t>
      </w:r>
      <w:hyperlink r:id="rId1926">
        <w:r>
          <w:rPr>
            <w:color w:val="0000EE"/>
            <w:u w:val="single"/>
          </w:rPr>
          <w:t xml:space="preserve">Matthieu 4.25, </w:t>
        </w:r>
      </w:hyperlink>
      <w:r>
        <w:t xml:space="preserve">de grandes foules, dont une partie vient de la Décapole, suivent Jésus au début de son ministère. Ce sont probablement en majorité des Grecs et des Cananéens. Dans </w:t>
      </w:r>
      <w:hyperlink r:id="rId3664">
        <w:r>
          <w:rPr>
            <w:color w:val="0000EE"/>
            <w:u w:val="single"/>
          </w:rPr>
          <w:t xml:space="preserve">Marc 5.20, </w:t>
        </w:r>
      </w:hyperlink>
      <w:r>
        <w:t xml:space="preserve">un homme dont Jésus a chassé des démons se met à raconter dans toute la Décapole tout ce que Jésus a fait pour lui. Les habitants de la Décapole sont alors très étonnés. Enfin, </w:t>
      </w:r>
      <w:hyperlink r:id="rId1927">
        <w:r>
          <w:rPr>
            <w:color w:val="0000EE"/>
            <w:u w:val="single"/>
          </w:rPr>
          <w:t>Marc 7.31</w:t>
        </w:r>
      </w:hyperlink>
      <w:r>
        <w:t xml:space="preserve"> mentionne aussi que Jésus traverse la région de la Décapole pour se rendre à la mer de Galilée alors qu'il revient de Tyr et Sidon.</w:t>
      </w:r>
      <w:r/>
      <w:r/>
    </w:p>
    <w:p>
      <w:r/>
    </w:p>
    <w:p>
      <w:pPr>
        <w:pStyle w:val="Heading2"/>
      </w:pPr>
      <w:r>
        <w:t>Dedan (Personne)</w:t>
      </w:r>
      <w:r/>
    </w:p>
    <w:p>
      <w:r/>
      <w:r>
        <w:t>1. Petit-fils de Cusch dans la liste des descendants de Noé. Son père était Raema, et le nom de son frère était Séba (</w:t>
      </w:r>
      <w:hyperlink r:id="rId3665">
        <w:r>
          <w:rPr>
            <w:color w:val="0000EE"/>
            <w:u w:val="single"/>
          </w:rPr>
          <w:t>Gn 10.7</w:t>
        </w:r>
      </w:hyperlink>
      <w:r>
        <w:t xml:space="preserve"> ; </w:t>
      </w:r>
      <w:hyperlink r:id="rId3666">
        <w:r>
          <w:rPr>
            <w:color w:val="0000EE"/>
            <w:u w:val="single"/>
          </w:rPr>
          <w:t>1Ch 1.9</w:t>
        </w:r>
      </w:hyperlink>
      <w:r>
        <w:t>).</w:t>
      </w:r>
    </w:p>
    <w:p>
      <w:r/>
      <w:r>
        <w:t>2. Petit-fils d'Abraham par Ketura (</w:t>
      </w:r>
      <w:hyperlink r:id="rId1367">
        <w:r>
          <w:rPr>
            <w:color w:val="0000EE"/>
            <w:u w:val="single"/>
          </w:rPr>
          <w:t>Gn 25.3</w:t>
        </w:r>
      </w:hyperlink>
      <w:r>
        <w:t xml:space="preserve">). Son père était Jokschan, son frère était Séba, et ses descendants étaient les </w:t>
      </w:r>
      <w:r>
        <w:t>Aschurim</w:t>
      </w:r>
      <w:r>
        <w:t>, Letuschim et Leummim.</w:t>
      </w:r>
      <w:r/>
      <w:r/>
    </w:p>
    <w:p>
      <w:r/>
    </w:p>
    <w:p>
      <w:pPr>
        <w:pStyle w:val="Heading2"/>
      </w:pPr>
      <w:r>
        <w:t>Déformation</w:t>
      </w:r>
      <w:r/>
    </w:p>
    <w:p>
      <w:r/>
      <w:r>
        <w:t>Tout handicap physique qui est visible ou dont les effets sont visibles.</w:t>
      </w:r>
    </w:p>
    <w:p>
      <w:r/>
      <w:r>
        <w:t>Dans le système sacrificiel de l'Ancien Testament, tant l'animal à sacrifier que le sacrificateur qui fait le sacrifice ne peuvent avoir de défauts ou de malformations (</w:t>
      </w:r>
      <w:hyperlink r:id="rId3667">
        <w:r>
          <w:rPr>
            <w:color w:val="0000EE"/>
            <w:u w:val="single"/>
          </w:rPr>
          <w:t xml:space="preserve">Lv 1.3 </w:t>
        </w:r>
      </w:hyperlink>
      <w:r>
        <w:t xml:space="preserve">; </w:t>
      </w:r>
      <w:hyperlink r:id="rId3668">
        <w:r>
          <w:rPr>
            <w:color w:val="0000EE"/>
            <w:u w:val="single"/>
          </w:rPr>
          <w:t xml:space="preserve">4.3 ; </w:t>
        </w:r>
      </w:hyperlink>
      <w:hyperlink r:id="rId3669">
        <w:r>
          <w:rPr>
            <w:color w:val="0000EE"/>
            <w:u w:val="single"/>
          </w:rPr>
          <w:t>21</w:t>
        </w:r>
      </w:hyperlink>
      <w:r>
        <w:t xml:space="preserve">). Le fait que les deux doivent être sans défauts préfigure Christ dans l'Ancien Testament. </w:t>
      </w:r>
    </w:p>
    <w:p>
      <w:r/>
      <w:r>
        <w:t>Il y a onze infirmités pouvant empêcher un homme de devenir sacrificateur (</w:t>
      </w:r>
      <w:hyperlink r:id="rId3670">
        <w:r>
          <w:rPr>
            <w:color w:val="0000EE"/>
            <w:u w:val="single"/>
          </w:rPr>
          <w:t>Lv 21.17</w:t>
        </w:r>
      </w:hyperlink>
      <w:r>
        <w:t>–</w:t>
      </w:r>
      <w:hyperlink r:id="rId3670">
        <w:r>
          <w:rPr>
            <w:color w:val="0000EE"/>
            <w:u w:val="single"/>
          </w:rPr>
          <w:t>20</w:t>
        </w:r>
      </w:hyperlink>
      <w:r>
        <w:t>) :</w:t>
      </w:r>
    </w:p>
    <w:p>
      <w:pPr>
        <w:pStyle w:val="ListBullet"/>
        <w:spacing w:line="240" w:lineRule="auto"/>
        <w:ind w:left="720"/>
      </w:pPr>
      <w:r/>
      <w:r>
        <w:t>Sept défauts des muscles ou du squelette</w:t>
      </w:r>
    </w:p>
    <w:p>
      <w:pPr>
        <w:pStyle w:val="ListBullet"/>
        <w:spacing w:line="240" w:lineRule="auto"/>
        <w:ind w:left="720"/>
      </w:pPr>
      <w:r/>
      <w:r>
        <w:t>Deux défauts des yeux</w:t>
      </w:r>
    </w:p>
    <w:p>
      <w:pPr>
        <w:pStyle w:val="ListBullet"/>
        <w:spacing w:line="240" w:lineRule="auto"/>
        <w:ind w:left="720"/>
      </w:pPr>
      <w:r/>
      <w:r>
        <w:t>Un défaut de la peau</w:t>
      </w:r>
    </w:p>
    <w:p>
      <w:pPr>
        <w:pStyle w:val="ListBullet"/>
        <w:spacing w:line="240" w:lineRule="auto"/>
        <w:ind w:left="720"/>
      </w:pPr>
      <w:r/>
      <w:r>
        <w:t>Un défaut de l'appareil reproducteur</w:t>
      </w:r>
    </w:p>
    <w:p>
      <w:r/>
      <w:r>
        <w:t xml:space="preserve">Le terme « camus » dans </w:t>
      </w:r>
      <w:hyperlink r:id="rId1505">
        <w:r>
          <w:rPr>
            <w:color w:val="0000EE"/>
            <w:u w:val="single"/>
          </w:rPr>
          <w:t>Lévitique 21.18</w:t>
        </w:r>
      </w:hyperlink>
      <w:r>
        <w:t xml:space="preserve"> signifie un nez fortement affecté par une maladie. De nombreux syndromes génétiques peuvent causer des déformations du nez, mais aussi des maladies telles que :</w:t>
      </w:r>
    </w:p>
    <w:p>
      <w:pPr>
        <w:pStyle w:val="ListBullet"/>
        <w:spacing w:line="240" w:lineRule="auto"/>
        <w:ind w:left="720"/>
      </w:pPr>
      <w:r/>
      <w:r>
        <w:t>La syphilis</w:t>
      </w:r>
    </w:p>
    <w:p>
      <w:pPr>
        <w:pStyle w:val="ListBullet"/>
        <w:spacing w:line="240" w:lineRule="auto"/>
        <w:ind w:left="720"/>
      </w:pPr>
      <w:r/>
      <w:r>
        <w:t>La tuberculose</w:t>
      </w:r>
    </w:p>
    <w:p>
      <w:pPr>
        <w:pStyle w:val="ListBullet"/>
        <w:spacing w:line="240" w:lineRule="auto"/>
        <w:ind w:left="720"/>
      </w:pPr>
      <w:r/>
      <w:r>
        <w:t>La lèpre</w:t>
      </w:r>
    </w:p>
    <w:p>
      <w:r/>
      <w:r>
        <w:t>Ces maladies peuvent détruire le cartilage ou l'os du nez, provoquant un creux qui donne au nez une forme ressemblant à une selle de cheval.</w:t>
      </w:r>
    </w:p>
    <w:p>
      <w:r/>
      <w:r>
        <w:t>Tant l'Ancien Testament que le Nouveau décrivent un cas où un homme a un bras ou une main « desséchée ». Cela se produit quand les nerfs qui traversent un membre sont endommagés et que les muscles se dégradent. Une blessure, comme une blessure d'épée au bras, peut avoir le même effet (</w:t>
      </w:r>
      <w:hyperlink r:id="rId3671">
        <w:r>
          <w:rPr>
            <w:color w:val="0000EE"/>
            <w:u w:val="single"/>
          </w:rPr>
          <w:t>Za 11.17</w:t>
        </w:r>
      </w:hyperlink>
      <w:r>
        <w:t>). Dans le Nouveau Testament, Jésus guérit un homme avec une main paralysée (</w:t>
      </w:r>
      <w:hyperlink r:id="rId3672">
        <w:r>
          <w:rPr>
            <w:color w:val="0000EE"/>
            <w:u w:val="single"/>
          </w:rPr>
          <w:t xml:space="preserve">Mt 12.10 </w:t>
        </w:r>
      </w:hyperlink>
      <w:r>
        <w:t xml:space="preserve"> ; </w:t>
      </w:r>
      <w:hyperlink r:id="rId3673">
        <w:r>
          <w:rPr>
            <w:color w:val="0000EE"/>
            <w:u w:val="single"/>
          </w:rPr>
          <w:t xml:space="preserve">Mc 3.1 </w:t>
        </w:r>
      </w:hyperlink>
      <w:r>
        <w:t xml:space="preserve"> ; </w:t>
      </w:r>
      <w:hyperlink r:id="rId3674">
        <w:r>
          <w:rPr>
            <w:color w:val="0000EE"/>
            <w:u w:val="single"/>
          </w:rPr>
          <w:t>Lc 6.6</w:t>
        </w:r>
      </w:hyperlink>
      <w:r>
        <w:t>).</w:t>
      </w:r>
    </w:p>
    <w:p>
      <w:r/>
      <w:r>
        <w:rPr>
          <w:i/>
        </w:rPr>
        <w:t>Voir aussi</w:t>
      </w:r>
      <w:r>
        <w:t xml:space="preserve"> </w:t>
      </w:r>
      <w:r>
        <w:t xml:space="preserve">maladie </w:t>
      </w:r>
      <w:r>
        <w:t xml:space="preserve">; </w:t>
      </w:r>
      <w:r>
        <w:t>médecine et pratiques médicales</w:t>
      </w:r>
      <w:r>
        <w:t>.</w:t>
      </w:r>
      <w:r/>
      <w:r/>
    </w:p>
    <w:p>
      <w:r/>
    </w:p>
    <w:p>
      <w:pPr>
        <w:pStyle w:val="Heading2"/>
      </w:pPr>
      <w:r>
        <w:t>Délivrance, Libérateur</w:t>
      </w:r>
      <w:r/>
    </w:p>
    <w:p>
      <w:r/>
      <w:r>
        <w:t>La délivrance signifie sauver ou secourir quelqu'un. Un libérateur est la personne qui effectue l'acte de sauvetage. Les Écritures enseignent que le but ultime de Dieu est de sauver les gens de la malédiction du péché, de la mort, de Satan et de l'enfer.</w:t>
      </w:r>
    </w:p>
    <w:p>
      <w:pPr>
        <w:pStyle w:val="Heading3"/>
      </w:pPr>
      <w:r>
        <w:t>La délivrance dans l'Ancien Testament</w:t>
      </w:r>
    </w:p>
    <w:p>
      <w:r/>
      <w:r>
        <w:t>L'Ancien Testament montre que Dieu délivre son peuple élu de trois choses :</w:t>
      </w:r>
    </w:p>
    <w:p>
      <w:pPr>
        <w:pStyle w:val="ListNumber"/>
        <w:spacing w:line="240" w:lineRule="auto"/>
        <w:ind w:left="720"/>
      </w:pPr>
      <w:r/>
      <w:r>
        <w:t>L'esclavage en Égypte</w:t>
      </w:r>
    </w:p>
    <w:p>
      <w:pPr>
        <w:pStyle w:val="ListNumber"/>
        <w:spacing w:line="240" w:lineRule="auto"/>
        <w:ind w:left="720"/>
      </w:pPr>
      <w:r/>
      <w:r>
        <w:t>La captivité à Babylone</w:t>
      </w:r>
    </w:p>
    <w:p>
      <w:pPr>
        <w:pStyle w:val="ListNumber"/>
        <w:spacing w:line="240" w:lineRule="auto"/>
        <w:ind w:left="720"/>
      </w:pPr>
      <w:r/>
      <w:r>
        <w:t>L'attaque de divers groupes vivant en Palestine</w:t>
      </w:r>
    </w:p>
    <w:p>
      <w:r/>
      <w:r>
        <w:t>Les chrétiens considèreront ces actes de délivrance comme des indications pointant vers Jésus-Christ. Jésus est le plus grand libérateur (sauveur) de tous.</w:t>
      </w:r>
    </w:p>
    <w:p>
      <w:r/>
      <w:r>
        <w:t>Le nom « libérateur » apparaît de nombreuses fois dans l'Ancien Testament. Trois fois, le mot fait référence à un être humain :</w:t>
      </w:r>
    </w:p>
    <w:p>
      <w:pPr>
        <w:pStyle w:val="ListNumber"/>
        <w:spacing w:line="240" w:lineRule="auto"/>
        <w:ind w:left="720"/>
      </w:pPr>
      <w:r/>
      <w:r>
        <w:t xml:space="preserve">Othniel a délivré Israël de l'oppression de </w:t>
      </w:r>
      <w:r>
        <w:t>Cuschan-Rischeathaïm</w:t>
      </w:r>
      <w:r>
        <w:t>, roi de Mésopotamie (</w:t>
      </w:r>
      <w:hyperlink r:id="rId3675">
        <w:r>
          <w:rPr>
            <w:color w:val="0000EE"/>
            <w:u w:val="single"/>
          </w:rPr>
          <w:t>Jg 3.8–10</w:t>
        </w:r>
      </w:hyperlink>
      <w:r>
        <w:t>).</w:t>
      </w:r>
    </w:p>
    <w:p>
      <w:pPr>
        <w:pStyle w:val="ListNumber"/>
        <w:spacing w:line="240" w:lineRule="auto"/>
        <w:ind w:left="720"/>
      </w:pPr>
      <w:r/>
      <w:r>
        <w:t>Éhud a délivré Israël d'Églon, roi de Moab (</w:t>
      </w:r>
      <w:hyperlink r:id="rId3676">
        <w:r>
          <w:rPr>
            <w:color w:val="0000EE"/>
            <w:u w:val="single"/>
          </w:rPr>
          <w:t>Jg 3.15, 30</w:t>
        </w:r>
      </w:hyperlink>
      <w:r>
        <w:t>).</w:t>
      </w:r>
    </w:p>
    <w:p>
      <w:pPr>
        <w:pStyle w:val="ListNumber"/>
        <w:spacing w:line="240" w:lineRule="auto"/>
        <w:ind w:left="720"/>
      </w:pPr>
      <w:r/>
      <w:hyperlink r:id="rId3677">
        <w:r>
          <w:rPr>
            <w:color w:val="0000EE"/>
            <w:u w:val="single"/>
          </w:rPr>
          <w:t>Juges 18.27–29</w:t>
        </w:r>
      </w:hyperlink>
      <w:r>
        <w:t xml:space="preserve"> indique qu' il n'y avait personne pour délivrer Laïsch de la conquête par la tribu de Dan.</w:t>
      </w:r>
    </w:p>
    <w:p>
      <w:r/>
      <w:r>
        <w:t>D'autres utilisations de « libérateur » se réfèrent à Dieu lui-même en tant que libérateur personnel de son peuple (</w:t>
      </w:r>
      <w:hyperlink r:id="rId3678">
        <w:r>
          <w:rPr>
            <w:color w:val="0000EE"/>
            <w:u w:val="single"/>
          </w:rPr>
          <w:t>2S 22.2</w:t>
        </w:r>
      </w:hyperlink>
      <w:r>
        <w:t xml:space="preserve"> ; </w:t>
      </w:r>
      <w:hyperlink r:id="rId3679">
        <w:r>
          <w:rPr>
            <w:color w:val="0000EE"/>
            <w:u w:val="single"/>
          </w:rPr>
          <w:t>Ps 18.2</w:t>
        </w:r>
      </w:hyperlink>
      <w:r>
        <w:t xml:space="preserve"> ; </w:t>
      </w:r>
      <w:hyperlink r:id="rId3680">
        <w:r>
          <w:rPr>
            <w:color w:val="0000EE"/>
            <w:u w:val="single"/>
          </w:rPr>
          <w:t>40.17</w:t>
        </w:r>
      </w:hyperlink>
      <w:r>
        <w:t xml:space="preserve"> ; </w:t>
      </w:r>
      <w:hyperlink r:id="rId3681">
        <w:r>
          <w:rPr>
            <w:color w:val="0000EE"/>
            <w:u w:val="single"/>
          </w:rPr>
          <w:t>70.5</w:t>
        </w:r>
      </w:hyperlink>
      <w:r>
        <w:t xml:space="preserve"> ; </w:t>
      </w:r>
      <w:hyperlink r:id="rId3682">
        <w:r>
          <w:rPr>
            <w:color w:val="0000EE"/>
            <w:u w:val="single"/>
          </w:rPr>
          <w:t>144.2</w:t>
        </w:r>
      </w:hyperlink>
      <w:r>
        <w:t>).</w:t>
      </w:r>
    </w:p>
    <w:p>
      <w:r/>
      <w:r>
        <w:t>Le concept fondamental de libérateur dans l'Ancien Testament est exprimé par un mot hébreu signifiant « proche parent ». Un parent proche était responsable d'aider un individu en détresse et de le racheter de l'esclavage. Dieu a envoyé de l'aide lorsque son peuple était en danger. Il a également agi en tant que leur libérateur lors de l'exode d'Égypte (Ex 3.7–8).</w:t>
      </w:r>
    </w:p>
    <w:p>
      <w:pPr>
        <w:pStyle w:val="Heading3"/>
      </w:pPr>
      <w:r>
        <w:t>La délivrance dans le Nouveau Testament</w:t>
      </w:r>
    </w:p>
    <w:p>
      <w:r/>
      <w:r>
        <w:t>Dans le Nouveau Testament, Jésus a cité un passage messianique (</w:t>
      </w:r>
      <w:hyperlink r:id="rId3683">
        <w:r>
          <w:rPr>
            <w:color w:val="0000EE"/>
            <w:u w:val="single"/>
          </w:rPr>
          <w:t>Es 61.1–2</w:t>
        </w:r>
      </w:hyperlink>
      <w:r>
        <w:t>) comme décrivant sa mission de proclamer la libération (ou délivrance) aux captifs (</w:t>
      </w:r>
      <w:hyperlink r:id="rId1506">
        <w:r>
          <w:rPr>
            <w:color w:val="0000EE"/>
            <w:u w:val="single"/>
          </w:rPr>
          <w:t>Lc 4.18</w:t>
        </w:r>
      </w:hyperlink>
      <w:r>
        <w:t xml:space="preserve">). Dans </w:t>
      </w:r>
      <w:hyperlink r:id="rId3684">
        <w:r>
          <w:rPr>
            <w:color w:val="0000EE"/>
            <w:u w:val="single"/>
          </w:rPr>
          <w:t>Actes 7.35</w:t>
        </w:r>
      </w:hyperlink>
      <w:r>
        <w:t xml:space="preserve">, Moïse est appelé un libérateur d'Israël. Dans </w:t>
      </w:r>
      <w:hyperlink r:id="rId3685">
        <w:r>
          <w:rPr>
            <w:color w:val="0000EE"/>
            <w:u w:val="single"/>
          </w:rPr>
          <w:t>Romains 11.26</w:t>
        </w:r>
      </w:hyperlink>
      <w:r>
        <w:t xml:space="preserve">, l'apôtre Paul a paraphrasé </w:t>
      </w:r>
      <w:hyperlink r:id="rId3686">
        <w:r>
          <w:rPr>
            <w:color w:val="0000EE"/>
            <w:u w:val="single"/>
          </w:rPr>
          <w:t>Ésaïe 59.20</w:t>
        </w:r>
      </w:hyperlink>
      <w:r>
        <w:t xml:space="preserve">, disant : « </w:t>
      </w:r>
      <w:r>
        <w:t>Le libérateur viendra de Sion</w:t>
      </w:r>
      <w:r>
        <w:t xml:space="preserve"> ». Cela se réfère à Jésus-Christ.</w:t>
      </w:r>
    </w:p>
    <w:p>
      <w:r/>
      <w:r>
        <w:rPr>
          <w:i/>
        </w:rPr>
        <w:t>Voir aussi</w:t>
      </w:r>
      <w:r>
        <w:t xml:space="preserve"> </w:t>
      </w:r>
      <w:r>
        <w:t>Messie</w:t>
      </w:r>
      <w:r>
        <w:t xml:space="preserve"> ; </w:t>
      </w:r>
      <w:r>
        <w:t>Rédempteur, Rédemption</w:t>
      </w:r>
      <w:r>
        <w:t>.</w:t>
      </w:r>
      <w:r/>
      <w:r/>
    </w:p>
    <w:p>
      <w:r/>
    </w:p>
    <w:p>
      <w:pPr>
        <w:pStyle w:val="Heading2"/>
      </w:pPr>
      <w:r>
        <w:t>Déluge, Le</w:t>
      </w:r>
      <w:r/>
    </w:p>
    <w:p>
      <w:r/>
      <w:r>
        <w:t xml:space="preserve">Montée et débordement de l'eau pour couvrir la terre, spécifiquement le déluge associé à Noé dans </w:t>
      </w:r>
      <w:hyperlink r:id="rId2533">
        <w:r>
          <w:rPr>
            <w:color w:val="0000EE"/>
            <w:u w:val="single"/>
          </w:rPr>
          <w:t>Genèse 6–9</w:t>
        </w:r>
      </w:hyperlink>
      <w:r>
        <w:t>.</w:t>
      </w:r>
    </w:p>
    <w:p>
      <w:pPr>
        <w:pStyle w:val="Heading3"/>
      </w:pPr>
      <w:r>
        <w:t>Récit biblique</w:t>
      </w:r>
    </w:p>
    <w:p>
      <w:r/>
      <w:r>
        <w:t xml:space="preserve">L'histoire du déluge de Noé est racontée dans </w:t>
      </w:r>
      <w:hyperlink r:id="rId2533">
        <w:r>
          <w:rPr>
            <w:color w:val="0000EE"/>
            <w:u w:val="single"/>
          </w:rPr>
          <w:t>Genèse 6–9</w:t>
        </w:r>
      </w:hyperlink>
      <w:r>
        <w:t>. Elle est souvent mentionnée dans la Bible, toujours comme un événement réel (</w:t>
      </w:r>
      <w:hyperlink r:id="rId3687">
        <w:r>
          <w:rPr>
            <w:color w:val="0000EE"/>
            <w:u w:val="single"/>
          </w:rPr>
          <w:t>Gn 10.1, 32</w:t>
        </w:r>
      </w:hyperlink>
      <w:r>
        <w:t xml:space="preserve"> ; </w:t>
      </w:r>
      <w:hyperlink r:id="rId1314">
        <w:r>
          <w:rPr>
            <w:color w:val="0000EE"/>
            <w:u w:val="single"/>
          </w:rPr>
          <w:t>11.10</w:t>
        </w:r>
      </w:hyperlink>
      <w:r>
        <w:t xml:space="preserve"> ; </w:t>
      </w:r>
      <w:hyperlink r:id="rId3688">
        <w:r>
          <w:rPr>
            <w:color w:val="0000EE"/>
            <w:u w:val="single"/>
          </w:rPr>
          <w:t>Mt 24.38</w:t>
        </w:r>
      </w:hyperlink>
      <w:r>
        <w:t>–</w:t>
      </w:r>
      <w:hyperlink r:id="rId3688">
        <w:r>
          <w:rPr>
            <w:color w:val="0000EE"/>
            <w:u w:val="single"/>
          </w:rPr>
          <w:t>39</w:t>
        </w:r>
      </w:hyperlink>
      <w:r>
        <w:t xml:space="preserve"> ; </w:t>
      </w:r>
      <w:hyperlink r:id="rId3689">
        <w:r>
          <w:rPr>
            <w:color w:val="0000EE"/>
            <w:u w:val="single"/>
          </w:rPr>
          <w:t>Lc 17.27</w:t>
        </w:r>
      </w:hyperlink>
      <w:r>
        <w:t xml:space="preserve"> ; </w:t>
      </w:r>
      <w:hyperlink r:id="rId3690">
        <w:r>
          <w:rPr>
            <w:color w:val="0000EE"/>
            <w:u w:val="single"/>
          </w:rPr>
          <w:t>2P 2.5</w:t>
        </w:r>
      </w:hyperlink>
      <w:r>
        <w:t xml:space="preserve">). Dans la Bible, Dieu a envoyé le Déluge à cause du péché, qui était si grave que « </w:t>
      </w:r>
      <w:r>
        <w:t>la méchanceté des hommes était grande sur la terr</w:t>
      </w:r>
      <w:r>
        <w:t>e » (</w:t>
      </w:r>
      <w:hyperlink r:id="rId2793">
        <w:r>
          <w:rPr>
            <w:color w:val="0000EE"/>
            <w:u w:val="single"/>
          </w:rPr>
          <w:t>Gn 6.5</w:t>
        </w:r>
      </w:hyperlink>
      <w:r>
        <w:t xml:space="preserve">). Dieu a décidé de détruire tout le monde et de recommencer avec des personnes qui lui obéiraient (voir </w:t>
      </w:r>
      <w:hyperlink r:id="rId3691">
        <w:r>
          <w:rPr>
            <w:color w:val="0000EE"/>
            <w:u w:val="single"/>
          </w:rPr>
          <w:t>Gn 1.26–28</w:t>
        </w:r>
      </w:hyperlink>
      <w:r>
        <w:t>). Les seules personnes fidèles au Seigneur étaient Noé, ses fils et leurs épouses. Dieu les a utilisés pour recréer la terre après sa destruction.</w:t>
      </w:r>
    </w:p>
    <w:p>
      <w:r/>
      <w:r>
        <w:t>Noé a passé cent-vingt ans à construire un grand navire et à avertir les gens du jugement à venir de Dieu (</w:t>
      </w:r>
      <w:hyperlink r:id="rId2286">
        <w:r>
          <w:rPr>
            <w:color w:val="0000EE"/>
            <w:u w:val="single"/>
          </w:rPr>
          <w:t>Gn 6.3</w:t>
        </w:r>
      </w:hyperlink>
      <w:r>
        <w:t xml:space="preserve"> ; voir </w:t>
      </w:r>
      <w:hyperlink r:id="rId3692">
        <w:r>
          <w:rPr>
            <w:color w:val="0000EE"/>
            <w:u w:val="single"/>
          </w:rPr>
          <w:t>He 11.7</w:t>
        </w:r>
      </w:hyperlink>
      <w:r>
        <w:t xml:space="preserve"> ; </w:t>
      </w:r>
      <w:hyperlink r:id="rId664">
        <w:r>
          <w:rPr>
            <w:color w:val="0000EE"/>
            <w:u w:val="single"/>
          </w:rPr>
          <w:t>1P 3.20</w:t>
        </w:r>
      </w:hyperlink>
      <w:r>
        <w:t xml:space="preserve"> ; </w:t>
      </w:r>
      <w:hyperlink r:id="rId3690">
        <w:r>
          <w:rPr>
            <w:color w:val="0000EE"/>
            <w:u w:val="single"/>
          </w:rPr>
          <w:t>2P 2.5</w:t>
        </w:r>
      </w:hyperlink>
      <w:r>
        <w:t>). Quand le Déluge est venu, il a plu abondamment, et les eaux souterraines ont monté (</w:t>
      </w:r>
      <w:hyperlink r:id="rId3693">
        <w:r>
          <w:rPr>
            <w:color w:val="0000EE"/>
            <w:u w:val="single"/>
          </w:rPr>
          <w:t>Gn 7.11</w:t>
        </w:r>
      </w:hyperlink>
      <w:r>
        <w:t>). Seule la famille de Noé et les animaux terrestres qu'il avait amenés sur le navire ont été sauvés de l'eau. Le Déluge a duré plus d'un an. Les eaux ont fini par se retirer, et la terre était à nouveau sèche (</w:t>
      </w:r>
      <w:hyperlink r:id="rId3694">
        <w:r>
          <w:rPr>
            <w:color w:val="0000EE"/>
            <w:u w:val="single"/>
          </w:rPr>
          <w:t>Gn 7.6</w:t>
        </w:r>
      </w:hyperlink>
      <w:r>
        <w:t>–</w:t>
      </w:r>
      <w:hyperlink r:id="rId3694">
        <w:r>
          <w:rPr>
            <w:color w:val="0000EE"/>
            <w:u w:val="single"/>
          </w:rPr>
          <w:t>12, 24</w:t>
        </w:r>
      </w:hyperlink>
      <w:r>
        <w:t xml:space="preserve"> ; </w:t>
      </w:r>
      <w:hyperlink r:id="rId3695">
        <w:r>
          <w:rPr>
            <w:color w:val="0000EE"/>
            <w:u w:val="single"/>
          </w:rPr>
          <w:t>8.3</w:t>
        </w:r>
      </w:hyperlink>
      <w:r>
        <w:t>–</w:t>
      </w:r>
      <w:hyperlink r:id="rId3695">
        <w:r>
          <w:rPr>
            <w:color w:val="0000EE"/>
            <w:u w:val="single"/>
          </w:rPr>
          <w:t>6, 10</w:t>
        </w:r>
      </w:hyperlink>
      <w:r>
        <w:t>–</w:t>
      </w:r>
      <w:hyperlink r:id="rId3695">
        <w:r>
          <w:rPr>
            <w:color w:val="0000EE"/>
            <w:u w:val="single"/>
          </w:rPr>
          <w:t>14</w:t>
        </w:r>
      </w:hyperlink>
      <w:r>
        <w:t>). Quand Noé et sa famille ont quitté l'arche, ils ont offert des sacrifices à Dieu pour le remercier. Dieu a promis qu'il n'enverrait plus jamais de déluge pour détruire la terre.</w:t>
      </w:r>
    </w:p>
    <w:p>
      <w:pPr>
        <w:pStyle w:val="Heading3"/>
      </w:pPr>
      <w:r>
        <w:t>La Mesure du Déluge</w:t>
      </w:r>
    </w:p>
    <w:p>
      <w:r/>
      <w:r>
        <w:t>Ceux qui croient que le récit du Déluge est vrai ne s'accordent pas sur son ampleur. Le récit semble suggérer que la terre entière a été inondée jusqu'au sommet des plus hautes montagnes (</w:t>
      </w:r>
      <w:hyperlink r:id="rId3696">
        <w:r>
          <w:rPr>
            <w:color w:val="0000EE"/>
            <w:u w:val="single"/>
          </w:rPr>
          <w:t>Gn 7.17</w:t>
        </w:r>
      </w:hyperlink>
      <w:r>
        <w:t>–</w:t>
      </w:r>
      <w:hyperlink r:id="rId3696">
        <w:r>
          <w:rPr>
            <w:color w:val="0000EE"/>
            <w:u w:val="single"/>
          </w:rPr>
          <w:t>20</w:t>
        </w:r>
      </w:hyperlink>
      <w:r>
        <w:t xml:space="preserve"> ; </w:t>
      </w:r>
      <w:hyperlink r:id="rId1130">
        <w:r>
          <w:rPr>
            <w:color w:val="0000EE"/>
            <w:u w:val="single"/>
          </w:rPr>
          <w:t>8.4</w:t>
        </w:r>
      </w:hyperlink>
      <w:r>
        <w:t xml:space="preserve">). Certains ont soutenu que des eaux suffisamment hautes pour couvrir « </w:t>
      </w:r>
      <w:r>
        <w:t>toutes les hautes montagnes qui sont sous le ciel</w:t>
      </w:r>
      <w:r>
        <w:t xml:space="preserve"> » (</w:t>
      </w:r>
      <w:hyperlink r:id="rId3697">
        <w:r>
          <w:rPr>
            <w:color w:val="0000EE"/>
            <w:u w:val="single"/>
          </w:rPr>
          <w:t>Gn 7.19</w:t>
        </w:r>
      </w:hyperlink>
      <w:r>
        <w:t xml:space="preserve">) couvriraient toute la terre. Ceux qui plaident pour un Déluge local notent que le texte dit qu'il </w:t>
      </w:r>
      <w:r>
        <w:rPr>
          <w:i/>
        </w:rPr>
        <w:t>semblait</w:t>
      </w:r>
      <w:r>
        <w:t xml:space="preserve"> que toute la terre était inondée. Ainsi, un Déluge mondial était inutile. Dieu voulait détruire les humains, qui vivaient peut-être seulement en Mésopotamie à cette époque. D'autres soutiennent que dans la Bible, « terre » n'est souvent pas pris littéralement. Dans </w:t>
      </w:r>
      <w:hyperlink r:id="rId1226">
        <w:r>
          <w:rPr>
            <w:color w:val="0000EE"/>
            <w:u w:val="single"/>
          </w:rPr>
          <w:t>Gn 1.1</w:t>
        </w:r>
      </w:hyperlink>
      <w:r>
        <w:t>, « ciel et terre » signifie « l'univers ». Parfois, « terre » décrit un seul pays (</w:t>
      </w:r>
      <w:hyperlink r:id="rId3698">
        <w:r>
          <w:rPr>
            <w:color w:val="0000EE"/>
            <w:u w:val="single"/>
          </w:rPr>
          <w:t>Gn 47.13</w:t>
        </w:r>
      </w:hyperlink>
      <w:r>
        <w:t>), le sol lui-même (</w:t>
      </w:r>
      <w:hyperlink r:id="rId3699">
        <w:r>
          <w:rPr>
            <w:color w:val="0000EE"/>
            <w:u w:val="single"/>
          </w:rPr>
          <w:t>23.15</w:t>
        </w:r>
      </w:hyperlink>
      <w:r>
        <w:t>), et ainsi de suite. Il n'est donc pas nécessaire de penser que l'histoire du Déluge de la Genèse implique que le monde entier a été inondé.</w:t>
      </w:r>
    </w:p>
    <w:p>
      <w:r/>
      <w:r>
        <w:t xml:space="preserve">Certaines personnes qui croient en un Déluge universel soutiennent qu'il y a des fossiles marins au sommet des montagnes, et que l'eau a donc dû les recouvrir. D'autres ne sont pas d'accord, affirmant que toutes les montagnes proviennent à l'origine des mers, il est donc raisonnable qu'elles abritent des preuves de vie marine. Les croyances théologiques et les interprétations de la Bible déterminent la manière de comprendre si le Déluge était global ou local. </w:t>
      </w:r>
      <w:r>
        <w:rPr>
          <w:i/>
        </w:rPr>
        <w:t>Voir</w:t>
      </w:r>
      <w:r>
        <w:t xml:space="preserve"> </w:t>
      </w:r>
      <w:r>
        <w:t>« Preuves scientifiques du Déluge ? »</w:t>
      </w:r>
      <w:r>
        <w:t>.</w:t>
      </w:r>
    </w:p>
    <w:p>
      <w:r/>
      <w:r>
        <w:rPr>
          <w:i/>
        </w:rPr>
        <w:t>Voir aussi</w:t>
      </w:r>
      <w:r>
        <w:t xml:space="preserve"> </w:t>
      </w:r>
      <w:r>
        <w:t>Épopée de Gilgamesh</w:t>
      </w:r>
      <w:r>
        <w:t xml:space="preserve"> ; </w:t>
      </w:r>
      <w:r>
        <w:t>Noé n° 1</w:t>
      </w:r>
      <w:r>
        <w:t>.</w:t>
      </w:r>
      <w:r/>
      <w:r/>
    </w:p>
    <w:p>
      <w:r/>
    </w:p>
    <w:p>
      <w:pPr>
        <w:pStyle w:val="Heading2"/>
      </w:pPr>
      <w:r>
        <w:t>Démétrius, Démétrios</w:t>
      </w:r>
      <w:r/>
    </w:p>
    <w:p>
      <w:r/>
      <w:r>
        <w:t>Nom (« Fils de Déméter ») de cinq personnes à l'époque biblique : trois rois syriens et deux figures du Nouveau Testament.</w:t>
      </w:r>
    </w:p>
    <w:p>
      <w:r/>
      <w:r>
        <w:t>1. Successeur d'Antiochus V Eupator, Démétrios 1er était roi (160–151 av. J.‑C.) lorsque le soulèvement juif mené par Judas Maccabée était en cours. Il a tenté plusieurs campagnes infructueuses contre les Juifs (</w:t>
      </w:r>
      <w:hyperlink r:id="rId3700">
        <w:r>
          <w:rPr>
            <w:color w:val="0000EE"/>
            <w:u w:val="single"/>
          </w:rPr>
          <w:t>1 M 7.1–10</w:t>
        </w:r>
      </w:hyperlink>
      <w:r>
        <w:t xml:space="preserve"> ; </w:t>
      </w:r>
      <w:hyperlink r:id="rId3701">
        <w:r>
          <w:rPr>
            <w:color w:val="0000EE"/>
            <w:u w:val="single"/>
          </w:rPr>
          <w:t>2 M 14.1–15, 26–28</w:t>
        </w:r>
      </w:hyperlink>
      <w:r>
        <w:t>). Vers la fin de son règne, Démétrios a été défié par Alexandre Épiphane et a été tué au combat (</w:t>
      </w:r>
      <w:hyperlink r:id="rId3702">
        <w:r>
          <w:rPr>
            <w:color w:val="0000EE"/>
            <w:u w:val="single"/>
          </w:rPr>
          <w:t>1 M 10.46–50</w:t>
        </w:r>
      </w:hyperlink>
      <w:r>
        <w:t>).</w:t>
      </w:r>
    </w:p>
    <w:p>
      <w:r/>
      <w:r>
        <w:t>2. Fils de Démétrios 1er. Après la défaite et la mort de son père, Démétriuos II cherchera refuge en Crète, puis défiera Alexandre Épiphane en envahissant la Syrie avec une armée de mercenaires étrangers. Démétrios conclura finalement un traité avec les Juifs et obtiendra le trône syrien en 145 av. J.‑C. (</w:t>
      </w:r>
      <w:hyperlink r:id="rId3703">
        <w:r>
          <w:rPr>
            <w:color w:val="0000EE"/>
            <w:u w:val="single"/>
          </w:rPr>
          <w:t>1 M 11.32–37</w:t>
        </w:r>
      </w:hyperlink>
      <w:r>
        <w:t xml:space="preserve">). Les Juifs aideront également Démétrios contre un autre rival, Tryphon, jusqu'à ce qu'il rompe sa parole envers eux (v. </w:t>
      </w:r>
      <w:hyperlink r:id="rId3704">
        <w:r>
          <w:rPr>
            <w:color w:val="0000EE"/>
            <w:u w:val="single"/>
          </w:rPr>
          <w:t>54–55</w:t>
        </w:r>
      </w:hyperlink>
      <w:r>
        <w:t>). Dans le conflit ultérieur entre Démétrios et Tryphon, les Juifs, sous la direction du frère de Jonathan, Simon Maccabée, obtiendront l'indépendance (</w:t>
      </w:r>
      <w:hyperlink r:id="rId3705">
        <w:r>
          <w:rPr>
            <w:color w:val="0000EE"/>
            <w:u w:val="single"/>
          </w:rPr>
          <w:t>13.34–42</w:t>
        </w:r>
      </w:hyperlink>
      <w:r>
        <w:t>). Démétrius sera capturé par Arsace VI (Mithridate 1er), roi de Parthie, vers 138 av. J.‑C. (</w:t>
      </w:r>
      <w:hyperlink r:id="rId3706">
        <w:r>
          <w:rPr>
            <w:color w:val="0000EE"/>
            <w:u w:val="single"/>
          </w:rPr>
          <w:t>1 M 14.1–3</w:t>
        </w:r>
      </w:hyperlink>
      <w:r>
        <w:t>). Il retournera sur le trône syrien dix ans plus tard et régna brièvement jusqu'à son assassinat (125 av. J.‑C.).</w:t>
      </w:r>
    </w:p>
    <w:p>
      <w:r/>
      <w:r>
        <w:t>3. Petit-fils de Démétrios II, Démétrios III régnera sur la Syrie (95–88 av. J.‑C.) durant les années tumultueuses de l'ère séleucide. Un parti influent en Israël, les Pharisiens, a cherché son aide sans succès dans leur lutte contre le roi-prêtre Alexandre Jannée.</w:t>
      </w:r>
    </w:p>
    <w:p>
      <w:r/>
      <w:r>
        <w:t>4. Orfèvre païen dans la ville d'Éphèse. Il provoquera une émeute contre les évangélistes chrétiens dont la prédication avait des effets néfastes sur son commerce (</w:t>
      </w:r>
      <w:hyperlink r:id="rId527">
        <w:r>
          <w:rPr>
            <w:color w:val="0000EE"/>
            <w:u w:val="single"/>
          </w:rPr>
          <w:t>Ac 19.23–41</w:t>
        </w:r>
      </w:hyperlink>
      <w:r>
        <w:t>). La ville d'Éphèse était un centre du culte de Diane (contrepartie latine de la déesse grecque Artémis), la déesse de la chasse. Un immense temple, l'une des sept merveilles du monde antique, y avait été érigé pour y abriter son culte. Parmi les entreprises commerciales liées au culte de Diane se trouvait la fabrication d'images religieuses à partir de divers matériaux, y compris l'argent.</w:t>
      </w:r>
    </w:p>
    <w:p>
      <w:r/>
      <w:r>
        <w:t>Démétrius, parlant au nom des orfèvres, a déclaré que son commerce et le culte de Diane étaient menacés par la prédication de l'apôtre Paul et de ses compagnons. En rassemblant les autres orfèvres, il dénoncera Paul. L'assemblée publique provoquera une émeute générale, et une foule traînera trois des compagnons de Paul à l'amphithéâtre. Le greffier de la ville, responsable devant les autorités romaines du maintien de l'ordre public, finira par réussir à calmer la foule, les persuadant de porter leurs éventuels griefs devant le tribunal.</w:t>
      </w:r>
    </w:p>
    <w:p>
      <w:r/>
      <w:r>
        <w:t>5. Croyant chrétien que l'apôtre Jean a loué dans sa troisième lettre du Nouveau Testament (</w:t>
      </w:r>
      <w:hyperlink r:id="rId3707">
        <w:r>
          <w:rPr>
            <w:color w:val="0000EE"/>
            <w:u w:val="single"/>
          </w:rPr>
          <w:t>3Jn 1.12</w:t>
        </w:r>
      </w:hyperlink>
      <w:r>
        <w:t>). Démétrius a peut-être été le porteur de cette lettre.</w:t>
      </w:r>
    </w:p>
    <w:p>
      <w:r/>
      <w:r>
        <w:rPr>
          <w:i/>
        </w:rPr>
        <w:t>Voir aussi</w:t>
      </w:r>
      <w:r>
        <w:t xml:space="preserve"> </w:t>
      </w:r>
      <w:r>
        <w:t>Jean, Lettres de</w:t>
      </w:r>
      <w:r>
        <w:t>.</w:t>
      </w:r>
      <w:r/>
      <w:r/>
    </w:p>
    <w:p>
      <w:r/>
    </w:p>
    <w:p>
      <w:pPr>
        <w:pStyle w:val="Heading2"/>
      </w:pPr>
      <w:r>
        <w:t>Dénombrement, recensement</w:t>
      </w:r>
      <w:r/>
    </w:p>
    <w:p>
      <w:r/>
      <w:r>
        <w:t>Inscription et dénombrement de personnes, généralement pour la guerre ou les impôts. La Bible mentionne quelques dénombrements.</w:t>
      </w:r>
    </w:p>
    <w:p>
      <w:r/>
      <w:r>
        <w:t>Le premier est effectué au mont Sinaï deux ans après l'exode. Tous les hommes israélites de plus de 20 ans sont comptés pour évaluer la force militaire de la nouvelle nation : 603 550 au total (</w:t>
      </w:r>
      <w:hyperlink r:id="rId3708">
        <w:r>
          <w:rPr>
            <w:color w:val="0000EE"/>
            <w:u w:val="single"/>
          </w:rPr>
          <w:t>Nb 1.1–3, 46</w:t>
        </w:r>
      </w:hyperlink>
      <w:r>
        <w:t>). Un recensement spécial des Lévites, qui servent au tabernacle au lieu de remplir un devoir militaire, compte 22 000 garçons et hommes. Seuls 8 580 d'entre eux sont éligibles pour le service sacerdotal (</w:t>
      </w:r>
      <w:hyperlink r:id="rId3709">
        <w:r>
          <w:rPr>
            <w:color w:val="0000EE"/>
            <w:u w:val="single"/>
          </w:rPr>
          <w:t xml:space="preserve">Nb 3.15, 39 </w:t>
        </w:r>
      </w:hyperlink>
      <w:r>
        <w:t xml:space="preserve">; </w:t>
      </w:r>
      <w:hyperlink r:id="rId3710">
        <w:r>
          <w:rPr>
            <w:color w:val="0000EE"/>
            <w:u w:val="single"/>
          </w:rPr>
          <w:t>4.46–48</w:t>
        </w:r>
      </w:hyperlink>
      <w:r>
        <w:t>).</w:t>
      </w:r>
    </w:p>
    <w:p>
      <w:r/>
      <w:r>
        <w:t>Le deuxième dénombrement a lieu à la fin des 40 années d'Israël dans le désert (</w:t>
      </w:r>
      <w:hyperlink r:id="rId3711">
        <w:r>
          <w:rPr>
            <w:color w:val="0000EE"/>
            <w:u w:val="single"/>
          </w:rPr>
          <w:t>Nb 26</w:t>
        </w:r>
      </w:hyperlink>
      <w:r>
        <w:t>). C'est également un recensement militaire, effectué juste avant la conquête de la Terre promise par les Israélites. Ce dénombrement compte 601 730 hommes aptes à combattre (</w:t>
      </w:r>
      <w:hyperlink r:id="rId3712">
        <w:r>
          <w:rPr>
            <w:color w:val="0000EE"/>
            <w:u w:val="single"/>
          </w:rPr>
          <w:t>Nb 26.51</w:t>
        </w:r>
      </w:hyperlink>
      <w:r>
        <w:t>), sans compter les Lévites. Les 23 000 Lévites sont comptés séparément car ils ne reçoivent pas de terre (</w:t>
      </w:r>
      <w:hyperlink r:id="rId3713">
        <w:r>
          <w:rPr>
            <w:color w:val="0000EE"/>
            <w:u w:val="single"/>
          </w:rPr>
          <w:t>Nb 26.62</w:t>
        </w:r>
      </w:hyperlink>
      <w:r>
        <w:t>). Les Israélites paient chacun un demi-sicle, environ six grammes d'argent, pour ce dénombrement (</w:t>
      </w:r>
      <w:hyperlink r:id="rId3714">
        <w:r>
          <w:rPr>
            <w:color w:val="0000EE"/>
            <w:u w:val="single"/>
          </w:rPr>
          <w:t>Ex 30.11–16</w:t>
        </w:r>
      </w:hyperlink>
      <w:r>
        <w:t>).</w:t>
      </w:r>
    </w:p>
    <w:p>
      <w:r/>
      <w:r>
        <w:t>Le troisième dénombrement a lieu vers la fin du règne de David (</w:t>
      </w:r>
      <w:hyperlink r:id="rId3715">
        <w:r>
          <w:rPr>
            <w:color w:val="0000EE"/>
            <w:u w:val="single"/>
          </w:rPr>
          <w:t>2S 24.1–17</w:t>
        </w:r>
      </w:hyperlink>
      <w:r>
        <w:t xml:space="preserve">). Dieu avait ordonné les deux premiers recensements, mais celui-ci a lieu lorsque Dieu est en colère contre Israël. La Bible dit que le Seigneur « excita David contre eux », mais elle n'explique pas les raisons de David pour ce dénombrement (voir </w:t>
      </w:r>
      <w:hyperlink r:id="rId3716">
        <w:r>
          <w:rPr>
            <w:color w:val="0000EE"/>
            <w:u w:val="single"/>
          </w:rPr>
          <w:t>1Ch 21.1</w:t>
        </w:r>
      </w:hyperlink>
      <w:r>
        <w:t xml:space="preserve"> pour une interprétation ultérieure). David aurait pu le vouloir pour la conscription (service militaire), les impôts ou pour évaluer sa puissance en tant que roi d'Israël. </w:t>
      </w:r>
    </w:p>
    <w:p>
      <w:r/>
      <w:r>
        <w:t xml:space="preserve">Joab, le principal commandant militaire de David, pense que faire ce recensement est mal et essaie d'arrêter David. Il n'est incertain que ce dénombrement ait été achevé (voir </w:t>
      </w:r>
      <w:hyperlink r:id="rId3717">
        <w:r>
          <w:rPr>
            <w:color w:val="0000EE"/>
            <w:u w:val="single"/>
          </w:rPr>
          <w:t>1Ch 21.6</w:t>
        </w:r>
      </w:hyperlink>
      <w:r>
        <w:t xml:space="preserve"> ; </w:t>
      </w:r>
      <w:hyperlink r:id="rId3718">
        <w:r>
          <w:rPr>
            <w:color w:val="0000EE"/>
            <w:u w:val="single"/>
          </w:rPr>
          <w:t>27.23–24</w:t>
        </w:r>
      </w:hyperlink>
      <w:r>
        <w:t xml:space="preserve">). Que ce soit avant la fin du dénombrement ou après, David réalise son erreur et se repent. Cependant, Dieu est encore en colère et lui donne le choix entre trois châtiments : trois ans de famine, trois mois de fuite devant un ennemi, ou trois jours d'une peste mortelle. David choisit la peste, qui tue 70 000 hommes. </w:t>
      </w:r>
    </w:p>
    <w:p>
      <w:r/>
      <w:r>
        <w:t>En Israël, 800 000 hommes valides ont été comptés, et en Juda, 500 000 (</w:t>
      </w:r>
      <w:hyperlink r:id="rId3719">
        <w:r>
          <w:rPr>
            <w:color w:val="0000EE"/>
            <w:u w:val="single"/>
          </w:rPr>
          <w:t>2S 24.9</w:t>
        </w:r>
      </w:hyperlink>
      <w:r>
        <w:t>). Un autre récit mentionne une milice potentielle de 1 100 000 en Israël et de 470 000 en Juda (</w:t>
      </w:r>
      <w:hyperlink r:id="rId3720">
        <w:r>
          <w:rPr>
            <w:color w:val="0000EE"/>
            <w:u w:val="single"/>
          </w:rPr>
          <w:t>1Ch 21.5</w:t>
        </w:r>
      </w:hyperlink>
      <w:r>
        <w:t>), plus 38 000 Lévites capables de servir dans le Temple (</w:t>
      </w:r>
      <w:hyperlink r:id="rId3721">
        <w:r>
          <w:rPr>
            <w:color w:val="0000EE"/>
            <w:u w:val="single"/>
          </w:rPr>
          <w:t>1Ch 23.3</w:t>
        </w:r>
      </w:hyperlink>
      <w:r>
        <w:t>). Les spécialistes se demandent pourquoi les nombres du troisième recensement sont presque deux fois plus élevés que ceux des deux premiers. De nombreuses explications ont été proposées, mais aucune n'est entièrement satisfaisante.</w:t>
      </w:r>
    </w:p>
    <w:p>
      <w:r/>
      <w:r>
        <w:t xml:space="preserve">Un quatrième recensement est enregistré dans </w:t>
      </w:r>
      <w:hyperlink r:id="rId3722">
        <w:r>
          <w:rPr>
            <w:color w:val="0000EE"/>
            <w:u w:val="single"/>
          </w:rPr>
          <w:t>Esdras 2</w:t>
        </w:r>
      </w:hyperlink>
      <w:r>
        <w:t>. Il a eu lieu lorsque les exilés retournent à Jérusalem : 42 360 Israélites mâles, 7 337 esclaves (hommes et femmes) et 200 chanteurs (hommes et femmes).</w:t>
      </w:r>
    </w:p>
    <w:p>
      <w:r/>
      <w:r>
        <w:t>Dans le Nouveau Testament, un recensement joue un rôle important dans les événements autour de la naissance de Jésus : « En ce temps-là parut un édit de César Auguste, ordonnant un recensement de toute la terre. Ce premier recensement eut lieu pendant que Quirinius était gouverneur de Syrie. Tous allaient se faire inscrire, chacun dans sa ville » (</w:t>
      </w:r>
      <w:hyperlink r:id="rId3723">
        <w:r>
          <w:rPr>
            <w:color w:val="0000EE"/>
            <w:u w:val="single"/>
          </w:rPr>
          <w:t>Lc 2.1–3</w:t>
        </w:r>
      </w:hyperlink>
      <w:r>
        <w:t>).</w:t>
      </w:r>
    </w:p>
    <w:p>
      <w:r/>
      <w:r>
        <w:t xml:space="preserve">Josèphe, un historien juif du premier siècle apr. J.-C., note que Quirinius achève un recensement peu après être devenu gouverneur de Syrie en 6 apr. J.-C. Mais </w:t>
      </w:r>
      <w:hyperlink r:id="rId3724">
        <w:r>
          <w:rPr>
            <w:color w:val="0000EE"/>
            <w:u w:val="single"/>
          </w:rPr>
          <w:t>Matthieu 2</w:t>
        </w:r>
      </w:hyperlink>
      <w:r>
        <w:t xml:space="preserve"> place la naissance de Jésus sous le règne d'Hérode le Grand, qui meurt en 4 av. J.-C. Cela suggère qu'il y a eu deux recensements différents à cette époque. La référence de Luc au « premier recensement » (</w:t>
      </w:r>
      <w:hyperlink r:id="rId2580">
        <w:r>
          <w:rPr>
            <w:color w:val="0000EE"/>
            <w:u w:val="single"/>
          </w:rPr>
          <w:t>Lc 2.2</w:t>
        </w:r>
      </w:hyperlink>
      <w:r>
        <w:t xml:space="preserve">) le distingue probablement du recensement de 6–7 apr. J.-C. Luc connaît probablement le recensement ultérieur, qu'il mentionne dans </w:t>
      </w:r>
      <w:hyperlink r:id="rId2226">
        <w:r>
          <w:rPr>
            <w:color w:val="0000EE"/>
            <w:u w:val="single"/>
          </w:rPr>
          <w:t>Actes 5.37</w:t>
        </w:r>
      </w:hyperlink>
      <w:r>
        <w:t>. Une série de recensements en Égypte autour de la même période soutient l'idée qu'une série similaire en Palestine. L'explication la plus probable est celle d'un recensement antérieur sous la direction de Quirinius avant qu'il ne devienne officiellement gouverneur.</w:t>
      </w:r>
    </w:p>
    <w:p>
      <w:r/>
      <w:r>
        <w:t>La mention par Luc du recensement sous Quirinius sert deux objectifs. Elle date la naissance de Jésus et explique pourquoi Joseph et Marie se trouvent à Bethléhem. Ce recensement a probablement des fins fiscales (pour les impôts) puisque les Romains n'exigent pas que les Juifs servent dans l'armée. L'obligation de retourner dans sa ville natale reflète à la fois les traditions hébraïques et la volonté de l'empereur romain César Auguste de laisser les Juifs suivre leurs coutumes.</w:t>
      </w:r>
      <w:r/>
      <w:r/>
    </w:p>
    <w:p>
      <w:r/>
    </w:p>
    <w:p>
      <w:pPr>
        <w:pStyle w:val="Heading2"/>
      </w:pPr>
      <w:r>
        <w:t>Denys</w:t>
      </w:r>
      <w:r/>
    </w:p>
    <w:p>
      <w:r/>
      <w:r>
        <w:t>Citoyen important et respecté d'Athènes, devenu croyant après avoir entendu Paul prêcher. Denys était membre de l'Aréopage (un Aréopagite), qui était la cour suprême d'Athènes (</w:t>
      </w:r>
      <w:hyperlink r:id="rId125">
        <w:r>
          <w:rPr>
            <w:color w:val="0000EE"/>
            <w:u w:val="single"/>
          </w:rPr>
          <w:t>Ac 17.34</w:t>
        </w:r>
      </w:hyperlink>
      <w:r>
        <w:t>). Denys était l'une des rares personnes à Athènes à avoir cru au message de Paul sur Jésus.</w:t>
      </w:r>
      <w:r/>
      <w:r/>
    </w:p>
    <w:p>
      <w:r/>
    </w:p>
    <w:p>
      <w:pPr>
        <w:pStyle w:val="Heading2"/>
      </w:pPr>
      <w:r>
        <w:t>Derbe</w:t>
      </w:r>
      <w:r/>
    </w:p>
    <w:p>
      <w:r/>
      <w:r>
        <w:t>Ville de la province romaine d'Asie. Elle était située dans le district de Lycaonie dans la province de Galatie (</w:t>
      </w:r>
      <w:hyperlink r:id="rId3725">
        <w:r>
          <w:rPr>
            <w:color w:val="0000EE"/>
            <w:u w:val="single"/>
          </w:rPr>
          <w:t>Ac 14.6</w:t>
        </w:r>
      </w:hyperlink>
      <w:r>
        <w:t xml:space="preserve">). Derbe sera la dernière ville visitée par Paul lors de son premier voyage missionnaire (v. </w:t>
      </w:r>
      <w:hyperlink r:id="rId3726">
        <w:r>
          <w:rPr>
            <w:color w:val="0000EE"/>
            <w:u w:val="single"/>
          </w:rPr>
          <w:t>20</w:t>
        </w:r>
      </w:hyperlink>
      <w:r>
        <w:t>). Ce sera également la première ville que Paul visitera lors de son deuxième voyage (</w:t>
      </w:r>
      <w:hyperlink r:id="rId3727">
        <w:r>
          <w:rPr>
            <w:color w:val="0000EE"/>
            <w:u w:val="single"/>
          </w:rPr>
          <w:t>16.1</w:t>
        </w:r>
      </w:hyperlink>
      <w:r>
        <w:t>). Il est probable qu'il ait revisité cette ville lors de son troisième voyage (</w:t>
      </w:r>
      <w:hyperlink r:id="rId3728">
        <w:r>
          <w:rPr>
            <w:color w:val="0000EE"/>
            <w:u w:val="single"/>
          </w:rPr>
          <w:t>18.23</w:t>
        </w:r>
      </w:hyperlink>
      <w:r>
        <w:t>).</w:t>
      </w:r>
    </w:p>
    <w:p>
      <w:r/>
      <w:r>
        <w:t>Gaïus était de Derbe (</w:t>
      </w:r>
      <w:hyperlink r:id="rId1302">
        <w:r>
          <w:rPr>
            <w:color w:val="0000EE"/>
            <w:u w:val="single"/>
          </w:rPr>
          <w:t>20.4</w:t>
        </w:r>
      </w:hyperlink>
      <w:r>
        <w:t>). Il était l'un des compagnons missionnaires de Paul lors de son troisième voyage.</w:t>
      </w:r>
      <w:r/>
      <w:r/>
    </w:p>
    <w:p>
      <w:r/>
    </w:p>
    <w:p>
      <w:pPr>
        <w:pStyle w:val="Heading2"/>
      </w:pPr>
      <w:r>
        <w:t>Dernier Jugement</w:t>
      </w:r>
      <w:r/>
    </w:p>
    <w:p>
      <w:r/>
      <w:r>
        <w:t>Le Jugement dernier est le moment ultime où Dieu jugera tous ceux qui ont vécu.</w:t>
      </w:r>
    </w:p>
    <w:p>
      <w:pPr>
        <w:pStyle w:val="Heading3"/>
      </w:pPr>
      <w:r>
        <w:t>Le Jour du Seigneur dans l'Ancien Testament</w:t>
      </w:r>
    </w:p>
    <w:p>
      <w:r/>
      <w:r>
        <w:t>De nombreux prophètes de l'Ancien Testament ont parlé de ce temps. Ils l'appelaient « le Jour du Seigneur ». Ils disaient que Dieu vaincrait toutes les nations mauvaises et établirait son royaume à Sion, sa ville sainte (</w:t>
      </w:r>
      <w:hyperlink r:id="rId3729">
        <w:r>
          <w:rPr>
            <w:color w:val="0000EE"/>
            <w:u w:val="single"/>
          </w:rPr>
          <w:t>Es 4.2</w:t>
        </w:r>
      </w:hyperlink>
      <w:r>
        <w:t xml:space="preserve"> ; </w:t>
      </w:r>
      <w:hyperlink r:id="rId3730">
        <w:r>
          <w:rPr>
            <w:color w:val="0000EE"/>
            <w:u w:val="single"/>
          </w:rPr>
          <w:t>11.10</w:t>
        </w:r>
      </w:hyperlink>
      <w:r>
        <w:t xml:space="preserve"> ; </w:t>
      </w:r>
      <w:hyperlink r:id="rId3731">
        <w:r>
          <w:rPr>
            <w:color w:val="0000EE"/>
            <w:u w:val="single"/>
          </w:rPr>
          <w:t>Jr 50.3–32</w:t>
        </w:r>
      </w:hyperlink>
      <w:r>
        <w:t xml:space="preserve"> ; </w:t>
      </w:r>
      <w:hyperlink r:id="rId3732">
        <w:r>
          <w:rPr>
            <w:color w:val="0000EE"/>
            <w:u w:val="single"/>
          </w:rPr>
          <w:t>Jl 2.1–3</w:t>
        </w:r>
      </w:hyperlink>
      <w:r>
        <w:t xml:space="preserve"> ; </w:t>
      </w:r>
      <w:hyperlink r:id="rId3733">
        <w:r>
          <w:rPr>
            <w:color w:val="0000EE"/>
            <w:u w:val="single"/>
          </w:rPr>
          <w:t>3.9–16</w:t>
        </w:r>
      </w:hyperlink>
      <w:r>
        <w:t xml:space="preserve"> ; </w:t>
      </w:r>
      <w:hyperlink r:id="rId3734">
        <w:r>
          <w:rPr>
            <w:color w:val="0000EE"/>
            <w:u w:val="single"/>
          </w:rPr>
          <w:t>Am 5.18–20</w:t>
        </w:r>
      </w:hyperlink>
      <w:r>
        <w:t xml:space="preserve"> ; </w:t>
      </w:r>
      <w:hyperlink r:id="rId3629">
        <w:r>
          <w:rPr>
            <w:color w:val="0000EE"/>
            <w:u w:val="single"/>
          </w:rPr>
          <w:t>9.11</w:t>
        </w:r>
      </w:hyperlink>
      <w:r>
        <w:t xml:space="preserve"> ; </w:t>
      </w:r>
      <w:hyperlink r:id="rId3735">
        <w:r>
          <w:rPr>
            <w:color w:val="0000EE"/>
            <w:u w:val="single"/>
          </w:rPr>
          <w:t>So 1.7–18</w:t>
        </w:r>
      </w:hyperlink>
      <w:r>
        <w:t>).</w:t>
      </w:r>
    </w:p>
    <w:p>
      <w:pPr>
        <w:pStyle w:val="Heading3"/>
      </w:pPr>
      <w:r>
        <w:t>Jésus en tant que juge dans le Nouveau Testament</w:t>
      </w:r>
    </w:p>
    <w:p>
      <w:r/>
      <w:r>
        <w:t>Les auteurs du Nouveau Testament ont également écrit sur ce jugement. Ils l'ont expliqué à travers ce que Jésus a enseigné et fait. Dieu a choisi Jésus pour être le juge du monde entier, tant ceux qui sont vivants que ceux qui sont morts (</w:t>
      </w:r>
      <w:hyperlink r:id="rId3736">
        <w:r>
          <w:rPr>
            <w:color w:val="0000EE"/>
            <w:u w:val="single"/>
          </w:rPr>
          <w:t>Ac 10.42</w:t>
        </w:r>
      </w:hyperlink>
      <w:r>
        <w:t xml:space="preserve"> ; </w:t>
      </w:r>
      <w:hyperlink r:id="rId3737">
        <w:r>
          <w:rPr>
            <w:color w:val="0000EE"/>
            <w:u w:val="single"/>
          </w:rPr>
          <w:t>17.31</w:t>
        </w:r>
      </w:hyperlink>
      <w:r>
        <w:t>). Chaque personne, tant ceux qui croient en Jésus que ceux qui ne croient pas, se tiendra devant le tribunal de Jésus. Il les jugera en fonction de la manière dont ils ont vécu leur vie (</w:t>
      </w:r>
      <w:hyperlink r:id="rId1743">
        <w:r>
          <w:rPr>
            <w:color w:val="0000EE"/>
            <w:u w:val="single"/>
          </w:rPr>
          <w:t>2Co 5.10</w:t>
        </w:r>
      </w:hyperlink>
      <w:r>
        <w:t xml:space="preserve"> ; voir </w:t>
      </w:r>
      <w:hyperlink r:id="rId1742">
        <w:r>
          <w:rPr>
            <w:color w:val="0000EE"/>
            <w:u w:val="single"/>
          </w:rPr>
          <w:t>Rm 14.10</w:t>
        </w:r>
      </w:hyperlink>
      <w:r>
        <w:t>).</w:t>
      </w:r>
    </w:p>
    <w:p>
      <w:pPr>
        <w:pStyle w:val="Heading3"/>
      </w:pPr>
      <w:r>
        <w:t>Les Barèmes de Dieu pour le jugement</w:t>
      </w:r>
    </w:p>
    <w:p>
      <w:r/>
      <w:r>
        <w:t>Dieu jugera les gens en fonction de la manière dont ils ont vécu. Les personnes qui sont fidèles à l'alliance de Dieu avec elles vivront, mais celles qui se détournent de Dieu mourront. Le prophète Habakuk dit qu'une bonne personne est quelqu'un qui reste fidèle à Dieu (</w:t>
      </w:r>
      <w:hyperlink r:id="rId3738">
        <w:r>
          <w:rPr>
            <w:color w:val="0000EE"/>
            <w:u w:val="single"/>
          </w:rPr>
          <w:t>Ha 2.4</w:t>
        </w:r>
      </w:hyperlink>
      <w:r>
        <w:t>). Les auteurs du Nouveau Testament disent que Dieu jugera les gens en examinant si leurs actions lui ont plu (</w:t>
      </w:r>
      <w:hyperlink r:id="rId1743">
        <w:r>
          <w:rPr>
            <w:color w:val="0000EE"/>
            <w:u w:val="single"/>
          </w:rPr>
          <w:t>2Co 5.10</w:t>
        </w:r>
      </w:hyperlink>
      <w:r>
        <w:t xml:space="preserve"> ; </w:t>
      </w:r>
      <w:hyperlink r:id="rId3739">
        <w:r>
          <w:rPr>
            <w:color w:val="0000EE"/>
            <w:u w:val="single"/>
          </w:rPr>
          <w:t>Ap 20.12</w:t>
        </w:r>
      </w:hyperlink>
      <w:r>
        <w:t>).</w:t>
      </w:r>
    </w:p>
    <w:p>
      <w:r/>
      <w:r>
        <w:t xml:space="preserve">Mais le Nouveau Testament nous dit aussi que personne n'a pleinement satisfait aux normes de Dieu. Tout le monde a fait des choses mauvaises (« </w:t>
      </w:r>
      <w:r>
        <w:t>tous ont péché et sont privés de la gloire de Dieu</w:t>
      </w:r>
      <w:r>
        <w:t xml:space="preserve"> », </w:t>
      </w:r>
      <w:hyperlink r:id="rId3740">
        <w:r>
          <w:rPr>
            <w:color w:val="0000EE"/>
            <w:u w:val="single"/>
          </w:rPr>
          <w:t>Rm 3.9, 23</w:t>
        </w:r>
      </w:hyperlink>
      <w:r>
        <w:t>). Cependant, lors du jugement dernier, la question la plus importante n'est pas de savoir si quelqu'un a fait des choses mauvaises. Au lieu de cela, la question est de savoir si Dieu les a pardonnés.</w:t>
      </w:r>
    </w:p>
    <w:p>
      <w:pPr>
        <w:pStyle w:val="Heading3"/>
      </w:pPr>
      <w:r>
        <w:t>Croyants et incroyants au jour du Jugement dernier</w:t>
      </w:r>
    </w:p>
    <w:p>
      <w:r/>
      <w:r>
        <w:t>Le Nouveau Testament (</w:t>
      </w:r>
      <w:hyperlink r:id="rId3741">
        <w:r>
          <w:rPr>
            <w:color w:val="0000EE"/>
            <w:u w:val="single"/>
          </w:rPr>
          <w:t>Rm 3.21–28</w:t>
        </w:r>
      </w:hyperlink>
      <w:r>
        <w:t xml:space="preserve"> ; </w:t>
      </w:r>
      <w:hyperlink r:id="rId3742">
        <w:r>
          <w:rPr>
            <w:color w:val="0000EE"/>
            <w:u w:val="single"/>
          </w:rPr>
          <w:t>5.1–21</w:t>
        </w:r>
      </w:hyperlink>
      <w:r>
        <w:t>) décrit ce pardon comme le fait d'être juste devant Dieu (justification) et la restauration d'une relation avec lui (réconciliation). Les gens peuvent recevoir ce pardon parce que Jésus est mort et est revenu à la vie. Sa vie parfaite et sa mort rendent possible le pardon pour tous et la vie éternelle (</w:t>
      </w:r>
      <w:hyperlink r:id="rId3743">
        <w:r>
          <w:rPr>
            <w:color w:val="0000EE"/>
            <w:u w:val="single"/>
          </w:rPr>
          <w:t>Rm 5.18</w:t>
        </w:r>
      </w:hyperlink>
      <w:r>
        <w:t>).</w:t>
      </w:r>
    </w:p>
    <w:p>
      <w:r/>
      <w:r>
        <w:t>Les personnes qui font confiance à Jésus ne seront pas condamnées (</w:t>
      </w:r>
      <w:hyperlink r:id="rId3744">
        <w:r>
          <w:rPr>
            <w:color w:val="0000EE"/>
            <w:u w:val="single"/>
          </w:rPr>
          <w:t>Jn 3.16–18</w:t>
        </w:r>
      </w:hyperlink>
      <w:r>
        <w:t>). Elles peuvent affronter le jour du jugement sans crainte (</w:t>
      </w:r>
      <w:hyperlink r:id="rId3745">
        <w:r>
          <w:rPr>
            <w:color w:val="0000EE"/>
            <w:u w:val="single"/>
          </w:rPr>
          <w:t>1Jn 4.17</w:t>
        </w:r>
      </w:hyperlink>
      <w:r>
        <w:t>). Leurs noms sont inscrits dans un livre appelé le livre de vie de l'agneau (</w:t>
      </w:r>
      <w:hyperlink r:id="rId3746">
        <w:r>
          <w:rPr>
            <w:color w:val="0000EE"/>
            <w:u w:val="single"/>
          </w:rPr>
          <w:t>Ap 21.27</w:t>
        </w:r>
      </w:hyperlink>
      <w:r>
        <w:t>). Mais les personnes qui ne croient pas en Jésus se tiendront seules devant lui lorsqu'elles seront jugées. Jésus les jugera en fonction de ce qu'elles ont fait, qui est consigné dans ses livres (</w:t>
      </w:r>
      <w:hyperlink r:id="rId3747">
        <w:r>
          <w:rPr>
            <w:color w:val="0000EE"/>
            <w:u w:val="single"/>
          </w:rPr>
          <w:t>Ap 20.11–12</w:t>
        </w:r>
      </w:hyperlink>
      <w:r>
        <w:t>).</w:t>
      </w:r>
    </w:p>
    <w:p>
      <w:r/>
      <w:r>
        <w:rPr>
          <w:i/>
        </w:rPr>
        <w:t>Voir aussi</w:t>
      </w:r>
      <w:r>
        <w:t xml:space="preserve"> </w:t>
      </w:r>
      <w:r>
        <w:t>Jour de l'Éternel</w:t>
      </w:r>
      <w:r>
        <w:t xml:space="preserve"> ; </w:t>
      </w:r>
      <w:r>
        <w:t>Eschatologie</w:t>
      </w:r>
      <w:r>
        <w:t xml:space="preserve"> ; </w:t>
      </w:r>
      <w:r>
        <w:t>Jugement</w:t>
      </w:r>
      <w:r>
        <w:t xml:space="preserve"> ; </w:t>
      </w:r>
      <w:r>
        <w:t>Trône du jugement</w:t>
      </w:r>
      <w:r>
        <w:t xml:space="preserve"> ; </w:t>
      </w:r>
      <w:r>
        <w:t>Derniers jours</w:t>
      </w:r>
      <w:r>
        <w:t xml:space="preserve"> ; </w:t>
      </w:r>
      <w:r>
        <w:t>Colère de Dieu</w:t>
      </w:r>
      <w:r>
        <w:t>.</w:t>
      </w:r>
      <w:r/>
      <w:r/>
    </w:p>
    <w:p>
      <w:r/>
    </w:p>
    <w:p>
      <w:pPr>
        <w:pStyle w:val="Heading2"/>
      </w:pPr>
      <w:r>
        <w:t>Derniers jours</w:t>
      </w:r>
      <w:r/>
    </w:p>
    <w:p>
      <w:r/>
      <w:r>
        <w:t xml:space="preserve">Expression utilisée dans la Bible pour décrire la période finale du monde tel que nous le connaissons. Dans l'Ancien Testament, les derniers jours sont vus comme le moment où les promesses du Messie se réaliseront (voir </w:t>
      </w:r>
      <w:hyperlink r:id="rId3748">
        <w:r>
          <w:rPr>
            <w:color w:val="0000EE"/>
            <w:u w:val="single"/>
          </w:rPr>
          <w:t>Es 2.2</w:t>
        </w:r>
      </w:hyperlink>
      <w:r>
        <w:t xml:space="preserve"> ; </w:t>
      </w:r>
      <w:hyperlink r:id="rId3749">
        <w:r>
          <w:rPr>
            <w:color w:val="0000EE"/>
            <w:u w:val="single"/>
          </w:rPr>
          <w:t>Mi 4.1</w:t>
        </w:r>
      </w:hyperlink>
      <w:r>
        <w:t xml:space="preserve">). Dans le Nouveau Testament, les auteurs croient déjà vivre dans les derniers jours, qu'ils voient comme l'ère de l'Évangile. Pierre, par exemple, explique que les événements du jour de la Pentecôte accomplissent la prophétie de </w:t>
      </w:r>
      <w:hyperlink r:id="rId3750">
        <w:r>
          <w:rPr>
            <w:color w:val="0000EE"/>
            <w:u w:val="single"/>
          </w:rPr>
          <w:t>Joël 2.28</w:t>
        </w:r>
      </w:hyperlink>
      <w:r>
        <w:t xml:space="preserve"> : « Dans les derniers jours, dit Dieu, je répandrai de mon Esprit sur toute chair ; Vos fils et vos filles prophétiseront, Vos jeunes gens auront des visions, Et vos vieillards auront des songes. Oui, sur mes serviteurs et sur mes servantes, Dans ces jours-là, je répandrai de mon Esprit ; et ils prophétiseront » (</w:t>
      </w:r>
      <w:hyperlink r:id="rId3751">
        <w:r>
          <w:rPr>
            <w:color w:val="0000EE"/>
            <w:u w:val="single"/>
          </w:rPr>
          <w:t>Ac 2.17–18</w:t>
        </w:r>
      </w:hyperlink>
      <w:r>
        <w:t>). L'auteur de la lettre aux Hébreux dit : « Après avoir autrefois, à plusieurs reprises et de plusieurs manières, parlé à nos pères par les prophètes, Dieu, dans ces derniers temps, nous a parlé par le Fils » (</w:t>
      </w:r>
      <w:hyperlink r:id="rId3752">
        <w:r>
          <w:rPr>
            <w:color w:val="0000EE"/>
            <w:u w:val="single"/>
          </w:rPr>
          <w:t>Hé 1.1–2</w:t>
        </w:r>
      </w:hyperlink>
      <w:r>
        <w:t>).</w:t>
      </w:r>
    </w:p>
    <w:p>
      <w:r/>
      <w:r>
        <w:t>Les derniers jours sont une période de grandes bénédictions. Le monde peut désormais accéder librement aux bienfaits du salut. Ceux-ci proviennent de la vie parfaite, de la mort, de la résurrection et de la glorification de Jésus-Christ. Désormais, les non-croyants peuvent se repentir et se tourner vers Dieu. Les croyants doivent répandre l'Évangile dans le monde entier.</w:t>
      </w:r>
    </w:p>
    <w:p>
      <w:r/>
      <w:r>
        <w:t xml:space="preserve">L'expression « derniers jours » suggère que cette période durera un certain temps. Cette compréhension est confirmée par le fait que cet âge final a déjà duré de nombreux siècles. Cependant, du point de vue de l'éternité, il s'agit d'une période brève. Dans chaque génération, la fin de cet âge final est toujours perçue comme imminente, à tel point que Jean la qualifie de « dernière heure ». La présence d'antichrists (ceux qui s'opposent à Christ) même au sein de l'Église primitive en est un signe. Jean dit : « </w:t>
      </w:r>
      <w:r>
        <w:t>c’est la dernière heure, et comme vous avez appris qu’un antéchrist vient, il y a maintenant plusieurs antéchrists</w:t>
      </w:r>
      <w:r>
        <w:t xml:space="preserve"> :</w:t>
      </w:r>
      <w:r>
        <w:t xml:space="preserve"> par là nous connaissons que c’est la dernière heure</w:t>
      </w:r>
      <w:r>
        <w:t xml:space="preserve"> » (</w:t>
      </w:r>
      <w:hyperlink r:id="rId3753">
        <w:r>
          <w:rPr>
            <w:color w:val="0000EE"/>
            <w:u w:val="single"/>
          </w:rPr>
          <w:t>1Jn 2.18</w:t>
        </w:r>
      </w:hyperlink>
      <w:r>
        <w:t>). La fin de ces derniers jours est toujours proche, et elle viendra certainement un jour. Voilà pourquoi Christ nous exhorte à être vigilants. Nous ne connaissons ni le jour ni l'heure de son retour glorieux. Ce dernier mettra fin à ces derniers jours (</w:t>
      </w:r>
      <w:hyperlink r:id="rId3754">
        <w:r>
          <w:rPr>
            <w:color w:val="0000EE"/>
            <w:u w:val="single"/>
          </w:rPr>
          <w:t>Mt 24.44</w:t>
        </w:r>
      </w:hyperlink>
      <w:r>
        <w:t xml:space="preserve"> ; </w:t>
      </w:r>
      <w:hyperlink r:id="rId3755">
        <w:r>
          <w:rPr>
            <w:color w:val="0000EE"/>
            <w:u w:val="single"/>
          </w:rPr>
          <w:t>25.13</w:t>
        </w:r>
      </w:hyperlink>
      <w:r>
        <w:t>).</w:t>
      </w:r>
    </w:p>
    <w:p>
      <w:r/>
      <w:r>
        <w:t xml:space="preserve">Cette idée conduit naturellement à l'enseignement que les derniers jours culmineront dans « le Jour ». </w:t>
      </w:r>
      <w:r>
        <w:rPr>
          <w:i/>
        </w:rPr>
        <w:t>Les</w:t>
      </w:r>
      <w:r>
        <w:t xml:space="preserve"> derniers jours se termineront par </w:t>
      </w:r>
      <w:r>
        <w:rPr>
          <w:i/>
        </w:rPr>
        <w:t>le</w:t>
      </w:r>
      <w:r>
        <w:t xml:space="preserve"> dernier jour. L'utilisation du mot « jour » au singulier dans le Nouveau Testament correspond au concept du « Jour du Seigneur » dans l'Ancien Testament. Il s'agit d'un jour de jugement terrifiant pour ceux qui ne se repentent pas, mais il promet le salut pour le peuple de Dieu (voir, par exemple, </w:t>
      </w:r>
      <w:hyperlink r:id="rId3756">
        <w:r>
          <w:rPr>
            <w:color w:val="0000EE"/>
            <w:u w:val="single"/>
          </w:rPr>
          <w:t>Es 2.12–22</w:t>
        </w:r>
      </w:hyperlink>
      <w:r>
        <w:t xml:space="preserve"> ; </w:t>
      </w:r>
      <w:hyperlink r:id="rId3757">
        <w:r>
          <w:rPr>
            <w:color w:val="0000EE"/>
            <w:u w:val="single"/>
          </w:rPr>
          <w:t>Ez 13.5</w:t>
        </w:r>
      </w:hyperlink>
      <w:r>
        <w:t xml:space="preserve"> ; </w:t>
      </w:r>
      <w:hyperlink r:id="rId3758">
        <w:r>
          <w:rPr>
            <w:color w:val="0000EE"/>
            <w:u w:val="single"/>
          </w:rPr>
          <w:t>Jl 1.15</w:t>
        </w:r>
      </w:hyperlink>
      <w:r>
        <w:t xml:space="preserve"> ; </w:t>
      </w:r>
      <w:hyperlink r:id="rId3759">
        <w:r>
          <w:rPr>
            <w:color w:val="0000EE"/>
            <w:u w:val="single"/>
          </w:rPr>
          <w:t>2.1, 11</w:t>
        </w:r>
      </w:hyperlink>
      <w:r>
        <w:t xml:space="preserve"> ; </w:t>
      </w:r>
      <w:hyperlink r:id="rId844">
        <w:r>
          <w:rPr>
            <w:color w:val="0000EE"/>
            <w:u w:val="single"/>
          </w:rPr>
          <w:t>Am 5.18–24</w:t>
        </w:r>
      </w:hyperlink>
      <w:r>
        <w:t xml:space="preserve"> ; </w:t>
      </w:r>
      <w:hyperlink r:id="rId3760">
        <w:r>
          <w:rPr>
            <w:color w:val="0000EE"/>
            <w:u w:val="single"/>
          </w:rPr>
          <w:t>So 1.7, 14</w:t>
        </w:r>
      </w:hyperlink>
      <w:r>
        <w:t>). Le point culminant de ces derniers jours, et donc de toute l'histoire, sera « le jour du Seigneur », qui viendra sur le monde soudainement (</w:t>
      </w:r>
      <w:hyperlink r:id="rId3761">
        <w:r>
          <w:rPr>
            <w:color w:val="0000EE"/>
            <w:u w:val="single"/>
          </w:rPr>
          <w:t>1Th 5.2</w:t>
        </w:r>
      </w:hyperlink>
      <w:r>
        <w:t>). Ce jour final sera celui du dernier jugement pour ceux qui ont rejeté l'Évangile. Ce sera aussi le jour où notre monde déchu sera purifié et l'ordre créé sera restauré. Dans le nouveau ciel et la nouvelle terre, tous les desseins de Dieu dans la création seront accomplis. Lorsque notre rédemption sera complète, nous serons comme notre Rédempteur. Alors, nous jouirons de sa gloire éternelle (</w:t>
      </w:r>
      <w:hyperlink r:id="rId3762">
        <w:r>
          <w:rPr>
            <w:color w:val="0000EE"/>
            <w:u w:val="single"/>
          </w:rPr>
          <w:t>Rm 8.19–25</w:t>
        </w:r>
      </w:hyperlink>
      <w:r>
        <w:t xml:space="preserve"> ; </w:t>
      </w:r>
      <w:hyperlink r:id="rId3763">
        <w:r>
          <w:rPr>
            <w:color w:val="0000EE"/>
            <w:u w:val="single"/>
          </w:rPr>
          <w:t>1Jn 3.2</w:t>
        </w:r>
      </w:hyperlink>
      <w:r>
        <w:t xml:space="preserve"> ; </w:t>
      </w:r>
      <w:hyperlink r:id="rId3764">
        <w:r>
          <w:rPr>
            <w:color w:val="0000EE"/>
            <w:u w:val="single"/>
          </w:rPr>
          <w:t>Ap 21.1–8</w:t>
        </w:r>
      </w:hyperlink>
      <w:r>
        <w:t>).</w:t>
      </w:r>
    </w:p>
    <w:p>
      <w:r/>
      <w:r>
        <w:t xml:space="preserve">L'apôtre Paul rappelle aux chrétiens qu'au dernier jour, « le Jour », leurs vies seront mises à nu. Ce qu'ils ont fait sera connu. Cela n'affecte pas la sécurité de leur salut en Christ. Au contraire, cela détermine s'ils le rencontreront avec confiance ou avec honte à son retour (voir </w:t>
      </w:r>
      <w:hyperlink r:id="rId3765">
        <w:r>
          <w:rPr>
            <w:color w:val="0000EE"/>
            <w:u w:val="single"/>
          </w:rPr>
          <w:t>1Jn 2.28</w:t>
        </w:r>
      </w:hyperlink>
      <w:r>
        <w:t>). Paul écrit : « l'œuvre de chacun sera manifestée ; car le jour la fera connaître, parce qu'elle se révèlera dans le feu, et le feu éprouvera ce qu'est l'œuvre de chacun. Si l'œuvre bâtie par quelqu'un sur le fondement subsiste, il recevra une récompense » (</w:t>
      </w:r>
      <w:hyperlink r:id="rId1744">
        <w:r>
          <w:rPr>
            <w:color w:val="0000EE"/>
            <w:u w:val="single"/>
          </w:rPr>
          <w:t>1Co 3.13–15</w:t>
        </w:r>
      </w:hyperlink>
      <w:r>
        <w:t>).</w:t>
      </w:r>
    </w:p>
    <w:p>
      <w:r/>
      <w:r>
        <w:t>Le dernier des derniers jours prendra fin. Ensuite commencera le royaume de Christ. Dieu sera tout en tous (</w:t>
      </w:r>
      <w:hyperlink r:id="rId3766">
        <w:r>
          <w:rPr>
            <w:color w:val="0000EE"/>
            <w:u w:val="single"/>
          </w:rPr>
          <w:t>1Co 15.28</w:t>
        </w:r>
      </w:hyperlink>
      <w:r>
        <w:t xml:space="preserve"> ; </w:t>
      </w:r>
      <w:hyperlink r:id="rId2696">
        <w:r>
          <w:rPr>
            <w:color w:val="0000EE"/>
            <w:u w:val="single"/>
          </w:rPr>
          <w:t>Ph 3.20–21</w:t>
        </w:r>
      </w:hyperlink>
      <w:r>
        <w:t>). Le dernier jour est aussi un jour de triomphe et de résurrection. Christ a promis de ressusciter tous ceux qui croient en lui (</w:t>
      </w:r>
      <w:hyperlink r:id="rId3767">
        <w:r>
          <w:rPr>
            <w:color w:val="0000EE"/>
            <w:u w:val="single"/>
          </w:rPr>
          <w:t>Jn 6.39–44, 54</w:t>
        </w:r>
      </w:hyperlink>
      <w:r>
        <w:t xml:space="preserve">). Les derniers jours sont comme la nuit comparés à la gloire qui sera révélée au retour de Christ, donc la fin de ces derniers jours sera aussi le début du jour sans fin de Dieu (voir </w:t>
      </w:r>
      <w:hyperlink r:id="rId3768">
        <w:r>
          <w:rPr>
            <w:color w:val="0000EE"/>
            <w:u w:val="single"/>
          </w:rPr>
          <w:t>Rm 13.11–12</w:t>
        </w:r>
      </w:hyperlink>
      <w:r>
        <w:t xml:space="preserve">). Savoir que nous sommes dans les derniers jours et que le dernier jour approche devrait avoir un grand impact sur la façon dont nous vivons nos vies aujourd'hui (voir </w:t>
      </w:r>
      <w:hyperlink r:id="rId3769">
        <w:r>
          <w:rPr>
            <w:color w:val="0000EE"/>
            <w:u w:val="single"/>
          </w:rPr>
          <w:t>2P 3.11–14</w:t>
        </w:r>
      </w:hyperlink>
      <w:r>
        <w:t>).</w:t>
      </w:r>
    </w:p>
    <w:p>
      <w:r/>
      <w:r>
        <w:t>En résumé, les derniers jours correspondent à l'époque de l'Évangile de notre Seigneur Jésus-Christ. Ils nous préparent pour le dernier jour, qui sera le jugement final des incroyants. Pour les croyants, ce sera le début de la gloire éternelle. Pour ceux qui suivent Christ fidèlement, ces « derniers jours » sont des jours de joie et de bénédiction. Cependant, nous attendons encore une rédemption complète. Ce sont des également des jours d'épreuve et de souffrance pour l'Église, mais Dieu nous a assuré de la présence de son Esprit dans nos cœurs. Cet Esprit est un avant-goût du banquet complet à venir ; un acompte qui promet le dépôt complet à l'avenir (</w:t>
      </w:r>
      <w:hyperlink r:id="rId3770">
        <w:r>
          <w:rPr>
            <w:color w:val="0000EE"/>
            <w:u w:val="single"/>
          </w:rPr>
          <w:t>Rm 8.23</w:t>
        </w:r>
      </w:hyperlink>
      <w:r>
        <w:t xml:space="preserve"> ; </w:t>
      </w:r>
      <w:hyperlink r:id="rId2823">
        <w:r>
          <w:rPr>
            <w:color w:val="0000EE"/>
            <w:u w:val="single"/>
          </w:rPr>
          <w:t>2Co 1.22</w:t>
        </w:r>
      </w:hyperlink>
      <w:r>
        <w:t xml:space="preserve"> ; </w:t>
      </w:r>
      <w:hyperlink r:id="rId3771">
        <w:r>
          <w:rPr>
            <w:color w:val="0000EE"/>
            <w:u w:val="single"/>
          </w:rPr>
          <w:t>5.5</w:t>
        </w:r>
      </w:hyperlink>
      <w:r>
        <w:t xml:space="preserve"> ; </w:t>
      </w:r>
      <w:hyperlink r:id="rId3772">
        <w:r>
          <w:rPr>
            <w:color w:val="0000EE"/>
            <w:u w:val="single"/>
          </w:rPr>
          <w:t>Ep 1.14</w:t>
        </w:r>
      </w:hyperlink>
      <w:r>
        <w:t>). En attendant, nous pouvons être confiants avec l'apôtre Paul que les souffrances de ces derniers jours ne sont pas comparables à la gloire qui sera révélée pour nous (</w:t>
      </w:r>
      <w:hyperlink r:id="rId3773">
        <w:r>
          <w:rPr>
            <w:color w:val="0000EE"/>
            <w:u w:val="single"/>
          </w:rPr>
          <w:t>Rm 8.18</w:t>
        </w:r>
      </w:hyperlink>
      <w:r>
        <w:t>). Ces jours sont aussi un temps de responsabilité et d'opportunité. Les chrétiens ont la responsabilité de proclamer l'Évangile à travers le monde entier (</w:t>
      </w:r>
      <w:hyperlink r:id="rId411">
        <w:r>
          <w:rPr>
            <w:color w:val="0000EE"/>
            <w:u w:val="single"/>
          </w:rPr>
          <w:t>Mt 28.19–20</w:t>
        </w:r>
      </w:hyperlink>
      <w:r>
        <w:t xml:space="preserve"> ; </w:t>
      </w:r>
      <w:hyperlink r:id="rId200">
        <w:r>
          <w:rPr>
            <w:color w:val="0000EE"/>
            <w:u w:val="single"/>
          </w:rPr>
          <w:t>Ac 1.8</w:t>
        </w:r>
      </w:hyperlink>
      <w:r>
        <w:t>), et Dieu ordonne à tous les hommes partout de se repentir (</w:t>
      </w:r>
      <w:hyperlink r:id="rId3774">
        <w:r>
          <w:rPr>
            <w:color w:val="0000EE"/>
            <w:u w:val="single"/>
          </w:rPr>
          <w:t>Ac 17.30</w:t>
        </w:r>
      </w:hyperlink>
      <w:r>
        <w:t>).</w:t>
      </w:r>
    </w:p>
    <w:p>
      <w:r/>
      <w:r>
        <w:rPr>
          <w:i/>
        </w:rPr>
        <w:t>Voir aussi</w:t>
      </w:r>
      <w:r>
        <w:t xml:space="preserve"> </w:t>
      </w:r>
      <w:r>
        <w:t>Jour du Seigneur</w:t>
      </w:r>
      <w:r>
        <w:t xml:space="preserve"> ; </w:t>
      </w:r>
      <w:r>
        <w:t>Seconde Venue du Christ</w:t>
      </w:r>
      <w:r>
        <w:t>.</w:t>
      </w:r>
      <w:r/>
      <w:r/>
    </w:p>
    <w:p>
      <w:r/>
    </w:p>
    <w:p>
      <w:pPr>
        <w:pStyle w:val="Heading2"/>
      </w:pPr>
      <w:r>
        <w:t>Désir</w:t>
      </w:r>
      <w:r/>
    </w:p>
    <w:p>
      <w:r/>
      <w:r>
        <w:t>Aspiration ou besoin ressenti pour quelque chose. Dans la Bible, le concept de désir est exprimé par de nombreux mots différents en hébreu et en grec. En tant que nom, il traduit douze mots hébreux et trois mots grecs. En tant que verbe, il représente environ douze verbes hébreux et grecs chacun. Certains de ces mots signifient simplement « demander » ou « chercher » dans les traductions modernes.</w:t>
      </w:r>
    </w:p>
    <w:p>
      <w:r/>
      <w:r>
        <w:t>Le désir en soi n'est ni bon ni mauvais. La signification morale réside dans la manière dont les gens réagissent à leurs désirs. On peut soit laisser les désirs contrôler ses actions, soit apprendre à contrôler les désirs et les utiliser pour les fins prévues par Dieu.</w:t>
      </w:r>
    </w:p>
    <w:p>
      <w:r/>
      <w:r>
        <w:t>Il y a eu des opinions divergentes parmi les chrétiens sur la manière d'aborder le désir. Certains ascètes ont soutenu que désirer de la nourriture ou aimer manger est une attitude pécheresse. Cependant, l'exemple même de Jésus dans les Évangiles montre qu'il appréciait les bons repas, au point que ses critiques l'ont traité de glouton (</w:t>
      </w:r>
      <w:hyperlink r:id="rId3775">
        <w:r>
          <w:rPr>
            <w:color w:val="0000EE"/>
            <w:u w:val="single"/>
          </w:rPr>
          <w:t>Lc 7.34</w:t>
        </w:r>
      </w:hyperlink>
      <w:r>
        <w:t>). Son premier miracle dans l'Évangile de Jean a été accompli lors d'un mariage à Cana, en Galilée, où les festivités ont probablement duré plusieurs jours (</w:t>
      </w:r>
      <w:hyperlink r:id="rId3776">
        <w:r>
          <w:rPr>
            <w:color w:val="0000EE"/>
            <w:u w:val="single"/>
          </w:rPr>
          <w:t>Jn 2.1–11</w:t>
        </w:r>
      </w:hyperlink>
      <w:r>
        <w:t>).</w:t>
      </w:r>
    </w:p>
    <w:p>
      <w:r/>
      <w:r>
        <w:t>Le désir sexuel, tout comme le désir de nourriture, n'est pas intrinsèquement mauvais. Dieu a créé les humains avec ces deux désirs, et tous deux doivent être maîtrisés en obéissance à la loi de Dieu.</w:t>
      </w:r>
    </w:p>
    <w:p>
      <w:r/>
      <w:r>
        <w:t>La distinction clé entre le bon et le mauvais désir réside dans le fait qu'il soit centré sur soi ou axé sur la volonté de Dieu. La Bible enseigne que l'essence du péché est la détermination à suivre sa propre voie. Le roi David, malgré ses péchés graves, a été honoré parce qu'il était un homme selon le cœur de Dieu, désireux de faire la volonté de Dieu (</w:t>
      </w:r>
      <w:hyperlink r:id="rId2845">
        <w:r>
          <w:rPr>
            <w:color w:val="0000EE"/>
            <w:u w:val="single"/>
          </w:rPr>
          <w:t>Ac 13.22</w:t>
        </w:r>
      </w:hyperlink>
      <w:r>
        <w:t>). En revanche, le roi Saül a été rejeté pour son obstination et sa volonté propre (</w:t>
      </w:r>
      <w:hyperlink r:id="rId3777">
        <w:r>
          <w:rPr>
            <w:color w:val="0000EE"/>
            <w:u w:val="single"/>
          </w:rPr>
          <w:t>1S 15.23</w:t>
        </w:r>
      </w:hyperlink>
      <w:r>
        <w:t>).</w:t>
      </w:r>
    </w:p>
    <w:p>
      <w:r/>
      <w:r>
        <w:t>Le désir maléfique, par conséquent, n'est pas nécessairement de vouloir quelque chose qui est traditionnellement vu comme mauvais. Il s'agit principalement du désir de faire ce que bon nous semble, ce qui est une forme d'idolâtrie, dans le sens où l'on se met à la place de Dieu.</w:t>
      </w:r>
    </w:p>
    <w:p>
      <w:r/>
      <w:r>
        <w:t>Le désir est nécessaire pour accomplir quoi que ce soit dans la vie. Cependant, les actions de chacun devraient toujours s'aligner avec la volonté de Dieu telle que révélée dans sa Parole. La Bible promet que si les gens se délectent dans le Seigneur, Dieu leur accordera les désirs de leur cœur (</w:t>
      </w:r>
      <w:hyperlink r:id="rId3778">
        <w:r>
          <w:rPr>
            <w:color w:val="0000EE"/>
            <w:u w:val="single"/>
          </w:rPr>
          <w:t>Ps 37.4</w:t>
        </w:r>
      </w:hyperlink>
      <w:r>
        <w:t xml:space="preserve"> ; voir </w:t>
      </w:r>
      <w:hyperlink r:id="rId3779">
        <w:r>
          <w:rPr>
            <w:color w:val="0000EE"/>
            <w:u w:val="single"/>
          </w:rPr>
          <w:t>Ps 145.16, 19</w:t>
        </w:r>
      </w:hyperlink>
      <w:r>
        <w:t xml:space="preserve"> ; </w:t>
      </w:r>
      <w:hyperlink r:id="rId3780">
        <w:r>
          <w:rPr>
            <w:color w:val="0000EE"/>
            <w:u w:val="single"/>
          </w:rPr>
          <w:t>Pr 10.24</w:t>
        </w:r>
      </w:hyperlink>
      <w:r>
        <w:t xml:space="preserve"> ; </w:t>
      </w:r>
      <w:hyperlink r:id="rId3781">
        <w:r>
          <w:rPr>
            <w:color w:val="0000EE"/>
            <w:u w:val="single"/>
          </w:rPr>
          <w:t>Mt 6.33</w:t>
        </w:r>
      </w:hyperlink>
      <w:r>
        <w:t>). Lorsque Dieu devient le plus grand désir de quelqu'un, tous les autres désirs deviennent appropriés et peuvent refléter les désirs de Dieu pour le bien-être de son peuple.</w:t>
      </w:r>
      <w:r/>
      <w:r/>
    </w:p>
    <w:p>
      <w:r/>
    </w:p>
    <w:p>
      <w:pPr>
        <w:pStyle w:val="Heading2"/>
      </w:pPr>
      <w:r>
        <w:t>Destinée</w:t>
      </w:r>
      <w:r/>
    </w:p>
    <w:p>
      <w:pPr>
        <w:pStyle w:val="ListNumber"/>
        <w:spacing w:line="240" w:lineRule="auto"/>
        <w:ind w:left="720"/>
      </w:pPr>
      <w:r/>
      <w:r>
        <w:t>Un dieu païen (Meni) mentionné en lien avec un autre dieu païen (Gad). Ce dieu était probablement un dieu de la chance ou de la fortune (</w:t>
      </w:r>
      <w:hyperlink r:id="rId3782">
        <w:r>
          <w:rPr>
            <w:color w:val="0000EE"/>
            <w:u w:val="single"/>
          </w:rPr>
          <w:t>Es 65.11</w:t>
        </w:r>
      </w:hyperlink>
      <w:r>
        <w:t>).</w:t>
      </w:r>
    </w:p>
    <w:p>
      <w:pPr>
        <w:pStyle w:val="ListNumber"/>
        <w:spacing w:line="240" w:lineRule="auto"/>
        <w:ind w:left="720"/>
      </w:pPr>
      <w:r/>
      <w:r>
        <w:t>L'avenir déterminé des Hébreux en tant que peuple élu de Dieu (</w:t>
      </w:r>
      <w:hyperlink r:id="rId3783">
        <w:r>
          <w:rPr>
            <w:color w:val="0000EE"/>
            <w:u w:val="single"/>
          </w:rPr>
          <w:t>Ex 19.5–6</w:t>
        </w:r>
      </w:hyperlink>
      <w:r>
        <w:t>). Dans le Nouveau Testament, la destinée éternelle dépend de la relation d'une personne avec Jésus (</w:t>
      </w:r>
      <w:hyperlink r:id="rId3784">
        <w:r>
          <w:rPr>
            <w:color w:val="0000EE"/>
            <w:u w:val="single"/>
          </w:rPr>
          <w:t>Ac 17.30–31</w:t>
        </w:r>
      </w:hyperlink>
      <w:r>
        <w:t xml:space="preserve"> ; </w:t>
      </w:r>
      <w:hyperlink r:id="rId3785">
        <w:r>
          <w:rPr>
            <w:color w:val="0000EE"/>
            <w:u w:val="single"/>
          </w:rPr>
          <w:t>1Jn 5.1–5</w:t>
        </w:r>
      </w:hyperlink>
      <w:r>
        <w:t>).</w:t>
      </w:r>
    </w:p>
    <w:p>
      <w:r/>
      <w:r>
        <w:rPr>
          <w:i/>
        </w:rPr>
        <w:t>Voir</w:t>
      </w:r>
      <w:r>
        <w:t xml:space="preserve"> </w:t>
      </w:r>
      <w:r>
        <w:t>Élire, Élection</w:t>
      </w:r>
      <w:r>
        <w:t xml:space="preserve"> ; </w:t>
      </w:r>
      <w:r>
        <w:t>Prédestination</w:t>
      </w:r>
      <w:r>
        <w:t>.</w:t>
      </w:r>
      <w:r/>
      <w:r/>
    </w:p>
    <w:p>
      <w:r/>
    </w:p>
    <w:p>
      <w:pPr>
        <w:pStyle w:val="Heading2"/>
      </w:pPr>
      <w:r>
        <w:t>Deuil</w:t>
      </w:r>
      <w:r/>
    </w:p>
    <w:p>
      <w:r/>
      <w:r>
        <w:t>Ensemble de pratiques lorsqu'une personne meurt. Ces pratiques sont suivies par la famille et les amis de la personne défunte.</w:t>
      </w:r>
    </w:p>
    <w:p>
      <w:pPr>
        <w:pStyle w:val="Heading3"/>
      </w:pPr>
      <w:r>
        <w:t>Deuil dans l'Ancien Testament</w:t>
      </w:r>
    </w:p>
    <w:p>
      <w:r/>
      <w:r>
        <w:t>Le deuil commençait lorsque l'on fermait les yeux du défunt et qu'on embrassait son corps. Le corps était ensuite préparé pour l'enterrement (</w:t>
      </w:r>
      <w:hyperlink r:id="rId3786">
        <w:r>
          <w:rPr>
            <w:color w:val="0000EE"/>
            <w:u w:val="single"/>
          </w:rPr>
          <w:t xml:space="preserve">Gn 46.4 </w:t>
        </w:r>
      </w:hyperlink>
      <w:r>
        <w:t>;</w:t>
      </w:r>
      <w:hyperlink r:id="rId3787">
        <w:r>
          <w:rPr>
            <w:color w:val="0000EE"/>
            <w:u w:val="single"/>
          </w:rPr>
          <w:t xml:space="preserve"> 50.1</w:t>
        </w:r>
      </w:hyperlink>
      <w:r>
        <w:t>). Un enterrement immédiat était nécessaire en raison du climat chaud (</w:t>
      </w:r>
      <w:hyperlink r:id="rId3788">
        <w:r>
          <w:rPr>
            <w:color w:val="0000EE"/>
            <w:u w:val="single"/>
          </w:rPr>
          <w:t>Ac 5.1–10</w:t>
        </w:r>
      </w:hyperlink>
      <w:r>
        <w:t>). Nous n'avons pas beaucoup de détails sur les pratiques funéraires avant le Nouveau Testament (</w:t>
      </w:r>
      <w:hyperlink r:id="rId3789">
        <w:r>
          <w:rPr>
            <w:color w:val="0000EE"/>
            <w:u w:val="single"/>
          </w:rPr>
          <w:t xml:space="preserve">Mt 27.59 </w:t>
        </w:r>
      </w:hyperlink>
      <w:r>
        <w:t xml:space="preserve">; </w:t>
      </w:r>
      <w:hyperlink r:id="rId3790">
        <w:r>
          <w:rPr>
            <w:color w:val="0000EE"/>
            <w:u w:val="single"/>
          </w:rPr>
          <w:t xml:space="preserve">Jn 11.44 </w:t>
        </w:r>
      </w:hyperlink>
      <w:r>
        <w:t xml:space="preserve">; </w:t>
      </w:r>
      <w:hyperlink r:id="rId3791">
        <w:r>
          <w:rPr>
            <w:color w:val="0000EE"/>
            <w:u w:val="single"/>
          </w:rPr>
          <w:t>19.39–40</w:t>
        </w:r>
      </w:hyperlink>
      <w:r>
        <w:t>). Les découvertes archéologiques suggèrent que les gens étaient enterrés entièrement vêtus, mais pas dans des cercueils. Les Israélites n'embaumaient pas leurs morts et ne les brûlaient pas, mais un enterrement approprié était très important.</w:t>
      </w:r>
    </w:p>
    <w:p>
      <w:r/>
      <w:r>
        <w:t>Quand quelqu'un mourait, il était courant de :</w:t>
      </w:r>
    </w:p>
    <w:p>
      <w:pPr>
        <w:pStyle w:val="ListBullet"/>
        <w:spacing w:line="240" w:lineRule="auto"/>
        <w:ind w:left="720"/>
      </w:pPr>
      <w:r/>
      <w:r>
        <w:t>Déchirer ses vêtements (</w:t>
      </w:r>
      <w:hyperlink r:id="rId3792">
        <w:r>
          <w:rPr>
            <w:color w:val="0000EE"/>
            <w:u w:val="single"/>
          </w:rPr>
          <w:t xml:space="preserve">Gn 37.34 </w:t>
        </w:r>
      </w:hyperlink>
      <w:r>
        <w:t xml:space="preserve">; </w:t>
      </w:r>
      <w:hyperlink r:id="rId3793">
        <w:r>
          <w:rPr>
            <w:color w:val="0000EE"/>
            <w:u w:val="single"/>
          </w:rPr>
          <w:t xml:space="preserve">2S 1.11 </w:t>
        </w:r>
      </w:hyperlink>
      <w:r>
        <w:t xml:space="preserve">; </w:t>
      </w:r>
      <w:hyperlink r:id="rId3794">
        <w:r>
          <w:rPr>
            <w:color w:val="0000EE"/>
            <w:u w:val="single"/>
          </w:rPr>
          <w:t>Jb 1.20</w:t>
        </w:r>
      </w:hyperlink>
      <w:r>
        <w:t>)</w:t>
      </w:r>
    </w:p>
    <w:p>
      <w:pPr>
        <w:pStyle w:val="ListBullet"/>
        <w:spacing w:line="240" w:lineRule="auto"/>
        <w:ind w:left="720"/>
      </w:pPr>
      <w:r/>
      <w:r>
        <w:t>Se revêtir de sacs (</w:t>
      </w:r>
      <w:hyperlink r:id="rId3795">
        <w:r>
          <w:rPr>
            <w:color w:val="0000EE"/>
            <w:u w:val="single"/>
          </w:rPr>
          <w:t>2S 3.31</w:t>
        </w:r>
      </w:hyperlink>
      <w:r>
        <w:t>)</w:t>
      </w:r>
    </w:p>
    <w:p>
      <w:pPr>
        <w:pStyle w:val="ListBullet"/>
        <w:spacing w:line="240" w:lineRule="auto"/>
        <w:ind w:left="720"/>
      </w:pPr>
      <w:r/>
      <w:r>
        <w:t>Enlever ses chaussures (</w:t>
      </w:r>
      <w:hyperlink r:id="rId3796">
        <w:r>
          <w:rPr>
            <w:color w:val="0000EE"/>
            <w:u w:val="single"/>
          </w:rPr>
          <w:t xml:space="preserve">2S 15.30 </w:t>
        </w:r>
      </w:hyperlink>
      <w:r>
        <w:t xml:space="preserve">; </w:t>
      </w:r>
      <w:hyperlink r:id="rId3797">
        <w:r>
          <w:rPr>
            <w:color w:val="0000EE"/>
            <w:u w:val="single"/>
          </w:rPr>
          <w:t>Mi 1.8</w:t>
        </w:r>
      </w:hyperlink>
      <w:r>
        <w:t>) et son couvre-chef</w:t>
      </w:r>
    </w:p>
    <w:p>
      <w:pPr>
        <w:pStyle w:val="ListBullet"/>
        <w:spacing w:line="240" w:lineRule="auto"/>
        <w:ind w:left="720"/>
      </w:pPr>
      <w:r/>
      <w:r>
        <w:t>Couvrir sa barbe ou voiler son visage (</w:t>
      </w:r>
      <w:hyperlink r:id="rId3798">
        <w:r>
          <w:rPr>
            <w:color w:val="0000EE"/>
            <w:u w:val="single"/>
          </w:rPr>
          <w:t>Ez 24.17, 23</w:t>
        </w:r>
      </w:hyperlink>
      <w:r>
        <w:t>), pour un homme</w:t>
      </w:r>
    </w:p>
    <w:p>
      <w:pPr>
        <w:pStyle w:val="ListBullet"/>
        <w:spacing w:line="240" w:lineRule="auto"/>
        <w:ind w:left="720"/>
      </w:pPr>
      <w:r/>
      <w:r>
        <w:t>Couvrir sa tête de poussière ou de terre (</w:t>
      </w:r>
      <w:hyperlink r:id="rId3799">
        <w:r>
          <w:rPr>
            <w:color w:val="0000EE"/>
            <w:u w:val="single"/>
          </w:rPr>
          <w:t xml:space="preserve">Jos 7.6 </w:t>
        </w:r>
      </w:hyperlink>
      <w:r>
        <w:t xml:space="preserve">; </w:t>
      </w:r>
      <w:hyperlink r:id="rId3800">
        <w:r>
          <w:rPr>
            <w:color w:val="0000EE"/>
            <w:u w:val="single"/>
          </w:rPr>
          <w:t xml:space="preserve">1S 4.12 </w:t>
        </w:r>
      </w:hyperlink>
      <w:r>
        <w:t xml:space="preserve">; </w:t>
      </w:r>
      <w:hyperlink r:id="rId3801">
        <w:r>
          <w:rPr>
            <w:color w:val="0000EE"/>
            <w:u w:val="single"/>
          </w:rPr>
          <w:t xml:space="preserve">Né 9.1 </w:t>
        </w:r>
      </w:hyperlink>
      <w:r>
        <w:t xml:space="preserve">; </w:t>
      </w:r>
      <w:hyperlink r:id="rId3802">
        <w:r>
          <w:rPr>
            <w:color w:val="0000EE"/>
            <w:u w:val="single"/>
          </w:rPr>
          <w:t xml:space="preserve">Jb 2.12 </w:t>
        </w:r>
      </w:hyperlink>
      <w:r>
        <w:t xml:space="preserve">; </w:t>
      </w:r>
      <w:hyperlink r:id="rId3803">
        <w:r>
          <w:rPr>
            <w:color w:val="0000EE"/>
            <w:u w:val="single"/>
          </w:rPr>
          <w:t>Ez 27.30</w:t>
        </w:r>
      </w:hyperlink>
      <w:r>
        <w:t>)</w:t>
      </w:r>
    </w:p>
    <w:p>
      <w:pPr>
        <w:pStyle w:val="ListBullet"/>
        <w:spacing w:line="240" w:lineRule="auto"/>
        <w:ind w:left="720"/>
      </w:pPr>
      <w:r/>
      <w:r>
        <w:t>Se rouler dans la poussière ou les cendres (</w:t>
      </w:r>
      <w:hyperlink r:id="rId3804">
        <w:r>
          <w:rPr>
            <w:color w:val="0000EE"/>
            <w:u w:val="single"/>
          </w:rPr>
          <w:t xml:space="preserve">Jb 16.15 </w:t>
        </w:r>
      </w:hyperlink>
      <w:r>
        <w:t xml:space="preserve">; </w:t>
      </w:r>
      <w:hyperlink r:id="rId3805">
        <w:r>
          <w:rPr>
            <w:color w:val="0000EE"/>
            <w:u w:val="single"/>
          </w:rPr>
          <w:t>Mi 1.10</w:t>
        </w:r>
      </w:hyperlink>
      <w:r>
        <w:t>)</w:t>
      </w:r>
    </w:p>
    <w:p>
      <w:pPr>
        <w:pStyle w:val="ListBullet"/>
        <w:spacing w:line="240" w:lineRule="auto"/>
        <w:ind w:left="720"/>
      </w:pPr>
      <w:r/>
      <w:r>
        <w:t>S'asseoir ou se coucher sur un tas de cendres (</w:t>
      </w:r>
      <w:hyperlink r:id="rId3806">
        <w:r>
          <w:rPr>
            <w:color w:val="0000EE"/>
            <w:u w:val="single"/>
          </w:rPr>
          <w:t xml:space="preserve">Est 4.3 </w:t>
        </w:r>
      </w:hyperlink>
      <w:r>
        <w:t xml:space="preserve">; </w:t>
      </w:r>
      <w:hyperlink r:id="rId3807">
        <w:r>
          <w:rPr>
            <w:color w:val="0000EE"/>
            <w:u w:val="single"/>
          </w:rPr>
          <w:t xml:space="preserve">Es 58.5 </w:t>
        </w:r>
      </w:hyperlink>
      <w:r>
        <w:t xml:space="preserve">; </w:t>
      </w:r>
      <w:hyperlink r:id="rId3808">
        <w:r>
          <w:rPr>
            <w:color w:val="0000EE"/>
            <w:u w:val="single"/>
          </w:rPr>
          <w:t xml:space="preserve">Jr 6.26 </w:t>
        </w:r>
      </w:hyperlink>
      <w:r>
        <w:t xml:space="preserve">; </w:t>
      </w:r>
      <w:hyperlink r:id="rId3803">
        <w:r>
          <w:rPr>
            <w:color w:val="0000EE"/>
            <w:u w:val="single"/>
          </w:rPr>
          <w:t>Ez 27.30</w:t>
        </w:r>
      </w:hyperlink>
      <w:r>
        <w:t>)</w:t>
      </w:r>
    </w:p>
    <w:p>
      <w:r/>
      <w:r>
        <w:t>Certaines pratiques de deuil étaient interdites car elles étaient païennes (</w:t>
      </w:r>
      <w:hyperlink r:id="rId3809">
        <w:r>
          <w:rPr>
            <w:color w:val="0000EE"/>
            <w:u w:val="single"/>
          </w:rPr>
          <w:t xml:space="preserve">Lv 19.27–28 </w:t>
        </w:r>
      </w:hyperlink>
      <w:r>
        <w:t xml:space="preserve">; </w:t>
      </w:r>
      <w:hyperlink r:id="rId2152">
        <w:r>
          <w:rPr>
            <w:color w:val="0000EE"/>
            <w:u w:val="single"/>
          </w:rPr>
          <w:t>Dt 14.1</w:t>
        </w:r>
      </w:hyperlink>
      <w:r>
        <w:t>). Par exemple :</w:t>
      </w:r>
    </w:p>
    <w:p>
      <w:pPr>
        <w:pStyle w:val="ListBullet"/>
        <w:spacing w:line="240" w:lineRule="auto"/>
        <w:ind w:left="720"/>
      </w:pPr>
      <w:r/>
      <w:r>
        <w:t>Se raser les cheveux et la barbe</w:t>
      </w:r>
    </w:p>
    <w:p>
      <w:pPr>
        <w:pStyle w:val="ListBullet"/>
        <w:spacing w:line="240" w:lineRule="auto"/>
        <w:ind w:left="720"/>
      </w:pPr>
      <w:r/>
      <w:r>
        <w:t>Se faire des incisions ou des coupures sur le corps (</w:t>
      </w:r>
      <w:hyperlink r:id="rId3794">
        <w:r>
          <w:rPr>
            <w:color w:val="0000EE"/>
            <w:u w:val="single"/>
          </w:rPr>
          <w:t xml:space="preserve">Jb 1.20 </w:t>
        </w:r>
      </w:hyperlink>
      <w:r>
        <w:t xml:space="preserve">; </w:t>
      </w:r>
      <w:hyperlink r:id="rId3810">
        <w:r>
          <w:rPr>
            <w:color w:val="0000EE"/>
            <w:u w:val="single"/>
          </w:rPr>
          <w:t xml:space="preserve">Es 22.12 </w:t>
        </w:r>
      </w:hyperlink>
      <w:r>
        <w:t xml:space="preserve">; </w:t>
      </w:r>
      <w:hyperlink r:id="rId2157">
        <w:r>
          <w:rPr>
            <w:color w:val="0000EE"/>
            <w:u w:val="single"/>
          </w:rPr>
          <w:t xml:space="preserve">Jr 16.6 </w:t>
        </w:r>
      </w:hyperlink>
      <w:r>
        <w:t xml:space="preserve">; </w:t>
      </w:r>
      <w:hyperlink r:id="rId2854">
        <w:r>
          <w:rPr>
            <w:color w:val="0000EE"/>
            <w:u w:val="single"/>
          </w:rPr>
          <w:t xml:space="preserve">41.5 </w:t>
        </w:r>
      </w:hyperlink>
      <w:r>
        <w:t xml:space="preserve">; </w:t>
      </w:r>
      <w:hyperlink r:id="rId3811">
        <w:r>
          <w:rPr>
            <w:color w:val="0000EE"/>
            <w:u w:val="single"/>
          </w:rPr>
          <w:t xml:space="preserve">47.5 </w:t>
        </w:r>
      </w:hyperlink>
      <w:r>
        <w:t xml:space="preserve">; </w:t>
      </w:r>
      <w:hyperlink r:id="rId2158">
        <w:r>
          <w:rPr>
            <w:color w:val="0000EE"/>
            <w:u w:val="single"/>
          </w:rPr>
          <w:t xml:space="preserve">48.37 </w:t>
        </w:r>
      </w:hyperlink>
      <w:r>
        <w:t xml:space="preserve">; </w:t>
      </w:r>
      <w:hyperlink r:id="rId3812">
        <w:r>
          <w:rPr>
            <w:color w:val="0000EE"/>
            <w:u w:val="single"/>
          </w:rPr>
          <w:t xml:space="preserve">Ez 7.18 </w:t>
        </w:r>
      </w:hyperlink>
      <w:r>
        <w:t xml:space="preserve">; </w:t>
      </w:r>
      <w:hyperlink r:id="rId3813">
        <w:r>
          <w:rPr>
            <w:color w:val="0000EE"/>
            <w:u w:val="single"/>
          </w:rPr>
          <w:t>Am 8.10</w:t>
        </w:r>
      </w:hyperlink>
      <w:r>
        <w:t>)</w:t>
      </w:r>
    </w:p>
    <w:p>
      <w:r/>
      <w:r>
        <w:t>Les personnes en deuil arrêtaient de se laver et d'utiliser des parfums (</w:t>
      </w:r>
      <w:hyperlink r:id="rId1539">
        <w:r>
          <w:rPr>
            <w:color w:val="0000EE"/>
            <w:u w:val="single"/>
          </w:rPr>
          <w:t xml:space="preserve">2S 12.20 </w:t>
        </w:r>
      </w:hyperlink>
      <w:r>
        <w:t xml:space="preserve">; </w:t>
      </w:r>
      <w:hyperlink r:id="rId3814">
        <w:r>
          <w:rPr>
            <w:color w:val="0000EE"/>
            <w:u w:val="single"/>
          </w:rPr>
          <w:t>14.2</w:t>
        </w:r>
      </w:hyperlink>
      <w:r>
        <w:t>).</w:t>
      </w:r>
    </w:p>
    <w:p>
      <w:r/>
      <w:r>
        <w:t>Le jeûne était aussi un rite de deuil courant (</w:t>
      </w:r>
      <w:hyperlink r:id="rId3815">
        <w:r>
          <w:rPr>
            <w:color w:val="0000EE"/>
            <w:u w:val="single"/>
          </w:rPr>
          <w:t xml:space="preserve">1S 31.13 </w:t>
        </w:r>
      </w:hyperlink>
      <w:r>
        <w:t xml:space="preserve">; </w:t>
      </w:r>
      <w:hyperlink r:id="rId3816">
        <w:r>
          <w:rPr>
            <w:color w:val="0000EE"/>
            <w:u w:val="single"/>
          </w:rPr>
          <w:t>2S 1.12</w:t>
        </w:r>
      </w:hyperlink>
      <w:r>
        <w:t>). Voisins ou amis apportaient du pain de deuil et une « coupe de consolation » aux proches du défunt (</w:t>
      </w:r>
      <w:hyperlink r:id="rId3449">
        <w:r>
          <w:rPr>
            <w:color w:val="0000EE"/>
            <w:u w:val="single"/>
          </w:rPr>
          <w:t xml:space="preserve">Jr 16.7 </w:t>
        </w:r>
      </w:hyperlink>
      <w:r>
        <w:t xml:space="preserve">; </w:t>
      </w:r>
      <w:hyperlink r:id="rId3817">
        <w:r>
          <w:rPr>
            <w:color w:val="0000EE"/>
            <w:u w:val="single"/>
          </w:rPr>
          <w:t>Ez 24.17, 22</w:t>
        </w:r>
      </w:hyperlink>
      <w:r>
        <w:t xml:space="preserve">). La raison derrière cela était que la nourriture ne pouvait pas être préparée dans la maison du défunt en raison de l'impureté rituelle. Les morts étaient considérés comme impurs, au point que les sacrificateurs ne pouvaient participer aux rites de deuil que pour leurs plus proches parents de sang (mère, père, fils, fille, frère et sœur, à condition qu'elle soit encore vierge ; </w:t>
      </w:r>
      <w:hyperlink r:id="rId3818">
        <w:r>
          <w:rPr>
            <w:color w:val="0000EE"/>
            <w:u w:val="single"/>
          </w:rPr>
          <w:t>Lv 21.1</w:t>
        </w:r>
      </w:hyperlink>
      <w:hyperlink r:id="rId3819">
        <w:r>
          <w:rPr>
            <w:color w:val="0000EE"/>
            <w:u w:val="single"/>
          </w:rPr>
          <w:t>–</w:t>
        </w:r>
      </w:hyperlink>
      <w:hyperlink r:id="rId3818">
        <w:r>
          <w:rPr>
            <w:color w:val="0000EE"/>
            <w:u w:val="single"/>
          </w:rPr>
          <w:t>4, 10</w:t>
        </w:r>
      </w:hyperlink>
      <w:hyperlink r:id="rId3819">
        <w:r>
          <w:rPr>
            <w:color w:val="0000EE"/>
            <w:u w:val="single"/>
          </w:rPr>
          <w:t>–</w:t>
        </w:r>
      </w:hyperlink>
      <w:hyperlink r:id="rId3818">
        <w:r>
          <w:rPr>
            <w:color w:val="0000EE"/>
            <w:u w:val="single"/>
          </w:rPr>
          <w:t>11</w:t>
        </w:r>
      </w:hyperlink>
      <w:r>
        <w:t>). Les rites de deuil étaient des expressions de chagrin et d'affection et non des actes de culte des morts.</w:t>
      </w:r>
    </w:p>
    <w:p>
      <w:r/>
      <w:r>
        <w:t>Aux abords du tombeau, les lamentations pour les morts étaient courantes (</w:t>
      </w:r>
      <w:hyperlink r:id="rId3820">
        <w:r>
          <w:rPr>
            <w:color w:val="0000EE"/>
            <w:u w:val="single"/>
          </w:rPr>
          <w:t xml:space="preserve">1R 13.30 </w:t>
        </w:r>
      </w:hyperlink>
      <w:r>
        <w:t xml:space="preserve">; </w:t>
      </w:r>
      <w:hyperlink r:id="rId3808">
        <w:r>
          <w:rPr>
            <w:color w:val="0000EE"/>
            <w:u w:val="single"/>
          </w:rPr>
          <w:t xml:space="preserve">Jr 6.26 </w:t>
        </w:r>
      </w:hyperlink>
      <w:r>
        <w:t xml:space="preserve">; </w:t>
      </w:r>
      <w:hyperlink r:id="rId2279">
        <w:r>
          <w:rPr>
            <w:color w:val="0000EE"/>
            <w:u w:val="single"/>
          </w:rPr>
          <w:t xml:space="preserve">Am 5.16 </w:t>
        </w:r>
      </w:hyperlink>
      <w:r>
        <w:t xml:space="preserve">; </w:t>
      </w:r>
      <w:hyperlink r:id="rId3813">
        <w:r>
          <w:rPr>
            <w:color w:val="0000EE"/>
            <w:u w:val="single"/>
          </w:rPr>
          <w:t xml:space="preserve">8.10 </w:t>
        </w:r>
      </w:hyperlink>
      <w:r>
        <w:t xml:space="preserve">; </w:t>
      </w:r>
      <w:hyperlink r:id="rId3821">
        <w:r>
          <w:rPr>
            <w:color w:val="0000EE"/>
            <w:u w:val="single"/>
          </w:rPr>
          <w:t>Za 12.10</w:t>
        </w:r>
      </w:hyperlink>
      <w:r>
        <w:t>). Hommes et femmes pleuraient en groupes séparés (</w:t>
      </w:r>
      <w:hyperlink r:id="rId3822">
        <w:r>
          <w:rPr>
            <w:color w:val="0000EE"/>
            <w:u w:val="single"/>
          </w:rPr>
          <w:t>Za 12.11–14</w:t>
        </w:r>
      </w:hyperlink>
      <w:r>
        <w:t>). Ces exclamations de douleur pouvaient se transformer en lamentations rythmiques (</w:t>
      </w:r>
      <w:hyperlink r:id="rId3823">
        <w:r>
          <w:rPr>
            <w:color w:val="0000EE"/>
            <w:u w:val="single"/>
          </w:rPr>
          <w:t xml:space="preserve">2S 1.17–27 </w:t>
        </w:r>
      </w:hyperlink>
      <w:r>
        <w:t xml:space="preserve">; </w:t>
      </w:r>
      <w:hyperlink r:id="rId3813">
        <w:r>
          <w:rPr>
            <w:color w:val="0000EE"/>
            <w:u w:val="single"/>
          </w:rPr>
          <w:t>Am 8.10</w:t>
        </w:r>
      </w:hyperlink>
      <w:r>
        <w:t>). Des pleureuses professionnelles (c'étaient des femmes la plupart du temps), étaient souvent engagées pour diriger les lamentations (</w:t>
      </w:r>
      <w:hyperlink r:id="rId3824">
        <w:r>
          <w:rPr>
            <w:color w:val="0000EE"/>
            <w:u w:val="single"/>
          </w:rPr>
          <w:t xml:space="preserve">Jr 9.17–19 </w:t>
        </w:r>
      </w:hyperlink>
      <w:r>
        <w:t xml:space="preserve">; </w:t>
      </w:r>
      <w:hyperlink r:id="rId2279">
        <w:r>
          <w:rPr>
            <w:color w:val="0000EE"/>
            <w:u w:val="single"/>
          </w:rPr>
          <w:t>Am 5.16</w:t>
        </w:r>
      </w:hyperlink>
      <w:r>
        <w:t>). Le livre des Lamentations illustre ce genre d'expression. Les Lamentations nous rappellent que le deuil n'était pas toujours associé à la mort. Le deuil au sens large pouvait aussi donner libre cours à l'expression d'un cœur brisé à cause du péché, tant au niveau individuel que national.</w:t>
      </w:r>
    </w:p>
    <w:p>
      <w:r/>
      <w:r>
        <w:t>Ces rites de deuil montraient une profonde tristesse. Certaines pratiques, comme déchirer ses vêtements, porter des sacs, se couvrir de poussière et de cendres, et même se couper, reflétaient un chagrin intense. La signification religieuse de ces pratiques est maintenant assez obscure. Le deuil n'était pas seulement un sentiment intérieur ou un état mental ; c'était un rituel délibéré et établi. Lorsqu'une personne mourait, un Israélite pleurait parce que c'était la coutume et que c'était approprié. Les gens construisaient des monuments ou des mémoriaux (</w:t>
      </w:r>
      <w:hyperlink r:id="rId3825">
        <w:r>
          <w:rPr>
            <w:color w:val="0000EE"/>
            <w:u w:val="single"/>
          </w:rPr>
          <w:t>2S 18.18</w:t>
        </w:r>
      </w:hyperlink>
      <w:r>
        <w:t>). Cependant, la plupart des Israélites étaient trop pauvres pour que cela soit une pratique courante.</w:t>
      </w:r>
    </w:p>
    <w:p>
      <w:pPr>
        <w:pStyle w:val="Heading3"/>
      </w:pPr>
      <w:r>
        <w:t>Deuil dans le Nouveau Testament</w:t>
      </w:r>
    </w:p>
    <w:p>
      <w:r/>
      <w:r>
        <w:t>Les pratiques de deuil dans le Nouveau Testament étaient similaires à celles de l'Ancien Testament. Le deuil était associé à :</w:t>
      </w:r>
    </w:p>
    <w:p>
      <w:pPr>
        <w:pStyle w:val="ListBullet"/>
        <w:spacing w:line="240" w:lineRule="auto"/>
        <w:ind w:left="720"/>
      </w:pPr>
      <w:r/>
      <w:r>
        <w:t>La seconde venue du Christ (</w:t>
      </w:r>
      <w:hyperlink r:id="rId2891">
        <w:r>
          <w:rPr>
            <w:color w:val="0000EE"/>
            <w:u w:val="single"/>
          </w:rPr>
          <w:t>Mt 24.30</w:t>
        </w:r>
      </w:hyperlink>
      <w:r>
        <w:t>)</w:t>
      </w:r>
    </w:p>
    <w:p>
      <w:pPr>
        <w:pStyle w:val="ListBullet"/>
        <w:spacing w:line="240" w:lineRule="auto"/>
        <w:ind w:left="720"/>
      </w:pPr>
      <w:r/>
      <w:r>
        <w:t>La repentance (</w:t>
      </w:r>
      <w:hyperlink r:id="rId3826">
        <w:r>
          <w:rPr>
            <w:color w:val="0000EE"/>
            <w:u w:val="single"/>
          </w:rPr>
          <w:t>Jc 4.8–10</w:t>
        </w:r>
      </w:hyperlink>
      <w:r>
        <w:t>)</w:t>
      </w:r>
    </w:p>
    <w:p>
      <w:pPr>
        <w:pStyle w:val="ListBullet"/>
        <w:spacing w:line="240" w:lineRule="auto"/>
        <w:ind w:left="720"/>
      </w:pPr>
      <w:r/>
      <w:r>
        <w:t>Le départ du Christ d'auprès des 12 (</w:t>
      </w:r>
      <w:hyperlink r:id="rId3827">
        <w:r>
          <w:rPr>
            <w:color w:val="0000EE"/>
            <w:u w:val="single"/>
          </w:rPr>
          <w:t>Mt 9.15</w:t>
        </w:r>
      </w:hyperlink>
      <w:r>
        <w:t>)</w:t>
      </w:r>
    </w:p>
    <w:p>
      <w:pPr>
        <w:pStyle w:val="ListBullet"/>
        <w:spacing w:line="240" w:lineRule="auto"/>
        <w:ind w:left="720"/>
      </w:pPr>
      <w:r/>
      <w:r>
        <w:t>Une spiritualité profonde (</w:t>
      </w:r>
      <w:hyperlink r:id="rId3828">
        <w:r>
          <w:rPr>
            <w:color w:val="0000EE"/>
            <w:u w:val="single"/>
          </w:rPr>
          <w:t>5.4</w:t>
        </w:r>
      </w:hyperlink>
      <w:r>
        <w:t>)</w:t>
      </w:r>
    </w:p>
    <w:p>
      <w:pPr>
        <w:pStyle w:val="ListBullet"/>
        <w:spacing w:line="240" w:lineRule="auto"/>
        <w:ind w:left="720"/>
      </w:pPr>
      <w:r/>
      <w:r>
        <w:t>La mort (</w:t>
      </w:r>
      <w:hyperlink r:id="rId3829">
        <w:r>
          <w:rPr>
            <w:color w:val="0000EE"/>
            <w:u w:val="single"/>
          </w:rPr>
          <w:t xml:space="preserve">Mc 5.38–39 </w:t>
        </w:r>
      </w:hyperlink>
      <w:r>
        <w:t xml:space="preserve">; </w:t>
      </w:r>
      <w:hyperlink r:id="rId3830">
        <w:r>
          <w:rPr>
            <w:color w:val="0000EE"/>
            <w:u w:val="single"/>
          </w:rPr>
          <w:t xml:space="preserve">Lc 7.13 </w:t>
        </w:r>
      </w:hyperlink>
      <w:r>
        <w:t xml:space="preserve">; </w:t>
      </w:r>
      <w:hyperlink r:id="rId2271">
        <w:r>
          <w:rPr>
            <w:color w:val="0000EE"/>
            <w:u w:val="single"/>
          </w:rPr>
          <w:t>Jn 11.33</w:t>
        </w:r>
      </w:hyperlink>
      <w:r>
        <w:t>)</w:t>
      </w:r>
    </w:p>
    <w:p>
      <w:r/>
      <w:r>
        <w:t>Les chrétiens croyaient que la résurrection du Christ avait vaincu la mort (</w:t>
      </w:r>
      <w:hyperlink r:id="rId3296">
        <w:r>
          <w:rPr>
            <w:color w:val="0000EE"/>
            <w:u w:val="single"/>
          </w:rPr>
          <w:t>1Co 15.54–57</w:t>
        </w:r>
      </w:hyperlink>
      <w:r>
        <w:t>). Ils pleuraient néanmoins, mais pas comme ceux qui n'ont pas d'espérance (</w:t>
      </w:r>
      <w:hyperlink r:id="rId3831">
        <w:r>
          <w:rPr>
            <w:color w:val="0000EE"/>
            <w:u w:val="single"/>
          </w:rPr>
          <w:t xml:space="preserve">1Th 4.13 </w:t>
        </w:r>
      </w:hyperlink>
      <w:r>
        <w:t xml:space="preserve">; </w:t>
      </w:r>
      <w:hyperlink r:id="rId1643">
        <w:r>
          <w:rPr>
            <w:color w:val="0000EE"/>
            <w:u w:val="single"/>
          </w:rPr>
          <w:t>Ap 21.4</w:t>
        </w:r>
      </w:hyperlink>
      <w:r>
        <w:t>).</w:t>
      </w:r>
    </w:p>
    <w:p>
      <w:r/>
      <w:r>
        <w:rPr>
          <w:i/>
        </w:rPr>
        <w:t>Voir aussi</w:t>
      </w:r>
      <w:r>
        <w:t xml:space="preserve"> </w:t>
      </w:r>
      <w:r>
        <w:t xml:space="preserve">enterrement, coutumes funéraires </w:t>
      </w:r>
      <w:r>
        <w:t xml:space="preserve">; </w:t>
      </w:r>
      <w:r>
        <w:t>rites funéraires</w:t>
      </w:r>
      <w:r>
        <w:t>.</w:t>
      </w:r>
      <w:r/>
      <w:r/>
    </w:p>
    <w:p>
      <w:r/>
    </w:p>
    <w:p>
      <w:pPr>
        <w:pStyle w:val="Heading2"/>
      </w:pPr>
      <w:r>
        <w:t>Deutéronome</w:t>
      </w:r>
      <w:r/>
    </w:p>
    <w:p>
      <w:r/>
      <w:r>
        <w:t>Cinquième livre de l'Ancien Testament (AT) et le dernier du Pentateuque (les cinq livres de la loi). Dans celui-ci, Moïse rappelle au peuple d'Israël diverses lois et préceptes de l'alliance que Dieu leur avait révélés au mont Sinaï. Ainsi, le livre a été nommé en grec et en latin le « Deutéronome », ce qui signifie « deuxième loi ». Certains ont mal interprété ce nom comme une indication que cette loi est d'importance secondaire. Cependant, ce livre contribue de façon importante à la révélation progressive du dessein de Dieu pour la nation d'Israël. Les rappels de Moïse sur les errances au désert, les dix commandements, ainsi que ses instructions concernant la vie en Terre promise tiennent une place essentielle aux côtés des autres écrits de l'alliance de l'AT.</w:t>
      </w:r>
    </w:p>
    <w:p>
      <w:r/>
      <w:r>
        <w:t>Sommaire</w:t>
      </w:r>
    </w:p>
    <w:p>
      <w:r/>
      <w:r>
        <w:t>• Date de composition et auteur</w:t>
      </w:r>
    </w:p>
    <w:p>
      <w:r/>
      <w:r>
        <w:t>• Contexte historique</w:t>
      </w:r>
    </w:p>
    <w:p>
      <w:r/>
      <w:r>
        <w:t>• Importance du Deutéronome</w:t>
      </w:r>
    </w:p>
    <w:p>
      <w:r/>
      <w:r>
        <w:t>• Le Deutéronome et la loi</w:t>
      </w:r>
    </w:p>
    <w:p>
      <w:r/>
      <w:r>
        <w:t>• Survol</w:t>
      </w:r>
    </w:p>
    <w:p>
      <w:pPr>
        <w:pStyle w:val="Heading3"/>
      </w:pPr>
      <w:r>
        <w:t>Date de composition et auteur</w:t>
      </w:r>
    </w:p>
    <w:p>
      <w:r/>
      <w:r>
        <w:t>Les érudits modernes proposent deux théories principales (avec variations) concernant la date de composition et l'identité de l'auteur du Deutéronome. Ceux qui considèrent que Moïse en est l'auteur estiment que la date de composition du livre est le 14</w:t>
      </w:r>
      <w:r>
        <w:rPr>
          <w:vertAlign w:val="superscript"/>
        </w:rPr>
        <w:t>e</w:t>
      </w:r>
      <w:r>
        <w:t xml:space="preserve"> ou 13</w:t>
      </w:r>
      <w:r>
        <w:rPr>
          <w:vertAlign w:val="superscript"/>
        </w:rPr>
        <w:t>e</w:t>
      </w:r>
      <w:r>
        <w:t xml:space="preserve"> siècle av. J.‑C. D'autres soutiennent que le livre a été composé par un auteur inconnu au 7</w:t>
      </w:r>
      <w:r>
        <w:rPr>
          <w:vertAlign w:val="superscript"/>
        </w:rPr>
        <w:t>e</w:t>
      </w:r>
      <w:r>
        <w:t xml:space="preserve"> siècle av. J.‑C., pendant le règne de Josias en Juda.</w:t>
      </w:r>
    </w:p>
    <w:p>
      <w:pPr>
        <w:pStyle w:val="Heading4"/>
      </w:pPr>
      <w:r>
        <w:t>Arguments en faveur d'une date de composition au 7</w:t>
      </w:r>
      <w:r>
        <w:rPr>
          <w:vertAlign w:val="superscript"/>
        </w:rPr>
        <w:t>e</w:t>
      </w:r>
      <w:r>
        <w:t xml:space="preserve"> siècle</w:t>
      </w:r>
    </w:p>
    <w:p>
      <w:r/>
      <w:r>
        <w:t>Dès 1805, W. M. L. de Wette soutient que le Deutéronome a été utilisé par le roi Josias lors de ses réformes au 7</w:t>
      </w:r>
      <w:r>
        <w:rPr>
          <w:vertAlign w:val="superscript"/>
        </w:rPr>
        <w:t>e</w:t>
      </w:r>
      <w:r>
        <w:t xml:space="preserve"> siècle av. J.‑C. et qu'il avait été écrit peu de temps avant cela. Le critique biblique Julius Wellhausen adopte ce point de vue, qui est ensuite défendu par de nombreux érudits depuis sa popularisation par S. R. Driver dans son </w:t>
      </w:r>
      <w:r>
        <w:rPr>
          <w:i/>
        </w:rPr>
        <w:t>Introduction à la littérature de l'Ancien Testament</w:t>
      </w:r>
      <w:r>
        <w:t xml:space="preserve"> (1891). Selon cette théorie, le Deutéronome aurait donc été écrit tardivement, mais aurait été attribué à Moïse.</w:t>
      </w:r>
    </w:p>
    <w:p>
      <w:r/>
      <w:r>
        <w:t>De nombreux érudits modernes, tels que Gerhard von Rad et G. E. Wright considèrent que Moïse est le fondateur de la foi d'Israël. Ils soutiennent que tout ce qui provient de Moïse dans le Deutéronome a été transmis oralement jusque vers le 7</w:t>
      </w:r>
      <w:r>
        <w:rPr>
          <w:vertAlign w:val="superscript"/>
        </w:rPr>
        <w:t>e</w:t>
      </w:r>
      <w:r>
        <w:t xml:space="preserve"> siècle av. J.‑C. Pour eux, Moïse n'a pas réellement écrit le Deutéronome. Le texte du livre tel qu'il existe aujourd'hui est le produit du travail de nombreux auteurs et éditeurs sur plusieurs siècles.</w:t>
      </w:r>
    </w:p>
    <w:p>
      <w:pPr>
        <w:pStyle w:val="Heading4"/>
      </w:pPr>
      <w:r>
        <w:t>Arguments en faveur de Moïse comme auteur</w:t>
      </w:r>
    </w:p>
    <w:p>
      <w:r/>
      <w:r>
        <w:t>Au cours des dernières décennies, des études sur les traités de suzeraineté hittites du 2</w:t>
      </w:r>
      <w:r>
        <w:rPr>
          <w:vertAlign w:val="superscript"/>
        </w:rPr>
        <w:t>e</w:t>
      </w:r>
      <w:r>
        <w:t xml:space="preserve"> millénaire av. J.‑C. ont révélé des points de comparaison intéressants entre les structures de ces traités et celles qui se trouvent dans Exode et Deutéronome. (Les Hittites sont appelés des Héthiens dans plusieurs bibles françaises.) </w:t>
      </w:r>
    </w:p>
    <w:p>
      <w:r/>
      <w:r>
        <w:t>En 1954, G. Mendenhall soutient que la structure littéraire de l'alliance au mont Sinaï est la même que celle qui est utilisée par les Hittites dans leurs traités avec les états vassaux syriens au cours des 14</w:t>
      </w:r>
      <w:r>
        <w:rPr>
          <w:vertAlign w:val="superscript"/>
        </w:rPr>
        <w:t>e</w:t>
      </w:r>
      <w:r>
        <w:t xml:space="preserve"> et 13</w:t>
      </w:r>
      <w:r>
        <w:rPr>
          <w:vertAlign w:val="superscript"/>
        </w:rPr>
        <w:t>e</w:t>
      </w:r>
      <w:r>
        <w:t xml:space="preserve"> siècles av. J.‑C. En 1960, M. G. Kline applique cette idée au livre du Deutéronome, qui est selon lui un renouvellement de l'alliance au Sinaï. Kline décrit la structure du livre comme une unité littéraire basée sur le modèle de la structure des alliances hittites.</w:t>
      </w:r>
    </w:p>
    <w:p>
      <w:r/>
      <w:r>
        <w:t>Il est vrai qu'il y a entre le livre du Deutéronome et les traités de suzeraineté hittites certains parallèles. En tant que traité de renouvellement, il se base sur l'alliance de Dieu avec Israël au mont Sinaï (décrite dans le livre de l'Exode).</w:t>
      </w:r>
    </w:p>
    <w:p>
      <w:r/>
      <w:r>
        <w:t xml:space="preserve">1. Dans les anciens traités hittites, le préambule identifie habituellement le suzerain ou le dirigeant qui fait alliance. Dans </w:t>
      </w:r>
      <w:hyperlink r:id="rId3832">
        <w:r>
          <w:rPr>
            <w:color w:val="0000EE"/>
            <w:u w:val="single"/>
          </w:rPr>
          <w:t>Deutéronome 1.1–5</w:t>
        </w:r>
      </w:hyperlink>
      <w:r>
        <w:t xml:space="preserve"> (voir </w:t>
      </w:r>
      <w:hyperlink r:id="rId3833">
        <w:r>
          <w:rPr>
            <w:color w:val="0000EE"/>
            <w:u w:val="single"/>
          </w:rPr>
          <w:t>Ex 20.1</w:t>
        </w:r>
      </w:hyperlink>
      <w:r>
        <w:t>), Moïse est le représentant de Dieu, le roi d'Israël. Alors que sa mort approche, Moïse appelle le peuple à renouveler l'alliance.</w:t>
      </w:r>
    </w:p>
    <w:p>
      <w:r/>
      <w:r>
        <w:t xml:space="preserve">2. Dans le prologue historique d'un traité hittite, le suzerain décrivait ce qu'il avait fait en faveur de son vassal. Dans </w:t>
      </w:r>
      <w:hyperlink r:id="rId3834">
        <w:r>
          <w:rPr>
            <w:color w:val="0000EE"/>
            <w:u w:val="single"/>
          </w:rPr>
          <w:t>Deutéronome 1.6–4.49</w:t>
        </w:r>
      </w:hyperlink>
      <w:r>
        <w:t xml:space="preserve"> (voir </w:t>
      </w:r>
      <w:hyperlink r:id="rId3835">
        <w:r>
          <w:rPr>
            <w:color w:val="0000EE"/>
            <w:u w:val="single"/>
          </w:rPr>
          <w:t>Ex 20.2</w:t>
        </w:r>
      </w:hyperlink>
      <w:r>
        <w:t>), Moïse récapitule ce que Dieu a fait pour Israël depuis qu'il lui a parlé au mont Sinaï. Moïse rappelle au peuple d'Israël que Dieu est resté fidèle alors que lui a fréquemment été infidèle à Dieu.</w:t>
      </w:r>
    </w:p>
    <w:p>
      <w:r/>
      <w:r>
        <w:t xml:space="preserve">3. Les stipulations étaient généralement énoncées par le suzerain dans la troisième partie du traité. Dans </w:t>
      </w:r>
      <w:hyperlink r:id="rId3836">
        <w:r>
          <w:rPr>
            <w:color w:val="0000EE"/>
            <w:u w:val="single"/>
          </w:rPr>
          <w:t>Deutéronome 5–26</w:t>
        </w:r>
      </w:hyperlink>
      <w:r>
        <w:t xml:space="preserve">, Moïse déclare les stipulations qui s'appliquent à Israël dans le cadre de son alliance avec Dieu. L'exigence fondamentale dans </w:t>
      </w:r>
      <w:hyperlink r:id="rId3837">
        <w:r>
          <w:rPr>
            <w:color w:val="0000EE"/>
            <w:u w:val="single"/>
          </w:rPr>
          <w:t>Deutéronome 5–11</w:t>
        </w:r>
      </w:hyperlink>
      <w:r>
        <w:t xml:space="preserve"> (</w:t>
      </w:r>
      <w:hyperlink r:id="rId3838">
        <w:r>
          <w:rPr>
            <w:color w:val="0000EE"/>
            <w:u w:val="single"/>
          </w:rPr>
          <w:t>Ex 20.3–17</w:t>
        </w:r>
      </w:hyperlink>
      <w:r>
        <w:t xml:space="preserve">) est un amour exclusif et entier pour Dieu. Dans les chapitres suivants, </w:t>
      </w:r>
      <w:hyperlink r:id="rId570">
        <w:r>
          <w:rPr>
            <w:color w:val="0000EE"/>
            <w:u w:val="single"/>
          </w:rPr>
          <w:t>Deutéronome 12–26</w:t>
        </w:r>
      </w:hyperlink>
      <w:r>
        <w:t>, le principe fondamental de l'amour exclusif des Israélites pour Dieu est appliqué aux domaines spécifiques suivants :</w:t>
      </w:r>
    </w:p>
    <w:p>
      <w:pPr>
        <w:pStyle w:val="ListBullet"/>
        <w:spacing w:line="240" w:lineRule="auto"/>
        <w:ind w:left="720"/>
      </w:pPr>
      <w:r/>
      <w:r>
        <w:t>La consécration cultuelle et cérémonielle (</w:t>
      </w:r>
      <w:hyperlink r:id="rId3839">
        <w:r>
          <w:rPr>
            <w:color w:val="0000EE"/>
            <w:u w:val="single"/>
          </w:rPr>
          <w:t>Dt 12.1–16.17</w:t>
        </w:r>
      </w:hyperlink>
      <w:r>
        <w:t>)</w:t>
      </w:r>
    </w:p>
    <w:p>
      <w:pPr>
        <w:pStyle w:val="ListBullet"/>
        <w:spacing w:line="240" w:lineRule="auto"/>
        <w:ind w:left="720"/>
      </w:pPr>
      <w:r/>
      <w:r>
        <w:t>L'application de la justice par les autorités (</w:t>
      </w:r>
      <w:hyperlink r:id="rId3840">
        <w:r>
          <w:rPr>
            <w:color w:val="0000EE"/>
            <w:u w:val="single"/>
          </w:rPr>
          <w:t>16.18–21.23</w:t>
        </w:r>
      </w:hyperlink>
      <w:r>
        <w:t>)</w:t>
      </w:r>
    </w:p>
    <w:p>
      <w:pPr>
        <w:pStyle w:val="ListBullet"/>
        <w:spacing w:line="240" w:lineRule="auto"/>
        <w:ind w:left="720"/>
      </w:pPr>
      <w:r/>
      <w:r>
        <w:t xml:space="preserve">La sainteté dans la société que Dieu dirige (chap. </w:t>
      </w:r>
      <w:hyperlink r:id="rId3841">
        <w:r>
          <w:rPr>
            <w:color w:val="0000EE"/>
            <w:u w:val="single"/>
          </w:rPr>
          <w:t>22–25</w:t>
        </w:r>
      </w:hyperlink>
      <w:r>
        <w:t>)</w:t>
      </w:r>
    </w:p>
    <w:p>
      <w:pPr>
        <w:pStyle w:val="ListBullet"/>
        <w:spacing w:line="240" w:lineRule="auto"/>
        <w:ind w:left="720"/>
      </w:pPr>
      <w:r/>
      <w:r>
        <w:t xml:space="preserve">La reconnaissance publique que Dieu est leur rédempteur et leur roi (chap. </w:t>
      </w:r>
      <w:hyperlink r:id="rId3842">
        <w:r>
          <w:rPr>
            <w:color w:val="0000EE"/>
            <w:u w:val="single"/>
          </w:rPr>
          <w:t>26</w:t>
        </w:r>
      </w:hyperlink>
      <w:r>
        <w:t>)</w:t>
      </w:r>
    </w:p>
    <w:p>
      <w:r/>
      <w:r>
        <w:t xml:space="preserve">4. La ratification de l'alliance contenait généralement une disposition pour le renouvellement du traité et une formule de malédictions et de bénédictions. Dans </w:t>
      </w:r>
      <w:hyperlink r:id="rId3843">
        <w:r>
          <w:rPr>
            <w:color w:val="0000EE"/>
            <w:u w:val="single"/>
          </w:rPr>
          <w:t>Deutéronome 27</w:t>
        </w:r>
      </w:hyperlink>
      <w:r>
        <w:t>, une disposition est prise pour que Josué conclue le renouvellement de l'alliance après l'entrée des Israélites en Terre promise. De plus, la menace et la promesse de Dieu sont exprimées par des bénédictions et des malédictions alors qu'Israël prête son serment d'allégeance dans les plaines de Moab.</w:t>
      </w:r>
    </w:p>
    <w:p>
      <w:r/>
      <w:r>
        <w:t xml:space="preserve">5. Les dispositions de succession concluaient généralement les traités hittites de suzeraineté. Dans les chapitres </w:t>
      </w:r>
      <w:hyperlink r:id="rId3844">
        <w:r>
          <w:rPr>
            <w:color w:val="0000EE"/>
            <w:u w:val="single"/>
          </w:rPr>
          <w:t>31–34</w:t>
        </w:r>
      </w:hyperlink>
      <w:r>
        <w:t>, Josué est désigné comme le successeur de Moïse. Le texte écrit est déposé dans le sanctuaire avec le cantique du témoignage et la bénédiction testamentaire de Moïse. Le livre du Deutéronome est donc un document servant à certifier le traité de l'alliance avec Dieu avant la mort de Moïse.</w:t>
      </w:r>
    </w:p>
    <w:p>
      <w:r/>
      <w:r>
        <w:t>Le fait que la structure littéraire du Deutéronome suit le modèle légal caractéristique des traités hittites anciens argumente en faveur de Moïse comme auteur du Deutéronome. En effet, il est reconnu comme médiateur entre Dieu et Israël dans l'alliance au Sinaï. Il est donc significatif que le livre du Deutéronome représente le renouvellement de l'alliance par Moïse sous la forme littéraire en vigueur dans la culture régionale de son époque.</w:t>
      </w:r>
    </w:p>
    <w:p>
      <w:pPr>
        <w:pStyle w:val="Heading3"/>
      </w:pPr>
      <w:r>
        <w:t>Contexte historique</w:t>
      </w:r>
    </w:p>
    <w:p>
      <w:r/>
      <w:r>
        <w:t xml:space="preserve">Moïse avait conduit les Israélites depuis l'Égypte jusqu'aux plaines de Moab à l'est de la mer Morte, en passant par le désert. </w:t>
      </w:r>
      <w:hyperlink r:id="rId3845">
        <w:r>
          <w:rPr>
            <w:color w:val="0000EE"/>
            <w:u w:val="single"/>
          </w:rPr>
          <w:t>Exode 1–19</w:t>
        </w:r>
      </w:hyperlink>
      <w:r>
        <w:t xml:space="preserve"> raconte (1) l'asservissement des Israélites en Égypte, (2) la naissance et les débuts de Moïse, (3) sa confrontation avec Pharaon, (4) la délivrance miraculeuse qui a permis à Israël de sortir d'Égypte et (5) le voyage vers le mont Sinaï (probablement aussi connu sous le nom de mont Horeb).</w:t>
      </w:r>
    </w:p>
    <w:p>
      <w:r/>
      <w:r>
        <w:t>Dans cette région désertique, la grande révélation de Dieu a été donnée à Israël par l'intermédiaire de Moïse (</w:t>
      </w:r>
      <w:hyperlink r:id="rId3846">
        <w:r>
          <w:rPr>
            <w:color w:val="0000EE"/>
            <w:u w:val="single"/>
          </w:rPr>
          <w:t>Ex 20–40</w:t>
        </w:r>
      </w:hyperlink>
      <w:r>
        <w:t xml:space="preserve"> ; </w:t>
      </w:r>
      <w:hyperlink r:id="rId3847">
        <w:r>
          <w:rPr>
            <w:color w:val="0000EE"/>
            <w:u w:val="single"/>
          </w:rPr>
          <w:t>Lv 1–27</w:t>
        </w:r>
      </w:hyperlink>
      <w:r>
        <w:t xml:space="preserve"> ; </w:t>
      </w:r>
      <w:hyperlink r:id="rId3848">
        <w:r>
          <w:rPr>
            <w:color w:val="0000EE"/>
            <w:u w:val="single"/>
          </w:rPr>
          <w:t>Nb 1–9</w:t>
        </w:r>
      </w:hyperlink>
      <w:r>
        <w:t>). Au mont Sinaï, Dieu s'est identifié comme celui qui a délivré les Israélites. Il a établi une alliance selon laquelle ils devaient lui être exclusivement dévoués en tant que nation sainte. Le tabernacle est construit et le sacerdoce établi. Des instructions sont données concernant les sacrifices et les offrandes à offrir, et concernant les fêtes et les saisons à observer pour que la façon de vivre des Israélites montre qu'ils étaient le peuple saint de Dieu. Les tribus sont organisées pour former un camp autour du tabernacle et établir un ordre de marche pour le voyage vers Canaan, la Terre promise.</w:t>
      </w:r>
    </w:p>
    <w:p>
      <w:r/>
      <w:hyperlink r:id="rId3849">
        <w:r>
          <w:rPr>
            <w:color w:val="0000EE"/>
            <w:u w:val="single"/>
          </w:rPr>
          <w:t>Nombres 10–21</w:t>
        </w:r>
      </w:hyperlink>
      <w:r>
        <w:t xml:space="preserve"> raconte les 38 années passées dans le désert. Les Israélites parcourent la distance entre le mont Horeb et Kadès-Barnéa, à environ 64 kilomètres au sud de Beer-Schéba, en 11 jours. De là, 12 espions sont envoyés en Canaan. Le rapport qu'ils donnent à leur retour terrorise le peuple qui manque de foi et se révolte contre Dieu. Ne voulant pas se repentir, ils sont condamnés à errer dans le désert pendant 38 ans jusqu'à ce que tous ceux qui avaient au moins 20 ans lorsqu'ils sont partis d'Égypte soient morts. Après cela, la nouvelle génération reprend le voyage vers la Terre promise en se rendant aux plaines de Moab, situées à l'est de la mer Morte et au nord de la rivière Arnon. </w:t>
      </w:r>
      <w:hyperlink r:id="rId3850">
        <w:r>
          <w:rPr>
            <w:color w:val="0000EE"/>
            <w:u w:val="single"/>
          </w:rPr>
          <w:t>Nombres 20–36</w:t>
        </w:r>
      </w:hyperlink>
      <w:r>
        <w:t xml:space="preserve"> décrit la conquête et l'occupation de territoires à l'est du Jourdain.</w:t>
      </w:r>
    </w:p>
    <w:p>
      <w:r/>
      <w:r>
        <w:t>Le livre du Deutéronome présente le discours de Moïse à cette nouvelle génération d'Israélites. Dans Exode et Nombres, Dieu parle fréquemment à Moïse. Dans Deutéronome, Moïse s'adresse aux Israélites sur ordre de Dieu (</w:t>
      </w:r>
      <w:hyperlink r:id="rId761">
        <w:r>
          <w:rPr>
            <w:color w:val="0000EE"/>
            <w:u w:val="single"/>
          </w:rPr>
          <w:t>Dt 1.1–4</w:t>
        </w:r>
      </w:hyperlink>
      <w:r>
        <w:t xml:space="preserve"> ; </w:t>
      </w:r>
      <w:hyperlink r:id="rId3851">
        <w:r>
          <w:rPr>
            <w:color w:val="0000EE"/>
            <w:u w:val="single"/>
          </w:rPr>
          <w:t>5.1</w:t>
        </w:r>
      </w:hyperlink>
      <w:r>
        <w:t xml:space="preserve"> ; </w:t>
      </w:r>
      <w:hyperlink r:id="rId3852">
        <w:r>
          <w:rPr>
            <w:color w:val="0000EE"/>
            <w:u w:val="single"/>
          </w:rPr>
          <w:t>29.1</w:t>
        </w:r>
      </w:hyperlink>
      <w:r>
        <w:t>). Contrairement aux livres précédents, le Deutéronome se présente comme un discours d'exhortation de Moïse à la nouvelle génération pour l'appeler à prendre ses responsabilités en se rappelant les échecs de la génération précédente. Tout ce qui est répété des livres précédents dans le Deutéronome est choisi spécifiquement pour avertir la nouvelle génération afin qu'elle ne manque pas de conquérir et prendre possession de Canaan. Le Deutéronome ne regarde pas principalement en arrière, mais se tourne vers l'avenir et offre l'espoir de voir se réaliser les promesses que Dieu a faites aux Israélites en Égypte.</w:t>
      </w:r>
    </w:p>
    <w:p>
      <w:pPr>
        <w:pStyle w:val="Heading3"/>
      </w:pPr>
      <w:r>
        <w:t>Importance du Deutéronome</w:t>
      </w:r>
    </w:p>
    <w:p>
      <w:r/>
      <w:r>
        <w:t>Le Deutéronome est, avec la Genèse, les Psaumes et Ésaïe, parmi les livres les plus fréquemment cités dans les premiers siècles chrétiens. Plus de 80 citations de l'AT dans le Nouveau Testament (NT) proviennent du Deutéronome.</w:t>
      </w:r>
    </w:p>
    <w:p>
      <w:r/>
      <w:r>
        <w:t>Jésus cite ce livre pour résumer l'essence de toute la loi et des prophètes de l'AT par les deux grands commandements de l'amour pour Dieu et de l'amour pour le prochain (</w:t>
      </w:r>
      <w:hyperlink r:id="rId678">
        <w:r>
          <w:rPr>
            <w:color w:val="0000EE"/>
            <w:u w:val="single"/>
          </w:rPr>
          <w:t>Mt 22.37</w:t>
        </w:r>
      </w:hyperlink>
      <w:r>
        <w:t xml:space="preserve"> ; voir </w:t>
      </w:r>
      <w:hyperlink r:id="rId680">
        <w:r>
          <w:rPr>
            <w:color w:val="0000EE"/>
            <w:u w:val="single"/>
          </w:rPr>
          <w:t>Dt 6.5</w:t>
        </w:r>
      </w:hyperlink>
      <w:r>
        <w:t>, voir aussi</w:t>
      </w:r>
      <w:hyperlink r:id="rId680">
        <w:r>
          <w:rPr>
            <w:color w:val="0000EE"/>
            <w:u w:val="single"/>
          </w:rPr>
          <w:t xml:space="preserve"> </w:t>
        </w:r>
      </w:hyperlink>
      <w:hyperlink r:id="rId3853">
        <w:r>
          <w:rPr>
            <w:color w:val="0000EE"/>
            <w:u w:val="single"/>
          </w:rPr>
          <w:t>Lv 19.18</w:t>
        </w:r>
      </w:hyperlink>
      <w:r>
        <w:t xml:space="preserve"> et comp. avec </w:t>
      </w:r>
      <w:hyperlink r:id="rId3854">
        <w:r>
          <w:rPr>
            <w:color w:val="0000EE"/>
            <w:u w:val="single"/>
          </w:rPr>
          <w:t>Dt 10.19</w:t>
        </w:r>
      </w:hyperlink>
      <w:r>
        <w:t>). Jésus cite aussi le Deutéronome lors de la tentation (</w:t>
      </w:r>
      <w:hyperlink r:id="rId3855">
        <w:r>
          <w:rPr>
            <w:color w:val="0000EE"/>
            <w:u w:val="single"/>
          </w:rPr>
          <w:t>Mt 4.4–10</w:t>
        </w:r>
      </w:hyperlink>
      <w:r>
        <w:t xml:space="preserve"> voir </w:t>
      </w:r>
      <w:hyperlink r:id="rId3856">
        <w:r>
          <w:rPr>
            <w:color w:val="0000EE"/>
            <w:u w:val="single"/>
          </w:rPr>
          <w:t>6.13, 16</w:t>
        </w:r>
      </w:hyperlink>
      <w:r>
        <w:t xml:space="preserve"> ; </w:t>
      </w:r>
      <w:hyperlink r:id="rId282">
        <w:r>
          <w:rPr>
            <w:color w:val="0000EE"/>
            <w:u w:val="single"/>
          </w:rPr>
          <w:t>8.3</w:t>
        </w:r>
      </w:hyperlink>
      <w:r>
        <w:t>). Le Deutéronome se focalise sur le cœur de ce que Dieu a révélé à Moïse au Mont Sinaï, sans répéter les détails des sacrifices, des observances ou des rites. Il met l'accent sur le caractère de la foi et de la nation d'Israël. Moïse exprime à plusieurs reprises sa prière qu'ils entretiennent fidèlement leur relation avec Dieu. Une dévotion exclusive à Dieu qui s'exprime dans la vie quotidienne est la clé d'une vie de bénédictions.</w:t>
      </w:r>
    </w:p>
    <w:p>
      <w:r/>
      <w:r>
        <w:t>La nécessité fondamentale d'aimer Dieu et son prochain deviendra le commandement central pour les disciples de Jésus-Christ (</w:t>
      </w:r>
      <w:hyperlink r:id="rId3857">
        <w:r>
          <w:rPr>
            <w:color w:val="0000EE"/>
            <w:u w:val="single"/>
          </w:rPr>
          <w:t>Lc 10.25–28</w:t>
        </w:r>
      </w:hyperlink>
      <w:r>
        <w:t>). Le Deutéronome est donc un livre d'une importance cruciale pour définir la relation du chrétien avec Dieu.</w:t>
      </w:r>
    </w:p>
    <w:p>
      <w:pPr>
        <w:pStyle w:val="Heading3"/>
      </w:pPr>
      <w:r>
        <w:t>Le Deutéronome et la loi</w:t>
      </w:r>
    </w:p>
    <w:p>
      <w:r/>
      <w:r>
        <w:t>Désigner le livre du Deutéronome comme une « seconde loi » ou une répétition de la loi peut être trompeur. L'objectif de Moïse n'est pas de répéter la loi en tant que telle. Les détails du culte et des rites ne sont pas répétés ni détaillés de manière significative. Bien que les dix commandements soient répétés, l'accent est mis sur le premier, qui exige explicitement une dévotion exclusive à Dieu. Le point focal du discours de Moïse est la relation d'Israël avec Dieu et le besoin de la nouvelle génération de la renouveler pour eux-mêmes et leurs enfants.</w:t>
      </w:r>
    </w:p>
    <w:p>
      <w:r/>
      <w:r>
        <w:t>Le NT montre qu'une application légaliste de la loi de Moïse avait été adoptée par des Juifs du premier siècle apr. J.‑C. Ce légalisme s'est développé dans le judaïsme surtout pendant la période entre les deux testaments. Le légalisme dénoncé dans le NT a été attribué à tort à Moïse à l'époque moderne. Pourtant, il a souligné qu'il fallait respecter toute la loi de Dieu (</w:t>
      </w:r>
      <w:hyperlink r:id="rId3858">
        <w:r>
          <w:rPr>
            <w:color w:val="0000EE"/>
            <w:u w:val="single"/>
          </w:rPr>
          <w:t>Dt 28.1, 58</w:t>
        </w:r>
      </w:hyperlink>
      <w:r>
        <w:t>), et le message du Deutéronome montre que ce n'était une fin en soi. Au contraire, le thème central du Deutéronome est la relation unique établie par un Dieu unique avec un peuple unique, les Israélites.</w:t>
      </w:r>
    </w:p>
    <w:p>
      <w:pPr>
        <w:pStyle w:val="Heading3"/>
      </w:pPr>
      <w:r>
        <w:t>Survol</w:t>
      </w:r>
    </w:p>
    <w:p>
      <w:pPr>
        <w:pStyle w:val="Heading4"/>
      </w:pPr>
      <w:r>
        <w:t>Résumé historique (</w:t>
      </w:r>
      <w:hyperlink r:id="rId3859">
        <w:r>
          <w:rPr>
            <w:color w:val="0000EE"/>
            <w:u w:val="single"/>
          </w:rPr>
          <w:t>1.1–4.43</w:t>
        </w:r>
      </w:hyperlink>
      <w:r>
        <w:t>)</w:t>
      </w:r>
    </w:p>
    <w:p>
      <w:r/>
      <w:r>
        <w:t>Moïse est identifié comme l'orateur qui s'adresse aux Israélites dans les plaines de Moab durant la dernière année de sa vie. Ils sont alors sur le point d'entrer dans la Terre promise de Canaan.</w:t>
      </w:r>
    </w:p>
    <w:p>
      <w:r/>
      <w:r>
        <w:t>Moïse commence son résumé historique en partant du mont Horeb (Sinaï), l'endroit où a eu lieu la plus grande des révélations de Dieu dans l'AT. Il attire l'attention sur le commandement explicite de Dieu qu'ils aillent maintenant prendre possession de la Terre promise à Abraham, Isaac et Jacob. La rébellion de leurs pères avait entraîné un jugement divin, retardant ainsi la conquête de Canaan de 38 ans, le temps que toute cette génération désobéissante meure dans le désert.</w:t>
      </w:r>
    </w:p>
    <w:p>
      <w:r/>
      <w:r>
        <w:t>Dieu avait commandé de ne pas s'attaquer aux Édomites ou aux Moabites. Moïse avait donc conduit les Israélites jusqu'aux plaines de Moab, au nord de la rivière Arnon dans le but de longer leurs territoires. Cependant Sihon, roi amoréen de Hesbon, et Og, roi de Basan, ne voulaient pas les laisser passer en paix. Dans les batailles qui suivent, Israël remporte la victoire sur ces deux rois et capture leurs territoires. Les tribus de Ruben et de Gad, ainsi que la moitié de la tribu de Manassé, reçoivent ces territoires à l'est du Jourdain comme leurs terres (</w:t>
      </w:r>
      <w:hyperlink r:id="rId714">
        <w:r>
          <w:rPr>
            <w:color w:val="0000EE"/>
            <w:u w:val="single"/>
          </w:rPr>
          <w:t>Nb 32</w:t>
        </w:r>
      </w:hyperlink>
      <w:r>
        <w:t>). Moïse encourage Josué à avoir foi en Dieu, qui les aidera lui et Israël à conquérir Canaan à l'ouest du Jourdain, comme il les avait aidés contre ces deux rois.</w:t>
      </w:r>
    </w:p>
    <w:p>
      <w:r/>
      <w:r>
        <w:t>Les Israélites devaient tirer des leçons de comment la génération qui était morte dans le désert s'était comportée et quels en avaient été les résultats (</w:t>
      </w:r>
      <w:hyperlink r:id="rId3860">
        <w:r>
          <w:rPr>
            <w:color w:val="0000EE"/>
            <w:u w:val="single"/>
          </w:rPr>
          <w:t>Dt 4.1–40</w:t>
        </w:r>
      </w:hyperlink>
      <w:r>
        <w:t>). Ils devaient recevoir la parole de Dieu comme s'adressant à eux-mêmes et pas juste à leurs pères. Dieu s'était révélé à eux d'une façon exceptionnelle et unique parmi les nations et ils devaient répondre à cela avec révérence. Malgré les idoles qu'adoraient les nations voisines, les Israélites ne devaient pas oublier qu'il n'y a qu'un seul Dieu, l'Éternel.</w:t>
      </w:r>
    </w:p>
    <w:p>
      <w:r/>
      <w:r>
        <w:t>Moïse leur rappelle qu'ils ont conclu un accord contractuel avec le Dieu unique. Moïse mentionne cette alliance 27 fois au total dans Deutéronome. Aucune nation n'a eu une telle expérience et révélation de Dieu. Si Israël obéit, il vivra sous la bénédiction et la faveur de Dieu.</w:t>
      </w:r>
    </w:p>
    <w:p>
      <w:pPr>
        <w:pStyle w:val="Heading4"/>
      </w:pPr>
      <w:r>
        <w:t>Exhortations et applications (</w:t>
      </w:r>
      <w:hyperlink r:id="rId3861">
        <w:r>
          <w:rPr>
            <w:color w:val="0000EE"/>
            <w:u w:val="single"/>
          </w:rPr>
          <w:t>4.44–26.19</w:t>
        </w:r>
      </w:hyperlink>
      <w:r>
        <w:t>)</w:t>
      </w:r>
    </w:p>
    <w:p>
      <w:r/>
      <w:r>
        <w:t>Un court passage de transition situe le moment et l'endroit où Moïse a prononcé ce discours aux Israélites (</w:t>
      </w:r>
      <w:hyperlink r:id="rId3862">
        <w:r>
          <w:rPr>
            <w:color w:val="0000EE"/>
            <w:u w:val="single"/>
          </w:rPr>
          <w:t>Dt 4.44–49</w:t>
        </w:r>
      </w:hyperlink>
      <w:r>
        <w:t>). Il est tenu avant la traversée du Jourdain, alors qu'Israël a établi son campement dans la vallée en face de Beth-Peor, au bas des pentes du mont Pisga (ou Nebo).</w:t>
      </w:r>
    </w:p>
    <w:p>
      <w:r/>
      <w:r>
        <w:t>Moïse répète les dix commandements, qui sont l'essence de la révélation de Dieu au Sinaï. Pour expliquer ce qu'il attend d'Israël, cette raison est donnée comme base au premier commandement : « Je suis le Seigneur ton Dieu, qui t'ai fait sortir du pays d'Égypte, de la maison de servitude » (</w:t>
      </w:r>
      <w:hyperlink r:id="rId3863">
        <w:r>
          <w:rPr>
            <w:color w:val="0000EE"/>
            <w:u w:val="single"/>
          </w:rPr>
          <w:t>Dt 5.6</w:t>
        </w:r>
      </w:hyperlink>
      <w:r>
        <w:t xml:space="preserve">). Leur relation avec Dieu était d'une importance capitale et sa colère serait contre ceux qui adoreraient d'autres dieux (v. </w:t>
      </w:r>
      <w:hyperlink r:id="rId3864">
        <w:r>
          <w:rPr>
            <w:color w:val="0000EE"/>
            <w:u w:val="single"/>
          </w:rPr>
          <w:t>9</w:t>
        </w:r>
      </w:hyperlink>
      <w:r>
        <w:t>).</w:t>
      </w:r>
    </w:p>
    <w:p>
      <w:r/>
      <w:r>
        <w:t xml:space="preserve">L'exposition de Moïse sur le « grand commandement » est centrée sur l'alliance et la relation entre Dieu et Israël qui se résume à l'amour. Moïse proclame : « </w:t>
      </w:r>
      <w:r>
        <w:t>Écoute, Israël! L’Éternel, notre Dieu, est le seul Éternel. Tu aimeras l’Éternel, ton Dieu, de tout ton cœur, de toute ton âme et de toute ta force</w:t>
      </w:r>
      <w:r>
        <w:t xml:space="preserve"> » (</w:t>
      </w:r>
      <w:hyperlink r:id="rId3865">
        <w:r>
          <w:rPr>
            <w:color w:val="0000EE"/>
            <w:u w:val="single"/>
          </w:rPr>
          <w:t>Dt 6.4–5</w:t>
        </w:r>
      </w:hyperlink>
      <w:r>
        <w:t xml:space="preserve">). Tous les autres commandements trouvent leur sens dans cette relation, comme le démontrent les chapitres </w:t>
      </w:r>
      <w:hyperlink r:id="rId3837">
        <w:r>
          <w:rPr>
            <w:color w:val="0000EE"/>
            <w:u w:val="single"/>
          </w:rPr>
          <w:t>5 à 11</w:t>
        </w:r>
      </w:hyperlink>
      <w:r>
        <w:t>.</w:t>
      </w:r>
    </w:p>
    <w:p>
      <w:r/>
      <w:r>
        <w:t>Il est essentiel d'aimer et de se dévouer à Dieu exclusivement et cela ne laisse aucune place à l'adoration d'idoles. Pour garder Dieu constamment dans leurs cœurs et leurs pensées et pour instruire leurs enfants, les Israélites devaient utiliser des objets de rappels. Ainsi, ils devaient porter des signes sur leurs mains et leurs fronts (les phylactères), mettre des versets sur les montants de leurs portes et ainsi de suite. Par leur enseignement et leur exemple, ils enseigneraient à leurs enfants à aimer l'Éternel (</w:t>
      </w:r>
      <w:hyperlink r:id="rId3866">
        <w:r>
          <w:rPr>
            <w:color w:val="0000EE"/>
            <w:u w:val="single"/>
          </w:rPr>
          <w:t>Dt 6</w:t>
        </w:r>
      </w:hyperlink>
      <w:r>
        <w:t>).</w:t>
      </w:r>
    </w:p>
    <w:p>
      <w:r/>
      <w:r>
        <w:t>Les Israélites ne devaient jamais oublier que Dieu les avait choisis pour être son peuple (</w:t>
      </w:r>
      <w:hyperlink r:id="rId3867">
        <w:r>
          <w:rPr>
            <w:color w:val="0000EE"/>
            <w:u w:val="single"/>
          </w:rPr>
          <w:t>Dt 7</w:t>
        </w:r>
      </w:hyperlink>
      <w:r>
        <w:t>). Ils devaient exécuter son jugement contre les Cananéens, jugement annoncé depuis l'époque d'Abraham (</w:t>
      </w:r>
      <w:hyperlink r:id="rId2549">
        <w:r>
          <w:rPr>
            <w:color w:val="0000EE"/>
            <w:u w:val="single"/>
          </w:rPr>
          <w:t>Gn 15.16</w:t>
        </w:r>
      </w:hyperlink>
      <w:r>
        <w:t>). Moïse rappelle aux Israélites que ce n'était pas parce qu'ils étaient meilleurs que Dieu les avait choisis, mais qu'il les avait rachetés d'Égypte par amour, miséricorde et fidélité à ses promesses.</w:t>
      </w:r>
    </w:p>
    <w:p>
      <w:r/>
      <w:r>
        <w:t>Le peuple est exhorté à se souvenir de ce que Dieu a fait pour eux (</w:t>
      </w:r>
      <w:hyperlink r:id="rId3868">
        <w:r>
          <w:rPr>
            <w:color w:val="0000EE"/>
            <w:u w:val="single"/>
          </w:rPr>
          <w:t>Dt 8</w:t>
        </w:r>
      </w:hyperlink>
      <w:r>
        <w:t>). Comme Dieu pourvoit à leurs besoins, ils doivent démontrer de la gratitude et reconnaître que c'est lui qui leur accorde le succès.</w:t>
      </w:r>
    </w:p>
    <w:p>
      <w:r/>
      <w:r>
        <w:t>Les Israélites avaient manqué de foi et désobéi à Dieu à maintes reprises (</w:t>
      </w:r>
      <w:hyperlink r:id="rId3869">
        <w:r>
          <w:rPr>
            <w:color w:val="0000EE"/>
            <w:u w:val="single"/>
          </w:rPr>
          <w:t>9.1–10.11</w:t>
        </w:r>
      </w:hyperlink>
      <w:r>
        <w:t xml:space="preserve">). Il avait parlé de les détruire, mais Moïse avait intercédé et ils avaient été épargnés. S'ils allaient prendre possession de Canaan, ce n'est pas parce qu'ils l'avaient mérité, mais à cause de la grâce de Dieu. L'appel de Moïse à un engagement total est résumé dans </w:t>
      </w:r>
      <w:hyperlink r:id="rId3870">
        <w:r>
          <w:rPr>
            <w:color w:val="0000EE"/>
            <w:u w:val="single"/>
          </w:rPr>
          <w:t>Deutéronome 10.12–11.32</w:t>
        </w:r>
      </w:hyperlink>
      <w:r>
        <w:t xml:space="preserve">. Ils devaient avoir la crainte de l'Éternel, l'aimer et lui obéir (voir aussi </w:t>
      </w:r>
      <w:hyperlink r:id="rId3871">
        <w:r>
          <w:rPr>
            <w:color w:val="0000EE"/>
            <w:u w:val="single"/>
          </w:rPr>
          <w:t>6.5, 13, 24</w:t>
        </w:r>
      </w:hyperlink>
      <w:r>
        <w:t>).</w:t>
      </w:r>
    </w:p>
    <w:p>
      <w:r/>
      <w:r>
        <w:t>Le Dieu que les Israélites devaient aimer sincèrement et sans réserve est le Seigneur de l'univers. Il est le juste juge qui règne en maître sur toute la nature et sur l'Histoire. Dieu avait aimé leurs ancêtres, les patriarches. Il avait racheté les Israélites de l'esclavage en Égypte et avait fait alliance avec eux. C'est le Dieu qui fait droit aux orphelins, aux veuves et aux étrangers. C'est lui qui avait multiplié les Israélites pour qu'ils soient aussi nombreux que les étoiles du ciel.</w:t>
      </w:r>
    </w:p>
    <w:p>
      <w:r/>
      <w:r>
        <w:t>Pour vivre une relation avec Dieu et recevoir sa bénédiction, Moïse leur commande de circoncire leur cœur (</w:t>
      </w:r>
      <w:hyperlink r:id="rId3872">
        <w:r>
          <w:rPr>
            <w:color w:val="0000EE"/>
            <w:u w:val="single"/>
          </w:rPr>
          <w:t>Dt 10.16</w:t>
        </w:r>
      </w:hyperlink>
      <w:r>
        <w:t>). Selon l'alliance de Dieu avec Abraham, les Israélites devaient se faire circoncire physiquement (</w:t>
      </w:r>
      <w:hyperlink r:id="rId92">
        <w:r>
          <w:rPr>
            <w:color w:val="0000EE"/>
            <w:u w:val="single"/>
          </w:rPr>
          <w:t>Gn 17</w:t>
        </w:r>
      </w:hyperlink>
      <w:r>
        <w:t>). La circoncision n'avait pas été observée pendant les décennies d'errance dans le désert. Les Israélites de cette génération ont été circoncis après avoir traversé le Jourdain sous le commandement de Josué (</w:t>
      </w:r>
      <w:hyperlink r:id="rId3873">
        <w:r>
          <w:rPr>
            <w:color w:val="0000EE"/>
            <w:u w:val="single"/>
          </w:rPr>
          <w:t>Jos 5.2–9</w:t>
        </w:r>
      </w:hyperlink>
      <w:r>
        <w:t xml:space="preserve">). Toutefois, Moïse parle ici d'une circoncision intérieure : il faut que l'alliance soit dans leurs cœurs (voir </w:t>
      </w:r>
      <w:hyperlink r:id="rId3874">
        <w:r>
          <w:rPr>
            <w:color w:val="0000EE"/>
            <w:u w:val="single"/>
          </w:rPr>
          <w:t>Lv 26.40–41</w:t>
        </w:r>
      </w:hyperlink>
      <w:r>
        <w:t xml:space="preserve"> ; </w:t>
      </w:r>
      <w:hyperlink r:id="rId3875">
        <w:r>
          <w:rPr>
            <w:color w:val="0000EE"/>
            <w:u w:val="single"/>
          </w:rPr>
          <w:t>Jr 4.4</w:t>
        </w:r>
      </w:hyperlink>
      <w:r>
        <w:t xml:space="preserve"> ; </w:t>
      </w:r>
      <w:hyperlink r:id="rId3876">
        <w:r>
          <w:rPr>
            <w:color w:val="0000EE"/>
            <w:u w:val="single"/>
          </w:rPr>
          <w:t>9.25</w:t>
        </w:r>
      </w:hyperlink>
      <w:r>
        <w:t xml:space="preserve"> ; </w:t>
      </w:r>
      <w:hyperlink r:id="rId3877">
        <w:r>
          <w:rPr>
            <w:color w:val="0000EE"/>
            <w:u w:val="single"/>
          </w:rPr>
          <w:t>Rm 2.29</w:t>
        </w:r>
      </w:hyperlink>
      <w:r>
        <w:t>). L'image de la circoncision pourrait aussi signifier couper tout ce qui pourrait restreindre, interférer avec ou s'opposer à une dévotion totale à Dieu, afin de pouvoir l'aimer entièrement.</w:t>
      </w:r>
    </w:p>
    <w:p>
      <w:r/>
      <w:r>
        <w:t>Le commandement « vous aimerez l’étranger » (</w:t>
      </w:r>
      <w:hyperlink r:id="rId3854">
        <w:r>
          <w:rPr>
            <w:color w:val="0000EE"/>
            <w:u w:val="single"/>
          </w:rPr>
          <w:t>Dt 10.19</w:t>
        </w:r>
      </w:hyperlink>
      <w:r>
        <w:t xml:space="preserve">) rappelle que si l'amour de Dieu est le plus important des commandements, le deuxième plus important est d'aimer son prochain (voir </w:t>
      </w:r>
      <w:hyperlink r:id="rId3878">
        <w:r>
          <w:rPr>
            <w:color w:val="0000EE"/>
            <w:u w:val="single"/>
          </w:rPr>
          <w:t>Lv 19.9–18</w:t>
        </w:r>
      </w:hyperlink>
      <w:r>
        <w:t>). Les obligations sociales doivent découler de la relation d'une personne avec Dieu. Puisqu'il leur donne son amour, les Israélites doivent aussi aimer les autres. Ils doivent se souvenir de l'amour de Dieu pour eux alors qu'ils étaient esclaves et étrangers en Égypte. Dieu aime l'étranger, la veuve et l'orphelin. Par conséquent, si quelqu'un aime Dieu, il ou elle doit d'aimer les autres. Dieu veut la justice et la droiture. Toute personne qui prétend l'aimer doit aussi chercher ce qui est juste envers les autres.</w:t>
      </w:r>
    </w:p>
    <w:p>
      <w:r/>
      <w:r>
        <w:t>Les Israélites devaient être connus pour leur bonté envers les personnes dont la position sociale les exposait à l'exploitation et à l'oppression. L'esprit humanitaire profond qui caractérise la loi de Moïse se distingue du code babylonien d'Hammurabi et des codes de loi assyriens et hittites de cette époque. Dans ces codes de loi, les relations humaines ne sont pas basées sur la conscience ou l'expression concrète d'une relation d'amour avec leurs divinités.</w:t>
      </w:r>
    </w:p>
    <w:p>
      <w:r/>
      <w:r>
        <w:t>Au premier siècle apr. J.‑C., Jésus entre en conflit avec les chefs religieux juifs qui avaient changé le vrai sens de la loi de Dieu en un labyrinthe de règles légalistes. Jésus leur rappelle que le plus grand commandement est d'aimer Dieu et que le second est d'aimer son prochain. Ces deux commandements (qui sont au cœur de tout l'AT) doivent rester au centre pour ceux qui veulent hériter la vie éternelle (</w:t>
      </w:r>
      <w:hyperlink r:id="rId3879">
        <w:r>
          <w:rPr>
            <w:color w:val="0000EE"/>
            <w:u w:val="single"/>
          </w:rPr>
          <w:t>Mt 22.37–39</w:t>
        </w:r>
      </w:hyperlink>
      <w:r>
        <w:t xml:space="preserve"> ; </w:t>
      </w:r>
      <w:hyperlink r:id="rId3880">
        <w:r>
          <w:rPr>
            <w:color w:val="0000EE"/>
            <w:u w:val="single"/>
          </w:rPr>
          <w:t>Mc 12.29–31</w:t>
        </w:r>
      </w:hyperlink>
      <w:r>
        <w:t xml:space="preserve"> ; </w:t>
      </w:r>
      <w:hyperlink r:id="rId3881">
        <w:r>
          <w:rPr>
            <w:color w:val="0000EE"/>
            <w:u w:val="single"/>
          </w:rPr>
          <w:t>Lc 10.27–28</w:t>
        </w:r>
      </w:hyperlink>
      <w:r>
        <w:t>). Les chrétiens croient que le point culminant de la révélation de l'amour de Dieu est venu en Jésus-Christ. Pour eux, répondre à l'amour de Dieu signifie croire en Jésus-Christ et le suivre avec une dévotion totale ainsi qu'aimer son prochain comme Jésus en a donné l'exemple.</w:t>
      </w:r>
    </w:p>
    <w:p>
      <w:r/>
      <w:r>
        <w:t xml:space="preserve">Dans </w:t>
      </w:r>
      <w:hyperlink r:id="rId570">
        <w:r>
          <w:rPr>
            <w:color w:val="0000EE"/>
            <w:u w:val="single"/>
          </w:rPr>
          <w:t>Deutéronome 12.1–26.19</w:t>
        </w:r>
      </w:hyperlink>
      <w:r>
        <w:t>, Moïse donne des instructions aux Israélites sur comment vivre au quotidien en tant que peuple de Dieu quand ils habiteront en Terre promise. Ils avaient eu la manne pour nourriture dans le désert mais profiteraient maintenant des fruits et des produits de la terre. Ils devaient aussi se préparer à rencontrer une culture imprégnée par la religion cananéenne.</w:t>
      </w:r>
    </w:p>
    <w:p>
      <w:r/>
      <w:r>
        <w:t>Pour adorer Dieu dans leur nouveau lieu de vie, ils devaient faire attention à rester saints (</w:t>
      </w:r>
      <w:hyperlink r:id="rId3882">
        <w:r>
          <w:rPr>
            <w:color w:val="0000EE"/>
            <w:u w:val="single"/>
          </w:rPr>
          <w:t>Dt 12.1–14.21</w:t>
        </w:r>
      </w:hyperlink>
      <w:r>
        <w:t>). Ils ne devaient pas adorer dans des sanctuaires païens. Ils devaient apporter leurs offrandes au lieu que Dieu choisirait. L'idolâtrie ne devrait être tolérée sous aucune forme. Tout prophète qui s'écarterait de la loi de Moïse en encourageant à adorer d'autres dieux devait être lapidé. La dévotion exclusive à Dieu devait être une pratique quotidienne.</w:t>
      </w:r>
    </w:p>
    <w:p>
      <w:r/>
      <w:r>
        <w:t>Les abondantes bénédictions de la Terre promise devaient être partagées avec les autres, particulièrement ceux qui étaient dans le besoin et les serviteurs de Dieu (</w:t>
      </w:r>
      <w:hyperlink r:id="rId3883">
        <w:r>
          <w:rPr>
            <w:color w:val="0000EE"/>
            <w:u w:val="single"/>
          </w:rPr>
          <w:t>14.22–15.23</w:t>
        </w:r>
      </w:hyperlink>
      <w:r>
        <w:t>). Les dîmes devaient être apportées au sanctuaire central où les Lévites assisteraient les sacrificateurs dans leur ministère. La joie de partager les bénédictions et les opportunités de la vie devait caractériser le mode de vie d'Israël.</w:t>
      </w:r>
    </w:p>
    <w:p>
      <w:r/>
      <w:r>
        <w:t>Moïse rappelle les trois pèlerinages annuels prescrits (</w:t>
      </w:r>
      <w:hyperlink r:id="rId3884">
        <w:r>
          <w:rPr>
            <w:color w:val="0000EE"/>
            <w:u w:val="single"/>
          </w:rPr>
          <w:t>16.1–17</w:t>
        </w:r>
      </w:hyperlink>
      <w:r>
        <w:t>). Le peuple devait se souvenir qu'il avait été délivré d'Égypte en observant les fêtes de la Pâque et des Pains sans levain. Sept semaines plus tard, lorsque la récolte d'orge était terminée, ils devaient se réjouir devant le Seigneur lors d'une journée de célébration appelée la Fête des semaines. Lorsque les vendanges ainsi que la récolte de céréales étaient terminées, ils devaient observer la fête de la moisson (ou des Tabernacles), une occasion de remercier Dieu et de partager avec les autres. Tous les sept ans, la loi devait être lue lors de la fête de la récolte.</w:t>
      </w:r>
    </w:p>
    <w:p>
      <w:r/>
      <w:r>
        <w:t>Les Israélites devaient pratiquer la justice dans leurs relations avec les autres (</w:t>
      </w:r>
      <w:hyperlink r:id="rId3840">
        <w:r>
          <w:rPr>
            <w:color w:val="0000EE"/>
            <w:u w:val="single"/>
          </w:rPr>
          <w:t>16.18–21.23</w:t>
        </w:r>
      </w:hyperlink>
      <w:r>
        <w:t>). Le livre de la loi, qui était placé à l'intérieur du sanctuaire, faisait autorité pour leur révéler la volonté et les instructions de Dieu. Le roi devait avoir une copie de cette loi et la mettre en pratique. Les prophètes et les sacrificateurs jouaient un rôle important en tant que dirigeants religieux dans la vie d'Israël. L'autorité judiciaire était confiée aux sacrificateurs. En contraste aux autres nations, la loi prévoyait des dispositions humanitaires en cas de guerre. Chaque père était responsable de son propre foyer familial.</w:t>
      </w:r>
    </w:p>
    <w:p>
      <w:r/>
      <w:r>
        <w:t>Dans les relations domestiques et sociales, la loi de l'amour devait prévaloir (</w:t>
      </w:r>
      <w:hyperlink r:id="rId3885">
        <w:r>
          <w:rPr>
            <w:color w:val="0000EE"/>
            <w:u w:val="single"/>
          </w:rPr>
          <w:t>22.1–26.19</w:t>
        </w:r>
      </w:hyperlink>
      <w:r>
        <w:t>). De nombreuses instructions régissaient la vie familiale. Pour tout ce qui concerne les besoins essentiels, les salaires et les transactions commerciales, les Israélites devaient être compatissants et justes. Des promesses et des avertissements servaient à les garder conscients du besoin de gérer les ressources de la terre et les animaux qui leur étaient confiés en sorte de plaire à Dieu.</w:t>
      </w:r>
    </w:p>
    <w:p>
      <w:r/>
      <w:r>
        <w:t xml:space="preserve">Dans </w:t>
      </w:r>
      <w:hyperlink r:id="rId3842">
        <w:r>
          <w:rPr>
            <w:color w:val="0000EE"/>
            <w:u w:val="single"/>
          </w:rPr>
          <w:t>Deutéronome 26</w:t>
        </w:r>
      </w:hyperlink>
      <w:r>
        <w:t>, Moïse instruit les Israélites au travers de deux confessions liturgiques et d'une réaffirmation de l'alliance. En reconnaissant que Dieu est celui qui leur donnait tout ce qu'ils possédaient et en confessant devant lui qu'ils partageaient ces dons avec les autres, ils confirmaient leur alliance avec lui.</w:t>
      </w:r>
    </w:p>
    <w:p>
      <w:pPr>
        <w:pStyle w:val="Heading4"/>
      </w:pPr>
      <w:r>
        <w:t>Deux alternatives : bénédictions ou malédictions (</w:t>
      </w:r>
      <w:hyperlink r:id="rId3886">
        <w:r>
          <w:rPr>
            <w:color w:val="0000EE"/>
            <w:u w:val="single"/>
          </w:rPr>
          <w:t>27.1–30.20</w:t>
        </w:r>
      </w:hyperlink>
      <w:r>
        <w:t>)</w:t>
      </w:r>
    </w:p>
    <w:p>
      <w:r/>
      <w:r>
        <w:t>Moïse place devant les Israélites deux possibilités : celle de recevoir des bénédictions ou celle de recevoir des malédictions. Sous le commandement de Josué, ils auront à renouveler l'alliance publiquement. Ils devront dresser des pierres au mont Ébal pour y inscrire la loi et y construire un autel pour y offrir des sacrifices. Les malédictions devront être lues depuis le mont Ébal et les bénédictions depuis le mont Garizim. Ils devront prononcer des malédictions qui retomberaient sur eux s'ils se détournaient de Dieu et commettaient certains péchés (</w:t>
      </w:r>
      <w:hyperlink r:id="rId3887">
        <w:r>
          <w:rPr>
            <w:color w:val="0000EE"/>
            <w:u w:val="single"/>
          </w:rPr>
          <w:t>Dt 27.15–26</w:t>
        </w:r>
      </w:hyperlink>
      <w:r>
        <w:t xml:space="preserve">). Ainsi, ils reconnaîtraient que Dieu les tiendra responsables de leur conduite. Même si certains péchés pouvaient être dissimulés aux autres, c'était à Dieu qu'ils devaient principalement et ultimement rendre des comptes. Les bénédictions représentaient le chemin de la vie et les malédictions, le chemin de la mort (chap. </w:t>
      </w:r>
      <w:hyperlink r:id="rId3888">
        <w:r>
          <w:rPr>
            <w:color w:val="0000EE"/>
            <w:u w:val="single"/>
          </w:rPr>
          <w:t>28</w:t>
        </w:r>
      </w:hyperlink>
      <w:r>
        <w:t xml:space="preserve">). En leur rappelant leur histoire, Moïse appelait cette nouvelle génération à saisir l'opportunité présente que Dieu leur donnait (chap. </w:t>
      </w:r>
      <w:hyperlink r:id="rId3889">
        <w:r>
          <w:rPr>
            <w:color w:val="0000EE"/>
            <w:u w:val="single"/>
          </w:rPr>
          <w:t>29</w:t>
        </w:r>
      </w:hyperlink>
      <w:r>
        <w:t xml:space="preserve">). En les avertissant que s'ils se détournaient de Dieu, ils seraient exilés, Moïse les exhorte à choisir le chemin du bien et de la vie plutôt que le chemin du mal et de la mort (chap. </w:t>
      </w:r>
      <w:hyperlink r:id="rId3890">
        <w:r>
          <w:rPr>
            <w:color w:val="0000EE"/>
            <w:u w:val="single"/>
          </w:rPr>
          <w:t>30</w:t>
        </w:r>
      </w:hyperlink>
      <w:r>
        <w:t>).</w:t>
      </w:r>
    </w:p>
    <w:p>
      <w:pPr>
        <w:pStyle w:val="Heading4"/>
      </w:pPr>
      <w:r>
        <w:t>La transition de Moïse à Josué (</w:t>
      </w:r>
      <w:hyperlink r:id="rId3844">
        <w:r>
          <w:rPr>
            <w:color w:val="0000EE"/>
            <w:u w:val="single"/>
          </w:rPr>
          <w:t>31.1–34.12</w:t>
        </w:r>
      </w:hyperlink>
      <w:r>
        <w:t>)</w:t>
      </w:r>
    </w:p>
    <w:p>
      <w:r/>
      <w:r>
        <w:t>Alors que la vie et le ministère de Moïse touchent à leur fin et qu'il va falloir le remplacer par un nouveau chef, Josué a déjà été désigné par Dieu comme successeur (</w:t>
      </w:r>
      <w:hyperlink r:id="rId3844">
        <w:r>
          <w:rPr>
            <w:color w:val="0000EE"/>
            <w:u w:val="single"/>
          </w:rPr>
          <w:t>Dt 31.1–34.12</w:t>
        </w:r>
      </w:hyperlink>
      <w:r>
        <w:t>). Moïse assure aux Israélites que Dieu sera toujours le même quand Josué les dirigera. Ce qui avait été révélé par Dieu à travers Moïse avait été mis par écrit et était maintenant confié aux sacrificateurs, gardiens du livre de la loi. Moïse confirme en présence du peuple, assemblé devant le tabernacle, que Josué, qui a déjà fait ses preuves, lui succède à la tête du peuple, et il l'encourage (</w:t>
      </w:r>
      <w:hyperlink r:id="rId3891">
        <w:r>
          <w:rPr>
            <w:color w:val="0000EE"/>
            <w:u w:val="single"/>
          </w:rPr>
          <w:t>31.1–29</w:t>
        </w:r>
      </w:hyperlink>
      <w:r>
        <w:t>).</w:t>
      </w:r>
    </w:p>
    <w:p>
      <w:r/>
      <w:r>
        <w:t>Le cantique de Moïse est un document qui rend témoignage à l'alliance (</w:t>
      </w:r>
      <w:hyperlink r:id="rId3892">
        <w:r>
          <w:rPr>
            <w:color w:val="0000EE"/>
            <w:u w:val="single"/>
          </w:rPr>
          <w:t>32.1–47</w:t>
        </w:r>
      </w:hyperlink>
      <w:r>
        <w:t>). Dans celui-ci, Moïse porte un regard prophétique en rappelant l'histoire d'Israël. Il répète les conséquences de la désobéissance envers Dieu mais promet aussi que Dieu ramènera son peuple vers lui. Il les encourage à fixer leur cœur sur ce que Dieu leur a révélé et à l'inculquer à leurs enfants. Garder l'alliance en maintenant un amour entier pour Dieu devait être essentiel pour cette génération ainsi que pour toutes les générations futures.</w:t>
      </w:r>
    </w:p>
    <w:p>
      <w:r/>
      <w:r>
        <w:t>Après quelques dernières instructions brèves (</w:t>
      </w:r>
      <w:hyperlink r:id="rId3893">
        <w:r>
          <w:rPr>
            <w:color w:val="0000EE"/>
            <w:u w:val="single"/>
          </w:rPr>
          <w:t>32.48–52</w:t>
        </w:r>
      </w:hyperlink>
      <w:r>
        <w:t>), Moïse bénit les Israélites qu'il a dirigés pendant 40 ans (</w:t>
      </w:r>
      <w:hyperlink r:id="rId3894">
        <w:r>
          <w:rPr>
            <w:color w:val="0000EE"/>
            <w:u w:val="single"/>
          </w:rPr>
          <w:t>33.1–29</w:t>
        </w:r>
      </w:hyperlink>
      <w:r>
        <w:t>). Ces dernières bénédictions, connues aussi comme le testament de Moïse, décrivent la grandeur de Dieu et sa relation spéciale avec Israël. Israël est unique parmi toutes les nations du monde.</w:t>
      </w:r>
    </w:p>
    <w:p>
      <w:r/>
      <w:r>
        <w:t>Le livre du Deutéronome conclut logiquement avec le récit de la mort de Moïse, le plus grand prophète de l'époque de l'AT (</w:t>
      </w:r>
      <w:hyperlink r:id="rId3895">
        <w:r>
          <w:rPr>
            <w:color w:val="0000EE"/>
            <w:u w:val="single"/>
          </w:rPr>
          <w:t>34.1–12</w:t>
        </w:r>
      </w:hyperlink>
      <w:r>
        <w:t>).</w:t>
      </w:r>
    </w:p>
    <w:p>
      <w:r/>
      <w:r>
        <w:rPr>
          <w:i/>
        </w:rPr>
        <w:t>Voir aussi</w:t>
      </w:r>
      <w:r>
        <w:t xml:space="preserve"> </w:t>
      </w:r>
      <w:r>
        <w:t>Israël (histoire)</w:t>
      </w:r>
      <w:r>
        <w:t xml:space="preserve"> ; </w:t>
      </w:r>
      <w:r>
        <w:t>Moïse</w:t>
      </w:r>
      <w:r>
        <w:t>.</w:t>
      </w:r>
      <w:r/>
      <w:r/>
    </w:p>
    <w:p>
      <w:r/>
    </w:p>
    <w:p>
      <w:pPr>
        <w:pStyle w:val="Heading2"/>
      </w:pPr>
      <w:r>
        <w:t>Devin</w:t>
      </w:r>
      <w:r/>
    </w:p>
    <w:p>
      <w:r/>
      <w:r>
        <w:t>Personne qui prédit les événements futurs. Pratique païenne, la divination était interdite en Israël (</w:t>
      </w:r>
      <w:hyperlink r:id="rId3896">
        <w:r>
          <w:rPr>
            <w:color w:val="0000EE"/>
            <w:u w:val="single"/>
          </w:rPr>
          <w:t>Dt 18.10, 14</w:t>
        </w:r>
      </w:hyperlink>
      <w:r>
        <w:t>). Dans les Écritures, la divination était pratiquée par Balaam, fils de Béor (</w:t>
      </w:r>
      <w:hyperlink r:id="rId1596">
        <w:r>
          <w:rPr>
            <w:color w:val="0000EE"/>
            <w:u w:val="single"/>
          </w:rPr>
          <w:t>Jos 13.22</w:t>
        </w:r>
      </w:hyperlink>
      <w:r>
        <w:t>) et le roi Manassé de Juda (</w:t>
      </w:r>
      <w:hyperlink r:id="rId3897">
        <w:r>
          <w:rPr>
            <w:color w:val="0000EE"/>
            <w:u w:val="single"/>
          </w:rPr>
          <w:t>2R 21.6</w:t>
        </w:r>
      </w:hyperlink>
      <w:r>
        <w:t xml:space="preserve"> ; </w:t>
      </w:r>
      <w:hyperlink r:id="rId3898">
        <w:r>
          <w:rPr>
            <w:color w:val="0000EE"/>
            <w:u w:val="single"/>
          </w:rPr>
          <w:t>2Ch 33.6</w:t>
        </w:r>
      </w:hyperlink>
      <w:r>
        <w:t>) ; les descendants de Jacob étaient comparés aux devins de Philistie (</w:t>
      </w:r>
      <w:hyperlink r:id="rId3899">
        <w:r>
          <w:rPr>
            <w:color w:val="0000EE"/>
            <w:u w:val="single"/>
          </w:rPr>
          <w:t>Es 2.6</w:t>
        </w:r>
      </w:hyperlink>
      <w:r>
        <w:t>) ; ils étaient répertoriés parmi les faux prophètes de Juda (</w:t>
      </w:r>
      <w:hyperlink r:id="rId3900">
        <w:r>
          <w:rPr>
            <w:color w:val="0000EE"/>
            <w:u w:val="single"/>
          </w:rPr>
          <w:t>Jr 27.9</w:t>
        </w:r>
      </w:hyperlink>
      <w:r>
        <w:t>). À l'époque du Nouveau Testament, la divination était la source d'un commerce lucratif à Philippes (</w:t>
      </w:r>
      <w:hyperlink r:id="rId3901">
        <w:r>
          <w:rPr>
            <w:color w:val="0000EE"/>
            <w:u w:val="single"/>
          </w:rPr>
          <w:t>Ac 16.16</w:t>
        </w:r>
      </w:hyperlink>
      <w:r>
        <w:t>).</w:t>
      </w:r>
    </w:p>
    <w:p>
      <w:r/>
      <w:r>
        <w:rPr>
          <w:i/>
        </w:rPr>
        <w:t>Voir aussi</w:t>
      </w:r>
      <w:r>
        <w:t xml:space="preserve"> </w:t>
      </w:r>
      <w:r>
        <w:t>Magie</w:t>
      </w:r>
      <w:r>
        <w:t xml:space="preserve"> ; </w:t>
      </w:r>
      <w:r>
        <w:t>Sorcellerie</w:t>
      </w:r>
      <w:r>
        <w:t>.</w:t>
      </w:r>
      <w:r/>
      <w:r/>
    </w:p>
    <w:p>
      <w:r/>
    </w:p>
    <w:p>
      <w:pPr>
        <w:pStyle w:val="Heading2"/>
      </w:pPr>
      <w:r>
        <w:t>Diane</w:t>
      </w:r>
      <w:r/>
    </w:p>
    <w:p>
      <w:r/>
      <w:r>
        <w:t>Nom romain pour la déesse grecque mythologique Artémis, fille de Jupiter et de Latone, et sœur jumelle d'Apollon. Elle a renoncé à toute idée de mariage, supposément parce qu'elle était horrifiée par les douleurs de l'accouchement que sa mère avait subies en la mettant au monde, et est restée la déesse vierge inaccessible. Bien que déesse de la Lune, Diane était plus souvent représentée comme la chasseresse avec deux chiens à ses côtés.</w:t>
      </w:r>
    </w:p>
    <w:p>
      <w:r/>
      <w:r>
        <w:t>Le Temple de Diane à Éphèse était l'une des sept merveilles du monde antique. L'impressionnant bâtiment était soutenu par cent grandes colonnes. La légende locale disait que sa statue était tombée du ciel (</w:t>
      </w:r>
      <w:hyperlink r:id="rId3902">
        <w:r>
          <w:rPr>
            <w:color w:val="0000EE"/>
            <w:u w:val="single"/>
          </w:rPr>
          <w:t>Ac 19.35</w:t>
        </w:r>
      </w:hyperlink>
      <w:r>
        <w:t>). Cela pourrait avoir été une référence à une météorite. Pline décrit une grande pierre au-dessus de la porte, qui, selon la tradition, y avait été placée par Diane. Des cérémonies et cultes d'adoration en son honneur étaient conduits par des prêtres eunuques.</w:t>
      </w:r>
    </w:p>
    <w:p>
      <w:r/>
      <w:r>
        <w:t>Parmi les statues qui y ont été déterrées, certaines représentent Diane comme une femme aux multiples seins ; d'autres montrent un sanctuaire avec la déesse accompagnée de lions. Des modèles du temple étaient vendus comme souvenirs par les orfèvres, qui étaient réticents à voir un ralentissement de ce commerce lucratif lorsque Paul a commencé sa prédication à Éphèse (</w:t>
      </w:r>
      <w:hyperlink r:id="rId3903">
        <w:r>
          <w:rPr>
            <w:color w:val="0000EE"/>
            <w:u w:val="single"/>
          </w:rPr>
          <w:t>Ac 19.23–20.1</w:t>
        </w:r>
      </w:hyperlink>
      <w:r>
        <w:t xml:space="preserve">). Le mécontentement et l'agitation des orfèvres ont conduit à l'émeute de la foule, culminant dans le cri « </w:t>
      </w:r>
      <w:r>
        <w:t>Grande est la Diane des Éphésiens</w:t>
      </w:r>
      <w:r>
        <w:t xml:space="preserve"> </w:t>
      </w:r>
      <w:r>
        <w:t>!</w:t>
      </w:r>
      <w:r>
        <w:t xml:space="preserve"> » (</w:t>
      </w:r>
      <w:hyperlink r:id="rId3904">
        <w:r>
          <w:rPr>
            <w:color w:val="0000EE"/>
            <w:u w:val="single"/>
          </w:rPr>
          <w:t>19.28, 34</w:t>
        </w:r>
      </w:hyperlink>
      <w:r>
        <w:t xml:space="preserve">). Des inscriptions au </w:t>
      </w:r>
      <w:r>
        <w:rPr>
          <w:i/>
        </w:rPr>
        <w:t>British Museum</w:t>
      </w:r>
      <w:r>
        <w:t xml:space="preserve"> de Londres se réfèrent à la déesse comme « Diane la Grande ». Si l'on en croit les orfèvres, elle était vénérée dans le monde entier connu. La forme de culte n'est pas connue avec certitude, mais le culte de la déesse Diane pourrait avoir été associé à un culte de fertilité.</w:t>
      </w:r>
      <w:r/>
      <w:r/>
    </w:p>
    <w:p>
      <w:r/>
    </w:p>
    <w:p>
      <w:pPr>
        <w:pStyle w:val="Heading2"/>
      </w:pPr>
      <w:r>
        <w:t>Diaspora Juive</w:t>
      </w:r>
      <w:r/>
    </w:p>
    <w:p>
      <w:r/>
      <w:r>
        <w:t>La dispersion du peuple juif d'Israël vers d'autres pays est connue sous le nom de Diaspora. Diaspora est un nom grec signifiant « semis » ou « dispersion ». Dans la Septante (une ancienne traduction grecque de la Bible hébraïque), ce mot signifie souvent « exil » (</w:t>
      </w:r>
      <w:hyperlink r:id="rId3905">
        <w:r>
          <w:rPr>
            <w:color w:val="0000EE"/>
            <w:u w:val="single"/>
          </w:rPr>
          <w:t>Jr 25.34</w:t>
        </w:r>
      </w:hyperlink>
      <w:r>
        <w:t xml:space="preserve"> ; voir aussi </w:t>
      </w:r>
      <w:hyperlink r:id="rId1601">
        <w:r>
          <w:rPr>
            <w:color w:val="0000EE"/>
            <w:u w:val="single"/>
          </w:rPr>
          <w:t>Es 11.12</w:t>
        </w:r>
      </w:hyperlink>
      <w:r>
        <w:t xml:space="preserve"> ; </w:t>
      </w:r>
      <w:hyperlink r:id="rId3906">
        <w:r>
          <w:rPr>
            <w:color w:val="0000EE"/>
            <w:u w:val="single"/>
          </w:rPr>
          <w:t>Ez 20.23</w:t>
        </w:r>
      </w:hyperlink>
      <w:r>
        <w:t xml:space="preserve"> ; </w:t>
      </w:r>
      <w:hyperlink r:id="rId3907">
        <w:r>
          <w:rPr>
            <w:color w:val="0000EE"/>
            <w:u w:val="single"/>
          </w:rPr>
          <w:t>So 3.10</w:t>
        </w:r>
      </w:hyperlink>
      <w:r>
        <w:t>). Le mot apparaît deux fois dans le Nouveau Testament et se réfère aux Juifs chrétiens vivant en dehors de la Palestine en raison de diverses dispersions dans l'histoire d'Israël (</w:t>
      </w:r>
      <w:hyperlink r:id="rId3908">
        <w:r>
          <w:rPr>
            <w:color w:val="0000EE"/>
            <w:u w:val="single"/>
          </w:rPr>
          <w:t>Jc 1.1</w:t>
        </w:r>
      </w:hyperlink>
      <w:r>
        <w:t xml:space="preserve"> ; </w:t>
      </w:r>
      <w:hyperlink r:id="rId1404">
        <w:r>
          <w:rPr>
            <w:color w:val="0000EE"/>
            <w:u w:val="single"/>
          </w:rPr>
          <w:t>1P 1.1</w:t>
        </w:r>
      </w:hyperlink>
      <w:r>
        <w:t>). Diaspora peut parfois désigner les personnes exilées ou le lieu d'exil.</w:t>
      </w:r>
    </w:p>
    <w:p>
      <w:pPr>
        <w:pStyle w:val="Heading3"/>
      </w:pPr>
      <w:r>
        <w:t>Principales diasporas</w:t>
      </w:r>
    </w:p>
    <w:p>
      <w:r/>
      <w:r>
        <w:t>À partir de la fin du VIIIe siècle av. J.‑C., l'histoire juive a connu plusieurs dispersions majeures (mouvements forcés de populations).</w:t>
      </w:r>
    </w:p>
    <w:p>
      <w:pPr>
        <w:pStyle w:val="Heading4"/>
      </w:pPr>
      <w:r>
        <w:t>Dispersion du Royaume du Nord</w:t>
      </w:r>
    </w:p>
    <w:p>
      <w:r/>
      <w:r>
        <w:t>Après la mort de Salomon, son royaume se divisa en deux. Le Royaume du Nord, Israël (ou Samarie), sombra davantage dans l'idolâtrie et l'immoralité (</w:t>
      </w:r>
      <w:hyperlink r:id="rId3909">
        <w:r>
          <w:rPr>
            <w:color w:val="0000EE"/>
            <w:u w:val="single"/>
          </w:rPr>
          <w:t>2R 17.14–18</w:t>
        </w:r>
      </w:hyperlink>
      <w:r>
        <w:t xml:space="preserve">). Jéroboam, le premier roi d'Israël divisé, initia un schéma d'abandon de la foi. Les épitaphes des rois ultérieurs notaient souvent que le souverain « </w:t>
      </w:r>
      <w:r>
        <w:t>ne se détourna point des péchés de Jéroboam</w:t>
      </w:r>
      <w:r>
        <w:t xml:space="preserve"> » (</w:t>
      </w:r>
      <w:hyperlink r:id="rId3910">
        <w:r>
          <w:rPr>
            <w:color w:val="0000EE"/>
            <w:u w:val="single"/>
          </w:rPr>
          <w:t>2R 10.31</w:t>
        </w:r>
      </w:hyperlink>
      <w:r>
        <w:t xml:space="preserve"> ; </w:t>
      </w:r>
      <w:hyperlink r:id="rId3911">
        <w:r>
          <w:rPr>
            <w:color w:val="0000EE"/>
            <w:u w:val="single"/>
          </w:rPr>
          <w:t>13.11</w:t>
        </w:r>
      </w:hyperlink>
      <w:r>
        <w:t xml:space="preserve"> ; </w:t>
      </w:r>
      <w:hyperlink r:id="rId3912">
        <w:r>
          <w:rPr>
            <w:color w:val="0000EE"/>
            <w:u w:val="single"/>
          </w:rPr>
          <w:t>14.24</w:t>
        </w:r>
      </w:hyperlink>
      <w:r>
        <w:t xml:space="preserve"> ; </w:t>
      </w:r>
      <w:hyperlink r:id="rId3913">
        <w:r>
          <w:rPr>
            <w:color w:val="0000EE"/>
            <w:u w:val="single"/>
          </w:rPr>
          <w:t>15.9, 18, 24, 28</w:t>
        </w:r>
      </w:hyperlink>
      <w:r>
        <w:t>). L'Assyrie conquit le royaume du nord en 722 av. J.‑C. et exila plus de vingt-sept mille Israélites, comme prédit (</w:t>
      </w:r>
      <w:hyperlink r:id="rId3914">
        <w:r>
          <w:rPr>
            <w:color w:val="0000EE"/>
            <w:u w:val="single"/>
          </w:rPr>
          <w:t>2R 17.23</w:t>
        </w:r>
      </w:hyperlink>
      <w:r>
        <w:t>). Ils ont été installés dans des villes le long des branches de l'Euphrate et en Médie. Des Assyriens des villes autour de Babylone ont ensuite colonisé Israël (</w:t>
      </w:r>
      <w:hyperlink r:id="rId3915">
        <w:r>
          <w:rPr>
            <w:color w:val="0000EE"/>
            <w:u w:val="single"/>
          </w:rPr>
          <w:t>2R 17.6, 24</w:t>
        </w:r>
      </w:hyperlink>
      <w:r>
        <w:t>).</w:t>
      </w:r>
    </w:p>
    <w:p>
      <w:pPr>
        <w:pStyle w:val="Heading4"/>
      </w:pPr>
      <w:r>
        <w:t>Dispersion du Royaume du Sud</w:t>
      </w:r>
    </w:p>
    <w:p>
      <w:r/>
      <w:r>
        <w:t xml:space="preserve">Le Royaume du Sud, Juda, a fait face à l'exil en Babylone à l'est et en Égypte au sud. Le roi Nebucadnetsar de Babylone a capturé des Judéens lors de plusieurs campagnes de 605 av. J.‑C. jusqu'à la chute de Jérusalem en 586 av. J.‑C. La première déportation à Babylone a emporté des trésors du temple et du palais de Jérusalem, ainsi que « </w:t>
      </w:r>
      <w:r>
        <w:t>tous les chefs et tous les hommes vaillants, au nombre de dix mille exilés, avec tous les charpentiers et les serruriers: il ne resta que le peuple pauvre du pays</w:t>
      </w:r>
      <w:r>
        <w:t xml:space="preserve"> » (</w:t>
      </w:r>
      <w:hyperlink r:id="rId3916">
        <w:r>
          <w:rPr>
            <w:color w:val="0000EE"/>
            <w:u w:val="single"/>
          </w:rPr>
          <w:t>2R 24.12–14</w:t>
        </w:r>
      </w:hyperlink>
      <w:r>
        <w:t xml:space="preserve"> ; voir aussi </w:t>
      </w:r>
      <w:hyperlink r:id="rId3917">
        <w:r>
          <w:rPr>
            <w:color w:val="0000EE"/>
            <w:u w:val="single"/>
          </w:rPr>
          <w:t>2Ch 36.10</w:t>
        </w:r>
      </w:hyperlink>
      <w:r>
        <w:t xml:space="preserve"> ; </w:t>
      </w:r>
      <w:hyperlink r:id="rId3918">
        <w:r>
          <w:rPr>
            <w:color w:val="0000EE"/>
            <w:u w:val="single"/>
          </w:rPr>
          <w:t>Jr 52.29–30</w:t>
        </w:r>
      </w:hyperlink>
      <w:r>
        <w:t>).</w:t>
      </w:r>
    </w:p>
    <w:p>
      <w:r/>
      <w:r>
        <w:t>Un an plus tard, une deuxième expédition s'est concentrée sur le roi vassal juif rebelle Sédécias et ses fils (</w:t>
      </w:r>
      <w:hyperlink r:id="rId3919">
        <w:r>
          <w:rPr>
            <w:color w:val="0000EE"/>
            <w:u w:val="single"/>
          </w:rPr>
          <w:t>2R 25.1, 6–7</w:t>
        </w:r>
      </w:hyperlink>
      <w:r>
        <w:t xml:space="preserve"> ; </w:t>
      </w:r>
      <w:hyperlink r:id="rId3920">
        <w:r>
          <w:rPr>
            <w:color w:val="0000EE"/>
            <w:u w:val="single"/>
          </w:rPr>
          <w:t>Jr 52.4–11</w:t>
        </w:r>
      </w:hyperlink>
      <w:r>
        <w:t>). (Un roi vassal est un dirigeant sous l'autorité d'un autre roi.) La dix-neuvième année du règne de Nebucadnetsar, Babylone a attaqué Juda pour la troisième fois. Ils ont détruit le temple, le palais du roi et démoli les murs de la ville. Ils ont emmené tout le monde en captivité sauf les personnes les plus pauvres (</w:t>
      </w:r>
      <w:hyperlink r:id="rId3921">
        <w:r>
          <w:rPr>
            <w:color w:val="0000EE"/>
            <w:u w:val="single"/>
          </w:rPr>
          <w:t>2R 25.8–21</w:t>
        </w:r>
      </w:hyperlink>
      <w:r>
        <w:t xml:space="preserve"> ; </w:t>
      </w:r>
      <w:hyperlink r:id="rId3922">
        <w:r>
          <w:rPr>
            <w:color w:val="0000EE"/>
            <w:u w:val="single"/>
          </w:rPr>
          <w:t>Jr 52.12–16</w:t>
        </w:r>
      </w:hyperlink>
      <w:r>
        <w:t>).</w:t>
      </w:r>
    </w:p>
    <w:p>
      <w:r/>
      <w:r>
        <w:t>Schischak</w:t>
      </w:r>
      <w:r>
        <w:t>, le roi d'Égypte, a exilé des gens de Juda dès le Xe siècle av. J.‑C. Juda a perdu des gens et l'or du temple à cette époque (</w:t>
      </w:r>
      <w:hyperlink r:id="rId3923">
        <w:r>
          <w:rPr>
            <w:color w:val="0000EE"/>
            <w:u w:val="single"/>
          </w:rPr>
          <w:t>1R 14.25–26</w:t>
        </w:r>
      </w:hyperlink>
      <w:r>
        <w:t xml:space="preserve"> ; </w:t>
      </w:r>
      <w:hyperlink r:id="rId3924">
        <w:r>
          <w:rPr>
            <w:color w:val="0000EE"/>
            <w:u w:val="single"/>
          </w:rPr>
          <w:t>2Ch 12.9</w:t>
        </w:r>
      </w:hyperlink>
      <w:r>
        <w:t>). Environ quatre cents ans plus tard, Jochanan, un homme de Juda, a tenté d'échapper à Nebucadnetsar en fuyant en Égypte. Jochanan a forcé Jérémie et d'autres Juifs à l'accompagner, et ils se sont installés à Migdol, Tachpanès et Noph. Cependant, les Babyloniens les ont suivis, ont pris le contrôle de l'Égypte et ont exécuté de nombreux Juifs là-bas (</w:t>
      </w:r>
      <w:hyperlink r:id="rId3925">
        <w:r>
          <w:rPr>
            <w:color w:val="0000EE"/>
            <w:u w:val="single"/>
          </w:rPr>
          <w:t>Jr 43.5–44.30</w:t>
        </w:r>
      </w:hyperlink>
      <w:r>
        <w:t>). Les archives de propriété et les artefacts d'autel suggèrent que les quelques exilés survivants ont établi des colonies permanentes en Égypte (</w:t>
      </w:r>
      <w:hyperlink r:id="rId3926">
        <w:r>
          <w:rPr>
            <w:color w:val="0000EE"/>
            <w:u w:val="single"/>
          </w:rPr>
          <w:t>Es 19.18–19</w:t>
        </w:r>
      </w:hyperlink>
      <w:r>
        <w:t>).</w:t>
      </w:r>
    </w:p>
    <w:p>
      <w:pPr>
        <w:pStyle w:val="Heading4"/>
      </w:pPr>
      <w:r>
        <w:t>Autres diasporas</w:t>
      </w:r>
    </w:p>
    <w:p>
      <w:r/>
      <w:r>
        <w:t>Le roi égyptien Ptolémée Ier, qui a régné de 323 à 285 av. J.‑C., a capturé de nombreux Juifs et les a emmenés en Égypte vers 300 av. J.‑C. Ces exilés se sont installés à Alexandrie, qui est devenue célèbre pour ses études grecques et juives. Par ailleurs, Antiochos III de Syrie, qui a régné de 223 à 187 av. J.‑C., a déplacé de grands groupes de Juifs de Babylone vers la Phrygie et la Lydie. Les Romains ont également relocalisé un nombre important de Juifs à Rome. Le général romain Pompée y a amené de nombreux Juifs comme esclaves au premier siècle av. J.‑C.</w:t>
      </w:r>
    </w:p>
    <w:p>
      <w:r/>
      <w:r>
        <w:t>Le livre des Actes, dans le NT, montre à quel point les Juifs étaient dispersés. Luc énumère les visiteurs à Jérusalem : Parthes, Mèdes, Élamites, gens de Mésopotamie, Judée, Cappadoce, Pont, province d'Asie, Phrygie, Pamphylie, Égypte, régions de Libye près de Cyrène, visiteurs de Rome (à la fois Juifs et convertis au judaïsme), Crétois et Arabes (</w:t>
      </w:r>
      <w:hyperlink r:id="rId3927">
        <w:r>
          <w:rPr>
            <w:color w:val="0000EE"/>
            <w:u w:val="single"/>
          </w:rPr>
          <w:t>Ac 2.9–11</w:t>
        </w:r>
      </w:hyperlink>
      <w:r>
        <w:t>). Ces Juifs de « la Diaspora » étaient à Jérusalem pour célébrer la Fête de la Pentecôte.</w:t>
      </w:r>
    </w:p>
    <w:p>
      <w:r/>
      <w:r>
        <w:t>Des communautés juives existaient dans les villes macédoniennes que l'apôtre Paul a visitées lors de ses voyages missionnaires : Thessalonique, Bérée et Corinthe (</w:t>
      </w:r>
      <w:hyperlink r:id="rId3928">
        <w:r>
          <w:rPr>
            <w:color w:val="0000EE"/>
            <w:u w:val="single"/>
          </w:rPr>
          <w:t>Ac 17.1, 10</w:t>
        </w:r>
      </w:hyperlink>
      <w:r>
        <w:t xml:space="preserve"> ; </w:t>
      </w:r>
      <w:hyperlink r:id="rId3929">
        <w:r>
          <w:rPr>
            <w:color w:val="0000EE"/>
            <w:u w:val="single"/>
          </w:rPr>
          <w:t>18.2–4</w:t>
        </w:r>
      </w:hyperlink>
      <w:r>
        <w:t>). Vers le milieu du premier siècle après J.‑C., l'empereur romain Claude a ordonné à tous les Juifs de quitter Rome (</w:t>
      </w:r>
      <w:hyperlink r:id="rId1614">
        <w:r>
          <w:rPr>
            <w:color w:val="0000EE"/>
            <w:u w:val="single"/>
          </w:rPr>
          <w:t>Ac 18.2</w:t>
        </w:r>
      </w:hyperlink>
      <w:r>
        <w:t>). Les chercheurs estiment que la population juive en Palestine à l'époque de la naissance de Jésus était d'environ quatre à six millions. La population juive en dehors de la Palestine était plusieurs fois plus grande, avec des communautés de plus d'un million chacune prospérant en Asie Mineure, en Mésopotamie et à Alexandrie. Aujourd'hui, même avec une patrie nationale, plus de Juifs vivent en dehors d'Israël qu'à l'intérieur.</w:t>
      </w:r>
    </w:p>
    <w:p>
      <w:r/>
      <w:r>
        <w:t>Malgré leur dispersion, les Juifs de différentes diasporas sont restés semblables aux Juifs palestiniens grâce à plusieurs pratiques :</w:t>
      </w:r>
    </w:p>
    <w:p>
      <w:pPr>
        <w:pStyle w:val="ListNumber"/>
        <w:spacing w:line="240" w:lineRule="auto"/>
        <w:ind w:left="720"/>
      </w:pPr>
      <w:r/>
      <w:r>
        <w:t>Ils ont continué à observer les grandes fêtes nationales de la Pâque, de la Moisson et des Tabernacles (</w:t>
      </w:r>
      <w:hyperlink r:id="rId3930">
        <w:r>
          <w:rPr>
            <w:color w:val="0000EE"/>
            <w:u w:val="single"/>
          </w:rPr>
          <w:t>Ex 23.12–17</w:t>
        </w:r>
      </w:hyperlink>
      <w:r>
        <w:t xml:space="preserve"> ; </w:t>
      </w:r>
      <w:hyperlink r:id="rId3884">
        <w:r>
          <w:rPr>
            <w:color w:val="0000EE"/>
            <w:u w:val="single"/>
          </w:rPr>
          <w:t>Dt 16.1–17</w:t>
        </w:r>
      </w:hyperlink>
      <w:r>
        <w:t>). Ils les ont observées même en vivant à l'étranger.</w:t>
      </w:r>
    </w:p>
    <w:p>
      <w:pPr>
        <w:pStyle w:val="ListNumber"/>
        <w:spacing w:line="240" w:lineRule="auto"/>
        <w:ind w:left="720"/>
      </w:pPr>
      <w:r/>
      <w:r>
        <w:t>Les communautés juives dans des pays étrangers collectaient la taxe du temple pour l'entretien du temple (</w:t>
      </w:r>
      <w:hyperlink r:id="rId3714">
        <w:r>
          <w:rPr>
            <w:color w:val="0000EE"/>
            <w:u w:val="single"/>
          </w:rPr>
          <w:t>Ex 30.11–16</w:t>
        </w:r>
      </w:hyperlink>
      <w:r>
        <w:t>), même après la destruction du temple.</w:t>
      </w:r>
    </w:p>
    <w:p>
      <w:pPr>
        <w:pStyle w:val="ListNumber"/>
        <w:spacing w:line="240" w:lineRule="auto"/>
        <w:ind w:left="720"/>
      </w:pPr>
      <w:r/>
      <w:r>
        <w:t>Tous les Juifs, partout, reconnaissaient l'autorité du Sanhédrin (le conseil religieux juif).</w:t>
      </w:r>
    </w:p>
    <w:p>
      <w:pPr>
        <w:pStyle w:val="Heading4"/>
      </w:pPr>
      <w:r>
        <w:t>Aspects positifs</w:t>
      </w:r>
    </w:p>
    <w:p>
      <w:r/>
      <w:r>
        <w:t>En exil, les Juifs ont cessé d'adorer les idoles, ce qui les avait éloignés de Dieu. Leur exil les a conduits à créer des synagogues pour la prière et l'éducation. Les Juifs d'Alexandrie ont traduit les Écritures de l'Ancien Testament en grec, la langue internationale de l'époque. Cette traduction, appelée la Septante, était souvent utilisée par les auteurs du Nouveau Testament.</w:t>
      </w:r>
    </w:p>
    <w:p>
      <w:r/>
      <w:r>
        <w:t>Du point de vue chrétien, les communautés juives dispersées étaient importantes. Elles servaient de bases stratégiques pour la diffusion du christianisme, qui atteindra, peu de temps après, le monde non-juif environnant. Ainsi, Dieu a utilisé ces dispersions pour apporter l'Évangile aux non-juifs (</w:t>
      </w:r>
      <w:hyperlink r:id="rId3931">
        <w:r>
          <w:rPr>
            <w:color w:val="0000EE"/>
            <w:u w:val="single"/>
          </w:rPr>
          <w:t>Rm 1.11–15</w:t>
        </w:r>
      </w:hyperlink>
      <w:r>
        <w:t xml:space="preserve"> ; </w:t>
      </w:r>
      <w:hyperlink r:id="rId3932">
        <w:r>
          <w:rPr>
            <w:color w:val="0000EE"/>
            <w:u w:val="single"/>
          </w:rPr>
          <w:t>1Co 10.11–12</w:t>
        </w:r>
      </w:hyperlink>
      <w:r>
        <w:t>).</w:t>
      </w:r>
    </w:p>
    <w:p>
      <w:r/>
      <w:r>
        <w:t>Les arts, les sciences et les lettres ont grandement bénéficié des contributions juives à la culture occidentale. Malgré une discrimination intense, les Juifs ont offert des dons culturels remarquables. Bien que l'Église de Jésus-Christ soit considérée comme un « nouvel Israël » et une « race élue » (</w:t>
      </w:r>
      <w:hyperlink r:id="rId3933">
        <w:r>
          <w:rPr>
            <w:color w:val="0000EE"/>
            <w:u w:val="single"/>
          </w:rPr>
          <w:t>1P 2.9</w:t>
        </w:r>
      </w:hyperlink>
      <w:r>
        <w:t>), l'histoire et les Écritures suggèrent que Dieu prête toujours un intérêt particulier aux Juifs.</w:t>
      </w:r>
    </w:p>
    <w:p>
      <w:r/>
      <w:r>
        <w:rPr>
          <w:i/>
        </w:rPr>
        <w:t>Voir aussi</w:t>
      </w:r>
      <w:r>
        <w:t xml:space="preserve"> </w:t>
      </w:r>
      <w:r>
        <w:t>Israël, histoire de</w:t>
      </w:r>
      <w:r>
        <w:t xml:space="preserve"> ; </w:t>
      </w:r>
      <w:r>
        <w:t>période postexilique</w:t>
      </w:r>
      <w:r>
        <w:t>.</w:t>
      </w:r>
      <w:r/>
      <w:r/>
    </w:p>
    <w:p>
      <w:r/>
    </w:p>
    <w:p>
      <w:pPr>
        <w:pStyle w:val="Heading2"/>
      </w:pPr>
      <w:r>
        <w:t>Dieu, Noms de</w:t>
      </w:r>
      <w:r/>
    </w:p>
    <w:p>
      <w:r/>
      <w:r>
        <w:t>Les manières dont Dieu s'identifie lui-même expriment divers aspects de son être.</w:t>
      </w:r>
    </w:p>
    <w:p>
      <w:r/>
      <w:r>
        <w:t>Vue d'ensemble</w:t>
      </w:r>
    </w:p>
    <w:p>
      <w:r/>
      <w:r>
        <w:t xml:space="preserve">• </w:t>
      </w:r>
      <w:r>
        <w:rPr>
          <w:b/>
          <w:u w:val="single"/>
        </w:rPr>
        <w:t>L'Idée du nom dans la Bible</w:t>
      </w:r>
    </w:p>
    <w:p>
      <w:r/>
      <w:r>
        <w:t xml:space="preserve">• </w:t>
      </w:r>
      <w:r>
        <w:rPr>
          <w:b/>
          <w:u w:val="single"/>
        </w:rPr>
        <w:t>Les Noms de Dieu dans l’Ancien Testament</w:t>
      </w:r>
    </w:p>
    <w:p>
      <w:r/>
      <w:r>
        <w:t xml:space="preserve">• </w:t>
      </w:r>
      <w:r>
        <w:rPr>
          <w:b/>
          <w:u w:val="single"/>
        </w:rPr>
        <w:t>Les Noms de Dieu dans le Nouveau Testament</w:t>
      </w:r>
    </w:p>
    <w:p>
      <w:pPr>
        <w:pStyle w:val="Heading3"/>
      </w:pPr>
      <w:r>
        <w:t>L'Idée du nom dans la Bible</w:t>
      </w:r>
    </w:p>
    <w:p>
      <w:r/>
      <w:r>
        <w:t>Dans les Écritures, le nom et la personne de Dieu sont indissociablement liés. Cela correspond à la conception biblique de ce que signifie un nom.</w:t>
      </w:r>
    </w:p>
    <w:p>
      <w:r/>
      <w:r>
        <w:t>Dans la langue hébraïque, le terme pour « nom » signifiait très probablement « signe » ou « marque distinctive ». Dans la langue grecque, « nom » (</w:t>
      </w:r>
      <w:r>
        <w:rPr>
          <w:i/>
        </w:rPr>
        <w:t>onoma</w:t>
      </w:r>
      <w:r>
        <w:t>) est dérivé d'un verbe qui signifie « connaître ». Un nom, par conséquent, indique ce par quoi une personne ou un objet doit être connu. Mais l'idée de nom ne doit pas être prise dans le sens d'une étiquette ou d'un moyen arbitraire d'identifier ou de spécifier une personne, un lieu ou un objet. Le « nom » dans l'usage biblique décrit correctement la personne, le lieu ou l'objet et indique le caractère essentiel de ce à quoi le nom est donné. Adam a nommé les animaux selon leur nature (</w:t>
      </w:r>
      <w:hyperlink r:id="rId3934">
        <w:r>
          <w:rPr>
            <w:color w:val="0000EE"/>
            <w:u w:val="single"/>
          </w:rPr>
          <w:t>Gn 2.19–20</w:t>
        </w:r>
      </w:hyperlink>
      <w:r>
        <w:t>) ; Le nom Noé signifie « celui qui apporte soulagement et réconfort » (</w:t>
      </w:r>
      <w:hyperlink r:id="rId3935">
        <w:r>
          <w:rPr>
            <w:color w:val="0000EE"/>
            <w:u w:val="single"/>
          </w:rPr>
          <w:t>5.29</w:t>
        </w:r>
      </w:hyperlink>
      <w:r>
        <w:t>) ; Jésus signifie « sauveur » (</w:t>
      </w:r>
      <w:hyperlink r:id="rId3936">
        <w:r>
          <w:rPr>
            <w:color w:val="0000EE"/>
            <w:u w:val="single"/>
          </w:rPr>
          <w:t>Mt 1.21</w:t>
        </w:r>
      </w:hyperlink>
      <w:r>
        <w:t xml:space="preserve">). Lorsqu'une personne recevait une nouvelle position ou qu'un changement radical se produisait dans sa vie, un nouveau nom était donné pour indiquer ce nouvel aspect. Par exemple, Abraham (« Père </w:t>
      </w:r>
      <w:r>
        <w:t>d’une multitude</w:t>
      </w:r>
      <w:r>
        <w:t xml:space="preserve"> », </w:t>
      </w:r>
      <w:hyperlink r:id="rId78">
        <w:r>
          <w:rPr>
            <w:color w:val="0000EE"/>
            <w:u w:val="single"/>
          </w:rPr>
          <w:t>Gn 17.5</w:t>
        </w:r>
      </w:hyperlink>
      <w:r>
        <w:t xml:space="preserve">), et Israël (« celui qui lutte avec Dieu » ou « Dieu lutte », </w:t>
      </w:r>
      <w:hyperlink r:id="rId3937">
        <w:r>
          <w:rPr>
            <w:color w:val="0000EE"/>
            <w:u w:val="single"/>
          </w:rPr>
          <w:t>32.28</w:t>
        </w:r>
      </w:hyperlink>
      <w:r>
        <w:t>). Le nom d'une personne ou d'un peuple exprimait ce que la personne ou le peuple pensait être la description ou l'énoncé approprié de son caractère.</w:t>
      </w:r>
    </w:p>
    <w:p>
      <w:r/>
      <w:r>
        <w:t>En ce qui concerne les noms de Dieu, il existe des différences considérables, et celles-ci sont particulièrement visibles lorsque les biblistes et les théologiens se penchent sur la question de savoir si les noms de Dieu sont des attributions données par Dieu lui-même ou si ce sont des attributions données à Dieu par des personnes qui ont observé ses actes et réfléchi à son caractère tel qu'il est discerné à travers une étude des actes divins. Voici quelques exemples de divers types de noms divins :</w:t>
      </w:r>
    </w:p>
    <w:p>
      <w:r/>
      <w:r>
        <w:t xml:space="preserve">1. Noms propres : El, Yahvé, Adonaï, </w:t>
      </w:r>
      <w:r>
        <w:rPr>
          <w:i/>
        </w:rPr>
        <w:t>Theos</w:t>
      </w:r>
      <w:r>
        <w:t xml:space="preserve"> (Dieu), </w:t>
      </w:r>
      <w:r>
        <w:rPr>
          <w:i/>
        </w:rPr>
        <w:t>Kurios</w:t>
      </w:r>
      <w:r>
        <w:t xml:space="preserve"> (Seigneur).</w:t>
      </w:r>
    </w:p>
    <w:p>
      <w:r/>
      <w:r>
        <w:t xml:space="preserve">2. Noms personnels : Père, </w:t>
      </w:r>
      <w:r>
        <w:rPr>
          <w:i/>
        </w:rPr>
        <w:t>Abba</w:t>
      </w:r>
      <w:r>
        <w:t>, Fils, Jésus, Saint-Esprit.</w:t>
      </w:r>
    </w:p>
    <w:p>
      <w:r/>
      <w:r>
        <w:t>3. Titres : Créateur, Messie/Christ, Paraclet/Consolateur.</w:t>
      </w:r>
    </w:p>
    <w:p>
      <w:r/>
      <w:r>
        <w:t>4. Noms essentiels : Lumière, Amour, Esprit.</w:t>
      </w:r>
    </w:p>
    <w:p>
      <w:r/>
      <w:r>
        <w:t>5. Noms descriptifs : Rocher, Baal, Maître, Rabbouni, Berger.</w:t>
      </w:r>
    </w:p>
    <w:p>
      <w:pPr>
        <w:pStyle w:val="Heading3"/>
      </w:pPr>
      <w:r>
        <w:t>Les Noms de Dieu dans l'Ancien Testament</w:t>
      </w:r>
    </w:p>
    <w:p>
      <w:pPr>
        <w:pStyle w:val="Heading4"/>
      </w:pPr>
      <w:r>
        <w:t>El et Noms Associés</w:t>
      </w:r>
    </w:p>
    <w:p>
      <w:r/>
      <w:r>
        <w:t xml:space="preserve">Le nom </w:t>
      </w:r>
      <w:r>
        <w:rPr>
          <w:i/>
        </w:rPr>
        <w:t>El</w:t>
      </w:r>
      <w:r>
        <w:t xml:space="preserve"> apparaît plus de deux cents fois dans la Bible hébraïque. La meilleure traduction de ce terme est « Dieu ». Le terme </w:t>
      </w:r>
      <w:r>
        <w:rPr>
          <w:i/>
        </w:rPr>
        <w:t>El</w:t>
      </w:r>
      <w:r>
        <w:t xml:space="preserve"> a plusieurs significations possibles. Certains considèrent que la racine de ce mot est </w:t>
      </w:r>
      <w:r>
        <w:rPr>
          <w:i/>
        </w:rPr>
        <w:t>’ul</w:t>
      </w:r>
      <w:r>
        <w:t xml:space="preserve">, ce qui signifie « être premier » ou « être fort ». D'autres suggèrent que la racine est </w:t>
      </w:r>
      <w:r>
        <w:rPr>
          <w:i/>
        </w:rPr>
        <w:t>’alah</w:t>
      </w:r>
      <w:r>
        <w:t xml:space="preserve">, ce qui signifie « précéder » et évoque l'idée de « chef » ou de « commandant ». Cela peut aussi signifier « avoir peur ». Ainsi, Dieu en tant que </w:t>
      </w:r>
      <w:r>
        <w:rPr>
          <w:i/>
        </w:rPr>
        <w:t>’alah</w:t>
      </w:r>
      <w:r>
        <w:t xml:space="preserve">, étant l'être fort, est à craindre. D'autres encore proposent la préposition </w:t>
      </w:r>
      <w:r>
        <w:rPr>
          <w:i/>
        </w:rPr>
        <w:t>’el</w:t>
      </w:r>
      <w:r>
        <w:t xml:space="preserve"> (« à, vers ») comme racine ; l'idée serait alors de « celui qui se donne aux autres » ou de « celui vers qui les autres vont pour obtenir de l'aide ». Certains experts suggèrent que le mot </w:t>
      </w:r>
      <w:r>
        <w:rPr>
          <w:i/>
        </w:rPr>
        <w:t>’alim</w:t>
      </w:r>
      <w:r>
        <w:t>, signifiant « lier », devrait également être considéré comme une racine. Ainsi, « l'être fort lie et maintient un contrôle ferme ». Communes à ces quatre propositions de racines étymologiques sont les idées de force, de puissance, d'excellence suprême et de grandeur.</w:t>
      </w:r>
    </w:p>
    <w:p>
      <w:r/>
      <w:r>
        <w:rPr>
          <w:i/>
        </w:rPr>
        <w:t>El</w:t>
      </w:r>
      <w:r>
        <w:t xml:space="preserve"> dans l'AT est utilisé particulièrement dans les premiers livres, où il décrit l'exercice par Dieu d'un pouvoir dynamique distinct de l'autorité. </w:t>
      </w:r>
      <w:r>
        <w:rPr>
          <w:i/>
        </w:rPr>
        <w:t>El</w:t>
      </w:r>
      <w:r>
        <w:t xml:space="preserve"> parle de Dieu comme le grand acteur et producteur. Il est celui qui exerce un tel pouvoir que tout ce qui est fait, accompli, gardé ou détruit est son œuvre (cf. </w:t>
      </w:r>
      <w:hyperlink r:id="rId3938">
        <w:r>
          <w:rPr>
            <w:color w:val="0000EE"/>
            <w:u w:val="single"/>
          </w:rPr>
          <w:t>Ex 15</w:t>
        </w:r>
      </w:hyperlink>
      <w:r>
        <w:t xml:space="preserve">). </w:t>
      </w:r>
      <w:r>
        <w:rPr>
          <w:i/>
        </w:rPr>
        <w:t>El</w:t>
      </w:r>
      <w:r>
        <w:t xml:space="preserve"> est également utilisé pour exprimer l'idée que Dieu ne doit pas être identifié comme faisant partie de la création mais comme celui qui est au-dessus, derrière et au-delà de la création (</w:t>
      </w:r>
      <w:hyperlink r:id="rId3939">
        <w:r>
          <w:rPr>
            <w:color w:val="0000EE"/>
            <w:u w:val="single"/>
          </w:rPr>
          <w:t>Ps 19.1</w:t>
        </w:r>
      </w:hyperlink>
      <w:r>
        <w:t>).</w:t>
      </w:r>
    </w:p>
    <w:p>
      <w:r/>
      <w:r>
        <w:t>Elohim est également couramment utilisé comme nom de Dieu, apparaissant plus de deux mille cinq cents fois dans l'Ancien Testament. Il existe des divergences d'opinion concernant l'origine exacte et la signification de ce nom pluriel. Certains ont suggéré qu'Elohim est la forme plurielle d'</w:t>
      </w:r>
      <w:r>
        <w:rPr>
          <w:i/>
        </w:rPr>
        <w:t>El</w:t>
      </w:r>
      <w:r>
        <w:t>, mais il semble plus probable qu'il s'agisse d'un pluriel d'</w:t>
      </w:r>
      <w:r>
        <w:rPr>
          <w:i/>
        </w:rPr>
        <w:t>Eloah</w:t>
      </w:r>
      <w:r>
        <w:t>, qui apparaît dans les écrits poétiques. Certains auteurs critiques ont suggéré que cette forme plurielle est empruntée à des sources polythéistes païennes, mais aucune forme plurielle de ce type n'est retrouvée parmi les païens comme nom d'une divinité. D'autres ont suggéré que la forme plurielle est utilisée pour indiquer la nature trinitaire de Dieu, et un soutien à cela a été vu dans l'utilisation d'un verbe singulier avec ce nom pluriel. La doctrine biblique de la Trinité, telle qu'elle est développée tout au long des Écritures, ne semble pas être basée sur l'utilisation de cette forme plurielle du nom de Dieu, même si les deux positions ne sont pas contradictoires.</w:t>
      </w:r>
    </w:p>
    <w:p>
      <w:r/>
      <w:r>
        <w:t xml:space="preserve">La forme plurielle, </w:t>
      </w:r>
      <w:r>
        <w:rPr>
          <w:i/>
        </w:rPr>
        <w:t>Elohim</w:t>
      </w:r>
      <w:r>
        <w:t>, est mieux comprise comme exprimant l'idée d'intensité. Dieu se fait connaître par ce nom comme le Seigneur d'une gloire et d'une richesse intenses et étendues alors qu'il exerce sa prééminence et son pouvoir dans le cosmos créé. Ainsi, lorsque l'Écriture parle de la création, elle déclare : « Au commencement, [Elohim] créa les cieux et la terre » (</w:t>
      </w:r>
      <w:hyperlink r:id="rId1226">
        <w:r>
          <w:rPr>
            <w:color w:val="0000EE"/>
            <w:u w:val="single"/>
          </w:rPr>
          <w:t>Gn 1.1</w:t>
        </w:r>
      </w:hyperlink>
      <w:r>
        <w:t xml:space="preserve">). Ce nom est répété trente-cinq fois dans </w:t>
      </w:r>
      <w:hyperlink r:id="rId2644">
        <w:r>
          <w:rPr>
            <w:color w:val="0000EE"/>
            <w:u w:val="single"/>
          </w:rPr>
          <w:t>Genèse 1</w:t>
        </w:r>
      </w:hyperlink>
      <w:r>
        <w:t xml:space="preserve"> et </w:t>
      </w:r>
      <w:hyperlink r:id="rId2645">
        <w:r>
          <w:rPr>
            <w:color w:val="0000EE"/>
            <w:u w:val="single"/>
          </w:rPr>
          <w:t>2</w:t>
        </w:r>
      </w:hyperlink>
      <w:r>
        <w:t xml:space="preserve"> en lien avec le pouvoir de Dieu tel qu'il est révélé dans la Création. Dans le livre du Deutéronome, le nom Elohim est utilisé à plusieurs reprises pour souligner la puissance majestueuse de Dieu qui a été démontrée lors de la libération d'Israël de l'esclavage en Égypte, de la préservation dans le désert, et de la préparation pour l'entrée dans la Terre promise. Dans ce contexte, Dieu (</w:t>
      </w:r>
      <w:r>
        <w:rPr>
          <w:i/>
        </w:rPr>
        <w:t>Elohim</w:t>
      </w:r>
      <w:r>
        <w:t xml:space="preserve">) est également reconnu comme le Législateur qui exécutera puissamment le jugement sur ceux qui enfreignent ou brisent le cadre de l'alliance. Les psalmistes ont également utilisé ce nom à plusieurs reprises alors qu'ils reconnaissaient et louaient Dieu, le souverain majestueux qui avait démontré son omnipotence dans de nombreuses dimensions de la vie (voir </w:t>
      </w:r>
      <w:hyperlink r:id="rId3940">
        <w:r>
          <w:rPr>
            <w:color w:val="0000EE"/>
            <w:u w:val="single"/>
          </w:rPr>
          <w:t>Ps 68</w:t>
        </w:r>
      </w:hyperlink>
      <w:r>
        <w:t>, où Elohim apparaît vingt-six fois).</w:t>
      </w:r>
    </w:p>
    <w:p>
      <w:r/>
      <w:r>
        <w:t>Certaines études soulignent l'utilisation d'« Elohim » lorsque Dieu a parlé à Abraham et a dit qu'il serait « Elohim » pour le patriarche et sa descendance ; c'est-à-dire que Dieu entrerait en relation d'alliance avec eux (</w:t>
      </w:r>
      <w:hyperlink r:id="rId291">
        <w:r>
          <w:rPr>
            <w:color w:val="0000EE"/>
            <w:u w:val="single"/>
          </w:rPr>
          <w:t>Gn 17.1–8</w:t>
        </w:r>
      </w:hyperlink>
      <w:r>
        <w:t>). Incluse dans cette relation est l'idée que Dieu est toujours prêt à utiliser son pouvoir en faveur de ceux qui sont en alliance avec lui. Ainsi, « Elohim » exprime également le concept de la fidélité de Dieu en ce qui concerne l'alliance et les promesses et bénédictions qui y sont impliquées.</w:t>
      </w:r>
    </w:p>
    <w:p>
      <w:r/>
      <w:r>
        <w:t xml:space="preserve">Le nom </w:t>
      </w:r>
      <w:r>
        <w:rPr>
          <w:i/>
        </w:rPr>
        <w:t>Éloah</w:t>
      </w:r>
      <w:r>
        <w:t xml:space="preserve"> apparaît principalement dans les écrits poétiques, pas moins de 41 fois dans Job. Ésaïe l'a utilisé pour exprimer le caractère incomparable de Dieu (</w:t>
      </w:r>
      <w:hyperlink r:id="rId3941">
        <w:r>
          <w:rPr>
            <w:color w:val="0000EE"/>
            <w:u w:val="single"/>
          </w:rPr>
          <w:t>Es 44.8</w:t>
        </w:r>
      </w:hyperlink>
      <w:r>
        <w:t>). De même, David a demandé : « qui est Dieu [</w:t>
      </w:r>
      <w:r>
        <w:rPr>
          <w:i/>
        </w:rPr>
        <w:t>Éloah</w:t>
      </w:r>
      <w:r>
        <w:t xml:space="preserve">], </w:t>
      </w:r>
      <w:r>
        <w:t>si ce n’est l’Éternel</w:t>
      </w:r>
      <w:r>
        <w:t xml:space="preserve"> ?» (</w:t>
      </w:r>
      <w:hyperlink r:id="rId3942">
        <w:r>
          <w:rPr>
            <w:color w:val="0000EE"/>
            <w:u w:val="single"/>
          </w:rPr>
          <w:t>2S 22.32</w:t>
        </w:r>
      </w:hyperlink>
      <w:r>
        <w:t xml:space="preserve">). Moïse a été le premier à utiliser le nom </w:t>
      </w:r>
      <w:r>
        <w:rPr>
          <w:i/>
        </w:rPr>
        <w:t>Éloah</w:t>
      </w:r>
      <w:r>
        <w:t xml:space="preserve"> dans son cantique (</w:t>
      </w:r>
      <w:hyperlink r:id="rId3943">
        <w:r>
          <w:rPr>
            <w:color w:val="0000EE"/>
            <w:u w:val="single"/>
          </w:rPr>
          <w:t>Dt 32.15–17</w:t>
        </w:r>
      </w:hyperlink>
      <w:r>
        <w:t>), se référant au Dieu d'Israël dans le contexte des « non-dieux », qui avaient été choisis à la place du rocher du salut et de l'incomparable. Ce nom a probablement été utilisé pour souligner le fait que Dieu est le seul vrai et vivant, celui qui est à adorer et à vénérer ; qui doit être révéré avec une sainte crainte.</w:t>
      </w:r>
    </w:p>
    <w:p>
      <w:r/>
      <w:r>
        <w:t xml:space="preserve">Un autre nom étroitement lié est </w:t>
      </w:r>
      <w:r>
        <w:rPr>
          <w:i/>
        </w:rPr>
        <w:t>Éla,</w:t>
      </w:r>
      <w:r>
        <w:t xml:space="preserve"> trouvé dans Esdras et Daniel. Certains pensent que </w:t>
      </w:r>
      <w:r>
        <w:rPr>
          <w:i/>
        </w:rPr>
        <w:t>Éla</w:t>
      </w:r>
      <w:r>
        <w:t xml:space="preserve"> est une forme chaldéenne ou araméenne d'</w:t>
      </w:r>
      <w:r>
        <w:rPr>
          <w:i/>
        </w:rPr>
        <w:t>Eloah.</w:t>
      </w:r>
      <w:r>
        <w:t xml:space="preserve"> Sa racine serait </w:t>
      </w:r>
      <w:r>
        <w:rPr>
          <w:i/>
        </w:rPr>
        <w:t>'alah,</w:t>
      </w:r>
      <w:r>
        <w:t xml:space="preserve"> qui signifie « craindre » ou « être perplexe ». Dieu en tant que </w:t>
      </w:r>
      <w:r>
        <w:rPr>
          <w:i/>
        </w:rPr>
        <w:t>Éla</w:t>
      </w:r>
      <w:r>
        <w:t xml:space="preserve"> est le Dieu à craindre et à adorer en conséquence. En vue de ce sens, on peut comprendre pourquoi, à l'époque de l'exil d'Israël et immédiatement après leur retour, ce nom était couramment utilisé.</w:t>
      </w:r>
    </w:p>
    <w:p>
      <w:r/>
      <w:r>
        <w:t>Trois autres noms de Dieu incluent le terme « El » :</w:t>
      </w:r>
    </w:p>
    <w:p>
      <w:r/>
      <w:r>
        <w:rPr>
          <w:i/>
        </w:rPr>
        <w:t>El-Elyon</w:t>
      </w:r>
      <w:r>
        <w:t xml:space="preserve"> est le nom utilisé pour désigner le Dieu de Melchisédek (</w:t>
      </w:r>
      <w:hyperlink r:id="rId3944">
        <w:r>
          <w:rPr>
            <w:color w:val="0000EE"/>
            <w:u w:val="single"/>
          </w:rPr>
          <w:t>Gn 14.18–22</w:t>
        </w:r>
      </w:hyperlink>
      <w:r>
        <w:t xml:space="preserve">) comme Dieu Très-Haut. Dans </w:t>
      </w:r>
      <w:hyperlink r:id="rId3945">
        <w:r>
          <w:rPr>
            <w:color w:val="0000EE"/>
            <w:u w:val="single"/>
          </w:rPr>
          <w:t>Psaumes 57.2</w:t>
        </w:r>
      </w:hyperlink>
      <w:r>
        <w:t xml:space="preserve"> et </w:t>
      </w:r>
      <w:hyperlink r:id="rId3946">
        <w:r>
          <w:rPr>
            <w:color w:val="0000EE"/>
            <w:u w:val="single"/>
          </w:rPr>
          <w:t>78.56</w:t>
        </w:r>
      </w:hyperlink>
      <w:r>
        <w:t xml:space="preserve">, l'hébreu se lit </w:t>
      </w:r>
      <w:r>
        <w:rPr>
          <w:i/>
        </w:rPr>
        <w:t>Elohim-Elyon.</w:t>
      </w:r>
      <w:r>
        <w:t xml:space="preserve"> On pense que le terme </w:t>
      </w:r>
      <w:r>
        <w:rPr>
          <w:i/>
        </w:rPr>
        <w:t>Elyon</w:t>
      </w:r>
      <w:r>
        <w:t xml:space="preserve"> est dérivé du verbe </w:t>
      </w:r>
      <w:r>
        <w:rPr>
          <w:i/>
        </w:rPr>
        <w:t>‘alah,</w:t>
      </w:r>
      <w:r>
        <w:t xml:space="preserve"> signifiant « monter, être élevé, être exalté ». Il y a plusieurs cas où le terme </w:t>
      </w:r>
      <w:r>
        <w:rPr>
          <w:i/>
        </w:rPr>
        <w:t>Elyon</w:t>
      </w:r>
      <w:r>
        <w:t xml:space="preserve"> est utilisé seul, mais le contexte indique qu'il est alors utilisé comme synonyme de Dieu (par exemple, </w:t>
      </w:r>
      <w:hyperlink r:id="rId3947">
        <w:r>
          <w:rPr>
            <w:color w:val="0000EE"/>
            <w:u w:val="single"/>
          </w:rPr>
          <w:t>Nb 24.16</w:t>
        </w:r>
      </w:hyperlink>
      <w:r>
        <w:t xml:space="preserve"> ; </w:t>
      </w:r>
      <w:hyperlink r:id="rId3948">
        <w:r>
          <w:rPr>
            <w:color w:val="0000EE"/>
            <w:u w:val="single"/>
          </w:rPr>
          <w:t>Ps 83.18</w:t>
        </w:r>
      </w:hyperlink>
      <w:r>
        <w:t xml:space="preserve"> ; </w:t>
      </w:r>
      <w:hyperlink r:id="rId3949">
        <w:r>
          <w:rPr>
            <w:color w:val="0000EE"/>
            <w:u w:val="single"/>
          </w:rPr>
          <w:t>Es 14.14</w:t>
        </w:r>
      </w:hyperlink>
      <w:r>
        <w:t xml:space="preserve">). Le terme </w:t>
      </w:r>
      <w:r>
        <w:rPr>
          <w:i/>
        </w:rPr>
        <w:t>Elyon</w:t>
      </w:r>
      <w:r>
        <w:t xml:space="preserve"> est utilisé assez fréquemment comme adjectif ; il est alors traduit par « haut, le plus haut, élevé, suprême ». L'attribution fondamentale donnée à Dieu lorsque ce nom est employé est celle de celui qui est au-dessus de toutes choses en tant que créateur, possesseur et souverain. Il est incomparable à tous égards ; il n'est soumis à personne ni à rien ; celui qui est exalté.</w:t>
      </w:r>
    </w:p>
    <w:p>
      <w:r/>
      <w:r>
        <w:rPr>
          <w:i/>
        </w:rPr>
        <w:t>El-Shaddaï</w:t>
      </w:r>
      <w:r>
        <w:t xml:space="preserve"> est utilisé sous sa forme longue à sept reprises dans les Écritures (</w:t>
      </w:r>
      <w:hyperlink r:id="rId551">
        <w:r>
          <w:rPr>
            <w:color w:val="0000EE"/>
            <w:u w:val="single"/>
          </w:rPr>
          <w:t>Gn 17.1</w:t>
        </w:r>
      </w:hyperlink>
      <w:r>
        <w:t xml:space="preserve"> ; </w:t>
      </w:r>
      <w:hyperlink r:id="rId3950">
        <w:r>
          <w:rPr>
            <w:color w:val="0000EE"/>
            <w:u w:val="single"/>
          </w:rPr>
          <w:t>28.3</w:t>
        </w:r>
      </w:hyperlink>
      <w:r>
        <w:t xml:space="preserve"> ; </w:t>
      </w:r>
      <w:hyperlink r:id="rId3951">
        <w:r>
          <w:rPr>
            <w:color w:val="0000EE"/>
            <w:u w:val="single"/>
          </w:rPr>
          <w:t>35.11</w:t>
        </w:r>
      </w:hyperlink>
      <w:r>
        <w:t xml:space="preserve"> ; </w:t>
      </w:r>
      <w:hyperlink r:id="rId3952">
        <w:r>
          <w:rPr>
            <w:color w:val="0000EE"/>
            <w:u w:val="single"/>
          </w:rPr>
          <w:t>43.14</w:t>
        </w:r>
      </w:hyperlink>
      <w:r>
        <w:t xml:space="preserve"> ; </w:t>
      </w:r>
      <w:hyperlink r:id="rId3953">
        <w:r>
          <w:rPr>
            <w:color w:val="0000EE"/>
            <w:u w:val="single"/>
          </w:rPr>
          <w:t>48.3</w:t>
        </w:r>
      </w:hyperlink>
      <w:r>
        <w:t xml:space="preserve"> ; </w:t>
      </w:r>
      <w:hyperlink r:id="rId3954">
        <w:r>
          <w:rPr>
            <w:color w:val="0000EE"/>
            <w:u w:val="single"/>
          </w:rPr>
          <w:t>Ex 6.3</w:t>
        </w:r>
      </w:hyperlink>
      <w:r>
        <w:t xml:space="preserve"> ; </w:t>
      </w:r>
      <w:hyperlink r:id="rId3955">
        <w:r>
          <w:rPr>
            <w:color w:val="0000EE"/>
            <w:u w:val="single"/>
          </w:rPr>
          <w:t>Ez 10.5</w:t>
        </w:r>
      </w:hyperlink>
      <w:r>
        <w:t>). Sous sa forme courte (</w:t>
      </w:r>
      <w:r>
        <w:rPr>
          <w:i/>
        </w:rPr>
        <w:t>Shaddaï</w:t>
      </w:r>
      <w:r>
        <w:t xml:space="preserve">), il apparaît plus fréquemment : dans </w:t>
      </w:r>
      <w:hyperlink r:id="rId3956">
        <w:r>
          <w:rPr>
            <w:color w:val="0000EE"/>
            <w:u w:val="single"/>
          </w:rPr>
          <w:t>Job</w:t>
        </w:r>
      </w:hyperlink>
      <w:r>
        <w:t xml:space="preserve"> trente fois ; dans </w:t>
      </w:r>
      <w:hyperlink r:id="rId3939">
        <w:r>
          <w:rPr>
            <w:color w:val="0000EE"/>
            <w:u w:val="single"/>
          </w:rPr>
          <w:t>Psaumes 19.1</w:t>
        </w:r>
      </w:hyperlink>
      <w:r>
        <w:t xml:space="preserve"> et </w:t>
      </w:r>
      <w:hyperlink r:id="rId3957">
        <w:r>
          <w:rPr>
            <w:color w:val="0000EE"/>
            <w:u w:val="single"/>
          </w:rPr>
          <w:t>68.14</w:t>
        </w:r>
      </w:hyperlink>
      <w:r>
        <w:t>; une fois dans Ruth (</w:t>
      </w:r>
      <w:hyperlink r:id="rId3958">
        <w:r>
          <w:rPr>
            <w:color w:val="0000EE"/>
            <w:u w:val="single"/>
          </w:rPr>
          <w:t>1.21</w:t>
        </w:r>
      </w:hyperlink>
      <w:r>
        <w:t>), Ésaïe (</w:t>
      </w:r>
      <w:hyperlink r:id="rId3959">
        <w:r>
          <w:rPr>
            <w:color w:val="0000EE"/>
            <w:u w:val="single"/>
          </w:rPr>
          <w:t>13.6</w:t>
        </w:r>
      </w:hyperlink>
      <w:r>
        <w:t>), Ézéchiel (</w:t>
      </w:r>
      <w:hyperlink r:id="rId3960">
        <w:r>
          <w:rPr>
            <w:color w:val="0000EE"/>
            <w:u w:val="single"/>
          </w:rPr>
          <w:t>1.24</w:t>
        </w:r>
      </w:hyperlink>
      <w:r>
        <w:t>) et Joël (</w:t>
      </w:r>
      <w:hyperlink r:id="rId3758">
        <w:r>
          <w:rPr>
            <w:color w:val="0000EE"/>
            <w:u w:val="single"/>
          </w:rPr>
          <w:t>1.15</w:t>
        </w:r>
      </w:hyperlink>
      <w:r>
        <w:t xml:space="preserve">). Dans ces passages, les idées combinées de Dieu comme le tout-puissant, tout-suffisant, transcendant, le souverain qui dispose de tout sont présentes. Ce sens est généralement accepté, mais il y a des divergences quant à la signification exacte du terme </w:t>
      </w:r>
      <w:r>
        <w:rPr>
          <w:i/>
        </w:rPr>
        <w:t>Shaddaï.</w:t>
      </w:r>
      <w:r>
        <w:t xml:space="preserve"> Certains ont commencé avec </w:t>
      </w:r>
      <w:r>
        <w:rPr>
          <w:i/>
        </w:rPr>
        <w:t>shad</w:t>
      </w:r>
      <w:r>
        <w:t xml:space="preserve"> comme premier concept à considérer ; sa signification est « sein, mamelon, ou tétine », et il est considéré comme une « métaphore précieuse » du Dieu qui nourrit, fournit et comble. La racine de </w:t>
      </w:r>
      <w:r>
        <w:rPr>
          <w:i/>
        </w:rPr>
        <w:t>shad</w:t>
      </w:r>
      <w:r>
        <w:t xml:space="preserve"> (</w:t>
      </w:r>
      <w:r>
        <w:rPr>
          <w:i/>
        </w:rPr>
        <w:t>shadah</w:t>
      </w:r>
      <w:r>
        <w:t xml:space="preserve">), dans l'usage sémitique, est « humidifier ». Cette signification n'est pas celle qui est favorisée dans le contexte où apparaît le nom </w:t>
      </w:r>
      <w:r>
        <w:rPr>
          <w:i/>
        </w:rPr>
        <w:t>El-Shaddaï</w:t>
      </w:r>
      <w:r>
        <w:t xml:space="preserve"> ; ni </w:t>
      </w:r>
      <w:r>
        <w:rPr>
          <w:i/>
        </w:rPr>
        <w:t>shed</w:t>
      </w:r>
      <w:r>
        <w:t xml:space="preserve"> (démon), que certains érudits ont cherché à utiliser parce qu'il apparaît dans </w:t>
      </w:r>
      <w:hyperlink r:id="rId3961">
        <w:r>
          <w:rPr>
            <w:color w:val="0000EE"/>
            <w:u w:val="single"/>
          </w:rPr>
          <w:t>Deutéronome 32.17</w:t>
        </w:r>
      </w:hyperlink>
      <w:r>
        <w:t xml:space="preserve"> et </w:t>
      </w:r>
      <w:hyperlink r:id="rId3962">
        <w:r>
          <w:rPr>
            <w:color w:val="0000EE"/>
            <w:u w:val="single"/>
          </w:rPr>
          <w:t>Psaume 106.37</w:t>
        </w:r>
      </w:hyperlink>
      <w:r>
        <w:t xml:space="preserve"> parlant de l'idolâtrie d'Israël. En plus du fait que </w:t>
      </w:r>
      <w:r>
        <w:rPr>
          <w:i/>
        </w:rPr>
        <w:t>shed</w:t>
      </w:r>
      <w:r>
        <w:t xml:space="preserve"> est orthographié différemment, la connexion entre le concept de démon et Dieu comme tout-puissant est difficile à établir. Plus acceptable est la suggestion que </w:t>
      </w:r>
      <w:r>
        <w:rPr>
          <w:i/>
        </w:rPr>
        <w:t>Shaddaï</w:t>
      </w:r>
      <w:r>
        <w:t xml:space="preserve"> est un terme composite de </w:t>
      </w:r>
      <w:r>
        <w:rPr>
          <w:i/>
        </w:rPr>
        <w:t>sha</w:t>
      </w:r>
      <w:r>
        <w:t xml:space="preserve"> (« celui qui ») et </w:t>
      </w:r>
      <w:r>
        <w:rPr>
          <w:i/>
        </w:rPr>
        <w:t>dai</w:t>
      </w:r>
      <w:r>
        <w:t xml:space="preserve"> (« est suffisant »). Les versions grecques ultérieures ont adopté cette signification. L'explication la plus préférée est que Shaddaï est dérivé du verbe shadad (« maîtriser, agir violemment, ou dévaster »). Il a été dit qu'une connexion claire entre </w:t>
      </w:r>
      <w:r>
        <w:rPr>
          <w:i/>
        </w:rPr>
        <w:t>shadad</w:t>
      </w:r>
      <w:r>
        <w:t xml:space="preserve"> et </w:t>
      </w:r>
      <w:r>
        <w:rPr>
          <w:i/>
        </w:rPr>
        <w:t>Shaddaï</w:t>
      </w:r>
      <w:r>
        <w:t xml:space="preserve"> se trouver dans </w:t>
      </w:r>
      <w:hyperlink r:id="rId3959">
        <w:r>
          <w:rPr>
            <w:color w:val="0000EE"/>
            <w:u w:val="single"/>
          </w:rPr>
          <w:t>Ésaïe 13.6</w:t>
        </w:r>
      </w:hyperlink>
      <w:r>
        <w:t xml:space="preserve"> et </w:t>
      </w:r>
      <w:hyperlink r:id="rId3758">
        <w:r>
          <w:rPr>
            <w:color w:val="0000EE"/>
            <w:u w:val="single"/>
          </w:rPr>
          <w:t>Joël 1.15</w:t>
        </w:r>
      </w:hyperlink>
      <w:r>
        <w:t xml:space="preserve">. Dieu en tant que </w:t>
      </w:r>
      <w:r>
        <w:rPr>
          <w:i/>
        </w:rPr>
        <w:t>El-Shaddaï</w:t>
      </w:r>
      <w:r>
        <w:t xml:space="preserve"> est présenté comme le Tout-Puissant, totalement autosuffisant, souverain absolu, et celui qui a l'autorité pour la disposition finale ; autorité qu'il exerce dans les faits. La Septante a adapté cette signification ; elle traduit </w:t>
      </w:r>
      <w:r>
        <w:rPr>
          <w:i/>
        </w:rPr>
        <w:t>El-Shaddaï</w:t>
      </w:r>
      <w:r>
        <w:t xml:space="preserve"> par </w:t>
      </w:r>
      <w:r>
        <w:rPr>
          <w:i/>
        </w:rPr>
        <w:t>Pantokrator,</w:t>
      </w:r>
      <w:r>
        <w:t xml:space="preserve"> le « Régnant Suprême » ou « Souverain ».</w:t>
      </w:r>
    </w:p>
    <w:p>
      <w:r/>
      <w:r>
        <w:rPr>
          <w:i/>
        </w:rPr>
        <w:t>El-Olam</w:t>
      </w:r>
      <w:r>
        <w:t xml:space="preserve"> est utilisé pour désigner Dieu comme l'Éternel. Il s'agit d'un exemple clair où le nom de Dieu et un attribut de Dieu sont combinés. Le terme </w:t>
      </w:r>
      <w:r>
        <w:rPr>
          <w:i/>
        </w:rPr>
        <w:t>‘olam</w:t>
      </w:r>
      <w:r>
        <w:t xml:space="preserve"> a un large éventail d'utilisations. Il est généralement défini dans les lexiques comme signifiant « longue durée, antiquité et futurité indéfinie ». Il est utilisé pour parler de l'existence de Dieu, de l'alliance et des promesses de Dieu, et du règne du Messie. En s'adressant à Dieu, le psalmiste a dit : « </w:t>
      </w:r>
      <w:r>
        <w:t>D’éternité [</w:t>
      </w:r>
      <w:r>
        <w:rPr>
          <w:i/>
        </w:rPr>
        <w:t>'olam</w:t>
      </w:r>
      <w:r>
        <w:t xml:space="preserve">] en éternité </w:t>
      </w:r>
      <w:r>
        <w:t>[</w:t>
      </w:r>
      <w:r>
        <w:rPr>
          <w:i/>
        </w:rPr>
        <w:t>'olam</w:t>
      </w:r>
      <w:r>
        <w:t>]</w:t>
      </w:r>
      <w:r>
        <w:t xml:space="preserve"> tu es Dieu</w:t>
      </w:r>
      <w:r>
        <w:t xml:space="preserve"> » (</w:t>
      </w:r>
      <w:hyperlink r:id="rId3963">
        <w:r>
          <w:rPr>
            <w:color w:val="0000EE"/>
            <w:u w:val="single"/>
          </w:rPr>
          <w:t>Ps 90.2</w:t>
        </w:r>
      </w:hyperlink>
      <w:r>
        <w:t>) ; le prophète Ésaïe a parlé de Dieu comme le créateur éternel (</w:t>
      </w:r>
      <w:hyperlink r:id="rId3964">
        <w:r>
          <w:rPr>
            <w:color w:val="0000EE"/>
            <w:u w:val="single"/>
          </w:rPr>
          <w:t>Es 40.28</w:t>
        </w:r>
      </w:hyperlink>
      <w:r>
        <w:t>) et comme force éternelle (</w:t>
      </w:r>
      <w:hyperlink r:id="rId3965">
        <w:r>
          <w:rPr>
            <w:color w:val="0000EE"/>
            <w:u w:val="single"/>
          </w:rPr>
          <w:t>26.4</w:t>
        </w:r>
      </w:hyperlink>
      <w:r>
        <w:t>) ; Jérémie quant à lui a parlé de Dieu comme Roi éternel (</w:t>
      </w:r>
      <w:hyperlink r:id="rId3966">
        <w:r>
          <w:rPr>
            <w:color w:val="0000EE"/>
            <w:u w:val="single"/>
          </w:rPr>
          <w:t>Jr 10.10</w:t>
        </w:r>
      </w:hyperlink>
      <w:r>
        <w:t xml:space="preserve">). L'éternité ou intemporalité de Dieu parle de son infinité par rapport au temps. </w:t>
      </w:r>
      <w:r>
        <w:rPr>
          <w:i/>
        </w:rPr>
        <w:t>‘Olam,</w:t>
      </w:r>
      <w:r>
        <w:t xml:space="preserve"> attribué à Dieu, ne doit pas être considéré comme une durée prolongée indéfiniment en arrière et en avant. Le mot parle plutôt de Dieu comme transcendant toute limite temporelle ; de plus, </w:t>
      </w:r>
      <w:r>
        <w:rPr>
          <w:i/>
        </w:rPr>
        <w:t>‘olam</w:t>
      </w:r>
      <w:r>
        <w:t xml:space="preserve"> se réfère à la qualité de Dieu qui diffère essentiellement du temps. Les Écritures parlent de </w:t>
      </w:r>
      <w:r>
        <w:rPr>
          <w:i/>
        </w:rPr>
        <w:t>El-Olam</w:t>
      </w:r>
      <w:r>
        <w:t xml:space="preserve"> dans des contextes où l'assurance du bien-être, de la sécurité et de l'espérance du croyant sont présentées comme des possessions précieuses.</w:t>
      </w:r>
    </w:p>
    <w:p>
      <w:r/>
      <w:r>
        <w:rPr>
          <w:i/>
        </w:rPr>
        <w:t>El-Gibbor</w:t>
      </w:r>
      <w:r>
        <w:t xml:space="preserve"> est un nom qui évoque la puissance et la force de Dieu. Le mot </w:t>
      </w:r>
      <w:r>
        <w:rPr>
          <w:i/>
        </w:rPr>
        <w:t>Gibbor</w:t>
      </w:r>
      <w:r>
        <w:t xml:space="preserve">, employé seul, est utilisé en référence aux hommes puissants et héroïques. Les deux termes ensemble se réfèrent toujours à Dieu, et dans certains cas, </w:t>
      </w:r>
      <w:r>
        <w:rPr>
          <w:i/>
        </w:rPr>
        <w:t>Haggadol</w:t>
      </w:r>
      <w:r>
        <w:t xml:space="preserve"> (« le plus grand ») est ajouté (</w:t>
      </w:r>
      <w:hyperlink r:id="rId3967">
        <w:r>
          <w:rPr>
            <w:color w:val="0000EE"/>
            <w:u w:val="single"/>
          </w:rPr>
          <w:t>Dt 10.17</w:t>
        </w:r>
      </w:hyperlink>
      <w:r>
        <w:t xml:space="preserve"> ; </w:t>
      </w:r>
      <w:hyperlink r:id="rId3968">
        <w:r>
          <w:rPr>
            <w:color w:val="0000EE"/>
            <w:u w:val="single"/>
          </w:rPr>
          <w:t>Jr 32.18</w:t>
        </w:r>
      </w:hyperlink>
      <w:r>
        <w:t xml:space="preserve">) pour souligner la grandeur et la majesté impressionnantes de Dieu. </w:t>
      </w:r>
      <w:r>
        <w:rPr>
          <w:i/>
        </w:rPr>
        <w:t>El-Gibbor</w:t>
      </w:r>
      <w:r>
        <w:t xml:space="preserve"> est également utilisé pour décrire le Messie dans </w:t>
      </w:r>
      <w:hyperlink r:id="rId3969">
        <w:r>
          <w:rPr>
            <w:color w:val="0000EE"/>
            <w:u w:val="single"/>
          </w:rPr>
          <w:t>Ésaïe 9.6</w:t>
        </w:r>
      </w:hyperlink>
      <w:r>
        <w:t xml:space="preserve"> (cf. </w:t>
      </w:r>
      <w:hyperlink r:id="rId3970">
        <w:r>
          <w:rPr>
            <w:color w:val="0000EE"/>
            <w:u w:val="single"/>
          </w:rPr>
          <w:t>Ps 45.4</w:t>
        </w:r>
      </w:hyperlink>
      <w:r>
        <w:t>).</w:t>
      </w:r>
    </w:p>
    <w:p>
      <w:r/>
      <w:r>
        <w:rPr>
          <w:i/>
        </w:rPr>
        <w:t>El-Roï</w:t>
      </w:r>
      <w:r>
        <w:t xml:space="preserve"> est utilisé à une reprise pour décrire Dieu comme celui qui voit. Agar décrit le Seigneur de cette manière lorsqu'elle est trouvée dans le désert (</w:t>
      </w:r>
      <w:hyperlink r:id="rId3971">
        <w:r>
          <w:rPr>
            <w:color w:val="0000EE"/>
            <w:u w:val="single"/>
          </w:rPr>
          <w:t>Gn 16.13</w:t>
        </w:r>
      </w:hyperlink>
      <w:r>
        <w:t xml:space="preserve">). </w:t>
      </w:r>
      <w:hyperlink r:id="rId3972">
        <w:r>
          <w:rPr>
            <w:color w:val="0000EE"/>
            <w:u w:val="single"/>
          </w:rPr>
          <w:t>Psaume 139.1–2</w:t>
        </w:r>
      </w:hyperlink>
      <w:r>
        <w:t xml:space="preserve"> exprime ce concept de Dieu comme celui qui voit tout, et dont rien n'échappe à l'œil (cf. </w:t>
      </w:r>
      <w:hyperlink r:id="rId3973">
        <w:r>
          <w:rPr>
            <w:color w:val="0000EE"/>
            <w:u w:val="single"/>
          </w:rPr>
          <w:t>Ps 33.18</w:t>
        </w:r>
      </w:hyperlink>
      <w:r>
        <w:t>).</w:t>
      </w:r>
    </w:p>
    <w:p>
      <w:r/>
      <w:r>
        <w:rPr>
          <w:i/>
        </w:rPr>
        <w:t>Yahvé</w:t>
      </w:r>
      <w:r>
        <w:t xml:space="preserve"> est distinctement un nom propre de Dieu. Il n'est jamais utilisé pour désigner des dieux païens ; il n'est pas non plus utilisé en ce qui concerne les hommes. Il apparaît 6 823 fois dans l'AT, apparaissant d'abord dans </w:t>
      </w:r>
      <w:hyperlink r:id="rId3974">
        <w:r>
          <w:rPr>
            <w:color w:val="0000EE"/>
            <w:u w:val="single"/>
          </w:rPr>
          <w:t>Genèse 2.4</w:t>
        </w:r>
      </w:hyperlink>
      <w:r>
        <w:t>, où il est associé à Elohim</w:t>
      </w:r>
      <w:r>
        <w:rPr>
          <w:i/>
        </w:rPr>
        <w:t>.</w:t>
      </w:r>
      <w:r>
        <w:t xml:space="preserve"> Yahvé est utilisé 164 fois dans la Genèse, et il apparaît 1 800 fois dans l'Exode jusqu'à Josué. Il n'apparaît jamais sous une forme déclinée dans la langue hébraïque, et il n'apparaît jamais au pluriel ou avec des suffixes. Il est abrégé en </w:t>
      </w:r>
      <w:r>
        <w:rPr>
          <w:i/>
        </w:rPr>
        <w:t>Yah</w:t>
      </w:r>
      <w:r>
        <w:t xml:space="preserve"> et </w:t>
      </w:r>
      <w:r>
        <w:rPr>
          <w:i/>
        </w:rPr>
        <w:t>Yahu</w:t>
      </w:r>
      <w:r>
        <w:t xml:space="preserve"> (cf. </w:t>
      </w:r>
      <w:hyperlink r:id="rId3975">
        <w:r>
          <w:rPr>
            <w:color w:val="0000EE"/>
            <w:u w:val="single"/>
          </w:rPr>
          <w:t>Ex 15.2</w:t>
        </w:r>
      </w:hyperlink>
      <w:r>
        <w:t xml:space="preserve"> ; </w:t>
      </w:r>
      <w:hyperlink r:id="rId3976">
        <w:r>
          <w:rPr>
            <w:color w:val="0000EE"/>
            <w:u w:val="single"/>
          </w:rPr>
          <w:t>Ps 68.4</w:t>
        </w:r>
      </w:hyperlink>
      <w:r>
        <w:t xml:space="preserve"> ; </w:t>
      </w:r>
      <w:hyperlink r:id="rId3977">
        <w:r>
          <w:rPr>
            <w:color w:val="0000EE"/>
            <w:u w:val="single"/>
          </w:rPr>
          <w:t>Es 12.2</w:t>
        </w:r>
      </w:hyperlink>
      <w:r>
        <w:t xml:space="preserve"> ; etc.).</w:t>
      </w:r>
    </w:p>
    <w:p>
      <w:r/>
      <w:r>
        <w:t xml:space="preserve">La signification exacte du nom Yahvé est difficile à déterminer. Certains ont cherché la racine dans le verbe </w:t>
      </w:r>
      <w:r>
        <w:rPr>
          <w:i/>
        </w:rPr>
        <w:t>hayah</w:t>
      </w:r>
      <w:r>
        <w:t xml:space="preserve"> (« être ») ou dans une forme ancienne de ce même verbe, </w:t>
      </w:r>
      <w:r>
        <w:rPr>
          <w:i/>
        </w:rPr>
        <w:t>hawah.</w:t>
      </w:r>
      <w:r>
        <w:t xml:space="preserve"> Il n'y a pas d'accord sur la question de savoir si la racine du verbe serait déclinée au qal ou au hiphil. Ceux qui optent pour la forme hiphil voient en Yahvé la signification « faire être » ; ainsi </w:t>
      </w:r>
      <w:hyperlink r:id="rId3978">
        <w:r>
          <w:rPr>
            <w:color w:val="0000EE"/>
            <w:u w:val="single"/>
          </w:rPr>
          <w:t>Exode 3.14</w:t>
        </w:r>
      </w:hyperlink>
      <w:r>
        <w:t xml:space="preserve"> se lirait, « Je ferai être ce qui est devenu ». D'autres se tournent vers la forme qal et traduisent alors le nom par « Je suis » ou « Je serai ». D'autres encore sont enclins à dissocier le nom du verbe </w:t>
      </w:r>
      <w:r>
        <w:rPr>
          <w:i/>
        </w:rPr>
        <w:t>hayah</w:t>
      </w:r>
      <w:r>
        <w:t xml:space="preserve"> et le considèrent comme un terme original et indépendant, exprimant l'unicité du Dieu gracieux d'Israël.</w:t>
      </w:r>
    </w:p>
    <w:p>
      <w:r/>
      <w:r>
        <w:t>Les traducteurs de l'Ancien Testament ne se sont pas mis d'accord sur la traduction correcte du nom Yahvé</w:t>
      </w:r>
      <w:r>
        <w:rPr>
          <w:i/>
        </w:rPr>
        <w:t>.</w:t>
      </w:r>
      <w:r>
        <w:t xml:space="preserve"> Comme il est traduit en grec par </w:t>
      </w:r>
      <w:r>
        <w:rPr>
          <w:i/>
        </w:rPr>
        <w:t>kurios,</w:t>
      </w:r>
      <w:r>
        <w:t xml:space="preserve"> qui signifie « Seigneur », beaucoup ont rendu Yahvé par « Seigneur ». Cependant, Adonaï</w:t>
      </w:r>
      <w:r>
        <w:rPr>
          <w:i/>
        </w:rPr>
        <w:t>,</w:t>
      </w:r>
      <w:r>
        <w:t xml:space="preserve"> qui est mieux traduit par « Seigneur », apparaît aux côtés de Yahvé dans divers cas. La Bible Crampon 1923, par exemple, utilise directement « Seigneur ». Une grande quantité de versions emploient le nom « L'Éternel » (BDS, NEG, S21) et d'autres choisissent de traduire à la fois Yahvé et Adonaï par « Seigneur » (NFC, NBS, TOB2010) . Souvent lorsque l'hébreu dit Yahvé, le mot Seigneur sera marqué en petites majuscules). « Jéhovah » a été jugé inacceptable comme façon de le translittérer. Ce nom est apparu en raison de la pratique juive de ne pas prononcer Yahvé à cause de </w:t>
      </w:r>
      <w:hyperlink r:id="rId3979">
        <w:r>
          <w:rPr>
            <w:color w:val="0000EE"/>
            <w:u w:val="single"/>
          </w:rPr>
          <w:t>Lévitique 24.16</w:t>
        </w:r>
      </w:hyperlink>
      <w:r>
        <w:t xml:space="preserve">, « </w:t>
      </w:r>
      <w:r>
        <w:t>Celui qui blasphémera le nom de [Yahvé] sera puni de mort</w:t>
      </w:r>
      <w:r>
        <w:t xml:space="preserve"> ». Cet avertissement contre un usage vain ou blasphématoire du nom a été pris au sens absolu, surtout après la déportation d'Israël (cf. </w:t>
      </w:r>
      <w:hyperlink r:id="rId3980">
        <w:r>
          <w:rPr>
            <w:color w:val="0000EE"/>
            <w:u w:val="single"/>
          </w:rPr>
          <w:t>Am 6.10</w:t>
        </w:r>
      </w:hyperlink>
      <w:r>
        <w:t>). Ainsi, lors de la lecture de l'Ancien Testament, les Juifs ont substitué soit Elohim soit Adonaï à Yahvé</w:t>
      </w:r>
      <w:r>
        <w:rPr>
          <w:i/>
        </w:rPr>
        <w:t>.</w:t>
      </w:r>
      <w:r>
        <w:t xml:space="preserve"> De là, la pratique d'ajouter les voyelles de Adonaï à YHWH (YeHoWaH) s'est établie.</w:t>
      </w:r>
    </w:p>
    <w:p>
      <w:r/>
      <w:r>
        <w:t>L'interprétation d'</w:t>
      </w:r>
      <w:hyperlink r:id="rId3981">
        <w:r>
          <w:rPr>
            <w:color w:val="0000EE"/>
            <w:u w:val="single"/>
          </w:rPr>
          <w:t>Exode 6.2–3</w:t>
        </w:r>
      </w:hyperlink>
      <w:r>
        <w:t xml:space="preserve"> a suscité beaucoup de débats. « </w:t>
      </w:r>
      <w:r>
        <w:t>Dieu parla encore à Moïse, et lui dit</w:t>
      </w:r>
      <w:r>
        <w:t xml:space="preserve"> </w:t>
      </w:r>
      <w:r>
        <w:t>: Je suis</w:t>
      </w:r>
      <w:r>
        <w:t xml:space="preserve"> [Yahvé]. </w:t>
      </w:r>
      <w:r>
        <w:t>Je suis apparu à Abraham, à Isaac et à Jacob, comme</w:t>
      </w:r>
      <w:r>
        <w:t xml:space="preserve"> [El-Shaddaï] </w:t>
      </w:r>
      <w:r>
        <w:t xml:space="preserve">; mais je n’ai pas été connu d’eux sous mon nom, </w:t>
      </w:r>
      <w:r>
        <w:t>[Yahvé]. » Ce passage a été compris comme signifiant que le nom Yahvé n'était pas connu ou utilisé avant l'époque de Moïse. Mais ce n'est pas ce que le passage déclare ; il dit plutôt que les patriarches ne connaissaient pas Dieu en tant que Yahvé, mais plutôt comme El-Shaddaï dans ses actes historiques réels par lesquels il s'est révélé. Ils n'avaient pas appris à connaître Dieu selon son caractère unique, c'est-à-dire en tant que Yahvé. En d'autres termes, Dieu avait toujours été Yahvé ; il dit à Moïse que les descendants des patriarches viendraient à connaître la signification pleine et riche du nom par la manière dont Dieu traiterait avec eux.</w:t>
      </w:r>
    </w:p>
    <w:p>
      <w:r/>
      <w:r>
        <w:t>Ce nom Yahvé révèle la nature de Dieu dans le sens le plus élevé et le plus complet possible. Il inclut, ou présuppose, la signification des autres noms. Yahvé souligne particulièrement la fidélité absolue de Dieu. Dieu avait promis aux patriarches qu'il serait leur Dieu, qu'il serait avec eux, les délivrerait et les bénirait, les garderait, et leur donnerait une terre comme lieu pour le servir et comme héritage. Moïse est informé par Dieu qu'Israël est sur le point de voir et d'expérimenter l'immutabilité de Dieu alors qu'il se souvient de sa parole de manière constante et merveilleuse et l'exécute au plus haut degré. Dieu prouverait être un Dieu marqué par la fidélité, la rédemption, le soutien et la restauration. En accomplissant cette rédemption, Dieu démontrerait qu'il est bien tout ce que son nom implique : miséricordieux, gracieux, patient, plein de bonté, véridique, fidèle, prêt à pardonner, juste et droit (</w:t>
      </w:r>
      <w:hyperlink r:id="rId3982">
        <w:r>
          <w:rPr>
            <w:color w:val="0000EE"/>
            <w:u w:val="single"/>
          </w:rPr>
          <w:t>Ex 34.5–6</w:t>
        </w:r>
      </w:hyperlink>
      <w:r>
        <w:t xml:space="preserve">). Jacob avait déjà reçu, en réalité, un aperçu de la signification du nom lorsqu'il s'était exclamé : « </w:t>
      </w:r>
      <w:r>
        <w:t>J’espère en ton secours, ô Éternel</w:t>
      </w:r>
      <w:r>
        <w:t xml:space="preserve"> ! » (</w:t>
      </w:r>
      <w:hyperlink r:id="rId3983">
        <w:r>
          <w:rPr>
            <w:color w:val="0000EE"/>
            <w:u w:val="single"/>
          </w:rPr>
          <w:t>Gn 49.18</w:t>
        </w:r>
      </w:hyperlink>
      <w:r>
        <w:t>)</w:t>
      </w:r>
    </w:p>
    <w:p>
      <w:r/>
      <w:r>
        <w:t>Yahvé est donc le nom par excellence du Dieu d'Israël. Identifié comme Yahvé</w:t>
      </w:r>
      <w:r>
        <w:rPr>
          <w:i/>
        </w:rPr>
        <w:t>,</w:t>
      </w:r>
      <w:r>
        <w:t xml:space="preserve"> il est un Dieu d'alliance fidèle qui, ayant donné sa parole d'amour et de vie, garde cette parole en accordant abondamment amour et vie aux siens.</w:t>
      </w:r>
    </w:p>
    <w:p>
      <w:r/>
      <w:r>
        <w:t>Compte tenu de la richesse du nom Yahvé</w:t>
      </w:r>
      <w:r>
        <w:rPr>
          <w:i/>
        </w:rPr>
        <w:t>,</w:t>
      </w:r>
      <w:r>
        <w:t xml:space="preserve"> on peut comprendre pourquoi il y avait des règles strictes concernant son bon usage (</w:t>
      </w:r>
      <w:hyperlink r:id="rId3984">
        <w:r>
          <w:rPr>
            <w:color w:val="0000EE"/>
            <w:u w:val="single"/>
          </w:rPr>
          <w:t>Lv 24.11, 16</w:t>
        </w:r>
      </w:hyperlink>
      <w:r>
        <w:t>). Cela explique également pourquoi les Israélites reconnaissants, joyeux et remplis d'adoration utilisaient la forme abrégée de Yahvé dans le chant lorsqu'ils chantaient Alléluia : « Louez Yah » (</w:t>
      </w:r>
      <w:hyperlink r:id="rId3985">
        <w:r>
          <w:rPr>
            <w:color w:val="0000EE"/>
            <w:u w:val="single"/>
          </w:rPr>
          <w:t>Ps 104.35</w:t>
        </w:r>
      </w:hyperlink>
      <w:r>
        <w:t xml:space="preserve"> ; </w:t>
      </w:r>
      <w:hyperlink r:id="rId3986">
        <w:r>
          <w:rPr>
            <w:color w:val="0000EE"/>
            <w:u w:val="single"/>
          </w:rPr>
          <w:t>106.1</w:t>
        </w:r>
      </w:hyperlink>
      <w:r>
        <w:t xml:space="preserve"> ; </w:t>
      </w:r>
      <w:hyperlink r:id="rId3987">
        <w:r>
          <w:rPr>
            <w:color w:val="0000EE"/>
            <w:u w:val="single"/>
          </w:rPr>
          <w:t>149.1</w:t>
        </w:r>
      </w:hyperlink>
      <w:r>
        <w:t xml:space="preserve"> ; </w:t>
      </w:r>
      <w:hyperlink r:id="rId3988">
        <w:r>
          <w:rPr>
            <w:color w:val="0000EE"/>
            <w:u w:val="single"/>
          </w:rPr>
          <w:t>150.1</w:t>
        </w:r>
      </w:hyperlink>
      <w:r>
        <w:t>).</w:t>
      </w:r>
    </w:p>
    <w:p>
      <w:r/>
      <w:r>
        <w:t xml:space="preserve">Yahvé est utilisé dans un certain nombre de phrases considérées comme des noms de Dieu ou des attributs prêtés à Dieu. Le plus courant de ces noms composés est Yahvé-Tsebaoth (ou Sabaoth) : « des armées ». Le mot « armées » est fréquemment utilisé dans le Pentateuque pour se référer aux armées d'Israël (cf. </w:t>
      </w:r>
      <w:hyperlink r:id="rId3989">
        <w:r>
          <w:rPr>
            <w:color w:val="0000EE"/>
            <w:u w:val="single"/>
          </w:rPr>
          <w:t>Nb 10.14–28</w:t>
        </w:r>
      </w:hyperlink>
      <w:r>
        <w:t xml:space="preserve">). Cela est dû au fait que le mot est dérivé du verbe </w:t>
      </w:r>
      <w:r>
        <w:rPr>
          <w:i/>
        </w:rPr>
        <w:t>saba’</w:t>
      </w:r>
      <w:r>
        <w:t xml:space="preserve">, qui signifie « faire la guerre ». Il signifie également « servir » dans certains contextes ; par exemple, </w:t>
      </w:r>
      <w:hyperlink r:id="rId3990">
        <w:r>
          <w:rPr>
            <w:color w:val="0000EE"/>
            <w:u w:val="single"/>
          </w:rPr>
          <w:t>Nombres 8.24</w:t>
        </w:r>
      </w:hyperlink>
      <w:r>
        <w:t xml:space="preserve"> fait clairement référence au service accompli dans le tabernacle. Le nom Tsebaoth apparaît pour la première fois dans </w:t>
      </w:r>
      <w:hyperlink r:id="rId3991">
        <w:r>
          <w:rPr>
            <w:color w:val="0000EE"/>
            <w:u w:val="single"/>
          </w:rPr>
          <w:t>Genèse 2.1</w:t>
        </w:r>
      </w:hyperlink>
      <w:r>
        <w:t xml:space="preserve">, où il se réfère aux nombreux composants de la terre et du ciel. Certains limiteraient la référence dans ces contextes aux étoiles. D'autres encore suggéreraient que le Tsebaoth se réfère aux anges, en se référant à </w:t>
      </w:r>
      <w:hyperlink r:id="rId3992">
        <w:r>
          <w:rPr>
            <w:color w:val="0000EE"/>
            <w:u w:val="single"/>
          </w:rPr>
          <w:t>Psaume 33.6</w:t>
        </w:r>
      </w:hyperlink>
      <w:r>
        <w:t xml:space="preserve"> pour confirmation.</w:t>
      </w:r>
    </w:p>
    <w:p>
      <w:r/>
      <w:r>
        <w:t xml:space="preserve">Le nom composé Yahvé-Tsebaoth apparaît pour la première fois dans </w:t>
      </w:r>
      <w:hyperlink r:id="rId3993">
        <w:r>
          <w:rPr>
            <w:color w:val="0000EE"/>
            <w:u w:val="single"/>
          </w:rPr>
          <w:t>1 Samuel 1.3</w:t>
        </w:r>
      </w:hyperlink>
      <w:r>
        <w:t>. Étant donné l'utilisation fréquente de Tsebaoth dans 1—2 Samuel pour désigner des armées (</w:t>
      </w:r>
      <w:hyperlink r:id="rId3994">
        <w:r>
          <w:rPr>
            <w:color w:val="0000EE"/>
            <w:u w:val="single"/>
          </w:rPr>
          <w:t>1S 12.9</w:t>
        </w:r>
      </w:hyperlink>
      <w:r>
        <w:t xml:space="preserve">; </w:t>
      </w:r>
      <w:hyperlink r:id="rId3995">
        <w:r>
          <w:rPr>
            <w:color w:val="0000EE"/>
            <w:u w:val="single"/>
          </w:rPr>
          <w:t>14.50</w:t>
        </w:r>
      </w:hyperlink>
      <w:r>
        <w:t xml:space="preserve">; </w:t>
      </w:r>
      <w:hyperlink r:id="rId3996">
        <w:r>
          <w:rPr>
            <w:color w:val="0000EE"/>
            <w:u w:val="single"/>
          </w:rPr>
          <w:t>17.55</w:t>
        </w:r>
      </w:hyperlink>
      <w:r>
        <w:t xml:space="preserve">; </w:t>
      </w:r>
      <w:hyperlink r:id="rId3997">
        <w:r>
          <w:rPr>
            <w:color w:val="0000EE"/>
            <w:u w:val="single"/>
          </w:rPr>
          <w:t>2S 2.8</w:t>
        </w:r>
      </w:hyperlink>
      <w:r>
        <w:t xml:space="preserve">; </w:t>
      </w:r>
      <w:hyperlink r:id="rId3998">
        <w:r>
          <w:rPr>
            <w:color w:val="0000EE"/>
            <w:u w:val="single"/>
          </w:rPr>
          <w:t>8.16</w:t>
        </w:r>
      </w:hyperlink>
      <w:r>
        <w:t xml:space="preserve">; </w:t>
      </w:r>
      <w:hyperlink r:id="rId3999">
        <w:r>
          <w:rPr>
            <w:color w:val="0000EE"/>
            <w:u w:val="single"/>
          </w:rPr>
          <w:t>10.16</w:t>
        </w:r>
      </w:hyperlink>
      <w:r>
        <w:t>), on pense que le nom composé se réfère à Yahvé comme le Dieu des armées, c'est-à-dire que Dieu a ses armées pour le servir. Celles-ci sont considérées comme des armées d'anges qui sont des serviteurs ministériels de Dieu. Il a été correctement souligné que le nom composé Yahvé-Tsebaoth est utilisé le plus fréquemment par les prophètes (Jérémie, 88 fois ; Zacharie, 55 fois ; Malachie, 25 fois ; Aggée, 14 fois) à des moments où le peuple de Dieu avait soit subi une défaite aux mains d'armées ennemies, soit était menacé de défaite. Par conséquent, le nom composé était utilisé pour leur rappeler que leur Dieu d'alliance avait de grandes armées pour combattre et œuvrer pour lui au nom de son peuple. Ainsi, bien que les armées d'Israël aient échoué, leur Dieu d'alliance était suffisant pour chaque circonstance possible. C'était à ce Yahvé-Tsebaoth que les commandants d'Israël devaient prêter allégeance (</w:t>
      </w:r>
      <w:hyperlink r:id="rId4000">
        <w:r>
          <w:rPr>
            <w:color w:val="0000EE"/>
            <w:u w:val="single"/>
          </w:rPr>
          <w:t>Jos 5.14–15</w:t>
        </w:r>
      </w:hyperlink>
      <w:r>
        <w:t>), et au nom duquel Israël était béni (</w:t>
      </w:r>
      <w:hyperlink r:id="rId4001">
        <w:r>
          <w:rPr>
            <w:color w:val="0000EE"/>
            <w:u w:val="single"/>
          </w:rPr>
          <w:t>2S 6.18</w:t>
        </w:r>
      </w:hyperlink>
      <w:r>
        <w:t>).</w:t>
      </w:r>
    </w:p>
    <w:p>
      <w:r/>
      <w:r>
        <w:t>Plusieurs autres noms composés apparaissent plus rarement :</w:t>
      </w:r>
    </w:p>
    <w:p>
      <w:r/>
      <w:r>
        <w:t>Yahvé-Nissi (</w:t>
      </w:r>
      <w:r>
        <w:rPr>
          <w:i/>
        </w:rPr>
        <w:t>nissi,</w:t>
      </w:r>
      <w:r>
        <w:t xml:space="preserve"> « mon étendard ») est le nom que Moïse a invoqué lorsqu'il a construit un autel célébrant la victoire que Dieu a donnée à Israël sur les Amalécites (</w:t>
      </w:r>
      <w:hyperlink r:id="rId1469">
        <w:r>
          <w:rPr>
            <w:color w:val="0000EE"/>
            <w:u w:val="single"/>
          </w:rPr>
          <w:t>Ex 17.15</w:t>
        </w:r>
      </w:hyperlink>
      <w:r>
        <w:t xml:space="preserve">). Ésaïe utilise le terme </w:t>
      </w:r>
      <w:r>
        <w:rPr>
          <w:i/>
        </w:rPr>
        <w:t>nissi</w:t>
      </w:r>
      <w:r>
        <w:t xml:space="preserve"> en parlant du Messie conquérant à venir (</w:t>
      </w:r>
      <w:hyperlink r:id="rId3730">
        <w:r>
          <w:rPr>
            <w:color w:val="0000EE"/>
            <w:u w:val="single"/>
          </w:rPr>
          <w:t>Es 11.10</w:t>
        </w:r>
      </w:hyperlink>
      <w:r>
        <w:t>).</w:t>
      </w:r>
    </w:p>
    <w:p>
      <w:r/>
      <w:r>
        <w:t>Yahvé-Rapha (</w:t>
      </w:r>
      <w:r>
        <w:rPr>
          <w:i/>
        </w:rPr>
        <w:t>rapha’,</w:t>
      </w:r>
      <w:r>
        <w:t xml:space="preserve"> « celui qui guérit ») apparaît dans </w:t>
      </w:r>
      <w:hyperlink r:id="rId4002">
        <w:r>
          <w:rPr>
            <w:color w:val="0000EE"/>
            <w:u w:val="single"/>
          </w:rPr>
          <w:t>Exode 15.26</w:t>
        </w:r>
      </w:hyperlink>
      <w:r>
        <w:t xml:space="preserve">, lorsqu'Israël est assuré que Dieu, celui qui les guérit, empêchera les maladies d'Égypte d'affecter Israël. Bien que le nom ne soit utilisé qu'une seule fois, Dieu était souvent invoqué et loué dans son action de guérison (par exemple, </w:t>
      </w:r>
      <w:hyperlink r:id="rId4003">
        <w:r>
          <w:rPr>
            <w:color w:val="0000EE"/>
            <w:u w:val="single"/>
          </w:rPr>
          <w:t>Ps 103.3</w:t>
        </w:r>
      </w:hyperlink>
      <w:r>
        <w:t xml:space="preserve"> ; </w:t>
      </w:r>
      <w:hyperlink r:id="rId4004">
        <w:r>
          <w:rPr>
            <w:color w:val="0000EE"/>
            <w:u w:val="single"/>
          </w:rPr>
          <w:t>Es 30.26</w:t>
        </w:r>
      </w:hyperlink>
      <w:r>
        <w:t xml:space="preserve"> ; </w:t>
      </w:r>
      <w:hyperlink r:id="rId4005">
        <w:r>
          <w:rPr>
            <w:color w:val="0000EE"/>
            <w:u w:val="single"/>
          </w:rPr>
          <w:t>Jr 6.14</w:t>
        </w:r>
      </w:hyperlink>
      <w:r>
        <w:t>).</w:t>
      </w:r>
    </w:p>
    <w:p>
      <w:r/>
      <w:r>
        <w:t>Yahvé-Rohi (</w:t>
      </w:r>
      <w:r>
        <w:rPr>
          <w:i/>
        </w:rPr>
        <w:t>ro‘i,</w:t>
      </w:r>
      <w:r>
        <w:t xml:space="preserve"> « mon berger ») apparaît dans </w:t>
      </w:r>
      <w:hyperlink r:id="rId1810">
        <w:r>
          <w:rPr>
            <w:color w:val="0000EE"/>
            <w:u w:val="single"/>
          </w:rPr>
          <w:t>Psaume 23.1</w:t>
        </w:r>
      </w:hyperlink>
      <w:r>
        <w:t xml:space="preserve">. Le concept de Yahvé comme berger est explicité dans </w:t>
      </w:r>
      <w:hyperlink r:id="rId4006">
        <w:r>
          <w:rPr>
            <w:color w:val="0000EE"/>
            <w:u w:val="single"/>
          </w:rPr>
          <w:t>Ézéchiel 34</w:t>
        </w:r>
      </w:hyperlink>
      <w:r>
        <w:t xml:space="preserve">. « </w:t>
      </w:r>
      <w:r>
        <w:t>C’est moi qui ferai paître mes brebis</w:t>
      </w:r>
      <w:r>
        <w:t xml:space="preserve"> » (v </w:t>
      </w:r>
      <w:hyperlink r:id="rId4007">
        <w:r>
          <w:rPr>
            <w:color w:val="0000EE"/>
            <w:u w:val="single"/>
          </w:rPr>
          <w:t>15</w:t>
        </w:r>
      </w:hyperlink>
      <w:r>
        <w:t>). Jésus a démontré la pleine signification de ce concept lorsqu'en tant que berger, il a donné sa vie pour ses brebis.</w:t>
      </w:r>
    </w:p>
    <w:p>
      <w:r/>
      <w:r>
        <w:t>Yahvé-Jireh (</w:t>
      </w:r>
      <w:r>
        <w:rPr>
          <w:i/>
        </w:rPr>
        <w:t>yir’eh,</w:t>
      </w:r>
      <w:r>
        <w:t xml:space="preserve"> « voir à l'avance » ou « fournir, pourvoir ») apparaît dans </w:t>
      </w:r>
      <w:hyperlink r:id="rId4008">
        <w:r>
          <w:rPr>
            <w:color w:val="0000EE"/>
            <w:u w:val="single"/>
          </w:rPr>
          <w:t>Genèse 22.14</w:t>
        </w:r>
      </w:hyperlink>
      <w:r>
        <w:t xml:space="preserve">. Abraham a donné ce nom à l'endroit où Dieu a fourni un substitut pour son fils Isaac, qu'Abraham devait offrir en sacrifice à Dieu. </w:t>
      </w:r>
    </w:p>
    <w:p>
      <w:r/>
      <w:r>
        <w:t>Yahvé-Shalom (shalom</w:t>
      </w:r>
      <w:r>
        <w:rPr>
          <w:i/>
        </w:rPr>
        <w:t>,</w:t>
      </w:r>
      <w:r>
        <w:t xml:space="preserve"> « paix ») est le nom que Gédéon a donné à l'autel qu'il a construit lorsque l'ange du Seigneur est venu lui donner des ordres pour combattre les Madianites (</w:t>
      </w:r>
      <w:hyperlink r:id="rId1477">
        <w:r>
          <w:rPr>
            <w:color w:val="0000EE"/>
            <w:u w:val="single"/>
          </w:rPr>
          <w:t>Jg 6.24</w:t>
        </w:r>
      </w:hyperlink>
      <w:r>
        <w:t>).</w:t>
      </w:r>
    </w:p>
    <w:p>
      <w:r/>
      <w:r>
        <w:t xml:space="preserve">Yahvé apparaît aux côtés de certaines formes du mot </w:t>
      </w:r>
      <w:r>
        <w:rPr>
          <w:i/>
        </w:rPr>
        <w:t>tsadaq</w:t>
      </w:r>
      <w:r>
        <w:t xml:space="preserve"> (« justice »). Yahvé est mentionné comme notre justice dans </w:t>
      </w:r>
      <w:hyperlink r:id="rId4009">
        <w:r>
          <w:rPr>
            <w:color w:val="0000EE"/>
            <w:u w:val="single"/>
          </w:rPr>
          <w:t>Jérémie 23.6</w:t>
        </w:r>
      </w:hyperlink>
      <w:r>
        <w:t xml:space="preserve"> ; l'idée est manifestement que la « germe juste » de David (le Messie) attribuera la justice de Dieu à ceux qui sont incorporés dans la nouvelle alliance. Ce concept est exprimé dans le Pentateuque à plusieurs reprises lorsqu'il est dit que Dieu a fourni un moyen de vivre justement ; c'est-à-dire que Dieu fournit un moyen de sanctification (cf. </w:t>
      </w:r>
      <w:hyperlink r:id="rId4010">
        <w:r>
          <w:rPr>
            <w:color w:val="0000EE"/>
            <w:u w:val="single"/>
          </w:rPr>
          <w:t>Lv 20.8</w:t>
        </w:r>
      </w:hyperlink>
      <w:r>
        <w:t xml:space="preserve"> ; </w:t>
      </w:r>
      <w:hyperlink r:id="rId4011">
        <w:r>
          <w:rPr>
            <w:color w:val="0000EE"/>
            <w:u w:val="single"/>
          </w:rPr>
          <w:t>22.9</w:t>
        </w:r>
      </w:hyperlink>
      <w:r>
        <w:t>).</w:t>
      </w:r>
    </w:p>
    <w:p>
      <w:r/>
      <w:r>
        <w:t xml:space="preserve">« Adonaï » comme nom pour Dieu apparaît environ 360 fois dans l'AT, bien qu'il ne soit pas utilisé de façon uniforme. Il est apparaît d'abord dans </w:t>
      </w:r>
      <w:hyperlink r:id="rId90">
        <w:r>
          <w:rPr>
            <w:color w:val="0000EE"/>
            <w:u w:val="single"/>
          </w:rPr>
          <w:t>Genèse 15.2</w:t>
        </w:r>
      </w:hyperlink>
      <w:r>
        <w:t xml:space="preserve"> et </w:t>
      </w:r>
      <w:hyperlink r:id="rId4012">
        <w:r>
          <w:rPr>
            <w:color w:val="0000EE"/>
            <w:u w:val="single"/>
          </w:rPr>
          <w:t>15.8</w:t>
        </w:r>
      </w:hyperlink>
      <w:r>
        <w:t>, lorsqu'Abram demande des informations plus précises concernant un fils et la Terre promise. Il n'apparaît que quatorze fois après cela dans le Pentateuque. Il apparaît à plusieurs reprises dans les Psaumes (plus de cinquante fois), et certains prophètes l'utilisent fréquemment (Ésaïe, 47 fois ; Jérémie, 29 fois ; Ézéchiel, plus de 150 fois ; et Amos, 27 fois).</w:t>
      </w:r>
    </w:p>
    <w:p>
      <w:r/>
      <w:r>
        <w:t xml:space="preserve">Le mot </w:t>
      </w:r>
      <w:r>
        <w:rPr>
          <w:i/>
        </w:rPr>
        <w:t>’adan,</w:t>
      </w:r>
      <w:r>
        <w:t xml:space="preserve"> signifiant « maître, souverain, propriétaire, Seigneur », est considéré comme la racine du nom </w:t>
      </w:r>
      <w:r>
        <w:rPr>
          <w:i/>
        </w:rPr>
        <w:t>’adon,</w:t>
      </w:r>
      <w:r>
        <w:t xml:space="preserve"> qui est fréquemment utilisé pour les hommes. Par exemple, dans la Genèse et 1—2 Samuel, le terme est souvent utilisé pour désigner des hommes qui possèdent des esclaves ou occupent des positions d'autorité. Adonaï est décrit, à raison, comme le nom de la communication personnelle entre le croyant et Dieu. Dans une telle communication, l'adorateur reconnaissait la majesté intense et la grandeur de Dieu ainsi que le sentiment d'appartenance à ce Dieu. Adonaï</w:t>
      </w:r>
      <w:r>
        <w:rPr>
          <w:i/>
        </w:rPr>
        <w:t>,</w:t>
      </w:r>
      <w:r>
        <w:t xml:space="preserve"> venant des lèvres humaines, exprimait l'honneur pour Dieu et la soumission humble de la part de la personne croyante. Adonaï</w:t>
      </w:r>
      <w:r>
        <w:rPr>
          <w:i/>
        </w:rPr>
        <w:t>,</w:t>
      </w:r>
      <w:r>
        <w:t xml:space="preserve"> ainsi, est le nom qui exprime la foi, l'assurance, la sécurité, le service et l'action de grâce (</w:t>
      </w:r>
      <w:hyperlink r:id="rId4013">
        <w:r>
          <w:rPr>
            <w:color w:val="0000EE"/>
            <w:u w:val="single"/>
          </w:rPr>
          <w:t>Ps 16.2</w:t>
        </w:r>
      </w:hyperlink>
      <w:r>
        <w:t xml:space="preserve">; </w:t>
      </w:r>
      <w:hyperlink r:id="rId4014">
        <w:r>
          <w:rPr>
            <w:color w:val="0000EE"/>
            <w:u w:val="single"/>
          </w:rPr>
          <w:t>57.9–10</w:t>
        </w:r>
      </w:hyperlink>
      <w:r>
        <w:t>).</w:t>
      </w:r>
    </w:p>
    <w:p>
      <w:pPr>
        <w:pStyle w:val="Heading4"/>
      </w:pPr>
      <w:r>
        <w:t>Combinaisons de noms de l'Ancien Testament</w:t>
      </w:r>
    </w:p>
    <w:p>
      <w:r/>
      <w:r>
        <w:t>Dans l'AT, les noms de Dieu sont parfois combinés. Elohim-Yahvé, Elohim-Yahvé-Adonaï et Elohim-Adonaï sont très courants, par exemple. Ces combinaisons visaient à exprimer la plénitude de l'être et du caractère de Dieu tels qu'ils avaient été révélés. Les noms de Dieu en combinaison avec « Israël » apparaissent également, par exemple, avec Yahvé-Dieu-Israël (</w:t>
      </w:r>
      <w:hyperlink r:id="rId4015">
        <w:r>
          <w:rPr>
            <w:color w:val="0000EE"/>
            <w:u w:val="single"/>
          </w:rPr>
          <w:t>Jg 5.3</w:t>
        </w:r>
      </w:hyperlink>
      <w:r>
        <w:t xml:space="preserve"> ; </w:t>
      </w:r>
      <w:hyperlink r:id="rId4016">
        <w:r>
          <w:rPr>
            <w:color w:val="0000EE"/>
            <w:u w:val="single"/>
          </w:rPr>
          <w:t>Es 17.6</w:t>
        </w:r>
      </w:hyperlink>
      <w:r>
        <w:t xml:space="preserve">). Dieu est également invoqué en relation avec Israël sans mentionner l'un de ses noms ; par exemple, </w:t>
      </w:r>
      <w:r>
        <w:rPr>
          <w:i/>
        </w:rPr>
        <w:t>Kedosh Yisrael</w:t>
      </w:r>
      <w:r>
        <w:t xml:space="preserve"> (« Saint d’Israël », </w:t>
      </w:r>
      <w:hyperlink r:id="rId4017">
        <w:r>
          <w:rPr>
            <w:color w:val="0000EE"/>
            <w:u w:val="single"/>
          </w:rPr>
          <w:t>Es 43.14</w:t>
        </w:r>
      </w:hyperlink>
      <w:r>
        <w:t xml:space="preserve">) et </w:t>
      </w:r>
      <w:r>
        <w:rPr>
          <w:i/>
        </w:rPr>
        <w:t>’Abir Yisrael</w:t>
      </w:r>
      <w:r>
        <w:t xml:space="preserve"> (« Puissant d’Israël », </w:t>
      </w:r>
      <w:hyperlink r:id="rId1809">
        <w:r>
          <w:rPr>
            <w:color w:val="0000EE"/>
            <w:u w:val="single"/>
          </w:rPr>
          <w:t>Gn 49.24</w:t>
        </w:r>
      </w:hyperlink>
      <w:r>
        <w:t xml:space="preserve"> ; </w:t>
      </w:r>
      <w:hyperlink r:id="rId4018">
        <w:r>
          <w:rPr>
            <w:color w:val="0000EE"/>
            <w:u w:val="single"/>
          </w:rPr>
          <w:t>Ps 132.2</w:t>
        </w:r>
      </w:hyperlink>
      <w:r>
        <w:t xml:space="preserve"> ; </w:t>
      </w:r>
      <w:hyperlink r:id="rId4019">
        <w:r>
          <w:rPr>
            <w:color w:val="0000EE"/>
            <w:u w:val="single"/>
          </w:rPr>
          <w:t>Es 49.26</w:t>
        </w:r>
      </w:hyperlink>
      <w:r>
        <w:t>). Par le biais de ces expressions, la relation d'alliance entre Dieu et son peuple était exprimée et le caractère immuable de Dieu était positivement reconnu.</w:t>
      </w:r>
    </w:p>
    <w:p>
      <w:pPr>
        <w:pStyle w:val="Heading4"/>
      </w:pPr>
      <w:r>
        <w:t>Noms personnels dans l'Ancien Testament</w:t>
      </w:r>
    </w:p>
    <w:p>
      <w:r/>
      <w:r>
        <w:t>Les noms personnels de Dieu sont Père, Fils et Saint-Esprit, ainsi que leurs variations.</w:t>
      </w:r>
    </w:p>
    <w:p>
      <w:r/>
      <w:r>
        <w:t xml:space="preserve">Le terme </w:t>
      </w:r>
      <w:r>
        <w:rPr>
          <w:i/>
        </w:rPr>
        <w:t>'Av</w:t>
      </w:r>
      <w:r>
        <w:t xml:space="preserve"> (« Père ») apparaît plus fréquemment dans la Genèse que dans tout autre livre, et dans le Pentateuque plus que dans toute autre division de l'Ancien Testament. Cependant, il n'est pas utilisé pour désigner Dieu, mais plutôt pour désigner celui qui a engendré des enfants (c'est-à-dire le parent masculin), le progéniteur, tête, chef de famille et dirigeant du groupe familial ou du clan. Il est souvent utilisé dans le sens de celui par qui Dieu a parlé, avec qui Dieu a traité, et par qui il a donné un riche héritage aux enfants et descendants des patriarches.</w:t>
      </w:r>
    </w:p>
    <w:p>
      <w:r/>
      <w:r>
        <w:t xml:space="preserve">Dans les livres poétiques, Dieu est désigné comme Père mais n'est pas directement nommé ainsi. Il est demandé à Job : « </w:t>
      </w:r>
      <w:r>
        <w:t>La pluie a-t-elle un père</w:t>
      </w:r>
      <w:r>
        <w:t xml:space="preserve"> ? » (</w:t>
      </w:r>
      <w:hyperlink r:id="rId4020">
        <w:r>
          <w:rPr>
            <w:color w:val="0000EE"/>
            <w:u w:val="single"/>
          </w:rPr>
          <w:t>Jb 38.28</w:t>
        </w:r>
      </w:hyperlink>
      <w:r>
        <w:t xml:space="preserve">). La référence est à Dieu en tant que créateur, source et contrôleur de la pluie. Dans </w:t>
      </w:r>
      <w:hyperlink r:id="rId4021">
        <w:r>
          <w:rPr>
            <w:color w:val="0000EE"/>
            <w:u w:val="single"/>
          </w:rPr>
          <w:t>Psaume 68.5</w:t>
        </w:r>
      </w:hyperlink>
      <w:r>
        <w:t xml:space="preserve">, Dieu dans sa demeure sainte est le « père des orphelins » ; la phrase parallèle, « </w:t>
      </w:r>
      <w:r>
        <w:t>le défenseur des veuves</w:t>
      </w:r>
      <w:r>
        <w:t xml:space="preserve"> », en indique le sens. </w:t>
      </w:r>
      <w:hyperlink r:id="rId4022">
        <w:r>
          <w:rPr>
            <w:color w:val="0000EE"/>
            <w:u w:val="single"/>
          </w:rPr>
          <w:t>Psaume 89.26</w:t>
        </w:r>
      </w:hyperlink>
      <w:r>
        <w:t xml:space="preserve"> dit que David criera à Dieu, « Tu es mon père », et les parallèles utilisent les termes « Dieu » et « le rocher de mon salut ». L'idée ici est celle de Dieu en tant que Créateur et Sauveur qui a élevé, délivré et protégé David. Dans </w:t>
      </w:r>
      <w:hyperlink r:id="rId4023">
        <w:r>
          <w:rPr>
            <w:color w:val="0000EE"/>
            <w:u w:val="single"/>
          </w:rPr>
          <w:t>Psaume 103.13</w:t>
        </w:r>
      </w:hyperlink>
      <w:r>
        <w:t>, « père » est utilisé par analogie : « Comme un Père a compassion de ses enfants... »</w:t>
      </w:r>
    </w:p>
    <w:p>
      <w:r/>
      <w:r>
        <w:t>Ésaïe utilise le terme « père » en relation avec Dieu quatre fois. Trois fois, il se réfère à celui qui a fait, sauvé, formé, gardé et dirigé Israël (</w:t>
      </w:r>
      <w:hyperlink r:id="rId4024">
        <w:r>
          <w:rPr>
            <w:color w:val="0000EE"/>
            <w:u w:val="single"/>
          </w:rPr>
          <w:t>Es 63.16</w:t>
        </w:r>
      </w:hyperlink>
      <w:r>
        <w:t xml:space="preserve"> ; </w:t>
      </w:r>
      <w:hyperlink r:id="rId4025">
        <w:r>
          <w:rPr>
            <w:color w:val="0000EE"/>
            <w:u w:val="single"/>
          </w:rPr>
          <w:t>64.8</w:t>
        </w:r>
      </w:hyperlink>
      <w:r>
        <w:t>). Ésaïe dit que l'enfant promis doit être nommé Père éternel (</w:t>
      </w:r>
      <w:hyperlink r:id="rId3969">
        <w:r>
          <w:rPr>
            <w:color w:val="0000EE"/>
            <w:u w:val="single"/>
          </w:rPr>
          <w:t>9.6</w:t>
        </w:r>
      </w:hyperlink>
      <w:r>
        <w:t xml:space="preserve">). Utilisé dans ce sens, le terme établit l'égalité du Fils avec le Père en stature, fonction, capacité et responsabilité. Jérémie se réfère également à Dieu comme père dans </w:t>
      </w:r>
      <w:hyperlink r:id="rId4026">
        <w:r>
          <w:rPr>
            <w:color w:val="0000EE"/>
            <w:u w:val="single"/>
          </w:rPr>
          <w:t>Jérémie 3.4, 19</w:t>
        </w:r>
      </w:hyperlink>
      <w:r>
        <w:t xml:space="preserve">, le signifiant comme origine, gardien et ami de son peuple Israël. </w:t>
      </w:r>
      <w:hyperlink r:id="rId4027">
        <w:r>
          <w:rPr>
            <w:color w:val="0000EE"/>
            <w:u w:val="single"/>
          </w:rPr>
          <w:t>Malachie 1.6</w:t>
        </w:r>
      </w:hyperlink>
      <w:r>
        <w:t xml:space="preserve"> et </w:t>
      </w:r>
      <w:hyperlink r:id="rId4028">
        <w:r>
          <w:rPr>
            <w:color w:val="0000EE"/>
            <w:u w:val="single"/>
          </w:rPr>
          <w:t>2.10</w:t>
        </w:r>
      </w:hyperlink>
      <w:r>
        <w:t xml:space="preserve"> parlent de Dieu comme du parent qui mérite l'honneur de ses enfants et comme l'origine et le souverain de tous les peuples.</w:t>
      </w:r>
    </w:p>
    <w:p>
      <w:r/>
      <w:r>
        <w:t>Le terme « fils » est l'un des termes les plus utilisés dans l'Ancien Testament ; il apparaît couramment dans le sens de progéniture et de descendant. Il est également employé dans le sens de disciple ou de successeur. Il existe quelques références indirectes à la deuxième personne de la Trinité.</w:t>
      </w:r>
    </w:p>
    <w:p>
      <w:r/>
      <w:r>
        <w:t xml:space="preserve">Le </w:t>
      </w:r>
      <w:hyperlink r:id="rId4029">
        <w:r>
          <w:rPr>
            <w:color w:val="0000EE"/>
            <w:u w:val="single"/>
          </w:rPr>
          <w:t>Psaume 2</w:t>
        </w:r>
      </w:hyperlink>
      <w:r>
        <w:t xml:space="preserve"> (un psaume messianique) contient une telle référence : « Tu es mon fils ! » (v </w:t>
      </w:r>
      <w:hyperlink r:id="rId979">
        <w:r>
          <w:rPr>
            <w:color w:val="0000EE"/>
            <w:u w:val="single"/>
          </w:rPr>
          <w:t>7</w:t>
        </w:r>
      </w:hyperlink>
      <w:r>
        <w:t>) Cela est dit dans le contexte du roi qui s'adresse à celui qui règne et doit régner avec et sous le souverain. La référence immédiate peut être au roi théocratique ; cependant, la référence est révélée dans le NT comme étant la deuxième personne de la Trinité (</w:t>
      </w:r>
      <w:hyperlink r:id="rId2526">
        <w:r>
          <w:rPr>
            <w:color w:val="0000EE"/>
            <w:u w:val="single"/>
          </w:rPr>
          <w:t>Ac 13.33</w:t>
        </w:r>
      </w:hyperlink>
      <w:r>
        <w:t>). Ainsi, le terme « fils » est appliqué au Messie promis qui est présenté comme le souverain divin et juge des nations. Le Fils est perçu comme étant égal au Père en divinité et en fonction. Tous les experts bibliques n'acceptent pas cette interprétation, mais un soutien se trouve dans des passages du NT tels qu'</w:t>
      </w:r>
      <w:hyperlink r:id="rId4030">
        <w:r>
          <w:rPr>
            <w:color w:val="0000EE"/>
            <w:u w:val="single"/>
          </w:rPr>
          <w:t>Hébreux 1.8</w:t>
        </w:r>
      </w:hyperlink>
      <w:r>
        <w:t xml:space="preserve"> qui cite </w:t>
      </w:r>
      <w:hyperlink r:id="rId4031">
        <w:r>
          <w:rPr>
            <w:color w:val="0000EE"/>
            <w:u w:val="single"/>
          </w:rPr>
          <w:t>Psaume 45.6</w:t>
        </w:r>
      </w:hyperlink>
      <w:r>
        <w:t>. Comme mentionné ci-dessus, Ésaïe parle du fils qui doit être donné (</w:t>
      </w:r>
      <w:hyperlink r:id="rId3969">
        <w:r>
          <w:rPr>
            <w:color w:val="0000EE"/>
            <w:u w:val="single"/>
          </w:rPr>
          <w:t>Es 9.6</w:t>
        </w:r>
      </w:hyperlink>
      <w:r>
        <w:t>), celui qui naît de la vierge (</w:t>
      </w:r>
      <w:hyperlink r:id="rId4032">
        <w:r>
          <w:rPr>
            <w:color w:val="0000EE"/>
            <w:u w:val="single"/>
          </w:rPr>
          <w:t>7.14</w:t>
        </w:r>
      </w:hyperlink>
      <w:r>
        <w:t>), qui est Emmanuel, Dieu puissant, Père éternel, Prince de la paix.</w:t>
      </w:r>
    </w:p>
    <w:p>
      <w:r/>
      <w:r>
        <w:t>Le nom « Saint-Esprit » apparaît seulement quelques fois dans l'Ancien Testament. L'Esprit est souvent mentionné par des termes et expressions tels que « l'esprit de Dieu » (</w:t>
      </w:r>
      <w:hyperlink r:id="rId46">
        <w:r>
          <w:rPr>
            <w:color w:val="0000EE"/>
            <w:u w:val="single"/>
          </w:rPr>
          <w:t>Gn 1.2</w:t>
        </w:r>
      </w:hyperlink>
      <w:r>
        <w:t xml:space="preserve">), « </w:t>
      </w:r>
      <w:r>
        <w:t>L’esprit du Seigneur, l’Éternel</w:t>
      </w:r>
      <w:r>
        <w:t xml:space="preserve"> » (</w:t>
      </w:r>
      <w:hyperlink r:id="rId4033">
        <w:r>
          <w:rPr>
            <w:color w:val="0000EE"/>
            <w:u w:val="single"/>
          </w:rPr>
          <w:t>Es 61.1</w:t>
        </w:r>
      </w:hyperlink>
      <w:r>
        <w:t>), « l'esprit du Seigneur » (</w:t>
      </w:r>
      <w:hyperlink r:id="rId4034">
        <w:r>
          <w:rPr>
            <w:color w:val="0000EE"/>
            <w:u w:val="single"/>
          </w:rPr>
          <w:t>Ez 37.1</w:t>
        </w:r>
      </w:hyperlink>
      <w:r>
        <w:t>, TOB2010) « l'esprit » (</w:t>
      </w:r>
      <w:hyperlink r:id="rId4035">
        <w:r>
          <w:rPr>
            <w:color w:val="0000EE"/>
            <w:u w:val="single"/>
          </w:rPr>
          <w:t>Nb 11.17</w:t>
        </w:r>
      </w:hyperlink>
      <w:r>
        <w:t xml:space="preserve">; </w:t>
      </w:r>
      <w:hyperlink r:id="rId4036">
        <w:r>
          <w:rPr>
            <w:color w:val="0000EE"/>
            <w:u w:val="single"/>
          </w:rPr>
          <w:t>27.18</w:t>
        </w:r>
      </w:hyperlink>
      <w:r>
        <w:t>), « mon esprit » (</w:t>
      </w:r>
      <w:hyperlink r:id="rId2286">
        <w:r>
          <w:rPr>
            <w:color w:val="0000EE"/>
            <w:u w:val="single"/>
          </w:rPr>
          <w:t>Gn 6.3</w:t>
        </w:r>
      </w:hyperlink>
      <w:r>
        <w:t>), et « ton esprit saint » (</w:t>
      </w:r>
      <w:hyperlink r:id="rId4037">
        <w:r>
          <w:rPr>
            <w:color w:val="0000EE"/>
            <w:u w:val="single"/>
          </w:rPr>
          <w:t>Ps 51.11</w:t>
        </w:r>
      </w:hyperlink>
      <w:r>
        <w:t>). Bien que le caractère de l'Esprit ne soit pas aussi clairement développé dans l'Ancien Testament que dans le Nouveau Testament, on peut affirmer sans risque que la relation postulée entre Dieu et l'Esprit est telle qu'il ne fait aucun doute que l'Ancien Testament enseigne la divinité de l'Esprit. Le caractère et la fonction de l'Esprit sont évoqués notamment en relation avec l'œuvre de la création (</w:t>
      </w:r>
      <w:hyperlink r:id="rId46">
        <w:r>
          <w:rPr>
            <w:color w:val="0000EE"/>
            <w:u w:val="single"/>
          </w:rPr>
          <w:t>Gn 1.2</w:t>
        </w:r>
      </w:hyperlink>
      <w:r>
        <w:t xml:space="preserve">; </w:t>
      </w:r>
      <w:hyperlink r:id="rId3992">
        <w:r>
          <w:rPr>
            <w:color w:val="0000EE"/>
            <w:u w:val="single"/>
          </w:rPr>
          <w:t>Ps 33.6</w:t>
        </w:r>
      </w:hyperlink>
      <w:r>
        <w:t>; etc.) et l'équipement des serviteurs pour le service de Dieu ; par exemple, l'artisanat (</w:t>
      </w:r>
      <w:hyperlink r:id="rId4038">
        <w:r>
          <w:rPr>
            <w:color w:val="0000EE"/>
            <w:u w:val="single"/>
          </w:rPr>
          <w:t>Ex 35.31</w:t>
        </w:r>
      </w:hyperlink>
      <w:r>
        <w:t>), le leadership (</w:t>
      </w:r>
      <w:hyperlink r:id="rId4035">
        <w:r>
          <w:rPr>
            <w:color w:val="0000EE"/>
            <w:u w:val="single"/>
          </w:rPr>
          <w:t>Nb 11.17</w:t>
        </w:r>
      </w:hyperlink>
      <w:r>
        <w:t xml:space="preserve">; </w:t>
      </w:r>
      <w:hyperlink r:id="rId4036">
        <w:r>
          <w:rPr>
            <w:color w:val="0000EE"/>
            <w:u w:val="single"/>
          </w:rPr>
          <w:t>27.18</w:t>
        </w:r>
      </w:hyperlink>
      <w:r>
        <w:t>), et la prophétie (</w:t>
      </w:r>
      <w:hyperlink r:id="rId4039">
        <w:r>
          <w:rPr>
            <w:color w:val="0000EE"/>
            <w:u w:val="single"/>
          </w:rPr>
          <w:t>1S 10.6</w:t>
        </w:r>
      </w:hyperlink>
      <w:r>
        <w:t xml:space="preserve">; </w:t>
      </w:r>
      <w:hyperlink r:id="rId4040">
        <w:r>
          <w:rPr>
            <w:color w:val="0000EE"/>
            <w:u w:val="single"/>
          </w:rPr>
          <w:t>2S 23.2</w:t>
        </w:r>
      </w:hyperlink>
      <w:r>
        <w:t xml:space="preserve">; </w:t>
      </w:r>
      <w:hyperlink r:id="rId4041">
        <w:r>
          <w:rPr>
            <w:color w:val="0000EE"/>
            <w:u w:val="single"/>
          </w:rPr>
          <w:t>2Ch 15.1</w:t>
        </w:r>
      </w:hyperlink>
      <w:r>
        <w:t xml:space="preserve">; </w:t>
      </w:r>
      <w:hyperlink r:id="rId4042">
        <w:r>
          <w:rPr>
            <w:color w:val="0000EE"/>
            <w:u w:val="single"/>
          </w:rPr>
          <w:t>Ez 11.5</w:t>
        </w:r>
      </w:hyperlink>
      <w:r>
        <w:t>).</w:t>
      </w:r>
    </w:p>
    <w:p>
      <w:pPr>
        <w:pStyle w:val="Heading3"/>
      </w:pPr>
      <w:r>
        <w:t>Les Noms de Dieu dans le Nouveau Testament</w:t>
      </w:r>
    </w:p>
    <w:p>
      <w:pPr>
        <w:pStyle w:val="Heading4"/>
      </w:pPr>
      <w:r>
        <w:t>Noms Propres de Dieu</w:t>
      </w:r>
    </w:p>
    <w:p>
      <w:r/>
      <w:r>
        <w:rPr>
          <w:i/>
        </w:rPr>
        <w:t>Theos</w:t>
      </w:r>
      <w:r>
        <w:t xml:space="preserve"> est l'équivalent dans le NT des noms de l'AT El et Elohim ; </w:t>
      </w:r>
      <w:r>
        <w:rPr>
          <w:i/>
        </w:rPr>
        <w:t>Elyon</w:t>
      </w:r>
      <w:r>
        <w:t xml:space="preserve"> apparaît dans le NT comme </w:t>
      </w:r>
      <w:r>
        <w:rPr>
          <w:i/>
        </w:rPr>
        <w:t xml:space="preserve">Hupsistos </w:t>
      </w:r>
      <w:r>
        <w:t>(« le Très-Haut ») (</w:t>
      </w:r>
      <w:hyperlink r:id="rId4043">
        <w:r>
          <w:rPr>
            <w:color w:val="0000EE"/>
            <w:u w:val="single"/>
          </w:rPr>
          <w:t>Mc 5.7</w:t>
        </w:r>
      </w:hyperlink>
      <w:r>
        <w:t xml:space="preserve"> ; </w:t>
      </w:r>
      <w:hyperlink r:id="rId4044">
        <w:r>
          <w:rPr>
            <w:color w:val="0000EE"/>
            <w:u w:val="single"/>
          </w:rPr>
          <w:t>Lc 1.32, 76</w:t>
        </w:r>
      </w:hyperlink>
      <w:r>
        <w:t xml:space="preserve">). </w:t>
      </w:r>
      <w:r>
        <w:rPr>
          <w:i/>
        </w:rPr>
        <w:t>Pantokrator</w:t>
      </w:r>
      <w:r>
        <w:t xml:space="preserve"> (El-Shaddaï) apparaît avec </w:t>
      </w:r>
      <w:r>
        <w:rPr>
          <w:i/>
        </w:rPr>
        <w:t>Theos</w:t>
      </w:r>
      <w:r>
        <w:t xml:space="preserve"> (</w:t>
      </w:r>
      <w:hyperlink r:id="rId4045">
        <w:r>
          <w:rPr>
            <w:color w:val="0000EE"/>
            <w:u w:val="single"/>
          </w:rPr>
          <w:t>2Co 6.18</w:t>
        </w:r>
      </w:hyperlink>
      <w:r>
        <w:t xml:space="preserve"> ; </w:t>
      </w:r>
      <w:hyperlink r:id="rId4046">
        <w:r>
          <w:rPr>
            <w:color w:val="0000EE"/>
            <w:u w:val="single"/>
          </w:rPr>
          <w:t>Ap 16.7</w:t>
        </w:r>
      </w:hyperlink>
      <w:r>
        <w:t xml:space="preserve">). Ce nom était utilisé non seulement pour exprimer la transcendance, la puissance, la souveraineté et la seigneurie de Dieu, mais aussi pour indiquer que Dieu entretient une relation étroite avec son peuple. Ce fait est établi par l'utilisation très fréquente de pronoms personnels avec </w:t>
      </w:r>
      <w:r>
        <w:rPr>
          <w:i/>
        </w:rPr>
        <w:t>Theos.</w:t>
      </w:r>
      <w:r>
        <w:t xml:space="preserve"> Le nom </w:t>
      </w:r>
      <w:r>
        <w:rPr>
          <w:i/>
        </w:rPr>
        <w:t>Theos</w:t>
      </w:r>
      <w:r>
        <w:t xml:space="preserve"> apparaît plus de mille fois dans le NT.</w:t>
      </w:r>
    </w:p>
    <w:p>
      <w:r/>
      <w:r>
        <w:rPr>
          <w:i/>
        </w:rPr>
        <w:t>Kurios</w:t>
      </w:r>
      <w:r>
        <w:t xml:space="preserve">, « Seigneur », est utilisé pour exprimer les noms de l'Ancien Testament Yahvé et </w:t>
      </w:r>
      <w:r>
        <w:rPr>
          <w:i/>
        </w:rPr>
        <w:t>Adonaï</w:t>
      </w:r>
      <w:r>
        <w:t xml:space="preserve"> dans la Septante, et le Nouveau Testament le suit. </w:t>
      </w:r>
      <w:r>
        <w:rPr>
          <w:i/>
        </w:rPr>
        <w:t>Kurios</w:t>
      </w:r>
      <w:r>
        <w:t xml:space="preserve"> signifie surtout « pouvoir ». Ainsi, le sens n'est pas le même qu'avec Yahvé. Cependant, le Nouveau Testament donne à </w:t>
      </w:r>
      <w:r>
        <w:rPr>
          <w:i/>
        </w:rPr>
        <w:t>kurios</w:t>
      </w:r>
      <w:r>
        <w:t xml:space="preserve"> le plein poids de signification que l'Ancien Testament donnait à Yahvé</w:t>
      </w:r>
      <w:r>
        <w:rPr>
          <w:i/>
        </w:rPr>
        <w:t>,</w:t>
      </w:r>
      <w:r>
        <w:t xml:space="preserve"> surtout lorsqu'il est utilisé pour Jésus-Christ (cf. </w:t>
      </w:r>
      <w:hyperlink r:id="rId2516">
        <w:r>
          <w:rPr>
            <w:color w:val="0000EE"/>
            <w:u w:val="single"/>
          </w:rPr>
          <w:t>Ac 2.36</w:t>
        </w:r>
      </w:hyperlink>
      <w:r>
        <w:t xml:space="preserve"> ; </w:t>
      </w:r>
      <w:hyperlink r:id="rId1336">
        <w:r>
          <w:rPr>
            <w:color w:val="0000EE"/>
            <w:u w:val="single"/>
          </w:rPr>
          <w:t>Ph 2.9–11</w:t>
        </w:r>
      </w:hyperlink>
      <w:r>
        <w:t xml:space="preserve"> ; etc.)</w:t>
      </w:r>
    </w:p>
    <w:p>
      <w:r/>
      <w:r>
        <w:rPr>
          <w:i/>
        </w:rPr>
        <w:t>Despotes</w:t>
      </w:r>
      <w:r>
        <w:t xml:space="preserve"> est utilisé cinq fois pour Dieu ou Jésus dans le NT (</w:t>
      </w:r>
      <w:hyperlink r:id="rId4047">
        <w:r>
          <w:rPr>
            <w:color w:val="0000EE"/>
            <w:u w:val="single"/>
          </w:rPr>
          <w:t>Lc 2.29</w:t>
        </w:r>
      </w:hyperlink>
      <w:r>
        <w:t xml:space="preserve"> ; </w:t>
      </w:r>
      <w:hyperlink r:id="rId4048">
        <w:r>
          <w:rPr>
            <w:color w:val="0000EE"/>
            <w:u w:val="single"/>
          </w:rPr>
          <w:t>Ac 4.24</w:t>
        </w:r>
      </w:hyperlink>
      <w:r>
        <w:t xml:space="preserve"> ; </w:t>
      </w:r>
      <w:hyperlink r:id="rId944">
        <w:r>
          <w:rPr>
            <w:color w:val="0000EE"/>
            <w:u w:val="single"/>
          </w:rPr>
          <w:t>2P 2.11</w:t>
        </w:r>
      </w:hyperlink>
      <w:r>
        <w:t xml:space="preserve"> ; </w:t>
      </w:r>
      <w:hyperlink r:id="rId4049">
        <w:r>
          <w:rPr>
            <w:color w:val="0000EE"/>
            <w:u w:val="single"/>
          </w:rPr>
          <w:t>Jude 1.4</w:t>
        </w:r>
      </w:hyperlink>
      <w:r>
        <w:t xml:space="preserve"> ; </w:t>
      </w:r>
      <w:hyperlink r:id="rId4050">
        <w:r>
          <w:rPr>
            <w:color w:val="0000EE"/>
            <w:u w:val="single"/>
          </w:rPr>
          <w:t>Ap 6.10</w:t>
        </w:r>
      </w:hyperlink>
      <w:r>
        <w:t>). Il exprime l'idée d'autorité. L'idée de brutalité véhiculée par le concept moderne de « despote » est absente de l'usage dans le NT, même lorsqu'il est appliqué aux hommes, où sa pensée centrale est la propriété (</w:t>
      </w:r>
      <w:hyperlink r:id="rId4051">
        <w:r>
          <w:rPr>
            <w:color w:val="0000EE"/>
            <w:u w:val="single"/>
          </w:rPr>
          <w:t>2Tm 2.21</w:t>
        </w:r>
      </w:hyperlink>
      <w:r>
        <w:t>).</w:t>
      </w:r>
    </w:p>
    <w:p>
      <w:pPr>
        <w:pStyle w:val="Heading4"/>
      </w:pPr>
      <w:r>
        <w:t>Noms personnels de Dieu</w:t>
      </w:r>
    </w:p>
    <w:p>
      <w:r/>
      <w:r>
        <w:t>Dans la formule baptismale, qui fait partie dun Grand Mandat (</w:t>
      </w:r>
      <w:hyperlink r:id="rId411">
        <w:r>
          <w:rPr>
            <w:color w:val="0000EE"/>
            <w:u w:val="single"/>
          </w:rPr>
          <w:t>Mt 28.19–20</w:t>
        </w:r>
      </w:hyperlink>
      <w:r>
        <w:t>), les trois noms personnels de Dieu apparaissent : Père, Fils et Saint-Esprit. Ces noms portent la signification de l'AT, mais puisque la relation des trois personnes est explicitée, la signification des noms dans le NT est enrichie.</w:t>
      </w:r>
    </w:p>
    <w:p>
      <w:r/>
      <w:r>
        <w:t>« Jésus » est le nom personnel du Fils, la deuxième personne de la Trinité divine. Ce nom signifie « sauveur » (</w:t>
      </w:r>
      <w:hyperlink r:id="rId3936">
        <w:r>
          <w:rPr>
            <w:color w:val="0000EE"/>
            <w:u w:val="single"/>
          </w:rPr>
          <w:t>Mt 1.21</w:t>
        </w:r>
      </w:hyperlink>
      <w:r>
        <w:t>). La racine de ce nom, « sauver », a donné naissance à des prénoms tels que Josué et Osée. Le sens fondamental de la racine dans l'Ancien Testament est « amener dans un lieu sûr et spacieux ». Josué, en amenant Israël en Canaan, a personnellement accompli ce que son nom signifiait. L'explication du Nouveau Testament (« sauver du péché ») n'est pas contraire au sens de l'Ancien Testament. Être sauvé du péché, c'est être rétabli dans la communion avec Dieu et entrer dans la félicité du royaume céleste.</w:t>
      </w:r>
    </w:p>
    <w:p>
      <w:r/>
      <w:r>
        <w:rPr>
          <w:i/>
        </w:rPr>
        <w:t>Voir aussi</w:t>
      </w:r>
      <w:r>
        <w:t xml:space="preserve"> </w:t>
      </w:r>
      <w:r>
        <w:t>Christologie</w:t>
      </w:r>
      <w:r>
        <w:t xml:space="preserve"> ; </w:t>
      </w:r>
      <w:r>
        <w:t>Dieu, Être et Attributs de</w:t>
      </w:r>
      <w:r>
        <w:t xml:space="preserve"> ; </w:t>
      </w:r>
      <w:r>
        <w:t>Saint-Esprit</w:t>
      </w:r>
      <w:r>
        <w:t xml:space="preserve"> ; </w:t>
      </w:r>
      <w:r>
        <w:t>Jésus-Christ, Vie et Enseignements de</w:t>
      </w:r>
      <w:r>
        <w:t xml:space="preserve"> ; </w:t>
      </w:r>
      <w:r>
        <w:t>Messie</w:t>
      </w:r>
      <w:r>
        <w:t xml:space="preserve"> ; </w:t>
      </w:r>
      <w:r>
        <w:t>Noms, Signification de</w:t>
      </w:r>
      <w:r>
        <w:t>.</w:t>
      </w:r>
      <w:r/>
      <w:r/>
    </w:p>
    <w:p>
      <w:r/>
    </w:p>
    <w:p>
      <w:pPr>
        <w:pStyle w:val="Heading2"/>
      </w:pPr>
      <w:r>
        <w:t>dieux et déesses</w:t>
      </w:r>
      <w:r/>
    </w:p>
    <w:p>
      <w:r/>
      <w:r>
        <w:t>Dans les croyances de nombreux peuples, les dieux et les déesses sont des êtres surpuissants qui ont pouvoir sur la nature, la vie ou l'univers. Certains sont représentés comme étant masculins (les dieux) et d'autres comme étant féminines (les déesses). Dans l'Antiquité, la majorité des peuples adoraient des dieux et des déesses (</w:t>
      </w:r>
      <w:hyperlink r:id="rId1109">
        <w:r>
          <w:rPr>
            <w:color w:val="0000EE"/>
            <w:u w:val="single"/>
          </w:rPr>
          <w:t>Jr 10.11</w:t>
        </w:r>
      </w:hyperlink>
      <w:r>
        <w:t>). Cependant, la Bible indique clairement qu'il n'y a qu'un seul vrai Dieu (</w:t>
      </w:r>
      <w:hyperlink r:id="rId4052">
        <w:r>
          <w:rPr>
            <w:color w:val="0000EE"/>
            <w:u w:val="single"/>
          </w:rPr>
          <w:t>Es 45.18, 21</w:t>
        </w:r>
      </w:hyperlink>
      <w:r>
        <w:t>–</w:t>
      </w:r>
      <w:hyperlink r:id="rId4052">
        <w:r>
          <w:rPr>
            <w:color w:val="0000EE"/>
            <w:u w:val="single"/>
          </w:rPr>
          <w:t>22</w:t>
        </w:r>
      </w:hyperlink>
      <w:r>
        <w:t xml:space="preserve"> ; </w:t>
      </w:r>
      <w:hyperlink r:id="rId4053">
        <w:r>
          <w:rPr>
            <w:color w:val="0000EE"/>
            <w:u w:val="single"/>
          </w:rPr>
          <w:t>Mc 12.32</w:t>
        </w:r>
      </w:hyperlink>
      <w:r>
        <w:t>). Malgré cela, de nombreuses nations ont inventé des divinités et les ont adorées. Dans la plupart des cas, ces nations adoraient de multiples dieux et déesses. Beaucoup de ces « dieux étrangers » (</w:t>
      </w:r>
      <w:hyperlink r:id="rId4054">
        <w:r>
          <w:rPr>
            <w:color w:val="0000EE"/>
            <w:u w:val="single"/>
          </w:rPr>
          <w:t>1S 7.3</w:t>
        </w:r>
      </w:hyperlink>
      <w:r>
        <w:t xml:space="preserve">) sont mentionnés dans la Bible, qui indique souvent quel peuple adorait quelles divinités. </w:t>
      </w:r>
    </w:p>
    <w:p>
      <w:pPr>
        <w:pStyle w:val="Heading3"/>
      </w:pPr>
      <w:r>
        <w:t>Dieux et déesses mentionnés dans l'Ancien Testament</w:t>
      </w:r>
    </w:p>
    <w:p>
      <w:r/>
      <w:r>
        <w:t>Le plus grand nombre de divinités mentionnées dans l'AT étaient adorées en Mésopotamie. Voici les dieux et déesses mésopotamiens que la Bible mentionne :</w:t>
      </w:r>
    </w:p>
    <w:p>
      <w:pPr>
        <w:pStyle w:val="ListBullet"/>
        <w:spacing w:line="240" w:lineRule="auto"/>
        <w:ind w:left="720"/>
      </w:pPr>
      <w:r/>
      <w:r>
        <w:t>Adrammélec et Anammélec (</w:t>
      </w:r>
      <w:hyperlink r:id="rId4055">
        <w:r>
          <w:rPr>
            <w:color w:val="0000EE"/>
            <w:u w:val="single"/>
          </w:rPr>
          <w:t>2R 17.31</w:t>
        </w:r>
      </w:hyperlink>
      <w:r>
        <w:t>)</w:t>
      </w:r>
    </w:p>
    <w:p>
      <w:pPr>
        <w:pStyle w:val="ListBullet"/>
        <w:spacing w:line="240" w:lineRule="auto"/>
        <w:ind w:left="720"/>
      </w:pPr>
      <w:r/>
      <w:r>
        <w:t xml:space="preserve">Bel (également appelé « Marduk », </w:t>
      </w:r>
      <w:hyperlink r:id="rId4056">
        <w:r>
          <w:rPr>
            <w:color w:val="0000EE"/>
            <w:u w:val="single"/>
          </w:rPr>
          <w:t>Es 46.1</w:t>
        </w:r>
      </w:hyperlink>
      <w:r>
        <w:t xml:space="preserve"> ; </w:t>
      </w:r>
      <w:hyperlink r:id="rId4057">
        <w:r>
          <w:rPr>
            <w:color w:val="0000EE"/>
            <w:u w:val="single"/>
          </w:rPr>
          <w:t>Jr 50.2</w:t>
        </w:r>
      </w:hyperlink>
      <w:r>
        <w:t xml:space="preserve"> ; </w:t>
      </w:r>
      <w:hyperlink r:id="rId4058">
        <w:r>
          <w:rPr>
            <w:color w:val="0000EE"/>
            <w:u w:val="single"/>
          </w:rPr>
          <w:t>51.44</w:t>
        </w:r>
      </w:hyperlink>
      <w:r>
        <w:t>)</w:t>
      </w:r>
    </w:p>
    <w:p>
      <w:pPr>
        <w:pStyle w:val="ListBullet"/>
        <w:spacing w:line="240" w:lineRule="auto"/>
        <w:ind w:left="720"/>
      </w:pPr>
      <w:r/>
      <w:r>
        <w:t>Kiyoun (</w:t>
      </w:r>
      <w:hyperlink r:id="rId4059">
        <w:r>
          <w:rPr>
            <w:color w:val="0000EE"/>
            <w:u w:val="single"/>
          </w:rPr>
          <w:t xml:space="preserve">Am 5.26, voir </w:t>
        </w:r>
      </w:hyperlink>
      <w:r>
        <w:t xml:space="preserve">Nouvelle Bible Segond). Il est peut-être appelé Remphan dans </w:t>
      </w:r>
      <w:hyperlink r:id="rId4060">
        <w:r>
          <w:rPr>
            <w:color w:val="0000EE"/>
            <w:u w:val="single"/>
          </w:rPr>
          <w:t>Actes 7.43</w:t>
        </w:r>
      </w:hyperlink>
      <w:r>
        <w:t xml:space="preserve">. </w:t>
      </w:r>
    </w:p>
    <w:p>
      <w:pPr>
        <w:pStyle w:val="ListBullet"/>
        <w:spacing w:line="240" w:lineRule="auto"/>
        <w:ind w:left="720"/>
      </w:pPr>
      <w:r/>
      <w:r>
        <w:t>Nebo ou Nabu (</w:t>
      </w:r>
      <w:hyperlink r:id="rId4056">
        <w:r>
          <w:rPr>
            <w:color w:val="0000EE"/>
            <w:u w:val="single"/>
          </w:rPr>
          <w:t>Es 46.1</w:t>
        </w:r>
      </w:hyperlink>
      <w:r>
        <w:t>)</w:t>
      </w:r>
    </w:p>
    <w:p>
      <w:pPr>
        <w:pStyle w:val="ListBullet"/>
        <w:spacing w:line="240" w:lineRule="auto"/>
        <w:ind w:left="720"/>
      </w:pPr>
      <w:r/>
      <w:r>
        <w:t>Nergal (</w:t>
      </w:r>
      <w:hyperlink r:id="rId4061">
        <w:r>
          <w:rPr>
            <w:color w:val="0000EE"/>
            <w:u w:val="single"/>
          </w:rPr>
          <w:t>2R 17.30</w:t>
        </w:r>
      </w:hyperlink>
      <w:r>
        <w:t>)</w:t>
      </w:r>
    </w:p>
    <w:p>
      <w:pPr>
        <w:pStyle w:val="ListBullet"/>
        <w:spacing w:line="240" w:lineRule="auto"/>
        <w:ind w:left="720"/>
      </w:pPr>
      <w:r/>
      <w:r>
        <w:t>Nisroc (</w:t>
      </w:r>
      <w:hyperlink r:id="rId1128">
        <w:r>
          <w:rPr>
            <w:color w:val="0000EE"/>
            <w:u w:val="single"/>
          </w:rPr>
          <w:t>2R 19.37</w:t>
        </w:r>
      </w:hyperlink>
      <w:r>
        <w:t xml:space="preserve"> ; </w:t>
      </w:r>
      <w:hyperlink r:id="rId1129">
        <w:r>
          <w:rPr>
            <w:color w:val="0000EE"/>
            <w:u w:val="single"/>
          </w:rPr>
          <w:t>Es 37.38</w:t>
        </w:r>
      </w:hyperlink>
      <w:r>
        <w:t>)</w:t>
      </w:r>
    </w:p>
    <w:p>
      <w:pPr>
        <w:pStyle w:val="ListBullet"/>
        <w:spacing w:line="240" w:lineRule="auto"/>
        <w:ind w:left="720"/>
      </w:pPr>
      <w:r/>
      <w:r>
        <w:t>Remphan (</w:t>
      </w:r>
      <w:hyperlink r:id="rId4060">
        <w:r>
          <w:rPr>
            <w:color w:val="0000EE"/>
            <w:u w:val="single"/>
          </w:rPr>
          <w:t>Ac 7.43</w:t>
        </w:r>
      </w:hyperlink>
      <w:r>
        <w:t>, comp. avec Kiyoun, mentionné plus tôt)</w:t>
      </w:r>
    </w:p>
    <w:p>
      <w:pPr>
        <w:pStyle w:val="ListBullet"/>
        <w:spacing w:line="240" w:lineRule="auto"/>
        <w:ind w:left="720"/>
      </w:pPr>
      <w:r/>
      <w:r>
        <w:t>Sikkouth (</w:t>
      </w:r>
      <w:hyperlink r:id="rId4059">
        <w:r>
          <w:rPr>
            <w:color w:val="0000EE"/>
            <w:u w:val="single"/>
          </w:rPr>
          <w:t>Am 5.26</w:t>
        </w:r>
      </w:hyperlink>
      <w:r>
        <w:t>, voir Nouvelle Bible Segond)</w:t>
      </w:r>
    </w:p>
    <w:p>
      <w:pPr>
        <w:pStyle w:val="ListBullet"/>
        <w:spacing w:line="240" w:lineRule="auto"/>
        <w:ind w:left="720"/>
      </w:pPr>
      <w:r/>
      <w:r>
        <w:t>Succoth-Benoth (</w:t>
      </w:r>
      <w:hyperlink r:id="rId4061">
        <w:r>
          <w:rPr>
            <w:color w:val="0000EE"/>
            <w:u w:val="single"/>
          </w:rPr>
          <w:t>2R 17.30</w:t>
        </w:r>
      </w:hyperlink>
      <w:r>
        <w:t>)</w:t>
      </w:r>
    </w:p>
    <w:p>
      <w:pPr>
        <w:pStyle w:val="ListBullet"/>
        <w:spacing w:line="240" w:lineRule="auto"/>
        <w:ind w:left="720"/>
      </w:pPr>
      <w:r/>
      <w:r>
        <w:t>Thammuz (</w:t>
      </w:r>
      <w:hyperlink r:id="rId4062">
        <w:r>
          <w:rPr>
            <w:color w:val="0000EE"/>
            <w:u w:val="single"/>
          </w:rPr>
          <w:t>Ez 8.14</w:t>
        </w:r>
      </w:hyperlink>
      <w:r>
        <w:t>)</w:t>
      </w:r>
    </w:p>
    <w:p>
      <w:pPr>
        <w:pStyle w:val="ListBullet"/>
        <w:spacing w:line="240" w:lineRule="auto"/>
        <w:ind w:left="720"/>
      </w:pPr>
      <w:r/>
      <w:r>
        <w:t>Tharthak (</w:t>
      </w:r>
      <w:hyperlink r:id="rId4055">
        <w:r>
          <w:rPr>
            <w:color w:val="0000EE"/>
            <w:u w:val="single"/>
          </w:rPr>
          <w:t>2R 17.31</w:t>
        </w:r>
      </w:hyperlink>
      <w:r>
        <w:t>)</w:t>
      </w:r>
    </w:p>
    <w:p>
      <w:r/>
      <w:r>
        <w:t>Les Syriens adoraient :</w:t>
      </w:r>
    </w:p>
    <w:p>
      <w:pPr>
        <w:pStyle w:val="ListBullet"/>
        <w:spacing w:line="240" w:lineRule="auto"/>
        <w:ind w:left="720"/>
      </w:pPr>
      <w:r/>
      <w:r>
        <w:t>Aschima (</w:t>
      </w:r>
      <w:hyperlink r:id="rId4061">
        <w:r>
          <w:rPr>
            <w:color w:val="0000EE"/>
            <w:u w:val="single"/>
          </w:rPr>
          <w:t>2R 17.30</w:t>
        </w:r>
      </w:hyperlink>
      <w:r>
        <w:t>)</w:t>
      </w:r>
    </w:p>
    <w:p>
      <w:pPr>
        <w:pStyle w:val="ListBullet"/>
        <w:spacing w:line="240" w:lineRule="auto"/>
        <w:ind w:left="720"/>
      </w:pPr>
      <w:r/>
      <w:r>
        <w:t xml:space="preserve">Rimmon (également appelé « Hadadrimmon », </w:t>
      </w:r>
      <w:hyperlink r:id="rId4063">
        <w:r>
          <w:rPr>
            <w:color w:val="0000EE"/>
            <w:u w:val="single"/>
          </w:rPr>
          <w:t xml:space="preserve">2R 5.18 ; </w:t>
        </w:r>
      </w:hyperlink>
      <w:hyperlink r:id="rId4064">
        <w:r>
          <w:rPr>
            <w:color w:val="0000EE"/>
            <w:u w:val="single"/>
          </w:rPr>
          <w:t>Za 12.11</w:t>
        </w:r>
      </w:hyperlink>
      <w:r>
        <w:t>)</w:t>
      </w:r>
    </w:p>
    <w:p>
      <w:r/>
      <w:r>
        <w:t>Les Ammonites et les Moabites adoraient :</w:t>
      </w:r>
    </w:p>
    <w:p>
      <w:pPr>
        <w:pStyle w:val="ListBullet"/>
        <w:spacing w:line="240" w:lineRule="auto"/>
        <w:ind w:left="720"/>
      </w:pPr>
      <w:r/>
      <w:r>
        <w:t>Milcom ou Moloc (</w:t>
      </w:r>
      <w:hyperlink r:id="rId4065">
        <w:r>
          <w:rPr>
            <w:color w:val="0000EE"/>
            <w:u w:val="single"/>
          </w:rPr>
          <w:t>1R 11.5</w:t>
        </w:r>
      </w:hyperlink>
      <w:r>
        <w:t>–</w:t>
      </w:r>
      <w:hyperlink r:id="rId4065">
        <w:r>
          <w:rPr>
            <w:color w:val="0000EE"/>
            <w:u w:val="single"/>
          </w:rPr>
          <w:t>7, 33</w:t>
        </w:r>
      </w:hyperlink>
      <w:r>
        <w:t xml:space="preserve"> ; </w:t>
      </w:r>
      <w:hyperlink r:id="rId4066">
        <w:r>
          <w:rPr>
            <w:color w:val="0000EE"/>
            <w:u w:val="single"/>
          </w:rPr>
          <w:t>2R 23.13</w:t>
        </w:r>
      </w:hyperlink>
      <w:r>
        <w:t>)</w:t>
      </w:r>
    </w:p>
    <w:p>
      <w:pPr>
        <w:pStyle w:val="ListBullet"/>
        <w:spacing w:line="240" w:lineRule="auto"/>
        <w:ind w:left="720"/>
      </w:pPr>
      <w:r/>
      <w:r>
        <w:t>Kemosch (</w:t>
      </w:r>
      <w:hyperlink r:id="rId4067">
        <w:r>
          <w:rPr>
            <w:color w:val="0000EE"/>
            <w:u w:val="single"/>
          </w:rPr>
          <w:t>Nb 21.29</w:t>
        </w:r>
      </w:hyperlink>
      <w:r>
        <w:t>)</w:t>
      </w:r>
    </w:p>
    <w:p>
      <w:pPr>
        <w:pStyle w:val="ListBullet"/>
        <w:spacing w:line="240" w:lineRule="auto"/>
        <w:ind w:left="720"/>
      </w:pPr>
      <w:r/>
      <w:r>
        <w:t>Les moabites adoraient aussi leur propre version de Baal (</w:t>
      </w:r>
      <w:hyperlink r:id="rId4068">
        <w:r>
          <w:rPr>
            <w:color w:val="0000EE"/>
            <w:u w:val="single"/>
          </w:rPr>
          <w:t>Nb 25.3–5</w:t>
        </w:r>
      </w:hyperlink>
      <w:r>
        <w:t>)</w:t>
      </w:r>
    </w:p>
    <w:p>
      <w:r/>
      <w:r>
        <w:t>Les Philistins adoraient :</w:t>
      </w:r>
    </w:p>
    <w:p>
      <w:pPr>
        <w:pStyle w:val="ListBullet"/>
        <w:spacing w:line="240" w:lineRule="auto"/>
        <w:ind w:left="720"/>
      </w:pPr>
      <w:r/>
      <w:r>
        <w:t>Dagon (</w:t>
      </w:r>
      <w:hyperlink r:id="rId4069">
        <w:r>
          <w:rPr>
            <w:color w:val="0000EE"/>
            <w:u w:val="single"/>
          </w:rPr>
          <w:t>Jg 16.23</w:t>
        </w:r>
      </w:hyperlink>
      <w:r>
        <w:t>)</w:t>
      </w:r>
    </w:p>
    <w:p>
      <w:pPr>
        <w:pStyle w:val="ListBullet"/>
        <w:spacing w:line="240" w:lineRule="auto"/>
        <w:ind w:left="720"/>
      </w:pPr>
      <w:r/>
      <w:r>
        <w:t xml:space="preserve">Baal-Zebub (appelé « Beelzebul » dans le NT ; voir </w:t>
      </w:r>
      <w:hyperlink r:id="rId4070">
        <w:r>
          <w:rPr>
            <w:color w:val="0000EE"/>
            <w:u w:val="single"/>
          </w:rPr>
          <w:t>2R 1.2–3</w:t>
        </w:r>
      </w:hyperlink>
      <w:hyperlink r:id="rId4071">
        <w:r>
          <w:rPr>
            <w:color w:val="0000EE"/>
            <w:u w:val="single"/>
          </w:rPr>
          <w:t>, 6, 16</w:t>
        </w:r>
      </w:hyperlink>
      <w:hyperlink r:id="rId4072">
        <w:r>
          <w:rPr>
            <w:color w:val="0000EE"/>
            <w:u w:val="single"/>
          </w:rPr>
          <w:t xml:space="preserve"> </w:t>
        </w:r>
      </w:hyperlink>
      <w:r>
        <w:t>;</w:t>
      </w:r>
      <w:hyperlink r:id="rId4070">
        <w:r>
          <w:rPr>
            <w:color w:val="0000EE"/>
            <w:u w:val="single"/>
          </w:rPr>
          <w:t xml:space="preserve"> </w:t>
        </w:r>
      </w:hyperlink>
      <w:hyperlink r:id="rId4072">
        <w:r>
          <w:rPr>
            <w:color w:val="0000EE"/>
            <w:u w:val="single"/>
          </w:rPr>
          <w:t xml:space="preserve">Mt 12.24 </w:t>
        </w:r>
      </w:hyperlink>
      <w:r>
        <w:t xml:space="preserve">; </w:t>
      </w:r>
      <w:hyperlink r:id="rId4073">
        <w:r>
          <w:rPr>
            <w:color w:val="0000EE"/>
            <w:u w:val="single"/>
          </w:rPr>
          <w:t>Lc 11.15</w:t>
        </w:r>
      </w:hyperlink>
      <w:r>
        <w:t>)</w:t>
      </w:r>
    </w:p>
    <w:p>
      <w:r/>
      <w:r>
        <w:t>Les Cananéens adoraient :</w:t>
      </w:r>
    </w:p>
    <w:p>
      <w:pPr>
        <w:pStyle w:val="ListBullet"/>
        <w:spacing w:line="240" w:lineRule="auto"/>
        <w:ind w:left="720"/>
      </w:pPr>
      <w:r/>
      <w:r>
        <w:t>Baal (</w:t>
      </w:r>
      <w:hyperlink r:id="rId1028">
        <w:r>
          <w:rPr>
            <w:color w:val="0000EE"/>
            <w:u w:val="single"/>
          </w:rPr>
          <w:t>1R 16.30–33</w:t>
        </w:r>
      </w:hyperlink>
      <w:r>
        <w:t>)</w:t>
      </w:r>
    </w:p>
    <w:p>
      <w:pPr>
        <w:pStyle w:val="ListBullet"/>
        <w:spacing w:line="240" w:lineRule="auto"/>
        <w:ind w:left="720"/>
      </w:pPr>
      <w:r/>
      <w:r>
        <w:t>Ashéra (</w:t>
      </w:r>
      <w:hyperlink r:id="rId4074">
        <w:r>
          <w:rPr>
            <w:color w:val="0000EE"/>
            <w:u w:val="single"/>
          </w:rPr>
          <w:t>Jg 3.7–8</w:t>
        </w:r>
      </w:hyperlink>
      <w:r>
        <w:t>, Nouvelle Bible Segond)</w:t>
      </w:r>
    </w:p>
    <w:p>
      <w:pPr>
        <w:pStyle w:val="ListBullet"/>
        <w:spacing w:line="240" w:lineRule="auto"/>
        <w:ind w:left="720"/>
      </w:pPr>
      <w:r/>
      <w:r>
        <w:t>Astarté (</w:t>
      </w:r>
      <w:hyperlink r:id="rId4075">
        <w:r>
          <w:rPr>
            <w:color w:val="0000EE"/>
            <w:u w:val="single"/>
          </w:rPr>
          <w:t>1R 11.5</w:t>
        </w:r>
      </w:hyperlink>
      <w:r>
        <w:t xml:space="preserve">, également appelée « Ishtar » ou la « reine du ciel », </w:t>
      </w:r>
      <w:hyperlink r:id="rId4076">
        <w:r>
          <w:rPr>
            <w:color w:val="0000EE"/>
            <w:u w:val="single"/>
          </w:rPr>
          <w:t>Jr 7.18</w:t>
        </w:r>
      </w:hyperlink>
      <w:r>
        <w:t xml:space="preserve"> ; </w:t>
      </w:r>
      <w:hyperlink r:id="rId4077">
        <w:r>
          <w:rPr>
            <w:color w:val="0000EE"/>
            <w:u w:val="single"/>
          </w:rPr>
          <w:t>44.17–19, 25</w:t>
        </w:r>
      </w:hyperlink>
      <w:r>
        <w:t>)</w:t>
      </w:r>
    </w:p>
    <w:p>
      <w:r/>
      <w:r>
        <w:t>Seuls deux dieux égyptiens sont nommés dans la Bible :</w:t>
      </w:r>
    </w:p>
    <w:p>
      <w:pPr>
        <w:pStyle w:val="ListBullet"/>
        <w:spacing w:line="240" w:lineRule="auto"/>
        <w:ind w:left="720"/>
      </w:pPr>
      <w:r/>
      <w:r>
        <w:t>Amon (</w:t>
      </w:r>
      <w:hyperlink r:id="rId4078">
        <w:r>
          <w:rPr>
            <w:color w:val="0000EE"/>
            <w:u w:val="single"/>
          </w:rPr>
          <w:t>Jr 46.25</w:t>
        </w:r>
      </w:hyperlink>
      <w:r>
        <w:t>)</w:t>
      </w:r>
    </w:p>
    <w:p>
      <w:pPr>
        <w:pStyle w:val="ListBullet"/>
        <w:spacing w:line="240" w:lineRule="auto"/>
        <w:ind w:left="720"/>
      </w:pPr>
      <w:r/>
      <w:r>
        <w:t>Apis (</w:t>
      </w:r>
      <w:hyperlink r:id="rId4079">
        <w:r>
          <w:rPr>
            <w:color w:val="0000EE"/>
            <w:u w:val="single"/>
          </w:rPr>
          <w:t>Jr 46.15</w:t>
        </w:r>
      </w:hyperlink>
      <w:r>
        <w:t>, Nouvelle Bible Segond)</w:t>
      </w:r>
    </w:p>
    <w:p>
      <w:r/>
      <w:r>
        <w:t>Nibchaz était probablement un dieu élamite (</w:t>
      </w:r>
      <w:hyperlink r:id="rId4055">
        <w:r>
          <w:rPr>
            <w:color w:val="0000EE"/>
            <w:u w:val="single"/>
          </w:rPr>
          <w:t>2R 17.31</w:t>
        </w:r>
      </w:hyperlink>
      <w:r>
        <w:t>).</w:t>
      </w:r>
    </w:p>
    <w:p>
      <w:pPr>
        <w:pStyle w:val="Heading3"/>
      </w:pPr>
      <w:r>
        <w:t>Dieux et déesses mentionnés dans le Nouveau Testament</w:t>
      </w:r>
    </w:p>
    <w:p>
      <w:r/>
      <w:r>
        <w:t>Seulement trois divinités gréco-romaines sont mentionnées dans le NT :</w:t>
      </w:r>
    </w:p>
    <w:p>
      <w:pPr>
        <w:pStyle w:val="ListBullet"/>
        <w:spacing w:line="240" w:lineRule="auto"/>
        <w:ind w:left="720"/>
      </w:pPr>
      <w:r/>
      <w:r>
        <w:t xml:space="preserve">Artémis (appelée « Diana » par les Romains, </w:t>
      </w:r>
      <w:hyperlink r:id="rId4080">
        <w:r>
          <w:rPr>
            <w:color w:val="0000EE"/>
            <w:u w:val="single"/>
          </w:rPr>
          <w:t>Ac 19.24–28, 34–35</w:t>
        </w:r>
      </w:hyperlink>
      <w:r>
        <w:t>, Nouvelle Bible Segond)</w:t>
      </w:r>
    </w:p>
    <w:p>
      <w:pPr>
        <w:pStyle w:val="ListBullet"/>
        <w:spacing w:line="240" w:lineRule="auto"/>
        <w:ind w:left="720"/>
      </w:pPr>
      <w:r/>
      <w:r>
        <w:t xml:space="preserve">Zeus (appelé « Jupiter » par les Romains, </w:t>
      </w:r>
      <w:hyperlink r:id="rId4081">
        <w:r>
          <w:rPr>
            <w:color w:val="0000EE"/>
            <w:u w:val="single"/>
          </w:rPr>
          <w:t>Ac 14.12–13</w:t>
        </w:r>
      </w:hyperlink>
      <w:hyperlink r:id="rId4080">
        <w:r>
          <w:rPr>
            <w:color w:val="0000EE"/>
            <w:u w:val="single"/>
          </w:rPr>
          <w:t xml:space="preserve">, </w:t>
        </w:r>
      </w:hyperlink>
      <w:r>
        <w:t>Nouvelle Bible Segond)</w:t>
      </w:r>
    </w:p>
    <w:p>
      <w:pPr>
        <w:pStyle w:val="ListBullet"/>
        <w:spacing w:line="240" w:lineRule="auto"/>
        <w:ind w:left="720"/>
      </w:pPr>
      <w:r/>
      <w:r>
        <w:t xml:space="preserve">Hermès (appelé « Mercure » par les Romains, </w:t>
      </w:r>
      <w:hyperlink r:id="rId4081">
        <w:r>
          <w:rPr>
            <w:color w:val="0000EE"/>
            <w:u w:val="single"/>
          </w:rPr>
          <w:t xml:space="preserve">Ac 14.12–13, </w:t>
        </w:r>
      </w:hyperlink>
      <w:r>
        <w:t>Nouvelle Bible Segond)</w:t>
      </w:r>
    </w:p>
    <w:p>
      <w:pPr>
        <w:pStyle w:val="Heading3"/>
      </w:pPr>
      <w:r>
        <w:t>Enseignement biblique concernant les dieux des nations</w:t>
      </w:r>
    </w:p>
    <w:p>
      <w:r/>
      <w:r>
        <w:t>La Bible enseigne clairement que les dieux des nations ne sont pas réels, même si leurs adorateurs croient qu'ils le sont (</w:t>
      </w:r>
      <w:hyperlink r:id="rId4082">
        <w:r>
          <w:rPr>
            <w:color w:val="0000EE"/>
            <w:u w:val="single"/>
          </w:rPr>
          <w:t xml:space="preserve">Jr 2.11 </w:t>
        </w:r>
      </w:hyperlink>
      <w:r>
        <w:t>;</w:t>
      </w:r>
      <w:hyperlink r:id="rId4083">
        <w:r>
          <w:rPr>
            <w:color w:val="0000EE"/>
            <w:u w:val="single"/>
          </w:rPr>
          <w:t xml:space="preserve"> 28</w:t>
        </w:r>
      </w:hyperlink>
      <w:r>
        <w:t xml:space="preserve">). La Parole de Dieu enseigne que ce ne sont « </w:t>
      </w:r>
      <w:r>
        <w:t>pas des dieux</w:t>
      </w:r>
      <w:r>
        <w:t xml:space="preserve"> » (</w:t>
      </w:r>
      <w:hyperlink r:id="rId4082">
        <w:r>
          <w:rPr>
            <w:color w:val="0000EE"/>
            <w:u w:val="single"/>
          </w:rPr>
          <w:t xml:space="preserve">Jr 2.11 </w:t>
        </w:r>
      </w:hyperlink>
      <w:r>
        <w:t xml:space="preserve">; </w:t>
      </w:r>
      <w:hyperlink r:id="rId4084">
        <w:r>
          <w:rPr>
            <w:color w:val="0000EE"/>
            <w:u w:val="single"/>
          </w:rPr>
          <w:t>16.20</w:t>
        </w:r>
      </w:hyperlink>
      <w:r>
        <w:t>) ou « des dieux qui n’existent pas » (</w:t>
      </w:r>
      <w:hyperlink r:id="rId4085">
        <w:r>
          <w:rPr>
            <w:color w:val="0000EE"/>
            <w:u w:val="single"/>
          </w:rPr>
          <w:t>Jr 5.7</w:t>
        </w:r>
      </w:hyperlink>
      <w:r>
        <w:t>). Le NT confirme cet enseignement. Paul écrit « qu’il n’y a point d’idole dans le monde » (</w:t>
      </w:r>
      <w:hyperlink r:id="rId4086">
        <w:r>
          <w:rPr>
            <w:color w:val="0000EE"/>
            <w:u w:val="single"/>
          </w:rPr>
          <w:t>1Co 8.4</w:t>
        </w:r>
      </w:hyperlink>
      <w:r>
        <w:t xml:space="preserve">). Il prêchait que « </w:t>
      </w:r>
      <w:r>
        <w:t>les dieux faits de main d’homme ne sont pas des dieux</w:t>
      </w:r>
      <w:r>
        <w:t xml:space="preserve"> » (</w:t>
      </w:r>
      <w:hyperlink r:id="rId4087">
        <w:r>
          <w:rPr>
            <w:color w:val="0000EE"/>
            <w:u w:val="single"/>
          </w:rPr>
          <w:t>Ac 19.26</w:t>
        </w:r>
      </w:hyperlink>
      <w:r>
        <w:t>). Il n'est pas surprenant que dès le début de l'histoire d'Israël, il leur a été enseigné que le seul vrai Dieu est au-dessus de tout ce que les autres nations pouvaient appeler des dieux (</w:t>
      </w:r>
      <w:hyperlink r:id="rId4088">
        <w:r>
          <w:rPr>
            <w:color w:val="0000EE"/>
            <w:u w:val="single"/>
          </w:rPr>
          <w:t xml:space="preserve">Ex 15.11 </w:t>
        </w:r>
      </w:hyperlink>
      <w:r>
        <w:t xml:space="preserve">; </w:t>
      </w:r>
      <w:hyperlink r:id="rId4089">
        <w:r>
          <w:rPr>
            <w:color w:val="0000EE"/>
            <w:u w:val="single"/>
          </w:rPr>
          <w:t xml:space="preserve">18.11 </w:t>
        </w:r>
      </w:hyperlink>
      <w:r>
        <w:t xml:space="preserve">; </w:t>
      </w:r>
      <w:hyperlink r:id="rId3967">
        <w:r>
          <w:rPr>
            <w:color w:val="0000EE"/>
            <w:u w:val="single"/>
          </w:rPr>
          <w:t xml:space="preserve">Dt 10.17 </w:t>
        </w:r>
      </w:hyperlink>
      <w:r>
        <w:t xml:space="preserve">; </w:t>
      </w:r>
      <w:hyperlink r:id="rId4090">
        <w:r>
          <w:rPr>
            <w:color w:val="0000EE"/>
            <w:u w:val="single"/>
          </w:rPr>
          <w:t xml:space="preserve">1Ch 16.25 </w:t>
        </w:r>
      </w:hyperlink>
      <w:r>
        <w:t xml:space="preserve">; </w:t>
      </w:r>
      <w:hyperlink r:id="rId4091">
        <w:r>
          <w:rPr>
            <w:color w:val="0000EE"/>
            <w:u w:val="single"/>
          </w:rPr>
          <w:t xml:space="preserve">2Ch 2.5 </w:t>
        </w:r>
      </w:hyperlink>
      <w:r>
        <w:t xml:space="preserve">; </w:t>
      </w:r>
      <w:hyperlink r:id="rId4092">
        <w:r>
          <w:rPr>
            <w:color w:val="0000EE"/>
            <w:u w:val="single"/>
          </w:rPr>
          <w:t xml:space="preserve">Ps 86.8 </w:t>
        </w:r>
      </w:hyperlink>
      <w:r>
        <w:t xml:space="preserve">; </w:t>
      </w:r>
      <w:hyperlink r:id="rId4093">
        <w:r>
          <w:rPr>
            <w:color w:val="0000EE"/>
            <w:u w:val="single"/>
          </w:rPr>
          <w:t xml:space="preserve">95.3 </w:t>
        </w:r>
      </w:hyperlink>
      <w:r>
        <w:t xml:space="preserve">; </w:t>
      </w:r>
      <w:hyperlink r:id="rId4094">
        <w:r>
          <w:rPr>
            <w:color w:val="0000EE"/>
            <w:u w:val="single"/>
          </w:rPr>
          <w:t xml:space="preserve">96.4–5 </w:t>
        </w:r>
      </w:hyperlink>
      <w:r>
        <w:t xml:space="preserve">; </w:t>
      </w:r>
      <w:hyperlink r:id="rId4095">
        <w:r>
          <w:rPr>
            <w:color w:val="0000EE"/>
            <w:u w:val="single"/>
          </w:rPr>
          <w:t xml:space="preserve">97.7–9 </w:t>
        </w:r>
      </w:hyperlink>
      <w:r>
        <w:t xml:space="preserve">; </w:t>
      </w:r>
      <w:hyperlink r:id="rId4096">
        <w:r>
          <w:rPr>
            <w:color w:val="0000EE"/>
            <w:u w:val="single"/>
          </w:rPr>
          <w:t xml:space="preserve">135.5, 136.2 </w:t>
        </w:r>
      </w:hyperlink>
      <w:r>
        <w:t xml:space="preserve">; </w:t>
      </w:r>
      <w:hyperlink r:id="rId4097">
        <w:r>
          <w:rPr>
            <w:color w:val="0000EE"/>
            <w:u w:val="single"/>
          </w:rPr>
          <w:t xml:space="preserve">Dn 2.47 </w:t>
        </w:r>
      </w:hyperlink>
      <w:r>
        <w:t xml:space="preserve">; </w:t>
      </w:r>
      <w:hyperlink r:id="rId4098">
        <w:r>
          <w:rPr>
            <w:color w:val="0000EE"/>
            <w:u w:val="single"/>
          </w:rPr>
          <w:t>So 2.11</w:t>
        </w:r>
      </w:hyperlink>
      <w:r>
        <w:t>).</w:t>
      </w:r>
    </w:p>
    <w:p>
      <w:pPr>
        <w:pStyle w:val="Heading3"/>
      </w:pPr>
      <w:r>
        <w:t>Idolâtrie en Israël</w:t>
      </w:r>
    </w:p>
    <w:p>
      <w:r/>
      <w:r>
        <w:t>Puisque les dieux des nations sont des mensonges, les adorer est considéré une insulte au seul vrai Dieu. La loi l'interdit catégoriquement (</w:t>
      </w:r>
      <w:hyperlink r:id="rId4099">
        <w:r>
          <w:rPr>
            <w:color w:val="0000EE"/>
            <w:u w:val="single"/>
          </w:rPr>
          <w:t>Ex 20.3</w:t>
        </w:r>
      </w:hyperlink>
      <w:r>
        <w:t xml:space="preserve"> ; </w:t>
      </w:r>
      <w:hyperlink r:id="rId4100">
        <w:r>
          <w:rPr>
            <w:color w:val="0000EE"/>
            <w:u w:val="single"/>
          </w:rPr>
          <w:t>Dt 5.7</w:t>
        </w:r>
      </w:hyperlink>
      <w:r>
        <w:t>). Les Israélites ne devaient pas se faire d'images taillées pour les adorer (</w:t>
      </w:r>
      <w:hyperlink r:id="rId4101">
        <w:r>
          <w:rPr>
            <w:color w:val="0000EE"/>
            <w:u w:val="single"/>
          </w:rPr>
          <w:t>Ex 20.4, 23</w:t>
        </w:r>
      </w:hyperlink>
      <w:r>
        <w:t xml:space="preserve"> ; </w:t>
      </w:r>
      <w:hyperlink r:id="rId4102">
        <w:r>
          <w:rPr>
            <w:color w:val="0000EE"/>
            <w:u w:val="single"/>
          </w:rPr>
          <w:t>Lv 19.4</w:t>
        </w:r>
      </w:hyperlink>
      <w:r>
        <w:t xml:space="preserve"> ; </w:t>
      </w:r>
      <w:hyperlink r:id="rId4103">
        <w:r>
          <w:rPr>
            <w:color w:val="0000EE"/>
            <w:u w:val="single"/>
          </w:rPr>
          <w:t>Dt 5.8</w:t>
        </w:r>
      </w:hyperlink>
      <w:r>
        <w:t>). Les noms des divinités étrangères ne devaient pas être dans leurs bouches (</w:t>
      </w:r>
      <w:hyperlink r:id="rId4104">
        <w:r>
          <w:rPr>
            <w:color w:val="0000EE"/>
            <w:u w:val="single"/>
          </w:rPr>
          <w:t>Ex 23.13</w:t>
        </w:r>
      </w:hyperlink>
      <w:r>
        <w:t xml:space="preserve"> ; </w:t>
      </w:r>
      <w:hyperlink r:id="rId4105">
        <w:r>
          <w:rPr>
            <w:color w:val="0000EE"/>
            <w:u w:val="single"/>
          </w:rPr>
          <w:t>Jos 23.7</w:t>
        </w:r>
      </w:hyperlink>
      <w:r>
        <w:t>). Il n'y a pas de mot hébreu pour désigner une déesse. L'AT utilise donc le mot hébreu qui signifie « dieu » pour parler des déesses des nations (</w:t>
      </w:r>
      <w:hyperlink r:id="rId4075">
        <w:r>
          <w:rPr>
            <w:color w:val="0000EE"/>
            <w:u w:val="single"/>
          </w:rPr>
          <w:t>1R 11.5, 33</w:t>
        </w:r>
      </w:hyperlink>
      <w:r>
        <w:t xml:space="preserve">). </w:t>
      </w:r>
    </w:p>
    <w:p>
      <w:r/>
      <w:r>
        <w:t>Malgré les avertissements et interdictions de Dieu, les Israélites se sont souvent livrés à l'idolâtrie à l'époque de l'AT. Déjà au temps des patriarches, la famille de Jacob gardait encore des idoles de maison avec eux (</w:t>
      </w:r>
      <w:hyperlink r:id="rId4106">
        <w:r>
          <w:rPr>
            <w:color w:val="0000EE"/>
            <w:u w:val="single"/>
          </w:rPr>
          <w:t>Gn 31.32</w:t>
        </w:r>
      </w:hyperlink>
      <w:r>
        <w:t>). Même après avoir été délivrés d'Égypte par Dieu, le peuple d'Israël a continué à adorer des idoles pendant plusieurs siècles (</w:t>
      </w:r>
      <w:hyperlink r:id="rId4107">
        <w:r>
          <w:rPr>
            <w:color w:val="0000EE"/>
            <w:u w:val="single"/>
          </w:rPr>
          <w:t xml:space="preserve">Ex 32.1–4, 8, 23, 31 </w:t>
        </w:r>
      </w:hyperlink>
      <w:r>
        <w:t xml:space="preserve">; </w:t>
      </w:r>
      <w:hyperlink r:id="rId4108">
        <w:r>
          <w:rPr>
            <w:color w:val="0000EE"/>
            <w:u w:val="single"/>
          </w:rPr>
          <w:t xml:space="preserve">34.15 </w:t>
        </w:r>
      </w:hyperlink>
      <w:r>
        <w:t xml:space="preserve">; </w:t>
      </w:r>
      <w:hyperlink r:id="rId4109">
        <w:r>
          <w:rPr>
            <w:color w:val="0000EE"/>
            <w:u w:val="single"/>
          </w:rPr>
          <w:t>Os 11.2</w:t>
        </w:r>
      </w:hyperlink>
      <w:r>
        <w:t>).</w:t>
      </w:r>
    </w:p>
    <w:p>
      <w:r/>
      <w:r>
        <w:t xml:space="preserve">L'idolâtrie a fini par causer la destruction du royaume du Nord (Israël) en 722 </w:t>
      </w:r>
      <w:r>
        <w:t>av. J.‑C.</w:t>
      </w:r>
      <w:r>
        <w:t>, car Dieu a voulu punir la nation (</w:t>
      </w:r>
      <w:hyperlink r:id="rId4110">
        <w:r>
          <w:rPr>
            <w:color w:val="0000EE"/>
            <w:u w:val="single"/>
          </w:rPr>
          <w:t>2R 17.7–18</w:t>
        </w:r>
      </w:hyperlink>
      <w:r>
        <w:t xml:space="preserve">). En 586 </w:t>
      </w:r>
      <w:r>
        <w:t>av. J.‑C.</w:t>
      </w:r>
      <w:r>
        <w:t>, le royaume du Sud (Juda) a été détruit pour la même raison (</w:t>
      </w:r>
      <w:hyperlink r:id="rId4111">
        <w:r>
          <w:rPr>
            <w:color w:val="0000EE"/>
            <w:u w:val="single"/>
          </w:rPr>
          <w:t>2R 22.17</w:t>
        </w:r>
      </w:hyperlink>
      <w:r>
        <w:t xml:space="preserve"> ; comp. avec </w:t>
      </w:r>
      <w:hyperlink r:id="rId4112">
        <w:r>
          <w:rPr>
            <w:color w:val="0000EE"/>
            <w:u w:val="single"/>
          </w:rPr>
          <w:t>Dt 29.25–28</w:t>
        </w:r>
      </w:hyperlink>
      <w:r>
        <w:t>). Quand la majorité des gens du peuple a été emmenée prisonnière à Babylone, les Israélites ont fini par enfin comprendre qu'ils devaient arrêter l'idolâtrie. Beaucoup de souffrances auraient pu être évitées si leurs ancêtres et eux avaient suivi l'exemple de Josué lorsqu'il a dit : « Moi et ma maison, nous servirons l’Éternel » (</w:t>
      </w:r>
      <w:hyperlink r:id="rId4113">
        <w:r>
          <w:rPr>
            <w:color w:val="0000EE"/>
            <w:u w:val="single"/>
          </w:rPr>
          <w:t>Jos 24.15</w:t>
        </w:r>
      </w:hyperlink>
      <w:r>
        <w:t>).</w:t>
      </w:r>
    </w:p>
    <w:p>
      <w:r/>
      <w:r>
        <w:rPr>
          <w:i/>
        </w:rPr>
        <w:t>Voir aussi</w:t>
      </w:r>
      <w:r>
        <w:t xml:space="preserve"> </w:t>
      </w:r>
      <w:r>
        <w:t>divinités et religion cananéennes</w:t>
      </w:r>
      <w:r>
        <w:t xml:space="preserve"> ; </w:t>
      </w:r>
      <w:r>
        <w:t>idoles, idolâtrie</w:t>
      </w:r>
      <w:r>
        <w:t xml:space="preserve"> ; </w:t>
      </w:r>
      <w:r>
        <w:t>haut lieu</w:t>
      </w:r>
      <w:r>
        <w:t>.</w:t>
      </w:r>
      <w:r/>
      <w:r/>
    </w:p>
    <w:p>
      <w:r/>
    </w:p>
    <w:p>
      <w:pPr>
        <w:pStyle w:val="Heading2"/>
      </w:pPr>
      <w:r>
        <w:t>Dikla</w:t>
      </w:r>
      <w:r/>
    </w:p>
    <w:p>
      <w:r/>
      <w:r>
        <w:t>Fils de Jokthan dans la liste des nations issues des fils de Noé (</w:t>
      </w:r>
      <w:hyperlink r:id="rId4114">
        <w:r>
          <w:rPr>
            <w:color w:val="0000EE"/>
            <w:u w:val="single"/>
          </w:rPr>
          <w:t>Gn 10.27</w:t>
        </w:r>
      </w:hyperlink>
      <w:r>
        <w:t xml:space="preserve"> ; </w:t>
      </w:r>
      <w:hyperlink r:id="rId4115">
        <w:r>
          <w:rPr>
            <w:color w:val="0000EE"/>
            <w:u w:val="single"/>
          </w:rPr>
          <w:t>1Ch 1.21</w:t>
        </w:r>
      </w:hyperlink>
      <w:r>
        <w:t xml:space="preserve">) ; il est possible que le nom se réfère à une tribu ou un territoire arabe, vivant dans ou près d'une région où poussent des palmiers, comme le suggère le nom (Dikla est une variante du mot hébreu </w:t>
      </w:r>
      <w:r>
        <w:rPr>
          <w:i/>
        </w:rPr>
        <w:t>dikla</w:t>
      </w:r>
      <w:r>
        <w:t>, qui signifie dattier ou palmier).</w:t>
      </w:r>
      <w:r/>
      <w:r/>
    </w:p>
    <w:p>
      <w:r/>
    </w:p>
    <w:p>
      <w:pPr>
        <w:pStyle w:val="Heading2"/>
      </w:pPr>
      <w:r>
        <w:t>Dîme</w:t>
      </w:r>
      <w:r/>
    </w:p>
    <w:p>
      <w:r/>
      <w:r>
        <w:t>Le mot « dîme » vient du français ancien, signifiant « dixième ». Il se réfère à une taxe sur les produits ou le travail pour soutenir la religion.</w:t>
      </w:r>
    </w:p>
    <w:p>
      <w:r/>
      <w:r>
        <w:t xml:space="preserve">La pratique de la dîme est très ancienne. Par exemple, Abraham donnera une dîme, ou un dixième, de ses dépouilles de guerre à Melchisédek (voir </w:t>
      </w:r>
      <w:hyperlink r:id="rId4116">
        <w:r>
          <w:rPr>
            <w:color w:val="0000EE"/>
            <w:u w:val="single"/>
          </w:rPr>
          <w:t>Gn 14.20</w:t>
        </w:r>
      </w:hyperlink>
      <w:r>
        <w:t>). La dîme était également courante dans de nombreux endroits, y compris :</w:t>
      </w:r>
    </w:p>
    <w:p>
      <w:pPr>
        <w:pStyle w:val="ListBullet"/>
        <w:spacing w:line="240" w:lineRule="auto"/>
        <w:ind w:left="720"/>
      </w:pPr>
      <w:r/>
      <w:r>
        <w:t>Athènes</w:t>
      </w:r>
    </w:p>
    <w:p>
      <w:pPr>
        <w:pStyle w:val="ListBullet"/>
        <w:spacing w:line="240" w:lineRule="auto"/>
        <w:ind w:left="720"/>
      </w:pPr>
      <w:r/>
      <w:r>
        <w:t>L'Arabie</w:t>
      </w:r>
    </w:p>
    <w:p>
      <w:pPr>
        <w:pStyle w:val="ListBullet"/>
        <w:spacing w:line="240" w:lineRule="auto"/>
        <w:ind w:left="720"/>
      </w:pPr>
      <w:r/>
      <w:r>
        <w:t>Rome</w:t>
      </w:r>
    </w:p>
    <w:p>
      <w:pPr>
        <w:pStyle w:val="ListBullet"/>
        <w:spacing w:line="240" w:lineRule="auto"/>
        <w:ind w:left="720"/>
      </w:pPr>
      <w:r/>
      <w:r>
        <w:t>Carthage</w:t>
      </w:r>
    </w:p>
    <w:p>
      <w:pPr>
        <w:pStyle w:val="ListBullet"/>
        <w:spacing w:line="240" w:lineRule="auto"/>
        <w:ind w:left="720"/>
      </w:pPr>
      <w:r/>
      <w:r>
        <w:t>L'Égypte</w:t>
      </w:r>
    </w:p>
    <w:p>
      <w:pPr>
        <w:pStyle w:val="ListBullet"/>
        <w:spacing w:line="240" w:lineRule="auto"/>
        <w:ind w:left="720"/>
      </w:pPr>
      <w:r/>
      <w:r>
        <w:t>La Syrie</w:t>
      </w:r>
    </w:p>
    <w:p>
      <w:pPr>
        <w:pStyle w:val="ListBullet"/>
        <w:spacing w:line="240" w:lineRule="auto"/>
        <w:ind w:left="720"/>
      </w:pPr>
      <w:r/>
      <w:r>
        <w:t>Babylone</w:t>
      </w:r>
    </w:p>
    <w:p>
      <w:pPr>
        <w:pStyle w:val="ListBullet"/>
        <w:spacing w:line="240" w:lineRule="auto"/>
        <w:ind w:left="720"/>
      </w:pPr>
      <w:r/>
      <w:r>
        <w:t>La Chine</w:t>
      </w:r>
    </w:p>
    <w:p>
      <w:r/>
      <w:r>
        <w:t>Le livre du Deutéronome (</w:t>
      </w:r>
      <w:hyperlink r:id="rId4117">
        <w:r>
          <w:rPr>
            <w:color w:val="0000EE"/>
            <w:u w:val="single"/>
          </w:rPr>
          <w:t>Dt 12.2</w:t>
        </w:r>
      </w:hyperlink>
      <w:hyperlink r:id="rId4118">
        <w:r>
          <w:rPr>
            <w:color w:val="0000EE"/>
            <w:u w:val="single"/>
          </w:rPr>
          <w:t>–</w:t>
        </w:r>
      </w:hyperlink>
      <w:hyperlink r:id="rId4117">
        <w:r>
          <w:rPr>
            <w:color w:val="0000EE"/>
            <w:u w:val="single"/>
          </w:rPr>
          <w:t>7, 17</w:t>
        </w:r>
      </w:hyperlink>
      <w:hyperlink r:id="rId4118">
        <w:r>
          <w:rPr>
            <w:color w:val="0000EE"/>
            <w:u w:val="single"/>
          </w:rPr>
          <w:t>–</w:t>
        </w:r>
      </w:hyperlink>
      <w:hyperlink r:id="rId4117">
        <w:r>
          <w:rPr>
            <w:color w:val="0000EE"/>
            <w:u w:val="single"/>
          </w:rPr>
          <w:t>19</w:t>
        </w:r>
      </w:hyperlink>
      <w:r>
        <w:t xml:space="preserve"> ; </w:t>
      </w:r>
      <w:hyperlink r:id="rId4119">
        <w:r>
          <w:rPr>
            <w:color w:val="0000EE"/>
            <w:u w:val="single"/>
          </w:rPr>
          <w:t>14.22–29</w:t>
        </w:r>
      </w:hyperlink>
      <w:r>
        <w:t>) indique que lorsque le culte a été centralisé en Israël, on devait apporter leur dîme annuelle au sanctuaire. Les prêtres et les Lévites partageaient cette dîme. Les éléments soumis à la dîme comprenaient :</w:t>
      </w:r>
    </w:p>
    <w:p>
      <w:pPr>
        <w:pStyle w:val="ListBullet"/>
        <w:spacing w:line="240" w:lineRule="auto"/>
        <w:ind w:left="720"/>
      </w:pPr>
      <w:r/>
      <w:r>
        <w:t>Les céréales</w:t>
      </w:r>
    </w:p>
    <w:p>
      <w:pPr>
        <w:pStyle w:val="ListBullet"/>
        <w:spacing w:line="240" w:lineRule="auto"/>
        <w:ind w:left="720"/>
      </w:pPr>
      <w:r/>
      <w:r>
        <w:t>Le vin</w:t>
      </w:r>
    </w:p>
    <w:p>
      <w:pPr>
        <w:pStyle w:val="ListBullet"/>
        <w:spacing w:line="240" w:lineRule="auto"/>
        <w:ind w:left="720"/>
      </w:pPr>
      <w:r/>
      <w:r>
        <w:t>L'huile</w:t>
      </w:r>
    </w:p>
    <w:p>
      <w:pPr>
        <w:pStyle w:val="ListBullet"/>
        <w:spacing w:line="240" w:lineRule="auto"/>
        <w:ind w:left="720"/>
      </w:pPr>
      <w:r/>
      <w:r>
        <w:t>Le bétail</w:t>
      </w:r>
    </w:p>
    <w:p>
      <w:r/>
      <w:r>
        <w:t>Chaque troisième année, la dîme entière était donnée en tant que geste caritatif aux Lévites, aux étrangers, aux orphelins et aux veuves (</w:t>
      </w:r>
      <w:hyperlink r:id="rId4120">
        <w:r>
          <w:rPr>
            <w:color w:val="0000EE"/>
            <w:u w:val="single"/>
          </w:rPr>
          <w:t>Dt 26.12</w:t>
        </w:r>
      </w:hyperlink>
      <w:r>
        <w:t xml:space="preserve">). </w:t>
      </w:r>
      <w:hyperlink r:id="rId4121">
        <w:r>
          <w:rPr>
            <w:color w:val="0000EE"/>
            <w:u w:val="single"/>
          </w:rPr>
          <w:t>Nb 18.21–32</w:t>
        </w:r>
      </w:hyperlink>
      <w:r>
        <w:t xml:space="preserve"> indique que toutes les dîmes en Israël étaient données aux Lévites comme paiement pour leur service en tant que prêtres.</w:t>
      </w:r>
    </w:p>
    <w:p>
      <w:r/>
      <w:r>
        <w:t>Le prophète Malachie condamnera ceux qui retenaient leurs dîmes. Il qualifie cela de « trompe[r] Dieu » (</w:t>
      </w:r>
      <w:hyperlink r:id="rId4122">
        <w:r>
          <w:rPr>
            <w:color w:val="0000EE"/>
            <w:u w:val="single"/>
          </w:rPr>
          <w:t>Ml 3.8–10</w:t>
        </w:r>
      </w:hyperlink>
      <w:r>
        <w:t xml:space="preserve">). Il promet que la dîme apporterait des bénédictions, des granges pleines et une protection contre les ravageurs. Les premières fêtes de la dîme incluaient probablement des actes de reconnaissance pour les dons de Dieu. Ce n'est pas quelque chose qui est fortement souligné dans les textes (voir </w:t>
      </w:r>
      <w:hyperlink r:id="rId4123">
        <w:r>
          <w:rPr>
            <w:color w:val="0000EE"/>
            <w:u w:val="single"/>
          </w:rPr>
          <w:t>Gn 28.22</w:t>
        </w:r>
      </w:hyperlink>
      <w:r>
        <w:t>). Le principal objectif de la dîme était de soutenir le service de Dieu et la charité.</w:t>
      </w:r>
    </w:p>
    <w:p>
      <w:r/>
      <w:r>
        <w:t>Le Nouveau Testament mentionne la dîme de manière critique, sauf pour la dîme de Melchisédek (</w:t>
      </w:r>
      <w:hyperlink r:id="rId4124">
        <w:r>
          <w:rPr>
            <w:color w:val="0000EE"/>
            <w:u w:val="single"/>
          </w:rPr>
          <w:t>Hé 7</w:t>
        </w:r>
      </w:hyperlink>
      <w:r>
        <w:t xml:space="preserve">). Dans </w:t>
      </w:r>
      <w:hyperlink r:id="rId4125">
        <w:r>
          <w:rPr>
            <w:color w:val="0000EE"/>
            <w:u w:val="single"/>
          </w:rPr>
          <w:t>Matthieu 23.23</w:t>
        </w:r>
      </w:hyperlink>
      <w:r>
        <w:t xml:space="preserve"> et </w:t>
      </w:r>
      <w:hyperlink r:id="rId4126">
        <w:r>
          <w:rPr>
            <w:color w:val="0000EE"/>
            <w:u w:val="single"/>
          </w:rPr>
          <w:t>Luc 11.42</w:t>
        </w:r>
      </w:hyperlink>
      <w:r>
        <w:t xml:space="preserve">, Jésus critique ceux qui donnaient méticuleusement la dîme de petites herbes tout en négligeant les questions plus importantes de la loi : la justice, la miséricorde et la foi. Jésus voyait cela comme un signe de mauvaise moralité et de priorités mal placées, associant cela au pharisaïsme. Il dira qu'il était plus facile de suivre les règles, car c'était aussi plus satisfaisant. Il était plus difficile de développer le sens moral pour gérer les relations avec les autres et avec Dieu. Dans </w:t>
      </w:r>
      <w:hyperlink r:id="rId4127">
        <w:r>
          <w:rPr>
            <w:color w:val="0000EE"/>
            <w:u w:val="single"/>
          </w:rPr>
          <w:t>Luc 18.12</w:t>
        </w:r>
      </w:hyperlink>
      <w:r>
        <w:t>, un pharisien, se vantant dans sa prière de ses vertus, mentionnera le fait qu'il ait donné la dîme de tous ses revenus comme l'une de ses prétentions à la faveur divine. Jésus, cependant, valorisait l'humilité par-dessus les pratiques religieuses pleines d'orgueil, préférant un pénitent humble à un pharisien vantard.</w:t>
      </w:r>
    </w:p>
    <w:p>
      <w:r/>
      <w:r>
        <w:rPr>
          <w:i/>
        </w:rPr>
        <w:t>Voir aussi</w:t>
      </w:r>
      <w:r>
        <w:t xml:space="preserve"> </w:t>
      </w:r>
      <w:r>
        <w:t>Offrandes et sacrifices</w:t>
      </w:r>
      <w:r>
        <w:t>.</w:t>
      </w:r>
      <w:r/>
      <w:r/>
    </w:p>
    <w:p>
      <w:r/>
    </w:p>
    <w:p>
      <w:pPr>
        <w:pStyle w:val="Heading2"/>
      </w:pPr>
      <w:r>
        <w:t>Dina</w:t>
      </w:r>
      <w:r/>
    </w:p>
    <w:p>
      <w:r/>
      <w:r>
        <w:t>Fille née de Jacob et Léa (</w:t>
      </w:r>
      <w:hyperlink r:id="rId4128">
        <w:r>
          <w:rPr>
            <w:color w:val="0000EE"/>
            <w:u w:val="single"/>
          </w:rPr>
          <w:t>Gn 30.21</w:t>
        </w:r>
      </w:hyperlink>
      <w:r>
        <w:t>), dont le nom signifie « jugement ». Vivant avec sa famille à Sichem, une ville cananéenne (</w:t>
      </w:r>
      <w:hyperlink r:id="rId4129">
        <w:r>
          <w:rPr>
            <w:color w:val="0000EE"/>
            <w:u w:val="single"/>
          </w:rPr>
          <w:t>33.18</w:t>
        </w:r>
      </w:hyperlink>
      <w:r>
        <w:t>), Dina est allée rendre visite à des femmes païennes voisines (</w:t>
      </w:r>
      <w:hyperlink r:id="rId4130">
        <w:r>
          <w:rPr>
            <w:color w:val="0000EE"/>
            <w:u w:val="single"/>
          </w:rPr>
          <w:t>34.1</w:t>
        </w:r>
      </w:hyperlink>
      <w:r>
        <w:t>). Sichem, le prince hévite de la région, l'a vue et, tandis que les frères de Dina étaient aux champs à s'occuper de leurs troupeaux, il l'a violée. Sichem a ensuite demandé Dina à Jacob comme épouse.</w:t>
      </w:r>
    </w:p>
    <w:p>
      <w:r/>
      <w:r>
        <w:t>Les fils de Jacob, furieux du déshonneur infligé à leur sœur, ont comploté pour se venger. Ils accepteront le mariage à condition que tous les mâles Hivites soient circoncis. Hamor, le père de Sichem, consentira. Alors que les hommes cananéens étaient encore affaiblis par leur opération, les frères de Dina, Lévi et Siméon, mèneront un massacre dans la ville et tueront tous les mâles. Dina sera récupérée et la ville pillée. Les frères justifieront leur action comme une juste rétribution pour le traitement de leur sœur comme une prostituée par l'un des Cananéens (</w:t>
      </w:r>
      <w:hyperlink r:id="rId4131">
        <w:r>
          <w:rPr>
            <w:color w:val="0000EE"/>
            <w:u w:val="single"/>
          </w:rPr>
          <w:t>Gn 34.27–31</w:t>
        </w:r>
      </w:hyperlink>
      <w:r>
        <w:t>). Pour leur usage d'armes de violence (</w:t>
      </w:r>
      <w:hyperlink r:id="rId4132">
        <w:r>
          <w:rPr>
            <w:color w:val="0000EE"/>
            <w:u w:val="single"/>
          </w:rPr>
          <w:t>Gn 49.5</w:t>
        </w:r>
      </w:hyperlink>
      <w:r>
        <w:t>), Siméon et Lévi seront plus tard maudits par Jacob.</w:t>
      </w:r>
      <w:r/>
      <w:r/>
    </w:p>
    <w:p>
      <w:r/>
    </w:p>
    <w:p>
      <w:pPr>
        <w:pStyle w:val="Heading2"/>
      </w:pPr>
      <w:r>
        <w:t>Dinhaba</w:t>
      </w:r>
      <w:r/>
    </w:p>
    <w:p>
      <w:r/>
      <w:r>
        <w:t>Capitale d'Édom avant l'époque de la monarchie d'Israël, dont le roi Béla est mentionné dans la Bible (</w:t>
      </w:r>
      <w:hyperlink r:id="rId1794">
        <w:r>
          <w:rPr>
            <w:color w:val="0000EE"/>
            <w:u w:val="single"/>
          </w:rPr>
          <w:t>Gn 36.32</w:t>
        </w:r>
      </w:hyperlink>
      <w:r>
        <w:t xml:space="preserve"> ; </w:t>
      </w:r>
      <w:hyperlink r:id="rId4133">
        <w:r>
          <w:rPr>
            <w:color w:val="0000EE"/>
            <w:u w:val="single"/>
          </w:rPr>
          <w:t>1Ch 1.43</w:t>
        </w:r>
      </w:hyperlink>
      <w:r>
        <w:t>). Son emplacement est inconnu.</w:t>
      </w:r>
      <w:r/>
      <w:r/>
    </w:p>
    <w:p>
      <w:r/>
    </w:p>
    <w:p>
      <w:pPr>
        <w:pStyle w:val="Heading2"/>
      </w:pPr>
      <w:r>
        <w:t>Dioscures</w:t>
      </w:r>
      <w:r/>
    </w:p>
    <w:p>
      <w:r/>
      <w:r>
        <w:t>Fils jumeaux de Zeus, connus sous le nom de Castor et Pollux. Ils étaient, dans la mythologie grecque, les divinités patronnes (dieux protecteurs) de la navigation et étaient représentés dans la constellation des Gémeaux. Les Dioscures (« Frères Jumeaux ») étaient la figure de proue du navire alexandrin sur lequel Paul a navigué vers Rome (</w:t>
      </w:r>
      <w:hyperlink r:id="rId532">
        <w:r>
          <w:rPr>
            <w:color w:val="0000EE"/>
            <w:u w:val="single"/>
          </w:rPr>
          <w:t>Ac 28.11</w:t>
        </w:r>
      </w:hyperlink>
      <w:r>
        <w:t>).</w:t>
      </w:r>
      <w:r/>
      <w:r/>
    </w:p>
    <w:p>
      <w:r/>
    </w:p>
    <w:p>
      <w:pPr>
        <w:pStyle w:val="Heading2"/>
      </w:pPr>
      <w:r>
        <w:t>Dirigeant</w:t>
      </w:r>
      <w:r/>
    </w:p>
    <w:p>
      <w:r/>
      <w:r>
        <w:t>Le terme a de nombreuses significations. Il traduit treize mots hébreux et trois mots grecs.</w:t>
      </w:r>
    </w:p>
    <w:p>
      <w:r/>
      <w:r>
        <w:t>Dans un sens politique, un dirigeant était celui qui contrôlait un État (</w:t>
      </w:r>
      <w:hyperlink r:id="rId4134">
        <w:r>
          <w:rPr>
            <w:color w:val="0000EE"/>
            <w:u w:val="single"/>
          </w:rPr>
          <w:t>2Ch 7.18</w:t>
        </w:r>
      </w:hyperlink>
      <w:r>
        <w:t xml:space="preserve"> ; </w:t>
      </w:r>
      <w:hyperlink r:id="rId4135">
        <w:r>
          <w:rPr>
            <w:color w:val="0000EE"/>
            <w:u w:val="single"/>
          </w:rPr>
          <w:t>Ps 105.20</w:t>
        </w:r>
      </w:hyperlink>
      <w:r>
        <w:t xml:space="preserve"> ; </w:t>
      </w:r>
      <w:hyperlink r:id="rId4136">
        <w:r>
          <w:rPr>
            <w:color w:val="0000EE"/>
            <w:u w:val="single"/>
          </w:rPr>
          <w:t>Pr 23.1</w:t>
        </w:r>
      </w:hyperlink>
      <w:r>
        <w:t xml:space="preserve"> ; </w:t>
      </w:r>
      <w:hyperlink r:id="rId4137">
        <w:r>
          <w:rPr>
            <w:color w:val="0000EE"/>
            <w:u w:val="single"/>
          </w:rPr>
          <w:t>28.15</w:t>
        </w:r>
      </w:hyperlink>
      <w:r>
        <w:t xml:space="preserve"> ; </w:t>
      </w:r>
      <w:hyperlink r:id="rId4138">
        <w:r>
          <w:rPr>
            <w:color w:val="0000EE"/>
            <w:u w:val="single"/>
          </w:rPr>
          <w:t>Ec 10.4</w:t>
        </w:r>
      </w:hyperlink>
      <w:r>
        <w:t xml:space="preserve"> ; </w:t>
      </w:r>
      <w:hyperlink r:id="rId4139">
        <w:r>
          <w:rPr>
            <w:color w:val="0000EE"/>
            <w:u w:val="single"/>
          </w:rPr>
          <w:t>Es 14.5</w:t>
        </w:r>
      </w:hyperlink>
      <w:r>
        <w:t xml:space="preserve"> ; </w:t>
      </w:r>
      <w:hyperlink r:id="rId4140">
        <w:r>
          <w:rPr>
            <w:color w:val="0000EE"/>
            <w:u w:val="single"/>
          </w:rPr>
          <w:t>16.1</w:t>
        </w:r>
      </w:hyperlink>
      <w:r>
        <w:t xml:space="preserve"> ; </w:t>
      </w:r>
      <w:hyperlink r:id="rId4141">
        <w:r>
          <w:rPr>
            <w:color w:val="0000EE"/>
            <w:u w:val="single"/>
          </w:rPr>
          <w:t>49.7</w:t>
        </w:r>
      </w:hyperlink>
      <w:r>
        <w:t xml:space="preserve"> ; </w:t>
      </w:r>
      <w:hyperlink r:id="rId4142">
        <w:r>
          <w:rPr>
            <w:color w:val="0000EE"/>
            <w:u w:val="single"/>
          </w:rPr>
          <w:t>Jr 33.26</w:t>
        </w:r>
      </w:hyperlink>
      <w:r>
        <w:t xml:space="preserve"> ; </w:t>
      </w:r>
      <w:hyperlink r:id="rId4143">
        <w:r>
          <w:rPr>
            <w:color w:val="0000EE"/>
            <w:u w:val="single"/>
          </w:rPr>
          <w:t>51.46</w:t>
        </w:r>
      </w:hyperlink>
      <w:r>
        <w:t xml:space="preserve"> ; </w:t>
      </w:r>
      <w:hyperlink r:id="rId1890">
        <w:r>
          <w:rPr>
            <w:color w:val="0000EE"/>
            <w:u w:val="single"/>
          </w:rPr>
          <w:t>Mi 5.2</w:t>
        </w:r>
      </w:hyperlink>
      <w:r>
        <w:t>), ou un État qui contrôlait un peuple (</w:t>
      </w:r>
      <w:hyperlink r:id="rId4144">
        <w:r>
          <w:rPr>
            <w:color w:val="0000EE"/>
            <w:u w:val="single"/>
          </w:rPr>
          <w:t>Jg 15.11</w:t>
        </w:r>
      </w:hyperlink>
      <w:r>
        <w:t>). Le terme habituel pour dirigeant était « roi ». Cependant, beaucoup en Israël préféraient le terme hébreu traduit par « chef », signifiant « celui qui est placé devant ». Cela était dû à certaines associations désagréables avec l'idée de roi. Samuel, par exemple, rejette le premier terme mais utilise le second (</w:t>
      </w:r>
      <w:hyperlink r:id="rId4145">
        <w:r>
          <w:rPr>
            <w:color w:val="0000EE"/>
            <w:u w:val="single"/>
          </w:rPr>
          <w:t>1S 9.16</w:t>
        </w:r>
      </w:hyperlink>
      <w:r>
        <w:t xml:space="preserve"> ; </w:t>
      </w:r>
      <w:hyperlink r:id="rId1569">
        <w:r>
          <w:rPr>
            <w:color w:val="0000EE"/>
            <w:u w:val="single"/>
          </w:rPr>
          <w:t>10.1</w:t>
        </w:r>
      </w:hyperlink>
      <w:r>
        <w:t xml:space="preserve"> ; </w:t>
      </w:r>
      <w:hyperlink r:id="rId2844">
        <w:r>
          <w:rPr>
            <w:color w:val="0000EE"/>
            <w:u w:val="single"/>
          </w:rPr>
          <w:t>13.14</w:t>
        </w:r>
      </w:hyperlink>
      <w:r>
        <w:t xml:space="preserve"> ; </w:t>
      </w:r>
      <w:hyperlink r:id="rId4146">
        <w:r>
          <w:rPr>
            <w:color w:val="0000EE"/>
            <w:u w:val="single"/>
          </w:rPr>
          <w:t>25.30</w:t>
        </w:r>
      </w:hyperlink>
      <w:r>
        <w:t xml:space="preserve"> ; </w:t>
      </w:r>
      <w:hyperlink r:id="rId4147">
        <w:r>
          <w:rPr>
            <w:color w:val="0000EE"/>
            <w:u w:val="single"/>
          </w:rPr>
          <w:t>2S 5.2</w:t>
        </w:r>
      </w:hyperlink>
      <w:r>
        <w:t xml:space="preserve"> ; </w:t>
      </w:r>
      <w:hyperlink r:id="rId4148">
        <w:r>
          <w:rPr>
            <w:color w:val="0000EE"/>
            <w:u w:val="single"/>
          </w:rPr>
          <w:t>6.21</w:t>
        </w:r>
      </w:hyperlink>
      <w:r>
        <w:t xml:space="preserve"> ; </w:t>
      </w:r>
      <w:hyperlink r:id="rId4149">
        <w:r>
          <w:rPr>
            <w:color w:val="0000EE"/>
            <w:u w:val="single"/>
          </w:rPr>
          <w:t>7.8</w:t>
        </w:r>
      </w:hyperlink>
      <w:r>
        <w:t>). D'autres mots hébreux sont traduits par « dirigeant » dans certaines traductions.</w:t>
      </w:r>
    </w:p>
    <w:p>
      <w:r/>
      <w:r>
        <w:t xml:space="preserve">Dans le Nouveau Testament, le mot grec pour « dirigeant » se réfère aux resposables administratifs ou religieux (voir </w:t>
      </w:r>
      <w:hyperlink r:id="rId4150">
        <w:r>
          <w:rPr>
            <w:color w:val="0000EE"/>
            <w:u w:val="single"/>
          </w:rPr>
          <w:t>Mt 9.18, 23</w:t>
        </w:r>
      </w:hyperlink>
      <w:r>
        <w:t xml:space="preserve"> ; </w:t>
      </w:r>
      <w:hyperlink r:id="rId4151">
        <w:r>
          <w:rPr>
            <w:color w:val="0000EE"/>
            <w:u w:val="single"/>
          </w:rPr>
          <w:t>Lc 8.41</w:t>
        </w:r>
      </w:hyperlink>
      <w:r>
        <w:t xml:space="preserve"> ; </w:t>
      </w:r>
      <w:hyperlink r:id="rId4152">
        <w:r>
          <w:rPr>
            <w:color w:val="0000EE"/>
            <w:u w:val="single"/>
          </w:rPr>
          <w:t>18.18</w:t>
        </w:r>
      </w:hyperlink>
      <w:r>
        <w:t xml:space="preserve"> ; </w:t>
      </w:r>
      <w:hyperlink r:id="rId4153">
        <w:r>
          <w:rPr>
            <w:color w:val="0000EE"/>
            <w:u w:val="single"/>
          </w:rPr>
          <w:t>23.35</w:t>
        </w:r>
      </w:hyperlink>
      <w:r>
        <w:t xml:space="preserve"> ; </w:t>
      </w:r>
      <w:hyperlink r:id="rId4154">
        <w:r>
          <w:rPr>
            <w:color w:val="0000EE"/>
            <w:u w:val="single"/>
          </w:rPr>
          <w:t>24.20</w:t>
        </w:r>
      </w:hyperlink>
      <w:r>
        <w:t xml:space="preserve"> ; </w:t>
      </w:r>
      <w:hyperlink r:id="rId4155">
        <w:r>
          <w:rPr>
            <w:color w:val="0000EE"/>
            <w:u w:val="single"/>
          </w:rPr>
          <w:t>Jn 3.1</w:t>
        </w:r>
      </w:hyperlink>
      <w:r>
        <w:t xml:space="preserve"> ; </w:t>
      </w:r>
      <w:hyperlink r:id="rId4156">
        <w:r>
          <w:rPr>
            <w:color w:val="0000EE"/>
            <w:u w:val="single"/>
          </w:rPr>
          <w:t>7.26, 48</w:t>
        </w:r>
      </w:hyperlink>
      <w:r>
        <w:t xml:space="preserve"> ; </w:t>
      </w:r>
      <w:hyperlink r:id="rId4157">
        <w:r>
          <w:rPr>
            <w:color w:val="0000EE"/>
            <w:u w:val="single"/>
          </w:rPr>
          <w:t>12.31</w:t>
        </w:r>
      </w:hyperlink>
      <w:r>
        <w:t xml:space="preserve"> ; </w:t>
      </w:r>
      <w:hyperlink r:id="rId4158">
        <w:r>
          <w:rPr>
            <w:color w:val="0000EE"/>
            <w:u w:val="single"/>
          </w:rPr>
          <w:t>Ac 3.17</w:t>
        </w:r>
      </w:hyperlink>
      <w:r>
        <w:t xml:space="preserve"> ; </w:t>
      </w:r>
      <w:hyperlink r:id="rId4159">
        <w:r>
          <w:rPr>
            <w:color w:val="0000EE"/>
            <w:u w:val="single"/>
          </w:rPr>
          <w:t>4.5, 26</w:t>
        </w:r>
      </w:hyperlink>
      <w:r>
        <w:t xml:space="preserve"> ; </w:t>
      </w:r>
      <w:hyperlink r:id="rId4160">
        <w:r>
          <w:rPr>
            <w:color w:val="0000EE"/>
            <w:u w:val="single"/>
          </w:rPr>
          <w:t>7.27, 35</w:t>
        </w:r>
      </w:hyperlink>
      <w:r>
        <w:t xml:space="preserve"> ; </w:t>
      </w:r>
      <w:hyperlink r:id="rId4161">
        <w:r>
          <w:rPr>
            <w:color w:val="0000EE"/>
            <w:u w:val="single"/>
          </w:rPr>
          <w:t>13.27</w:t>
        </w:r>
      </w:hyperlink>
      <w:r>
        <w:t xml:space="preserve"> ; </w:t>
      </w:r>
      <w:hyperlink r:id="rId4162">
        <w:r>
          <w:rPr>
            <w:color w:val="0000EE"/>
            <w:u w:val="single"/>
          </w:rPr>
          <w:t>14.5</w:t>
        </w:r>
      </w:hyperlink>
      <w:r>
        <w:t xml:space="preserve"> ; </w:t>
      </w:r>
      <w:hyperlink r:id="rId4163">
        <w:r>
          <w:rPr>
            <w:color w:val="0000EE"/>
            <w:u w:val="single"/>
          </w:rPr>
          <w:t>16.19</w:t>
        </w:r>
      </w:hyperlink>
      <w:r>
        <w:t xml:space="preserve"> ; </w:t>
      </w:r>
      <w:hyperlink r:id="rId4164">
        <w:r>
          <w:rPr>
            <w:color w:val="0000EE"/>
            <w:u w:val="single"/>
          </w:rPr>
          <w:t>23.5</w:t>
        </w:r>
      </w:hyperlink>
      <w:r>
        <w:t xml:space="preserve"> ; </w:t>
      </w:r>
      <w:hyperlink r:id="rId2218">
        <w:r>
          <w:rPr>
            <w:color w:val="0000EE"/>
            <w:u w:val="single"/>
          </w:rPr>
          <w:t>Rm 13.3</w:t>
        </w:r>
      </w:hyperlink>
      <w:r>
        <w:t xml:space="preserve">). </w:t>
      </w:r>
      <w:hyperlink r:id="rId2703">
        <w:r>
          <w:rPr>
            <w:color w:val="0000EE"/>
            <w:u w:val="single"/>
          </w:rPr>
          <w:t>Éphésiens 6.12</w:t>
        </w:r>
      </w:hyperlink>
      <w:r>
        <w:t xml:space="preserve"> mentionne les dirigeants des ténèbres de ce monde.</w:t>
      </w:r>
    </w:p>
    <w:p>
      <w:r/>
      <w:r>
        <w:rPr>
          <w:i/>
        </w:rPr>
        <w:t>Voir aussi</w:t>
      </w:r>
      <w:r>
        <w:t xml:space="preserve"> </w:t>
      </w:r>
      <w:r>
        <w:t>Roi</w:t>
      </w:r>
      <w:r>
        <w:t>.</w:t>
      </w:r>
      <w:r/>
      <w:r/>
    </w:p>
    <w:p>
      <w:r/>
    </w:p>
    <w:p>
      <w:pPr>
        <w:pStyle w:val="Heading2"/>
      </w:pPr>
      <w:r>
        <w:t>Dischan</w:t>
      </w:r>
      <w:r/>
    </w:p>
    <w:p>
      <w:r/>
      <w:r>
        <w:t>Chef dans le pays de Séir, une région montagneuse au sud-ouest de la mer Morte. Le père de Dischan était Séir le Horien (</w:t>
      </w:r>
      <w:hyperlink r:id="rId4165">
        <w:r>
          <w:rPr>
            <w:color w:val="0000EE"/>
            <w:u w:val="single"/>
          </w:rPr>
          <w:t>Gn 36.21</w:t>
        </w:r>
      </w:hyperlink>
      <w:r>
        <w:t xml:space="preserve"> ; </w:t>
      </w:r>
      <w:hyperlink r:id="rId4166">
        <w:r>
          <w:rPr>
            <w:color w:val="0000EE"/>
            <w:u w:val="single"/>
          </w:rPr>
          <w:t>1Ch 1.38</w:t>
        </w:r>
      </w:hyperlink>
      <w:r>
        <w:t>). Les Horiens ont été chassés de leur territoire par les Édomites (</w:t>
      </w:r>
      <w:hyperlink r:id="rId4167">
        <w:r>
          <w:rPr>
            <w:color w:val="0000EE"/>
            <w:u w:val="single"/>
          </w:rPr>
          <w:t>Dt 2.12</w:t>
        </w:r>
      </w:hyperlink>
      <w:r>
        <w:t>). Les références ultérieures de l'Ancien Testament utilisent souvent Séir et Édom de manière synonyme.</w:t>
      </w:r>
      <w:r/>
      <w:r/>
    </w:p>
    <w:p>
      <w:r/>
    </w:p>
    <w:p>
      <w:pPr>
        <w:pStyle w:val="Heading2"/>
      </w:pPr>
      <w:r>
        <w:t>Dischon</w:t>
      </w:r>
      <w:r/>
    </w:p>
    <w:p>
      <w:r/>
      <w:r>
        <w:t>1. Cinquième fils de Séir et chef horite en Édom (</w:t>
      </w:r>
      <w:hyperlink r:id="rId4165">
        <w:r>
          <w:rPr>
            <w:color w:val="0000EE"/>
            <w:u w:val="single"/>
          </w:rPr>
          <w:t>Gn 36.21</w:t>
        </w:r>
      </w:hyperlink>
      <w:r>
        <w:t xml:space="preserve"> ; </w:t>
      </w:r>
      <w:hyperlink r:id="rId4166">
        <w:r>
          <w:rPr>
            <w:color w:val="0000EE"/>
            <w:u w:val="single"/>
          </w:rPr>
          <w:t>1Ch 1.38</w:t>
        </w:r>
      </w:hyperlink>
      <w:r>
        <w:t>), dont le peuple finira par être déplacé par les Édomites.</w:t>
      </w:r>
    </w:p>
    <w:p>
      <w:r/>
      <w:r>
        <w:t>2. Petit-fils de Séir et fils d'Ana, un chef horien. Ce Dischon était aussi le frère d'Oholibama, l'épouse d'Ésaü (</w:t>
      </w:r>
      <w:hyperlink r:id="rId4168">
        <w:r>
          <w:rPr>
            <w:color w:val="0000EE"/>
            <w:u w:val="single"/>
          </w:rPr>
          <w:t>Gn 36.25</w:t>
        </w:r>
      </w:hyperlink>
      <w:r>
        <w:t xml:space="preserve"> ; </w:t>
      </w:r>
      <w:hyperlink r:id="rId4169">
        <w:r>
          <w:rPr>
            <w:color w:val="0000EE"/>
            <w:u w:val="single"/>
          </w:rPr>
          <w:t>1Ch 1.41</w:t>
        </w:r>
      </w:hyperlink>
      <w:r>
        <w:t>).</w:t>
      </w:r>
      <w:r/>
      <w:r/>
    </w:p>
    <w:p>
      <w:r/>
    </w:p>
    <w:p>
      <w:pPr>
        <w:pStyle w:val="Heading2"/>
      </w:pPr>
      <w:r>
        <w:t>Disciple</w:t>
      </w:r>
      <w:r/>
    </w:p>
    <w:p>
      <w:r/>
      <w:r>
        <w:t>Quelqu'un qui suit une autre personne ou adopte un autre mode de vie et qui se soumet aux pratiques et à l'enseignement de ce maître ou de ce mode de vie. Dans la Bible, le mot « disciple » ne se trouve que dans les Évangiles et dans le livre des Actes des apôtres, à l'exception d'</w:t>
      </w:r>
      <w:hyperlink r:id="rId4170">
        <w:r>
          <w:rPr>
            <w:color w:val="0000EE"/>
            <w:u w:val="single"/>
          </w:rPr>
          <w:t>Ésaïe 8.16</w:t>
        </w:r>
      </w:hyperlink>
      <w:r>
        <w:t xml:space="preserve">, </w:t>
      </w:r>
      <w:hyperlink r:id="rId4171">
        <w:r>
          <w:rPr>
            <w:color w:val="0000EE"/>
            <w:u w:val="single"/>
          </w:rPr>
          <w:t>50.4</w:t>
        </w:r>
      </w:hyperlink>
      <w:r>
        <w:t xml:space="preserve"> et </w:t>
      </w:r>
      <w:hyperlink r:id="rId4172">
        <w:r>
          <w:rPr>
            <w:color w:val="0000EE"/>
            <w:u w:val="single"/>
          </w:rPr>
          <w:t>54.13</w:t>
        </w:r>
      </w:hyperlink>
      <w:r>
        <w:t>. Selon les traductions françaises, les deux derniers passages traduisent parfois par être « enseigné » ou « instruit », mais c'est le même mot hébreu que dans le premier passage d'Ésaïe et qui est traduit « disciples ».</w:t>
      </w:r>
    </w:p>
    <w:p>
      <w:r/>
      <w:r>
        <w:t>Dans les Évangiles, les premières personnes que Jésus appelle avec autorité à le suivre ont des arrière-plans bien différents. Les Douze et tous ceux qui reçoivent son enseignement et s'engagent envers lui sont appelés des « disciples ». Cet appel de disciples se passe à une époque où d'autres maîtres qui enseignent ont aussi des disciples. C'est le cas en particulier des pharisiens (</w:t>
      </w:r>
      <w:hyperlink r:id="rId4173">
        <w:r>
          <w:rPr>
            <w:color w:val="0000EE"/>
            <w:u w:val="single"/>
          </w:rPr>
          <w:t>Mc 2.18</w:t>
        </w:r>
      </w:hyperlink>
      <w:r>
        <w:t xml:space="preserve"> ; </w:t>
      </w:r>
      <w:hyperlink r:id="rId4174">
        <w:r>
          <w:rPr>
            <w:color w:val="0000EE"/>
            <w:u w:val="single"/>
          </w:rPr>
          <w:t>Lc 5.33</w:t>
        </w:r>
      </w:hyperlink>
      <w:r>
        <w:t>) et de Jean le Baptiste (</w:t>
      </w:r>
      <w:hyperlink r:id="rId4175">
        <w:r>
          <w:rPr>
            <w:color w:val="0000EE"/>
            <w:u w:val="single"/>
          </w:rPr>
          <w:t>Mt 9.14</w:t>
        </w:r>
      </w:hyperlink>
      <w:r>
        <w:t>). Ce que l'on sait des disciples de Jean le Baptiste démontre que les attentes ne sont pas les mêmes pour les disciples, mais dépendent de leurs maîtres. La voie de Jean est beaucoup plus ascétique que celle de Jésus. Toutefois, elle aussi instruit sur la bonne conduite et le bon mode de vie, et elle donne un enseignement spécifique sur la prière (</w:t>
      </w:r>
      <w:hyperlink r:id="rId4176">
        <w:r>
          <w:rPr>
            <w:color w:val="0000EE"/>
            <w:u w:val="single"/>
          </w:rPr>
          <w:t>Lc 11.1</w:t>
        </w:r>
      </w:hyperlink>
      <w:r>
        <w:t>).</w:t>
      </w:r>
    </w:p>
    <w:p>
      <w:r/>
      <w:r>
        <w:t>Les disciples de Jésus ont vécu une expérience unique. Ils ont reçu leur enseignement directement de Jésus. Ils ont pu observer ses regards et ses tons de voix (</w:t>
      </w:r>
      <w:hyperlink r:id="rId4177">
        <w:r>
          <w:rPr>
            <w:color w:val="0000EE"/>
            <w:u w:val="single"/>
          </w:rPr>
          <w:t>Mc 10.21</w:t>
        </w:r>
      </w:hyperlink>
      <w:r>
        <w:t>) en plus d'écouter ses paroles. Ils ont été aussi témoins d'événements essentiels pour l'histoire de la rédemption, des événements avec Christ à leur centre. Ils suivaient un maître qui était l'incarnation même de son enseignement. Cependant, les premiers disciples ne peuvent être enseignés par le Christ que petit à petit pour deux raisons. Premièrement, ils ont besoin de temps pour surmonter leurs propres fausses idées (</w:t>
      </w:r>
      <w:hyperlink r:id="rId4178">
        <w:r>
          <w:rPr>
            <w:color w:val="0000EE"/>
            <w:u w:val="single"/>
          </w:rPr>
          <w:t>Mt 16.21</w:t>
        </w:r>
      </w:hyperlink>
      <w:r>
        <w:t>). Deuxièmement, ils ne peuvent comprendre tout le sens des paroles et des actes de Jésus qu'à la lumière de sa mort et de sa résurrection (</w:t>
      </w:r>
      <w:hyperlink r:id="rId4179">
        <w:r>
          <w:rPr>
            <w:color w:val="0000EE"/>
            <w:u w:val="single"/>
          </w:rPr>
          <w:t>Mt 28.9</w:t>
        </w:r>
      </w:hyperlink>
      <w:r>
        <w:t>). Il n'est donc pas surprenant que la période de « discipulat » des disciples inclut le temps avant et après la mort et la résurrection du Christ, et continue après la Pentecôte. Après la Pentecôte, le Saint-Esprit enseigne aux disciples des choses qu'ils ne pouvaient pas encore « comprendre » (SER) pendant la vie terrestre de Jésus (</w:t>
      </w:r>
      <w:hyperlink r:id="rId4180">
        <w:r>
          <w:rPr>
            <w:color w:val="0000EE"/>
            <w:u w:val="single"/>
          </w:rPr>
          <w:t>Jn 16.12</w:t>
        </w:r>
      </w:hyperlink>
      <w:r>
        <w:t>).</w:t>
      </w:r>
    </w:p>
    <w:p>
      <w:r/>
      <w:r>
        <w:t>Des groupes parmi les premiers disciples de Jésus, tant les Douze que les Soixante-dix (</w:t>
      </w:r>
      <w:hyperlink r:id="rId4181">
        <w:r>
          <w:rPr>
            <w:color w:val="0000EE"/>
            <w:u w:val="single"/>
          </w:rPr>
          <w:t>Mt 26.20</w:t>
        </w:r>
      </w:hyperlink>
      <w:r>
        <w:t xml:space="preserve"> : </w:t>
      </w:r>
      <w:hyperlink r:id="rId4182">
        <w:r>
          <w:rPr>
            <w:color w:val="0000EE"/>
            <w:u w:val="single"/>
          </w:rPr>
          <w:t>Lc 10.1</w:t>
        </w:r>
      </w:hyperlink>
      <w:r>
        <w:t>), reçoivent son enseignement, enseignent à leur tour (</w:t>
      </w:r>
      <w:hyperlink r:id="rId4183">
        <w:r>
          <w:rPr>
            <w:color w:val="0000EE"/>
            <w:u w:val="single"/>
          </w:rPr>
          <w:t>Lc 10.1–11</w:t>
        </w:r>
      </w:hyperlink>
      <w:r>
        <w:t>) et reçoivent le pouvoir de guérir (</w:t>
      </w:r>
      <w:hyperlink r:id="rId4184">
        <w:r>
          <w:rPr>
            <w:color w:val="0000EE"/>
            <w:u w:val="single"/>
          </w:rPr>
          <w:t>Mt 10.1</w:t>
        </w:r>
      </w:hyperlink>
      <w:r>
        <w:t xml:space="preserve">). Ils doivent également proclamer le message du salut par le Christ. Pourtant, les Douze reçoivent un ministère plus particulièrement important. À l'exception de Judas l'Iscariot (qui est remplacé par Matthias, </w:t>
      </w:r>
      <w:hyperlink r:id="rId4185">
        <w:r>
          <w:rPr>
            <w:color w:val="0000EE"/>
            <w:u w:val="single"/>
          </w:rPr>
          <w:t>Ac 1.26</w:t>
        </w:r>
      </w:hyperlink>
      <w:r>
        <w:t>), ils deviennent les enseignants fondateurs de la nouvelle Église chrétienne qui est en train de se former. Leur autorité dans l'Église, donnée par le Christ (</w:t>
      </w:r>
      <w:hyperlink r:id="rId4186">
        <w:r>
          <w:rPr>
            <w:color w:val="0000EE"/>
            <w:u w:val="single"/>
          </w:rPr>
          <w:t>Mt 16.19</w:t>
        </w:r>
      </w:hyperlink>
      <w:r>
        <w:t xml:space="preserve"> ; </w:t>
      </w:r>
      <w:hyperlink r:id="rId4187">
        <w:r>
          <w:rPr>
            <w:color w:val="0000EE"/>
            <w:u w:val="single"/>
          </w:rPr>
          <w:t>28.16–20</w:t>
        </w:r>
      </w:hyperlink>
      <w:r>
        <w:t>), doit se distinguer par un style unique de service désintéressé (</w:t>
      </w:r>
      <w:hyperlink r:id="rId4188">
        <w:r>
          <w:rPr>
            <w:color w:val="0000EE"/>
            <w:u w:val="single"/>
          </w:rPr>
          <w:t>Lc 22.24–30</w:t>
        </w:r>
      </w:hyperlink>
      <w:r>
        <w:t>). Le nom « apôtre », parfois utilisé dans un sens plus large, est le nom sous lequel ces quelques disciples sont connus. C'est aussi le cas de Saul (aussi appelé Paul) de Tarse, qui devient disciple plus tard. Lors de sa conversion sur le chemin de Damas, Paul voit le Seigneur ressuscité et est immédiatement envoyé par le Christ (</w:t>
      </w:r>
      <w:hyperlink r:id="rId4189">
        <w:r>
          <w:rPr>
            <w:color w:val="0000EE"/>
            <w:u w:val="single"/>
          </w:rPr>
          <w:t>Ga 1.12, 16</w:t>
        </w:r>
      </w:hyperlink>
      <w:r>
        <w:t>) comme apôtre aux Gentils (</w:t>
      </w:r>
      <w:hyperlink r:id="rId1073">
        <w:r>
          <w:rPr>
            <w:color w:val="0000EE"/>
            <w:u w:val="single"/>
          </w:rPr>
          <w:t>Ac 9.15</w:t>
        </w:r>
      </w:hyperlink>
      <w:r>
        <w:t>).</w:t>
      </w:r>
    </w:p>
    <w:p>
      <w:r/>
      <w:r>
        <w:t>Au moment de son ascension, le Christ charge les premiers disciples de faire « de toutes les nations des disciples » (</w:t>
      </w:r>
      <w:hyperlink r:id="rId4190">
        <w:r>
          <w:rPr>
            <w:color w:val="0000EE"/>
            <w:u w:val="single"/>
          </w:rPr>
          <w:t>Mt 28.19</w:t>
        </w:r>
      </w:hyperlink>
      <w:r>
        <w:t>). C'est ainsi que le mot « disciple » est ensuite aussi utilisé dans le livre des Actes pour décrire ceux qui croient en Christ et le suivent. Même s'ils ne sont pas appelés directement par le Christ lui-même, ces disciples reçoivent leur appel par l'Esprit du Christ à travers le message proclamé par les premiers disciples. Ceux qui deviennent disciples plus tard ne sont donc pas moins disciples que les premiers, même s'ils reçoivent moins de privilèges. Il est juste que les premiers chrétiens soient appelés disciples de Jésus de Nazareth ou simplement « les disciples » (</w:t>
      </w:r>
      <w:hyperlink r:id="rId4191">
        <w:r>
          <w:rPr>
            <w:color w:val="0000EE"/>
            <w:u w:val="single"/>
          </w:rPr>
          <w:t>Ac 6.1–2, 7</w:t>
        </w:r>
      </w:hyperlink>
      <w:r>
        <w:t xml:space="preserve"> ; </w:t>
      </w:r>
      <w:hyperlink r:id="rId4192">
        <w:r>
          <w:rPr>
            <w:color w:val="0000EE"/>
            <w:u w:val="single"/>
          </w:rPr>
          <w:t>9.36</w:t>
        </w:r>
      </w:hyperlink>
      <w:r>
        <w:t xml:space="preserve"> ; </w:t>
      </w:r>
      <w:hyperlink r:id="rId999">
        <w:r>
          <w:rPr>
            <w:color w:val="0000EE"/>
            <w:u w:val="single"/>
          </w:rPr>
          <w:t>11.26</w:t>
        </w:r>
      </w:hyperlink>
      <w:r>
        <w:t>), car eux aussi sont dévoués à son enseignement et vivent en suivant son exemple. Ils sont ainsi reconnus comme une sorte d'école ou de communauté active qui incarne par sa pratique l'enseignement de son « maître ». La Première Épître de Jean souligne que seuls ceux qui gardent les commandements du Christ démontrent qu'ils aiment véritablement Dieu (</w:t>
      </w:r>
      <w:hyperlink r:id="rId4193">
        <w:r>
          <w:rPr>
            <w:color w:val="0000EE"/>
            <w:u w:val="single"/>
          </w:rPr>
          <w:t>1 Jn 2.3–6</w:t>
        </w:r>
      </w:hyperlink>
      <w:r>
        <w:t xml:space="preserve"> ; </w:t>
      </w:r>
      <w:hyperlink r:id="rId4194">
        <w:r>
          <w:rPr>
            <w:color w:val="0000EE"/>
            <w:u w:val="single"/>
          </w:rPr>
          <w:t>3.10–11</w:t>
        </w:r>
      </w:hyperlink>
      <w:r>
        <w:t>).</w:t>
      </w:r>
      <w:r/>
      <w:r/>
    </w:p>
    <w:p>
      <w:r/>
    </w:p>
    <w:p>
      <w:pPr>
        <w:pStyle w:val="Heading2"/>
      </w:pPr>
      <w:r>
        <w:t>Disciple que Jésus aimait</w:t>
      </w:r>
      <w:r/>
    </w:p>
    <w:p>
      <w:r/>
      <w:r>
        <w:t xml:space="preserve">Titre de l'un des disciples (le même disciple que l'auteur de l'Évangile de Jean, semble-t-il : </w:t>
      </w:r>
      <w:hyperlink r:id="rId4195">
        <w:r>
          <w:rPr>
            <w:color w:val="0000EE"/>
            <w:u w:val="single"/>
          </w:rPr>
          <w:t>Jn 21.20–24</w:t>
        </w:r>
      </w:hyperlink>
      <w:r>
        <w:t>).</w:t>
      </w:r>
    </w:p>
    <w:p>
      <w:pPr>
        <w:pStyle w:val="Heading3"/>
      </w:pPr>
      <w:r>
        <w:t>Le Disciple que Jésus aimait dans l'Évangile de Jean</w:t>
      </w:r>
    </w:p>
    <w:p>
      <w:r/>
      <w:r>
        <w:t>Cinq passages dans l'Évangile de Jean mentionnent ce disciple que Jésus aimait :</w:t>
      </w:r>
    </w:p>
    <w:p>
      <w:pPr>
        <w:pStyle w:val="ListNumber"/>
        <w:spacing w:line="240" w:lineRule="auto"/>
        <w:ind w:left="720"/>
      </w:pPr>
      <w:r/>
      <w:r>
        <w:t>Le disciple que Jésus aimait était allongé près de la poitrine de Jésus lors du Dernier Repas et sera incité par Pierre à demander à Jésus qui serait celui qui le trahirait (</w:t>
      </w:r>
      <w:hyperlink r:id="rId4196">
        <w:r>
          <w:rPr>
            <w:color w:val="0000EE"/>
            <w:u w:val="single"/>
          </w:rPr>
          <w:t>Jn 13.21–26</w:t>
        </w:r>
      </w:hyperlink>
      <w:r>
        <w:t>).</w:t>
      </w:r>
    </w:p>
    <w:p>
      <w:pPr>
        <w:pStyle w:val="ListNumber"/>
        <w:spacing w:line="240" w:lineRule="auto"/>
        <w:ind w:left="720"/>
      </w:pPr>
      <w:r/>
      <w:r>
        <w:t>Le disciple que Jésus aimait se tenait près de la croix, et Marie, la mère de Jésus, lui sera confiée (</w:t>
      </w:r>
      <w:hyperlink r:id="rId4197">
        <w:r>
          <w:rPr>
            <w:color w:val="0000EE"/>
            <w:u w:val="single"/>
          </w:rPr>
          <w:t>Jn 19.25–27</w:t>
        </w:r>
      </w:hyperlink>
      <w:r>
        <w:t>).</w:t>
      </w:r>
    </w:p>
    <w:p>
      <w:pPr>
        <w:pStyle w:val="ListNumber"/>
        <w:spacing w:line="240" w:lineRule="auto"/>
        <w:ind w:left="720"/>
      </w:pPr>
      <w:r/>
      <w:r>
        <w:t>Marie de Magdala viendra voir Pierre et le disciple que Jésus aimait, rapportant que le corps de Jésus avait disparu du tombeau (</w:t>
      </w:r>
      <w:hyperlink r:id="rId4198">
        <w:r>
          <w:rPr>
            <w:color w:val="0000EE"/>
            <w:u w:val="single"/>
          </w:rPr>
          <w:t>Jn 20.2</w:t>
        </w:r>
      </w:hyperlink>
      <w:r>
        <w:t>).</w:t>
      </w:r>
    </w:p>
    <w:p>
      <w:pPr>
        <w:pStyle w:val="ListNumber"/>
        <w:spacing w:line="240" w:lineRule="auto"/>
        <w:ind w:left="720"/>
      </w:pPr>
      <w:r/>
      <w:r>
        <w:t>Le disciple que Jésus aimait était dans un bateau de pêche avec Pierre et les autres disciples. C'est lui qui a reconnu Jésus, qui se tenait sur le rivage (</w:t>
      </w:r>
      <w:hyperlink r:id="rId4199">
        <w:r>
          <w:rPr>
            <w:color w:val="0000EE"/>
            <w:u w:val="single"/>
          </w:rPr>
          <w:t>Jn 21.7</w:t>
        </w:r>
      </w:hyperlink>
      <w:r>
        <w:t>).</w:t>
      </w:r>
    </w:p>
    <w:p>
      <w:pPr>
        <w:pStyle w:val="ListNumber"/>
        <w:spacing w:line="240" w:lineRule="auto"/>
        <w:ind w:left="720"/>
      </w:pPr>
      <w:r/>
      <w:r>
        <w:t>Le disciple que Jésus aimait suivait Jésus au bord du lac, et l'auteur rappelle à ses lecteurs qu'il s'agissait du même disciple que celui du Dernier Repas (</w:t>
      </w:r>
      <w:hyperlink r:id="rId4200">
        <w:r>
          <w:rPr>
            <w:color w:val="0000EE"/>
            <w:u w:val="single"/>
          </w:rPr>
          <w:t>Jn 21.20–23</w:t>
        </w:r>
      </w:hyperlink>
      <w:r>
        <w:t xml:space="preserve"> ; voir aussi </w:t>
      </w:r>
      <w:hyperlink r:id="rId4196">
        <w:r>
          <w:rPr>
            <w:color w:val="0000EE"/>
            <w:u w:val="single"/>
          </w:rPr>
          <w:t>13.21–26</w:t>
        </w:r>
      </w:hyperlink>
      <w:r>
        <w:t>).</w:t>
      </w:r>
    </w:p>
    <w:p>
      <w:pPr>
        <w:pStyle w:val="Heading3"/>
      </w:pPr>
      <w:r>
        <w:t>Qui était le disciple que Jésus aimait ?</w:t>
      </w:r>
    </w:p>
    <w:p>
      <w:r/>
      <w:r>
        <w:t>Cette expression n'est utilisée que dans l'Évangile de Jean. Pourrait-il s'agir de la manière dont l'auteur se réfère à lui-même ? Plusieurs passages rendent cela très probable.</w:t>
      </w:r>
    </w:p>
    <w:p>
      <w:pPr>
        <w:pStyle w:val="ListNumber"/>
        <w:spacing w:line="240" w:lineRule="auto"/>
        <w:ind w:left="720"/>
      </w:pPr>
      <w:r/>
      <w:r>
        <w:t xml:space="preserve">Une liste de noms donnée dans </w:t>
      </w:r>
      <w:hyperlink r:id="rId1703">
        <w:r>
          <w:rPr>
            <w:color w:val="0000EE"/>
            <w:u w:val="single"/>
          </w:rPr>
          <w:t>Jean 21.2</w:t>
        </w:r>
      </w:hyperlink>
      <w:r>
        <w:t xml:space="preserve"> indique que les disciples présents au bord du lac étaient Pierre, Thomas, Nathanaël, les fils de Zébédée (Jacques et Jean), et deux autres. Le disciple que Jésus aimait était soit l'un des fils de Zébédée, soit l'un des deux disciples non nommés.</w:t>
      </w:r>
    </w:p>
    <w:p>
      <w:pPr>
        <w:pStyle w:val="ListNumber"/>
        <w:spacing w:line="240" w:lineRule="auto"/>
        <w:ind w:left="720"/>
      </w:pPr>
      <w:r/>
      <w:r>
        <w:t>Le disciple que Jésus aimait était l'un des Douze puisqu'il était là lors du Dernier Repas, alors que seuls les Douze étaient là avec Jésus de toute évidence (</w:t>
      </w:r>
      <w:hyperlink r:id="rId4181">
        <w:r>
          <w:rPr>
            <w:color w:val="0000EE"/>
            <w:u w:val="single"/>
          </w:rPr>
          <w:t>Mt 26.20</w:t>
        </w:r>
      </w:hyperlink>
      <w:r>
        <w:t xml:space="preserve"> ; </w:t>
      </w:r>
      <w:hyperlink r:id="rId4201">
        <w:r>
          <w:rPr>
            <w:color w:val="0000EE"/>
            <w:u w:val="single"/>
          </w:rPr>
          <w:t>Mc 14.17–20</w:t>
        </w:r>
      </w:hyperlink>
      <w:r>
        <w:t xml:space="preserve"> ; </w:t>
      </w:r>
      <w:hyperlink r:id="rId4202">
        <w:r>
          <w:rPr>
            <w:color w:val="0000EE"/>
            <w:u w:val="single"/>
          </w:rPr>
          <w:t>Lc 22.14, 30</w:t>
        </w:r>
      </w:hyperlink>
      <w:r>
        <w:t>). Cela signifie qu'il ne peut pas s'agir de Lazare ou de Jean Marc, qui sont parfois proposés comme le disciple que Jésus aimait.</w:t>
      </w:r>
    </w:p>
    <w:p>
      <w:pPr>
        <w:pStyle w:val="ListNumber"/>
        <w:spacing w:line="240" w:lineRule="auto"/>
        <w:ind w:left="720"/>
      </w:pPr>
      <w:r/>
      <w:r>
        <w:t>Le disciple que Jésus aimait semblait être proche de Pierre (</w:t>
      </w:r>
      <w:hyperlink r:id="rId4203">
        <w:r>
          <w:rPr>
            <w:color w:val="0000EE"/>
            <w:u w:val="single"/>
          </w:rPr>
          <w:t>Jn 13.23–24</w:t>
        </w:r>
      </w:hyperlink>
      <w:r>
        <w:t xml:space="preserve"> ; </w:t>
      </w:r>
      <w:hyperlink r:id="rId4198">
        <w:r>
          <w:rPr>
            <w:color w:val="0000EE"/>
            <w:u w:val="single"/>
          </w:rPr>
          <w:t>20.2</w:t>
        </w:r>
      </w:hyperlink>
      <w:r>
        <w:t xml:space="preserve"> ; </w:t>
      </w:r>
      <w:hyperlink r:id="rId4199">
        <w:r>
          <w:rPr>
            <w:color w:val="0000EE"/>
            <w:u w:val="single"/>
          </w:rPr>
          <w:t>21.7</w:t>
        </w:r>
      </w:hyperlink>
      <w:r>
        <w:t xml:space="preserve"> ; voir aussi </w:t>
      </w:r>
      <w:hyperlink r:id="rId214">
        <w:r>
          <w:rPr>
            <w:color w:val="0000EE"/>
            <w:u w:val="single"/>
          </w:rPr>
          <w:t>Ac 3</w:t>
        </w:r>
      </w:hyperlink>
      <w:r>
        <w:t xml:space="preserve"> ; </w:t>
      </w:r>
      <w:hyperlink r:id="rId4204">
        <w:r>
          <w:rPr>
            <w:color w:val="0000EE"/>
            <w:u w:val="single"/>
          </w:rPr>
          <w:t>8.14</w:t>
        </w:r>
      </w:hyperlink>
      <w:r>
        <w:t xml:space="preserve"> ; </w:t>
      </w:r>
      <w:hyperlink r:id="rId4205">
        <w:r>
          <w:rPr>
            <w:color w:val="0000EE"/>
            <w:u w:val="single"/>
          </w:rPr>
          <w:t>Ga 2.9</w:t>
        </w:r>
      </w:hyperlink>
      <w:r>
        <w:t>). Matthieu, Marc et Luc rapportent que Jésus choisissait souvent Pierre, Jacques et Jean pour être avec lui. Puisque Pierre était mentionné en lien avec le disciple que Jésus aimait, et puisque Jacques a été martyrisé (tué pour sa foi) tôt (</w:t>
      </w:r>
      <w:hyperlink r:id="rId2606">
        <w:r>
          <w:rPr>
            <w:color w:val="0000EE"/>
            <w:u w:val="single"/>
          </w:rPr>
          <w:t>Ac 12.2</w:t>
        </w:r>
      </w:hyperlink>
      <w:r>
        <w:t>), seul Jean reste comme une possibilité raisonnable s'il est bien vrai que l'Évangile de Jean a été écrit longtemps après la mort de Jacques.</w:t>
      </w:r>
    </w:p>
    <w:p>
      <w:r/>
      <w:r>
        <w:rPr>
          <w:i/>
        </w:rPr>
        <w:t>Voir aussi</w:t>
      </w:r>
      <w:r>
        <w:t xml:space="preserve"> </w:t>
      </w:r>
      <w:r>
        <w:t>Jean, L'Apôtre</w:t>
      </w:r>
      <w:r>
        <w:t>.</w:t>
      </w:r>
      <w:r/>
      <w:r/>
    </w:p>
    <w:p>
      <w:r/>
    </w:p>
    <w:p>
      <w:pPr>
        <w:pStyle w:val="Heading2"/>
      </w:pPr>
      <w:r>
        <w:t>Discipline</w:t>
      </w:r>
      <w:r/>
    </w:p>
    <w:p>
      <w:r/>
      <w:r>
        <w:t>Apprentissage visant à façonner le caractère et conduire à un comportement correct. Issu d'un mot latin signifiant « instruction » ou « formation ». Discipliner une personne ou un groupe signifie les mettre dans un état de bon ordre afin qu'ils fonctionnent de la manière prévue. La discipline, malgré une fausse idée reçue, n'est pas intrinsèquement sévère ou dure. Les traducteurs de la Bible ont choisi « disciple » comme terme approprié pour désigner celui qui apprend en suivant un autre.</w:t>
      </w:r>
    </w:p>
    <w:p>
      <w:r/>
      <w:r>
        <w:t>Vue d'ensemble</w:t>
      </w:r>
    </w:p>
    <w:p>
      <w:r/>
      <w:r>
        <w:t xml:space="preserve">• </w:t>
      </w:r>
      <w:r>
        <w:rPr>
          <w:b/>
          <w:u w:val="single"/>
        </w:rPr>
        <w:t>L'Enseignement biblique</w:t>
      </w:r>
    </w:p>
    <w:p>
      <w:r/>
      <w:r>
        <w:t xml:space="preserve">• </w:t>
      </w:r>
      <w:r>
        <w:rPr>
          <w:b/>
          <w:u w:val="single"/>
        </w:rPr>
        <w:t>L'Autodiscipline</w:t>
      </w:r>
    </w:p>
    <w:p>
      <w:r/>
      <w:r>
        <w:t xml:space="preserve">• </w:t>
      </w:r>
      <w:r>
        <w:rPr>
          <w:b/>
          <w:u w:val="single"/>
        </w:rPr>
        <w:t>La Discipline parentale</w:t>
      </w:r>
    </w:p>
    <w:p>
      <w:r/>
      <w:r>
        <w:t xml:space="preserve">• </w:t>
      </w:r>
      <w:r>
        <w:rPr>
          <w:b/>
          <w:u w:val="single"/>
        </w:rPr>
        <w:t>La Discipline d’Église</w:t>
      </w:r>
    </w:p>
    <w:p>
      <w:pPr>
        <w:pStyle w:val="Heading3"/>
      </w:pPr>
      <w:r>
        <w:t>L'Enseignement biblique</w:t>
      </w:r>
    </w:p>
    <w:p>
      <w:r/>
      <w:r>
        <w:t>Bien que ce terme ne soit pas utilisé dans la version Louis Segond, le mot « discipline », sous diverses formes nominales et verbales, apparaît fréquemment dans les versions modernes de la Bible. Les mots hébreux et grecs généralement traduits par « discipline » sont parfois rendus par « réprimande », « avertissement », « correction » ou (surtout dans la LSG) « châtiment ». Des synonymes plus positifs incluent « éducation », « formation », « instruction » et « enseignement ».</w:t>
      </w:r>
    </w:p>
    <w:p>
      <w:r/>
      <w:r>
        <w:t>L'utilisation de « discipline » dans l'Ancien Testament est nettement plus négative que dans le Nouveau Testament, principalement en raison de l'aspect légal de l'approche de Dieu envers Israël sous l'ancienne alliance (mosaïque). L'approche de la « nouvelle alliance » envers l'Église conduit à un langage plus positif de la discipline dans le Nouveau Testament. Cependant, les deux alliances avaient le même objectif : une vie juste. Considéré sous cet angle, même l'accent mis sur la punition dans l'Ancien Testament procède d'un motif positif vers un objectif constructif. Là où l'Ancien Testament mettait l'accent sur la rétorsion, c'était pour enseigner aux délinquants la nature de leur offense en leur montrant un effet semblable à celui qu'ils avaient causé. La vindication des droits d'une personne lésée servait également de vindication de la justice de Dieu. La vindication était un moyen important de mettre en lumière la justice de Dieu. La rétribution était également un aspect important. La rupture de l'alliance entraînait la malédiction de l'alliance (</w:t>
      </w:r>
      <w:hyperlink r:id="rId4206">
        <w:r>
          <w:rPr>
            <w:color w:val="0000EE"/>
            <w:u w:val="single"/>
          </w:rPr>
          <w:t>Dt 27.26</w:t>
        </w:r>
      </w:hyperlink>
      <w:r>
        <w:t>) sous forme de discipline punitive. La rétribution rétablissait l'autorité de la loi de Dieu et enseignait le respect de ses barèmes de justice.</w:t>
      </w:r>
    </w:p>
    <w:p>
      <w:r/>
      <w:r>
        <w:t>Complémentaire à la discipline punitive, la discipline positive peut être considérée comme une discipline encourageante. Dieu discipline toujours : il le fait de manière punitive lorsque c'est nécessaire, mais de manière encourageante lorsque c'est possible.</w:t>
      </w:r>
    </w:p>
    <w:p>
      <w:r/>
      <w:r>
        <w:t>La discipline est souvent mentionnée comme étant exercée par Dieu envers Israël (</w:t>
      </w:r>
      <w:hyperlink r:id="rId4207">
        <w:r>
          <w:rPr>
            <w:color w:val="0000EE"/>
            <w:u w:val="single"/>
          </w:rPr>
          <w:t>Lv 26.23</w:t>
        </w:r>
      </w:hyperlink>
      <w:r>
        <w:t xml:space="preserve"> ; </w:t>
      </w:r>
      <w:hyperlink r:id="rId4208">
        <w:r>
          <w:rPr>
            <w:color w:val="0000EE"/>
            <w:u w:val="single"/>
          </w:rPr>
          <w:t>Dt 4.36</w:t>
        </w:r>
      </w:hyperlink>
      <w:r>
        <w:t xml:space="preserve"> ; </w:t>
      </w:r>
      <w:hyperlink r:id="rId4209">
        <w:r>
          <w:rPr>
            <w:color w:val="0000EE"/>
            <w:u w:val="single"/>
          </w:rPr>
          <w:t>8.5</w:t>
        </w:r>
      </w:hyperlink>
      <w:r>
        <w:t xml:space="preserve"> ; </w:t>
      </w:r>
      <w:hyperlink r:id="rId4210">
        <w:r>
          <w:rPr>
            <w:color w:val="0000EE"/>
            <w:u w:val="single"/>
          </w:rPr>
          <w:t>Jr 31.18</w:t>
        </w:r>
      </w:hyperlink>
      <w:r>
        <w:t>), les nations (</w:t>
      </w:r>
      <w:hyperlink r:id="rId4211">
        <w:r>
          <w:rPr>
            <w:color w:val="0000EE"/>
            <w:u w:val="single"/>
          </w:rPr>
          <w:t>Ps 94.10</w:t>
        </w:r>
      </w:hyperlink>
      <w:r>
        <w:t>), ou les individus (</w:t>
      </w:r>
      <w:hyperlink r:id="rId4212">
        <w:r>
          <w:rPr>
            <w:color w:val="0000EE"/>
            <w:u w:val="single"/>
          </w:rPr>
          <w:t>Jb 5.17</w:t>
        </w:r>
      </w:hyperlink>
      <w:r>
        <w:t xml:space="preserve"> ; </w:t>
      </w:r>
      <w:hyperlink r:id="rId4213">
        <w:r>
          <w:rPr>
            <w:color w:val="0000EE"/>
            <w:u w:val="single"/>
          </w:rPr>
          <w:t>Ps 94.10, 12</w:t>
        </w:r>
      </w:hyperlink>
      <w:r>
        <w:t xml:space="preserve"> ; </w:t>
      </w:r>
      <w:hyperlink r:id="rId4214">
        <w:r>
          <w:rPr>
            <w:color w:val="0000EE"/>
            <w:u w:val="single"/>
          </w:rPr>
          <w:t>Hé 12.5–11</w:t>
        </w:r>
      </w:hyperlink>
      <w:r>
        <w:t xml:space="preserve"> ; </w:t>
      </w:r>
      <w:hyperlink r:id="rId4215">
        <w:r>
          <w:rPr>
            <w:color w:val="0000EE"/>
            <w:u w:val="single"/>
          </w:rPr>
          <w:t>Rv 3.19</w:t>
        </w:r>
      </w:hyperlink>
      <w:r>
        <w:t>). En Israël, la responsabilité parentale de discipliner les enfants était prise au sérieux (</w:t>
      </w:r>
      <w:hyperlink r:id="rId4216">
        <w:r>
          <w:rPr>
            <w:color w:val="0000EE"/>
            <w:u w:val="single"/>
          </w:rPr>
          <w:t>Dt 21.18</w:t>
        </w:r>
      </w:hyperlink>
      <w:r>
        <w:t>). Les pères étaient solennellement chargés de discipliner leurs fils (</w:t>
      </w:r>
      <w:hyperlink r:id="rId4217">
        <w:r>
          <w:rPr>
            <w:color w:val="0000EE"/>
            <w:u w:val="single"/>
          </w:rPr>
          <w:t>Pr 13.24</w:t>
        </w:r>
      </w:hyperlink>
      <w:r>
        <w:t xml:space="preserve"> ; </w:t>
      </w:r>
      <w:hyperlink r:id="rId4218">
        <w:r>
          <w:rPr>
            <w:color w:val="0000EE"/>
            <w:u w:val="single"/>
          </w:rPr>
          <w:t>19.18</w:t>
        </w:r>
      </w:hyperlink>
      <w:r>
        <w:t xml:space="preserve"> ; </w:t>
      </w:r>
      <w:hyperlink r:id="rId4219">
        <w:r>
          <w:rPr>
            <w:color w:val="0000EE"/>
            <w:u w:val="single"/>
          </w:rPr>
          <w:t>22.15</w:t>
        </w:r>
      </w:hyperlink>
      <w:r>
        <w:t xml:space="preserve"> ; </w:t>
      </w:r>
      <w:hyperlink r:id="rId4220">
        <w:r>
          <w:rPr>
            <w:color w:val="0000EE"/>
            <w:u w:val="single"/>
          </w:rPr>
          <w:t>23.13</w:t>
        </w:r>
      </w:hyperlink>
      <w:r>
        <w:t xml:space="preserve"> ; </w:t>
      </w:r>
      <w:hyperlink r:id="rId4221">
        <w:r>
          <w:rPr>
            <w:color w:val="0000EE"/>
            <w:u w:val="single"/>
          </w:rPr>
          <w:t>29.17</w:t>
        </w:r>
      </w:hyperlink>
      <w:r>
        <w:t xml:space="preserve"> ; cf. </w:t>
      </w:r>
      <w:hyperlink r:id="rId4222">
        <w:r>
          <w:rPr>
            <w:color w:val="0000EE"/>
            <w:u w:val="single"/>
          </w:rPr>
          <w:t>Ep 6.4</w:t>
        </w:r>
      </w:hyperlink>
      <w:r>
        <w:t xml:space="preserve"> ; </w:t>
      </w:r>
      <w:hyperlink r:id="rId4223">
        <w:r>
          <w:rPr>
            <w:color w:val="0000EE"/>
            <w:u w:val="single"/>
          </w:rPr>
          <w:t>Hé 12.7–10</w:t>
        </w:r>
      </w:hyperlink>
      <w:r>
        <w:t>). Dans l'Église, discipliner était une responsabilité pastorale (</w:t>
      </w:r>
      <w:hyperlink r:id="rId4224">
        <w:r>
          <w:rPr>
            <w:color w:val="0000EE"/>
            <w:u w:val="single"/>
          </w:rPr>
          <w:t>2Tm 2.25</w:t>
        </w:r>
      </w:hyperlink>
      <w:r>
        <w:t>).</w:t>
      </w:r>
    </w:p>
    <w:p>
      <w:r/>
      <w:r>
        <w:t>Il est compréhensible que les gens craignent la discipline de Dieu (</w:t>
      </w:r>
      <w:hyperlink r:id="rId4225">
        <w:r>
          <w:rPr>
            <w:color w:val="0000EE"/>
            <w:u w:val="single"/>
          </w:rPr>
          <w:t>Ps 6.1</w:t>
        </w:r>
      </w:hyperlink>
      <w:r>
        <w:t>), mais c'est sa colère qu'ils devraient redouter. Sa colère est dirigée uniquement contre ceux qui, par leurs actions, se sont révélés être des ennemis de Dieu (</w:t>
      </w:r>
      <w:hyperlink r:id="rId4226">
        <w:r>
          <w:rPr>
            <w:color w:val="0000EE"/>
            <w:u w:val="single"/>
          </w:rPr>
          <w:t>Dt 11.2–3</w:t>
        </w:r>
      </w:hyperlink>
      <w:r>
        <w:t>). La discipline de Dieu est différente de sa colère et ne devrait pas être méprisée (</w:t>
      </w:r>
      <w:hyperlink r:id="rId4227">
        <w:r>
          <w:rPr>
            <w:color w:val="0000EE"/>
            <w:u w:val="single"/>
          </w:rPr>
          <w:t>Pr 3.11</w:t>
        </w:r>
      </w:hyperlink>
      <w:r>
        <w:t>) ou prise à la légère (</w:t>
      </w:r>
      <w:hyperlink r:id="rId4228">
        <w:r>
          <w:rPr>
            <w:color w:val="0000EE"/>
            <w:u w:val="single"/>
          </w:rPr>
          <w:t>Hé 12.5</w:t>
        </w:r>
      </w:hyperlink>
      <w:r>
        <w:t>). Seul un insensé ou une personne méchante la déteste (</w:t>
      </w:r>
      <w:hyperlink r:id="rId4229">
        <w:r>
          <w:rPr>
            <w:color w:val="0000EE"/>
            <w:u w:val="single"/>
          </w:rPr>
          <w:t>Ps 50.17</w:t>
        </w:r>
      </w:hyperlink>
      <w:r>
        <w:t xml:space="preserve"> ; </w:t>
      </w:r>
      <w:hyperlink r:id="rId4230">
        <w:r>
          <w:rPr>
            <w:color w:val="0000EE"/>
            <w:u w:val="single"/>
          </w:rPr>
          <w:t>Pr 5.12</w:t>
        </w:r>
      </w:hyperlink>
      <w:r>
        <w:t xml:space="preserve"> ; </w:t>
      </w:r>
      <w:hyperlink r:id="rId4210">
        <w:r>
          <w:rPr>
            <w:color w:val="0000EE"/>
            <w:u w:val="single"/>
          </w:rPr>
          <w:t>Jr 31.18</w:t>
        </w:r>
      </w:hyperlink>
      <w:r>
        <w:t>). Dieu discipline son peuple comme un père aimant discipline un fils bien-aimé (</w:t>
      </w:r>
      <w:hyperlink r:id="rId4209">
        <w:r>
          <w:rPr>
            <w:color w:val="0000EE"/>
            <w:u w:val="single"/>
          </w:rPr>
          <w:t>Dt 8.5</w:t>
        </w:r>
      </w:hyperlink>
      <w:r>
        <w:t xml:space="preserve"> ; </w:t>
      </w:r>
      <w:hyperlink r:id="rId4231">
        <w:r>
          <w:rPr>
            <w:color w:val="0000EE"/>
            <w:u w:val="single"/>
          </w:rPr>
          <w:t>Pr 3.11–12</w:t>
        </w:r>
      </w:hyperlink>
      <w:r>
        <w:t xml:space="preserve"> ; </w:t>
      </w:r>
      <w:hyperlink r:id="rId4232">
        <w:r>
          <w:rPr>
            <w:color w:val="0000EE"/>
            <w:u w:val="single"/>
          </w:rPr>
          <w:t>Hé 12.5–7</w:t>
        </w:r>
      </w:hyperlink>
      <w:r>
        <w:t>). Selon l'Écriture, une personne sage devrait aimer la discipline (</w:t>
      </w:r>
      <w:hyperlink r:id="rId4233">
        <w:r>
          <w:rPr>
            <w:color w:val="0000EE"/>
            <w:u w:val="single"/>
          </w:rPr>
          <w:t>Pr 12.1</w:t>
        </w:r>
      </w:hyperlink>
      <w:r>
        <w:t xml:space="preserve"> ; </w:t>
      </w:r>
      <w:hyperlink r:id="rId4217">
        <w:r>
          <w:rPr>
            <w:color w:val="0000EE"/>
            <w:u w:val="single"/>
          </w:rPr>
          <w:t>13.24</w:t>
        </w:r>
      </w:hyperlink>
      <w:r>
        <w:t xml:space="preserve"> ; </w:t>
      </w:r>
      <w:hyperlink r:id="rId4234">
        <w:r>
          <w:rPr>
            <w:color w:val="0000EE"/>
            <w:u w:val="single"/>
          </w:rPr>
          <w:t>2Tm 1.7</w:t>
        </w:r>
      </w:hyperlink>
      <w:r>
        <w:t xml:space="preserve"> ; </w:t>
      </w:r>
      <w:hyperlink r:id="rId4235">
        <w:r>
          <w:rPr>
            <w:color w:val="0000EE"/>
            <w:u w:val="single"/>
          </w:rPr>
          <w:t>Hé 12.5, 9</w:t>
        </w:r>
      </w:hyperlink>
      <w:r>
        <w:t>).</w:t>
      </w:r>
    </w:p>
    <w:p>
      <w:r/>
      <w:r>
        <w:t>Le fruit de la discipline est la connaissance (</w:t>
      </w:r>
      <w:hyperlink r:id="rId4233">
        <w:r>
          <w:rPr>
            <w:color w:val="0000EE"/>
            <w:u w:val="single"/>
          </w:rPr>
          <w:t>Pr 12.1</w:t>
        </w:r>
      </w:hyperlink>
      <w:r>
        <w:t>) et la joie des parents (</w:t>
      </w:r>
      <w:hyperlink r:id="rId4221">
        <w:r>
          <w:rPr>
            <w:color w:val="0000EE"/>
            <w:u w:val="single"/>
          </w:rPr>
          <w:t>29.17</w:t>
        </w:r>
      </w:hyperlink>
      <w:r>
        <w:t>). Celui qui est discipliné peut être qualifié de « béni » (</w:t>
      </w:r>
      <w:hyperlink r:id="rId4212">
        <w:r>
          <w:rPr>
            <w:color w:val="0000EE"/>
            <w:u w:val="single"/>
          </w:rPr>
          <w:t>Jb 5.17</w:t>
        </w:r>
      </w:hyperlink>
      <w:r>
        <w:t xml:space="preserve"> ; </w:t>
      </w:r>
      <w:hyperlink r:id="rId4236">
        <w:r>
          <w:rPr>
            <w:color w:val="0000EE"/>
            <w:u w:val="single"/>
          </w:rPr>
          <w:t>Ps 94.12</w:t>
        </w:r>
      </w:hyperlink>
      <w:r>
        <w:t>). Lorsque le but de la discipline n'est pas précisé, elle est néanmoins comprise comme bonne et juste (</w:t>
      </w:r>
      <w:hyperlink r:id="rId4208">
        <w:r>
          <w:rPr>
            <w:color w:val="0000EE"/>
            <w:u w:val="single"/>
          </w:rPr>
          <w:t>Dt 4.36</w:t>
        </w:r>
      </w:hyperlink>
      <w:r>
        <w:t xml:space="preserve"> ; </w:t>
      </w:r>
      <w:hyperlink r:id="rId4237">
        <w:r>
          <w:rPr>
            <w:color w:val="0000EE"/>
            <w:u w:val="single"/>
          </w:rPr>
          <w:t>Jb 36.10</w:t>
        </w:r>
      </w:hyperlink>
      <w:r>
        <w:t xml:space="preserve"> ; </w:t>
      </w:r>
      <w:hyperlink r:id="rId4217">
        <w:r>
          <w:rPr>
            <w:color w:val="0000EE"/>
            <w:u w:val="single"/>
          </w:rPr>
          <w:t>Pr 13.24</w:t>
        </w:r>
      </w:hyperlink>
      <w:r>
        <w:t xml:space="preserve"> ; </w:t>
      </w:r>
      <w:hyperlink r:id="rId4215">
        <w:r>
          <w:rPr>
            <w:color w:val="0000EE"/>
            <w:u w:val="single"/>
          </w:rPr>
          <w:t>Ap 3.19</w:t>
        </w:r>
      </w:hyperlink>
      <w:r>
        <w:t>). Plus précisément, la discipline est appelée « le chemin de la vie » (</w:t>
      </w:r>
      <w:hyperlink r:id="rId4238">
        <w:r>
          <w:rPr>
            <w:color w:val="0000EE"/>
            <w:u w:val="single"/>
          </w:rPr>
          <w:t>Pr 6.23</w:t>
        </w:r>
      </w:hyperlink>
      <w:r>
        <w:t>). Elle sauve de la destruction (</w:t>
      </w:r>
      <w:hyperlink r:id="rId4218">
        <w:r>
          <w:rPr>
            <w:color w:val="0000EE"/>
            <w:u w:val="single"/>
          </w:rPr>
          <w:t>19.18</w:t>
        </w:r>
      </w:hyperlink>
      <w:r>
        <w:t>) et permet d'échapper à la fois à la folie (</w:t>
      </w:r>
      <w:hyperlink r:id="rId4219">
        <w:r>
          <w:rPr>
            <w:color w:val="0000EE"/>
            <w:u w:val="single"/>
          </w:rPr>
          <w:t>22.15</w:t>
        </w:r>
      </w:hyperlink>
      <w:r>
        <w:t>) et à la condamnation divine du monde (</w:t>
      </w:r>
      <w:hyperlink r:id="rId4239">
        <w:r>
          <w:rPr>
            <w:color w:val="0000EE"/>
            <w:u w:val="single"/>
          </w:rPr>
          <w:t>1Co 11.32</w:t>
        </w:r>
      </w:hyperlink>
      <w:r>
        <w:t>). Elle conduit finalement à prendre part à la sainteté de Dieu (</w:t>
      </w:r>
      <w:hyperlink r:id="rId4240">
        <w:r>
          <w:rPr>
            <w:color w:val="0000EE"/>
            <w:u w:val="single"/>
          </w:rPr>
          <w:t>He 12.7</w:t>
        </w:r>
      </w:hyperlink>
      <w:r>
        <w:t xml:space="preserve">), et elle produit « </w:t>
      </w:r>
      <w:r>
        <w:t>un fruit paisible de justice</w:t>
      </w:r>
      <w:r>
        <w:t xml:space="preserve"> » (v. </w:t>
      </w:r>
      <w:hyperlink r:id="rId4241">
        <w:r>
          <w:rPr>
            <w:color w:val="0000EE"/>
            <w:u w:val="single"/>
          </w:rPr>
          <w:t>11</w:t>
        </w:r>
      </w:hyperlink>
      <w:r>
        <w:t>). En revanche, les conséquences d'un manque de discipline sont dites être l'abandon par Dieu (</w:t>
      </w:r>
      <w:hyperlink r:id="rId4242">
        <w:r>
          <w:rPr>
            <w:color w:val="0000EE"/>
            <w:u w:val="single"/>
          </w:rPr>
          <w:t>Lv 26.23–24</w:t>
        </w:r>
      </w:hyperlink>
      <w:r>
        <w:t>), la mort (</w:t>
      </w:r>
      <w:hyperlink r:id="rId4243">
        <w:r>
          <w:rPr>
            <w:color w:val="0000EE"/>
            <w:u w:val="single"/>
          </w:rPr>
          <w:t>Pr 5.23</w:t>
        </w:r>
      </w:hyperlink>
      <w:r>
        <w:t>) et la destruction (</w:t>
      </w:r>
      <w:hyperlink r:id="rId4218">
        <w:r>
          <w:rPr>
            <w:color w:val="0000EE"/>
            <w:u w:val="single"/>
          </w:rPr>
          <w:t>19.18</w:t>
        </w:r>
      </w:hyperlink>
      <w:r>
        <w:t>).</w:t>
      </w:r>
    </w:p>
    <w:p>
      <w:r/>
      <w:r>
        <w:t>Le livre des Proverbes parle de la discipline comme nécessaire pour éviter l'immoralité sexuelle (</w:t>
      </w:r>
      <w:hyperlink r:id="rId4244">
        <w:r>
          <w:rPr>
            <w:color w:val="0000EE"/>
            <w:u w:val="single"/>
          </w:rPr>
          <w:t>5.12–23</w:t>
        </w:r>
      </w:hyperlink>
      <w:r>
        <w:t xml:space="preserve"> ; </w:t>
      </w:r>
      <w:hyperlink r:id="rId4245">
        <w:r>
          <w:rPr>
            <w:color w:val="0000EE"/>
            <w:u w:val="single"/>
          </w:rPr>
          <w:t>6.23–24</w:t>
        </w:r>
      </w:hyperlink>
      <w:r>
        <w:t>). Les femmes légères ou débauchées symbolisent probablement de nombreuses situations trompeuses et séduisantes. Pour pouvoir agir avec maturité et responsabilité dans de telles situations, il est nécessaire que les jeunes répondent à une discipline parentale sage et aimante afin qu'ils apprennent à vivre des vies disciplinées. Ils feront alors par « inclination naturelle » ce qui est juste parce que leur nature a été façonnée pour ce qui est juste. Le mal peut alors être évité, même lorsqu'il est rencontré de manière inattendue.</w:t>
      </w:r>
    </w:p>
    <w:p>
      <w:r/>
      <w:r>
        <w:t>Le livre des Hébreux exhorte également ses lecteurs à répondre à la discipline plutôt qu'à réagir contre elle. Dans Hébreux, deux réactions nuisibles sont mentionnées et la réponse appropriée est identifiée. D'une part, aucun individu ne devrait prendre à la légère la discipline du Seigneur (</w:t>
      </w:r>
      <w:hyperlink r:id="rId4228">
        <w:r>
          <w:rPr>
            <w:color w:val="0000EE"/>
            <w:u w:val="single"/>
          </w:rPr>
          <w:t>Hé 12.5</w:t>
        </w:r>
      </w:hyperlink>
      <w:r>
        <w:t xml:space="preserve">). La discipline ne doit être considérée ni comme sans valeur ni comme ayant peu de valeur. D'autre part, on ne doit pas perdre courage lorsqu'on est puni par le Seigneur. Autrement dit, la préoccupation par l'aspect négatif de la procédure disciplinaire ne doit pas obscurcir son objectif ni démoraliser les personnes disciplinées. Il y a un but à ce qui se passe, qui doit être recherché et réalisé : « </w:t>
      </w:r>
      <w:r>
        <w:t>Il est vrai que tout châtiment semble d’abord un sujet de tristesse, et non de joie</w:t>
      </w:r>
      <w:r>
        <w:t xml:space="preserve"> </w:t>
      </w:r>
      <w:r>
        <w:t>; mais il produit plus tard pour ceux qui ont été ainsi exercés un fruit paisible de justice</w:t>
      </w:r>
      <w:r>
        <w:t xml:space="preserve"> » (</w:t>
      </w:r>
      <w:hyperlink r:id="rId4241">
        <w:r>
          <w:rPr>
            <w:color w:val="0000EE"/>
            <w:u w:val="single"/>
          </w:rPr>
          <w:t>Hé 12.11</w:t>
        </w:r>
      </w:hyperlink>
      <w:r>
        <w:t>). L'exhortation n'est pas de rejeter la discipline ni de s'en sentir abattu, mais de l'accepter et de s'en trouver instruit.</w:t>
      </w:r>
    </w:p>
    <w:p>
      <w:pPr>
        <w:pStyle w:val="Heading3"/>
      </w:pPr>
      <w:r>
        <w:t>L'Autodiscipline</w:t>
      </w:r>
    </w:p>
    <w:p>
      <w:r/>
      <w:r>
        <w:t>L'éthique de la justice de Jésus accomplit et surpasse à la fois le code strict de l'ancienne alliance (</w:t>
      </w:r>
      <w:hyperlink r:id="rId4246">
        <w:r>
          <w:rPr>
            <w:color w:val="0000EE"/>
            <w:u w:val="single"/>
          </w:rPr>
          <w:t>Mt 5.17–48</w:t>
        </w:r>
      </w:hyperlink>
      <w:r>
        <w:t xml:space="preserve">). Cependant, le chrétien n'est pas pour autant intrinsèquement plus légaliste que le pharisien. En effet, libéré de « la loi du péché et de la mort », le chrétien a en lui « </w:t>
      </w:r>
      <w:r>
        <w:t>la loi de l’esprit de vie en Jésus-Christ</w:t>
      </w:r>
      <w:r>
        <w:t xml:space="preserve"> » (</w:t>
      </w:r>
      <w:hyperlink r:id="rId4247">
        <w:r>
          <w:rPr>
            <w:color w:val="0000EE"/>
            <w:u w:val="single"/>
          </w:rPr>
          <w:t>Rm 8.1–8</w:t>
        </w:r>
      </w:hyperlink>
      <w:r>
        <w:t>), qui lui fournit une dynamique interne qui lui permet d'accomplir la volonté de Dieu. Au-delà de l'obéissance servile à la lettre de la loi, le croyant est habilité par l'Esprit de Dieu qui habite en lui à exercer l'autodiscipline. La transformation spirituelle est accompagnée par le renouvellement de l'esprit (</w:t>
      </w:r>
      <w:hyperlink r:id="rId4248">
        <w:r>
          <w:rPr>
            <w:color w:val="0000EE"/>
            <w:u w:val="single"/>
          </w:rPr>
          <w:t>Rm 12.2</w:t>
        </w:r>
      </w:hyperlink>
      <w:r>
        <w:t>), ce qui apporte une nouvelle compréhension de soi-même, de ses motivations et de ses attitudes.</w:t>
      </w:r>
    </w:p>
    <w:p>
      <w:pPr>
        <w:pStyle w:val="Heading3"/>
      </w:pPr>
      <w:r>
        <w:t>La Discipline parentale</w:t>
      </w:r>
    </w:p>
    <w:p>
      <w:r/>
      <w:r>
        <w:t>La famille constitue l'unité de base de la communauté humaine. Au sein de cette cellule de relations intimes, les parents ont la responsabilité de guider et de corriger leurs enfants (</w:t>
      </w:r>
      <w:hyperlink r:id="rId4249">
        <w:r>
          <w:rPr>
            <w:color w:val="0000EE"/>
            <w:u w:val="single"/>
          </w:rPr>
          <w:t>Dt 6.7</w:t>
        </w:r>
      </w:hyperlink>
      <w:r>
        <w:t xml:space="preserve"> ; </w:t>
      </w:r>
      <w:hyperlink r:id="rId4250">
        <w:r>
          <w:rPr>
            <w:color w:val="0000EE"/>
            <w:u w:val="single"/>
          </w:rPr>
          <w:t>Pr 22.6</w:t>
        </w:r>
      </w:hyperlink>
      <w:r>
        <w:t>). La vision biblique est essentiellement pessimiste quant à la perfectibilité de la nature humaine. Par conséquent, il est conseillé aux parents de ne pas laisser les enfants à la merci de leurs propres tendances naturelles. Les enfants indisciplinés sont des victimes potentielles du conditionnement puissant exercé par une culture majoritairement païenne. Pour exercer correctement leurs responsabilités, les parents doivent poser un modèle des valeurs, des pratiques et des attitudes attendues chez leurs enfants, en plus de les enseigner par l'instruction et la correction.</w:t>
      </w:r>
    </w:p>
    <w:p>
      <w:r/>
      <w:r>
        <w:t>La tâche éducative des parents est mieux accomplie par des moyens positifs tels que le conseil, l'exhortation, les dévotions familiales et la formation chrétienne à l'Église et à l'école du dimanche. Cependant, elle peut également nécessiter des mesures négatives, telles que des interdictions et des actions disciplinaires. Lorsque les avertissements verbaux ne sont pas suivis par de jeunes enfants, la punition devient une forme efficace de persuasion (</w:t>
      </w:r>
      <w:hyperlink r:id="rId4217">
        <w:r>
          <w:rPr>
            <w:color w:val="0000EE"/>
            <w:u w:val="single"/>
          </w:rPr>
          <w:t>Pr 13.24</w:t>
        </w:r>
      </w:hyperlink>
      <w:r>
        <w:t>). La discipline physique, cependant, doit être administrée sur la base de principes clairement énoncés et compris. Les parents chrétiens doivent éviter de punir par colère ou animosité personnelle, et ne doivent jamais causer de blessure à un enfant. La discipline physique doit être considérée comme un dernier recours destiné à obtenir des résultats éducatifs maximaux avec un minimum d'irritation envers les enfants (</w:t>
      </w:r>
      <w:hyperlink r:id="rId4222">
        <w:r>
          <w:rPr>
            <w:color w:val="0000EE"/>
            <w:u w:val="single"/>
          </w:rPr>
          <w:t>Ep 6.4</w:t>
        </w:r>
      </w:hyperlink>
      <w:r>
        <w:t>).</w:t>
      </w:r>
    </w:p>
    <w:p>
      <w:r/>
      <w:r>
        <w:t>La déchéance humaine (</w:t>
      </w:r>
      <w:hyperlink r:id="rId1144">
        <w:r>
          <w:rPr>
            <w:color w:val="0000EE"/>
            <w:u w:val="single"/>
          </w:rPr>
          <w:t>Gn 3</w:t>
        </w:r>
      </w:hyperlink>
      <w:r>
        <w:t xml:space="preserve">) signifie que l'égocentrisme infecte même les enfants (voir </w:t>
      </w:r>
      <w:hyperlink r:id="rId4251">
        <w:r>
          <w:rPr>
            <w:color w:val="0000EE"/>
            <w:u w:val="single"/>
          </w:rPr>
          <w:t>Ps 51.5</w:t>
        </w:r>
      </w:hyperlink>
      <w:r>
        <w:t>). D'une manière ou d'une autre, les enfants doivent apprendre le respect d'eux-mêmes et des autres. Livrés à eux-mêmes et ensuite malmenés par une société déchue, ils peuvent devenir des marginaux rebelles laissant une traînée de chagrin dans leur propre vie et dans celle des autres. L'amour pour ses enfants n'exclut pas l'utilisation de mesures disciplinaires négatives. Aussi désagréables qu'elles puissent paraître aux parents et aux enfants, un véritable amour peut les exiger. Un environnement familial régulé par une fermeté constante et aimante donnera plus de chances aux enfants de mûrir en tant qu'individus responsables et attentionnés.</w:t>
      </w:r>
    </w:p>
    <w:p>
      <w:pPr>
        <w:pStyle w:val="Heading3"/>
      </w:pPr>
      <w:r>
        <w:t>La Discipline d'Église</w:t>
      </w:r>
    </w:p>
    <w:p>
      <w:r/>
      <w:r>
        <w:t>L'Église est, de bien des manières, une grande famille dont chaque croyant est membre. La nature de l'Église, en tant que communauté destinée à refléter dans la foi, la louange et la vie de ses membres le véritable caractère de Dieu, la distingue de tout autre groupe.</w:t>
      </w:r>
    </w:p>
    <w:p>
      <w:r/>
      <w:r>
        <w:t>En même temps, l'Église est appelée à être une communauté ouverte et bienveillante, tendant la main avec compassion aux êtres humains, avec leurs besoins profonds. Les modes de vie chrétiens se distinguent clairement des modes de vie païens. Cette différence crée souvent une barrière isolant les « perdus » des personnes mêmes qui pourraient leur offrir la délivrance de Dieu face à la solitude, aux addictions, à la désorientation, aux relations brisées, etc. L'Église a la responsabilité de ne pas placer d'obstacles non scripturaires sur le chemin de son ouverture aux non-croyants. Cependant, la tension entre ouverture et pureté est difficile à résoudre. Sans un équilibre soigneux, une Église peut facilement devenir indûment restrictive ou excessivement permissive. Dans l'un ou l'autre extrême, son témoignage est compromis.</w:t>
      </w:r>
    </w:p>
    <w:p>
      <w:r/>
      <w:r>
        <w:t xml:space="preserve">La solution au dilemme réside dans l'élaboration d'une discipline d'Église véritablement biblique. Les Écritures offrent à l'Église une abondance de conseils pour établir des barèmes de conduite (voir par exemple </w:t>
      </w:r>
      <w:hyperlink r:id="rId1216">
        <w:r>
          <w:rPr>
            <w:color w:val="0000EE"/>
            <w:u w:val="single"/>
          </w:rPr>
          <w:t>Ex 20.1–17</w:t>
        </w:r>
      </w:hyperlink>
      <w:r>
        <w:t xml:space="preserve"> ; </w:t>
      </w:r>
      <w:hyperlink r:id="rId3006">
        <w:r>
          <w:rPr>
            <w:color w:val="0000EE"/>
            <w:u w:val="single"/>
          </w:rPr>
          <w:t>1Co 5.11</w:t>
        </w:r>
      </w:hyperlink>
      <w:r>
        <w:t xml:space="preserve"> ; </w:t>
      </w:r>
      <w:hyperlink r:id="rId3212">
        <w:r>
          <w:rPr>
            <w:color w:val="0000EE"/>
            <w:u w:val="single"/>
          </w:rPr>
          <w:t>6.9–11</w:t>
        </w:r>
      </w:hyperlink>
      <w:r>
        <w:t xml:space="preserve"> ; </w:t>
      </w:r>
      <w:hyperlink r:id="rId4252">
        <w:r>
          <w:rPr>
            <w:color w:val="0000EE"/>
            <w:u w:val="single"/>
          </w:rPr>
          <w:t>Ep 4.25–32</w:t>
        </w:r>
      </w:hyperlink>
      <w:r>
        <w:t xml:space="preserve"> ; </w:t>
      </w:r>
      <w:hyperlink r:id="rId4253">
        <w:r>
          <w:rPr>
            <w:color w:val="0000EE"/>
            <w:u w:val="single"/>
          </w:rPr>
          <w:t>5.1–21</w:t>
        </w:r>
      </w:hyperlink>
      <w:r>
        <w:t xml:space="preserve"> ; </w:t>
      </w:r>
      <w:hyperlink r:id="rId2933">
        <w:r>
          <w:rPr>
            <w:color w:val="0000EE"/>
            <w:u w:val="single"/>
          </w:rPr>
          <w:t>Col 3.5–11</w:t>
        </w:r>
      </w:hyperlink>
      <w:r>
        <w:t>). Bien que ces barèmes soient clairement édictés, il est néanmoins nécessaire de distinguer entre les absolus bibliques et les normes culturelles. Par exemple, bien que l'ivresse soit expressément interdite dans le Nouveau Testament, il n'y a pas d'interdiction scripturaire concernant la consommation de vin. Certaines Églises permettent de boire mais condamnent l'ivresse, d'autres recommandent l'abstinence à leurs membres, et d'autres encore font de l'abstinence des boissons alcoolisées une condition d'adhésion. Le Nouveau Testament, reconnaissant que des conflits surviennent parfois entre la liberté et la responsabilité chrétiennes, donne des directives pour résoudre de tels conflits (</w:t>
      </w:r>
      <w:hyperlink r:id="rId3241">
        <w:r>
          <w:rPr>
            <w:color w:val="0000EE"/>
            <w:u w:val="single"/>
          </w:rPr>
          <w:t>1Co 8</w:t>
        </w:r>
      </w:hyperlink>
      <w:r>
        <w:t>).</w:t>
      </w:r>
    </w:p>
    <w:p>
      <w:r/>
      <w:r>
        <w:t>Pour assurer une cohérence scripturaire et être crédible, la discipline d'Église devrait s'opposer aux péchés d'attitude avec la même sévérité que les « péchés graves ». Le Nouveau Testament condamne l'immoralité, le meurtre et l'ivresse, mais aussi l'envie, la jalousie, la colère, l'égoïsme, les plaintes et la critique. Chacun de ces vices est un obstacle à l'entrée dans le royaume de Dieu (</w:t>
      </w:r>
      <w:hyperlink r:id="rId2334">
        <w:r>
          <w:rPr>
            <w:color w:val="0000EE"/>
            <w:u w:val="single"/>
          </w:rPr>
          <w:t>Ga 5.19–21</w:t>
        </w:r>
      </w:hyperlink>
      <w:r>
        <w:t>). Les non-croyants se sentent souvent mal accueillis dans l'Église à cause de questions secondaires telles que la cigarette ou l'alcool. Cependant, les commérages, les plaintes et l'égoïsme parmi les membres de l'Église sont rarement exposés et correctement disciplinés. Une position plus cohérente favoriserait la pureté de l'Église et améliorerait également son ministère en tant que centre de soutien et d'acceptation de l'amour chrétien.</w:t>
      </w:r>
    </w:p>
    <w:p>
      <w:r/>
      <w:r>
        <w:t>En plus d'affirmer la nécessité de la discipline au sein de l'Église, le Nouveau Testament décrit une procédure pour mener l'action disciplinaire (</w:t>
      </w:r>
      <w:hyperlink r:id="rId4254">
        <w:r>
          <w:rPr>
            <w:color w:val="0000EE"/>
            <w:u w:val="single"/>
          </w:rPr>
          <w:t>Mt 18.15–18</w:t>
        </w:r>
      </w:hyperlink>
      <w:r>
        <w:t xml:space="preserve"> ; </w:t>
      </w:r>
      <w:hyperlink r:id="rId4255">
        <w:r>
          <w:rPr>
            <w:color w:val="0000EE"/>
            <w:u w:val="single"/>
          </w:rPr>
          <w:t>1Co 5.3–13</w:t>
        </w:r>
      </w:hyperlink>
      <w:r>
        <w:t xml:space="preserve"> ; </w:t>
      </w:r>
      <w:hyperlink r:id="rId3013">
        <w:r>
          <w:rPr>
            <w:color w:val="0000EE"/>
            <w:u w:val="single"/>
          </w:rPr>
          <w:t>Ga 6.1</w:t>
        </w:r>
      </w:hyperlink>
      <w:r>
        <w:t>). Les contrevenants doivent d'abord être approchés et repris en privé. S'ils refusent de se repentir ou de corriger leur comportement, le cas doit être présenté devant la direction de l'Église et ensuite, si nécessaire, devant toute l'assemblée. Si les contrevenants persistent dans leur erreur, ils doivent être ostracisés, non par vindicte mais dans l'espoir de les amener à la repentance et à la restauration (</w:t>
      </w:r>
      <w:hyperlink r:id="rId4256">
        <w:r>
          <w:rPr>
            <w:color w:val="0000EE"/>
            <w:u w:val="single"/>
          </w:rPr>
          <w:t>2Th 3.14–15</w:t>
        </w:r>
      </w:hyperlink>
      <w:r>
        <w:t>).</w:t>
      </w:r>
    </w:p>
    <w:p>
      <w:r/>
      <w:r>
        <w:t>L'accent que met la Bible sur la nécessité de l'autodiscipline, de la discipline parentale et de la discipline d'Église semble accentué par le déclin moral évident dans de nombreux domaines de la société moderne. L'amour de Dieu, tel que décrit dans la Bible et exemplifié par Jésus-Christ, est destiné à enseigner à tous comment vivre. Ceux qui rejettent le « renforcement positif » de Dieu rencontreront les aspects négatifs de sa discipline. Les chrétiens qui se disciplinent eux-mêmes, leurs enfants et les uns les autres de manière aimante honorent Christ et reflètent le modèle de sa façon de vivre, aidant ainsi les autres à comprendre le projet de Dieu.</w:t>
      </w:r>
      <w:r/>
      <w:r/>
    </w:p>
    <w:p>
      <w:r/>
    </w:p>
    <w:p>
      <w:pPr>
        <w:pStyle w:val="Heading2"/>
      </w:pPr>
      <w:r>
        <w:t>Dissolution, débauche</w:t>
      </w:r>
      <w:r/>
    </w:p>
    <w:p>
      <w:r/>
      <w:r>
        <w:t>Indulgence extrême dans les plaisirs sensuels, particulièrement les plaisirs sexuels. Le terme est souvent aussi traduit « débauche » dans les Bibles françaises.</w:t>
      </w:r>
    </w:p>
    <w:p>
      <w:r/>
      <w:r>
        <w:t>La Bible donne plusieurs exemples de ce type de comportement :</w:t>
      </w:r>
    </w:p>
    <w:p>
      <w:pPr>
        <w:pStyle w:val="ListBullet"/>
        <w:spacing w:line="240" w:lineRule="auto"/>
        <w:ind w:left="720"/>
      </w:pPr>
      <w:r/>
      <w:r>
        <w:t xml:space="preserve">Les habitants de Sodome et Gomorrhe vivaient « </w:t>
      </w:r>
      <w:r>
        <w:t>sans frein dans leur dissolution »</w:t>
      </w:r>
      <w:r>
        <w:t xml:space="preserve"> (</w:t>
      </w:r>
      <w:hyperlink r:id="rId4257">
        <w:r>
          <w:rPr>
            <w:color w:val="0000EE"/>
            <w:u w:val="single"/>
          </w:rPr>
          <w:t>2P 2.7).</w:t>
        </w:r>
      </w:hyperlink>
    </w:p>
    <w:p>
      <w:pPr>
        <w:pStyle w:val="ListBullet"/>
        <w:spacing w:line="240" w:lineRule="auto"/>
        <w:ind w:left="720"/>
      </w:pPr>
      <w:r/>
      <w:r>
        <w:t>Certains faux enseignants disaient aux gens qu'ils pouvaient vivre selon leurs convoitises. Eux-mêmes étaient esclaves de leurs propres mauvais désirs (</w:t>
      </w:r>
      <w:hyperlink r:id="rId4258">
        <w:r>
          <w:rPr>
            <w:color w:val="0000EE"/>
            <w:u w:val="single"/>
          </w:rPr>
          <w:t>2P 2.2, 18–19</w:t>
        </w:r>
      </w:hyperlink>
      <w:r>
        <w:t xml:space="preserve"> ; voir aussi </w:t>
      </w:r>
      <w:hyperlink r:id="rId4049">
        <w:r>
          <w:rPr>
            <w:color w:val="0000EE"/>
            <w:u w:val="single"/>
          </w:rPr>
          <w:t>Jd 4</w:t>
        </w:r>
      </w:hyperlink>
      <w:r>
        <w:t>).</w:t>
      </w:r>
    </w:p>
    <w:p>
      <w:pPr>
        <w:pStyle w:val="ListBullet"/>
        <w:spacing w:line="240" w:lineRule="auto"/>
        <w:ind w:left="720"/>
      </w:pPr>
      <w:r/>
      <w:r>
        <w:t>Parmi les Gentils qui ne suivaient pas Jésus, il était commun de se livrer à la dissolution (</w:t>
      </w:r>
      <w:hyperlink r:id="rId4259">
        <w:r>
          <w:rPr>
            <w:color w:val="0000EE"/>
            <w:u w:val="single"/>
          </w:rPr>
          <w:t>Ep 4.19</w:t>
        </w:r>
      </w:hyperlink>
      <w:r>
        <w:t>).</w:t>
      </w:r>
    </w:p>
    <w:p>
      <w:r/>
      <w:r>
        <w:t xml:space="preserve">Dans ses lettres, Paul parle souvent de ceux qui ne contrôlent pas leurs désirs sexuels (traduit « impudicité » dans </w:t>
      </w:r>
      <w:hyperlink r:id="rId4260">
        <w:r>
          <w:rPr>
            <w:color w:val="0000EE"/>
            <w:u w:val="single"/>
          </w:rPr>
          <w:t>Rm 13.13</w:t>
        </w:r>
      </w:hyperlink>
      <w:r>
        <w:t xml:space="preserve"> ; voir aussi </w:t>
      </w:r>
      <w:hyperlink r:id="rId4261">
        <w:r>
          <w:rPr>
            <w:color w:val="0000EE"/>
            <w:u w:val="single"/>
          </w:rPr>
          <w:t>2Co 12.21</w:t>
        </w:r>
      </w:hyperlink>
      <w:r>
        <w:t xml:space="preserve"> ; </w:t>
      </w:r>
      <w:hyperlink r:id="rId4262">
        <w:r>
          <w:rPr>
            <w:color w:val="0000EE"/>
            <w:u w:val="single"/>
          </w:rPr>
          <w:t>Ga 5.19</w:t>
        </w:r>
      </w:hyperlink>
      <w:r>
        <w:t xml:space="preserve">). C'est le même mot qui est traduit « dérèglement » dans </w:t>
      </w:r>
      <w:hyperlink r:id="rId4263">
        <w:r>
          <w:rPr>
            <w:color w:val="0000EE"/>
            <w:u w:val="single"/>
          </w:rPr>
          <w:t>Marc 7.22</w:t>
        </w:r>
      </w:hyperlink>
      <w:r>
        <w:t>, ce qui indique que c'était probablement de ce type de comportement que Jésus voulait mentionner comme péché qui vient du cœur.</w:t>
      </w:r>
      <w:r/>
      <w:r/>
    </w:p>
    <w:p>
      <w:r/>
    </w:p>
    <w:p>
      <w:pPr>
        <w:pStyle w:val="Heading2"/>
      </w:pPr>
      <w:r>
        <w:t>divorce</w:t>
      </w:r>
      <w:r/>
    </w:p>
    <w:p>
      <w:r/>
      <w:r>
        <w:t>Ce que la Bible enseigne concernant le divorce est lié à la façon dont le mariage a été compris pendant différentes périodes bibliques. L'enseignement sur le divorce a évolué au fur et à mesure que Dieu révélait davantage son plan à son peuple.</w:t>
      </w:r>
    </w:p>
    <w:p>
      <w:r/>
      <w:r>
        <w:t>Dans le récit de la création dans le livre de la Genèse, Dieu crée le mariage comme l'union d'un homme et d'une femme qui deviennent « une seule chair » (</w:t>
      </w:r>
      <w:hyperlink r:id="rId2284">
        <w:r>
          <w:rPr>
            <w:color w:val="0000EE"/>
            <w:u w:val="single"/>
          </w:rPr>
          <w:t>Gn 2.24</w:t>
        </w:r>
      </w:hyperlink>
      <w:r>
        <w:t>). Dieu institue ainsi le mariage avant l'entrée du péché dans le monde. Dans ce contexte, il ne peut être question qu'un tel mariage soit dissous. Durant son ministère, Jésus rappelle que cela a été le plan de Dieu pour le mariage dès le tout début. Il explique que cela veut dire que lorsque deux personnes deviennent « une seule chair », elles ne sont plus séparées, mais unies dans un lien qui ne peut être rompu par l'homme (</w:t>
      </w:r>
      <w:hyperlink r:id="rId4264">
        <w:r>
          <w:rPr>
            <w:color w:val="0000EE"/>
            <w:u w:val="single"/>
          </w:rPr>
          <w:t>Mt 19.6</w:t>
        </w:r>
      </w:hyperlink>
      <w:r>
        <w:t>).</w:t>
      </w:r>
    </w:p>
    <w:p>
      <w:pPr>
        <w:pStyle w:val="Heading3"/>
      </w:pPr>
      <w:r>
        <w:t xml:space="preserve">Le divorce dans l'Ancien Testament </w:t>
      </w:r>
    </w:p>
    <w:p>
      <w:r/>
      <w:r>
        <w:t>Lorsque le péché est entré dans le monde, il a profondément endommagé la relation entre les hommes et les femmes. Avant le péché, leurs besoins étaient centrés sur Dieu. Avec l'entrée du péché dans le monde, ils ont été soumis à ce à partir de quoi ils ont été fait. L'homme a désormais dû travailler la terre dont il avait été fait pour en tirer sa nourriture à la sueur de son front (</w:t>
      </w:r>
      <w:hyperlink r:id="rId233">
        <w:r>
          <w:rPr>
            <w:color w:val="0000EE"/>
            <w:u w:val="single"/>
          </w:rPr>
          <w:t>Gn 2.7</w:t>
        </w:r>
      </w:hyperlink>
      <w:r>
        <w:t xml:space="preserve"> ; </w:t>
      </w:r>
      <w:hyperlink r:id="rId247">
        <w:r>
          <w:rPr>
            <w:color w:val="0000EE"/>
            <w:u w:val="single"/>
          </w:rPr>
          <w:t>3.19</w:t>
        </w:r>
      </w:hyperlink>
      <w:r>
        <w:t>). La femme a désormais été soumise à la domination de l'homme, de qui elle avait été faite pour être son aide (</w:t>
      </w:r>
      <w:hyperlink r:id="rId4265">
        <w:r>
          <w:rPr>
            <w:color w:val="0000EE"/>
            <w:u w:val="single"/>
          </w:rPr>
          <w:t>2.22</w:t>
        </w:r>
      </w:hyperlink>
      <w:r>
        <w:t xml:space="preserve"> ; </w:t>
      </w:r>
      <w:hyperlink r:id="rId246">
        <w:r>
          <w:rPr>
            <w:color w:val="0000EE"/>
            <w:u w:val="single"/>
          </w:rPr>
          <w:t>3.16</w:t>
        </w:r>
      </w:hyperlink>
      <w:r>
        <w:t xml:space="preserve">). </w:t>
      </w:r>
    </w:p>
    <w:p>
      <w:r/>
      <w:r>
        <w:t>Avant la chute de l'humanité (quand l'homme a désobéit à Dieu dans le jardin d'Éden), la relation entre l'homme et sa femme était celle de deux personnes également créées à l'image de Dieu (</w:t>
      </w:r>
      <w:hyperlink r:id="rId4266">
        <w:r>
          <w:rPr>
            <w:color w:val="0000EE"/>
            <w:u w:val="single"/>
          </w:rPr>
          <w:t>Gn 1.27</w:t>
        </w:r>
      </w:hyperlink>
      <w:r>
        <w:t xml:space="preserve">). Dieu leur avait donné ensemble la mission de remplir la terre et de l'assujettir (v. </w:t>
      </w:r>
      <w:hyperlink r:id="rId3483">
        <w:r>
          <w:rPr>
            <w:color w:val="0000EE"/>
            <w:u w:val="single"/>
          </w:rPr>
          <w:t>28</w:t>
        </w:r>
      </w:hyperlink>
      <w:r>
        <w:t>). Après la chute, l'homme domine sur la femme (</w:t>
      </w:r>
      <w:hyperlink r:id="rId246">
        <w:r>
          <w:rPr>
            <w:color w:val="0000EE"/>
            <w:u w:val="single"/>
          </w:rPr>
          <w:t>Gn 3.16</w:t>
        </w:r>
      </w:hyperlink>
      <w:r>
        <w:t>). Avec l'arrivée du péché, les hommes ont acquis un pouvoir sur les femmes qu'ils n'avaient pas auparavant. Au lieu que le mariage reste défini comme « une seule chair », la domination de l'homme a rendu possible qu'il prenne plusieurs femmes. Cette inégalité entre l'homme et la femme a produit la polygamie (</w:t>
      </w:r>
      <w:hyperlink r:id="rId4267">
        <w:r>
          <w:rPr>
            <w:color w:val="0000EE"/>
            <w:u w:val="single"/>
          </w:rPr>
          <w:t>Gn 4.19</w:t>
        </w:r>
      </w:hyperlink>
      <w:r>
        <w:t xml:space="preserve"> ; </w:t>
      </w:r>
      <w:hyperlink r:id="rId4268">
        <w:r>
          <w:rPr>
            <w:color w:val="0000EE"/>
            <w:u w:val="single"/>
          </w:rPr>
          <w:t>16.3</w:t>
        </w:r>
      </w:hyperlink>
      <w:r>
        <w:t xml:space="preserve"> ; </w:t>
      </w:r>
      <w:hyperlink r:id="rId4269">
        <w:r>
          <w:rPr>
            <w:color w:val="0000EE"/>
            <w:u w:val="single"/>
          </w:rPr>
          <w:t>29.30</w:t>
        </w:r>
      </w:hyperlink>
      <w:r>
        <w:t>). Elle a également conduit à la « monogamie en série », c'est-à-dire des hommes qui divorcent de leur épouse et en épousent une autre (</w:t>
      </w:r>
      <w:hyperlink r:id="rId4270">
        <w:r>
          <w:rPr>
            <w:color w:val="0000EE"/>
            <w:u w:val="single"/>
          </w:rPr>
          <w:t>Dt 24.1–4</w:t>
        </w:r>
      </w:hyperlink>
      <w:r>
        <w:t>).</w:t>
      </w:r>
    </w:p>
    <w:p>
      <w:r/>
      <w:r>
        <w:t>Le divorce est donc devenu pratique courante comme conséquence de la domination de l'homme sur la femme. Ni cette domination, ni le divorce, ne faisaient partie de la volonté de Dieu pour le mariage. Dans la loi de Moïse, Dieu pourvoit une loi sur le divorce qui reconnaît de fait que l'humanité vit désormais dans un monde pécheur (</w:t>
      </w:r>
      <w:hyperlink r:id="rId4271">
        <w:r>
          <w:rPr>
            <w:color w:val="0000EE"/>
            <w:u w:val="single"/>
          </w:rPr>
          <w:t>Mt 19.8</w:t>
        </w:r>
      </w:hyperlink>
      <w:r>
        <w:t>). Seul l'homme dominateur de la femme pouvait divorcer. Elle ne pouvait pas divorcer de son mari. Étant assujetties à leurs maris, les femmes étaient donc les victimes du divorce.</w:t>
      </w:r>
    </w:p>
    <w:p>
      <w:r/>
      <w:r>
        <w:t>Les règles de divorce du Deutéronome aidaient à protéger les femmes. Le divorce est décrit pour le cas où le mari avait trouvé « quelque chose de honteux » chez sa femme. Le mari devait avoir une raison et peut-être devait-il en justifier pour pouvoir divorcer. Ce qui était compris par « quelque chose de honteux » n'est pas expliqué et a fait l'objet de beaucoup de débat. Le mari devait aussi remettre un certificat de divorce à la femme, ce qui permettait à la femme de pouvoir se remarier (</w:t>
      </w:r>
      <w:hyperlink r:id="rId4272">
        <w:r>
          <w:rPr>
            <w:color w:val="0000EE"/>
            <w:u w:val="single"/>
          </w:rPr>
          <w:t>Dt 24.1</w:t>
        </w:r>
      </w:hyperlink>
      <w:r>
        <w:t>). Ceci était très important pour protéger les femmes, car une femme sans mari pour pourvoir à ses besoins et la protéger était très vulnérable. De plus, si la femme se remariait et divorçait à nouveau ou devenait veuve, son premier mari ne pouvait pas l'épouser à nouveau. Dans cette situation, la femme est décrite comme ayant été souillée par ce qui s'est passé (</w:t>
      </w:r>
      <w:hyperlink r:id="rId4273">
        <w:r>
          <w:rPr>
            <w:color w:val="0000EE"/>
            <w:u w:val="single"/>
          </w:rPr>
          <w:t>Dt 24.4</w:t>
        </w:r>
      </w:hyperlink>
      <w:r>
        <w:t>).</w:t>
      </w:r>
    </w:p>
    <w:p>
      <w:r/>
      <w:r>
        <w:t>Dieu a permis le divorce dans la loi de Moïse à cause de la dureté du cœur humain (</w:t>
      </w:r>
      <w:hyperlink r:id="rId4271">
        <w:r>
          <w:rPr>
            <w:color w:val="0000EE"/>
            <w:u w:val="single"/>
          </w:rPr>
          <w:t>Mt 19.8</w:t>
        </w:r>
      </w:hyperlink>
      <w:r>
        <w:t>). Cependant, l'AT déclare clairement que Dieu hait le divorce (</w:t>
      </w:r>
      <w:hyperlink r:id="rId4274">
        <w:r>
          <w:rPr>
            <w:color w:val="0000EE"/>
            <w:u w:val="single"/>
          </w:rPr>
          <w:t>Ml 2.16</w:t>
        </w:r>
      </w:hyperlink>
      <w:r>
        <w:t>). Il n'était permis que parce que la domination de l'homme sur la femme était une conséquence du péché. Le dessein original de Dieu pour le mariage de l'homme et de la femme reste la norme parfaite : les deux devaient devenir et rester « une seule chair ».</w:t>
      </w:r>
    </w:p>
    <w:p>
      <w:pPr>
        <w:pStyle w:val="Heading3"/>
      </w:pPr>
      <w:r>
        <w:t>L'enseignement de Jésus sur le divorce</w:t>
      </w:r>
    </w:p>
    <w:p>
      <w:r/>
      <w:r>
        <w:t>Jésus est venu pour restaurer le plan original de Dieu pour la création. Il enseigne clairement que les anciennes règles concernant le divorce ne s'appliquent plus aux croyants. Jésus ramène ses disciples au dessein initial de Dieu pour le mariage. Ayant déclaré que le divorce avait été permis dans la loi de Moïse à cause de la dureté de cœur des Israélites, il précise : « au commencement, il n’en était pas ainsi » (</w:t>
      </w:r>
      <w:hyperlink r:id="rId4271">
        <w:r>
          <w:rPr>
            <w:color w:val="0000EE"/>
            <w:u w:val="single"/>
          </w:rPr>
          <w:t>Mt 19.8</w:t>
        </w:r>
      </w:hyperlink>
      <w:r>
        <w:t>). Jésus rejette ce qui avait été produit par la chute de l'homme et son péché, et confirme qu'il faut suivre le plan initial de Dieu à la création.</w:t>
      </w:r>
    </w:p>
    <w:p>
      <w:r/>
      <w:r>
        <w:t xml:space="preserve">Dans </w:t>
      </w:r>
      <w:hyperlink r:id="rId3226">
        <w:r>
          <w:rPr>
            <w:color w:val="0000EE"/>
            <w:u w:val="single"/>
          </w:rPr>
          <w:t>Matthieu 5.31–32,</w:t>
        </w:r>
      </w:hyperlink>
      <w:r>
        <w:t xml:space="preserve"> Jésus refuse aux hommes le droit de divorcer sauf en cas d'infidélité (voir aussi </w:t>
      </w:r>
      <w:hyperlink r:id="rId351">
        <w:r>
          <w:rPr>
            <w:color w:val="0000EE"/>
            <w:u w:val="single"/>
          </w:rPr>
          <w:t>Mt 19.9</w:t>
        </w:r>
      </w:hyperlink>
      <w:r>
        <w:t>). Un homme divorçant de sa femme lui donne la possibilité de se remarier avec un autre homme, leur faisant commettre à tous les deux un adultère. Le divorce provoque donc l'adultère.</w:t>
      </w:r>
    </w:p>
    <w:p>
      <w:r/>
      <w:r>
        <w:t xml:space="preserve">Jésus enseigne clairement que ni hommes ni femmes n'ont le droit de divorcer à leur guise devant Dieu (voir aussi </w:t>
      </w:r>
      <w:hyperlink r:id="rId3227">
        <w:r>
          <w:rPr>
            <w:color w:val="0000EE"/>
            <w:u w:val="single"/>
          </w:rPr>
          <w:t>Mc 10.11–12</w:t>
        </w:r>
      </w:hyperlink>
      <w:r>
        <w:t>). Son enseignement rétablit le plan original de Dieu dans lequel le mariage est une union pour la vie, les deux devenant une chair inséparable. Ses disciples ont compris ce que cela signifiait. Cependant, ils étaient tellement habitués à ce que les hommes aient des droits spéciaux que leur première réaction a été de dire que s'il en était ainsi, il valait mieux rester célibataire que de s'engager dans un mariage pour la vie (</w:t>
      </w:r>
      <w:hyperlink r:id="rId4275">
        <w:r>
          <w:rPr>
            <w:color w:val="0000EE"/>
            <w:u w:val="single"/>
          </w:rPr>
          <w:t>Mt 19.10</w:t>
        </w:r>
      </w:hyperlink>
      <w:r>
        <w:t xml:space="preserve">). </w:t>
      </w:r>
    </w:p>
    <w:p>
      <w:r/>
      <w:r>
        <w:t>Le Nouveau Testament (NT) confirme l'enseignement de Jésus concernant le mariage en comparant la relation maritale à celle entre Christ et son Église (</w:t>
      </w:r>
      <w:hyperlink r:id="rId4276">
        <w:r>
          <w:rPr>
            <w:color w:val="0000EE"/>
            <w:u w:val="single"/>
          </w:rPr>
          <w:t>Ep 5.25</w:t>
        </w:r>
      </w:hyperlink>
      <w:r>
        <w:t>). Toutefois, même si le NT considère le mariage comme une union à vie, le divorce est permis dans deux situations. Dans chaque cas, le but est de protéger un conjoint lorsque l'autre abandonne la relation maritale. Jésus déclare que l'exception à l'interdiction de divorcer est quand l'un des époux a commis l'adultère (</w:t>
      </w:r>
      <w:hyperlink r:id="rId350">
        <w:r>
          <w:rPr>
            <w:color w:val="0000EE"/>
            <w:u w:val="single"/>
          </w:rPr>
          <w:t>Mt 5.32</w:t>
        </w:r>
      </w:hyperlink>
      <w:r>
        <w:t xml:space="preserve"> ; </w:t>
      </w:r>
      <w:hyperlink r:id="rId351">
        <w:r>
          <w:rPr>
            <w:color w:val="0000EE"/>
            <w:u w:val="single"/>
          </w:rPr>
          <w:t>19.9</w:t>
        </w:r>
      </w:hyperlink>
      <w:r>
        <w:t>). Ce n'est pas un commandement de divorcer. Le conjoint qui est victime de cette infidélité peut choisir de ne pas le faire. Toutefois, il n'est pas tenu de rester marié à un conjoint infidèle ou de le reprendre.</w:t>
      </w:r>
    </w:p>
    <w:p>
      <w:r/>
      <w:r>
        <w:t>Le NT permet le divorce dans une autre situation. Lorsqu'un conjoint non-chrétien choisit de partir, le chrétien n'est plus lié par la relation maritale (</w:t>
      </w:r>
      <w:hyperlink r:id="rId3232">
        <w:r>
          <w:rPr>
            <w:color w:val="0000EE"/>
            <w:u w:val="single"/>
          </w:rPr>
          <w:t>1Co 7.15</w:t>
        </w:r>
      </w:hyperlink>
      <w:r>
        <w:t>). Le chrétien peut donc divorcer en cas d'adultère de l'autre conjoint ou accepter le divorce qu'exige un conjoint non-chrétien. Si un couple chrétien se sépare, ni l'un ni l'autre n'ont le droit de se remarier. Ils doivent chercher la réconciliation (</w:t>
      </w:r>
      <w:hyperlink r:id="rId3229">
        <w:r>
          <w:rPr>
            <w:color w:val="0000EE"/>
            <w:u w:val="single"/>
          </w:rPr>
          <w:t>1Co 7.10–11</w:t>
        </w:r>
      </w:hyperlink>
      <w:r>
        <w:t>). Le chrétien victime d'infidélité ou victime d'abandon par un conjoint non-chrétien est libre de se remarier, mais seulement avec quelqu'un qui est également chrétien (</w:t>
      </w:r>
      <w:hyperlink r:id="rId4277">
        <w:r>
          <w:rPr>
            <w:color w:val="0000EE"/>
            <w:u w:val="single"/>
          </w:rPr>
          <w:t>1Co 7.39</w:t>
        </w:r>
      </w:hyperlink>
      <w:r>
        <w:t>).</w:t>
      </w:r>
    </w:p>
    <w:p>
      <w:r/>
      <w:r>
        <w:t>Si une personne seule n'a pas le don du célibat, elle devrait se marier (</w:t>
      </w:r>
      <w:hyperlink r:id="rId4278">
        <w:r>
          <w:rPr>
            <w:color w:val="0000EE"/>
            <w:u w:val="single"/>
          </w:rPr>
          <w:t>1Co 7.9</w:t>
        </w:r>
      </w:hyperlink>
      <w:r>
        <w:t>). Cela est applicable aux personnes redevenues célibataires à la suite d'un divorce causé par l'un des deux cas décrits ci-dessus. Cependant, l'enseignement de Jésus signifie clairement que les croyants ne devraient pas divorcer dans le but d'épouser quelqu'un d'autre (</w:t>
      </w:r>
      <w:hyperlink r:id="rId3227">
        <w:r>
          <w:rPr>
            <w:color w:val="0000EE"/>
            <w:u w:val="single"/>
          </w:rPr>
          <w:t>Mc 10.11–12</w:t>
        </w:r>
      </w:hyperlink>
      <w:r>
        <w:t xml:space="preserve"> ; </w:t>
      </w:r>
      <w:hyperlink r:id="rId3228">
        <w:r>
          <w:rPr>
            <w:color w:val="0000EE"/>
            <w:u w:val="single"/>
          </w:rPr>
          <w:t>Lc 16.18</w:t>
        </w:r>
      </w:hyperlink>
      <w:r>
        <w:t>). Utiliser le divorce de cette manière produit l'adultère.</w:t>
      </w:r>
    </w:p>
    <w:p>
      <w:r/>
      <w:r>
        <w:t>Le mariage échoue souvent pour de nombreuses raisons. Les Églises devraient traiter chaque cas de divorce et de remariage individuellement. Dieu peut pardonner les péchés et guérir les vies brisées. Les instructions de la Bible concernant le divorce ne s'appliquent pas aux mariages qui se sont terminés avant que quelqu'un devienne chrétien. Lorsqu'une personne devient chrétienne, Dieu pardonne ses péchés passés et en fait une nouvelle personne en Christ.</w:t>
      </w:r>
    </w:p>
    <w:p>
      <w:r/>
      <w:r>
        <w:rPr>
          <w:i/>
        </w:rPr>
        <w:t>Voir aussi</w:t>
      </w:r>
      <w:r>
        <w:t xml:space="preserve"> </w:t>
      </w:r>
      <w:r>
        <w:t>adultère</w:t>
      </w:r>
      <w:r>
        <w:t xml:space="preserve"> ; </w:t>
      </w:r>
      <w:r>
        <w:t>droit civil et justice</w:t>
      </w:r>
      <w:r>
        <w:t xml:space="preserve"> ; </w:t>
      </w:r>
      <w:r>
        <w:t>mariage, coutumes matrimoniales</w:t>
      </w:r>
      <w:r>
        <w:t xml:space="preserve"> ; </w:t>
      </w:r>
      <w:r>
        <w:t>sexe, sexualité</w:t>
      </w:r>
      <w:r>
        <w:t>.</w:t>
      </w:r>
      <w:r/>
      <w:r/>
    </w:p>
    <w:p>
      <w:r/>
    </w:p>
    <w:p>
      <w:pPr>
        <w:pStyle w:val="Heading2"/>
      </w:pPr>
      <w:r>
        <w:t>Divorce (lettre de)</w:t>
      </w:r>
      <w:r/>
    </w:p>
    <w:p>
      <w:r/>
      <w:r>
        <w:t>Lettre qu'un homme devait donner quand il renvoyait sa femme pour déclarer qu'elle n'était plus sa femme. La loi de Moïse obligeait tout homme qui renvoyait sa femme à lui donner cette lettre (</w:t>
      </w:r>
      <w:hyperlink r:id="rId4270">
        <w:r>
          <w:rPr>
            <w:color w:val="0000EE"/>
            <w:u w:val="single"/>
          </w:rPr>
          <w:t>Dt 24.1–4</w:t>
        </w:r>
      </w:hyperlink>
      <w:r>
        <w:t xml:space="preserve"> ; voir </w:t>
      </w:r>
      <w:hyperlink r:id="rId4279">
        <w:r>
          <w:rPr>
            <w:color w:val="0000EE"/>
            <w:u w:val="single"/>
          </w:rPr>
          <w:t>Mt 5.31</w:t>
        </w:r>
      </w:hyperlink>
      <w:r>
        <w:t xml:space="preserve"> ; </w:t>
      </w:r>
      <w:hyperlink r:id="rId4280">
        <w:r>
          <w:rPr>
            <w:color w:val="0000EE"/>
            <w:u w:val="single"/>
          </w:rPr>
          <w:t>19.7</w:t>
        </w:r>
      </w:hyperlink>
      <w:r>
        <w:t xml:space="preserve"> ; </w:t>
      </w:r>
      <w:hyperlink r:id="rId4281">
        <w:r>
          <w:rPr>
            <w:color w:val="0000EE"/>
            <w:u w:val="single"/>
          </w:rPr>
          <w:t>Mc 10.4</w:t>
        </w:r>
      </w:hyperlink>
      <w:r>
        <w:t>). Cette lettre protégeait les droits de la femme. En effet, c'était une preuve qu'elle n'était plus mariée. Elle pouvait donc se remarier. La lettre empêchait aussi son ancien mari de garder sa dot et les objets de valeur que la famille de la femme avait donnés et qui faisaient partie de l'accord de mariage.</w:t>
      </w:r>
    </w:p>
    <w:p>
      <w:r/>
      <w:r>
        <w:t xml:space="preserve">Les paroles de Dieu prononcés dans </w:t>
      </w:r>
      <w:hyperlink r:id="rId4282">
        <w:r>
          <w:rPr>
            <w:color w:val="0000EE"/>
            <w:u w:val="single"/>
          </w:rPr>
          <w:t>Osée 2.2</w:t>
        </w:r>
      </w:hyperlink>
      <w:r>
        <w:t xml:space="preserve"> ressemblent à une lettre de divorce : « </w:t>
      </w:r>
      <w:r>
        <w:t>elle n’est point ma femme, et je ne suis point son mari</w:t>
      </w:r>
      <w:r>
        <w:t xml:space="preserve"> ». Les prophètes de l'Ancien Testament parlent plusieurs fois de lettre de divorce pour montrer que Dieu voulait se séparer de son peuple, qui lui était infidèle (</w:t>
      </w:r>
      <w:hyperlink r:id="rId2397">
        <w:r>
          <w:rPr>
            <w:color w:val="0000EE"/>
            <w:u w:val="single"/>
          </w:rPr>
          <w:t>Es 50.1</w:t>
        </w:r>
      </w:hyperlink>
      <w:r>
        <w:t xml:space="preserve"> ; </w:t>
      </w:r>
      <w:hyperlink r:id="rId4283">
        <w:r>
          <w:rPr>
            <w:color w:val="0000EE"/>
            <w:u w:val="single"/>
          </w:rPr>
          <w:t>Jr 3.8</w:t>
        </w:r>
      </w:hyperlink>
      <w:r>
        <w:t>).</w:t>
      </w:r>
    </w:p>
    <w:p>
      <w:r/>
      <w:r>
        <w:rPr>
          <w:i/>
        </w:rPr>
        <w:t>Voir aussi</w:t>
      </w:r>
      <w:r>
        <w:t xml:space="preserve"> </w:t>
      </w:r>
      <w:r>
        <w:t>droit civil et justice</w:t>
      </w:r>
      <w:r>
        <w:t xml:space="preserve"> ; </w:t>
      </w:r>
      <w:r>
        <w:t>divorce</w:t>
      </w:r>
      <w:r>
        <w:t xml:space="preserve"> ; </w:t>
      </w:r>
      <w:r>
        <w:t>mariage, coutumes matrimoniales</w:t>
      </w:r>
      <w:r>
        <w:t>.</w:t>
      </w:r>
      <w:r/>
      <w:r/>
    </w:p>
    <w:p>
      <w:r/>
    </w:p>
    <w:p>
      <w:pPr>
        <w:pStyle w:val="Heading2"/>
      </w:pPr>
      <w:r>
        <w:t>Docteur de la loi</w:t>
      </w:r>
      <w:r/>
    </w:p>
    <w:p>
      <w:r/>
      <w:r>
        <w:t xml:space="preserve">Un docteur de la loi est un « enseignant de la loi ». C'est un spécialiste dans le domaine de la loi biblique, c'est-à-dire de l'Ancien Testament. Ce titre est mentionné dans </w:t>
      </w:r>
      <w:hyperlink r:id="rId4284">
        <w:r>
          <w:rPr>
            <w:color w:val="0000EE"/>
            <w:u w:val="single"/>
          </w:rPr>
          <w:t>Luc 5.17</w:t>
        </w:r>
      </w:hyperlink>
      <w:r>
        <w:t xml:space="preserve"> et </w:t>
      </w:r>
      <w:hyperlink r:id="rId4285">
        <w:r>
          <w:rPr>
            <w:color w:val="0000EE"/>
            <w:u w:val="single"/>
          </w:rPr>
          <w:t>Actes 5.34</w:t>
        </w:r>
      </w:hyperlink>
      <w:r>
        <w:t>.</w:t>
      </w:r>
    </w:p>
    <w:p>
      <w:r/>
      <w:r>
        <w:rPr>
          <w:i/>
        </w:rPr>
        <w:t>Voir</w:t>
      </w:r>
      <w:r>
        <w:t xml:space="preserve"> </w:t>
      </w:r>
      <w:r>
        <w:t>Pharisiens</w:t>
      </w:r>
      <w:r>
        <w:t xml:space="preserve"> ; </w:t>
      </w:r>
      <w:r>
        <w:t>Enseignant</w:t>
      </w:r>
      <w:r>
        <w:t>.</w:t>
      </w:r>
      <w:r/>
      <w:r/>
    </w:p>
    <w:p>
      <w:r/>
    </w:p>
    <w:p>
      <w:pPr>
        <w:pStyle w:val="Heading2"/>
      </w:pPr>
      <w:r>
        <w:t>Dodanim</w:t>
      </w:r>
      <w:r/>
    </w:p>
    <w:p>
      <w:r/>
      <w:r>
        <w:t>Descendants du fils de Noé, Japhet (</w:t>
      </w:r>
      <w:hyperlink r:id="rId4286">
        <w:r>
          <w:rPr>
            <w:color w:val="0000EE"/>
            <w:u w:val="single"/>
          </w:rPr>
          <w:t>Gn 10.4</w:t>
        </w:r>
      </w:hyperlink>
      <w:r>
        <w:t xml:space="preserve">). Le nom est corrigé en Rodanim dans </w:t>
      </w:r>
      <w:hyperlink r:id="rId4287">
        <w:r>
          <w:rPr>
            <w:color w:val="0000EE"/>
            <w:u w:val="single"/>
          </w:rPr>
          <w:t>1Ch 1.7</w:t>
        </w:r>
      </w:hyperlink>
      <w:r>
        <w:t xml:space="preserve">. </w:t>
      </w:r>
      <w:r>
        <w:rPr>
          <w:i/>
        </w:rPr>
        <w:t>Voir</w:t>
      </w:r>
      <w:r>
        <w:t xml:space="preserve"> </w:t>
      </w:r>
      <w:r>
        <w:t>Rodanim</w:t>
      </w:r>
      <w:r>
        <w:t>.</w:t>
      </w:r>
      <w:r/>
      <w:r/>
    </w:p>
    <w:p>
      <w:r/>
    </w:p>
    <w:p>
      <w:pPr>
        <w:pStyle w:val="Heading2"/>
      </w:pPr>
      <w:r>
        <w:t>Dorcas</w:t>
      </w:r>
      <w:r/>
    </w:p>
    <w:p>
      <w:r/>
      <w:r>
        <w:t>Dorcas était une femme chrétienne qui vivait à Joppé en Judée. Les gens la connaissaient pour ses actes de charité (</w:t>
      </w:r>
      <w:hyperlink r:id="rId4288">
        <w:r>
          <w:rPr>
            <w:color w:val="0000EE"/>
            <w:u w:val="single"/>
          </w:rPr>
          <w:t>Ac 9.36–41</w:t>
        </w:r>
      </w:hyperlink>
      <w:r>
        <w:t xml:space="preserve">). </w:t>
      </w:r>
      <w:hyperlink r:id="rId4192">
        <w:r>
          <w:rPr>
            <w:color w:val="0000EE"/>
            <w:u w:val="single"/>
          </w:rPr>
          <w:t xml:space="preserve">Actes 9.36 </w:t>
        </w:r>
      </w:hyperlink>
      <w:r>
        <w:t>désigne</w:t>
      </w:r>
      <w:hyperlink r:id="rId4192">
        <w:r>
          <w:rPr>
            <w:color w:val="0000EE"/>
            <w:u w:val="single"/>
          </w:rPr>
          <w:t xml:space="preserve"> </w:t>
        </w:r>
      </w:hyperlink>
      <w:r>
        <w:t>Dorcas comme une disciple</w:t>
      </w:r>
      <w:hyperlink r:id="rId4192">
        <w:r>
          <w:rPr>
            <w:color w:val="0000EE"/>
            <w:u w:val="single"/>
          </w:rPr>
          <w:t>.</w:t>
        </w:r>
      </w:hyperlink>
      <w:r>
        <w:t xml:space="preserve"> C'est la seule fois dans le Nouveau Testament où l'auteur utilise la forme féminine du mot « disciple » dans le texte grec original. Nous ne savons pas si elle était juive ou grecque, car les Juifs et les Grecs utilisaient couramment son nom grec « Dorcas ». Son nom araméen était « Tabitha », ce qui signifiait « gazelle ».</w:t>
      </w:r>
    </w:p>
    <w:p>
      <w:r/>
      <w:r>
        <w:t>Quand Dorcas est morte, l'apôtre Pierre séjournait dans une ville voisine appelée Lydde. Les gens avaient entendu parler de la façon dont Pierre guérissait les autres là-bas, alors ils ont envoyé deux hommes pour amener Pierre à Joppé. Lorsque Pierre arrive, d'autres avaient déjà préparé le corps de Dorcas pour l'enterrement et l'avaient placé dans une chambre haute. Pierre demandera à tous les pleureurs de quitter la pièce, puis s'agenouillera pour prier et ressuscitera Dorcas. Ce miracle de ramener quelqu'un à la vie sera le premier miracle de ce type accompli par un apôtre.</w:t>
      </w:r>
      <w:r/>
      <w:r/>
    </w:p>
    <w:p>
      <w:r/>
    </w:p>
    <w:p>
      <w:pPr>
        <w:pStyle w:val="Heading2"/>
      </w:pPr>
      <w:r>
        <w:t>Dothan</w:t>
      </w:r>
      <w:r/>
    </w:p>
    <w:p>
      <w:r/>
      <w:r>
        <w:t>Ville antique située à environ 100 km au nord de Jérusalem, 20 km au nord de la ville de Samarie, et à environ 8 km au sud-est de Meguiddo. Les deux villes d'En-Gannim (aujourd'hui Jenin) et Jibleam surveillaient un passage étroit sur la route menant à Dothan et vers la plaine côtière.</w:t>
      </w:r>
    </w:p>
    <w:p>
      <w:r/>
      <w:r>
        <w:t>Le monticule de Tell Dotha, le site actuel de Dothan, s'élève à 60 m au-dessus de la plaine environnante jusqu'à une hauteur de 360 m au-dessus du niveau de la mer. Le sommet du monticule couvre environ 4 hectares. De là, on peut contempler une terre fertile offrant de bonnes récoltes. Les troupeaux y paissent toujours, comme à l'époque biblique, attirés en partie par l'eau adéquate fournie par ses sources.</w:t>
      </w:r>
    </w:p>
    <w:p>
      <w:r/>
      <w:r>
        <w:t>Dothan est le lieu où les frères de Joseph l'ont vendu à une caravane d'Ismaélites (</w:t>
      </w:r>
      <w:hyperlink r:id="rId4289">
        <w:r>
          <w:rPr>
            <w:color w:val="0000EE"/>
            <w:u w:val="single"/>
          </w:rPr>
          <w:t>Gn 37</w:t>
        </w:r>
      </w:hyperlink>
      <w:r>
        <w:t>). Un millénaire plus tard, la ville sera entourée par les forces syriennes alors qu'ils tentaient de capturer Élisée, qui y vivait et était soupçonné de trahir les plans syriens au roi israélite (</w:t>
      </w:r>
      <w:hyperlink r:id="rId4290">
        <w:r>
          <w:rPr>
            <w:color w:val="0000EE"/>
            <w:u w:val="single"/>
          </w:rPr>
          <w:t>2R 6.8–14</w:t>
        </w:r>
      </w:hyperlink>
      <w:r>
        <w:t>). Dothan est également mentionnée dans les listes des lieux conquis par le Pharaon Thoutmôsis III et, pendant la période intertestamentaire, en lien avec les campagnes militaires d'Holopherne.</w:t>
      </w:r>
      <w:r/>
      <w:r/>
    </w:p>
    <w:p>
      <w:r/>
    </w:p>
    <w:p>
      <w:pPr>
        <w:pStyle w:val="Heading2"/>
      </w:pPr>
      <w:r>
        <w:t>Droit d'aînesse</w:t>
      </w:r>
      <w:r/>
    </w:p>
    <w:p>
      <w:r/>
      <w:r>
        <w:t>Dans les familles hébraïques anciennes, le droit d'aînesse était un ensemble particulier de droits et de privilèges appartenant au fils aîné. Ce dernier était le deuxième en importance après son père. En l'absence du père, le fils aîné avait l'autorité de prendre des décisions pour la famille.</w:t>
      </w:r>
    </w:p>
    <w:p>
      <w:r/>
      <w:r>
        <w:t>Nous pouvons voir comment cela fonctionnait dans l'histoire de Ruben et de ses frères cadets dans la Genèse. Ruben était le fils aîné et avait le droit d'aînesse (</w:t>
      </w:r>
      <w:hyperlink r:id="rId4291">
        <w:r>
          <w:rPr>
            <w:color w:val="0000EE"/>
            <w:u w:val="single"/>
          </w:rPr>
          <w:t>Gn 37.19–22, 28–30</w:t>
        </w:r>
      </w:hyperlink>
      <w:r>
        <w:t>). Il a ensuite fait quelque chose de très mauvais, couchant avec l'une des femmes de son père. À cause de ce péché, il perdra son droit d'aînesse (</w:t>
      </w:r>
      <w:hyperlink r:id="rId4292">
        <w:r>
          <w:rPr>
            <w:color w:val="0000EE"/>
            <w:u w:val="single"/>
          </w:rPr>
          <w:t>Gn 49.1–4</w:t>
        </w:r>
      </w:hyperlink>
      <w:r>
        <w:t>).</w:t>
      </w:r>
    </w:p>
    <w:p>
      <w:r/>
      <w:r>
        <w:t>Après avoir perdu son droit d'aînesse, les frères cadets de Ruben (Siméon, Lévi et Juda) étaient les suivants dans la lignée de Jacob (</w:t>
      </w:r>
      <w:hyperlink r:id="rId4293">
        <w:r>
          <w:rPr>
            <w:color w:val="0000EE"/>
            <w:u w:val="single"/>
          </w:rPr>
          <w:t>Gn 29.31–35</w:t>
        </w:r>
      </w:hyperlink>
      <w:r>
        <w:t>). Cependant, leur père Jacob décidera de ne pas donner le droit d'aînesse à Siméon ou Lévi du fait de la démonstration de leur mauvais caractère (</w:t>
      </w:r>
      <w:hyperlink r:id="rId4294">
        <w:r>
          <w:rPr>
            <w:color w:val="0000EE"/>
            <w:u w:val="single"/>
          </w:rPr>
          <w:t>Gn 49.5–7</w:t>
        </w:r>
      </w:hyperlink>
      <w:r>
        <w:t>). Jacob a parlé en bien de Juda (</w:t>
      </w:r>
      <w:hyperlink r:id="rId4295">
        <w:r>
          <w:rPr>
            <w:color w:val="0000EE"/>
            <w:u w:val="single"/>
          </w:rPr>
          <w:t>Gn 49.8–10</w:t>
        </w:r>
      </w:hyperlink>
      <w:r>
        <w:t>). Cependant, il choisira de donner le droit d'aînesse à son fils préféré Joseph à la place (</w:t>
      </w:r>
      <w:hyperlink r:id="rId4296">
        <w:r>
          <w:rPr>
            <w:color w:val="0000EE"/>
            <w:u w:val="single"/>
          </w:rPr>
          <w:t>Gn 49.22–26</w:t>
        </w:r>
      </w:hyperlink>
      <w:r>
        <w:t xml:space="preserve"> ; </w:t>
      </w:r>
      <w:hyperlink r:id="rId4297">
        <w:r>
          <w:rPr>
            <w:color w:val="0000EE"/>
            <w:u w:val="single"/>
          </w:rPr>
          <w:t>1Ch 5.1–2</w:t>
        </w:r>
      </w:hyperlink>
      <w:r>
        <w:t xml:space="preserve"> ; voir </w:t>
      </w:r>
      <w:hyperlink r:id="rId4298">
        <w:r>
          <w:rPr>
            <w:color w:val="0000EE"/>
            <w:u w:val="single"/>
          </w:rPr>
          <w:t>Gn 37.2–4</w:t>
        </w:r>
      </w:hyperlink>
      <w:r>
        <w:t>).</w:t>
      </w:r>
    </w:p>
    <w:p>
      <w:pPr>
        <w:pStyle w:val="Heading3"/>
      </w:pPr>
      <w:r>
        <w:t>Le droit d'aînesse dans les temps anciens</w:t>
      </w:r>
    </w:p>
    <w:p>
      <w:r/>
      <w:r>
        <w:t xml:space="preserve">Les archéologues ont découvert d'anciennes tablettes d'argile dans un lieu appelé Nuzi en Mésopotamie. Ces tablettes nous indiquent que les membres de la famille pouvaient échanger ou troquer leurs droits d'aînesse entre eux. Nous voyons un exemple de cela dans la Bible lorsqu'Ésaü échange son droit d'aînesse avec son frère Jacob (voir </w:t>
      </w:r>
      <w:hyperlink r:id="rId4299">
        <w:r>
          <w:rPr>
            <w:color w:val="0000EE"/>
            <w:u w:val="single"/>
          </w:rPr>
          <w:t>Gn 25.19–34</w:t>
        </w:r>
      </w:hyperlink>
      <w:r>
        <w:t>).</w:t>
      </w:r>
    </w:p>
    <w:p>
      <w:r/>
      <w:r>
        <w:t>La personne qui avait le droit d'aînesse gardait également des objets spéciaux appelés « théraphim » ou idoles domestiques (</w:t>
      </w:r>
      <w:hyperlink r:id="rId4300">
        <w:r>
          <w:rPr>
            <w:color w:val="0000EE"/>
            <w:u w:val="single"/>
          </w:rPr>
          <w:t>Gn 31.19, 32, 34</w:t>
        </w:r>
      </w:hyperlink>
      <w:r>
        <w:t>). Il s'agissait de petites figures en argile représentant les dieux que les gens adoraient dans leur région. Posséder ces idoles montrait que le fils aîné avait autorité dans la famille.</w:t>
      </w:r>
    </w:p>
    <w:p>
      <w:r/>
      <w:r>
        <w:t>Avoir le droit d'aînesse signifiait deux choses importantes : tout d'abord, la personne deviendrait le chef de famille. Ensuite, elle recevrait un héritage deux fois plus grand que celui de ses frères.</w:t>
      </w:r>
    </w:p>
    <w:p>
      <w:r/>
      <w:r>
        <w:t>Dans l'Israël antique, les hommes pouvaient avoir plus d'une épouse. La loi stipulait que le droit d'aînesse devait revenir au premier fils né du père, même si le père aimait une autre épouse davantage. Le père ne pouvait pas changer cela sans une cause juste (</w:t>
      </w:r>
      <w:hyperlink r:id="rId3042">
        <w:r>
          <w:rPr>
            <w:color w:val="0000EE"/>
            <w:u w:val="single"/>
          </w:rPr>
          <w:t>Dt 21.15–17</w:t>
        </w:r>
      </w:hyperlink>
      <w:r>
        <w:t>).</w:t>
      </w:r>
    </w:p>
    <w:p>
      <w:r/>
      <w:r>
        <w:t>Il y avait toutefois certaines exceptions. Si la mère d'un fils était une servante ou une épouse secondaire (une femme qui vivait avec le père mais avait moins de droits que son épouse), ce fils ne pouvait pas recevoir le droit d'aînesse (</w:t>
      </w:r>
      <w:hyperlink r:id="rId4301">
        <w:r>
          <w:rPr>
            <w:color w:val="0000EE"/>
            <w:u w:val="single"/>
          </w:rPr>
          <w:t>Gn 21.9–13</w:t>
        </w:r>
      </w:hyperlink>
      <w:r>
        <w:t xml:space="preserve"> ; </w:t>
      </w:r>
      <w:hyperlink r:id="rId4302">
        <w:r>
          <w:rPr>
            <w:color w:val="0000EE"/>
            <w:u w:val="single"/>
          </w:rPr>
          <w:t>Jg 11.1–2</w:t>
        </w:r>
      </w:hyperlink>
      <w:r>
        <w:t>).</w:t>
      </w:r>
    </w:p>
    <w:p>
      <w:r/>
      <w:r>
        <w:t>Le droit d'aînesse était particulièrement important dans les familles royales. Le fils aîné d'un roi avait le droit de devenir le prochain roi (</w:t>
      </w:r>
      <w:hyperlink r:id="rId4303">
        <w:r>
          <w:rPr>
            <w:color w:val="0000EE"/>
            <w:u w:val="single"/>
          </w:rPr>
          <w:t>2Ch 21.1–3</w:t>
        </w:r>
      </w:hyperlink>
      <w:r>
        <w:t>). Nous voyons un exemple de ce qui pouvait mal tourner lorsque cette règle était enfreinte. Le roi Roboam de Juda a choisi son fils préféré, Abija, pour être son successeur au trône, même si Abija n'était pas l'aîné. Pour empêcher ses autres fils de causer des problèmes, Roboam a dû leur donner des cadeaux et des positions spéciales (</w:t>
      </w:r>
      <w:hyperlink r:id="rId4304">
        <w:r>
          <w:rPr>
            <w:color w:val="0000EE"/>
            <w:u w:val="single"/>
          </w:rPr>
          <w:t>11.18–23</w:t>
        </w:r>
      </w:hyperlink>
      <w:r>
        <w:t xml:space="preserve"> ; </w:t>
      </w:r>
      <w:hyperlink r:id="rId4305">
        <w:r>
          <w:rPr>
            <w:color w:val="0000EE"/>
            <w:u w:val="single"/>
          </w:rPr>
          <w:t>12.16</w:t>
        </w:r>
      </w:hyperlink>
      <w:r>
        <w:t>).</w:t>
      </w:r>
    </w:p>
    <w:p>
      <w:pPr>
        <w:pStyle w:val="Heading3"/>
      </w:pPr>
      <w:r>
        <w:t>Le Droit d'aînesse d'Ésaü et sa signification pour les chrétiens</w:t>
      </w:r>
    </w:p>
    <w:p>
      <w:r/>
      <w:r>
        <w:t>Le Nouveau Testament raconte une histoire de l'Ancien Testament à propos d'un dénommé Ésaü. Ésaü était le fils aîné d'Isaac, un leader important dans l'histoire ancienne d'Israël. Un jour, Ésaü avait très faim et échangera son droit d'aînesse avec son frère cadet Jacob pour un bol de ragoût de lentilles. Il prend cette décision sans réfléchir à l'importance de son droit d'aînesse (</w:t>
      </w:r>
      <w:hyperlink r:id="rId4306">
        <w:r>
          <w:rPr>
            <w:color w:val="0000EE"/>
            <w:u w:val="single"/>
          </w:rPr>
          <w:t>Hé 12.16–17</w:t>
        </w:r>
      </w:hyperlink>
      <w:r>
        <w:t xml:space="preserve"> ; voir </w:t>
      </w:r>
      <w:hyperlink r:id="rId4299">
        <w:r>
          <w:rPr>
            <w:color w:val="0000EE"/>
            <w:u w:val="single"/>
          </w:rPr>
          <w:t>Gn 25.19–34</w:t>
        </w:r>
      </w:hyperlink>
      <w:r>
        <w:t>).</w:t>
      </w:r>
    </w:p>
    <w:p>
      <w:r/>
      <w:r>
        <w:t>Cette histoire enseigne une leçon importante. Tout comme Ésaü a perdu son droit d'aînesse et la bénédiction de son père en faisant un choix insensé, les chrétiens sont avertis de ne pas renoncer négligemment aux bénédictions spirituelles que Dieu a pour eux (</w:t>
      </w:r>
      <w:hyperlink r:id="rId4307">
        <w:r>
          <w:rPr>
            <w:color w:val="0000EE"/>
            <w:u w:val="single"/>
          </w:rPr>
          <w:t>Gn 27</w:t>
        </w:r>
      </w:hyperlink>
      <w:r>
        <w:t>).</w:t>
      </w:r>
    </w:p>
    <w:p>
      <w:r/>
      <w:r>
        <w:rPr>
          <w:i/>
        </w:rPr>
        <w:t>Voir aussi</w:t>
      </w:r>
      <w:r>
        <w:t xml:space="preserve"> </w:t>
      </w:r>
      <w:r>
        <w:t>Héritage</w:t>
      </w:r>
      <w:r>
        <w:t xml:space="preserve"> ; </w:t>
      </w:r>
      <w:r>
        <w:t>Héritier</w:t>
      </w:r>
      <w:r>
        <w:t xml:space="preserve"> ; </w:t>
      </w:r>
      <w:r>
        <w:t>Aîné</w:t>
      </w:r>
      <w:r>
        <w:t>.</w:t>
      </w:r>
      <w:r/>
      <w:r/>
    </w:p>
    <w:p>
      <w:r/>
    </w:p>
    <w:p>
      <w:pPr>
        <w:pStyle w:val="Heading2"/>
      </w:pPr>
      <w:r>
        <w:t>Droit pénal et sanctions</w:t>
      </w:r>
      <w:r/>
    </w:p>
    <w:p>
      <w:r/>
      <w:r>
        <w:t>La science ou la philosophie du droit est appelée jurisprudence. Bien que la jurisprudence moderne ne ressemble guère aux concepts bibliques du droit, les Écritures ont joué un rôle déterminant dans son développement. Aujourd'hui, le droit pénal est clairement distingué du droit civil ; à l'époque biblique, la distinction était beaucoup moins nette. Aujourd'hui, les infractions au droit civil (délits) sont distinguées des infractions mineures (contraventions) ainsi que des faits graves (crimes). Dans la Bible, les « crimes » incluaient toutes les infractions punissables, même les infractions religieuses telles que l'idolâtrie (adorer un faux dieu) ou le blasphème (parler ou se comporter avec mépris envers Dieu).</w:t>
      </w:r>
    </w:p>
    <w:p>
      <w:r/>
      <w:r>
        <w:t>Survol</w:t>
      </w:r>
    </w:p>
    <w:p>
      <w:r/>
      <w:r>
        <w:t xml:space="preserve">• </w:t>
      </w:r>
      <w:r>
        <w:rPr>
          <w:b/>
          <w:u w:val="single"/>
        </w:rPr>
        <w:t>Contexte du Moyen-Orient</w:t>
      </w:r>
    </w:p>
    <w:p>
      <w:r/>
      <w:r>
        <w:t xml:space="preserve">• </w:t>
      </w:r>
      <w:r>
        <w:rPr>
          <w:b/>
          <w:u w:val="single"/>
        </w:rPr>
        <w:t>Le droit pénal hébreu</w:t>
      </w:r>
    </w:p>
    <w:p>
      <w:r/>
      <w:r>
        <w:t xml:space="preserve">• </w:t>
      </w:r>
      <w:r>
        <w:rPr>
          <w:b/>
          <w:u w:val="single"/>
        </w:rPr>
        <w:t>Sanctions</w:t>
      </w:r>
    </w:p>
    <w:p>
      <w:r/>
      <w:r>
        <w:t xml:space="preserve">• </w:t>
      </w:r>
      <w:r>
        <w:rPr>
          <w:b/>
          <w:u w:val="single"/>
        </w:rPr>
        <w:t>Conclusion</w:t>
      </w:r>
    </w:p>
    <w:p>
      <w:pPr>
        <w:pStyle w:val="Heading3"/>
      </w:pPr>
      <w:r>
        <w:t>Contexte du Proche-Orient</w:t>
      </w:r>
    </w:p>
    <w:p>
      <w:r/>
      <w:r>
        <w:t>Dans les sociétés anciennes comme dans les sociétés modernes, les lois étaient considérées comme nécessaires pour réguler le comportement individuel pour le bien de la communauté, de l'État ou de la nation. Aujourd'hui, on considère que les lois sont créées par les gens pour leur propre protection. En revanche, tous les codes de loi du Proche-Orient Ancien étaient considérés comme provenant directement d'une source divine. La loi hébraïque, bien que distincte, suivait le modèle général des codes de loi du Proche-Orient, comme le montrent ceux que nous avons toujours en notre possession, tels que le Code de Hammurabi et les lois assyriennes et hittites.</w:t>
      </w:r>
    </w:p>
    <w:p>
      <w:r/>
      <w:r>
        <w:t>Les conclusions sur l'« origine » des lois anciennes doivent être tirées avec prudence. Bien que les preuves indiquent qu'Hammurabi a partiellement basé sa législation sur des codes sumériens antérieurs, il a déclaré que son code avait été reçu de Shamash, dieu de la justice. Cette déclaration devait avoir pour but principal de signifier que son code avait la sanction expresse de Shamash, puisque certaines personnes au moins y verraient une compilation largement basée sur des lois antérieures. De même, les déclarations bibliques claires concernant le fait que Moïse a reçu la loi sur le mont Sinaï (</w:t>
      </w:r>
      <w:hyperlink r:id="rId4308">
        <w:r>
          <w:rPr>
            <w:color w:val="0000EE"/>
            <w:u w:val="single"/>
          </w:rPr>
          <w:t>Ex 19–24</w:t>
        </w:r>
      </w:hyperlink>
      <w:r>
        <w:t>) n'excluent pas la possibilité que des parties du Décalogue (les Dix Commandements) aient pu exister dans des codes antérieurs. Il est possible que la législation mosaïque ait inclus certaines règles sociales adaptées de la période du séjour d'Israël en Égypte.</w:t>
      </w:r>
    </w:p>
    <w:p>
      <w:pPr>
        <w:pStyle w:val="Heading3"/>
      </w:pPr>
      <w:r>
        <w:t>Droit pénal hébreu</w:t>
      </w:r>
    </w:p>
    <w:p>
      <w:pPr>
        <w:pStyle w:val="Heading4"/>
      </w:pPr>
      <w:r>
        <w:t>Lois régissant les offenses envers Dieu</w:t>
      </w:r>
    </w:p>
    <w:p>
      <w:r/>
      <w:r>
        <w:t>Étant donné le fait que la loi hébraïque était conçue pour un groupe de personnes pour qui la religion était d'une importance capitale et dont la foi était menacée par l'influence des croyances de leurs voisins païens, il n'est pas surprenant qu'une grande partie de la loi hébraïque traite des crimes commis contre Dieu. L'interdiction d'adorer des idoles est énoncée et répétée dans la Torah, ou Pentateuque (les cinq premiers livres de la Bible) : « Tu ne te feras point d’image taillée, ni de représentation quelconque des choses qui sont en haut dans les cieux, qui sont en bas sur la terre, et qui sont dans les eaux plus bas que la terre. Tu ne te prosterneras point devant elles, et tu ne les serviras point » (</w:t>
      </w:r>
      <w:hyperlink r:id="rId4309">
        <w:r>
          <w:rPr>
            <w:color w:val="0000EE"/>
            <w:u w:val="single"/>
          </w:rPr>
          <w:t>Ex 20.4–5</w:t>
        </w:r>
      </w:hyperlink>
      <w:r>
        <w:t>). Le sacrifice d'enfants, pratiqué dans certaines religions païennes, était spécifiquement interdit en Israël. La peine pour ce crime, comme pour les autres formes de meurtre, était la lapidation à mort (</w:t>
      </w:r>
      <w:hyperlink r:id="rId4310">
        <w:r>
          <w:rPr>
            <w:color w:val="0000EE"/>
            <w:u w:val="single"/>
          </w:rPr>
          <w:t>Lv 20.2</w:t>
        </w:r>
      </w:hyperlink>
      <w:r>
        <w:t>).</w:t>
      </w:r>
    </w:p>
    <w:p>
      <w:r/>
      <w:r>
        <w:t>Dans le livre du Lévitique, la mort par lapidation était indiquée comme la punition appropriée pour le blasphème contre le nom de Dieu (</w:t>
      </w:r>
      <w:hyperlink r:id="rId4311">
        <w:r>
          <w:rPr>
            <w:color w:val="0000EE"/>
            <w:u w:val="single"/>
          </w:rPr>
          <w:t>Lv 24.11–16</w:t>
        </w:r>
      </w:hyperlink>
      <w:r>
        <w:t>). La fausse prophétie était également une infraction criminelle ; cette accusation pouvait s'appliquer à une personne faisant une prédiction au nom d'un dieu autre que le Seigneur, ou impliquant faussement que sa prophétie résultait d'une communication avec Dieu. Jérémie, dont la prophétie de la victoire de Nebucadnetsar sur le royaume du sud de Juda a été considérée pendant un temps comme fausse, a failli être lynché par une foule (</w:t>
      </w:r>
      <w:hyperlink r:id="rId4312">
        <w:r>
          <w:rPr>
            <w:color w:val="0000EE"/>
            <w:u w:val="single"/>
          </w:rPr>
          <w:t>Jr 26.8–9</w:t>
        </w:r>
      </w:hyperlink>
      <w:r>
        <w:t>).</w:t>
      </w:r>
    </w:p>
    <w:p>
      <w:r/>
      <w:r>
        <w:t>L'idée de garder comme saint le septième jour provient de la célébration de l'œuvre de Dieu en créant l'univers en six jours et en se reposant le septième. Observer le sabbat nécessitait l'arrêt du travail manuel pour toute la famille, y compris les animaux de ferme (</w:t>
      </w:r>
      <w:hyperlink r:id="rId4313">
        <w:r>
          <w:rPr>
            <w:color w:val="0000EE"/>
            <w:u w:val="single"/>
          </w:rPr>
          <w:t>Ex 16.23</w:t>
        </w:r>
      </w:hyperlink>
      <w:r>
        <w:t xml:space="preserve"> ; </w:t>
      </w:r>
      <w:hyperlink r:id="rId558">
        <w:r>
          <w:rPr>
            <w:color w:val="0000EE"/>
            <w:u w:val="single"/>
          </w:rPr>
          <w:t>20.8–11</w:t>
        </w:r>
      </w:hyperlink>
      <w:r>
        <w:t>). Les gens devaient également se réunir lors du sabbat pour le culte, ce qui, à une période ultérieure de l'histoire hébraïque, incluait la lecture des Écritures, la prière et la prédication. Quiconque enfreignait le sabbat pouvait être condamné à mort, comme cela est arrivé à un homme surpris en train de ramasser du bois le jour du sabbat (</w:t>
      </w:r>
      <w:hyperlink r:id="rId4314">
        <w:r>
          <w:rPr>
            <w:color w:val="0000EE"/>
            <w:u w:val="single"/>
          </w:rPr>
          <w:t>Nb 15.32–36</w:t>
        </w:r>
      </w:hyperlink>
      <w:r>
        <w:t>).</w:t>
      </w:r>
    </w:p>
    <w:p>
      <w:r/>
      <w:r>
        <w:t>Tout type de crime prémédité était considéré comme une offense contre Dieu, le donateur de toute loi ; par conséquent, il était passible de la peine de mort (</w:t>
      </w:r>
      <w:hyperlink r:id="rId1609">
        <w:r>
          <w:rPr>
            <w:color w:val="0000EE"/>
            <w:u w:val="single"/>
          </w:rPr>
          <w:t>Nb 15.30–31</w:t>
        </w:r>
      </w:hyperlink>
      <w:r>
        <w:t>). La loi hébraïque insistait également sur le don des prémices de la récolte au Seigneur sans délai. Cette exigence était parfois étendue pour inclure un premier enfant, dont la vie était dédiée au service dans le temple (</w:t>
      </w:r>
      <w:hyperlink r:id="rId4315">
        <w:r>
          <w:rPr>
            <w:color w:val="0000EE"/>
            <w:u w:val="single"/>
          </w:rPr>
          <w:t>Ex 22.29–30</w:t>
        </w:r>
      </w:hyperlink>
      <w:r>
        <w:t xml:space="preserve"> ; </w:t>
      </w:r>
      <w:hyperlink r:id="rId4316">
        <w:r>
          <w:rPr>
            <w:color w:val="0000EE"/>
            <w:u w:val="single"/>
          </w:rPr>
          <w:t>Dt 15.19</w:t>
        </w:r>
      </w:hyperlink>
      <w:r>
        <w:t>).</w:t>
      </w:r>
    </w:p>
    <w:p>
      <w:pPr>
        <w:pStyle w:val="Heading4"/>
      </w:pPr>
      <w:r>
        <w:t>Atteintes personnelles</w:t>
      </w:r>
    </w:p>
    <w:p>
      <w:r/>
      <w:r>
        <w:t xml:space="preserve">Le meurtre, une offense contre « l'image de Dieu », était l'un des nombreux crimes passibles de la peine de mort à l'époque de l'Ancien Testament. Le livre de l'Exode déclarait sans équivoque que « </w:t>
      </w:r>
      <w:r>
        <w:t>Celui qui frappera un homme mortellement sera puni de mort</w:t>
      </w:r>
      <w:r>
        <w:t xml:space="preserve"> » (</w:t>
      </w:r>
      <w:hyperlink r:id="rId4317">
        <w:r>
          <w:rPr>
            <w:color w:val="0000EE"/>
            <w:u w:val="single"/>
          </w:rPr>
          <w:t>Ex 21.12</w:t>
        </w:r>
      </w:hyperlink>
      <w:r>
        <w:t>). Un meurtrier qui tuait en utilisant une arme telle qu'une pierre, un morceau de bois ou du fer pouvait être tué en vengeance par un parent du défunt. Si la mort initiale survenait accidentellement, la communauté aidait parfois à dissimuler le coupable et l'encourageait à se réfugier dans une ville de refuge voisine, où il serait en sécurité tant qu'il resterait à l'intérieur de ses portes. Il devait rester dans ce sanctuaire jusqu'à la mort du grand prêtre alors en fonction, après quoi il était libre de retourner dans sa propre ville (</w:t>
      </w:r>
      <w:hyperlink r:id="rId4318">
        <w:r>
          <w:rPr>
            <w:color w:val="0000EE"/>
            <w:u w:val="single"/>
          </w:rPr>
          <w:t>Nb 35.10–28</w:t>
        </w:r>
      </w:hyperlink>
      <w:r>
        <w:t>). Le sixième commandement ordonnait : « Tu ne tueras point » (</w:t>
      </w:r>
      <w:hyperlink r:id="rId4319">
        <w:r>
          <w:rPr>
            <w:color w:val="0000EE"/>
            <w:u w:val="single"/>
          </w:rPr>
          <w:t>Ex 20.13</w:t>
        </w:r>
      </w:hyperlink>
      <w:r>
        <w:t>). Le mot hébreu se référait spécifiquement au meurtre, et non à toutes les formes de mise à mort. Tuer un ennemi au combat et l'exécution d'un meurtrier étaient considérés comme nécessaires et n'étaient pas interdits. Plus d'un témoin était requis pour toute condamnation, en particulier dans une affaire de meurtre (</w:t>
      </w:r>
      <w:hyperlink r:id="rId4320">
        <w:r>
          <w:rPr>
            <w:color w:val="0000EE"/>
            <w:u w:val="single"/>
          </w:rPr>
          <w:t>Nb 35.30</w:t>
        </w:r>
      </w:hyperlink>
      <w:r>
        <w:t xml:space="preserve"> ; </w:t>
      </w:r>
      <w:hyperlink r:id="rId4321">
        <w:r>
          <w:rPr>
            <w:color w:val="0000EE"/>
            <w:u w:val="single"/>
          </w:rPr>
          <w:t>Dt 17.6</w:t>
        </w:r>
      </w:hyperlink>
      <w:r>
        <w:t xml:space="preserve"> ; </w:t>
      </w:r>
      <w:hyperlink r:id="rId4322">
        <w:r>
          <w:rPr>
            <w:color w:val="0000EE"/>
            <w:u w:val="single"/>
          </w:rPr>
          <w:t>19.15</w:t>
        </w:r>
      </w:hyperlink>
      <w:r>
        <w:t>).</w:t>
      </w:r>
    </w:p>
    <w:p>
      <w:r/>
      <w:r>
        <w:t>Dans le Code d'Hammurabi, un homme responsable d'une blessure accidentelle à une autre personne devait payer les services du médecin. Si la victime mourait, une amende était exigée selon le rang de la victime. D'une certaine manière, les Hébreux allaient plus loin en exigeant un paiement pour toute perte de temps subie par la personne blessée (</w:t>
      </w:r>
      <w:hyperlink r:id="rId4323">
        <w:r>
          <w:rPr>
            <w:color w:val="0000EE"/>
            <w:u w:val="single"/>
          </w:rPr>
          <w:t>Ex 21.18–19</w:t>
        </w:r>
      </w:hyperlink>
      <w:r>
        <w:t>).</w:t>
      </w:r>
    </w:p>
    <w:p>
      <w:r/>
      <w:r>
        <w:t xml:space="preserve">Le kidnapping était passible de la peine de mort dans l'Ancien Testament. L'Exode déclare que « </w:t>
      </w:r>
      <w:r>
        <w:t>Celui qui dérobera un homme, et qui l’aura vendu ou retenu entre ses mains, sera puni de mort</w:t>
      </w:r>
      <w:r>
        <w:t xml:space="preserve"> » (</w:t>
      </w:r>
      <w:hyperlink r:id="rId4324">
        <w:r>
          <w:rPr>
            <w:color w:val="0000EE"/>
            <w:u w:val="single"/>
          </w:rPr>
          <w:t>Ex 21.16</w:t>
        </w:r>
      </w:hyperlink>
      <w:r>
        <w:t>). La vente de Joseph en esclavage par ses frères illustre ce type de rapt.</w:t>
      </w:r>
    </w:p>
    <w:p>
      <w:pPr>
        <w:pStyle w:val="Heading4"/>
      </w:pPr>
      <w:r>
        <w:t>Lois relatives à la propriété</w:t>
      </w:r>
    </w:p>
    <w:p>
      <w:r/>
      <w:r>
        <w:t>Le livre de l'Exode est assez précis concernant toute personne responsable de dommages à la propriété ou aux récoltes d'autrui. Si un champ prenait feu et que le feu se propageait, endommageant les récoltes dans d'autres champs, la personne qui avait allumé le feu, ou peut-être le propriétaire du premier champ à prendre feu, était responsable des dommages (</w:t>
      </w:r>
      <w:hyperlink r:id="rId4325">
        <w:r>
          <w:rPr>
            <w:color w:val="0000EE"/>
            <w:u w:val="single"/>
          </w:rPr>
          <w:t>Ex 22.6</w:t>
        </w:r>
      </w:hyperlink>
      <w:r>
        <w:t>). Le code d'Hammurabi citait un cas similaire d'un homme qui avait négligé de maintenir une digue en bon état et était donc responsable des dommages causés par les inondations aux récoltes de son voisin.</w:t>
      </w:r>
    </w:p>
    <w:p>
      <w:r/>
      <w:r>
        <w:t>Les blessures faites aux animaux, en particulier aux bœufs, ou les blessures aux personnes ou aux biens causées par de tels animaux constituaient un domaine important de la loi hébraïque. Si un bœuf auparavant paisible tuait un homme, le propriétaire était irréprochable, bien que le bœuf soit mis à mort (une lourde pénalité financière pour le propriétaire). Si un bœuf avec un passé de coups de corne tuait un homme parce que son propriétaire n'avait pas réussi à le maîtriser adéquatement, le bœuf et le propriétaire étaient mis à mort. La vie du propriétaire pouvait être rachetée par le paiement d'une somme convenue. Si la personne que le bœuf avait encornée était un serviteur, le bœuf était lapidé et le propriétaire payait une amende (</w:t>
      </w:r>
      <w:hyperlink r:id="rId4326">
        <w:r>
          <w:rPr>
            <w:color w:val="0000EE"/>
            <w:u w:val="single"/>
          </w:rPr>
          <w:t>Ex 21.28–32</w:t>
        </w:r>
      </w:hyperlink>
      <w:r>
        <w:t>). Le Code d'Hammurabi recommandait également qu'il n'y ait aucune punition pour une première infraction par un animal, mais que si le propriétaire savait que le bœuf était dangereux et n'avait pris aucune mesure pour prévenir le mal, il était passible d'une amende en argent (une très lourde amende pour une victime de la classe supérieure, légèrement moins si la victime était un esclave). Quelles que soient les circonstances et aussi vicieux que soit le bœuf, le Code d'Hammurabi s'arrêtait à une amende pour l'infraction, n'imposant jamais la peine de mort ni à l'animal ni au propriétaire.</w:t>
      </w:r>
    </w:p>
    <w:p>
      <w:r/>
      <w:r>
        <w:t>La négligence causant des blessures à un animal était également punie dans la loi hébraïque. Si un bœuf ou un âne tombait dans une fosse laissée découverte par négligence, le propriétaire de l'animal était indemnisé pour sa perte (</w:t>
      </w:r>
      <w:hyperlink r:id="rId4327">
        <w:r>
          <w:rPr>
            <w:color w:val="0000EE"/>
            <w:u w:val="single"/>
          </w:rPr>
          <w:t>Ex 21.33–36</w:t>
        </w:r>
      </w:hyperlink>
      <w:r>
        <w:t>).</w:t>
      </w:r>
    </w:p>
    <w:p>
      <w:r/>
      <w:r>
        <w:t xml:space="preserve">Dans les cultures anciennes, les femmes étaient généralement considérées comme des biens personnels, tout comme les animaux ou les esclaves. Une fille était considérée comme la propriété de son père jusqu'à son mariage, puis comme la propriété de son mari. Par conséquent, toute offense contre une femme mariée était vue comme une offense contre la propriété du mari. Selon le Code d'Hammurabi, un enfant pouvait être vendu en esclavage comme serviteur ou esclave, généralement pour payer la dette du père (voir </w:t>
      </w:r>
      <w:hyperlink r:id="rId4328">
        <w:r>
          <w:rPr>
            <w:color w:val="0000EE"/>
            <w:u w:val="single"/>
          </w:rPr>
          <w:t>Ex 21.2–7</w:t>
        </w:r>
      </w:hyperlink>
      <w:r>
        <w:t xml:space="preserve"> ; </w:t>
      </w:r>
      <w:hyperlink r:id="rId4329">
        <w:r>
          <w:rPr>
            <w:color w:val="0000EE"/>
            <w:u w:val="single"/>
          </w:rPr>
          <w:t>Né 5.5–8</w:t>
        </w:r>
      </w:hyperlink>
      <w:r>
        <w:t xml:space="preserve"> ; </w:t>
      </w:r>
      <w:hyperlink r:id="rId2397">
        <w:r>
          <w:rPr>
            <w:color w:val="0000EE"/>
            <w:u w:val="single"/>
          </w:rPr>
          <w:t>Es 50.1</w:t>
        </w:r>
      </w:hyperlink>
      <w:r>
        <w:t>). L'autorité parentale était si hautement considérée dans la loi biblique qu'un fils obstiné et rebelle pouvait être amené devant les anciens pour désobéissance, gloutonnerie ou ivrognerie. Il pouvait alors être condamné et lapidé sur place par les hommes de la ville (</w:t>
      </w:r>
      <w:hyperlink r:id="rId4330">
        <w:r>
          <w:rPr>
            <w:color w:val="0000EE"/>
            <w:u w:val="single"/>
          </w:rPr>
          <w:t>Dt 21.18–21</w:t>
        </w:r>
      </w:hyperlink>
      <w:r>
        <w:t>). Cela restait cependant une protection des droits de l'enfant : certaines législations du Proche-Orient permettaient à un parent d'ordonner la mort de sa progéniture sans référence aux anciens ni à quiconque. Les filles en particulier étaient tenues en très basse estime et il est donc peut-être remarquable qu'une fille puisse hériter de biens s'il n'y avait pas de fils (</w:t>
      </w:r>
      <w:hyperlink r:id="rId4331">
        <w:r>
          <w:rPr>
            <w:color w:val="0000EE"/>
            <w:u w:val="single"/>
          </w:rPr>
          <w:t>Nb 27.8</w:t>
        </w:r>
      </w:hyperlink>
      <w:r>
        <w:t>).</w:t>
      </w:r>
    </w:p>
    <w:p>
      <w:r/>
      <w:r>
        <w:t>L'adultère, interdit dans le Décalogue, était un autre crime contre la propriété d'un homme, spécifiquement sa femme. Le livre du Deutéronome détaille considérablement les cas d'adultère, la punition pour les deux personnes étant la mort (</w:t>
      </w:r>
      <w:hyperlink r:id="rId366">
        <w:r>
          <w:rPr>
            <w:color w:val="0000EE"/>
            <w:u w:val="single"/>
          </w:rPr>
          <w:t>Dt 22.22</w:t>
        </w:r>
      </w:hyperlink>
      <w:r>
        <w:t>). Si un homme séduisait une jeune femme qui n'était pas fiancée, il devait payer à son père le prix de la mariée (cinquante sicles d'argent) ; il ne pouvait pas la divorcer mais devait la garder comme sa femme pour le reste de sa vie (</w:t>
      </w:r>
      <w:hyperlink r:id="rId4332">
        <w:r>
          <w:rPr>
            <w:color w:val="0000EE"/>
            <w:u w:val="single"/>
          </w:rPr>
          <w:t>Ex 22.16</w:t>
        </w:r>
      </w:hyperlink>
      <w:r>
        <w:t xml:space="preserve"> ; </w:t>
      </w:r>
      <w:hyperlink r:id="rId4333">
        <w:r>
          <w:rPr>
            <w:color w:val="0000EE"/>
            <w:u w:val="single"/>
          </w:rPr>
          <w:t>Dt 22.28–29</w:t>
        </w:r>
      </w:hyperlink>
      <w:r>
        <w:t>).</w:t>
      </w:r>
    </w:p>
    <w:p>
      <w:r/>
      <w:r>
        <w:t>Dans une situation où une épouse était accusée d'adultère sans preuve, un procès était mené. Le mari amenait sa femme à un prêtre et présentait une petite offrande (un dixième de mesure de farine d'orge, sans huile ni encens), indiquant le peu d'estime qu'il avait désormais pour sa femme. La femme se tenait alors devant le Seigneur tenant un vase en terre rempli d'« eau sainte ». De la poussière du sol du tabernacle était mélangée à l'eau, et l'offrande de céréales était placée dans ses mains. Ses cheveux étaient relâchés par le prêtre pour montrer non seulement son chagrin mais aussi pour donner une impression d'abandon. Elle devait ensuite prêter serment. Après cela, le prêtre prononçait une malédiction sur elle, disant que son ventre serait facilement fécondé, mais qu'elle aurait de nombreuses fausses couches. Elle devait donner son consentement à cette déclaration. Le prêtre écrivait ensuite les malédictions dans un livre et les effaçait symboliquement dans les « eaux amères ». La femme devait boire l'eau pendant que le prêtre agitait l'offrande de céréales de ses mains devant le Seigneur et en brûlait une partie sur l'autel. Le prêtre lui disait que si elle était coupable, l'eau ferait pourrir sa cuisse et gonfler son abdomen. Si cela arrivait, elle deviendrait une paria ; mais si elle était prouvée innocente, elle serait libre. Quel que soit le résultat, aucune condamnation pour fausse accusation ne retombait sur le mari (</w:t>
      </w:r>
      <w:hyperlink r:id="rId4334">
        <w:r>
          <w:rPr>
            <w:color w:val="0000EE"/>
            <w:u w:val="single"/>
          </w:rPr>
          <w:t>Nb 5.12–31</w:t>
        </w:r>
      </w:hyperlink>
      <w:r>
        <w:t>).</w:t>
      </w:r>
    </w:p>
    <w:p>
      <w:r/>
      <w:r>
        <w:t>Si un esclave était frappé par son maître de manière à provoquer une mort instantanée, la mort de l'esclave devait être vengée. Si l'esclave survivait, même pendant plusieurs jours, il n'avait pas besoin d'être vengé, sa perte étant une punition suffisante pour le propriétaire (</w:t>
      </w:r>
      <w:hyperlink r:id="rId4335">
        <w:r>
          <w:rPr>
            <w:color w:val="0000EE"/>
            <w:u w:val="single"/>
          </w:rPr>
          <w:t>Ex 21.20–21</w:t>
        </w:r>
      </w:hyperlink>
      <w:r>
        <w:t xml:space="preserve">). Il est peu probable que les Hébreux aient eu beaucoup d'expérience avec cette loi, qui n'avait pas de parallèles dans le code d'Hammurabi. Si un propriétaire blessait son esclave en lui causant la perte d'un œil ou d'une dent, la loi hébraïque exigeait que l'esclave soit libéré (v. </w:t>
      </w:r>
      <w:hyperlink r:id="rId4336">
        <w:r>
          <w:rPr>
            <w:color w:val="0000EE"/>
            <w:u w:val="single"/>
          </w:rPr>
          <w:t>26–27</w:t>
        </w:r>
      </w:hyperlink>
      <w:r>
        <w:t>). Le Code d'Hammurabi donnait l'exemple d'un homme blessant l'esclave d'un autre homme ; le propriétaire devait être indemnisé de la moitié de la valeur de l'esclave.</w:t>
      </w:r>
    </w:p>
    <w:p>
      <w:r/>
      <w:r>
        <w:t>Peu d'accent était mis sur le cambriolage ou le vol dans le code de loi hébraïque. Un cambrioleur était présumé repentant et prêt à faire restitution. Après le retour de la propriété volée et le paiement d'une petite amende supplémentaire, un voleur pouvait à nouveau s'approcher du Seigneur (</w:t>
      </w:r>
      <w:hyperlink r:id="rId4337">
        <w:r>
          <w:rPr>
            <w:color w:val="0000EE"/>
            <w:u w:val="single"/>
          </w:rPr>
          <w:t>Lv 6.2–7</w:t>
        </w:r>
      </w:hyperlink>
      <w:r>
        <w:t>). En revanche, le Code d'Hammurabi prescrivait la peine de mort pour cambriolage. Dans la loi hébraïque, le vol d'un animal nécessitait une restitution dans un rapport d'au moins deux pour un ; si un taureau ou une vache avait été volé ou vendu, le voleur devait restituer la propriété au quintuple. Le Code d'Hammurabi contenait une provision similaire : « Si un homme vole un bœuf ou un mouton, un âne ou un cochon, ou une chèvre—si c'est d'un dieu ou d'un palais, il devra restituer trente fois ; si c'est d'un homme libre, il devra rendre dix fois. Si le voleur n'a rien pour payer, il sera mis à mort. » Dans la loi hébraïque, les biens volés d'une maison devaient simplement être restitués sans pénalité supplémentaire. Si le voleur n'avait plus les biens en sa possession et était incapable de payer la valeur équivalente, il pourrait être vendu en esclavage jusqu'à ce que la restitution soit faite (</w:t>
      </w:r>
      <w:hyperlink r:id="rId4338">
        <w:r>
          <w:rPr>
            <w:color w:val="0000EE"/>
            <w:u w:val="single"/>
          </w:rPr>
          <w:t>Ex 22.1–4</w:t>
        </w:r>
      </w:hyperlink>
      <w:r>
        <w:t>).</w:t>
      </w:r>
    </w:p>
    <w:p>
      <w:pPr>
        <w:pStyle w:val="Heading4"/>
      </w:pPr>
      <w:r>
        <w:t>Lois générales</w:t>
      </w:r>
    </w:p>
    <w:p>
      <w:r/>
      <w:r>
        <w:t>Le code hébreu, tel que contenu dans Exode et Deutéronome, comprenait de nombreuses interdictions générales. Certaines concernaient les transactions commerciales, telles que le déplacement des bornes frontières (</w:t>
      </w:r>
      <w:hyperlink r:id="rId2025">
        <w:r>
          <w:rPr>
            <w:color w:val="0000EE"/>
            <w:u w:val="single"/>
          </w:rPr>
          <w:t>Dt 19.14</w:t>
        </w:r>
      </w:hyperlink>
      <w:r>
        <w:t>). L'utilisation de faux poids et mesures était condamnée (</w:t>
      </w:r>
      <w:hyperlink r:id="rId4339">
        <w:r>
          <w:rPr>
            <w:color w:val="0000EE"/>
            <w:u w:val="single"/>
          </w:rPr>
          <w:t>Lv 19.35</w:t>
        </w:r>
      </w:hyperlink>
      <w:r>
        <w:t xml:space="preserve"> ; </w:t>
      </w:r>
      <w:hyperlink r:id="rId4340">
        <w:r>
          <w:rPr>
            <w:color w:val="0000EE"/>
            <w:u w:val="single"/>
          </w:rPr>
          <w:t>Dt 25.15</w:t>
        </w:r>
      </w:hyperlink>
      <w:r>
        <w:t xml:space="preserve"> ; </w:t>
      </w:r>
      <w:hyperlink r:id="rId4341">
        <w:r>
          <w:rPr>
            <w:color w:val="0000EE"/>
            <w:u w:val="single"/>
          </w:rPr>
          <w:t>Pr 11.1</w:t>
        </w:r>
      </w:hyperlink>
      <w:r>
        <w:t xml:space="preserve"> ; </w:t>
      </w:r>
      <w:hyperlink r:id="rId4342">
        <w:r>
          <w:rPr>
            <w:color w:val="0000EE"/>
            <w:u w:val="single"/>
          </w:rPr>
          <w:t>20.23</w:t>
        </w:r>
      </w:hyperlink>
      <w:r>
        <w:t xml:space="preserve"> ; </w:t>
      </w:r>
      <w:hyperlink r:id="rId2049">
        <w:r>
          <w:rPr>
            <w:color w:val="0000EE"/>
            <w:u w:val="single"/>
          </w:rPr>
          <w:t>Mi 6.11</w:t>
        </w:r>
      </w:hyperlink>
      <w:r>
        <w:t>). La corruption était strictement interdite (</w:t>
      </w:r>
      <w:hyperlink r:id="rId4343">
        <w:r>
          <w:rPr>
            <w:color w:val="0000EE"/>
            <w:u w:val="single"/>
          </w:rPr>
          <w:t>Ex 23.8</w:t>
        </w:r>
      </w:hyperlink>
      <w:r>
        <w:t xml:space="preserve">), mais aucune punition n'était spécifiée pour ceux qui enfreignaient cette loi. Dans le Code d'Hammurabi, si un juge changeait sa décision et était incapable de fournir une explication satisfaisante, en particulier en cas de soupçon de corruption, le juge devait payer douze fois le montant de la pénalité et perdait son siège sur le banc. Dans le code hébreu, le parjure était également abordé, bien qu'aucune punition ne soit spécifiée. Le Code d'Hammurabi stipulait que pour le parjure dans les cas où la punition était la mort, les personnes donnant de faux témoignages devaient être condamnées à mort elles-mêmes (voir </w:t>
      </w:r>
      <w:hyperlink r:id="rId4344">
        <w:r>
          <w:rPr>
            <w:color w:val="0000EE"/>
            <w:u w:val="single"/>
          </w:rPr>
          <w:t>Ex 23.1</w:t>
        </w:r>
      </w:hyperlink>
      <w:r>
        <w:t>).</w:t>
      </w:r>
    </w:p>
    <w:p>
      <w:r/>
      <w:r>
        <w:t>Un certain nombre de lois hébraïques reflétaient une préoccupation pour les pauvres. Par exemple, les pauvres ne devaient pas être soumis à l'usure s'ils étaient endettés, ni laissés dans le froid la nuit si leurs manteaux étaient pris en gage. Les veuves, les orphelins et les étrangers devaient également être traités avec miséricorde et compréhension (</w:t>
      </w:r>
      <w:hyperlink r:id="rId4345">
        <w:r>
          <w:rPr>
            <w:color w:val="0000EE"/>
            <w:u w:val="single"/>
          </w:rPr>
          <w:t>Ex 22.21–27</w:t>
        </w:r>
      </w:hyperlink>
      <w:r>
        <w:t xml:space="preserve"> ; </w:t>
      </w:r>
      <w:hyperlink r:id="rId2775">
        <w:r>
          <w:rPr>
            <w:color w:val="0000EE"/>
            <w:u w:val="single"/>
          </w:rPr>
          <w:t>23.9</w:t>
        </w:r>
      </w:hyperlink>
      <w:r>
        <w:t xml:space="preserve"> ; </w:t>
      </w:r>
      <w:hyperlink r:id="rId4346">
        <w:r>
          <w:rPr>
            <w:color w:val="0000EE"/>
            <w:u w:val="single"/>
          </w:rPr>
          <w:t>Dt 23.19</w:t>
        </w:r>
      </w:hyperlink>
      <w:r>
        <w:t xml:space="preserve"> ; </w:t>
      </w:r>
      <w:hyperlink r:id="rId4347">
        <w:r>
          <w:rPr>
            <w:color w:val="0000EE"/>
            <w:u w:val="single"/>
          </w:rPr>
          <w:t>24.17</w:t>
        </w:r>
      </w:hyperlink>
      <w:r>
        <w:t>).</w:t>
      </w:r>
    </w:p>
    <w:p>
      <w:r/>
      <w:r>
        <w:t>Certaines lois hébraïques concernaient le comportement familial, comme celles mentionnées précédemment qui condamnaient ceux qui maudissaient ou désobéissaient à leurs parents (</w:t>
      </w:r>
      <w:hyperlink r:id="rId4348">
        <w:r>
          <w:rPr>
            <w:color w:val="0000EE"/>
            <w:u w:val="single"/>
          </w:rPr>
          <w:t>Ex 21.17</w:t>
        </w:r>
      </w:hyperlink>
      <w:r>
        <w:t xml:space="preserve">; </w:t>
      </w:r>
      <w:hyperlink r:id="rId4349">
        <w:r>
          <w:rPr>
            <w:color w:val="0000EE"/>
            <w:u w:val="single"/>
          </w:rPr>
          <w:t>Lv 20.9</w:t>
        </w:r>
      </w:hyperlink>
      <w:r>
        <w:t xml:space="preserve"> ; </w:t>
      </w:r>
      <w:hyperlink r:id="rId4350">
        <w:r>
          <w:rPr>
            <w:color w:val="0000EE"/>
            <w:u w:val="single"/>
          </w:rPr>
          <w:t>Dt 27.16</w:t>
        </w:r>
      </w:hyperlink>
      <w:r>
        <w:t xml:space="preserve"> ; cf. </w:t>
      </w:r>
      <w:hyperlink r:id="rId4351">
        <w:r>
          <w:rPr>
            <w:color w:val="0000EE"/>
            <w:u w:val="single"/>
          </w:rPr>
          <w:t>Pr 20.20</w:t>
        </w:r>
      </w:hyperlink>
      <w:r>
        <w:t xml:space="preserve"> ; </w:t>
      </w:r>
      <w:hyperlink r:id="rId4352">
        <w:r>
          <w:rPr>
            <w:color w:val="0000EE"/>
            <w:u w:val="single"/>
          </w:rPr>
          <w:t>30.17</w:t>
        </w:r>
      </w:hyperlink>
      <w:r>
        <w:t>). Les responsabilités familiales étaient importantes : une famille entière subissait fréquemment une punition pour le crime de l'un de ses membres (</w:t>
      </w:r>
      <w:hyperlink r:id="rId4353">
        <w:r>
          <w:rPr>
            <w:color w:val="0000EE"/>
            <w:u w:val="single"/>
          </w:rPr>
          <w:t>Jos 7.20–26</w:t>
        </w:r>
      </w:hyperlink>
      <w:r>
        <w:t xml:space="preserve"> ; </w:t>
      </w:r>
      <w:hyperlink r:id="rId4354">
        <w:r>
          <w:rPr>
            <w:color w:val="0000EE"/>
            <w:u w:val="single"/>
          </w:rPr>
          <w:t>2S 3.29</w:t>
        </w:r>
      </w:hyperlink>
      <w:r>
        <w:t xml:space="preserve"> ; </w:t>
      </w:r>
      <w:hyperlink r:id="rId4355">
        <w:r>
          <w:rPr>
            <w:color w:val="0000EE"/>
            <w:u w:val="single"/>
          </w:rPr>
          <w:t>21.1–9</w:t>
        </w:r>
      </w:hyperlink>
      <w:r>
        <w:t xml:space="preserve"> ; </w:t>
      </w:r>
      <w:hyperlink r:id="rId3326">
        <w:r>
          <w:rPr>
            <w:color w:val="0000EE"/>
            <w:u w:val="single"/>
          </w:rPr>
          <w:t>2R 5.27</w:t>
        </w:r>
      </w:hyperlink>
      <w:r>
        <w:t xml:space="preserve"> ; </w:t>
      </w:r>
      <w:hyperlink r:id="rId4356">
        <w:r>
          <w:rPr>
            <w:color w:val="0000EE"/>
            <w:u w:val="single"/>
          </w:rPr>
          <w:t>Lm 5.7</w:t>
        </w:r>
      </w:hyperlink>
      <w:r>
        <w:t xml:space="preserve">). Au fil du temps, alors que la responsabilité individuelle était reconnue, les parents n'étaient plus mis à mort pour les crimes de leurs enfants, ou vice versa (voir </w:t>
      </w:r>
      <w:hyperlink r:id="rId289">
        <w:r>
          <w:rPr>
            <w:color w:val="0000EE"/>
            <w:u w:val="single"/>
          </w:rPr>
          <w:t>Jr 31.29–30</w:t>
        </w:r>
      </w:hyperlink>
      <w:r>
        <w:t>).</w:t>
      </w:r>
    </w:p>
    <w:p>
      <w:r/>
      <w:r>
        <w:t xml:space="preserve">La sorcellerie et la magie étaient interdites. Le livre de l'Exode déclarait explicitement : « </w:t>
      </w:r>
      <w:r>
        <w:t>Tu ne laisseras point vivre la magicienne</w:t>
      </w:r>
      <w:r>
        <w:t xml:space="preserve"> » (</w:t>
      </w:r>
      <w:hyperlink r:id="rId4357">
        <w:r>
          <w:rPr>
            <w:color w:val="0000EE"/>
            <w:u w:val="single"/>
          </w:rPr>
          <w:t>22.18</w:t>
        </w:r>
      </w:hyperlink>
      <w:r>
        <w:t>). Les perversions sexuelles, telles que les rapports avec des animaux, étaient interdites sous peine de mort. Des règlements interdisant le mariage avec des proches parents étaient donnés en détail (</w:t>
      </w:r>
      <w:hyperlink r:id="rId4358">
        <w:r>
          <w:rPr>
            <w:color w:val="0000EE"/>
            <w:u w:val="single"/>
          </w:rPr>
          <w:t>Lv 20.17–21</w:t>
        </w:r>
      </w:hyperlink>
      <w:r>
        <w:t>).</w:t>
      </w:r>
    </w:p>
    <w:p>
      <w:r/>
      <w:r>
        <w:t>Dans la loi hébraïque, il n'existait aucun équivalent pour certains éléments intéressants du Code de Hammurabi concernant la chirurgie. Ce code mentionnait la chirurgie vétérinaire et même des opérations sur l'œil humain. Un chirurgien babylonien devait être prudent, car si un médecin faisait une incision profonde sur un homme avec son lancet en bronze et causait la mort de l'homme ou opérait sur l'orbite de l'œil d'un homme avec son lancet en bronze et détruisait l'œil de l'homme, alors on lui coupait la main. La chirurgie était pratiquement inconnue parmi les Israélites de cette époque, sauf dans le cas de la pratique rituelle de la circoncision.</w:t>
      </w:r>
    </w:p>
    <w:p>
      <w:pPr>
        <w:pStyle w:val="Heading3"/>
      </w:pPr>
      <w:r>
        <w:t>Sanctions</w:t>
      </w:r>
    </w:p>
    <w:p>
      <w:r/>
      <w:r>
        <w:t>Les sanctions au Proche-Orient pour meurtre et blessures personnelles étaient de nature rétributive et souvent similaires à l'infraction. D'autres méthodes de punition avaient tendance à varier selon les pays ou les traditions. De nombreux types de punitions étaient infligés aux personnes vaincues, que ce soit dans une guerre à grande échelle ou lors d'une petite insurrection.</w:t>
      </w:r>
    </w:p>
    <w:p>
      <w:pPr>
        <w:pStyle w:val="Heading4"/>
      </w:pPr>
      <w:r>
        <w:t>Châtiments corporels</w:t>
      </w:r>
    </w:p>
    <w:p>
      <w:r/>
      <w:r>
        <w:t>De nombreuses formes de punition n'allaient pas jusqu'à la mort, mais pouvaient néanmoins être assez sévères.</w:t>
      </w:r>
    </w:p>
    <w:p>
      <w:r/>
      <w:r>
        <w:t>1. Dans l'Ancien Testament, frapper avec des bâtons ou des verges était la forme traditionnelle de discipline pour les enfants, les insensés et les esclaves (</w:t>
      </w:r>
      <w:hyperlink r:id="rId4359">
        <w:r>
          <w:rPr>
            <w:color w:val="0000EE"/>
            <w:u w:val="single"/>
          </w:rPr>
          <w:t>Ex 21.20</w:t>
        </w:r>
      </w:hyperlink>
      <w:r>
        <w:t xml:space="preserve"> ; </w:t>
      </w:r>
      <w:hyperlink r:id="rId4217">
        <w:r>
          <w:rPr>
            <w:color w:val="0000EE"/>
            <w:u w:val="single"/>
          </w:rPr>
          <w:t>Pr 13.24</w:t>
        </w:r>
      </w:hyperlink>
      <w:r>
        <w:t xml:space="preserve"> ; </w:t>
      </w:r>
      <w:hyperlink r:id="rId4360">
        <w:r>
          <w:rPr>
            <w:color w:val="0000EE"/>
            <w:u w:val="single"/>
          </w:rPr>
          <w:t>26.3</w:t>
        </w:r>
      </w:hyperlink>
      <w:r>
        <w:t>). La flagellation (également appelée fouet) était plus sévère que le battement. Le fouet utilisé pouvait être fait de plusieurs lanières de cuir attachées à une extrémité ou de deux bandes de cuir entrelacées. Un fouet surnommé « scorpion » (en raison des barbelés à son extrémité) était l'un des instruments de punition les plus cruels mentionnés dans l'Ancien Testament (</w:t>
      </w:r>
      <w:hyperlink r:id="rId4361">
        <w:r>
          <w:rPr>
            <w:color w:val="0000EE"/>
            <w:u w:val="single"/>
          </w:rPr>
          <w:t>1R 12.11, 14</w:t>
        </w:r>
      </w:hyperlink>
      <w:r>
        <w:t>). La sévérité de la punition pouvait être augmentée en insérant des morceaux de métal ou d'os dans le cuir.</w:t>
      </w:r>
    </w:p>
    <w:p>
      <w:r/>
      <w:r>
        <w:t>Avant une flagellation, la victime était examinée pour vérifier son aptitude physique. Si la mort résultait des coups, aucune responsabilité n'était attribuée à la personne administrant la punition. La victime était dénudée jusqu'à la taille et attachée à un pilier, les mains liées avec des lanières de cuir. La sévérité d'une flagellation dépendait du crime, bien que la loi mosaïque fixait une limite supérieure de quarante coups (</w:t>
      </w:r>
      <w:hyperlink r:id="rId4362">
        <w:r>
          <w:rPr>
            <w:color w:val="0000EE"/>
            <w:u w:val="single"/>
          </w:rPr>
          <w:t>Dt 25.1–3</w:t>
        </w:r>
      </w:hyperlink>
      <w:r>
        <w:t>). Pour éviter une erreur dans le décompte, ce nombre était ensuite réduit d'un (</w:t>
      </w:r>
      <w:hyperlink r:id="rId4363">
        <w:r>
          <w:rPr>
            <w:color w:val="0000EE"/>
            <w:u w:val="single"/>
          </w:rPr>
          <w:t>2Co 11.24</w:t>
        </w:r>
      </w:hyperlink>
      <w:r>
        <w:t>). Les coups pouvaient être administrés à la fois sur la poitrine et le dos. Sous certains codes juridiques, la flagellation pouvait être utilisée comme punition privée ; dans ce cas, si la victime mourait, une autre vie était perdue.</w:t>
      </w:r>
    </w:p>
    <w:p>
      <w:r/>
      <w:r>
        <w:t>En cas d'infractions à la loi, les autorités de la synagogue administraient des flagellations (</w:t>
      </w:r>
      <w:hyperlink r:id="rId4364">
        <w:r>
          <w:rPr>
            <w:color w:val="0000EE"/>
            <w:u w:val="single"/>
          </w:rPr>
          <w:t>Mt 10.17</w:t>
        </w:r>
      </w:hyperlink>
      <w:r>
        <w:t>). Un mari pouvait être flagellé par les anciens de la ville pour diffamation du caractère de sa femme (</w:t>
      </w:r>
      <w:hyperlink r:id="rId4365">
        <w:r>
          <w:rPr>
            <w:color w:val="0000EE"/>
            <w:u w:val="single"/>
          </w:rPr>
          <w:t>Dt 22.18</w:t>
        </w:r>
      </w:hyperlink>
      <w:r>
        <w:t xml:space="preserve">). La flagellation était également utilisée comme moyen d'interroger un prisonnier ; d'où le commentaire d'un capitaine romain selon lequel on pouvait « </w:t>
      </w:r>
      <w:r>
        <w:t>lui donner la question par le fouet</w:t>
      </w:r>
      <w:r>
        <w:t xml:space="preserve"> » (</w:t>
      </w:r>
      <w:hyperlink r:id="rId4366">
        <w:r>
          <w:rPr>
            <w:color w:val="0000EE"/>
            <w:u w:val="single"/>
          </w:rPr>
          <w:t>Ac 22.24</w:t>
        </w:r>
      </w:hyperlink>
      <w:r>
        <w:t>).</w:t>
      </w:r>
    </w:p>
    <w:p>
      <w:r/>
      <w:r>
        <w:t>Les Romains réservaient généralement la flagellation aux non-citoyens romains, tels que les esclaves ou les étrangers, ainsi qu'aux condamnés à mort. Normalement, les criminels étaient flagellés après avoir été condamnés à mort ; il est donc inhabituel de constater que la flagellation de Jésus a lieu avant sa condamnation. Pilate a peut-être espéré attendrir le cœur du peuple par la souffrance de Jésus afin qu'ils ne réclament pas la peine de mort (Lc 23.16, 22 ; Jn 19.1).</w:t>
      </w:r>
    </w:p>
    <w:p>
      <w:r/>
      <w:r>
        <w:t>Les citoyens de l'Empire romain ne pouvaient jamais être battus ou fouettés avant le jugement (</w:t>
      </w:r>
      <w:hyperlink r:id="rId4367">
        <w:r>
          <w:rPr>
            <w:color w:val="0000EE"/>
            <w:u w:val="single"/>
          </w:rPr>
          <w:t>Ac 22.25</w:t>
        </w:r>
      </w:hyperlink>
      <w:r>
        <w:t>). Ainsi, les magistrats ont eu peur lorsqu'ils ont appris que Paul, un citoyen romain, avait été battu dans ces circonstances (</w:t>
      </w:r>
      <w:hyperlink r:id="rId192">
        <w:r>
          <w:rPr>
            <w:color w:val="0000EE"/>
            <w:u w:val="single"/>
          </w:rPr>
          <w:t>16.37–39</w:t>
        </w:r>
      </w:hyperlink>
      <w:r>
        <w:t>).</w:t>
      </w:r>
    </w:p>
    <w:p>
      <w:r/>
      <w:r>
        <w:t>2. L'énucléation des yeux des prisonniers et captifs était une pratique courante au Proche-Orient. Les Philistins ont aveuglé Samson avant de l'emprisonner (</w:t>
      </w:r>
      <w:hyperlink r:id="rId1502">
        <w:r>
          <w:rPr>
            <w:color w:val="0000EE"/>
            <w:u w:val="single"/>
          </w:rPr>
          <w:t>Jg 16.21</w:t>
        </w:r>
      </w:hyperlink>
      <w:r>
        <w:t>). Les Babyloniens ont fait de même au roi Sédécias en 587 av. J.‑C. avant de le capturer (</w:t>
      </w:r>
      <w:hyperlink r:id="rId4368">
        <w:r>
          <w:rPr>
            <w:color w:val="0000EE"/>
            <w:u w:val="single"/>
          </w:rPr>
          <w:t>2R 25.7</w:t>
        </w:r>
      </w:hyperlink>
      <w:r>
        <w:t xml:space="preserve">). Le roi ammonite Nachasch était prêt à accepter des propositions de paix des hommes de la ville de </w:t>
      </w:r>
      <w:r>
        <w:t>Jabès</w:t>
      </w:r>
      <w:r>
        <w:t xml:space="preserve"> à condition que tous leurs yeux droits soient ôtés. Le but de Nachasch était de les déshonorer et de les empêcher de participer activement à la guerre (</w:t>
      </w:r>
      <w:hyperlink r:id="rId4369">
        <w:r>
          <w:rPr>
            <w:color w:val="0000EE"/>
            <w:u w:val="single"/>
          </w:rPr>
          <w:t>1S 11.1–4</w:t>
        </w:r>
      </w:hyperlink>
      <w:r>
        <w:t>).</w:t>
      </w:r>
    </w:p>
    <w:p>
      <w:r/>
      <w:r>
        <w:t>3. Plusieurs formes de mutilation servaient de punition dans le Proche-Orient. Les Israélites considéraient leur propre corps comme sacré et fait à l'image de Dieu, mais cela ne les empêchait pas de mutiler leurs ennemis en leur coupant les pouces et les gros orteils.</w:t>
      </w:r>
    </w:p>
    <w:p>
      <w:r/>
      <w:r>
        <w:t>Le Code d'Hammurabi et le code de loi assyrien prescrivaient la mutilation de l'œil, du nez, de l'oreille, du sein, de la langue, de la lèvre, de la main et du doigt comme punitions pour des crimes spécifiques. En Assyrie, la punition était souvent infligée par la victime du crime sous la supervision des fonctionnaires de la cour. Le Code d'Hammurabi contenait également des garanties pour que les criminels ne soient pas punis au-delà de la sentence prévue par la loi.</w:t>
      </w:r>
    </w:p>
    <w:p>
      <w:r/>
      <w:r>
        <w:t>4. Les entraves sont mentionnées comme une forme de punition dans la période tardive de l'Ancien Testament. Les prophètes Hanani (</w:t>
      </w:r>
      <w:hyperlink r:id="rId4370">
        <w:r>
          <w:rPr>
            <w:color w:val="0000EE"/>
            <w:u w:val="single"/>
          </w:rPr>
          <w:t>2Ch 16.10</w:t>
        </w:r>
      </w:hyperlink>
      <w:r>
        <w:t>) et Jérémie (</w:t>
      </w:r>
      <w:hyperlink r:id="rId4371">
        <w:r>
          <w:rPr>
            <w:color w:val="0000EE"/>
            <w:u w:val="single"/>
          </w:rPr>
          <w:t>Jr 20.2–3</w:t>
        </w:r>
      </w:hyperlink>
      <w:r>
        <w:t>, NBS) ont souffert de l'indignité d'être placés dans des entraves. Les deux chevilles, et parfois aussi les poignets et la tête, étaient placés dans des trous dans deux grandes pièces de bois. À l'époque romaine, les entraves ont été transformées en une forme de torture, les jambes d'un prisonnier étant étirées vers des trous de plus en plus éloignés. Dans le Nouveau Testament, Paul et Silas ont eu les pieds placés dans des entraves par un geôlier de la ville de Philippes (</w:t>
      </w:r>
      <w:hyperlink r:id="rId4372">
        <w:r>
          <w:rPr>
            <w:color w:val="0000EE"/>
            <w:u w:val="single"/>
          </w:rPr>
          <w:t>Ac 16.24</w:t>
        </w:r>
      </w:hyperlink>
      <w:r>
        <w:t>). Le même mot grec, signifiant « confinement », peut se référer à des fers enchaînant un prisonnier ou à un collier de fer comme celui porté par les esclaves romains en fuite.</w:t>
      </w:r>
    </w:p>
    <w:p>
      <w:pPr>
        <w:pStyle w:val="Heading4"/>
      </w:pPr>
      <w:r>
        <w:t>Peine de mort</w:t>
      </w:r>
    </w:p>
    <w:p>
      <w:r/>
      <w:r>
        <w:t>La peine de mort était courante dans de nombreux pays du Proche-Orient, et plusieurs méthodes étaient utilisées.</w:t>
      </w:r>
    </w:p>
    <w:p>
      <w:r/>
      <w:r>
        <w:t>1. Ceux qui avaient offensé un roi étaient décapités avec une épée (</w:t>
      </w:r>
      <w:hyperlink r:id="rId4373">
        <w:r>
          <w:rPr>
            <w:color w:val="0000EE"/>
            <w:u w:val="single"/>
          </w:rPr>
          <w:t>2S 16.9</w:t>
        </w:r>
      </w:hyperlink>
      <w:r>
        <w:t xml:space="preserve"> ; </w:t>
      </w:r>
      <w:hyperlink r:id="rId4374">
        <w:r>
          <w:rPr>
            <w:color w:val="0000EE"/>
            <w:u w:val="single"/>
          </w:rPr>
          <w:t>2R 6.31–32</w:t>
        </w:r>
      </w:hyperlink>
      <w:r>
        <w:t>), tout comme les idolâtres et les meurtriers (selon la Mishnah, le commentaire juif sur la loi). L'épée était probablement utilisée pour des exécutions privées également. Les habitants de villes entières étaient parfois passés « au fil de l'épée » pour leur reniement de la foi (</w:t>
      </w:r>
      <w:hyperlink r:id="rId4375">
        <w:r>
          <w:rPr>
            <w:color w:val="0000EE"/>
            <w:u w:val="single"/>
          </w:rPr>
          <w:t>Ex 32.27</w:t>
        </w:r>
      </w:hyperlink>
      <w:r>
        <w:t xml:space="preserve"> ; </w:t>
      </w:r>
      <w:hyperlink r:id="rId4376">
        <w:r>
          <w:rPr>
            <w:color w:val="0000EE"/>
            <w:u w:val="single"/>
          </w:rPr>
          <w:t>Dt 13.15</w:t>
        </w:r>
      </w:hyperlink>
      <w:r>
        <w:t>).</w:t>
      </w:r>
    </w:p>
    <w:p>
      <w:r/>
      <w:r>
        <w:t>2. Certaines infractions sexuelles étaient punies de mort par le feu (</w:t>
      </w:r>
      <w:hyperlink r:id="rId4377">
        <w:r>
          <w:rPr>
            <w:color w:val="0000EE"/>
            <w:u w:val="single"/>
          </w:rPr>
          <w:t>Lv 20.14</w:t>
        </w:r>
      </w:hyperlink>
      <w:r>
        <w:t xml:space="preserve"> ; </w:t>
      </w:r>
      <w:hyperlink r:id="rId4378">
        <w:r>
          <w:rPr>
            <w:color w:val="0000EE"/>
            <w:u w:val="single"/>
          </w:rPr>
          <w:t>21.9</w:t>
        </w:r>
      </w:hyperlink>
      <w:r>
        <w:t>). Tamar, la belle-fille de Juda, a été accusée d'adultère et condamnée à être brûlée à mort hors de la ville (</w:t>
      </w:r>
      <w:hyperlink r:id="rId4379">
        <w:r>
          <w:rPr>
            <w:color w:val="0000EE"/>
            <w:u w:val="single"/>
          </w:rPr>
          <w:t>Gn 38.24</w:t>
        </w:r>
      </w:hyperlink>
      <w:r>
        <w:t>). Le Seigneur a ordonné que quiconque dont les pieds touchaient le sol sacré du mont Sinaï devait être abattu par des flèches ou lapidé (</w:t>
      </w:r>
      <w:hyperlink r:id="rId1845">
        <w:r>
          <w:rPr>
            <w:color w:val="0000EE"/>
            <w:u w:val="single"/>
          </w:rPr>
          <w:t>Ex 19.13</w:t>
        </w:r>
      </w:hyperlink>
      <w:r>
        <w:t>).</w:t>
      </w:r>
    </w:p>
    <w:p>
      <w:r/>
      <w:r>
        <w:t>3. La pendaison pourrait avoir été une forme d'exécution à l'époque biblique. Cependant, de nombreux érudits estiment que le mot traduit par « pendaison » ou « pendaison à un bois » signifiait en réalité « empalement » (</w:t>
      </w:r>
      <w:hyperlink r:id="rId4380">
        <w:r>
          <w:rPr>
            <w:color w:val="0000EE"/>
            <w:u w:val="single"/>
          </w:rPr>
          <w:t>Nb 25.4</w:t>
        </w:r>
      </w:hyperlink>
      <w:r>
        <w:t xml:space="preserve"> ; </w:t>
      </w:r>
      <w:hyperlink r:id="rId4381">
        <w:r>
          <w:rPr>
            <w:color w:val="0000EE"/>
            <w:u w:val="single"/>
          </w:rPr>
          <w:t>Dt 21.22–23</w:t>
        </w:r>
      </w:hyperlink>
      <w:r>
        <w:t xml:space="preserve"> ; </w:t>
      </w:r>
      <w:hyperlink r:id="rId4382">
        <w:r>
          <w:rPr>
            <w:color w:val="0000EE"/>
            <w:u w:val="single"/>
          </w:rPr>
          <w:t>Jos 8.29</w:t>
        </w:r>
      </w:hyperlink>
      <w:r>
        <w:t xml:space="preserve"> ; </w:t>
      </w:r>
      <w:hyperlink r:id="rId4383">
        <w:r>
          <w:rPr>
            <w:color w:val="0000EE"/>
            <w:u w:val="single"/>
          </w:rPr>
          <w:t>2S 21.6, 9</w:t>
        </w:r>
      </w:hyperlink>
      <w:r>
        <w:t xml:space="preserve"> ; </w:t>
      </w:r>
      <w:hyperlink r:id="rId4384">
        <w:r>
          <w:rPr>
            <w:color w:val="0000EE"/>
            <w:u w:val="single"/>
          </w:rPr>
          <w:t>Est 9.14</w:t>
        </w:r>
      </w:hyperlink>
      <w:r>
        <w:t>). Un pieu en bois pointu était planté dans le sol et le corps de la victime était forcé sur le pieu, dont la pointe sortait probablement de la poitrine ou de la bouche. Pratiquée couramment par les Assyriens, cette forme d'exécution était réservée aux coupables des pires crimes ainsi qu'aux prisonniers de guerre ou déserteurs. Le roi perse Darius est réputé avoir empalé trois mille hommes lorsque son armée est entrée à Babylone. L'empalement était la peine que Darius avait fixée pour toute modification de son édit concernant la reconstruction du temple (</w:t>
      </w:r>
      <w:hyperlink r:id="rId4385">
        <w:r>
          <w:rPr>
            <w:color w:val="0000EE"/>
            <w:u w:val="single"/>
          </w:rPr>
          <w:t>Esd 6.11–12</w:t>
        </w:r>
      </w:hyperlink>
      <w:r>
        <w:t xml:space="preserve">). Il n'est pas certain si Haman a été pendu ou empalé (voir </w:t>
      </w:r>
      <w:hyperlink r:id="rId4386">
        <w:r>
          <w:rPr>
            <w:color w:val="0000EE"/>
            <w:u w:val="single"/>
          </w:rPr>
          <w:t>Est 7.9–10</w:t>
        </w:r>
      </w:hyperlink>
      <w:r>
        <w:t>).</w:t>
      </w:r>
    </w:p>
    <w:p>
      <w:r/>
      <w:r>
        <w:t>Habituellement, la « pendaison » était un moyen d'exposer un cadavre comme avertissement pour les habitants locaux (</w:t>
      </w:r>
      <w:hyperlink r:id="rId2281">
        <w:r>
          <w:rPr>
            <w:color w:val="0000EE"/>
            <w:u w:val="single"/>
          </w:rPr>
          <w:t>Gn 40.19</w:t>
        </w:r>
      </w:hyperlink>
      <w:r>
        <w:t xml:space="preserve"> ; </w:t>
      </w:r>
      <w:hyperlink r:id="rId4382">
        <w:r>
          <w:rPr>
            <w:color w:val="0000EE"/>
            <w:u w:val="single"/>
          </w:rPr>
          <w:t>Jos 8.29</w:t>
        </w:r>
      </w:hyperlink>
      <w:r>
        <w:t xml:space="preserve"> ; </w:t>
      </w:r>
      <w:hyperlink r:id="rId4387">
        <w:r>
          <w:rPr>
            <w:color w:val="0000EE"/>
            <w:u w:val="single"/>
          </w:rPr>
          <w:t>10.26</w:t>
        </w:r>
      </w:hyperlink>
      <w:r>
        <w:t xml:space="preserve"> ; </w:t>
      </w:r>
      <w:hyperlink r:id="rId4388">
        <w:r>
          <w:rPr>
            <w:color w:val="0000EE"/>
            <w:u w:val="single"/>
          </w:rPr>
          <w:t>2 Sm 4.12</w:t>
        </w:r>
      </w:hyperlink>
      <w:r>
        <w:t>). Les cadavres étaient exposés pendant un jour seulement et étaient enterrés avant la tombée de la nuit. Le cadavre pendu était considéré comme une souillure de la terre que Dieu avait donnée (</w:t>
      </w:r>
      <w:hyperlink r:id="rId4381">
        <w:r>
          <w:rPr>
            <w:color w:val="0000EE"/>
            <w:u w:val="single"/>
          </w:rPr>
          <w:t>Dt 21.22–23</w:t>
        </w:r>
      </w:hyperlink>
      <w:r>
        <w:t>). Selon la Mishnah, les mains du coupable étaient liées et le corps pendu au bras d'une potence en bois.</w:t>
      </w:r>
    </w:p>
    <w:p>
      <w:r/>
      <w:r>
        <w:t>4. La crucifixion était une punition utilisée par le roi syrien Antiochus IV Épiphane en 167–166 av. J.‑C. Selon Josèphe, un historien juif du premier siècle apr. J.‑C., les Juifs qui refusaient d'abandonner leur foi traditionnelle étaient exécutés de cette manière. Pendant la période des Maccabées (167–40 av. J.‑C.), Alexandre Jannée a crucifié huit cents pharisiens rebelles pour tenter de rétablir son autorité. La crucifixion était une forme d'exécution répandue : elle était utilisée dans la plupart des régions de l'Empire romain, y compris en Inde, en Afrique du Nord et en Allemagne. Entre l'an 4 av. J.‑C. et l'an 70 apr. J.‑C., à certaines occasions, le nombre de personnes crucifiées en même temps atteignait des milliers.</w:t>
      </w:r>
    </w:p>
    <w:p>
      <w:r/>
      <w:r>
        <w:t xml:space="preserve">Trois types de croix semblent avoir été utilisés : une croix avec la barre transversale sous la tête de la barre verticale (croix latine) ; une croix en forme de T (croix de Saint-Antoine) ; et une croix en forme de X (croix de Saint-André). Matthieu rapporte qu'une inscription, « </w:t>
      </w:r>
      <w:r>
        <w:t>Celui-ci est Jésus, le roi des Juifs</w:t>
      </w:r>
      <w:r>
        <w:t xml:space="preserve"> », a été placée au-dessus de la tête de Jésus (</w:t>
      </w:r>
      <w:hyperlink r:id="rId4389">
        <w:r>
          <w:rPr>
            <w:color w:val="0000EE"/>
            <w:u w:val="single"/>
          </w:rPr>
          <w:t>Mt 27.37</w:t>
        </w:r>
      </w:hyperlink>
      <w:r>
        <w:t>). Ceci indique que pour la crucifixion de Jésus, c'est une croix latine qui a été utilisée, comme l'ont traditionnellement représentée les artistes. Lors de crucifixions, la victime était très probablement fixée à la croix alors qu'elle était encore allongée à plat sur le sol. La croix était ensuite mise en position et insérée dans une cale dans le sol. Les mains étaient soit clouées, soit attachées à la croix ; il est incertain si les pieds étaient cloués avec un ou deux clous. Le poids du corps était soutenu par un morceau de bois aux pieds et possiblement par un autre qui ressemblait à une pointe entre les jambes.</w:t>
      </w:r>
    </w:p>
    <w:p>
      <w:r/>
      <w:r>
        <w:t>5. La lapidation était la peine de mort hébraïque la plus courante. Les premières pierres étaient lancées par les témoins de l'accusation, qui étaient ensuite rejoints par les spectateurs. La lapidation était la punition pour certaines offenses religieuses (</w:t>
      </w:r>
      <w:hyperlink r:id="rId3979">
        <w:r>
          <w:rPr>
            <w:color w:val="0000EE"/>
            <w:u w:val="single"/>
          </w:rPr>
          <w:t>Lv 24.16</w:t>
        </w:r>
      </w:hyperlink>
      <w:r>
        <w:t xml:space="preserve"> ; </w:t>
      </w:r>
      <w:hyperlink r:id="rId4314">
        <w:r>
          <w:rPr>
            <w:color w:val="0000EE"/>
            <w:u w:val="single"/>
          </w:rPr>
          <w:t>Nb 15.32–36</w:t>
        </w:r>
      </w:hyperlink>
      <w:r>
        <w:t xml:space="preserve"> ; </w:t>
      </w:r>
      <w:hyperlink r:id="rId4390">
        <w:r>
          <w:rPr>
            <w:color w:val="0000EE"/>
            <w:u w:val="single"/>
          </w:rPr>
          <w:t>Dt 13.1–10</w:t>
        </w:r>
      </w:hyperlink>
      <w:r>
        <w:t xml:space="preserve"> ; </w:t>
      </w:r>
      <w:hyperlink r:id="rId4391">
        <w:r>
          <w:rPr>
            <w:color w:val="0000EE"/>
            <w:u w:val="single"/>
          </w:rPr>
          <w:t>17.2–5</w:t>
        </w:r>
      </w:hyperlink>
      <w:r>
        <w:t>), l'adultère (</w:t>
      </w:r>
      <w:hyperlink r:id="rId4392">
        <w:r>
          <w:rPr>
            <w:color w:val="0000EE"/>
            <w:u w:val="single"/>
          </w:rPr>
          <w:t>Dt 22.23–24</w:t>
        </w:r>
      </w:hyperlink>
      <w:r>
        <w:t>), le sacrifice d'enfants (</w:t>
      </w:r>
      <w:hyperlink r:id="rId4310">
        <w:r>
          <w:rPr>
            <w:color w:val="0000EE"/>
            <w:u w:val="single"/>
          </w:rPr>
          <w:t>Lv 20.2</w:t>
        </w:r>
      </w:hyperlink>
      <w:r>
        <w:t>), la divination (</w:t>
      </w:r>
      <w:hyperlink r:id="rId4393">
        <w:r>
          <w:rPr>
            <w:color w:val="0000EE"/>
            <w:u w:val="single"/>
          </w:rPr>
          <w:t>Lv 20.27</w:t>
        </w:r>
      </w:hyperlink>
      <w:r>
        <w:t>) et la rébellion (</w:t>
      </w:r>
      <w:hyperlink r:id="rId4330">
        <w:r>
          <w:rPr>
            <w:color w:val="0000EE"/>
            <w:u w:val="single"/>
          </w:rPr>
          <w:t>Dt 21.18–21</w:t>
        </w:r>
      </w:hyperlink>
      <w:r>
        <w:t>). Avant sa conversion, l'apôtre Paul a été témoin et a consenti à la lapidation d'Étienne (</w:t>
      </w:r>
      <w:hyperlink r:id="rId4394">
        <w:r>
          <w:rPr>
            <w:color w:val="0000EE"/>
            <w:u w:val="single"/>
          </w:rPr>
          <w:t>Ac 7.58–59</w:t>
        </w:r>
      </w:hyperlink>
      <w:r>
        <w:t>). Paul lui-même a plus tard survécu à une lapidation à Lystre (</w:t>
      </w:r>
      <w:hyperlink r:id="rId994">
        <w:r>
          <w:rPr>
            <w:color w:val="0000EE"/>
            <w:u w:val="single"/>
          </w:rPr>
          <w:t>14.19</w:t>
        </w:r>
      </w:hyperlink>
      <w:r>
        <w:t>). À l'époque romaine, une personne pouvait occasionnellement être lapidée alors qu'elle se tenait sur une potence.</w:t>
      </w:r>
    </w:p>
    <w:p>
      <w:pPr>
        <w:pStyle w:val="Heading3"/>
      </w:pPr>
      <w:r>
        <w:t>Conclusion</w:t>
      </w:r>
    </w:p>
    <w:p>
      <w:r/>
      <w:r>
        <w:t>La loi hébraïque faisait partie de la Torah (« instruction ») donnée par Dieu pour sanctifier son peuple auquel il était attaché par alliance. À cette époque, les Israélites étaient un groupe semi-nomade d'anciens esclaves. Bien qu'il existe des similitudes avec le Code de Hammurabi et d'autres lois des cultures sédentaires du Proche-Orient, il y a aussi de nombreuses différences. La loi hébraïque avait souvent une vision plus large, même dans son cadre culturel moins sophistiqué, comme si son objectif était davantage d'enseigner un comportement pieux que de stabiliser la société. La simplicité et la clarté des Dix Commandements, en particulier, continuent d'influencer la jurisprudence, même dans la société laïque moderne.</w:t>
      </w:r>
    </w:p>
    <w:p>
      <w:r/>
      <w:r>
        <w:t>Le message principal de la Bible est l'amour de Dieu pour le peuple de son alliance, mais elle ne néglige jamais les dures réalités de la vie dans un monde déchu. Les êtres humains pèchent et commettent des crimes ; ils souffrent de l'éloignement de Dieu à cause de leur péché et sont punis pour leurs crimes. Les chrétiens sont constamment rappelés de la vérité de l'amour de Dieu par la croix, symbole de la foi chrétienne. Ils voient la crucifixion de Jésus-Christ comme l'accomplissement de la prophétie de l'Ancien Testament, selon laquelle le Seigneur a mis notre iniquité sur lui (</w:t>
      </w:r>
      <w:hyperlink r:id="rId4395">
        <w:r>
          <w:rPr>
            <w:color w:val="0000EE"/>
            <w:u w:val="single"/>
          </w:rPr>
          <w:t>Es 53.5–6</w:t>
        </w:r>
      </w:hyperlink>
      <w:r>
        <w:t>). La conviction du Nouveau Testament est que Christ est mort pour nos péchés conformément aux Écritures (</w:t>
      </w:r>
      <w:hyperlink r:id="rId4396">
        <w:r>
          <w:rPr>
            <w:color w:val="0000EE"/>
            <w:u w:val="single"/>
          </w:rPr>
          <w:t>1Co 15.3</w:t>
        </w:r>
      </w:hyperlink>
      <w:r>
        <w:t>).</w:t>
      </w:r>
    </w:p>
    <w:p>
      <w:r/>
      <w:r>
        <w:rPr>
          <w:i/>
        </w:rPr>
        <w:t>Voir aussi</w:t>
      </w:r>
      <w:r>
        <w:t xml:space="preserve"> </w:t>
      </w:r>
      <w:r>
        <w:t>Droit civil et justice</w:t>
      </w:r>
      <w:r>
        <w:t xml:space="preserve"> ; </w:t>
      </w:r>
      <w:r>
        <w:t>Tribunaux et procès</w:t>
      </w:r>
      <w:r>
        <w:t xml:space="preserve"> ; </w:t>
      </w:r>
      <w:r>
        <w:t>Hammurabi, Code de loi de</w:t>
      </w:r>
      <w:r>
        <w:t xml:space="preserve"> ; </w:t>
      </w:r>
      <w:r>
        <w:t>Droit, concept biblique de</w:t>
      </w:r>
      <w:r>
        <w:t>.</w:t>
      </w:r>
      <w:r/>
      <w:r/>
    </w:p>
    <w:p>
      <w:r/>
    </w:p>
    <w:p>
      <w:pPr>
        <w:pStyle w:val="Heading2"/>
      </w:pPr>
      <w:r>
        <w:t>Droite, Rue appelée la</w:t>
      </w:r>
      <w:r/>
    </w:p>
    <w:p>
      <w:r/>
      <w:r>
        <w:t>Rue à Damas où l'apôtre Paul a séjourné après sa première rencontre avec le Christ ressuscité. Dans la maison de Judas, sur cette rue, Ananias a baptisé Paul et la vue de Paul a été restaurée (</w:t>
      </w:r>
      <w:hyperlink r:id="rId4397">
        <w:r>
          <w:rPr>
            <w:color w:val="0000EE"/>
            <w:u w:val="single"/>
          </w:rPr>
          <w:t>Ac 9.11</w:t>
        </w:r>
      </w:hyperlink>
      <w:r>
        <w:t>). Les gens appelaient la rue « Droite » parce que, contrairement à de nombreuses autres rues de la ville, celle-ci était effectivement en ligne droite.</w:t>
      </w:r>
    </w:p>
    <w:p>
      <w:r/>
      <w:r>
        <w:t>La rue existe toujours aujourd'hui et reste droite, bien que la rue actuelle soit située environ 5 m plus haut que le tracé original. Les gens continuent de l'appeler par ce même nom (le nom français est Rue Droite). Elle s'étend d'est en ouest sur la limite sud de la section chrétienne de la ville. La « maison de Judas » n'y est plus. Cependant, dans une ruelle à l'extrémité est de la Rue Droite se trouve la « maison d'Ananias ».</w:t>
      </w:r>
    </w:p>
    <w:p>
      <w:r/>
      <w:r>
        <w:rPr>
          <w:i/>
        </w:rPr>
        <w:t>Voir aussi</w:t>
      </w:r>
      <w:r>
        <w:t xml:space="preserve"> </w:t>
      </w:r>
      <w:r>
        <w:t>Damas</w:t>
      </w:r>
      <w:r>
        <w:t>.</w:t>
      </w:r>
      <w:r/>
      <w:r/>
    </w:p>
    <w:p>
      <w:r/>
    </w:p>
    <w:p>
      <w:pPr>
        <w:pStyle w:val="Heading2"/>
      </w:pPr>
      <w:r>
        <w:t>Droiture</w:t>
      </w:r>
      <w:r/>
    </w:p>
    <w:p>
      <w:r/>
      <w:r>
        <w:t>Entretenir une bonne relation, principalement avec Dieu, mais aussi avec autrui.</w:t>
      </w:r>
    </w:p>
    <w:p>
      <w:r/>
      <w:r>
        <w:t xml:space="preserve">Répondre aux attentes légitimes dans toute relation, comme entre époux, parents et enfants, citoyens, ouvriers et employeurs, commerçants et clients, dirigeants et citoyens, et Dieu et les êtres humains. Voilà ce qu'on appelle la droiture. Lorsque quelqu'un répond à ces attentes, ses actions et ses paroles sont considérées comme droites. L'opposé de droit est « mal », « mauvais » ou « faux » (voir </w:t>
      </w:r>
      <w:hyperlink r:id="rId4398">
        <w:r>
          <w:rPr>
            <w:color w:val="0000EE"/>
            <w:u w:val="single"/>
          </w:rPr>
          <w:t>Ps 1.6</w:t>
        </w:r>
      </w:hyperlink>
      <w:r>
        <w:t xml:space="preserve"> ; </w:t>
      </w:r>
      <w:hyperlink r:id="rId4399">
        <w:r>
          <w:rPr>
            <w:color w:val="0000EE"/>
            <w:u w:val="single"/>
          </w:rPr>
          <w:t>So 3.5</w:t>
        </w:r>
      </w:hyperlink>
      <w:r>
        <w:t>).</w:t>
      </w:r>
    </w:p>
    <w:p>
      <w:pPr>
        <w:pStyle w:val="Heading3"/>
      </w:pPr>
      <w:r>
        <w:t>La Droiture dans l'Ancien Testament</w:t>
      </w:r>
    </w:p>
    <w:p>
      <w:r/>
      <w:r>
        <w:t>En Israël, la droiture influençait chaque aspect de la vie, tant religieux que séculier (non religieux). Israël était appelé à être une nation spéciale pour démontrer la règle, la nature et les attentes de Dieu au monde. Ils avaient besoin de la révélation de Dieu pour comprendre sa volonté et maintenir une relation avec lui. La relation d'une personne avec Dieu était directement liée à sa relation avec les autres.</w:t>
      </w:r>
    </w:p>
    <w:p>
      <w:pPr>
        <w:pStyle w:val="Heading4"/>
      </w:pPr>
      <w:r>
        <w:t>La Droiture de Dieu et la droiture humaine</w:t>
      </w:r>
    </w:p>
    <w:p>
      <w:r/>
      <w:r>
        <w:t>Dieu est juste et droit (</w:t>
      </w:r>
      <w:hyperlink r:id="rId4400">
        <w:r>
          <w:rPr>
            <w:color w:val="0000EE"/>
            <w:u w:val="single"/>
          </w:rPr>
          <w:t>2Ch 12.6</w:t>
        </w:r>
      </w:hyperlink>
      <w:r>
        <w:t xml:space="preserve"> ; </w:t>
      </w:r>
      <w:hyperlink r:id="rId4401">
        <w:r>
          <w:rPr>
            <w:color w:val="0000EE"/>
            <w:u w:val="single"/>
          </w:rPr>
          <w:t>Ps 7.9</w:t>
        </w:r>
      </w:hyperlink>
      <w:r>
        <w:t xml:space="preserve"> ; </w:t>
      </w:r>
      <w:hyperlink r:id="rId4402">
        <w:r>
          <w:rPr>
            <w:color w:val="0000EE"/>
            <w:u w:val="single"/>
          </w:rPr>
          <w:t>103.17</w:t>
        </w:r>
      </w:hyperlink>
      <w:r>
        <w:t xml:space="preserve"> ; </w:t>
      </w:r>
      <w:hyperlink r:id="rId4399">
        <w:r>
          <w:rPr>
            <w:color w:val="0000EE"/>
            <w:u w:val="single"/>
          </w:rPr>
          <w:t>So 3.5</w:t>
        </w:r>
      </w:hyperlink>
      <w:r>
        <w:t xml:space="preserve"> ; </w:t>
      </w:r>
      <w:hyperlink r:id="rId4403">
        <w:r>
          <w:rPr>
            <w:color w:val="0000EE"/>
            <w:u w:val="single"/>
          </w:rPr>
          <w:t>Za 8.8</w:t>
        </w:r>
      </w:hyperlink>
      <w:r>
        <w:t xml:space="preserve">). Sa justice se manifeste dans ses actions envers son peuple et dans sa relation avec lui. Tous les actes de Dieu sont justes et droits (voir </w:t>
      </w:r>
      <w:hyperlink r:id="rId4404">
        <w:r>
          <w:rPr>
            <w:color w:val="0000EE"/>
            <w:u w:val="single"/>
          </w:rPr>
          <w:t>Dt 32.4</w:t>
        </w:r>
      </w:hyperlink>
      <w:r>
        <w:t xml:space="preserve"> ; </w:t>
      </w:r>
      <w:hyperlink r:id="rId4405">
        <w:r>
          <w:rPr>
            <w:color w:val="0000EE"/>
            <w:u w:val="single"/>
          </w:rPr>
          <w:t>Jg 5.11</w:t>
        </w:r>
      </w:hyperlink>
      <w:r>
        <w:t xml:space="preserve"> ; </w:t>
      </w:r>
      <w:hyperlink r:id="rId4406">
        <w:r>
          <w:rPr>
            <w:color w:val="0000EE"/>
            <w:u w:val="single"/>
          </w:rPr>
          <w:t>Ps 103.6</w:t>
        </w:r>
      </w:hyperlink>
      <w:r>
        <w:t>). Le peuple de Dieu se réjouissait de ses actes de droiture (</w:t>
      </w:r>
      <w:hyperlink r:id="rId4407">
        <w:r>
          <w:rPr>
            <w:color w:val="0000EE"/>
            <w:u w:val="single"/>
          </w:rPr>
          <w:t>Ps 89.16</w:t>
        </w:r>
      </w:hyperlink>
      <w:r>
        <w:t>). Parce que Dieu est juste et droit, il attend la droiture des autres, reflétant ainsi sa nature. La droiture signifie suivre la loi et la volonté de Dieu.</w:t>
      </w:r>
    </w:p>
    <w:p>
      <w:r/>
      <w:r>
        <w:t>Noé est appelé « juste et intègre » parce qu'il marchait avec Dieu et montrait de la droiture par rapport aux autres (</w:t>
      </w:r>
      <w:hyperlink r:id="rId2976">
        <w:r>
          <w:rPr>
            <w:color w:val="0000EE"/>
            <w:u w:val="single"/>
          </w:rPr>
          <w:t>Gn 6.9</w:t>
        </w:r>
      </w:hyperlink>
      <w:r>
        <w:t>). Après la chute de l'humanité (lorsque les êtres humains ont désobéi à Dieu et ont introduit le péché dans le monde, conduisant au déluge et à la dispersion à Babel) Dieu a renouvelé sa relation avec l'humanité à travers Abraham et ses descendants. Abraham était droit parce qu'il vivait selon la volonté révélée de Dieu (</w:t>
      </w:r>
      <w:hyperlink r:id="rId549">
        <w:r>
          <w:rPr>
            <w:color w:val="0000EE"/>
            <w:u w:val="single"/>
          </w:rPr>
          <w:t>Gn 15.6</w:t>
        </w:r>
      </w:hyperlink>
      <w:r>
        <w:t xml:space="preserve"> ; voir </w:t>
      </w:r>
      <w:hyperlink r:id="rId551">
        <w:r>
          <w:rPr>
            <w:color w:val="0000EE"/>
            <w:u w:val="single"/>
          </w:rPr>
          <w:t>17.1</w:t>
        </w:r>
      </w:hyperlink>
      <w:r>
        <w:t xml:space="preserve"> ; </w:t>
      </w:r>
      <w:hyperlink r:id="rId4408">
        <w:r>
          <w:rPr>
            <w:color w:val="0000EE"/>
            <w:u w:val="single"/>
          </w:rPr>
          <w:t>18.19</w:t>
        </w:r>
      </w:hyperlink>
      <w:r>
        <w:t xml:space="preserve"> ; </w:t>
      </w:r>
      <w:hyperlink r:id="rId4409">
        <w:r>
          <w:rPr>
            <w:color w:val="0000EE"/>
            <w:u w:val="single"/>
          </w:rPr>
          <w:t>26.5</w:t>
        </w:r>
      </w:hyperlink>
      <w:r>
        <w:t>).</w:t>
      </w:r>
    </w:p>
    <w:p>
      <w:pPr>
        <w:pStyle w:val="Heading4"/>
      </w:pPr>
      <w:r>
        <w:t>La Loi et la droiture</w:t>
      </w:r>
    </w:p>
    <w:p>
      <w:r/>
      <w:r>
        <w:t xml:space="preserve">Dieu a révélé à Israël la manière dont ils devaient se comporter vis-à-vis de lui et des autres. La loi aidait le peuple à vivre selon la volonté de Dieu et à être droit. Une personne dévouée au service de Dieu était appelée juste (voir </w:t>
      </w:r>
      <w:hyperlink r:id="rId4410">
        <w:r>
          <w:rPr>
            <w:color w:val="0000EE"/>
            <w:u w:val="single"/>
          </w:rPr>
          <w:t>Ml 3.18</w:t>
        </w:r>
      </w:hyperlink>
      <w:r>
        <w:t>). Par conséquent, la droiture signifie vivre correctement devant Dieu et les autres, démontré par ce que nous faisons et disons.</w:t>
      </w:r>
    </w:p>
    <w:p>
      <w:r/>
      <w:r>
        <w:t>Les prophètes ont parlé d'un temps futur marqué par la droiture, lorsque régnera le roi spécial choisi par Dieu, le Messie. Ceci est d'autant plus vrai lorsque le royaume de Dieu viendra sur terre. Le prophète Ésaïe écrit à ce sujet (</w:t>
      </w:r>
      <w:hyperlink r:id="rId4411">
        <w:r>
          <w:rPr>
            <w:color w:val="0000EE"/>
            <w:u w:val="single"/>
          </w:rPr>
          <w:t>Es 11.1–9</w:t>
        </w:r>
      </w:hyperlink>
      <w:r>
        <w:t xml:space="preserve">) et dit que ce règne s'étendrait à toutes les nations (v. </w:t>
      </w:r>
      <w:hyperlink r:id="rId4412">
        <w:r>
          <w:rPr>
            <w:color w:val="0000EE"/>
            <w:u w:val="single"/>
          </w:rPr>
          <w:t>10–16</w:t>
        </w:r>
      </w:hyperlink>
      <w:r>
        <w:t>). Ésaïe dira également qu'il durerait pour toujours (</w:t>
      </w:r>
      <w:hyperlink r:id="rId3622">
        <w:r>
          <w:rPr>
            <w:color w:val="0000EE"/>
            <w:u w:val="single"/>
          </w:rPr>
          <w:t>Es 9.7</w:t>
        </w:r>
      </w:hyperlink>
      <w:r>
        <w:t>). Ésaïe décrit l'avènement glorieux du royaume de Dieu, par lequel ses ennemis seront soumis, son peuple sera rassemblé, et ils vivront en paix.</w:t>
      </w:r>
    </w:p>
    <w:p>
      <w:r/>
      <w:r>
        <w:t>Les actes de restauration, du retour d'Israël de l'exil à la venue finale du royaume, illustrent les acties justes et droits de Dieu. Il pardonne, restaure, reste fidèle, aime, choisit et envoie son Esprit pour renouveler son peuple. Il leur accorde les bénéfices de la relation d'alliance renouvelée (un accord spécial entre Dieu et son peuple). Tant les Juifs que les Gentils reçoivent les actions droites de Dieu (</w:t>
      </w:r>
      <w:hyperlink r:id="rId4413">
        <w:r>
          <w:rPr>
            <w:color w:val="0000EE"/>
            <w:u w:val="single"/>
          </w:rPr>
          <w:t>Es 45.8, 23</w:t>
        </w:r>
      </w:hyperlink>
      <w:r>
        <w:t xml:space="preserve"> ; </w:t>
      </w:r>
      <w:hyperlink r:id="rId4414">
        <w:r>
          <w:rPr>
            <w:color w:val="0000EE"/>
            <w:u w:val="single"/>
          </w:rPr>
          <w:t>46.13, 48.18</w:t>
        </w:r>
      </w:hyperlink>
      <w:r>
        <w:t xml:space="preserve"> ; </w:t>
      </w:r>
      <w:hyperlink r:id="rId4415">
        <w:r>
          <w:rPr>
            <w:color w:val="0000EE"/>
            <w:u w:val="single"/>
          </w:rPr>
          <w:t>51.5, 8, 16</w:t>
        </w:r>
      </w:hyperlink>
      <w:r>
        <w:t xml:space="preserve"> ; </w:t>
      </w:r>
      <w:hyperlink r:id="rId4416">
        <w:r>
          <w:rPr>
            <w:color w:val="0000EE"/>
            <w:u w:val="single"/>
          </w:rPr>
          <w:t>56.1</w:t>
        </w:r>
      </w:hyperlink>
      <w:r>
        <w:t xml:space="preserve"> ; </w:t>
      </w:r>
      <w:hyperlink r:id="rId4417">
        <w:r>
          <w:rPr>
            <w:color w:val="0000EE"/>
            <w:u w:val="single"/>
          </w:rPr>
          <w:t>59.17</w:t>
        </w:r>
      </w:hyperlink>
      <w:r>
        <w:t xml:space="preserve"> ; </w:t>
      </w:r>
      <w:hyperlink r:id="rId4418">
        <w:r>
          <w:rPr>
            <w:color w:val="0000EE"/>
            <w:u w:val="single"/>
          </w:rPr>
          <w:t>60.17</w:t>
        </w:r>
      </w:hyperlink>
      <w:r>
        <w:t xml:space="preserve"> ; </w:t>
      </w:r>
      <w:hyperlink r:id="rId4419">
        <w:r>
          <w:rPr>
            <w:color w:val="0000EE"/>
            <w:u w:val="single"/>
          </w:rPr>
          <w:t>61.10–11</w:t>
        </w:r>
      </w:hyperlink>
      <w:r>
        <w:t>).</w:t>
      </w:r>
    </w:p>
    <w:p>
      <w:pPr>
        <w:pStyle w:val="Heading3"/>
      </w:pPr>
      <w:r>
        <w:t>La Droiture dans le Nouveau Testament</w:t>
      </w:r>
    </w:p>
    <w:p>
      <w:r/>
      <w:r>
        <w:t xml:space="preserve">Dieu était préoccupé par le salut de son peuple et par son royaume éternel. Ainsi, Dieu a révélé sa justice en envoyant son Fils. La venue de Christ marque le renouvellement de la relation de Dieu avec l'humanité, l'alliance, et son royaume sur terre. L'ancienne alliance, médiée par Moïse, a été renouvelée par le Fils de Dieu, qui est venu accomplir « </w:t>
      </w:r>
      <w:r>
        <w:t>tout ce qui est juste</w:t>
      </w:r>
      <w:r>
        <w:t xml:space="preserve"> » (</w:t>
      </w:r>
      <w:hyperlink r:id="rId4420">
        <w:r>
          <w:rPr>
            <w:color w:val="0000EE"/>
            <w:u w:val="single"/>
          </w:rPr>
          <w:t>Mt 3.15</w:t>
        </w:r>
      </w:hyperlink>
      <w:r>
        <w:t>). Le message de Jésus s'aligne avec l'Ancien Testament en identifiant le royaume de Dieu avec sa justice et sa droiture (</w:t>
      </w:r>
      <w:hyperlink r:id="rId3781">
        <w:r>
          <w:rPr>
            <w:color w:val="0000EE"/>
            <w:u w:val="single"/>
          </w:rPr>
          <w:t>Mt 6.33</w:t>
        </w:r>
      </w:hyperlink>
      <w:r>
        <w:t xml:space="preserve"> ; </w:t>
      </w:r>
      <w:hyperlink r:id="rId4421">
        <w:r>
          <w:rPr>
            <w:color w:val="0000EE"/>
            <w:u w:val="single"/>
          </w:rPr>
          <w:t>13.43</w:t>
        </w:r>
      </w:hyperlink>
      <w:r>
        <w:t>). Jésus enseigne que Dieu attend de chacun qu'il vive en harmonie avec sa volonté (</w:t>
      </w:r>
      <w:hyperlink r:id="rId4422">
        <w:r>
          <w:rPr>
            <w:color w:val="0000EE"/>
            <w:u w:val="single"/>
          </w:rPr>
          <w:t>Mt 7.21</w:t>
        </w:r>
      </w:hyperlink>
      <w:r>
        <w:t>). Jésus est la révélation finale de Dieu concernant ce qu'il exige pour que quelqu'un entre dans le royaume et vive de manière juste.</w:t>
      </w:r>
    </w:p>
    <w:p>
      <w:pPr>
        <w:pStyle w:val="Heading4"/>
      </w:pPr>
      <w:r>
        <w:t>Justification et droiture</w:t>
      </w:r>
    </w:p>
    <w:p>
      <w:r/>
      <w:r>
        <w:t>Un individu ne peut pas atteindre cette droiture par ses propres efforts ; il s'agit d'un don de Dieu (</w:t>
      </w:r>
      <w:hyperlink r:id="rId4423">
        <w:r>
          <w:rPr>
            <w:color w:val="0000EE"/>
            <w:u w:val="single"/>
          </w:rPr>
          <w:t>Rm 3.21–5.21</w:t>
        </w:r>
      </w:hyperlink>
      <w:r>
        <w:t>). Il n'y a pas de justice en dehors de Jésus-Christ. L'Évangile de Jésus révèle que « le juste vivra par la foi » (</w:t>
      </w:r>
      <w:hyperlink r:id="rId4424">
        <w:r>
          <w:rPr>
            <w:color w:val="0000EE"/>
            <w:u w:val="single"/>
          </w:rPr>
          <w:t>Rm 1.17</w:t>
        </w:r>
      </w:hyperlink>
      <w:r>
        <w:t xml:space="preserve"> ; voir </w:t>
      </w:r>
      <w:hyperlink r:id="rId3738">
        <w:r>
          <w:rPr>
            <w:color w:val="0000EE"/>
            <w:u w:val="single"/>
          </w:rPr>
          <w:t>Hb 2.4</w:t>
        </w:r>
      </w:hyperlink>
      <w:r>
        <w:t>). Par conséquent, le Père exige l'acceptation de son Fils comme moyen de justification (</w:t>
      </w:r>
      <w:hyperlink r:id="rId4425">
        <w:r>
          <w:rPr>
            <w:color w:val="0000EE"/>
            <w:u w:val="single"/>
          </w:rPr>
          <w:t>Rm 3.25–26</w:t>
        </w:r>
      </w:hyperlink>
      <w:r>
        <w:t xml:space="preserve"> ; </w:t>
      </w:r>
      <w:hyperlink r:id="rId4426">
        <w:r>
          <w:rPr>
            <w:color w:val="0000EE"/>
            <w:u w:val="single"/>
          </w:rPr>
          <w:t>5.9</w:t>
        </w:r>
      </w:hyperlink>
      <w:r>
        <w:t>). La justification se produit lorsque Dieu déclare les gens justes lorsqu'ils placent leur confiance en son Fils (</w:t>
      </w:r>
      <w:hyperlink r:id="rId4427">
        <w:r>
          <w:rPr>
            <w:color w:val="0000EE"/>
            <w:u w:val="single"/>
          </w:rPr>
          <w:t>Rm 8.33–34</w:t>
        </w:r>
      </w:hyperlink>
      <w:r>
        <w:t xml:space="preserve"> ; </w:t>
      </w:r>
      <w:hyperlink r:id="rId316">
        <w:r>
          <w:rPr>
            <w:color w:val="0000EE"/>
            <w:u w:val="single"/>
          </w:rPr>
          <w:t>2Co 3.18</w:t>
        </w:r>
      </w:hyperlink>
      <w:r>
        <w:t xml:space="preserve"> ; </w:t>
      </w:r>
      <w:hyperlink r:id="rId4428">
        <w:r>
          <w:rPr>
            <w:color w:val="0000EE"/>
            <w:u w:val="single"/>
          </w:rPr>
          <w:t>11.15</w:t>
        </w:r>
      </w:hyperlink>
      <w:r>
        <w:t>). Dieu pardonne les péchés, se réconcilie avec les pécheurs et leur accorde la paix (</w:t>
      </w:r>
      <w:hyperlink r:id="rId4429">
        <w:r>
          <w:rPr>
            <w:color w:val="0000EE"/>
            <w:u w:val="single"/>
          </w:rPr>
          <w:t>Rm 5.1, 9</w:t>
        </w:r>
      </w:hyperlink>
      <w:hyperlink r:id="rId322">
        <w:r>
          <w:rPr>
            <w:color w:val="0000EE"/>
            <w:u w:val="single"/>
          </w:rPr>
          <w:t>–</w:t>
        </w:r>
      </w:hyperlink>
      <w:hyperlink r:id="rId4429">
        <w:r>
          <w:rPr>
            <w:color w:val="0000EE"/>
            <w:u w:val="single"/>
          </w:rPr>
          <w:t>11</w:t>
        </w:r>
      </w:hyperlink>
      <w:r>
        <w:t xml:space="preserve"> ; </w:t>
      </w:r>
      <w:hyperlink r:id="rId4430">
        <w:r>
          <w:rPr>
            <w:color w:val="0000EE"/>
            <w:u w:val="single"/>
          </w:rPr>
          <w:t>Ep 2.14–17</w:t>
        </w:r>
      </w:hyperlink>
      <w:r>
        <w:t>). Ceux qui sont déclarés justes jouissent d'une nouvelle relation en tant que « fils de Dieu » par adoption. Le Père agit de manière juste envers ses enfants et s'attend à ce qu'ils se comportent de manière juste envers lui.</w:t>
      </w:r>
    </w:p>
    <w:p>
      <w:pPr>
        <w:pStyle w:val="Heading4"/>
      </w:pPr>
      <w:r>
        <w:t>Accomplissement futur de la droiture</w:t>
      </w:r>
    </w:p>
    <w:p>
      <w:r/>
      <w:r>
        <w:t>Lors du retour de Christ, nous verrons la véritable droiture dans sa plénitude. C'est là que tous ceux que Dieu a rendus justes avec lui-même seront également glorifiés (</w:t>
      </w:r>
      <w:hyperlink r:id="rId4431">
        <w:r>
          <w:rPr>
            <w:color w:val="0000EE"/>
            <w:u w:val="single"/>
          </w:rPr>
          <w:t>Rm 8.30</w:t>
        </w:r>
      </w:hyperlink>
      <w:r>
        <w:t>). Le plan de Dieu pour sauver l'humanité avance vers un objectif final. Cet objectif est la pleine apparition du royaume de Dieu. C'est à ce moment-là que Dieu renouvellera toute la création dans la « droiture » et la « droiture », c'est-à-dire que toute la création sera en accord avec Dieu (</w:t>
      </w:r>
      <w:hyperlink r:id="rId4432">
        <w:r>
          <w:rPr>
            <w:color w:val="0000EE"/>
            <w:u w:val="single"/>
          </w:rPr>
          <w:t>2P 3.13</w:t>
        </w:r>
      </w:hyperlink>
      <w:r>
        <w:t>).</w:t>
      </w:r>
    </w:p>
    <w:p>
      <w:r/>
      <w:r>
        <w:rPr>
          <w:i/>
        </w:rPr>
        <w:t>Voir aussi</w:t>
      </w:r>
      <w:r>
        <w:t xml:space="preserve"> </w:t>
      </w:r>
      <w:r>
        <w:t>Dieu, Être et attributs de</w:t>
      </w:r>
      <w:r>
        <w:t xml:space="preserve"> ; </w:t>
      </w:r>
      <w:r>
        <w:t>Justification, justifié</w:t>
      </w:r>
      <w:r>
        <w:t xml:space="preserve"> ; </w:t>
      </w:r>
      <w:r>
        <w:t>Loi, Concept biblique de</w:t>
      </w:r>
      <w:r>
        <w:t>.</w:t>
      </w:r>
      <w:r/>
      <w:r/>
    </w:p>
    <w:p>
      <w:r/>
    </w:p>
    <w:p>
      <w:pPr>
        <w:pStyle w:val="Heading2"/>
      </w:pPr>
      <w:r>
        <w:t>Drusille</w:t>
      </w:r>
      <w:r/>
    </w:p>
    <w:p>
      <w:r/>
      <w:r>
        <w:t>Troisième et plus jeune fille d'Hérode Agrippa, roi de Judée. Elle était juive et est née vers l'an 38 apr. J.‑C. Elle avait deux sœurs nommées Bérénice et Mariamne. Elle se fiancera à Épiphane, prince de Commagène, mais annulera les fiançailles du fait du refus du prince de se convertir au judaïsme.</w:t>
      </w:r>
    </w:p>
    <w:p>
      <w:r/>
      <w:r>
        <w:t>Le frère de Drusille, Agrippa II, arrangera ensuite son mariage avec Azizus, le roi d'Émèse. Azizus acceptera d'être circoncis (une exigence religieuse juive). Peu après son mariage, Félix, gouverneur de Judée, tombera amoureux de Drusille, lorsque celle-ci n'avait que seize ans. Félix était un gentil (non-juif). Vers 54 apr. J.‑C., Félix convaincra Drusille d'enfreindre la loi juive en quittant son mari pour l'épouser.</w:t>
      </w:r>
    </w:p>
    <w:p>
      <w:r/>
      <w:r>
        <w:t>Alors que Paul était détenu en garde à vue à Césarée, Drusille et Félix l'écouteront expliquer le message de l'Évangile (</w:t>
      </w:r>
      <w:hyperlink r:id="rId4433">
        <w:r>
          <w:rPr>
            <w:color w:val="0000EE"/>
            <w:u w:val="single"/>
          </w:rPr>
          <w:t>Ac 24.24</w:t>
        </w:r>
      </w:hyperlink>
      <w:r>
        <w:t>). Leur fils, également nommé Agrippa, est mort lors de l'erruption du mont Vésuve (volcan italien) en 79 apr. J.‑C.</w:t>
      </w:r>
      <w:r/>
      <w:r/>
    </w:p>
    <w:p>
      <w:r/>
    </w:p>
    <w:p>
      <w:pPr>
        <w:pStyle w:val="Heading2"/>
      </w:pPr>
      <w:r>
        <w:t>Duma (Lieu)</w:t>
      </w:r>
      <w:r/>
    </w:p>
    <w:p>
      <w:r/>
      <w:r>
        <w:t>1. Région des douze tribus d'Ismaël (</w:t>
      </w:r>
      <w:hyperlink r:id="rId503">
        <w:r>
          <w:rPr>
            <w:color w:val="0000EE"/>
            <w:u w:val="single"/>
          </w:rPr>
          <w:t>Gn 25.14</w:t>
        </w:r>
      </w:hyperlink>
      <w:r>
        <w:t xml:space="preserve"> ; </w:t>
      </w:r>
      <w:hyperlink r:id="rId504">
        <w:r>
          <w:rPr>
            <w:color w:val="0000EE"/>
            <w:u w:val="single"/>
          </w:rPr>
          <w:t>1Ch 1.30</w:t>
        </w:r>
      </w:hyperlink>
      <w:r>
        <w:t>) où se trouvaient plusieurs oasis ; identifiée à el-Jof, l'actuelle Dumat el-Jendel. Cet endroit était situé à environ trois quarts de la route de Damas à Médine.</w:t>
      </w:r>
    </w:p>
    <w:p>
      <w:r/>
      <w:r>
        <w:t>2. Ville dans les hautes terres attribuée à la tribu de Juda en héritage (</w:t>
      </w:r>
      <w:hyperlink r:id="rId4434">
        <w:r>
          <w:rPr>
            <w:color w:val="0000EE"/>
            <w:u w:val="single"/>
          </w:rPr>
          <w:t>Jos 15.52</w:t>
        </w:r>
      </w:hyperlink>
      <w:r>
        <w:t>). Son emplacement est probablement identifiable avec ed-Domeh, à 15 km au sud-ouest d'Hébron.</w:t>
      </w:r>
    </w:p>
    <w:p>
      <w:r/>
      <w:r>
        <w:t>3. Terme hébreu se référant à la terre du silence ou de la mort ; c'est-à-dire, le lieu des tombes (</w:t>
      </w:r>
      <w:hyperlink r:id="rId4435">
        <w:r>
          <w:rPr>
            <w:color w:val="0000EE"/>
            <w:u w:val="single"/>
          </w:rPr>
          <w:t>Ps 94.17</w:t>
        </w:r>
      </w:hyperlink>
      <w:r>
        <w:t xml:space="preserve"> ; </w:t>
      </w:r>
      <w:hyperlink r:id="rId4436">
        <w:r>
          <w:rPr>
            <w:color w:val="0000EE"/>
            <w:u w:val="single"/>
          </w:rPr>
          <w:t>115.17</w:t>
        </w:r>
      </w:hyperlink>
      <w:r>
        <w:t>).</w:t>
      </w:r>
    </w:p>
    <w:p>
      <w:r/>
      <w:r>
        <w:t xml:space="preserve">4. Peut-être une désignation pour Édom ou l'Idumée dans </w:t>
      </w:r>
      <w:hyperlink r:id="rId4437">
        <w:r>
          <w:rPr>
            <w:color w:val="0000EE"/>
            <w:u w:val="single"/>
          </w:rPr>
          <w:t>Ésaïe 21.11</w:t>
        </w:r>
      </w:hyperlink>
      <w:r>
        <w:t>.</w:t>
      </w:r>
      <w:r/>
      <w:r/>
    </w:p>
    <w:p>
      <w:r/>
    </w:p>
    <w:p>
      <w:pPr>
        <w:pStyle w:val="Heading2"/>
      </w:pPr>
      <w:r>
        <w:t>Duma (Personne)</w:t>
      </w:r>
      <w:r/>
    </w:p>
    <w:p>
      <w:r/>
      <w:r>
        <w:t>Fils d'Ismaël, qui a fondé une tribu arabe (</w:t>
      </w:r>
      <w:hyperlink r:id="rId503">
        <w:r>
          <w:rPr>
            <w:color w:val="0000EE"/>
            <w:u w:val="single"/>
          </w:rPr>
          <w:t>Gn 25.14</w:t>
        </w:r>
      </w:hyperlink>
      <w:r>
        <w:t xml:space="preserve"> ; </w:t>
      </w:r>
      <w:hyperlink r:id="rId504">
        <w:r>
          <w:rPr>
            <w:color w:val="0000EE"/>
            <w:u w:val="single"/>
          </w:rPr>
          <w:t>1Ch 1.30</w:t>
        </w:r>
      </w:hyperlink>
      <w:r>
        <w:t>).</w:t>
      </w:r>
      <w:r/>
      <w:r/>
    </w:p>
    <w:p>
      <w:r/>
    </w:p>
    <w:p>
      <w:pPr>
        <w:pStyle w:val="Heading2"/>
      </w:pPr>
      <w:r>
        <w:t>Dureté de cœur</w:t>
      </w:r>
      <w:r/>
    </w:p>
    <w:p>
      <w:r/>
      <w:r>
        <w:t>Expression qui décrit l'obstination spirituelle.</w:t>
      </w:r>
    </w:p>
    <w:p>
      <w:r/>
      <w:r>
        <w:t xml:space="preserve">Les premières références à l'endurcissement du cœur démontrent quelles en sont les caractéristiques fondamentales dans les Écritures. Il est assez surprenant que cette expression soit mentionnée si fréquemment. Il y a au moins vingt références à l'endurcissement du cœur de Pharaon juste dans l'Ancien Testament. Dans le Nouveau Testament, Paul fait aussi des remarques à ce sujet dans </w:t>
      </w:r>
      <w:hyperlink r:id="rId4438">
        <w:r>
          <w:rPr>
            <w:color w:val="0000EE"/>
            <w:u w:val="single"/>
          </w:rPr>
          <w:t>Romains 9.17–24</w:t>
        </w:r>
      </w:hyperlink>
      <w:r>
        <w:t>.</w:t>
      </w:r>
    </w:p>
    <w:p>
      <w:r/>
      <w:r>
        <w:t xml:space="preserve">La première référence est dans </w:t>
      </w:r>
      <w:hyperlink r:id="rId4439">
        <w:r>
          <w:rPr>
            <w:color w:val="0000EE"/>
            <w:u w:val="single"/>
          </w:rPr>
          <w:t>Exode 4.21</w:t>
        </w:r>
      </w:hyperlink>
      <w:r>
        <w:t xml:space="preserve">, où Dieu promet à Moïse qu'il endurcira le cœur de Pharaon pour qu'il n'autorise pas les Israélites à partir. Cette promesse est répétée (voir </w:t>
      </w:r>
      <w:hyperlink r:id="rId4440">
        <w:r>
          <w:rPr>
            <w:color w:val="0000EE"/>
            <w:u w:val="single"/>
          </w:rPr>
          <w:t xml:space="preserve">Ex 7.3 </w:t>
        </w:r>
      </w:hyperlink>
      <w:r>
        <w:t xml:space="preserve">; </w:t>
      </w:r>
      <w:hyperlink r:id="rId4441">
        <w:r>
          <w:rPr>
            <w:color w:val="0000EE"/>
            <w:u w:val="single"/>
          </w:rPr>
          <w:t>14.4, 17</w:t>
        </w:r>
      </w:hyperlink>
      <w:r>
        <w:t>) et se réalise rapidement (</w:t>
      </w:r>
      <w:hyperlink r:id="rId4442">
        <w:r>
          <w:rPr>
            <w:color w:val="0000EE"/>
            <w:u w:val="single"/>
          </w:rPr>
          <w:t>7.13–14</w:t>
        </w:r>
      </w:hyperlink>
      <w:r>
        <w:t>). Ceci arrive malgré les révélations et les miracles que Pharaon voit de ses yeux, et malgré l'accomplissement des menaces de Dieu, y compris le jugement des dix plaies.</w:t>
      </w:r>
    </w:p>
    <w:p>
      <w:r/>
      <w:r>
        <w:t>Dans le récit de l'exode et plus tard, aucun doute n'est laissé au lecteur : l'obstination de Pharaon est le produit du jugement de Dieu et accomplit les desseins divins (</w:t>
      </w:r>
      <w:hyperlink r:id="rId4443">
        <w:r>
          <w:rPr>
            <w:color w:val="0000EE"/>
            <w:u w:val="single"/>
          </w:rPr>
          <w:t xml:space="preserve">Ex 9.16 </w:t>
        </w:r>
      </w:hyperlink>
      <w:r>
        <w:t xml:space="preserve">; </w:t>
      </w:r>
      <w:hyperlink r:id="rId4444">
        <w:r>
          <w:rPr>
            <w:color w:val="0000EE"/>
            <w:u w:val="single"/>
          </w:rPr>
          <w:t xml:space="preserve">Jos 11.20 </w:t>
        </w:r>
      </w:hyperlink>
      <w:r>
        <w:t xml:space="preserve">; voir </w:t>
      </w:r>
      <w:hyperlink r:id="rId4445">
        <w:r>
          <w:rPr>
            <w:color w:val="0000EE"/>
            <w:u w:val="single"/>
          </w:rPr>
          <w:t>Rm 9.17–18</w:t>
        </w:r>
      </w:hyperlink>
      <w:r>
        <w:t>). Néanmoins, il est aussi clairement indiqué que Pharaon endurcit son propre cœur (</w:t>
      </w:r>
      <w:hyperlink r:id="rId4446">
        <w:r>
          <w:rPr>
            <w:color w:val="0000EE"/>
            <w:u w:val="single"/>
          </w:rPr>
          <w:t xml:space="preserve">Ex 8.15, 32 </w:t>
        </w:r>
      </w:hyperlink>
      <w:r>
        <w:t xml:space="preserve">; </w:t>
      </w:r>
      <w:hyperlink r:id="rId4447">
        <w:r>
          <w:rPr>
            <w:color w:val="0000EE"/>
            <w:u w:val="single"/>
          </w:rPr>
          <w:t xml:space="preserve">9.34 </w:t>
        </w:r>
      </w:hyperlink>
      <w:r>
        <w:t xml:space="preserve">; </w:t>
      </w:r>
      <w:hyperlink r:id="rId4448">
        <w:r>
          <w:rPr>
            <w:color w:val="0000EE"/>
            <w:u w:val="single"/>
          </w:rPr>
          <w:t>13.15</w:t>
        </w:r>
      </w:hyperlink>
      <w:r>
        <w:t xml:space="preserve">). Ceci démontre que l'endurcissement progressif est le résultat d'une rébellion délibérée et personnelle contre la vérité révélée. Ceci est un point essentiel de la façon dont le sujet est présenté dans les Écritures. L'endurcissement, en tant que jugement, n'est pas seulement une intervention divine sur la nature pécheresse de la personne, mais également le choix de cette personne de se détourner de la vérité. Le pécheur est donc responsable devant Dieu de l'endurcissement de son propre cœur. </w:t>
      </w:r>
    </w:p>
    <w:p>
      <w:r/>
      <w:r>
        <w:t xml:space="preserve">Paul décrit comment l'endurcissement se produit en tant que jugement de Dieu dans </w:t>
      </w:r>
      <w:hyperlink r:id="rId4449">
        <w:r>
          <w:rPr>
            <w:color w:val="0000EE"/>
            <w:u w:val="single"/>
          </w:rPr>
          <w:t>Romains 1.18–32</w:t>
        </w:r>
      </w:hyperlink>
      <w:r>
        <w:t xml:space="preserve">. Tous les êtres humains ont une conscience innée qui leur vient de Dieu et dont ils se détournent délibérément. Ils transforment la vérité en mensonge et étouffent ce qu'ils connaissent de la vérité. Leur cœur s'endurcit alors. Paul décrit ceci en disant que « leur cœur sans intelligence a été plongé dans les ténèbres » parce que « Dieu les a livrés » aux conséquences de leur propre péché. Les conséquences sont à la fois intellectuelles (« Dieu les a livrés à leur sens réprouvé ») et morales, ainsi que sociales ou culturelles. Le résultat global est ce que Paul qualifie d'endurcissement de cœur dans </w:t>
      </w:r>
      <w:hyperlink r:id="rId2800">
        <w:r>
          <w:rPr>
            <w:color w:val="0000EE"/>
            <w:u w:val="single"/>
          </w:rPr>
          <w:t>Romains 2.5</w:t>
        </w:r>
      </w:hyperlink>
      <w:r>
        <w:t>. Il est important de noter que cela ne signifie pas que c'est contre la colère de Dieu ou contre les conséquences du péché que les méchants sont en révolte, mais contre « la vérité » et contre leur propre conscience (</w:t>
      </w:r>
      <w:hyperlink r:id="rId4450">
        <w:r>
          <w:rPr>
            <w:color w:val="0000EE"/>
            <w:u w:val="single"/>
          </w:rPr>
          <w:t>2.14–16</w:t>
        </w:r>
      </w:hyperlink>
      <w:r>
        <w:t>).</w:t>
      </w:r>
    </w:p>
    <w:p>
      <w:r/>
      <w:r>
        <w:t>Dieu avertit souvent ceux qui sont son peuple de ne pas endurcir leurs cœurs, car l'Écriture fait un rapprochement entre l'endurcissement et le fait de ne pas croire (</w:t>
      </w:r>
      <w:hyperlink r:id="rId4451">
        <w:r>
          <w:rPr>
            <w:color w:val="0000EE"/>
            <w:u w:val="single"/>
          </w:rPr>
          <w:t xml:space="preserve">Dt 15.7 </w:t>
        </w:r>
      </w:hyperlink>
      <w:r>
        <w:t xml:space="preserve">; </w:t>
      </w:r>
      <w:hyperlink r:id="rId4452">
        <w:r>
          <w:rPr>
            <w:color w:val="0000EE"/>
            <w:u w:val="single"/>
          </w:rPr>
          <w:t xml:space="preserve">Hé 3.8, 15 </w:t>
        </w:r>
      </w:hyperlink>
      <w:r>
        <w:t xml:space="preserve">; </w:t>
      </w:r>
      <w:hyperlink r:id="rId4453">
        <w:r>
          <w:rPr>
            <w:color w:val="0000EE"/>
            <w:u w:val="single"/>
          </w:rPr>
          <w:t>4.7</w:t>
        </w:r>
      </w:hyperlink>
      <w:r>
        <w:t>). Jésus a été affligé par la dureté de cœur de ceux qui l'écoutaient (</w:t>
      </w:r>
      <w:hyperlink r:id="rId2270">
        <w:r>
          <w:rPr>
            <w:color w:val="0000EE"/>
            <w:u w:val="single"/>
          </w:rPr>
          <w:t xml:space="preserve">Mc 3.5 </w:t>
        </w:r>
      </w:hyperlink>
      <w:r>
        <w:t xml:space="preserve">; </w:t>
      </w:r>
      <w:hyperlink r:id="rId4454">
        <w:r>
          <w:rPr>
            <w:color w:val="0000EE"/>
            <w:u w:val="single"/>
          </w:rPr>
          <w:t>16.14</w:t>
        </w:r>
      </w:hyperlink>
      <w:r>
        <w:t>). Il a aussi déclaré que Dieu avait fait des concessions aux Juifs concernant le divorce à cause de la dureté de leur cœur (</w:t>
      </w:r>
      <w:hyperlink r:id="rId4271">
        <w:r>
          <w:rPr>
            <w:color w:val="0000EE"/>
            <w:u w:val="single"/>
          </w:rPr>
          <w:t>Mt 19.8</w:t>
        </w:r>
      </w:hyperlink>
      <w:r>
        <w:t>).</w:t>
      </w:r>
    </w:p>
    <w:p>
      <w:r/>
      <w:r>
        <w:t>A deux occasions, les Évangiles mentionnent que Dieu peut rendre spirituellement aveugle comme punition. Le but de cette punition est précisé (</w:t>
      </w:r>
      <w:hyperlink r:id="rId4455">
        <w:r>
          <w:rPr>
            <w:color w:val="0000EE"/>
            <w:u w:val="single"/>
          </w:rPr>
          <w:t xml:space="preserve">Mt 13.13–15 </w:t>
        </w:r>
      </w:hyperlink>
      <w:r>
        <w:t xml:space="preserve">; </w:t>
      </w:r>
      <w:hyperlink r:id="rId4456">
        <w:r>
          <w:rPr>
            <w:color w:val="0000EE"/>
            <w:u w:val="single"/>
          </w:rPr>
          <w:t>Jn 12.39–41</w:t>
        </w:r>
      </w:hyperlink>
      <w:r>
        <w:t>). La dureté de cœur est donc un aspect du développement d'une personne déchue qui démontre l'enracinement de sa rébellion (</w:t>
      </w:r>
      <w:hyperlink r:id="rId4457">
        <w:r>
          <w:rPr>
            <w:color w:val="0000EE"/>
            <w:u w:val="single"/>
          </w:rPr>
          <w:t xml:space="preserve">Ps 95.8 </w:t>
        </w:r>
      </w:hyperlink>
      <w:r>
        <w:t xml:space="preserve">; </w:t>
      </w:r>
      <w:hyperlink r:id="rId2749">
        <w:r>
          <w:rPr>
            <w:color w:val="0000EE"/>
            <w:u w:val="single"/>
          </w:rPr>
          <w:t xml:space="preserve">Jn 12.40 </w:t>
        </w:r>
      </w:hyperlink>
      <w:r>
        <w:t xml:space="preserve">; </w:t>
      </w:r>
      <w:hyperlink r:id="rId4452">
        <w:r>
          <w:rPr>
            <w:color w:val="0000EE"/>
            <w:u w:val="single"/>
          </w:rPr>
          <w:t xml:space="preserve">Hé 3.8, 15 </w:t>
        </w:r>
      </w:hyperlink>
      <w:r>
        <w:t xml:space="preserve">; </w:t>
      </w:r>
      <w:hyperlink r:id="rId4453">
        <w:r>
          <w:rPr>
            <w:color w:val="0000EE"/>
            <w:u w:val="single"/>
          </w:rPr>
          <w:t>4.7</w:t>
        </w:r>
      </w:hyperlink>
      <w:r>
        <w:t>). L'apostasie juive est régulièrement décrite ainsi dans les Écritures (</w:t>
      </w:r>
      <w:hyperlink r:id="rId4458">
        <w:r>
          <w:rPr>
            <w:color w:val="0000EE"/>
            <w:u w:val="single"/>
          </w:rPr>
          <w:t xml:space="preserve">2R 17.14 </w:t>
        </w:r>
      </w:hyperlink>
      <w:r>
        <w:t xml:space="preserve">; </w:t>
      </w:r>
      <w:hyperlink r:id="rId4459">
        <w:r>
          <w:rPr>
            <w:color w:val="0000EE"/>
            <w:u w:val="single"/>
          </w:rPr>
          <w:t xml:space="preserve">Né 9.16–17 </w:t>
        </w:r>
      </w:hyperlink>
      <w:r>
        <w:t xml:space="preserve">; </w:t>
      </w:r>
      <w:hyperlink r:id="rId4460">
        <w:r>
          <w:rPr>
            <w:color w:val="0000EE"/>
            <w:u w:val="single"/>
          </w:rPr>
          <w:t>Hé 3.8</w:t>
        </w:r>
      </w:hyperlink>
      <w:r>
        <w:t>).</w:t>
      </w:r>
    </w:p>
    <w:p>
      <w:r/>
      <w:r>
        <w:rPr>
          <w:i/>
        </w:rPr>
        <w:t>Voir aussi</w:t>
      </w:r>
      <w:r>
        <w:t xml:space="preserve"> </w:t>
      </w:r>
      <w:r>
        <w:t>aveuglement</w:t>
      </w:r>
      <w:r>
        <w:t xml:space="preserve"> ; </w:t>
      </w:r>
      <w:r>
        <w:t>jugement</w:t>
      </w:r>
      <w:r>
        <w:t xml:space="preserve"> ; </w:t>
      </w:r>
      <w:r>
        <w:t>régénération</w:t>
      </w:r>
      <w:r>
        <w:t>.</w:t>
      </w:r>
      <w:r/>
      <w:r/>
    </w:p>
    <w:p>
      <w:r/>
    </w:p>
    <w:p>
      <w:pPr>
        <w:pStyle w:val="Heading2"/>
      </w:pPr>
      <w:r>
        <w:t>Dysenterie</w:t>
      </w:r>
      <w:r/>
    </w:p>
    <w:p>
      <w:r/>
      <w:r>
        <w:t>La dysenterie est une maladie qui entraîne la diarrhée (selles molles et aqueuses). Elle est causée par des bactéries nocives, des protozoaires (minuscules animaux unicellulaires appelés amibes) ou des vers qui contaminent la nourriture ou l'eau. Lorsqu'une personne souffre de dysenterie, elle éprouve des crampes intestinales douloureuses et des lésions aux intestins. Du sang et du pus peuvent apparaître dans ses selles.</w:t>
      </w:r>
    </w:p>
    <w:p>
      <w:r/>
      <w:r>
        <w:t xml:space="preserve">Sur l'île de Malte, l'apôtre Paul a miraculeusement guéri une personne atteinte de dysenterie (le mot grec est </w:t>
      </w:r>
      <w:r>
        <w:rPr>
          <w:i/>
        </w:rPr>
        <w:t>dysenteria,</w:t>
      </w:r>
      <w:r>
        <w:t xml:space="preserve"> </w:t>
      </w:r>
      <w:hyperlink r:id="rId4461">
        <w:r>
          <w:rPr>
            <w:color w:val="0000EE"/>
            <w:u w:val="single"/>
          </w:rPr>
          <w:t>Ac 28.8</w:t>
        </w:r>
      </w:hyperlink>
      <w:r>
        <w:t>). Comme le montre ce verset, une forte fièvre accompagne la dysenterie aiguë. Aujourd'hui encore, des épidémies de cette maladie affectent Malte.</w:t>
      </w:r>
    </w:p>
    <w:p>
      <w:r/>
      <w:r>
        <w:t>Une maladie décrite dans l'Ancien Testament était probablement la dysenterie amibienne. Dans ce type, des morceaux de tissu intestinal peuvent se détacher jour après jour (</w:t>
      </w:r>
      <w:hyperlink r:id="rId4462">
        <w:r>
          <w:rPr>
            <w:color w:val="0000EE"/>
            <w:u w:val="single"/>
          </w:rPr>
          <w:t>2Ch 21.14–19</w:t>
        </w:r>
      </w:hyperlink>
      <w:r>
        <w:t>). Il existe également une forme moins sévère de dysenterie qui survient lorsque le corps arrive à lutter, en grande partie, contre l'organisme nuisible.</w:t>
      </w:r>
    </w:p>
    <w:p>
      <w:r/>
      <w:r>
        <w:rPr>
          <w:i/>
        </w:rPr>
        <w:t>Voir aussi</w:t>
      </w:r>
      <w:r>
        <w:t xml:space="preserve"> </w:t>
      </w:r>
      <w:r>
        <w:t>Médecine et pratique médicale</w:t>
      </w:r>
      <w:r>
        <w:t>.</w:t>
      </w:r>
      <w:r/>
      <w:r/>
    </w:p>
    <w:p>
      <w:r/>
    </w:p>
    <w:p>
      <w:pPr>
        <w:pStyle w:val="Heading2"/>
      </w:pPr>
      <w:r>
        <w:t>Ébal</w:t>
      </w:r>
      <w:r/>
    </w:p>
    <w:p>
      <w:r/>
      <w:r>
        <w:t>1. Fils de Schobal et descendant de Séir le Horite (</w:t>
      </w:r>
      <w:hyperlink r:id="rId594">
        <w:r>
          <w:rPr>
            <w:color w:val="0000EE"/>
            <w:u w:val="single"/>
          </w:rPr>
          <w:t>Gn 36.23</w:t>
        </w:r>
      </w:hyperlink>
      <w:r>
        <w:t xml:space="preserve"> ; </w:t>
      </w:r>
      <w:hyperlink r:id="rId595">
        <w:r>
          <w:rPr>
            <w:color w:val="0000EE"/>
            <w:u w:val="single"/>
          </w:rPr>
          <w:t>1Ch 1.40</w:t>
        </w:r>
      </w:hyperlink>
      <w:r>
        <w:t>).</w:t>
      </w:r>
    </w:p>
    <w:p>
      <w:r/>
      <w:r>
        <w:t>2. Fils de Jokthan et descendant de Sem (</w:t>
      </w:r>
      <w:hyperlink r:id="rId45">
        <w:r>
          <w:rPr>
            <w:color w:val="0000EE"/>
            <w:u w:val="single"/>
          </w:rPr>
          <w:t>1Ch 1.22</w:t>
        </w:r>
      </w:hyperlink>
      <w:r>
        <w:t xml:space="preserve">). Il est appelé Obal dans </w:t>
      </w:r>
      <w:hyperlink r:id="rId44">
        <w:r>
          <w:rPr>
            <w:color w:val="0000EE"/>
            <w:u w:val="single"/>
          </w:rPr>
          <w:t>Genèse 10.28</w:t>
        </w:r>
      </w:hyperlink>
      <w:r>
        <w:t>.</w:t>
      </w:r>
      <w:r/>
      <w:r/>
    </w:p>
    <w:p>
      <w:r/>
    </w:p>
    <w:p>
      <w:pPr>
        <w:pStyle w:val="Heading2"/>
      </w:pPr>
      <w:r>
        <w:t>Échanson</w:t>
      </w:r>
      <w:r/>
    </w:p>
    <w:p>
      <w:r/>
      <w:r>
        <w:t>Administrateur public dont le devoir principal était de goûter le vin servi au roi comme précaution contre l'empoisonnement. Les échansons fréquentaient les cours des rois et des hauts fonctionnaires dans l'Antiquité (</w:t>
      </w:r>
      <w:hyperlink r:id="rId4463">
        <w:r>
          <w:rPr>
            <w:color w:val="0000EE"/>
            <w:u w:val="single"/>
          </w:rPr>
          <w:t>1R 10.5</w:t>
        </w:r>
      </w:hyperlink>
      <w:r>
        <w:t>). Ces hommes étaient proches des autorités et exerçaient parfois une influence considérable. En général, plusieurs d'entre eux servaient le roi avec le « chef échançon » (majordome) à leur tête (</w:t>
      </w:r>
      <w:hyperlink r:id="rId4464">
        <w:r>
          <w:rPr>
            <w:color w:val="0000EE"/>
            <w:u w:val="single"/>
          </w:rPr>
          <w:t>Gn 40.1–23</w:t>
        </w:r>
      </w:hyperlink>
      <w:r>
        <w:t>). La cour de Salomon comprenait des échansons (</w:t>
      </w:r>
      <w:hyperlink r:id="rId4465">
        <w:r>
          <w:rPr>
            <w:color w:val="0000EE"/>
            <w:u w:val="single"/>
          </w:rPr>
          <w:t>2Ch 9.4</w:t>
        </w:r>
      </w:hyperlink>
      <w:r>
        <w:t>), et Néhémie était l'échanson du roi (</w:t>
      </w:r>
      <w:hyperlink r:id="rId4466">
        <w:r>
          <w:rPr>
            <w:color w:val="0000EE"/>
            <w:u w:val="single"/>
          </w:rPr>
          <w:t>Né 1.11–2.1</w:t>
        </w:r>
      </w:hyperlink>
      <w:r>
        <w:t xml:space="preserve">) ; </w:t>
      </w:r>
      <w:r>
        <w:t>Rabschaké</w:t>
      </w:r>
      <w:r>
        <w:t xml:space="preserve"> était peut-être un échançon (</w:t>
      </w:r>
      <w:hyperlink r:id="rId4467">
        <w:r>
          <w:rPr>
            <w:color w:val="0000EE"/>
            <w:u w:val="single"/>
          </w:rPr>
          <w:t>2R 18.13–19</w:t>
        </w:r>
      </w:hyperlink>
      <w:r>
        <w:t xml:space="preserve"> ; </w:t>
      </w:r>
      <w:hyperlink r:id="rId4468">
        <w:r>
          <w:rPr>
            <w:color w:val="0000EE"/>
            <w:u w:val="single"/>
          </w:rPr>
          <w:t>Es 36.2</w:t>
        </w:r>
      </w:hyperlink>
      <w:r>
        <w:t>).</w:t>
      </w:r>
      <w:r/>
      <w:r/>
    </w:p>
    <w:p>
      <w:r/>
    </w:p>
    <w:p>
      <w:pPr>
        <w:pStyle w:val="Heading2"/>
      </w:pPr>
      <w:r>
        <w:t>Échelle de Jacob</w:t>
      </w:r>
      <w:r/>
    </w:p>
    <w:p>
      <w:r/>
      <w:r>
        <w:t>Lorsque Jacob quitte le foyer familial après avoir trompé son père, Isaac, pour obtenir la bénédiction qu'Isaac avait destinée à Ésaü (</w:t>
      </w:r>
      <w:hyperlink r:id="rId4469">
        <w:r>
          <w:rPr>
            <w:color w:val="0000EE"/>
            <w:u w:val="single"/>
          </w:rPr>
          <w:t>Gn 27.6–40</w:t>
        </w:r>
      </w:hyperlink>
      <w:r>
        <w:t xml:space="preserve">), il ne souhaitait pas seulement trouver une épouse parmi les filles du frère de sa mère, mais il fuyait littéralement en vue de sauver sa vie, car Ésaü avait décidé de le tuer (v. </w:t>
      </w:r>
      <w:hyperlink r:id="rId4470">
        <w:r>
          <w:rPr>
            <w:color w:val="0000EE"/>
            <w:u w:val="single"/>
          </w:rPr>
          <w:t>41</w:t>
        </w:r>
      </w:hyperlink>
      <w:r>
        <w:t>). Lorsqu'il s'arrêtera pour se reposer la nuit à la belle étoile, le Seigneur lui apparaît en rêve et le bénit (</w:t>
      </w:r>
      <w:hyperlink r:id="rId1873">
        <w:r>
          <w:rPr>
            <w:color w:val="0000EE"/>
            <w:u w:val="single"/>
          </w:rPr>
          <w:t>28.10–22</w:t>
        </w:r>
      </w:hyperlink>
      <w:r>
        <w:t>). Dans la vision, Jacob voit une échelle allant du sol jusqu'au ciel, des anges montant et descendant dessus. Au sommet de l'échelle se tenait le Seigneur lui-même, qui confirmera à Jacob la promesse précédemment donnée à Abraham (</w:t>
      </w:r>
      <w:hyperlink r:id="rId4471">
        <w:r>
          <w:rPr>
            <w:color w:val="0000EE"/>
            <w:u w:val="single"/>
          </w:rPr>
          <w:t>12.2–3, 7</w:t>
        </w:r>
      </w:hyperlink>
      <w:r>
        <w:t>), et répétée à Isaac (</w:t>
      </w:r>
      <w:hyperlink r:id="rId4472">
        <w:r>
          <w:rPr>
            <w:color w:val="0000EE"/>
            <w:u w:val="single"/>
          </w:rPr>
          <w:t>26.3–5</w:t>
        </w:r>
      </w:hyperlink>
      <w:r>
        <w:t xml:space="preserve">). Dans le contexte, il semble clair que l'échelle avec les anges qui montent et qui descendent représente le fait que Dieu tend la main à Jacob et qu'il ouvre un chemin pour que Jacob ait une relation avec lui. La communion qui devait exister entre Dieu et Jacob est symbolisée par l'échelle et le mouvement des anges. Cette communication entre le ciel et la terre semble être le même point qui est fait dans </w:t>
      </w:r>
      <w:hyperlink r:id="rId4473">
        <w:r>
          <w:rPr>
            <w:color w:val="0000EE"/>
            <w:u w:val="single"/>
          </w:rPr>
          <w:t>Jean 1.51</w:t>
        </w:r>
      </w:hyperlink>
      <w:r>
        <w:t xml:space="preserve"> lorsque Jésus dit à Nathanaël et à ses autres disciples : « vous verrez désormais le ciel ouvert et les anges de Dieu monter et descendre sur le Fils de l'homme ». Jacob sera tellement bouleversé par la grâce de Dieu qui se révèle à lui de cette manière qu'il nommera l'endroit où cela s'était produit Béthel (la Maison de Dieu).</w:t>
      </w:r>
      <w:r/>
      <w:r/>
    </w:p>
    <w:p>
      <w:r/>
    </w:p>
    <w:p>
      <w:pPr>
        <w:pStyle w:val="Heading2"/>
      </w:pPr>
      <w:r>
        <w:t>Éden</w:t>
      </w:r>
      <w:r/>
    </w:p>
    <w:p>
      <w:r/>
      <w:r>
        <w:t>1. Lieu où Adam et Ève ont vécu jusqu'à ce qu'ils pèchent contre Dieu et soient bannis (</w:t>
      </w:r>
      <w:hyperlink r:id="rId4474">
        <w:r>
          <w:rPr>
            <w:color w:val="0000EE"/>
            <w:u w:val="single"/>
          </w:rPr>
          <w:t>Gn 2.8, 15</w:t>
        </w:r>
      </w:hyperlink>
      <w:r>
        <w:t xml:space="preserve"> ; </w:t>
      </w:r>
      <w:hyperlink r:id="rId249">
        <w:r>
          <w:rPr>
            <w:color w:val="0000EE"/>
            <w:u w:val="single"/>
          </w:rPr>
          <w:t>3.23–24</w:t>
        </w:r>
      </w:hyperlink>
      <w:r>
        <w:t xml:space="preserve">). </w:t>
      </w:r>
      <w:r>
        <w:rPr>
          <w:i/>
        </w:rPr>
        <w:t>Voir</w:t>
      </w:r>
      <w:r>
        <w:t xml:space="preserve"> </w:t>
      </w:r>
      <w:r>
        <w:t>Jardin d'Éden</w:t>
      </w:r>
      <w:r>
        <w:t>.</w:t>
      </w:r>
    </w:p>
    <w:p>
      <w:r/>
      <w:r>
        <w:t xml:space="preserve">2. Forme alternative de Beth-Éden dans </w:t>
      </w:r>
      <w:hyperlink r:id="rId2150">
        <w:r>
          <w:rPr>
            <w:color w:val="0000EE"/>
            <w:u w:val="single"/>
          </w:rPr>
          <w:t>Ézéchiel 27.23</w:t>
        </w:r>
      </w:hyperlink>
      <w:r>
        <w:t xml:space="preserve">. </w:t>
      </w:r>
      <w:r>
        <w:rPr>
          <w:i/>
        </w:rPr>
        <w:t>Voir</w:t>
      </w:r>
      <w:r>
        <w:t xml:space="preserve"> </w:t>
      </w:r>
      <w:r>
        <w:t>Beth-Éden</w:t>
      </w:r>
      <w:r>
        <w:t>.</w:t>
      </w:r>
      <w:r/>
      <w:r/>
    </w:p>
    <w:p>
      <w:r/>
    </w:p>
    <w:p>
      <w:pPr>
        <w:pStyle w:val="Heading2"/>
      </w:pPr>
      <w:r>
        <w:t>Éder (Lieu)</w:t>
      </w:r>
      <w:r/>
    </w:p>
    <w:p>
      <w:r/>
      <w:r>
        <w:t>1. Premier lieu de campement de Jacob entre Éphrata (Bethléhem) et Hébron, après la mort de Rachel. La tour d'Éder, signifiant « la tour du troupeau », était peut-être une tour de guet construite pour que les bergers puissent surveiller leurs troupeaux (</w:t>
      </w:r>
      <w:hyperlink r:id="rId4475">
        <w:r>
          <w:rPr>
            <w:color w:val="0000EE"/>
            <w:u w:val="single"/>
          </w:rPr>
          <w:t>Gn 35.21</w:t>
        </w:r>
      </w:hyperlink>
      <w:r>
        <w:t>). Elle était située à une courte distance de Bethléhem.</w:t>
      </w:r>
    </w:p>
    <w:p>
      <w:r/>
      <w:r>
        <w:t xml:space="preserve">2. L'une des vingt-neuf villes situées près de la frontière d'Édom, à l'extrémité sud du territoire attribué comme héritage à la tribu de Juda. Elle est mentionnée entre Kabtseel et Jagur dans </w:t>
      </w:r>
      <w:hyperlink r:id="rId4476">
        <w:r>
          <w:rPr>
            <w:color w:val="0000EE"/>
            <w:u w:val="single"/>
          </w:rPr>
          <w:t>Josué 15.21</w:t>
        </w:r>
      </w:hyperlink>
      <w:r>
        <w:t>. Son emplacement est inconnu.</w:t>
      </w:r>
      <w:r/>
      <w:r/>
    </w:p>
    <w:p>
      <w:r/>
    </w:p>
    <w:p>
      <w:pPr>
        <w:pStyle w:val="Heading2"/>
      </w:pPr>
      <w:r>
        <w:t>Édom, Édomites</w:t>
      </w:r>
      <w:r/>
    </w:p>
    <w:p>
      <w:r/>
      <w:r>
        <w:t>Le pays d'Édom était une région située au sud et au sud-est de la mer Morte. Le mot « Édom » signifie « rouge » et se réfère à la fois au territoire et à Ésaü, qui a vendu son droit d'aînesse pour un ragoût rouge (</w:t>
      </w:r>
      <w:hyperlink r:id="rId3398">
        <w:r>
          <w:rPr>
            <w:color w:val="0000EE"/>
            <w:u w:val="single"/>
          </w:rPr>
          <w:t>Gn 25.30</w:t>
        </w:r>
      </w:hyperlink>
      <w:r>
        <w:t xml:space="preserve"> ; </w:t>
      </w:r>
      <w:hyperlink r:id="rId4477">
        <w:r>
          <w:rPr>
            <w:color w:val="0000EE"/>
            <w:u w:val="single"/>
          </w:rPr>
          <w:t>36.1, 8, 19</w:t>
        </w:r>
      </w:hyperlink>
      <w:r>
        <w:t>). On appelait aussi cette terre Séir (</w:t>
      </w:r>
      <w:hyperlink r:id="rId4478">
        <w:r>
          <w:rPr>
            <w:color w:val="0000EE"/>
            <w:u w:val="single"/>
          </w:rPr>
          <w:t>Gn 32.3</w:t>
        </w:r>
      </w:hyperlink>
      <w:r>
        <w:t xml:space="preserve"> ; </w:t>
      </w:r>
      <w:hyperlink r:id="rId4479">
        <w:r>
          <w:rPr>
            <w:color w:val="0000EE"/>
            <w:u w:val="single"/>
          </w:rPr>
          <w:t>36.30</w:t>
        </w:r>
      </w:hyperlink>
      <w:r>
        <w:t xml:space="preserve"> ; </w:t>
      </w:r>
      <w:hyperlink r:id="rId4480">
        <w:r>
          <w:rPr>
            <w:color w:val="0000EE"/>
            <w:u w:val="single"/>
          </w:rPr>
          <w:t>Nb 24.18</w:t>
        </w:r>
      </w:hyperlink>
      <w:r>
        <w:t>).</w:t>
      </w:r>
    </w:p>
    <w:p>
      <w:pPr>
        <w:pStyle w:val="Heading3"/>
      </w:pPr>
      <w:r>
        <w:t>Où se trouvait l'Édom ?</w:t>
      </w:r>
    </w:p>
    <w:p>
      <w:r/>
      <w:r>
        <w:t>La frontière nord d'Édom était le Wadi Zered (« le torrent des saules »), une vallée fluviale (</w:t>
      </w:r>
      <w:hyperlink r:id="rId4481">
        <w:r>
          <w:rPr>
            <w:color w:val="0000EE"/>
            <w:u w:val="single"/>
          </w:rPr>
          <w:t>Es 15.7</w:t>
        </w:r>
      </w:hyperlink>
      <w:r>
        <w:t>). Il y a longtemps, des mouvements à la surface de la terre ont soulevé cette région, formant un haut plateau avec des falaises de grès rouge foncé sur son versant ouest. Ces falaises descendent brusquement dans une vallée appelée la plaine, qui est reliée à la mer Morte et à la vallée du Jourdain.</w:t>
      </w:r>
    </w:p>
    <w:p>
      <w:r/>
      <w:r>
        <w:t>Le plateau d'Édom s'élève à 1 500 m environ, atteignant 1 700 m par endroits. La région est divisée en deux parties inégales. Punon est une vallée située entre la plus petite partie nord et la plus longue partie sud. La section nord n'est pas aussi élevée, bien que dans une zone limitée près de Radhadiyeh, elle atteigne 1 600 m. La section sud est plus longue et plus haute. Sa crête centrale culmine à 1 500 m, avec un point à 1 730 m. À l'est, la pente ne descend pas en dessous de 1 200 m, sauf au nord. Le désert s'étend au-delà et limite l'expansion vers l'est. À l'ouest, le terrain descend brusquement dans la plaine.</w:t>
      </w:r>
    </w:p>
    <w:p>
      <w:r/>
      <w:r>
        <w:t>La taille d'Édom à l'ouest variait de temps en temps. L'accès au Néguev du sud de Juda était facile en cet endroit. Les Édomites empiétaient parfois. La frontière sud comportait une falaise de calcaire au bord du plateau. Celle-ci s'étendait vers l'est depuis Aïn Gharandal dans la plaine. Au-delà de cette barrière au sud se trouvait un désert rocheux et aride. Les marchands devaient le traverser pour atteindre le port d'Étsjon-Guéber pour le commerce.</w:t>
      </w:r>
    </w:p>
    <w:p>
      <w:r/>
      <w:r>
        <w:t>Bien que la majeure partie d'Édom ait été difficile à habiter, certaines zones au nord-est étaient propices à l'agriculture et à l'élevage d'animaux. Cependant, la richesse d'Édom provenait principalement du commerce. Les marchands voyageant de l'Inde et de l'Arabie du Sud vers la côte méditerranéenne et l'Égypte traversaient Édom par une route importante appelée la route royale (</w:t>
      </w:r>
      <w:hyperlink r:id="rId4482">
        <w:r>
          <w:rPr>
            <w:color w:val="0000EE"/>
            <w:u w:val="single"/>
          </w:rPr>
          <w:t>Nb 21.22</w:t>
        </w:r>
      </w:hyperlink>
      <w:r>
        <w:t>).</w:t>
      </w:r>
    </w:p>
    <w:p>
      <w:pPr>
        <w:pStyle w:val="Heading3"/>
      </w:pPr>
      <w:r>
        <w:t>Histoire du peuple Édomite</w:t>
      </w:r>
    </w:p>
    <w:p>
      <w:r/>
      <w:r>
        <w:t xml:space="preserve">Bien que </w:t>
      </w:r>
      <w:hyperlink r:id="rId4483">
        <w:r>
          <w:rPr>
            <w:color w:val="0000EE"/>
            <w:u w:val="single"/>
          </w:rPr>
          <w:t>Genèse 10</w:t>
        </w:r>
      </w:hyperlink>
      <w:r>
        <w:t xml:space="preserve"> énumère de nombreuses lignées familiales de l'Antiquité, il ne mentionne pas Édom. Le nom apparaît pour la première fois dans </w:t>
      </w:r>
      <w:hyperlink r:id="rId3398">
        <w:r>
          <w:rPr>
            <w:color w:val="0000EE"/>
            <w:u w:val="single"/>
          </w:rPr>
          <w:t>Genèse 25.30</w:t>
        </w:r>
      </w:hyperlink>
      <w:r>
        <w:t xml:space="preserve">, qui raconte comment Ésaü a obtenu le nom « Édom ». Cela s'est produit lorsqu'il a échangé ses droits spéciaux en tant que fils aîné (son droit d'aînesse) à son frère Jacob en échange d'un ragoût rouge. </w:t>
      </w:r>
      <w:hyperlink r:id="rId4484">
        <w:r>
          <w:rPr>
            <w:color w:val="0000EE"/>
            <w:u w:val="single"/>
          </w:rPr>
          <w:t>Genèse 36</w:t>
        </w:r>
      </w:hyperlink>
      <w:r>
        <w:t xml:space="preserve"> mentionne un royaume édomite qui existait avant qu'Israël ait ses propres rois. Cependant, les « chefs » d'Édom étaient peut-être plus semblables à des chefs tribaux (similaires aux juges d'Israël) plutôt qu'à des rois.</w:t>
      </w:r>
    </w:p>
    <w:p>
      <w:r/>
      <w:r>
        <w:t>Les premières mentions d'Édom en dehors de la Bible proviennent d'Égypte et semblent confirmer ces données. La Lettre d'Amarna 288 (du début du 14e siècle av. J.‑C.) fait référence aux « terres de Séir ». Les rois égyptiens Séthi II, qui a régné de 1214 à 1208 av. J.‑C., et Ramsès III, qui a régné de 1198 à 1166 av. J.‑C., mentionnent que les tribus Shashu d'Édom sont entrés en Égypte. Il n'y a pas de références égyptiennes à des villes ou des dirigeants, seulement à des tribus nomades de Séir-Édom.</w:t>
      </w:r>
    </w:p>
    <w:p>
      <w:r/>
      <w:r>
        <w:t xml:space="preserve">Il existe des preuves que Ramsès II s'est rendu en Transjordanie (le pays à l'est du Jourdain) vers 1280 à 1270 av. J.‑C. Il n'y a cependant aucune preuve d'un royaume organisé avec un seul souverain avant le 13e siècle av. J.‑C. Au lieu de cela, la plupart des gens étaient bergers et se déplaçaient d'un endroit à l'autre avec leurs animaux. À compter de ce moment, ils ont commencé à construire des établissements permanents et des villes. Ce moment aide les historiens à comprendre quand l'exode (le départ d'Israël d'Égypte) pourrait avoir eu lieu. Le Cantique de Moïse dans </w:t>
      </w:r>
      <w:hyperlink r:id="rId3938">
        <w:r>
          <w:rPr>
            <w:color w:val="0000EE"/>
            <w:u w:val="single"/>
          </w:rPr>
          <w:t>Exode 15</w:t>
        </w:r>
      </w:hyperlink>
      <w:r>
        <w:t xml:space="preserve"> fait référence aux « chefs d'Édom ». Au moment de l'exode, il semble qu'il y ait eu un royaume d'Édom (</w:t>
      </w:r>
      <w:hyperlink r:id="rId4485">
        <w:r>
          <w:rPr>
            <w:color w:val="0000EE"/>
            <w:u w:val="single"/>
          </w:rPr>
          <w:t>Nb 20.14, 18, 20–23</w:t>
        </w:r>
      </w:hyperlink>
      <w:r>
        <w:t xml:space="preserve"> ; </w:t>
      </w:r>
      <w:hyperlink r:id="rId4486">
        <w:r>
          <w:rPr>
            <w:color w:val="0000EE"/>
            <w:u w:val="single"/>
          </w:rPr>
          <w:t>33.37</w:t>
        </w:r>
      </w:hyperlink>
      <w:r>
        <w:t xml:space="preserve"> ; </w:t>
      </w:r>
      <w:hyperlink r:id="rId4487">
        <w:r>
          <w:rPr>
            <w:color w:val="0000EE"/>
            <w:u w:val="single"/>
          </w:rPr>
          <w:t>34.3</w:t>
        </w:r>
      </w:hyperlink>
      <w:r>
        <w:t>). Les Israélites ont contourné Édom lors de leur voyage vers la terre promise (</w:t>
      </w:r>
      <w:hyperlink r:id="rId4488">
        <w:r>
          <w:rPr>
            <w:color w:val="0000EE"/>
            <w:u w:val="single"/>
          </w:rPr>
          <w:t>Jg 5.4</w:t>
        </w:r>
      </w:hyperlink>
      <w:r>
        <w:t xml:space="preserve"> ; </w:t>
      </w:r>
      <w:hyperlink r:id="rId4489">
        <w:r>
          <w:rPr>
            <w:color w:val="0000EE"/>
            <w:u w:val="single"/>
          </w:rPr>
          <w:t>11.17–18</w:t>
        </w:r>
      </w:hyperlink>
      <w:r>
        <w:t>).</w:t>
      </w:r>
    </w:p>
    <w:p>
      <w:r/>
      <w:r>
        <w:t>Lorsqu'Israël a commencé à être gouverné par des rois, Saül a combattu et vaincu Édom (</w:t>
      </w:r>
      <w:hyperlink r:id="rId3545">
        <w:r>
          <w:rPr>
            <w:color w:val="0000EE"/>
            <w:u w:val="single"/>
          </w:rPr>
          <w:t>1S 14.47</w:t>
        </w:r>
      </w:hyperlink>
      <w:r>
        <w:t>). Doëg l'Édomite était le chef des bergers de Saül (</w:t>
      </w:r>
      <w:hyperlink r:id="rId1830">
        <w:r>
          <w:rPr>
            <w:color w:val="0000EE"/>
            <w:u w:val="single"/>
          </w:rPr>
          <w:t>1S 21.7</w:t>
        </w:r>
      </w:hyperlink>
      <w:r>
        <w:t xml:space="preserve"> ; </w:t>
      </w:r>
      <w:hyperlink r:id="rId4490">
        <w:r>
          <w:rPr>
            <w:color w:val="0000EE"/>
            <w:u w:val="single"/>
          </w:rPr>
          <w:t>22.9, 18–22</w:t>
        </w:r>
      </w:hyperlink>
      <w:r>
        <w:t>). Au début du 10e siècle av. J.‑C., le roi David a vaincu les Édomites dans la vallée du Sel et a établi des bases militaires dans leur pays (</w:t>
      </w:r>
      <w:hyperlink r:id="rId4491">
        <w:r>
          <w:rPr>
            <w:color w:val="0000EE"/>
            <w:u w:val="single"/>
          </w:rPr>
          <w:t>2S 8.13</w:t>
        </w:r>
      </w:hyperlink>
      <w:r>
        <w:t xml:space="preserve">, </w:t>
      </w:r>
      <w:hyperlink r:id="rId4492">
        <w:r>
          <w:rPr>
            <w:color w:val="0000EE"/>
            <w:u w:val="single"/>
          </w:rPr>
          <w:t>14</w:t>
        </w:r>
      </w:hyperlink>
      <w:r>
        <w:t xml:space="preserve"> ; </w:t>
      </w:r>
      <w:hyperlink r:id="rId4493">
        <w:r>
          <w:rPr>
            <w:color w:val="0000EE"/>
            <w:u w:val="single"/>
          </w:rPr>
          <w:t>1Ch 18.12</w:t>
        </w:r>
      </w:hyperlink>
      <w:r>
        <w:t xml:space="preserve"> ; </w:t>
      </w:r>
      <w:hyperlink r:id="rId4492">
        <w:r>
          <w:rPr>
            <w:color w:val="0000EE"/>
            <w:u w:val="single"/>
          </w:rPr>
          <w:t>2S 8</w:t>
        </w:r>
      </w:hyperlink>
      <w:r>
        <w:t>). Il n'est pas clair si David les considérait comme une menace militaire. Il est possible qu'il ait voulu leur cuivre et la richesse provenant du trafic de caravanes à travers Édom.</w:t>
      </w:r>
    </w:p>
    <w:p>
      <w:r/>
      <w:r>
        <w:t xml:space="preserve">Les succès de David ont poussé un certain Hadad à fuir en Égypte. Il était « </w:t>
      </w:r>
      <w:r>
        <w:t>de la race royale d’Édom</w:t>
      </w:r>
      <w:r>
        <w:t xml:space="preserve"> » (</w:t>
      </w:r>
      <w:hyperlink r:id="rId4494">
        <w:r>
          <w:rPr>
            <w:color w:val="0000EE"/>
            <w:u w:val="single"/>
          </w:rPr>
          <w:t>1R 11.14–17</w:t>
        </w:r>
      </w:hyperlink>
      <w:r>
        <w:t>). Lors de son séjour en Égypte, épousera un membre de la famille royale égyptienne (</w:t>
      </w:r>
      <w:hyperlink r:id="rId4495">
        <w:r>
          <w:rPr>
            <w:color w:val="0000EE"/>
            <w:u w:val="single"/>
          </w:rPr>
          <w:t>1R 11.18–20</w:t>
        </w:r>
      </w:hyperlink>
      <w:r>
        <w:t>). À la mort de David, Hadad retournera à Édom, où il deviendra roi. Il semblerait qu'une royauté Édomite se soit développée à l'époque de David. Salomon continuera à influencer Édom. Il avait accès au port d'Étsjon-Guéber (</w:t>
      </w:r>
      <w:hyperlink r:id="rId4496">
        <w:r>
          <w:rPr>
            <w:color w:val="0000EE"/>
            <w:u w:val="single"/>
          </w:rPr>
          <w:t>1R 9.26</w:t>
        </w:r>
      </w:hyperlink>
      <w:r>
        <w:t>).</w:t>
      </w:r>
    </w:p>
    <w:p>
      <w:r/>
      <w:r>
        <w:t>La Bible ne mentionne pas Édom pendant de nombreuses années après la fin du règne du roi Salomon. La prochaine fois qu'Édom apparaît dans l'histoire est à l'époque du roi Josaphat de Juda, qui a régné de 872 à 848 av. J.‑C. Josaphat prendra le contrôle de la ville portuaire d'Etsjon-Guéber. Ses navires y seront détruits, possiblement par les Édomites (</w:t>
      </w:r>
      <w:hyperlink r:id="rId1090">
        <w:r>
          <w:rPr>
            <w:color w:val="0000EE"/>
            <w:u w:val="single"/>
          </w:rPr>
          <w:t>1R 22.48</w:t>
        </w:r>
      </w:hyperlink>
      <w:r>
        <w:t xml:space="preserve">; </w:t>
      </w:r>
      <w:hyperlink r:id="rId4497">
        <w:r>
          <w:rPr>
            <w:color w:val="0000EE"/>
            <w:u w:val="single"/>
          </w:rPr>
          <w:t>2Ch 20.36–37</w:t>
        </w:r>
      </w:hyperlink>
      <w:r>
        <w:t>). Plus tard, les trois royaumes d'Israël, de Juda et d'Édom travailleront ensemble. Ils combattront le roi Méscha de Moab mais ne pourront pas l'emporter (</w:t>
      </w:r>
      <w:hyperlink r:id="rId4498">
        <w:r>
          <w:rPr>
            <w:color w:val="0000EE"/>
            <w:u w:val="single"/>
          </w:rPr>
          <w:t>2R 3.4–27</w:t>
        </w:r>
      </w:hyperlink>
      <w:r>
        <w:t>). Au cours du règne du roi Joram (853 à 841 av. J.‑C.), Édom s'affranchira du contrôle de Juda et choisira son propre roi (</w:t>
      </w:r>
      <w:hyperlink r:id="rId4499">
        <w:r>
          <w:rPr>
            <w:color w:val="0000EE"/>
            <w:u w:val="single"/>
          </w:rPr>
          <w:t>2R 8.20–22</w:t>
        </w:r>
      </w:hyperlink>
      <w:r>
        <w:t>).</w:t>
      </w:r>
    </w:p>
    <w:p>
      <w:r/>
      <w:r>
        <w:t>Édom gardera son indépendance jusqu'au règne du roi Amatsia de Juda (796 à 767 av. J.‑C.). Amatsia triomphera d'une grande armée édomite dans la vallée du Sel et conquerra leur territoire jusqu'à la ville de Sela (</w:t>
      </w:r>
      <w:hyperlink r:id="rId4500">
        <w:r>
          <w:rPr>
            <w:color w:val="0000EE"/>
            <w:u w:val="single"/>
          </w:rPr>
          <w:t>2R 14.7</w:t>
        </w:r>
      </w:hyperlink>
      <w:r>
        <w:t xml:space="preserve"> ; </w:t>
      </w:r>
      <w:hyperlink r:id="rId4501">
        <w:r>
          <w:rPr>
            <w:color w:val="0000EE"/>
            <w:u w:val="single"/>
          </w:rPr>
          <w:t>2Ch 25.11–13</w:t>
        </w:r>
      </w:hyperlink>
      <w:r>
        <w:t xml:space="preserve">). Juda prendra, à travers cela, le contrôle des mines de cuivre dans la région de Punon. Le roi Ozias de Juda pourra alors étendre son contrôle au sud jusqu'à Élath (près d'Etsjon-Guéber ; </w:t>
      </w:r>
      <w:hyperlink r:id="rId4502">
        <w:r>
          <w:rPr>
            <w:color w:val="0000EE"/>
            <w:u w:val="single"/>
          </w:rPr>
          <w:t>2R 14.22</w:t>
        </w:r>
      </w:hyperlink>
      <w:r>
        <w:t xml:space="preserve"> ; </w:t>
      </w:r>
      <w:hyperlink r:id="rId4503">
        <w:r>
          <w:rPr>
            <w:color w:val="0000EE"/>
            <w:u w:val="single"/>
          </w:rPr>
          <w:t>2Ch 26.1–2</w:t>
        </w:r>
      </w:hyperlink>
      <w:r>
        <w:t xml:space="preserve">). Avant la fin du 8e siècle av. J.‑C., à l'époque du roi Achaz (735 à 715 av. J.‑C.), Édom vaincra Juda et </w:t>
      </w:r>
      <w:r>
        <w:t>récupérera</w:t>
      </w:r>
      <w:r>
        <w:t xml:space="preserve"> Élath (</w:t>
      </w:r>
      <w:hyperlink r:id="rId4504">
        <w:r>
          <w:rPr>
            <w:color w:val="0000EE"/>
            <w:u w:val="single"/>
          </w:rPr>
          <w:t>2R 16.6</w:t>
        </w:r>
      </w:hyperlink>
      <w:r>
        <w:t>). Après cela, Juda perdra le contrôle sur Édom.</w:t>
      </w:r>
    </w:p>
    <w:p>
      <w:r/>
      <w:r>
        <w:t>Au cours du 8e siècle av. J.‑C., les Assyriens commenceront à s'installer en Transjordanie. Vers 800 av. J.‑C., Adad-nirari III déclare avoir vaincu plusieurs royaumes dans cette région et les avoir forcés à payer de l'argent et des biens en tribut. Plus tard, un autre roi assyrien, Tiglath-Piléser III, percevra un tribut de Qaus-malaku d'Édom.</w:t>
      </w:r>
    </w:p>
    <w:p>
      <w:r/>
      <w:r>
        <w:t xml:space="preserve">En 713 av. J.‑C., Sargon II mentionne un dirigeant anonyme d'Édom qui avait participé à la rébellion d'Asdod. Le roi assyrien suivant, Sanchérib, mentionne le fait qu'un dirigeant édomite nommé Aiarammu lui a apporté des cadeaux. </w:t>
      </w:r>
      <w:r>
        <w:t>Assarhaddon</w:t>
      </w:r>
      <w:r>
        <w:t xml:space="preserve"> fait référence à Qaus-gabri, roi d'Édom. Qaus-gabri amènera vingt-deux de ses dirigeants locaux avec lui pour jurer loyauté à l'Assyrie. Édom est également mentionné dans les archives de l'époque d'</w:t>
      </w:r>
      <w:r>
        <w:t>Assurbanipal</w:t>
      </w:r>
      <w:r>
        <w:t>.</w:t>
      </w:r>
    </w:p>
    <w:p>
      <w:r/>
      <w:r>
        <w:t>Après cela, l'empire babylonien l'emportera sur l'Assyrie et prendra le contrôle de la région. Édom continuera à servir sous la domination babylonienne en tant que vassal. En 594, il se joindra à d'autres nations pour discuter d'une rébellion contre Babylone (</w:t>
      </w:r>
      <w:hyperlink r:id="rId4505">
        <w:r>
          <w:rPr>
            <w:color w:val="0000EE"/>
            <w:u w:val="single"/>
          </w:rPr>
          <w:t>Jr 27</w:t>
        </w:r>
      </w:hyperlink>
      <w:r>
        <w:t>). Cependant, lorsque le roi Nebucadnetsar attaquera plus tard certaines de ces nations, il n'attaquera ni Édom ni Moab.</w:t>
      </w:r>
    </w:p>
    <w:p>
      <w:r/>
      <w:r>
        <w:t>Lorsque les Babyloniens détruisent Jérusalem en 586 av. J.‑C., Édom restera neutre dans le conflit. Ils offriront même le refuge à certaines personnes qui fuyaient Juda (</w:t>
      </w:r>
      <w:hyperlink r:id="rId739">
        <w:r>
          <w:rPr>
            <w:color w:val="0000EE"/>
            <w:u w:val="single"/>
          </w:rPr>
          <w:t>Jr 40.11</w:t>
        </w:r>
      </w:hyperlink>
      <w:r>
        <w:t>). Cependant, le prophète Abdias critiquera Édom du fait qu'ils n'ont pas aidé Juda lors de l'invasion babylonienne (</w:t>
      </w:r>
      <w:hyperlink r:id="rId4506">
        <w:r>
          <w:rPr>
            <w:color w:val="0000EE"/>
            <w:u w:val="single"/>
          </w:rPr>
          <w:t>Ab 1.11</w:t>
        </w:r>
      </w:hyperlink>
      <w:r>
        <w:t>). Au lieu de cela, ils ont pillé Juda, livré des captifs à Babylone et pris des terres dans le Néguev (</w:t>
      </w:r>
      <w:hyperlink r:id="rId4507">
        <w:r>
          <w:rPr>
            <w:color w:val="0000EE"/>
            <w:u w:val="single"/>
          </w:rPr>
          <w:t>Ez 35</w:t>
        </w:r>
      </w:hyperlink>
      <w:r>
        <w:t>).</w:t>
      </w:r>
    </w:p>
    <w:p>
      <w:r/>
      <w:r>
        <w:t>Pendant de nombreuses années, il y avait une forte haine entre Juda et Édom. Plusieurs prophètes ont prononcé des paroles sévères contre Édom dans leurs messages de Dieu (</w:t>
      </w:r>
      <w:hyperlink r:id="rId4508">
        <w:r>
          <w:rPr>
            <w:color w:val="0000EE"/>
            <w:u w:val="single"/>
          </w:rPr>
          <w:t>Es 11.14</w:t>
        </w:r>
      </w:hyperlink>
      <w:r>
        <w:t xml:space="preserve">; </w:t>
      </w:r>
      <w:hyperlink r:id="rId4509">
        <w:r>
          <w:rPr>
            <w:color w:val="0000EE"/>
            <w:u w:val="single"/>
          </w:rPr>
          <w:t>34.5–17</w:t>
        </w:r>
      </w:hyperlink>
      <w:hyperlink r:id="rId4504">
        <w:r>
          <w:rPr>
            <w:color w:val="0000EE"/>
            <w:u w:val="single"/>
          </w:rPr>
          <w:t xml:space="preserve"> </w:t>
        </w:r>
      </w:hyperlink>
      <w:r>
        <w:t xml:space="preserve">; </w:t>
      </w:r>
      <w:hyperlink r:id="rId4510">
        <w:r>
          <w:rPr>
            <w:color w:val="0000EE"/>
            <w:u w:val="single"/>
          </w:rPr>
          <w:t>Ez 32.29</w:t>
        </w:r>
      </w:hyperlink>
      <w:hyperlink r:id="rId4504">
        <w:r>
          <w:rPr>
            <w:color w:val="0000EE"/>
            <w:u w:val="single"/>
          </w:rPr>
          <w:t xml:space="preserve"> </w:t>
        </w:r>
      </w:hyperlink>
      <w:r>
        <w:t xml:space="preserve">; </w:t>
      </w:r>
      <w:hyperlink r:id="rId4511">
        <w:r>
          <w:rPr>
            <w:color w:val="0000EE"/>
            <w:u w:val="single"/>
          </w:rPr>
          <w:t>Jl 3.19</w:t>
        </w:r>
      </w:hyperlink>
      <w:hyperlink r:id="rId4504">
        <w:r>
          <w:rPr>
            <w:color w:val="0000EE"/>
            <w:u w:val="single"/>
          </w:rPr>
          <w:t xml:space="preserve"> </w:t>
        </w:r>
      </w:hyperlink>
      <w:r>
        <w:t xml:space="preserve">; </w:t>
      </w:r>
      <w:hyperlink r:id="rId4512">
        <w:r>
          <w:rPr>
            <w:color w:val="0000EE"/>
            <w:u w:val="single"/>
          </w:rPr>
          <w:t>Am 1.11–12</w:t>
        </w:r>
      </w:hyperlink>
      <w:hyperlink r:id="rId4504">
        <w:r>
          <w:rPr>
            <w:color w:val="0000EE"/>
            <w:u w:val="single"/>
          </w:rPr>
          <w:t xml:space="preserve"> </w:t>
        </w:r>
      </w:hyperlink>
      <w:r>
        <w:t xml:space="preserve">; </w:t>
      </w:r>
      <w:hyperlink r:id="rId4513">
        <w:r>
          <w:rPr>
            <w:color w:val="0000EE"/>
            <w:u w:val="single"/>
          </w:rPr>
          <w:t>Ml 1.2–4</w:t>
        </w:r>
      </w:hyperlink>
      <w:r>
        <w:t>). Édom commencera alors à s'affaiblir. Bien des gens quitteront leurs villes, et ces villes seront abandonnées. Au même moment, des groupes d'Édomites déménageront vers de nouvelles régions. Ils s'installeront dans la région montagneuse au sud de Juda, du côté ouest de la plaine. Bien plus tard, à l'époque romaine, cette région deviendra une province appelée l'Idumée. Cette dernière est née à partir de l'ancienne province perse d'Édom. Son principal centre gouvernemental s'établira dans la ville de Lakis.</w:t>
      </w:r>
    </w:p>
    <w:p>
      <w:r/>
      <w:r>
        <w:t>Pendant ce temps, dans la patrie d'origine d'Édom, à l'est de la vallée de la plaine, des groupes arabes commenceront à s'installer dans ce territoire vide. En fin de compte, un peuple appelé les Nabatéens élira domicile là où, autrefois, se trouvait le pays d'Édom.</w:t>
      </w:r>
      <w:r/>
      <w:r/>
    </w:p>
    <w:p>
      <w:r/>
    </w:p>
    <w:p>
      <w:pPr>
        <w:pStyle w:val="Heading2"/>
      </w:pPr>
      <w:r>
        <w:t>Éducation</w:t>
      </w:r>
      <w:r/>
    </w:p>
    <w:p>
      <w:r/>
      <w:r>
        <w:t>Activité ou processus qui consiste à éduquer ou être éduqué. Le but premier de l'éducation juive était d'enseigner aux enfants à connaître et comprendre leur relation spéciale avec Dieu, à leur apprendre à le servir et à leur apprendre les principes de la sainteté. Plus tard, l'éducation juive se concentrait aussi sur le développement de la personne et sur l'histoire du peuple de Dieu (notamment en remémorant comment Dieu avait délivré Israël). Lorsqu'elle était appliquée, cette éducation permettait aux Juifs de connaître la loi de Moïse et leur propre histoire. Ainsi, pendant les périodes de soumission à des puissances étrangères, ils pouvaient maintenir leur fierté nationale. À l'époque moderne, leur nation a été rétablie (1948).</w:t>
      </w:r>
    </w:p>
    <w:p>
      <w:r/>
      <w:r>
        <w:t>Sommaire</w:t>
      </w:r>
    </w:p>
    <w:p>
      <w:r/>
      <w:r>
        <w:t>• Éducation domestique</w:t>
      </w:r>
    </w:p>
    <w:p>
      <w:r/>
      <w:r>
        <w:t>• Éducation religieuse</w:t>
      </w:r>
    </w:p>
    <w:p>
      <w:r/>
      <w:r>
        <w:t>• Éducation scolaire</w:t>
      </w:r>
    </w:p>
    <w:p>
      <w:r/>
      <w:r>
        <w:t>• Alphabétisation parmi les Juifs</w:t>
      </w:r>
    </w:p>
    <w:p>
      <w:r/>
      <w:r>
        <w:t>• Éducation dans les cultures environnantes</w:t>
      </w:r>
    </w:p>
    <w:p>
      <w:pPr>
        <w:pStyle w:val="Heading3"/>
      </w:pPr>
      <w:r>
        <w:t>Éducation domestique</w:t>
      </w:r>
    </w:p>
    <w:p>
      <w:r/>
      <w:r>
        <w:t>La priorité accordée à l'éducation découlait de la valeur des enfants dans la famille juive. Les enfants étaient une grande joie et étaient considérés comme une récompense (</w:t>
      </w:r>
      <w:hyperlink r:id="rId4514">
        <w:r>
          <w:rPr>
            <w:color w:val="0000EE"/>
            <w:u w:val="single"/>
          </w:rPr>
          <w:t>Ps 127.3–5</w:t>
        </w:r>
      </w:hyperlink>
      <w:r>
        <w:t>). L'éducation à la maison commençait peu après que l'enfant avait appris à parler, pas plus tard que l'âge de trois ans. Les parents devaient enseigner des prières et des chants que les enfants apprenaient en les répétant, tout comme les enfants d'aujourd'hui apprennent les comptines.</w:t>
      </w:r>
    </w:p>
    <w:p>
      <w:r/>
      <w:r>
        <w:t>À la maison, les enfants devaient apprendre à connaître des objets et des symboles religieux. Ils étaient encouragés à poser des questions sur la signification du rite annuel de la Pâque (</w:t>
      </w:r>
      <w:hyperlink r:id="rId4515">
        <w:r>
          <w:rPr>
            <w:color w:val="0000EE"/>
            <w:u w:val="single"/>
          </w:rPr>
          <w:t>Ex 12.26</w:t>
        </w:r>
      </w:hyperlink>
      <w:r>
        <w:t xml:space="preserve">). Ce rite devait servir tout au long de l'histoire hébraïque comme moyen essentiel d'instruction sur la nature de la puissance de Dieu et son application dans la vie humaine. Les enfants devaient sans doute avoir des questions sur les objets qu'ils découvraient quand ils allaient au tabernacle ou au Temple (objets sacrés, ornements et habits consacrés) ou sur les sujets plus banals de la vie quotidienne. </w:t>
      </w:r>
    </w:p>
    <w:p>
      <w:r/>
      <w:r>
        <w:t>Les responsabilités parentales en matière d'éducation étaient clairement définies. Un père devait instruire son fils sur la religion et l'histoire du peuple hébreu. Il devait également lui enseigner un métier, souvent le sien, car un garçon sans métier était considéré comme formé à devenir voleur pour la vie. Les autres responsabilités d'un père incluaient de trouver une épouse pour son fils et de lui apprendre à nager.</w:t>
      </w:r>
    </w:p>
    <w:p>
      <w:r/>
      <w:r>
        <w:t>Les rabbins soutenaient que les femmes ne pouvaient pas étudier la loi parce qu'elles avaient « un esprit léger ». Par contraste, la Bible donne un tout autre portrait des femmes au travers d'exemples de femmes influentes comme Débora (</w:t>
      </w:r>
      <w:hyperlink r:id="rId4516">
        <w:r>
          <w:rPr>
            <w:color w:val="0000EE"/>
            <w:u w:val="single"/>
          </w:rPr>
          <w:t>Jg 4.4–5</w:t>
        </w:r>
      </w:hyperlink>
      <w:r>
        <w:t xml:space="preserve">), Jaël (v. </w:t>
      </w:r>
      <w:hyperlink r:id="rId4517">
        <w:r>
          <w:rPr>
            <w:color w:val="0000EE"/>
            <w:u w:val="single"/>
          </w:rPr>
          <w:t>18–24</w:t>
        </w:r>
      </w:hyperlink>
      <w:r>
        <w:t>), la femme sage de Tekoa (</w:t>
      </w:r>
      <w:hyperlink r:id="rId4518">
        <w:r>
          <w:rPr>
            <w:color w:val="0000EE"/>
            <w:u w:val="single"/>
          </w:rPr>
          <w:t>2S 14.2–20</w:t>
        </w:r>
      </w:hyperlink>
      <w:r>
        <w:t>), la femme sage d'Abel (</w:t>
      </w:r>
      <w:hyperlink r:id="rId4519">
        <w:r>
          <w:rPr>
            <w:color w:val="0000EE"/>
            <w:u w:val="single"/>
          </w:rPr>
          <w:t>20.16–22</w:t>
        </w:r>
      </w:hyperlink>
      <w:r>
        <w:t>), Loïs, Eunice et Priscille (</w:t>
      </w:r>
      <w:hyperlink r:id="rId1614">
        <w:r>
          <w:rPr>
            <w:color w:val="0000EE"/>
            <w:u w:val="single"/>
          </w:rPr>
          <w:t>Ac 18.2</w:t>
        </w:r>
      </w:hyperlink>
      <w:r>
        <w:t xml:space="preserve"> ; </w:t>
      </w:r>
      <w:hyperlink r:id="rId1081">
        <w:r>
          <w:rPr>
            <w:color w:val="0000EE"/>
            <w:u w:val="single"/>
          </w:rPr>
          <w:t xml:space="preserve">Rm 16.3 </w:t>
        </w:r>
      </w:hyperlink>
      <w:r>
        <w:t xml:space="preserve">; </w:t>
      </w:r>
      <w:hyperlink r:id="rId1082">
        <w:r>
          <w:rPr>
            <w:color w:val="0000EE"/>
            <w:u w:val="single"/>
          </w:rPr>
          <w:t>1Co 16.19</w:t>
        </w:r>
      </w:hyperlink>
      <w:r>
        <w:t xml:space="preserve"> ; </w:t>
      </w:r>
      <w:hyperlink r:id="rId4520">
        <w:r>
          <w:rPr>
            <w:color w:val="0000EE"/>
            <w:u w:val="single"/>
          </w:rPr>
          <w:t>2Tm 1.5</w:t>
        </w:r>
      </w:hyperlink>
      <w:r>
        <w:t>).</w:t>
      </w:r>
    </w:p>
    <w:p>
      <w:r/>
      <w:r>
        <w:t>La mère juive avait un rôle très important dans l'éducation de ses enfants, particulièrement pendant la petite enfance. Une mère devait aider à enseigner ses fils, mais sa responsabilité principale était de former ses filles. Les filles étaient moins estimées que les fils. Leur éducation se déroulait entièrement à la maison. La mère était responsable d'éduquer ses filles à devenir des ménagères accomplies : des épouses obéissantes, capables et vertueuses. Les filles apprenaient à cuisiner, filer, tisser, teindre, s'occuper des enfants et gérer les esclaves. Elles apprenaient à moudre le grain et pouvaient aider à la récolte. Parfois, elles devaient aider à surveiller le vignoble ou, si elles n'avaient pas de frères, s'occuper des troupeaux.</w:t>
      </w:r>
    </w:p>
    <w:p>
      <w:r/>
      <w:r>
        <w:t>Les filles apprenaient probablement la musique et la danse et devaient avoir de bonnes manières et des normes morales élevées. On leur apprenait à lire, et certaines apprenaient à écrire et à calculer les poids et mesures. Dans des circonstances exceptionnelles, une fille pouvait recevoir une éducation avancée à domicile par un instructeur particulier.</w:t>
      </w:r>
    </w:p>
    <w:p>
      <w:r/>
      <w:r>
        <w:t>Même lorsque l'éducation était entièrement centrée sur le foyer, il est probable que la plupart des enfants riches et surtout royaux étaient instruits par un professeur particulier, comme de tradition chez d'autres peuples au Proche-Orient.</w:t>
      </w:r>
    </w:p>
    <w:p>
      <w:pPr>
        <w:pStyle w:val="Heading3"/>
      </w:pPr>
      <w:r>
        <w:t>Éducation religieuse</w:t>
      </w:r>
    </w:p>
    <w:p>
      <w:r/>
      <w:r>
        <w:t>Dès leur plus jeune âge, les enfants devaient accompagner leurs parents aux services religieux. Lors des grandes fêtes, ils étaient censés apprendre à connaître les événements marquants de l'histoire juive. Les Juifs, peuple agricole, croyaient que le savoir agricole avait été révélé par Dieu et que cultiver la terre était une responsabilité humaine fondamentale. Comme d'autres nations du Proche-Orient, ils croyaient que le pays appartenait à Dieu.</w:t>
      </w:r>
      <w:r>
        <w:rPr>
          <w:b/>
          <w:i/>
        </w:rPr>
        <w:t xml:space="preserve"> </w:t>
      </w:r>
      <w:r>
        <w:t>Eux-mêmes n'étaient que des locataires. Si une récolte échouait, c'était parce que Dieu retenait la pluie, ce qu'il ne faisait que si le peuple était pécheur.</w:t>
      </w:r>
    </w:p>
    <w:p>
      <w:r/>
      <w:r>
        <w:t>Les fêtes de la Pâque, de la Pentecôte et des Tabernacles sont, tout au long de la période biblique, étroitement associées à la récolte. C'étaient des occasions d'apprentissage pour les enfants. Ils apprenaient que la Pâque rappelait comment Dieu avait délivré leurs ancêtres de l'esclavage en Égypte. À la Pentecôte, le peuple juif célébrait le don de Dieu de la loi à Moïse sur le mont Sinaï. La fête des Tabernacles, avec ses cabanes vertes faites de branches d'arbres, rappelait la fidélité de Dieu qui avait guidé son peuple lors de leur long voyage vers la Terre promise.</w:t>
      </w:r>
    </w:p>
    <w:p>
      <w:r/>
      <w:r>
        <w:t>La Pâque était à l'origine celle des trois grandes fêtes la moins directement liée à la moisson. La Pâque était immédiatement suivie des sept jours de la fête des Pains sans levain (</w:t>
      </w:r>
      <w:hyperlink r:id="rId4521">
        <w:r>
          <w:rPr>
            <w:color w:val="0000EE"/>
            <w:u w:val="single"/>
          </w:rPr>
          <w:t>Lv 23.6</w:t>
        </w:r>
      </w:hyperlink>
      <w:r>
        <w:t xml:space="preserve">). Elle était liée au début de la récolte de l'orge en avril. (L'exode d'Égypte a eu lieu à cette période de l'année). La Pâque donne un exemple de rituel d'enseignement. </w:t>
      </w:r>
    </w:p>
    <w:p>
      <w:r/>
      <w:r>
        <w:t>Lors de ce rituel, le sacrificateur prenait l'une des premières gerbes de la récolte d'orge et l'agitait devant le Seigneur (</w:t>
      </w:r>
      <w:hyperlink r:id="rId4522">
        <w:r>
          <w:rPr>
            <w:color w:val="0000EE"/>
            <w:u w:val="single"/>
          </w:rPr>
          <w:t>Lv 23.9–11</w:t>
        </w:r>
      </w:hyperlink>
      <w:r>
        <w:t>). Selon la tradition juive, les hommes choisissaient un champ d'orge au hasard et y attachaient certaines des meilleures gerbes sans les couper. Le soir suivant, trois hommes se rendaient dans ce champ avec des faucilles et des paniers pour récolter ces gerbes spécialement préparées. Alors que les spectateurs (y compris les enfants) se rassemblaient pour observer, les moissonneurs posaient à la foule certaines questions traditionnelles. Année après année, les enfants assistaient à ce rituel et entendaient les réponses. L'orge était coupée et emportée dans la cour du Temple, où elle était battue et vannée. Une partie de l'orge était mélangée avec de l'huile et de l'encens et utilisée comme offrande. Le reste était donné aux sacrificateurs.</w:t>
      </w:r>
    </w:p>
    <w:p>
      <w:pPr>
        <w:pStyle w:val="Heading3"/>
      </w:pPr>
      <w:r>
        <w:t>Éducation scolaire</w:t>
      </w:r>
    </w:p>
    <w:p>
      <w:r/>
      <w:r>
        <w:t xml:space="preserve">L'éducation juive pendant la période biblique devait inclure l'enseignement de loi, de l'histoire du peuple juif, de la lecture, de l'écriture et un certain apprentissage arithmétique de base (apprendre à compter et à faire des calculs simples). Parfois, d'autres enseignements étaient donnés tels que la valeur médicinale de certaines herbes (voir </w:t>
      </w:r>
      <w:hyperlink r:id="rId4523">
        <w:r>
          <w:rPr>
            <w:color w:val="0000EE"/>
            <w:u w:val="single"/>
          </w:rPr>
          <w:t>1R 4.33</w:t>
        </w:r>
      </w:hyperlink>
      <w:r>
        <w:t>).</w:t>
      </w:r>
    </w:p>
    <w:p>
      <w:pPr>
        <w:pStyle w:val="Heading4"/>
      </w:pPr>
      <w:r>
        <w:t>Les enseignants</w:t>
      </w:r>
    </w:p>
    <w:p>
      <w:r/>
      <w:r>
        <w:t xml:space="preserve">Les sacrificateurs devaient enseigner au peuple la connaissance de Dieu. Dans les synagogues, les Lévites avaient des responsabilités, dont celle d'enseigner (voir </w:t>
      </w:r>
      <w:hyperlink r:id="rId4524">
        <w:r>
          <w:rPr>
            <w:color w:val="0000EE"/>
            <w:u w:val="single"/>
          </w:rPr>
          <w:t xml:space="preserve">Dt 33.10 </w:t>
        </w:r>
      </w:hyperlink>
      <w:r>
        <w:t xml:space="preserve">; </w:t>
      </w:r>
      <w:hyperlink r:id="rId4525">
        <w:r>
          <w:rPr>
            <w:color w:val="0000EE"/>
            <w:u w:val="single"/>
          </w:rPr>
          <w:t>2Ch 35.3</w:t>
        </w:r>
      </w:hyperlink>
      <w:r>
        <w:t>). Avant l'exil, les prophètes enseignaient au peuple son histoire et dénonçaient l'injustice et les mauvaises pratiques sociales. Ils avaient pour responsabilité d'interpréter la loi pour leurs contemporains (ceux qui vivaient à leur époque). Au 4</w:t>
      </w:r>
      <w:r>
        <w:t>ᵉ</w:t>
      </w:r>
      <w:r>
        <w:t xml:space="preserve"> siècle av. J.-C., ce rôle des prophètes passe aux scribes et à d'autres enseignants désignés.</w:t>
      </w:r>
    </w:p>
    <w:p>
      <w:r/>
      <w:r>
        <w:t>Pendant les siècles qui ont précédé l'arrivée du Christ, les scribes ont mis les traditions par écrit pour les préserver. Ils étudiaient et interprétaient la loi. Les scribes étaient reconnus comme « maîtres de la loi » (</w:t>
      </w:r>
      <w:hyperlink r:id="rId4284">
        <w:r>
          <w:rPr>
            <w:color w:val="0000EE"/>
            <w:u w:val="single"/>
          </w:rPr>
          <w:t>Lc 5.17</w:t>
        </w:r>
      </w:hyperlink>
      <w:r>
        <w:t>, Nouvelle Bible Segond), légistes (</w:t>
      </w:r>
      <w:hyperlink r:id="rId4526">
        <w:r>
          <w:rPr>
            <w:color w:val="0000EE"/>
            <w:u w:val="single"/>
          </w:rPr>
          <w:t>Mt 22.35</w:t>
        </w:r>
      </w:hyperlink>
      <w:r>
        <w:t>) et rabbins (</w:t>
      </w:r>
      <w:hyperlink r:id="rId4527">
        <w:r>
          <w:rPr>
            <w:color w:val="0000EE"/>
            <w:u w:val="single"/>
          </w:rPr>
          <w:t>23.8</w:t>
        </w:r>
      </w:hyperlink>
      <w:r>
        <w:t>). Toute éducation supérieure était sous leur responsabilité. Ils avaient développé un système complexe d'instruction : « la tradition des anciens » (</w:t>
      </w:r>
      <w:hyperlink r:id="rId4528">
        <w:r>
          <w:rPr>
            <w:color w:val="0000EE"/>
            <w:u w:val="single"/>
          </w:rPr>
          <w:t>15.2–6</w:t>
        </w:r>
      </w:hyperlink>
      <w:r>
        <w:t>). Même si les scribes avaient besoin de consacrer du temps à leurs activités savantes, ils ne méprisaient pas le travail manuel. En fait, la plupart d'entre eux travaillaient aussi pour gagner leur vie lorsque c'était nécessaire.</w:t>
      </w:r>
    </w:p>
    <w:p>
      <w:r/>
      <w:r>
        <w:t>Même si les scribes avaient beaucoup d'influence à l'époque du Christ (</w:t>
      </w:r>
      <w:hyperlink r:id="rId4529">
        <w:r>
          <w:rPr>
            <w:color w:val="0000EE"/>
            <w:u w:val="single"/>
          </w:rPr>
          <w:t>Mt 23.1–2</w:t>
        </w:r>
      </w:hyperlink>
      <w:r>
        <w:t>), ils ont sans doute constaté, comme les prophètes avant eux, que leurs enseignements n'étaient pas toujours mis en pratique. Dans le Nouveau Testament (NT), ils ont une grande influence sur la vie et la moralité. Ils s'opposent souvent fortement à Jésus (</w:t>
      </w:r>
      <w:hyperlink r:id="rId2751">
        <w:r>
          <w:rPr>
            <w:color w:val="0000EE"/>
            <w:u w:val="single"/>
          </w:rPr>
          <w:t>Mc 2.6</w:t>
        </w:r>
      </w:hyperlink>
      <w:r>
        <w:t>) et à l'Église primitive (</w:t>
      </w:r>
      <w:hyperlink r:id="rId4530">
        <w:r>
          <w:rPr>
            <w:color w:val="0000EE"/>
            <w:u w:val="single"/>
          </w:rPr>
          <w:t xml:space="preserve">Ac 4.5 </w:t>
        </w:r>
      </w:hyperlink>
      <w:r>
        <w:t xml:space="preserve">; </w:t>
      </w:r>
      <w:hyperlink r:id="rId4531">
        <w:r>
          <w:rPr>
            <w:color w:val="0000EE"/>
            <w:u w:val="single"/>
          </w:rPr>
          <w:t>6.12</w:t>
        </w:r>
      </w:hyperlink>
      <w:r>
        <w:t>).</w:t>
      </w:r>
    </w:p>
    <w:p>
      <w:r/>
      <w:r>
        <w:t>À l'époque du NT, la norme était que toute communauté juive devait établir et entretenir des écoles élémentaires. La communauté était également responsable du financement de l'éducation des enfants pauvres ou orphelins. Par respect pour les sacrificateurs, les prophètes et les scribes d'autrefois, et en raison de la position élevée de l'éducation, les enseignants étaient très estimés par le peuple juif. La loi avait la plus grande importance à cause de son origine divine. Celui qui servait Dieu en expliquant la loi était donc la personne la plus importante de la communauté. Être enseignant était le plus grand des privilèges et la tâche la plus importante qu'un homme pouvait accomplir.</w:t>
      </w:r>
    </w:p>
    <w:p>
      <w:r/>
      <w:r>
        <w:t>Les enseignants étaient censés démontrer un caractère exceptionnel en plus de leurs qualifications académiques. Ils devaient empêcher les enfants d'entrer en contact avec quoi que ce soit de nuisible. Ils ne devaient pas montrer d'amertume ni favoriser un enfant par rapport à un autre. Plutôt que de menacer, ils devaient expliquer le bien et le mal et pourquoi le péché est mauvais. Les enseignants devaient tenir leurs promesses envers les enfants de peur que les enfants ne s'habituent au mensonge et au non-respect des promesses. Les enseignants étaient censés être doux de tempérament, ne jamais s'impatienter ou manquer de compréhension. Ils devaient toujours être prêts à répéter les explications. On disait que les enfants devaient être traités comme de jeunes génisses dont les charges sont augmentées quotidiennement. Cependant, tout enseignant trop sévère devait être renvoyé.</w:t>
      </w:r>
    </w:p>
    <w:p>
      <w:pPr>
        <w:pStyle w:val="Heading4"/>
      </w:pPr>
      <w:r>
        <w:t>Les sujets d'éducation</w:t>
      </w:r>
    </w:p>
    <w:p>
      <w:r/>
      <w:r>
        <w:t>L'éducation des enfants consistait à apprendre la loi par l'écoute et la répétition, et par l'étude du texte écrit. La loi incluait trois domaines principaux : les rituels, les lois civiles et les lois pénales. Les élèves devaient maîtriser ces domaines, se préparant ainsi à la responsabilité d'observer la loi à l'âge adulte.</w:t>
      </w:r>
    </w:p>
    <w:p>
      <w:r/>
      <w:r>
        <w:t>Les Écritures contiennent une telle diversité de types d'écrits que l'apprentissage des élèves touchait aux domaines suivants : la religion, l'histoire, le droit, les valeurs morales et les bonnes manières, en plus de la lecture, de l'écriture et de l'arithmétique. Ils étudiaient à partir de grandes œuvres littéraires : en plus de la loi, ils utilisaient beaucoup les Psaumes, les Proverbes et l'Ecclésiaste comme textes. Les manuscrits de la mer Morte démontrent que l'hébreu classique était encore parlé à l'époque du NT. Il était difficile pour les élèves qui parlaient couramment l'araméen ou le grec d'apprendre l'hébreu de l'Ancien Testament (AT). Le problème était renforcé par le fait que l'hébreu est écrit sans aucune voyelle. Il fallait apprendre par cœur quelles voyelles allaient avec les consonnes de chaque mot.</w:t>
      </w:r>
    </w:p>
    <w:p>
      <w:r/>
      <w:r>
        <w:t>Comme les anciens Hébreux étaient généralement considérés comme les meilleurs musiciens et chanteurs du Proche-Orient, il est probable qu'ils apprenaient à chanter et jouer des instruments comme la flûte et la harpe à la maison. Aucun hymne hébreu n'a survécu sous forme de musique, mais les chanteurs du Temple auraient très probablement connu le type de théorie musicale qui avait été utilisée par les Cananéens. Le texte cananéen d'une ballade (ou hymne) inscrit sur de l'argile a été retrouvé à Ougarit (Ras Shamra). Il a fallu longtemps pour déchiffrer les curieux symboles musicaux qui y apparaissent. Ce texte cananéen date peut-être de 1800 av. J.-C. et a été décrit comme la plus ancienne partition (musique écrite) du monde.</w:t>
      </w:r>
    </w:p>
    <w:p>
      <w:r/>
      <w:r>
        <w:t>Pendant la période de l'exil, Il est devenu très important d'écrire et de préserver les coutumes et cérémonies anciennes afin de maintenir la spécificité de la culture hébraïque. Il est devenu essentiel pour les captifs de préserver leur patrimoine national et la loi pendant ces années dans une culture étrangère.</w:t>
      </w:r>
    </w:p>
    <w:p>
      <w:r/>
      <w:r>
        <w:t>La synagogue s'est développée pendant l'exil comme lieu d'étude de la religion et comme lieu de prière. La synagogue est devenue un centre d'enseignement de la foi juive. Auparavant, le temple de Jérusalem était le seul lieu où les sacrifices pouvaient être offerts à Dieu. Comme ce n'était pas possible d'accomplir ces rituels à Babylone, la synagogue a naturellement grandit en importance pour la religion et l'éducation.</w:t>
      </w:r>
    </w:p>
    <w:p>
      <w:r/>
      <w:r>
        <w:t>L'exil a entraîné des changements fondamentaux dans la vie des Juifs dans d'autres domaines que la religion en tant que telle. Le domaine de l'éducation s'est beaucoup développé au contact de la culture plus sophistiquée des Babyloniens. Le code de loi babylonien était précis et bien établi dans la société. Les écoles et bibliothèques de Babylone existaient depuis de nombreux siècles. Les connaissances mésopotamiennes en médecine, en astronomie, en mathématiques, en architecture et en ingénierie étaient bien supérieures à celles des Juifs. Dans cet environnement intellectuel, la littérature des Juifs s'est développée. C'est pendant cette période qu'ont été écrits Ézéchiel et Daniel.</w:t>
      </w:r>
    </w:p>
    <w:p>
      <w:r/>
      <w:r>
        <w:t>Dans la période post-exilique, l'enseignement était principalement basé sur Proverbes et les livres apocryphes du Siracide et de la Sagesse de Salomon. Ces œuvres donnaient au Juif une formation pratique pour une vie accomplie. Les scribes enseignaient que la sagesse venait de Dieu et que ceux qui obéissaient aux commandements apporteraient joie et honneur aux autres.</w:t>
      </w:r>
    </w:p>
    <w:p>
      <w:r/>
      <w:r>
        <w:t>Au 6</w:t>
      </w:r>
      <w:r>
        <w:t>ᵉ</w:t>
      </w:r>
      <w:r>
        <w:t xml:space="preserve"> siècle av. J.-C., alors que les Perses régnaient sur eux, les Juifs ont été encouragés à retourner à Jérusalem et reconstruire le Temple. Alexandre le Grand a ensuite vaincu le roi perse Darius en 332 av. J.-C. De grands efforts ont alors été faits pour helléniser les peuples conquis, c'est-à-dire leur faire adopter la culture et la langue grecques. Les Juifs ont donc appris à connaître la langue, la religion, les procédures politiques et les méthodes éducatives grecques. L'effort d'hellénisation a continué sous la domination des Ptolémées (lignée macédonienne qui a régné sur l'Égypte) et des Séleucides (dynastie syrienne). Alors que ces puissances étrangères dominaient maintenant sur les Juifs vivant en Palestine après l'exil, les sacrificateurs dirigeaient les affaires politiques judéennes. L'influence grecque se faisait sentir dans l'enrichissement de l'appréciation esthétique, qui est devenue typique de certains dirigeants juifs.</w:t>
      </w:r>
    </w:p>
    <w:p>
      <w:r/>
      <w:r>
        <w:t>Même si la philosophie et les sports grecs n'ont pas été adoptés pour faire partie de l'éducation juive, les pratiques religieuses et morales des Juifs se sont considérablement affaiblies pendant la période hellénistique. Certains Juifs ont voulu tirer profit de la faveur des dirigeants étrangers en adoptant la culture grecque. D'autres ont désespérément lutté pour préserver leur héritage juif. À l'époque romaine, les Juifs fidèles se détournaient de l'influence étrangère autant que possible.</w:t>
      </w:r>
    </w:p>
    <w:p>
      <w:pPr>
        <w:pStyle w:val="Heading4"/>
      </w:pPr>
      <w:r>
        <w:t>Les méthodes d'enseignement</w:t>
      </w:r>
    </w:p>
    <w:p>
      <w:r/>
      <w:r>
        <w:t>Les méthodes d'enseignement, développées à partir de la mémorisation de la loi, soulignaient l'importance de retenir et de pouvoir se rappeler de ce qui avait été appris. Dès qu'ils pouvaient parler, on enseignait aux enfants comment apprendre par cœur. Ils apprenaient à répéter les mots exactement pour éviter même les petits changements de sens. L'alphabet était enseigné et appris par cœur par l'écriture et la répétition. Les élèves copiaient et recopiaient des passages de la loi écrite précisément et soigneusement. Tout écrit contenant une erreur était considéré comme dangereux, car il pouvait faire apprendre le mauvais mot ou la mauvaise orthographe aux élèves. La lecture à haute voix était recommandée pour aider à la mémorisation.</w:t>
      </w:r>
    </w:p>
    <w:p>
      <w:r/>
      <w:r>
        <w:t xml:space="preserve">Pour faciliter l'apprentissage, chaque garçon recevait également un texte personnel commençant par la première lettre de son nom et se terminant par la dernière. Dès qu'il démontrait sa capacité à lire, il recevait un rouleau contenant les premiers mots de </w:t>
      </w:r>
      <w:hyperlink r:id="rId2451">
        <w:r>
          <w:rPr>
            <w:color w:val="0000EE"/>
            <w:u w:val="single"/>
          </w:rPr>
          <w:t xml:space="preserve">Deutéronome 6.4 </w:t>
        </w:r>
      </w:hyperlink>
      <w:r>
        <w:t xml:space="preserve">: « </w:t>
      </w:r>
      <w:r>
        <w:t>Écoute, Israël ! l'Éternel, notre Dieu, est le seul Éternel</w:t>
      </w:r>
      <w:r>
        <w:t xml:space="preserve"> ». Ce verset était récité chaque matin et chaque soir à l'époque post-exilique, avec le Hallel (ou psaume de louange), l'histoire de la Création et la partie principale de la loi contenue dans Lévitique.</w:t>
      </w:r>
    </w:p>
    <w:p>
      <w:r/>
      <w:r>
        <w:t>Les enseignements prenaient également la forme de proverbes ou de paraboles, un procédé utilisé plus tard par Jésus (</w:t>
      </w:r>
      <w:hyperlink r:id="rId4532">
        <w:r>
          <w:rPr>
            <w:color w:val="0000EE"/>
            <w:u w:val="single"/>
          </w:rPr>
          <w:t>Mc 4.1–2</w:t>
        </w:r>
      </w:hyperlink>
      <w:r>
        <w:t xml:space="preserve">). Un partage ouvert de connaissances avait lieu lors de temps de questions-réponses. (Voir l'exemple de Jésus, alors âgé de 12 ans, quand il est allé au temple de Jérusalem, </w:t>
      </w:r>
      <w:hyperlink r:id="rId4533">
        <w:r>
          <w:rPr>
            <w:color w:val="0000EE"/>
            <w:u w:val="single"/>
          </w:rPr>
          <w:t>Lc 2.46–47</w:t>
        </w:r>
      </w:hyperlink>
      <w:r>
        <w:t>.)</w:t>
      </w:r>
    </w:p>
    <w:p>
      <w:r/>
      <w:r>
        <w:t>Très peu d'informations sont disponibles sur l'éducation à l'époque chrétienne primitive. Nous savons que Jésus pouvait lire et expliquer les Écritures et qu'à 12 ans, il était suffisamment instruit pour discuter de théologie avec des hommes savants dans le Temple. Il a probablement reçu une éducation à la maison ainsi que l'éducation élémentaire commune à la plupart des garçons juifs de cette période.</w:t>
      </w:r>
    </w:p>
    <w:p>
      <w:pPr>
        <w:pStyle w:val="Heading4"/>
      </w:pPr>
      <w:r>
        <w:t>Les récompenses et les punitions</w:t>
      </w:r>
    </w:p>
    <w:p>
      <w:r/>
      <w:r>
        <w:t>La discipline, ou comment motiver ou décourager certains comportements, est toujours un élément important de l'éducation. La discipline était importante pour les Hébreux de l'Antiquité. Un système de récompenses et de punitions était utilisé, dans lequel le châtiment corporel était normal. La punition était considérée comme un symbole extérieur de l'amour de Dieu et de son souci pour l'instruction de son peuple (</w:t>
      </w:r>
      <w:hyperlink r:id="rId4534">
        <w:r>
          <w:rPr>
            <w:color w:val="0000EE"/>
            <w:u w:val="single"/>
          </w:rPr>
          <w:t>Ps 94.8–13</w:t>
        </w:r>
      </w:hyperlink>
      <w:r>
        <w:t>). Toutefois, les Juifs en tant que peuple n'ont pas toujours tiré les bonnes leçons de ces corrections (</w:t>
      </w:r>
      <w:hyperlink r:id="rId4535">
        <w:r>
          <w:rPr>
            <w:color w:val="0000EE"/>
            <w:u w:val="single"/>
          </w:rPr>
          <w:t xml:space="preserve">Jr 5.3 </w:t>
        </w:r>
      </w:hyperlink>
      <w:r>
        <w:t xml:space="preserve">; </w:t>
      </w:r>
      <w:hyperlink r:id="rId835">
        <w:r>
          <w:rPr>
            <w:color w:val="0000EE"/>
            <w:u w:val="single"/>
          </w:rPr>
          <w:t>Am 4.6–13</w:t>
        </w:r>
      </w:hyperlink>
      <w:r>
        <w:t>). Un enfant était considéré comme ayant besoin d'être dressé comme un cheval : « Un cheval indompté devient intraitable, et un fils laissé à lui-même devient impossible » (</w:t>
      </w:r>
      <w:hyperlink r:id="rId4536">
        <w:r>
          <w:rPr>
            <w:color w:val="0000EE"/>
            <w:u w:val="single"/>
          </w:rPr>
          <w:t>Si 30.8</w:t>
        </w:r>
      </w:hyperlink>
      <w:r>
        <w:t>, Traduction Œcuménique de la Bible).</w:t>
      </w:r>
    </w:p>
    <w:p>
      <w:pPr>
        <w:pStyle w:val="Heading4"/>
      </w:pPr>
      <w:r>
        <w:t>L'éducation des adultes</w:t>
      </w:r>
    </w:p>
    <w:p>
      <w:r/>
      <w:r>
        <w:t xml:space="preserve">Lorsque Esdras, le scribe, revient de Babylone avec une copie du livre de la loi, il l'enseigne aux Lévites et au peuple. Par la suite, la loi, ainsi que Proverbes et les écrits des périodes pré-exilique et exilique, sont devenus les éléments fondamentaux de l'éducation juive. Pendant la période post-exilique, les sacrificateurs se rendaient dans les villes, s'adressant aux gens dans la synagogue le jour du sabbat et sur la place les jours de marché, lorsqu'une grande foule était présente. Certains ont peut-être approfondi leur connaissances en discutant avec les anciens (voir </w:t>
      </w:r>
      <w:hyperlink r:id="rId4537">
        <w:r>
          <w:rPr>
            <w:color w:val="0000EE"/>
            <w:u w:val="single"/>
          </w:rPr>
          <w:t>Esd 8.1</w:t>
        </w:r>
      </w:hyperlink>
      <w:r>
        <w:t>).</w:t>
      </w:r>
    </w:p>
    <w:p>
      <w:r/>
      <w:r>
        <w:t>Ceux qui continuaient leur éducation se faisaient probablement enseigner par les scribes. Les scribes, dirigeants d'une secte juive appelée les pharisiens, avaient fait évoluer les principes d'Esdras en règles strictes sur la dîme, la pureté rituelle et le culte à la synagogue. Jeune homme, Saul de Tarse se rend à Jérusalem pour étudier sous Gamaliel, un rabbin honoré (</w:t>
      </w:r>
      <w:hyperlink r:id="rId2725">
        <w:r>
          <w:rPr>
            <w:color w:val="0000EE"/>
            <w:u w:val="single"/>
          </w:rPr>
          <w:t>Ac 22.3</w:t>
        </w:r>
      </w:hyperlink>
      <w:r>
        <w:t>). À cette époque, le programme de formation comprenait une étude avancée de la loi théologique (tant écrite qu'orale), ainsi que des rites et cérémonies juifs.</w:t>
      </w:r>
    </w:p>
    <w:p>
      <w:pPr>
        <w:pStyle w:val="Heading4"/>
      </w:pPr>
      <w:r>
        <w:t>Les bâtiments scolaires</w:t>
      </w:r>
    </w:p>
    <w:p>
      <w:r/>
      <w:r>
        <w:t>À l'époque du NT, certaines écoles avaient leurs propres bâtiments et d'autres se tenaient dans les maisons des enseignants. La plupart étaient attachées à la synagogue. Lorsque la construction d'un bâtiment séparé était planifiée, il n'était pas considéré sage de le construire dans un secteur très peuplé. Dans une grande ville, la communauté devait avoir deux écoles, surtout si une rivière divisait la ville. Les classes n'avaient pas lieu pendant les heures chaudes de la journée (entre 10 h et 15 h) et ne duraient que quatre heures par jour en juillet et en août. La taille de la classe devait être de 25 élèves, avec un enseignant et un assistant pour 40 élèves et deux enseignants pour 50. À l'école, les garçons s'asseyaient par terre aux pieds de l'enseignant et apprenaient à partir des Écritures. Ainsi, l'école était connue sous le nom de « maison du livre ».</w:t>
      </w:r>
    </w:p>
    <w:p>
      <w:pPr>
        <w:pStyle w:val="Heading3"/>
      </w:pPr>
      <w:r>
        <w:t>Alphabétisation parmi les Juifs</w:t>
      </w:r>
    </w:p>
    <w:p>
      <w:r/>
      <w:r>
        <w:t>Il est difficile de déterminer le degré d'alphabétisation des Juifs avec certitude au fil des siècles. Cependant, des indices peuvent être obtenus à partir de passages bibliques. Dans Josué, trois hommes de chaque tribu sont choisis pour explorer le pays de Canaan et faire un rapport écrit (</w:t>
      </w:r>
      <w:hyperlink r:id="rId4538">
        <w:r>
          <w:rPr>
            <w:color w:val="0000EE"/>
            <w:u w:val="single"/>
          </w:rPr>
          <w:t>Jos 18.4–9</w:t>
        </w:r>
      </w:hyperlink>
      <w:r>
        <w:t>). Plus tard, Gédéon capture un jeune homme capable d'écrire la liste de 77 hommes importants d'une ville (</w:t>
      </w:r>
      <w:hyperlink r:id="rId4539">
        <w:r>
          <w:rPr>
            <w:color w:val="0000EE"/>
            <w:u w:val="single"/>
          </w:rPr>
          <w:t>Jg 8.14</w:t>
        </w:r>
      </w:hyperlink>
      <w:r>
        <w:t>). L'écriture était probablement une compétence courante : les Israélites étaient exhortés à l'utiliser fréquemment (</w:t>
      </w:r>
      <w:hyperlink r:id="rId4540">
        <w:r>
          <w:rPr>
            <w:color w:val="0000EE"/>
            <w:u w:val="single"/>
          </w:rPr>
          <w:t xml:space="preserve">Dt 6.9 </w:t>
        </w:r>
      </w:hyperlink>
      <w:r>
        <w:t xml:space="preserve">; </w:t>
      </w:r>
      <w:hyperlink r:id="rId4541">
        <w:r>
          <w:rPr>
            <w:color w:val="0000EE"/>
            <w:u w:val="single"/>
          </w:rPr>
          <w:t>27.2–8</w:t>
        </w:r>
      </w:hyperlink>
      <w:r>
        <w:t xml:space="preserve">). Des termes mathématiques simples pouvaient être écrits et compris par les garçons. Il y a aussi des indications que la relation géométrique entre le rayon et la circonférence d'un cercle était connue (le concept de </w:t>
      </w:r>
      <w:r>
        <w:rPr>
          <w:i/>
        </w:rPr>
        <w:t>pi</w:t>
      </w:r>
      <w:r>
        <w:t xml:space="preserve"> ; voir </w:t>
      </w:r>
      <w:hyperlink r:id="rId4542">
        <w:r>
          <w:rPr>
            <w:color w:val="0000EE"/>
            <w:u w:val="single"/>
          </w:rPr>
          <w:t>2Ch 4.2</w:t>
        </w:r>
      </w:hyperlink>
      <w:r>
        <w:t>). Le développement de l'écriture cursive implique une utilisation répandue de l'écriture dès le 8</w:t>
      </w:r>
      <w:r>
        <w:t>ᵉ</w:t>
      </w:r>
      <w:r>
        <w:t xml:space="preserve"> siècle av. J.-C. Le culte de la synagogue pouvait être dirigé par dix hommes de la congrégation, ce qui présuppose au moins 10 hommes dans toute synagogue suffisamment lettrés pour le faire.</w:t>
      </w:r>
    </w:p>
    <w:p>
      <w:r/>
      <w:r>
        <w:t>Alors que les craintes d'hellénisation sont fortes et que l'existence du judaïsme est menacée au premier siècle av. J.-C., l'école élémentaire est rendue obligatoire par décret pour chaque garçon juif. Puisque le système scolaire existait probablement déjà, ce décret rend sa fréquentation obligatoire pour tous les garçons jusqu'à l'âge de 16 ou 17 ans. Sans nul doute, la motivation est de préserver le patrimoine juif à travers la connaissance approfondie et l'observance minutieuse de la loi.</w:t>
      </w:r>
    </w:p>
    <w:p>
      <w:r/>
      <w:r>
        <w:t>Josué ben Gamla (souverain sacrificateur de 63 à 65 apr. J.-C.) est considéré comme le fondateur de l'éducation universelle. Ses instructions pour la création d'écoles dans les villes et villages étaient précises et exigeaient la fréquentation des garçons dès l'âge de six ou sept ans. La communauté était responsable de mettre en place une école et d'entretenir un enseignant dans toute ville où il y avait au moins dix familles juives. Les pères devaient veiller à ce que leurs fils fréquentent l'école. Lorsqu'une famille vivait dans une région isolée, un enseignant vivait souvent avec elle. Les enseignants étaient probablement payés soit par la famille, soit par un impôt communautaire. Les scribes n'étaient pas payés directement pour leur enseignement. Il est difficile de savoir si cet objectif d'éducation élémentaire universelle a été atteint.</w:t>
      </w:r>
    </w:p>
    <w:p>
      <w:pPr>
        <w:pStyle w:val="Heading3"/>
      </w:pPr>
      <w:r>
        <w:t>Éducation dans les cultures environnantes</w:t>
      </w:r>
    </w:p>
    <w:p>
      <w:r/>
      <w:r>
        <w:t>Il y a un très grand contraste entre l'accent théologique de l'éducation hébraïque et les objectifs de l'éducation en Grèce et à Rome. Cependant, ces sociétés avaient aussi pour but de développer un type spécifique de caractère.</w:t>
      </w:r>
    </w:p>
    <w:p>
      <w:r/>
      <w:r>
        <w:t>À Sparte, les jeunes hommes étaient formés pour devenir des combattants au service des intérêts de l'État. Le développement du caractère se faisait en éliminant tout luxe et en disciplinant systématiquement l'esprit et le corps par l'activité physique. Les techniques de survie encourageaient l'ingéniosité et l'initiative. Les filles recevaient la même éducation, car il était important de former des femmes capables de donner naissance à de forts guerriers.</w:t>
      </w:r>
    </w:p>
    <w:p>
      <w:r/>
      <w:r>
        <w:t>À Athènes, l'éducation était considérée comme essentielle à la vie. La transmission de la culture devait permettre aux garçons de devenir des citoyens parfaits. On leur enseignait les lettres, la musique, la morale et les bonnes manières, les mathématiques et la gymnastique (le développement d'un corps sain). Dans l'idéal, l'éducation devait être une noble quête. C'était une formation de l'esprit, et le droit de naissance de chaque citoyen. Dans la pratique, elle était réservée à une petite partie de l'aristocratie. Les personnes instruites méprisaient l'idée de gagner leur vie, considérant cela comme un mode de vie convenant uniquement aux esclaves. Les femmes ne recevaient aucune éducation. L'enseignant dans les écoles élémentaires était un individu de basse condition sociale.</w:t>
      </w:r>
    </w:p>
    <w:p>
      <w:r/>
      <w:r>
        <w:t>L'éducation romaine préparait un garçon mentalement et physiquement pour la ferme, le champ de bataille, ou quels que soient les services que l'État pouvait exiger. L'éducation était une responsabilité familiale. Un garçon apprenait d'abord de sa mère, puis de son père. Les compétences de base en lecture, écriture, arithmétique, langue, structure et capacité à débattre étaient enseignées, parfois par des tuteurs privés. Lorsque des écoles se sont développées, elles semblent avoir été des lieux d'activité bruyante et publique, dont les responsables étaient des enseignants mal payés. Les filles apprenaient les compétences ménagères à la maison.</w:t>
      </w:r>
    </w:p>
    <w:p>
      <w:r/>
      <w:r>
        <w:t>Les garçons égyptiens fréquentaient la maison des livres pour leurs études et apprenaient la lecture et l'arithmétique élémentaire. Leur tâche la plus difficile était d'écrire en hiéroglyphes sur du papyrus. Comme dans les autres cultures, les garçons recevaient des châtiments corporels. Les enseignants égyptiens considéraient que « les oreilles d'un garçon sont dans son dos » et appliquaient cette conviction en utilisant fréquemment la canne.</w:t>
      </w:r>
      <w:r/>
      <w:r/>
    </w:p>
    <w:p>
      <w:r/>
    </w:p>
    <w:p>
      <w:pPr>
        <w:pStyle w:val="Heading2"/>
      </w:pPr>
      <w:r>
        <w:t>Église</w:t>
      </w:r>
      <w:r/>
    </w:p>
    <w:p>
      <w:r/>
      <w:r>
        <w:t>Le mot « Église » désigne un groupe ou une assemblée de personnes qui se réunissent dans un but précis. Le terme n'est mentionné que deux fois dans les Évangiles (</w:t>
      </w:r>
      <w:hyperlink r:id="rId4543">
        <w:r>
          <w:rPr>
            <w:color w:val="0000EE"/>
            <w:u w:val="single"/>
          </w:rPr>
          <w:t xml:space="preserve">Mt 16.18 </w:t>
        </w:r>
      </w:hyperlink>
      <w:r>
        <w:t xml:space="preserve">; </w:t>
      </w:r>
      <w:hyperlink r:id="rId4544">
        <w:r>
          <w:rPr>
            <w:color w:val="0000EE"/>
            <w:u w:val="single"/>
          </w:rPr>
          <w:t>18.17</w:t>
        </w:r>
      </w:hyperlink>
      <w:r>
        <w:t>), mais il apparaît souvent dans le livre des Actes, dans la plupart des lettres de Paul et dans d'autres écrits du Nouveau Testament (NT), notamment dans le livre de l'Apocalypse.</w:t>
      </w:r>
    </w:p>
    <w:p>
      <w:r/>
      <w:r>
        <w:t>Dans l'Ancien Testament (AT), le peuple d'Israël est parfois désigné comme « l'assemblée ». Certains groupes qui croyaient être le véritable Israël se désignaient eux-mêmes comme « l'assemblée ». Ils croyaient qu'ils n'étaient pas Israël de par leur naissance. Ce terme a été utilisé par les auteurs des manuscrits de la mer Morte et par les premiers chrétiens. « Assemblée » est ce que le mot « Église » signifie à l'origine. Les chrétiens se décrivaient souvent à eux-mêmes comme « l'Église » ou « l'assemblée » (« de Dieu » étant implicite).</w:t>
      </w:r>
    </w:p>
    <w:p>
      <w:r/>
      <w:r>
        <w:t>Le terme « Église » peut signifier tous les croyants du monde entier ou tout groupe local d'entre eux. Il représente la présence du peuple de Dieu dans un lieu spécifique. C'est pourquoi le NT l'utilise souvent au singulier (« Église »). Le singulier est utilisé même lorsqu'il s'agit de nombreux groupes de croyants (</w:t>
      </w:r>
      <w:hyperlink r:id="rId4545">
        <w:r>
          <w:rPr>
            <w:color w:val="0000EE"/>
            <w:u w:val="single"/>
          </w:rPr>
          <w:t xml:space="preserve">Ac 9.31 </w:t>
        </w:r>
      </w:hyperlink>
      <w:r>
        <w:t xml:space="preserve">; </w:t>
      </w:r>
      <w:hyperlink r:id="rId1055">
        <w:r>
          <w:rPr>
            <w:color w:val="0000EE"/>
            <w:u w:val="single"/>
          </w:rPr>
          <w:t>2Co 1.1</w:t>
        </w:r>
      </w:hyperlink>
      <w:r>
        <w:t>). La forme plurielle « Églises » apparaît rarement (</w:t>
      </w:r>
      <w:hyperlink r:id="rId4546">
        <w:r>
          <w:rPr>
            <w:color w:val="0000EE"/>
            <w:u w:val="single"/>
          </w:rPr>
          <w:t xml:space="preserve">Ac 15.41 </w:t>
        </w:r>
      </w:hyperlink>
      <w:r>
        <w:t xml:space="preserve">; </w:t>
      </w:r>
      <w:hyperlink r:id="rId4547">
        <w:r>
          <w:rPr>
            <w:color w:val="0000EE"/>
            <w:u w:val="single"/>
          </w:rPr>
          <w:t>16.5</w:t>
        </w:r>
      </w:hyperlink>
      <w:r>
        <w:t>). Chaque groupe, ou le groupe entier, est le lieu où Dieu est présent (</w:t>
      </w:r>
      <w:hyperlink r:id="rId4543">
        <w:r>
          <w:rPr>
            <w:color w:val="0000EE"/>
            <w:u w:val="single"/>
          </w:rPr>
          <w:t xml:space="preserve">Mt 16.18 </w:t>
        </w:r>
      </w:hyperlink>
      <w:r>
        <w:t xml:space="preserve">; </w:t>
      </w:r>
      <w:hyperlink r:id="rId4544">
        <w:r>
          <w:rPr>
            <w:color w:val="0000EE"/>
            <w:u w:val="single"/>
          </w:rPr>
          <w:t>18.17</w:t>
        </w:r>
      </w:hyperlink>
      <w:r>
        <w:t>). L'assemblée ou la congrégation est ce que Dieu a acquis avec le sang de son Fils (</w:t>
      </w:r>
      <w:hyperlink r:id="rId4548">
        <w:r>
          <w:rPr>
            <w:color w:val="0000EE"/>
            <w:u w:val="single"/>
          </w:rPr>
          <w:t>Ac 20.28</w:t>
        </w:r>
      </w:hyperlink>
      <w:r>
        <w:t xml:space="preserve">). </w:t>
      </w:r>
    </w:p>
    <w:p>
      <w:pPr>
        <w:pStyle w:val="Heading3"/>
      </w:pPr>
      <w:r>
        <w:t>Différentes utilisations du mot « Église » dans le Nouveau Testament</w:t>
      </w:r>
    </w:p>
    <w:p>
      <w:r/>
      <w:r>
        <w:t xml:space="preserve">L'utilisation du mot « Église » dans le NT a également des liens avec le monde grec. En grec, le mot traduit par « Église » signifie une assemblée, une réunion. Il désigne un rassemblement politique ou tout groupe se réunissant. Le mot est utilisé de cette manière dans </w:t>
      </w:r>
      <w:hyperlink r:id="rId4549">
        <w:r>
          <w:rPr>
            <w:color w:val="0000EE"/>
            <w:u w:val="single"/>
          </w:rPr>
          <w:t>Actes 19.32, 39, 41</w:t>
        </w:r>
      </w:hyperlink>
      <w:r>
        <w:t>.</w:t>
      </w:r>
    </w:p>
    <w:p>
      <w:r/>
      <w:r>
        <w:t>L'utilisation chrétienne du mot « Église » dans le NT varie largement :</w:t>
      </w:r>
    </w:p>
    <w:p>
      <w:pPr>
        <w:pStyle w:val="ListNumber"/>
        <w:spacing w:line="240" w:lineRule="auto"/>
        <w:ind w:left="720"/>
      </w:pPr>
      <w:r/>
      <w:r>
        <w:rPr>
          <w:b/>
        </w:rPr>
        <w:t>En tant que réunion d'Église :</w:t>
      </w:r>
      <w:r>
        <w:t xml:space="preserve"> Parfois, comme dans l'AT, le mot désigne une réunion d' Église. Par exemple, Paul dit aux chrétiens de Corinthe : « </w:t>
      </w:r>
      <w:r>
        <w:t>lorsque vous vous réunissez en assemblée</w:t>
      </w:r>
      <w:r>
        <w:t xml:space="preserve"> » (</w:t>
      </w:r>
      <w:hyperlink r:id="rId4550">
        <w:r>
          <w:rPr>
            <w:color w:val="0000EE"/>
            <w:u w:val="single"/>
          </w:rPr>
          <w:t>1Co 11.18</w:t>
        </w:r>
      </w:hyperlink>
      <w:r>
        <w:t>). Cela signifie que les chrétiens sont particulièrement considérés comme le peuple de Dieu lorsqu'ils se rassemblent pour le culte.</w:t>
      </w:r>
    </w:p>
    <w:p>
      <w:pPr>
        <w:pStyle w:val="ListNumber"/>
        <w:spacing w:line="240" w:lineRule="auto"/>
        <w:ind w:left="720"/>
      </w:pPr>
      <w:r/>
      <w:r>
        <w:rPr>
          <w:b/>
        </w:rPr>
        <w:t>Comme le groupe entier en un seul lieu :</w:t>
      </w:r>
      <w:r>
        <w:t xml:space="preserve"> Dans des passages comme </w:t>
      </w:r>
      <w:hyperlink r:id="rId4544">
        <w:r>
          <w:rPr>
            <w:color w:val="0000EE"/>
            <w:u w:val="single"/>
          </w:rPr>
          <w:t>Matthieu 18.17</w:t>
        </w:r>
      </w:hyperlink>
      <w:r>
        <w:t xml:space="preserve">, </w:t>
      </w:r>
      <w:hyperlink r:id="rId4551">
        <w:r>
          <w:rPr>
            <w:color w:val="0000EE"/>
            <w:u w:val="single"/>
          </w:rPr>
          <w:t>Actes 5.11</w:t>
        </w:r>
      </w:hyperlink>
      <w:r>
        <w:t xml:space="preserve">, </w:t>
      </w:r>
      <w:hyperlink r:id="rId4552">
        <w:r>
          <w:rPr>
            <w:color w:val="0000EE"/>
            <w:u w:val="single"/>
          </w:rPr>
          <w:t>1 Corinthiens 4.17</w:t>
        </w:r>
      </w:hyperlink>
      <w:r>
        <w:t xml:space="preserve"> et </w:t>
      </w:r>
      <w:hyperlink r:id="rId4553">
        <w:r>
          <w:rPr>
            <w:color w:val="0000EE"/>
            <w:u w:val="single"/>
          </w:rPr>
          <w:t>Philippiens 4.15</w:t>
        </w:r>
      </w:hyperlink>
      <w:r>
        <w:t>, le mot « Église » désigne l'ensemble des chrétiens vivant en un seul lieu. La nature locale d'un groupe chrétien est souvent mise en avant. Par exemple, dans des expressions comme « l'Église à Jérusalem » (</w:t>
      </w:r>
      <w:hyperlink r:id="rId4554">
        <w:r>
          <w:rPr>
            <w:color w:val="0000EE"/>
            <w:u w:val="single"/>
          </w:rPr>
          <w:t>Ac 8.1</w:t>
        </w:r>
      </w:hyperlink>
      <w:r>
        <w:t>), « l'Église... à Corinthe » (</w:t>
      </w:r>
      <w:hyperlink r:id="rId4555">
        <w:r>
          <w:rPr>
            <w:color w:val="0000EE"/>
            <w:u w:val="single"/>
          </w:rPr>
          <w:t>1Co 1.2</w:t>
        </w:r>
      </w:hyperlink>
      <w:r>
        <w:t>), et « l'Église des Thessaloniciens » (</w:t>
      </w:r>
      <w:hyperlink r:id="rId4556">
        <w:r>
          <w:rPr>
            <w:color w:val="0000EE"/>
            <w:u w:val="single"/>
          </w:rPr>
          <w:t>1Th 1.1</w:t>
        </w:r>
      </w:hyperlink>
      <w:r>
        <w:t>).</w:t>
      </w:r>
    </w:p>
    <w:p>
      <w:pPr>
        <w:pStyle w:val="ListNumber"/>
        <w:spacing w:line="240" w:lineRule="auto"/>
        <w:ind w:left="720"/>
      </w:pPr>
      <w:r/>
      <w:r>
        <w:rPr>
          <w:b/>
        </w:rPr>
        <w:t>En tant qu'Églises domestiques :</w:t>
      </w:r>
      <w:r>
        <w:t xml:space="preserve"> Dans d'autres textes, de petits groupes de chrétiens qui se réunissent chez quelqu'un sont appelés « Église », comme ceux se réunissant dans la maison de Priscille et Aquilas (</w:t>
      </w:r>
      <w:hyperlink r:id="rId1401">
        <w:r>
          <w:rPr>
            <w:color w:val="0000EE"/>
            <w:u w:val="single"/>
          </w:rPr>
          <w:t>Rm 16.5</w:t>
        </w:r>
      </w:hyperlink>
      <w:r>
        <w:t xml:space="preserve"> ; </w:t>
      </w:r>
      <w:hyperlink r:id="rId1082">
        <w:r>
          <w:rPr>
            <w:color w:val="0000EE"/>
            <w:u w:val="single"/>
          </w:rPr>
          <w:t>1Co 16.19</w:t>
        </w:r>
      </w:hyperlink>
      <w:r>
        <w:t>).</w:t>
      </w:r>
    </w:p>
    <w:p>
      <w:pPr>
        <w:pStyle w:val="ListNumber"/>
        <w:spacing w:line="240" w:lineRule="auto"/>
        <w:ind w:left="720"/>
      </w:pPr>
      <w:r/>
      <w:r>
        <w:rPr>
          <w:b/>
        </w:rPr>
        <w:t>En tant qu'Église universelle :</w:t>
      </w:r>
      <w:r>
        <w:t xml:space="preserve"> Tout au long du NT, « Église » peut aussi signifier l' Église universelle, ce qui inclut tous les croyants (</w:t>
      </w:r>
      <w:hyperlink r:id="rId4545">
        <w:r>
          <w:rPr>
            <w:color w:val="0000EE"/>
            <w:u w:val="single"/>
          </w:rPr>
          <w:t>Ac 9.31</w:t>
        </w:r>
      </w:hyperlink>
      <w:r>
        <w:t xml:space="preserve"> ; </w:t>
      </w:r>
      <w:hyperlink r:id="rId4557">
        <w:r>
          <w:rPr>
            <w:color w:val="0000EE"/>
            <w:u w:val="single"/>
          </w:rPr>
          <w:t>1Co 6.4</w:t>
        </w:r>
      </w:hyperlink>
      <w:r>
        <w:t xml:space="preserve"> ; </w:t>
      </w:r>
      <w:hyperlink r:id="rId4558">
        <w:r>
          <w:rPr>
            <w:color w:val="0000EE"/>
            <w:u w:val="single"/>
          </w:rPr>
          <w:t>Ep 1.22</w:t>
        </w:r>
      </w:hyperlink>
      <w:r>
        <w:t xml:space="preserve"> ; </w:t>
      </w:r>
      <w:hyperlink r:id="rId313">
        <w:r>
          <w:rPr>
            <w:color w:val="0000EE"/>
            <w:u w:val="single"/>
          </w:rPr>
          <w:t>Col 1.18</w:t>
        </w:r>
      </w:hyperlink>
      <w:r>
        <w:t xml:space="preserve">). La première mention par Jésus de la fondation du mouvement chrétien dans </w:t>
      </w:r>
      <w:hyperlink r:id="rId4543">
        <w:r>
          <w:rPr>
            <w:color w:val="0000EE"/>
            <w:u w:val="single"/>
          </w:rPr>
          <w:t>Matthieu 16.18</w:t>
        </w:r>
      </w:hyperlink>
      <w:r>
        <w:t xml:space="preserve"> utilise le terme dans ce sens plus large : « je bâtirai mon Église, et... portes du séjour des morts ne prévaudront pas contre elle ».</w:t>
      </w:r>
    </w:p>
    <w:p>
      <w:r/>
      <w:r>
        <w:t>Paul désigne souvent l' Église comme « l' Église de Dieu » (</w:t>
      </w:r>
      <w:hyperlink r:id="rId4555">
        <w:r>
          <w:rPr>
            <w:color w:val="0000EE"/>
            <w:u w:val="single"/>
          </w:rPr>
          <w:t>1Co 1.2</w:t>
        </w:r>
      </w:hyperlink>
      <w:r>
        <w:t xml:space="preserve"> ; </w:t>
      </w:r>
      <w:hyperlink r:id="rId3258">
        <w:r>
          <w:rPr>
            <w:color w:val="0000EE"/>
            <w:u w:val="single"/>
          </w:rPr>
          <w:t>10.32</w:t>
        </w:r>
      </w:hyperlink>
      <w:r>
        <w:t>) ou « les Églises du Christ » (</w:t>
      </w:r>
      <w:hyperlink r:id="rId1574">
        <w:r>
          <w:rPr>
            <w:color w:val="0000EE"/>
            <w:u w:val="single"/>
          </w:rPr>
          <w:t>Rm 16.16</w:t>
        </w:r>
      </w:hyperlink>
      <w:r>
        <w:t>). Cela donne à un mot grec commun une signification chrétienne distincte, différenciant l'assemblée chrétienne d'autres groupes, tant séculiers que religieux.</w:t>
      </w:r>
    </w:p>
    <w:p>
      <w:r/>
      <w:r>
        <w:t>Le NT dans son ensemble démontre que la communauté chrétienne se voit comme la communauté des derniers temps. Ils croient avoir été appelés à exister par l'acte final de révélation de Dieu et la présence divine en Jésus de Nazareth. Paul dit aux chrétiens de Corinthe qu'ils sont ceux qui sont « parvenus à la fin des siècles » (</w:t>
      </w:r>
      <w:hyperlink r:id="rId4559">
        <w:r>
          <w:rPr>
            <w:color w:val="0000EE"/>
            <w:u w:val="single"/>
          </w:rPr>
          <w:t>1Co 10.11</w:t>
        </w:r>
      </w:hyperlink>
      <w:r>
        <w:t>). Cela signifie que Dieu avait visité sa création et appelé un nouveau peuple à la fois du judaïsme et du monde non-juif. Ces personnes étaient habilitées par l'Esprit de Dieu à être présentes dans le monde, partageant la Bonne Nouvelle de l'amour radical et inconditionnel de Dieu pour sa création (</w:t>
      </w:r>
      <w:hyperlink r:id="rId4560">
        <w:r>
          <w:rPr>
            <w:color w:val="0000EE"/>
            <w:u w:val="single"/>
          </w:rPr>
          <w:t>Ep 2.11–22</w:t>
        </w:r>
      </w:hyperlink>
      <w:r>
        <w:t>).</w:t>
      </w:r>
    </w:p>
    <w:p>
      <w:r/>
      <w:r>
        <w:t>Les Évangiles nous disent que Jésus a choisi 12 disciples qui sont devenus la fondation de ce nouveau peuple. La connexion avec les 12 tribus d'Israël est évidente. Cela montre que l'Église était vue à la fois comme enracinée dans le judaïsme et comme le plan de Dieu pour faire d'Israël « la lumière des nations » (</w:t>
      </w:r>
      <w:hyperlink r:id="rId4561">
        <w:r>
          <w:rPr>
            <w:color w:val="0000EE"/>
            <w:u w:val="single"/>
          </w:rPr>
          <w:t xml:space="preserve">Es 49.6 </w:t>
        </w:r>
      </w:hyperlink>
      <w:r>
        <w:t xml:space="preserve">; </w:t>
      </w:r>
      <w:hyperlink r:id="rId4562">
        <w:r>
          <w:rPr>
            <w:color w:val="0000EE"/>
            <w:u w:val="single"/>
          </w:rPr>
          <w:t>Rm 11.1–5</w:t>
        </w:r>
      </w:hyperlink>
      <w:r>
        <w:t>). À cause de cela, Paul peut appeler cette nouvelle communauté judéo-gentille, cette nouvelle création, « l'Israël de Dieu » (</w:t>
      </w:r>
      <w:hyperlink r:id="rId4563">
        <w:r>
          <w:rPr>
            <w:color w:val="0000EE"/>
            <w:u w:val="single"/>
          </w:rPr>
          <w:t>Ga 6.15–16</w:t>
        </w:r>
      </w:hyperlink>
      <w:r>
        <w:t xml:space="preserve">). Dans cette nouvelle communauté, les divisions traditionnelles de race, de classe et de sexe sont abolies. Les gens avaient auparavant été séparés et classés en groupes inférieurs et supérieurs. Or, en Christ, il « </w:t>
      </w:r>
      <w:r>
        <w:t xml:space="preserve">n'y a plus ni Juif ni Grec, il n'y a plus ni esclave ni libre, il n'y a plus ni homme ni femme ; car tous vous êtes un en Jésus-Christ </w:t>
      </w:r>
      <w:r>
        <w:t>» (</w:t>
      </w:r>
      <w:hyperlink r:id="rId2962">
        <w:r>
          <w:rPr>
            <w:color w:val="0000EE"/>
            <w:u w:val="single"/>
          </w:rPr>
          <w:t>Ga 3.28</w:t>
        </w:r>
      </w:hyperlink>
      <w:r>
        <w:t>). Ce groupe unique est appelé « le corps de Christ ».</w:t>
      </w:r>
    </w:p>
    <w:p>
      <w:pPr>
        <w:pStyle w:val="Heading3"/>
      </w:pPr>
      <w:r>
        <w:t>L'Église en tant que corps du Christ</w:t>
      </w:r>
    </w:p>
    <w:p>
      <w:r/>
      <w:r>
        <w:t>Paul est le seul auteur du NT à appeler l'Église le corps du Christ (</w:t>
      </w:r>
      <w:hyperlink r:id="rId4564">
        <w:r>
          <w:rPr>
            <w:color w:val="0000EE"/>
            <w:u w:val="single"/>
          </w:rPr>
          <w:t xml:space="preserve">Rm 12.5 </w:t>
        </w:r>
      </w:hyperlink>
      <w:r>
        <w:t xml:space="preserve">; </w:t>
      </w:r>
      <w:hyperlink r:id="rId4565">
        <w:r>
          <w:rPr>
            <w:color w:val="0000EE"/>
            <w:u w:val="single"/>
          </w:rPr>
          <w:t xml:space="preserve">1Co 12.27 </w:t>
        </w:r>
      </w:hyperlink>
      <w:r>
        <w:t xml:space="preserve">; </w:t>
      </w:r>
      <w:hyperlink r:id="rId312">
        <w:r>
          <w:rPr>
            <w:color w:val="0000EE"/>
            <w:u w:val="single"/>
          </w:rPr>
          <w:t xml:space="preserve">Ep 1.22–23 </w:t>
        </w:r>
      </w:hyperlink>
      <w:r>
        <w:t xml:space="preserve">; </w:t>
      </w:r>
      <w:hyperlink r:id="rId4566">
        <w:r>
          <w:rPr>
            <w:color w:val="0000EE"/>
            <w:u w:val="single"/>
          </w:rPr>
          <w:t xml:space="preserve">4.12 </w:t>
        </w:r>
      </w:hyperlink>
      <w:r>
        <w:t xml:space="preserve">; voir aussi </w:t>
      </w:r>
      <w:hyperlink r:id="rId3266">
        <w:r>
          <w:rPr>
            <w:color w:val="0000EE"/>
            <w:u w:val="single"/>
          </w:rPr>
          <w:t xml:space="preserve">1Co 10.16–17 </w:t>
        </w:r>
      </w:hyperlink>
      <w:r>
        <w:t xml:space="preserve">; </w:t>
      </w:r>
      <w:hyperlink r:id="rId3271">
        <w:r>
          <w:rPr>
            <w:color w:val="0000EE"/>
            <w:u w:val="single"/>
          </w:rPr>
          <w:t>12.12–13</w:t>
        </w:r>
      </w:hyperlink>
      <w:r>
        <w:t>). Il décrit également l'Église comme « le corps » dont Christ est la « tête » (</w:t>
      </w:r>
      <w:hyperlink r:id="rId4567">
        <w:r>
          <w:rPr>
            <w:color w:val="0000EE"/>
            <w:u w:val="single"/>
          </w:rPr>
          <w:t xml:space="preserve">Ep 4.15 </w:t>
        </w:r>
      </w:hyperlink>
      <w:r>
        <w:t xml:space="preserve">; </w:t>
      </w:r>
      <w:hyperlink r:id="rId313">
        <w:r>
          <w:rPr>
            <w:color w:val="0000EE"/>
            <w:u w:val="single"/>
          </w:rPr>
          <w:t>Col 1.18</w:t>
        </w:r>
      </w:hyperlink>
      <w:r>
        <w:t>). L'origine exacte de cette façon de parler de l'Église n'est pas claire, mais deux idées sont particulièrement utiles pour comprendre la pensée de Paul :</w:t>
      </w:r>
    </w:p>
    <w:p>
      <w:pPr>
        <w:pStyle w:val="ListNumber"/>
        <w:spacing w:line="240" w:lineRule="auto"/>
        <w:ind w:left="720"/>
      </w:pPr>
      <w:r/>
      <w:r>
        <w:rPr>
          <w:b/>
        </w:rPr>
        <w:t>L'expérience de Paul sur le chemin de Damas :</w:t>
      </w:r>
      <w:r>
        <w:t xml:space="preserve"> selon les récits dans </w:t>
      </w:r>
      <w:hyperlink r:id="rId4568">
        <w:r>
          <w:rPr>
            <w:color w:val="0000EE"/>
            <w:u w:val="single"/>
          </w:rPr>
          <w:t xml:space="preserve">Actes 9.3–7 </w:t>
        </w:r>
      </w:hyperlink>
      <w:r>
        <w:t xml:space="preserve">; </w:t>
      </w:r>
      <w:hyperlink r:id="rId4569">
        <w:r>
          <w:rPr>
            <w:color w:val="0000EE"/>
            <w:u w:val="single"/>
          </w:rPr>
          <w:t xml:space="preserve">22.6–11 </w:t>
        </w:r>
      </w:hyperlink>
      <w:r>
        <w:t xml:space="preserve">; </w:t>
      </w:r>
      <w:hyperlink r:id="rId1069">
        <w:r>
          <w:rPr>
            <w:color w:val="0000EE"/>
            <w:u w:val="single"/>
          </w:rPr>
          <w:t>26.12–18</w:t>
        </w:r>
      </w:hyperlink>
      <w:r>
        <w:t>, Jésus s'est identifié à ses disciples persécutés en parlant à Paul. Lorsque Paul persécutait ces premiers chrétiens, il luttait en réalité contre le Christ lui-même. Réfléchir à cette expérience a peut-être conduit Paul à penser que le Christ vivant était si étroitement identifié à sa communauté qu'elle pouvait être appelée son « corps », signifiant l'expression réelle et physique de sa présence.</w:t>
      </w:r>
    </w:p>
    <w:p>
      <w:pPr>
        <w:pStyle w:val="ListNumber"/>
        <w:spacing w:line="240" w:lineRule="auto"/>
        <w:ind w:left="720"/>
      </w:pPr>
      <w:r/>
      <w:r>
        <w:rPr>
          <w:b/>
        </w:rPr>
        <w:t>Le concept hébreu de solidarité collective :</w:t>
      </w:r>
      <w:r>
        <w:t xml:space="preserve"> la solidarité collective est l'idée qu'un groupe peut être représenté par une seule personne. Paul était profondément juif, et les idées juives ont façonné sa pensée (</w:t>
      </w:r>
      <w:hyperlink r:id="rId1791">
        <w:r>
          <w:rPr>
            <w:color w:val="0000EE"/>
            <w:u w:val="single"/>
          </w:rPr>
          <w:t>Ph 3.5</w:t>
        </w:r>
      </w:hyperlink>
      <w:r>
        <w:t xml:space="preserve">). Dans ce contexte, l'individu est perçu comme étant étroitement lié à la nation dans son ensemble. L'individu n'existe pas véritablement en dehors du peuple tout entier. En même temps, le peuple tout entier peut être représenté par un individu. Par exemple, « Israël » est à la fois le nom d'une personne et le nom d'un peuple entier. Le « serviteur » dans </w:t>
      </w:r>
      <w:hyperlink r:id="rId4570">
        <w:r>
          <w:rPr>
            <w:color w:val="0000EE"/>
            <w:u w:val="single"/>
          </w:rPr>
          <w:t>Ésaïe 42–53</w:t>
        </w:r>
      </w:hyperlink>
      <w:r>
        <w:t xml:space="preserve"> peut être à la fois un individu (</w:t>
      </w:r>
      <w:hyperlink r:id="rId4571">
        <w:r>
          <w:rPr>
            <w:color w:val="0000EE"/>
            <w:u w:val="single"/>
          </w:rPr>
          <w:t>Es 42.1–4</w:t>
        </w:r>
      </w:hyperlink>
      <w:r>
        <w:t>) et la nation d'Israël (</w:t>
      </w:r>
      <w:hyperlink r:id="rId4571">
        <w:r>
          <w:rPr>
            <w:color w:val="0000EE"/>
            <w:u w:val="single"/>
          </w:rPr>
          <w:t>Es</w:t>
        </w:r>
      </w:hyperlink>
      <w:hyperlink r:id="rId4572">
        <w:r>
          <w:rPr>
            <w:color w:val="0000EE"/>
            <w:u w:val="single"/>
          </w:rPr>
          <w:t xml:space="preserve"> 49.1–6</w:t>
        </w:r>
      </w:hyperlink>
      <w:r>
        <w:t>). Cette idée de solidarité (ou d'unité) collective est le fondement du lien étroit que Paul établit entre « le premier Adam » et l'humanité pécheresse. Elle relie également « le dernier (ou second) Adam » (Christ) à l'humanité renouvelée (</w:t>
      </w:r>
      <w:hyperlink r:id="rId4573">
        <w:r>
          <w:rPr>
            <w:color w:val="0000EE"/>
            <w:u w:val="single"/>
          </w:rPr>
          <w:t xml:space="preserve">1Co 15.45–49 </w:t>
        </w:r>
      </w:hyperlink>
      <w:r>
        <w:t xml:space="preserve">; voir aussi </w:t>
      </w:r>
      <w:hyperlink r:id="rId306">
        <w:r>
          <w:rPr>
            <w:color w:val="0000EE"/>
            <w:u w:val="single"/>
          </w:rPr>
          <w:t>Rm 5.12–21</w:t>
        </w:r>
      </w:hyperlink>
      <w:r>
        <w:t>).</w:t>
      </w:r>
    </w:p>
    <w:p>
      <w:r/>
      <w:r>
        <w:t>Paul exprime la relation étroite entre le Christ et son Église en la comparant à l'unité et à la coopération d'un corps physique (</w:t>
      </w:r>
      <w:hyperlink r:id="rId4574">
        <w:r>
          <w:rPr>
            <w:color w:val="0000EE"/>
            <w:u w:val="single"/>
          </w:rPr>
          <w:t xml:space="preserve">Rm 12.4–8 </w:t>
        </w:r>
      </w:hyperlink>
      <w:r>
        <w:t xml:space="preserve">; </w:t>
      </w:r>
      <w:hyperlink r:id="rId4575">
        <w:r>
          <w:rPr>
            <w:color w:val="0000EE"/>
            <w:u w:val="single"/>
          </w:rPr>
          <w:t>1Co 12.12–27</w:t>
        </w:r>
      </w:hyperlink>
      <w:r>
        <w:t>). Pour Paul, la Sainte Cène est un exemple spécifique de cette réalité : « Le pain que nous rompons, n'est-il pas la communion au corps de Christ ? Puisqu'il y a un seul pain, nous qui sommes plusieurs, nous formons un seul corps; car nous participons tous à un même pain » (</w:t>
      </w:r>
      <w:hyperlink r:id="rId3266">
        <w:r>
          <w:rPr>
            <w:color w:val="0000EE"/>
            <w:u w:val="single"/>
          </w:rPr>
          <w:t>1Co 10.16b–17</w:t>
        </w:r>
      </w:hyperlink>
      <w:r>
        <w:t>). À cause de cela, soutient Paul, chaque fonction au sein du corps a sa place légitime. Une division au sein du corps (c'est-à-dire l'Église) montre que quelque chose ne va pas. L'appel répété de Paul à l'unité au sein de la communauté chrétienne est basé sur cette image de l'Église comme « le corps du Christ ».</w:t>
      </w:r>
      <w:r/>
      <w:r/>
    </w:p>
    <w:p>
      <w:r/>
    </w:p>
    <w:p>
      <w:pPr>
        <w:pStyle w:val="Heading2"/>
      </w:pPr>
      <w:r>
        <w:t>Égypte, Égyptien</w:t>
      </w:r>
      <w:r/>
    </w:p>
    <w:p>
      <w:r/>
      <w:r>
        <w:t>L'Égypte a joué un rôle important comme scène pour le récit biblique. Abraham y vivra lors d'une période de famine. Joseph, son arrière-petit-fils, y sera vendu en esclavage en Égypte et accédera à une position équivalente à celle de premier ministre. Grâce à l'intercession de Joseph, Jacob et le reste de la famille patriarcale hébraïque vivant en Palestine viendront résider dans la région orientale du delta de Gosen, encore une fois à cause de la famine. Initialement traités favorablement, ils seront ensuite réduits à l'esclavage ; criant à Dieu, ils seront finalement libérés par les dix plaies. Par la suite, pendant quarante ans, ils erreront dans le Sinaï égyptien, où ils recevront la loi, les spécifications pour construire le tabernacle et les instructions pour les systèmes sacerdotaux et sacrificiels.</w:t>
      </w:r>
    </w:p>
    <w:p>
      <w:r/>
      <w:r>
        <w:t>Après la destruction de Jérusalem en 586 av. J.‑C., un groupe de Juifs forcera Jérémie à les accompagner en Égypte (</w:t>
      </w:r>
      <w:hyperlink r:id="rId4576">
        <w:r>
          <w:rPr>
            <w:color w:val="0000EE"/>
            <w:u w:val="single"/>
          </w:rPr>
          <w:t>Jr 43.6–7</w:t>
        </w:r>
      </w:hyperlink>
      <w:r>
        <w:t>), où ils deviendront nombreux pendant la période intertestamentaire et oublieront progressivement leur hébreu. À Alexandrie, les Juifs traduiront l'Ancien Testament (AT) en grec (la Septante) entre environ 250 et 150 av. J.‑C. Cette traduction deviendra la Bible de l'Église primitive, en particulier pour les chrétiens en dehors de la Palestine.</w:t>
      </w:r>
    </w:p>
    <w:p>
      <w:r/>
      <w:r>
        <w:t>Lorsque s'ouvre la période du Nouveau Testament, l'Égypte servira de refuge pour Joseph, Marie et Jésus alors qu'ils fuyaient pour échapper aux tentatives d'assassinat d'Hérode le Grand (</w:t>
      </w:r>
      <w:hyperlink r:id="rId4577">
        <w:r>
          <w:rPr>
            <w:color w:val="0000EE"/>
            <w:u w:val="single"/>
          </w:rPr>
          <w:t>Mt 2.13–23</w:t>
        </w:r>
      </w:hyperlink>
      <w:r>
        <w:t>). À plusieurs autres moments, l'histoire hébraïque et égyptienne se croiseront, comme lorsque Schischak 1er envahira la Palestine à l'époque de Roboam par exemple (</w:t>
      </w:r>
      <w:hyperlink r:id="rId4578">
        <w:r>
          <w:rPr>
            <w:color w:val="0000EE"/>
            <w:u w:val="single"/>
          </w:rPr>
          <w:t>1R 14.25–28</w:t>
        </w:r>
      </w:hyperlink>
      <w:r>
        <w:t>).</w:t>
      </w:r>
    </w:p>
    <w:p>
      <w:r/>
      <w:r>
        <w:t>Survol</w:t>
      </w:r>
    </w:p>
    <w:p>
      <w:r/>
      <w:r>
        <w:t xml:space="preserve">• </w:t>
      </w:r>
      <w:r>
        <w:rPr>
          <w:b/>
          <w:u w:val="single"/>
        </w:rPr>
        <w:t>Géographie</w:t>
      </w:r>
    </w:p>
    <w:p>
      <w:r/>
      <w:r>
        <w:t xml:space="preserve">• </w:t>
      </w:r>
      <w:r>
        <w:rPr>
          <w:b/>
          <w:u w:val="single"/>
        </w:rPr>
        <w:t>Histoire</w:t>
      </w:r>
    </w:p>
    <w:p>
      <w:r/>
      <w:r>
        <w:t xml:space="preserve">• </w:t>
      </w:r>
      <w:r>
        <w:rPr>
          <w:b/>
          <w:u w:val="single"/>
        </w:rPr>
        <w:t>Vie sociale</w:t>
      </w:r>
    </w:p>
    <w:p>
      <w:r/>
      <w:r>
        <w:t xml:space="preserve">• </w:t>
      </w:r>
      <w:r>
        <w:rPr>
          <w:b/>
          <w:u w:val="single"/>
        </w:rPr>
        <w:t>Religion</w:t>
      </w:r>
    </w:p>
    <w:p>
      <w:r/>
      <w:r>
        <w:t xml:space="preserve">• </w:t>
      </w:r>
      <w:r>
        <w:rPr>
          <w:b/>
          <w:u w:val="single"/>
        </w:rPr>
        <w:t>Éducation et culture</w:t>
      </w:r>
    </w:p>
    <w:p>
      <w:pPr>
        <w:pStyle w:val="Heading3"/>
      </w:pPr>
      <w:r>
        <w:t>Géographie</w:t>
      </w:r>
    </w:p>
    <w:p>
      <w:r/>
      <w:r>
        <w:t>L'Égypte est le cadeau du Nil, sans lequel elle ne pourrait exister. Depuis des années innombrables, le Nil dépose chaque année une fine couche de limon riche en débordant de ses rives. Ce ruban de terre le long de son cours contraste vivement avec les sables stériles qui s'étendent depuis la vallée du fleuve souvent jusqu'à perte de vue. Après avoir déposé ce sédiment, le Nil fournit ensuite de l'eau pour l'irrigation. Ceci est nécessaire dans un pays qui ne reçoit que 15 à 20 cm de précipitations par an le long de la Méditerranée, 5 cm ou moins par an au Caire, et encore moins plus au sud.</w:t>
      </w:r>
    </w:p>
    <w:p>
      <w:r/>
      <w:r>
        <w:t>La vallée du Nil est un corridor, enfermée de chaque côté par des falaises et obstruée à l'extrémité sud par des cataractes, six endroits où le fleuve n'a pas réussi à creuser un canal clair et où des rochers sont entassés en masses irrégulières dans le lit du cours d'eau. D'une falaise à l'autre, la vallée du Nil s'étend d'environ 15 à 50 km de largeur entre Le Caire et Assouan. Cependant, la zone cultivée le long de ce tronçon n'est large que d'environ 10 à 15 km, et se rétrécit à 1 ou 2 km de largeur autour d'Assouan. Cette étendue cultivée ne représente qu'environ 8 000 km2 au total.</w:t>
      </w:r>
    </w:p>
    <w:p>
      <w:r/>
      <w:r>
        <w:t>Mais l'Égypte est plus que la seule vallée. Il s'agit aussi du delta, une zone en forme de triangle au nord du Caire, également formée par le Nil au fil des millénaires. Le delta mesure environ 200 km du nord au sud et 185 km d'est en ouest. Sa région méridionale, plus densément peuplée, offrait aux anciens Égyptiens environ 8 000 km2 de terres agricoles, portant le total de la vallée et du delta à environ 16 000 km2, à peu près équivalent à l'Eswatini ou le Koweit.</w:t>
      </w:r>
    </w:p>
    <w:p>
      <w:r/>
      <w:r>
        <w:t>À l'ouest du Nil s'étend une chaîne d'oasis, dont la plus grande est le Fayoum, à environ 110 km au sud-ouest du Caire. Au centre du Fayoum se trouve le lac Qarun, qui couvre aujourd'hui 150 km2 et a une profondeur d'environ 5 m. Il est entouré d'environ 200 000 hectares de bonnes terres agricoles.</w:t>
      </w:r>
    </w:p>
    <w:p>
      <w:r/>
      <w:r>
        <w:t>L'Égypte antique s'étendait sur environ 200 km de la Méditerranée au Caire (Basse-Égypte) et sur près de 1 000 km du Caire à Assouan (Haute-Égypte). À l'apogée de sa puissance, l'Égypte contrôlait également la vallée depuis la première cataracte à Assouan au sud jusqu'à la quatrième cataracte (Nubie). Ainsi, son domaine s'étendait sur un total d'environ 1 750 km au sud de la Méditerranée.</w:t>
      </w:r>
    </w:p>
    <w:p>
      <w:r/>
      <w:r>
        <w:t>La ressource la plus importante de l'Égypte était le limon fertile le long du Nil. Dans l'Antiquité, les agriculteurs y cultivaient des céréales telles que l'orge, l'engrain et le blé. Les oignons, poireaux, haricots et lentilles étaient des légumes courants. Les dattes, figues et raisins étaient les fruits les plus largement cultivés. L'huile provenait des plantes de ricin et de sésame plutôt que de l'olive, comme dans d'autres terres méditerranéennes. Le lin fournissait le matériau pour les vêtements. Les animaux domestiqués comprenaient des bœufs, du bétail, des moutons, des chèvres, des porcs, des ânes et des chevaux.</w:t>
      </w:r>
    </w:p>
    <w:p>
      <w:r/>
      <w:r>
        <w:t>Une autre ressource importante était un approvisionnement abondant en pierre. Des montagnes de granit s'élèvent entre le Nil et la mer Rouge, et des dépôts d'albâtre et d'autres pierres fines se trouvent dans la même région. Au sud d'Assouan se dressent les montagnes de granit de Nubie. Les carrières de Syène à Assouan sont célèbres pour leur granit rouge extrêmement ferme et durable. L'or était relativement abondant dans les montagnes nubiennes, et des veines de quartz aurifère ont été découvertes dans les montagnes à l'est du Nil. Les Égyptiens contrôlaient les mines de cuivre et de turquoise du Sinaï pendant une grande partie de leurs périodes historiques importantes. Dans l'Antiquité, le bois était disponible en quantité relative en Nubie pour construire les barges qui transportaient les énormes charges de pierre pour la construction des pyramides, des temples et d'autres structures magnifiques.</w:t>
      </w:r>
    </w:p>
    <w:p>
      <w:r/>
      <w:r>
        <w:t>Le Nil lui-même était une voie praticable par tous les temps. On pouvait descendre vers le nord avec le courant et naviguer vers le sud contre le faible courant (5 km/h en moyenne) grâce aux vents dominants du nord. Le Nil était donc la principale voie de l'Égypte antique. Les routes terrestres amenaient généralement le trafic uniquement jusqu'au bord du fleuve. En plus du commerce massif nord-sud, des navettes traversaient régulièrement d'une rive à l'autre.</w:t>
      </w:r>
    </w:p>
    <w:p>
      <w:r/>
      <w:r>
        <w:t>Le long du fleuve poussaient des roseaux de papyrus, à partir desquels on pouvait fabriquer du matériel d'écriture. Et le long du Nil, de l'argile était déposée, à partir de laquelle on pouvait fabriquer de la poterie et des briques séchées au soleil pour les maisons des plus démunis.</w:t>
      </w:r>
    </w:p>
    <w:p>
      <w:r/>
      <w:r>
        <w:t>Les anciens Égyptiens vivaient dans une relative isolation et paix dans leur vallée natale. Les cataractes au sud, les déserts à l'est et à l'ouest, ainsi que la côte sans port de la Méditerranée, les protégeaient des invasions et leur permettaient de développer une culture homogène. Les influences extérieures pouvaient principalement pénétrer par les deux coins nord du delta. Il y avait des incursions sémitiques venant de l'est et des Libyens (possiblement d'origine européenne) de l'ouest. Des défenses étaient érigées pour se protéger contre ces deux menaces. La sécurité de leur vallée natale et l'approvisionnement régulier en soleil et en eau du Nil donnaient aux Égyptiens un sentiment de confiance et de bien-être qui n'était pas partagé par d'autres peuples de l'ancien Proche-Orient.</w:t>
      </w:r>
    </w:p>
    <w:p>
      <w:pPr>
        <w:pStyle w:val="Heading3"/>
      </w:pPr>
      <w:r>
        <w:t>Histoire</w:t>
      </w:r>
    </w:p>
    <w:p>
      <w:r/>
      <w:r>
        <w:t>Il est erroné de considérer les dirigeants contemporains de l'Égypte comme des descendants des pharaons ou les habitants actuels du pays comme des Égyptiens, sauf dans un sens géographique. L'Égypte, en tant que zone de civilisation distincte, a pris fin avec la conquête arabe au 7e siècle apr. J.‑C. et a été fortement diluée au cours des siècles précédents par les influences gréco-romaines.</w:t>
      </w:r>
    </w:p>
    <w:p>
      <w:pPr>
        <w:pStyle w:val="Heading4"/>
      </w:pPr>
      <w:r>
        <w:t>Origines</w:t>
      </w:r>
    </w:p>
    <w:p>
      <w:r/>
      <w:r>
        <w:t>Bien que les origines des anciens Égyptiens soient imparfaitement comprises, physiquement, ils montrent des similitudes avec les Hamites, les Sémites et les Méditerranéens. Les Hamites aux caractéristiques de populations noires ont migré vers le nord depuis la Nubie. Les Asiatiques ont traversé l'isthme de Suez pour entrer dans le delta, et les populations Méditerranéennes de petite taille, à la peau brune et aux os fins ont dominé la vallée du Nil dès les temps anciens. Quelle que soit la diversité de leurs origines, les Égyptiens de l'époque antique se voyaient comme une nation, un peuple distinctif. Les hommes mesuraient environ un mètre soixante-dix et les femmes environ un mètre cinquante. Ils étaient minces mais avec des os solides, avec des têtes rondes et des visages ovales. Les hommes avaient peu de poils sur le visage ou le corps, et tout au long de l'Antiquité, ils étaient généralement rasés de près, tandis que les Sémites portaient la barbe.</w:t>
      </w:r>
    </w:p>
    <w:p>
      <w:r/>
      <w:r>
        <w:t>Les archéologues identifient une série de cultures prédynastiques successives : Fayoumique, Méridienne, Tasienne, Badarienne, Amratienne, Gerzéenne et Semaïnéenne, qui ont maîtrisé des techniques de base et appris à construire une civilisation avec des ressources minimales. Ils ont bien entendu développé un système d'irrigation pour maintenir un programme agricole efficace. Très tôt, ils découvriront comment transformer le lin en tissu et ainsi produire des vêtements. Leurs bateaux étaient fabriqués à partir de roseaux de papyrus et d'arbres qui poussaient le long de certains lits de rivières au sud. Les briques séchées au soleil fournissaient des matériaux de construction, et l'argile était disponible pour la poterie. Cette dernière était fabriquée à la main ; le tour de potier n'apparaissant qu'à l'époque dynastique.</w:t>
      </w:r>
    </w:p>
    <w:p>
      <w:r/>
      <w:r>
        <w:t>L'écriture est apparue en Égypte vers la fin de la période prédynastique. Leurs hiéroglyphes, ou signes sacrés, étaient appelés « les mots de Dieu » et étaient considérés comme d'origine divine. Vers 2 700 av. J.‑C., ils apprendront à fabriquer du « papier » en entrecroisant des bandes découpées dans la moelle de la plante de papyrus pour en former des feuilles. À peu près à la même époque, ils développeront des techniques pour extraire la pierre de la carrière. Ils creusaient généralement une rainure le long d'une ligne où un bloc devait être détaché. Ils y enfonceront des coins de bois sec et les mouilleront pour faire gonfler le bois et détacher le bloc. Ils allumaient parfois un feu le long de la rainure pour chauffer la pierre, puis versaient de l'eau dessus pour la détacher du rocher principal.</w:t>
      </w:r>
    </w:p>
    <w:p>
      <w:pPr>
        <w:pStyle w:val="Heading4"/>
      </w:pPr>
      <w:r>
        <w:t>Unification de l’Égypte</w:t>
      </w:r>
    </w:p>
    <w:p>
      <w:r/>
      <w:r>
        <w:t>Dans la période juste avant 3 100 av. J.‑C. environ, l'Égypte se composait de deux royaumes distincts : la Basse-Égypte et la Haute-Égypte. Le roi de la Haute-Égypte conquerra la Basse-Égypte et unifiera les deux territoires sous son règne unique. Cependant, la division ne sera jamais totalement oubliée, et l'Égypte sera appelée les « Deux Terres » tout au long de son histoire. Les pharaons portaient une double couronne, une combinaison de la couronne rouge de la Basse-Égypte et de la couronne blanche de la Haute-Égypte. Le palais du roi était appelé le « double palais », et même le grenier royal était double. Les Hébreux reconnaissaient cette dualité, car tout au long de l'AT, ils appelaient l'Égypte Mitsraïm (un mot avec une terminaison duale).</w:t>
      </w:r>
    </w:p>
    <w:p>
      <w:r/>
      <w:r>
        <w:t>Le pharaon crédité dans les sources anciennes pour l'unification de l'Égypte était parfois appelé Narmer et parfois Ménès ; on suppose qu'il s'agit de noms différents pour une seule et même personne. Narmer-Ménès commencera la première dynastie de l'Égypte unifiée. Bien que les Égyptiens antiques ne comptaient pas en dynasties, les historiens modernes suivent la pratique de Manéthon, un prêtre égyptien du milieu du 3e siècle av. J.‑C., qui compilera une liste de rois jusqu'à la période perse et la divisera en trente dynasties ; plus tard, d'autres ajouteront une trente-et-unième dynastie. Les anciens n'utilisaient pas non plus des termes tels qu'« Ancien Empire » et « Moyen Empire », mais les chercheurs modernes les trouvent pratiques pour organiser l'histoire égyptienne.</w:t>
      </w:r>
    </w:p>
    <w:p>
      <w:pPr>
        <w:pStyle w:val="Heading4"/>
      </w:pPr>
      <w:r>
        <w:t>Période dynastique archaïque (3 100–2 700 av. J.‑C.)</w:t>
      </w:r>
    </w:p>
    <w:p>
      <w:r/>
      <w:r>
        <w:t>Les rois des deux premières dynasties régnaient à This, ou Thinis, à environ 500 km au sud du Caire, mais ils construiront Memphis pour en faire un autre centre administratif. Ils consolideront leur emprise sur le pays et développeront la théorie selon laquelle le roi était divin. Leurs contacts avec le monde extérieur étaient considérables, et il y a de nombreuses indications en Égypte d'influences mésopotamiennes à cette époque.</w:t>
      </w:r>
    </w:p>
    <w:p>
      <w:pPr>
        <w:pStyle w:val="Heading4"/>
      </w:pPr>
      <w:r>
        <w:t>Ancien Empire (2 700–2 200 av. J.‑C. ; dynasties 3–6)</w:t>
      </w:r>
    </w:p>
    <w:p>
      <w:r/>
      <w:r>
        <w:t>L'Ancien Empire est particulièrement connu pour ses projets de construction. C'est à cette époque que les pyramides ont été érigées. La capitale se trouvait à Memphis (Noph dans la Bible), au sud-ouest du Caire moderne. Leurs contacts avec la Phénicie étaient nombreux, et certains estiment que les Égyptiens étaient tellement impliqués là-bas et ailleurs qu'il est approprié de parler d'un « Empire » plutôt que d'un « Royaume ». Des normes artistiques étaient en phase de développement, et les premiers balbutiements littéraires et médicaux étaient déjà bien avancés. L'Égypte était une monarchie absolue. Le roi divin était servi par une armée de fonctionnaires ; toute la population pouvait être mobilisée de son vivant pour préparer son tombeau.</w:t>
      </w:r>
    </w:p>
    <w:p>
      <w:r/>
      <w:r>
        <w:t>Le premier roi de la troisième dynastie était Djoser, qui construira la pyramide à degrés à Saqqarah. La plus ancienne grande structure en pierre du monde se compose de six couches, ou degrés, s'élevant à une hauteur de 60 m. L'architecte était Imhotep, son vizir ou premier ministre, qui sera plus tard déifié et crédité des débuts de l'architecture, de la littérature et de la médecine, et identifié par les Grecs à Asclépios, dieu de la médecine.</w:t>
      </w:r>
    </w:p>
    <w:p>
      <w:r/>
      <w:r>
        <w:t>Les pharaons de la quatrième dynastie étaient de grands bâtisseurs de pyramides. Ils érigeront les trois grandes pyramides de Gizeh entre environ 2 600 et 2 500 av. J.‑C. La plus grande d'entre elles, attribuée à Khéops, couvre 5 hectares, s'élevait à l'origine à une hauteur de 150 m et contient environ 2,3 millions de blocs de calcaire pesant en moyenne deux tonnes et demie chacun. La deuxième pyramide mesure 135 m de haut et est accompagnée du Sphinx, un lion couché avec le visage du roi. La troisième pyramide mesure 60 m de haut. Ces pyramides ne sont pas des exemples isolés. Plusieurs autres petites pyramides ont été construites à Gizeh, et il y avait neuf champs de pyramides au total, dispersés le long de la rive occidentale du Nil au sud de Memphis. Pendant les cinquième et sixième dynasties, apparaîtront les textes des pyramides, des inscriptions gravées et peintes, des sorts magiques et des hymnes censés aider le défunt dans l'au-delà.</w:t>
      </w:r>
    </w:p>
    <w:p>
      <w:r/>
      <w:r>
        <w:t>Les normes artistiques de l'Égypte seront établies pendant l'Ancien Empire. Le roi et les dieux étaient représentés de manière stylisée. L'art tendait à être conceptuel plutôt que perceptuel, c'est-à-dire qu'au lieu de reproduire ce qu'il voyait, l'artiste peignait ce qu'il savait être là. Par exemple, un banc de poissons devenait des poissons individuels peints en entier au lieu d'être représentés naturellement avec un poisson cachant une partie du poisson à côté de lui. De manière similaire, les sacoches sur un âne étaient montrées avec celle qui faisait face au spectateur reproduite de manière naturelle ; l'autre, étant derrière le dos de l'âne, était retournée en l'air au-dessus du dos de l'âne.</w:t>
      </w:r>
    </w:p>
    <w:p>
      <w:r/>
      <w:r>
        <w:t>L'importance d'un individu déterminait sa taille dans une représentation picturale. Dans une scène de bataille, le pharaon serait la plus grande figure, suivi par ses officiers commandants. Ensuite venaient les soldats ordinaires, et enfin les troupes ennemies, qui seraient les plus petites de toutes.</w:t>
      </w:r>
    </w:p>
    <w:p>
      <w:r/>
      <w:r>
        <w:t>L'art égyptien avait pour but de raconter une histoire : une grande partie ressemblait plus à un film qu'à une photo. Une scène de fabrication de vin pouvait inclure la cueillette des raisins, le foulage du jus (normalement effectué en piétinant avec les pieds nus) et le stockage du jus dans des jarres.</w:t>
      </w:r>
    </w:p>
    <w:p>
      <w:r/>
      <w:r>
        <w:t>De toute évidence, les connaissances médicales égyptiennes se développaient également pendant l'Ancien Empire. Bien que les principales sources de connaissances sur la médecine égyptienne soient les grands papyrus du Moyen Empire, il existe quelques indications que ces connaissances médicales revendiquent une antiquité bien plus grande. De nombreuses expressions archaïques apparaissent dans les textes. Il est possible que les Égyptiens avaient une certaine compréhension de la circulation du sang ; ils parlaient de ressentir la « voix du cœur ». La pratique médicale égyptienne combinait un mélange de remèdes domestiques, de charmes et d'incantations, ainsi que d'expertise scientifique. Le Papyrus Edwin Smith est une étude remarquable traitant spécifiquement du traitement des os cassés.</w:t>
      </w:r>
    </w:p>
    <w:p>
      <w:r/>
      <w:r>
        <w:t>Au cours de la sixième dynastie, l'Ancien Empire commencera à se désintégrer en raison de dirigeants médiocres, de nobles agressifs, de difficultés financières, d'incursions nubiennes au sud et d'attaques asiatiques au nord-est.</w:t>
      </w:r>
    </w:p>
    <w:p>
      <w:pPr>
        <w:pStyle w:val="Heading4"/>
      </w:pPr>
      <w:r>
        <w:t>Première Période Intermédiaire (2 200–2 050 av. J.‑C. ; Dynasties 7–11)</w:t>
      </w:r>
    </w:p>
    <w:p>
      <w:r/>
      <w:r>
        <w:t>L'Ancien Empire jouissait d'une stabilité politique et d'une prospérité certaine. La crue du Nil survenait de manière prévisible et non dévastatrice. Il y avait suffisamment à manger pour tous. Si l'on se comportait bien, travaillait dur et étudiait assidûment à l'école, on pouvait s'attendre à des promotions appropriées et à un succès général dans la vie. Les institutions sociales, politiques, économiques et religieuses familières restaient constantes et on pouvait compter sur elles pour occuper leur place régulière dans le rythme de la vie. Désormais, l'aristocratie ancienne était tombée. Le gouvernement central s'était effondré ; les nobles gouvernaient de nombreux districts et prenaient le titre de rois. Il n'était plus vrai que si l'on faisait certaines choses, on pouvait s'attendre au succès. L'effondrement de toute la philosophie de vie de l'Ancien Empire provoquera un bouleversement spirituel et engendrera des tentatives de réévaluation de la vie. Une partie de la littérature de l'époque prône une approche hédoniste consistant à noyer ses problèmes dans le plaisir, et d'autres recommandent une approche stoïque : se préparer aux difficultés de la vie.</w:t>
      </w:r>
    </w:p>
    <w:p>
      <w:pPr>
        <w:pStyle w:val="Heading4"/>
      </w:pPr>
      <w:r>
        <w:t>Moyen Empire (2 050–1 780 av. J.‑C. ; 12e dynastie)</w:t>
      </w:r>
    </w:p>
    <w:p>
      <w:r/>
      <w:r>
        <w:t>À la fin de la 11e dynastie, les princes de Thèbes (à 700 km, au sud de Memphis) lutteront pour rétablir l'ordre et le contrôle royal et seront partiellement couronnés de succès. Le Moyen Empire sera la période de la 12e dynastie, des Thébains natifs qui établiront leur capitale à Licht dans le Fayoum. Les six dirigeants de cette dynastie prendront les noms d'Amenemhat et de Sésostris. Chacun d'eux régnera environ trente ans, et la plupart d'entre eux placeront leurs fils sur le trône comme co-régents avant leur mort, éliminant ainsi le danger d'un usurpateur. Comme ces rois n'osaient pas priver les nobles de leur pouvoir largement indépendant, une condition féodale existera pendant une grande partie de la période.</w:t>
      </w:r>
    </w:p>
    <w:p>
      <w:r/>
      <w:r>
        <w:t>Incapables de fonctionner comme des rois absolus, ces pharaons devront gouverner par la persuasion et le développement de la bonne volonté. Leur interprétation du maât (justice sociale) était constamment mise en avant, et si une personne ne pouvait pas obtenir maât de la part des nobles, elle se voyait promettre de l'obtenir des mains du roi. Leur programme de propagande dépeignait également le pharaon comme préoccupé par un leadership responsable plutôt que par l'exercice de l'autorité. Le pharaon était le berger de son peuple.</w:t>
      </w:r>
    </w:p>
    <w:p>
      <w:r/>
      <w:r>
        <w:t>Les pharaons du Moyen Empire étaient suffisamment sages pour ne pas épuiser le trésor sur de grandes pyramides ; au lieu de cela, ils entreprendront des travaux publics, tels qu'un effort massif pour augmenter les terres cultivables dans le Fayoum, la construction d'un mur défensif à travers l'isthme de Suez, et l'exploitation systématique des mines de cuivre du Sinaï. Le commerce s'étendra avec la Crète, le Liban, la Syrie et le Pount.</w:t>
      </w:r>
    </w:p>
    <w:p>
      <w:r/>
      <w:r>
        <w:t>Le Moyen Empire sera une époque pendnat laquelle Amon commencera à émerger comme le grand dieu d'Égypte. Il sera associé au dieu solaire Rê en tant qu'Amon-Rê et en viendra à supplanter les dieux qui avaient auparavant représenté Thèbes. En tant que dieu de la nation, il devait devenir le grand dieu impérial sous l'Empire et ainsi endosser une qualité universelle. Les textes religieux, qui avaient orné les murs des pyramides pendant l'Ancien Empire, étaient désormais inscrits sur les cercueils et leur utilisation était accessible aux nobles ainsi qu'aux rois.</w:t>
      </w:r>
    </w:p>
    <w:p>
      <w:r/>
      <w:r>
        <w:t>Une floraison littéraire se produira pendant le Moyen Empire. La littérature scientifique est représentée par des œuvres remarquables telles que le Papyrus de Rhind (mathématiques) et les papyrus de Smith (chirurgie) et d'Ebers (médical). Les « Instructions de Merikare » illustrent une partie de la littérature de sagesse de l'époque, et le « Conte de Sinouhé » introduit le genre de la littérature de divertissement.</w:t>
      </w:r>
    </w:p>
    <w:p>
      <w:r/>
      <w:r>
        <w:t>Si l'on adhère à la date précoce de l'exode (vers 1446 av. J.‑C.) et que l'on ajoute 430 ans pour la période de séjour des Israélites en Égypte (</w:t>
      </w:r>
      <w:hyperlink r:id="rId2541">
        <w:r>
          <w:rPr>
            <w:color w:val="0000EE"/>
            <w:u w:val="single"/>
          </w:rPr>
          <w:t>Ex 12.40</w:t>
        </w:r>
      </w:hyperlink>
      <w:r>
        <w:t>), on conclura que les Israélites sont entrés en Égypte vers 1876 av. J.‑C. Cela se situerait au début du règne de Sésostris III (1878–1840 av. J.‑C.). Sésostris était un roi vigoureux qui étendra le contrôle égyptien au sud jusqu'à la deuxième cataracte et fera campagne jusqu'en Syrie. Il sera également capable de renverser les conditions féodales de la période antérieure ; il retirera le pouvoir aux nobles et nommera des fonctionnaires royaux à leur place. Il est possible que cet accomplissement soit d'une certaine manière lié à la famine du temps de Joseph et à l'utilisation par Joseph de cette famine pour renforcer le contrôle royal sur toute la population du pays (</w:t>
      </w:r>
      <w:hyperlink r:id="rId4579">
        <w:r>
          <w:rPr>
            <w:color w:val="0000EE"/>
            <w:u w:val="single"/>
          </w:rPr>
          <w:t>Gn 47.13–26</w:t>
        </w:r>
      </w:hyperlink>
      <w:r>
        <w:t>).</w:t>
      </w:r>
    </w:p>
    <w:p>
      <w:pPr>
        <w:pStyle w:val="Heading4"/>
      </w:pPr>
      <w:r>
        <w:t>Deuxième Période Intermédiaire (1780–1570 av. J.‑C. ; dynasties 13–17)</w:t>
      </w:r>
    </w:p>
    <w:p>
      <w:r/>
      <w:r>
        <w:t>Avec la chute de la puissante 12e dynastie, l'Égypte retombera une fois de plus dans une période de désintégration. Les Hyksos (« dirigeants de terres étrangères »), Sémites de Syrie et de Palestine, infiltreront progressivement la région du delta et prendront le contrôle vers 1 730 av. J.‑C., maintenant leur capitale à Tanis, ou Avaris, dans le delta oriental. Pendant ce temps, les princes thébains régnaient faiblement dans le sud et étaient souvent vassaux des Hyksos.</w:t>
      </w:r>
    </w:p>
    <w:p>
      <w:r/>
      <w:r>
        <w:t>En raison, semble-t-il, de la haine des Égyptiens envers les Hyksos et des efforts rigoureux pour effacer leur mémoire, les Hyksos sont un peuple très obscur. Il reste peu de choses sur lesquelles baser une reconstruction de leur histoire. On suppose qu'ils étaient responsables de l'introduction de nouveaux types d'épées et de poignards en bronze, du puissant arc composite, et surtout du cheval et du char. Les Égyptiens les ont adoptés avec succès et les ont utilisés pour renverser le pouvoir des Hyksos, puis pour construire un empire en Palestine et en Syrie. La lutte des princes thébains pour se libérer du contrôle des Hyksos sera prolongée et apparemment féroce par moments. L'effort commencera à la fin du 16e siècle av. J.‑C. et sera achevé par Ahmose I (1570–1546 av. J.‑C.).</w:t>
      </w:r>
    </w:p>
    <w:p>
      <w:pPr>
        <w:pStyle w:val="Heading4"/>
      </w:pPr>
      <w:r>
        <w:t>La période de l'Empire (1 570–1 090 av. J.‑C. ; dynasties 18–20)</w:t>
      </w:r>
    </w:p>
    <w:p>
      <w:r/>
      <w:r>
        <w:t>Ahmose lancera la 18e dynastie et peut être considéré comme l'initiateur de la période de l'Empire, ou Nouvel Empire. Après avoir vaincu les Hyksôs en Égypte, il mènera des campagnes victorieuses contre la Nubie et Sharuhen dans le sud de la Palestine. Par la suite, il devra soumettre les nobles qui avaient réussi à obtenir l'indépendance du gouvernement central pendant l'ère des Hyksôs. Amenhotep 1er (1546–1525 av. J.‑C.) a également dû combattre les Nubiens au sud et les Libyens au nord-ouest.</w:t>
      </w:r>
    </w:p>
    <w:p>
      <w:r/>
      <w:r>
        <w:t>Ayant péri sans fils pour lui succéder, Amenhotep sera suivi sur le trône par sa sœur Ahmose, qui épousera un des Thoutmôsis (Thoutmôsis I, 1525–1508 av. J.‑C.), sans doute un parent à elle. Thoutmôsis devra soumettre à nouveau les Nubiens rebelles durant la première année de son règne et, lors de campagnes ultérieures, il étendra considérablement les possessions nubiennes de l'Égypte. Entre ces deux attaques nubiennes, il lancera une offensive en Syrie. Il pourra donc revendiquer un empire s'étendant de l'Euphrate jusqu'à la troisième cataracte du Nil. Il se peut que Moïse soit né au début de son règne. Thoutmôsis commencera la pratique de creuser des tombes royales dans la Vallée des Rois à l'ouest de Thèbes.</w:t>
      </w:r>
    </w:p>
    <w:p>
      <w:r/>
      <w:r>
        <w:t>De toute évidence, le seul enfant survivant de l'union de Thoutmôsis et Ahmès était une fille, Hatchepsout, qui épousera Thoutmôsis II (1508–1504 av. J.‑C.), un fils de Thoutmôsis I par une princesse secondaire. Thoutmôsis II devra réprimer des Nubiens rebelles, mais nous savons bien peu d'autres choses de son règne. Comme son mariage avec Hatchepsout a produit deux filles mais pas de fils, il décidera de marier sa fille Marytre à un fils d'une épouse mineure (Thoutmôsis III, 1504–1450 av. J.‑C.).</w:t>
      </w:r>
    </w:p>
    <w:p>
      <w:r/>
      <w:r>
        <w:t>Hatchepsout continuera de régner pendant la minorité de Thoutmôsis III et refusera de se retirer lorsqu'il atteint l'âge adulte. Elle règnera sur l'Égypte de 1 504 à 1 482 av. J.‑C. Pendant son règne, l'Égypte connaîtra une prospérité économique. Ses activités de construction étaient considérables ; l'un de ses plus grands accomplissements sera l'érection de deux grands obélisques au temple de Karnak à Louxor. Le seul fût restant mesure 30 m de haut et pèse environ 315 000 kg. Elle mènera également des expéditions commerciales vers le pays de Pount. Hatchepsout est parfois identifiée comme la fille du Pharaon qui a sauvé Moïse du Nil (</w:t>
      </w:r>
      <w:hyperlink r:id="rId1531">
        <w:r>
          <w:rPr>
            <w:color w:val="0000EE"/>
            <w:u w:val="single"/>
          </w:rPr>
          <w:t>Ex 2.5</w:t>
        </w:r>
      </w:hyperlink>
      <w:r>
        <w:t>).</w:t>
      </w:r>
    </w:p>
    <w:p>
      <w:r/>
      <w:r>
        <w:t>Enfin, en 1482 av. J.‑C., Hatchepsout trouvera une fin prématurée, sans doute aux mains de Thoutmôsis III alors qu'il se libérait de ses chaînes pour prendre le pouvoir sur le royaume. En l'espace de 75 jours, il avait rassemblé une armée et la dirigeait vers le nord, en Palestine-Syrie, pour y soumettre les princes rebelles. Une grande victoire initiale à Megiddo et le sac de la ville après un siège de sept mois intimidera les Palestiniens du nord, mais ne brisera pas leur volonté de résister. Thoutmôsis se retrouvera à faire campagne en Palestine ou en Nubie presque chaque année pendant les deux décennies qui suivront.</w:t>
      </w:r>
    </w:p>
    <w:p>
      <w:r/>
      <w:r>
        <w:t>Ce qui avait commencé comme une impulsion égyptienne pour punir les Hyksos s'est transformé en esprit d'impérialisme, nourri par un sentiment de puissance dans la victoire. À mesure que les frontières s'étendaient, il y avait presque toujours un péril à affronter quelque part au cours des générations suivantes : certains étaient réels et d'autres moins immédiats. Ainsi, le sentiment de sécurité que les Égyptiens avaient connu au cours des siècles précédents, lorsqu'ils étaient enfermés dans leur vallée natale, a cédé la place à un sentiment d'insécurité. Et comme le dieu Amon-Rê souriait aux efforts militaires égyptiens, il était récompensé par des quantités de butin et de magnifiques cadeaux. Avec le temps, les temples ont acquis tant de richesse et de pouvoir qu'ils en sont venus à exercer une grande influence dans les cercles politiques et économiques. Particulièrement grande était la puissance du sacerdoce d'Amon au temple de Karnak.</w:t>
      </w:r>
    </w:p>
    <w:p>
      <w:r/>
      <w:r>
        <w:t>Thoutmôsis III était l'un des plus grands pharaons de l'Égypte antique. Conquérant et bâtisseur d'empire, il est souvent appelé le Napoléon de l'Égypte antique. Il n'y avait guère de ville d'une certaine taille dans le royaume où il ne s'engageait pas dans des activités de construction. Avec lui commencera un effort pour glorifier le Pharaon en tant que sportif, athlète et guerrier, effort qui devait durer plusieurs générations ; il avait les pouvoirs d'un dieu pour mener les affaires des hommes. Si l'on accepte la date précoce de l'Exode, Thoutmôsis III est souvent considéré comme le Pharaon de la grande oppression des Hébreux.</w:t>
      </w:r>
    </w:p>
    <w:p>
      <w:r/>
      <w:r>
        <w:t>Thoutmôsis sera succédé par son fils Aménophis II (1452–1425 av. J.‑C.), qui pourrait avoir été le pharaon de l'Exode. Ayant brièvement servi comme co-régent avec son père, il bénéficiera d'une transition facile vers le règne unique sur l'empire. Bien qu'il ait été contraint de mener deux campagnes en Syrie et en Palestine pour soumettre des villes rebelles, il semble avoir généralement joui d'un règne paisible. Comme son père, il cherchera à être connu pour sa prouesse en tant que sportif et sa brutalité en tant que guerrier.</w:t>
      </w:r>
    </w:p>
    <w:p>
      <w:r/>
      <w:r>
        <w:t>Après le règne peu connu de Thoutmôsis IV (1425–1412 av. J.‑C.), Aménophis III (1412–1375 av. J.‑C.) monte sur le trône d'Égypte. Souvent appelé « le magnifique », il se délectait de la richesse qui affluait de l'empire. En seulement quatorze jours, il fera creuser pour sa femme un lac de 2 000 m de long et de 370 m de large. Ici, sur la rive ouest du Nil à Thèbes, une barge royale pouvait flotter tandis que des musiciens à bord offraient un divertissement pour le roi et la reine. Aménophis construira plusieurs temples, y compris un temple funéraire à Thèbes, auquel étaient attachés les célèbres colosses de Memnon, des statues assises du roi mesurant environ 20 m de haut. Bien que les artistes l'aient fidèlement représenté comme un grand conquérant sur les murs des temples, il semble s'être engagé à réprimer seulement un soulèvement en Nubie et n'avoir sans doute jamais mis les pieds en Palestine ou en Syrie.</w:t>
      </w:r>
    </w:p>
    <w:p>
      <w:r/>
      <w:r>
        <w:t>À l'instar de son père Amenhotep III, Amenhotep IV (1387–1366 av. J.‑C.) ne fera aucun effort pour maintenir l'empire. En raison de sa mauvaise santé, Amenhotep III nommera son fils co-régent en 1387 av. J.‑C., mais celui-ci prêtera peu d'attention aux affaires de l'État. D'une inclination mystique, il se consacrera à l'établissement du culte du dieu solaire Aton dans une nouvelle capitale nommée Amarna. Le culte d'Aton était presque monothéiste (le roi étant vénéré avec la divinité) et constituait ainsi une véritable révolution religieuse, mais il avait peu d'adeptes en dehors de la cour. Les changements religieux, les changements politiques liés au déplacement de la capitale et les changements artistiques étaient trois des principaux éléments de la soi-disant « Révolution d'Amarna ». Le naturalisme lâche dans l'art, presque à la limite de la caricature, n'était cependant pas nouveau, puisqu'il avait été accepté dès le règne de Thoutmôsis IV. Amenhotep IV prendra le nom d'Akhenaton (« esprit d'Aton »).</w:t>
      </w:r>
    </w:p>
    <w:p>
      <w:r/>
      <w:r>
        <w:t>Akhenaton ne prêtera aucune attention aux nombreuses demandes (les lettres d'Amarna) des princes royaux de Palestine et de Syrie pour obtenir de l'aide afin de repousser les envahisseurs, et l'empire se désintègrera. L'acceptation de la date précoce de l'Exode placerait la conquête hébraïque et le processus d'installation subséquent pendant les règnes d'Amenhotep III et IV, précisément lorsque disparaît le pouvoir égyptien sur la Palestine. Cependant, les Habiru, que certaines de ces lettres nomment comme attaquants, ne devraient pas être identifiés comme des Hébreux. Une grande partie de ce qui est dit à leur sujet ne pourrait pas avoir été vrai des Hébreux.</w:t>
      </w:r>
    </w:p>
    <w:p>
      <w:r/>
      <w:r>
        <w:t>À la mort d'Amenhotep IV, Toutankhamon (1366–1357 av. J.‑C.) monte sur le trône. Jeune garçon de huit ou neuf ans, il sera associé à Aÿ, un favori d'Akhenaton, en tant que corégent. Lorsque Toutankhamon meurt neuf ans plus tard, Aÿ continuera de régner jusqu'en 1353 av. J.‑C. En raison de la découverte de son tombeau magnifiquement meublé et non pillé en 1922, Toutankhamon a reçu une attention disproportionnée par rapport à son importance dans l'Antiquité. Les milliers d'objets de son tombeau illustrent la richesse, la grandeur et les réalisations artistiques de l'Égypte ancienne et aident à démontrer ce que cela signifiait pour Moïse de tourner le dos aux richesses de l'Égypte (</w:t>
      </w:r>
      <w:hyperlink r:id="rId4580">
        <w:r>
          <w:rPr>
            <w:color w:val="0000EE"/>
            <w:u w:val="single"/>
          </w:rPr>
          <w:t>Hé 11.26</w:t>
        </w:r>
      </w:hyperlink>
      <w:r>
        <w:t>).</w:t>
      </w:r>
    </w:p>
    <w:p>
      <w:r/>
      <w:r>
        <w:t>À la mort d'Aÿ, Horemheb, commandant en chef de l'armée, accèdera au trône (1353–1319 av. J.‑C.). Il réorganisera l'État et rétablira un gouvernement fort. Mourant sans enfant, Horemheb désignera comme successeur Ramsès 1er, commandant de l'armée et vizir, ou premier ministre. Ramsès (1319–1318 av. J.‑C.) et Séthi 1er (1318–1299 av. J.‑C.) mèneront de grands efforts pour restaurer l'empire asiatique perdu par Akhenaton. Dans le cadre de leurs efforts, la capitale sera déplacée à Tanis dans le delta, d'où les campagnes militaires pouvaient être lancées plus efficacement.</w:t>
      </w:r>
    </w:p>
    <w:p>
      <w:r/>
      <w:r>
        <w:t>Ramsès II (1299–1232 av. J.‑C.) poursuivra l'effort de restauration du contrôle égyptien en Palestine. Dans la cinquième année de son règne, il affronter les Hittites lors de la bataille de Qadesh sur l'Oronte en Syrie et verra presque ses forces anéanties. Par la suite, il combattra tout le long du sud de la Palestine jusqu'au nord de la Syrie. Si les Hébreux se trouvaient alors dans le pays, comme l'exigerait une date précoce de l'exode, ils n'ont probablement jamais eu de contact avec les Égyptiens car ils étaient bergers et vignerons dans les collines de Palestine, et Ramsès se déplaçait le long de la route côtière. Enfin, dans la vingt-et-unième année de son règne, Ramsès conclura un traité de paix avec les Hittites et le respectera jusqu'à la fin de ses jours. Il entreprerdra de vastes constructions partout en Égypte, notamment dans sa capitale de Tanis, à Thèbes, à Abou Simbel (au sud d'Assouan) et à Memphis. Beaucoup de ceux qui acceptent une date plus tardive pour l'exode croient qu'il était le Pharaon de l'exode.</w:t>
      </w:r>
    </w:p>
    <w:p>
      <w:r/>
      <w:r>
        <w:t>Le 13e fils de Ramsès, Mérenptah (1232–1222 av. J.‑C.), sera le seul roi égyptien à prétendre avoir vaincu les Hébreux au combat. Cependant, certains chercheurs soutiennent qu'il n'a jamais envahi l'Asie et que cette déclaration doit être interprétée comme une revendication habituelle de victoire sur les adversaires du roi dans les terres environnantes, qu'il les ait rencontrés ou non au combat.</w:t>
      </w:r>
    </w:p>
    <w:p>
      <w:r/>
      <w:r>
        <w:t>Ramsès III (1198–1164 av. J.‑C.) a également repoussé une invasion libyenne du delta lors de ses cinquième et onzième années de règne, et dans sa huitième année, il repoussera une invasion des Peuples de la mer, parmi lesquels se trouvaient les Philistins. Il sera le dernier souverain de la période impériale à maintenir des avant-postes en Palestine et en Syrie. Dans ses dernières années, l'économie égyptienne connaîtra une détérioration, et l'inflation ainsi que l'incapacité du gouvernement à payer les salaires publics causeront de grandes souffrances. Des marches de la faim auront lieu.</w:t>
      </w:r>
    </w:p>
    <w:p>
      <w:r/>
      <w:r>
        <w:t>Durant les règnes de Ramsès IV à XI (1167–1085 av. J.‑C.), l'État connaîtra un déclin constant. La corruption et l'inflation augmenteront. Pendant le règne de Ramsès IX (1138–1119 av. J.‑C.), des troupes de mercenaires non payées semblent avoir erré comme maraudeurs dans le delta, et le pillage des tombes atteindra des proportions épidémiques. Finalement, Hérichor, vice-roi de Nubie et commandant des forces militaires dans le sud, prendra le contrôle de la Haute-Égypte et se proclamera grand prêtre d'Amon à Thèbes. L'empire avait pris fin.</w:t>
      </w:r>
    </w:p>
    <w:p>
      <w:pPr>
        <w:pStyle w:val="Heading4"/>
      </w:pPr>
      <w:r>
        <w:t>La période post-impériale</w:t>
      </w:r>
    </w:p>
    <w:p>
      <w:r/>
      <w:r>
        <w:t>Dans la période post-impériale, l'Égypte passe sous la domination des rois libyens (945–712 av. J.‑C.) et des rois éthiopiens (712–670 av. J.‑C.). Après une brève période de domination assyrienne (670–663 av. J.‑C.), une dynastie indigène s'affirmera (663–525 av. J.‑C.). Les Perses conquerront ensuite le pays et le tiendront jusqu'à Alexandre le Grand en 331. Par la suite, les Ptolémées régneront sur l'Égypte jusqu'à la mort de Cléopâtre en 30 av. J.‑C., moment où les Romains prendront le relais. Ils contrôlaient le pays lorsque Marie et Joseph s'y sont réfugiés après la naissance de Jésus. Pendant la période gréco-romaine, la culture hellénistique dominera en Égypte.</w:t>
      </w:r>
    </w:p>
    <w:p>
      <w:r/>
      <w:r>
        <w:t>Au début de la période post-impériale, lorsque la culture égyptienne était encore dominante, plusieurs rois ont joué un rôle dans l'histoire biblique. Pendant la cinquième année de Roboam, roi de Juda (probablement 926 av. J.‑C.), Schischak 1er d'Égypte a envahi Juda et y a causé de grands ravages (</w:t>
      </w:r>
      <w:hyperlink r:id="rId3923">
        <w:r>
          <w:rPr>
            <w:color w:val="0000EE"/>
            <w:u w:val="single"/>
          </w:rPr>
          <w:t>1R 14.25–26</w:t>
        </w:r>
      </w:hyperlink>
      <w:r>
        <w:t>). Il a même marché dans le territoire d'Israël, comme le montrent les découvertes archéologiques. Vers 700 av. J.‑C., à l'époque du roi Ézéchias et du prophète Ésaïe, Tirhaka d'Éthiopie a mené une armée en Palestine pour aider les Juifs contre les Assyriens envahisseurs (</w:t>
      </w:r>
      <w:hyperlink r:id="rId2562">
        <w:r>
          <w:rPr>
            <w:color w:val="0000EE"/>
            <w:u w:val="single"/>
          </w:rPr>
          <w:t>2R 19.9</w:t>
        </w:r>
      </w:hyperlink>
      <w:r>
        <w:t>). Vers la fin du 7e siècle av. J.‑C., le Pharaon Néco a mené une armée à travers Juda pour venir en aide à l'Assyrie affaiblie. Lorsque le roi Josias a tenté de l'arrêter, le monarque hébreu a perdu la vie (</w:t>
      </w:r>
      <w:hyperlink r:id="rId4581">
        <w:r>
          <w:rPr>
            <w:color w:val="0000EE"/>
            <w:u w:val="single"/>
          </w:rPr>
          <w:t>2R 23.28–30</w:t>
        </w:r>
      </w:hyperlink>
      <w:r>
        <w:t>). Pendant les derniers jours du royaume de Juda, alors que Nebucadnetsar assiégeait Jérusalem (588–586 av. J.‑C.), le Pharaon Hophra a envahi la Palestine dans un effort vain pour aider les Hébreux et vaincre les Babyloniens. Jérémie a prédit la destruction des Égyptiens (</w:t>
      </w:r>
      <w:hyperlink r:id="rId4582">
        <w:r>
          <w:rPr>
            <w:color w:val="0000EE"/>
            <w:u w:val="single"/>
          </w:rPr>
          <w:t>Jr 44.30</w:t>
        </w:r>
      </w:hyperlink>
      <w:r>
        <w:t>).</w:t>
      </w:r>
    </w:p>
    <w:p>
      <w:pPr>
        <w:pStyle w:val="Heading3"/>
      </w:pPr>
      <w:r>
        <w:t>Vie sociale</w:t>
      </w:r>
    </w:p>
    <w:p>
      <w:pPr>
        <w:pStyle w:val="Heading4"/>
      </w:pPr>
      <w:r>
        <w:t>Classes sociales</w:t>
      </w:r>
    </w:p>
    <w:p>
      <w:r/>
      <w:r>
        <w:t>En théorie et en pratique, le roi possédait toutes les terres d'Égypte. Il était divin, et les dieux lui avaient attribué les titres de propriété de toutes les terres. Bien entendu, il faisait des dons : aux dieux pour le soutien des temples, à ses partisans les plus fidèles, et pour l'entretien de son propre culte après sa mort. Ainsi, de grandes parties du royaume échappaient à son contrôle, mais beaucoup restaient la possession de la couronne. Bien qu'au début du Moyen Empire, les nobles détenaient de vastes étendues de terre, le roi réussissait à garder leur pouvoir à portée de bras et à récupérer une quantité considérable de terres. Pendant l'Empire, le roi fera de grandes donations aux temples, en particulier au temple d'Amon à Thèbes. Cette générosité renforcera le pouvoir du clergé au détriment de la couronne.</w:t>
      </w:r>
    </w:p>
    <w:p>
      <w:r/>
      <w:r>
        <w:t>À mesure que des quantités croissantes de terres échappaient au contrôle de la couronne et que la vie sociale et économique devenait plus complexe, une structure de classe complexe s'est développée. La principale division dans la société égyptienne était entre l'élite éduquée et les masses non éduquées, mais une telle observation est trop simpliste. Au sommet se trouvaient la famille royale et les grands nobles. En dessous d'eux se trouvait un groupe de nobles et d'officiers de rang inférieur. Plus bas encore se trouvait une classe d'artisans qui servaient les deux classes supérieures. Ensuite, au moins pendant l'Empire, il y avait des agriculteurs qui possédaient de petites parcelles qu'ils cultivaient eux-mêmes. Au bas de la structure sociale se trouvaient des serfs libres et des esclaves. L'esclavage est devenu courant uniquement sous l'Empire, lorsque les esclaves étaient obtenus comme prisonniers de guerre, principalement en Palestine et en Syrie au nord et en Nubie au sud. Certains esclaves se sont frayé une place dans le service domestique dans les palais et sur les grands domaines, mais la plupart d'entre eux travaillaient la terre et certains servaient dans les mines. L'esclavage n'a jamais été aussi important en Égypte que dans d'autres pays du Proche-Orient.</w:t>
      </w:r>
    </w:p>
    <w:p>
      <w:pPr>
        <w:pStyle w:val="Heading4"/>
      </w:pPr>
      <w:r>
        <w:t>Vie de famille</w:t>
      </w:r>
    </w:p>
    <w:p>
      <w:r/>
      <w:r>
        <w:t>Il semble que les Égyptiens se mariaient au début de l'adolescence. Les enfants étaient sevrés à trois ans. Les garçons étaient circoncis entre l'âge de 6 et 12 ans. Bien que l'éducation soit conçue pour les garçons des classes supérieures, les filles (surtout celles des familles royales) recevaient fréquemment une certaine éducation formelle. Les femmes égyptiennes jouissaient apparemment d'une liberté et d'un prestige bien plus grands que les femmes d'autres pays du Proche-Orient. Elles circulaient assez librement et accompagnaient leurs maris dans la conduite des affaires et même lors d'événements sociaux. La famille pouvait même accompagner le mari et le père lors d'une sortie quand il allait pêcher ou chasser, bien qu'ils ne participaient pas à l'activité en elle-même. Les Égyptiens n'étaient normalement pas monogames, la taille du harem étant dictée par des considérations économiques. Cependant, le statut de l'épouse principale était protégé, et son premier fils était l'héritier de son mari. Les professions ouvertes aux femmes comprenaient le sacerdoce, la maïeutique, le deuil, la danse, et peut-être l'activité de scribe (il existait un mot féminin pour scribe).</w:t>
      </w:r>
    </w:p>
    <w:p>
      <w:r/>
      <w:r>
        <w:t>Le mobilier était modeste dans une maison égyptienne. Les lits, chaises, tabourets, repose-pieds et supports pour cruches d'eau semblent avoir été les principaux éléments. Il ne semble pas y avoir de tables à manger ; il y avait des supports sur lesquels des plateaux de nourriture pouvaient être placés. Les pauvres s'asseyaient simplement par terre, dormaient sur des nattes au sol et étalaient leurs repas par terre.</w:t>
      </w:r>
    </w:p>
    <w:p>
      <w:r/>
      <w:r>
        <w:t>Les maisons étaient généralement construites en briques de terre crue. Celles des riches se trouvaient au milieu de jardins et comportaient souvent des bassins décoratifs. Les pièces pouvaient être peintes à l'intérieur et même ornées de fresques. Les toits étaient plats et offraient une chambre supplémentaire pendant les mois les plus chauds. Les maisons avaient parfois un deuxième étage. Bien que des vestiges de deux ou trois villages d'ouvriers sur des projets gouvernementaux aient été découverts, on ne sait pratiquement rien de la disposition ou de la taille des grandes villes de l'Égypte ancienne.</w:t>
      </w:r>
    </w:p>
    <w:p>
      <w:pPr>
        <w:pStyle w:val="Heading4"/>
      </w:pPr>
      <w:r>
        <w:t>Vêtements</w:t>
      </w:r>
    </w:p>
    <w:p>
      <w:r/>
      <w:r>
        <w:t>Les femmes portaient de longs vêtements en lin allant des aisselles aux chevilles, maintenus par des bretelles sur les épaules. Pendant la période de l'Empire, la jupe était plus ample et plissée. Les hommes portaient des pagnes attachés avec une ceinture et descendant jusqu'aux genoux. Les classes supérieures le portaient souvent plissé à l'avant. Pendant le Moyen Empire et la dernière partie de l'Empire, le pagne était allongé jusqu'au milieu du mollet, et les hommes portaient parfois aussi une tunique à manches courtes. Sous l'influence asiatique, les Égyptiens des classes supérieures portaient fréquemment des vêtements colorés pendant l'Empire, au lieu du blanc dominant des autres périodes.</w:t>
      </w:r>
    </w:p>
    <w:p>
      <w:r/>
      <w:r>
        <w:t>Les hommes étaient rasés de près, mais le roi et quelques hauts fonctionnaires portaient de fausses barbes à des fins cérémonielles. Les hommes et les femmes portaient des perruques et utilisaient du fard à paupières à des fins médicinales et décoratives. Les femmes portaient du rouge à lèvres et du fard à joues et appliquaient du henné sur leurs ongles, les paumes de leurs mains et la plante de leurs pieds. Les hommes et les femmes des classes supérieures portaient une variété de bijoux. Les gens de toutes les classes appliquaient des huiles et des graisses sur leur peau pour se protéger du climat chaud et sec. L'utilisation de parfum était également universelle.</w:t>
      </w:r>
    </w:p>
    <w:p>
      <w:pPr>
        <w:pStyle w:val="Heading4"/>
      </w:pPr>
      <w:r>
        <w:t>Divertissement</w:t>
      </w:r>
    </w:p>
    <w:p>
      <w:r/>
      <w:r>
        <w:t>Il n'y avait pas de jeux organisés dans l'Égypte ancienne. Les sportifs sortaient seuls ou avec leurs familles. Ils pouvaient chasser dans le désert avec des arcs, des flèches et des chiens, aller à la pêche, tenter d'abattre des oiseaux avec un boomerang dans un marais, ou conduire un char. Les garçons et les jeunes hommes parmi les paysans appréciaient particulièrement la lutte. Les soldats participaient à des danses de guerre, qui constituaient une forme d'exercice physique. Un jeu semblable aux dames était le principal jeu d'intérieur pour les hommes et les femmes.</w:t>
      </w:r>
    </w:p>
    <w:p>
      <w:pPr>
        <w:pStyle w:val="Heading4"/>
      </w:pPr>
      <w:r>
        <w:t>Droit et châtiment</w:t>
      </w:r>
    </w:p>
    <w:p>
      <w:r/>
      <w:r>
        <w:t>Le roi était considéré comme la source de toute loi, et il semble qu'il n'existait pas de code écrit auquel tous pouvaient se référer. Les tribunaux suivaient les précédents établis dans les affaires passées, et périodiquement le roi modifiait le système juridique par de nouveaux édits. La procédure dans les tribunaux impliquait l'administration d'un serment de vérité, des discours par l'accusateur et l'accusé, le jugement du tribunal, et la prise de notes par un greffier. Dans certains cas, la torture était utilisée pour obtenir des aveux.</w:t>
      </w:r>
    </w:p>
    <w:p>
      <w:r/>
      <w:r>
        <w:t>La trahison, le meurtre et le parjure figuraient parmi les crimes capitaux. Ce dernier était particulièrement grave parce que le serment du tribunal était prêté « par la vie de Pharaon » ; ainsi, jurer faussement signifiait porter atteinte au roi. D'autres crimes graves étaient punis par la mutilation (couper le nez ou les oreilles) ou par des travaux forcés dans les mines et carrières (une mort vivante). Une personne reconnue coupable de vol pouvait être condamnée à rembourser le double ou le triple de ce qu'elle avait pris. Les coups constituaient la punition habituelle pour les infractions mineures. Pendant l'Empire, l'Égypte disposait d'une sorte de force de police avec un contingent dans chaque ville.</w:t>
      </w:r>
    </w:p>
    <w:p>
      <w:pPr>
        <w:pStyle w:val="Heading3"/>
      </w:pPr>
      <w:r>
        <w:t>Religion</w:t>
      </w:r>
    </w:p>
    <w:p>
      <w:r/>
      <w:r>
        <w:t>Toute la vie égyptienne était liée à des considérations religieuses. En tant que « don du Nil », l'Égypte vénérait le grand fleuve sous le nom de Hapi. Le soleil, qui donnait vie à toutes choses, était déifié sous des noms tels qu'Amon-Rê et Aton. Le roi était la progéniture des dieux et était en quelque sorte un dieu incarné. Les dix plaies du temps de Moïse étaient une attaque contre les dieux des Égyptiens. Transformer le Nil en sang, apporter une obscurité intense sur le pays et frapper le premier-né du divin Pharaon impliquaient un discrédit des dieux égyptiens, tout comme les autres plaies de diverses manières.</w:t>
      </w:r>
    </w:p>
    <w:p>
      <w:r/>
      <w:r>
        <w:t>La principale préoccupation de tous les individus était l'immortalité et la bénédiction des dieux dans l'au-delà. Les Égyptiens n'avaient pas une préoccupation morbide pour la mort ; ils cherchaient à prolonger ou à continuer autant que possible les aspects agréables de cette vie dans l'au-delà.</w:t>
      </w:r>
    </w:p>
    <w:p>
      <w:r/>
      <w:r>
        <w:t>Les anciens Égyptiens, contrairement aux peuples occidentaux modernes, n'avaient aucune notion d'un monde inanimé. Tous les phénomènes naturels étaient personnalisés et agissaient comme des êtres amicaux ou hostiles chaque fois qu'ils affectaient l'activité humaine. Les dieux étaient considérés comme les patrons de diverses activités ou fonctions. Ainsi, Bes, un nain aux jambes arquées, était le patron de la musique et de la danse, et la déesse Taurt (une combinaison d'hippopotame, de lionne et de crocodile) était associée à l'accouchement. Des charmes de ces deux-là étaient fabriqués en abondance, et ils semblent avoir été plus largement considérés parmi les masses que les principaux dieux d'Égypte.</w:t>
      </w:r>
    </w:p>
    <w:p>
      <w:r/>
      <w:r>
        <w:t>Le plus important de tous les dieux était Rê, ou Ra, le dieu du soleil. Le Pharaon était son fils physique et son incarnation terrestre. À sa mort, il rejoignait son divin Père dans le ciel. Rê engendra le dieu Shou, personnification de l'air, et la déesse Tefnout, personnification de l'humidité. Ceux-ci donnèrent naissance à deux enfants, Geb, le dieu de la terre, et Nout, la déesse du ciel. Les légendes présentent différentes histoires de la création de l'humanité. Une légende raconte que Rê les a générés avec ses larmes ; une autre dit que Khnum les a formés sur son tour de potier. Pendant l'Empire, le dieu de Thèbes, Amon, sera identifié à Rê, et le dieu du soleil est dès lors connu sous le nom d'Amon-Rê. La grande triade de Thèbes était Amon, sa compagne Mout, et leur fils Khonsou (le dieu de la lune).</w:t>
      </w:r>
    </w:p>
    <w:p>
      <w:r/>
      <w:r>
        <w:t>Rivalisant avec Amon-Rê en importance, Osiris était le dieu (roi) des morts. La légende raconte que le bienveillant souverain Osiris fut assassiné par son frère et ramené à la vie par sa femme, Isis, grâce à divers dispositifs magiques. Par la suite, il régna à l'ouest en tant que roi des morts bienheureux. Enfin, l'expérience d'Osiris est devenue celle de chaque être humain. Grâce à des formules magiques similaires à celles utilisées par Isis, l'individu pouvait venir à Osiris et même, en quelque sorte, devenir Osiris. En plus de connaître et de prononcer ces formules, l'individu devait se présenter à un jugement pour la pesée de son cœur dans la balance de la justice. S'il était déclaré innocent de méfaits, il était autorisé à entrer dans le royaume d'Osiris et à jouir d'un au-delà bienheureux.</w:t>
      </w:r>
    </w:p>
    <w:p>
      <w:r/>
      <w:r>
        <w:t>Certaines de ces notions sur le passage à la vie suivante ont commencé à apparaître sur les murs des tombes pyramidales de l'Ancien Empire (« textes des pyramides »). Pendant le Moyen Empire, elles ont été enregistrées sur des cercueils (« textes des cercueils »). Pendant l'Empire, elles ont été compilées sous le nom de « Livre des Morts ». Des parties ont continué à être inscrites sur les murs des tombes de la période de l'Empire jusqu'à environ 300 apr. J.‑C.</w:t>
      </w:r>
    </w:p>
    <w:p>
      <w:pPr>
        <w:pStyle w:val="Heading3"/>
      </w:pPr>
      <w:r>
        <w:t>Éducation et culture</w:t>
      </w:r>
    </w:p>
    <w:p>
      <w:pPr>
        <w:pStyle w:val="Heading4"/>
      </w:pPr>
      <w:r>
        <w:t>Langue et écriture</w:t>
      </w:r>
    </w:p>
    <w:p>
      <w:r/>
      <w:r>
        <w:t>L'égyptien ancien était lié aux langues sémitiques et hamitiques. Vers 311 av. J.‑C., les hiéroglyphes (caractères picturaux utilisés dans les inscriptions et l'écriture plus formelle) et l'écriture hiératique (une écriture plus cursive) étaient tous deux en usage. Les hiéroglyphes pouvaient représenter une lettre, une syllabe, un son, un mot ou une idée. François Champollion a réussi à déchiffrer les hiéroglyphes en 1822, principalement grâce à l'aide de la pierre de Rosette. Vers 700 av. J.‑C., une écriture plus rapide appelée démotique est apparue et a continué à être utilisée jusqu'au début de l'ère chrétienne. Par la suite, le copte, la langue égyptienne ancienne, a commencé à être écrit en alphabet grec avec quelques lettres supplémentaires.</w:t>
      </w:r>
    </w:p>
    <w:p>
      <w:pPr>
        <w:pStyle w:val="Heading4"/>
      </w:pPr>
      <w:r>
        <w:t>Éducation</w:t>
      </w:r>
    </w:p>
    <w:p>
      <w:r/>
      <w:r>
        <w:t>L'éducation égyptienne, accessible presque exclusivement aux garçons de la haute société, était conçue pour former des officiels destinés au sacredoce, à l'administration gouvernementales ou aux professions. Peu avaient la chance de recevoir une quelconque éducation. Les garçons commençaient leur formation à un jeune âge, généralement vers l'âge de quatre ans. Les cours débutaient tôt le matin et se terminaient normalement vers midi, afin d'éviter la chaleur de la journée. La lecture, l'écriture et l'arithmétique constituaient le programme standard. Une bonne écriture et la capacité à rédiger des lettres étaient essentielles pour tous les officiels de la société. L'éloquence était également mise en valeur. L'apprentissage par imitation se faisait en copiant des échantillons d'écriture et des lettres modèles. Des morceaux de pierre et des tessons de poterie servaient de tablettes d'écriture peu coûteuses, le papyrus étant réservé aux brouillons finaux des compositions importantes. La connaissance de l'arithmétique était particulièrement importante pour les travailleurs des bureaux gouvernementaux où les taxes étaient collectées en nature.</w:t>
      </w:r>
    </w:p>
    <w:p>
      <w:r/>
      <w:r>
        <w:t>La forme d'éducation la plus élevée était la formation sacerdotale, et un prince pouvait s'inscrire dans une école pour prêtres. Cependant, il était souvent éduqué par des tuteurs dans des cours tenus au palais. Ces cours étaient généralement conçus pour les enfants du harem ; les princesses et les enfants non royaux pouvaient également y assister.</w:t>
      </w:r>
    </w:p>
    <w:p>
      <w:r/>
      <w:r>
        <w:t>Après l'école primaire, un garçon pouvait fréquenter une « Maison de Vie », une sorte d'académie ou de collège supérieur. Là, des personnes remarquables pouvaient donner des conférences sur une variété de sujets, y compris la médecine. Ressemblant probablement à l'académie de Platon à Athènes, ces « Maisons » n'avaient pas de programme prescrit ni d'examens réguliers. Elles étaient équipées de bibliothèques.</w:t>
      </w:r>
    </w:p>
    <w:p>
      <w:pPr>
        <w:pStyle w:val="Heading4"/>
      </w:pPr>
      <w:r>
        <w:t>Science</w:t>
      </w:r>
    </w:p>
    <w:p>
      <w:r/>
      <w:r>
        <w:t>Les Égyptiens antiques excellaient en mathématiques appliquées, en astronomie et en médecine. La crue annuelle du Nil nécessitait un développement précoce de la capacité à réarpenter rapidement les terres après le retrait des eaux. Des compétences en ingénierie étaient nécessaires pour produire le système d'irrigation dont dépendait toute la vie égyptienne. De plus, leurs projets de construction massifs nécessitaient une connaissance des mathématiques. Les Égyptiens pouvaient additionner et soustraire, mais avaient des procédures complexes pour la multiplication et la division. Ils savaient calculer la surface d'un carré, d'un triangle, d'un rectangle et d'un cercle, et pouvaient réaliser des exercices simples de géométrie. On pense que l'expérience, plutôt que la capacité de raisonnement mathématique, était responsable de la plupart de leurs succès mathématiques. Ils comprenaient que le calendrier devait avoir 365¼ jours et divisaient l'année en douze mois, et les mois en trois semaines de dix jours. Dès 2 000 av. J.‑C., ils avaient inventé une horloge à eau adéquate.</w:t>
      </w:r>
    </w:p>
    <w:p>
      <w:r/>
      <w:r>
        <w:t>Avec leur pratique élaborée de l'embaumement, on pourrait s'attendre à ce que leur connaissance de l'anatomie soit supérieure. Ils distinguaient entre blessures et maladies et réalisaient des opérations chirurgicales remarquables. Le traitement était cependant une combinaison curieuse d'efforts scientifiques et superstitieux. Les scientifiques égyptiens, motivés par des raisons pratiques plutôt que théoriques, ont amassé une vaste collection de connaissances en astronomie, en chimie, en géographie, en médecine, en chirurgie, en mathématiques et en histoire naturelle.</w:t>
      </w:r>
    </w:p>
    <w:p>
      <w:pPr>
        <w:pStyle w:val="Heading4"/>
      </w:pPr>
      <w:r>
        <w:t>Architecture</w:t>
      </w:r>
    </w:p>
    <w:p>
      <w:r/>
      <w:r>
        <w:t>Alors que les anciens Égyptiens construisaient leurs grands temples, ils se préoccupaient surtout de la stabilité et des qualités durables. Ils étaient conçus pour durer éternellement. Ils étaient donc faits de pierre (généralement de calcaire ou de grès) et couverts de grandes dalles de pierre soutenues par des colonnes massives. Les chapiteaux étaient généralement de conception lotus, papyrus ou feuille de palmier. De grandes statues de rois étaient placées à l'intérieur de ces temples ; en tant que simples décorations architecturales, ces sculptures apparaissent rigides et formelles. La lumière pénétrait dans le temple par des fenêtres sur le côté de la salle centrale surélevée ; les bas-côtés étaient plus bas. Bien que les toits de ces temples soient plats, les Égyptiens savaient comment construire une arche ronde dès 2700 av. J.‑C. Le plus grand des temples restants est le temple de Karnak à Louxor. Sa salle hypostyle, construite par Ramsès II, possède une forêt de 134 colonnes de grès, dont l'avenue centrale compte douze colonnes qui s'élèvent à une hauteur d'environ 20 m, les plus hautes colonnes du monde antique.</w:t>
      </w:r>
    </w:p>
    <w:p>
      <w:r/>
      <w:r>
        <w:t>Les pharaons de l'Ancien Empire ont construit de grandes pyramides comme lieux de sépulture le long de la rive ouest du Nil, au sud de Memphis. Les pharaons du Moyen Empire ont érigé des pyramides plus petites dans la région du Fayoum. Pendant la période de l'Empire, ils ont creusé des tombes dans les falaises à l'ouest de Thèbes. En tant qu'êtres divins, les pharaons ont couvert les murs de leurs tombes à Thèbes de scènes religieuses. Les nobles ont fait décorer leurs tombes avec des scènes de la vie quotidienne, une vie qu'ils souhaitaient perpétuer au-delà de la tombe.</w:t>
      </w:r>
    </w:p>
    <w:p>
      <w:r/>
      <w:r>
        <w:t>Les maisons étaient construites en briques séchées au soleil ; quelques-unes subsistent à Amarna et dans certains camps de travailleurs abandonnés.</w:t>
      </w:r>
    </w:p>
    <w:p>
      <w:pPr>
        <w:pStyle w:val="Heading4"/>
      </w:pPr>
      <w:r>
        <w:t>Musique</w:t>
      </w:r>
    </w:p>
    <w:p>
      <w:r/>
      <w:r>
        <w:t xml:space="preserve">Tout ce que l'on sait de la musique égyptienne est déduit des instruments de musique trouvés dans les tombes ou des représentations d'instruments de musique peintes sur les murs des tombes. Trois instruments utilisés dans les exercices religieux étaient le sistre, le tambourin et les castagnettes. Le sistre était une boucle métallique fixée à un manche. Des trous étaient découpés sur les côtés de la boucle pour que trois tiges métalliques puissent y être fixées de manière lâche. Lorsque le sistre était secoué, les tiges cliquetaient. Il s'agit de l'instrument mentionné dans </w:t>
      </w:r>
      <w:hyperlink r:id="rId4583">
        <w:r>
          <w:rPr>
            <w:color w:val="0000EE"/>
            <w:u w:val="single"/>
          </w:rPr>
          <w:t>2 Samuel 6.5</w:t>
        </w:r>
      </w:hyperlink>
      <w:r>
        <w:t>. Miriam a utilisé le tambour égyptien, ou tambourin, lors de la célébration après avoir traversé la mer Rouge (</w:t>
      </w:r>
      <w:hyperlink r:id="rId3652">
        <w:r>
          <w:rPr>
            <w:color w:val="0000EE"/>
            <w:u w:val="single"/>
          </w:rPr>
          <w:t>Ex 15.20</w:t>
        </w:r>
      </w:hyperlink>
      <w:r>
        <w:t>).</w:t>
      </w:r>
    </w:p>
    <w:p>
      <w:r/>
      <w:r>
        <w:t>Les instruments à cordes dans l'Égypte ancienne comprenaient la harpe, la lyre, le luth et une sorte de guitare. Les instruments à vent comprenaient la flûte simple et double ainsi que la trompette, cette dernière étant apparemment utilisée uniquement à des fins militaires. Au début, les instruments étaient utilisés individuellement pour accompagner un chanteur ou un danseur. Des orchestres existaient pendant la période de l'Empire, lorsqu'Israël s'est enfui de la servitude égyptienne.</w:t>
      </w:r>
    </w:p>
    <w:p>
      <w:r/>
      <w:r>
        <w:rPr>
          <w:i/>
        </w:rPr>
        <w:t>Voir aussi</w:t>
      </w:r>
      <w:r>
        <w:t xml:space="preserve"> </w:t>
      </w:r>
      <w:r>
        <w:t>Exode</w:t>
      </w:r>
      <w:r>
        <w:t xml:space="preserve"> ; </w:t>
      </w:r>
      <w:r>
        <w:t>Pharaon</w:t>
      </w:r>
      <w:r>
        <w:t xml:space="preserve"> ; </w:t>
      </w:r>
      <w:r>
        <w:t>Plaies d'Égypte</w:t>
      </w:r>
      <w:r>
        <w:t>.</w:t>
      </w:r>
      <w:r/>
      <w:r/>
    </w:p>
    <w:p>
      <w:r/>
    </w:p>
    <w:p>
      <w:pPr>
        <w:pStyle w:val="Heading2"/>
      </w:pPr>
      <w:r>
        <w:t>Éhi</w:t>
      </w:r>
      <w:r/>
    </w:p>
    <w:p>
      <w:r/>
      <w:r>
        <w:t>Fils de Benjamin (</w:t>
      </w:r>
      <w:hyperlink r:id="rId123">
        <w:r>
          <w:rPr>
            <w:color w:val="0000EE"/>
            <w:u w:val="single"/>
          </w:rPr>
          <w:t>Gn 46.21</w:t>
        </w:r>
      </w:hyperlink>
      <w:r>
        <w:t xml:space="preserve">) ; il s'agit peut-être une erreur de scribe pour Achiram. </w:t>
      </w:r>
      <w:r>
        <w:rPr>
          <w:i/>
        </w:rPr>
        <w:t>Voir</w:t>
      </w:r>
      <w:r>
        <w:t xml:space="preserve"> </w:t>
      </w:r>
      <w:r>
        <w:t>Achiram, Ahiramite</w:t>
      </w:r>
      <w:r>
        <w:t>.</w:t>
      </w:r>
      <w:r/>
      <w:r/>
    </w:p>
    <w:p>
      <w:r/>
    </w:p>
    <w:p>
      <w:pPr>
        <w:pStyle w:val="Heading2"/>
      </w:pPr>
      <w:r>
        <w:t>El</w:t>
      </w:r>
      <w:r/>
    </w:p>
    <w:p>
      <w:r/>
      <w:r>
        <w:t xml:space="preserve">Nom sémitique ancien pour une divinité, signifiant peut-être « pouvoir » (voir </w:t>
      </w:r>
      <w:hyperlink r:id="rId551">
        <w:r>
          <w:rPr>
            <w:color w:val="0000EE"/>
            <w:u w:val="single"/>
          </w:rPr>
          <w:t>Gn 17.1</w:t>
        </w:r>
      </w:hyperlink>
      <w:r>
        <w:t>). Un terme utilisé par les Hébreux généralement dans un sens poétique pour désigner le vrai Dieu d'Israël. Le même mot était utilisé pour le principal dieu cananéen et le dieu dans la mythologie ougaritique (lié à l'ancienne ville d'Ougarit). Le « Il » ou « El » de la mythologie cananéenne ancienne (antérieur à 3 500 av. J.‑C. dans la région de Syrie) n'était pas aussi actif que le dieu Baal. Baal luttait contre la Mort et triomphait du Chaos. (La Mort et le Chaos représentent souvent des forces cosmiques puissantes dans la mythologie.)</w:t>
      </w:r>
    </w:p>
    <w:p>
      <w:r/>
      <w:r>
        <w:t>Le dieu Il était toutefois le dieu Père du panthéon cananéen, (le groupe collectif de dieux vénérés par les Cananéens). Certains spécialistes de l'Ancien Testament ont suggéré que les Hébreux ont adopté les dieux claniques des Cananéens, incluant le dieu Il. Cependant, la littérature phénicienne et ougaritique utilise « Il » sous forme féminine pour les noms de déesses. L'hébreu évite un tel emploi.</w:t>
      </w:r>
    </w:p>
    <w:p>
      <w:r/>
      <w:r>
        <w:t>El est combiné avec d'autres adjectifs pour décrire les nombreux attributs de Dieu : par exemple, Dieu Très-Haut (</w:t>
      </w:r>
      <w:hyperlink r:id="rId4584">
        <w:r>
          <w:rPr>
            <w:color w:val="0000EE"/>
            <w:u w:val="single"/>
          </w:rPr>
          <w:t>Gn 14.18–24</w:t>
        </w:r>
      </w:hyperlink>
      <w:r>
        <w:t>), le Dieu qui voit (</w:t>
      </w:r>
      <w:hyperlink r:id="rId3971">
        <w:r>
          <w:rPr>
            <w:color w:val="0000EE"/>
            <w:u w:val="single"/>
          </w:rPr>
          <w:t>16.13</w:t>
        </w:r>
      </w:hyperlink>
      <w:r>
        <w:t>), le Dieu jaloux (</w:t>
      </w:r>
      <w:hyperlink r:id="rId4585">
        <w:r>
          <w:rPr>
            <w:color w:val="0000EE"/>
            <w:u w:val="single"/>
          </w:rPr>
          <w:t>Ex 20.5</w:t>
        </w:r>
      </w:hyperlink>
      <w:r>
        <w:t>), le Dieu qui pardonne (</w:t>
      </w:r>
      <w:hyperlink r:id="rId4586">
        <w:r>
          <w:rPr>
            <w:color w:val="0000EE"/>
            <w:u w:val="single"/>
          </w:rPr>
          <w:t>Ne 9.17</w:t>
        </w:r>
      </w:hyperlink>
      <w:r>
        <w:t xml:space="preserve">), et le Dieu gracieux (v. </w:t>
      </w:r>
      <w:hyperlink r:id="rId4587">
        <w:r>
          <w:rPr>
            <w:color w:val="0000EE"/>
            <w:u w:val="single"/>
          </w:rPr>
          <w:t>31</w:t>
        </w:r>
      </w:hyperlink>
      <w:r>
        <w:t>).</w:t>
      </w:r>
    </w:p>
    <w:p>
      <w:r/>
      <w:r>
        <w:rPr>
          <w:i/>
        </w:rPr>
        <w:t>Voir aussi</w:t>
      </w:r>
      <w:r>
        <w:t xml:space="preserve"> </w:t>
      </w:r>
      <w:r>
        <w:t>Divinités et religion cananéennes</w:t>
      </w:r>
      <w:r>
        <w:t xml:space="preserve"> ; </w:t>
      </w:r>
      <w:r>
        <w:t>Dieu, Noms de</w:t>
      </w:r>
      <w:r>
        <w:t>.</w:t>
      </w:r>
      <w:r/>
      <w:r/>
    </w:p>
    <w:p>
      <w:r/>
    </w:p>
    <w:p>
      <w:pPr>
        <w:pStyle w:val="Heading2"/>
      </w:pPr>
      <w:r>
        <w:t>Éla</w:t>
      </w:r>
      <w:r/>
    </w:p>
    <w:p>
      <w:r/>
      <w:r>
        <w:t>1. Descendant d'Ésaü et un chef d'Édom (</w:t>
      </w:r>
      <w:hyperlink r:id="rId4588">
        <w:r>
          <w:rPr>
            <w:color w:val="0000EE"/>
            <w:u w:val="single"/>
          </w:rPr>
          <w:t>Gn 36.41</w:t>
        </w:r>
      </w:hyperlink>
      <w:r>
        <w:t xml:space="preserve"> ; </w:t>
      </w:r>
      <w:hyperlink r:id="rId4589">
        <w:r>
          <w:rPr>
            <w:color w:val="0000EE"/>
            <w:u w:val="single"/>
          </w:rPr>
          <w:t>1Ch 1.52</w:t>
        </w:r>
      </w:hyperlink>
      <w:r>
        <w:t>).</w:t>
      </w:r>
    </w:p>
    <w:p>
      <w:r/>
      <w:r>
        <w:t xml:space="preserve">2. Père de Schimeï, dans </w:t>
      </w:r>
      <w:hyperlink r:id="rId1775">
        <w:r>
          <w:rPr>
            <w:color w:val="0000EE"/>
            <w:u w:val="single"/>
          </w:rPr>
          <w:t>1 Rois 4.18</w:t>
        </w:r>
      </w:hyperlink>
      <w:r>
        <w:t>.</w:t>
      </w:r>
    </w:p>
    <w:p>
      <w:r/>
      <w:r>
        <w:t>3. Fils de Baescha et quatrième roi d'Israël. Éla a régné pendant seulement deux ans (886–885 av. J.‑C.). Lorsqu'il était en état d'ébriété, il a été assassiné par l'un de ses généraux (</w:t>
      </w:r>
      <w:hyperlink r:id="rId4590">
        <w:r>
          <w:rPr>
            <w:color w:val="0000EE"/>
            <w:u w:val="single"/>
          </w:rPr>
          <w:t>1R 16.8–14</w:t>
        </w:r>
      </w:hyperlink>
      <w:r>
        <w:t>).</w:t>
      </w:r>
    </w:p>
    <w:p>
      <w:r/>
      <w:r>
        <w:t>4. Père d'Osée, le dernier roi du royaume du nord d'Israël (</w:t>
      </w:r>
      <w:hyperlink r:id="rId4591">
        <w:r>
          <w:rPr>
            <w:color w:val="0000EE"/>
            <w:u w:val="single"/>
          </w:rPr>
          <w:t>2R 15.30</w:t>
        </w:r>
      </w:hyperlink>
      <w:r>
        <w:t xml:space="preserve"> ; </w:t>
      </w:r>
      <w:hyperlink r:id="rId4592">
        <w:r>
          <w:rPr>
            <w:color w:val="0000EE"/>
            <w:u w:val="single"/>
          </w:rPr>
          <w:t>17.1</w:t>
        </w:r>
      </w:hyperlink>
      <w:r>
        <w:t xml:space="preserve"> ; </w:t>
      </w:r>
      <w:hyperlink r:id="rId4593">
        <w:r>
          <w:rPr>
            <w:color w:val="0000EE"/>
            <w:u w:val="single"/>
          </w:rPr>
          <w:t>18.1, 9</w:t>
        </w:r>
      </w:hyperlink>
      <w:r>
        <w:t>).</w:t>
      </w:r>
    </w:p>
    <w:p>
      <w:r/>
      <w:r>
        <w:t>5. Le deuxième fils de Caleb et père de Kenaz (</w:t>
      </w:r>
      <w:hyperlink r:id="rId4594">
        <w:r>
          <w:rPr>
            <w:color w:val="0000EE"/>
            <w:u w:val="single"/>
          </w:rPr>
          <w:t>1Ch 4.15</w:t>
        </w:r>
      </w:hyperlink>
      <w:r>
        <w:t>).</w:t>
      </w:r>
    </w:p>
    <w:p>
      <w:r/>
      <w:r>
        <w:t>6. Fils d'Uzzi, descendant de Benjamin (</w:t>
      </w:r>
      <w:hyperlink r:id="rId4595">
        <w:r>
          <w:rPr>
            <w:color w:val="0000EE"/>
            <w:u w:val="single"/>
          </w:rPr>
          <w:t>1Ch 9.8</w:t>
        </w:r>
      </w:hyperlink>
      <w:r>
        <w:t xml:space="preserve">). Éla faisait partie des premiers à se réinstaller à Jérusalem après l'exil babylonien. Il n'est pas mentionné dans la liste parallèle de </w:t>
      </w:r>
      <w:hyperlink r:id="rId4596">
        <w:r>
          <w:rPr>
            <w:color w:val="0000EE"/>
            <w:u w:val="single"/>
          </w:rPr>
          <w:t>Né 11</w:t>
        </w:r>
      </w:hyperlink>
      <w:r>
        <w:t>.</w:t>
      </w:r>
      <w:r/>
      <w:r/>
    </w:p>
    <w:p>
      <w:r/>
    </w:p>
    <w:p>
      <w:pPr>
        <w:pStyle w:val="Heading2"/>
      </w:pPr>
      <w:r>
        <w:t>Élam (Lieu), Élamites</w:t>
      </w:r>
      <w:r/>
    </w:p>
    <w:p>
      <w:r/>
      <w:r>
        <w:t>Élam était une région d'une taille à peu près équivalente à celle du Danemark. Les Élamites en étaient les habitants.</w:t>
      </w:r>
    </w:p>
    <w:p>
      <w:pPr>
        <w:pStyle w:val="Heading3"/>
      </w:pPr>
      <w:r>
        <w:t>Où se trouvait Élam ?</w:t>
      </w:r>
    </w:p>
    <w:p>
      <w:r/>
      <w:r>
        <w:t>Élam se trouvait dans le sud-ouest de l'Asie, à l'est de la Babylonie et au nord du golfe Persique. La région s'étendait sur une vaste plaine aujourd'hui appelée Khuzistan, en Iran. Les montagnes au nord et à l'est, connues sous le nom de chaîne d'Anshan, faisaient également partie de l'Élam. La terre était propice à l'agriculture et à la vie, car elle était traversée par plusieurs rivières. La plus importante d'entre elles était le Karkheh, qui délimitait la frontière occidentale d'Élam.</w:t>
      </w:r>
    </w:p>
    <w:p>
      <w:pPr>
        <w:pStyle w:val="Heading3"/>
      </w:pPr>
      <w:r>
        <w:t>Qui étaient les Élamites ?</w:t>
      </w:r>
    </w:p>
    <w:p>
      <w:r/>
      <w:r>
        <w:t>Les Élamites étaient un peuple qui a vécu dans cette région pendant plus de deux mille ans. Durant cette période, ils se sont souvent affrontés avec les Sumériens, les Babyloniens, les Assyriens et les Perses. Ils ont fini par être intégrés à l'Empire perse. Le peuple élamite était composé de deux groupes différents :</w:t>
      </w:r>
    </w:p>
    <w:p>
      <w:pPr>
        <w:pStyle w:val="ListBullet"/>
        <w:spacing w:line="240" w:lineRule="auto"/>
        <w:ind w:left="720"/>
      </w:pPr>
      <w:r/>
      <w:r>
        <w:t>Les habitants originels de ce territoire, et</w:t>
      </w:r>
    </w:p>
    <w:p>
      <w:pPr>
        <w:pStyle w:val="ListBullet"/>
        <w:spacing w:line="240" w:lineRule="auto"/>
        <w:ind w:left="720"/>
      </w:pPr>
      <w:r/>
      <w:r>
        <w:t>Les personnes qui y ont déménagé depuis la Mésopotamie voisine (la terre entre les fleuves Hiddékel et Euphrate).</w:t>
      </w:r>
    </w:p>
    <w:p>
      <w:pPr>
        <w:pStyle w:val="Heading3"/>
      </w:pPr>
      <w:r>
        <w:t>Que nous dit la Bible sur Élam ?</w:t>
      </w:r>
    </w:p>
    <w:p>
      <w:r/>
      <w:r>
        <w:t>La plupart de ce que nous savons sur Élam provient de la Bible. Élam est mentionné en lien avec Sem (</w:t>
      </w:r>
      <w:hyperlink r:id="rId1416">
        <w:r>
          <w:rPr>
            <w:color w:val="0000EE"/>
            <w:u w:val="single"/>
          </w:rPr>
          <w:t>Gn 10.22</w:t>
        </w:r>
      </w:hyperlink>
      <w:r>
        <w:t>). Le livre des Actes rapporte que parmi les Israélites à Jérusalem pour la Fête de la Pentecôte, certains venaient de l'ancienne région d'Élam (</w:t>
      </w:r>
      <w:hyperlink r:id="rId4597">
        <w:r>
          <w:rPr>
            <w:color w:val="0000EE"/>
            <w:u w:val="single"/>
          </w:rPr>
          <w:t>Ac 2.9</w:t>
        </w:r>
      </w:hyperlink>
      <w:r>
        <w:t>). Le prophète Ésaïe a dit que les Juifs emmenés à Babylone reviendraient de plusieurs endroits, y compris Élam (</w:t>
      </w:r>
      <w:hyperlink r:id="rId4598">
        <w:r>
          <w:rPr>
            <w:color w:val="0000EE"/>
            <w:u w:val="single"/>
          </w:rPr>
          <w:t>Es 11.11</w:t>
        </w:r>
      </w:hyperlink>
      <w:r>
        <w:t>). Il s'agissait probablement de Juifs qui parlaient l'araméen et avaient choisi de rester en Élam même après que le roi Cyrus de Perse a dit qu'ils pouvaient rentrer chez eux (</w:t>
      </w:r>
      <w:hyperlink r:id="rId4599">
        <w:r>
          <w:rPr>
            <w:color w:val="0000EE"/>
            <w:u w:val="single"/>
          </w:rPr>
          <w:t>Esd 1.1–4</w:t>
        </w:r>
      </w:hyperlink>
      <w:r>
        <w:t>).</w:t>
      </w:r>
    </w:p>
    <w:p>
      <w:r/>
      <w:r>
        <w:t>La Bible mentionne également un roi élamite nommé Kedorlaomer (</w:t>
      </w:r>
      <w:hyperlink r:id="rId705">
        <w:r>
          <w:rPr>
            <w:color w:val="0000EE"/>
            <w:u w:val="single"/>
          </w:rPr>
          <w:t>Gn 14.1</w:t>
        </w:r>
      </w:hyperlink>
      <w:r>
        <w:t>). Les historiens ont découvert qu'il s'agit d'un véritable nom élamite, ce qui contribue à montrer que l'histoire dans la Genèse est historiquement précise. Daniel a eu une vision alors qu'il était dans une ville appelée Suse, en Élam (</w:t>
      </w:r>
      <w:hyperlink r:id="rId4600">
        <w:r>
          <w:rPr>
            <w:color w:val="0000EE"/>
            <w:u w:val="single"/>
          </w:rPr>
          <w:t>Dn 8.2</w:t>
        </w:r>
      </w:hyperlink>
      <w:r>
        <w:t>). La description de cet endroit montre que l'auteur du livre de Daniel connaissait très bien la région et ses rivières. Toutes ces mentions dans la Bible nous aident à en apprendre davantage sur le Proche-Orient Ancien, en plus de ce que nous savons d'autres écrits anciens.</w:t>
      </w:r>
    </w:p>
    <w:p>
      <w:r/>
      <w:r>
        <w:t>Au VIIe siècle av. J.‑C., Ésaïe a appelé Élam à aider à détruire Babylone. Il s'agissait d'un acte du jugement du Seigneur (</w:t>
      </w:r>
      <w:hyperlink r:id="rId4601">
        <w:r>
          <w:rPr>
            <w:color w:val="0000EE"/>
            <w:u w:val="single"/>
          </w:rPr>
          <w:t>Es 21.2</w:t>
        </w:r>
      </w:hyperlink>
      <w:r>
        <w:t>). Cependant, nous ne savons pas grand-chose sur ce qu'Élam a réellement fait lorsque Babylone est tombée en 540 av. J.‑C.</w:t>
      </w:r>
    </w:p>
    <w:p>
      <w:r/>
      <w:r>
        <w:t>Plusieurs prophètes ont averti qu'Élam ferait face au jugement de Dieu avec d'autres nations qui se sont rebellées contre lui (</w:t>
      </w:r>
      <w:hyperlink r:id="rId4602">
        <w:r>
          <w:rPr>
            <w:color w:val="0000EE"/>
            <w:u w:val="single"/>
          </w:rPr>
          <w:t>Jr 25.15</w:t>
        </w:r>
      </w:hyperlink>
      <w:hyperlink r:id="rId4599">
        <w:r>
          <w:rPr>
            <w:color w:val="0000EE"/>
            <w:u w:val="single"/>
          </w:rPr>
          <w:t>–</w:t>
        </w:r>
      </w:hyperlink>
      <w:hyperlink r:id="rId4602">
        <w:r>
          <w:rPr>
            <w:color w:val="0000EE"/>
            <w:u w:val="single"/>
          </w:rPr>
          <w:t>26</w:t>
        </w:r>
      </w:hyperlink>
      <w:r>
        <w:t>). Même si Élam était célèbre pour ses archers habiles, les prophètes ont annoncé que ces guerriers ne pourraient pas tenir tête à l'Éternel des armées (</w:t>
      </w:r>
      <w:hyperlink r:id="rId4603">
        <w:r>
          <w:rPr>
            <w:color w:val="0000EE"/>
            <w:u w:val="single"/>
          </w:rPr>
          <w:t>Es 22.6</w:t>
        </w:r>
      </w:hyperlink>
      <w:hyperlink r:id="rId4599">
        <w:r>
          <w:rPr>
            <w:color w:val="0000EE"/>
            <w:u w:val="single"/>
          </w:rPr>
          <w:t>–</w:t>
        </w:r>
      </w:hyperlink>
      <w:hyperlink r:id="rId4603">
        <w:r>
          <w:rPr>
            <w:color w:val="0000EE"/>
            <w:u w:val="single"/>
          </w:rPr>
          <w:t>12</w:t>
        </w:r>
      </w:hyperlink>
      <w:r>
        <w:t xml:space="preserve">; </w:t>
      </w:r>
      <w:hyperlink r:id="rId4604">
        <w:r>
          <w:rPr>
            <w:color w:val="0000EE"/>
            <w:u w:val="single"/>
          </w:rPr>
          <w:t>Jr 49.35</w:t>
        </w:r>
      </w:hyperlink>
      <w:r>
        <w:t xml:space="preserve">; </w:t>
      </w:r>
      <w:hyperlink r:id="rId4605">
        <w:r>
          <w:rPr>
            <w:color w:val="0000EE"/>
            <w:u w:val="single"/>
          </w:rPr>
          <w:t>Ez 32.24</w:t>
        </w:r>
      </w:hyperlink>
      <w:r>
        <w:t>). Le prophète Ézéchiel a parlé du terrible destin d'Élam, décrivant comment ils mourraient sans connaître Dieu (</w:t>
      </w:r>
      <w:hyperlink r:id="rId4606">
        <w:r>
          <w:rPr>
            <w:color w:val="0000EE"/>
            <w:u w:val="single"/>
          </w:rPr>
          <w:t>Ez 32.24</w:t>
        </w:r>
      </w:hyperlink>
      <w:hyperlink r:id="rId4599">
        <w:r>
          <w:rPr>
            <w:color w:val="0000EE"/>
            <w:u w:val="single"/>
          </w:rPr>
          <w:t>–</w:t>
        </w:r>
      </w:hyperlink>
      <w:hyperlink r:id="rId4606">
        <w:r>
          <w:rPr>
            <w:color w:val="0000EE"/>
            <w:u w:val="single"/>
          </w:rPr>
          <w:t>25</w:t>
        </w:r>
      </w:hyperlink>
      <w:r>
        <w:t>). Jérémie avertit les Élamites qu'ils ne peuvent échapper au jugement (</w:t>
      </w:r>
      <w:hyperlink r:id="rId4607">
        <w:r>
          <w:rPr>
            <w:color w:val="0000EE"/>
            <w:u w:val="single"/>
          </w:rPr>
          <w:t>Jr 49.38</w:t>
        </w:r>
      </w:hyperlink>
      <w:r>
        <w:t>).</w:t>
      </w:r>
    </w:p>
    <w:p>
      <w:pPr>
        <w:pStyle w:val="Heading3"/>
      </w:pPr>
      <w:r>
        <w:t>Quel est l'avenir d'Élam ?</w:t>
      </w:r>
    </w:p>
    <w:p>
      <w:r/>
      <w:r>
        <w:t xml:space="preserve">Mais il y avait aussi de l'espoir. Même si Élam serait complètement vaincu lorsque la Perse les conquérirait, ce ne serait pas leur fin définitive (v. </w:t>
      </w:r>
      <w:hyperlink r:id="rId4608">
        <w:r>
          <w:rPr>
            <w:color w:val="0000EE"/>
            <w:u w:val="single"/>
          </w:rPr>
          <w:t>39</w:t>
        </w:r>
      </w:hyperlink>
      <w:r>
        <w:t xml:space="preserve">). Jérémie a annoncé un temps où Dieu accorderait sa miséricorde aux descendants des Élamites. La perspective de la miséricorde future suit la phrase « </w:t>
      </w:r>
      <w:r>
        <w:t>dans la suite des temps</w:t>
      </w:r>
      <w:r>
        <w:t xml:space="preserve"> ». Jérémie parlait peut-être du temps du Messie, le chef choisi par Dieu. Certains pensent que Jérémie imaginait le jour de la Pentecôte, lorsque de nombreuses personnes d'Élam étaient à Jérusalem et ont reçu le Saint-Esprit de Dieu.</w:t>
      </w:r>
      <w:r/>
      <w:r/>
    </w:p>
    <w:p>
      <w:r/>
    </w:p>
    <w:p>
      <w:pPr>
        <w:pStyle w:val="Heading2"/>
      </w:pPr>
      <w:r>
        <w:t>Élam (Personne)</w:t>
      </w:r>
      <w:r/>
    </w:p>
    <w:p>
      <w:r/>
      <w:r>
        <w:t>1. Premier fils de Sem et petit-fils de Noé (</w:t>
      </w:r>
      <w:hyperlink r:id="rId1416">
        <w:r>
          <w:rPr>
            <w:color w:val="0000EE"/>
            <w:u w:val="single"/>
          </w:rPr>
          <w:t>Gn 10.22</w:t>
        </w:r>
      </w:hyperlink>
      <w:r>
        <w:t xml:space="preserve"> ; </w:t>
      </w:r>
      <w:hyperlink r:id="rId1100">
        <w:r>
          <w:rPr>
            <w:color w:val="0000EE"/>
            <w:u w:val="single"/>
          </w:rPr>
          <w:t>1Ch 1.17</w:t>
        </w:r>
      </w:hyperlink>
      <w:r>
        <w:t>).</w:t>
      </w:r>
    </w:p>
    <w:p>
      <w:r/>
      <w:r>
        <w:t>2. Benjaminite et fils de Shashak (</w:t>
      </w:r>
      <w:hyperlink r:id="rId4609">
        <w:r>
          <w:rPr>
            <w:color w:val="0000EE"/>
            <w:u w:val="single"/>
          </w:rPr>
          <w:t>1Ch 8.24</w:t>
        </w:r>
      </w:hyperlink>
      <w:r>
        <w:t>).</w:t>
      </w:r>
    </w:p>
    <w:p>
      <w:r/>
      <w:r>
        <w:t>3. Lévite Korahite et cinquième fils de Koré de la maison d'Asaph (</w:t>
      </w:r>
      <w:hyperlink r:id="rId4610">
        <w:r>
          <w:rPr>
            <w:color w:val="0000EE"/>
            <w:u w:val="single"/>
          </w:rPr>
          <w:t>1Ch 26.3</w:t>
        </w:r>
      </w:hyperlink>
      <w:r>
        <w:t>).</w:t>
      </w:r>
    </w:p>
    <w:p>
      <w:r/>
      <w:r>
        <w:t>4. Ancêtre de 1 254 descendants qui sont revenus avec Zorobabel en Juda après l'exil (</w:t>
      </w:r>
      <w:hyperlink r:id="rId4611">
        <w:r>
          <w:rPr>
            <w:color w:val="0000EE"/>
            <w:u w:val="single"/>
          </w:rPr>
          <w:t>Esd 2.7</w:t>
        </w:r>
      </w:hyperlink>
      <w:r>
        <w:t xml:space="preserve"> ; </w:t>
      </w:r>
      <w:hyperlink r:id="rId4612">
        <w:r>
          <w:rPr>
            <w:color w:val="0000EE"/>
            <w:u w:val="single"/>
          </w:rPr>
          <w:t>Né 7.12</w:t>
        </w:r>
      </w:hyperlink>
      <w:r>
        <w:t xml:space="preserve">). Plus tard, 71 membres de la maison d'Élam accompagneront Esdras de retour en Palestine sous le règne du roi Artaxerxès 1er de Perse (464–424 av. J.‑C. ; </w:t>
      </w:r>
      <w:hyperlink r:id="rId4613">
        <w:r>
          <w:rPr>
            <w:color w:val="0000EE"/>
            <w:u w:val="single"/>
          </w:rPr>
          <w:t>Esd 8.7</w:t>
        </w:r>
      </w:hyperlink>
      <w:r>
        <w:t xml:space="preserve">). Dans le Juda postexilique, </w:t>
      </w:r>
      <w:r>
        <w:t>Schecania</w:t>
      </w:r>
      <w:r>
        <w:t>, descendant d'Élam, exhortera Esdras à ordonner aux fils d'Israël de divorcer de leurs femmes étrangères (</w:t>
      </w:r>
      <w:hyperlink r:id="rId4614">
        <w:r>
          <w:rPr>
            <w:color w:val="0000EE"/>
            <w:u w:val="single"/>
          </w:rPr>
          <w:t>Esd 10.2</w:t>
        </w:r>
      </w:hyperlink>
      <w:r>
        <w:t xml:space="preserve">) ; un certain nombre de membres de la maison d'Élam s'en acquitteront (v. </w:t>
      </w:r>
      <w:hyperlink r:id="rId4615">
        <w:r>
          <w:rPr>
            <w:color w:val="0000EE"/>
            <w:u w:val="single"/>
          </w:rPr>
          <w:t>26</w:t>
        </w:r>
      </w:hyperlink>
      <w:r>
        <w:t>).</w:t>
      </w:r>
    </w:p>
    <w:p>
      <w:r/>
      <w:r>
        <w:t>5. Un autre ancêtre de 1 254 descendants qui sont revenus avec Zorobabel en Juda (</w:t>
      </w:r>
      <w:hyperlink r:id="rId4616">
        <w:r>
          <w:rPr>
            <w:color w:val="0000EE"/>
            <w:u w:val="single"/>
          </w:rPr>
          <w:t>Esd 2.31</w:t>
        </w:r>
      </w:hyperlink>
      <w:r>
        <w:t xml:space="preserve"> ; </w:t>
      </w:r>
      <w:hyperlink r:id="rId4617">
        <w:r>
          <w:rPr>
            <w:color w:val="0000EE"/>
            <w:u w:val="single"/>
          </w:rPr>
          <w:t>Né 7.34</w:t>
        </w:r>
      </w:hyperlink>
      <w:r>
        <w:t>).</w:t>
      </w:r>
    </w:p>
    <w:p>
      <w:r/>
      <w:r>
        <w:t>6. L'un des chefs d'Israël qui apposera son sceau sur l'alliance d'Esdras (</w:t>
      </w:r>
      <w:hyperlink r:id="rId4618">
        <w:r>
          <w:rPr>
            <w:color w:val="0000EE"/>
            <w:u w:val="single"/>
          </w:rPr>
          <w:t>Né 10.14</w:t>
        </w:r>
      </w:hyperlink>
      <w:r>
        <w:t>).</w:t>
      </w:r>
    </w:p>
    <w:p>
      <w:r/>
      <w:r>
        <w:t>7. L'un des musiciens sacerdotaux qui a joué lors de la dédicace du mur de Jérusalem (</w:t>
      </w:r>
      <w:hyperlink r:id="rId4619">
        <w:r>
          <w:rPr>
            <w:color w:val="0000EE"/>
            <w:u w:val="single"/>
          </w:rPr>
          <w:t>Né 12.42</w:t>
        </w:r>
      </w:hyperlink>
      <w:r>
        <w:t>).</w:t>
      </w:r>
      <w:r/>
      <w:r/>
    </w:p>
    <w:p>
      <w:r/>
    </w:p>
    <w:p>
      <w:pPr>
        <w:pStyle w:val="Heading2"/>
      </w:pPr>
      <w:r>
        <w:t>Élath</w:t>
      </w:r>
      <w:r/>
    </w:p>
    <w:p>
      <w:r/>
      <w:r>
        <w:t>Élath (également orthographié Eloth) était une ville dans le pays d'Édom. Elle se trouvait au sommet du golfe d'Aqaba, près de la bordure orientale du désert, au chêne de Paran (</w:t>
      </w:r>
      <w:hyperlink r:id="rId4620">
        <w:r>
          <w:rPr>
            <w:color w:val="0000EE"/>
            <w:u w:val="single"/>
          </w:rPr>
          <w:t>Gn 14.6</w:t>
        </w:r>
      </w:hyperlink>
      <w:r>
        <w:t xml:space="preserve"> ; </w:t>
      </w:r>
      <w:hyperlink r:id="rId4621">
        <w:r>
          <w:rPr>
            <w:color w:val="0000EE"/>
            <w:u w:val="single"/>
          </w:rPr>
          <w:t>Dt 2.8</w:t>
        </w:r>
      </w:hyperlink>
      <w:r>
        <w:t xml:space="preserve"> ; </w:t>
      </w:r>
      <w:hyperlink r:id="rId4496">
        <w:r>
          <w:rPr>
            <w:color w:val="0000EE"/>
            <w:u w:val="single"/>
          </w:rPr>
          <w:t>1R 9.26</w:t>
        </w:r>
      </w:hyperlink>
      <w:r>
        <w:t xml:space="preserve">). Le nom </w:t>
      </w:r>
      <w:r>
        <w:rPr>
          <w:i/>
        </w:rPr>
        <w:t>Élath</w:t>
      </w:r>
      <w:r>
        <w:t xml:space="preserve"> signifie « bosquet d'arbres ». Elle a peut-être été nommée ainsi en raison des nombreux palmiers dans la région. Certains pensent qu'elle était située au cœur d'un groupe d'arbres sacrés.</w:t>
      </w:r>
    </w:p>
    <w:p>
      <w:r/>
      <w:r>
        <w:t>Élath se trouvait sur une importante route commerciale. Les commerçants y passaient en voyageant entre le sud de l'Arabie, l'Égypte et la Phénicie. Pour cette raison, c'était une ville de grande valeur.</w:t>
      </w:r>
    </w:p>
    <w:p>
      <w:r/>
      <w:r>
        <w:t>Kedorlaomer triomphera des Horites et prendra le contrôle d'Élath (</w:t>
      </w:r>
      <w:hyperlink r:id="rId2457">
        <w:r>
          <w:rPr>
            <w:color w:val="0000EE"/>
            <w:u w:val="single"/>
          </w:rPr>
          <w:t>Gn 14.5–6</w:t>
        </w:r>
      </w:hyperlink>
      <w:r>
        <w:t>). Plus tard, Élath deviendra la frontière sud d'Édom (</w:t>
      </w:r>
      <w:hyperlink r:id="rId4621">
        <w:r>
          <w:rPr>
            <w:color w:val="0000EE"/>
            <w:u w:val="single"/>
          </w:rPr>
          <w:t>Dt 2.8</w:t>
        </w:r>
      </w:hyperlink>
      <w:r>
        <w:t>). Le roi David a probablement pris Élath lors de sa victoire sur Édom (</w:t>
      </w:r>
      <w:hyperlink r:id="rId4492">
        <w:r>
          <w:rPr>
            <w:color w:val="0000EE"/>
            <w:u w:val="single"/>
          </w:rPr>
          <w:t>2S 8.14</w:t>
        </w:r>
      </w:hyperlink>
      <w:r>
        <w:t>).</w:t>
      </w:r>
    </w:p>
    <w:p>
      <w:r/>
      <w:r>
        <w:t>À l'époque du roi Joram, fils de Josaphat, les Édomites reprendront Élath (</w:t>
      </w:r>
      <w:hyperlink r:id="rId4499">
        <w:r>
          <w:rPr>
            <w:color w:val="0000EE"/>
            <w:u w:val="single"/>
          </w:rPr>
          <w:t>2R 8.20–22</w:t>
        </w:r>
      </w:hyperlink>
      <w:r>
        <w:t>). Quelques années plus tard, le roi Ozias de Juda reconquerra et reconstruira la ville (</w:t>
      </w:r>
      <w:hyperlink r:id="rId4502">
        <w:r>
          <w:rPr>
            <w:color w:val="0000EE"/>
            <w:u w:val="single"/>
          </w:rPr>
          <w:t>2R 14.22</w:t>
        </w:r>
      </w:hyperlink>
      <w:r>
        <w:t>). Juda gardera le contrôle d'Élath jusqu'à l'époque du roi Achaz. Retsin, le roi de Syrie, la capturera et les Syriens en prendront le contrôle (</w:t>
      </w:r>
      <w:hyperlink r:id="rId4504">
        <w:r>
          <w:rPr>
            <w:color w:val="0000EE"/>
            <w:u w:val="single"/>
          </w:rPr>
          <w:t>2R 16.6</w:t>
        </w:r>
      </w:hyperlink>
      <w:r>
        <w:t>).</w:t>
      </w:r>
    </w:p>
    <w:p>
      <w:r/>
      <w:r>
        <w:t>Après l'année 753 av. J.‑C. environ, Élath sera réintégrée dans Édom, ce qui restera le cas jusqu'à entre le 6e et le 4e siècle av. J.‑C., lorsqu'elle sera laissée à l'abandon. Plus tard, les Nabatéens construisirent une nouvelle ville un peu à l'est de l'ancienne et la nommèrent Aila.</w:t>
      </w:r>
    </w:p>
    <w:p>
      <w:r/>
      <w:r>
        <w:rPr>
          <w:i/>
        </w:rPr>
        <w:t>Voir aussi</w:t>
      </w:r>
      <w:r>
        <w:t xml:space="preserve"> </w:t>
      </w:r>
      <w:r>
        <w:t>Chêne de Paran</w:t>
      </w:r>
      <w:r>
        <w:t>.</w:t>
      </w:r>
      <w:r/>
      <w:r/>
    </w:p>
    <w:p>
      <w:r/>
    </w:p>
    <w:p>
      <w:pPr>
        <w:pStyle w:val="Heading2"/>
      </w:pPr>
      <w:r>
        <w:t>El-Béthel</w:t>
      </w:r>
      <w:r/>
    </w:p>
    <w:p>
      <w:r/>
      <w:r>
        <w:t>Nom que Jacob a donné à l'endroit à Luz (Béthel) où il a construit un autel après son retour de Charan avec sa famille (</w:t>
      </w:r>
      <w:hyperlink r:id="rId1468">
        <w:r>
          <w:rPr>
            <w:color w:val="0000EE"/>
            <w:u w:val="single"/>
          </w:rPr>
          <w:t>Gn 35.7</w:t>
        </w:r>
      </w:hyperlink>
      <w:r>
        <w:t xml:space="preserve">). </w:t>
      </w:r>
      <w:r>
        <w:rPr>
          <w:i/>
        </w:rPr>
        <w:t>Voir</w:t>
      </w:r>
      <w:r>
        <w:t xml:space="preserve"> </w:t>
      </w:r>
      <w:r>
        <w:t>Béthel (Lieu), Béthélite</w:t>
      </w:r>
      <w:r>
        <w:t>.</w:t>
      </w:r>
      <w:r/>
      <w:r/>
    </w:p>
    <w:p>
      <w:r/>
    </w:p>
    <w:p>
      <w:pPr>
        <w:pStyle w:val="Heading2"/>
      </w:pPr>
      <w:r>
        <w:t>Eldaa</w:t>
      </w:r>
      <w:r/>
    </w:p>
    <w:p>
      <w:r/>
      <w:r>
        <w:t>Cinquième fils de Madian et descendant d'Abraham et de sa femme Ketura (</w:t>
      </w:r>
      <w:hyperlink r:id="rId4622">
        <w:r>
          <w:rPr>
            <w:color w:val="0000EE"/>
            <w:u w:val="single"/>
          </w:rPr>
          <w:t>Gn 25.4</w:t>
        </w:r>
      </w:hyperlink>
      <w:r>
        <w:t xml:space="preserve"> ; </w:t>
      </w:r>
      <w:hyperlink r:id="rId43">
        <w:r>
          <w:rPr>
            <w:color w:val="0000EE"/>
            <w:u w:val="single"/>
          </w:rPr>
          <w:t>1Ch 1.33</w:t>
        </w:r>
      </w:hyperlink>
      <w:r>
        <w:t>).</w:t>
      </w:r>
      <w:r/>
      <w:r/>
    </w:p>
    <w:p>
      <w:r/>
    </w:p>
    <w:p>
      <w:pPr>
        <w:pStyle w:val="Heading2"/>
      </w:pPr>
      <w:r>
        <w:t>El-Elohe-Israël</w:t>
      </w:r>
      <w:r/>
    </w:p>
    <w:p>
      <w:r/>
      <w:r>
        <w:t>Nom d'un autel construit par Jacob sur la terre qu'il a achetée aux fils de Hamor, près de Sichem (</w:t>
      </w:r>
      <w:hyperlink r:id="rId1467">
        <w:r>
          <w:rPr>
            <w:color w:val="0000EE"/>
            <w:u w:val="single"/>
          </w:rPr>
          <w:t>Gn 33.20</w:t>
        </w:r>
      </w:hyperlink>
      <w:r>
        <w:t>). Jacob a utilisé le nom de la divinité cananéenne, El, pour désigner le Dieu d'Israël.</w:t>
      </w:r>
    </w:p>
    <w:p>
      <w:r/>
      <w:r>
        <w:t xml:space="preserve">Certains experts, estimant qu'il s'agit d'un nom étrange pour un autel, ont suggéré que la combinaison de noms reflète des modifications ultérieures des textes scripturaires par des scribes. Ils soutiennent que la Septante corrige la difficulté en disant que Jacob avait invoqué le Dieu d'Israël. D'autres émettent l'hypothèse selon laquelle Jacob a érigé une colonne, et non un autel (voir </w:t>
      </w:r>
      <w:hyperlink r:id="rId4623">
        <w:r>
          <w:rPr>
            <w:color w:val="0000EE"/>
            <w:u w:val="single"/>
          </w:rPr>
          <w:t>Gn 35.14, 20</w:t>
        </w:r>
      </w:hyperlink>
      <w:r>
        <w:t>).</w:t>
      </w:r>
    </w:p>
    <w:p>
      <w:r/>
      <w:r>
        <w:rPr>
          <w:i/>
        </w:rPr>
        <w:t>Voir aussi</w:t>
      </w:r>
      <w:r>
        <w:t xml:space="preserve"> </w:t>
      </w:r>
      <w:r>
        <w:t>Dieu, Noms de</w:t>
      </w:r>
      <w:r>
        <w:t>.</w:t>
      </w:r>
      <w:r/>
      <w:r/>
    </w:p>
    <w:p>
      <w:r/>
    </w:p>
    <w:p>
      <w:pPr>
        <w:pStyle w:val="Heading2"/>
      </w:pPr>
      <w:r>
        <w:t>El-Elyon</w:t>
      </w:r>
      <w:r/>
    </w:p>
    <w:p>
      <w:r/>
      <w:r>
        <w:t>Hébreu pour « Dieu Très-Haut » (</w:t>
      </w:r>
      <w:hyperlink r:id="rId4624">
        <w:r>
          <w:rPr>
            <w:color w:val="0000EE"/>
            <w:u w:val="single"/>
          </w:rPr>
          <w:t>Gn 14.18</w:t>
        </w:r>
      </w:hyperlink>
      <w:r>
        <w:t xml:space="preserve">). </w:t>
      </w:r>
      <w:r>
        <w:rPr>
          <w:i/>
        </w:rPr>
        <w:t>Voir</w:t>
      </w:r>
      <w:r>
        <w:t xml:space="preserve"> </w:t>
      </w:r>
      <w:r>
        <w:t>Dieu, Noms de</w:t>
      </w:r>
      <w:r>
        <w:t>.</w:t>
      </w:r>
      <w:r/>
      <w:r/>
    </w:p>
    <w:p>
      <w:r/>
    </w:p>
    <w:p>
      <w:pPr>
        <w:pStyle w:val="Heading2"/>
      </w:pPr>
      <w:r>
        <w:t>Éliézer</w:t>
      </w:r>
      <w:r/>
    </w:p>
    <w:p>
      <w:pPr>
        <w:pStyle w:val="ListNumber"/>
        <w:spacing w:line="240" w:lineRule="auto"/>
        <w:ind w:left="720"/>
      </w:pPr>
      <w:r/>
      <w:r>
        <w:t>Serviteur d'Abraham issu de la ville de Damas. Avant qu'Abraham ait ses fils, Ismaël et Isaac, il suivra la coutume de son temps en choisissant Éliézer pour hériter de ses biens (</w:t>
      </w:r>
      <w:hyperlink r:id="rId90">
        <w:r>
          <w:rPr>
            <w:color w:val="0000EE"/>
            <w:u w:val="single"/>
          </w:rPr>
          <w:t>Gn 15.2</w:t>
        </w:r>
      </w:hyperlink>
      <w:r>
        <w:t>).</w:t>
      </w:r>
    </w:p>
    <w:p>
      <w:pPr>
        <w:pStyle w:val="ListNumber"/>
        <w:spacing w:line="240" w:lineRule="auto"/>
        <w:ind w:left="720"/>
      </w:pPr>
      <w:r/>
      <w:r>
        <w:t>Deuxième fils de Moïse et Séphora (</w:t>
      </w:r>
      <w:hyperlink r:id="rId4625">
        <w:r>
          <w:rPr>
            <w:color w:val="0000EE"/>
            <w:u w:val="single"/>
          </w:rPr>
          <w:t>Ex 18.4</w:t>
        </w:r>
      </w:hyperlink>
      <w:r>
        <w:t xml:space="preserve"> ; </w:t>
      </w:r>
      <w:hyperlink r:id="rId4626">
        <w:r>
          <w:rPr>
            <w:color w:val="0000EE"/>
            <w:u w:val="single"/>
          </w:rPr>
          <w:t>1Ch 23.15–17</w:t>
        </w:r>
      </w:hyperlink>
      <w:r>
        <w:t>).</w:t>
      </w:r>
    </w:p>
    <w:p>
      <w:pPr>
        <w:pStyle w:val="ListNumber"/>
        <w:spacing w:line="240" w:lineRule="auto"/>
        <w:ind w:left="720"/>
      </w:pPr>
      <w:r/>
      <w:r>
        <w:t>Benjamite et fils de Béker (</w:t>
      </w:r>
      <w:hyperlink r:id="rId4627">
        <w:r>
          <w:rPr>
            <w:color w:val="0000EE"/>
            <w:u w:val="single"/>
          </w:rPr>
          <w:t>1Ch 7.8</w:t>
        </w:r>
      </w:hyperlink>
      <w:r>
        <w:t>).</w:t>
      </w:r>
    </w:p>
    <w:p>
      <w:pPr>
        <w:pStyle w:val="ListNumber"/>
        <w:spacing w:line="240" w:lineRule="auto"/>
        <w:ind w:left="720"/>
      </w:pPr>
      <w:r/>
      <w:r>
        <w:t>L'un des sept prêtres qui jouaient de la trompette en marchant devant l'arche de l'alliance (le coffre sacré contenant la loi de Dieu) lorsque le roi David la déplacera à Jérusalem (</w:t>
      </w:r>
      <w:hyperlink r:id="rId4628">
        <w:r>
          <w:rPr>
            <w:color w:val="0000EE"/>
            <w:u w:val="single"/>
          </w:rPr>
          <w:t>1Ch 15.24</w:t>
        </w:r>
      </w:hyperlink>
      <w:r>
        <w:t>).</w:t>
      </w:r>
    </w:p>
    <w:p>
      <w:pPr>
        <w:pStyle w:val="ListNumber"/>
        <w:spacing w:line="240" w:lineRule="auto"/>
        <w:ind w:left="720"/>
      </w:pPr>
      <w:r/>
      <w:r>
        <w:t>Fils de Zicri et officier en chef dans la tribu de Ruben (</w:t>
      </w:r>
      <w:hyperlink r:id="rId4629">
        <w:r>
          <w:rPr>
            <w:color w:val="0000EE"/>
            <w:u w:val="single"/>
          </w:rPr>
          <w:t>1Ch 27.16</w:t>
        </w:r>
      </w:hyperlink>
      <w:r>
        <w:t>).</w:t>
      </w:r>
    </w:p>
    <w:p>
      <w:pPr>
        <w:pStyle w:val="ListNumber"/>
        <w:spacing w:line="240" w:lineRule="auto"/>
        <w:ind w:left="720"/>
      </w:pPr>
      <w:r/>
      <w:r>
        <w:t>Prophète dont le père était Dodava de la ville de Maréscha. Il avertira le roi Josaphat de Juda que Dieu n'était pas satisfait de son alliance avec le roi Achazia d'Israël (</w:t>
      </w:r>
      <w:hyperlink r:id="rId4630">
        <w:r>
          <w:rPr>
            <w:color w:val="0000EE"/>
            <w:u w:val="single"/>
          </w:rPr>
          <w:t>2Ch 20.37</w:t>
        </w:r>
      </w:hyperlink>
      <w:r>
        <w:t>).</w:t>
      </w:r>
    </w:p>
    <w:p>
      <w:pPr>
        <w:pStyle w:val="ListNumber"/>
        <w:spacing w:line="240" w:lineRule="auto"/>
        <w:ind w:left="720"/>
      </w:pPr>
      <w:r/>
      <w:r>
        <w:t>L'un des chefs qu'Esdras a envoyé comme émissaire pour rencontrer Iddo dans un lieu appelé Casiphia. Esdras leur demandera de ramener des Lévites pour travailler dans le temple de Dieu à Jérusalem (</w:t>
      </w:r>
      <w:hyperlink r:id="rId4631">
        <w:r>
          <w:rPr>
            <w:color w:val="0000EE"/>
            <w:u w:val="single"/>
          </w:rPr>
          <w:t>Esd 8.16</w:t>
        </w:r>
      </w:hyperlink>
      <w:r>
        <w:t>).</w:t>
      </w:r>
    </w:p>
    <w:p>
      <w:pPr>
        <w:pStyle w:val="ListNumber"/>
        <w:spacing w:line="240" w:lineRule="auto"/>
        <w:ind w:left="720"/>
      </w:pPr>
      <w:r/>
      <w:r>
        <w:t>Trois hommes d'Israël, un prêtre, un Lévite et un Israélite, qui ont été encouragés par Esdras à divorcer de leurs femmes étrangères pendant la période après l'exil à Babylone (</w:t>
      </w:r>
      <w:hyperlink r:id="rId4632">
        <w:r>
          <w:rPr>
            <w:color w:val="0000EE"/>
            <w:u w:val="single"/>
          </w:rPr>
          <w:t>Esd 10.18, 23, 31</w:t>
        </w:r>
      </w:hyperlink>
      <w:r>
        <w:t>).</w:t>
      </w:r>
    </w:p>
    <w:p>
      <w:pPr>
        <w:pStyle w:val="ListNumber"/>
        <w:spacing w:line="240" w:lineRule="auto"/>
        <w:ind w:left="720"/>
      </w:pPr>
      <w:r/>
      <w:r>
        <w:t>Un ancêtre de Christ (</w:t>
      </w:r>
      <w:hyperlink r:id="rId4633">
        <w:r>
          <w:rPr>
            <w:color w:val="0000EE"/>
            <w:u w:val="single"/>
          </w:rPr>
          <w:t>Lc 3.29</w:t>
        </w:r>
      </w:hyperlink>
      <w:r>
        <w:t>).</w:t>
      </w:r>
    </w:p>
    <w:p>
      <w:r/>
      <w:r>
        <w:rPr>
          <w:i/>
        </w:rPr>
        <w:t>Voir</w:t>
      </w:r>
      <w:r>
        <w:t xml:space="preserve"> </w:t>
      </w:r>
      <w:r>
        <w:t>Généalogie de Jésus-Christ</w:t>
      </w:r>
      <w:r>
        <w:t>.</w:t>
      </w:r>
      <w:r/>
      <w:r/>
    </w:p>
    <w:p>
      <w:r/>
    </w:p>
    <w:p>
      <w:pPr>
        <w:pStyle w:val="Heading2"/>
      </w:pPr>
      <w:r>
        <w:t>Éliphaz</w:t>
      </w:r>
      <w:r/>
    </w:p>
    <w:p>
      <w:r/>
      <w:r>
        <w:t>1. Fils aîné d'Ésaü et de sa femme Ada (</w:t>
      </w:r>
      <w:hyperlink r:id="rId4634">
        <w:r>
          <w:rPr>
            <w:color w:val="0000EE"/>
            <w:u w:val="single"/>
          </w:rPr>
          <w:t>Gn 36.4–16</w:t>
        </w:r>
      </w:hyperlink>
      <w:r>
        <w:t xml:space="preserve"> ; </w:t>
      </w:r>
      <w:hyperlink r:id="rId4635">
        <w:r>
          <w:rPr>
            <w:color w:val="0000EE"/>
            <w:u w:val="single"/>
          </w:rPr>
          <w:t>1Ch 1.35–36</w:t>
        </w:r>
      </w:hyperlink>
      <w:r>
        <w:t>). Il était l'ancêtre de plusieurs clans édomites.</w:t>
      </w:r>
    </w:p>
    <w:p>
      <w:r/>
      <w:r>
        <w:t xml:space="preserve">2. Un des amis de Job, appelé le Thémanite (voir </w:t>
      </w:r>
      <w:hyperlink r:id="rId4636">
        <w:r>
          <w:rPr>
            <w:color w:val="0000EE"/>
            <w:u w:val="single"/>
          </w:rPr>
          <w:t>Jr 49.7</w:t>
        </w:r>
      </w:hyperlink>
      <w:r>
        <w:t>). Théman était traditionnellement associé à la sagesse ; ainsi, le discours d'Éliphaz dépeint la vision orthodoxe du péché et de la punition. Ses trois discours (</w:t>
      </w:r>
      <w:hyperlink r:id="rId4637">
        <w:r>
          <w:rPr>
            <w:color w:val="0000EE"/>
            <w:u w:val="single"/>
          </w:rPr>
          <w:t>Jb 4</w:t>
        </w:r>
      </w:hyperlink>
      <w:r>
        <w:t xml:space="preserve">, </w:t>
      </w:r>
      <w:hyperlink r:id="rId4638">
        <w:r>
          <w:rPr>
            <w:color w:val="0000EE"/>
            <w:u w:val="single"/>
          </w:rPr>
          <w:t>15</w:t>
        </w:r>
      </w:hyperlink>
      <w:r>
        <w:t xml:space="preserve">, </w:t>
      </w:r>
      <w:hyperlink r:id="rId4639">
        <w:r>
          <w:rPr>
            <w:color w:val="0000EE"/>
            <w:u w:val="single"/>
          </w:rPr>
          <w:t>22</w:t>
        </w:r>
      </w:hyperlink>
      <w:r>
        <w:t>) n'ont pas réussi à saisir l'essence du problème de Job, car il supposait un péché majeur antérieur dans la vie de Job.</w:t>
      </w:r>
    </w:p>
    <w:p>
      <w:r/>
      <w:r>
        <w:rPr>
          <w:i/>
        </w:rPr>
        <w:t>Voir aussi</w:t>
      </w:r>
      <w:r>
        <w:t xml:space="preserve"> </w:t>
      </w:r>
      <w:r>
        <w:t>Job, Livre de</w:t>
      </w:r>
      <w:r>
        <w:t>.</w:t>
      </w:r>
      <w:r/>
      <w:r/>
    </w:p>
    <w:p>
      <w:r/>
    </w:p>
    <w:p>
      <w:pPr>
        <w:pStyle w:val="Heading2"/>
      </w:pPr>
      <w:r>
        <w:t>Élisabeth</w:t>
      </w:r>
      <w:r/>
    </w:p>
    <w:p>
      <w:r/>
      <w:r>
        <w:t>Mère de Jean-Baptiste est parente de Marie, la mère de Jésus (</w:t>
      </w:r>
      <w:hyperlink r:id="rId4640">
        <w:r>
          <w:rPr>
            <w:color w:val="0000EE"/>
            <w:u w:val="single"/>
          </w:rPr>
          <w:t>Lc 1.36</w:t>
        </w:r>
      </w:hyperlink>
      <w:r>
        <w:t>). Elle venait d'une famille de prêtres (</w:t>
      </w:r>
      <w:hyperlink r:id="rId2139">
        <w:r>
          <w:rPr>
            <w:color w:val="0000EE"/>
            <w:u w:val="single"/>
          </w:rPr>
          <w:t>Lc 1.5</w:t>
        </w:r>
      </w:hyperlink>
      <w:r>
        <w:t>). Le prénom Élisabeth vient du même mot hébreu qu'Élischéba, l'épouse d'Aaron (</w:t>
      </w:r>
      <w:hyperlink r:id="rId4641">
        <w:r>
          <w:rPr>
            <w:color w:val="0000EE"/>
            <w:u w:val="single"/>
          </w:rPr>
          <w:t>Ex 6.23</w:t>
        </w:r>
      </w:hyperlink>
      <w:r>
        <w:t>), qui signifie « mon Dieu est un serment ». Seul l'Évangile de Luc, qui met souvent en avant le rôle des femmes, nous parle d'Élisabeth et de son mari, Zacharie.</w:t>
      </w:r>
    </w:p>
    <w:p>
      <w:r/>
      <w:r>
        <w:t>Luc souligne qu'Élisabeth et Zacharie étaient justes et vivaient d'une manière qui plaisait à Dieu (</w:t>
      </w:r>
      <w:hyperlink r:id="rId4642">
        <w:r>
          <w:rPr>
            <w:color w:val="0000EE"/>
            <w:u w:val="single"/>
          </w:rPr>
          <w:t>Lc 1.6</w:t>
        </w:r>
      </w:hyperlink>
      <w:r>
        <w:t>). Cependant, le couple était âgé et n'avait pas d'enfants, ce qui était souvent considéré comme une disgrâce dans la culture juive (</w:t>
      </w:r>
      <w:hyperlink r:id="rId4643">
        <w:r>
          <w:rPr>
            <w:color w:val="0000EE"/>
            <w:u w:val="single"/>
          </w:rPr>
          <w:t>Gn 30.22–23</w:t>
        </w:r>
      </w:hyperlink>
      <w:r>
        <w:t xml:space="preserve"> ; </w:t>
      </w:r>
      <w:hyperlink r:id="rId4644">
        <w:r>
          <w:rPr>
            <w:color w:val="0000EE"/>
            <w:u w:val="single"/>
          </w:rPr>
          <w:t>Lc 1.25</w:t>
        </w:r>
      </w:hyperlink>
      <w:r>
        <w:t>). Malgré cela, ils restaient fidèles dans leur adoration et service à Dieu. Un jour, un ange du Seigneur est apparu à Zacharie, annonçant qu'Élisabeth aurait un fils. Ce fils serait celui qui préparerait le chemin pour le Messie promis (</w:t>
      </w:r>
      <w:hyperlink r:id="rId4645">
        <w:r>
          <w:rPr>
            <w:color w:val="0000EE"/>
            <w:u w:val="single"/>
          </w:rPr>
          <w:t>Lc 1.13–17</w:t>
        </w:r>
      </w:hyperlink>
      <w:r>
        <w:t>). Quand Élisabeth tombe enceinte, elle restera en retrait pendant cinq mois. Pendant ce temps, sa parente Marie viendra lui rendre visite.</w:t>
      </w:r>
    </w:p>
    <w:p>
      <w:r/>
      <w:r>
        <w:rPr>
          <w:i/>
        </w:rPr>
        <w:t>Voir aussi</w:t>
      </w:r>
      <w:r>
        <w:t xml:space="preserve"> </w:t>
      </w:r>
      <w:r>
        <w:t>Jean Baptiste</w:t>
      </w:r>
      <w:r>
        <w:t>.</w:t>
      </w:r>
      <w:r/>
      <w:r/>
    </w:p>
    <w:p>
      <w:r/>
    </w:p>
    <w:p>
      <w:pPr>
        <w:pStyle w:val="Heading2"/>
      </w:pPr>
      <w:r>
        <w:t>Élischa</w:t>
      </w:r>
      <w:r/>
    </w:p>
    <w:p>
      <w:r/>
      <w:r>
        <w:t>Fils de Javan (</w:t>
      </w:r>
      <w:hyperlink r:id="rId4286">
        <w:r>
          <w:rPr>
            <w:color w:val="0000EE"/>
            <w:u w:val="single"/>
          </w:rPr>
          <w:t>Gn 10.4</w:t>
        </w:r>
      </w:hyperlink>
      <w:r>
        <w:t xml:space="preserve"> ; </w:t>
      </w:r>
      <w:hyperlink r:id="rId4287">
        <w:r>
          <w:rPr>
            <w:color w:val="0000EE"/>
            <w:u w:val="single"/>
          </w:rPr>
          <w:t>1Ch 1.7</w:t>
        </w:r>
      </w:hyperlink>
      <w:r>
        <w:t xml:space="preserve">). Le terme hébreu pour la Grèce est Javan ; ainsi, Élischa pourrait désigner les îles ou les côtes occidentales de la Mer Égée (voir </w:t>
      </w:r>
      <w:hyperlink r:id="rId4646">
        <w:r>
          <w:rPr>
            <w:color w:val="0000EE"/>
            <w:u w:val="single"/>
          </w:rPr>
          <w:t>Gn 10.5</w:t>
        </w:r>
      </w:hyperlink>
      <w:r>
        <w:t>) qui fournissaient des teintures aux habitants de Tyr (</w:t>
      </w:r>
      <w:hyperlink r:id="rId2084">
        <w:r>
          <w:rPr>
            <w:color w:val="0000EE"/>
            <w:u w:val="single"/>
          </w:rPr>
          <w:t>Ez 27.7</w:t>
        </w:r>
      </w:hyperlink>
      <w:r>
        <w:t>). L'historien juif Josèphe identifiait Élischa avec les Éoliens ; d'autres suggestions incluent Carthage en Afrique du Nord, Hellas, l'Italie et Élis. Un site méditerranéen semble probable au vu du contexte d'</w:t>
      </w:r>
      <w:hyperlink r:id="rId4647">
        <w:r>
          <w:rPr>
            <w:color w:val="0000EE"/>
            <w:u w:val="single"/>
          </w:rPr>
          <w:t>Ézéchiel 27.6–7</w:t>
        </w:r>
      </w:hyperlink>
      <w:r>
        <w:t>. Il s'agit peut-être d'une région de Chypre qui exportait du cuivre.</w:t>
      </w:r>
      <w:r/>
      <w:r/>
    </w:p>
    <w:p>
      <w:r/>
    </w:p>
    <w:p>
      <w:pPr>
        <w:pStyle w:val="Heading2"/>
      </w:pPr>
      <w:r>
        <w:t>Ellasar</w:t>
      </w:r>
      <w:r/>
    </w:p>
    <w:p>
      <w:r/>
      <w:r>
        <w:t>Lieu en Babylonie ; certains érudits ont suggéré qu'Arjoc en était le roi. Ce dernier a rejoint une coalition qui comprenait Kedorlaomer, roi d'Élam. Ensemble ils ont pillé la vallée du Jourdain à l'époque d'Abraham (</w:t>
      </w:r>
      <w:hyperlink r:id="rId4648">
        <w:r>
          <w:rPr>
            <w:color w:val="0000EE"/>
            <w:u w:val="single"/>
          </w:rPr>
          <w:t>Gn 14.1, 9</w:t>
        </w:r>
      </w:hyperlink>
      <w:r>
        <w:t>).</w:t>
      </w:r>
      <w:r/>
      <w:r/>
    </w:p>
    <w:p>
      <w:r/>
    </w:p>
    <w:p>
      <w:pPr>
        <w:pStyle w:val="Heading2"/>
      </w:pPr>
      <w:r>
        <w:t>Éloï, Éloï, Lama Sabachthani ?</w:t>
      </w:r>
      <w:r/>
    </w:p>
    <w:p>
      <w:r/>
      <w:r>
        <w:t>Cri de Jésus sur la croix selon l'Évangile de Marc (</w:t>
      </w:r>
      <w:hyperlink r:id="rId4649">
        <w:r>
          <w:rPr>
            <w:color w:val="0000EE"/>
            <w:u w:val="single"/>
          </w:rPr>
          <w:t>Mc 15.34</w:t>
        </w:r>
      </w:hyperlink>
      <w:r>
        <w:t xml:space="preserve">). </w:t>
      </w:r>
      <w:r>
        <w:rPr>
          <w:i/>
        </w:rPr>
        <w:t>Voir</w:t>
      </w:r>
      <w:r>
        <w:t xml:space="preserve"> </w:t>
      </w:r>
      <w:r>
        <w:t>Éli, Éli, lama sabachthani</w:t>
      </w:r>
      <w:r>
        <w:t>.</w:t>
      </w:r>
      <w:r/>
      <w:r/>
    </w:p>
    <w:p>
      <w:r/>
    </w:p>
    <w:p>
      <w:pPr>
        <w:pStyle w:val="Heading2"/>
      </w:pPr>
      <w:r>
        <w:t>Élon (Personne)</w:t>
      </w:r>
      <w:r/>
    </w:p>
    <w:p>
      <w:r/>
      <w:r>
        <w:t xml:space="preserve">1. Hétien, qui était le père de Basmath (peut-être aussi appelée Ada, </w:t>
      </w:r>
      <w:hyperlink r:id="rId1714">
        <w:r>
          <w:rPr>
            <w:color w:val="0000EE"/>
            <w:u w:val="single"/>
          </w:rPr>
          <w:t>Gn 36.2</w:t>
        </w:r>
      </w:hyperlink>
      <w:r>
        <w:t>), l'une des épouses d'Ésaü (</w:t>
      </w:r>
      <w:hyperlink r:id="rId1713">
        <w:r>
          <w:rPr>
            <w:color w:val="0000EE"/>
            <w:u w:val="single"/>
          </w:rPr>
          <w:t>26.34</w:t>
        </w:r>
      </w:hyperlink>
      <w:r>
        <w:t>).</w:t>
      </w:r>
    </w:p>
    <w:p>
      <w:r/>
      <w:r>
        <w:t>2. Deuxième des trois fils de Zabulon (</w:t>
      </w:r>
      <w:hyperlink r:id="rId4650">
        <w:r>
          <w:rPr>
            <w:color w:val="0000EE"/>
            <w:u w:val="single"/>
          </w:rPr>
          <w:t>Gn 46.14</w:t>
        </w:r>
      </w:hyperlink>
      <w:r>
        <w:t>) et fondateur de la famille des Élonites (</w:t>
      </w:r>
      <w:hyperlink r:id="rId4651">
        <w:r>
          <w:rPr>
            <w:color w:val="0000EE"/>
            <w:u w:val="single"/>
          </w:rPr>
          <w:t>Nb 26.26</w:t>
        </w:r>
      </w:hyperlink>
      <w:r>
        <w:t>).</w:t>
      </w:r>
    </w:p>
    <w:p>
      <w:r/>
      <w:r>
        <w:t>3. Juge de Zabulon qui jugera Israël pendant dix ans. Il sera enterré à Ajalon (</w:t>
      </w:r>
      <w:hyperlink r:id="rId4652">
        <w:r>
          <w:rPr>
            <w:color w:val="0000EE"/>
            <w:u w:val="single"/>
          </w:rPr>
          <w:t>Jg 12.11–12</w:t>
        </w:r>
      </w:hyperlink>
      <w:r>
        <w:t>).</w:t>
      </w:r>
      <w:r/>
      <w:r/>
    </w:p>
    <w:p>
      <w:r/>
    </w:p>
    <w:p>
      <w:pPr>
        <w:pStyle w:val="Heading2"/>
      </w:pPr>
      <w:r>
        <w:t>Élymas</w:t>
      </w:r>
      <w:r/>
    </w:p>
    <w:p>
      <w:r/>
      <w:r>
        <w:t xml:space="preserve">Un autre nom pour Bar-Jésus. Il était un magicien juif et faux prophète mentionné dans </w:t>
      </w:r>
      <w:hyperlink r:id="rId1686">
        <w:r>
          <w:rPr>
            <w:color w:val="0000EE"/>
            <w:u w:val="single"/>
          </w:rPr>
          <w:t>Actes 13.8</w:t>
        </w:r>
      </w:hyperlink>
      <w:r>
        <w:t>.</w:t>
      </w:r>
    </w:p>
    <w:p>
      <w:r/>
      <w:r>
        <w:rPr>
          <w:i/>
        </w:rPr>
        <w:t>Voir</w:t>
      </w:r>
      <w:r>
        <w:t xml:space="preserve"> </w:t>
      </w:r>
      <w:r>
        <w:t>Bar-Jésus</w:t>
      </w:r>
      <w:r>
        <w:t>.</w:t>
      </w:r>
      <w:r/>
      <w:r/>
    </w:p>
    <w:p>
      <w:r/>
    </w:p>
    <w:p>
      <w:pPr>
        <w:pStyle w:val="Heading2"/>
      </w:pPr>
      <w:r>
        <w:t>Emim</w:t>
      </w:r>
      <w:r/>
    </w:p>
    <w:p>
      <w:r/>
      <w:r>
        <w:t>Nom donné aux habitants originaux de Moab (</w:t>
      </w:r>
      <w:hyperlink r:id="rId704">
        <w:r>
          <w:rPr>
            <w:color w:val="0000EE"/>
            <w:u w:val="single"/>
          </w:rPr>
          <w:t>Gn 14.5</w:t>
        </w:r>
      </w:hyperlink>
      <w:r>
        <w:t>) par les Moabites qui les ont chassés de leur terre. C'était un peuple grand, également connu sous le nom de Rephaïm (</w:t>
      </w:r>
      <w:hyperlink r:id="rId4653">
        <w:r>
          <w:rPr>
            <w:color w:val="0000EE"/>
            <w:u w:val="single"/>
          </w:rPr>
          <w:t>Dt 2.10–11</w:t>
        </w:r>
      </w:hyperlink>
      <w:r>
        <w:t xml:space="preserve">), et comparé aux Zuzim, Anakim et Horiens pour leur taille. Ce phénomène est manifestement une indication d'isolement génétique. </w:t>
      </w:r>
      <w:r>
        <w:rPr>
          <w:i/>
        </w:rPr>
        <w:t>Voir</w:t>
      </w:r>
      <w:r>
        <w:t xml:space="preserve"> </w:t>
      </w:r>
      <w:r>
        <w:t>Géants</w:t>
      </w:r>
      <w:r>
        <w:t>.</w:t>
      </w:r>
      <w:r/>
      <w:r/>
    </w:p>
    <w:p>
      <w:r/>
    </w:p>
    <w:p>
      <w:pPr>
        <w:pStyle w:val="Heading2"/>
      </w:pPr>
      <w:r>
        <w:t>Empalement</w:t>
      </w:r>
      <w:r/>
    </w:p>
    <w:p>
      <w:r/>
      <w:r>
        <w:t>Insertion d'un pieu pointu dans un corps humain. Pratique probablement employée dans l'Égypte ancienne, l'Assyrie, Babylone, la Perse, et possiblement aussi en Israël. Il existe cependant de nombreux problèmes pour comprendre ce que signifie l'empalement dans l'Ancien Testament. Le sens du mot varie selon les passages.</w:t>
      </w:r>
    </w:p>
    <w:p>
      <w:r/>
      <w:r>
        <w:t>Les documents grecs peuvent être peu clairs. Ils utilisent le même mot pour désigner à la fois l'empalement et la crucifixion (dans la crucifixion, le corps est attaché à un poteau plutôt que percé). Il n'est pas non plus clair si l'empalement était pratiqué sur un corps vivant ou sur un cadavre. Les deux types d'empalement étaient sans doute utilisés. Le premier servait à l'exécution. Le second servait à exposer le cadavre aux éléments, aux bêtes et à la disgrâce. De plus, il n'est pas clair dans quelle mesure le terme « pendaison » dans l'Ancien Testament se réfère à l'empalement. Son utilisation typique avec « sur » (et non « à ») peut suggérer une forme d'empalement.</w:t>
      </w:r>
    </w:p>
    <w:p>
      <w:r/>
      <w:r>
        <w:t>Les sources mésopotamiennes apportent un éclairage sur l'empalement. Il s'agissait d'une méthode d'exécution. Un cas concernait une femme ayant causé la mort de son mari (Code d'Hammurabi, 153). Un autre cas concernait une femme qui avait avorté elle-même (Lois assyriennes de l'âge moyen, 53). Cette dernière loi stipule que la femme devait être empalée, qu'elle ait survécu ou non à l'avortement. Les rois assyriens affirmaient avoir pendu des captifs de guerre sur des pieux. L'art assyrien représente des corps empalés dans des scènes de bataille. Le pieu pouvait être enfoncé dans la poitrine, avec le corps face contre terre, ou entre les jambes, avec le corps droit.</w:t>
      </w:r>
    </w:p>
    <w:p>
      <w:r/>
      <w:r>
        <w:t xml:space="preserve">Le décret de Darius dans </w:t>
      </w:r>
      <w:hyperlink r:id="rId4654">
        <w:r>
          <w:rPr>
            <w:color w:val="0000EE"/>
            <w:u w:val="single"/>
          </w:rPr>
          <w:t>Esdras 6.11</w:t>
        </w:r>
      </w:hyperlink>
      <w:r>
        <w:t xml:space="preserve"> pour reconstruire le temple de Jérusalem permettait de punir les contrevenants, possiblement par empalement. Si l'expression « pendre à un bois [poteau] » (par exemple, </w:t>
      </w:r>
      <w:hyperlink r:id="rId2281">
        <w:r>
          <w:rPr>
            <w:color w:val="0000EE"/>
            <w:u w:val="single"/>
          </w:rPr>
          <w:t>Gn 40.19</w:t>
        </w:r>
      </w:hyperlink>
      <w:r>
        <w:t xml:space="preserve"> ; </w:t>
      </w:r>
      <w:hyperlink r:id="rId4655">
        <w:r>
          <w:rPr>
            <w:color w:val="0000EE"/>
            <w:u w:val="single"/>
          </w:rPr>
          <w:t>Dt 21.22</w:t>
        </w:r>
      </w:hyperlink>
      <w:r>
        <w:t xml:space="preserve"> ; </w:t>
      </w:r>
      <w:hyperlink r:id="rId4382">
        <w:r>
          <w:rPr>
            <w:color w:val="0000EE"/>
            <w:u w:val="single"/>
          </w:rPr>
          <w:t>Jos 8.29</w:t>
        </w:r>
      </w:hyperlink>
      <w:r>
        <w:t xml:space="preserve"> ; </w:t>
      </w:r>
      <w:hyperlink r:id="rId4387">
        <w:r>
          <w:rPr>
            <w:color w:val="0000EE"/>
            <w:u w:val="single"/>
          </w:rPr>
          <w:t>10.26</w:t>
        </w:r>
      </w:hyperlink>
      <w:r>
        <w:t xml:space="preserve"> ; </w:t>
      </w:r>
      <w:hyperlink r:id="rId4656">
        <w:r>
          <w:rPr>
            <w:color w:val="0000EE"/>
            <w:u w:val="single"/>
          </w:rPr>
          <w:t>Est 2.23</w:t>
        </w:r>
      </w:hyperlink>
      <w:r>
        <w:t>) se réfère à l'empalement, un cadavre était empalé (</w:t>
      </w:r>
      <w:hyperlink r:id="rId4387">
        <w:r>
          <w:rPr>
            <w:color w:val="0000EE"/>
            <w:u w:val="single"/>
          </w:rPr>
          <w:t>Jos 10.26</w:t>
        </w:r>
      </w:hyperlink>
      <w:r>
        <w:t xml:space="preserve">). Cette interprétation s'applique également à </w:t>
      </w:r>
      <w:hyperlink r:id="rId4655">
        <w:r>
          <w:rPr>
            <w:color w:val="0000EE"/>
            <w:u w:val="single"/>
          </w:rPr>
          <w:t>Deutéronome 21.22.</w:t>
        </w:r>
      </w:hyperlink>
      <w:r>
        <w:t xml:space="preserve"> Là, la victime est d'abord tuée puis « pendue ». La similitude avec la crucifixion du Christ (</w:t>
      </w:r>
      <w:hyperlink r:id="rId2444">
        <w:r>
          <w:rPr>
            <w:color w:val="0000EE"/>
            <w:u w:val="single"/>
          </w:rPr>
          <w:t>Gal 3.13</w:t>
        </w:r>
      </w:hyperlink>
      <w:r>
        <w:t xml:space="preserve">) est la disgrâce, non la méthode. D'autres exemples possibles d'empalement se trouvent dans </w:t>
      </w:r>
      <w:hyperlink r:id="rId4388">
        <w:r>
          <w:rPr>
            <w:color w:val="0000EE"/>
            <w:u w:val="single"/>
          </w:rPr>
          <w:t>2 Samuel 4.12</w:t>
        </w:r>
      </w:hyperlink>
      <w:r>
        <w:t xml:space="preserve"> et </w:t>
      </w:r>
      <w:hyperlink r:id="rId4657">
        <w:r>
          <w:rPr>
            <w:color w:val="0000EE"/>
            <w:u w:val="single"/>
          </w:rPr>
          <w:t>21.6–13</w:t>
        </w:r>
      </w:hyperlink>
      <w:r>
        <w:t>.</w:t>
      </w:r>
    </w:p>
    <w:p>
      <w:r/>
      <w:r>
        <w:rPr>
          <w:i/>
        </w:rPr>
        <w:t>Voir aussi</w:t>
      </w:r>
      <w:r>
        <w:t xml:space="preserve"> </w:t>
      </w:r>
      <w:r>
        <w:t>Droit pénal et châtiments</w:t>
      </w:r>
      <w:r>
        <w:t>.</w:t>
      </w:r>
      <w:r/>
      <w:r/>
    </w:p>
    <w:p>
      <w:r/>
    </w:p>
    <w:p>
      <w:pPr>
        <w:pStyle w:val="Heading2"/>
      </w:pPr>
      <w:r>
        <w:t>Énée</w:t>
      </w:r>
      <w:r/>
    </w:p>
    <w:p>
      <w:r/>
      <w:r>
        <w:t>Homme paralysé qui vivait à Lydde et qui devait rester au lit en permanence. L'apôtre Pierre le guérira (</w:t>
      </w:r>
      <w:hyperlink r:id="rId4658">
        <w:r>
          <w:rPr>
            <w:color w:val="0000EE"/>
            <w:u w:val="single"/>
          </w:rPr>
          <w:t>Ac 9.33</w:t>
        </w:r>
      </w:hyperlink>
      <w:r>
        <w:t>–</w:t>
      </w:r>
      <w:hyperlink r:id="rId4658">
        <w:r>
          <w:rPr>
            <w:color w:val="0000EE"/>
            <w:u w:val="single"/>
          </w:rPr>
          <w:t>35</w:t>
        </w:r>
      </w:hyperlink>
      <w:r>
        <w:t>). C'était un miracle.</w:t>
      </w:r>
      <w:r/>
      <w:r/>
    </w:p>
    <w:p>
      <w:r/>
    </w:p>
    <w:p>
      <w:pPr>
        <w:pStyle w:val="Heading2"/>
      </w:pPr>
      <w:r>
        <w:t>Enfer</w:t>
      </w:r>
      <w:r/>
    </w:p>
    <w:p>
      <w:r/>
      <w:r>
        <w:t>Lieu où seront punis les pécheurs après leur mort s'ils ne se sont pas repentis et n'ont pas reçu le salut.</w:t>
      </w:r>
    </w:p>
    <w:p>
      <w:r/>
      <w:r>
        <w:t xml:space="preserve">Sommaire : </w:t>
      </w:r>
    </w:p>
    <w:p>
      <w:r/>
      <w:r>
        <w:t>• Définition et description</w:t>
      </w:r>
    </w:p>
    <w:p>
      <w:r/>
      <w:r>
        <w:t>• Termes bibliques</w:t>
      </w:r>
    </w:p>
    <w:p>
      <w:r/>
      <w:r>
        <w:t>• Justice de la punition éternelle</w:t>
      </w:r>
    </w:p>
    <w:p>
      <w:pPr>
        <w:pStyle w:val="Heading3"/>
      </w:pPr>
      <w:r>
        <w:t>Définition et description</w:t>
      </w:r>
    </w:p>
    <w:p>
      <w:r/>
      <w:r>
        <w:t>L'enfer est le sort final réservé aux incroyants. Diverses descriptions imagées en sont données dans les Écritures : une fournaise ardente, un feu éternel, le châtiment éternel (</w:t>
      </w:r>
      <w:hyperlink r:id="rId4659">
        <w:r>
          <w:rPr>
            <w:color w:val="0000EE"/>
            <w:u w:val="single"/>
          </w:rPr>
          <w:t xml:space="preserve">Mt 13.42, 50 </w:t>
        </w:r>
      </w:hyperlink>
      <w:r>
        <w:t xml:space="preserve">; </w:t>
      </w:r>
      <w:hyperlink r:id="rId4660">
        <w:r>
          <w:rPr>
            <w:color w:val="0000EE"/>
            <w:u w:val="single"/>
          </w:rPr>
          <w:t>25.41, 46</w:t>
        </w:r>
      </w:hyperlink>
      <w:r>
        <w:t>), les ténèbres du dehors, un lieu de pleurs et de grincement de dents (</w:t>
      </w:r>
      <w:hyperlink r:id="rId4661">
        <w:r>
          <w:rPr>
            <w:color w:val="0000EE"/>
            <w:u w:val="single"/>
          </w:rPr>
          <w:t>8.12</w:t>
        </w:r>
      </w:hyperlink>
      <w:r>
        <w:t>), un étang ardent de feu, la seconde mort (</w:t>
      </w:r>
      <w:hyperlink r:id="rId4662">
        <w:r>
          <w:rPr>
            <w:color w:val="0000EE"/>
            <w:u w:val="single"/>
          </w:rPr>
          <w:t>Ap 21.8</w:t>
        </w:r>
      </w:hyperlink>
      <w:r>
        <w:t>) et un lieu qui a été préparé pour le diable et ses anges (</w:t>
      </w:r>
      <w:hyperlink r:id="rId4663">
        <w:r>
          <w:rPr>
            <w:color w:val="0000EE"/>
            <w:u w:val="single"/>
          </w:rPr>
          <w:t>Mt 25.41</w:t>
        </w:r>
      </w:hyperlink>
      <w:r>
        <w:t>). Ceux qui sont en enfer seront éternellement séparés du Seigneur, sans jamais voir la gloire de sa force (</w:t>
      </w:r>
      <w:hyperlink r:id="rId4664">
        <w:r>
          <w:rPr>
            <w:color w:val="0000EE"/>
            <w:u w:val="single"/>
          </w:rPr>
          <w:t>2Th 1.9</w:t>
        </w:r>
      </w:hyperlink>
      <w:r>
        <w:t>). Ceux qui auront adoré la bête subiront des tourments sans repos (</w:t>
      </w:r>
      <w:hyperlink r:id="rId4665">
        <w:r>
          <w:rPr>
            <w:color w:val="0000EE"/>
            <w:u w:val="single"/>
          </w:rPr>
          <w:t>Ap 14.10–11</w:t>
        </w:r>
      </w:hyperlink>
      <w:r>
        <w:t>).</w:t>
      </w:r>
    </w:p>
    <w:p>
      <w:r/>
      <w:r>
        <w:t>D'autres descriptions imagées communiquent aussi que la punition des méchants en enfer sera éternelle. Il est question de brûler « dans un feu qui ne s'éteint pas » (</w:t>
      </w:r>
      <w:hyperlink r:id="rId4666">
        <w:r>
          <w:rPr>
            <w:color w:val="0000EE"/>
            <w:u w:val="single"/>
          </w:rPr>
          <w:t>Mt 3.12</w:t>
        </w:r>
      </w:hyperlink>
      <w:r>
        <w:t>), un endroit « où leur ver ne meurt point, et où le feu ne s'éteint point » (</w:t>
      </w:r>
      <w:hyperlink r:id="rId4667">
        <w:r>
          <w:rPr>
            <w:color w:val="0000EE"/>
            <w:u w:val="single"/>
          </w:rPr>
          <w:t>Mc 9.43, 48</w:t>
        </w:r>
      </w:hyperlink>
      <w:r>
        <w:t>). Il y a un péché qui ne sera pas pardonné « ni dans ce siècle ni dans le siècle à venir » (</w:t>
      </w:r>
      <w:hyperlink r:id="rId4668">
        <w:r>
          <w:rPr>
            <w:color w:val="0000EE"/>
            <w:u w:val="single"/>
          </w:rPr>
          <w:t>Mt 12.32</w:t>
        </w:r>
      </w:hyperlink>
      <w:r>
        <w:t xml:space="preserve">). Le sens normal et correct des passages pertinents ne donne absolument aucune indication que cette punition terrible prendra fin. C'est une destination sans retour, conférant finalité et solennité à ce bien triste sort. Il est important de souligner que c'est de Jésus que proviennent les descriptions les plus saisissantes et catégoriques sur l'enfer. </w:t>
      </w:r>
    </w:p>
    <w:p>
      <w:r/>
      <w:r>
        <w:t>Tout ce que les Écritures disent sur l'enfer peut être résumé comme une perte et une absence de tout bien, ainsi que la détresse et le tourment d'une conscience vouée au mal. Ce qu'il y a de plus terrifiant est le fait d'être séparé complètement et de façon méritée de Dieu et de tout ce qui est pur, saint et beau. À cela s'ajoute la réalisation de subir le châtiment divin et la malédiction d'une sentence juste à cause des péchés qui ont été consciemment et sciemment commis.</w:t>
      </w:r>
    </w:p>
    <w:p>
      <w:r/>
      <w:r>
        <w:t xml:space="preserve">Les descriptions bibliques de l'enfer sont présentées sous forme de réalités physiques littérales. Il ne faut pas pour autant comprendre la nature fondamentale de l'enfer par le ver qui dévore, les coups infligés ou le fait de brûler dans le feu. Une telle déclaration n'enlève rien à l'horreur ou à la gravité de ce qui arrivera en enfer, car rien ne peut être pire que d'être complètement séparé de Dieu et constamment tourmenté par une conscience vouée au mal. L'enfer est l'enfer pour ceux qui y sont parce qu'ils y sont complètement aliénés de Dieu, et là où il y a aliénation de Dieu, il y a toujours éloignement de ses semblables. C'est la pire des punitions possibles à laquelle quiconque pourrait être soumis : être totalement et irrévocablement coupé de Dieu et ennemi de tous ceux qui vous entourent. Une autre conséquence douloureuse d'une telle condition est d'être en conflit avec soi-même : le déchirement intérieur du sentiment accusateur de culpabilité et de honte. Cet état est celui de conflit total : avec Dieu, avec les autres qui sont là et avec soi-même. C'est cela, l'enfer ! S'il s'avère que ces descriptions de l'enfer sont en fait figuratives ou symboliques, la situation qu'elles dépeignent serait encore pire que ce que les images utilisées pour la représenter peuvent donner à penser. </w:t>
      </w:r>
    </w:p>
    <w:p>
      <w:r/>
      <w:r>
        <w:t xml:space="preserve">Le fait que Dieu punit le péché est un enseignement clair et continu dans la Bible. La doctrine du jugement est représentée tout au long des Écritures. Les passages suivants sont caractéristiques de cet enseignement : </w:t>
      </w:r>
      <w:hyperlink r:id="rId1149">
        <w:r>
          <w:rPr>
            <w:color w:val="0000EE"/>
            <w:u w:val="single"/>
          </w:rPr>
          <w:t xml:space="preserve">Genèse 2.17 </w:t>
        </w:r>
      </w:hyperlink>
      <w:r>
        <w:t xml:space="preserve">; </w:t>
      </w:r>
      <w:hyperlink r:id="rId4669">
        <w:r>
          <w:rPr>
            <w:color w:val="0000EE"/>
            <w:u w:val="single"/>
          </w:rPr>
          <w:t xml:space="preserve">3.17–19 </w:t>
        </w:r>
      </w:hyperlink>
      <w:r>
        <w:t xml:space="preserve">; </w:t>
      </w:r>
      <w:hyperlink r:id="rId4670">
        <w:r>
          <w:rPr>
            <w:color w:val="0000EE"/>
            <w:u w:val="single"/>
          </w:rPr>
          <w:t>4.13 ;</w:t>
        </w:r>
      </w:hyperlink>
      <w:r>
        <w:t xml:space="preserve"> </w:t>
      </w:r>
      <w:hyperlink r:id="rId4671">
        <w:r>
          <w:rPr>
            <w:color w:val="0000EE"/>
            <w:u w:val="single"/>
          </w:rPr>
          <w:t>Lévitique 26.27–33 ;</w:t>
        </w:r>
      </w:hyperlink>
      <w:r>
        <w:t xml:space="preserve"> </w:t>
      </w:r>
      <w:hyperlink r:id="rId4672">
        <w:r>
          <w:rPr>
            <w:color w:val="0000EE"/>
            <w:u w:val="single"/>
          </w:rPr>
          <w:t>Psaume 149.7 ;</w:t>
        </w:r>
      </w:hyperlink>
      <w:r>
        <w:t xml:space="preserve"> </w:t>
      </w:r>
      <w:hyperlink r:id="rId4673">
        <w:r>
          <w:rPr>
            <w:color w:val="0000EE"/>
            <w:u w:val="single"/>
          </w:rPr>
          <w:t>Ésaïe 3.11 ;</w:t>
        </w:r>
      </w:hyperlink>
      <w:r>
        <w:t xml:space="preserve"> </w:t>
      </w:r>
      <w:hyperlink r:id="rId4674">
        <w:r>
          <w:rPr>
            <w:color w:val="0000EE"/>
            <w:u w:val="single"/>
          </w:rPr>
          <w:t>Ézéchiel 14.10 ;</w:t>
        </w:r>
      </w:hyperlink>
      <w:r>
        <w:t xml:space="preserve"> </w:t>
      </w:r>
      <w:hyperlink r:id="rId4675">
        <w:r>
          <w:rPr>
            <w:color w:val="0000EE"/>
            <w:u w:val="single"/>
          </w:rPr>
          <w:t>Amos 1.2–2.16 ;</w:t>
        </w:r>
      </w:hyperlink>
      <w:r>
        <w:t xml:space="preserve"> </w:t>
      </w:r>
      <w:hyperlink r:id="rId4676">
        <w:r>
          <w:rPr>
            <w:color w:val="0000EE"/>
            <w:u w:val="single"/>
          </w:rPr>
          <w:t>Zacharie 14.19 ;</w:t>
        </w:r>
      </w:hyperlink>
      <w:r>
        <w:t xml:space="preserve"> </w:t>
      </w:r>
      <w:hyperlink r:id="rId4660">
        <w:r>
          <w:rPr>
            <w:color w:val="0000EE"/>
            <w:u w:val="single"/>
          </w:rPr>
          <w:t>Matthieu 25.41, 46 ;</w:t>
        </w:r>
      </w:hyperlink>
      <w:r>
        <w:t xml:space="preserve"> </w:t>
      </w:r>
      <w:hyperlink r:id="rId4677">
        <w:r>
          <w:rPr>
            <w:color w:val="0000EE"/>
            <w:u w:val="single"/>
          </w:rPr>
          <w:t>Luc 16.23–24</w:t>
        </w:r>
      </w:hyperlink>
      <w:r>
        <w:t xml:space="preserve"> ; </w:t>
      </w:r>
      <w:hyperlink r:id="rId4678">
        <w:r>
          <w:rPr>
            <w:color w:val="0000EE"/>
            <w:u w:val="single"/>
          </w:rPr>
          <w:t>Romains 2.5–12 ;</w:t>
        </w:r>
      </w:hyperlink>
      <w:r>
        <w:t xml:space="preserve"> </w:t>
      </w:r>
      <w:hyperlink r:id="rId4679">
        <w:r>
          <w:rPr>
            <w:color w:val="0000EE"/>
            <w:u w:val="single"/>
          </w:rPr>
          <w:t>Galates 6.7–8 ;</w:t>
        </w:r>
      </w:hyperlink>
      <w:r>
        <w:t xml:space="preserve"> </w:t>
      </w:r>
      <w:hyperlink r:id="rId4680">
        <w:r>
          <w:rPr>
            <w:color w:val="0000EE"/>
            <w:u w:val="single"/>
          </w:rPr>
          <w:t>Hébreux 10.29–31</w:t>
        </w:r>
      </w:hyperlink>
      <w:r>
        <w:t xml:space="preserve"> et </w:t>
      </w:r>
      <w:hyperlink r:id="rId4681">
        <w:r>
          <w:rPr>
            <w:color w:val="0000EE"/>
            <w:u w:val="single"/>
          </w:rPr>
          <w:t>Apocalypse 20.11–15</w:t>
        </w:r>
      </w:hyperlink>
      <w:r>
        <w:t>.</w:t>
      </w:r>
    </w:p>
    <w:p>
      <w:pPr>
        <w:pStyle w:val="Heading3"/>
      </w:pPr>
      <w:r>
        <w:t>Termes bibliques</w:t>
      </w:r>
    </w:p>
    <w:p>
      <w:r/>
      <w:r>
        <w:t>Le mot hébreu « Shéol » (« séjour des morts ») est utilisé dans l'Ancien Testament pour désigner principalement la tombe, la fosse et le lieu où vont les morts (</w:t>
      </w:r>
      <w:hyperlink r:id="rId4682">
        <w:r>
          <w:rPr>
            <w:color w:val="0000EE"/>
            <w:u w:val="single"/>
          </w:rPr>
          <w:t xml:space="preserve">Gn 37.35 </w:t>
        </w:r>
      </w:hyperlink>
      <w:r>
        <w:t xml:space="preserve">; </w:t>
      </w:r>
      <w:hyperlink r:id="rId4683">
        <w:r>
          <w:rPr>
            <w:color w:val="0000EE"/>
            <w:u w:val="single"/>
          </w:rPr>
          <w:t xml:space="preserve">Jb 7.9 </w:t>
        </w:r>
      </w:hyperlink>
      <w:r>
        <w:t xml:space="preserve">; </w:t>
      </w:r>
      <w:hyperlink r:id="rId4684">
        <w:r>
          <w:rPr>
            <w:color w:val="0000EE"/>
            <w:u w:val="single"/>
          </w:rPr>
          <w:t xml:space="preserve">14.13 </w:t>
        </w:r>
      </w:hyperlink>
      <w:r>
        <w:t xml:space="preserve">; </w:t>
      </w:r>
      <w:hyperlink r:id="rId4685">
        <w:r>
          <w:rPr>
            <w:color w:val="0000EE"/>
            <w:u w:val="single"/>
          </w:rPr>
          <w:t xml:space="preserve">17.13–16 </w:t>
        </w:r>
      </w:hyperlink>
      <w:r>
        <w:t xml:space="preserve">; </w:t>
      </w:r>
      <w:hyperlink r:id="rId4686">
        <w:r>
          <w:rPr>
            <w:color w:val="0000EE"/>
            <w:u w:val="single"/>
          </w:rPr>
          <w:t xml:space="preserve">Ps 6.5 </w:t>
        </w:r>
      </w:hyperlink>
      <w:r>
        <w:t xml:space="preserve">; </w:t>
      </w:r>
      <w:hyperlink r:id="rId636">
        <w:r>
          <w:rPr>
            <w:color w:val="0000EE"/>
            <w:u w:val="single"/>
          </w:rPr>
          <w:t xml:space="preserve">16.10 </w:t>
        </w:r>
      </w:hyperlink>
      <w:r>
        <w:t xml:space="preserve">; </w:t>
      </w:r>
      <w:hyperlink r:id="rId4687">
        <w:r>
          <w:rPr>
            <w:color w:val="0000EE"/>
            <w:u w:val="single"/>
          </w:rPr>
          <w:t xml:space="preserve">55.15 </w:t>
        </w:r>
      </w:hyperlink>
      <w:r>
        <w:t xml:space="preserve">; </w:t>
      </w:r>
      <w:hyperlink r:id="rId4688">
        <w:r>
          <w:rPr>
            <w:color w:val="0000EE"/>
            <w:u w:val="single"/>
          </w:rPr>
          <w:t>Pr 9.18</w:t>
        </w:r>
      </w:hyperlink>
      <w:r>
        <w:t xml:space="preserve"> ; </w:t>
      </w:r>
      <w:hyperlink r:id="rId4689">
        <w:r>
          <w:rPr>
            <w:color w:val="0000EE"/>
            <w:u w:val="single"/>
          </w:rPr>
          <w:t>Ec 9.10</w:t>
        </w:r>
      </w:hyperlink>
      <w:r>
        <w:t xml:space="preserve"> ; </w:t>
      </w:r>
      <w:hyperlink r:id="rId4690">
        <w:r>
          <w:rPr>
            <w:color w:val="0000EE"/>
            <w:u w:val="single"/>
          </w:rPr>
          <w:t>Es 14.11</w:t>
        </w:r>
      </w:hyperlink>
      <w:r>
        <w:t xml:space="preserve"> ; </w:t>
      </w:r>
      <w:hyperlink r:id="rId4691">
        <w:r>
          <w:rPr>
            <w:color w:val="0000EE"/>
            <w:u w:val="single"/>
          </w:rPr>
          <w:t>38.10–12, 18</w:t>
        </w:r>
      </w:hyperlink>
      <w:r>
        <w:t>). Dans l'AT, il ne semble pas y avoir de distinction très claire entre la destination des bons et celle des méchants après la mort. Ils vont tous pareillement dans la tombe, dans les régions inférieures, un monde de ténèbres, de lassitude, d'obscurité, de décomposition et d'oubli, où l'on est éloigné de Dieu (</w:t>
      </w:r>
      <w:hyperlink r:id="rId4692">
        <w:r>
          <w:rPr>
            <w:color w:val="0000EE"/>
            <w:u w:val="single"/>
          </w:rPr>
          <w:t>Jb 10.20–22</w:t>
        </w:r>
      </w:hyperlink>
      <w:r>
        <w:t xml:space="preserve"> ; </w:t>
      </w:r>
      <w:hyperlink r:id="rId4693">
        <w:r>
          <w:rPr>
            <w:color w:val="0000EE"/>
            <w:u w:val="single"/>
          </w:rPr>
          <w:t>Ps 88.3–6</w:t>
        </w:r>
      </w:hyperlink>
      <w:r>
        <w:t>), mais où on lui est néanmoins accessible (</w:t>
      </w:r>
      <w:hyperlink r:id="rId4694">
        <w:r>
          <w:rPr>
            <w:color w:val="0000EE"/>
            <w:u w:val="single"/>
          </w:rPr>
          <w:t>Jb 26.6</w:t>
        </w:r>
      </w:hyperlink>
      <w:r>
        <w:t xml:space="preserve"> ; </w:t>
      </w:r>
      <w:hyperlink r:id="rId4695">
        <w:r>
          <w:rPr>
            <w:color w:val="0000EE"/>
            <w:u w:val="single"/>
          </w:rPr>
          <w:t>Ps 138.8</w:t>
        </w:r>
      </w:hyperlink>
      <w:r>
        <w:t xml:space="preserve"> ; </w:t>
      </w:r>
      <w:hyperlink r:id="rId4696">
        <w:r>
          <w:rPr>
            <w:color w:val="0000EE"/>
            <w:u w:val="single"/>
          </w:rPr>
          <w:t>Am 9.2</w:t>
        </w:r>
      </w:hyperlink>
      <w:r>
        <w:t>). C'est un lieu de silence (</w:t>
      </w:r>
      <w:hyperlink r:id="rId4435">
        <w:r>
          <w:rPr>
            <w:color w:val="0000EE"/>
            <w:u w:val="single"/>
          </w:rPr>
          <w:t>Ps 94.17</w:t>
        </w:r>
      </w:hyperlink>
      <w:r>
        <w:t xml:space="preserve"> ; </w:t>
      </w:r>
      <w:hyperlink r:id="rId4436">
        <w:r>
          <w:rPr>
            <w:color w:val="0000EE"/>
            <w:u w:val="single"/>
          </w:rPr>
          <w:t>115.17</w:t>
        </w:r>
      </w:hyperlink>
      <w:r>
        <w:t>) et de repos (</w:t>
      </w:r>
      <w:hyperlink r:id="rId4697">
        <w:r>
          <w:rPr>
            <w:color w:val="0000EE"/>
            <w:u w:val="single"/>
          </w:rPr>
          <w:t>Jb 3.17</w:t>
        </w:r>
      </w:hyperlink>
      <w:r>
        <w:t>). Toutefois, d'autres textes donnent l'impression que ceux qui y sont peuvent être conscients jusqu'à un certain degré, avoir de l'espoir et même communiquer (</w:t>
      </w:r>
      <w:hyperlink r:id="rId4698">
        <w:r>
          <w:rPr>
            <w:color w:val="0000EE"/>
            <w:u w:val="single"/>
          </w:rPr>
          <w:t>Jb 14.13–15</w:t>
        </w:r>
      </w:hyperlink>
      <w:r>
        <w:t xml:space="preserve"> ; </w:t>
      </w:r>
      <w:hyperlink r:id="rId4699">
        <w:r>
          <w:rPr>
            <w:color w:val="0000EE"/>
            <w:u w:val="single"/>
          </w:rPr>
          <w:t>19.25–27</w:t>
        </w:r>
      </w:hyperlink>
      <w:r>
        <w:t xml:space="preserve"> ; </w:t>
      </w:r>
      <w:hyperlink r:id="rId636">
        <w:r>
          <w:rPr>
            <w:color w:val="0000EE"/>
            <w:u w:val="single"/>
          </w:rPr>
          <w:t>Ps 16.10</w:t>
        </w:r>
      </w:hyperlink>
      <w:r>
        <w:t xml:space="preserve"> ; </w:t>
      </w:r>
      <w:hyperlink r:id="rId637">
        <w:r>
          <w:rPr>
            <w:color w:val="0000EE"/>
            <w:u w:val="single"/>
          </w:rPr>
          <w:t>49.15</w:t>
        </w:r>
      </w:hyperlink>
      <w:r>
        <w:t xml:space="preserve"> ; </w:t>
      </w:r>
      <w:hyperlink r:id="rId4700">
        <w:r>
          <w:rPr>
            <w:color w:val="0000EE"/>
            <w:u w:val="single"/>
          </w:rPr>
          <w:t>Es 14.9–10</w:t>
        </w:r>
      </w:hyperlink>
      <w:r>
        <w:t xml:space="preserve"> ; </w:t>
      </w:r>
      <w:hyperlink r:id="rId4701">
        <w:r>
          <w:rPr>
            <w:color w:val="0000EE"/>
            <w:u w:val="single"/>
          </w:rPr>
          <w:t>Ez 32.21</w:t>
        </w:r>
      </w:hyperlink>
      <w:r>
        <w:t>). Quelques textes suggèrent la menace d'un jugement divin après la mort (</w:t>
      </w:r>
      <w:hyperlink r:id="rId4702">
        <w:r>
          <w:rPr>
            <w:color w:val="0000EE"/>
            <w:u w:val="single"/>
          </w:rPr>
          <w:t>Ps 9.17</w:t>
        </w:r>
      </w:hyperlink>
      <w:r>
        <w:t xml:space="preserve"> ; </w:t>
      </w:r>
      <w:hyperlink r:id="rId4687">
        <w:r>
          <w:rPr>
            <w:color w:val="0000EE"/>
            <w:u w:val="single"/>
          </w:rPr>
          <w:t>55.15</w:t>
        </w:r>
      </w:hyperlink>
      <w:r>
        <w:t>). Dans l'ensemble, le Shéol ou séjour des morts inspire la consternation et l'appréhension (</w:t>
      </w:r>
      <w:hyperlink r:id="rId4703">
        <w:r>
          <w:rPr>
            <w:color w:val="0000EE"/>
            <w:u w:val="single"/>
          </w:rPr>
          <w:t>Dt 32.22</w:t>
        </w:r>
      </w:hyperlink>
      <w:r>
        <w:t xml:space="preserve"> ; </w:t>
      </w:r>
      <w:hyperlink r:id="rId4704">
        <w:r>
          <w:rPr>
            <w:color w:val="0000EE"/>
            <w:u w:val="single"/>
          </w:rPr>
          <w:t>Es 38.18</w:t>
        </w:r>
      </w:hyperlink>
      <w:r>
        <w:t>).</w:t>
      </w:r>
    </w:p>
    <w:p>
      <w:r/>
      <w:r>
        <w:t xml:space="preserve">Ce n'est qu'à l'époque de la littérature juive post-canonique, c'est-à-dire des écrits composés entre la fin de l'AT et le début de l'époque du NT, que des distinctions claires sont faites entre le sort qui attend les justes et celui qui attend les impies après la mort. Shéol est divisé en deux endroits, l'un pour les bons et l'autre pour les méchants. Il y a cependant dans l'AT même une croyance indéniable en l'existence au-delà de la mort, même si celle-ci reste vague et peu définie. </w:t>
      </w:r>
    </w:p>
    <w:p>
      <w:r/>
      <w:r>
        <w:t>Dans le NT, le mot grec « Hadès » est utilisé dans un sens très similaire à celui de « Shéol » dans l'AT. C'est le terme que les traducteurs de la Septante, la version grecque de l'AT, ont utilisé pour traduire le mot hébreu « Shéol ». Hadès désigne de façon générale le lieu ou l'état des morts, la tombe, ou la mort elle-même. Dans certaines versions, le mot n'est pas traduit du tout mais est simplement translittéré et écrit « Hadès ». Le NT n'est pas très explicite sur ce qu'est l'Hadès, outre ce qui a déjà été mentionné. L'utilisation du mot ne révèle souvent pas grand-chose sur ce qui arrive aux gens après la mort. Il y a cependant quelques passages qui démontrent une évolution par rapport au concept de Shéol dans l'AT. Un passage du NT décrit clairement l'Hadès comme un lieu où réside le mal et où sont punis les méchants, ce qui correspond assez bien au concept de l'enfer (</w:t>
      </w:r>
      <w:hyperlink r:id="rId4705">
        <w:r>
          <w:rPr>
            <w:color w:val="0000EE"/>
            <w:u w:val="single"/>
          </w:rPr>
          <w:t>Lc 16.23</w:t>
        </w:r>
      </w:hyperlink>
      <w:r>
        <w:t>). Dans tous les autres passages, Hadès n'indique rien de plus que le lieu où vont les morts.</w:t>
      </w:r>
    </w:p>
    <w:p>
      <w:r/>
      <w:r>
        <w:t>Le mot grec « géhenne » est utilisé dans plusieurs textes du NT pour désigner un lieu où le feu brûle constamment et où les pécheurs sont punis. Ce terme est traduit par « enfer » dans certaines Bibles françaises (</w:t>
      </w:r>
      <w:hyperlink r:id="rId4706">
        <w:r>
          <w:rPr>
            <w:color w:val="0000EE"/>
            <w:u w:val="single"/>
          </w:rPr>
          <w:t xml:space="preserve">Mt 5.22, 29–30 </w:t>
        </w:r>
      </w:hyperlink>
      <w:r>
        <w:t xml:space="preserve">; </w:t>
      </w:r>
      <w:hyperlink r:id="rId686">
        <w:r>
          <w:rPr>
            <w:color w:val="0000EE"/>
            <w:u w:val="single"/>
          </w:rPr>
          <w:t xml:space="preserve">10.28 </w:t>
        </w:r>
      </w:hyperlink>
      <w:r>
        <w:t xml:space="preserve">; </w:t>
      </w:r>
      <w:hyperlink r:id="rId4707">
        <w:r>
          <w:rPr>
            <w:color w:val="0000EE"/>
            <w:u w:val="single"/>
          </w:rPr>
          <w:t xml:space="preserve">18.9 </w:t>
        </w:r>
      </w:hyperlink>
      <w:r>
        <w:t xml:space="preserve">; </w:t>
      </w:r>
      <w:hyperlink r:id="rId4708">
        <w:r>
          <w:rPr>
            <w:color w:val="0000EE"/>
            <w:u w:val="single"/>
          </w:rPr>
          <w:t xml:space="preserve">23.15, 33 </w:t>
        </w:r>
      </w:hyperlink>
      <w:r>
        <w:t xml:space="preserve">; </w:t>
      </w:r>
      <w:hyperlink r:id="rId4709">
        <w:r>
          <w:rPr>
            <w:color w:val="0000EE"/>
            <w:u w:val="single"/>
          </w:rPr>
          <w:t xml:space="preserve">Mc 9.43, 45, 47 </w:t>
        </w:r>
      </w:hyperlink>
      <w:r>
        <w:t xml:space="preserve">; </w:t>
      </w:r>
      <w:hyperlink r:id="rId4710">
        <w:r>
          <w:rPr>
            <w:color w:val="0000EE"/>
            <w:u w:val="single"/>
          </w:rPr>
          <w:t>Jc 3.6</w:t>
        </w:r>
      </w:hyperlink>
      <w:r>
        <w:t>). Ce mot est habituellement utilisé en rapport au jugement dernier et semble indiquer que la punition des méchants sera éternelle. Le mot « géhenne » provient de la translittération du nom « vallée de Hinnom » ou « vallée des fils de Hinnom » de l'hébreu de l'AT. Il s'agit d'un ravin situé au sud de Jérusalem. Cette vallée avait été le centre d'un culte idolâtre où des enfants avaient été offerts en sacrifice et consumés par le feu en l'honneur de la divinité païenne Moloc (</w:t>
      </w:r>
      <w:hyperlink r:id="rId4711">
        <w:r>
          <w:rPr>
            <w:color w:val="0000EE"/>
            <w:u w:val="single"/>
          </w:rPr>
          <w:t>2Ch 28.3</w:t>
        </w:r>
      </w:hyperlink>
      <w:r>
        <w:t xml:space="preserve"> ; </w:t>
      </w:r>
      <w:hyperlink r:id="rId3898">
        <w:r>
          <w:rPr>
            <w:color w:val="0000EE"/>
            <w:u w:val="single"/>
          </w:rPr>
          <w:t>33.6</w:t>
        </w:r>
      </w:hyperlink>
      <w:r>
        <w:t>). À l'époque du roi Josias, cette vallée est devenue un lieu détestable, souillé par des ossements humains (</w:t>
      </w:r>
      <w:hyperlink r:id="rId4712">
        <w:r>
          <w:rPr>
            <w:color w:val="0000EE"/>
            <w:u w:val="single"/>
          </w:rPr>
          <w:t>2R 23.10–14</w:t>
        </w:r>
      </w:hyperlink>
      <w:r>
        <w:t>) ainsi que par les ordures et immondices de Jérusalem qui y étaient déversés. Un feu y brûlait continuellement. Cette vallée est ainsi devenue un symbole des feux éternels de l'enfer où les damnés seront consumés dans le tourment. C'est un symbole du jugement qui menace les idolâtres et les désobéissants (</w:t>
      </w:r>
      <w:hyperlink r:id="rId4713">
        <w:r>
          <w:rPr>
            <w:color w:val="0000EE"/>
            <w:u w:val="single"/>
          </w:rPr>
          <w:t xml:space="preserve">Jr 7.31–34 </w:t>
        </w:r>
      </w:hyperlink>
      <w:r>
        <w:t xml:space="preserve">; </w:t>
      </w:r>
      <w:hyperlink r:id="rId4714">
        <w:r>
          <w:rPr>
            <w:color w:val="0000EE"/>
            <w:u w:val="single"/>
          </w:rPr>
          <w:t>32.35</w:t>
        </w:r>
      </w:hyperlink>
      <w:r>
        <w:t>).</w:t>
      </w:r>
    </w:p>
    <w:p>
      <w:r/>
      <w:r>
        <w:t xml:space="preserve">Le mot grec « Tartarus » est aussi utilisé pour désigner l'enfer ou « les régions inférieures » (« les abîmes », </w:t>
      </w:r>
      <w:hyperlink r:id="rId51">
        <w:r>
          <w:rPr>
            <w:color w:val="0000EE"/>
            <w:u w:val="single"/>
          </w:rPr>
          <w:t>2P 2.4</w:t>
        </w:r>
      </w:hyperlink>
      <w:r>
        <w:t>). Le terme désigne dans le grec classique un lieu de punition éternelle. L'apôtre Pierre le mentionne à propos des anges déchus qui ont été jetés en enfer, « précipités dans les abîmes de ténèbres » et que Dieu « réserve pour le jugement ».</w:t>
      </w:r>
    </w:p>
    <w:p>
      <w:r/>
      <w:r>
        <w:t xml:space="preserve">En plus de ces mots précis, il y a, comme souligné plus tôt, d'autres descriptions qui sont plus explicites et saisissantes et qui enseignent clairement la doctrine de l'enfer. Cette doctrine est déterminée par ces descriptions plus que par les termes fréquemment utilisés mais quelque peu vagues que sont « Shéol » et « Hadès ». </w:t>
      </w:r>
    </w:p>
    <w:p>
      <w:pPr>
        <w:pStyle w:val="Heading3"/>
      </w:pPr>
      <w:r>
        <w:t>Justice de la punition éternelle</w:t>
      </w:r>
    </w:p>
    <w:p>
      <w:r/>
      <w:r>
        <w:t>Il nous est difficile de comprendre la justice du jugement d'un Dieu saint qui, d'une part, hait toute forme de mal, mais qui, d'autre part, aime suffisamment ceux qui font le mal pour sacrifier son Fils unique pour leur salut du péché. La colère divine est la réaction nécessaire d'un Dieu saint qui déteste tout ce qui est contraire à sa juste nature. Lorsque le seul remède au péché humain est rejeté et que tous les appels d'un Dieu aimant en quête de réconciliation avec les pécheurs rebelles sont refusés, il n'y a pas d'autre voie que Dieu lui-même puisse suivre que de laisser le pécheur subir le sort qu'il a ainsi choisi lui-même. La punition du péché est alors la réponse inévitable et inéluctable de la sainteté à ce qui lui est moralement opposé, et elle doit continuer tant que la condition pécheresse qui la nécessite persiste. Il n'y a aucune indication dans les Écritures que les pécheurs qui seront en enfer seront capables de se repentir et de croire. Si, dans cette vie, ils ne se sont pas détournés du péché et n'ont pas reçu le Christ comme Sauveur avec toutes les circonstances favorables et les opportunités qui leur ont été offertes sur terre, il n'est pas raisonnable de penser qu'ils le feront dans la vie à venir. La punition ne peut prendre fin tant que la culpabilité et le péché ne prennent pas fin. Lorsque le pécheur résiste jusqu'au bout et rejette l'œuvre du Saint-Esprit par laquelle il est convaincu de péché, il ne reste plus de possibilité de repentance ou de salut. Il a commis un péché éternel (</w:t>
      </w:r>
      <w:hyperlink r:id="rId4715">
        <w:r>
          <w:rPr>
            <w:color w:val="0000EE"/>
            <w:u w:val="single"/>
          </w:rPr>
          <w:t>Mc 3.29</w:t>
        </w:r>
      </w:hyperlink>
      <w:r>
        <w:t xml:space="preserve"> ; </w:t>
      </w:r>
      <w:hyperlink r:id="rId4716">
        <w:r>
          <w:rPr>
            <w:color w:val="0000EE"/>
            <w:u w:val="single"/>
          </w:rPr>
          <w:t>Ap 22.11</w:t>
        </w:r>
      </w:hyperlink>
      <w:r>
        <w:t>), qui mérite une punition éternelle.</w:t>
      </w:r>
    </w:p>
    <w:p>
      <w:r/>
      <w:r>
        <w:t>L'impossibilité de la foi et du repentir en enfer se voient également dans la réalité tragique de la volonté dépravée, conditionnée et conduite par sa rébellion continuelle contre Dieu. Le péché se reproduit dans la volonté, et le caractère tend à se fixer irrévocablement. Dieu répond au péché sans fin par la contrepartie nécessaire qu'est le châtiment éternel.</w:t>
      </w:r>
    </w:p>
    <w:p>
      <w:r/>
      <w:r>
        <w:t>Si la question est posée de comment un Dieu aimant peut envoyer des gens en enfer pour l'éternité, la réponse doit être que Dieu ne choisit pas ce sort pour les gens : ce sont eux qui le font de leur propre choix. Dieu se contente de concorder avec la voie qu'ils ont choisie et de révéler les conséquences entières de ce choix du mal. Il faut toujours se rappeler que Dieu n'est pas seulement aimant : il est aussi saint et juste. La justice doit être satisfaite dans un univers où la révolte contre Dieu a entraîné le mal à une échelle catastrophique.</w:t>
      </w:r>
    </w:p>
    <w:p>
      <w:r/>
      <w:r>
        <w:t>Bien que la durée de la punition en enfer soit éternelle pour tous ceux qui ont choisi ce sort pour eux-mêmes, il existe des degrés de punition proportionnels aux degrés de culpabilité. Seul Dieu est capable de déterminer quels sont ces degrés, et il attribuera les conséquences du péché avec une justice parfaite selon la responsabilité de chacun. Des indications de degré de punition sont mentionnés dans plusieurs passages (</w:t>
      </w:r>
      <w:hyperlink r:id="rId4717">
        <w:r>
          <w:rPr>
            <w:color w:val="0000EE"/>
            <w:u w:val="single"/>
          </w:rPr>
          <w:t xml:space="preserve">Mt 11.20–24 </w:t>
        </w:r>
      </w:hyperlink>
      <w:r>
        <w:t xml:space="preserve">; </w:t>
      </w:r>
      <w:hyperlink r:id="rId4718">
        <w:r>
          <w:rPr>
            <w:color w:val="0000EE"/>
            <w:u w:val="single"/>
          </w:rPr>
          <w:t xml:space="preserve">Lc 12.47–48 </w:t>
        </w:r>
      </w:hyperlink>
      <w:r>
        <w:t xml:space="preserve">; </w:t>
      </w:r>
      <w:hyperlink r:id="rId4719">
        <w:r>
          <w:rPr>
            <w:color w:val="0000EE"/>
            <w:u w:val="single"/>
          </w:rPr>
          <w:t xml:space="preserve">Ap 20.12–13 </w:t>
        </w:r>
      </w:hyperlink>
      <w:r>
        <w:t xml:space="preserve">; voir </w:t>
      </w:r>
      <w:hyperlink r:id="rId4720">
        <w:r>
          <w:rPr>
            <w:color w:val="0000EE"/>
            <w:u w:val="single"/>
          </w:rPr>
          <w:t>Ez 16.48–61</w:t>
        </w:r>
      </w:hyperlink>
      <w:r>
        <w:t>). Une différentiation est faite dans ces textes entre diverses sévérités de punition selon les privilèges, la connaissance et les opportunités que chacun aura reçus.</w:t>
      </w:r>
    </w:p>
    <w:p>
      <w:r/>
      <w:r>
        <w:t>Sur la base de toutes ces observations, il est clair qu'un certain nombre d'idées non-bibliques qui circulent sur le sujet de l'enfer doivent être écartées, même si leurs défenseurs leur donnent une tournure séduisante et même si elles sont populaires. Ceci inclut les doctrines erronées, mais parfois persuasives, de l'universalisme, de l'annihilationnisme et de la seconde probation. L'universalisme affirme que Dieu sauvera tout le monde à la fin. L'annihilationnisme enseigne que l'enfer n'est pas un lieu de souffrance consciente, mais l'endroit où les pécheurs seront définitivement détruits. Et la seconde probation affiche l'idée que les gens peuvent être délivrés de l'enfer. Il doit toujours être rappelé que la Bible est notre règle de foi concernant la doctrine de l'enfer, aussi difficile qu'elle puisse paraître du point de vue du raisonnement naturel ou des sentiments humains. L'Écriture ne laisse aucun doute sur la nature terrible et la durée éternelle de l'enfer. Rejeter ou négliger cette doctrine ne peut qu'avoir des effets désastreux sur la mission de l'Église.</w:t>
      </w:r>
    </w:p>
    <w:p>
      <w:r/>
      <w:r>
        <w:rPr>
          <w:i/>
        </w:rPr>
        <w:t>Voir aussi</w:t>
      </w:r>
      <w:r>
        <w:t xml:space="preserve"> </w:t>
      </w:r>
      <w:r>
        <w:t xml:space="preserve">le séjour des morts </w:t>
      </w:r>
      <w:r>
        <w:t>;</w:t>
      </w:r>
      <w:r>
        <w:t xml:space="preserve"> mort </w:t>
      </w:r>
      <w:r>
        <w:t xml:space="preserve">; </w:t>
      </w:r>
      <w:r>
        <w:t xml:space="preserve">géhenne </w:t>
      </w:r>
      <w:r>
        <w:t xml:space="preserve">; </w:t>
      </w:r>
      <w:r>
        <w:t xml:space="preserve">Hadès </w:t>
      </w:r>
      <w:r>
        <w:t xml:space="preserve">; </w:t>
      </w:r>
      <w:r>
        <w:t xml:space="preserve">état intermédiaire </w:t>
      </w:r>
      <w:r>
        <w:t xml:space="preserve">; </w:t>
      </w:r>
      <w:r>
        <w:t xml:space="preserve">Shéol </w:t>
      </w:r>
      <w:r>
        <w:t xml:space="preserve">; </w:t>
      </w:r>
      <w:r>
        <w:t>colère de Dieu</w:t>
      </w:r>
      <w:r>
        <w:t>.</w:t>
      </w:r>
      <w:r/>
      <w:r/>
    </w:p>
    <w:p>
      <w:r/>
    </w:p>
    <w:p>
      <w:pPr>
        <w:pStyle w:val="Heading2"/>
      </w:pPr>
      <w:r>
        <w:t>En-Guédi</w:t>
      </w:r>
      <w:r/>
    </w:p>
    <w:p>
      <w:r/>
      <w:r>
        <w:t>En-Guédi est une oasis importante sur le côté ouest de la mer Morte, à environ 55 km au sud-est de Jérusalem. Elle faisait partie de la terre donnée à la tribu de Juda (</w:t>
      </w:r>
      <w:hyperlink r:id="rId4721">
        <w:r>
          <w:rPr>
            <w:color w:val="0000EE"/>
            <w:u w:val="single"/>
          </w:rPr>
          <w:t>Jos 15.62</w:t>
        </w:r>
      </w:hyperlink>
      <w:r>
        <w:t>). En-Guédi avait une source d'eau chaude jaillissant d'une falaise de calcaire, ce qui permettait aux plantes de prospérer dans les climats chauds. La région était renommée pour ses palmiers, ses vignobles et son baume (</w:t>
      </w:r>
      <w:hyperlink r:id="rId4722">
        <w:r>
          <w:rPr>
            <w:color w:val="0000EE"/>
            <w:u w:val="single"/>
          </w:rPr>
          <w:t>Ct 1.14</w:t>
        </w:r>
      </w:hyperlink>
      <w:r>
        <w:t xml:space="preserve"> ; Josèphe, </w:t>
      </w:r>
      <w:r>
        <w:rPr>
          <w:i/>
        </w:rPr>
        <w:t>Antiquités</w:t>
      </w:r>
      <w:r>
        <w:t>, 20.1.2). Le site ancien se trouvait au sud-est de l'oasis à Tell el-Jarn près de l'actuel ’Aïn Jidi.</w:t>
      </w:r>
    </w:p>
    <w:p>
      <w:r/>
      <w:r>
        <w:t>En-Guédi était aussi appelé Hatsatson-Thamar (</w:t>
      </w:r>
      <w:hyperlink r:id="rId4723">
        <w:r>
          <w:rPr>
            <w:color w:val="0000EE"/>
            <w:u w:val="single"/>
          </w:rPr>
          <w:t>2Ch 20.2</w:t>
        </w:r>
      </w:hyperlink>
      <w:r>
        <w:t>). Il apparaît dans plusieurs récits de l'Ancien Testament :</w:t>
      </w:r>
    </w:p>
    <w:p>
      <w:pPr>
        <w:pStyle w:val="ListBullet"/>
        <w:spacing w:line="240" w:lineRule="auto"/>
        <w:ind w:left="720"/>
      </w:pPr>
      <w:r/>
      <w:r>
        <w:t>C'est là que Kedorlaomer a conquis les Amoréens (</w:t>
      </w:r>
      <w:hyperlink r:id="rId4724">
        <w:r>
          <w:rPr>
            <w:color w:val="0000EE"/>
            <w:u w:val="single"/>
          </w:rPr>
          <w:t>Gn 14.7</w:t>
        </w:r>
      </w:hyperlink>
      <w:r>
        <w:t>).</w:t>
      </w:r>
    </w:p>
    <w:p>
      <w:pPr>
        <w:pStyle w:val="ListBullet"/>
        <w:spacing w:line="240" w:lineRule="auto"/>
        <w:ind w:left="720"/>
      </w:pPr>
      <w:r/>
      <w:r>
        <w:t>David s'est caché de Saül dans les grottes d'En-Guédi (</w:t>
      </w:r>
      <w:hyperlink r:id="rId4725">
        <w:r>
          <w:rPr>
            <w:color w:val="0000EE"/>
            <w:u w:val="single"/>
          </w:rPr>
          <w:t>1S 23.29</w:t>
        </w:r>
      </w:hyperlink>
      <w:r>
        <w:t>).</w:t>
      </w:r>
    </w:p>
    <w:p>
      <w:pPr>
        <w:pStyle w:val="ListBullet"/>
        <w:spacing w:line="240" w:lineRule="auto"/>
        <w:ind w:left="720"/>
      </w:pPr>
      <w:r/>
      <w:r>
        <w:t>Dans la vision d'Ézéchiel d'un Israël restauré, des pêcheurs pêchent du poisson dans la mer Morte entre En-Guédi et En-Églaïm (</w:t>
      </w:r>
      <w:hyperlink r:id="rId4726">
        <w:r>
          <w:rPr>
            <w:color w:val="0000EE"/>
            <w:u w:val="single"/>
          </w:rPr>
          <w:t>Ez 47.10</w:t>
        </w:r>
      </w:hyperlink>
      <w:r>
        <w:t>).</w:t>
      </w:r>
      <w:r/>
      <w:r/>
    </w:p>
    <w:p>
      <w:r/>
    </w:p>
    <w:p>
      <w:pPr>
        <w:pStyle w:val="Heading2"/>
      </w:pPr>
      <w:r>
        <w:t>En-Mischpath</w:t>
      </w:r>
      <w:r/>
    </w:p>
    <w:p>
      <w:r/>
      <w:r>
        <w:t>Ancien nom de Kadès, mentionné dans le récit des batailles de Kedorlaomer (</w:t>
      </w:r>
      <w:hyperlink r:id="rId4724">
        <w:r>
          <w:rPr>
            <w:color w:val="0000EE"/>
            <w:u w:val="single"/>
          </w:rPr>
          <w:t>Gn 14.7</w:t>
        </w:r>
      </w:hyperlink>
      <w:r>
        <w:t xml:space="preserve">). </w:t>
      </w:r>
      <w:r>
        <w:rPr>
          <w:i/>
        </w:rPr>
        <w:t>Voir</w:t>
      </w:r>
      <w:r>
        <w:t xml:space="preserve"> </w:t>
      </w:r>
      <w:r>
        <w:t>Kadès, Kadès-Barnéa</w:t>
      </w:r>
      <w:r>
        <w:t>.</w:t>
      </w:r>
      <w:r/>
      <w:r/>
    </w:p>
    <w:p>
      <w:r/>
    </w:p>
    <w:p>
      <w:pPr>
        <w:pStyle w:val="Heading2"/>
      </w:pPr>
      <w:r>
        <w:t>Énosch</w:t>
      </w:r>
      <w:r/>
    </w:p>
    <w:p>
      <w:r/>
      <w:r>
        <w:t>Fils de Seth et le petit-fils d'Adam (</w:t>
      </w:r>
      <w:hyperlink r:id="rId4727">
        <w:r>
          <w:rPr>
            <w:color w:val="0000EE"/>
            <w:u w:val="single"/>
          </w:rPr>
          <w:t>Gn 4.26</w:t>
        </w:r>
      </w:hyperlink>
      <w:r>
        <w:t xml:space="preserve"> ; </w:t>
      </w:r>
      <w:hyperlink r:id="rId254">
        <w:r>
          <w:rPr>
            <w:color w:val="0000EE"/>
            <w:u w:val="single"/>
          </w:rPr>
          <w:t>1Ch 1.1</w:t>
        </w:r>
      </w:hyperlink>
      <w:r>
        <w:t>). Il deviendra père de Kénan à l'âge de 90 ans, après quoi il aura d'autres fils et filles, mourant à l'âge de 905 ans (</w:t>
      </w:r>
      <w:hyperlink r:id="rId4728">
        <w:r>
          <w:rPr>
            <w:color w:val="0000EE"/>
            <w:u w:val="single"/>
          </w:rPr>
          <w:t>Gn 5.6–11</w:t>
        </w:r>
      </w:hyperlink>
      <w:r>
        <w:t xml:space="preserve">). Il est mentionné comme ancêtre de Jésus dans </w:t>
      </w:r>
      <w:hyperlink r:id="rId256">
        <w:r>
          <w:rPr>
            <w:color w:val="0000EE"/>
            <w:u w:val="single"/>
          </w:rPr>
          <w:t>Luc 3.38</w:t>
        </w:r>
      </w:hyperlink>
      <w:r>
        <w:t>.</w:t>
      </w:r>
    </w:p>
    <w:p>
      <w:r/>
      <w:r>
        <w:rPr>
          <w:i/>
        </w:rPr>
        <w:t>Consultez</w:t>
      </w:r>
      <w:r>
        <w:t xml:space="preserve"> </w:t>
      </w:r>
      <w:r>
        <w:t>Généalogie de Jésus-Christ</w:t>
      </w:r>
      <w:r>
        <w:t>.</w:t>
      </w:r>
      <w:r/>
      <w:r/>
    </w:p>
    <w:p>
      <w:r/>
    </w:p>
    <w:p>
      <w:pPr>
        <w:pStyle w:val="Heading2"/>
      </w:pPr>
      <w:r>
        <w:t>Entente</w:t>
      </w:r>
      <w:r/>
    </w:p>
    <w:p>
      <w:r/>
      <w:r>
        <w:t>Une entente est une association étroite d'individus ou de nations dans la recherche d'un objectif commun. De telles alliances ont été confirmées de différentes manières :</w:t>
      </w:r>
    </w:p>
    <w:p>
      <w:pPr>
        <w:pStyle w:val="ListBullet"/>
        <w:spacing w:line="240" w:lineRule="auto"/>
        <w:ind w:left="720"/>
      </w:pPr>
      <w:r/>
      <w:r>
        <w:t>Les cadeaux</w:t>
      </w:r>
    </w:p>
    <w:p>
      <w:pPr>
        <w:pStyle w:val="ListBullet"/>
        <w:spacing w:line="240" w:lineRule="auto"/>
        <w:ind w:left="720"/>
      </w:pPr>
      <w:r/>
      <w:r>
        <w:t>Les serments</w:t>
      </w:r>
    </w:p>
    <w:p>
      <w:pPr>
        <w:pStyle w:val="ListBullet"/>
        <w:spacing w:line="240" w:lineRule="auto"/>
        <w:ind w:left="720"/>
      </w:pPr>
      <w:r/>
      <w:r>
        <w:t>La dot (don d'une somme d'argent à la famille lors du mariage).</w:t>
      </w:r>
    </w:p>
    <w:p>
      <w:pPr>
        <w:pStyle w:val="ListBullet"/>
        <w:spacing w:line="240" w:lineRule="auto"/>
        <w:ind w:left="720"/>
      </w:pPr>
      <w:r/>
      <w:r>
        <w:t>Les mariages arrangés entre familles influentes</w:t>
      </w:r>
    </w:p>
    <w:p>
      <w:pPr>
        <w:pStyle w:val="ListBullet"/>
        <w:spacing w:line="240" w:lineRule="auto"/>
        <w:ind w:left="720"/>
      </w:pPr>
      <w:r/>
      <w:r>
        <w:t>Des accords spéciaux (conventions)</w:t>
      </w:r>
    </w:p>
    <w:p>
      <w:r/>
      <w:r>
        <w:t>À l'époque des patriarches (lorsque vivaient Abraham, Isaac et Jacob), les Israélites formaient facilement des ententes avec des nations étrangères. Abraham conclura des ententes avec :</w:t>
      </w:r>
    </w:p>
    <w:p>
      <w:pPr>
        <w:pStyle w:val="ListBullet"/>
        <w:spacing w:line="240" w:lineRule="auto"/>
        <w:ind w:left="720"/>
      </w:pPr>
      <w:r/>
      <w:r>
        <w:t>Trois Amoréens : Mamré, Eschcol et Aner (</w:t>
      </w:r>
      <w:hyperlink r:id="rId4729">
        <w:r>
          <w:rPr>
            <w:color w:val="0000EE"/>
            <w:u w:val="single"/>
          </w:rPr>
          <w:t>Gn 14.13, 24</w:t>
        </w:r>
      </w:hyperlink>
      <w:r>
        <w:t>)</w:t>
      </w:r>
    </w:p>
    <w:p>
      <w:pPr>
        <w:pStyle w:val="ListBullet"/>
        <w:spacing w:line="240" w:lineRule="auto"/>
        <w:ind w:left="720"/>
      </w:pPr>
      <w:r/>
      <w:r>
        <w:t>Abimélec, roi de Guérar (</w:t>
      </w:r>
      <w:hyperlink r:id="rId69">
        <w:r>
          <w:rPr>
            <w:color w:val="0000EE"/>
            <w:u w:val="single"/>
          </w:rPr>
          <w:t>Gn 21.22–34</w:t>
        </w:r>
      </w:hyperlink>
      <w:r>
        <w:t>).</w:t>
      </w:r>
    </w:p>
    <w:p>
      <w:r/>
      <w:r>
        <w:t>Isaac, le fils d'Abraham, s'alliera également avec Abimélec (</w:t>
      </w:r>
      <w:hyperlink r:id="rId4730">
        <w:r>
          <w:rPr>
            <w:color w:val="0000EE"/>
            <w:u w:val="single"/>
          </w:rPr>
          <w:t>Gn 26.26</w:t>
        </w:r>
      </w:hyperlink>
      <w:r>
        <w:t>–</w:t>
      </w:r>
      <w:hyperlink r:id="rId4730">
        <w:r>
          <w:rPr>
            <w:color w:val="0000EE"/>
            <w:u w:val="single"/>
          </w:rPr>
          <w:t>31</w:t>
        </w:r>
      </w:hyperlink>
      <w:r>
        <w:t>).</w:t>
      </w:r>
    </w:p>
    <w:p>
      <w:r/>
      <w:r>
        <w:t>Plus tard, Moïse ne permettra pas d'ententes avec les Cananéens pour des raisons religieuses (</w:t>
      </w:r>
      <w:hyperlink r:id="rId4731">
        <w:r>
          <w:rPr>
            <w:color w:val="0000EE"/>
            <w:u w:val="single"/>
          </w:rPr>
          <w:t>Ex 23.31</w:t>
        </w:r>
      </w:hyperlink>
      <w:r>
        <w:t>–</w:t>
      </w:r>
      <w:hyperlink r:id="rId4731">
        <w:r>
          <w:rPr>
            <w:color w:val="0000EE"/>
            <w:u w:val="single"/>
          </w:rPr>
          <w:t>33</w:t>
        </w:r>
      </w:hyperlink>
      <w:r>
        <w:t xml:space="preserve">; </w:t>
      </w:r>
      <w:hyperlink r:id="rId4732">
        <w:r>
          <w:rPr>
            <w:color w:val="0000EE"/>
            <w:u w:val="single"/>
          </w:rPr>
          <w:t>34.12</w:t>
        </w:r>
      </w:hyperlink>
      <w:r>
        <w:t xml:space="preserve">; </w:t>
      </w:r>
      <w:hyperlink r:id="rId4733">
        <w:r>
          <w:rPr>
            <w:color w:val="0000EE"/>
            <w:u w:val="single"/>
          </w:rPr>
          <w:t>Dt 7.1</w:t>
        </w:r>
      </w:hyperlink>
      <w:r>
        <w:t>–</w:t>
      </w:r>
      <w:hyperlink r:id="rId4733">
        <w:r>
          <w:rPr>
            <w:color w:val="0000EE"/>
            <w:u w:val="single"/>
          </w:rPr>
          <w:t>4</w:t>
        </w:r>
      </w:hyperlink>
      <w:r>
        <w:t>). À l'époque des juges, Dieu rappellera ce commandement aux Israélites (</w:t>
      </w:r>
      <w:hyperlink r:id="rId4734">
        <w:r>
          <w:rPr>
            <w:color w:val="0000EE"/>
            <w:u w:val="single"/>
          </w:rPr>
          <w:t>Jg 2.1</w:t>
        </w:r>
      </w:hyperlink>
      <w:r>
        <w:t>–</w:t>
      </w:r>
      <w:hyperlink r:id="rId4734">
        <w:r>
          <w:rPr>
            <w:color w:val="0000EE"/>
            <w:u w:val="single"/>
          </w:rPr>
          <w:t>3</w:t>
        </w:r>
      </w:hyperlink>
      <w:r>
        <w:t xml:space="preserve">). Cependant, </w:t>
      </w:r>
      <w:hyperlink r:id="rId3061">
        <w:r>
          <w:rPr>
            <w:color w:val="0000EE"/>
            <w:u w:val="single"/>
          </w:rPr>
          <w:t>Josué 9</w:t>
        </w:r>
      </w:hyperlink>
      <w:r>
        <w:t xml:space="preserve"> raconte comment Israël sera trompé pour former une entente avec les Gabaonites.</w:t>
      </w:r>
    </w:p>
    <w:p>
      <w:r/>
      <w:r>
        <w:t>Lors de la monarchie, de nombreux rois formeront des ententes et se marieront avec des étrangers :</w:t>
      </w:r>
    </w:p>
    <w:p>
      <w:pPr>
        <w:pStyle w:val="ListBullet"/>
        <w:spacing w:line="240" w:lineRule="auto"/>
        <w:ind w:left="720"/>
      </w:pPr>
      <w:r/>
      <w:r>
        <w:t>David (avant qu'il ne soit roi de tout Israël) acceptera avec Akisch, roi de Gath, de combattre avec les Philistins contre l'armée de Saül (</w:t>
      </w:r>
      <w:hyperlink r:id="rId4735">
        <w:r>
          <w:rPr>
            <w:color w:val="0000EE"/>
            <w:u w:val="single"/>
          </w:rPr>
          <w:t>1S 27.1</w:t>
        </w:r>
      </w:hyperlink>
      <w:r>
        <w:t xml:space="preserve"> ; </w:t>
      </w:r>
      <w:hyperlink r:id="rId4736">
        <w:r>
          <w:rPr>
            <w:color w:val="0000EE"/>
            <w:u w:val="single"/>
          </w:rPr>
          <w:t>28.2</w:t>
        </w:r>
      </w:hyperlink>
      <w:r>
        <w:t>).</w:t>
      </w:r>
    </w:p>
    <w:p>
      <w:pPr>
        <w:pStyle w:val="ListBullet"/>
        <w:spacing w:line="240" w:lineRule="auto"/>
        <w:ind w:left="720"/>
      </w:pPr>
      <w:r/>
      <w:r>
        <w:t>Salomon conclura des ententes commerciales avec Hiram de Tyr (</w:t>
      </w:r>
      <w:hyperlink r:id="rId4737">
        <w:r>
          <w:rPr>
            <w:color w:val="0000EE"/>
            <w:u w:val="single"/>
          </w:rPr>
          <w:t>1R 5.1</w:t>
        </w:r>
      </w:hyperlink>
      <w:r>
        <w:t>–</w:t>
      </w:r>
      <w:hyperlink r:id="rId4737">
        <w:r>
          <w:rPr>
            <w:color w:val="0000EE"/>
            <w:u w:val="single"/>
          </w:rPr>
          <w:t>18</w:t>
        </w:r>
      </w:hyperlink>
      <w:r>
        <w:t xml:space="preserve">; </w:t>
      </w:r>
      <w:hyperlink r:id="rId1088">
        <w:r>
          <w:rPr>
            <w:color w:val="0000EE"/>
            <w:u w:val="single"/>
          </w:rPr>
          <w:t>9.26</w:t>
        </w:r>
      </w:hyperlink>
      <w:r>
        <w:t>–</w:t>
      </w:r>
      <w:hyperlink r:id="rId1088">
        <w:r>
          <w:rPr>
            <w:color w:val="0000EE"/>
            <w:u w:val="single"/>
          </w:rPr>
          <w:t>28</w:t>
        </w:r>
      </w:hyperlink>
      <w:r>
        <w:t>).</w:t>
      </w:r>
    </w:p>
    <w:p>
      <w:pPr>
        <w:pStyle w:val="ListBullet"/>
        <w:spacing w:line="240" w:lineRule="auto"/>
        <w:ind w:left="720"/>
      </w:pPr>
      <w:r/>
      <w:r>
        <w:t>Salomon conclura également des ententes commerciales avec le roi d'Égypte (</w:t>
      </w:r>
      <w:hyperlink r:id="rId4738">
        <w:r>
          <w:rPr>
            <w:color w:val="0000EE"/>
            <w:u w:val="single"/>
          </w:rPr>
          <w:t>1R 9.16</w:t>
        </w:r>
      </w:hyperlink>
      <w:r>
        <w:t>).</w:t>
      </w:r>
    </w:p>
    <w:p>
      <w:pPr>
        <w:pStyle w:val="ListBullet"/>
        <w:spacing w:line="240" w:lineRule="auto"/>
        <w:ind w:left="720"/>
      </w:pPr>
      <w:r/>
      <w:r>
        <w:t>Asa s'alliera avec Ben-Hadad, roi de Syrie (</w:t>
      </w:r>
      <w:hyperlink r:id="rId4739">
        <w:r>
          <w:rPr>
            <w:color w:val="0000EE"/>
            <w:u w:val="single"/>
          </w:rPr>
          <w:t>1R 15.18</w:t>
        </w:r>
      </w:hyperlink>
      <w:r>
        <w:t>–</w:t>
      </w:r>
      <w:hyperlink r:id="rId4739">
        <w:r>
          <w:rPr>
            <w:color w:val="0000EE"/>
            <w:u w:val="single"/>
          </w:rPr>
          <w:t>20</w:t>
        </w:r>
      </w:hyperlink>
      <w:r>
        <w:t>).</w:t>
      </w:r>
    </w:p>
    <w:p>
      <w:pPr>
        <w:pStyle w:val="ListBullet"/>
        <w:spacing w:line="240" w:lineRule="auto"/>
        <w:ind w:left="720"/>
      </w:pPr>
      <w:r/>
      <w:r>
        <w:t>Le roi Achab s'alliera avec Josaphat pour combattre la Syrie (</w:t>
      </w:r>
      <w:hyperlink r:id="rId4740">
        <w:r>
          <w:rPr>
            <w:color w:val="0000EE"/>
            <w:u w:val="single"/>
          </w:rPr>
          <w:t>1R 22.1</w:t>
        </w:r>
      </w:hyperlink>
      <w:r>
        <w:t>–</w:t>
      </w:r>
      <w:hyperlink r:id="rId4740">
        <w:r>
          <w:rPr>
            <w:color w:val="0000EE"/>
            <w:u w:val="single"/>
          </w:rPr>
          <w:t>4</w:t>
        </w:r>
      </w:hyperlink>
      <w:r>
        <w:t xml:space="preserve"> ; </w:t>
      </w:r>
      <w:hyperlink r:id="rId4741">
        <w:r>
          <w:rPr>
            <w:color w:val="0000EE"/>
            <w:u w:val="single"/>
          </w:rPr>
          <w:t>2Ch 18.1</w:t>
        </w:r>
      </w:hyperlink>
      <w:r>
        <w:t>–</w:t>
      </w:r>
      <w:hyperlink r:id="rId4741">
        <w:r>
          <w:rPr>
            <w:color w:val="0000EE"/>
            <w:u w:val="single"/>
          </w:rPr>
          <w:t>13</w:t>
        </w:r>
      </w:hyperlink>
      <w:r>
        <w:t>).</w:t>
      </w:r>
    </w:p>
    <w:p>
      <w:pPr>
        <w:pStyle w:val="ListBullet"/>
        <w:spacing w:line="240" w:lineRule="auto"/>
        <w:ind w:left="720"/>
      </w:pPr>
      <w:r/>
      <w:r>
        <w:t>Le roi Pékach s'alliera avec Retsin, roi de Syrie, pour combattre Achaz, roi de Juda (</w:t>
      </w:r>
      <w:hyperlink r:id="rId4742">
        <w:r>
          <w:rPr>
            <w:color w:val="0000EE"/>
            <w:u w:val="single"/>
          </w:rPr>
          <w:t>Es 7.1</w:t>
        </w:r>
      </w:hyperlink>
      <w:r>
        <w:t>–</w:t>
      </w:r>
      <w:hyperlink r:id="rId4742">
        <w:r>
          <w:rPr>
            <w:color w:val="0000EE"/>
            <w:u w:val="single"/>
          </w:rPr>
          <w:t>9</w:t>
        </w:r>
      </w:hyperlink>
      <w:r>
        <w:t>).</w:t>
      </w:r>
    </w:p>
    <w:p>
      <w:pPr>
        <w:pStyle w:val="ListBullet"/>
        <w:spacing w:line="240" w:lineRule="auto"/>
        <w:ind w:left="720"/>
      </w:pPr>
      <w:r/>
      <w:r>
        <w:t>Le roi Achaz s'alliera avec Tiglath-Piléser, roi d'Assyrie, pour combattre contre Pékach et Retsin (</w:t>
      </w:r>
      <w:hyperlink r:id="rId4743">
        <w:r>
          <w:rPr>
            <w:color w:val="0000EE"/>
            <w:u w:val="single"/>
          </w:rPr>
          <w:t>2R 16.7</w:t>
        </w:r>
      </w:hyperlink>
      <w:r>
        <w:t>–</w:t>
      </w:r>
      <w:hyperlink r:id="rId4743">
        <w:r>
          <w:rPr>
            <w:color w:val="0000EE"/>
            <w:u w:val="single"/>
          </w:rPr>
          <w:t>9</w:t>
        </w:r>
      </w:hyperlink>
      <w:r>
        <w:t>).</w:t>
      </w:r>
    </w:p>
    <w:p>
      <w:pPr>
        <w:pStyle w:val="ListBullet"/>
        <w:spacing w:line="240" w:lineRule="auto"/>
        <w:ind w:left="720"/>
      </w:pPr>
      <w:r/>
      <w:r>
        <w:t>Le roi Sédécias s'alliera avec l'Égypte pour combattre les Babyloniens (</w:t>
      </w:r>
      <w:hyperlink r:id="rId4744">
        <w:r>
          <w:rPr>
            <w:color w:val="0000EE"/>
            <w:u w:val="single"/>
          </w:rPr>
          <w:t>2R 24.20</w:t>
        </w:r>
      </w:hyperlink>
      <w:r>
        <w:t xml:space="preserve"> ; </w:t>
      </w:r>
      <w:hyperlink r:id="rId4745">
        <w:r>
          <w:rPr>
            <w:color w:val="0000EE"/>
            <w:u w:val="single"/>
          </w:rPr>
          <w:t>Esd 17.1</w:t>
        </w:r>
      </w:hyperlink>
      <w:r>
        <w:t>–</w:t>
      </w:r>
      <w:hyperlink r:id="rId4745">
        <w:r>
          <w:rPr>
            <w:color w:val="0000EE"/>
            <w:u w:val="single"/>
          </w:rPr>
          <w:t>21</w:t>
        </w:r>
      </w:hyperlink>
      <w:r>
        <w:t>).</w:t>
      </w:r>
    </w:p>
    <w:p>
      <w:r/>
      <w:r>
        <w:t>Ces ententes ont souvent introduit des religions étrangères à Jérusalem (</w:t>
      </w:r>
      <w:hyperlink r:id="rId4746">
        <w:r>
          <w:rPr>
            <w:color w:val="0000EE"/>
            <w:u w:val="single"/>
          </w:rPr>
          <w:t>2R 16.10</w:t>
        </w:r>
      </w:hyperlink>
      <w:r>
        <w:t>–</w:t>
      </w:r>
      <w:hyperlink r:id="rId4746">
        <w:r>
          <w:rPr>
            <w:color w:val="0000EE"/>
            <w:u w:val="single"/>
          </w:rPr>
          <w:t>18</w:t>
        </w:r>
      </w:hyperlink>
      <w:r>
        <w:t>), conduisant les prophètes à les critiquer (</w:t>
      </w:r>
      <w:hyperlink r:id="rId4747">
        <w:r>
          <w:rPr>
            <w:color w:val="0000EE"/>
            <w:u w:val="single"/>
          </w:rPr>
          <w:t>Os 8.8</w:t>
        </w:r>
      </w:hyperlink>
      <w:r>
        <w:t>–</w:t>
      </w:r>
      <w:hyperlink r:id="rId4747">
        <w:r>
          <w:rPr>
            <w:color w:val="0000EE"/>
            <w:u w:val="single"/>
          </w:rPr>
          <w:t>10</w:t>
        </w:r>
      </w:hyperlink>
      <w:r>
        <w:t xml:space="preserve"> ; </w:t>
      </w:r>
      <w:hyperlink r:id="rId4748">
        <w:r>
          <w:rPr>
            <w:color w:val="0000EE"/>
            <w:u w:val="single"/>
          </w:rPr>
          <w:t>Es 30.1</w:t>
        </w:r>
      </w:hyperlink>
      <w:r>
        <w:t>–</w:t>
      </w:r>
      <w:hyperlink r:id="rId4748">
        <w:r>
          <w:rPr>
            <w:color w:val="0000EE"/>
            <w:u w:val="single"/>
          </w:rPr>
          <w:t>3, 15</w:t>
        </w:r>
      </w:hyperlink>
      <w:r>
        <w:t>–</w:t>
      </w:r>
      <w:hyperlink r:id="rId4748">
        <w:r>
          <w:rPr>
            <w:color w:val="0000EE"/>
            <w:u w:val="single"/>
          </w:rPr>
          <w:t>16</w:t>
        </w:r>
      </w:hyperlink>
      <w:r>
        <w:t xml:space="preserve"> ; </w:t>
      </w:r>
      <w:hyperlink r:id="rId4749">
        <w:r>
          <w:rPr>
            <w:color w:val="0000EE"/>
            <w:u w:val="single"/>
          </w:rPr>
          <w:t>Jr 2.18</w:t>
        </w:r>
      </w:hyperlink>
      <w:r>
        <w:t>).</w:t>
      </w:r>
      <w:r/>
      <w:r/>
    </w:p>
    <w:p>
      <w:r/>
    </w:p>
    <w:p>
      <w:pPr>
        <w:pStyle w:val="Heading2"/>
      </w:pPr>
      <w:r>
        <w:t>Entrailles, Maladie de</w:t>
      </w:r>
      <w:r/>
    </w:p>
    <w:p>
      <w:r/>
      <w:r>
        <w:t>Terme utilisé 81 fois dans les Écritures (LSG) mais seulement une fois en lien avec une maladie (</w:t>
      </w:r>
      <w:hyperlink r:id="rId4750">
        <w:r>
          <w:rPr>
            <w:color w:val="0000EE"/>
            <w:u w:val="single"/>
          </w:rPr>
          <w:t>2Ch 21.15–19</w:t>
        </w:r>
      </w:hyperlink>
      <w:r>
        <w:t xml:space="preserve">). Le méchant roi Joram a été puni par une maladie chronique incurable des intestins, qui a entraîné sa mort douloureuse deux ans plus tard. La maladie a provoqué un prolapsus des intestins (v. </w:t>
      </w:r>
      <w:hyperlink r:id="rId4751">
        <w:r>
          <w:rPr>
            <w:color w:val="0000EE"/>
            <w:u w:val="single"/>
          </w:rPr>
          <w:t>19</w:t>
        </w:r>
      </w:hyperlink>
      <w:r>
        <w:t>). Une maladie inflammatoire de l'intestin ou un cancer du côlon ou du rectum pourrait expliquer ces symptômes.</w:t>
      </w:r>
    </w:p>
    <w:p>
      <w:r/>
      <w:r>
        <w:t>La seule maladie intestinale fatale enregistrée dans le Nouveau Testament s'est également produite chez un roi (</w:t>
      </w:r>
      <w:hyperlink r:id="rId2018">
        <w:r>
          <w:rPr>
            <w:color w:val="0000EE"/>
            <w:u w:val="single"/>
          </w:rPr>
          <w:t>Ac 12.21–23</w:t>
        </w:r>
      </w:hyperlink>
      <w:r>
        <w:t xml:space="preserve">). Josèphe, l'historien, rapporte que le roi Hérode, âgé de 54 ans, a souffert de douleurs sévères dans l'abdomen, qui ont duré jusqu'à sa mort cinq jours plus tard. Une obstruction intestinale aiguë, possiblement due à une infestation par des vers ronds, pourrait expliquer ces symptômes. Des vers ronds ont pu être expulsés pendant la maladie, ou des asticots ont pu être vus sur la peau nécrosée, ce qui a conduit à l'observation par Luc qu'Hérode « </w:t>
      </w:r>
      <w:r>
        <w:t>expira, rongé des vers.</w:t>
      </w:r>
      <w:r>
        <w:t xml:space="preserve"> »</w:t>
      </w:r>
    </w:p>
    <w:p>
      <w:r/>
      <w:r>
        <w:rPr>
          <w:i/>
        </w:rPr>
        <w:t>Voir aussi</w:t>
      </w:r>
      <w:r>
        <w:t xml:space="preserve"> </w:t>
      </w:r>
      <w:r>
        <w:t>Maladie</w:t>
      </w:r>
      <w:r>
        <w:t xml:space="preserve"> ; </w:t>
      </w:r>
      <w:r>
        <w:t>Médecine et pratique médicale</w:t>
      </w:r>
      <w:r>
        <w:t>.</w:t>
      </w:r>
      <w:r/>
      <w:r/>
    </w:p>
    <w:p>
      <w:r/>
    </w:p>
    <w:p>
      <w:pPr>
        <w:pStyle w:val="Heading2"/>
      </w:pPr>
      <w:r>
        <w:t>Entraves, Ceps</w:t>
      </w:r>
      <w:r/>
    </w:p>
    <w:p>
      <w:r/>
      <w:r>
        <w:t>Forme courante de punition et de confinement à l'époque biblique (</w:t>
      </w:r>
      <w:hyperlink r:id="rId4370">
        <w:r>
          <w:rPr>
            <w:color w:val="0000EE"/>
            <w:u w:val="single"/>
          </w:rPr>
          <w:t>2Ch 16.10</w:t>
        </w:r>
      </w:hyperlink>
      <w:r>
        <w:t xml:space="preserve"> ; </w:t>
      </w:r>
      <w:hyperlink r:id="rId4372">
        <w:r>
          <w:rPr>
            <w:color w:val="0000EE"/>
            <w:u w:val="single"/>
          </w:rPr>
          <w:t>Ac 16.24</w:t>
        </w:r>
      </w:hyperlink>
      <w:r>
        <w:t>). Les entraves étaient des cadres en bois avec des trous pour verrouiller les pieds, les mains ou le cou d'un prisonnier. Cela empêchait le mouvement et causait un grand inconfort.</w:t>
      </w:r>
    </w:p>
    <w:p>
      <w:r/>
      <w:r>
        <w:rPr>
          <w:i/>
        </w:rPr>
        <w:t>Voir</w:t>
      </w:r>
      <w:r>
        <w:t xml:space="preserve"> </w:t>
      </w:r>
      <w:r>
        <w:t>Droit pénal et châtiment</w:t>
      </w:r>
      <w:r>
        <w:t>.</w:t>
      </w:r>
      <w:r/>
      <w:r/>
    </w:p>
    <w:p>
      <w:r/>
    </w:p>
    <w:p>
      <w:pPr>
        <w:pStyle w:val="Heading2"/>
      </w:pPr>
      <w:r>
        <w:t>Epha (Personne)</w:t>
      </w:r>
      <w:r/>
    </w:p>
    <w:p>
      <w:r/>
      <w:r>
        <w:t>1. Fils de Madian et descendant d'Abraham par sa concubine Ketura (</w:t>
      </w:r>
      <w:hyperlink r:id="rId4622">
        <w:r>
          <w:rPr>
            <w:color w:val="0000EE"/>
            <w:u w:val="single"/>
          </w:rPr>
          <w:t>Gn 25.4</w:t>
        </w:r>
      </w:hyperlink>
      <w:r>
        <w:t xml:space="preserve"> ; </w:t>
      </w:r>
      <w:hyperlink r:id="rId43">
        <w:r>
          <w:rPr>
            <w:color w:val="0000EE"/>
            <w:u w:val="single"/>
          </w:rPr>
          <w:t>1Ch 1.33</w:t>
        </w:r>
      </w:hyperlink>
      <w:r>
        <w:t>). Ésaïe le mentionne comme un marchand d'or (</w:t>
      </w:r>
      <w:hyperlink r:id="rId4752">
        <w:r>
          <w:rPr>
            <w:color w:val="0000EE"/>
            <w:u w:val="single"/>
          </w:rPr>
          <w:t>Es 60.6</w:t>
        </w:r>
      </w:hyperlink>
      <w:r>
        <w:t>). Certains manuscrits mentionnent deux fils de Madian portant le même nom, Épha, mais il s'agit d'une erreur d'orthographe.</w:t>
      </w:r>
    </w:p>
    <w:p>
      <w:r/>
      <w:r>
        <w:t>2. Concubine de Caleb, qui lui a donné trois fils (</w:t>
      </w:r>
      <w:hyperlink r:id="rId4753">
        <w:r>
          <w:rPr>
            <w:color w:val="0000EE"/>
            <w:u w:val="single"/>
          </w:rPr>
          <w:t>1Ch 2.46</w:t>
        </w:r>
      </w:hyperlink>
      <w:r>
        <w:t>).</w:t>
      </w:r>
    </w:p>
    <w:p>
      <w:r/>
      <w:r>
        <w:t>3. Fils de Jahdaï de la tribu de Juda (</w:t>
      </w:r>
      <w:hyperlink r:id="rId4754">
        <w:r>
          <w:rPr>
            <w:color w:val="0000EE"/>
            <w:u w:val="single"/>
          </w:rPr>
          <w:t>1Ch 2.47</w:t>
        </w:r>
      </w:hyperlink>
      <w:r>
        <w:t>).</w:t>
      </w:r>
      <w:r/>
      <w:r/>
    </w:p>
    <w:p>
      <w:r/>
    </w:p>
    <w:p>
      <w:pPr>
        <w:pStyle w:val="Heading2"/>
      </w:pPr>
      <w:r>
        <w:t>Épher</w:t>
      </w:r>
      <w:r/>
    </w:p>
    <w:p>
      <w:r/>
      <w:r>
        <w:t>1. Fils de Madian et petit-fils d'Abraham par sa concubine Ketura, dont la tribu a été envoyée à l'orient. Certains ont soutenu les descendants d'Abraham, tandis que d'autres sont devenus ennemis (</w:t>
      </w:r>
      <w:hyperlink r:id="rId4622">
        <w:r>
          <w:rPr>
            <w:color w:val="0000EE"/>
            <w:u w:val="single"/>
          </w:rPr>
          <w:t>Gn 25.4</w:t>
        </w:r>
      </w:hyperlink>
      <w:r>
        <w:t xml:space="preserve"> ; </w:t>
      </w:r>
      <w:hyperlink r:id="rId43">
        <w:r>
          <w:rPr>
            <w:color w:val="0000EE"/>
            <w:u w:val="single"/>
          </w:rPr>
          <w:t>1Ch 1.33</w:t>
        </w:r>
      </w:hyperlink>
      <w:r>
        <w:t>).</w:t>
      </w:r>
    </w:p>
    <w:p>
      <w:r/>
      <w:r>
        <w:t>2. Fils d'Esdras de la tribu de Juda (</w:t>
      </w:r>
      <w:hyperlink r:id="rId4755">
        <w:r>
          <w:rPr>
            <w:color w:val="0000EE"/>
            <w:u w:val="single"/>
          </w:rPr>
          <w:t>1Ch 4.17</w:t>
        </w:r>
      </w:hyperlink>
      <w:r>
        <w:t>).</w:t>
      </w:r>
    </w:p>
    <w:p>
      <w:r/>
      <w:r>
        <w:t>3. Chef de famille et grand guerrier dans la demi-tribu de Manassé qui vivait entre Basan et le mont Hermon (</w:t>
      </w:r>
      <w:hyperlink r:id="rId4756">
        <w:r>
          <w:rPr>
            <w:color w:val="0000EE"/>
            <w:u w:val="single"/>
          </w:rPr>
          <w:t>1Ch 5.24</w:t>
        </w:r>
      </w:hyperlink>
      <w:r>
        <w:t>).</w:t>
      </w:r>
      <w:r/>
      <w:r/>
    </w:p>
    <w:p>
      <w:r/>
    </w:p>
    <w:p>
      <w:pPr>
        <w:pStyle w:val="Heading2"/>
      </w:pPr>
      <w:r>
        <w:t>Éphèse</w:t>
      </w:r>
      <w:r/>
    </w:p>
    <w:p>
      <w:pPr>
        <w:pStyle w:val="Heading3"/>
      </w:pPr>
      <w:r>
        <w:t>Où se trouve Éphèse ?</w:t>
      </w:r>
    </w:p>
    <w:p>
      <w:r/>
      <w:r>
        <w:t>Éphèse était la ville la plus importante de la province romaine d'Asie. Elle était située sur la côte ouest de l'Asie Mineure, dans l'actuelle Turquie. Éphèse était construite sur un port naturel. L'écrivain romain Pline l'Ancien a dit que les vagues « se brisaient jusqu'au temple de Diane ». Le géographe grec ancien Strabon a décrit Éphèse comme le plus grand centre commercial à l'ouest des montagnes du Taurus. Éphèse était également bien connue comme la « gardienne » du temple de la déesse Artémis, également appelée Diane par les Romains (</w:t>
      </w:r>
      <w:hyperlink r:id="rId4757">
        <w:r>
          <w:rPr>
            <w:color w:val="0000EE"/>
            <w:u w:val="single"/>
          </w:rPr>
          <w:t>Ac 19.34</w:t>
        </w:r>
      </w:hyperlink>
      <w:r>
        <w:t>).</w:t>
      </w:r>
    </w:p>
    <w:p>
      <w:pPr>
        <w:pStyle w:val="Heading3"/>
      </w:pPr>
      <w:r>
        <w:t>Éphèse dans le Nouveau Testament</w:t>
      </w:r>
    </w:p>
    <w:p>
      <w:r/>
      <w:r>
        <w:t>Le christianisme menaçait ce temple païen et le commerce qu'il générait pour ceux qui fabriquaient des idoles. Cela a provoqué une émeute où l'apôtre Paul a failli être tué (</w:t>
      </w:r>
      <w:hyperlink r:id="rId4758">
        <w:r>
          <w:rPr>
            <w:color w:val="0000EE"/>
            <w:u w:val="single"/>
          </w:rPr>
          <w:t>Ac 19.24, 30–31</w:t>
        </w:r>
      </w:hyperlink>
      <w:r>
        <w:t>). Priscille et Aquilas ont été associés à la première prédication de l'Évangile à Éphèse (</w:t>
      </w:r>
      <w:hyperlink r:id="rId4759">
        <w:r>
          <w:rPr>
            <w:color w:val="0000EE"/>
            <w:u w:val="single"/>
          </w:rPr>
          <w:t>18.18–19</w:t>
        </w:r>
      </w:hyperlink>
      <w:r>
        <w:t>). Il en était de même pour Timothée (</w:t>
      </w:r>
      <w:hyperlink r:id="rId4760">
        <w:r>
          <w:rPr>
            <w:color w:val="0000EE"/>
            <w:u w:val="single"/>
          </w:rPr>
          <w:t>1Tm 1.3</w:t>
        </w:r>
      </w:hyperlink>
      <w:r>
        <w:t>) et l'assistant de Paul nommé Éraste (</w:t>
      </w:r>
      <w:hyperlink r:id="rId4761">
        <w:r>
          <w:rPr>
            <w:color w:val="0000EE"/>
            <w:u w:val="single"/>
          </w:rPr>
          <w:t>Ac 19.22</w:t>
        </w:r>
      </w:hyperlink>
      <w:r>
        <w:t>). L'écrivain chrétien primitif Irénée a dit qu'après que l'apôtre Jean a été exilé sur l'île de Patmos (</w:t>
      </w:r>
      <w:hyperlink r:id="rId1615">
        <w:r>
          <w:rPr>
            <w:color w:val="0000EE"/>
            <w:u w:val="single"/>
          </w:rPr>
          <w:t>Ap 1.9</w:t>
        </w:r>
      </w:hyperlink>
      <w:r>
        <w:t>), il est retourné vivre à Éphèse jusqu'à l'époque de l'empereur Trajan (98–117 ap. J.‑C.). Dans sa lettre aux Éphésiens, Paul décrit comment prospérait spirituellement la communauté chrétienne d'Éphèse. Au moment où l'apôtre Jean a écrit le livre de l'Apocalypse, l'Église d'Éphèse avait perdu l'amour qu'elle avait pour Dieu au début (</w:t>
      </w:r>
      <w:hyperlink r:id="rId4762">
        <w:r>
          <w:rPr>
            <w:color w:val="0000EE"/>
            <w:u w:val="single"/>
          </w:rPr>
          <w:t>Ap 2.4</w:t>
        </w:r>
      </w:hyperlink>
      <w:r>
        <w:t>).</w:t>
      </w:r>
    </w:p>
    <w:p>
      <w:pPr>
        <w:pStyle w:val="Heading3"/>
      </w:pPr>
      <w:r>
        <w:t>Histoire antique d'Éphèse</w:t>
      </w:r>
    </w:p>
    <w:p>
      <w:r/>
      <w:r>
        <w:t>Éphèse a été fondée par des Grecs ioniens là où le fleuve Caystre se jetait dans un golfe de la mer Égée. Au moment du troisième voyage missionnaire de l'apôtre Paul, Éphèse existait depuis environ 1 000 ans. La ville vénérait Artémis depuis sa fondation. Le temple a été construit au milieu du 6e siècle av. J.‑C. C'était le plus grand bâtiment du monde hellénistique. De plus, ce bâtiment était le premier temple massif jamais entièrement réalisé en marbre. Il y a deux images d'Artémis magnifiquement sculptées en marbre. Elles datent de la période des empereurs Domitien et Hadrien. Ces empereurs régnaient du vivant de l'apôtre Jean. Le temple de Diane, appelé la « mère des dieux », était considéré comme l'une des sept merveilles du monde antique.</w:t>
      </w:r>
    </w:p>
    <w:p>
      <w:pPr>
        <w:pStyle w:val="Heading3"/>
      </w:pPr>
      <w:r>
        <w:t>Preuves physiques de l'Éphèse antique</w:t>
      </w:r>
    </w:p>
    <w:p>
      <w:r/>
      <w:r>
        <w:t>Le travail de l'archéologue britannique J. T. Wood a conduit à la découverte du temple de Diane en 1869. Pourtant, le grand autel du temple n'a été découvert que récemment. Les fouilles ont révélé que l'autel de Diane était plus grand que l'autel de Zeus, construit plus tard à Pergame. Son premier temple a été partiellement détruit en 356 av. J.‑C., mais il a été reconstruit plus tard selon son plan original.</w:t>
      </w:r>
    </w:p>
    <w:p>
      <w:r/>
      <w:r>
        <w:t xml:space="preserve">Les fouilles ont également mis au jour le théâtre mentionné dans </w:t>
      </w:r>
      <w:hyperlink r:id="rId1301">
        <w:r>
          <w:rPr>
            <w:color w:val="0000EE"/>
            <w:u w:val="single"/>
          </w:rPr>
          <w:t>Actes 19.29</w:t>
        </w:r>
      </w:hyperlink>
      <w:r>
        <w:t>. Il était situé à côté de la principale zone commerçante (agora grecque). Le théâtre avait trois niveaux pouvant accueillir 24 000 personnes. Il mesurait 150 m de large. Il avait deux portes qui s'ouvraient sur la rue la plus impressionnante d'Éphèse. Cette rue menait au port et mesurait environ 10 m de large. De hautes colonnes l'entouraient.</w:t>
      </w:r>
    </w:p>
    <w:p>
      <w:r/>
      <w:r>
        <w:t>La rue passait par une porte magnifique et massive située à son extrémité ouest. Dans l'autre direction, la route continuait autour du théâtre et du marché. Ensuite, elle se dirigeait vers le sud-est entre le mont Koressos et le mont Pion. Au fur et à mesure, la route se rétrécissait. De belles fontaines, des bâtiments civiques, des maisons, des boutiques, une bibliothèque, des bains et un petit théâtre la bordaient. Le théâtre servait probablement aussi de salle de conseil pour les responsables de la ville.</w:t>
      </w:r>
    </w:p>
    <w:p>
      <w:pPr>
        <w:pStyle w:val="Heading3"/>
      </w:pPr>
      <w:r>
        <w:t>La vie quotidienne à Éphèse</w:t>
      </w:r>
    </w:p>
    <w:p>
      <w:r/>
      <w:r>
        <w:t>Éphèse était une société aisée de la classe moyenne supérieure. Elle jouissait de résidences à plusieurs niveaux situées sur les terrasses nord du mont Koressos. Certaines maisons avaient des sols en mosaïque et des murs en marbre. Deux maisons découvertes avaient des salles de bains chauffées. De nombreuses personnes disposaient de l'eau courante. Quelques découvertes suggèrent qu'Éphèse était une ville immorale. Il y avait une maison de prostitution située au centre et des tables de jeu. Des statues de Diane, trouvées avec des caractéristiques sexuelles exagérées, témoignent de thèmes de fertilité.</w:t>
      </w:r>
    </w:p>
    <w:p>
      <w:pPr>
        <w:pStyle w:val="Heading3"/>
      </w:pPr>
      <w:r>
        <w:t>Éphèse dans l'histoire de l'Église</w:t>
      </w:r>
    </w:p>
    <w:p>
      <w:r/>
      <w:r>
        <w:t xml:space="preserve">Éphèse a ressenti l'impact du christianisme pendant des siècles. En 431 ap. J.‑C., le troisième concile œcuménique s'est réuni au nord-ouest du théâtre dans l'Église de Marie. Ce concile a établi le titre de Marie, la mère de Jésus, comme la « Mère de Dieu » (grec </w:t>
      </w:r>
      <w:r>
        <w:rPr>
          <w:i/>
        </w:rPr>
        <w:t>Theotokos</w:t>
      </w:r>
      <w:r>
        <w:t xml:space="preserve">). À cette époque, le temple de Diane n'était plus influent parmi les Éphésiens, dû au fait que les Goths avaient brûlé son temple en 262 ap. J.‑C. Le message de l'apôtre Paul s'était en quelque sorte réalisé : « </w:t>
      </w:r>
      <w:r>
        <w:t>les dieux faits de main d’homme ne sont pas des dieux</w:t>
      </w:r>
      <w:r>
        <w:t xml:space="preserve"> » (</w:t>
      </w:r>
      <w:hyperlink r:id="rId4087">
        <w:r>
          <w:rPr>
            <w:color w:val="0000EE"/>
            <w:u w:val="single"/>
          </w:rPr>
          <w:t>Ac 19.26</w:t>
        </w:r>
      </w:hyperlink>
      <w:r>
        <w:t>).</w:t>
      </w:r>
    </w:p>
    <w:p>
      <w:r/>
      <w:r>
        <w:rPr>
          <w:i/>
        </w:rPr>
        <w:t>Voir aussi</w:t>
      </w:r>
      <w:r>
        <w:t xml:space="preserve"> </w:t>
      </w:r>
      <w:r>
        <w:t>Éphésiens, Lettre aux</w:t>
      </w:r>
      <w:r>
        <w:t>.</w:t>
      </w:r>
      <w:r/>
      <w:r/>
    </w:p>
    <w:p>
      <w:r/>
    </w:p>
    <w:p>
      <w:pPr>
        <w:pStyle w:val="Heading2"/>
      </w:pPr>
      <w:r>
        <w:t>Éphésiens, Lettre aux</w:t>
      </w:r>
      <w:r/>
    </w:p>
    <w:p>
      <w:r/>
      <w:r>
        <w:t>Lettre aux chrétiens d'Éphèse et aux églises environnantes, écrite avec une magnificence qui instruit et inspire le lecteur tout à la fois. Elle offre une vue d'ensemble du rôle de l'Église alors que l'histoire progresse vers la reconnaissance ultime de la souveraineté universelle de Christ.</w:t>
      </w:r>
    </w:p>
    <w:p>
      <w:r/>
      <w:r>
        <w:t>Vue d'ensemble</w:t>
      </w:r>
    </w:p>
    <w:p>
      <w:r/>
      <w:r>
        <w:t xml:space="preserve">• </w:t>
      </w:r>
      <w:r>
        <w:rPr>
          <w:b/>
          <w:u w:val="single"/>
        </w:rPr>
        <w:t>Auteur</w:t>
      </w:r>
    </w:p>
    <w:p>
      <w:r/>
      <w:r>
        <w:t xml:space="preserve">• </w:t>
      </w:r>
      <w:r>
        <w:rPr>
          <w:b/>
          <w:u w:val="single"/>
        </w:rPr>
        <w:t>Destinataires</w:t>
      </w:r>
    </w:p>
    <w:p>
      <w:r/>
      <w:r>
        <w:t xml:space="preserve">• </w:t>
      </w:r>
      <w:r>
        <w:rPr>
          <w:b/>
          <w:u w:val="single"/>
        </w:rPr>
        <w:t>Date et origine</w:t>
      </w:r>
    </w:p>
    <w:p>
      <w:r/>
      <w:r>
        <w:t xml:space="preserve">• </w:t>
      </w:r>
      <w:r>
        <w:rPr>
          <w:b/>
          <w:u w:val="single"/>
        </w:rPr>
        <w:t>Contexte</w:t>
      </w:r>
    </w:p>
    <w:p>
      <w:r/>
      <w:r>
        <w:t xml:space="preserve">• </w:t>
      </w:r>
      <w:r>
        <w:rPr>
          <w:b/>
          <w:u w:val="single"/>
        </w:rPr>
        <w:t>Objectif et enseignement théologique</w:t>
      </w:r>
    </w:p>
    <w:p>
      <w:r/>
      <w:r>
        <w:t xml:space="preserve">• </w:t>
      </w:r>
      <w:r>
        <w:rPr>
          <w:b/>
          <w:u w:val="single"/>
        </w:rPr>
        <w:t>Contenu</w:t>
      </w:r>
    </w:p>
    <w:p>
      <w:pPr>
        <w:pStyle w:val="Heading3"/>
      </w:pPr>
      <w:r>
        <w:t>Auteur</w:t>
      </w:r>
    </w:p>
    <w:p>
      <w:r/>
      <w:r>
        <w:t>L'auteur de la lettre s'identifie comme l'apôtre Paul (</w:t>
      </w:r>
      <w:hyperlink r:id="rId1058">
        <w:r>
          <w:rPr>
            <w:color w:val="0000EE"/>
            <w:u w:val="single"/>
          </w:rPr>
          <w:t>Ep 1.1</w:t>
        </w:r>
      </w:hyperlink>
      <w:r>
        <w:t xml:space="preserve"> ; </w:t>
      </w:r>
      <w:hyperlink r:id="rId2900">
        <w:r>
          <w:rPr>
            <w:color w:val="0000EE"/>
            <w:u w:val="single"/>
          </w:rPr>
          <w:t>3.1</w:t>
        </w:r>
      </w:hyperlink>
      <w:r>
        <w:t>). Il décrit également son propre ministère en des termes qui reflètent ce que nous savons de Paul (</w:t>
      </w:r>
      <w:hyperlink r:id="rId4763">
        <w:r>
          <w:rPr>
            <w:color w:val="0000EE"/>
            <w:u w:val="single"/>
          </w:rPr>
          <w:t>3.7, 13</w:t>
        </w:r>
      </w:hyperlink>
      <w:r>
        <w:t xml:space="preserve"> ; </w:t>
      </w:r>
      <w:hyperlink r:id="rId2901">
        <w:r>
          <w:rPr>
            <w:color w:val="0000EE"/>
            <w:u w:val="single"/>
          </w:rPr>
          <w:t>4.1</w:t>
        </w:r>
      </w:hyperlink>
      <w:r>
        <w:t xml:space="preserve"> ; </w:t>
      </w:r>
      <w:hyperlink r:id="rId4764">
        <w:r>
          <w:rPr>
            <w:color w:val="0000EE"/>
            <w:u w:val="single"/>
          </w:rPr>
          <w:t>6.19–20</w:t>
        </w:r>
      </w:hyperlink>
      <w:r>
        <w:t>). Cette affirmation est confirmée par les témoignages d'Irénée, Origène, Polycarpe, Tertullien et Ignace, qui, dans sa propre épître aux Éphésiens, fait allusion à la mention fréquente et affectueuse faite par Paul de l'état, des privilèges et des personnes chrétiens dans l'Église des Éphésiens.</w:t>
      </w:r>
    </w:p>
    <w:p>
      <w:r/>
      <w:r>
        <w:t>Il y a certaines caractéristiques de la lettre qui ont amené de nombreux experts à remettre en question sa paternité paulinienne authentique. Certaines de ces caractéristiques ne poseraient problème que si la lettre était destinée exclusivement aux habitants d'Éphèse, mais tel n'était probablement pas le cas. Il serait difficile, sinon, de comprendre pourquoi, après avoir établi l'Église là-bas sur une période de trois ans, Paul écrirait comme si l'auteur et les destinataires n'avaient qu'une connaissance indirecte les uns des autres. Il serait également étrange que les mots chaleureux de salutations personnelles à divers individus, que l'on trouve dans d'autres lettres pauliniennes, soient absents ici. Il y a, à la place, seulement une salutation générale aux « frères » (</w:t>
      </w:r>
      <w:hyperlink r:id="rId4765">
        <w:r>
          <w:rPr>
            <w:color w:val="0000EE"/>
            <w:u w:val="single"/>
          </w:rPr>
          <w:t>6.23</w:t>
        </w:r>
      </w:hyperlink>
      <w:r>
        <w:t>). Mais tout cela peut être facilement expliqué une fois qu'il est compris que l'épître était une encyclique pour plusieurs Églises.</w:t>
      </w:r>
    </w:p>
    <w:p>
      <w:pPr>
        <w:pStyle w:val="Heading3"/>
      </w:pPr>
      <w:r>
        <w:t>Destinataires</w:t>
      </w:r>
    </w:p>
    <w:p>
      <w:r/>
      <w:r>
        <w:t xml:space="preserve">Cette épître était très probablement adressée à plusieurs Églises dans le district autour d'Éphèse (l'Asie). L'Épître aux Éphésiens, ainsi nommée, n'était pas réellement destinée uniquement à l'Église d'Éphèse. La plupart des experts modernes s'accordent à dire qu'il s'agissait d'une encyclique envoyée à plusieurs églises en Asie, y compris Éphèse. Il y a plusieurs raisons de le penser. Premièrement, les manuscrits les plus anciens (le Papyrus Chester Beatty—P 46, le Codex Sinaiticus, le Codex Vaticanus) ne contiennent pas les mots « à Éphèse » dans </w:t>
      </w:r>
      <w:hyperlink r:id="rId1058">
        <w:r>
          <w:rPr>
            <w:color w:val="0000EE"/>
            <w:u w:val="single"/>
          </w:rPr>
          <w:t>Éphésiens 1.1</w:t>
        </w:r>
      </w:hyperlink>
      <w:r>
        <w:t xml:space="preserve">. Il semble que Paul ait délibérément omis le nom de la localité, afin qu'il soit ajouté plus tard au fur et à mesure que la lettre circulait dans chaque localité (la syntaxe grecque dans </w:t>
      </w:r>
      <w:hyperlink r:id="rId1058">
        <w:r>
          <w:rPr>
            <w:color w:val="0000EE"/>
            <w:u w:val="single"/>
          </w:rPr>
          <w:t>1.1</w:t>
        </w:r>
      </w:hyperlink>
      <w:r>
        <w:t xml:space="preserve"> requiert qu'une phrase prépositionnelle désignant une localité soit présente dans la phrase.) Puisqu'Éphèse était la ville principale d'Asie, il était tout à fait naturel pour les scribes d'associer cette épître à l'Église d'Éphèse. Deuxièmement, l'Épître aux Éphésiens a toutes les caractéristiques d'un traité général plutôt que d'une épître à une Église locale spécifique. Paul avait vécu avec les croyants d'Éphèse pendant trois ans (</w:t>
      </w:r>
      <w:hyperlink r:id="rId4766">
        <w:r>
          <w:rPr>
            <w:color w:val="0000EE"/>
            <w:u w:val="single"/>
          </w:rPr>
          <w:t>Ac 20.31</w:t>
        </w:r>
      </w:hyperlink>
      <w:r>
        <w:t xml:space="preserve">). Il les connaissait intimement ; cependant dans cette épître, il n'y a ni salutations personnelles ni exhortations spécifiques. Quand nous considérons la manière de Paul dans beaucoup de ses autres épîtres, il serait très inhabituel pour lui d'avoir exclu ces expressions personnelles. Bien au contraire, Paul s'adresse aux saints dont il a seulement entendu parler et qui ont seulement entendu parler de lui (voir </w:t>
      </w:r>
      <w:hyperlink r:id="rId4767">
        <w:r>
          <w:rPr>
            <w:color w:val="0000EE"/>
            <w:u w:val="single"/>
          </w:rPr>
          <w:t>Ep 1.15</w:t>
        </w:r>
      </w:hyperlink>
      <w:r>
        <w:t xml:space="preserve"> ; </w:t>
      </w:r>
      <w:hyperlink r:id="rId2900">
        <w:r>
          <w:rPr>
            <w:color w:val="0000EE"/>
            <w:u w:val="single"/>
          </w:rPr>
          <w:t>3.1</w:t>
        </w:r>
      </w:hyperlink>
      <w:r>
        <w:t>). Il est possible que cette épître ait été celle envoyée à Laodicée.</w:t>
      </w:r>
    </w:p>
    <w:p>
      <w:r/>
      <w:r>
        <w:t>Il convient néanmoins de signaler que la théorie encyclique a été contestée par certains experts. Henry Alford, par exemple, formule les objections suivantes à cette théorie : (1) Elle est en contradiction avec l'esprit de l'épître, qui est clairement adressée à un groupe de personnes coexistant en un seul lieu et comme un seul corps et dans les mêmes circonstances, d'un bout à l'autre de l'épître. (2) Il est improbable que l'apôtre, qui dans deux de ses épîtres (2 Corinthiens et Galates) a si clairement spécifié leur caractère encyclique, ait ici omis une telle spécification. (3) L'absence de salutations personnelles n'est pas un argument pour l'une ou l'autre des deux théories, car il n'y en a pas non plus dans Galates, Philippiens, 1 et 2 Thessaloniciens, et 1 Timothée. Plus il connaît les parties à qui il s'adresse, et plus le sujet est général et solennel, moins il semble offrir de ces notes individuelles.</w:t>
      </w:r>
    </w:p>
    <w:p>
      <w:pPr>
        <w:pStyle w:val="Heading3"/>
      </w:pPr>
      <w:r>
        <w:t>Date et origine</w:t>
      </w:r>
    </w:p>
    <w:p>
      <w:r/>
      <w:hyperlink r:id="rId2900">
        <w:r>
          <w:rPr>
            <w:color w:val="0000EE"/>
            <w:u w:val="single"/>
          </w:rPr>
          <w:t>Éphésiens 3.1</w:t>
        </w:r>
      </w:hyperlink>
      <w:r>
        <w:t xml:space="preserve">, </w:t>
      </w:r>
      <w:hyperlink r:id="rId2901">
        <w:r>
          <w:rPr>
            <w:color w:val="0000EE"/>
            <w:u w:val="single"/>
          </w:rPr>
          <w:t>4.1</w:t>
        </w:r>
      </w:hyperlink>
      <w:r>
        <w:t xml:space="preserve"> et </w:t>
      </w:r>
      <w:hyperlink r:id="rId2902">
        <w:r>
          <w:rPr>
            <w:color w:val="0000EE"/>
            <w:u w:val="single"/>
          </w:rPr>
          <w:t>6.20</w:t>
        </w:r>
      </w:hyperlink>
      <w:r>
        <w:t xml:space="preserve"> indiquent que la lettre a été écrite alors que Paul était prisonnier. Puisqu'il a été emprisonné plusieurs fois, il est nécessaire de restreindre les options. La première grande incarcération peut avoir eu lieu à Éphèse même, mais cela n'est évidemment pas pris en compte. La deuxième était à Césarée pendant deux ans (</w:t>
      </w:r>
      <w:hyperlink r:id="rId2630">
        <w:r>
          <w:rPr>
            <w:color w:val="0000EE"/>
            <w:u w:val="single"/>
          </w:rPr>
          <w:t>Ac 24.27</w:t>
        </w:r>
      </w:hyperlink>
      <w:r>
        <w:t xml:space="preserve"> ; voir </w:t>
      </w:r>
      <w:hyperlink r:id="rId4768">
        <w:r>
          <w:rPr>
            <w:color w:val="0000EE"/>
            <w:u w:val="single"/>
          </w:rPr>
          <w:t>23.23–24, 33</w:t>
        </w:r>
      </w:hyperlink>
      <w:r>
        <w:t>). Il est possible que Paul ait écrit certaines lettres à ce moment-là, mais la plupart des experts pensent que l'épître aux Éphésiens (avec Colossiens, Philémon et probablement Philippiens) a été écrite pendant l'emprisonnement de Paul à Rome (</w:t>
      </w:r>
      <w:hyperlink r:id="rId4769">
        <w:r>
          <w:rPr>
            <w:color w:val="0000EE"/>
            <w:u w:val="single"/>
          </w:rPr>
          <w:t>28.16, 30</w:t>
        </w:r>
      </w:hyperlink>
      <w:r>
        <w:t>), qui a probablement eu lieu entre 59 et 63 ap. J.‑C. et a duré deux ans. Cette période, suivant environ 25 ans de croissance spirituelle et environ 12 ans d'expérience missionnaire, a offert à Paul une excellente occasion de réflexion et d'écriture.</w:t>
      </w:r>
    </w:p>
    <w:p>
      <w:pPr>
        <w:pStyle w:val="Heading3"/>
      </w:pPr>
      <w:r>
        <w:t>Contexte</w:t>
      </w:r>
    </w:p>
    <w:p>
      <w:r/>
      <w:r>
        <w:t>Éphèse était la ville la plus importante d'Asie Mineure, située sur le fleuve Caystre, avec un port sur la mer Égée. Grâce à cet emplacement, elle est devenue un centre de voyages commerciaux, et d'importantes routes commerciales y menaient depuis plusieurs directions. Un grand temple païen dédié à la déesse Artémis (Diane) se trouvait à Éphèse. Paul a fait de la ville un centre de ministère évangélistique et d'édification d'Églises (</w:t>
      </w:r>
      <w:hyperlink r:id="rId1391">
        <w:r>
          <w:rPr>
            <w:color w:val="0000EE"/>
            <w:u w:val="single"/>
          </w:rPr>
          <w:t>Ac 19</w:t>
        </w:r>
      </w:hyperlink>
      <w:r>
        <w:t>), y passant trois ans (</w:t>
      </w:r>
      <w:hyperlink r:id="rId4766">
        <w:r>
          <w:rPr>
            <w:color w:val="0000EE"/>
            <w:u w:val="single"/>
          </w:rPr>
          <w:t>20.31</w:t>
        </w:r>
      </w:hyperlink>
      <w:r>
        <w:t>). Il était donc naturel qu'une lettre destinée à un large lectorat dans cette partie de l'Asie Mineure ait Éphèse comme destinataire principale.</w:t>
      </w:r>
    </w:p>
    <w:p>
      <w:r/>
      <w:r>
        <w:t xml:space="preserve">La première visite de Paul à Éphèse (sur la côte de Lydie, près du fleuve Caystre) est relatée dans </w:t>
      </w:r>
      <w:hyperlink r:id="rId1398">
        <w:r>
          <w:rPr>
            <w:color w:val="0000EE"/>
            <w:u w:val="single"/>
          </w:rPr>
          <w:t>Actes 18.19–21</w:t>
        </w:r>
      </w:hyperlink>
      <w:r>
        <w:t xml:space="preserve">. L'œuvre, commencée par ses discussions avec les Juifs lors de sa courte visite, a été poursuivie par Apollos (v. </w:t>
      </w:r>
      <w:hyperlink r:id="rId4770">
        <w:r>
          <w:rPr>
            <w:color w:val="0000EE"/>
            <w:u w:val="single"/>
          </w:rPr>
          <w:t>24–26</w:t>
        </w:r>
      </w:hyperlink>
      <w:r>
        <w:t>) ainsi qu'Aquilas et Priscille (</w:t>
      </w:r>
      <w:hyperlink r:id="rId4771">
        <w:r>
          <w:rPr>
            <w:color w:val="0000EE"/>
            <w:u w:val="single"/>
          </w:rPr>
          <w:t>18.26</w:t>
        </w:r>
      </w:hyperlink>
      <w:r>
        <w:t>). Lors de sa deuxième visite, après son voyage à Jérusalem, puis vers les régions orientales de l'Asie Mineure, il est resté à Éphèse « trois ans » (</w:t>
      </w:r>
      <w:hyperlink r:id="rId1399">
        <w:r>
          <w:rPr>
            <w:color w:val="0000EE"/>
            <w:u w:val="single"/>
          </w:rPr>
          <w:t xml:space="preserve">19.10 </w:t>
        </w:r>
      </w:hyperlink>
      <w:r>
        <w:t xml:space="preserve">[les « deux ans » dans ce verset ne sont qu'une </w:t>
      </w:r>
      <w:r>
        <w:rPr>
          <w:i/>
        </w:rPr>
        <w:t>partie</w:t>
      </w:r>
      <w:r>
        <w:t xml:space="preserve"> du temps] ; </w:t>
      </w:r>
      <w:hyperlink r:id="rId4766">
        <w:r>
          <w:rPr>
            <w:color w:val="0000EE"/>
            <w:u w:val="single"/>
          </w:rPr>
          <w:t>20.31</w:t>
        </w:r>
      </w:hyperlink>
      <w:r>
        <w:t>). Par conséquent, la fondation et l'édification de cette Église ont occupé une part exceptionnellement grande du temps et de l'attention de l'apôtre. Le langage dans l'épître montre une chaleur de sentiment et une libre expression de pensée, ainsi qu'une union dans les privilèges spirituels et l'espérance entre lui et eux, qui sont naturels de la part de quelqu'un si longtemps et si intimement associé à ceux auxquels il s'adresse. Lors de son dernier voyage à Jérusalem, il a navigué par Éphèse et a convoqué les anciens de l'Église d'Éphèse pour le rencontrer à Milet, où il a prononcé son remarquable discours d'adieu (</w:t>
      </w:r>
      <w:hyperlink r:id="rId4772">
        <w:r>
          <w:rPr>
            <w:color w:val="0000EE"/>
            <w:u w:val="single"/>
          </w:rPr>
          <w:t>20.18–35</w:t>
        </w:r>
      </w:hyperlink>
      <w:r>
        <w:t>).</w:t>
      </w:r>
    </w:p>
    <w:p>
      <w:pPr>
        <w:pStyle w:val="Heading3"/>
      </w:pPr>
      <w:r>
        <w:t>Objectif et enseignement théologique</w:t>
      </w:r>
    </w:p>
    <w:p>
      <w:r/>
      <w:r>
        <w:t xml:space="preserve">On peut dire que le but d'Éphésiens est « doxologique » ; c'est-à-dire qu'il cherche à amener les lecteurs à glorifier Dieu, à la fois par des louanges reconnaissantes et par leur manière de vivre. Cela se voit dans la section d'ouverture, qui ressemble à un hymne au niveau de son style : « </w:t>
      </w:r>
      <w:r>
        <w:t>Béni soit Dieu, le Père de notre Seigneur Jésus-Christ</w:t>
      </w:r>
      <w:r>
        <w:t xml:space="preserve"> » (</w:t>
      </w:r>
      <w:hyperlink r:id="rId2699">
        <w:r>
          <w:rPr>
            <w:color w:val="0000EE"/>
            <w:u w:val="single"/>
          </w:rPr>
          <w:t>Ep 1.3</w:t>
        </w:r>
      </w:hyperlink>
      <w:r>
        <w:t xml:space="preserve"> ; voir la Doxologie souvent chantée dans l'Église). Paul dit trois fois dans le premier chapitre que le résultat des bénédictions de Dieu devrait être la louange (</w:t>
      </w:r>
      <w:hyperlink r:id="rId4773">
        <w:r>
          <w:rPr>
            <w:color w:val="0000EE"/>
            <w:u w:val="single"/>
          </w:rPr>
          <w:t>Ep 1.6, 1.12, 1.14</w:t>
        </w:r>
      </w:hyperlink>
      <w:r>
        <w:t>).</w:t>
      </w:r>
    </w:p>
    <w:p>
      <w:r/>
      <w:r>
        <w:t>Bien que la lettre contienne de nombreuses instructions doctrinales et morales (ces dernières étant solidement basées sur les premières), son but n'est pas seulement l'enseignement ou l'exhortation, aussi importants soient-ils. Il s'agit plutôt d'élever ses lecteurs vers un nouveau point de vue qui les aidera à s'identifier au Christ ressuscité et ascensionné et à partager sa perspective sur l'Église et son rôle dans le monde.</w:t>
      </w:r>
    </w:p>
    <w:p>
      <w:r/>
      <w:r>
        <w:t xml:space="preserve">Dans ce contexte, un terme significatif apparaît dans </w:t>
      </w:r>
      <w:hyperlink r:id="rId2699">
        <w:r>
          <w:rPr>
            <w:color w:val="0000EE"/>
            <w:u w:val="single"/>
          </w:rPr>
          <w:t>1.3</w:t>
        </w:r>
      </w:hyperlink>
      <w:r>
        <w:t xml:space="preserve"> et ailleurs. La meilleure traduction de ce termes est sans doute « lieux célestes ». Il est différent, au niveau de sa forme, du mot habituel pour « ciel » et semble avoir une signification spéciale dans Éphésiens comme le domaine du règne victorieux de Jésus à l'époque actuelle. Cela se voit dans </w:t>
      </w:r>
      <w:hyperlink r:id="rId1331">
        <w:r>
          <w:rPr>
            <w:color w:val="0000EE"/>
            <w:u w:val="single"/>
          </w:rPr>
          <w:t>1.20</w:t>
        </w:r>
      </w:hyperlink>
      <w:r>
        <w:t xml:space="preserve">, lu dans le contexte des versets </w:t>
      </w:r>
      <w:hyperlink r:id="rId4774">
        <w:r>
          <w:rPr>
            <w:color w:val="0000EE"/>
            <w:u w:val="single"/>
          </w:rPr>
          <w:t>19–23</w:t>
        </w:r>
      </w:hyperlink>
      <w:r>
        <w:t xml:space="preserve">. Quels que soient les êtres qui peuvent exister, Christ est au-dessus d'eux tous. Les croyants, bien qu'évidemment sur terre physiquement, sont faits « </w:t>
      </w:r>
      <w:r>
        <w:t>asseoir ensemble dans les lieux célestes, en Jésus-Christ</w:t>
      </w:r>
      <w:r>
        <w:t xml:space="preserve"> » (</w:t>
      </w:r>
      <w:hyperlink r:id="rId2701">
        <w:r>
          <w:rPr>
            <w:color w:val="0000EE"/>
            <w:u w:val="single"/>
          </w:rPr>
          <w:t>2.6</w:t>
        </w:r>
      </w:hyperlink>
      <w:r>
        <w:t>) et sont « bénis » (</w:t>
      </w:r>
      <w:hyperlink r:id="rId2699">
        <w:r>
          <w:rPr>
            <w:color w:val="0000EE"/>
            <w:u w:val="single"/>
          </w:rPr>
          <w:t>1.3</w:t>
        </w:r>
      </w:hyperlink>
      <w:r>
        <w:t>), puisant dans les ressources illimitées du ciel pour leur vie quotidienne. C'est aussi dans ce domaine qu'a lieu le conflit spirituel (</w:t>
      </w:r>
      <w:hyperlink r:id="rId2703">
        <w:r>
          <w:rPr>
            <w:color w:val="0000EE"/>
            <w:u w:val="single"/>
          </w:rPr>
          <w:t>6.12</w:t>
        </w:r>
      </w:hyperlink>
      <w:r>
        <w:t>).</w:t>
      </w:r>
    </w:p>
    <w:p>
      <w:r/>
      <w:r>
        <w:t>Paul clarifie ainsi que les chrétiens ne doivent pas avoir une perspective limitée ou simplement terrestre. Ceux qui le font pensent à tort que leurs ennemis sont des personnes (</w:t>
      </w:r>
      <w:hyperlink r:id="rId2703">
        <w:r>
          <w:rPr>
            <w:color w:val="0000EE"/>
            <w:u w:val="single"/>
          </w:rPr>
          <w:t>6.12</w:t>
        </w:r>
      </w:hyperlink>
      <w:r>
        <w:t>) et que nos ressources sont humaines (</w:t>
      </w:r>
      <w:hyperlink r:id="rId4775">
        <w:r>
          <w:rPr>
            <w:color w:val="0000EE"/>
            <w:u w:val="single"/>
          </w:rPr>
          <w:t>2Co 10.3–4</w:t>
        </w:r>
      </w:hyperlink>
      <w:r>
        <w:t>). Avec cette orientation vers le monde céleste de l'exaltation présente du Seigneur, le lecteur est préparé à comprendre que l'Église ne fonctionne pas simplement pour mener des activités de routine ici bas, mais qu'elle affiche la sagesse de Dieu aux êtres qui existent dans les royaumes célestes (</w:t>
      </w:r>
      <w:hyperlink r:id="rId2702">
        <w:r>
          <w:rPr>
            <w:color w:val="0000EE"/>
            <w:u w:val="single"/>
          </w:rPr>
          <w:t>Ep 3.10</w:t>
        </w:r>
      </w:hyperlink>
      <w:r>
        <w:t>). Même la fonction des dirigeants de l'Église est discutée en termes de dons du Christ monté aux cieux (</w:t>
      </w:r>
      <w:hyperlink r:id="rId4776">
        <w:r>
          <w:rPr>
            <w:color w:val="0000EE"/>
            <w:u w:val="single"/>
          </w:rPr>
          <w:t>4.8–10</w:t>
        </w:r>
      </w:hyperlink>
      <w:r>
        <w:t>).</w:t>
      </w:r>
    </w:p>
    <w:p>
      <w:r/>
      <w:r>
        <w:t xml:space="preserve">Le sentiment de « but ultime » dans Éphésiens est très fort. Le premier chapitre contient plusieurs expressions différentes de ce but. Le grand objectif de l'histoire est exprimé dans </w:t>
      </w:r>
      <w:hyperlink r:id="rId4777">
        <w:r>
          <w:rPr>
            <w:color w:val="0000EE"/>
            <w:u w:val="single"/>
          </w:rPr>
          <w:t>1.10</w:t>
        </w:r>
      </w:hyperlink>
      <w:r>
        <w:t xml:space="preserve">. Cette question de l'objectif ultime n'est jamais perdu de vue. L'Église est même vue, dans le chapitre </w:t>
      </w:r>
      <w:hyperlink r:id="rId4778">
        <w:r>
          <w:rPr>
            <w:color w:val="0000EE"/>
            <w:u w:val="single"/>
          </w:rPr>
          <w:t>3</w:t>
        </w:r>
      </w:hyperlink>
      <w:r>
        <w:t>, comme l'expression du plan éternel et secret de Dieu. Il y a aussi un mouvement tout au long de la lettre, de (1) la réconciliation des individus avec Dieu, à (2) leur réconciliation les uns avec les autres, à (3) leur vie ensemble dans l'Église. Il n'y a pas de débat sur ces différents points au fil de l'écrit, comme on en trouve dans la plupart des lettres, mais plutôt une série connectée d'affirmations, chacune menant le lecteur à la suivante.</w:t>
      </w:r>
    </w:p>
    <w:p>
      <w:r/>
      <w:r>
        <w:t>Paul discute de plusieurs sujets sous cette perspective céleste et du sens de l'objectif que cela procure. Ces sujets seront abordés ci-dessous de manière à montrer leur interconnexion, plutôt que nécessairement dans l'ordre de leur importance ou de leur prééminence dans Éphésiens.</w:t>
      </w:r>
    </w:p>
    <w:p>
      <w:pPr>
        <w:pStyle w:val="Heading4"/>
      </w:pPr>
      <w:r>
        <w:t>L’Église</w:t>
      </w:r>
    </w:p>
    <w:p>
      <w:r/>
      <w:r>
        <w:t>Paul utilise plusieurs figures de style pour décrire l'Église, y compris une maisonnée, un temple et un corps (</w:t>
      </w:r>
      <w:hyperlink r:id="rId312">
        <w:r>
          <w:rPr>
            <w:color w:val="0000EE"/>
            <w:u w:val="single"/>
          </w:rPr>
          <w:t>1.22–23</w:t>
        </w:r>
      </w:hyperlink>
      <w:r>
        <w:t xml:space="preserve"> ; </w:t>
      </w:r>
      <w:hyperlink r:id="rId4779">
        <w:r>
          <w:rPr>
            <w:color w:val="0000EE"/>
            <w:u w:val="single"/>
          </w:rPr>
          <w:t>2.19–22</w:t>
        </w:r>
      </w:hyperlink>
      <w:r>
        <w:t>). Il est peut être même insuffisant de qualifier le mot « corps » de figure de style, car il semble s'agir de plus que cela. Il y a un sens dans lequel Christ et l'Église ont une véritable relation organique, dans laquelle il fonctionne comme la tête et les croyants comme des parties de son corps.</w:t>
      </w:r>
    </w:p>
    <w:p>
      <w:r/>
      <w:r>
        <w:t>L'Église est la résultante de l'œuvre de réconciliation de Christ, dont la mort a établi la paix entre Juifs et Gentils, autrefois hostiles entre eux (</w:t>
      </w:r>
      <w:hyperlink r:id="rId4780">
        <w:r>
          <w:rPr>
            <w:color w:val="0000EE"/>
            <w:u w:val="single"/>
          </w:rPr>
          <w:t>2.11–18</w:t>
        </w:r>
      </w:hyperlink>
      <w:r>
        <w:t>). L'unité qui en naît a été planifiée depuis longtemps par Dieu (</w:t>
      </w:r>
      <w:hyperlink r:id="rId4781">
        <w:r>
          <w:rPr>
            <w:color w:val="0000EE"/>
            <w:u w:val="single"/>
          </w:rPr>
          <w:t>3.2–6</w:t>
        </w:r>
      </w:hyperlink>
      <w:r>
        <w:t xml:space="preserve">) et est renforcée par une attitude appropriée et un ministère mutuel (chap. </w:t>
      </w:r>
      <w:hyperlink r:id="rId4782">
        <w:r>
          <w:rPr>
            <w:color w:val="0000EE"/>
            <w:u w:val="single"/>
          </w:rPr>
          <w:t>4</w:t>
        </w:r>
      </w:hyperlink>
      <w:r>
        <w:t>).</w:t>
      </w:r>
    </w:p>
    <w:p>
      <w:r/>
      <w:r>
        <w:t>Une caractéristique particulièrement remarquable d'Éphésiens est le parallèle établi entre la relation entre un mari et une femme et celle entre Christ et l'Église (</w:t>
      </w:r>
      <w:hyperlink r:id="rId4783">
        <w:r>
          <w:rPr>
            <w:color w:val="0000EE"/>
            <w:u w:val="single"/>
          </w:rPr>
          <w:t>5.22–33</w:t>
        </w:r>
      </w:hyperlink>
      <w:r>
        <w:t>). Dans cette comparaison, la réalité première n'est pas le mariage, avec la relation de Christ et de l'Église servant uniquement d'illustration. Au contraire, c'est Christ et l'Église qui sont la réalité essentielle.</w:t>
      </w:r>
    </w:p>
    <w:p>
      <w:pPr>
        <w:pStyle w:val="Heading4"/>
      </w:pPr>
      <w:r>
        <w:t>La Seigneurie de Christ</w:t>
      </w:r>
    </w:p>
    <w:p>
      <w:r/>
      <w:r>
        <w:t>Non seulement Christ est-il le chef de l'Église, mais il est à la tête de toutes choses pour le bénéfice de l'Église (</w:t>
      </w:r>
      <w:hyperlink r:id="rId4558">
        <w:r>
          <w:rPr>
            <w:color w:val="0000EE"/>
            <w:u w:val="single"/>
          </w:rPr>
          <w:t>1.22</w:t>
        </w:r>
      </w:hyperlink>
      <w:r>
        <w:t xml:space="preserve">). Le sens de </w:t>
      </w:r>
      <w:hyperlink r:id="rId4777">
        <w:r>
          <w:rPr>
            <w:color w:val="0000EE"/>
            <w:u w:val="single"/>
          </w:rPr>
          <w:t>1.10</w:t>
        </w:r>
      </w:hyperlink>
      <w:r>
        <w:t xml:space="preserve"> est que les parties et les êtres actuellement disparates de l'univers seront mis en ordre sous la direction de Christ. Cette domination universelle est anticipée dans l'ascension et l'exaltation présentes de Christ. L'expression de domination universelle selon laquelle « Dieu a mis toutes choses sous ses pieds » (</w:t>
      </w:r>
      <w:hyperlink r:id="rId4558">
        <w:r>
          <w:rPr>
            <w:color w:val="0000EE"/>
            <w:u w:val="single"/>
          </w:rPr>
          <w:t>1.22</w:t>
        </w:r>
      </w:hyperlink>
      <w:r>
        <w:t xml:space="preserve">, de </w:t>
      </w:r>
      <w:hyperlink r:id="rId4784">
        <w:r>
          <w:rPr>
            <w:color w:val="0000EE"/>
            <w:u w:val="single"/>
          </w:rPr>
          <w:t>Ps 8.6</w:t>
        </w:r>
      </w:hyperlink>
      <w:r>
        <w:t>) renforce cette attente.</w:t>
      </w:r>
    </w:p>
    <w:p>
      <w:pPr>
        <w:pStyle w:val="Heading4"/>
      </w:pPr>
      <w:r>
        <w:t>Le « Mystère » ou « Plan Secret »</w:t>
      </w:r>
    </w:p>
    <w:p>
      <w:r/>
      <w:r>
        <w:t>Le mot grec « mystère » a une signification particulière dans la littérature juive et chrétienne ancienne. Il se réfère aux décisions éternelles et secrètes de Dieu concernant son œuvre de salut et ses desseins ultimes dans l'histoire, qui sont révélés progressivement. Le terme est utilisé en rapport avec le Royaume dans les Évangiles (</w:t>
      </w:r>
      <w:hyperlink r:id="rId4785">
        <w:r>
          <w:rPr>
            <w:color w:val="0000EE"/>
            <w:u w:val="single"/>
          </w:rPr>
          <w:t>Mt 13.11</w:t>
        </w:r>
      </w:hyperlink>
      <w:r>
        <w:t xml:space="preserve">), avec la prédication de l'Évangile dans </w:t>
      </w:r>
      <w:hyperlink r:id="rId4786">
        <w:r>
          <w:rPr>
            <w:color w:val="0000EE"/>
            <w:u w:val="single"/>
          </w:rPr>
          <w:t>1 Corinthiens 1.18–2.16</w:t>
        </w:r>
      </w:hyperlink>
      <w:r>
        <w:t xml:space="preserve">, avec la destinée d'Israël dans </w:t>
      </w:r>
      <w:hyperlink r:id="rId4787">
        <w:r>
          <w:rPr>
            <w:color w:val="0000EE"/>
            <w:u w:val="single"/>
          </w:rPr>
          <w:t>Romains 11.25</w:t>
        </w:r>
      </w:hyperlink>
      <w:r>
        <w:t xml:space="preserve">, et ailleurs avec des applications différentes. Enfin, </w:t>
      </w:r>
      <w:hyperlink r:id="rId4788">
        <w:r>
          <w:rPr>
            <w:color w:val="0000EE"/>
            <w:u w:val="single"/>
          </w:rPr>
          <w:t>Apocalypse 10.6–7</w:t>
        </w:r>
      </w:hyperlink>
      <w:r>
        <w:t xml:space="preserve"> déclare qu'il n'y aura plus de délai, mais que le « mystère » de Dieu, initialement annoncé par les prophètes, atteindra son parachèvement.</w:t>
      </w:r>
    </w:p>
    <w:p>
      <w:r/>
      <w:r>
        <w:t xml:space="preserve">L'aspect du plan de Dieu que Paul présente dans </w:t>
      </w:r>
      <w:hyperlink r:id="rId4789">
        <w:r>
          <w:rPr>
            <w:color w:val="0000EE"/>
            <w:u w:val="single"/>
          </w:rPr>
          <w:t>Éphésiens 3.3–6</w:t>
        </w:r>
      </w:hyperlink>
      <w:r>
        <w:t xml:space="preserve"> n'est pas seulement l'inclusion des Gentils parmi le peuple de Dieu, mais leur intégration complète avec les Juifs dans l'Église. L'ampleur de cela n'avait pas été révélée avant l'époque du ministère de Paul.</w:t>
      </w:r>
    </w:p>
    <w:p>
      <w:pPr>
        <w:pStyle w:val="Heading3"/>
      </w:pPr>
      <w:r>
        <w:t>Contenu</w:t>
      </w:r>
    </w:p>
    <w:p>
      <w:pPr>
        <w:pStyle w:val="Heading4"/>
      </w:pPr>
      <w:r>
        <w:t>Le But Divin : la gloire et la suprématie de Christ (</w:t>
      </w:r>
      <w:hyperlink r:id="rId4790">
        <w:r>
          <w:rPr>
            <w:color w:val="0000EE"/>
            <w:u w:val="single"/>
          </w:rPr>
          <w:t>1.1–14</w:t>
        </w:r>
      </w:hyperlink>
      <w:r>
        <w:t>)</w:t>
      </w:r>
    </w:p>
    <w:p>
      <w:r/>
      <w:r>
        <w:t xml:space="preserve">Toute cette section constitue une « doxologie ». Paul rappelle aux lecteurs, en exprimant sa propre prière de louange, toutes les bénédictions que Dieu a accordées aux croyants. Celles-ci incluent le fait d'être choisis pour vivre en présence de Dieu sans culpabilité (v. </w:t>
      </w:r>
      <w:hyperlink r:id="rId4791">
        <w:r>
          <w:rPr>
            <w:color w:val="0000EE"/>
            <w:u w:val="single"/>
          </w:rPr>
          <w:t>4</w:t>
        </w:r>
      </w:hyperlink>
      <w:r>
        <w:t xml:space="preserve">), d'avoir reçu la destinée de la pleine filiation (v. </w:t>
      </w:r>
      <w:hyperlink r:id="rId4792">
        <w:r>
          <w:rPr>
            <w:color w:val="0000EE"/>
            <w:u w:val="single"/>
          </w:rPr>
          <w:t>5</w:t>
        </w:r>
      </w:hyperlink>
      <w:r>
        <w:t>), et d'être pardonnés parce que Christ est mort pour eux.</w:t>
      </w:r>
    </w:p>
    <w:p>
      <w:r/>
      <w:r>
        <w:t xml:space="preserve">Mais Paul ne fait pas seulement une récitation de ce que Dieu a fait ; il entrelace un certain nombre de mots et de phrases indiquant </w:t>
      </w:r>
      <w:r>
        <w:rPr>
          <w:i/>
        </w:rPr>
        <w:t>pourquoi</w:t>
      </w:r>
      <w:r>
        <w:t xml:space="preserve"> Dieu a agi, c'est-à-dire quels sont les </w:t>
      </w:r>
      <w:r>
        <w:rPr>
          <w:i/>
        </w:rPr>
        <w:t>desseins</w:t>
      </w:r>
      <w:r>
        <w:t xml:space="preserve"> de Dieu. Différentes traductions utilisent divers mots français pour représenter les expressions grecques de but, telles que « élus », « prédestinés », « toute espèce de sagesse et d'intelligence », « volonté », « mystère », « bon plaisir », « dessein » (v. </w:t>
      </w:r>
      <w:hyperlink r:id="rId4793">
        <w:r>
          <w:rPr>
            <w:color w:val="0000EE"/>
            <w:u w:val="single"/>
          </w:rPr>
          <w:t>4–10</w:t>
        </w:r>
      </w:hyperlink>
      <w:r>
        <w:t xml:space="preserve">). Peut-être que l'énoncé le plus complet se trouve dans les versets </w:t>
      </w:r>
      <w:hyperlink r:id="rId4794">
        <w:r>
          <w:rPr>
            <w:color w:val="0000EE"/>
            <w:u w:val="single"/>
          </w:rPr>
          <w:t>11–12</w:t>
        </w:r>
      </w:hyperlink>
      <w:r>
        <w:t>.</w:t>
      </w:r>
    </w:p>
    <w:p>
      <w:r/>
      <w:r>
        <w:t>Il est clair d'après cela que le but ultime de l'œuvre salvatrice de Dieu n'est pas seulement le bonheur des croyants, mais la gloire de Dieu à travers le Seigneur Jésus-Christ. L'Esprit est donné pour garantir non seulement la sécurité du croyant, mais aussi l'investissement de Dieu, pour ainsi dire, dans le croyant.</w:t>
      </w:r>
    </w:p>
    <w:p>
      <w:pPr>
        <w:pStyle w:val="Heading4"/>
      </w:pPr>
      <w:r>
        <w:t>Prière pour que les chrétiens se rendent compte du but et de la puissance de Dieu (</w:t>
      </w:r>
      <w:hyperlink r:id="rId4795">
        <w:r>
          <w:rPr>
            <w:color w:val="0000EE"/>
            <w:u w:val="single"/>
          </w:rPr>
          <w:t>1.15–23</w:t>
        </w:r>
      </w:hyperlink>
      <w:r>
        <w:t>)</w:t>
      </w:r>
    </w:p>
    <w:p>
      <w:r/>
      <w:r>
        <w:t>La prière de Paul découle de sa section d'ouverture, constituant une demande pour que les croyants s'approprient pleinement tout ce qui est contenu dans cette déclaration. C'est ici que la mort, la résurrection et l'ascension de Jésus sont citées comme la base de la perspective et de la puissance actuelles du croyant.</w:t>
      </w:r>
    </w:p>
    <w:p>
      <w:pPr>
        <w:pStyle w:val="Heading4"/>
      </w:pPr>
      <w:r>
        <w:t>Étapes vers l'accomplissement du dessein de Dieu (</w:t>
      </w:r>
      <w:hyperlink r:id="rId4796">
        <w:r>
          <w:rPr>
            <w:color w:val="0000EE"/>
            <w:u w:val="single"/>
          </w:rPr>
          <w:t>2.1–3.21</w:t>
        </w:r>
      </w:hyperlink>
      <w:r>
        <w:t>)</w:t>
      </w:r>
    </w:p>
    <w:p>
      <w:r/>
      <w:r>
        <w:t>La première étape était la mort de Christ afin de sauver les individus du péché et de la mort (</w:t>
      </w:r>
      <w:hyperlink r:id="rId4797">
        <w:r>
          <w:rPr>
            <w:color w:val="0000EE"/>
            <w:u w:val="single"/>
          </w:rPr>
          <w:t>2.1–10</w:t>
        </w:r>
      </w:hyperlink>
      <w:r>
        <w:t>). Puisque tout ceci était à l'initiative de Dieu, non de l'homme, et puisque l'homme était spirituellement « mort » et impuissant, le salut ne peut être que par grâce.</w:t>
      </w:r>
    </w:p>
    <w:p>
      <w:r/>
      <w:r>
        <w:t>La deuxième étape était la réconciliation des gens non seulement avec Dieu mais aussi entre eux (</w:t>
      </w:r>
      <w:hyperlink r:id="rId4780">
        <w:r>
          <w:rPr>
            <w:color w:val="0000EE"/>
            <w:u w:val="single"/>
          </w:rPr>
          <w:t>2.11–18</w:t>
        </w:r>
      </w:hyperlink>
      <w:r>
        <w:t xml:space="preserve">). Paul passe ainsi de l'aspect individuel à l'aspect collectif du salut. Cela était particulièrement significatif pour les Gentils, qui auparavant n'avaient même pas de relation formelle avec Dieu. L'un des mots clés de cette section est « paix » (v. </w:t>
      </w:r>
      <w:hyperlink r:id="rId4430">
        <w:r>
          <w:rPr>
            <w:color w:val="0000EE"/>
            <w:u w:val="single"/>
          </w:rPr>
          <w:t>14–17</w:t>
        </w:r>
      </w:hyperlink>
      <w:r>
        <w:t>).</w:t>
      </w:r>
    </w:p>
    <w:p>
      <w:r/>
      <w:r>
        <w:t>La troisième étape va au-delà de la réconciliation pour unir réellement Juifs et Gentils dans une même « maison » (</w:t>
      </w:r>
      <w:hyperlink r:id="rId4779">
        <w:r>
          <w:rPr>
            <w:color w:val="0000EE"/>
            <w:u w:val="single"/>
          </w:rPr>
          <w:t>2.19–22</w:t>
        </w:r>
      </w:hyperlink>
      <w:r>
        <w:t>). Dieu n'a pas seulement rapproché les gens individuellement de lui-même et les uns des autres en tant qu'individus, mais il a formé une nouvelle entité collective, une nouvelle société décrite à la fois en termes politiques et familiaux. En fin de compte, les croyants forment ensemble un corps collectif dans lequel Dieu est exalté.</w:t>
      </w:r>
    </w:p>
    <w:p>
      <w:r/>
      <w:r>
        <w:t>Cette troisième étape est amplifiée dans une quatrième étape, à savoir la révélation du dessein éternel de Dieu dans la formation de ce seul corps, l'Église (</w:t>
      </w:r>
      <w:hyperlink r:id="rId4798">
        <w:r>
          <w:rPr>
            <w:color w:val="0000EE"/>
            <w:u w:val="single"/>
          </w:rPr>
          <w:t>3.1–13</w:t>
        </w:r>
      </w:hyperlink>
      <w:r>
        <w:t>). En utilisant le concept biblique du « mystère », Paul montre comment l'Église affiche la sagesse de Dieu à tous ceux qui peuvent l'observer à travers l'univers. Cela donne immédiatement au croyant une nouvelle conscience de la raison de son salut et de sa participation à l'Église. L'égocentrisme et l'ennui face à la routine des activités de l'Église cèdent la place à un sentiment de sens et de but.</w:t>
      </w:r>
    </w:p>
    <w:p>
      <w:r/>
      <w:r>
        <w:t>Ces étapes sont maintenant résumées dans une deuxième prière (</w:t>
      </w:r>
      <w:hyperlink r:id="rId4799">
        <w:r>
          <w:rPr>
            <w:color w:val="0000EE"/>
            <w:u w:val="single"/>
          </w:rPr>
          <w:t>3.14–21</w:t>
        </w:r>
      </w:hyperlink>
      <w:r>
        <w:t>). Une série exaltée de pétitions culmine dans une autre doxologie. Celle-ci exprime l'émerveillement de Paul devant le pouvoir infini de Dieu pour accomplir tout ce qu'il a décrit dans l'épître jusqu'à présent, et son désir que cela aboutisse effectivement à une grande reconnaissance de la gloire de Dieu à la fois dans l'Église et en Christ.</w:t>
      </w:r>
    </w:p>
    <w:p>
      <w:pPr>
        <w:pStyle w:val="Heading4"/>
      </w:pPr>
      <w:r>
        <w:t>Moyens pratiques de réaliser le but de Dieu dans l'Église (</w:t>
      </w:r>
      <w:hyperlink r:id="rId4800">
        <w:r>
          <w:rPr>
            <w:color w:val="0000EE"/>
            <w:u w:val="single"/>
          </w:rPr>
          <w:t>4.1–6.20</w:t>
        </w:r>
      </w:hyperlink>
      <w:r>
        <w:t>)</w:t>
      </w:r>
    </w:p>
    <w:p>
      <w:r/>
      <w:r>
        <w:t xml:space="preserve">La doctrine et la vie concrète ne sont jamais séparées dans la pensée de Paul, mais dans Éphésiens, la connexion est encore plus vitale que d'habitude. La vie du croyant doit être vécue d'une manière digne des grands desseins de Dieu. L'« appel » du croyant n'est pas seulement d'être sauvé ou éternellement heureux, mais de participer avec l'ensemble du corps, l'Église, à apporter la gloire à Dieu. Cela contribue à la réalisation de la prière dans </w:t>
      </w:r>
      <w:hyperlink r:id="rId4801">
        <w:r>
          <w:rPr>
            <w:color w:val="0000EE"/>
            <w:u w:val="single"/>
          </w:rPr>
          <w:t>3.20–21</w:t>
        </w:r>
      </w:hyperlink>
      <w:r>
        <w:t>.</w:t>
      </w:r>
    </w:p>
    <w:p>
      <w:r/>
      <w:r>
        <w:t xml:space="preserve">La première manière de réaliser le dessein de Dieu est de maintenir l'unité qu'il a établie dans l'Église. Cela se fait en reconnaissant la base solide de l'unité (« un Seigneur, une foi », etc., </w:t>
      </w:r>
      <w:hyperlink r:id="rId4802">
        <w:r>
          <w:rPr>
            <w:color w:val="0000EE"/>
            <w:u w:val="single"/>
          </w:rPr>
          <w:t>4.5–6</w:t>
        </w:r>
      </w:hyperlink>
      <w:r>
        <w:t xml:space="preserve">). Ensuite, les croyants doivent reconnaître la diversité dans cette unité, en se rappelant que Dieu a donné à chacun des capacités spéciales (v. </w:t>
      </w:r>
      <w:hyperlink r:id="rId4803">
        <w:r>
          <w:rPr>
            <w:color w:val="0000EE"/>
            <w:u w:val="single"/>
          </w:rPr>
          <w:t>7–8</w:t>
        </w:r>
      </w:hyperlink>
      <w:r>
        <w:t xml:space="preserve">). Ces capacités doivent être utilisées pour amener l'Église, tant individuellement que collectivement, à la maturité. Cette diversité dans l'unité constitue la deuxième manière dont le dessein de Dieu est réalisé. La maturité chrétienne permet aux membres individuels de l'Église de se relier les uns aux autres dans l'amour (v. </w:t>
      </w:r>
      <w:hyperlink r:id="rId4804">
        <w:r>
          <w:rPr>
            <w:color w:val="0000EE"/>
            <w:u w:val="single"/>
          </w:rPr>
          <w:t>16</w:t>
        </w:r>
      </w:hyperlink>
      <w:r>
        <w:t>).</w:t>
      </w:r>
    </w:p>
    <w:p>
      <w:r/>
      <w:r>
        <w:t>La troisième manière d'accomplir les desseins de Dieu est par le renouvellement de la vie personnelle (</w:t>
      </w:r>
      <w:hyperlink r:id="rId4805">
        <w:r>
          <w:rPr>
            <w:color w:val="0000EE"/>
            <w:u w:val="single"/>
          </w:rPr>
          <w:t>4.17–5.21</w:t>
        </w:r>
      </w:hyperlink>
      <w:r>
        <w:t>). Paul souligne le type de mode de vie attendu d'un chrétien en contrastant les comportements qui avaient caractérisé les croyants avant leur conversion. Cependant, la nouvelle vie du croyant n'est pas simplement structurée comme une réaction contre l'ancienne. Au contraire, le Seigneur a donné à la fois ses enseignements et l'exemple de son propre amour sacrificiel (</w:t>
      </w:r>
      <w:hyperlink r:id="rId4806">
        <w:r>
          <w:rPr>
            <w:color w:val="0000EE"/>
            <w:u w:val="single"/>
          </w:rPr>
          <w:t>4.20–21, 32</w:t>
        </w:r>
      </w:hyperlink>
      <w:r>
        <w:t xml:space="preserve"> ; </w:t>
      </w:r>
      <w:hyperlink r:id="rId4807">
        <w:r>
          <w:rPr>
            <w:color w:val="0000EE"/>
            <w:u w:val="single"/>
          </w:rPr>
          <w:t>5.1–2</w:t>
        </w:r>
      </w:hyperlink>
      <w:r>
        <w:t xml:space="preserve">). Le croyant doit rejeter son ancien mode de vie, son ancien moi ou caractère (le terme exact est « vieil homme » dans les mots de Paul, et non, comme le rendent certaines traductions, « ancienne nature ».) Il doit en même temps revêtir « l'homme nouveau », qui, selon les mots de Paul en </w:t>
      </w:r>
      <w:hyperlink r:id="rId4808">
        <w:r>
          <w:rPr>
            <w:color w:val="0000EE"/>
            <w:u w:val="single"/>
          </w:rPr>
          <w:t>4.24</w:t>
        </w:r>
      </w:hyperlink>
      <w:r>
        <w:t>, est « créé selon Dieu ». La section se termine par l'exhortation importante d'être rempli de l'Esprit (</w:t>
      </w:r>
      <w:hyperlink r:id="rId4809">
        <w:r>
          <w:rPr>
            <w:color w:val="0000EE"/>
            <w:u w:val="single"/>
          </w:rPr>
          <w:t>5.18</w:t>
        </w:r>
      </w:hyperlink>
      <w:r>
        <w:t>).</w:t>
      </w:r>
    </w:p>
    <w:p>
      <w:r/>
      <w:r>
        <w:t xml:space="preserve">L'expression du nouveau caractère dans les relations interpersonnelles est la quatrième manière par laquelle les croyants peuvent avancer les desseins de Dieu dans l'Église. L'unité est soit atteinte, soit rompue en fonction de la présence ou de l'absence de la soumission appropriée décrite dans </w:t>
      </w:r>
      <w:hyperlink r:id="rId4810">
        <w:r>
          <w:rPr>
            <w:color w:val="0000EE"/>
            <w:u w:val="single"/>
          </w:rPr>
          <w:t>5.22–6.9</w:t>
        </w:r>
      </w:hyperlink>
      <w:r>
        <w:t xml:space="preserve">. Le principe fondamental de la soumission est d'abord exprimé par le verset </w:t>
      </w:r>
      <w:hyperlink r:id="rId4811">
        <w:r>
          <w:rPr>
            <w:color w:val="0000EE"/>
            <w:u w:val="single"/>
          </w:rPr>
          <w:t>21</w:t>
        </w:r>
      </w:hyperlink>
      <w:r>
        <w:t xml:space="preserve"> comme résultat du contrôle total de l'Esprit.</w:t>
      </w:r>
    </w:p>
    <w:p>
      <w:r/>
      <w:r>
        <w:t>Le mariage fournit alors le premier exemple de soumission mutuelle. La femme se soumet au mari, et cela est à son tour une expression de sa soumission, ainsi que celle de toute l'Église, au Seigneur. Le mari aime sa femme comme Christ a aimé l'Église. Bien que l'amour du mari ne soit pas décrit comme une soumission, en effet, l'amour coûte sa liberté à celui qui aime. Jésus a ainsi exprimé son amour pour l'Église par sa mort (</w:t>
      </w:r>
      <w:hyperlink r:id="rId4276">
        <w:r>
          <w:rPr>
            <w:color w:val="0000EE"/>
            <w:u w:val="single"/>
          </w:rPr>
          <w:t>5.25</w:t>
        </w:r>
      </w:hyperlink>
      <w:r>
        <w:t>). De plus, le mari et la femme sont liés ensemble dans l'unité, tout comme Dieu l'avait prévu au moment de la création (</w:t>
      </w:r>
      <w:hyperlink r:id="rId2284">
        <w:r>
          <w:rPr>
            <w:color w:val="0000EE"/>
            <w:u w:val="single"/>
          </w:rPr>
          <w:t>Gn 2.24</w:t>
        </w:r>
      </w:hyperlink>
      <w:r>
        <w:t xml:space="preserve">, cité ici dans </w:t>
      </w:r>
      <w:hyperlink r:id="rId4812">
        <w:r>
          <w:rPr>
            <w:color w:val="0000EE"/>
            <w:u w:val="single"/>
          </w:rPr>
          <w:t>5.31</w:t>
        </w:r>
      </w:hyperlink>
      <w:r>
        <w:t>). Cette unité représente l'unité spirituelle qui existe entre Christ et l'Église.</w:t>
      </w:r>
    </w:p>
    <w:p>
      <w:r/>
      <w:r>
        <w:t xml:space="preserve">Il convient de noter que cette liste d'exemples est similaire à un modèle utilisé ailleurs dans le Nouveau Testament (par exemple, </w:t>
      </w:r>
      <w:hyperlink r:id="rId2959">
        <w:r>
          <w:rPr>
            <w:color w:val="0000EE"/>
            <w:u w:val="single"/>
          </w:rPr>
          <w:t>Col 3.18–4.1</w:t>
        </w:r>
      </w:hyperlink>
      <w:r>
        <w:t xml:space="preserve"> ; </w:t>
      </w:r>
      <w:hyperlink r:id="rId4813">
        <w:r>
          <w:rPr>
            <w:color w:val="0000EE"/>
            <w:u w:val="single"/>
          </w:rPr>
          <w:t>1P 3.1–7</w:t>
        </w:r>
      </w:hyperlink>
      <w:r>
        <w:t>). Ainsi, après l'exemple du mariage, Paul se tourne vers la relation qui devrait exister entre parents et enfants. L'enfant obéit au père ; le père s'abstient de réactions excessives (</w:t>
      </w:r>
      <w:hyperlink r:id="rId4814">
        <w:r>
          <w:rPr>
            <w:color w:val="0000EE"/>
            <w:u w:val="single"/>
          </w:rPr>
          <w:t>6.1–4</w:t>
        </w:r>
      </w:hyperlink>
      <w:r>
        <w:t>). Le dernier exemple est celui des esclaves et des maîtres.</w:t>
      </w:r>
    </w:p>
    <w:p>
      <w:r/>
      <w:r>
        <w:t>La dernière manière dont les croyants font avancer les grands desseins de Dieu est de poursuivre le conflit spirituel en s'appuyant sur les ressources spirituelles (</w:t>
      </w:r>
      <w:hyperlink r:id="rId4815">
        <w:r>
          <w:rPr>
            <w:color w:val="0000EE"/>
            <w:u w:val="single"/>
          </w:rPr>
          <w:t>Ep 6.10–20</w:t>
        </w:r>
      </w:hyperlink>
      <w:r>
        <w:t xml:space="preserve">). En s'inspirant à la fois de l'Ancien Testament et de la guerre romaine de son époque, Paul montre que la perspective céleste est essentielle pour la victoire. Cela inclut la dépendance à Dieu exprimée dans la prière (v. </w:t>
      </w:r>
      <w:hyperlink r:id="rId4816">
        <w:r>
          <w:rPr>
            <w:color w:val="0000EE"/>
            <w:u w:val="single"/>
          </w:rPr>
          <w:t>18–20</w:t>
        </w:r>
      </w:hyperlink>
      <w:r>
        <w:t>). Il reconnaît son propre besoin à cet égard.</w:t>
      </w:r>
    </w:p>
    <w:p>
      <w:r/>
      <w:r>
        <w:t>La conclusion de la lettre (</w:t>
      </w:r>
      <w:hyperlink r:id="rId4817">
        <w:r>
          <w:rPr>
            <w:color w:val="0000EE"/>
            <w:u w:val="single"/>
          </w:rPr>
          <w:t>6.21–24</w:t>
        </w:r>
      </w:hyperlink>
      <w:r>
        <w:t>) est un mot d'encouragement et une explication de la décision de Paul d'envoyer la lettre entre les bonnes mains de Tychique. L'un des mots de conclusion est « grâce », un mot qui sous-tend tout le processus divin décrit dans Éphésiens.</w:t>
      </w:r>
    </w:p>
    <w:p>
      <w:r/>
      <w:r>
        <w:rPr>
          <w:i/>
        </w:rPr>
        <w:t>Voir aussi</w:t>
      </w:r>
      <w:r>
        <w:t xml:space="preserve"> </w:t>
      </w:r>
      <w:r>
        <w:t>Colossiens, Lettre aux</w:t>
      </w:r>
      <w:r>
        <w:t xml:space="preserve"> ; </w:t>
      </w:r>
      <w:r>
        <w:t>Éphèse</w:t>
      </w:r>
      <w:r>
        <w:t xml:space="preserve"> ; </w:t>
      </w:r>
      <w:r>
        <w:t>Paul, L'Apôtre</w:t>
      </w:r>
      <w:r>
        <w:t>.</w:t>
      </w:r>
      <w:r/>
      <w:r/>
    </w:p>
    <w:p>
      <w:r/>
    </w:p>
    <w:p>
      <w:pPr>
        <w:pStyle w:val="Heading2"/>
      </w:pPr>
      <w:r>
        <w:t>Éphphatha</w:t>
      </w:r>
      <w:r/>
    </w:p>
    <w:p>
      <w:r/>
      <w:r>
        <w:t>Mot araméen qui signifie « ouvre-toi ». Marc l'écrit en lettres grecques pour montrer la prononciation du mot araméen utilisé par Jésus. Il utilise ce mot alors qu'il guérit un homme qui ne peut ni entendre ni parler (</w:t>
      </w:r>
      <w:hyperlink r:id="rId4818">
        <w:r>
          <w:rPr>
            <w:color w:val="0000EE"/>
            <w:u w:val="single"/>
          </w:rPr>
          <w:t>Mc 7.34</w:t>
        </w:r>
      </w:hyperlink>
      <w:r>
        <w:t>). Le mot n'est pas utilisé comme une sorte de formule magique, mais il fait partie d'un certain nombre de mots hébreux ou araméens prononcés par Jésus et que les Évangiles ne traduisent pas toujours par des mots équivalents en grec.</w:t>
      </w:r>
      <w:r/>
      <w:r/>
    </w:p>
    <w:p>
      <w:r/>
    </w:p>
    <w:p>
      <w:pPr>
        <w:pStyle w:val="Heading2"/>
      </w:pPr>
      <w:r>
        <w:t>Éphraïm (Personne)</w:t>
      </w:r>
      <w:r/>
    </w:p>
    <w:p>
      <w:r/>
      <w:r>
        <w:t>Fils cadet de Joseph, né de Joseph et Asnath avant les sept années de famine en Égypte (</w:t>
      </w:r>
      <w:hyperlink r:id="rId4819">
        <w:r>
          <w:rPr>
            <w:color w:val="0000EE"/>
            <w:u w:val="single"/>
          </w:rPr>
          <w:t>Gn 41.52</w:t>
        </w:r>
      </w:hyperlink>
      <w:r>
        <w:t>). Il était l'ancêtre d'une tribu israélite, et son nom en est venu à désigner le royaume du nord d'Israël (</w:t>
      </w:r>
      <w:hyperlink r:id="rId4820">
        <w:r>
          <w:rPr>
            <w:color w:val="0000EE"/>
            <w:u w:val="single"/>
          </w:rPr>
          <w:t>Es 7.5, 8</w:t>
        </w:r>
      </w:hyperlink>
      <w:r>
        <w:t xml:space="preserve"> ; </w:t>
      </w:r>
      <w:hyperlink r:id="rId4821">
        <w:r>
          <w:rPr>
            <w:color w:val="0000EE"/>
            <w:u w:val="single"/>
          </w:rPr>
          <w:t>Jr 31.18–20</w:t>
        </w:r>
      </w:hyperlink>
      <w:r>
        <w:t xml:space="preserve"> ; </w:t>
      </w:r>
      <w:hyperlink r:id="rId4822">
        <w:r>
          <w:rPr>
            <w:color w:val="0000EE"/>
            <w:u w:val="single"/>
          </w:rPr>
          <w:t>Os 5.3–5</w:t>
        </w:r>
      </w:hyperlink>
      <w:r>
        <w:t>). L'enfance d'Éphraïm coïncidera avec les dix-sept dernières années de son grand-père, le patriarche Jacob, qui a migré en Égypte pendant les années de famine. Ainsi, Éphraïm apprendra directement les promesses et bénédictions de Dieu de la bouche de Jacob. Après que Jacob a exigé de Joseph un serment pour l'enterrer en Canaan, il adoptera ses petits-fils Éphraïm et Manassé. Cette adoption donnera aux deux frères la position et les droits légaux égaux à ceux des fils aînés de Jacob, Ruben et Siméon (</w:t>
      </w:r>
      <w:hyperlink r:id="rId4823">
        <w:r>
          <w:rPr>
            <w:color w:val="0000EE"/>
            <w:u w:val="single"/>
          </w:rPr>
          <w:t>Gn 48.5</w:t>
        </w:r>
      </w:hyperlink>
      <w:r>
        <w:t>).</w:t>
      </w:r>
    </w:p>
    <w:p>
      <w:r/>
      <w:r>
        <w:rPr>
          <w:i/>
        </w:rPr>
        <w:t>Voir aussi</w:t>
      </w:r>
      <w:r>
        <w:t xml:space="preserve"> </w:t>
      </w:r>
      <w:r>
        <w:t>Éphraïm, Tribu d'</w:t>
      </w:r>
      <w:r>
        <w:t>.</w:t>
      </w:r>
      <w:r/>
      <w:r/>
    </w:p>
    <w:p>
      <w:r/>
    </w:p>
    <w:p>
      <w:pPr>
        <w:pStyle w:val="Heading2"/>
      </w:pPr>
      <w:r>
        <w:t>Éphraïm, Tribu d'</w:t>
      </w:r>
      <w:r/>
    </w:p>
    <w:p>
      <w:r/>
      <w:r>
        <w:t>Tribu descendant du deuxième fils de Joseph. Éphraïm et son frère Manassé étaient tous deux considérés comme des fils par leur grand-père Jacob et ils deviendront ses héritiers.</w:t>
      </w:r>
    </w:p>
    <w:p>
      <w:pPr>
        <w:pStyle w:val="Heading3"/>
      </w:pPr>
      <w:r>
        <w:t>Le Territoire de la tribu d'Éphraïm</w:t>
      </w:r>
    </w:p>
    <w:p>
      <w:r/>
      <w:r>
        <w:t>De nombreux commentateurs de la Bible estiment qu'Éphraïm est un jeu de mots basé sur une racine hébraïque signifiant « être fructueux » (</w:t>
      </w:r>
      <w:hyperlink r:id="rId4819">
        <w:r>
          <w:rPr>
            <w:color w:val="0000EE"/>
            <w:u w:val="single"/>
          </w:rPr>
          <w:t>Gn 41.52</w:t>
        </w:r>
      </w:hyperlink>
      <w:r>
        <w:t>). La région montagneuse donnée à Éphraïm était parmi les zones les plus fertiles de Palestine, riche en vignes, arbres fruitiers et forêts denses (</w:t>
      </w:r>
      <w:hyperlink r:id="rId484">
        <w:r>
          <w:rPr>
            <w:color w:val="0000EE"/>
            <w:u w:val="single"/>
          </w:rPr>
          <w:t>Jos 17.18</w:t>
        </w:r>
      </w:hyperlink>
      <w:r>
        <w:t>). Même lorsque des rois régnaient sur Israël, cette région abritait encore des animaux sauvages (</w:t>
      </w:r>
      <w:hyperlink r:id="rId4824">
        <w:r>
          <w:rPr>
            <w:color w:val="0000EE"/>
            <w:u w:val="single"/>
          </w:rPr>
          <w:t>2R 2.24</w:t>
        </w:r>
      </w:hyperlink>
      <w:r>
        <w:t>).</w:t>
      </w:r>
    </w:p>
    <w:p>
      <w:r/>
      <w:r>
        <w:t>Il n'est pas clair où se trouvent les frontières d'Éphraïm, car il est souvent mentionné aux côtés du territoire de Manassé. Le territoire d'Éphraïm était située au centre de Canaan, entre le Jourdain et la mer Méditerranée. Le territoire de Manassé était situé au nord (</w:t>
      </w:r>
      <w:hyperlink r:id="rId4825">
        <w:r>
          <w:rPr>
            <w:color w:val="0000EE"/>
            <w:u w:val="single"/>
          </w:rPr>
          <w:t>Jos 16.5–9</w:t>
        </w:r>
      </w:hyperlink>
      <w:r>
        <w:t>).</w:t>
      </w:r>
    </w:p>
    <w:p>
      <w:pPr>
        <w:pStyle w:val="Heading3"/>
      </w:pPr>
      <w:r>
        <w:t>Ascension et influence d'Éphraïm en Israël</w:t>
      </w:r>
    </w:p>
    <w:p>
      <w:r/>
      <w:r>
        <w:t>Éphraïm est devenu une tribu puissante et influente. Lors du premier recensement dans le désert, 40 500 soldats éphraïmites ont été dénombrés (</w:t>
      </w:r>
      <w:hyperlink r:id="rId4826">
        <w:r>
          <w:rPr>
            <w:color w:val="0000EE"/>
            <w:u w:val="single"/>
          </w:rPr>
          <w:t>Nb 1.33</w:t>
        </w:r>
      </w:hyperlink>
      <w:r>
        <w:t>). Cependant, ce nombre diminuera à 32 500 lors du deuxième recensement (</w:t>
      </w:r>
      <w:hyperlink r:id="rId4827">
        <w:r>
          <w:rPr>
            <w:color w:val="0000EE"/>
            <w:u w:val="single"/>
          </w:rPr>
          <w:t>Nb 26.37</w:t>
        </w:r>
      </w:hyperlink>
      <w:r>
        <w:t>). Éphraïm sera chargé de la direction du camp occidental d'Israël, entre les tribus de Manassé et de Benjamin (</w:t>
      </w:r>
      <w:hyperlink r:id="rId4828">
        <w:r>
          <w:rPr>
            <w:color w:val="0000EE"/>
            <w:u w:val="single"/>
          </w:rPr>
          <w:t>Nb 2.18–24</w:t>
        </w:r>
      </w:hyperlink>
      <w:r>
        <w:t>).</w:t>
      </w:r>
    </w:p>
    <w:p>
      <w:r/>
      <w:r>
        <w:t>Josué, fils de Nun, l'un des douze espions, était issu d'Éphraïm (</w:t>
      </w:r>
      <w:hyperlink r:id="rId4829">
        <w:r>
          <w:rPr>
            <w:color w:val="0000EE"/>
            <w:u w:val="single"/>
          </w:rPr>
          <w:t>Nb 13.8</w:t>
        </w:r>
      </w:hyperlink>
      <w:r>
        <w:t xml:space="preserve">, « </w:t>
      </w:r>
      <w:r>
        <w:t>Hosée</w:t>
      </w:r>
      <w:r>
        <w:t xml:space="preserve"> »). Le leadership de Josué renforcera l'importance d'Éphraïm parmi les tribus d'Israël (</w:t>
      </w:r>
      <w:hyperlink r:id="rId4830">
        <w:r>
          <w:rPr>
            <w:color w:val="0000EE"/>
            <w:u w:val="single"/>
          </w:rPr>
          <w:t>Jos 16</w:t>
        </w:r>
      </w:hyperlink>
      <w:r>
        <w:t>).</w:t>
      </w:r>
    </w:p>
    <w:p>
      <w:r/>
      <w:r>
        <w:t>À l'époque des juges, les Éphraïmites se mettaient souvent en colère lorsqu'ils étaient exclus de batailles importantes. Ils avaient l'impression d'être traités injustement ou avec manque de respect. Ils se sont battus avec :</w:t>
      </w:r>
    </w:p>
    <w:p>
      <w:pPr>
        <w:pStyle w:val="ListBullet"/>
        <w:spacing w:line="240" w:lineRule="auto"/>
        <w:ind w:left="720"/>
      </w:pPr>
      <w:r/>
      <w:r>
        <w:t>Gédéon après sa victoire sur les Madianites (</w:t>
      </w:r>
      <w:hyperlink r:id="rId4831">
        <w:r>
          <w:rPr>
            <w:color w:val="0000EE"/>
            <w:u w:val="single"/>
          </w:rPr>
          <w:t>Jg 8.1–6</w:t>
        </w:r>
      </w:hyperlink>
      <w:r>
        <w:t>)</w:t>
      </w:r>
    </w:p>
    <w:p>
      <w:pPr>
        <w:pStyle w:val="ListBullet"/>
        <w:spacing w:line="240" w:lineRule="auto"/>
        <w:ind w:left="720"/>
      </w:pPr>
      <w:r/>
      <w:r>
        <w:t>Jephthé de Galaad, qui vaincra les Ammonites (</w:t>
      </w:r>
      <w:hyperlink r:id="rId4832">
        <w:r>
          <w:rPr>
            <w:color w:val="0000EE"/>
            <w:u w:val="single"/>
          </w:rPr>
          <w:t>Jg 12.1–6</w:t>
        </w:r>
      </w:hyperlink>
      <w:r>
        <w:t>)</w:t>
      </w:r>
    </w:p>
    <w:p>
      <w:r/>
      <w:r>
        <w:t>Le juge Abdon venait de la tribu d'Éphraïm (</w:t>
      </w:r>
      <w:hyperlink r:id="rId4833">
        <w:r>
          <w:rPr>
            <w:color w:val="0000EE"/>
            <w:u w:val="single"/>
          </w:rPr>
          <w:t>Jg 12.13</w:t>
        </w:r>
      </w:hyperlink>
      <w:r>
        <w:t>). Michée, qui adorait de faux dieux, ainsi que le prophète Samuel, vivaient en Éphraïm (</w:t>
      </w:r>
      <w:hyperlink r:id="rId4834">
        <w:r>
          <w:rPr>
            <w:color w:val="0000EE"/>
            <w:u w:val="single"/>
          </w:rPr>
          <w:t>Jg 17.1</w:t>
        </w:r>
      </w:hyperlink>
      <w:r>
        <w:t xml:space="preserve"> ; </w:t>
      </w:r>
      <w:hyperlink r:id="rId1299">
        <w:r>
          <w:rPr>
            <w:color w:val="0000EE"/>
            <w:u w:val="single"/>
          </w:rPr>
          <w:t>1S 1.1</w:t>
        </w:r>
      </w:hyperlink>
      <w:r>
        <w:t>). L'importance militaire et politique d'Éphraïm est montrée dans le Chant de Débora, un ancien poème biblique (</w:t>
      </w:r>
      <w:hyperlink r:id="rId607">
        <w:r>
          <w:rPr>
            <w:color w:val="0000EE"/>
            <w:u w:val="single"/>
          </w:rPr>
          <w:t>Jg 5.14</w:t>
        </w:r>
      </w:hyperlink>
      <w:r>
        <w:t>).</w:t>
      </w:r>
    </w:p>
    <w:p>
      <w:pPr>
        <w:pStyle w:val="Heading3"/>
      </w:pPr>
      <w:r>
        <w:t>Éphraïm dans le Royaume du Nord d'Israël</w:t>
      </w:r>
    </w:p>
    <w:p>
      <w:r/>
      <w:r>
        <w:t>Éphraïm était un rival important de la tribu de Juda, avec des tensions persistantes même pendant le règne du roi David (</w:t>
      </w:r>
      <w:hyperlink r:id="rId4835">
        <w:r>
          <w:rPr>
            <w:color w:val="0000EE"/>
            <w:u w:val="single"/>
          </w:rPr>
          <w:t>2S 18</w:t>
        </w:r>
      </w:hyperlink>
      <w:r>
        <w:t xml:space="preserve"> ; </w:t>
      </w:r>
      <w:hyperlink r:id="rId4836">
        <w:r>
          <w:rPr>
            <w:color w:val="0000EE"/>
            <w:u w:val="single"/>
          </w:rPr>
          <w:t>19.41–20.22</w:t>
        </w:r>
      </w:hyperlink>
      <w:r>
        <w:t>). Ces tensions contribueront à la division éventuelle du royaume après le règne de Salomon (</w:t>
      </w:r>
      <w:hyperlink r:id="rId4837">
        <w:r>
          <w:rPr>
            <w:color w:val="0000EE"/>
            <w:u w:val="single"/>
          </w:rPr>
          <w:t>1R 11.26–40</w:t>
        </w:r>
      </w:hyperlink>
      <w:r>
        <w:t>). Les tribus du nord, y compris Éphraïm, étaient mécontentes de la domination depuis Jérusalem. Ce mécontentement conduira les dix tribus du nord, dirigées par Jéroboam 1er, à se séparer des tribus du sud et à former leur propre royaume. Il a été appelé le Royaume du Nord d'Israël.</w:t>
      </w:r>
    </w:p>
    <w:p>
      <w:r/>
      <w:r>
        <w:t xml:space="preserve">Les capitales du royaume du Nord (Sichem, Thirtsa et Samarie) étaient toutes situées sur le territoire d'Éphraïm. L'établissement de Samarie par le roi Omri renforcera l'importance stratégique d'Éphraïm en offrant un accès direct à la </w:t>
      </w:r>
      <w:r>
        <w:rPr>
          <w:i/>
        </w:rPr>
        <w:t>Via Maris</w:t>
      </w:r>
      <w:r>
        <w:t>, une grande route commerciale le long de la mer. Cependant, cette exposition accrue au commerce apportera également une plus grande tentation pour le royaume du Nord de s'éloigner de Dieu.</w:t>
      </w:r>
    </w:p>
    <w:p>
      <w:r/>
      <w:r>
        <w:t>Malgré le rôle d'Éphraïm dans la division du royaume, les prophètes ont prédit une future réunification d'Éphraïm avec Juda dans un futur royaume dirigé par le leader choisi de Dieu (</w:t>
      </w:r>
      <w:hyperlink r:id="rId4838">
        <w:r>
          <w:rPr>
            <w:color w:val="0000EE"/>
            <w:u w:val="single"/>
          </w:rPr>
          <w:t>Os 1.11</w:t>
        </w:r>
      </w:hyperlink>
      <w:r>
        <w:t>). Un descendant de David guérirait la division causée par Jéroboam 1er et restaurerait l'unité parmi toutes les tribus d'Israël (</w:t>
      </w:r>
      <w:hyperlink r:id="rId4839">
        <w:r>
          <w:rPr>
            <w:color w:val="0000EE"/>
            <w:u w:val="single"/>
          </w:rPr>
          <w:t>Ez 37</w:t>
        </w:r>
      </w:hyperlink>
      <w:r>
        <w:t>).</w:t>
      </w:r>
    </w:p>
    <w:p>
      <w:r/>
      <w:r>
        <w:rPr>
          <w:i/>
        </w:rPr>
        <w:t>Voir aussi</w:t>
      </w:r>
      <w:r>
        <w:t xml:space="preserve"> </w:t>
      </w:r>
      <w:r>
        <w:t>Éphraïm (Personne)</w:t>
      </w:r>
      <w:r>
        <w:t xml:space="preserve"> ; </w:t>
      </w:r>
      <w:r>
        <w:t>Éphraïm (Lieu) n° 1</w:t>
      </w:r>
      <w:r>
        <w:t xml:space="preserve"> ; </w:t>
      </w:r>
      <w:r>
        <w:t>Israël, Histoire d'</w:t>
      </w:r>
      <w:r>
        <w:t>.</w:t>
      </w:r>
      <w:r/>
      <w:r/>
    </w:p>
    <w:p>
      <w:r/>
    </w:p>
    <w:p>
      <w:pPr>
        <w:pStyle w:val="Heading2"/>
      </w:pPr>
      <w:r>
        <w:t>Éphrata (Lieu)</w:t>
      </w:r>
      <w:r/>
    </w:p>
    <w:p>
      <w:r/>
      <w:r>
        <w:t>1. Ville dans la région montagneuse de Judée, plus tard nommée Bethléhem. C'est sur la route d'Éphrata que Rachel est morte en donnant naissance à Benjamin (</w:t>
      </w:r>
      <w:hyperlink r:id="rId4840">
        <w:r>
          <w:rPr>
            <w:color w:val="0000EE"/>
            <w:u w:val="single"/>
          </w:rPr>
          <w:t>Gn 35.16–19</w:t>
        </w:r>
      </w:hyperlink>
      <w:r>
        <w:t>). Cette ville était le foyer de la famille de Naomi, qui s'identifiait comme Éphratiens (</w:t>
      </w:r>
      <w:hyperlink r:id="rId4841">
        <w:r>
          <w:rPr>
            <w:color w:val="0000EE"/>
            <w:u w:val="single"/>
          </w:rPr>
          <w:t>Rt 1.2</w:t>
        </w:r>
      </w:hyperlink>
      <w:r>
        <w:t>). Éphrata était le lieu de résidence de Ruth et Boaz (</w:t>
      </w:r>
      <w:hyperlink r:id="rId4842">
        <w:r>
          <w:rPr>
            <w:color w:val="0000EE"/>
            <w:u w:val="single"/>
          </w:rPr>
          <w:t>Rt 4.11</w:t>
        </w:r>
      </w:hyperlink>
      <w:r>
        <w:t>), la maison d'enfance de David (</w:t>
      </w:r>
      <w:hyperlink r:id="rId1897">
        <w:r>
          <w:rPr>
            <w:color w:val="0000EE"/>
            <w:u w:val="single"/>
          </w:rPr>
          <w:t>1S 17.12</w:t>
        </w:r>
      </w:hyperlink>
      <w:r>
        <w:t>), et le lieu de naissance annoncé du Messie (</w:t>
      </w:r>
      <w:hyperlink r:id="rId1890">
        <w:r>
          <w:rPr>
            <w:color w:val="0000EE"/>
            <w:u w:val="single"/>
          </w:rPr>
          <w:t>Mi 5.2</w:t>
        </w:r>
      </w:hyperlink>
      <w:r>
        <w:t>).</w:t>
      </w:r>
    </w:p>
    <w:p>
      <w:r/>
      <w:r>
        <w:rPr>
          <w:i/>
        </w:rPr>
        <w:t>Voir aussi</w:t>
      </w:r>
      <w:r>
        <w:t xml:space="preserve"> </w:t>
      </w:r>
      <w:r>
        <w:t>Bethléem n° 1</w:t>
      </w:r>
      <w:r>
        <w:t>.</w:t>
      </w:r>
    </w:p>
    <w:p>
      <w:r/>
      <w:r>
        <w:t>2. District où se trouvait la ville de Kirjath-Jearim et où l'arche de l'alliance était gardée (</w:t>
      </w:r>
      <w:hyperlink r:id="rId4843">
        <w:r>
          <w:rPr>
            <w:color w:val="0000EE"/>
            <w:u w:val="single"/>
          </w:rPr>
          <w:t>Ps 132.6</w:t>
        </w:r>
      </w:hyperlink>
      <w:r>
        <w:t>).</w:t>
      </w:r>
      <w:r/>
      <w:r/>
    </w:p>
    <w:p>
      <w:r/>
    </w:p>
    <w:p>
      <w:pPr>
        <w:pStyle w:val="Heading2"/>
      </w:pPr>
      <w:r>
        <w:t>Éphron (Personne)</w:t>
      </w:r>
      <w:r/>
    </w:p>
    <w:p>
      <w:r/>
      <w:r>
        <w:t>Hétien à qui Abraham a acheté la grotte de Macpéla avec le champ adjacent pour 400 sicles d'argent (</w:t>
      </w:r>
      <w:hyperlink r:id="rId4844">
        <w:r>
          <w:rPr>
            <w:color w:val="0000EE"/>
            <w:u w:val="single"/>
          </w:rPr>
          <w:t>Gn 23.8–17</w:t>
        </w:r>
      </w:hyperlink>
      <w:r>
        <w:t>). Sara y sera enterrée, tout comme Abraham (</w:t>
      </w:r>
      <w:hyperlink r:id="rId4845">
        <w:r>
          <w:rPr>
            <w:color w:val="0000EE"/>
            <w:u w:val="single"/>
          </w:rPr>
          <w:t>Gn 25.9</w:t>
        </w:r>
      </w:hyperlink>
      <w:r>
        <w:t>) et Jacob (</w:t>
      </w:r>
      <w:hyperlink r:id="rId4846">
        <w:r>
          <w:rPr>
            <w:color w:val="0000EE"/>
            <w:u w:val="single"/>
          </w:rPr>
          <w:t>Gn 50.13</w:t>
        </w:r>
      </w:hyperlink>
      <w:r>
        <w:t>).</w:t>
      </w:r>
      <w:r/>
      <w:r/>
    </w:p>
    <w:p>
      <w:r/>
    </w:p>
    <w:p>
      <w:pPr>
        <w:pStyle w:val="Heading2"/>
      </w:pPr>
      <w:r>
        <w:t>Épicuriens</w:t>
      </w:r>
      <w:r/>
    </w:p>
    <w:p>
      <w:r/>
      <w:r>
        <w:t>Adeptes des enseignements du philosophe grec Épicure (342–270 av. J.‑C.). Paul en a rencontré certains à Athènes (</w:t>
      </w:r>
      <w:hyperlink r:id="rId4847">
        <w:r>
          <w:rPr>
            <w:color w:val="0000EE"/>
            <w:u w:val="single"/>
          </w:rPr>
          <w:t>Ac 17.18</w:t>
        </w:r>
      </w:hyperlink>
      <w:r>
        <w:t>).</w:t>
      </w:r>
    </w:p>
    <w:p>
      <w:r/>
      <w:r>
        <w:t xml:space="preserve">Épicure a passé son enfance sur l'île de Samos, près de la côte occidentale de l'actuelle Turquie. À la fin de son adolescence, il a déménagé à Athènes pour effectuer son service militaire. Après celui-ci, il a consacré son temps à l'étude et à l'enseignement de la philosophie. Ce travail l'a emmené loin d'Athènes, mais il est revenu en 307 av. J.‑C. pour fonder une école. Il a attiré un nombre considérable de disciples, et ses adeptes ont diffusé son message à travers le monde civilisé. Le fait que Paul ait rencontré des Épicuriens plus de trois siècles après la mort d'Épicure montre à la fois l'attrait de ses enseignements et l'engagement de ses disciples. Au 1er siècle av. J.‑C., ces enseignements ont trouvé leur expression dans l'écriture du poète romain Lucrèce. Son ouvrage, </w:t>
      </w:r>
      <w:r>
        <w:rPr>
          <w:i/>
        </w:rPr>
        <w:t>De la nature des choses</w:t>
      </w:r>
      <w:r>
        <w:t>, est un guide utile pour comprendre Épicure, d'autant plus que seuls des fragments des écrits d'Épicure subsistent.</w:t>
      </w:r>
    </w:p>
    <w:p>
      <w:r/>
      <w:r>
        <w:t>Les Épicuriens étaient des empiristes ; ils se fiaient à l'expérience sensorielle pour acquérir des connaissances. Cela les opposait à ceux qui préféraient faire des déclarations sur le monde uniquement sur la base de la raison, se méfiant ou rejetant les données des sens. Les Épicuriens s'intéressaient aux preuves naturelles et aux aspects pratiques, montrant ainsi un caractère quelque peu scientifique. Ils étaient peu enthousiastes à l'égard des mathématiques en raison de ce qu'ils considéraient comme sa qualité abstraite, ayant peu à voir avec les questions importantes de la vie. L'éthique, l'étude du comportement juste, était leur centre d'intérêt principal.</w:t>
      </w:r>
    </w:p>
    <w:p>
      <w:r/>
      <w:r>
        <w:t>L'épicurien évaluait la valeur d'une action ou d'une chose en fonction du plaisir ou de la douleur qu'elle procurait ; une position appelée hédonisme. Il s'agissait d'un hédonisme égoïste, car la personne cherchait son propre plaisir plutôt que celui d'autrui. Cette description peut évoquer l'image d'un glouton irresponsable ou d'un amateur de fêtes sauvages, mais cette image, encouragée par le sens moderne du mot « épicurien », est trompeuse. Épicure rejetait justement ce genre de comportement. Il comprenait que le plaisir momentané peut mener à une douleur durable et que certaines douleurs peuvent être bénéfiques. Il considérait le plaisir davantage comme une qualité de vie qu'une série de sensations fortes. Ce qu'il recherchait correspond plus au mot « bonheur », plutôt que plaisir. Basant ses conseils sur l'expérience, il prônait la modération, le calme, l'amitié et une vie simple. Il évitait les festins, la passion sexuelle et les conflits. En réalité, il évitait la douleur plus qu'il ne recherchait le plaisir. Le plaisir de la tranquillité, de la paix, pouvait être trouvé dans l'absence de douleur, et c'était là son objectif. Pour assurer la tranquillité, un homme doit prendre soin de son estomac, mais il doit aussi s'occuper de son esprit, le dirigeant vers la sagesse.</w:t>
      </w:r>
    </w:p>
    <w:p>
      <w:r/>
      <w:r>
        <w:t>Épicure considérait la croyance aux dieux comme une menace sérieuse pour la tranquillité. Les dieux étaient généralement vus comme des êtres puissants et intrusifs qui terrifiaient les mortels ordinaires, sources d'insécurité plutôt que de paix et de bonheur. Épicure enseignait que les dieux n'étaient pas, en fait, ainsi, mais qu'ils étaient des hédonistes tranquilles qui se tenaient à l'écart des hommes. Ils évitaient les conflits liés au contact avec les gens sur terre. En bref, ils étaient inoffensifs pour nous.</w:t>
      </w:r>
    </w:p>
    <w:p>
      <w:r/>
      <w:r>
        <w:t>Épicure a enseigné que nous, ainsi que tout ce qui nous entoure, sommes constitués d'atomes de différentes qualités. Par exemple, les atomes de l'âme humaine seraient lisses et ronds. Bien que les théories atomiques mènent souvent à la conviction que toutes les actions humaines sont déterminées par les lois qui régissent le mouvement des atomes, la théorie d'Épicure, elle, ne le conduisait pas à cette conclusion. Il admettait la liberté humaine en affirmant que certains atomes quittent spontanément leurs trajectoires rectilignes, déclenchant ainsi une chaîne de collisions imprévisibles. Le comportement de l'homme est alors libre et non mécanique.</w:t>
      </w:r>
    </w:p>
    <w:p>
      <w:r/>
      <w:r>
        <w:t>En dépit de sa liberté, l'homme demeurerait une collection d'atomes, et lorsque les atomes se séparent, l'homme cesserait alors d'exister ; il n'est pas immortel. Épicure voyait cela comme une raison de ne plus craindre la mort, car après la mort, toute expérience cesse. Il n'y aura pas de douleur, et donc aucune raison de ressentir de l'angoisse.</w:t>
      </w:r>
    </w:p>
    <w:p>
      <w:r/>
      <w:r>
        <w:t>Des thèmes épicuriens peuvent être trouvés dans la Bible, comme par exemple la modération (</w:t>
      </w:r>
      <w:hyperlink r:id="rId4848">
        <w:r>
          <w:rPr>
            <w:color w:val="0000EE"/>
            <w:u w:val="single"/>
          </w:rPr>
          <w:t>Ph 4.5</w:t>
        </w:r>
      </w:hyperlink>
      <w:r>
        <w:t>) et la paix qui vient de l'exercice de la sagesse (</w:t>
      </w:r>
      <w:hyperlink r:id="rId4849">
        <w:r>
          <w:rPr>
            <w:color w:val="0000EE"/>
            <w:u w:val="single"/>
          </w:rPr>
          <w:t>Pr 3.13–18</w:t>
        </w:r>
      </w:hyperlink>
      <w:r>
        <w:t>). Cependant les différences sont claires. La Bible révèle un Dieu qui est intimement impliqué dans le monde, l'immortalité de l'âme humaine, et la vérité que le bonheur authentique dépend de la communion avec Dieu et du service envers lui (</w:t>
      </w:r>
      <w:hyperlink r:id="rId4850">
        <w:r>
          <w:rPr>
            <w:color w:val="0000EE"/>
            <w:u w:val="single"/>
          </w:rPr>
          <w:t>Ph 4.6–7</w:t>
        </w:r>
      </w:hyperlink>
      <w:r>
        <w:t>).</w:t>
      </w:r>
    </w:p>
    <w:p>
      <w:r/>
      <w:r>
        <w:rPr>
          <w:i/>
        </w:rPr>
        <w:t>Voir aussi</w:t>
      </w:r>
      <w:r>
        <w:t xml:space="preserve"> </w:t>
      </w:r>
      <w:r>
        <w:t>Philosophie</w:t>
      </w:r>
      <w:r>
        <w:t>.</w:t>
      </w:r>
      <w:r/>
      <w:r/>
    </w:p>
    <w:p>
      <w:r/>
    </w:p>
    <w:p>
      <w:pPr>
        <w:pStyle w:val="Heading2"/>
      </w:pPr>
      <w:r>
        <w:t>épilepsie, épileptique</w:t>
      </w:r>
      <w:r/>
    </w:p>
    <w:p>
      <w:r/>
      <w:r>
        <w:t xml:space="preserve">L'épilepsie est une maladie du système nerveux central. Un ou une épileptique est une personne qui souffre de cette maladie. Les principaux signes de l'épilepsie sont des pertes de conscience et des convulsions (couramment appelées des crises d'épilepsie). </w:t>
      </w:r>
    </w:p>
    <w:p>
      <w:r/>
      <w:r>
        <w:t xml:space="preserve">Il y a deux types de crises. Le premier type est appelé </w:t>
      </w:r>
      <w:r>
        <w:rPr>
          <w:i/>
        </w:rPr>
        <w:t xml:space="preserve">petit mal. </w:t>
      </w:r>
      <w:r>
        <w:t xml:space="preserve">Cette crise provoque de petits mouvements involontaires sur le visage (p. ex. cligner des yeux ou des spasmes) ou aux mains. Il est possible d'avoir des douleurs à l'estomac et même une perte de conscience de courte durée. Le deuxième type de crise, appelé </w:t>
      </w:r>
      <w:r>
        <w:rPr>
          <w:i/>
        </w:rPr>
        <w:t>grand mal</w:t>
      </w:r>
      <w:r>
        <w:t>, est accompagné de fortes convulsions généralisées, d'écume à la bouche et de pertes de conscience qui peuvent durer de 5 à 20 minutes. Différents facteurs peuvent contribuer à des crises d'épilepsie. Des médicaments peuvent parfois permettre de prévenir ou de contrôler les crises.</w:t>
      </w:r>
    </w:p>
    <w:p>
      <w:r/>
      <w:r>
        <w:t>Aux temps bibliques, il n'existait pas de traitement efficace contre l'épilepsie. Jésus guérit un jeune garçon que son père décrit comme « lunatique ». En grec, ce terme signifie quelqu'un frappé par la lune. En effet, on croyait que certaines phases de la lune provoquaient certaines maladies. Les symptômes du garçon semblent correspondre à de l'épilepsie. Celle-ci était causée par un démon que Jésus fait sortir du garçon pour le guérir (</w:t>
      </w:r>
      <w:hyperlink r:id="rId4851">
        <w:r>
          <w:rPr>
            <w:color w:val="0000EE"/>
            <w:u w:val="single"/>
          </w:rPr>
          <w:t>Mt 17.14–18</w:t>
        </w:r>
      </w:hyperlink>
      <w:r>
        <w:t xml:space="preserve"> ; </w:t>
      </w:r>
      <w:hyperlink r:id="rId4852">
        <w:r>
          <w:rPr>
            <w:color w:val="0000EE"/>
            <w:u w:val="single"/>
          </w:rPr>
          <w:t>Mc 9.17–27</w:t>
        </w:r>
      </w:hyperlink>
      <w:r>
        <w:t xml:space="preserve"> ; </w:t>
      </w:r>
      <w:hyperlink r:id="rId4853">
        <w:r>
          <w:rPr>
            <w:color w:val="0000EE"/>
            <w:u w:val="single"/>
          </w:rPr>
          <w:t>Lc 9.37–42</w:t>
        </w:r>
      </w:hyperlink>
      <w:r>
        <w:t>).</w:t>
      </w:r>
    </w:p>
    <w:p>
      <w:r/>
      <w:r>
        <w:rPr>
          <w:i/>
        </w:rPr>
        <w:t>Voir</w:t>
      </w:r>
      <w:r>
        <w:t xml:space="preserve"> </w:t>
      </w:r>
      <w:r>
        <w:t>médecine et pratique médicale</w:t>
      </w:r>
      <w:r>
        <w:t>.</w:t>
      </w:r>
      <w:r/>
      <w:r/>
    </w:p>
    <w:p>
      <w:r/>
    </w:p>
    <w:p>
      <w:pPr>
        <w:pStyle w:val="Heading2"/>
      </w:pPr>
      <w:r>
        <w:t>Épine</w:t>
      </w:r>
      <w:r/>
    </w:p>
    <w:p>
      <w:r/>
      <w:r>
        <w:t>Une épine est une structure pointue qui pousse sur la tige ou la branche d'une plante. Les épines peuvent blesser les personnes ou les animaux qui les touchent. Certaines plantes développent des épines pour se protéger.</w:t>
      </w:r>
    </w:p>
    <w:p>
      <w:r/>
      <w:r>
        <w:t>La Bible mentionne souvent les épines. Elles peuvent faire partie des plantes naturelles de la terre, ou elles peuvent être un symbole de douleur, de problème ou de punition. Par exemple, après qu'Adam et Ève ont péché, Dieu a dit que le sol produirait des épines et des ronces (</w:t>
      </w:r>
      <w:hyperlink r:id="rId4854">
        <w:r>
          <w:rPr>
            <w:color w:val="0000EE"/>
            <w:u w:val="single"/>
          </w:rPr>
          <w:t>Gn 3.18</w:t>
        </w:r>
      </w:hyperlink>
      <w:r>
        <w:t>).</w:t>
      </w:r>
    </w:p>
    <w:p>
      <w:r/>
      <w:r>
        <w:t>C'est également avec des épines qu'a été faite la couronne placée sur la tête de Jésus pour se moquer de lui avant sa mort (</w:t>
      </w:r>
      <w:hyperlink r:id="rId4855">
        <w:r>
          <w:rPr>
            <w:color w:val="0000EE"/>
            <w:u w:val="single"/>
          </w:rPr>
          <w:t>Mt 27.29</w:t>
        </w:r>
      </w:hyperlink>
      <w:r>
        <w:t>).</w:t>
      </w:r>
    </w:p>
    <w:p>
      <w:r/>
      <w:r>
        <w:rPr>
          <w:i/>
        </w:rPr>
        <w:t>Voir</w:t>
      </w:r>
      <w:r>
        <w:t xml:space="preserve"> </w:t>
      </w:r>
      <w:r>
        <w:t>Ronce, Chardon</w:t>
      </w:r>
      <w:r>
        <w:t>.</w:t>
      </w:r>
      <w:r/>
      <w:r/>
    </w:p>
    <w:p>
      <w:r/>
    </w:p>
    <w:p>
      <w:pPr>
        <w:pStyle w:val="Heading2"/>
      </w:pPr>
      <w:r>
        <w:t>Er</w:t>
      </w:r>
      <w:r/>
    </w:p>
    <w:p>
      <w:pPr>
        <w:pStyle w:val="ListNumber"/>
        <w:spacing w:line="240" w:lineRule="auto"/>
        <w:ind w:left="720"/>
      </w:pPr>
      <w:r/>
      <w:r>
        <w:t>Fils aîné de Juda et Bathshua, une Cananéenne (</w:t>
      </w:r>
      <w:hyperlink r:id="rId4856">
        <w:r>
          <w:rPr>
            <w:color w:val="0000EE"/>
            <w:u w:val="single"/>
          </w:rPr>
          <w:t>Gn 38.3</w:t>
        </w:r>
      </w:hyperlink>
      <w:r>
        <w:t>). Le Seigneur le tuera avant qu'il ne puisse avoir des enfants avec sa femme, Tamar (</w:t>
      </w:r>
      <w:hyperlink r:id="rId4857">
        <w:r>
          <w:rPr>
            <w:color w:val="0000EE"/>
            <w:u w:val="single"/>
          </w:rPr>
          <w:t>Gn 38.7</w:t>
        </w:r>
      </w:hyperlink>
      <w:r>
        <w:t xml:space="preserve"> ; </w:t>
      </w:r>
      <w:hyperlink r:id="rId4858">
        <w:r>
          <w:rPr>
            <w:color w:val="0000EE"/>
            <w:u w:val="single"/>
          </w:rPr>
          <w:t>46.12</w:t>
        </w:r>
      </w:hyperlink>
      <w:r>
        <w:t xml:space="preserve"> ; </w:t>
      </w:r>
      <w:hyperlink r:id="rId4859">
        <w:r>
          <w:rPr>
            <w:color w:val="0000EE"/>
            <w:u w:val="single"/>
          </w:rPr>
          <w:t>1Ch 2.3</w:t>
        </w:r>
      </w:hyperlink>
      <w:r>
        <w:t>).</w:t>
      </w:r>
    </w:p>
    <w:p>
      <w:pPr>
        <w:pStyle w:val="ListNumber"/>
        <w:spacing w:line="240" w:lineRule="auto"/>
        <w:ind w:left="720"/>
      </w:pPr>
      <w:r/>
      <w:r>
        <w:t>Petit-fils de Juda et père de Léca (</w:t>
      </w:r>
      <w:hyperlink r:id="rId4860">
        <w:r>
          <w:rPr>
            <w:color w:val="0000EE"/>
            <w:u w:val="single"/>
          </w:rPr>
          <w:t>1Ch 4.21</w:t>
        </w:r>
      </w:hyperlink>
      <w:r>
        <w:t>). Il était le neveu de la personne mentionnée en premier ci-dessus.</w:t>
      </w:r>
    </w:p>
    <w:p>
      <w:pPr>
        <w:pStyle w:val="ListNumber"/>
        <w:spacing w:line="240" w:lineRule="auto"/>
        <w:ind w:left="720"/>
      </w:pPr>
      <w:r/>
      <w:r>
        <w:t>Fils de Josué et ancêtre de Joseph, le mari de Marie (</w:t>
      </w:r>
      <w:hyperlink r:id="rId4861">
        <w:r>
          <w:rPr>
            <w:color w:val="0000EE"/>
            <w:u w:val="single"/>
          </w:rPr>
          <w:t>Lc 3.28</w:t>
        </w:r>
      </w:hyperlink>
      <w:r>
        <w:t xml:space="preserve">). </w:t>
      </w:r>
      <w:r>
        <w:rPr>
          <w:i/>
        </w:rPr>
        <w:t>Voir</w:t>
      </w:r>
      <w:r>
        <w:t xml:space="preserve"> </w:t>
      </w:r>
      <w:r>
        <w:t>Généalogie de Jésus-Christ</w:t>
      </w:r>
      <w:r>
        <w:t>.</w:t>
      </w:r>
      <w:r/>
      <w:r/>
    </w:p>
    <w:p>
      <w:r/>
    </w:p>
    <w:p>
      <w:pPr>
        <w:pStyle w:val="Heading2"/>
      </w:pPr>
      <w:r>
        <w:t>Éraste</w:t>
      </w:r>
      <w:r/>
    </w:p>
    <w:p>
      <w:r/>
      <w:r>
        <w:t>Nom mentionné à trois reprises dans le Nouveau Testament. Il est incertain s'il se réfère à une seule personne. Cependant, dans chaque cas, Éraste est un assistant de l'apôtre Paul. Les trois mentions d'Éraste dans le Nouveau Testament sont :</w:t>
      </w:r>
    </w:p>
    <w:p>
      <w:pPr>
        <w:pStyle w:val="ListNumber"/>
        <w:spacing w:line="240" w:lineRule="auto"/>
        <w:ind w:left="720"/>
      </w:pPr>
      <w:r/>
      <w:r>
        <w:t>Un assistant de Paul envoyé avec l'apôtre Timothée en Macédoine (</w:t>
      </w:r>
      <w:hyperlink r:id="rId4761">
        <w:r>
          <w:rPr>
            <w:color w:val="0000EE"/>
            <w:u w:val="single"/>
          </w:rPr>
          <w:t>Ac 19.22</w:t>
        </w:r>
      </w:hyperlink>
      <w:r>
        <w:t>).</w:t>
      </w:r>
    </w:p>
    <w:p>
      <w:pPr>
        <w:pStyle w:val="ListNumber"/>
        <w:spacing w:line="240" w:lineRule="auto"/>
        <w:ind w:left="720"/>
      </w:pPr>
      <w:r/>
      <w:r>
        <w:t>Le trésorier de la ville de Corinthe, un fonctionnaire chargé de gérer les finances. Il se peut qu'il ait été un esclave ou un esclave affranchi devenu riche, et un homme important dans la communauté corinthienne. Il envoie ses salutations avec Paul à l'Église de Rome (</w:t>
      </w:r>
      <w:hyperlink r:id="rId2373">
        <w:r>
          <w:rPr>
            <w:color w:val="0000EE"/>
            <w:u w:val="single"/>
          </w:rPr>
          <w:t>Rm 16.23</w:t>
        </w:r>
      </w:hyperlink>
      <w:r>
        <w:t>).</w:t>
      </w:r>
    </w:p>
    <w:p>
      <w:pPr>
        <w:pStyle w:val="ListNumber"/>
        <w:spacing w:line="240" w:lineRule="auto"/>
        <w:ind w:left="720"/>
      </w:pPr>
      <w:r/>
      <w:r>
        <w:t>Un ami de Paul qui est resté à Corinthe (</w:t>
      </w:r>
      <w:hyperlink r:id="rId4862">
        <w:r>
          <w:rPr>
            <w:color w:val="0000EE"/>
            <w:u w:val="single"/>
          </w:rPr>
          <w:t>2Tm 4.20</w:t>
        </w:r>
      </w:hyperlink>
      <w:r>
        <w:t>).</w:t>
      </w:r>
      <w:r/>
      <w:r/>
    </w:p>
    <w:p>
      <w:r/>
    </w:p>
    <w:p>
      <w:pPr>
        <w:pStyle w:val="Heading2"/>
      </w:pPr>
      <w:r>
        <w:t>Érec</w:t>
      </w:r>
      <w:r/>
    </w:p>
    <w:p>
      <w:r/>
      <w:r>
        <w:t xml:space="preserve">Ville sumérienne importante, située à l'emplacement de ce qui est maintenant appelé Warka près de l'Euphrate, à 65 km au nord-ouest d'Ur et à 250 km au sud de Bagdad. </w:t>
      </w:r>
      <w:hyperlink r:id="rId116">
        <w:r>
          <w:rPr>
            <w:color w:val="0000EE"/>
            <w:u w:val="single"/>
          </w:rPr>
          <w:t>Genèse 10.10</w:t>
        </w:r>
      </w:hyperlink>
      <w:r>
        <w:t xml:space="preserve"> fait référence à Érec comme la deuxième des quatre villes fondées par Nimrod. Des fouilles partielles ont mis au jour les murs de la ville (10 km de circonférence), des canaux et les vestiges de bâtiments élégants avec des murs cannelés décorés de cônes colorés et d'inscriptions. Deux ziggourats comptent parmi les plus anciennes jamais découvertes, et plusieurs temples datent de la fin du 4e ou du début du 3e millénaire av. J.‑C. L'utilisation de sceaux cylindriques en argile a commencé à Érec, et de la même période proviennent des centaines d'inscriptions pictographiques.</w:t>
      </w:r>
    </w:p>
    <w:p>
      <w:r/>
      <w:r>
        <w:t>Les inscriptions anciennes indiquent qu'Érec et ses environs étaient considérés comme extrêmement beaux et fertiles. Son panthéon religieux était centré sur la déesse agressive de l'amour, Inanna, qui aurait apporté à Érec les « lois divines » auxquelles il devait sa grandeur. Elle aurait également aidé Érec à subjuguer ses ennemis et aurait épousé le roi Dumuzi pour assurer la fertilité et la prospérité de Sumer. Dumuzi, à son tour, était identifié à Thammuz, le dieu de la fertilité vénéré en de nombreux lieux en Mésopotamie et en Palestine.</w:t>
      </w:r>
    </w:p>
    <w:p>
      <w:r/>
      <w:r>
        <w:t xml:space="preserve">Parmi les dirigeants d'Érec au 3e millénaire se trouvait Gilgamesh, héros de la grande épopée akkadienne. À compter de l'époque d'Hammurabi, Érec sera ajouté à la Babylonie, et elle continuera de prospérer jusqu'après 300 av. J.‑C. </w:t>
      </w:r>
      <w:hyperlink r:id="rId4863">
        <w:r>
          <w:rPr>
            <w:color w:val="0000EE"/>
            <w:u w:val="single"/>
          </w:rPr>
          <w:t>Esdras 4.9</w:t>
        </w:r>
      </w:hyperlink>
      <w:r>
        <w:t xml:space="preserve"> fait référence aux « hommes d'Arku », c'est-à-dire le nom assyrien dont dérive l'hébreu « Érec ». Strabon, Ptolémée et Pline mentionnent sa renommée en tant que centre au niveau de l'éducation, principalement astronomique.</w:t>
      </w:r>
      <w:r/>
      <w:r/>
    </w:p>
    <w:p>
      <w:r/>
    </w:p>
    <w:p>
      <w:pPr>
        <w:pStyle w:val="Heading2"/>
      </w:pPr>
      <w:r>
        <w:t>Éri</w:t>
      </w:r>
      <w:r/>
    </w:p>
    <w:p>
      <w:r/>
      <w:r>
        <w:t>Cinquième fils de Gad (</w:t>
      </w:r>
      <w:hyperlink r:id="rId1262">
        <w:r>
          <w:rPr>
            <w:color w:val="0000EE"/>
            <w:u w:val="single"/>
          </w:rPr>
          <w:t>Gn 46.16</w:t>
        </w:r>
      </w:hyperlink>
      <w:r>
        <w:t>) et fondateur de la famille Érite (</w:t>
      </w:r>
      <w:hyperlink r:id="rId4864">
        <w:r>
          <w:rPr>
            <w:color w:val="0000EE"/>
            <w:u w:val="single"/>
          </w:rPr>
          <w:t>Nb 26.16</w:t>
        </w:r>
      </w:hyperlink>
      <w:r>
        <w:t>).</w:t>
      </w:r>
      <w:r/>
      <w:r/>
    </w:p>
    <w:p>
      <w:r/>
    </w:p>
    <w:p>
      <w:pPr>
        <w:pStyle w:val="Heading2"/>
      </w:pPr>
      <w:r>
        <w:t>Ésaü</w:t>
      </w:r>
      <w:r/>
    </w:p>
    <w:p>
      <w:r/>
      <w:r>
        <w:t>Ésaü était le frère jumeau aîné de Jacob, fils d'Isaac et de Rebecca (</w:t>
      </w:r>
      <w:hyperlink r:id="rId4865">
        <w:r>
          <w:rPr>
            <w:color w:val="0000EE"/>
            <w:u w:val="single"/>
          </w:rPr>
          <w:t>Gn 25.24–26</w:t>
        </w:r>
      </w:hyperlink>
      <w:r>
        <w:t>).</w:t>
      </w:r>
    </w:p>
    <w:p>
      <w:pPr>
        <w:pStyle w:val="Heading3"/>
      </w:pPr>
      <w:r>
        <w:t>Nom et signification d'Ésaü</w:t>
      </w:r>
    </w:p>
    <w:p>
      <w:r/>
      <w:r>
        <w:t>Ses parents l'ont nommé Ésaü parce qu'il avait beaucoup de cheveux sur le corps à sa naissance.</w:t>
      </w:r>
    </w:p>
    <w:p>
      <w:r/>
      <w:r>
        <w:t>La peau d'Ésaü semblait rouge à sa naissance. Plus tard, il vendra ses droits d'aînesse à Jacob pour un peu de soupe de lentilles rouges (</w:t>
      </w:r>
      <w:hyperlink r:id="rId4865">
        <w:r>
          <w:rPr>
            <w:color w:val="0000EE"/>
            <w:u w:val="single"/>
          </w:rPr>
          <w:t xml:space="preserve">Gn </w:t>
        </w:r>
      </w:hyperlink>
      <w:hyperlink r:id="rId3398">
        <w:r>
          <w:rPr>
            <w:color w:val="0000EE"/>
            <w:u w:val="single"/>
          </w:rPr>
          <w:t>25.30</w:t>
        </w:r>
      </w:hyperlink>
      <w:r>
        <w:t>). À cause de cela, les gens l'appelleront « Édom », ce qui signifie « rouge ».</w:t>
      </w:r>
    </w:p>
    <w:p>
      <w:r/>
      <w:r>
        <w:t xml:space="preserve">Les gens d'Édom disaient descendre d'Ésaü. Ils nommeront leur terre Séir. Il se peut que ce nom provienne du mot hébreu </w:t>
      </w:r>
      <w:r>
        <w:rPr>
          <w:i/>
        </w:rPr>
        <w:t>sair</w:t>
      </w:r>
      <w:r>
        <w:t>, qui signifie « poilu ».</w:t>
      </w:r>
    </w:p>
    <w:p>
      <w:pPr>
        <w:pStyle w:val="Heading3"/>
      </w:pPr>
      <w:r>
        <w:t>Le Travail et la personnalité d'Ésaü</w:t>
      </w:r>
    </w:p>
    <w:p>
      <w:r/>
      <w:r>
        <w:t>Ésaü était un chasseur habile. Il apportait de la viande sauvage à son père, Isaac, qui aimait son goût prononcé. Jacob, qui restait avec les troupeaux, offrait de la viande plus douce. Isaac préférait la nourriture d'Ésaü.</w:t>
      </w:r>
    </w:p>
    <w:p>
      <w:r/>
      <w:r>
        <w:t>Un jour, Ésaü rentrant de la chasse et n'ayant rien attrapé avait très faim. Jacob lui offrira de la nourriture. En échange, Ésaü renoncera à son droit d'aînesse (</w:t>
      </w:r>
      <w:hyperlink r:id="rId4866">
        <w:r>
          <w:rPr>
            <w:color w:val="0000EE"/>
            <w:u w:val="single"/>
          </w:rPr>
          <w:t>Gn 25.29–34</w:t>
        </w:r>
      </w:hyperlink>
      <w:r>
        <w:t>).</w:t>
      </w:r>
    </w:p>
    <w:p>
      <w:pPr>
        <w:pStyle w:val="Heading3"/>
      </w:pPr>
      <w:r>
        <w:t>Conflit familial et bénédiction</w:t>
      </w:r>
    </w:p>
    <w:p>
      <w:r/>
      <w:r>
        <w:t>Les archéologues ont trouvé des archives à Nuzi montrant qu'un homme pouvait céder son droit d'aînesse à un autre membre de la famille. Ainsi, le fait qu'Ésaü cède son droit d'aînesse à Jacob n'était pas inhabituel à cette époque.</w:t>
      </w:r>
    </w:p>
    <w:p>
      <w:r/>
      <w:r>
        <w:t>Ésaü épousera plus tard deux femmes locales qui ne faisaient pas partie de la famille d'Abraham. Cela causa de grands ennuis à ses parents, Isaac et Rebecca (</w:t>
      </w:r>
      <w:hyperlink r:id="rId4867">
        <w:r>
          <w:rPr>
            <w:color w:val="0000EE"/>
            <w:u w:val="single"/>
          </w:rPr>
          <w:t>Gn 26.34–35</w:t>
        </w:r>
      </w:hyperlink>
      <w:r>
        <w:t xml:space="preserve">). À cause de cela, Rebecca aidera Jacob à tromper Isaac pour qu'il lui donne la bénédiction qui revenait normalement à Ésaü, le fils aîné (chap. </w:t>
      </w:r>
      <w:hyperlink r:id="rId4307">
        <w:r>
          <w:rPr>
            <w:color w:val="0000EE"/>
            <w:u w:val="single"/>
          </w:rPr>
          <w:t>27</w:t>
        </w:r>
      </w:hyperlink>
      <w:r>
        <w:t>). Quand Ésaü l'apprend, il sera très en colère. Jacob devra s'enfuir à Charan. Après vingt ans, Ésaü pardonnera à Jacob. Les deux frères se retrouveront et seront de nouveau en paix (</w:t>
      </w:r>
      <w:hyperlink r:id="rId4868">
        <w:r>
          <w:rPr>
            <w:color w:val="0000EE"/>
            <w:u w:val="single"/>
          </w:rPr>
          <w:t>33.4–16</w:t>
        </w:r>
      </w:hyperlink>
      <w:r>
        <w:t>).</w:t>
      </w:r>
    </w:p>
    <w:p>
      <w:pPr>
        <w:pStyle w:val="Heading3"/>
      </w:pPr>
      <w:r>
        <w:t>Les Descendants d'Ésaü</w:t>
      </w:r>
    </w:p>
    <w:p>
      <w:r/>
      <w:r>
        <w:t>À la naissance de Jacob, ce dernier tenait le talon d'Ésaü. Les gens y ont vu un signe, croyant que cela signifiait que les descendants d'Ésaü, les Édomites, serviraient un jour les descendants de Jacob, les Israélites.</w:t>
      </w:r>
    </w:p>
    <w:p>
      <w:r/>
      <w:r>
        <w:t>Cela s'est bien produit à l'époque du roi David. Les Édomites se sont trouvé sous la domination d'Israël (</w:t>
      </w:r>
      <w:hyperlink r:id="rId4869">
        <w:r>
          <w:rPr>
            <w:color w:val="0000EE"/>
            <w:u w:val="single"/>
          </w:rPr>
          <w:t>2S 8.11–15</w:t>
        </w:r>
      </w:hyperlink>
      <w:r>
        <w:t xml:space="preserve"> ; </w:t>
      </w:r>
      <w:hyperlink r:id="rId4870">
        <w:r>
          <w:rPr>
            <w:color w:val="0000EE"/>
            <w:u w:val="single"/>
          </w:rPr>
          <w:t>1Ch 18.13</w:t>
        </w:r>
      </w:hyperlink>
      <w:r>
        <w:t>) et cette situation perdurera jusqu'à l'époque du roi Joram (</w:t>
      </w:r>
      <w:hyperlink r:id="rId4499">
        <w:r>
          <w:rPr>
            <w:color w:val="0000EE"/>
            <w:u w:val="single"/>
          </w:rPr>
          <w:t>2R 8.20–22</w:t>
        </w:r>
      </w:hyperlink>
      <w:r>
        <w:t xml:space="preserve"> ; </w:t>
      </w:r>
      <w:hyperlink r:id="rId4871">
        <w:r>
          <w:rPr>
            <w:color w:val="0000EE"/>
            <w:u w:val="single"/>
          </w:rPr>
          <w:t>2Ch 21.8–10</w:t>
        </w:r>
      </w:hyperlink>
      <w:r>
        <w:t>).</w:t>
      </w:r>
    </w:p>
    <w:p>
      <w:r/>
      <w:r>
        <w:t>En 845 av. J.‑C., les Édomites se révoltèrent et deviendront libres pendant un certain temps. Cependant, le roi Amatsia de Juda les conquerra de nouveau. Il règnera sur Juda de 796 à 767 av. J.‑C. Plus tard, en 735 av. J.‑C., les Édomites retrouveront leur liberté et resteront indépendants de Juda.</w:t>
      </w:r>
    </w:p>
    <w:p>
      <w:r/>
      <w:r>
        <w:rPr>
          <w:i/>
        </w:rPr>
        <w:t>Voir</w:t>
      </w:r>
      <w:r>
        <w:t xml:space="preserve"> </w:t>
      </w:r>
      <w:r>
        <w:t>Édom, Édomites</w:t>
      </w:r>
      <w:r>
        <w:t>.</w:t>
      </w:r>
      <w:r/>
      <w:r/>
    </w:p>
    <w:p>
      <w:r/>
    </w:p>
    <w:p>
      <w:pPr>
        <w:pStyle w:val="Heading2"/>
      </w:pPr>
      <w:r>
        <w:t>Eschatologie</w:t>
      </w:r>
      <w:r/>
    </w:p>
    <w:p>
      <w:r/>
      <w:r>
        <w:t>Une branche de la théologie qui s'intéresse à l'étude des choses dernières, ou des temps de la fin. Ces croyances incluent :</w:t>
      </w:r>
    </w:p>
    <w:p>
      <w:pPr>
        <w:pStyle w:val="ListBullet"/>
        <w:spacing w:line="240" w:lineRule="auto"/>
        <w:ind w:left="720"/>
      </w:pPr>
      <w:r/>
      <w:r>
        <w:t>Que se passe-t-il quand les gens meurent ?</w:t>
      </w:r>
    </w:p>
    <w:p>
      <w:pPr>
        <w:pStyle w:val="ListBullet"/>
        <w:spacing w:line="240" w:lineRule="auto"/>
        <w:ind w:left="720"/>
      </w:pPr>
      <w:r/>
      <w:r>
        <w:t>Que se passe-t-il lorsque Jésus revient ?</w:t>
      </w:r>
    </w:p>
    <w:p>
      <w:pPr>
        <w:pStyle w:val="ListBullet"/>
        <w:spacing w:line="240" w:lineRule="auto"/>
        <w:ind w:left="720"/>
      </w:pPr>
      <w:r/>
      <w:r>
        <w:t>À quoi ressemblera l'avenir ultime pour les individus et le monde entier ?</w:t>
      </w:r>
    </w:p>
    <w:p>
      <w:pPr>
        <w:pStyle w:val="Heading3"/>
      </w:pPr>
      <w:r>
        <w:t>Sujets de l'eschatologie</w:t>
      </w:r>
    </w:p>
    <w:p>
      <w:pPr>
        <w:pStyle w:val="Heading4"/>
      </w:pPr>
      <w:r>
        <w:t>La Mort</w:t>
      </w:r>
    </w:p>
    <w:p>
      <w:r/>
      <w:r>
        <w:t>La Bible enseigne que tous les humains mourront (</w:t>
      </w:r>
      <w:hyperlink r:id="rId4872">
        <w:r>
          <w:rPr>
            <w:color w:val="0000EE"/>
            <w:u w:val="single"/>
          </w:rPr>
          <w:t>Hé 9.27</w:t>
        </w:r>
      </w:hyperlink>
      <w:r>
        <w:t>). Les seules exceptions seront ceux qui seront encore en vie lorsque Christ reviendra (</w:t>
      </w:r>
      <w:hyperlink r:id="rId4873">
        <w:r>
          <w:rPr>
            <w:color w:val="0000EE"/>
            <w:u w:val="single"/>
          </w:rPr>
          <w:t>1Th 4.17</w:t>
        </w:r>
      </w:hyperlink>
      <w:r>
        <w:t>). La mort physique, ou la « première mort », est la séparation de l'âme du corps. En raison de la présence du péché dans le monde, tout le monde doit mourir (</w:t>
      </w:r>
      <w:hyperlink r:id="rId4874">
        <w:r>
          <w:rPr>
            <w:color w:val="0000EE"/>
            <w:u w:val="single"/>
          </w:rPr>
          <w:t>Rm 5.12</w:t>
        </w:r>
      </w:hyperlink>
      <w:r>
        <w:t>).</w:t>
      </w:r>
    </w:p>
    <w:p>
      <w:pPr>
        <w:pStyle w:val="Heading4"/>
      </w:pPr>
      <w:r>
        <w:t>L'État intermédiaire</w:t>
      </w:r>
    </w:p>
    <w:p>
      <w:r/>
      <w:r>
        <w:t>Cela se réfère à l'état de la personne entre le moment de la mort et de la résurrection. Selon la perspective orthodoxe traditionnelle, les croyants vivent un état de félicité consciente en présence du Seigneur. Les non-croyants, quant à eux, souffrent de la séparation de la présence de Dieu. Cependant, cet état est relativement incomplet comparé à la destinée finale de chacun.</w:t>
      </w:r>
    </w:p>
    <w:p>
      <w:r/>
      <w:r>
        <w:t>Certaines groupes, comme les Adventistes du septième jour, soutiennent une croyance en un type de « sommeil de l'âme », ou inconscience, entre la mort et la résurrection. D'autres, notamment les catholiques romains, croient en un lieu de purification en préparation pour la vie future.</w:t>
      </w:r>
    </w:p>
    <w:p>
      <w:pPr>
        <w:pStyle w:val="Heading4"/>
      </w:pPr>
      <w:r>
        <w:t>La Seconde venue</w:t>
      </w:r>
    </w:p>
    <w:p>
      <w:r/>
      <w:r>
        <w:t>Les Écritures enseignent qu'à la fin des temps, Christ reviendra de manière personnelle et corporelle (</w:t>
      </w:r>
      <w:hyperlink r:id="rId4875">
        <w:r>
          <w:rPr>
            <w:color w:val="0000EE"/>
            <w:u w:val="single"/>
          </w:rPr>
          <w:t>Ac 1.11</w:t>
        </w:r>
      </w:hyperlink>
      <w:r>
        <w:t>). Personne ne sait exactement quand cela se produira, et cela surprendra donc certains, venant comme un voleur dans la nuit (</w:t>
      </w:r>
      <w:hyperlink r:id="rId4876">
        <w:r>
          <w:rPr>
            <w:color w:val="0000EE"/>
            <w:u w:val="single"/>
          </w:rPr>
          <w:t>Lc 12.39–40</w:t>
        </w:r>
      </w:hyperlink>
      <w:r>
        <w:t xml:space="preserve">). Le moment est inconnu, mais le fait qu'il se produira est très certain. Beaucoup des paraboles de Jésus se réfèrent à ce fait et à l'importance d'une activité vigilante, fidèle et intensive. </w:t>
      </w:r>
      <w:hyperlink r:id="rId4877">
        <w:r>
          <w:rPr>
            <w:color w:val="0000EE"/>
            <w:u w:val="single"/>
          </w:rPr>
          <w:t>Mt 24–25</w:t>
        </w:r>
      </w:hyperlink>
      <w:r>
        <w:t xml:space="preserve"> en fournit un bon exemple.</w:t>
      </w:r>
    </w:p>
    <w:p>
      <w:pPr>
        <w:pStyle w:val="Heading4"/>
      </w:pPr>
      <w:r>
        <w:t>La Résurrection</w:t>
      </w:r>
    </w:p>
    <w:p>
      <w:r/>
      <w:r>
        <w:t>Tous ceux qui sont morts reviendront à la vie. Il s'agira d'une résurrection corporelle ; d'une reprise de l'existence corporelle de chaque personne. Pour les croyants, cela se produira en lien avec la seconde venue de Christ. La résurrection impliquera la transformation de ce corps de chair présent en un nouveau corps parfait (</w:t>
      </w:r>
      <w:hyperlink r:id="rId4878">
        <w:r>
          <w:rPr>
            <w:color w:val="0000EE"/>
            <w:u w:val="single"/>
          </w:rPr>
          <w:t>1Co 15.35–56</w:t>
        </w:r>
      </w:hyperlink>
      <w:r>
        <w:t>). La Bible indique également une résurrection des non-croyants, vers la mort éternelle (</w:t>
      </w:r>
      <w:hyperlink r:id="rId4879">
        <w:r>
          <w:rPr>
            <w:color w:val="0000EE"/>
            <w:u w:val="single"/>
          </w:rPr>
          <w:t>Jn 5.28–29</w:t>
        </w:r>
      </w:hyperlink>
      <w:r>
        <w:t>).</w:t>
      </w:r>
    </w:p>
    <w:p>
      <w:pPr>
        <w:pStyle w:val="Heading4"/>
      </w:pPr>
      <w:r>
        <w:t>Le Jugement</w:t>
      </w:r>
    </w:p>
    <w:p>
      <w:r/>
      <w:r>
        <w:t>Il y aura un temps de jugement où le Seigneur déterminera la condition spirituelle de tous ceux qui ont vécu, basé sur leur relation avec lui. Certains recevront une récompense éternelle, tandis que d'autres subiront une punition éternelle. Certains théologiens distinguent les moments où les croyants et les non-croyants seront jugés. Certains envisagent jusqu'à sept jugements différents.</w:t>
      </w:r>
    </w:p>
    <w:p>
      <w:pPr>
        <w:pStyle w:val="Heading4"/>
      </w:pPr>
      <w:r>
        <w:t>Le Ciel</w:t>
      </w:r>
      <w:r>
        <w:t xml:space="preserve"> et </w:t>
      </w:r>
      <w:r>
        <w:t>l'Enfer</w:t>
      </w:r>
    </w:p>
    <w:p>
      <w:r/>
      <w:r>
        <w:t>La Bible enseigne l'existence du paradis, un lieu de joie éternelle où les chrétiens seront en présence de Dieu. La Bible parle aussi de l'enfer, également appelé géhenne ou lac de feu. L'enfer est un état de séparation tragique des incroyants de la présence de Dieu. Ces états sont fixes et déterminés par les décisions prises au cours de cette vie.</w:t>
      </w:r>
    </w:p>
    <w:p>
      <w:pPr>
        <w:pStyle w:val="Heading4"/>
      </w:pPr>
      <w:r>
        <w:t>Le Millénium</w:t>
      </w:r>
    </w:p>
    <w:p>
      <w:r/>
      <w:r>
        <w:t xml:space="preserve">De nombreux chrétiens croient qu'il y aura un règne terrestre de Jésus-Christ, appelé le Millénium. Celui-ci précède immédiatement le jugement final. Cette croyance est basée sur </w:t>
      </w:r>
      <w:hyperlink r:id="rId4880">
        <w:r>
          <w:rPr>
            <w:color w:val="0000EE"/>
            <w:u w:val="single"/>
          </w:rPr>
          <w:t>Apocalypse 20.4–7</w:t>
        </w:r>
      </w:hyperlink>
      <w:r>
        <w:t>. Il y a trois visions principales concernant le Millénium :</w:t>
      </w:r>
    </w:p>
    <w:p>
      <w:pPr>
        <w:pStyle w:val="ListNumber"/>
        <w:spacing w:line="240" w:lineRule="auto"/>
        <w:ind w:left="720"/>
      </w:pPr>
      <w:r/>
      <w:r>
        <w:t>Les prémillénaristes : ils croient que Christ reviendra personnellement pour inaugurer cette période.</w:t>
      </w:r>
    </w:p>
    <w:p>
      <w:pPr>
        <w:pStyle w:val="ListNumber"/>
        <w:spacing w:line="240" w:lineRule="auto"/>
        <w:ind w:left="720"/>
      </w:pPr>
      <w:r/>
      <w:r>
        <w:t>Les postmillénaristes : Ils croient que le royaume sera établi grâce à la prédication progressive et réussie de l'Évangile.</w:t>
      </w:r>
    </w:p>
    <w:p>
      <w:pPr>
        <w:pStyle w:val="ListNumber"/>
        <w:spacing w:line="240" w:lineRule="auto"/>
        <w:ind w:left="720"/>
      </w:pPr>
      <w:r/>
      <w:r>
        <w:t>Les amillénaristes : Ils ne croient pas qu'il y aura un règne terrestre de Christ. Ils interprètent les mille ans d'</w:t>
      </w:r>
      <w:hyperlink r:id="rId4881">
        <w:r>
          <w:rPr>
            <w:color w:val="0000EE"/>
            <w:u w:val="single"/>
          </w:rPr>
          <w:t>Apocalypse 20</w:t>
        </w:r>
      </w:hyperlink>
      <w:r>
        <w:t xml:space="preserve"> de manière symbolique.</w:t>
      </w:r>
    </w:p>
    <w:p>
      <w:pPr>
        <w:pStyle w:val="Heading4"/>
      </w:pPr>
      <w:r>
        <w:t>La Grande tribulation</w:t>
      </w:r>
    </w:p>
    <w:p>
      <w:r/>
      <w:r>
        <w:t xml:space="preserve">La Bible parle d'un temps de grande angoisse ou de tribulation. Ce temps surviendra sur la terre, surpassant tout ce qui s'est jamais produit auparavant. Certains l'identifient avec la soixante-dixième semaine de </w:t>
      </w:r>
      <w:hyperlink r:id="rId4882">
        <w:r>
          <w:rPr>
            <w:color w:val="0000EE"/>
            <w:u w:val="single"/>
          </w:rPr>
          <w:t>Daniel 9.24–27.</w:t>
        </w:r>
      </w:hyperlink>
      <w:r>
        <w:t xml:space="preserve"> Ils croient qu'elle durera sept ans. Certains pensent que l'Église sera présente pour vivre cette période, comme le Seigneur ne reviendra qu'à la fin de cette période. Ceux-ci sont appelés post-tribulationnistes. D'autres, connus sous le nom de pré-tribulationnistes, croient que la seconde venue du Seigneur se fera en deux étapes, ou phases :</w:t>
      </w:r>
    </w:p>
    <w:p>
      <w:pPr>
        <w:pStyle w:val="ListNumber"/>
        <w:spacing w:line="240" w:lineRule="auto"/>
        <w:ind w:left="720"/>
      </w:pPr>
      <w:r/>
      <w:r>
        <w:t>Christ viendra pour son Église afin d'emmener les croyants avant la grande tribulation.</w:t>
      </w:r>
    </w:p>
    <w:p>
      <w:pPr>
        <w:pStyle w:val="ListNumber"/>
        <w:spacing w:line="240" w:lineRule="auto"/>
        <w:ind w:left="720"/>
      </w:pPr>
      <w:r/>
      <w:r>
        <w:t>Christ fera alors une démonstration ouverte de sa gloire devant le monde entier.</w:t>
      </w:r>
    </w:p>
    <w:p>
      <w:r/>
      <w:r>
        <w:t>D'autres, connus sous le nom de midtribulationnistes, croient que l'Église sera présente pendant la première moitié des sept années mais qu'elle sera retirée avant que la partie sévère de la tribulation ne commence.</w:t>
      </w:r>
    </w:p>
    <w:p>
      <w:r/>
      <w:r>
        <w:rPr>
          <w:i/>
        </w:rPr>
        <w:t>Voir aussi</w:t>
      </w:r>
      <w:r>
        <w:t xml:space="preserve"> </w:t>
      </w:r>
      <w:r>
        <w:t>Apocalyptique</w:t>
      </w:r>
      <w:r>
        <w:t xml:space="preserve"> ; </w:t>
      </w:r>
      <w:r>
        <w:t>Jour du Seigneur</w:t>
      </w:r>
      <w:r>
        <w:t xml:space="preserve"> ; </w:t>
      </w:r>
      <w:r>
        <w:t>Mort</w:t>
      </w:r>
      <w:r>
        <w:t xml:space="preserve"> ; </w:t>
      </w:r>
      <w:r>
        <w:t>Vie éternelle</w:t>
      </w:r>
      <w:r>
        <w:t xml:space="preserve"> ; </w:t>
      </w:r>
      <w:r>
        <w:t>Paradis</w:t>
      </w:r>
      <w:r>
        <w:t xml:space="preserve"> ; </w:t>
      </w:r>
      <w:r>
        <w:t>Enfer</w:t>
      </w:r>
      <w:r>
        <w:t xml:space="preserve"> ; </w:t>
      </w:r>
      <w:r>
        <w:t>État intermédiaire</w:t>
      </w:r>
      <w:r>
        <w:t xml:space="preserve"> ; </w:t>
      </w:r>
      <w:r>
        <w:t>Jugement</w:t>
      </w:r>
      <w:r>
        <w:t xml:space="preserve"> ; </w:t>
      </w:r>
      <w:r>
        <w:t>Derniers jours</w:t>
      </w:r>
      <w:r>
        <w:t xml:space="preserve"> ; </w:t>
      </w:r>
      <w:r>
        <w:t>Jugement dernier</w:t>
      </w:r>
      <w:r>
        <w:t xml:space="preserve"> ; </w:t>
      </w:r>
      <w:r>
        <w:t>Millénium</w:t>
      </w:r>
      <w:r>
        <w:t xml:space="preserve"> ; </w:t>
      </w:r>
      <w:r>
        <w:t>Résurrection</w:t>
      </w:r>
      <w:r>
        <w:t xml:space="preserve"> ; </w:t>
      </w:r>
      <w:r>
        <w:t>Seconde venue de Christ</w:t>
      </w:r>
      <w:r>
        <w:t xml:space="preserve"> ; </w:t>
      </w:r>
      <w:r>
        <w:t>Livre de Daniel</w:t>
      </w:r>
      <w:r>
        <w:t xml:space="preserve"> ; </w:t>
      </w:r>
      <w:r>
        <w:t>Tribulation</w:t>
      </w:r>
      <w:r>
        <w:t xml:space="preserve"> ; </w:t>
      </w:r>
      <w:r>
        <w:t>Colère de Dieu</w:t>
      </w:r>
      <w:r>
        <w:t>.</w:t>
      </w:r>
      <w:r/>
      <w:r/>
    </w:p>
    <w:p>
      <w:r/>
    </w:p>
    <w:p>
      <w:pPr>
        <w:pStyle w:val="Heading2"/>
      </w:pPr>
      <w:r>
        <w:t>Eschban</w:t>
      </w:r>
      <w:r/>
    </w:p>
    <w:p>
      <w:r/>
      <w:r>
        <w:t xml:space="preserve">Deuxième fils de </w:t>
      </w:r>
      <w:r>
        <w:t>Dischon</w:t>
      </w:r>
      <w:r>
        <w:t xml:space="preserve"> et petit-fils de Séir le Horien (</w:t>
      </w:r>
      <w:hyperlink r:id="rId4883">
        <w:r>
          <w:rPr>
            <w:color w:val="0000EE"/>
            <w:u w:val="single"/>
          </w:rPr>
          <w:t>Gn 36.26</w:t>
        </w:r>
      </w:hyperlink>
      <w:r>
        <w:t xml:space="preserve"> ; </w:t>
      </w:r>
      <w:hyperlink r:id="rId4169">
        <w:r>
          <w:rPr>
            <w:color w:val="0000EE"/>
            <w:u w:val="single"/>
          </w:rPr>
          <w:t>1Ch 1.41</w:t>
        </w:r>
      </w:hyperlink>
      <w:r>
        <w:t>).</w:t>
      </w:r>
      <w:r/>
      <w:r/>
    </w:p>
    <w:p>
      <w:r/>
    </w:p>
    <w:p>
      <w:pPr>
        <w:pStyle w:val="Heading2"/>
      </w:pPr>
      <w:r>
        <w:t>Eschcol (Personne)</w:t>
      </w:r>
      <w:r/>
    </w:p>
    <w:p>
      <w:r/>
      <w:r>
        <w:t>Amoréen qui, avec ses frères Mamré et Aner, aidera le patriarche Abraham à vaincre les forces de Kedorlaomer et à sauver Lot et sa famille (</w:t>
      </w:r>
      <w:hyperlink r:id="rId4729">
        <w:r>
          <w:rPr>
            <w:color w:val="0000EE"/>
            <w:u w:val="single"/>
          </w:rPr>
          <w:t>Gn 14.13, 24</w:t>
        </w:r>
      </w:hyperlink>
      <w:r>
        <w:t>).</w:t>
      </w:r>
      <w:r/>
      <w:r/>
    </w:p>
    <w:p>
      <w:r/>
    </w:p>
    <w:p>
      <w:pPr>
        <w:pStyle w:val="Heading2"/>
      </w:pPr>
      <w:r>
        <w:t>Esclave, Esclavage</w:t>
      </w:r>
      <w:r/>
    </w:p>
    <w:p>
      <w:r/>
      <w:r>
        <w:t>Un esclave était une personne considérée comme la propriété d'une autre personne. L'esclavage était le système établissant cette relation entre les propriétaires d'esclaves et les esclaves.</w:t>
      </w:r>
    </w:p>
    <w:p>
      <w:r/>
      <w:r>
        <w:t>Dans les temps anciens, l'esclavage était courant dans tout le Proche-Orient, bien que ces sociétés ne dépendent pas de l'esclavage pour leur économie. À l'époque de l'Empire romain, lorsque vivaient les premiers chrétiens, l'esclavage était devenu très répandu. Une personne sur deux était esclave.</w:t>
      </w:r>
    </w:p>
    <w:p>
      <w:pPr>
        <w:pStyle w:val="Heading3"/>
      </w:pPr>
      <w:r>
        <w:t>Comment devenait-on esclave ?</w:t>
      </w:r>
    </w:p>
    <w:p>
      <w:r/>
      <w:r>
        <w:t>Depuis au moins 3 000 av. J.‑C., la plupart des esclaves étaient des personnes capturées pendant les guerres (</w:t>
      </w:r>
      <w:hyperlink r:id="rId4884">
        <w:r>
          <w:rPr>
            <w:color w:val="0000EE"/>
            <w:u w:val="single"/>
          </w:rPr>
          <w:t>Gn 14.21</w:t>
        </w:r>
      </w:hyperlink>
      <w:r>
        <w:t xml:space="preserve"> ; </w:t>
      </w:r>
      <w:hyperlink r:id="rId4885">
        <w:r>
          <w:rPr>
            <w:color w:val="0000EE"/>
            <w:u w:val="single"/>
          </w:rPr>
          <w:t>Nb 31.9</w:t>
        </w:r>
      </w:hyperlink>
      <w:r>
        <w:t xml:space="preserve"> ; </w:t>
      </w:r>
      <w:hyperlink r:id="rId4886">
        <w:r>
          <w:rPr>
            <w:color w:val="0000EE"/>
            <w:u w:val="single"/>
          </w:rPr>
          <w:t>Dt 20.14</w:t>
        </w:r>
      </w:hyperlink>
      <w:r>
        <w:t xml:space="preserve"> ; </w:t>
      </w:r>
      <w:hyperlink r:id="rId2083">
        <w:r>
          <w:rPr>
            <w:color w:val="0000EE"/>
            <w:u w:val="single"/>
          </w:rPr>
          <w:t>Jg 5.30</w:t>
        </w:r>
      </w:hyperlink>
      <w:r>
        <w:t xml:space="preserve"> ; </w:t>
      </w:r>
      <w:hyperlink r:id="rId4887">
        <w:r>
          <w:rPr>
            <w:color w:val="0000EE"/>
            <w:u w:val="single"/>
          </w:rPr>
          <w:t>1S 4.9</w:t>
        </w:r>
      </w:hyperlink>
      <w:r>
        <w:t xml:space="preserve"> ; </w:t>
      </w:r>
      <w:hyperlink r:id="rId4888">
        <w:r>
          <w:rPr>
            <w:color w:val="0000EE"/>
            <w:u w:val="single"/>
          </w:rPr>
          <w:t>2R 5.2</w:t>
        </w:r>
      </w:hyperlink>
      <w:r>
        <w:t xml:space="preserve"> ; </w:t>
      </w:r>
      <w:hyperlink r:id="rId4889">
        <w:r>
          <w:rPr>
            <w:color w:val="0000EE"/>
            <w:u w:val="single"/>
          </w:rPr>
          <w:t>2Ch 28.8</w:t>
        </w:r>
      </w:hyperlink>
      <w:r>
        <w:t>). Ces captifs devenaient la propriété de ceux qui les avaient capturés.</w:t>
      </w:r>
    </w:p>
    <w:p>
      <w:r/>
      <w:r>
        <w:t>On pouvait acheter des esclaves localement auprès d'autres propriétaires d'esclaves. On pouvait également les acheter à des marchands étrangers qui voyageaient en vendant des esclaves, ainsi que des tissus, des objets en bronze et d'autres marchandises (</w:t>
      </w:r>
      <w:hyperlink r:id="rId4890">
        <w:r>
          <w:rPr>
            <w:color w:val="0000EE"/>
            <w:u w:val="single"/>
          </w:rPr>
          <w:t>Jl 3.4–8</w:t>
        </w:r>
      </w:hyperlink>
      <w:r>
        <w:t>). C'est ainsi que les frères de Joseph le vendront à des marchands itinérants (appelés Ismaélites ou Madianites), qui l'ont ensuite vendu à un Égyptien (</w:t>
      </w:r>
      <w:hyperlink r:id="rId4891">
        <w:r>
          <w:rPr>
            <w:color w:val="0000EE"/>
            <w:u w:val="single"/>
          </w:rPr>
          <w:t>Gn 37.36</w:t>
        </w:r>
      </w:hyperlink>
      <w:r>
        <w:t xml:space="preserve"> ; </w:t>
      </w:r>
      <w:hyperlink r:id="rId4892">
        <w:r>
          <w:rPr>
            <w:color w:val="0000EE"/>
            <w:u w:val="single"/>
          </w:rPr>
          <w:t>39.1</w:t>
        </w:r>
      </w:hyperlink>
      <w:r>
        <w:t>).</w:t>
      </w:r>
    </w:p>
    <w:p>
      <w:r/>
      <w:r>
        <w:t>L'endettement était la principale raison pour laquelle de nombreuses familles devenaient esclaves. Si quelqu'un ne pouvait pas payer ce qu'il devait, toute sa famille pouvait être forcée de devenir esclave (</w:t>
      </w:r>
      <w:hyperlink r:id="rId2240">
        <w:r>
          <w:rPr>
            <w:color w:val="0000EE"/>
            <w:u w:val="single"/>
          </w:rPr>
          <w:t>2R 4.1</w:t>
        </w:r>
      </w:hyperlink>
      <w:r>
        <w:t xml:space="preserve"> ; </w:t>
      </w:r>
      <w:hyperlink r:id="rId4329">
        <w:r>
          <w:rPr>
            <w:color w:val="0000EE"/>
            <w:u w:val="single"/>
          </w:rPr>
          <w:t>Né 5.5–8</w:t>
        </w:r>
      </w:hyperlink>
      <w:r>
        <w:t>). La section 117 du code de loi d'Hammurabi (un ensemble de lois antique) stipulait qu'une famille ne pouvait pas être maintenue en esclavage pendant plus de trois ans. La loi hébraïque permettait aux propriétaires d'esclaves de garder des personnes jusqu'à six ans (</w:t>
      </w:r>
      <w:hyperlink r:id="rId4893">
        <w:r>
          <w:rPr>
            <w:color w:val="0000EE"/>
            <w:u w:val="single"/>
          </w:rPr>
          <w:t>Dt 15.18</w:t>
        </w:r>
      </w:hyperlink>
      <w:r>
        <w:t>).</w:t>
      </w:r>
    </w:p>
    <w:p>
      <w:r/>
      <w:r>
        <w:t>Certains choisissaient de devenir esclave pour échapper à l'extrême pauvreté et à la faim (</w:t>
      </w:r>
      <w:hyperlink r:id="rId4894">
        <w:r>
          <w:rPr>
            <w:color w:val="0000EE"/>
            <w:u w:val="single"/>
          </w:rPr>
          <w:t>Lv 25.47–48</w:t>
        </w:r>
      </w:hyperlink>
      <w:r>
        <w:t>). Cela s'appelait l'esclavage volontaire et était courant dans les temps anciens.</w:t>
      </w:r>
    </w:p>
    <w:p>
      <w:r/>
      <w:r>
        <w:t>C'était un crime d'enlever et de vendre une personne en esclavage. Les frères de Joseph se sont rendus coupables de ce crime (</w:t>
      </w:r>
      <w:hyperlink r:id="rId4895">
        <w:r>
          <w:rPr>
            <w:color w:val="0000EE"/>
            <w:u w:val="single"/>
          </w:rPr>
          <w:t>Gn 37.27–28</w:t>
        </w:r>
      </w:hyperlink>
      <w:r>
        <w:t xml:space="preserve">). Tant le code de loi d'Hammurabi (Section 14) que la loi de Moïse (voir </w:t>
      </w:r>
      <w:hyperlink r:id="rId4896">
        <w:r>
          <w:rPr>
            <w:color w:val="0000EE"/>
            <w:u w:val="single"/>
          </w:rPr>
          <w:t>Ex 21.11</w:t>
        </w:r>
      </w:hyperlink>
      <w:r>
        <w:t xml:space="preserve"> ; </w:t>
      </w:r>
      <w:hyperlink r:id="rId4897">
        <w:r>
          <w:rPr>
            <w:color w:val="0000EE"/>
            <w:u w:val="single"/>
          </w:rPr>
          <w:t>Dt 24.7</w:t>
        </w:r>
      </w:hyperlink>
      <w:r>
        <w:t>) stipulaient que celui qui commettait ce crime devait être mis à mort.</w:t>
      </w:r>
    </w:p>
    <w:p>
      <w:pPr>
        <w:pStyle w:val="Heading3"/>
      </w:pPr>
      <w:r>
        <w:t>La Vie en tant qu’esclave</w:t>
      </w:r>
    </w:p>
    <w:p>
      <w:r/>
      <w:r>
        <w:t>Dans la société sumérienne (l'une des premières civilisations), les esclaves avaient certains droits. Ils pouvaient emprunter de l'argent et faire affaire. Un esclave coûtait généralement moins cher qu'un âne robuste, ce qui signifiait que les esclaves pouvaient parfois économiser suffisamment d'argent pour acheter leur liberté.</w:t>
      </w:r>
    </w:p>
    <w:p>
      <w:r/>
      <w:r>
        <w:t>La plupart des esclaves travaillaient dur dans les fermes ou dans les maisons, effectuant des tâches quotidiennes difficiles. Cependant, certains esclaves qualifiés se voyaient confier des tâches importantes pour gérer le ménage de leur propriétaire.</w:t>
      </w:r>
    </w:p>
    <w:p>
      <w:r/>
      <w:r>
        <w:t>Les lois stipulaient que les esclaves devaient être libérés après un certain temps, mais les propriétaires ne respectaient pas toujours ces règles. Selon la loi hébraïque, une personne hébraïque devenue esclave par choix serait libérée lors de l'année jubilaire suivante (une année spéciale qui survenait tous les cinquante ans). La loi précisait qu'aucun Hébreu ne devait rester esclave toute sa vie (</w:t>
      </w:r>
      <w:hyperlink r:id="rId4898">
        <w:r>
          <w:rPr>
            <w:color w:val="0000EE"/>
            <w:u w:val="single"/>
          </w:rPr>
          <w:t>Ex 21.2</w:t>
        </w:r>
      </w:hyperlink>
      <w:r>
        <w:t xml:space="preserve"> ; </w:t>
      </w:r>
      <w:hyperlink r:id="rId4899">
        <w:r>
          <w:rPr>
            <w:color w:val="0000EE"/>
            <w:u w:val="single"/>
          </w:rPr>
          <w:t>Lv 25.10–13</w:t>
        </w:r>
      </w:hyperlink>
      <w:r>
        <w:t xml:space="preserve"> ; </w:t>
      </w:r>
      <w:hyperlink r:id="rId4900">
        <w:r>
          <w:rPr>
            <w:color w:val="0000EE"/>
            <w:u w:val="single"/>
          </w:rPr>
          <w:t>Dt 15.12–14</w:t>
        </w:r>
      </w:hyperlink>
      <w:r>
        <w:t>).</w:t>
      </w:r>
    </w:p>
    <w:p>
      <w:r/>
      <w:r>
        <w:t>Les Israélites ont créé des lois pour protéger les esclaves des mauvais traitements de leurs propriétaires ou superviseurs. Si un propriétaire blessait un esclave de manière permanente, la loi exigeait que l'esclave soit libéré (</w:t>
      </w:r>
      <w:hyperlink r:id="rId4336">
        <w:r>
          <w:rPr>
            <w:color w:val="0000EE"/>
            <w:u w:val="single"/>
          </w:rPr>
          <w:t>Ex 21.26–27</w:t>
        </w:r>
      </w:hyperlink>
      <w:r>
        <w:t>). Les esclaves hébreux n'étaient pas courants dans les foyers israélites. Lorsqu'ils travaillaient dans les maisons, ils travaillaient souvent dans les champs aux côtés de leurs propriétaires. De nombreux esclaves domestiques avaient de meilleures conditions de vie que les personnes libres les plus pauvres, qui faisaient souvent face à la faim et à une pauvreté extrême.</w:t>
      </w:r>
    </w:p>
    <w:p>
      <w:pPr>
        <w:pStyle w:val="Heading3"/>
      </w:pPr>
      <w:r>
        <w:t>L'Esclavage à l'époque grecque et romaine</w:t>
      </w:r>
    </w:p>
    <w:p>
      <w:r/>
      <w:r>
        <w:t>Pendant les périodes grecque et romaine, la quantité d'esclaves a considérablement augmenté. Les esclaves domestiques, c'est-à-dire ceux qui travaillaient dans les maisons des propriétaires, étaient généralement mieux traités que les autres esclaves. Beaucoup sont devenus des serviteurs de confiance et des conseillers proches de leurs propriétaires. Certains esclaves étaient même autorisés à créer des entreprises, ce qui leur rapportait de l'argent ainsi qu'à leurs propriétaires.</w:t>
      </w:r>
    </w:p>
    <w:p>
      <w:pPr>
        <w:pStyle w:val="Heading3"/>
      </w:pPr>
      <w:r>
        <w:t>Cas particuliers d’esclavage</w:t>
      </w:r>
    </w:p>
    <w:p>
      <w:r/>
      <w:r>
        <w:t>Les documents antiques des villes d'Ur et de Nuzi, ainsi que le livre de la Genèse, montrent que lorsqu'une épouse ne pouvait pas avoir d'enfants, sa servante pouvait avoir des enfants pour son mari (</w:t>
      </w:r>
      <w:hyperlink r:id="rId4901">
        <w:r>
          <w:rPr>
            <w:color w:val="0000EE"/>
            <w:u w:val="single"/>
          </w:rPr>
          <w:t>Gn 16.2–4</w:t>
        </w:r>
      </w:hyperlink>
      <w:r>
        <w:t>). Selon la loi, un maître hébreu pouvait accepter d'épouser une jeune servante. Il pouvait également faire en sorte que son propre fils l'épouse. Il pouvait également la prendre comme concubine (une femme qui vivait avec un homme mais avait moins de droits qu'une épouse). Si plus tard il la rejetait, ou s'il ne respectait pas son accord, elle serait libérée de l'esclavage (</w:t>
      </w:r>
      <w:hyperlink r:id="rId4902">
        <w:r>
          <w:rPr>
            <w:color w:val="0000EE"/>
            <w:u w:val="single"/>
          </w:rPr>
          <w:t>Ex 21.7–11</w:t>
        </w:r>
      </w:hyperlink>
      <w:r>
        <w:t>).</w:t>
      </w:r>
    </w:p>
    <w:p>
      <w:r/>
      <w:r>
        <w:t>Le gouvernement exigeait que les peuples conquis effectuent des travaux forcés (</w:t>
      </w:r>
      <w:hyperlink r:id="rId731">
        <w:r>
          <w:rPr>
            <w:color w:val="0000EE"/>
            <w:u w:val="single"/>
          </w:rPr>
          <w:t>2S 12.31</w:t>
        </w:r>
      </w:hyperlink>
      <w:r>
        <w:t xml:space="preserve"> ; </w:t>
      </w:r>
      <w:hyperlink r:id="rId4903">
        <w:r>
          <w:rPr>
            <w:color w:val="0000EE"/>
            <w:u w:val="single"/>
          </w:rPr>
          <w:t>1R 9.15, 21–23</w:t>
        </w:r>
      </w:hyperlink>
      <w:r>
        <w:t>). Les Israélites eux-mêmes devront effectuer des travaux forcés au Liban (</w:t>
      </w:r>
      <w:hyperlink r:id="rId4904">
        <w:r>
          <w:rPr>
            <w:color w:val="0000EE"/>
            <w:u w:val="single"/>
          </w:rPr>
          <w:t>1R 5.13–18</w:t>
        </w:r>
      </w:hyperlink>
      <w:r>
        <w:t>). Certains captifs, comme les Madianites et les Gabaonites, étaient contraints de travailler au temple (</w:t>
      </w:r>
      <w:hyperlink r:id="rId4905">
        <w:r>
          <w:rPr>
            <w:color w:val="0000EE"/>
            <w:u w:val="single"/>
          </w:rPr>
          <w:t>Nb 31.28–30, 47</w:t>
        </w:r>
      </w:hyperlink>
      <w:r>
        <w:t xml:space="preserve"> ; </w:t>
      </w:r>
      <w:hyperlink r:id="rId4906">
        <w:r>
          <w:rPr>
            <w:color w:val="0000EE"/>
            <w:u w:val="single"/>
          </w:rPr>
          <w:t>Jos 9.23–25</w:t>
        </w:r>
      </w:hyperlink>
      <w:r>
        <w:t>). Cette pratique perdurera à l'époque des rois David et Salomon (</w:t>
      </w:r>
      <w:hyperlink r:id="rId4907">
        <w:r>
          <w:rPr>
            <w:color w:val="0000EE"/>
            <w:u w:val="single"/>
          </w:rPr>
          <w:t>Esd 2.58</w:t>
        </w:r>
      </w:hyperlink>
      <w:r>
        <w:t xml:space="preserve"> ; </w:t>
      </w:r>
      <w:hyperlink r:id="rId4908">
        <w:r>
          <w:rPr>
            <w:color w:val="0000EE"/>
            <w:u w:val="single"/>
          </w:rPr>
          <w:t>8.20</w:t>
        </w:r>
      </w:hyperlink>
      <w:r>
        <w:t>). Des esclaves étrangers aideront à réparer les murs de Jérusalem (</w:t>
      </w:r>
      <w:hyperlink r:id="rId4909">
        <w:r>
          <w:rPr>
            <w:color w:val="0000EE"/>
            <w:u w:val="single"/>
          </w:rPr>
          <w:t>Né 3.26, 31</w:t>
        </w:r>
      </w:hyperlink>
      <w:r>
        <w:t>).</w:t>
      </w:r>
    </w:p>
    <w:p>
      <w:pPr>
        <w:pStyle w:val="Heading3"/>
      </w:pPr>
      <w:r>
        <w:t>L'Esclavage dans le Nouveau Testament</w:t>
      </w:r>
    </w:p>
    <w:p>
      <w:r/>
      <w:r>
        <w:t>Le Nouveau Testament indique un changement d'attitude envers l'esclavage. Le statut d'un esclave devient plus semblable à celui d'un serviteur. L'esclavage devenait moins courant. Jésus et les apôtres ne sont pas directement opposés à l'esclavage, mais ont donné des instructions à ce sujet. Ils ont dit aux esclaves et aux serviteurs de servir fidèlement leurs maîtres. Ils ont également dit aux maîtres de traiter leurs esclaves avec bonté et équité (</w:t>
      </w:r>
      <w:hyperlink r:id="rId4910">
        <w:r>
          <w:rPr>
            <w:color w:val="0000EE"/>
            <w:u w:val="single"/>
          </w:rPr>
          <w:t>Ep 6.9</w:t>
        </w:r>
      </w:hyperlink>
      <w:r>
        <w:t xml:space="preserve"> ; </w:t>
      </w:r>
      <w:hyperlink r:id="rId4911">
        <w:r>
          <w:rPr>
            <w:color w:val="0000EE"/>
            <w:u w:val="single"/>
          </w:rPr>
          <w:t>Col 4.1</w:t>
        </w:r>
      </w:hyperlink>
      <w:r>
        <w:t xml:space="preserve"> ; </w:t>
      </w:r>
      <w:hyperlink r:id="rId4912">
        <w:r>
          <w:rPr>
            <w:color w:val="0000EE"/>
            <w:u w:val="single"/>
          </w:rPr>
          <w:t>1Tm 6.2</w:t>
        </w:r>
      </w:hyperlink>
      <w:r>
        <w:t xml:space="preserve"> ; </w:t>
      </w:r>
      <w:hyperlink r:id="rId2312">
        <w:r>
          <w:rPr>
            <w:color w:val="0000EE"/>
            <w:u w:val="single"/>
          </w:rPr>
          <w:t>Phm 1.16</w:t>
        </w:r>
      </w:hyperlink>
      <w:r>
        <w:t xml:space="preserve">). Paul n'a jamais prêché contre l'esclavage. Cependant, il a écrit une lettre pour essayer de libérer un esclave nommé Onésime. Voilà pourquoi Paul a écrit la lettre à Philémon (voir la discussion à ce sujet dans </w:t>
      </w:r>
      <w:r>
        <w:t>Lettre à Philémon</w:t>
      </w:r>
      <w:r>
        <w:t>).</w:t>
      </w:r>
    </w:p>
    <w:p>
      <w:r/>
      <w:r>
        <w:rPr>
          <w:i/>
        </w:rPr>
        <w:t>Voir aussi</w:t>
      </w:r>
      <w:r>
        <w:t xml:space="preserve"> </w:t>
      </w:r>
      <w:r>
        <w:t>Lien, Servitude</w:t>
      </w:r>
      <w:r>
        <w:t xml:space="preserve"> ; </w:t>
      </w:r>
      <w:r>
        <w:t>Liberté</w:t>
      </w:r>
      <w:r>
        <w:t>.</w:t>
      </w:r>
      <w:r/>
      <w:r/>
    </w:p>
    <w:p>
      <w:r/>
    </w:p>
    <w:p>
      <w:pPr>
        <w:pStyle w:val="Heading2"/>
      </w:pPr>
      <w:r>
        <w:t>Esclaves Libérés</w:t>
      </w:r>
      <w:r/>
    </w:p>
    <w:p>
      <w:r/>
      <w:r>
        <w:t>La traduction du mot « Affranchis » (</w:t>
      </w:r>
      <w:hyperlink r:id="rId383">
        <w:r>
          <w:rPr>
            <w:color w:val="0000EE"/>
            <w:u w:val="single"/>
          </w:rPr>
          <w:t>Ac 6.9</w:t>
        </w:r>
      </w:hyperlink>
      <w:r>
        <w:t>) dans la version Nouvelle Français courant, désignant d'anciens esclaves qui avaient obtenu leur liberté.</w:t>
      </w:r>
    </w:p>
    <w:p>
      <w:r/>
      <w:r>
        <w:rPr>
          <w:i/>
        </w:rPr>
        <w:t>Voir</w:t>
      </w:r>
      <w:r>
        <w:t xml:space="preserve"> </w:t>
      </w:r>
      <w:r>
        <w:t>Affranchis</w:t>
      </w:r>
      <w:r>
        <w:t>.</w:t>
      </w:r>
      <w:r/>
      <w:r/>
    </w:p>
    <w:p>
      <w:r/>
    </w:p>
    <w:p>
      <w:pPr>
        <w:pStyle w:val="Heading2"/>
      </w:pPr>
      <w:r>
        <w:t>Ések</w:t>
      </w:r>
      <w:r/>
    </w:p>
    <w:p>
      <w:r/>
      <w:r>
        <w:t>Nom donné par Isaac à un puits creusé par ses serviteurs dans la vallée de Guérar (</w:t>
      </w:r>
      <w:hyperlink r:id="rId1829">
        <w:r>
          <w:rPr>
            <w:color w:val="0000EE"/>
            <w:u w:val="single"/>
          </w:rPr>
          <w:t>Gn 26.20</w:t>
        </w:r>
      </w:hyperlink>
      <w:r>
        <w:t>). Le nom signifie « dispute ». Lorsque les bergers de Guérar ont affirmé qu'il leur appartenait, Isaac renoncera à Ések et à un autre puits, appelé Sitna, pour inciter les hommes de Guérar à lui permettre de vivre paisiblement dans le pays.</w:t>
      </w:r>
      <w:r/>
      <w:r/>
    </w:p>
    <w:p>
      <w:r/>
    </w:p>
    <w:p>
      <w:pPr>
        <w:pStyle w:val="Heading2"/>
      </w:pPr>
      <w:r>
        <w:t>Esprit de Jésus-Christ</w:t>
      </w:r>
      <w:r/>
    </w:p>
    <w:p>
      <w:r/>
      <w:r>
        <w:t>L'Esprit tel qu'identifié à Jésus-Christ.</w:t>
      </w:r>
    </w:p>
    <w:p>
      <w:r/>
      <w:r>
        <w:t>Le développement et l'élément le plus important dans la compréhension chrétienne primitive de l'Esprit sont que l'Esprit est maintenant l'Esprit de Jésus-Christ (</w:t>
      </w:r>
      <w:hyperlink r:id="rId2013">
        <w:r>
          <w:rPr>
            <w:color w:val="0000EE"/>
            <w:u w:val="single"/>
          </w:rPr>
          <w:t>Ac 16.7</w:t>
        </w:r>
      </w:hyperlink>
      <w:r>
        <w:t xml:space="preserve">; </w:t>
      </w:r>
      <w:hyperlink r:id="rId2330">
        <w:r>
          <w:rPr>
            <w:color w:val="0000EE"/>
            <w:u w:val="single"/>
          </w:rPr>
          <w:t>Rm 8.9</w:t>
        </w:r>
      </w:hyperlink>
      <w:r>
        <w:t xml:space="preserve">; </w:t>
      </w:r>
      <w:hyperlink r:id="rId18">
        <w:r>
          <w:rPr>
            <w:color w:val="0000EE"/>
            <w:u w:val="single"/>
          </w:rPr>
          <w:t>Ga 4.6</w:t>
        </w:r>
      </w:hyperlink>
      <w:r>
        <w:t xml:space="preserve">; </w:t>
      </w:r>
      <w:hyperlink r:id="rId4913">
        <w:r>
          <w:rPr>
            <w:color w:val="0000EE"/>
            <w:u w:val="single"/>
          </w:rPr>
          <w:t>Ph 1.19</w:t>
        </w:r>
      </w:hyperlink>
      <w:r>
        <w:t xml:space="preserve">; </w:t>
      </w:r>
      <w:hyperlink r:id="rId4914">
        <w:r>
          <w:rPr>
            <w:color w:val="0000EE"/>
            <w:u w:val="single"/>
          </w:rPr>
          <w:t>1P 1.11</w:t>
        </w:r>
      </w:hyperlink>
      <w:r>
        <w:t xml:space="preserve">; voir aussi </w:t>
      </w:r>
      <w:hyperlink r:id="rId4915">
        <w:r>
          <w:rPr>
            <w:color w:val="0000EE"/>
            <w:u w:val="single"/>
          </w:rPr>
          <w:t>Jn 7.38</w:t>
        </w:r>
      </w:hyperlink>
      <w:r>
        <w:t xml:space="preserve">; </w:t>
      </w:r>
      <w:hyperlink r:id="rId1966">
        <w:r>
          <w:rPr>
            <w:color w:val="0000EE"/>
            <w:u w:val="single"/>
          </w:rPr>
          <w:t>15.26</w:t>
        </w:r>
      </w:hyperlink>
      <w:r>
        <w:t xml:space="preserve">; </w:t>
      </w:r>
      <w:hyperlink r:id="rId1340">
        <w:r>
          <w:rPr>
            <w:color w:val="0000EE"/>
            <w:u w:val="single"/>
          </w:rPr>
          <w:t>16.7</w:t>
        </w:r>
      </w:hyperlink>
      <w:r>
        <w:t xml:space="preserve">; </w:t>
      </w:r>
      <w:hyperlink r:id="rId4916">
        <w:r>
          <w:rPr>
            <w:color w:val="0000EE"/>
            <w:u w:val="single"/>
          </w:rPr>
          <w:t>19.30</w:t>
        </w:r>
      </w:hyperlink>
      <w:r>
        <w:t xml:space="preserve">; </w:t>
      </w:r>
      <w:hyperlink r:id="rId4917">
        <w:r>
          <w:rPr>
            <w:color w:val="0000EE"/>
            <w:u w:val="single"/>
          </w:rPr>
          <w:t>Ap 3.1</w:t>
        </w:r>
      </w:hyperlink>
      <w:r>
        <w:t xml:space="preserve">; </w:t>
      </w:r>
      <w:hyperlink r:id="rId4918">
        <w:r>
          <w:rPr>
            <w:color w:val="0000EE"/>
            <w:u w:val="single"/>
          </w:rPr>
          <w:t>5.6</w:t>
        </w:r>
      </w:hyperlink>
      <w:r>
        <w:t>). L'Esprit doit être identifié comme l'Esprit qui rend témoignage à Jésus (</w:t>
      </w:r>
      <w:hyperlink r:id="rId1966">
        <w:r>
          <w:rPr>
            <w:color w:val="0000EE"/>
            <w:u w:val="single"/>
          </w:rPr>
          <w:t>Jn 15.26</w:t>
        </w:r>
      </w:hyperlink>
      <w:r>
        <w:t xml:space="preserve">; </w:t>
      </w:r>
      <w:hyperlink r:id="rId1967">
        <w:r>
          <w:rPr>
            <w:color w:val="0000EE"/>
            <w:u w:val="single"/>
          </w:rPr>
          <w:t>16.13–15</w:t>
        </w:r>
      </w:hyperlink>
      <w:r>
        <w:t xml:space="preserve">; </w:t>
      </w:r>
      <w:hyperlink r:id="rId4919">
        <w:r>
          <w:rPr>
            <w:color w:val="0000EE"/>
            <w:u w:val="single"/>
          </w:rPr>
          <w:t>Ac 5.32</w:t>
        </w:r>
      </w:hyperlink>
      <w:r>
        <w:t xml:space="preserve">; </w:t>
      </w:r>
      <w:hyperlink r:id="rId4920">
        <w:r>
          <w:rPr>
            <w:color w:val="0000EE"/>
            <w:u w:val="single"/>
          </w:rPr>
          <w:t>1Co 12.3</w:t>
        </w:r>
      </w:hyperlink>
      <w:r>
        <w:t xml:space="preserve">; </w:t>
      </w:r>
      <w:hyperlink r:id="rId2307">
        <w:r>
          <w:rPr>
            <w:color w:val="0000EE"/>
            <w:u w:val="single"/>
          </w:rPr>
          <w:t>1Jn 4.2</w:t>
        </w:r>
      </w:hyperlink>
      <w:r>
        <w:t xml:space="preserve">; </w:t>
      </w:r>
      <w:hyperlink r:id="rId4921">
        <w:r>
          <w:rPr>
            <w:color w:val="0000EE"/>
            <w:u w:val="single"/>
          </w:rPr>
          <w:t>5.7–8</w:t>
        </w:r>
      </w:hyperlink>
      <w:r>
        <w:t xml:space="preserve">; </w:t>
      </w:r>
      <w:hyperlink r:id="rId4922">
        <w:r>
          <w:rPr>
            <w:color w:val="0000EE"/>
            <w:u w:val="single"/>
          </w:rPr>
          <w:t>Ap 19.10</w:t>
        </w:r>
      </w:hyperlink>
      <w:r>
        <w:t>). De plus, et plus essentiellement encore, il est identifié comme l'Esprit qui a inspiré et habilité Jésus lui-même. Cet Esprit s'est rendu accessible aux croyants après la résurrection du Christ.</w:t>
      </w:r>
    </w:p>
    <w:p>
      <w:r/>
      <w:r>
        <w:t xml:space="preserve">Les apôtres Jean et Paul expliquent clairement dans leurs écrits que Christ est devenu esprit par la résurrection. Les passages clés écrits par Jean sont : </w:t>
      </w:r>
      <w:hyperlink r:id="rId4923">
        <w:r>
          <w:rPr>
            <w:color w:val="0000EE"/>
            <w:u w:val="single"/>
          </w:rPr>
          <w:t>Jean 6.63</w:t>
        </w:r>
      </w:hyperlink>
      <w:r>
        <w:t xml:space="preserve"> ; </w:t>
      </w:r>
      <w:hyperlink r:id="rId4924">
        <w:r>
          <w:rPr>
            <w:color w:val="0000EE"/>
            <w:u w:val="single"/>
          </w:rPr>
          <w:t>7.37–39</w:t>
        </w:r>
      </w:hyperlink>
      <w:r>
        <w:t xml:space="preserve"> ; </w:t>
      </w:r>
      <w:hyperlink r:id="rId4925">
        <w:r>
          <w:rPr>
            <w:color w:val="0000EE"/>
            <w:u w:val="single"/>
          </w:rPr>
          <w:t>14.16–18</w:t>
        </w:r>
      </w:hyperlink>
      <w:r>
        <w:t xml:space="preserve"> ; </w:t>
      </w:r>
      <w:hyperlink r:id="rId4926">
        <w:r>
          <w:rPr>
            <w:color w:val="0000EE"/>
            <w:u w:val="single"/>
          </w:rPr>
          <w:t>20.22</w:t>
        </w:r>
      </w:hyperlink>
      <w:r>
        <w:t xml:space="preserve"> et </w:t>
      </w:r>
      <w:hyperlink r:id="rId4927">
        <w:r>
          <w:rPr>
            <w:color w:val="0000EE"/>
            <w:u w:val="single"/>
          </w:rPr>
          <w:t>1 Jean 3.24</w:t>
        </w:r>
      </w:hyperlink>
      <w:r>
        <w:t xml:space="preserve"> ; </w:t>
      </w:r>
      <w:hyperlink r:id="rId4928">
        <w:r>
          <w:rPr>
            <w:color w:val="0000EE"/>
            <w:u w:val="single"/>
          </w:rPr>
          <w:t>4.13</w:t>
        </w:r>
      </w:hyperlink>
      <w:r>
        <w:t xml:space="preserve">. Les passages fondamentaux écrits par Paul sont : </w:t>
      </w:r>
      <w:hyperlink r:id="rId4929">
        <w:r>
          <w:rPr>
            <w:color w:val="0000EE"/>
            <w:u w:val="single"/>
          </w:rPr>
          <w:t>Romains 8.9–10</w:t>
        </w:r>
      </w:hyperlink>
      <w:r>
        <w:t xml:space="preserve"> ; </w:t>
      </w:r>
      <w:hyperlink r:id="rId4930">
        <w:r>
          <w:rPr>
            <w:color w:val="0000EE"/>
            <w:u w:val="single"/>
          </w:rPr>
          <w:t>1 Corinthiens 15.45</w:t>
        </w:r>
      </w:hyperlink>
      <w:r>
        <w:t xml:space="preserve"> ; </w:t>
      </w:r>
      <w:hyperlink r:id="rId4931">
        <w:r>
          <w:rPr>
            <w:color w:val="0000EE"/>
            <w:u w:val="single"/>
          </w:rPr>
          <w:t xml:space="preserve">2 Corinthiens 3.17–18 </w:t>
        </w:r>
      </w:hyperlink>
      <w:r>
        <w:t xml:space="preserve">et </w:t>
      </w:r>
      <w:hyperlink r:id="rId4932">
        <w:r>
          <w:rPr>
            <w:color w:val="0000EE"/>
            <w:u w:val="single"/>
          </w:rPr>
          <w:t>1 Corinthiens 6.17</w:t>
        </w:r>
      </w:hyperlink>
      <w:r>
        <w:t>.</w:t>
      </w:r>
    </w:p>
    <w:p>
      <w:r/>
      <w:r>
        <w:t xml:space="preserve">La révélation de l'Esprit de Jésus est progressive dans l'Évangile de Jean. Jean ne nous dit pas dès le début que les gens ne peuvent pas réellement recevoir la vie éternelle avant l'heure de la glorification du Christ. Tout au long de l'Évangile, Jésus déclare à diverses personnes qu'il peut leur donner la vie éternelle si elles croient en lui. Il leur promet l'eau de la vie, le pain de vie et la lumière de la vie. </w:t>
      </w:r>
    </w:p>
    <w:p>
      <w:r/>
      <w:r>
        <w:t>Toutefois, personne ne peut vraiment participer à ces choses avant sa résurrection. Comme un avant-goût ou un échantillon, ils peuvent recevoir la vie par ses paroles parce qu'elles sont elles-mêmes esprit et vie (</w:t>
      </w:r>
      <w:hyperlink r:id="rId4923">
        <w:r>
          <w:rPr>
            <w:color w:val="0000EE"/>
            <w:u w:val="single"/>
          </w:rPr>
          <w:t>Jn 6.63</w:t>
        </w:r>
      </w:hyperlink>
      <w:r>
        <w:t xml:space="preserve">). Néanmoins, ce n'est que lorsque l'Esprit se rend accessible après la résurrection de Christ que les croyants peuvent réellement recevoir la vie divine et éternelle. </w:t>
      </w:r>
    </w:p>
    <w:p>
      <w:r/>
      <w:r>
        <w:t xml:space="preserve">Après son discours dans </w:t>
      </w:r>
      <w:hyperlink r:id="rId4933">
        <w:r>
          <w:rPr>
            <w:color w:val="0000EE"/>
            <w:u w:val="single"/>
          </w:rPr>
          <w:t>Jean 6</w:t>
        </w:r>
      </w:hyperlink>
      <w:r>
        <w:t xml:space="preserve">, Jésus dit : « </w:t>
      </w:r>
      <w:r>
        <w:t>C'est l'esprit qui vivifie</w:t>
      </w:r>
      <w:r>
        <w:t xml:space="preserve"> </w:t>
      </w:r>
      <w:r>
        <w:t>; la chair ne sert de rien</w:t>
      </w:r>
      <w:r>
        <w:t xml:space="preserve"> » (v. </w:t>
      </w:r>
      <w:hyperlink r:id="rId4923">
        <w:r>
          <w:rPr>
            <w:color w:val="0000EE"/>
            <w:u w:val="single"/>
          </w:rPr>
          <w:t>63</w:t>
        </w:r>
      </w:hyperlink>
      <w:r>
        <w:t xml:space="preserve">). Dans la chair, Jésus ne peut pas encore leur donner le pain de vie. Cependant, lorsque l'Esprit se rendra accessible, ils pourront recevoir la vie. Encore une fois, Jésus offre l'eau de la vie (même des fleuves d'eau vive) aux Juifs assemblés à la fête des Tabernacles. Il leur a dit de venir à lui et de boire. Mais personne ne peut, là et alors, aller à lui et boire. Jean ajoute alors : « </w:t>
      </w:r>
      <w:r>
        <w:t>Il dit cela de l'Esprit que devaient recevoir ceux qui croiraient en lui</w:t>
      </w:r>
      <w:r>
        <w:t xml:space="preserve"> </w:t>
      </w:r>
      <w:r>
        <w:t>; car l'Esprit n'était pas encore, parce que Jésus n'avait pas encore été glorifié</w:t>
      </w:r>
      <w:r>
        <w:t xml:space="preserve"> » (</w:t>
      </w:r>
      <w:hyperlink r:id="rId4934">
        <w:r>
          <w:rPr>
            <w:color w:val="0000EE"/>
            <w:u w:val="single"/>
          </w:rPr>
          <w:t>7.39</w:t>
        </w:r>
      </w:hyperlink>
      <w:r>
        <w:t xml:space="preserve">). Une fois Jésus glorifié par la résurrection, l'Esprit du Jésus glorifié se rendrait accessible aux gens, pour qu'ils puissent aller à Jésus et boire. Dans </w:t>
      </w:r>
      <w:hyperlink r:id="rId4933">
        <w:r>
          <w:rPr>
            <w:color w:val="0000EE"/>
            <w:u w:val="single"/>
          </w:rPr>
          <w:t>Jean 6</w:t>
        </w:r>
      </w:hyperlink>
      <w:r>
        <w:t xml:space="preserve">, Jésus s'offre comme le pain de vie pour être mangé par les gens. Dans </w:t>
      </w:r>
      <w:hyperlink r:id="rId4935">
        <w:r>
          <w:rPr>
            <w:color w:val="0000EE"/>
            <w:u w:val="single"/>
          </w:rPr>
          <w:t>Jean 7</w:t>
        </w:r>
      </w:hyperlink>
      <w:r>
        <w:t xml:space="preserve">, il s'offre comme l'eau de la vie pour rafraîchir les êtres humains. Mais personne ne peut le manger ou le boire jusqu'à ce qu'il devienne esprit, comme le suggère </w:t>
      </w:r>
      <w:hyperlink r:id="rId4923">
        <w:r>
          <w:rPr>
            <w:color w:val="0000EE"/>
            <w:u w:val="single"/>
          </w:rPr>
          <w:t>Jean 6.63</w:t>
        </w:r>
      </w:hyperlink>
      <w:r>
        <w:t xml:space="preserve"> et le proclame clairement </w:t>
      </w:r>
      <w:hyperlink r:id="rId4934">
        <w:r>
          <w:rPr>
            <w:color w:val="0000EE"/>
            <w:u w:val="single"/>
          </w:rPr>
          <w:t>Jean 7.39</w:t>
        </w:r>
      </w:hyperlink>
      <w:r>
        <w:t>.</w:t>
      </w:r>
    </w:p>
    <w:p>
      <w:r/>
      <w:r>
        <w:t xml:space="preserve">Dans </w:t>
      </w:r>
      <w:hyperlink r:id="rId4925">
        <w:r>
          <w:rPr>
            <w:color w:val="0000EE"/>
            <w:u w:val="single"/>
          </w:rPr>
          <w:t>Jean 14.16–18</w:t>
        </w:r>
      </w:hyperlink>
      <w:r>
        <w:t xml:space="preserve">, Jésus va plus loin en s'identifiant avec l'Esprit. Il dit aux disciples qu'il leur donnera un autre Consolateur. Puis il leur explique qu'ils devraient savoir qui est ce Consolateur parce qu'il est, à ce moment-là, avec eux et sera, dans un avenir proche, en eux. Qui d'autre que Jésus est avec eux à ce moment-là ? Ensuite, après avoir dit aux disciples que le Consolateur viendrait à eux, il ajoute : « je viendrai à vous ». D'abord, il dit que le Consolateur viendra à eux et demeurera en eux, puis dans la même phrase, il dit qu'il viendra à eux et demeurera en eux (voir </w:t>
      </w:r>
      <w:hyperlink r:id="rId4936">
        <w:r>
          <w:rPr>
            <w:color w:val="0000EE"/>
            <w:u w:val="single"/>
          </w:rPr>
          <w:t>14.20</w:t>
        </w:r>
      </w:hyperlink>
      <w:r>
        <w:t>). En bref, la venue du Consolateur aux disciples est la même que la venue de Jésus aux disciples. Le Consolateur qui demeure avec les disciples cette nuit-là est l'Esprit en Christ. Le Consolateur qui sera dans les disciples (après la résurrection) sera Christ dans l'Esprit.</w:t>
      </w:r>
    </w:p>
    <w:p>
      <w:r/>
      <w:r>
        <w:t>Le soir de la résurrection, le Seigneur Jésus apparaît aux disciples et leur insuffle le Saint-Esprit. Cette action de souffler sur eux rappelle le souffle de vie que Dieu a soufflé en Adam (</w:t>
      </w:r>
      <w:hyperlink r:id="rId233">
        <w:r>
          <w:rPr>
            <w:color w:val="0000EE"/>
            <w:u w:val="single"/>
          </w:rPr>
          <w:t>Gn 2.7</w:t>
        </w:r>
      </w:hyperlink>
      <w:r>
        <w:t xml:space="preserve">). Elle devient aussi l'accomplissement de tout ce qui a été promis et anticipé plus tôt dans l'Évangile de Jean. Par cette action, les disciples ont été régénérés et habités par l'Esprit de Jésus-Christ. Cet événement historique marque le début de la nouvelle création. Jésus peut désormais être donné comme le pain de vie, l'eau de la vie et la lumière de la vie. Les croyants possèdent maintenant sa vie divine, éternelle et ressuscitée. À partir de ce moment, le Christ en tant qu'esprit habite ses croyants. Ainsi, dans sa première épître, Jean peut dire : « </w:t>
      </w:r>
      <w:r>
        <w:t>et nous connaissons qu'il demeure en nous par l'Esprit qu'il nous a donné</w:t>
      </w:r>
      <w:r>
        <w:t xml:space="preserve"> » (</w:t>
      </w:r>
      <w:hyperlink r:id="rId4927">
        <w:r>
          <w:rPr>
            <w:color w:val="0000EE"/>
            <w:u w:val="single"/>
          </w:rPr>
          <w:t>1Jn 3.24</w:t>
        </w:r>
      </w:hyperlink>
      <w:r>
        <w:t xml:space="preserve">), et encore : « </w:t>
      </w:r>
      <w:r>
        <w:t>Nous connaissons que nous demeurons en lui, et qu'il demeure en nous, en ce qu'il nous a donné de son Esprit</w:t>
      </w:r>
      <w:r>
        <w:t xml:space="preserve"> » (</w:t>
      </w:r>
      <w:hyperlink r:id="rId4928">
        <w:r>
          <w:rPr>
            <w:color w:val="0000EE"/>
            <w:u w:val="single"/>
          </w:rPr>
          <w:t>4.13</w:t>
        </w:r>
      </w:hyperlink>
      <w:r>
        <w:t>).</w:t>
      </w:r>
    </w:p>
    <w:p>
      <w:r/>
      <w:r>
        <w:t xml:space="preserve">Les apôtres ont dû faire un travail d'adaptation considérable après la résurrection du Christ. Ils s'étaient tellement habitués à sa présence physique qu'il leur a été difficile d'apprendre à vivre par sa présence spirituelle et intérieure. Tout au long des 40 jours après sa résurrection, depuis le moment où les apôtres reçoivent l'Esprit de Christ, Jésus enseigne aux disciples à faire la transition. Il apparaît puis disparaît physiquement par intermittence. Ses apparitions sont très fréquentes au début, puis elles diminuent progressivement. Son objectif est de guider les apôtres à le connaître dans sa présence invisible. Cependant, cela est si nouveau pour eux qu'il doit continuer à leur apparaître pour les fortifier et les rassurer. Cependant, son véritable désir est de les aider à vivre par la foi et non par la vue. Lorsqu'il apparaît aux disciples alors qu'ils sont tous ensemble pour la deuxième fois, Thomas est présent. Il le réprimande pour son incrédulité. Puis il prononce cette bénédiction : « </w:t>
      </w:r>
      <w:r>
        <w:t>Heureux ceux qui n'ont pas vu, et qui ont cru</w:t>
      </w:r>
      <w:r>
        <w:t xml:space="preserve"> </w:t>
      </w:r>
      <w:r>
        <w:t>!</w:t>
      </w:r>
      <w:r>
        <w:t xml:space="preserve"> » (</w:t>
      </w:r>
      <w:hyperlink r:id="rId1330">
        <w:r>
          <w:rPr>
            <w:color w:val="0000EE"/>
            <w:u w:val="single"/>
          </w:rPr>
          <w:t>Jn 20.29</w:t>
        </w:r>
      </w:hyperlink>
      <w:r>
        <w:t>).</w:t>
      </w:r>
    </w:p>
    <w:p>
      <w:r/>
      <w:r>
        <w:t>L'apôtre Paul est l'un de ceux qui sont « bénis ». Il n'a pas connu Christ dans la chair. Il ne l'a connu que ressuscité (</w:t>
      </w:r>
      <w:hyperlink r:id="rId4937">
        <w:r>
          <w:rPr>
            <w:color w:val="0000EE"/>
            <w:u w:val="single"/>
          </w:rPr>
          <w:t>2Co 5.15–16</w:t>
        </w:r>
      </w:hyperlink>
      <w:r>
        <w:t xml:space="preserve">). À cet égard, il a un avantage sur les premiers apôtres. Ils ont dû faire un ajustement important. Paul, lui, a connu le Christ ressuscité comme Esprit dès le départ. Paul est devenu le précurseur de tous ces chrétiens qui n'ont jamais vu Jésus dans la chair et qui ont appris à faire l'expérience de Jésus dans l'Esprit. </w:t>
      </w:r>
    </w:p>
    <w:p>
      <w:r/>
      <w:r>
        <w:t>Oui, Paul a vu le Seigneur ressuscité ; il est en fait le dernier à qui Jésus est apparu (</w:t>
      </w:r>
      <w:hyperlink r:id="rId4938">
        <w:r>
          <w:rPr>
            <w:color w:val="0000EE"/>
            <w:u w:val="single"/>
          </w:rPr>
          <w:t>1Co 15.8</w:t>
        </w:r>
      </w:hyperlink>
      <w:r>
        <w:t>). À partir de ce moment-là, il réalise que Jésus est un homme glorifié, exalté bien au-dessus de tout. Paul a beaucoup écrit à ce sujet, mais ses écrits ne donnent pas une impression de Jésus comme étant distant et loin au dessus de tout, car cela ne correspond pas à l'expérience de Paul. Tout chrétien expérimenté devrait pouvoir témoigner que le Christ dans les cieux est aussi le Christ dans leur cœur.</w:t>
      </w:r>
    </w:p>
    <w:p>
      <w:r/>
      <w:r>
        <w:t xml:space="preserve">Dans ses écrits, Paul parle souvent de l'Esprit et du Christ de manière synonyme. C'est apparent dans </w:t>
      </w:r>
      <w:hyperlink r:id="rId4929">
        <w:r>
          <w:rPr>
            <w:color w:val="0000EE"/>
            <w:u w:val="single"/>
          </w:rPr>
          <w:t>Romains 8.9–10</w:t>
        </w:r>
      </w:hyperlink>
      <w:r>
        <w:t>. Les termes « Esprit de Dieu », « Esprit de Christ » et « Christ » sont utilisés de manière interchangeable. L'Esprit de Dieu est l'Esprit de Christ, et l'Esprit de Christ est Christ. Dans ces versets, il est manifeste que Paul identifie l'Esprit avec Christ car, dans l'expérience chrétienne, ils sont absolument identiques. Il n'existe pas d'expérience de Christ sans l'Esprit. La séparation et/ou distinction existe dans la théologie trinitaire (et est justifiée), mais la séparation est presque inexistante dans l'expérience en tant que telle. Plusieurs des déclarations de Paul sont écrites du point de vue de l'expérience.</w:t>
      </w:r>
    </w:p>
    <w:p>
      <w:r/>
      <w:r>
        <w:t xml:space="preserve">Dans </w:t>
      </w:r>
      <w:hyperlink r:id="rId4930">
        <w:r>
          <w:rPr>
            <w:color w:val="0000EE"/>
            <w:u w:val="single"/>
          </w:rPr>
          <w:t>1 Corinthiens 15.45</w:t>
        </w:r>
      </w:hyperlink>
      <w:r>
        <w:t>, Paul dit que Jésus ressuscité est devenu un esprit vivifiant. Remarquons que le verset ne dit pas que Jésus est devenu l'Esprit, comme si la deuxième personne de la Trinité était devenue la troisième. Le verset dit que Jésus est devenu « esprit » dans le sens où son existence et sa forme mortelles ont été métamorphosées en une existence et une forme spirituelles. La personne de Jésus n'a pas été changée par la résurrection, seule sa forme l'a été. Avec cette forme spirituelle changée, Jésus a retrouvé l'état essentiel dont il s'était vidé en devenant un homme. Avant de devenir un homme, il subsistait sous la forme de Dieu (</w:t>
      </w:r>
      <w:hyperlink r:id="rId4939">
        <w:r>
          <w:rPr>
            <w:color w:val="0000EE"/>
            <w:u w:val="single"/>
          </w:rPr>
          <w:t>Ph 2.6</w:t>
        </w:r>
      </w:hyperlink>
      <w:r>
        <w:t xml:space="preserve">), forme qui est Esprit et était donc unie à l'Esprit (la troisième personne de la Trinité), tout en restant distincte. Ainsi, lorsque l'Écriture dit que le Seigneur « est devenu un esprit vivifiant », cela ne signifie pas que le Fils est devenu le Saint-Esprit. Cela indique que Christ, par la résurrection, a approprié une nouvelle forme spirituelle (tout en conservant un corps glorifié). Cela lui a permis de commencer une nouvelle existence spirituelle (voir </w:t>
      </w:r>
      <w:hyperlink r:id="rId2306">
        <w:r>
          <w:rPr>
            <w:color w:val="0000EE"/>
            <w:u w:val="single"/>
          </w:rPr>
          <w:t>1P 3.18</w:t>
        </w:r>
      </w:hyperlink>
      <w:r>
        <w:t>).</w:t>
      </w:r>
    </w:p>
    <w:p>
      <w:r/>
      <w:r>
        <w:t xml:space="preserve">Dans </w:t>
      </w:r>
      <w:hyperlink r:id="rId4940">
        <w:r>
          <w:rPr>
            <w:color w:val="0000EE"/>
            <w:u w:val="single"/>
          </w:rPr>
          <w:t>2 Corinthiens 3</w:t>
        </w:r>
      </w:hyperlink>
      <w:r>
        <w:t xml:space="preserve">, Paul explique que le ministère du NT est un ministère exercé par l'Esprit du Dieu vivant (v. </w:t>
      </w:r>
      <w:hyperlink r:id="rId4941">
        <w:r>
          <w:rPr>
            <w:color w:val="0000EE"/>
            <w:u w:val="single"/>
          </w:rPr>
          <w:t>3</w:t>
        </w:r>
      </w:hyperlink>
      <w:r>
        <w:t xml:space="preserve">), qui est l'Esprit qui donne la vie (v </w:t>
      </w:r>
      <w:hyperlink r:id="rId4942">
        <w:r>
          <w:rPr>
            <w:color w:val="0000EE"/>
            <w:u w:val="single"/>
          </w:rPr>
          <w:t>6</w:t>
        </w:r>
      </w:hyperlink>
      <w:r>
        <w:t xml:space="preserve">). En fait, toute l'économie (système) du NT est caractérisée comme « le ministère de l'esprit » (v. </w:t>
      </w:r>
      <w:hyperlink r:id="rId4943">
        <w:r>
          <w:rPr>
            <w:color w:val="0000EE"/>
            <w:u w:val="single"/>
          </w:rPr>
          <w:t>8</w:t>
        </w:r>
      </w:hyperlink>
      <w:r>
        <w:t>). En même temps, Paul souligne que la fonction du ministère du NT est d'amener le peuple de Dieu à voir et faire l'expérience du Christ glorieux (</w:t>
      </w:r>
      <w:hyperlink r:id="rId4944">
        <w:r>
          <w:rPr>
            <w:color w:val="0000EE"/>
            <w:u w:val="single"/>
          </w:rPr>
          <w:t xml:space="preserve">3.3, 14, 16–18 </w:t>
        </w:r>
      </w:hyperlink>
      <w:r>
        <w:t xml:space="preserve">; </w:t>
      </w:r>
      <w:hyperlink r:id="rId4945">
        <w:r>
          <w:rPr>
            <w:color w:val="0000EE"/>
            <w:u w:val="single"/>
          </w:rPr>
          <w:t>4.4–6</w:t>
        </w:r>
      </w:hyperlink>
      <w:r>
        <w:t xml:space="preserve">). C'est dans ce contexte que Paul déclare hardiment : « </w:t>
      </w:r>
      <w:r>
        <w:t>le Seigneur c'est l'Esprit</w:t>
      </w:r>
      <w:r>
        <w:t xml:space="preserve"> » (</w:t>
      </w:r>
      <w:hyperlink r:id="rId4946">
        <w:r>
          <w:rPr>
            <w:color w:val="0000EE"/>
            <w:u w:val="single"/>
          </w:rPr>
          <w:t>3.17</w:t>
        </w:r>
      </w:hyperlink>
      <w:r>
        <w:t xml:space="preserve">). Celui qui tourne son cœur vers le Seigneur tourne, en fait, son cœur vers l'Esprit. Si le Seigneur n'était pas l'Esprit qui demeure dans les croyants, comment pourraient-ils tourner leur cœur vers lui ? Et comment pourraient-ils être transformés à son image ? Dans </w:t>
      </w:r>
      <w:hyperlink r:id="rId316">
        <w:r>
          <w:rPr>
            <w:color w:val="0000EE"/>
            <w:u w:val="single"/>
          </w:rPr>
          <w:t>2 Corinthiens 3.18</w:t>
        </w:r>
      </w:hyperlink>
      <w:r>
        <w:t xml:space="preserve">, Paul dit : « </w:t>
      </w:r>
      <w:r>
        <w:t>Nous tous qui, le visage découvert, contemplons comme dans un miroir la gloire du Seigneur, nous sommes transformés en la même image, de gloire en gloire, comme par le Seigneur, l'Esprit.</w:t>
      </w:r>
      <w:r>
        <w:t xml:space="preserve"> » Selon le grec, la dernière phrase de ce verset pourrait être rendue par « le Seigneur, l'Esprit » ou « le Seigneur, qui est l'Esprit » (voir Français Courant). En effet, l'expression « l'Esprit » est en apposition directe à l'expression « le Seigneur » (c.-à-d. que c'est une description supplémentaire du Seigneur). Ainsi, le Seigneur est l'Esprit.</w:t>
      </w:r>
    </w:p>
    <w:p>
      <w:r/>
      <w:r>
        <w:t>En conclusion, lorsque les Écritures identifient l'Esprit avec Christ et vice versa, cette identification n'est pas incertaine. Christ n'est pas le Saint-Esprit. Christ et l'Esprit sont des personnes distinctes de la Trinité, comme l'affirme l'enseignement global de la Parole. Cependant, les Écritures identifient Christ et l'Esprit dans le contexte de l'expérience chrétienne. Il est exact de dire que les chrétiens font l'expérience de Christ à travers son Esprit, l'Esprit de Christ. On ne peut connaître Jésus en dehors de l'Esprit ou autrement que par l'Esprit.</w:t>
      </w:r>
    </w:p>
    <w:p>
      <w:r/>
      <w:r>
        <w:rPr>
          <w:i/>
        </w:rPr>
        <w:t>Voir aussi</w:t>
      </w:r>
      <w:r>
        <w:t xml:space="preserve"> </w:t>
      </w:r>
      <w:r>
        <w:t>résurrection</w:t>
      </w:r>
      <w:r>
        <w:t>.</w:t>
      </w:r>
      <w:r/>
      <w:r/>
    </w:p>
    <w:p>
      <w:r/>
    </w:p>
    <w:p>
      <w:pPr>
        <w:pStyle w:val="Heading2"/>
      </w:pPr>
      <w:r>
        <w:t>Esprits en prison</w:t>
      </w:r>
      <w:r/>
    </w:p>
    <w:p>
      <w:r/>
      <w:r>
        <w:t xml:space="preserve">Terme utilisé dans </w:t>
      </w:r>
      <w:hyperlink r:id="rId4947">
        <w:r>
          <w:rPr>
            <w:color w:val="0000EE"/>
            <w:u w:val="single"/>
          </w:rPr>
          <w:t>1 Pierre 3.18–20a</w:t>
        </w:r>
      </w:hyperlink>
      <w:r>
        <w:t xml:space="preserve">. Il y a peu d'accord parmi les experts sur ce qu'« esprits en prison » désigne réellement ou pourquoi Jésus serait allé leur prêcher. Martin Luther a avoué que le verset </w:t>
      </w:r>
      <w:hyperlink r:id="rId53">
        <w:r>
          <w:rPr>
            <w:color w:val="0000EE"/>
            <w:u w:val="single"/>
          </w:rPr>
          <w:t>19</w:t>
        </w:r>
      </w:hyperlink>
      <w:r>
        <w:t xml:space="preserve"> « est un texte étonnant et aussi obscur que n'importe quel autre dans le Nouveau Testament et je ne suis pas certain de savoir ce que Saint Pierre veut dire ». Étant donné qu'il y a tant de désaccords et d'incertitudes, plusieurs interprétations possibles sont présentées ici.</w:t>
      </w:r>
    </w:p>
    <w:p>
      <w:r/>
      <w:r>
        <w:t>Tout d'abord, de nombreux commentateurs considèrent que les « esprits en prison » se réfèrent aux esprits désincarnés des personnes qui ont désobéi à la prédication de Noé et qui sont maintenant dans le séjour des morts, le lieu des incroyants défunts. Certains pensent que Christ leur a prêché l'Évangile afin qu'ils puissent croire et être sauvés (bien qu'il y ait peu, voire aucun, soutien dans le Nouveau Testament qu'une personne qui meurt en tant qu'incroyant puisse obtenir une seconde chance). D'autres pensent que Christ a simplement proclamé sa victoire sur Satan et a fait connaître les bénédictions que ces esprits ont une fois pour toutes rejetées.</w:t>
      </w:r>
    </w:p>
    <w:p>
      <w:r/>
      <w:r>
        <w:t xml:space="preserve">Deuxièmement, d'autres commentateurs soutiennent que les « esprits en prison » ne sont pas des esprits humains mais plutôt les mêmes êtres surnaturels mentionnés dans </w:t>
      </w:r>
      <w:hyperlink r:id="rId1339">
        <w:r>
          <w:rPr>
            <w:color w:val="0000EE"/>
            <w:u w:val="single"/>
          </w:rPr>
          <w:t>1 Pierre 3.22</w:t>
        </w:r>
      </w:hyperlink>
      <w:r>
        <w:t xml:space="preserve"> : les anges mauvais, les autorités et les puissances. Ils seraient alors liés aux « fils de Dieu » dans </w:t>
      </w:r>
      <w:hyperlink r:id="rId4948">
        <w:r>
          <w:rPr>
            <w:color w:val="0000EE"/>
            <w:u w:val="single"/>
          </w:rPr>
          <w:t>Genèse 6.1–4</w:t>
        </w:r>
      </w:hyperlink>
      <w:r>
        <w:t xml:space="preserve">. Pour appuyer cela, ils affirment que la proclamation à ces esprits ne s'est pas faite avant mais après la résurrection de Jésus, et n'est donc probablement pas une </w:t>
      </w:r>
      <w:r>
        <w:rPr>
          <w:i/>
        </w:rPr>
        <w:t>ascension</w:t>
      </w:r>
      <w:r>
        <w:t xml:space="preserve"> vers les « lieux célestes », où vivent les puissances spirituelles rebelles (voir </w:t>
      </w:r>
      <w:hyperlink r:id="rId2703">
        <w:r>
          <w:rPr>
            <w:color w:val="0000EE"/>
            <w:u w:val="single"/>
          </w:rPr>
          <w:t>Ep 6.12</w:t>
        </w:r>
      </w:hyperlink>
      <w:r>
        <w:t>). De plus, dans le livre juif préchrétien de 1 Hénoc, Hénoc est représenté proclamant la condamnation aux anges apostats. Ainsi, Christ est vu comme le nouvel Hénoc déclarant aux « esprits en prison » sa victoire sur la croix et leur défaite finale.</w:t>
      </w:r>
    </w:p>
    <w:p>
      <w:r/>
      <w:r>
        <w:t xml:space="preserve">Enfin, certains ont suggéré que la prédication de Christ n'était destinée ni à des êtres spirituels surnaturels ni aux esprits des défunts dans le séjour des morts. Au contraire, la prédication a eu lieu à l'époque de Noé et s'adressait aux contemporains de Noé qui, parce qu'ils ont désobéi, sont désormais en prison. En d'autres termes, l'Esprit de Christ, mentionné dans </w:t>
      </w:r>
      <w:hyperlink r:id="rId4914">
        <w:r>
          <w:rPr>
            <w:color w:val="0000EE"/>
            <w:u w:val="single"/>
          </w:rPr>
          <w:t>1 Pierre 1.11</w:t>
        </w:r>
      </w:hyperlink>
      <w:r>
        <w:t>, et qui existait avant l'Incarnation, a inspiré Noé à prêcher au peuple. Selon cette interprétation, il n'y a pas de « descente aux enfers » et pas de déclaration aux anges déchus. Le texte dit simplement que le Christ dans sa dimension spirituelle a prêché à l'époque de Noé.</w:t>
      </w:r>
    </w:p>
    <w:p>
      <w:r/>
      <w:r>
        <w:rPr>
          <w:i/>
        </w:rPr>
        <w:t>Voir aussi</w:t>
      </w:r>
      <w:r>
        <w:t xml:space="preserve"> </w:t>
      </w:r>
      <w:r>
        <w:t xml:space="preserve">Pierre, Première lettre de </w:t>
      </w:r>
      <w:r>
        <w:t>.</w:t>
      </w:r>
      <w:r/>
      <w:r/>
    </w:p>
    <w:p>
      <w:r/>
    </w:p>
    <w:p>
      <w:pPr>
        <w:pStyle w:val="Heading2"/>
      </w:pPr>
      <w:r>
        <w:t>Esséniens, Essènes</w:t>
      </w:r>
      <w:r/>
    </w:p>
    <w:p>
      <w:r/>
      <w:r>
        <w:t>Secte ou communauté juive en Palestine au dernier siècle av. J.-C. et au premier siècle apr. J.-C.</w:t>
      </w:r>
    </w:p>
    <w:p>
      <w:r/>
      <w:r>
        <w:t>Sommaire</w:t>
      </w:r>
    </w:p>
    <w:p>
      <w:r/>
      <w:r>
        <w:t>• Nom</w:t>
      </w:r>
    </w:p>
    <w:p>
      <w:r/>
      <w:r>
        <w:t>• Sources d'information</w:t>
      </w:r>
    </w:p>
    <w:p>
      <w:r/>
      <w:r>
        <w:t>• Origine et histoire</w:t>
      </w:r>
    </w:p>
    <w:p>
      <w:r/>
      <w:r>
        <w:t>• Admission à la secte</w:t>
      </w:r>
    </w:p>
    <w:p>
      <w:r/>
      <w:r>
        <w:t>• Vie communautaire</w:t>
      </w:r>
    </w:p>
    <w:p>
      <w:r/>
      <w:r>
        <w:t>• Croyances religieuses</w:t>
      </w:r>
    </w:p>
    <w:p>
      <w:r/>
      <w:r>
        <w:t>• Les Essènes et la communauté de Qumrân</w:t>
      </w:r>
    </w:p>
    <w:p>
      <w:pPr>
        <w:pStyle w:val="Heading3"/>
      </w:pPr>
      <w:r>
        <w:t>Nom</w:t>
      </w:r>
    </w:p>
    <w:p>
      <w:r/>
      <w:r>
        <w:t>Les membres de la secte sont appelés Esséniens ou Essènes. Ils sont mentionnés sous des noms différents (</w:t>
      </w:r>
      <w:r>
        <w:rPr>
          <w:i/>
        </w:rPr>
        <w:t>ess</w:t>
      </w:r>
      <w:r>
        <w:t>ē</w:t>
      </w:r>
      <w:r>
        <w:rPr>
          <w:i/>
        </w:rPr>
        <w:t xml:space="preserve">noï, essaioï </w:t>
      </w:r>
      <w:r>
        <w:t xml:space="preserve">ou </w:t>
      </w:r>
      <w:r>
        <w:rPr>
          <w:i/>
        </w:rPr>
        <w:t>ossaioï</w:t>
      </w:r>
      <w:r>
        <w:t>). On trouve parfois deux formes différentes de leur nom chez un même auteur. L'origine de leur nom n'est pas connue ou reste obscure. Un certain nombre de spécialistes ont tendance à préférer « guérisseurs ». C'est peu probable, puisque ce terme décrit les Thérapeutes (« Therapeutae » ou « Guérisseurs »), une secte dont le lien avec les Esséniens est distant, s'il y en a même un.</w:t>
      </w:r>
    </w:p>
    <w:p>
      <w:pPr>
        <w:pStyle w:val="Heading3"/>
      </w:pPr>
      <w:r>
        <w:t>Sources d'information</w:t>
      </w:r>
    </w:p>
    <w:p>
      <w:r/>
      <w:r>
        <w:t xml:space="preserve">Les principales sources d'information à propos des Esséniens sont les suivantes: (1) Philon d'Alexandrie, un Juif qui a vécu en Égypte d'environ 30 av. J.-C. à quelque temps après 40 apr. J.-C. Il parle des Esséniens dans ses deux œuvres </w:t>
      </w:r>
      <w:r>
        <w:rPr>
          <w:i/>
        </w:rPr>
        <w:t xml:space="preserve">Apologie pour les Juifs </w:t>
      </w:r>
      <w:r>
        <w:t xml:space="preserve">et </w:t>
      </w:r>
      <w:r>
        <w:rPr>
          <w:i/>
        </w:rPr>
        <w:t xml:space="preserve">Quod omnis probus liber sit. </w:t>
      </w:r>
      <w:r>
        <w:t xml:space="preserve">Ce dernier titre veut dire </w:t>
      </w:r>
      <w:r>
        <w:rPr>
          <w:i/>
        </w:rPr>
        <w:t>Tout homme vertueux est libre.</w:t>
      </w:r>
      <w:r>
        <w:t xml:space="preserve"> (2) Flavius Josèphe, un Juif de Palestine et plus tard de Rome, qui a vécu de 37 à environ 100 apr. J.-C. Il parle des Esséniens dans ses œuvres la</w:t>
      </w:r>
      <w:r>
        <w:rPr>
          <w:i/>
        </w:rPr>
        <w:t xml:space="preserve"> Guerre des Juifs</w:t>
      </w:r>
      <w:r>
        <w:t xml:space="preserve"> et les</w:t>
      </w:r>
      <w:r>
        <w:rPr>
          <w:i/>
        </w:rPr>
        <w:t xml:space="preserve"> Antiquités juives. </w:t>
      </w:r>
      <w:r>
        <w:t xml:space="preserve">Ce sont nos sources les plus importantes. (3) Pline l'Ancien, un Romain mort en 79 apr. J.-C. et qui a peut-être été en Palestine avec le futur empereur romain Titus pendant la guerre judéo-romaine. Il parle des Esséniens dans son </w:t>
      </w:r>
      <w:r>
        <w:rPr>
          <w:i/>
        </w:rPr>
        <w:t xml:space="preserve">Histoire naturelle. </w:t>
      </w:r>
      <w:r>
        <w:t xml:space="preserve">(4) Hippolyte de Rome. Il parle des Esséniens dans son œuvre </w:t>
      </w:r>
      <w:r>
        <w:rPr>
          <w:i/>
        </w:rPr>
        <w:t>Réfutation de toutes les hérésies</w:t>
      </w:r>
      <w:r>
        <w:t>, écrite vers 230 apr. J.-C. Cette œuvre dépend largement de celle de Flavius Josèphe.</w:t>
      </w:r>
    </w:p>
    <w:p>
      <w:r/>
      <w:r>
        <w:t>Josèphe dit qu'il rejoint les Esséniens à l'âge de 16 ans, car il a décidé de connaître intimement les trois « sectes » juives. Pourtant, Josèphe est pharisien à 19 ans. Or, il fallait au moins trois ans pour accomplir les rites d'initiation des Esséniens. Nous devons donc en conclure qu'il n'a pas eu le temps ou l'occasion d'en apprendre beaucoup sur la vie intérieure de la secte des Esséniens.</w:t>
      </w:r>
    </w:p>
    <w:p>
      <w:pPr>
        <w:pStyle w:val="Heading3"/>
      </w:pPr>
      <w:r>
        <w:t>Origine et histoire</w:t>
      </w:r>
    </w:p>
    <w:p>
      <w:r/>
      <w:r>
        <w:t xml:space="preserve">La première mention des Esséniens, des pharisiens et des sadducéens se situe à l'époque de Jonathan (160–143 av. J.-C.). C'est le frère et successeur de Judas Maccabée (voir Josèphe, </w:t>
      </w:r>
      <w:r>
        <w:rPr>
          <w:i/>
        </w:rPr>
        <w:t>Antiquités juives</w:t>
      </w:r>
      <w:r>
        <w:t xml:space="preserve"> 13.5.9). Josèphe appelle ces groupes des « sectes » (en grec </w:t>
      </w:r>
      <w:r>
        <w:rPr>
          <w:i/>
        </w:rPr>
        <w:t>haireseis</w:t>
      </w:r>
      <w:r>
        <w:t xml:space="preserve">). C'est un terme qui représente maintenant des mouvements hérétiques. Cependant, ce sens du mot </w:t>
      </w:r>
      <w:r>
        <w:rPr>
          <w:i/>
        </w:rPr>
        <w:t>haireseis</w:t>
      </w:r>
      <w:r>
        <w:t xml:space="preserve"> (hérésie) ne se développera que plus tard. En fait, Luc utilise le même mot pour décrire les pharisiens, les sadducéens et les chrétiens. Dans les écrits de Luc, ce mot est traduit « parti » dans </w:t>
      </w:r>
      <w:hyperlink r:id="rId3508">
        <w:r>
          <w:rPr>
            <w:color w:val="0000EE"/>
            <w:u w:val="single"/>
          </w:rPr>
          <w:t xml:space="preserve">Ac 15.5 </w:t>
        </w:r>
      </w:hyperlink>
      <w:r>
        <w:t xml:space="preserve">et « secte » dans </w:t>
      </w:r>
      <w:hyperlink r:id="rId4949">
        <w:r>
          <w:rPr>
            <w:color w:val="0000EE"/>
            <w:u w:val="single"/>
          </w:rPr>
          <w:t xml:space="preserve">26.5 </w:t>
        </w:r>
      </w:hyperlink>
      <w:r>
        <w:t xml:space="preserve">(pharisiens), « parti » dans </w:t>
      </w:r>
      <w:hyperlink r:id="rId4950">
        <w:r>
          <w:rPr>
            <w:color w:val="0000EE"/>
            <w:u w:val="single"/>
          </w:rPr>
          <w:t xml:space="preserve">5.17 </w:t>
        </w:r>
      </w:hyperlink>
      <w:r>
        <w:t xml:space="preserve">(sadducéens) et « secte » dans </w:t>
      </w:r>
      <w:hyperlink r:id="rId4951">
        <w:r>
          <w:rPr>
            <w:color w:val="0000EE"/>
            <w:u w:val="single"/>
          </w:rPr>
          <w:t xml:space="preserve">24.5, 14 </w:t>
        </w:r>
      </w:hyperlink>
      <w:r>
        <w:t xml:space="preserve">et </w:t>
      </w:r>
      <w:hyperlink r:id="rId4952">
        <w:r>
          <w:rPr>
            <w:color w:val="0000EE"/>
            <w:u w:val="single"/>
          </w:rPr>
          <w:t xml:space="preserve">28.22 </w:t>
        </w:r>
      </w:hyperlink>
      <w:r>
        <w:t>(chrétiens).</w:t>
      </w:r>
    </w:p>
    <w:p>
      <w:r/>
      <w:r>
        <w:t>La révolte des Maccabées commence en 167 av. J.-C. L'arrière-plan de cette rébellion est une lutte à propos de la Palestine entre deux groupes grecs rivaux : les Grecs séleucides et les Grecs ptolémaïques. Les Séleucides remportent la victoire en 198 av. J.-C. Cependant, il existe des partis pro-syriens et pro-égyptiens en Judée qui ne sont pas favorables aux Séleucides. Des tensions se développent également en Palestine à propos de l'hellénisme, fortement promu par les Séleucides. L'hellénisme correspond à la croissance de la culture et de la langue grecques dans le monde méditerranéen à cette époque-là. L'hellénisme influence profondément de nombreux Juifs. Pour participer aux jeux athlétiques, certains Juifs se font même opérer pour effacer le signe de la circoncision (</w:t>
      </w:r>
      <w:hyperlink r:id="rId4953">
        <w:r>
          <w:rPr>
            <w:color w:val="0000EE"/>
            <w:u w:val="single"/>
          </w:rPr>
          <w:t>1 M 1.15</w:t>
        </w:r>
      </w:hyperlink>
      <w:r>
        <w:t xml:space="preserve">). En 168 apr. J.-C., le roi séleucide Antiochos IV Épiphane vend la position juive de souverain sacrificateur (ou grand prêtre) au plus offrant, c'est-à-dire à un dénommé Ménélas. La population juive n'accepte pas cette nomination et une persécution violente éclate. À cette époque, un groupe de Juifs pieux apparaît et rejoint les Maccabées dans la révolte. Nous les connaissons sous le nom de Hassidéens (ou Assidéens, de l'hébreu </w:t>
      </w:r>
      <w:r>
        <w:rPr>
          <w:i/>
        </w:rPr>
        <w:t>hassidim</w:t>
      </w:r>
      <w:r>
        <w:t xml:space="preserve"> « les pieux » ; voir </w:t>
      </w:r>
      <w:hyperlink r:id="rId4954">
        <w:r>
          <w:rPr>
            <w:color w:val="0000EE"/>
            <w:u w:val="single"/>
          </w:rPr>
          <w:t>1 M 2.42</w:t>
        </w:r>
      </w:hyperlink>
      <w:r>
        <w:t>).</w:t>
      </w:r>
    </w:p>
    <w:p>
      <w:r/>
      <w:r>
        <w:t>En raison de nombreuses similitudes doctrinales, il est généralement accepté que les pharisiens sont (1) les descendants directs des Hassidéens ou (2) l'un de deux ou plusieurs groupes parmi leurs descendants. Il est également généralement accepté que les Esséniens sont un groupe qui s'est séparé soit des pharisiens, soit des Hassidéens. Qumrân est la communauté des manuscrits de la mer Morte. Cette communauté est considérée soit comme une branche des Esséniens, soit comme un autre groupe de séparatistes étroitement lié et dont l'origine remonte à peu près à la même époque.</w:t>
      </w:r>
    </w:p>
    <w:p>
      <w:r/>
      <w:r>
        <w:t>Josèphe mentionne seulement trois sectes juives : les pharisiens, les sadducéens et les Esséniens (</w:t>
      </w:r>
      <w:r>
        <w:rPr>
          <w:i/>
        </w:rPr>
        <w:t>Antiquités juives</w:t>
      </w:r>
      <w:r>
        <w:t xml:space="preserve"> 18.1.2). La conclusion qui en est couramment tirée est que c'étaient les seules sectes juives à cette époque. Cela est incorrect. Il y en avait au moins sept (et peut-être même jusqu'à douze). Certaines d'entre elles se recoupent (ou coïncident, se correspondent) probablement en partie. Il n'est pas toujours clair si un groupe particulier doit être décrit comme un parti religieux à proprement parler (p. ex. les Zélotes). Le nombre de sectes donné par Josèphe peut être contesté par d'autres informations qu'il fournit lui-même. Selon lui, il y avait 6 000 pharisiens (</w:t>
      </w:r>
      <w:r>
        <w:rPr>
          <w:i/>
        </w:rPr>
        <w:t>Antiquités juives</w:t>
      </w:r>
      <w:r>
        <w:t xml:space="preserve"> 17.2.4) et 4 000 Esséniens (</w:t>
      </w:r>
      <w:r>
        <w:rPr>
          <w:i/>
        </w:rPr>
        <w:t>Antiquités juives</w:t>
      </w:r>
      <w:r>
        <w:t xml:space="preserve"> 18.1.5 ; comp. avec Philon, </w:t>
      </w:r>
      <w:r>
        <w:rPr>
          <w:i/>
        </w:rPr>
        <w:t>Tout homme vertueux est libre,</w:t>
      </w:r>
      <w:r>
        <w:t xml:space="preserve"> 76), tandis que les sadducéens étaient moins nombreux que les pharisiens (comp. avec </w:t>
      </w:r>
      <w:r>
        <w:rPr>
          <w:i/>
        </w:rPr>
        <w:t>Guerres des Juifs</w:t>
      </w:r>
      <w:r>
        <w:t xml:space="preserve"> 2.8.14). Cela représente au maximum 16 000 personnes. Pourtant, la population de la Judée dépasse de beaucoup ce nombre à cette époque. De plus, Josèphe lui-même parle d'une « quatrième philosophie » (</w:t>
      </w:r>
      <w:r>
        <w:rPr>
          <w:i/>
        </w:rPr>
        <w:t>Antiquités juives</w:t>
      </w:r>
      <w:r>
        <w:t xml:space="preserve"> 18.1.6), que certains spécialistes pensent être les Zélotes. Josèphe lui-même ne les identifie pas comme des Zélotes. Nous pouvons seulement conclure que, selon Josèphe, il existait trois sectes juives importantes (ou, en d'autres mots, il y avait trois groupes principaux de Juifs) à cette époque.</w:t>
      </w:r>
    </w:p>
    <w:p>
      <w:r/>
      <w:r>
        <w:t>Les Esséniens quittent les villes palestiniennes et vont vivre dans les villages. Pline les situe à l'ouest de la mer Morte et dit : « En-dessous d'eux se trouvait Ein Gedi » (</w:t>
      </w:r>
      <w:r>
        <w:rPr>
          <w:i/>
        </w:rPr>
        <w:t>Histoire naturelle</w:t>
      </w:r>
      <w:r>
        <w:t xml:space="preserve"> 5.15.73). Cela peut vouloir dire qu'Ein Gedi était à une plus basse altitude, ou plus au sud. Les spécialistes ne sont pas unanimes à ce sujet.</w:t>
      </w:r>
    </w:p>
    <w:p>
      <w:pPr>
        <w:pStyle w:val="Heading3"/>
      </w:pPr>
      <w:r>
        <w:t>Admission à la secte</w:t>
      </w:r>
    </w:p>
    <w:p>
      <w:r/>
      <w:r>
        <w:t>L'admission chez les Esséniens est un processus long et compliqué. Il comprend une année en tant que postulant et deux années supplémentaires de participation limitée à la communauté. Le novice (celui qui veut être admis) prête des serments solennels (formels ou officiels), à propos de sa relation avec Dieu et avec ses compagnons. Il jure de (1) haïr (détester au plus haut point) les méchants, (2) d'aimer la vérité, (3) de ne rien cacher à la communauté, (4) de ne rien révéler aux étrangers et (5) de transmettre les doctrines exactement comme il les reçoit. Jusqu'à ce qu'il prête ces serments, il ne peut pas toucher à la nourriture de la communauté.</w:t>
      </w:r>
    </w:p>
    <w:p>
      <w:pPr>
        <w:pStyle w:val="Heading3"/>
      </w:pPr>
      <w:r>
        <w:t>Vie communautaire</w:t>
      </w:r>
    </w:p>
    <w:p>
      <w:r/>
      <w:r>
        <w:t>Quand un nouveau membre rejoint les Esséniens, il remet tous ses biens à la communauté. Les membres individuels sont sans biens, propriété ou domicile. Ils vivent très simplement, avec seulement ce qui est nécessaire. Ils méprisent les richesses, n'ont pas d'esclaves et ne font pas de commerce. Ils travaillent dans les champs ou ont des métiers qui contribuent à la paix. Ils ne fabriquent pas d'instruments de guerre. Ils vivent en fraternités, mangent ensemble, possèdent des biens en commun, ont une bourse commune et une réserve commune de vêtements. Ils portent toujours des vêtements blancs.</w:t>
      </w:r>
    </w:p>
    <w:p>
      <w:r/>
      <w:r>
        <w:t>Il existe peu de preuves au sujet de leurs vues sur le mariage, et elles ne sont pas claires. Soit ils l'interdisent complètement, soit ils le méprisent, considérant la continence (ne pas avoir de relations sexuelles) comme l'une de leurs vertus. Il y a des Esséniens qui se marient, mais ils pensent que la relation maritale existe uniquement dans le but d'élever des enfants pour que la race continue.</w:t>
      </w:r>
    </w:p>
    <w:p>
      <w:r/>
      <w:r>
        <w:t>Il existe aussi des preuves contradictoires concernant les enfants. Selon Philon, ils n'y a ni enfants, ni adolescents, ni même de jeunes hommes parmi les Esséniens. Josèphe, cependant, dit qu'ils adoptent des enfants, et que ceux des Esséniens qui se marient élèvent leurs propres enfants.</w:t>
      </w:r>
    </w:p>
    <w:p>
      <w:r/>
      <w:r>
        <w:t>Les Esséniens sont divisés en quatre groupements ou rangs et ne font rien sans ordre de leurs supérieurs, sauf des œuvres de miséricorde (ou compassion). Ils obéissent à leurs anciens. La justice est rendue lors d'une assemblée de 100 membres ou plus. Pour les infractions graves, la punition est d'être chassé de la communauté. Le membre qui est chassé meurt généralement de faim à cause de ses serments solennels.</w:t>
      </w:r>
    </w:p>
    <w:p>
      <w:pPr>
        <w:pStyle w:val="Heading4"/>
      </w:pPr>
      <w:r>
        <w:t>Journée typique</w:t>
      </w:r>
    </w:p>
    <w:p>
      <w:r/>
      <w:r>
        <w:t>Josèphe décrit une journée typique dans la vie des Esséniens. Ils se lèvent avant l'aube et récitent des prières au soleil levant. Cela ne doit pas être interprété comme un culte du soleil. Ensuite, chaque homme travaille à son métier jusqu'à la cinquième heure (11h00 du matin). À 11h00, la communauté se rassemble. Les Esséniens mettent des pagnes faits de lin, se baignent dans de l'eau froide, puis se rendent au bâtiment réservé aux membres. Ils se retrouvent dans une salle à manger encore plus restreinte à ceux qui sont purs. Chacun reçoit du pain et un bol de nourriture. Le prêtre prie avant que quiconque n'ait le droit de toucher à la nourriture. Il prie encore une fois après le repas. Ensuite, les membres déposent leurs vêtements sacrés et reprennent leur travail jusqu'au soir. Le repas du soir se déroule de la même manière que le repas de midi. Ils mangent en silence et ne parlent qu'à tour de rôle. Ils mangent et boivent seulement suffisamment pour se satisfaire.</w:t>
      </w:r>
    </w:p>
    <w:p>
      <w:pPr>
        <w:pStyle w:val="Heading3"/>
      </w:pPr>
      <w:r>
        <w:t>Croyances religieuses</w:t>
      </w:r>
    </w:p>
    <w:p>
      <w:r/>
      <w:r>
        <w:t xml:space="preserve">Il est incertain de tenter de reconstruire la théologie essène à partir des écrits de Josèphe et de Philon. Ces deux auteurs pensent de façon philosophique plutôt que de façon théologique. </w:t>
      </w:r>
    </w:p>
    <w:p>
      <w:r/>
      <w:r>
        <w:t>Les Esséniens ne s'intéressent pas à la logique ou à la philosophie naturelle, mais se consacrent plutôt à l'éthique. Josèphe les compare aux Pythagoriciens grecs (</w:t>
      </w:r>
      <w:r>
        <w:rPr>
          <w:i/>
        </w:rPr>
        <w:t>Antiquités juives</w:t>
      </w:r>
      <w:r>
        <w:t xml:space="preserve"> 15.10.4). Il n'explique pas plus cette comparaison. Les Esséniens s'inquiètent d'être purs et d'avoir des esprits saints. Ils rejettent les serments et considèrent leur parole comme suffisante. La seule exception est apparemment celle du serment solennel d'entrée dans la secte. Ils observent le sabbat le septième jour, se rendant aux synagogues et étant assis selon leur âge. L'un lit et un autre explique, utilisant des symboles et le triple usage des définitions. Cela pourrait être une référence à la méthode rabbinique d'exégèse. Ils ne travaillent pas le jour du sabbat. La question des sacrifices n'est pas claire. Soit ils n'offrent pas de sacrifices (Philon, </w:t>
      </w:r>
      <w:r>
        <w:rPr>
          <w:i/>
        </w:rPr>
        <w:t>Tout homme vertueux est libre</w:t>
      </w:r>
      <w:r>
        <w:t xml:space="preserve">), soit ils sacrifient entre eux et n'envoient pas de sacrifices au Temple (Josèphe, </w:t>
      </w:r>
      <w:r>
        <w:rPr>
          <w:i/>
        </w:rPr>
        <w:t>Antiquités juives</w:t>
      </w:r>
      <w:r>
        <w:t xml:space="preserve"> 18.1.5). Pourtant, selon ce même passage de Josèphe, ils envoient des offrandes au Temple. Le nom du législateur (Moïse ? ou Dieu lui-même ?) est un objet de grande vénération.</w:t>
      </w:r>
    </w:p>
    <w:p>
      <w:r/>
      <w:r>
        <w:t>Les Esséniens étudient les livres sacrés et semblent avoir une certaine habilité à prédire l'avenir. Josèphe parle de Menahem l'Essénien, qui prédit qu'Hérode deviendra roi (</w:t>
      </w:r>
      <w:r>
        <w:rPr>
          <w:i/>
        </w:rPr>
        <w:t>Antiquités juives</w:t>
      </w:r>
      <w:r>
        <w:t xml:space="preserve"> 15.10.5). Les Esséniens étudient également les œuvres des anciens. Cela semble vouloir dire des œuvres autres que les Écritures. Les Esséniens deviennent compétents dans la connaissance de la guérison, des racines et des pierres. Les Esséniens croient que leurs âmes sont immortelles. Cependant, Josèphe semble avoir compris cette doctrine comme enseignant que le corps est « corruptible et sa matière constitutive impermanente » (</w:t>
      </w:r>
      <w:r>
        <w:rPr>
          <w:i/>
        </w:rPr>
        <w:t>Guerre des Juifs</w:t>
      </w:r>
      <w:r>
        <w:t xml:space="preserve"> 2.8.11). Cela signifie que le corps est ce qui périt ou se décompose. Si Josèphe a raison, cela peut vouloir dire que les Esséniens ne croient pas en la résurrection.</w:t>
      </w:r>
    </w:p>
    <w:p>
      <w:r/>
      <w:r>
        <w:t>Nous disposons de trop peu d'informations pour véritablement reconstruire la théologie essène. Voici ce qui est clair : (1) ce sont des Juifs, (2) ils sont dévoués à la loi, mais avec certaines emphases ou anomalies qui les différencient à la fois des pharisiens et des sadducéens, (3) ils sont ascétiques, même si certains d'entre eux se marient, (4) ils sont pacifistes, même si Josèphe parle d'un Essénien nommé Jean qui est général dans l'armée (</w:t>
      </w:r>
      <w:r>
        <w:rPr>
          <w:i/>
        </w:rPr>
        <w:t>Guerre des Juifs</w:t>
      </w:r>
      <w:r>
        <w:t xml:space="preserve"> 2.20.4), et par-dessus tout, (5) ils excluent les autres, s'éloignant des autres Juifs et vivant un type de vie communautaire.</w:t>
      </w:r>
    </w:p>
    <w:p>
      <w:pPr>
        <w:pStyle w:val="Heading3"/>
      </w:pPr>
      <w:r>
        <w:t>Les Esséniens et la communauté de Qumrân</w:t>
      </w:r>
    </w:p>
    <w:p>
      <w:r/>
      <w:r>
        <w:t>Il y a de nombreuses ressemblances entre les Esséniens et le groupe de Qumrân (les gens des manuscrits de la mer Morte). Les deux groupes sont des sectes juives. Les deux groupes sont communautaires. Les deux groupes se sont retirés du mouvement commun du judaïsme. Les deux sont situés à l'ouest de la mer Morte. Les deux ont des processus longs et rigides pour l'admission de nouveaux membres. Les deux ont un serment d'admission. Les deux détestent les méchants et aiment les membres de leur communauté. Les deux exigent la remise de tous les biens à la secte. Les deux gardent leurs secrets au sein de leur propre groupe. La vie quotidienne (prières, bains rituels, repas communs, étude et interprétation de la Bible, et souci de la pureté) est remarquablement similaire. L'observance stricte du sabbat, la division en groupements ou rangs, et l'autorité des anciens et des supérieurs sont des caractéristiques de chaque groupe. Les deux exigent la présence d'un minimum de dix personnes pour l'assemblée. Finalement, les deux ont des lois d'expulsion (ou de bannissement) pour les fautes graves.</w:t>
      </w:r>
    </w:p>
    <w:p>
      <w:r/>
      <w:r>
        <w:t xml:space="preserve">Les différences sont également importantes, mais ne sont pas aussi souvent identifiées. Il est évident que la communauté de Qumrân ne peut pas constituer tous les Esséniens. Elle n'en représente au plus qu'une petite partie, peut-être 200 des 4 000 Esséniens. De plus, la communauté de Qumrân n'est tout au plus qu'une des villes et villages des Esséniens. Il est possible que les habitants de Qumrân travaillent dans l'artisanat, mais nous n'en savons rien, ni par leurs textes, ni par l'archéologie de Qumrân. Nous ne savons rien non plus de leur attitude envers la guerre ou les instruments de guerre. Cependant, nous avons un rouleau de Qumrân, </w:t>
      </w:r>
      <w:r>
        <w:rPr>
          <w:i/>
        </w:rPr>
        <w:t>La Règle de la guerre</w:t>
      </w:r>
      <w:r>
        <w:t xml:space="preserve"> (1QM, plus connu sous le nom « </w:t>
      </w:r>
      <w:r>
        <w:rPr>
          <w:i/>
        </w:rPr>
        <w:t>Rouleau de la guerre des Fils de lumière contre les Fils de ténèbres</w:t>
      </w:r>
      <w:r>
        <w:t xml:space="preserve"> »). Ce rouleau montre que la communauté de Qumrân a une idée élaborée de la guerre finale, avec une armée, des armes, des tactiques, etc. La communauté de Qumrân ne semble donc pas pacifiste (voir 1QS 9.16, 22–23 ; 10.18 ; 1QSa 1.19–21). Il semble que les membres de la communauté faisaient du commerce (CD 13.14–15). Il n'y a aucune information sur une quelconque réserve commune de vêtements à Qumrân. D'après la littérature de la mer Morte, nous savons que Qumrân a des dispositions pour le mariage, pour les jeunes enfants, les adolescents et les jeunes hommes. Bien sûr, les membres de la communauté de Qumrân sont peut-être les Esséniens mariés auxquels Josèphe fait référence. L'admission au groupe de Qumrân est un processus de deux ans ; pour les Esséniens, le processus dure trois ans.</w:t>
      </w:r>
    </w:p>
    <w:p>
      <w:r/>
      <w:r>
        <w:t>Nous ne connaissons rien des prières de Qumrân au soleil, ni des bains quotidiens. Certaines des « citernes » qui ont été découvertes sont probablement des bassins d'immersion. Contrairement aux Esséniens, les membres de la communauté de Qumrân prêtent serment. Il existe de longues sections sur les serments dans leur littérature (CD 9.8–12 ; 15.1–10 ; 16.6–18). L'attitude de la communauté de Qumrân envers les sacrifices n'est pas entièrement claire, mais il prévoient d'envoyer des sacrifices au Temple. Il ne semble y avoir aucune aversion pour l'huile parmi les membres de la communauté de Qumrân, comme pour les Esséniens.</w:t>
      </w:r>
    </w:p>
    <w:p>
      <w:r/>
      <w:r>
        <w:t>Il n'y a aucune indication que les membres de la communauté de Qumrân utilisent des définitions triples dans leur interprétation biblique. Il utilisent peu de symboles dans leurs écrits. Il n'y a aucune indication qu'ils étudient la guérison, les racines ou les pierres. S'ils sont experts en prédiction de l'avenir, nous n'en avons aucune trace.</w:t>
      </w:r>
    </w:p>
    <w:p>
      <w:r/>
      <w:r>
        <w:t>À Qumrân, les sièges sont disposés par rang et non par âge, comme chez les Esséniens. Le rang est modifié par un examen annuel. Il n'y a aucune indication que la justice à Qumrân est rendue par 100 hommes ; il semble plutôt qu'elle soit rendue par un conseil de 15 (1QS 8.1) ou de 10 (CD 9.4–5).</w:t>
      </w:r>
    </w:p>
    <w:p>
      <w:r/>
      <w:r>
        <w:t xml:space="preserve">Vu les ressemblances, nous devons conclure à une relation entre les Esséniens et la communauté de Qumrân. Vu les différences, nous sommes obligés de conclure que ce ne sont pas exactement les mêmes groupes. Il existe plusieurs explications possibles : (1) Les Esséniens et les membres de la communauté de Qumrân ont peut-être commencé à partir de la même séparation des Hassidéens, puis se sont séparés les uns des autres plus tard. En fait, les manuscrits de la mer Morte, en particulier le </w:t>
      </w:r>
      <w:r>
        <w:rPr>
          <w:i/>
        </w:rPr>
        <w:t>Document de Damas</w:t>
      </w:r>
      <w:r>
        <w:t xml:space="preserve"> (CD), laissent entendre qu'il y a eu une sorte de séparation au début de l'histoire du groupe. (2) La description des Esséniens de Josèphe et de Philon est plus vieille d'environ un siècle que la littérature des membres de la communauté de Qumrân. Certains changements ont peut-être lieu au cours de cette période. (3) Les Esséniens vivaient dans plusieurs petites villes et villages. Ils ont pu développer des différences locales importantes. Ainsi, Josèphe a pu tirer sa description d'un lieu, Philon et Pline d'autres lieux. Le groupe de Qumrân peut aussi représenter une autre forme locale différente. Il existe peu d'éléments pour choisir l'une de ces explications plutôt qu'une autre.</w:t>
      </w:r>
    </w:p>
    <w:p>
      <w:r/>
      <w:r>
        <w:rPr>
          <w:i/>
        </w:rPr>
        <w:t>Voir aussi</w:t>
      </w:r>
      <w:r>
        <w:t xml:space="preserve"> </w:t>
      </w:r>
      <w:r>
        <w:t>manuscrits de la mer Morte</w:t>
      </w:r>
      <w:r>
        <w:t xml:space="preserve"> ; </w:t>
      </w:r>
      <w:r>
        <w:t>judaïsme</w:t>
      </w:r>
      <w:r>
        <w:t xml:space="preserve"> ; </w:t>
      </w:r>
      <w:r>
        <w:t>pharisiens</w:t>
      </w:r>
      <w:r>
        <w:t xml:space="preserve"> ; </w:t>
      </w:r>
      <w:r>
        <w:t>Qumrân</w:t>
      </w:r>
      <w:r>
        <w:t>.</w:t>
      </w:r>
      <w:r/>
      <w:r/>
    </w:p>
    <w:p>
      <w:r/>
    </w:p>
    <w:p>
      <w:pPr>
        <w:pStyle w:val="Heading2"/>
      </w:pPr>
      <w:r>
        <w:t>Esther (Personne)</w:t>
      </w:r>
      <w:r/>
    </w:p>
    <w:p>
      <w:r/>
      <w:r>
        <w:t xml:space="preserve">Esther était une reine juive de Perse. Elle avait deux noms : son nom juif était Hadassa (ce qui signifie « Myrte » en hébreu) et son nom persan était Esther (ce qui signifie « Étoile »). Certains chercheurs pensent que son nom persan pourrait être lié à Ishtar, une déesse babylonienne, car les Juifs vivant en exil recevaient parfois des noms d'autres religions (voir </w:t>
      </w:r>
      <w:hyperlink r:id="rId4955">
        <w:r>
          <w:rPr>
            <w:color w:val="0000EE"/>
            <w:u w:val="single"/>
          </w:rPr>
          <w:t>Dn 1.7</w:t>
        </w:r>
      </w:hyperlink>
      <w:r>
        <w:t>).</w:t>
      </w:r>
    </w:p>
    <w:p>
      <w:r/>
      <w:r>
        <w:t xml:space="preserve">Esther n'avait pas de parents (elle était orpheline). Elle appartenait à la tribu de Benjamin, l'un des douze groupes familiaux du peuple juif. À cette époque, de nombreux Juifs vivaient loin de leur patrie, en Perse, car ils avaient été forcés de partir (ils étaient exilés). Esther vivait avec son cousin Mardochée à Suse, la capitale de la Perse. Mardochée travaillait pour le gouvernement et était également un chef secret des Juifs qui y vivaient (voir </w:t>
      </w:r>
      <w:hyperlink r:id="rId4956">
        <w:r>
          <w:rPr>
            <w:color w:val="0000EE"/>
            <w:u w:val="single"/>
          </w:rPr>
          <w:t>Est 3.5–6</w:t>
        </w:r>
      </w:hyperlink>
      <w:r>
        <w:t>).</w:t>
      </w:r>
    </w:p>
    <w:p>
      <w:r/>
      <w:r>
        <w:t>Esther deviendra reine. En effet, le roi Assuérus (également appelé Xerxès) s'était mis en colère contre sa première femme, la reine Vasthi. Le roi avait ordonné à Vasthi de venir à un festin, mais elle a refusé de venir (</w:t>
      </w:r>
      <w:hyperlink r:id="rId4957">
        <w:r>
          <w:rPr>
            <w:color w:val="0000EE"/>
            <w:u w:val="single"/>
          </w:rPr>
          <w:t>Est 1.11</w:t>
        </w:r>
      </w:hyperlink>
      <w:hyperlink r:id="rId4956">
        <w:r>
          <w:rPr>
            <w:color w:val="0000EE"/>
            <w:u w:val="single"/>
          </w:rPr>
          <w:t>–</w:t>
        </w:r>
      </w:hyperlink>
      <w:hyperlink r:id="rId4957">
        <w:r>
          <w:rPr>
            <w:color w:val="0000EE"/>
            <w:u w:val="single"/>
          </w:rPr>
          <w:t>12</w:t>
        </w:r>
      </w:hyperlink>
      <w:r>
        <w:t>).</w:t>
      </w:r>
    </w:p>
    <w:p>
      <w:r/>
      <w:r>
        <w:t>Après qu'Esther est devenue reine, elle gagnera la confiance du roi en lui révélant un complot visant à le tuer (</w:t>
      </w:r>
      <w:hyperlink r:id="rId1987">
        <w:r>
          <w:rPr>
            <w:color w:val="0000EE"/>
            <w:u w:val="single"/>
          </w:rPr>
          <w:t>Est 2.21–23</w:t>
        </w:r>
      </w:hyperlink>
      <w:r>
        <w:t>). Parce que le roi lui faisait désormais confiance, Esther a pu plus tard sauver son peuple des mains d'Haman, qui était l'un des plus importants fonctionnaires du roi. Haman avait prévu de tuer tous les Juifs.</w:t>
      </w:r>
    </w:p>
    <w:p>
      <w:r/>
      <w:r>
        <w:t>Le peuple juif a commencé une célébration spéciale appelée Pourim. Cette célébration commémore la manière dont Dieu a utilisé Esther et Mardochée pour sauver leur peuple. Les Juifs célèbrent encore Pourim chaque année.</w:t>
      </w:r>
    </w:p>
    <w:p>
      <w:r/>
      <w:r>
        <w:rPr>
          <w:i/>
        </w:rPr>
        <w:t>Voir aussi</w:t>
      </w:r>
      <w:r>
        <w:t xml:space="preserve"> </w:t>
      </w:r>
      <w:r>
        <w:t>Esther, Livre d'</w:t>
      </w:r>
      <w:r>
        <w:t>.</w:t>
      </w:r>
      <w:r/>
      <w:r/>
    </w:p>
    <w:p>
      <w:r/>
    </w:p>
    <w:p>
      <w:pPr>
        <w:pStyle w:val="Heading2"/>
      </w:pPr>
      <w:r>
        <w:t>Esther, Ajouts à</w:t>
      </w:r>
      <w:r/>
    </w:p>
    <w:p>
      <w:r/>
      <w:r>
        <w:t>Les Additions à Esther sont constitués de six passages (représentant environ 105 versets) ajoutés au texte hébreu d'Esther. L'auteur était un écrivain juif qui souhaitait ajouter une dimension théologique manquante dans le livre d'Esther. Certains chercheurs pensent que les additions ont été écrites à l'origine en grec, tandis que d'autres croient qu'elles ont été traduites de l'hébreu ou de l'araméen. La date exacte de ces ajouts est inconnue, mais la plupart suggèrent une date de 100 av. J.‑C., ce qui serait bien plus tardif que le livre original d'Esther.</w:t>
      </w:r>
    </w:p>
    <w:p>
      <w:r/>
      <w:r>
        <w:t>Voici un résumé de ces ajouts :</w:t>
      </w:r>
    </w:p>
    <w:p>
      <w:r/>
      <w:r>
        <w:t xml:space="preserve">1. </w:t>
      </w:r>
      <w:hyperlink r:id="rId4958">
        <w:r>
          <w:rPr>
            <w:color w:val="0000EE"/>
            <w:u w:val="single"/>
          </w:rPr>
          <w:t>11.2–12.6</w:t>
        </w:r>
      </w:hyperlink>
      <w:r>
        <w:t xml:space="preserve"> : Rêve de Mardochée, y compris le complot contre la vie du roi. Ce passage précède </w:t>
      </w:r>
      <w:hyperlink r:id="rId1412">
        <w:r>
          <w:rPr>
            <w:color w:val="0000EE"/>
            <w:u w:val="single"/>
          </w:rPr>
          <w:t>Esther 1.1</w:t>
        </w:r>
      </w:hyperlink>
      <w:r>
        <w:t>.</w:t>
      </w:r>
    </w:p>
    <w:p>
      <w:r/>
      <w:r>
        <w:t xml:space="preserve">2. </w:t>
      </w:r>
      <w:hyperlink r:id="rId4959">
        <w:r>
          <w:rPr>
            <w:color w:val="0000EE"/>
            <w:u w:val="single"/>
          </w:rPr>
          <w:t>13.1</w:t>
        </w:r>
      </w:hyperlink>
      <w:r>
        <w:t>–</w:t>
      </w:r>
      <w:hyperlink r:id="rId4959">
        <w:r>
          <w:rPr>
            <w:color w:val="0000EE"/>
            <w:u w:val="single"/>
          </w:rPr>
          <w:t>7</w:t>
        </w:r>
      </w:hyperlink>
      <w:r>
        <w:t xml:space="preserve"> : Édit d'Artaxerxès. Cet ajout vient après </w:t>
      </w:r>
      <w:hyperlink r:id="rId2969">
        <w:r>
          <w:rPr>
            <w:color w:val="0000EE"/>
            <w:u w:val="single"/>
          </w:rPr>
          <w:t>Esther 3.13</w:t>
        </w:r>
      </w:hyperlink>
      <w:r>
        <w:t>, où le roi est appelé Assuérus.</w:t>
      </w:r>
    </w:p>
    <w:p>
      <w:r/>
      <w:r>
        <w:t xml:space="preserve">3. </w:t>
      </w:r>
      <w:hyperlink r:id="rId4960">
        <w:r>
          <w:rPr>
            <w:color w:val="0000EE"/>
            <w:u w:val="single"/>
          </w:rPr>
          <w:t>13.8</w:t>
        </w:r>
      </w:hyperlink>
      <w:r>
        <w:t>–</w:t>
      </w:r>
      <w:hyperlink r:id="rId4960">
        <w:r>
          <w:rPr>
            <w:color w:val="0000EE"/>
            <w:u w:val="single"/>
          </w:rPr>
          <w:t>14.19</w:t>
        </w:r>
      </w:hyperlink>
      <w:r>
        <w:t xml:space="preserve"> : Prières de Mardochée et d'Esther. Ce passage devait être inclus après </w:t>
      </w:r>
      <w:hyperlink r:id="rId4961">
        <w:r>
          <w:rPr>
            <w:color w:val="0000EE"/>
            <w:u w:val="single"/>
          </w:rPr>
          <w:t>Esther 4.17</w:t>
        </w:r>
      </w:hyperlink>
      <w:r>
        <w:t>.</w:t>
      </w:r>
    </w:p>
    <w:p>
      <w:r/>
      <w:r>
        <w:t xml:space="preserve">4. </w:t>
      </w:r>
      <w:hyperlink r:id="rId4962">
        <w:r>
          <w:rPr>
            <w:color w:val="0000EE"/>
            <w:u w:val="single"/>
          </w:rPr>
          <w:t>15.1</w:t>
        </w:r>
      </w:hyperlink>
      <w:r>
        <w:t>–</w:t>
      </w:r>
      <w:hyperlink r:id="rId4962">
        <w:r>
          <w:rPr>
            <w:color w:val="0000EE"/>
            <w:u w:val="single"/>
          </w:rPr>
          <w:t>16</w:t>
        </w:r>
      </w:hyperlink>
      <w:r>
        <w:t xml:space="preserve"> : Colère du roi face à l'apparition d'Esther, suivie de son changement d'attitude. Cette section devait être ajoutée avant </w:t>
      </w:r>
      <w:hyperlink r:id="rId4963">
        <w:r>
          <w:rPr>
            <w:color w:val="0000EE"/>
            <w:u w:val="single"/>
          </w:rPr>
          <w:t>Esther 5.3</w:t>
        </w:r>
      </w:hyperlink>
      <w:r>
        <w:t xml:space="preserve"> car elle développe </w:t>
      </w:r>
      <w:hyperlink r:id="rId4964">
        <w:r>
          <w:rPr>
            <w:color w:val="0000EE"/>
            <w:u w:val="single"/>
          </w:rPr>
          <w:t>Esther 5.1</w:t>
        </w:r>
      </w:hyperlink>
      <w:r>
        <w:t>–</w:t>
      </w:r>
      <w:hyperlink r:id="rId4964">
        <w:r>
          <w:rPr>
            <w:color w:val="0000EE"/>
            <w:u w:val="single"/>
          </w:rPr>
          <w:t>2</w:t>
        </w:r>
      </w:hyperlink>
      <w:r>
        <w:t>.</w:t>
      </w:r>
    </w:p>
    <w:p>
      <w:r/>
      <w:r>
        <w:t xml:space="preserve">5. </w:t>
      </w:r>
      <w:hyperlink r:id="rId4965">
        <w:r>
          <w:rPr>
            <w:color w:val="0000EE"/>
            <w:u w:val="single"/>
          </w:rPr>
          <w:t>16.1</w:t>
        </w:r>
      </w:hyperlink>
      <w:r>
        <w:t>–</w:t>
      </w:r>
      <w:hyperlink r:id="rId4965">
        <w:r>
          <w:rPr>
            <w:color w:val="0000EE"/>
            <w:u w:val="single"/>
          </w:rPr>
          <w:t>24</w:t>
        </w:r>
      </w:hyperlink>
      <w:r>
        <w:t xml:space="preserve"> : Édit d'Assuérus concernant le peuple juif. Ces versets suivent </w:t>
      </w:r>
      <w:hyperlink r:id="rId4966">
        <w:r>
          <w:rPr>
            <w:color w:val="0000EE"/>
            <w:u w:val="single"/>
          </w:rPr>
          <w:t>Esther 8.12</w:t>
        </w:r>
      </w:hyperlink>
      <w:r>
        <w:t>.</w:t>
      </w:r>
    </w:p>
    <w:p>
      <w:r/>
      <w:r>
        <w:t xml:space="preserve">6. </w:t>
      </w:r>
      <w:hyperlink r:id="rId4967">
        <w:r>
          <w:rPr>
            <w:color w:val="0000EE"/>
            <w:u w:val="single"/>
          </w:rPr>
          <w:t>10.4–11.1</w:t>
        </w:r>
      </w:hyperlink>
      <w:r>
        <w:t xml:space="preserve"> : Interprétation du rêve de Mardochée. Cet ajout suit </w:t>
      </w:r>
      <w:hyperlink r:id="rId4968">
        <w:r>
          <w:rPr>
            <w:color w:val="0000EE"/>
            <w:u w:val="single"/>
          </w:rPr>
          <w:t>Esther 10.3</w:t>
        </w:r>
      </w:hyperlink>
      <w:r>
        <w:t>.</w:t>
      </w:r>
    </w:p>
    <w:p>
      <w:r/>
      <w:r>
        <w:t>Les ajouts présentent des divergences qui montrent qu'ils ne faisaient pas initialement partie d'Esther :</w:t>
      </w:r>
    </w:p>
    <w:p>
      <w:pPr>
        <w:pStyle w:val="ListBullet"/>
        <w:spacing w:line="240" w:lineRule="auto"/>
        <w:ind w:left="720"/>
      </w:pPr>
      <w:r/>
      <w:r>
        <w:t xml:space="preserve">Comparez </w:t>
      </w:r>
      <w:hyperlink r:id="rId4969">
        <w:r>
          <w:rPr>
            <w:color w:val="0000EE"/>
            <w:u w:val="single"/>
          </w:rPr>
          <w:t>Esther 1.19</w:t>
        </w:r>
      </w:hyperlink>
      <w:r>
        <w:t xml:space="preserve"> et </w:t>
      </w:r>
      <w:hyperlink r:id="rId4970">
        <w:r>
          <w:rPr>
            <w:color w:val="0000EE"/>
            <w:u w:val="single"/>
          </w:rPr>
          <w:t>8.8</w:t>
        </w:r>
      </w:hyperlink>
      <w:r>
        <w:t xml:space="preserve"> avec </w:t>
      </w:r>
      <w:hyperlink r:id="rId4971">
        <w:r>
          <w:rPr>
            <w:color w:val="0000EE"/>
            <w:u w:val="single"/>
          </w:rPr>
          <w:t>16.17</w:t>
        </w:r>
      </w:hyperlink>
    </w:p>
    <w:p>
      <w:pPr>
        <w:pStyle w:val="ListBullet"/>
        <w:spacing w:line="240" w:lineRule="auto"/>
        <w:ind w:left="720"/>
      </w:pPr>
      <w:r/>
      <w:r>
        <w:t xml:space="preserve">Comparez </w:t>
      </w:r>
      <w:hyperlink r:id="rId4972">
        <w:r>
          <w:rPr>
            <w:color w:val="0000EE"/>
            <w:u w:val="single"/>
          </w:rPr>
          <w:t>Esther 2.15</w:t>
        </w:r>
      </w:hyperlink>
      <w:r>
        <w:t>–</w:t>
      </w:r>
      <w:hyperlink r:id="rId4972">
        <w:r>
          <w:rPr>
            <w:color w:val="0000EE"/>
            <w:u w:val="single"/>
          </w:rPr>
          <w:t>18</w:t>
        </w:r>
      </w:hyperlink>
      <w:r>
        <w:t xml:space="preserve"> avec </w:t>
      </w:r>
      <w:hyperlink r:id="rId4973">
        <w:r>
          <w:rPr>
            <w:color w:val="0000EE"/>
            <w:u w:val="single"/>
          </w:rPr>
          <w:t>14.15</w:t>
        </w:r>
      </w:hyperlink>
    </w:p>
    <w:p>
      <w:pPr>
        <w:pStyle w:val="ListBullet"/>
        <w:spacing w:line="240" w:lineRule="auto"/>
        <w:ind w:left="720"/>
      </w:pPr>
      <w:r/>
      <w:r>
        <w:t xml:space="preserve">Comparez </w:t>
      </w:r>
      <w:hyperlink r:id="rId4974">
        <w:r>
          <w:rPr>
            <w:color w:val="0000EE"/>
            <w:u w:val="single"/>
          </w:rPr>
          <w:t>Esther 2.16</w:t>
        </w:r>
      </w:hyperlink>
      <w:r>
        <w:t>–</w:t>
      </w:r>
      <w:hyperlink r:id="rId4974">
        <w:r>
          <w:rPr>
            <w:color w:val="0000EE"/>
            <w:u w:val="single"/>
          </w:rPr>
          <w:t>19</w:t>
        </w:r>
      </w:hyperlink>
      <w:r>
        <w:t xml:space="preserve"> avec </w:t>
      </w:r>
      <w:hyperlink r:id="rId4975">
        <w:r>
          <w:rPr>
            <w:color w:val="0000EE"/>
            <w:u w:val="single"/>
          </w:rPr>
          <w:t>11.3–12.1</w:t>
        </w:r>
      </w:hyperlink>
    </w:p>
    <w:p>
      <w:pPr>
        <w:pStyle w:val="ListBullet"/>
        <w:spacing w:line="240" w:lineRule="auto"/>
        <w:ind w:left="720"/>
      </w:pPr>
      <w:r/>
      <w:r>
        <w:t xml:space="preserve">Comparez </w:t>
      </w:r>
      <w:hyperlink r:id="rId1987">
        <w:r>
          <w:rPr>
            <w:color w:val="0000EE"/>
            <w:u w:val="single"/>
          </w:rPr>
          <w:t>Esther 2.21</w:t>
        </w:r>
      </w:hyperlink>
      <w:r>
        <w:t>–</w:t>
      </w:r>
      <w:hyperlink r:id="rId1987">
        <w:r>
          <w:rPr>
            <w:color w:val="0000EE"/>
            <w:u w:val="single"/>
          </w:rPr>
          <w:t>23</w:t>
        </w:r>
      </w:hyperlink>
      <w:r>
        <w:t xml:space="preserve"> et </w:t>
      </w:r>
      <w:hyperlink r:id="rId4976">
        <w:r>
          <w:rPr>
            <w:color w:val="0000EE"/>
            <w:u w:val="single"/>
          </w:rPr>
          <w:t>6.3</w:t>
        </w:r>
      </w:hyperlink>
      <w:r>
        <w:t>–</w:t>
      </w:r>
      <w:hyperlink r:id="rId4976">
        <w:r>
          <w:rPr>
            <w:color w:val="0000EE"/>
            <w:u w:val="single"/>
          </w:rPr>
          <w:t>4</w:t>
        </w:r>
      </w:hyperlink>
      <w:r>
        <w:t xml:space="preserve"> avec </w:t>
      </w:r>
      <w:hyperlink r:id="rId4977">
        <w:r>
          <w:rPr>
            <w:color w:val="0000EE"/>
            <w:u w:val="single"/>
          </w:rPr>
          <w:t>12.5</w:t>
        </w:r>
      </w:hyperlink>
    </w:p>
    <w:p>
      <w:pPr>
        <w:pStyle w:val="ListBullet"/>
        <w:spacing w:line="240" w:lineRule="auto"/>
        <w:ind w:left="720"/>
      </w:pPr>
      <w:r/>
      <w:r>
        <w:t xml:space="preserve">Comparez </w:t>
      </w:r>
      <w:hyperlink r:id="rId386">
        <w:r>
          <w:rPr>
            <w:color w:val="0000EE"/>
            <w:u w:val="single"/>
          </w:rPr>
          <w:t>Esther 3.1</w:t>
        </w:r>
      </w:hyperlink>
      <w:r>
        <w:t xml:space="preserve"> avec </w:t>
      </w:r>
      <w:hyperlink r:id="rId4978">
        <w:r>
          <w:rPr>
            <w:color w:val="0000EE"/>
            <w:u w:val="single"/>
          </w:rPr>
          <w:t>16.10</w:t>
        </w:r>
      </w:hyperlink>
    </w:p>
    <w:p>
      <w:pPr>
        <w:pStyle w:val="ListBullet"/>
        <w:spacing w:line="240" w:lineRule="auto"/>
        <w:ind w:left="720"/>
      </w:pPr>
      <w:r/>
      <w:r>
        <w:t xml:space="preserve">Comparez </w:t>
      </w:r>
      <w:hyperlink r:id="rId4979">
        <w:r>
          <w:rPr>
            <w:color w:val="0000EE"/>
            <w:u w:val="single"/>
          </w:rPr>
          <w:t>Esther 3.5</w:t>
        </w:r>
      </w:hyperlink>
      <w:r>
        <w:t xml:space="preserve"> avec </w:t>
      </w:r>
      <w:hyperlink r:id="rId4980">
        <w:r>
          <w:rPr>
            <w:color w:val="0000EE"/>
            <w:u w:val="single"/>
          </w:rPr>
          <w:t>12.6</w:t>
        </w:r>
      </w:hyperlink>
    </w:p>
    <w:p>
      <w:pPr>
        <w:pStyle w:val="ListBullet"/>
        <w:spacing w:line="240" w:lineRule="auto"/>
        <w:ind w:left="720"/>
      </w:pPr>
      <w:r/>
      <w:r>
        <w:t xml:space="preserve">Comparez </w:t>
      </w:r>
      <w:hyperlink r:id="rId1630">
        <w:r>
          <w:rPr>
            <w:color w:val="0000EE"/>
            <w:u w:val="single"/>
          </w:rPr>
          <w:t>Esther 5.4–8</w:t>
        </w:r>
      </w:hyperlink>
      <w:r>
        <w:t xml:space="preserve"> avec </w:t>
      </w:r>
      <w:hyperlink r:id="rId4981">
        <w:r>
          <w:rPr>
            <w:color w:val="0000EE"/>
            <w:u w:val="single"/>
          </w:rPr>
          <w:t>14.7</w:t>
        </w:r>
      </w:hyperlink>
    </w:p>
    <w:p>
      <w:pPr>
        <w:pStyle w:val="ListBullet"/>
        <w:spacing w:line="240" w:lineRule="auto"/>
        <w:ind w:left="720"/>
      </w:pPr>
      <w:r/>
      <w:r>
        <w:t xml:space="preserve">Comparez </w:t>
      </w:r>
      <w:hyperlink r:id="rId4982">
        <w:r>
          <w:rPr>
            <w:color w:val="0000EE"/>
            <w:u w:val="single"/>
          </w:rPr>
          <w:t>Esther 7.10</w:t>
        </w:r>
      </w:hyperlink>
      <w:r>
        <w:t xml:space="preserve"> avec </w:t>
      </w:r>
      <w:hyperlink r:id="rId4983">
        <w:r>
          <w:rPr>
            <w:color w:val="0000EE"/>
            <w:u w:val="single"/>
          </w:rPr>
          <w:t>16.18</w:t>
        </w:r>
      </w:hyperlink>
    </w:p>
    <w:p>
      <w:pPr>
        <w:pStyle w:val="ListBullet"/>
        <w:spacing w:line="240" w:lineRule="auto"/>
        <w:ind w:left="720"/>
      </w:pPr>
      <w:r/>
      <w:r>
        <w:t xml:space="preserve">Comparez </w:t>
      </w:r>
      <w:hyperlink r:id="rId4984">
        <w:r>
          <w:rPr>
            <w:color w:val="0000EE"/>
            <w:u w:val="single"/>
          </w:rPr>
          <w:t>Esther 9.20</w:t>
        </w:r>
      </w:hyperlink>
      <w:r>
        <w:t>–</w:t>
      </w:r>
      <w:hyperlink r:id="rId4984">
        <w:r>
          <w:rPr>
            <w:color w:val="0000EE"/>
            <w:u w:val="single"/>
          </w:rPr>
          <w:t>32</w:t>
        </w:r>
      </w:hyperlink>
      <w:r>
        <w:t xml:space="preserve"> avec </w:t>
      </w:r>
      <w:hyperlink r:id="rId4985">
        <w:r>
          <w:rPr>
            <w:color w:val="0000EE"/>
            <w:u w:val="single"/>
          </w:rPr>
          <w:t>16.22</w:t>
        </w:r>
      </w:hyperlink>
    </w:p>
    <w:p>
      <w:r/>
      <w:r>
        <w:t>La Septante (une traduction grecque de l'Ancien Testament) et les textes de l'Ancien Latin incluaient ces ajouts à Esther. Jérôme, un érudit chrétien du IVe siècle, a placé les ajouts en annexe dans la Vulgate, sa traduction latine de la Bible.</w:t>
      </w:r>
      <w:r/>
      <w:r/>
    </w:p>
    <w:p>
      <w:r/>
    </w:p>
    <w:p>
      <w:pPr>
        <w:pStyle w:val="Heading2"/>
      </w:pPr>
      <w:r>
        <w:t>Étang de feu</w:t>
      </w:r>
      <w:r/>
    </w:p>
    <w:p>
      <w:r/>
      <w:r>
        <w:t>L'endroit dans lequel Satan, ses serviteurs et les personnes qui refusent de se détourner du mal seront jetés et où ils passeront l'éternité.</w:t>
      </w:r>
    </w:p>
    <w:p>
      <w:r/>
      <w:r>
        <w:t>La Bible ne mentionne l'étang de feu que dans l'Apocalypse (</w:t>
      </w:r>
      <w:hyperlink r:id="rId4986">
        <w:r>
          <w:rPr>
            <w:color w:val="0000EE"/>
            <w:u w:val="single"/>
          </w:rPr>
          <w:t>Ap 19.20</w:t>
        </w:r>
      </w:hyperlink>
      <w:r>
        <w:t xml:space="preserve"> ; </w:t>
      </w:r>
      <w:hyperlink r:id="rId4987">
        <w:r>
          <w:rPr>
            <w:color w:val="0000EE"/>
            <w:u w:val="single"/>
          </w:rPr>
          <w:t>20.10, 14–15</w:t>
        </w:r>
      </w:hyperlink>
      <w:r>
        <w:t xml:space="preserve"> ; </w:t>
      </w:r>
      <w:hyperlink r:id="rId4662">
        <w:r>
          <w:rPr>
            <w:color w:val="0000EE"/>
            <w:u w:val="single"/>
          </w:rPr>
          <w:t>21.8</w:t>
        </w:r>
      </w:hyperlink>
      <w:r>
        <w:t xml:space="preserve">). Il est décrit comme un </w:t>
      </w:r>
      <w:r>
        <w:t>étang ardent de feu et de soufre</w:t>
      </w:r>
      <w:r>
        <w:t>. Un certain nombre de créatures seront jetées dans l'étang de feu au jugement dernier : (1) la bête et son faux prophète, que Jésus (l'Agneau) vaincra, (2) Satan après sa dernière rébellion, (3) la mort et l'Hadès (le séjour des morts) et (4) toutes les personnes dont les noms ne sont pas écrits dans le « livre de vie ».</w:t>
      </w:r>
    </w:p>
    <w:p>
      <w:r/>
      <w:r>
        <w:t>Ce jugement est appelé la seconde mort. Après la résurrection et le jugement dernier, ceux qui seront jetés dans l'étang de feu seront séparés de Dieu à jamais.</w:t>
      </w:r>
    </w:p>
    <w:p>
      <w:r/>
      <w:r>
        <w:t>L'étang de feu est probablement l'endroit que Jésus appelle la géhenne (</w:t>
      </w:r>
      <w:hyperlink r:id="rId686">
        <w:r>
          <w:rPr>
            <w:color w:val="0000EE"/>
            <w:u w:val="single"/>
          </w:rPr>
          <w:t>Mt 10.28</w:t>
        </w:r>
      </w:hyperlink>
      <w:r>
        <w:t xml:space="preserve"> ; </w:t>
      </w:r>
      <w:hyperlink r:id="rId4988">
        <w:r>
          <w:rPr>
            <w:color w:val="0000EE"/>
            <w:u w:val="single"/>
          </w:rPr>
          <w:t>Mc 9.43</w:t>
        </w:r>
      </w:hyperlink>
      <w:r>
        <w:t xml:space="preserve"> ; </w:t>
      </w:r>
      <w:hyperlink r:id="rId687">
        <w:r>
          <w:rPr>
            <w:color w:val="0000EE"/>
            <w:u w:val="single"/>
          </w:rPr>
          <w:t>Lc 12.5</w:t>
        </w:r>
      </w:hyperlink>
      <w:r>
        <w:t>), les « ténèbres du dehors » (</w:t>
      </w:r>
      <w:hyperlink r:id="rId4661">
        <w:r>
          <w:rPr>
            <w:color w:val="0000EE"/>
            <w:u w:val="single"/>
          </w:rPr>
          <w:t>Mt 8.12</w:t>
        </w:r>
      </w:hyperlink>
      <w:r>
        <w:t xml:space="preserve"> ; </w:t>
      </w:r>
      <w:hyperlink r:id="rId4989">
        <w:r>
          <w:rPr>
            <w:color w:val="0000EE"/>
            <w:u w:val="single"/>
          </w:rPr>
          <w:t>22.13</w:t>
        </w:r>
      </w:hyperlink>
      <w:r>
        <w:t xml:space="preserve"> ; </w:t>
      </w:r>
      <w:hyperlink r:id="rId4990">
        <w:r>
          <w:rPr>
            <w:color w:val="0000EE"/>
            <w:u w:val="single"/>
          </w:rPr>
          <w:t>25.30</w:t>
        </w:r>
      </w:hyperlink>
      <w:r>
        <w:t>) et le feu éternel préparé pour le diable et ses anges (</w:t>
      </w:r>
      <w:hyperlink r:id="rId4663">
        <w:r>
          <w:rPr>
            <w:color w:val="0000EE"/>
            <w:u w:val="single"/>
          </w:rPr>
          <w:t>Mt 25.41</w:t>
        </w:r>
      </w:hyperlink>
      <w:r>
        <w:t xml:space="preserve"> ; voir </w:t>
      </w:r>
      <w:hyperlink r:id="rId4991">
        <w:r>
          <w:rPr>
            <w:color w:val="0000EE"/>
            <w:u w:val="single"/>
          </w:rPr>
          <w:t>Es 66.24</w:t>
        </w:r>
      </w:hyperlink>
      <w:r>
        <w:t>). Ces représentations du lieu éternel de jugement sont inspirées de deux sources : les feux qui brûlaient dans la vallée de Hinnom près de Jérusalem et peut-être le torrent de souffre ou fleuve de feu qui coule devant le trône de Dieu (</w:t>
      </w:r>
      <w:hyperlink r:id="rId4992">
        <w:r>
          <w:rPr>
            <w:color w:val="0000EE"/>
            <w:u w:val="single"/>
          </w:rPr>
          <w:t>Es 30.33</w:t>
        </w:r>
      </w:hyperlink>
      <w:r>
        <w:t xml:space="preserve"> ; </w:t>
      </w:r>
      <w:hyperlink r:id="rId4993">
        <w:r>
          <w:rPr>
            <w:color w:val="0000EE"/>
            <w:u w:val="single"/>
          </w:rPr>
          <w:t>Dn 7.10</w:t>
        </w:r>
      </w:hyperlink>
      <w:r>
        <w:t xml:space="preserve"> ; voir </w:t>
      </w:r>
      <w:hyperlink r:id="rId4994">
        <w:r>
          <w:rPr>
            <w:color w:val="0000EE"/>
            <w:u w:val="single"/>
          </w:rPr>
          <w:t>Es 34.9–10</w:t>
        </w:r>
      </w:hyperlink>
      <w:r>
        <w:t>).</w:t>
      </w:r>
    </w:p>
    <w:p>
      <w:r/>
      <w:r>
        <w:t xml:space="preserve">Ces représentations du lieu de jugement étaient familières aux auteurs juifs ou chrétiens (voir p. ex. l'Assomption de Moïse 10.10 ; </w:t>
      </w:r>
      <w:hyperlink r:id="rId4995">
        <w:r>
          <w:rPr>
            <w:color w:val="0000EE"/>
            <w:u w:val="single"/>
          </w:rPr>
          <w:t>2 Esd 7.36</w:t>
        </w:r>
      </w:hyperlink>
      <w:r>
        <w:t>). Même si les images et les noms de cet endroit sont parfois un peu différents les uns des autres, tous décrivent la même chose : un lieu où ceux qui rejettent Dieu seront séparés de lui et souffriront pour toujours.</w:t>
      </w:r>
    </w:p>
    <w:p>
      <w:r/>
      <w:r>
        <w:rPr>
          <w:i/>
        </w:rPr>
        <w:t>Voir aussi</w:t>
      </w:r>
      <w:r>
        <w:t xml:space="preserve"> </w:t>
      </w:r>
      <w:r>
        <w:t>géhenne</w:t>
      </w:r>
      <w:r>
        <w:t xml:space="preserve"> ; </w:t>
      </w:r>
      <w:r>
        <w:t>jugement dernier</w:t>
      </w:r>
      <w:r>
        <w:t>.</w:t>
      </w:r>
      <w:r/>
      <w:r/>
    </w:p>
    <w:p>
      <w:r/>
    </w:p>
    <w:p>
      <w:pPr>
        <w:pStyle w:val="Heading2"/>
      </w:pPr>
      <w:r>
        <w:t>État intermédiaire</w:t>
      </w:r>
      <w:r/>
    </w:p>
    <w:p>
      <w:r/>
      <w:r>
        <w:t xml:space="preserve">État de la personne humaine après sa mort et avant la résurrection finale. En d'autres termes, que se passe-t-il pour une personne lorsqu'elle meurt avant la résurrection ? Un tel enseignement est plus développé dans le Nouveau Testament que dans l'Ancien Testament. Il s'agit toutefois d'une erreur de penser que la référence à l'état intermédiaire est complètement absente dans l'Ancien Testament (voir par exemple </w:t>
      </w:r>
      <w:hyperlink r:id="rId4996">
        <w:r>
          <w:rPr>
            <w:color w:val="0000EE"/>
            <w:u w:val="single"/>
          </w:rPr>
          <w:t>Jb 19.25</w:t>
        </w:r>
      </w:hyperlink>
      <w:r>
        <w:t>).</w:t>
      </w:r>
    </w:p>
    <w:p>
      <w:pPr>
        <w:pStyle w:val="Heading3"/>
      </w:pPr>
      <w:r>
        <w:t>Que dit la Bible sur l'état intermédiaire ?</w:t>
      </w:r>
    </w:p>
    <w:p>
      <w:r/>
      <w:r>
        <w:t>Selon Christ, l'état intermédiaire se déduit de textes tels qu'</w:t>
      </w:r>
      <w:hyperlink r:id="rId639">
        <w:r>
          <w:rPr>
            <w:color w:val="0000EE"/>
            <w:u w:val="single"/>
          </w:rPr>
          <w:t>Exode 3.6</w:t>
        </w:r>
      </w:hyperlink>
      <w:r>
        <w:t xml:space="preserve"> (voir </w:t>
      </w:r>
      <w:hyperlink r:id="rId4997">
        <w:r>
          <w:rPr>
            <w:color w:val="0000EE"/>
            <w:u w:val="single"/>
          </w:rPr>
          <w:t>Mt 22.32</w:t>
        </w:r>
      </w:hyperlink>
      <w:r>
        <w:t xml:space="preserve">). Même dans le Nouveau Testament, une vision de l'état intermédiaire n'est pas donnée clairement. Il est suggéré par l'enseignement sur la mort physique et la résurrection de toutes les personnes, mais principalement celle des croyants. Christ l'enseigne lui-même dans </w:t>
      </w:r>
      <w:hyperlink r:id="rId4998">
        <w:r>
          <w:rPr>
            <w:color w:val="0000EE"/>
            <w:u w:val="single"/>
          </w:rPr>
          <w:t>Matthieu 22.30–32</w:t>
        </w:r>
      </w:hyperlink>
      <w:r>
        <w:t xml:space="preserve">. Les apôtres, en particulier Paul, l'enseignent dans </w:t>
      </w:r>
      <w:hyperlink r:id="rId3287">
        <w:r>
          <w:rPr>
            <w:color w:val="0000EE"/>
            <w:u w:val="single"/>
          </w:rPr>
          <w:t>1 Corinthiens 15</w:t>
        </w:r>
      </w:hyperlink>
      <w:r>
        <w:t xml:space="preserve"> par exemple.</w:t>
      </w:r>
    </w:p>
    <w:p>
      <w:r/>
      <w:r>
        <w:t>De plus, la Bible enseigne qu'un être humain est une unité d'âme et de corps et non simplement une âme qui se trouve avoir un corps (</w:t>
      </w:r>
      <w:hyperlink r:id="rId233">
        <w:r>
          <w:rPr>
            <w:color w:val="0000EE"/>
            <w:u w:val="single"/>
          </w:rPr>
          <w:t>Gn 2.7</w:t>
        </w:r>
      </w:hyperlink>
      <w:r>
        <w:t>). Ceci nous fournit des informations sur ce qui arrive à une personne après la mort. À partir de ces détails, deux conclusions peuvent être tirées sur l'état intermédiaire.</w:t>
      </w:r>
    </w:p>
    <w:p>
      <w:pPr>
        <w:pStyle w:val="ListNumber"/>
        <w:spacing w:line="240" w:lineRule="auto"/>
        <w:ind w:left="720"/>
      </w:pPr>
      <w:r/>
      <w:r>
        <w:t>La mort physique n'est pas la fin totale de la vie de l'individu. La personne continue de vivre après cela, non seulement dans les souvenirs de ceux qui survivent, mais en tant que personnalité distincte. Dans le cas des croyants, ils sont conscients de la présence aimante de Dieu (</w:t>
      </w:r>
      <w:hyperlink r:id="rId3097">
        <w:r>
          <w:rPr>
            <w:color w:val="0000EE"/>
            <w:u w:val="single"/>
          </w:rPr>
          <w:t>Ph 1.23</w:t>
        </w:r>
      </w:hyperlink>
      <w:r>
        <w:t>).</w:t>
      </w:r>
    </w:p>
    <w:p>
      <w:pPr>
        <w:pStyle w:val="ListNumber"/>
        <w:spacing w:line="240" w:lineRule="auto"/>
        <w:ind w:left="720"/>
      </w:pPr>
      <w:r/>
      <w:r>
        <w:t>Ce n'est pas pour une telle existence que les humains ont été conçus. Celle-ci est incomplète ou inhabituelle, car avoir un corps est essentiel pour être à l'image de Dieu. L'individu, survivant à la mort, attend la résurrection du corps. Dans le cas d'un chrétien, il connaîtra une rédemption complète, un état de liberté totale du péché en présence de Christ (</w:t>
      </w:r>
      <w:hyperlink r:id="rId4999">
        <w:r>
          <w:rPr>
            <w:color w:val="0000EE"/>
            <w:u w:val="single"/>
          </w:rPr>
          <w:t>1Co 15.50–58</w:t>
        </w:r>
      </w:hyperlink>
      <w:r>
        <w:t>).</w:t>
      </w:r>
    </w:p>
    <w:p>
      <w:r/>
      <w:r>
        <w:t xml:space="preserve">Les données bibliques sont moins claires pour ce qu'il en est de l'état intermédiaire dans le cas de ceux qui ne sont pas chrétiens. Ceci inclut le passage difficile concernant Christ et sa prédication aux « esprits en prison » dans </w:t>
      </w:r>
      <w:hyperlink r:id="rId5000">
        <w:r>
          <w:rPr>
            <w:color w:val="0000EE"/>
            <w:u w:val="single"/>
          </w:rPr>
          <w:t>1 Pierre 3.19–20</w:t>
        </w:r>
      </w:hyperlink>
      <w:r>
        <w:t>.</w:t>
      </w:r>
    </w:p>
    <w:p>
      <w:pPr>
        <w:pStyle w:val="Heading3"/>
      </w:pPr>
      <w:r>
        <w:t>À quoi ressemble l'état intermédiaire ?</w:t>
      </w:r>
    </w:p>
    <w:p>
      <w:r/>
      <w:r>
        <w:t xml:space="preserve">Les Écritures sont limitées dans la manière dont elles montrent à quoi ressemble la vie dans l'état intermédiaire. Dans </w:t>
      </w:r>
      <w:hyperlink r:id="rId3097">
        <w:r>
          <w:rPr>
            <w:color w:val="0000EE"/>
            <w:u w:val="single"/>
          </w:rPr>
          <w:t xml:space="preserve">Philippiens 1.23, </w:t>
        </w:r>
      </w:hyperlink>
      <w:r>
        <w:t xml:space="preserve">Paul dit de lui-même qu'après sa mort, il sera « </w:t>
      </w:r>
      <w:r>
        <w:t>avec Christ, ce qui de beaucoup est le meilleur</w:t>
      </w:r>
      <w:r>
        <w:t xml:space="preserve"> », mais il ne donne aucun détail. Il n'est pas sage de chercher ces détails dans des incidents bibliques tels que celui de Saül avec la « sorcière d'En-Dor » (</w:t>
      </w:r>
      <w:hyperlink r:id="rId5001">
        <w:r>
          <w:rPr>
            <w:color w:val="0000EE"/>
            <w:u w:val="single"/>
          </w:rPr>
          <w:t>1S 28.7</w:t>
        </w:r>
      </w:hyperlink>
      <w:r>
        <w:t>). Une médium est une personne qui communique avec les êtres humains dans le monde spirituel. Ce texte connaît de nombreuses interprétations différentes.</w:t>
      </w:r>
    </w:p>
    <w:p>
      <w:r/>
      <w:r>
        <w:t xml:space="preserve">La parabole de Christ sur Lazare et l'homme riche dans </w:t>
      </w:r>
      <w:hyperlink r:id="rId5002">
        <w:r>
          <w:rPr>
            <w:color w:val="0000EE"/>
            <w:u w:val="single"/>
          </w:rPr>
          <w:t>Luc 16.19–31</w:t>
        </w:r>
      </w:hyperlink>
      <w:r>
        <w:t xml:space="preserve"> est également difficile en raison de son caractère symbolique. Le but de cette parabole est d'enseigner l'importance de la vie présente pour la destinée éternelle d'une personne. Elle doit être abordée avec prudence. Peut-être que le plus que l'on puisse dire est que les morts en Christ sont « immédiatement avec Dieu ». Ils reposent dans sa présence aimante jusqu'à la résurrection. Les personnes qui ne sont pas sauvées se trouvent dans une condition inconfortable en attendant leur résurrection pour le jugement (</w:t>
      </w:r>
      <w:hyperlink r:id="rId5003">
        <w:r>
          <w:rPr>
            <w:color w:val="0000EE"/>
            <w:u w:val="single"/>
          </w:rPr>
          <w:t>Jn 5.29</w:t>
        </w:r>
      </w:hyperlink>
      <w:r>
        <w:t>).</w:t>
      </w:r>
    </w:p>
    <w:p>
      <w:pPr>
        <w:pStyle w:val="Heading3"/>
      </w:pPr>
      <w:r>
        <w:t>L'État intermédiaire dans la pensée chrétienne</w:t>
      </w:r>
    </w:p>
    <w:p>
      <w:r/>
      <w:r>
        <w:t>Tout au long de l'histoire, les chrétiens ont examiné trois idées principales pour mieux comprendre ce que la Bible enseigne sur le temps entre la mort d'une personne et le jugement final :</w:t>
      </w:r>
    </w:p>
    <w:p>
      <w:pPr>
        <w:pStyle w:val="ListNumber"/>
        <w:spacing w:line="240" w:lineRule="auto"/>
        <w:ind w:left="720"/>
      </w:pPr>
      <w:r/>
      <w:r>
        <w:t>Les philosophes grecs, en particulier Platon, ont influencé la manière dont certains chrétiens perçoivent la foi. Cette influence s'est manifestée à de nombreuses reprises au cours de l'histoire chrétienne. La pensée platonicienne sépare le corps physique, considéré comme mauvais, de l'âme, jugée bonne.</w:t>
      </w:r>
    </w:p>
    <w:p>
      <w:r/>
      <w:r>
        <w:t>La Bible inclut l'enseignement de Paul sur la différence entre la chair (corps physique) et l'esprit. Certaines personnes ont mal compris ce que Paul voulait dire à ce sujet. Elles se concentraient trop sur l'âme et pas suffisamment sur le corps.</w:t>
      </w:r>
    </w:p>
    <w:p>
      <w:r/>
      <w:r>
        <w:t>Ce malentendu a conduit à deux problèmes :</w:t>
      </w:r>
    </w:p>
    <w:p>
      <w:pPr>
        <w:pStyle w:val="ListNumber"/>
        <w:spacing w:line="240" w:lineRule="auto"/>
        <w:ind w:left="1440"/>
      </w:pPr>
      <w:r/>
      <w:r>
        <w:t>Les gens ont moins prêté attention à l'enseignement de la Bible selon lequel Dieu ressuscitera les morts.</w:t>
      </w:r>
    </w:p>
    <w:p>
      <w:pPr>
        <w:pStyle w:val="ListNumber"/>
        <w:spacing w:line="240" w:lineRule="auto"/>
        <w:ind w:left="1440"/>
      </w:pPr>
      <w:r/>
      <w:r>
        <w:t>Certaines personnes ont complètement ignoré que cette résurrection des morts se produira à la fin des temps.</w:t>
      </w:r>
    </w:p>
    <w:p>
      <w:r/>
      <w:r>
        <w:t>Les personnes qui adhèrent aux idées de Platon croient que :</w:t>
      </w:r>
    </w:p>
    <w:p>
      <w:pPr>
        <w:pStyle w:val="ListBullet"/>
        <w:spacing w:line="240" w:lineRule="auto"/>
        <w:ind w:left="1440"/>
      </w:pPr>
      <w:r/>
      <w:r>
        <w:t>Les choses physiques sont moins importantes que les choses spirituelles.</w:t>
      </w:r>
    </w:p>
    <w:p>
      <w:pPr>
        <w:pStyle w:val="ListBullet"/>
        <w:spacing w:line="240" w:lineRule="auto"/>
        <w:ind w:left="1440"/>
      </w:pPr>
      <w:r/>
      <w:r>
        <w:t>L'âme est plus importante que le corps.</w:t>
      </w:r>
    </w:p>
    <w:p>
      <w:pPr>
        <w:pStyle w:val="ListBullet"/>
        <w:spacing w:line="240" w:lineRule="auto"/>
        <w:ind w:left="1440"/>
      </w:pPr>
      <w:r/>
      <w:r>
        <w:t>La résurrection physique des corps morts n'est pas très importante.</w:t>
      </w:r>
    </w:p>
    <w:p>
      <w:r/>
      <w:r>
        <w:t>La croyance selon laquelle l'âme vit sans corps après la mort est parfois utilisée à la place de l'idée d'un état temporaire avant la résurrection. Cependant, il n'y a pas de soutien clair pour cette croyance dans la Bible. Dans la théologie moderne, il y a une tendance à minimiser les aspects historiques de la foi, de la même manière que les gens avaient l'habitude de minimiser le corps physique. Cela conduit souvent à rendre la vie après la mort uniquement spirituelle ou même à la nier complètement. Cependant, la Bible indique clairement que l'état intermédiaire est une période entre deux formes de possession d'un corps : nos corps physiques actuels et le « corps spirituel » (</w:t>
      </w:r>
      <w:hyperlink r:id="rId5004">
        <w:r>
          <w:rPr>
            <w:color w:val="0000EE"/>
            <w:u w:val="single"/>
          </w:rPr>
          <w:t>1Co 15.44</w:t>
        </w:r>
      </w:hyperlink>
      <w:r>
        <w:t>). La deuxième phase se produit lors de la seconde venue de Christ (</w:t>
      </w:r>
      <w:hyperlink r:id="rId5005">
        <w:r>
          <w:rPr>
            <w:color w:val="0000EE"/>
            <w:u w:val="single"/>
          </w:rPr>
          <w:t>15.23</w:t>
        </w:r>
      </w:hyperlink>
      <w:r>
        <w:t>).</w:t>
      </w:r>
    </w:p>
    <w:p>
      <w:pPr>
        <w:pStyle w:val="ListNumber"/>
        <w:spacing w:line="240" w:lineRule="auto"/>
        <w:ind w:left="720"/>
      </w:pPr>
      <w:r/>
      <w:r>
        <w:t>Au cours de la Réforme, une controverse a éclaté entre Jean Calvin et certains anabaptistes au sujet du « sommeil de l'âme ». Calvin croyait fermement que l'état intermédiaire est un état de conscience de la présence de Dieu, ce que niaient ses opposants. Pour Calvin, une telle négation équivalait à soutenir que l'âme est détruite lors de la mort, comme nier que Christ exerce son règne sur les morts avant qu'ils ne soient ressuscités. La vision de Calvin est soutenue par la déclaration de Paul selon laquelle rien ne sépare le croyant de l'amour de Dieu. « Rien » signifie que même la mort ne peut nous séparer de l'amour de Dieu (</w:t>
      </w:r>
      <w:hyperlink r:id="rId5006">
        <w:r>
          <w:rPr>
            <w:color w:val="0000EE"/>
            <w:u w:val="single"/>
          </w:rPr>
          <w:t>Rm 8.35–39</w:t>
        </w:r>
      </w:hyperlink>
      <w:r>
        <w:t>).</w:t>
      </w:r>
    </w:p>
    <w:p>
      <w:r/>
      <w:r>
        <w:t>L'enseignement biblique selon lequel, lors de sa mort, le croyant « dort » (</w:t>
      </w:r>
      <w:hyperlink r:id="rId5007">
        <w:r>
          <w:rPr>
            <w:color w:val="0000EE"/>
            <w:u w:val="single"/>
          </w:rPr>
          <w:t>1Th 4.14</w:t>
        </w:r>
      </w:hyperlink>
      <w:r>
        <w:t>) est interprété comme signifiant que les morts ne communiquent plus avec les vivants sur terre et ne s'impliquent plus dans le travail, mais se trouvent dans un état de repos. « S'endormir en Jésus » signifie profiter de la présence de Christ dans un état désincarné. La comparaison la plus proche est celle d'une personne rêvant qui peut être consciente mais ne dépend du fonctionnement d'aucun des sens du corps.</w:t>
      </w:r>
    </w:p>
    <w:p>
      <w:pPr>
        <w:pStyle w:val="ListNumber"/>
        <w:spacing w:line="240" w:lineRule="auto"/>
        <w:ind w:left="720"/>
      </w:pPr>
      <w:r/>
      <w:r>
        <w:t>L'être humain peut-il changer spirituellement après sa mort, ou son état spirituel est-il permanent au moment de sa mort ? Cette question comprend trois parties principales :</w:t>
      </w:r>
    </w:p>
    <w:p>
      <w:pPr>
        <w:pStyle w:val="ListBullet"/>
        <w:spacing w:line="240" w:lineRule="auto"/>
        <w:ind w:left="1440"/>
      </w:pPr>
      <w:r/>
      <w:r>
        <w:t>L'être humain peut-il se détourner de son péché (se repentir) après la mort ?</w:t>
      </w:r>
    </w:p>
    <w:p>
      <w:pPr>
        <w:pStyle w:val="ListBullet"/>
        <w:spacing w:line="240" w:lineRule="auto"/>
        <w:ind w:left="1440"/>
      </w:pPr>
      <w:r/>
      <w:r>
        <w:t>L'être humain peut-il se rapprocher de Dieu après la mort ?</w:t>
      </w:r>
    </w:p>
    <w:p>
      <w:pPr>
        <w:pStyle w:val="ListBullet"/>
        <w:spacing w:line="240" w:lineRule="auto"/>
        <w:ind w:left="1440"/>
      </w:pPr>
      <w:r/>
      <w:r>
        <w:t>L'être humain peut-il être purifié de son péché après la mort ?</w:t>
      </w:r>
    </w:p>
    <w:p>
      <w:r/>
      <w:r>
        <w:t>L'enseignement de l'Église catholique romaine affirme que la mort est suivie par le purgatoire pour tous ceux qui sont imparfaits. Au purgatoire, l'âme est purifiée des résidus du péché. La période de purification peut être raccourcie par les dons, les prières et les messes des vivants en faveur du défunt.</w:t>
      </w:r>
    </w:p>
    <w:p>
      <w:r/>
      <w:r>
        <w:t>La plupart des protestants rejettent cette idée car elle est en désaccord avec l'enseignement biblique. Trois arguments sont avancés :</w:t>
      </w:r>
    </w:p>
    <w:p>
      <w:pPr>
        <w:pStyle w:val="ListNumber"/>
        <w:spacing w:line="240" w:lineRule="auto"/>
        <w:ind w:left="1440"/>
      </w:pPr>
      <w:r/>
      <w:r>
        <w:t>L'œuvre de Christ est complète et achevée (</w:t>
      </w:r>
      <w:hyperlink r:id="rId5008">
        <w:r>
          <w:rPr>
            <w:color w:val="0000EE"/>
            <w:u w:val="single"/>
          </w:rPr>
          <w:t>Hé 9.28</w:t>
        </w:r>
      </w:hyperlink>
      <w:r>
        <w:t>).</w:t>
      </w:r>
    </w:p>
    <w:p>
      <w:pPr>
        <w:pStyle w:val="ListNumber"/>
        <w:spacing w:line="240" w:lineRule="auto"/>
        <w:ind w:left="1440"/>
      </w:pPr>
      <w:r/>
      <w:r>
        <w:t>Il est impossible pour un être humain de gagner ou d'obtenir la grâce en faveur d'un autre (</w:t>
      </w:r>
      <w:hyperlink r:id="rId5009">
        <w:r>
          <w:rPr>
            <w:color w:val="0000EE"/>
            <w:u w:val="single"/>
          </w:rPr>
          <w:t>Lc 17.10</w:t>
        </w:r>
      </w:hyperlink>
      <w:r>
        <w:t>).</w:t>
      </w:r>
    </w:p>
    <w:p>
      <w:pPr>
        <w:pStyle w:val="ListNumber"/>
        <w:spacing w:line="240" w:lineRule="auto"/>
        <w:ind w:left="1440"/>
      </w:pPr>
      <w:r/>
      <w:r>
        <w:t>La Bible enseigne que l'état éternel de l'âme est déterminé par sa condition au moment de sa mort (</w:t>
      </w:r>
      <w:hyperlink r:id="rId4872">
        <w:r>
          <w:rPr>
            <w:color w:val="0000EE"/>
            <w:u w:val="single"/>
          </w:rPr>
          <w:t>Hé 9.27</w:t>
        </w:r>
      </w:hyperlink>
      <w:r>
        <w:t>).</w:t>
      </w:r>
    </w:p>
    <w:p>
      <w:r/>
      <w:r>
        <w:rPr>
          <w:i/>
        </w:rPr>
        <w:t>Voir aussi</w:t>
      </w:r>
      <w:r>
        <w:t xml:space="preserve"> </w:t>
      </w:r>
      <w:r>
        <w:t>Mort, Lieu des</w:t>
      </w:r>
      <w:r>
        <w:t xml:space="preserve"> ; </w:t>
      </w:r>
      <w:r>
        <w:t>Hadès</w:t>
      </w:r>
      <w:r>
        <w:t xml:space="preserve"> ; </w:t>
      </w:r>
      <w:r>
        <w:t>Cieux</w:t>
      </w:r>
      <w:r>
        <w:t xml:space="preserve"> ; </w:t>
      </w:r>
      <w:r>
        <w:t>Enfer</w:t>
      </w:r>
      <w:r>
        <w:t xml:space="preserve"> ; </w:t>
      </w:r>
      <w:r>
        <w:t>Paradis</w:t>
      </w:r>
      <w:r>
        <w:t xml:space="preserve"> ; </w:t>
      </w:r>
      <w:r>
        <w:t>Sheol</w:t>
      </w:r>
      <w:r>
        <w:t>.</w:t>
      </w:r>
      <w:r/>
      <w:r/>
    </w:p>
    <w:p>
      <w:r/>
    </w:p>
    <w:p>
      <w:pPr>
        <w:pStyle w:val="Heading2"/>
      </w:pPr>
      <w:r>
        <w:t>Éternel ou Seigneur</w:t>
      </w:r>
      <w:r/>
    </w:p>
    <w:p>
      <w:r/>
      <w:r>
        <w:t>Le terme « Éternel » en français est la traduction de l’hébreu « adonai » ou du grec « kurios »</w:t>
      </w:r>
      <w:r>
        <w:rPr>
          <w:i/>
        </w:rPr>
        <w:t>.</w:t>
      </w:r>
      <w:r>
        <w:t xml:space="preserve"> L’hébreu YHWH est généralement rendu par « Éternel» ; </w:t>
      </w:r>
      <w:r>
        <w:rPr>
          <w:i/>
        </w:rPr>
        <w:t>Voir</w:t>
      </w:r>
      <w:r>
        <w:t xml:space="preserve"> </w:t>
      </w:r>
      <w:r>
        <w:t>Yahvé (YHWH)</w:t>
      </w:r>
      <w:r>
        <w:t>.</w:t>
      </w:r>
    </w:p>
    <w:p>
      <w:r/>
      <w:r>
        <w:t>Le règne et l’autorité de Dieu en tant que l’Éternel reposent en réalité sur sa création et sur le fait que toutes les choses et de tous les hommes sont sa propriété (</w:t>
      </w:r>
      <w:hyperlink r:id="rId5010">
        <w:r>
          <w:rPr>
            <w:color w:val="0000EE"/>
            <w:u w:val="single"/>
          </w:rPr>
          <w:t>Psaume 24:1–2</w:t>
        </w:r>
      </w:hyperlink>
      <w:r>
        <w:t>). Dieu est appelé l’Éternel des tremblements de terre, du vent, du feu (</w:t>
      </w:r>
      <w:hyperlink r:id="rId5011">
        <w:r>
          <w:rPr>
            <w:color w:val="0000EE"/>
            <w:u w:val="single"/>
          </w:rPr>
          <w:t>1 Rois 19:10–14</w:t>
        </w:r>
      </w:hyperlink>
      <w:r>
        <w:t>), des étoiles (</w:t>
      </w:r>
      <w:hyperlink r:id="rId5012">
        <w:r>
          <w:rPr>
            <w:color w:val="0000EE"/>
            <w:u w:val="single"/>
          </w:rPr>
          <w:t>Ésaïe 40:26</w:t>
        </w:r>
      </w:hyperlink>
      <w:r>
        <w:t>), des bêtes et des monstres marins (</w:t>
      </w:r>
      <w:hyperlink r:id="rId5013">
        <w:r>
          <w:rPr>
            <w:color w:val="0000EE"/>
            <w:u w:val="single"/>
          </w:rPr>
          <w:t>Job 40–41</w:t>
        </w:r>
      </w:hyperlink>
      <w:r>
        <w:t>), et le chaos primitif (</w:t>
      </w:r>
      <w:hyperlink r:id="rId5014">
        <w:r>
          <w:rPr>
            <w:color w:val="0000EE"/>
            <w:u w:val="single"/>
          </w:rPr>
          <w:t>Psaume 74:12–14</w:t>
        </w:r>
      </w:hyperlink>
      <w:r>
        <w:t xml:space="preserve">; </w:t>
      </w:r>
      <w:hyperlink r:id="rId5015">
        <w:r>
          <w:rPr>
            <w:color w:val="0000EE"/>
            <w:u w:val="single"/>
          </w:rPr>
          <w:t>89:8–10</w:t>
        </w:r>
      </w:hyperlink>
      <w:r>
        <w:t>), ce qui souligne sa suprématie totale sur la nature.</w:t>
      </w:r>
    </w:p>
    <w:p>
      <w:r/>
      <w:r>
        <w:t>Les prophètes ultérieurs ont indiqué que Dieu est l’Éternel ou le Roi de l’histoire parce qu’il dirige les affaires des hommes et des nations (</w:t>
      </w:r>
      <w:hyperlink r:id="rId5016">
        <w:r>
          <w:rPr>
            <w:color w:val="0000EE"/>
            <w:u w:val="single"/>
          </w:rPr>
          <w:t>1 Rois 19:15–18</w:t>
        </w:r>
      </w:hyperlink>
      <w:r>
        <w:t xml:space="preserve">; </w:t>
      </w:r>
      <w:hyperlink r:id="rId5017">
        <w:r>
          <w:rPr>
            <w:color w:val="0000EE"/>
            <w:u w:val="single"/>
          </w:rPr>
          <w:t>Ésaïe 10:5–9</w:t>
        </w:r>
      </w:hyperlink>
      <w:r>
        <w:t xml:space="preserve">; </w:t>
      </w:r>
      <w:hyperlink r:id="rId813">
        <w:r>
          <w:rPr>
            <w:color w:val="0000EE"/>
            <w:u w:val="single"/>
          </w:rPr>
          <w:t>Amos 9:7</w:t>
        </w:r>
      </w:hyperlink>
      <w:r>
        <w:t>) et il est l’Éternel de la morale universelle (</w:t>
      </w:r>
      <w:hyperlink r:id="rId5018">
        <w:r>
          <w:rPr>
            <w:color w:val="0000EE"/>
            <w:u w:val="single"/>
          </w:rPr>
          <w:t>Ézéchiel 25–32</w:t>
        </w:r>
      </w:hyperlink>
      <w:r>
        <w:t xml:space="preserve">; </w:t>
      </w:r>
      <w:hyperlink r:id="rId5019">
        <w:r>
          <w:rPr>
            <w:color w:val="0000EE"/>
            <w:u w:val="single"/>
          </w:rPr>
          <w:t>Amos 1:3–2:16</w:t>
        </w:r>
      </w:hyperlink>
      <w:r>
        <w:t>). Il est surtout l’Éternel des enfants d’Israël ; sa volonté exprimée représente leur constitution civile et religieuse, et exige une obéissance absolue (</w:t>
      </w:r>
      <w:hyperlink r:id="rId3835">
        <w:r>
          <w:rPr>
            <w:color w:val="0000EE"/>
            <w:u w:val="single"/>
          </w:rPr>
          <w:t>Exode 20:2</w:t>
        </w:r>
      </w:hyperlink>
      <w:r>
        <w:t>). La souveraineté divine était cependant le réconfort d’Israël sous l’oppression et son espoir pour l’avenir, lorsqu’un jour triomphant de l’Éternel réparerait ses torts, punirait ses oppresseurs et rétablirait sa gloire (</w:t>
      </w:r>
      <w:hyperlink r:id="rId5020">
        <w:r>
          <w:rPr>
            <w:color w:val="0000EE"/>
            <w:u w:val="single"/>
          </w:rPr>
          <w:t>Ésaïe 2:2–4, 11–12</w:t>
        </w:r>
      </w:hyperlink>
      <w:r>
        <w:t xml:space="preserve">; </w:t>
      </w:r>
      <w:hyperlink r:id="rId5021">
        <w:r>
          <w:rPr>
            <w:color w:val="0000EE"/>
            <w:u w:val="single"/>
          </w:rPr>
          <w:t>34:8</w:t>
        </w:r>
      </w:hyperlink>
      <w:r>
        <w:t xml:space="preserve">; </w:t>
      </w:r>
      <w:hyperlink r:id="rId5022">
        <w:r>
          <w:rPr>
            <w:color w:val="0000EE"/>
            <w:u w:val="single"/>
          </w:rPr>
          <w:t>Ézéchiel 30:1–5</w:t>
        </w:r>
      </w:hyperlink>
      <w:r>
        <w:t xml:space="preserve">; </w:t>
      </w:r>
      <w:hyperlink r:id="rId5023">
        <w:r>
          <w:rPr>
            <w:color w:val="0000EE"/>
            <w:u w:val="single"/>
          </w:rPr>
          <w:t>Joël 2:31–3:1</w:t>
        </w:r>
      </w:hyperlink>
      <w:r>
        <w:t>).</w:t>
      </w:r>
    </w:p>
    <w:p>
      <w:r/>
      <w:r>
        <w:t>Dans la Septante, le terme courant pour désigner « Éternel/ éternel/maitre » (dont l’usage opte pour « Seigneur » dans le NT dans plusieurs versions françaises) est « kurios »</w:t>
      </w:r>
      <w:r>
        <w:rPr>
          <w:i/>
        </w:rPr>
        <w:t>,</w:t>
      </w:r>
      <w:r>
        <w:t xml:space="preserve"> un mot, dans le NT grec, qui est également utilisé pour désigner les maitres, les maris et les dirigeants (</w:t>
      </w:r>
      <w:hyperlink r:id="rId5024">
        <w:r>
          <w:rPr>
            <w:color w:val="0000EE"/>
            <w:u w:val="single"/>
          </w:rPr>
          <w:t>Matthieu 25:11</w:t>
        </w:r>
      </w:hyperlink>
      <w:r>
        <w:t xml:space="preserve">; </w:t>
      </w:r>
      <w:hyperlink r:id="rId5025">
        <w:r>
          <w:rPr>
            <w:color w:val="0000EE"/>
            <w:u w:val="single"/>
          </w:rPr>
          <w:t>Luc 14:21</w:t>
        </w:r>
      </w:hyperlink>
      <w:r>
        <w:t xml:space="preserve">; </w:t>
      </w:r>
      <w:hyperlink r:id="rId5026">
        <w:r>
          <w:rPr>
            <w:color w:val="0000EE"/>
            <w:u w:val="single"/>
          </w:rPr>
          <w:t>Actes 25:26</w:t>
        </w:r>
      </w:hyperlink>
      <w:r>
        <w:t xml:space="preserve">; </w:t>
      </w:r>
      <w:hyperlink r:id="rId5027">
        <w:r>
          <w:rPr>
            <w:color w:val="0000EE"/>
            <w:u w:val="single"/>
          </w:rPr>
          <w:t>1 Pierre 3:6</w:t>
        </w:r>
      </w:hyperlink>
      <w:r>
        <w:t>) ; Dieu (</w:t>
      </w:r>
      <w:hyperlink r:id="rId5028">
        <w:r>
          <w:rPr>
            <w:color w:val="0000EE"/>
            <w:u w:val="single"/>
          </w:rPr>
          <w:t>Matthieu 11:25</w:t>
        </w:r>
      </w:hyperlink>
      <w:r>
        <w:t xml:space="preserve">; </w:t>
      </w:r>
      <w:hyperlink r:id="rId5029">
        <w:r>
          <w:rPr>
            <w:color w:val="0000EE"/>
            <w:u w:val="single"/>
          </w:rPr>
          <w:t>Hébreux 8:2</w:t>
        </w:r>
      </w:hyperlink>
      <w:r>
        <w:t>) ; et les dieux païens (</w:t>
      </w:r>
      <w:hyperlink r:id="rId5030">
        <w:r>
          <w:rPr>
            <w:color w:val="0000EE"/>
            <w:u w:val="single"/>
          </w:rPr>
          <w:t>1 Corinthiens 8:5</w:t>
        </w:r>
      </w:hyperlink>
      <w:r>
        <w:t xml:space="preserve">). Il est utilisé pour faire référence à Jésus comme titre habituel de respect (« Seigneur », </w:t>
      </w:r>
      <w:hyperlink r:id="rId5031">
        <w:r>
          <w:rPr>
            <w:color w:val="0000EE"/>
            <w:u w:val="single"/>
          </w:rPr>
          <w:t>Matthieu 8:2</w:t>
        </w:r>
      </w:hyperlink>
      <w:r>
        <w:t xml:space="preserve">; </w:t>
      </w:r>
      <w:hyperlink r:id="rId5032">
        <w:r>
          <w:rPr>
            <w:color w:val="0000EE"/>
            <w:u w:val="single"/>
          </w:rPr>
          <w:t>15:25</w:t>
        </w:r>
      </w:hyperlink>
      <w:r>
        <w:t>) ; il fait également allusion à la foi, à la révérence et à l’adoration dans la Septante (</w:t>
      </w:r>
      <w:hyperlink r:id="rId5033">
        <w:r>
          <w:rPr>
            <w:color w:val="0000EE"/>
            <w:u w:val="single"/>
          </w:rPr>
          <w:t>Matthieu 3:3</w:t>
        </w:r>
      </w:hyperlink>
      <w:r>
        <w:t xml:space="preserve">; </w:t>
      </w:r>
      <w:hyperlink r:id="rId3830">
        <w:r>
          <w:rPr>
            <w:color w:val="0000EE"/>
            <w:u w:val="single"/>
          </w:rPr>
          <w:t>Luc 7:13</w:t>
        </w:r>
      </w:hyperlink>
      <w:r>
        <w:t xml:space="preserve">; </w:t>
      </w:r>
      <w:hyperlink r:id="rId3503">
        <w:r>
          <w:rPr>
            <w:color w:val="0000EE"/>
            <w:u w:val="single"/>
          </w:rPr>
          <w:t>Actes 5:14</w:t>
        </w:r>
      </w:hyperlink>
      <w:r>
        <w:t xml:space="preserve">; </w:t>
      </w:r>
      <w:hyperlink r:id="rId5034">
        <w:r>
          <w:rPr>
            <w:color w:val="0000EE"/>
            <w:u w:val="single"/>
          </w:rPr>
          <w:t>9:10</w:t>
        </w:r>
      </w:hyperlink>
      <w:r>
        <w:t xml:space="preserve">; </w:t>
      </w:r>
      <w:hyperlink r:id="rId3215">
        <w:r>
          <w:rPr>
            <w:color w:val="0000EE"/>
            <w:u w:val="single"/>
          </w:rPr>
          <w:t>1 Corinthiens 6:13–14</w:t>
        </w:r>
      </w:hyperlink>
      <w:r>
        <w:t xml:space="preserve">; </w:t>
      </w:r>
      <w:hyperlink r:id="rId5035">
        <w:r>
          <w:rPr>
            <w:color w:val="0000EE"/>
            <w:u w:val="single"/>
          </w:rPr>
          <w:t>Hébreux 2:3</w:t>
        </w:r>
      </w:hyperlink>
      <w:r>
        <w:t xml:space="preserve">; </w:t>
      </w:r>
      <w:hyperlink r:id="rId5036">
        <w:r>
          <w:rPr>
            <w:color w:val="0000EE"/>
            <w:u w:val="single"/>
          </w:rPr>
          <w:t>Jacques 5:7</w:t>
        </w:r>
      </w:hyperlink>
      <w:r>
        <w:t xml:space="preserve">) ; il apparait dans des expressions telles que « le Seigneur Jésus », « le jour du Seigneur », « la table du Seigneur », « l’Esprit du Seigneur » (qui est aussi « Seigneur », </w:t>
      </w:r>
      <w:hyperlink r:id="rId4946">
        <w:r>
          <w:rPr>
            <w:color w:val="0000EE"/>
            <w:u w:val="single"/>
          </w:rPr>
          <w:t>2 Corinthiens 3:17</w:t>
        </w:r>
      </w:hyperlink>
      <w:r>
        <w:t>), « dans le Seigneur », « du Seigneur », « lumière dans le Seigneur », « se glorifier dans le Seigneur ». Parfois, il n’est pas clair si on fait allusion à Dieu ou à Christ (</w:t>
      </w:r>
      <w:hyperlink r:id="rId4545">
        <w:r>
          <w:rPr>
            <w:color w:val="0000EE"/>
            <w:u w:val="single"/>
          </w:rPr>
          <w:t>Actes 9:31</w:t>
        </w:r>
      </w:hyperlink>
      <w:r>
        <w:t xml:space="preserve">; </w:t>
      </w:r>
      <w:hyperlink r:id="rId5037">
        <w:r>
          <w:rPr>
            <w:color w:val="0000EE"/>
            <w:u w:val="single"/>
          </w:rPr>
          <w:t>2 Corinthiens 8:21</w:t>
        </w:r>
      </w:hyperlink>
      <w:r>
        <w:t xml:space="preserve">). Ce titre est attribué à Jésus lui-même en </w:t>
      </w:r>
      <w:hyperlink r:id="rId5038">
        <w:r>
          <w:rPr>
            <w:color w:val="0000EE"/>
            <w:u w:val="single"/>
          </w:rPr>
          <w:t>Jean 13:13–14</w:t>
        </w:r>
      </w:hyperlink>
      <w:r>
        <w:t xml:space="preserve">; en </w:t>
      </w:r>
      <w:hyperlink r:id="rId5039">
        <w:r>
          <w:rPr>
            <w:color w:val="0000EE"/>
            <w:u w:val="single"/>
          </w:rPr>
          <w:t>Jean 20:28</w:t>
        </w:r>
      </w:hyperlink>
      <w:r>
        <w:t xml:space="preserve"> Jésus accepte le titre « Mon Seigneur et mon Dieu ».</w:t>
      </w:r>
    </w:p>
    <w:p>
      <w:r/>
      <w:r>
        <w:t>Dans le premier sermon chrétien, la seigneurie de Jésus est au cœur du salut (</w:t>
      </w:r>
      <w:hyperlink r:id="rId5040">
        <w:r>
          <w:rPr>
            <w:color w:val="0000EE"/>
            <w:u w:val="single"/>
          </w:rPr>
          <w:t>Actes 2:21</w:t>
        </w:r>
      </w:hyperlink>
      <w:r>
        <w:t>). Il est clair que la confession publique de Jésus en tant que Seigneur était l’objectif et l’expression approuvés de la Foi chrétienne, et la base de l’appartenance à l’Église apostolique (</w:t>
      </w:r>
      <w:hyperlink r:id="rId5041">
        <w:r>
          <w:rPr>
            <w:color w:val="0000EE"/>
            <w:u w:val="single"/>
          </w:rPr>
          <w:t>Actes 16:31</w:t>
        </w:r>
      </w:hyperlink>
      <w:r>
        <w:t xml:space="preserve">; </w:t>
      </w:r>
      <w:hyperlink r:id="rId2838">
        <w:r>
          <w:rPr>
            <w:color w:val="0000EE"/>
            <w:u w:val="single"/>
          </w:rPr>
          <w:t>Romains 10:9</w:t>
        </w:r>
      </w:hyperlink>
      <w:r>
        <w:t xml:space="preserve">; </w:t>
      </w:r>
      <w:hyperlink r:id="rId4920">
        <w:r>
          <w:rPr>
            <w:color w:val="0000EE"/>
            <w:u w:val="single"/>
          </w:rPr>
          <w:t>1 Corinthiens 12:3</w:t>
        </w:r>
      </w:hyperlink>
      <w:r>
        <w:t xml:space="preserve">; </w:t>
      </w:r>
      <w:hyperlink r:id="rId5042">
        <w:r>
          <w:rPr>
            <w:color w:val="0000EE"/>
            <w:u w:val="single"/>
          </w:rPr>
          <w:t>Philippiens 2:11</w:t>
        </w:r>
      </w:hyperlink>
      <w:r>
        <w:t xml:space="preserve">). Ainsi, cette confession publique pourrait devenir plus une déclaration formelle qu’une expression sincère de croyance, d’où les avertissements en </w:t>
      </w:r>
      <w:hyperlink r:id="rId4422">
        <w:r>
          <w:rPr>
            <w:color w:val="0000EE"/>
            <w:u w:val="single"/>
          </w:rPr>
          <w:t>Matthieu 7:21</w:t>
        </w:r>
      </w:hyperlink>
      <w:r>
        <w:t xml:space="preserve"> et </w:t>
      </w:r>
      <w:hyperlink r:id="rId5043">
        <w:r>
          <w:rPr>
            <w:color w:val="0000EE"/>
            <w:u w:val="single"/>
          </w:rPr>
          <w:t>en Luc 6:46</w:t>
        </w:r>
      </w:hyperlink>
      <w:r>
        <w:t>.</w:t>
      </w:r>
    </w:p>
    <w:p>
      <w:r/>
      <w:r>
        <w:t>À l’origine, une telle confession était lourde de sens. Dans l’usage courant, le terme « seigneur » reflétait le système esclavagiste et évoquait le pouvoir absolu exercé par le maitre sur l’esclave acheté. C’est pourquoi Paul expose sans hésitation les implications morales de la rédemption chrétienne (</w:t>
      </w:r>
      <w:hyperlink r:id="rId5044">
        <w:r>
          <w:rPr>
            <w:color w:val="0000EE"/>
            <w:u w:val="single"/>
          </w:rPr>
          <w:t>1 Corinthiens 6:19–20</w:t>
        </w:r>
      </w:hyperlink>
      <w:r>
        <w:t xml:space="preserve">; </w:t>
      </w:r>
      <w:hyperlink r:id="rId5045">
        <w:r>
          <w:rPr>
            <w:color w:val="0000EE"/>
            <w:u w:val="single"/>
          </w:rPr>
          <w:t>7:22–23</w:t>
        </w:r>
      </w:hyperlink>
      <w:r>
        <w:t xml:space="preserve">; </w:t>
      </w:r>
      <w:r>
        <w:rPr>
          <w:i/>
        </w:rPr>
        <w:t>voir</w:t>
      </w:r>
      <w:r>
        <w:t xml:space="preserve"> photo). Dans l’esprit des Juifs, ce titre avait des connotations messianiques de royauté et d’autorité (</w:t>
      </w:r>
      <w:hyperlink r:id="rId3640">
        <w:r>
          <w:rPr>
            <w:color w:val="0000EE"/>
            <w:u w:val="single"/>
          </w:rPr>
          <w:t>Luc 20:41–44</w:t>
        </w:r>
      </w:hyperlink>
      <w:r>
        <w:t>), offensant à la fois les Juifs et les Romains. Sur le plan politique, César revendiquait le titre « Seigneur ». Il est donc pertinent qu’on appelle Jésus « Roi des rois et Seigneur des seigneurs » à l’époque de Domitien, où le culte de César était obligatoire (</w:t>
      </w:r>
      <w:hyperlink r:id="rId5046">
        <w:r>
          <w:rPr>
            <w:color w:val="0000EE"/>
            <w:u w:val="single"/>
          </w:rPr>
          <w:t>Apocalypse 17:14</w:t>
        </w:r>
      </w:hyperlink>
      <w:r>
        <w:t xml:space="preserve">; </w:t>
      </w:r>
      <w:hyperlink r:id="rId2525">
        <w:r>
          <w:rPr>
            <w:color w:val="0000EE"/>
            <w:u w:val="single"/>
          </w:rPr>
          <w:t>19:16</w:t>
        </w:r>
      </w:hyperlink>
      <w:r>
        <w:t>).</w:t>
      </w:r>
    </w:p>
    <w:p>
      <w:r/>
      <w:r>
        <w:t>Parmi les Juifs de langue grecque de la dispersion qui connaissent la Septante et parmi les Païens, l’utilisation du titre « Seigneur » pour désigner Jésus était blasphématoire, car ils utilisaient ce titre pour qualifier les nombreux dieux du polythéisme. C’était particulièrement vrai lorsqu’il était associé à « Fils de Dieu », à la prière, à la louange, à la dévotion totale et à l’espérance (</w:t>
      </w:r>
      <w:hyperlink r:id="rId5047">
        <w:r>
          <w:rPr>
            <w:color w:val="0000EE"/>
            <w:u w:val="single"/>
          </w:rPr>
          <w:t>1 Corinthiens 8:5–6</w:t>
        </w:r>
      </w:hyperlink>
      <w:r>
        <w:t xml:space="preserve">; </w:t>
      </w:r>
      <w:hyperlink r:id="rId1336">
        <w:r>
          <w:rPr>
            <w:color w:val="0000EE"/>
            <w:u w:val="single"/>
          </w:rPr>
          <w:t>Philippiens 2:9–11</w:t>
        </w:r>
      </w:hyperlink>
      <w:r>
        <w:t xml:space="preserve">; </w:t>
      </w:r>
      <w:hyperlink r:id="rId5048">
        <w:r>
          <w:rPr>
            <w:color w:val="0000EE"/>
            <w:u w:val="single"/>
          </w:rPr>
          <w:t>1 Thessaloniciens 4:14–17</w:t>
        </w:r>
      </w:hyperlink>
      <w:r>
        <w:t>). Ainsi, à tous les niveaux, l’hommage d’adoration rendu à Jésus était chargé, non seulement d’une signification spirituelle, mais aussi d’un danger positif et imminent.</w:t>
      </w:r>
    </w:p>
    <w:p>
      <w:r/>
      <w:r>
        <w:rPr>
          <w:i/>
        </w:rPr>
        <w:t>Voir aussi</w:t>
      </w:r>
      <w:r>
        <w:t xml:space="preserve"> </w:t>
      </w:r>
      <w:r>
        <w:t>Christologie</w:t>
      </w:r>
      <w:r>
        <w:t xml:space="preserve">; </w:t>
      </w:r>
      <w:r>
        <w:t>Dieu, Être et attributs de</w:t>
      </w:r>
      <w:r>
        <w:t xml:space="preserve">; </w:t>
      </w:r>
      <w:r>
        <w:t>Dieu, Noms de</w:t>
      </w:r>
      <w:r>
        <w:t>.</w:t>
      </w:r>
      <w:r/>
      <w:r/>
    </w:p>
    <w:p>
      <w:r/>
    </w:p>
    <w:p>
      <w:pPr>
        <w:pStyle w:val="Heading2"/>
      </w:pPr>
      <w:r>
        <w:t>Éternité</w:t>
      </w:r>
      <w:r/>
    </w:p>
    <w:p>
      <w:r/>
      <w:r>
        <w:t>Un temps sans commencement ni fin.</w:t>
      </w:r>
    </w:p>
    <w:p>
      <w:pPr>
        <w:pStyle w:val="Heading3"/>
      </w:pPr>
      <w:r>
        <w:t>L'Éternité dans l'Ancien Testament</w:t>
      </w:r>
    </w:p>
    <w:p>
      <w:r/>
      <w:r>
        <w:t xml:space="preserve">L'Ancien Testament ne contient pas un mot unique qui signifie la même chose que le mot français « éternité ». Au lieu de cela, l'idée provient de phrases comme « de génération en génération » et « d'âge en âge ». L'idée que Dieu a créé et contrôle l'histoire a conduit à la croyance que la vie de Dieu n'a pas de fin. Par conséquent, Dieu est décrit comme « éternel » (voir </w:t>
      </w:r>
      <w:hyperlink r:id="rId5049">
        <w:r>
          <w:rPr>
            <w:color w:val="0000EE"/>
            <w:u w:val="single"/>
          </w:rPr>
          <w:t>Gn 21.33</w:t>
        </w:r>
      </w:hyperlink>
      <w:r>
        <w:t xml:space="preserve"> ; </w:t>
      </w:r>
      <w:hyperlink r:id="rId3965">
        <w:r>
          <w:rPr>
            <w:color w:val="0000EE"/>
            <w:u w:val="single"/>
          </w:rPr>
          <w:t>Es 26.4</w:t>
        </w:r>
      </w:hyperlink>
      <w:r>
        <w:t xml:space="preserve"> ; </w:t>
      </w:r>
      <w:hyperlink r:id="rId3964">
        <w:r>
          <w:rPr>
            <w:color w:val="0000EE"/>
            <w:u w:val="single"/>
          </w:rPr>
          <w:t>40.28</w:t>
        </w:r>
      </w:hyperlink>
      <w:r>
        <w:t>). Les Hébreux savaient que Dieu est éternel, contrairement aux humains. Leur temps sur terre est limité.</w:t>
      </w:r>
    </w:p>
    <w:p>
      <w:pPr>
        <w:pStyle w:val="Heading3"/>
      </w:pPr>
      <w:r>
        <w:t>L'Éternité dans le Nouveau Testament</w:t>
      </w:r>
    </w:p>
    <w:p>
      <w:r/>
      <w:r>
        <w:t xml:space="preserve">Le Nouveau Testament poursuit ces idées du judaïsme et de l'Ancien Testament. En langue grecque, un mot unique décrit à la fois les périodes de temps et la nature éternelle de Dieu. Par exemple, le mot traduit par « éternel » dans </w:t>
      </w:r>
      <w:hyperlink r:id="rId5050">
        <w:r>
          <w:rPr>
            <w:color w:val="0000EE"/>
            <w:u w:val="single"/>
          </w:rPr>
          <w:t>Romains 16.26</w:t>
        </w:r>
      </w:hyperlink>
      <w:r>
        <w:t xml:space="preserve"> provient du mot grec traduit par « éon », qui signifie « âge » ou « un temps très long ».</w:t>
      </w:r>
    </w:p>
    <w:p>
      <w:r/>
      <w:r>
        <w:t>Dieu règne sur toutes les périodes de temps, et il n'a ni commencement ni fin. Il donne un but et un ordre à la vie humaine, même si les humains ne vivent que pour un temps limité. Le Nouveau Testament nous dit que le temps finira par s'achever. Cela s'ajoute à ce que l'Ancien Testament enseigne sur le fait que Dieu crée tout. Ensemble, ces enseignements nous aident à comprendre que Dieu est éternel. Une autre façon de dire cela est que Dieu existait avant tout le reste et continuera d'exister après tout le reste.</w:t>
      </w:r>
    </w:p>
    <w:p>
      <w:r/>
      <w:r>
        <w:t>Le Nouveau Testament parle de la manière dont Dieu s'est manifesté à travers Jésus-Christ, de façon similaire à celle dont l'Ancien Testament décrit Dieu lorsqu'il se manifeste à Israël. La façon dont le Nouveau Testament utilise les prépositions avec le mot « éon » diffère lorsqu'il parle du temps. Par exemple :</w:t>
      </w:r>
    </w:p>
    <w:p>
      <w:pPr>
        <w:pStyle w:val="ListBullet"/>
        <w:spacing w:line="240" w:lineRule="auto"/>
        <w:ind w:left="720"/>
      </w:pPr>
      <w:r/>
      <w:r>
        <w:t xml:space="preserve">« Jamais » se traduit littéralement par « hors de l'âge » dans </w:t>
      </w:r>
      <w:hyperlink r:id="rId5051">
        <w:r>
          <w:rPr>
            <w:color w:val="0000EE"/>
            <w:u w:val="single"/>
          </w:rPr>
          <w:t>Jn 9.32</w:t>
        </w:r>
      </w:hyperlink>
    </w:p>
    <w:p>
      <w:pPr>
        <w:pStyle w:val="ListBullet"/>
        <w:spacing w:line="240" w:lineRule="auto"/>
        <w:ind w:left="720"/>
      </w:pPr>
      <w:r/>
      <w:r>
        <w:t xml:space="preserve">« Temps anciens » se traduit littéralement par « de l'âge » dans </w:t>
      </w:r>
      <w:hyperlink r:id="rId5052">
        <w:r>
          <w:rPr>
            <w:color w:val="0000EE"/>
            <w:u w:val="single"/>
          </w:rPr>
          <w:t>Lc 1.70</w:t>
        </w:r>
      </w:hyperlink>
    </w:p>
    <w:p>
      <w:pPr>
        <w:pStyle w:val="ListBullet"/>
        <w:spacing w:line="240" w:lineRule="auto"/>
        <w:ind w:left="720"/>
      </w:pPr>
      <w:r/>
      <w:r>
        <w:t>« Pour l'éternité » se traduit littéralement par « dans le siècle » (</w:t>
      </w:r>
      <w:hyperlink r:id="rId1443">
        <w:r>
          <w:rPr>
            <w:color w:val="0000EE"/>
            <w:u w:val="single"/>
          </w:rPr>
          <w:t>Jd 1.13</w:t>
        </w:r>
      </w:hyperlink>
      <w:r>
        <w:t>)</w:t>
      </w:r>
    </w:p>
    <w:p>
      <w:pPr>
        <w:pStyle w:val="ListBullet"/>
        <w:spacing w:line="240" w:lineRule="auto"/>
        <w:ind w:left="720"/>
      </w:pPr>
      <w:r/>
      <w:r>
        <w:t>« Dans [l']éternel » signifie littéralement « dans les âges » (</w:t>
      </w:r>
      <w:hyperlink r:id="rId1978">
        <w:r>
          <w:rPr>
            <w:color w:val="0000EE"/>
            <w:u w:val="single"/>
          </w:rPr>
          <w:t>Jn 4.14</w:t>
        </w:r>
      </w:hyperlink>
      <w:r>
        <w:t>)</w:t>
      </w:r>
    </w:p>
    <w:p>
      <w:r/>
      <w:r>
        <w:t>Les deux premières phrases se réfèrent à un temps lointain dans le passé. Les deux dernières phrases se réfèrent à un futur indéfini, souvent traduit par « pour toujours ».</w:t>
      </w:r>
    </w:p>
    <w:p>
      <w:pPr>
        <w:pStyle w:val="Heading3"/>
      </w:pPr>
      <w:r>
        <w:t>Différentes visions du temps et de l'éternité</w:t>
      </w:r>
    </w:p>
    <w:p>
      <w:r/>
      <w:r>
        <w:t>La vision de l'éternité dans la Bible différait de celle d'autres cultures de l'époque. De nombreuses cultures pensaient que le temps se déplaçait en cercles, avec des événements se produisant de manière répétée. Cela était particulièrement vrai dans la culture grecque, où les gens percevaient le temps comme un cercle se répétant sans fin.</w:t>
      </w:r>
    </w:p>
    <w:p>
      <w:r/>
      <w:r>
        <w:t>Dans la pensée grecque, le salut signifiait trouver un moyen d'échapper à ce cycle temporel sans fin pour atteindre un état où le temps n'existe pas. Cependant, la Bible perçoit le temps différemment. Elle le décrit comme une ligne droite ayant à la fois un début et une fin, Dieu étant au contrôle de ces deux extrémités.</w:t>
      </w:r>
    </w:p>
    <w:p>
      <w:r/>
      <w:r>
        <w:t>Cela signifie que la Bible envisage le salut différemment également. Dans la Bible, le salut ne se réalise pas par l'évasion du temps. Au contraire, il se manifeste dans la vie de chaque personne lorsqu'elle fait l'expérience de Dieu, et il progresse vers l'accomplissement final que Dieu a prévu.</w:t>
      </w:r>
    </w:p>
    <w:p>
      <w:r/>
      <w:r>
        <w:t>Les perspectives grecque et biblique du temps diffèrent. Cela soulève la question : qu'est-ce que l'éternité ? Est-ce simplement un temps sans fin ou est-ce autre chose, comme l'absence de temps ? La Bible suggère que l'éternité n'est pas l'absence de temps. Ce n'est pas l'opposé du temps présent. Le temps présent et l'éternité partagent certaines caractéristiques fondamentales.</w:t>
      </w:r>
    </w:p>
    <w:p>
      <w:pPr>
        <w:pStyle w:val="Heading3"/>
      </w:pPr>
      <w:r>
        <w:t>Les Deux âges du temps</w:t>
      </w:r>
    </w:p>
    <w:p>
      <w:r/>
      <w:r>
        <w:t>Le Nouveau Testament (selon l'enseignement juif) divise le temps en deux parties :</w:t>
      </w:r>
    </w:p>
    <w:p>
      <w:pPr>
        <w:pStyle w:val="ListBullet"/>
        <w:spacing w:line="240" w:lineRule="auto"/>
        <w:ind w:left="720"/>
      </w:pPr>
      <w:r/>
      <w:r>
        <w:t>« L'âge présent » (le temps dans lequel nous vivons maintenant).</w:t>
      </w:r>
    </w:p>
    <w:p>
      <w:pPr>
        <w:pStyle w:val="ListBullet"/>
        <w:spacing w:line="240" w:lineRule="auto"/>
        <w:ind w:left="720"/>
      </w:pPr>
      <w:r/>
      <w:r>
        <w:t>« L'âge à venir » (le temps futur promis par Dieu).</w:t>
      </w:r>
    </w:p>
    <w:p>
      <w:r/>
      <w:r>
        <w:t>La différence entre ces âges n'est pas seulement le temps par rapport à l'absence de temps. L'« âge à venir » sera une véritable époque future avec ses propres qualités particulières. Lorsque la Bible décrit comment cet âge nouveau commencera, elle nous présente de nombreux détails sur ce qui se produira.</w:t>
      </w:r>
    </w:p>
    <w:p>
      <w:r/>
      <w:r>
        <w:t xml:space="preserve">Ce nouvel âge ne ramènera pas simplement les choses à leur état initial. Au lieu de cela, il complétera le plan de Dieu pour toutes choses, comme décrit dans </w:t>
      </w:r>
      <w:hyperlink r:id="rId5053">
        <w:r>
          <w:rPr>
            <w:color w:val="0000EE"/>
            <w:u w:val="single"/>
          </w:rPr>
          <w:t>Apocalypse 1.4</w:t>
        </w:r>
      </w:hyperlink>
      <w:r>
        <w:t xml:space="preserve"> où Dieu est appelé « Celui qui est, qui était et qui vient ». C'est pourquoi la Bible l'appelle « la nouvelle création ».</w:t>
      </w:r>
    </w:p>
    <w:p>
      <w:pPr>
        <w:pStyle w:val="Heading3"/>
      </w:pPr>
      <w:r>
        <w:t>L'Âge à venir et l'âge présent réunis</w:t>
      </w:r>
    </w:p>
    <w:p>
      <w:r/>
      <w:r>
        <w:t>Le Nouveau Testament enseigne que « l'âge à venir » a déjà commencé. Il a débuté avec la vie et l'œuvre du Christ, même si nous vivons encore dans l'âge présent. Les deux âges se déroulent simultanément en ce moment.</w:t>
      </w:r>
    </w:p>
    <w:p>
      <w:r/>
      <w:r>
        <w:t>Nous pouvons voir cette idée dans plusieurs expressions utilisées par la Bible. Par exemple :</w:t>
      </w:r>
    </w:p>
    <w:p>
      <w:pPr>
        <w:pStyle w:val="ListBullet"/>
        <w:spacing w:line="240" w:lineRule="auto"/>
        <w:ind w:left="720"/>
      </w:pPr>
      <w:r/>
      <w:r>
        <w:t>« Les prémices »</w:t>
      </w:r>
    </w:p>
    <w:p>
      <w:pPr>
        <w:pStyle w:val="ListBullet"/>
        <w:spacing w:line="240" w:lineRule="auto"/>
        <w:ind w:left="720"/>
      </w:pPr>
      <w:r/>
      <w:r>
        <w:t>« La promesse de notre héritage »</w:t>
      </w:r>
    </w:p>
    <w:p>
      <w:pPr>
        <w:pStyle w:val="ListBullet"/>
        <w:spacing w:line="240" w:lineRule="auto"/>
        <w:ind w:left="720"/>
      </w:pPr>
      <w:r/>
      <w:r>
        <w:t>« Les derniers jours »</w:t>
      </w:r>
    </w:p>
    <w:p>
      <w:r/>
      <w:hyperlink r:id="rId5054">
        <w:r>
          <w:rPr>
            <w:color w:val="0000EE"/>
            <w:u w:val="single"/>
          </w:rPr>
          <w:t>Hébreux 6.5</w:t>
        </w:r>
      </w:hyperlink>
      <w:r>
        <w:t xml:space="preserve">, par exemple, parle de personnes qui ont déjà « </w:t>
      </w:r>
      <w:r>
        <w:t>goûté la bonne parole de Dieu et les puissances du siècle à venir</w:t>
      </w:r>
      <w:r>
        <w:t xml:space="preserve"> ». Cela signifie que les disciples de Jésus peuvent dès maintenant profiter de certaines bénédictions de l'âge futur, grâce à ce que Jésus a fait pour nous sauver.</w:t>
      </w:r>
    </w:p>
    <w:p>
      <w:pPr>
        <w:pStyle w:val="Heading3"/>
      </w:pPr>
      <w:r>
        <w:t>Comprendre le temps et l'éternité</w:t>
      </w:r>
    </w:p>
    <w:p>
      <w:r/>
      <w:r>
        <w:t>L'éternité n'est pas l'opposé du temps. Ce n'est pas un état où le temps n'existe pas. Au contraire, l'éternité est le temps sans limites. Elle a commencé lorsque Jésus a introduit le Royaume de Dieu et elle continue pour toujours dans le futur.</w:t>
      </w:r>
    </w:p>
    <w:p>
      <w:r/>
      <w:r>
        <w:t xml:space="preserve">Dieu règne à la fois sur notre temps présent (que </w:t>
      </w:r>
      <w:hyperlink r:id="rId5055">
        <w:r>
          <w:rPr>
            <w:color w:val="0000EE"/>
            <w:u w:val="single"/>
          </w:rPr>
          <w:t>Galates 1.4</w:t>
        </w:r>
      </w:hyperlink>
      <w:r>
        <w:t xml:space="preserve"> appelle le « </w:t>
      </w:r>
      <w:r>
        <w:t xml:space="preserve">présent siècle </w:t>
      </w:r>
      <w:r>
        <w:t>mauvais ») et sur l'éternité. En tant que Seigneur de tout temps, Dieu donne un but et un sens à chacun.</w:t>
      </w:r>
    </w:p>
    <w:p>
      <w:r/>
      <w:r>
        <w:rPr>
          <w:i/>
        </w:rPr>
        <w:t>Voir aussi</w:t>
      </w:r>
      <w:r>
        <w:t xml:space="preserve"> </w:t>
      </w:r>
      <w:r>
        <w:t>Âge</w:t>
      </w:r>
      <w:r>
        <w:t xml:space="preserve"> ; </w:t>
      </w:r>
      <w:r>
        <w:t>Dieu, Être et attributs de</w:t>
      </w:r>
      <w:r>
        <w:t>.</w:t>
      </w:r>
      <w:r/>
      <w:r/>
    </w:p>
    <w:p>
      <w:r/>
    </w:p>
    <w:p>
      <w:pPr>
        <w:pStyle w:val="Heading2"/>
      </w:pPr>
      <w:r>
        <w:t>Éthiopie</w:t>
      </w:r>
      <w:r/>
    </w:p>
    <w:p>
      <w:r/>
      <w:r>
        <w:t>La Bible utilise deux noms différents pour le pays au sud de l'Égypte. Dans l'Ancien Testament, l'Éthiopie était appelée « Cusch » ou « Koush » (</w:t>
      </w:r>
      <w:hyperlink r:id="rId2367">
        <w:r>
          <w:rPr>
            <w:color w:val="0000EE"/>
            <w:u w:val="single"/>
          </w:rPr>
          <w:t>Gn 10.6</w:t>
        </w:r>
      </w:hyperlink>
      <w:r>
        <w:t xml:space="preserve"> ; </w:t>
      </w:r>
      <w:hyperlink r:id="rId2368">
        <w:r>
          <w:rPr>
            <w:color w:val="0000EE"/>
            <w:u w:val="single"/>
          </w:rPr>
          <w:t>1Ch 1.8</w:t>
        </w:r>
      </w:hyperlink>
      <w:r>
        <w:t xml:space="preserve"> ; </w:t>
      </w:r>
      <w:hyperlink r:id="rId4598">
        <w:r>
          <w:rPr>
            <w:color w:val="0000EE"/>
            <w:u w:val="single"/>
          </w:rPr>
          <w:t>Es 11.11</w:t>
        </w:r>
      </w:hyperlink>
      <w:r>
        <w:t>). « Cusch » est l'orthographe française du mot hébreu pour ce pays. Lorsque la Bible a été plus tard traduite en grec, les traducteurs ont utilisé le nom « Éthiopie » au lieu de « Cusch ».</w:t>
      </w:r>
    </w:p>
    <w:p>
      <w:r/>
      <w:r>
        <w:t xml:space="preserve">Cependant, ils ont gardé le nom « Cusch » lorsqu'ils énumèrent différents groupes de personnes dans </w:t>
      </w:r>
      <w:hyperlink r:id="rId3532">
        <w:r>
          <w:rPr>
            <w:color w:val="0000EE"/>
            <w:u w:val="single"/>
          </w:rPr>
          <w:t>Genèse 10.6–8</w:t>
        </w:r>
      </w:hyperlink>
      <w:r>
        <w:t xml:space="preserve"> et </w:t>
      </w:r>
      <w:hyperlink r:id="rId5056">
        <w:r>
          <w:rPr>
            <w:color w:val="0000EE"/>
            <w:u w:val="single"/>
          </w:rPr>
          <w:t>1 Chroniques 1.8–10</w:t>
        </w:r>
      </w:hyperlink>
      <w:r>
        <w:t>. Certaines traductions françaises de la Bible suivent ce modèle grec et utilisent « Éthiopie » pour le lieu et « Cusch » lorsqu'il s'agit d'un nom personnel. D'autres traductions françaises utilisent « Cusch » (ou « Koush ») à la fois pour le lieu et le nom propre, ainsi que « Koushite » pour les personnes vivant dans le pays (</w:t>
      </w:r>
      <w:hyperlink r:id="rId5057">
        <w:r>
          <w:rPr>
            <w:color w:val="0000EE"/>
            <w:u w:val="single"/>
          </w:rPr>
          <w:t>2S 18.21–23, 31–32</w:t>
        </w:r>
      </w:hyperlink>
      <w:r>
        <w:t>, NBS).</w:t>
      </w:r>
    </w:p>
    <w:p>
      <w:pPr>
        <w:pStyle w:val="Heading3"/>
      </w:pPr>
      <w:r>
        <w:t>Histoire de l'Éthiopie ancienne et de ses noms</w:t>
      </w:r>
    </w:p>
    <w:p>
      <w:r/>
      <w:r>
        <w:t>Le nom hébreu « Cusch » provient à l'origine de la langue égyptienne. Les Égyptiens ont d'abord utilisé ce nom pendant une période appelée le Moyen Empire. À cette époque, il désignait seulement une petite zone près de deux parties rocheuses du Nil. Plus tard, pendant une période appelée le Nouvel Empire (env. 1 570 à 1 160 av. J.‑C.), le nom Cusch était utilisé pour une zone beaucoup plus vaste qui s'étendait plus au sud. Aujourd'hui, cette zone plus vaste inclut des parties de ce que nous appelons maintenant la Nubie et le nord du Soudan.</w:t>
      </w:r>
    </w:p>
    <w:p>
      <w:r/>
      <w:r>
        <w:t xml:space="preserve">Il est important de comprendre que l'Éthiopie mentionnée dans la Bible n'est pas la même que le pays appelé Éthiopie aujourd'hui. Le pays moderne de l'Éthiopie s'appelait autrefois Abyssinie. Le nom « Éthiopie » vient de la langue grecque. Certains érudits pensent qu'il signifie « visage brûlé » (voir </w:t>
      </w:r>
      <w:hyperlink r:id="rId2175">
        <w:r>
          <w:rPr>
            <w:color w:val="0000EE"/>
            <w:u w:val="single"/>
          </w:rPr>
          <w:t>Ac 8.27</w:t>
        </w:r>
      </w:hyperlink>
      <w:r>
        <w:t>). Ce nom ancien a influencé le nom arabe « Beled es Sudan », qui signifie « pays des noirs ». C'est de là que vient le nom moderne « Soudan ».</w:t>
      </w:r>
    </w:p>
    <w:p>
      <w:r/>
      <w:r>
        <w:t xml:space="preserve">Les auteurs de l'Ancien Testament utilisaient le nom « Cusch » de la même manière que les Égyptiens. Ils l'employaient pour décrire la terre aride qui s'étendait au sud jusqu'à une ville appelée Assouan (que la Bible appelle Syène dans </w:t>
      </w:r>
      <w:hyperlink r:id="rId5058">
        <w:r>
          <w:rPr>
            <w:color w:val="0000EE"/>
            <w:u w:val="single"/>
          </w:rPr>
          <w:t>Ézéchiel 29.10</w:t>
        </w:r>
      </w:hyperlink>
      <w:r>
        <w:t>). Personne, pas même les Égyptiens, ne savait exactement où se terminaient les frontières de cette terre. Ils savaient simplement qu'elle s'étendait quelque part au-delà d'une ville appelée Méroé dans ce qui est aujourd'hui le Soudan.</w:t>
      </w:r>
    </w:p>
    <w:p>
      <w:r/>
      <w:r>
        <w:t>La majeure partie de l'Éthiopie était une terre désertique à l'est du Nil. Les caractéristiques accidentées de cette terre la rendaient très dangereuse à traverser. Le fleuve lui-même était également dangereux. De gros rochers émergeaient de l'eau, forçant le fleuve à emprunter des passages étroits. Cela créait des eaux agitées qui pouvaient facilement faire couler des bateaux. Ces barrières naturelles aidaient à protéger l'Égypte des attaques venant du sud. Cependant, elles faisaient également de l'Éthiopie un endroit très difficile à habiter.</w:t>
      </w:r>
    </w:p>
    <w:p>
      <w:r/>
      <w:r>
        <w:t>La terre en Nubie égyptienne et dans le nord du Soudan était principalement propice à l'agriculture, mais elle était souvent inondée. En raison de ces inondations, le peuple nubien a dû se déplacer vers une zone située entre deux villes, Assouan et Kom Ombo.</w:t>
      </w:r>
    </w:p>
    <w:p>
      <w:r/>
      <w:r>
        <w:t>Étant donné que la Nubie est principalement désertique, elle reçoit très peu de pluie. Seules les zones situées plus en amont du fleuve reçoivent davantage de précipitations. La ville de Méroé était autrefois la capitale de cette région. Elle se trouve dans une zone particulière entre deux rivières, le Nil d'un côté et l'Atbara de l'autre. Les gens appelaient cette zone « l'île de Méroé ». Dans les temps anciens, cette terre avait un sol fertile pour la culture des plantes et pouvait avoir été couverte de nombreux arbres, car elle recevait de la pluie à certaines périodes de l'année.</w:t>
      </w:r>
    </w:p>
    <w:p>
      <w:pPr>
        <w:pStyle w:val="Heading3"/>
      </w:pPr>
      <w:r>
        <w:t>L'ancienne Éthiopie dans la Bible</w:t>
      </w:r>
    </w:p>
    <w:p>
      <w:r/>
      <w:r>
        <w:t>Le livre d'Esther nous dit que l'Éthiopie (Cusch) était la province la plus au sud-ouest de l'Empire perse (</w:t>
      </w:r>
      <w:hyperlink r:id="rId1412">
        <w:r>
          <w:rPr>
            <w:color w:val="0000EE"/>
            <w:u w:val="single"/>
          </w:rPr>
          <w:t>Est 1.1</w:t>
        </w:r>
      </w:hyperlink>
      <w:r>
        <w:t xml:space="preserve">; </w:t>
      </w:r>
      <w:hyperlink r:id="rId2132">
        <w:r>
          <w:rPr>
            <w:color w:val="0000EE"/>
            <w:u w:val="single"/>
          </w:rPr>
          <w:t>8.9</w:t>
        </w:r>
      </w:hyperlink>
      <w:r>
        <w:t xml:space="preserve">). Les « fleuves » de l'Éthiopie étaient probablement le Nil et l'Atbara (voir </w:t>
      </w:r>
      <w:hyperlink r:id="rId5059">
        <w:r>
          <w:rPr>
            <w:color w:val="0000EE"/>
            <w:u w:val="single"/>
          </w:rPr>
          <w:t>Es 18.1</w:t>
        </w:r>
      </w:hyperlink>
      <w:r>
        <w:t xml:space="preserve">; </w:t>
      </w:r>
      <w:hyperlink r:id="rId3907">
        <w:r>
          <w:rPr>
            <w:color w:val="0000EE"/>
            <w:u w:val="single"/>
          </w:rPr>
          <w:t>So 3.10</w:t>
        </w:r>
      </w:hyperlink>
      <w:r>
        <w:t>). De nombreuses choses précieuses venaient d'Éthiopie (</w:t>
      </w:r>
      <w:hyperlink r:id="rId5060">
        <w:r>
          <w:rPr>
            <w:color w:val="0000EE"/>
            <w:u w:val="single"/>
          </w:rPr>
          <w:t>Jb 28.19</w:t>
        </w:r>
      </w:hyperlink>
      <w:r>
        <w:t xml:space="preserve">; </w:t>
      </w:r>
      <w:hyperlink r:id="rId5061">
        <w:r>
          <w:rPr>
            <w:color w:val="0000EE"/>
            <w:u w:val="single"/>
          </w:rPr>
          <w:t>Es 45.14</w:t>
        </w:r>
      </w:hyperlink>
      <w:r>
        <w:t>). Les archives égyptiennes nous indiquent que cela incluait des pierres précieuses, des animaux et des produits agricoles.</w:t>
      </w:r>
    </w:p>
    <w:p>
      <w:r/>
      <w:r>
        <w:t>Certains prophètes de Dieu ont écrit sur l'Éthiopie de différentes manières. Certains ont dit que les Juifs qui avaient été forcés de vivre en Éthiopie rentreraient chez eux (</w:t>
      </w:r>
      <w:hyperlink r:id="rId5062">
        <w:r>
          <w:rPr>
            <w:color w:val="0000EE"/>
            <w:u w:val="single"/>
          </w:rPr>
          <w:t>Ps 87.4</w:t>
        </w:r>
      </w:hyperlink>
      <w:r>
        <w:t xml:space="preserve"> ; </w:t>
      </w:r>
      <w:hyperlink r:id="rId4598">
        <w:r>
          <w:rPr>
            <w:color w:val="0000EE"/>
            <w:u w:val="single"/>
          </w:rPr>
          <w:t>Es 11.11</w:t>
        </w:r>
      </w:hyperlink>
      <w:r>
        <w:t>). D'autres prophètes ont averti que Dieu jugerait l'Éthiopie (</w:t>
      </w:r>
      <w:hyperlink r:id="rId5063">
        <w:r>
          <w:rPr>
            <w:color w:val="0000EE"/>
            <w:u w:val="single"/>
          </w:rPr>
          <w:t>Es 20.3</w:t>
        </w:r>
      </w:hyperlink>
      <w:r>
        <w:t xml:space="preserve"> ; </w:t>
      </w:r>
      <w:hyperlink r:id="rId5064">
        <w:r>
          <w:rPr>
            <w:color w:val="0000EE"/>
            <w:u w:val="single"/>
          </w:rPr>
          <w:t>Ez 30.4</w:t>
        </w:r>
      </w:hyperlink>
      <w:r>
        <w:t xml:space="preserve"> ; </w:t>
      </w:r>
      <w:hyperlink r:id="rId5065">
        <w:r>
          <w:rPr>
            <w:color w:val="0000EE"/>
            <w:u w:val="single"/>
          </w:rPr>
          <w:t>So 2.12</w:t>
        </w:r>
      </w:hyperlink>
      <w:r>
        <w:t>). Mais parce que l'Éthiopie était sous le contrôle de Dieu, elle pouvait recevoir à la fois la punition et la bénédiction de Dieu. Certains prophètes ont écrit que le peuple éthiopien croirait un jour au Dieu d'Israël (</w:t>
      </w:r>
      <w:hyperlink r:id="rId5066">
        <w:r>
          <w:rPr>
            <w:color w:val="0000EE"/>
            <w:u w:val="single"/>
          </w:rPr>
          <w:t>Ps 68.31</w:t>
        </w:r>
      </w:hyperlink>
      <w:r>
        <w:t xml:space="preserve"> ; </w:t>
      </w:r>
      <w:hyperlink r:id="rId5061">
        <w:r>
          <w:rPr>
            <w:color w:val="0000EE"/>
            <w:u w:val="single"/>
          </w:rPr>
          <w:t>Es 45.14</w:t>
        </w:r>
      </w:hyperlink>
      <w:r>
        <w:t xml:space="preserve"> ; </w:t>
      </w:r>
      <w:hyperlink r:id="rId3907">
        <w:r>
          <w:rPr>
            <w:color w:val="0000EE"/>
            <w:u w:val="single"/>
          </w:rPr>
          <w:t>So 3.10</w:t>
        </w:r>
      </w:hyperlink>
      <w:r>
        <w:t>).</w:t>
      </w:r>
    </w:p>
    <w:p>
      <w:r/>
      <w:r>
        <w:t xml:space="preserve">L'Éthiopie mentionnée dans </w:t>
      </w:r>
      <w:hyperlink r:id="rId2175">
        <w:r>
          <w:rPr>
            <w:color w:val="0000EE"/>
            <w:u w:val="single"/>
          </w:rPr>
          <w:t>Actes 8.27</w:t>
        </w:r>
      </w:hyperlink>
      <w:r>
        <w:t xml:space="preserve"> était le royaume de Candace. « Candace » était le titre donné à toutes les reines qui régnaient sur l'Éthiopie. La reine gouvernait depuis une ville appelée Méroé. Vers 300 av. J.‑C., Méroé était devenue la nouvelle capitale de l'Éthiopie.</w:t>
      </w:r>
    </w:p>
    <w:p>
      <w:r/>
      <w:r>
        <w:rPr>
          <w:i/>
        </w:rPr>
        <w:t>Voir aussi</w:t>
      </w:r>
      <w:r>
        <w:t xml:space="preserve"> </w:t>
      </w:r>
      <w:r>
        <w:t>Cusch (lieu)</w:t>
      </w:r>
      <w:r>
        <w:t>.</w:t>
      </w:r>
      <w:r/>
      <w:r/>
    </w:p>
    <w:p>
      <w:r/>
    </w:p>
    <w:p>
      <w:pPr>
        <w:pStyle w:val="Heading2"/>
      </w:pPr>
      <w:r>
        <w:t>Étienne</w:t>
      </w:r>
      <w:r/>
    </w:p>
    <w:p>
      <w:r/>
      <w:r>
        <w:t>Étienne était l'un des premiers diacres (responsables de l'Église qui s'occupaient des besoins pratiques) dans l'Église primitive. Il sera la première personne à mourir pour sa foi en Jésus.</w:t>
      </w:r>
    </w:p>
    <w:p>
      <w:pPr>
        <w:pStyle w:val="Heading3"/>
      </w:pPr>
      <w:r>
        <w:t>Le rôle d'Étienne dans l'Église primitive</w:t>
      </w:r>
    </w:p>
    <w:p>
      <w:r/>
      <w:r>
        <w:t>Selon Luc, Étienne montre comment certaines personnes dans l'Église primitive de Jérusalem s'intéressaient de plus en plus à la culture grecque. Le discours d'Étienne critique, qui plus est, le judaïsme traditionnel et suggère de répandre l'Évangile au-delà de la Judée (</w:t>
      </w:r>
      <w:hyperlink r:id="rId5067">
        <w:r>
          <w:rPr>
            <w:color w:val="0000EE"/>
            <w:u w:val="single"/>
          </w:rPr>
          <w:t>Ac 7.1–53</w:t>
        </w:r>
      </w:hyperlink>
      <w:r>
        <w:t>).</w:t>
      </w:r>
    </w:p>
    <w:p>
      <w:r/>
      <w:r>
        <w:t xml:space="preserve">Dans </w:t>
      </w:r>
      <w:hyperlink r:id="rId205">
        <w:r>
          <w:rPr>
            <w:color w:val="0000EE"/>
            <w:u w:val="single"/>
          </w:rPr>
          <w:t>Actes 6</w:t>
        </w:r>
      </w:hyperlink>
      <w:r>
        <w:t xml:space="preserve">, Luc décrit la première division dans l'Église primitive. La communauté comprenait deux groupes de croyants juifs : les « Hébreux » et les « Hellénistes ». Ces termes désignent une différence culturelle et linguistique. Les Hébreux venaient des synagogues araméophones, et les Hellénistes venaient des synagogues grecophones. Étienne était l'un des sept diacres choisis pour s'occuper des Hellénistes. Son importance se distingue immédiatement. Il est le seul décrit comme « </w:t>
      </w:r>
      <w:r>
        <w:t>plein de foi et d’Esprit-Saint</w:t>
      </w:r>
      <w:r>
        <w:t xml:space="preserve"> » (</w:t>
      </w:r>
      <w:hyperlink r:id="rId996">
        <w:r>
          <w:rPr>
            <w:color w:val="0000EE"/>
            <w:u w:val="single"/>
          </w:rPr>
          <w:t>Ac 6.5</w:t>
        </w:r>
      </w:hyperlink>
      <w:r>
        <w:t xml:space="preserve">). Après que les diacres ont été choisis, Étienne est mentionné à nouveau comme « </w:t>
      </w:r>
      <w:r>
        <w:t>plein de grâce et de puissance</w:t>
      </w:r>
      <w:r>
        <w:t xml:space="preserve"> ». Il a accompli « </w:t>
      </w:r>
      <w:r>
        <w:t>des prodiges et de grands miracles parmi le peuple</w:t>
      </w:r>
      <w:r>
        <w:t xml:space="preserve"> » (</w:t>
      </w:r>
      <w:hyperlink r:id="rId5068">
        <w:r>
          <w:rPr>
            <w:color w:val="0000EE"/>
            <w:u w:val="single"/>
          </w:rPr>
          <w:t>Ac 6.8</w:t>
        </w:r>
      </w:hyperlink>
      <w:r>
        <w:t>).</w:t>
      </w:r>
    </w:p>
    <w:p>
      <w:pPr>
        <w:pStyle w:val="Heading3"/>
      </w:pPr>
      <w:r>
        <w:t>Le procès d'Étienne devant le Sanhédrin</w:t>
      </w:r>
    </w:p>
    <w:p>
      <w:r/>
      <w:r>
        <w:t>La prédication d'Étienne a causé des conflits avec les synagogues de langue grecque à Jérusalem (</w:t>
      </w:r>
      <w:hyperlink r:id="rId383">
        <w:r>
          <w:rPr>
            <w:color w:val="0000EE"/>
            <w:u w:val="single"/>
          </w:rPr>
          <w:t>Ac 6.9</w:t>
        </w:r>
      </w:hyperlink>
      <w:r>
        <w:t>). Son discours devant le Sanhédrin montre qu'Étienne souhaitait se séparer des anciennes coutumes juives et des pratiques du temple. Le récit de Luc sur l'arrestation et le procès d'Étienne (</w:t>
      </w:r>
      <w:hyperlink r:id="rId5069">
        <w:r>
          <w:rPr>
            <w:color w:val="0000EE"/>
            <w:u w:val="single"/>
          </w:rPr>
          <w:t>6.10–7.60</w:t>
        </w:r>
      </w:hyperlink>
      <w:r>
        <w:t>) reflète le procès de Jésus. Une fois la Judée devenue une province, le gouverneur romain contrôlait la plupart des punitions. Cependant, le Sanhédrin pouvait encore poursuivre les infractions au temple. Étienne a fini par être lapidé à mort (</w:t>
      </w:r>
      <w:hyperlink r:id="rId5070">
        <w:r>
          <w:rPr>
            <w:color w:val="0000EE"/>
            <w:u w:val="single"/>
          </w:rPr>
          <w:t>Ac 7.54–60</w:t>
        </w:r>
      </w:hyperlink>
      <w:r>
        <w:t xml:space="preserve">). En tant que premier martyr de l'Église, Étienne a imité Jésus même dans la mort. Il a remis son esprit à Jésus (comme Jésus l'a fait au Père, </w:t>
      </w:r>
      <w:hyperlink r:id="rId5071">
        <w:r>
          <w:rPr>
            <w:color w:val="0000EE"/>
            <w:u w:val="single"/>
          </w:rPr>
          <w:t>Lc 23.46</w:t>
        </w:r>
      </w:hyperlink>
      <w:r>
        <w:t>) et a demandé le pardon pour ses meurtriers (</w:t>
      </w:r>
      <w:hyperlink r:id="rId5072">
        <w:r>
          <w:rPr>
            <w:color w:val="0000EE"/>
            <w:u w:val="single"/>
          </w:rPr>
          <w:t>Ac 7.59–60</w:t>
        </w:r>
      </w:hyperlink>
      <w:r>
        <w:t>).</w:t>
      </w:r>
    </w:p>
    <w:p>
      <w:pPr>
        <w:pStyle w:val="Heading3"/>
      </w:pPr>
      <w:r>
        <w:t>Discours et martyre d'Étienne</w:t>
      </w:r>
    </w:p>
    <w:p>
      <w:r/>
      <w:r>
        <w:t xml:space="preserve">Le discours d'Étienne dans </w:t>
      </w:r>
      <w:hyperlink r:id="rId182">
        <w:r>
          <w:rPr>
            <w:color w:val="0000EE"/>
            <w:u w:val="single"/>
          </w:rPr>
          <w:t>Ac 7</w:t>
        </w:r>
      </w:hyperlink>
      <w:r>
        <w:t xml:space="preserve"> est sa défense. Il sert également l'objectif de Luc de répandre l'Évangile dans d'autres contrées (</w:t>
      </w:r>
      <w:hyperlink r:id="rId200">
        <w:r>
          <w:rPr>
            <w:color w:val="0000EE"/>
            <w:u w:val="single"/>
          </w:rPr>
          <w:t>Ac 1.8</w:t>
        </w:r>
      </w:hyperlink>
      <w:r>
        <w:t>). Il s'agit du discours le plus long du livre des Actes et il intervient à un moment crucial de l'histoire de l'Église primitive. Étienne passe en revue l'histoire biblique et soutient que le cœur du judaïsme était en péril. Il note que les Juifs étaient fiers du temple, mais que ce n'était pas là l'idée originale de Dieu. Le temple de Salomon était différent du tabernacle dans le désert. Étienne utilise également la Torah pour souligner la désobéissance répétée d'Israël. Les mêmes Écritures prédisaient la venue du « Juste », qu'Israël a crucifié.</w:t>
      </w:r>
    </w:p>
    <w:p>
      <w:r/>
      <w:r>
        <w:t>Le discours d'Étienne revêt une importance considérable. Il démontre que les frontières nationales et religieuses du judaïsme ne limitent pas Dieu. L'attitude exclusive du judaïsme est contre nature, et l'œuvre de Dieu est toujours en mouvement. Si Étienne avait raison, l'Église juive devrait être libre de porter l'Évangile au-delà de la Judée. Le martyre d'Étienne a conduit à la persécution à Jérusalem (</w:t>
      </w:r>
      <w:hyperlink r:id="rId5073">
        <w:r>
          <w:rPr>
            <w:color w:val="0000EE"/>
            <w:u w:val="single"/>
          </w:rPr>
          <w:t>Ac 8.1–3</w:t>
        </w:r>
      </w:hyperlink>
      <w:r>
        <w:t>), ce qui a également conduit à la diffusion de l'Évangile aux Samaritains puis aux Grecs.</w:t>
      </w:r>
      <w:r/>
      <w:r/>
    </w:p>
    <w:p>
      <w:r/>
    </w:p>
    <w:p>
      <w:pPr>
        <w:pStyle w:val="Heading2"/>
      </w:pPr>
      <w:r>
        <w:t>Étranger</w:t>
      </w:r>
      <w:r/>
    </w:p>
    <w:p>
      <w:r/>
      <w:r>
        <w:t>Une personne qui n'est pas citoyenne. Un étranger peut être un invité temporaire, un résident temporaire ou une personne inconnue.</w:t>
      </w:r>
    </w:p>
    <w:p>
      <w:r/>
      <w:r>
        <w:t>Trois mots hébreux peuvent être traduits par « étranger » :</w:t>
      </w:r>
    </w:p>
    <w:p>
      <w:pPr>
        <w:pStyle w:val="ListBullet"/>
        <w:spacing w:line="240" w:lineRule="auto"/>
        <w:ind w:left="720"/>
      </w:pPr>
      <w:r/>
      <w:r>
        <w:t xml:space="preserve">Le premier est le mot </w:t>
      </w:r>
      <w:r>
        <w:rPr>
          <w:i/>
        </w:rPr>
        <w:t>ger</w:t>
      </w:r>
      <w:r>
        <w:t xml:space="preserve">. Ce mot désigne de manière générale une personne qui s’est installée depuis un certain temps dans un pays qui n’est pas sa patrie. Ainsi, ce mot peut aussi être traduit par « résidant » et dans les versions plus récentes, par « immigré » ou « étranger en séjour ». Dans l’Ancien Testament, le </w:t>
      </w:r>
      <w:r>
        <w:rPr>
          <w:i/>
        </w:rPr>
        <w:t>ger</w:t>
      </w:r>
      <w:r>
        <w:t xml:space="preserve"> ne possède pas de terre ancestrale et peut avoir été éloigné de son réseau familial. Il peut s’agir d’un Israélite ayant perdu sa terre, mais le plus souvent, il s’agit d’un étranger. La perspective est celle du citoyen qui regarde un résidant, généralement d’un autre peuple, qui habite à côté de lui. Le verbe de même racine est souvent traduit par « séjourner » (voir p. ex. </w:t>
      </w:r>
      <w:hyperlink r:id="rId5074">
        <w:r>
          <w:rPr>
            <w:color w:val="0000EE"/>
            <w:u w:val="single"/>
          </w:rPr>
          <w:t>Gn 26.3</w:t>
        </w:r>
      </w:hyperlink>
      <w:r>
        <w:t xml:space="preserve">). Dans quelques passages, ce mot est utilisé pour décrire le statut d’Israël devant Dieu en particulier (voir </w:t>
      </w:r>
      <w:hyperlink r:id="rId5075">
        <w:r>
          <w:rPr>
            <w:color w:val="0000EE"/>
            <w:u w:val="single"/>
          </w:rPr>
          <w:t>Lv 25.28</w:t>
        </w:r>
      </w:hyperlink>
      <w:r>
        <w:t xml:space="preserve"> ; </w:t>
      </w:r>
      <w:hyperlink r:id="rId5076">
        <w:r>
          <w:rPr>
            <w:color w:val="0000EE"/>
            <w:u w:val="single"/>
          </w:rPr>
          <w:t>1Ch 29.15</w:t>
        </w:r>
      </w:hyperlink>
      <w:r>
        <w:t xml:space="preserve"> ; </w:t>
      </w:r>
      <w:hyperlink r:id="rId5077">
        <w:r>
          <w:rPr>
            <w:color w:val="0000EE"/>
            <w:u w:val="single"/>
          </w:rPr>
          <w:t>Ps 39.13</w:t>
        </w:r>
      </w:hyperlink>
      <w:r>
        <w:t xml:space="preserve"> ; 119.19 et comp. avec </w:t>
      </w:r>
      <w:hyperlink r:id="rId5078">
        <w:r>
          <w:rPr>
            <w:color w:val="0000EE"/>
            <w:u w:val="single"/>
          </w:rPr>
          <w:t>Gn 23.4</w:t>
        </w:r>
      </w:hyperlink>
      <w:r>
        <w:t>).</w:t>
      </w:r>
    </w:p>
    <w:p>
      <w:pPr>
        <w:pStyle w:val="ListBullet"/>
        <w:spacing w:line="240" w:lineRule="auto"/>
        <w:ind w:left="720"/>
      </w:pPr>
      <w:r/>
      <w:r>
        <w:t xml:space="preserve">Le deuxième est le mot </w:t>
      </w:r>
      <w:r>
        <w:rPr>
          <w:i/>
        </w:rPr>
        <w:t>toshav</w:t>
      </w:r>
      <w:r>
        <w:t xml:space="preserve">. Il est moins fréquent que </w:t>
      </w:r>
      <w:r>
        <w:rPr>
          <w:i/>
        </w:rPr>
        <w:t>ger</w:t>
      </w:r>
      <w:r>
        <w:t xml:space="preserve"> et signifie « habitant » ou « résidant ». Certains passages donnent l’impression que le statut du </w:t>
      </w:r>
      <w:r>
        <w:rPr>
          <w:i/>
        </w:rPr>
        <w:t>toshav</w:t>
      </w:r>
      <w:r>
        <w:t xml:space="preserve"> est plus précaire que celui du </w:t>
      </w:r>
      <w:r>
        <w:rPr>
          <w:i/>
        </w:rPr>
        <w:t>ger</w:t>
      </w:r>
      <w:r>
        <w:t xml:space="preserve">, mais il n’est pas vraiment possible d’établir deux catégories distinctes. Généralement parlant, les deux termes ont l’air d’être synonymes (voir p. ex. </w:t>
      </w:r>
      <w:hyperlink r:id="rId5078">
        <w:r>
          <w:rPr>
            <w:color w:val="0000EE"/>
            <w:u w:val="single"/>
          </w:rPr>
          <w:t>Gn 23.4</w:t>
        </w:r>
      </w:hyperlink>
      <w:r>
        <w:t xml:space="preserve"> et </w:t>
      </w:r>
      <w:hyperlink r:id="rId5077">
        <w:r>
          <w:rPr>
            <w:color w:val="0000EE"/>
            <w:u w:val="single"/>
          </w:rPr>
          <w:t>Ps 39.13</w:t>
        </w:r>
      </w:hyperlink>
      <w:r>
        <w:t xml:space="preserve">, où </w:t>
      </w:r>
      <w:r>
        <w:rPr>
          <w:i/>
        </w:rPr>
        <w:t xml:space="preserve">ger </w:t>
      </w:r>
      <w:r>
        <w:t xml:space="preserve">et </w:t>
      </w:r>
      <w:r>
        <w:rPr>
          <w:i/>
        </w:rPr>
        <w:t>toshav</w:t>
      </w:r>
      <w:r>
        <w:t xml:space="preserve"> sont utilisés en parallèle et traduits respectivement étranger et habitant).</w:t>
      </w:r>
    </w:p>
    <w:p>
      <w:pPr>
        <w:pStyle w:val="ListBullet"/>
        <w:spacing w:line="240" w:lineRule="auto"/>
        <w:ind w:left="720"/>
      </w:pPr>
      <w:r/>
      <w:r>
        <w:t xml:space="preserve">Le troisième est le mot </w:t>
      </w:r>
      <w:r>
        <w:rPr>
          <w:i/>
        </w:rPr>
        <w:t>nacri</w:t>
      </w:r>
      <w:r>
        <w:t xml:space="preserve">. Ce mot désigne quelqu’un qui fait partie d’un autre peuple. Ce mot peut également être traduit « inconnu ». Il semble y avoir plus de distance entre le </w:t>
      </w:r>
      <w:r>
        <w:rPr>
          <w:i/>
        </w:rPr>
        <w:t>nacri</w:t>
      </w:r>
      <w:r>
        <w:t xml:space="preserve"> et l’Israélite qu’entre l’Israélite et le </w:t>
      </w:r>
      <w:r>
        <w:rPr>
          <w:i/>
        </w:rPr>
        <w:t>ger</w:t>
      </w:r>
      <w:r>
        <w:t xml:space="preserve"> ou le </w:t>
      </w:r>
      <w:r>
        <w:rPr>
          <w:i/>
        </w:rPr>
        <w:t>toshav</w:t>
      </w:r>
      <w:r>
        <w:t xml:space="preserve">. Par exemple, dans </w:t>
      </w:r>
      <w:hyperlink r:id="rId5079">
        <w:r>
          <w:rPr>
            <w:color w:val="0000EE"/>
            <w:u w:val="single"/>
          </w:rPr>
          <w:t>Deutéronome 15.3</w:t>
        </w:r>
      </w:hyperlink>
      <w:r>
        <w:t xml:space="preserve"> ; 23.20 et Ruth 2.10, c’est le mot </w:t>
      </w:r>
      <w:r>
        <w:rPr>
          <w:i/>
        </w:rPr>
        <w:t>nacri</w:t>
      </w:r>
      <w:r>
        <w:t xml:space="preserve"> qui est traduit « étranger ». De façon plus frappante encore, </w:t>
      </w:r>
      <w:r>
        <w:rPr>
          <w:i/>
        </w:rPr>
        <w:t xml:space="preserve">ger </w:t>
      </w:r>
      <w:r>
        <w:t>et</w:t>
      </w:r>
      <w:r>
        <w:rPr>
          <w:i/>
        </w:rPr>
        <w:t xml:space="preserve"> nacri </w:t>
      </w:r>
      <w:r>
        <w:t xml:space="preserve">apparaissent tous les deux dans </w:t>
      </w:r>
      <w:hyperlink r:id="rId5080">
        <w:r>
          <w:rPr>
            <w:color w:val="0000EE"/>
            <w:u w:val="single"/>
          </w:rPr>
          <w:t>Deutéronome 14.21</w:t>
        </w:r>
      </w:hyperlink>
      <w:r>
        <w:t xml:space="preserve"> : « Vous ne mangerez d’aucune bête morte ; tu la </w:t>
      </w:r>
      <w:r>
        <w:rPr>
          <w:b/>
          <w:i/>
        </w:rPr>
        <w:t>donneras</w:t>
      </w:r>
      <w:r>
        <w:t xml:space="preserve"> à l’étranger [</w:t>
      </w:r>
      <w:r>
        <w:rPr>
          <w:i/>
        </w:rPr>
        <w:t>ger</w:t>
      </w:r>
      <w:r>
        <w:t xml:space="preserve">] </w:t>
      </w:r>
      <w:r>
        <w:rPr>
          <w:b/>
          <w:i/>
        </w:rPr>
        <w:t>qui sera dans tes portes</w:t>
      </w:r>
      <w:r>
        <w:t xml:space="preserve">, afin qu’il la mange, ou tu la </w:t>
      </w:r>
      <w:r>
        <w:rPr>
          <w:b/>
          <w:i/>
        </w:rPr>
        <w:t>vendras</w:t>
      </w:r>
      <w:r>
        <w:t xml:space="preserve"> à un étranger [</w:t>
      </w:r>
      <w:r>
        <w:rPr>
          <w:i/>
        </w:rPr>
        <w:t>nacri</w:t>
      </w:r>
      <w:r>
        <w:t>] ».</w:t>
      </w:r>
    </w:p>
    <w:p>
      <w:r/>
      <w:r>
        <w:t xml:space="preserve">Parmi les passages référencés dans le reste de cet article, le mot </w:t>
      </w:r>
      <w:r>
        <w:rPr>
          <w:i/>
        </w:rPr>
        <w:t>nacri</w:t>
      </w:r>
      <w:r>
        <w:t xml:space="preserve"> est utilisé dans : </w:t>
      </w:r>
      <w:hyperlink r:id="rId5081">
        <w:r>
          <w:rPr>
            <w:color w:val="0000EE"/>
            <w:u w:val="single"/>
          </w:rPr>
          <w:t>Exode 2.22</w:t>
        </w:r>
      </w:hyperlink>
      <w:r>
        <w:t xml:space="preserve"> ; </w:t>
      </w:r>
      <w:hyperlink r:id="rId5080">
        <w:r>
          <w:rPr>
            <w:color w:val="0000EE"/>
            <w:u w:val="single"/>
          </w:rPr>
          <w:t>Deutéronome 14.21</w:t>
        </w:r>
      </w:hyperlink>
      <w:r>
        <w:t xml:space="preserve"> (deuxième occurrence du mot « étranger »), </w:t>
      </w:r>
      <w:hyperlink r:id="rId5079">
        <w:r>
          <w:rPr>
            <w:color w:val="0000EE"/>
            <w:u w:val="single"/>
          </w:rPr>
          <w:t>15.3</w:t>
        </w:r>
      </w:hyperlink>
      <w:r>
        <w:t xml:space="preserve">, </w:t>
      </w:r>
      <w:hyperlink r:id="rId5082">
        <w:r>
          <w:rPr>
            <w:color w:val="0000EE"/>
            <w:u w:val="single"/>
          </w:rPr>
          <w:t>17.15</w:t>
        </w:r>
      </w:hyperlink>
      <w:r>
        <w:t xml:space="preserve"> ; </w:t>
      </w:r>
      <w:hyperlink r:id="rId5083">
        <w:r>
          <w:rPr>
            <w:color w:val="0000EE"/>
            <w:u w:val="single"/>
          </w:rPr>
          <w:t>Job 19.15</w:t>
        </w:r>
      </w:hyperlink>
      <w:r>
        <w:t xml:space="preserve"> ; </w:t>
      </w:r>
      <w:hyperlink r:id="rId5084">
        <w:r>
          <w:rPr>
            <w:color w:val="0000EE"/>
            <w:u w:val="single"/>
          </w:rPr>
          <w:t>Psaumes 69.8</w:t>
        </w:r>
      </w:hyperlink>
      <w:r>
        <w:t xml:space="preserve"> (traduit « inconnu ») ; </w:t>
      </w:r>
      <w:hyperlink r:id="rId5085">
        <w:r>
          <w:rPr>
            <w:color w:val="0000EE"/>
            <w:u w:val="single"/>
          </w:rPr>
          <w:t>Lamentations 5.2</w:t>
        </w:r>
      </w:hyperlink>
      <w:r>
        <w:t xml:space="preserve"> (traduit « inconnu ») et </w:t>
      </w:r>
      <w:hyperlink r:id="rId4506">
        <w:r>
          <w:rPr>
            <w:color w:val="0000EE"/>
            <w:u w:val="single"/>
          </w:rPr>
          <w:t>Abdias 1.11</w:t>
        </w:r>
      </w:hyperlink>
      <w:r>
        <w:t xml:space="preserve">. Dans les autres versets, ce sont les mots </w:t>
      </w:r>
      <w:r>
        <w:rPr>
          <w:i/>
        </w:rPr>
        <w:t>ger</w:t>
      </w:r>
      <w:r>
        <w:t xml:space="preserve"> ou </w:t>
      </w:r>
      <w:r>
        <w:rPr>
          <w:i/>
        </w:rPr>
        <w:t>toshav</w:t>
      </w:r>
      <w:r>
        <w:t xml:space="preserve"> qui apparaissent.</w:t>
      </w:r>
    </w:p>
    <w:p>
      <w:r/>
      <w:r>
        <w:t>Un invité temporaire ou un résident temporaire était généralement quelqu'un qui souhaitait s'établir temporairement ou qui avait déménagé d'une tribu à une autre et tentait ensuite d'obtenir certains avantages ou droits appartenant aux habitants natifs. Une tribu entière pouvait être résident temporaire en Israël. C'était le cas des Gabaonites (</w:t>
      </w:r>
      <w:hyperlink r:id="rId3061">
        <w:r>
          <w:rPr>
            <w:color w:val="0000EE"/>
            <w:u w:val="single"/>
          </w:rPr>
          <w:t>Jos 9</w:t>
        </w:r>
      </w:hyperlink>
      <w:r>
        <w:t>) et des Béérothites (</w:t>
      </w:r>
      <w:hyperlink r:id="rId5086">
        <w:r>
          <w:rPr>
            <w:color w:val="0000EE"/>
            <w:u w:val="single"/>
          </w:rPr>
          <w:t>2S 4.3</w:t>
        </w:r>
      </w:hyperlink>
      <w:r>
        <w:t xml:space="preserve"> ; voir </w:t>
      </w:r>
      <w:hyperlink r:id="rId5087">
        <w:r>
          <w:rPr>
            <w:color w:val="0000EE"/>
            <w:u w:val="single"/>
          </w:rPr>
          <w:t>2Ch 2.17</w:t>
        </w:r>
      </w:hyperlink>
      <w:r>
        <w:t>). Les Israélites eux-mêmes étaient des résidents temporaires dans le pays d'Égypte (</w:t>
      </w:r>
      <w:hyperlink r:id="rId2540">
        <w:r>
          <w:rPr>
            <w:color w:val="0000EE"/>
            <w:u w:val="single"/>
          </w:rPr>
          <w:t>Gn 15.13</w:t>
        </w:r>
      </w:hyperlink>
      <w:r>
        <w:t xml:space="preserve"> ; </w:t>
      </w:r>
      <w:hyperlink r:id="rId5078">
        <w:r>
          <w:rPr>
            <w:color w:val="0000EE"/>
            <w:u w:val="single"/>
          </w:rPr>
          <w:t>23.4</w:t>
        </w:r>
      </w:hyperlink>
      <w:r>
        <w:t xml:space="preserve"> ; </w:t>
      </w:r>
      <w:hyperlink r:id="rId5074">
        <w:r>
          <w:rPr>
            <w:color w:val="0000EE"/>
            <w:u w:val="single"/>
          </w:rPr>
          <w:t>26.3</w:t>
        </w:r>
      </w:hyperlink>
      <w:r>
        <w:t xml:space="preserve"> ; </w:t>
      </w:r>
      <w:hyperlink r:id="rId5088">
        <w:r>
          <w:rPr>
            <w:color w:val="0000EE"/>
            <w:u w:val="single"/>
          </w:rPr>
          <w:t>47.4</w:t>
        </w:r>
      </w:hyperlink>
      <w:r>
        <w:t xml:space="preserve"> ; </w:t>
      </w:r>
      <w:hyperlink r:id="rId5081">
        <w:r>
          <w:rPr>
            <w:color w:val="0000EE"/>
            <w:u w:val="single"/>
          </w:rPr>
          <w:t>Ex 2.22</w:t>
        </w:r>
      </w:hyperlink>
      <w:r>
        <w:t xml:space="preserve"> ; </w:t>
      </w:r>
      <w:hyperlink r:id="rId2775">
        <w:r>
          <w:rPr>
            <w:color w:val="0000EE"/>
            <w:u w:val="single"/>
          </w:rPr>
          <w:t>23.9</w:t>
        </w:r>
      </w:hyperlink>
      <w:r>
        <w:t>) et dans d'autres pays (</w:t>
      </w:r>
      <w:hyperlink r:id="rId5089">
        <w:r>
          <w:rPr>
            <w:color w:val="0000EE"/>
            <w:u w:val="single"/>
          </w:rPr>
          <w:t>Rt 1.1</w:t>
        </w:r>
      </w:hyperlink>
      <w:r>
        <w:t>).</w:t>
      </w:r>
    </w:p>
    <w:p>
      <w:r/>
      <w:r>
        <w:t>Les étrangers ou résidents temporaires avaient certains droits en Israël, mais ils faisaient face à certaines limitations. Ils pouvaient offrir des sacrifices (</w:t>
      </w:r>
      <w:hyperlink r:id="rId5090">
        <w:r>
          <w:rPr>
            <w:color w:val="0000EE"/>
            <w:u w:val="single"/>
          </w:rPr>
          <w:t>Lv 17.8</w:t>
        </w:r>
      </w:hyperlink>
      <w:r>
        <w:t xml:space="preserve"> ; </w:t>
      </w:r>
      <w:hyperlink r:id="rId5091">
        <w:r>
          <w:rPr>
            <w:color w:val="0000EE"/>
            <w:u w:val="single"/>
          </w:rPr>
          <w:t>22.18</w:t>
        </w:r>
      </w:hyperlink>
      <w:r>
        <w:t>), mais ne pouvaient pas entrer dans le sanctuaire à moins d'être circoncis (</w:t>
      </w:r>
      <w:hyperlink r:id="rId5092">
        <w:r>
          <w:rPr>
            <w:color w:val="0000EE"/>
            <w:u w:val="single"/>
          </w:rPr>
          <w:t>Ez 44.9</w:t>
        </w:r>
      </w:hyperlink>
      <w:r>
        <w:t>). Ils étaient autorisés à participer aux trois grandes fêtes juives (</w:t>
      </w:r>
      <w:hyperlink r:id="rId5093">
        <w:r>
          <w:rPr>
            <w:color w:val="0000EE"/>
            <w:u w:val="single"/>
          </w:rPr>
          <w:t>Dt 16.11, 14</w:t>
        </w:r>
      </w:hyperlink>
      <w:r>
        <w:t>), mais ne pouvaient pas manger le repas de la Pâque à moins d'être circoncis (</w:t>
      </w:r>
      <w:hyperlink r:id="rId5094">
        <w:r>
          <w:rPr>
            <w:color w:val="0000EE"/>
            <w:u w:val="single"/>
          </w:rPr>
          <w:t>Ex 12.43, 48</w:t>
        </w:r>
      </w:hyperlink>
      <w:r>
        <w:t>). Les étrangers n'étaient pas obligés de suivre la religion israélite, mais ils bénéficiaient de certains de ses avantages (</w:t>
      </w:r>
      <w:hyperlink r:id="rId5095">
        <w:r>
          <w:rPr>
            <w:color w:val="0000EE"/>
            <w:u w:val="single"/>
          </w:rPr>
          <w:t>Dt 14.29</w:t>
        </w:r>
      </w:hyperlink>
      <w:r>
        <w:t>). Ils ne devaient pas travailler le sabbat ou le Jour des Expiations (</w:t>
      </w:r>
      <w:hyperlink r:id="rId5096">
        <w:r>
          <w:rPr>
            <w:color w:val="0000EE"/>
            <w:u w:val="single"/>
          </w:rPr>
          <w:t>Ex 20.10</w:t>
        </w:r>
      </w:hyperlink>
      <w:r>
        <w:t xml:space="preserve"> ; </w:t>
      </w:r>
      <w:hyperlink r:id="rId5097">
        <w:r>
          <w:rPr>
            <w:color w:val="0000EE"/>
            <w:u w:val="single"/>
          </w:rPr>
          <w:t>23.12</w:t>
        </w:r>
      </w:hyperlink>
      <w:r>
        <w:t xml:space="preserve"> ; </w:t>
      </w:r>
      <w:hyperlink r:id="rId5098">
        <w:r>
          <w:rPr>
            <w:color w:val="0000EE"/>
            <w:u w:val="single"/>
          </w:rPr>
          <w:t>Lv 16.29</w:t>
        </w:r>
      </w:hyperlink>
      <w:r>
        <w:t xml:space="preserve"> ; </w:t>
      </w:r>
      <w:hyperlink r:id="rId5099">
        <w:r>
          <w:rPr>
            <w:color w:val="0000EE"/>
            <w:u w:val="single"/>
          </w:rPr>
          <w:t>Dt 5.14</w:t>
        </w:r>
      </w:hyperlink>
      <w:r>
        <w:t>) et pouvaient être lapidés pour avoir insulté ou blasphémé le nom de Dieu (</w:t>
      </w:r>
      <w:hyperlink r:id="rId3979">
        <w:r>
          <w:rPr>
            <w:color w:val="0000EE"/>
            <w:u w:val="single"/>
          </w:rPr>
          <w:t>Lv 24.16</w:t>
        </w:r>
      </w:hyperlink>
      <w:r>
        <w:t xml:space="preserve"> ; </w:t>
      </w:r>
      <w:hyperlink r:id="rId5100">
        <w:r>
          <w:rPr>
            <w:color w:val="0000EE"/>
            <w:u w:val="single"/>
          </w:rPr>
          <w:t>Nb 15.30</w:t>
        </w:r>
      </w:hyperlink>
      <w:r>
        <w:t>). Les étrangers avaient l'interdiction de manger du sang (</w:t>
      </w:r>
      <w:hyperlink r:id="rId5101">
        <w:r>
          <w:rPr>
            <w:color w:val="0000EE"/>
            <w:u w:val="single"/>
          </w:rPr>
          <w:t>Lv 17.10–12</w:t>
        </w:r>
      </w:hyperlink>
      <w:r>
        <w:t>), mais pouvaient consommer des animaux morts de mort naturelle (</w:t>
      </w:r>
      <w:hyperlink r:id="rId5080">
        <w:r>
          <w:rPr>
            <w:color w:val="0000EE"/>
            <w:u w:val="single"/>
          </w:rPr>
          <w:t>Dt 14.21</w:t>
        </w:r>
      </w:hyperlink>
      <w:r>
        <w:t>). Le code de moralité sexuelle d'Israël s'appliquait également à l'étranger (</w:t>
      </w:r>
      <w:hyperlink r:id="rId5102">
        <w:r>
          <w:rPr>
            <w:color w:val="0000EE"/>
            <w:u w:val="single"/>
          </w:rPr>
          <w:t>Lv 18.26</w:t>
        </w:r>
      </w:hyperlink>
      <w:r>
        <w:t>). Bien qu'il y ait eu des interdictions contre les mariages entre Israélites et étrangers, cela se produisait néanmoins fréquemment (</w:t>
      </w:r>
      <w:hyperlink r:id="rId5103">
        <w:r>
          <w:rPr>
            <w:color w:val="0000EE"/>
            <w:u w:val="single"/>
          </w:rPr>
          <w:t>Gn 34.14</w:t>
        </w:r>
      </w:hyperlink>
      <w:r>
        <w:t xml:space="preserve"> ; </w:t>
      </w:r>
      <w:hyperlink r:id="rId5104">
        <w:r>
          <w:rPr>
            <w:color w:val="0000EE"/>
            <w:u w:val="single"/>
          </w:rPr>
          <w:t>Ex 34.12, 16</w:t>
        </w:r>
      </w:hyperlink>
      <w:r>
        <w:t xml:space="preserve"> ; </w:t>
      </w:r>
      <w:hyperlink r:id="rId5105">
        <w:r>
          <w:rPr>
            <w:color w:val="0000EE"/>
            <w:u w:val="single"/>
          </w:rPr>
          <w:t>Dt 7.3–4</w:t>
        </w:r>
      </w:hyperlink>
      <w:r>
        <w:t xml:space="preserve"> ; </w:t>
      </w:r>
      <w:hyperlink r:id="rId5106">
        <w:r>
          <w:rPr>
            <w:color w:val="0000EE"/>
            <w:u w:val="single"/>
          </w:rPr>
          <w:t>Jos 23.12</w:t>
        </w:r>
      </w:hyperlink>
      <w:r>
        <w:t>).</w:t>
      </w:r>
    </w:p>
    <w:p>
      <w:r/>
      <w:r>
        <w:t>Les droits civiques étaient accordés aux étrangers par la loi de Moïse (</w:t>
      </w:r>
      <w:hyperlink r:id="rId5107">
        <w:r>
          <w:rPr>
            <w:color w:val="0000EE"/>
            <w:u w:val="single"/>
          </w:rPr>
          <w:t>Ex 12.49</w:t>
        </w:r>
      </w:hyperlink>
      <w:r>
        <w:t xml:space="preserve"> ; </w:t>
      </w:r>
      <w:hyperlink r:id="rId5108">
        <w:r>
          <w:rPr>
            <w:color w:val="0000EE"/>
            <w:u w:val="single"/>
          </w:rPr>
          <w:t>Lv 24.22</w:t>
        </w:r>
      </w:hyperlink>
      <w:r>
        <w:t>). Ils étaient soumis aux mêmes procédures légales et punitions (</w:t>
      </w:r>
      <w:hyperlink r:id="rId4310">
        <w:r>
          <w:rPr>
            <w:color w:val="0000EE"/>
            <w:u w:val="single"/>
          </w:rPr>
          <w:t>Lv 20.2</w:t>
        </w:r>
      </w:hyperlink>
      <w:r>
        <w:t xml:space="preserve"> ; </w:t>
      </w:r>
      <w:hyperlink r:id="rId5109">
        <w:r>
          <w:rPr>
            <w:color w:val="0000EE"/>
            <w:u w:val="single"/>
          </w:rPr>
          <w:t>24.16, 22</w:t>
        </w:r>
      </w:hyperlink>
      <w:r>
        <w:t xml:space="preserve"> ; </w:t>
      </w:r>
      <w:hyperlink r:id="rId5110">
        <w:r>
          <w:rPr>
            <w:color w:val="0000EE"/>
            <w:u w:val="single"/>
          </w:rPr>
          <w:t>Dt 1.16</w:t>
        </w:r>
      </w:hyperlink>
      <w:r>
        <w:t>). Ils devaient être traités avec courtoisie (</w:t>
      </w:r>
      <w:hyperlink r:id="rId5111">
        <w:r>
          <w:rPr>
            <w:color w:val="0000EE"/>
            <w:u w:val="single"/>
          </w:rPr>
          <w:t>Ex 22.21</w:t>
        </w:r>
      </w:hyperlink>
      <w:r>
        <w:t xml:space="preserve"> ; </w:t>
      </w:r>
      <w:hyperlink r:id="rId2775">
        <w:r>
          <w:rPr>
            <w:color w:val="0000EE"/>
            <w:u w:val="single"/>
          </w:rPr>
          <w:t>23.9</w:t>
        </w:r>
      </w:hyperlink>
      <w:r>
        <w:t>). Ils devaient être aimés comme des personnes qui se trouvaient sous l'amour de Dieu (</w:t>
      </w:r>
      <w:hyperlink r:id="rId5112">
        <w:r>
          <w:rPr>
            <w:color w:val="0000EE"/>
            <w:u w:val="single"/>
          </w:rPr>
          <w:t>Lv 19.34</w:t>
        </w:r>
      </w:hyperlink>
      <w:r>
        <w:t xml:space="preserve"> ; </w:t>
      </w:r>
      <w:hyperlink r:id="rId5113">
        <w:r>
          <w:rPr>
            <w:color w:val="0000EE"/>
            <w:u w:val="single"/>
          </w:rPr>
          <w:t>Dt 10.18–19</w:t>
        </w:r>
      </w:hyperlink>
      <w:r>
        <w:t>). Ils devaient être traités généreusement (</w:t>
      </w:r>
      <w:hyperlink r:id="rId5114">
        <w:r>
          <w:rPr>
            <w:color w:val="0000EE"/>
            <w:u w:val="single"/>
          </w:rPr>
          <w:t>Lv 19.10</w:t>
        </w:r>
      </w:hyperlink>
      <w:r>
        <w:t xml:space="preserve"> ; </w:t>
      </w:r>
      <w:hyperlink r:id="rId5115">
        <w:r>
          <w:rPr>
            <w:color w:val="0000EE"/>
            <w:u w:val="single"/>
          </w:rPr>
          <w:t>23.22</w:t>
        </w:r>
      </w:hyperlink>
      <w:r>
        <w:t xml:space="preserve"> ; </w:t>
      </w:r>
      <w:hyperlink r:id="rId5116">
        <w:r>
          <w:rPr>
            <w:color w:val="0000EE"/>
            <w:u w:val="single"/>
          </w:rPr>
          <w:t>Dt 24.19–22</w:t>
        </w:r>
      </w:hyperlink>
      <w:r>
        <w:t>). Ils pouvaient recevoir l'asile (protection ou abri) en temps de trouble (</w:t>
      </w:r>
      <w:hyperlink r:id="rId5117">
        <w:r>
          <w:rPr>
            <w:color w:val="0000EE"/>
            <w:u w:val="single"/>
          </w:rPr>
          <w:t>Nb 35.15</w:t>
        </w:r>
      </w:hyperlink>
      <w:r>
        <w:t xml:space="preserve"> ; </w:t>
      </w:r>
      <w:hyperlink r:id="rId5118">
        <w:r>
          <w:rPr>
            <w:color w:val="0000EE"/>
            <w:u w:val="single"/>
          </w:rPr>
          <w:t>Jos 20.9</w:t>
        </w:r>
      </w:hyperlink>
      <w:r>
        <w:t>). Les serviteurs étrangers devaient recevoir un traitement égal aux serviteurs hébreux (</w:t>
      </w:r>
      <w:hyperlink r:id="rId5119">
        <w:r>
          <w:rPr>
            <w:color w:val="0000EE"/>
            <w:u w:val="single"/>
          </w:rPr>
          <w:t>Dt 24.14</w:t>
        </w:r>
      </w:hyperlink>
      <w:r>
        <w:t>). Un étranger ne pouvait pas participer aux délibérations tribales ni devenir roi (</w:t>
      </w:r>
      <w:hyperlink r:id="rId5082">
        <w:r>
          <w:rPr>
            <w:color w:val="0000EE"/>
            <w:u w:val="single"/>
          </w:rPr>
          <w:t>17.15</w:t>
        </w:r>
      </w:hyperlink>
      <w:r>
        <w:t>). Le prophète Ézéchiel envisageait le temps futur où le Messie régnera. L'étranger partagerait alors toutes les bénédictions de la terre avec le peuple de Dieu (</w:t>
      </w:r>
      <w:hyperlink r:id="rId5120">
        <w:r>
          <w:rPr>
            <w:color w:val="0000EE"/>
            <w:u w:val="single"/>
          </w:rPr>
          <w:t>Ez 47.22–23</w:t>
        </w:r>
      </w:hyperlink>
      <w:r>
        <w:t>).</w:t>
      </w:r>
    </w:p>
    <w:p>
      <w:r/>
      <w:r>
        <w:t>Dans le Nouveau Testament, le terme « étranger » est souvent utilisé symboliquement. D'une part, l'œuvre de Christ a permis à tous les étrangers (par exemple, ceux séparés du Christ) de devenir membres de la maison de Dieu (</w:t>
      </w:r>
      <w:hyperlink r:id="rId5121">
        <w:r>
          <w:rPr>
            <w:color w:val="0000EE"/>
            <w:u w:val="single"/>
          </w:rPr>
          <w:t>Ep 2.11–19</w:t>
        </w:r>
      </w:hyperlink>
      <w:r>
        <w:t>). D'autre part, les chrétiens devraient se considérer comme des étrangers dans ce monde (</w:t>
      </w:r>
      <w:hyperlink r:id="rId5122">
        <w:r>
          <w:rPr>
            <w:color w:val="0000EE"/>
            <w:u w:val="single"/>
          </w:rPr>
          <w:t>Hé 11.13</w:t>
        </w:r>
      </w:hyperlink>
      <w:r>
        <w:t xml:space="preserve"> ; </w:t>
      </w:r>
      <w:hyperlink r:id="rId5123">
        <w:r>
          <w:rPr>
            <w:color w:val="0000EE"/>
            <w:u w:val="single"/>
          </w:rPr>
          <w:t>1P 2.11</w:t>
        </w:r>
      </w:hyperlink>
      <w:r>
        <w:t>).</w:t>
      </w:r>
    </w:p>
    <w:p>
      <w:r/>
      <w:r>
        <w:rPr>
          <w:i/>
        </w:rPr>
        <w:t>Voir aussi</w:t>
      </w:r>
      <w:r>
        <w:t xml:space="preserve"> </w:t>
      </w:r>
      <w:r>
        <w:t>Barbare</w:t>
      </w:r>
      <w:r>
        <w:t xml:space="preserve"> ; </w:t>
      </w:r>
      <w:r>
        <w:t>Voisin, Prochain</w:t>
      </w:r>
      <w:r>
        <w:t>.</w:t>
      </w:r>
      <w:r/>
      <w:r/>
    </w:p>
    <w:p>
      <w:r/>
    </w:p>
    <w:p>
      <w:pPr>
        <w:pStyle w:val="Heading2"/>
      </w:pPr>
      <w:r>
        <w:t>Étranglement, étouffement</w:t>
      </w:r>
      <w:r/>
    </w:p>
    <w:p>
      <w:r/>
      <w:r>
        <w:t>Étrangler consiste à suffoquer une personne ou un animal en lui serrant la gorge, coupant ainsi l'air et le flux sanguin. Dans la Bible, le terme se réfère aux animaux qui étaient tués sans que leur sang soit drainé, comme par suffocation. C'était l'une des quatre pratiques que les premiers chrétiens d'origine païenne étaient invités à éviter par respect pour leurs frères et sœurs chrétiens juifs.</w:t>
      </w:r>
    </w:p>
    <w:p>
      <w:r/>
      <w:r>
        <w:t>La loi juive n'autorisait pas la consommation de viande d'animaux dont le sang n'avait pas été entièrement drainé lors de leur mise à mort. Le Concile de Jérusalem a demandé à l'Église primitive de suivre cette pratique pour maintenir la paix entre les chrétiens juifs et gentils (</w:t>
      </w:r>
      <w:hyperlink r:id="rId5124">
        <w:r>
          <w:rPr>
            <w:color w:val="0000EE"/>
            <w:u w:val="single"/>
          </w:rPr>
          <w:t>Ac 15.20, 29</w:t>
        </w:r>
      </w:hyperlink>
      <w:r>
        <w:t xml:space="preserve"> ; </w:t>
      </w:r>
      <w:hyperlink r:id="rId5125">
        <w:r>
          <w:rPr>
            <w:color w:val="0000EE"/>
            <w:u w:val="single"/>
          </w:rPr>
          <w:t>21.25</w:t>
        </w:r>
      </w:hyperlink>
      <w:r>
        <w:t>).</w:t>
      </w:r>
    </w:p>
    <w:p>
      <w:r/>
      <w:r>
        <w:t>L'étranglement était également l'une des quatre méthodes par lesquelles les tribunaux de la loi juive appliquaient la peine de mort. Même si la Bible ne la mentionne pas comme méthode de punition, l'étouffement a été utilisé plus tard par le judaïsme rabbinique comme moyen d'exécution.</w:t>
      </w:r>
    </w:p>
    <w:p>
      <w:r/>
      <w:r>
        <w:rPr>
          <w:i/>
        </w:rPr>
        <w:t>Voir aussi</w:t>
      </w:r>
      <w:r>
        <w:t xml:space="preserve"> </w:t>
      </w:r>
      <w:r>
        <w:t>Droit pénal et châtiment</w:t>
      </w:r>
      <w:r>
        <w:t>.</w:t>
      </w:r>
      <w:r/>
      <w:r/>
    </w:p>
    <w:p>
      <w:r/>
    </w:p>
    <w:p>
      <w:pPr>
        <w:pStyle w:val="Heading2"/>
      </w:pPr>
      <w:r>
        <w:t>Être humain</w:t>
      </w:r>
      <w:r/>
    </w:p>
    <w:p>
      <w:r/>
      <w:r>
        <w:t>Membre de l'espère humaine, qu'il s'agisse d'un homme ou d'une femme.</w:t>
      </w:r>
    </w:p>
    <w:p>
      <w:r/>
      <w:r>
        <w:t>L'enseignement biblique sur l'être humain commence par une juste notion de Dieu. La perspective biblique de l'anthropologie (c'est-à-dire l'étude de l'être humain) s'inscrit principalement dans le cadre d'une théologie haute (c'est-à-dire l'étude de Dieu). Une vision haute et respectueuse de Dieu conduit à une perception noble et digne de l'être humain, tandis qu'une conception mal développée de Dieu produit souvent une perspective déformée de l'être humain. Ainsi, l'être humain peut être considéré comme plus important qu'il ne le devrait, ou comme moins important que dans la vision biblique. Ces deux conceptions sont subbibliques. Le point de départ pour une étude de l'être humain est une vision ajustée de Dieu, son Créateur.</w:t>
      </w:r>
    </w:p>
    <w:p>
      <w:pPr>
        <w:pStyle w:val="Heading3"/>
      </w:pPr>
      <w:r>
        <w:t>L'Origine de l'humanité</w:t>
      </w:r>
    </w:p>
    <w:p>
      <w:r/>
      <w:r>
        <w:t xml:space="preserve">Contre les théories naturalistes et matérialistes des origines, la vision biblique commence par l'affirmation que le Dieu éternel a créé l'être humain, l'œuvre la plus significative de toutes ses créations. Il n'est pas nécessaire d'adhérer à un scénario chronologique particulier pour l'œuvre de Dieu dans la création de l'être humain. Certains chrétiens croient que la Bible enseigne une chronologie fermée dans </w:t>
      </w:r>
      <w:hyperlink r:id="rId2644">
        <w:r>
          <w:rPr>
            <w:color w:val="0000EE"/>
            <w:u w:val="single"/>
          </w:rPr>
          <w:t>Genèse 1</w:t>
        </w:r>
      </w:hyperlink>
      <w:r>
        <w:t xml:space="preserve"> composée de six jours littéraux de 24 heures (voir </w:t>
      </w:r>
      <w:hyperlink r:id="rId5126">
        <w:r>
          <w:rPr>
            <w:color w:val="0000EE"/>
            <w:u w:val="single"/>
          </w:rPr>
          <w:t>Gn 1.5, 8, 13</w:t>
        </w:r>
      </w:hyperlink>
      <w:r>
        <w:t xml:space="preserve">, etc.), avec l'apparition soudaine et spectaculaire de l'être humain survenant peut-être il y a seulement 6 000 ans environ (voir les chronologies associées mais non limitées à l'archevêque Jacques Ussher, </w:t>
      </w:r>
      <w:r>
        <w:rPr>
          <w:i/>
        </w:rPr>
        <w:t>Annales,</w:t>
      </w:r>
      <w:r>
        <w:t xml:space="preserve"> 1650–58). Certains qui soutiennent ce point de vue général (parfois appelé science de la Création) étendent la création de l'être humain à environ 10 000 ans, sur la base d'une vision d'une certaine élasticité dans les chronologies de </w:t>
      </w:r>
      <w:hyperlink r:id="rId2535">
        <w:r>
          <w:rPr>
            <w:color w:val="0000EE"/>
            <w:u w:val="single"/>
          </w:rPr>
          <w:t>Genèse 5</w:t>
        </w:r>
      </w:hyperlink>
      <w:r>
        <w:t xml:space="preserve"> et </w:t>
      </w:r>
      <w:hyperlink r:id="rId82">
        <w:r>
          <w:rPr>
            <w:color w:val="0000EE"/>
            <w:u w:val="single"/>
          </w:rPr>
          <w:t>11</w:t>
        </w:r>
      </w:hyperlink>
      <w:r>
        <w:t>.</w:t>
      </w:r>
    </w:p>
    <w:p>
      <w:r/>
      <w:r>
        <w:t xml:space="preserve">D'autres croient que les textes de </w:t>
      </w:r>
      <w:hyperlink r:id="rId2644">
        <w:r>
          <w:rPr>
            <w:color w:val="0000EE"/>
            <w:u w:val="single"/>
          </w:rPr>
          <w:t>Genèse 1</w:t>
        </w:r>
      </w:hyperlink>
      <w:r>
        <w:t xml:space="preserve"> et </w:t>
      </w:r>
      <w:hyperlink r:id="rId2645">
        <w:r>
          <w:rPr>
            <w:color w:val="0000EE"/>
            <w:u w:val="single"/>
          </w:rPr>
          <w:t>2</w:t>
        </w:r>
      </w:hyperlink>
      <w:r>
        <w:t xml:space="preserve"> peuvent être interprétés de manière beaucoup plus large pour évoquer une antiquité très lointaine pour la création de l'être humain (s'étendant sur des millions d'années). Ils soutiennent qu'un processus (sous le contrôle et la direction de Dieu) a pu jouer un rôle significatif dans l'œuvre créatrice de Dieu. Ce point de vue est mieux décrit comme le créationnisme progressif, et doit être contrasté avec l'évolutionnisme théiste, dans laquelle Dieu est généralement perçu comme initiant le processus mais ayant peu d'implication une fois les processus en mouvement. Dans la première approche, le terme hébreu « jour » (</w:t>
      </w:r>
      <w:r>
        <w:rPr>
          <w:i/>
        </w:rPr>
        <w:t>yom</w:t>
      </w:r>
      <w:r>
        <w:t xml:space="preserve">) dans </w:t>
      </w:r>
      <w:hyperlink r:id="rId2644">
        <w:r>
          <w:rPr>
            <w:color w:val="0000EE"/>
            <w:u w:val="single"/>
          </w:rPr>
          <w:t>Genèse 1</w:t>
        </w:r>
      </w:hyperlink>
      <w:r>
        <w:t xml:space="preserve"> peut se référer à une période de temps prolongée (par exemple dans la théorie du « jour-âge ») ; ainsi, la formulation « un soir et un matin, le </w:t>
      </w:r>
      <w:r>
        <w:rPr>
          <w:i/>
        </w:rPr>
        <w:t>x</w:t>
      </w:r>
      <w:r>
        <w:t>ème jour » peut s'agir d'un dispositif littéraire pour présenter des scènes successives dans les œuvres créatrices de Dieu à travers les processus du temps.</w:t>
      </w:r>
    </w:p>
    <w:p>
      <w:r/>
      <w:r>
        <w:t>De nombreux chrétiens se trouvent quelque part entre une chronologie conservatrice et une chronologie étendue pour l'origine de l'être humain. Cependant, malgré les préférences individuelles, il est essentiel d'adhérer à l'œuvre créatrice de Dieu dans la création de l'être humain pour penser l'être humain de manière biblique. L'essence de la foi commence par les mots suivants : « Je crois en Dieu le Père Tout-Puissant, Créateur du ciel et de la terre ».</w:t>
      </w:r>
    </w:p>
    <w:p>
      <w:r/>
      <w:r>
        <w:t xml:space="preserve">L'être humain n'est pas seulement la création de Dieu, mais aussi le summum de son œuvre de création. Bien avant la précision moderne dans ces domaines, les auteurs anciens étaient conscients des similitudes anatomiques de l'être humain avec les membres du règne animal. Cependant, malgré ces similitudes, le point de vue biblique ne place jamais l'être humain au même niveau que les animaux : l'être humain est distinct, le point culminant de l'œuvre créatrice de Dieu, l'apogée de l'œuvre de ses mains. La progression des choses créées dans </w:t>
      </w:r>
      <w:hyperlink r:id="rId2644">
        <w:r>
          <w:rPr>
            <w:color w:val="0000EE"/>
            <w:u w:val="single"/>
          </w:rPr>
          <w:t>Genèse 1</w:t>
        </w:r>
      </w:hyperlink>
      <w:r>
        <w:t xml:space="preserve"> va vers un point culminant ; tout le travail créateur de Dieu trouve son apogée dans la formation de l'être humain.</w:t>
      </w:r>
    </w:p>
    <w:p>
      <w:r/>
      <w:r>
        <w:t>Les caractéristiques comportementales distinctives de l'être humain incluent le langage, la fabrication d'outils et la culture. Les caractéristiques expérientielles distinctives incluent la conscience réflexive, la préoccupation éthique, les aspirations esthétiques, la conscience historique et la préoccupation métaphysique. Ces facteurs, individuellement et collectivement, distinguent l'être humain des autres formes de vie animale. L'être humain est bien plus que le « singe nu » de certaines théories évolutionnistes modernes. Cependant, la sociologie à elle seule ne suffit pas à expliquer la nature complète de l'être humain. Voilà le sujet de la révélation divine.</w:t>
      </w:r>
    </w:p>
    <w:p>
      <w:r/>
      <w:r>
        <w:t xml:space="preserve">Bien que l'être humain ait une continuité avec la création de Dieu (présumée dans les paroles de </w:t>
      </w:r>
      <w:hyperlink r:id="rId233">
        <w:r>
          <w:rPr>
            <w:color w:val="0000EE"/>
            <w:u w:val="single"/>
          </w:rPr>
          <w:t>Genèse 2.7</w:t>
        </w:r>
      </w:hyperlink>
      <w:r>
        <w:t>, étant façonné à partir de la poussière de la terre), l'être humain est également distinct de tout ce qui le précède parce que Dieu a insufflé en lui le souffle de vie afin qu'il devienne une âme vivante (</w:t>
      </w:r>
      <w:hyperlink r:id="rId233">
        <w:r>
          <w:rPr>
            <w:color w:val="0000EE"/>
            <w:u w:val="single"/>
          </w:rPr>
          <w:t>2.7</w:t>
        </w:r>
      </w:hyperlink>
      <w:r>
        <w:t>). L'être humain a été créé par Dieu comme mâle et femelle (</w:t>
      </w:r>
      <w:hyperlink r:id="rId4266">
        <w:r>
          <w:rPr>
            <w:color w:val="0000EE"/>
            <w:u w:val="single"/>
          </w:rPr>
          <w:t>1.27</w:t>
        </w:r>
      </w:hyperlink>
      <w:r>
        <w:t xml:space="preserve">), ce qui signifie que ce qui est dit généralement de l'être humain doit être dit à la fois du mâle et de la femelle, et que la véritable image de ce que signifie être humain se trouvera dans le contexte de l'homme et de la femme ensemble. Les commandements de se multiplier et d'exercer la souveraineté sur la terre ont été donnés aux deux sexes comme responsabilité partagée. De même, c'est l'être humain en tant que mâle et femelle qui s'est rebellé contre Dieu et qui porte les conséquences de ce péché originel dans le monde après la chute, et c'est l'être humain en tant que mâle et femelle que le Christ est venu racheter (voir </w:t>
      </w:r>
      <w:hyperlink r:id="rId2962">
        <w:r>
          <w:rPr>
            <w:color w:val="0000EE"/>
            <w:u w:val="single"/>
          </w:rPr>
          <w:t>Ga 3.28</w:t>
        </w:r>
      </w:hyperlink>
      <w:r>
        <w:t xml:space="preserve">). En même temps, les mots « mâle » et « femelle » désignent de véritables distinctions. De nombreuses différences de genre perçues peuvent être conditionnées culturellement, mais les distinctions sexuelles principales entre mâle (en hébreu, </w:t>
      </w:r>
      <w:r>
        <w:rPr>
          <w:i/>
        </w:rPr>
        <w:t>zakar,</w:t>
      </w:r>
      <w:r>
        <w:t xml:space="preserve"> « le perceur ») et femelle (en hébreu, </w:t>
      </w:r>
      <w:r>
        <w:rPr>
          <w:i/>
        </w:rPr>
        <w:t>neqéva,</w:t>
      </w:r>
      <w:r>
        <w:t xml:space="preserve"> « la percée ») sont divinement voulues. Il faut à la fois le mâle et la femelle pour manifester l'image complète de Dieu (voir </w:t>
      </w:r>
      <w:hyperlink r:id="rId4266">
        <w:r>
          <w:rPr>
            <w:color w:val="0000EE"/>
            <w:u w:val="single"/>
          </w:rPr>
          <w:t>Gn 1.27</w:t>
        </w:r>
      </w:hyperlink>
      <w:r>
        <w:t>).</w:t>
      </w:r>
    </w:p>
    <w:p>
      <w:r/>
      <w:r>
        <w:t xml:space="preserve">En effet, l'affirmation biblique la plus étonnante concernant l'être humain est que Dieu a créé l'être humain </w:t>
      </w:r>
      <w:r>
        <w:rPr>
          <w:i/>
        </w:rPr>
        <w:t>à son image.</w:t>
      </w:r>
      <w:r>
        <w:t xml:space="preserve"> D'aucune autre créature, pas même les anges, une telle déclaration n'est faite. Les mots « à l'image de Dieu » dans </w:t>
      </w:r>
      <w:hyperlink r:id="rId3691">
        <w:r>
          <w:rPr>
            <w:color w:val="0000EE"/>
            <w:u w:val="single"/>
          </w:rPr>
          <w:t>Genèse 1.26–28</w:t>
        </w:r>
      </w:hyperlink>
      <w:r>
        <w:t xml:space="preserve"> sont la base pour la paraphrase du psalmiste dans </w:t>
      </w:r>
      <w:hyperlink r:id="rId5127">
        <w:r>
          <w:rPr>
            <w:color w:val="0000EE"/>
            <w:u w:val="single"/>
          </w:rPr>
          <w:t>Psaume 8.5</w:t>
        </w:r>
      </w:hyperlink>
      <w:r>
        <w:t xml:space="preserve">, « </w:t>
      </w:r>
      <w:r>
        <w:t>Tu l’as fait de peu inférieur à Dieu</w:t>
      </w:r>
      <w:r>
        <w:t xml:space="preserve"> » (Dans la Septante, ce verset se traduit littéralement « inférieur aux anges »). Le sens de l'expression « image de Dieu » (en latin, </w:t>
      </w:r>
      <w:r>
        <w:rPr>
          <w:i/>
        </w:rPr>
        <w:t>imago Dei</w:t>
      </w:r>
      <w:r>
        <w:t xml:space="preserve">) a fait l'objet de nombreux débats. Certains ont pensé que l'expression se réfère à une représentation physique de Dieu, mais cela est peu probable car Dieu est esprit (voir </w:t>
      </w:r>
      <w:hyperlink r:id="rId5128">
        <w:r>
          <w:rPr>
            <w:color w:val="0000EE"/>
            <w:u w:val="single"/>
          </w:rPr>
          <w:t>Jn 4.24</w:t>
        </w:r>
      </w:hyperlink>
      <w:r>
        <w:t>). D'autres pensent que l'expression se réfère à la personnalité de l'être humain, qui correspond à la personnalité de Dieu (étant doté d'intellect, de sensibilité et de volonté). De telles qualités de l'être humain peuvent être trouvées à l'image de Dieu ; cependant, ces divers aspects de la personnalité sont également partagés par d'autres membres du règne animal et ne sont pas uniques à l'espèce humaine.</w:t>
      </w:r>
    </w:p>
    <w:p>
      <w:r/>
      <w:r>
        <w:t xml:space="preserve">Le sens fondamental du mot « image » (en hébreu, </w:t>
      </w:r>
      <w:r>
        <w:rPr>
          <w:i/>
        </w:rPr>
        <w:t>tselem</w:t>
      </w:r>
      <w:r>
        <w:t>) est « ombre », « représentation » ou « ressemblance ». L'image de Dieu en l'être humain révèle la perspective de Dieu sur la valeur et la dignité de l'être humain comme représentation ou ombre de lui-même dans le monde créé. Les anciens rois d'Assyrie étaient connus pour avoir des images physiques d'eux-mêmes placées dans les districts éloignés comme rappel à ceux qui pourraient être enclins à oublier que ces zones faisaient partie de l'empire. Ainsi, Dieu a placé en l'être humain une ombre de lui-même, une représentation de sa présence, dans le monde qu'il a créé.</w:t>
      </w:r>
    </w:p>
    <w:p>
      <w:r/>
      <w:r>
        <w:t xml:space="preserve">Cette vision de l'image de Dieu en l'être humain semble être confirmée par le contexte immédiat de </w:t>
      </w:r>
      <w:hyperlink r:id="rId2644">
        <w:r>
          <w:rPr>
            <w:color w:val="0000EE"/>
            <w:u w:val="single"/>
          </w:rPr>
          <w:t>Genèse 1</w:t>
        </w:r>
      </w:hyperlink>
      <w:r>
        <w:t>. L'être humain, créé à l'image de Dieu, est appelé à avoir la domination sur toutes les autres œuvres de Dieu (</w:t>
      </w:r>
      <w:hyperlink r:id="rId298">
        <w:r>
          <w:rPr>
            <w:color w:val="0000EE"/>
            <w:u w:val="single"/>
          </w:rPr>
          <w:t>Gn 1.26</w:t>
        </w:r>
      </w:hyperlink>
      <w:r>
        <w:t xml:space="preserve"> ; voir aussi </w:t>
      </w:r>
      <w:hyperlink r:id="rId5127">
        <w:r>
          <w:rPr>
            <w:color w:val="0000EE"/>
            <w:u w:val="single"/>
          </w:rPr>
          <w:t>Ps 8.5</w:t>
        </w:r>
      </w:hyperlink>
      <w:r>
        <w:t>). De plus, en tant que représentant du Créateur, l'être humain lui doit des comptes. L'affirmation de Jésus sur la spiritualité de Dieu entraîne une réponse de louange en esprit et en vérité (</w:t>
      </w:r>
      <w:hyperlink r:id="rId5129">
        <w:r>
          <w:rPr>
            <w:color w:val="0000EE"/>
            <w:u w:val="single"/>
          </w:rPr>
          <w:t>Jn 4.21–24</w:t>
        </w:r>
      </w:hyperlink>
      <w:r>
        <w:t>).</w:t>
      </w:r>
    </w:p>
    <w:p>
      <w:pPr>
        <w:pStyle w:val="Heading3"/>
      </w:pPr>
      <w:r>
        <w:t>La Nature de l'humanité</w:t>
      </w:r>
    </w:p>
    <w:p>
      <w:r/>
      <w:r>
        <w:t xml:space="preserve">On peut avoir tendance à penser à l'être humain en diverses parties, mais l'accent biblique est mis sur l'être humain dans son ensemble. Les débats se poursuivent sur la nature tripartite (en trois parties) de l'être humain (voir </w:t>
      </w:r>
      <w:hyperlink r:id="rId677">
        <w:r>
          <w:rPr>
            <w:color w:val="0000EE"/>
            <w:u w:val="single"/>
          </w:rPr>
          <w:t>1Th 5.23</w:t>
        </w:r>
      </w:hyperlink>
      <w:r>
        <w:t xml:space="preserve"> ; esprit, âme et corps) par opposition à une nature bipartite (en deux parties) de l'être humain : matérielle et immatérielle. Bien que la Bible semble soutenir les deux positions, la question la plus importante concernant la nature de l'être humain est son unité plutôt que le nombre de ses parties. Ainsi, une vision biblique de l'être humain commence par l'affirmation qu'une personne est constituée de propriétés physiques et non-physiques. Selon les mots de Karl Barth, la personne humaine est « âme corporelle, tout comme elle est aussi corps animé ». Une personne n'est pas qu'un corps, ni ne peut-on facilement concevoir un esprit sans corps comme une personne, sauf dans un état temporaire et transitoire. Le terme hébreu </w:t>
      </w:r>
      <w:r>
        <w:rPr>
          <w:i/>
        </w:rPr>
        <w:t>nephesh,</w:t>
      </w:r>
      <w:r>
        <w:t xml:space="preserve"> souvent traduit par « âme », est mieux rendu par « personne » dans la plupart des contextes. Le mot hébreu </w:t>
      </w:r>
      <w:r>
        <w:rPr>
          <w:i/>
        </w:rPr>
        <w:t>ruach</w:t>
      </w:r>
      <w:r>
        <w:t xml:space="preserve"> (« souffle », « vent », « esprit ») et les mots grecs </w:t>
      </w:r>
      <w:r>
        <w:rPr>
          <w:i/>
        </w:rPr>
        <w:t>pneuma</w:t>
      </w:r>
      <w:r>
        <w:t xml:space="preserve"> (« esprit ») et </w:t>
      </w:r>
      <w:r>
        <w:rPr>
          <w:i/>
        </w:rPr>
        <w:t>psuchè</w:t>
      </w:r>
      <w:r>
        <w:t xml:space="preserve"> (« âme ») parlent souvent de la partie immatérielle de l'être humain. Celle-ci n'est pas moins réelle que le physique. Une vision purement matérielle et physique de l'être humain est terriblement déficiente. D'un autre côté, une surestimation de l'esprit et une sous-estimation du physique ne sont ni réalistes ni équilibrées. On peut le dire ainsi : « Je suis une personne dont l'existence dépend actuellement beaucoup de mon corps physique. Mais je suis plus que le corps, plus que la chair. Quand mon corps meurt, je vis encore. Quand ma chair se décompose, j'existe toujours. Mais un jour, je vivrai à nouveau dans un corps. Car la notion d'un esprit désincarné n'est pas la pleine mesure de mon humanité. L'idéal de Dieu pour moi est de vivre ma vie dans mon [nouveau] corps. Ainsi, dans l'espérance de l'état éternel, je crois en la résurrection du corps et à la vie éternelle. »</w:t>
      </w:r>
    </w:p>
    <w:p>
      <w:r/>
      <w:r>
        <w:t xml:space="preserve">On ne peut pas pousser la réflexion sur la nature de l'être humain du point de vue biblique sans d'abord affronter le problème de la chute. </w:t>
      </w:r>
      <w:hyperlink r:id="rId1144">
        <w:r>
          <w:rPr>
            <w:color w:val="0000EE"/>
            <w:u w:val="single"/>
          </w:rPr>
          <w:t>Genèse 3</w:t>
        </w:r>
      </w:hyperlink>
      <w:r>
        <w:t xml:space="preserve"> suggère que l'être humain non déchu était immortel, que ses pouvoirs de reproduction sexuelle n'étaient pas à l'origine liés à la douleur de l'accouchement, et que son travail n'était pas troublé par des revers dans la nature. Après la chute, cependant, tout a changé : au sein de l'humanité elle-même, entre l'homme et la femme, dans son interaction avec la nature, et dans sa relation avec le Créateur.</w:t>
      </w:r>
    </w:p>
    <w:p>
      <w:r/>
      <w:r>
        <w:t xml:space="preserve">En conséquence de la chute, l'être humain est devenu profondément déchu, une déchéance s'étendant à chaque partie de sa personne. L'expression « dépravation totale » ne signifie pas nécessairement que l'on est aussi mauvais qu'il ou elle pourrait l'être, mais plutôt que les conséquences du péché affectent l'être tout entier. L'image de Dieu en l'être humain continue d'une certaine manière après la chute, fournissant la justification divine pour le salut (voir </w:t>
      </w:r>
      <w:hyperlink r:id="rId3742">
        <w:r>
          <w:rPr>
            <w:color w:val="0000EE"/>
            <w:u w:val="single"/>
          </w:rPr>
          <w:t>Rm 5</w:t>
        </w:r>
      </w:hyperlink>
      <w:r>
        <w:t>). C'est essentiellement en raison de l'estimation, chez Dieu, de la valeur intrinsèque de l'être humain que la justification divine du salut peut être maintenue.</w:t>
      </w:r>
    </w:p>
    <w:p>
      <w:r/>
      <w:r>
        <w:t>Le débat millénaire entre la bonté essentielle et la disposition au mal de l'être humain trouve son dilemme et sa résolution dans le récit de la Genèse : Dieu a créé l'être humain pour refléter consciemment la dignité et la noblesse du Créateur. Cependant l'être humain, par sa propre rébellion délibérée, s'est retourné contre son Créateur et continue, sauf par la grâce de Dieu, dans le péché qui marque sa vie. Le péché qui en résulte est à la fois une qualité d'être dans la personne déchue, ainsi que de nombreux actes continus d'orgueil et d'égoïsme. Bien que l'image de Dieu en l'être humain ait été ternie par la chute, elle peut être ravivée par l'œuvre efficace de l'Esprit de Dieu lorsque l'on accède à une vie nouvelle en Christ. Cette œuvre gracieuse de Dieu apporte un renouvellement personnel, une restauration des relations avec les autres et une communion avec Dieu.</w:t>
      </w:r>
    </w:p>
    <w:p>
      <w:r/>
      <w:r>
        <w:t>L'être humain, créé bon par Dieu, est devenu mauvais par ses propres moyens, mais grâce à la puissance de Dieu, il peut retrouver le bien. La redécouverte de ce que signifie être pleinement humain se trouve dans la vie de Jésus, dont l'existence humaine est un nouveau commencement pour l'humanité dans son ensemble. Ainsi, Jésus est le nouvel Adam ; à travers son exemple, il y a un nouveau commencement qui remplace l'ancien schéma.</w:t>
      </w:r>
    </w:p>
    <w:p>
      <w:pPr>
        <w:pStyle w:val="Heading3"/>
      </w:pPr>
      <w:r>
        <w:t>La Destinée de l’être humain</w:t>
      </w:r>
    </w:p>
    <w:p>
      <w:r/>
      <w:r>
        <w:t>Une vision biblique de l'être humain doit inclure une déclaration équilibrée concernant son origine divine, sa rébellion contre la grâce de Dieu, son jugement et sa perspective de rédemption en la personne du Sauveur Jésus, avec la promesse de la vie éternelle. L'être humain a un commencement et vivra pour toujours. Cette affirmation contraste fortement avec les théories naturalistes des origines et des destinées éternelles. L'une des tendances les plus trompeuses de la pensée moderne est le concept de « faire face à la mort ». Les personnes qui n'acceptent pas l'existence de Dieu et qui n'ont aucune espérance éternelle s'encouragent mutuellement à accepter le déclin inévitable et la disparition de leurs corps comme la fin naturelle de la vie humaine. La notion biblique est que la mort chez l'être humain n'est pas du tout naturelle.</w:t>
      </w:r>
    </w:p>
    <w:p>
      <w:r/>
      <w:r>
        <w:t>La mort est un trait acquis, non la destinée naturelle de l'être humain. On peut parler de la mort du corps, mais pas de celle de l'esprit. L'enseignement biblique est que, tandis que le corps meurt et se décompose, la personne continue de vivre dans l'espérance d'un corps renouvelé. Ceux qui ont connu Christ seront avec lui quand leurs corps meurent (</w:t>
      </w:r>
      <w:hyperlink r:id="rId3097">
        <w:r>
          <w:rPr>
            <w:color w:val="0000EE"/>
            <w:u w:val="single"/>
          </w:rPr>
          <w:t>Ph 1.23</w:t>
        </w:r>
      </w:hyperlink>
      <w:r>
        <w:t>) dans l'anticipation de la résurrection du corps pour la vie éternelle à venir (</w:t>
      </w:r>
      <w:hyperlink r:id="rId5130">
        <w:r>
          <w:rPr>
            <w:color w:val="0000EE"/>
            <w:u w:val="single"/>
          </w:rPr>
          <w:t>1Co 15.35–49</w:t>
        </w:r>
      </w:hyperlink>
      <w:r>
        <w:t>). Ceux qui meurent sans Christ ne cessent pas d'exister, mais se voient plutôt attribuer une existence éternelle de connaissance consciente qu'ils sont séparés de Dieu et n'ont pas atteint leur destinée ultime, qui aurait été de jouir de sa présence éternellement. L'enseignement biblique sur la destinée des perdus est assez désagréable pour l'être humain moderne. Même le chrétien qui a généralement une haute opinion de l'inspiration biblique peut se retrouver à blêmir à l'idée de la punition éternelle du mauvais. Cependant, la doctrine biblique du jugement final des méchants est aussi bien établie que la plupart des autres enseignements de la Bible.</w:t>
      </w:r>
    </w:p>
    <w:p>
      <w:r/>
      <w:r>
        <w:t xml:space="preserve">Une des vérités les plus dramatiques dans les Écritures concernant la nature de l'être humain est de se rendre compte que c'est pour l'être humain que Dieu a initié l'œuvre de salut qui a conduit à l'incarnation du Fils éternel de Dieu. Après sa résurrection et son ascension, le Seigneur Jésus-Christ est retourné à sa position éternelle de gloire et de majesté au ciel, où il est, à jamais, le Dieu-homme. En tant que Dieu, il partage tous les attributs du Père et du Saint-Esprit, et en tant qu'être humain, il s'identifie à l'humanité. Il se révèle dans un corps physique, bien que ce soit un corps de résurrection, les prémices de la résurrection de tous ceux qui lui appartiennent. L'incarnation, donc, a entraîné un changement éternel au sein de la divinité. Seule une très haute estime de la valeur de l'être humain aurait pu amener Dieu à un tel changement fondamental en lui-même. Comme l'écrit l'auteur de l'épître aux Hébreux, « </w:t>
      </w:r>
      <w:r>
        <w:t>puisque les enfants [de Dieu] participent au sang et à la chair, [Jésus] y a également participé lui-même</w:t>
      </w:r>
      <w:r>
        <w:t xml:space="preserve"> » (</w:t>
      </w:r>
      <w:hyperlink r:id="rId5131">
        <w:r>
          <w:rPr>
            <w:color w:val="0000EE"/>
            <w:u w:val="single"/>
          </w:rPr>
          <w:t>Hé 2.14</w:t>
        </w:r>
      </w:hyperlink>
      <w:r>
        <w:t>).</w:t>
      </w:r>
    </w:p>
    <w:p>
      <w:r/>
      <w:r>
        <w:t>La mesure ultime de notre humanité est que l'être humain a été créé pour adorer Dieu et pour jouir de lui éternellement. De telles pensées ne sont attribuées à aucun autre être créé. Même les anges, qui ont maintenu leur état de perfection et qui adorent le Père dans une béatitude consciente, n'ont pas tout à fait la même relation avec Dieu que les êtres humains rachetés (</w:t>
      </w:r>
      <w:hyperlink r:id="rId5132">
        <w:r>
          <w:rPr>
            <w:color w:val="0000EE"/>
            <w:u w:val="single"/>
          </w:rPr>
          <w:t>Hé 2.16</w:t>
        </w:r>
      </w:hyperlink>
      <w:r>
        <w:t>).</w:t>
      </w:r>
    </w:p>
    <w:p>
      <w:r/>
      <w:r>
        <w:t>Qu'est-ce que l'être humain ? En Christ, l'être humain est tout ce que Dieu veut qu'il soit, en majesté et en dignité, et dans la joie devant son trône pour toujours.</w:t>
      </w:r>
    </w:p>
    <w:p>
      <w:r/>
      <w:r>
        <w:rPr>
          <w:i/>
        </w:rPr>
        <w:t>Voir aussi</w:t>
      </w:r>
      <w:r>
        <w:t xml:space="preserve"> </w:t>
      </w:r>
      <w:r>
        <w:t>Image de Dieu</w:t>
      </w:r>
      <w:r>
        <w:t xml:space="preserve"> ; </w:t>
      </w:r>
      <w:r>
        <w:t>Homme naturel</w:t>
      </w:r>
      <w:r>
        <w:t xml:space="preserve"> ; </w:t>
      </w:r>
      <w:r>
        <w:t>Humanité, Ancienne et nouvelle</w:t>
      </w:r>
      <w:r>
        <w:t>.</w:t>
      </w:r>
      <w:r/>
      <w:r/>
    </w:p>
    <w:p>
      <w:r/>
    </w:p>
    <w:p>
      <w:pPr>
        <w:pStyle w:val="Heading2"/>
      </w:pPr>
      <w:r>
        <w:t>Etsbon</w:t>
      </w:r>
      <w:r/>
    </w:p>
    <w:p>
      <w:r/>
      <w:r>
        <w:t>1. Fils de Gad (</w:t>
      </w:r>
      <w:hyperlink r:id="rId1262">
        <w:r>
          <w:rPr>
            <w:color w:val="0000EE"/>
            <w:u w:val="single"/>
          </w:rPr>
          <w:t>Gn 46.16</w:t>
        </w:r>
      </w:hyperlink>
      <w:r>
        <w:t xml:space="preserve">), appelé Ozni dans </w:t>
      </w:r>
      <w:hyperlink r:id="rId4864">
        <w:r>
          <w:rPr>
            <w:color w:val="0000EE"/>
            <w:u w:val="single"/>
          </w:rPr>
          <w:t>Nombres 26.16</w:t>
        </w:r>
      </w:hyperlink>
      <w:r>
        <w:t xml:space="preserve"> ; peut-être un éponyme d'une famille gadite.</w:t>
      </w:r>
    </w:p>
    <w:p>
      <w:r/>
      <w:r>
        <w:t>2. Le petit-fils de Benjamin (</w:t>
      </w:r>
      <w:hyperlink r:id="rId5133">
        <w:r>
          <w:rPr>
            <w:color w:val="0000EE"/>
            <w:u w:val="single"/>
          </w:rPr>
          <w:t>1Ch 7.7</w:t>
        </w:r>
      </w:hyperlink>
      <w:r>
        <w:t xml:space="preserve">). Il a été proposé que </w:t>
      </w:r>
      <w:hyperlink r:id="rId5134">
        <w:r>
          <w:rPr>
            <w:color w:val="0000EE"/>
            <w:u w:val="single"/>
          </w:rPr>
          <w:t>1 Chroniques 7.6–11</w:t>
        </w:r>
      </w:hyperlink>
      <w:r>
        <w:t xml:space="preserve"> soit une généalogie de Zabulon attribuée à Benjamin par erreur, et qu'Etsbon suggère Ibtsan (</w:t>
      </w:r>
      <w:hyperlink r:id="rId1911">
        <w:r>
          <w:rPr>
            <w:color w:val="0000EE"/>
            <w:u w:val="single"/>
          </w:rPr>
          <w:t>Jg 12.8–10</w:t>
        </w:r>
      </w:hyperlink>
      <w:r>
        <w:t>), un juge mineur de Bethléhem.</w:t>
      </w:r>
      <w:r/>
      <w:r/>
    </w:p>
    <w:p>
      <w:r/>
    </w:p>
    <w:p>
      <w:pPr>
        <w:pStyle w:val="Heading2"/>
      </w:pPr>
      <w:r>
        <w:t>Eunice</w:t>
      </w:r>
      <w:r/>
    </w:p>
    <w:p>
      <w:r/>
      <w:r>
        <w:t>Mère de l'apôtre Timothée et fille de Loïs (</w:t>
      </w:r>
      <w:hyperlink r:id="rId4520">
        <w:r>
          <w:rPr>
            <w:color w:val="0000EE"/>
            <w:u w:val="single"/>
          </w:rPr>
          <w:t>2Tm 1.5</w:t>
        </w:r>
      </w:hyperlink>
      <w:r>
        <w:t>). Elle était l'épouse d'un homme grec païen. Eunice était une chrétienne juive (</w:t>
      </w:r>
      <w:hyperlink r:id="rId3727">
        <w:r>
          <w:rPr>
            <w:color w:val="0000EE"/>
            <w:u w:val="single"/>
          </w:rPr>
          <w:t>Ac 16.1</w:t>
        </w:r>
      </w:hyperlink>
      <w:r>
        <w:t>). Elle a enseigné à Timothée les Écritures de l'Ancien Testament dès son enfance (</w:t>
      </w:r>
      <w:hyperlink r:id="rId5135">
        <w:r>
          <w:rPr>
            <w:color w:val="0000EE"/>
            <w:u w:val="single"/>
          </w:rPr>
          <w:t>2Tm 3.15</w:t>
        </w:r>
      </w:hyperlink>
      <w:r>
        <w:t xml:space="preserve">). Eunice s'est convertie au christianisme lors du premier voyage de l'apôtre Paul dans sa maison à Lystre. Cela s'est produit quelque temps avant sa visite mentionnée dans </w:t>
      </w:r>
      <w:hyperlink r:id="rId3727">
        <w:r>
          <w:rPr>
            <w:color w:val="0000EE"/>
            <w:u w:val="single"/>
          </w:rPr>
          <w:t>Actes 16.1.</w:t>
        </w:r>
      </w:hyperlink>
    </w:p>
    <w:p>
      <w:r/>
      <w:r>
        <w:rPr>
          <w:i/>
        </w:rPr>
        <w:t>Voir aussi</w:t>
      </w:r>
      <w:r>
        <w:t xml:space="preserve"> </w:t>
      </w:r>
      <w:r>
        <w:t>Timothée (personne)</w:t>
      </w:r>
      <w:r>
        <w:t>.</w:t>
      </w:r>
      <w:r/>
      <w:r/>
    </w:p>
    <w:p>
      <w:r/>
    </w:p>
    <w:p>
      <w:pPr>
        <w:pStyle w:val="Heading2"/>
      </w:pPr>
      <w:r>
        <w:t>Eunuque</w:t>
      </w:r>
      <w:r/>
    </w:p>
    <w:p>
      <w:r/>
      <w:r>
        <w:t xml:space="preserve">Un officier à la cour ou dans la maison d'un souverain, souvent assigné aux quartiers des femmes. Beaucoup de ces hommes étaient castrés (ayant leurs organes génitaux masculins enlevés), bien que ce ne soit pas toujours le cas (voir </w:t>
      </w:r>
      <w:hyperlink r:id="rId4892">
        <w:r>
          <w:rPr>
            <w:color w:val="0000EE"/>
            <w:u w:val="single"/>
          </w:rPr>
          <w:t>Gn 39.1</w:t>
        </w:r>
      </w:hyperlink>
      <w:r>
        <w:t>). Les eunuques étaient des fonctionnaires publics :</w:t>
      </w:r>
    </w:p>
    <w:p>
      <w:pPr>
        <w:pStyle w:val="ListBullet"/>
        <w:spacing w:line="240" w:lineRule="auto"/>
        <w:ind w:left="720"/>
      </w:pPr>
      <w:r/>
      <w:r>
        <w:t>En Israël (</w:t>
      </w:r>
      <w:hyperlink r:id="rId1276">
        <w:r>
          <w:rPr>
            <w:color w:val="0000EE"/>
            <w:u w:val="single"/>
          </w:rPr>
          <w:t>1S 8.15</w:t>
        </w:r>
      </w:hyperlink>
      <w:r>
        <w:t xml:space="preserve"> ; </w:t>
      </w:r>
      <w:hyperlink r:id="rId5136">
        <w:r>
          <w:rPr>
            <w:color w:val="0000EE"/>
            <w:u w:val="single"/>
          </w:rPr>
          <w:t>1Ch 28.1</w:t>
        </w:r>
      </w:hyperlink>
      <w:r>
        <w:t>)</w:t>
      </w:r>
    </w:p>
    <w:p>
      <w:pPr>
        <w:pStyle w:val="ListBullet"/>
        <w:spacing w:line="240" w:lineRule="auto"/>
        <w:ind w:left="720"/>
      </w:pPr>
      <w:r/>
      <w:r>
        <w:t>En Perse (</w:t>
      </w:r>
      <w:hyperlink r:id="rId5137">
        <w:r>
          <w:rPr>
            <w:color w:val="0000EE"/>
            <w:u w:val="single"/>
          </w:rPr>
          <w:t>Est 2.3</w:t>
        </w:r>
      </w:hyperlink>
      <w:r>
        <w:t>)</w:t>
      </w:r>
    </w:p>
    <w:p>
      <w:pPr>
        <w:pStyle w:val="ListBullet"/>
        <w:spacing w:line="240" w:lineRule="auto"/>
        <w:ind w:left="720"/>
      </w:pPr>
      <w:r/>
      <w:r>
        <w:t>En Éthiopie (</w:t>
      </w:r>
      <w:hyperlink r:id="rId5138">
        <w:r>
          <w:rPr>
            <w:color w:val="0000EE"/>
            <w:u w:val="single"/>
          </w:rPr>
          <w:t>Jr 38.7</w:t>
        </w:r>
      </w:hyperlink>
      <w:r>
        <w:t xml:space="preserve"> ; </w:t>
      </w:r>
      <w:hyperlink r:id="rId2175">
        <w:r>
          <w:rPr>
            <w:color w:val="0000EE"/>
            <w:u w:val="single"/>
          </w:rPr>
          <w:t>Act 8.27</w:t>
        </w:r>
      </w:hyperlink>
      <w:r>
        <w:t>)</w:t>
      </w:r>
    </w:p>
    <w:p>
      <w:pPr>
        <w:pStyle w:val="ListBullet"/>
        <w:spacing w:line="240" w:lineRule="auto"/>
        <w:ind w:left="720"/>
      </w:pPr>
      <w:r/>
      <w:r>
        <w:t>À Babylone (</w:t>
      </w:r>
      <w:hyperlink r:id="rId5139">
        <w:r>
          <w:rPr>
            <w:color w:val="0000EE"/>
            <w:u w:val="single"/>
          </w:rPr>
          <w:t>Dn 1.3</w:t>
        </w:r>
      </w:hyperlink>
      <w:r>
        <w:t>)</w:t>
      </w:r>
    </w:p>
    <w:p>
      <w:r/>
      <w:r>
        <w:t>Les eunuques ne participaient pas au culte public en Israël (</w:t>
      </w:r>
      <w:hyperlink r:id="rId5140">
        <w:r>
          <w:rPr>
            <w:color w:val="0000EE"/>
            <w:u w:val="single"/>
          </w:rPr>
          <w:t>Dt 23.1</w:t>
        </w:r>
      </w:hyperlink>
      <w:r>
        <w:t>), mais le prophète Ésaïe les a mentionnés dans le royaume messianique restauré (</w:t>
      </w:r>
      <w:hyperlink r:id="rId5141">
        <w:r>
          <w:rPr>
            <w:color w:val="0000EE"/>
            <w:u w:val="single"/>
          </w:rPr>
          <w:t>Es 56.3–5</w:t>
        </w:r>
      </w:hyperlink>
      <w:r>
        <w:t xml:space="preserve"> ; voir </w:t>
      </w:r>
      <w:hyperlink r:id="rId185">
        <w:r>
          <w:rPr>
            <w:color w:val="0000EE"/>
            <w:u w:val="single"/>
          </w:rPr>
          <w:t>Ac 8</w:t>
        </w:r>
      </w:hyperlink>
      <w:r>
        <w:t>).</w:t>
      </w:r>
    </w:p>
    <w:p>
      <w:r/>
      <w:r>
        <w:t xml:space="preserve">L'eunuque éthiopien dans </w:t>
      </w:r>
      <w:hyperlink r:id="rId5142">
        <w:r>
          <w:rPr>
            <w:color w:val="0000EE"/>
            <w:u w:val="single"/>
          </w:rPr>
          <w:t>Actes 8.27–39</w:t>
        </w:r>
      </w:hyperlink>
      <w:r>
        <w:t xml:space="preserve"> était probablement responsable du trésor. Il est crédité de la propagation du christianisme en Éthiopie.</w:t>
      </w:r>
    </w:p>
    <w:p>
      <w:r/>
      <w:r>
        <w:t>Jésus a mentionné trois types d'eunuques (</w:t>
      </w:r>
      <w:hyperlink r:id="rId5143">
        <w:r>
          <w:rPr>
            <w:color w:val="0000EE"/>
            <w:u w:val="single"/>
          </w:rPr>
          <w:t>Mt 19.12</w:t>
        </w:r>
      </w:hyperlink>
      <w:r>
        <w:t>), y compris ceux qui se sont faits eunuques pour le royaume. Cela fait probablement référence à ceux qui décident de ne jamais se marier pour servir le royaume (par exemple, Jean-Baptiste, Jésus et l'apôtre Paul).</w:t>
      </w:r>
      <w:r/>
      <w:r/>
    </w:p>
    <w:p>
      <w:r/>
    </w:p>
    <w:p>
      <w:pPr>
        <w:pStyle w:val="Heading2"/>
      </w:pPr>
      <w:r>
        <w:t>Euphrate</w:t>
      </w:r>
      <w:r/>
    </w:p>
    <w:p>
      <w:r/>
      <w:r>
        <w:t>L'Euphrate est le plus grand fleuve de l'Asie occidentale. Il prend sa source dans les montagnes du centre de l'Arménie, où se rejoignent deux rivières plus petites (le Kara-Su et le Murat-Suyu).</w:t>
      </w:r>
    </w:p>
    <w:p>
      <w:r/>
      <w:r>
        <w:t>Le fleuve s'écoule vers le sud-est sur environ 3 000 km. Il rencontre le Tigre près d'un endroit appelé Korna, à environ 150 km du golfe Persique.</w:t>
      </w:r>
    </w:p>
    <w:p>
      <w:r/>
      <w:r>
        <w:t>Sur la majeure partie de sa longueur, l'Euphrate est peu profond. De petits bateaux peuvent parcourir environ 2 000 km le long du fleuve. Les navires plus grands, tels que les paquebots, peuvent naviguer seulement après la jonction des fleuves de l'Euphrate et du Tigre, jusqu'à la ville de Bassorah.</w:t>
      </w:r>
    </w:p>
    <w:p>
      <w:r/>
      <w:r>
        <w:t>Au printemps (de mars à juin), le fleuve monte en raison de la fonte des neiges dans les montagnes. Dans les temps anciens, les gens construisaient des canaux pour stocker l'eau durant cette saison. Ces canaux aidaient à contrôler les inondations et rendaient prospère l'agriculture. Grâce à cela, la terre pouvait soutenir de nombreuses personnes.</w:t>
      </w:r>
    </w:p>
    <w:p>
      <w:r/>
      <w:r>
        <w:t>L'Euphrate était l'un des quatre fleuves issus du fleuve qui irriguait le jardin d'Éden (</w:t>
      </w:r>
      <w:hyperlink r:id="rId1419">
        <w:r>
          <w:rPr>
            <w:color w:val="0000EE"/>
            <w:u w:val="single"/>
          </w:rPr>
          <w:t>Gn 2.14</w:t>
        </w:r>
      </w:hyperlink>
      <w:r>
        <w:t>). Dieu a promis à Abraham que sa terre s'étendrait jusqu'à la partie supérieure de l'Euphrate (</w:t>
      </w:r>
      <w:hyperlink r:id="rId550">
        <w:r>
          <w:rPr>
            <w:color w:val="0000EE"/>
            <w:u w:val="single"/>
          </w:rPr>
          <w:t>Gn 15.18</w:t>
        </w:r>
      </w:hyperlink>
      <w:r>
        <w:t xml:space="preserve"> ; </w:t>
      </w:r>
      <w:hyperlink r:id="rId751">
        <w:r>
          <w:rPr>
            <w:color w:val="0000EE"/>
            <w:u w:val="single"/>
          </w:rPr>
          <w:t>Dt 1.7</w:t>
        </w:r>
      </w:hyperlink>
      <w:r>
        <w:t xml:space="preserve"> ; </w:t>
      </w:r>
      <w:hyperlink r:id="rId5144">
        <w:r>
          <w:rPr>
            <w:color w:val="0000EE"/>
            <w:u w:val="single"/>
          </w:rPr>
          <w:t>11.24</w:t>
        </w:r>
      </w:hyperlink>
      <w:r>
        <w:t>). À l'époque des rois David et Salomon, le territoire d'Israël atteignait presque cette frontière (</w:t>
      </w:r>
      <w:hyperlink r:id="rId5145">
        <w:r>
          <w:rPr>
            <w:color w:val="0000EE"/>
            <w:u w:val="single"/>
          </w:rPr>
          <w:t>2S 8.3</w:t>
        </w:r>
      </w:hyperlink>
      <w:r>
        <w:t xml:space="preserve"> ; </w:t>
      </w:r>
      <w:hyperlink r:id="rId3999">
        <w:r>
          <w:rPr>
            <w:color w:val="0000EE"/>
            <w:u w:val="single"/>
          </w:rPr>
          <w:t>10.16</w:t>
        </w:r>
      </w:hyperlink>
      <w:r>
        <w:t xml:space="preserve"> ; </w:t>
      </w:r>
      <w:hyperlink r:id="rId5146">
        <w:r>
          <w:rPr>
            <w:color w:val="0000EE"/>
            <w:u w:val="single"/>
          </w:rPr>
          <w:t>1R 4.24</w:t>
        </w:r>
      </w:hyperlink>
      <w:r>
        <w:t>).</w:t>
      </w:r>
    </w:p>
    <w:p>
      <w:r/>
      <w:r>
        <w:t>La Bible appelle souvent l'Euphrate « le fleuve » (</w:t>
      </w:r>
      <w:hyperlink r:id="rId1735">
        <w:r>
          <w:rPr>
            <w:color w:val="0000EE"/>
            <w:u w:val="single"/>
          </w:rPr>
          <w:t>Nb 22.5</w:t>
        </w:r>
      </w:hyperlink>
      <w:r>
        <w:t xml:space="preserve"> ; </w:t>
      </w:r>
      <w:hyperlink r:id="rId5144">
        <w:r>
          <w:rPr>
            <w:color w:val="0000EE"/>
            <w:u w:val="single"/>
          </w:rPr>
          <w:t>Dt 11.24</w:t>
        </w:r>
      </w:hyperlink>
      <w:r>
        <w:t xml:space="preserve"> ; </w:t>
      </w:r>
      <w:hyperlink r:id="rId5147">
        <w:r>
          <w:rPr>
            <w:color w:val="0000EE"/>
            <w:u w:val="single"/>
          </w:rPr>
          <w:t>Jos 24.3, 14</w:t>
        </w:r>
      </w:hyperlink>
      <w:r>
        <w:t>). La Bible appelle aussi l'Euphrate « le grand fleuve » (</w:t>
      </w:r>
      <w:hyperlink r:id="rId5148">
        <w:r>
          <w:rPr>
            <w:color w:val="0000EE"/>
            <w:u w:val="single"/>
          </w:rPr>
          <w:t>Jos 1.4</w:t>
        </w:r>
      </w:hyperlink>
      <w:r>
        <w:t>). Les gens qui vivaient à l'est de l'Euphrate appelaient la terre d'Israël « de l'autre côté du fleuve » (</w:t>
      </w:r>
      <w:hyperlink r:id="rId5149">
        <w:r>
          <w:rPr>
            <w:color w:val="0000EE"/>
            <w:u w:val="single"/>
          </w:rPr>
          <w:t>Esd 4.10</w:t>
        </w:r>
      </w:hyperlink>
      <w:r>
        <w:t xml:space="preserve"> ; </w:t>
      </w:r>
      <w:hyperlink r:id="rId5150">
        <w:r>
          <w:rPr>
            <w:color w:val="0000EE"/>
            <w:u w:val="single"/>
          </w:rPr>
          <w:t>Né 2.7–9</w:t>
        </w:r>
      </w:hyperlink>
      <w:r>
        <w:t>).</w:t>
      </w:r>
    </w:p>
    <w:p>
      <w:r/>
      <w:r>
        <w:t>Le prophète Jérémie enverra un homme nommé Seraja à ce fleuve avec un livre de prophéties. Ces dernières concernaient la destruction de Babylone. Après les avoir lues, Jérémie dira à Seraja de jeter le livre dans l'Euphrate, en symbole du fait que Babylone ne reviendrait jamais au pouvoir (</w:t>
      </w:r>
      <w:hyperlink r:id="rId5151">
        <w:r>
          <w:rPr>
            <w:color w:val="0000EE"/>
            <w:u w:val="single"/>
          </w:rPr>
          <w:t>Jr 51.63</w:t>
        </w:r>
      </w:hyperlink>
      <w:r>
        <w:t>).</w:t>
      </w:r>
    </w:p>
    <w:p>
      <w:r/>
      <w:r>
        <w:t>Le livre de l'Apocalypse mentionne également l'Euphrate. Il parle d'anges libérés au fleuve et d'un moment où le fleuve s'assèche pour préparer le chemin des rois de l'Orient (</w:t>
      </w:r>
      <w:hyperlink r:id="rId5152">
        <w:r>
          <w:rPr>
            <w:color w:val="0000EE"/>
            <w:u w:val="single"/>
          </w:rPr>
          <w:t>Ap 9.14</w:t>
        </w:r>
      </w:hyperlink>
      <w:r>
        <w:t xml:space="preserve"> ; </w:t>
      </w:r>
      <w:hyperlink r:id="rId5153">
        <w:r>
          <w:rPr>
            <w:color w:val="0000EE"/>
            <w:u w:val="single"/>
          </w:rPr>
          <w:t>16.12</w:t>
        </w:r>
      </w:hyperlink>
      <w:r>
        <w:t>).</w:t>
      </w:r>
    </w:p>
    <w:p>
      <w:r/>
      <w:r>
        <w:rPr>
          <w:i/>
        </w:rPr>
        <w:t>Voir aussi</w:t>
      </w:r>
      <w:r>
        <w:t xml:space="preserve"> </w:t>
      </w:r>
      <w:r>
        <w:t>Babylone, Babylonie</w:t>
      </w:r>
      <w:r>
        <w:t xml:space="preserve"> ; </w:t>
      </w:r>
      <w:r>
        <w:t>Mésopotamie</w:t>
      </w:r>
      <w:r>
        <w:t>.</w:t>
      </w:r>
      <w:r/>
      <w:r/>
    </w:p>
    <w:p>
      <w:r/>
    </w:p>
    <w:p>
      <w:pPr>
        <w:pStyle w:val="Heading2"/>
      </w:pPr>
      <w:r>
        <w:t>Euraquilon</w:t>
      </w:r>
      <w:r/>
    </w:p>
    <w:p>
      <w:r/>
      <w:r>
        <w:t xml:space="preserve">Translittération, dans la plupart des versions françaises, du mot grec pour le puissant vent du nord-est mentionné lors du voyage de Paul à Rome dans </w:t>
      </w:r>
      <w:hyperlink r:id="rId5154">
        <w:r>
          <w:rPr>
            <w:color w:val="0000EE"/>
            <w:u w:val="single"/>
          </w:rPr>
          <w:t>Actes 27.14</w:t>
        </w:r>
      </w:hyperlink>
      <w:r>
        <w:t>. Ce vent de tempête dangereux frappera le navire soudainement après leur départ du port de Beaux Ports sur l'île de Crète.</w:t>
      </w:r>
    </w:p>
    <w:p>
      <w:r/>
      <w:r>
        <w:rPr>
          <w:i/>
        </w:rPr>
        <w:t>Voir</w:t>
      </w:r>
      <w:r>
        <w:t xml:space="preserve"> </w:t>
      </w:r>
      <w:r>
        <w:t>Nord-Est</w:t>
      </w:r>
      <w:r>
        <w:t>.</w:t>
      </w:r>
      <w:r/>
      <w:r/>
    </w:p>
    <w:p>
      <w:r/>
    </w:p>
    <w:p>
      <w:pPr>
        <w:pStyle w:val="Heading2"/>
      </w:pPr>
      <w:r>
        <w:t>Eutychus, Eutyche, Eutyque</w:t>
      </w:r>
      <w:r/>
    </w:p>
    <w:p>
      <w:r/>
      <w:r>
        <w:t xml:space="preserve">Jeune homme dont le nom était courant parmi les esclaves. Eutychus apparaît une seule fois dans la Bible, dans </w:t>
      </w:r>
      <w:hyperlink r:id="rId5155">
        <w:r>
          <w:rPr>
            <w:color w:val="0000EE"/>
            <w:u w:val="single"/>
          </w:rPr>
          <w:t>Actes 20.9</w:t>
        </w:r>
      </w:hyperlink>
      <w:r>
        <w:t>. Le nom Eutychus a des origines grecques et signifie « chanceux » ou « bonne fortune ». Ce sens crée un contraste intéressant avec son histoire.</w:t>
      </w:r>
    </w:p>
    <w:p>
      <w:r/>
      <w:r>
        <w:t>Eutychus apparaît dans une histoire concernant un accident survenu pendant que l'apôtre Paul prêchait dans la ville de Troas. Eutychus était assis sur un rebord de fenêtre, écoutant le long sermon de Paul. Au fur et à mesure que la nuit avançait, Eutychus s'assoupira, pour tomber ensuite dans un profond sommeil et chuter de la fenêtre, située au troisième étage du bâtiment. Les gens pensaient qu'il était mort de la chute, mais l'apôtre Paul descendra vers lui et le ramènera à la vie (</w:t>
      </w:r>
      <w:hyperlink r:id="rId5156">
        <w:r>
          <w:rPr>
            <w:color w:val="0000EE"/>
            <w:u w:val="single"/>
          </w:rPr>
          <w:t>Ac 20.7–12</w:t>
        </w:r>
      </w:hyperlink>
      <w:r>
        <w:t>).</w:t>
      </w:r>
      <w:r/>
      <w:r/>
    </w:p>
    <w:p>
      <w:r/>
    </w:p>
    <w:p>
      <w:pPr>
        <w:pStyle w:val="Heading2"/>
      </w:pPr>
      <w:r>
        <w:t>Évangéliste</w:t>
      </w:r>
      <w:r/>
    </w:p>
    <w:p>
      <w:r/>
      <w:r>
        <w:t>Un évangéliste est une personne qui annonce et partage la bonne nouvelle concernant Jésus-Christ. Ce terme apparaît trois fois dans le Nouveau Testament.</w:t>
      </w:r>
    </w:p>
    <w:p>
      <w:r/>
      <w:r>
        <w:t xml:space="preserve">L'apôtre Paul a exhorté l'Église d'Éphèse à « </w:t>
      </w:r>
      <w:r>
        <w:t>marcher d’une manière digne de la vocation qui [leur] a été adressée</w:t>
      </w:r>
      <w:r>
        <w:t xml:space="preserve"> » (</w:t>
      </w:r>
      <w:hyperlink r:id="rId5157">
        <w:r>
          <w:rPr>
            <w:color w:val="0000EE"/>
            <w:u w:val="single"/>
          </w:rPr>
          <w:t>Ep 4.1–12</w:t>
        </w:r>
      </w:hyperlink>
      <w:r>
        <w:t xml:space="preserve">). Son exhortation mettait l'accent sur les dons donnés à chaque personne pour « </w:t>
      </w:r>
      <w:r>
        <w:t>conserver l’unité de l’esprit</w:t>
      </w:r>
      <w:r>
        <w:t xml:space="preserve"> » (verset </w:t>
      </w:r>
      <w:hyperlink r:id="rId5158">
        <w:r>
          <w:rPr>
            <w:color w:val="0000EE"/>
            <w:u w:val="single"/>
          </w:rPr>
          <w:t>3</w:t>
        </w:r>
      </w:hyperlink>
      <w:r>
        <w:t xml:space="preserve">). Paul a expliqué qu'après que Jésus soit monté au ciel, il « </w:t>
      </w:r>
      <w:r>
        <w:t>a donné les uns comme apôtres, les autres comme prophètes, les autres comme évangélistes, les autres comme pasteurs et docteurs</w:t>
      </w:r>
      <w:r>
        <w:t xml:space="preserve"> » (verset </w:t>
      </w:r>
      <w:hyperlink r:id="rId1826">
        <w:r>
          <w:rPr>
            <w:color w:val="0000EE"/>
            <w:u w:val="single"/>
          </w:rPr>
          <w:t>11</w:t>
        </w:r>
      </w:hyperlink>
      <w:r>
        <w:t>). Cela signifie que Jésus choisit des personnes pour ces différents rôles et les donne à l'Église comme des dons.</w:t>
      </w:r>
    </w:p>
    <w:p>
      <w:r/>
      <w:r>
        <w:t>L'évangéliste est l'un des dons que Jésus offre à l'Église. Le sens du terme indique que la tâche de l'évangéliste est de parler de Jésus aux personnes en dehors de l'Église. Leur rôle est similaire à celui d'un apôtre, mais avec une différence clé. Un apôtre devait avoir connu Jésus personnellement pendant son temps sur terre (</w:t>
      </w:r>
      <w:hyperlink r:id="rId1050">
        <w:r>
          <w:rPr>
            <w:color w:val="0000EE"/>
            <w:u w:val="single"/>
          </w:rPr>
          <w:t>Ac 1.21–22</w:t>
        </w:r>
      </w:hyperlink>
      <w:r>
        <w:t>). L'évangéliste est différent du pasteur ou de l'enseignant/docteur. Tandis que les évangélistes présentent d'abord Jésus aux gens, les pasteurs et les enseignants/docteurs aident ensuite les croyants à grandir dans leur foi. La référence à « Philippe l'évangéliste » (</w:t>
      </w:r>
      <w:hyperlink r:id="rId2215">
        <w:r>
          <w:rPr>
            <w:color w:val="0000EE"/>
            <w:u w:val="single"/>
          </w:rPr>
          <w:t>21.8</w:t>
        </w:r>
      </w:hyperlink>
      <w:r>
        <w:t>) soutient l'idée d'évangéliste en tant que titre. Il s'agit d'un ministère-don auquel Jésus appelle certains dans l'Église.</w:t>
      </w:r>
    </w:p>
    <w:p>
      <w:r/>
      <w:r>
        <w:t>Une personne peut avoir plus d'un rôle dans l'Église. Par exemple, Paul a dit à Timothée, qui était pasteur et enseignant, de faire « l'œuvre d'un évangéliste » (</w:t>
      </w:r>
      <w:hyperlink r:id="rId5159">
        <w:r>
          <w:rPr>
            <w:color w:val="0000EE"/>
            <w:u w:val="single"/>
          </w:rPr>
          <w:t>2Tm 4.5</w:t>
        </w:r>
      </w:hyperlink>
      <w:r>
        <w:t>). Cela montre qu'« évangéliste » peut signifier à la fois un rôle principal auquel quelqu'un est appelé et une tâche que d'autres dirigeants de l'Église pourraient accomplir dans le cadre de leur travail.</w:t>
      </w:r>
    </w:p>
    <w:p>
      <w:r/>
      <w:r>
        <w:rPr>
          <w:i/>
        </w:rPr>
        <w:t>Voir aussi</w:t>
      </w:r>
      <w:r>
        <w:t xml:space="preserve"> </w:t>
      </w:r>
      <w:r>
        <w:t>Dons spirituels</w:t>
      </w:r>
      <w:r>
        <w:t>.</w:t>
      </w:r>
      <w:r/>
      <w:r/>
    </w:p>
    <w:p>
      <w:r/>
    </w:p>
    <w:p>
      <w:pPr>
        <w:pStyle w:val="Heading2"/>
      </w:pPr>
      <w:r>
        <w:t>Ève</w:t>
      </w:r>
      <w:r/>
    </w:p>
    <w:p>
      <w:r/>
      <w:r>
        <w:t>La première femme, appelée « la mère de tous les vivants » (</w:t>
      </w:r>
      <w:hyperlink r:id="rId5160">
        <w:r>
          <w:rPr>
            <w:color w:val="0000EE"/>
            <w:u w:val="single"/>
          </w:rPr>
          <w:t>Gn 3.20</w:t>
        </w:r>
      </w:hyperlink>
      <w:r>
        <w:t xml:space="preserve">). Le livre de la Genèse nous dit qu'après avoir créé Adam, Dieu a vu qu'Adam ne devait pas être seul. Dieu décide alors de créer « </w:t>
      </w:r>
      <w:r>
        <w:t>aide semblable à lui</w:t>
      </w:r>
      <w:r>
        <w:t xml:space="preserve"> » pour Adam (</w:t>
      </w:r>
      <w:hyperlink r:id="rId5161">
        <w:r>
          <w:rPr>
            <w:color w:val="0000EE"/>
            <w:u w:val="single"/>
          </w:rPr>
          <w:t>Gn 2.18</w:t>
        </w:r>
      </w:hyperlink>
      <w:r>
        <w:t xml:space="preserve">). Le mot hébreu pour aide est </w:t>
      </w:r>
      <w:r>
        <w:rPr>
          <w:i/>
        </w:rPr>
        <w:t>ezer</w:t>
      </w:r>
      <w:r>
        <w:t xml:space="preserve">, qui est également utilisé dans d'autres parties de l'Ancien Testament pour décrire l'aide que Dieu représente pour Israël. Dieu fait tomber Adam dans un profond sommeil. Puis Dieu prend une des côtes d'Adam et l'utilise pour créer Ève (v. </w:t>
      </w:r>
      <w:hyperlink r:id="rId5162">
        <w:r>
          <w:rPr>
            <w:color w:val="0000EE"/>
            <w:u w:val="single"/>
          </w:rPr>
          <w:t>21–25</w:t>
        </w:r>
      </w:hyperlink>
      <w:r>
        <w:t>).</w:t>
      </w:r>
    </w:p>
    <w:p>
      <w:pPr>
        <w:pStyle w:val="Heading3"/>
      </w:pPr>
      <w:r>
        <w:t>Son nom</w:t>
      </w:r>
    </w:p>
    <w:p>
      <w:r/>
      <w:r>
        <w:t>Adam donne à sa femme Ève deux noms. D'abord, il l'appelle « femme ». Ce nom montrait sa connexion à l'homme (</w:t>
      </w:r>
      <w:hyperlink r:id="rId5163">
        <w:r>
          <w:rPr>
            <w:color w:val="0000EE"/>
            <w:u w:val="single"/>
          </w:rPr>
          <w:t>Gn 2.23</w:t>
        </w:r>
      </w:hyperlink>
      <w:r>
        <w:t>). Plus tard, après leur désobéissance à Dieu, il la nommera Ève, ce qui signifie « vie ». Ceci fait référence à son rôle en tant que première mère de la race humaine (</w:t>
      </w:r>
      <w:hyperlink r:id="rId5160">
        <w:r>
          <w:rPr>
            <w:color w:val="0000EE"/>
            <w:u w:val="single"/>
          </w:rPr>
          <w:t>3.20</w:t>
        </w:r>
      </w:hyperlink>
      <w:r>
        <w:t>).</w:t>
      </w:r>
    </w:p>
    <w:p>
      <w:pPr>
        <w:pStyle w:val="Heading3"/>
      </w:pPr>
      <w:r>
        <w:t>Son histoire</w:t>
      </w:r>
    </w:p>
    <w:p>
      <w:r/>
      <w:r>
        <w:t>Adam et Ève vivront d'abord dans le jardin d'Éden. Ils obéissaient à Dieu en le servant et en prenant soin l'un de l'autre. Puis le mal est entré dans le monde. Le serpent a tenté Ève de désobéir à ce que Dieu avait commandé. Dieu leur avait dit de ne pas manger du fruit de l'arbre de la connaissance du bien et du mal (</w:t>
      </w:r>
      <w:hyperlink r:id="rId1149">
        <w:r>
          <w:rPr>
            <w:color w:val="0000EE"/>
            <w:u w:val="single"/>
          </w:rPr>
          <w:t>Gn 2.17</w:t>
        </w:r>
      </w:hyperlink>
      <w:r>
        <w:t xml:space="preserve"> ; </w:t>
      </w:r>
      <w:hyperlink r:id="rId5164">
        <w:r>
          <w:rPr>
            <w:color w:val="0000EE"/>
            <w:u w:val="single"/>
          </w:rPr>
          <w:t>3.3</w:t>
        </w:r>
      </w:hyperlink>
      <w:r>
        <w:t>). Le serpent trompera Ève avec des mots astucieux, et elle mangera le fruit. Elle donnera ensuite de ce fruit à Adam, qui le mangera aussi, bien qu'il n'ait pas été trompé comme Ève l'a été. Après avoir mangé le fruit, ils réaliseront qu'ils étaient nus et fabriqueront des vêtements à partir de feuilles de figuier.</w:t>
      </w:r>
    </w:p>
    <w:p>
      <w:r/>
      <w:r>
        <w:t>Quand Dieu viendra leur parler, ils se cacheront de lui. Dieu demandera alors ce qui s'était passé et Adam blâme Ève, qui blâme à son tour le serpent. Dieu dira donc à Ève qu'à cause de leur désobéissance, l'accouchement sera douloureux. Il dira également que son mari dominerait sur elle (</w:t>
      </w:r>
      <w:hyperlink r:id="rId246">
        <w:r>
          <w:rPr>
            <w:color w:val="0000EE"/>
            <w:u w:val="single"/>
          </w:rPr>
          <w:t>Gn 3.16</w:t>
        </w:r>
      </w:hyperlink>
      <w:r>
        <w:t>). Plus tard, Ève deviendra la mère de Caïn, d'Abel, de Seth, et d'autres enfants (</w:t>
      </w:r>
      <w:hyperlink r:id="rId5165">
        <w:r>
          <w:rPr>
            <w:color w:val="0000EE"/>
            <w:u w:val="single"/>
          </w:rPr>
          <w:t>4.1–2, 25</w:t>
        </w:r>
      </w:hyperlink>
      <w:r>
        <w:t xml:space="preserve"> ; </w:t>
      </w:r>
      <w:hyperlink r:id="rId5166">
        <w:r>
          <w:rPr>
            <w:color w:val="0000EE"/>
            <w:u w:val="single"/>
          </w:rPr>
          <w:t>5.4</w:t>
        </w:r>
      </w:hyperlink>
      <w:r>
        <w:t>).</w:t>
      </w:r>
    </w:p>
    <w:p>
      <w:pPr>
        <w:pStyle w:val="Heading3"/>
      </w:pPr>
      <w:r>
        <w:t>Son avenir</w:t>
      </w:r>
    </w:p>
    <w:p>
      <w:r/>
      <w:r>
        <w:t xml:space="preserve">Le Nouveau Testament mentionne Ève à deux reprises. L'apôtre Paul se réfère à Ève lorsqu'il aborde la question de savoir si les femmes doivent enseigner dans l'Église. Il écrit : « </w:t>
      </w:r>
      <w:r>
        <w:t>Je ne permets pas à la femme d’enseigner, ni de prendre de l’autorité sur l’homme</w:t>
      </w:r>
      <w:r>
        <w:t xml:space="preserve"> » (</w:t>
      </w:r>
      <w:hyperlink r:id="rId5167">
        <w:r>
          <w:rPr>
            <w:color w:val="0000EE"/>
            <w:u w:val="single"/>
          </w:rPr>
          <w:t>1Tm 2.12</w:t>
        </w:r>
      </w:hyperlink>
      <w:r>
        <w:t>). Le mot grec pour « homme » est le même que pour « mari », et certains érudits soutiennent donc que Paul pourrait se référer spécifiquement à la relation d'une femme avec son mari plutôt qu'à tous les hommes en général. Le raisonnement de Paul est que l'homme a été créé en premier, et que la femme a été trompée et est devenue la première à pécher (</w:t>
      </w:r>
      <w:hyperlink r:id="rId5168">
        <w:r>
          <w:rPr>
            <w:color w:val="0000EE"/>
            <w:u w:val="single"/>
          </w:rPr>
          <w:t>1Tm 2.12–15 ;</w:t>
        </w:r>
      </w:hyperlink>
      <w:r>
        <w:t xml:space="preserve"> </w:t>
      </w:r>
      <w:hyperlink r:id="rId5169">
        <w:r>
          <w:rPr>
            <w:color w:val="0000EE"/>
            <w:u w:val="single"/>
          </w:rPr>
          <w:t>2Co 11.3</w:t>
        </w:r>
      </w:hyperlink>
      <w:r>
        <w:t>).</w:t>
      </w:r>
    </w:p>
    <w:p>
      <w:r/>
      <w:r>
        <w:t>Certains y voient une manière pour Paul de mettre l'accent sur l'ordre de la création et la chute (lorsqu'Adam et Ève ont péché pour la première fois) comme raisons de limiter l'autorité des femmes dans l'Église. D'autres soutiennent que les instructions de Paul étaient spécifiques à l'Église d'Éphèse à cette époque, où l'enseignement erroné posait problème. Ils comprennent les paroles de Paul comme s'adressant à une situation particulière plutôt que comme établissant une règle universelle interdisant à toutes les femmes dans toutes les Églises d'enseigner.</w:t>
      </w:r>
    </w:p>
    <w:p>
      <w:r/>
      <w:r>
        <w:rPr>
          <w:i/>
        </w:rPr>
        <w:t>Voir aussi</w:t>
      </w:r>
      <w:r>
        <w:t xml:space="preserve"> </w:t>
      </w:r>
      <w:r>
        <w:t>Adam (personne)</w:t>
      </w:r>
      <w:r>
        <w:t xml:space="preserve"> ; </w:t>
      </w:r>
      <w:r>
        <w:t>Jardin d'Éden</w:t>
      </w:r>
      <w:r>
        <w:t>.</w:t>
      </w:r>
      <w:r/>
      <w:r/>
    </w:p>
    <w:p>
      <w:r/>
    </w:p>
    <w:p>
      <w:pPr>
        <w:pStyle w:val="Heading2"/>
      </w:pPr>
      <w:r>
        <w:t>Exaltation de Christ</w:t>
      </w:r>
      <w:r/>
    </w:p>
    <w:p>
      <w:r/>
      <w:r>
        <w:t>La gloire et l'autorité que Jésus a reçues après son œuvre sur Terre se sont conclues par la souffrance et la mort. Cette exaltation représente à la fois l'achèvement de son sacrifice pour l'humanité et la récompense de son obéissance totale à Dieu le Père. L'exaltation comprend trois événements clés :</w:t>
      </w:r>
    </w:p>
    <w:p>
      <w:pPr>
        <w:pStyle w:val="ListNumber"/>
        <w:spacing w:line="240" w:lineRule="auto"/>
        <w:ind w:left="720"/>
      </w:pPr>
      <w:r/>
      <w:r>
        <w:t>La résurrection de Jésus (retour à la vie après la mort)</w:t>
      </w:r>
    </w:p>
    <w:p>
      <w:pPr>
        <w:pStyle w:val="ListNumber"/>
        <w:spacing w:line="240" w:lineRule="auto"/>
        <w:ind w:left="720"/>
      </w:pPr>
      <w:r/>
      <w:r>
        <w:t>L'ascension de Jésus (montée au ciel)</w:t>
      </w:r>
    </w:p>
    <w:p>
      <w:pPr>
        <w:pStyle w:val="ListNumber"/>
        <w:spacing w:line="240" w:lineRule="auto"/>
        <w:ind w:left="720"/>
      </w:pPr>
      <w:r/>
      <w:r>
        <w:t>L'intronisation de Jésus au ciel (prenant sa place en tant que souverain dans le Royaume de Dieu)</w:t>
      </w:r>
    </w:p>
    <w:p>
      <w:r/>
      <w:r>
        <w:t>Au cours de son ministère terrestre, Jésus a prédit qu'il souffrirait, mourrait et serait enterré (</w:t>
      </w:r>
      <w:hyperlink r:id="rId653">
        <w:r>
          <w:rPr>
            <w:color w:val="0000EE"/>
            <w:u w:val="single"/>
          </w:rPr>
          <w:t>Mt 20.28</w:t>
        </w:r>
      </w:hyperlink>
      <w:r>
        <w:t xml:space="preserve"> ; </w:t>
      </w:r>
      <w:hyperlink r:id="rId5170">
        <w:r>
          <w:rPr>
            <w:color w:val="0000EE"/>
            <w:u w:val="single"/>
          </w:rPr>
          <w:t>Jn 3.14</w:t>
        </w:r>
      </w:hyperlink>
      <w:r>
        <w:t xml:space="preserve"> ; </w:t>
      </w:r>
      <w:hyperlink r:id="rId5171">
        <w:r>
          <w:rPr>
            <w:color w:val="0000EE"/>
            <w:u w:val="single"/>
          </w:rPr>
          <w:t>6.51</w:t>
        </w:r>
      </w:hyperlink>
      <w:r>
        <w:t xml:space="preserve"> ; </w:t>
      </w:r>
      <w:hyperlink r:id="rId5172">
        <w:r>
          <w:rPr>
            <w:color w:val="0000EE"/>
            <w:u w:val="single"/>
          </w:rPr>
          <w:t>10.11</w:t>
        </w:r>
      </w:hyperlink>
      <w:r>
        <w:t>). Il a également prédit que Dieu le Père le ressusciterait, lui donnant une position de pouvoir et de gloire au ciel (</w:t>
      </w:r>
      <w:hyperlink r:id="rId5173">
        <w:r>
          <w:rPr>
            <w:color w:val="0000EE"/>
            <w:u w:val="single"/>
          </w:rPr>
          <w:t>Lc 24.26</w:t>
        </w:r>
      </w:hyperlink>
      <w:r>
        <w:t xml:space="preserve"> ; </w:t>
      </w:r>
      <w:hyperlink r:id="rId5174">
        <w:r>
          <w:rPr>
            <w:color w:val="0000EE"/>
            <w:u w:val="single"/>
          </w:rPr>
          <w:t>Jn 17.5</w:t>
        </w:r>
      </w:hyperlink>
      <w:r>
        <w:t>). Jésus a illustré ce schéma de souffrance suivie de gloire lorsqu'il a rencontré des Grecs qui voulaient le voir (</w:t>
      </w:r>
      <w:hyperlink r:id="rId5175">
        <w:r>
          <w:rPr>
            <w:color w:val="0000EE"/>
            <w:u w:val="single"/>
          </w:rPr>
          <w:t>Jn 12.20–36</w:t>
        </w:r>
      </w:hyperlink>
      <w:r>
        <w:t xml:space="preserve">). Jésus a dit que, par sa souffrance et sa résurrection, même les païens (les non-Juifs) pourraient connaître Dieu. Lorsque Jésus a dit : « </w:t>
      </w:r>
      <w:r>
        <w:t>L’heure est venue où le Fils de l’homme doit être glorifié</w:t>
      </w:r>
      <w:r>
        <w:t xml:space="preserve"> » (</w:t>
      </w:r>
      <w:hyperlink r:id="rId5176">
        <w:r>
          <w:rPr>
            <w:color w:val="0000EE"/>
            <w:u w:val="single"/>
          </w:rPr>
          <w:t>Jn 12.23</w:t>
        </w:r>
      </w:hyperlink>
      <w:r>
        <w:t>), il voulait dire qu'il serait honoré et glorifié au ciel après sa souffrance. Cet enseignement est devenu le fondement de la compréhension de l'exaltation de Jésus par l'Église primitive.</w:t>
      </w:r>
    </w:p>
    <w:p>
      <w:pPr>
        <w:pStyle w:val="Heading4"/>
      </w:pPr>
      <w:r>
        <w:t>La Résurrection : Jésus est revenu à la vie après sa mort</w:t>
      </w:r>
    </w:p>
    <w:p>
      <w:r/>
      <w:r>
        <w:t>La résurrection de Jésus est le premier événement de son exaltation. Il s'agit là d'un enseignement central du Nouveau Testament (</w:t>
      </w:r>
      <w:hyperlink r:id="rId5177">
        <w:r>
          <w:rPr>
            <w:color w:val="0000EE"/>
            <w:u w:val="single"/>
          </w:rPr>
          <w:t>Ac 2.24, 32</w:t>
        </w:r>
      </w:hyperlink>
      <w:r>
        <w:t xml:space="preserve"> ; </w:t>
      </w:r>
      <w:hyperlink r:id="rId5178">
        <w:r>
          <w:rPr>
            <w:color w:val="0000EE"/>
            <w:u w:val="single"/>
          </w:rPr>
          <w:t>3.15</w:t>
        </w:r>
      </w:hyperlink>
      <w:r>
        <w:t xml:space="preserve"> ; </w:t>
      </w:r>
      <w:hyperlink r:id="rId5179">
        <w:r>
          <w:rPr>
            <w:color w:val="0000EE"/>
            <w:u w:val="single"/>
          </w:rPr>
          <w:t>4.10</w:t>
        </w:r>
      </w:hyperlink>
      <w:r>
        <w:t xml:space="preserve"> ; </w:t>
      </w:r>
      <w:hyperlink r:id="rId2496">
        <w:r>
          <w:rPr>
            <w:color w:val="0000EE"/>
            <w:u w:val="single"/>
          </w:rPr>
          <w:t>Rm 1.4</w:t>
        </w:r>
      </w:hyperlink>
      <w:r>
        <w:t xml:space="preserve"> ; </w:t>
      </w:r>
      <w:hyperlink r:id="rId2587">
        <w:r>
          <w:rPr>
            <w:color w:val="0000EE"/>
            <w:u w:val="single"/>
          </w:rPr>
          <w:t>1Co 15.4</w:t>
        </w:r>
      </w:hyperlink>
      <w:r>
        <w:t>). Dès le commencement, les chrétiens ont cru qu'à un moment et un lieu précis, Jésus est ressuscité des morts et est entré dans la vie éternelle. L'événement unique de la résurrection de Jésus distingue le christianisme des autres religions. Le Nouveau Testament montre que Jésus a prédit sa résurrection. Lorsque les Juifs ont remis en question son autorité, Jésus a dit : « Détruisez ce temple, et en trois jours je le relèverai » (</w:t>
      </w:r>
      <w:hyperlink r:id="rId5180">
        <w:r>
          <w:rPr>
            <w:color w:val="0000EE"/>
            <w:u w:val="single"/>
          </w:rPr>
          <w:t>Jn 2.19</w:t>
        </w:r>
      </w:hyperlink>
      <w:r>
        <w:t>). Après que Pierre a confessé que Jésus était le Fils de Dieu, Jésus a dit à ses disciples qu'il serait tué et ressuscité le troisième jour (</w:t>
      </w:r>
      <w:hyperlink r:id="rId4178">
        <w:r>
          <w:rPr>
            <w:color w:val="0000EE"/>
            <w:u w:val="single"/>
          </w:rPr>
          <w:t>Mt 16.21</w:t>
        </w:r>
      </w:hyperlink>
      <w:r>
        <w:t>). Il a répété cela à ses disciples en Galilée, disant qu'il serait tué et ressuscité le troisième jour : « Le Fils de l’homme doit être livré entre les mains des hommes ; ils le feront mourir, et le troisième jour il ressuscitera » (</w:t>
      </w:r>
      <w:hyperlink r:id="rId5181">
        <w:r>
          <w:rPr>
            <w:color w:val="0000EE"/>
            <w:u w:val="single"/>
          </w:rPr>
          <w:t>Mt 17.22–23</w:t>
        </w:r>
      </w:hyperlink>
      <w:r>
        <w:t>). Le Nouveau Testament souligne la certitude de la résurrection de Jésus trois jours après sa mort.</w:t>
      </w:r>
    </w:p>
    <w:p>
      <w:r/>
      <w:r>
        <w:t>Le Nouveau Testament explique également la signification de la résurrection de Jésus :</w:t>
      </w:r>
    </w:p>
    <w:p>
      <w:pPr>
        <w:pStyle w:val="ListNumber"/>
        <w:spacing w:line="240" w:lineRule="auto"/>
        <w:ind w:left="720"/>
      </w:pPr>
      <w:r/>
      <w:r>
        <w:t>Elle prouve le pouvoir de Christ sur la mort (</w:t>
      </w:r>
      <w:hyperlink r:id="rId5182">
        <w:r>
          <w:rPr>
            <w:color w:val="0000EE"/>
            <w:u w:val="single"/>
          </w:rPr>
          <w:t>Ac 2.24</w:t>
        </w:r>
      </w:hyperlink>
      <w:r>
        <w:t xml:space="preserve"> ; </w:t>
      </w:r>
      <w:hyperlink r:id="rId5183">
        <w:r>
          <w:rPr>
            <w:color w:val="0000EE"/>
            <w:u w:val="single"/>
          </w:rPr>
          <w:t>1Co 15.54–56</w:t>
        </w:r>
      </w:hyperlink>
      <w:r>
        <w:t>)</w:t>
      </w:r>
    </w:p>
    <w:p>
      <w:pPr>
        <w:pStyle w:val="ListNumber"/>
        <w:spacing w:line="240" w:lineRule="auto"/>
        <w:ind w:left="720"/>
      </w:pPr>
      <w:r/>
      <w:r>
        <w:t>Elle confirme les enseignements de Christ, en particulier son affirmation qu'il est le Fils de Dieu (</w:t>
      </w:r>
      <w:hyperlink r:id="rId2516">
        <w:r>
          <w:rPr>
            <w:color w:val="0000EE"/>
            <w:u w:val="single"/>
          </w:rPr>
          <w:t>Ac 2.36</w:t>
        </w:r>
      </w:hyperlink>
      <w:r>
        <w:t xml:space="preserve"> ; </w:t>
      </w:r>
      <w:hyperlink r:id="rId2496">
        <w:r>
          <w:rPr>
            <w:color w:val="0000EE"/>
            <w:u w:val="single"/>
          </w:rPr>
          <w:t>Rm 1.4</w:t>
        </w:r>
      </w:hyperlink>
      <w:r>
        <w:t>)</w:t>
      </w:r>
    </w:p>
    <w:p>
      <w:pPr>
        <w:pStyle w:val="ListNumber"/>
        <w:spacing w:line="240" w:lineRule="auto"/>
        <w:ind w:left="720"/>
      </w:pPr>
      <w:r/>
      <w:r>
        <w:t>Elle démontre que Dieu a approuvé la souffrance de Jésus (</w:t>
      </w:r>
      <w:hyperlink r:id="rId5184">
        <w:r>
          <w:rPr>
            <w:color w:val="0000EE"/>
            <w:u w:val="single"/>
          </w:rPr>
          <w:t>Ph 2.8–9</w:t>
        </w:r>
      </w:hyperlink>
      <w:r>
        <w:t>)</w:t>
      </w:r>
    </w:p>
    <w:p>
      <w:pPr>
        <w:pStyle w:val="ListNumber"/>
        <w:spacing w:line="240" w:lineRule="auto"/>
        <w:ind w:left="720"/>
      </w:pPr>
      <w:r/>
      <w:r>
        <w:t>Elle permet aux croyants d'être réconciliés avec Dieu (</w:t>
      </w:r>
      <w:hyperlink r:id="rId5185">
        <w:r>
          <w:rPr>
            <w:color w:val="0000EE"/>
            <w:u w:val="single"/>
          </w:rPr>
          <w:t>Rm 4.25</w:t>
        </w:r>
      </w:hyperlink>
      <w:r>
        <w:t>) et de vivre une renaissance spirituelle (</w:t>
      </w:r>
      <w:hyperlink r:id="rId5186">
        <w:r>
          <w:rPr>
            <w:color w:val="0000EE"/>
            <w:u w:val="single"/>
          </w:rPr>
          <w:t>1P 1.3</w:t>
        </w:r>
      </w:hyperlink>
      <w:r>
        <w:t>)</w:t>
      </w:r>
    </w:p>
    <w:p>
      <w:pPr>
        <w:pStyle w:val="ListNumber"/>
        <w:spacing w:line="240" w:lineRule="auto"/>
        <w:ind w:left="720"/>
      </w:pPr>
      <w:r/>
      <w:r>
        <w:t>Elle garantit que les chrétiens seront également ressuscités (</w:t>
      </w:r>
      <w:hyperlink r:id="rId1657">
        <w:r>
          <w:rPr>
            <w:color w:val="0000EE"/>
            <w:u w:val="single"/>
          </w:rPr>
          <w:t>Rm 6.5</w:t>
        </w:r>
      </w:hyperlink>
      <w:r>
        <w:t xml:space="preserve"> ; </w:t>
      </w:r>
      <w:hyperlink r:id="rId5187">
        <w:r>
          <w:rPr>
            <w:color w:val="0000EE"/>
            <w:u w:val="single"/>
          </w:rPr>
          <w:t>1Co 15.22–24</w:t>
        </w:r>
      </w:hyperlink>
      <w:r>
        <w:t>)</w:t>
      </w:r>
    </w:p>
    <w:p>
      <w:r/>
      <w:r>
        <w:t>Le Nouveau Testament enseigne que Dieu a ressuscité Jésus d'entre les morts (</w:t>
      </w:r>
      <w:hyperlink r:id="rId636">
        <w:r>
          <w:rPr>
            <w:color w:val="0000EE"/>
            <w:u w:val="single"/>
          </w:rPr>
          <w:t>Ps 16.10</w:t>
        </w:r>
      </w:hyperlink>
      <w:r>
        <w:t xml:space="preserve"> ; </w:t>
      </w:r>
      <w:hyperlink r:id="rId5188">
        <w:r>
          <w:rPr>
            <w:color w:val="0000EE"/>
            <w:u w:val="single"/>
          </w:rPr>
          <w:t>Ac 2.32</w:t>
        </w:r>
      </w:hyperlink>
      <w:r>
        <w:t xml:space="preserve"> ; </w:t>
      </w:r>
      <w:hyperlink r:id="rId5189">
        <w:r>
          <w:rPr>
            <w:color w:val="0000EE"/>
            <w:u w:val="single"/>
          </w:rPr>
          <w:t>Ep 1.19–20</w:t>
        </w:r>
      </w:hyperlink>
      <w:r>
        <w:t>), mais il dit aussi que Jésus avait le pouvoir de se ressusciter lui-même (</w:t>
      </w:r>
      <w:hyperlink r:id="rId5180">
        <w:r>
          <w:rPr>
            <w:color w:val="0000EE"/>
            <w:u w:val="single"/>
          </w:rPr>
          <w:t>Jn 2.19</w:t>
        </w:r>
      </w:hyperlink>
      <w:r>
        <w:t xml:space="preserve"> ; </w:t>
      </w:r>
      <w:hyperlink r:id="rId5190">
        <w:r>
          <w:rPr>
            <w:color w:val="0000EE"/>
            <w:u w:val="single"/>
          </w:rPr>
          <w:t>10.17–18</w:t>
        </w:r>
      </w:hyperlink>
      <w:r>
        <w:t>).</w:t>
      </w:r>
    </w:p>
    <w:p>
      <w:pPr>
        <w:pStyle w:val="Heading4"/>
      </w:pPr>
      <w:r>
        <w:t>L'Ascension : Jésus est monté aux cieux</w:t>
      </w:r>
    </w:p>
    <w:p>
      <w:r/>
      <w:r>
        <w:t>L'Ascension représente la deuxième phase de l'exaltation de Christ. Selon le Nouveau Testament (</w:t>
      </w:r>
      <w:hyperlink r:id="rId1326">
        <w:r>
          <w:rPr>
            <w:color w:val="0000EE"/>
            <w:u w:val="single"/>
          </w:rPr>
          <w:t>Lc 24.50–51</w:t>
        </w:r>
      </w:hyperlink>
      <w:r>
        <w:t xml:space="preserve">; </w:t>
      </w:r>
      <w:hyperlink r:id="rId1325">
        <w:r>
          <w:rPr>
            <w:color w:val="0000EE"/>
            <w:u w:val="single"/>
          </w:rPr>
          <w:t>Ac 1.9–11</w:t>
        </w:r>
      </w:hyperlink>
      <w:r>
        <w:t>), Jésus est monté aux cieux quarante jours après sa résurrection. Dans l'Évangile de Jean, Jésus mentionne souvent son Ascension (</w:t>
      </w:r>
      <w:hyperlink r:id="rId2683">
        <w:r>
          <w:rPr>
            <w:color w:val="0000EE"/>
            <w:u w:val="single"/>
          </w:rPr>
          <w:t>Jn 3.13</w:t>
        </w:r>
      </w:hyperlink>
      <w:r>
        <w:t xml:space="preserve">; </w:t>
      </w:r>
      <w:hyperlink r:id="rId5191">
        <w:r>
          <w:rPr>
            <w:color w:val="0000EE"/>
            <w:u w:val="single"/>
          </w:rPr>
          <w:t>6.62</w:t>
        </w:r>
      </w:hyperlink>
      <w:r>
        <w:t xml:space="preserve">; </w:t>
      </w:r>
      <w:hyperlink r:id="rId5192">
        <w:r>
          <w:rPr>
            <w:color w:val="0000EE"/>
            <w:u w:val="single"/>
          </w:rPr>
          <w:t>14.12</w:t>
        </w:r>
      </w:hyperlink>
      <w:r>
        <w:t xml:space="preserve">; </w:t>
      </w:r>
      <w:hyperlink r:id="rId1329">
        <w:r>
          <w:rPr>
            <w:color w:val="0000EE"/>
            <w:u w:val="single"/>
          </w:rPr>
          <w:t>20.17</w:t>
        </w:r>
      </w:hyperlink>
      <w:r>
        <w:t>), montrant qu'il croyait qu'il irait dans un lieu réel au ciel (</w:t>
      </w:r>
      <w:hyperlink r:id="rId1343">
        <w:r>
          <w:rPr>
            <w:color w:val="0000EE"/>
            <w:u w:val="single"/>
          </w:rPr>
          <w:t>Jn 14.2</w:t>
        </w:r>
      </w:hyperlink>
      <w:r>
        <w:t>). L'apôtre Paul a lié l'Ascension à la victoire de Christ sur ses ennemis et au déversement de dons spirituels sur l'Église (</w:t>
      </w:r>
      <w:hyperlink r:id="rId5193">
        <w:r>
          <w:rPr>
            <w:color w:val="0000EE"/>
            <w:u w:val="single"/>
          </w:rPr>
          <w:t>Ep 4.8</w:t>
        </w:r>
      </w:hyperlink>
      <w:r>
        <w:t xml:space="preserve">). Jésus, ayant remporté la victoire, est retourné vers le trône de son Père afin de bénir ses disciples. Paul décrit cet événement comme le « mystère » de la foi chrétienne : que Christ, qui « </w:t>
      </w:r>
      <w:r>
        <w:t>a été manifesté en chair</w:t>
      </w:r>
      <w:r>
        <w:t>, » a été « élevé dans la gloire » (</w:t>
      </w:r>
      <w:hyperlink r:id="rId1338">
        <w:r>
          <w:rPr>
            <w:color w:val="0000EE"/>
            <w:u w:val="single"/>
          </w:rPr>
          <w:t>1Ti 3.16</w:t>
        </w:r>
      </w:hyperlink>
      <w:r>
        <w:t>).</w:t>
      </w:r>
    </w:p>
    <w:p>
      <w:r/>
      <w:r>
        <w:t>L'Épître aux Hébreux associe l'ascension de Jésus à son rôle de Grand Prêtre dans le temple céleste. Jésus, qui a résisté à toutes les tentations terrestres, a « traversé les cieux ». Il compatit désormais pleinement avec ses disciples et leur communique sa grâce lorsque le besoin s'en fait ressentir (</w:t>
      </w:r>
      <w:hyperlink r:id="rId1354">
        <w:r>
          <w:rPr>
            <w:color w:val="0000EE"/>
            <w:u w:val="single"/>
          </w:rPr>
          <w:t>Hé 4.14–16</w:t>
        </w:r>
      </w:hyperlink>
      <w:r>
        <w:t>). Hébreux dit que Jésus est monté au temple céleste (</w:t>
      </w:r>
      <w:hyperlink r:id="rId688">
        <w:r>
          <w:rPr>
            <w:color w:val="0000EE"/>
            <w:u w:val="single"/>
          </w:rPr>
          <w:t>Hé 6.19</w:t>
        </w:r>
      </w:hyperlink>
      <w:r>
        <w:t>). Il a présenté son sang (</w:t>
      </w:r>
      <w:hyperlink r:id="rId1348">
        <w:r>
          <w:rPr>
            <w:color w:val="0000EE"/>
            <w:u w:val="single"/>
          </w:rPr>
          <w:t>Hé 9.12</w:t>
        </w:r>
      </w:hyperlink>
      <w:r>
        <w:t>) comme le sacrifice ultime pour apparaître devant Dieu en faveur de l'humanité (</w:t>
      </w:r>
      <w:hyperlink r:id="rId1347">
        <w:r>
          <w:rPr>
            <w:color w:val="0000EE"/>
            <w:u w:val="single"/>
          </w:rPr>
          <w:t>Hé 9.24</w:t>
        </w:r>
      </w:hyperlink>
      <w:r>
        <w:t>).</w:t>
      </w:r>
    </w:p>
    <w:p>
      <w:r/>
      <w:r>
        <w:t>Le Nouveau Testament accorde une grande importance à cette partie de l'exaltation de Jésus. Par son ascension vers le Père, Jésus :</w:t>
      </w:r>
    </w:p>
    <w:p>
      <w:pPr>
        <w:pStyle w:val="ListNumber"/>
        <w:spacing w:line="240" w:lineRule="auto"/>
        <w:ind w:left="720"/>
      </w:pPr>
      <w:r/>
      <w:r>
        <w:t>A démontré sa victoire sur chaque ennemi terrestre (</w:t>
      </w:r>
      <w:hyperlink r:id="rId5193">
        <w:r>
          <w:rPr>
            <w:color w:val="0000EE"/>
            <w:u w:val="single"/>
          </w:rPr>
          <w:t>Ep 4.8</w:t>
        </w:r>
      </w:hyperlink>
      <w:r>
        <w:t>)</w:t>
      </w:r>
    </w:p>
    <w:p>
      <w:pPr>
        <w:pStyle w:val="ListNumber"/>
        <w:spacing w:line="240" w:lineRule="auto"/>
        <w:ind w:left="720"/>
      </w:pPr>
      <w:r/>
      <w:r>
        <w:t>A envoyé le Saint-Esprit promis (</w:t>
      </w:r>
      <w:hyperlink r:id="rId1340">
        <w:r>
          <w:rPr>
            <w:color w:val="0000EE"/>
            <w:u w:val="single"/>
          </w:rPr>
          <w:t>Jn 16.7</w:t>
        </w:r>
      </w:hyperlink>
      <w:r>
        <w:t xml:space="preserve"> ; </w:t>
      </w:r>
      <w:hyperlink r:id="rId5194">
        <w:r>
          <w:rPr>
            <w:color w:val="0000EE"/>
            <w:u w:val="single"/>
          </w:rPr>
          <w:t>Ac 2.33</w:t>
        </w:r>
      </w:hyperlink>
      <w:r>
        <w:t>), ce qui ne pouvait se produire qu'après sa glorification (</w:t>
      </w:r>
      <w:hyperlink r:id="rId4934">
        <w:r>
          <w:rPr>
            <w:color w:val="0000EE"/>
            <w:u w:val="single"/>
          </w:rPr>
          <w:t>Jn 7.39</w:t>
        </w:r>
      </w:hyperlink>
      <w:r>
        <w:t>)</w:t>
      </w:r>
    </w:p>
    <w:p>
      <w:pPr>
        <w:pStyle w:val="ListNumber"/>
        <w:spacing w:line="240" w:lineRule="auto"/>
        <w:ind w:left="720"/>
      </w:pPr>
      <w:r/>
      <w:r>
        <w:t>A commencé son travail en tant que Grand Prêtre au ciel (</w:t>
      </w:r>
      <w:hyperlink r:id="rId1346">
        <w:r>
          <w:rPr>
            <w:color w:val="0000EE"/>
            <w:u w:val="single"/>
          </w:rPr>
          <w:t>Hé 6.20</w:t>
        </w:r>
      </w:hyperlink>
      <w:r>
        <w:t>)</w:t>
      </w:r>
    </w:p>
    <w:p>
      <w:pPr>
        <w:pStyle w:val="Heading4"/>
      </w:pPr>
      <w:r>
        <w:t>L'Intronisation : Jésus a pris sa place en tant que souverain dans le Royaume de Dieu</w:t>
      </w:r>
    </w:p>
    <w:p>
      <w:r/>
      <w:r>
        <w:t>La dernière étape de l'exaltation de Jésus est son intronisation à la droite de Dieu le Père. Après sa souffrance, sa mort, sa résurrection et son ascension, la Bible décrit Jésus comme étant assis à la droite de Dieu. L'expression « droite de Dieu » (</w:t>
      </w:r>
      <w:hyperlink r:id="rId5195">
        <w:r>
          <w:rPr>
            <w:color w:val="0000EE"/>
            <w:u w:val="single"/>
          </w:rPr>
          <w:t>Ac 7.55–56</w:t>
        </w:r>
      </w:hyperlink>
      <w:r>
        <w:t xml:space="preserve">) est une manière figurative de dire que Jésus détient désormais le pouvoir et l'autorité universels en présence de Dieu. Cette partie de l'exaltation de Jésus accomplit sa prière enregistrée dans </w:t>
      </w:r>
      <w:hyperlink r:id="rId5174">
        <w:r>
          <w:rPr>
            <w:color w:val="0000EE"/>
            <w:u w:val="single"/>
          </w:rPr>
          <w:t>Jn 17.5</w:t>
        </w:r>
      </w:hyperlink>
      <w:r>
        <w:t xml:space="preserve"> : « </w:t>
      </w:r>
      <w:r>
        <w:t>Et maintenant toi, Père, glorifie-moi auprès de toi-même de la gloire que j’avais auprès de toi avant que le monde fût</w:t>
      </w:r>
      <w:r>
        <w:t xml:space="preserve"> ».</w:t>
      </w:r>
    </w:p>
    <w:p>
      <w:r/>
      <w:r>
        <w:t>Dans l'Ancien Testament, Dieu est souvent décrit comme étant assis sur le trône de l'univers. Cela illustre sa :</w:t>
      </w:r>
    </w:p>
    <w:p>
      <w:pPr>
        <w:pStyle w:val="ListBullet"/>
        <w:spacing w:line="240" w:lineRule="auto"/>
        <w:ind w:left="720"/>
      </w:pPr>
      <w:r/>
      <w:r>
        <w:t>Souveraineté (</w:t>
      </w:r>
      <w:hyperlink r:id="rId5196">
        <w:r>
          <w:rPr>
            <w:color w:val="0000EE"/>
            <w:u w:val="single"/>
          </w:rPr>
          <w:t>1R 22.19</w:t>
        </w:r>
      </w:hyperlink>
      <w:r>
        <w:t xml:space="preserve"> ; </w:t>
      </w:r>
      <w:hyperlink r:id="rId1172">
        <w:r>
          <w:rPr>
            <w:color w:val="0000EE"/>
            <w:u w:val="single"/>
          </w:rPr>
          <w:t>Ps 99.1</w:t>
        </w:r>
      </w:hyperlink>
      <w:r>
        <w:t>)</w:t>
      </w:r>
    </w:p>
    <w:p>
      <w:pPr>
        <w:pStyle w:val="ListBullet"/>
        <w:spacing w:line="240" w:lineRule="auto"/>
        <w:ind w:left="720"/>
      </w:pPr>
      <w:r/>
      <w:r>
        <w:t>Majesté (</w:t>
      </w:r>
      <w:hyperlink r:id="rId5197">
        <w:r>
          <w:rPr>
            <w:color w:val="0000EE"/>
            <w:u w:val="single"/>
          </w:rPr>
          <w:t>Es 6.1–4</w:t>
        </w:r>
      </w:hyperlink>
      <w:r>
        <w:t>)</w:t>
      </w:r>
    </w:p>
    <w:p>
      <w:pPr>
        <w:pStyle w:val="ListBullet"/>
        <w:spacing w:line="240" w:lineRule="auto"/>
        <w:ind w:left="720"/>
      </w:pPr>
      <w:r/>
      <w:r>
        <w:t>Sainteté (</w:t>
      </w:r>
      <w:hyperlink r:id="rId5198">
        <w:r>
          <w:rPr>
            <w:color w:val="0000EE"/>
            <w:u w:val="single"/>
          </w:rPr>
          <w:t>Ps 47.8</w:t>
        </w:r>
      </w:hyperlink>
      <w:r>
        <w:t>)</w:t>
      </w:r>
    </w:p>
    <w:p>
      <w:r/>
      <w:r>
        <w:t>Dans les cultures orientales, être invité à s'asseoir à la droite d'un souverain était un signe de grand honneur et d'autorité (</w:t>
      </w:r>
      <w:hyperlink r:id="rId5199">
        <w:r>
          <w:rPr>
            <w:color w:val="0000EE"/>
            <w:u w:val="single"/>
          </w:rPr>
          <w:t>1R 2.19</w:t>
        </w:r>
      </w:hyperlink>
      <w:r>
        <w:t xml:space="preserve">). L'Ancien Testament prédisait que le Christ exalté recevrait cet honneur spécial (voir </w:t>
      </w:r>
      <w:hyperlink r:id="rId5127">
        <w:r>
          <w:rPr>
            <w:color w:val="0000EE"/>
            <w:u w:val="single"/>
          </w:rPr>
          <w:t>Ps 8.5</w:t>
        </w:r>
      </w:hyperlink>
      <w:r>
        <w:t xml:space="preserve">, cité dans </w:t>
      </w:r>
      <w:hyperlink r:id="rId5200">
        <w:r>
          <w:rPr>
            <w:color w:val="0000EE"/>
            <w:u w:val="single"/>
          </w:rPr>
          <w:t>Hé 2.8</w:t>
        </w:r>
      </w:hyperlink>
      <w:r>
        <w:t xml:space="preserve">; voir aussi </w:t>
      </w:r>
      <w:hyperlink r:id="rId1333">
        <w:r>
          <w:rPr>
            <w:color w:val="0000EE"/>
            <w:u w:val="single"/>
          </w:rPr>
          <w:t>Ps 110.1</w:t>
        </w:r>
      </w:hyperlink>
      <w:r>
        <w:t>).</w:t>
      </w:r>
    </w:p>
    <w:p>
      <w:r/>
      <w:r>
        <w:t xml:space="preserve">L'Épître aux Hébreux se concentre sur l'exaltation de Christ. Elle considère son intronisation céleste comme le résultat de son sacrifice accompli. Elle constitue aussi le début de son rôle de Grand Prêtre dans le sanctuaire céleste. </w:t>
      </w:r>
      <w:hyperlink r:id="rId5201">
        <w:r>
          <w:rPr>
            <w:color w:val="0000EE"/>
            <w:u w:val="single"/>
          </w:rPr>
          <w:t>Hébreux 8.1–2</w:t>
        </w:r>
      </w:hyperlink>
      <w:r>
        <w:t xml:space="preserve"> présente Christ assis à la droite du trône de Dieu au ciel, servant comme ministre dans le temple céleste. Cette intronisation confirme la fin de l'œuvre de Jésus sur terre et son nouveau rôle de médiateur d'une meilleure alliance. </w:t>
      </w:r>
      <w:hyperlink r:id="rId5202">
        <w:r>
          <w:rPr>
            <w:color w:val="0000EE"/>
            <w:u w:val="single"/>
          </w:rPr>
          <w:t>Hébreux 10.11–18</w:t>
        </w:r>
      </w:hyperlink>
      <w:r>
        <w:t xml:space="preserve"> contraste les sacrifices répétés et inefficaces des prêtres de l'Ancien Testament avec le sacrifice unique et efficace de Christ. Il est, maintenant, assis à la droite de Dieu et il intercède pour les croyants.</w:t>
      </w:r>
      <w:r/>
      <w:r/>
    </w:p>
    <w:p>
      <w:r/>
    </w:p>
    <w:p>
      <w:pPr>
        <w:pStyle w:val="Heading2"/>
      </w:pPr>
      <w:r>
        <w:t>Exhortation</w:t>
      </w:r>
      <w:r/>
    </w:p>
    <w:p>
      <w:r/>
      <w:r>
        <w:t>L'exhortation signifie encourager fortement quelqu'un à faire ce qui est juste. Le mot vient d'un terme grec qui signifie « un appel à quelqu'un pour demande de l'aide ». Dans le Nouveau Testament, ce mot signifie généralement inciter quelqu'un à faire ce qui est juste. Cependant, le même mot peut aussi signifier réconforter et soutenir quelqu'un. La signification correcte dépend de l'utilisation du mot dans la partie de la Bible en question.</w:t>
      </w:r>
    </w:p>
    <w:p>
      <w:pPr>
        <w:pStyle w:val="Heading3"/>
      </w:pPr>
      <w:r>
        <w:t>Exemples d'exhortation</w:t>
      </w:r>
    </w:p>
    <w:p>
      <w:r/>
      <w:hyperlink r:id="rId5203">
        <w:r>
          <w:rPr>
            <w:color w:val="0000EE"/>
            <w:u w:val="single"/>
          </w:rPr>
          <w:t xml:space="preserve">Luc 3.7–18 </w:t>
        </w:r>
      </w:hyperlink>
      <w:r>
        <w:t>illustre bien l'exhortation, qui encourage les gens à agir. Dans ce passage, Jean-Baptiste exhorte fermement le peuple juif à accomplir plusieurs choses :</w:t>
      </w:r>
    </w:p>
    <w:p>
      <w:pPr>
        <w:pStyle w:val="ListBullet"/>
        <w:spacing w:line="240" w:lineRule="auto"/>
        <w:ind w:left="720"/>
      </w:pPr>
      <w:r/>
      <w:r>
        <w:t>Montrer par leurs actions qu'ils étaient réellement désolés pour leurs péchés.</w:t>
      </w:r>
    </w:p>
    <w:p>
      <w:pPr>
        <w:pStyle w:val="ListBullet"/>
        <w:spacing w:line="240" w:lineRule="auto"/>
        <w:ind w:left="720"/>
      </w:pPr>
      <w:r/>
      <w:r>
        <w:t>Arrêter de penser qu'être des descendants d'Abraham les protégerait du châtiment de Dieu.</w:t>
      </w:r>
    </w:p>
    <w:p>
      <w:pPr>
        <w:pStyle w:val="ListBullet"/>
        <w:spacing w:line="240" w:lineRule="auto"/>
        <w:ind w:left="720"/>
      </w:pPr>
      <w:r/>
      <w:r>
        <w:t>Partager leurs vêtements et leur nourriture avec les personnes qui en ont besoin.</w:t>
      </w:r>
    </w:p>
    <w:p>
      <w:r/>
      <w:r>
        <w:t>Il a également précisé à certains groupes ce qu'ils devaient faire :</w:t>
      </w:r>
    </w:p>
    <w:p>
      <w:pPr>
        <w:pStyle w:val="ListBullet"/>
        <w:spacing w:line="240" w:lineRule="auto"/>
        <w:ind w:left="720"/>
      </w:pPr>
      <w:r/>
      <w:r>
        <w:t>Il a dit aux collecteurs d'impôts de ne collecter que le montant d'argent qu'ils étaient censés percevoir.</w:t>
      </w:r>
    </w:p>
    <w:p>
      <w:pPr>
        <w:pStyle w:val="ListBullet"/>
        <w:spacing w:line="240" w:lineRule="auto"/>
        <w:ind w:left="720"/>
      </w:pPr>
      <w:r/>
      <w:r>
        <w:t>Il a dit aux soldats de :</w:t>
      </w:r>
    </w:p>
    <w:p>
      <w:pPr>
        <w:pStyle w:val="ListBullet"/>
        <w:spacing w:line="240" w:lineRule="auto"/>
        <w:ind w:left="1440"/>
      </w:pPr>
      <w:r/>
      <w:r>
        <w:t>Ne pas voler l'argent des gens.</w:t>
      </w:r>
    </w:p>
    <w:p>
      <w:pPr>
        <w:pStyle w:val="ListBullet"/>
        <w:spacing w:line="240" w:lineRule="auto"/>
        <w:ind w:left="1440"/>
      </w:pPr>
      <w:r/>
      <w:r>
        <w:t>Ne pas porter de fausses accusations contre les gens.</w:t>
      </w:r>
    </w:p>
    <w:p>
      <w:pPr>
        <w:pStyle w:val="ListBullet"/>
        <w:spacing w:line="240" w:lineRule="auto"/>
        <w:ind w:left="1440"/>
      </w:pPr>
      <w:r/>
      <w:r>
        <w:t>Être satisfaits de leur salaire.</w:t>
      </w:r>
    </w:p>
    <w:p>
      <w:pPr>
        <w:pStyle w:val="Heading3"/>
      </w:pPr>
      <w:r>
        <w:t>L'Exhortation en tant que don spirituel</w:t>
      </w:r>
    </w:p>
    <w:p>
      <w:r/>
      <w:r>
        <w:t>Dieu accorde à certaines personnes dans l'Église la capacité spéciale d'encourager et de guider les autres. Ce don d'exhortation profite à toute l'Église (</w:t>
      </w:r>
      <w:hyperlink r:id="rId5204">
        <w:r>
          <w:rPr>
            <w:color w:val="0000EE"/>
            <w:u w:val="single"/>
          </w:rPr>
          <w:t>Rm 12.8</w:t>
        </w:r>
      </w:hyperlink>
      <w:r>
        <w:t>). Lorsqu'une personne utilise correctement le don de prophétie, une des choses qui en résulte est qu'elle peut encourager les autres à faire ce qui est juste (</w:t>
      </w:r>
      <w:hyperlink r:id="rId5205">
        <w:r>
          <w:rPr>
            <w:color w:val="0000EE"/>
            <w:u w:val="single"/>
          </w:rPr>
          <w:t>1Co 14.3, 31</w:t>
        </w:r>
      </w:hyperlink>
      <w:r>
        <w:t xml:space="preserve">). C'était aussi un devoir que Paul a ordonné à Timothée : « </w:t>
      </w:r>
      <w:r>
        <w:t>applique-toi à la lecture, à l’exhortation, à l’enseignement</w:t>
      </w:r>
      <w:r>
        <w:t xml:space="preserve"> » (</w:t>
      </w:r>
      <w:hyperlink r:id="rId5206">
        <w:r>
          <w:rPr>
            <w:color w:val="0000EE"/>
            <w:u w:val="single"/>
          </w:rPr>
          <w:t>1Ti 4.13</w:t>
        </w:r>
      </w:hyperlink>
      <w:r>
        <w:t>). La Lettre aux Hébreux parle également de l'encouragement, conseillant aux lecteurs de ne pas prendre à la légère la correction de Dieu ou d'abandonner lorsque Dieu les corrige (</w:t>
      </w:r>
      <w:hyperlink r:id="rId4228">
        <w:r>
          <w:rPr>
            <w:color w:val="0000EE"/>
            <w:u w:val="single"/>
          </w:rPr>
          <w:t>Hé 12.5</w:t>
        </w:r>
      </w:hyperlink>
      <w:r>
        <w:t>).</w:t>
      </w:r>
    </w:p>
    <w:p>
      <w:pPr>
        <w:pStyle w:val="Heading3"/>
      </w:pPr>
      <w:r>
        <w:t>L'Exhortation comme réconfort et encouragement</w:t>
      </w:r>
    </w:p>
    <w:p>
      <w:r/>
      <w:r>
        <w:t xml:space="preserve">Dans </w:t>
      </w:r>
      <w:hyperlink r:id="rId3130">
        <w:r>
          <w:rPr>
            <w:color w:val="0000EE"/>
            <w:u w:val="single"/>
          </w:rPr>
          <w:t>2 Corinthiens 1.3–7</w:t>
        </w:r>
      </w:hyperlink>
      <w:r>
        <w:t>, le mot grec pour exhortation signifie réconfort et encouragement. Dans ce passage, Paul écrit au sujet des personnes qui souffraient parce qu'elles suivaient Christ. Il explique que Dieu nous réconforte pendant les moments difficiles afin que nous puissions réconforter les autres qui traversent des luttes similaires.</w:t>
      </w:r>
    </w:p>
    <w:p>
      <w:r/>
      <w:r>
        <w:t xml:space="preserve">Un autre exemple se trouve dans </w:t>
      </w:r>
      <w:hyperlink r:id="rId5207">
        <w:r>
          <w:rPr>
            <w:color w:val="0000EE"/>
            <w:u w:val="single"/>
          </w:rPr>
          <w:t>Actes 15.31</w:t>
        </w:r>
      </w:hyperlink>
      <w:r>
        <w:t>. L'Église d'Antioche a reçu des nouvelles encourageantes de la part des dirigeants à Jérusalem. Les gens s'inquiétaient parce que certains enseignants disaient que tous les chrétiens devaient suivre les coutumes juives, comme la circoncision, pour être sauvés. Lorsqu'ils ont entendu que ce n'était pas vrai, ils se sont sentis réconfortés et soulagés.</w:t>
      </w:r>
    </w:p>
    <w:p>
      <w:r/>
      <w:r>
        <w:t xml:space="preserve">Paul utilise également ce mot pour signifier « consolation » dans </w:t>
      </w:r>
      <w:hyperlink r:id="rId5208">
        <w:r>
          <w:rPr>
            <w:color w:val="0000EE"/>
            <w:u w:val="single"/>
          </w:rPr>
          <w:t>1 Thessaloniciens 4.18</w:t>
        </w:r>
      </w:hyperlink>
      <w:r>
        <w:t>. Ici, il dit aux croyants que les personnes qui meurent en tant que disciples du Christ ne manqueront pas les bénédictions que Jésus apportera à son retour. Il leur dit de se réconforter mutuellement avec cette vérité.</w:t>
      </w:r>
    </w:p>
    <w:p>
      <w:r/>
      <w:r>
        <w:rPr>
          <w:i/>
        </w:rPr>
        <w:t>Voir</w:t>
      </w:r>
      <w:r>
        <w:t xml:space="preserve"> </w:t>
      </w:r>
      <w:r>
        <w:t>Dons spirituels</w:t>
      </w:r>
      <w:r>
        <w:t>.</w:t>
      </w:r>
      <w:r/>
      <w:r/>
    </w:p>
    <w:p>
      <w:r/>
    </w:p>
    <w:p>
      <w:pPr>
        <w:pStyle w:val="Heading2"/>
      </w:pPr>
      <w:r>
        <w:t>Exode (livre)</w:t>
      </w:r>
      <w:r/>
    </w:p>
    <w:p>
      <w:r/>
      <w:r>
        <w:t>L'Exode est le deuxième livre du Pentateuque et de la Bible. Il raconte comment Dieu a délivré Israël de l'esclavage et l'a fait sortir d'Égypte. Peu de livres de l'Ancien Testament (AT) sont aussi importants pour l'histoire et la religion des Israélites que celui de l'Exode.</w:t>
      </w:r>
    </w:p>
    <w:p>
      <w:r/>
      <w:r>
        <w:t>L'exode hors d'Égypte marque la naissance d'Israël en tant que nation. Au mont Sinaï, Dieu unit les tribus d'Israël, qui descendent toutes d'Abraham, en une seule nation sous sa direction. Le livre de l'Exode explique comment le retour des Israélites dans le pays que Dieu avait promis à Abraham a été possible. Il montre également comment la vie religieuse, politique et sociale de la nation a pris forme.</w:t>
      </w:r>
    </w:p>
    <w:p>
      <w:r/>
      <w:r>
        <w:t xml:space="preserve">Le livre de l'Exode présente un motif particulier (appelé « le motif de l'exode ») qui est repris tout au long de la Bible, tant dans l'Ancien Testament que dans le Nouveau Testament (NT). Par exemple, David est réconforté dans le </w:t>
      </w:r>
      <w:hyperlink r:id="rId3940">
        <w:r>
          <w:rPr>
            <w:color w:val="0000EE"/>
            <w:u w:val="single"/>
          </w:rPr>
          <w:t xml:space="preserve">Psaume 68 </w:t>
        </w:r>
      </w:hyperlink>
      <w:r>
        <w:t>en se souvenant que son Dieu est le même que celui qui a sauvé Israël d'Égypte. Le prophète Jérémie déclare que Dieu ramènera Israël dans leur pays à nouveau et que ce sera encore plus incroyable que lorsqu'il les a fait sortir d'Égypte (</w:t>
      </w:r>
      <w:hyperlink r:id="rId5209">
        <w:r>
          <w:rPr>
            <w:color w:val="0000EE"/>
            <w:u w:val="single"/>
          </w:rPr>
          <w:t>Jr 16.14–15</w:t>
        </w:r>
      </w:hyperlink>
      <w:r>
        <w:t>). Matthieu voit dans le retour de Jésus et de ses parents d'Égypte un parallèle à l'exode (</w:t>
      </w:r>
      <w:hyperlink r:id="rId5210">
        <w:r>
          <w:rPr>
            <w:color w:val="0000EE"/>
            <w:u w:val="single"/>
          </w:rPr>
          <w:t>Mt 2.13–15</w:t>
        </w:r>
      </w:hyperlink>
      <w:r>
        <w:t>).</w:t>
      </w:r>
    </w:p>
    <w:p>
      <w:r/>
      <w:r>
        <w:t>L'histoire de la libération du peuple d'Israël hors d'Égypte symbolise le salut de Dieu pour son peuple, tant Israël que l'Église. Ainsi, le message du livre de l'Exode est essentiel pour comprendre le plan du salut de Dieu dans toute la Bible.</w:t>
      </w:r>
    </w:p>
    <w:p>
      <w:r/>
      <w:r>
        <w:t xml:space="preserve">Le titre français « Exode » provient de la Septante, l'ancienne traduction grecque de l'AT. Le mot « exode » signifie « sortie » ou « départ », une allusion à la sortie d'Israël du pays d'Égypte. En hébreu, le livre s'appelle </w:t>
      </w:r>
      <w:r>
        <w:rPr>
          <w:i/>
        </w:rPr>
        <w:t>Shemoth</w:t>
      </w:r>
      <w:r>
        <w:t>, ce qui signifie « voici les noms ». Ce sont les premiers mots hébreux du livre qui introduisent la liste des noms des fils de Jacob qui étaient allés en Égypte avec Joseph.</w:t>
      </w:r>
    </w:p>
    <w:p>
      <w:pPr>
        <w:pStyle w:val="Heading3"/>
      </w:pPr>
      <w:r>
        <w:t>Sommaire</w:t>
      </w:r>
    </w:p>
    <w:p>
      <w:pPr>
        <w:pStyle w:val="ListBullet"/>
        <w:spacing w:line="240" w:lineRule="auto"/>
        <w:ind w:left="720"/>
      </w:pPr>
      <w:r/>
      <w:r>
        <w:rPr>
          <w:b/>
        </w:rPr>
        <w:t>Auteur</w:t>
      </w:r>
    </w:p>
    <w:p>
      <w:pPr>
        <w:pStyle w:val="ListBullet"/>
        <w:spacing w:line="240" w:lineRule="auto"/>
        <w:ind w:left="720"/>
      </w:pPr>
      <w:r/>
      <w:r>
        <w:rPr>
          <w:b/>
        </w:rPr>
        <w:t>Date de composition</w:t>
      </w:r>
    </w:p>
    <w:p>
      <w:pPr>
        <w:pStyle w:val="ListBullet"/>
        <w:spacing w:line="240" w:lineRule="auto"/>
        <w:ind w:left="720"/>
      </w:pPr>
      <w:r/>
      <w:r>
        <w:rPr>
          <w:b/>
        </w:rPr>
        <w:t>Contexte</w:t>
      </w:r>
    </w:p>
    <w:p>
      <w:pPr>
        <w:pStyle w:val="ListBullet"/>
        <w:spacing w:line="240" w:lineRule="auto"/>
        <w:ind w:left="720"/>
      </w:pPr>
      <w:r/>
      <w:r>
        <w:rPr>
          <w:b/>
        </w:rPr>
        <w:t>Objectif et enseignement</w:t>
      </w:r>
    </w:p>
    <w:p>
      <w:pPr>
        <w:pStyle w:val="ListBullet"/>
        <w:spacing w:line="240" w:lineRule="auto"/>
        <w:ind w:left="720"/>
      </w:pPr>
      <w:r/>
      <w:r>
        <w:rPr>
          <w:b/>
        </w:rPr>
        <w:t>Survol</w:t>
      </w:r>
    </w:p>
    <w:p>
      <w:pPr>
        <w:pStyle w:val="Heading3"/>
      </w:pPr>
      <w:r>
        <w:t>Auteur</w:t>
      </w:r>
    </w:p>
    <w:p>
      <w:r/>
      <w:r>
        <w:t>Selon la tradition juive, Moïse a écrit Exode, ainsi que les quatre autres livres du Pentateuque. Cela pourrait signifier qu'il a rédigé le contenu du livre de l'Exode alors qu'Israël était encore au mont Sinaï ou peu de temps après les événements qui s'y sont déroulés. La Bible elle-même soutient que Moïse est l'auteur d'Exode :</w:t>
      </w:r>
    </w:p>
    <w:p>
      <w:pPr>
        <w:pStyle w:val="ListNumber"/>
        <w:spacing w:line="240" w:lineRule="auto"/>
        <w:ind w:left="720"/>
      </w:pPr>
      <w:r/>
      <w:r>
        <w:t>Le livre lui-même indique que Moïse a écrit les paroles de Dieu (</w:t>
      </w:r>
      <w:hyperlink r:id="rId5211">
        <w:r>
          <w:rPr>
            <w:color w:val="0000EE"/>
            <w:u w:val="single"/>
          </w:rPr>
          <w:t>Ex 17.14</w:t>
        </w:r>
      </w:hyperlink>
      <w:r>
        <w:t xml:space="preserve"> ; </w:t>
      </w:r>
      <w:hyperlink r:id="rId5212">
        <w:r>
          <w:rPr>
            <w:color w:val="0000EE"/>
            <w:u w:val="single"/>
          </w:rPr>
          <w:t>24.2, 7</w:t>
        </w:r>
      </w:hyperlink>
      <w:r>
        <w:t xml:space="preserve"> ; </w:t>
      </w:r>
      <w:hyperlink r:id="rId5213">
        <w:r>
          <w:rPr>
            <w:color w:val="0000EE"/>
            <w:u w:val="single"/>
          </w:rPr>
          <w:t>34.27–28</w:t>
        </w:r>
      </w:hyperlink>
      <w:r>
        <w:t>). Selon le livre du Deutéronome (</w:t>
      </w:r>
      <w:hyperlink r:id="rId5214">
        <w:r>
          <w:rPr>
            <w:color w:val="0000EE"/>
            <w:u w:val="single"/>
          </w:rPr>
          <w:t>31.9, 24</w:t>
        </w:r>
      </w:hyperlink>
      <w:r>
        <w:t>), Moïse a écrit la loi dans un livre qui a été placé à côté de l'arche de l'alliance.</w:t>
      </w:r>
    </w:p>
    <w:p>
      <w:pPr>
        <w:pStyle w:val="ListNumber"/>
        <w:spacing w:line="240" w:lineRule="auto"/>
        <w:ind w:left="720"/>
      </w:pPr>
      <w:r/>
      <w:r>
        <w:t>Des passages d'Exode mentionnés dans le reste de l'AT sont accompagnés d'une indication que Moïse en est l'auteur (</w:t>
      </w:r>
      <w:hyperlink r:id="rId5215">
        <w:r>
          <w:rPr>
            <w:color w:val="0000EE"/>
            <w:u w:val="single"/>
          </w:rPr>
          <w:t>Jos 8.31</w:t>
        </w:r>
      </w:hyperlink>
      <w:r>
        <w:t xml:space="preserve"> ; </w:t>
      </w:r>
      <w:hyperlink r:id="rId5216">
        <w:r>
          <w:rPr>
            <w:color w:val="0000EE"/>
            <w:u w:val="single"/>
          </w:rPr>
          <w:t>Ml 4.4</w:t>
        </w:r>
      </w:hyperlink>
      <w:r>
        <w:t>).</w:t>
      </w:r>
    </w:p>
    <w:p>
      <w:pPr>
        <w:pStyle w:val="ListNumber"/>
        <w:spacing w:line="240" w:lineRule="auto"/>
        <w:ind w:left="720"/>
      </w:pPr>
      <w:r/>
      <w:r>
        <w:t>Le NT et Jésus lui-même citent parfois des passages d'Exode comme paroles ou écrits de Moïse, et parlent parfois de la loi dans son ensemble comme venant de lui (</w:t>
      </w:r>
      <w:hyperlink r:id="rId5217">
        <w:r>
          <w:rPr>
            <w:color w:val="0000EE"/>
            <w:u w:val="single"/>
          </w:rPr>
          <w:t>Mc 7.10</w:t>
        </w:r>
      </w:hyperlink>
      <w:r>
        <w:t xml:space="preserve"> ; </w:t>
      </w:r>
      <w:hyperlink r:id="rId1941">
        <w:r>
          <w:rPr>
            <w:color w:val="0000EE"/>
            <w:u w:val="single"/>
          </w:rPr>
          <w:t>12.26</w:t>
        </w:r>
      </w:hyperlink>
      <w:r>
        <w:t xml:space="preserve"> ; </w:t>
      </w:r>
      <w:hyperlink r:id="rId5218">
        <w:r>
          <w:rPr>
            <w:color w:val="0000EE"/>
            <w:u w:val="single"/>
          </w:rPr>
          <w:t>Jn 1.45</w:t>
        </w:r>
      </w:hyperlink>
      <w:r>
        <w:t xml:space="preserve"> ; </w:t>
      </w:r>
      <w:hyperlink r:id="rId5219">
        <w:r>
          <w:rPr>
            <w:color w:val="0000EE"/>
            <w:u w:val="single"/>
          </w:rPr>
          <w:t>7.19</w:t>
        </w:r>
      </w:hyperlink>
      <w:r>
        <w:t>).</w:t>
      </w:r>
    </w:p>
    <w:p>
      <w:r/>
      <w:r>
        <w:t>Les érudits ont des opinions différentes sur l'identité de l'auteur de l'Exode. Par exemple, certains pensent que Moïse a écrit Exode. Mais un auteur va jusqu'à affirmer que Moïse était un chef de tribu du désert qui n'a en fait jamais rencontré les Israélites. D'autres pensent que plusieurs personnes ont écrit des parties du livre à différentes époques de l'histoire d'Israël et que quelqu'un a combiné toutes ces parties longtemps après la mort de Moïse. Certains se concentrent sur des passages en particulier, comme le « Cantique de Moïse » (</w:t>
      </w:r>
      <w:hyperlink r:id="rId3938">
        <w:r>
          <w:rPr>
            <w:color w:val="0000EE"/>
            <w:u w:val="single"/>
          </w:rPr>
          <w:t>Exode 15</w:t>
        </w:r>
      </w:hyperlink>
      <w:r>
        <w:t>), et pensent qu'ils se sont développés au fil du temps. Une autre opinion est que l'histoire de l'exode a été transmise oralement pendant de nombreuses générations avant d'être écrite.</w:t>
      </w:r>
    </w:p>
    <w:p>
      <w:r/>
      <w:r>
        <w:t>Malgré toutes ces théories, le fait est que le livre lui-même indique clairement que c'est Moïse l'a écrit. Certains détails dans les récits du livre semblent indiquer que l'auteur a été un témoin personnel de ces événements. Par exemple, l'auteur se souvient précisément des 12 sources et des 70 palmiers à Élim (</w:t>
      </w:r>
      <w:hyperlink r:id="rId5220">
        <w:r>
          <w:rPr>
            <w:color w:val="0000EE"/>
            <w:u w:val="single"/>
          </w:rPr>
          <w:t>Ex 15.27</w:t>
        </w:r>
      </w:hyperlink>
      <w:r>
        <w:t>).</w:t>
      </w:r>
    </w:p>
    <w:p>
      <w:r/>
      <w:r>
        <w:t>L'auteur en connaît beaucoup sur la vie, les coutumes et la langue égyptiennes. Les matériaux décrits pour la construction du tabernacle fournissent davantage de preuves. Ces matériaux comprennent du bois d'acacia pour les meubles (</w:t>
      </w:r>
      <w:hyperlink r:id="rId5221">
        <w:r>
          <w:rPr>
            <w:color w:val="0000EE"/>
            <w:u w:val="single"/>
          </w:rPr>
          <w:t>Ex 25.10</w:t>
        </w:r>
      </w:hyperlink>
      <w:r>
        <w:t xml:space="preserve">) et des peaux d'animaux pour le revêtement extérieur (possiblement d'animaux marins tels que des dauphins, v. </w:t>
      </w:r>
      <w:hyperlink r:id="rId3524">
        <w:r>
          <w:rPr>
            <w:color w:val="0000EE"/>
            <w:u w:val="single"/>
          </w:rPr>
          <w:t>5</w:t>
        </w:r>
      </w:hyperlink>
      <w:r>
        <w:t>). Ces matériaux étaient communs en Égypte et dans le désert du Sinaï, mais pas dans le pays d'Israël. Cela semble indiquer que le livre a été écrit dans le désert.</w:t>
      </w:r>
    </w:p>
    <w:p>
      <w:r/>
      <w:r>
        <w:t xml:space="preserve">Moïse, choisi par Dieu pour écrire l'Exode, était bien qualifié pour le faire. En effet, il était « </w:t>
      </w:r>
      <w:r>
        <w:t>instruit dans toute la sagesse des Égyptiens, et il était puissant en paroles et en œuvres</w:t>
      </w:r>
      <w:r>
        <w:t xml:space="preserve"> » (</w:t>
      </w:r>
      <w:hyperlink r:id="rId5222">
        <w:r>
          <w:rPr>
            <w:color w:val="0000EE"/>
            <w:u w:val="single"/>
          </w:rPr>
          <w:t>Ac 7.22</w:t>
        </w:r>
      </w:hyperlink>
      <w:r>
        <w:t>). Il a passé 40 ans dans le désert de Madian et du Sinaï, ce qui lui a permis d'apprendre à connaître cette région et ses animaux. Ces connaissances l'ont aidé à décrire les lieux que les Israélites ont traversés.</w:t>
      </w:r>
    </w:p>
    <w:p>
      <w:r/>
      <w:r>
        <w:t>Les événements qui sont racontés dans Exode sont très importants pour l'histoire d'Israël. Le récit de comment Dieu a délivré son peuple de l'esclavage en Égypte et le don de la loi sont particulièrement importants. Moïse a pris soin d'écrire ce qui s'est passé et ce que Dieu a commandé afin que les générations futures s'en souviennent.</w:t>
      </w:r>
    </w:p>
    <w:p>
      <w:pPr>
        <w:pStyle w:val="Heading3"/>
      </w:pPr>
      <w:r>
        <w:t>Date de composition</w:t>
      </w:r>
    </w:p>
    <w:p>
      <w:r/>
      <w:r>
        <w:t>Si Moïse a écrit l'Exode, comme le dit le livre lui-même, le livre date de la période pendant laquelle il a vécu. Les érudits proposent deux périodes différentes qui pourraient correspondre aux conditions au moment de l'exode des Israélites hors d'Égypte.</w:t>
      </w:r>
    </w:p>
    <w:p>
      <w:pPr>
        <w:pStyle w:val="Heading4"/>
      </w:pPr>
      <w:r>
        <w:t>Arguments en faveur d'une date « basse » ou tardive</w:t>
      </w:r>
    </w:p>
    <w:p>
      <w:r/>
      <w:r>
        <w:t>Selon cette théorie, le pharaon qui a opprimé les Israélites était Séthi I</w:t>
      </w:r>
      <w:r>
        <w:rPr>
          <w:vertAlign w:val="superscript"/>
        </w:rPr>
        <w:t>er</w:t>
      </w:r>
      <w:r>
        <w:t xml:space="preserve">, qui a régné sur l'Égypte de 1304 à 1290 </w:t>
      </w:r>
      <w:r>
        <w:t>av. J.‑C.</w:t>
      </w:r>
      <w:r>
        <w:t xml:space="preserve"> Le pharaon de l'exode serait alors Ramsès II, qui a régné de 1290 à 1224 </w:t>
      </w:r>
      <w:r>
        <w:t>av. J.‑C.</w:t>
      </w:r>
      <w:r>
        <w:t xml:space="preserve"> L'exode aurait eu lieu en 1290 </w:t>
      </w:r>
      <w:r>
        <w:t>av. J.‑C.</w:t>
      </w:r>
      <w:r>
        <w:t xml:space="preserve">, et la conquête de Canaan aurait commencé en 1250 </w:t>
      </w:r>
      <w:r>
        <w:t>av. J.‑C.</w:t>
      </w:r>
      <w:r>
        <w:t xml:space="preserve"> Cette théorie repose sur deux arguments principaux :</w:t>
      </w:r>
    </w:p>
    <w:p>
      <w:pPr>
        <w:pStyle w:val="ListNumber"/>
        <w:spacing w:line="240" w:lineRule="auto"/>
        <w:ind w:left="720"/>
      </w:pPr>
      <w:r/>
      <w:r>
        <w:t xml:space="preserve">Selon </w:t>
      </w:r>
      <w:hyperlink r:id="rId2554">
        <w:r>
          <w:rPr>
            <w:color w:val="0000EE"/>
            <w:u w:val="single"/>
          </w:rPr>
          <w:t>Exode 1.11</w:t>
        </w:r>
      </w:hyperlink>
      <w:r>
        <w:t>, les Israélites ont construit Ramsès, une ville servant d'entrepôt. Il en est déduit que Ramsès II devait régner à cette époque. Toutefois, la ville de Ramsès existait peut-être déjà sous un autre nom et a peut-être été renommée plus tard par Ramsès II lors de sa reconstruction. Il est aussi possible que ce soit un pharaon antérieur nommé Ramsès qui ait fait construire la ville.</w:t>
      </w:r>
    </w:p>
    <w:p>
      <w:pPr>
        <w:pStyle w:val="ListNumber"/>
        <w:spacing w:line="240" w:lineRule="auto"/>
        <w:ind w:left="720"/>
      </w:pPr>
      <w:r/>
      <w:r>
        <w:t xml:space="preserve">Des archéologues ont découvert des indications que de nombreuses villes en Canaan ont été détruites vers 1250 </w:t>
      </w:r>
      <w:r>
        <w:t>av. J.‑C.</w:t>
      </w:r>
      <w:r>
        <w:t xml:space="preserve"> Certains pensent que Josué et les Israélites sont à l'origine de cette destruction. Cela indiquerait que l'exode a eu lieu vers 1290 </w:t>
      </w:r>
      <w:r>
        <w:t>av. J.‑C.</w:t>
      </w:r>
      <w:r>
        <w:t xml:space="preserve"> Cependant, ces villes ont peut-être été détruites lors d'autres périodes de conflit à l'époque des Juges ou quand d'autres nations ont attaqué la région.</w:t>
      </w:r>
    </w:p>
    <w:p>
      <w:pPr>
        <w:pStyle w:val="Heading4"/>
      </w:pPr>
      <w:r>
        <w:t>Arguments en faveur d'une date « haute »</w:t>
      </w:r>
    </w:p>
    <w:p>
      <w:r/>
      <w:r>
        <w:t xml:space="preserve">Selon cette théorie, le pharaon qui a opprimé les Israélites était Thoutmôsis III, qui a régné sur l'Égypte de 1504 à 1450 </w:t>
      </w:r>
      <w:r>
        <w:t>av. J.‑C.</w:t>
      </w:r>
      <w:r>
        <w:t xml:space="preserve"> Le pharaon de l'exode serait alors Aménophis II, qui a régné de 1450 à 1424 </w:t>
      </w:r>
      <w:r>
        <w:t>av. J.‑C.</w:t>
      </w:r>
      <w:r>
        <w:t xml:space="preserve"> Cela signifierait que l'exode aurait eu lieu vers 1440 </w:t>
      </w:r>
      <w:r>
        <w:t>av. J.‑C.</w:t>
      </w:r>
      <w:r>
        <w:t xml:space="preserve">, et que la conquête aurait commencé vers 1400 </w:t>
      </w:r>
      <w:r>
        <w:t>av. J.‑C.</w:t>
      </w:r>
      <w:r>
        <w:t xml:space="preserve"> Cette théorie repose sur trois arguments :</w:t>
      </w:r>
    </w:p>
    <w:p>
      <w:pPr>
        <w:pStyle w:val="ListNumber"/>
        <w:spacing w:line="240" w:lineRule="auto"/>
        <w:ind w:left="720"/>
      </w:pPr>
      <w:r/>
      <w:hyperlink r:id="rId2539">
        <w:r>
          <w:rPr>
            <w:color w:val="0000EE"/>
            <w:u w:val="single"/>
          </w:rPr>
          <w:t xml:space="preserve">1 Rois 6.1 </w:t>
        </w:r>
      </w:hyperlink>
      <w:r>
        <w:t xml:space="preserve">affirme que la quatrième année du règne du roi Salomon correspond à la 480ème année après l'exode. La date de la quatrième année en question a été fixée à 966 </w:t>
      </w:r>
      <w:r>
        <w:t>av. J.‑C.</w:t>
      </w:r>
      <w:r>
        <w:t xml:space="preserve">, ce qui voudrait dire que l'exode aurait eu lieu en 1446 </w:t>
      </w:r>
      <w:r>
        <w:t>av. J.‑C.</w:t>
      </w:r>
    </w:p>
    <w:p>
      <w:pPr>
        <w:pStyle w:val="ListNumber"/>
        <w:spacing w:line="240" w:lineRule="auto"/>
        <w:ind w:left="720"/>
      </w:pPr>
      <w:r/>
      <w:r>
        <w:t xml:space="preserve">Si l'époque pendant laquelle Jephté vivait était aux environs de 1100 </w:t>
      </w:r>
      <w:r>
        <w:t>av. J.‑C.</w:t>
      </w:r>
      <w:r>
        <w:t xml:space="preserve">, alors les « 300 ans plus tôt » de </w:t>
      </w:r>
      <w:hyperlink r:id="rId2552">
        <w:r>
          <w:rPr>
            <w:color w:val="0000EE"/>
            <w:u w:val="single"/>
          </w:rPr>
          <w:t xml:space="preserve">Juges 11.26 </w:t>
        </w:r>
      </w:hyperlink>
      <w:r>
        <w:t>situeraient la conquête vers 1400.</w:t>
      </w:r>
    </w:p>
    <w:p>
      <w:pPr>
        <w:pStyle w:val="ListNumber"/>
        <w:spacing w:line="240" w:lineRule="auto"/>
        <w:ind w:left="720"/>
      </w:pPr>
      <w:r/>
      <w:r>
        <w:t>L'autre théorie (la date basse ou tardive) ne laisse pas assez de temps dans la chronologie biblique pour la période des juges, qui a duré entre 300 et 400 ans. En se basant sur ces informations, la date « haute » semble plus probable.</w:t>
      </w:r>
    </w:p>
    <w:p>
      <w:pPr>
        <w:pStyle w:val="Heading3"/>
      </w:pPr>
      <w:r>
        <w:t>Contexte</w:t>
      </w:r>
    </w:p>
    <w:p>
      <w:r/>
      <w:r>
        <w:t xml:space="preserve">Certains des événements qui se sont produits en Égypte pendant l'époque de l'exode éclairent la lecture du livre. Selon </w:t>
      </w:r>
      <w:hyperlink r:id="rId2541">
        <w:r>
          <w:rPr>
            <w:color w:val="0000EE"/>
            <w:u w:val="single"/>
          </w:rPr>
          <w:t>Exode 12.40</w:t>
        </w:r>
      </w:hyperlink>
      <w:r>
        <w:t>, les Israélites ont vécu en Égypte pendant 430 ans. On peut en déduire que la famille de Jacob s'est installée en Gosen (</w:t>
      </w:r>
      <w:hyperlink r:id="rId5223">
        <w:r>
          <w:rPr>
            <w:color w:val="0000EE"/>
            <w:u w:val="single"/>
          </w:rPr>
          <w:t>Gn 47.4, 11</w:t>
        </w:r>
      </w:hyperlink>
      <w:r>
        <w:t xml:space="preserve">) vers 1 870 </w:t>
      </w:r>
      <w:r>
        <w:t>av. J.‑C.</w:t>
      </w:r>
      <w:r>
        <w:t>, alors que l'Égypte était dirigée par les puissants rois de la 12</w:t>
      </w:r>
      <w:r>
        <w:rPr>
          <w:vertAlign w:val="superscript"/>
        </w:rPr>
        <w:t>e</w:t>
      </w:r>
      <w:r>
        <w:t xml:space="preserve"> dynastie.</w:t>
      </w:r>
    </w:p>
    <w:p>
      <w:r/>
      <w:r>
        <w:t xml:space="preserve">Vers le tournant du siècle, deux dynasties plus faibles leur ont succédé. Vers 1730 </w:t>
      </w:r>
      <w:r>
        <w:t>av. J.‑C.</w:t>
      </w:r>
      <w:r>
        <w:t>, un peuple étranger envahit l'Égypte : les Hyksos. Ils prennent le contrôle du nord de l'Égypte. C'est leur « nouveau roi » qui « ne connaît pas Joseph » (</w:t>
      </w:r>
      <w:hyperlink r:id="rId5224">
        <w:r>
          <w:rPr>
            <w:color w:val="0000EE"/>
            <w:u w:val="single"/>
          </w:rPr>
          <w:t>Ex 1.8</w:t>
        </w:r>
      </w:hyperlink>
      <w:r>
        <w:t>). Étant eux-mêmes étrangers en Égypte, les Hyksos voient dans le nombre croissant des Israélites une menace potentielle (</w:t>
      </w:r>
      <w:hyperlink r:id="rId5225">
        <w:r>
          <w:rPr>
            <w:color w:val="0000EE"/>
            <w:u w:val="single"/>
          </w:rPr>
          <w:t>Ex 1.9</w:t>
        </w:r>
      </w:hyperlink>
      <w:r>
        <w:t>). Ils choisissent de remédier au problème en les réduisant à l'esclavage. Les Hyksos utilisent ces esclaves pour construire la ville de Ramsès, alors leur capitale dans le nord de l'Égypte.</w:t>
      </w:r>
    </w:p>
    <w:p>
      <w:r/>
      <w:r>
        <w:t xml:space="preserve">Vers 1580 </w:t>
      </w:r>
      <w:r>
        <w:t>av. J.‑C.</w:t>
      </w:r>
      <w:r>
        <w:t>, les Égyptiens, menés par Ahmosis, chassent les Hyksos. L'Égypte revient ainsi sous domination égyptienne. Le nombre des Israélites continue de s'accroître malgré leur dures conditions de vie en tant qu'esclaves. Les rois égyptiens de la 18</w:t>
      </w:r>
      <w:r>
        <w:rPr>
          <w:vertAlign w:val="superscript"/>
        </w:rPr>
        <w:t>e</w:t>
      </w:r>
      <w:r>
        <w:t xml:space="preserve"> dynastie les gardent comme esclaves et ordonnent la mort de tous les nouveaux-nés israélites mâles. Cet ordre est encore en vigueur à la naissance de Moïse vers 1560 </w:t>
      </w:r>
      <w:r>
        <w:t>av. J.‑C.</w:t>
      </w:r>
      <w:r>
        <w:t xml:space="preserve"> Le roi qui règne alors est le pharaon Thoutmosis I</w:t>
      </w:r>
      <w:r>
        <w:rPr>
          <w:vertAlign w:val="superscript"/>
        </w:rPr>
        <w:t>er</w:t>
      </w:r>
      <w:r>
        <w:t xml:space="preserve"> (1539–1514 </w:t>
      </w:r>
      <w:r>
        <w:t>av. J.‑C.</w:t>
      </w:r>
      <w:r>
        <w:t>), qui bâtit un grand empire.</w:t>
      </w:r>
    </w:p>
    <w:p>
      <w:r/>
      <w:r>
        <w:t>Le seul enfant survivant des héritiers de Thoutmosis I</w:t>
      </w:r>
      <w:r>
        <w:rPr>
          <w:vertAlign w:val="superscript"/>
        </w:rPr>
        <w:t>er</w:t>
      </w:r>
      <w:r>
        <w:t xml:space="preserve"> est sa fille, Hatchepsout. Son mari devient le pharaon Thoutmosis II, qui règne de 1514 à 1504 </w:t>
      </w:r>
      <w:r>
        <w:t>av. J.‑C.</w:t>
      </w:r>
      <w:r>
        <w:t xml:space="preserve"> À la mort de ce dernier, l'un des membres de sa famille est choisi pour lui succéder sous le nom de Thoutmosis III. Il n'a que dix ans. Thoutmosis III règne sur l'Égypte de 1504 à 1450 </w:t>
      </w:r>
      <w:r>
        <w:t>av. J.‑C.</w:t>
      </w:r>
      <w:r>
        <w:t xml:space="preserve"> Hatchepsout exerce le pouvoir pendant 22 ans aux côtés de Thoutmosis III, de 1503 à 1482 </w:t>
      </w:r>
      <w:r>
        <w:t>av. J.‑C.</w:t>
      </w:r>
      <w:r>
        <w:t xml:space="preserve"> Elle est de caractère fort, et ce serait elle qui serait allée à l'encontre des ordres de son père en sauvant un bébé hébreu et en l'élevant dans son palais de la ville de Thèbes : Moïse. </w:t>
      </w:r>
    </w:p>
    <w:p>
      <w:r/>
      <w:r>
        <w:t>Hatshepsout reste au pouvoir même après que Thoutmosis III est devenu pharaon. Elle souhaite peut-être que Moïse accède au pouvoir ou qu'il ait au moins une position importante en Égypte. Après la mort d'Hatshepsout, Thoutmosis III devient le seul souverain et cherche probablement à se débarrasser de Moïse. La fuite de Moïse au désert après avoir tué un maître esclave égyptien s'explique bien dans ce contexte.</w:t>
      </w:r>
    </w:p>
    <w:p>
      <w:r/>
      <w:r>
        <w:t xml:space="preserve">Quand Thoutmosis III meurt en 1450 </w:t>
      </w:r>
      <w:r>
        <w:t>av. J.‑C.</w:t>
      </w:r>
      <w:r>
        <w:t>, Moïse retourne en Égypte. Il confronte alors le nouveau souverain, le pharaon Aménophis II, à qui il transmet l'ordre de Dieu : « laisse aller mon peuple ».</w:t>
      </w:r>
    </w:p>
    <w:p>
      <w:pPr>
        <w:pStyle w:val="Heading3"/>
      </w:pPr>
      <w:r>
        <w:t>Objectif et enseignement</w:t>
      </w:r>
    </w:p>
    <w:p>
      <w:r/>
      <w:r>
        <w:t>L'objectif principal du livre de l'Exode est de montrer comment Dieu a accompli sa promesse à Abraham (</w:t>
      </w:r>
      <w:hyperlink r:id="rId5226">
        <w:r>
          <w:rPr>
            <w:color w:val="0000EE"/>
            <w:u w:val="single"/>
          </w:rPr>
          <w:t>Gn 15.12–16</w:t>
        </w:r>
      </w:hyperlink>
      <w:r>
        <w:t>) en délivrant les Israélites de l'esclavage en Égypte. Le livre raconte également (1) l'origine de la fête de la Pâque, (2) la naissance d'Israël en tant que nation au travers de l'alliance et (3) le don de la loi au mont Sinaï.</w:t>
      </w:r>
    </w:p>
    <w:p>
      <w:r/>
      <w:r>
        <w:t>Le livre de l'Exode raconte l'histoire d'un Dieu puissant, créateur de l'univers, qui existe au-delà du temps et de l'espace et qui intervient dans l'Histoire pour sauver un groupe d'esclaves. Il vainc le souverain de ce qui est alors le plus grand empire sur terre et en fait sortir son peuple opprimé.</w:t>
      </w:r>
    </w:p>
    <w:p>
      <w:r/>
      <w:r>
        <w:t>Exode raconte aussi l'histoire d'une famille qui devient une multitude. En faisant alliance avec eux, Dieu donne naissance à leur nation. Sa loi affermit la nation et la distingue des autres.</w:t>
      </w:r>
    </w:p>
    <w:p>
      <w:r/>
      <w:r>
        <w:t>Exode raconte également l'histoire de Moïse, un dirigeant hors du commun. Il passe ses quarante premières années dans un palais égyptien, puis les quarante années suivantes à s'occuper du troupeau d'un sacrificateur qui vit dans le désert. Moïse se montre réticent quand Dieu le choisit pour faire sortir son peuple d'Égypte. Malgré cela, il devient un dirigeant remarquable qui confronte le pharaon, parle avec Dieu face à face et écrit presque un quart de l'AT.</w:t>
      </w:r>
    </w:p>
    <w:p>
      <w:r/>
      <w:r>
        <w:t xml:space="preserve">Le Dieu qui agit dans Exode est un Dieu qui tient ses promesses. Sa promesse incroyable à Abram apparaît dans </w:t>
      </w:r>
      <w:hyperlink r:id="rId5227">
        <w:r>
          <w:rPr>
            <w:color w:val="0000EE"/>
            <w:u w:val="single"/>
          </w:rPr>
          <w:t>Genèse 15.13–16</w:t>
        </w:r>
      </w:hyperlink>
      <w:r>
        <w:t xml:space="preserve"> :</w:t>
      </w:r>
    </w:p>
    <w:p>
      <w:r/>
      <w:r>
        <w:t>« Sache que tes descendants seront étrangers dans un pays qui ne sera point à eux ; ils y seront asservis, et on les opprimera pendant quatre cents ans. Mais je jugerai la nation à laquelle ils seront asservis, et ils sortiront ensuite avec de grandes richesses. Toi, tu iras en paix vers tes pères, tu seras enterré après une heureuse vieillesse. A la quatrième génération, ils reviendront ici ; car l’iniquité des Amoréens n’est pas encore à son comble ».</w:t>
      </w:r>
    </w:p>
    <w:p>
      <w:r/>
      <w:r>
        <w:t>C'est par foi en cette promesse que Joseph, vers la fin de sa vie, parle de la manière dont Dieu ferait sortir les Israélites d'Égypte. Il donne même des instructions pour que les Israélites y emmènent ses os et les enterrent quand la promesse s'accomplirait (</w:t>
      </w:r>
      <w:hyperlink r:id="rId5228">
        <w:r>
          <w:rPr>
            <w:color w:val="0000EE"/>
            <w:u w:val="single"/>
          </w:rPr>
          <w:t>Hé 11.22</w:t>
        </w:r>
      </w:hyperlink>
      <w:r>
        <w:t>).</w:t>
      </w:r>
    </w:p>
    <w:p>
      <w:r/>
      <w:r>
        <w:t>Cette promesse est le contexte qui explique la rédemption d'Israël dans Exode. La rédemption peut être définie comme le fait de libérer d'une puissance étrangère et de mener à la liberté. Cela signifie qu'il y a quelqu'un qui délivre et qu'il accomplit une action pour délivrer. Exode utilise des mots fréquents et de nombreuses expressions pour parler de la rédemption. Dieu se « souvient » de sa promesse aux patriarches hébreux (</w:t>
      </w:r>
      <w:hyperlink r:id="rId5229">
        <w:r>
          <w:rPr>
            <w:color w:val="0000EE"/>
            <w:u w:val="single"/>
          </w:rPr>
          <w:t>Ex 2:24</w:t>
        </w:r>
      </w:hyperlink>
      <w:r>
        <w:t xml:space="preserve">; </w:t>
      </w:r>
      <w:hyperlink r:id="rId5230">
        <w:r>
          <w:rPr>
            <w:color w:val="0000EE"/>
            <w:u w:val="single"/>
          </w:rPr>
          <w:t>6:5</w:t>
        </w:r>
      </w:hyperlink>
      <w:r>
        <w:t>). Il « descend » pour intervenir (</w:t>
      </w:r>
      <w:hyperlink r:id="rId5231">
        <w:r>
          <w:rPr>
            <w:color w:val="0000EE"/>
            <w:u w:val="single"/>
          </w:rPr>
          <w:t>3.8</w:t>
        </w:r>
      </w:hyperlink>
      <w:r>
        <w:t>), « délivre » les Israélites (</w:t>
      </w:r>
      <w:hyperlink r:id="rId5232">
        <w:r>
          <w:rPr>
            <w:color w:val="0000EE"/>
            <w:u w:val="single"/>
          </w:rPr>
          <w:t>14.30</w:t>
        </w:r>
      </w:hyperlink>
      <w:r>
        <w:t xml:space="preserve"> ; </w:t>
      </w:r>
      <w:hyperlink r:id="rId3975">
        <w:r>
          <w:rPr>
            <w:color w:val="0000EE"/>
            <w:u w:val="single"/>
          </w:rPr>
          <w:t>15.2</w:t>
        </w:r>
      </w:hyperlink>
      <w:r>
        <w:t>) et les « fait sortir » du pays d'Égypte (</w:t>
      </w:r>
      <w:hyperlink r:id="rId5233">
        <w:r>
          <w:rPr>
            <w:color w:val="0000EE"/>
            <w:u w:val="single"/>
          </w:rPr>
          <w:t>3.10–12</w:t>
        </w:r>
      </w:hyperlink>
      <w:r>
        <w:t>).</w:t>
      </w:r>
    </w:p>
    <w:p>
      <w:r/>
      <w:r>
        <w:t>La rédemption comprend les aspects suivants :</w:t>
      </w:r>
    </w:p>
    <w:p>
      <w:pPr>
        <w:pStyle w:val="ListNumber"/>
        <w:spacing w:line="240" w:lineRule="auto"/>
        <w:ind w:left="720"/>
      </w:pPr>
      <w:r/>
      <w:r>
        <w:t xml:space="preserve">Dieu est le rédempteur. Dans </w:t>
      </w:r>
      <w:hyperlink r:id="rId5234">
        <w:r>
          <w:rPr>
            <w:color w:val="0000EE"/>
            <w:u w:val="single"/>
          </w:rPr>
          <w:t>Exode 6.1–8</w:t>
        </w:r>
      </w:hyperlink>
      <w:r>
        <w:t xml:space="preserve">, Dieu répond à la prière de Moïse pour sauver son peuple. Il utilise le pronom « je » 18 fois pour montrer qu'il est celui qui agit. Avant cela, les Israélites connaissaient Dieu sous le nom de « </w:t>
      </w:r>
      <w:r>
        <w:rPr>
          <w:i/>
        </w:rPr>
        <w:t>El</w:t>
      </w:r>
      <w:r>
        <w:t xml:space="preserve"> », le nom ancien du dieu suprême au Proche-Orient. </w:t>
        <w:br/>
        <w:br/>
      </w:r>
      <w:r>
        <w:t>Mais dans Exode, Israël apprend que le nom de Dieu est «</w:t>
      </w:r>
      <w:r>
        <w:rPr>
          <w:i/>
        </w:rPr>
        <w:t xml:space="preserve"> l'Éternel </w:t>
      </w:r>
      <w:r>
        <w:t xml:space="preserve">» (Yahvé). C'est son nom personnel, un rappel qu'il est le Dieu de l'alliance qui garde son peuple. Dans </w:t>
      </w:r>
      <w:hyperlink r:id="rId3978">
        <w:r>
          <w:rPr>
            <w:color w:val="0000EE"/>
            <w:u w:val="single"/>
          </w:rPr>
          <w:t>Exode 3.14</w:t>
        </w:r>
      </w:hyperlink>
      <w:r>
        <w:t>, il dit à Moïse : « Je suis celui qui suis ». Certains pensent que cela montre que le nom «</w:t>
      </w:r>
      <w:r>
        <w:rPr>
          <w:i/>
        </w:rPr>
        <w:t xml:space="preserve"> Yahvé </w:t>
      </w:r>
      <w:r>
        <w:t xml:space="preserve">» (ou </w:t>
      </w:r>
      <w:r>
        <w:rPr>
          <w:i/>
        </w:rPr>
        <w:t>l'Éternel</w:t>
      </w:r>
      <w:r>
        <w:t>) vient du verbe « être » en hébreu. Dans la culture israélite, le nom de quelqu'un était souvent révélateur de son caractère. Connaître le nom de Dieu signifiait connaître son caractère. Israël connaissait Dieu comme celui qui existe éternellement et qui est toujours présent pour agir pour eux où qu'ils soient (</w:t>
      </w:r>
      <w:hyperlink r:id="rId5235">
        <w:r>
          <w:rPr>
            <w:color w:val="0000EE"/>
            <w:u w:val="single"/>
          </w:rPr>
          <w:t>Ex 3.12</w:t>
        </w:r>
      </w:hyperlink>
      <w:r>
        <w:t xml:space="preserve"> ; </w:t>
      </w:r>
      <w:hyperlink r:id="rId5236">
        <w:r>
          <w:rPr>
            <w:color w:val="0000EE"/>
            <w:u w:val="single"/>
          </w:rPr>
          <w:t>33.14–16</w:t>
        </w:r>
      </w:hyperlink>
      <w:r>
        <w:t>).</w:t>
      </w:r>
    </w:p>
    <w:p>
      <w:pPr>
        <w:pStyle w:val="ListNumber"/>
        <w:spacing w:line="240" w:lineRule="auto"/>
        <w:ind w:left="720"/>
      </w:pPr>
      <w:r/>
      <w:r>
        <w:t>Dieu délivre Israël pour accomplir sa promesse aux patriarches. Quand Dieu entend les gémissements d'Israël, il se souvient de sa promesse à Abraham, Isaac et Jacob (</w:t>
      </w:r>
      <w:hyperlink r:id="rId5229">
        <w:r>
          <w:rPr>
            <w:color w:val="0000EE"/>
            <w:u w:val="single"/>
          </w:rPr>
          <w:t>Ex 2.24</w:t>
        </w:r>
      </w:hyperlink>
      <w:r>
        <w:t xml:space="preserve"> ; comp. avec </w:t>
      </w:r>
      <w:hyperlink r:id="rId5230">
        <w:r>
          <w:rPr>
            <w:color w:val="0000EE"/>
            <w:u w:val="single"/>
          </w:rPr>
          <w:t>6.5</w:t>
        </w:r>
      </w:hyperlink>
      <w:r>
        <w:t>). Pour venir à leur secours, il choisit le réticent Moïse. Ce dernier donne de multiples excuses pour ne pas le faire, mais Dieu ne les accepte pas. Moïse est un exemple frappant de la façon dont Dieu prépare et aide les serviteurs qu'il choisit pour réaliser sa volonté.</w:t>
      </w:r>
    </w:p>
    <w:p>
      <w:pPr>
        <w:pStyle w:val="ListNumber"/>
        <w:spacing w:line="240" w:lineRule="auto"/>
        <w:ind w:left="720"/>
      </w:pPr>
      <w:r/>
      <w:r>
        <w:t>Dieu veut sauver Israël à cause de sa miséricorde, sa compassion, sa bonté et sa fidélité (</w:t>
      </w:r>
      <w:hyperlink r:id="rId5237">
        <w:r>
          <w:rPr>
            <w:color w:val="0000EE"/>
            <w:u w:val="single"/>
          </w:rPr>
          <w:t xml:space="preserve">Ex 15.13 </w:t>
        </w:r>
      </w:hyperlink>
      <w:r>
        <w:t xml:space="preserve">; </w:t>
      </w:r>
      <w:hyperlink r:id="rId5238">
        <w:r>
          <w:rPr>
            <w:color w:val="0000EE"/>
            <w:u w:val="single"/>
          </w:rPr>
          <w:t xml:space="preserve">20.6 </w:t>
        </w:r>
      </w:hyperlink>
      <w:r>
        <w:t xml:space="preserve">; </w:t>
      </w:r>
      <w:hyperlink r:id="rId5239">
        <w:r>
          <w:rPr>
            <w:color w:val="0000EE"/>
            <w:u w:val="single"/>
          </w:rPr>
          <w:t>34.6–7</w:t>
        </w:r>
      </w:hyperlink>
      <w:r>
        <w:t>). Son intervention permet aux Israélites et aux Égyptiens de le connaître (</w:t>
      </w:r>
      <w:hyperlink r:id="rId5240">
        <w:r>
          <w:rPr>
            <w:color w:val="0000EE"/>
            <w:u w:val="single"/>
          </w:rPr>
          <w:t xml:space="preserve">Ex 6.7 </w:t>
        </w:r>
      </w:hyperlink>
      <w:r>
        <w:t xml:space="preserve">; </w:t>
      </w:r>
      <w:hyperlink r:id="rId5241">
        <w:r>
          <w:rPr>
            <w:color w:val="0000EE"/>
            <w:u w:val="single"/>
          </w:rPr>
          <w:t xml:space="preserve">7.5 </w:t>
        </w:r>
      </w:hyperlink>
      <w:r>
        <w:t xml:space="preserve">; </w:t>
      </w:r>
      <w:hyperlink r:id="rId5242">
        <w:r>
          <w:rPr>
            <w:color w:val="0000EE"/>
            <w:u w:val="single"/>
          </w:rPr>
          <w:t xml:space="preserve">8.10 </w:t>
        </w:r>
      </w:hyperlink>
      <w:r>
        <w:t xml:space="preserve">; </w:t>
      </w:r>
      <w:hyperlink r:id="rId5243">
        <w:r>
          <w:rPr>
            <w:color w:val="0000EE"/>
            <w:u w:val="single"/>
          </w:rPr>
          <w:t>14.18</w:t>
        </w:r>
      </w:hyperlink>
      <w:r>
        <w:t>). Le Seigneur agit ainsi pour démontrer à tous qu'il est le seul Dieu. Pour les Israélites, connaître ne signifiait pas seulement savoir quelque chose, mais aussi en faire l'expérience. Ce que Dieu recherche quand il agit, c'est la foi et l'obéissance.</w:t>
      </w:r>
    </w:p>
    <w:p>
      <w:pPr>
        <w:pStyle w:val="ListNumber"/>
        <w:spacing w:line="240" w:lineRule="auto"/>
        <w:ind w:left="720"/>
      </w:pPr>
      <w:r/>
      <w:r>
        <w:t>Dieu délivre Israël en faisant des miracles (</w:t>
      </w:r>
      <w:hyperlink r:id="rId4439">
        <w:r>
          <w:rPr>
            <w:color w:val="0000EE"/>
            <w:u w:val="single"/>
          </w:rPr>
          <w:t>Ex 4.21</w:t>
        </w:r>
      </w:hyperlink>
      <w:r>
        <w:t>). Les miracles sont des événements naturels contrôlés de façon surnaturelle par Dieu. Dans Exode, ils sont décrits comme des signes et des miracles (</w:t>
      </w:r>
      <w:hyperlink r:id="rId4440">
        <w:r>
          <w:rPr>
            <w:color w:val="0000EE"/>
            <w:u w:val="single"/>
          </w:rPr>
          <w:t>Ex 7.3</w:t>
        </w:r>
      </w:hyperlink>
      <w:r>
        <w:t>), de grands jugements (</w:t>
      </w:r>
      <w:hyperlink r:id="rId957">
        <w:r>
          <w:rPr>
            <w:color w:val="0000EE"/>
            <w:u w:val="single"/>
          </w:rPr>
          <w:t>6.6</w:t>
        </w:r>
      </w:hyperlink>
      <w:r>
        <w:t xml:space="preserve"> ; </w:t>
      </w:r>
      <w:hyperlink r:id="rId5244">
        <w:r>
          <w:rPr>
            <w:color w:val="0000EE"/>
            <w:u w:val="single"/>
          </w:rPr>
          <w:t>7.4</w:t>
        </w:r>
      </w:hyperlink>
      <w:r>
        <w:t>) et « le doigt de Dieu » (</w:t>
      </w:r>
      <w:hyperlink r:id="rId5245">
        <w:r>
          <w:rPr>
            <w:color w:val="0000EE"/>
            <w:u w:val="single"/>
          </w:rPr>
          <w:t>8.15</w:t>
        </w:r>
      </w:hyperlink>
      <w:r>
        <w:t>). Ces miracles ne sont pas de simples démonstrations de puissance, mais des actions bien spécifiquement choisies par Dieu. Certains miracles servent seulement à prouver que Dieu a bien envoyé Moïse. Les plaies contre l'Égypte servent à démontrer que Dieu est plus puissant que les divinités égyptiennes comme Osiris, (associé au Nil), Héqet (la déesse grenouille), Râ ou Ré (le dieu du soleil) ou Hathor (déesse associée au bétail). Les miracles au désert démontrent aussi que Dieu pourvoit à tous les besoins de son peuple.</w:t>
      </w:r>
    </w:p>
    <w:p>
      <w:pPr>
        <w:pStyle w:val="ListNumber"/>
        <w:spacing w:line="240" w:lineRule="auto"/>
        <w:ind w:left="720"/>
      </w:pPr>
      <w:r/>
      <w:r>
        <w:t>Pharaon représente la rébellion de l'humanité face au commandement de Dieu (</w:t>
      </w:r>
      <w:hyperlink r:id="rId5246">
        <w:r>
          <w:rPr>
            <w:color w:val="0000EE"/>
            <w:u w:val="single"/>
          </w:rPr>
          <w:t>Ex 4.21–23</w:t>
        </w:r>
      </w:hyperlink>
      <w:r>
        <w:t>). Le pharaon endurcit son cœur dix fois. Cependant, Dieu endurcit aussi son cœur, ce qui joue un rôle dans son obstination face à lui.</w:t>
      </w:r>
    </w:p>
    <w:p>
      <w:pPr>
        <w:pStyle w:val="ListNumber"/>
        <w:spacing w:line="240" w:lineRule="auto"/>
        <w:ind w:left="720"/>
      </w:pPr>
      <w:r/>
      <w:r>
        <w:t>La Pâque montre le prix de la rédemption. Dieu dit qu'il épargnera ceux qui mettent du sang d'agneau autour de leurs portes (</w:t>
      </w:r>
      <w:hyperlink r:id="rId5247">
        <w:r>
          <w:rPr>
            <w:color w:val="0000EE"/>
            <w:u w:val="single"/>
          </w:rPr>
          <w:t>Ex 12.23–27</w:t>
        </w:r>
      </w:hyperlink>
      <w:r>
        <w:t xml:space="preserve"> ; </w:t>
      </w:r>
      <w:hyperlink r:id="rId5248">
        <w:r>
          <w:rPr>
            <w:color w:val="0000EE"/>
            <w:u w:val="single"/>
          </w:rPr>
          <w:t>15.16</w:t>
        </w:r>
      </w:hyperlink>
      <w:r>
        <w:t>). Il s'agit donc d'un exemple frappant d'un sacrifice offert à la place de la personne qui est sauvée. Ainsi l'agneau ou le chevreau de la Pâque meurt à la place du premier-né de chaque famille israélite.</w:t>
      </w:r>
    </w:p>
    <w:p>
      <w:pPr>
        <w:pStyle w:val="ListNumber"/>
        <w:spacing w:line="240" w:lineRule="auto"/>
        <w:ind w:left="720"/>
      </w:pPr>
      <w:r/>
      <w:r>
        <w:t>Israël est racheté par Dieu. Dieu prend les Israélites pour qu'ils soient son peuple (</w:t>
      </w:r>
      <w:hyperlink r:id="rId5240">
        <w:r>
          <w:rPr>
            <w:color w:val="0000EE"/>
            <w:u w:val="single"/>
          </w:rPr>
          <w:t>Ex 6.7</w:t>
        </w:r>
      </w:hyperlink>
      <w:r>
        <w:t xml:space="preserve">). Ils ne peuvent plus agir comme s'ils n'appartiennent pas à Dieu. Même avant l'exode, Dieu avait déjà dit que les Israélites étaient à lui. Il dit à pharaon : « Israël est mon fils, mon premier-né. </w:t>
      </w:r>
      <w:r>
        <w:t>Je te dis : Laisse aller mon fils, pour qu’il me serve</w:t>
      </w:r>
      <w:r>
        <w:t xml:space="preserve"> » (</w:t>
      </w:r>
      <w:hyperlink r:id="rId5249">
        <w:r>
          <w:rPr>
            <w:color w:val="0000EE"/>
            <w:u w:val="single"/>
          </w:rPr>
          <w:t>Ex 4.22–23</w:t>
        </w:r>
      </w:hyperlink>
      <w:r>
        <w:t>).</w:t>
      </w:r>
    </w:p>
    <w:p>
      <w:pPr>
        <w:pStyle w:val="ListNumber"/>
        <w:spacing w:line="240" w:lineRule="auto"/>
        <w:ind w:left="720"/>
      </w:pPr>
      <w:r/>
      <w:r>
        <w:t>En échange de sa rédemption, Israël doit l'obéissance à Dieu. Celui qui l'a fait sortir d'Égypte est celui qui lui donne ses dix commandements (</w:t>
      </w:r>
      <w:hyperlink r:id="rId1216">
        <w:r>
          <w:rPr>
            <w:color w:val="0000EE"/>
            <w:u w:val="single"/>
          </w:rPr>
          <w:t>Ex 20.1–17</w:t>
        </w:r>
      </w:hyperlink>
      <w:r>
        <w:t>) et le reste de sa loi, pour qu'elle soit observée. Au début, le peuple promet qu'il obéira à Dieu (</w:t>
      </w:r>
      <w:hyperlink r:id="rId5250">
        <w:r>
          <w:rPr>
            <w:color w:val="0000EE"/>
            <w:u w:val="single"/>
          </w:rPr>
          <w:t>Ex 19.8</w:t>
        </w:r>
      </w:hyperlink>
      <w:r>
        <w:t xml:space="preserve">; </w:t>
      </w:r>
      <w:hyperlink r:id="rId5251">
        <w:r>
          <w:rPr>
            <w:color w:val="0000EE"/>
            <w:u w:val="single"/>
          </w:rPr>
          <w:t>24.3</w:t>
        </w:r>
      </w:hyperlink>
      <w:r>
        <w:t>) mais commence rapidement à lui désobéir (</w:t>
      </w:r>
      <w:hyperlink r:id="rId5252">
        <w:r>
          <w:rPr>
            <w:color w:val="0000EE"/>
            <w:u w:val="single"/>
          </w:rPr>
          <w:t>32.8</w:t>
        </w:r>
      </w:hyperlink>
      <w:r>
        <w:t>). Ceux qui sont fidèles lui rendent grâce avec le cantique de Moïse (</w:t>
      </w:r>
      <w:hyperlink r:id="rId3938">
        <w:r>
          <w:rPr>
            <w:color w:val="0000EE"/>
            <w:u w:val="single"/>
          </w:rPr>
          <w:t xml:space="preserve">Exode 15 </w:t>
        </w:r>
      </w:hyperlink>
      <w:r>
        <w:t xml:space="preserve">; comp. avec </w:t>
      </w:r>
      <w:hyperlink r:id="rId5253">
        <w:r>
          <w:rPr>
            <w:color w:val="0000EE"/>
            <w:u w:val="single"/>
          </w:rPr>
          <w:t>Ap 15.3–4</w:t>
        </w:r>
      </w:hyperlink>
      <w:r>
        <w:t>).</w:t>
        <w:br/>
        <w:br/>
      </w:r>
      <w:r>
        <w:t>Le Seigneur est saint et veut que son peuple soit saint et lui soit entièrement dévoué (</w:t>
      </w:r>
      <w:hyperlink r:id="rId5254">
        <w:r>
          <w:rPr>
            <w:color w:val="0000EE"/>
            <w:u w:val="single"/>
          </w:rPr>
          <w:t>Ex 34.14</w:t>
        </w:r>
      </w:hyperlink>
      <w:r>
        <w:t>). Il doit punir le péché. Mais il peut pardonner aussi, car il est compatissant. Pendant l'histoire d'Israël, Dieu a souvent plaidé par ses prophètes pour que son peuple se souvienne de l'exode et se repente de ses péchés (</w:t>
      </w:r>
      <w:hyperlink r:id="rId5255">
        <w:r>
          <w:rPr>
            <w:color w:val="0000EE"/>
            <w:u w:val="single"/>
          </w:rPr>
          <w:t>Mi 6.3–4</w:t>
        </w:r>
      </w:hyperlink>
      <w:r>
        <w:t xml:space="preserve">). </w:t>
      </w:r>
    </w:p>
    <w:p>
      <w:pPr>
        <w:pStyle w:val="Heading3"/>
      </w:pPr>
      <w:r>
        <w:t>Survol</w:t>
      </w:r>
    </w:p>
    <w:p>
      <w:r/>
      <w:r>
        <w:t>Le livre de l'Exode peut être divisé en quatre parties. Chaque partie met en avant un aspect de la relation que Dieu est en train d'établir avec Israël pour l'accompagner.</w:t>
      </w:r>
    </w:p>
    <w:p>
      <w:pPr>
        <w:pStyle w:val="Heading4"/>
      </w:pPr>
      <w:r>
        <w:t>Dieu se révèle (</w:t>
      </w:r>
      <w:hyperlink r:id="rId5256">
        <w:r>
          <w:rPr>
            <w:color w:val="0000EE"/>
            <w:u w:val="single"/>
          </w:rPr>
          <w:t>Exode 1–6</w:t>
        </w:r>
      </w:hyperlink>
      <w:r>
        <w:t>)</w:t>
      </w:r>
    </w:p>
    <w:p>
      <w:r/>
      <w:r>
        <w:t xml:space="preserve">Le livre de l'Exode commence avec les 70 descendants de Jacob qui rejoignent Joseph en Égypte alors qu'une famine sévit en Canaan (voir </w:t>
      </w:r>
      <w:hyperlink r:id="rId5257">
        <w:r>
          <w:rPr>
            <w:color w:val="0000EE"/>
            <w:u w:val="single"/>
          </w:rPr>
          <w:t>Genèse 46–50</w:t>
        </w:r>
      </w:hyperlink>
      <w:r>
        <w:t>). Ils prospèrent pendant plus de cent ans dans le pays de Gosen, jusqu'à ce qu'une nouvelle dynastie de pharaons égyptiens vienne au pouvoir. Ces nouveaux dirigeants les traitent durement. Comme la population israélite augmente rapidement, les Égyptiens les réduisent à l'esclavage. Ils les soumettent à un dur labeur et leur font construire des villes servant d'entrepôts à pharaon.</w:t>
      </w:r>
    </w:p>
    <w:p>
      <w:r/>
      <w:r>
        <w:t>Pharaon ordonne que tous les bébés israélites mâles soient tués à la naissance. Les sages-femmes des femmes israélites ne suivent pas cet ordre. Elles choisissent d'obéir à Dieu plutôt qu'au pharaon et mentent pour protéger les israélites. Dieu bénit ces sages-femmes qui le craignent.</w:t>
      </w:r>
    </w:p>
    <w:p>
      <w:r/>
      <w:r>
        <w:t>Le pharaon donne alors un nouvel ordre : tous les bébés israélites mâles doivent être jetés dans le grand fleuve, le Nil. Exode raconte l'histoire d'un bébé qui échappe à l'ordre du roi, Moïse. Ne pouvant plus le cacher, sa mère le met dans un panier étanche (qui ne prend pas l'eau et qui flotte) qu'elle place sur le Nil. Sa fille Myriam, sœur du bébé, suit le panier pour voir ce qui va arriver. Le panier arrive à un endroit où la fille de pharaon se baigne. La princesse adopte le bébé et prend sa mère à son service pour qu'elle s'occupe de lui tant qu'il est petit. La princesse ne sait pas que cette femme est la vraie mère de Moïse. Le garçon grandit ensuite dans le palais du pharaon en tant que fils adoptif de la princesse.</w:t>
      </w:r>
    </w:p>
    <w:p>
      <w:r/>
      <w:r>
        <w:t xml:space="preserve">Exode raconte qu'à l'âge adulte, Moïse se rapproche des Hébreux, son peuple d'origine. Il a peut-être appris de ses parents qui est son peuple et qui est Dieu. En effet, Actes 7.25 déclare qu'il a voulu intervenir pour aider son peuple, en pensant qu'ils comprendraient que Dieu agissait par lui. </w:t>
      </w:r>
      <w:hyperlink r:id="rId5258">
        <w:r>
          <w:rPr>
            <w:color w:val="0000EE"/>
            <w:u w:val="single"/>
          </w:rPr>
          <w:t>Hébreux 11.24–26</w:t>
        </w:r>
      </w:hyperlink>
      <w:r>
        <w:t xml:space="preserve"> dit que Moïse a refusé « </w:t>
      </w:r>
      <w:r>
        <w:t>d’être appelé fils de la fille de Pharaon »</w:t>
      </w:r>
      <w:r>
        <w:t>. Malheureusement, son intervention pour aider son peuple se passe mal et il est forcé de s'enfuir à Madian, une région près du désert du Sinaï.</w:t>
      </w:r>
    </w:p>
    <w:p>
      <w:r/>
      <w:r>
        <w:t>Pendant son séjour à Madian, Moïse épouse Séphora, la fille de Jéthro (également appelé Réuel). Jéthro est probablement un titre (signifiant « excellence »), tandis que Réuel est probablement son nom personnel (signifiant « ami de Dieu »). C'est un « sacrificateur de Madian » (</w:t>
      </w:r>
      <w:hyperlink r:id="rId5259">
        <w:r>
          <w:rPr>
            <w:color w:val="0000EE"/>
            <w:u w:val="single"/>
          </w:rPr>
          <w:t>Ex 2.16</w:t>
        </w:r>
      </w:hyperlink>
      <w:r>
        <w:t>).</w:t>
      </w:r>
    </w:p>
    <w:p>
      <w:r/>
      <w:r>
        <w:t>Certains érudits proposent que c'est Jéthro qui a appris à Moïse qui est l’Éternel et que Moïse a ensuite enseigné cette religion aux Israélites (« l'hypothèse kénienne »). Cependant, nous avons déjà vu que Moïse connaissait déjà Dieu avant de partir pour Madian. Les Israélites aussi connaissaient déjà Dieu, comme le prouvent les actions des sages-femmes qui sauvent les bébés hébreux. Exode enseigne que c'est Dieu lui-même qui a révélé à Moïse son nom, l'Éternel, au buisson ardent (</w:t>
      </w:r>
      <w:hyperlink r:id="rId5260">
        <w:r>
          <w:rPr>
            <w:color w:val="0000EE"/>
            <w:u w:val="single"/>
          </w:rPr>
          <w:t>Ex 3.14–15</w:t>
        </w:r>
      </w:hyperlink>
      <w:r>
        <w:t xml:space="preserve">). Plus tard, lorsque Jéthro voit comment Dieu a sauvé Israël, il loue l’Éternel. Nous ne savons pas s'il connaissait déjà </w:t>
      </w:r>
      <w:r>
        <w:t>l’Éternel ou s'il a commencé à croire en lui quand il a vu les œuvres de Dieu en Égypte</w:t>
      </w:r>
      <w:r>
        <w:t xml:space="preserve"> (</w:t>
      </w:r>
      <w:hyperlink r:id="rId5261">
        <w:r>
          <w:rPr>
            <w:color w:val="0000EE"/>
            <w:u w:val="single"/>
          </w:rPr>
          <w:t>Ex 18.10–11</w:t>
        </w:r>
      </w:hyperlink>
      <w:r>
        <w:t>).</w:t>
      </w:r>
    </w:p>
    <w:p>
      <w:r/>
      <w:r>
        <w:t>Pendant que Moïse séjourne à Madian, les Israélites continuent à souffrir comme esclaves, et Dieu entend leurs cris (</w:t>
      </w:r>
      <w:hyperlink r:id="rId5262">
        <w:r>
          <w:rPr>
            <w:color w:val="0000EE"/>
            <w:u w:val="single"/>
          </w:rPr>
          <w:t>Ex 2.23–25</w:t>
        </w:r>
      </w:hyperlink>
      <w:r>
        <w:t>). Il répond en descendant pour délivrer Israël (</w:t>
      </w:r>
      <w:hyperlink r:id="rId5231">
        <w:r>
          <w:rPr>
            <w:color w:val="0000EE"/>
            <w:u w:val="single"/>
          </w:rPr>
          <w:t>Ex 3.8</w:t>
        </w:r>
      </w:hyperlink>
      <w:r>
        <w:t>). Il apparaît à Moïse dans un buisson ardent et se présente comme celui qui a promis aux patriarches « un pays où coulent le lait et le miel » (</w:t>
      </w:r>
      <w:hyperlink r:id="rId5263">
        <w:r>
          <w:rPr>
            <w:color w:val="0000EE"/>
            <w:u w:val="single"/>
          </w:rPr>
          <w:t>Ex 2.17</w:t>
        </w:r>
      </w:hyperlink>
      <w:r>
        <w:t>). Moïse doit conduire les Israélites dans ce pays avec l'aide d'Aaron, son frère.</w:t>
      </w:r>
    </w:p>
    <w:p>
      <w:r/>
      <w:r>
        <w:t>Fortifié par la promesse de la présence de Dieu et le pouvoir de faire des miracles en son nom, Moïse emmène sa femme et leurs deux fils en Égypte. En chemin, le Seigneur confronte Moïse et tente de le tuer (</w:t>
      </w:r>
      <w:hyperlink r:id="rId1451">
        <w:r>
          <w:rPr>
            <w:color w:val="0000EE"/>
            <w:u w:val="single"/>
          </w:rPr>
          <w:t>Ex 4.24</w:t>
        </w:r>
      </w:hyperlink>
      <w:r>
        <w:t xml:space="preserve">). Cela signifie peut-être qu'il est tombé gravement malade et qu'il est en danger de mort. Dieu le reprend parce qu'il doit diriger le peuple de Dieu, mais n'a pas suivi le commandement de Dieu de circoncire son fils (obligatoire pour tous les garçons israélites, </w:t>
      </w:r>
      <w:hyperlink r:id="rId5264">
        <w:r>
          <w:rPr>
            <w:color w:val="0000EE"/>
            <w:u w:val="single"/>
          </w:rPr>
          <w:t>Gn 17.14</w:t>
        </w:r>
      </w:hyperlink>
      <w:r>
        <w:t>).</w:t>
      </w:r>
    </w:p>
    <w:p>
      <w:r/>
      <w:r>
        <w:t>Séphora circoncit son fils et Moïse survit. Au mont Sinaï, Aaron le rejoint. Quand ils arrivent en Égypte, les Israélites les accueillent, mais pharaon refuse d'honorer Dieu. Au lieu de permettre aux Israélites de sacrifier à leur Dieu dans le désert, pharaon augmente leur charge de travail. Le peuple se plaint à Moïse, qui le rapporte à Dieu. Dieu apparaît de nouveau à Moïse et le rassure en lui disant qu'il va délivrer Israël par sa puissance (</w:t>
      </w:r>
      <w:hyperlink r:id="rId5265">
        <w:r>
          <w:rPr>
            <w:color w:val="0000EE"/>
            <w:u w:val="single"/>
          </w:rPr>
          <w:t>Exode 6</w:t>
        </w:r>
      </w:hyperlink>
      <w:r>
        <w:t>). Le plan de Dieu ne fait que commencer.</w:t>
      </w:r>
    </w:p>
    <w:p>
      <w:pPr>
        <w:pStyle w:val="Heading4"/>
      </w:pPr>
      <w:r>
        <w:t>Dieu délivre Israël (</w:t>
      </w:r>
      <w:hyperlink r:id="rId5266">
        <w:r>
          <w:rPr>
            <w:color w:val="0000EE"/>
            <w:u w:val="single"/>
          </w:rPr>
          <w:t>Exode 7–19</w:t>
        </w:r>
      </w:hyperlink>
      <w:r>
        <w:t>)</w:t>
      </w:r>
    </w:p>
    <w:p>
      <w:r/>
      <w:r>
        <w:t>Les chapitres 7 à 12 racontent que Dieu envoie dix plaies (ou catastrophes) contre les Égyptiens. Même avant la première plaie, pharaon a déjà endurci son cœur pour s'opposer au commandement de Dieu (</w:t>
      </w:r>
      <w:hyperlink r:id="rId5267">
        <w:r>
          <w:rPr>
            <w:color w:val="0000EE"/>
            <w:u w:val="single"/>
          </w:rPr>
          <w:t>Ex 7.13</w:t>
        </w:r>
      </w:hyperlink>
      <w:r>
        <w:t xml:space="preserve">). Certains érudits pensent que le récit des plaies est organisé dans un ordre qui divise les neuf premières plaies en trois groupes. Comme l'histoire ne précise pas que les Israélites ne sont pas touchés par les trois premières plaies, certains pensent que cela a été le cas. </w:t>
      </w:r>
    </w:p>
    <w:p>
      <w:r/>
      <w:r>
        <w:t>Les magiciens égyptiens sont capables de reproduire les deux premières plaies. Cependant, ils finissent par reconnaître, à la troisième plaie, que c'est « le doigt de Dieu » qui agit et qu'ils ne peuvent pas rivaliser avec sa puissance (</w:t>
      </w:r>
      <w:hyperlink r:id="rId5245">
        <w:r>
          <w:rPr>
            <w:color w:val="0000EE"/>
            <w:u w:val="single"/>
          </w:rPr>
          <w:t>Ex 8.15</w:t>
        </w:r>
      </w:hyperlink>
      <w:r>
        <w:t xml:space="preserve">). </w:t>
      </w:r>
    </w:p>
    <w:p>
      <w:r/>
      <w:r>
        <w:t>Commençant avec la quatrième plaie (les mouches venimeuses), pharaon propose plusieurs fois à Moïse des compromis pour empêcher le peuple de vraiment partir, mais Moïse ne cède pas (</w:t>
      </w:r>
      <w:hyperlink r:id="rId5268">
        <w:r>
          <w:rPr>
            <w:color w:val="0000EE"/>
            <w:u w:val="single"/>
          </w:rPr>
          <w:t xml:space="preserve">Ex 8.21–25 ; </w:t>
        </w:r>
      </w:hyperlink>
      <w:hyperlink r:id="rId5269">
        <w:r>
          <w:rPr>
            <w:color w:val="0000EE"/>
            <w:u w:val="single"/>
          </w:rPr>
          <w:t>10.8–11, 24–29</w:t>
        </w:r>
      </w:hyperlink>
      <w:r>
        <w:t xml:space="preserve">). Les premières des plaies sont principalement désagréables, mais elles deviennent progressivement de plus en plus graves et causent beaucoup de dommages et de souffrances aux Égyptiens. </w:t>
      </w:r>
    </w:p>
    <w:p>
      <w:r/>
      <w:r>
        <w:t>Plusieurs des plaies sont des calamités qui pouvaient arriver naturellement dans cette région. Dans le cas de ces plaies-là, le miracle était l'intensité de la catastrophe, le fait qu'elle était limitée aux régions habitées par les Égyptiens et le fait qu'elles commençaient et finissaient par la parole de Dieu.</w:t>
      </w:r>
    </w:p>
    <w:p>
      <w:r/>
      <w:r>
        <w:t>Malheureusement, le cœur de pharaon s'endurcit encore plus malgré les neuf premières plaies. Alors, Dieu envoie une dernière plaie : la mort de tous les premiers-nés mâles égyptiens. Dieu avertit les Israélites qu'ils doivent être prêts à partir rapidement. Pour éviter que la plaie ne les frappe, ils doivent mettre sur le cadre (ou linteaux) de leurs portes le sang d'un agneau ou d'un chevreau mâle sans défaut après l'avoir sacrifié. Ils doivent aussi manger la chair rôtie de l'animal avec des pains sans levain et des herbes amères. Alors qu'ils mangent le repas de la Pâque, l'ange de la mort commence à traverser le pays d'Égypte et tue les premiers-nés. Son peuple et lui-même étant dans le deuil, pharaon cède finalement et permet aux Israélites de quitter le pays. Ils sont délivrés. Selon sa promesse, Dieu commence à guider les Israélites par une colonne de nuée le jour et une colonne de feu la nuit et les fait partir d'Égypte vers la Terre promise.</w:t>
      </w:r>
    </w:p>
    <w:p>
      <w:r/>
      <w:r>
        <w:t xml:space="preserve">Cependant, cette fois encore, le cœur de pharaon s'endurcit, et il poursuit les Israélites avec son armée. Pour secourir les Israélites et montrer sa puissance, Dieu sépare les eaux de la mer qui était devant eux avec un grand vent. En hébreu, le nom de cette mer est « la mer des roseaux ». Il est possible que ce nom désigne simplement une mer où des roseaux poussent sur le rivage. Par exemple, dans </w:t>
      </w:r>
      <w:hyperlink r:id="rId4496">
        <w:r>
          <w:rPr>
            <w:color w:val="0000EE"/>
            <w:u w:val="single"/>
          </w:rPr>
          <w:t>1 Rois 9.26</w:t>
        </w:r>
      </w:hyperlink>
      <w:r>
        <w:t>, le même terme désigne le golfe d'Aqaba près d'Éloth. Même si l'emplacement de cet événement n'est pas totalement certain, le fait est que les Israélites ont pu traverser la mer et que Dieu a vaincu les Égyptiens en ramenant la mer sur eux. Les Israélites sont définitivement libérés de l'esclavage aux Égyptiens.</w:t>
      </w:r>
    </w:p>
    <w:p>
      <w:r/>
      <w:r>
        <w:t>Ayant vu la puissance de Dieu, les Israélites croient en lui. Moïse et tout le peuple célèbrent la sortie d'Égypte avec un chant de victoire et de louange (</w:t>
      </w:r>
      <w:hyperlink r:id="rId5270">
        <w:r>
          <w:rPr>
            <w:color w:val="0000EE"/>
            <w:u w:val="single"/>
          </w:rPr>
          <w:t>Ex 14.31–15.21</w:t>
        </w:r>
      </w:hyperlink>
      <w:r>
        <w:t>). Malheureusement, la foi des Israélites ne dure pas longtemps, et la louange fait vite place à des plaintes contre l'Éternel et des murmures contre son serviteur, Moïse. Chaque fois que les Israélites sont dans le besoin, ils se plaignent. Ils se plaignent quand l'eau qu'ils trouvent est amère (</w:t>
      </w:r>
      <w:hyperlink r:id="rId5271">
        <w:r>
          <w:rPr>
            <w:color w:val="0000EE"/>
            <w:u w:val="single"/>
          </w:rPr>
          <w:t>Ex 15.22–26</w:t>
        </w:r>
      </w:hyperlink>
      <w:r>
        <w:t>). Ils se plaignent de ne pas avoir de nourriture comme en Égypte (</w:t>
      </w:r>
      <w:hyperlink r:id="rId5272">
        <w:r>
          <w:rPr>
            <w:color w:val="0000EE"/>
            <w:u w:val="single"/>
          </w:rPr>
          <w:t>16.1–15</w:t>
        </w:r>
      </w:hyperlink>
      <w:r>
        <w:t>) et ils se plaignent lorsqu'ils ne trouvent pas d'eau à Rephidim (</w:t>
      </w:r>
      <w:hyperlink r:id="rId5273">
        <w:r>
          <w:rPr>
            <w:color w:val="0000EE"/>
            <w:u w:val="single"/>
          </w:rPr>
          <w:t>17.1–7</w:t>
        </w:r>
      </w:hyperlink>
      <w:r>
        <w:t>).</w:t>
      </w:r>
    </w:p>
    <w:p>
      <w:r/>
      <w:r>
        <w:t>Dans chacune de ces situations, Dieu pourvoit à leurs besoins. Il leur donne également la victoire sur les Amalécites (</w:t>
      </w:r>
      <w:hyperlink r:id="rId598">
        <w:r>
          <w:rPr>
            <w:color w:val="0000EE"/>
            <w:u w:val="single"/>
          </w:rPr>
          <w:t>Ex 17.8–16</w:t>
        </w:r>
      </w:hyperlink>
      <w:r>
        <w:t>). Lorsque les Israélites arrivent au mont Sinaï, Jéthro et la famille de Moïse les rejoignent. Jéthro loue l'Éternel et mange avec les anciens du peuple. Ses conseils aident aussi Moïse à réorganiser leur système juridique. Puis, il retourne chez lui, à Madian (</w:t>
      </w:r>
      <w:hyperlink r:id="rId5274">
        <w:r>
          <w:rPr>
            <w:color w:val="0000EE"/>
            <w:u w:val="single"/>
          </w:rPr>
          <w:t>Exode 18</w:t>
        </w:r>
      </w:hyperlink>
      <w:r>
        <w:t xml:space="preserve">). </w:t>
      </w:r>
    </w:p>
    <w:p>
      <w:r/>
      <w:r>
        <w:t xml:space="preserve">Les Israélites arrivent au mont Sinaï (également appelé Horeb, </w:t>
      </w:r>
      <w:hyperlink r:id="rId5275">
        <w:r>
          <w:rPr>
            <w:color w:val="0000EE"/>
            <w:u w:val="single"/>
          </w:rPr>
          <w:t>Ex 3.1</w:t>
        </w:r>
      </w:hyperlink>
      <w:r>
        <w:t>) et se préparent à rencontrer leur Sauveur (</w:t>
      </w:r>
      <w:hyperlink r:id="rId560">
        <w:r>
          <w:rPr>
            <w:color w:val="0000EE"/>
            <w:u w:val="single"/>
          </w:rPr>
          <w:t>Exode 19</w:t>
        </w:r>
      </w:hyperlink>
      <w:r>
        <w:t xml:space="preserve">, voir </w:t>
      </w:r>
      <w:hyperlink r:id="rId5235">
        <w:r>
          <w:rPr>
            <w:color w:val="0000EE"/>
            <w:u w:val="single"/>
          </w:rPr>
          <w:t>Ex 3.12</w:t>
        </w:r>
      </w:hyperlink>
      <w:r>
        <w:t xml:space="preserve">). Là, l'Éternel établit une alliance avec Israël, faisant d'eux son peuple, « un royaume de sacrificateurs et une nation sainte ». Le peuple entier s'engage envers Dieu en disant : « </w:t>
      </w:r>
      <w:r>
        <w:t>Nous ferons tout ce que l’Éternel a dit</w:t>
      </w:r>
      <w:r>
        <w:t xml:space="preserve"> » (</w:t>
      </w:r>
      <w:hyperlink r:id="rId5276">
        <w:r>
          <w:rPr>
            <w:color w:val="0000EE"/>
            <w:u w:val="single"/>
          </w:rPr>
          <w:t>Ex 19.5–8</w:t>
        </w:r>
      </w:hyperlink>
      <w:r>
        <w:t>).</w:t>
      </w:r>
    </w:p>
    <w:p>
      <w:pPr>
        <w:pStyle w:val="Heading4"/>
      </w:pPr>
      <w:r>
        <w:t>Dieu instruit Israël (</w:t>
      </w:r>
      <w:hyperlink r:id="rId5277">
        <w:r>
          <w:rPr>
            <w:color w:val="0000EE"/>
            <w:u w:val="single"/>
          </w:rPr>
          <w:t>Exode 20–24</w:t>
        </w:r>
      </w:hyperlink>
      <w:r>
        <w:t>)</w:t>
      </w:r>
    </w:p>
    <w:p>
      <w:r/>
      <w:r>
        <w:t>Dieu a désormais racheté les Israélites en les délivrant de l'esclavage. Ils sont maintenant son peuple et ses serviteurs. Ils s'engagent envers l'Éternel en traitant alliance avec lui, en promettant d'obéir à ses commandements. Les commandements que l'Éternel leur a donnés au mont Sinaï ne sont pas des règles servant à compliquer leur vie. Au contraire, ce sont des instructions pour leur apprendre à vivre dans la justice et dans la paix en tant que peuple de Dieu et pour leur bien (</w:t>
      </w:r>
      <w:hyperlink r:id="rId5278">
        <w:r>
          <w:rPr>
            <w:color w:val="0000EE"/>
            <w:u w:val="single"/>
          </w:rPr>
          <w:t>Ex 20.2–3</w:t>
        </w:r>
      </w:hyperlink>
      <w:r>
        <w:t>).</w:t>
      </w:r>
    </w:p>
    <w:p>
      <w:r/>
      <w:r>
        <w:t>La Loi (en hébreu, la Torah, ce qui signifie « instruction ») donnée au Sinaï n'est pas entièrement contenue dans Exode. Les commandements qui se trouvent dans Exode peuvent être divisés en trois groupes :</w:t>
      </w:r>
    </w:p>
    <w:p>
      <w:pPr>
        <w:pStyle w:val="ListNumber"/>
        <w:spacing w:line="240" w:lineRule="auto"/>
        <w:ind w:left="720"/>
      </w:pPr>
      <w:r/>
      <w:r>
        <w:rPr>
          <w:b/>
        </w:rPr>
        <w:t>Les dix commandements</w:t>
      </w:r>
      <w:r>
        <w:t xml:space="preserve"> (</w:t>
      </w:r>
      <w:hyperlink r:id="rId561">
        <w:r>
          <w:rPr>
            <w:color w:val="0000EE"/>
            <w:u w:val="single"/>
          </w:rPr>
          <w:t>Exode 20</w:t>
        </w:r>
      </w:hyperlink>
      <w:r>
        <w:t xml:space="preserve">) définissent comment une personne doit se comporter envers Dieu et envers les autres. </w:t>
      </w:r>
    </w:p>
    <w:p>
      <w:pPr>
        <w:pStyle w:val="ListNumber"/>
        <w:spacing w:line="240" w:lineRule="auto"/>
        <w:ind w:left="720"/>
      </w:pPr>
      <w:r/>
      <w:r>
        <w:rPr>
          <w:b/>
        </w:rPr>
        <w:t xml:space="preserve">Les jugements </w:t>
      </w:r>
      <w:r>
        <w:t>(</w:t>
      </w:r>
      <w:hyperlink r:id="rId564">
        <w:r>
          <w:rPr>
            <w:color w:val="0000EE"/>
            <w:u w:val="single"/>
          </w:rPr>
          <w:t>Exode 21–23</w:t>
        </w:r>
      </w:hyperlink>
      <w:r>
        <w:t>) sont des règles sociales qui servent à diriger la vie du peuple sous la direction de Dieu. Ils ont des similarités avec certaines des lois de nations voisines.</w:t>
      </w:r>
    </w:p>
    <w:p>
      <w:pPr>
        <w:pStyle w:val="ListNumber"/>
        <w:spacing w:line="240" w:lineRule="auto"/>
        <w:ind w:left="720"/>
      </w:pPr>
      <w:r/>
      <w:r>
        <w:rPr>
          <w:b/>
        </w:rPr>
        <w:t>Les ordonnances</w:t>
      </w:r>
      <w:r>
        <w:t xml:space="preserve"> (</w:t>
      </w:r>
      <w:hyperlink r:id="rId5279">
        <w:r>
          <w:rPr>
            <w:color w:val="0000EE"/>
            <w:u w:val="single"/>
          </w:rPr>
          <w:t>Exode 24–31</w:t>
        </w:r>
      </w:hyperlink>
      <w:r>
        <w:t>) sont des règles qui concernent les sacrifices et l'adoration.</w:t>
      </w:r>
    </w:p>
    <w:p>
      <w:r/>
      <w:r>
        <w:t>Moïse reçoit ces lois alors que Dieu lui parle sur la montagne.</w:t>
      </w:r>
    </w:p>
    <w:p>
      <w:r/>
      <w:r>
        <w:t>Les dix commandements sont la base de toutes les autres lois en Israël (</w:t>
      </w:r>
      <w:hyperlink r:id="rId1216">
        <w:r>
          <w:rPr>
            <w:color w:val="0000EE"/>
            <w:u w:val="single"/>
          </w:rPr>
          <w:t>Exode 20.1–17</w:t>
        </w:r>
      </w:hyperlink>
      <w:r>
        <w:t xml:space="preserve">). Les cinq premiers commandements concernent comment adorer et honorer l'Éternel. Les cinq derniers concernent comment bien traiter les autres personnes. Le dernier commandement fait le lien entre les pensées et les intentions d'une personne et ses actions. Beaucoup de péchés dont les dix commandements ne parlent pas spécifiquement pouvaient être évités si les Israélites faisaient attention à ne pas avoir de mauvaises pensées et de mauvaises intentions. </w:t>
      </w:r>
    </w:p>
    <w:p>
      <w:r/>
      <w:hyperlink r:id="rId564">
        <w:r>
          <w:rPr>
            <w:color w:val="0000EE"/>
            <w:u w:val="single"/>
          </w:rPr>
          <w:t>Exode 21–23</w:t>
        </w:r>
      </w:hyperlink>
      <w:r>
        <w:t xml:space="preserve"> traite des sujets suivants :</w:t>
      </w:r>
    </w:p>
    <w:p>
      <w:pPr>
        <w:pStyle w:val="ListBullet"/>
        <w:spacing w:line="240" w:lineRule="auto"/>
        <w:ind w:left="720"/>
      </w:pPr>
      <w:r/>
      <w:r>
        <w:t>Des règles s'appliquant aux maîtres et aux esclaves (</w:t>
      </w:r>
      <w:hyperlink r:id="rId5280">
        <w:r>
          <w:rPr>
            <w:color w:val="0000EE"/>
            <w:u w:val="single"/>
          </w:rPr>
          <w:t>21.1–11</w:t>
        </w:r>
      </w:hyperlink>
      <w:r>
        <w:t>)</w:t>
      </w:r>
    </w:p>
    <w:p>
      <w:pPr>
        <w:pStyle w:val="ListBullet"/>
        <w:spacing w:line="240" w:lineRule="auto"/>
        <w:ind w:left="720"/>
      </w:pPr>
      <w:r/>
      <w:r>
        <w:t>Les crimes qui sont punissables de mort (</w:t>
      </w:r>
      <w:hyperlink r:id="rId5281">
        <w:r>
          <w:rPr>
            <w:color w:val="0000EE"/>
            <w:u w:val="single"/>
          </w:rPr>
          <w:t>21.12–17</w:t>
        </w:r>
      </w:hyperlink>
      <w:r>
        <w:t>)</w:t>
      </w:r>
    </w:p>
    <w:p>
      <w:pPr>
        <w:pStyle w:val="ListBullet"/>
        <w:spacing w:line="240" w:lineRule="auto"/>
        <w:ind w:left="720"/>
      </w:pPr>
      <w:r/>
      <w:r>
        <w:t>Les règles d'indemnisation quand quelqu'un a été blessé ou des biens ont été endommagés par la faute de quelqu'un d'autre (</w:t>
      </w:r>
      <w:hyperlink r:id="rId5282">
        <w:r>
          <w:rPr>
            <w:color w:val="0000EE"/>
            <w:u w:val="single"/>
          </w:rPr>
          <w:t>21.18–22.15</w:t>
        </w:r>
      </w:hyperlink>
      <w:r>
        <w:t>)</w:t>
      </w:r>
    </w:p>
    <w:p>
      <w:pPr>
        <w:pStyle w:val="ListBullet"/>
        <w:spacing w:line="240" w:lineRule="auto"/>
        <w:ind w:left="720"/>
      </w:pPr>
      <w:r/>
      <w:r>
        <w:t>Des règles de comportement juste et saint envers différents types de personnes (</w:t>
      </w:r>
      <w:hyperlink r:id="rId5283">
        <w:r>
          <w:rPr>
            <w:color w:val="0000EE"/>
            <w:u w:val="single"/>
          </w:rPr>
          <w:t>22.16–23.9</w:t>
        </w:r>
      </w:hyperlink>
      <w:r>
        <w:t>)</w:t>
      </w:r>
    </w:p>
    <w:p>
      <w:pPr>
        <w:pStyle w:val="ListBullet"/>
        <w:spacing w:line="240" w:lineRule="auto"/>
        <w:ind w:left="720"/>
      </w:pPr>
      <w:r/>
      <w:r>
        <w:t>Les sabbats, les fêtes et les offrandes à observer (</w:t>
      </w:r>
      <w:hyperlink r:id="rId5284">
        <w:r>
          <w:rPr>
            <w:color w:val="0000EE"/>
            <w:u w:val="single"/>
          </w:rPr>
          <w:t>23.10–19</w:t>
        </w:r>
      </w:hyperlink>
      <w:r>
        <w:t>)</w:t>
      </w:r>
    </w:p>
    <w:p>
      <w:r/>
      <w:r>
        <w:t>Un certain nombre de ce type de lois appelées des « jugements » n'étaient pas applicables tant qu'Israël était dans le désert, mais le deviendraient quand le peuple prendrait possession de la Terre promise. Dieu avertit les Israélites qu'ils ne doivent pas être rebelles à ses commandements et surtout, qu'ils ne doivent pas imiter les pratiques idolâtres et détestables des peuples voisins. La loi contient aussi des promesses. Si Israël marche dans les voies de Dieu, il chassera leurs ennemis, les protégera de la maladie et les bénira dans tout ce qu'ils font (</w:t>
      </w:r>
      <w:hyperlink r:id="rId5285">
        <w:r>
          <w:rPr>
            <w:color w:val="0000EE"/>
            <w:u w:val="single"/>
          </w:rPr>
          <w:t xml:space="preserve">Ex 23.22, </w:t>
        </w:r>
      </w:hyperlink>
      <w:hyperlink r:id="rId5286">
        <w:r>
          <w:rPr>
            <w:color w:val="0000EE"/>
            <w:u w:val="single"/>
          </w:rPr>
          <w:t>25–27</w:t>
        </w:r>
      </w:hyperlink>
      <w:r>
        <w:t>).</w:t>
      </w:r>
    </w:p>
    <w:p>
      <w:r/>
      <w:hyperlink r:id="rId2978">
        <w:r>
          <w:rPr>
            <w:color w:val="0000EE"/>
            <w:u w:val="single"/>
          </w:rPr>
          <w:t>Exode 24</w:t>
        </w:r>
      </w:hyperlink>
      <w:r>
        <w:t xml:space="preserve"> renouvelle l'alliance entre Dieu et Israël. Israël offre des sacrifices dont Moïse utilise le sang pour confirmer l'alliance. Ensuite, Dieu permet aux dirigeants d'Israël de voir une partie de sa gloire. Après cela, Moïse monte à nouveau sur la montagne où il reçoit : </w:t>
      </w:r>
    </w:p>
    <w:p>
      <w:pPr>
        <w:pStyle w:val="ListBullet"/>
        <w:spacing w:line="240" w:lineRule="auto"/>
        <w:ind w:left="720"/>
      </w:pPr>
      <w:r/>
      <w:r>
        <w:t>Deux tables de pierre sur lesquelles les commandements de Dieu sont écrits</w:t>
      </w:r>
    </w:p>
    <w:p>
      <w:pPr>
        <w:pStyle w:val="ListBullet"/>
        <w:spacing w:line="240" w:lineRule="auto"/>
        <w:ind w:left="720"/>
      </w:pPr>
      <w:r/>
      <w:r>
        <w:t>Des instructions pour construire le tabernacle</w:t>
      </w:r>
    </w:p>
    <w:p>
      <w:pPr>
        <w:pStyle w:val="ListBullet"/>
        <w:spacing w:line="240" w:lineRule="auto"/>
        <w:ind w:left="720"/>
      </w:pPr>
      <w:r/>
      <w:r>
        <w:t>Des règles concernant les sacrificateurs et l'adoration</w:t>
      </w:r>
    </w:p>
    <w:p>
      <w:pPr>
        <w:pStyle w:val="Heading4"/>
      </w:pPr>
      <w:r>
        <w:t>La présence de Dieu avec son peuple (</w:t>
      </w:r>
      <w:hyperlink r:id="rId5287">
        <w:r>
          <w:rPr>
            <w:color w:val="0000EE"/>
            <w:u w:val="single"/>
          </w:rPr>
          <w:t>Exode 25–40</w:t>
        </w:r>
      </w:hyperlink>
      <w:r>
        <w:t>)</w:t>
      </w:r>
    </w:p>
    <w:p>
      <w:r/>
      <w:r>
        <w:t>Alors que Dieu s'apprête à délivrer Israël des Égyptiens, il dit à Moïse : « Je vous prendrai pour mon peuple, je serai votre Dieu, et vous saurez que c’est moi, l’Éternel, votre Dieu, qui vous affranchis des travaux dont vous chargent les Égyptiens » (</w:t>
      </w:r>
      <w:hyperlink r:id="rId5240">
        <w:r>
          <w:rPr>
            <w:color w:val="0000EE"/>
            <w:u w:val="single"/>
          </w:rPr>
          <w:t>Ex 6.7</w:t>
        </w:r>
      </w:hyperlink>
      <w:r>
        <w:t xml:space="preserve">). Moïse voit Dieu réaliser cette promesse. Toutefois, pour pleinement l'accomplir, Dieu leur donne aussi ce commandement : « </w:t>
      </w:r>
      <w:r>
        <w:t>Ils me feront un sanctuaire, et j’habiterai au milieu d’eux</w:t>
      </w:r>
      <w:r>
        <w:t xml:space="preserve"> » (</w:t>
      </w:r>
      <w:hyperlink r:id="rId3153">
        <w:r>
          <w:rPr>
            <w:color w:val="0000EE"/>
            <w:u w:val="single"/>
          </w:rPr>
          <w:t>Ex 25.8</w:t>
        </w:r>
      </w:hyperlink>
      <w:r>
        <w:t>).</w:t>
      </w:r>
    </w:p>
    <w:p>
      <w:r/>
      <w:r>
        <w:t>Dieu pouvait désormais habiter parmi eux parce qu'ils étaient devenus son peuple et qu'ils avaient dit qu'ils suivraient ses instructions et obéiraient à ses commandements. Dieu demande au peuple, à tous ceux parmi eux qui souhaitaient donner, de fournir les matériaux pour la construction du tabernacle. Il donne des instructions précises à Moïse sur comment le construire, avec son mobilier. Dieu choisit deux hommes, Betsaleel et Oholiab pour ce travail. Il les remplit de son Esprit pour accomplir cette mission spéciale.</w:t>
      </w:r>
    </w:p>
    <w:p>
      <w:r/>
      <w:r>
        <w:t xml:space="preserve">Dieu choisit Aaron et ses fils pour être sacrificateurs à son service au tabernacle. Il explique comment certains sacrifices doivent être offerts et les règles concernant différentes offrandes, y compris un sacrifice annuel pour le pardon des péchés d'Israël (le Jour des Expiations). </w:t>
      </w:r>
    </w:p>
    <w:p>
      <w:r/>
      <w:r>
        <w:t>Les Israélites ont promis d'obéir à Dieu entièrement. Cependant, lorsque Moïse reste sur la montagne pendant 40 jours, ils s'impatientent. Ils demandent à Aaron de leur fabriquer une idole (une statue à adorer). Aaron accepte et fabrique un veau d'or. Les Israélites veulent s'en servir pour adorer comme les autres peuples qui adorent des faux dieux (</w:t>
      </w:r>
      <w:hyperlink r:id="rId5288">
        <w:r>
          <w:rPr>
            <w:color w:val="0000EE"/>
            <w:u w:val="single"/>
          </w:rPr>
          <w:t>Ex 32.4</w:t>
        </w:r>
      </w:hyperlink>
      <w:r>
        <w:t>).</w:t>
      </w:r>
    </w:p>
    <w:p>
      <w:r/>
      <w:r>
        <w:t>L'Éternel dit à Moïse ce que le peuple a fait. Il est tellement colère qu'il est prêt à tous les détruire et à se faire un nouveau peuple à partir des descendants de Moïse. Celui-ci le supplie de ne pas détruire le peuple et Dieu accepte. Moïse descend de la montagne et est lui aussi très en colère quand il voit le veau d'or. Le peuple est puni pour son terrible péché. Après cela, Moïse revient vers Dieu pour lui demander de pardonner le péché d'Israël (</w:t>
      </w:r>
      <w:hyperlink r:id="rId5289">
        <w:r>
          <w:rPr>
            <w:color w:val="0000EE"/>
            <w:u w:val="single"/>
          </w:rPr>
          <w:t>34.8–10</w:t>
        </w:r>
      </w:hyperlink>
      <w:r>
        <w:t xml:space="preserve">). </w:t>
      </w:r>
    </w:p>
    <w:p>
      <w:r/>
      <w:r>
        <w:t>En réponse aux prières de Moïse, Dieu renouvelle l'alliance avec le peuple (</w:t>
      </w:r>
      <w:hyperlink r:id="rId5290">
        <w:r>
          <w:rPr>
            <w:color w:val="0000EE"/>
            <w:u w:val="single"/>
          </w:rPr>
          <w:t>Ex 34.10</w:t>
        </w:r>
      </w:hyperlink>
      <w:r>
        <w:t>). Moïse passe 40 jours de plus avec Dieu et écrit les commandements sur de nouvelles tables de pierre. Celles-ci remplacent les premières, que Moïse a brisées lorsqu'il a vu le peuple adorer le veau d'or. Quand Moïse revient vers le peuple, son visage rayonne parce qu'il a été avec Dieu. Il doit le couvrir avec un voile car les Israélites ont peur de s'approcher de lui.</w:t>
      </w:r>
    </w:p>
    <w:p>
      <w:r/>
      <w:r>
        <w:t>Maintenant que Dieu a renouvelé son alliance avec Israël, le peuple peut commencer à construire le tabernacle. Le peuple apporte tellement de dons pour sa construction que Moïse doit leur demander d'arrêter.</w:t>
      </w:r>
    </w:p>
    <w:p>
      <w:r/>
      <w:r>
        <w:t>La construction du tabernacle est terminée. Moïse s'est assuré que tout a été fait selon l'ordre de l'Éternel. Le tabernacle est installé le premier jour du premier mois, presque un an après la première Pâque et la sortie d'Égypte. Les sacrificateurs commencent leur ministère, allument les lampes du tabernacle et offrent les premiers sacrifices.</w:t>
      </w:r>
    </w:p>
    <w:p>
      <w:r/>
      <w:r>
        <w:t>Un nuage descend et remplit le tabernacle. Dieu indique ainsi que c'est le lieu où il sera spécialement présent parmi son peuple. Il habite désormais parmi les Israélites, selon sa promesse. Ainsi se termine le livre de l'Exode.</w:t>
      </w:r>
    </w:p>
    <w:p>
      <w:r/>
      <w:r>
        <w:rPr>
          <w:i/>
        </w:rPr>
        <w:t>Voir aussi</w:t>
      </w:r>
      <w:r>
        <w:t xml:space="preserve"> </w:t>
      </w:r>
      <w:r>
        <w:t>chronologie de la Bible (Ancien Testament)</w:t>
      </w:r>
      <w:r>
        <w:t xml:space="preserve"> ; </w:t>
      </w:r>
      <w:r>
        <w:t>Égypte, Égyptien</w:t>
      </w:r>
      <w:r>
        <w:t xml:space="preserve"> ; </w:t>
      </w:r>
      <w:r>
        <w:t>exode (événement)</w:t>
      </w:r>
      <w:r>
        <w:t xml:space="preserve"> ; </w:t>
      </w:r>
      <w:r>
        <w:t>fêtes d'Israël</w:t>
      </w:r>
      <w:r>
        <w:t xml:space="preserve"> ; </w:t>
      </w:r>
      <w:r>
        <w:t>Israël (histoire)</w:t>
      </w:r>
      <w:r>
        <w:t xml:space="preserve"> ; </w:t>
      </w:r>
      <w:r>
        <w:t>Moïse</w:t>
      </w:r>
      <w:r>
        <w:t xml:space="preserve"> ; </w:t>
      </w:r>
      <w:r>
        <w:t>plaies sur l'Égypte</w:t>
      </w:r>
      <w:r>
        <w:t xml:space="preserve"> ; </w:t>
      </w:r>
      <w:r>
        <w:t>tabernacle</w:t>
      </w:r>
      <w:r>
        <w:t xml:space="preserve"> ; </w:t>
      </w:r>
      <w:r>
        <w:t>Temple</w:t>
      </w:r>
      <w:r>
        <w:t xml:space="preserve"> ; </w:t>
      </w:r>
      <w:r>
        <w:t>dix commandements</w:t>
      </w:r>
      <w:r>
        <w:t>.</w:t>
      </w:r>
      <w:r/>
      <w:r/>
    </w:p>
    <w:p>
      <w:r/>
    </w:p>
    <w:p>
      <w:pPr>
        <w:pStyle w:val="Heading2"/>
      </w:pPr>
      <w:r>
        <w:t>Exode, L'</w:t>
      </w:r>
      <w:r/>
    </w:p>
    <w:p>
      <w:r/>
      <w:r>
        <w:t>Le départ d'Israël d'Égypte, dirigé par Moïse. Il s'agira de l'un des événements les plus significatifs de l'histoire des Hébreux. Cet exode a été une démonstration unique de la puissance de Dieu en faveur de son peuple, qui travaillait dans des conditions de travail forcé pour les Égyptiens. Les circonstances dramatiques de cet exode ont été fréquemment mentionnées dans les périodes ultérieures de l'Ancien Testament. Lorsque les Hébreux étaient opprimés, ils se remémoraient ce grand événement historique et faisaient confiance à Dieu pour une future libération.</w:t>
      </w:r>
    </w:p>
    <w:p>
      <w:r/>
      <w:r>
        <w:t>La véracité historique de l'exode d'Égypte est, sans aucun doute, l'un des points historiques et religieux centraux de la tradition juive. Cependant, attribuer une date précise à cet événement est une tout autre affaire, en partie parce que certaines références scripturaires peuvent être interprétées de différentes manières, et en partie parce qu'il existe peu de preuves archéologiques d'Égypte qui éclairent la question. Étant donné le fait que les Égyptiens ignoraient régulièrement les défauts dans leurs archives et effaçaient les inscriptions appartenant à des compatriotes impopulaires, il est improbable que l'on obtienne un jour quelque chose qui s'approche d'un document littéraire égyptien relatif à l'Exode. Une grande partie des informations concernant la date de l'Exode relève donc d'inférences, ce qui présente aux historiens bibliques l'un des problèmes de chronologie les plus complexes.</w:t>
      </w:r>
    </w:p>
    <w:p>
      <w:pPr>
        <w:pStyle w:val="Heading3"/>
      </w:pPr>
      <w:r>
        <w:t>La Date de l'Exode</w:t>
      </w:r>
    </w:p>
    <w:p>
      <w:r/>
      <w:r>
        <w:t>Déterminer la date de l'Exode a longtemps été un problème pour les érudits bibliques. Au début du 20e siècle, de nombreux érudits, tant libéraux que conservateurs, ont placé la date vers la fin du 13e siècle av. J.‑C. Cependant, ils n'étaient pas tous d'accord pour dire que l'Exode était un événement unique. Certains croyaient que les Hébreux étaient entrés en Palestine à deux reprises à des moments très éloignés. Mais une telle vision ne tient pas compte du récit biblique.</w:t>
      </w:r>
    </w:p>
    <w:p>
      <w:r/>
      <w:r>
        <w:t xml:space="preserve">Selon </w:t>
      </w:r>
      <w:hyperlink r:id="rId2541">
        <w:r>
          <w:rPr>
            <w:color w:val="0000EE"/>
            <w:u w:val="single"/>
          </w:rPr>
          <w:t>Exode 12.40</w:t>
        </w:r>
      </w:hyperlink>
      <w:r>
        <w:t>, la durée pendant laquelle les descendants de Jacob ont résidé dans le pays d'Égypte était de 430 ans. Dieu avait déjà prédit cet intervalle de temps à Abram (</w:t>
      </w:r>
      <w:hyperlink r:id="rId2540">
        <w:r>
          <w:rPr>
            <w:color w:val="0000EE"/>
            <w:u w:val="single"/>
          </w:rPr>
          <w:t>Gn 15.13</w:t>
        </w:r>
      </w:hyperlink>
      <w:r>
        <w:t>). La prophétie de la Genèse, cependant, n'indiquait pas quand cette occupation commencerait.</w:t>
      </w:r>
    </w:p>
    <w:p>
      <w:r/>
      <w:r>
        <w:t>La Septante (la première traduction grecque de l'Ancien Testament), dans sa version d'</w:t>
      </w:r>
      <w:hyperlink r:id="rId2541">
        <w:r>
          <w:rPr>
            <w:color w:val="0000EE"/>
            <w:u w:val="single"/>
          </w:rPr>
          <w:t>Exode 12.40</w:t>
        </w:r>
      </w:hyperlink>
      <w:r>
        <w:t>, a réduit la période d'occupation en Égypte à 215 ans. Cela peut signifier que deux traditions de l'histoire de l'Exode existaient. Un séjour de quatre siècles peut avoir été calculé à partir de la période où un peuple asiatique connu sous le nom d'Hyksos a envahi l'Égypte (vers 1720 av. J.‑C.) et l'a gouvernée pendant environ un siècle et demi. La période de 215 ans préservée dans la Septante peut être l'intervalle de temps entre l'expulsion des Hyksos et l'Exode lui-même.</w:t>
      </w:r>
    </w:p>
    <w:p>
      <w:r/>
      <w:r>
        <w:t xml:space="preserve">Des informations plus spécifiques sur le premier monarque d'Israël, cependant, influencent l'époque où les Hébreux ont échappé à l'Égypte. </w:t>
      </w:r>
      <w:hyperlink r:id="rId2539">
        <w:r>
          <w:rPr>
            <w:color w:val="0000EE"/>
            <w:u w:val="single"/>
          </w:rPr>
          <w:t>1 Rois 6.1</w:t>
        </w:r>
      </w:hyperlink>
      <w:r>
        <w:t xml:space="preserve"> indique que Salomon a construit le temple à Jérusalem 480 ans après que les Israélites ont été conduits hors d'Égypte par Moïse. En prenant ce chiffre au pied de la lettre et en acceptant une date de 961 av. J.‑C. pour la référence à Salomon, l'Exode aurait eu lieu vers 1441 av. J.‑C. Sur la base de ces données bibliques, certains chercheurs plaident pour une date du 15e siècle av. J.‑C. pour l'Exode (le reliant au règne du Pharaon Aménophis II, vers 1450–1425 av. J.‑C.) indiquant ainsi également l'époque de l'oppression d'Israël. D'autres chercheurs sont tout aussi convaincus que l'Exode a eu lieu au 13e siècle av. J.‑C.</w:t>
      </w:r>
    </w:p>
    <w:p>
      <w:pPr>
        <w:pStyle w:val="Heading3"/>
      </w:pPr>
      <w:r>
        <w:t>Itinéraire de l'Exode</w:t>
      </w:r>
    </w:p>
    <w:p>
      <w:r/>
      <w:r>
        <w:t>Les données bibliques concernant l'itinéraire de l'Exode placent le début de la fuite à l'époque de Ramsès (</w:t>
      </w:r>
      <w:hyperlink r:id="rId5291">
        <w:r>
          <w:rPr>
            <w:color w:val="0000EE"/>
            <w:u w:val="single"/>
          </w:rPr>
          <w:t>Ex 12.37</w:t>
        </w:r>
      </w:hyperlink>
      <w:r>
        <w:t>). Ce lieu a été identifié avec Tanis par les premiers chercheurs, mais des travaux plus récents suggèrent Qantir, à environ 30 km au sud-ouest de Tanis, comme le site préféré. Il semble désormais certain que les monuments à Tanis, apparemment érigés par Ramsès, ont été mal compris. Aucun de ces monuments ne semble avoir été originaire de Tanis, mais y ont été amenés par des rois ultérieurs qui les ont réutilisés. Ainsi, la preuve principale pour identifier Tanis avec Ramsès s'est avérée trompeuse. Les fouilles à Qantir, en revanche, ont révélé des indications de palais, temples et maisons, tous d'origine locale. De telles preuves suggèrent que Qantir, et non Tanis, était le Ramsès d'où l'Exode a débuté. De plus, Ramsès, contrairement à Tanis, était situé à côté d'un plan d'eau (les « Eaux de Ré » mentionnées dans les sources égyptiennes), ce qui correspond à nouveau au récit biblique.</w:t>
      </w:r>
    </w:p>
    <w:p>
      <w:r/>
      <w:r>
        <w:t>De Ramsès, les Israélites se sont déplacés vers Succoth (</w:t>
      </w:r>
      <w:hyperlink r:id="rId5292">
        <w:r>
          <w:rPr>
            <w:color w:val="0000EE"/>
            <w:u w:val="single"/>
          </w:rPr>
          <w:t>Nb 33.5</w:t>
        </w:r>
      </w:hyperlink>
      <w:r>
        <w:t>), généralement identifié avec Tell el-Maskhuta, une fortification dans la région orientale du Wadi Tumeilat, à l'ouest des Lacs Amers. De Succoth, ils ont voyagé vers Étham (</w:t>
      </w:r>
      <w:hyperlink r:id="rId5293">
        <w:r>
          <w:rPr>
            <w:color w:val="0000EE"/>
            <w:u w:val="single"/>
          </w:rPr>
          <w:t>Ex 13.20</w:t>
        </w:r>
      </w:hyperlink>
      <w:r>
        <w:t xml:space="preserve">), qui était à la frontière du désert de Schur. Les Hébreux ont ensuite reçu l'instruction de retourner vers le nord-ouest afin que la scène soit prête pour les événements de l'Exode proprement dit. En conséquence, ils ont campé entre Migdol et la « mer », près de deux sites appelés Pi-hahiroth et Baal-Tsephon. Pi-hahiroth pourrait avoir été un lac, les « Hi-eaux », mentionnés dans des documents égyptiens. Baal-Tsephon a été identifié avec le plus tardif Tachpanès (Tell Defenneh) près de Qantara. Les deux identifications manquent de certitude, mais ces lieux étaient probablement situés dans la partie nord-est de la région du delta du Nil près du lac Menzaleh. La « mer » était un lac de roseaux de papyrus, décrit dans </w:t>
      </w:r>
      <w:hyperlink r:id="rId5294">
        <w:r>
          <w:rPr>
            <w:color w:val="0000EE"/>
            <w:u w:val="single"/>
          </w:rPr>
          <w:t>Exode 15.22</w:t>
        </w:r>
      </w:hyperlink>
      <w:r>
        <w:t xml:space="preserve"> comme la « mer des Roseaux » (NFC), l'équivalent français d'une phrase égyptienne signifiant « marais de papyrus ». Dans plusieurs traductions françaises et notamment la LSG, l'hébreu pour « mer des Roseaux » a été rendu par « mer Rouge ».</w:t>
      </w:r>
    </w:p>
    <w:p>
      <w:r/>
      <w:r>
        <w:t>Des sources du 13e siècle av. J.‑C. mentionnent l'existence d'un grand marais de papyrus dans la région de Ramsès, qui pourrait être celui mentionné dans les Écritures. D'autres suggestions assimilent la « mer des Roseaux » à l'extension sud-est du lac Menzaleh, ou à un plan d'eau juste au sud, peut-être le lac Ballah, tous relativement proches les uns des autres. La topographie ne peut jamais être déterminée avec une précision complète, car la construction du canal de Suez a asséché une série de lacs et de marais, dont la « mer des Roseaux » faisait peut-être partie.</w:t>
      </w:r>
    </w:p>
    <w:p>
      <w:r/>
      <w:r>
        <w:t>Au camp de Migdol, les Hébreux furent rattrapés par les Égyptiens poursuivants et semblaient désespérément piégés. Puis le Seigneur accomplit l'un des plus grands miracles de l'histoire. Il empêchera d'abord les Égyptiens de rencontrer les Hébreux cette nuit-là au moyen d'une colonne de nuée (</w:t>
      </w:r>
      <w:hyperlink r:id="rId2869">
        <w:r>
          <w:rPr>
            <w:color w:val="0000EE"/>
            <w:u w:val="single"/>
          </w:rPr>
          <w:t>Ex 14.19–20</w:t>
        </w:r>
      </w:hyperlink>
      <w:r>
        <w:t>). Moïse lèvera sa verge au-dessus de la mer des roseaux, et un fort vent d'est soufflera sur l'eau toute la nuit. Au matin, une bande du fond de la mer avait été exposée et asséchée, permettant aux Israélites de s'enfuir à travers elle. Lorsque les Égyptiens poursuivront leurs anciens esclaves, Moïse lèvera de nouveau sa verge, le vent cessera, et les eaux reviendront à leur niveau normal, piégeant les chars et soldats égyptiens et causant de lourdes pertes. Un chant de victoire (</w:t>
      </w:r>
      <w:hyperlink r:id="rId5295">
        <w:r>
          <w:rPr>
            <w:color w:val="0000EE"/>
            <w:u w:val="single"/>
          </w:rPr>
          <w:t>Ex 15.1–21</w:t>
        </w:r>
      </w:hyperlink>
      <w:r>
        <w:t>), typique des coutumes de guerre de l'ancien Proche-Orient, sera la réponse immédiate des captifs libérés à Dieu.</w:t>
      </w:r>
    </w:p>
    <w:p>
      <w:r/>
      <w:r>
        <w:t>La séparation des eaux est un phénomène observé périodiquement dans diverses régions du monde. Elle se produit toujours de la même manière et implique un vent fort déplaçant une masse d'eau. Les lacs peu profonds, les rivières ou les marais se séparent facilement dans de telles conditions. La référence scripturaire au vent d'orient indique que Dieu a miraculeusement utilisé ce phénomène naturel pour sauver son peuple.</w:t>
      </w:r>
    </w:p>
    <w:p>
      <w:r/>
      <w:r>
        <w:t>Après avoir échappé avec succès aux Égyptiens, les Hébreux se rendent dans le désert de Schur, à trois jours de voyage des eaux amères de Mara (</w:t>
      </w:r>
      <w:hyperlink r:id="rId5296">
        <w:r>
          <w:rPr>
            <w:color w:val="0000EE"/>
            <w:u w:val="single"/>
          </w:rPr>
          <w:t>Ex 15.22–25</w:t>
        </w:r>
      </w:hyperlink>
      <w:r>
        <w:t xml:space="preserve">). Dans </w:t>
      </w:r>
      <w:hyperlink r:id="rId5297">
        <w:r>
          <w:rPr>
            <w:color w:val="0000EE"/>
            <w:u w:val="single"/>
          </w:rPr>
          <w:t>Nombres 33.8</w:t>
        </w:r>
      </w:hyperlink>
      <w:r>
        <w:t>, le désert de Schur est identifié avec Étham, que les Israélites avaient déjà quitté. Il semble donc qu'ils se soient déplacés vers le nord depuis Migdol, après quoi ils se sont de nouveau dirigés vers le sud vers le désert dans la région d'Étham. Les Israélites ne pouvaient pas entrer dans la péninsule du Sinaï par les routes normales, qui étaient gardées par des forteresses égyptiennes. De plus, il leur avait été ordonné de ne pas emprunter la route vers le nord menant à la « voie du pays des Philistins » (</w:t>
      </w:r>
      <w:hyperlink r:id="rId5298">
        <w:r>
          <w:rPr>
            <w:color w:val="0000EE"/>
            <w:u w:val="single"/>
          </w:rPr>
          <w:t>Ex 13.17</w:t>
        </w:r>
      </w:hyperlink>
      <w:r>
        <w:t xml:space="preserve">) vers Canaan. Par conséquent, le meilleur moyen de satisfaire ces deux conditions était de se déplacer vers le sud-est vers le Sinaï aussi discrètement que possible, en prenant soin d'éviter les routes d'accès à Serabit el-Khadem dans la région centrale de la péninsule, où les Égyptiens exploitaient le turquoise et le cuivre. Les récits de </w:t>
      </w:r>
      <w:hyperlink r:id="rId5299">
        <w:r>
          <w:rPr>
            <w:color w:val="0000EE"/>
            <w:u w:val="single"/>
          </w:rPr>
          <w:t>Nombres 33.9–15</w:t>
        </w:r>
      </w:hyperlink>
      <w:r>
        <w:t xml:space="preserve"> montrent que les camps israélites étaient situés dans une zone au sud de la « mer des roseaux », prouvant que les réfugiés n'avaient pas pris la route nord, ou « Philistine ».</w:t>
      </w:r>
    </w:p>
    <w:p>
      <w:pPr>
        <w:pStyle w:val="Heading3"/>
      </w:pPr>
      <w:r>
        <w:t>Le thème de l'Exode dans les Écritures</w:t>
      </w:r>
    </w:p>
    <w:p>
      <w:pPr>
        <w:pStyle w:val="Heading4"/>
      </w:pPr>
      <w:r>
        <w:t>Ancien Testament</w:t>
      </w:r>
    </w:p>
    <w:p>
      <w:r/>
      <w:r>
        <w:t>Le motif de la délivrance de la captivité en Égypte s'est gravé de manière indélébile dans l'esprit hébreu, d'autant plus qu'il était renforcé chaque année par la célébration du repas de la Pâque (</w:t>
      </w:r>
      <w:hyperlink r:id="rId5300">
        <w:r>
          <w:rPr>
            <w:color w:val="0000EE"/>
            <w:u w:val="single"/>
          </w:rPr>
          <w:t>Ex 12.12–14</w:t>
        </w:r>
      </w:hyperlink>
      <w:r>
        <w:t>). À chaque célébration par la suite, les Hébreux prenaient conscience qu'ils avaient autrefois été captifs, mais par la provision et la puissance de Dieu, ils étaient désormais un peuple libre, une nation élue et un sacerdoce saint (</w:t>
      </w:r>
      <w:hyperlink r:id="rId5301">
        <w:r>
          <w:rPr>
            <w:color w:val="0000EE"/>
            <w:u w:val="single"/>
          </w:rPr>
          <w:t>Dt 26.19</w:t>
        </w:r>
      </w:hyperlink>
      <w:r>
        <w:t>).</w:t>
      </w:r>
    </w:p>
    <w:p>
      <w:r/>
      <w:r>
        <w:t>À des périodes ultérieures, des psaumes ont été écrits relatant l'histoire d'Israël à la lumière du grand événement libérateur de l'Exode (</w:t>
      </w:r>
      <w:hyperlink r:id="rId5302">
        <w:r>
          <w:rPr>
            <w:color w:val="0000EE"/>
            <w:u w:val="single"/>
          </w:rPr>
          <w:t>Ps 105</w:t>
        </w:r>
      </w:hyperlink>
      <w:r>
        <w:t xml:space="preserve"> ; </w:t>
      </w:r>
      <w:hyperlink r:id="rId5303">
        <w:r>
          <w:rPr>
            <w:color w:val="0000EE"/>
            <w:u w:val="single"/>
          </w:rPr>
          <w:t>106</w:t>
        </w:r>
      </w:hyperlink>
      <w:r>
        <w:t xml:space="preserve"> ; </w:t>
      </w:r>
      <w:hyperlink r:id="rId5304">
        <w:r>
          <w:rPr>
            <w:color w:val="0000EE"/>
            <w:u w:val="single"/>
          </w:rPr>
          <w:t>114</w:t>
        </w:r>
      </w:hyperlink>
      <w:r>
        <w:t xml:space="preserve"> ; </w:t>
      </w:r>
      <w:hyperlink r:id="rId5305">
        <w:r>
          <w:rPr>
            <w:color w:val="0000EE"/>
            <w:u w:val="single"/>
          </w:rPr>
          <w:t>136</w:t>
        </w:r>
      </w:hyperlink>
      <w:r>
        <w:t>). Ces compositions résonnent de triomphe et de reconnaissance. Les récits hébreux de la servitude en Égypte dépeignent les conditions de vie ardues, l'oppression et le travail acharné. Il est maintenant connu qu'il y avait un certain nombre de groupes étrangers en Égypte à l'époque, et que la punition corporelle subie par les Hébreux était une caractéristique normale de la vie quotidienne égyptienne. En bref, il n'y avait pas de discrimination contre les Hébreux en tant que groupe ; au contraire, ils jouissaient de la distinction d'être traités comme des travailleurs égyptiens ordinaires. Par la suite, lors de moments d'oppression, les Hébreux pouvaient se remémorer le grand miracle de l'Exode et croire que ce que Dieu avait fait une fois, il pouvait le refaire. Cela était d'un grand réconfort pour les fidèles exilés pleurant près des eaux de Babylone (</w:t>
      </w:r>
      <w:hyperlink r:id="rId5306">
        <w:r>
          <w:rPr>
            <w:color w:val="0000EE"/>
            <w:u w:val="single"/>
          </w:rPr>
          <w:t>Ps 137.1</w:t>
        </w:r>
      </w:hyperlink>
      <w:r>
        <w:t xml:space="preserve">) alors qu'ils espéraient un autre exode lorsque Dieu les conduirait en triomphe d'une Babylone détruite (v. </w:t>
      </w:r>
      <w:hyperlink r:id="rId5307">
        <w:r>
          <w:rPr>
            <w:color w:val="0000EE"/>
            <w:u w:val="single"/>
          </w:rPr>
          <w:t>8</w:t>
        </w:r>
      </w:hyperlink>
      <w:r>
        <w:t>) de retour en Palestine.</w:t>
      </w:r>
    </w:p>
    <w:p>
      <w:pPr>
        <w:pStyle w:val="Heading4"/>
      </w:pPr>
      <w:r>
        <w:t>Nouveau Testament</w:t>
      </w:r>
    </w:p>
    <w:p>
      <w:r/>
      <w:r>
        <w:t>L'œuvre puissante de Dieu au moment de l'Exode a été rappelée à quelques occasions par les écrivains du Nouveau Testament, même si Christ avait déjà été sacrifié comme « notre agneau pascal » (</w:t>
      </w:r>
      <w:hyperlink r:id="rId2595">
        <w:r>
          <w:rPr>
            <w:color w:val="0000EE"/>
            <w:u w:val="single"/>
          </w:rPr>
          <w:t>1Co 5.7</w:t>
        </w:r>
      </w:hyperlink>
      <w:r>
        <w:t>, NFC) à ce moment-là. Dans son discours devant le Conseil de Jérusalem, Étienne a donné un récit traditionnel de l'histoire de l'Ancien Testament, mentionnant l'événement de la mer Rouge (</w:t>
      </w:r>
      <w:hyperlink r:id="rId3410">
        <w:r>
          <w:rPr>
            <w:color w:val="0000EE"/>
            <w:u w:val="single"/>
          </w:rPr>
          <w:t>Ac 7.36</w:t>
        </w:r>
      </w:hyperlink>
      <w:r>
        <w:t>) comme partie d'une démonstration de la puissance du Dieu qui peut changer le cours de l'histoire humaine. L'apôtre Paul a utilisé l'expérience de l'Exode pour rappeler à ses auditeurs que beaucoup de ceux qui ont été délivrés de l'oppression à cette époque n'ont jamais atteint la Terre Promise (</w:t>
      </w:r>
      <w:hyperlink r:id="rId5308">
        <w:r>
          <w:rPr>
            <w:color w:val="0000EE"/>
            <w:u w:val="single"/>
          </w:rPr>
          <w:t>1Co 10.1–5</w:t>
        </w:r>
      </w:hyperlink>
      <w:r>
        <w:t>). Au lieu de se consacrer entièrement à Dieu dans la confiance et l'obéissance, les Israélites ont succombé à des tentations de divers types dans le désert. Ainsi, Paul a souligné que puisqu'il est possible pour les chrétiens de devenir des naufragés (</w:t>
      </w:r>
      <w:hyperlink r:id="rId5309">
        <w:r>
          <w:rPr>
            <w:color w:val="0000EE"/>
            <w:u w:val="single"/>
          </w:rPr>
          <w:t>9.27</w:t>
        </w:r>
      </w:hyperlink>
      <w:r>
        <w:t xml:space="preserve">), ils devraient s'accrocher à Christ, le Rocher, et prendre leurs responsabilités spirituelles au sérieux. Dans </w:t>
      </w:r>
      <w:hyperlink r:id="rId5310">
        <w:r>
          <w:rPr>
            <w:color w:val="0000EE"/>
            <w:u w:val="single"/>
          </w:rPr>
          <w:t>Hébreux 11.27–29</w:t>
        </w:r>
      </w:hyperlink>
      <w:r>
        <w:t>, un autre récit historique énumère les héros de la foi, mentionnant particulièrement Moïse et son rôle lors de l'Exode.</w:t>
      </w:r>
    </w:p>
    <w:p>
      <w:r/>
      <w:r>
        <w:rPr>
          <w:i/>
        </w:rPr>
        <w:t>Voir aussi</w:t>
      </w:r>
      <w:r>
        <w:t xml:space="preserve"> </w:t>
      </w:r>
      <w:r>
        <w:t>Exode, Livre de l'</w:t>
      </w:r>
      <w:r>
        <w:t>.</w:t>
      </w:r>
      <w:r/>
      <w:r/>
    </w:p>
    <w:p>
      <w:r/>
    </w:p>
    <w:p>
      <w:pPr>
        <w:pStyle w:val="Heading2"/>
      </w:pPr>
      <w:r>
        <w:t>Exorcisme, Exorciste</w:t>
      </w:r>
      <w:r/>
    </w:p>
    <w:p>
      <w:r/>
      <w:r>
        <w:t>Un exorcisme est la pratique qui consiste à chasser les démons et les esprits maléfiques. Un exorciste est une personne qui effectue un exorcisme.</w:t>
      </w:r>
    </w:p>
    <w:p>
      <w:r/>
      <w:r>
        <w:t xml:space="preserve">Beaucoup de gens au Proche-Orient Ancien prétendaient pouvoir chasser ou contrôler les démons. Certains des miracles de Jésus relatés dans les Évangiles sont des exorcismes. Mais </w:t>
      </w:r>
      <w:hyperlink r:id="rId5311">
        <w:r>
          <w:rPr>
            <w:color w:val="0000EE"/>
            <w:u w:val="single"/>
          </w:rPr>
          <w:t>Actes 19.13</w:t>
        </w:r>
      </w:hyperlink>
      <w:r>
        <w:t xml:space="preserve"> est la seule autre référence biblique à l'exorcisme parmi les Juifs. Cependant, dans </w:t>
      </w:r>
      <w:hyperlink r:id="rId5312">
        <w:r>
          <w:rPr>
            <w:color w:val="0000EE"/>
            <w:u w:val="single"/>
          </w:rPr>
          <w:t>1 Samuel 16.14–23</w:t>
        </w:r>
      </w:hyperlink>
      <w:r>
        <w:t>, David agit comme un exorciste lorsqu'il jouait de sa harpe pour chasser un esprit mauvais du roi Saül.</w:t>
      </w:r>
    </w:p>
    <w:p>
      <w:r/>
      <w:r>
        <w:rPr>
          <w:i/>
        </w:rPr>
        <w:t>Voir aussi</w:t>
      </w:r>
      <w:r>
        <w:t xml:space="preserve"> </w:t>
      </w:r>
      <w:r>
        <w:t>Démon</w:t>
      </w:r>
      <w:r>
        <w:t xml:space="preserve"> ; </w:t>
      </w:r>
      <w:r>
        <w:t>Possession démoniaque</w:t>
      </w:r>
      <w:r>
        <w:t>.</w:t>
      </w:r>
      <w:r/>
      <w:r/>
    </w:p>
    <w:p>
      <w:r/>
    </w:p>
    <w:p>
      <w:pPr>
        <w:pStyle w:val="Heading2"/>
      </w:pPr>
      <w:r>
        <w:t>Ézéchiel, Livre de</w:t>
      </w:r>
      <w:r/>
    </w:p>
    <w:p>
      <w:r/>
      <w:r>
        <w:t>Livre prophétique de l'Ancien Testament, datant de l'époque de l'exil babylonien.</w:t>
      </w:r>
    </w:p>
    <w:p>
      <w:r/>
      <w:r>
        <w:t>Vue d'ensemble</w:t>
      </w:r>
    </w:p>
    <w:p>
      <w:r/>
      <w:r>
        <w:rPr>
          <w:b/>
        </w:rPr>
        <w:t xml:space="preserve">• </w:t>
      </w:r>
      <w:r>
        <w:rPr>
          <w:b/>
          <w:u w:val="single"/>
        </w:rPr>
        <w:t>Auteur</w:t>
      </w:r>
    </w:p>
    <w:p>
      <w:r/>
      <w:r>
        <w:rPr>
          <w:b/>
        </w:rPr>
        <w:t xml:space="preserve">• </w:t>
      </w:r>
      <w:r>
        <w:rPr>
          <w:b/>
          <w:u w:val="single"/>
        </w:rPr>
        <w:t>Date et contexte</w:t>
      </w:r>
    </w:p>
    <w:p>
      <w:r/>
      <w:r>
        <w:rPr>
          <w:b/>
        </w:rPr>
        <w:t xml:space="preserve">• </w:t>
      </w:r>
      <w:r>
        <w:rPr>
          <w:b/>
          <w:u w:val="single"/>
        </w:rPr>
        <w:t>Sommaire</w:t>
      </w:r>
    </w:p>
    <w:p>
      <w:pPr>
        <w:pStyle w:val="Heading3"/>
      </w:pPr>
      <w:r>
        <w:t>Auteur</w:t>
      </w:r>
    </w:p>
    <w:p>
      <w:r/>
      <w:r>
        <w:t>Ézéchiel était le fils de Buzi (</w:t>
      </w:r>
      <w:hyperlink r:id="rId5313">
        <w:r>
          <w:rPr>
            <w:color w:val="0000EE"/>
            <w:u w:val="single"/>
          </w:rPr>
          <w:t>1.3</w:t>
        </w:r>
      </w:hyperlink>
      <w:r>
        <w:t xml:space="preserve">), membre d'une famille sacerdotale. Il n'est pas clair s'il a réellement servi dans le temple en tant que prêtre, mais telle était sa formation. Ses écrits montrent qu'il connaissait les règlements pour les sacrifices, les rituels et les attentes du peuple envers un prêtre. En exil, Ézéchiel le prêtre a prononcé la parole de Dieu concernant l'avenir du temple à ses compagnons exilés. Installés à Thel-Abib, sur le canal de Kebar, les milliers de déportés menaient une existence précaire. Ils espéraient un retour rapide en Juda et un revirement favorable de la conjecture internationale. Leur espoir était attisé par la prédication enthousiaste de faux prophètes, comparés par Ézéchiel à des </w:t>
      </w:r>
      <w:r>
        <w:t>renards au milieu des ruines</w:t>
      </w:r>
      <w:r>
        <w:t xml:space="preserve"> (</w:t>
      </w:r>
      <w:hyperlink r:id="rId5314">
        <w:r>
          <w:rPr>
            <w:color w:val="0000EE"/>
            <w:u w:val="single"/>
          </w:rPr>
          <w:t>13.4</w:t>
        </w:r>
      </w:hyperlink>
      <w:r>
        <w:t xml:space="preserve">). Ils disaient pieusement : « </w:t>
      </w:r>
      <w:r>
        <w:t>L’Éternel a dit</w:t>
      </w:r>
      <w:r>
        <w:t xml:space="preserve">... », mais leur mandat ne venait en réalité que d'eux-mêmes (v. </w:t>
      </w:r>
      <w:hyperlink r:id="rId5315">
        <w:r>
          <w:rPr>
            <w:color w:val="0000EE"/>
            <w:u w:val="single"/>
          </w:rPr>
          <w:t>6</w:t>
        </w:r>
      </w:hyperlink>
      <w:r>
        <w:t xml:space="preserve">). Ils trompaient le peuple avec un message de paix à un moment où le jugement de Dieu était sur le point d'être déversé sur son peuple (v. </w:t>
      </w:r>
      <w:hyperlink r:id="rId5316">
        <w:r>
          <w:rPr>
            <w:color w:val="0000EE"/>
            <w:u w:val="single"/>
          </w:rPr>
          <w:t>10</w:t>
        </w:r>
      </w:hyperlink>
      <w:r>
        <w:t xml:space="preserve">). Ils avaient amené le peuple à se méfier de la prophétie à tel point qu'un proverbe circulait parmi le peuple, disant que « </w:t>
      </w:r>
      <w:r>
        <w:t>Les jours se prolongent, Et toutes les visions restent sans effet</w:t>
      </w:r>
      <w:r>
        <w:t xml:space="preserve"> » (</w:t>
      </w:r>
      <w:hyperlink r:id="rId5317">
        <w:r>
          <w:rPr>
            <w:color w:val="0000EE"/>
            <w:u w:val="single"/>
          </w:rPr>
          <w:t>12.22</w:t>
        </w:r>
      </w:hyperlink>
      <w:r>
        <w:t xml:space="preserve">). Beaucoup de temps s'était écoulé depuis que des visions du jugement de Dieu avaient été données au peuple, et rien ne pouvait être interprété comme un accomplissement de ces visions. Ézéchiel a été appelé à servir sa communauté par des actes symboliques, des visions et des messages verbaux afin de convaincre le peuple que le jugement de Dieu était imminent (v. </w:t>
      </w:r>
      <w:hyperlink r:id="rId5318">
        <w:r>
          <w:rPr>
            <w:color w:val="0000EE"/>
            <w:u w:val="single"/>
          </w:rPr>
          <w:t>23</w:t>
        </w:r>
      </w:hyperlink>
      <w:r>
        <w:t>).</w:t>
      </w:r>
    </w:p>
    <w:p>
      <w:pPr>
        <w:pStyle w:val="Heading3"/>
      </w:pPr>
      <w:r>
        <w:t>Date et contexte</w:t>
      </w:r>
    </w:p>
    <w:p>
      <w:r/>
      <w:r>
        <w:t xml:space="preserve">Le ministère du prophète Ézéchiel peut être mieux compris dans le contexte de son époque. Si, comme le croyait le Père de l'Église Origène, « </w:t>
      </w:r>
      <w:r>
        <w:t>La trentième année</w:t>
      </w:r>
      <w:r>
        <w:t xml:space="preserve"> » (</w:t>
      </w:r>
      <w:hyperlink r:id="rId5319">
        <w:r>
          <w:rPr>
            <w:color w:val="0000EE"/>
            <w:u w:val="single"/>
          </w:rPr>
          <w:t>1.1</w:t>
        </w:r>
      </w:hyperlink>
      <w:r>
        <w:t xml:space="preserve"> ; une référence bien vague) marque l'âge du prophète au moment de sa première vision, Ézéchiel est né sous le règne du roi Josias de Juda (env. 640–609 av. J.‑C.). Josias était le petit-fils du roi Manassé, dont les actes sacrilèges avaient attiré le jugement de Dieu sur le royaume de Juda (</w:t>
      </w:r>
      <w:hyperlink r:id="rId5320">
        <w:r>
          <w:rPr>
            <w:color w:val="0000EE"/>
            <w:u w:val="single"/>
          </w:rPr>
          <w:t>2R 21.10–15</w:t>
        </w:r>
      </w:hyperlink>
      <w:r>
        <w:t>).</w:t>
      </w:r>
    </w:p>
    <w:p>
      <w:r/>
      <w:r>
        <w:t>Bien que la situation politique de Juda était périlleuse, Josias a conduit une réforme radicale au sein de la nation. Celle-ci a commencé avec la découverte du « livre de la loi » (</w:t>
      </w:r>
      <w:hyperlink r:id="rId5321">
        <w:r>
          <w:rPr>
            <w:color w:val="0000EE"/>
            <w:u w:val="single"/>
          </w:rPr>
          <w:t>2R 22</w:t>
        </w:r>
      </w:hyperlink>
      <w:r>
        <w:t>) l'année de la naissance d'Ézéchiel (env. 621 av. J.‑C.). L'idolâtrie a été abolie et le peuple s'est tourné de nouveau vers Dieu, mais le jugement de Dieu sur Juda était immuable (</w:t>
      </w:r>
      <w:hyperlink r:id="rId5322">
        <w:r>
          <w:rPr>
            <w:color w:val="0000EE"/>
            <w:u w:val="single"/>
          </w:rPr>
          <w:t>23.26–27</w:t>
        </w:r>
      </w:hyperlink>
      <w:r>
        <w:t xml:space="preserve">). Josias a fait l'erreur de tenter de faire de Juda un royaume avec lequel d'autres États devaient compter. Il s'est senti menacé lorsque le Pharaon égyptien Néco a traversé Juda en route pour aider le royaume assyrien affaibli. Josias a marché pour rencontrer les forces égyptiennes, mais ses troupes n'ont pas pu résister aux Égyptiens, et il est mort au combat (v. </w:t>
      </w:r>
      <w:hyperlink r:id="rId5323">
        <w:r>
          <w:rPr>
            <w:color w:val="0000EE"/>
            <w:u w:val="single"/>
          </w:rPr>
          <w:t>29</w:t>
        </w:r>
      </w:hyperlink>
      <w:r>
        <w:t>). L'Égypte a alors pris le contrôle de Juda, et le Pharaon Néco a placé Jojakim au pouvoir sur Jérusalem. Cependant, le contrôle égyptien ne durera pas longtemps, car en 605 av. J.‑C., l'Égypte et l'Assyrie seront vaincues par le roi de Babylone, Nebucadnetsar, à Carkemisch. Les Babyloniens poussent ensuite vers le sud jusqu'à Jérusalem, et c'est alors qu'aura lieu la première déportation des dirigeants judéens (incluant le prophète Daniel).</w:t>
      </w:r>
    </w:p>
    <w:p>
      <w:r/>
      <w:r>
        <w:t>Jojakim sera autorisé à continuer de régner sur Juda en tant que roi vassal de Nebucadnetsar. Cependant, ses relations avec l'Égypte attirent la colère de l'empereur sur lui. Avant que les Babyloniens ne puissent s'occuper de la situation judéenne, Jojakim meurt et son fils Jojakin est couronné. Lorsque les forces babyloniennes arrivent aux portes de Jérusalem, Jojakin et des milliers de membres de l'aristocratie seront emmenés à Babylone (</w:t>
      </w:r>
      <w:hyperlink r:id="rId5324">
        <w:r>
          <w:rPr>
            <w:color w:val="0000EE"/>
            <w:u w:val="single"/>
          </w:rPr>
          <w:t>2R 24.10–17</w:t>
        </w:r>
      </w:hyperlink>
      <w:r>
        <w:t>). Parmi ces déportés se trouvait Ézéchiel, alors âgé d'environ 25 ans.</w:t>
      </w:r>
    </w:p>
    <w:p>
      <w:r/>
      <w:r>
        <w:t>Bien que le livre affirme le contraire, de nombreux experts pensent qu'Ézéchiel a vécu et enseigné en Juda pendant le siège et la chute de Jérusalem (586 av. J.‑C.). Ils déduisent cela de la familiarité d'Ézéchiel avec l'idolâtrie dans le temple et de ses descriptions vivantes des derniers jours de Jérusalem (</w:t>
      </w:r>
      <w:hyperlink r:id="rId5325">
        <w:r>
          <w:rPr>
            <w:color w:val="0000EE"/>
            <w:u w:val="single"/>
          </w:rPr>
          <w:t>Ez 8.11</w:t>
        </w:r>
      </w:hyperlink>
      <w:r>
        <w:t xml:space="preserve">). D'autres croient qu'Ézéchiel a servi à la fois la communauté exilée et les Judéens vivant en Juda. Aucune interprétation ne rend pleinement compte des affirmations du livre lui-même. Ézéchiel a été exilé en 597 av. J.‑C. Il a été appelé à apporter la parole de Dieu aux déportés à Thel-Abib ; il a reçu une vision des pratiques horribles dans la cour du temple ; et il était familier avec Jérusalem et Juda pour y avoir vécu, aidé qui plus est par les rapports concernant les affaires de Jérusalem parvenant aux exilés par des messagers. Jérémie, contemporain d'Ézéchiel, prophétisait à Jérusalem, mais il n'y a aucune preuve que Jérémie et Ézéchiel étaient conscients du ministère de l'autre. Si Ézéchiel avait apporté la parole de Dieu à Jérusalem pendant le siège, une référence à Jérémie pourrait apparaître dans ses écrits. Si Jérémie avait été soutenu par le ministère d'Ézéchiel à Jérusalem, il aurait probablement inclus une référence positive à son collègue dans son livre. Le livre d'Ézéchiel dit clairement que ce dernier a vécu et prêché en exil (voir </w:t>
      </w:r>
      <w:hyperlink r:id="rId5326">
        <w:r>
          <w:rPr>
            <w:color w:val="0000EE"/>
            <w:u w:val="single"/>
          </w:rPr>
          <w:t>1.1–3</w:t>
        </w:r>
      </w:hyperlink>
      <w:r>
        <w:t xml:space="preserve"> ; </w:t>
      </w:r>
      <w:hyperlink r:id="rId5327">
        <w:r>
          <w:rPr>
            <w:color w:val="0000EE"/>
            <w:u w:val="single"/>
          </w:rPr>
          <w:t>11.24–25</w:t>
        </w:r>
      </w:hyperlink>
      <w:r>
        <w:t>).</w:t>
      </w:r>
    </w:p>
    <w:p>
      <w:pPr>
        <w:pStyle w:val="Heading3"/>
      </w:pPr>
      <w:r>
        <w:t>Sommaire</w:t>
      </w:r>
    </w:p>
    <w:p>
      <w:r/>
      <w:r>
        <w:t xml:space="preserve">La prophétie d'Ézéchiel est facilement esquissée par sujet et par chronologie. La chronologie de la période permet une division avant et après 586 av. J.‑C. (la chute de Jérusalem). Les chapitres </w:t>
      </w:r>
      <w:hyperlink r:id="rId5328">
        <w:r>
          <w:rPr>
            <w:color w:val="0000EE"/>
            <w:u w:val="single"/>
          </w:rPr>
          <w:t>1–24</w:t>
        </w:r>
      </w:hyperlink>
      <w:r>
        <w:t xml:space="preserve"> concernent le ministère pré-586 d'Ézéchiel, tandis que les chapitres </w:t>
      </w:r>
      <w:hyperlink r:id="rId5329">
        <w:r>
          <w:rPr>
            <w:color w:val="0000EE"/>
            <w:u w:val="single"/>
          </w:rPr>
          <w:t>33–48</w:t>
        </w:r>
      </w:hyperlink>
      <w:r>
        <w:t xml:space="preserve"> font état de son ministère post-586. Les chapitres </w:t>
      </w:r>
      <w:hyperlink r:id="rId5018">
        <w:r>
          <w:rPr>
            <w:color w:val="0000EE"/>
            <w:u w:val="single"/>
          </w:rPr>
          <w:t>25–32</w:t>
        </w:r>
      </w:hyperlink>
      <w:r>
        <w:t xml:space="preserve"> (oracles contre les nations étrangères) servent de une transition entre les deux grandes sections du livre.</w:t>
      </w:r>
    </w:p>
    <w:p>
      <w:r/>
      <w:r>
        <w:t>Le plan du livre, selon les sujets, se divise en quatre parties : l'appel d'Ézéchiel (</w:t>
      </w:r>
      <w:hyperlink r:id="rId5330">
        <w:r>
          <w:rPr>
            <w:color w:val="0000EE"/>
            <w:u w:val="single"/>
          </w:rPr>
          <w:t>1.1–3.21</w:t>
        </w:r>
      </w:hyperlink>
      <w:r>
        <w:t>) ; les prophéties de jugement contre Israël (</w:t>
      </w:r>
      <w:hyperlink r:id="rId5331">
        <w:r>
          <w:rPr>
            <w:color w:val="0000EE"/>
            <w:u w:val="single"/>
          </w:rPr>
          <w:t>3.22–24.27</w:t>
        </w:r>
      </w:hyperlink>
      <w:r>
        <w:t>) ; les oracles contre les nations (</w:t>
      </w:r>
      <w:hyperlink r:id="rId5018">
        <w:r>
          <w:rPr>
            <w:color w:val="0000EE"/>
            <w:u w:val="single"/>
          </w:rPr>
          <w:t>25.1–32.32</w:t>
        </w:r>
      </w:hyperlink>
      <w:r>
        <w:t>) ; et la proclamation d'espérance (</w:t>
      </w:r>
      <w:hyperlink r:id="rId5329">
        <w:r>
          <w:rPr>
            <w:color w:val="0000EE"/>
            <w:u w:val="single"/>
          </w:rPr>
          <w:t>33.1–48.35</w:t>
        </w:r>
      </w:hyperlink>
      <w:r>
        <w:t>).</w:t>
      </w:r>
    </w:p>
    <w:p>
      <w:pPr>
        <w:pStyle w:val="Heading4"/>
      </w:pPr>
      <w:r>
        <w:t>L'Appel d'Ézéchiel (</w:t>
      </w:r>
      <w:hyperlink r:id="rId5330">
        <w:r>
          <w:rPr>
            <w:color w:val="0000EE"/>
            <w:u w:val="single"/>
          </w:rPr>
          <w:t>1.1–3.21</w:t>
        </w:r>
      </w:hyperlink>
      <w:r>
        <w:t>)</w:t>
      </w:r>
    </w:p>
    <w:p>
      <w:r/>
      <w:r>
        <w:t>L'appel du prophète était, d'une certaine manière, similaire à celui d'Ésaïe et de Jérémie. Ésaïe a reçu sa mission lors d'une vision de la gloire de Dieu dans le temple (</w:t>
      </w:r>
      <w:hyperlink r:id="rId932">
        <w:r>
          <w:rPr>
            <w:color w:val="0000EE"/>
            <w:u w:val="single"/>
          </w:rPr>
          <w:t>Es 6</w:t>
        </w:r>
      </w:hyperlink>
      <w:r>
        <w:t>). Jérémie a été appelé de manière inattendue dans sa jeunesse et a reçu des signes qui exposaient solennellement la nature de sa mission (</w:t>
      </w:r>
      <w:hyperlink r:id="rId5332">
        <w:r>
          <w:rPr>
            <w:color w:val="0000EE"/>
            <w:u w:val="single"/>
          </w:rPr>
          <w:t>Jr 1.11–15</w:t>
        </w:r>
      </w:hyperlink>
      <w:r>
        <w:t>). L'appel d'Ézéchiel combinait ces deux éléments. La révélation de la gloire de Dieu au prophète dévoilait en même temps la nature de sa mission. L'appel d'Ézéchiel contenait une description complète de la gloire de Dieu. Ésaïe a brièvement déclaré qu'il avait vu le Seigneur assis sur son trône, dans le temple. Il s'est concentré sur les séraphins qui représentaient et magnifiaient la gloire de Dieu. Ézéchiel a décrit plus encore la révélation de la gloire du Seigneur ainsi que sur les anges serviteurs qui précédaient le Seigneur en tant que membres de son cortège royal. La vision de la gloire de Dieu, bien que difficile à comprendre, est la clé du livre d'Ézéchiel.</w:t>
      </w:r>
    </w:p>
    <w:p>
      <w:r/>
      <w:r>
        <w:t xml:space="preserve">Ézéchiel le prêtre était préoccupé par l'avenir du temple. Ce lieu sacré avait été ordonné par Dieu comme sa demeure parmi son peuple. La gloire, la présence et la sainteté de Dieu étaient symbolisées dans le temple (voir </w:t>
      </w:r>
      <w:hyperlink r:id="rId2092">
        <w:r>
          <w:rPr>
            <w:color w:val="0000EE"/>
            <w:u w:val="single"/>
          </w:rPr>
          <w:t>1R 8.10–11</w:t>
        </w:r>
      </w:hyperlink>
      <w:r>
        <w:t>). En exil, Ézéchiel ne pouvait pas servir son peuple en tant que prêtre, car ils étaient loin de Jérusalem, la ville choisie par Dieu. Contre toute attente, le Seigneur s'est révélé à Ézéchiel dans le pays de Babylone. En appelant Ézéchiel à un ministère prophétique, Dieu a assuré à son serviteur qu'il n'avait pas abandonné son peuple, même s'ils avaient été bannis de la Terre promise.</w:t>
      </w:r>
    </w:p>
    <w:p>
      <w:r/>
      <w:r>
        <w:t xml:space="preserve">La vision du prophète commence par une tempête. Alors qu'un grand nuage approchait du nord, Ézéchiel voit une lumière entourant le nuage, quatre créatures et quatre roues. La combinaison des créatures et des roues suggère que le Seigneur est apparu dans un char. Le char de Dieu est une représentation familière dans l'Ancien Testament de sa venue pour le jugement (voir </w:t>
      </w:r>
      <w:hyperlink r:id="rId5333">
        <w:r>
          <w:rPr>
            <w:color w:val="0000EE"/>
            <w:u w:val="single"/>
          </w:rPr>
          <w:t>Es 66.15–16</w:t>
        </w:r>
      </w:hyperlink>
      <w:r>
        <w:t xml:space="preserve">). Les roues dans les roues et la position des quatre créatures vivantes peuvent signifier le contrôle total de Dieu sur toute la terre, lui permettant de déplacer son « char de jugement » dans n'importe quelle direction. Il est également possible que les créatures vivantes avec leurs quatre visages, et les roues pleines d'yeux, soient des symboles distincts montrant que Dieu voit tout ce qui se passe et connaît ainsi la situation des exilés. Dans la vision, l'attention du prophète est attirée vers un trône au-dessus des têtes des créatures. Sur le trône se trouvait « </w:t>
      </w:r>
      <w:r>
        <w:t>l'aspect de la ressemblance de la gloire du Seigneur</w:t>
      </w:r>
      <w:r>
        <w:t xml:space="preserve"> » (</w:t>
      </w:r>
      <w:hyperlink r:id="rId5334">
        <w:r>
          <w:rPr>
            <w:color w:val="0000EE"/>
            <w:u w:val="single"/>
          </w:rPr>
          <w:t>1.28</w:t>
        </w:r>
      </w:hyperlink>
      <w:r>
        <w:t xml:space="preserve">, NBS). Dans sa vision de la venue de Dieu en jugement, Ézéchiel reçoit son appel au ministère prophétique : « </w:t>
      </w:r>
      <w:r>
        <w:t>Fils de l’homme, je t’envoie vers les enfants d’Israël, vers ces peuples rebelles, qui se sont révoltés contre moi</w:t>
      </w:r>
      <w:r>
        <w:t xml:space="preserve"> » (</w:t>
      </w:r>
      <w:hyperlink r:id="rId5335">
        <w:r>
          <w:rPr>
            <w:color w:val="0000EE"/>
            <w:u w:val="single"/>
          </w:rPr>
          <w:t>2.3</w:t>
        </w:r>
      </w:hyperlink>
      <w:r>
        <w:t>). Durant une période sombre de l'histoire d'Israël, Ézéchiel devait prophétiser, réprimander ses compagnons exilés (</w:t>
      </w:r>
      <w:hyperlink r:id="rId5336">
        <w:r>
          <w:rPr>
            <w:color w:val="0000EE"/>
            <w:u w:val="single"/>
          </w:rPr>
          <w:t>3.11</w:t>
        </w:r>
      </w:hyperlink>
      <w:r>
        <w:t>), et être responsable en tant que sentinelle sur la maison d'Israël (</w:t>
      </w:r>
      <w:hyperlink r:id="rId5337">
        <w:r>
          <w:rPr>
            <w:color w:val="0000EE"/>
            <w:u w:val="single"/>
          </w:rPr>
          <w:t>3.17</w:t>
        </w:r>
      </w:hyperlink>
      <w:r>
        <w:t xml:space="preserve"> ; cf. </w:t>
      </w:r>
      <w:hyperlink r:id="rId5338">
        <w:r>
          <w:rPr>
            <w:color w:val="0000EE"/>
            <w:u w:val="single"/>
          </w:rPr>
          <w:t>33.1–9</w:t>
        </w:r>
      </w:hyperlink>
      <w:r>
        <w:t>). Le symbole de sa mission était un rouleau rempli de lamentations et de malheurs (</w:t>
      </w:r>
      <w:hyperlink r:id="rId5339">
        <w:r>
          <w:rPr>
            <w:color w:val="0000EE"/>
            <w:u w:val="single"/>
          </w:rPr>
          <w:t>2.9–10</w:t>
        </w:r>
      </w:hyperlink>
      <w:r>
        <w:t>), qui, une fois mangé, est devenue doux comme le miel (</w:t>
      </w:r>
      <w:hyperlink r:id="rId5340">
        <w:r>
          <w:rPr>
            <w:color w:val="0000EE"/>
            <w:u w:val="single"/>
          </w:rPr>
          <w:t>3.1–3</w:t>
        </w:r>
      </w:hyperlink>
      <w:r>
        <w:t>). Aussi difficile que fût la mission, la présence de Dieu et l'accomplissement certain des prophéties adoucissaient la tâche d'Ézéchiel. Un tel encouragement était destiné à ôter toute peur des Israélites rebelles (</w:t>
      </w:r>
      <w:hyperlink r:id="rId5341">
        <w:r>
          <w:rPr>
            <w:color w:val="0000EE"/>
            <w:u w:val="single"/>
          </w:rPr>
          <w:t>2.6–7</w:t>
        </w:r>
      </w:hyperlink>
      <w:r>
        <w:t>). Au lieu d'être exalté par sa mission, cependant, Ézéchiel se décourage.</w:t>
      </w:r>
    </w:p>
    <w:p>
      <w:r/>
      <w:r>
        <w:t>Une semaine plus tard, la parole du Seigneur vient à Ézéchiel pour lui rappeler son rôle important de sentinelle (</w:t>
      </w:r>
      <w:hyperlink r:id="rId5342">
        <w:r>
          <w:rPr>
            <w:color w:val="0000EE"/>
            <w:u w:val="single"/>
          </w:rPr>
          <w:t>3.16–17</w:t>
        </w:r>
      </w:hyperlink>
      <w:r>
        <w:t xml:space="preserve">). Ézéchiel devient responsable d'Israël en tant que nation, pas seulement pour les individus. Son témoignage envers Israël avait pour but explicite la repentance nationale (vv. </w:t>
      </w:r>
      <w:hyperlink r:id="rId5343">
        <w:r>
          <w:rPr>
            <w:color w:val="0000EE"/>
            <w:u w:val="single"/>
          </w:rPr>
          <w:t>18–19</w:t>
        </w:r>
      </w:hyperlink>
      <w:r>
        <w:t>).</w:t>
      </w:r>
    </w:p>
    <w:p>
      <w:r/>
      <w:r>
        <w:t>Ézéchiel se trouve confiné dans sa maison par Dieu (</w:t>
      </w:r>
      <w:hyperlink r:id="rId5344">
        <w:r>
          <w:rPr>
            <w:color w:val="0000EE"/>
            <w:u w:val="single"/>
          </w:rPr>
          <w:t>3.24–25</w:t>
        </w:r>
      </w:hyperlink>
      <w:r>
        <w:t xml:space="preserve">). Le ministère à domicile devait être exercé uniquement avec les Israélites qui cherchaient la volonté de Dieu, car le Seigneur avait abandonné ceux qui persistaient dans leur apostasie. La parole prophétique n'aiderait pas les apostats (v. </w:t>
      </w:r>
      <w:hyperlink r:id="rId5345">
        <w:r>
          <w:rPr>
            <w:color w:val="0000EE"/>
            <w:u w:val="single"/>
          </w:rPr>
          <w:t>26</w:t>
        </w:r>
      </w:hyperlink>
      <w:r>
        <w:t xml:space="preserve">). Le principe du ministère d'Ézéchiel se trouve en </w:t>
      </w:r>
      <w:hyperlink r:id="rId5346">
        <w:r>
          <w:rPr>
            <w:color w:val="0000EE"/>
            <w:u w:val="single"/>
          </w:rPr>
          <w:t>3.27</w:t>
        </w:r>
      </w:hyperlink>
      <w:r>
        <w:t xml:space="preserve"> : « </w:t>
      </w:r>
      <w:r>
        <w:t>quand je te parlerai, j’ouvrirai ta bouche, pour que tu leur dises</w:t>
      </w:r>
      <w:r>
        <w:t xml:space="preserve"> </w:t>
      </w:r>
      <w:r>
        <w:t>: Ainsi parle le Seigneur, l’Éternel. Que celui qui voudra écouter écoute, et que celui qui ne voudra pas n’écoute pas, car c’est une famille de rebelles</w:t>
      </w:r>
      <w:r>
        <w:t xml:space="preserve"> » (cf. </w:t>
      </w:r>
      <w:hyperlink r:id="rId5347">
        <w:r>
          <w:rPr>
            <w:color w:val="0000EE"/>
            <w:u w:val="single"/>
          </w:rPr>
          <w:t>Mt 11.15</w:t>
        </w:r>
      </w:hyperlink>
      <w:r>
        <w:t xml:space="preserve"> ; </w:t>
      </w:r>
      <w:hyperlink r:id="rId4421">
        <w:r>
          <w:rPr>
            <w:color w:val="0000EE"/>
            <w:u w:val="single"/>
          </w:rPr>
          <w:t>13.43</w:t>
        </w:r>
      </w:hyperlink>
      <w:r>
        <w:t>).</w:t>
      </w:r>
    </w:p>
    <w:p>
      <w:pPr>
        <w:pStyle w:val="Heading4"/>
      </w:pPr>
      <w:r>
        <w:t>Prophéties de jugement contre Israël (</w:t>
      </w:r>
      <w:hyperlink r:id="rId5331">
        <w:r>
          <w:rPr>
            <w:color w:val="0000EE"/>
            <w:u w:val="single"/>
          </w:rPr>
          <w:t>3.22–24.27</w:t>
        </w:r>
      </w:hyperlink>
      <w:r>
        <w:t>)</w:t>
      </w:r>
    </w:p>
    <w:p>
      <w:r/>
      <w:r>
        <w:t xml:space="preserve">Le symbolisme occupe une place importante dans les écrits d'Ézéchiel. Son origine et sa préparation sacerdotales l'ont probablement prédisposé à recevoir et à communiquer la parole de Dieu par des actes et des discours symboliques. Les chapitres </w:t>
      </w:r>
      <w:hyperlink r:id="rId5348">
        <w:r>
          <w:rPr>
            <w:color w:val="0000EE"/>
            <w:u w:val="single"/>
          </w:rPr>
          <w:t>4</w:t>
        </w:r>
      </w:hyperlink>
      <w:r>
        <w:t xml:space="preserve"> et </w:t>
      </w:r>
      <w:hyperlink r:id="rId5349">
        <w:r>
          <w:rPr>
            <w:color w:val="0000EE"/>
            <w:u w:val="single"/>
          </w:rPr>
          <w:t>5</w:t>
        </w:r>
      </w:hyperlink>
      <w:r>
        <w:t xml:space="preserve"> contiennent quatre actes symboliques : 1° Le siège de Jérusalem est représenté sur une brique (</w:t>
      </w:r>
      <w:hyperlink r:id="rId5350">
        <w:r>
          <w:rPr>
            <w:color w:val="0000EE"/>
            <w:u w:val="single"/>
          </w:rPr>
          <w:t>Ez 4.1–3</w:t>
        </w:r>
      </w:hyperlink>
      <w:r>
        <w:t xml:space="preserve">) ; 2° L'iniquité d'Israël est représentée par Ézéchiel couché sur ses côtés (vv. </w:t>
      </w:r>
      <w:hyperlink r:id="rId5351">
        <w:r>
          <w:rPr>
            <w:color w:val="0000EE"/>
            <w:u w:val="single"/>
          </w:rPr>
          <w:t>4–8</w:t>
        </w:r>
      </w:hyperlink>
      <w:r>
        <w:t xml:space="preserve">) ; 3° La douleur et l'horreur de Jérusalem dans les derniers jours du siège sont représentées par la nourriture et la boisson d'Ézéchiel (vv. </w:t>
      </w:r>
      <w:hyperlink r:id="rId5352">
        <w:r>
          <w:rPr>
            <w:color w:val="0000EE"/>
            <w:u w:val="single"/>
          </w:rPr>
          <w:t>9–17</w:t>
        </w:r>
      </w:hyperlink>
      <w:r>
        <w:t>) ; 4° La destinée de Jérusalem est représentée par les cheveux du prophète coupés (</w:t>
      </w:r>
      <w:hyperlink r:id="rId5353">
        <w:r>
          <w:rPr>
            <w:color w:val="0000EE"/>
            <w:u w:val="single"/>
          </w:rPr>
          <w:t>5.1–4</w:t>
        </w:r>
      </w:hyperlink>
      <w:r>
        <w:t>).</w:t>
      </w:r>
    </w:p>
    <w:p>
      <w:r/>
      <w:r>
        <w:t>Les instructions données à Ézéchiel sont éclairées par l'explication de Dieu concernant l'apostasie d'Israël (</w:t>
      </w:r>
      <w:hyperlink r:id="rId5354">
        <w:r>
          <w:rPr>
            <w:color w:val="0000EE"/>
            <w:u w:val="single"/>
          </w:rPr>
          <w:t>5.6–7</w:t>
        </w:r>
      </w:hyperlink>
      <w:r>
        <w:t xml:space="preserve">) et son jugement sur Israël (vv. </w:t>
      </w:r>
      <w:hyperlink r:id="rId5355">
        <w:r>
          <w:rPr>
            <w:color w:val="0000EE"/>
            <w:u w:val="single"/>
          </w:rPr>
          <w:t>8–12</w:t>
        </w:r>
      </w:hyperlink>
      <w:r>
        <w:t xml:space="preserve">). Le jugement durera jusqu'à ce que les Israélites admettent que, fidèle à l'alliance, leur Seigneur a infligé un jugement juste sur eux (v. </w:t>
      </w:r>
      <w:hyperlink r:id="rId5356">
        <w:r>
          <w:rPr>
            <w:color w:val="0000EE"/>
            <w:u w:val="single"/>
          </w:rPr>
          <w:t>13</w:t>
        </w:r>
      </w:hyperlink>
      <w:r>
        <w:t>).</w:t>
      </w:r>
    </w:p>
    <w:p>
      <w:r/>
      <w:r>
        <w:t xml:space="preserve">Dieu dirige d'abord son jugement contre le peuple et la ville de Jérusalem. Ensuite, ce sera le tour des montagnes d'Israël (chap. </w:t>
      </w:r>
      <w:hyperlink r:id="rId5357">
        <w:r>
          <w:rPr>
            <w:color w:val="0000EE"/>
            <w:u w:val="single"/>
          </w:rPr>
          <w:t>6</w:t>
        </w:r>
      </w:hyperlink>
      <w:r>
        <w:t xml:space="preserve">) et du pays (chap. </w:t>
      </w:r>
      <w:hyperlink r:id="rId5358">
        <w:r>
          <w:rPr>
            <w:color w:val="0000EE"/>
            <w:u w:val="single"/>
          </w:rPr>
          <w:t>7</w:t>
        </w:r>
      </w:hyperlink>
      <w:r>
        <w:t>). La colère de Dieu englobait les villes et les lieux cultuels dans la région montagneuse de Juda, ne laissant aucune protection pour le peuple (</w:t>
      </w:r>
      <w:hyperlink r:id="rId5359">
        <w:r>
          <w:rPr>
            <w:color w:val="0000EE"/>
            <w:u w:val="single"/>
          </w:rPr>
          <w:t>6.3–6</w:t>
        </w:r>
      </w:hyperlink>
      <w:r>
        <w:t>). Les abominations pratiquées à travers le pays ont provoqué le jugement de Dieu sur le pays ainsi que sur le peuple (</w:t>
      </w:r>
      <w:hyperlink r:id="rId5360">
        <w:r>
          <w:rPr>
            <w:color w:val="0000EE"/>
            <w:u w:val="single"/>
          </w:rPr>
          <w:t>7.2–3, 10–11, 23</w:t>
        </w:r>
      </w:hyperlink>
      <w:r>
        <w:t>). Mais parce que Dieu est juste, il jugeait le peuple selon leurs modes de vie, désirant qu'ils le reconnaissent à nouveau comme leur Dieu (</w:t>
      </w:r>
      <w:hyperlink r:id="rId5361">
        <w:r>
          <w:rPr>
            <w:color w:val="0000EE"/>
            <w:u w:val="single"/>
          </w:rPr>
          <w:t>7.27</w:t>
        </w:r>
      </w:hyperlink>
      <w:r>
        <w:t>).</w:t>
      </w:r>
    </w:p>
    <w:p>
      <w:r/>
      <w:r>
        <w:t xml:space="preserve">Le prophète (chap. </w:t>
      </w:r>
      <w:hyperlink r:id="rId5362">
        <w:r>
          <w:rPr>
            <w:color w:val="0000EE"/>
            <w:u w:val="single"/>
          </w:rPr>
          <w:t>8–11</w:t>
        </w:r>
      </w:hyperlink>
      <w:r>
        <w:t xml:space="preserve">) se concentre alors sur les abominations pratiquées à Jérusalem, en particulier l'idolâtrie dans les cours du temple, qui a causé le jugement annoncé dans les chapitres </w:t>
      </w:r>
      <w:hyperlink r:id="rId5363">
        <w:r>
          <w:rPr>
            <w:color w:val="0000EE"/>
            <w:u w:val="single"/>
          </w:rPr>
          <w:t>1–7</w:t>
        </w:r>
      </w:hyperlink>
      <w:r>
        <w:t>. Une idole avait été érigée dans la cour intérieure (</w:t>
      </w:r>
      <w:hyperlink r:id="rId5364">
        <w:r>
          <w:rPr>
            <w:color w:val="0000EE"/>
            <w:u w:val="single"/>
          </w:rPr>
          <w:t>8.3–5</w:t>
        </w:r>
      </w:hyperlink>
      <w:r>
        <w:t xml:space="preserve">). Près du mur de la cour, les anciens de la ville rendaient hommage aux idoles qui entouraient la cour (vv. </w:t>
      </w:r>
      <w:hyperlink r:id="rId5365">
        <w:r>
          <w:rPr>
            <w:color w:val="0000EE"/>
            <w:u w:val="single"/>
          </w:rPr>
          <w:t>11–12</w:t>
        </w:r>
      </w:hyperlink>
      <w:r>
        <w:t xml:space="preserve">). Plus près du temple, des femmes pleuraient le dieu Thammuz (v. </w:t>
      </w:r>
      <w:hyperlink r:id="rId4062">
        <w:r>
          <w:rPr>
            <w:color w:val="0000EE"/>
            <w:u w:val="single"/>
          </w:rPr>
          <w:t>14</w:t>
        </w:r>
      </w:hyperlink>
      <w:r>
        <w:t xml:space="preserve">), et des hommes adoraient le soleil (v. </w:t>
      </w:r>
      <w:hyperlink r:id="rId5366">
        <w:r>
          <w:rPr>
            <w:color w:val="0000EE"/>
            <w:u w:val="single"/>
          </w:rPr>
          <w:t>16</w:t>
        </w:r>
      </w:hyperlink>
      <w:r>
        <w:t>). En préparation pour le jugement ultime sur le pays, le prophète place une marque sur le front des quelques Israélites fidèles afin qu'ils survivent (</w:t>
      </w:r>
      <w:hyperlink r:id="rId5367">
        <w:r>
          <w:rPr>
            <w:color w:val="0000EE"/>
            <w:u w:val="single"/>
          </w:rPr>
          <w:t>9.4–6</w:t>
        </w:r>
      </w:hyperlink>
      <w:r>
        <w:t xml:space="preserve">). Puis (chap. </w:t>
      </w:r>
      <w:hyperlink r:id="rId2474">
        <w:r>
          <w:rPr>
            <w:color w:val="0000EE"/>
            <w:u w:val="single"/>
          </w:rPr>
          <w:t>10</w:t>
        </w:r>
      </w:hyperlink>
      <w:r>
        <w:t xml:space="preserve">), la gloire de Dieu, qui avait rempli le temple depuis l'époque de Salomon, le quitte progressivement : « </w:t>
      </w:r>
      <w:r>
        <w:t>La gloire de l’Éternel s’éleva du milieu de la ville, et elle se plaça sur la montagne qui est à l’orient de la ville</w:t>
      </w:r>
      <w:r>
        <w:t xml:space="preserve"> » (</w:t>
      </w:r>
      <w:hyperlink r:id="rId5368">
        <w:r>
          <w:rPr>
            <w:color w:val="0000EE"/>
            <w:u w:val="single"/>
          </w:rPr>
          <w:t>11.23</w:t>
        </w:r>
      </w:hyperlink>
      <w:r>
        <w:t xml:space="preserve">). Le peuple, désormais sans protection divine, se trouve livré aux Babyloniens (v. </w:t>
      </w:r>
      <w:hyperlink r:id="rId5369">
        <w:r>
          <w:rPr>
            <w:color w:val="0000EE"/>
            <w:u w:val="single"/>
          </w:rPr>
          <w:t>9</w:t>
        </w:r>
      </w:hyperlink>
      <w:r>
        <w:t>).</w:t>
      </w:r>
    </w:p>
    <w:p>
      <w:r/>
      <w:r>
        <w:t>Le message de malheur pour Jérusalem contient quatre éléments d'espérance : la restauration du peuple (</w:t>
      </w:r>
      <w:hyperlink r:id="rId5370">
        <w:r>
          <w:rPr>
            <w:color w:val="0000EE"/>
            <w:u w:val="single"/>
          </w:rPr>
          <w:t>11.17</w:t>
        </w:r>
      </w:hyperlink>
      <w:r>
        <w:t xml:space="preserve">), la restauration de la terre (v. </w:t>
      </w:r>
      <w:hyperlink r:id="rId5370">
        <w:r>
          <w:rPr>
            <w:color w:val="0000EE"/>
            <w:u w:val="single"/>
          </w:rPr>
          <w:t>17</w:t>
        </w:r>
      </w:hyperlink>
      <w:r>
        <w:t xml:space="preserve">), la purification du peuple (v. </w:t>
      </w:r>
      <w:hyperlink r:id="rId5371">
        <w:r>
          <w:rPr>
            <w:color w:val="0000EE"/>
            <w:u w:val="single"/>
          </w:rPr>
          <w:t>18</w:t>
        </w:r>
      </w:hyperlink>
      <w:r>
        <w:t xml:space="preserve">), et le renouvellement de la communion entre Dieu et son peuple (vv. </w:t>
      </w:r>
      <w:hyperlink r:id="rId5372">
        <w:r>
          <w:rPr>
            <w:color w:val="0000EE"/>
            <w:u w:val="single"/>
          </w:rPr>
          <w:t>19–20</w:t>
        </w:r>
      </w:hyperlink>
      <w:r>
        <w:t xml:space="preserve">). Le prophète développe ces quatre thèmes dans les chapitres </w:t>
      </w:r>
      <w:hyperlink r:id="rId5329">
        <w:r>
          <w:rPr>
            <w:color w:val="0000EE"/>
            <w:u w:val="single"/>
          </w:rPr>
          <w:t>33–48</w:t>
        </w:r>
      </w:hyperlink>
      <w:r>
        <w:t>.</w:t>
      </w:r>
    </w:p>
    <w:p>
      <w:r/>
      <w:r>
        <w:t xml:space="preserve">Les visions des chapitres </w:t>
      </w:r>
      <w:hyperlink r:id="rId2474">
        <w:r>
          <w:rPr>
            <w:color w:val="0000EE"/>
            <w:u w:val="single"/>
          </w:rPr>
          <w:t>10</w:t>
        </w:r>
      </w:hyperlink>
      <w:r>
        <w:t xml:space="preserve"> et </w:t>
      </w:r>
      <w:hyperlink r:id="rId5373">
        <w:r>
          <w:rPr>
            <w:color w:val="0000EE"/>
            <w:u w:val="single"/>
          </w:rPr>
          <w:t>11</w:t>
        </w:r>
      </w:hyperlink>
      <w:r>
        <w:t xml:space="preserve"> montrent clairement que lorsque Dieu retirerait sa présence de Jérusalem, l'exil serait imminent. Ceux qui étaient déjà à Babylone ne voulaient pas croire qu'une dévastation aussi étendue de Jérusalem se produirait, que le peuple serait entièrement exilé et que la terre deviendrait dévastée.</w:t>
      </w:r>
    </w:p>
    <w:p>
      <w:r/>
      <w:r>
        <w:t xml:space="preserve">Ézéchiel illustre la certitude de la parole de jugement de Dieu en faisant ses bagages et en les montrant à ses compagnons d'exil. Il place d'abord les sacs dans la cour devant sa modeste maison. Ensuite, il sort en faisant un trou dans le mur. Enfin, le prophète marche au sein de la colonie avec ses sacs bien en vue. Les observateurs sceptiques ne comprenaient pas Ézéchiel et pensaient probablement qu'il était fou. Les croyants qui l'ont vu ont compris. Ses actions étranges ont démontré visuellement comment les aides du roi feraient tout leur possible pour aider le roi Sédécias à s'échapper juste avant la chute de Jérusalem. </w:t>
      </w:r>
      <w:hyperlink r:id="rId5374">
        <w:r>
          <w:rPr>
            <w:color w:val="0000EE"/>
            <w:u w:val="single"/>
          </w:rPr>
          <w:t>2 Rois 25</w:t>
        </w:r>
      </w:hyperlink>
      <w:r>
        <w:t xml:space="preserve"> raconte comment le roi et ses soldats ont quitté Jérusalem pour le désert, pour être rattrapés par les Babyloniens à Jéricho et amenés devant Nabuchodonosor à Ribla. Captif, Sédécias a été témoin du meurtre de ses fils ; puis ses yeux ont été crevés, et il a été envoyé en exil avec les autres Judéens (cf. </w:t>
      </w:r>
      <w:hyperlink r:id="rId5375">
        <w:r>
          <w:rPr>
            <w:color w:val="0000EE"/>
            <w:u w:val="single"/>
          </w:rPr>
          <w:t>Ez 12.13</w:t>
        </w:r>
      </w:hyperlink>
      <w:r>
        <w:t xml:space="preserve">). L'explication du prophète se conclut par une parole de réconfort. En raison de son alliance avec Abraham, Dieu promet de ne pas détruire complètement le peuple. Un reste qui a survécu à l'épée, à la famine et à la peste vivrait pour raconter l'histoire du jugement de Dieu (vv. </w:t>
      </w:r>
      <w:hyperlink r:id="rId5376">
        <w:r>
          <w:rPr>
            <w:color w:val="0000EE"/>
            <w:u w:val="single"/>
          </w:rPr>
          <w:t>15–16</w:t>
        </w:r>
      </w:hyperlink>
      <w:r>
        <w:t>).</w:t>
      </w:r>
    </w:p>
    <w:p>
      <w:r/>
      <w:r>
        <w:t>Ézéchiel illustre davantage la détresse de la nation en mangeant comme s'il était rempli de peur, dépeignant le grand traumatisme que tous les habitants de Juda subiraient bientôt.</w:t>
      </w:r>
    </w:p>
    <w:p>
      <w:r/>
      <w:r>
        <w:t xml:space="preserve">Les deux actes symboliques (faire ses bagages et manger) soulignaient la véracité de la parole de Dieu. Le peuple devait affronter la nature de leur Dieu : il est magnifique, et lorsqu'il parle, ses paroles sont puissantes et se réalisent. Ainsi, la dévastation du pays et l'exil du peuple étaient un accomplissement de la parole de Dieu à travers les prophètes. Le jugement était destiné à produire une reconnaissance de sa seigneurie, la repentance et le retour à Dieu. Certains en Juda doutaient de l'efficacité des prophéties de Dieu, disant : « </w:t>
      </w:r>
      <w:r>
        <w:t>Les jours se prolongent, Et toutes les visions restent sans effet</w:t>
      </w:r>
      <w:r>
        <w:t xml:space="preserve"> » (</w:t>
      </w:r>
      <w:hyperlink r:id="rId5317">
        <w:r>
          <w:rPr>
            <w:color w:val="0000EE"/>
            <w:u w:val="single"/>
          </w:rPr>
          <w:t>12.22</w:t>
        </w:r>
      </w:hyperlink>
      <w:r>
        <w:t xml:space="preserve">). D'autres pensaient que la parole de Dieu se réaliserait dans un avenir lointain (v. </w:t>
      </w:r>
      <w:hyperlink r:id="rId5377">
        <w:r>
          <w:rPr>
            <w:color w:val="0000EE"/>
            <w:u w:val="single"/>
          </w:rPr>
          <w:t>27</w:t>
        </w:r>
      </w:hyperlink>
      <w:r>
        <w:t xml:space="preserve">). L'attitude majoritaire de méfiance envers la parole de Dieu avait été stimulée par la prédication populaire de faux prophètes (chap. </w:t>
      </w:r>
      <w:hyperlink r:id="rId5378">
        <w:r>
          <w:rPr>
            <w:color w:val="0000EE"/>
            <w:u w:val="single"/>
          </w:rPr>
          <w:t>13</w:t>
        </w:r>
      </w:hyperlink>
      <w:r>
        <w:t xml:space="preserve">). Bien que n'ayant jamais été mandatés par le Seigneur, ils trompaient le peuple de Dieu en mentant et en les détournant avec des messages de paix (vv. </w:t>
      </w:r>
      <w:hyperlink r:id="rId5379">
        <w:r>
          <w:rPr>
            <w:color w:val="0000EE"/>
            <w:u w:val="single"/>
          </w:rPr>
          <w:t>8–10</w:t>
        </w:r>
      </w:hyperlink>
      <w:r>
        <w:t xml:space="preserve">). Ces faux prophètes encourageaint la méchanceté, le mensonge et la tromperie parmi le peuple (v. </w:t>
      </w:r>
      <w:hyperlink r:id="rId5380">
        <w:r>
          <w:rPr>
            <w:color w:val="0000EE"/>
            <w:u w:val="single"/>
          </w:rPr>
          <w:t>22</w:t>
        </w:r>
      </w:hyperlink>
      <w:r>
        <w:t xml:space="preserve">). L'ampleur de leur péché et leur responsabilité accablante dans la chute de Juda seraient égalées par le lourd jugement du Seigneur. Pourtant, Dieu sauverait son peuple d'un tel mal et préparerait une nation juste avec laquelle maintenir son alliance (v. </w:t>
      </w:r>
      <w:hyperlink r:id="rId5381">
        <w:r>
          <w:rPr>
            <w:color w:val="0000EE"/>
            <w:u w:val="single"/>
          </w:rPr>
          <w:t>23</w:t>
        </w:r>
      </w:hyperlink>
      <w:r>
        <w:t>).</w:t>
      </w:r>
    </w:p>
    <w:p>
      <w:r/>
      <w:r>
        <w:t>La certitude du jugement s'accordait à la véracité de la parole de Dieu. Le labeur ardu d'Ézéchiel, qui devait affirmer la ruine de Jérusalem à des auditeurs obstinés, était intensifié par l'idolâtrie du peuple. Leur mode de vie entier niait l'existence de Dieu. Ils pratiquaient l'idolâtrie dans leur culte et avaient érigé des idoles dans leurs cœurs (</w:t>
      </w:r>
      <w:hyperlink r:id="rId5382">
        <w:r>
          <w:rPr>
            <w:color w:val="0000EE"/>
            <w:u w:val="single"/>
          </w:rPr>
          <w:t>14.3</w:t>
        </w:r>
      </w:hyperlink>
      <w:r>
        <w:t xml:space="preserve">). Avant que l'alliance avec Dieu puisse être rétablie, ils devaient être purifiés de leur idolâtrie. Même là, la repentance ne garantirait pas l'immunité contre le jugement. L'épée, la famine, les bêtes sauvages et les fléaux ravageraient la population (v. </w:t>
      </w:r>
      <w:hyperlink r:id="rId5383">
        <w:r>
          <w:rPr>
            <w:color w:val="0000EE"/>
            <w:u w:val="single"/>
          </w:rPr>
          <w:t>21</w:t>
        </w:r>
      </w:hyperlink>
      <w:r>
        <w:t xml:space="preserve">). Après l'exécution de son jugement, Dieu reprendrait ceux qui avaient survécu et qui s'étaient tournés vers lui pour obtenir miséricorde. Dieu accomplirait sûrement tout ce qu'il avait prévu pour le bien de son peuple (v. </w:t>
      </w:r>
      <w:hyperlink r:id="rId5384">
        <w:r>
          <w:rPr>
            <w:color w:val="0000EE"/>
            <w:u w:val="single"/>
          </w:rPr>
          <w:t>23</w:t>
        </w:r>
      </w:hyperlink>
      <w:r>
        <w:t>).</w:t>
      </w:r>
    </w:p>
    <w:p>
      <w:r/>
      <w:r>
        <w:t xml:space="preserve">Dans les chapitres </w:t>
      </w:r>
      <w:hyperlink r:id="rId5385">
        <w:r>
          <w:rPr>
            <w:color w:val="0000EE"/>
            <w:u w:val="single"/>
          </w:rPr>
          <w:t>15 à 17</w:t>
        </w:r>
      </w:hyperlink>
      <w:r>
        <w:t>, Ézéchiel utilise trois paraboles pour exposer l'apostasie, l'inutilité actuelle et le jugement d'Israël. Jérusalem et Juda sont comparés à un morceau de bois carbonisé, une femme adultère et une vigne.</w:t>
      </w:r>
    </w:p>
    <w:p>
      <w:r/>
      <w:r>
        <w:t xml:space="preserve">Le chapitre </w:t>
      </w:r>
      <w:hyperlink r:id="rId5386">
        <w:r>
          <w:rPr>
            <w:color w:val="0000EE"/>
            <w:u w:val="single"/>
          </w:rPr>
          <w:t>15</w:t>
        </w:r>
      </w:hyperlink>
      <w:r>
        <w:t xml:space="preserve"> examine le cas de Jérusalem. Jérusalem est comparée à un morceau de bois dont les deux extrémités ont été carbonisées par le feu, rendant le bois sans valeur. Tout comme le morceau de bois entier est brûlé au lieu d'être sauvé, Jérusalem subirait une dévastation complète (</w:t>
      </w:r>
      <w:hyperlink r:id="rId5387">
        <w:r>
          <w:rPr>
            <w:color w:val="0000EE"/>
            <w:u w:val="single"/>
          </w:rPr>
          <w:t>15.7–8</w:t>
        </w:r>
      </w:hyperlink>
      <w:r>
        <w:t>).</w:t>
      </w:r>
    </w:p>
    <w:p>
      <w:r/>
      <w:r>
        <w:t xml:space="preserve">Le chapitre </w:t>
      </w:r>
      <w:hyperlink r:id="rId382">
        <w:r>
          <w:rPr>
            <w:color w:val="0000EE"/>
            <w:u w:val="single"/>
          </w:rPr>
          <w:t>16</w:t>
        </w:r>
      </w:hyperlink>
      <w:r>
        <w:t xml:space="preserve"> présente le plaidoyer de Dieu contre Jérusalem sous un angle différent, soulignant son soin pour Jérusalem dans le passé. Les débuts de son histoire sont comparés à la naissance d'une jeune fille, abandonnée par sa mère (</w:t>
      </w:r>
      <w:hyperlink r:id="rId5388">
        <w:r>
          <w:rPr>
            <w:color w:val="0000EE"/>
            <w:u w:val="single"/>
          </w:rPr>
          <w:t>16.3–5</w:t>
        </w:r>
      </w:hyperlink>
      <w:r>
        <w:t xml:space="preserve">). Dieu a adopté l'enfant, l'a lavée et l'a vêtue (vv. </w:t>
      </w:r>
      <w:hyperlink r:id="rId5389">
        <w:r>
          <w:rPr>
            <w:color w:val="0000EE"/>
            <w:u w:val="single"/>
          </w:rPr>
          <w:t>6–7</w:t>
        </w:r>
      </w:hyperlink>
      <w:r>
        <w:t xml:space="preserve">). Il a fait une alliance avec elle (v. </w:t>
      </w:r>
      <w:hyperlink r:id="rId5390">
        <w:r>
          <w:rPr>
            <w:color w:val="0000EE"/>
            <w:u w:val="single"/>
          </w:rPr>
          <w:t>8</w:t>
        </w:r>
      </w:hyperlink>
      <w:r>
        <w:t xml:space="preserve">) et faisant d'elle sa possession en propre. Il lui a prodigué, généreusement, tout ce que la vie avait de beau à lui offrir (vv. </w:t>
      </w:r>
      <w:hyperlink r:id="rId5391">
        <w:r>
          <w:rPr>
            <w:color w:val="0000EE"/>
            <w:u w:val="single"/>
          </w:rPr>
          <w:t>9–13</w:t>
        </w:r>
      </w:hyperlink>
      <w:r>
        <w:t xml:space="preserve">). Au paroxysme de son développementl la renommée de Jérusalem s'est répandue parmi les nations (v. </w:t>
      </w:r>
      <w:hyperlink r:id="rId5392">
        <w:r>
          <w:rPr>
            <w:color w:val="0000EE"/>
            <w:u w:val="single"/>
          </w:rPr>
          <w:t>14</w:t>
        </w:r>
      </w:hyperlink>
      <w:r>
        <w:t>). Son autosuffisance a fait d'elle une prostituée, spirituellement, alors qu'elle adoptait les pratiques religieuses et le mode de vie des nations (vv. 15–34). Les villes de Sodome (</w:t>
      </w:r>
      <w:hyperlink r:id="rId96">
        <w:r>
          <w:rPr>
            <w:color w:val="0000EE"/>
            <w:u w:val="single"/>
          </w:rPr>
          <w:t>Gn 19</w:t>
        </w:r>
      </w:hyperlink>
      <w:r>
        <w:t>) et de Samarie (</w:t>
      </w:r>
      <w:hyperlink r:id="rId5393">
        <w:r>
          <w:rPr>
            <w:color w:val="0000EE"/>
            <w:u w:val="single"/>
          </w:rPr>
          <w:t>2R 17.6</w:t>
        </w:r>
      </w:hyperlink>
      <w:r>
        <w:t>), connues pour leur immoralité, sont appelée les sœurs de Jérusalem (</w:t>
      </w:r>
      <w:hyperlink r:id="rId5394">
        <w:r>
          <w:rPr>
            <w:color w:val="0000EE"/>
            <w:u w:val="single"/>
          </w:rPr>
          <w:t>Ez 16.46</w:t>
        </w:r>
      </w:hyperlink>
      <w:r>
        <w:t xml:space="preserve">). Elles avaient été jugées par Dieu, mais la corruption de ces villes étaient bien peu de chose comparé à la débauche de Jérusalem (vv. </w:t>
      </w:r>
      <w:hyperlink r:id="rId5395">
        <w:r>
          <w:rPr>
            <w:color w:val="0000EE"/>
            <w:u w:val="single"/>
          </w:rPr>
          <w:t>48–51</w:t>
        </w:r>
      </w:hyperlink>
      <w:r>
        <w:t xml:space="preserve">). Ainsi, Jérusalem est vouée à tomber, assurément, et elle deviendrait désolée. Cependant, Ézéchiel anticipe l'issue finale du jugement : Jérusalem serait restaurée à la bénédiction de l'alliance (vv. </w:t>
      </w:r>
      <w:hyperlink r:id="rId5396">
        <w:r>
          <w:rPr>
            <w:color w:val="0000EE"/>
            <w:u w:val="single"/>
          </w:rPr>
          <w:t>62–63</w:t>
        </w:r>
      </w:hyperlink>
      <w:r>
        <w:t>) après sa repentance.</w:t>
      </w:r>
    </w:p>
    <w:p>
      <w:r/>
      <w:r>
        <w:t xml:space="preserve">La troisième parabole (chap. </w:t>
      </w:r>
      <w:hyperlink r:id="rId5397">
        <w:r>
          <w:rPr>
            <w:color w:val="0000EE"/>
            <w:u w:val="single"/>
          </w:rPr>
          <w:t>17</w:t>
        </w:r>
      </w:hyperlink>
      <w:r>
        <w:t xml:space="preserve">) se concentre sur la souveraineté de Dieu sur les développements politiques. L'Assyrie n'était plus une puissance à craindre. Babylone et l'Égypte exerçaient toutes deux une domination, bien que l'équilibre du pouvoir penchait en faveur de Babylone. L'extension de leur pouvoir est comparée à un aigle. Nebucadnetsar, décrit comme « </w:t>
      </w:r>
      <w:r>
        <w:t>Un grand aigle, aux longues ailes, aux ailes déployées, couvert de plumes de toutes couleurs</w:t>
      </w:r>
      <w:r>
        <w:t xml:space="preserve"> », prend le contrôle des affaires de Juda en destituant Jojakin (« </w:t>
      </w:r>
      <w:r>
        <w:t>la cime d’un cèdre</w:t>
      </w:r>
      <w:r>
        <w:t xml:space="preserve"> ») de ses fonctions et en l'exilant avec de jeunes dirigeants de l'État judéen (</w:t>
      </w:r>
      <w:hyperlink r:id="rId5398">
        <w:r>
          <w:rPr>
            <w:color w:val="0000EE"/>
            <w:u w:val="single"/>
          </w:rPr>
          <w:t>17.3–4</w:t>
        </w:r>
      </w:hyperlink>
      <w:r>
        <w:t xml:space="preserve">). Ézéchiel faisait partie de ceux-là. Nebucadnetsar a laissé les Judéens contrôler leurs propres affaires sous Sédécias mais il s'attendait à ce qu'ils soient soumis à Babylone et non à une autre puissance. Toutefois Juda (comparé à une vigne) a tenté de s'allier avec Pharaon Hophra d'Égypte, « </w:t>
      </w:r>
      <w:r>
        <w:t>un autre aigle, grand, aux longues ailes, au plumage épais</w:t>
      </w:r>
      <w:r>
        <w:t xml:space="preserve"> » (v. </w:t>
      </w:r>
      <w:hyperlink r:id="rId5399">
        <w:r>
          <w:rPr>
            <w:color w:val="0000EE"/>
            <w:u w:val="single"/>
          </w:rPr>
          <w:t>7</w:t>
        </w:r>
      </w:hyperlink>
      <w:r>
        <w:t xml:space="preserve">), contre Nebucadnetsar. La folie de Sédécias en se tournant vers l'Égypte pousserait Nebucadnetsar à arracher la vigne par ses racines et à la faire dépérir (vv. </w:t>
      </w:r>
      <w:hyperlink r:id="rId5400">
        <w:r>
          <w:rPr>
            <w:color w:val="0000EE"/>
            <w:u w:val="single"/>
          </w:rPr>
          <w:t>9–10</w:t>
        </w:r>
      </w:hyperlink>
      <w:r>
        <w:t xml:space="preserve">). Alors qu'il explique la parabole, Dieu dit aux exilés que la chute de Juda était le résultat de son infidélité envers le roi Nebucadnetsar, à qui Juda devait allégeance par alliance (vv. </w:t>
      </w:r>
      <w:hyperlink r:id="rId5401">
        <w:r>
          <w:rPr>
            <w:color w:val="0000EE"/>
            <w:u w:val="single"/>
          </w:rPr>
          <w:t>13–18</w:t>
        </w:r>
      </w:hyperlink>
      <w:r>
        <w:t xml:space="preserve">). L'infidélité de Juda s'étendait ainsi à toutes ses relations : religieuses, culturelles et politiques. Après l'exil, Dieu promet qu'il restaurerait son peuple dans leur terre sous un Messie, « </w:t>
      </w:r>
      <w:r>
        <w:t>un tendre rameau</w:t>
      </w:r>
      <w:r>
        <w:t xml:space="preserve"> » (v. </w:t>
      </w:r>
      <w:hyperlink r:id="rId5402">
        <w:r>
          <w:rPr>
            <w:color w:val="0000EE"/>
            <w:u w:val="single"/>
          </w:rPr>
          <w:t>22</w:t>
        </w:r>
      </w:hyperlink>
      <w:r>
        <w:t xml:space="preserve">). Le règne messianique est signifié par le jeune rameau, qui, lorsqu'il sera planté dans le pays, deviendra un cèdre magnifique qui offrira ombre et protection aux oiseaux. Le chapitre </w:t>
      </w:r>
      <w:hyperlink r:id="rId5397">
        <w:r>
          <w:rPr>
            <w:color w:val="0000EE"/>
            <w:u w:val="single"/>
          </w:rPr>
          <w:t>17</w:t>
        </w:r>
      </w:hyperlink>
      <w:r>
        <w:t xml:space="preserve"> est une affirmation inspirante de la souveraineté de Dieu dans les affaires humaines (« </w:t>
      </w:r>
      <w:r>
        <w:t>tous les arbres des champs sauront que moi, l’Éternel, j’ai abaissé l’arbre qui s’élevait et élevé l’arbre qui était abaissé, que j’ai desséché l’arbre vert et fait verdir l’arbre sec</w:t>
      </w:r>
      <w:r>
        <w:t xml:space="preserve"> », </w:t>
      </w:r>
      <w:hyperlink r:id="rId5403">
        <w:r>
          <w:rPr>
            <w:color w:val="0000EE"/>
            <w:u w:val="single"/>
          </w:rPr>
          <w:t>17.24</w:t>
        </w:r>
      </w:hyperlink>
      <w:r>
        <w:t>).</w:t>
      </w:r>
    </w:p>
    <w:p>
      <w:r/>
      <w:r>
        <w:t xml:space="preserve">Les chapitres </w:t>
      </w:r>
      <w:hyperlink r:id="rId5404">
        <w:r>
          <w:rPr>
            <w:color w:val="0000EE"/>
            <w:u w:val="single"/>
          </w:rPr>
          <w:t>18–22</w:t>
        </w:r>
      </w:hyperlink>
      <w:r>
        <w:t xml:space="preserve"> contiennent les oracles d'Ézéchiel adressés à Juda, à ses dirigeants et aux exilés. Tout d'abord, il énonce le barème de la justice de Dieu : « </w:t>
      </w:r>
      <w:r>
        <w:t>l’âme qui pèche, c’est celle qui mourra</w:t>
      </w:r>
      <w:r>
        <w:t xml:space="preserve"> » (</w:t>
      </w:r>
      <w:hyperlink r:id="rId290">
        <w:r>
          <w:rPr>
            <w:color w:val="0000EE"/>
            <w:u w:val="single"/>
          </w:rPr>
          <w:t>18.4</w:t>
        </w:r>
      </w:hyperlink>
      <w:r>
        <w:t xml:space="preserve">). Le peuple accuse Dieu d'injustice, car il se croit sous le jugement de Dieu pour les péchés de ses ancêtres (vv. </w:t>
      </w:r>
      <w:hyperlink r:id="rId5405">
        <w:r>
          <w:rPr>
            <w:color w:val="0000EE"/>
            <w:u w:val="single"/>
          </w:rPr>
          <w:t>25–29</w:t>
        </w:r>
      </w:hyperlink>
      <w:r>
        <w:t xml:space="preserve">). Bien que les dix commandements disent que Dieu peut punir « </w:t>
      </w:r>
      <w:r>
        <w:t>l’iniquité des pères sur les enfants jusqu’à la troisième et la quatrième génération</w:t>
      </w:r>
      <w:r>
        <w:t xml:space="preserve"> » (</w:t>
      </w:r>
      <w:hyperlink r:id="rId4585">
        <w:r>
          <w:rPr>
            <w:color w:val="0000EE"/>
            <w:u w:val="single"/>
          </w:rPr>
          <w:t>Ex 20.5</w:t>
        </w:r>
      </w:hyperlink>
      <w:r>
        <w:t>), le prophète justifie la justice de Dieu, disant au peuple qu'il n'est pas puni uniquement pour le péché de ses ancêtres. Chaque personne doit être directement responsable devant Dieu ; le pécheur mourra dans la méchanceté, et le juste vivra par la justice. Une vie de fidélité à la loi morale et civile de Dieu sera récompensée (</w:t>
      </w:r>
      <w:hyperlink r:id="rId5406">
        <w:r>
          <w:rPr>
            <w:color w:val="0000EE"/>
            <w:u w:val="single"/>
          </w:rPr>
          <w:t>Ez 18.5–9</w:t>
        </w:r>
      </w:hyperlink>
      <w:r>
        <w:t xml:space="preserve">). Même si le père de quelqu'un était un pécheur, le péché du père n'est pas transférable (vv. </w:t>
      </w:r>
      <w:hyperlink r:id="rId5407">
        <w:r>
          <w:rPr>
            <w:color w:val="0000EE"/>
            <w:u w:val="single"/>
          </w:rPr>
          <w:t>14–18</w:t>
        </w:r>
      </w:hyperlink>
      <w:r>
        <w:t xml:space="preserve">). Dieu est prêt à pardonner tout pécheur qui se repent (v. </w:t>
      </w:r>
      <w:hyperlink r:id="rId5408">
        <w:r>
          <w:rPr>
            <w:color w:val="0000EE"/>
            <w:u w:val="single"/>
          </w:rPr>
          <w:t>27</w:t>
        </w:r>
      </w:hyperlink>
      <w:r>
        <w:t xml:space="preserve">). La justification de la justice de Dieu par le prophète devient un appel à la repentance. Les pécheurs en Juda et ceux en exil sont ainsi avertis des conséquences de leur mal, et sont exhortés à revenir à leur Dieu et à son barème du bien et du mal (vv. </w:t>
      </w:r>
      <w:hyperlink r:id="rId5409">
        <w:r>
          <w:rPr>
            <w:color w:val="0000EE"/>
            <w:u w:val="single"/>
          </w:rPr>
          <w:t>31–32</w:t>
        </w:r>
      </w:hyperlink>
      <w:r>
        <w:t>).</w:t>
      </w:r>
    </w:p>
    <w:p>
      <w:r/>
      <w:r>
        <w:t xml:space="preserve">Le chapitre </w:t>
      </w:r>
      <w:hyperlink r:id="rId5410">
        <w:r>
          <w:rPr>
            <w:color w:val="0000EE"/>
            <w:u w:val="single"/>
          </w:rPr>
          <w:t>19</w:t>
        </w:r>
      </w:hyperlink>
      <w:r>
        <w:t xml:space="preserve"> contient deux paraboles sous forme de lamentation. La première dépeint une lionne et ses deux lionceaux. La lionne est Hamuthal, l'épouse du roi Josias (</w:t>
      </w:r>
      <w:hyperlink r:id="rId5411">
        <w:r>
          <w:rPr>
            <w:color w:val="0000EE"/>
            <w:u w:val="single"/>
          </w:rPr>
          <w:t>2R 23.31</w:t>
        </w:r>
      </w:hyperlink>
      <w:r>
        <w:t xml:space="preserve">), qui a eu deux fils : Joachaz et Sédécias. Joachaz est mentionné dans </w:t>
      </w:r>
      <w:hyperlink r:id="rId5412">
        <w:r>
          <w:rPr>
            <w:color w:val="0000EE"/>
            <w:u w:val="single"/>
          </w:rPr>
          <w:t>Ézéchiel 19.3–4</w:t>
        </w:r>
      </w:hyperlink>
      <w:r>
        <w:t xml:space="preserve"> comme un lionceau qui a grandi et a été emmené en Égypte (par Pharaon Néco en 608 av. J.‑C. ; voir </w:t>
      </w:r>
      <w:hyperlink r:id="rId5413">
        <w:r>
          <w:rPr>
            <w:color w:val="0000EE"/>
            <w:u w:val="single"/>
          </w:rPr>
          <w:t>2R 23.31–34</w:t>
        </w:r>
      </w:hyperlink>
      <w:r>
        <w:t>). Sédécias succède au trône dix ans plus tard. Au sein de la lamentation, le prophète représente de manière imaginative Sédécias comme un jeune lionceau qui finit par être emmené à Babylone en tant que dirigeant rebelle (</w:t>
      </w:r>
      <w:hyperlink r:id="rId5414">
        <w:r>
          <w:rPr>
            <w:color w:val="0000EE"/>
            <w:u w:val="single"/>
          </w:rPr>
          <w:t>Ez 19.7–9</w:t>
        </w:r>
      </w:hyperlink>
      <w:r>
        <w:t xml:space="preserve">). La deuxième parabole change d'illustration et passe à une vigne, qui représente Israël (v. </w:t>
      </w:r>
      <w:hyperlink r:id="rId5415">
        <w:r>
          <w:rPr>
            <w:color w:val="0000EE"/>
            <w:u w:val="single"/>
          </w:rPr>
          <w:t>10</w:t>
        </w:r>
      </w:hyperlink>
      <w:r>
        <w:t xml:space="preserve">). À ses débuts, Dieu a béni Israël avec des dirigeants forts, mais désormais la vigne se flétrit alors que Sédécias mène Juda de manière irresponsable vers ses derniers jours. La lamentation d'Ézéchiel souligne l'absence de bon candidat pour le trône et le manque de vie dans la vigne (vv. </w:t>
      </w:r>
      <w:hyperlink r:id="rId5416">
        <w:r>
          <w:rPr>
            <w:color w:val="0000EE"/>
            <w:u w:val="single"/>
          </w:rPr>
          <w:t>13–14</w:t>
        </w:r>
      </w:hyperlink>
      <w:r>
        <w:t>).</w:t>
      </w:r>
    </w:p>
    <w:p>
      <w:r/>
      <w:r>
        <w:t xml:space="preserve">Dans le chapitre </w:t>
      </w:r>
      <w:hyperlink r:id="rId5417">
        <w:r>
          <w:rPr>
            <w:color w:val="0000EE"/>
            <w:u w:val="single"/>
          </w:rPr>
          <w:t>20</w:t>
        </w:r>
      </w:hyperlink>
      <w:r>
        <w:t>, le prophète conclut l'argument de Dieu contre son peuple. Il passe en revue l'histoire passée d'Israël, en commençant par l'auto-révélation de Dieu en Égypte (</w:t>
      </w:r>
      <w:hyperlink r:id="rId5418">
        <w:r>
          <w:rPr>
            <w:color w:val="0000EE"/>
            <w:u w:val="single"/>
          </w:rPr>
          <w:t>20.5–6</w:t>
        </w:r>
      </w:hyperlink>
      <w:r>
        <w:t xml:space="preserve">). Il s'est choisi une nation obstinée, attachée à l'idolâtrie (v. </w:t>
      </w:r>
      <w:hyperlink r:id="rId5419">
        <w:r>
          <w:rPr>
            <w:color w:val="0000EE"/>
            <w:u w:val="single"/>
          </w:rPr>
          <w:t>8</w:t>
        </w:r>
      </w:hyperlink>
      <w:r>
        <w:t xml:space="preserve">) et encline à l'apostasie (vv. </w:t>
      </w:r>
      <w:hyperlink r:id="rId5420">
        <w:r>
          <w:rPr>
            <w:color w:val="0000EE"/>
            <w:u w:val="single"/>
          </w:rPr>
          <w:t>13, 21</w:t>
        </w:r>
      </w:hyperlink>
      <w:r>
        <w:t xml:space="preserve">). Israël voulait être l'une des grandes nations (v. </w:t>
      </w:r>
      <w:hyperlink r:id="rId5421">
        <w:r>
          <w:rPr>
            <w:color w:val="0000EE"/>
            <w:u w:val="single"/>
          </w:rPr>
          <w:t>32</w:t>
        </w:r>
      </w:hyperlink>
      <w:r>
        <w:t xml:space="preserve">) au lieu d'un peuple sanctifié (v. </w:t>
      </w:r>
      <w:hyperlink r:id="rId5422">
        <w:r>
          <w:rPr>
            <w:color w:val="0000EE"/>
            <w:u w:val="single"/>
          </w:rPr>
          <w:t>12</w:t>
        </w:r>
      </w:hyperlink>
      <w:r>
        <w:t xml:space="preserve">). En raison de sa dureté spirituelle, Israël est dispersé pour vivre parmi les nations (v. </w:t>
      </w:r>
      <w:hyperlink r:id="rId5423">
        <w:r>
          <w:rPr>
            <w:color w:val="0000EE"/>
            <w:u w:val="single"/>
          </w:rPr>
          <w:t>35</w:t>
        </w:r>
      </w:hyperlink>
      <w:r>
        <w:t xml:space="preserve">). Pourtant, Dieu avait une alliance solennelle avec Israël, conclue par serment avec les patriarches Abraham, Isaac et Jacob. Sur la base de cette alliance, Dieu tendra la main avec compassion à ceux qui se repentent de leurs voies pécheresses (vv. </w:t>
      </w:r>
      <w:hyperlink r:id="rId5424">
        <w:r>
          <w:rPr>
            <w:color w:val="0000EE"/>
            <w:u w:val="single"/>
          </w:rPr>
          <w:t>37–44</w:t>
        </w:r>
      </w:hyperlink>
      <w:r>
        <w:t xml:space="preserve">). Dans le jugement et la restauration d'Israël, les nations verront la sainteté de Dieu, qui ne tolère pas l'infidélité en Israël (v. </w:t>
      </w:r>
      <w:hyperlink r:id="rId5425">
        <w:r>
          <w:rPr>
            <w:color w:val="0000EE"/>
            <w:u w:val="single"/>
          </w:rPr>
          <w:t>41</w:t>
        </w:r>
      </w:hyperlink>
      <w:r>
        <w:t>).</w:t>
      </w:r>
    </w:p>
    <w:p>
      <w:r/>
      <w:r>
        <w:t>Les prophéties d'Ézéchiel alternent entre le jugement de Dieu sur le péché d'Israël et la restauration d'Israël, établissant un lien entre le passé et l'avenir d'Israël. Face aux doutes du peuple concernant le jugement à venir sur Jérusalem, il souligne la nécessité du jugement et le besoin de repentance. Cependant, la future restauration d'un reste est évoquée ici et là comme le pendant de son message de jugement. Après avoir annoncé la chute de Jérusalem, le prophète passe d'un message de jugement à un message d'espérance.</w:t>
      </w:r>
    </w:p>
    <w:p>
      <w:r/>
      <w:r>
        <w:t>Le prophète revient à la proclamation du jugement dans quatre oracles (</w:t>
      </w:r>
      <w:hyperlink r:id="rId5426">
        <w:r>
          <w:rPr>
            <w:color w:val="0000EE"/>
            <w:u w:val="single"/>
          </w:rPr>
          <w:t>20.45–21.32</w:t>
        </w:r>
      </w:hyperlink>
      <w:r>
        <w:t>). Il parle contre la région du désert du Néguev (</w:t>
      </w:r>
      <w:hyperlink r:id="rId5427">
        <w:r>
          <w:rPr>
            <w:color w:val="0000EE"/>
            <w:u w:val="single"/>
          </w:rPr>
          <w:t>20.45–49</w:t>
        </w:r>
      </w:hyperlink>
      <w:r>
        <w:t>, appelé « le midi » dans la plupart des traductions françaises), Jérusalem et le pays d'Israël (</w:t>
      </w:r>
      <w:hyperlink r:id="rId5428">
        <w:r>
          <w:rPr>
            <w:color w:val="0000EE"/>
            <w:u w:val="single"/>
          </w:rPr>
          <w:t>21.2–17, 20–27</w:t>
        </w:r>
      </w:hyperlink>
      <w:r>
        <w:t xml:space="preserve">), et contre les Ammonites (vv. </w:t>
      </w:r>
      <w:hyperlink r:id="rId5429">
        <w:r>
          <w:rPr>
            <w:color w:val="0000EE"/>
            <w:u w:val="single"/>
          </w:rPr>
          <w:t>28–32</w:t>
        </w:r>
      </w:hyperlink>
      <w:r>
        <w:t xml:space="preserve">). Dieu a permis que l'épée de Nebucadnetsar soit son instrument de jugement sur les Judéens (v. </w:t>
      </w:r>
      <w:hyperlink r:id="rId5430">
        <w:r>
          <w:rPr>
            <w:color w:val="0000EE"/>
            <w:u w:val="single"/>
          </w:rPr>
          <w:t>19</w:t>
        </w:r>
      </w:hyperlink>
      <w:r>
        <w:t xml:space="preserve">). Il veillerait au jugement sur les Ammonites. Les Judéens retrouveraient leur gloire passée, mais le souvenir des Ammonites périrait (vv. </w:t>
      </w:r>
      <w:hyperlink r:id="rId5431">
        <w:r>
          <w:rPr>
            <w:color w:val="0000EE"/>
            <w:u w:val="single"/>
          </w:rPr>
          <w:t>27, 32</w:t>
        </w:r>
      </w:hyperlink>
      <w:r>
        <w:t xml:space="preserve">). L'oracle contre les Ammonites anticipe un traité plus large sur les autres voisins d'Israël : Moab, Édom, Philistie, Tyr, Sidon et Égypte (chap. </w:t>
      </w:r>
      <w:hyperlink r:id="rId5432">
        <w:r>
          <w:rPr>
            <w:color w:val="0000EE"/>
            <w:u w:val="single"/>
          </w:rPr>
          <w:t>25–29</w:t>
        </w:r>
      </w:hyperlink>
      <w:r>
        <w:t>).</w:t>
      </w:r>
    </w:p>
    <w:p>
      <w:r/>
      <w:r>
        <w:t xml:space="preserve">Les chapitres </w:t>
      </w:r>
      <w:hyperlink r:id="rId5433">
        <w:r>
          <w:rPr>
            <w:color w:val="0000EE"/>
            <w:u w:val="single"/>
          </w:rPr>
          <w:t>22–24</w:t>
        </w:r>
      </w:hyperlink>
      <w:r>
        <w:t xml:space="preserve"> contiennent une série renouvelée d'accusations contre Jérusalem. La direction religieuse et civile de Jérusalem (les prophètes, prêtres et princes) est corrompue, et le peuple a suivi leur exemple (</w:t>
      </w:r>
      <w:hyperlink r:id="rId5434">
        <w:r>
          <w:rPr>
            <w:color w:val="0000EE"/>
            <w:u w:val="single"/>
          </w:rPr>
          <w:t>22.25–30</w:t>
        </w:r>
      </w:hyperlink>
      <w:r>
        <w:t xml:space="preserve">). La parabole des deux sœurs, Ohola et Oholiba, est une variation de la parabole de Jérusalem adultère (chap. </w:t>
      </w:r>
      <w:hyperlink r:id="rId5435">
        <w:r>
          <w:rPr>
            <w:color w:val="0000EE"/>
            <w:u w:val="single"/>
          </w:rPr>
          <w:t>23</w:t>
        </w:r>
      </w:hyperlink>
      <w:r>
        <w:t xml:space="preserve"> ; cf. chap. </w:t>
      </w:r>
      <w:hyperlink r:id="rId382">
        <w:r>
          <w:rPr>
            <w:color w:val="0000EE"/>
            <w:u w:val="single"/>
          </w:rPr>
          <w:t>16</w:t>
        </w:r>
      </w:hyperlink>
      <w:r>
        <w:t xml:space="preserve">). Elle diffère en ce que la comparaison entre Jérusalem, bientôt exilée, et Samarie, déjà en exil, est plus explicite dans la parabole d'Ohola et Oholiba. Dans le chapitre </w:t>
      </w:r>
      <w:hyperlink r:id="rId382">
        <w:r>
          <w:rPr>
            <w:color w:val="0000EE"/>
            <w:u w:val="single"/>
          </w:rPr>
          <w:t>16</w:t>
        </w:r>
      </w:hyperlink>
      <w:r>
        <w:t xml:space="preserve">, Jérusalem était accusée de péchés plus grands que Sodome et Samarie, mais une restauration lui était promise. Seule la nature adultère des deux sœurs et le jugement de Dieu sur elles sont soulignés dans le chapitre </w:t>
      </w:r>
      <w:hyperlink r:id="rId5435">
        <w:r>
          <w:rPr>
            <w:color w:val="0000EE"/>
            <w:u w:val="single"/>
          </w:rPr>
          <w:t>23</w:t>
        </w:r>
      </w:hyperlink>
      <w:r>
        <w:t xml:space="preserve">, sans mention de restauration. Cette parabole est une introduction appropriée à celle du pot bouillant (chap. </w:t>
      </w:r>
      <w:hyperlink r:id="rId5436">
        <w:r>
          <w:rPr>
            <w:color w:val="0000EE"/>
            <w:u w:val="single"/>
          </w:rPr>
          <w:t>24</w:t>
        </w:r>
      </w:hyperlink>
      <w:r>
        <w:t>), dans laquelle Jérusalem est comparée à un pot rouillé d'eau bouillante. Les Jérusalémites, comparés à des morceaux de viande dans le pot bouillant, mourront dans la ville. La parabole a été prononcée le jour du début du siège de Jérusalem par Nebucadnetsar. Ainsi, les exilés ont été divinement avertis de l'intention de Dieu de détruire le temple (</w:t>
      </w:r>
      <w:hyperlink r:id="rId5437">
        <w:r>
          <w:rPr>
            <w:color w:val="0000EE"/>
            <w:u w:val="single"/>
          </w:rPr>
          <w:t>24.21</w:t>
        </w:r>
      </w:hyperlink>
      <w:r>
        <w:t>) et ont été préparés pour les messagers apportant la mauvaise nouvelle de la chute de Jérusalem.</w:t>
      </w:r>
    </w:p>
    <w:p>
      <w:r/>
      <w:r>
        <w:t>Ces oracles et paraboles concluent la première partie du livre. Ézéchiel a exposé la cause de Dieu contre la maison rebelle de Juda de nombreuses manières. Ses métaphores ont comparé Juda à un morceau de bois brûlé, à une vigne déracinée, à un bébé devenu adultère, et à Oholiba, la femme adultère. Il a réfuté les arguments contre l'accomplissement de la parole de Dieu et contre la justice de Dieu. Il a rassuré les exilés que Dieu n'abandonnera pas les justes et que l'avenir d'Israël commencera avec un reste juste. Le pendule de l'écriture d'Ézéchiel a oscillé du jugement à la restauration, tandis que l'horloge rapprochait Juda de l'heure de sa chute.</w:t>
      </w:r>
    </w:p>
    <w:p>
      <w:pPr>
        <w:pStyle w:val="Heading4"/>
      </w:pPr>
      <w:r>
        <w:t>Oracles contre les nations (</w:t>
      </w:r>
      <w:hyperlink r:id="rId5018">
        <w:r>
          <w:rPr>
            <w:color w:val="0000EE"/>
            <w:u w:val="single"/>
          </w:rPr>
          <w:t>25.1–32.32</w:t>
        </w:r>
      </w:hyperlink>
      <w:r>
        <w:t>)</w:t>
      </w:r>
    </w:p>
    <w:p>
      <w:r/>
      <w:r>
        <w:t>Ammon, Moab et Édom étaient les voisins d'Israël du côté est. Étant ethniquement liés à Israël, ils n'ont pas été attaqués par les Israélites lors de leur marche vers la Terre promise. Ammon et Moab descendaient de Lot, le neveu d'Abraham, et les Édomites descendaient d'Ésaü, le frère de Jacob. Bien que Dieu ait interdit la guerre avec eux, les relations entre Israël et ses voisins à l'est étaient toujours tendues. Israël avait été envahi par les Ammonites pendant un certain temps, et Israël n'a jamais réussi à contrôler les relations commerciales concurrentielles des Édomites. Ces nations voisines se sont jointes à l'attaque babylonienne contre Jérusalem et se sont réjouies lorsque Jérusalem est tombée et que le temple a été dévasté (</w:t>
      </w:r>
      <w:hyperlink r:id="rId5438">
        <w:r>
          <w:rPr>
            <w:color w:val="0000EE"/>
            <w:u w:val="single"/>
          </w:rPr>
          <w:t>Ez 25.3–12</w:t>
        </w:r>
      </w:hyperlink>
      <w:r>
        <w:t xml:space="preserve">). Elles étaient prêtes à prendre le contrôle, à piller les villes de Juda et à provoquer des troubles à une époque où Jérusalem était en détresse. C'est pourquoi, dit Ézéchiel, le jugement de Dieu s'étendra également à Ammon, Moab et Édom (vv </w:t>
      </w:r>
      <w:hyperlink r:id="rId5439">
        <w:r>
          <w:rPr>
            <w:color w:val="0000EE"/>
            <w:u w:val="single"/>
          </w:rPr>
          <w:t>4–14</w:t>
        </w:r>
      </w:hyperlink>
      <w:r>
        <w:t>).</w:t>
      </w:r>
    </w:p>
    <w:p>
      <w:r/>
      <w:r>
        <w:t>Les Philistins avaient été l'ennemi d'Israël au sud-ouest. Pendant la période des juges et de la monarchie unie, les Philistins avaient contrôlé une grande partie du territoire d'Israël. Le roi David a réussi à limiter la menace philistine en les confinant à leur propre territoire. Mais à l'époque d'Ézéchiel, ils étaient encore considérés comme la sœur ennemie « éternelle » d'Israël (</w:t>
      </w:r>
      <w:hyperlink r:id="rId5440">
        <w:r>
          <w:rPr>
            <w:color w:val="0000EE"/>
            <w:u w:val="single"/>
          </w:rPr>
          <w:t>25.15</w:t>
        </w:r>
      </w:hyperlink>
      <w:r>
        <w:t>), avec une haine possiblement intensifiée par le soutien philistin à l'invasion babylonienne de Juda.</w:t>
      </w:r>
    </w:p>
    <w:p>
      <w:r/>
      <w:r>
        <w:t>La ville de Tyr avait reçu des rapports sur le renversement de Jérusalem et était prête à exploiter l'opportunité à son propre avantage (</w:t>
      </w:r>
      <w:hyperlink r:id="rId5441">
        <w:r>
          <w:rPr>
            <w:color w:val="0000EE"/>
            <w:u w:val="single"/>
          </w:rPr>
          <w:t>26.2</w:t>
        </w:r>
      </w:hyperlink>
      <w:r>
        <w:t>). La position commerciale de Tyr était inégalée ; ses navires traversaient les mers pour échanger des marchandises avec de nombreux pays lointains (</w:t>
      </w:r>
      <w:hyperlink r:id="rId5442">
        <w:r>
          <w:rPr>
            <w:color w:val="0000EE"/>
            <w:u w:val="single"/>
          </w:rPr>
          <w:t>Ez 27</w:t>
        </w:r>
      </w:hyperlink>
      <w:r>
        <w:t>). Mais Tyr serait bientôt brisée par les Babyloniens, sa richesse tarie avec la destruction de sa flotte et le meurtre de ses marins (</w:t>
      </w:r>
      <w:hyperlink r:id="rId5443">
        <w:r>
          <w:rPr>
            <w:color w:val="0000EE"/>
            <w:u w:val="single"/>
          </w:rPr>
          <w:t>27.26</w:t>
        </w:r>
      </w:hyperlink>
      <w:r>
        <w:t>).</w:t>
      </w:r>
    </w:p>
    <w:p>
      <w:r/>
      <w:r>
        <w:t xml:space="preserve">Le prince de Tyr est mentionné dans le chapitre </w:t>
      </w:r>
      <w:hyperlink r:id="rId5444">
        <w:r>
          <w:rPr>
            <w:color w:val="0000EE"/>
            <w:u w:val="single"/>
          </w:rPr>
          <w:t>28</w:t>
        </w:r>
      </w:hyperlink>
      <w:r>
        <w:t xml:space="preserve">, mais le verset </w:t>
      </w:r>
      <w:hyperlink r:id="rId5445">
        <w:r>
          <w:rPr>
            <w:color w:val="0000EE"/>
            <w:u w:val="single"/>
          </w:rPr>
          <w:t>12</w:t>
        </w:r>
      </w:hyperlink>
      <w:r>
        <w:t xml:space="preserve"> se réfère au « roi » de Tyr. Les interprètes ne s'accordent pas sur la question de savoir s'il s'agit de la même personne ou de deux personnes distinctes. Ceux qui distinguent les deux disent que le prince de Tyr est le dirigeant de cette ville, mais considèrent que le « roi » de Tyr représente Satan (</w:t>
      </w:r>
      <w:hyperlink r:id="rId5446">
        <w:r>
          <w:rPr>
            <w:color w:val="0000EE"/>
            <w:u w:val="single"/>
          </w:rPr>
          <w:t>28.13–15</w:t>
        </w:r>
      </w:hyperlink>
      <w:r>
        <w:t xml:space="preserve">). Le jardin d'Éden avec toute sa splendeur est un cadre approprié pour la gloire originelle d'un Satan angélique avant sa chute. Mais le contexte ne nous offre aucune raison de distinguer entre le prince et le roi de Tyr. Chacun est dit s'être exalté, et tous deux ont pris autorité sur les hommes comme s'ils étaient des dieux et ont joui de toute la splendeur et de la royauté qui appartiennent à Dieu. Tant le prince que le roi tombent de leur haute position. Le passage est un magnifique exemple de la capacité littéraire d'Ézéchiel. Il dessine une image glorieuse du jardin d'Éden, retravaillant le même thème en décrivant la gloire et la chute du roi de Tyr. Ézéchiel le présente comme un chérubin, conformément à la croyance locale selon laquelle le roi était divin. Il portait les plus beaux vêtements, avec neuf sortes de pierres précieuses (v. </w:t>
      </w:r>
      <w:hyperlink r:id="rId5447">
        <w:r>
          <w:rPr>
            <w:color w:val="0000EE"/>
            <w:u w:val="single"/>
          </w:rPr>
          <w:t>13</w:t>
        </w:r>
      </w:hyperlink>
      <w:r>
        <w:t xml:space="preserve">). Bien que Dieu l'ait élevé au trône royal (vv. </w:t>
      </w:r>
      <w:hyperlink r:id="rId5448">
        <w:r>
          <w:rPr>
            <w:color w:val="0000EE"/>
            <w:u w:val="single"/>
          </w:rPr>
          <w:t>13–14</w:t>
        </w:r>
      </w:hyperlink>
      <w:r>
        <w:t xml:space="preserve">), le cœur du roi s'est tourné vers le matérialisme et vers la corruption religieuse et judiciaire (vv. </w:t>
      </w:r>
      <w:hyperlink r:id="rId5449">
        <w:r>
          <w:rPr>
            <w:color w:val="0000EE"/>
            <w:u w:val="single"/>
          </w:rPr>
          <w:t>16–18</w:t>
        </w:r>
      </w:hyperlink>
      <w:r>
        <w:t xml:space="preserve">). En un sens, le roi (prince) représente le peuple de Tyr. Ils étaient tous coupables de corruption, d'injustice et de violence. Si Dieu a jugé son peuple d'alliance pour leur perversion de la justice et pour leurs péchés, son jugement viendrait sûrement aussi sur la ville de Tyr (vv. </w:t>
      </w:r>
      <w:hyperlink r:id="rId5450">
        <w:r>
          <w:rPr>
            <w:color w:val="0000EE"/>
            <w:u w:val="single"/>
          </w:rPr>
          <w:t>18–19</w:t>
        </w:r>
      </w:hyperlink>
      <w:r>
        <w:t>). Lorsque les Babyloniens ont marché sur Tyr, ils ont laborieusement construit une jetée depuis le continent jusqu'à la ville. En même temps, les navires tyriens chargés de marchandises et de trésors ont navigué à travers la Méditerranée, de sorte que lorsque les troupes de Nebucadnetsar ont finalement percé les murs, peu de butin a pu être pris (</w:t>
      </w:r>
      <w:hyperlink r:id="rId5451">
        <w:r>
          <w:rPr>
            <w:color w:val="0000EE"/>
            <w:u w:val="single"/>
          </w:rPr>
          <w:t>29.18</w:t>
        </w:r>
      </w:hyperlink>
      <w:r>
        <w:t>).</w:t>
      </w:r>
    </w:p>
    <w:p>
      <w:r/>
      <w:r>
        <w:t>La ville de Sidon a également applaudi la destruction de Jérusalem. Sidon était une ville portuaire en Phénicie, au nord de Tyr. Par la peste et la guerre, les habitants de Sidon seraient instruites concernant la justice du Dieu d'Israël.</w:t>
      </w:r>
    </w:p>
    <w:p>
      <w:r/>
      <w:r>
        <w:t>Six nations (Ammon, Moab, Édom, Philistie, Tyr et Sidon) ont méprisé Israël lors de la chute de Jérusalem. Parce que Dieu avait investi sa sainteté dans le temple de Jérusalem et dans son peuple, la destruction du temple et l'exil du peuple signifiaient pour les nations que le Dieu d'Israël était impuissant. Elles ne réalisaient pas que la raison du sort d'Israël était l'intolérance de Dieu envers le péché de son peuple. La sainteté de Dieu exigeait la punition du péché, et elle exigeait également la justification de son nom (</w:t>
      </w:r>
      <w:hyperlink r:id="rId5452">
        <w:r>
          <w:rPr>
            <w:color w:val="0000EE"/>
            <w:u w:val="single"/>
          </w:rPr>
          <w:t>28.22–23</w:t>
        </w:r>
      </w:hyperlink>
      <w:r>
        <w:t xml:space="preserve">). Dieu se préoccupait toujours de son peuple, afin qu'Israël sache qu'il avait ôté le mépris de leurs voisins (v. </w:t>
      </w:r>
      <w:hyperlink r:id="rId5453">
        <w:r>
          <w:rPr>
            <w:color w:val="0000EE"/>
            <w:u w:val="single"/>
          </w:rPr>
          <w:t>24</w:t>
        </w:r>
      </w:hyperlink>
      <w:r>
        <w:t xml:space="preserve">). Dans la restauration d'Israël, le Seigneur manifesterait encore sa sainteté devant les nations. Israël récupérerait la terre, les vignobles et les maisons, et jouirait de l'abondance du Seigneur dans la paix (vv. </w:t>
      </w:r>
      <w:hyperlink r:id="rId5454">
        <w:r>
          <w:rPr>
            <w:color w:val="0000EE"/>
            <w:u w:val="single"/>
          </w:rPr>
          <w:t>25–26</w:t>
        </w:r>
      </w:hyperlink>
      <w:r>
        <w:t>).</w:t>
      </w:r>
    </w:p>
    <w:p>
      <w:r/>
      <w:r>
        <w:t>L'Égypte avait convaincu le peuple d'Israël et de Juda qu'avec son aide, les Assyriens et les Babyloniens ne pourraient pas maintenir leur position en Palestine. En 722 av. J.‑C., les troupes assyriennes prennent la capitale du Royaume du nord, Samarie, et en l'an 586, les Babyloniens conquièrent Jérusalem, tandis que l'Égypte restait passive. Les Égyptiens désiraient le contrôle de la Palestine pour des raisons économiques, mais pas au détriment de leur propre bien-être. L'Égypte, elle aussi, perdrait son leadership sous le jugement de Dieu (</w:t>
      </w:r>
      <w:hyperlink r:id="rId5455">
        <w:r>
          <w:rPr>
            <w:color w:val="0000EE"/>
            <w:u w:val="single"/>
          </w:rPr>
          <w:t>29.9–16</w:t>
        </w:r>
      </w:hyperlink>
      <w:r>
        <w:t>). Réduite à la dépendance des puissances étrangères, l'Égypte ne serait plus un obstacle pour Israël. D'abord, la Babylonie a été autorisée à briser la puissance de l'Égypte (</w:t>
      </w:r>
      <w:hyperlink r:id="rId5456">
        <w:r>
          <w:rPr>
            <w:color w:val="0000EE"/>
            <w:u w:val="single"/>
          </w:rPr>
          <w:t>23.1–32.21</w:t>
        </w:r>
      </w:hyperlink>
      <w:r>
        <w:t>) ; plus tard, les Perses, les Grecs et les Romains incorporeront l'Égypte comme province. La chute de l'Égypte coïncide avec la chute de plusieurs grands et petits royaumes : l'Assyrie (</w:t>
      </w:r>
      <w:hyperlink r:id="rId5457">
        <w:r>
          <w:rPr>
            <w:color w:val="0000EE"/>
            <w:u w:val="single"/>
          </w:rPr>
          <w:t>32.22–23</w:t>
        </w:r>
      </w:hyperlink>
      <w:r>
        <w:t xml:space="preserve">), Élam (vv. </w:t>
      </w:r>
      <w:hyperlink r:id="rId4606">
        <w:r>
          <w:rPr>
            <w:color w:val="0000EE"/>
            <w:u w:val="single"/>
          </w:rPr>
          <w:t>24–25</w:t>
        </w:r>
      </w:hyperlink>
      <w:r>
        <w:t xml:space="preserve">), Méschec et Tubal (vv. </w:t>
      </w:r>
      <w:hyperlink r:id="rId5458">
        <w:r>
          <w:rPr>
            <w:color w:val="0000EE"/>
            <w:u w:val="single"/>
          </w:rPr>
          <w:t>26–28</w:t>
        </w:r>
      </w:hyperlink>
      <w:r>
        <w:t xml:space="preserve">), Édom (v. </w:t>
      </w:r>
      <w:hyperlink r:id="rId4510">
        <w:r>
          <w:rPr>
            <w:color w:val="0000EE"/>
            <w:u w:val="single"/>
          </w:rPr>
          <w:t>29</w:t>
        </w:r>
      </w:hyperlink>
      <w:r>
        <w:t xml:space="preserve">), et Sidon (v. </w:t>
      </w:r>
      <w:hyperlink r:id="rId5459">
        <w:r>
          <w:rPr>
            <w:color w:val="0000EE"/>
            <w:u w:val="single"/>
          </w:rPr>
          <w:t>30</w:t>
        </w:r>
      </w:hyperlink>
      <w:r>
        <w:t>).</w:t>
      </w:r>
    </w:p>
    <w:p>
      <w:pPr>
        <w:pStyle w:val="Heading4"/>
      </w:pPr>
      <w:r>
        <w:t>Proclamation d'Espérance (</w:t>
      </w:r>
      <w:hyperlink r:id="rId5329">
        <w:r>
          <w:rPr>
            <w:color w:val="0000EE"/>
            <w:u w:val="single"/>
          </w:rPr>
          <w:t>33.1–48.35</w:t>
        </w:r>
      </w:hyperlink>
      <w:r>
        <w:t>)</w:t>
      </w:r>
    </w:p>
    <w:p>
      <w:r/>
      <w:r>
        <w:t xml:space="preserve">Après les visions du jugement de Dieu sur les nations environnantes, Ézéchiel revient à l'espérance future d'Israël. Dans la première grande section de son livre, il a traité des raisons de l'exil de Juda et de la destruction du temple, faisant souvent allusion à l'avenir d'Israël. Mais la façon dont le prophète organise son contenu place, entre les prophéties du jugement et de la restauration d'Israël, les oracles du jugement de Dieu sur les voisins d'Israël qui avaient encouragé et se réjouissaient de sa chute. Tout au long de son histoire, Israël avait permis aux nations étrangères d'influencer sa religion, sa culture et la forme de son gouvernement. La réduction de leurs pouvoirs signifiait qu'Israël, restauré dans la Terre promise, serait plus libre en ce qui concerne la fidélité à Dieu. Avant d'aborder le thème de la restauration, Ézéchiel passe en revue les points saillants des chapitres </w:t>
      </w:r>
      <w:hyperlink r:id="rId5328">
        <w:r>
          <w:rPr>
            <w:color w:val="0000EE"/>
            <w:u w:val="single"/>
          </w:rPr>
          <w:t>1–24</w:t>
        </w:r>
      </w:hyperlink>
      <w:r>
        <w:t xml:space="preserve"> : 1° Il a été appelé à être une sentinelle sur Israël (</w:t>
      </w:r>
      <w:hyperlink r:id="rId5338">
        <w:r>
          <w:rPr>
            <w:color w:val="0000EE"/>
            <w:u w:val="single"/>
          </w:rPr>
          <w:t>33.1–9</w:t>
        </w:r>
      </w:hyperlink>
      <w:r>
        <w:t xml:space="preserve"> ; cf. </w:t>
      </w:r>
      <w:hyperlink r:id="rId5330">
        <w:r>
          <w:rPr>
            <w:color w:val="0000EE"/>
            <w:u w:val="single"/>
          </w:rPr>
          <w:t>1.1–3.21</w:t>
        </w:r>
      </w:hyperlink>
      <w:r>
        <w:t>). 2° Israël avait péché contre le Seigneur et devait recevoir un jugement juste (</w:t>
      </w:r>
      <w:hyperlink r:id="rId5460">
        <w:r>
          <w:rPr>
            <w:color w:val="0000EE"/>
            <w:u w:val="single"/>
          </w:rPr>
          <w:t>33.10</w:t>
        </w:r>
      </w:hyperlink>
      <w:r>
        <w:t xml:space="preserve">). 3° Jérusalem devait être prise par les Babyloniens (v. </w:t>
      </w:r>
      <w:hyperlink r:id="rId5461">
        <w:r>
          <w:rPr>
            <w:color w:val="0000EE"/>
            <w:u w:val="single"/>
          </w:rPr>
          <w:t>21</w:t>
        </w:r>
      </w:hyperlink>
      <w:r>
        <w:t xml:space="preserve">). 4° La repentance d'Israël est nécessaire pour la restauration (vv. </w:t>
      </w:r>
      <w:hyperlink r:id="rId5462">
        <w:r>
          <w:rPr>
            <w:color w:val="0000EE"/>
            <w:u w:val="single"/>
          </w:rPr>
          <w:t>11–16</w:t>
        </w:r>
      </w:hyperlink>
      <w:r>
        <w:t>).</w:t>
      </w:r>
    </w:p>
    <w:p>
      <w:r/>
      <w:r>
        <w:t>Jusqu'à présent, son ministère n'avait pas rencontré de succès. Les exilés qui avaient entendu ses messages appréciaient les capacités rhétoriques et littéraires d'Ézéchiel (</w:t>
      </w:r>
      <w:hyperlink r:id="rId5463">
        <w:r>
          <w:rPr>
            <w:color w:val="0000EE"/>
            <w:u w:val="single"/>
          </w:rPr>
          <w:t>33.32</w:t>
        </w:r>
      </w:hyperlink>
      <w:r>
        <w:t xml:space="preserve">). Ils acceptaient volontiers Ézéchiel comme une sentinelle avertissant le peuple de la catastrophe imminente à Jérusalem, et ils pouvaient avoir admis que leur péché était la raison du jugement de Dieu sur Israël et Jérusalem. Cependant, ils tardaient à appliquer la parole prophétique à leur propre vie. Dieu était prêt à pardonner leurs péchés s'ils se repentaient, le reconnaissaient et démontraient leur esprit renouvelé en pratiquant la loi de Dieu (v. </w:t>
      </w:r>
      <w:hyperlink r:id="rId5463">
        <w:r>
          <w:rPr>
            <w:color w:val="0000EE"/>
            <w:u w:val="single"/>
          </w:rPr>
          <w:t>32</w:t>
        </w:r>
      </w:hyperlink>
      <w:r>
        <w:t xml:space="preserve">). Maintenant que la nouvelle de Jérusalem avait été rapportée aux exilés (v. </w:t>
      </w:r>
      <w:hyperlink r:id="rId5461">
        <w:r>
          <w:rPr>
            <w:color w:val="0000EE"/>
            <w:u w:val="single"/>
          </w:rPr>
          <w:t>21</w:t>
        </w:r>
      </w:hyperlink>
      <w:r>
        <w:t xml:space="preserve">), la nécessité pour le peuple d'agir de manière responsable était encore plus urgente. Le Seigneur avait démontré qu'Ézéchiel était un vrai prophète (v. </w:t>
      </w:r>
      <w:hyperlink r:id="rId5464">
        <w:r>
          <w:rPr>
            <w:color w:val="0000EE"/>
            <w:u w:val="single"/>
          </w:rPr>
          <w:t>33</w:t>
        </w:r>
      </w:hyperlink>
      <w:r>
        <w:t>).</w:t>
      </w:r>
    </w:p>
    <w:p>
      <w:r/>
      <w:r>
        <w:t>Le succès du ministère d'Ézéchiel ne se mesurait pas en chiffres. Il a fidèlement proclamé la parole de Dieu par la parole, les signes et les paraboles. Les exilés avaient suivi les faux espoirs proclamés par de faux « bergers » qui s'étaient engraissés aux dépens du troupeau (</w:t>
      </w:r>
      <w:hyperlink r:id="rId5465">
        <w:r>
          <w:rPr>
            <w:color w:val="0000EE"/>
            <w:u w:val="single"/>
          </w:rPr>
          <w:t>34.2–3</w:t>
        </w:r>
      </w:hyperlink>
      <w:r>
        <w:t xml:space="preserve">). Ils ne prenaient pas soin de ceux dans le besoin (v. </w:t>
      </w:r>
      <w:hyperlink r:id="rId5466">
        <w:r>
          <w:rPr>
            <w:color w:val="0000EE"/>
            <w:u w:val="single"/>
          </w:rPr>
          <w:t>4</w:t>
        </w:r>
      </w:hyperlink>
      <w:r>
        <w:t xml:space="preserve">), et ils laissaient le troupeau se disperser (vv. </w:t>
      </w:r>
      <w:hyperlink r:id="rId5467">
        <w:r>
          <w:rPr>
            <w:color w:val="0000EE"/>
            <w:u w:val="single"/>
          </w:rPr>
          <w:t>5–6</w:t>
        </w:r>
      </w:hyperlink>
      <w:r>
        <w:t>). Dieu a promis à son peuple qu'il serait le berger fidèle, qu'il rassemblerait les brebis, qu'il les nourrirait et prendrait soin d'elles (</w:t>
      </w:r>
      <w:hyperlink r:id="rId5468">
        <w:r>
          <w:rPr>
            <w:color w:val="0000EE"/>
            <w:u w:val="single"/>
          </w:rPr>
          <w:t>34.11–15</w:t>
        </w:r>
      </w:hyperlink>
      <w:r>
        <w:t xml:space="preserve"> ; cf. </w:t>
      </w:r>
      <w:hyperlink r:id="rId5469">
        <w:r>
          <w:rPr>
            <w:color w:val="0000EE"/>
            <w:u w:val="single"/>
          </w:rPr>
          <w:t>Ps 23</w:t>
        </w:r>
      </w:hyperlink>
      <w:r>
        <w:t>). Dieu distinguerait également entre les brebis et les boucs, pour découvrir ceux dont le cœur était en accord avec lui, afin que les vraies brebis puissent être restaurées dans le troupeau de Dieu (</w:t>
      </w:r>
      <w:hyperlink r:id="rId5470">
        <w:r>
          <w:rPr>
            <w:color w:val="0000EE"/>
            <w:u w:val="single"/>
          </w:rPr>
          <w:t>Ez 34.20–22</w:t>
        </w:r>
      </w:hyperlink>
      <w:r>
        <w:t xml:space="preserve">). La promesse de Dieu incluait la restauration de la terre et la restauration de la dynastie davidique divinement désignée (v. </w:t>
      </w:r>
      <w:hyperlink r:id="rId5471">
        <w:r>
          <w:rPr>
            <w:color w:val="0000EE"/>
            <w:u w:val="single"/>
          </w:rPr>
          <w:t>24</w:t>
        </w:r>
      </w:hyperlink>
      <w:r>
        <w:t xml:space="preserve">). La communion renouvelée entre le Seigneur et Israël sous le dirigeant messianique serait scellée par une nouvelle alliance, l'« alliance de paix ». Cette alliance assurait au peuple la bénédiction de Dieu sur leur travail, leur apportant des récoltes abondantes (vv. </w:t>
      </w:r>
      <w:hyperlink r:id="rId5472">
        <w:r>
          <w:rPr>
            <w:color w:val="0000EE"/>
            <w:u w:val="single"/>
          </w:rPr>
          <w:t>26–27</w:t>
        </w:r>
      </w:hyperlink>
      <w:r>
        <w:t xml:space="preserve">). Le peuple ne serait pas contraint de lutter contre la nature dans ses activités (vv. </w:t>
      </w:r>
      <w:hyperlink r:id="rId5473">
        <w:r>
          <w:rPr>
            <w:color w:val="0000EE"/>
            <w:u w:val="single"/>
          </w:rPr>
          <w:t>25–28</w:t>
        </w:r>
      </w:hyperlink>
      <w:r>
        <w:t xml:space="preserve">). Ils n'auraient pas à lutter contre d'autres peuples qui pourraient essayer de partager leurs bénédictions par la force (vv. </w:t>
      </w:r>
      <w:hyperlink r:id="rId5474">
        <w:r>
          <w:rPr>
            <w:color w:val="0000EE"/>
            <w:u w:val="single"/>
          </w:rPr>
          <w:t>27–29</w:t>
        </w:r>
      </w:hyperlink>
      <w:r>
        <w:t xml:space="preserve">). La vision prophétique télescopait les événements de la restauration d'Israël après l'exil, la venue de Jésus le Messie (cf. </w:t>
      </w:r>
      <w:hyperlink r:id="rId1822">
        <w:r>
          <w:rPr>
            <w:color w:val="0000EE"/>
            <w:u w:val="single"/>
          </w:rPr>
          <w:t>Jn 10</w:t>
        </w:r>
      </w:hyperlink>
      <w:r>
        <w:t>), et la restauration complète du monde maudit par le péché.</w:t>
      </w:r>
    </w:p>
    <w:p>
      <w:r/>
      <w:r>
        <w:t xml:space="preserve">Le chapitre </w:t>
      </w:r>
      <w:hyperlink r:id="rId4006">
        <w:r>
          <w:rPr>
            <w:color w:val="0000EE"/>
            <w:u w:val="single"/>
          </w:rPr>
          <w:t>34</w:t>
        </w:r>
      </w:hyperlink>
      <w:r>
        <w:t xml:space="preserve"> est essentiel pour comprendre les messages de restauration. Les points forts incluent la mise en œuvre du verset souvent répété « </w:t>
      </w:r>
      <w:r>
        <w:t>ils seront mon peuple, et je serai leur Dieu</w:t>
      </w:r>
      <w:r>
        <w:t xml:space="preserve"> » (</w:t>
      </w:r>
      <w:hyperlink r:id="rId5475">
        <w:r>
          <w:rPr>
            <w:color w:val="0000EE"/>
            <w:u w:val="single"/>
          </w:rPr>
          <w:t>11.20</w:t>
        </w:r>
      </w:hyperlink>
      <w:r>
        <w:t xml:space="preserve"> ; cf. </w:t>
      </w:r>
      <w:hyperlink r:id="rId5476">
        <w:r>
          <w:rPr>
            <w:color w:val="0000EE"/>
            <w:u w:val="single"/>
          </w:rPr>
          <w:t>34.30</w:t>
        </w:r>
      </w:hyperlink>
      <w:r>
        <w:t xml:space="preserve"> ; </w:t>
      </w:r>
      <w:hyperlink r:id="rId5477">
        <w:r>
          <w:rPr>
            <w:color w:val="0000EE"/>
            <w:u w:val="single"/>
          </w:rPr>
          <w:t>36.28</w:t>
        </w:r>
      </w:hyperlink>
      <w:r>
        <w:t>). Les aspects les plus significatifs du thème de la restauration incluent : 1° La restauration gracieuse par Dieu de son peuple à la bénédiction de l'alliance (</w:t>
      </w:r>
      <w:hyperlink r:id="rId5478">
        <w:r>
          <w:rPr>
            <w:color w:val="0000EE"/>
            <w:u w:val="single"/>
          </w:rPr>
          <w:t>36.20–36</w:t>
        </w:r>
      </w:hyperlink>
      <w:r>
        <w:t xml:space="preserve"> ; </w:t>
      </w:r>
      <w:hyperlink r:id="rId5479">
        <w:r>
          <w:rPr>
            <w:color w:val="0000EE"/>
            <w:u w:val="single"/>
          </w:rPr>
          <w:t>37.23–26</w:t>
        </w:r>
      </w:hyperlink>
      <w:r>
        <w:t xml:space="preserve"> ; </w:t>
      </w:r>
      <w:hyperlink r:id="rId5480">
        <w:r>
          <w:rPr>
            <w:color w:val="0000EE"/>
            <w:u w:val="single"/>
          </w:rPr>
          <w:t>39.25</w:t>
        </w:r>
      </w:hyperlink>
      <w:r>
        <w:t>) ; 2° La restauration par Dieu de la nation d'Israël sur la terre (</w:t>
      </w:r>
      <w:hyperlink r:id="rId5481">
        <w:r>
          <w:rPr>
            <w:color w:val="0000EE"/>
            <w:u w:val="single"/>
          </w:rPr>
          <w:t>36.1–15, 24</w:t>
        </w:r>
      </w:hyperlink>
      <w:r>
        <w:t xml:space="preserve"> ; </w:t>
      </w:r>
      <w:hyperlink r:id="rId5482">
        <w:r>
          <w:rPr>
            <w:color w:val="0000EE"/>
            <w:u w:val="single"/>
          </w:rPr>
          <w:t>37.14–23</w:t>
        </w:r>
      </w:hyperlink>
      <w:r>
        <w:t xml:space="preserve"> ; </w:t>
      </w:r>
      <w:hyperlink r:id="rId5483">
        <w:r>
          <w:rPr>
            <w:color w:val="0000EE"/>
            <w:u w:val="single"/>
          </w:rPr>
          <w:t>39.27</w:t>
        </w:r>
      </w:hyperlink>
      <w:r>
        <w:t>) ; 3° La nouvelle alliance de Dieu, donnant son Esprit (</w:t>
      </w:r>
      <w:hyperlink r:id="rId2834">
        <w:r>
          <w:rPr>
            <w:color w:val="0000EE"/>
            <w:u w:val="single"/>
          </w:rPr>
          <w:t>36.25–27</w:t>
        </w:r>
      </w:hyperlink>
      <w:r>
        <w:t xml:space="preserve"> ; </w:t>
      </w:r>
      <w:hyperlink r:id="rId5484">
        <w:r>
          <w:rPr>
            <w:color w:val="0000EE"/>
            <w:u w:val="single"/>
          </w:rPr>
          <w:t>37.14</w:t>
        </w:r>
      </w:hyperlink>
      <w:r>
        <w:t xml:space="preserve"> ; </w:t>
      </w:r>
      <w:hyperlink r:id="rId5485">
        <w:r>
          <w:rPr>
            <w:color w:val="0000EE"/>
            <w:u w:val="single"/>
          </w:rPr>
          <w:t>39.29</w:t>
        </w:r>
      </w:hyperlink>
      <w:r>
        <w:t>) et sa bénédiction à son peuple (</w:t>
      </w:r>
      <w:hyperlink r:id="rId5486">
        <w:r>
          <w:rPr>
            <w:color w:val="0000EE"/>
            <w:u w:val="single"/>
          </w:rPr>
          <w:t>36.8–12, 29–38</w:t>
        </w:r>
      </w:hyperlink>
      <w:r>
        <w:t xml:space="preserve"> ; </w:t>
      </w:r>
      <w:hyperlink r:id="rId5487">
        <w:r>
          <w:rPr>
            <w:color w:val="0000EE"/>
            <w:u w:val="single"/>
          </w:rPr>
          <w:t>39.9–10, 26</w:t>
        </w:r>
      </w:hyperlink>
      <w:r>
        <w:t>), leur assurant la victoire sur leurs ennemis (</w:t>
      </w:r>
      <w:hyperlink r:id="rId4507">
        <w:r>
          <w:rPr>
            <w:color w:val="0000EE"/>
            <w:u w:val="single"/>
          </w:rPr>
          <w:t>35.1–15</w:t>
        </w:r>
      </w:hyperlink>
      <w:r>
        <w:t xml:space="preserve"> ; </w:t>
      </w:r>
      <w:hyperlink r:id="rId5488">
        <w:r>
          <w:rPr>
            <w:color w:val="0000EE"/>
            <w:u w:val="single"/>
          </w:rPr>
          <w:t>36.36</w:t>
        </w:r>
      </w:hyperlink>
      <w:r>
        <w:t xml:space="preserve"> ; </w:t>
      </w:r>
      <w:hyperlink r:id="rId5489">
        <w:r>
          <w:rPr>
            <w:color w:val="0000EE"/>
            <w:u w:val="single"/>
          </w:rPr>
          <w:t>37.28</w:t>
        </w:r>
      </w:hyperlink>
      <w:r>
        <w:t xml:space="preserve"> ; </w:t>
      </w:r>
      <w:hyperlink r:id="rId5490">
        <w:r>
          <w:rPr>
            <w:color w:val="0000EE"/>
            <w:u w:val="single"/>
          </w:rPr>
          <w:t>38.1–39.24</w:t>
        </w:r>
      </w:hyperlink>
      <w:r>
        <w:t>) ; 4° La nomination par Dieu d'un roi davidique, le Messie, sur son peuple (</w:t>
      </w:r>
      <w:hyperlink r:id="rId3626">
        <w:r>
          <w:rPr>
            <w:color w:val="0000EE"/>
            <w:u w:val="single"/>
          </w:rPr>
          <w:t>37.24–25</w:t>
        </w:r>
      </w:hyperlink>
      <w:r>
        <w:t>) ; et 5° Le temple de Dieu restauré parmi son peuple (</w:t>
      </w:r>
      <w:hyperlink r:id="rId5491">
        <w:r>
          <w:rPr>
            <w:color w:val="0000EE"/>
            <w:u w:val="single"/>
          </w:rPr>
          <w:t>37.26–27</w:t>
        </w:r>
      </w:hyperlink>
      <w:r>
        <w:t>).</w:t>
      </w:r>
    </w:p>
    <w:p>
      <w:r/>
      <w:r>
        <w:t>Le Peuple de Dieu</w:t>
      </w:r>
    </w:p>
    <w:p>
      <w:r/>
      <w:r>
        <w:t>Le rejet des exilés n'a pas duré éternellement. Basée sur l'alliance abrahamique, le Seigneur a promis de bénir le reste fidèle et d'en faire un nouveau peuple. L'image d'une vallée d'ossements desséchés est particulièrement adaptée. Les ossements desséchés représentent le peuple de Dieu sans espérance (</w:t>
      </w:r>
      <w:hyperlink r:id="rId5492">
        <w:r>
          <w:rPr>
            <w:color w:val="0000EE"/>
            <w:u w:val="single"/>
          </w:rPr>
          <w:t>37.11</w:t>
        </w:r>
      </w:hyperlink>
      <w:r>
        <w:t xml:space="preserve">). Ézéchiel leur proclame la bonne nouvelle suivante : Dieu les renouvellera et les restaurera (v. </w:t>
      </w:r>
      <w:hyperlink r:id="rId5493">
        <w:r>
          <w:rPr>
            <w:color w:val="0000EE"/>
            <w:u w:val="single"/>
          </w:rPr>
          <w:t>12</w:t>
        </w:r>
      </w:hyperlink>
      <w:r>
        <w:t>). Le but du Seigneur pour son peuple est que toutes les nations honorent son saint nom à travers son peuple (</w:t>
      </w:r>
      <w:hyperlink r:id="rId5494">
        <w:r>
          <w:rPr>
            <w:color w:val="0000EE"/>
            <w:u w:val="single"/>
          </w:rPr>
          <w:t>39.7, 25–27</w:t>
        </w:r>
      </w:hyperlink>
      <w:r>
        <w:t>).</w:t>
      </w:r>
    </w:p>
    <w:p>
      <w:r/>
      <w:r>
        <w:t>La Terre</w:t>
      </w:r>
    </w:p>
    <w:p>
      <w:r/>
      <w:r>
        <w:t>La promesse s'étend également à la terre, initialement donnée à Abraham et à ses descendants. L'alliance abrahamique comprenait un élément messianique, car à travers le fait que la famille d'Abraham vivrait dans la Terre promise, toutes les nations recevraient la bénédiction de Dieu (</w:t>
      </w:r>
      <w:hyperlink r:id="rId555">
        <w:r>
          <w:rPr>
            <w:color w:val="0000EE"/>
            <w:u w:val="single"/>
          </w:rPr>
          <w:t>Gn 12.3</w:t>
        </w:r>
      </w:hyperlink>
      <w:r>
        <w:t>). Dans une vision, Ézéchiel a vu les frontières et décrit la division de la terre (</w:t>
      </w:r>
      <w:hyperlink r:id="rId5495">
        <w:r>
          <w:rPr>
            <w:color w:val="0000EE"/>
            <w:u w:val="single"/>
          </w:rPr>
          <w:t>Ez 47–48</w:t>
        </w:r>
      </w:hyperlink>
      <w:r>
        <w:t xml:space="preserve">). La ville royale de Jérusalem est le symbole central de la présence de Dieu parmi son peuple ; son nom sera « </w:t>
      </w:r>
      <w:r>
        <w:t>l’Éternel est ici</w:t>
      </w:r>
      <w:r>
        <w:t xml:space="preserve"> » (</w:t>
      </w:r>
      <w:hyperlink r:id="rId5496">
        <w:r>
          <w:rPr>
            <w:color w:val="0000EE"/>
            <w:u w:val="single"/>
          </w:rPr>
          <w:t>48.8–35</w:t>
        </w:r>
      </w:hyperlink>
      <w:r>
        <w:t>).</w:t>
      </w:r>
    </w:p>
    <w:p>
      <w:r/>
      <w:r>
        <w:t>La Nouvelle alliance</w:t>
      </w:r>
    </w:p>
    <w:p>
      <w:r/>
      <w:r>
        <w:t>L'alliance abrahamique est renouvelée : une alliance de grâce qui fait état de la relation restaurée. « Alliance de paix » décrit bien sa nature et ses avantages. Le peuple agité de Dieu se voit promettre le repos après tant d'années à chercher ; un repos vis-à-vis de ses ennemis et de son labeur. Le changement de relation est encore souligné par l'envoi de l'Esprit de Dieu, qui ajoutera une nouvelle dimension au mode de vie de son peuple. L'obéissance à Dieu ne sera plus contrainte, car l'Esprit de Dieu aide son peuple à faire sa volonté. Un cœur nouveau, contrôlé par l'Esprit de Dieu, est donné au peuple du Seigneur (</w:t>
      </w:r>
      <w:hyperlink r:id="rId5497">
        <w:r>
          <w:rPr>
            <w:color w:val="0000EE"/>
            <w:u w:val="single"/>
          </w:rPr>
          <w:t>36.26–27</w:t>
        </w:r>
      </w:hyperlink>
      <w:r>
        <w:t>). La présence de l'Esprit signifie également une nouvelle vie pour le peuple (</w:t>
      </w:r>
      <w:hyperlink r:id="rId5484">
        <w:r>
          <w:rPr>
            <w:color w:val="0000EE"/>
            <w:u w:val="single"/>
          </w:rPr>
          <w:t>37.14</w:t>
        </w:r>
      </w:hyperlink>
      <w:r>
        <w:t xml:space="preserve"> ; voir </w:t>
      </w:r>
      <w:hyperlink r:id="rId5498">
        <w:r>
          <w:rPr>
            <w:color w:val="0000EE"/>
            <w:u w:val="single"/>
          </w:rPr>
          <w:t>Jn 3.8, 16</w:t>
        </w:r>
      </w:hyperlink>
      <w:r>
        <w:t xml:space="preserve"> ; </w:t>
      </w:r>
      <w:hyperlink r:id="rId5499">
        <w:r>
          <w:rPr>
            <w:color w:val="0000EE"/>
            <w:u w:val="single"/>
          </w:rPr>
          <w:t>Ac 2.38</w:t>
        </w:r>
      </w:hyperlink>
      <w:r>
        <w:t xml:space="preserve"> ; </w:t>
      </w:r>
      <w:hyperlink r:id="rId5500">
        <w:r>
          <w:rPr>
            <w:color w:val="0000EE"/>
            <w:u w:val="single"/>
          </w:rPr>
          <w:t>Rm 8.2–4, 15</w:t>
        </w:r>
      </w:hyperlink>
      <w:r>
        <w:t>).</w:t>
      </w:r>
    </w:p>
    <w:p>
      <w:r/>
      <w:r>
        <w:t>Le Messie</w:t>
      </w:r>
    </w:p>
    <w:p>
      <w:r/>
      <w:r>
        <w:t>L'espérance de l'Ancien Testament qui vise un roi messianique se cristallise dans le message d'Ézéchiel. Son règne sera éternel (</w:t>
      </w:r>
      <w:hyperlink r:id="rId5501">
        <w:r>
          <w:rPr>
            <w:color w:val="0000EE"/>
            <w:u w:val="single"/>
          </w:rPr>
          <w:t>Ez 37.25</w:t>
        </w:r>
      </w:hyperlink>
      <w:r>
        <w:t xml:space="preserve">), sur le peuple de Dieu tout entier, doté de cœurs nouveaux (vv. </w:t>
      </w:r>
      <w:hyperlink r:id="rId5502">
        <w:r>
          <w:rPr>
            <w:color w:val="0000EE"/>
            <w:u w:val="single"/>
          </w:rPr>
          <w:t>15–25</w:t>
        </w:r>
      </w:hyperlink>
      <w:r>
        <w:t>).</w:t>
      </w:r>
    </w:p>
    <w:p>
      <w:r/>
      <w:r>
        <w:t>Le Temple</w:t>
      </w:r>
    </w:p>
    <w:p>
      <w:r/>
      <w:r>
        <w:t>En tant que prêtre, Ézéchiel garde un vif intérêt pour le temple, le sacerdoce, les règlements sacrificiels et les festivals. Une grande partie de la dernière division de la prophétie décrit le culte restauré du temple (</w:t>
      </w:r>
      <w:hyperlink r:id="rId5503">
        <w:r>
          <w:rPr>
            <w:color w:val="0000EE"/>
            <w:u w:val="single"/>
          </w:rPr>
          <w:t>40.1–46.24</w:t>
        </w:r>
      </w:hyperlink>
      <w:r>
        <w:t xml:space="preserve">). Sa vision de la gloire de Dieu, si importante dans les messages du jugement de Dieu sur Jérusalem (chap. </w:t>
      </w:r>
      <w:hyperlink r:id="rId5504">
        <w:r>
          <w:rPr>
            <w:color w:val="0000EE"/>
            <w:u w:val="single"/>
          </w:rPr>
          <w:t>1</w:t>
        </w:r>
      </w:hyperlink>
      <w:r>
        <w:t xml:space="preserve">, </w:t>
      </w:r>
      <w:hyperlink r:id="rId5505">
        <w:r>
          <w:rPr>
            <w:color w:val="0000EE"/>
            <w:u w:val="single"/>
          </w:rPr>
          <w:t>10–11</w:t>
        </w:r>
      </w:hyperlink>
      <w:r>
        <w:t>), assure désormais au reste fidèle que Dieu n'a pas abandonné son peuple (</w:t>
      </w:r>
      <w:hyperlink r:id="rId5506">
        <w:r>
          <w:rPr>
            <w:color w:val="0000EE"/>
            <w:u w:val="single"/>
          </w:rPr>
          <w:t>43.2–5</w:t>
        </w:r>
      </w:hyperlink>
      <w:r>
        <w:t>). Il habitera parmi eux, car le temple est un symbole de la présence de Dieu (</w:t>
      </w:r>
      <w:hyperlink r:id="rId3156">
        <w:r>
          <w:rPr>
            <w:color w:val="0000EE"/>
            <w:u w:val="single"/>
          </w:rPr>
          <w:t>37.27</w:t>
        </w:r>
      </w:hyperlink>
      <w:r>
        <w:t xml:space="preserve">). Certains interprètes croient que le temple, avec son rituel tel que décrit dans </w:t>
      </w:r>
      <w:hyperlink r:id="rId5503">
        <w:r>
          <w:rPr>
            <w:color w:val="0000EE"/>
            <w:u w:val="single"/>
          </w:rPr>
          <w:t>Ézéchiel 40–46</w:t>
        </w:r>
      </w:hyperlink>
      <w:r>
        <w:t>, sera restauré à l'ère messianique avant le jugement dernier. D'autres croient que les promesses concernant le temple fournissent une réponse symbolique positive à la plus grande des préoccupations d'Ézéchiel : Dieu reviendra-t-il demeurer avec son peuple (</w:t>
      </w:r>
      <w:hyperlink r:id="rId5507">
        <w:r>
          <w:rPr>
            <w:color w:val="0000EE"/>
            <w:u w:val="single"/>
          </w:rPr>
          <w:t>48.35</w:t>
        </w:r>
      </w:hyperlink>
      <w:r>
        <w:t xml:space="preserve"> ; voir </w:t>
      </w:r>
      <w:hyperlink r:id="rId5508">
        <w:r>
          <w:rPr>
            <w:color w:val="0000EE"/>
            <w:u w:val="single"/>
          </w:rPr>
          <w:t>Jn 2.21</w:t>
        </w:r>
      </w:hyperlink>
      <w:r>
        <w:t xml:space="preserve"> ; </w:t>
      </w:r>
      <w:hyperlink r:id="rId5509">
        <w:r>
          <w:rPr>
            <w:color w:val="0000EE"/>
            <w:u w:val="single"/>
          </w:rPr>
          <w:t>Rv 21.22</w:t>
        </w:r>
      </w:hyperlink>
      <w:r>
        <w:t>) ?</w:t>
      </w:r>
    </w:p>
    <w:p>
      <w:r/>
      <w:r>
        <w:t xml:space="preserve">Il existe diverses interprétations des chapitres </w:t>
      </w:r>
      <w:hyperlink r:id="rId5510">
        <w:r>
          <w:rPr>
            <w:color w:val="0000EE"/>
            <w:u w:val="single"/>
          </w:rPr>
          <w:t>34–48</w:t>
        </w:r>
      </w:hyperlink>
      <w:r>
        <w:t>. En tant que sentinelle d'Israël, Ézéchiel portait un message pour la communauté juive exilée. Ainsi, l'accomplissement de la prophétie a probablement commencé avec le décret de Cyrus Ier (538 av. J.‑C.) permettant aux Juifs de retourner dans leur pays (</w:t>
      </w:r>
      <w:hyperlink r:id="rId5511">
        <w:r>
          <w:rPr>
            <w:color w:val="0000EE"/>
            <w:u w:val="single"/>
          </w:rPr>
          <w:t>Esd 1.1–3</w:t>
        </w:r>
      </w:hyperlink>
      <w:r>
        <w:t>). Deux écoles rivales d'interprétation existent quant à la manière dont la prophétie se réalise au-delà de la restauration d'Israël sur la terre. Ceux qui interprètent Israël simplement comme la nation considèrent le retour moderne du peuple juif sur la terre d'Israël comme une continuation de la promesse prophétique de Dieu. Ils croient que le plan de Dieu pour Israël s'accomplit en parallèle et en complément de son plan pour l'Église chrétienne. L'accomplissement de ces prophéties sera inauguré par la venue du roi messianique, qui apportera la paix sur la terre pour le peuple juif. Le culte du temple (</w:t>
      </w:r>
      <w:hyperlink r:id="rId5512">
        <w:r>
          <w:rPr>
            <w:color w:val="0000EE"/>
            <w:u w:val="single"/>
          </w:rPr>
          <w:t>Ez 40–48</w:t>
        </w:r>
      </w:hyperlink>
      <w:r>
        <w:t>) sera restauré d'une certaine manière pendant la période du règne messianique. L'Église jouira d'une petite part dans tous ces événements centrés sur les Juifs. Les promesses de la vision d'Ézéchiel seraient alors donc limitées à la nation d'Israël et devraient être accomplies avant la venue des nouveaux cieux et de la nouvelle terre.</w:t>
      </w:r>
    </w:p>
    <w:p>
      <w:r/>
      <w:r>
        <w:t>D'autres interprètes pensent qu'Ézéchiel a écrit pour le bénéfice des descendants spirituels d'Abraham qui croient, comme Abraham, aux promesses de Dieu (</w:t>
      </w:r>
      <w:hyperlink r:id="rId549">
        <w:r>
          <w:rPr>
            <w:color w:val="0000EE"/>
            <w:u w:val="single"/>
          </w:rPr>
          <w:t>Gn 15.6</w:t>
        </w:r>
      </w:hyperlink>
      <w:r>
        <w:t xml:space="preserve"> ; cf. </w:t>
      </w:r>
      <w:hyperlink r:id="rId5513">
        <w:r>
          <w:rPr>
            <w:color w:val="0000EE"/>
            <w:u w:val="single"/>
          </w:rPr>
          <w:t>Rm 4.11–13</w:t>
        </w:r>
      </w:hyperlink>
      <w:r>
        <w:t xml:space="preserve"> ; </w:t>
      </w:r>
      <w:hyperlink r:id="rId5514">
        <w:r>
          <w:rPr>
            <w:color w:val="0000EE"/>
            <w:u w:val="single"/>
          </w:rPr>
          <w:t>Ga 3.6–9, 29</w:t>
        </w:r>
      </w:hyperlink>
      <w:r>
        <w:t>). Tous ceux qui ont la foi comme Abraham, qu'ils soient Juifs ou Gentils, sont considérés comme la descendance d'Abraham (</w:t>
      </w:r>
      <w:hyperlink r:id="rId5515">
        <w:r>
          <w:rPr>
            <w:color w:val="0000EE"/>
            <w:u w:val="single"/>
          </w:rPr>
          <w:t>Ga 3.28–29</w:t>
        </w:r>
      </w:hyperlink>
      <w:r>
        <w:t xml:space="preserve">). Le message d'Ézéchiel inclurait donc toute l'œuvre gracieuse de Dieu parmi les chrétiens Gentils, qui sont devenus les bénéficiaires des promesses et des bienfaits de Dieu. Il est possible, sur la base de </w:t>
      </w:r>
      <w:hyperlink r:id="rId5516">
        <w:r>
          <w:rPr>
            <w:color w:val="0000EE"/>
            <w:u w:val="single"/>
          </w:rPr>
          <w:t>1P 1.10–11</w:t>
        </w:r>
      </w:hyperlink>
      <w:r>
        <w:t>, d'interpréter le langage d'Ézéchiel comme une expression prophétique de la manière dont la grâce de Dieu viendrait à tous ceux qui se réconcilient avec Dieu par la foi dans l'Évangile.</w:t>
      </w:r>
    </w:p>
    <w:p>
      <w:r/>
      <w:r>
        <w:rPr>
          <w:i/>
        </w:rPr>
        <w:t>Voir aussi</w:t>
      </w:r>
      <w:r>
        <w:t xml:space="preserve"> </w:t>
      </w:r>
      <w:r>
        <w:t>Diaspora juive</w:t>
      </w:r>
      <w:r>
        <w:t xml:space="preserve"> ; </w:t>
      </w:r>
      <w:r>
        <w:t>Ézéchiel (personne)</w:t>
      </w:r>
      <w:r>
        <w:t xml:space="preserve"> ; </w:t>
      </w:r>
      <w:r>
        <w:t>Prophétie</w:t>
      </w:r>
      <w:r>
        <w:t>.</w:t>
      </w:r>
      <w:r/>
      <w:r/>
    </w:p>
    <w:p>
      <w:r/>
    </w:p>
    <w:p>
      <w:pPr>
        <w:pStyle w:val="Heading2"/>
      </w:pPr>
      <w:r>
        <w:t>Ézer, Etser</w:t>
      </w:r>
      <w:r/>
    </w:p>
    <w:p>
      <w:r/>
      <w:r>
        <w:t>1. Chef d'une tribu horienne (</w:t>
      </w:r>
      <w:hyperlink r:id="rId4165">
        <w:r>
          <w:rPr>
            <w:color w:val="0000EE"/>
            <w:u w:val="single"/>
          </w:rPr>
          <w:t>Gn 36.21</w:t>
        </w:r>
      </w:hyperlink>
      <w:r>
        <w:t xml:space="preserve"> ; </w:t>
      </w:r>
      <w:hyperlink r:id="rId4166">
        <w:r>
          <w:rPr>
            <w:color w:val="0000EE"/>
            <w:u w:val="single"/>
          </w:rPr>
          <w:t>1Ch 1.38</w:t>
        </w:r>
      </w:hyperlink>
      <w:r>
        <w:t>).</w:t>
      </w:r>
    </w:p>
    <w:p>
      <w:r/>
      <w:r>
        <w:t>2. Descendant et probablement fils d'Éphraïm. Il a été tué lors d'un raid sur le bétail des Philistins (</w:t>
      </w:r>
      <w:hyperlink r:id="rId5517">
        <w:r>
          <w:rPr>
            <w:color w:val="0000EE"/>
            <w:u w:val="single"/>
          </w:rPr>
          <w:t>1Ch 7.21</w:t>
        </w:r>
      </w:hyperlink>
      <w:r>
        <w:t>).</w:t>
      </w:r>
    </w:p>
    <w:p>
      <w:r/>
      <w:r>
        <w:t>3. Homme de Juda, descendant de Hur (</w:t>
      </w:r>
      <w:hyperlink r:id="rId5518">
        <w:r>
          <w:rPr>
            <w:color w:val="0000EE"/>
            <w:u w:val="single"/>
          </w:rPr>
          <w:t>1Ch 4.4</w:t>
        </w:r>
      </w:hyperlink>
      <w:r>
        <w:t>).</w:t>
      </w:r>
    </w:p>
    <w:p>
      <w:r/>
      <w:r>
        <w:t>4. Gadites qui ont rejoint David à Tsiklag (</w:t>
      </w:r>
      <w:hyperlink r:id="rId5519">
        <w:r>
          <w:rPr>
            <w:color w:val="0000EE"/>
            <w:u w:val="single"/>
          </w:rPr>
          <w:t>1Ch 12.9</w:t>
        </w:r>
      </w:hyperlink>
      <w:r>
        <w:t>).</w:t>
      </w:r>
    </w:p>
    <w:p>
      <w:r/>
      <w:r>
        <w:t>5. Fils de Josué, qui gouvernait Mitspa et réparera le mur de Jérusalem (</w:t>
      </w:r>
      <w:hyperlink r:id="rId5520">
        <w:r>
          <w:rPr>
            <w:color w:val="0000EE"/>
            <w:u w:val="single"/>
          </w:rPr>
          <w:t>Né 3.19</w:t>
        </w:r>
      </w:hyperlink>
      <w:r>
        <w:t>).</w:t>
      </w:r>
    </w:p>
    <w:p>
      <w:r/>
      <w:r>
        <w:t>6. Prêtre qui a participé à la cérémonie lors de la dédicace du mur de Jérusalem (</w:t>
      </w:r>
      <w:hyperlink r:id="rId4619">
        <w:r>
          <w:rPr>
            <w:color w:val="0000EE"/>
            <w:u w:val="single"/>
          </w:rPr>
          <w:t>Né 12.42</w:t>
        </w:r>
      </w:hyperlink>
      <w:r>
        <w:t>).</w:t>
      </w:r>
      <w:r/>
      <w:r/>
    </w:p>
    <w:p>
      <w:r/>
    </w:p>
    <w:p>
      <w:pPr>
        <w:pStyle w:val="Heading2"/>
      </w:pPr>
      <w:r>
        <w:t>Faiseur de tentes</w:t>
      </w:r>
      <w:r/>
    </w:p>
    <w:p>
      <w:r/>
      <w:r>
        <w:t>Artisans qui fabriquaient des tentes à partir de matériau tissé avec des poils de chèvre. Le terme grec pour le faiseur de tentes pouvait décrire une gamme d'activités liées au tissu et au cuir. La seule référence biblique (</w:t>
      </w:r>
      <w:hyperlink r:id="rId5521">
        <w:r>
          <w:rPr>
            <w:color w:val="0000EE"/>
            <w:u w:val="single"/>
          </w:rPr>
          <w:t>Ac 18.3</w:t>
        </w:r>
      </w:hyperlink>
      <w:r>
        <w:t>) concerne Aquilas et Priscille de Corinthe, qui travaillaient comme faiseurs de tentes. L'apôtre Paul les a rejoints parce qu'il avait été formé dans le même métier. Ce commerce a fréquemment constitué un gagne-pain pour lui lors de ses voyages missionnaires (</w:t>
      </w:r>
      <w:hyperlink r:id="rId5522">
        <w:r>
          <w:rPr>
            <w:color w:val="0000EE"/>
            <w:u w:val="single"/>
          </w:rPr>
          <w:t>2Co 11.7–10</w:t>
        </w:r>
      </w:hyperlink>
      <w:r>
        <w:t xml:space="preserve"> ; </w:t>
      </w:r>
      <w:hyperlink r:id="rId5523">
        <w:r>
          <w:rPr>
            <w:color w:val="0000EE"/>
            <w:u w:val="single"/>
          </w:rPr>
          <w:t>1Th 2.9</w:t>
        </w:r>
      </w:hyperlink>
      <w:r>
        <w:t xml:space="preserve"> ; </w:t>
      </w:r>
      <w:hyperlink r:id="rId5524">
        <w:r>
          <w:rPr>
            <w:color w:val="0000EE"/>
            <w:u w:val="single"/>
          </w:rPr>
          <w:t>2Th 3.8</w:t>
        </w:r>
      </w:hyperlink>
      <w:r>
        <w:t>).</w:t>
      </w:r>
      <w:r/>
      <w:r/>
    </w:p>
    <w:p>
      <w:r/>
    </w:p>
    <w:p>
      <w:pPr>
        <w:pStyle w:val="Heading2"/>
      </w:pPr>
      <w:r>
        <w:t>Fausse couche</w:t>
      </w:r>
      <w:r/>
    </w:p>
    <w:p>
      <w:r/>
      <w:r>
        <w:t>Fin naturelle et soudaine d'un enfant à naître avant qu'il ne puisse survivre en dehors de l'utérus. La fausse couche se produit dans les grossesses animales et humaines (</w:t>
      </w:r>
      <w:hyperlink r:id="rId5525">
        <w:r>
          <w:rPr>
            <w:color w:val="0000EE"/>
            <w:u w:val="single"/>
          </w:rPr>
          <w:t>Gn 31.38</w:t>
        </w:r>
      </w:hyperlink>
      <w:r>
        <w:t xml:space="preserve"> ; </w:t>
      </w:r>
      <w:hyperlink r:id="rId5526">
        <w:r>
          <w:rPr>
            <w:color w:val="0000EE"/>
            <w:u w:val="single"/>
          </w:rPr>
          <w:t>Jb 3.16</w:t>
        </w:r>
      </w:hyperlink>
      <w:r>
        <w:t xml:space="preserve"> ; </w:t>
      </w:r>
      <w:hyperlink r:id="rId5527">
        <w:r>
          <w:rPr>
            <w:color w:val="0000EE"/>
            <w:u w:val="single"/>
          </w:rPr>
          <w:t>21.10</w:t>
        </w:r>
      </w:hyperlink>
      <w:r>
        <w:t xml:space="preserve"> ; </w:t>
      </w:r>
      <w:hyperlink r:id="rId5528">
        <w:r>
          <w:rPr>
            <w:color w:val="0000EE"/>
            <w:u w:val="single"/>
          </w:rPr>
          <w:t>Os 9.14</w:t>
        </w:r>
      </w:hyperlink>
      <w:r>
        <w:t xml:space="preserve">). Le principal problème n'est pas l'incapacité de devenir enceinte, mais la difficulté à mener la grossesse à terme. La malédiction d'un « </w:t>
      </w:r>
      <w:r>
        <w:t>sein qui avorte</w:t>
      </w:r>
      <w:r>
        <w:t xml:space="preserve"> » signifie qu'une femme ne peut pas avoir d'enfants (</w:t>
      </w:r>
      <w:hyperlink r:id="rId5528">
        <w:r>
          <w:rPr>
            <w:color w:val="0000EE"/>
            <w:u w:val="single"/>
          </w:rPr>
          <w:t>Os 9.14</w:t>
        </w:r>
      </w:hyperlink>
      <w:r>
        <w:t>). La bénédiction de Dieu entraîne des grossesses réussies et une longue vie (</w:t>
      </w:r>
      <w:hyperlink r:id="rId5529">
        <w:r>
          <w:rPr>
            <w:color w:val="0000EE"/>
            <w:u w:val="single"/>
          </w:rPr>
          <w:t>Ex 23.26</w:t>
        </w:r>
      </w:hyperlink>
      <w:r>
        <w:t>).</w:t>
      </w:r>
    </w:p>
    <w:p>
      <w:r/>
      <w:r>
        <w:t>Le problème principal dans la fausse couche est le timing, illustré par une naissance prématurée ou ce que la Bible appelle un « avorton » (</w:t>
      </w:r>
      <w:hyperlink r:id="rId5530">
        <w:r>
          <w:rPr>
            <w:color w:val="0000EE"/>
            <w:u w:val="single"/>
          </w:rPr>
          <w:t>Ps 58.8</w:t>
        </w:r>
      </w:hyperlink>
      <w:r>
        <w:t xml:space="preserve"> ; </w:t>
      </w:r>
      <w:hyperlink r:id="rId5526">
        <w:r>
          <w:rPr>
            <w:color w:val="0000EE"/>
            <w:u w:val="single"/>
          </w:rPr>
          <w:t>Jb 3.16</w:t>
        </w:r>
      </w:hyperlink>
      <w:r>
        <w:t>). Bien que les fausses couches se produisent pour de nombreuses raisons, la Bible mentionne deux causes spécifiques :</w:t>
      </w:r>
    </w:p>
    <w:p>
      <w:pPr>
        <w:pStyle w:val="ListBullet"/>
        <w:spacing w:line="240" w:lineRule="auto"/>
        <w:ind w:left="720"/>
      </w:pPr>
      <w:r/>
      <w:r>
        <w:t>le mauvais soin des animaux enceintes (</w:t>
      </w:r>
      <w:hyperlink r:id="rId5525">
        <w:r>
          <w:rPr>
            <w:color w:val="0000EE"/>
            <w:u w:val="single"/>
          </w:rPr>
          <w:t>Gn 31.38</w:t>
        </w:r>
      </w:hyperlink>
      <w:r>
        <w:t>), et</w:t>
      </w:r>
    </w:p>
    <w:p>
      <w:pPr>
        <w:pStyle w:val="ListBullet"/>
        <w:spacing w:line="240" w:lineRule="auto"/>
        <w:ind w:left="720"/>
      </w:pPr>
      <w:r/>
      <w:r>
        <w:t>la blessure physique portée à une femme enceinte (</w:t>
      </w:r>
      <w:hyperlink r:id="rId5531">
        <w:r>
          <w:rPr>
            <w:color w:val="0000EE"/>
            <w:u w:val="single"/>
          </w:rPr>
          <w:t>Ex 21.22</w:t>
        </w:r>
      </w:hyperlink>
      <w:r>
        <w:t>).</w:t>
      </w:r>
    </w:p>
    <w:p>
      <w:r/>
      <w:hyperlink r:id="rId5532">
        <w:r>
          <w:rPr>
            <w:color w:val="0000EE"/>
            <w:u w:val="single"/>
          </w:rPr>
          <w:t>Nombres 5</w:t>
        </w:r>
      </w:hyperlink>
      <w:r>
        <w:t xml:space="preserve"> décrit un test pour une épouse soupçonnée d'infidélité. Si elle est coupable d'adultère, « son ventre gonflera, sa cuisse se desséchera » (</w:t>
      </w:r>
      <w:hyperlink r:id="rId5533">
        <w:r>
          <w:rPr>
            <w:color w:val="0000EE"/>
            <w:u w:val="single"/>
          </w:rPr>
          <w:t>Nb 5.27</w:t>
        </w:r>
      </w:hyperlink>
      <w:r>
        <w:t>). Ces expressions pourraient décrire soit une fausse couche, soit l'incapacité d'avoir des enfants.</w:t>
      </w:r>
    </w:p>
    <w:p>
      <w:r/>
      <w:r>
        <w:t>L'apôtre Paul souligne son indignité en tant qu'apôtre en comparant sa naissance spirituelle à une naissance physique prématurée (</w:t>
      </w:r>
      <w:hyperlink r:id="rId4938">
        <w:r>
          <w:rPr>
            <w:color w:val="0000EE"/>
            <w:u w:val="single"/>
          </w:rPr>
          <w:t>1Co 15.8</w:t>
        </w:r>
      </w:hyperlink>
      <w:r>
        <w:t>).</w:t>
      </w:r>
    </w:p>
    <w:p>
      <w:r/>
      <w:r>
        <w:rPr>
          <w:i/>
        </w:rPr>
        <w:t>Voir aussi</w:t>
      </w:r>
      <w:r>
        <w:t xml:space="preserve"> </w:t>
      </w:r>
      <w:r>
        <w:t>Stérilité</w:t>
      </w:r>
      <w:r>
        <w:t>.</w:t>
      </w:r>
      <w:r/>
      <w:r/>
    </w:p>
    <w:p>
      <w:r/>
    </w:p>
    <w:p>
      <w:pPr>
        <w:pStyle w:val="Heading2"/>
      </w:pPr>
      <w:r>
        <w:t>Félix, Antonius</w:t>
      </w:r>
      <w:r/>
    </w:p>
    <w:p>
      <w:r/>
      <w:r>
        <w:t>Procurateur romain (gouverneur) de Judée (52–60 apr. J.‑C.), succédant à Cumanus, nommé par Claude et remplacé par Porcius Festus. Le frère de Félix, Pallas, un Romain influent et éminent, plaidera en sa faveur après qu'il ait été rappelé de son poste de procurateur par Néron. Pendant son règne oppressif, Félix utilisera l'aide de voleurs pour faire assassiner Jonathan, le souverain sacrificateur. Sa tyrannie sera citée comme la cause de la révolte juive qui a éclaté six ans après son rappel. Félix avait trois épouses : une inconnue, la petite-fille de Marc Antoine et Cléopâtre, et la sœur juive d'Agrippa II, dont le nom était Drusille. À l'âge de 16 ans, Drusille quittera son mari, le roi Azizus d'Émèse, pour épouser Félix. Elle lui donnera ensuite un fils, Agrippa.</w:t>
      </w:r>
    </w:p>
    <w:p>
      <w:r/>
      <w:r>
        <w:t>Félix était gouverneur lorsque l'apôtre Paul sera amené devant lui à Césarée pour répondre aux accusations portées contre lui après l'émeute à Jérusalem (</w:t>
      </w:r>
      <w:hyperlink r:id="rId5534">
        <w:r>
          <w:rPr>
            <w:color w:val="0000EE"/>
            <w:u w:val="single"/>
          </w:rPr>
          <w:t>Ac 23.24–24.27</w:t>
        </w:r>
      </w:hyperlink>
      <w:r>
        <w:t xml:space="preserve">). Après un délai de cinq jours, Tertulle, porte-parole des Juifs, arrivera avec d'autres pour présenter leurs accusations. Félix remettra la décision à plus tard jusqu'à ce qu'il puisse entendre Lysias, le tribun. En attendant, Paul sera placé en détention limitée. Félix espérait obtenir de l'argent en guise de pot-de-vin pour sa libération. En conséquence, Paul sera détenu pendant deux ans, période durant laquelle lui et Félix conversaient souvent. Le message de l'apôtre sur « </w:t>
      </w:r>
      <w:r>
        <w:t>la justice, sur la tempérance, et sur le jugement à venir</w:t>
      </w:r>
      <w:r>
        <w:t xml:space="preserve"> » alarmera grandement Félix (</w:t>
      </w:r>
      <w:hyperlink r:id="rId5535">
        <w:r>
          <w:rPr>
            <w:color w:val="0000EE"/>
            <w:u w:val="single"/>
          </w:rPr>
          <w:t>24.25</w:t>
        </w:r>
      </w:hyperlink>
      <w:r>
        <w:t>). Il n'existe pas de trace de sa vie après avoir été rappelé par Néron.</w:t>
      </w:r>
      <w:r/>
      <w:r/>
    </w:p>
    <w:p>
      <w:r/>
    </w:p>
    <w:p>
      <w:pPr>
        <w:pStyle w:val="Heading2"/>
      </w:pPr>
      <w:r>
        <w:t>Femme</w:t>
      </w:r>
      <w:r/>
    </w:p>
    <w:p>
      <w:r/>
      <w:r>
        <w:t>Une femme est un être humain adulte de sexe féminin. Dieu a créé la femme pour être une compagne pour l'homme (</w:t>
      </w:r>
      <w:hyperlink r:id="rId236">
        <w:r>
          <w:rPr>
            <w:color w:val="0000EE"/>
            <w:u w:val="single"/>
          </w:rPr>
          <w:t>Gn 2.18–22</w:t>
        </w:r>
      </w:hyperlink>
      <w:r>
        <w:t>).</w:t>
      </w:r>
    </w:p>
    <w:p>
      <w:pPr>
        <w:pStyle w:val="Heading3"/>
      </w:pPr>
      <w:r>
        <w:t>La Création de la femme</w:t>
      </w:r>
    </w:p>
    <w:p>
      <w:r/>
      <w:r>
        <w:t xml:space="preserve">La Genèse fournit deux récits sur la façon dont Dieu a créé le premier homme et la première femme. Dans le premier récit, </w:t>
      </w:r>
      <w:hyperlink r:id="rId3691">
        <w:r>
          <w:rPr>
            <w:color w:val="0000EE"/>
            <w:u w:val="single"/>
          </w:rPr>
          <w:t>Genèse 1.26–28</w:t>
        </w:r>
      </w:hyperlink>
      <w:r>
        <w:t xml:space="preserve">, Dieu crée les humains à son image, en tant qu'homme et femme. L'homme et la femme partagent tous deux l'image de Dieu. Cela signifie qu'ils reflètent tous deux la puissance et la grandeur de Dieu sur la terre. Dieu leur a dit d'avoir des enfants et de prendre soin du monde. Dans </w:t>
      </w:r>
      <w:hyperlink r:id="rId3691">
        <w:r>
          <w:rPr>
            <w:color w:val="0000EE"/>
            <w:u w:val="single"/>
          </w:rPr>
          <w:t>Genèse 1.26–28</w:t>
        </w:r>
      </w:hyperlink>
      <w:r>
        <w:t>, il n'y a aucune suggestion que la femme soit moins importante que l'homme, ou qu'elle doive se soumettre à sa domination. Au contraire, le passage les montre ensemble, homme et femme, comme représentants de leur Créateur.</w:t>
      </w:r>
    </w:p>
    <w:p>
      <w:r/>
      <w:r>
        <w:t>La deuxième histoire sur la création de la femme se trouve dans</w:t>
      </w:r>
      <w:hyperlink r:id="rId5536">
        <w:r>
          <w:rPr>
            <w:color w:val="0000EE"/>
            <w:u w:val="single"/>
          </w:rPr>
          <w:t xml:space="preserve"> Genèse 2.20–25</w:t>
        </w:r>
      </w:hyperlink>
      <w:r>
        <w:t xml:space="preserve">. Dans </w:t>
      </w:r>
      <w:hyperlink r:id="rId2645">
        <w:r>
          <w:rPr>
            <w:color w:val="0000EE"/>
            <w:u w:val="single"/>
          </w:rPr>
          <w:t>Genèse 2</w:t>
        </w:r>
      </w:hyperlink>
      <w:r>
        <w:t>, Dieu crée l'homme avant la femme. Certaines personnes pensent que cela montre que l'homme pourrait avoir une importance plus grande. Cependant, dans les récits de la création, Dieu crée souvent les choses par étapes, du moins complexe au plus beau ou complet.</w:t>
      </w:r>
    </w:p>
    <w:p>
      <w:r/>
      <w:r>
        <w:t>Parce que l'homme a été créé en premier, il avait le droit de nommer la femme (</w:t>
      </w:r>
      <w:hyperlink r:id="rId5163">
        <w:r>
          <w:rPr>
            <w:color w:val="0000EE"/>
            <w:u w:val="single"/>
          </w:rPr>
          <w:t>Gn 2.23</w:t>
        </w:r>
      </w:hyperlink>
      <w:r>
        <w:t>). Dans la culture sémitique, donner un nom montrait souvent l'autorité ou la possession. Cela pourrait signifier que le fait qu'Adam nomme sa femme était un acte d'autorité. Cependant, le nom qu'il lui a donné (« femme ») était étroitement lié au mot pour « homme », montrant que l'homme affirmait l'égalité de la femme avec lui. Ainsi, même s'il y a un ordre dans leur création, l'homme et la femme restent partenaires. La relation est à la fois ordonnée et égale.</w:t>
      </w:r>
    </w:p>
    <w:p>
      <w:r/>
      <w:hyperlink r:id="rId2644">
        <w:r>
          <w:rPr>
            <w:color w:val="0000EE"/>
            <w:u w:val="single"/>
          </w:rPr>
          <w:t>Genèse 1</w:t>
        </w:r>
      </w:hyperlink>
      <w:r>
        <w:t xml:space="preserve"> et </w:t>
      </w:r>
      <w:hyperlink r:id="rId2645">
        <w:r>
          <w:rPr>
            <w:color w:val="0000EE"/>
            <w:u w:val="single"/>
          </w:rPr>
          <w:t>2</w:t>
        </w:r>
      </w:hyperlink>
      <w:r>
        <w:t xml:space="preserve"> décrivent une relation équilibrée entre l'homme et la femme, les premiers parents de toute l'humanité. Dieu les a créés tous deux à son image. Ils étaient partenaires dans le plan de Dieu. Cependant, ils avaient aussi une relation individuelle où l'un guidait l'autre. Avant que le péché n'entre dans le monde (un événement souvent appelé la Chute), cet équilibre entre égalité et responsabilité fonctionnait en harmonie.</w:t>
      </w:r>
    </w:p>
    <w:p>
      <w:pPr>
        <w:pStyle w:val="Heading3"/>
      </w:pPr>
      <w:r>
        <w:t>Ce qui a changé pour les femmes après la chute</w:t>
      </w:r>
    </w:p>
    <w:p>
      <w:r/>
      <w:hyperlink r:id="rId1144">
        <w:r>
          <w:rPr>
            <w:color w:val="0000EE"/>
            <w:u w:val="single"/>
          </w:rPr>
          <w:t xml:space="preserve">Genèse 3 </w:t>
        </w:r>
      </w:hyperlink>
      <w:r>
        <w:t>raconte l'histoire de l'entrée du péché dans le monde. À cause du péché, la relation harmonieuse entre l'homme et la femme a été endommagée. Dieu parle à la femme et lui dit qu'elle aurait des douleurs en accouchant (</w:t>
      </w:r>
      <w:hyperlink r:id="rId246">
        <w:r>
          <w:rPr>
            <w:color w:val="0000EE"/>
            <w:u w:val="single"/>
          </w:rPr>
          <w:t>Gn 3.16</w:t>
        </w:r>
      </w:hyperlink>
      <w:r>
        <w:t xml:space="preserve">). Il lui dit également que sa relation avec son mari inclurait désormais du conflit. Dieu lui dit : « </w:t>
      </w:r>
      <w:r>
        <w:t>tes désirs se porteront vers ton mari, mais il dominera sur toi</w:t>
      </w:r>
      <w:r>
        <w:t xml:space="preserve"> ».</w:t>
      </w:r>
    </w:p>
    <w:p>
      <w:r/>
      <w:r>
        <w:t xml:space="preserve">Le mot hébreu « désir » </w:t>
      </w:r>
      <w:r>
        <w:rPr>
          <w:i/>
        </w:rPr>
        <w:t>(teshuqah)</w:t>
      </w:r>
      <w:r>
        <w:t xml:space="preserve"> dans les passages de </w:t>
      </w:r>
      <w:hyperlink r:id="rId1144">
        <w:r>
          <w:rPr>
            <w:color w:val="0000EE"/>
            <w:u w:val="single"/>
          </w:rPr>
          <w:t>Genèse 3</w:t>
        </w:r>
      </w:hyperlink>
      <w:r>
        <w:t xml:space="preserve"> et </w:t>
      </w:r>
      <w:hyperlink r:id="rId5537">
        <w:r>
          <w:rPr>
            <w:color w:val="0000EE"/>
            <w:u w:val="single"/>
          </w:rPr>
          <w:t>4</w:t>
        </w:r>
      </w:hyperlink>
      <w:r>
        <w:t xml:space="preserve"> ne signifie pas un désir sexuel, mais plutôt un désir de contrôler ou de diriger (le sens sexuel de </w:t>
      </w:r>
      <w:r>
        <w:rPr>
          <w:i/>
        </w:rPr>
        <w:t>teshuqah</w:t>
      </w:r>
      <w:r>
        <w:t xml:space="preserve"> se trouve dans </w:t>
      </w:r>
      <w:hyperlink r:id="rId5538">
        <w:r>
          <w:rPr>
            <w:color w:val="0000EE"/>
            <w:u w:val="single"/>
          </w:rPr>
          <w:t>Cantique des Cantiques 7.10</w:t>
        </w:r>
      </w:hyperlink>
      <w:r>
        <w:t>). À cause du péché, la femme peut essayer de prendre le contrôle sur son mari. D'un autre côté, l'homme peut tenter de dominer sur elle avec dureté. Il n'en était pas ainsi dans l'intention originale de Dieu pour leur relation. Le péché a introduit une lutte entre deux partenaires égaux.</w:t>
      </w:r>
    </w:p>
    <w:p>
      <w:r/>
      <w:r>
        <w:t xml:space="preserve">Dans sa lettre aux Éphésiens, l'apôtre Paul donne des conseils aux maris et aux femmes. Il enseigne que les hommes et les femmes sont appelés à être transformés par l'Esprit de Dieu. Paul dit : « </w:t>
      </w:r>
      <w:r>
        <w:t>Femmes, soyez soumises à vos maris, comme au Seigneur</w:t>
      </w:r>
      <w:r>
        <w:t xml:space="preserve"> » (</w:t>
      </w:r>
      <w:hyperlink r:id="rId5539">
        <w:r>
          <w:rPr>
            <w:color w:val="0000EE"/>
            <w:u w:val="single"/>
          </w:rPr>
          <w:t>Ep 5.22</w:t>
        </w:r>
      </w:hyperlink>
      <w:r>
        <w:t>). Cela signifie qu'une femme doit respecter son mari et suivre sa direction, tout comme elle suit Jésus. Paul explique que le mari est appelé à diriger d'une manière qui reflète comment Christ dirige l'Église (</w:t>
      </w:r>
      <w:hyperlink r:id="rId5540">
        <w:r>
          <w:rPr>
            <w:color w:val="0000EE"/>
            <w:u w:val="single"/>
          </w:rPr>
          <w:t>Ep 5.23</w:t>
        </w:r>
      </w:hyperlink>
      <w:r>
        <w:t>).</w:t>
      </w:r>
    </w:p>
    <w:p>
      <w:r/>
      <w:r>
        <w:t xml:space="preserve">Mais Paul s'adresse également fermement aux maris. Il dit qu'ils doivent aimer leurs femmes « </w:t>
      </w:r>
      <w:r>
        <w:t>comme Christ a aimé l’Église, et s’est livré lui-même pour elle</w:t>
      </w:r>
      <w:r>
        <w:t xml:space="preserve"> » (</w:t>
      </w:r>
      <w:hyperlink r:id="rId4276">
        <w:r>
          <w:rPr>
            <w:color w:val="0000EE"/>
            <w:u w:val="single"/>
          </w:rPr>
          <w:t>Ep 5.25</w:t>
        </w:r>
      </w:hyperlink>
      <w:r>
        <w:t>). Ce type d'amour n'est ni dur ni contrôlant. Il est plein de soin, de sacrifice et de gentillesse.</w:t>
      </w:r>
    </w:p>
    <w:p>
      <w:r/>
      <w:r>
        <w:t xml:space="preserve">Paul cite </w:t>
      </w:r>
      <w:hyperlink r:id="rId2284">
        <w:r>
          <w:rPr>
            <w:color w:val="0000EE"/>
            <w:u w:val="single"/>
          </w:rPr>
          <w:t>Genèse 2.24</w:t>
        </w:r>
      </w:hyperlink>
      <w:r>
        <w:t xml:space="preserve"> dans </w:t>
      </w:r>
      <w:hyperlink r:id="rId4812">
        <w:r>
          <w:rPr>
            <w:color w:val="0000EE"/>
            <w:u w:val="single"/>
          </w:rPr>
          <w:t>Éphésiens 5.31</w:t>
        </w:r>
      </w:hyperlink>
      <w:r>
        <w:t xml:space="preserve"> pour rappeler à ses lecteurs que le mariage est destiné à apporter une profonde unité. En Christ, cette unité peut être restaurée. Le mari et la femme sont toujours égaux en valeur. Leurs rôles sont différents, mais leur relation est basée sur l'amour, le respect et la soumission mutuelle </w:t>
      </w:r>
      <w:hyperlink r:id="rId4811">
        <w:r>
          <w:rPr>
            <w:color w:val="0000EE"/>
            <w:u w:val="single"/>
          </w:rPr>
          <w:t>(Ep 5.21)</w:t>
        </w:r>
      </w:hyperlink>
      <w:r>
        <w:t>. Lorsqu'ils suivent Jésus ensemble, ils peuvent commencer à retrouver la paix et la joie qui se trouvaient autrefois en Éden.</w:t>
      </w:r>
    </w:p>
    <w:p>
      <w:pPr>
        <w:pStyle w:val="Heading3"/>
      </w:pPr>
      <w:r>
        <w:t>Le Rôle des femmes dans la vie selon la Bible</w:t>
      </w:r>
    </w:p>
    <w:p>
      <w:r/>
      <w:r>
        <w:t>Une femme est pleinement une personne, tout comme un homme. Elle est créée à l'image de Dieu et reflète la nature divine. Elle a la capacité de penser, de créer, d'aimer et de servir de nombreuses manières dans sa culture, sa communauté et sa vie quotidienne.</w:t>
      </w:r>
    </w:p>
    <w:p>
      <w:r/>
      <w:r>
        <w:t>La Bible associe souvent les femmes à la procréation. De nombreuses femmes dans les Écritures ont trouvé un grand sens dans le fait d'avoir et d'élever des enfants. Cependant, la Bible montre également que la valeur d'une femme ne dépend pas de la procréation, mais a plutôt de la valeur dans chaque aspect de la vie. Elle possède sa propre identité au sein de la famille, de la communauté, de l'Église et devant Dieu, qu'elle ait des enfants ou non.</w:t>
      </w:r>
    </w:p>
    <w:p>
      <w:r/>
      <w:r>
        <w:t>La Bible montre également que la procréation n'est pas uniquement le travail de la femme. Le mari est son partenaire. Il participe au début de la vie, se tient à ses côtés lors de la naissance et aide à s'occuper de l'enfant à mesure qu'il grandit.</w:t>
      </w:r>
    </w:p>
    <w:p>
      <w:r/>
      <w:r>
        <w:t xml:space="preserve">La Bible associe les femmes à une promesse spéciale de Dieu. Dans </w:t>
      </w:r>
      <w:hyperlink r:id="rId250">
        <w:r>
          <w:rPr>
            <w:color w:val="0000EE"/>
            <w:u w:val="single"/>
          </w:rPr>
          <w:t>Genèse 3.15</w:t>
        </w:r>
      </w:hyperlink>
      <w:r>
        <w:t>, après le premier péché, Dieu donne un message d'espoir. Il annonce qu'un jour, la descendance (enfant) de la femme vaincrait le malin, Satan. Cette promesse confère un nouveau sens à l'enfantement, qui devient signe d'espérance et de bénédiction.</w:t>
      </w:r>
    </w:p>
    <w:p>
      <w:r/>
      <w:r>
        <w:t>Cette promesse fait référence à la naissance de Jésus, né d'une femme. À travers lui, Dieu apporterait le salut au monde. Chaque naissance peut désormais être vue comme une petite partie de cette histoire, un rappel de la promesse de Dieu d'apporter la vie et la guérison à travers la famille humaine.</w:t>
      </w:r>
    </w:p>
    <w:p>
      <w:r/>
      <w:r>
        <w:t xml:space="preserve">Certains chrétiens voient cette idée dans </w:t>
      </w:r>
      <w:hyperlink r:id="rId5541">
        <w:r>
          <w:rPr>
            <w:color w:val="0000EE"/>
            <w:u w:val="single"/>
          </w:rPr>
          <w:t>1 Timothée 2.15</w:t>
        </w:r>
      </w:hyperlink>
      <w:r>
        <w:t>, qui dit que les femmes seront sauvées par l'enfantement. Cela ne signifie pas que le fait d'avoir des enfants apporte le salut. Ce verset pourrait, plutôt, faire référence à la longue histoire de la promesse de Dieu se réalisant à travers la naissance du Christ.</w:t>
      </w:r>
    </w:p>
    <w:p>
      <w:r/>
      <w:r>
        <w:t>Dans le monde de l'Ancien Testament, on croyait souvent que la valeur d'une femme provenait principalement de sa capacité à avoir des enfants. Cependant, la Bible montre que la véritable valeur d'une femme ne dépend pas uniquement de la procréation. Tout comme un homme, une femme trouve son but le plus profond à travers la foi en Dieu.</w:t>
      </w:r>
    </w:p>
    <w:p>
      <w:r/>
      <w:r>
        <w:t>Une femme peut avoir de nombreux enfants et se sentir épanouie. Cependant, s'occuper de ses enfants n'est pas la même chose que connaître et honorer Dieu. Sa relation avec Dieu est ce qui compte le plus.</w:t>
      </w:r>
    </w:p>
    <w:p>
      <w:r/>
      <w:r>
        <w:t>Une femme qui n'a pas d'enfants, ou même pas de mari, a toujours une pleine valeur et identité. Elle est créée à l'image de Dieu. Elle peut le servir de nombreuses manières. Sa vie a du sens grâce à Dieu, et non à cause de son statut familial.</w:t>
      </w:r>
    </w:p>
    <w:p>
      <w:r/>
      <w:r>
        <w:t>Les dons de Dieu dans la vie d'une femme peuvent l'amener à trouver des moyens de montrer sa dévotion à Dieu dans la communauté. Par exemple, les femmes avaient les mêmes opportunités que les hommes de prendre un vœu de naziréat (</w:t>
      </w:r>
      <w:hyperlink r:id="rId5542">
        <w:r>
          <w:rPr>
            <w:color w:val="0000EE"/>
            <w:u w:val="single"/>
          </w:rPr>
          <w:t>Nb 6.2</w:t>
        </w:r>
      </w:hyperlink>
      <w:r>
        <w:t xml:space="preserve"> ; voir aussi chap. </w:t>
      </w:r>
      <w:hyperlink r:id="rId5543">
        <w:r>
          <w:rPr>
            <w:color w:val="0000EE"/>
            <w:u w:val="single"/>
          </w:rPr>
          <w:t>30</w:t>
        </w:r>
      </w:hyperlink>
      <w:r>
        <w:t>).</w:t>
      </w:r>
    </w:p>
    <w:p>
      <w:r/>
      <w:r>
        <w:t>La Bible raconte les histoires de nombreuses femmes qui ont servi Dieu de manière publique. Miriam, la sœur de Moïse et d'Aaron, était prophétesse, musicienne et avait un rôle de leadership au sein du peuple (</w:t>
      </w:r>
      <w:hyperlink r:id="rId5544">
        <w:r>
          <w:rPr>
            <w:color w:val="0000EE"/>
            <w:u w:val="single"/>
          </w:rPr>
          <w:t>Ex 15.20–21</w:t>
        </w:r>
      </w:hyperlink>
      <w:r>
        <w:t xml:space="preserve"> ; </w:t>
      </w:r>
      <w:hyperlink r:id="rId5545">
        <w:r>
          <w:rPr>
            <w:color w:val="0000EE"/>
            <w:u w:val="single"/>
          </w:rPr>
          <w:t>Nb 12</w:t>
        </w:r>
      </w:hyperlink>
      <w:r>
        <w:t>). Longtemps après sa mort, Dieu a rappelé à Israël qu'il leur avait donné Miriam comme leader (</w:t>
      </w:r>
      <w:hyperlink r:id="rId5546">
        <w:r>
          <w:rPr>
            <w:color w:val="0000EE"/>
            <w:u w:val="single"/>
          </w:rPr>
          <w:t>Mi 6.4</w:t>
        </w:r>
      </w:hyperlink>
      <w:r>
        <w:t>).</w:t>
      </w:r>
    </w:p>
    <w:p>
      <w:r/>
      <w:r>
        <w:t>D'autres femmes ont également mené des vies fidèles et courageuses. Débora était prophétesse et la seule femme nommée juge en Israël (</w:t>
      </w:r>
      <w:hyperlink r:id="rId3651">
        <w:r>
          <w:rPr>
            <w:color w:val="0000EE"/>
            <w:u w:val="single"/>
          </w:rPr>
          <w:t>Jg 4–5</w:t>
        </w:r>
      </w:hyperlink>
      <w:r>
        <w:t>). Esther était une femme hébraïque qui est devenue reine de Perse. Elle a sauvé son peuple de la mort en s'adressant courageusement au roi Xerxès. Hulda était une autre prophétesse. Elle a transmis le message de Dieu au roi Josias lorsqu'il a commencé à ramener le peuple vers Dieu (</w:t>
      </w:r>
      <w:hyperlink r:id="rId5547">
        <w:r>
          <w:rPr>
            <w:color w:val="0000EE"/>
            <w:u w:val="single"/>
          </w:rPr>
          <w:t>2Ch 34.22–28</w:t>
        </w:r>
      </w:hyperlink>
      <w:r>
        <w:t>). C'était à l'époque de Jérémie et Sophonie. Même s'il y avait des prophètes masculins, Dieu a choisi de parler à travers Hulda à ce moment-là.</w:t>
      </w:r>
    </w:p>
    <w:p>
      <w:r/>
      <w:r>
        <w:t>Le Nouveau Testament mentionne également de nombreuses femmes qui ont servi Dieu de manière publique :</w:t>
      </w:r>
    </w:p>
    <w:p>
      <w:pPr>
        <w:pStyle w:val="ListBullet"/>
        <w:spacing w:line="240" w:lineRule="auto"/>
        <w:ind w:left="720"/>
      </w:pPr>
      <w:r/>
      <w:r>
        <w:t>Les filles de Philippe (qui étaient prophétesses)</w:t>
      </w:r>
    </w:p>
    <w:p>
      <w:pPr>
        <w:pStyle w:val="ListBullet"/>
        <w:spacing w:line="240" w:lineRule="auto"/>
        <w:ind w:left="720"/>
      </w:pPr>
      <w:r/>
      <w:r>
        <w:t>Phœbé</w:t>
      </w:r>
    </w:p>
    <w:p>
      <w:pPr>
        <w:pStyle w:val="ListBullet"/>
        <w:spacing w:line="240" w:lineRule="auto"/>
        <w:ind w:left="720"/>
      </w:pPr>
      <w:r/>
      <w:r>
        <w:t>Priscille</w:t>
      </w:r>
    </w:p>
    <w:p>
      <w:pPr>
        <w:pStyle w:val="ListBullet"/>
        <w:spacing w:line="240" w:lineRule="auto"/>
        <w:ind w:left="720"/>
      </w:pPr>
      <w:r/>
      <w:r>
        <w:t>Junia</w:t>
      </w:r>
    </w:p>
    <w:p>
      <w:pPr>
        <w:pStyle w:val="ListBullet"/>
        <w:spacing w:line="240" w:lineRule="auto"/>
        <w:ind w:left="720"/>
      </w:pPr>
      <w:r/>
      <w:r>
        <w:t>Tryphène</w:t>
      </w:r>
    </w:p>
    <w:p>
      <w:pPr>
        <w:pStyle w:val="ListBullet"/>
        <w:spacing w:line="240" w:lineRule="auto"/>
        <w:ind w:left="720"/>
      </w:pPr>
      <w:r/>
      <w:r>
        <w:t>Tryphose</w:t>
      </w:r>
    </w:p>
    <w:p>
      <w:pPr>
        <w:pStyle w:val="ListBullet"/>
        <w:spacing w:line="240" w:lineRule="auto"/>
        <w:ind w:left="720"/>
      </w:pPr>
      <w:r/>
      <w:r>
        <w:t>Perside</w:t>
      </w:r>
    </w:p>
    <w:p>
      <w:pPr>
        <w:pStyle w:val="ListBullet"/>
        <w:spacing w:line="240" w:lineRule="auto"/>
        <w:ind w:left="720"/>
      </w:pPr>
      <w:r/>
      <w:r>
        <w:t>Évodie</w:t>
      </w:r>
    </w:p>
    <w:p>
      <w:pPr>
        <w:pStyle w:val="ListBullet"/>
        <w:spacing w:line="240" w:lineRule="auto"/>
        <w:ind w:left="720"/>
      </w:pPr>
      <w:r/>
      <w:r>
        <w:t>Syntyche</w:t>
      </w:r>
    </w:p>
    <w:p>
      <w:r/>
      <w:r>
        <w:t>Ces femmes sont la première illustration de ce que le prophète Joël avait annoncé plusieurs siècles plus tôt. Joël avait parlé d'avance du jour où l'Esprit de Dieu serait répandu sur les hommes et les femmes, et qu'ils parleraient les paroles de Dieu (</w:t>
      </w:r>
      <w:hyperlink r:id="rId5548">
        <w:r>
          <w:rPr>
            <w:color w:val="0000EE"/>
            <w:u w:val="single"/>
          </w:rPr>
          <w:t>Jl 2.28–29</w:t>
        </w:r>
      </w:hyperlink>
      <w:r>
        <w:t>). D'autres femmes, comme Sara, Ruth et Anne, ont servi Dieu par la foi dans leurs foyers et leurs familles. Elles ont fait confiance à Dieu et ont vécu dans l'obéissance à lui.</w:t>
      </w:r>
    </w:p>
    <w:p>
      <w:r/>
      <w:r>
        <w:t>La femme la plus honorée dans la Bible est Marie, la mère de Jésus. Elle a fait confiance à Dieu et a donné naissance au Sauveur. En Marie, la promesse faite à Ève a été accomplie et, à travers elle, celui qui vaincrait l'ennemi de l'humanité est né.</w:t>
      </w:r>
    </w:p>
    <w:p>
      <w:r/>
      <w:r>
        <w:rPr>
          <w:i/>
        </w:rPr>
        <w:t>Voir aussi</w:t>
      </w:r>
      <w:r>
        <w:t xml:space="preserve"> </w:t>
      </w:r>
      <w:r>
        <w:t>Ève</w:t>
      </w:r>
      <w:r>
        <w:t xml:space="preserve"> ; </w:t>
      </w:r>
      <w:r>
        <w:t>Être humain</w:t>
      </w:r>
      <w:r>
        <w:t>.</w:t>
      </w:r>
      <w:r/>
      <w:r/>
    </w:p>
    <w:p>
      <w:r/>
    </w:p>
    <w:p>
      <w:pPr>
        <w:pStyle w:val="Heading2"/>
      </w:pPr>
      <w:r>
        <w:t>Festus, Porcius</w:t>
      </w:r>
      <w:r/>
    </w:p>
    <w:p>
      <w:r/>
      <w:r>
        <w:t>Procurateur romain (gouverneur) de Judée, qui succèdera à Antonius Félix et sera remplacé par Albinus. La date précise de l'accession au pouvoir de Porcius Festus est débattue, mais elle a été restreinte à une période comprise entre 55 et 60 apr. J.‑C. Les seules sources qui mentionnent Festus sont le livre des Actes et les écrits de Josèphe, un historien juif ayant vécu à Rome au 1er siècle apr. J.‑C. (</w:t>
      </w:r>
      <w:r>
        <w:rPr>
          <w:i/>
        </w:rPr>
        <w:t>Antiquités</w:t>
      </w:r>
      <w:r>
        <w:t xml:space="preserve"> 20.8.9–11 ; 9.1).</w:t>
      </w:r>
    </w:p>
    <w:p>
      <w:r/>
      <w:r>
        <w:t>Josèphe écrira que Festus gouvernait avec sagesse et justice, contrairement à Félix et Albinus. Les bandits Sicaires (nommés d'après les petites épées qu'ils portaient) qui avaient terrorisé la campagne palestinienne seront éliminés sous le mandat de Festus. Malgré cela, il n'a pas pu réparer les dommages causés par son prédécesseur, Félix, qui avait exacerbé le conflit entre païens et Juifs.</w:t>
      </w:r>
    </w:p>
    <w:p>
      <w:r/>
      <w:r>
        <w:t>Le Nouveau Testament raconte que le nouveau procurateur Festus voyagera de Césarée (où Paul était en détention) à Jérusalem (</w:t>
      </w:r>
      <w:hyperlink r:id="rId5549">
        <w:r>
          <w:rPr>
            <w:color w:val="0000EE"/>
            <w:u w:val="single"/>
          </w:rPr>
          <w:t>Ac 25.1</w:t>
        </w:r>
      </w:hyperlink>
      <w:r>
        <w:t xml:space="preserve">). Les chefs juifs l'y confronteront et porteront des accusations contre Paul. À son retour à Césarée, Festus entendra la défense de Paul (v. </w:t>
      </w:r>
      <w:hyperlink r:id="rId5550">
        <w:r>
          <w:rPr>
            <w:color w:val="0000EE"/>
            <w:u w:val="single"/>
          </w:rPr>
          <w:t>6</w:t>
        </w:r>
      </w:hyperlink>
      <w:r>
        <w:t xml:space="preserve">). Il accordera l'appel de l'apôtre pour être entendu par César (le droit de tout Romain accusé d'un crime capital) afin d'éviter d'autres disputes religieuses dans sa juridiction (v. </w:t>
      </w:r>
      <w:hyperlink r:id="rId5551">
        <w:r>
          <w:rPr>
            <w:color w:val="0000EE"/>
            <w:u w:val="single"/>
          </w:rPr>
          <w:t>11–12</w:t>
        </w:r>
      </w:hyperlink>
      <w:r>
        <w:t xml:space="preserve">). Lorsque le roi Agrippa arrivera quelques jours plus tard, Festus était dans l'embarras, incapable de comprendre les accusations des Juifs contre Paul (v. </w:t>
      </w:r>
      <w:hyperlink r:id="rId175">
        <w:r>
          <w:rPr>
            <w:color w:val="0000EE"/>
            <w:u w:val="single"/>
          </w:rPr>
          <w:t>25–27</w:t>
        </w:r>
      </w:hyperlink>
      <w:r>
        <w:t>). Après le discours de Paul devant le roi, Festus déclarera à haute voix qu'il était fou (</w:t>
      </w:r>
      <w:hyperlink r:id="rId5552">
        <w:r>
          <w:rPr>
            <w:color w:val="0000EE"/>
            <w:u w:val="single"/>
          </w:rPr>
          <w:t>26.24</w:t>
        </w:r>
      </w:hyperlink>
      <w:r>
        <w:t xml:space="preserve">), tout en convenant que Paul n'avait rien fait pour mériter la mort ou l'emprisonnement (v. </w:t>
      </w:r>
      <w:hyperlink r:id="rId178">
        <w:r>
          <w:rPr>
            <w:color w:val="0000EE"/>
            <w:u w:val="single"/>
          </w:rPr>
          <w:t>31</w:t>
        </w:r>
      </w:hyperlink>
      <w:r>
        <w:t>).</w:t>
      </w:r>
      <w:r/>
      <w:r/>
    </w:p>
    <w:p>
      <w:r/>
    </w:p>
    <w:p>
      <w:pPr>
        <w:pStyle w:val="Heading2"/>
      </w:pPr>
      <w:r>
        <w:t>Fêtes et festivals d'Israël</w:t>
      </w:r>
      <w:r/>
    </w:p>
    <w:p>
      <w:r/>
      <w:r>
        <w:t>Jours ou périodes de réjouissances publiques ou privées servant à commémorer un événement important ou une personne importante. L'élément de célébration a une signification particulière dans le cycle des fêtes religieuses et dans les rites et cérémonies qui y sont observés. Le concept biblique de fête inclut souvent un festin où nourriture et boisson abondent, mais cet élément ne lui est pas indispensable. Parfois, il n'y en a qu'une quantité limitée.</w:t>
      </w:r>
    </w:p>
    <w:p>
      <w:r/>
      <w:r>
        <w:t xml:space="preserve">Pour les Hébreux de l'Antiquité, les mots </w:t>
      </w:r>
      <w:r>
        <w:rPr>
          <w:i/>
        </w:rPr>
        <w:t>mo’ed</w:t>
      </w:r>
      <w:r>
        <w:t xml:space="preserve"> (« saisons ») et </w:t>
      </w:r>
      <w:r>
        <w:rPr>
          <w:i/>
        </w:rPr>
        <w:t>hag</w:t>
      </w:r>
      <w:r>
        <w:t xml:space="preserve"> désignaient les grandes célébrations publiques, tandis que les fêtes de nature plus privées étaient couramment décrites par le terme </w:t>
      </w:r>
      <w:r>
        <w:rPr>
          <w:i/>
        </w:rPr>
        <w:t>mishteh.</w:t>
      </w:r>
      <w:r>
        <w:t xml:space="preserve"> </w:t>
      </w:r>
    </w:p>
    <w:p>
      <w:pPr>
        <w:pStyle w:val="Heading3"/>
      </w:pPr>
      <w:r>
        <w:t>Les fêtes et leurs fonctions</w:t>
      </w:r>
    </w:p>
    <w:p>
      <w:r/>
      <w:r>
        <w:t xml:space="preserve">Chaque fête insiste sur la participation de toute la communauté et sur le maintien de la tradition sociale ou religieuse, surtout lorsque les célébrations sont ancrées dans le calendrier civil ou religieux. Sans le soutien de la communauté, même lors d'une célébration familiale, aucune fête ne peut être réussie. Lorsque la communauté y participe activement, une fête peut renforcer la mémoire individuelle et collective d'événements spécifiques, et peut perpétuer ce souvenir au fil d'années et de générations. Cette mémoire collective renforce la cohésion de la communauté qui y contribue, qu'elle soit petite ou grande, et sert à renforcer les traditions qui régissent la vie du groupe. Si la fête commémore un événement particulier ou célèbre un idéal important, ce thème devient plus fermement ancré dans l'esprit des participants par la répétition de rites et de cérémonies. </w:t>
      </w:r>
    </w:p>
    <w:p>
      <w:r/>
      <w:r>
        <w:t>Les fêtes des Hébreux de l'Antiquité avaient cette fonction pédagogique. Les grandes fêtes de leur calendrier religieux commémoraient des événements spécifiques où Dieu était intervenu avec puissance pour aider son peuple ou avait pourvu à leurs besoins dans la détresse. En observant ces fêtes régulièrement, les Hébreux déclaraient perpétuellement que leur Dieu dirigeait leur destinée. La commémoration répétitive des démonstrations de l'aide et de l'amour de Dieu pour eux leur rappelait qu'il était toujours capable de subvenir à leurs besoins. Ce souvenir soulignait le fait que Dieu était toujours présent et actif parmi eux, surtout dans les périodes difficiles. La foi ainsi entretenue donnait une dimension spirituelle inestimable à la vie de la nation et alimentait le sentiment de pérennité de la provision et de la direction de Dieu. Ce n'est que lorsque des notions corrompues ou païennes ont été introduites dans le concept de fête que cet aspect important de la vie nationale d'Israël a commencé à perdre de sa vitalité.</w:t>
      </w:r>
    </w:p>
    <w:p>
      <w:pPr>
        <w:pStyle w:val="Heading3"/>
      </w:pPr>
      <w:r>
        <w:t>Fêtes de l'Ancien Testament</w:t>
      </w:r>
    </w:p>
    <w:p>
      <w:pPr>
        <w:pStyle w:val="Heading4"/>
      </w:pPr>
      <w:r>
        <w:t>Célébrations générales</w:t>
      </w:r>
    </w:p>
    <w:p>
      <w:r/>
      <w:r>
        <w:t>Les festivités étaient étonnamment fréquentes en Israël, compte tenu du mode de vie plutôt austère qui ressort d'une grande partie de l'Ancien Testament (AT). Ces célébrations aidaient probablement à contrebalancer les difficultés et les insécurités de la vie au Proche-Orient ancien, et les Israélites profitaient de chaque opportunité. Le mariage était l'une des occasions les plus évidentes de festoyer, et il n'est pas surprenant qu'un festin ait été préparé pour le mariage de Rachel et de Jacob (</w:t>
      </w:r>
      <w:hyperlink r:id="rId1619">
        <w:r>
          <w:rPr>
            <w:color w:val="0000EE"/>
            <w:u w:val="single"/>
          </w:rPr>
          <w:t>Gn 29.22</w:t>
        </w:r>
      </w:hyperlink>
      <w:r>
        <w:t>), tout le voisinage ayant été convié. La durée d'un tel festin est incertaine, mais certaines fêtes de mariage se poursuivaient pendant toute une semaine, comme dans le cas du mariage de Samson avec la femme de Thimna (</w:t>
      </w:r>
      <w:hyperlink r:id="rId5553">
        <w:r>
          <w:rPr>
            <w:color w:val="0000EE"/>
            <w:u w:val="single"/>
          </w:rPr>
          <w:t>Jg 14.17</w:t>
        </w:r>
      </w:hyperlink>
      <w:r>
        <w:t>). Le vin qui réjouit le cœur de l'homme (</w:t>
      </w:r>
      <w:hyperlink r:id="rId2745">
        <w:r>
          <w:rPr>
            <w:color w:val="0000EE"/>
            <w:u w:val="single"/>
          </w:rPr>
          <w:t>Ps 104.15</w:t>
        </w:r>
      </w:hyperlink>
      <w:r>
        <w:t>) était consommé à profusion lors de ces réjouissances.</w:t>
      </w:r>
    </w:p>
    <w:p>
      <w:r/>
      <w:r>
        <w:t>Il y avait de nombreuses autres occasions de se réjouir et de festoyer. Les anniversaires étaient souvent célébrés dans un esprit festif, surtout lorsqu'il s'agissait d'une personne appartenant à la famille royale (</w:t>
      </w:r>
      <w:hyperlink r:id="rId5554">
        <w:r>
          <w:rPr>
            <w:color w:val="0000EE"/>
            <w:u w:val="single"/>
          </w:rPr>
          <w:t>Gn 40.20</w:t>
        </w:r>
      </w:hyperlink>
      <w:r>
        <w:t>). Le songe de Salomon a été suivi d'un festin offert à ses serviteurs (</w:t>
      </w:r>
      <w:hyperlink r:id="rId5555">
        <w:r>
          <w:rPr>
            <w:color w:val="0000EE"/>
            <w:u w:val="single"/>
          </w:rPr>
          <w:t>1R 3.15</w:t>
        </w:r>
      </w:hyperlink>
      <w:r>
        <w:t>). L'événement de la dédicace du Temple a été célébré pendant une semaine entière (</w:t>
      </w:r>
      <w:hyperlink r:id="rId5556">
        <w:r>
          <w:rPr>
            <w:color w:val="0000EE"/>
            <w:u w:val="single"/>
          </w:rPr>
          <w:t>8.65</w:t>
        </w:r>
      </w:hyperlink>
      <w:r>
        <w:t xml:space="preserve">). Les rois et les reines organisaient parfois des festins pour marquer certaines occasions ou pour exprimer leur bienveillance (voir </w:t>
      </w:r>
      <w:hyperlink r:id="rId5557">
        <w:r>
          <w:rPr>
            <w:color w:val="0000EE"/>
            <w:u w:val="single"/>
          </w:rPr>
          <w:t xml:space="preserve">Est 1.3 </w:t>
        </w:r>
      </w:hyperlink>
      <w:r>
        <w:t xml:space="preserve">; </w:t>
      </w:r>
      <w:hyperlink r:id="rId1629">
        <w:r>
          <w:rPr>
            <w:color w:val="0000EE"/>
            <w:u w:val="single"/>
          </w:rPr>
          <w:t xml:space="preserve">2.18 </w:t>
        </w:r>
      </w:hyperlink>
      <w:r>
        <w:t xml:space="preserve">; </w:t>
      </w:r>
      <w:hyperlink r:id="rId5558">
        <w:r>
          <w:rPr>
            <w:color w:val="0000EE"/>
            <w:u w:val="single"/>
          </w:rPr>
          <w:t xml:space="preserve">5.4, 14 </w:t>
        </w:r>
      </w:hyperlink>
      <w:r>
        <w:t xml:space="preserve">; </w:t>
      </w:r>
      <w:hyperlink r:id="rId5559">
        <w:r>
          <w:rPr>
            <w:color w:val="0000EE"/>
            <w:u w:val="single"/>
          </w:rPr>
          <w:t xml:space="preserve">7.2, 7 </w:t>
        </w:r>
      </w:hyperlink>
      <w:r>
        <w:t xml:space="preserve">; </w:t>
      </w:r>
      <w:hyperlink r:id="rId5560">
        <w:r>
          <w:rPr>
            <w:color w:val="0000EE"/>
            <w:u w:val="single"/>
          </w:rPr>
          <w:t>Dn 5.1</w:t>
        </w:r>
      </w:hyperlink>
      <w:r>
        <w:t>). Les bergers faisaient traditionnellement un festin à l'occasion de la tonte des premières brebis (</w:t>
      </w:r>
      <w:hyperlink r:id="rId5561">
        <w:r>
          <w:rPr>
            <w:color w:val="0000EE"/>
            <w:u w:val="single"/>
          </w:rPr>
          <w:t>Dt 18.4</w:t>
        </w:r>
      </w:hyperlink>
      <w:r>
        <w:t>).</w:t>
      </w:r>
    </w:p>
    <w:p>
      <w:pPr>
        <w:pStyle w:val="Heading4"/>
      </w:pPr>
      <w:r>
        <w:t>Fêtes pré-exiliques</w:t>
      </w:r>
    </w:p>
    <w:p>
      <w:r/>
      <w:r>
        <w:t xml:space="preserve">En plus des célébrations générales, qui étaient souvent non-religieuses, des fêtes communautaires avec des significations spirituelles spécifiques étaient prescrites aux Israélites. Leur fonction était de rappeler les actions de Dieu aux Israélites en tant que son peuple, et aussi de leur rappeler que sa bénédiction divine dépendait de leur obéissance à sa volonté. La liste des fêtes prescrites qui commence en </w:t>
      </w:r>
      <w:hyperlink r:id="rId5562">
        <w:r>
          <w:rPr>
            <w:color w:val="0000EE"/>
            <w:u w:val="single"/>
          </w:rPr>
          <w:t>Lévitique 23.2</w:t>
        </w:r>
      </w:hyperlink>
      <w:r>
        <w:t xml:space="preserve"> débute avec le commandement d'observer le sabbat. Le septième jour, où Dieu a arrêté son </w:t>
      </w:r>
      <w:r>
        <w:t xml:space="preserve">œuvre </w:t>
      </w:r>
      <w:r>
        <w:t>de création (</w:t>
      </w:r>
      <w:hyperlink r:id="rId5563">
        <w:r>
          <w:rPr>
            <w:color w:val="0000EE"/>
            <w:u w:val="single"/>
          </w:rPr>
          <w:t>Gn 2.3</w:t>
        </w:r>
      </w:hyperlink>
      <w:r>
        <w:t>), est saint. Toutefois, il est difficile de déterminer dans quelle mesure le sabbat a été observé jusqu'à l'époque de Moïse (</w:t>
      </w:r>
      <w:hyperlink r:id="rId558">
        <w:r>
          <w:rPr>
            <w:color w:val="0000EE"/>
            <w:u w:val="single"/>
          </w:rPr>
          <w:t>Ex 20.8–11</w:t>
        </w:r>
      </w:hyperlink>
      <w:r>
        <w:t>). C'est à partir de cette époque-là que le sabbat a été observé, l'abstention de travail représentant une commémoration d'une part du repos de Dieu concluant la semaine de la création (</w:t>
      </w:r>
      <w:hyperlink r:id="rId5564">
        <w:r>
          <w:rPr>
            <w:color w:val="0000EE"/>
            <w:u w:val="single"/>
          </w:rPr>
          <w:t>31.17</w:t>
        </w:r>
      </w:hyperlink>
      <w:r>
        <w:t>) et d'autre part de la délivrance de son peuple de l'esclavage en Égypte (</w:t>
      </w:r>
      <w:hyperlink r:id="rId559">
        <w:r>
          <w:rPr>
            <w:color w:val="0000EE"/>
            <w:u w:val="single"/>
          </w:rPr>
          <w:t>Dt 5.12–15</w:t>
        </w:r>
      </w:hyperlink>
      <w:r>
        <w:t xml:space="preserve">). </w:t>
      </w:r>
    </w:p>
    <w:p>
      <w:r/>
      <w:r>
        <w:t>La pratique du sabbat servait à signifier la relation spéciale entre Dieu et les Israélites. Pendant cette période de 24 heures, même des tâches anodines comme allumer un feu (</w:t>
      </w:r>
      <w:hyperlink r:id="rId5565">
        <w:r>
          <w:rPr>
            <w:color w:val="0000EE"/>
            <w:u w:val="single"/>
          </w:rPr>
          <w:t>Ex 35.3</w:t>
        </w:r>
      </w:hyperlink>
      <w:r>
        <w:t>) ou ramasser du bois (</w:t>
      </w:r>
      <w:hyperlink r:id="rId5566">
        <w:r>
          <w:rPr>
            <w:color w:val="0000EE"/>
            <w:u w:val="single"/>
          </w:rPr>
          <w:t>Nb 15.32–33</w:t>
        </w:r>
      </w:hyperlink>
      <w:r>
        <w:t>) étaient interdites sous peine de mort. Les déplacements en dehors de chez soi étaient également interdits le jour du sabbat (</w:t>
      </w:r>
      <w:hyperlink r:id="rId965">
        <w:r>
          <w:rPr>
            <w:color w:val="0000EE"/>
            <w:u w:val="single"/>
          </w:rPr>
          <w:t>Ex 16.29</w:t>
        </w:r>
      </w:hyperlink>
      <w:r>
        <w:t>). Des offrandes spécifiques étaient présentées le jour du sabbat (</w:t>
      </w:r>
      <w:hyperlink r:id="rId5567">
        <w:r>
          <w:rPr>
            <w:color w:val="0000EE"/>
            <w:u w:val="single"/>
          </w:rPr>
          <w:t>Nb 28.9–10</w:t>
        </w:r>
      </w:hyperlink>
      <w:r>
        <w:t>), et les pains de proposition étaient remplacés à l'intérieur du tabernacle (</w:t>
      </w:r>
      <w:hyperlink r:id="rId5568">
        <w:r>
          <w:rPr>
            <w:color w:val="0000EE"/>
            <w:u w:val="single"/>
          </w:rPr>
          <w:t>Lv 24.5–8</w:t>
        </w:r>
      </w:hyperlink>
      <w:r>
        <w:t xml:space="preserve">). Malgré les interdictions portant sur les activités, le jour du sabbat avait pour but de représenter la joie et la sécurité dans la présence de Dieu (voir </w:t>
      </w:r>
      <w:hyperlink r:id="rId5569">
        <w:r>
          <w:rPr>
            <w:color w:val="0000EE"/>
            <w:u w:val="single"/>
          </w:rPr>
          <w:t>Es 58.13–14</w:t>
        </w:r>
      </w:hyperlink>
      <w:r>
        <w:t>), car le fait de le pratiquer devait apporter la bénédiction aux individus et à tout le pays.</w:t>
      </w:r>
    </w:p>
    <w:p>
      <w:r/>
      <w:r>
        <w:t>Fête de la nouvelle lune</w:t>
      </w:r>
    </w:p>
    <w:p>
      <w:r/>
      <w:r>
        <w:t>La nouvelle lune était l'occasion d'une célébration mensuelle basée sur le calendrier lunaire. Cette célébration convenait particulièrement à un peuple agricole, car tous savaient quand venait la nouvelle lune. Les offrandes prescrites pour cette occasion incluaient un holocauste, une offrande de farine et une libation de vin (</w:t>
      </w:r>
      <w:hyperlink r:id="rId423">
        <w:r>
          <w:rPr>
            <w:color w:val="0000EE"/>
            <w:u w:val="single"/>
          </w:rPr>
          <w:t>Nb 28.11–15</w:t>
        </w:r>
      </w:hyperlink>
      <w:r>
        <w:t>). Un bouc était également offert comme sacrifice d'expiation, et les sacrifices étaient offerts au son de trompettes « en souvenir » devant Dieu (</w:t>
      </w:r>
      <w:hyperlink r:id="rId5570">
        <w:r>
          <w:rPr>
            <w:color w:val="0000EE"/>
            <w:u w:val="single"/>
          </w:rPr>
          <w:t>10.10</w:t>
        </w:r>
      </w:hyperlink>
      <w:r>
        <w:t xml:space="preserve">). Les sacrifices prescrits pour la fête de la nouvelle lune représentaient une bien plus grande quantité que ceux requis dans </w:t>
      </w:r>
      <w:hyperlink r:id="rId5567">
        <w:r>
          <w:rPr>
            <w:color w:val="0000EE"/>
            <w:u w:val="single"/>
          </w:rPr>
          <w:t>Nombres 28.9–10</w:t>
        </w:r>
      </w:hyperlink>
      <w:r>
        <w:t xml:space="preserve"> pour le sabbat hebdomadaire.</w:t>
      </w:r>
    </w:p>
    <w:p>
      <w:r/>
      <w:r>
        <w:t>Cette fête lunaire est restée populaire pendant toute l'histoire d'Israël. Au temps de la monarchie, les lévites servaient d'assistants aux sacrificateurs (descendants d'Aaron) lors des fêtes de la nouvelle lune ainsi que les jours de sabbat (</w:t>
      </w:r>
      <w:hyperlink r:id="rId5571">
        <w:r>
          <w:rPr>
            <w:color w:val="0000EE"/>
            <w:u w:val="single"/>
          </w:rPr>
          <w:t>1Ch 23.29–31</w:t>
        </w:r>
      </w:hyperlink>
      <w:r>
        <w:t xml:space="preserve">). Les prophètes pré-exiliques profitaient peut-être de ces grands rassemblements pour guider le peuple ou proclamer des oracles prophétiques (voir </w:t>
      </w:r>
      <w:hyperlink r:id="rId5572">
        <w:r>
          <w:rPr>
            <w:color w:val="0000EE"/>
            <w:u w:val="single"/>
          </w:rPr>
          <w:t>2R 4.23</w:t>
        </w:r>
      </w:hyperlink>
      <w:r>
        <w:t>), mais il n'est pas certain à quelle fréquence cela se faisait. Cependant, tout le monde en Israël n'appréciait guère la valeur de ces périodes de repos et de célébration. Le prophète Amos a dénoncé des Israélites cupides qui trouvaient que ces fêtes interféraient avec leur commerce (</w:t>
      </w:r>
      <w:hyperlink r:id="rId5573">
        <w:r>
          <w:rPr>
            <w:color w:val="0000EE"/>
            <w:u w:val="single"/>
          </w:rPr>
          <w:t>Am 8.5</w:t>
        </w:r>
      </w:hyperlink>
      <w:r>
        <w:t xml:space="preserve">). </w:t>
      </w:r>
    </w:p>
    <w:p>
      <w:r/>
      <w:r>
        <w:t xml:space="preserve">Cette fête n'a pas pu être observée lors de l'exil à Babylone (voir </w:t>
      </w:r>
      <w:hyperlink r:id="rId5574">
        <w:r>
          <w:rPr>
            <w:color w:val="0000EE"/>
            <w:u w:val="single"/>
          </w:rPr>
          <w:t>Os 2.11</w:t>
        </w:r>
      </w:hyperlink>
      <w:r>
        <w:t>), mais elle est rétablie en Juda aux temps d'Esdras et de Néhémie (</w:t>
      </w:r>
      <w:hyperlink r:id="rId5575">
        <w:r>
          <w:rPr>
            <w:color w:val="0000EE"/>
            <w:u w:val="single"/>
          </w:rPr>
          <w:t>Né 10.33</w:t>
        </w:r>
      </w:hyperlink>
      <w:r>
        <w:t xml:space="preserve">). Selon </w:t>
      </w:r>
      <w:hyperlink r:id="rId5576">
        <w:r>
          <w:rPr>
            <w:color w:val="0000EE"/>
            <w:u w:val="single"/>
          </w:rPr>
          <w:t>Esaïe 66.22–23</w:t>
        </w:r>
      </w:hyperlink>
      <w:r>
        <w:t>, elle fera partie de l'avenir d'Israël. Elle est également incluse parmi les ordonnances du Temple idéal qu'Ézéchiel prophétise (</w:t>
      </w:r>
      <w:hyperlink r:id="rId5577">
        <w:r>
          <w:rPr>
            <w:color w:val="0000EE"/>
            <w:u w:val="single"/>
          </w:rPr>
          <w:t>Ez 45.17</w:t>
        </w:r>
      </w:hyperlink>
      <w:r>
        <w:t>).</w:t>
      </w:r>
    </w:p>
    <w:p>
      <w:r/>
      <w:r>
        <w:t xml:space="preserve">La célébration de la nouvelle lune avait pour objectif de renforcer le sentiment d'unité nationale en rappelant aux Israélites la permanence de l'alliance de Dieu avec leurs ancêtres, alliance toujours en vigueur pour la nation. Elle mettait aussi en avant l'amour, la providence et la fidélité du Dieu à l'origine de cette relation (voir </w:t>
      </w:r>
      <w:hyperlink r:id="rId5578">
        <w:r>
          <w:rPr>
            <w:color w:val="0000EE"/>
            <w:u w:val="single"/>
          </w:rPr>
          <w:t>Ps 104.19</w:t>
        </w:r>
      </w:hyperlink>
      <w:r>
        <w:t>).</w:t>
      </w:r>
    </w:p>
    <w:p>
      <w:r/>
      <w:r>
        <w:t>La fête des Trompettes</w:t>
      </w:r>
    </w:p>
    <w:p>
      <w:r/>
      <w:r>
        <w:t>La fête des Trompettes était observée le premier jour de la septième nouvelle lune de l'année. Ce mois, qui sera nommé Tishri plus tard, était particulièrement sacré. Pour cette raison, cette septième nouvelle lune de l'année était réglementée par des prescriptions différentes de celles des fêtes de nouvelles lunes ordinaires. On faisait retentir les trompettes le premier jour, au moment où les offrandes animales et végétales étaient offertes (</w:t>
      </w:r>
      <w:hyperlink r:id="rId5579">
        <w:r>
          <w:rPr>
            <w:color w:val="0000EE"/>
            <w:u w:val="single"/>
          </w:rPr>
          <w:t>Lv 23.24</w:t>
        </w:r>
      </w:hyperlink>
      <w:r>
        <w:t xml:space="preserve">). Les offrandes requises pour cette fête particulière et mentionnées dans </w:t>
      </w:r>
      <w:hyperlink r:id="rId5580">
        <w:r>
          <w:rPr>
            <w:color w:val="0000EE"/>
            <w:u w:val="single"/>
          </w:rPr>
          <w:t xml:space="preserve">Nombres 29.2–6 </w:t>
        </w:r>
      </w:hyperlink>
      <w:r>
        <w:t xml:space="preserve">dépassaient celles des sabbats, mais étaient un peu moindres que celles des nouvelles lunes (voir </w:t>
      </w:r>
      <w:hyperlink r:id="rId5581">
        <w:r>
          <w:rPr>
            <w:color w:val="0000EE"/>
            <w:u w:val="single"/>
          </w:rPr>
          <w:t>Nb 28.11</w:t>
        </w:r>
      </w:hyperlink>
      <w:r>
        <w:t>). La fête des Trompettes devait être un jour de repos solennel et une sainte convocation. Les trompettes résonnaient pour commémorer de façon triomphale la provision spectaculaire de Dieu pour son peuple à travers l'alliance du Sinaï.</w:t>
      </w:r>
    </w:p>
    <w:p>
      <w:r/>
      <w:r>
        <w:t>Le septième mois était particulièrement sacré à plusieurs égards. Il marquait l'importance du chiffre sept dans le calendrier cultuel d'Israël. Durant ce mois se tenaient également le Jour des Expiations (ou Yom Kippour) et la fête des Tabernacles (aussi appelée fête des Huttes, des Cabanes ou des Tentes). Cette dernière avait lieu cinq jour après le Jour des Expiations (</w:t>
      </w:r>
      <w:hyperlink r:id="rId5582">
        <w:r>
          <w:rPr>
            <w:color w:val="0000EE"/>
            <w:u w:val="single"/>
          </w:rPr>
          <w:t>Lv 23.34</w:t>
        </w:r>
      </w:hyperlink>
      <w:r>
        <w:t xml:space="preserve">). Ces réjouissances venaient soulager l'accent solennel de la confession des péchés de la nation et de l'envoi dans le désert du bouc émissaire des jours précédents. </w:t>
      </w:r>
    </w:p>
    <w:p>
      <w:r/>
      <w:r>
        <w:t>L'année de relâche</w:t>
      </w:r>
    </w:p>
    <w:p>
      <w:r/>
      <w:r>
        <w:t>L'année de relâche était une autre observance calendaire étroitement liée à l'institution du sabbat. La septième année de chaque cycle de sept ans devait être un « un sabbat de repos pour le pays » (</w:t>
      </w:r>
      <w:hyperlink r:id="rId952">
        <w:r>
          <w:rPr>
            <w:color w:val="0000EE"/>
            <w:u w:val="single"/>
          </w:rPr>
          <w:t>Lv 25.4</w:t>
        </w:r>
      </w:hyperlink>
      <w:r>
        <w:t>, Darby). Pendant cet intervalle, le sol devait rester en jachère (</w:t>
      </w:r>
      <w:hyperlink r:id="rId1854">
        <w:r>
          <w:rPr>
            <w:color w:val="0000EE"/>
            <w:u w:val="single"/>
          </w:rPr>
          <w:t>Ex 23.11</w:t>
        </w:r>
      </w:hyperlink>
      <w:r>
        <w:t>). Rien ne pouvait être cultivé et tout ce qui poussait naturellement était réservé aux pauvres et aux nécessiteux (</w:t>
      </w:r>
      <w:hyperlink r:id="rId5583">
        <w:r>
          <w:rPr>
            <w:color w:val="0000EE"/>
            <w:u w:val="single"/>
          </w:rPr>
          <w:t>Lv 25.6</w:t>
        </w:r>
      </w:hyperlink>
      <w:r>
        <w:t xml:space="preserve">). </w:t>
      </w:r>
    </w:p>
    <w:p>
      <w:r/>
      <w:r>
        <w:t xml:space="preserve">Cette pratique, au bénéfice des terres elles-mêmes, constitue l'un des principes écologiques les plus importants de l'Écriture. Tout comme le peuple de Dieu, le pays est saint, et tout comme le peuple a besoin de périodes régulières de repos du travail quotidien pour renouveler son énergie et sa vitalité spirituelle par l'adoration, la terre aussi a besoin de se reposer et de se régénérer pour éviter la surexploitation agricole de ses ressources. </w:t>
      </w:r>
    </w:p>
    <w:p>
      <w:r/>
      <w:r>
        <w:t xml:space="preserve">Cette observance rappelait aux Israélites que le pays dans lequel ils vivaient leur avait été donné par Dieu pour accomplir son engagement d'alliance avec eux, c'est-à-dire de pourvoir abondamment à leurs besoins physiques (voir </w:t>
      </w:r>
      <w:hyperlink r:id="rId5584">
        <w:r>
          <w:rPr>
            <w:color w:val="0000EE"/>
            <w:u w:val="single"/>
          </w:rPr>
          <w:t>Dt 8.7–10</w:t>
        </w:r>
      </w:hyperlink>
      <w:r>
        <w:t>). Pour éviter que les Israélites ne viennent à manquer de nourriture pendant l'année de relâche, Dieu promet que les terres produiront suffisamment l'année d'avant pour les nourrir pour les trois années suivantes (</w:t>
      </w:r>
      <w:hyperlink r:id="rId966">
        <w:r>
          <w:rPr>
            <w:color w:val="0000EE"/>
            <w:u w:val="single"/>
          </w:rPr>
          <w:t>Lv 25.21</w:t>
        </w:r>
      </w:hyperlink>
      <w:r>
        <w:t>). Les Israélites pouvaient s'appuyer sur cette promesse qui avait déjà été tenue pendant leur errance dans le désert : le sixième jour de la semaine, une quantité suffisante de manne apparaissait pour qu'il y en ait assez pour le sabbat (</w:t>
      </w:r>
      <w:hyperlink r:id="rId5585">
        <w:r>
          <w:rPr>
            <w:color w:val="0000EE"/>
            <w:u w:val="single"/>
          </w:rPr>
          <w:t>Ex 16.5</w:t>
        </w:r>
      </w:hyperlink>
      <w:r>
        <w:t xml:space="preserve">). Cette année spéciale servait à rappeler que le pays appartient à Dieu (voir </w:t>
      </w:r>
      <w:hyperlink r:id="rId954">
        <w:r>
          <w:rPr>
            <w:color w:val="0000EE"/>
            <w:u w:val="single"/>
          </w:rPr>
          <w:t>Lv 25.23</w:t>
        </w:r>
      </w:hyperlink>
      <w:r>
        <w:t xml:space="preserve">) et à renforcer la foi de la nation en la capacité de Dieu à pourvoir à leurs besoins futurs. </w:t>
      </w:r>
    </w:p>
    <w:p>
      <w:r/>
      <w:r>
        <w:t>Le relâche ne s'appliquait pas seulement aux terres du pays, mais s'accompagnait aussi de la libération des esclaves hébreux (</w:t>
      </w:r>
      <w:hyperlink r:id="rId5586">
        <w:r>
          <w:rPr>
            <w:color w:val="0000EE"/>
            <w:u w:val="single"/>
          </w:rPr>
          <w:t>Ex 21.2–6</w:t>
        </w:r>
      </w:hyperlink>
      <w:r>
        <w:t>) et de l'annulation des dettes (</w:t>
      </w:r>
      <w:hyperlink r:id="rId5587">
        <w:r>
          <w:rPr>
            <w:color w:val="0000EE"/>
            <w:u w:val="single"/>
          </w:rPr>
          <w:t>Dt 15.1–6</w:t>
        </w:r>
      </w:hyperlink>
      <w:r>
        <w:t xml:space="preserve">). Ainsi, ces membres de la société qui étaient moins privilégiés que les autres devaient voir leur obligations de service remises. Cette pratique semble avoir été observée pendant la période pré-exilique en Israël, mais </w:t>
      </w:r>
      <w:hyperlink r:id="rId5588">
        <w:r>
          <w:rPr>
            <w:color w:val="0000EE"/>
            <w:u w:val="single"/>
          </w:rPr>
          <w:t>Jérémie 34.8–22</w:t>
        </w:r>
      </w:hyperlink>
      <w:r>
        <w:t xml:space="preserve"> signale des abus. Le prophète profite de l'occasion pour instruire le peuple sur la nature et les objectifs de l'année de relâche. Il avertit les Judéens désobéissants que leur refus de libérer leurs esclaves mènera à une perte de liberté bien plus grave pour eux : ils seront emmenés captifs à Babylone après la destruction de leur pays. Cette leçon n'est pas oubliée par ceux qui reviennent d'exil. Sous la direction de Néhémie, les Juifs font un pacte les engageant à obéir aux prescriptions de l'année de relâche (</w:t>
      </w:r>
      <w:hyperlink r:id="rId5589">
        <w:r>
          <w:rPr>
            <w:color w:val="0000EE"/>
            <w:u w:val="single"/>
          </w:rPr>
          <w:t>Né 10.31</w:t>
        </w:r>
      </w:hyperlink>
      <w:r>
        <w:t>). Ce pacte semble avoir été motivé par la lecture de la loi de Moïse lors d'une fête des Tabernacles coïncidant avec le début d'une année de relâche (</w:t>
      </w:r>
      <w:hyperlink r:id="rId5590">
        <w:r>
          <w:rPr>
            <w:color w:val="0000EE"/>
            <w:u w:val="single"/>
          </w:rPr>
          <w:t>Né 8.13–18</w:t>
        </w:r>
      </w:hyperlink>
      <w:r>
        <w:t>).</w:t>
      </w:r>
    </w:p>
    <w:p>
      <w:r/>
      <w:r>
        <w:t>Le jubilé</w:t>
      </w:r>
    </w:p>
    <w:p>
      <w:r/>
      <w:r>
        <w:t>L'année du jubilé, ou année de pentecôte, était une autre observance calendaire basée sur le principe du sabbat (</w:t>
      </w:r>
      <w:hyperlink r:id="rId5591">
        <w:r>
          <w:rPr>
            <w:color w:val="0000EE"/>
            <w:u w:val="single"/>
          </w:rPr>
          <w:t>Lv 25.8–55</w:t>
        </w:r>
      </w:hyperlink>
      <w:r>
        <w:t xml:space="preserve"> ; </w:t>
      </w:r>
      <w:hyperlink r:id="rId5592">
        <w:r>
          <w:rPr>
            <w:color w:val="0000EE"/>
            <w:u w:val="single"/>
          </w:rPr>
          <w:t>27.17–24</w:t>
        </w:r>
      </w:hyperlink>
      <w:r>
        <w:t>). Tout comme l'année sabbatique était liée au concept du septième jour, l'année de pentecôte, c'est à dire la 50è année, correspondait à un cycle de sept années de relâche. Le début de l'année du jubilé était proclamé le Jour des Expiations, en faisant retentir des trompettes dans tout le pays (</w:t>
      </w:r>
      <w:hyperlink r:id="rId955">
        <w:r>
          <w:rPr>
            <w:color w:val="0000EE"/>
            <w:u w:val="single"/>
          </w:rPr>
          <w:t>Lv 25.9</w:t>
        </w:r>
      </w:hyperlink>
      <w:r>
        <w:t>). Le relâche des septièmes années ou années de relâche s'appliquait également à l'année du jubilé. Une pratique supplémentaire spécifique au jubilé était que les terres vendues au cours des 49 années précédentes devaient être rendues à leurs propriétaires d'origine. Cette pratique impliquait l'ajustement des prix lors des ventes de terres. Afin d'éviter que certains ne tentent de faire du relâche une source de profit, les Hébreux avaient reçu le commandement de faire affaire de façon honnête et juste dans la crainte de Dieu, le seul vrai propriétaire du pays (</w:t>
      </w:r>
      <w:hyperlink r:id="rId5593">
        <w:r>
          <w:rPr>
            <w:color w:val="0000EE"/>
            <w:u w:val="single"/>
          </w:rPr>
          <w:t>Lv 25.14–17</w:t>
        </w:r>
      </w:hyperlink>
      <w:r>
        <w:t xml:space="preserve">). Comme pour l'année de relâche, Dieu avait promis de pourvoir l'année précédant le jubilé de telle sorte que personne ne soit démuni. </w:t>
      </w:r>
    </w:p>
    <w:p>
      <w:r/>
      <w:r>
        <w:t>Grâce au relâche des esclaves, à l'annulation des dettes et à la récupération par chacun de ses terres familiales, l'année du jubilé permettait à tous de commencer un nouveau cycle d'années de relâche sur un pied d'égalité, libres de servir Dieu.</w:t>
      </w:r>
    </w:p>
    <w:p>
      <w:pPr>
        <w:pStyle w:val="Heading4"/>
      </w:pPr>
      <w:r>
        <w:t>Fêtes de saisons</w:t>
      </w:r>
    </w:p>
    <w:p>
      <w:r/>
      <w:r>
        <w:t xml:space="preserve">Trois fêtes annuelles étaient basées sur les saisons plutôt que les phases lunaires. Elles représentaient d'importantes occasions de rappeler au peuple la puissance et la provision de Dieu pour toute la nation. Le mot </w:t>
      </w:r>
      <w:r>
        <w:rPr>
          <w:i/>
        </w:rPr>
        <w:t>hag</w:t>
      </w:r>
      <w:r>
        <w:t xml:space="preserve"> était utilisé pour désigner ces fêtes, qui nécessitaient un pèlerinage. L'observation de ces trois fêtes est commandée dans </w:t>
      </w:r>
      <w:hyperlink r:id="rId5594">
        <w:r>
          <w:rPr>
            <w:color w:val="0000EE"/>
            <w:u w:val="single"/>
          </w:rPr>
          <w:t>Exode 23.14–17</w:t>
        </w:r>
      </w:hyperlink>
      <w:r>
        <w:t xml:space="preserve"> et </w:t>
      </w:r>
      <w:hyperlink r:id="rId5595">
        <w:r>
          <w:rPr>
            <w:color w:val="0000EE"/>
            <w:u w:val="single"/>
          </w:rPr>
          <w:t>Deutéronome 16.16</w:t>
        </w:r>
      </w:hyperlink>
      <w:r>
        <w:t>. Il s'agit de la fête de la Pâque et des Pains sans levain, de la fête de la Moisson (la Pentecôte) et de la fête des Tabernacles (des Cabanes). Il était obligatoire pour tous les hommes d'Israël de faire un pèlerinage au sanctuaire pour y célébrer ces fêtes (</w:t>
      </w:r>
      <w:hyperlink r:id="rId5596">
        <w:r>
          <w:rPr>
            <w:color w:val="0000EE"/>
            <w:u w:val="single"/>
          </w:rPr>
          <w:t>Ex 12.14</w:t>
        </w:r>
      </w:hyperlink>
      <w:r>
        <w:t xml:space="preserve">). La Pâque et la fête des Pains sans levain étaient à l'origine des ordonnances distinctes, mais comme la deuxième commençait immédiatement après la première, c'était comme si une seule période d'observance comprenait les deux. </w:t>
      </w:r>
    </w:p>
    <w:p>
      <w:r/>
      <w:r>
        <w:t>La Pâque</w:t>
      </w:r>
    </w:p>
    <w:p>
      <w:r/>
      <w:r>
        <w:t>La Pâque était de la plus haute importance théologique pour les Israélites, car elle commémorait l'une des plus remarquables interventions divines de leur histoire : le début de l'Exode. Alors qu'ils étaient esclaves en Égypte, Dieu avait fait venir une dernière plaie provoquant la mort des premiers-nés des Égyptiens, mais épargnant ceux des Israélites qui avaient enduit de sang les linteaux des portes de leurs maisons (</w:t>
      </w:r>
      <w:hyperlink r:id="rId5597">
        <w:r>
          <w:rPr>
            <w:color w:val="0000EE"/>
            <w:u w:val="single"/>
          </w:rPr>
          <w:t>Ex 12.11–30</w:t>
        </w:r>
      </w:hyperlink>
      <w:r>
        <w:t>). Dieu avait commandé que ce jour devienne une fête commémorative (</w:t>
      </w:r>
      <w:hyperlink r:id="rId5596">
        <w:r>
          <w:rPr>
            <w:color w:val="0000EE"/>
            <w:u w:val="single"/>
          </w:rPr>
          <w:t>v. 14</w:t>
        </w:r>
      </w:hyperlink>
      <w:r>
        <w:t>). La Pâque suivante avait été observée dans le désert du Sinaï (</w:t>
      </w:r>
      <w:hyperlink r:id="rId5598">
        <w:r>
          <w:rPr>
            <w:color w:val="0000EE"/>
            <w:u w:val="single"/>
          </w:rPr>
          <w:t>Nb 9.1–5</w:t>
        </w:r>
      </w:hyperlink>
      <w:r>
        <w:t xml:space="preserve">). </w:t>
      </w:r>
    </w:p>
    <w:p>
      <w:r/>
      <w:r>
        <w:t xml:space="preserve">La fête de la Pâque devait avoir lieu au premier mois du calendrier hébreu, appelé Abib dans </w:t>
      </w:r>
      <w:hyperlink r:id="rId5599">
        <w:r>
          <w:rPr>
            <w:color w:val="0000EE"/>
            <w:u w:val="single"/>
          </w:rPr>
          <w:t>Deutéronome 16.1</w:t>
        </w:r>
      </w:hyperlink>
      <w:r>
        <w:t xml:space="preserve"> (Darby) et Nisan après l'exil (voir </w:t>
      </w:r>
      <w:hyperlink r:id="rId2130">
        <w:r>
          <w:rPr>
            <w:color w:val="0000EE"/>
            <w:u w:val="single"/>
          </w:rPr>
          <w:t>Né 2.1</w:t>
        </w:r>
      </w:hyperlink>
      <w:r>
        <w:t>). Le rite de la Pâque se déroulait le quatorzième soir (</w:t>
      </w:r>
      <w:hyperlink r:id="rId5600">
        <w:r>
          <w:rPr>
            <w:color w:val="0000EE"/>
            <w:u w:val="single"/>
          </w:rPr>
          <w:t>Lv 23.5</w:t>
        </w:r>
      </w:hyperlink>
      <w:r>
        <w:t xml:space="preserve">) et était suivi d'une période de sept jours pendant laquelle il était interdit de manger du pain ou d'autres aliments faits avec de la pâte levée. L'idée de retirer le levain de leurs pâtes est similaire à celle de retirer le sang de la viande des animaux. Tant le levain que le sang ont un pouvoir stimulant et doivent être séparés comme une offrande à Dieu. </w:t>
      </w:r>
    </w:p>
    <w:p>
      <w:r/>
      <w:r>
        <w:t>Une convocation sainte avait lieu le premier jour et le septième jour. Ces deux jours-là, le seul travail permis était la préparation de la nourriture (</w:t>
      </w:r>
      <w:hyperlink r:id="rId5601">
        <w:r>
          <w:rPr>
            <w:color w:val="0000EE"/>
            <w:u w:val="single"/>
          </w:rPr>
          <w:t>Ex 12.16</w:t>
        </w:r>
      </w:hyperlink>
      <w:r>
        <w:t>). Cette période où l'on mangeait des pains sans levain était considérée comme une fête car elle inaugurait la période de sept semaines de la moisson (</w:t>
      </w:r>
      <w:hyperlink r:id="rId5602">
        <w:r>
          <w:rPr>
            <w:color w:val="0000EE"/>
            <w:u w:val="single"/>
          </w:rPr>
          <w:t>Dt 16.9</w:t>
        </w:r>
      </w:hyperlink>
      <w:r>
        <w:t>). Pendant cette fête, des holocaustes étaient offerts en sacrifice. Chaque homme présentait ensuite une gerbe de son orge tout juste récoltée le jour des prémices. Pendant la période du Nouveau Testament (NT), les gens affluaient à Jérusalem pour observer la Pâque et la fête des Pains sans levain. Ces jours étaient alors appelés « les jours des pains sans levain » (</w:t>
      </w:r>
      <w:hyperlink r:id="rId5603">
        <w:r>
          <w:rPr>
            <w:color w:val="0000EE"/>
            <w:u w:val="single"/>
          </w:rPr>
          <w:t xml:space="preserve">Lc 22.1 </w:t>
        </w:r>
      </w:hyperlink>
      <w:r>
        <w:t xml:space="preserve">; </w:t>
      </w:r>
      <w:hyperlink r:id="rId2607">
        <w:r>
          <w:rPr>
            <w:color w:val="0000EE"/>
            <w:u w:val="single"/>
          </w:rPr>
          <w:t>Ac 12.3</w:t>
        </w:r>
      </w:hyperlink>
      <w:r>
        <w:t>). Le rappel de l'intervention de Dieu pour délivrer Israël du pouvoir de l'Égypte donnait l'assurance aux Israélites que Dieu était toujours prêt à agir en faveur du peuple de son alliance, si celui-ci était fidèle et obéissant. Cela leur rappelait également qu'ils avaient autrefois été esclaves (</w:t>
      </w:r>
      <w:hyperlink r:id="rId5604">
        <w:r>
          <w:rPr>
            <w:color w:val="0000EE"/>
            <w:u w:val="single"/>
          </w:rPr>
          <w:t>Dt 16.12</w:t>
        </w:r>
      </w:hyperlink>
      <w:r>
        <w:t xml:space="preserve">). Au début, la Pâque et la fête des Pains sans levain ont été observées de façon relativement simple, mais durant la monarchie, des cérémonies de la Pâque plus élaborées ont été adoptées (voir </w:t>
      </w:r>
      <w:hyperlink r:id="rId5605">
        <w:r>
          <w:rPr>
            <w:color w:val="0000EE"/>
            <w:u w:val="single"/>
          </w:rPr>
          <w:t xml:space="preserve">2R 23.21–23 </w:t>
        </w:r>
      </w:hyperlink>
      <w:r>
        <w:t xml:space="preserve">; </w:t>
      </w:r>
      <w:hyperlink r:id="rId5606">
        <w:r>
          <w:rPr>
            <w:color w:val="0000EE"/>
            <w:u w:val="single"/>
          </w:rPr>
          <w:t>2Ch 35.1–19</w:t>
        </w:r>
      </w:hyperlink>
      <w:r>
        <w:t>).</w:t>
      </w:r>
    </w:p>
    <w:p>
      <w:r/>
      <w:r>
        <w:t>La Pentecôte</w:t>
      </w:r>
    </w:p>
    <w:p>
      <w:r/>
      <w:r>
        <w:t>La deuxième grande fête, la Pentecôte (ou fête des Semaines), ne durait qu'un jour et se tenait le cinquantième jour après la présentation de la gerbe d'orge fraîchement récoltée et agitée devant le Seigneur à la fin de la fête des Pains sans levain (</w:t>
      </w:r>
      <w:hyperlink r:id="rId2601">
        <w:r>
          <w:rPr>
            <w:color w:val="0000EE"/>
            <w:u w:val="single"/>
          </w:rPr>
          <w:t>Dt 16.9–12</w:t>
        </w:r>
      </w:hyperlink>
      <w:r>
        <w:t xml:space="preserve">). La fête célébrait la fin de la récolte d'orge et le début de la récolte de blé, le début de la période où des prémices pouvaient être offertes (voir </w:t>
      </w:r>
      <w:hyperlink r:id="rId5607">
        <w:r>
          <w:rPr>
            <w:color w:val="0000EE"/>
            <w:u w:val="single"/>
          </w:rPr>
          <w:t xml:space="preserve">Ex 23.16 </w:t>
        </w:r>
      </w:hyperlink>
      <w:r>
        <w:t xml:space="preserve">; </w:t>
      </w:r>
      <w:hyperlink r:id="rId2142">
        <w:r>
          <w:rPr>
            <w:color w:val="0000EE"/>
            <w:u w:val="single"/>
          </w:rPr>
          <w:t xml:space="preserve">34.22 </w:t>
        </w:r>
      </w:hyperlink>
      <w:r>
        <w:t xml:space="preserve">; </w:t>
      </w:r>
      <w:hyperlink r:id="rId5608">
        <w:r>
          <w:rPr>
            <w:color w:val="0000EE"/>
            <w:u w:val="single"/>
          </w:rPr>
          <w:t>Nm 28.26</w:t>
        </w:r>
      </w:hyperlink>
      <w:r>
        <w:t>). Le jour de la fête, deux pains de farine de blé, sept agneaux, deux béliers et un taureau étaient offerts (</w:t>
      </w:r>
      <w:hyperlink r:id="rId5609">
        <w:r>
          <w:rPr>
            <w:color w:val="0000EE"/>
            <w:u w:val="single"/>
          </w:rPr>
          <w:t>Lv 23.15–20</w:t>
        </w:r>
      </w:hyperlink>
      <w:r>
        <w:t>). On faisait des offrandes volontaires à Dieu pour exprimer sa reconnaissance pour ses bénédictions. Il s'agissait d'une occasion festive pour toute la communauté (</w:t>
      </w:r>
      <w:hyperlink r:id="rId5610">
        <w:r>
          <w:rPr>
            <w:color w:val="0000EE"/>
            <w:u w:val="single"/>
          </w:rPr>
          <w:t>Dt 16.10–11</w:t>
        </w:r>
      </w:hyperlink>
      <w:r>
        <w:t>). Puisque la Pentecôte était de fait une fête de la moisson (</w:t>
      </w:r>
      <w:hyperlink r:id="rId5607">
        <w:r>
          <w:rPr>
            <w:color w:val="0000EE"/>
            <w:u w:val="single"/>
          </w:rPr>
          <w:t>Ex 23.16</w:t>
        </w:r>
      </w:hyperlink>
      <w:r>
        <w:t xml:space="preserve">), elle rappelait aux Israélites qu'ils dépendaient entièrement de la provision de Dieu pour leurs biens matériels. </w:t>
      </w:r>
    </w:p>
    <w:p>
      <w:r/>
      <w:r>
        <w:t xml:space="preserve">Dans </w:t>
      </w:r>
      <w:hyperlink r:id="rId3842">
        <w:r>
          <w:rPr>
            <w:color w:val="0000EE"/>
            <w:u w:val="single"/>
          </w:rPr>
          <w:t>Deutéronome 26</w:t>
        </w:r>
      </w:hyperlink>
      <w:r>
        <w:t xml:space="preserve">, des instructions spécifiques sont données sur comment présenter les prémices de la récolte. Elles incluent une belle confession de foi méditant sur l'histoire du peuple d'Israël et racontant la délivrance divine de la servitude en Égypte, ainsi que le don divin d'un pays subvenant largement à ses besoins. </w:t>
      </w:r>
    </w:p>
    <w:p>
      <w:r/>
      <w:r>
        <w:t>Fête des Tabernacles</w:t>
      </w:r>
    </w:p>
    <w:p>
      <w:r/>
      <w:r>
        <w:t>Cette fête, aussi appelée fête des Huttes, des Cabanes ou des Tentes (</w:t>
      </w:r>
      <w:hyperlink r:id="rId5582">
        <w:r>
          <w:rPr>
            <w:color w:val="0000EE"/>
            <w:u w:val="single"/>
          </w:rPr>
          <w:t xml:space="preserve">Lv 23.34 </w:t>
        </w:r>
      </w:hyperlink>
      <w:r>
        <w:t xml:space="preserve">; </w:t>
      </w:r>
      <w:hyperlink r:id="rId5611">
        <w:r>
          <w:rPr>
            <w:color w:val="0000EE"/>
            <w:u w:val="single"/>
          </w:rPr>
          <w:t>Dt 16.13</w:t>
        </w:r>
      </w:hyperlink>
      <w:r>
        <w:t>), ou encore de la Récolte (</w:t>
      </w:r>
      <w:hyperlink r:id="rId2142">
        <w:r>
          <w:rPr>
            <w:color w:val="0000EE"/>
            <w:u w:val="single"/>
          </w:rPr>
          <w:t>Ex 34.22</w:t>
        </w:r>
      </w:hyperlink>
      <w:r>
        <w:t>), était la troisième grande fête que tous les hommes hébreux étaient tenus d'observer chaque année. Elle commençait le quinzième jour du septième mois (Tishri), peu après le Jour des Expiations, le dixième jour. La fête des Tabernacles durait une semaine et nécessitait un pèlerinage au sanctuaire. Elle marquait à l'origine la fin de l'année (</w:t>
      </w:r>
      <w:hyperlink r:id="rId2142">
        <w:r>
          <w:rPr>
            <w:color w:val="0000EE"/>
            <w:u w:val="single"/>
          </w:rPr>
          <w:t>Ex 34.22</w:t>
        </w:r>
      </w:hyperlink>
      <w:r>
        <w:t xml:space="preserve">), c'est-à-dire la fin du travail agricole. Le premier jour et le huitième jour, le travail était interdit et on offrait des holocaustes au Seigneur. </w:t>
      </w:r>
      <w:hyperlink r:id="rId5612">
        <w:r>
          <w:rPr>
            <w:color w:val="0000EE"/>
            <w:u w:val="single"/>
          </w:rPr>
          <w:t>Lévitique 23.39–43</w:t>
        </w:r>
      </w:hyperlink>
      <w:r>
        <w:t xml:space="preserve"> explique le rituel qui donne à la fête son nom de fête des Tabernacles ou des Cabanes. Le premier jour, il fallait prendre les fruits de « beaux arbres », des palmes, des branches de saule et des rameaux d'arbres feuillus. Les branches étaient utilisées pour construire des cabanes de fortune dans lesquelles les adorateurs vivaient pendant la semaine de la fête. Tous les sept ans avait lieu une récitation publique sur des dispositions de l'alliance, à laquelle les Israélites s'étaient engagés du temps de Moïse. Cette récitation avait pour but de leur rappeler les devoirs et les bénédictions se rattachant à l'alliance. </w:t>
      </w:r>
    </w:p>
    <w:p>
      <w:r/>
      <w:r>
        <w:t xml:space="preserve">L'épisode biblique dans lequel Anne, future mère du prophète Samuel, est confondue pour une femme ivre à Silo a probablement lieu à une fête des Tabernacles. La fête dont il est question dans </w:t>
      </w:r>
      <w:hyperlink r:id="rId5613">
        <w:r>
          <w:rPr>
            <w:color w:val="0000EE"/>
            <w:u w:val="single"/>
          </w:rPr>
          <w:t>Juges 21.19</w:t>
        </w:r>
      </w:hyperlink>
      <w:r>
        <w:t xml:space="preserve"> est probablement aussi une fête des Tabernacles. À l'époque d'Esdras, une fête des Tabernacles particulièrement importante a lieu parmi les Judéens de retour de l'exil à Babylone. Cela fait alors plusieurs siècles que la fête n'a plus été célébrée (</w:t>
      </w:r>
      <w:hyperlink r:id="rId5590">
        <w:r>
          <w:rPr>
            <w:color w:val="0000EE"/>
            <w:u w:val="single"/>
          </w:rPr>
          <w:t>Né 8.13–18</w:t>
        </w:r>
      </w:hyperlink>
      <w:r>
        <w:t>). Le contexte semble indiquer un arrêt depuis le temps de la monarchie. Le prophète Zacharie parle de la fête des Tabernacles dans une de ses visions. Il voit toutes les nations affluer à Jérusalem pour la fête et prédit que celles qui ne viennent pas n'auront pas de pluie et seront punies par Dieu (</w:t>
      </w:r>
      <w:hyperlink r:id="rId5614">
        <w:r>
          <w:rPr>
            <w:color w:val="0000EE"/>
            <w:u w:val="single"/>
          </w:rPr>
          <w:t>Za 14.16–19</w:t>
        </w:r>
      </w:hyperlink>
      <w:r>
        <w:t>).</w:t>
      </w:r>
    </w:p>
    <w:p>
      <w:pPr>
        <w:pStyle w:val="Heading4"/>
      </w:pPr>
      <w:r>
        <w:t>Fêtes post-exiliques</w:t>
      </w:r>
    </w:p>
    <w:p>
      <w:r/>
      <w:r>
        <w:t>Plusieurs fêtes, moindres en importance, ont été instaurées après le retour d'exil des Juifs. Certaines de ces fêtes tirent leurs origines d'événements historiques.</w:t>
      </w:r>
    </w:p>
    <w:p>
      <w:r/>
      <w:r>
        <w:t>La fête de Purim</w:t>
      </w:r>
    </w:p>
    <w:p>
      <w:r/>
      <w:r>
        <w:t>La fête de Purim (signifiant « fête des sorts ») était une célébration joyeuse qui avait lieu le quatorzième jour du douzième mois (Adar). Elle commémorait la façon dontDieu avait utilisé Esther et Mardochée pour délivrer son peuple de l'extermination par Haman au temps de l'Empire perse (</w:t>
      </w:r>
      <w:hyperlink r:id="rId5615">
        <w:r>
          <w:rPr>
            <w:color w:val="0000EE"/>
            <w:u w:val="single"/>
          </w:rPr>
          <w:t>Est 9.21, 24–28</w:t>
        </w:r>
      </w:hyperlink>
      <w:r>
        <w:t xml:space="preserve">). La fête était observée le quatorzième jour d'Adar par ceux qui vivaient dans les villages, et le quinzième jour par les habitants des villes et cités fortifiées. L'explication du nom de la fête est donnée dans </w:t>
      </w:r>
      <w:hyperlink r:id="rId5616">
        <w:r>
          <w:rPr>
            <w:color w:val="0000EE"/>
            <w:u w:val="single"/>
          </w:rPr>
          <w:t>Esther 9.24–26</w:t>
        </w:r>
      </w:hyperlink>
      <w:r>
        <w:t xml:space="preserve">. Cette fête avait pour but de rappeler aux Juifs la puissance de Dieu pour les sauver de l'extinction pendant une période d'intense activité antisémite en Perse. Cette commémoration apportait du réconfort aux Juifs quand ils traversaient d'autres persécutions. </w:t>
      </w:r>
    </w:p>
    <w:p>
      <w:r/>
      <w:r>
        <w:t>Traditionnellement, le livre (ou rouleau) d'Esther est lu à haute voix dans les synagogues la veille de la fête, et il y a une grande clameur, surtout parmi les enfants présents, chaque fois que les noms du détesté Haman et de ses fils sont mentionnés.</w:t>
      </w:r>
    </w:p>
    <w:p>
      <w:r/>
      <w:r>
        <w:t>Fête de la Dédicace du Temple</w:t>
      </w:r>
    </w:p>
    <w:p>
      <w:r/>
      <w:r>
        <w:t>La fête de la Dédicace du Temple est une période de réjouissances de huit jours (</w:t>
      </w:r>
      <w:hyperlink r:id="rId5617">
        <w:r>
          <w:rPr>
            <w:color w:val="0000EE"/>
            <w:u w:val="single"/>
          </w:rPr>
          <w:t xml:space="preserve">1 M 4.52–59 </w:t>
        </w:r>
      </w:hyperlink>
      <w:r>
        <w:t xml:space="preserve">; </w:t>
      </w:r>
      <w:hyperlink r:id="rId5618">
        <w:r>
          <w:rPr>
            <w:color w:val="0000EE"/>
            <w:u w:val="single"/>
          </w:rPr>
          <w:t>2 M 10.6–8</w:t>
        </w:r>
      </w:hyperlink>
      <w:r>
        <w:t>). Elle est connue aujourd'hui sous le nom de Hanoucca, ou Fête des lumières. La dédicace que la fête commémore a eu lieu en 164 av. J.-C., lorsque Judas Maccabée reconsacre le temple de Jérusalem profané par Antiochos IV Épiphane. Les réjouissances commencent le vingt-cinquième jour du neuvième mois (Kislev). On allume de nuit de nombreuses lumières et lanternes flamboyantes. L'histoire de la résistance courageuse des Maccabées face aux forces écrasantes du paganisme est racontée. La fête a pour but de louer Dieu pour avoir merveilleusement délivré son peuple pendant la période maccabéenne.</w:t>
      </w:r>
    </w:p>
    <w:p>
      <w:pPr>
        <w:pStyle w:val="Heading3"/>
      </w:pPr>
      <w:r>
        <w:t>Fêtes du Nouveau Testament</w:t>
      </w:r>
    </w:p>
    <w:p>
      <w:r/>
      <w:r>
        <w:t xml:space="preserve">À l'époque du Christ, le sabbat est strictement observé ; c'est un jour de culte à la synagogue (voir </w:t>
      </w:r>
      <w:hyperlink r:id="rId5619">
        <w:r>
          <w:rPr>
            <w:color w:val="0000EE"/>
            <w:u w:val="single"/>
          </w:rPr>
          <w:t xml:space="preserve">Lc 4.16 </w:t>
        </w:r>
      </w:hyperlink>
      <w:r>
        <w:t xml:space="preserve">; </w:t>
      </w:r>
      <w:hyperlink r:id="rId5620">
        <w:r>
          <w:rPr>
            <w:color w:val="0000EE"/>
            <w:u w:val="single"/>
          </w:rPr>
          <w:t xml:space="preserve">Ac 13.14 </w:t>
        </w:r>
      </w:hyperlink>
      <w:r>
        <w:t xml:space="preserve">; </w:t>
      </w:r>
      <w:hyperlink r:id="rId3111">
        <w:r>
          <w:rPr>
            <w:color w:val="0000EE"/>
            <w:u w:val="single"/>
          </w:rPr>
          <w:t>18.4</w:t>
        </w:r>
      </w:hyperlink>
      <w:r>
        <w:t xml:space="preserve">). La loi pharisienne interdit tout travail. Jésus est en conflit avec les autorités qui lui reprochent des infractions à leurs règles concernant le sabbat (voir </w:t>
      </w:r>
      <w:hyperlink r:id="rId5621">
        <w:r>
          <w:rPr>
            <w:color w:val="0000EE"/>
            <w:u w:val="single"/>
          </w:rPr>
          <w:t xml:space="preserve">Mt 12.1–4 </w:t>
        </w:r>
      </w:hyperlink>
      <w:r>
        <w:t xml:space="preserve">; </w:t>
      </w:r>
      <w:hyperlink r:id="rId5622">
        <w:r>
          <w:rPr>
            <w:color w:val="0000EE"/>
            <w:u w:val="single"/>
          </w:rPr>
          <w:t xml:space="preserve">Mc 3.1–5 </w:t>
        </w:r>
      </w:hyperlink>
      <w:r>
        <w:t xml:space="preserve">; </w:t>
      </w:r>
      <w:hyperlink r:id="rId5623">
        <w:r>
          <w:rPr>
            <w:color w:val="0000EE"/>
            <w:u w:val="single"/>
          </w:rPr>
          <w:t>Lc 13.10–17</w:t>
        </w:r>
      </w:hyperlink>
      <w:r>
        <w:t xml:space="preserve">). Dans l'Église primitive, le culte a lieu le « premier jour de la semaine » (c'est-à-dire le dimanche) pour commémorer la résurrection du Christ. Au début, les premiers chrétiens participent aux cérémonies juives (voir </w:t>
      </w:r>
      <w:hyperlink r:id="rId2632">
        <w:r>
          <w:rPr>
            <w:color w:val="0000EE"/>
            <w:u w:val="single"/>
          </w:rPr>
          <w:t xml:space="preserve">Ac 20.16 </w:t>
        </w:r>
      </w:hyperlink>
      <w:r>
        <w:t xml:space="preserve">; </w:t>
      </w:r>
      <w:hyperlink r:id="rId5624">
        <w:r>
          <w:rPr>
            <w:color w:val="0000EE"/>
            <w:u w:val="single"/>
          </w:rPr>
          <w:t>1Co 16.8</w:t>
        </w:r>
      </w:hyperlink>
      <w:r>
        <w:t>). C'est pendant la fête de la Pentecôte, après la résurrection et l'ascension du Christ, que l'Esprit est répandu (</w:t>
      </w:r>
      <w:hyperlink r:id="rId5625">
        <w:r>
          <w:rPr>
            <w:color w:val="0000EE"/>
            <w:u w:val="single"/>
          </w:rPr>
          <w:t>Ac 2.1–4</w:t>
        </w:r>
      </w:hyperlink>
      <w:r>
        <w:t xml:space="preserve">), accomplissant ce que </w:t>
      </w:r>
      <w:hyperlink r:id="rId5626">
        <w:r>
          <w:rPr>
            <w:color w:val="0000EE"/>
            <w:u w:val="single"/>
          </w:rPr>
          <w:t>Joël 2.28–32</w:t>
        </w:r>
      </w:hyperlink>
      <w:r>
        <w:t xml:space="preserve"> avait promis et marquant ainsi le début de l'histoire de l'Église chrétienne en tant que telle.</w:t>
      </w:r>
    </w:p>
    <w:p>
      <w:r/>
      <w:r>
        <w:t xml:space="preserve">La Pâque et la fête des Pains sans levain ont une grande importance dans la vie terrestre du Christ (voir </w:t>
      </w:r>
      <w:hyperlink r:id="rId5627">
        <w:r>
          <w:rPr>
            <w:color w:val="0000EE"/>
            <w:u w:val="single"/>
          </w:rPr>
          <w:t xml:space="preserve">Jn 4.45 </w:t>
        </w:r>
      </w:hyperlink>
      <w:r>
        <w:t xml:space="preserve">; </w:t>
      </w:r>
      <w:hyperlink r:id="rId2598">
        <w:r>
          <w:rPr>
            <w:color w:val="0000EE"/>
            <w:u w:val="single"/>
          </w:rPr>
          <w:t xml:space="preserve">5.1 </w:t>
        </w:r>
      </w:hyperlink>
      <w:r>
        <w:t xml:space="preserve">; </w:t>
      </w:r>
      <w:hyperlink r:id="rId2597">
        <w:r>
          <w:rPr>
            <w:color w:val="0000EE"/>
            <w:u w:val="single"/>
          </w:rPr>
          <w:t xml:space="preserve">6.4 </w:t>
        </w:r>
      </w:hyperlink>
      <w:r>
        <w:t xml:space="preserve">; </w:t>
      </w:r>
      <w:hyperlink r:id="rId5628">
        <w:r>
          <w:rPr>
            <w:color w:val="0000EE"/>
            <w:u w:val="single"/>
          </w:rPr>
          <w:t>12.1–26</w:t>
        </w:r>
      </w:hyperlink>
      <w:r>
        <w:t xml:space="preserve">), car la célébration de ces deux fêtes est une occasion très populaire à l'époque du NT (voir </w:t>
      </w:r>
      <w:hyperlink r:id="rId5629">
        <w:r>
          <w:rPr>
            <w:color w:val="0000EE"/>
            <w:u w:val="single"/>
          </w:rPr>
          <w:t>12.20</w:t>
        </w:r>
      </w:hyperlink>
      <w:r>
        <w:t>). Pilate a pour pratique de libérer un prisonnier choisi par le peuple lors de la Pâque (</w:t>
      </w:r>
      <w:hyperlink r:id="rId5630">
        <w:r>
          <w:rPr>
            <w:color w:val="0000EE"/>
            <w:u w:val="single"/>
          </w:rPr>
          <w:t xml:space="preserve">Mt 27.15 </w:t>
        </w:r>
      </w:hyperlink>
      <w:r>
        <w:t xml:space="preserve">; </w:t>
      </w:r>
      <w:hyperlink r:id="rId5631">
        <w:r>
          <w:rPr>
            <w:color w:val="0000EE"/>
            <w:u w:val="single"/>
          </w:rPr>
          <w:t>Mc 15.6</w:t>
        </w:r>
      </w:hyperlink>
      <w:r>
        <w:t xml:space="preserve">). </w:t>
      </w:r>
    </w:p>
    <w:p>
      <w:r/>
      <w:r>
        <w:t xml:space="preserve">Jésus participe activement aux rituels de la Pâque (voir </w:t>
      </w:r>
      <w:hyperlink r:id="rId5632">
        <w:r>
          <w:rPr>
            <w:color w:val="0000EE"/>
            <w:u w:val="single"/>
          </w:rPr>
          <w:t xml:space="preserve">Lc 2.42 </w:t>
        </w:r>
      </w:hyperlink>
      <w:r>
        <w:t xml:space="preserve">; </w:t>
      </w:r>
      <w:hyperlink r:id="rId2596">
        <w:r>
          <w:rPr>
            <w:color w:val="0000EE"/>
            <w:u w:val="single"/>
          </w:rPr>
          <w:t xml:space="preserve">Jn 2.13 </w:t>
        </w:r>
      </w:hyperlink>
      <w:r>
        <w:t xml:space="preserve">; </w:t>
      </w:r>
      <w:hyperlink r:id="rId2597">
        <w:r>
          <w:rPr>
            <w:color w:val="0000EE"/>
            <w:u w:val="single"/>
          </w:rPr>
          <w:t>6.4</w:t>
        </w:r>
      </w:hyperlink>
      <w:r>
        <w:t>). La Cène avec ses disciples se tient juste avant cette fête (</w:t>
      </w:r>
      <w:hyperlink r:id="rId2592">
        <w:r>
          <w:rPr>
            <w:color w:val="0000EE"/>
            <w:u w:val="single"/>
          </w:rPr>
          <w:t>Jn 13.1</w:t>
        </w:r>
      </w:hyperlink>
      <w:r>
        <w:t>). C'est à ce moment que Judas l'Iscariot se met d'accord avec les autorités juives pour trahir Jésus et le leur livrer (</w:t>
      </w:r>
      <w:hyperlink r:id="rId5633">
        <w:r>
          <w:rPr>
            <w:color w:val="0000EE"/>
            <w:u w:val="single"/>
          </w:rPr>
          <w:t>Lc 22.4–6</w:t>
        </w:r>
      </w:hyperlink>
      <w:r>
        <w:t>). Jésus fait de la fraction du pain et du partage du vin à l'occasion de cette Pâque (</w:t>
      </w:r>
      <w:hyperlink r:id="rId2988">
        <w:r>
          <w:rPr>
            <w:color w:val="0000EE"/>
            <w:u w:val="single"/>
          </w:rPr>
          <w:t>Mc 14.22–25</w:t>
        </w:r>
      </w:hyperlink>
      <w:r>
        <w:t>) une nouvelle observance qui tire son sens de sa mort imminente sur la croix. Il commande à ses disciples d'observer ce rite pour commémorer sa souffrance et sa mort pour les péchés du monde et pour annoncer la puissance de la croix jusqu'à son retour glorieux (</w:t>
      </w:r>
      <w:hyperlink r:id="rId5634">
        <w:r>
          <w:rPr>
            <w:color w:val="0000EE"/>
            <w:u w:val="single"/>
          </w:rPr>
          <w:t>1Co 11.24–26</w:t>
        </w:r>
      </w:hyperlink>
      <w:r>
        <w:t>). Certains érudits pensent que le Christ est suspendu à la croix au moment où l'agneau de la Pâque est sacrifié cette année-là. Si cela est correct, cela fait de la croix une représentation frappante de Jésus en tant que « l'Agneau de Dieu, qui ôte le péché du monde » (</w:t>
      </w:r>
      <w:hyperlink r:id="rId5635">
        <w:r>
          <w:rPr>
            <w:color w:val="0000EE"/>
            <w:u w:val="single"/>
          </w:rPr>
          <w:t>Jn 1.29</w:t>
        </w:r>
      </w:hyperlink>
      <w:r>
        <w:t xml:space="preserve">). </w:t>
      </w:r>
    </w:p>
    <w:p>
      <w:r/>
      <w:r>
        <w:t>Jésus est aussi présent à au moins une des fêtes des Tabernacles (</w:t>
      </w:r>
      <w:hyperlink r:id="rId5636">
        <w:r>
          <w:rPr>
            <w:color w:val="0000EE"/>
            <w:u w:val="single"/>
          </w:rPr>
          <w:t>7.10</w:t>
        </w:r>
      </w:hyperlink>
      <w:r>
        <w:t xml:space="preserve">). À son époque, une procession amène de l'eau depuis le bassin de Siloé pour en faire une offrande à Dieu. Ce rituel est très probablement l'occasion de l'invitation du Christ à venir à lui pour recevoir de l'eau vive et la vie éternelle (v. </w:t>
      </w:r>
      <w:hyperlink r:id="rId4924">
        <w:r>
          <w:rPr>
            <w:color w:val="0000EE"/>
            <w:u w:val="single"/>
          </w:rPr>
          <w:t>37–39</w:t>
        </w:r>
      </w:hyperlink>
      <w:r>
        <w:t>). Jésus est aussi au moins une fois à Jérusalem au moment de la fête des Lumières (</w:t>
      </w:r>
      <w:hyperlink r:id="rId5637">
        <w:r>
          <w:rPr>
            <w:color w:val="0000EE"/>
            <w:u w:val="single"/>
          </w:rPr>
          <w:t>Jn 10.22</w:t>
        </w:r>
      </w:hyperlink>
      <w:r>
        <w:t>), et déclare être la lumière du monde. Il est presque lapidé à cette occasion.</w:t>
      </w:r>
    </w:p>
    <w:p>
      <w:r/>
      <w:r>
        <w:t xml:space="preserve">Jésus est parfois invité à des réjouissances organisées par des individus chez eux (voir </w:t>
      </w:r>
      <w:hyperlink r:id="rId5638">
        <w:r>
          <w:rPr>
            <w:color w:val="0000EE"/>
            <w:u w:val="single"/>
          </w:rPr>
          <w:t>Lc 5.29</w:t>
        </w:r>
      </w:hyperlink>
      <w:r>
        <w:t>). À une de ces occasions, il intervient pour suppléer un manque de vin embarrassant lors d'une fête de mariage (</w:t>
      </w:r>
      <w:hyperlink r:id="rId5639">
        <w:r>
          <w:rPr>
            <w:color w:val="0000EE"/>
            <w:u w:val="single"/>
          </w:rPr>
          <w:t>Jn 2.8–10</w:t>
        </w:r>
      </w:hyperlink>
      <w:r>
        <w:t>). Jésus reproche aux pharisiens de vouloir les meilleures places aux festins (</w:t>
      </w:r>
      <w:hyperlink r:id="rId5640">
        <w:r>
          <w:rPr>
            <w:color w:val="0000EE"/>
            <w:u w:val="single"/>
          </w:rPr>
          <w:t xml:space="preserve">Mt 23.6 </w:t>
        </w:r>
      </w:hyperlink>
      <w:r>
        <w:t xml:space="preserve">; </w:t>
      </w:r>
      <w:hyperlink r:id="rId5641">
        <w:r>
          <w:rPr>
            <w:color w:val="0000EE"/>
            <w:u w:val="single"/>
          </w:rPr>
          <w:t xml:space="preserve">Mc 12.39 </w:t>
        </w:r>
      </w:hyperlink>
      <w:r>
        <w:t xml:space="preserve">; </w:t>
      </w:r>
      <w:hyperlink r:id="rId5642">
        <w:r>
          <w:rPr>
            <w:color w:val="0000EE"/>
            <w:u w:val="single"/>
          </w:rPr>
          <w:t>Lc 20.46</w:t>
        </w:r>
      </w:hyperlink>
      <w:r>
        <w:t>) et enseigne qu'il faut inviter les pauvres lorsqu'on en donne soi-même (</w:t>
      </w:r>
      <w:hyperlink r:id="rId5643">
        <w:r>
          <w:rPr>
            <w:color w:val="0000EE"/>
            <w:u w:val="single"/>
          </w:rPr>
          <w:t>Lc 14.13</w:t>
        </w:r>
      </w:hyperlink>
      <w:r>
        <w:t>).</w:t>
      </w:r>
    </w:p>
    <w:p>
      <w:pPr>
        <w:pStyle w:val="Heading3"/>
      </w:pPr>
      <w:r>
        <w:t>Symbolisme des fêtes</w:t>
      </w:r>
    </w:p>
    <w:p>
      <w:r/>
      <w:r>
        <w:t>De nombreux aspects des fêtes hébraïques anciennes sont interprétés symboliquement par l'Église primitive. Pour Paul, les premiers chrétiens hébreux sont les prémices de l'Israël de Dieu (</w:t>
      </w:r>
      <w:hyperlink r:id="rId5644">
        <w:r>
          <w:rPr>
            <w:color w:val="0000EE"/>
            <w:u w:val="single"/>
          </w:rPr>
          <w:t>Rm 11.16</w:t>
        </w:r>
      </w:hyperlink>
      <w:r>
        <w:t xml:space="preserve">). Dans </w:t>
      </w:r>
      <w:hyperlink r:id="rId3770">
        <w:r>
          <w:rPr>
            <w:color w:val="0000EE"/>
            <w:u w:val="single"/>
          </w:rPr>
          <w:t>Romains 8.23</w:t>
        </w:r>
      </w:hyperlink>
      <w:r>
        <w:t xml:space="preserve">, le don du Saint-Esprit est comparé aux prémices que l'on offre, car ce que les chrétiens ont de l'Esprit maintenant est un gage de ce qui est à venir. Les chrétiens eux-mêmes sont décrits dans </w:t>
      </w:r>
      <w:hyperlink r:id="rId5645">
        <w:r>
          <w:rPr>
            <w:color w:val="0000EE"/>
            <w:u w:val="single"/>
          </w:rPr>
          <w:t>Jacques 1.18</w:t>
        </w:r>
      </w:hyperlink>
      <w:r>
        <w:t xml:space="preserve"> comme les prémices des créatures de Dieu, nés par la parole de vérité. La résurrection de Jésus est aussi présentée par Paul comme les prémices de ceux qui sont morts (</w:t>
      </w:r>
      <w:hyperlink r:id="rId5646">
        <w:r>
          <w:rPr>
            <w:color w:val="0000EE"/>
            <w:u w:val="single"/>
          </w:rPr>
          <w:t>1Co 15.20, 23</w:t>
        </w:r>
      </w:hyperlink>
      <w:r>
        <w:t>). Paul fait allusion aux fêtes de l'AT quand il dit que les sabbats, les nouvelles lunes et les fêtes étaient simplement l'ombre des choses à venir (</w:t>
      </w:r>
      <w:hyperlink r:id="rId5647">
        <w:r>
          <w:rPr>
            <w:color w:val="0000EE"/>
            <w:u w:val="single"/>
          </w:rPr>
          <w:t>Col 2.16–17</w:t>
        </w:r>
      </w:hyperlink>
      <w:r>
        <w:t>). Christ est comparé à l'agneau de la Pâque car il a été sacrifié pour nous. Paul poursuit la comparaison en exhortant les disciples à célébrer la fête avec les « pains sans levain de la pureté et de la vérité », et non avec le vieux levain de la malice et de la méchanceté (</w:t>
      </w:r>
      <w:hyperlink r:id="rId5648">
        <w:r>
          <w:rPr>
            <w:color w:val="0000EE"/>
            <w:u w:val="single"/>
          </w:rPr>
          <w:t>1Co 5.7–8</w:t>
        </w:r>
      </w:hyperlink>
      <w:r>
        <w:t>).</w:t>
      </w:r>
    </w:p>
    <w:p>
      <w:r/>
      <w:r>
        <w:rPr>
          <w:i/>
        </w:rPr>
        <w:t>Voir aussi</w:t>
      </w:r>
      <w:r>
        <w:t xml:space="preserve"> </w:t>
      </w:r>
      <w:r>
        <w:t xml:space="preserve">calendriers, anciens et modernes </w:t>
      </w:r>
      <w:r>
        <w:t xml:space="preserve">; </w:t>
      </w:r>
      <w:r>
        <w:t xml:space="preserve">offrandes et sacrifices </w:t>
      </w:r>
      <w:r>
        <w:t xml:space="preserve">; </w:t>
      </w:r>
      <w:r>
        <w:t xml:space="preserve">tabernacle </w:t>
      </w:r>
      <w:r>
        <w:t xml:space="preserve">; </w:t>
      </w:r>
      <w:r>
        <w:t>Temple</w:t>
      </w:r>
      <w:r>
        <w:t>.</w:t>
      </w:r>
      <w:r/>
      <w:r/>
    </w:p>
    <w:p>
      <w:r/>
    </w:p>
    <w:p>
      <w:pPr>
        <w:pStyle w:val="Heading2"/>
      </w:pPr>
      <w:r>
        <w:t>Fierté, orgueil</w:t>
      </w:r>
      <w:r/>
    </w:p>
    <w:p>
      <w:r/>
      <w:r>
        <w:t>La fierté peut se référer à un respect de soi raisonnable ou justifiable, mais elle peut aussi signifier une estime de soi excessive et inappropriée, connue sous le nom d'orgueil ou d'arrogance.</w:t>
      </w:r>
    </w:p>
    <w:p>
      <w:pPr>
        <w:pStyle w:val="Heading3"/>
      </w:pPr>
      <w:r>
        <w:t>Fierté positive et négative</w:t>
      </w:r>
    </w:p>
    <w:p>
      <w:r/>
      <w:r>
        <w:t>L'apôtre Paul a montré une forme positive de fierté lorsqu'il a parlé de sa confiance vis-à-vis des chrétiens avec qui il était impliqué ou de sa force dans le Seigneur (</w:t>
      </w:r>
      <w:hyperlink r:id="rId5649">
        <w:r>
          <w:rPr>
            <w:color w:val="0000EE"/>
            <w:u w:val="single"/>
          </w:rPr>
          <w:t>2Co 7.4</w:t>
        </w:r>
      </w:hyperlink>
      <w:r>
        <w:t>;</w:t>
      </w:r>
      <w:hyperlink r:id="rId5650">
        <w:r>
          <w:rPr>
            <w:color w:val="0000EE"/>
            <w:u w:val="single"/>
          </w:rPr>
          <w:t xml:space="preserve"> 12.5, 9</w:t>
        </w:r>
      </w:hyperlink>
      <w:r>
        <w:t>). Cependant, la Bible aborde principalement au côté négatif de la fierté dans l'Ancien et le Nouveau Testament.</w:t>
      </w:r>
    </w:p>
    <w:p>
      <w:r/>
      <w:r>
        <w:t xml:space="preserve">Dans la Bible, la fierté, ou l'orgueil, signifie souvent avoir une attitude de supériorité, qui est l'opposé de l'humilité. Un mot grec pour la fierté décrit quelqu'un qui semble important mais qui, en réalité, est simplement marqué par une vision enflée de sa personne (voir par exemple </w:t>
      </w:r>
      <w:hyperlink r:id="rId5651">
        <w:r>
          <w:rPr>
            <w:color w:val="0000EE"/>
            <w:u w:val="single"/>
          </w:rPr>
          <w:t>1Co 5.2</w:t>
        </w:r>
      </w:hyperlink>
      <w:r>
        <w:t xml:space="preserve"> ; </w:t>
      </w:r>
      <w:hyperlink r:id="rId3242">
        <w:r>
          <w:rPr>
            <w:color w:val="0000EE"/>
            <w:u w:val="single"/>
          </w:rPr>
          <w:t>8.1</w:t>
        </w:r>
      </w:hyperlink>
      <w:r>
        <w:t xml:space="preserve"> ; </w:t>
      </w:r>
      <w:hyperlink r:id="rId5652">
        <w:r>
          <w:rPr>
            <w:color w:val="0000EE"/>
            <w:u w:val="single"/>
          </w:rPr>
          <w:t>13.4</w:t>
        </w:r>
      </w:hyperlink>
      <w:r>
        <w:t xml:space="preserve"> ; </w:t>
      </w:r>
      <w:hyperlink r:id="rId939">
        <w:r>
          <w:rPr>
            <w:color w:val="0000EE"/>
            <w:u w:val="single"/>
          </w:rPr>
          <w:t>Col 2.18</w:t>
        </w:r>
      </w:hyperlink>
      <w:r>
        <w:t>).</w:t>
      </w:r>
    </w:p>
    <w:p>
      <w:pPr>
        <w:pStyle w:val="Heading3"/>
      </w:pPr>
      <w:r>
        <w:t>La fierté comme péché</w:t>
      </w:r>
    </w:p>
    <w:p>
      <w:r/>
      <w:r>
        <w:t xml:space="preserve">La fierté, ou l'orgueil, est un péché d'attitude et d'esprit. Ainsi, il est dit : « </w:t>
      </w:r>
      <w:r>
        <w:t>Des regards hautains et un cœur qui s’enfle, Cette lampe des méchants, ce n’est que péché</w:t>
      </w:r>
      <w:r>
        <w:t xml:space="preserve"> » (</w:t>
      </w:r>
      <w:hyperlink r:id="rId5653">
        <w:r>
          <w:rPr>
            <w:color w:val="0000EE"/>
            <w:u w:val="single"/>
          </w:rPr>
          <w:t>Pr 21.4</w:t>
        </w:r>
      </w:hyperlink>
      <w:r>
        <w:t xml:space="preserve">). </w:t>
      </w:r>
      <w:hyperlink r:id="rId5654">
        <w:r>
          <w:rPr>
            <w:color w:val="0000EE"/>
            <w:u w:val="single"/>
          </w:rPr>
          <w:t>Ecclésiate 7.8</w:t>
        </w:r>
      </w:hyperlink>
      <w:r>
        <w:t xml:space="preserve"> parle d'avoir un esprit orgueilleux, et le psalmiste dit : « </w:t>
      </w:r>
      <w:r>
        <w:t>Éternel</w:t>
      </w:r>
      <w:r>
        <w:t xml:space="preserve"> </w:t>
      </w:r>
      <w:r>
        <w:t>! je n’ai ni un cœur qui s’enfle, ni des regards hautains</w:t>
      </w:r>
      <w:r>
        <w:t xml:space="preserve"> » (</w:t>
      </w:r>
      <w:hyperlink r:id="rId5655">
        <w:r>
          <w:rPr>
            <w:color w:val="0000EE"/>
            <w:u w:val="single"/>
          </w:rPr>
          <w:t>Ps 131.1</w:t>
        </w:r>
      </w:hyperlink>
      <w:r>
        <w:t>).</w:t>
      </w:r>
    </w:p>
    <w:p>
      <w:r/>
      <w:r>
        <w:t xml:space="preserve">L'orgueil est mentionné dans les deux listes des péchés les plus évidents dans la Bible. En plus des péchés pour lesquels Dieu jugera les païens, Paul énumère les gens </w:t>
      </w:r>
      <w:r>
        <w:t>arrogants, hautains, et fanfarons</w:t>
      </w:r>
      <w:r>
        <w:t xml:space="preserve"> (</w:t>
      </w:r>
      <w:hyperlink r:id="rId5656">
        <w:r>
          <w:rPr>
            <w:color w:val="0000EE"/>
            <w:u w:val="single"/>
          </w:rPr>
          <w:t>Rm 1.30</w:t>
        </w:r>
      </w:hyperlink>
      <w:r>
        <w:t xml:space="preserve">). Paul mentionne également que dans les derniers jours, les gens seront </w:t>
      </w:r>
      <w:r>
        <w:t>fanfarons, hautains</w:t>
      </w:r>
      <w:r>
        <w:t xml:space="preserve"> et </w:t>
      </w:r>
      <w:r>
        <w:t>enflés d’orgueil</w:t>
      </w:r>
      <w:r>
        <w:t xml:space="preserve"> (</w:t>
      </w:r>
      <w:hyperlink r:id="rId5657">
        <w:r>
          <w:rPr>
            <w:color w:val="0000EE"/>
            <w:u w:val="single"/>
          </w:rPr>
          <w:t>2Tm 3.2–4</w:t>
        </w:r>
      </w:hyperlink>
      <w:r>
        <w:t>).</w:t>
      </w:r>
    </w:p>
    <w:p>
      <w:r/>
      <w:r>
        <w:t>Tout comme de nombreux péchés au niveau de l'attitude, l'orgueil ne peut pas rester interne :</w:t>
      </w:r>
    </w:p>
    <w:p>
      <w:pPr>
        <w:pStyle w:val="ListBullet"/>
        <w:spacing w:line="240" w:lineRule="auto"/>
        <w:ind w:left="720"/>
      </w:pPr>
      <w:r/>
      <w:r>
        <w:t>Il peut affecter la façon dont quelqu'un parle :</w:t>
      </w:r>
    </w:p>
    <w:p>
      <w:pPr>
        <w:pStyle w:val="ListBullet"/>
        <w:spacing w:line="240" w:lineRule="auto"/>
        <w:ind w:left="1440"/>
      </w:pPr>
      <w:r/>
      <w:r>
        <w:t>On peut se vanter plus souvent (</w:t>
      </w:r>
      <w:hyperlink r:id="rId5658">
        <w:r>
          <w:rPr>
            <w:color w:val="0000EE"/>
            <w:u w:val="single"/>
          </w:rPr>
          <w:t>Ml 3.13</w:t>
        </w:r>
      </w:hyperlink>
      <w:r>
        <w:t>).</w:t>
      </w:r>
    </w:p>
    <w:p>
      <w:pPr>
        <w:pStyle w:val="ListBullet"/>
        <w:spacing w:line="240" w:lineRule="auto"/>
        <w:ind w:left="720"/>
      </w:pPr>
      <w:r/>
      <w:r>
        <w:t>Il peut affecter l'apparence de quelqu'un :</w:t>
      </w:r>
    </w:p>
    <w:p>
      <w:pPr>
        <w:pStyle w:val="ListBullet"/>
        <w:spacing w:line="240" w:lineRule="auto"/>
        <w:ind w:left="1440"/>
      </w:pPr>
      <w:r/>
      <w:r>
        <w:t xml:space="preserve">On peut avoir des « yeux hautains » ou des « </w:t>
      </w:r>
      <w:r>
        <w:t>paupières élevées</w:t>
      </w:r>
      <w:r>
        <w:t xml:space="preserve"> » (</w:t>
      </w:r>
      <w:hyperlink r:id="rId5659">
        <w:r>
          <w:rPr>
            <w:color w:val="0000EE"/>
            <w:u w:val="single"/>
          </w:rPr>
          <w:t>Pr 6.17</w:t>
        </w:r>
      </w:hyperlink>
      <w:r>
        <w:t xml:space="preserve"> ; </w:t>
      </w:r>
      <w:hyperlink r:id="rId5660">
        <w:r>
          <w:rPr>
            <w:color w:val="0000EE"/>
            <w:u w:val="single"/>
          </w:rPr>
          <w:t>Ps 101.5</w:t>
        </w:r>
      </w:hyperlink>
      <w:r>
        <w:t xml:space="preserve"> ; </w:t>
      </w:r>
      <w:hyperlink r:id="rId5661">
        <w:r>
          <w:rPr>
            <w:color w:val="0000EE"/>
            <w:u w:val="single"/>
          </w:rPr>
          <w:t>Pr 30.13</w:t>
        </w:r>
      </w:hyperlink>
      <w:r>
        <w:t>).</w:t>
      </w:r>
    </w:p>
    <w:p>
      <w:pPr>
        <w:pStyle w:val="ListBullet"/>
        <w:spacing w:line="240" w:lineRule="auto"/>
        <w:ind w:left="720"/>
      </w:pPr>
      <w:r/>
      <w:r>
        <w:t>Il peut influencer la manière dont une personne traite les autres :</w:t>
      </w:r>
    </w:p>
    <w:p>
      <w:pPr>
        <w:pStyle w:val="ListBullet"/>
        <w:spacing w:line="240" w:lineRule="auto"/>
        <w:ind w:left="1440"/>
      </w:pPr>
      <w:r/>
      <w:r>
        <w:t>On peut traiter les autres de manière impolie (</w:t>
      </w:r>
      <w:hyperlink r:id="rId5662">
        <w:r>
          <w:rPr>
            <w:color w:val="0000EE"/>
            <w:u w:val="single"/>
          </w:rPr>
          <w:t>Pr 21.24</w:t>
        </w:r>
      </w:hyperlink>
      <w:r>
        <w:t xml:space="preserve">). Par exemple, les pharisiens et d'autres dirigeants juifs traitaient et parlaient de ceux qu'ils considéraient comme inférieurs (voir par exemple </w:t>
      </w:r>
      <w:hyperlink r:id="rId5663">
        <w:r>
          <w:rPr>
            <w:color w:val="0000EE"/>
            <w:u w:val="single"/>
          </w:rPr>
          <w:t>Mt 23.5–12</w:t>
        </w:r>
      </w:hyperlink>
      <w:r>
        <w:t xml:space="preserve"> ; </w:t>
      </w:r>
      <w:hyperlink r:id="rId5664">
        <w:r>
          <w:rPr>
            <w:color w:val="0000EE"/>
            <w:u w:val="single"/>
          </w:rPr>
          <w:t>Jn 9.34</w:t>
        </w:r>
      </w:hyperlink>
      <w:r>
        <w:t>). Ceci est vrai tout particulièrement dans le cas des collecteurs d'impôts et les pécheurs.</w:t>
      </w:r>
    </w:p>
    <w:p>
      <w:pPr>
        <w:pStyle w:val="Heading3"/>
      </w:pPr>
      <w:r>
        <w:t>Exemples bibliques de l'orgueil qui mène à la chute</w:t>
      </w:r>
    </w:p>
    <w:p>
      <w:r/>
      <w:r>
        <w:t>La Bible donne plusieurs exemples dans lesquels l'orgueil mène à la chute :</w:t>
      </w:r>
    </w:p>
    <w:p>
      <w:pPr>
        <w:pStyle w:val="ListBullet"/>
        <w:spacing w:line="240" w:lineRule="auto"/>
        <w:ind w:left="720"/>
      </w:pPr>
      <w:r/>
      <w:r>
        <w:t>C'est l'orgueil qui causera la chute du roi Ozias. À cause de ce péché, il osera offrir de l'encens sur l'autel de l'encens et sera frappé de lèpre comme punition de Dieu (</w:t>
      </w:r>
      <w:hyperlink r:id="rId5665">
        <w:r>
          <w:rPr>
            <w:color w:val="0000EE"/>
            <w:u w:val="single"/>
          </w:rPr>
          <w:t>2Ch 26.16</w:t>
        </w:r>
      </w:hyperlink>
      <w:r>
        <w:t>).</w:t>
      </w:r>
    </w:p>
    <w:p>
      <w:pPr>
        <w:pStyle w:val="ListBullet"/>
        <w:spacing w:line="240" w:lineRule="auto"/>
        <w:ind w:left="720"/>
      </w:pPr>
      <w:r/>
      <w:r>
        <w:t>Ézéchias, après sa guérison par le Seigneur, deviendra orgueilleux de cœur et attirera la colère de Dieu sur lui-même, sur Juda et sur Jérusalem (</w:t>
      </w:r>
      <w:hyperlink r:id="rId5666">
        <w:r>
          <w:rPr>
            <w:color w:val="0000EE"/>
            <w:u w:val="single"/>
          </w:rPr>
          <w:t>2Ch 32.25–26</w:t>
        </w:r>
      </w:hyperlink>
      <w:r>
        <w:t>).</w:t>
      </w:r>
    </w:p>
    <w:p>
      <w:pPr>
        <w:pStyle w:val="ListBullet"/>
        <w:spacing w:line="240" w:lineRule="auto"/>
        <w:ind w:left="720"/>
      </w:pPr>
      <w:r/>
      <w:r>
        <w:t>Le pharisien qui prie dans le temple, se comparant favorablement à l'humble collecteur d'impôts, en est un autre exemple (</w:t>
      </w:r>
      <w:hyperlink r:id="rId5667">
        <w:r>
          <w:rPr>
            <w:color w:val="0000EE"/>
            <w:u w:val="single"/>
          </w:rPr>
          <w:t>Lc 18.9–14</w:t>
        </w:r>
      </w:hyperlink>
      <w:r>
        <w:t>).</w:t>
      </w:r>
    </w:p>
    <w:p>
      <w:pPr>
        <w:pStyle w:val="ListBullet"/>
        <w:spacing w:line="240" w:lineRule="auto"/>
        <w:ind w:left="720"/>
      </w:pPr>
      <w:r/>
      <w:r>
        <w:t>Le refus d'Hérode de rendre à Dieu la gloire pour sa grandeur a entraîné le jugement de Dieu : Hérode sera dévoré par les vers et mourra à cause de son péché d'orgueil (</w:t>
      </w:r>
      <w:hyperlink r:id="rId2018">
        <w:r>
          <w:rPr>
            <w:color w:val="0000EE"/>
            <w:u w:val="single"/>
          </w:rPr>
          <w:t>Ac 12.21–23</w:t>
        </w:r>
      </w:hyperlink>
      <w:r>
        <w:t>).</w:t>
      </w:r>
    </w:p>
    <w:p>
      <w:pPr>
        <w:pStyle w:val="ListBullet"/>
        <w:spacing w:line="240" w:lineRule="auto"/>
        <w:ind w:left="720"/>
      </w:pPr>
      <w:r/>
      <w:hyperlink r:id="rId5444">
        <w:r>
          <w:rPr>
            <w:color w:val="0000EE"/>
            <w:u w:val="single"/>
          </w:rPr>
          <w:t>Ézéchiel 28</w:t>
        </w:r>
      </w:hyperlink>
      <w:r>
        <w:t>, qui décrit l'orgueil du chef de Tyr, est vu par de nombreux biblistes comme se référant, dans un sens plus profond, à la chute de Satan au commencement.</w:t>
      </w:r>
    </w:p>
    <w:p>
      <w:r/>
      <w:r>
        <w:t>L'orgueil ne provoque pas seulement la chute personnelle, mais peut aussi affecter les nations. Ce péché se trouvait, pour grande partie, derrière le retranchement d'Israël et de Juda du pays de Canaan (</w:t>
      </w:r>
      <w:hyperlink r:id="rId5668">
        <w:r>
          <w:rPr>
            <w:color w:val="0000EE"/>
            <w:u w:val="single"/>
          </w:rPr>
          <w:t>Es 3.16</w:t>
        </w:r>
      </w:hyperlink>
      <w:r>
        <w:t xml:space="preserve"> ; </w:t>
      </w:r>
      <w:hyperlink r:id="rId5669">
        <w:r>
          <w:rPr>
            <w:color w:val="0000EE"/>
            <w:u w:val="single"/>
          </w:rPr>
          <w:t>5.15</w:t>
        </w:r>
      </w:hyperlink>
      <w:r>
        <w:t xml:space="preserve"> ; </w:t>
      </w:r>
      <w:hyperlink r:id="rId5670">
        <w:r>
          <w:rPr>
            <w:color w:val="0000EE"/>
            <w:u w:val="single"/>
          </w:rPr>
          <w:t>Ez 16.50</w:t>
        </w:r>
      </w:hyperlink>
      <w:r>
        <w:t xml:space="preserve"> ; </w:t>
      </w:r>
      <w:hyperlink r:id="rId5671">
        <w:r>
          <w:rPr>
            <w:color w:val="0000EE"/>
            <w:u w:val="single"/>
          </w:rPr>
          <w:t>Os 13.6</w:t>
        </w:r>
      </w:hyperlink>
      <w:r>
        <w:t xml:space="preserve"> ; </w:t>
      </w:r>
      <w:hyperlink r:id="rId5672">
        <w:r>
          <w:rPr>
            <w:color w:val="0000EE"/>
            <w:u w:val="single"/>
          </w:rPr>
          <w:t>So 3.11</w:t>
        </w:r>
      </w:hyperlink>
      <w:r>
        <w:t>). Il a également conduit à la chute du roi assyrien et du roi moabite (</w:t>
      </w:r>
      <w:hyperlink r:id="rId5673">
        <w:r>
          <w:rPr>
            <w:color w:val="0000EE"/>
            <w:u w:val="single"/>
          </w:rPr>
          <w:t>Es 10.12, 33</w:t>
        </w:r>
      </w:hyperlink>
      <w:r>
        <w:t xml:space="preserve"> ; </w:t>
      </w:r>
      <w:hyperlink r:id="rId5674">
        <w:r>
          <w:rPr>
            <w:color w:val="0000EE"/>
            <w:u w:val="single"/>
          </w:rPr>
          <w:t>Jr 48.29</w:t>
        </w:r>
      </w:hyperlink>
      <w:r>
        <w:t>). En raison de sa dangerosité, Israël est mis en garde contre l'orgueil et l'oubli de Dieu (</w:t>
      </w:r>
      <w:hyperlink r:id="rId5675">
        <w:r>
          <w:rPr>
            <w:color w:val="0000EE"/>
            <w:u w:val="single"/>
          </w:rPr>
          <w:t>Dt 8.14</w:t>
        </w:r>
      </w:hyperlink>
      <w:r>
        <w:t>).</w:t>
      </w:r>
    </w:p>
    <w:p>
      <w:pPr>
        <w:pStyle w:val="Heading3"/>
      </w:pPr>
      <w:r>
        <w:t>Dieu déteste l'orgueil</w:t>
      </w:r>
    </w:p>
    <w:p>
      <w:r/>
      <w:r>
        <w:t>Étant donné tout ceci, il est clair pourquoi la Bible dit que l'orgueil est l'une des sept choses que Dieu déteste (</w:t>
      </w:r>
      <w:hyperlink r:id="rId5659">
        <w:r>
          <w:rPr>
            <w:color w:val="0000EE"/>
            <w:u w:val="single"/>
          </w:rPr>
          <w:t>Pr 6.17</w:t>
        </w:r>
      </w:hyperlink>
      <w:r>
        <w:t>). Elle mentionne également que Dieu s'oppose aux orgueilleux mais accorde sa grâce aux humbles (</w:t>
      </w:r>
      <w:hyperlink r:id="rId5676">
        <w:r>
          <w:rPr>
            <w:color w:val="0000EE"/>
            <w:u w:val="single"/>
          </w:rPr>
          <w:t>Jc 4.6</w:t>
        </w:r>
      </w:hyperlink>
      <w:r>
        <w:t xml:space="preserve"> ; </w:t>
      </w:r>
      <w:hyperlink r:id="rId5677">
        <w:r>
          <w:rPr>
            <w:color w:val="0000EE"/>
            <w:u w:val="single"/>
          </w:rPr>
          <w:t>1P 5.5</w:t>
        </w:r>
      </w:hyperlink>
      <w:r>
        <w:t xml:space="preserve"> ; voir aussi </w:t>
      </w:r>
      <w:hyperlink r:id="rId5678">
        <w:r>
          <w:rPr>
            <w:color w:val="0000EE"/>
            <w:u w:val="single"/>
          </w:rPr>
          <w:t>Pr 3.34</w:t>
        </w:r>
      </w:hyperlink>
      <w:r>
        <w:t xml:space="preserve"> ; </w:t>
      </w:r>
      <w:hyperlink r:id="rId5679">
        <w:r>
          <w:rPr>
            <w:color w:val="0000EE"/>
            <w:u w:val="single"/>
          </w:rPr>
          <w:t>18.12</w:t>
        </w:r>
      </w:hyperlink>
      <w:r>
        <w:t>). L'hymne de Marie, la mère de Jésus, résume bien l'attitude de Dieu envers l'orgueil : « Il a déployé la force de son bras; Il a dispersé ceux qui avaient dans le cœur des pensées orgueilleuses. Il a renversé les puissants de leurs trônes, et il a élevé les humbles » (</w:t>
      </w:r>
      <w:hyperlink r:id="rId5680">
        <w:r>
          <w:rPr>
            <w:color w:val="0000EE"/>
            <w:u w:val="single"/>
          </w:rPr>
          <w:t>Lc 1.51–52</w:t>
        </w:r>
      </w:hyperlink>
      <w:r>
        <w:t>).</w:t>
      </w:r>
      <w:r/>
      <w:r/>
    </w:p>
    <w:p>
      <w:r/>
    </w:p>
    <w:p>
      <w:pPr>
        <w:pStyle w:val="Heading2"/>
      </w:pPr>
      <w:r>
        <w:t>Fille de Pharaon</w:t>
      </w:r>
      <w:r/>
    </w:p>
    <w:p>
      <w:pPr>
        <w:pStyle w:val="ListNumber"/>
        <w:spacing w:line="240" w:lineRule="auto"/>
        <w:ind w:left="720"/>
      </w:pPr>
      <w:r/>
      <w:r>
        <w:t>Princesse égyptienne a sauvé le nourrisson Moïse et l'a adopté comme son propre fils (</w:t>
      </w:r>
      <w:hyperlink r:id="rId5681">
        <w:r>
          <w:rPr>
            <w:color w:val="0000EE"/>
            <w:u w:val="single"/>
          </w:rPr>
          <w:t>Ex 2.5–10</w:t>
        </w:r>
      </w:hyperlink>
      <w:r>
        <w:t xml:space="preserve"> ; </w:t>
      </w:r>
      <w:hyperlink r:id="rId5682">
        <w:r>
          <w:rPr>
            <w:color w:val="0000EE"/>
            <w:u w:val="single"/>
          </w:rPr>
          <w:t>Ac 7.21</w:t>
        </w:r>
      </w:hyperlink>
      <w:r>
        <w:t xml:space="preserve"> ; </w:t>
      </w:r>
      <w:hyperlink r:id="rId5683">
        <w:r>
          <w:rPr>
            <w:color w:val="0000EE"/>
            <w:u w:val="single"/>
          </w:rPr>
          <w:t>Hé 11.24</w:t>
        </w:r>
      </w:hyperlink>
      <w:r>
        <w:t>). Si nous acceptons une date ancienne pour l'Exode (lorsque Moïse a conduit les Israélites hors d'Égypte), cette mère adoptive de Moïse pourrait avoir été Hatchepsout. Certains érudits qui acceptent une date plus tardive pour l'Exode croient que le Pharaon de l'oppression était Ramsès II. Si c'est le cas, cette princesse pourrait avoir été la fille de Séthi 1er ou d'un Pharaon ultérieur de la 18e dynastie. Elle est probablement née d'une concubine d'un harem royal près de la région de Gosen.</w:t>
      </w:r>
    </w:p>
    <w:p>
      <w:pPr>
        <w:pStyle w:val="ListNumber"/>
        <w:spacing w:line="240" w:lineRule="auto"/>
        <w:ind w:left="720"/>
      </w:pPr>
      <w:r/>
      <w:r>
        <w:t>Princesse égyptienne, l'une des deux épouses de Méred (un descendant de Caleb), qui a donné naissance à trois enfants (</w:t>
      </w:r>
      <w:hyperlink r:id="rId4755">
        <w:r>
          <w:rPr>
            <w:color w:val="0000EE"/>
            <w:u w:val="single"/>
          </w:rPr>
          <w:t>1Ch 4.17</w:t>
        </w:r>
      </w:hyperlink>
      <w:r>
        <w:t>). Son nom, Bithja (signifiant « fille du Seigneur »), implique qu'elle s'est convertie au culte du Dieu d'Israël. On ne sait pas quel Pharaon était son père.</w:t>
      </w:r>
    </w:p>
    <w:p>
      <w:pPr>
        <w:pStyle w:val="ListNumber"/>
        <w:spacing w:line="240" w:lineRule="auto"/>
        <w:ind w:left="720"/>
      </w:pPr>
      <w:r/>
      <w:r>
        <w:t>Princesse que Salomon a épousée pour sceller une alliance avec l'Égypte. Son père était probablement Siamun, qui a régné de 978 à 959 av. J.‑C. Il a offert à Salomon la ville de Guézer comme cadeau de mariage (</w:t>
      </w:r>
      <w:hyperlink r:id="rId5684">
        <w:r>
          <w:rPr>
            <w:color w:val="0000EE"/>
            <w:u w:val="single"/>
          </w:rPr>
          <w:t>1R 3.1</w:t>
        </w:r>
      </w:hyperlink>
      <w:r>
        <w:t xml:space="preserve"> ; </w:t>
      </w:r>
      <w:hyperlink r:id="rId4738">
        <w:r>
          <w:rPr>
            <w:color w:val="0000EE"/>
            <w:u w:val="single"/>
          </w:rPr>
          <w:t>9.16</w:t>
        </w:r>
      </w:hyperlink>
      <w:r>
        <w:t xml:space="preserve"> ; </w:t>
      </w:r>
      <w:hyperlink r:id="rId5685">
        <w:r>
          <w:rPr>
            <w:color w:val="0000EE"/>
            <w:u w:val="single"/>
          </w:rPr>
          <w:t>11.1</w:t>
        </w:r>
      </w:hyperlink>
      <w:r>
        <w:t>). Salomon lui a construit un palais à Jérusalem parce qu'il ne voulait pas qu'elle vive dans la maison de David (</w:t>
      </w:r>
      <w:hyperlink r:id="rId5686">
        <w:r>
          <w:rPr>
            <w:color w:val="0000EE"/>
            <w:u w:val="single"/>
          </w:rPr>
          <w:t>1R 7.8</w:t>
        </w:r>
      </w:hyperlink>
      <w:r>
        <w:t xml:space="preserve"> ; </w:t>
      </w:r>
      <w:hyperlink r:id="rId5687">
        <w:r>
          <w:rPr>
            <w:color w:val="0000EE"/>
            <w:u w:val="single"/>
          </w:rPr>
          <w:t>9.24</w:t>
        </w:r>
      </w:hyperlink>
      <w:r>
        <w:t xml:space="preserve"> ; </w:t>
      </w:r>
      <w:hyperlink r:id="rId5688">
        <w:r>
          <w:rPr>
            <w:color w:val="0000EE"/>
            <w:u w:val="single"/>
          </w:rPr>
          <w:t>2Ch 8.11</w:t>
        </w:r>
      </w:hyperlink>
      <w:r>
        <w:t>).</w:t>
      </w:r>
      <w:r/>
      <w:r/>
    </w:p>
    <w:p>
      <w:r/>
    </w:p>
    <w:p>
      <w:pPr>
        <w:pStyle w:val="Heading2"/>
      </w:pPr>
      <w:r>
        <w:t>Fils de l'homme</w:t>
      </w:r>
      <w:r/>
    </w:p>
    <w:p>
      <w:r/>
      <w:r>
        <w:t>Titre messianique utilisé par Jésus pour indiquer son origine céleste et parler de sa mission terrestre ainsi que de son retour futur glorieux. Ce titre ne sert pas seulement à indiquer sa nature humaine ou son humanité, comme certains Pères de l'Église ou érudits contemporains le croient. Au contraire, il indique son origine céleste et sa divinité. Il montre le mystère de sa manifestation sous forme humaine et la nature de sa mission terrestre qui le conduit à la croix puis à la gloire.</w:t>
      </w:r>
    </w:p>
    <w:p>
      <w:r/>
      <w:r>
        <w:t xml:space="preserve">Le titre « Fils de l'homme » vient de l'AT. Il est mentionné le plus souvent dans Ézéchiel où le prophète est appelé « fils de l'homme » 90 fois. Ainsi, Dieu lui dit : « </w:t>
      </w:r>
      <w:r>
        <w:t>Fils de l'homme, tiens-toi sur tes pieds, et je te parlerai</w:t>
      </w:r>
      <w:r>
        <w:t xml:space="preserve"> » (</w:t>
      </w:r>
      <w:hyperlink r:id="rId5689">
        <w:r>
          <w:rPr>
            <w:color w:val="0000EE"/>
            <w:u w:val="single"/>
          </w:rPr>
          <w:t>Ez 2.1</w:t>
        </w:r>
      </w:hyperlink>
      <w:r>
        <w:t xml:space="preserve">). Le fait que Jésus se désignait lui-même comme « Fils de l'homme » et de nombreux thèmes dans les prophéties d'Ézéchiel font penser que Jésus s'identifiait ainsi comme le prophète de la fin des temps. En effet, Ézéchiel est le prophète qui dans l'AT a annoncé les dernières prophéties sur la destruction de Jérusalem et la restauration du royaume de Dieu pour Israël (chap. </w:t>
      </w:r>
      <w:hyperlink r:id="rId5348">
        <w:r>
          <w:rPr>
            <w:color w:val="0000EE"/>
            <w:u w:val="single"/>
          </w:rPr>
          <w:t>4</w:t>
        </w:r>
      </w:hyperlink>
      <w:r>
        <w:t xml:space="preserve">, </w:t>
      </w:r>
      <w:hyperlink r:id="rId5358">
        <w:r>
          <w:rPr>
            <w:color w:val="0000EE"/>
            <w:u w:val="single"/>
          </w:rPr>
          <w:t>7</w:t>
        </w:r>
      </w:hyperlink>
      <w:r>
        <w:t xml:space="preserve">, </w:t>
      </w:r>
      <w:hyperlink r:id="rId2474">
        <w:r>
          <w:rPr>
            <w:color w:val="0000EE"/>
            <w:u w:val="single"/>
          </w:rPr>
          <w:t>10</w:t>
        </w:r>
      </w:hyperlink>
      <w:r>
        <w:t xml:space="preserve">, </w:t>
      </w:r>
      <w:hyperlink r:id="rId5690">
        <w:r>
          <w:rPr>
            <w:color w:val="0000EE"/>
            <w:u w:val="single"/>
          </w:rPr>
          <w:t>22</w:t>
        </w:r>
      </w:hyperlink>
      <w:r>
        <w:t xml:space="preserve">, </w:t>
      </w:r>
      <w:hyperlink r:id="rId5512">
        <w:r>
          <w:rPr>
            <w:color w:val="0000EE"/>
            <w:u w:val="single"/>
          </w:rPr>
          <w:t>40–48</w:t>
        </w:r>
      </w:hyperlink>
      <w:r>
        <w:t xml:space="preserve"> comp. avec </w:t>
      </w:r>
      <w:hyperlink r:id="rId5691">
        <w:r>
          <w:rPr>
            <w:color w:val="0000EE"/>
            <w:u w:val="single"/>
          </w:rPr>
          <w:t>Mt 23–24</w:t>
        </w:r>
      </w:hyperlink>
      <w:r>
        <w:t xml:space="preserve"> ; </w:t>
      </w:r>
      <w:hyperlink r:id="rId5692">
        <w:r>
          <w:rPr>
            <w:color w:val="0000EE"/>
            <w:u w:val="single"/>
          </w:rPr>
          <w:t>Ac 1.6–8</w:t>
        </w:r>
      </w:hyperlink>
      <w:r>
        <w:t>).</w:t>
      </w:r>
    </w:p>
    <w:p>
      <w:r/>
      <w:r>
        <w:t xml:space="preserve">L'origine plus spécifique du titre tel que Jésus l'utilise est </w:t>
      </w:r>
      <w:hyperlink r:id="rId5693">
        <w:r>
          <w:rPr>
            <w:color w:val="0000EE"/>
            <w:u w:val="single"/>
          </w:rPr>
          <w:t>Daniel 7.13–14</w:t>
        </w:r>
      </w:hyperlink>
      <w:r>
        <w:t>. Dans ce passage, Daniel voit une vision de quelqu'un « semblable à un fils d'homme » qui arrive sur les nuées en présence de « l'ancien des jours », qui lui donne le royaume universel et éternel de Dieu. Jésus cite des parties de ce texte à plusieurs reprises pour enseigner au sujet de son retour futur (</w:t>
      </w:r>
      <w:hyperlink r:id="rId5694">
        <w:r>
          <w:rPr>
            <w:color w:val="0000EE"/>
            <w:u w:val="single"/>
          </w:rPr>
          <w:t>Mt 16.27</w:t>
        </w:r>
      </w:hyperlink>
      <w:r>
        <w:t xml:space="preserve"> ; </w:t>
      </w:r>
      <w:hyperlink r:id="rId5695">
        <w:r>
          <w:rPr>
            <w:color w:val="0000EE"/>
            <w:u w:val="single"/>
          </w:rPr>
          <w:t>19.28</w:t>
        </w:r>
      </w:hyperlink>
      <w:r>
        <w:t xml:space="preserve"> ; </w:t>
      </w:r>
      <w:hyperlink r:id="rId2891">
        <w:r>
          <w:rPr>
            <w:color w:val="0000EE"/>
            <w:u w:val="single"/>
          </w:rPr>
          <w:t>24.30</w:t>
        </w:r>
      </w:hyperlink>
      <w:r>
        <w:t xml:space="preserve"> ; </w:t>
      </w:r>
      <w:hyperlink r:id="rId5696">
        <w:r>
          <w:rPr>
            <w:color w:val="0000EE"/>
            <w:u w:val="single"/>
          </w:rPr>
          <w:t>25.31</w:t>
        </w:r>
      </w:hyperlink>
      <w:r>
        <w:t xml:space="preserve"> ; </w:t>
      </w:r>
      <w:hyperlink r:id="rId5697">
        <w:r>
          <w:rPr>
            <w:color w:val="0000EE"/>
            <w:u w:val="single"/>
          </w:rPr>
          <w:t>26.64</w:t>
        </w:r>
      </w:hyperlink>
      <w:r>
        <w:t>). Il est clair que pour Jésus, ce passage prophétisait à son sujet et décrivait son incarnation, son ascension et le fait qu'il allait hériter du royaume de Dieu.</w:t>
      </w:r>
    </w:p>
    <w:p>
      <w:r/>
      <w:r>
        <w:t>Dans les Évangiles, Jésus utilise « Fils de l'homme » environ 80 fois comme façon voilée et indirecte de parler de lui-même (32 fois dans Matthieu ; 14 fois dans Marc ; 26 fois dans Luc ; 10 fois dans Jean). Dans tous ces textes, Jésus est toujours celui qui utilise le titre ; personne d'autre ne l'appelle « Fils de l'homme ». Dans certains textes, la référence est si mystérieuse que certains interprètes insistent que Jésus parlait d'une autre personne. Le seul passage qui exprime un doute sur l'identité du Fils de l'homme se trouve dans Jean, quand la foule demande à Jésus : « Qui est ce Fils de l'homme ? » (</w:t>
      </w:r>
      <w:hyperlink r:id="rId5698">
        <w:r>
          <w:rPr>
            <w:color w:val="0000EE"/>
            <w:u w:val="single"/>
          </w:rPr>
          <w:t>Jn 12.34</w:t>
        </w:r>
      </w:hyperlink>
      <w:r>
        <w:t xml:space="preserve">). Dans la plupart des textes, il est évident qu'il s'agit de Jésus. Dans certains textes, Jésus l'indique très explicitement : « </w:t>
      </w:r>
      <w:r>
        <w:t>Qui dit-on que je suis, moi, le Fils de l'homme ?</w:t>
      </w:r>
      <w:r>
        <w:t xml:space="preserve"> ». Cette question est suivie de : « Et vous... qui dites-vous que je suis ? » (</w:t>
      </w:r>
      <w:hyperlink r:id="rId5699">
        <w:r>
          <w:rPr>
            <w:color w:val="0000EE"/>
            <w:u w:val="single"/>
          </w:rPr>
          <w:t>Mt 16.13, 15</w:t>
        </w:r>
      </w:hyperlink>
      <w:r>
        <w:t>). La majorité conclut que Jésus utilise « Fils de l'homme » comme titre messianique pour se désigner lui-même. Ceci lui permettait de parler modestement de sa personne et de sa mission tout en communiquant le fait important qu'il souhaitait révéler à propos de lui-même. Il pouvait le faire avec originalité parce qu'il n'y avait pas de conceptions populaires erronées rattachée à ce titre concernant le Messie.</w:t>
      </w:r>
    </w:p>
    <w:p>
      <w:r/>
      <w:r>
        <w:t xml:space="preserve">Ce titre de Jésus apparaît seulement quatre autres fois de plus dans le NT. Dans </w:t>
      </w:r>
      <w:hyperlink r:id="rId5700">
        <w:r>
          <w:rPr>
            <w:color w:val="0000EE"/>
            <w:u w:val="single"/>
          </w:rPr>
          <w:t>Actes 7.56</w:t>
        </w:r>
      </w:hyperlink>
      <w:r>
        <w:t xml:space="preserve">, Étienne dit : « </w:t>
      </w:r>
      <w:r>
        <w:t xml:space="preserve">Voici, je vois les cieux ouverts, et le Fils de l'homme debout à la droite de Dieu </w:t>
      </w:r>
      <w:r>
        <w:t xml:space="preserve">». </w:t>
      </w:r>
      <w:hyperlink r:id="rId5701">
        <w:r>
          <w:rPr>
            <w:color w:val="0000EE"/>
            <w:u w:val="single"/>
          </w:rPr>
          <w:t>Hébreux 2.6</w:t>
        </w:r>
      </w:hyperlink>
      <w:r>
        <w:t xml:space="preserve"> applique </w:t>
      </w:r>
      <w:hyperlink r:id="rId284">
        <w:r>
          <w:rPr>
            <w:color w:val="0000EE"/>
            <w:u w:val="single"/>
          </w:rPr>
          <w:t>Psaume 8.4</w:t>
        </w:r>
      </w:hyperlink>
      <w:r>
        <w:t xml:space="preserve"> à Jésus. Enfin, </w:t>
      </w:r>
      <w:hyperlink r:id="rId5702">
        <w:r>
          <w:rPr>
            <w:color w:val="0000EE"/>
            <w:u w:val="single"/>
          </w:rPr>
          <w:t>Apocalypse 1.13</w:t>
        </w:r>
      </w:hyperlink>
      <w:r>
        <w:t xml:space="preserve"> et </w:t>
      </w:r>
      <w:hyperlink r:id="rId3336">
        <w:r>
          <w:rPr>
            <w:color w:val="0000EE"/>
            <w:u w:val="single"/>
          </w:rPr>
          <w:t>14.14</w:t>
        </w:r>
      </w:hyperlink>
      <w:r>
        <w:t xml:space="preserve"> décrivent des visions de quelqu'un « qui ressemblait à un fils d'homme », qui est sans aucun doute Jésus glorifié.</w:t>
      </w:r>
    </w:p>
    <w:p>
      <w:r/>
      <w:r>
        <w:t xml:space="preserve">Dans les Évangiles synoptiques, le premier thème lié à l'utilisation du titre « Fils de l'homme » par Jésus est celui de sa venue sur terre pour accomplir sa mission messianique. Il compare sa situation sur terre à la gloire céleste qu'il avait en disant : « </w:t>
      </w:r>
      <w:r>
        <w:t>Les renards ont des tanières, et les oiseaux du ciel ont des nids ; mais le Fils de l'homme n'a pas où reposer sa tête</w:t>
      </w:r>
      <w:r>
        <w:t xml:space="preserve"> » (</w:t>
      </w:r>
      <w:hyperlink r:id="rId5703">
        <w:r>
          <w:rPr>
            <w:color w:val="0000EE"/>
            <w:u w:val="single"/>
          </w:rPr>
          <w:t>Mt 8.20</w:t>
        </w:r>
      </w:hyperlink>
      <w:r>
        <w:t xml:space="preserve"> ; voir </w:t>
      </w:r>
      <w:hyperlink r:id="rId2672">
        <w:r>
          <w:rPr>
            <w:color w:val="0000EE"/>
            <w:u w:val="single"/>
          </w:rPr>
          <w:t>Lc 9.58</w:t>
        </w:r>
      </w:hyperlink>
      <w:r>
        <w:t>). Ce passage explique que le Fils de l'homme a renoncé à sa demeure céleste pour subir toutes les humiliations de son ministère terrestre (</w:t>
      </w:r>
      <w:hyperlink r:id="rId5704">
        <w:r>
          <w:rPr>
            <w:color w:val="0000EE"/>
            <w:u w:val="single"/>
          </w:rPr>
          <w:t>Ph 2.5–11</w:t>
        </w:r>
      </w:hyperlink>
      <w:r>
        <w:t>).</w:t>
      </w:r>
    </w:p>
    <w:p>
      <w:r/>
      <w:r>
        <w:t xml:space="preserve">Jésus utilise le titre pour s'attribuer des privilèges divins quand il dit : « </w:t>
      </w:r>
      <w:r>
        <w:t xml:space="preserve">le Fils de l'homme est maître du sabbat </w:t>
      </w:r>
      <w:r>
        <w:t>» (</w:t>
      </w:r>
      <w:hyperlink r:id="rId5705">
        <w:r>
          <w:rPr>
            <w:color w:val="0000EE"/>
            <w:u w:val="single"/>
          </w:rPr>
          <w:t xml:space="preserve">Mt 12.8 </w:t>
        </w:r>
      </w:hyperlink>
      <w:r>
        <w:t xml:space="preserve">; </w:t>
      </w:r>
      <w:hyperlink r:id="rId5706">
        <w:r>
          <w:rPr>
            <w:color w:val="0000EE"/>
            <w:u w:val="single"/>
          </w:rPr>
          <w:t xml:space="preserve">Mc 2.28 </w:t>
        </w:r>
      </w:hyperlink>
      <w:r>
        <w:t xml:space="preserve">; </w:t>
      </w:r>
      <w:hyperlink r:id="rId5707">
        <w:r>
          <w:rPr>
            <w:color w:val="0000EE"/>
            <w:u w:val="single"/>
          </w:rPr>
          <w:t>Lc 6.5</w:t>
        </w:r>
      </w:hyperlink>
      <w:r>
        <w:t>). Le sabbat est un commandement qui vient de Dieu et qui ne peut donc pas être changé par un être humain. Néanmoins, puisque Jésus est le Fils de l'homme venu du ciel, il a le droit de régner en tant que Seigneur même du sabbat, car il est lui-même le Seigneur qui l'a institué (</w:t>
      </w:r>
      <w:hyperlink r:id="rId5708">
        <w:r>
          <w:rPr>
            <w:color w:val="0000EE"/>
            <w:u w:val="single"/>
          </w:rPr>
          <w:t xml:space="preserve">Gn 2.2 </w:t>
        </w:r>
      </w:hyperlink>
      <w:r>
        <w:t xml:space="preserve">; </w:t>
      </w:r>
      <w:hyperlink r:id="rId558">
        <w:r>
          <w:rPr>
            <w:color w:val="0000EE"/>
            <w:u w:val="single"/>
          </w:rPr>
          <w:t>Ex 20.8–11</w:t>
        </w:r>
      </w:hyperlink>
      <w:r>
        <w:t xml:space="preserve">). Après avoir guéri le paralytique à Capernaüm, Jésus déclare que « </w:t>
      </w:r>
      <w:r>
        <w:t xml:space="preserve">le Fils de l'homme a sur la terre le pouvoir de pardonner les péchés </w:t>
      </w:r>
      <w:r>
        <w:t>» (</w:t>
      </w:r>
      <w:hyperlink r:id="rId5709">
        <w:r>
          <w:rPr>
            <w:color w:val="0000EE"/>
            <w:u w:val="single"/>
          </w:rPr>
          <w:t xml:space="preserve">Mt 9.6 </w:t>
        </w:r>
      </w:hyperlink>
      <w:r>
        <w:t xml:space="preserve">; </w:t>
      </w:r>
      <w:hyperlink r:id="rId5710">
        <w:r>
          <w:rPr>
            <w:color w:val="0000EE"/>
            <w:u w:val="single"/>
          </w:rPr>
          <w:t xml:space="preserve">Mc 2.10 </w:t>
        </w:r>
      </w:hyperlink>
      <w:r>
        <w:t xml:space="preserve">; </w:t>
      </w:r>
      <w:hyperlink r:id="rId5711">
        <w:r>
          <w:rPr>
            <w:color w:val="0000EE"/>
            <w:u w:val="single"/>
          </w:rPr>
          <w:t>Lc 5.24</w:t>
        </w:r>
      </w:hyperlink>
      <w:r>
        <w:t>). Auparavant, le pardon des péchés ne pouvait venir que du ciel et de Dieu, mais maintenant le pardon est accordé sur terre par Jésus.</w:t>
      </w:r>
    </w:p>
    <w:p>
      <w:r/>
      <w:r>
        <w:t>Le deuxième thème associé à l'utilisation du titre « Fils de l'homme » par Jésus concerne sa souffrance, sa mort et sa glorieuse résurrection. C'est le mystère par lequel il accomplit sa mission terrestre en tant que Fils de l'homme. Jésus commence à enseigner sur ce qu'il doit souffrir juste après la déclaration de Pierre qu'il est le Messie et le Fils de Dieu (</w:t>
      </w:r>
      <w:hyperlink r:id="rId2513">
        <w:r>
          <w:rPr>
            <w:color w:val="0000EE"/>
            <w:u w:val="single"/>
          </w:rPr>
          <w:t>Mt 16.16</w:t>
        </w:r>
      </w:hyperlink>
      <w:r>
        <w:t xml:space="preserve">). Jésus commence à prédire que le Fils de l'homme va souffrir dans </w:t>
      </w:r>
      <w:hyperlink r:id="rId5712">
        <w:r>
          <w:rPr>
            <w:color w:val="0000EE"/>
            <w:u w:val="single"/>
          </w:rPr>
          <w:t>Marc 8.31–32</w:t>
        </w:r>
      </w:hyperlink>
      <w:r>
        <w:t xml:space="preserve"> et le répète dans plusieurs fois ensuite. Les prédictions incluent les moqueries et la flagellation (</w:t>
      </w:r>
      <w:hyperlink r:id="rId5713">
        <w:r>
          <w:rPr>
            <w:color w:val="0000EE"/>
            <w:u w:val="single"/>
          </w:rPr>
          <w:t>Mt 17.12</w:t>
        </w:r>
      </w:hyperlink>
      <w:r>
        <w:t xml:space="preserve"> ; </w:t>
      </w:r>
      <w:hyperlink r:id="rId5714">
        <w:r>
          <w:rPr>
            <w:color w:val="0000EE"/>
            <w:u w:val="single"/>
          </w:rPr>
          <w:t>20.18</w:t>
        </w:r>
      </w:hyperlink>
      <w:r>
        <w:t xml:space="preserve"> ; </w:t>
      </w:r>
      <w:hyperlink r:id="rId5715">
        <w:r>
          <w:rPr>
            <w:color w:val="0000EE"/>
            <w:u w:val="single"/>
          </w:rPr>
          <w:t>Mc 8.31</w:t>
        </w:r>
      </w:hyperlink>
      <w:r>
        <w:t xml:space="preserve"> ; </w:t>
      </w:r>
      <w:hyperlink r:id="rId5716">
        <w:r>
          <w:rPr>
            <w:color w:val="0000EE"/>
            <w:u w:val="single"/>
          </w:rPr>
          <w:t>Lc 9.22</w:t>
        </w:r>
      </w:hyperlink>
      <w:r>
        <w:t>), la trahison de Judas (</w:t>
      </w:r>
      <w:hyperlink r:id="rId5717">
        <w:r>
          <w:rPr>
            <w:color w:val="0000EE"/>
            <w:u w:val="single"/>
          </w:rPr>
          <w:t>Mt 17.22</w:t>
        </w:r>
      </w:hyperlink>
      <w:r>
        <w:t xml:space="preserve"> ; </w:t>
      </w:r>
      <w:hyperlink r:id="rId5718">
        <w:r>
          <w:rPr>
            <w:color w:val="0000EE"/>
            <w:u w:val="single"/>
          </w:rPr>
          <w:t>26.24–25</w:t>
        </w:r>
      </w:hyperlink>
      <w:r>
        <w:t xml:space="preserve"> ; </w:t>
      </w:r>
      <w:hyperlink r:id="rId5719">
        <w:r>
          <w:rPr>
            <w:color w:val="0000EE"/>
            <w:u w:val="single"/>
          </w:rPr>
          <w:t>Mc 14.21, 41</w:t>
        </w:r>
      </w:hyperlink>
      <w:r>
        <w:t>), le rejet par les dirigeants juifs (</w:t>
      </w:r>
      <w:hyperlink r:id="rId5714">
        <w:r>
          <w:rPr>
            <w:color w:val="0000EE"/>
            <w:u w:val="single"/>
          </w:rPr>
          <w:t>Mt 20.18</w:t>
        </w:r>
      </w:hyperlink>
      <w:r>
        <w:t>), la mort par crucifixion (</w:t>
      </w:r>
      <w:hyperlink r:id="rId5720">
        <w:r>
          <w:rPr>
            <w:color w:val="0000EE"/>
            <w:u w:val="single"/>
          </w:rPr>
          <w:t>Mt 20.19</w:t>
        </w:r>
      </w:hyperlink>
      <w:r>
        <w:t xml:space="preserve"> ; </w:t>
      </w:r>
      <w:hyperlink r:id="rId5721">
        <w:r>
          <w:rPr>
            <w:color w:val="0000EE"/>
            <w:u w:val="single"/>
          </w:rPr>
          <w:t>Mc 9.12, 31</w:t>
        </w:r>
      </w:hyperlink>
      <w:r>
        <w:t xml:space="preserve"> ; </w:t>
      </w:r>
      <w:hyperlink r:id="rId5722">
        <w:r>
          <w:rPr>
            <w:color w:val="0000EE"/>
            <w:u w:val="single"/>
          </w:rPr>
          <w:t>10.33</w:t>
        </w:r>
      </w:hyperlink>
      <w:r>
        <w:t>), l'ensevelissement pendant trois jours (</w:t>
      </w:r>
      <w:hyperlink r:id="rId2747">
        <w:r>
          <w:rPr>
            <w:color w:val="0000EE"/>
            <w:u w:val="single"/>
          </w:rPr>
          <w:t>Mt 12.40</w:t>
        </w:r>
      </w:hyperlink>
      <w:r>
        <w:t xml:space="preserve"> ; </w:t>
      </w:r>
      <w:hyperlink r:id="rId5723">
        <w:r>
          <w:rPr>
            <w:color w:val="0000EE"/>
            <w:u w:val="single"/>
          </w:rPr>
          <w:t>Lc 11.30</w:t>
        </w:r>
      </w:hyperlink>
      <w:r>
        <w:t>) et la résurrection (</w:t>
      </w:r>
      <w:hyperlink r:id="rId5181">
        <w:r>
          <w:rPr>
            <w:color w:val="0000EE"/>
            <w:u w:val="single"/>
          </w:rPr>
          <w:t>Mt 17.22–23</w:t>
        </w:r>
      </w:hyperlink>
      <w:r>
        <w:t xml:space="preserve"> ; </w:t>
      </w:r>
      <w:hyperlink r:id="rId5715">
        <w:r>
          <w:rPr>
            <w:color w:val="0000EE"/>
            <w:u w:val="single"/>
          </w:rPr>
          <w:t>Mc 8.31</w:t>
        </w:r>
      </w:hyperlink>
      <w:r>
        <w:t>).</w:t>
      </w:r>
    </w:p>
    <w:p>
      <w:r/>
      <w:r>
        <w:t xml:space="preserve">Dans le passage bien connu où Jésus déclare que « </w:t>
      </w:r>
      <w:r>
        <w:t>le Fils de l'homme est venu, non pour être servi, mais pour servir et donner sa vie comme la rançon de plusieurs</w:t>
      </w:r>
      <w:r>
        <w:t xml:space="preserve"> » (</w:t>
      </w:r>
      <w:hyperlink r:id="rId653">
        <w:r>
          <w:rPr>
            <w:color w:val="0000EE"/>
            <w:u w:val="single"/>
          </w:rPr>
          <w:t xml:space="preserve">Mt 20.28 </w:t>
        </w:r>
      </w:hyperlink>
      <w:r>
        <w:t xml:space="preserve">; </w:t>
      </w:r>
      <w:hyperlink r:id="rId654">
        <w:r>
          <w:rPr>
            <w:color w:val="0000EE"/>
            <w:u w:val="single"/>
          </w:rPr>
          <w:t>Mc 10.45</w:t>
        </w:r>
      </w:hyperlink>
      <w:r>
        <w:t>), il enseigne sa mort pour le salut des siens. Ceci indique que Jésus se présentait aussi comme le Serviteur souffrant du Seigneur, sujet des prophéties d'Ésaïe (</w:t>
      </w:r>
      <w:hyperlink r:id="rId5724">
        <w:r>
          <w:rPr>
            <w:color w:val="0000EE"/>
            <w:u w:val="single"/>
          </w:rPr>
          <w:t>Es 53</w:t>
        </w:r>
      </w:hyperlink>
      <w:r>
        <w:t>).</w:t>
      </w:r>
    </w:p>
    <w:p>
      <w:r/>
      <w:r>
        <w:t>Jésus utilise également le titre « Fils de l'homme » pour enseigner à propos de sa seconde venue. En tant que Fils de l'homme, il reviendra sur terre depuis le ciel et dans la gloire de son Père avec les anges (</w:t>
      </w:r>
      <w:hyperlink r:id="rId5694">
        <w:r>
          <w:rPr>
            <w:color w:val="0000EE"/>
            <w:u w:val="single"/>
          </w:rPr>
          <w:t>Mt 16.27</w:t>
        </w:r>
      </w:hyperlink>
      <w:r>
        <w:t xml:space="preserve"> ; </w:t>
      </w:r>
      <w:hyperlink r:id="rId377">
        <w:r>
          <w:rPr>
            <w:color w:val="0000EE"/>
            <w:u w:val="single"/>
          </w:rPr>
          <w:t>Mc 8.38</w:t>
        </w:r>
      </w:hyperlink>
      <w:r>
        <w:t xml:space="preserve"> ; </w:t>
      </w:r>
      <w:hyperlink r:id="rId5725">
        <w:r>
          <w:rPr>
            <w:color w:val="0000EE"/>
            <w:u w:val="single"/>
          </w:rPr>
          <w:t>Lc 9.26</w:t>
        </w:r>
      </w:hyperlink>
      <w:r>
        <w:t>). D'abord, il sera assis à la droite de Dieu, puis il reviendra (</w:t>
      </w:r>
      <w:hyperlink r:id="rId5697">
        <w:r>
          <w:rPr>
            <w:color w:val="0000EE"/>
            <w:u w:val="single"/>
          </w:rPr>
          <w:t>Mt 26.64</w:t>
        </w:r>
      </w:hyperlink>
      <w:r>
        <w:t xml:space="preserve"> ; </w:t>
      </w:r>
      <w:hyperlink r:id="rId2695">
        <w:r>
          <w:rPr>
            <w:color w:val="0000EE"/>
            <w:u w:val="single"/>
          </w:rPr>
          <w:t>Mc 14.62</w:t>
        </w:r>
      </w:hyperlink>
      <w:r>
        <w:t xml:space="preserve"> ; </w:t>
      </w:r>
      <w:hyperlink r:id="rId5726">
        <w:r>
          <w:rPr>
            <w:color w:val="0000EE"/>
            <w:u w:val="single"/>
          </w:rPr>
          <w:t>Lc 22.69</w:t>
        </w:r>
      </w:hyperlink>
      <w:r>
        <w:t>) sur les nuées (</w:t>
      </w:r>
      <w:hyperlink r:id="rId2891">
        <w:r>
          <w:rPr>
            <w:color w:val="0000EE"/>
            <w:u w:val="single"/>
          </w:rPr>
          <w:t>Mt 24.30</w:t>
        </w:r>
      </w:hyperlink>
      <w:r>
        <w:t xml:space="preserve"> ; </w:t>
      </w:r>
      <w:hyperlink r:id="rId2892">
        <w:r>
          <w:rPr>
            <w:color w:val="0000EE"/>
            <w:u w:val="single"/>
          </w:rPr>
          <w:t>Mc 13.26</w:t>
        </w:r>
      </w:hyperlink>
      <w:r>
        <w:t xml:space="preserve"> ; </w:t>
      </w:r>
      <w:hyperlink r:id="rId2893">
        <w:r>
          <w:rPr>
            <w:color w:val="0000EE"/>
            <w:u w:val="single"/>
          </w:rPr>
          <w:t>Lc 21.27</w:t>
        </w:r>
      </w:hyperlink>
      <w:r>
        <w:t>). Cette venue arrivera quand on ne s'y attend pas (</w:t>
      </w:r>
      <w:hyperlink r:id="rId5727">
        <w:r>
          <w:rPr>
            <w:color w:val="0000EE"/>
            <w:u w:val="single"/>
          </w:rPr>
          <w:t>Lc 12.40</w:t>
        </w:r>
      </w:hyperlink>
      <w:r>
        <w:t>), ce sera comme au temps du déluge de Noé (</w:t>
      </w:r>
      <w:hyperlink r:id="rId5728">
        <w:r>
          <w:rPr>
            <w:color w:val="0000EE"/>
            <w:u w:val="single"/>
          </w:rPr>
          <w:t>Mt 24.37</w:t>
        </w:r>
      </w:hyperlink>
      <w:r>
        <w:t xml:space="preserve"> ; </w:t>
      </w:r>
      <w:hyperlink r:id="rId5729">
        <w:r>
          <w:rPr>
            <w:color w:val="0000EE"/>
            <w:u w:val="single"/>
          </w:rPr>
          <w:t>Lc 17.24</w:t>
        </w:r>
      </w:hyperlink>
      <w:r>
        <w:t>) et comme un éclair dans le ciel (</w:t>
      </w:r>
      <w:hyperlink r:id="rId5730">
        <w:r>
          <w:rPr>
            <w:color w:val="0000EE"/>
            <w:u w:val="single"/>
          </w:rPr>
          <w:t>Mt 24.27</w:t>
        </w:r>
      </w:hyperlink>
      <w:r>
        <w:t>). Jésus rassemblera ses élus, jugera toutes les nations de la terre (</w:t>
      </w:r>
      <w:hyperlink r:id="rId5695">
        <w:r>
          <w:rPr>
            <w:color w:val="0000EE"/>
            <w:u w:val="single"/>
          </w:rPr>
          <w:t>Mt 19.28</w:t>
        </w:r>
      </w:hyperlink>
      <w:r>
        <w:t xml:space="preserve"> ; </w:t>
      </w:r>
      <w:hyperlink r:id="rId1825">
        <w:r>
          <w:rPr>
            <w:color w:val="0000EE"/>
            <w:u w:val="single"/>
          </w:rPr>
          <w:t>25.32</w:t>
        </w:r>
      </w:hyperlink>
      <w:r>
        <w:t>) et restaurera la justice éternellement dans le monde (</w:t>
      </w:r>
      <w:hyperlink r:id="rId5695">
        <w:r>
          <w:rPr>
            <w:color w:val="0000EE"/>
            <w:u w:val="single"/>
          </w:rPr>
          <w:t>19.28</w:t>
        </w:r>
      </w:hyperlink>
      <w:r>
        <w:t xml:space="preserve"> ; </w:t>
      </w:r>
      <w:hyperlink r:id="rId5731">
        <w:r>
          <w:rPr>
            <w:color w:val="0000EE"/>
            <w:u w:val="single"/>
          </w:rPr>
          <w:t>25.46</w:t>
        </w:r>
      </w:hyperlink>
      <w:r>
        <w:t>).</w:t>
      </w:r>
    </w:p>
    <w:p>
      <w:r/>
      <w:r>
        <w:t xml:space="preserve">Dans ces passages, Jésus passe du sujet de sa victoire provisoire par ses souffrances et sa résurrection à la victoire finale du Fils de l'homme à sa seconde venue. Une fois de plus, il souligne l'origine céleste et les privilèges divins du Fils de l'homme. L'homme Jésus, le Fils de l'homme, sera le juge ultime (voir aussi </w:t>
      </w:r>
      <w:hyperlink r:id="rId3737">
        <w:r>
          <w:rPr>
            <w:color w:val="0000EE"/>
            <w:u w:val="single"/>
          </w:rPr>
          <w:t>Ac 17.31</w:t>
        </w:r>
      </w:hyperlink>
      <w:r>
        <w:t>).</w:t>
      </w:r>
    </w:p>
    <w:p>
      <w:r/>
      <w:r>
        <w:t>L'Évangile de Jean contient des passages sur le Fils de l'homme qui ne sont pas dans les autres Évangiles. Les anges monteront et descendront sur le Fils de l'homme (</w:t>
      </w:r>
      <w:hyperlink r:id="rId5732">
        <w:r>
          <w:rPr>
            <w:color w:val="0000EE"/>
            <w:u w:val="single"/>
          </w:rPr>
          <w:t>Jn 1.51</w:t>
        </w:r>
      </w:hyperlink>
      <w:r>
        <w:t>). Ceci signifie qu'il existait avant le temps et est venu du ciel sur terre (</w:t>
      </w:r>
      <w:hyperlink r:id="rId2683">
        <w:r>
          <w:rPr>
            <w:color w:val="0000EE"/>
            <w:u w:val="single"/>
          </w:rPr>
          <w:t xml:space="preserve">3.13 </w:t>
        </w:r>
      </w:hyperlink>
      <w:r>
        <w:t xml:space="preserve">; </w:t>
      </w:r>
      <w:hyperlink r:id="rId5191">
        <w:r>
          <w:rPr>
            <w:color w:val="0000EE"/>
            <w:u w:val="single"/>
          </w:rPr>
          <w:t>6.62</w:t>
        </w:r>
      </w:hyperlink>
      <w:r>
        <w:t>). Son élévation (par la crucifixion) apportera la vie éternelle à tous ceux qui croient en lui (</w:t>
      </w:r>
      <w:hyperlink r:id="rId5170">
        <w:r>
          <w:rPr>
            <w:color w:val="0000EE"/>
            <w:u w:val="single"/>
          </w:rPr>
          <w:t>3.14</w:t>
        </w:r>
      </w:hyperlink>
      <w:r>
        <w:t>). Le Fils de l'homme (</w:t>
      </w:r>
      <w:hyperlink r:id="rId5170">
        <w:r>
          <w:rPr>
            <w:color w:val="0000EE"/>
            <w:u w:val="single"/>
          </w:rPr>
          <w:t>3.14</w:t>
        </w:r>
      </w:hyperlink>
      <w:r>
        <w:t>) est aussi le Fils de Dieu (</w:t>
      </w:r>
      <w:hyperlink r:id="rId5733">
        <w:r>
          <w:rPr>
            <w:color w:val="0000EE"/>
            <w:u w:val="single"/>
          </w:rPr>
          <w:t>3.16</w:t>
        </w:r>
      </w:hyperlink>
      <w:r>
        <w:t>), le Fils unique de Dieu (</w:t>
      </w:r>
      <w:hyperlink r:id="rId5734">
        <w:r>
          <w:rPr>
            <w:color w:val="0000EE"/>
            <w:u w:val="single"/>
          </w:rPr>
          <w:t xml:space="preserve">1.18 </w:t>
        </w:r>
      </w:hyperlink>
      <w:r>
        <w:t xml:space="preserve">; </w:t>
      </w:r>
      <w:hyperlink r:id="rId5735">
        <w:r>
          <w:rPr>
            <w:color w:val="0000EE"/>
            <w:u w:val="single"/>
          </w:rPr>
          <w:t>3.18</w:t>
        </w:r>
      </w:hyperlink>
      <w:r>
        <w:t>). Dans l'Évangile de Jean, le titre « Fils de l'homme » équivaut au titre « Fils de Dieu ». Ce titre révèle sa divinité, son existence avant le temps, son origine céleste et ses privilèges divins. Ce titre montre qu'il est devenu humain pour se révéler et souffrir, mais aussi quelle sera sa gloire future à la fin des temps. Le Père a donné au Fils de l'homme l'autorité de ressusciter les morts et de juger le monde (</w:t>
      </w:r>
      <w:hyperlink r:id="rId5736">
        <w:r>
          <w:rPr>
            <w:color w:val="0000EE"/>
            <w:u w:val="single"/>
          </w:rPr>
          <w:t>5.25–27</w:t>
        </w:r>
      </w:hyperlink>
      <w:r>
        <w:t>).</w:t>
      </w:r>
    </w:p>
    <w:p>
      <w:r/>
      <w:r>
        <w:rPr>
          <w:i/>
        </w:rPr>
        <w:t>Voir aussi</w:t>
      </w:r>
      <w:r>
        <w:t xml:space="preserve"> </w:t>
      </w:r>
      <w:r>
        <w:t>christologie</w:t>
      </w:r>
      <w:r>
        <w:t xml:space="preserve"> ; </w:t>
      </w:r>
      <w:r>
        <w:t xml:space="preserve">Jésus-Christ (enseignements) </w:t>
      </w:r>
      <w:r>
        <w:t xml:space="preserve">; </w:t>
      </w:r>
      <w:r>
        <w:t xml:space="preserve">Messie </w:t>
      </w:r>
      <w:r>
        <w:t xml:space="preserve">; </w:t>
      </w:r>
      <w:r>
        <w:t>Fils de Dieu</w:t>
      </w:r>
      <w:r>
        <w:t>.</w:t>
      </w:r>
      <w:r/>
      <w:r/>
    </w:p>
    <w:p>
      <w:r/>
    </w:p>
    <w:p>
      <w:pPr>
        <w:pStyle w:val="Heading2"/>
      </w:pPr>
      <w:r>
        <w:t>Fils du tonnerre</w:t>
      </w:r>
      <w:r/>
    </w:p>
    <w:p>
      <w:r/>
      <w:r>
        <w:t>Traduction du mot « Boanergès », le nom donné par Jésus à Jacques et Jean (</w:t>
      </w:r>
      <w:hyperlink r:id="rId2019">
        <w:r>
          <w:rPr>
            <w:color w:val="0000EE"/>
            <w:u w:val="single"/>
          </w:rPr>
          <w:t>Mc 3.17</w:t>
        </w:r>
      </w:hyperlink>
      <w:r>
        <w:t xml:space="preserve">). </w:t>
      </w:r>
      <w:r>
        <w:rPr>
          <w:i/>
        </w:rPr>
        <w:t>Voir</w:t>
      </w:r>
      <w:r>
        <w:t xml:space="preserve"> </w:t>
      </w:r>
      <w:r>
        <w:t>Boanergès</w:t>
      </w:r>
      <w:r>
        <w:t>.</w:t>
      </w:r>
      <w:r/>
      <w:r/>
    </w:p>
    <w:p>
      <w:r/>
    </w:p>
    <w:p>
      <w:pPr>
        <w:pStyle w:val="Heading2"/>
      </w:pPr>
      <w:r>
        <w:t>Fils et filles de Dieu</w:t>
      </w:r>
      <w:r/>
    </w:p>
    <w:p>
      <w:r/>
      <w:r>
        <w:t xml:space="preserve">Expression désignant les êtres humains qui sont nés de Dieu et sont devenus membres de sa famille. Lorsque la Bible parle des fils de Dieu, elle n'a pas l'intention d'exclure les femmes. Le terme « fils » inclut tous les croyants. Cependant, les Écritures utilisent presque toujours le mot « fils », avec une exception dans le Nouveau Testament, </w:t>
      </w:r>
      <w:hyperlink r:id="rId4045">
        <w:r>
          <w:rPr>
            <w:color w:val="0000EE"/>
            <w:u w:val="single"/>
          </w:rPr>
          <w:t>2 Corinthiens 6.18</w:t>
        </w:r>
      </w:hyperlink>
      <w:r>
        <w:t>, où le peuple de Dieu est appelé « fils et filles ».</w:t>
      </w:r>
    </w:p>
    <w:p>
      <w:r/>
      <w:r>
        <w:t xml:space="preserve">Depuis le commencement, Dieu le Père désirait avoir de nombreux fils et filles partageant l'image et la ressemblance de son Fils bien-aimé. On pourrait dire que son unique Fils lui a apporté tant de satisfaction qu'il aspirait à en avoir de nombreux autres. Il s'agit peut-être là de l'impulsion derrière la création de l'univers et, plus spécifiquement, des êtres humains (voir </w:t>
      </w:r>
      <w:hyperlink r:id="rId3482">
        <w:r>
          <w:rPr>
            <w:color w:val="0000EE"/>
            <w:u w:val="single"/>
          </w:rPr>
          <w:t>Gn 1.26–27</w:t>
        </w:r>
      </w:hyperlink>
      <w:r>
        <w:t xml:space="preserve">). </w:t>
      </w:r>
      <w:hyperlink r:id="rId5737">
        <w:r>
          <w:rPr>
            <w:color w:val="0000EE"/>
            <w:u w:val="single"/>
          </w:rPr>
          <w:t>Proverbes 8</w:t>
        </w:r>
      </w:hyperlink>
      <w:r>
        <w:t xml:space="preserve"> indique que Dieu était ravi de l'existence des fils des hommes. Cette même idée est de nouveau exprimée dans le Nouveau Testament, notamment dans Éphésiens. Les premiers versets d'Éphésiens résonnent avec l'idée que le désir de Dieu était d'obtenir de nombreux fils en et à travers son Fils. Les nombreux fils, en union avec le Fils unique, apporteraient une grande gloire et satisfaction au Père.</w:t>
      </w:r>
    </w:p>
    <w:p>
      <w:r/>
      <w:r>
        <w:t xml:space="preserve">Paul emploie un mot grec dans </w:t>
      </w:r>
      <w:hyperlink r:id="rId5738">
        <w:r>
          <w:rPr>
            <w:color w:val="0000EE"/>
            <w:u w:val="single"/>
          </w:rPr>
          <w:t>Éphésiens 1.5, 9</w:t>
        </w:r>
      </w:hyperlink>
      <w:r>
        <w:t xml:space="preserve"> et </w:t>
      </w:r>
      <w:hyperlink r:id="rId5739">
        <w:r>
          <w:rPr>
            <w:color w:val="0000EE"/>
            <w:u w:val="single"/>
          </w:rPr>
          <w:t>11</w:t>
        </w:r>
      </w:hyperlink>
      <w:r>
        <w:t xml:space="preserve"> qui véhicule l'idée de désir, voire de désir du cœur. Le mot est généralement traduit par « volonté » (« la volonté de Dieu »). Mais le mot français « volonté » dissimule le sens premier. Le mot grec (</w:t>
      </w:r>
      <w:r>
        <w:rPr>
          <w:i/>
        </w:rPr>
        <w:t>thelema</w:t>
      </w:r>
      <w:r>
        <w:t xml:space="preserve">) est avant tout un mot émotionnel, et volitif seulement dans un second temps. La volonté de Dieu n'est pas tant l'intention de Dieu que le désir du cœur de Dieu. Dieu a bien une intention, un but, un plan. Cela s'appelle </w:t>
      </w:r>
      <w:r>
        <w:rPr>
          <w:i/>
        </w:rPr>
        <w:t>prothesis</w:t>
      </w:r>
      <w:r>
        <w:t xml:space="preserve"> en grec (voir </w:t>
      </w:r>
      <w:hyperlink r:id="rId5739">
        <w:r>
          <w:rPr>
            <w:color w:val="0000EE"/>
            <w:u w:val="single"/>
          </w:rPr>
          <w:t>Ep 1.11</w:t>
        </w:r>
      </w:hyperlink>
      <w:r>
        <w:t xml:space="preserve">), et signifie littéralement « une disposition préalable » (comme un plan d'architecte). Ce plan a été créé par le conseil de Dieu (appelé </w:t>
      </w:r>
      <w:r>
        <w:rPr>
          <w:i/>
        </w:rPr>
        <w:t>boulè</w:t>
      </w:r>
      <w:r>
        <w:t xml:space="preserve"> en grec, </w:t>
      </w:r>
      <w:hyperlink r:id="rId5739">
        <w:r>
          <w:rPr>
            <w:color w:val="0000EE"/>
            <w:u w:val="single"/>
          </w:rPr>
          <w:t>Ep 1.11</w:t>
        </w:r>
      </w:hyperlink>
      <w:r>
        <w:t xml:space="preserve">). Mais derrière le plan d'architecte et le conseil ne se trouvait pas qu'un cerveau, mais un cœur d'amour, animé d'un bon plaisir. Par conséquent, Paul parle du « bon plaisir du 'désir du cœur' de Dieu » (v. </w:t>
      </w:r>
      <w:hyperlink r:id="rId4792">
        <w:r>
          <w:rPr>
            <w:color w:val="0000EE"/>
            <w:u w:val="single"/>
          </w:rPr>
          <w:t>5</w:t>
        </w:r>
      </w:hyperlink>
      <w:r>
        <w:t xml:space="preserve">). Paul dit aussi que Dieu nous a fait « </w:t>
      </w:r>
      <w:r>
        <w:t>connaître le mystère du</w:t>
      </w:r>
      <w:r>
        <w:t xml:space="preserve"> 'désir de son cœur'</w:t>
      </w:r>
      <w:r>
        <w:t>, selon le bienveillant dessein qu’il avait formé en lui-même</w:t>
      </w:r>
      <w:r>
        <w:t xml:space="preserve"> » (v. </w:t>
      </w:r>
      <w:hyperlink r:id="rId5740">
        <w:r>
          <w:rPr>
            <w:color w:val="0000EE"/>
            <w:u w:val="single"/>
          </w:rPr>
          <w:t>9</w:t>
        </w:r>
      </w:hyperlink>
      <w:r>
        <w:t>).</w:t>
      </w:r>
    </w:p>
    <w:p>
      <w:r/>
      <w:r>
        <w:t xml:space="preserve">L'élan du dessein éternel de Dieu est né d'un désir du cœur, et ce désir était d'avoir de nombreux fils faits à l'image de son Fils unique (voir </w:t>
      </w:r>
      <w:hyperlink r:id="rId5741">
        <w:r>
          <w:rPr>
            <w:color w:val="0000EE"/>
            <w:u w:val="single"/>
          </w:rPr>
          <w:t>Rm 8.26–28</w:t>
        </w:r>
      </w:hyperlink>
      <w:r>
        <w:t>). Par amour, il a prédestiné de nombreuses personnes à participer à cette « filiation » ; non par leurs propres mérites mais en vertu de leur union avec le Fils (</w:t>
      </w:r>
      <w:hyperlink r:id="rId5742">
        <w:r>
          <w:rPr>
            <w:color w:val="0000EE"/>
            <w:u w:val="single"/>
          </w:rPr>
          <w:t>Ep 1.4–5</w:t>
        </w:r>
      </w:hyperlink>
      <w:r>
        <w:t xml:space="preserve">). Remarquez combien de fois dans </w:t>
      </w:r>
      <w:hyperlink r:id="rId5743">
        <w:r>
          <w:rPr>
            <w:color w:val="0000EE"/>
            <w:u w:val="single"/>
          </w:rPr>
          <w:t>Éphésiens 1</w:t>
        </w:r>
      </w:hyperlink>
      <w:r>
        <w:t xml:space="preserve"> Paul parle de la position des croyants « en lui ». En dehors de lui (le Fils), personne ne peut être fils de Dieu et personne ne peut plaire au Père. Les nombreux fils et filles doivent tous leurs privilèges divins au Bien-aimé, en tant que ceux qui ont reçu de sa part la grâce (v. </w:t>
      </w:r>
      <w:hyperlink r:id="rId5744">
        <w:r>
          <w:rPr>
            <w:color w:val="0000EE"/>
            <w:u w:val="single"/>
          </w:rPr>
          <w:t>6</w:t>
        </w:r>
      </w:hyperlink>
      <w:r>
        <w:t>). Si la satisfaction de Dieu en son Fils bien-aimé n'avait pas eu lieu, l'inspiration pour la création de l'homme n'aurait pas été mise œuvre en premier lieu. L'être humain existe parce que Dieu voulait obtenir de nombreux fils et filles, chacun portant l'image du Fils unique de Dieu. Les être humains plaisent à Dieu et lui apportent satisfaction en étant unis à celui qui l'a toujours satisfait. En dehors du Fils, personne n'a accès au Père. Mais grâce à la rédemption du Fils, chaque croyant a le droit de devenir enfants de Dieu (</w:t>
      </w:r>
      <w:hyperlink r:id="rId5745">
        <w:r>
          <w:rPr>
            <w:color w:val="0000EE"/>
            <w:u w:val="single"/>
          </w:rPr>
          <w:t>Jn 1.12</w:t>
        </w:r>
      </w:hyperlink>
      <w:r>
        <w:t>) et a maintenant accès au Père par le Fils (</w:t>
      </w:r>
      <w:hyperlink r:id="rId1982">
        <w:r>
          <w:rPr>
            <w:color w:val="0000EE"/>
            <w:u w:val="single"/>
          </w:rPr>
          <w:t>14.6</w:t>
        </w:r>
      </w:hyperlink>
      <w:r>
        <w:t>).</w:t>
      </w:r>
      <w:r/>
      <w:r/>
    </w:p>
    <w:p>
      <w:r/>
    </w:p>
    <w:p>
      <w:pPr>
        <w:pStyle w:val="Heading2"/>
      </w:pPr>
      <w:r>
        <w:t>Firmament</w:t>
      </w:r>
      <w:r/>
    </w:p>
    <w:p>
      <w:r/>
      <w:r>
        <w:t>Mot biblique pour désigner l'atmosphère autour de la Terre. Le sens original de ce mot signifie un espace qui est étendu ou élargi. Les Hébreux considéraient le « firmament » comme le ciel vide où se trouvaient les nuages, le soleil et la lune.</w:t>
      </w:r>
    </w:p>
    <w:p>
      <w:r/>
      <w:r>
        <w:t>Au cours du deuxième jour de la Création, Dieu a créé l'atmosphère au-dessus de la terre. Il l'a fait pour séparer les eaux en dessous des eaux au-dessus. Dieu a appelé le firmament ciel (</w:t>
      </w:r>
      <w:hyperlink r:id="rId5746">
        <w:r>
          <w:rPr>
            <w:color w:val="0000EE"/>
            <w:u w:val="single"/>
          </w:rPr>
          <w:t>Gn 1.6–8</w:t>
        </w:r>
      </w:hyperlink>
      <w:r>
        <w:t xml:space="preserve">). Le firmament fournit un environnement pour que le soleil, la lune, les planètes et les étoiles existent et fonctionnent comme Dieu les a créés. Le quatrième jour de la Création, Dieu a créé les lumières dans le firmament. Elles devaient distinguer la nuit du jour et indiquer les saisons. La plus grande lumière dans le firmament, le soleil, contrôlait le jour, et la lumière moindre, la lune, contrôlait la nuit (v. </w:t>
      </w:r>
      <w:hyperlink r:id="rId1435">
        <w:r>
          <w:rPr>
            <w:color w:val="0000EE"/>
            <w:u w:val="single"/>
          </w:rPr>
          <w:t>14–19</w:t>
        </w:r>
      </w:hyperlink>
      <w:r>
        <w:t>).</w:t>
      </w:r>
    </w:p>
    <w:p>
      <w:r/>
      <w:r>
        <w:t>Le mot « firmament » est mentionné deux fois dans les Psaumes comme le lieu de l'œuvre de Dieu (</w:t>
      </w:r>
      <w:hyperlink r:id="rId3939">
        <w:r>
          <w:rPr>
            <w:color w:val="0000EE"/>
            <w:u w:val="single"/>
          </w:rPr>
          <w:t>Ps 19.1</w:t>
        </w:r>
      </w:hyperlink>
      <w:r>
        <w:t xml:space="preserve"> ; </w:t>
      </w:r>
      <w:hyperlink r:id="rId3988">
        <w:r>
          <w:rPr>
            <w:color w:val="0000EE"/>
            <w:u w:val="single"/>
          </w:rPr>
          <w:t>150.1</w:t>
        </w:r>
      </w:hyperlink>
      <w:r>
        <w:t>). Dans les livres d'Ézéchiel (</w:t>
      </w:r>
      <w:hyperlink r:id="rId5747">
        <w:r>
          <w:rPr>
            <w:color w:val="0000EE"/>
            <w:u w:val="single"/>
          </w:rPr>
          <w:t>Ez 1.22–26</w:t>
        </w:r>
      </w:hyperlink>
      <w:r>
        <w:t xml:space="preserve"> ; </w:t>
      </w:r>
      <w:hyperlink r:id="rId2480">
        <w:r>
          <w:rPr>
            <w:color w:val="0000EE"/>
            <w:u w:val="single"/>
          </w:rPr>
          <w:t>10.1</w:t>
        </w:r>
      </w:hyperlink>
      <w:r>
        <w:t>) et de Daniel (</w:t>
      </w:r>
      <w:hyperlink r:id="rId5748">
        <w:r>
          <w:rPr>
            <w:color w:val="0000EE"/>
            <w:u w:val="single"/>
          </w:rPr>
          <w:t>Dn 12.3</w:t>
        </w:r>
      </w:hyperlink>
      <w:r>
        <w:t>), le firmament est toujours lié à la Création.</w:t>
      </w:r>
      <w:r/>
      <w:r/>
    </w:p>
    <w:p>
      <w:r/>
    </w:p>
    <w:p>
      <w:pPr>
        <w:pStyle w:val="Heading2"/>
      </w:pPr>
      <w:r>
        <w:t>Fleuve d'Égypte</w:t>
      </w:r>
      <w:r/>
    </w:p>
    <w:p>
      <w:r/>
      <w:r>
        <w:t xml:space="preserve">1. Nom alternatif pour la frontière de l'Égypte (possiblement le fleuve Nil) dans </w:t>
      </w:r>
      <w:hyperlink r:id="rId550">
        <w:r>
          <w:rPr>
            <w:color w:val="0000EE"/>
            <w:u w:val="single"/>
          </w:rPr>
          <w:t>Genèse 15.18</w:t>
        </w:r>
      </w:hyperlink>
      <w:r>
        <w:t>.</w:t>
      </w:r>
    </w:p>
    <w:p>
      <w:r/>
      <w:r>
        <w:t xml:space="preserve">2. Nom alternatif pour le torrent d'Égypte. </w:t>
      </w:r>
      <w:r>
        <w:rPr>
          <w:i/>
        </w:rPr>
        <w:t>Voir</w:t>
      </w:r>
      <w:r>
        <w:t xml:space="preserve"> </w:t>
      </w:r>
      <w:r>
        <w:t>Torrent d'Égypte</w:t>
      </w:r>
      <w:r>
        <w:t>.</w:t>
      </w:r>
      <w:r/>
      <w:r/>
    </w:p>
    <w:p>
      <w:r/>
    </w:p>
    <w:p>
      <w:pPr>
        <w:pStyle w:val="Heading2"/>
      </w:pPr>
      <w:r>
        <w:t>Forgeron</w:t>
      </w:r>
      <w:r/>
    </w:p>
    <w:p>
      <w:r/>
      <w:r>
        <w:t>Artisan qui travaillait normalement le fer (</w:t>
      </w:r>
      <w:hyperlink r:id="rId5749">
        <w:r>
          <w:rPr>
            <w:color w:val="0000EE"/>
            <w:u w:val="single"/>
          </w:rPr>
          <w:t>Es 44.12</w:t>
        </w:r>
      </w:hyperlink>
      <w:r>
        <w:t>). Le premier ouvrier du fer mentionné dans la Bible est Tubal-Caïn (</w:t>
      </w:r>
      <w:hyperlink r:id="rId1317">
        <w:r>
          <w:rPr>
            <w:color w:val="0000EE"/>
            <w:u w:val="single"/>
          </w:rPr>
          <w:t>Gn 4.22</w:t>
        </w:r>
      </w:hyperlink>
      <w:r>
        <w:t>). En Israël, le fer est devenu largement connu et utilisé vers le 9e siècle av. J.‑C. (</w:t>
      </w:r>
      <w:hyperlink r:id="rId706">
        <w:r>
          <w:rPr>
            <w:color w:val="0000EE"/>
            <w:u w:val="single"/>
          </w:rPr>
          <w:t>Dt 3.11</w:t>
        </w:r>
      </w:hyperlink>
      <w:r>
        <w:t xml:space="preserve"> ; </w:t>
      </w:r>
      <w:hyperlink r:id="rId5750">
        <w:r>
          <w:rPr>
            <w:color w:val="0000EE"/>
            <w:u w:val="single"/>
          </w:rPr>
          <w:t>Jos 6.19, 24</w:t>
        </w:r>
      </w:hyperlink>
      <w:r>
        <w:t xml:space="preserve"> ; </w:t>
      </w:r>
      <w:hyperlink r:id="rId5751">
        <w:r>
          <w:rPr>
            <w:color w:val="0000EE"/>
            <w:u w:val="single"/>
          </w:rPr>
          <w:t>17.16</w:t>
        </w:r>
      </w:hyperlink>
      <w:r>
        <w:t xml:space="preserve"> ; </w:t>
      </w:r>
      <w:hyperlink r:id="rId5752">
        <w:r>
          <w:rPr>
            <w:color w:val="0000EE"/>
            <w:u w:val="single"/>
          </w:rPr>
          <w:t>Jg 1.19</w:t>
        </w:r>
      </w:hyperlink>
      <w:r>
        <w:t xml:space="preserve"> ; </w:t>
      </w:r>
      <w:hyperlink r:id="rId5753">
        <w:r>
          <w:rPr>
            <w:color w:val="0000EE"/>
            <w:u w:val="single"/>
          </w:rPr>
          <w:t>4.3, 13</w:t>
        </w:r>
      </w:hyperlink>
      <w:r>
        <w:t xml:space="preserve">). </w:t>
      </w:r>
      <w:r>
        <w:rPr>
          <w:i/>
        </w:rPr>
        <w:t>Voir</w:t>
      </w:r>
      <w:r>
        <w:t xml:space="preserve"> </w:t>
      </w:r>
      <w:r>
        <w:t>Minéraux et Métaux</w:t>
      </w:r>
      <w:r>
        <w:t>.</w:t>
      </w:r>
      <w:r/>
      <w:r/>
    </w:p>
    <w:p>
      <w:r/>
    </w:p>
    <w:p>
      <w:pPr>
        <w:pStyle w:val="Heading2"/>
      </w:pPr>
      <w:r>
        <w:t>Forgeron</w:t>
      </w:r>
      <w:r/>
    </w:p>
    <w:p>
      <w:r/>
      <w:r>
        <w:t>Ouvrier des métaux, métallurgiste. Le premier forgeron mentionné dans la Bible est Tubal-Caïn (</w:t>
      </w:r>
      <w:hyperlink r:id="rId1317">
        <w:r>
          <w:rPr>
            <w:color w:val="0000EE"/>
            <w:u w:val="single"/>
          </w:rPr>
          <w:t>Gn 4.22</w:t>
        </w:r>
      </w:hyperlink>
      <w:r>
        <w:t xml:space="preserve">). Le terme couvre les métallurgistes de toutes sortes : cuivre, bronze, fer, argent et or. Les orfèvres sont mentionnés dans </w:t>
      </w:r>
      <w:hyperlink r:id="rId5754">
        <w:r>
          <w:rPr>
            <w:color w:val="0000EE"/>
            <w:u w:val="single"/>
          </w:rPr>
          <w:t>Juges 17.4</w:t>
        </w:r>
      </w:hyperlink>
      <w:r>
        <w:t xml:space="preserve"> et </w:t>
      </w:r>
      <w:hyperlink r:id="rId5755">
        <w:r>
          <w:rPr>
            <w:color w:val="0000EE"/>
            <w:u w:val="single"/>
          </w:rPr>
          <w:t>Actes 19.24</w:t>
        </w:r>
      </w:hyperlink>
      <w:r>
        <w:t>. Les forgerons étaient rares ou même inexistants en Israël jusqu'à l'époque de Samuel, et les Israélites devaient se rendre chez les forgerons philistins pour faire aiguiser leurs outils en fer (</w:t>
      </w:r>
      <w:hyperlink r:id="rId5756">
        <w:r>
          <w:rPr>
            <w:color w:val="0000EE"/>
            <w:u w:val="single"/>
          </w:rPr>
          <w:t>1S 13.19</w:t>
        </w:r>
      </w:hyperlink>
      <w:r>
        <w:t>). À l'époque des rois, les forgerons israélites étaient actifs et seront ensuite emmenés en captivité par Nabuchodonosor (</w:t>
      </w:r>
      <w:hyperlink r:id="rId5757">
        <w:r>
          <w:rPr>
            <w:color w:val="0000EE"/>
            <w:u w:val="single"/>
          </w:rPr>
          <w:t>2R 24.14–16</w:t>
        </w:r>
      </w:hyperlink>
      <w:r>
        <w:t xml:space="preserve"> ; </w:t>
      </w:r>
      <w:hyperlink r:id="rId5758">
        <w:r>
          <w:rPr>
            <w:color w:val="0000EE"/>
            <w:u w:val="single"/>
          </w:rPr>
          <w:t>Jr 24.1</w:t>
        </w:r>
      </w:hyperlink>
      <w:r>
        <w:t xml:space="preserve"> ; </w:t>
      </w:r>
      <w:hyperlink r:id="rId5759">
        <w:r>
          <w:rPr>
            <w:color w:val="0000EE"/>
            <w:u w:val="single"/>
          </w:rPr>
          <w:t>29.2</w:t>
        </w:r>
      </w:hyperlink>
      <w:r>
        <w:t>). Les détails du travail du forgeron sont donnés dans plusieurs récits (</w:t>
      </w:r>
      <w:hyperlink r:id="rId5760">
        <w:r>
          <w:rPr>
            <w:color w:val="0000EE"/>
            <w:u w:val="single"/>
          </w:rPr>
          <w:t>Pr 25.4</w:t>
        </w:r>
      </w:hyperlink>
      <w:r>
        <w:t xml:space="preserve"> ; </w:t>
      </w:r>
      <w:hyperlink r:id="rId5749">
        <w:r>
          <w:rPr>
            <w:color w:val="0000EE"/>
            <w:u w:val="single"/>
          </w:rPr>
          <w:t>Es 44.12</w:t>
        </w:r>
      </w:hyperlink>
      <w:r>
        <w:t xml:space="preserve"> ; </w:t>
      </w:r>
      <w:hyperlink r:id="rId5761">
        <w:r>
          <w:rPr>
            <w:color w:val="0000EE"/>
            <w:u w:val="single"/>
          </w:rPr>
          <w:t>54.16</w:t>
        </w:r>
      </w:hyperlink>
      <w:r>
        <w:t xml:space="preserve">). Les forgerons mentionnés dans </w:t>
      </w:r>
      <w:hyperlink r:id="rId5762">
        <w:r>
          <w:rPr>
            <w:color w:val="0000EE"/>
            <w:u w:val="single"/>
          </w:rPr>
          <w:t>Zacharie 1.20</w:t>
        </w:r>
      </w:hyperlink>
      <w:r>
        <w:t xml:space="preserve"> sont probablement des forgerons de fer ou d'airain.</w:t>
      </w:r>
    </w:p>
    <w:p>
      <w:r/>
      <w:r>
        <w:rPr>
          <w:i/>
        </w:rPr>
        <w:t>Voir aussi</w:t>
      </w:r>
      <w:r>
        <w:t xml:space="preserve"> </w:t>
      </w:r>
      <w:r>
        <w:t>Minéraux et métaux</w:t>
      </w:r>
      <w:r>
        <w:t xml:space="preserve"> ; </w:t>
      </w:r>
      <w:r>
        <w:t>Pierres précieuses</w:t>
      </w:r>
      <w:r>
        <w:t>.</w:t>
      </w:r>
      <w:r/>
      <w:r/>
    </w:p>
    <w:p>
      <w:r/>
    </w:p>
    <w:p>
      <w:pPr>
        <w:pStyle w:val="Heading2"/>
      </w:pPr>
      <w:r>
        <w:t>Forum</w:t>
      </w:r>
      <w:r/>
    </w:p>
    <w:p>
      <w:r/>
      <w:r>
        <w:t>Espace ouvert dans les villes romaines utilisé pour le commerce, les affaires politiques et les questions judiciaires. Le forum était généralement situé sur un terrain plat, de forme rectangulaire, et entouré de temples, de tribunaux, de colonnades et d'autres bâtiments publics.</w:t>
      </w:r>
    </w:p>
    <w:p>
      <w:r/>
      <w:r>
        <w:t>Le Forum d'Appius était une halte pour les voyageurs sur la Voie Appienne, à 70 km au sud de Rome, où des chrétiens de Rome ont rencontré Paul alors qu'il se rendait, sous garde protégée, vers la capitale (</w:t>
      </w:r>
      <w:hyperlink r:id="rId1458">
        <w:r>
          <w:rPr>
            <w:color w:val="0000EE"/>
            <w:u w:val="single"/>
          </w:rPr>
          <w:t>Ac 28.15</w:t>
        </w:r>
      </w:hyperlink>
      <w:r>
        <w:t>).</w:t>
      </w:r>
    </w:p>
    <w:p>
      <w:r/>
      <w:r>
        <w:t>Les plus importants des forums étaient situés dans la ville de Rome. Ceux-ci ont été construits à différentes époques de son histoire, et les forums existants ont été modifiés par les constructions au fil des siècles. La Rome où Paul s'est rendu pour son procès comptait plusieurs forums, y compris ceux de Jules César (commencé par lui mais en réalité achevé par César Auguste César) et celui de César Auguste. Le plus important était le Forum Romain, centre du monde à l'époque de Paul. Ce forum se trouvait entre les deux collines centrales des sept collines sur lesquelles la ville était construite. Il contenait de nombreuses colonnes, statues, œuvres d'art et bâtiments importants dans la vie politique et religieuse de l'empire.</w:t>
      </w:r>
    </w:p>
    <w:p>
      <w:r/>
      <w:r>
        <w:t>Si Paul avait été amené directement dans la ville par le centurion qui avait la responsabilité de sa garde, il serait passé sous l'arc de triomphe d'Auguste, le temple de Castor et Pollux, ainsi que les temples dédiés à Jules et Auguste pour le culte de l'empereur. En arrivant au Forum Romain à proprement parler, il aurait remarqué au nord-ouest le célèbre centre idéal de la ville (et donc de l'empire), et au sud-ouest le milliaire doré, indiquant les distances vers des lieux aussi éloignés que Londres à l'ouest et Jérusalem à l'est. En arrière-plan se trouvait le temple de Jupiter, divinité principale du panthéon romain. Du côté sud se trouvait un grand bâtiment public, la Basilique Julie, achevée en l'an 12 apr J.‑C., le site probable où la sentence de mort de Paul sera prononcée. Du côté nord se trouvait la Basilique Æmilia, un bâtiment dont les colonnes de marbre ont été prises et utilisées dans la construction d'une église sur le site traditionnel du tombeau de Paul. Cette église a été achevée en 398 apr. J.‑C. et a tenu pendant mille quatre cents ans.</w:t>
      </w:r>
    </w:p>
    <w:p>
      <w:r/>
      <w:r>
        <w:rPr>
          <w:i/>
        </w:rPr>
        <w:t>Voir aussi</w:t>
      </w:r>
      <w:r>
        <w:t xml:space="preserve"> </w:t>
      </w:r>
      <w:r>
        <w:t>Forum d'Appius</w:t>
      </w:r>
      <w:r>
        <w:t>.</w:t>
      </w:r>
      <w:r/>
      <w:r/>
    </w:p>
    <w:p>
      <w:r/>
    </w:p>
    <w:p>
      <w:pPr>
        <w:pStyle w:val="Heading2"/>
      </w:pPr>
      <w:r>
        <w:t>Forum d'Appius</w:t>
      </w:r>
      <w:r/>
    </w:p>
    <w:p>
      <w:r/>
      <w:r>
        <w:t xml:space="preserve">Marché mentionné dans </w:t>
      </w:r>
      <w:hyperlink r:id="rId1458">
        <w:r>
          <w:rPr>
            <w:color w:val="0000EE"/>
            <w:u w:val="single"/>
          </w:rPr>
          <w:t>Actes 28.15.</w:t>
        </w:r>
      </w:hyperlink>
      <w:r>
        <w:t xml:space="preserve"> Il s'agit de l'endroit où les chrétiens ont rencontré l'apôtre Paul lorsqu'il est venu comparaître devant César. Il semble qu'il ait été nommé d'après Appius Claude, le constructeur de la voie Appienne. La voie Appienne était une grande route du sud-est de l'Italie allant vers le nord-ouest jusqu'à Rome.</w:t>
      </w:r>
    </w:p>
    <w:p>
      <w:r/>
      <w:r>
        <w:t>Autour du forum se trouvait une région de marais et de marécages. Elle était réputée dans le monde antique pour ses eaux insalubres, ses moustiques, ses tavernes coûteuses pour les voyageurs, le trafic nocturne bruyant de cargaisons et de passagers sur des barges tirées par des mules le long d'un canal traversant la zone. La Voie Appienne passait par le Forum d'Appius à environ 65 km au sud de Rome.</w:t>
      </w:r>
    </w:p>
    <w:p>
      <w:r/>
      <w:r>
        <w:rPr>
          <w:i/>
        </w:rPr>
        <w:t>Voir aussi</w:t>
      </w:r>
      <w:r>
        <w:t xml:space="preserve"> </w:t>
      </w:r>
      <w:r>
        <w:t>Voie Appienne</w:t>
      </w:r>
      <w:r>
        <w:t xml:space="preserve"> ; </w:t>
      </w:r>
      <w:r>
        <w:t>Forum</w:t>
      </w:r>
      <w:r>
        <w:t>.</w:t>
      </w:r>
      <w:r/>
      <w:r/>
    </w:p>
    <w:p>
      <w:r/>
    </w:p>
    <w:p>
      <w:pPr>
        <w:pStyle w:val="Heading2"/>
      </w:pPr>
      <w:r>
        <w:t>Fournaise</w:t>
      </w:r>
      <w:r/>
    </w:p>
    <w:p>
      <w:r/>
      <w:r>
        <w:t>Structure en brique ou en pierre utilisée à diverses fins, tant domestiques que commerciales. Son design comprenait un foyer, un conduit, une chambre de chauffage et une ouverture d'accès. Les fournaises servaient à :</w:t>
      </w:r>
    </w:p>
    <w:p>
      <w:pPr>
        <w:pStyle w:val="ListBullet"/>
        <w:spacing w:line="240" w:lineRule="auto"/>
        <w:ind w:left="720"/>
      </w:pPr>
      <w:r/>
      <w:r>
        <w:t>La calcination du minerai</w:t>
      </w:r>
    </w:p>
    <w:p>
      <w:pPr>
        <w:pStyle w:val="ListBullet"/>
        <w:spacing w:line="240" w:lineRule="auto"/>
        <w:ind w:left="720"/>
      </w:pPr>
      <w:r/>
      <w:r>
        <w:t>La fusion du minerai</w:t>
      </w:r>
    </w:p>
    <w:p>
      <w:pPr>
        <w:pStyle w:val="ListBullet"/>
        <w:spacing w:line="240" w:lineRule="auto"/>
        <w:ind w:left="720"/>
      </w:pPr>
      <w:r/>
      <w:r>
        <w:t>La forge</w:t>
      </w:r>
    </w:p>
    <w:p>
      <w:pPr>
        <w:pStyle w:val="ListBullet"/>
        <w:spacing w:line="240" w:lineRule="auto"/>
        <w:ind w:left="720"/>
      </w:pPr>
      <w:r/>
      <w:r>
        <w:t>La cuisson de la céramique</w:t>
      </w:r>
    </w:p>
    <w:p>
      <w:pPr>
        <w:pStyle w:val="ListBullet"/>
        <w:spacing w:line="240" w:lineRule="auto"/>
        <w:ind w:left="720"/>
      </w:pPr>
      <w:r/>
      <w:r>
        <w:t>La cuisson des briques</w:t>
      </w:r>
    </w:p>
    <w:p>
      <w:pPr>
        <w:pStyle w:val="ListBullet"/>
        <w:spacing w:line="240" w:lineRule="auto"/>
        <w:ind w:left="720"/>
      </w:pPr>
      <w:r/>
      <w:r>
        <w:t>La fabrication de la chaux</w:t>
      </w:r>
    </w:p>
    <w:p>
      <w:r/>
      <w:r>
        <w:t xml:space="preserve">La Bible mentionne différents types de fournaises. La fournaise du potier, utilisée pour fabriquer de la chaux et cuire la poterie, est mentionné dans </w:t>
      </w:r>
      <w:hyperlink r:id="rId5763">
        <w:r>
          <w:rPr>
            <w:color w:val="0000EE"/>
            <w:u w:val="single"/>
          </w:rPr>
          <w:t>Genèse 19.28</w:t>
        </w:r>
      </w:hyperlink>
      <w:r>
        <w:t xml:space="preserve"> ; </w:t>
      </w:r>
      <w:hyperlink r:id="rId5764">
        <w:r>
          <w:rPr>
            <w:color w:val="0000EE"/>
            <w:u w:val="single"/>
          </w:rPr>
          <w:t>Exode 9.8, 10</w:t>
        </w:r>
      </w:hyperlink>
      <w:r>
        <w:t xml:space="preserve"> ; </w:t>
      </w:r>
      <w:hyperlink r:id="rId2091">
        <w:r>
          <w:rPr>
            <w:color w:val="0000EE"/>
            <w:u w:val="single"/>
          </w:rPr>
          <w:t>19.18</w:t>
        </w:r>
      </w:hyperlink>
      <w:r>
        <w:t>. Ces fournaises en forme de dôme, souvent faits de calcaire, avaient une cheminée et un trou pour le combustible en bas, produisant une fumée épaisse et sombre.</w:t>
      </w:r>
    </w:p>
    <w:p>
      <w:r/>
      <w:r>
        <w:t>Bien que les Hébreux aient rarement utilisé de grandes fournaises de fusion, sauf peut-être pendant le règne de Salomon, ils avaient connaissance de leur existence grâce à leur utilisation au Liban. De nombreuses références à de telles fournaises dans l'Ancien Testament sont d'ordre symbolique (</w:t>
      </w:r>
      <w:hyperlink r:id="rId5765">
        <w:r>
          <w:rPr>
            <w:color w:val="0000EE"/>
            <w:u w:val="single"/>
          </w:rPr>
          <w:t>Dt 4.20</w:t>
        </w:r>
      </w:hyperlink>
      <w:r>
        <w:t xml:space="preserve"> ; </w:t>
      </w:r>
      <w:hyperlink r:id="rId5766">
        <w:r>
          <w:rPr>
            <w:color w:val="0000EE"/>
            <w:u w:val="single"/>
          </w:rPr>
          <w:t>1R 8.51</w:t>
        </w:r>
      </w:hyperlink>
      <w:r>
        <w:t xml:space="preserve"> ; </w:t>
      </w:r>
      <w:hyperlink r:id="rId5767">
        <w:r>
          <w:rPr>
            <w:color w:val="0000EE"/>
            <w:u w:val="single"/>
          </w:rPr>
          <w:t>Pr 17.3</w:t>
        </w:r>
      </w:hyperlink>
      <w:r>
        <w:t xml:space="preserve"> ; </w:t>
      </w:r>
      <w:hyperlink r:id="rId5768">
        <w:r>
          <w:rPr>
            <w:color w:val="0000EE"/>
            <w:u w:val="single"/>
          </w:rPr>
          <w:t>27.21</w:t>
        </w:r>
      </w:hyperlink>
      <w:r>
        <w:t xml:space="preserve"> ; </w:t>
      </w:r>
      <w:hyperlink r:id="rId5769">
        <w:r>
          <w:rPr>
            <w:color w:val="0000EE"/>
            <w:u w:val="single"/>
          </w:rPr>
          <w:t>Es 48.10</w:t>
        </w:r>
      </w:hyperlink>
      <w:r>
        <w:t xml:space="preserve"> ; </w:t>
      </w:r>
      <w:hyperlink r:id="rId5770">
        <w:r>
          <w:rPr>
            <w:color w:val="0000EE"/>
            <w:u w:val="single"/>
          </w:rPr>
          <w:t>Jr 11.4</w:t>
        </w:r>
      </w:hyperlink>
      <w:r>
        <w:t xml:space="preserve"> ; </w:t>
      </w:r>
      <w:hyperlink r:id="rId5771">
        <w:r>
          <w:rPr>
            <w:color w:val="0000EE"/>
            <w:u w:val="single"/>
          </w:rPr>
          <w:t>Ez 22.18–22</w:t>
        </w:r>
      </w:hyperlink>
      <w:r>
        <w:t xml:space="preserve">). Une histoire notable impliquant une grande fournaise est celle de Schadrac, Méschac et Abed-Nego dans </w:t>
      </w:r>
      <w:hyperlink r:id="rId5772">
        <w:r>
          <w:rPr>
            <w:color w:val="0000EE"/>
            <w:u w:val="single"/>
          </w:rPr>
          <w:t>Daniel 3</w:t>
        </w:r>
      </w:hyperlink>
      <w:r>
        <w:t>.</w:t>
      </w:r>
    </w:p>
    <w:p>
      <w:r/>
      <w:r>
        <w:t>La Bible utilise souvent le terme « fournaise » de manière métaphorique pour représenter la discipline de Dieu, la punition ou le raffinement du caractère (</w:t>
      </w:r>
      <w:hyperlink r:id="rId5765">
        <w:r>
          <w:rPr>
            <w:color w:val="0000EE"/>
            <w:u w:val="single"/>
          </w:rPr>
          <w:t>Dt 4.20</w:t>
        </w:r>
      </w:hyperlink>
      <w:r>
        <w:t xml:space="preserve"> ; </w:t>
      </w:r>
      <w:hyperlink r:id="rId5766">
        <w:r>
          <w:rPr>
            <w:color w:val="0000EE"/>
            <w:u w:val="single"/>
          </w:rPr>
          <w:t>1R 8.51</w:t>
        </w:r>
      </w:hyperlink>
      <w:r>
        <w:t xml:space="preserve"> ; </w:t>
      </w:r>
      <w:hyperlink r:id="rId5769">
        <w:r>
          <w:rPr>
            <w:color w:val="0000EE"/>
            <w:u w:val="single"/>
          </w:rPr>
          <w:t>Es 48.10</w:t>
        </w:r>
      </w:hyperlink>
      <w:r>
        <w:t xml:space="preserve"> ; </w:t>
      </w:r>
      <w:hyperlink r:id="rId5773">
        <w:r>
          <w:rPr>
            <w:color w:val="0000EE"/>
            <w:u w:val="single"/>
          </w:rPr>
          <w:t>Jr 6.27–30</w:t>
        </w:r>
      </w:hyperlink>
      <w:r>
        <w:t xml:space="preserve"> ; </w:t>
      </w:r>
      <w:hyperlink r:id="rId5771">
        <w:r>
          <w:rPr>
            <w:color w:val="0000EE"/>
            <w:u w:val="single"/>
          </w:rPr>
          <w:t>Ez 22.18–22</w:t>
        </w:r>
      </w:hyperlink>
      <w:r>
        <w:t>). Dans le Nouveau Testament, la « fournaise » symbolise l'enfer (</w:t>
      </w:r>
      <w:hyperlink r:id="rId5774">
        <w:r>
          <w:rPr>
            <w:color w:val="0000EE"/>
            <w:u w:val="single"/>
          </w:rPr>
          <w:t>Mt 13.42, 50</w:t>
        </w:r>
      </w:hyperlink>
      <w:r>
        <w:t xml:space="preserve"> ; </w:t>
      </w:r>
      <w:hyperlink r:id="rId64">
        <w:r>
          <w:rPr>
            <w:color w:val="0000EE"/>
            <w:u w:val="single"/>
          </w:rPr>
          <w:t>Ap 9.2</w:t>
        </w:r>
      </w:hyperlink>
      <w:r>
        <w:t>). L'image du raffinement représente également les épreuves de la vie préparant à l'au-delà (</w:t>
      </w:r>
      <w:hyperlink r:id="rId2719">
        <w:r>
          <w:rPr>
            <w:color w:val="0000EE"/>
            <w:u w:val="single"/>
          </w:rPr>
          <w:t>Jc 1.12</w:t>
        </w:r>
      </w:hyperlink>
      <w:r>
        <w:t xml:space="preserve"> ; </w:t>
      </w:r>
      <w:hyperlink r:id="rId5775">
        <w:r>
          <w:rPr>
            <w:color w:val="0000EE"/>
            <w:u w:val="single"/>
          </w:rPr>
          <w:t>1P 1.7</w:t>
        </w:r>
      </w:hyperlink>
      <w:r>
        <w:t>).</w:t>
      </w:r>
    </w:p>
    <w:p>
      <w:r/>
      <w:r>
        <w:t xml:space="preserve">Dans </w:t>
      </w:r>
      <w:hyperlink r:id="rId5776">
        <w:r>
          <w:rPr>
            <w:color w:val="0000EE"/>
            <w:u w:val="single"/>
          </w:rPr>
          <w:t>Apocalypse 1.15</w:t>
        </w:r>
      </w:hyperlink>
      <w:r>
        <w:t xml:space="preserve">, la vision de Jean décrit le Fils de l'Homme avec des pieds « </w:t>
      </w:r>
      <w:r>
        <w:t>semblables à de l’airain ardent, comme s’il eût été embrasé dans une fournaise</w:t>
      </w:r>
      <w:r>
        <w:t xml:space="preserve"> ». Cette image de bronze raffiné symbolise le pouvoir de Christ dans la victoire contre ses ennemis.</w:t>
      </w:r>
      <w:r/>
      <w:r/>
    </w:p>
    <w:p>
      <w:r/>
    </w:p>
    <w:p>
      <w:pPr>
        <w:pStyle w:val="Heading2"/>
      </w:pPr>
      <w:r>
        <w:t>frère</w:t>
      </w:r>
      <w:r/>
    </w:p>
    <w:p>
      <w:r/>
      <w:r>
        <w:t>Dans la Bible, le mot « frère » peut décrire :</w:t>
      </w:r>
    </w:p>
    <w:p>
      <w:pPr>
        <w:pStyle w:val="ListBullet"/>
        <w:spacing w:line="240" w:lineRule="auto"/>
        <w:ind w:left="720"/>
      </w:pPr>
      <w:r/>
      <w:r>
        <w:t>Un homme ou un garçon en relation aux autres enfants de ses parents.</w:t>
      </w:r>
    </w:p>
    <w:p>
      <w:pPr>
        <w:pStyle w:val="ListBullet"/>
        <w:spacing w:line="240" w:lineRule="auto"/>
        <w:ind w:left="720"/>
      </w:pPr>
      <w:r/>
      <w:r>
        <w:t>Un ami proche.</w:t>
      </w:r>
    </w:p>
    <w:p>
      <w:pPr>
        <w:pStyle w:val="ListBullet"/>
        <w:spacing w:line="240" w:lineRule="auto"/>
        <w:ind w:left="720"/>
      </w:pPr>
      <w:r/>
      <w:r>
        <w:t>Quelqu'un du même peuple, de la même foi, de la même profession ou de la même organisation.</w:t>
      </w:r>
    </w:p>
    <w:p>
      <w:pPr>
        <w:pStyle w:val="Heading3"/>
      </w:pPr>
      <w:r>
        <w:rPr>
          <w:b/>
        </w:rPr>
        <w:t>Le concept de frère dans l'Ancien Testament</w:t>
      </w:r>
    </w:p>
    <w:p>
      <w:r/>
      <w:r>
        <w:t>Dans l'Ancien Testament, le mot hébreu qui se traduit « frère » désigne des garçons ou des hommes qui ont au moins un parent en commun. Joseph et Benjamin étaient tous deux des enfants de Jacob et de Rachel (</w:t>
      </w:r>
      <w:hyperlink r:id="rId5777">
        <w:r>
          <w:rPr>
            <w:color w:val="0000EE"/>
            <w:u w:val="single"/>
          </w:rPr>
          <w:t>Gn 35.24</w:t>
        </w:r>
      </w:hyperlink>
      <w:r>
        <w:t>). Pourtant, les autres fils de Jacob étaient aussi considérés les frères de Joseph (</w:t>
      </w:r>
      <w:hyperlink r:id="rId5778">
        <w:r>
          <w:rPr>
            <w:color w:val="0000EE"/>
            <w:u w:val="single"/>
          </w:rPr>
          <w:t>Gn 42.6</w:t>
        </w:r>
      </w:hyperlink>
      <w:r>
        <w:t>).</w:t>
      </w:r>
    </w:p>
    <w:p>
      <w:r/>
      <w:r>
        <w:t>L'amour que Joseph portait particulièrement à Benjamin ne régnait pas toujours entre frères. Caïn a tué son frère Abel (</w:t>
      </w:r>
      <w:hyperlink r:id="rId5779">
        <w:r>
          <w:rPr>
            <w:color w:val="0000EE"/>
            <w:u w:val="single"/>
          </w:rPr>
          <w:t>Gn 4.8</w:t>
        </w:r>
      </w:hyperlink>
      <w:r>
        <w:t>). Ésaü haïssait son frère, Jacob (</w:t>
      </w:r>
      <w:hyperlink r:id="rId4470">
        <w:r>
          <w:rPr>
            <w:color w:val="0000EE"/>
            <w:u w:val="single"/>
          </w:rPr>
          <w:t>Gn 27.41</w:t>
        </w:r>
      </w:hyperlink>
      <w:r>
        <w:t>). Un frère peut être une mauvaise influence (</w:t>
      </w:r>
      <w:hyperlink r:id="rId5780">
        <w:r>
          <w:rPr>
            <w:color w:val="0000EE"/>
            <w:u w:val="single"/>
          </w:rPr>
          <w:t>Dt 13.6</w:t>
        </w:r>
      </w:hyperlink>
      <w:r>
        <w:t>–</w:t>
      </w:r>
      <w:hyperlink r:id="rId5780">
        <w:r>
          <w:rPr>
            <w:color w:val="0000EE"/>
            <w:u w:val="single"/>
          </w:rPr>
          <w:t>7</w:t>
        </w:r>
      </w:hyperlink>
      <w:r>
        <w:t>), mais l'idéal est qu'un frère est quelqu'un sur qui compter en cas de besoin (</w:t>
      </w:r>
      <w:hyperlink r:id="rId5781">
        <w:r>
          <w:rPr>
            <w:color w:val="0000EE"/>
            <w:u w:val="single"/>
          </w:rPr>
          <w:t>Pr 17.17</w:t>
        </w:r>
      </w:hyperlink>
      <w:r>
        <w:t>). La loi du mariage léviratique signifiait que si un homme mourait en laissant une veuve sans enfant, son frère devait l'épouser et avoir des enfants avec elle pour préserver la lignée de son frère (</w:t>
      </w:r>
      <w:hyperlink r:id="rId5782">
        <w:r>
          <w:rPr>
            <w:color w:val="0000EE"/>
            <w:u w:val="single"/>
          </w:rPr>
          <w:t>Dt 25.5</w:t>
        </w:r>
      </w:hyperlink>
      <w:r>
        <w:t>).</w:t>
      </w:r>
    </w:p>
    <w:p>
      <w:r/>
      <w:r>
        <w:t>David appelait Jonathan son « frère » même s'ils n'étaient pas de la même famille (</w:t>
      </w:r>
      <w:hyperlink r:id="rId5783">
        <w:r>
          <w:rPr>
            <w:color w:val="0000EE"/>
            <w:u w:val="single"/>
          </w:rPr>
          <w:t>2S 1.26</w:t>
        </w:r>
      </w:hyperlink>
      <w:r>
        <w:t>). Le terme était aussi utilisé au sens large entre compatriotes israélites. Cette relation impliquait certaines obligations : personne ne pouvait exiger d'intérêt de son frère ni l'asservir (</w:t>
      </w:r>
      <w:hyperlink r:id="rId5784">
        <w:r>
          <w:rPr>
            <w:color w:val="0000EE"/>
            <w:u w:val="single"/>
          </w:rPr>
          <w:t>Lv 25.35</w:t>
        </w:r>
      </w:hyperlink>
      <w:r>
        <w:t>–</w:t>
      </w:r>
      <w:hyperlink r:id="rId5784">
        <w:r>
          <w:rPr>
            <w:color w:val="0000EE"/>
            <w:u w:val="single"/>
          </w:rPr>
          <w:t>43</w:t>
        </w:r>
      </w:hyperlink>
      <w:r>
        <w:t>).</w:t>
      </w:r>
    </w:p>
    <w:p>
      <w:pPr>
        <w:pStyle w:val="Heading3"/>
      </w:pPr>
      <w:r>
        <w:t>Le concept de frère dans le Nouveau Testament</w:t>
      </w:r>
    </w:p>
    <w:p>
      <w:r/>
      <w:r>
        <w:t>Dans le Nouveau Testament, le mot grec décrit des frères de sang, tels qu'André et Pierre (</w:t>
      </w:r>
      <w:hyperlink r:id="rId2494">
        <w:r>
          <w:rPr>
            <w:color w:val="0000EE"/>
            <w:u w:val="single"/>
          </w:rPr>
          <w:t>Jn 1.41</w:t>
        </w:r>
      </w:hyperlink>
      <w:r>
        <w:t>). Jésus avait quatre frères (</w:t>
      </w:r>
      <w:hyperlink r:id="rId2413">
        <w:r>
          <w:rPr>
            <w:color w:val="0000EE"/>
            <w:u w:val="single"/>
          </w:rPr>
          <w:t>Mc 6.3</w:t>
        </w:r>
      </w:hyperlink>
      <w:r>
        <w:t>). Certains affirment qu'il s'agissait de cousins de Jésus, mais ce n'est pas le mot grec qui signifie « cousin » qui est utilisé dans ce passage. Les frères de Jésus ne croyaient pas en lui au début (</w:t>
      </w:r>
      <w:hyperlink r:id="rId5785">
        <w:r>
          <w:rPr>
            <w:color w:val="0000EE"/>
            <w:u w:val="single"/>
          </w:rPr>
          <w:t>Jn 7.5</w:t>
        </w:r>
      </w:hyperlink>
      <w:r>
        <w:t>). Pourtant, après la résurrection, ils sont devenus membres de l'Église (</w:t>
      </w:r>
      <w:hyperlink r:id="rId1975">
        <w:r>
          <w:rPr>
            <w:color w:val="0000EE"/>
            <w:u w:val="single"/>
          </w:rPr>
          <w:t>Ac 1.14</w:t>
        </w:r>
      </w:hyperlink>
      <w:r>
        <w:t xml:space="preserve">). Jésus enseigne que ses disciples ont un seul Père (Dieu) et sont donc tous frères (et sœurs, </w:t>
      </w:r>
      <w:hyperlink r:id="rId5786">
        <w:r>
          <w:rPr>
            <w:color w:val="0000EE"/>
            <w:u w:val="single"/>
          </w:rPr>
          <w:t>Mt 23.8</w:t>
        </w:r>
      </w:hyperlink>
      <w:r>
        <w:t>–</w:t>
      </w:r>
      <w:hyperlink r:id="rId5786">
        <w:r>
          <w:rPr>
            <w:color w:val="0000EE"/>
            <w:u w:val="single"/>
          </w:rPr>
          <w:t>9</w:t>
        </w:r>
      </w:hyperlink>
      <w:r>
        <w:t>). Jésus appelle aussi ses disciples ses frères (</w:t>
      </w:r>
      <w:hyperlink r:id="rId2254">
        <w:r>
          <w:rPr>
            <w:color w:val="0000EE"/>
            <w:u w:val="single"/>
          </w:rPr>
          <w:t>Mt 28.10</w:t>
        </w:r>
      </w:hyperlink>
      <w:r>
        <w:t>).</w:t>
      </w:r>
    </w:p>
    <w:p>
      <w:r/>
      <w:r>
        <w:t>Les premiers chrétiens s'appelaient « frères » entre eux (</w:t>
      </w:r>
      <w:hyperlink r:id="rId5787">
        <w:r>
          <w:rPr>
            <w:color w:val="0000EE"/>
            <w:u w:val="single"/>
          </w:rPr>
          <w:t>Ac 9.17</w:t>
        </w:r>
      </w:hyperlink>
      <w:r>
        <w:t xml:space="preserve"> ; </w:t>
      </w:r>
      <w:hyperlink r:id="rId1059">
        <w:r>
          <w:rPr>
            <w:color w:val="0000EE"/>
            <w:u w:val="single"/>
          </w:rPr>
          <w:t>Col 1.1</w:t>
        </w:r>
      </w:hyperlink>
      <w:r>
        <w:t xml:space="preserve">). Le mot traduit « les frères » qui désigne la communauté des chrétiens dans </w:t>
      </w:r>
      <w:hyperlink r:id="rId2244">
        <w:r>
          <w:rPr>
            <w:color w:val="0000EE"/>
            <w:u w:val="single"/>
          </w:rPr>
          <w:t>1Pierre 2.17</w:t>
        </w:r>
      </w:hyperlink>
      <w:r>
        <w:t xml:space="preserve"> ; </w:t>
      </w:r>
      <w:hyperlink r:id="rId5788">
        <w:r>
          <w:rPr>
            <w:color w:val="0000EE"/>
            <w:u w:val="single"/>
          </w:rPr>
          <w:t xml:space="preserve">5.9 </w:t>
        </w:r>
      </w:hyperlink>
      <w:r>
        <w:t>signifie littéralement « la fratrie » (</w:t>
      </w:r>
      <w:hyperlink r:id="rId2244">
        <w:r>
          <w:rPr>
            <w:color w:val="0000EE"/>
            <w:u w:val="single"/>
          </w:rPr>
          <w:t>1P 2.17</w:t>
        </w:r>
      </w:hyperlink>
      <w:r>
        <w:t xml:space="preserve"> ; </w:t>
      </w:r>
      <w:hyperlink r:id="rId5788">
        <w:r>
          <w:rPr>
            <w:color w:val="0000EE"/>
            <w:u w:val="single"/>
          </w:rPr>
          <w:t>5.9</w:t>
        </w:r>
      </w:hyperlink>
      <w:r>
        <w:t>). En faire partie établit certaines responsabilités entre frères (et sœurs) :</w:t>
      </w:r>
    </w:p>
    <w:p>
      <w:pPr>
        <w:pStyle w:val="ListBullet"/>
        <w:spacing w:line="240" w:lineRule="auto"/>
        <w:ind w:left="720"/>
      </w:pPr>
      <w:r/>
      <w:r>
        <w:t>Le respect des droits. Cette instruction s'applique soit aux affaires de façon générale, soit à la conduite sexuelle mentionnée dans le verset précédent (</w:t>
      </w:r>
      <w:hyperlink r:id="rId5789">
        <w:r>
          <w:rPr>
            <w:color w:val="0000EE"/>
            <w:u w:val="single"/>
          </w:rPr>
          <w:t>1Th 4.6</w:t>
        </w:r>
      </w:hyperlink>
      <w:r>
        <w:t>).</w:t>
      </w:r>
    </w:p>
    <w:p>
      <w:pPr>
        <w:pStyle w:val="ListBullet"/>
        <w:spacing w:line="240" w:lineRule="auto"/>
        <w:ind w:left="720"/>
      </w:pPr>
      <w:r/>
      <w:r>
        <w:t>L'aide à ceux qui sont dans le besoin (</w:t>
      </w:r>
      <w:hyperlink r:id="rId5790">
        <w:r>
          <w:rPr>
            <w:color w:val="0000EE"/>
            <w:u w:val="single"/>
          </w:rPr>
          <w:t>Jc 2.15</w:t>
        </w:r>
      </w:hyperlink>
      <w:r>
        <w:t>–</w:t>
      </w:r>
      <w:hyperlink r:id="rId5790">
        <w:r>
          <w:rPr>
            <w:color w:val="0000EE"/>
            <w:u w:val="single"/>
          </w:rPr>
          <w:t>16</w:t>
        </w:r>
      </w:hyperlink>
      <w:r>
        <w:t>).</w:t>
      </w:r>
    </w:p>
    <w:p>
      <w:pPr>
        <w:pStyle w:val="ListBullet"/>
        <w:spacing w:line="240" w:lineRule="auto"/>
        <w:ind w:left="720"/>
      </w:pPr>
      <w:r/>
      <w:r>
        <w:t>Le besoin d'éviter de faire chuter autrui (</w:t>
      </w:r>
      <w:hyperlink r:id="rId5791">
        <w:r>
          <w:rPr>
            <w:color w:val="0000EE"/>
            <w:u w:val="single"/>
          </w:rPr>
          <w:t>Rm 14.13</w:t>
        </w:r>
      </w:hyperlink>
      <w:r>
        <w:t>).</w:t>
      </w:r>
    </w:p>
    <w:p>
      <w:pPr>
        <w:pStyle w:val="ListBullet"/>
        <w:spacing w:line="240" w:lineRule="auto"/>
        <w:ind w:left="720"/>
      </w:pPr>
      <w:r/>
      <w:r>
        <w:t>L'abstention de poursuivre en justice des frères dans la foi (</w:t>
      </w:r>
      <w:hyperlink r:id="rId5792">
        <w:r>
          <w:rPr>
            <w:color w:val="0000EE"/>
            <w:u w:val="single"/>
          </w:rPr>
          <w:t>1Co 6.5</w:t>
        </w:r>
      </w:hyperlink>
      <w:r>
        <w:t>–</w:t>
      </w:r>
      <w:hyperlink r:id="rId5792">
        <w:r>
          <w:rPr>
            <w:color w:val="0000EE"/>
            <w:u w:val="single"/>
          </w:rPr>
          <w:t>6</w:t>
        </w:r>
      </w:hyperlink>
      <w:r>
        <w:t>).</w:t>
      </w:r>
    </w:p>
    <w:p>
      <w:pPr>
        <w:pStyle w:val="ListBullet"/>
        <w:spacing w:line="240" w:lineRule="auto"/>
        <w:ind w:left="720"/>
      </w:pPr>
      <w:r/>
      <w:r>
        <w:t>La responsabilité de reprendre les péchés en personne et au besoin en faisant intervenir l'Église (</w:t>
      </w:r>
      <w:hyperlink r:id="rId5793">
        <w:r>
          <w:rPr>
            <w:color w:val="0000EE"/>
            <w:u w:val="single"/>
          </w:rPr>
          <w:t>Mt 18.15</w:t>
        </w:r>
      </w:hyperlink>
      <w:r>
        <w:t>–</w:t>
      </w:r>
      <w:hyperlink r:id="rId5793">
        <w:r>
          <w:rPr>
            <w:color w:val="0000EE"/>
            <w:u w:val="single"/>
          </w:rPr>
          <w:t>17</w:t>
        </w:r>
      </w:hyperlink>
      <w:r>
        <w:t>).</w:t>
      </w:r>
    </w:p>
    <w:p>
      <w:r/>
      <w:r>
        <w:t>La relation fraternelle entre chrétiens est importante. En effet, le chrétien ne doit pas venir devant Dieu avant d'avoir réparé ses fautes envers son frère (</w:t>
      </w:r>
      <w:hyperlink r:id="rId1489">
        <w:r>
          <w:rPr>
            <w:color w:val="0000EE"/>
            <w:u w:val="single"/>
          </w:rPr>
          <w:t>Mt 5.23</w:t>
        </w:r>
      </w:hyperlink>
      <w:r>
        <w:t>–</w:t>
      </w:r>
      <w:hyperlink r:id="rId1489">
        <w:r>
          <w:rPr>
            <w:color w:val="0000EE"/>
            <w:u w:val="single"/>
          </w:rPr>
          <w:t>24</w:t>
        </w:r>
      </w:hyperlink>
      <w:r>
        <w:t>).</w:t>
      </w:r>
    </w:p>
    <w:p>
      <w:r/>
      <w:r>
        <w:rPr>
          <w:i/>
        </w:rPr>
        <w:t>Voir aussi</w:t>
      </w:r>
      <w:r>
        <w:t xml:space="preserve"> </w:t>
      </w:r>
      <w:r>
        <w:t>vie de famille et relations</w:t>
      </w:r>
      <w:r>
        <w:t xml:space="preserve"> ; </w:t>
      </w:r>
      <w:r>
        <w:t>frères (et sœurs)</w:t>
      </w:r>
      <w:r>
        <w:t>.</w:t>
      </w:r>
      <w:r/>
      <w:r/>
    </w:p>
    <w:p>
      <w:r/>
    </w:p>
    <w:p>
      <w:pPr>
        <w:pStyle w:val="Heading2"/>
      </w:pPr>
      <w:r>
        <w:t>frères (et sœurs)</w:t>
      </w:r>
      <w:r/>
    </w:p>
    <w:p>
      <w:r/>
      <w:r>
        <w:t xml:space="preserve">Bien que les mots « frère » et « sœur » puissent désigner des personnes nées de mêmes parents ou de mêmes ancêtres, ces mots sont souvent utilisés dans la Bible pour désigner ceux qui appartiennent à la famille de Dieu. </w:t>
      </w:r>
    </w:p>
    <w:p>
      <w:r/>
      <w:r>
        <w:t>À l'époque de Jésus, les Juifs utilisaient souvent le mot « frères » pour désigner leurs compatriotes ou ceux qui croyaient en Dieu (</w:t>
      </w:r>
      <w:hyperlink r:id="rId5794">
        <w:r>
          <w:rPr>
            <w:color w:val="0000EE"/>
            <w:u w:val="single"/>
          </w:rPr>
          <w:t>Ac 2.29, 37</w:t>
        </w:r>
      </w:hyperlink>
      <w:r>
        <w:t xml:space="preserve"> ; </w:t>
      </w:r>
      <w:hyperlink r:id="rId5795">
        <w:r>
          <w:rPr>
            <w:color w:val="0000EE"/>
            <w:u w:val="single"/>
          </w:rPr>
          <w:t>7.2</w:t>
        </w:r>
      </w:hyperlink>
      <w:r>
        <w:t xml:space="preserve"> ; </w:t>
      </w:r>
      <w:hyperlink r:id="rId5796">
        <w:r>
          <w:rPr>
            <w:color w:val="0000EE"/>
            <w:u w:val="single"/>
          </w:rPr>
          <w:t>22.5</w:t>
        </w:r>
      </w:hyperlink>
      <w:r>
        <w:t xml:space="preserve"> ; </w:t>
      </w:r>
      <w:hyperlink r:id="rId5797">
        <w:r>
          <w:rPr>
            <w:color w:val="0000EE"/>
            <w:u w:val="single"/>
          </w:rPr>
          <w:t>28.21</w:t>
        </w:r>
      </w:hyperlink>
      <w:r>
        <w:t xml:space="preserve"> ; </w:t>
      </w:r>
      <w:hyperlink r:id="rId2301">
        <w:r>
          <w:rPr>
            <w:color w:val="0000EE"/>
            <w:u w:val="single"/>
          </w:rPr>
          <w:t>Rm 9.3</w:t>
        </w:r>
      </w:hyperlink>
      <w:r>
        <w:t>). Les premiers chrétiens étaient des Juifs. Il était donc naturel pour eux d'utiliser ce même terme pour s'adresser aux autres chrétiens juifs. Le terme « frères » était utilisé pour désigner un groupe qui pouvait inclure des hommes et des femmes (</w:t>
      </w:r>
      <w:hyperlink r:id="rId5798">
        <w:r>
          <w:rPr>
            <w:color w:val="0000EE"/>
            <w:u w:val="single"/>
          </w:rPr>
          <w:t>Ac 1.15–16</w:t>
        </w:r>
      </w:hyperlink>
      <w:r>
        <w:t xml:space="preserve"> ; </w:t>
      </w:r>
      <w:hyperlink r:id="rId3178">
        <w:r>
          <w:rPr>
            <w:color w:val="0000EE"/>
            <w:u w:val="single"/>
          </w:rPr>
          <w:t>9.30</w:t>
        </w:r>
      </w:hyperlink>
      <w:r>
        <w:t xml:space="preserve"> ; </w:t>
      </w:r>
      <w:hyperlink r:id="rId5799">
        <w:r>
          <w:rPr>
            <w:color w:val="0000EE"/>
            <w:u w:val="single"/>
          </w:rPr>
          <w:t>11.1</w:t>
        </w:r>
      </w:hyperlink>
      <w:r>
        <w:t xml:space="preserve">). Certains passages du Nouveau Testament utilisent également le terme « sœur » pour parler d'une femme chrétienne. Quelques traductions modernes de la Bible traduisent « frères » par « frères et sœurs » quand il s'agit d'un groupe mixte pour que ce soit clair pour les lecteurs. </w:t>
      </w:r>
    </w:p>
    <w:p>
      <w:r/>
      <w:r>
        <w:t>Il était aussi coutumier parmi les non-juifs de s'appeler « frères » entre membres d'une même communauté. Les chrétiens non-juifs ont donc eux aussi adopté cet usage pour s'adresser les uns aux autres en tant que membres de la famille de Dieu (</w:t>
      </w:r>
      <w:hyperlink r:id="rId5800">
        <w:r>
          <w:rPr>
            <w:color w:val="0000EE"/>
            <w:u w:val="single"/>
          </w:rPr>
          <w:t>Ac 17.14</w:t>
        </w:r>
      </w:hyperlink>
      <w:r>
        <w:t xml:space="preserve"> ; </w:t>
      </w:r>
      <w:hyperlink r:id="rId5801">
        <w:r>
          <w:rPr>
            <w:color w:val="0000EE"/>
            <w:u w:val="single"/>
          </w:rPr>
          <w:t>Rm 1.13</w:t>
        </w:r>
      </w:hyperlink>
      <w:r>
        <w:t xml:space="preserve"> ; </w:t>
      </w:r>
      <w:hyperlink r:id="rId5802">
        <w:r>
          <w:rPr>
            <w:color w:val="0000EE"/>
            <w:u w:val="single"/>
          </w:rPr>
          <w:t>1Co 1.1, 10</w:t>
        </w:r>
      </w:hyperlink>
      <w:r>
        <w:t>). Paul utilise ce terme de nombreuses fois dans ses lettres aux Églises.</w:t>
      </w:r>
    </w:p>
    <w:p>
      <w:r/>
      <w:r>
        <w:t>En fait, le terme « frères » était, avec « disciples » (dans Actes) et « saints » (dans les lettres de Paul et dans l'Apocalypse), un terme favori pour désigner les autres chrétiens. Dans Jacques et 1 Jean, « frères » est le terme principal que les auteurs utilisent pour s'adresser à leurs destinataires.</w:t>
      </w:r>
    </w:p>
    <w:p>
      <w:r/>
      <w:r>
        <w:t>Chaque chrétien était appelé un « frère » ou une « sœur ». Ce nom montrait qu'il était important pour les chrétiens de se traiter comme des proches. Cette relation pouvait se comparer à celle des membres d'une même famille. Selon Jésus, la relation entre ceux qui font la volonté de Dieu est encore plus proche que celle qu'ils ont avec les membres de leurs familles naturelles (</w:t>
      </w:r>
      <w:hyperlink r:id="rId5803">
        <w:r>
          <w:rPr>
            <w:color w:val="0000EE"/>
            <w:u w:val="single"/>
          </w:rPr>
          <w:t>Mc 10.23–31</w:t>
        </w:r>
      </w:hyperlink>
      <w:r>
        <w:t>).</w:t>
      </w:r>
    </w:p>
    <w:p>
      <w:r/>
      <w:r>
        <w:t>Dans 1 Jean et Jacques, ce lien fraternel implique la responsabilité que les chrétiens ont de s'aimer et de s'entraider (</w:t>
      </w:r>
      <w:hyperlink r:id="rId5804">
        <w:r>
          <w:rPr>
            <w:color w:val="0000EE"/>
            <w:u w:val="single"/>
          </w:rPr>
          <w:t>Jc 2.15</w:t>
        </w:r>
      </w:hyperlink>
      <w:r>
        <w:t xml:space="preserve"> ; </w:t>
      </w:r>
      <w:hyperlink r:id="rId5805">
        <w:r>
          <w:rPr>
            <w:color w:val="0000EE"/>
            <w:u w:val="single"/>
          </w:rPr>
          <w:t>1Jn 3.10–18</w:t>
        </w:r>
      </w:hyperlink>
      <w:r>
        <w:t xml:space="preserve"> ; </w:t>
      </w:r>
      <w:hyperlink r:id="rId5806">
        <w:r>
          <w:rPr>
            <w:color w:val="0000EE"/>
            <w:u w:val="single"/>
          </w:rPr>
          <w:t>4.20–21</w:t>
        </w:r>
      </w:hyperlink>
      <w:r>
        <w:t>). Le mot « frères » exprime aussi que les chrétiens sont tout aussi importants les uns que les autres en tant que fils et filles de leur Père céleste.</w:t>
      </w:r>
      <w:r/>
      <w:r/>
    </w:p>
    <w:p>
      <w:r/>
    </w:p>
    <w:p>
      <w:pPr>
        <w:pStyle w:val="Heading2"/>
      </w:pPr>
      <w:r>
        <w:t>Frères de Jésus</w:t>
      </w:r>
      <w:r/>
    </w:p>
    <w:p>
      <w:r/>
      <w:r>
        <w:t>Jacques, Joses (ou Joseph), Simon et Judas (ou Jude) sont des membres de la famille de Jésus qui sont mentionnés dans le NT (</w:t>
      </w:r>
      <w:hyperlink r:id="rId2412">
        <w:r>
          <w:rPr>
            <w:color w:val="0000EE"/>
            <w:u w:val="single"/>
          </w:rPr>
          <w:t>Mt 13.55</w:t>
        </w:r>
      </w:hyperlink>
      <w:r>
        <w:t xml:space="preserve"> ; </w:t>
      </w:r>
      <w:hyperlink r:id="rId2413">
        <w:r>
          <w:rPr>
            <w:color w:val="0000EE"/>
            <w:u w:val="single"/>
          </w:rPr>
          <w:t>Mc 6.3</w:t>
        </w:r>
      </w:hyperlink>
      <w:r>
        <w:t>). Avec Marie, la mère de Jésus, ils vont le voir pendant qu'il prêche et guérit au milieu de la foule (</w:t>
      </w:r>
      <w:hyperlink r:id="rId5807">
        <w:r>
          <w:rPr>
            <w:color w:val="0000EE"/>
            <w:u w:val="single"/>
          </w:rPr>
          <w:t>Mt 12.47–50</w:t>
        </w:r>
      </w:hyperlink>
      <w:r>
        <w:t xml:space="preserve"> ; </w:t>
      </w:r>
      <w:hyperlink r:id="rId5808">
        <w:r>
          <w:rPr>
            <w:color w:val="0000EE"/>
            <w:u w:val="single"/>
          </w:rPr>
          <w:t>Mc 3.34–35</w:t>
        </w:r>
      </w:hyperlink>
      <w:r>
        <w:t xml:space="preserve"> ; </w:t>
      </w:r>
      <w:hyperlink r:id="rId5809">
        <w:r>
          <w:rPr>
            <w:color w:val="0000EE"/>
            <w:u w:val="single"/>
          </w:rPr>
          <w:t>Lc 8.19–21</w:t>
        </w:r>
      </w:hyperlink>
      <w:r>
        <w:t>). Ils l'entendent déclarer que tous ceux qui font la volonté de Dieu sont ses frères, ses sœurs et ses mères.</w:t>
      </w:r>
    </w:p>
    <w:p>
      <w:r/>
      <w:r>
        <w:t xml:space="preserve">Quand Jésus retourne à Nazareth pour y prêcher, ils y sont suffisamment connus pour que les gens demandent : « </w:t>
      </w:r>
      <w:r>
        <w:t xml:space="preserve">N'est-ce pas le charpentier, le fils de Marie, le frère de Jacques, de Joses, de Jude et de Simon? et ses sœurs ne sont-elles pas ici parmi nous ? </w:t>
      </w:r>
      <w:r>
        <w:t>» (</w:t>
      </w:r>
      <w:hyperlink r:id="rId2413">
        <w:r>
          <w:rPr>
            <w:color w:val="0000EE"/>
            <w:u w:val="single"/>
          </w:rPr>
          <w:t>Mc 6.3</w:t>
        </w:r>
      </w:hyperlink>
      <w:r>
        <w:t>). Dans l'Évangile de Matthieu, l'ordre des noms des deux derniers frères est inversé (</w:t>
      </w:r>
      <w:hyperlink r:id="rId2412">
        <w:r>
          <w:rPr>
            <w:color w:val="0000EE"/>
            <w:u w:val="single"/>
          </w:rPr>
          <w:t>Mt 13.55</w:t>
        </w:r>
      </w:hyperlink>
      <w:r>
        <w:t xml:space="preserve">). Quand Jésus et ses disciples se rendent à </w:t>
      </w:r>
      <w:r>
        <w:t>Capernaüm</w:t>
      </w:r>
      <w:r>
        <w:t>, ils y sont accompagnés par Marie et les frères de Jésus (</w:t>
      </w:r>
      <w:hyperlink r:id="rId5810">
        <w:r>
          <w:rPr>
            <w:color w:val="0000EE"/>
            <w:u w:val="single"/>
          </w:rPr>
          <w:t>Jn 2.12</w:t>
        </w:r>
      </w:hyperlink>
      <w:r>
        <w:t>). Juste avant la fête des Tabernacles, ils essayent de persuader Jésus d'aller à Jérusalem pour cette occasion. Ils ne croient pas en ses miracles, mais lui disent néanmoins qu'il devrait les montrer en public pour être reconnu (</w:t>
      </w:r>
      <w:hyperlink r:id="rId5811">
        <w:r>
          <w:rPr>
            <w:color w:val="0000EE"/>
            <w:u w:val="single"/>
          </w:rPr>
          <w:t>Jn 7.4</w:t>
        </w:r>
      </w:hyperlink>
      <w:r>
        <w:t xml:space="preserve">). Jésus fait allusion à de l'opposition parmi des membres de sa famille lorsqu'il déclare : « </w:t>
      </w:r>
      <w:r>
        <w:t>C’est seulement dans sa patrie et dans sa propre famille que l’on refuse d’honorer un prophète</w:t>
      </w:r>
      <w:r>
        <w:t xml:space="preserve"> » (</w:t>
      </w:r>
      <w:hyperlink r:id="rId5812">
        <w:r>
          <w:rPr>
            <w:color w:val="0000EE"/>
            <w:u w:val="single"/>
          </w:rPr>
          <w:t>Mt 13.57</w:t>
        </w:r>
      </w:hyperlink>
      <w:r>
        <w:t>, BDS). Alors que les foules viennent en masse vers lui au début de son ministère, ses frères ou d'autres proches pensent qu'il a perdu contact avec la réalité (</w:t>
      </w:r>
      <w:hyperlink r:id="rId5813">
        <w:r>
          <w:rPr>
            <w:color w:val="0000EE"/>
            <w:u w:val="single"/>
          </w:rPr>
          <w:t>Mc 3.21</w:t>
        </w:r>
      </w:hyperlink>
      <w:r>
        <w:t xml:space="preserve">). </w:t>
      </w:r>
    </w:p>
    <w:p>
      <w:r/>
      <w:r>
        <w:t>Même s'ils ne croient tout d'abord pas en lui, les frères de Jésus deviennent en fin de compte des membres actifs de l'Église de Jérusalem, dès ses débuts. Avec Marie, ils font partie des membres du groupe qui priait fréquemment dans la chambre haute (</w:t>
      </w:r>
      <w:hyperlink r:id="rId1975">
        <w:r>
          <w:rPr>
            <w:color w:val="0000EE"/>
            <w:u w:val="single"/>
          </w:rPr>
          <w:t>Ac 1.14</w:t>
        </w:r>
      </w:hyperlink>
      <w:r>
        <w:t>). Cela démontre un changement remarquable par rapport à leur manque de foi antérieur. L'une des apparitions de Jésus ressuscité est à Jacques (</w:t>
      </w:r>
      <w:hyperlink r:id="rId1974">
        <w:r>
          <w:rPr>
            <w:color w:val="0000EE"/>
            <w:u w:val="single"/>
          </w:rPr>
          <w:t>1Co 15.7</w:t>
        </w:r>
      </w:hyperlink>
      <w:r>
        <w:t>). Quand Paul retourne à Jérusalem après sa conversion, il y rencontre Pierre et Jacques, « le frère du Seigneur », mais pas les autres apôtres (</w:t>
      </w:r>
      <w:hyperlink r:id="rId5814">
        <w:r>
          <w:rPr>
            <w:color w:val="0000EE"/>
            <w:u w:val="single"/>
          </w:rPr>
          <w:t>Ga 1.19</w:t>
        </w:r>
      </w:hyperlink>
      <w:r>
        <w:t xml:space="preserve">). Quand l'apôtre Pierre est libéré de prison, il se rend chez Marie, la mère de Jean Marc. Malgré les réactions enthousiastes à sa libération, il demande tout de suite au groupe de l'annoncer « </w:t>
      </w:r>
      <w:r>
        <w:t>à Jacques et aux frères</w:t>
      </w:r>
      <w:r>
        <w:t xml:space="preserve"> » (</w:t>
      </w:r>
      <w:hyperlink r:id="rId5815">
        <w:r>
          <w:rPr>
            <w:color w:val="0000EE"/>
            <w:u w:val="single"/>
          </w:rPr>
          <w:t>Ac 12.17</w:t>
        </w:r>
      </w:hyperlink>
      <w:r>
        <w:t>). Plusieurs passages dans Actes montrent que Jacques était un dirigeant important et respecté dans l'Église de Jérusalem (</w:t>
      </w:r>
      <w:hyperlink r:id="rId3022">
        <w:r>
          <w:rPr>
            <w:color w:val="0000EE"/>
            <w:u w:val="single"/>
          </w:rPr>
          <w:t>Ac 15.13–21</w:t>
        </w:r>
      </w:hyperlink>
      <w:r>
        <w:t xml:space="preserve"> ; </w:t>
      </w:r>
      <w:hyperlink r:id="rId5816">
        <w:r>
          <w:rPr>
            <w:color w:val="0000EE"/>
            <w:u w:val="single"/>
          </w:rPr>
          <w:t>21.18</w:t>
        </w:r>
      </w:hyperlink>
      <w:r>
        <w:t>). Lors du concile de Jérusalem, il déclare fermement son point de vue sur la question de l'acceptation des Gentils dans l'Église. Paul lui rend visite plus tard et lui raconte ce qu'il a fait en tant que missionnaire et les nombreuses conversions qui se sont produites parmi les Gentils. Jacques est celui qui est le plus souvent nommé dans le NT, mais tous les frères de Jésus semblent avoir été bien respectés à cette époque. Quand Paul explique que lui aussi aurait le droit de prendre une épouse pour l'accompagner dans ses voyages, il donne pour exemple le fait que c'est ce que font aussi les frères de Jésus (</w:t>
      </w:r>
      <w:hyperlink r:id="rId5817">
        <w:r>
          <w:rPr>
            <w:color w:val="0000EE"/>
            <w:u w:val="single"/>
          </w:rPr>
          <w:t>1Co 9.5</w:t>
        </w:r>
      </w:hyperlink>
      <w:r>
        <w:t>).</w:t>
      </w:r>
    </w:p>
    <w:p>
      <w:r/>
      <w:r>
        <w:t>L'auteur de l'Épître de Jacques est probablement le Jacques qui est le frère du Seigneur, même s'il ne le mentionne pas quand il se présente (</w:t>
      </w:r>
      <w:hyperlink r:id="rId3908">
        <w:r>
          <w:rPr>
            <w:color w:val="0000EE"/>
            <w:u w:val="single"/>
          </w:rPr>
          <w:t>1.1</w:t>
        </w:r>
      </w:hyperlink>
      <w:r>
        <w:t>). On dirait bien que l'auteur écrit en tant que dirigeant reconnu dans l'Église. Il serait donc logique de conclure que c'est bien du frère du Seigneur qu'il s'agit. L'auteur de l'Épître de Jude se présente comme frère de Jacques. Encore une fois, il s'agit très probablement du Jacques bien connu, c'est à dire du dirigeant mentionné dans Actes et de l'auteur probable de l'autre épître. Jude semble donc être le frère du Seigneur qui est aussi appelé Judas dans les Évangiles (</w:t>
      </w:r>
      <w:hyperlink r:id="rId2412">
        <w:r>
          <w:rPr>
            <w:color w:val="0000EE"/>
            <w:u w:val="single"/>
          </w:rPr>
          <w:t>Mt 13.55</w:t>
        </w:r>
      </w:hyperlink>
      <w:r>
        <w:t xml:space="preserve"> ; </w:t>
      </w:r>
      <w:hyperlink r:id="rId2413">
        <w:r>
          <w:rPr>
            <w:color w:val="0000EE"/>
            <w:u w:val="single"/>
          </w:rPr>
          <w:t>Mc 6.3</w:t>
        </w:r>
      </w:hyperlink>
      <w:r>
        <w:t>).</w:t>
      </w:r>
    </w:p>
    <w:p>
      <w:r/>
      <w:r>
        <w:t>Dans tout le NT, les frères de Jésus sont toujours présentés comme un autre groupe que celui des douze apôtres. Juste après avoir nommé les apôtres, Luc continue : « Tous, d'un commun accord, persévéraient dans la prière, avec les femmes, Marie, mère de Jésus, et avec les frères de Jésus » (</w:t>
      </w:r>
      <w:hyperlink r:id="rId5818">
        <w:r>
          <w:rPr>
            <w:color w:val="0000EE"/>
            <w:u w:val="single"/>
          </w:rPr>
          <w:t>Ac 1.13–14</w:t>
        </w:r>
      </w:hyperlink>
      <w:r>
        <w:t>). L'apôtre Paul parle lui aussi des frères du Seigneur comme d'un groupe différent de celui des apôtres (</w:t>
      </w:r>
      <w:hyperlink r:id="rId5817">
        <w:r>
          <w:rPr>
            <w:color w:val="0000EE"/>
            <w:u w:val="single"/>
          </w:rPr>
          <w:t>1Co 9.5</w:t>
        </w:r>
      </w:hyperlink>
      <w:r>
        <w:t>). A chaque fois qu'ils sont mentionnés dans les Évangiles, ils sont décrits comme des membres de la famille de Jésus, et pas comme disciples.</w:t>
      </w:r>
    </w:p>
    <w:p>
      <w:r/>
      <w:r>
        <w:rPr>
          <w:i/>
        </w:rPr>
        <w:t>Voir aussi</w:t>
      </w:r>
      <w:r>
        <w:t xml:space="preserve"> </w:t>
      </w:r>
      <w:r>
        <w:t>Jacques (personne) n° 1</w:t>
      </w:r>
      <w:r>
        <w:t xml:space="preserve"> ; </w:t>
      </w:r>
      <w:r>
        <w:t>Joseph n° 7</w:t>
      </w:r>
      <w:r>
        <w:t xml:space="preserve"> ; </w:t>
      </w:r>
      <w:r>
        <w:t>Jude (personne)</w:t>
      </w:r>
      <w:r>
        <w:t xml:space="preserve"> ; </w:t>
      </w:r>
      <w:r>
        <w:t>Marie n° 1</w:t>
      </w:r>
      <w:r>
        <w:t>.</w:t>
      </w:r>
      <w:r/>
      <w:r/>
    </w:p>
    <w:p>
      <w:r/>
    </w:p>
    <w:p>
      <w:pPr>
        <w:pStyle w:val="Heading2"/>
      </w:pPr>
      <w:r>
        <w:t>Frères jumeaux</w:t>
      </w:r>
      <w:r/>
    </w:p>
    <w:p>
      <w:r/>
      <w:r>
        <w:t>Les fils jumeaux de Zeus dans la mythologie grecque, également connus sous le nom de Castor et Pollux ou les Dioscures. Paul a navigué de Malte à Rome sur un navire qui portait ces frères jumeaux comme figure de proue (</w:t>
      </w:r>
      <w:hyperlink r:id="rId532">
        <w:r>
          <w:rPr>
            <w:color w:val="0000EE"/>
            <w:u w:val="single"/>
          </w:rPr>
          <w:t>Ac 28.11</w:t>
        </w:r>
      </w:hyperlink>
      <w:r>
        <w:t>).</w:t>
      </w:r>
    </w:p>
    <w:p>
      <w:r/>
      <w:r>
        <w:rPr>
          <w:i/>
        </w:rPr>
        <w:t>Voir</w:t>
      </w:r>
      <w:r>
        <w:t xml:space="preserve"> </w:t>
      </w:r>
      <w:r>
        <w:t>Dioscures</w:t>
      </w:r>
      <w:r>
        <w:t>.</w:t>
      </w:r>
      <w:r/>
      <w:r/>
    </w:p>
    <w:p>
      <w:r/>
    </w:p>
    <w:p>
      <w:pPr>
        <w:pStyle w:val="Heading2"/>
      </w:pPr>
      <w:r>
        <w:t>Gad (Personne)</w:t>
      </w:r>
      <w:r/>
    </w:p>
    <w:p>
      <w:pPr>
        <w:pStyle w:val="ListNumber"/>
        <w:spacing w:line="240" w:lineRule="auto"/>
        <w:ind w:left="720"/>
      </w:pPr>
      <w:r/>
      <w:r>
        <w:t>Un des douze fils de Jacob (</w:t>
      </w:r>
      <w:hyperlink r:id="rId5819">
        <w:r>
          <w:rPr>
            <w:color w:val="0000EE"/>
            <w:u w:val="single"/>
          </w:rPr>
          <w:t>Gn 35.26</w:t>
        </w:r>
      </w:hyperlink>
      <w:r>
        <w:t xml:space="preserve"> ; </w:t>
      </w:r>
      <w:hyperlink r:id="rId5820">
        <w:r>
          <w:rPr>
            <w:color w:val="0000EE"/>
            <w:u w:val="single"/>
          </w:rPr>
          <w:t>1Ch 2.2</w:t>
        </w:r>
      </w:hyperlink>
      <w:r>
        <w:t>). Sa mère était Zilpa, qui servait comme servante de Léa, la femme de Jacob. Lors de la naissance de Gad, Léa, tout heureuse, le nommera Gad, ce qui signifie « bonne fortune » (</w:t>
      </w:r>
      <w:hyperlink r:id="rId5821">
        <w:r>
          <w:rPr>
            <w:color w:val="0000EE"/>
            <w:u w:val="single"/>
          </w:rPr>
          <w:t>Gn 30.11</w:t>
        </w:r>
      </w:hyperlink>
      <w:r>
        <w:t>). Plus tard, Gad et sa famille déménageront avec Jacob en Égypte (</w:t>
      </w:r>
      <w:hyperlink r:id="rId3562">
        <w:r>
          <w:rPr>
            <w:color w:val="0000EE"/>
            <w:u w:val="single"/>
          </w:rPr>
          <w:t>Ex 1.4</w:t>
        </w:r>
      </w:hyperlink>
      <w:r>
        <w:t>).</w:t>
      </w:r>
    </w:p>
    <w:p>
      <w:r/>
      <w:r>
        <w:t xml:space="preserve">Avant de mourir, Jacob donnera des bénédictions spéciales à chacun de ses fils. Il dira à Gad que des ennemis attaqueraient souvent son peuple, mais qu'ils riposteraient avec succès et gagneraient (voir </w:t>
      </w:r>
      <w:hyperlink r:id="rId5822">
        <w:r>
          <w:rPr>
            <w:color w:val="0000EE"/>
            <w:u w:val="single"/>
          </w:rPr>
          <w:t>Gn 49.19</w:t>
        </w:r>
      </w:hyperlink>
      <w:r>
        <w:t xml:space="preserve"> et l'article </w:t>
      </w:r>
      <w:r>
        <w:t>Gad, Tribu de</w:t>
      </w:r>
      <w:r>
        <w:t>).</w:t>
      </w:r>
    </w:p>
    <w:p>
      <w:r/>
      <w:r>
        <w:t>Gad avait sept fils (</w:t>
      </w:r>
      <w:hyperlink r:id="rId1262">
        <w:r>
          <w:rPr>
            <w:color w:val="0000EE"/>
            <w:u w:val="single"/>
          </w:rPr>
          <w:t>Gn 46.16</w:t>
        </w:r>
      </w:hyperlink>
      <w:r>
        <w:t>). Ses descendants étaient appelés Gadites (</w:t>
      </w:r>
      <w:hyperlink r:id="rId5823">
        <w:r>
          <w:rPr>
            <w:color w:val="0000EE"/>
            <w:u w:val="single"/>
          </w:rPr>
          <w:t>Dt 3.12, 16</w:t>
        </w:r>
      </w:hyperlink>
      <w:r>
        <w:t>). Ces derniers constitueront l'une des douze tribus d'Israël (</w:t>
      </w:r>
      <w:hyperlink r:id="rId5824">
        <w:r>
          <w:rPr>
            <w:color w:val="0000EE"/>
            <w:u w:val="single"/>
          </w:rPr>
          <w:t>Nb 2.14</w:t>
        </w:r>
      </w:hyperlink>
      <w:r>
        <w:t>).</w:t>
      </w:r>
    </w:p>
    <w:p>
      <w:r/>
      <w:r>
        <w:rPr>
          <w:i/>
        </w:rPr>
        <w:t>Voir aussi</w:t>
      </w:r>
      <w:r>
        <w:t xml:space="preserve"> </w:t>
      </w:r>
      <w:r>
        <w:t>Gad, Tribu de</w:t>
      </w:r>
      <w:r>
        <w:t>.</w:t>
      </w:r>
    </w:p>
    <w:p>
      <w:pPr>
        <w:pStyle w:val="ListNumber"/>
        <w:spacing w:line="240" w:lineRule="auto"/>
        <w:ind w:left="720"/>
      </w:pPr>
      <w:r/>
      <w:r>
        <w:t>Un prophète et voyant qui a exercé pendant le règne de David. Il donnera à David des conseils de Dieu sur où aller et que faire. Lorsque David se cachait de ses ennemis, Gad lui dira de quitter la ville de Mitspé en Moab et de retourner au pays de Juda (</w:t>
      </w:r>
      <w:hyperlink r:id="rId5825">
        <w:r>
          <w:rPr>
            <w:color w:val="0000EE"/>
            <w:u w:val="single"/>
          </w:rPr>
          <w:t>1S 22.5</w:t>
        </w:r>
      </w:hyperlink>
      <w:r>
        <w:t>). Plus tard, lorsque David comptera ses soldats contre la volonté de Dieu, c'est Gad qui lui parlera de sa punition de la part de Dieu (</w:t>
      </w:r>
      <w:hyperlink r:id="rId5826">
        <w:r>
          <w:rPr>
            <w:color w:val="0000EE"/>
            <w:u w:val="single"/>
          </w:rPr>
          <w:t>2S 24.11–14, 18–19</w:t>
        </w:r>
      </w:hyperlink>
      <w:r>
        <w:t xml:space="preserve"> ; </w:t>
      </w:r>
      <w:hyperlink r:id="rId5827">
        <w:r>
          <w:rPr>
            <w:color w:val="0000EE"/>
            <w:u w:val="single"/>
          </w:rPr>
          <w:t>1Ch 21.9–19</w:t>
        </w:r>
      </w:hyperlink>
      <w:r>
        <w:t>).</w:t>
      </w:r>
    </w:p>
    <w:p>
      <w:r/>
      <w:r>
        <w:t>Gad aidera également David et un autre prophète nommé Nathan à organiser la manière dont les gens adoreraient Dieu dans le temple (</w:t>
      </w:r>
      <w:hyperlink r:id="rId5828">
        <w:r>
          <w:rPr>
            <w:color w:val="0000EE"/>
            <w:u w:val="single"/>
          </w:rPr>
          <w:t>2Ch 29.25</w:t>
        </w:r>
      </w:hyperlink>
      <w:r>
        <w:t>). Il consignera par écrit les événements de la vie de David pour les générations futures (</w:t>
      </w:r>
      <w:hyperlink r:id="rId5829">
        <w:r>
          <w:rPr>
            <w:color w:val="0000EE"/>
            <w:u w:val="single"/>
          </w:rPr>
          <w:t>1Ch 29.29</w:t>
        </w:r>
      </w:hyperlink>
      <w:r>
        <w:t>).</w:t>
      </w:r>
      <w:r/>
      <w:r/>
    </w:p>
    <w:p>
      <w:r/>
    </w:p>
    <w:p>
      <w:pPr>
        <w:pStyle w:val="Heading2"/>
      </w:pPr>
      <w:r>
        <w:t>Gad, Tribu de</w:t>
      </w:r>
      <w:r/>
    </w:p>
    <w:p>
      <w:pPr>
        <w:pStyle w:val="Heading3"/>
      </w:pPr>
      <w:r>
        <w:t>Les Origines de la tribu de Gad</w:t>
      </w:r>
    </w:p>
    <w:p>
      <w:r/>
      <w:r>
        <w:t>La tribu israélite descendait du septième fils de Jacob, Gad (</w:t>
      </w:r>
      <w:hyperlink r:id="rId5821">
        <w:r>
          <w:rPr>
            <w:color w:val="0000EE"/>
            <w:u w:val="single"/>
          </w:rPr>
          <w:t>Gn 30.11</w:t>
        </w:r>
      </w:hyperlink>
      <w:r>
        <w:t xml:space="preserve"> ; </w:t>
      </w:r>
      <w:hyperlink r:id="rId5830">
        <w:r>
          <w:rPr>
            <w:color w:val="0000EE"/>
            <w:u w:val="single"/>
          </w:rPr>
          <w:t>Nb 1.24–25</w:t>
        </w:r>
      </w:hyperlink>
      <w:r>
        <w:t>). C'était la huitième plus grande tribu parmi celles qui ont quitté l'Égypte avec Moïse, selon le nombre de guerriers comptés (</w:t>
      </w:r>
      <w:hyperlink r:id="rId3708">
        <w:r>
          <w:rPr>
            <w:color w:val="0000EE"/>
            <w:u w:val="single"/>
          </w:rPr>
          <w:t>Nb 1.1–3, 24–25</w:t>
        </w:r>
      </w:hyperlink>
      <w:r>
        <w:t>). La tribu était connue pour l'élevage de bétail et avait la réputation d'être féroce au combat (</w:t>
      </w:r>
      <w:hyperlink r:id="rId469">
        <w:r>
          <w:rPr>
            <w:color w:val="0000EE"/>
            <w:u w:val="single"/>
          </w:rPr>
          <w:t>Nb 32.1</w:t>
        </w:r>
      </w:hyperlink>
      <w:r>
        <w:t xml:space="preserve"> ; </w:t>
      </w:r>
      <w:hyperlink r:id="rId5831">
        <w:r>
          <w:rPr>
            <w:color w:val="0000EE"/>
            <w:u w:val="single"/>
          </w:rPr>
          <w:t>Dt 33.20</w:t>
        </w:r>
      </w:hyperlink>
      <w:r>
        <w:t>).</w:t>
      </w:r>
    </w:p>
    <w:p>
      <w:r/>
      <w:r>
        <w:t>Pendant la période du désert, la tribu de Gad était dirigée par Éliasaph, fils de Déuel (</w:t>
      </w:r>
      <w:hyperlink r:id="rId5832">
        <w:r>
          <w:rPr>
            <w:color w:val="0000EE"/>
            <w:u w:val="single"/>
          </w:rPr>
          <w:t>Nb 1.14</w:t>
        </w:r>
      </w:hyperlink>
      <w:r>
        <w:t xml:space="preserve"> ; </w:t>
      </w:r>
      <w:hyperlink r:id="rId5824">
        <w:r>
          <w:rPr>
            <w:color w:val="0000EE"/>
            <w:u w:val="single"/>
          </w:rPr>
          <w:t>2.14</w:t>
        </w:r>
      </w:hyperlink>
      <w:r>
        <w:t xml:space="preserve"> ; </w:t>
      </w:r>
      <w:hyperlink r:id="rId5833">
        <w:r>
          <w:rPr>
            <w:color w:val="0000EE"/>
            <w:u w:val="single"/>
          </w:rPr>
          <w:t>7.42</w:t>
        </w:r>
      </w:hyperlink>
      <w:r>
        <w:t xml:space="preserve"> ; </w:t>
      </w:r>
      <w:hyperlink r:id="rId5834">
        <w:r>
          <w:rPr>
            <w:color w:val="0000EE"/>
            <w:u w:val="single"/>
          </w:rPr>
          <w:t>10.20</w:t>
        </w:r>
      </w:hyperlink>
      <w:r>
        <w:t>). Lorsque les Israélites campaient, Gad était positionnée au sud du tabernacle, derrière les tribus de Ruben et de Siméon (</w:t>
      </w:r>
      <w:hyperlink r:id="rId5835">
        <w:r>
          <w:rPr>
            <w:color w:val="0000EE"/>
            <w:u w:val="single"/>
          </w:rPr>
          <w:t>Nb 2.14–15</w:t>
        </w:r>
      </w:hyperlink>
      <w:r>
        <w:t>). La tribu est mentionnée lors de l'offrande tribale au tabernacle et après l'épidémie que Dieu a infligée à Israël (</w:t>
      </w:r>
      <w:hyperlink r:id="rId5836">
        <w:r>
          <w:rPr>
            <w:color w:val="0000EE"/>
            <w:u w:val="single"/>
          </w:rPr>
          <w:t>Nb 7.42–47</w:t>
        </w:r>
      </w:hyperlink>
      <w:r>
        <w:t xml:space="preserve"> ; </w:t>
      </w:r>
      <w:hyperlink r:id="rId5837">
        <w:r>
          <w:rPr>
            <w:color w:val="0000EE"/>
            <w:u w:val="single"/>
          </w:rPr>
          <w:t>26.15, 18</w:t>
        </w:r>
      </w:hyperlink>
      <w:r>
        <w:t>). Guéuel, fils de Maki, représentait la tribu de Gad comme l'un des douze espions envoyés par Moïse pour explorer le pays de Canaan (</w:t>
      </w:r>
      <w:hyperlink r:id="rId5838">
        <w:r>
          <w:rPr>
            <w:color w:val="0000EE"/>
            <w:u w:val="single"/>
          </w:rPr>
          <w:t>Nb 13.15</w:t>
        </w:r>
      </w:hyperlink>
      <w:r>
        <w:t>).</w:t>
      </w:r>
    </w:p>
    <w:p>
      <w:pPr>
        <w:pStyle w:val="Heading3"/>
      </w:pPr>
      <w:r>
        <w:t>Le Territoire de la tribu de Gad</w:t>
      </w:r>
    </w:p>
    <w:p>
      <w:r/>
      <w:r>
        <w:t>Alors que les Israélites approchaient de la terre promise, les tribus de Gad, de Ruben et la demi-tribu de Manassé demanderont à vivre à l'est du Jourdain. La terre y était bien adaptée pour leur bétail (</w:t>
      </w:r>
      <w:hyperlink r:id="rId5839">
        <w:r>
          <w:rPr>
            <w:color w:val="0000EE"/>
            <w:u w:val="single"/>
          </w:rPr>
          <w:t>Nb 32.1–2</w:t>
        </w:r>
      </w:hyperlink>
      <w:r>
        <w:t>). Moïse accèdera à cette demande à condition qu'ils participent à la conquête de Canaan (</w:t>
      </w:r>
      <w:hyperlink r:id="rId5840">
        <w:r>
          <w:rPr>
            <w:color w:val="0000EE"/>
            <w:u w:val="single"/>
          </w:rPr>
          <w:t>Nb 32.20–22</w:t>
        </w:r>
      </w:hyperlink>
      <w:r>
        <w:t xml:space="preserve"> ; </w:t>
      </w:r>
      <w:hyperlink r:id="rId5841">
        <w:r>
          <w:rPr>
            <w:color w:val="0000EE"/>
            <w:u w:val="single"/>
          </w:rPr>
          <w:t>Jos 1.12–18</w:t>
        </w:r>
      </w:hyperlink>
      <w:r>
        <w:t>). Pendant la conquête sous Josué, la tribu de Gad est mentionnée spécifiquement lors de la bataille de Jéricho (</w:t>
      </w:r>
      <w:hyperlink r:id="rId5842">
        <w:r>
          <w:rPr>
            <w:color w:val="0000EE"/>
            <w:u w:val="single"/>
          </w:rPr>
          <w:t>Jos 4.12</w:t>
        </w:r>
      </w:hyperlink>
      <w:r>
        <w:t xml:space="preserve">). Après la conquête, Gad, avec Ruben et la demi-tribu de Manassé, s'installera dans leur terre à l'est du Jourdain (voir </w:t>
      </w:r>
      <w:hyperlink r:id="rId5843">
        <w:r>
          <w:rPr>
            <w:color w:val="0000EE"/>
            <w:u w:val="single"/>
          </w:rPr>
          <w:t>Nb 34.13–14</w:t>
        </w:r>
      </w:hyperlink>
      <w:r>
        <w:t xml:space="preserve"> ; </w:t>
      </w:r>
      <w:hyperlink r:id="rId5844">
        <w:r>
          <w:rPr>
            <w:color w:val="0000EE"/>
            <w:u w:val="single"/>
          </w:rPr>
          <w:t>Jos 12.6</w:t>
        </w:r>
      </w:hyperlink>
      <w:r>
        <w:t xml:space="preserve"> ; </w:t>
      </w:r>
      <w:hyperlink r:id="rId5845">
        <w:r>
          <w:rPr>
            <w:color w:val="0000EE"/>
            <w:u w:val="single"/>
          </w:rPr>
          <w:t>13.8</w:t>
        </w:r>
      </w:hyperlink>
      <w:r>
        <w:t>).</w:t>
      </w:r>
    </w:p>
    <w:p>
      <w:r/>
      <w:r>
        <w:t>L'héritage de Gad se situait entre la demi-tribu de Manassé au nord et la tribu de Ruben au sud. Sa frontière orientale était le désert d'Arabie, et sa frontière occidentale était le Jourdain. La région n'avait pas de frontières clairement définies entre les deux tribus et demie. La zone était communément appelée Galaad et Basan (</w:t>
      </w:r>
      <w:hyperlink r:id="rId1711">
        <w:r>
          <w:rPr>
            <w:color w:val="0000EE"/>
            <w:u w:val="single"/>
          </w:rPr>
          <w:t>2R 10.33</w:t>
        </w:r>
      </w:hyperlink>
      <w:r>
        <w:t>). Le territoire de Gad s'étendait au nord jusqu'à la mer de Kinnéreth (Galilée) et au sud jusqu'aux villes d'Aroër et Hesbon, avec le torrent de Jabbok comme frontière orientale dans les montagnes (</w:t>
      </w:r>
      <w:hyperlink r:id="rId5846">
        <w:r>
          <w:rPr>
            <w:color w:val="0000EE"/>
            <w:u w:val="single"/>
          </w:rPr>
          <w:t>Dt 3.12–13</w:t>
        </w:r>
      </w:hyperlink>
      <w:r>
        <w:t xml:space="preserve"> ; </w:t>
      </w:r>
      <w:hyperlink r:id="rId5847">
        <w:r>
          <w:rPr>
            <w:color w:val="0000EE"/>
            <w:u w:val="single"/>
          </w:rPr>
          <w:t>Jos 12.1–6</w:t>
        </w:r>
      </w:hyperlink>
      <w:r>
        <w:t xml:space="preserve"> ; </w:t>
      </w:r>
      <w:hyperlink r:id="rId5848">
        <w:r>
          <w:rPr>
            <w:color w:val="0000EE"/>
            <w:u w:val="single"/>
          </w:rPr>
          <w:t>13.24–28</w:t>
        </w:r>
      </w:hyperlink>
      <w:r>
        <w:t>).</w:t>
      </w:r>
    </w:p>
    <w:p>
      <w:pPr>
        <w:pStyle w:val="Heading3"/>
      </w:pPr>
      <w:r>
        <w:t>Interactions de Gad avec les autres tribus</w:t>
      </w:r>
    </w:p>
    <w:p>
      <w:r/>
      <w:r>
        <w:t>L'histoire de Gad, depuis son établissement jusqu'à la captivité babylonienne, était étroitement liée aux tribus de Ruben et de Manassé. Peu après s'être installées dans leur terre, ces tribus ont failli provoquer une guerre civile en construisant un grand autel (</w:t>
      </w:r>
      <w:hyperlink r:id="rId717">
        <w:r>
          <w:rPr>
            <w:color w:val="0000EE"/>
            <w:u w:val="single"/>
          </w:rPr>
          <w:t>Jos 22.10–34</w:t>
        </w:r>
      </w:hyperlink>
      <w:r>
        <w:t>). À l'époque des juges, les Gadites, ainsi que d'autres habitants de Galaad, ont été menacés par les Ammonites jusqu'à ce qu'ils soient vaincus par Jephté (Jg 11). Certains membres de la tribu de Gad ont rejoint David à Tsiklag pendant son exil (</w:t>
      </w:r>
      <w:hyperlink r:id="rId5849">
        <w:r>
          <w:rPr>
            <w:color w:val="0000EE"/>
            <w:u w:val="single"/>
          </w:rPr>
          <w:t>1Ch 12.14, 37</w:t>
        </w:r>
      </w:hyperlink>
      <w:r>
        <w:t>). Dans la 14e année du règne de David, Gad et les autres deux tribus et demie ont été organisés sous un superviseur nommé Jerija (</w:t>
      </w:r>
      <w:hyperlink r:id="rId5850">
        <w:r>
          <w:rPr>
            <w:color w:val="0000EE"/>
            <w:u w:val="single"/>
          </w:rPr>
          <w:t>1Ch 26.30–32</w:t>
        </w:r>
      </w:hyperlink>
      <w:r>
        <w:t>).</w:t>
      </w:r>
    </w:p>
    <w:p>
      <w:pPr>
        <w:pStyle w:val="Heading3"/>
      </w:pPr>
      <w:r>
        <w:t>Histoire postérieure</w:t>
      </w:r>
    </w:p>
    <w:p>
      <w:r/>
      <w:r>
        <w:t>Pendant l'époque du royaume divisé, les tribus à l'est du Jourdain étaient fréquemment attaquées. Sous le règne de Jéhu, de 841 à 814 av. J.‑C., le roi araméen Hazaël prendra le contrôle de tout le territoire à l'est du Jourdain, y compris le territoire de Gad. Plus tard, les Gadites seront emmenés en captivité par Tiglath-Piléser, roi d'Assyrie (</w:t>
      </w:r>
      <w:hyperlink r:id="rId1712">
        <w:r>
          <w:rPr>
            <w:color w:val="0000EE"/>
            <w:u w:val="single"/>
          </w:rPr>
          <w:t>2R 15.29</w:t>
        </w:r>
      </w:hyperlink>
      <w:r>
        <w:t xml:space="preserve"> ; </w:t>
      </w:r>
      <w:hyperlink r:id="rId5851">
        <w:r>
          <w:rPr>
            <w:color w:val="0000EE"/>
            <w:u w:val="single"/>
          </w:rPr>
          <w:t>1Ch 5.26–27</w:t>
        </w:r>
      </w:hyperlink>
      <w:r>
        <w:t>). Par la suite, les Ammonites occuperont le territoire de Gad (</w:t>
      </w:r>
      <w:hyperlink r:id="rId5852">
        <w:r>
          <w:rPr>
            <w:color w:val="0000EE"/>
            <w:u w:val="single"/>
          </w:rPr>
          <w:t>Jr 49.1</w:t>
        </w:r>
      </w:hyperlink>
      <w:r>
        <w:t>).</w:t>
      </w:r>
    </w:p>
    <w:p>
      <w:r/>
      <w:r>
        <w:t>Après l'exil à Babylone, Gad n'est mentionné qu'une fois, dans la vision d'Ézéchiel de la restauration d'Israël (</w:t>
      </w:r>
      <w:hyperlink r:id="rId5853">
        <w:r>
          <w:rPr>
            <w:color w:val="0000EE"/>
            <w:u w:val="single"/>
          </w:rPr>
          <w:t>Ez 48.1, 27–28, 34</w:t>
        </w:r>
      </w:hyperlink>
      <w:r>
        <w:t>). Dans le Nouveau Testament, la tribu de Gad est répertoriée parmi les tribus scellées par Dieu dans le livre de l'Apocalypse (</w:t>
      </w:r>
      <w:hyperlink r:id="rId5854">
        <w:r>
          <w:rPr>
            <w:color w:val="0000EE"/>
            <w:u w:val="single"/>
          </w:rPr>
          <w:t>Ap 7.5</w:t>
        </w:r>
      </w:hyperlink>
      <w:r>
        <w:t>).</w:t>
      </w:r>
    </w:p>
    <w:p>
      <w:r/>
      <w:r>
        <w:rPr>
          <w:i/>
        </w:rPr>
        <w:t>Voir aussi</w:t>
      </w:r>
      <w:r>
        <w:t xml:space="preserve"> </w:t>
      </w:r>
      <w:r>
        <w:t>Israël, Histoire d'</w:t>
      </w:r>
      <w:r>
        <w:t xml:space="preserve"> ; </w:t>
      </w:r>
      <w:r>
        <w:t>Gad (Personne) n° 1</w:t>
      </w:r>
      <w:r>
        <w:t>.</w:t>
      </w:r>
      <w:r/>
      <w:r/>
    </w:p>
    <w:p>
      <w:r/>
    </w:p>
    <w:p>
      <w:pPr>
        <w:pStyle w:val="Heading2"/>
      </w:pPr>
      <w:r>
        <w:t>Gaetham</w:t>
      </w:r>
      <w:r/>
    </w:p>
    <w:p>
      <w:r/>
      <w:r>
        <w:t>Petit-fils d'Ésaü et quatrième fils d'Éliphaz, un des chefs édomites (</w:t>
      </w:r>
      <w:hyperlink r:id="rId5855">
        <w:r>
          <w:rPr>
            <w:color w:val="0000EE"/>
            <w:u w:val="single"/>
          </w:rPr>
          <w:t>Gn 36.11, 16</w:t>
        </w:r>
      </w:hyperlink>
      <w:r>
        <w:t xml:space="preserve"> ; </w:t>
      </w:r>
      <w:hyperlink r:id="rId597">
        <w:r>
          <w:rPr>
            <w:color w:val="0000EE"/>
            <w:u w:val="single"/>
          </w:rPr>
          <w:t>1Ch 1.36</w:t>
        </w:r>
      </w:hyperlink>
      <w:r>
        <w:t>).</w:t>
      </w:r>
      <w:r/>
      <w:r/>
    </w:p>
    <w:p>
      <w:r/>
    </w:p>
    <w:p>
      <w:pPr>
        <w:pStyle w:val="Heading2"/>
      </w:pPr>
      <w:r>
        <w:t>Gaham</w:t>
      </w:r>
      <w:r/>
    </w:p>
    <w:p>
      <w:r/>
      <w:r>
        <w:t>Fils de Nachor, frère d'Abraham, et de sa concubine Réuma (</w:t>
      </w:r>
      <w:hyperlink r:id="rId3035">
        <w:r>
          <w:rPr>
            <w:color w:val="0000EE"/>
            <w:u w:val="single"/>
          </w:rPr>
          <w:t>Gn 22.24</w:t>
        </w:r>
      </w:hyperlink>
      <w:r>
        <w:t>).</w:t>
      </w:r>
      <w:r/>
      <w:r/>
    </w:p>
    <w:p>
      <w:r/>
    </w:p>
    <w:p>
      <w:pPr>
        <w:pStyle w:val="Heading2"/>
      </w:pPr>
      <w:r>
        <w:t>Gaïus</w:t>
      </w:r>
      <w:r/>
    </w:p>
    <w:p>
      <w:pPr>
        <w:pStyle w:val="ListNumber"/>
        <w:spacing w:line="240" w:lineRule="auto"/>
        <w:ind w:left="720"/>
      </w:pPr>
      <w:r/>
      <w:r>
        <w:t>Homme de Macédoine qui a voyagé avec l'apôtre Paul lors du troisième voyage missionnaire de l'apôtre. Des émeutiers ont saisi Gaïus et Aristarque à Éphèse. C'est Démétrius, l'orfèvre, qui a déclenché l'émeute (</w:t>
      </w:r>
      <w:hyperlink r:id="rId1301">
        <w:r>
          <w:rPr>
            <w:color w:val="0000EE"/>
            <w:u w:val="single"/>
          </w:rPr>
          <w:t>Ac 19.29</w:t>
        </w:r>
      </w:hyperlink>
      <w:r>
        <w:t>).</w:t>
      </w:r>
    </w:p>
    <w:p>
      <w:pPr>
        <w:pStyle w:val="ListNumber"/>
        <w:spacing w:line="240" w:lineRule="auto"/>
        <w:ind w:left="720"/>
      </w:pPr>
      <w:r/>
      <w:r>
        <w:t>Homme de Derbe, en Lycaonie (une région de la Turquie actuelle). Il a voyagé avec l'apôtre Paul d'Éphèse à Macédoine (</w:t>
      </w:r>
      <w:hyperlink r:id="rId1302">
        <w:r>
          <w:rPr>
            <w:color w:val="0000EE"/>
            <w:u w:val="single"/>
          </w:rPr>
          <w:t>Ac 20.4</w:t>
        </w:r>
      </w:hyperlink>
      <w:r>
        <w:t>). Certains l'ont identifié avec n° 1 ci-dessus.</w:t>
      </w:r>
    </w:p>
    <w:p>
      <w:pPr>
        <w:pStyle w:val="ListNumber"/>
        <w:spacing w:line="240" w:lineRule="auto"/>
        <w:ind w:left="720"/>
      </w:pPr>
      <w:r/>
      <w:r>
        <w:t>Chrétien important à Corinthe. Il y a accueilli Paul et toute l'Église (</w:t>
      </w:r>
      <w:hyperlink r:id="rId2373">
        <w:r>
          <w:rPr>
            <w:color w:val="0000EE"/>
            <w:u w:val="single"/>
          </w:rPr>
          <w:t>Rm 16.23</w:t>
        </w:r>
      </w:hyperlink>
      <w:r>
        <w:t xml:space="preserve">). Paul a écrit la lettre aux Romains à Corinthe. Ainsi, le Gaïus mentionné dans </w:t>
      </w:r>
      <w:hyperlink r:id="rId3502">
        <w:r>
          <w:rPr>
            <w:color w:val="0000EE"/>
            <w:u w:val="single"/>
          </w:rPr>
          <w:t>1 Corinthiens 1.14</w:t>
        </w:r>
      </w:hyperlink>
      <w:r>
        <w:t xml:space="preserve"> est probablement la même personne. Si c'est le cas, c'est Paul qui l'a baptisé.</w:t>
      </w:r>
    </w:p>
    <w:p>
      <w:pPr>
        <w:pStyle w:val="ListNumber"/>
        <w:spacing w:line="240" w:lineRule="auto"/>
        <w:ind w:left="720"/>
      </w:pPr>
      <w:r/>
      <w:r>
        <w:t>Destinataire de la troisième lettre de l'apôtre Jean (</w:t>
      </w:r>
      <w:hyperlink r:id="rId5856">
        <w:r>
          <w:rPr>
            <w:color w:val="0000EE"/>
            <w:u w:val="single"/>
          </w:rPr>
          <w:t>3Jn 1.1</w:t>
        </w:r>
      </w:hyperlink>
      <w:r>
        <w:t>).</w:t>
      </w:r>
      <w:r/>
      <w:r/>
    </w:p>
    <w:p>
      <w:r/>
    </w:p>
    <w:p>
      <w:pPr>
        <w:pStyle w:val="Heading2"/>
      </w:pPr>
      <w:r>
        <w:t>Galaad (Lieu)</w:t>
      </w:r>
      <w:r/>
    </w:p>
    <w:p>
      <w:pPr>
        <w:pStyle w:val="ListNumber"/>
        <w:spacing w:line="240" w:lineRule="auto"/>
        <w:ind w:left="720"/>
      </w:pPr>
      <w:r/>
      <w:r>
        <w:t>Région à l'est du Jourdain. Elle est souvent désignée comme la terre où vivaient les tribus israélites de ce côté du fleuve (</w:t>
      </w:r>
      <w:hyperlink r:id="rId5857">
        <w:r>
          <w:rPr>
            <w:color w:val="0000EE"/>
            <w:u w:val="single"/>
          </w:rPr>
          <w:t>Jg 20.1</w:t>
        </w:r>
      </w:hyperlink>
      <w:r>
        <w:t xml:space="preserve"> ; </w:t>
      </w:r>
      <w:hyperlink r:id="rId1711">
        <w:r>
          <w:rPr>
            <w:color w:val="0000EE"/>
            <w:u w:val="single"/>
          </w:rPr>
          <w:t>2R 10.33</w:t>
        </w:r>
      </w:hyperlink>
      <w:r>
        <w:t xml:space="preserve"> ; </w:t>
      </w:r>
      <w:hyperlink r:id="rId5858">
        <w:r>
          <w:rPr>
            <w:color w:val="0000EE"/>
            <w:u w:val="single"/>
          </w:rPr>
          <w:t>Jr 50.19</w:t>
        </w:r>
      </w:hyperlink>
      <w:r>
        <w:t xml:space="preserve"> ; </w:t>
      </w:r>
      <w:hyperlink r:id="rId5859">
        <w:r>
          <w:rPr>
            <w:color w:val="0000EE"/>
            <w:u w:val="single"/>
          </w:rPr>
          <w:t>Za 10.10</w:t>
        </w:r>
      </w:hyperlink>
      <w:r>
        <w:t>). Plus précisément, il s'agit de la zone entre le fleuve Yarmuk au nord et le fleuve Arnon au sud. Le fleuve Jabbok la traversait en son milieu.</w:t>
      </w:r>
    </w:p>
    <w:p>
      <w:r/>
      <w:r>
        <w:t xml:space="preserve">Certaines personnes appellent les hautes terres de Galaad le « Dôme de Galaad ». Cette région fait partie du pays montagneux qui s'étend au nord de Juda. Elle s'élève à près de 1 000 m au-dessus de la vallée du Jourdain. De nombreuses rivières et ruisseaux traversent Galaad. Pour cette raison, la terre plate était propice à l'agriculture. On y cultivaient des oliviers, des vignes et des céréales (voir </w:t>
      </w:r>
      <w:hyperlink r:id="rId5860">
        <w:r>
          <w:rPr>
            <w:color w:val="0000EE"/>
            <w:u w:val="single"/>
          </w:rPr>
          <w:t>Jr 8.22</w:t>
        </w:r>
      </w:hyperlink>
      <w:r>
        <w:t xml:space="preserve"> ; </w:t>
      </w:r>
      <w:hyperlink r:id="rId5861">
        <w:r>
          <w:rPr>
            <w:color w:val="0000EE"/>
            <w:u w:val="single"/>
          </w:rPr>
          <w:t>46.11</w:t>
        </w:r>
      </w:hyperlink>
      <w:r>
        <w:t xml:space="preserve"> ; </w:t>
      </w:r>
      <w:hyperlink r:id="rId5862">
        <w:r>
          <w:rPr>
            <w:color w:val="0000EE"/>
            <w:u w:val="single"/>
          </w:rPr>
          <w:t>Os 2.8</w:t>
        </w:r>
      </w:hyperlink>
      <w:r>
        <w:t>). Les collines de Galaad étaient escarpées et couvertes d'arbres. Certains auteurs les ont comparées aux forêts du Liban (</w:t>
      </w:r>
      <w:hyperlink r:id="rId5863">
        <w:r>
          <w:rPr>
            <w:color w:val="0000EE"/>
            <w:u w:val="single"/>
          </w:rPr>
          <w:t>Jr 22.6</w:t>
        </w:r>
      </w:hyperlink>
      <w:r>
        <w:t xml:space="preserve"> ; </w:t>
      </w:r>
      <w:hyperlink r:id="rId5859">
        <w:r>
          <w:rPr>
            <w:color w:val="0000EE"/>
            <w:u w:val="single"/>
          </w:rPr>
          <w:t>Za 10.10</w:t>
        </w:r>
      </w:hyperlink>
      <w:r>
        <w:t xml:space="preserve">). Ces collines offraient un refuge aux personnes fuyant le danger. Le terrain accidenté rendait difficile la poursuite par les ennemis (voir </w:t>
      </w:r>
      <w:hyperlink r:id="rId5864">
        <w:r>
          <w:rPr>
            <w:color w:val="0000EE"/>
            <w:u w:val="single"/>
          </w:rPr>
          <w:t>Gn 31.21</w:t>
        </w:r>
      </w:hyperlink>
      <w:r>
        <w:t xml:space="preserve"> ; </w:t>
      </w:r>
      <w:hyperlink r:id="rId5865">
        <w:r>
          <w:rPr>
            <w:color w:val="0000EE"/>
            <w:u w:val="single"/>
          </w:rPr>
          <w:t>1S 13.7</w:t>
        </w:r>
      </w:hyperlink>
      <w:r>
        <w:t>).</w:t>
      </w:r>
    </w:p>
    <w:p>
      <w:r/>
      <w:r>
        <w:t>Au début, Dieu donnera la région de Galaad aux tribus de Ruben, de Gad et de Manassé (</w:t>
      </w:r>
      <w:hyperlink r:id="rId714">
        <w:r>
          <w:rPr>
            <w:color w:val="0000EE"/>
            <w:u w:val="single"/>
          </w:rPr>
          <w:t>Nb 32</w:t>
        </w:r>
      </w:hyperlink>
      <w:r>
        <w:t>).</w:t>
      </w:r>
    </w:p>
    <w:p>
      <w:r/>
      <w:r>
        <w:t>À l'époque des juges, les Madianites et les Amalécites attaqueront Galaad. Mais Gédéon conduira les Israélites à la victoire (</w:t>
      </w:r>
      <w:hyperlink r:id="rId5866">
        <w:r>
          <w:rPr>
            <w:color w:val="0000EE"/>
            <w:u w:val="single"/>
          </w:rPr>
          <w:t>Jg 6–7</w:t>
        </w:r>
      </w:hyperlink>
      <w:r>
        <w:t xml:space="preserve">). Environ 50 ans plus tard, le peuple demandera à Jephté de revenir d'exil et de les aider. Il délivrera Galaad des Ammonites (chap. </w:t>
      </w:r>
      <w:hyperlink r:id="rId5867">
        <w:r>
          <w:rPr>
            <w:color w:val="0000EE"/>
            <w:u w:val="single"/>
          </w:rPr>
          <w:t>10–11</w:t>
        </w:r>
      </w:hyperlink>
      <w:r>
        <w:t>).</w:t>
      </w:r>
    </w:p>
    <w:p>
      <w:r/>
      <w:r>
        <w:t>À l'époque du roi Saül, ce dernier sauvera Jabès en Galaad des Ammonites (</w:t>
      </w:r>
      <w:hyperlink r:id="rId724">
        <w:r>
          <w:rPr>
            <w:color w:val="0000EE"/>
            <w:u w:val="single"/>
          </w:rPr>
          <w:t>1S 11.1–11</w:t>
        </w:r>
      </w:hyperlink>
      <w:r>
        <w:t xml:space="preserve"> ; </w:t>
      </w:r>
      <w:hyperlink r:id="rId5868">
        <w:r>
          <w:rPr>
            <w:color w:val="0000EE"/>
            <w:u w:val="single"/>
          </w:rPr>
          <w:t>31.8–13</w:t>
        </w:r>
      </w:hyperlink>
      <w:r>
        <w:t xml:space="preserve"> ; </w:t>
      </w:r>
      <w:hyperlink r:id="rId5869">
        <w:r>
          <w:rPr>
            <w:color w:val="0000EE"/>
            <w:u w:val="single"/>
          </w:rPr>
          <w:t>2S 2.1–7</w:t>
        </w:r>
      </w:hyperlink>
      <w:r>
        <w:t>). Plus tard, le commandant de Saül, Abner, fera d'Ish-bosheth le roi en Galaad pour s'opposer à David (</w:t>
      </w:r>
      <w:hyperlink r:id="rId5870">
        <w:r>
          <w:rPr>
            <w:color w:val="0000EE"/>
            <w:u w:val="single"/>
          </w:rPr>
          <w:t>2S 2.8–9</w:t>
        </w:r>
      </w:hyperlink>
      <w:r>
        <w:t>). David vaincra les Ammonites et prendra le contrôle de Galaad (</w:t>
      </w:r>
      <w:hyperlink r:id="rId725">
        <w:r>
          <w:rPr>
            <w:color w:val="0000EE"/>
            <w:u w:val="single"/>
          </w:rPr>
          <w:t>8.11–12</w:t>
        </w:r>
      </w:hyperlink>
      <w:r>
        <w:t xml:space="preserve"> ; </w:t>
      </w:r>
      <w:hyperlink r:id="rId5871">
        <w:r>
          <w:rPr>
            <w:color w:val="0000EE"/>
            <w:u w:val="single"/>
          </w:rPr>
          <w:t>10.1–19</w:t>
        </w:r>
      </w:hyperlink>
      <w:r>
        <w:t xml:space="preserve">). Lors de la rébellion d'Absalom, il s'enfuira à Galaad pour y trouver refuge (chap. </w:t>
      </w:r>
      <w:hyperlink r:id="rId5872">
        <w:r>
          <w:rPr>
            <w:color w:val="0000EE"/>
            <w:u w:val="single"/>
          </w:rPr>
          <w:t>15–17</w:t>
        </w:r>
      </w:hyperlink>
      <w:r>
        <w:t xml:space="preserve">). Après la mort d'Absalom dans la forêt d'Éphraïm, David retournera à Jérusalem en tant que roi (chap. </w:t>
      </w:r>
      <w:hyperlink r:id="rId5873">
        <w:r>
          <w:rPr>
            <w:color w:val="0000EE"/>
            <w:u w:val="single"/>
          </w:rPr>
          <w:t>18–19</w:t>
        </w:r>
      </w:hyperlink>
      <w:r>
        <w:t>).</w:t>
      </w:r>
    </w:p>
    <w:p>
      <w:r/>
      <w:r>
        <w:t xml:space="preserve">Plus tard, pendant la période du royaume divisé, Galaad deveindra un théâtre de guerre. D'abord, les Israélites s'y battront contre les Syriens (également appelés Araméens, voir </w:t>
      </w:r>
      <w:hyperlink r:id="rId5874">
        <w:r>
          <w:rPr>
            <w:color w:val="0000EE"/>
            <w:u w:val="single"/>
          </w:rPr>
          <w:t>1R 20.23–43</w:t>
        </w:r>
      </w:hyperlink>
      <w:r>
        <w:t xml:space="preserve"> ; </w:t>
      </w:r>
      <w:hyperlink r:id="rId5875">
        <w:r>
          <w:rPr>
            <w:color w:val="0000EE"/>
            <w:u w:val="single"/>
          </w:rPr>
          <w:t>22.1–4, 29–40</w:t>
        </w:r>
      </w:hyperlink>
      <w:r>
        <w:t xml:space="preserve"> ; </w:t>
      </w:r>
      <w:hyperlink r:id="rId5876">
        <w:r>
          <w:rPr>
            <w:color w:val="0000EE"/>
            <w:u w:val="single"/>
          </w:rPr>
          <w:t>2R 13.22</w:t>
        </w:r>
      </w:hyperlink>
      <w:r>
        <w:t xml:space="preserve"> ; </w:t>
      </w:r>
      <w:hyperlink r:id="rId812">
        <w:r>
          <w:rPr>
            <w:color w:val="0000EE"/>
            <w:u w:val="single"/>
          </w:rPr>
          <w:t>Am 1.3</w:t>
        </w:r>
      </w:hyperlink>
      <w:r>
        <w:t>). Puis viendra l'invasion des Assyriens. En 733 av. J.‑C., ils prendront Galaad au roi Pékach et enverront le peuple en exil (</w:t>
      </w:r>
      <w:hyperlink r:id="rId5877">
        <w:r>
          <w:rPr>
            <w:color w:val="0000EE"/>
            <w:u w:val="single"/>
          </w:rPr>
          <w:t>2R 15.27–31</w:t>
        </w:r>
      </w:hyperlink>
      <w:r>
        <w:t>). Cela mettra fin au lien de Galaad avec le royaume du nord d'Israël.</w:t>
      </w:r>
    </w:p>
    <w:p>
      <w:pPr>
        <w:pStyle w:val="ListNumber"/>
        <w:spacing w:line="240" w:lineRule="auto"/>
        <w:ind w:left="720"/>
      </w:pPr>
      <w:r/>
      <w:r>
        <w:t>Ville connue pour ses mauvaises œuvres (</w:t>
      </w:r>
      <w:hyperlink r:id="rId5878">
        <w:r>
          <w:rPr>
            <w:color w:val="0000EE"/>
            <w:u w:val="single"/>
          </w:rPr>
          <w:t>Os 6.8</w:t>
        </w:r>
      </w:hyperlink>
      <w:r>
        <w:t xml:space="preserve">). Il se peut qu'il s'agisse d'un nom raccourci pour désigner Jabès en Galaad ou Ramoth en Galaad. Elle pourrait également être le même endroit que la Mitspa mentionnée dans </w:t>
      </w:r>
      <w:hyperlink r:id="rId5879">
        <w:r>
          <w:rPr>
            <w:color w:val="0000EE"/>
            <w:u w:val="single"/>
          </w:rPr>
          <w:t>Juges 10.17–18</w:t>
        </w:r>
      </w:hyperlink>
      <w:r>
        <w:t>.</w:t>
      </w:r>
    </w:p>
    <w:p>
      <w:r/>
      <w:r>
        <w:rPr>
          <w:i/>
        </w:rPr>
        <w:t>Voir aussi</w:t>
      </w:r>
      <w:r>
        <w:t xml:space="preserve"> </w:t>
      </w:r>
      <w:r>
        <w:t>Mitspa n° 5</w:t>
      </w:r>
      <w:r>
        <w:t>.</w:t>
      </w:r>
      <w:r/>
      <w:r/>
    </w:p>
    <w:p>
      <w:r/>
    </w:p>
    <w:p>
      <w:pPr>
        <w:pStyle w:val="Heading2"/>
      </w:pPr>
      <w:r>
        <w:t>Galaad, Baume de</w:t>
      </w:r>
      <w:r/>
    </w:p>
    <w:p>
      <w:r/>
      <w:r>
        <w:t>Substance d'identification incertaine et l'une des nombreuses résines utilisées au Proche-Orient à des fins médicinales. Elle ne poussait pas à Galaad, mais a peut-être reçu son nom dû à son exportation vers l'Égypte et la Phénicie depuis Galaad (</w:t>
      </w:r>
      <w:hyperlink r:id="rId5880">
        <w:r>
          <w:rPr>
            <w:color w:val="0000EE"/>
            <w:u w:val="single"/>
          </w:rPr>
          <w:t>Gn 37.25</w:t>
        </w:r>
      </w:hyperlink>
      <w:r>
        <w:t xml:space="preserve"> ; </w:t>
      </w:r>
      <w:hyperlink r:id="rId477">
        <w:r>
          <w:rPr>
            <w:color w:val="0000EE"/>
            <w:u w:val="single"/>
          </w:rPr>
          <w:t>Ez 27.17</w:t>
        </w:r>
      </w:hyperlink>
      <w:r>
        <w:t>). La substance aurait des qualités astringentes, antiseptiques et d'autres propriétés thérapeutiques.</w:t>
      </w:r>
    </w:p>
    <w:p>
      <w:r/>
      <w:r>
        <w:rPr>
          <w:i/>
        </w:rPr>
        <w:t>Voir aussi</w:t>
      </w:r>
      <w:r>
        <w:t xml:space="preserve"> </w:t>
      </w:r>
      <w:r>
        <w:t>Médecine et pratique médicale</w:t>
      </w:r>
      <w:r>
        <w:t xml:space="preserve"> ; </w:t>
      </w:r>
      <w:r>
        <w:t>Plantes (baume)</w:t>
      </w:r>
      <w:r>
        <w:t>.</w:t>
      </w:r>
      <w:r/>
      <w:r/>
    </w:p>
    <w:p>
      <w:r/>
    </w:p>
    <w:p>
      <w:pPr>
        <w:pStyle w:val="Heading2"/>
      </w:pPr>
      <w:r>
        <w:t>Galatie</w:t>
      </w:r>
      <w:r/>
    </w:p>
    <w:p>
      <w:r/>
      <w:r>
        <w:t>Royaume antique situé dans les plaines centrales de l'Asie Mineure (l'actuelle Turquie). Elle a été créée lorsque des personnes appelées Gaulois s'y sont installées depuis l'Europe occidentale.</w:t>
      </w:r>
    </w:p>
    <w:p>
      <w:pPr>
        <w:pStyle w:val="Heading3"/>
      </w:pPr>
      <w:r>
        <w:t>Histoire antique</w:t>
      </w:r>
    </w:p>
    <w:p>
      <w:r/>
      <w:r>
        <w:t>Les Gaulois, également appelés Celtes, étaient un groupe de personnes connu pour leur puissance militaire. En 390 av. J.‑C., ils ont capturé la ville de Rome. Plus tard, ils ont tenté de conquérir la Grèce mais ont été vaincus. Après cette défaite, ils se sont dirigés vers l'Asie Mineure. Les Gaulois se sont d'abord répandus sur une grande partie de l'Asie Mineure. Cependant, en 230 av. J.‑C., un dirigeant nommé Attale 1er les a vaincus. Après cette défaite, ils ont dû vivre dans une zone plus petite, qui est devenue connue sous le nom de Galatie. À cette époque, les Gaulois étaient composés de trois tribus : les Trocmi, les Tolistobogii et les Tectosages. Ces tribus se sont installées dans les villes de Tavium, Pessinonte et Ancyre. En 189 av. J.‑C., ces Galates sont passés sous le contrôle des Romains mais ont été autorisés à se gouverner eux-mêmes.</w:t>
      </w:r>
    </w:p>
    <w:p>
      <w:pPr>
        <w:pStyle w:val="Heading3"/>
      </w:pPr>
      <w:r>
        <w:t>Histoire romaine</w:t>
      </w:r>
    </w:p>
    <w:p>
      <w:r/>
      <w:r>
        <w:t>Après la mort du roi Amyntas en l'an 25 av. J.‑C., la Galatie est devenue une province romaine. Ses frontières incluaient les zones ethniques de la Galatie proprement dite. De plus, la Lycaonie, l'Isaurie, ainsi que des parties de la Phrygie et de la Pisidie en faisaient partie. Cela comprenait les villes de Derbe, de Lystre, d'Iconium et d'Antioche de Pisidie. L'apôtre Paul a visité toutes ces villes lors de son premier voyage missionnaire. Le terme « Galatie » est utilisé de deux manières différentes. Il peut désigner la zone occupée par les Gaulois au nord ou l'ensemble de la province romaine, qui comprenait les villes du sud. Ainsi, il y a débat sur la destination de la lettre de Paul aux Galates.</w:t>
      </w:r>
    </w:p>
    <w:p>
      <w:r/>
      <w:r>
        <w:t>Les Phrygiens ont été les premiers habitants du nord de la Galatie. Beaucoup y vivaient encore au 1er siècle apr. J.‑C. Quelques Grecs et une grande communauté juive y résidaient également. Bien que de nombreux groupes différents y aient vécu, les Celtes sont devenus le groupe le plus important et influent. Les Celtes étaient connus pour leur grande indépendance. Cependant, ils avaient aussi la réputation de boire excessivement et d'organiser des célébrations tumultueuses. Dans leurs croyances religieuses, ils étaient très superstitieux. Ils étaient particulièrement attirés par le culte d'une déesse nommée Cybèle, dont les cérémonies religieuses comprenaient des rituels sauvages et intenses.</w:t>
      </w:r>
    </w:p>
    <w:p>
      <w:r/>
      <w:r>
        <w:t>Les parties nord et sud de la Galatie différaient l'une de l'autre. Dans les villes du sud, la culture grecque exerçait une influence plus forte, surtout parmi les personnes instruites. Ces personnes parlaient souvent le grec et suivaient les coutumes hellénistiques.</w:t>
      </w:r>
    </w:p>
    <w:p>
      <w:r/>
      <w:r>
        <w:t>Cependant, les gens du sud de la Galatie ont conservé de nombreuses traditions phrygiennes. Comme les habitants du nord, ils vénéraient également la déesse Cybèle, mais de manière différente. La culture grecque avait modifié la pratique de cette religion dans le sud. Par exemple, à Antioche de Pisidie, ils appelaient Cybèle le « Génie d'Antioche ». Mais à Icone, ils l'appelaient « Athéna Polias ».</w:t>
      </w:r>
    </w:p>
    <w:p>
      <w:pPr>
        <w:pStyle w:val="Heading3"/>
      </w:pPr>
      <w:r>
        <w:t>Le Territoire de Galatie</w:t>
      </w:r>
    </w:p>
    <w:p>
      <w:r/>
      <w:r>
        <w:t>Les régions nord et sud de la Galatie étaient très différentes en termes de paysage et d'emplacement. Les villes du nord étaient situées sur une zone haute et plate appelée plateau. Cette zone disposait de beaucoup d'eau et était traversée par une route importante qui était reliée à la mer Égée à l'ouest. Grâce à cet emplacement avantageux, les villes du nord sont devenues de riches centres commerciaux.</w:t>
      </w:r>
    </w:p>
    <w:p>
      <w:r/>
      <w:r>
        <w:t xml:space="preserve">Mais l'accès aux villes du nord au sud était difficile. Les montagnes séparaient les deux régions, rendant la communication et le commerce entre le nord et le sud compliqués. Ils ont construit les villes du sud sur la route entre la Syrie et l'Asie. L'emplacement des villes du sud les a aidées à devenir importantes dans l'histoire chrétienne primitive. Paul a établi des Églises dans ces villes du sud lors de son premier voyage missionnaire (voir </w:t>
      </w:r>
      <w:hyperlink r:id="rId159">
        <w:r>
          <w:rPr>
            <w:color w:val="0000EE"/>
            <w:u w:val="single"/>
          </w:rPr>
          <w:t>Ac 13–14</w:t>
        </w:r>
      </w:hyperlink>
      <w:r>
        <w:t>).</w:t>
      </w:r>
    </w:p>
    <w:p>
      <w:r/>
      <w:r>
        <w:t xml:space="preserve">La Galatie est mentionnée dans </w:t>
      </w:r>
      <w:hyperlink r:id="rId5881">
        <w:r>
          <w:rPr>
            <w:color w:val="0000EE"/>
            <w:u w:val="single"/>
          </w:rPr>
          <w:t>Actes 16.6</w:t>
        </w:r>
      </w:hyperlink>
      <w:r>
        <w:t xml:space="preserve"> et </w:t>
      </w:r>
      <w:hyperlink r:id="rId3728">
        <w:r>
          <w:rPr>
            <w:color w:val="0000EE"/>
            <w:u w:val="single"/>
          </w:rPr>
          <w:t xml:space="preserve">18.23 </w:t>
        </w:r>
      </w:hyperlink>
      <w:r>
        <w:t>avec la Phrygie</w:t>
      </w:r>
      <w:hyperlink r:id="rId3728">
        <w:r>
          <w:rPr>
            <w:color w:val="0000EE"/>
            <w:u w:val="single"/>
          </w:rPr>
          <w:t xml:space="preserve">. </w:t>
        </w:r>
      </w:hyperlink>
      <w:r>
        <w:t>Cependant, il n'est pas clair si Paul a jamais visité ou établi des Églises dans la région nord. Les seules autres références à la Galatie dans le Nouveau Testament semblent se rapporter aux villes du sud (</w:t>
      </w:r>
      <w:hyperlink r:id="rId5882">
        <w:r>
          <w:rPr>
            <w:color w:val="0000EE"/>
            <w:u w:val="single"/>
          </w:rPr>
          <w:t>1Co 16.1</w:t>
        </w:r>
      </w:hyperlink>
      <w:r>
        <w:t xml:space="preserve">; </w:t>
      </w:r>
      <w:hyperlink r:id="rId5883">
        <w:r>
          <w:rPr>
            <w:color w:val="0000EE"/>
            <w:u w:val="single"/>
          </w:rPr>
          <w:t>2Tm 4.10</w:t>
        </w:r>
      </w:hyperlink>
      <w:r>
        <w:t xml:space="preserve">; </w:t>
      </w:r>
      <w:hyperlink r:id="rId1404">
        <w:r>
          <w:rPr>
            <w:color w:val="0000EE"/>
            <w:u w:val="single"/>
          </w:rPr>
          <w:t>1P 1.1</w:t>
        </w:r>
      </w:hyperlink>
      <w:r>
        <w:t>).</w:t>
      </w:r>
    </w:p>
    <w:p>
      <w:r/>
      <w:r>
        <w:rPr>
          <w:i/>
        </w:rPr>
        <w:t>Voir</w:t>
      </w:r>
      <w:r>
        <w:t xml:space="preserve"> Galates, Lettre aux</w:t>
      </w:r>
      <w:r>
        <w:t>.</w:t>
      </w:r>
      <w:r/>
      <w:r/>
    </w:p>
    <w:p>
      <w:r/>
    </w:p>
    <w:p>
      <w:pPr>
        <w:pStyle w:val="Heading2"/>
      </w:pPr>
      <w:r>
        <w:t>Galed</w:t>
      </w:r>
      <w:r/>
    </w:p>
    <w:p>
      <w:r/>
      <w:r>
        <w:t xml:space="preserve">Nom signifiant littéralement « un tas de témoignages ». Jacob donnera ce nom à un tas de pierres érigé comme témoin du pacte d'amitié conclu entre lui-même et son beau-père, Laban, qui a nommé le monticule </w:t>
      </w:r>
      <w:r>
        <w:t>Jegar-Sahadutha</w:t>
      </w:r>
      <w:r>
        <w:t xml:space="preserve"> (</w:t>
      </w:r>
      <w:hyperlink r:id="rId5884">
        <w:r>
          <w:rPr>
            <w:color w:val="0000EE"/>
            <w:u w:val="single"/>
          </w:rPr>
          <w:t>Gn 31.47–48</w:t>
        </w:r>
      </w:hyperlink>
      <w:r>
        <w:t>). Son emplacement est inconnu. Le nom Galed ne doit pas être confondu avec le nom Galaad, désignation du territoire à l'est du Jourdain.</w:t>
      </w:r>
      <w:r/>
      <w:r/>
    </w:p>
    <w:p>
      <w:r/>
    </w:p>
    <w:p>
      <w:pPr>
        <w:pStyle w:val="Heading2"/>
      </w:pPr>
      <w:r>
        <w:t>Gallion</w:t>
      </w:r>
      <w:r/>
    </w:p>
    <w:p>
      <w:r/>
      <w:r>
        <w:t>Fils de Marcus Annaeus Seneca et frère du philosophe Sénèque, qui a vécu de l'an 3 av. J.‑C. à l'an 65 apr. J.‑C., Gallion est né à Cordoue, en Espagne, et est venu à Rome pendant le règne de Tibère. Son nom de naissance était Marcus Annaeus Novatus, mais il a pris le nom de Gallion après son adoption par le rhéteur Lucius Junius Gallion. Le riche Lucius l'a formé pour sa carrière dans l'administration et le gouvernement.</w:t>
      </w:r>
    </w:p>
    <w:p>
      <w:r/>
      <w:r>
        <w:t>Gallion a servi comme proconsul romain d'Achaïe entre 51 et 53 apr. J.‑C. Lors de la première visite de l'apôtre Paul à Corinthe, les Juifs ont amené l'apôtre devant le proconsul, l'accusant de persuader des gens de pratiquer la religion de manière illégale (</w:t>
      </w:r>
      <w:hyperlink r:id="rId163">
        <w:r>
          <w:rPr>
            <w:color w:val="0000EE"/>
            <w:u w:val="single"/>
          </w:rPr>
          <w:t>Ac 18.12–17</w:t>
        </w:r>
      </w:hyperlink>
      <w:r>
        <w:t>). Gallion a brusquement rejeté l'accusation car elle concernait la loi juive et non la loi romaine. Son action reflétait le comportement caractéristique des gouverneurs romains envers les disputes religieuses.</w:t>
      </w:r>
    </w:p>
    <w:p>
      <w:r/>
      <w:r>
        <w:t>Contraint de quitter l'Achaïe en raison de la maladie, Gallion retournera à Rome en tant que consul suffect sous Néron. Son implication dans un complot contre Néron entraînera un pardon temporaire, mais conduira en fin de compte à un suicide forcé.</w:t>
      </w:r>
      <w:r/>
      <w:r/>
    </w:p>
    <w:p>
      <w:r/>
    </w:p>
    <w:p>
      <w:pPr>
        <w:pStyle w:val="Heading2"/>
      </w:pPr>
      <w:r>
        <w:t>Gamaliel, Gamliel</w:t>
      </w:r>
      <w:r/>
    </w:p>
    <w:p>
      <w:r/>
      <w:r>
        <w:t>1. Gamliel : fils de Pedahtsur et capitaine ou prince de la tribu de Manassé (</w:t>
      </w:r>
      <w:hyperlink r:id="rId5885">
        <w:r>
          <w:rPr>
            <w:color w:val="0000EE"/>
            <w:u w:val="single"/>
          </w:rPr>
          <w:t>Nb 10.23</w:t>
        </w:r>
      </w:hyperlink>
      <w:r>
        <w:t>). Gamliel est choisi par Moïse pour aider à mener le recensement dans le désert près du mont Sinaï (</w:t>
      </w:r>
      <w:hyperlink r:id="rId5886">
        <w:r>
          <w:rPr>
            <w:color w:val="0000EE"/>
            <w:u w:val="single"/>
          </w:rPr>
          <w:t>1.10</w:t>
        </w:r>
      </w:hyperlink>
      <w:r>
        <w:t>) et pour organiser sa tribu pour le voyage vers la Terre promise (</w:t>
      </w:r>
      <w:hyperlink r:id="rId5887">
        <w:r>
          <w:rPr>
            <w:color w:val="0000EE"/>
            <w:u w:val="single"/>
          </w:rPr>
          <w:t>2.20</w:t>
        </w:r>
      </w:hyperlink>
      <w:r>
        <w:t>). Il participe à l'offrande cérémonielle spéciale des princes pour la dédicace de l'autel après l'achèvement du tabernacle (</w:t>
      </w:r>
      <w:hyperlink r:id="rId5888">
        <w:r>
          <w:rPr>
            <w:color w:val="0000EE"/>
            <w:u w:val="single"/>
          </w:rPr>
          <w:t>7.54, 59</w:t>
        </w:r>
      </w:hyperlink>
      <w:r>
        <w:t>). Cette cérémonie dure douze jours.</w:t>
      </w:r>
    </w:p>
    <w:p>
      <w:r/>
      <w:r>
        <w:t>2. Gamaliel : Juif, docteur (ou spécialiste) reconnu de la loi juive. Il vit au premier siècle apr. J.-C. et meurt 18 ans avant la destruction de Jérusalem par Titus, le général romain, en 70 apr. J.-C.</w:t>
      </w:r>
    </w:p>
    <w:p>
      <w:r/>
      <w:r>
        <w:t xml:space="preserve">Dans </w:t>
      </w:r>
      <w:hyperlink r:id="rId5889">
        <w:r>
          <w:rPr>
            <w:color w:val="0000EE"/>
            <w:u w:val="single"/>
          </w:rPr>
          <w:t xml:space="preserve">Actes 5.27–40, </w:t>
        </w:r>
      </w:hyperlink>
      <w:r>
        <w:t>Pierre et les autres apôtres sont amenés devant le conseil à Jérusalem. Ses membres sont furieux et veulent faire mourir les apôtres. C'est Gamaliel, très respecté par les membres du sanhédrin, qui leur donne des conseils de prudence, sauvant probablement la vie des apôtres dans cette situation (</w:t>
      </w:r>
      <w:hyperlink r:id="rId5890">
        <w:r>
          <w:rPr>
            <w:color w:val="0000EE"/>
            <w:u w:val="single"/>
          </w:rPr>
          <w:t>Ac 5.34–40</w:t>
        </w:r>
      </w:hyperlink>
      <w:r>
        <w:t>).</w:t>
      </w:r>
    </w:p>
    <w:p>
      <w:r/>
      <w:r>
        <w:t xml:space="preserve">Gamaliel est également mentionné dans </w:t>
      </w:r>
      <w:hyperlink r:id="rId2725">
        <w:r>
          <w:rPr>
            <w:color w:val="0000EE"/>
            <w:u w:val="single"/>
          </w:rPr>
          <w:t>Actes 22.3</w:t>
        </w:r>
      </w:hyperlink>
      <w:r>
        <w:t>. C'est le rabbin avec lequel l'apôtre Paul étudie dans sa jeunesse à Jérusalem. Pendant cette période en Israël, un certain nombre d'écoles rabbiniques sont apparues. Deux des plus influentes sont les écoles pharisiennes rivales de Hillel et de Shammaï. Ces deux enseignants ont eu une grande influence sur la pensée juive. L'école de Hillel met l'accent sur la tradition même au-dessus de la loi. L'école de Shammaï place l'enseignement de la loi au-dessus de l'autorité de la tradition. L'école de Hillel a été la plus influente, et ses décisions ont plus tard été suivies par un grand nombre de rabbins.</w:t>
      </w:r>
    </w:p>
    <w:p>
      <w:r/>
      <w:r>
        <w:t>Selon la tradition, Gamaliel est le petit-fils de Hillel et est pleinement instruit dans la philosophie et la théologie de l'enseignement de son grand-père. Gamaliel est membre du sanhédrin, le haut conseil des Juifs à Jérusalem. C'est lui le président du sanhédrin pendant les règnes des empereurs romains Tibère, Caligula et Claude. Contrairement à d'autres enseignants juifs, il ne montre aucune hostilité envers l'apprentissage du grec.</w:t>
      </w:r>
    </w:p>
    <w:p>
      <w:r/>
      <w:r>
        <w:t>L'enseignement de Gamaliel était si éminent et son influence si grande qu'il est l'un des sept seuls érudits juifs à avoir été honoré du titre de Rabban. On l'appelait la « Beauté de la Loi ». Le Talmud dit même que « depuis la mort de Rabban Gamaliel, la gloire de la Loi a pris fin ».</w:t>
      </w:r>
      <w:r/>
      <w:r/>
    </w:p>
    <w:p>
      <w:r/>
    </w:p>
    <w:p>
      <w:pPr>
        <w:pStyle w:val="Heading2"/>
      </w:pPr>
      <w:r>
        <w:t>Gaulanitide</w:t>
      </w:r>
      <w:r/>
    </w:p>
    <w:p>
      <w:r/>
      <w:r>
        <w:t>Petite province à l'est de la mer de Galilée, située entre le mont Hermon et la rivière Yarmouk, et s'étendant peut-être jusqu'au Jourdain. Elle tire son nom de la ville ancienne de Gaulon, ou Golan. Les archéologues ont découvert d'importantes ruines à 27 kilomètres à l'est de la mer de Galilée. Ils les considèrent comme les vestiges de Golan. C'est Moïse qui établit Golan comme ville de refuge pour la demi-tribu de Manassé à l'est du Jourdain (</w:t>
      </w:r>
      <w:hyperlink r:id="rId5891">
        <w:r>
          <w:rPr>
            <w:color w:val="0000EE"/>
            <w:u w:val="single"/>
          </w:rPr>
          <w:t>Dt 4.41, 43</w:t>
        </w:r>
      </w:hyperlink>
      <w:r>
        <w:t>). Josué l'assigne aux Lévites Guershonites (</w:t>
      </w:r>
      <w:hyperlink r:id="rId5892">
        <w:r>
          <w:rPr>
            <w:color w:val="0000EE"/>
            <w:u w:val="single"/>
          </w:rPr>
          <w:t>Jos 20.8</w:t>
        </w:r>
      </w:hyperlink>
      <w:r>
        <w:t xml:space="preserve"> ; </w:t>
      </w:r>
      <w:hyperlink r:id="rId5893">
        <w:r>
          <w:rPr>
            <w:color w:val="0000EE"/>
            <w:u w:val="single"/>
          </w:rPr>
          <w:t>21.27</w:t>
        </w:r>
      </w:hyperlink>
      <w:r>
        <w:t xml:space="preserve"> ; </w:t>
      </w:r>
      <w:hyperlink r:id="rId1364">
        <w:r>
          <w:rPr>
            <w:color w:val="0000EE"/>
            <w:u w:val="single"/>
          </w:rPr>
          <w:t>1Ch 6.71</w:t>
        </w:r>
      </w:hyperlink>
      <w:r>
        <w:t>). Selon l'historien Josèphe, le roi hasmonéen Alexandre Jannée subit une lourde défaite dans cette ville, et la détruit plus tard (</w:t>
      </w:r>
      <w:r>
        <w:rPr>
          <w:i/>
        </w:rPr>
        <w:t>Antiquités</w:t>
      </w:r>
      <w:r>
        <w:t xml:space="preserve"> 8.2.3). Josèphe identifie également un Judas qui a mené une révolte fiscale (ou révolte contre les taxes) comme étant de Gaulanitide (18.1.1). Luc l'appelle un Galiléen (</w:t>
      </w:r>
      <w:hyperlink r:id="rId2226">
        <w:r>
          <w:rPr>
            <w:color w:val="0000EE"/>
            <w:u w:val="single"/>
          </w:rPr>
          <w:t>Ac 5.37</w:t>
        </w:r>
      </w:hyperlink>
      <w:r>
        <w:t>). Plus tard, Josèphe l'appelle également un Galiléen (</w:t>
      </w:r>
      <w:r>
        <w:rPr>
          <w:i/>
        </w:rPr>
        <w:t>Antiquités</w:t>
      </w:r>
      <w:r>
        <w:t xml:space="preserve"> 20.5.2 ; </w:t>
      </w:r>
      <w:r>
        <w:rPr>
          <w:i/>
        </w:rPr>
        <w:t>Guerre des Juifs</w:t>
      </w:r>
      <w:r>
        <w:t xml:space="preserve"> 2.8.1). Il est tout à fait possible que ce Judas ait vécu dans ces lieux à différentes époques.</w:t>
      </w:r>
    </w:p>
    <w:p>
      <w:r/>
      <w:r>
        <w:t>Après la mort d'Hérode en 4 av. J.-C., Philippe hérite de la Gaulanitide. Il fait de Bethsaïda sa capitale. Il la reconstruit et la nomme Julias, d'après la fille de César Auguste. Jésus voyage dans cette région (</w:t>
      </w:r>
      <w:hyperlink r:id="rId5894">
        <w:r>
          <w:rPr>
            <w:color w:val="0000EE"/>
            <w:u w:val="single"/>
          </w:rPr>
          <w:t>Mc 6.45</w:t>
        </w:r>
      </w:hyperlink>
      <w:r>
        <w:t xml:space="preserve"> ; </w:t>
      </w:r>
      <w:hyperlink r:id="rId5895">
        <w:r>
          <w:rPr>
            <w:color w:val="0000EE"/>
            <w:u w:val="single"/>
          </w:rPr>
          <w:t>8.22</w:t>
        </w:r>
      </w:hyperlink>
      <w:r>
        <w:t>). Les Romains la maintiennent fermement sous leur contrôle jusqu'en 66 apr. J.-C., lorsque la première guerre judéo-romaine éclate. Les révolutionnaires juifs se cachent ensuite dans ses hauteurs et les Romains y mènent plusieurs campagnes militaires.</w:t>
      </w:r>
    </w:p>
    <w:p>
      <w:r/>
      <w:r>
        <w:rPr>
          <w:i/>
        </w:rPr>
        <w:t>Voir aussi</w:t>
      </w:r>
      <w:r>
        <w:t xml:space="preserve"> </w:t>
      </w:r>
      <w:r>
        <w:t>Golan</w:t>
      </w:r>
      <w:r>
        <w:t xml:space="preserve"> ; </w:t>
      </w:r>
      <w:r>
        <w:t>Hérode, famille hérodienne</w:t>
      </w:r>
      <w:r>
        <w:t>.</w:t>
      </w:r>
      <w:r/>
      <w:r/>
    </w:p>
    <w:p>
      <w:r/>
    </w:p>
    <w:p>
      <w:pPr>
        <w:pStyle w:val="Heading2"/>
      </w:pPr>
      <w:r>
        <w:t>Gaza</w:t>
      </w:r>
      <w:r/>
    </w:p>
    <w:p>
      <w:r/>
      <w:r>
        <w:t>Ville située près de la côte palestinienne, à environ 80 km à l'ouest-sud-ouest de Jérusalem. Elle a été occupée presque continuellement depuis les temps anciens ; la Gaza moderne a joué un rôle important dans le conflit entre Arabes et Israéliens. « Gazite » et « Gazathite » sont des noms bibliques pour les habitants de la ville.</w:t>
      </w:r>
    </w:p>
    <w:p>
      <w:r/>
      <w:r>
        <w:t>Située à environ mi-chemin de la longueur de la plaine de Philistie, Gaza était une région agricole riche où le blé et autres grains similaires prospéraient. À environ 5 km de la Méditerranée, la position de Gaza en tant que plus grand centre commercial de l'ancienne Palestine ne provenait pas de la mer mais des routes, qui amenaient des caravanes de toutes les parties du Croissant Fertile. Cette accessibilité était aussi un handicap, car les routes le long de la côte étaient le chemin le plus facile pour les armées d'Égypte, d'Assyrie, de Babylone, de Perse, de Grèce et de Rome. Souvent, Gaza était victime de leur passage.</w:t>
      </w:r>
    </w:p>
    <w:p>
      <w:r/>
      <w:r>
        <w:t>Dans les archives de l'histoire séculière, Gaza apparaît pour la première fois dans les annales de Thoutmôsis III au temple de Karnak. Thoutmôsis a judicieusement planifié ses campagnes asiatiques juste après la récolte égyptienne et à temps pour s'emparer de la récolte de la Palestine.</w:t>
      </w:r>
    </w:p>
    <w:p>
      <w:r/>
      <w:r>
        <w:t>Dans la Lettre d'Amarna 289, Abdu-Heba de Jérusalem a reconnu que Gaza était loyale au roi d'Égypte, mais il s'est plaint qu'Addaya, le gouverneur égyptien de Palestine dont la résidence était à Gaza, avait pris la garnison que le Pharaon avait envoyée pour Jérusalem. À partir de la fin du 13e siècle av. J.‑C., il existe une lettre satirique qui a été composée comme un exercice pour former les scribes. Dans cette lettre, écrite par un scribe pour en dénigrer un autre, divers itinéraires sont tracés, y compris un de la frontière de l'Égypte à Gaza.</w:t>
      </w:r>
    </w:p>
    <w:p>
      <w:r/>
      <w:r>
        <w:t xml:space="preserve">Le pharaon Néco (610–595 av. J.‑C.) a capturé et châtié Gaza et Askalon sous le règne de Josias et de Juda (voir </w:t>
      </w:r>
      <w:hyperlink r:id="rId5896">
        <w:r>
          <w:rPr>
            <w:color w:val="0000EE"/>
            <w:u w:val="single"/>
          </w:rPr>
          <w:t>Jr 47.1, 5</w:t>
        </w:r>
      </w:hyperlink>
      <w:r>
        <w:t>).</w:t>
      </w:r>
    </w:p>
    <w:p>
      <w:r/>
      <w:r>
        <w:t>Tiglath-Piléser III (745–727 av. J.‑C.) mentionne Hanno de Gaza, qui s'est enfui en Égypte juste avant la capture de Gaza par les Assyriens. Sur le Prisme de l'Institut Oriental et le Prisme de Taylor, Sanchérib (705–681 av. J.‑C.) raconte son invasion de la Palestine et comment il a enfermé Ézéchias « comme un oiseau en cage ». Il a capturé 46 des villes fortifiées d'Ézéchias et les a données à trois rois mineurs, dont Sillibel de Gaza, qui est également mentionné par Assarhaddon (681–669 av. J.‑C.) et Osnappar (669–633 av. J.‑C.). La référence au « roi de Gaza » apparaît également dans les archives de Nebucadnetsar II de Babylone (604–562 av. J.‑C.).</w:t>
      </w:r>
    </w:p>
    <w:p>
      <w:r/>
      <w:r>
        <w:t>En 332 av. J.‑C., Gaza sera capturée et punie par Alexandre le Grand. Il était en colère parce qu'elle lui avait résisté pendant deux mois, et il fera donc tuer tous les hommes et vendra les femmes et les enfants en esclavage. Pendant la période maccabéenne, elle sera prise par Alexandre Jannée, qui massacrera ses habitants.</w:t>
      </w:r>
    </w:p>
    <w:p>
      <w:r/>
      <w:r>
        <w:t xml:space="preserve">Dans la Bible, Gaza est mentionnée pour la première fois dans </w:t>
      </w:r>
      <w:hyperlink r:id="rId330">
        <w:r>
          <w:rPr>
            <w:color w:val="0000EE"/>
            <w:u w:val="single"/>
          </w:rPr>
          <w:t>Genèse 10.19</w:t>
        </w:r>
      </w:hyperlink>
      <w:r>
        <w:t>, où il est dit que le territoire des Cananéens s'étendait de Sidon à Gaza. Dans un résumé des conquêtes de Josué, l'une des dimensions de la zone conquise est « de Kadès-Barnéa à Gaza » (</w:t>
      </w:r>
      <w:hyperlink r:id="rId5897">
        <w:r>
          <w:rPr>
            <w:color w:val="0000EE"/>
            <w:u w:val="single"/>
          </w:rPr>
          <w:t>Jos 10.41</w:t>
        </w:r>
      </w:hyperlink>
      <w:r>
        <w:t>). Josué détruira tous les Anakim dans le pays, mais certains resteront à Gaza et dans d'autres villes philistines (</w:t>
      </w:r>
      <w:hyperlink r:id="rId5898">
        <w:r>
          <w:rPr>
            <w:color w:val="0000EE"/>
            <w:u w:val="single"/>
          </w:rPr>
          <w:t>11.22</w:t>
        </w:r>
      </w:hyperlink>
      <w:r>
        <w:t xml:space="preserve">). Un autre peuple ancien, les Avviens, « </w:t>
      </w:r>
      <w:r>
        <w:t>qui habitaient dans des villages jusqu’à Gaza</w:t>
      </w:r>
      <w:r>
        <w:t xml:space="preserve"> », sera anéanti et remplacé par les Caphtorim de Caphtor (ou Crète, voir </w:t>
      </w:r>
      <w:hyperlink r:id="rId2180">
        <w:r>
          <w:rPr>
            <w:color w:val="0000EE"/>
            <w:u w:val="single"/>
          </w:rPr>
          <w:t>Dt 2.23</w:t>
        </w:r>
      </w:hyperlink>
      <w:r>
        <w:t>). Gaza, avec ses villes et villages, sera répertoriée parmi l'héritage de la tribu de Juda (</w:t>
      </w:r>
      <w:hyperlink r:id="rId5899">
        <w:r>
          <w:rPr>
            <w:color w:val="0000EE"/>
            <w:u w:val="single"/>
          </w:rPr>
          <w:t>Jos 15.47</w:t>
        </w:r>
      </w:hyperlink>
      <w:r>
        <w:t>). À l'époque de la vieillesse avancée de Josué, Gaza et les quatre autres villes de la Pentapole philistine sont dites se trouver parmi les territoires non encore pris (</w:t>
      </w:r>
      <w:hyperlink r:id="rId1368">
        <w:r>
          <w:rPr>
            <w:color w:val="0000EE"/>
            <w:u w:val="single"/>
          </w:rPr>
          <w:t>13.3</w:t>
        </w:r>
      </w:hyperlink>
      <w:r>
        <w:t xml:space="preserve">) ; cependant, dans </w:t>
      </w:r>
      <w:hyperlink r:id="rId5900">
        <w:r>
          <w:rPr>
            <w:color w:val="0000EE"/>
            <w:u w:val="single"/>
          </w:rPr>
          <w:t>Juges 1.18–19</w:t>
        </w:r>
      </w:hyperlink>
      <w:r>
        <w:t>, il est rapporté que Juda l'a prise.</w:t>
      </w:r>
    </w:p>
    <w:p>
      <w:r/>
      <w:r>
        <w:t>À l'époque des Juges, des pillards madianites ont envahi Israël, pillant et détruisant jusqu'à Gaza (</w:t>
      </w:r>
      <w:hyperlink r:id="rId5901">
        <w:r>
          <w:rPr>
            <w:color w:val="0000EE"/>
            <w:u w:val="single"/>
          </w:rPr>
          <w:t>Jg 6.4</w:t>
        </w:r>
      </w:hyperlink>
      <w:r>
        <w:t>). Durant cette période, l'intérêt biblique principal pour Gaza se concentre sur la vie et les exploits de Samson. Les femmes philistines étaient le point faible de Samson. Il se rendra à Gaza et trouvera une prostituée avec laquelle il aura des relations (</w:t>
      </w:r>
      <w:hyperlink r:id="rId5902">
        <w:r>
          <w:rPr>
            <w:color w:val="0000EE"/>
            <w:u w:val="single"/>
          </w:rPr>
          <w:t>16.1</w:t>
        </w:r>
      </w:hyperlink>
      <w:r>
        <w:t>). Les habitants de Gaza apprendront qu'il était là et décideront de le tuer au matin, mais Samson se lèvera à minuit, se rendra à la porte de la ville, prendra les portes, les poteaux et la barre de la porte, et les transportera au sommet d'une colline face à Hébron.</w:t>
      </w:r>
    </w:p>
    <w:p>
      <w:r/>
      <w:r>
        <w:t>Son implication avec une autre femme philistine, Delila, entraînera sa capture par les Philistins, qui lui crèveront les yeux et l'emmèneront à Gaza (</w:t>
      </w:r>
      <w:hyperlink r:id="rId1502">
        <w:r>
          <w:rPr>
            <w:color w:val="0000EE"/>
            <w:u w:val="single"/>
          </w:rPr>
          <w:t>Jg 16.21</w:t>
        </w:r>
      </w:hyperlink>
      <w:r>
        <w:t>), où il a sera enchaîné et forcé de moudre au moulin dans la prison. Lors d'un jour de fête dans le temple de Dagon, les adorateurs en liesse demanderont que Samson soit amené pour qu'ils puissent se moquer de lui. Sa force revenait, et Dieu exaucera sa prière de vengeance. Samson déplacera les deux piliers qui soutenaient le toit en pierre du temple païen, et ainsi Samson mourra, emmenant avec lui, dans sa perte, un grand nombre de gens de Gaza.</w:t>
      </w:r>
    </w:p>
    <w:p>
      <w:r/>
      <w:r>
        <w:t xml:space="preserve">Gaza est mentionnée comme la frontière sud d'Israël à l'époque de Salomon, qui régnait sur « </w:t>
      </w:r>
      <w:r>
        <w:t>tout le pays de l’autre côté du fleuve, depuis Thiphsach jusqu’à Gaza</w:t>
      </w:r>
      <w:r>
        <w:t xml:space="preserve"> » (</w:t>
      </w:r>
      <w:hyperlink r:id="rId5146">
        <w:r>
          <w:rPr>
            <w:color w:val="0000EE"/>
            <w:u w:val="single"/>
          </w:rPr>
          <w:t>1R 4.24</w:t>
        </w:r>
      </w:hyperlink>
      <w:r>
        <w:t>). Ézéchias vaincra les Philistins jusqu'à Gaza (</w:t>
      </w:r>
      <w:hyperlink r:id="rId5903">
        <w:r>
          <w:rPr>
            <w:color w:val="0000EE"/>
            <w:u w:val="single"/>
          </w:rPr>
          <w:t>2R 18.8</w:t>
        </w:r>
      </w:hyperlink>
      <w:r>
        <w:t>). Lorsqu'il s'est rebellé contre l'Assyrie, Sanchérib est venu et a pris 46 des villes d'Ézéchias et les a données au roi de Gaza et à deux autres rois.</w:t>
      </w:r>
    </w:p>
    <w:p>
      <w:r/>
      <w:hyperlink r:id="rId5904">
        <w:r>
          <w:rPr>
            <w:color w:val="0000EE"/>
            <w:u w:val="single"/>
          </w:rPr>
          <w:t>Jérémie 47</w:t>
        </w:r>
      </w:hyperlink>
      <w:r>
        <w:t xml:space="preserve"> contient une prophétie contre les Philistins, que le Seigneur a donnée au prophète avant que Pharaon n'attaque Gaza (v. </w:t>
      </w:r>
      <w:hyperlink r:id="rId5905">
        <w:r>
          <w:rPr>
            <w:color w:val="0000EE"/>
            <w:u w:val="single"/>
          </w:rPr>
          <w:t>1</w:t>
        </w:r>
      </w:hyperlink>
      <w:r>
        <w:t xml:space="preserve"> ; voir v. </w:t>
      </w:r>
      <w:hyperlink r:id="rId3811">
        <w:r>
          <w:rPr>
            <w:color w:val="0000EE"/>
            <w:u w:val="single"/>
          </w:rPr>
          <w:t>5</w:t>
        </w:r>
      </w:hyperlink>
      <w:r>
        <w:t xml:space="preserve"> ; et Néco ci-dessus). Amos donne des prophéties spécifiques de jugement contre Gaza (</w:t>
      </w:r>
      <w:hyperlink r:id="rId5906">
        <w:r>
          <w:rPr>
            <w:color w:val="0000EE"/>
            <w:u w:val="single"/>
          </w:rPr>
          <w:t>Am 1.6–7</w:t>
        </w:r>
      </w:hyperlink>
      <w:r>
        <w:t>). Sophonie déclare également que Gaza serait désertée (</w:t>
      </w:r>
      <w:hyperlink r:id="rId1377">
        <w:r>
          <w:rPr>
            <w:color w:val="0000EE"/>
            <w:u w:val="single"/>
          </w:rPr>
          <w:t>So 2.4</w:t>
        </w:r>
      </w:hyperlink>
      <w:r>
        <w:t xml:space="preserve">). </w:t>
      </w:r>
      <w:hyperlink r:id="rId5907">
        <w:r>
          <w:rPr>
            <w:color w:val="0000EE"/>
            <w:u w:val="single"/>
          </w:rPr>
          <w:t>Zacharie 9</w:t>
        </w:r>
      </w:hyperlink>
      <w:r>
        <w:t xml:space="preserve"> présente un oracle de jugement dans lequel il est dit que Gaza souffrira et que son roi périra.</w:t>
      </w:r>
    </w:p>
    <w:p>
      <w:r/>
      <w:r>
        <w:t>Dans le Nouveau Testament, il n'y a qu'une seule référence à Gaza (</w:t>
      </w:r>
      <w:hyperlink r:id="rId924">
        <w:r>
          <w:rPr>
            <w:color w:val="0000EE"/>
            <w:u w:val="single"/>
          </w:rPr>
          <w:t>Ac 8.26</w:t>
        </w:r>
      </w:hyperlink>
      <w:r>
        <w:t xml:space="preserve">). Philippe, qui prêchait en Samarie, a été informé par un ange de se rendre au sud sur « la route qui va de Jérusalem à Gaza ». Là, il a rencontrera le trésorier de Cusch, qui lisait </w:t>
      </w:r>
      <w:hyperlink r:id="rId5724">
        <w:r>
          <w:rPr>
            <w:color w:val="0000EE"/>
            <w:u w:val="single"/>
          </w:rPr>
          <w:t>Ésaïe 53</w:t>
        </w:r>
      </w:hyperlink>
      <w:r>
        <w:t xml:space="preserve"> alors qu'il voyageait dans son char. Philippe prêchera l'Évangile à cet homme et l'a baptisé.</w:t>
      </w:r>
    </w:p>
    <w:p>
      <w:r/>
      <w:r>
        <w:rPr>
          <w:i/>
        </w:rPr>
        <w:t>Voir aussi</w:t>
      </w:r>
      <w:r>
        <w:t xml:space="preserve"> </w:t>
      </w:r>
      <w:r>
        <w:t>Philistie, Philistins</w:t>
      </w:r>
      <w:r>
        <w:t>.</w:t>
      </w:r>
      <w:r/>
      <w:r/>
    </w:p>
    <w:p>
      <w:r/>
    </w:p>
    <w:p>
      <w:pPr>
        <w:pStyle w:val="Heading2"/>
      </w:pPr>
      <w:r>
        <w:t>Géants</w:t>
      </w:r>
      <w:r/>
    </w:p>
    <w:p>
      <w:r/>
      <w:r>
        <w:t xml:space="preserve">Le mot </w:t>
      </w:r>
      <w:r>
        <w:rPr>
          <w:i/>
        </w:rPr>
        <w:t>géants</w:t>
      </w:r>
      <w:r>
        <w:t xml:space="preserve"> est utilisé dans les Bibles françaises pour traduire quatre mots hébreux distincts.</w:t>
      </w:r>
    </w:p>
    <w:p>
      <w:r/>
      <w:r>
        <w:t xml:space="preserve">Un mot hébreu apparaît dans </w:t>
      </w:r>
      <w:hyperlink r:id="rId5908">
        <w:r>
          <w:rPr>
            <w:color w:val="0000EE"/>
            <w:u w:val="single"/>
          </w:rPr>
          <w:t>Job 16.14.</w:t>
        </w:r>
      </w:hyperlink>
      <w:r>
        <w:t xml:space="preserve"> Certaines traductions anglaises l'ont traduit par « géant », mais la majorité des versions ont « guerrier ».</w:t>
      </w:r>
    </w:p>
    <w:p>
      <w:r/>
      <w:r>
        <w:t xml:space="preserve">Un autre mot hébreu est utilisé dans </w:t>
      </w:r>
      <w:hyperlink r:id="rId5909">
        <w:r>
          <w:rPr>
            <w:color w:val="0000EE"/>
            <w:u w:val="single"/>
          </w:rPr>
          <w:t>Genèse 6.4</w:t>
        </w:r>
      </w:hyperlink>
      <w:r>
        <w:t xml:space="preserve"> et </w:t>
      </w:r>
      <w:hyperlink r:id="rId5910">
        <w:r>
          <w:rPr>
            <w:color w:val="0000EE"/>
            <w:u w:val="single"/>
          </w:rPr>
          <w:t>Nombres 13.33</w:t>
        </w:r>
      </w:hyperlink>
      <w:r>
        <w:t xml:space="preserve">. Certaines traductions disent « géants », tandis que d'autres disent « Nephilim ». Le mot </w:t>
      </w:r>
      <w:r>
        <w:rPr>
          <w:i/>
        </w:rPr>
        <w:t>Nephilim</w:t>
      </w:r>
      <w:r>
        <w:t xml:space="preserve"> est un mot hébreu qui n'est pas traduit mais simplement épelé avec des lettres françaises. La signification exacte de </w:t>
      </w:r>
      <w:r>
        <w:rPr>
          <w:i/>
        </w:rPr>
        <w:t>Nephilim</w:t>
      </w:r>
      <w:r>
        <w:t xml:space="preserve"> est inconnue. Il semble se référer à un groupe ou une race de personnes. Certaines personnes pensent qu'ils étaient très grands ou forts, mais la Bible ne le précise pas clairement.</w:t>
      </w:r>
    </w:p>
    <w:p>
      <w:r/>
      <w:r>
        <w:t>Aucun des mots hébreux traduits par « géants » ne signifie réellement « géant ». Nous ne pouvons donc pas être certains que ces personnes étaient très grandes.</w:t>
      </w:r>
    </w:p>
    <w:p>
      <w:r/>
      <w:r>
        <w:t xml:space="preserve">Dans plusieurs passages, il est mentionné « géants », mais la Version Louis Segond utilise le mot hébreu </w:t>
      </w:r>
      <w:r>
        <w:rPr>
          <w:i/>
        </w:rPr>
        <w:t>Rephaïm</w:t>
      </w:r>
      <w:r>
        <w:t xml:space="preserve"> (voir par exemple </w:t>
      </w:r>
      <w:hyperlink r:id="rId5911">
        <w:r>
          <w:rPr>
            <w:color w:val="0000EE"/>
            <w:u w:val="single"/>
          </w:rPr>
          <w:t>Dt 2.20</w:t>
        </w:r>
      </w:hyperlink>
      <w:r>
        <w:t xml:space="preserve"> ; </w:t>
      </w:r>
      <w:hyperlink r:id="rId706">
        <w:r>
          <w:rPr>
            <w:color w:val="0000EE"/>
            <w:u w:val="single"/>
          </w:rPr>
          <w:t>3.11</w:t>
        </w:r>
      </w:hyperlink>
      <w:r>
        <w:t xml:space="preserve"> ; </w:t>
      </w:r>
      <w:hyperlink r:id="rId1361">
        <w:r>
          <w:rPr>
            <w:color w:val="0000EE"/>
            <w:u w:val="single"/>
          </w:rPr>
          <w:t>Jos 12.4</w:t>
        </w:r>
      </w:hyperlink>
      <w:r>
        <w:t xml:space="preserve">). Le mot </w:t>
      </w:r>
      <w:r>
        <w:rPr>
          <w:i/>
        </w:rPr>
        <w:t>Rephaïm</w:t>
      </w:r>
      <w:r>
        <w:t xml:space="preserve"> apparaît généralement sous sa forme plurielle. Il se réfère à plusieurs groupes de personnes qui vivaient dans le pays de Canaan. Ces groupes étaient peut-être très grands ou de grande taille.</w:t>
      </w:r>
    </w:p>
    <w:p>
      <w:r/>
      <w:r>
        <w:t>Ils incluent :</w:t>
      </w:r>
    </w:p>
    <w:p>
      <w:pPr>
        <w:pStyle w:val="ListBullet"/>
        <w:spacing w:line="240" w:lineRule="auto"/>
        <w:ind w:left="720"/>
      </w:pPr>
      <w:r/>
      <w:r>
        <w:t>Les Anakim, qui vivaient dans la région montagneuse de Juda près d'Hébron (</w:t>
      </w:r>
      <w:hyperlink r:id="rId5912">
        <w:r>
          <w:rPr>
            <w:color w:val="0000EE"/>
            <w:u w:val="single"/>
          </w:rPr>
          <w:t>Dt 2.11</w:t>
        </w:r>
      </w:hyperlink>
      <w:r>
        <w:t>)</w:t>
      </w:r>
    </w:p>
    <w:p>
      <w:pPr>
        <w:pStyle w:val="ListBullet"/>
        <w:spacing w:line="240" w:lineRule="auto"/>
        <w:ind w:left="720"/>
      </w:pPr>
      <w:r/>
      <w:r>
        <w:t>Les Émim de Moab (</w:t>
      </w:r>
      <w:hyperlink r:id="rId5913">
        <w:r>
          <w:rPr>
            <w:color w:val="0000EE"/>
            <w:u w:val="single"/>
          </w:rPr>
          <w:t>Dt 2.10</w:t>
        </w:r>
      </w:hyperlink>
      <w:r>
        <w:t>)</w:t>
      </w:r>
    </w:p>
    <w:p>
      <w:pPr>
        <w:pStyle w:val="ListBullet"/>
        <w:spacing w:line="240" w:lineRule="auto"/>
        <w:ind w:left="720"/>
      </w:pPr>
      <w:r/>
      <w:r>
        <w:t>Les Zamzummim d'Ammon (</w:t>
      </w:r>
      <w:hyperlink r:id="rId5911">
        <w:r>
          <w:rPr>
            <w:color w:val="0000EE"/>
            <w:u w:val="single"/>
          </w:rPr>
          <w:t>Dt 2.20</w:t>
        </w:r>
      </w:hyperlink>
      <w:r>
        <w:t>)</w:t>
      </w:r>
    </w:p>
    <w:p>
      <w:pPr>
        <w:pStyle w:val="ListBullet"/>
        <w:spacing w:line="240" w:lineRule="auto"/>
        <w:ind w:left="720"/>
      </w:pPr>
      <w:r/>
      <w:r>
        <w:t>Les gens de Basan (</w:t>
      </w:r>
      <w:hyperlink r:id="rId706">
        <w:r>
          <w:rPr>
            <w:color w:val="0000EE"/>
            <w:u w:val="single"/>
          </w:rPr>
          <w:t>Dt 3.11</w:t>
        </w:r>
      </w:hyperlink>
      <w:r>
        <w:t>)</w:t>
      </w:r>
    </w:p>
    <w:p>
      <w:r/>
      <w:r>
        <w:t xml:space="preserve">Le mot </w:t>
      </w:r>
      <w:r>
        <w:rPr>
          <w:i/>
        </w:rPr>
        <w:t>Rephaïm</w:t>
      </w:r>
      <w:r>
        <w:t xml:space="preserve"> apparaît également dans le livre de Josué (</w:t>
      </w:r>
      <w:hyperlink r:id="rId1361">
        <w:r>
          <w:rPr>
            <w:color w:val="0000EE"/>
            <w:u w:val="single"/>
          </w:rPr>
          <w:t>Jos 12.4</w:t>
        </w:r>
      </w:hyperlink>
      <w:r>
        <w:t xml:space="preserve"> ; </w:t>
      </w:r>
      <w:hyperlink r:id="rId5914">
        <w:r>
          <w:rPr>
            <w:color w:val="0000EE"/>
            <w:u w:val="single"/>
          </w:rPr>
          <w:t>13.12</w:t>
        </w:r>
      </w:hyperlink>
      <w:r>
        <w:t xml:space="preserve"> ; </w:t>
      </w:r>
      <w:hyperlink r:id="rId5915">
        <w:r>
          <w:rPr>
            <w:color w:val="0000EE"/>
            <w:u w:val="single"/>
          </w:rPr>
          <w:t>15.8</w:t>
        </w:r>
      </w:hyperlink>
      <w:r>
        <w:t xml:space="preserve"> ; </w:t>
      </w:r>
      <w:hyperlink r:id="rId5916">
        <w:r>
          <w:rPr>
            <w:color w:val="0000EE"/>
            <w:u w:val="single"/>
          </w:rPr>
          <w:t>17.15</w:t>
        </w:r>
      </w:hyperlink>
      <w:r>
        <w:t xml:space="preserve"> ; </w:t>
      </w:r>
      <w:hyperlink r:id="rId5917">
        <w:r>
          <w:rPr>
            <w:color w:val="0000EE"/>
            <w:u w:val="single"/>
          </w:rPr>
          <w:t>18.16</w:t>
        </w:r>
      </w:hyperlink>
      <w:r>
        <w:t>).</w:t>
      </w:r>
    </w:p>
    <w:p>
      <w:r/>
      <w:r>
        <w:t>Certains interprètes pensent que ces personnes étaient les habitants originaux de la terre avant l'arrivée des Cananéens, des Philistins, des Israélites et d'autres. Ils affirment qu'il s'agissait de différentes tribus composées de personnes de grande taille qui ont ensuite été absorbées par d'autres groupes.</w:t>
      </w:r>
    </w:p>
    <w:p>
      <w:r/>
      <w:r>
        <w:t xml:space="preserve">D'autres interprètes pensent que les </w:t>
      </w:r>
      <w:r>
        <w:rPr>
          <w:i/>
        </w:rPr>
        <w:t>Rephaïm</w:t>
      </w:r>
      <w:r>
        <w:t xml:space="preserve"> n'étaient pas des tribus distinctes. Au lieu de cela, ils estiment qu'il s'agissait simplement de quelques personnes très grandes, peut-être rendues ainsi par une maladie, présentes parmi de nombreuses tribus différentes.</w:t>
      </w:r>
    </w:p>
    <w:p>
      <w:r/>
      <w:r>
        <w:t>La Bible ne soutient clairement ni l'un ni l'autre des points de vue.</w:t>
      </w:r>
    </w:p>
    <w:p>
      <w:r/>
      <w:r>
        <w:t>Un autre mot hébreu est également traduit par « homme de haute tailles » dans la version Louis Segond (</w:t>
      </w:r>
      <w:hyperlink r:id="rId5918">
        <w:r>
          <w:rPr>
            <w:color w:val="0000EE"/>
            <w:u w:val="single"/>
          </w:rPr>
          <w:t>2S 21.16–22</w:t>
        </w:r>
      </w:hyperlink>
      <w:r>
        <w:t xml:space="preserve"> ; </w:t>
      </w:r>
      <w:hyperlink r:id="rId5919">
        <w:r>
          <w:rPr>
            <w:color w:val="0000EE"/>
            <w:u w:val="single"/>
          </w:rPr>
          <w:t>1Ch 20.4–8</w:t>
        </w:r>
      </w:hyperlink>
      <w:r>
        <w:t>).</w:t>
      </w:r>
    </w:p>
    <w:p>
      <w:pPr>
        <w:pStyle w:val="Heading3"/>
      </w:pPr>
      <w:r>
        <w:t>Les géants célèbres dans la Bible</w:t>
      </w:r>
    </w:p>
    <w:p>
      <w:r/>
      <w:r>
        <w:t>Le géant le plus connu dans la Bible est Goliath de Gath. Il était un soldat philistin qui a combattu contre l'armée du roi Saül dans la vallée des térébinthes (</w:t>
      </w:r>
      <w:hyperlink r:id="rId5920">
        <w:r>
          <w:rPr>
            <w:color w:val="0000EE"/>
            <w:u w:val="single"/>
          </w:rPr>
          <w:t>1S 17</w:t>
        </w:r>
      </w:hyperlink>
      <w:r>
        <w:t>). La Bible dit que Goliath mesurait six coudées et une empan. Cela signifie qu'il mesurait entre 2,3 et 3 m de haut. Sa grande taille provoquait la peur parmi les soldats israélites.</w:t>
      </w:r>
    </w:p>
    <w:p>
      <w:r/>
      <w:r>
        <w:t>Goliath a défié l'armée d'Israël. Mais David, un jeune berger, l'a vaincu. Après cela, David est devenu bien connu en Israël (</w:t>
      </w:r>
      <w:hyperlink r:id="rId5921">
        <w:r>
          <w:rPr>
            <w:color w:val="0000EE"/>
            <w:u w:val="single"/>
          </w:rPr>
          <w:t>1S 18.5–7</w:t>
        </w:r>
      </w:hyperlink>
      <w:r>
        <w:t>). La Bible ne qualifie pas Goliath de « géant ». Cependant, sa taille montre qu'il était très grand.</w:t>
      </w:r>
    </w:p>
    <w:p>
      <w:r/>
      <w:r>
        <w:t>Une autre personne connue pour sa grande taille était le roi Og de Basan (</w:t>
      </w:r>
      <w:hyperlink r:id="rId706">
        <w:r>
          <w:rPr>
            <w:color w:val="0000EE"/>
            <w:u w:val="single"/>
          </w:rPr>
          <w:t>Dt 3.11</w:t>
        </w:r>
      </w:hyperlink>
      <w:r>
        <w:t>).</w:t>
      </w:r>
    </w:p>
    <w:p>
      <w:r/>
      <w:r>
        <w:rPr>
          <w:i/>
        </w:rPr>
        <w:t>Voir aussi</w:t>
      </w:r>
      <w:r>
        <w:t xml:space="preserve"> </w:t>
      </w:r>
      <w:r>
        <w:t>Nephilim</w:t>
      </w:r>
      <w:r>
        <w:t>.</w:t>
      </w:r>
      <w:r/>
      <w:r/>
    </w:p>
    <w:p>
      <w:r/>
    </w:p>
    <w:p>
      <w:pPr>
        <w:pStyle w:val="Heading2"/>
      </w:pPr>
      <w:r>
        <w:t>géhenne</w:t>
      </w:r>
      <w:r/>
    </w:p>
    <w:p>
      <w:r/>
      <w:r>
        <w:t>Le mot français « géhenne » est basé sur un mot grec, qui lui-même vient de l'araméen. Ce mot désignait à l'origine « la Vallée des [fils de] Hinnom ». C'était une vallée profonde qui servait de frontière entre les territoires des tribus de Benjamin et de Juda (</w:t>
      </w:r>
      <w:hyperlink r:id="rId5915">
        <w:r>
          <w:rPr>
            <w:color w:val="0000EE"/>
            <w:u w:val="single"/>
          </w:rPr>
          <w:t>Jos 15.8</w:t>
        </w:r>
      </w:hyperlink>
      <w:r>
        <w:t xml:space="preserve"> ; </w:t>
      </w:r>
      <w:hyperlink r:id="rId5917">
        <w:r>
          <w:rPr>
            <w:color w:val="0000EE"/>
            <w:u w:val="single"/>
          </w:rPr>
          <w:t>18.16</w:t>
        </w:r>
      </w:hyperlink>
      <w:r>
        <w:t>). Il s'agissait probablement de la vallée qui est aujourd'hui appelée Wadi er-Rababi. Cette vallée est située au sud de la vieille ville de Jérusalem et commence près de son mur occidental.</w:t>
      </w:r>
    </w:p>
    <w:p>
      <w:pPr>
        <w:pStyle w:val="Heading3"/>
      </w:pPr>
      <w:r>
        <w:t>La géhenne dans l'Ancien Testament</w:t>
      </w:r>
    </w:p>
    <w:p>
      <w:r/>
      <w:r>
        <w:t>Ce lieu est devenu tristement célèbre comme endroit où certains rois et le peuple de Juda se sont livrés au culte de divinités étrangères. Les rois Achaz et Manassé en ont servi plusieurs, dont Moloc. Le culte de Moloc incluait le sacrifice de jeunes enfants (</w:t>
      </w:r>
      <w:hyperlink r:id="rId5922">
        <w:r>
          <w:rPr>
            <w:color w:val="0000EE"/>
            <w:u w:val="single"/>
          </w:rPr>
          <w:t>2R 16.3</w:t>
        </w:r>
      </w:hyperlink>
      <w:r>
        <w:t xml:space="preserve"> ; </w:t>
      </w:r>
      <w:hyperlink r:id="rId3897">
        <w:r>
          <w:rPr>
            <w:color w:val="0000EE"/>
            <w:u w:val="single"/>
          </w:rPr>
          <w:t>21.6</w:t>
        </w:r>
      </w:hyperlink>
      <w:r>
        <w:t xml:space="preserve"> ; </w:t>
      </w:r>
      <w:hyperlink r:id="rId4711">
        <w:r>
          <w:rPr>
            <w:color w:val="0000EE"/>
            <w:u w:val="single"/>
          </w:rPr>
          <w:t>2Ch 28.3</w:t>
        </w:r>
      </w:hyperlink>
      <w:r>
        <w:t xml:space="preserve"> ; </w:t>
      </w:r>
      <w:hyperlink r:id="rId3898">
        <w:r>
          <w:rPr>
            <w:color w:val="0000EE"/>
            <w:u w:val="single"/>
          </w:rPr>
          <w:t>33.6</w:t>
        </w:r>
      </w:hyperlink>
      <w:r>
        <w:t xml:space="preserve"> ; </w:t>
      </w:r>
      <w:hyperlink r:id="rId5923">
        <w:r>
          <w:rPr>
            <w:color w:val="0000EE"/>
            <w:u w:val="single"/>
          </w:rPr>
          <w:t>Jr 19.6</w:t>
        </w:r>
      </w:hyperlink>
      <w:r>
        <w:t xml:space="preserve"> ; </w:t>
      </w:r>
      <w:hyperlink r:id="rId4714">
        <w:r>
          <w:rPr>
            <w:color w:val="0000EE"/>
            <w:u w:val="single"/>
          </w:rPr>
          <w:t>32.35</w:t>
        </w:r>
      </w:hyperlink>
      <w:r>
        <w:t>).</w:t>
      </w:r>
    </w:p>
    <w:p>
      <w:r/>
      <w:r>
        <w:t>Le roi Josias a mit fin à ces abominations (</w:t>
      </w:r>
      <w:hyperlink r:id="rId5924">
        <w:r>
          <w:rPr>
            <w:color w:val="0000EE"/>
            <w:u w:val="single"/>
          </w:rPr>
          <w:t>2R 23.10</w:t>
        </w:r>
      </w:hyperlink>
      <w:r>
        <w:t>). Le prophète Jérémie mentionne plusieurs fois ce qui se faisait dans cette vallée pour avertir le peuple de la colère de Dieu et de son jugement à venir (</w:t>
      </w:r>
      <w:hyperlink r:id="rId5925">
        <w:r>
          <w:rPr>
            <w:color w:val="0000EE"/>
            <w:u w:val="single"/>
          </w:rPr>
          <w:t>Jr 2.23</w:t>
        </w:r>
      </w:hyperlink>
      <w:r>
        <w:t xml:space="preserve"> ; </w:t>
      </w:r>
      <w:hyperlink r:id="rId5926">
        <w:r>
          <w:rPr>
            <w:color w:val="0000EE"/>
            <w:u w:val="single"/>
          </w:rPr>
          <w:t>7.30–32</w:t>
        </w:r>
      </w:hyperlink>
      <w:r>
        <w:t xml:space="preserve"> ; </w:t>
      </w:r>
      <w:hyperlink r:id="rId5927">
        <w:r>
          <w:rPr>
            <w:color w:val="0000EE"/>
            <w:u w:val="single"/>
          </w:rPr>
          <w:t>19.5–6</w:t>
        </w:r>
      </w:hyperlink>
      <w:r>
        <w:t>).</w:t>
      </w:r>
    </w:p>
    <w:p>
      <w:r/>
      <w:r>
        <w:t>Plus tard, cette vallée semble avoir été utilisée pour brûler les ordures de la ville et les cadavres de criminels. Une tradition de longue date affirme que Judas, qui avait trahi Jésus, s'est suicidé près de cette vallée. Le champ du potier serait situé sur son côté sud.</w:t>
      </w:r>
    </w:p>
    <w:p>
      <w:r/>
      <w:r>
        <w:t xml:space="preserve">Dans la période entre les deux Testaments, les Juifs ont commencé à utiliser le nom de cette vallée de mauvaise réputation pour désigner l'endroit où Dieu punira les méchants (1 Hénoc 18.11–16 ; 27.1–3 ; 54.1 ; 56.3–4 ; 90.26 ; </w:t>
      </w:r>
      <w:hyperlink r:id="rId4995">
        <w:r>
          <w:rPr>
            <w:color w:val="0000EE"/>
            <w:u w:val="single"/>
          </w:rPr>
          <w:t>2 Esdras 7.36</w:t>
        </w:r>
      </w:hyperlink>
      <w:r>
        <w:t xml:space="preserve"> ; voir aussi </w:t>
      </w:r>
      <w:hyperlink r:id="rId4992">
        <w:r>
          <w:rPr>
            <w:color w:val="0000EE"/>
            <w:u w:val="single"/>
          </w:rPr>
          <w:t>Es 30.33</w:t>
        </w:r>
      </w:hyperlink>
      <w:r>
        <w:t xml:space="preserve"> ; </w:t>
      </w:r>
      <w:hyperlink r:id="rId4991">
        <w:r>
          <w:rPr>
            <w:color w:val="0000EE"/>
            <w:u w:val="single"/>
          </w:rPr>
          <w:t>66.24</w:t>
        </w:r>
      </w:hyperlink>
      <w:r>
        <w:t xml:space="preserve"> ; </w:t>
      </w:r>
      <w:hyperlink r:id="rId4993">
        <w:r>
          <w:rPr>
            <w:color w:val="0000EE"/>
            <w:u w:val="single"/>
          </w:rPr>
          <w:t>Dn 7.10</w:t>
        </w:r>
      </w:hyperlink>
      <w:r>
        <w:t>).</w:t>
      </w:r>
    </w:p>
    <w:p>
      <w:pPr>
        <w:pStyle w:val="Heading3"/>
      </w:pPr>
      <w:r>
        <w:t>La géhenne dans le Nouveau Testament</w:t>
      </w:r>
    </w:p>
    <w:p>
      <w:r/>
      <w:r>
        <w:t>Jésus utilise le mot « géhenne » également pour désigner l'endroit où ceux qui ne se repentent pas iront pour l'éternité (</w:t>
      </w:r>
      <w:hyperlink r:id="rId5928">
        <w:r>
          <w:rPr>
            <w:color w:val="0000EE"/>
            <w:u w:val="single"/>
          </w:rPr>
          <w:t>Mt 5.22</w:t>
        </w:r>
      </w:hyperlink>
      <w:r>
        <w:t xml:space="preserve"> ; </w:t>
      </w:r>
      <w:hyperlink r:id="rId686">
        <w:r>
          <w:rPr>
            <w:color w:val="0000EE"/>
            <w:u w:val="single"/>
          </w:rPr>
          <w:t>10.28</w:t>
        </w:r>
      </w:hyperlink>
      <w:r>
        <w:t xml:space="preserve"> ; </w:t>
      </w:r>
      <w:hyperlink r:id="rId4707">
        <w:r>
          <w:rPr>
            <w:color w:val="0000EE"/>
            <w:u w:val="single"/>
          </w:rPr>
          <w:t>18.9</w:t>
        </w:r>
      </w:hyperlink>
      <w:r>
        <w:t>). Puisque la géhenne est un abysse de feu (</w:t>
      </w:r>
      <w:hyperlink r:id="rId4988">
        <w:r>
          <w:rPr>
            <w:color w:val="0000EE"/>
            <w:u w:val="single"/>
          </w:rPr>
          <w:t>Mc 9.43</w:t>
        </w:r>
      </w:hyperlink>
      <w:r>
        <w:t>), elle est aussi appelée « fournaise ardente » et « étang de feu » (</w:t>
      </w:r>
      <w:hyperlink r:id="rId4659">
        <w:r>
          <w:rPr>
            <w:color w:val="0000EE"/>
            <w:u w:val="single"/>
          </w:rPr>
          <w:t>Mt 13.42, 50</w:t>
        </w:r>
      </w:hyperlink>
      <w:r>
        <w:t xml:space="preserve"> ; </w:t>
      </w:r>
      <w:hyperlink r:id="rId5929">
        <w:r>
          <w:rPr>
            <w:color w:val="0000EE"/>
            <w:u w:val="single"/>
          </w:rPr>
          <w:t>Ap 20.14–15</w:t>
        </w:r>
      </w:hyperlink>
      <w:r>
        <w:t>). Ceux qui ne suivent pas Dieu et font le mal y finiront (</w:t>
      </w:r>
      <w:hyperlink r:id="rId4708">
        <w:r>
          <w:rPr>
            <w:color w:val="0000EE"/>
            <w:u w:val="single"/>
          </w:rPr>
          <w:t>Mt 23.15, 33</w:t>
        </w:r>
      </w:hyperlink>
      <w:r>
        <w:t>). C'est là que où Satan et ses démons seront aussi punis (</w:t>
      </w:r>
      <w:hyperlink r:id="rId4663">
        <w:r>
          <w:rPr>
            <w:color w:val="0000EE"/>
            <w:u w:val="single"/>
          </w:rPr>
          <w:t>Mt 25.41</w:t>
        </w:r>
      </w:hyperlink>
      <w:r>
        <w:t xml:space="preserve"> ; </w:t>
      </w:r>
      <w:hyperlink r:id="rId4986">
        <w:r>
          <w:rPr>
            <w:color w:val="0000EE"/>
            <w:u w:val="single"/>
          </w:rPr>
          <w:t>Ap 19.20</w:t>
        </w:r>
      </w:hyperlink>
      <w:r>
        <w:t xml:space="preserve"> ; </w:t>
      </w:r>
      <w:hyperlink r:id="rId5930">
        <w:r>
          <w:rPr>
            <w:color w:val="0000EE"/>
            <w:u w:val="single"/>
          </w:rPr>
          <w:t>20.10</w:t>
        </w:r>
      </w:hyperlink>
      <w:r>
        <w:t>).</w:t>
      </w:r>
    </w:p>
    <w:p>
      <w:r/>
      <w:r>
        <w:t xml:space="preserve">Il est important de ne pas confondre la géhenne avec d'autres endroits mentionnés dans la Bible pour désigner où vont les morts. Le séjour des morts dans l'Ancien Testament (shéol) et Hadès dans le Nouveau Testament désignent là où vont les morts temporairement avant le jugement dernier. La géhenne est l'endroit où les méchants iront après le jugement dernier et où ils resteront pour l'éternité (comp. </w:t>
      </w:r>
      <w:hyperlink r:id="rId5931">
        <w:r>
          <w:rPr>
            <w:color w:val="0000EE"/>
            <w:u w:val="single"/>
          </w:rPr>
          <w:t>Ps 49.15–16</w:t>
        </w:r>
      </w:hyperlink>
      <w:r>
        <w:t xml:space="preserve"> avec </w:t>
      </w:r>
      <w:hyperlink r:id="rId686">
        <w:r>
          <w:rPr>
            <w:color w:val="0000EE"/>
            <w:u w:val="single"/>
          </w:rPr>
          <w:t>Mt 10.28</w:t>
        </w:r>
      </w:hyperlink>
      <w:r>
        <w:t>). Le mot d'origine grec « Tartarus » (« abîmes » dans la LSG) n'est utilisé qu'une seule fois dans la Bible (</w:t>
      </w:r>
      <w:hyperlink r:id="rId51">
        <w:r>
          <w:rPr>
            <w:color w:val="0000EE"/>
            <w:u w:val="single"/>
          </w:rPr>
          <w:t>2P 2.4</w:t>
        </w:r>
      </w:hyperlink>
      <w:r>
        <w:t>). Il désigne une prison où sont enfermés les anges qui suivent Satan depuis les temps anciens.</w:t>
      </w:r>
    </w:p>
    <w:p>
      <w:r/>
      <w:r>
        <w:rPr>
          <w:i/>
        </w:rPr>
        <w:t>Voir aussi</w:t>
      </w:r>
      <w:r>
        <w:t xml:space="preserve"> </w:t>
      </w:r>
      <w:r>
        <w:t>séjour des morts</w:t>
      </w:r>
      <w:r>
        <w:t xml:space="preserve"> ; </w:t>
      </w:r>
      <w:r>
        <w:t>mort</w:t>
      </w:r>
      <w:r>
        <w:t xml:space="preserve"> ; </w:t>
      </w:r>
      <w:r>
        <w:t>Hadès</w:t>
      </w:r>
      <w:r>
        <w:t xml:space="preserve"> ; </w:t>
      </w:r>
      <w:r>
        <w:t>enfer</w:t>
      </w:r>
      <w:r>
        <w:t xml:space="preserve"> ; </w:t>
      </w:r>
      <w:r>
        <w:t>shéol</w:t>
      </w:r>
      <w:r>
        <w:t>.</w:t>
      </w:r>
      <w:r/>
      <w:r/>
    </w:p>
    <w:p>
      <w:r/>
    </w:p>
    <w:p>
      <w:pPr>
        <w:pStyle w:val="Heading2"/>
      </w:pPr>
      <w:r>
        <w:t>Gématrie</w:t>
      </w:r>
      <w:r/>
    </w:p>
    <w:p>
      <w:r/>
      <w:r>
        <w:t>Une des méthodes rabbiniques utilisées par les enseignants juifs pour interpréter l'Ancien Testament. Elle impliquait d'analyser les mots en fonction de la valeur numérique de leurs lettres ou de réarranger les lettres selon un système spécifique. Par exemple, certains rabbins ont soutenu qu'Éliézer (</w:t>
      </w:r>
      <w:hyperlink r:id="rId90">
        <w:r>
          <w:rPr>
            <w:color w:val="0000EE"/>
            <w:u w:val="single"/>
          </w:rPr>
          <w:t>Gn 15.2</w:t>
        </w:r>
      </w:hyperlink>
      <w:r>
        <w:t>) représentait tous les serviteurs d'Abraham combinés parce que le nom d'Éliézer équivaut à 318, qui était le nombre de serviteurs d'Abraham (</w:t>
      </w:r>
      <w:hyperlink r:id="rId5932">
        <w:r>
          <w:rPr>
            <w:color w:val="0000EE"/>
            <w:u w:val="single"/>
          </w:rPr>
          <w:t>Gn 14.14</w:t>
        </w:r>
      </w:hyperlink>
      <w:r>
        <w:t xml:space="preserve">). Un autre exemple est la manière dont le nom « Babylone » est dérivé dans </w:t>
      </w:r>
      <w:hyperlink r:id="rId5933">
        <w:r>
          <w:rPr>
            <w:color w:val="0000EE"/>
            <w:u w:val="single"/>
          </w:rPr>
          <w:t>Jérémie 25.26</w:t>
        </w:r>
      </w:hyperlink>
      <w:r>
        <w:t xml:space="preserve"> et </w:t>
      </w:r>
      <w:hyperlink r:id="rId5934">
        <w:r>
          <w:rPr>
            <w:color w:val="0000EE"/>
            <w:u w:val="single"/>
          </w:rPr>
          <w:t>51.41</w:t>
        </w:r>
      </w:hyperlink>
      <w:r>
        <w:t xml:space="preserve"> en changeant la dernière lettre du mot hébreu pour Babylone en la première lettre du même mot.</w:t>
      </w:r>
    </w:p>
    <w:p>
      <w:r/>
      <w:r>
        <w:t>Dans l'Épître pseudépigraphe de Barnabé, les 318 serviteurs d'Abraham (</w:t>
      </w:r>
      <w:hyperlink r:id="rId5932">
        <w:r>
          <w:rPr>
            <w:color w:val="0000EE"/>
            <w:u w:val="single"/>
          </w:rPr>
          <w:t>Gn 14.14</w:t>
        </w:r>
      </w:hyperlink>
      <w:r>
        <w:t xml:space="preserve">) sont vus comme symbolisant la mort de Jésus sur la croix. Cette interprétation est basée sur la lettre grecque </w:t>
      </w:r>
      <w:r>
        <w:rPr>
          <w:i/>
        </w:rPr>
        <w:t>Taw</w:t>
      </w:r>
      <w:r>
        <w:t>, ou "t", qui a une valeur numérique de 300 et a la forme d'une croix, et 18, qui correspond aux deux premières lettres du mot grec pour Jésus.</w:t>
      </w:r>
    </w:p>
    <w:p>
      <w:r/>
      <w:r>
        <w:t>Dans le livre de l'Apocalypse, le nombre de la bête est 666 (</w:t>
      </w:r>
      <w:hyperlink r:id="rId5935">
        <w:r>
          <w:rPr>
            <w:color w:val="0000EE"/>
            <w:u w:val="single"/>
          </w:rPr>
          <w:t>Ap 13.18</w:t>
        </w:r>
      </w:hyperlink>
      <w:r>
        <w:t>). Dans le symbolisme biblique, le nombre sept est considéré comme parfait, et trois sept représentent la perfection complète. Ainsi, 666 est perçu comme n'atteignant pas cette perfection.</w:t>
      </w:r>
      <w:r/>
      <w:r/>
    </w:p>
    <w:p>
      <w:r/>
    </w:p>
    <w:p>
      <w:pPr>
        <w:pStyle w:val="Heading2"/>
      </w:pPr>
      <w:r>
        <w:t>Généalogie de Jésus-Christ</w:t>
      </w:r>
      <w:r/>
    </w:p>
    <w:p>
      <w:r/>
      <w:r>
        <w:t xml:space="preserve">Récit de la descendance humaine de Jésus. Le Nouveau Testament relate la généalogie de Jésus deux fois en détail : dans </w:t>
      </w:r>
      <w:hyperlink r:id="rId5936">
        <w:r>
          <w:rPr>
            <w:color w:val="0000EE"/>
            <w:u w:val="single"/>
          </w:rPr>
          <w:t>Matthieu 1.1–17</w:t>
        </w:r>
      </w:hyperlink>
      <w:r>
        <w:t xml:space="preserve"> et dans </w:t>
      </w:r>
      <w:hyperlink r:id="rId5937">
        <w:r>
          <w:rPr>
            <w:color w:val="0000EE"/>
            <w:u w:val="single"/>
          </w:rPr>
          <w:t>Luc 3.23–38</w:t>
        </w:r>
      </w:hyperlink>
      <w:r>
        <w:t>.</w:t>
      </w:r>
    </w:p>
    <w:p>
      <w:r/>
      <w:r>
        <w:t>Vue d'ensemble</w:t>
      </w:r>
    </w:p>
    <w:p>
      <w:r/>
      <w:r>
        <w:t xml:space="preserve">• </w:t>
      </w:r>
      <w:r>
        <w:rPr>
          <w:b/>
          <w:u w:val="single"/>
        </w:rPr>
        <w:t>Généalogie de Matthieu</w:t>
      </w:r>
    </w:p>
    <w:p>
      <w:r/>
      <w:r>
        <w:t xml:space="preserve">• </w:t>
      </w:r>
      <w:r>
        <w:rPr>
          <w:b/>
          <w:u w:val="single"/>
        </w:rPr>
        <w:t>Généalogie de Luc</w:t>
      </w:r>
    </w:p>
    <w:p>
      <w:r/>
      <w:r>
        <w:t xml:space="preserve">• </w:t>
      </w:r>
      <w:r>
        <w:rPr>
          <w:b/>
          <w:u w:val="single"/>
        </w:rPr>
        <w:t>La relation entre les deux généalogies</w:t>
      </w:r>
    </w:p>
    <w:p>
      <w:pPr>
        <w:pStyle w:val="Heading3"/>
      </w:pPr>
      <w:r>
        <w:t>Généalogie de Matthieu (</w:t>
      </w:r>
      <w:hyperlink r:id="rId5936">
        <w:r>
          <w:rPr>
            <w:color w:val="0000EE"/>
            <w:u w:val="single"/>
          </w:rPr>
          <w:t>1.1–17</w:t>
        </w:r>
      </w:hyperlink>
      <w:r>
        <w:t>)</w:t>
      </w:r>
    </w:p>
    <w:p>
      <w:r/>
      <w:hyperlink r:id="rId573">
        <w:r>
          <w:rPr>
            <w:color w:val="0000EE"/>
            <w:u w:val="single"/>
          </w:rPr>
          <w:t>Matthieu 1.1</w:t>
        </w:r>
      </w:hyperlink>
      <w:r>
        <w:t xml:space="preserve"> présente Jésus-Christ comme « fils de David, fils d'Abraham ». Par ces deux noms, Matthieu souligne la relation terrestre de Jésus aux alliances de promesse abrahamique (</w:t>
      </w:r>
      <w:hyperlink r:id="rId291">
        <w:r>
          <w:rPr>
            <w:color w:val="0000EE"/>
            <w:u w:val="single"/>
          </w:rPr>
          <w:t>Gn 17.1–8</w:t>
        </w:r>
      </w:hyperlink>
      <w:r>
        <w:t>) et davidique (</w:t>
      </w:r>
      <w:hyperlink r:id="rId978">
        <w:r>
          <w:rPr>
            <w:color w:val="0000EE"/>
            <w:u w:val="single"/>
          </w:rPr>
          <w:t>2S 7.12–16</w:t>
        </w:r>
      </w:hyperlink>
      <w:r>
        <w:t xml:space="preserve">). Ensuite, en commençant par le patriarche Abraham, Matthieu retrace l'ascendance humaine de Jésus à travers le roi David jusqu'à Joseph, « </w:t>
      </w:r>
      <w:r>
        <w:t>l’époux de Marie, de laquelle est né Jésus, qui est appelé Christ</w:t>
      </w:r>
      <w:r>
        <w:t xml:space="preserve"> » (</w:t>
      </w:r>
      <w:hyperlink r:id="rId5938">
        <w:r>
          <w:rPr>
            <w:color w:val="0000EE"/>
            <w:u w:val="single"/>
          </w:rPr>
          <w:t>Mt 1.16</w:t>
        </w:r>
      </w:hyperlink>
      <w:r>
        <w:t xml:space="preserve">). Matthieu résume ainsi son rapport : « </w:t>
      </w:r>
      <w:r>
        <w:t>Il y a donc en tout quatorze générations depuis Abraham jusqu’à David, quatorze générations depuis David jusqu’à la déportation à Babylone, et quatorze générations depuis la déportation à Babylone jusqu’au Christ</w:t>
      </w:r>
      <w:r>
        <w:t xml:space="preserve"> » (v. </w:t>
      </w:r>
      <w:hyperlink r:id="rId5939">
        <w:r>
          <w:rPr>
            <w:color w:val="0000EE"/>
            <w:u w:val="single"/>
          </w:rPr>
          <w:t>17</w:t>
        </w:r>
      </w:hyperlink>
      <w:r>
        <w:t>).</w:t>
      </w:r>
    </w:p>
    <w:p>
      <w:r/>
      <w:r>
        <w:t>Un examen de la manière dont Matthieu traite ces données généalogiques révèle plusieurs particularités intéressantes :</w:t>
      </w:r>
    </w:p>
    <w:p>
      <w:r/>
      <w:r>
        <w:t>1. La répartition des noms en trois groupes de quatorze semble être un procédé artificiel.</w:t>
      </w:r>
    </w:p>
    <w:p>
      <w:r/>
      <w:r>
        <w:t xml:space="preserve">2. Pour avoir quatorze noms dans le deuxième groupe, Matthieu omet trois rois (Achazia, Joas et Amatsia) entre Joram et Ozias (v. </w:t>
      </w:r>
      <w:hyperlink r:id="rId5940">
        <w:r>
          <w:rPr>
            <w:color w:val="0000EE"/>
            <w:u w:val="single"/>
          </w:rPr>
          <w:t>8</w:t>
        </w:r>
      </w:hyperlink>
      <w:r>
        <w:t xml:space="preserve">), et un (Jojakim) entre Josias et Jéchonias (v. </w:t>
      </w:r>
      <w:hyperlink r:id="rId5941">
        <w:r>
          <w:rPr>
            <w:color w:val="0000EE"/>
            <w:u w:val="single"/>
          </w:rPr>
          <w:t>11</w:t>
        </w:r>
      </w:hyperlink>
      <w:r>
        <w:t>).</w:t>
      </w:r>
    </w:p>
    <w:p>
      <w:r/>
      <w:r>
        <w:t>3. Dans le premier groupe, Matthieu mentionne trois femmes : Tamar, Rahab et Ruth. Dans le deuxième groupe, il fait allusion à Bath-Schéba. L'inclusion des femmes dans les généalogies est un procédé peu commun, et d'autant plus étrange lorsqu'on note l'arrière-plan controversé de ces quatre femmes. Tamar était impliquée dans un cas d'inceste, Rahab était une prostituée, Ruth était Moabite, et Bath-Schéba a été associée à un cas d'adultère.</w:t>
      </w:r>
    </w:p>
    <w:p>
      <w:r/>
      <w:r>
        <w:t>4. Dans le premier groupe, Matthieu mentionne les frères de Juda et Zara, le frère de Pharès. Dans le second groupe, il fait référence aux frères de Jéchonias.</w:t>
      </w:r>
    </w:p>
    <w:p>
      <w:r/>
      <w:r>
        <w:t xml:space="preserve">5. Au verset </w:t>
      </w:r>
      <w:hyperlink r:id="rId5942">
        <w:r>
          <w:rPr>
            <w:color w:val="0000EE"/>
            <w:u w:val="single"/>
          </w:rPr>
          <w:t>6</w:t>
        </w:r>
      </w:hyperlink>
      <w:r>
        <w:t>, David est appelé « Le roi ».</w:t>
      </w:r>
    </w:p>
    <w:p>
      <w:r/>
      <w:r>
        <w:t>Ces données révèlent qu'il est évident que Matthieu n'a pas l'intention de présenter une généalogie stricte ; l'arrangement est artificiel et des données extrinsèques sont incluses, sans doute dans un but autre que celui de simplement présenter les ancêtres de Jésus. L'organisation des noms par Matthieu en groupes de quatorze, sans doute guidée par un intérêt à présenter Jésus aux Juifs comme le roi promis d'Israël et l'héritier légitime du trône davidique, donne un mouvement historique clair à la généalogie en la divisant en trois périodes. Celles-ci mettent respectivement en lumière l'origine, l'ascension au pouvoir et la décadence de la maison davidique, le dernier point étant représenté par la naissance humble de l'héritier promis à un charpentier de Nazareth.</w:t>
      </w:r>
    </w:p>
    <w:p>
      <w:r/>
      <w:r>
        <w:t>Les quatorze noms dans chaque groupe peuvent être une tentative d'attirer l'attention sur le caractère triplement royal du fils de Marie en se concentrant sur la valeur numérique 14 des lettres hébraïques du nom de David (d= 4, v= 6, d= 4). Ce nombre est également deux fois le nombre sacré 7, de sorte que la liste entière est composée de trois ensembles de deux septénaires chacun. Il se peut également que ces groupements artificiels aient simplement été destinés à faciliter la mémorisation.</w:t>
      </w:r>
    </w:p>
    <w:p>
      <w:r/>
      <w:r>
        <w:t>En ce qui concerne la deuxième particularité (le « nom manquant » dans le troisième groupe) il faut en conclure que soit David, soit Jéchonias doit être compté deux fois, ces noms étant les pivots séparant les trois groupes, ou qu'un nom a été omis par erreur dans une copie de l'Évangile original de Matthieu.</w:t>
      </w:r>
    </w:p>
    <w:p>
      <w:r/>
      <w:r>
        <w:t>La troisième particularité ne présente aucune difficulté. De nombreuses généalogies dans les Écritures omettent certains noms. Les auteurs du Proche-Orient Ancien utilisaient souvent l'expression « le fils de » ou le mot « engendra » de manière assez souple, reliant par exemple des petits-fils ou arrière-petits-fils à des ancêtres antérieurs sans indiquer chaque ancêtre intermédiaire. L'esprit moderne ne devrait pas exiger une précision dans les archives anciennes que les auteurs anciens eux-mêmes n'exigeaient pas.</w:t>
      </w:r>
    </w:p>
    <w:p>
      <w:r/>
      <w:r>
        <w:t>Les femmes mentionnées dans la généalogie (la quatrième particularité) ont peut-être été destinées à désarmer les critiques juives concernant la naissance de Jésus (</w:t>
      </w:r>
      <w:hyperlink r:id="rId5943">
        <w:r>
          <w:rPr>
            <w:color w:val="0000EE"/>
            <w:u w:val="single"/>
          </w:rPr>
          <w:t>1.18–25</w:t>
        </w:r>
      </w:hyperlink>
      <w:r>
        <w:t>) en montrant que les unions irrégulières n'étaient pas des disqualifications pour l'ascendance légale du Messie.</w:t>
      </w:r>
    </w:p>
    <w:p>
      <w:r/>
      <w:r>
        <w:t>La raison derrière l'inclusion de plusieurs frères dans la généalogie à trois endroits différents (la cinquième particularité) n'est pas facile à discerner. La mention de « Juda et ses frères » (</w:t>
      </w:r>
      <w:hyperlink r:id="rId5944">
        <w:r>
          <w:rPr>
            <w:color w:val="0000EE"/>
            <w:u w:val="single"/>
          </w:rPr>
          <w:t>1.2</w:t>
        </w:r>
      </w:hyperlink>
      <w:r>
        <w:t>) peut être le respect d'une pratique établie selon laquelle on parlait des douze patriarches ensemble.</w:t>
      </w:r>
    </w:p>
    <w:p>
      <w:r/>
      <w:r>
        <w:t>Enfin, la description de David comme « Le roi » (</w:t>
      </w:r>
      <w:hyperlink r:id="rId5942">
        <w:r>
          <w:rPr>
            <w:color w:val="0000EE"/>
            <w:u w:val="single"/>
          </w:rPr>
          <w:t>1.6</w:t>
        </w:r>
      </w:hyperlink>
      <w:r>
        <w:t>) souligne le caractère davidique ou royal de la liste.</w:t>
      </w:r>
    </w:p>
    <w:p>
      <w:r/>
      <w:r>
        <w:t xml:space="preserve">Les sources utilisées pour compiler le premier groupe dans la généalogie s'appuyaient sur des archives conservées dans </w:t>
      </w:r>
      <w:hyperlink r:id="rId5945">
        <w:r>
          <w:rPr>
            <w:color w:val="0000EE"/>
            <w:u w:val="single"/>
          </w:rPr>
          <w:t>1 Chroniques 1.27–2.15</w:t>
        </w:r>
      </w:hyperlink>
      <w:r>
        <w:t xml:space="preserve"> et dans </w:t>
      </w:r>
      <w:hyperlink r:id="rId3568">
        <w:r>
          <w:rPr>
            <w:color w:val="0000EE"/>
            <w:u w:val="single"/>
          </w:rPr>
          <w:t>Ruth 4.18–22</w:t>
        </w:r>
      </w:hyperlink>
      <w:r>
        <w:t>. Le deuxième groupe suivait les archives trouvées dans 1–2 Rois et 2 Chroniques. Le troisième groupe s'appuyait principalement sur des archives publiques ou privées de la période intertestamentaire ; les neuf noms d'Abiud à Jacob ne sont mentionnés nulle part ailleurs dans les Écritures.</w:t>
      </w:r>
    </w:p>
    <w:p>
      <w:r/>
      <w:r>
        <w:t>Selon cette généalogie, s'il y avait eu un trône davidique à l'époque de Joseph, le modeste charpentier en aurait été l'héritier légal, et Jésus se serait tenu après lui comme le suivant dans la lignée pour hériter du siège royal.</w:t>
      </w:r>
    </w:p>
    <w:p>
      <w:r/>
      <w:r>
        <w:t>Il a été soutenu, contre cette compréhension de la généalogie de Matthieu, que la présence de Jéchonias dans la liste (</w:t>
      </w:r>
      <w:hyperlink r:id="rId5941">
        <w:r>
          <w:rPr>
            <w:color w:val="0000EE"/>
            <w:u w:val="single"/>
          </w:rPr>
          <w:t>Mt 1.11</w:t>
        </w:r>
      </w:hyperlink>
      <w:r>
        <w:t xml:space="preserve">) compromet, sinon annule complètement, la prétention légale au trône davidique de tous ceux qui descendent directement de lui, parce que le Seigneur a déclaré à son sujet : « </w:t>
      </w:r>
      <w:r>
        <w:t>Inscrivez cet homme comme privé d’enfants, [...] Car nul de ses descendants ne réussira À s’asseoir sur le trône de David Et à régner sur Juda</w:t>
      </w:r>
      <w:r>
        <w:t xml:space="preserve"> » (</w:t>
      </w:r>
      <w:hyperlink r:id="rId5946">
        <w:r>
          <w:rPr>
            <w:color w:val="0000EE"/>
            <w:u w:val="single"/>
          </w:rPr>
          <w:t>Jr 22.30</w:t>
        </w:r>
      </w:hyperlink>
      <w:r>
        <w:t>). Par conséquent, il a été dit qu'il ne pouvait pas s'agir de l'intention de Matthieu de représenter les hommes de Salathiel à Joseph comme héritiers légaux du trône.</w:t>
      </w:r>
    </w:p>
    <w:p>
      <w:r/>
      <w:r>
        <w:t>Ce point pourrait certes écarter l'idée que la liste présente les descendants de David si ce n'est que Salathiel, qui dans le récit de Matthieu est représenté comme le fils de Jéchonias, apparaît également dans la généalogie de Luc comme le fils de Néri (</w:t>
      </w:r>
      <w:hyperlink r:id="rId466">
        <w:r>
          <w:rPr>
            <w:color w:val="0000EE"/>
            <w:u w:val="single"/>
          </w:rPr>
          <w:t>Lc 3.27</w:t>
        </w:r>
      </w:hyperlink>
      <w:r>
        <w:t xml:space="preserve">). Le nom de Néri est unique à l'Évangile de Luc et il est donc impossible de vérifier son utilisation ailleurs pour découvrir la véritable parenté de Salathiel. Il n'est toutefois pas surprenant, à la lumière de </w:t>
      </w:r>
      <w:hyperlink r:id="rId5946">
        <w:r>
          <w:rPr>
            <w:color w:val="0000EE"/>
            <w:u w:val="single"/>
          </w:rPr>
          <w:t>Jérémie 22.30</w:t>
        </w:r>
      </w:hyperlink>
      <w:r>
        <w:t>, de le trouver listé dans les deux récits avec des parents différents. Néri était très probablement le véritable père de Salathiel, et bien qu'il soit impossible de déterminer la relation précise de Néri avec Jéchonias, il se peut que ceux qui étaient chargés de déterminer et de conserver le registre des héritiers légaux du trône davidique se soient tournés vers la lignée latérale de Néri et aient choisi Salathiel comme l'homme à adopter légalement dans la lignée et celui par qui la lignée se poursuivrait. Salathiel pourrait bien être mort sans descendant mâle, ce qui aurait rendu nécessaire de se tourner vers Zorobabel, le fils de Pedaja, frère adoptif de Salathiel, comme l'héritier légal du trône davidique. Par cette paire d'adoptions, la malédiction sur Jéchonias a été accomplie tandis qu'un véritable petit-fils de Jéchonias continue la lignée, dans la mesure où le petit-fils était légalement le fils de Salathiel, qui à son tour était le véritable fils de Néri. La présence de Jéchonias dans la généalogie est une force, plutôt qu'une faiblesse, favorisant l'interprétation selon laquelle l'Évangile de Matthieu avait l'intention de présenter les héritiers légaux du trône davidique. En effet, seul un auteur conscient des problèmes entourant la lignée de Jéchonias, mais aussi conscient d'une explication, présenterait une telle ascendance à un public juif qu'il cherchait à convaincre que Jésus était bien le Messie royal.</w:t>
      </w:r>
    </w:p>
    <w:p>
      <w:pPr>
        <w:pStyle w:val="Heading3"/>
      </w:pPr>
      <w:r>
        <w:t>Généalogie de Luc (</w:t>
      </w:r>
      <w:hyperlink r:id="rId5937">
        <w:r>
          <w:rPr>
            <w:color w:val="0000EE"/>
            <w:u w:val="single"/>
          </w:rPr>
          <w:t>3.23–38</w:t>
        </w:r>
      </w:hyperlink>
      <w:r>
        <w:t>)</w:t>
      </w:r>
    </w:p>
    <w:p>
      <w:r/>
      <w:r>
        <w:t>L'arbre généalogique de Luc présente également plusieurs particularités.</w:t>
      </w:r>
    </w:p>
    <w:p>
      <w:r/>
      <w:r>
        <w:t>1. Certains exégètes ont jugé important de souligner le fait que la généalogie de Luc n'apparait pas au début de l'Évangile, mais au début du ministère de Jésus.</w:t>
      </w:r>
    </w:p>
    <w:p>
      <w:r/>
      <w:r>
        <w:t>2. Le récit de Luc, contrairement à celui de Matthieu, commence avec Jésus et retrace sa lignée à travers l'histoire de l'Ancien Testament. Cela semble inhabituel, car la plupart des généalogies suivent l'ordre de succession.</w:t>
      </w:r>
    </w:p>
    <w:p>
      <w:r/>
      <w:r>
        <w:t>3. De plus, le récit de Luc ne s'arrête pas à Abraham mais remonte jusqu'à « Adam, fils de Dieu » (</w:t>
      </w:r>
      <w:hyperlink r:id="rId256">
        <w:r>
          <w:rPr>
            <w:color w:val="0000EE"/>
            <w:u w:val="single"/>
          </w:rPr>
          <w:t>Lc 3.38</w:t>
        </w:r>
      </w:hyperlink>
      <w:r>
        <w:t>).</w:t>
      </w:r>
    </w:p>
    <w:p>
      <w:r/>
      <w:r>
        <w:t>Certains ont vu dans la première particularité un désir chez Luc de clore une période de l'histoire sacrée et de signaler le début d'une autre ère, avec la personne et surtout le ministère de Jésus. La généalogie, telle qu'elle est située, distingue l'œuvre de Christ des récits de sa naissance et de sa préparation.</w:t>
      </w:r>
    </w:p>
    <w:p>
      <w:r/>
      <w:r>
        <w:t>Beaucoup ont suggéré que l'ordre régressif de la généalogie est probablement un procédé permettant à Luc de concentrer l'attention sur Jésus. Le fait que Luc ait retracé l'ascendance de Jésus jusqu'à Adam, « fils de Dieu », était probablement dû au fait qu'il écrivait pour les Romains et les Grecs. En retraçant l'ascendance de Jésus jusqu'à Adam, il montre que Jésus est associé à la race humaine tout entière. Dans la généalogie de Luc, Jésus et Adam sont tous deux « fils de Dieu » ; Jésus, bien sûr, est le fils de Dieu par nature ; Adam, lui, le fils de Dieu par sa création à l'image de Dieu.</w:t>
      </w:r>
    </w:p>
    <w:p>
      <w:r/>
      <w:r>
        <w:t xml:space="preserve">Quant à ses sources, il est plutôt certain que Luc a utilisé la version de </w:t>
      </w:r>
      <w:hyperlink r:id="rId1418">
        <w:r>
          <w:rPr>
            <w:color w:val="0000EE"/>
            <w:u w:val="single"/>
          </w:rPr>
          <w:t>Genèse 11.12</w:t>
        </w:r>
      </w:hyperlink>
      <w:r>
        <w:t xml:space="preserve"> dans la Septante (version grecque ancienne de l'Ancien Testament), qui insère le nom Kaïnam entre Sala et Arphaxad (</w:t>
      </w:r>
      <w:hyperlink r:id="rId1313">
        <w:r>
          <w:rPr>
            <w:color w:val="0000EE"/>
            <w:u w:val="single"/>
          </w:rPr>
          <w:t>Lc 3.36</w:t>
        </w:r>
      </w:hyperlink>
      <w:r>
        <w:t>), et les archives d'</w:t>
      </w:r>
      <w:hyperlink r:id="rId5947">
        <w:r>
          <w:rPr>
            <w:color w:val="0000EE"/>
            <w:u w:val="single"/>
          </w:rPr>
          <w:t>1 Chroniques 1–3</w:t>
        </w:r>
      </w:hyperlink>
      <w:r>
        <w:t xml:space="preserve"> pour l'histoire allant jusqu'à David. Pour la période de David à Jésus, la plupart des exégètes s'accordent à dire que Luc s'est probablement appuyé sur des informations reçues directement de Marie ou de personnes proches d'elle. Il était courant parmi le peuple juif que les archives généalogiques soient conservées à la fois publiquement et en privé. Il y avait une préoccupation particulière dans les familles de descendance davidique de préserver leurs archives ancestrales en raison des prophéties de l'Ancien Testament selon lesquelles le Messie naîtrait dans la maison de David.</w:t>
      </w:r>
    </w:p>
    <w:p>
      <w:r/>
      <w:r>
        <w:t xml:space="preserve">Luc avait sans doute l'intention d'accomplir plus avec sa liste que de simplement présenter un nombre d'ancêtres de Jésus. Puisque Luc n'a pas mis David en avant dans sa liste, on peut supposer qu'il n'était pas zélé à présenter une liste d'héritiers légaux au trône davidique (non pas que la question ne le concerne pas, voir </w:t>
      </w:r>
      <w:hyperlink r:id="rId5948">
        <w:r>
          <w:rPr>
            <w:color w:val="0000EE"/>
            <w:u w:val="single"/>
          </w:rPr>
          <w:t>Lc 1.27, 32, 69</w:t>
        </w:r>
      </w:hyperlink>
      <w:r>
        <w:t xml:space="preserve"> ; </w:t>
      </w:r>
      <w:hyperlink r:id="rId5949">
        <w:r>
          <w:rPr>
            <w:color w:val="0000EE"/>
            <w:u w:val="single"/>
          </w:rPr>
          <w:t>2.4, 11</w:t>
        </w:r>
      </w:hyperlink>
      <w:r>
        <w:t>). Au contraire, une préoccupation tout au long de l'Évangile de Luc est de dépeindre Christ comme le Sauveur des Romains et des Grecs ; plus encore : du monde entier. Par conséquent, bien que Luc ait retracé l'ascendance de Jésus à travers la lignée ancestrale de Joseph jusqu'à David, il poursuit au-delà de David jusqu'à Adam. Jésus est un membre de la race à laquelle appartiennent tous les peuples.</w:t>
      </w:r>
    </w:p>
    <w:p>
      <w:pPr>
        <w:pStyle w:val="Heading3"/>
      </w:pPr>
      <w:r>
        <w:t>La Relation entre les deux généalogies</w:t>
      </w:r>
    </w:p>
    <w:p>
      <w:r/>
      <w:r>
        <w:t>Même un examen superficiel des deux généalogies de Jésus révélera plusieurs différences. Par exemple, la généalogie de Matthieu comprend 41 générations, tandis que Luc en liste 76. Luc inclut la période entre Adam et Abraham ; Matthieu ne le fait pas. Bien que les deux listes soient pratiquement identiques d'Abraham à David, elles divergent pour la période de David à Jésus, Matthieu retraçant la lignée de Jésus de David à travers Salomon en 27 générations, tandis que Luc retrace la lignée de Jésus de David à travers Nathan, un autre de ses fils, en 42 générations. De plus, ce n'est qu'à un seul point que les lignes convergent pendant cette période : aux noms de Salathiel et Zorobabel, qui sont sans doute les mêmes hommes dans les deux listes. Enfin, Matthieu présente Joseph comme le fils de Jacob (</w:t>
      </w:r>
      <w:hyperlink r:id="rId5938">
        <w:r>
          <w:rPr>
            <w:color w:val="0000EE"/>
            <w:u w:val="single"/>
          </w:rPr>
          <w:t>Mt 1.16</w:t>
        </w:r>
      </w:hyperlink>
      <w:r>
        <w:t>), tandis que dans le récit de Luc, il est le fils d'Héli (</w:t>
      </w:r>
      <w:hyperlink r:id="rId2582">
        <w:r>
          <w:rPr>
            <w:color w:val="0000EE"/>
            <w:u w:val="single"/>
          </w:rPr>
          <w:t>Lc 3.23</w:t>
        </w:r>
      </w:hyperlink>
      <w:r>
        <w:t>).</w:t>
      </w:r>
    </w:p>
    <w:p>
      <w:r/>
      <w:r>
        <w:t>Comment expliquer ces différences ? Les différences entre ces listes proviennent des objectifs pour lesquels elles ont été compilées et du sens qu'elles étaient censées transmettre.</w:t>
      </w:r>
    </w:p>
    <w:p>
      <w:r/>
      <w:r>
        <w:t xml:space="preserve">Une explication largement répandue est que Matthieu donne l'ascendance de Jésus à travers Joseph et que Luc donne son ascendance à travers Marie. Selon cette interprétation, Jacob était le véritable père de Joseph, et Héli (probablement le père de Marie) est devenu le père adoptif de Joseph, c'est-à-dire que Joseph était le « fils » d'Héli, ou héritier, par son mariage avec Marie, en supposant qu'Héli n'avait pas de fils (voir </w:t>
      </w:r>
      <w:hyperlink r:id="rId5950">
        <w:r>
          <w:rPr>
            <w:color w:val="0000EE"/>
            <w:u w:val="single"/>
          </w:rPr>
          <w:t>Nb 27.1–11</w:t>
        </w:r>
      </w:hyperlink>
      <w:r>
        <w:t xml:space="preserve"> ; </w:t>
      </w:r>
      <w:hyperlink r:id="rId5951">
        <w:r>
          <w:rPr>
            <w:color w:val="0000EE"/>
            <w:u w:val="single"/>
          </w:rPr>
          <w:t>36.1–12</w:t>
        </w:r>
      </w:hyperlink>
      <w:r>
        <w:t>). Ce point de vue est certainement une possibilité et ne devrait pas être rejeté d'emblée. Si Marie était une descendante directe de David, on pourrait littéralement dire de n'importe quel de ses fils qu'« Il est la semence de David ».</w:t>
      </w:r>
    </w:p>
    <w:p>
      <w:r/>
      <w:r>
        <w:t>D'autre part, de nombreux érudits préfèrent considérer la généalogie de Luc comme celle de Joseph plutôt que de Marie, car c'est sur l'ascendance de Joseph que Luc attire l'attention du lecteur (</w:t>
      </w:r>
      <w:hyperlink r:id="rId5952">
        <w:r>
          <w:rPr>
            <w:color w:val="0000EE"/>
            <w:u w:val="single"/>
          </w:rPr>
          <w:t>Lc 1.27</w:t>
        </w:r>
      </w:hyperlink>
      <w:r>
        <w:t xml:space="preserve"> ; </w:t>
      </w:r>
      <w:hyperlink r:id="rId1909">
        <w:r>
          <w:rPr>
            <w:color w:val="0000EE"/>
            <w:u w:val="single"/>
          </w:rPr>
          <w:t>2.4</w:t>
        </w:r>
      </w:hyperlink>
      <w:r>
        <w:t>). De plus, nulle part dans les Écritures n'est-il dit que Marie était de descendance davidique. Si le fait que Joseph n'était pas le véritable père de Jésus annule toute valeur que la lignée de Joseph pourrait autrement posséder pour un vrai fils, pourquoi Luc souligne-t-il deux fois la lignée de Joseph, et pas du tout celle de Marie ?</w:t>
      </w:r>
    </w:p>
    <w:p>
      <w:r/>
      <w:r>
        <w:t>Une difficulté majeure pour le point de vue qui considère les deux généalogies comme celles de Joseph est liée aux deux pères de Joseph. Une solution est que Matthieu donne les descendants légaux de David, tandis que Luc donne les descendants réels de David dans la lignée à laquelle appartenait Joseph. Cela signifierait qu'Héli était le vrai père de Joseph et que Jacob était son père adoptif légal. Comment cela pourrait être est facilement explicable ? En supposant que le père de Jacob, Matthan (</w:t>
      </w:r>
      <w:hyperlink r:id="rId5953">
        <w:r>
          <w:rPr>
            <w:color w:val="0000EE"/>
            <w:u w:val="single"/>
          </w:rPr>
          <w:t>Mt 1.15</w:t>
        </w:r>
      </w:hyperlink>
      <w:r>
        <w:t>), et le père d'Héli, Matthat (</w:t>
      </w:r>
      <w:hyperlink r:id="rId5954">
        <w:r>
          <w:rPr>
            <w:color w:val="0000EE"/>
            <w:u w:val="single"/>
          </w:rPr>
          <w:t>Lc 3.24</w:t>
        </w:r>
      </w:hyperlink>
      <w:r>
        <w:t>), sont la même personne, alors Jacob (l'aîné) aurait pu mourir sans descendant mâle, de sorte que son neveu, le fils de son frère Héli, serait devenu son héritier.</w:t>
      </w:r>
    </w:p>
    <w:p>
      <w:r/>
      <w:r>
        <w:t>Si Matthan et Matthat ne sont pas la même personne, on pourrait supposer que Jacob, l'héritier légal du trône, est mort sans descendant et que Joseph, fils d'Héli, est devenu l'héritier légal immédiatement après la mort d'Héli et a été compté comme le fils de Jacob dans une liste des héritiers légaux du trône. Il est possible qu'Héli, un parent, ait épousé la veuve de Jacob, faisant ainsi de Joseph, le fils de cette union, le fils d'Héli et le fils de Jacob par mariage léviratique. En d'autres termes, il existe plusieurs explications possibles à cette divergence.</w:t>
      </w:r>
    </w:p>
    <w:p>
      <w:r/>
      <w:r>
        <w:t>Une autre objection majeure à l'idée que les deux généalogies concernent Joseph est que, en raison de la naissance virginale de Jésus, on ne peut en aucun cas parler de Jésus comme étant littéralement la semence de David, une proposition sur laquelle semble insister l'Écriture. Cette objection a été adéquatement contrecarrée : 1) en raison de la manière réaliste dont les Juifs considéraient la paternité adoptive ; et 2) parce que la relation dans laquelle Jésus se tenait par rapport à Joseph était bien plus proche qu'un cas d'adoption ordinaire, aucun père terrestre n'étant là pour contester la relation paternelle de Joseph envers Jésus. Jésus pouvait et aurait été considéré comme le fils et héritier de Joseph avec une totale légitimité, satisfaisant ainsi toutes les exigences scripturaires qu'il soit la « semence de David ». La question, donc, de savoir si Marie ainsi que Joseph étaient des descendants de David n'a pas besoin d'être résolue d'une manière ou d'une autre par celui qui souhaite défendre la descendance davidique de Jésus.</w:t>
      </w:r>
    </w:p>
    <w:p>
      <w:r/>
      <w:r>
        <w:t>Il est hors de portée humaine de découvrir avec certitude la solution complète aux divergences entre les deux généalogies de Jésus, ou la relation réelle de Jésus avec elles. On en a dit suffisamment pour démontrer qu'elles sont conciliables, et les objectifs de chacune, suggérés ici, indiquent que l'une ou l'autre des voies décrites ci-dessus rend pleinement justice à la descendance davidique de Jésus, en tant qu'héritier légitime du trône convenu de son ancêtre, et également à sa naissance virginale par Marie.</w:t>
      </w:r>
    </w:p>
    <w:p>
      <w:r/>
      <w:r>
        <w:rPr>
          <w:i/>
        </w:rPr>
        <w:t>Voir aussi</w:t>
      </w:r>
      <w:r>
        <w:t xml:space="preserve"> </w:t>
      </w:r>
      <w:r>
        <w:t>Généalogie</w:t>
      </w:r>
      <w:r>
        <w:t xml:space="preserve"> ; </w:t>
      </w:r>
      <w:r>
        <w:t>Incarnation</w:t>
      </w:r>
      <w:r>
        <w:t xml:space="preserve"> ; </w:t>
      </w:r>
      <w:r>
        <w:t>Jésus-Christ, Anseignements de</w:t>
      </w:r>
      <w:r>
        <w:t xml:space="preserve"> ; </w:t>
      </w:r>
      <w:r>
        <w:t>Naissance virginale de Jésus</w:t>
      </w:r>
      <w:r>
        <w:t>.</w:t>
      </w:r>
      <w:r/>
      <w:r/>
    </w:p>
    <w:p>
      <w:r/>
    </w:p>
    <w:p>
      <w:pPr>
        <w:pStyle w:val="Heading2"/>
      </w:pPr>
      <w:r>
        <w:t>Génésareth</w:t>
      </w:r>
      <w:r/>
    </w:p>
    <w:p>
      <w:r/>
      <w:r>
        <w:t>Région sur la rive nord-ouest de la mer de Galilée, située entre Capernaüm et Magdala. Jésus y fait de nombreux miracles (</w:t>
      </w:r>
      <w:hyperlink r:id="rId5955">
        <w:r>
          <w:rPr>
            <w:color w:val="0000EE"/>
            <w:u w:val="single"/>
          </w:rPr>
          <w:t>Mt 14.34</w:t>
        </w:r>
      </w:hyperlink>
      <w:r>
        <w:t xml:space="preserve"> ; </w:t>
      </w:r>
      <w:hyperlink r:id="rId5956">
        <w:r>
          <w:rPr>
            <w:color w:val="0000EE"/>
            <w:u w:val="single"/>
          </w:rPr>
          <w:t>Mc 6.53</w:t>
        </w:r>
      </w:hyperlink>
      <w:r>
        <w:t>).</w:t>
      </w:r>
    </w:p>
    <w:p>
      <w:r/>
      <w:r>
        <w:t xml:space="preserve">La région était aussi appelée </w:t>
      </w:r>
      <w:r>
        <w:rPr>
          <w:i/>
        </w:rPr>
        <w:t>plaine de Génésareth</w:t>
      </w:r>
      <w:r>
        <w:t>. Elle fait environ 6,5 kilomètres de longueur. Elle fait environ 1,6 kilomètre de largeur en moyenne entre la mer et les montagnes. Le terrain y est principalement plat avec une petite élévation à l'approche des montagnes.</w:t>
      </w:r>
    </w:p>
    <w:p>
      <w:r/>
      <w:r>
        <w:t xml:space="preserve">Ces terres sont très propices à la l'agriculture car elles sont bien irriguées par ruisseaux et rivières. La période de pousse est caractérisée par des températures chaudes ou modérées qui la prolongent et permet de faire pousser de nombreuses cultures différentes. Les fruits produits à Génésareth étaient si bons que les chefs religieux ne les autorisaient pas à Jérusalem pendant les fêtes. Ils craignaient que beaucoup de pèlerins feraient le déplacement à Jérusalem uniquement pour en avoir. Les chefs religieux appelaient cette région le </w:t>
      </w:r>
      <w:r>
        <w:rPr>
          <w:i/>
        </w:rPr>
        <w:t>jardin de Dieu</w:t>
      </w:r>
      <w:r>
        <w:t>.</w:t>
      </w:r>
    </w:p>
    <w:p>
      <w:r/>
      <w:r>
        <w:t>À l'époque de Jésus, la région était considérée comme la meilleure terre à jardiner en Israël. De nombreux types d'arbres y poussaient, dont noyers, palmiers, oliviers et figuiers. Même si ces arbres prospèrent habituellement dans des environnements différents, ils prospéraient tous dans cette région à cette époque-là. La région produisait une abondance de raisins, de noix, de riz, de blé, de légumes, de melons ainsi que d'arbres et de fleurs sauvages. Dans une période ultérieure, ces terres n'ont plus été entretenues de nombreuses années durant, au point où la plaine était alors principalement couverte de plantes épineuses. Plus récemment, certaines de ses zones ont été défrichées, permettant d'y rétablir de nouvelles cultures.</w:t>
      </w:r>
    </w:p>
    <w:p>
      <w:r/>
      <w:r>
        <w:t xml:space="preserve">Dans </w:t>
      </w:r>
      <w:hyperlink r:id="rId5957">
        <w:r>
          <w:rPr>
            <w:color w:val="0000EE"/>
            <w:u w:val="single"/>
          </w:rPr>
          <w:t>Luc 5.1</w:t>
        </w:r>
      </w:hyperlink>
      <w:r>
        <w:t xml:space="preserve">, la mer de Galilée est appelée </w:t>
      </w:r>
      <w:r>
        <w:rPr>
          <w:i/>
        </w:rPr>
        <w:t>lac de Génésareth</w:t>
      </w:r>
      <w:r>
        <w:t xml:space="preserve">. Ce nom provient probablement de la plaine voisine. Génésareth (ou plus correctement « Ginosar ») était également le nom que l'on donnera plus tard à la ville de </w:t>
      </w:r>
      <w:r>
        <w:t>Kinnéreth</w:t>
      </w:r>
      <w:r>
        <w:t xml:space="preserve"> (</w:t>
      </w:r>
      <w:hyperlink r:id="rId5958">
        <w:r>
          <w:rPr>
            <w:color w:val="0000EE"/>
            <w:u w:val="single"/>
          </w:rPr>
          <w:t>Jos 11.2</w:t>
        </w:r>
      </w:hyperlink>
      <w:r>
        <w:t>). À l'époque de Jésus, c'était une ancienne ville en ruine.</w:t>
      </w:r>
      <w:r/>
      <w:r/>
    </w:p>
    <w:p>
      <w:r/>
    </w:p>
    <w:p>
      <w:pPr>
        <w:pStyle w:val="Heading2"/>
      </w:pPr>
      <w:r>
        <w:t>Genèse, livre de la</w:t>
      </w:r>
      <w:r/>
    </w:p>
    <w:p>
      <w:r/>
      <w:r>
        <w:t>La Genèse est le premier livre de la Bible.</w:t>
      </w:r>
    </w:p>
    <w:p>
      <w:r/>
      <w:r>
        <w:t>Sommaire</w:t>
      </w:r>
    </w:p>
    <w:p>
      <w:r/>
      <w:r>
        <w:t>• Nom du livre</w:t>
      </w:r>
    </w:p>
    <w:p>
      <w:r/>
      <w:r>
        <w:t>• Auteur</w:t>
      </w:r>
    </w:p>
    <w:p>
      <w:r/>
      <w:r>
        <w:t>• Date de composition</w:t>
      </w:r>
    </w:p>
    <w:p>
      <w:r/>
      <w:r>
        <w:t>• Objectifs</w:t>
      </w:r>
    </w:p>
    <w:p>
      <w:r/>
      <w:r>
        <w:t>• Structure</w:t>
      </w:r>
    </w:p>
    <w:p>
      <w:r/>
      <w:r>
        <w:t>• Contenu</w:t>
      </w:r>
    </w:p>
    <w:p>
      <w:pPr>
        <w:pStyle w:val="Heading3"/>
      </w:pPr>
      <w:r>
        <w:t>Nom du livre</w:t>
      </w:r>
    </w:p>
    <w:p>
      <w:r/>
      <w:r>
        <w:t xml:space="preserve">Le nom « Genèse » est une translittération en français du mot grec signifiant « origine » ou « commencement ». Il s'agit du nom donné à ce livre dans la Septante, la traduction grecque ancienne des Écritures hébraïques. Le nom « Genèse » est inspiré à la fois par le contenu du livre et par le nom qui lui est donné par les Juifs. Ce nom est tiré de son premier mot, </w:t>
      </w:r>
      <w:r>
        <w:rPr>
          <w:i/>
        </w:rPr>
        <w:t>bere’shith</w:t>
      </w:r>
      <w:r>
        <w:t>, qui signifie « au commencement ».</w:t>
      </w:r>
    </w:p>
    <w:p>
      <w:pPr>
        <w:pStyle w:val="Heading3"/>
      </w:pPr>
      <w:r>
        <w:t>Auteur</w:t>
      </w:r>
    </w:p>
    <w:p>
      <w:r/>
      <w:r>
        <w:t>La question de l'identité de l'auteur du livre de la Genèse est traditionnellement liée à celle de l'ensemble du Pentateuque. Le Pentateuque (litt. « cinq volumes ») correspond aux cinq premiers livres de la Bible. Il est clair que la Bible considère Moïse comme l'auteur humain de la Torah (un autre nom pour le Pentateuque ou les cinq premiers livres de la Bible). Le nom de Moïse est mentionné plusieurs fois dans le Pentateuque même, dans des passages où il est question de l'écrire. Le Seigneur lui ordonne d'écrire ce qu'il lui dit « dans le livre » (</w:t>
      </w:r>
      <w:hyperlink r:id="rId5211">
        <w:r>
          <w:rPr>
            <w:color w:val="0000EE"/>
            <w:u w:val="single"/>
          </w:rPr>
          <w:t>Ex 17.14</w:t>
        </w:r>
      </w:hyperlink>
      <w:r>
        <w:t>). Il lui dit également : « Écris ces paroles » (</w:t>
      </w:r>
      <w:hyperlink r:id="rId5959">
        <w:r>
          <w:rPr>
            <w:color w:val="0000EE"/>
            <w:u w:val="single"/>
          </w:rPr>
          <w:t>34.27</w:t>
        </w:r>
      </w:hyperlink>
      <w:r>
        <w:t xml:space="preserve">). Il est confirmé et répété que « Moïse écrivit toutes les paroles de </w:t>
      </w:r>
      <w:r>
        <w:t>l'Éternel</w:t>
      </w:r>
      <w:r>
        <w:t xml:space="preserve"> » (</w:t>
      </w:r>
      <w:hyperlink r:id="rId1470">
        <w:r>
          <w:rPr>
            <w:color w:val="0000EE"/>
            <w:u w:val="single"/>
          </w:rPr>
          <w:t>24.4</w:t>
        </w:r>
      </w:hyperlink>
      <w:r>
        <w:t xml:space="preserve">). </w:t>
      </w:r>
      <w:hyperlink r:id="rId5960">
        <w:r>
          <w:rPr>
            <w:color w:val="0000EE"/>
            <w:u w:val="single"/>
          </w:rPr>
          <w:t>Nombres 33.2</w:t>
        </w:r>
      </w:hyperlink>
      <w:r>
        <w:t xml:space="preserve"> rapporte également que Moïse a écrit l'itinéraire des errances de l'exode et </w:t>
      </w:r>
      <w:hyperlink r:id="rId5961">
        <w:r>
          <w:rPr>
            <w:color w:val="0000EE"/>
            <w:u w:val="single"/>
          </w:rPr>
          <w:t xml:space="preserve">Deutéronome 31.9 </w:t>
        </w:r>
      </w:hyperlink>
      <w:r>
        <w:t xml:space="preserve">qu'il a écrit « cette loi ». Dans ce dernier passage, il n'est pas certain qu'il soit question de tous les cinq livres du Pentateuque. La référence est peut-être à la majeure partie du Deutéronome. </w:t>
      </w:r>
      <w:hyperlink r:id="rId565">
        <w:r>
          <w:rPr>
            <w:color w:val="0000EE"/>
            <w:u w:val="single"/>
          </w:rPr>
          <w:t>Exode 24.7</w:t>
        </w:r>
      </w:hyperlink>
      <w:r>
        <w:t xml:space="preserve"> dit que Moïse a lu le livre de l'alliance, qu'il venait de terminer.</w:t>
      </w:r>
    </w:p>
    <w:p>
      <w:r/>
      <w:r>
        <w:t>Le reste de l'AT confirme aussi que la loi a été écrite par Moïse. David parle de « la loi de Moïse » (</w:t>
      </w:r>
      <w:hyperlink r:id="rId5962">
        <w:r>
          <w:rPr>
            <w:color w:val="0000EE"/>
            <w:u w:val="single"/>
          </w:rPr>
          <w:t>1R 2.3</w:t>
        </w:r>
      </w:hyperlink>
      <w:r>
        <w:t xml:space="preserve">). À l'époque du roi Josias, on retrouve dans le Temple « </w:t>
      </w:r>
      <w:r>
        <w:t>le livre de la loi de l'Éternel donnée par Moïse</w:t>
      </w:r>
      <w:r>
        <w:t xml:space="preserve"> » (</w:t>
      </w:r>
      <w:hyperlink r:id="rId5963">
        <w:r>
          <w:rPr>
            <w:color w:val="0000EE"/>
            <w:u w:val="single"/>
          </w:rPr>
          <w:t>2Ch 34.14</w:t>
        </w:r>
      </w:hyperlink>
      <w:r>
        <w:t>). À l'époque d'Esdras, la lecture du « livre de la loi de Moïse » s'est faite tous les jours de la fête des Tabernacles célébrée par les exilés de retour dans leur pays (</w:t>
      </w:r>
      <w:hyperlink r:id="rId5964">
        <w:r>
          <w:rPr>
            <w:color w:val="0000EE"/>
            <w:u w:val="single"/>
          </w:rPr>
          <w:t>Né 8.1</w:t>
        </w:r>
      </w:hyperlink>
      <w:r>
        <w:t>).</w:t>
      </w:r>
    </w:p>
    <w:p>
      <w:r/>
      <w:r>
        <w:t>Dans le NT, Jésus parle aussi du « livre de Moïse » (</w:t>
      </w:r>
      <w:hyperlink r:id="rId1941">
        <w:r>
          <w:rPr>
            <w:color w:val="0000EE"/>
            <w:u w:val="single"/>
          </w:rPr>
          <w:t>Mc 12.26</w:t>
        </w:r>
      </w:hyperlink>
      <w:r>
        <w:t xml:space="preserve"> ; voir aussi </w:t>
      </w:r>
      <w:hyperlink r:id="rId2088">
        <w:r>
          <w:rPr>
            <w:color w:val="0000EE"/>
            <w:u w:val="single"/>
          </w:rPr>
          <w:t>Lc 20.37</w:t>
        </w:r>
      </w:hyperlink>
      <w:r>
        <w:t>) et désigne des commandements ou des déclarations comme venant de Moïse (</w:t>
      </w:r>
      <w:hyperlink r:id="rId5965">
        <w:r>
          <w:rPr>
            <w:color w:val="0000EE"/>
            <w:u w:val="single"/>
          </w:rPr>
          <w:t>Mt 8.4</w:t>
        </w:r>
      </w:hyperlink>
      <w:r>
        <w:t xml:space="preserve"> ; </w:t>
      </w:r>
      <w:hyperlink r:id="rId4271">
        <w:r>
          <w:rPr>
            <w:color w:val="0000EE"/>
            <w:u w:val="single"/>
          </w:rPr>
          <w:t>19.8</w:t>
        </w:r>
      </w:hyperlink>
      <w:r>
        <w:t xml:space="preserve"> ; </w:t>
      </w:r>
      <w:hyperlink r:id="rId5217">
        <w:r>
          <w:rPr>
            <w:color w:val="0000EE"/>
            <w:u w:val="single"/>
          </w:rPr>
          <w:t>Mc 7.10</w:t>
        </w:r>
      </w:hyperlink>
      <w:r>
        <w:t xml:space="preserve"> ; voir aussi </w:t>
      </w:r>
      <w:hyperlink r:id="rId5966">
        <w:r>
          <w:rPr>
            <w:color w:val="0000EE"/>
            <w:u w:val="single"/>
          </w:rPr>
          <w:t>Lc 16.31</w:t>
        </w:r>
      </w:hyperlink>
      <w:r>
        <w:t xml:space="preserve"> ; </w:t>
      </w:r>
      <w:hyperlink r:id="rId1932">
        <w:r>
          <w:rPr>
            <w:color w:val="0000EE"/>
            <w:u w:val="single"/>
          </w:rPr>
          <w:t>24.44</w:t>
        </w:r>
      </w:hyperlink>
      <w:r>
        <w:t>). Les Juifs citent également la Torah comme venant de Moïse, et Jésus ne les contredit pas.</w:t>
      </w:r>
    </w:p>
    <w:p>
      <w:r/>
      <w:r>
        <w:t>Concernant la Genèse en particulier, il est clair que Moïse aurait eu l'opportunité et la capacité de l'écrire. Il aurait peut-être pu la rédiger alors qu'il était encore en Égypte, ou durant son exil parmi les Kénites. Plus tard, en tant que chef du peuple d'Israël, il aurait peut-être eu accès à des archives que Jacob aurait apportées de Canaan. Moïse était « instruit dans toute la sagesse des Égyptiens » (</w:t>
      </w:r>
      <w:hyperlink r:id="rId5222">
        <w:r>
          <w:rPr>
            <w:color w:val="0000EE"/>
            <w:u w:val="single"/>
          </w:rPr>
          <w:t>Ac 7.22</w:t>
        </w:r>
      </w:hyperlink>
      <w:r>
        <w:t>) et pouvait probablement écrire dans plusieurs langues et plusieurs écritures (hiéroglyphique, cunéiforme, ancien hébreu). Moïse était non seulement admirablement qualifié pour écrire, mais aussi guidé par l'inspiration de Dieu (</w:t>
      </w:r>
      <w:hyperlink r:id="rId5967">
        <w:r>
          <w:rPr>
            <w:color w:val="0000EE"/>
            <w:u w:val="single"/>
          </w:rPr>
          <w:t>2P 1.21</w:t>
        </w:r>
      </w:hyperlink>
      <w:r>
        <w:t>). Il semble raisonnable de conclure que Moïse est aussi l'auteur de la Genèse, comme du reste de la Torah.</w:t>
      </w:r>
    </w:p>
    <w:p>
      <w:pPr>
        <w:pStyle w:val="Heading3"/>
      </w:pPr>
      <w:r>
        <w:t>Date</w:t>
      </w:r>
    </w:p>
    <w:p>
      <w:r/>
      <w:r>
        <w:t>Un point de vue plus libéral sur l'identité de l'auteur de la Genèse, et qui porte aussi sur la question de la date de composition, est que le livre est en fait un assemblage de textes d'origines différentes. Selon ce point de vue, le livre de la Genèse n'aurait donc pas un seul auteur et aurait été écrit bien plus tard que l'époque de Moïse. Cette idée est d'abord avancée par un médecin français, Jean Astruc. Il propose que les noms différents qui sont donnés à Dieu dans divers passages indiquent que ces passages viendraient de sources différentes qui auraient ensuite été combinées pour constituer le livre. Des exégètes historico-critiques allemands ont développé cette idée, qui est devenue l'hypothèse de Graf-Wellhausen-Kuenen. Celle-ci est aussi connue sous les nom d'</w:t>
      </w:r>
      <w:r>
        <w:rPr>
          <w:i/>
        </w:rPr>
        <w:t>hypothèse documentaire</w:t>
      </w:r>
      <w:r>
        <w:t xml:space="preserve"> ou </w:t>
      </w:r>
      <w:r>
        <w:rPr>
          <w:i/>
        </w:rPr>
        <w:t>théorie JEDP</w:t>
      </w:r>
      <w:r>
        <w:t xml:space="preserve">. Cette théorie soutient que quatre documents différents ont servi de sources : </w:t>
      </w:r>
    </w:p>
    <w:p>
      <w:pPr>
        <w:pStyle w:val="ListBullet"/>
        <w:spacing w:line="240" w:lineRule="auto"/>
        <w:ind w:left="720"/>
      </w:pPr>
      <w:r/>
      <w:r>
        <w:t xml:space="preserve">J, qui utilise le nom </w:t>
      </w:r>
      <w:r>
        <w:rPr>
          <w:i/>
        </w:rPr>
        <w:t>YHWH</w:t>
      </w:r>
      <w:r>
        <w:t xml:space="preserve"> (Yahvé) pour Dieu et qui daterait du 9</w:t>
      </w:r>
      <w:r>
        <w:rPr>
          <w:vertAlign w:val="superscript"/>
        </w:rPr>
        <w:t>e</w:t>
      </w:r>
      <w:r>
        <w:t xml:space="preserve"> siècle av. J.‑C. environ. Ce document proviendrait de Juda.</w:t>
      </w:r>
    </w:p>
    <w:p>
      <w:pPr>
        <w:pStyle w:val="ListBullet"/>
        <w:spacing w:line="240" w:lineRule="auto"/>
        <w:ind w:left="720"/>
      </w:pPr>
      <w:r/>
      <w:r>
        <w:t xml:space="preserve"> E, qui utilise le nom </w:t>
      </w:r>
      <w:r>
        <w:rPr>
          <w:i/>
        </w:rPr>
        <w:t>Elohim</w:t>
      </w:r>
      <w:r>
        <w:t xml:space="preserve"> et qui daterait du 8</w:t>
      </w:r>
      <w:r>
        <w:rPr>
          <w:vertAlign w:val="superscript"/>
        </w:rPr>
        <w:t>e</w:t>
      </w:r>
      <w:r>
        <w:t xml:space="preserve"> siècle. Ce document proviendrait du royaume du Nord.</w:t>
      </w:r>
    </w:p>
    <w:p>
      <w:pPr>
        <w:pStyle w:val="ListBullet"/>
        <w:spacing w:line="240" w:lineRule="auto"/>
        <w:ind w:left="720"/>
      </w:pPr>
      <w:r/>
      <w:r>
        <w:t>D, qui correspond au Deutéronome et proviendrait de l'époque de Josias, vers 621 av. J.‑C.</w:t>
      </w:r>
    </w:p>
    <w:p>
      <w:pPr>
        <w:pStyle w:val="ListBullet"/>
        <w:spacing w:line="240" w:lineRule="auto"/>
        <w:ind w:left="720"/>
      </w:pPr>
      <w:r/>
      <w:r>
        <w:t>P, la source des textes concernant les rituels et le sacerdoce. Ce texte daterait du 5</w:t>
      </w:r>
      <w:r>
        <w:rPr>
          <w:vertAlign w:val="superscript"/>
        </w:rPr>
        <w:t>e</w:t>
      </w:r>
      <w:r>
        <w:t xml:space="preserve"> siècle av. J.‑C., ou de plus tard. </w:t>
      </w:r>
    </w:p>
    <w:p>
      <w:r/>
      <w:r>
        <w:t>Certains proposent que des parties de la Genèse auraient été écrites aussi tard que la période hellénistique. Selon cette théorie, les documents sources auraient été progressivement combinés par des éditeurs, de sorte qu'il y aurait eu un JE, puis un JED et ainsi de suite.</w:t>
      </w:r>
    </w:p>
    <w:p>
      <w:r/>
      <w:r>
        <w:t>Les recherches archéologiques ont discrédité bon nombre des idées extrêmes de ces critiques, et les travaux de W. F. Albright et de ses successeurs ont grandement contribué à restaurer la confiance en l'historicité de la Genèse. Au cours des dernières décennies, les récits patriarcaux et le récit de Joseph ont de nouveau été vigoureusement remis en question, mais ces points de vue sont extrêmes, et une grande partie des preuves avancées par Albright et les érudits qui l'ont précédé, comme R. D. Wilson, W. H. Green et d'autres, demeurent valides.</w:t>
      </w:r>
    </w:p>
    <w:p>
      <w:r/>
      <w:r>
        <w:t>Comme mentionné ci-dessus, il y a débat sur la date de composition du livre. Le point de vue libéral sur la date de composition de la Genèse suggère des étapes de composition depuis le 9</w:t>
      </w:r>
      <w:r>
        <w:rPr>
          <w:vertAlign w:val="superscript"/>
        </w:rPr>
        <w:t>e</w:t>
      </w:r>
      <w:r>
        <w:t xml:space="preserve"> jusqu'au 5</w:t>
      </w:r>
      <w:r>
        <w:rPr>
          <w:vertAlign w:val="superscript"/>
        </w:rPr>
        <w:t>e</w:t>
      </w:r>
      <w:r>
        <w:t xml:space="preserve"> siècle av. J.‑C., et une rédaction finale du livre que nous avons maintenant autour du 5</w:t>
      </w:r>
      <w:r>
        <w:rPr>
          <w:vertAlign w:val="superscript"/>
        </w:rPr>
        <w:t>e</w:t>
      </w:r>
      <w:r>
        <w:t xml:space="preserve"> siècle av. J.-C. ou peut-être même plus tard. Même parmi ceux qui reconnaissent Moïse comme auteur, il y a discussion sur la période exacte pendant laquelle il a vécu. D'après les données bibliques, Moïse a vécu au 15</w:t>
      </w:r>
      <w:r>
        <w:rPr>
          <w:vertAlign w:val="superscript"/>
        </w:rPr>
        <w:t>e</w:t>
      </w:r>
      <w:r>
        <w:t xml:space="preserve"> siècle av. J.‑C. (voir </w:t>
      </w:r>
      <w:hyperlink r:id="rId2552">
        <w:r>
          <w:rPr>
            <w:color w:val="0000EE"/>
            <w:u w:val="single"/>
          </w:rPr>
          <w:t>Jg 11.26</w:t>
        </w:r>
      </w:hyperlink>
      <w:r>
        <w:t xml:space="preserve"> ; </w:t>
      </w:r>
      <w:hyperlink r:id="rId2539">
        <w:r>
          <w:rPr>
            <w:color w:val="0000EE"/>
            <w:u w:val="single"/>
          </w:rPr>
          <w:t>1R 6.1</w:t>
        </w:r>
      </w:hyperlink>
      <w:r>
        <w:t>). Cependant, de nombreux experts penchent pour une date au 13</w:t>
      </w:r>
      <w:r>
        <w:rPr>
          <w:vertAlign w:val="superscript"/>
        </w:rPr>
        <w:t>e</w:t>
      </w:r>
      <w:r>
        <w:t xml:space="preserve"> siècle. </w:t>
      </w:r>
    </w:p>
    <w:p>
      <w:pPr>
        <w:pStyle w:val="Heading3"/>
      </w:pPr>
      <w:r>
        <w:t>Objectif</w:t>
      </w:r>
    </w:p>
    <w:p>
      <w:r/>
      <w:r>
        <w:t>La Genèse décrit l'origine de nombreuses choses : l'univers, la Terre, les plantes, les animaux et l'humanité. Elle présente les débuts de structures sociales, de professions et de formes d'artisanat. Elle décrit l'origine du péché et de la mort, et illustre les intrigues de Satan pour nuire à l'humanité. Surtout, la Genèse raconte le début de l'histoire de la rédemption et annonce la venue d'un Rédempteur futur (</w:t>
      </w:r>
      <w:hyperlink r:id="rId250">
        <w:r>
          <w:rPr>
            <w:color w:val="0000EE"/>
            <w:u w:val="single"/>
          </w:rPr>
          <w:t>Gn 3.15</w:t>
        </w:r>
      </w:hyperlink>
      <w:r>
        <w:t>). Elle présente les premiers ancêtres de la lignée du Messie et la naissance du peuple hébreu, par lequel la Bible et le Sauveur sont venus. La Genèse offre également une histoire sélective de personnes et d'événements importants du point de vue des desseins de Dieu.</w:t>
      </w:r>
    </w:p>
    <w:p>
      <w:pPr>
        <w:pStyle w:val="Heading3"/>
      </w:pPr>
      <w:r>
        <w:t>Structure</w:t>
      </w:r>
    </w:p>
    <w:p>
      <w:r/>
      <w:r>
        <w:t>Le livre est divisé en 11 parties de longueurs inégales. Chacune est introduite par une expression quasiment identique en hébreu qui signifie « voici la postérité de » (</w:t>
      </w:r>
      <w:hyperlink r:id="rId3974">
        <w:r>
          <w:rPr>
            <w:color w:val="0000EE"/>
            <w:u w:val="single"/>
          </w:rPr>
          <w:t>2.4</w:t>
        </w:r>
      </w:hyperlink>
      <w:r>
        <w:t xml:space="preserve"> ; </w:t>
      </w:r>
      <w:hyperlink r:id="rId5968">
        <w:r>
          <w:rPr>
            <w:color w:val="0000EE"/>
            <w:u w:val="single"/>
          </w:rPr>
          <w:t>5.1</w:t>
        </w:r>
      </w:hyperlink>
      <w:r>
        <w:t xml:space="preserve"> ; </w:t>
      </w:r>
      <w:hyperlink r:id="rId2976">
        <w:r>
          <w:rPr>
            <w:color w:val="0000EE"/>
            <w:u w:val="single"/>
          </w:rPr>
          <w:t>6.9</w:t>
        </w:r>
      </w:hyperlink>
      <w:r>
        <w:t xml:space="preserve"> ; </w:t>
      </w:r>
      <w:hyperlink r:id="rId2372">
        <w:r>
          <w:rPr>
            <w:color w:val="0000EE"/>
            <w:u w:val="single"/>
          </w:rPr>
          <w:t>10.1</w:t>
        </w:r>
      </w:hyperlink>
      <w:r>
        <w:t xml:space="preserve"> ; </w:t>
      </w:r>
      <w:hyperlink r:id="rId5969">
        <w:r>
          <w:rPr>
            <w:color w:val="0000EE"/>
            <w:u w:val="single"/>
          </w:rPr>
          <w:t>11.10, 27</w:t>
        </w:r>
      </w:hyperlink>
      <w:r>
        <w:t xml:space="preserve"> ; </w:t>
      </w:r>
      <w:hyperlink r:id="rId5970">
        <w:r>
          <w:rPr>
            <w:color w:val="0000EE"/>
            <w:u w:val="single"/>
          </w:rPr>
          <w:t>25.12, 19</w:t>
        </w:r>
      </w:hyperlink>
      <w:r>
        <w:t xml:space="preserve"> ; </w:t>
      </w:r>
      <w:hyperlink r:id="rId5971">
        <w:r>
          <w:rPr>
            <w:color w:val="0000EE"/>
            <w:u w:val="single"/>
          </w:rPr>
          <w:t>36.1</w:t>
        </w:r>
      </w:hyperlink>
      <w:r>
        <w:t xml:space="preserve"> ; </w:t>
      </w:r>
      <w:hyperlink r:id="rId5972">
        <w:r>
          <w:rPr>
            <w:color w:val="0000EE"/>
            <w:u w:val="single"/>
          </w:rPr>
          <w:t>37.2</w:t>
        </w:r>
      </w:hyperlink>
      <w:r>
        <w:t>). Cette formule sert de titre dont la répétition relie les récits de la Genèse entre eux.</w:t>
      </w:r>
    </w:p>
    <w:p>
      <w:pPr>
        <w:pStyle w:val="Heading3"/>
      </w:pPr>
      <w:r>
        <w:t>Contenu</w:t>
      </w:r>
    </w:p>
    <w:p>
      <w:pPr>
        <w:pStyle w:val="Heading4"/>
      </w:pPr>
      <w:r>
        <w:t>La création (</w:t>
      </w:r>
      <w:hyperlink r:id="rId5973">
        <w:r>
          <w:rPr>
            <w:color w:val="0000EE"/>
            <w:u w:val="single"/>
          </w:rPr>
          <w:t>1.1–2.25</w:t>
        </w:r>
      </w:hyperlink>
      <w:r>
        <w:t>)</w:t>
      </w:r>
    </w:p>
    <w:p>
      <w:r/>
      <w:r>
        <w:t>Ces deux chapitres sont un champ de bataille scientifique et théologique depuis de nombreuses années, alors que chercheurs et étudiants tentent de sonder les origines de l'univers et de la vie. Une grande partie du récit de la création ne peut pas être testé scientifiquement, étant unique dans l'histoire de l'univers et ne pouvant donc pas être reproduite par des expériences scientifiques.</w:t>
      </w:r>
    </w:p>
    <w:p>
      <w:r/>
      <w:r>
        <w:t xml:space="preserve">La déclaration de </w:t>
      </w:r>
      <w:hyperlink r:id="rId1226">
        <w:r>
          <w:rPr>
            <w:color w:val="0000EE"/>
            <w:u w:val="single"/>
          </w:rPr>
          <w:t>Genèse 1.1</w:t>
        </w:r>
      </w:hyperlink>
      <w:r>
        <w:t xml:space="preserve"> reste la plus grande, la plus précise et la plus exacte des déclarations sur les origines : « Au commencement, Dieu créa les cieux et la terre ». Il l'a fait </w:t>
      </w:r>
      <w:r>
        <w:rPr>
          <w:i/>
        </w:rPr>
        <w:t>ex nihilo</w:t>
      </w:r>
      <w:r>
        <w:t xml:space="preserve"> (« à partir de rien ») par sa parole (</w:t>
      </w:r>
      <w:hyperlink r:id="rId3473">
        <w:r>
          <w:rPr>
            <w:color w:val="0000EE"/>
            <w:u w:val="single"/>
          </w:rPr>
          <w:t>Hé 11.3</w:t>
        </w:r>
      </w:hyperlink>
      <w:r>
        <w:t>). Il a parlé pour commander et ce qu'il a commandé s'est fait (</w:t>
      </w:r>
      <w:hyperlink r:id="rId5974">
        <w:r>
          <w:rPr>
            <w:color w:val="0000EE"/>
            <w:u w:val="single"/>
          </w:rPr>
          <w:t>Gn 1.3, 6, 9, 11, 14, 20</w:t>
        </w:r>
      </w:hyperlink>
      <w:r>
        <w:t xml:space="preserve"> ; </w:t>
      </w:r>
      <w:hyperlink r:id="rId5975">
        <w:r>
          <w:rPr>
            <w:color w:val="0000EE"/>
            <w:u w:val="single"/>
          </w:rPr>
          <w:t>Ps 33.6, 9</w:t>
        </w:r>
      </w:hyperlink>
      <w:r>
        <w:t>).</w:t>
      </w:r>
    </w:p>
    <w:p>
      <w:r/>
      <w:r>
        <w:t xml:space="preserve">La date du commencement est inconnue. Il est proposé que le début de l'univers remonte à des milliards d'années. C'est ce que proposent les uniformitaristes. Ce sont des chercheurs sur les origines de l'univers qui croient que les événements naturels ont toujours suivi un schéma uniforme (comp. avec </w:t>
      </w:r>
      <w:hyperlink r:id="rId5976">
        <w:r>
          <w:rPr>
            <w:color w:val="0000EE"/>
            <w:u w:val="single"/>
          </w:rPr>
          <w:t>2P 3.3–7</w:t>
        </w:r>
      </w:hyperlink>
      <w:r>
        <w:t>). Cependant, certains créationnistes proposent que le monde n'est vieux que de quelques milliers d'années.</w:t>
      </w:r>
    </w:p>
    <w:p>
      <w:r/>
      <w:r>
        <w:t xml:space="preserve">Certains interprètes proposent une période de temps indéterminée entre </w:t>
      </w:r>
      <w:hyperlink r:id="rId1226">
        <w:r>
          <w:rPr>
            <w:color w:val="0000EE"/>
            <w:u w:val="single"/>
          </w:rPr>
          <w:t>Genèse 1.1</w:t>
        </w:r>
      </w:hyperlink>
      <w:r>
        <w:t xml:space="preserve"> et </w:t>
      </w:r>
      <w:hyperlink r:id="rId46">
        <w:r>
          <w:rPr>
            <w:color w:val="0000EE"/>
            <w:u w:val="single"/>
          </w:rPr>
          <w:t xml:space="preserve">1.2 </w:t>
        </w:r>
      </w:hyperlink>
      <w:r>
        <w:t xml:space="preserve">pour réconcilier les temps géologiques et l'existence de fossiles d'espèces disparues. Selon leur hypothèse, le premier verset du livre décrit la création originale et </w:t>
      </w:r>
      <w:hyperlink r:id="rId5977">
        <w:r>
          <w:rPr>
            <w:color w:val="0000EE"/>
            <w:u w:val="single"/>
          </w:rPr>
          <w:t>Genèse 1.2–2.3</w:t>
        </w:r>
      </w:hyperlink>
      <w:r>
        <w:t xml:space="preserve"> décrit une seconde ou nouvelle création. Une autre hypothèse est que chaque jour du récit de la création représente en fait un âge géologique.</w:t>
      </w:r>
    </w:p>
    <w:p>
      <w:r/>
      <w:r>
        <w:t xml:space="preserve">Il y a une correspondance entre les trois premiers jours et les trois jours suivants dans le récit de la création. Le premier jour, la lumière est créée et le quatrième jour, les astres qui donnent de la lumière. Le deuxième jour, le firmament (ou mieux, « l'étendue ») qui divise les eaux est créé et le cinquième jour, les oiseaux et les animaux aquatiques qui y habitent. Le troisième jour, Dieu fait surgir la terre sèche des eaux et crée la végétation et le sixième jour, il crée les animaux terrestres et l'homme sur les terres. </w:t>
      </w:r>
    </w:p>
    <w:p>
      <w:r/>
      <w:r>
        <w:t>Dieu crée l'homme à l'image de Dieu (</w:t>
      </w:r>
      <w:hyperlink r:id="rId298">
        <w:r>
          <w:rPr>
            <w:color w:val="0000EE"/>
            <w:u w:val="single"/>
          </w:rPr>
          <w:t>Gn 1.26</w:t>
        </w:r>
      </w:hyperlink>
      <w:r>
        <w:t>), « de peu inférieur à Dieu » (</w:t>
      </w:r>
      <w:hyperlink r:id="rId5127">
        <w:r>
          <w:rPr>
            <w:color w:val="0000EE"/>
            <w:u w:val="single"/>
          </w:rPr>
          <w:t>Ps 8.5</w:t>
        </w:r>
      </w:hyperlink>
      <w:r>
        <w:t>), et lui donne de dominer sur la Terre. Il fait tout « selon son espèce », de sorte que chaque espèce est distincte et unique. La perfection de son œuvre est indiquée plusieurs fois : « Dieu vit que cela était bon » (</w:t>
      </w:r>
      <w:hyperlink r:id="rId5978">
        <w:r>
          <w:rPr>
            <w:color w:val="0000EE"/>
            <w:u w:val="single"/>
          </w:rPr>
          <w:t>Gn 1.4, 10, 12, 18, 21</w:t>
        </w:r>
      </w:hyperlink>
      <w:r>
        <w:t xml:space="preserve"> ; « très bon », v. </w:t>
      </w:r>
      <w:hyperlink r:id="rId5979">
        <w:r>
          <w:rPr>
            <w:color w:val="0000EE"/>
            <w:u w:val="single"/>
          </w:rPr>
          <w:t>31</w:t>
        </w:r>
      </w:hyperlink>
      <w:r>
        <w:t>). Le septième jour, Dieu cesse de créer. Ce jour sert de modèle comme jour de repos pour l'humanité (</w:t>
      </w:r>
      <w:hyperlink r:id="rId5980">
        <w:r>
          <w:rPr>
            <w:color w:val="0000EE"/>
            <w:u w:val="single"/>
          </w:rPr>
          <w:t>Gn 2.1–3</w:t>
        </w:r>
      </w:hyperlink>
      <w:r>
        <w:t>).</w:t>
      </w:r>
    </w:p>
    <w:p>
      <w:r/>
      <w:r>
        <w:t xml:space="preserve">La recherche critique considère que </w:t>
      </w:r>
      <w:hyperlink r:id="rId5981">
        <w:r>
          <w:rPr>
            <w:color w:val="0000EE"/>
            <w:u w:val="single"/>
          </w:rPr>
          <w:t>2.4–25</w:t>
        </w:r>
      </w:hyperlink>
      <w:r>
        <w:t xml:space="preserve"> est un deuxième récit de la même histoire, mais qui ne s'accorde pas avec </w:t>
      </w:r>
      <w:hyperlink r:id="rId5982">
        <w:r>
          <w:rPr>
            <w:color w:val="0000EE"/>
            <w:u w:val="single"/>
          </w:rPr>
          <w:t>Genèse 1.1–2.3</w:t>
        </w:r>
      </w:hyperlink>
      <w:r>
        <w:t xml:space="preserve">. Pour les érudits plus conservateurs, le deuxième chapitre reprend simplement le même récit pour en présenter un autre angle. Le chapitre </w:t>
      </w:r>
      <w:hyperlink r:id="rId2644">
        <w:r>
          <w:rPr>
            <w:color w:val="0000EE"/>
            <w:u w:val="single"/>
          </w:rPr>
          <w:t>1</w:t>
        </w:r>
      </w:hyperlink>
      <w:r>
        <w:t xml:space="preserve"> présente la création selon l'ordre dans lequel tout a été créé. Le chapitre </w:t>
      </w:r>
      <w:hyperlink r:id="rId2645">
        <w:r>
          <w:rPr>
            <w:color w:val="0000EE"/>
            <w:u w:val="single"/>
          </w:rPr>
          <w:t>2</w:t>
        </w:r>
      </w:hyperlink>
      <w:r>
        <w:t xml:space="preserve"> raconte la création en se concentrant particulièrement sur la place centrale de l'humanité dans l'œuvre créatrice de Dieu. Le chapitre </w:t>
      </w:r>
      <w:hyperlink r:id="rId2645">
        <w:r>
          <w:rPr>
            <w:color w:val="0000EE"/>
            <w:u w:val="single"/>
          </w:rPr>
          <w:t>2</w:t>
        </w:r>
      </w:hyperlink>
      <w:r>
        <w:t xml:space="preserve"> est un récit plus détaillé de la création de l'homme et de la femme. L'homme est créé à partir de la « poussière de la terre » (v. </w:t>
      </w:r>
      <w:hyperlink r:id="rId233">
        <w:r>
          <w:rPr>
            <w:color w:val="0000EE"/>
            <w:u w:val="single"/>
          </w:rPr>
          <w:t>7</w:t>
        </w:r>
      </w:hyperlink>
      <w:r>
        <w:t xml:space="preserve">) et la femme est créée à partir d'une côte de l'homme (v. </w:t>
      </w:r>
      <w:hyperlink r:id="rId5983">
        <w:r>
          <w:rPr>
            <w:color w:val="0000EE"/>
            <w:u w:val="single"/>
          </w:rPr>
          <w:t>21–22</w:t>
        </w:r>
      </w:hyperlink>
      <w:r>
        <w:t xml:space="preserve">). La femme est créée pour être « </w:t>
      </w:r>
      <w:r>
        <w:t>une aide semblable</w:t>
      </w:r>
      <w:r>
        <w:t xml:space="preserve"> » à l'homme (v. </w:t>
      </w:r>
      <w:hyperlink r:id="rId5984">
        <w:r>
          <w:rPr>
            <w:color w:val="0000EE"/>
            <w:u w:val="single"/>
          </w:rPr>
          <w:t>18–20</w:t>
        </w:r>
      </w:hyperlink>
      <w:r>
        <w:t xml:space="preserve">). Ces deux premiers êtres humains sont créés adultes, avec le don de la parole et une grande intelligence. Adam possède une imagination et un vocabulaire suffisants pour donner des noms à toutes les espèces animales (v. </w:t>
      </w:r>
      <w:hyperlink r:id="rId5985">
        <w:r>
          <w:rPr>
            <w:color w:val="0000EE"/>
            <w:u w:val="single"/>
          </w:rPr>
          <w:t>19</w:t>
        </w:r>
      </w:hyperlink>
      <w:r>
        <w:t>).</w:t>
      </w:r>
    </w:p>
    <w:p>
      <w:r/>
      <w:r>
        <w:t xml:space="preserve">Le récit décrit où se trouve le jardin d'Éden (v. </w:t>
      </w:r>
      <w:hyperlink r:id="rId5986">
        <w:r>
          <w:rPr>
            <w:color w:val="0000EE"/>
            <w:u w:val="single"/>
          </w:rPr>
          <w:t>10–14</w:t>
        </w:r>
      </w:hyperlink>
      <w:r>
        <w:t>). Deux des quatre fleuves mentionnés, l'Hiddékel et l'Euphrate, sont connus aujourd'hui et peuvent donc être identifiés avec certitude. Le premier couple humain vit dans la joie dans ce beau jardin, ne connaissant pas le mal.</w:t>
      </w:r>
    </w:p>
    <w:p>
      <w:pPr>
        <w:pStyle w:val="Heading4"/>
      </w:pPr>
      <w:r>
        <w:t>L'humanité d'Éden à Babel (</w:t>
      </w:r>
      <w:hyperlink r:id="rId5987">
        <w:r>
          <w:rPr>
            <w:color w:val="0000EE"/>
            <w:u w:val="single"/>
          </w:rPr>
          <w:t>3.1–11.26</w:t>
        </w:r>
      </w:hyperlink>
      <w:r>
        <w:t>)</w:t>
      </w:r>
    </w:p>
    <w:p>
      <w:r/>
      <w:r>
        <w:t>La chute</w:t>
      </w:r>
    </w:p>
    <w:p>
      <w:r/>
      <w:r>
        <w:t>Le récit du déchirement de la communion spirituelle entre l'humanité et Dieu, suivi par la perte du jardin paradisiaque d'Éden, est le plus triste des chapitres de l'histoire de l'humanité. Le diable est le serpent qui s'approche d'Ève pour la tenter avec la même stratégie qu'il utilise toujours : faire douter les gens de ce que Dieu a dit (</w:t>
      </w:r>
      <w:hyperlink r:id="rId237">
        <w:r>
          <w:rPr>
            <w:color w:val="0000EE"/>
            <w:u w:val="single"/>
          </w:rPr>
          <w:t>Gn 3.1</w:t>
        </w:r>
      </w:hyperlink>
      <w:r>
        <w:t xml:space="preserve">), leur faire croire qu'ils n'ont pas à avoir peur de mourir (v. </w:t>
      </w:r>
      <w:hyperlink r:id="rId5988">
        <w:r>
          <w:rPr>
            <w:color w:val="0000EE"/>
            <w:u w:val="single"/>
          </w:rPr>
          <w:t>4</w:t>
        </w:r>
      </w:hyperlink>
      <w:r>
        <w:t xml:space="preserve">) et qu'ils peuvent être égaux à Dieu (v. </w:t>
      </w:r>
      <w:hyperlink r:id="rId239">
        <w:r>
          <w:rPr>
            <w:color w:val="0000EE"/>
            <w:u w:val="single"/>
          </w:rPr>
          <w:t>5</w:t>
        </w:r>
      </w:hyperlink>
      <w:r>
        <w:t>). Le diable réussit à influencer Ève en la tentant avec la fausse promesse que manger du fruit interdit par Dieu lui donnera une sagesse comme celle de Dieu (</w:t>
      </w:r>
      <w:hyperlink r:id="rId239">
        <w:r>
          <w:rPr>
            <w:color w:val="0000EE"/>
            <w:u w:val="single"/>
          </w:rPr>
          <w:t>Gn 3.5</w:t>
        </w:r>
      </w:hyperlink>
      <w:r>
        <w:t xml:space="preserve"> ; voir aussi </w:t>
      </w:r>
      <w:hyperlink r:id="rId5989">
        <w:r>
          <w:rPr>
            <w:color w:val="0000EE"/>
            <w:u w:val="single"/>
          </w:rPr>
          <w:t>1Jn 2.16</w:t>
        </w:r>
      </w:hyperlink>
      <w:r>
        <w:t>). C'est Ève que le diable trompe. Elle donne ensuite du fruit à Adam, et celui-ci choisit de faire comme sa femme plutôt que d'obéir à Dieu (</w:t>
      </w:r>
      <w:hyperlink r:id="rId5990">
        <w:r>
          <w:rPr>
            <w:color w:val="0000EE"/>
            <w:u w:val="single"/>
          </w:rPr>
          <w:t>Gn 3.6</w:t>
        </w:r>
      </w:hyperlink>
      <w:r>
        <w:t xml:space="preserve"> ; voir aussi </w:t>
      </w:r>
      <w:hyperlink r:id="rId238">
        <w:r>
          <w:rPr>
            <w:color w:val="0000EE"/>
            <w:u w:val="single"/>
          </w:rPr>
          <w:t>1Tm 2.14</w:t>
        </w:r>
      </w:hyperlink>
      <w:r>
        <w:t>). Plus tard, quand Dieu vient dans le jardin pour lui parler, Adam essaie de rejeter la faute sur Dieu en disant que c'est la femme que Dieu lui a donnée qui lui a offert le fruit à manger (</w:t>
      </w:r>
      <w:hyperlink r:id="rId242">
        <w:r>
          <w:rPr>
            <w:color w:val="0000EE"/>
            <w:u w:val="single"/>
          </w:rPr>
          <w:t>Gn 3.12</w:t>
        </w:r>
      </w:hyperlink>
      <w:r>
        <w:t xml:space="preserve">). La communion spirituelle avec Dieu qui existe depuis le début est déchirée par la désobéissance d'Adam et Ève (v. </w:t>
      </w:r>
      <w:hyperlink r:id="rId241">
        <w:r>
          <w:rPr>
            <w:color w:val="0000EE"/>
            <w:u w:val="single"/>
          </w:rPr>
          <w:t>8</w:t>
        </w:r>
      </w:hyperlink>
      <w:r>
        <w:t>).</w:t>
      </w:r>
    </w:p>
    <w:p>
      <w:r/>
      <w:r>
        <w:t>Le péché entraîne le jugement de Dieu. Le Seigneur déclare un juste jugement contre le serpent, la femme et l'homme pour ce que chacun a fait. La création aussi devient soumise à la « servitude de la corruption » à cause du péché d'Adam et Ève. Aujourd'hui encore, la création tout entière soupire en attendant sa rédemption (</w:t>
      </w:r>
      <w:hyperlink r:id="rId5991">
        <w:r>
          <w:rPr>
            <w:color w:val="0000EE"/>
            <w:u w:val="single"/>
          </w:rPr>
          <w:t>Rm 8.21–22</w:t>
        </w:r>
      </w:hyperlink>
      <w:r>
        <w:t>). Malgré tout le mal survenu par la désobéissance de l'homme, Dieu donne la promesse d'un Rédempteur (</w:t>
      </w:r>
      <w:hyperlink r:id="rId250">
        <w:r>
          <w:rPr>
            <w:color w:val="0000EE"/>
            <w:u w:val="single"/>
          </w:rPr>
          <w:t>Gn 3.15</w:t>
        </w:r>
      </w:hyperlink>
      <w:r>
        <w:t>) qui viendra écraser la tête du serpent. Adam et Ève sont chassés du jardin d'Éden, qui devient inaccessible.</w:t>
      </w:r>
    </w:p>
    <w:p>
      <w:r/>
      <w:r>
        <w:t>Peut-être Ève a-t-elle pensé que son premier-né serait le libérateur promis ? Au contraire, Caïn cultive le péché dans son cœur. Par jalousie, il tue son propre frère. Quand Dieu le confronte à son crime, Caïn ne parle que pour se plaindre de la sévérité de son jugement. Il part ensuite s'installer vers l'est d'Éden, où il construit une ville (</w:t>
      </w:r>
      <w:hyperlink r:id="rId5992">
        <w:r>
          <w:rPr>
            <w:color w:val="0000EE"/>
            <w:u w:val="single"/>
          </w:rPr>
          <w:t>4.1–16</w:t>
        </w:r>
      </w:hyperlink>
      <w:r>
        <w:t xml:space="preserve">). Le chapitre </w:t>
      </w:r>
      <w:hyperlink r:id="rId5537">
        <w:r>
          <w:rPr>
            <w:color w:val="0000EE"/>
            <w:u w:val="single"/>
          </w:rPr>
          <w:t>4</w:t>
        </w:r>
      </w:hyperlink>
      <w:r>
        <w:t xml:space="preserve"> conclut par un autre contraste. D'une part, le péché se voit encore dans les intentions de vengeance meurtrière de Lémec. D'autre part, l'humanité commence à invoquer le nom du Seigneur.</w:t>
      </w:r>
    </w:p>
    <w:p>
      <w:r/>
      <w:r>
        <w:t>La postérité d'Adam</w:t>
      </w:r>
    </w:p>
    <w:p>
      <w:r/>
      <w:r>
        <w:t>Cette liste généalogique (</w:t>
      </w:r>
      <w:hyperlink r:id="rId2535">
        <w:r>
          <w:rPr>
            <w:color w:val="0000EE"/>
            <w:u w:val="single"/>
          </w:rPr>
          <w:t>5.1–32</w:t>
        </w:r>
      </w:hyperlink>
      <w:r>
        <w:t>) commence avec Adam et continue jusqu'à l'époque de Noé et du déluge. La durée de vie humaine avant le déluge est beaucoup plus longue qu'après, mais diminue déjà progressivement. Toutes ces longues vies finissent malgré tout chacune par la déclaration « puis il mourut », soulignant que le jugement de la mort est maintenant le lot de toute l'humanité. Un espoir et contraste est pourtant représenté par la vie d'Hénoc. En effet, « Hénoc marcha avec Dieu ; puis il ne fut plus, parce que Dieu le prit » (</w:t>
      </w:r>
      <w:hyperlink r:id="rId5993">
        <w:r>
          <w:rPr>
            <w:color w:val="0000EE"/>
            <w:u w:val="single"/>
          </w:rPr>
          <w:t>5.24</w:t>
        </w:r>
      </w:hyperlink>
      <w:r>
        <w:t>). Juste avant le déluge, Dieu décide de limiter la durée de vie des hommes à cause de leur très grande méchanceté (</w:t>
      </w:r>
      <w:hyperlink r:id="rId5994">
        <w:r>
          <w:rPr>
            <w:color w:val="0000EE"/>
            <w:u w:val="single"/>
          </w:rPr>
          <w:t>Gn 6.1–7</w:t>
        </w:r>
      </w:hyperlink>
      <w:r>
        <w:t xml:space="preserve">). </w:t>
      </w:r>
    </w:p>
    <w:p>
      <w:r/>
      <w:r>
        <w:t>Le déluge</w:t>
      </w:r>
    </w:p>
    <w:p>
      <w:r/>
      <w:r>
        <w:t>Avec la croissance de la population humaine, le péché empire de plus en plus (</w:t>
      </w:r>
      <w:hyperlink r:id="rId5995">
        <w:r>
          <w:rPr>
            <w:color w:val="0000EE"/>
            <w:u w:val="single"/>
          </w:rPr>
          <w:t>6.1–5</w:t>
        </w:r>
      </w:hyperlink>
      <w:r>
        <w:t xml:space="preserve">). Il y a tellement de corruption et de violence que Dieu décide de détruire l'humanité (v. </w:t>
      </w:r>
      <w:hyperlink r:id="rId2793">
        <w:r>
          <w:rPr>
            <w:color w:val="0000EE"/>
            <w:u w:val="single"/>
          </w:rPr>
          <w:t>5</w:t>
        </w:r>
      </w:hyperlink>
      <w:r>
        <w:t>). Cependant, le Seigneur épargne Noé et avec lui, sa famille, car c'est un homme juste et intègre qui marche avec Dieu (</w:t>
      </w:r>
      <w:hyperlink r:id="rId5996">
        <w:r>
          <w:rPr>
            <w:color w:val="0000EE"/>
            <w:u w:val="single"/>
          </w:rPr>
          <w:t>6.8–9</w:t>
        </w:r>
      </w:hyperlink>
      <w:r>
        <w:t>).</w:t>
      </w:r>
    </w:p>
    <w:p>
      <w:r/>
      <w:r>
        <w:t xml:space="preserve">Comme le Seigneur va inonder la Terre, il ordonne à Noé de construire un énorme bateau (une arche). Noé doit prendre avec lui des animaux à bord de l'arche, deux par deux, mâle et femelle, pour permettre à chaque espèce de survivre. Lorsque tout est prêt, le déluge commence : « </w:t>
      </w:r>
      <w:r>
        <w:t>toutes les sources du grand abîme jaillirent, et les écluses des cieux s'ouvrirent</w:t>
      </w:r>
      <w:r>
        <w:t xml:space="preserve"> » (</w:t>
      </w:r>
      <w:hyperlink r:id="rId3693">
        <w:r>
          <w:rPr>
            <w:color w:val="0000EE"/>
            <w:u w:val="single"/>
          </w:rPr>
          <w:t>7.11</w:t>
        </w:r>
      </w:hyperlink>
      <w:r>
        <w:t>). La pluie tombe pendant 40 jours et 40 nuits. Les plus hautes montagnes sont couvertes par les eaux et toute l'humanité et les animaux en dehors l'arche meurent. Mais Dieu se souvient de Noé et envoie un vent pour aider à faire évaporer l'eau (</w:t>
      </w:r>
      <w:hyperlink r:id="rId5997">
        <w:r>
          <w:rPr>
            <w:color w:val="0000EE"/>
            <w:u w:val="single"/>
          </w:rPr>
          <w:t>8.1</w:t>
        </w:r>
      </w:hyperlink>
      <w:r>
        <w:t xml:space="preserve">). Au bout de plusieurs mois, l'arche s'immobilise sur les montagnes d'Ararat (v. </w:t>
      </w:r>
      <w:hyperlink r:id="rId1130">
        <w:r>
          <w:rPr>
            <w:color w:val="0000EE"/>
            <w:u w:val="single"/>
          </w:rPr>
          <w:t>4</w:t>
        </w:r>
      </w:hyperlink>
      <w:r>
        <w:t>). Noé offre un sacrifice au Seigneur, qui promet de ne plus jamais soumettre la Terre à une telle destruction.</w:t>
      </w:r>
    </w:p>
    <w:p>
      <w:r/>
      <w:r>
        <w:t>Le déluge est un autre événement biblique qui fait l'objet de nombreux débats. Des récits anciens de déluge existent un peu partout dans le monde. Beaucoup ont proposé que le déluge n'aurait pas été mondial mais plutôt régional et que seule une partie de la Mésopotamie aurait été inondée. Des excavations de tells (sites archéologiques en forme de colline) en Mésopotamie ont révélé qu'il y a eu d'importantes inondations. Il existe des récits anciens de déluge dans cette région. Des archéologues ont donc proposé cela comme preuve d'un déluge régional et affirmé que ces récits ont inspiré l'histoire du déluge dans la Genèse. L'épopée de Gilgamesh raconte une histoire intéressante. Gilgamesh part en mission pour rendre visite à Utnapishtim (un personnage qui rappelle Noé), à la recherche de la vie éternelle. L'histoire du déluge racontée par Utnapishtim présente un certain nombre de similarités avec celui de la Genèse. Mais il y a bien plus de différences que de similarités entre les deux récits, et celles-ci démontrent que la Bible préserve le véritable récit.</w:t>
      </w:r>
    </w:p>
    <w:p>
      <w:r/>
      <w:r>
        <w:t xml:space="preserve">Le récit de la Genèse et les mentions de celui-ci dans le NT (voir </w:t>
      </w:r>
      <w:hyperlink r:id="rId5998">
        <w:r>
          <w:rPr>
            <w:color w:val="0000EE"/>
            <w:u w:val="single"/>
          </w:rPr>
          <w:t>2P 3.6</w:t>
        </w:r>
      </w:hyperlink>
      <w:r>
        <w:t xml:space="preserve">) accordent plus de soutien à la conclusion que le déluge a été une catastrophe mondiale sans précédent plutôt qu'un événement limité à la région du Tigre et de l'Euphrate. Des géologues chrétiens affirment que le déluge a eu des effets importants sur la Terre elle-même. </w:t>
      </w:r>
    </w:p>
    <w:p>
      <w:r/>
      <w:r>
        <w:t>Après le déluge, Dieu bénit Noé et ses fils, Cham, Sem et Japhet. Dieu fait alliance avec Noé et promet qu'il n'enverra plus jamais de déluge. Il donne l'arc-en-ciel comme signe de cette alliance.</w:t>
      </w:r>
    </w:p>
    <w:p>
      <w:r/>
      <w:r>
        <w:t>Noé est le premier à cultiver une vigne (</w:t>
      </w:r>
      <w:hyperlink r:id="rId5999">
        <w:r>
          <w:rPr>
            <w:color w:val="0000EE"/>
            <w:u w:val="single"/>
          </w:rPr>
          <w:t>9.20</w:t>
        </w:r>
      </w:hyperlink>
      <w:r>
        <w:t>). Il devient ivre après avoir bu de son vin et se couche nu dans sa tente. Cham le voit et le rapporte à ses frères, qui couvrent leur père en regardant dans la direction opposée. Noé maudit Cham ainsi que son fils, Canaan, mais bénit Sem et Japhet.</w:t>
      </w:r>
    </w:p>
    <w:p>
      <w:r/>
      <w:r>
        <w:t>L'histoire des nations</w:t>
      </w:r>
    </w:p>
    <w:p>
      <w:r/>
      <w:r>
        <w:t xml:space="preserve">« </w:t>
      </w:r>
      <w:r>
        <w:t>Voici la postérité des fils de Noé, Sem, Cham et Japhet. Il leur naquit des fils après le déluge</w:t>
      </w:r>
      <w:r>
        <w:t xml:space="preserve"> » (</w:t>
      </w:r>
      <w:hyperlink r:id="rId2372">
        <w:r>
          <w:rPr>
            <w:color w:val="0000EE"/>
            <w:u w:val="single"/>
          </w:rPr>
          <w:t>10.1</w:t>
        </w:r>
      </w:hyperlink>
      <w:r>
        <w:t xml:space="preserve">). Ce chapitre identifie les descendants des trois fils de Noé : Japhet (v. </w:t>
      </w:r>
      <w:hyperlink r:id="rId6000">
        <w:r>
          <w:rPr>
            <w:color w:val="0000EE"/>
            <w:u w:val="single"/>
          </w:rPr>
          <w:t>2–5</w:t>
        </w:r>
      </w:hyperlink>
      <w:r>
        <w:t xml:space="preserve">), Cham (v. </w:t>
      </w:r>
      <w:hyperlink r:id="rId6001">
        <w:r>
          <w:rPr>
            <w:color w:val="0000EE"/>
            <w:u w:val="single"/>
          </w:rPr>
          <w:t>6–20</w:t>
        </w:r>
      </w:hyperlink>
      <w:r>
        <w:t xml:space="preserve">) et Sem (v. </w:t>
      </w:r>
      <w:hyperlink r:id="rId6002">
        <w:r>
          <w:rPr>
            <w:color w:val="0000EE"/>
            <w:u w:val="single"/>
          </w:rPr>
          <w:t>21–31</w:t>
        </w:r>
      </w:hyperlink>
      <w:r>
        <w:t>). Beaucoup des noms de leurs descendants sont toujours utilisés de nos jours dans des tribus et des nations du monde.</w:t>
      </w:r>
    </w:p>
    <w:p>
      <w:r/>
      <w:r>
        <w:t>La tour de Babel</w:t>
      </w:r>
    </w:p>
    <w:p>
      <w:r/>
      <w:r>
        <w:t>La construction de la Tour de Babel (Babel signifie « porte de Dieu ») illustre la perversité de l'homme et sa tendance à défier Dieu. Le désir de l'homme de remplacer Dieu suit l'exemple de Satan et constitue un principe fondamental de nombreux cultes. Dieu anéantit les plans des bâtisseurs de Babel en confondant leurs langues. Comme ils ne se comprennent plus, le projet prend fin (</w:t>
      </w:r>
      <w:hyperlink r:id="rId1525">
        <w:r>
          <w:rPr>
            <w:color w:val="0000EE"/>
            <w:u w:val="single"/>
          </w:rPr>
          <w:t>11.1–9</w:t>
        </w:r>
      </w:hyperlink>
      <w:r>
        <w:t xml:space="preserve">). Le site de cette tour n'est pas connu avec certitude. Certains pensent qu'il s'agit de Birs Nimrud (Borsippa), qui se trouve près des ruines de la ville de Babylone. </w:t>
      </w:r>
      <w:hyperlink r:id="rId6003">
        <w:r>
          <w:rPr>
            <w:color w:val="0000EE"/>
            <w:u w:val="single"/>
          </w:rPr>
          <w:t>Genèse 11.10–25</w:t>
        </w:r>
      </w:hyperlink>
      <w:r>
        <w:t xml:space="preserve"> continue la lignée des descendants de Sem jusqu'à Térach, le père d'Abram.</w:t>
      </w:r>
    </w:p>
    <w:p>
      <w:pPr>
        <w:pStyle w:val="Heading4"/>
      </w:pPr>
      <w:r>
        <w:t>Abraham (</w:t>
      </w:r>
      <w:hyperlink r:id="rId6004">
        <w:r>
          <w:rPr>
            <w:color w:val="0000EE"/>
            <w:u w:val="single"/>
          </w:rPr>
          <w:t>11.27–25.10</w:t>
        </w:r>
      </w:hyperlink>
      <w:r>
        <w:t>) et Isaac (</w:t>
      </w:r>
      <w:hyperlink r:id="rId6005">
        <w:r>
          <w:rPr>
            <w:color w:val="0000EE"/>
            <w:u w:val="single"/>
          </w:rPr>
          <w:t>21.1–28.5</w:t>
        </w:r>
      </w:hyperlink>
      <w:r>
        <w:t>)</w:t>
      </w:r>
    </w:p>
    <w:p>
      <w:r/>
      <w:r>
        <w:t>Abram vient d'Ur en Chaldée, une ville prospère. La ville possède une ziggurat imposante et de nombreux autres temples, entrepôts et résidences. (Une ziggurat ou ziggourat est un temple en forme de tour.) Abram et Saraï, sa demi-sœur et épouse, partent avec leur père à Haran en Syrie. Haran, comme Ur, est un centre de culte du dieu-lune, Sin (aussi appelé Nannar).</w:t>
      </w:r>
    </w:p>
    <w:p>
      <w:r/>
      <w:r>
        <w:t>Appel d'Abram</w:t>
      </w:r>
    </w:p>
    <w:p>
      <w:r/>
      <w:r>
        <w:t>Dieu appelle Abram à marcher dans ses voies et à devenir l'héritier de ses promesses. Il lui dit de partir de là où vit et de quitter les autres membres de sa famille pour aller dans le pays qu'il lui montrerait (</w:t>
      </w:r>
      <w:hyperlink r:id="rId6006">
        <w:r>
          <w:rPr>
            <w:color w:val="0000EE"/>
            <w:u w:val="single"/>
          </w:rPr>
          <w:t>12.1</w:t>
        </w:r>
      </w:hyperlink>
      <w:r>
        <w:t xml:space="preserve"> ; voir </w:t>
      </w:r>
      <w:hyperlink r:id="rId6007">
        <w:r>
          <w:rPr>
            <w:color w:val="0000EE"/>
            <w:u w:val="single"/>
          </w:rPr>
          <w:t>Ac 7.2–3</w:t>
        </w:r>
      </w:hyperlink>
      <w:r>
        <w:t>). Abram obéit et à l'âge de 75 ans, part d'Haran avec sa femme Saraï et son neveu Lot. Ils se rendent à Sichem. Là, le Seigneur lui apparaît et promet de donner le pays dans lequel il se trouve à ses descendants.</w:t>
      </w:r>
    </w:p>
    <w:p>
      <w:r/>
      <w:r>
        <w:t>Abram part pour l'Égypte à cause d'une famine (</w:t>
      </w:r>
      <w:hyperlink r:id="rId68">
        <w:r>
          <w:rPr>
            <w:color w:val="0000EE"/>
            <w:u w:val="single"/>
          </w:rPr>
          <w:t>Gn 12.10–20</w:t>
        </w:r>
      </w:hyperlink>
      <w:r>
        <w:t>). Saraï, sa femme, est très belle. Abram a peur que quelqu'un le tue pour la lui prendre. Il lui demande alors de dire qu'elle est sa sœur. Le pharaon la fait entrer dans son harem. Lorsque le Seigneur frappe pharaon de fléaux à cause de cela, le mensonge d'Abram est découvert et Saraï lui est rendue.</w:t>
      </w:r>
    </w:p>
    <w:p>
      <w:r/>
      <w:r>
        <w:t>Abram et Lot</w:t>
      </w:r>
    </w:p>
    <w:p>
      <w:r/>
      <w:r>
        <w:t>Après leur retour dans le pays de Canaan, une querelle éclate entre les bergers d'Abram et ceux de Lot. Abram propose qu'ils se séparent et permet à Lot de choisir le territoire où il souhaite s'installer. Lot choisit la vallée du Jourdain, qui est bien arrosée, ainsi que les villes de la plaine, où se trouvent Sodome et Gomorrhe (</w:t>
      </w:r>
      <w:hyperlink r:id="rId6008">
        <w:r>
          <w:rPr>
            <w:color w:val="0000EE"/>
            <w:u w:val="single"/>
          </w:rPr>
          <w:t>Gn 13</w:t>
        </w:r>
      </w:hyperlink>
      <w:r>
        <w:t>).</w:t>
      </w:r>
    </w:p>
    <w:p>
      <w:r/>
      <w:r>
        <w:t>L'invasion des quatre rois de l'Orient</w:t>
      </w:r>
    </w:p>
    <w:p>
      <w:r/>
      <w:r>
        <w:t xml:space="preserve">Nous ne savons pas avec certitude qui sont les rois qui envahissent le territoire en suivant la route royale en Transjordanie. Ils s'attaquent aux cinq villes de la plaine et en repartent vainqueurs, avec beaucoup de butin et de nombreux prisonniers, y compris Lot. Quand Abram apprend la nouvelle, il prend avec lui 318 de ses serviteurs, nés dans sa maison, et se lance à leur poursuite. Il les attaque de nuit et reprend Lot et le butin. À son retour, il est accueilli par Melchisédek, roi de Jérusalem. Abram paie à Melchisédek une dîme, c'est à dire dix pourcent du butin (chap. </w:t>
      </w:r>
      <w:hyperlink r:id="rId6009">
        <w:r>
          <w:rPr>
            <w:color w:val="0000EE"/>
            <w:u w:val="single"/>
          </w:rPr>
          <w:t>14</w:t>
        </w:r>
      </w:hyperlink>
      <w:r>
        <w:t>).</w:t>
      </w:r>
    </w:p>
    <w:p>
      <w:r/>
      <w:r>
        <w:t>L'alliance</w:t>
      </w:r>
    </w:p>
    <w:p>
      <w:r/>
      <w:r>
        <w:t xml:space="preserve">Le Seigneur promet à Abram de lui donner un fils qui sera son héritier. Lors d'une cérémonie saisissante qui se passe de nuit, Dieu fait alliance avec Abram et lui promet le pays qui s'étend depuis le fleuve d'Égypte (Wadi el Arish) jusqu'à l'Euphrate (chap. </w:t>
      </w:r>
      <w:hyperlink r:id="rId546">
        <w:r>
          <w:rPr>
            <w:color w:val="0000EE"/>
            <w:u w:val="single"/>
          </w:rPr>
          <w:t>15</w:t>
        </w:r>
      </w:hyperlink>
      <w:r>
        <w:t xml:space="preserve">). Saraï n'arrive pas à avoir d'enfant. Elle donne donc Agar, sa servante égyptienne, à Abram, pour qu'il ait un enfant avec elle. Saraï a l'intention d'adopter cet enfant. </w:t>
      </w:r>
    </w:p>
    <w:p>
      <w:r/>
      <w:r>
        <w:t xml:space="preserve">Lorsqu'Agar devient enceinte, elle commence à manquer de respect à sa maîtresse. Saraï la traite alors durement et elle s'enfuit. Dieu dit à Agar de retourner vers sa maîtresse et de soumettre à elle, et lui promet qu'elle va avoir un fils et de nombreux descendants (chap. </w:t>
      </w:r>
      <w:hyperlink r:id="rId388">
        <w:r>
          <w:rPr>
            <w:color w:val="0000EE"/>
            <w:u w:val="single"/>
          </w:rPr>
          <w:t>16</w:t>
        </w:r>
      </w:hyperlink>
      <w:r>
        <w:t xml:space="preserve">). Après être retournée chez sa maîtresse, Agar donne naissance à Ismaël, qui deviendra l'ancêtre des peuples arabes. </w:t>
      </w:r>
    </w:p>
    <w:p>
      <w:r/>
      <w:r>
        <w:t>Dieu répète sa promesse à Abram qu'il lui donnera d'innombrables descendants et lui annonce que ce sera Saraï qui donnera naissance à son héritier. Comme signe de sa promesse, Dieu change les noms d'Abram (« père exalté ») et de Saraï en Abraham (« père de nombreux ») et Sara (« princesse »). Dieu commande aussi la circoncision à Abraham et à tous les mâles de sa maison, comme signe de son alliance (</w:t>
      </w:r>
      <w:hyperlink r:id="rId92">
        <w:r>
          <w:rPr>
            <w:color w:val="0000EE"/>
            <w:u w:val="single"/>
          </w:rPr>
          <w:t>Gn 17</w:t>
        </w:r>
      </w:hyperlink>
      <w:r>
        <w:t>). La circoncision est alors déjà pratiquée parmi les Égyptiens depuis plusieurs siècles, mais c'est avec Abraham qu'elle devient une pratique des Hébreux.</w:t>
      </w:r>
    </w:p>
    <w:p>
      <w:r/>
      <w:r>
        <w:t>La destruction des villes de la plaine</w:t>
      </w:r>
    </w:p>
    <w:p>
      <w:r/>
      <w:r>
        <w:t>Le Seigneur et deux anges apparaissent à Abraham et lui annoncent que la naissance de l'héritier promis se fera dans l'année. Ils lui révèlent aussi que Sodome et Gomorrhe vont être détruites. Abraham demande à Dieu s'il épargnera des justes s'il y en a qui y habitent. Dieu dit qu'il le fera (</w:t>
      </w:r>
      <w:hyperlink r:id="rId6010">
        <w:r>
          <w:rPr>
            <w:color w:val="0000EE"/>
            <w:u w:val="single"/>
          </w:rPr>
          <w:t>18.22–33</w:t>
        </w:r>
      </w:hyperlink>
      <w:r>
        <w:t>). En fait, le Seigneur ne sauve que Lot et sa famille proche, car la population de Sodome montre son péché pervers jusqu'au bout. Dieu détruit ces villes en faisant tomber du soufre et du feu du ciel (</w:t>
      </w:r>
      <w:hyperlink r:id="rId6011">
        <w:r>
          <w:rPr>
            <w:color w:val="0000EE"/>
            <w:u w:val="single"/>
          </w:rPr>
          <w:t>19.24–25</w:t>
        </w:r>
      </w:hyperlink>
      <w:r>
        <w:t>). La femme de Lot désobéit à la parole des anges et devient un pilier de sel. Après cela, les deux filles de Lot, pour préserver leur lignée familiale, enivrent leur père et ont des relations sexuelles avec lui. Elles deviennent enceintes et ont pour fils Moab et Ammon, dont les descendants deviendront des siècles plus tard des ennemis d'Israël.</w:t>
      </w:r>
    </w:p>
    <w:p>
      <w:r/>
      <w:r>
        <w:t xml:space="preserve">Dans </w:t>
      </w:r>
      <w:hyperlink r:id="rId67">
        <w:r>
          <w:rPr>
            <w:color w:val="0000EE"/>
            <w:u w:val="single"/>
          </w:rPr>
          <w:t>Genèse 20.1–18</w:t>
        </w:r>
      </w:hyperlink>
      <w:r>
        <w:t>, Abraham présente Sara comme sa sœur une fois de plus, ce qui cause des problèmes avec Abimélec, roi de Guérar.</w:t>
      </w:r>
    </w:p>
    <w:p>
      <w:r/>
      <w:r>
        <w:t>Isaac</w:t>
      </w:r>
    </w:p>
    <w:p>
      <w:r/>
      <w:r>
        <w:t>Au temps annoncé par le Seigneur, Sara donne naissance à un fils, Isaac (</w:t>
      </w:r>
      <w:hyperlink r:id="rId6012">
        <w:r>
          <w:rPr>
            <w:color w:val="0000EE"/>
            <w:u w:val="single"/>
          </w:rPr>
          <w:t>21.1–3</w:t>
        </w:r>
      </w:hyperlink>
      <w:r>
        <w:t xml:space="preserve">). Quand l'enfant grandit et est sevré, Sara voit qu'Ismaël se moque de lui. Agar et son fils sont renvoyés à la requête de Sara. Selon les coutumes du Proche-Orient, illustrée dans les tables de Nuzi, Sara est dans son droit de faire une telle requête. Le Seigneur sauve Agar et Ismaël qui vont mourir de soif dans le désert. Ismaël grandit et se marie. </w:t>
      </w:r>
    </w:p>
    <w:p>
      <w:r/>
      <w:r>
        <w:t>Abraham et Abimélec ont un désaccord concernant la propriété d'un puits, mais concluent une alliance de paix à Beer-Schéba (</w:t>
      </w:r>
      <w:hyperlink r:id="rId6013">
        <w:r>
          <w:rPr>
            <w:color w:val="0000EE"/>
            <w:u w:val="single"/>
          </w:rPr>
          <w:t>21.25–34</w:t>
        </w:r>
      </w:hyperlink>
      <w:r>
        <w:t>).</w:t>
      </w:r>
    </w:p>
    <w:p>
      <w:r/>
      <w:r>
        <w:t>Plus tard, Dieu met à l'épreuve la foi d'Abraham en lui demandant d'offrir Isaac en sacrifice sur le mont Morija. David achètera plus tard à Aravna le Jébusien une aire où le Temple sera construit (</w:t>
      </w:r>
      <w:hyperlink r:id="rId6014">
        <w:r>
          <w:rPr>
            <w:color w:val="0000EE"/>
            <w:u w:val="single"/>
          </w:rPr>
          <w:t>2S 24.16–25</w:t>
        </w:r>
      </w:hyperlink>
      <w:r>
        <w:t>) ; cette aire correspond probablement à l'endroit où Abraham subit cette épreuve. Alors qu'Abraham lève son couteau pour sacrifier Isaac, Dieu l'arrête et lui montre un bélier coincé dans un buisson. Isaac est épargné et l'animal sacrifié à sa place. Dieu bénit Abraham, qui lui a obéi.</w:t>
      </w:r>
    </w:p>
    <w:p>
      <w:r/>
      <w:r>
        <w:t>Quelque temps plus tard, Sara meurt à Hébron. Abraham négocie l'achat de la grotte de Macpéla à Éphron le Héthien selon les coutumes typiques du Proche-Orient. Il utilise la grotte comme sépulcre pour Sara (</w:t>
      </w:r>
      <w:hyperlink r:id="rId103">
        <w:r>
          <w:rPr>
            <w:color w:val="0000EE"/>
            <w:u w:val="single"/>
          </w:rPr>
          <w:t>Gn 23</w:t>
        </w:r>
      </w:hyperlink>
      <w:r>
        <w:t>). Abraham envoie son serviteur Éliézer vers la famille de son père chercher une épouse pour Isaac. Le Seigneur guide Éliézer vers Rebecca, qui devient la femme d'Isaac (</w:t>
      </w:r>
      <w:hyperlink r:id="rId6015">
        <w:r>
          <w:rPr>
            <w:color w:val="0000EE"/>
            <w:u w:val="single"/>
          </w:rPr>
          <w:t>Gn 24</w:t>
        </w:r>
      </w:hyperlink>
      <w:r>
        <w:t>).</w:t>
      </w:r>
    </w:p>
    <w:p>
      <w:r/>
      <w:r>
        <w:t xml:space="preserve">Le chapitre </w:t>
      </w:r>
      <w:hyperlink r:id="rId6016">
        <w:r>
          <w:rPr>
            <w:color w:val="0000EE"/>
            <w:u w:val="single"/>
          </w:rPr>
          <w:t>25</w:t>
        </w:r>
      </w:hyperlink>
      <w:r>
        <w:t xml:space="preserve"> mentionne qu'Abraham prend Ketura pour femme. Elle lui donne plusieurs fils. Abraham meurt à l'âge de 175 ans et est enterré dans la grotte de Macpéla par ses deux fils, Isaac et Ismaël.</w:t>
      </w:r>
    </w:p>
    <w:p>
      <w:pPr>
        <w:pStyle w:val="Heading4"/>
      </w:pPr>
      <w:r>
        <w:t>Jacob et Ésaü (</w:t>
      </w:r>
      <w:hyperlink r:id="rId6017">
        <w:r>
          <w:rPr>
            <w:color w:val="0000EE"/>
            <w:u w:val="single"/>
          </w:rPr>
          <w:t>25.19–37.1</w:t>
        </w:r>
      </w:hyperlink>
      <w:r>
        <w:t>)</w:t>
      </w:r>
    </w:p>
    <w:p>
      <w:r/>
      <w:r>
        <w:t>Rebecca donne naissance à des jumeaux : Ésaü et Jacob. Quand les garçons grandissent, Ésaü vend son droit d'aînesse à Jacob pour un repas de lentilles rouges (</w:t>
      </w:r>
      <w:hyperlink r:id="rId6018">
        <w:r>
          <w:rPr>
            <w:color w:val="0000EE"/>
            <w:u w:val="single"/>
          </w:rPr>
          <w:t>25.27–34</w:t>
        </w:r>
      </w:hyperlink>
      <w:r>
        <w:t>).</w:t>
      </w:r>
    </w:p>
    <w:p>
      <w:r/>
      <w:r>
        <w:t>Quand la famine arrive dans le pays, Isaac part pour Guérar, comme son père avant lui (</w:t>
      </w:r>
      <w:hyperlink r:id="rId67">
        <w:r>
          <w:rPr>
            <w:color w:val="0000EE"/>
            <w:u w:val="single"/>
          </w:rPr>
          <w:t>Gn 20</w:t>
        </w:r>
      </w:hyperlink>
      <w:r>
        <w:t>). Il imite aussi le mensonge de son père en présentant sa femme comme sa sœur (</w:t>
      </w:r>
      <w:hyperlink r:id="rId70">
        <w:r>
          <w:rPr>
            <w:color w:val="0000EE"/>
            <w:u w:val="single"/>
          </w:rPr>
          <w:t>Gn 26.1–11</w:t>
        </w:r>
      </w:hyperlink>
      <w:r>
        <w:t xml:space="preserve">). Des conflits surviennent avec les Philistins à propos des puits d'Isaac. Comme Isaac est un homme pacifique, il choisit de creuser de nouveaux puits plutôt que de se battre pour les anciens (v. </w:t>
      </w:r>
      <w:hyperlink r:id="rId6019">
        <w:r>
          <w:rPr>
            <w:color w:val="0000EE"/>
            <w:u w:val="single"/>
          </w:rPr>
          <w:t>17–33</w:t>
        </w:r>
      </w:hyperlink>
      <w:r>
        <w:t>).</w:t>
      </w:r>
    </w:p>
    <w:p>
      <w:r/>
      <w:r>
        <w:t>Alors qu'Isaac est vieux, sa vue s'est tellement affaiblie qu'il ne voit plus. Il veut donner la bénédiction du fils aîné à Ésaü, même si celui-ci a vendu son droit d'aînesse à Jacob. Rebecca complote avec Jacob de faire croire à Isaac, qui ne voit plus, que Jacob est Ésaü. C'est donc Jacob qu'Isaac bénit. Ces paroles de bénédiction sont considérées légalement valides et irrévocables (voir aussi les tables anciennes de Nuzi). Rebecca a peur qu'Ésaü ne tue Jacob pour se venger et s'arrange pour que Jacob parte pour Haran pour y chercher une épouse dans sa famille d'origine. À Béthel, Dieu apparaît à Jacob dans un rêve qui lui montre une échelle entre le ciel et la terre. Dieu renouvelle avec Jacob la promesse qu'il a faite à Abraham et à Isaac (</w:t>
      </w:r>
      <w:hyperlink r:id="rId1873">
        <w:r>
          <w:rPr>
            <w:color w:val="0000EE"/>
            <w:u w:val="single"/>
          </w:rPr>
          <w:t>28.10–22</w:t>
        </w:r>
      </w:hyperlink>
      <w:r>
        <w:t>).</w:t>
      </w:r>
    </w:p>
    <w:p>
      <w:r/>
      <w:r>
        <w:t xml:space="preserve">Jacob arrive à Haran chez son oncle Laban et travaille pour lui comme berger (chap. </w:t>
      </w:r>
      <w:hyperlink r:id="rId2009">
        <w:r>
          <w:rPr>
            <w:color w:val="0000EE"/>
            <w:u w:val="single"/>
          </w:rPr>
          <w:t>29</w:t>
        </w:r>
      </w:hyperlink>
      <w:r>
        <w:t xml:space="preserve">). Laban promet de donner Rachel, sa fille cadette, à Jacob pour épouse en échange de sept années de travail. Mais le moment venu, Laban trompe Jacob et lui donne Léa, sa fille aînée, à la place de Rachel. Jacob est obligé de travailler sept années de plus pour obtenir Rachel, qu'il aime. </w:t>
      </w:r>
    </w:p>
    <w:p>
      <w:r/>
      <w:r>
        <w:t>Le Seigneur fait réussir et enrichit Jacob, mais celui-ci rencontre continuellement des problèmes avec Laban. Le Seigneur commande à Jacob de retourner en Canaan (</w:t>
      </w:r>
      <w:hyperlink r:id="rId6020">
        <w:r>
          <w:rPr>
            <w:color w:val="0000EE"/>
            <w:u w:val="single"/>
          </w:rPr>
          <w:t>Gn 31.3</w:t>
        </w:r>
      </w:hyperlink>
      <w:r>
        <w:t>). Jacob part en secret avec ses femmes, ses enfants et ses biens. Laban les poursuit car ses idoles de maison ont disparu. Selon les coutumes de Nuzi, celui qui est en possession ces idoles devient l'héritier du domaine du propriétaire d'origine. C'est Rachel qui les a volées, mais elle réussit à le cacher à son père. Laban fait une alliance de paix avec Jacob et repart chez lui.</w:t>
      </w:r>
    </w:p>
    <w:p>
      <w:r/>
      <w:r>
        <w:t>Jacob a peur de la réaction de son frère Ésaü à son retour. Alors qu'il traverse son territoire en Édom, Jacob lui envoie des cadeaux pour l'apaiser. Il divise aussi sa famille en deux camps par précaution. Jacob fait une rencontre inattendue avec l'ange du Seigneur et en ressort avec une blessure à la hanche et un nouveau nom : Israël (chap.</w:t>
      </w:r>
      <w:hyperlink r:id="rId6021">
        <w:r>
          <w:rPr>
            <w:color w:val="0000EE"/>
            <w:u w:val="single"/>
          </w:rPr>
          <w:t xml:space="preserve"> 32</w:t>
        </w:r>
      </w:hyperlink>
      <w:r>
        <w:t>).</w:t>
      </w:r>
    </w:p>
    <w:p>
      <w:r/>
      <w:r>
        <w:t xml:space="preserve">La rencontre avec Ésaü se passe bien et Jacob part en paix pour Sichem (chap. </w:t>
      </w:r>
      <w:hyperlink r:id="rId6022">
        <w:r>
          <w:rPr>
            <w:color w:val="0000EE"/>
            <w:u w:val="single"/>
          </w:rPr>
          <w:t>33</w:t>
        </w:r>
      </w:hyperlink>
      <w:r>
        <w:t xml:space="preserve">). Plus tard, ses fils tuent les hommes de Sichem pour venger le viol de leur sœur Dina (chap. </w:t>
      </w:r>
      <w:hyperlink r:id="rId6023">
        <w:r>
          <w:rPr>
            <w:color w:val="0000EE"/>
            <w:u w:val="single"/>
          </w:rPr>
          <w:t>34</w:t>
        </w:r>
      </w:hyperlink>
      <w:r>
        <w:t>). Dieu commande à Jacob d'aller à Béthel et d'y construire un autel. Toutes les idoles des dieux étrangers sont enterrées près de Sichem (</w:t>
      </w:r>
      <w:hyperlink r:id="rId6024">
        <w:r>
          <w:rPr>
            <w:color w:val="0000EE"/>
            <w:u w:val="single"/>
          </w:rPr>
          <w:t>35.1–4</w:t>
        </w:r>
      </w:hyperlink>
      <w:r>
        <w:t xml:space="preserve">). À Béthel, Dieu confirme de nouveau sa promesse de lui donner des descendants innombrables, ainsi que le pays de Canaan selon sa promesse à Abraham et à Isaac (v. </w:t>
      </w:r>
      <w:hyperlink r:id="rId6025">
        <w:r>
          <w:rPr>
            <w:color w:val="0000EE"/>
            <w:u w:val="single"/>
          </w:rPr>
          <w:t>9–15</w:t>
        </w:r>
      </w:hyperlink>
      <w:r>
        <w:t xml:space="preserve">). </w:t>
      </w:r>
    </w:p>
    <w:p>
      <w:r/>
      <w:r>
        <w:t>Rachel meurt en chemin vers Bethléhem alors qu'elle vient de donner naissance à Benjamin, le douzième et dernier fils de Jacob. Isaac meurt à Hébron à l'âge de 180 ans et est enterré dans la grotte de Macpéla par Ésaü et Jacob.</w:t>
      </w:r>
    </w:p>
    <w:p>
      <w:r/>
      <w:hyperlink r:id="rId4484">
        <w:r>
          <w:rPr>
            <w:color w:val="0000EE"/>
            <w:u w:val="single"/>
          </w:rPr>
          <w:t>Genèse 36</w:t>
        </w:r>
      </w:hyperlink>
      <w:r>
        <w:t xml:space="preserve"> donne une liste de « la postérité d'Ésaü » (v. </w:t>
      </w:r>
      <w:hyperlink r:id="rId5971">
        <w:r>
          <w:rPr>
            <w:color w:val="0000EE"/>
            <w:u w:val="single"/>
          </w:rPr>
          <w:t>1</w:t>
        </w:r>
      </w:hyperlink>
      <w:r>
        <w:t xml:space="preserve">). Ésaü est également appelé Édom, un mot qui signifie « rouge » (voir </w:t>
      </w:r>
      <w:hyperlink r:id="rId3398">
        <w:r>
          <w:rPr>
            <w:color w:val="0000EE"/>
            <w:u w:val="single"/>
          </w:rPr>
          <w:t>25.30</w:t>
        </w:r>
      </w:hyperlink>
      <w:r>
        <w:t>).</w:t>
      </w:r>
    </w:p>
    <w:p>
      <w:pPr>
        <w:pStyle w:val="Heading4"/>
      </w:pPr>
      <w:r>
        <w:t>Joseph (</w:t>
      </w:r>
      <w:hyperlink r:id="rId6026">
        <w:r>
          <w:rPr>
            <w:color w:val="0000EE"/>
            <w:u w:val="single"/>
          </w:rPr>
          <w:t>37.2–50.26</w:t>
        </w:r>
      </w:hyperlink>
      <w:r>
        <w:t>)</w:t>
      </w:r>
    </w:p>
    <w:p>
      <w:r/>
      <w:r>
        <w:t xml:space="preserve">Joseph est le fils préféré de Jacob, et ses frères sont jaloux de lui. La relation entre les frères empire quand Joseph leur raconte un de ses rêves, dans lequel il domine sur eux. Leur jalousie s'intensifie quand Jacob offre à Joseph un beau manteau. Les frères parlent entre eux de tuer Joseph, mais finissent par choisir de le vendre comme esclave à des marchands dont la caravane se rend en Égypte. Ils font croire à leur père que Joseph a été tué par des animaux sauvages. Les marchands le vendent comme esclave à Potiphar, le chef de la garde égyptienne (Gn </w:t>
      </w:r>
      <w:hyperlink r:id="rId4891">
        <w:r>
          <w:rPr>
            <w:color w:val="0000EE"/>
            <w:u w:val="single"/>
          </w:rPr>
          <w:t>37.36</w:t>
        </w:r>
      </w:hyperlink>
      <w:r>
        <w:t xml:space="preserve"> ; </w:t>
      </w:r>
      <w:hyperlink r:id="rId4892">
        <w:r>
          <w:rPr>
            <w:color w:val="0000EE"/>
            <w:u w:val="single"/>
          </w:rPr>
          <w:t>39.1</w:t>
        </w:r>
      </w:hyperlink>
      <w:r>
        <w:t>).</w:t>
      </w:r>
    </w:p>
    <w:p>
      <w:r/>
      <w:r>
        <w:t xml:space="preserve">Le chapitre </w:t>
      </w:r>
      <w:hyperlink r:id="rId6027">
        <w:r>
          <w:rPr>
            <w:color w:val="0000EE"/>
            <w:u w:val="single"/>
          </w:rPr>
          <w:t>38</w:t>
        </w:r>
      </w:hyperlink>
      <w:r>
        <w:t xml:space="preserve"> raconte un cas historique de lévirat, une coutume exigeant qu'en cas de mort sans héritier, le frère du défunt doit marier sa veuve et lui donner un enfant, qui est alors considéré comme le descendant de son frère. Après la mort de ses deux premiers fils, Juda ne donne pas sa belle-fille veuve à son troisième fils. Elle fait preuve de ruse et c'est Juda lui-même qui, sans savoir qui elle est, la met enceinte de jumeaux. Quand l'affaire est révélée, Juda reconnaît ses torts. Le fils aîné de ces jumeaux, Pérets, fait partie des ancêtres nommés dans la généalogie de Jésus selon Luc (il est appelé Pharès dans </w:t>
      </w:r>
      <w:hyperlink r:id="rId6028">
        <w:r>
          <w:rPr>
            <w:color w:val="0000EE"/>
            <w:u w:val="single"/>
          </w:rPr>
          <w:t>Lc 3.33</w:t>
        </w:r>
      </w:hyperlink>
      <w:r>
        <w:t>).</w:t>
      </w:r>
    </w:p>
    <w:p>
      <w:r/>
      <w:r>
        <w:t>Le Seigneur bénit Joseph, et Potiphar le met à la tête de sa maison (chap.</w:t>
      </w:r>
      <w:hyperlink r:id="rId6029">
        <w:r>
          <w:rPr>
            <w:color w:val="0000EE"/>
            <w:u w:val="single"/>
          </w:rPr>
          <w:t xml:space="preserve"> 39</w:t>
        </w:r>
      </w:hyperlink>
      <w:r>
        <w:t xml:space="preserve">). La femme de Potiphar est attirée par le jeune homme et tente de le séduire. Comme il refuse, elle ment et l'accuse d'avoir essayé de la violer. Joseph est condamné à tort et envoyé en prison. Mais Dieu est avec lui et lui donne l'interprétation des rêves de deux des serviteurs du pharaon (chap. </w:t>
      </w:r>
      <w:hyperlink r:id="rId4464">
        <w:r>
          <w:rPr>
            <w:color w:val="0000EE"/>
            <w:u w:val="single"/>
          </w:rPr>
          <w:t>40</w:t>
        </w:r>
      </w:hyperlink>
      <w:r>
        <w:t>). Plus tard, le pharaon fait un rêve troublant qu'il veut comprendre mais que ses magiciens et sages ne peuvent pas interpréter. Joseph est alors sorti de prison et amené devant pharaon. Joseph explique au pharaon que Dieu révèle par son rêve qu'il va y avoir sept années d'abondance, suivies de sept années de famine. Joseph est alors élevé au poste de premier ministre, et seul pharaon exerce une autorité supérieure à la sienne. C'est Joseph qui devient responsable de l'administration du pays (</w:t>
      </w:r>
      <w:hyperlink r:id="rId6030">
        <w:r>
          <w:rPr>
            <w:color w:val="0000EE"/>
            <w:u w:val="single"/>
          </w:rPr>
          <w:t>41.37–44</w:t>
        </w:r>
      </w:hyperlink>
      <w:r>
        <w:t>).</w:t>
      </w:r>
    </w:p>
    <w:p>
      <w:r/>
      <w:r>
        <w:t>Lorsque la famine arrive en Canaan, Jacob envoie ses fils en Égypte pour y acheter du blé. Joseph reconnaît ses frères, mais ne leur révèle pas son identité. Il les met à l'épreuve en les accusant d'être des espions (</w:t>
      </w:r>
      <w:hyperlink r:id="rId6031">
        <w:r>
          <w:rPr>
            <w:color w:val="0000EE"/>
            <w:u w:val="single"/>
          </w:rPr>
          <w:t>42.9</w:t>
        </w:r>
      </w:hyperlink>
      <w:r>
        <w:t xml:space="preserve">). Il garde l'un des frères, Siméon, en otage (v. </w:t>
      </w:r>
      <w:hyperlink r:id="rId6032">
        <w:r>
          <w:rPr>
            <w:color w:val="0000EE"/>
            <w:u w:val="single"/>
          </w:rPr>
          <w:t>19</w:t>
        </w:r>
      </w:hyperlink>
      <w:r>
        <w:t>). Joseph exige que s'ils reviennent en Égypte, ils ramènent avec eux leur plus jeune frère (</w:t>
      </w:r>
      <w:hyperlink r:id="rId6033">
        <w:r>
          <w:rPr>
            <w:color w:val="0000EE"/>
            <w:u w:val="single"/>
          </w:rPr>
          <w:t>42.20</w:t>
        </w:r>
      </w:hyperlink>
      <w:r>
        <w:t xml:space="preserve"> ; </w:t>
      </w:r>
      <w:hyperlink r:id="rId6034">
        <w:r>
          <w:rPr>
            <w:color w:val="0000EE"/>
            <w:u w:val="single"/>
          </w:rPr>
          <w:t>43.3</w:t>
        </w:r>
      </w:hyperlink>
      <w:r>
        <w:t>). Jacob a peur de perdre Benjamin, le dernier fils de Rachel, et ne veut pas le laisser partir avec ses frères. Cependant, la famine devient si sévère en Canaan (</w:t>
      </w:r>
      <w:hyperlink r:id="rId6035">
        <w:r>
          <w:rPr>
            <w:color w:val="0000EE"/>
            <w:u w:val="single"/>
          </w:rPr>
          <w:t>43.1</w:t>
        </w:r>
      </w:hyperlink>
      <w:r>
        <w:t xml:space="preserve">) que Jacob finit par le permettre. Les frères sont piégés une fois de plus par Joseph, qui fait placer sa coupe d'argent dans le sac de Benjamin et le fait arrêter comme voleur (chap. </w:t>
      </w:r>
      <w:hyperlink r:id="rId6036">
        <w:r>
          <w:rPr>
            <w:color w:val="0000EE"/>
            <w:u w:val="single"/>
          </w:rPr>
          <w:t>44</w:t>
        </w:r>
      </w:hyperlink>
      <w:r>
        <w:t>).</w:t>
      </w:r>
    </w:p>
    <w:p>
      <w:r/>
      <w:r>
        <w:t>Quand ses frères se montrent prêts à se sacrifier pour Benjamin et ainsi épargner plus de tristesse à leur père, Joseph leur révèle son identité (</w:t>
      </w:r>
      <w:hyperlink r:id="rId6037">
        <w:r>
          <w:rPr>
            <w:color w:val="0000EE"/>
            <w:u w:val="single"/>
          </w:rPr>
          <w:t>45.4–15</w:t>
        </w:r>
      </w:hyperlink>
      <w:r>
        <w:t xml:space="preserve">). Il leur explique que c'est Dieu qui l'a envoyé en Égypte (v. </w:t>
      </w:r>
      <w:hyperlink r:id="rId6038">
        <w:r>
          <w:rPr>
            <w:color w:val="0000EE"/>
            <w:u w:val="single"/>
          </w:rPr>
          <w:t>7–8</w:t>
        </w:r>
      </w:hyperlink>
      <w:r>
        <w:t>) afin de sauver la famille de la famine à venir. Joseph envoie chercher son père Jacob et tout le reste de la famille pour venir vivre en Égypte (</w:t>
      </w:r>
      <w:hyperlink r:id="rId1727">
        <w:r>
          <w:rPr>
            <w:color w:val="0000EE"/>
            <w:u w:val="single"/>
          </w:rPr>
          <w:t>46.1</w:t>
        </w:r>
      </w:hyperlink>
      <w:r>
        <w:t>). Joseph et son père se retrouvent dans la région de Gosen (</w:t>
      </w:r>
      <w:hyperlink r:id="rId6039">
        <w:r>
          <w:rPr>
            <w:color w:val="0000EE"/>
            <w:u w:val="single"/>
          </w:rPr>
          <w:t>46.28–29</w:t>
        </w:r>
      </w:hyperlink>
      <w:r>
        <w:t>). C'est dans cette région que les Israélites s'installent et prospèrent (</w:t>
      </w:r>
      <w:hyperlink r:id="rId6040">
        <w:r>
          <w:rPr>
            <w:color w:val="0000EE"/>
            <w:u w:val="single"/>
          </w:rPr>
          <w:t>47.27</w:t>
        </w:r>
      </w:hyperlink>
      <w:r>
        <w:t>).</w:t>
      </w:r>
    </w:p>
    <w:p>
      <w:r/>
      <w:r>
        <w:t>Plus tard, alors que Jacob va bientôt mourir, Joseph amène ses deux fils, Manassé et Éphraïm, à son père pour qu'ils reçoivent sa bénédiction. Jacob donne la bénédiction la plus importante au fils cadet de Joseph, Éphraïm (</w:t>
      </w:r>
      <w:hyperlink r:id="rId6041">
        <w:r>
          <w:rPr>
            <w:color w:val="0000EE"/>
            <w:u w:val="single"/>
          </w:rPr>
          <w:t>48.13–20</w:t>
        </w:r>
      </w:hyperlink>
      <w:r>
        <w:t xml:space="preserve">). </w:t>
      </w:r>
    </w:p>
    <w:p>
      <w:r/>
      <w:r>
        <w:t>Après avoir bénit chacun de ses propres fils, Jacob meurt à l'âge d'au moins 130 ans. Joseph donne des ordres pour que le corps de Jacob soit préparé pour l'enterrement selon les coutumes égyptiennes (</w:t>
      </w:r>
      <w:hyperlink r:id="rId1207">
        <w:r>
          <w:rPr>
            <w:color w:val="0000EE"/>
            <w:u w:val="single"/>
          </w:rPr>
          <w:t>50.2–3</w:t>
        </w:r>
      </w:hyperlink>
      <w:r>
        <w:t xml:space="preserve">). Après avoir enterré leur père dans la grotte de Macpéla à Hébron en Canaan, les frères de Joseph ont peur que Joseph puisse vouloir se venger d'eux. Au lieu de cela, Joseph les rassure et leur dit : « </w:t>
      </w:r>
      <w:r>
        <w:t>Vous aviez médité de me faire du mal : Dieu l'a changé en bien, pour accomplir ce qui arrive aujourd'hui, pour sauver la vie à un peuple nombreux</w:t>
      </w:r>
      <w:r>
        <w:t xml:space="preserve"> » (v. </w:t>
      </w:r>
      <w:hyperlink r:id="rId6042">
        <w:r>
          <w:rPr>
            <w:color w:val="0000EE"/>
            <w:u w:val="single"/>
          </w:rPr>
          <w:t>20</w:t>
        </w:r>
      </w:hyperlink>
      <w:r>
        <w:t xml:space="preserve">). </w:t>
      </w:r>
    </w:p>
    <w:p>
      <w:r/>
      <w:r>
        <w:t>Joseph lui-même meurt à l'âge de 110 ans. Il fait une dernière demande prophétique : lorsque les Israélites quitteront l'Égypte, ils doivent emporter ses os avec eux pour les enterrer dans le pays que Dieu leur a promis comme héritage (</w:t>
      </w:r>
      <w:hyperlink r:id="rId6043">
        <w:r>
          <w:rPr>
            <w:color w:val="0000EE"/>
            <w:u w:val="single"/>
          </w:rPr>
          <w:t>50.25</w:t>
        </w:r>
      </w:hyperlink>
      <w:r>
        <w:t xml:space="preserve"> ; voir </w:t>
      </w:r>
      <w:hyperlink r:id="rId6044">
        <w:r>
          <w:rPr>
            <w:color w:val="0000EE"/>
            <w:u w:val="single"/>
          </w:rPr>
          <w:t>Ex 13.19</w:t>
        </w:r>
      </w:hyperlink>
      <w:r>
        <w:t xml:space="preserve"> ; </w:t>
      </w:r>
      <w:hyperlink r:id="rId1285">
        <w:r>
          <w:rPr>
            <w:color w:val="0000EE"/>
            <w:u w:val="single"/>
          </w:rPr>
          <w:t>Jos 24.32</w:t>
        </w:r>
      </w:hyperlink>
      <w:r>
        <w:t>).</w:t>
      </w:r>
    </w:p>
    <w:p>
      <w:r/>
      <w:r>
        <w:rPr>
          <w:i/>
        </w:rPr>
        <w:t>Voir aussi</w:t>
      </w:r>
      <w:r>
        <w:t xml:space="preserve"> </w:t>
      </w:r>
      <w:r>
        <w:t>Abraham</w:t>
      </w:r>
      <w:r>
        <w:t xml:space="preserve"> ; </w:t>
      </w:r>
      <w:r>
        <w:t>Adam (personne)</w:t>
      </w:r>
      <w:r>
        <w:t xml:space="preserve"> ; </w:t>
      </w:r>
      <w:r>
        <w:t>alliance</w:t>
      </w:r>
      <w:r>
        <w:t xml:space="preserve"> ; </w:t>
      </w:r>
      <w:r>
        <w:t>création</w:t>
      </w:r>
      <w:r>
        <w:t xml:space="preserve"> ; </w:t>
      </w:r>
      <w:r>
        <w:t>Ève</w:t>
      </w:r>
      <w:r>
        <w:t xml:space="preserve"> ; </w:t>
      </w:r>
      <w:r>
        <w:t>chute de l'homme</w:t>
      </w:r>
      <w:r>
        <w:t xml:space="preserve"> ; </w:t>
      </w:r>
      <w:r>
        <w:t>déluge</w:t>
      </w:r>
      <w:r>
        <w:t xml:space="preserve"> ; </w:t>
      </w:r>
      <w:r>
        <w:t>Isaac</w:t>
      </w:r>
      <w:r>
        <w:t xml:space="preserve"> ; </w:t>
      </w:r>
      <w:r>
        <w:t xml:space="preserve">Jacob </w:t>
      </w:r>
      <w:r>
        <w:t>n°</w:t>
      </w:r>
      <w:r>
        <w:t>1</w:t>
      </w:r>
      <w:r>
        <w:t xml:space="preserve"> ; </w:t>
      </w:r>
      <w:r>
        <w:t xml:space="preserve">Joseph </w:t>
      </w:r>
      <w:r>
        <w:t>n°</w:t>
      </w:r>
      <w:r>
        <w:t>1</w:t>
      </w:r>
      <w:r>
        <w:t xml:space="preserve"> ; </w:t>
      </w:r>
      <w:r>
        <w:t>nations</w:t>
      </w:r>
      <w:r>
        <w:t xml:space="preserve"> ; </w:t>
      </w:r>
      <w:r>
        <w:t xml:space="preserve">Noé </w:t>
      </w:r>
      <w:r>
        <w:t>n°</w:t>
      </w:r>
      <w:r>
        <w:t>1</w:t>
      </w:r>
      <w:r>
        <w:t xml:space="preserve"> ; </w:t>
      </w:r>
      <w:r>
        <w:t>patriarches (période des)</w:t>
      </w:r>
      <w:r>
        <w:t>.</w:t>
      </w:r>
      <w:r/>
      <w:r/>
    </w:p>
    <w:p>
      <w:r/>
    </w:p>
    <w:p>
      <w:pPr>
        <w:pStyle w:val="Heading2"/>
      </w:pPr>
      <w:r>
        <w:t>Gens du pays</w:t>
      </w:r>
      <w:r/>
    </w:p>
    <w:p>
      <w:r/>
      <w:r>
        <w:t xml:space="preserve">La phrase « gens du pays » vient de l'hébreu </w:t>
      </w:r>
      <w:r>
        <w:rPr>
          <w:i/>
        </w:rPr>
        <w:t>‘Am-Ha’arets.</w:t>
      </w:r>
      <w:r>
        <w:t xml:space="preserve"> Dans un sens générique, </w:t>
      </w:r>
      <w:r>
        <w:rPr>
          <w:i/>
        </w:rPr>
        <w:t>‘Am-Ha’arets</w:t>
      </w:r>
      <w:r>
        <w:t xml:space="preserve"> se référait à un groupe politique ou ethnique de personnes, comme :</w:t>
      </w:r>
    </w:p>
    <w:p>
      <w:pPr>
        <w:pStyle w:val="ListBullet"/>
        <w:spacing w:line="240" w:lineRule="auto"/>
        <w:ind w:left="720"/>
      </w:pPr>
      <w:r/>
      <w:r>
        <w:t>Les fils Héthiens de Heth (</w:t>
      </w:r>
      <w:hyperlink r:id="rId6045">
        <w:r>
          <w:rPr>
            <w:color w:val="0000EE"/>
            <w:u w:val="single"/>
          </w:rPr>
          <w:t>Gn 23.7</w:t>
        </w:r>
      </w:hyperlink>
      <w:r>
        <w:t>)</w:t>
      </w:r>
    </w:p>
    <w:p>
      <w:pPr>
        <w:pStyle w:val="ListBullet"/>
        <w:spacing w:line="240" w:lineRule="auto"/>
        <w:ind w:left="720"/>
      </w:pPr>
      <w:r/>
      <w:r>
        <w:t>Les Égyptiens (</w:t>
      </w:r>
      <w:hyperlink r:id="rId5778">
        <w:r>
          <w:rPr>
            <w:color w:val="0000EE"/>
            <w:u w:val="single"/>
          </w:rPr>
          <w:t>Gn 42.6</w:t>
        </w:r>
      </w:hyperlink>
      <w:r>
        <w:t>)</w:t>
      </w:r>
    </w:p>
    <w:p>
      <w:pPr>
        <w:pStyle w:val="ListBullet"/>
        <w:spacing w:line="240" w:lineRule="auto"/>
        <w:ind w:left="720"/>
      </w:pPr>
      <w:r/>
      <w:r>
        <w:t>Les Israélites (</w:t>
      </w:r>
      <w:hyperlink r:id="rId6046">
        <w:r>
          <w:rPr>
            <w:color w:val="0000EE"/>
            <w:u w:val="single"/>
          </w:rPr>
          <w:t>Ex 5.5</w:t>
        </w:r>
      </w:hyperlink>
      <w:r>
        <w:t>)</w:t>
      </w:r>
    </w:p>
    <w:p>
      <w:pPr>
        <w:pStyle w:val="ListBullet"/>
        <w:spacing w:line="240" w:lineRule="auto"/>
        <w:ind w:left="720"/>
      </w:pPr>
      <w:r/>
      <w:r>
        <w:t>Les nations de Canaan (</w:t>
      </w:r>
      <w:hyperlink r:id="rId6047">
        <w:r>
          <w:rPr>
            <w:color w:val="0000EE"/>
            <w:u w:val="single"/>
          </w:rPr>
          <w:t>Nb 13.28</w:t>
        </w:r>
      </w:hyperlink>
      <w:r>
        <w:t xml:space="preserve"> ; </w:t>
      </w:r>
      <w:hyperlink r:id="rId6048">
        <w:r>
          <w:rPr>
            <w:color w:val="0000EE"/>
            <w:u w:val="single"/>
          </w:rPr>
          <w:t>Né 9.24</w:t>
        </w:r>
      </w:hyperlink>
      <w:r>
        <w:t>)</w:t>
      </w:r>
    </w:p>
    <w:p>
      <w:pPr>
        <w:pStyle w:val="ListBullet"/>
        <w:spacing w:line="240" w:lineRule="auto"/>
        <w:ind w:left="720"/>
      </w:pPr>
      <w:r/>
      <w:r>
        <w:t>Les Ammonites (</w:t>
      </w:r>
      <w:hyperlink r:id="rId6049">
        <w:r>
          <w:rPr>
            <w:color w:val="0000EE"/>
            <w:u w:val="single"/>
          </w:rPr>
          <w:t>Nb 21.34</w:t>
        </w:r>
      </w:hyperlink>
      <w:r>
        <w:t>)</w:t>
      </w:r>
    </w:p>
    <w:p>
      <w:r/>
      <w:r>
        <w:t>À mesure qu'Israël se constituait en nation, le sens changera. Le terme en est venu à désigner le peuple commun qui ne faisait pas partie de la direction religieuse ou politique (</w:t>
      </w:r>
      <w:hyperlink r:id="rId6050">
        <w:r>
          <w:rPr>
            <w:color w:val="0000EE"/>
            <w:u w:val="single"/>
          </w:rPr>
          <w:t>2R 11.14–20</w:t>
        </w:r>
      </w:hyperlink>
      <w:r>
        <w:t xml:space="preserve"> ; </w:t>
      </w:r>
      <w:hyperlink r:id="rId6051">
        <w:r>
          <w:rPr>
            <w:color w:val="0000EE"/>
            <w:u w:val="single"/>
          </w:rPr>
          <w:t>25.3</w:t>
        </w:r>
      </w:hyperlink>
      <w:r>
        <w:t xml:space="preserve"> ; </w:t>
      </w:r>
      <w:hyperlink r:id="rId6052">
        <w:r>
          <w:rPr>
            <w:color w:val="0000EE"/>
            <w:u w:val="single"/>
          </w:rPr>
          <w:t>2Ch 33.25</w:t>
        </w:r>
      </w:hyperlink>
      <w:r>
        <w:t xml:space="preserve"> ; </w:t>
      </w:r>
      <w:hyperlink r:id="rId6053">
        <w:r>
          <w:rPr>
            <w:color w:val="0000EE"/>
            <w:u w:val="single"/>
          </w:rPr>
          <w:t>Jr 52.25</w:t>
        </w:r>
      </w:hyperlink>
      <w:r>
        <w:t>). Après que de nombreux Juifs sont revenus d'exil à Babylone, le terme a pris un nouveau sens. Il décrivait les Juifs qui avaient épousé des personnes d'autres nations. Esdras et ses partisans évitaient généralement ces familles de mariages mixtes (</w:t>
      </w:r>
      <w:hyperlink r:id="rId6054">
        <w:r>
          <w:rPr>
            <w:color w:val="0000EE"/>
            <w:u w:val="single"/>
          </w:rPr>
          <w:t>Esd 4.4</w:t>
        </w:r>
      </w:hyperlink>
      <w:r>
        <w:t xml:space="preserve"> ; </w:t>
      </w:r>
      <w:hyperlink r:id="rId6055">
        <w:r>
          <w:rPr>
            <w:color w:val="0000EE"/>
            <w:u w:val="single"/>
          </w:rPr>
          <w:t>10.2, 11</w:t>
        </w:r>
      </w:hyperlink>
      <w:r>
        <w:t xml:space="preserve"> ; </w:t>
      </w:r>
      <w:hyperlink r:id="rId6056">
        <w:r>
          <w:rPr>
            <w:color w:val="0000EE"/>
            <w:u w:val="single"/>
          </w:rPr>
          <w:t>Né 10.28–31</w:t>
        </w:r>
      </w:hyperlink>
      <w:r>
        <w:t xml:space="preserve">). Plus tard, le judaïsme rabbinique appelait les Juifs qui ne pouvaient pas suivre toute la loi </w:t>
      </w:r>
      <w:r>
        <w:rPr>
          <w:i/>
        </w:rPr>
        <w:t>'Am-Ha'arets</w:t>
      </w:r>
      <w:r>
        <w:t>.</w:t>
      </w:r>
      <w:r/>
      <w:r/>
    </w:p>
    <w:p>
      <w:r/>
    </w:p>
    <w:p>
      <w:pPr>
        <w:pStyle w:val="Heading2"/>
      </w:pPr>
      <w:r>
        <w:t>Girgasiens</w:t>
      </w:r>
      <w:r/>
    </w:p>
    <w:p>
      <w:r/>
      <w:r>
        <w:t>Tribu cananéenne (</w:t>
      </w:r>
      <w:hyperlink r:id="rId742">
        <w:r>
          <w:rPr>
            <w:color w:val="0000EE"/>
            <w:u w:val="single"/>
          </w:rPr>
          <w:t>Gn 10.16</w:t>
        </w:r>
      </w:hyperlink>
      <w:r>
        <w:t xml:space="preserve"> ; </w:t>
      </w:r>
      <w:hyperlink r:id="rId6057">
        <w:r>
          <w:rPr>
            <w:color w:val="0000EE"/>
            <w:u w:val="single"/>
          </w:rPr>
          <w:t>1Ch 1.14</w:t>
        </w:r>
      </w:hyperlink>
      <w:r>
        <w:t>) dont la terre a été promise à Abraham (</w:t>
      </w:r>
      <w:hyperlink r:id="rId6058">
        <w:r>
          <w:rPr>
            <w:color w:val="0000EE"/>
            <w:u w:val="single"/>
          </w:rPr>
          <w:t>Gn 15.21</w:t>
        </w:r>
      </w:hyperlink>
      <w:r>
        <w:t xml:space="preserve"> ; </w:t>
      </w:r>
      <w:hyperlink r:id="rId6059">
        <w:r>
          <w:rPr>
            <w:color w:val="0000EE"/>
            <w:u w:val="single"/>
          </w:rPr>
          <w:t>Dt 7.1</w:t>
        </w:r>
      </w:hyperlink>
      <w:r>
        <w:t xml:space="preserve"> ; </w:t>
      </w:r>
      <w:hyperlink r:id="rId6060">
        <w:r>
          <w:rPr>
            <w:color w:val="0000EE"/>
            <w:u w:val="single"/>
          </w:rPr>
          <w:t>Jos 3.10</w:t>
        </w:r>
      </w:hyperlink>
      <w:r>
        <w:t>). La terre sera finalement acquise (</w:t>
      </w:r>
      <w:hyperlink r:id="rId6061">
        <w:r>
          <w:rPr>
            <w:color w:val="0000EE"/>
            <w:u w:val="single"/>
          </w:rPr>
          <w:t>Jos 24.11</w:t>
        </w:r>
      </w:hyperlink>
      <w:r>
        <w:t xml:space="preserve"> ; </w:t>
      </w:r>
      <w:hyperlink r:id="rId2787">
        <w:r>
          <w:rPr>
            <w:color w:val="0000EE"/>
            <w:u w:val="single"/>
          </w:rPr>
          <w:t>Né 9.8</w:t>
        </w:r>
      </w:hyperlink>
      <w:r>
        <w:t xml:space="preserve">). La localisation de la tribu est inconnue. Ils ont peut-être vécu à Karkisha, une ville mentionnée dans les textes hittites, ou à Kirkishati, une région à l'est du Tigre. Le nom </w:t>
      </w:r>
      <w:r>
        <w:rPr>
          <w:i/>
        </w:rPr>
        <w:t>Gresh</w:t>
      </w:r>
      <w:r>
        <w:t xml:space="preserve"> apparaît dans des textes ougaritiques du 13e siècle av. J.‑C. et pourrait indiquer une tribu. Dans </w:t>
      </w:r>
      <w:hyperlink r:id="rId6062">
        <w:r>
          <w:rPr>
            <w:color w:val="0000EE"/>
            <w:u w:val="single"/>
          </w:rPr>
          <w:t>Matthieu 8.28</w:t>
        </w:r>
      </w:hyperlink>
      <w:r>
        <w:t xml:space="preserve"> ; </w:t>
      </w:r>
      <w:hyperlink r:id="rId6063">
        <w:r>
          <w:rPr>
            <w:color w:val="0000EE"/>
            <w:u w:val="single"/>
          </w:rPr>
          <w:t>Marc 5.1</w:t>
        </w:r>
      </w:hyperlink>
      <w:r>
        <w:t xml:space="preserve"> ; et </w:t>
      </w:r>
      <w:hyperlink r:id="rId6064">
        <w:r>
          <w:rPr>
            <w:color w:val="0000EE"/>
            <w:u w:val="single"/>
          </w:rPr>
          <w:t>Luc 8.26</w:t>
        </w:r>
      </w:hyperlink>
      <w:r>
        <w:t>, un nom traduit de diverses manières comme « Géraséniens » et « Gadaréniens » pourrait préserver la tradition selon laquelle les Girgashites ont autrefois vécu en Palestine.</w:t>
      </w:r>
      <w:r/>
      <w:r/>
    </w:p>
    <w:p>
      <w:r/>
    </w:p>
    <w:p>
      <w:pPr>
        <w:pStyle w:val="Heading2"/>
      </w:pPr>
      <w:r>
        <w:t>Gojim</w:t>
      </w:r>
      <w:r/>
    </w:p>
    <w:p>
      <w:r/>
      <w:r>
        <w:t xml:space="preserve">1. Personnes ou région mentionnées dans </w:t>
      </w:r>
      <w:hyperlink r:id="rId4648">
        <w:r>
          <w:rPr>
            <w:color w:val="0000EE"/>
            <w:u w:val="single"/>
          </w:rPr>
          <w:t>Genèse 14.1, 9</w:t>
        </w:r>
      </w:hyperlink>
      <w:r>
        <w:t xml:space="preserve"> comme étant gouvernées par un roi nommé Tideal. Tideal, avec trois autres rois (Amraphel de Schinear, Arjoc d'Ellasar, et Kedorlaomer d'Élam) ont attaqué plusieurs villes dans la vallée de Siddim près de la mer Morte (</w:t>
      </w:r>
      <w:hyperlink r:id="rId6065">
        <w:r>
          <w:rPr>
            <w:color w:val="0000EE"/>
            <w:u w:val="single"/>
          </w:rPr>
          <w:t>Gn 14.3</w:t>
        </w:r>
      </w:hyperlink>
      <w:r>
        <w:t xml:space="preserve">). Ils ont vaincu les cinq rois de la région de la vallée, pillé leurs villes, et capturé Lot, le neveu d'Abraham, qui vivait à Sodome (v. </w:t>
      </w:r>
      <w:hyperlink r:id="rId6066">
        <w:r>
          <w:rPr>
            <w:color w:val="0000EE"/>
            <w:u w:val="single"/>
          </w:rPr>
          <w:t>12</w:t>
        </w:r>
      </w:hyperlink>
      <w:r>
        <w:t xml:space="preserve">). Quand Abraham en a eu vent, il a rassemblé ses soldats, poursuivi les rois victorieux, les a battus, et a sauvé Lot (v. </w:t>
      </w:r>
      <w:hyperlink r:id="rId6067">
        <w:r>
          <w:rPr>
            <w:color w:val="0000EE"/>
            <w:u w:val="single"/>
          </w:rPr>
          <w:t>13–16</w:t>
        </w:r>
      </w:hyperlink>
      <w:r>
        <w:t>).</w:t>
      </w:r>
    </w:p>
    <w:p>
      <w:r/>
      <w:r>
        <w:t>2. Personnes mentionnées en lien avec la victoire de Josué sur un roi inconnu de Gojim (</w:t>
      </w:r>
      <w:hyperlink r:id="rId6068">
        <w:r>
          <w:rPr>
            <w:color w:val="0000EE"/>
            <w:u w:val="single"/>
          </w:rPr>
          <w:t>Jos 12.23</w:t>
        </w:r>
      </w:hyperlink>
      <w:r>
        <w:t>). La localisation de ces personnes est incertaine, puisque le verset mentionne « Guilgal » dans le texte hébreu et « Galilée » dans la Septante.</w:t>
      </w:r>
      <w:r/>
      <w:r/>
    </w:p>
    <w:p>
      <w:r/>
    </w:p>
    <w:p>
      <w:pPr>
        <w:pStyle w:val="Heading2"/>
      </w:pPr>
      <w:r>
        <w:t>Gomer</w:t>
      </w:r>
      <w:r/>
    </w:p>
    <w:p>
      <w:r/>
      <w:r>
        <w:t>1. Fils de Japhet, un des fils de Noé (</w:t>
      </w:r>
      <w:hyperlink r:id="rId6069">
        <w:r>
          <w:rPr>
            <w:color w:val="0000EE"/>
            <w:u w:val="single"/>
          </w:rPr>
          <w:t>Gn 10.2</w:t>
        </w:r>
      </w:hyperlink>
      <w:r>
        <w:t xml:space="preserve"> ; voir </w:t>
      </w:r>
      <w:hyperlink r:id="rId6070">
        <w:r>
          <w:rPr>
            <w:color w:val="0000EE"/>
            <w:u w:val="single"/>
          </w:rPr>
          <w:t>1Ch 1.5</w:t>
        </w:r>
      </w:hyperlink>
      <w:r>
        <w:t>). Il aura trois fils : Aschkenaz, Riphath et Togarma (</w:t>
      </w:r>
      <w:hyperlink r:id="rId6071">
        <w:r>
          <w:rPr>
            <w:color w:val="0000EE"/>
            <w:u w:val="single"/>
          </w:rPr>
          <w:t>Gn 10.3</w:t>
        </w:r>
      </w:hyperlink>
      <w:r>
        <w:t xml:space="preserve"> ; </w:t>
      </w:r>
      <w:hyperlink r:id="rId1357">
        <w:r>
          <w:rPr>
            <w:color w:val="0000EE"/>
            <w:u w:val="single"/>
          </w:rPr>
          <w:t>1Ch 1.6</w:t>
        </w:r>
      </w:hyperlink>
      <w:r>
        <w:t>). Il est l'ancêtre des anciens Cimmériens, qui, selon la prophétie d'Ézéchiel, se joindraient à Gog, le chef des Magogites, pour tenter d'anéantir Israël (</w:t>
      </w:r>
      <w:hyperlink r:id="rId6072">
        <w:r>
          <w:rPr>
            <w:color w:val="0000EE"/>
            <w:u w:val="single"/>
          </w:rPr>
          <w:t>Ez 38.6</w:t>
        </w:r>
      </w:hyperlink>
      <w:r>
        <w:t>).</w:t>
      </w:r>
    </w:p>
    <w:p>
      <w:r/>
      <w:r>
        <w:t>2. Fille de Diblaïm, une prostituée, qui est ensuite devenue l'épouse d'Osée par ordre divin. Après avoir donné des enfants à Osée, elle retombera dans l'immoralité, mais sera rachetée. Son comportement a servi d'illustration de l'infidélité d'Israël envers Dieu (</w:t>
      </w:r>
      <w:hyperlink r:id="rId575">
        <w:r>
          <w:rPr>
            <w:color w:val="0000EE"/>
            <w:u w:val="single"/>
          </w:rPr>
          <w:t>Os 1–3</w:t>
        </w:r>
      </w:hyperlink>
      <w:r>
        <w:t>).</w:t>
      </w:r>
    </w:p>
    <w:p>
      <w:r/>
      <w:r>
        <w:rPr>
          <w:i/>
        </w:rPr>
        <w:t>Voir aussi</w:t>
      </w:r>
      <w:r>
        <w:t xml:space="preserve"> </w:t>
      </w:r>
      <w:r>
        <w:t>Osée (Personne)</w:t>
      </w:r>
      <w:r>
        <w:t>.</w:t>
      </w:r>
      <w:r/>
      <w:r/>
    </w:p>
    <w:p>
      <w:r/>
    </w:p>
    <w:p>
      <w:pPr>
        <w:pStyle w:val="Heading2"/>
      </w:pPr>
      <w:r>
        <w:t>Gomme</w:t>
      </w:r>
      <w:r/>
    </w:p>
    <w:p>
      <w:r/>
      <w:r>
        <w:t xml:space="preserve">Nom général pour la tragacanthe, utilisé dans le commerce et obtenu à partir de la sève des arbustes du genre </w:t>
      </w:r>
      <w:r>
        <w:rPr>
          <w:i/>
        </w:rPr>
        <w:t>Astragalus</w:t>
      </w:r>
      <w:r>
        <w:t xml:space="preserve"> (</w:t>
      </w:r>
      <w:hyperlink r:id="rId6073">
        <w:r>
          <w:rPr>
            <w:color w:val="0000EE"/>
            <w:u w:val="single"/>
          </w:rPr>
          <w:t>Gn 43.11</w:t>
        </w:r>
      </w:hyperlink>
      <w:r>
        <w:t>). Ces arbustes poussaient largement au Proche-Orient. La gomme de l'</w:t>
      </w:r>
      <w:r>
        <w:rPr>
          <w:i/>
        </w:rPr>
        <w:t>Astragalus tragacantha</w:t>
      </w:r>
      <w:r>
        <w:t xml:space="preserve"> est encore utilisée commercialement. </w:t>
      </w:r>
      <w:r>
        <w:rPr>
          <w:i/>
        </w:rPr>
        <w:t>Voir</w:t>
      </w:r>
      <w:r>
        <w:t xml:space="preserve"> </w:t>
      </w:r>
      <w:r>
        <w:t>Plantes</w:t>
      </w:r>
      <w:r>
        <w:t xml:space="preserve"> (</w:t>
      </w:r>
      <w:r>
        <w:t>Aloès</w:t>
      </w:r>
      <w:r>
        <w:t xml:space="preserve"> ; </w:t>
      </w:r>
      <w:r>
        <w:t>Baume</w:t>
      </w:r>
      <w:r>
        <w:t xml:space="preserve"> ; </w:t>
      </w:r>
      <w:r>
        <w:t>Myrrhe</w:t>
      </w:r>
      <w:r>
        <w:t>).</w:t>
      </w:r>
      <w:r/>
      <w:r/>
    </w:p>
    <w:p>
      <w:r/>
    </w:p>
    <w:p>
      <w:pPr>
        <w:pStyle w:val="Heading2"/>
      </w:pPr>
      <w:r>
        <w:t>Gomorrhe</w:t>
      </w:r>
      <w:r/>
    </w:p>
    <w:p>
      <w:r/>
      <w:r>
        <w:t>Une des « villes de la plaine » détruite par Dieu à cause de sa méchanceté (</w:t>
      </w:r>
      <w:hyperlink r:id="rId96">
        <w:r>
          <w:rPr>
            <w:color w:val="0000EE"/>
            <w:u w:val="single"/>
          </w:rPr>
          <w:t>Gn 19</w:t>
        </w:r>
      </w:hyperlink>
      <w:r>
        <w:t xml:space="preserve">). </w:t>
      </w:r>
      <w:r>
        <w:rPr>
          <w:i/>
        </w:rPr>
        <w:t>Voir</w:t>
      </w:r>
      <w:r>
        <w:t xml:space="preserve"> </w:t>
      </w:r>
      <w:r>
        <w:t>Villes de la plaine</w:t>
      </w:r>
      <w:r>
        <w:t xml:space="preserve"> ; </w:t>
      </w:r>
      <w:r>
        <w:t>Sodome et Gomorrhe</w:t>
      </w:r>
      <w:r>
        <w:t>.</w:t>
      </w:r>
      <w:r/>
      <w:r/>
    </w:p>
    <w:p>
      <w:r/>
    </w:p>
    <w:p>
      <w:pPr>
        <w:pStyle w:val="Heading2"/>
      </w:pPr>
      <w:r>
        <w:t>Gortyne</w:t>
      </w:r>
      <w:r/>
    </w:p>
    <w:p>
      <w:r/>
      <w:r>
        <w:t>Ville sur l'île de Crète qui figure parmi la liste des lieux où les Romains ont envoyé des lettres (</w:t>
      </w:r>
      <w:hyperlink r:id="rId1322">
        <w:r>
          <w:rPr>
            <w:color w:val="0000EE"/>
            <w:u w:val="single"/>
          </w:rPr>
          <w:t>1 Maccabées 15.23</w:t>
        </w:r>
      </w:hyperlink>
      <w:r>
        <w:t>). Ces lettres demandaient aux rois et aux pays de ne pas nuire au peuple juif (</w:t>
      </w:r>
      <w:hyperlink r:id="rId6074">
        <w:r>
          <w:rPr>
            <w:color w:val="0000EE"/>
            <w:u w:val="single"/>
          </w:rPr>
          <w:t>15.19</w:t>
        </w:r>
      </w:hyperlink>
      <w:r>
        <w:t>).</w:t>
      </w:r>
    </w:p>
    <w:p>
      <w:r/>
      <w:r>
        <w:t>Au début de l'histoire grecque, Gortyne s'alliera à une autre ville appelée Knossos pour contrôler la Crète. Cependant, ces deux villes commenceront rapidement à se battre l'une contre l'autre. Lorsque les Romains prennent le contrôle de la région, ils feront de Gortyne la capitale de la Crète.</w:t>
      </w:r>
    </w:p>
    <w:p>
      <w:r/>
      <w:r>
        <w:t>En 1884, des chercheurs ont fait une découverte importante à Gortyne : un ensemble de lois anciennes du 5e siècle av. J.‑C., appelé le code juridique de Gortyne.</w:t>
      </w:r>
    </w:p>
    <w:p>
      <w:r/>
      <w:r>
        <w:t>Gortyne se trouvait près d'un endroit appelé Beaux Ports. Ainsi, l'apôtre Paul y a peut-être prêché la Bonne Nouvelle de Jésus à ses résidents juifs lors de son voyage vers Rome (</w:t>
      </w:r>
      <w:hyperlink r:id="rId2638">
        <w:r>
          <w:rPr>
            <w:color w:val="0000EE"/>
            <w:u w:val="single"/>
          </w:rPr>
          <w:t>Ac 27.8–9</w:t>
        </w:r>
      </w:hyperlink>
      <w:r>
        <w:t>).</w:t>
      </w:r>
      <w:r/>
      <w:r/>
    </w:p>
    <w:p>
      <w:r/>
    </w:p>
    <w:p>
      <w:pPr>
        <w:pStyle w:val="Heading2"/>
      </w:pPr>
      <w:r>
        <w:t>Gosen</w:t>
      </w:r>
      <w:r/>
    </w:p>
    <w:p>
      <w:r/>
      <w:r>
        <w:t xml:space="preserve">1. Région géographique en Égypte occupée par les Israélites pendant leur séjour en Égypte, depuis l'époque de Joseph jusqu'à l'exode. </w:t>
      </w:r>
      <w:hyperlink r:id="rId6075">
        <w:r>
          <w:rPr>
            <w:color w:val="0000EE"/>
            <w:u w:val="single"/>
          </w:rPr>
          <w:t>Genèse 46–47</w:t>
        </w:r>
      </w:hyperlink>
      <w:r>
        <w:t xml:space="preserve"> nous fournit plusieurs informations concernant Gosen : (a) Il s'agissait d'une partie bien définie de l'Égypte. (b) C'était l'endroit où Joseph a retrouvé son père après leurs années de séparation, lorsque Jacob a déplacé sa famille en Égypte. (c) La zone était propice au pâturage des troupeaux. Gosen était associée aux cultes du taureau égyptien et était importante pour l'élevage. À une certaine période, les princes de Thèbes envoyaient leur bétail dans le Delta pour le pâturage, même s'il était contrôlé par les Hyksos. Les bovins sacrés y étaient probablement aussi pâturés par les Égyptiens. (d) Elle est appelée « </w:t>
      </w:r>
      <w:r>
        <w:t>la meilleure partie du pays</w:t>
      </w:r>
      <w:r>
        <w:t xml:space="preserve"> » dans deux versets différents (</w:t>
      </w:r>
      <w:hyperlink r:id="rId6076">
        <w:r>
          <w:rPr>
            <w:color w:val="0000EE"/>
            <w:u w:val="single"/>
          </w:rPr>
          <w:t>Gn 47.6, 11</w:t>
        </w:r>
      </w:hyperlink>
      <w:r>
        <w:t xml:space="preserve">) et est identifiée comme la « </w:t>
      </w:r>
      <w:r>
        <w:t>contrée de Ramsès</w:t>
      </w:r>
      <w:r>
        <w:t xml:space="preserve"> ». (e) Elle avait probablement un poste militaire à sa frontière orientale et n'était peut-être pas fortement habitée par les Égyptiens.</w:t>
      </w:r>
    </w:p>
    <w:p>
      <w:r/>
      <w:r>
        <w:t xml:space="preserve">Le nom Gosen n'est pas d'origine égyptienne mais est sémite et témoigne de l'occupation de la région par les Sémites avant le Nouvel Empire d'Égypte. La Septante dit « Gesem d'Arabie » au lieu de « terre de Gosen » dans </w:t>
      </w:r>
      <w:hyperlink r:id="rId6077">
        <w:r>
          <w:rPr>
            <w:color w:val="0000EE"/>
            <w:u w:val="single"/>
          </w:rPr>
          <w:t>Genèse 45.10</w:t>
        </w:r>
      </w:hyperlink>
      <w:r>
        <w:t xml:space="preserve"> et </w:t>
      </w:r>
      <w:hyperlink r:id="rId6078">
        <w:r>
          <w:rPr>
            <w:color w:val="0000EE"/>
            <w:u w:val="single"/>
          </w:rPr>
          <w:t>46.34</w:t>
        </w:r>
      </w:hyperlink>
      <w:r>
        <w:t>. Ptolémée, le géographe, dira que l'Arabie était un nom égyptien pour la frontière orientale du delta du Nil, ce qui expliquerait la terminologie de la Septante.</w:t>
      </w:r>
    </w:p>
    <w:p>
      <w:r/>
      <w:r>
        <w:t>Gosen était une région d'environ 1 500 km2, composée de deux districts. La moitié occidentale s'étendait de Tsoan à Bubastis, sur une distance d'environ 50 km du nord au sud. Ce district était une plaine irriguée contenant certaines des terres les plus fertiles d'Égypte. Elle mesure environ 25 km de large à la mer Méditerranée et se rétrécit à environ 15 km entre Zagazig et Tell el-Kebir au sud. Le secteur oriental contient une grande zone désertique entre la plaine du Nil et le Suez. En s'étendant vers le sud de Daphnai au Wadi Tumilat, elle s'élargit à environ 65 km d'est en ouest. Au sud de cette section, une plus grande zone désertique s'étend jusqu'au Suez au sud et des Lacs Amers à l'est jusqu'à Héliopolis à l'ouest. La disposition physique de Gosen est importante pour déterminer l'itinéraire de l'exode. Étant donné la description ci-dessus, le Wadi Tumilat aurait été l'itinéraire le plus logique vers la mer Rouge pour les personnes qui conduisaient des troupeaux. L'itinéraire aurait mené du côté sud du champ de Tsoan près de Bubastis, à l'est du bord du désert et à la tête des Lacs Amers.</w:t>
      </w:r>
    </w:p>
    <w:p>
      <w:r/>
      <w:r>
        <w:t>2. Zone dans le territoire conquis et occupé par les Israélites sous Josué (</w:t>
      </w:r>
      <w:hyperlink r:id="rId5897">
        <w:r>
          <w:rPr>
            <w:color w:val="0000EE"/>
            <w:u w:val="single"/>
          </w:rPr>
          <w:t>Jos 10.41</w:t>
        </w:r>
      </w:hyperlink>
      <w:r>
        <w:t xml:space="preserve"> ; </w:t>
      </w:r>
      <w:hyperlink r:id="rId6079">
        <w:r>
          <w:rPr>
            <w:color w:val="0000EE"/>
            <w:u w:val="single"/>
          </w:rPr>
          <w:t>11.16</w:t>
        </w:r>
      </w:hyperlink>
      <w:r>
        <w:t>). Elle se trouvait probablement dans la région montagneuse de Juda entre Hébron et le Néguev.</w:t>
      </w:r>
    </w:p>
    <w:p>
      <w:r/>
      <w:r>
        <w:t>3. Ville dans le territoire de Juda (</w:t>
      </w:r>
      <w:hyperlink r:id="rId6080">
        <w:r>
          <w:rPr>
            <w:color w:val="0000EE"/>
            <w:u w:val="single"/>
          </w:rPr>
          <w:t>Jos 15.51</w:t>
        </w:r>
      </w:hyperlink>
      <w:r>
        <w:t>). Il se peut qu'elle ait été la ville centrale du district discuté dans n°2 ci-dessus, mais cela est incertain.</w:t>
      </w:r>
      <w:r/>
      <w:r/>
    </w:p>
    <w:p>
      <w:r/>
    </w:p>
    <w:p>
      <w:pPr>
        <w:pStyle w:val="Heading2"/>
      </w:pPr>
      <w:r>
        <w:t>Gouverneur</w:t>
      </w:r>
      <w:r/>
    </w:p>
    <w:p>
      <w:r/>
      <w:r>
        <w:t>Dans la Bible, le terme « gouverneur » est traduit à partir d'au moins dix mots hébreux différents et cinq mots grecs. Les traductions françaises de la Bible n'utilisent pas toujours le même mot pour ces termes. Elles emploient souvent de nombreux titres pour décrire le même mot hébreu, comme :</w:t>
      </w:r>
    </w:p>
    <w:p>
      <w:pPr>
        <w:pStyle w:val="ListBullet"/>
        <w:spacing w:line="240" w:lineRule="auto"/>
        <w:ind w:left="720"/>
      </w:pPr>
      <w:r/>
      <w:r>
        <w:t>Superviseur</w:t>
      </w:r>
    </w:p>
    <w:p>
      <w:pPr>
        <w:pStyle w:val="ListBullet"/>
        <w:spacing w:line="240" w:lineRule="auto"/>
        <w:ind w:left="720"/>
      </w:pPr>
      <w:r/>
      <w:r>
        <w:t>Officier</w:t>
      </w:r>
    </w:p>
    <w:p>
      <w:pPr>
        <w:pStyle w:val="ListBullet"/>
        <w:spacing w:line="240" w:lineRule="auto"/>
        <w:ind w:left="720"/>
      </w:pPr>
      <w:r/>
      <w:r>
        <w:t>Chef</w:t>
      </w:r>
    </w:p>
    <w:p>
      <w:pPr>
        <w:pStyle w:val="ListBullet"/>
        <w:spacing w:line="240" w:lineRule="auto"/>
        <w:ind w:left="720"/>
      </w:pPr>
      <w:r/>
      <w:r>
        <w:t>Juge</w:t>
      </w:r>
    </w:p>
    <w:p>
      <w:pPr>
        <w:pStyle w:val="ListBullet"/>
        <w:spacing w:line="240" w:lineRule="auto"/>
        <w:ind w:left="720"/>
      </w:pPr>
      <w:r/>
      <w:r>
        <w:t>Adjoint</w:t>
      </w:r>
    </w:p>
    <w:p>
      <w:r/>
      <w:r>
        <w:t>Le même problème apparaît dans la Septante (l’Ancien Testament grec).</w:t>
      </w:r>
    </w:p>
    <w:p>
      <w:r/>
      <w:r>
        <w:t>Un gouverneur était une personne de haut rang avec autorité sur des personnes, des terres, ou les deux. Parfois, le rang et le pouvoir d'un gouverneur provenaient du poste lui-même. D'autres fois, ils étaient basés sur la nobilité de naissance, la richesse ou les réalisations publiques. Un gouverneur obtenait généralement son autorité d'un roi, ce qui faisait de lui un adjoint dans la région qu'il gouvernait. Ceci s'applique à des figures comme :</w:t>
      </w:r>
    </w:p>
    <w:p>
      <w:pPr>
        <w:pStyle w:val="ListBullet"/>
        <w:spacing w:line="240" w:lineRule="auto"/>
        <w:ind w:left="720"/>
      </w:pPr>
      <w:r/>
      <w:r>
        <w:t>Joseph (</w:t>
      </w:r>
      <w:hyperlink r:id="rId5778">
        <w:r>
          <w:rPr>
            <w:color w:val="0000EE"/>
            <w:u w:val="single"/>
          </w:rPr>
          <w:t>Gn 42.6</w:t>
        </w:r>
      </w:hyperlink>
      <w:r>
        <w:t>)</w:t>
      </w:r>
    </w:p>
    <w:p>
      <w:pPr>
        <w:pStyle w:val="ListBullet"/>
        <w:spacing w:line="240" w:lineRule="auto"/>
        <w:ind w:left="720"/>
      </w:pPr>
      <w:r/>
      <w:r>
        <w:t>Guedalia (</w:t>
      </w:r>
      <w:hyperlink r:id="rId6081">
        <w:r>
          <w:rPr>
            <w:color w:val="0000EE"/>
            <w:u w:val="single"/>
          </w:rPr>
          <w:t>Jr 40.5</w:t>
        </w:r>
      </w:hyperlink>
      <w:r>
        <w:t>)</w:t>
      </w:r>
    </w:p>
    <w:p>
      <w:pPr>
        <w:pStyle w:val="ListBullet"/>
        <w:spacing w:line="240" w:lineRule="auto"/>
        <w:ind w:left="720"/>
      </w:pPr>
      <w:r/>
      <w:r>
        <w:t>Daniel (</w:t>
      </w:r>
      <w:hyperlink r:id="rId6082">
        <w:r>
          <w:rPr>
            <w:color w:val="0000EE"/>
            <w:u w:val="single"/>
          </w:rPr>
          <w:t>Dn 2.48</w:t>
        </w:r>
      </w:hyperlink>
      <w:r>
        <w:t>)</w:t>
      </w:r>
    </w:p>
    <w:p>
      <w:pPr>
        <w:pStyle w:val="ListBullet"/>
        <w:spacing w:line="240" w:lineRule="auto"/>
        <w:ind w:left="720"/>
      </w:pPr>
      <w:r/>
      <w:r>
        <w:t>Zorobabel (</w:t>
      </w:r>
      <w:hyperlink r:id="rId404">
        <w:r>
          <w:rPr>
            <w:color w:val="0000EE"/>
            <w:u w:val="single"/>
          </w:rPr>
          <w:t>Ag 1.1</w:t>
        </w:r>
      </w:hyperlink>
      <w:r>
        <w:t>)</w:t>
      </w:r>
    </w:p>
    <w:p>
      <w:r/>
      <w:r>
        <w:t>Cependant, l'un des mots hébreux pour « gouverneur » pourrait également signifier « souverain absolu » (</w:t>
      </w:r>
      <w:hyperlink r:id="rId6083">
        <w:r>
          <w:rPr>
            <w:color w:val="0000EE"/>
            <w:u w:val="single"/>
          </w:rPr>
          <w:t>Jos 12.2</w:t>
        </w:r>
      </w:hyperlink>
      <w:r>
        <w:t>) ou une personne agissant sous l'autorité de quelqu'un d'autre.</w:t>
      </w:r>
    </w:p>
    <w:p>
      <w:r/>
      <w:r>
        <w:t>Le terme le plus courant de l'Ancien Testament pour « gouverneur » provient probablement d'une expression akkadienne signifiant « Seigneur d'un district ». Ces gouverneurs utilisaient généralement le pouvoir militaire pour rester au contrôle (</w:t>
      </w:r>
      <w:hyperlink r:id="rId6084">
        <w:r>
          <w:rPr>
            <w:color w:val="0000EE"/>
            <w:u w:val="single"/>
          </w:rPr>
          <w:t>2R 18.24</w:t>
        </w:r>
      </w:hyperlink>
      <w:r>
        <w:t xml:space="preserve"> ; </w:t>
      </w:r>
      <w:hyperlink r:id="rId1225">
        <w:r>
          <w:rPr>
            <w:color w:val="0000EE"/>
            <w:u w:val="single"/>
          </w:rPr>
          <w:t>Né 2.7</w:t>
        </w:r>
      </w:hyperlink>
      <w:r>
        <w:t xml:space="preserve"> ; </w:t>
      </w:r>
      <w:hyperlink r:id="rId6085">
        <w:r>
          <w:rPr>
            <w:color w:val="0000EE"/>
            <w:u w:val="single"/>
          </w:rPr>
          <w:t>Jr 51.23, 28</w:t>
        </w:r>
      </w:hyperlink>
      <w:r>
        <w:t xml:space="preserve">). Pendant les périodes perse et grecque, un gouverneur appelé « satrape » était sans doute un fonctionnaire civil. Avant l'exil babylonien, le chef d'une cité-état était souvent appelé « gouverneur » ou un équivalent (comme « chef », voir </w:t>
      </w:r>
      <w:hyperlink r:id="rId6086">
        <w:r>
          <w:rPr>
            <w:color w:val="0000EE"/>
            <w:u w:val="single"/>
          </w:rPr>
          <w:t>1R 22.26</w:t>
        </w:r>
      </w:hyperlink>
      <w:r>
        <w:t xml:space="preserve"> ; </w:t>
      </w:r>
      <w:hyperlink r:id="rId6087">
        <w:r>
          <w:rPr>
            <w:color w:val="0000EE"/>
            <w:u w:val="single"/>
          </w:rPr>
          <w:t>2Ch 34.8</w:t>
        </w:r>
      </w:hyperlink>
      <w:r>
        <w:t xml:space="preserve">). L'auteur du </w:t>
      </w:r>
      <w:hyperlink r:id="rId6088">
        <w:r>
          <w:rPr>
            <w:color w:val="0000EE"/>
            <w:u w:val="single"/>
          </w:rPr>
          <w:t>Psaume 22.28</w:t>
        </w:r>
      </w:hyperlink>
      <w:r>
        <w:t xml:space="preserve"> a utilisé le titre pour décrire Dieu comme le souverain de son peuple. Un fonctionnaire du temple qui a mis le prophète Jérémie au pilori (une forme de punition) était également appelé « gouverneur » (parfois traduit par « officier »). Un gouverneur militaire commandait probablement une ou plusieurs unités de soldats. Dans certains cas, « gouverneur » était un titre honorifique, comme on le voit dans </w:t>
      </w:r>
      <w:hyperlink r:id="rId6089">
        <w:r>
          <w:rPr>
            <w:color w:val="0000EE"/>
            <w:u w:val="single"/>
          </w:rPr>
          <w:t>Esd 2.63</w:t>
        </w:r>
      </w:hyperlink>
      <w:r>
        <w:t xml:space="preserve"> et </w:t>
      </w:r>
      <w:hyperlink r:id="rId6090">
        <w:r>
          <w:rPr>
            <w:color w:val="0000EE"/>
            <w:u w:val="single"/>
          </w:rPr>
          <w:t>Né 7.65</w:t>
        </w:r>
      </w:hyperlink>
      <w:r>
        <w:t>.</w:t>
      </w:r>
    </w:p>
    <w:p>
      <w:r/>
      <w:r>
        <w:t>Les problèmes de traduction du grec sont également courants. Les différents mots grecs utilisés pour « gouverneur » faisaient souvent référence à divers niveaux de responsabilité. Cela est clair avec des termes comme « ethnarque » (</w:t>
      </w:r>
      <w:hyperlink r:id="rId6091">
        <w:r>
          <w:rPr>
            <w:color w:val="0000EE"/>
            <w:u w:val="single"/>
          </w:rPr>
          <w:t>1 M 14.47</w:t>
        </w:r>
      </w:hyperlink>
      <w:r>
        <w:t xml:space="preserve"> ; </w:t>
      </w:r>
      <w:hyperlink r:id="rId3555">
        <w:r>
          <w:rPr>
            <w:color w:val="0000EE"/>
            <w:u w:val="single"/>
          </w:rPr>
          <w:t>2Co 11.32</w:t>
        </w:r>
      </w:hyperlink>
      <w:r>
        <w:t>, TOB2010), qui désigne quelqu'un qui gouvernait en tant que suppléant d'un roi. D'autres mots faisaient référence à des fonctionnaires provinciaux romains. Ces gouverneurs sont mentionnés dans les écrits du Nouveau Testament (</w:t>
      </w:r>
      <w:hyperlink r:id="rId6092">
        <w:r>
          <w:rPr>
            <w:color w:val="0000EE"/>
            <w:u w:val="single"/>
          </w:rPr>
          <w:t>Mt 10.18</w:t>
        </w:r>
      </w:hyperlink>
      <w:r>
        <w:t xml:space="preserve"> ; </w:t>
      </w:r>
      <w:hyperlink r:id="rId2580">
        <w:r>
          <w:rPr>
            <w:color w:val="0000EE"/>
            <w:u w:val="single"/>
          </w:rPr>
          <w:t>Lc 2.2</w:t>
        </w:r>
      </w:hyperlink>
      <w:r>
        <w:t xml:space="preserve"> ; </w:t>
      </w:r>
      <w:hyperlink r:id="rId2222">
        <w:r>
          <w:rPr>
            <w:color w:val="0000EE"/>
            <w:u w:val="single"/>
          </w:rPr>
          <w:t>3.1</w:t>
        </w:r>
      </w:hyperlink>
      <w:r>
        <w:t xml:space="preserve"> ; </w:t>
      </w:r>
      <w:hyperlink r:id="rId6093">
        <w:r>
          <w:rPr>
            <w:color w:val="0000EE"/>
            <w:u w:val="single"/>
          </w:rPr>
          <w:t>Ac 23.24</w:t>
        </w:r>
      </w:hyperlink>
      <w:r>
        <w:t xml:space="preserve"> ; </w:t>
      </w:r>
      <w:hyperlink r:id="rId6094">
        <w:r>
          <w:rPr>
            <w:color w:val="0000EE"/>
            <w:u w:val="single"/>
          </w:rPr>
          <w:t>1P 2.14</w:t>
        </w:r>
      </w:hyperlink>
      <w:r>
        <w:t>) et étaient responsables du maintien de la loi et de l'ordre dans leurs régions. À l'époque du Nouveau Testament, la Judée était sous le contrôle du gouverneur de Syrie.</w:t>
      </w:r>
      <w:r/>
      <w:r/>
    </w:p>
    <w:p>
      <w:r/>
    </w:p>
    <w:p>
      <w:pPr>
        <w:pStyle w:val="Heading2"/>
      </w:pPr>
      <w:r>
        <w:t>Grèce, Grec</w:t>
      </w:r>
      <w:r/>
    </w:p>
    <w:p>
      <w:r/>
      <w:r>
        <w:t xml:space="preserve">Les allusions bibliques à la Grèce et au peuple grec ne sont pas toujours évidentes à identifier pour le lecteur moderne. Dans l'Ancien Testament (AT), un certain nombre de passages mentionnent la Grèce ou les Grecs sous les noms de « Javan » et des « fils de Javan » respectivement. Javan est le quatrième fils de Japhet qui est mentionné dans la « table des peuples » de </w:t>
      </w:r>
      <w:hyperlink r:id="rId4483">
        <w:r>
          <w:rPr>
            <w:color w:val="0000EE"/>
            <w:u w:val="single"/>
          </w:rPr>
          <w:t>Genèse 10</w:t>
        </w:r>
      </w:hyperlink>
      <w:r>
        <w:t xml:space="preserve">. Comme pour Jacob, dont le nom </w:t>
      </w:r>
      <w:r>
        <w:rPr>
          <w:i/>
        </w:rPr>
        <w:t>Israël</w:t>
      </w:r>
      <w:r>
        <w:t xml:space="preserve"> est utilisé pour désigner la nation de ses descendants, les descendants de Javan sont aussi désignés par son nom. Les descriptions géographiques et politiques de Javan et des fils de Javan montrent qu'il s'agit bien de la Grèce et des Grecs (</w:t>
      </w:r>
      <w:hyperlink r:id="rId6095">
        <w:r>
          <w:rPr>
            <w:color w:val="0000EE"/>
            <w:u w:val="single"/>
          </w:rPr>
          <w:t>1Ch 1.5, 7</w:t>
        </w:r>
      </w:hyperlink>
      <w:r>
        <w:t xml:space="preserve"> ; </w:t>
      </w:r>
      <w:hyperlink r:id="rId6096">
        <w:r>
          <w:rPr>
            <w:color w:val="0000EE"/>
            <w:u w:val="single"/>
          </w:rPr>
          <w:t>Es 66.19</w:t>
        </w:r>
      </w:hyperlink>
      <w:r>
        <w:t xml:space="preserve"> ; </w:t>
      </w:r>
      <w:hyperlink r:id="rId6097">
        <w:r>
          <w:rPr>
            <w:color w:val="0000EE"/>
            <w:u w:val="single"/>
          </w:rPr>
          <w:t>Esd 27.13</w:t>
        </w:r>
      </w:hyperlink>
      <w:r>
        <w:t xml:space="preserve">). Ce que le livre de Daniel dit sur les conquêtes de Javan ne laisse aucun doute : il décrit ainsi l'empire d'Alexandre le Grand, et confirme que le terme désigne bien la Grèce. Ainsi, les traducteurs de la Septante (la traduction juive de l'AT hébreu en grec) ont logiquement utilisé le mot qui signifie « Grec/grec » pour traduire les références à Javan dans un certain nombre de passages (p. ex. </w:t>
      </w:r>
      <w:hyperlink r:id="rId6098">
        <w:r>
          <w:rPr>
            <w:color w:val="0000EE"/>
            <w:u w:val="single"/>
          </w:rPr>
          <w:t>Dn 8.21</w:t>
        </w:r>
      </w:hyperlink>
      <w:r>
        <w:t xml:space="preserve"> ; </w:t>
      </w:r>
      <w:hyperlink r:id="rId6099">
        <w:r>
          <w:rPr>
            <w:color w:val="0000EE"/>
            <w:u w:val="single"/>
          </w:rPr>
          <w:t>10.20</w:t>
        </w:r>
      </w:hyperlink>
      <w:r>
        <w:t xml:space="preserve"> ; </w:t>
      </w:r>
      <w:hyperlink r:id="rId6100">
        <w:r>
          <w:rPr>
            <w:color w:val="0000EE"/>
            <w:u w:val="single"/>
          </w:rPr>
          <w:t>11.2</w:t>
        </w:r>
      </w:hyperlink>
      <w:r>
        <w:t xml:space="preserve"> ; et </w:t>
      </w:r>
      <w:hyperlink r:id="rId6101">
        <w:r>
          <w:rPr>
            <w:color w:val="0000EE"/>
            <w:u w:val="single"/>
          </w:rPr>
          <w:t>Za 9.13</w:t>
        </w:r>
      </w:hyperlink>
      <w:r>
        <w:t xml:space="preserve">, et </w:t>
      </w:r>
      <w:hyperlink r:id="rId6102">
        <w:r>
          <w:rPr>
            <w:color w:val="0000EE"/>
            <w:u w:val="single"/>
          </w:rPr>
          <w:t>Jl 3.6</w:t>
        </w:r>
      </w:hyperlink>
      <w:r>
        <w:t xml:space="preserve">). </w:t>
      </w:r>
    </w:p>
    <w:p>
      <w:r/>
      <w:r>
        <w:t>Dans le Nouveau Testament (NT), le terme « Grec » peut avoir le sens particulier d'« helléniste ». C'est une façon de désigner les Juifs vivant dans des villes dont la langue était le grec mais qui ne se trouvaient pas forcément en Grèce même (</w:t>
      </w:r>
      <w:hyperlink r:id="rId6103">
        <w:r>
          <w:rPr>
            <w:color w:val="0000EE"/>
            <w:u w:val="single"/>
          </w:rPr>
          <w:t>Ac 6.1</w:t>
        </w:r>
      </w:hyperlink>
      <w:r>
        <w:t xml:space="preserve"> ; </w:t>
      </w:r>
      <w:hyperlink r:id="rId6104">
        <w:r>
          <w:rPr>
            <w:color w:val="0000EE"/>
            <w:u w:val="single"/>
          </w:rPr>
          <w:t>9.29</w:t>
        </w:r>
      </w:hyperlink>
      <w:r>
        <w:t xml:space="preserve"> ; </w:t>
      </w:r>
      <w:hyperlink r:id="rId3033">
        <w:r>
          <w:rPr>
            <w:color w:val="0000EE"/>
            <w:u w:val="single"/>
          </w:rPr>
          <w:t>11.20</w:t>
        </w:r>
      </w:hyperlink>
      <w:r>
        <w:t>). Toutefois, le mot « Grecs » peut aussi désigner des personnes d'ethnie grecque (</w:t>
      </w:r>
      <w:hyperlink r:id="rId5629">
        <w:r>
          <w:rPr>
            <w:color w:val="0000EE"/>
            <w:u w:val="single"/>
          </w:rPr>
          <w:t>Jn 12.20</w:t>
        </w:r>
      </w:hyperlink>
      <w:r>
        <w:t xml:space="preserve">, </w:t>
      </w:r>
      <w:hyperlink r:id="rId6105">
        <w:r>
          <w:rPr>
            <w:color w:val="0000EE"/>
            <w:u w:val="single"/>
          </w:rPr>
          <w:t>Ac 14.1</w:t>
        </w:r>
      </w:hyperlink>
      <w:r>
        <w:t xml:space="preserve"> et </w:t>
      </w:r>
      <w:hyperlink r:id="rId6106">
        <w:r>
          <w:rPr>
            <w:color w:val="0000EE"/>
            <w:u w:val="single"/>
          </w:rPr>
          <w:t>16.1–3</w:t>
        </w:r>
      </w:hyperlink>
      <w:r>
        <w:t>). Le plus souvent dans le NT, le mot « Grecs » est une façon générale pour désigner tous ceux qui ne sont pas Juifs. Ce mot est quasiment synonyme de « païens » ou « Gentils » (</w:t>
      </w:r>
      <w:hyperlink r:id="rId523">
        <w:r>
          <w:rPr>
            <w:color w:val="0000EE"/>
            <w:u w:val="single"/>
          </w:rPr>
          <w:t>Rm 1.16</w:t>
        </w:r>
      </w:hyperlink>
      <w:r>
        <w:t xml:space="preserve"> ; </w:t>
      </w:r>
      <w:hyperlink r:id="rId6107">
        <w:r>
          <w:rPr>
            <w:color w:val="0000EE"/>
            <w:u w:val="single"/>
          </w:rPr>
          <w:t>10.12</w:t>
        </w:r>
      </w:hyperlink>
      <w:r>
        <w:t xml:space="preserve"> ; </w:t>
      </w:r>
      <w:hyperlink r:id="rId6108">
        <w:r>
          <w:rPr>
            <w:color w:val="0000EE"/>
            <w:u w:val="single"/>
          </w:rPr>
          <w:t>1Co 1.22, 24</w:t>
        </w:r>
      </w:hyperlink>
      <w:r>
        <w:t xml:space="preserve"> ; </w:t>
      </w:r>
      <w:hyperlink r:id="rId6109">
        <w:r>
          <w:rPr>
            <w:color w:val="0000EE"/>
            <w:u w:val="single"/>
          </w:rPr>
          <w:t>Ga 2.3</w:t>
        </w:r>
      </w:hyperlink>
      <w:r>
        <w:t xml:space="preserve"> ; </w:t>
      </w:r>
      <w:hyperlink r:id="rId2962">
        <w:r>
          <w:rPr>
            <w:color w:val="0000EE"/>
            <w:u w:val="single"/>
          </w:rPr>
          <w:t>3.28</w:t>
        </w:r>
      </w:hyperlink>
      <w:r>
        <w:t>).</w:t>
      </w:r>
    </w:p>
    <w:p>
      <w:r/>
      <w:r>
        <w:t>Parfois, le mot « grec » peut aussi servir à désigner la langue grecque (</w:t>
      </w:r>
      <w:hyperlink r:id="rId6110">
        <w:r>
          <w:rPr>
            <w:color w:val="0000EE"/>
            <w:u w:val="single"/>
          </w:rPr>
          <w:t>Jn 19.20</w:t>
        </w:r>
      </w:hyperlink>
      <w:r>
        <w:t xml:space="preserve"> ; </w:t>
      </w:r>
      <w:hyperlink r:id="rId6111">
        <w:r>
          <w:rPr>
            <w:color w:val="0000EE"/>
            <w:u w:val="single"/>
          </w:rPr>
          <w:t>Ac 21.37</w:t>
        </w:r>
      </w:hyperlink>
      <w:r>
        <w:t xml:space="preserve"> ; </w:t>
      </w:r>
      <w:hyperlink r:id="rId58">
        <w:r>
          <w:rPr>
            <w:color w:val="0000EE"/>
            <w:u w:val="single"/>
          </w:rPr>
          <w:t>Ap 9.11</w:t>
        </w:r>
      </w:hyperlink>
      <w:r>
        <w:t>). La description de la femme syro-phénicienne comme étant « grecque » (</w:t>
      </w:r>
      <w:hyperlink r:id="rId6112">
        <w:r>
          <w:rPr>
            <w:color w:val="0000EE"/>
            <w:u w:val="single"/>
          </w:rPr>
          <w:t>Mc 7.26</w:t>
        </w:r>
      </w:hyperlink>
      <w:r>
        <w:t>) désigne peut-être sa culture. Dans le livre des Actes, il est question de Grecs dans les synagogues (</w:t>
      </w:r>
      <w:hyperlink r:id="rId6105">
        <w:r>
          <w:rPr>
            <w:color w:val="0000EE"/>
            <w:u w:val="single"/>
          </w:rPr>
          <w:t>Ac 14.1</w:t>
        </w:r>
      </w:hyperlink>
      <w:r>
        <w:t xml:space="preserve"> ; </w:t>
      </w:r>
      <w:hyperlink r:id="rId6113">
        <w:r>
          <w:rPr>
            <w:color w:val="0000EE"/>
            <w:u w:val="single"/>
          </w:rPr>
          <w:t>17.4</w:t>
        </w:r>
      </w:hyperlink>
      <w:r>
        <w:t xml:space="preserve"> ; </w:t>
      </w:r>
      <w:hyperlink r:id="rId3111">
        <w:r>
          <w:rPr>
            <w:color w:val="0000EE"/>
            <w:u w:val="single"/>
          </w:rPr>
          <w:t>18.4</w:t>
        </w:r>
      </w:hyperlink>
      <w:r>
        <w:t>). Parmi les sens possibles du terme tel qu'utilisé dans le NT, il n'est pas clair lequel précisément est entendu. Ce qui est clair, c'est que ce n'étaient pas des Juifs.</w:t>
      </w:r>
    </w:p>
    <w:p>
      <w:pPr>
        <w:pStyle w:val="Heading3"/>
      </w:pPr>
      <w:r>
        <w:t>Géographie</w:t>
      </w:r>
    </w:p>
    <w:p>
      <w:r/>
      <w:r>
        <w:t>La patrie de la Grèce antique était la région sud de la péninsule balkanique. Toutefois, de nombreuses populations dont le grec était la langue maternelle vivaient ailleurs, comme par exemple les îles de la mer Égée, l'Asie Mineure occidentale, le sud de l'Italie et la Sicile.</w:t>
      </w:r>
    </w:p>
    <w:p>
      <w:pPr>
        <w:pStyle w:val="Heading3"/>
      </w:pPr>
      <w:r>
        <w:t>L'essor de la culture grecque</w:t>
      </w:r>
    </w:p>
    <w:p>
      <w:r/>
      <w:r>
        <w:t>Les guerres médiques (497 av. J.‑C.) sont suivies par une période de développement et de grandeur remarquables pour la cité-État d'Athènes. La ville est reconstruite et le Pirée, son port, fortifié. Toutefois, quand les citoyens de la ville essaient de la faire gouverner par le peuple sans restrictions, le chaos semble la menacer. Périclès, un homme d'État brillant, rétablit l'équilibre de l'État et Athènes regagne bientôt sa gloire.</w:t>
      </w:r>
    </w:p>
    <w:p>
      <w:r/>
      <w:r>
        <w:t>De vastes bâtiments sont construits sur l'Acropole, notamment le Parthénon, dédié à Athéna, la déesse d'Athènes. Athènes devient riche, en partie grâce aux contributions à la Ligue de Délos. La ville accroît sa puissance maritime.</w:t>
      </w:r>
    </w:p>
    <w:p>
      <w:r/>
      <w:r>
        <w:t>La population d'Athènes est importante et très diverse. Elle inclut :</w:t>
      </w:r>
    </w:p>
    <w:p>
      <w:pPr>
        <w:pStyle w:val="ListBullet"/>
        <w:spacing w:line="240" w:lineRule="auto"/>
        <w:ind w:left="720"/>
      </w:pPr>
      <w:r/>
      <w:r>
        <w:t>esclaves</w:t>
      </w:r>
    </w:p>
    <w:p>
      <w:pPr>
        <w:pStyle w:val="ListBullet"/>
        <w:spacing w:line="240" w:lineRule="auto"/>
        <w:ind w:left="720"/>
      </w:pPr>
      <w:r/>
      <w:r>
        <w:t>artisans</w:t>
      </w:r>
    </w:p>
    <w:p>
      <w:pPr>
        <w:pStyle w:val="ListBullet"/>
        <w:spacing w:line="240" w:lineRule="auto"/>
        <w:ind w:left="720"/>
      </w:pPr>
      <w:r/>
      <w:r>
        <w:t>ouvriers</w:t>
      </w:r>
    </w:p>
    <w:p>
      <w:pPr>
        <w:pStyle w:val="ListBullet"/>
        <w:spacing w:line="240" w:lineRule="auto"/>
        <w:ind w:left="720"/>
      </w:pPr>
      <w:r/>
      <w:r>
        <w:t>commerçants venant de l'étranger</w:t>
      </w:r>
    </w:p>
    <w:p>
      <w:pPr>
        <w:pStyle w:val="ListBullet"/>
        <w:spacing w:line="240" w:lineRule="auto"/>
        <w:ind w:left="720"/>
      </w:pPr>
      <w:r/>
      <w:r>
        <w:t>artistes</w:t>
      </w:r>
    </w:p>
    <w:p>
      <w:pPr>
        <w:pStyle w:val="ListBullet"/>
        <w:spacing w:line="240" w:lineRule="auto"/>
        <w:ind w:left="720"/>
      </w:pPr>
      <w:r/>
      <w:r>
        <w:t>poètes</w:t>
      </w:r>
    </w:p>
    <w:p>
      <w:pPr>
        <w:pStyle w:val="ListBullet"/>
        <w:spacing w:line="240" w:lineRule="auto"/>
        <w:ind w:left="720"/>
      </w:pPr>
      <w:r/>
      <w:r>
        <w:t>philosophes</w:t>
      </w:r>
    </w:p>
    <w:p>
      <w:pPr>
        <w:pStyle w:val="ListBullet"/>
        <w:spacing w:line="240" w:lineRule="auto"/>
        <w:ind w:left="720"/>
      </w:pPr>
      <w:r/>
      <w:r>
        <w:t>enseignants</w:t>
      </w:r>
    </w:p>
    <w:p>
      <w:pPr>
        <w:pStyle w:val="ListBullet"/>
        <w:spacing w:line="240" w:lineRule="auto"/>
        <w:ind w:left="720"/>
      </w:pPr>
      <w:r/>
      <w:r>
        <w:t>acteurs</w:t>
      </w:r>
    </w:p>
    <w:p>
      <w:pPr>
        <w:pStyle w:val="ListBullet"/>
        <w:spacing w:line="240" w:lineRule="auto"/>
        <w:ind w:left="720"/>
      </w:pPr>
      <w:r/>
      <w:r>
        <w:t>athlètes</w:t>
      </w:r>
    </w:p>
    <w:p>
      <w:pPr>
        <w:pStyle w:val="ListBullet"/>
        <w:spacing w:line="240" w:lineRule="auto"/>
        <w:ind w:left="720"/>
      </w:pPr>
      <w:r/>
      <w:r>
        <w:t>scientifiques</w:t>
      </w:r>
    </w:p>
    <w:p>
      <w:pPr>
        <w:pStyle w:val="ListBullet"/>
        <w:spacing w:line="240" w:lineRule="auto"/>
        <w:ind w:left="720"/>
      </w:pPr>
      <w:r/>
      <w:r>
        <w:t>médecins</w:t>
      </w:r>
    </w:p>
    <w:p>
      <w:pPr>
        <w:pStyle w:val="ListBullet"/>
        <w:spacing w:line="240" w:lineRule="auto"/>
        <w:ind w:left="720"/>
      </w:pPr>
      <w:r/>
      <w:r>
        <w:t>historiens</w:t>
      </w:r>
    </w:p>
    <w:p>
      <w:pPr>
        <w:pStyle w:val="ListBullet"/>
        <w:spacing w:line="240" w:lineRule="auto"/>
        <w:ind w:left="720"/>
      </w:pPr>
      <w:r/>
      <w:r>
        <w:t>enseignants religieux</w:t>
      </w:r>
    </w:p>
    <w:p>
      <w:pPr>
        <w:pStyle w:val="ListBullet"/>
        <w:spacing w:line="240" w:lineRule="auto"/>
        <w:ind w:left="720"/>
      </w:pPr>
      <w:r/>
      <w:r>
        <w:t>experts militaires et navals</w:t>
      </w:r>
    </w:p>
    <w:p>
      <w:r/>
      <w:r>
        <w:t>Athènes produit de grands penseurs et auteurs au 5</w:t>
      </w:r>
      <w:r>
        <w:t>ᵉ</w:t>
      </w:r>
      <w:r>
        <w:t xml:space="preserve"> siècle et au début du 4</w:t>
      </w:r>
      <w:r>
        <w:t>ᵉ</w:t>
      </w:r>
      <w:r>
        <w:t xml:space="preserve"> siècle av. J.‑C., dont :</w:t>
      </w:r>
    </w:p>
    <w:p>
      <w:pPr>
        <w:pStyle w:val="ListBullet"/>
        <w:spacing w:line="240" w:lineRule="auto"/>
        <w:ind w:left="720"/>
      </w:pPr>
      <w:r/>
      <w:r>
        <w:t>des dramaturges (auteurs de pièces de théâtre) tels qu'Eschyle, Sophocle et Euripide</w:t>
      </w:r>
    </w:p>
    <w:p>
      <w:pPr>
        <w:pStyle w:val="ListBullet"/>
        <w:spacing w:line="240" w:lineRule="auto"/>
        <w:ind w:left="720"/>
      </w:pPr>
      <w:r/>
      <w:r>
        <w:t>des historiens tels que Thucydide et Hérodote</w:t>
      </w:r>
    </w:p>
    <w:p>
      <w:pPr>
        <w:pStyle w:val="ListBullet"/>
        <w:spacing w:line="240" w:lineRule="auto"/>
        <w:ind w:left="720"/>
      </w:pPr>
      <w:r/>
      <w:r>
        <w:t>des philosophes tels que Socrate, Platon et Aristote</w:t>
      </w:r>
    </w:p>
    <w:p>
      <w:r/>
      <w:r>
        <w:t>Il s'agit d'un âge d'or qui donne jour à de remarquables réalisations dans les domaines de l'art, de la pensée, de la littérature et de l'architecture.</w:t>
      </w:r>
    </w:p>
    <w:p>
      <w:pPr>
        <w:pStyle w:val="Heading3"/>
      </w:pPr>
      <w:r>
        <w:t>L'âge de l'hellénisme</w:t>
      </w:r>
    </w:p>
    <w:p>
      <w:r/>
      <w:r>
        <w:t>La puissance et l'influence d'Athènes diminue avant la fin du 4</w:t>
      </w:r>
      <w:r>
        <w:t>ᵉ</w:t>
      </w:r>
      <w:r>
        <w:t xml:space="preserve"> siècle av. J.‑C. Philippe de Macédoine, qui veut de se créer un empire, tourne ses regards vers l'ouest. En 338 av. J.‑C., Athènes et Thèbes tombent sous son pouvoir. La Grèce est unifiée par l'empire macédonien. Quand Philippe est assassiné en 336 av. J.‑C., son fils Alexandre reprend l'œuvre de son père. Alexandre est éduqué dans la tradition athénienne. Avant de mourir en 323 av. J.‑C., il a conquis la Perse et poussé ses conquêtes jusqu'au Pendjab, en Inde.</w:t>
      </w:r>
    </w:p>
    <w:p>
      <w:r/>
      <w:r>
        <w:t>À la fin du règne d'Alexandre, ses territoires incluent toute la région partant du Caucase (la région montagneuse entre la mer Noire et la mer Caspienne) jusqu'au désert libyen et aux frontières de l'Éthiopie. Après sa mort, son empire est divisé entre quatre de ses généraux. Après quelques difficultés, ces territoires deviennent trois monarchies hellénistiques : Ptolémée dirige l'Égypte. Séleucos dirige l'Asie Mineure, la Syrie et l'Orient. Antigone règne sur la Macédoine.</w:t>
      </w:r>
    </w:p>
    <w:p>
      <w:r/>
      <w:r>
        <w:t>Les territoires grecs finissent par passer au pouvoir des Romains, qui s'y installent en 198 av. J.‑C. Ils les réorganisent progressivement en provinces romaines, comme l'Achaïe (</w:t>
      </w:r>
      <w:hyperlink r:id="rId328">
        <w:r>
          <w:rPr>
            <w:color w:val="0000EE"/>
            <w:u w:val="single"/>
          </w:rPr>
          <w:t>Ac 18.12</w:t>
        </w:r>
      </w:hyperlink>
      <w:r>
        <w:t>). Ce sera principalement dans ce monde grec, sous contrôle romain, que les chrétiens propageront le message de l'Évangile au premier siècle apr. J.‑C.</w:t>
      </w:r>
    </w:p>
    <w:p>
      <w:pPr>
        <w:pStyle w:val="Heading3"/>
      </w:pPr>
      <w:r>
        <w:t>Les Grecs en Palestine</w:t>
      </w:r>
    </w:p>
    <w:p>
      <w:r/>
      <w:r>
        <w:t xml:space="preserve">Des fouilles archéologiques ont révélé qu'il y a eu des contacts entre la Palestine et les régions égéennes pendant de nombreux siècles. </w:t>
      </w:r>
    </w:p>
    <w:p>
      <w:r/>
      <w:r>
        <w:t>De la poterie (objets de terre cuite) du minoen moyen II a été retrouvée sur certains sites palestiniens qui datent de la période du Bronze moyen ou intermédiaire (c'est-à-dire l'époque des premiers patriarches bibliques). Les Philistins faisaient partie des peuples de la mer au 13</w:t>
      </w:r>
      <w:r>
        <w:rPr>
          <w:vertAlign w:val="superscript"/>
        </w:rPr>
        <w:t>e</w:t>
      </w:r>
      <w:r>
        <w:t xml:space="preserve"> siècle av. J.‑C. Ils s'installent dans des zones côtières de la Palestine et y développent leur propre culture. Il laissent derrière eux un grand nombre d'objets de poterie. Entre 1370 et 1200 av. J.‑C., des Égéens et d'autres peuples provenant d'Asie Mineure occidentale viennent en Palestine.</w:t>
      </w:r>
    </w:p>
    <w:p>
      <w:r/>
      <w:r>
        <w:t>Il est fréquent de trouver des objets de poterie mycénienne en Palestine. Des céramiques à figures noires attiques du 6</w:t>
      </w:r>
      <w:r>
        <w:rPr>
          <w:vertAlign w:val="superscript"/>
        </w:rPr>
        <w:t>e</w:t>
      </w:r>
      <w:r>
        <w:t xml:space="preserve"> siècle av. J.‑C. et des céramiques à figures rouges attiques de la période de 530 à 300 av. J.‑C. ont également été retrouvées.</w:t>
      </w:r>
    </w:p>
    <w:p>
      <w:r/>
      <w:r>
        <w:t>Des pièces d'argent frappées en imitation des drachmes attiques proviennent de la même période. L'influence grecque augmente avec l'essor de l'hellénisme, et d'autant plus quand la Palestine passe sous la domination de souverains ptolémaïques et séleucides. Outre les objets de terre cuite (ou poterie), les restes de structures architecturales témoignent de l'influence grecque pendant cette période non seulement en Palestine, mais dans toute la région du Levant.</w:t>
      </w:r>
    </w:p>
    <w:p>
      <w:r/>
      <w:r>
        <w:t xml:space="preserve">Cette influence continue pendant la période de domination romaine. Le grec est alors la langue commerciale de l'Empire romain. Le NT lui-même a été écrit dans ce grec international. Toutes sortes d'inscription grecques ont été retrouvées qui datent de cette époque. </w:t>
      </w:r>
    </w:p>
    <w:p>
      <w:r/>
      <w:r>
        <w:rPr>
          <w:i/>
        </w:rPr>
        <w:t>Voir aussi</w:t>
      </w:r>
      <w:r>
        <w:t xml:space="preserve"> </w:t>
      </w:r>
      <w:r>
        <w:t>Alexandre #1</w:t>
      </w:r>
      <w:r>
        <w:t xml:space="preserve"> ; </w:t>
      </w:r>
      <w:r>
        <w:t>Alexandrie</w:t>
      </w:r>
      <w:r>
        <w:t xml:space="preserve"> ; </w:t>
      </w:r>
      <w:r>
        <w:t>hellénisme</w:t>
      </w:r>
      <w:r>
        <w:t xml:space="preserve"> ; </w:t>
      </w:r>
      <w:r>
        <w:t>hellénistes</w:t>
      </w:r>
      <w:r>
        <w:t xml:space="preserve"> ; </w:t>
      </w:r>
      <w:r>
        <w:t>judaïsme</w:t>
      </w:r>
      <w:r>
        <w:t>.</w:t>
      </w:r>
      <w:r/>
      <w:r/>
    </w:p>
    <w:p>
      <w:r/>
    </w:p>
    <w:p>
      <w:pPr>
        <w:pStyle w:val="Heading2"/>
      </w:pPr>
      <w:r>
        <w:t>Guéra</w:t>
      </w:r>
      <w:r/>
    </w:p>
    <w:p>
      <w:pPr>
        <w:pStyle w:val="ListNumber"/>
        <w:spacing w:line="240" w:lineRule="auto"/>
        <w:ind w:left="720"/>
      </w:pPr>
      <w:r/>
      <w:r>
        <w:t>Un des fils de Benjamin (</w:t>
      </w:r>
      <w:hyperlink r:id="rId123">
        <w:r>
          <w:rPr>
            <w:color w:val="0000EE"/>
            <w:u w:val="single"/>
          </w:rPr>
          <w:t>Gn 46.21</w:t>
        </w:r>
      </w:hyperlink>
      <w:r>
        <w:t xml:space="preserve">). Cependant, le nom n'apparaît pas dans une liste similaire dans </w:t>
      </w:r>
      <w:hyperlink r:id="rId6114">
        <w:r>
          <w:rPr>
            <w:color w:val="0000EE"/>
            <w:u w:val="single"/>
          </w:rPr>
          <w:t>Nombres 26.38–41</w:t>
        </w:r>
      </w:hyperlink>
      <w:r>
        <w:t>.</w:t>
      </w:r>
    </w:p>
    <w:p>
      <w:pPr>
        <w:pStyle w:val="ListNumber"/>
        <w:spacing w:line="240" w:lineRule="auto"/>
        <w:ind w:left="720"/>
      </w:pPr>
      <w:r/>
      <w:r>
        <w:t>Père du juge Éhud (</w:t>
      </w:r>
      <w:hyperlink r:id="rId1770">
        <w:r>
          <w:rPr>
            <w:color w:val="0000EE"/>
            <w:u w:val="single"/>
          </w:rPr>
          <w:t>Jg 3.15</w:t>
        </w:r>
      </w:hyperlink>
      <w:r>
        <w:t>).</w:t>
      </w:r>
    </w:p>
    <w:p>
      <w:pPr>
        <w:pStyle w:val="ListNumber"/>
        <w:spacing w:line="240" w:lineRule="auto"/>
        <w:ind w:left="720"/>
      </w:pPr>
      <w:r/>
      <w:r>
        <w:t>Père de Schimeï. Schimeï maudira et jettera des pierres sur le roi David lors de la rébellion d'Absalom. Plus tard, il suppliera David de lui pardonner (</w:t>
      </w:r>
      <w:hyperlink r:id="rId6115">
        <w:r>
          <w:rPr>
            <w:color w:val="0000EE"/>
            <w:u w:val="single"/>
          </w:rPr>
          <w:t>2S 16.5</w:t>
        </w:r>
      </w:hyperlink>
      <w:r>
        <w:t xml:space="preserve"> ; </w:t>
      </w:r>
      <w:hyperlink r:id="rId6116">
        <w:r>
          <w:rPr>
            <w:color w:val="0000EE"/>
            <w:u w:val="single"/>
          </w:rPr>
          <w:t>19.16–18</w:t>
        </w:r>
      </w:hyperlink>
      <w:r>
        <w:t xml:space="preserve"> ; </w:t>
      </w:r>
      <w:hyperlink r:id="rId6117">
        <w:r>
          <w:rPr>
            <w:color w:val="0000EE"/>
            <w:u w:val="single"/>
          </w:rPr>
          <w:t>1R 2.8</w:t>
        </w:r>
      </w:hyperlink>
      <w:r>
        <w:t>).</w:t>
      </w:r>
    </w:p>
    <w:p>
      <w:pPr>
        <w:pStyle w:val="ListNumber"/>
        <w:spacing w:line="240" w:lineRule="auto"/>
        <w:ind w:left="720"/>
      </w:pPr>
      <w:r/>
      <w:r>
        <w:t>Fils de Béla, de la tribu de Benjamin (</w:t>
      </w:r>
      <w:hyperlink r:id="rId6118">
        <w:r>
          <w:rPr>
            <w:color w:val="0000EE"/>
            <w:u w:val="single"/>
          </w:rPr>
          <w:t>1Ch 8.3, 5</w:t>
        </w:r>
      </w:hyperlink>
      <w:r>
        <w:t xml:space="preserve">). Au v. </w:t>
      </w:r>
      <w:hyperlink r:id="rId6119">
        <w:r>
          <w:rPr>
            <w:color w:val="0000EE"/>
            <w:u w:val="single"/>
          </w:rPr>
          <w:t>7</w:t>
        </w:r>
      </w:hyperlink>
      <w:r>
        <w:t>, certaines traductions comprennent qu'un autre nom pour Guéra est « Heglam ».</w:t>
      </w:r>
      <w:r/>
      <w:r/>
    </w:p>
    <w:p>
      <w:r/>
    </w:p>
    <w:p>
      <w:pPr>
        <w:pStyle w:val="Heading2"/>
      </w:pPr>
      <w:r>
        <w:t>Guérar</w:t>
      </w:r>
      <w:r/>
    </w:p>
    <w:p>
      <w:r/>
      <w:r>
        <w:t>Ville située dans le Néguev occidental. Elle servait de point de repère géographique définissant la frontière occidentale du territoire cananéen de Sidon à Gaza (</w:t>
      </w:r>
      <w:hyperlink r:id="rId330">
        <w:r>
          <w:rPr>
            <w:color w:val="0000EE"/>
            <w:u w:val="single"/>
          </w:rPr>
          <w:t>Gn 10.19</w:t>
        </w:r>
      </w:hyperlink>
      <w:r>
        <w:t>). Abraham résidera temporairement dans cette ville, période durant laquelle il trompera Abimélec, le roi, en lui faisant croire que Sara était sa sœur (</w:t>
      </w:r>
      <w:hyperlink r:id="rId6120">
        <w:r>
          <w:rPr>
            <w:color w:val="0000EE"/>
            <w:u w:val="single"/>
          </w:rPr>
          <w:t>20.1–2</w:t>
        </w:r>
      </w:hyperlink>
      <w:r>
        <w:t>). Plus tard, Isaac s'installera dans cette ville et dissimulera également son mariage avec Rebecca par crainte de représailles des hommes de la ville. Isaac finira par quitter la ville, se déplaçant vers la vallée voisine de Guérar en raison de ses conflits avec les Philistins. Là, les bergers de Guérar se disputeront avec les serviteurs d'Isaac au sujet d'un puits nouvellement creusé, et Abimélec, roi des Philistins, conclura une alliance avec Isaac (</w:t>
      </w:r>
      <w:hyperlink r:id="rId6121">
        <w:r>
          <w:rPr>
            <w:color w:val="0000EE"/>
            <w:u w:val="single"/>
          </w:rPr>
          <w:t>26.1–26</w:t>
        </w:r>
      </w:hyperlink>
      <w:r>
        <w:t>). Il est peu probable que le roi Abimélec de Guérar (</w:t>
      </w:r>
      <w:hyperlink r:id="rId6122">
        <w:r>
          <w:rPr>
            <w:color w:val="0000EE"/>
            <w:u w:val="single"/>
          </w:rPr>
          <w:t>20.2</w:t>
        </w:r>
      </w:hyperlink>
      <w:r>
        <w:t>) soit la même personne qu'Abimélec, roi des Philistins (</w:t>
      </w:r>
      <w:hyperlink r:id="rId6123">
        <w:r>
          <w:rPr>
            <w:color w:val="0000EE"/>
            <w:u w:val="single"/>
          </w:rPr>
          <w:t>26.8</w:t>
        </w:r>
      </w:hyperlink>
      <w:r>
        <w:t>). Abimélec était sans doute un surnom ou un titre officiel.</w:t>
      </w:r>
    </w:p>
    <w:p>
      <w:r/>
      <w:r>
        <w:t>Durant la période patriarcale, Guérar semble avoir été une ville cananéenne dominante dans le Néguev ; cependant, dans le récit de la Conquête sous Josué, cette ville n'était pas nommée parmi les villes philistines qui restaient à conquérir (</w:t>
      </w:r>
      <w:hyperlink r:id="rId6124">
        <w:r>
          <w:rPr>
            <w:color w:val="0000EE"/>
            <w:u w:val="single"/>
          </w:rPr>
          <w:t>Jos 13.2–3</w:t>
        </w:r>
      </w:hyperlink>
      <w:r>
        <w:t>) ni dans la liste des villes déjà vaincues (</w:t>
      </w:r>
      <w:hyperlink r:id="rId6125">
        <w:r>
          <w:rPr>
            <w:color w:val="0000EE"/>
            <w:u w:val="single"/>
          </w:rPr>
          <w:t>15.21–22</w:t>
        </w:r>
      </w:hyperlink>
      <w:r>
        <w:t>). Plus tard, à l'époque des rois, Guérar sera mentionnée comme la ville la plus au sud vers laquelle l'armée éthiopienne s'était enfuie avant d'être complètement détruite par le roi Asa de Juda (910–869 av. J.‑C.) et son armée (</w:t>
      </w:r>
      <w:hyperlink r:id="rId6126">
        <w:r>
          <w:rPr>
            <w:color w:val="0000EE"/>
            <w:u w:val="single"/>
          </w:rPr>
          <w:t>2Ch 14.13–14</w:t>
        </w:r>
      </w:hyperlink>
      <w:r>
        <w:t>). Peut-être que la vallée fertile de Guedor (</w:t>
      </w:r>
      <w:hyperlink r:id="rId6127">
        <w:r>
          <w:rPr>
            <w:color w:val="0000EE"/>
            <w:u w:val="single"/>
          </w:rPr>
          <w:t>1Ch 4.39</w:t>
        </w:r>
      </w:hyperlink>
      <w:r>
        <w:t xml:space="preserve"> ; voir </w:t>
      </w:r>
      <w:hyperlink r:id="rId6128">
        <w:r>
          <w:rPr>
            <w:color w:val="0000EE"/>
            <w:u w:val="single"/>
          </w:rPr>
          <w:t>Gn 26.17</w:t>
        </w:r>
      </w:hyperlink>
      <w:r>
        <w:t xml:space="preserve">), autrefois habitée par les fils de Cham (voir </w:t>
      </w:r>
      <w:hyperlink r:id="rId330">
        <w:r>
          <w:rPr>
            <w:color w:val="0000EE"/>
            <w:u w:val="single"/>
          </w:rPr>
          <w:t>Gn 10.19</w:t>
        </w:r>
      </w:hyperlink>
      <w:r>
        <w:t xml:space="preserve">), était identique à la vallée de Guérar. Il est possible que Guedor ait été une erreur de copiste ultérieure, le copiste ayant confondu la lettre hébraïque </w:t>
      </w:r>
      <w:r>
        <w:rPr>
          <w:i/>
        </w:rPr>
        <w:t>r</w:t>
      </w:r>
      <w:r>
        <w:t xml:space="preserve"> avec le </w:t>
      </w:r>
      <w:r>
        <w:rPr>
          <w:i/>
        </w:rPr>
        <w:t>d.</w:t>
      </w:r>
    </w:p>
    <w:p>
      <w:r/>
      <w:r>
        <w:t>Le site de Guérar est identifiable avec Tell Abu Hureireh le long de la rive nord-ouest du Wadi esh-Sheri’ah, à 25 km au nord-ouest de Beer-Schéba et à 20 km au sud-est de Gaza.</w:t>
      </w:r>
      <w:r/>
      <w:r/>
    </w:p>
    <w:p>
      <w:r/>
    </w:p>
    <w:p>
      <w:pPr>
        <w:pStyle w:val="Heading2"/>
      </w:pPr>
      <w:r>
        <w:t>Guerschon, Guerschonites</w:t>
      </w:r>
      <w:r/>
    </w:p>
    <w:p>
      <w:r/>
      <w:r>
        <w:t>Fils aîné de Lévi (également orthographié Guershom) qui est allé en Égypte avec Israël (</w:t>
      </w:r>
      <w:hyperlink r:id="rId6129">
        <w:r>
          <w:rPr>
            <w:color w:val="0000EE"/>
            <w:u w:val="single"/>
          </w:rPr>
          <w:t>Gn 46.11</w:t>
        </w:r>
      </w:hyperlink>
      <w:r>
        <w:t xml:space="preserve"> ; </w:t>
      </w:r>
      <w:hyperlink r:id="rId6130">
        <w:r>
          <w:rPr>
            <w:color w:val="0000EE"/>
            <w:u w:val="single"/>
          </w:rPr>
          <w:t>Nb 3.17</w:t>
        </w:r>
      </w:hyperlink>
      <w:r>
        <w:t xml:space="preserve"> ; </w:t>
      </w:r>
      <w:hyperlink r:id="rId6131">
        <w:r>
          <w:rPr>
            <w:color w:val="0000EE"/>
            <w:u w:val="single"/>
          </w:rPr>
          <w:t>1Ch 6.1</w:t>
        </w:r>
      </w:hyperlink>
      <w:r>
        <w:t xml:space="preserve">). Il deviendra l'ancêtre d'un groupe de Lévites appelés les </w:t>
      </w:r>
      <w:r>
        <w:t>Guerschonites</w:t>
      </w:r>
      <w:r>
        <w:t xml:space="preserve"> qui ont quitté l'Égypte avec Moïse (</w:t>
      </w:r>
      <w:hyperlink r:id="rId6132">
        <w:r>
          <w:rPr>
            <w:color w:val="0000EE"/>
            <w:u w:val="single"/>
          </w:rPr>
          <w:t>Ex 6.16–17</w:t>
        </w:r>
      </w:hyperlink>
      <w:r>
        <w:t xml:space="preserve"> ; </w:t>
      </w:r>
      <w:hyperlink r:id="rId6133">
        <w:r>
          <w:rPr>
            <w:color w:val="0000EE"/>
            <w:u w:val="single"/>
          </w:rPr>
          <w:t>Nb 3.18, 21</w:t>
        </w:r>
      </w:hyperlink>
      <w:r>
        <w:t>).</w:t>
      </w:r>
    </w:p>
    <w:p>
      <w:r/>
      <w:r>
        <w:t xml:space="preserve">Lorsque les villes lévitiques seront attribuées, les </w:t>
      </w:r>
      <w:r>
        <w:t>Guerschonites</w:t>
      </w:r>
      <w:r>
        <w:t xml:space="preserve"> seront répertoriés comme l'un des plus grands groupes lévitiques en Israël (</w:t>
      </w:r>
      <w:hyperlink r:id="rId6134">
        <w:r>
          <w:rPr>
            <w:color w:val="0000EE"/>
            <w:u w:val="single"/>
          </w:rPr>
          <w:t>Jos 21.1–7</w:t>
        </w:r>
      </w:hyperlink>
      <w:r>
        <w:t>). Certains passages bibliques montrent qu'ils étaient parfois le principal groupe à l'œuvre parmi les Lévites (</w:t>
      </w:r>
      <w:hyperlink r:id="rId6129">
        <w:r>
          <w:rPr>
            <w:color w:val="0000EE"/>
            <w:u w:val="single"/>
          </w:rPr>
          <w:t>Gn 46.11</w:t>
        </w:r>
      </w:hyperlink>
      <w:r>
        <w:t xml:space="preserve"> ; </w:t>
      </w:r>
      <w:hyperlink r:id="rId6135">
        <w:r>
          <w:rPr>
            <w:color w:val="0000EE"/>
            <w:u w:val="single"/>
          </w:rPr>
          <w:t>Ex 6.16</w:t>
        </w:r>
      </w:hyperlink>
      <w:r>
        <w:t xml:space="preserve"> ; </w:t>
      </w:r>
      <w:hyperlink r:id="rId6130">
        <w:r>
          <w:rPr>
            <w:color w:val="0000EE"/>
            <w:u w:val="single"/>
          </w:rPr>
          <w:t>Nb 3.17</w:t>
        </w:r>
      </w:hyperlink>
      <w:r>
        <w:t xml:space="preserve"> ; </w:t>
      </w:r>
      <w:hyperlink r:id="rId6136">
        <w:r>
          <w:rPr>
            <w:color w:val="0000EE"/>
            <w:u w:val="single"/>
          </w:rPr>
          <w:t>26.57</w:t>
        </w:r>
      </w:hyperlink>
      <w:r>
        <w:t xml:space="preserve"> ; </w:t>
      </w:r>
      <w:hyperlink r:id="rId6137">
        <w:r>
          <w:rPr>
            <w:color w:val="0000EE"/>
            <w:u w:val="single"/>
          </w:rPr>
          <w:t>1Ch 6.1, 16</w:t>
        </w:r>
      </w:hyperlink>
      <w:r>
        <w:t xml:space="preserve"> ; </w:t>
      </w:r>
      <w:hyperlink r:id="rId6138">
        <w:r>
          <w:rPr>
            <w:color w:val="0000EE"/>
            <w:u w:val="single"/>
          </w:rPr>
          <w:t>23.6</w:t>
        </w:r>
      </w:hyperlink>
      <w:r>
        <w:t>).</w:t>
      </w:r>
    </w:p>
    <w:p>
      <w:r/>
      <w:r>
        <w:t xml:space="preserve">Selon le livre des Nombres, les </w:t>
      </w:r>
      <w:r>
        <w:t>Guerschonites</w:t>
      </w:r>
      <w:r>
        <w:t xml:space="preserve"> campaient derrière le tabernacle du côté ouest pendant le voyage dans le désert (</w:t>
      </w:r>
      <w:hyperlink r:id="rId6139">
        <w:r>
          <w:rPr>
            <w:color w:val="0000EE"/>
            <w:u w:val="single"/>
          </w:rPr>
          <w:t>Nb 3.23</w:t>
        </w:r>
      </w:hyperlink>
      <w:r>
        <w:t xml:space="preserve">). Au début de la deuxième année après avoir quitté l'Égypte, il y avait environ 7 500 mâles </w:t>
      </w:r>
      <w:r>
        <w:t>Guerschonites</w:t>
      </w:r>
      <w:r>
        <w:t xml:space="preserve"> (</w:t>
      </w:r>
      <w:hyperlink r:id="rId6140">
        <w:r>
          <w:rPr>
            <w:color w:val="0000EE"/>
            <w:u w:val="single"/>
          </w:rPr>
          <w:t>Nb 3.22</w:t>
        </w:r>
      </w:hyperlink>
      <w:r>
        <w:t>). Seuls les hommes âgés de 30 à 50 ans pouvaient servir dans le tabernacle. Au moment de ce premier recensement, il y avait 2 630 de ces hommes (</w:t>
      </w:r>
      <w:hyperlink r:id="rId6141">
        <w:r>
          <w:rPr>
            <w:color w:val="0000EE"/>
            <w:u w:val="single"/>
          </w:rPr>
          <w:t>Nb 4.39–40</w:t>
        </w:r>
      </w:hyperlink>
      <w:r>
        <w:t>). Ils étaient responsables de l'entretien et du déplacement des parties extérieures du tabernacle (</w:t>
      </w:r>
      <w:hyperlink r:id="rId6142">
        <w:r>
          <w:rPr>
            <w:color w:val="0000EE"/>
            <w:u w:val="single"/>
          </w:rPr>
          <w:t>Nb 3.25–26</w:t>
        </w:r>
      </w:hyperlink>
      <w:r>
        <w:t xml:space="preserve"> ; </w:t>
      </w:r>
      <w:hyperlink r:id="rId6143">
        <w:r>
          <w:rPr>
            <w:color w:val="0000EE"/>
            <w:u w:val="single"/>
          </w:rPr>
          <w:t>4.24, 27–28</w:t>
        </w:r>
      </w:hyperlink>
      <w:r>
        <w:t>). Ils ont reçu deux chariots et quatre bœufs pour ce travail, et Aaron et ses fils les supervisaient (</w:t>
      </w:r>
      <w:hyperlink r:id="rId6144">
        <w:r>
          <w:rPr>
            <w:color w:val="0000EE"/>
            <w:u w:val="single"/>
          </w:rPr>
          <w:t>Nb 4.27</w:t>
        </w:r>
      </w:hyperlink>
      <w:r>
        <w:t>).</w:t>
      </w:r>
    </w:p>
    <w:p>
      <w:r/>
      <w:r>
        <w:t xml:space="preserve">Après que les Israélites se sont installés pour la première fois en Canaan, les </w:t>
      </w:r>
      <w:r>
        <w:t>Guerschonites</w:t>
      </w:r>
      <w:r>
        <w:t xml:space="preserve"> ont reçu treize villes dans la partie nord du pays. Ces villes étaient situées dans les zones tribales d'Issacar, d'Aser, de Nephthali et de Manassé (</w:t>
      </w:r>
      <w:hyperlink r:id="rId6145">
        <w:r>
          <w:rPr>
            <w:color w:val="0000EE"/>
            <w:u w:val="single"/>
          </w:rPr>
          <w:t>Jos 21.6</w:t>
        </w:r>
      </w:hyperlink>
      <w:r>
        <w:t>).</w:t>
      </w:r>
    </w:p>
    <w:p>
      <w:r/>
      <w:r>
        <w:t xml:space="preserve">À l'époque du roi David, les </w:t>
      </w:r>
      <w:r>
        <w:t>Guerschonites</w:t>
      </w:r>
      <w:r>
        <w:t xml:space="preserve"> faisaient partie des Lévites désignés pour servir dans le temple (</w:t>
      </w:r>
      <w:hyperlink r:id="rId6146">
        <w:r>
          <w:rPr>
            <w:color w:val="0000EE"/>
            <w:u w:val="single"/>
          </w:rPr>
          <w:t>1Ch 23.6–11</w:t>
        </w:r>
      </w:hyperlink>
      <w:r>
        <w:t xml:space="preserve">). Les familles </w:t>
      </w:r>
      <w:r>
        <w:t>guerschonites</w:t>
      </w:r>
      <w:r>
        <w:t xml:space="preserve"> de Laedan et de Jehiéli étaient responsables du trésor de la maison de Dieu (</w:t>
      </w:r>
      <w:hyperlink r:id="rId6147">
        <w:r>
          <w:rPr>
            <w:color w:val="0000EE"/>
            <w:u w:val="single"/>
          </w:rPr>
          <w:t>1Ch 26.20–22</w:t>
        </w:r>
      </w:hyperlink>
      <w:r>
        <w:t xml:space="preserve">). À la demande de David, Asaph et sa famille, qui étaient des </w:t>
      </w:r>
      <w:r>
        <w:t>Guerschonites</w:t>
      </w:r>
      <w:r>
        <w:t>, ont aidé à diriger la musique dans le temple (</w:t>
      </w:r>
      <w:hyperlink r:id="rId6148">
        <w:r>
          <w:rPr>
            <w:color w:val="0000EE"/>
            <w:u w:val="single"/>
          </w:rPr>
          <w:t>1Ch 25.1–2</w:t>
        </w:r>
      </w:hyperlink>
      <w:r>
        <w:t xml:space="preserve">). Sous le règne du roi Ézéchias, les </w:t>
      </w:r>
      <w:r>
        <w:t>Guerschonites</w:t>
      </w:r>
      <w:r>
        <w:t xml:space="preserve"> faisaient partie des Lévites qui ont nettoyé le temple (</w:t>
      </w:r>
      <w:hyperlink r:id="rId6149">
        <w:r>
          <w:rPr>
            <w:color w:val="0000EE"/>
            <w:u w:val="single"/>
          </w:rPr>
          <w:t>2Ch 29.1–6, 12</w:t>
        </w:r>
      </w:hyperlink>
      <w:r>
        <w:t>). Après l'exil à Babylone, les descendants d'Asaph joueront de la musique pour célébrer la pose de la fondation du temple et la dédicace des murs de la ville (</w:t>
      </w:r>
      <w:hyperlink r:id="rId6150">
        <w:r>
          <w:rPr>
            <w:color w:val="0000EE"/>
            <w:u w:val="single"/>
          </w:rPr>
          <w:t>Esd 3.10</w:t>
        </w:r>
      </w:hyperlink>
      <w:r>
        <w:t xml:space="preserve"> ; </w:t>
      </w:r>
      <w:hyperlink r:id="rId6151">
        <w:r>
          <w:rPr>
            <w:color w:val="0000EE"/>
            <w:u w:val="single"/>
          </w:rPr>
          <w:t>Né 12.31–36</w:t>
        </w:r>
      </w:hyperlink>
      <w:r>
        <w:t>).</w:t>
      </w:r>
    </w:p>
    <w:p>
      <w:r/>
      <w:r>
        <w:rPr>
          <w:i/>
        </w:rPr>
        <w:t>Voir aussi</w:t>
      </w:r>
      <w:r>
        <w:t xml:space="preserve"> </w:t>
      </w:r>
      <w:r>
        <w:t>Lévi, Tribu de</w:t>
      </w:r>
      <w:r>
        <w:t xml:space="preserve"> ; </w:t>
      </w:r>
      <w:r>
        <w:t>Prêtres et lévites</w:t>
      </w:r>
      <w:r>
        <w:t>.</w:t>
      </w:r>
      <w:r/>
      <w:r/>
    </w:p>
    <w:p>
      <w:r/>
    </w:p>
    <w:p>
      <w:pPr>
        <w:pStyle w:val="Heading2"/>
      </w:pPr>
      <w:r>
        <w:t>Gués du Jourdain</w:t>
      </w:r>
      <w:r/>
    </w:p>
    <w:p>
      <w:r/>
      <w:r>
        <w:t>Les gués du Jourdain étaient des endroits peu profonds dans le Jourdain où les gens et les animaux pouvaient traverser à pied.</w:t>
      </w:r>
    </w:p>
    <w:p>
      <w:r/>
      <w:r>
        <w:t>De nombreuses personnes importantes dans l'Ancien Testament ont traversé le Jourdain à l'un de ses gués (endroits peu profonds pour traverser). Parmi elles, on compte :</w:t>
      </w:r>
    </w:p>
    <w:p>
      <w:pPr>
        <w:pStyle w:val="ListBullet"/>
        <w:spacing w:line="240" w:lineRule="auto"/>
        <w:ind w:left="720"/>
      </w:pPr>
      <w:r/>
      <w:r>
        <w:t>Jacob (</w:t>
      </w:r>
      <w:hyperlink r:id="rId6152">
        <w:r>
          <w:rPr>
            <w:color w:val="0000EE"/>
            <w:u w:val="single"/>
          </w:rPr>
          <w:t>Gn 32.10</w:t>
        </w:r>
      </w:hyperlink>
      <w:r>
        <w:t>),</w:t>
      </w:r>
    </w:p>
    <w:p>
      <w:pPr>
        <w:pStyle w:val="ListBullet"/>
        <w:spacing w:line="240" w:lineRule="auto"/>
        <w:ind w:left="720"/>
      </w:pPr>
      <w:r/>
      <w:r>
        <w:t>Gédéon (</w:t>
      </w:r>
      <w:hyperlink r:id="rId6153">
        <w:r>
          <w:rPr>
            <w:color w:val="0000EE"/>
            <w:u w:val="single"/>
          </w:rPr>
          <w:t>Jg 8.4</w:t>
        </w:r>
      </w:hyperlink>
      <w:r>
        <w:t>),</w:t>
      </w:r>
    </w:p>
    <w:p>
      <w:pPr>
        <w:pStyle w:val="ListBullet"/>
        <w:spacing w:line="240" w:lineRule="auto"/>
        <w:ind w:left="720"/>
      </w:pPr>
      <w:r/>
      <w:r>
        <w:t>Le roi David (</w:t>
      </w:r>
      <w:hyperlink r:id="rId6154">
        <w:r>
          <w:rPr>
            <w:color w:val="0000EE"/>
            <w:u w:val="single"/>
          </w:rPr>
          <w:t>2S 10.17</w:t>
        </w:r>
      </w:hyperlink>
      <w:r>
        <w:t xml:space="preserve"> ; </w:t>
      </w:r>
      <w:hyperlink r:id="rId6155">
        <w:r>
          <w:rPr>
            <w:color w:val="0000EE"/>
            <w:u w:val="single"/>
          </w:rPr>
          <w:t>17.22</w:t>
        </w:r>
      </w:hyperlink>
      <w:r>
        <w:t>),</w:t>
      </w:r>
    </w:p>
    <w:p>
      <w:pPr>
        <w:pStyle w:val="ListBullet"/>
        <w:spacing w:line="240" w:lineRule="auto"/>
        <w:ind w:left="720"/>
      </w:pPr>
      <w:r/>
      <w:r>
        <w:t>Absalom, le fils de David (</w:t>
      </w:r>
      <w:hyperlink r:id="rId6156">
        <w:r>
          <w:rPr>
            <w:color w:val="0000EE"/>
            <w:u w:val="single"/>
          </w:rPr>
          <w:t>2S 17.24</w:t>
        </w:r>
      </w:hyperlink>
      <w:r>
        <w:t>), et</w:t>
      </w:r>
    </w:p>
    <w:p>
      <w:pPr>
        <w:pStyle w:val="ListBullet"/>
        <w:spacing w:line="240" w:lineRule="auto"/>
        <w:ind w:left="720"/>
      </w:pPr>
      <w:r/>
      <w:r>
        <w:t>Abner et ses hommes (</w:t>
      </w:r>
      <w:hyperlink r:id="rId6157">
        <w:r>
          <w:rPr>
            <w:color w:val="0000EE"/>
            <w:u w:val="single"/>
          </w:rPr>
          <w:t>2S 2.29</w:t>
        </w:r>
      </w:hyperlink>
      <w:r>
        <w:t>)</w:t>
      </w:r>
    </w:p>
    <w:p>
      <w:r/>
      <w:r>
        <w:t>Josué et les Israélites ont traversé le Jourdain à sec pendant la saison des crues. Il s'agissait d'un miracle de Dieu (</w:t>
      </w:r>
      <w:hyperlink r:id="rId6158">
        <w:r>
          <w:rPr>
            <w:color w:val="0000EE"/>
            <w:u w:val="single"/>
          </w:rPr>
          <w:t>Jos 3.15–16</w:t>
        </w:r>
      </w:hyperlink>
      <w:r>
        <w:t>).</w:t>
      </w:r>
    </w:p>
    <w:p>
      <w:r/>
      <w:r>
        <w:t>Jésus traversera aussi le Jourdain plusieurs fois lors de ses voyages entre la Galilée et Jérusalem.</w:t>
      </w:r>
    </w:p>
    <w:p>
      <w:r/>
      <w:r>
        <w:t>Il y avait deux gués principaux dans le Jourdain. Le premier était à Jéricho (</w:t>
      </w:r>
      <w:hyperlink r:id="rId6159">
        <w:r>
          <w:rPr>
            <w:color w:val="0000EE"/>
            <w:u w:val="single"/>
          </w:rPr>
          <w:t>Jos 2.7</w:t>
        </w:r>
      </w:hyperlink>
      <w:r>
        <w:t xml:space="preserve"> ; </w:t>
      </w:r>
      <w:hyperlink r:id="rId6160">
        <w:r>
          <w:rPr>
            <w:color w:val="0000EE"/>
            <w:u w:val="single"/>
          </w:rPr>
          <w:t>Jg 3.28</w:t>
        </w:r>
      </w:hyperlink>
      <w:r>
        <w:t xml:space="preserve"> ; </w:t>
      </w:r>
      <w:hyperlink r:id="rId6161">
        <w:r>
          <w:rPr>
            <w:color w:val="0000EE"/>
            <w:u w:val="single"/>
          </w:rPr>
          <w:t>2S 19.15</w:t>
        </w:r>
      </w:hyperlink>
      <w:r>
        <w:t>). Le second était à Béthabara, où Jean baptisait (</w:t>
      </w:r>
      <w:hyperlink r:id="rId1869">
        <w:r>
          <w:rPr>
            <w:color w:val="0000EE"/>
            <w:u w:val="single"/>
          </w:rPr>
          <w:t>Jn 1.28</w:t>
        </w:r>
      </w:hyperlink>
      <w:r>
        <w:t>).</w:t>
      </w:r>
    </w:p>
    <w:p>
      <w:r/>
      <w:r>
        <w:t>À certains moments et endroits, le Jourdain était trop profond pour être traversé facilement. Cela se produisait après la fonte des neiges dans les montagnes du Liban ou près de la mer Morte. À ces endroits, le fleuve pouvait avoir environ 30 m de large et 1,5 à 3 m de profondeur (</w:t>
      </w:r>
      <w:hyperlink r:id="rId6162">
        <w:r>
          <w:rPr>
            <w:color w:val="0000EE"/>
            <w:u w:val="single"/>
          </w:rPr>
          <w:t>Jos 3.15</w:t>
        </w:r>
      </w:hyperlink>
      <w:r>
        <w:t>).</w:t>
      </w:r>
    </w:p>
    <w:p>
      <w:r/>
      <w:r>
        <w:rPr>
          <w:i/>
        </w:rPr>
        <w:t>Voir aussi</w:t>
      </w:r>
      <w:r>
        <w:t xml:space="preserve"> </w:t>
      </w:r>
      <w:r>
        <w:t>Jourdain</w:t>
      </w:r>
      <w:r>
        <w:t>.</w:t>
      </w:r>
      <w:r/>
      <w:r/>
    </w:p>
    <w:p>
      <w:r/>
    </w:p>
    <w:p>
      <w:pPr>
        <w:pStyle w:val="Heading2"/>
      </w:pPr>
      <w:r>
        <w:t>Guéter</w:t>
      </w:r>
      <w:r/>
    </w:p>
    <w:p>
      <w:r/>
      <w:r>
        <w:t>Fils d'Aram et petit-fils de Sem (</w:t>
      </w:r>
      <w:hyperlink r:id="rId6163">
        <w:r>
          <w:rPr>
            <w:color w:val="0000EE"/>
            <w:u w:val="single"/>
          </w:rPr>
          <w:t>Gn 10.23</w:t>
        </w:r>
      </w:hyperlink>
      <w:r>
        <w:t xml:space="preserve">). Dans </w:t>
      </w:r>
      <w:hyperlink r:id="rId1100">
        <w:r>
          <w:rPr>
            <w:color w:val="0000EE"/>
            <w:u w:val="single"/>
          </w:rPr>
          <w:t>1 Chroniques 1.17</w:t>
        </w:r>
      </w:hyperlink>
      <w:r>
        <w:t>, il est répertorié comme l'un des fils de Sem.</w:t>
      </w:r>
      <w:r/>
      <w:r/>
    </w:p>
    <w:p>
      <w:r/>
    </w:p>
    <w:p>
      <w:pPr>
        <w:pStyle w:val="Heading2"/>
      </w:pPr>
      <w:r>
        <w:t>Guni</w:t>
      </w:r>
      <w:r/>
    </w:p>
    <w:p>
      <w:r/>
      <w:r>
        <w:t>1. Fils de Nephthali et petit-fils de Jacob (</w:t>
      </w:r>
      <w:hyperlink r:id="rId6164">
        <w:r>
          <w:rPr>
            <w:color w:val="0000EE"/>
            <w:u w:val="single"/>
          </w:rPr>
          <w:t>Gn 46.24</w:t>
        </w:r>
      </w:hyperlink>
      <w:r>
        <w:t xml:space="preserve"> ; </w:t>
      </w:r>
      <w:hyperlink r:id="rId6165">
        <w:r>
          <w:rPr>
            <w:color w:val="0000EE"/>
            <w:u w:val="single"/>
          </w:rPr>
          <w:t>1Ch 7.13</w:t>
        </w:r>
      </w:hyperlink>
      <w:r>
        <w:t>).</w:t>
      </w:r>
    </w:p>
    <w:p>
      <w:r/>
      <w:r>
        <w:t>2. Père d'Abdiel de la tribu de Gad (</w:t>
      </w:r>
      <w:hyperlink r:id="rId6166">
        <w:r>
          <w:rPr>
            <w:color w:val="0000EE"/>
            <w:u w:val="single"/>
          </w:rPr>
          <w:t>1Ch 5.15</w:t>
        </w:r>
      </w:hyperlink>
      <w:r>
        <w:t>).</w:t>
      </w:r>
      <w:r/>
      <w:r/>
    </w:p>
    <w:p>
      <w:r/>
    </w:p>
    <w:p>
      <w:pPr>
        <w:pStyle w:val="Heading2"/>
      </w:pPr>
      <w:r>
        <w:t>Hadad</w:t>
      </w:r>
      <w:r/>
    </w:p>
    <w:p>
      <w:r/>
      <w:r>
        <w:t>1. Huitième des douze fils d'Ismaël, et donc petit-fils d'Abraham (</w:t>
      </w:r>
      <w:hyperlink r:id="rId6167">
        <w:r>
          <w:rPr>
            <w:color w:val="0000EE"/>
            <w:u w:val="single"/>
          </w:rPr>
          <w:t>Gn 25.15</w:t>
        </w:r>
      </w:hyperlink>
      <w:r>
        <w:t xml:space="preserve"> ; </w:t>
      </w:r>
      <w:hyperlink r:id="rId504">
        <w:r>
          <w:rPr>
            <w:color w:val="0000EE"/>
            <w:u w:val="single"/>
          </w:rPr>
          <w:t>1Ch 1.30</w:t>
        </w:r>
      </w:hyperlink>
      <w:r>
        <w:t>).</w:t>
      </w:r>
    </w:p>
    <w:p>
      <w:r/>
      <w:r>
        <w:t>2. Souverain édomite, fils de Bedad, qui a régné avant la captivité hébraïque en Égypte et qui a remporté une victoire importante sur les Madianites dans la plaine de Moab (</w:t>
      </w:r>
      <w:hyperlink r:id="rId6168">
        <w:r>
          <w:rPr>
            <w:color w:val="0000EE"/>
            <w:u w:val="single"/>
          </w:rPr>
          <w:t>Gn 36.35–36</w:t>
        </w:r>
      </w:hyperlink>
      <w:r>
        <w:t xml:space="preserve"> ; </w:t>
      </w:r>
      <w:hyperlink r:id="rId6169">
        <w:r>
          <w:rPr>
            <w:color w:val="0000EE"/>
            <w:u w:val="single"/>
          </w:rPr>
          <w:t>1Ch 1.46–47</w:t>
        </w:r>
      </w:hyperlink>
      <w:r>
        <w:t>).</w:t>
      </w:r>
    </w:p>
    <w:p>
      <w:r/>
      <w:r>
        <w:t xml:space="preserve">3. Un autre roi d'Édom, l'un des rares dont l'épouse, </w:t>
      </w:r>
      <w:r>
        <w:t>Mehéthabeel</w:t>
      </w:r>
      <w:r>
        <w:t>, est mentionnée nommément. Sa capitale était Pau (</w:t>
      </w:r>
      <w:hyperlink r:id="rId6170">
        <w:r>
          <w:rPr>
            <w:color w:val="0000EE"/>
            <w:u w:val="single"/>
          </w:rPr>
          <w:t>Gn 36.39</w:t>
        </w:r>
      </w:hyperlink>
      <w:r>
        <w:t xml:space="preserve"> ; </w:t>
      </w:r>
      <w:hyperlink r:id="rId6171">
        <w:r>
          <w:rPr>
            <w:color w:val="0000EE"/>
            <w:u w:val="single"/>
          </w:rPr>
          <w:t>1Ch 1.50–51</w:t>
        </w:r>
      </w:hyperlink>
      <w:r>
        <w:t>).</w:t>
      </w:r>
    </w:p>
    <w:p>
      <w:r/>
      <w:r>
        <w:t>4. Prince de la maison royale d'Édom qui s'est enfui en Égypte après que David et Joab ont conquis Édom et occupé le pays. Il a grandi en Égypte et a gagné la faveur du Pharaon, qui lui a donné sa belle-sœur comme épouse. Plus tard, lorsque David est mort, il a souhaité retourner en Édom et mener une révolte contre Salomon (</w:t>
      </w:r>
      <w:hyperlink r:id="rId6172">
        <w:r>
          <w:rPr>
            <w:color w:val="0000EE"/>
            <w:u w:val="single"/>
          </w:rPr>
          <w:t>1R 11.14–25</w:t>
        </w:r>
      </w:hyperlink>
      <w:r>
        <w:t>). Certains érudits l'ont identifié avec n°3 ci-dessus.</w:t>
      </w:r>
      <w:r/>
      <w:r/>
    </w:p>
    <w:p>
      <w:r/>
    </w:p>
    <w:p>
      <w:pPr>
        <w:pStyle w:val="Heading2"/>
      </w:pPr>
      <w:r>
        <w:t>Hadar</w:t>
      </w:r>
      <w:r/>
    </w:p>
    <w:p>
      <w:r/>
      <w:r>
        <w:t xml:space="preserve">Orthographe alternative de Hadad, roi d'Édom, dans </w:t>
      </w:r>
      <w:hyperlink r:id="rId6170">
        <w:r>
          <w:rPr>
            <w:color w:val="0000EE"/>
            <w:u w:val="single"/>
          </w:rPr>
          <w:t>Genèse 36.39</w:t>
        </w:r>
      </w:hyperlink>
      <w:r>
        <w:t xml:space="preserve">. </w:t>
      </w:r>
      <w:r>
        <w:rPr>
          <w:i/>
        </w:rPr>
        <w:t>Voir</w:t>
      </w:r>
      <w:r>
        <w:t xml:space="preserve"> </w:t>
      </w:r>
      <w:r>
        <w:t>Hadad n° 3</w:t>
      </w:r>
      <w:r>
        <w:t>.</w:t>
      </w:r>
      <w:r/>
      <w:r/>
    </w:p>
    <w:p>
      <w:r/>
    </w:p>
    <w:p>
      <w:pPr>
        <w:pStyle w:val="Heading2"/>
      </w:pPr>
      <w:r>
        <w:t>Hadassa</w:t>
      </w:r>
      <w:r/>
    </w:p>
    <w:p>
      <w:r/>
      <w:r>
        <w:t>Nom original d'Esther (</w:t>
      </w:r>
      <w:hyperlink r:id="rId6173">
        <w:r>
          <w:rPr>
            <w:color w:val="0000EE"/>
            <w:u w:val="single"/>
          </w:rPr>
          <w:t>Est 2.7</w:t>
        </w:r>
      </w:hyperlink>
      <w:r>
        <w:t>).</w:t>
      </w:r>
    </w:p>
    <w:p>
      <w:r/>
      <w:r>
        <w:rPr>
          <w:i/>
        </w:rPr>
        <w:t>Voir</w:t>
      </w:r>
      <w:r>
        <w:t xml:space="preserve"> </w:t>
      </w:r>
      <w:r>
        <w:t>Esther (personne)</w:t>
      </w:r>
      <w:r>
        <w:t>.</w:t>
      </w:r>
      <w:r/>
      <w:r/>
    </w:p>
    <w:p>
      <w:r/>
    </w:p>
    <w:p>
      <w:pPr>
        <w:pStyle w:val="Heading2"/>
      </w:pPr>
      <w:r>
        <w:t>Hadoram</w:t>
      </w:r>
      <w:r/>
    </w:p>
    <w:p>
      <w:r/>
      <w:r>
        <w:t>1. Cinquième fils de Jokthan ; Hadoram et ses frères étaient la sixième génération depuis Noé (</w:t>
      </w:r>
      <w:hyperlink r:id="rId4114">
        <w:r>
          <w:rPr>
            <w:color w:val="0000EE"/>
            <w:u w:val="single"/>
          </w:rPr>
          <w:t>Gn 10.27</w:t>
        </w:r>
      </w:hyperlink>
      <w:r>
        <w:t xml:space="preserve"> ; </w:t>
      </w:r>
      <w:hyperlink r:id="rId4115">
        <w:r>
          <w:rPr>
            <w:color w:val="0000EE"/>
            <w:u w:val="single"/>
          </w:rPr>
          <w:t>1Ch 1.21</w:t>
        </w:r>
      </w:hyperlink>
      <w:r>
        <w:t>).</w:t>
      </w:r>
    </w:p>
    <w:p>
      <w:r/>
      <w:r>
        <w:t xml:space="preserve">2. Orthographe alternative de Joram dans </w:t>
      </w:r>
      <w:hyperlink r:id="rId6174">
        <w:r>
          <w:rPr>
            <w:color w:val="0000EE"/>
            <w:u w:val="single"/>
          </w:rPr>
          <w:t>1 Chroniques 18.10</w:t>
        </w:r>
      </w:hyperlink>
      <w:r>
        <w:t xml:space="preserve"> (LSG). </w:t>
      </w:r>
      <w:r>
        <w:rPr>
          <w:i/>
        </w:rPr>
        <w:t>Voir</w:t>
      </w:r>
      <w:r>
        <w:t xml:space="preserve"> </w:t>
      </w:r>
      <w:r>
        <w:t>Joram n° 1</w:t>
      </w:r>
      <w:r>
        <w:t>.</w:t>
      </w:r>
    </w:p>
    <w:p>
      <w:r/>
      <w:r>
        <w:t xml:space="preserve">3. Orthographe alternative d'Adoniram dans </w:t>
      </w:r>
      <w:hyperlink r:id="rId6175">
        <w:r>
          <w:rPr>
            <w:color w:val="0000EE"/>
            <w:u w:val="single"/>
          </w:rPr>
          <w:t>2 Chroniques 10.18</w:t>
        </w:r>
      </w:hyperlink>
      <w:r>
        <w:t xml:space="preserve"> (LSG). </w:t>
      </w:r>
      <w:r>
        <w:rPr>
          <w:i/>
        </w:rPr>
        <w:t>Voir</w:t>
      </w:r>
      <w:r>
        <w:t xml:space="preserve"> </w:t>
      </w:r>
      <w:r>
        <w:t>Adoniram</w:t>
      </w:r>
      <w:r>
        <w:t>.</w:t>
      </w:r>
      <w:r/>
      <w:r/>
    </w:p>
    <w:p>
      <w:r/>
    </w:p>
    <w:p>
      <w:pPr>
        <w:pStyle w:val="Heading2"/>
      </w:pPr>
      <w:r>
        <w:t>Haggi</w:t>
      </w:r>
      <w:r/>
    </w:p>
    <w:p>
      <w:r/>
      <w:r>
        <w:t>Fils de Gad et fondateur de la famille des Haggites (</w:t>
      </w:r>
      <w:hyperlink r:id="rId1262">
        <w:r>
          <w:rPr>
            <w:color w:val="0000EE"/>
            <w:u w:val="single"/>
          </w:rPr>
          <w:t>Gn 46.16</w:t>
        </w:r>
      </w:hyperlink>
      <w:r>
        <w:t xml:space="preserve"> ; </w:t>
      </w:r>
      <w:hyperlink r:id="rId5837">
        <w:r>
          <w:rPr>
            <w:color w:val="0000EE"/>
            <w:u w:val="single"/>
          </w:rPr>
          <w:t>Nb 26.15</w:t>
        </w:r>
      </w:hyperlink>
      <w:r>
        <w:t>).</w:t>
      </w:r>
      <w:r/>
      <w:r/>
    </w:p>
    <w:p>
      <w:r/>
    </w:p>
    <w:p>
      <w:pPr>
        <w:pStyle w:val="Heading2"/>
      </w:pPr>
      <w:r>
        <w:t>Hakeldama</w:t>
      </w:r>
      <w:r/>
    </w:p>
    <w:p>
      <w:r/>
      <w:r>
        <w:t>Le nom donné au champ où Judas s'est suicidé après avoir trahi Jésus. Il est traduit par « champ du sang » (</w:t>
      </w:r>
      <w:hyperlink r:id="rId120">
        <w:r>
          <w:rPr>
            <w:color w:val="0000EE"/>
            <w:u w:val="single"/>
          </w:rPr>
          <w:t>Ac 1.19</w:t>
        </w:r>
      </w:hyperlink>
      <w:r>
        <w:t>).</w:t>
      </w:r>
    </w:p>
    <w:p>
      <w:r/>
      <w:r>
        <w:rPr>
          <w:i/>
        </w:rPr>
        <w:t>Voir</w:t>
      </w:r>
      <w:r>
        <w:t xml:space="preserve"> </w:t>
      </w:r>
      <w:r>
        <w:t>Champ de Sang</w:t>
      </w:r>
      <w:r>
        <w:t>.</w:t>
      </w:r>
      <w:r/>
      <w:r/>
    </w:p>
    <w:p>
      <w:r/>
    </w:p>
    <w:p>
      <w:pPr>
        <w:pStyle w:val="Heading2"/>
      </w:pPr>
      <w:r>
        <w:t>Hallel</w:t>
      </w:r>
      <w:r/>
    </w:p>
    <w:p>
      <w:r/>
      <w:r>
        <w:t>Mot hébreu qui désigne un chant de louange à Dieu. Ce terme est utilisé plus tard, dans le Talmud et les écrits rabbiniques, pour désigner plusieurs groupes de psaumes de louange à Dieu. Les</w:t>
      </w:r>
      <w:hyperlink r:id="rId6176">
        <w:r>
          <w:rPr>
            <w:color w:val="0000EE"/>
            <w:u w:val="single"/>
          </w:rPr>
          <w:t xml:space="preserve"> Psaumes 113–118</w:t>
        </w:r>
      </w:hyperlink>
      <w:r>
        <w:t xml:space="preserve"> étaient appelés le Hallel égyptien, et la tradition juive ancienne disait qu'ils venaient de Moïse. Pendant la période du second temple, ce Hallel était récité 18 jours par an, mais seulement une fois de nuit, le jour de la Pâque. </w:t>
      </w:r>
    </w:p>
    <w:p>
      <w:r/>
      <w:r>
        <w:t xml:space="preserve">Le jour de la Pâque, le Hallel était récité en plusieurs parties. Les </w:t>
      </w:r>
      <w:hyperlink r:id="rId6177">
        <w:r>
          <w:rPr>
            <w:color w:val="0000EE"/>
            <w:u w:val="single"/>
          </w:rPr>
          <w:t>Psaumes 113–114</w:t>
        </w:r>
      </w:hyperlink>
      <w:r>
        <w:t xml:space="preserve"> étaient lus avant le repas, avant de boire la deuxième coupe. Les </w:t>
      </w:r>
      <w:hyperlink r:id="rId6178">
        <w:r>
          <w:rPr>
            <w:color w:val="0000EE"/>
            <w:u w:val="single"/>
          </w:rPr>
          <w:t>Psaumes 115–118</w:t>
        </w:r>
      </w:hyperlink>
      <w:r>
        <w:t xml:space="preserve"> étaient lus après avoir rempli la dernière coupe.</w:t>
      </w:r>
    </w:p>
    <w:p>
      <w:r/>
      <w:r>
        <w:t>C'est probablement ces « cantiques » que Jésus et ses disciples ont chanté lors de la Cène (</w:t>
      </w:r>
      <w:hyperlink r:id="rId6179">
        <w:r>
          <w:rPr>
            <w:color w:val="0000EE"/>
            <w:u w:val="single"/>
          </w:rPr>
          <w:t>Mt 26.30</w:t>
        </w:r>
      </w:hyperlink>
      <w:r>
        <w:t xml:space="preserve"> ; </w:t>
      </w:r>
      <w:hyperlink r:id="rId6180">
        <w:r>
          <w:rPr>
            <w:color w:val="0000EE"/>
            <w:u w:val="single"/>
          </w:rPr>
          <w:t>Mc 14.26</w:t>
        </w:r>
      </w:hyperlink>
      <w:r>
        <w:t>). Ce Hallel était également utilisé pendant les fêtes des Pains sans levain, de la Pentecôte, des Tabernacles et de la Dédicace.</w:t>
      </w:r>
    </w:p>
    <w:p>
      <w:r/>
      <w:r>
        <w:t>Le Grand Hallel correspondait au</w:t>
      </w:r>
      <w:hyperlink r:id="rId5305">
        <w:r>
          <w:rPr>
            <w:color w:val="0000EE"/>
            <w:u w:val="single"/>
          </w:rPr>
          <w:t xml:space="preserve"> Psaume 136</w:t>
        </w:r>
      </w:hyperlink>
      <w:r>
        <w:t xml:space="preserve"> et parfois aux</w:t>
      </w:r>
      <w:hyperlink r:id="rId6181">
        <w:r>
          <w:rPr>
            <w:color w:val="0000EE"/>
            <w:u w:val="single"/>
          </w:rPr>
          <w:t xml:space="preserve"> Psaumes 120 à 136</w:t>
        </w:r>
      </w:hyperlink>
      <w:r>
        <w:t>. Les</w:t>
      </w:r>
      <w:hyperlink r:id="rId6182">
        <w:r>
          <w:rPr>
            <w:color w:val="0000EE"/>
            <w:u w:val="single"/>
          </w:rPr>
          <w:t xml:space="preserve"> Psaumes 146 à 148</w:t>
        </w:r>
      </w:hyperlink>
      <w:r>
        <w:t xml:space="preserve"> formaient également un seul Hallel. Ceux-ci étaient utilisés lors du culte matinal quotidien de la synagogue.</w:t>
      </w:r>
    </w:p>
    <w:p>
      <w:r/>
      <w:r>
        <w:rPr>
          <w:i/>
        </w:rPr>
        <w:t>Voir aussi</w:t>
      </w:r>
      <w:r>
        <w:t xml:space="preserve"> </w:t>
      </w:r>
      <w:r>
        <w:t>Alléluia</w:t>
      </w:r>
      <w:r>
        <w:t xml:space="preserve"> ; </w:t>
      </w:r>
      <w:r>
        <w:t>Talmud</w:t>
      </w:r>
      <w:r>
        <w:t>.</w:t>
      </w:r>
      <w:r/>
      <w:r/>
    </w:p>
    <w:p>
      <w:r/>
    </w:p>
    <w:p>
      <w:pPr>
        <w:pStyle w:val="Heading2"/>
      </w:pPr>
      <w:r>
        <w:t>Ham (Lieu)</w:t>
      </w:r>
      <w:r/>
    </w:p>
    <w:p>
      <w:r/>
      <w:r>
        <w:t>Lieu où Kedorlaomer et ses cohortes ont vaincu les Zuzim (</w:t>
      </w:r>
      <w:hyperlink r:id="rId704">
        <w:r>
          <w:rPr>
            <w:color w:val="0000EE"/>
            <w:u w:val="single"/>
          </w:rPr>
          <w:t>Gn 14.5</w:t>
        </w:r>
      </w:hyperlink>
      <w:r>
        <w:t>). Le nom est probablement préservé par Tell Cham, près du village moderne sur le Wadi Er-Rejeilah. Des lieux d'habitation de l'âge du bronze et de l'âge du fer y ont été découverts.</w:t>
      </w:r>
      <w:r/>
      <w:r/>
    </w:p>
    <w:p>
      <w:r/>
    </w:p>
    <w:p>
      <w:pPr>
        <w:pStyle w:val="Heading2"/>
      </w:pPr>
      <w:r>
        <w:t>Haman</w:t>
      </w:r>
      <w:r/>
    </w:p>
    <w:p>
      <w:r/>
      <w:r>
        <w:t>Fils d'Hammedatha l'Agagite, haut fonctionnaire sous le règne du roi Assuérus (également appelé Xerxès) en Perse à l'époque d'Esther.</w:t>
      </w:r>
    </w:p>
    <w:p>
      <w:r/>
      <w:r>
        <w:t>Haman a été pris de colère contre Mardochée, l'oncle d'Esther. Mardochée refusait de s'incliner devant lui (en signe de respect), contrairement à tous les autres. Cela a fortement déplu à Haman. Ce dernier a donc planifié de tuer tous les Juifs de Perse (</w:t>
      </w:r>
      <w:hyperlink r:id="rId6183">
        <w:r>
          <w:rPr>
            <w:color w:val="0000EE"/>
            <w:u w:val="single"/>
          </w:rPr>
          <w:t>Est 3.8</w:t>
        </w:r>
      </w:hyperlink>
      <w:r>
        <w:t>). Pendant qu'il complotait pour faire pendre Mardochée, le roi lisait comment celui-ci avait précédemment sauvé sa vie. La reine Esther, qui était juive et la nièce de Mardochée, a habilement exposé le complot d'Haman pour détruire son peuple.</w:t>
      </w:r>
    </w:p>
    <w:p>
      <w:r/>
      <w:r>
        <w:t>Après que le complot d'Haman pour tuer tous les Juifs a été révélé, il a été exécuté sur la potence préparée pour Mardochée. Les dix fils d'Haman ont été tués peu après, et leurs corps ont été exposés publiquement.</w:t>
      </w:r>
    </w:p>
    <w:p>
      <w:r/>
      <w:r>
        <w:t>Dans la Bible hébraïque, les noms des dix fils d'Haman sont scriptés d'une manière particulière. Ils sont écrits verticalement (de haut en bas) au lieu d'horizontalement. Certains érudits pensent que ce style d'écriture inhabituel pourrait représenter la façon dont les fils ont été pendus à la potence, montrant leurs positions côte à côte ou empilés les uns sur les autres après leur exécution.</w:t>
      </w:r>
    </w:p>
    <w:p>
      <w:r/>
      <w:r>
        <w:t>Lors de la fête juive de Pourim, les gens se moquaient parfois d'Haman en suspendant une éfigie ou une statue de lui, ou en écrivant son nom sous leurs chaussures, en signe de manque total de respect.</w:t>
      </w:r>
    </w:p>
    <w:p>
      <w:r/>
      <w:r>
        <w:rPr>
          <w:i/>
        </w:rPr>
        <w:t>Voir aussi</w:t>
      </w:r>
      <w:r>
        <w:t xml:space="preserve"> </w:t>
      </w:r>
      <w:r>
        <w:t>Livre d’Esther</w:t>
      </w:r>
      <w:r>
        <w:t>.</w:t>
      </w:r>
      <w:r/>
      <w:r/>
    </w:p>
    <w:p>
      <w:r/>
    </w:p>
    <w:p>
      <w:pPr>
        <w:pStyle w:val="Heading2"/>
      </w:pPr>
      <w:r>
        <w:t>Hamath</w:t>
      </w:r>
      <w:r/>
    </w:p>
    <w:p>
      <w:pPr>
        <w:pStyle w:val="ListNumber"/>
        <w:spacing w:line="240" w:lineRule="auto"/>
        <w:ind w:left="720"/>
      </w:pPr>
      <w:r/>
      <w:r>
        <w:t>Une ville et un district situés à environ 200 km au nord de Damas, dans ce qui est aujourd'hui la Syrie. Ils étaient situés sur le fleuve Oronte.</w:t>
      </w:r>
    </w:p>
    <w:p>
      <w:r/>
      <w:r>
        <w:t>Les habitants de Hamath venaient originellement de la famille de Canaan (</w:t>
      </w:r>
      <w:hyperlink r:id="rId1323">
        <w:r>
          <w:rPr>
            <w:color w:val="0000EE"/>
            <w:u w:val="single"/>
          </w:rPr>
          <w:t>Gn 10.18</w:t>
        </w:r>
      </w:hyperlink>
      <w:r>
        <w:t>). Plus tard, des peuples sémitiques (un groupe qui inclut les Israélites, les Araméens et d'autres) y vivront. La Bible appelle parfois la région « l'entrée de Hamath » (</w:t>
      </w:r>
      <w:hyperlink r:id="rId6184">
        <w:r>
          <w:rPr>
            <w:color w:val="0000EE"/>
            <w:u w:val="single"/>
          </w:rPr>
          <w:t>Nb 34.7–8</w:t>
        </w:r>
      </w:hyperlink>
      <w:r>
        <w:t xml:space="preserve"> ; </w:t>
      </w:r>
      <w:hyperlink r:id="rId6185">
        <w:r>
          <w:rPr>
            <w:color w:val="0000EE"/>
            <w:u w:val="single"/>
          </w:rPr>
          <w:t>Jos 13.5</w:t>
        </w:r>
      </w:hyperlink>
      <w:r>
        <w:t>). Cette région marquait la frontière nord du territoire promis à Israël. Israël contrôlera cette terre au début du royaume d'Israël et à nouveau sous le règne de Jéroboam II, de 793 à 753 av. J.‑C.</w:t>
      </w:r>
    </w:p>
    <w:p>
      <w:r/>
      <w:r>
        <w:t>L'emplacement exact du lieu appelé « Lebo-Hamath » (qui signifie « entrée de Hamath ») n'est pas certain. Certains chercheurs pensent qu'il s'agissait d'une ville appelée Lebweh sur le fleuve Oronte, entre les montagnes du Liban et de l'Anti-Liban. D'autres pensent qu'il était situé ailleurs en Syrie.</w:t>
      </w:r>
    </w:p>
    <w:p>
      <w:r/>
      <w:r>
        <w:t>Hamath a d'abord été occupée pendant la période néolithique (la fin de l'âge de pierre). Vers 1750 av. J.‑C., la ville sera détruite (possiblement par un groupe appelé les Hyksos), avant d'être reconstruite, plus tard. Le roi égyptien Thoutmôsis III (règne de 1502 à 1448 av. J.‑C.) en prendra le contrôle. Pendant le règne de l'Égypte sur cette partie de la Syrie, Hamath deviendra une ville prospère. Avant 900 av. J.‑C., Hamath deviendra la capitale d'un petit royaume hittite. Des écrits hittites (appelés inscriptions) ont été découverts, racontant cette époque.</w:t>
      </w:r>
    </w:p>
    <w:p>
      <w:pPr>
        <w:pStyle w:val="Heading3"/>
      </w:pPr>
      <w:r>
        <w:t>Hamath dans la Bible</w:t>
      </w:r>
    </w:p>
    <w:p>
      <w:r/>
      <w:r>
        <w:t>David combattra Hadadézer, roi de Tsoba, et le vaincra. Par la suite, Thoï, roi de Hamath, enverra son fils pour féliciter David (</w:t>
      </w:r>
      <w:hyperlink r:id="rId6186">
        <w:r>
          <w:rPr>
            <w:color w:val="0000EE"/>
            <w:u w:val="single"/>
          </w:rPr>
          <w:t>2S 8.9–10</w:t>
        </w:r>
      </w:hyperlink>
      <w:r>
        <w:t>). Salomon construira des villes-entrepôts dans la région de Hamath (</w:t>
      </w:r>
      <w:hyperlink r:id="rId6187">
        <w:r>
          <w:rPr>
            <w:color w:val="0000EE"/>
            <w:u w:val="single"/>
          </w:rPr>
          <w:t>2Ch 8.4</w:t>
        </w:r>
      </w:hyperlink>
      <w:r>
        <w:t>). Cela peut signifier que Hamath est devenu un royaume qui payait un tribut (un don régulier de biens ou d'argent) à Israël.</w:t>
      </w:r>
    </w:p>
    <w:p>
      <w:r/>
      <w:r>
        <w:t>À l'époque du roi Achab d'Israël, le roi de Hamath s'appelait Irhulini. Il s'alliera avec les rois de Damas, d'Israël et de douze autres villes pour combattre Salmanasar III, roi d'Assyrie (règne de 860 à 825 av. J.‑C.). Ils parviendront à l'arrêter pendant un certain temps. Cependant vers 846 av. J.‑C., Salmanasar les vaincra, et Hamath passera sous domination assyrienne.</w:t>
      </w:r>
    </w:p>
    <w:p>
      <w:r/>
      <w:r>
        <w:t>En 730 av. J.‑C., Eni-Ilus, roi de Hamath, payera un tribut à un autre roi assyrien, Tiglath-Piléser III. Environ dix ans plus tard, en 720 av. J.‑C., le roi assyrien Sargon II forcera 4 300 Assyriens à vivre à Hamath. Il déplacera également de nombreuses personnes de Hamath et d'autres endroits vers Samarie (</w:t>
      </w:r>
      <w:hyperlink r:id="rId1524">
        <w:r>
          <w:rPr>
            <w:color w:val="0000EE"/>
            <w:u w:val="single"/>
          </w:rPr>
          <w:t>2R 17.24</w:t>
        </w:r>
      </w:hyperlink>
      <w:r>
        <w:t>). Certaines personnes d'Israël seront peut-être envoyées vivre à Hamath également (</w:t>
      </w:r>
      <w:hyperlink r:id="rId4598">
        <w:r>
          <w:rPr>
            <w:color w:val="0000EE"/>
            <w:u w:val="single"/>
          </w:rPr>
          <w:t>Es 11.11</w:t>
        </w:r>
      </w:hyperlink>
      <w:r>
        <w:t xml:space="preserve">). D'autres versets de l'Ancien Testament qui mentionnent le contrôle de Hamath par l'Assyrie incluent </w:t>
      </w:r>
      <w:hyperlink r:id="rId6188">
        <w:r>
          <w:rPr>
            <w:color w:val="0000EE"/>
            <w:u w:val="single"/>
          </w:rPr>
          <w:t>2 Rois 18.34</w:t>
        </w:r>
      </w:hyperlink>
      <w:r>
        <w:t xml:space="preserve">, </w:t>
      </w:r>
      <w:hyperlink r:id="rId6189">
        <w:r>
          <w:rPr>
            <w:color w:val="0000EE"/>
            <w:u w:val="single"/>
          </w:rPr>
          <w:t>19.13</w:t>
        </w:r>
      </w:hyperlink>
      <w:r>
        <w:t xml:space="preserve">, </w:t>
      </w:r>
      <w:hyperlink r:id="rId2148">
        <w:r>
          <w:rPr>
            <w:color w:val="0000EE"/>
            <w:u w:val="single"/>
          </w:rPr>
          <w:t>Ésaïe 10.9</w:t>
        </w:r>
      </w:hyperlink>
      <w:r>
        <w:t xml:space="preserve">, </w:t>
      </w:r>
      <w:hyperlink r:id="rId6190">
        <w:r>
          <w:rPr>
            <w:color w:val="0000EE"/>
            <w:u w:val="single"/>
          </w:rPr>
          <w:t>36.19</w:t>
        </w:r>
      </w:hyperlink>
      <w:r>
        <w:t xml:space="preserve">, </w:t>
      </w:r>
      <w:hyperlink r:id="rId6191">
        <w:r>
          <w:rPr>
            <w:color w:val="0000EE"/>
            <w:u w:val="single"/>
          </w:rPr>
          <w:t>37.13</w:t>
        </w:r>
      </w:hyperlink>
      <w:r>
        <w:t xml:space="preserve"> et </w:t>
      </w:r>
      <w:hyperlink r:id="rId2149">
        <w:r>
          <w:rPr>
            <w:color w:val="0000EE"/>
            <w:u w:val="single"/>
          </w:rPr>
          <w:t>Amos 6.2</w:t>
        </w:r>
      </w:hyperlink>
      <w:r>
        <w:t>.</w:t>
      </w:r>
    </w:p>
    <w:p>
      <w:r/>
      <w:r>
        <w:t>Plus tard, Hamath semble être passé sous le contrôle de Damas (</w:t>
      </w:r>
      <w:hyperlink r:id="rId6192">
        <w:r>
          <w:rPr>
            <w:color w:val="0000EE"/>
            <w:u w:val="single"/>
          </w:rPr>
          <w:t>Jr 49.23</w:t>
        </w:r>
      </w:hyperlink>
      <w:r>
        <w:t>). Certains prophètes ont prédit qu'Israël étendrait un jour à nouveau ses frontières jusqu'à Hamath (</w:t>
      </w:r>
      <w:hyperlink r:id="rId6193">
        <w:r>
          <w:rPr>
            <w:color w:val="0000EE"/>
            <w:u w:val="single"/>
          </w:rPr>
          <w:t>Ez 47.16–17</w:t>
        </w:r>
      </w:hyperlink>
      <w:r>
        <w:t xml:space="preserve"> ; </w:t>
      </w:r>
      <w:hyperlink r:id="rId5853">
        <w:r>
          <w:rPr>
            <w:color w:val="0000EE"/>
            <w:u w:val="single"/>
          </w:rPr>
          <w:t>48.1</w:t>
        </w:r>
      </w:hyperlink>
      <w:r>
        <w:t xml:space="preserve"> ; </w:t>
      </w:r>
      <w:hyperlink r:id="rId6194">
        <w:r>
          <w:rPr>
            <w:color w:val="0000EE"/>
            <w:u w:val="single"/>
          </w:rPr>
          <w:t>Za 9.2</w:t>
        </w:r>
      </w:hyperlink>
      <w:r>
        <w:t>).</w:t>
      </w:r>
    </w:p>
    <w:p>
      <w:r/>
      <w:r>
        <w:t>À l'époque des Maccabées, Jonathan Maccabée et son armée rencontreront l'armée du roi Démétrius à Hamath (</w:t>
      </w:r>
      <w:hyperlink r:id="rId6195">
        <w:r>
          <w:rPr>
            <w:color w:val="0000EE"/>
            <w:u w:val="single"/>
          </w:rPr>
          <w:t>1 M 12.25</w:t>
        </w:r>
      </w:hyperlink>
      <w:r>
        <w:t>). Selon l'historien juif Josèphe, Antiochus Épiphane a changé le nom de la ville en Épiphanie (</w:t>
      </w:r>
      <w:r>
        <w:rPr>
          <w:i/>
        </w:rPr>
        <w:t>Antiquités</w:t>
      </w:r>
      <w:r>
        <w:t xml:space="preserve"> 1.4.2). Ce nom sera utilisé par les Grecs et les Romains.</w:t>
      </w:r>
    </w:p>
    <w:p>
      <w:r/>
      <w:r>
        <w:rPr>
          <w:i/>
        </w:rPr>
        <w:t>Voir aussi</w:t>
      </w:r>
      <w:r>
        <w:t xml:space="preserve"> </w:t>
      </w:r>
      <w:r>
        <w:t>Hamath, Entrée de</w:t>
      </w:r>
      <w:r>
        <w:t>.</w:t>
      </w:r>
    </w:p>
    <w:p>
      <w:pPr>
        <w:pStyle w:val="ListNumber"/>
        <w:spacing w:line="240" w:lineRule="auto"/>
        <w:ind w:left="720"/>
      </w:pPr>
      <w:r/>
      <w:r>
        <w:t xml:space="preserve">« Hamath, vers Tsoba » est mentionnée dans </w:t>
      </w:r>
      <w:hyperlink r:id="rId6196">
        <w:r>
          <w:rPr>
            <w:color w:val="0000EE"/>
            <w:u w:val="single"/>
          </w:rPr>
          <w:t xml:space="preserve">2 Chroniques 8.3 </w:t>
        </w:r>
      </w:hyperlink>
      <w:r>
        <w:t>comme une ville conquise par Salomon. Certaines personnes pensent que c'était la même ville que Hamath. D'autres estiment qu'il s'agissait d'une ville différente dans la région de Tsoba.</w:t>
      </w:r>
    </w:p>
    <w:p>
      <w:r/>
      <w:r>
        <w:rPr>
          <w:i/>
        </w:rPr>
        <w:t>Voir aussi</w:t>
      </w:r>
      <w:r>
        <w:t xml:space="preserve"> </w:t>
      </w:r>
      <w:r>
        <w:t>Hamath-Tsobah</w:t>
      </w:r>
      <w:r>
        <w:t>.</w:t>
      </w:r>
      <w:r/>
      <w:r/>
    </w:p>
    <w:p>
      <w:r/>
    </w:p>
    <w:p>
      <w:pPr>
        <w:pStyle w:val="Heading2"/>
      </w:pPr>
      <w:r>
        <w:t>Hamathien</w:t>
      </w:r>
      <w:r/>
    </w:p>
    <w:p>
      <w:r/>
      <w:r>
        <w:t>Résident de Hamath (</w:t>
      </w:r>
      <w:hyperlink r:id="rId1323">
        <w:r>
          <w:rPr>
            <w:color w:val="0000EE"/>
            <w:u w:val="single"/>
          </w:rPr>
          <w:t>Gn 10.18</w:t>
        </w:r>
      </w:hyperlink>
      <w:r>
        <w:t xml:space="preserve"> ; </w:t>
      </w:r>
      <w:hyperlink r:id="rId1324">
        <w:r>
          <w:rPr>
            <w:color w:val="0000EE"/>
            <w:u w:val="single"/>
          </w:rPr>
          <w:t>1Ch 1.16</w:t>
        </w:r>
      </w:hyperlink>
      <w:r>
        <w:t xml:space="preserve">). </w:t>
      </w:r>
      <w:r>
        <w:rPr>
          <w:i/>
        </w:rPr>
        <w:t>Voir</w:t>
      </w:r>
      <w:r>
        <w:t xml:space="preserve"> </w:t>
      </w:r>
      <w:r>
        <w:t>Hamath n° 1</w:t>
      </w:r>
      <w:r>
        <w:t>.</w:t>
      </w:r>
      <w:r/>
      <w:r/>
    </w:p>
    <w:p>
      <w:r/>
    </w:p>
    <w:p>
      <w:pPr>
        <w:pStyle w:val="Heading2"/>
      </w:pPr>
      <w:r>
        <w:t>Hammedatha</w:t>
      </w:r>
      <w:r/>
    </w:p>
    <w:p>
      <w:r/>
      <w:r>
        <w:t>Père d'Haman. Haman était un conseiller principal du roi Assuérus de Perse (également appelé Xerxès). Dans le livre d'Esther, Haman détestait le peuple juif et prévoyait de le détruire (</w:t>
      </w:r>
      <w:hyperlink r:id="rId6197">
        <w:r>
          <w:rPr>
            <w:color w:val="0000EE"/>
            <w:u w:val="single"/>
          </w:rPr>
          <w:t>Est 3.1, 10</w:t>
        </w:r>
      </w:hyperlink>
      <w:r>
        <w:t xml:space="preserve"> ; </w:t>
      </w:r>
      <w:hyperlink r:id="rId6198">
        <w:r>
          <w:rPr>
            <w:color w:val="0000EE"/>
            <w:u w:val="single"/>
          </w:rPr>
          <w:t>8.5</w:t>
        </w:r>
      </w:hyperlink>
      <w:r>
        <w:t xml:space="preserve"> ; </w:t>
      </w:r>
      <w:hyperlink r:id="rId6199">
        <w:r>
          <w:rPr>
            <w:color w:val="0000EE"/>
            <w:u w:val="single"/>
          </w:rPr>
          <w:t>9.10, 24</w:t>
        </w:r>
      </w:hyperlink>
      <w:r>
        <w:t>).</w:t>
      </w:r>
      <w:r/>
      <w:r/>
    </w:p>
    <w:p>
      <w:r/>
    </w:p>
    <w:p>
      <w:pPr>
        <w:pStyle w:val="Heading2"/>
      </w:pPr>
      <w:r>
        <w:t>Hamor</w:t>
      </w:r>
      <w:r/>
    </w:p>
    <w:p>
      <w:r/>
      <w:r>
        <w:t>Prince hivien ou horien qui régnait sur la région autour de Sichem (</w:t>
      </w:r>
      <w:hyperlink r:id="rId6200">
        <w:r>
          <w:rPr>
            <w:color w:val="0000EE"/>
            <w:u w:val="single"/>
          </w:rPr>
          <w:t>Gn 34.2</w:t>
        </w:r>
      </w:hyperlink>
      <w:r>
        <w:t>). Lorsque Jacob revient de Paddan-Aram avec sa famille, il achètera des terres à Hamor. Pendant cette période, le fils de Hamor, Sichem, forcera Dina, la fille de Jacob, à avoir des relations sexuelles avec lui, contre son gré.</w:t>
      </w:r>
    </w:p>
    <w:p>
      <w:r/>
      <w:r>
        <w:t>À la demande de son fils, Hamor demandera à Jacob de marier Sichem et Dina. Il offerira une dot. Siméon et Lévi, prétendant avoir des intentions, tromperont les hommes vivant dans cette ville pour qu'ils se fassent circoncire. Ils les attaqueront et les tueront avant qu'ils ne guérissent, cherchant à venger l'humiliation de leur sœur.</w:t>
      </w:r>
    </w:p>
    <w:p>
      <w:r/>
      <w:r>
        <w:t>« Hamor » est le mot hébreu que Jacob utilise pour désigner Issacar en bénissant ses fils (</w:t>
      </w:r>
      <w:hyperlink r:id="rId6201">
        <w:r>
          <w:rPr>
            <w:color w:val="0000EE"/>
            <w:u w:val="single"/>
          </w:rPr>
          <w:t>Gn 49.14</w:t>
        </w:r>
      </w:hyperlink>
      <w:r>
        <w:t xml:space="preserve">). Il s'agit du mot habituel pour « âne » dans l'Ancien Testament (voir par exemple </w:t>
      </w:r>
      <w:hyperlink r:id="rId6202">
        <w:r>
          <w:rPr>
            <w:color w:val="0000EE"/>
            <w:u w:val="single"/>
          </w:rPr>
          <w:t>Gn 42.26</w:t>
        </w:r>
      </w:hyperlink>
      <w:r>
        <w:t xml:space="preserve"> ; </w:t>
      </w:r>
      <w:hyperlink r:id="rId3084">
        <w:r>
          <w:rPr>
            <w:color w:val="0000EE"/>
            <w:u w:val="single"/>
          </w:rPr>
          <w:t>Ex 20.17</w:t>
        </w:r>
      </w:hyperlink>
      <w:r>
        <w:t xml:space="preserve"> ; </w:t>
      </w:r>
      <w:hyperlink r:id="rId6203">
        <w:r>
          <w:rPr>
            <w:color w:val="0000EE"/>
            <w:u w:val="single"/>
          </w:rPr>
          <w:t>Jg 15.15</w:t>
        </w:r>
      </w:hyperlink>
      <w:r>
        <w:t xml:space="preserve"> ; </w:t>
      </w:r>
      <w:hyperlink r:id="rId6204">
        <w:r>
          <w:rPr>
            <w:color w:val="0000EE"/>
            <w:u w:val="single"/>
          </w:rPr>
          <w:t>Es 1.3</w:t>
        </w:r>
      </w:hyperlink>
      <w:r>
        <w:t xml:space="preserve"> ; </w:t>
      </w:r>
      <w:hyperlink r:id="rId6205">
        <w:r>
          <w:rPr>
            <w:color w:val="0000EE"/>
            <w:u w:val="single"/>
          </w:rPr>
          <w:t>Zc 9.9</w:t>
        </w:r>
      </w:hyperlink>
      <w:r>
        <w:t>).</w:t>
      </w:r>
      <w:r/>
      <w:r/>
    </w:p>
    <w:p>
      <w:r/>
    </w:p>
    <w:p>
      <w:pPr>
        <w:pStyle w:val="Heading2"/>
      </w:pPr>
      <w:r>
        <w:t>Hamul, Hamulite</w:t>
      </w:r>
      <w:r/>
    </w:p>
    <w:p>
      <w:r/>
      <w:r>
        <w:t>Fils cadet de Perets (</w:t>
      </w:r>
      <w:hyperlink r:id="rId4858">
        <w:r>
          <w:rPr>
            <w:color w:val="0000EE"/>
            <w:u w:val="single"/>
          </w:rPr>
          <w:t>Gn 46.12</w:t>
        </w:r>
      </w:hyperlink>
      <w:r>
        <w:t xml:space="preserve"> ; </w:t>
      </w:r>
      <w:hyperlink r:id="rId6206">
        <w:r>
          <w:rPr>
            <w:color w:val="0000EE"/>
            <w:u w:val="single"/>
          </w:rPr>
          <w:t>1Ch 2.5</w:t>
        </w:r>
      </w:hyperlink>
      <w:r>
        <w:t>) et fondateur de la famille Hamulite (</w:t>
      </w:r>
      <w:hyperlink r:id="rId6207">
        <w:r>
          <w:rPr>
            <w:color w:val="0000EE"/>
            <w:u w:val="single"/>
          </w:rPr>
          <w:t>Nb 26.21</w:t>
        </w:r>
      </w:hyperlink>
      <w:r>
        <w:t>).</w:t>
      </w:r>
      <w:r/>
      <w:r/>
    </w:p>
    <w:p>
      <w:r/>
    </w:p>
    <w:p>
      <w:pPr>
        <w:pStyle w:val="Heading2"/>
      </w:pPr>
      <w:r>
        <w:t>Haran (Personne)</w:t>
      </w:r>
      <w:r/>
    </w:p>
    <w:p>
      <w:r/>
      <w:r>
        <w:t>1. Fils de Térach, frère d'Abraham et père de Lot (</w:t>
      </w:r>
      <w:hyperlink r:id="rId6208">
        <w:r>
          <w:rPr>
            <w:color w:val="0000EE"/>
            <w:u w:val="single"/>
          </w:rPr>
          <w:t>Gn 11.26–31</w:t>
        </w:r>
      </w:hyperlink>
      <w:r>
        <w:t>).</w:t>
      </w:r>
    </w:p>
    <w:p>
      <w:r/>
      <w:r>
        <w:t xml:space="preserve">2. Fils de Caleb par sa concubine </w:t>
      </w:r>
      <w:r>
        <w:t>Épha</w:t>
      </w:r>
      <w:r>
        <w:t>, membre de la tribu de Juda, et père de Gazez (</w:t>
      </w:r>
      <w:hyperlink r:id="rId4753">
        <w:r>
          <w:rPr>
            <w:color w:val="0000EE"/>
            <w:u w:val="single"/>
          </w:rPr>
          <w:t>1Ch 2.46</w:t>
        </w:r>
      </w:hyperlink>
      <w:r>
        <w:t>).</w:t>
      </w:r>
    </w:p>
    <w:p>
      <w:r/>
      <w:r>
        <w:t>3. Fils de Schimeï, membre de la division Gershonite de la tribu de Lévi (</w:t>
      </w:r>
      <w:hyperlink r:id="rId6209">
        <w:r>
          <w:rPr>
            <w:color w:val="0000EE"/>
            <w:u w:val="single"/>
          </w:rPr>
          <w:t>1Ch 23.9</w:t>
        </w:r>
      </w:hyperlink>
      <w:r>
        <w:t>).</w:t>
      </w:r>
      <w:r/>
      <w:r/>
    </w:p>
    <w:p>
      <w:r/>
    </w:p>
    <w:p>
      <w:pPr>
        <w:pStyle w:val="Heading2"/>
      </w:pPr>
      <w:r>
        <w:t>Harbona</w:t>
      </w:r>
      <w:r/>
    </w:p>
    <w:p>
      <w:r/>
      <w:r>
        <w:t>Un des sept serviteurs personnels du roi Assuérus. Assuérus (également appelé Xerxès) leur ordonna de faire défiler la reine Vasthi devant les convives d'un festin débauché afin que tous puissent admirer sa beauté (</w:t>
      </w:r>
      <w:hyperlink r:id="rId15">
        <w:r>
          <w:rPr>
            <w:color w:val="0000EE"/>
            <w:u w:val="single"/>
          </w:rPr>
          <w:t>Est 1.10</w:t>
        </w:r>
      </w:hyperlink>
      <w:r>
        <w:t>). Plus tard, Harbona suggérera qu'Haman soit pendu à la potence que ce dernier avait construite pour exécuter Mardochée (</w:t>
      </w:r>
      <w:hyperlink r:id="rId2379">
        <w:r>
          <w:rPr>
            <w:color w:val="0000EE"/>
            <w:u w:val="single"/>
          </w:rPr>
          <w:t>Est 7.9</w:t>
        </w:r>
      </w:hyperlink>
      <w:r>
        <w:t>).</w:t>
      </w:r>
      <w:r/>
      <w:r/>
    </w:p>
    <w:p>
      <w:r/>
    </w:p>
    <w:p>
      <w:pPr>
        <w:pStyle w:val="Heading2"/>
      </w:pPr>
      <w:r>
        <w:t>Hathac, Hatach</w:t>
      </w:r>
      <w:r/>
    </w:p>
    <w:p>
      <w:r/>
      <w:r>
        <w:t>Eunuque que le roi perse Assuérus a choisi pour servir Esther. Hathac apportait à Esther des messages de la part de Mardochée. De cette manière, Esther a appris le complot d'Haman contre les Juifs (</w:t>
      </w:r>
      <w:hyperlink r:id="rId6210">
        <w:r>
          <w:rPr>
            <w:color w:val="0000EE"/>
            <w:u w:val="single"/>
          </w:rPr>
          <w:t>Est 4.5–10</w:t>
        </w:r>
      </w:hyperlink>
      <w:r>
        <w:t>). Hathac est parfois orthographié Hatach.</w:t>
      </w:r>
      <w:r/>
      <w:r/>
    </w:p>
    <w:p>
      <w:r/>
    </w:p>
    <w:p>
      <w:pPr>
        <w:pStyle w:val="Heading2"/>
      </w:pPr>
      <w:r>
        <w:t>Hatsarmaveth</w:t>
      </w:r>
      <w:r/>
    </w:p>
    <w:p>
      <w:r/>
      <w:r>
        <w:t>Descendant de Sem par Jokthan (</w:t>
      </w:r>
      <w:hyperlink r:id="rId583">
        <w:r>
          <w:rPr>
            <w:color w:val="0000EE"/>
            <w:u w:val="single"/>
          </w:rPr>
          <w:t>Gn 10.26</w:t>
        </w:r>
      </w:hyperlink>
      <w:r>
        <w:t xml:space="preserve"> ; </w:t>
      </w:r>
      <w:hyperlink r:id="rId584">
        <w:r>
          <w:rPr>
            <w:color w:val="0000EE"/>
            <w:u w:val="single"/>
          </w:rPr>
          <w:t>1Ch 1.20</w:t>
        </w:r>
      </w:hyperlink>
      <w:r>
        <w:t>), dont la descendance vivait dans le sud de l'Arabie (</w:t>
      </w:r>
      <w:hyperlink r:id="rId6211">
        <w:r>
          <w:rPr>
            <w:color w:val="0000EE"/>
            <w:u w:val="single"/>
          </w:rPr>
          <w:t>Gn 10.30</w:t>
        </w:r>
      </w:hyperlink>
      <w:r>
        <w:t>), dans le Wadi Hadhramaut. Les fouilles y ont révélé une économie florissante au 5e siècle av. J.‑C., basée sur le commerce de l'encens. Ce commerce, relancé au 2e siècle av. J.‑C., rendra la région prospère et influente.</w:t>
      </w:r>
      <w:r/>
      <w:r/>
    </w:p>
    <w:p>
      <w:r/>
    </w:p>
    <w:p>
      <w:pPr>
        <w:pStyle w:val="Heading2"/>
      </w:pPr>
      <w:r>
        <w:t>Hatsatson-Thamar</w:t>
      </w:r>
      <w:r/>
    </w:p>
    <w:p>
      <w:r/>
      <w:r>
        <w:t xml:space="preserve">Ville identifiable à En-Guédi dans </w:t>
      </w:r>
      <w:hyperlink r:id="rId4723">
        <w:r>
          <w:rPr>
            <w:color w:val="0000EE"/>
            <w:u w:val="single"/>
          </w:rPr>
          <w:t>2 Chroniques 20.2</w:t>
        </w:r>
      </w:hyperlink>
      <w:r>
        <w:t>. À l'époque d'Abraham, elle sera habitée par des Amoréens qui seront soumis par Kedorlaomer alors que lui et d'autres rois de l'est balayaient la région (</w:t>
      </w:r>
      <w:hyperlink r:id="rId4724">
        <w:r>
          <w:rPr>
            <w:color w:val="0000EE"/>
            <w:u w:val="single"/>
          </w:rPr>
          <w:t>Gn 14.7</w:t>
        </w:r>
      </w:hyperlink>
      <w:r>
        <w:t>). Il a été suggéré qu'il pourrait s'agir du même lieu que le Tamar fortifié par Salomon (</w:t>
      </w:r>
      <w:hyperlink r:id="rId6212">
        <w:r>
          <w:rPr>
            <w:color w:val="0000EE"/>
            <w:u w:val="single"/>
          </w:rPr>
          <w:t>1R 9.18</w:t>
        </w:r>
      </w:hyperlink>
      <w:r>
        <w:t>), situé par Ézéchiel au sud-est d'Israël (</w:t>
      </w:r>
      <w:hyperlink r:id="rId6213">
        <w:r>
          <w:rPr>
            <w:color w:val="0000EE"/>
            <w:u w:val="single"/>
          </w:rPr>
          <w:t>Ez 47.18–19</w:t>
        </w:r>
      </w:hyperlink>
      <w:r>
        <w:t xml:space="preserve"> ; </w:t>
      </w:r>
      <w:hyperlink r:id="rId6214">
        <w:r>
          <w:rPr>
            <w:color w:val="0000EE"/>
            <w:u w:val="single"/>
          </w:rPr>
          <w:t>48.28</w:t>
        </w:r>
      </w:hyperlink>
      <w:r>
        <w:t>). Il semble que le Wadi Hasasa ait été nommé d'après le site ancien.</w:t>
      </w:r>
      <w:r/>
      <w:r/>
    </w:p>
    <w:p>
      <w:r/>
    </w:p>
    <w:p>
      <w:pPr>
        <w:pStyle w:val="Heading2"/>
      </w:pPr>
      <w:r>
        <w:t>Havila (Lieu)</w:t>
      </w:r>
      <w:r/>
    </w:p>
    <w:p>
      <w:r/>
      <w:r>
        <w:t>Territoire dans le voisinage d'Éden, désormais inconnu. Il est dit qu'il était arrosé par le fleuve Pishon et contenait des réserves d'or, de bdellium et de pierre d'onyx (</w:t>
      </w:r>
      <w:hyperlink r:id="rId6215">
        <w:r>
          <w:rPr>
            <w:color w:val="0000EE"/>
            <w:u w:val="single"/>
          </w:rPr>
          <w:t>Gn 2.11–12</w:t>
        </w:r>
      </w:hyperlink>
      <w:r>
        <w:t xml:space="preserve">). La localisation d'Havila a été l'objet de nombreux débats. Elle ne peut avoir aucun lien avec la Havila de </w:t>
      </w:r>
      <w:hyperlink r:id="rId6216">
        <w:r>
          <w:rPr>
            <w:color w:val="0000EE"/>
            <w:u w:val="single"/>
          </w:rPr>
          <w:t>1 Samuel 15.7</w:t>
        </w:r>
      </w:hyperlink>
      <w:r>
        <w:t>, où Saül a combattu des Amalécites, car la localité des récits d'Éden est mésopotamien et non palestinien. Pour la même raison, toute tentative de localiser Havila dans le sud de l'Arabie, en Somalie ou en Inde serait erronée. Le « fleuve » Pishon pourrait avoir été un canal d'irrigation, car l'akkadien n'a pas de mot distinct pour ces deux types de cours d'eau, et la coutume mésopotamienne était de nommer les grands canaux d'irrigation comme s'ils étaient des fleuves. Ceci aiderait à expliquer la survie du nom « Pishon » longtemps après la disparition du canal. Le Pishon était l'une des quatre branches que le fleuve formait une fois qu'il quittait Éden ; par conséquent, Havila devait se trouver au nord, puisque le récit suppose une perspective en amont. Havila se trouvait donc probablement dans la région de la plaine de Schinear et était arrosée par un grand canal d'irrigation. Tant Havila que le canal ont depuis longtemps disparu.</w:t>
      </w:r>
      <w:r/>
      <w:r/>
    </w:p>
    <w:p>
      <w:r/>
    </w:p>
    <w:p>
      <w:pPr>
        <w:pStyle w:val="Heading2"/>
      </w:pPr>
      <w:r>
        <w:t>Havila (Personne)</w:t>
      </w:r>
      <w:r/>
    </w:p>
    <w:p>
      <w:r/>
      <w:r>
        <w:t>1. Descendant de Cusch (</w:t>
      </w:r>
      <w:hyperlink r:id="rId3665">
        <w:r>
          <w:rPr>
            <w:color w:val="0000EE"/>
            <w:u w:val="single"/>
          </w:rPr>
          <w:t>Gn 10.7</w:t>
        </w:r>
      </w:hyperlink>
      <w:r>
        <w:t xml:space="preserve"> ; </w:t>
      </w:r>
      <w:hyperlink r:id="rId3666">
        <w:r>
          <w:rPr>
            <w:color w:val="0000EE"/>
            <w:u w:val="single"/>
          </w:rPr>
          <w:t>1Ch 1.9</w:t>
        </w:r>
      </w:hyperlink>
      <w:r>
        <w:t>).</w:t>
      </w:r>
    </w:p>
    <w:p>
      <w:r/>
      <w:r>
        <w:t>2. Descendant de Sem par Jokthan (</w:t>
      </w:r>
      <w:hyperlink r:id="rId6217">
        <w:r>
          <w:rPr>
            <w:color w:val="0000EE"/>
            <w:u w:val="single"/>
          </w:rPr>
          <w:t>Gn 10.29</w:t>
        </w:r>
      </w:hyperlink>
      <w:r>
        <w:t xml:space="preserve"> ; </w:t>
      </w:r>
      <w:hyperlink r:id="rId6218">
        <w:r>
          <w:rPr>
            <w:color w:val="0000EE"/>
            <w:u w:val="single"/>
          </w:rPr>
          <w:t>1Ch 1.23</w:t>
        </w:r>
      </w:hyperlink>
      <w:r>
        <w:t>).</w:t>
      </w:r>
      <w:r/>
      <w:r/>
    </w:p>
    <w:p>
      <w:r/>
    </w:p>
    <w:p>
      <w:pPr>
        <w:pStyle w:val="Heading2"/>
      </w:pPr>
      <w:r>
        <w:t>Hazo</w:t>
      </w:r>
      <w:r/>
    </w:p>
    <w:p>
      <w:r/>
      <w:r>
        <w:t>Cinquième fils de Nachor (</w:t>
      </w:r>
      <w:hyperlink r:id="rId6219">
        <w:r>
          <w:rPr>
            <w:color w:val="0000EE"/>
            <w:u w:val="single"/>
          </w:rPr>
          <w:t>Gn 22.22</w:t>
        </w:r>
      </w:hyperlink>
      <w:r>
        <w:t>) ; sans doute utilisé comme nom pour un clan nachorite. Il a été identifié avec le nom Hazu, qui désignait une région montagneuse dans le nord de l'Arabie mentionnée dans une inscription relatant la campagne arabe d'</w:t>
      </w:r>
      <w:r>
        <w:t>Assarhaddon</w:t>
      </w:r>
      <w:r>
        <w:t>.</w:t>
      </w:r>
      <w:r/>
      <w:r/>
    </w:p>
    <w:p>
      <w:r/>
    </w:p>
    <w:p>
      <w:pPr>
        <w:pStyle w:val="Heading2"/>
      </w:pPr>
      <w:r>
        <w:t>Héber</w:t>
      </w:r>
      <w:r/>
    </w:p>
    <w:p>
      <w:pPr>
        <w:pStyle w:val="ListNumber"/>
        <w:spacing w:line="240" w:lineRule="auto"/>
        <w:ind w:left="720"/>
      </w:pPr>
      <w:r/>
      <w:r>
        <w:t>Un des descendants de Jacob par Aser et Beria (</w:t>
      </w:r>
      <w:hyperlink r:id="rId1386">
        <w:r>
          <w:rPr>
            <w:color w:val="0000EE"/>
            <w:u w:val="single"/>
          </w:rPr>
          <w:t>Gn 46.17</w:t>
        </w:r>
      </w:hyperlink>
      <w:r>
        <w:t>) et père de la famille des Hébrites (</w:t>
      </w:r>
      <w:hyperlink r:id="rId6220">
        <w:r>
          <w:rPr>
            <w:color w:val="0000EE"/>
            <w:u w:val="single"/>
          </w:rPr>
          <w:t>Nb 26.45</w:t>
        </w:r>
      </w:hyperlink>
      <w:r>
        <w:t xml:space="preserve"> ; </w:t>
      </w:r>
      <w:hyperlink r:id="rId6221">
        <w:r>
          <w:rPr>
            <w:color w:val="0000EE"/>
            <w:u w:val="single"/>
          </w:rPr>
          <w:t>1Ch 7.31–32</w:t>
        </w:r>
      </w:hyperlink>
      <w:r>
        <w:t>).</w:t>
      </w:r>
    </w:p>
    <w:p>
      <w:pPr>
        <w:pStyle w:val="ListNumber"/>
        <w:spacing w:line="240" w:lineRule="auto"/>
        <w:ind w:left="720"/>
      </w:pPr>
      <w:r/>
      <w:r>
        <w:t>Époux de Jaël, la femme qui a sournoisement tué Sisera, connu sous le nom de Héber le Kénien (</w:t>
      </w:r>
      <w:hyperlink r:id="rId6222">
        <w:r>
          <w:rPr>
            <w:color w:val="0000EE"/>
            <w:u w:val="single"/>
          </w:rPr>
          <w:t>Jg 4.11–21</w:t>
        </w:r>
      </w:hyperlink>
      <w:r>
        <w:t xml:space="preserve"> ; </w:t>
      </w:r>
      <w:hyperlink r:id="rId6223">
        <w:r>
          <w:rPr>
            <w:color w:val="0000EE"/>
            <w:u w:val="single"/>
          </w:rPr>
          <w:t>5.24</w:t>
        </w:r>
      </w:hyperlink>
      <w:r>
        <w:t>).</w:t>
      </w:r>
    </w:p>
    <w:p>
      <w:pPr>
        <w:pStyle w:val="ListNumber"/>
        <w:spacing w:line="240" w:lineRule="auto"/>
        <w:ind w:left="720"/>
      </w:pPr>
      <w:r/>
      <w:r>
        <w:t>Judaïte, fils de Méred et père de Soco (</w:t>
      </w:r>
      <w:hyperlink r:id="rId6224">
        <w:r>
          <w:rPr>
            <w:color w:val="0000EE"/>
            <w:u w:val="single"/>
          </w:rPr>
          <w:t>1Ch 4.18</w:t>
        </w:r>
      </w:hyperlink>
      <w:r>
        <w:t>).</w:t>
      </w:r>
    </w:p>
    <w:p>
      <w:pPr>
        <w:pStyle w:val="ListNumber"/>
        <w:spacing w:line="240" w:lineRule="auto"/>
        <w:ind w:left="720"/>
      </w:pPr>
      <w:r/>
      <w:r>
        <w:t>Fils d'Elpaal de la tribu de Juda (</w:t>
      </w:r>
      <w:hyperlink r:id="rId6225">
        <w:r>
          <w:rPr>
            <w:color w:val="0000EE"/>
            <w:u w:val="single"/>
          </w:rPr>
          <w:t>1Ch 8.17</w:t>
        </w:r>
      </w:hyperlink>
      <w:r>
        <w:t>).</w:t>
      </w:r>
      <w:r/>
      <w:r/>
    </w:p>
    <w:p>
      <w:r/>
    </w:p>
    <w:p>
      <w:pPr>
        <w:pStyle w:val="Heading2"/>
      </w:pPr>
      <w:r>
        <w:t>Héber, Éber</w:t>
      </w:r>
      <w:r/>
    </w:p>
    <w:p>
      <w:pPr>
        <w:pStyle w:val="ListNumber"/>
        <w:spacing w:line="240" w:lineRule="auto"/>
        <w:ind w:left="720"/>
      </w:pPr>
      <w:r/>
      <w:r>
        <w:t>Ancêtre d'Abraham (</w:t>
      </w:r>
      <w:hyperlink r:id="rId6226">
        <w:r>
          <w:rPr>
            <w:color w:val="0000EE"/>
            <w:u w:val="single"/>
          </w:rPr>
          <w:t>Gn 10.21–25</w:t>
        </w:r>
      </w:hyperlink>
      <w:r>
        <w:t xml:space="preserve"> ; </w:t>
      </w:r>
      <w:hyperlink r:id="rId6227">
        <w:r>
          <w:rPr>
            <w:color w:val="0000EE"/>
            <w:u w:val="single"/>
          </w:rPr>
          <w:t>11.14–17</w:t>
        </w:r>
      </w:hyperlink>
      <w:r>
        <w:t xml:space="preserve"> ; </w:t>
      </w:r>
      <w:hyperlink r:id="rId6228">
        <w:r>
          <w:rPr>
            <w:color w:val="0000EE"/>
            <w:u w:val="single"/>
          </w:rPr>
          <w:t>1Ch 1.18–25</w:t>
        </w:r>
      </w:hyperlink>
      <w:r>
        <w:t xml:space="preserve"> ; </w:t>
      </w:r>
      <w:hyperlink r:id="rId6229">
        <w:r>
          <w:rPr>
            <w:color w:val="0000EE"/>
            <w:u w:val="single"/>
          </w:rPr>
          <w:t>Lc 3.35</w:t>
        </w:r>
      </w:hyperlink>
      <w:r>
        <w:t>). Le mot « Hébreu » pourrait provenir de son nom. Héber a vécu 464 ans et était l'ancêtre des « fils d'Héber », une expression qui pourrait désigner les « Hébreux ». Dans le même passage, « fils d'Heth » équivaut aux « Héthiens » (</w:t>
      </w:r>
      <w:hyperlink r:id="rId6230">
        <w:r>
          <w:rPr>
            <w:color w:val="0000EE"/>
            <w:u w:val="single"/>
          </w:rPr>
          <w:t>Gn 23.10</w:t>
        </w:r>
      </w:hyperlink>
      <w:r>
        <w:t>). Cependant, le terme « Hébreu » pourrait être un signe de classe sociale plutôt que de descendance d'Héber. Héber a eu un fils nommé Péleg. Durant la vie de Péleg, les gens sur Terre se sont divisés en deux groupes principaux : ceux qui voyageaient de lieu en lieu (nomades) et ceux qui restaient dans des établissements permanents.</w:t>
      </w:r>
    </w:p>
    <w:p>
      <w:pPr>
        <w:pStyle w:val="ListNumber"/>
        <w:spacing w:line="240" w:lineRule="auto"/>
        <w:ind w:left="720"/>
      </w:pPr>
      <w:r/>
      <w:r>
        <w:t>Chef Gadite pendant les règnes de Jotham, roi de Juda, et de Jéroboam II, roi d'Israël (</w:t>
      </w:r>
      <w:hyperlink r:id="rId6231">
        <w:r>
          <w:rPr>
            <w:color w:val="0000EE"/>
            <w:u w:val="single"/>
          </w:rPr>
          <w:t>1Ch 5.13</w:t>
        </w:r>
      </w:hyperlink>
      <w:r>
        <w:t>).</w:t>
      </w:r>
    </w:p>
    <w:p>
      <w:pPr>
        <w:pStyle w:val="ListNumber"/>
        <w:spacing w:line="240" w:lineRule="auto"/>
        <w:ind w:left="720"/>
      </w:pPr>
      <w:r/>
      <w:r>
        <w:t>Descendant de Benjamin et d'Elpaal (</w:t>
      </w:r>
      <w:hyperlink r:id="rId6232">
        <w:r>
          <w:rPr>
            <w:color w:val="0000EE"/>
            <w:u w:val="single"/>
          </w:rPr>
          <w:t>1Ch 8.12</w:t>
        </w:r>
      </w:hyperlink>
      <w:r>
        <w:t>).</w:t>
      </w:r>
    </w:p>
    <w:p>
      <w:pPr>
        <w:pStyle w:val="ListNumber"/>
        <w:spacing w:line="240" w:lineRule="auto"/>
        <w:ind w:left="720"/>
      </w:pPr>
      <w:r/>
      <w:r>
        <w:t>Descendant de Benjamin et de Schaschak (</w:t>
      </w:r>
      <w:hyperlink r:id="rId6233">
        <w:r>
          <w:rPr>
            <w:color w:val="0000EE"/>
            <w:u w:val="single"/>
          </w:rPr>
          <w:t>1Ch 8.22</w:t>
        </w:r>
      </w:hyperlink>
      <w:r>
        <w:t>).</w:t>
      </w:r>
    </w:p>
    <w:p>
      <w:pPr>
        <w:pStyle w:val="ListNumber"/>
        <w:spacing w:line="240" w:lineRule="auto"/>
        <w:ind w:left="720"/>
      </w:pPr>
      <w:r/>
      <w:r>
        <w:t>Chef de la famille sacerdotale d'Amok pendant les jours du grand prêtre Jojakim (</w:t>
      </w:r>
      <w:hyperlink r:id="rId6234">
        <w:r>
          <w:rPr>
            <w:color w:val="0000EE"/>
            <w:u w:val="single"/>
          </w:rPr>
          <w:t>Né 12.20</w:t>
        </w:r>
      </w:hyperlink>
      <w:r>
        <w:t>).</w:t>
      </w:r>
      <w:r/>
      <w:r/>
    </w:p>
    <w:p>
      <w:r/>
    </w:p>
    <w:p>
      <w:pPr>
        <w:pStyle w:val="Heading2"/>
      </w:pPr>
      <w:r>
        <w:t>Hébreu (Langue)</w:t>
      </w:r>
      <w:r/>
    </w:p>
    <w:p>
      <w:r/>
      <w:r>
        <w:t>Langue du peuple juif. Le nom « hébreu » n'est pas appliqué par l'Ancien Testament (AT) à sa propre langue, bien que le Nouveau Testament lui donne ce nom. Dans l'AT, le mot « Hébreu » désigne l'individu ou le peuple qui utilisait la langue. La langue elle-même est appelée « la langue de Canaan » (</w:t>
      </w:r>
      <w:hyperlink r:id="rId6235">
        <w:r>
          <w:rPr>
            <w:color w:val="0000EE"/>
            <w:u w:val="single"/>
          </w:rPr>
          <w:t>Es 19.18</w:t>
        </w:r>
      </w:hyperlink>
      <w:r>
        <w:t>) ou « la langue de Juda » ou « le juif », selon les traductions (</w:t>
      </w:r>
      <w:hyperlink r:id="rId1111">
        <w:r>
          <w:rPr>
            <w:color w:val="0000EE"/>
            <w:u w:val="single"/>
          </w:rPr>
          <w:t>Né 13.24</w:t>
        </w:r>
      </w:hyperlink>
      <w:r>
        <w:t>).</w:t>
      </w:r>
    </w:p>
    <w:p>
      <w:r/>
      <w:r>
        <w:t>Survol</w:t>
      </w:r>
    </w:p>
    <w:p>
      <w:r/>
      <w:r>
        <w:t xml:space="preserve">• </w:t>
      </w:r>
      <w:r>
        <w:rPr>
          <w:b/>
          <w:u w:val="single"/>
        </w:rPr>
        <w:t>Origine et histoire</w:t>
      </w:r>
    </w:p>
    <w:p>
      <w:r/>
      <w:r>
        <w:t xml:space="preserve">• </w:t>
      </w:r>
      <w:r>
        <w:rPr>
          <w:b/>
          <w:u w:val="single"/>
        </w:rPr>
        <w:t>Famille linguistique</w:t>
      </w:r>
    </w:p>
    <w:p>
      <w:r/>
      <w:r>
        <w:t xml:space="preserve">• </w:t>
      </w:r>
      <w:r>
        <w:rPr>
          <w:b/>
          <w:u w:val="single"/>
        </w:rPr>
        <w:t>Accent</w:t>
      </w:r>
    </w:p>
    <w:p>
      <w:r/>
      <w:r>
        <w:t xml:space="preserve">• </w:t>
      </w:r>
      <w:r>
        <w:rPr>
          <w:b/>
          <w:u w:val="single"/>
        </w:rPr>
        <w:t>Écriture et grammaire de l'hébreu</w:t>
      </w:r>
    </w:p>
    <w:p>
      <w:r/>
      <w:r>
        <w:t xml:space="preserve">• </w:t>
      </w:r>
      <w:r>
        <w:rPr>
          <w:b/>
          <w:u w:val="single"/>
        </w:rPr>
        <w:t>Style</w:t>
      </w:r>
    </w:p>
    <w:p>
      <w:r/>
      <w:r>
        <w:t xml:space="preserve">• </w:t>
      </w:r>
      <w:r>
        <w:rPr>
          <w:b/>
          <w:u w:val="single"/>
        </w:rPr>
        <w:t>Héritage</w:t>
      </w:r>
    </w:p>
    <w:p>
      <w:pPr>
        <w:pStyle w:val="Heading3"/>
      </w:pPr>
      <w:r>
        <w:t>Origine et histoire</w:t>
      </w:r>
    </w:p>
    <w:p>
      <w:r/>
      <w:r>
        <w:t>Au Moyen Âge, une opinion courante était que l'hébreu était la langue primitive de l'humanité. Même dans l'Amérique coloniale, l'hébreu était encore appelé « la mère de toutes les langues ». La recherche linguistique a maintenant rendu cette théorie intenable.</w:t>
      </w:r>
    </w:p>
    <w:p>
      <w:r/>
      <w:r>
        <w:t>L'hébreu est en réalité l'un des nombreux dialectes cananéens, qui incluaient le phénicien, l'ougaritique et le moabite. D'autres dialectes cananéens, comme l'ammonite, existaient mais ont laissé des inscriptions insuffisantes pour une étude académique. Ces dialectes étaient déjà présents dans le pays de Canaan avant sa conquête par les Israélites.</w:t>
      </w:r>
    </w:p>
    <w:p>
      <w:r/>
      <w:r>
        <w:t>Jusqu'à environ 1974, les plus anciens témoins de langues cananéennes avaient été trouvés dans les archives d'Ougarit et d'Amarna datant des 14e et 15e siècles av. J.‑C. Quelques mots et expressions cananéens apparaissaient dans des archives égyptiennes antérieures, mais l'origine du cananéen était incertaine. Cependant, entre 1974 et 1976, près de 17 000 tablettes ont été découvertes à Tell Mardikh (anciennement Ebla) dans le nord de la Syrie, écrites dans un dialecte sémitique jusqu'alors inconnu. Celles-ci pourraient remonter à 2400 av. J.‑C. (peut-être même plus tôt) et de nombreux chercheurs pensent donc que cette langue pourrait être le « vieux cananéen » qui a donné naissance à l'hébreu. En 1977, lorsqu'un autre millier de tablettes a été mis au jour, environ cent inscriptions d'Ebla avaient été analysées seulement. Les langues changent sur une longue période. Par exemple, l'anglais utilisé à l'époque d'Alfred le Grand (9e siècle apr. J.‑C.) semble presque être une langue étrangère pour les anglophones contemporains. Bien que l'hébreu n'ait pas fait exception au principe général, comme d'autres langues sémitiques, il est resté remarquablement stable au cours de nombreux siècles. Les poèmes tels que le Chant de Débora (</w:t>
      </w:r>
      <w:hyperlink r:id="rId3662">
        <w:r>
          <w:rPr>
            <w:color w:val="0000EE"/>
            <w:u w:val="single"/>
          </w:rPr>
          <w:t>Jg 5</w:t>
        </w:r>
      </w:hyperlink>
      <w:r>
        <w:t>) avaient tendance à préserver la forme la plus ancienne de la langue. Les changements qui ont eu lieu plus tard dans la longue histoire de la langue se manifestent par la présence de mots archaïques (souvent préservés dans le langage poétique) et une différence générale de style. Par exemple, le livre de Job reflète un style plus archaïque que le livre d'Esther.</w:t>
      </w:r>
    </w:p>
    <w:p>
      <w:r/>
      <w:r>
        <w:t xml:space="preserve">Il semble que divers dialectes hébreux existaient côte à côte à l'époque de l'AT, comme le reflète l'épisode impliquant la prononciation du mot hébreu « </w:t>
      </w:r>
      <w:r>
        <w:t>Schibboleth</w:t>
      </w:r>
      <w:r>
        <w:t>/</w:t>
      </w:r>
      <w:r>
        <w:t>Sibboleth</w:t>
      </w:r>
      <w:r>
        <w:t xml:space="preserve"> » (</w:t>
      </w:r>
      <w:hyperlink r:id="rId6236">
        <w:r>
          <w:rPr>
            <w:color w:val="0000EE"/>
            <w:u w:val="single"/>
          </w:rPr>
          <w:t>Jg 12.4–6</w:t>
        </w:r>
      </w:hyperlink>
      <w:r>
        <w:t>). Il semble que les Israélites à l'est du Jourdain prononçaient la lettre initiale avec un fort son « sch », tandis que ceux de Canaan lui donnaient le simple son « s ». Les chercheurs ont également identifié des caractéristiques de l'hébreu qui pourraient être décrites comme reflétant les parties nord ou sud du pays.</w:t>
      </w:r>
    </w:p>
    <w:p>
      <w:pPr>
        <w:pStyle w:val="Heading3"/>
      </w:pPr>
      <w:r>
        <w:t>Famille de langues</w:t>
      </w:r>
    </w:p>
    <w:p>
      <w:r/>
      <w:r>
        <w:t>L'hébreu appartient à la famille des langues sémitiques ; ces langues étaient utilisées de la mer Méditerranée aux montagnes à l'est de la vallée de l'Euphrate, et de l'Arménie (Turquie) au nord jusqu'à l'extrémité sud de la péninsule arabique. Les langues sémitiques sont classées comme méridionales (arabe et éthiopien), orientales (akkadien) et nord-occidentales (araméen, syriaque et cananéen/hébreu, phénicien, ougaritique et moabite).</w:t>
      </w:r>
    </w:p>
    <w:p>
      <w:pPr>
        <w:pStyle w:val="Heading3"/>
      </w:pPr>
      <w:r>
        <w:t>Accent</w:t>
      </w:r>
    </w:p>
    <w:p>
      <w:r/>
      <w:r>
        <w:t>L'hébreu, comme les autres langues sémitiques anciennes, met davantage l'accent sur l'observation que sur la réflexion. Autrement dit, les choses sont généralement perçues selon leur apparence en tant que phénomènes, plutôt que d'être analysées quant à leur nature intérieure ou leur essence. Les effets sont observés, mais ne sont pas retracés à travers une série de causes.</w:t>
      </w:r>
    </w:p>
    <w:p>
      <w:r/>
      <w:r>
        <w:t>La vivacité, la concision et la simplicité de l'hébreu rendent cette langue difficile à traduire dans son entièreté. Elle est incroyablement concise et directe. Le</w:t>
      </w:r>
      <w:hyperlink r:id="rId5469">
        <w:r>
          <w:rPr>
            <w:color w:val="0000EE"/>
            <w:u w:val="single"/>
          </w:rPr>
          <w:t xml:space="preserve"> Psaume 23</w:t>
        </w:r>
      </w:hyperlink>
      <w:r>
        <w:t>, par exemple, contient 55 mots ; la plupart des traductions en nécessitent environ deux fois plus pour le traduire adéquatement. En voici les deux premières lignes, les barres obliques séparant les mots hébreux individuels dans l'original :</w:t>
      </w:r>
    </w:p>
    <w:p>
      <w:r/>
      <w:r>
        <w:t>L'Éternel / [est] mon berger :</w:t>
        <w:br/>
      </w:r>
      <w:r>
        <w:t>Je [ne] manquerai / de rien.</w:t>
      </w:r>
    </w:p>
    <w:p>
      <w:r/>
      <w:r>
        <w:t>Ainsi, dix mots français sont nécessaires pour traduire quatre mots hébreux.</w:t>
      </w:r>
    </w:p>
    <w:p>
      <w:r/>
      <w:r>
        <w:t>L'hébreu n'utilise pas d'expressions distinctes et séparées pour chaque nuance de pensée. Il a été dit que : « Les Sémites ont été les carrières dont les grands blocs bruts ont été taillés, polis et assemblés par les Grecs. Ces premiers ont donné la lieu à la religion ; ces derniers, à la philosophie. »</w:t>
      </w:r>
    </w:p>
    <w:p>
      <w:r/>
      <w:r>
        <w:t>L'hébreu est une langue picturale où le passé n'est pas simplement décrit, mais dépeint verbalement. Il ne s'agit pas que d'un paysage représenté, mais d'un panorama en mouvement. Le déroulé des événements est passé en revue dans l'esprit (Notez l'utilisation fréquente « voici », un hébraïsme repris dans le NT). Des expressions hébraïques courantes telles que « il se leva et partit », « il ouvrit ses lèvres et parla », « il leva les yeux et vit » et « il éleva la voix et pleura » illustrent la force picturale de la langue.</w:t>
      </w:r>
    </w:p>
    <w:p>
      <w:r/>
      <w:r>
        <w:t>De nombreuses expressions théologiques profondes de l'AT sont étroitement liées à la langue et à la grammaire hébraïques. Même le nom le plus sacré de Dieu, « le Seigneur » (Yahweh), est directement lié au verbe hébreu « être » (ou peut-être « causer à être »). De nombreux autres noms de personnes et de lieux dans l'AT ne peuvent être compris de manière optimale qu'avec une connaissance de base de l'hébreu.</w:t>
      </w:r>
    </w:p>
    <w:p>
      <w:pPr>
        <w:pStyle w:val="Heading3"/>
      </w:pPr>
      <w:r>
        <w:t>Écriture et grammaire hébraïques</w:t>
      </w:r>
    </w:p>
    <w:p>
      <w:pPr>
        <w:pStyle w:val="Heading4"/>
      </w:pPr>
      <w:r>
        <w:t>Alphabet et écriture</w:t>
      </w:r>
    </w:p>
    <w:p>
      <w:r/>
      <w:r>
        <w:t>L'alphabet hébreu se compose de vingt-deux consonnes ; des signes pour les voyelles ont été conçus et ajoutés tard dans l'histoire de la langue. L'origine de l'alphabet est inconnue. Les plus anciens exemples d'un alphabet cananéen ont été préservés dans l'alphabet cunéiforme ougaritique du 14e siècle av. J.‑C.</w:t>
      </w:r>
    </w:p>
    <w:p>
      <w:r/>
      <w:r>
        <w:t>Le style ancien d'écriture des lettres est appelé écriture phénicienne ou paléo-hébraïque. C'est le prédécesseur de l'alphabet grec et d'autres alphabets occidentaux. L'écriture utilisée dans les Bibles hébraïques modernes (araméenne ou écriture carrée) est devenue populaire après l'exil d'Israël à Babylone (6e siècle av. J.‑C.). L'alphabet plus ancien était encore utilisé sporadiquement au début de l'ère chrétienne sur les pièces de monnaie et pour écrire le nom de Dieu (comme dans les manuscrits de la mer Morte). L'hébreu a toujours été écrit de droite à gauche.</w:t>
      </w:r>
    </w:p>
    <w:p>
      <w:pPr>
        <w:pStyle w:val="Heading4"/>
      </w:pPr>
      <w:r>
        <w:t>Consonnes</w:t>
      </w:r>
    </w:p>
    <w:p>
      <w:r/>
      <w:r>
        <w:t>L'alphabet cananéen des langues phénicienne et moabite comportait vingt-deux consonnes. La langue cananéenne plus ancienne, reflétée dans l'ougaritique, en possédait davantage. L'arabe conserve également certaines consonnes cananéennes anciennes présentes en ougaritique mais absentes en hébreu.</w:t>
      </w:r>
    </w:p>
    <w:p>
      <w:pPr>
        <w:pStyle w:val="Heading4"/>
      </w:pPr>
      <w:r>
        <w:t>Voyelles</w:t>
      </w:r>
    </w:p>
    <w:p>
      <w:r/>
      <w:r>
        <w:t>L'écriture hébraïque originale est consonantique, c'est-à-dire que les voyelles étaient simplement induites par l'écrivain ou le lecteur. Sur la base de la tradition et du contexte, le lecteur ajoutait les voyelles nécessaires, un peu comme cela se fait dans certaines abréviations françaises (« blvd » pour « boulevard »). Après l'effondrement de la nation en l'an 70 apr. J.‑C., la dispersion des Juifs et la destruction de Jérusalem ont conduit l'hébreu à devenir une « langue morte », n'étant plus largement parlée. La perte de la prononciation et de la compréhension traditionnelles est alors devenue plus probable, de sorte que les scribes juifs ont ressenti le besoin d'établir de manière permanente les sons des voyelles.</w:t>
      </w:r>
    </w:p>
    <w:p>
      <w:r/>
      <w:r>
        <w:t xml:space="preserve">Tout d'abord, les lettres voyelles appelées « mères de la lecture » </w:t>
      </w:r>
      <w:r>
        <w:rPr>
          <w:i/>
        </w:rPr>
        <w:t>(matres lectionis)</w:t>
      </w:r>
      <w:r>
        <w:t xml:space="preserve"> ont été ajoutées. Il s'agissait de consonnes utilisées spécialement pour indiquer les voyelles longues. Celles-ci ont été ajoutées avant l'ère chrétienne, comme le révèlent les manuscrits de la mer Morte.</w:t>
      </w:r>
    </w:p>
    <w:p>
      <w:r/>
      <w:r>
        <w:t>Plus tard (vers le 5e siècle apr. J.‑C.), des scribes appelés Massorètes ont ajouté des signes vocaliques pour indiquer les voyelles brèves. Au moins trois systèmes différents de signes vocaliques ont été utilisés à différentes époques et en différents lieux. Le texte utilisé aujourd'hui représente le système conçu par les scribes massorétiques qui travaillaient dans la ville de Tibériade. Les voyelles, qui peuvent être longues ou brèves, sont indiquées par des points ou des tirets placés au-dessus ou en dessous des consonnes. Certaines combinaisons de points et de tirets représentent des sons de voyelles très courts, ou des « demi-voyelles ».</w:t>
      </w:r>
    </w:p>
    <w:p>
      <w:pPr>
        <w:pStyle w:val="Heading4"/>
      </w:pPr>
      <w:r>
        <w:t>Liaison</w:t>
      </w:r>
    </w:p>
    <w:p>
      <w:r/>
      <w:r>
        <w:t>L'hébreu regroupe de nombreux mots qui, dans les langues occidentales, seraient écrits séparément. Certaines prépositions (be-, « en » ; le-, « à » ; ke-, « comme ») sont directement préfixées au nom ou au verbe qu'elles introduisent, tout comme l'article défini ha-, « le/la » et la conjonction wa-, « et ». Les suffixes sont utilisés pour les pronoms, soit dans la relation possessive, soit accusative. Un même mot peut simultanément avoir à la fois un préfixe et un suffixe.</w:t>
      </w:r>
    </w:p>
    <w:p>
      <w:pPr>
        <w:pStyle w:val="Heading4"/>
      </w:pPr>
      <w:r>
        <w:t>Noms</w:t>
      </w:r>
    </w:p>
    <w:p>
      <w:r/>
      <w:r>
        <w:t>L'hébreu n'a pas de genre neutre : tout est masculin ou féminin. Les objets inanimés peuvent être soit masculins, soit féminins, selon la formation ou le caractère du mot. Habituellement, les idées abstraites ou les mots indiquant un groupe sont féminins. Les noms sont dérivés de racines et sont formés de diverses manières, soit par modification des voyelles, soit en ajoutant des préfixes ou des suffixes à la racine. Contrairement au grec et à de nombreuses langues occidentales, les noms composés ne sont pas caractéristiques de l'hébreu.</w:t>
      </w:r>
    </w:p>
    <w:p>
      <w:r/>
      <w:r>
        <w:t xml:space="preserve">Le pluriel hébreu se forme en ajoutant -im pour les noms masculins </w:t>
      </w:r>
      <w:r>
        <w:rPr>
          <w:i/>
        </w:rPr>
        <w:t>(</w:t>
      </w:r>
      <w:r>
        <w:t>séraphins, chérubins</w:t>
      </w:r>
      <w:r>
        <w:rPr>
          <w:i/>
        </w:rPr>
        <w:t>)</w:t>
      </w:r>
      <w:r>
        <w:t xml:space="preserve"> et -oth pour les noms féminins.</w:t>
      </w:r>
    </w:p>
    <w:p>
      <w:r/>
      <w:r>
        <w:t xml:space="preserve">Les trois terminaisons de cas originales indiquant le nominatif, le génitif et l'accusatif ont disparu au cours de l'évolution de l'hébreu. Pour compenser l'absence de ces terminaisons, l'hébreu utilise divers indicateurs. Les objets indirects sont indiqués par la préposition le- (« à ») ; les objets directs par le signe objectif ’eth </w:t>
      </w:r>
      <w:r>
        <w:rPr>
          <w:i/>
        </w:rPr>
        <w:t>;</w:t>
      </w:r>
      <w:r>
        <w:t xml:space="preserve"> la relation génitive est exprimée en plaçant le mot avant le génitif dans l'« état de construction » ou forme abrégée.</w:t>
      </w:r>
    </w:p>
    <w:p>
      <w:pPr>
        <w:pStyle w:val="Heading4"/>
      </w:pPr>
      <w:r>
        <w:t>Adjectifs</w:t>
      </w:r>
    </w:p>
    <w:p>
      <w:r/>
      <w:r>
        <w:t>L'hébreu manque d'adjectifs. « Un cœur double » est indiqué dans l'hébreu original par « un cœur et un cœur » (</w:t>
      </w:r>
      <w:hyperlink r:id="rId6237">
        <w:r>
          <w:rPr>
            <w:color w:val="0000EE"/>
            <w:u w:val="single"/>
          </w:rPr>
          <w:t>Ps 12.2</w:t>
        </w:r>
      </w:hyperlink>
      <w:r>
        <w:t xml:space="preserve">), et « </w:t>
      </w:r>
      <w:r>
        <w:t>deux sortes de poids</w:t>
      </w:r>
      <w:r>
        <w:t xml:space="preserve"> » est en réalité « une pierre et une pierre » (</w:t>
      </w:r>
      <w:hyperlink r:id="rId2046">
        <w:r>
          <w:rPr>
            <w:color w:val="0000EE"/>
            <w:u w:val="single"/>
          </w:rPr>
          <w:t>Dt 25.13</w:t>
        </w:r>
      </w:hyperlink>
      <w:r>
        <w:t xml:space="preserve">) ; « </w:t>
      </w:r>
      <w:r>
        <w:t>toute la race royale</w:t>
      </w:r>
      <w:r>
        <w:t xml:space="preserve"> » est « la semence du royaume » (</w:t>
      </w:r>
      <w:hyperlink r:id="rId6238">
        <w:r>
          <w:rPr>
            <w:color w:val="0000EE"/>
            <w:u w:val="single"/>
          </w:rPr>
          <w:t>2R 11.1</w:t>
        </w:r>
      </w:hyperlink>
      <w:r>
        <w:t>).</w:t>
      </w:r>
    </w:p>
    <w:p>
      <w:r/>
      <w:r>
        <w:t xml:space="preserve">Les adjectifs en hébreu n'ont pas de formes comparatives ou superlatives. La relation est indiquée par la préposition « de ». « Meilleur que toi » se dit littéralement en hébreu « bon de toi ». « </w:t>
      </w:r>
      <w:r>
        <w:t>Le serpent était le plus rusé de tous les animaux</w:t>
      </w:r>
      <w:r>
        <w:t xml:space="preserve"> » se traduit littéralement par « le serpent était rusé de toute bête » (</w:t>
      </w:r>
      <w:hyperlink r:id="rId237">
        <w:r>
          <w:rPr>
            <w:color w:val="0000EE"/>
            <w:u w:val="single"/>
          </w:rPr>
          <w:t>Gn 3.1</w:t>
        </w:r>
      </w:hyperlink>
      <w:r>
        <w:t>). Le superlatif est exprimé par plusieurs constructions différentes. L'idée de « très profond » (S21) se traduit littéralement par « profond, profond » (</w:t>
      </w:r>
      <w:hyperlink r:id="rId6239">
        <w:r>
          <w:rPr>
            <w:color w:val="0000EE"/>
            <w:u w:val="single"/>
          </w:rPr>
          <w:t>Ec 7.24</w:t>
        </w:r>
      </w:hyperlink>
      <w:r>
        <w:t>) ; le « meilleur cantique » se dit littéralement « cantique des cantiques » (voir « roi des rois ») ; « le plus saint » est littéralement « saint, saint, saint » (</w:t>
      </w:r>
      <w:hyperlink r:id="rId6240">
        <w:r>
          <w:rPr>
            <w:color w:val="0000EE"/>
            <w:u w:val="single"/>
          </w:rPr>
          <w:t>Es 6.3</w:t>
        </w:r>
      </w:hyperlink>
      <w:r>
        <w:t>).</w:t>
      </w:r>
    </w:p>
    <w:p>
      <w:pPr>
        <w:pStyle w:val="Heading4"/>
      </w:pPr>
      <w:r>
        <w:t>Verbes</w:t>
      </w:r>
    </w:p>
    <w:p>
      <w:r/>
      <w:r>
        <w:t>Les verbes hébreux sont formés à partir d'une racine généralement composée de trois lettres. À partir de ces racines, des formes verbales sont développées par un changement de voyelles ou par l'ajout de préfixes ou de suffixes. Les consonnes de la racine fournissent l'ossature sémantique de la langue et assurent une stabilité de sens qui n'est pas caractéristique des langues occidentales. Les voyelles sont assez souples, conférant à l'hébreu une élasticité considérable.</w:t>
      </w:r>
    </w:p>
    <w:p>
      <w:r/>
      <w:r>
        <w:t xml:space="preserve">L'utilisation des verbes hébreux n'est pas caractérisée par une définition précise des temps. Les temps hébreux, surtout en poésie, sont largement déterminés par le contexte. Les deux formations de temps sont le parfait (action accomplie) et l'imparfait (action inaccomplie). L'imparfait est ambigu. Il représente le mode indicatif (présent, passé, futur) mais peut aussi représenter des modes tels que l'impératif, l'optatif et le jussif ou le cohortatif. Une utilisation distinctive du temps parfait est le « parfait prophétique », où la forme parfaite représente un événement futur comme tellement certain qu'il est exprimé comme étant au passé (voir par exemple </w:t>
      </w:r>
      <w:hyperlink r:id="rId6241">
        <w:r>
          <w:rPr>
            <w:color w:val="0000EE"/>
            <w:u w:val="single"/>
          </w:rPr>
          <w:t>Es 5.13</w:t>
        </w:r>
      </w:hyperlink>
      <w:r>
        <w:t>, qui est au parfait dans l'original hébreu).</w:t>
      </w:r>
    </w:p>
    <w:p>
      <w:pPr>
        <w:pStyle w:val="Heading3"/>
      </w:pPr>
      <w:r>
        <w:t>Style</w:t>
      </w:r>
    </w:p>
    <w:p>
      <w:pPr>
        <w:pStyle w:val="Heading4"/>
      </w:pPr>
      <w:r>
        <w:t>Vocabulaire</w:t>
      </w:r>
    </w:p>
    <w:p>
      <w:r/>
      <w:r>
        <w:t>La plupart des racines hébraïques exprimaient à l'origine une action physique ou désignaient un objet naturel. Le verbe « décider » signifiait à l'origine « couper » ; « être vrai » signifiait à l'origine « être fermement fixé » ; « avoir raison » signifiait « être droit » ; « être honorable » signifiait « être lourd ».</w:t>
      </w:r>
    </w:p>
    <w:p>
      <w:r/>
      <w:r>
        <w:t xml:space="preserve">Les termes abstraits sont étrangers au caractère de l'hébreu ; ainsi, l'hébreu biblique n'a pas de mots spécifiques pour « théologie », « philosophie » ou « religion ». Les concepts intellectuels ou théologiques sont exprimés par des termes concrets. L'idée abstraite de péché est représentée par des mots tels que « manquer la cible », « tordu », « rébellion » ou « transgression » (« traverser »). L'esprit ou l'intellect est exprimé par « cœur » ou « reins », et l'émotion ou la compassion par les « entrailles » (voir </w:t>
      </w:r>
      <w:hyperlink r:id="rId6242">
        <w:r>
          <w:rPr>
            <w:color w:val="0000EE"/>
            <w:u w:val="single"/>
          </w:rPr>
          <w:t>Es 63.15</w:t>
        </w:r>
      </w:hyperlink>
      <w:r>
        <w:t>). D'autres termes concrets en hébreu sont « corne » pour la force ou la vigueur, « os » pour le soi, et « semence » pour les descendants. Une qualité mentale est souvent représentée par la partie du corps considérée comme son incarnation la plus appropriée. La force peut être représentée par « bras » ou « main », la colère par « narine », le mécontentement par « visage tombant », l'acceptation par « visage rayonnant », la réflexion par « dire ».</w:t>
      </w:r>
    </w:p>
    <w:p>
      <w:r/>
      <w:r>
        <w:t>Certains traducteurs ont tenté de représenter de façon systématique un mot hébreu par le même mot français, mais cela entraîne de sérieux problèmes. Parfois, il y a un désaccord considérable sur la nuance exacte du sens d'un mot hébreu dans un passage donné. Une seule racine représente fréquemment une variété de significations, selon l'usage et le contexte. Le mot pour « bénir » peut aussi signifier « maudire, saluer, favoriser, louer ». Le mot pour « jugement » est également utilisé pour « justice, verdict, pénalité, ordonnance, devoir, coutume, manière ». Le mot pour « force » ou « pouvoir » signifie aussi « armée, vertu, valeur, courage ».</w:t>
      </w:r>
    </w:p>
    <w:p>
      <w:r/>
      <w:r>
        <w:t>Une ambiguïté supplémentaire découle du fait que certaines consonnes hébraïques représentent deux consonnes originales différentes qui ont fusionné au cours de l'évolution de la langue. Deux mots qui, en apparence, semblent identiques peuvent provenir de deux racines différentes. Pour un exemple de ce phénomène en français, comparez « fils » (le descendant) avec « fils » (des brins de matériau).</w:t>
      </w:r>
    </w:p>
    <w:p>
      <w:pPr>
        <w:pStyle w:val="Heading4"/>
      </w:pPr>
      <w:r>
        <w:t>Syntaxe</w:t>
      </w:r>
    </w:p>
    <w:p>
      <w:r/>
      <w:r>
        <w:t xml:space="preserve">La syntaxe hébraïque est relativement simple. Elle comporte peu de conjonctions de subordination (« si », « quand », « parce que », etc.) ; les phrases sont généralement coordonnées en utilisant la simple conjonction « et ». Les traductions anglaises des textes bibliques essaient généralement de montrer la connexion logique entre les phrases successives, même si elle n'est pas toujours claire. Dans </w:t>
      </w:r>
      <w:hyperlink r:id="rId6243">
        <w:r>
          <w:rPr>
            <w:color w:val="0000EE"/>
            <w:u w:val="single"/>
          </w:rPr>
          <w:t>Genèse 1.2–3.1</w:t>
        </w:r>
      </w:hyperlink>
      <w:r>
        <w:t>, tous sauf trois des cinquante-six versets commencent par la conjonction « et », alors que la version Louis Segond la traduit de diverses manières : « puis » (</w:t>
      </w:r>
      <w:hyperlink r:id="rId6244">
        <w:r>
          <w:rPr>
            <w:color w:val="0000EE"/>
            <w:u w:val="single"/>
          </w:rPr>
          <w:t>1.26</w:t>
        </w:r>
      </w:hyperlink>
      <w:r>
        <w:t>), « ainsi » (</w:t>
      </w:r>
      <w:hyperlink r:id="rId3991">
        <w:r>
          <w:rPr>
            <w:color w:val="0000EE"/>
            <w:u w:val="single"/>
          </w:rPr>
          <w:t>2.1</w:t>
        </w:r>
      </w:hyperlink>
      <w:r>
        <w:t>), « mais » (</w:t>
      </w:r>
      <w:hyperlink r:id="rId6245">
        <w:r>
          <w:rPr>
            <w:color w:val="0000EE"/>
            <w:u w:val="single"/>
          </w:rPr>
          <w:t>2.6</w:t>
        </w:r>
      </w:hyperlink>
      <w:r>
        <w:t>) et « alors » (</w:t>
      </w:r>
      <w:hyperlink r:id="rId6245">
        <w:r>
          <w:rPr>
            <w:color w:val="0000EE"/>
            <w:u w:val="single"/>
          </w:rPr>
          <w:t>2.21</w:t>
        </w:r>
      </w:hyperlink>
      <w:r>
        <w:t>).</w:t>
      </w:r>
    </w:p>
    <w:p>
      <w:r/>
      <w:r>
        <w:t>Le style hébreu est animé par l'utilisation du discours direct. Le narrateur ne se contente pas de dire que telle ou telle personne a dit quelque chose (discours indirect). Au lieu de cela, les personnages parlent d'eux-mêmes (discours direct), créant une fraîcheur qui demeure même après des lectures répétées.</w:t>
      </w:r>
    </w:p>
    <w:p>
      <w:pPr>
        <w:pStyle w:val="Heading4"/>
      </w:pPr>
      <w:r>
        <w:t>Poésie</w:t>
      </w:r>
    </w:p>
    <w:p>
      <w:r/>
      <w:r>
        <w:t>La poésie hébraïque utilise une variété de dispositifs rhétoriques. Certains d'entre eux, tels que l'assonance, l'allitération et les acrostiches, ne peuvent être appréciés que dans l'hébreu original. Cependant, le parallélisme, la caractéristique la plus importante de la poésie hébraïque, est évident même dans la traduction française. Parmi les nombreuses formes de parallélisme possibles, quatre catégories courantes existent : (1) la synonymie, un style répétitif dans lequel des lignes parallèles expriment la même idée avec des mots différents ; (2) l'antithétisme, un style contrastant dans lequel des pensées opposées sont exprimées ; (3) le complétif, dans lequel une ligne parallèle complète la pensée de la première ; (4) le climactique, dans lequel une ligne parallèle ascendante reprend un élément de la première ligne et le répète. De nombreuses autres formes de parallélisme enrichissent la poésie hébraïque. Les variations possibles du parallélisme sont presque infinies.</w:t>
      </w:r>
    </w:p>
    <w:p>
      <w:pPr>
        <w:pStyle w:val="Heading4"/>
      </w:pPr>
      <w:r>
        <w:t>Figures de style</w:t>
      </w:r>
    </w:p>
    <w:p>
      <w:r/>
      <w:r>
        <w:t>L'hébreu regorge de figures de style expressives basées sur le caractère et le mode de vie du peuple hébreu. Certaines expressions étranges mais bien connues trouvées dans la littérature française proviennent du style hébreu, comme « la prunelle des yeux » (</w:t>
      </w:r>
      <w:hyperlink r:id="rId6246">
        <w:r>
          <w:rPr>
            <w:color w:val="0000EE"/>
            <w:u w:val="single"/>
          </w:rPr>
          <w:t>Dt 32.10</w:t>
        </w:r>
      </w:hyperlink>
      <w:r>
        <w:t xml:space="preserve"> ; </w:t>
      </w:r>
      <w:hyperlink r:id="rId6247">
        <w:r>
          <w:rPr>
            <w:color w:val="0000EE"/>
            <w:u w:val="single"/>
          </w:rPr>
          <w:t>Ps 17.8</w:t>
        </w:r>
      </w:hyperlink>
      <w:r>
        <w:t xml:space="preserve"> ; </w:t>
      </w:r>
      <w:hyperlink r:id="rId6248">
        <w:r>
          <w:rPr>
            <w:color w:val="0000EE"/>
            <w:u w:val="single"/>
          </w:rPr>
          <w:t>Pr 7.2</w:t>
        </w:r>
      </w:hyperlink>
      <w:r>
        <w:t xml:space="preserve"> ; </w:t>
      </w:r>
      <w:hyperlink r:id="rId6249">
        <w:r>
          <w:rPr>
            <w:color w:val="0000EE"/>
            <w:u w:val="single"/>
          </w:rPr>
          <w:t>Za 2.8</w:t>
        </w:r>
      </w:hyperlink>
      <w:r>
        <w:t>) et « la peau des dents » (</w:t>
      </w:r>
      <w:hyperlink r:id="rId6250">
        <w:r>
          <w:rPr>
            <w:color w:val="0000EE"/>
            <w:u w:val="single"/>
          </w:rPr>
          <w:t>Jb 19.20</w:t>
        </w:r>
      </w:hyperlink>
      <w:r>
        <w:t>). Certains des modes d'expression hébreux les plus frappants sont difficiles à transposer en français, tels que « découvrir l'oreille », signifiant « divulguer, révéler ». D'autres sont plus familiers, comme « raidir le cou » pour « être têtu, rebelle » ; « pencher ou incliner son oreille » pour « écouter attentivement ».</w:t>
      </w:r>
    </w:p>
    <w:p>
      <w:pPr>
        <w:pStyle w:val="Heading3"/>
      </w:pPr>
      <w:r>
        <w:t>Héritage</w:t>
      </w:r>
    </w:p>
    <w:p>
      <w:r/>
      <w:r>
        <w:t>Le français et plusieurs autres langues modernes ont été enrichis par l'hébreu. Le français contient même un certain nombre de « mots empruntés » à l'hébreu. Certains d'entre eux ont eu une large influence (« amen », « alléluia », « jubilé »). De nombreux noms propres hébreux sont utilisés dans les langues modernes pour désigner des personnes et des lieux, tels que David, Jonathan/Jean, Miriam/Marie, Bethléem (le nom de plusieurs villes aux États-Unis).</w:t>
      </w:r>
    </w:p>
    <w:p>
      <w:r/>
      <w:r>
        <w:t>De nombreuses expressions hébraïques courantes ont été inconsciemment intégrées dans les expressions français, comme « les quatre coins de la terre ». Certaines expressions, telles que « À l'est d'Éden » (John Steinbeck), ont été utilisées comme titres de livres et de films.</w:t>
      </w:r>
      <w:r/>
      <w:r/>
    </w:p>
    <w:p>
      <w:r/>
    </w:p>
    <w:p>
      <w:pPr>
        <w:pStyle w:val="Heading2"/>
      </w:pPr>
      <w:r>
        <w:t>Hébreux, Lettre aux</w:t>
      </w:r>
      <w:r/>
    </w:p>
    <w:p>
      <w:r/>
      <w:r>
        <w:t>Un des livres les plus profonds et énigmatiques du Nouveau Testament (NT). L'identité de son auteur, la date de son écriture, ainsi que les destinataires et le lieu d'envoi restent enveloppés de mystère. Cependant, malgré l'incertitude, Hébreux demeure l'un des livres les plus opportuns et pertinents de la Bible. Il y a environ trois cents ans, John Owen, le puritain anglais, a remarqué à propos : « L'épître la plus importante après celle aux Romains est sans doute celle aux Hébreux. » La lettre est à la fois doctrinale et pratique, théologique et pastorale. En résumé, elle érige un argument convaincant pour la supériorité du christianisme. Hébreux reflète également la préoccupation passionnée du cœur d'un pasteur. Ceux qui ont fait l'expérience de l'œuvre ultime de la grâce de Dieu en Christ sont exhortés à s'accrocher fermement à la parole définitive de la révélation de Dieu en son Fils.</w:t>
      </w:r>
    </w:p>
    <w:p>
      <w:r/>
      <w:r>
        <w:t>Contrairement à la plupart des autres épîtres du NT, Hébreux ne débute pas comme une lettre. Il n'y a pas de salutation introductive, l'auteur n'est pas identifié et aucune mention n'est faite de ceux à qui le document est adressé. L'auteur caractérise l'œuvre comme des « paroles d'exhortation » (</w:t>
      </w:r>
      <w:hyperlink r:id="rId6251">
        <w:r>
          <w:rPr>
            <w:color w:val="0000EE"/>
            <w:u w:val="single"/>
          </w:rPr>
          <w:t>13.22</w:t>
        </w:r>
      </w:hyperlink>
      <w:r>
        <w:t xml:space="preserve">), ce qui suggère qu'il s'agirait d'un sermon ou d'une homélie orale (voir </w:t>
      </w:r>
      <w:hyperlink r:id="rId2449">
        <w:r>
          <w:rPr>
            <w:color w:val="0000EE"/>
            <w:u w:val="single"/>
          </w:rPr>
          <w:t>Ac 13.15</w:t>
        </w:r>
      </w:hyperlink>
      <w:r>
        <w:t>). Néanmoins, sa conclusion est celle d'une lettre conventionnelle (</w:t>
      </w:r>
      <w:hyperlink r:id="rId6252">
        <w:r>
          <w:rPr>
            <w:color w:val="0000EE"/>
            <w:u w:val="single"/>
          </w:rPr>
          <w:t>Hé 13.22–25</w:t>
        </w:r>
      </w:hyperlink>
      <w:r>
        <w:t xml:space="preserve">). Certains ont détecté une transition progressive dans le document, passant d'un essai à une forme plus spécifiquement épistolaire (voir </w:t>
      </w:r>
      <w:hyperlink r:id="rId6253">
        <w:r>
          <w:rPr>
            <w:color w:val="0000EE"/>
            <w:u w:val="single"/>
          </w:rPr>
          <w:t>2.1</w:t>
        </w:r>
      </w:hyperlink>
      <w:r>
        <w:t xml:space="preserve"> ; </w:t>
      </w:r>
      <w:hyperlink r:id="rId6254">
        <w:r>
          <w:rPr>
            <w:color w:val="0000EE"/>
            <w:u w:val="single"/>
          </w:rPr>
          <w:t>4.1</w:t>
        </w:r>
      </w:hyperlink>
      <w:r>
        <w:t xml:space="preserve"> ; </w:t>
      </w:r>
      <w:hyperlink r:id="rId6252">
        <w:r>
          <w:rPr>
            <w:color w:val="0000EE"/>
            <w:u w:val="single"/>
          </w:rPr>
          <w:t>13.22–25</w:t>
        </w:r>
      </w:hyperlink>
      <w:r>
        <w:t>). Les données suggèrent donc que l'auteur a pu transformer la « parole d'exhortation » homilétique originale en forme épistolaire lorsque le besoin de communiquer par écrit avec ses amis chrétiens est devenu urgent.</w:t>
      </w:r>
    </w:p>
    <w:p>
      <w:r/>
      <w:r>
        <w:t>Survol</w:t>
      </w:r>
    </w:p>
    <w:p>
      <w:r/>
      <w:r>
        <w:t xml:space="preserve">• </w:t>
      </w:r>
      <w:r>
        <w:rPr>
          <w:b/>
          <w:u w:val="single"/>
        </w:rPr>
        <w:t>Auteur</w:t>
      </w:r>
    </w:p>
    <w:p>
      <w:r/>
      <w:r>
        <w:t xml:space="preserve">• </w:t>
      </w:r>
      <w:r>
        <w:rPr>
          <w:b/>
          <w:u w:val="single"/>
        </w:rPr>
        <w:t>Contexte</w:t>
      </w:r>
    </w:p>
    <w:p>
      <w:r/>
      <w:r>
        <w:t xml:space="preserve">• </w:t>
      </w:r>
      <w:r>
        <w:rPr>
          <w:b/>
          <w:u w:val="single"/>
        </w:rPr>
        <w:t>Date</w:t>
      </w:r>
    </w:p>
    <w:p>
      <w:r/>
      <w:r>
        <w:t xml:space="preserve">• </w:t>
      </w:r>
      <w:r>
        <w:rPr>
          <w:b/>
          <w:u w:val="single"/>
        </w:rPr>
        <w:t>Origine et destination</w:t>
      </w:r>
    </w:p>
    <w:p>
      <w:r/>
      <w:r>
        <w:t xml:space="preserve">• </w:t>
      </w:r>
      <w:r>
        <w:rPr>
          <w:b/>
          <w:u w:val="single"/>
        </w:rPr>
        <w:t>Objectif</w:t>
      </w:r>
    </w:p>
    <w:p>
      <w:r/>
      <w:r>
        <w:t xml:space="preserve">• </w:t>
      </w:r>
      <w:r>
        <w:rPr>
          <w:b/>
          <w:u w:val="single"/>
        </w:rPr>
        <w:t>Contenu</w:t>
      </w:r>
    </w:p>
    <w:p>
      <w:pPr>
        <w:pStyle w:val="Heading3"/>
      </w:pPr>
      <w:r>
        <w:t>Auteur</w:t>
      </w:r>
    </w:p>
    <w:p>
      <w:r/>
      <w:r>
        <w:t>L'auteur du livre n'est pas directement mentionné dans la lettre. Depuis la fin du IIe siècle, diverses autorités ont associé le document à l'apôtre Paul. Clément d'Alexandrie (mort en 220) a théorisé que Paul avait écrit la lettre en hébreu pour les Juifs et que Luc l'avait traduite en grec. Cependant, cette suggestion n'a pas été largement acceptée par les experts modernes. Le disciple de Clément, Origène (mort en 254), a déclaré de manière plus générale que les idées de la lettre sont pauliniennes, mais que le style diffère de celui des écrits connus de l'apôtre. D'autres autorités anciennes, telles que Jérôme (mort en 419) et Augustin (mort en 430), convaincues que la canonicité exigeait une paternité apostolique, ont également affirmé que Paul était l'auteur.</w:t>
      </w:r>
    </w:p>
    <w:p>
      <w:r/>
      <w:r>
        <w:t xml:space="preserve">Cependant, plusieurs facteurs s'opposent à l'attribution de l'épître aux Hébreux à Paul. L'anonymat de la lettre contredit le schéma habituel de l'introduction de Paul dans la salutation d'ouverture de ses lettres. De plus, </w:t>
      </w:r>
      <w:hyperlink r:id="rId5035">
        <w:r>
          <w:rPr>
            <w:color w:val="0000EE"/>
            <w:u w:val="single"/>
          </w:rPr>
          <w:t>Hébreux 2.3</w:t>
        </w:r>
      </w:hyperlink>
      <w:r>
        <w:t xml:space="preserve"> indique que l'auteur a été formé par des témoins oculaires du Seigneur. Paul de son côté insiste sur le fait que sa connaissance de Christ provient d'une rencontre directe avec le Christ ressuscité (voir </w:t>
      </w:r>
      <w:hyperlink r:id="rId1065">
        <w:r>
          <w:rPr>
            <w:color w:val="0000EE"/>
            <w:u w:val="single"/>
          </w:rPr>
          <w:t>Ga 1.12</w:t>
        </w:r>
      </w:hyperlink>
      <w:r>
        <w:t>). F. F. Bruce évalue l'attribution de l'épître aux Hébreux ainsi : « Nous pouvons dire avec certitude que la pensée de l'épître n'est pas celle de Paul, le langage n'est pas celui de Paul, et la technique des citations de l'Ancien Testament (AT) n'est pas celle de Paul. »</w:t>
      </w:r>
    </w:p>
    <w:p>
      <w:r/>
      <w:r>
        <w:t xml:space="preserve">La tradition chrétienne primitive suggère que Barnabas pourrait avoir écrit la lettre aux Hébreux. Selon Tertullien (mort en 220), de nombreuses autorités anciennes croyaient que Barnabas était responsable de la lettre. </w:t>
      </w:r>
      <w:hyperlink r:id="rId2651">
        <w:r>
          <w:rPr>
            <w:color w:val="0000EE"/>
            <w:u w:val="single"/>
          </w:rPr>
          <w:t>Actes 4.36</w:t>
        </w:r>
      </w:hyperlink>
      <w:r>
        <w:t xml:space="preserve"> parle de lui comme d'un « fils d'exhortation » (voir </w:t>
      </w:r>
      <w:hyperlink r:id="rId6251">
        <w:r>
          <w:rPr>
            <w:color w:val="0000EE"/>
            <w:u w:val="single"/>
          </w:rPr>
          <w:t>Hé 13.22</w:t>
        </w:r>
      </w:hyperlink>
      <w:r>
        <w:t>). De plus, en tant que Lévite, Barnabas aurait été familier avec le rituel sacrificiel juif si présent dans la lettre.</w:t>
      </w:r>
    </w:p>
    <w:p>
      <w:r/>
      <w:r>
        <w:t>Luther a été le premier à suggérer que l'épître aux Hébreux pourrait avoir été écrite par Apollos, « un homme excellent en savoir, qui avait été disciple des apôtres, avait beaucoup appris d'eux et était très versé dans les Écritures ». En tant que natif d'Alexandrie (</w:t>
      </w:r>
      <w:hyperlink r:id="rId530">
        <w:r>
          <w:rPr>
            <w:color w:val="0000EE"/>
            <w:u w:val="single"/>
          </w:rPr>
          <w:t>Ac 18.24</w:t>
        </w:r>
      </w:hyperlink>
      <w:r>
        <w:t>), Apollos aurait été familier avec l'interprétation typologique évidente dans Hébreux. Il est clair qu'Apollos était le genre d'homme qualifié pour écrire Hébreux.</w:t>
      </w:r>
    </w:p>
    <w:p>
      <w:r/>
      <w:r>
        <w:t>D'autres noms ont été suggérés comme auteurs possibles. Calvin a supposé que soit Luc, soit Clément de Rome serait responsable de la lettre. Il est noté que le grec de la lettre aux Hébreux ressemble à la langue et au style du troisième Évangile et des Actes. D'autres théorisent qu'Hébreux pourrait avoir été écrit par Silas, un chrétien juif de Jérusalem qui aurait été parfaitement familier avec le rituel lévitique. Silas est décrit comme l'un des dirigeants de l'Église (</w:t>
      </w:r>
      <w:hyperlink r:id="rId1698">
        <w:r>
          <w:rPr>
            <w:color w:val="0000EE"/>
            <w:u w:val="single"/>
          </w:rPr>
          <w:t>Ac 15.22</w:t>
        </w:r>
      </w:hyperlink>
      <w:r>
        <w:t>). Il était un collaborateur de Paul dans la mission auprès des Gentils, et semble avoir été connu à Rome ainsi qu'à Jérusalem (</w:t>
      </w:r>
      <w:hyperlink r:id="rId6255">
        <w:r>
          <w:rPr>
            <w:color w:val="0000EE"/>
            <w:u w:val="single"/>
          </w:rPr>
          <w:t>1P 5.12–13</w:t>
        </w:r>
      </w:hyperlink>
      <w:r>
        <w:t>).</w:t>
      </w:r>
    </w:p>
    <w:p>
      <w:r/>
      <w:r>
        <w:t>En conclusion, il est probable que l'auteur de l'épître aux Hébreux était un chrétien juif de la deuxième génération, un maître du grec classique dont la Bible était la Septante, familier avec la philosophie alexandrine du premier siècle, et un apologète créatif de la foi chrétienne. Quant à l'identité de cet auteur, nous ne pouvons affirmer rien de plus qu'Origène au IIIe siècle : Dieu seul le sait.</w:t>
      </w:r>
    </w:p>
    <w:p>
      <w:pPr>
        <w:pStyle w:val="Heading3"/>
      </w:pPr>
      <w:r>
        <w:t>Contexte</w:t>
      </w:r>
    </w:p>
    <w:p>
      <w:r/>
      <w:r>
        <w:t>Le tout premier titre de la lettre, « Aux Hébreux », suggère que le livre concerne les chrétiens juifs vivant dans la Dispersion. La lettre elle-même offre quelques indices sur les circonstances historiques entourant sa composition. Peu de temps après être devenus chrétiens, les lecteurs de la lettre ont été exposés à une persécution sévère (</w:t>
      </w:r>
      <w:hyperlink r:id="rId6256">
        <w:r>
          <w:rPr>
            <w:color w:val="0000EE"/>
            <w:u w:val="single"/>
          </w:rPr>
          <w:t>Hé 10.32–36</w:t>
        </w:r>
      </w:hyperlink>
      <w:r>
        <w:t>). Pendant leur épreuve, les nouveaux croyants ont enduré l'emprisonnement, la confiscation de biens personnels et le ridicule public. La persécution n'avait cependant pas été fatale ; ils n'avaient pas encore été appelés à donner leur vie en martyr (</w:t>
      </w:r>
      <w:hyperlink r:id="rId6257">
        <w:r>
          <w:rPr>
            <w:color w:val="0000EE"/>
            <w:u w:val="single"/>
          </w:rPr>
          <w:t>12.4</w:t>
        </w:r>
      </w:hyperlink>
      <w:r>
        <w:t>). Au milieu de l'enthousiasme de leur nouvelle foi en Christ, ils avaient démontré une préoccupation pratique et de l'amour en servant d'autres croyants dans le besoin (</w:t>
      </w:r>
      <w:hyperlink r:id="rId6258">
        <w:r>
          <w:rPr>
            <w:color w:val="0000EE"/>
            <w:u w:val="single"/>
          </w:rPr>
          <w:t>6.10</w:t>
        </w:r>
      </w:hyperlink>
      <w:r>
        <w:t>) et en réconfortant ceux qui avaient été accablés pour leur foi (</w:t>
      </w:r>
      <w:hyperlink r:id="rId6259">
        <w:r>
          <w:rPr>
            <w:color w:val="0000EE"/>
            <w:u w:val="single"/>
          </w:rPr>
          <w:t>10.34</w:t>
        </w:r>
      </w:hyperlink>
      <w:r>
        <w:t>).</w:t>
      </w:r>
    </w:p>
    <w:p>
      <w:r/>
      <w:r>
        <w:t>Mais depuis l'époque de ces premiers essais, les lecteurs avaient fait peu de progrès dans la maturité chrétienne (</w:t>
      </w:r>
      <w:hyperlink r:id="rId6260">
        <w:r>
          <w:rPr>
            <w:color w:val="0000EE"/>
            <w:u w:val="single"/>
          </w:rPr>
          <w:t>5.11–13</w:t>
        </w:r>
      </w:hyperlink>
      <w:r>
        <w:t>). De plus, face à une nouvelle vague de persécution et attristés par un retard apparent dans la venue du Seigneur, les croyants avaient commencé à vaciller et à perdre espoir. Ils menaçaient même de renoncer à Jésus-Christ et de revenir à la sécurité de la religion juive qui bénéficiait de la protection de la loi romaine.</w:t>
      </w:r>
    </w:p>
    <w:p>
      <w:r/>
      <w:r>
        <w:t>Ainsi, nous lisons qu'en raison des enseignements étranges et nouveaux de certains judaïsants qui cherchaient à les ramener à leur ancienne religion (</w:t>
      </w:r>
      <w:hyperlink r:id="rId2843">
        <w:r>
          <w:rPr>
            <w:color w:val="0000EE"/>
            <w:u w:val="single"/>
          </w:rPr>
          <w:t>13.9</w:t>
        </w:r>
      </w:hyperlink>
      <w:r>
        <w:t>), les croyants hésitants avaient négligé de se rassembler (</w:t>
      </w:r>
      <w:hyperlink r:id="rId6261">
        <w:r>
          <w:rPr>
            <w:color w:val="0000EE"/>
            <w:u w:val="single"/>
          </w:rPr>
          <w:t>10.25</w:t>
        </w:r>
      </w:hyperlink>
      <w:r>
        <w:t>) et avaient perdu confiance en leurs dirigeants spirituels (</w:t>
      </w:r>
      <w:hyperlink r:id="rId6262">
        <w:r>
          <w:rPr>
            <w:color w:val="0000EE"/>
            <w:u w:val="single"/>
          </w:rPr>
          <w:t>13.17</w:t>
        </w:r>
      </w:hyperlink>
      <w:r>
        <w:t>). Face à la possibilité que ces chrétiens juifs abandonnent complètement leur foi, l'auteur les avertit sévèrement des conséquences tragiques de renoncer au Fils (</w:t>
      </w:r>
      <w:hyperlink r:id="rId6263">
        <w:r>
          <w:rPr>
            <w:color w:val="0000EE"/>
            <w:u w:val="single"/>
          </w:rPr>
          <w:t>6.4–6</w:t>
        </w:r>
      </w:hyperlink>
      <w:r>
        <w:t xml:space="preserve"> ; </w:t>
      </w:r>
      <w:hyperlink r:id="rId6264">
        <w:r>
          <w:rPr>
            <w:color w:val="0000EE"/>
            <w:u w:val="single"/>
          </w:rPr>
          <w:t>10.26–31</w:t>
        </w:r>
      </w:hyperlink>
      <w:r>
        <w:t xml:space="preserve"> ; </w:t>
      </w:r>
      <w:hyperlink r:id="rId6265">
        <w:r>
          <w:rPr>
            <w:color w:val="0000EE"/>
            <w:u w:val="single"/>
          </w:rPr>
          <w:t>13.12–19</w:t>
        </w:r>
      </w:hyperlink>
      <w:r>
        <w:t>) et les exhorte à renouveler leur engagement envers Christ, la révélation suprême et ultime de Dieu.</w:t>
      </w:r>
    </w:p>
    <w:p>
      <w:pPr>
        <w:pStyle w:val="Heading3"/>
      </w:pPr>
      <w:r>
        <w:t>Date</w:t>
      </w:r>
    </w:p>
    <w:p>
      <w:r/>
      <w:r>
        <w:t>En l'absence d'informations précises sur l'auteur et les destinataires de la lettre, aucune certitude n'existe quant à la date de rédaction. Nous avons noté que l'auteur de l'épître aux Hébreux, et probablement ses lecteurs également, avaient été formés par ceux qui avaient connu Jésus personnellement (</w:t>
      </w:r>
      <w:hyperlink r:id="rId5035">
        <w:r>
          <w:rPr>
            <w:color w:val="0000EE"/>
            <w:u w:val="single"/>
          </w:rPr>
          <w:t>2.3</w:t>
        </w:r>
      </w:hyperlink>
      <w:r>
        <w:t>). D'autres indices dans la lettre suggèrent que Paul n'était sans doute plus en vie. Timothée, le jeune associé de Paul, était quant à lui encore vivant (</w:t>
      </w:r>
      <w:hyperlink r:id="rId6266">
        <w:r>
          <w:rPr>
            <w:color w:val="0000EE"/>
            <w:u w:val="single"/>
          </w:rPr>
          <w:t>13.23</w:t>
        </w:r>
      </w:hyperlink>
      <w:r>
        <w:t>).</w:t>
      </w:r>
    </w:p>
    <w:p>
      <w:r/>
      <w:r>
        <w:t xml:space="preserve">L'absence de toute mention dans Hébreux de la destruction du temple de Jérusalem est significative pour dater la lettre. L'argument selon lequel l'ancienne alliance avait disparu et le sacerdoce légal avait été supplanté aurait presque certainement conduit l'auteur à mentionner directement la destruction du temple s'il avait écrit la lettre après l'an 70. </w:t>
      </w:r>
      <w:hyperlink r:id="rId6267">
        <w:r>
          <w:rPr>
            <w:color w:val="0000EE"/>
            <w:u w:val="single"/>
          </w:rPr>
          <w:t>Hébreux 9.6–10</w:t>
        </w:r>
      </w:hyperlink>
      <w:r>
        <w:t xml:space="preserve"> et </w:t>
      </w:r>
      <w:hyperlink r:id="rId6268">
        <w:r>
          <w:rPr>
            <w:color w:val="0000EE"/>
            <w:u w:val="single"/>
          </w:rPr>
          <w:t>10.1–4, 11–14</w:t>
        </w:r>
      </w:hyperlink>
      <w:r>
        <w:t xml:space="preserve"> suggèrent clairement que les sacrifices juifs étaient encore offerts. Par conséquent, on peut supposer avec un certain degré de certitude que la lettre a été écrite avant l'an 70. Si elle a été écrite après la mort de Paul, cela la placerait après l'an 67, la date traditionnelle de l'exécution de l'apôtre. Ainsi, Hébreux pourrait avoir été écrit dans la période entre l'an 67 et 70.</w:t>
      </w:r>
    </w:p>
    <w:p>
      <w:pPr>
        <w:pStyle w:val="Heading3"/>
      </w:pPr>
      <w:r>
        <w:t>Origine et destination</w:t>
      </w:r>
    </w:p>
    <w:p>
      <w:r/>
      <w:r>
        <w:t xml:space="preserve">Le lieu d'où l'épître aux Hébreux a été écrite est également incertain. Certains manuscrits de la lettre portent la souscription « écrite depuis Rome » ou « écrite depuis l'Italie ». De telles annotations sont des déductions éclairées tirées de l'énoncé « </w:t>
      </w:r>
      <w:r>
        <w:t>Ceux d’Italie vous saluent</w:t>
      </w:r>
      <w:r>
        <w:t xml:space="preserve"> » (</w:t>
      </w:r>
      <w:hyperlink r:id="rId6269">
        <w:r>
          <w:rPr>
            <w:color w:val="0000EE"/>
            <w:u w:val="single"/>
          </w:rPr>
          <w:t>13.24</w:t>
        </w:r>
      </w:hyperlink>
      <w:r>
        <w:t>). Cela indique très probablement que l'auteur transmet des salutations à une Église en Italie de la part de chrétiens italiens avec qui il est en lien dans un autre pays, possiblement en Asie. Néanmoins, nous ne pouvons pas déterminer le lieu d'origine avec certitude.</w:t>
      </w:r>
    </w:p>
    <w:p>
      <w:r/>
      <w:r>
        <w:t>Il a été suggéré que la lettre a été écrite à un groupe de Juifs convertis au christianisme. Cependant, la communauté précise à laquelle elle a été envoyée fait l'objet de débats. Les opinions varient de la Judée à l'Espagne. La tradition veut qu'Hébreux ait été adressé aux chrétiens juifs vivant en Palestine. Cependant, pour aller à l'encontre de la thèse d'une destination palestinienne, on peut argumenter : 1° que les lecteurs n'avaient pas eu de contact personnel avec Jésus (</w:t>
      </w:r>
      <w:hyperlink r:id="rId5035">
        <w:r>
          <w:rPr>
            <w:color w:val="0000EE"/>
            <w:u w:val="single"/>
          </w:rPr>
          <w:t>2.3</w:t>
        </w:r>
      </w:hyperlink>
      <w:r>
        <w:t xml:space="preserve">), un événement peu probable pour les résidents de Palestine du milieu du premier siècle ; 2° que l'affirmation dans </w:t>
      </w:r>
      <w:hyperlink r:id="rId6257">
        <w:r>
          <w:rPr>
            <w:color w:val="0000EE"/>
            <w:u w:val="single"/>
          </w:rPr>
          <w:t>12.4</w:t>
        </w:r>
      </w:hyperlink>
      <w:r>
        <w:t xml:space="preserve"> selon laquelle ses lecteurs n'avaient pas encore donné leur vie ne pouvait guère être dite des chrétiens palestiniens de l'époque ; 3° que la générosité des croyants (</w:t>
      </w:r>
      <w:hyperlink r:id="rId6259">
        <w:r>
          <w:rPr>
            <w:color w:val="0000EE"/>
            <w:u w:val="single"/>
          </w:rPr>
          <w:t>10.34</w:t>
        </w:r>
      </w:hyperlink>
      <w:r>
        <w:t xml:space="preserve"> ; </w:t>
      </w:r>
      <w:hyperlink r:id="rId6270">
        <w:r>
          <w:rPr>
            <w:color w:val="0000EE"/>
            <w:u w:val="single"/>
          </w:rPr>
          <w:t>13.16</w:t>
        </w:r>
      </w:hyperlink>
      <w:r>
        <w:t>) était incompatible avec la pauvreté de l'Église de Jérusalem ; et 4° que le ton général de la lettre est hellénistique plutôt que rabbinique.</w:t>
      </w:r>
    </w:p>
    <w:p>
      <w:r/>
      <w:r>
        <w:t>D'autres propositions pour la destination des Hébreux incluent : 1° Césarée, en supposant une paternité lucanienne ; 2° Antioche de Syrie ou Chypre, en supposant que Barnabas ait écrit la lettre ; 3° Éphèse, à la lumière de la conversion de nombreux Juifs pendant le ministère de Paul dans cette ville ; 4° Colosse, en notant certaines similitudes entre l'hérésie colossienne et les fausses croyances des « Hébreux » ; et 5° Alexandrie, en raison de l'influence apparente du philosophe Philon d'Alexandrie dans la lettre.</w:t>
      </w:r>
    </w:p>
    <w:p>
      <w:r/>
      <w:r>
        <w:t xml:space="preserve">La thèse selon laquelle l'épître aux Hébreux était destinée à un groupe de chrétiens juifs à Rome a trouvé faveur auprès de plusieurs chercheurs. Les arguments en faveur d'une destination romaine incluent les faits suivants : 1° La lettre était connue à Rome au plus tard en 96 apr. J.‑C. 2° </w:t>
      </w:r>
      <w:hyperlink r:id="rId6271">
        <w:r>
          <w:rPr>
            <w:color w:val="0000EE"/>
            <w:u w:val="single"/>
          </w:rPr>
          <w:t>Romains 11.13, 18</w:t>
        </w:r>
      </w:hyperlink>
      <w:r>
        <w:t xml:space="preserve"> suggère que l'Église de Rome était composée d'une minorité judéo-chrétienne. 3° Les références à la persécution et aux souffrances endurées par les lecteurs (</w:t>
      </w:r>
      <w:hyperlink r:id="rId6272">
        <w:r>
          <w:rPr>
            <w:color w:val="0000EE"/>
            <w:u w:val="single"/>
          </w:rPr>
          <w:t>Hé 10.32–33</w:t>
        </w:r>
      </w:hyperlink>
      <w:r>
        <w:t xml:space="preserve">; </w:t>
      </w:r>
      <w:hyperlink r:id="rId6257">
        <w:r>
          <w:rPr>
            <w:color w:val="0000EE"/>
            <w:u w:val="single"/>
          </w:rPr>
          <w:t>12.4</w:t>
        </w:r>
      </w:hyperlink>
      <w:r>
        <w:t>) sont cohérentes avec les mesures répressives connues imposées par les autorités romaines. 4° Il est fort probable que des saints « d'Italie » transmettraient leurs salutations à leurs frères à Rome. 5° La communauté juive à Rome a préservé certaines caractéristiques du judaïsme non-conformiste ou sectaire qui expliqueraient plusieurs similitudes notables entre la théologie et la pratique de la communauté de Qumran et celles exprimées dans l'épître aux Hébreux.</w:t>
      </w:r>
    </w:p>
    <w:p>
      <w:r/>
      <w:r>
        <w:t xml:space="preserve">Il est probable que la lettre était adressée à un petit sous-groupe au sein d'une Église locale. L'exhortation dans </w:t>
      </w:r>
      <w:hyperlink r:id="rId2924">
        <w:r>
          <w:rPr>
            <w:color w:val="0000EE"/>
            <w:u w:val="single"/>
          </w:rPr>
          <w:t>5.12</w:t>
        </w:r>
      </w:hyperlink>
      <w:r>
        <w:t xml:space="preserve">, « </w:t>
      </w:r>
      <w:r>
        <w:t>depuis longtemps devriez être des maîtres</w:t>
      </w:r>
      <w:r>
        <w:t xml:space="preserve"> », aurait difficilement été pertinente pour une assemblée entière. </w:t>
      </w:r>
      <w:hyperlink r:id="rId6273">
        <w:r>
          <w:rPr>
            <w:color w:val="0000EE"/>
            <w:u w:val="single"/>
          </w:rPr>
          <w:t>Hébreux 13.7, 24</w:t>
        </w:r>
      </w:hyperlink>
      <w:r>
        <w:t xml:space="preserve"> soutient davantage la théorie selon laquelle la lettre a été envoyée à un petit groupe, peut-être à une « Église de maison » au sein d'une assemblée plus large.</w:t>
      </w:r>
    </w:p>
    <w:p>
      <w:r/>
      <w:r>
        <w:t>On pourrait conclure provisoirement que les destinataires étaient des convertis du judaïsme qui vivaient dans la Dispersion. Ainsi, ils étaient familiers avec le judaïsme de l'AT et connaissaient la philosophie religieuse du monde grec. Il est possible que les lecteurs faisaient partie d'une communauté de maison qui avait tendance à se dissocier du groupe parent (</w:t>
      </w:r>
      <w:hyperlink r:id="rId6261">
        <w:r>
          <w:rPr>
            <w:color w:val="0000EE"/>
            <w:u w:val="single"/>
          </w:rPr>
          <w:t>10.25</w:t>
        </w:r>
      </w:hyperlink>
      <w:r>
        <w:t xml:space="preserve">). L'existence de telles Églises de maison à Rome est confirmée par </w:t>
      </w:r>
      <w:hyperlink r:id="rId6274">
        <w:r>
          <w:rPr>
            <w:color w:val="0000EE"/>
            <w:u w:val="single"/>
          </w:rPr>
          <w:t>Romains 16.5, 14–15</w:t>
        </w:r>
      </w:hyperlink>
      <w:r>
        <w:t>.</w:t>
      </w:r>
    </w:p>
    <w:p>
      <w:pPr>
        <w:pStyle w:val="Heading3"/>
      </w:pPr>
      <w:r>
        <w:t>Objectif</w:t>
      </w:r>
    </w:p>
    <w:p>
      <w:r/>
      <w:r>
        <w:t>En réponse à la menace que ses amis judéo-chrétiens puissent renoncer au christianisme et revenir au judaïsme, l'auteur, par ses « paroles d'exhortation » (</w:t>
      </w:r>
      <w:hyperlink r:id="rId6251">
        <w:r>
          <w:rPr>
            <w:color w:val="0000EE"/>
            <w:u w:val="single"/>
          </w:rPr>
          <w:t>13.22</w:t>
        </w:r>
      </w:hyperlink>
      <w:r>
        <w:t xml:space="preserve">), leur a communiqué le caractère définitif de la révélation chrétienne. Il a également cherché à informer ses lecteurs découragés et hésitants que Christ, l'objet de la révélation finale de Dieu, est infiniment supérieur aux plus grands héros du judaïsme. L'auteur a en outre affirmé le caractère céleste et éternel du salut assuré par Christ. Alors que le système sacrificiel légal était impuissant pour effectuer la rémission des péchés, Christ, le souverain sacrificateur éternel, « </w:t>
      </w:r>
      <w:r>
        <w:t>peut sauver parfaitement ceux qui s’approchent de Dieu par lui</w:t>
      </w:r>
      <w:r>
        <w:t xml:space="preserve"> » (</w:t>
      </w:r>
      <w:hyperlink r:id="rId2694">
        <w:r>
          <w:rPr>
            <w:color w:val="0000EE"/>
            <w:u w:val="single"/>
          </w:rPr>
          <w:t>7.25</w:t>
        </w:r>
      </w:hyperlink>
      <w:r>
        <w:t>).</w:t>
      </w:r>
    </w:p>
    <w:p>
      <w:r/>
      <w:r>
        <w:t xml:space="preserve">En résumé, l'auteur a conseillé à ses lecteurs de faire preuve d'une endurance patiente face à la persécution et aux souffrances auxquelles les héritiers du salut éternel sont inévitablement confrontés. Tout comme Jésus (le précurseur de notre foi) a souffert et enduré patiemment en attendant la récompense éternelle, de même les croyants harassés et opprimés sont exhortés de la sorte : « </w:t>
      </w:r>
      <w:r>
        <w:t>Fortifiez donc vos mains languissantes et vos genoux affaiblis</w:t>
      </w:r>
      <w:r>
        <w:t xml:space="preserve"> » (</w:t>
      </w:r>
      <w:hyperlink r:id="rId6275">
        <w:r>
          <w:rPr>
            <w:color w:val="0000EE"/>
            <w:u w:val="single"/>
          </w:rPr>
          <w:t>12.12</w:t>
        </w:r>
      </w:hyperlink>
      <w:r>
        <w:t xml:space="preserve">) en prévision de leur accueil dans ce « </w:t>
      </w:r>
      <w:r>
        <w:t>royaume inébranlable</w:t>
      </w:r>
      <w:r>
        <w:t xml:space="preserve"> » (</w:t>
      </w:r>
      <w:hyperlink r:id="rId6276">
        <w:r>
          <w:rPr>
            <w:color w:val="0000EE"/>
            <w:u w:val="single"/>
          </w:rPr>
          <w:t>12.28</w:t>
        </w:r>
      </w:hyperlink>
      <w:r>
        <w:t>).</w:t>
      </w:r>
    </w:p>
    <w:p>
      <w:r/>
      <w:r>
        <w:t xml:space="preserve">L'objectif ultime de l'auteur en écrivant cette lettre était de proclamer le jugement redoutable qui attend ceux qui rejettent Jésus-Christ. Puisque « </w:t>
      </w:r>
      <w:r>
        <w:t>notre Dieu est [...] un feu dévorant</w:t>
      </w:r>
      <w:r>
        <w:t xml:space="preserve"> » (</w:t>
      </w:r>
      <w:hyperlink r:id="rId6277">
        <w:r>
          <w:rPr>
            <w:color w:val="0000EE"/>
            <w:u w:val="single"/>
          </w:rPr>
          <w:t>12.29</w:t>
        </w:r>
      </w:hyperlink>
      <w:r>
        <w:t xml:space="preserve">), « </w:t>
      </w:r>
      <w:r>
        <w:t>comment échapperons-nous en négligeant un si grand salut</w:t>
      </w:r>
      <w:r>
        <w:t xml:space="preserve"> » (</w:t>
      </w:r>
      <w:hyperlink r:id="rId5035">
        <w:r>
          <w:rPr>
            <w:color w:val="0000EE"/>
            <w:u w:val="single"/>
          </w:rPr>
          <w:t>2.3</w:t>
        </w:r>
      </w:hyperlink>
      <w:r>
        <w:t>) ?</w:t>
      </w:r>
    </w:p>
    <w:p>
      <w:pPr>
        <w:pStyle w:val="Heading3"/>
      </w:pPr>
      <w:r>
        <w:t>Contenu</w:t>
      </w:r>
    </w:p>
    <w:p>
      <w:r/>
      <w:r>
        <w:t>Avec la lettre aux Romains, Hébreux est le livre le plus doctrinal du NT. L'auteur développe une série d'arguments solides pour démontrer la supériorité de l'Évangile de Christ sur le judaïsme. Puisque Jésus est suprême à la fois en ce qui concerne sa personne et son œuvre, le christianisme est la foi ultime et normative. Le particularisme du livre va à l'encontre de l'esprit du monde moderne.</w:t>
      </w:r>
    </w:p>
    <w:p>
      <w:pPr>
        <w:pStyle w:val="Heading4"/>
      </w:pPr>
      <w:r>
        <w:t>La Supériorité du Fils par rapport à la révélation antérieure (</w:t>
      </w:r>
      <w:hyperlink r:id="rId6278">
        <w:r>
          <w:rPr>
            <w:color w:val="0000EE"/>
            <w:u w:val="single"/>
          </w:rPr>
          <w:t>1.1–4</w:t>
        </w:r>
      </w:hyperlink>
      <w:r>
        <w:t>)</w:t>
      </w:r>
    </w:p>
    <w:p>
      <w:r/>
      <w:r>
        <w:t xml:space="preserve">L'auteur reconnaît que Dieu s'est révélé aux prophètes d'autrefois de nombreuses manières : par des rêves, des visions, sa parole audible et des actes puissants. Mais « </w:t>
      </w:r>
      <w:r>
        <w:t>dans ces derniers temps</w:t>
      </w:r>
      <w:r>
        <w:t xml:space="preserve"> » (l'avènement des temps de la fin, voir </w:t>
      </w:r>
      <w:hyperlink r:id="rId6279">
        <w:r>
          <w:rPr>
            <w:color w:val="0000EE"/>
            <w:u w:val="single"/>
          </w:rPr>
          <w:t>9.26</w:t>
        </w:r>
      </w:hyperlink>
      <w:r>
        <w:t>), Dieu a parlé de manière finale et définitive par son propre Fils (</w:t>
      </w:r>
      <w:hyperlink r:id="rId6280">
        <w:r>
          <w:rPr>
            <w:color w:val="0000EE"/>
            <w:u w:val="single"/>
          </w:rPr>
          <w:t>1.2</w:t>
        </w:r>
      </w:hyperlink>
      <w:r>
        <w:t>). Au cœur de l'argument se trouve le fait que, d'une manière ou d'une autre, les prophètes ont reçu une parole éternelle de Dieu. Cependant, étant donné la relation intime du Fils avec le Père, la dernière révélation de Dieu est venue des profondeurs mêmes de son propre être.</w:t>
      </w:r>
    </w:p>
    <w:p>
      <w:r/>
      <w:r>
        <w:t>Identifier le Fils comme le sommet de la révélation divine conduit à une déclaration concise mais profonde concernant la personne de Christ et son œuvre cosmique. Le Fils reflète la gloire de Dieu en ce que la somme des attributs divins brille magnifiquement à travers sa personne. De plus, il porte l'image et l'empreinte même de la nature de Dieu (</w:t>
      </w:r>
      <w:hyperlink r:id="rId1332">
        <w:r>
          <w:rPr>
            <w:color w:val="0000EE"/>
            <w:u w:val="single"/>
          </w:rPr>
          <w:t>1.3</w:t>
        </w:r>
      </w:hyperlink>
      <w:r>
        <w:t xml:space="preserve">), tout comme la cire porte l'empreinte du sceau. Jésus, en tant que mot final de la révélation de Dieu, est véritablement le Fils divin et éternel de Dieu. L'excellence de Christ est démontrée également par le fait qu'il est le puissant agent par lequel l'univers a été créé (v. </w:t>
      </w:r>
      <w:hyperlink r:id="rId6280">
        <w:r>
          <w:rPr>
            <w:color w:val="0000EE"/>
            <w:u w:val="single"/>
          </w:rPr>
          <w:t>2</w:t>
        </w:r>
      </w:hyperlink>
      <w:r>
        <w:t xml:space="preserve">) et par lequel l'ordre cosmique est soutenu (v. </w:t>
      </w:r>
      <w:hyperlink r:id="rId1332">
        <w:r>
          <w:rPr>
            <w:color w:val="0000EE"/>
            <w:u w:val="single"/>
          </w:rPr>
          <w:t>3</w:t>
        </w:r>
      </w:hyperlink>
      <w:r>
        <w:t xml:space="preserve">). Dans le domaine moral, il a accompli la purification des péchés et est désormais assis sur le trône à la droite de Dieu (voir </w:t>
      </w:r>
      <w:hyperlink r:id="rId6281">
        <w:r>
          <w:rPr>
            <w:color w:val="0000EE"/>
            <w:u w:val="single"/>
          </w:rPr>
          <w:t>8.1</w:t>
        </w:r>
      </w:hyperlink>
      <w:r>
        <w:t>). Le plaisir de Dieu envers le Fils se voit dans le fait qu'il a nommé Christ héritier et chef de toutes choses (</w:t>
      </w:r>
      <w:hyperlink r:id="rId6280">
        <w:r>
          <w:rPr>
            <w:color w:val="0000EE"/>
            <w:u w:val="single"/>
          </w:rPr>
          <w:t>1.2</w:t>
        </w:r>
      </w:hyperlink>
      <w:r>
        <w:t xml:space="preserve">). Son nom n'est surpassé par aucun, sauf Dieu le Père (v. </w:t>
      </w:r>
      <w:hyperlink r:id="rId6282">
        <w:r>
          <w:rPr>
            <w:color w:val="0000EE"/>
            <w:u w:val="single"/>
          </w:rPr>
          <w:t>4</w:t>
        </w:r>
      </w:hyperlink>
      <w:r>
        <w:t>).</w:t>
      </w:r>
    </w:p>
    <w:p>
      <w:pPr>
        <w:pStyle w:val="Heading4"/>
      </w:pPr>
      <w:r>
        <w:t>La Supériorité du Fils sur les anges (</w:t>
      </w:r>
      <w:hyperlink r:id="rId6283">
        <w:r>
          <w:rPr>
            <w:color w:val="0000EE"/>
            <w:u w:val="single"/>
          </w:rPr>
          <w:t>1.5–2.18</w:t>
        </w:r>
      </w:hyperlink>
      <w:r>
        <w:t>)</w:t>
      </w:r>
    </w:p>
    <w:p>
      <w:r/>
      <w:r>
        <w:t>Dans le judaïsme biblique et postbiblique, les anges jouissaient d'un statut élevé. Traditionnellement, les Juifs croyaient que les anges louaient Dieu sur son trône, transmettaient la révélation divine aux hommes, exécutaient la volonté de Dieu et apportaient du secours au peuple de Dieu. Les anges surpassaient largement les hommes en puissance et en connaissance. Selon les écrits apocryphes juifs, les anges régnaient sur les étoiles et étaient responsables de l'ascension et de la chute des civilisations. Dans la pensée de Qumran, les êtres angéliques devaient s'engager dans une lutte cosmique finale avec Bélial et les forces du mal à la fin des temps.</w:t>
      </w:r>
    </w:p>
    <w:p>
      <w:r/>
      <w:r>
        <w:t xml:space="preserve">Dans ce contexte, l'auteur de l'épître aux Hébreux affirme que le Fils est infiniment supérieur aux anges. Pour étayer son point de vue, l'auteur rassemble une série de textes bien connus de l'AT et les applique directement au Fils. Dieu n'a jamais dit d'un ange : « </w:t>
      </w:r>
      <w:r>
        <w:t>aujourd’hui, je fais de toi mon enfant</w:t>
      </w:r>
      <w:r>
        <w:t xml:space="preserve"> » (</w:t>
      </w:r>
      <w:hyperlink r:id="rId979">
        <w:r>
          <w:rPr>
            <w:color w:val="0000EE"/>
            <w:u w:val="single"/>
          </w:rPr>
          <w:t>Ps 2.7</w:t>
        </w:r>
      </w:hyperlink>
      <w:r>
        <w:t>, BDS). Pourtant, une telle affirmation a été faite au sujet du Fils (</w:t>
      </w:r>
      <w:hyperlink r:id="rId6284">
        <w:r>
          <w:rPr>
            <w:color w:val="0000EE"/>
            <w:u w:val="single"/>
          </w:rPr>
          <w:t>Hé 1.5</w:t>
        </w:r>
      </w:hyperlink>
      <w:r>
        <w:t xml:space="preserve">). Lorsque le Fils s'est incarné dans le monde, il a reçu l'adoration obéissante des anges (v. </w:t>
      </w:r>
      <w:hyperlink r:id="rId6285">
        <w:r>
          <w:rPr>
            <w:color w:val="0000EE"/>
            <w:u w:val="single"/>
          </w:rPr>
          <w:t>6</w:t>
        </w:r>
      </w:hyperlink>
      <w:r>
        <w:t xml:space="preserve">). Il possède la souveraineté, l'éternité et la majesté à la droite de Dieu (v. </w:t>
      </w:r>
      <w:hyperlink r:id="rId6286">
        <w:r>
          <w:rPr>
            <w:color w:val="0000EE"/>
            <w:u w:val="single"/>
          </w:rPr>
          <w:t>8, 11–12</w:t>
        </w:r>
      </w:hyperlink>
      <w:r>
        <w:t xml:space="preserve">). Les anges, de leur côté, ne sont que des « esprits au service » (v. </w:t>
      </w:r>
      <w:hyperlink r:id="rId6287">
        <w:r>
          <w:rPr>
            <w:color w:val="0000EE"/>
            <w:u w:val="single"/>
          </w:rPr>
          <w:t>14</w:t>
        </w:r>
      </w:hyperlink>
      <w:r>
        <w:t>) qui sont inférieurs au Fils en dignité et en puissance.</w:t>
      </w:r>
    </w:p>
    <w:p>
      <w:r/>
      <w:r>
        <w:t xml:space="preserve">Dans </w:t>
      </w:r>
      <w:hyperlink r:id="rId6288">
        <w:r>
          <w:rPr>
            <w:color w:val="0000EE"/>
            <w:u w:val="single"/>
          </w:rPr>
          <w:t>Hébreux 2.1–4</w:t>
        </w:r>
      </w:hyperlink>
      <w:r>
        <w:t>, l'auteur avertit sa congrégation hésitante, en passant, du danger de s'éloigner de la vérité de Dieu. Si la désobéissance à la loi médiée par les anges entraînait une punition sévère, combien plus sévère serait le jugement de Dieu sur ceux qui piétinent la révélation transmise par le Fils ? Si la grâce salvatrice de Dieu en Christ est négligée, la rétribution suivra sûrement (</w:t>
      </w:r>
      <w:hyperlink r:id="rId5035">
        <w:r>
          <w:rPr>
            <w:color w:val="0000EE"/>
            <w:u w:val="single"/>
          </w:rPr>
          <w:t>2.3</w:t>
        </w:r>
      </w:hyperlink>
      <w:r>
        <w:t>).</w:t>
      </w:r>
    </w:p>
    <w:p>
      <w:r/>
      <w:r>
        <w:t>La mention des anges oriente l'esprit de l'auteur vers l'humiliation et l'exaltation de Jésus (</w:t>
      </w:r>
      <w:hyperlink r:id="rId6289">
        <w:r>
          <w:rPr>
            <w:color w:val="0000EE"/>
            <w:u w:val="single"/>
          </w:rPr>
          <w:t>2.5–18</w:t>
        </w:r>
      </w:hyperlink>
      <w:r>
        <w:t xml:space="preserve">). </w:t>
      </w:r>
      <w:hyperlink r:id="rId2659">
        <w:r>
          <w:rPr>
            <w:color w:val="0000EE"/>
            <w:u w:val="single"/>
          </w:rPr>
          <w:t>Psaume 8</w:t>
        </w:r>
      </w:hyperlink>
      <w:r>
        <w:t xml:space="preserve">, un cantique concernant la petitesse et pourtant l'importance de l'homme, est appliqué à l'expérience de Jésus. En prenant chair humaine, Jésus est descendu « </w:t>
      </w:r>
      <w:r>
        <w:t>pour un peu de temps au-dessous des anges</w:t>
      </w:r>
      <w:r>
        <w:t xml:space="preserve"> » (</w:t>
      </w:r>
      <w:hyperlink r:id="rId6290">
        <w:r>
          <w:rPr>
            <w:color w:val="0000EE"/>
            <w:u w:val="single"/>
          </w:rPr>
          <w:t>Hé 2.7</w:t>
        </w:r>
      </w:hyperlink>
      <w:r>
        <w:t xml:space="preserve">). Mais après l'achèvement de son œuvre terrestre, il a été élevé au-dessus des anges et couronné de la gloire et de l'honneur des cieux (v. </w:t>
      </w:r>
      <w:hyperlink r:id="rId6291">
        <w:r>
          <w:rPr>
            <w:color w:val="0000EE"/>
            <w:u w:val="single"/>
          </w:rPr>
          <w:t>9</w:t>
        </w:r>
      </w:hyperlink>
      <w:r>
        <w:t xml:space="preserve">). Les implications théologiques de la descente et de l'ascension de Christ sont soigneusement expliquées : Christ est descendu sur terre 1° pour amener de nombreux enfants à la gloire (v. </w:t>
      </w:r>
      <w:hyperlink r:id="rId6292">
        <w:r>
          <w:rPr>
            <w:color w:val="0000EE"/>
            <w:u w:val="single"/>
          </w:rPr>
          <w:t>10</w:t>
        </w:r>
      </w:hyperlink>
      <w:r>
        <w:t xml:space="preserve">), 2° pour détruire le diable (v. </w:t>
      </w:r>
      <w:hyperlink r:id="rId5131">
        <w:r>
          <w:rPr>
            <w:color w:val="0000EE"/>
            <w:u w:val="single"/>
          </w:rPr>
          <w:t>14</w:t>
        </w:r>
      </w:hyperlink>
      <w:r>
        <w:t xml:space="preserve">), 3° pour délivrer son peuple de l'esclavage de la mort (v. </w:t>
      </w:r>
      <w:hyperlink r:id="rId6293">
        <w:r>
          <w:rPr>
            <w:color w:val="0000EE"/>
            <w:u w:val="single"/>
          </w:rPr>
          <w:t>15</w:t>
        </w:r>
      </w:hyperlink>
      <w:r>
        <w:t xml:space="preserve">), et 4° pour faire une offrande sur la croix pour les péchés du peuple (v. </w:t>
      </w:r>
      <w:hyperlink r:id="rId1352">
        <w:r>
          <w:rPr>
            <w:color w:val="0000EE"/>
            <w:u w:val="single"/>
          </w:rPr>
          <w:t>17</w:t>
        </w:r>
      </w:hyperlink>
      <w:r>
        <w:t xml:space="preserve">). Il est monté au ciel 1° pour intercéder en notre nom en tant que fidèle souverain sacrificateur (v. </w:t>
      </w:r>
      <w:hyperlink r:id="rId1352">
        <w:r>
          <w:rPr>
            <w:color w:val="0000EE"/>
            <w:u w:val="single"/>
          </w:rPr>
          <w:t>17</w:t>
        </w:r>
      </w:hyperlink>
      <w:r>
        <w:t xml:space="preserve">), et 2° pour secourir ceux qui sont durement tentés (v. </w:t>
      </w:r>
      <w:hyperlink r:id="rId6294">
        <w:r>
          <w:rPr>
            <w:color w:val="0000EE"/>
            <w:u w:val="single"/>
          </w:rPr>
          <w:t>18</w:t>
        </w:r>
      </w:hyperlink>
      <w:r>
        <w:t xml:space="preserve">). Le résumé parfait de la personne et de l'œuvre de Christ est donné dans </w:t>
      </w:r>
      <w:hyperlink r:id="rId6291">
        <w:r>
          <w:rPr>
            <w:color w:val="0000EE"/>
            <w:u w:val="single"/>
          </w:rPr>
          <w:t>Hébreux 2.9</w:t>
        </w:r>
      </w:hyperlink>
      <w:r>
        <w:t xml:space="preserve"> : « </w:t>
      </w:r>
      <w:r>
        <w:t>nous le voyons couronné de gloire et d’honneur à cause de la mort qu’il a soufferte, afin que, par la grâce de Dieu, il souffrît la mort pour tous.</w:t>
      </w:r>
      <w:r>
        <w:t xml:space="preserve"> »</w:t>
      </w:r>
    </w:p>
    <w:p>
      <w:pPr>
        <w:pStyle w:val="Heading4"/>
      </w:pPr>
      <w:r>
        <w:t>La Supériorité du Fils sur Moïse et Josué (</w:t>
      </w:r>
      <w:hyperlink r:id="rId6295">
        <w:r>
          <w:rPr>
            <w:color w:val="0000EE"/>
            <w:u w:val="single"/>
          </w:rPr>
          <w:t>3.1–4.13</w:t>
        </w:r>
      </w:hyperlink>
      <w:r>
        <w:t>)</w:t>
      </w:r>
    </w:p>
    <w:p>
      <w:r/>
      <w:r>
        <w:t>Les chrétiens juifs qui envisageaient un retour au judaïsme croyaient certainement que Moïse était l'une des plus grandes figures de l'histoire d'Israël. Celui qui a conduit Israël hors d'Égypte à travers le désert et qui leur a donné la Loi était tenu en si haute estime qu'il n'y avait personne dans l'histoire d'Israël qui soit honoré autant que Moïse. Pourtant, l'auteur de la lettre aux Hébreux soutient que Moïse, bien que fidèle à son appel, n'était qu'un serviteur dans la maison de Dieu. Jésus, en revanche, n'était pas un serviteur mais un Fils ; il n'était pas un simple habitant de la maison mais le véritable constructeur de la structure. Jésus, par conséquent, transcende de loin la figure vénérée de Moïse.</w:t>
      </w:r>
    </w:p>
    <w:p>
      <w:r/>
      <w:r>
        <w:t xml:space="preserve">Voici certaines des implications pratiques qui découlent de la supériorité de Jésus sur Moïse. En s'appuyant sur le </w:t>
      </w:r>
      <w:hyperlink r:id="rId6296">
        <w:r>
          <w:rPr>
            <w:color w:val="0000EE"/>
            <w:u w:val="single"/>
          </w:rPr>
          <w:t>Psaume 95.7–11</w:t>
        </w:r>
      </w:hyperlink>
      <w:r>
        <w:t>, l'auteur rappelle l'expérience tragique d'Israël sous Moïse pendant les errances dans le désert (</w:t>
      </w:r>
      <w:hyperlink r:id="rId6297">
        <w:r>
          <w:rPr>
            <w:color w:val="0000EE"/>
            <w:u w:val="single"/>
          </w:rPr>
          <w:t>Hé 3.7–19</w:t>
        </w:r>
      </w:hyperlink>
      <w:r>
        <w:t xml:space="preserve">). Tout au long des quarante années dans le désert, le peuple a endurci son cœur et s'est rebellé contre Dieu. En retour, Dieu a été provoqué par leur obstination et a juré que ceux qui ont péché n'entreraient jamais dans le repos qu'il allait fournir (v. </w:t>
      </w:r>
      <w:hyperlink r:id="rId6298">
        <w:r>
          <w:rPr>
            <w:color w:val="0000EE"/>
            <w:u w:val="single"/>
          </w:rPr>
          <w:t>10–11, 18</w:t>
        </w:r>
      </w:hyperlink>
      <w:r>
        <w:t xml:space="preserve">). L'auteur soutient donc que si la désobéissance à Dieu sous Moïse avait de graves conséquences, abandonner Christ sera bien plus périlleux. Ainsi, les chrétiens hésitants sont exhortés à veiller de peur qu'en raison d'un cœur mauvais et incrédule, ils ne s'éloignent du Dieu vivant (v. </w:t>
      </w:r>
      <w:hyperlink r:id="rId1349">
        <w:r>
          <w:rPr>
            <w:color w:val="0000EE"/>
            <w:u w:val="single"/>
          </w:rPr>
          <w:t>12</w:t>
        </w:r>
      </w:hyperlink>
      <w:r>
        <w:t xml:space="preserve">). Rien de moins qu'une persistance inébranlable ne permettra d'atteindre l'objectif céleste (v. </w:t>
      </w:r>
      <w:hyperlink r:id="rId6299">
        <w:r>
          <w:rPr>
            <w:color w:val="0000EE"/>
            <w:u w:val="single"/>
          </w:rPr>
          <w:t>14</w:t>
        </w:r>
      </w:hyperlink>
      <w:r>
        <w:t>).</w:t>
      </w:r>
    </w:p>
    <w:p>
      <w:r/>
      <w:r>
        <w:t>Josué était également considéré comme un grand leader d'Israël. Cependant, en raison de la désobéissance, le peuple sous la direction de Josué n'a pas réussi à entrer dans le repos que Dieu avait prévu. Ce repos correspond au repos sabbatique de Dieu (</w:t>
      </w:r>
      <w:hyperlink r:id="rId6300">
        <w:r>
          <w:rPr>
            <w:color w:val="0000EE"/>
            <w:u w:val="single"/>
          </w:rPr>
          <w:t>4.3–4</w:t>
        </w:r>
      </w:hyperlink>
      <w:r>
        <w:t xml:space="preserve">), et est un concept étroitement lié au salut. Il s'agit d'une réalité spirituelle que l'on atteint en se détournant de nos propres œuvres vaines et en faisant confiance à l'œuvre accomplie de Christ (v. </w:t>
      </w:r>
      <w:hyperlink r:id="rId6301">
        <w:r>
          <w:rPr>
            <w:color w:val="0000EE"/>
            <w:u w:val="single"/>
          </w:rPr>
          <w:t>10</w:t>
        </w:r>
      </w:hyperlink>
      <w:r>
        <w:t xml:space="preserve">). L'auteur rappelle aux lecteurs qu'il y a « </w:t>
      </w:r>
      <w:r>
        <w:t>un repos de sabbat réservé au peuple de Dieu</w:t>
      </w:r>
      <w:r>
        <w:t xml:space="preserve"> » (v. </w:t>
      </w:r>
      <w:hyperlink r:id="rId6302">
        <w:r>
          <w:rPr>
            <w:color w:val="0000EE"/>
            <w:u w:val="single"/>
          </w:rPr>
          <w:t>9</w:t>
        </w:r>
      </w:hyperlink>
      <w:r>
        <w:t xml:space="preserve">), un repos que seul Christ peut fournir. Les chrétiens bénéficient non seulement de ce repos sabbatique à l'époque actuelle, mais anticipent sa pleine réalisation dans l'âge à venir. L'un des principaux moyens d'assurer l'entrée dans le repos sabbatique du salut est la parole de Dieu (v. </w:t>
      </w:r>
      <w:hyperlink r:id="rId676">
        <w:r>
          <w:rPr>
            <w:color w:val="0000EE"/>
            <w:u w:val="single"/>
          </w:rPr>
          <w:t>12</w:t>
        </w:r>
      </w:hyperlink>
      <w:r>
        <w:t>). La parole vivante et puissante pénètre les profondeurs les plus intimes de l'âme, révèle notre condition appauvrie et renforce le cœur animé par la foi.</w:t>
      </w:r>
    </w:p>
    <w:p>
      <w:pPr>
        <w:pStyle w:val="Heading4"/>
      </w:pPr>
      <w:r>
        <w:t>La Supériorité du Sacerdoce du Fils (</w:t>
      </w:r>
      <w:hyperlink r:id="rId6303">
        <w:r>
          <w:rPr>
            <w:color w:val="0000EE"/>
            <w:u w:val="single"/>
          </w:rPr>
          <w:t>4.14–7.28</w:t>
        </w:r>
      </w:hyperlink>
      <w:r>
        <w:t>)</w:t>
      </w:r>
    </w:p>
    <w:p>
      <w:r/>
      <w:r>
        <w:t xml:space="preserve">Presque la moitié de l'épître aux Hébreux est consacrée au sacerdoce de Jésus-Christ. L'auteur s'efforce de démontrer que le système sacerdotal aaronique vénéré a été supplanté par le souverain sacrificateur « </w:t>
      </w:r>
      <w:r>
        <w:t>selon l’ordre de Melchisédek</w:t>
      </w:r>
      <w:r>
        <w:t xml:space="preserve"> » (</w:t>
      </w:r>
      <w:hyperlink r:id="rId6304">
        <w:r>
          <w:rPr>
            <w:color w:val="0000EE"/>
            <w:u w:val="single"/>
          </w:rPr>
          <w:t>5.6</w:t>
        </w:r>
      </w:hyperlink>
      <w:r>
        <w:t xml:space="preserve"> ; </w:t>
      </w:r>
      <w:hyperlink r:id="rId1346">
        <w:r>
          <w:rPr>
            <w:color w:val="0000EE"/>
            <w:u w:val="single"/>
          </w:rPr>
          <w:t>6.20</w:t>
        </w:r>
      </w:hyperlink>
      <w:r>
        <w:t xml:space="preserve"> ; </w:t>
      </w:r>
      <w:hyperlink r:id="rId6305">
        <w:r>
          <w:rPr>
            <w:color w:val="0000EE"/>
            <w:u w:val="single"/>
          </w:rPr>
          <w:t>7.11</w:t>
        </w:r>
      </w:hyperlink>
      <w:r>
        <w:t xml:space="preserve">). Ce thème central avait été anticipé plus tôt lorsque Christ était désigné comme notre « </w:t>
      </w:r>
      <w:r>
        <w:t>souverain sacrificateur miséricordieux et fidèle dans le service de Dieu</w:t>
      </w:r>
      <w:r>
        <w:t xml:space="preserve"> » qui a expié les péchés (</w:t>
      </w:r>
      <w:hyperlink r:id="rId1352">
        <w:r>
          <w:rPr>
            <w:color w:val="0000EE"/>
            <w:u w:val="single"/>
          </w:rPr>
          <w:t>2.17</w:t>
        </w:r>
      </w:hyperlink>
      <w:r>
        <w:t>).</w:t>
      </w:r>
    </w:p>
    <w:p>
      <w:r/>
      <w:r>
        <w:t>Hébreux affirme que le sacerdoce de Jésus est le fondement ultime de la confiance des croyants (</w:t>
      </w:r>
      <w:hyperlink r:id="rId1354">
        <w:r>
          <w:rPr>
            <w:color w:val="0000EE"/>
            <w:u w:val="single"/>
          </w:rPr>
          <w:t>4.14–16</w:t>
        </w:r>
      </w:hyperlink>
      <w:r>
        <w:t xml:space="preserve">). À trois égards, Jésus surpasse l'ancien ordre sacerdotal légal. Premièrement, il est un souverain sacrificateur </w:t>
      </w:r>
      <w:r>
        <w:rPr>
          <w:i/>
        </w:rPr>
        <w:t>exalté</w:t>
      </w:r>
      <w:r>
        <w:t xml:space="preserve"> (v. </w:t>
      </w:r>
      <w:hyperlink r:id="rId1345">
        <w:r>
          <w:rPr>
            <w:color w:val="0000EE"/>
            <w:u w:val="single"/>
          </w:rPr>
          <w:t>14</w:t>
        </w:r>
      </w:hyperlink>
      <w:r>
        <w:t xml:space="preserve">). Le souverain sacrificateur juif montait sur la montagne pour entrer dans le sanctuaire du temple. Mais Jésus, notre souverain sacrificateur, est monté au ciel lui-même et est entré dans le sanctuaire céleste. Il officie non pas dans un tabernacle terrestre mais dans la présence même de Dieu. Deuxièmement, Jésus est un souverain sacrificateur </w:t>
      </w:r>
      <w:r>
        <w:rPr>
          <w:i/>
        </w:rPr>
        <w:t>empathique</w:t>
      </w:r>
      <w:r>
        <w:t xml:space="preserve"> (v. </w:t>
      </w:r>
      <w:hyperlink r:id="rId6306">
        <w:r>
          <w:rPr>
            <w:color w:val="0000EE"/>
            <w:u w:val="single"/>
          </w:rPr>
          <w:t>15a</w:t>
        </w:r>
      </w:hyperlink>
      <w:r>
        <w:t xml:space="preserve">). Étant entièrement Dieu et entièrement homme, Jésus souffre avec son peuple dans leurs épreuves et afflictions. Depuis les cieux, il sait parfaitement ce que son peuple est appelé à endurer. Il « ressent » nos douleurs, et le fait parfaitement. Enfin, Jésus est un souverain sacrificateur </w:t>
      </w:r>
      <w:r>
        <w:rPr>
          <w:i/>
        </w:rPr>
        <w:t>sans péché</w:t>
      </w:r>
      <w:r>
        <w:t xml:space="preserve"> (v. </w:t>
      </w:r>
      <w:hyperlink r:id="rId6306">
        <w:r>
          <w:rPr>
            <w:color w:val="0000EE"/>
            <w:u w:val="single"/>
          </w:rPr>
          <w:t>15b</w:t>
        </w:r>
      </w:hyperlink>
      <w:r>
        <w:t>). Jour après jour (</w:t>
      </w:r>
      <w:hyperlink r:id="rId6307">
        <w:r>
          <w:rPr>
            <w:color w:val="0000EE"/>
            <w:u w:val="single"/>
          </w:rPr>
          <w:t>7.27</w:t>
        </w:r>
      </w:hyperlink>
      <w:r>
        <w:t xml:space="preserve">), année après année, les prêtres lévitiques devaient apporter des sacrifices pour leurs propres péchés. Jésus, quant à lui, n'avait aucun péché nécessitant une purification, car il est « </w:t>
      </w:r>
      <w:r>
        <w:t>saint, innocent, sans tache, séparé des pécheurs</w:t>
      </w:r>
      <w:r>
        <w:t xml:space="preserve"> » (v. </w:t>
      </w:r>
      <w:hyperlink r:id="rId6308">
        <w:r>
          <w:rPr>
            <w:color w:val="0000EE"/>
            <w:u w:val="single"/>
          </w:rPr>
          <w:t>26</w:t>
        </w:r>
      </w:hyperlink>
      <w:r>
        <w:t>). En vue des perfections sacerdotales de Jésus, les chrétiens fortement tentés sont exhortés à venir au trône de la grâce pour recevoir miséricorde et trouver grâce pour aider en temps de besoin (</w:t>
      </w:r>
      <w:hyperlink r:id="rId6309">
        <w:r>
          <w:rPr>
            <w:color w:val="0000EE"/>
            <w:u w:val="single"/>
          </w:rPr>
          <w:t>4.16</w:t>
        </w:r>
      </w:hyperlink>
      <w:r>
        <w:t>).</w:t>
      </w:r>
    </w:p>
    <w:p>
      <w:r/>
      <w:r>
        <w:t>Pour ceux qui ne sont pas convaincus que Jésus était effectivement un prêtre légitime, deux prérequis pour le sacerdoce sont détaillés. Premièrement, si le souverain sacrificateur doit représenter l'humanité devant Dieu, il doit être choisi parmi les hommes (</w:t>
      </w:r>
      <w:hyperlink r:id="rId6310">
        <w:r>
          <w:rPr>
            <w:color w:val="0000EE"/>
            <w:u w:val="single"/>
          </w:rPr>
          <w:t>5.1–2</w:t>
        </w:r>
      </w:hyperlink>
      <w:r>
        <w:t xml:space="preserve">). Deuxièmement, il doit être appelé par Dieu à la fonction de souverain sacrificateur, comme Aaron (v. </w:t>
      </w:r>
      <w:hyperlink r:id="rId6311">
        <w:r>
          <w:rPr>
            <w:color w:val="0000EE"/>
            <w:u w:val="single"/>
          </w:rPr>
          <w:t>4</w:t>
        </w:r>
      </w:hyperlink>
      <w:r>
        <w:t xml:space="preserve">). Christ a pleinement satisfait à ces qualifications. Il est montré dans </w:t>
      </w:r>
      <w:hyperlink r:id="rId979">
        <w:r>
          <w:rPr>
            <w:color w:val="0000EE"/>
            <w:u w:val="single"/>
          </w:rPr>
          <w:t>Psaumes 2.7</w:t>
        </w:r>
      </w:hyperlink>
      <w:r>
        <w:t xml:space="preserve"> et </w:t>
      </w:r>
      <w:hyperlink r:id="rId6312">
        <w:r>
          <w:rPr>
            <w:color w:val="0000EE"/>
            <w:u w:val="single"/>
          </w:rPr>
          <w:t>110.4</w:t>
        </w:r>
      </w:hyperlink>
      <w:r>
        <w:t xml:space="preserve"> que Jésus n'a pas pris cette fonction de lui-même mais a été nommé par Dieu (</w:t>
      </w:r>
      <w:hyperlink r:id="rId6313">
        <w:r>
          <w:rPr>
            <w:color w:val="0000EE"/>
            <w:u w:val="single"/>
          </w:rPr>
          <w:t>Hé 5.5–6</w:t>
        </w:r>
      </w:hyperlink>
      <w:r>
        <w:t xml:space="preserve">). De plus, de par l'obéissance qu'il a dû apprendre (v. </w:t>
      </w:r>
      <w:hyperlink r:id="rId6314">
        <w:r>
          <w:rPr>
            <w:color w:val="0000EE"/>
            <w:u w:val="single"/>
          </w:rPr>
          <w:t>8</w:t>
        </w:r>
      </w:hyperlink>
      <w:r>
        <w:t xml:space="preserve">) et l'agonie de l'expérience de Gethsémané (v. </w:t>
      </w:r>
      <w:hyperlink r:id="rId6315">
        <w:r>
          <w:rPr>
            <w:color w:val="0000EE"/>
            <w:u w:val="single"/>
          </w:rPr>
          <w:t>7</w:t>
        </w:r>
      </w:hyperlink>
      <w:r>
        <w:t xml:space="preserve">), il est clair que Jésus était en tout point un homme. Néanmoins, Hébreux précise parfaitement que Jésus n'était pas un prêtre selon l'ordre d'Aaron mais un souverain sacrificateur dans la lignée de Melchisédek (v. </w:t>
      </w:r>
      <w:hyperlink r:id="rId6316">
        <w:r>
          <w:rPr>
            <w:color w:val="0000EE"/>
            <w:u w:val="single"/>
          </w:rPr>
          <w:t>10</w:t>
        </w:r>
      </w:hyperlink>
      <w:r>
        <w:t>).</w:t>
      </w:r>
    </w:p>
    <w:p>
      <w:r/>
      <w:r>
        <w:t>Après avoir introduit le thème de Christ en tant que souverain sacrificateur selon l'ordre de Melchisédek, l'auteur rappelle que ses lecteurs n'étaient pas prêts pour un enseignement aussi avancé. Bien qu'ils ne soient pas de nouveaux convertis (</w:t>
      </w:r>
      <w:hyperlink r:id="rId2924">
        <w:r>
          <w:rPr>
            <w:color w:val="0000EE"/>
            <w:u w:val="single"/>
          </w:rPr>
          <w:t>5.12</w:t>
        </w:r>
      </w:hyperlink>
      <w:r>
        <w:t>), ses amis étaient restés spirituellement immatures et lents. Ainsi, l'auteur lance le défi de progresser vers la maturité chrétienne, d'être prêts pour la nourriture solide de l'enseignement avancé.</w:t>
      </w:r>
    </w:p>
    <w:p>
      <w:r/>
      <w:r>
        <w:t xml:space="preserve">Dans sa parenthèse, l'auteur met en garde non seulement contre l'immaturité spirituelle mais aussi contre « l'apostasie ». La question se pose maintenant de savoir si l'enseignement de l'auteur concernant l'apostasie dans </w:t>
      </w:r>
      <w:hyperlink r:id="rId6317">
        <w:r>
          <w:rPr>
            <w:color w:val="0000EE"/>
            <w:u w:val="single"/>
          </w:rPr>
          <w:t>Hébreux 6.4–8</w:t>
        </w:r>
      </w:hyperlink>
      <w:r>
        <w:t xml:space="preserve"> et </w:t>
      </w:r>
      <w:hyperlink r:id="rId6264">
        <w:r>
          <w:rPr>
            <w:color w:val="0000EE"/>
            <w:u w:val="single"/>
          </w:rPr>
          <w:t>10.26–31</w:t>
        </w:r>
      </w:hyperlink>
      <w:r>
        <w:t xml:space="preserve"> contredit la doctrine du NT concernant la persévérance des saints. La réponse est non, bien entendu. Certains experts soutiennent que ceux à qui il s'adresse n'étaient pas de vrais chrétiens, et la question n'est donc pas celle de l'apostasie. Il est possible, comme Judas Iscariot ou Simon le Magicien (</w:t>
      </w:r>
      <w:hyperlink r:id="rId6318">
        <w:r>
          <w:rPr>
            <w:color w:val="0000EE"/>
            <w:u w:val="single"/>
          </w:rPr>
          <w:t>Ac 8.9–24</w:t>
        </w:r>
      </w:hyperlink>
      <w:r>
        <w:t>), de posséder une connaissance considérable de l'Évangile et de ne pas atteindre un engagement personnel. Mais l'auteur indique clairement que dans le cas de ses destinataires, il est persuadé du contraire (</w:t>
      </w:r>
      <w:hyperlink r:id="rId6319">
        <w:r>
          <w:rPr>
            <w:color w:val="0000EE"/>
            <w:u w:val="single"/>
          </w:rPr>
          <w:t>Hé 6.9</w:t>
        </w:r>
      </w:hyperlink>
      <w:r>
        <w:t xml:space="preserve">). Le point de vue le plus raisonnable est que dans ces deux passages exhortatifs, l'auteur avance un argument hypothétique avertissant ses amis de l'extrême gravité de revenir au judaïsme. C'est-à-dire que si une chute devait se produire, le renouvellement serait impossible à moins que Christ ne meure une seconde fois. L'auteur résume le point de ces passages difficiles avec les mots suivants : « </w:t>
      </w:r>
      <w:r>
        <w:t>C’est une chose terrible que de tomber entre les mains du Dieu vivant</w:t>
      </w:r>
      <w:r>
        <w:t xml:space="preserve"> » (</w:t>
      </w:r>
      <w:hyperlink r:id="rId6320">
        <w:r>
          <w:rPr>
            <w:color w:val="0000EE"/>
            <w:u w:val="single"/>
          </w:rPr>
          <w:t>10.31</w:t>
        </w:r>
      </w:hyperlink>
      <w:r>
        <w:t>). Néanmoins, les disciples de Christ peuvent saisir avec confiance les promesses de Dieu, confirmées par un serment solennel, pour leur permettre de traverser leurs épreuves (</w:t>
      </w:r>
      <w:hyperlink r:id="rId6321">
        <w:r>
          <w:rPr>
            <w:color w:val="0000EE"/>
            <w:u w:val="single"/>
          </w:rPr>
          <w:t>6.13–18</w:t>
        </w:r>
      </w:hyperlink>
      <w:r>
        <w:t>). On peut faire confiance à Dieu : il tiendra fermement le croyant dans sa main.</w:t>
      </w:r>
    </w:p>
    <w:p>
      <w:r/>
      <w:hyperlink r:id="rId4124">
        <w:r>
          <w:rPr>
            <w:color w:val="0000EE"/>
            <w:u w:val="single"/>
          </w:rPr>
          <w:t>Hébreux 7</w:t>
        </w:r>
      </w:hyperlink>
      <w:r>
        <w:t xml:space="preserve"> présente un argument complexe pour démontrer la supériorité du sacerdoce de Christ sur l'ancien ordre légal. Melchisédek, l'ancien prêtre-roi de Salem (</w:t>
      </w:r>
      <w:hyperlink r:id="rId6322">
        <w:r>
          <w:rPr>
            <w:color w:val="0000EE"/>
            <w:u w:val="single"/>
          </w:rPr>
          <w:t>Gn 14.18–20</w:t>
        </w:r>
      </w:hyperlink>
      <w:r>
        <w:t>), est considéré comme un type primordial de Christ. Il est « roi de justice » et « roi de paix » (</w:t>
      </w:r>
      <w:hyperlink r:id="rId6323">
        <w:r>
          <w:rPr>
            <w:color w:val="0000EE"/>
            <w:u w:val="single"/>
          </w:rPr>
          <w:t>Hé 7.2</w:t>
        </w:r>
      </w:hyperlink>
      <w:r>
        <w:t xml:space="preserve">). Le prêtre solennel de Salem possède figurativement ce que Christ possède réellement : ni mère ni père, ni commencement ni fin de vie (v. </w:t>
      </w:r>
      <w:hyperlink r:id="rId6324">
        <w:r>
          <w:rPr>
            <w:color w:val="0000EE"/>
            <w:u w:val="single"/>
          </w:rPr>
          <w:t>3</w:t>
        </w:r>
      </w:hyperlink>
      <w:r>
        <w:t xml:space="preserve">). Melchisédek est montré comme supérieur à Abraham sur trois points : 1° Melchisédek a béni le patriarche (v. </w:t>
      </w:r>
      <w:hyperlink r:id="rId6325">
        <w:r>
          <w:rPr>
            <w:color w:val="0000EE"/>
            <w:u w:val="single"/>
          </w:rPr>
          <w:t>1, 7</w:t>
        </w:r>
      </w:hyperlink>
      <w:r>
        <w:t xml:space="preserve">) ; 2° il a accepté les dîmes d'Abraham (v. </w:t>
      </w:r>
      <w:hyperlink r:id="rId6326">
        <w:r>
          <w:rPr>
            <w:color w:val="0000EE"/>
            <w:u w:val="single"/>
          </w:rPr>
          <w:t>2–6</w:t>
        </w:r>
      </w:hyperlink>
      <w:r>
        <w:t xml:space="preserve">) ; et 3° Melchisédek vit encore puisque l'AT ne mentionne nulle part sa mort (v. </w:t>
      </w:r>
      <w:hyperlink r:id="rId6327">
        <w:r>
          <w:rPr>
            <w:color w:val="0000EE"/>
            <w:u w:val="single"/>
          </w:rPr>
          <w:t>8</w:t>
        </w:r>
      </w:hyperlink>
      <w:r>
        <w:t xml:space="preserve">). Il s'ensuit que, puisque Lévi était dans les reins d'Abraham comme semence (v. </w:t>
      </w:r>
      <w:hyperlink r:id="rId6328">
        <w:r>
          <w:rPr>
            <w:color w:val="0000EE"/>
            <w:u w:val="single"/>
          </w:rPr>
          <w:t>10</w:t>
        </w:r>
      </w:hyperlink>
      <w:r>
        <w:t xml:space="preserve">), Melchisédek est supérieur aux prêtres lévitiques. Dans la mesure où Christ est prêtre selon la ressemblance de Melchisédek (v. </w:t>
      </w:r>
      <w:hyperlink r:id="rId6329">
        <w:r>
          <w:rPr>
            <w:color w:val="0000EE"/>
            <w:u w:val="single"/>
          </w:rPr>
          <w:t>15</w:t>
        </w:r>
      </w:hyperlink>
      <w:r>
        <w:t>), il s'ensuit que le Fils de Dieu est plus excellent que l'ancien sacerdoce légal.</w:t>
      </w:r>
    </w:p>
    <w:p>
      <w:r/>
      <w:r>
        <w:t>Ainsi, l'ancien sacerdoce lévitique a été remplacé par le sacerdoce de Christ. La disparition de l'ancien ordre était inévitable, car ses sacrifices animaux à répétition ne pouvaient jamais réaliser la perfection spirituelle (</w:t>
      </w:r>
      <w:hyperlink r:id="rId6305">
        <w:r>
          <w:rPr>
            <w:color w:val="0000EE"/>
            <w:u w:val="single"/>
          </w:rPr>
          <w:t>7.11</w:t>
        </w:r>
      </w:hyperlink>
      <w:r>
        <w:t xml:space="preserve">). C'était un système caractérisé par la faiblesse et la futilité (v. </w:t>
      </w:r>
      <w:hyperlink r:id="rId6330">
        <w:r>
          <w:rPr>
            <w:color w:val="0000EE"/>
            <w:u w:val="single"/>
          </w:rPr>
          <w:t>18</w:t>
        </w:r>
      </w:hyperlink>
      <w:r>
        <w:t xml:space="preserve">). En revanche, le sacerdoce de Christ est indestructible, éternel, ininterrompu, efficace, final et parfait (v. </w:t>
      </w:r>
      <w:hyperlink r:id="rId6331">
        <w:r>
          <w:rPr>
            <w:color w:val="0000EE"/>
            <w:u w:val="single"/>
          </w:rPr>
          <w:t>16, 21, 24–27</w:t>
        </w:r>
      </w:hyperlink>
      <w:r>
        <w:t>). Le pardon et la réconciliation ne sont possibles que par Christ, notre grand souverain sacrificateur.</w:t>
      </w:r>
    </w:p>
    <w:p>
      <w:pPr>
        <w:pStyle w:val="Heading4"/>
      </w:pPr>
      <w:r>
        <w:t>La Supériorité de l'œuvre sacerdotale du Fils (</w:t>
      </w:r>
      <w:hyperlink r:id="rId6332">
        <w:r>
          <w:rPr>
            <w:color w:val="0000EE"/>
            <w:u w:val="single"/>
          </w:rPr>
          <w:t>8.1–10.39</w:t>
        </w:r>
      </w:hyperlink>
      <w:r>
        <w:t>)</w:t>
      </w:r>
    </w:p>
    <w:p>
      <w:r/>
      <w:r>
        <w:t>Étant donné que la fonction sacerdotale de Christ dépasse de loin l'ancien ordre, il s'ensuit que son ministère sacerdotal est supérieur à tout ce qui a précédé. Le thème de Christ en tant que souverain sacrificateur dans un sanctuaire meilleur est introduit (</w:t>
      </w:r>
      <w:hyperlink r:id="rId2688">
        <w:r>
          <w:rPr>
            <w:color w:val="0000EE"/>
            <w:u w:val="single"/>
          </w:rPr>
          <w:t>8.1–5</w:t>
        </w:r>
      </w:hyperlink>
      <w:r>
        <w:t xml:space="preserve">). L'auteur utilise la distinction de Platon entre la forme idéale au ciel et la copie imparfaite sur terre pour argumenter que le sanctuaire lévitique et les sacrifices ne sont que des ombres des réalités célestes : 1° Christ officie dans la véritable tente qui est le sanctuaire céleste (v. </w:t>
      </w:r>
      <w:hyperlink r:id="rId6333">
        <w:r>
          <w:rPr>
            <w:color w:val="0000EE"/>
            <w:u w:val="single"/>
          </w:rPr>
          <w:t>2, 5</w:t>
        </w:r>
      </w:hyperlink>
      <w:r>
        <w:t xml:space="preserve">) ; 2° il accomplit son service de souverain sacrificateur en la présence même du Père, ce qui aboutit à un ministère bien plus efficace (v. </w:t>
      </w:r>
      <w:hyperlink r:id="rId6334">
        <w:r>
          <w:rPr>
            <w:color w:val="0000EE"/>
            <w:u w:val="single"/>
          </w:rPr>
          <w:t>1, 6</w:t>
        </w:r>
      </w:hyperlink>
      <w:r>
        <w:t xml:space="preserve">) ; et 3° son oblation sur la croix était le sacrifice ultime (v. </w:t>
      </w:r>
      <w:hyperlink r:id="rId6335">
        <w:r>
          <w:rPr>
            <w:color w:val="0000EE"/>
            <w:u w:val="single"/>
          </w:rPr>
          <w:t>3</w:t>
        </w:r>
      </w:hyperlink>
      <w:r>
        <w:t>). Qu'il serait déraisonnable pour ses lecteurs chrétiens de revenir à l'ancien système sacerdotal juif !</w:t>
      </w:r>
    </w:p>
    <w:p>
      <w:r/>
      <w:r>
        <w:t>Christ est le ministre d'une nouvelle et meilleure alliance (</w:t>
      </w:r>
      <w:hyperlink r:id="rId6336">
        <w:r>
          <w:rPr>
            <w:color w:val="0000EE"/>
            <w:u w:val="single"/>
          </w:rPr>
          <w:t>8.6–13</w:t>
        </w:r>
      </w:hyperlink>
      <w:r>
        <w:t xml:space="preserve">). L'ancienne alliance établie par Dieu avec les pères de la nation ne devait pas être méprisée ; néanmoins, elle était devenue inefficace et obsolète (v. </w:t>
      </w:r>
      <w:hyperlink r:id="rId6337">
        <w:r>
          <w:rPr>
            <w:color w:val="0000EE"/>
            <w:u w:val="single"/>
          </w:rPr>
          <w:t>13</w:t>
        </w:r>
      </w:hyperlink>
      <w:r>
        <w:t>). En effet, le prophète Jérémie (</w:t>
      </w:r>
      <w:hyperlink r:id="rId1936">
        <w:r>
          <w:rPr>
            <w:color w:val="0000EE"/>
            <w:u w:val="single"/>
          </w:rPr>
          <w:t>Jr 31.31–34</w:t>
        </w:r>
      </w:hyperlink>
      <w:r>
        <w:t>) avait prévu la nouvelle alliance que Dieu inaugurerait avec son peuple. Cette nouvelle alliance scellée par Christ implique 1° l'œuvre immédiate du Saint-Esprit dans l'esprit et le cœur (</w:t>
      </w:r>
      <w:hyperlink r:id="rId2836">
        <w:r>
          <w:rPr>
            <w:color w:val="0000EE"/>
            <w:u w:val="single"/>
          </w:rPr>
          <w:t>Hé 8.10</w:t>
        </w:r>
      </w:hyperlink>
      <w:r>
        <w:t xml:space="preserve">) ; 2° une connaissance personnelle et intime de Dieu (v. </w:t>
      </w:r>
      <w:hyperlink r:id="rId6338">
        <w:r>
          <w:rPr>
            <w:color w:val="0000EE"/>
            <w:u w:val="single"/>
          </w:rPr>
          <w:t>11</w:t>
        </w:r>
      </w:hyperlink>
      <w:r>
        <w:t xml:space="preserve">) ; et 3° la pleine absolution des péchés (v. </w:t>
      </w:r>
      <w:hyperlink r:id="rId6339">
        <w:r>
          <w:rPr>
            <w:color w:val="0000EE"/>
            <w:u w:val="single"/>
          </w:rPr>
          <w:t>12</w:t>
        </w:r>
      </w:hyperlink>
      <w:r>
        <w:t>). Cette nouvelle et meilleure alliance a été établie sur l'œuvre de Christ, le grand souverain sacrificateur.</w:t>
      </w:r>
    </w:p>
    <w:p>
      <w:r/>
      <w:r>
        <w:t xml:space="preserve">Le chapitre </w:t>
      </w:r>
      <w:hyperlink r:id="rId6340">
        <w:r>
          <w:rPr>
            <w:color w:val="0000EE"/>
            <w:u w:val="single"/>
          </w:rPr>
          <w:t>9</w:t>
        </w:r>
      </w:hyperlink>
      <w:r>
        <w:t xml:space="preserve"> offre une comparaison détaillée de l'efficacité du service sacerdotal sous l'ancienne et la nouvelle alliances. Les prêtres lévitiques officiaient dans un sanctuaire matériel sur terre (v. </w:t>
      </w:r>
      <w:hyperlink r:id="rId6341">
        <w:r>
          <w:rPr>
            <w:color w:val="0000EE"/>
            <w:u w:val="single"/>
          </w:rPr>
          <w:t>1–5</w:t>
        </w:r>
      </w:hyperlink>
      <w:r>
        <w:t xml:space="preserve">). Les caractéristiques du tabernacle et de son mobilier sont décrites pour souligner leur obsolescence. Plus important encore est le caractère du rituel sacrificiel mené dans le sanctuaire terrestre. Les prêtres juifs, dans leur service quotidien, n'étaient pas autorisés à entrer dans le Saint des Saints, qui contenait l'arche de l'alliance et le propitiatoire (le lieu de propitiation des péchés, v. </w:t>
      </w:r>
      <w:hyperlink r:id="rId6342">
        <w:r>
          <w:rPr>
            <w:color w:val="0000EE"/>
            <w:u w:val="single"/>
          </w:rPr>
          <w:t>6</w:t>
        </w:r>
      </w:hyperlink>
      <w:r>
        <w:t xml:space="preserve">). Seul le souverain sacrificateur pouvait entrer dans le Saint des Saints, et ce, une fois par an lors du Jour des Expiations, et seulement après avoir sacrifié pour ses propres péchés (v. </w:t>
      </w:r>
      <w:hyperlink r:id="rId6343">
        <w:r>
          <w:rPr>
            <w:color w:val="0000EE"/>
            <w:u w:val="single"/>
          </w:rPr>
          <w:t>7</w:t>
        </w:r>
      </w:hyperlink>
      <w:r>
        <w:t xml:space="preserve">). L'inaccessibilité du Saint des Saints signifiait que l'accès à la présence de Dieu n'avait pas été ouvert. La présence du rideau symbolisait que le peuple n'avait pas de chemin vers le trône de Dieu, les prêtres n'avaient pas non plus de chemin, et le souverain sacrificateur avait un chemin limité et seulement une fois par an. De plus, les sacrifices apportés par les prêtres juifs ne pouvaient pas purifier la conscience mais traitaient simplement du nettoyage rituel externe (v. </w:t>
      </w:r>
      <w:hyperlink r:id="rId6344">
        <w:r>
          <w:rPr>
            <w:color w:val="0000EE"/>
            <w:u w:val="single"/>
          </w:rPr>
          <w:t>9–10</w:t>
        </w:r>
      </w:hyperlink>
      <w:r>
        <w:t xml:space="preserve">). Un sacrifice véritablement efficace devait attendre « </w:t>
      </w:r>
      <w:r>
        <w:t>une époque de réformation</w:t>
      </w:r>
      <w:r>
        <w:t xml:space="preserve"> » (v. </w:t>
      </w:r>
      <w:hyperlink r:id="rId6345">
        <w:r>
          <w:rPr>
            <w:color w:val="0000EE"/>
            <w:u w:val="single"/>
          </w:rPr>
          <w:t>10</w:t>
        </w:r>
      </w:hyperlink>
      <w:r>
        <w:t>).</w:t>
      </w:r>
    </w:p>
    <w:p>
      <w:r/>
      <w:r>
        <w:t>Le ministère sacerdotal de Christ se révèle bien plus efficace. Tout d'abord, le Souverain Sacrificateur chrétien a offert un meilleur sacrifice (</w:t>
      </w:r>
      <w:hyperlink r:id="rId6346">
        <w:r>
          <w:rPr>
            <w:color w:val="0000EE"/>
            <w:u w:val="single"/>
          </w:rPr>
          <w:t>9.11–14</w:t>
        </w:r>
      </w:hyperlink>
      <w:r>
        <w:t xml:space="preserve">), et ici nous arrivons au cœur du message des Hébreux. En utilisant l'image du tabernacle, l'auteur démontre que Christ, notre Souverain Sacrificateur, a accompli ce que les prêtres juifs n'ont pas réussi à faire. Il est entré dans le Saint des Saints céleste, non pas à plusieurs reprises, mais </w:t>
      </w:r>
      <w:r>
        <w:rPr>
          <w:i/>
        </w:rPr>
        <w:t>une fois</w:t>
      </w:r>
      <w:r>
        <w:t xml:space="preserve"> pour toutes, réalisant ainsi une rédemption pleinement accomplie (v. </w:t>
      </w:r>
      <w:hyperlink r:id="rId1348">
        <w:r>
          <w:rPr>
            <w:color w:val="0000EE"/>
            <w:u w:val="single"/>
          </w:rPr>
          <w:t>12</w:t>
        </w:r>
      </w:hyperlink>
      <w:r>
        <w:t xml:space="preserve">). Christ a apporté à l'autel, non pas le sang des taureaux et des boucs, mais le sang de sa propre vie. Le Seigneur n'a pas simplement déposé un corps matériel, mais il s'est présenté à Dieu par l'Esprit éternel (v. </w:t>
      </w:r>
      <w:hyperlink r:id="rId6347">
        <w:r>
          <w:rPr>
            <w:color w:val="0000EE"/>
            <w:u w:val="single"/>
          </w:rPr>
          <w:t>14</w:t>
        </w:r>
      </w:hyperlink>
      <w:r>
        <w:t>). Le sacrifice meilleur de Christ va donc au-delà du nettoyage de la chair et va jusqu'à purifier la conscience souillée.</w:t>
      </w:r>
    </w:p>
    <w:p>
      <w:r/>
      <w:r>
        <w:t>Deuxièmement, Christ, par sa mort, a institué une alliance meilleure (</w:t>
      </w:r>
      <w:hyperlink r:id="rId6348">
        <w:r>
          <w:rPr>
            <w:color w:val="0000EE"/>
            <w:u w:val="single"/>
          </w:rPr>
          <w:t>9.15–23</w:t>
        </w:r>
      </w:hyperlink>
      <w:r>
        <w:t>). L'enseignement d'</w:t>
      </w:r>
      <w:hyperlink r:id="rId6336">
        <w:r>
          <w:rPr>
            <w:color w:val="0000EE"/>
            <w:u w:val="single"/>
          </w:rPr>
          <w:t>Hébreux 8.6–13</w:t>
        </w:r>
      </w:hyperlink>
      <w:r>
        <w:t xml:space="preserve"> est développé davantage. L'ancienne alliance a été scellée avec le sang de veaux et de boucs (</w:t>
      </w:r>
      <w:hyperlink r:id="rId3423">
        <w:r>
          <w:rPr>
            <w:color w:val="0000EE"/>
            <w:u w:val="single"/>
          </w:rPr>
          <w:t>9.19</w:t>
        </w:r>
      </w:hyperlink>
      <w:r>
        <w:t xml:space="preserve">). Mais la nouvelle alliance a été ratifiée avec le sang de Christ, le propre Fils de Dieu. La nouvelle alliance pouvait ainsi accomplir ce que l'ancienne alliance ne faisait que préfigurer : le pardon et la purification des péchés (v. </w:t>
      </w:r>
      <w:hyperlink r:id="rId6349">
        <w:r>
          <w:rPr>
            <w:color w:val="0000EE"/>
            <w:u w:val="single"/>
          </w:rPr>
          <w:t>22</w:t>
        </w:r>
      </w:hyperlink>
      <w:r>
        <w:t>).</w:t>
      </w:r>
    </w:p>
    <w:p>
      <w:r/>
      <w:r>
        <w:t>Troisièmement, Christ officie dans un tabernacle meilleur (</w:t>
      </w:r>
      <w:hyperlink r:id="rId6350">
        <w:r>
          <w:rPr>
            <w:color w:val="0000EE"/>
            <w:u w:val="single"/>
          </w:rPr>
          <w:t>9.24–28</w:t>
        </w:r>
      </w:hyperlink>
      <w:r>
        <w:t xml:space="preserve">). Notre Seigneur est entré non pas dans un sanctuaire terrestre simplement, mais dans le lieu saint des cieux, pour nous y représenter (v. </w:t>
      </w:r>
      <w:hyperlink r:id="rId1347">
        <w:r>
          <w:rPr>
            <w:color w:val="0000EE"/>
            <w:u w:val="single"/>
          </w:rPr>
          <w:t>24</w:t>
        </w:r>
      </w:hyperlink>
      <w:r>
        <w:t xml:space="preserve">). L'accès au trône n'est pas limité à un jour par an, car il est continuellement en présence du Père. Il n'est pas non plus nécessaire que des sacrifices répétés soient faits. Le sacrifice unique de Christ sur la croix a vaincu le péché une fois pour toutes (v. </w:t>
      </w:r>
      <w:hyperlink r:id="rId6279">
        <w:r>
          <w:rPr>
            <w:color w:val="0000EE"/>
            <w:u w:val="single"/>
          </w:rPr>
          <w:t>26</w:t>
        </w:r>
      </w:hyperlink>
      <w:r>
        <w:t>). En résumé, en ce qui concerne le sanctuaire, l'alliance et les sacrifices, le souverain sacrificateur chrétien est infiniment supérieur à l'ancien ordre juif.</w:t>
      </w:r>
    </w:p>
    <w:p>
      <w:r/>
      <w:r>
        <w:t xml:space="preserve">Pour souligner ces points cruciaux, l'auteur, au chapitre </w:t>
      </w:r>
      <w:hyperlink r:id="rId6351">
        <w:r>
          <w:rPr>
            <w:color w:val="0000EE"/>
            <w:u w:val="single"/>
          </w:rPr>
          <w:t>10</w:t>
        </w:r>
      </w:hyperlink>
      <w:r>
        <w:t>, développe le thème de la finalité absolue de l'œuvre sacerdotale suprême de Christ. L'argument précédent concernant le caractère futile des sacrifices lévitiques (</w:t>
      </w:r>
      <w:hyperlink r:id="rId6352">
        <w:r>
          <w:rPr>
            <w:color w:val="0000EE"/>
            <w:u w:val="single"/>
          </w:rPr>
          <w:t>9.6–14</w:t>
        </w:r>
      </w:hyperlink>
      <w:r>
        <w:t>) est répété pour insister (</w:t>
      </w:r>
      <w:hyperlink r:id="rId6353">
        <w:r>
          <w:rPr>
            <w:color w:val="0000EE"/>
            <w:u w:val="single"/>
          </w:rPr>
          <w:t>10.1–4</w:t>
        </w:r>
      </w:hyperlink>
      <w:r>
        <w:t>). La législation cérémonielle mosaïque exigeait des sacrifices répétitifs, qui ne pouvaient jamais perfectionner l'adorateur (v.</w:t>
      </w:r>
      <w:hyperlink r:id="rId6354">
        <w:r>
          <w:rPr>
            <w:color w:val="0000EE"/>
            <w:u w:val="single"/>
          </w:rPr>
          <w:t xml:space="preserve"> 1</w:t>
        </w:r>
      </w:hyperlink>
      <w:r>
        <w:t>). Au lieu de purifier la vie, ils ne servaient qu'à rappeler annuellement le péché (v.</w:t>
      </w:r>
      <w:hyperlink r:id="rId6355">
        <w:r>
          <w:rPr>
            <w:color w:val="0000EE"/>
            <w:u w:val="single"/>
          </w:rPr>
          <w:t xml:space="preserve"> 3</w:t>
        </w:r>
      </w:hyperlink>
      <w:r>
        <w:t>) jusqu'à ce que Christ ne vienne.</w:t>
      </w:r>
    </w:p>
    <w:p>
      <w:r/>
      <w:r>
        <w:t xml:space="preserve">L'auteur découvre dans </w:t>
      </w:r>
      <w:hyperlink r:id="rId6356">
        <w:r>
          <w:rPr>
            <w:color w:val="0000EE"/>
            <w:u w:val="single"/>
          </w:rPr>
          <w:t>Psaume 40.6–8</w:t>
        </w:r>
      </w:hyperlink>
      <w:r>
        <w:t xml:space="preserve"> une prédiction selon laquelle le Christ éternel deviendrait homme afin de s'offrir comme sacrifice ultime pour le péché (</w:t>
      </w:r>
      <w:hyperlink r:id="rId6357">
        <w:r>
          <w:rPr>
            <w:color w:val="0000EE"/>
            <w:u w:val="single"/>
          </w:rPr>
          <w:t>Hé 10.5–10</w:t>
        </w:r>
      </w:hyperlink>
      <w:r>
        <w:t xml:space="preserve">). Une fois de plus, le pouvoir sanctifiant de l'unique auto-oblation de Christ est souligné (v. </w:t>
      </w:r>
      <w:hyperlink r:id="rId6358">
        <w:r>
          <w:rPr>
            <w:color w:val="0000EE"/>
            <w:u w:val="single"/>
          </w:rPr>
          <w:t>10</w:t>
        </w:r>
      </w:hyperlink>
      <w:r>
        <w:t xml:space="preserve">). Le contraste marqué est de nouveau établi entre le ministère inefficace des prêtres juifs qui se tiennent debout pendant le rituel quotidien (v. </w:t>
      </w:r>
      <w:hyperlink r:id="rId6359">
        <w:r>
          <w:rPr>
            <w:color w:val="0000EE"/>
            <w:u w:val="single"/>
          </w:rPr>
          <w:t>11</w:t>
        </w:r>
      </w:hyperlink>
      <w:r>
        <w:t xml:space="preserve">) et le sacrifice unique et effectif de Christ, qui est maintenant assis à la droite de Dieu (v. </w:t>
      </w:r>
      <w:hyperlink r:id="rId1349">
        <w:r>
          <w:rPr>
            <w:color w:val="0000EE"/>
            <w:u w:val="single"/>
          </w:rPr>
          <w:t>12</w:t>
        </w:r>
      </w:hyperlink>
      <w:r>
        <w:t xml:space="preserve">). Puisque Jésus « </w:t>
      </w:r>
      <w:r>
        <w:t>par une seule offrande</w:t>
      </w:r>
      <w:r>
        <w:t xml:space="preserve"> [...] </w:t>
      </w:r>
      <w:r>
        <w:t>a amené à la perfection pour toujours ceux qui sont sanctifiés</w:t>
      </w:r>
      <w:r>
        <w:t xml:space="preserve"> » (v. </w:t>
      </w:r>
      <w:hyperlink r:id="rId6299">
        <w:r>
          <w:rPr>
            <w:color w:val="0000EE"/>
            <w:u w:val="single"/>
          </w:rPr>
          <w:t>14</w:t>
        </w:r>
      </w:hyperlink>
      <w:r>
        <w:t xml:space="preserve">), rien ne peut être ajouté à ce que ce souverain qui s'est désormais assis a accompli (v. </w:t>
      </w:r>
      <w:hyperlink r:id="rId6360">
        <w:r>
          <w:rPr>
            <w:color w:val="0000EE"/>
            <w:u w:val="single"/>
          </w:rPr>
          <w:t>18</w:t>
        </w:r>
      </w:hyperlink>
      <w:r>
        <w:t>).</w:t>
      </w:r>
    </w:p>
    <w:p>
      <w:r/>
      <w:r>
        <w:t>Compte tenu de la supériorité manifeste du sacerdoce et de l'œuvre de Christ, les chrétiens en difficulté sont exhortés à utiliser les moyens de grâce à leur disposition (</w:t>
      </w:r>
      <w:hyperlink r:id="rId6361">
        <w:r>
          <w:rPr>
            <w:color w:val="0000EE"/>
            <w:u w:val="single"/>
          </w:rPr>
          <w:t>10.19–39</w:t>
        </w:r>
      </w:hyperlink>
      <w:r>
        <w:t xml:space="preserve">). Au milieu d'épreuves et de persécutions, ils doivent se rappeler que Christ a effectivement ouvert le chemin vers Dieu (v. </w:t>
      </w:r>
      <w:hyperlink r:id="rId6362">
        <w:r>
          <w:rPr>
            <w:color w:val="0000EE"/>
            <w:u w:val="single"/>
          </w:rPr>
          <w:t>19–20</w:t>
        </w:r>
      </w:hyperlink>
      <w:r>
        <w:t xml:space="preserve">). Ils sont appelés à venir à Dieu avec foi, le cœur purifié par le sacrifice de Christ (v. </w:t>
      </w:r>
      <w:hyperlink r:id="rId1564">
        <w:r>
          <w:rPr>
            <w:color w:val="0000EE"/>
            <w:u w:val="single"/>
          </w:rPr>
          <w:t>22</w:t>
        </w:r>
      </w:hyperlink>
      <w:r>
        <w:t xml:space="preserve">). Ceux qui sont tentés de revenir à une religion de loi doivent tenir ferme et se soutenir mutuellement dans l'amour (v. </w:t>
      </w:r>
      <w:hyperlink r:id="rId6363">
        <w:r>
          <w:rPr>
            <w:color w:val="0000EE"/>
            <w:u w:val="single"/>
          </w:rPr>
          <w:t>23–24</w:t>
        </w:r>
      </w:hyperlink>
      <w:r>
        <w:t xml:space="preserve">). Les moyens de grâce offerts par le culte rassemblé ne doivent pas être négligés (v. </w:t>
      </w:r>
      <w:hyperlink r:id="rId6261">
        <w:r>
          <w:rPr>
            <w:color w:val="0000EE"/>
            <w:u w:val="single"/>
          </w:rPr>
          <w:t>25</w:t>
        </w:r>
      </w:hyperlink>
      <w:r>
        <w:t xml:space="preserve">). En bref, les chrétiens juifs hésitants sont appelés à un renouvellement de l'endurance et de la fidélité à leur Seigneur (v. </w:t>
      </w:r>
      <w:hyperlink r:id="rId6264">
        <w:r>
          <w:rPr>
            <w:color w:val="0000EE"/>
            <w:u w:val="single"/>
          </w:rPr>
          <w:t>26–31</w:t>
        </w:r>
      </w:hyperlink>
      <w:r>
        <w:t>). Ce que Dieu a promis à son peuple, il le réalisera certainement.</w:t>
      </w:r>
    </w:p>
    <w:p>
      <w:pPr>
        <w:pStyle w:val="Heading4"/>
      </w:pPr>
      <w:r>
        <w:t>La Supériorité de la vie de foi (</w:t>
      </w:r>
      <w:hyperlink r:id="rId6364">
        <w:r>
          <w:rPr>
            <w:color w:val="0000EE"/>
            <w:u w:val="single"/>
          </w:rPr>
          <w:t>11.1–12.29</w:t>
        </w:r>
      </w:hyperlink>
      <w:r>
        <w:t>)</w:t>
      </w:r>
    </w:p>
    <w:p>
      <w:r/>
      <w:r>
        <w:t>Le traitement de la foi et de l'endurance comme solution au découragement (</w:t>
      </w:r>
      <w:hyperlink r:id="rId6365">
        <w:r>
          <w:rPr>
            <w:color w:val="0000EE"/>
            <w:u w:val="single"/>
          </w:rPr>
          <w:t>10.36–38</w:t>
        </w:r>
      </w:hyperlink>
      <w:r>
        <w:t>) incite à une réflexion plus approfondie sur le thème de la foi. La foi est un concept important dans le livre d'Hébreux, comme le montre le fait que le mot apparaît environ trente-cinq fois dans la lettre. L'idée paulinienne de la foi comme moyen de justification légale est adaptée aux circonstances particulières des chrétiens juifs menacés. Le concept de foi est plus large dans ce livre que la foi strictement salvatrice abordée par Paul, car il conduit au salut spirituel (</w:t>
      </w:r>
      <w:hyperlink r:id="rId6366">
        <w:r>
          <w:rPr>
            <w:color w:val="0000EE"/>
            <w:u w:val="single"/>
          </w:rPr>
          <w:t>11.39–40</w:t>
        </w:r>
      </w:hyperlink>
      <w:r>
        <w:t>). La foi est le pouvoir par lequel les réalités invisibles du ciel sont saisies pour satisfaire l'âme. La foi permet au disciple chrétien de voir le monde et d'interpréter le cours de l'histoire du point de vue divin. La foi est le moyen de victoire sur le monde du péché et du malheur. Par la foi, le croyant s'approche du trône de la grâce (</w:t>
      </w:r>
      <w:hyperlink r:id="rId6309">
        <w:r>
          <w:rPr>
            <w:color w:val="0000EE"/>
            <w:u w:val="single"/>
          </w:rPr>
          <w:t>4.16</w:t>
        </w:r>
      </w:hyperlink>
      <w:r>
        <w:t>) avec confiance et assurance que Dieu lui permettra de vaincre.</w:t>
      </w:r>
    </w:p>
    <w:p>
      <w:r/>
      <w:r>
        <w:t>La victoire qu'offre la foi est amplement illustrée par l'histoire du peuple de Dieu dans l'AT. Abel, Hénoc et Noé dans l'histoire primitive ; Abraham, le père de la foi ; Moïse, le chef de la jeune nation ; et de nombreux prophètes et martyrs vaillants servent de mémoriaux vivants au pouvoir triomphant de la foi. Et pourtant, Dieu a quelque chose de meilleur en réserve pour son peuple sanctifié, l'Église (</w:t>
      </w:r>
      <w:hyperlink r:id="rId6367">
        <w:r>
          <w:rPr>
            <w:color w:val="0000EE"/>
            <w:u w:val="single"/>
          </w:rPr>
          <w:t>11.40</w:t>
        </w:r>
      </w:hyperlink>
      <w:r>
        <w:t>) : la réalité du Christ vivant.</w:t>
      </w:r>
    </w:p>
    <w:p>
      <w:r/>
      <w:r>
        <w:t xml:space="preserve">Cependant, le plus grand modèle d'endurance inébranlable dans la souffrance est Jésus, « </w:t>
      </w:r>
      <w:r>
        <w:t>celui qui est l'initiateur de la foi et qui la mène à son accomplissement</w:t>
      </w:r>
      <w:r>
        <w:t xml:space="preserve"> » (</w:t>
      </w:r>
      <w:hyperlink r:id="rId1350">
        <w:r>
          <w:rPr>
            <w:color w:val="0000EE"/>
            <w:u w:val="single"/>
          </w:rPr>
          <w:t>12.2</w:t>
        </w:r>
      </w:hyperlink>
      <w:r>
        <w:t xml:space="preserve">, TOB2010). Lorsqu'il est entouré d'épreuves, le chrétien doit se rappeler de Christ, qui, en prévision de la couronne céleste, a enduré la croix et sa honte. Les épreuves du chrétien sont insignifiantes comparées à ce que Jésus-Christ a été appelé à souffrir (v. </w:t>
      </w:r>
      <w:hyperlink r:id="rId690">
        <w:r>
          <w:rPr>
            <w:color w:val="0000EE"/>
            <w:u w:val="single"/>
          </w:rPr>
          <w:t>3</w:t>
        </w:r>
      </w:hyperlink>
      <w:r>
        <w:t xml:space="preserve">). De plus, pour le peuple de Dieu, la souffrance et la persécution se révèlent être des bénédictions déguisées. Le bâton de la discipline confirme notre statut d'enfants du Dieu vivant (v. </w:t>
      </w:r>
      <w:hyperlink r:id="rId6368">
        <w:r>
          <w:rPr>
            <w:color w:val="0000EE"/>
            <w:u w:val="single"/>
          </w:rPr>
          <w:t>5–10</w:t>
        </w:r>
      </w:hyperlink>
      <w:r>
        <w:t xml:space="preserve">). Mais au-delà de cela, le Dieu souverain est capable de transformer la souffrance du chrétien en bénédiction inestimable (v. </w:t>
      </w:r>
      <w:hyperlink r:id="rId4241">
        <w:r>
          <w:rPr>
            <w:color w:val="0000EE"/>
            <w:u w:val="single"/>
          </w:rPr>
          <w:t>11</w:t>
        </w:r>
      </w:hyperlink>
      <w:r>
        <w:t xml:space="preserve">). Ainsi, les saints vacillants devraient s'efforcer d'atteindre la plénitude spirituelle et la maturité, en prenant soin de ne pas être surmontés par l'amertume et le ressentiment (v. </w:t>
      </w:r>
      <w:hyperlink r:id="rId6369">
        <w:r>
          <w:rPr>
            <w:color w:val="0000EE"/>
            <w:u w:val="single"/>
          </w:rPr>
          <w:t>15</w:t>
        </w:r>
      </w:hyperlink>
      <w:r>
        <w:t>).</w:t>
      </w:r>
    </w:p>
    <w:p>
      <w:pPr>
        <w:pStyle w:val="Heading4"/>
      </w:pPr>
      <w:r>
        <w:t>Exhortations finales et bénédiction (</w:t>
      </w:r>
      <w:hyperlink r:id="rId6370">
        <w:r>
          <w:rPr>
            <w:color w:val="0000EE"/>
            <w:u w:val="single"/>
          </w:rPr>
          <w:t>13.1–25</w:t>
        </w:r>
      </w:hyperlink>
      <w:r>
        <w:t>)</w:t>
      </w:r>
    </w:p>
    <w:p>
      <w:r/>
      <w:r>
        <w:t>Dans ses mots de clôture, l'auteur exhorte ses amis chrétiens à rester fidèles aux tâches qui se trouvent devant eux. Ils doivent démontrer un amour constant envers les frères, offrir l'hospitalité aux étrangers, préserver la sainteté du mariage, être satisfaits de ce qu'ils possèdent actuellement et obéir à leurs dirigeants spirituels (</w:t>
      </w:r>
      <w:hyperlink r:id="rId6371">
        <w:r>
          <w:rPr>
            <w:color w:val="0000EE"/>
            <w:u w:val="single"/>
          </w:rPr>
          <w:t>13.1–7</w:t>
        </w:r>
      </w:hyperlink>
      <w:r>
        <w:t>).</w:t>
      </w:r>
    </w:p>
    <w:p>
      <w:r/>
      <w:r>
        <w:t xml:space="preserve">Les lecteurs sont avertis contre la tromperie des Judaïsants, qui les égareraient loin de Jésus-Christ, celui qui demeure « </w:t>
      </w:r>
      <w:r>
        <w:t>le même hier, aujourd’hui, et éternellement</w:t>
      </w:r>
      <w:r>
        <w:t xml:space="preserve"> » (</w:t>
      </w:r>
      <w:hyperlink r:id="rId6372">
        <w:r>
          <w:rPr>
            <w:color w:val="0000EE"/>
            <w:u w:val="single"/>
          </w:rPr>
          <w:t>13.8</w:t>
        </w:r>
      </w:hyperlink>
      <w:r>
        <w:t xml:space="preserve">). La détermination spirituelle est renforcée en rappelant l'exemple de Christ, qui « a souffert </w:t>
      </w:r>
      <w:r>
        <w:t>hors de la porte de la ville</w:t>
      </w:r>
      <w:r>
        <w:t xml:space="preserve"> » pour leur salut (v. </w:t>
      </w:r>
      <w:hyperlink r:id="rId6373">
        <w:r>
          <w:rPr>
            <w:color w:val="0000EE"/>
            <w:u w:val="single"/>
          </w:rPr>
          <w:t>12</w:t>
        </w:r>
      </w:hyperlink>
      <w:r>
        <w:t xml:space="preserve">, NBS). En tant que peuple de Dieu, ils sont mis au défi de suivre Christ « hors du camp », portant des outrages pour lui (v. </w:t>
      </w:r>
      <w:hyperlink r:id="rId6374">
        <w:r>
          <w:rPr>
            <w:color w:val="0000EE"/>
            <w:u w:val="single"/>
          </w:rPr>
          <w:t>13</w:t>
        </w:r>
      </w:hyperlink>
      <w:r>
        <w:t xml:space="preserve">). L'endurance patiente est possible lorsque le chrétien réalise qu'il n'a pas de ville durable ici (v. </w:t>
      </w:r>
      <w:hyperlink r:id="rId6375">
        <w:r>
          <w:rPr>
            <w:color w:val="0000EE"/>
            <w:u w:val="single"/>
          </w:rPr>
          <w:t>14</w:t>
        </w:r>
      </w:hyperlink>
      <w:r>
        <w:t>). Son objectif est la Jérusalem céleste, la ville éternelle de Dieu.</w:t>
      </w:r>
    </w:p>
    <w:p>
      <w:r/>
      <w:r>
        <w:t>La lettre anonyme aux « Hébreux » inconnus se termine par une bénédiction glorieuse. Le Dieu des chrétiens est décrit comme le grand « Dieu de paix » (</w:t>
      </w:r>
      <w:hyperlink r:id="rId1819">
        <w:r>
          <w:rPr>
            <w:color w:val="0000EE"/>
            <w:u w:val="single"/>
          </w:rPr>
          <w:t>13.20</w:t>
        </w:r>
      </w:hyperlink>
      <w:r>
        <w:t xml:space="preserve">), et Jésus est « le grand berger des brebis » (TOB2010), qui a établi une alliance nouvelle et éternelle et qui est ensuite ressuscité triomphant des morts. La promesse suivante est faite à l'âme confiante : le Dieu trinitaire « </w:t>
      </w:r>
      <w:r>
        <w:t>vous [rendra] capables de toute bonne œuvre pour l’accomplissement de sa volonté</w:t>
      </w:r>
      <w:r>
        <w:t xml:space="preserve"> » (v. </w:t>
      </w:r>
      <w:hyperlink r:id="rId6376">
        <w:r>
          <w:rPr>
            <w:color w:val="0000EE"/>
            <w:u w:val="single"/>
          </w:rPr>
          <w:t>21</w:t>
        </w:r>
      </w:hyperlink>
      <w:r>
        <w:t>).</w:t>
      </w:r>
    </w:p>
    <w:p>
      <w:r/>
      <w:r>
        <w:t>La lettre aux Hébreux est riche en enseignements doctrinaux. Elle révèle plus sur le Jésus historique que toute autre lettre du NT. Elle seule explique l'œuvre expiatoire de Christ sous l'angle du prêtre selon l'ordre de Melchisédek. Le traitement de la repentance, la justification, la sanctification et la persévérance dans cette lettre en fait une mine d'enseignements concernant le salut. Son explication de l'ancienne et de la nouvelle alliances, du jugement imminent et du monde à venir apporte une contribution significative à la théologie chrétienne. De plus, l'enseignement de la lettre sur la foi, l'endurance et la vie pratique chrétienne fait d'Hébreux l'un des documents les plus importants que Dieu a donnés à l'Église.</w:t>
      </w:r>
      <w:r/>
      <w:r/>
    </w:p>
    <w:p>
      <w:r/>
    </w:p>
    <w:p>
      <w:pPr>
        <w:pStyle w:val="Heading2"/>
      </w:pPr>
      <w:r>
        <w:t>Hébron (Lieu)</w:t>
      </w:r>
      <w:r/>
    </w:p>
    <w:p>
      <w:pPr>
        <w:pStyle w:val="ListNumber"/>
        <w:spacing w:line="240" w:lineRule="auto"/>
        <w:ind w:left="720"/>
      </w:pPr>
      <w:r/>
      <w:r>
        <w:t>Hébron est une ville ancienne qui existe encore aujourd'hui. Elle a été construite à l'extrémité sud d'une chaîne de montagnes qui traverse le milieu de la terre de Palestine. À l'époque des patriarches (Abraham, Isaac et Jacob), elle s'appelait Kirjath-Arba (</w:t>
      </w:r>
      <w:hyperlink r:id="rId6377">
        <w:r>
          <w:rPr>
            <w:color w:val="0000EE"/>
            <w:u w:val="single"/>
          </w:rPr>
          <w:t>Gn 23.2</w:t>
        </w:r>
      </w:hyperlink>
      <w:r>
        <w:t>). Elle se tenait sur une colline nommée El Arbain. La ville moderne d'Hébron s'étend maintenant sur les deux crêtes de la montagne.</w:t>
      </w:r>
    </w:p>
    <w:p>
      <w:pPr>
        <w:pStyle w:val="Heading3"/>
      </w:pPr>
      <w:r>
        <w:rPr>
          <w:b/>
        </w:rPr>
        <w:t>Emplacement et géographie</w:t>
      </w:r>
    </w:p>
    <w:p>
      <w:r/>
      <w:r>
        <w:t>Hébron se trouve à environ 40 km au sud-ouest de Jérusalem. Elle est à moins de 3 km de Mamré, où Abraham a vécu pendant de nombreuses années. Hébron est située à environ 1 000 m au-dessus du niveau de la mer. Le terrain descend rapidement vers l'est mais s'incline plus doucement vers l'ouest et le sud.</w:t>
      </w:r>
    </w:p>
    <w:p>
      <w:r/>
      <w:r>
        <w:t>Le sol de cette région est favorable à l'agriculture. De nombreux fruits (comme les pommes, les prunes, les figues, les grenades et les abricots), ainsi que les noix et les légumes, y poussent bien. Au sud se trouve le Néguev, qui offre de bonnes terres pour le pâturage des animaux. De nombreuses sources et puits fournissent de l'eau aux habitants.</w:t>
      </w:r>
    </w:p>
    <w:p>
      <w:pPr>
        <w:pStyle w:val="Heading3"/>
      </w:pPr>
      <w:r>
        <w:rPr>
          <w:b/>
        </w:rPr>
        <w:t>Hébron dans la vie d'Abraham</w:t>
      </w:r>
    </w:p>
    <w:p>
      <w:r/>
      <w:r>
        <w:t>Dans l'Ancien Testament, Hébron comprenait une zone voisine appelée Mamré. Abraham y construira un autel au Seigneur après que lui et Lot se sont séparés (</w:t>
      </w:r>
      <w:hyperlink r:id="rId2459">
        <w:r>
          <w:rPr>
            <w:color w:val="0000EE"/>
            <w:u w:val="single"/>
          </w:rPr>
          <w:t>Gn 13.18</w:t>
        </w:r>
      </w:hyperlink>
      <w:r>
        <w:t>). Abraham y apprend également que Lot avait été capturé (</w:t>
      </w:r>
      <w:hyperlink r:id="rId6378">
        <w:r>
          <w:rPr>
            <w:color w:val="0000EE"/>
            <w:u w:val="single"/>
          </w:rPr>
          <w:t>14.12–16</w:t>
        </w:r>
      </w:hyperlink>
      <w:r>
        <w:t xml:space="preserve">). Plus tard, il y accueille trois anges qui lui annonceront que Sodome et Gomorrhe seraient bientôt détruites (chap. </w:t>
      </w:r>
      <w:hyperlink r:id="rId95">
        <w:r>
          <w:rPr>
            <w:color w:val="0000EE"/>
            <w:u w:val="single"/>
          </w:rPr>
          <w:t>18</w:t>
        </w:r>
      </w:hyperlink>
      <w:r>
        <w:t>).</w:t>
      </w:r>
    </w:p>
    <w:p>
      <w:r/>
      <w:r>
        <w:t>La femme d'Abraham, Sara, meurt à Hébron. Abraham achètera la grotte de Macpéla pour l'y enterrer (</w:t>
      </w:r>
      <w:hyperlink r:id="rId6379">
        <w:r>
          <w:rPr>
            <w:color w:val="0000EE"/>
            <w:u w:val="single"/>
          </w:rPr>
          <w:t>Gn 23.8–9, 17</w:t>
        </w:r>
      </w:hyperlink>
      <w:r>
        <w:t xml:space="preserve"> ; </w:t>
      </w:r>
      <w:hyperlink r:id="rId6380">
        <w:r>
          <w:rPr>
            <w:color w:val="0000EE"/>
            <w:u w:val="single"/>
          </w:rPr>
          <w:t>25.9–10</w:t>
        </w:r>
      </w:hyperlink>
      <w:r>
        <w:t xml:space="preserve"> ; </w:t>
      </w:r>
      <w:hyperlink r:id="rId6381">
        <w:r>
          <w:rPr>
            <w:color w:val="0000EE"/>
            <w:u w:val="single"/>
          </w:rPr>
          <w:t>49.29–32</w:t>
        </w:r>
      </w:hyperlink>
      <w:r>
        <w:t xml:space="preserve"> ; </w:t>
      </w:r>
      <w:hyperlink r:id="rId6382">
        <w:r>
          <w:rPr>
            <w:color w:val="0000EE"/>
            <w:u w:val="single"/>
          </w:rPr>
          <w:t>50.12–13</w:t>
        </w:r>
      </w:hyperlink>
      <w:r>
        <w:t>). Aujourd'hui, cette grotte se trouve à l'intérieur de la ville moderne. La célèbre mosquée de Haram el-Khalil a été construite au-dessus.</w:t>
      </w:r>
    </w:p>
    <w:p>
      <w:pPr>
        <w:pStyle w:val="Heading3"/>
      </w:pPr>
      <w:r>
        <w:rPr>
          <w:b/>
        </w:rPr>
        <w:t>Hébron à l'époque de Moïse et de Josué</w:t>
      </w:r>
    </w:p>
    <w:p>
      <w:r/>
      <w:r>
        <w:t>Lorsque les Israélites quittent l'Égypte, Moïse enverra douze espions pour explorer la terre que Dieu leur avait promise. Ils commenceront au sud et traverseront les hautes terres centrales de la Palestine, s'étendant de Kadès-Barnéa jusqu'à Rehob en passant par Hébron (</w:t>
      </w:r>
      <w:hyperlink r:id="rId6383">
        <w:r>
          <w:rPr>
            <w:color w:val="0000EE"/>
            <w:u w:val="single"/>
          </w:rPr>
          <w:t>Nb 13.17–21</w:t>
        </w:r>
      </w:hyperlink>
      <w:r>
        <w:t>).</w:t>
      </w:r>
    </w:p>
    <w:p>
      <w:r/>
      <w:r>
        <w:t xml:space="preserve">Les espions en rapportéront des fruits pour montrer à quel point la terre était bonne et productive (v. </w:t>
      </w:r>
      <w:hyperlink r:id="rId6384">
        <w:r>
          <w:rPr>
            <w:color w:val="0000EE"/>
            <w:u w:val="single"/>
          </w:rPr>
          <w:t>23–24</w:t>
        </w:r>
      </w:hyperlink>
      <w:r>
        <w:t>). Ils y verront également des personnes très grandes vivant à Hébron, cependant. Ces personnes étaient appelées les fils d'Anak (</w:t>
      </w:r>
      <w:hyperlink r:id="rId5910">
        <w:r>
          <w:rPr>
            <w:color w:val="0000EE"/>
            <w:u w:val="single"/>
          </w:rPr>
          <w:t>Nb 13.33</w:t>
        </w:r>
      </w:hyperlink>
      <w:r>
        <w:t>). Dix des espions prendront peur et en feront un mauvais rapport.</w:t>
      </w:r>
    </w:p>
    <w:p>
      <w:r/>
      <w:r>
        <w:t>Seuls Caleb et Josué feront confiance à Dieu. En raison de leur foi, Dieu leur promet qu'ils recevraient une terre en Canaan. Caleb recevra Hébron comme héritage (</w:t>
      </w:r>
      <w:hyperlink r:id="rId6385">
        <w:r>
          <w:rPr>
            <w:color w:val="0000EE"/>
            <w:u w:val="single"/>
          </w:rPr>
          <w:t>Jos 14.9, 13</w:t>
        </w:r>
      </w:hyperlink>
      <w:r>
        <w:t>). Les dix espions qui ont douté de Dieu mourront de la peste (</w:t>
      </w:r>
      <w:hyperlink r:id="rId6386">
        <w:r>
          <w:rPr>
            <w:color w:val="0000EE"/>
            <w:u w:val="single"/>
          </w:rPr>
          <w:t>Nb 14.36–37</w:t>
        </w:r>
      </w:hyperlink>
      <w:r>
        <w:t>).</w:t>
      </w:r>
    </w:p>
    <w:p>
      <w:pPr>
        <w:pStyle w:val="Heading3"/>
      </w:pPr>
      <w:r>
        <w:t xml:space="preserve">Hébron dans </w:t>
      </w:r>
      <w:r>
        <w:rPr>
          <w:b/>
        </w:rPr>
        <w:t>les autres événements de l'Ancien Testament</w:t>
      </w:r>
    </w:p>
    <w:p>
      <w:r/>
      <w:r>
        <w:t>À l'époque des juges, le puissant Samson portera les portes de Gaza jusqu'à Hébron (</w:t>
      </w:r>
      <w:hyperlink r:id="rId1253">
        <w:r>
          <w:rPr>
            <w:color w:val="0000EE"/>
            <w:u w:val="single"/>
          </w:rPr>
          <w:t>Jg 16.3</w:t>
        </w:r>
      </w:hyperlink>
      <w:r>
        <w:t>).</w:t>
      </w:r>
    </w:p>
    <w:p>
      <w:r/>
      <w:r>
        <w:t>Plus tard, Saül (le premier roi d'Israël) meurt et David devint roi sur Juda et Benjamin à Hébron (</w:t>
      </w:r>
      <w:hyperlink r:id="rId6387">
        <w:r>
          <w:rPr>
            <w:color w:val="0000EE"/>
            <w:u w:val="single"/>
          </w:rPr>
          <w:t>2S 2.1</w:t>
        </w:r>
      </w:hyperlink>
      <w:r>
        <w:t>). David choisira Hébron du fait de son emplacement central, éloigné des Philistins à l'ouest et des Amalécites au sud. La ville était également facile à protéger des ennemis.</w:t>
      </w:r>
    </w:p>
    <w:p>
      <w:r/>
      <w:r>
        <w:t>Hébron était une ville importante car des routes commerciales majeures la traversaient. Cependant, lorsque David devient roi de tout Israël, il déplacera sa capitale à Jérusalem. Ce changement a peut-être contrarié les habitants d'Hébron.</w:t>
      </w:r>
    </w:p>
    <w:p>
      <w:r/>
      <w:r>
        <w:t>Absalom, l'un des fils de David, commence sa rébellion à Hébron. Il espérait devenir roi à la place de son père (</w:t>
      </w:r>
      <w:hyperlink r:id="rId6388">
        <w:r>
          <w:rPr>
            <w:color w:val="0000EE"/>
            <w:u w:val="single"/>
          </w:rPr>
          <w:t>2S 15.7–12</w:t>
        </w:r>
      </w:hyperlink>
      <w:r>
        <w:t>). Après la mort de Salomon, le royaume d'Israël sera divisé. Roboam, le fils de Salomon, devient roi du royaume du sud. Il renforcera la ville d'Hébron parce qu'il craignait une attaque de l'Égypte à sa frontière sud (</w:t>
      </w:r>
      <w:hyperlink r:id="rId6389">
        <w:r>
          <w:rPr>
            <w:color w:val="0000EE"/>
            <w:u w:val="single"/>
          </w:rPr>
          <w:t>2Ch 11.1–12</w:t>
        </w:r>
      </w:hyperlink>
      <w:r>
        <w:t>). Après cela, l'Ancien Testament ne mentionne plus Hébron.</w:t>
      </w:r>
    </w:p>
    <w:p>
      <w:pPr>
        <w:pStyle w:val="ListNumber"/>
        <w:spacing w:line="240" w:lineRule="auto"/>
        <w:ind w:left="720"/>
      </w:pPr>
      <w:r/>
      <w:r>
        <w:t xml:space="preserve">La ville appelée Ébron dans </w:t>
      </w:r>
      <w:hyperlink r:id="rId6390">
        <w:r>
          <w:rPr>
            <w:color w:val="0000EE"/>
            <w:u w:val="single"/>
          </w:rPr>
          <w:t>Jos 19.28</w:t>
        </w:r>
      </w:hyperlink>
      <w:r>
        <w:t xml:space="preserve"> est un lieu différent, malgré un nom très similaire qui pourrait laisser penser que les deux villes sont apparentées. </w:t>
      </w:r>
    </w:p>
    <w:p>
      <w:r/>
      <w:r>
        <w:rPr>
          <w:i/>
        </w:rPr>
        <w:t>Voir</w:t>
      </w:r>
      <w:r>
        <w:t xml:space="preserve"> </w:t>
      </w:r>
      <w:r>
        <w:t>Ébron</w:t>
      </w:r>
      <w:r>
        <w:t>.</w:t>
      </w:r>
      <w:r/>
      <w:r/>
    </w:p>
    <w:p>
      <w:r/>
    </w:p>
    <w:p>
      <w:pPr>
        <w:pStyle w:val="Heading2"/>
      </w:pPr>
      <w:r>
        <w:t>Hégué, Hege</w:t>
      </w:r>
      <w:r/>
    </w:p>
    <w:p>
      <w:r/>
      <w:r>
        <w:t>Gestionnaire de la maison d'Assuérus et gardien de son harem lorsque Esther a été choisie comme reine (</w:t>
      </w:r>
      <w:hyperlink r:id="rId5137">
        <w:r>
          <w:rPr>
            <w:color w:val="0000EE"/>
            <w:u w:val="single"/>
          </w:rPr>
          <w:t>Est 2.3</w:t>
        </w:r>
      </w:hyperlink>
      <w:r>
        <w:t>).</w:t>
      </w:r>
      <w:r/>
      <w:r/>
    </w:p>
    <w:p>
      <w:r/>
    </w:p>
    <w:p>
      <w:pPr>
        <w:pStyle w:val="Heading2"/>
      </w:pPr>
      <w:r>
        <w:t>Héliopolis</w:t>
      </w:r>
      <w:r/>
    </w:p>
    <w:p>
      <w:r/>
      <w:r>
        <w:t>Une ancienne ville égyptienne connue pour son culte du dieu soleil Rê. Son nom signifie « ville du soleil ». Elle était située dans la région du delta du Nil en Basse-Égypte, près du Caire moderne. Héliopolis a gagné en importance vers 2400 av. J.‑C. lorsque Atoum-Rê est devenu la divinité principale. De nombreux pharaons ont amélioré les temples de la ville et construit des monuments, surtout pendant la période du Nouvel Empire (1570–1150 av. J.‑C.).</w:t>
      </w:r>
    </w:p>
    <w:p>
      <w:r/>
      <w:r>
        <w:t>Les temples d'Héliopolis conservaient les archives royales, ce qui fera des prêtres les historiens officiels de l'Égypte. Hérodote, un historien grec du 5e siècle avant J.‑C., a affirmé que les prêtres d'Héliopolis étaient célèbres pour leur connaissance de l'histoire égyptienne. La ville possédait également des écoles pour les prêtres et une école de médecine.</w:t>
      </w:r>
    </w:p>
    <w:p>
      <w:r/>
      <w:r>
        <w:t>Il existait d'autres centres de culte solaire en Égypte, mais Héliopolis est restée populaire pendant environ deux mille ans. Bien qu'elle n'ait pas été très importante politiquement, elle a exercé une grande influence sur la religion. Le temple de Rê à Héliopolis était le deuxième plus grand édifice religieux d'Égypte, après le temple d'Amon à Thèbes.</w:t>
      </w:r>
    </w:p>
    <w:p>
      <w:r/>
      <w:r>
        <w:t>Dans l'Ancien Testament, Héliopolis est appelée On. Lorsque Joseph travaillait pour le gouvernement égyptien, il épouse Asnath, dont le père (Poti-Phéra) était prêtre d'On (</w:t>
      </w:r>
      <w:hyperlink r:id="rId6391">
        <w:r>
          <w:rPr>
            <w:color w:val="0000EE"/>
            <w:u w:val="single"/>
          </w:rPr>
          <w:t>Gn 41.45, 50</w:t>
        </w:r>
      </w:hyperlink>
      <w:r>
        <w:t xml:space="preserve"> ; </w:t>
      </w:r>
      <w:hyperlink r:id="rId1409">
        <w:r>
          <w:rPr>
            <w:color w:val="0000EE"/>
            <w:u w:val="single"/>
          </w:rPr>
          <w:t>46.20</w:t>
        </w:r>
      </w:hyperlink>
      <w:r>
        <w:t>). Le prophète Ézéchiel avertit que le roi babylonien Nebucadnetsar détruirait des villes égyptiennes, y compris Héliopolis (</w:t>
      </w:r>
      <w:hyperlink r:id="rId6392">
        <w:r>
          <w:rPr>
            <w:color w:val="0000EE"/>
            <w:u w:val="single"/>
          </w:rPr>
          <w:t>Ez 30.17</w:t>
        </w:r>
      </w:hyperlink>
      <w:r>
        <w:t>).</w:t>
      </w:r>
    </w:p>
    <w:p>
      <w:r/>
      <w:r>
        <w:t>Dans le livre d'</w:t>
      </w:r>
      <w:hyperlink r:id="rId6393">
        <w:r>
          <w:rPr>
            <w:color w:val="0000EE"/>
            <w:u w:val="single"/>
          </w:rPr>
          <w:t>Amos 1.5</w:t>
        </w:r>
      </w:hyperlink>
      <w:r>
        <w:t>, certaines traductions proposent une autre manière de lire « Bikath-Aven ». Par exemple, la version anglaise de la RSV suggère « On » comme une autre traduction possible, en marge.</w:t>
      </w:r>
    </w:p>
    <w:p>
      <w:r/>
      <w:r>
        <w:t>Jérémie dit également que les colonnes sacrées d'Héliopolis seraient détruites (</w:t>
      </w:r>
      <w:hyperlink r:id="rId6394">
        <w:r>
          <w:rPr>
            <w:color w:val="0000EE"/>
            <w:u w:val="single"/>
          </w:rPr>
          <w:t>Jr 43.13</w:t>
        </w:r>
      </w:hyperlink>
      <w:r>
        <w:t xml:space="preserve">). </w:t>
      </w:r>
      <w:hyperlink r:id="rId6235">
        <w:r>
          <w:rPr>
            <w:color w:val="0000EE"/>
            <w:u w:val="single"/>
          </w:rPr>
          <w:t>Ésaïe 19.18</w:t>
        </w:r>
      </w:hyperlink>
      <w:r>
        <w:t xml:space="preserve"> pourrait également faire référence à Héliopolis.</w:t>
      </w:r>
    </w:p>
    <w:p>
      <w:r/>
      <w:r>
        <w:t>Héliopolis a perdu de l'importance aux 4e et 3e siècles av. J.‑C., en partie à cause de la nouvelle bibliothèque d'Alexandrie. Alexandrie est devenue le principal centre d'éducation de l'Égypte.</w:t>
      </w:r>
    </w:p>
    <w:p>
      <w:r/>
      <w:r>
        <w:t>Aujourd'hui, il ne reste pas grand-chose de l'ancienne ville du soleil, mais on peut encore voir un obélisque construit par Sésostris 1er sur le site d'Héliopolis. Sésostris 1er a régné sur l'Égypte de 1971 à 1928 av. J.‑C. Plusieurs obélisques d'Héliopolis, construits par Thoutmôsis III, ont été déplacés dans différentes parties du monde à l'époque moderne. Thoutmôsis III a régné sur l'Égypte de 1490 à 1436 av. J.‑C.</w:t>
      </w:r>
      <w:r/>
      <w:r/>
    </w:p>
    <w:p>
      <w:r/>
    </w:p>
    <w:p>
      <w:pPr>
        <w:pStyle w:val="Heading2"/>
      </w:pPr>
      <w:r>
        <w:t>Hellénisme</w:t>
      </w:r>
      <w:r/>
    </w:p>
    <w:p>
      <w:r/>
      <w:r>
        <w:t>Mélange unique d'idéaux culturels, philosophiques et éthiques grecs qui a profondément influencé le développement de la culture dans le monde méditerranéen. Bien que les origines du mouvement soient apparues bien avant, l'ère hellénistique est généralement considérée comme ayant commencé en 323 av. J.‑C., avec la mort d'Alexandre, et comme s'étant poursuivie jusqu'en l'an 30 av. J.‑C., lorsque Rome a conquis l'Égypte, ou (plus probablement) jusqu'en 300 apr. J.‑C., dans le sens où Rome elle-même a été culturellement conquise par l'hellénisme.</w:t>
      </w:r>
    </w:p>
    <w:p>
      <w:r/>
      <w:r>
        <w:t>Survol</w:t>
      </w:r>
    </w:p>
    <w:p>
      <w:r/>
      <w:r>
        <w:t xml:space="preserve">• </w:t>
      </w:r>
      <w:r>
        <w:rPr>
          <w:b/>
          <w:u w:val="single"/>
        </w:rPr>
        <w:t>Époque hellénistique</w:t>
      </w:r>
    </w:p>
    <w:p>
      <w:r/>
      <w:r>
        <w:t xml:space="preserve">• </w:t>
      </w:r>
      <w:r>
        <w:rPr>
          <w:b/>
          <w:u w:val="single"/>
        </w:rPr>
        <w:t>Hellénisme et judaïsme</w:t>
      </w:r>
    </w:p>
    <w:p>
      <w:r/>
      <w:r>
        <w:t xml:space="preserve">• </w:t>
      </w:r>
      <w:r>
        <w:rPr>
          <w:b/>
          <w:u w:val="single"/>
        </w:rPr>
        <w:t>Hellénisme et christianisme</w:t>
      </w:r>
    </w:p>
    <w:p>
      <w:pPr>
        <w:pStyle w:val="Heading3"/>
      </w:pPr>
      <w:r>
        <w:t>Âge hellénistique</w:t>
      </w:r>
    </w:p>
    <w:p>
      <w:r/>
      <w:r>
        <w:t>Alexandre le Grand était plus qu'un simple conquérant militaire. Il a établi la culture hellénistique comme norme dans son royaume tout entier. Il a enseigné aux peuples conquis la langue et les coutumes grecques, et il a fondé de nouvelles villes grecques (trente-quatre au total), telles qu'Alexandrie en Égypte, qui sont devenues des bastions de l'hellénisme. Son accomplissement majeur n'était pas tant territorial que culturel ; après lui, l'hellénisme a dominé le monde occidental pendant des siècles. C'est Alexandre qui a assuré le triomphe du dialecte attique koinè (parler commun) sur les autres dialectes grecs, et celui-ci est devenu l'atout principale dans l'hellénisation de l'Orient. Le dialecte koinè devait être le principe de base de l'acceptation de l'hellénisme par les peuples soumis. La première période après sa mort serait marquée par la dissolution de l'empire d'Alexandre et un équilibre émergent des pouvoirs parmi les forces de Ptolémée, qui contrôlait l'Égypte et la Palestine ; Séleucos, qui régnait sur Babylone et l'Asie Mineure ; et Antipater (suivi par Antigone), qui régnait sur la Macédoine et l'Hellespont.</w:t>
      </w:r>
    </w:p>
    <w:p>
      <w:r/>
      <w:r>
        <w:t>En Orient, le siècle suivant sera marqué par des escarmouches intermittentes entre Ptolémées et Séleucides, ce qui aura pour conséquence que la Palestine deviendra un État tampon entre les deux. Une différence importante est que les Ptolémées possédaient un royaume unifié et n'étaient donc pas intéressés par le changement ; sous leur règne, la Palestine jouissait d'une autonomie culturelle et religieuse. Cependant, les Séleucides contrôlaient de nombreux groupes différents et tenteront donc de les unir en leur imposant l'hellénisation. Cela conduira finalement à la révolte réussie des Juifs sous les Maccabées et à la désintégration des deux empires. À l'Ouest, Rome s'est progressivement impliquée dans les affaires grecques et en 149 av. J.‑C. elle contrôlera politiquement les terres grecques, tandis qu'elle-même était culturellement influencée par les idéaux grecs.</w:t>
      </w:r>
    </w:p>
    <w:p>
      <w:r/>
      <w:r>
        <w:t>Durant cette période, une classe moyenne croissante émergeait, en partie parce que les conquêtes d'Alexandre avaient conduit à une vaste dispersion des Grecs dans les terres conquises. La redistribution des richesses qui en a résulté reposait sur une éducation grecque et une acceptation des idéaux hellénistiques. Le terme « civilisé » en est venu à être associé au mode de vie grec. L'éducation était dominée par l'idée d'une rhétorique solide, si bien que le style l'emportait sur la vérité. Le théâtre grec s'est orienté vers la comédie, qui soulignait le réalisme des émotions humaines, et l'art hellénistique est devenu encore plus naturaliste que durant la période classique.</w:t>
      </w:r>
    </w:p>
    <w:p>
      <w:r/>
      <w:r>
        <w:t xml:space="preserve">La philosophie s'est également développée, avec au moins trois écoles qui ont émergé pour dominer la pensée grecque pendant les siècles suivants. Il est intéressant de noter que toutes trois se concentraient sur l'éthique pratique plutôt que sur la quête classique de la vérité et de la connaissance. Les Cyniques, fondés par Diogène, insistaient sur une autosuffisance totale qui laissait l'individu dans un vide social, mais lui apprenait à faire face à la misère humaine. Les deux écoles les plus influentes étaient les Épicuriens et les Stoïciens. Épicure cherchait la liberté de l'anxiété ou de la peur et enseignait que la paix de l'âme ne pouvait être dérivée que d'une expérience disciplinée et modérée des plaisirs. Le résultat était un retrait de la société vers sa propre individualité. Le stoïcisme, fondé par Zénon et nommé d'après le </w:t>
      </w:r>
      <w:r>
        <w:rPr>
          <w:i/>
        </w:rPr>
        <w:t>stoa</w:t>
      </w:r>
      <w:r>
        <w:t xml:space="preserve"> (porche) à Athènes où il enseignait, était similaire au cynisme dans son accent sur l'autosuffisance, mais il combinait cela avec un accent sur la fraternité humaine. Chaque personne devait s'efforcer d'atteindre la vertu et vivre au-dessus des vicissitudes de la vie. Cette dernière philosophie était devenue le centre de l'hellénisme à l'époque de Christ.</w:t>
      </w:r>
    </w:p>
    <w:p>
      <w:pPr>
        <w:pStyle w:val="Heading3"/>
      </w:pPr>
      <w:r>
        <w:t>Hellénisme et judaïsme</w:t>
      </w:r>
    </w:p>
    <w:p>
      <w:r/>
      <w:r>
        <w:t>Le judaïsme était pratiquement la seule culture à résister à l'empiétement de l'hellénisme. Par conséquent, la puissance de ce mouvement se manifeste dans la mesure où il a fini par imprégner le judaïsme.</w:t>
      </w:r>
    </w:p>
    <w:p>
      <w:r/>
      <w:r>
        <w:t xml:space="preserve">L'attrait de l'hellénisme était principalement ressenti par la noblesse de la haute société, et il était le plus fort dans les communautés juives de la Diaspora. Cependant, sous les Séleucides, le sacerdoce du temple était pro-helléniste, ce qui ajoutait une dimension religieuse à la pression économique sur les riches. Dès le départ, la Palestine était divisée en deux factions : la noblesse urbaine, qui tentait de faire de Jérusalem une autre </w:t>
      </w:r>
      <w:r>
        <w:rPr>
          <w:i/>
        </w:rPr>
        <w:t>polis</w:t>
      </w:r>
      <w:r>
        <w:t>, ou cité-État hellénistique, en ajoutant des éléments tels que des gymnases et le théâtre grec ; et les paysans agricoles pauvres, qui voyaient dans l'hellénisme une menace pour l'existence même du système mosaïque.</w:t>
      </w:r>
    </w:p>
    <w:p>
      <w:r/>
      <w:r>
        <w:t>Les Juifs devaient apprendre le grec koinè pour effectuer des transactions commerciales et participer aux affaires juridiques. L'archéologie montre que presque toutes les inscriptions en Palestine du IIIe siècle av. J.‑C. étaient en grec, et la traduction de la Torah en grec (la Septante) témoigne de la pénétration de la langue dans les communautés juives en dehors de la Palestine (communautés de la diaspora). L'école dans les villes hellénistiques s'appelait le gymnase, et l'éducation grecque était la clé de la citoyenneté. Alexandrie, en Égypte, est ainsi devenue le centre intellectuel du monde grec, et son influence sur la forte communauté juive de cette ville était considérable. Les Juifs aisés dans les terres de la Dispersion et même à Jérusalem étaient censés recevoir une éducation au gymnase. Beaucoup suivaient la pratique grecque de participer nus aux sports, comme on peut le voir dans la littérature de la période intertestamentaire, qui deviendra fortement antagoniste un siècle plus tard (en raison de l'aversion juive pour une telle exhibition publique). Les écoles de synagogue juives, en raison de la concurrence avec les gymnases, ont adopté des méthodes grecques. Le développement de la tradition scribale est en partie dû à cette interaction ; le mouvement s'éloignait du système oligarchique de l'ère du temple et se dirigeait vers une instruction démocratique de tout le peuple.</w:t>
      </w:r>
    </w:p>
    <w:p>
      <w:r/>
      <w:r>
        <w:t>La littérature et la philosophie juives ont été imprégnées de motifs hellénistiques. Cela se manifeste dans 1 et 2 Maccabées, qui reflètent l'historiographie grecque. L'influence hellénistique peut être notée dans pratiquement chaque œuvre juive de cette période. Le principal représentant en est évidemment Philon d'Alexandrie, dont l'interprétation allégorique de l'Ancien Testament était conçue pour rendre les enseignements juifs acceptables pour le monde hellénistique et vice versa. Cette attitude était assez courante. Le symbolisme de l'écriture apocalyptique juive a été influencé par une combinaison de thèmes hellénistiques et orientaux (principalement perses), et même le mouvement hyperconservateur des Esséniens a utilisé des formes de pensée façonnées par la pénétration du judaïsme par les idées hellénistiques et perses. L'accent mis sur la « connaissance éternelle » et le « mystère révélé » ainsi que la combinaison dualiste de l'histoire du salut et de l'anthropologie en sont la preuve. Bien entendu, l'influence n'était pas à sens unique. Le développement de la philosophie grecque a été fortement influencé par les formes sémitiques, en particulier phéniciennes ; et la forte piété juive était très attrayante pour l'esprit grec.</w:t>
      </w:r>
    </w:p>
    <w:p>
      <w:r/>
      <w:r>
        <w:t>Il serait exact de dire que même le judaïsme de la Palestine au premier siècle avant J.‑C. était un judaïsme hellénistique. L'universalité du grec koinè, l'infiltration de l'apprentissage et des schémas de pensée grecs, la traduction de la littérature juive en grec, et la pénétration des dispositifs rhétoriques hellénistiques, même dans la littérature du mouvement d'opposition, montrent la puissance de l'hellénisme en Palestine.</w:t>
      </w:r>
    </w:p>
    <w:p>
      <w:pPr>
        <w:pStyle w:val="Heading3"/>
      </w:pPr>
      <w:r>
        <w:t>Hellénisme et christianisme</w:t>
      </w:r>
    </w:p>
    <w:p>
      <w:r/>
      <w:r>
        <w:t xml:space="preserve">Certains chercheurs ont tenté de stratifier le christianisme primitif en périodes caractérisées par des perspectives palestiniennes, judéo-hellénistiques et hellénistiques. Cependant, comme le montrent les données ci-dessus, il ne s'agit pas d'uune tâche facile, car même la Judée a été influencée par les schémas de pensée grecs. Il est vrai que la position réactionnaire contre l'hellénisme dans le judaïsme est parallèle au conflit helléniste-hébreu présent dans </w:t>
      </w:r>
      <w:hyperlink r:id="rId205">
        <w:r>
          <w:rPr>
            <w:color w:val="0000EE"/>
            <w:u w:val="single"/>
          </w:rPr>
          <w:t>Actes 6</w:t>
        </w:r>
      </w:hyperlink>
      <w:r>
        <w:t xml:space="preserve"> et à la mission parmi les gentils. Cependant, dès les tout premiers stades, l'influence de l'hellénisme sur l'Église peut être notée. De plus, il devient pratiquement impossible de savoir si une phrase est tirée de sources palestiniennes ou hellénistiques, en raison de la pénétration mutuelle des deux en Palestine même, et de la nature bilingue de l'Église dès le début.</w:t>
      </w:r>
    </w:p>
    <w:p>
      <w:r/>
      <w:r>
        <w:t xml:space="preserve">Cela ne signifie pas qu'il n'y avait pas de différences du tout. Le contexte hellénistique d'Étienne lui a permis de voir les implications logiques de la terre et du temple comme types de Christ (voir </w:t>
      </w:r>
      <w:hyperlink r:id="rId6395">
        <w:r>
          <w:rPr>
            <w:color w:val="0000EE"/>
            <w:u w:val="single"/>
          </w:rPr>
          <w:t>Ac 6–7</w:t>
        </w:r>
      </w:hyperlink>
      <w:r>
        <w:t>), tandis que l'Église de Jérusalem, plus conservatrice, n'en faisait pas de même. De plus, une étude des discours dans Actes montre que le kérygme (prédication) s'est développé différemment pour les auditoires juifs et gentils. Le premier était centré sur l'accomplissement de l'Ancien Testament et le second sur la pénétration active de l'histoire par le seul vrai Dieu qui, contrairement aux idoles mortes, s'impliquait dans les affaires de l'homme.</w:t>
      </w:r>
    </w:p>
    <w:p>
      <w:r/>
      <w:r>
        <w:t xml:space="preserve">Le fait que le NT ait été écrit en grec koinè rend l'influence très directe. Des œuvres fortement orientées vers le judaïsme, telles que l'épître aux Hébreux ou Jacques, sont rédigées en grec soigné, et même les Évangiles, qui relatent la vie de Jésus dans un cadre juif, reflètent l'historiographie hellénistique (par exemple, un intérêt pour la signification théologique des événements historiques). Les idées les plus manifestement hellénistiques, bien entendu, se trouvent dans les Épîtres issues de la mission auprès des gentils. Les premiers hymnes comme </w:t>
      </w:r>
      <w:hyperlink r:id="rId6396">
        <w:r>
          <w:rPr>
            <w:color w:val="0000EE"/>
            <w:u w:val="single"/>
          </w:rPr>
          <w:t>Colossiens 1.15–22</w:t>
        </w:r>
      </w:hyperlink>
      <w:r>
        <w:t xml:space="preserve"> utilisent une terminologie des environs hellénistiques pour décrire la supériorité incomparable de Jésus sur les idéaux païens. L'accent placé sur la mission universelle, bien que basé sur les enseignements de Jésus, s'est développé pendant la mission auprès des gentils ; l'Église primitive l'a interprété en accord avec la théologie prosélyte juive, selon laquelle les Gentils devenaient chrétiens après être devenus juifs.</w:t>
      </w:r>
    </w:p>
    <w:p>
      <w:r/>
      <w:r>
        <w:rPr>
          <w:i/>
        </w:rPr>
        <w:t>Voir aussi</w:t>
      </w:r>
      <w:r>
        <w:t xml:space="preserve"> </w:t>
      </w:r>
      <w:r>
        <w:t>Épicuriens</w:t>
      </w:r>
      <w:r>
        <w:t xml:space="preserve"> ; </w:t>
      </w:r>
      <w:r>
        <w:t>Gnosticisme</w:t>
      </w:r>
      <w:r>
        <w:t xml:space="preserve"> ; </w:t>
      </w:r>
      <w:r>
        <w:t>Grèce, Grec</w:t>
      </w:r>
      <w:r>
        <w:t xml:space="preserve"> ; </w:t>
      </w:r>
      <w:r>
        <w:t>Hellénistes</w:t>
      </w:r>
      <w:r>
        <w:t xml:space="preserve"> ; </w:t>
      </w:r>
      <w:r>
        <w:t>Judaïsme</w:t>
      </w:r>
      <w:r>
        <w:t xml:space="preserve"> ; </w:t>
      </w:r>
      <w:r>
        <w:t>Stoïcisme, Stoïciens</w:t>
      </w:r>
      <w:r>
        <w:t>.</w:t>
      </w:r>
      <w:r/>
      <w:r/>
    </w:p>
    <w:p>
      <w:r/>
    </w:p>
    <w:p>
      <w:pPr>
        <w:pStyle w:val="Heading2"/>
      </w:pPr>
      <w:r>
        <w:t>Hellénistes</w:t>
      </w:r>
      <w:r/>
    </w:p>
    <w:p>
      <w:r/>
      <w:r>
        <w:t xml:space="preserve">Nom utilisé dans </w:t>
      </w:r>
      <w:hyperlink r:id="rId6397">
        <w:r>
          <w:rPr>
            <w:color w:val="0000EE"/>
            <w:u w:val="single"/>
          </w:rPr>
          <w:t>Actes 6.1, 9.29</w:t>
        </w:r>
      </w:hyperlink>
      <w:r>
        <w:t xml:space="preserve">, et possiblement </w:t>
      </w:r>
      <w:hyperlink r:id="rId3033">
        <w:r>
          <w:rPr>
            <w:color w:val="0000EE"/>
            <w:u w:val="single"/>
          </w:rPr>
          <w:t>11.20</w:t>
        </w:r>
      </w:hyperlink>
      <w:r>
        <w:t xml:space="preserve"> pour une branche distincte de l'Église primitive caractérisée par des modes de pensée grecs. Leur identification réelle est contestée, et les possibilités suivantes ont été proposées : 1° Juifs parlant grec par opposition aux juifs parlant araméen (bien que le mot « Hébreux », comme dans </w:t>
      </w:r>
      <w:hyperlink r:id="rId6103">
        <w:r>
          <w:rPr>
            <w:color w:val="0000EE"/>
            <w:u w:val="single"/>
          </w:rPr>
          <w:t>6.1</w:t>
        </w:r>
      </w:hyperlink>
      <w:r>
        <w:t xml:space="preserve">, était rarement utilisé dans un sens linguistique) ; 2° prosélytes de « Grecs » par opposition aux vrais Juifs (la liste des diacres dans </w:t>
      </w:r>
      <w:hyperlink r:id="rId996">
        <w:r>
          <w:rPr>
            <w:color w:val="0000EE"/>
            <w:u w:val="single"/>
          </w:rPr>
          <w:t>6.5</w:t>
        </w:r>
      </w:hyperlink>
      <w:r>
        <w:t xml:space="preserve"> rend cela douteux, car il est peu probable qu'il ne s'agissait que de prosélytes) ; 3° Juifs de la diaspora vivant en Palestine (correspond bien à l'usage de </w:t>
      </w:r>
      <w:hyperlink r:id="rId6398">
        <w:r>
          <w:rPr>
            <w:color w:val="0000EE"/>
            <w:u w:val="single"/>
          </w:rPr>
          <w:t>6.1–6</w:t>
        </w:r>
      </w:hyperlink>
      <w:r>
        <w:t xml:space="preserve"> mais pas aux autres passages) ; 4° secte pro-helléniste au sein du judaïsme (cela ne correspond pas à l'ensemble des passages) ; 5° Gentils qui ont rejoint l'Église à une date précoce (cela ne correspond pas vraiment au contexte des trois passages) ; 6° terme général, non spécifique, se référant simplement à quelqu'un qui parle grec ou suit les coutumes grecques (ou les deux). Il s'agit là de la meilleure option, comme l'illustre une étude du contexte.</w:t>
      </w:r>
    </w:p>
    <w:p>
      <w:r/>
      <w:r>
        <w:t xml:space="preserve">Dans </w:t>
      </w:r>
      <w:hyperlink r:id="rId6103">
        <w:r>
          <w:rPr>
            <w:color w:val="0000EE"/>
            <w:u w:val="single"/>
          </w:rPr>
          <w:t>6.1</w:t>
        </w:r>
      </w:hyperlink>
      <w:r>
        <w:t xml:space="preserve">, le groupe était probablement composé de Juifs hellénistiques vivant alors en Palestine. Cela se voit dans les diacres choisis en </w:t>
      </w:r>
      <w:hyperlink r:id="rId996">
        <w:r>
          <w:rPr>
            <w:color w:val="0000EE"/>
            <w:u w:val="single"/>
          </w:rPr>
          <w:t>6.5</w:t>
        </w:r>
      </w:hyperlink>
      <w:r>
        <w:t xml:space="preserve">. Luc a utilisé des noms grecs pour tous, probablement non pas parce qu'ils étaient grecs, mais pour symboliser le désir des apôtres d'unifier les groupes séparés. La plupart des Juifs dans le monde antique avaient trois noms (un nom juif, un nom grec et un nom romain) et utilisaient l'un ou l'autre selon l'occasion. La diversité est encore plus apparente en </w:t>
      </w:r>
      <w:hyperlink r:id="rId383">
        <w:r>
          <w:rPr>
            <w:color w:val="0000EE"/>
            <w:u w:val="single"/>
          </w:rPr>
          <w:t>6.9</w:t>
        </w:r>
      </w:hyperlink>
      <w:r>
        <w:t>. Les Juifs hellénistiques différaient suffisamment dans leur origine et leurs habitudes au niveau du culte, notamment dans l'utilisation du grec lors du service, au point qu'il y avait des synagogues séparées pour eux (il y en avait sept à Jérusalem seul). Cela créait un potentiel de division pour l'Église primitive, et le schisme ici en était le résultat. Les « Hébreux » auraient naturellement tendance à allouer le fonds commun à ceux qu'ils connaissaient, et ainsi la séparation entre les groupes accroissait le problème.</w:t>
      </w:r>
    </w:p>
    <w:p>
      <w:r/>
      <w:r>
        <w:t xml:space="preserve">Dans </w:t>
      </w:r>
      <w:hyperlink r:id="rId6104">
        <w:r>
          <w:rPr>
            <w:color w:val="0000EE"/>
            <w:u w:val="single"/>
          </w:rPr>
          <w:t>9.29</w:t>
        </w:r>
      </w:hyperlink>
      <w:r>
        <w:t xml:space="preserve">, les « Hellénistes » sont membres du même groupe. Paul, lui-même Juif de la diaspora, se rendrait naturellement chez ses anciens compatriotes lors de sa première visite à Jérusalem après sa conversion. Dans </w:t>
      </w:r>
      <w:hyperlink r:id="rId3033">
        <w:r>
          <w:rPr>
            <w:color w:val="0000EE"/>
            <w:u w:val="single"/>
          </w:rPr>
          <w:t>11.20</w:t>
        </w:r>
      </w:hyperlink>
      <w:r>
        <w:t xml:space="preserve">, les preuves manuscrites sont également partagées entre « Hellénistes » et « Grecs ». Comme « Helléniste » est utilisé dans </w:t>
      </w:r>
      <w:hyperlink r:id="rId3033">
        <w:r>
          <w:rPr>
            <w:color w:val="0000EE"/>
            <w:u w:val="single"/>
          </w:rPr>
          <w:t>11.20</w:t>
        </w:r>
      </w:hyperlink>
      <w:r>
        <w:t xml:space="preserve">, il désigne la population de langue grecque d'Antioche et donc les Gentils en général. Cela diffère des usages dans </w:t>
      </w:r>
      <w:hyperlink r:id="rId6103">
        <w:r>
          <w:rPr>
            <w:color w:val="0000EE"/>
            <w:u w:val="single"/>
          </w:rPr>
          <w:t>6.1</w:t>
        </w:r>
      </w:hyperlink>
      <w:r>
        <w:t xml:space="preserve"> et </w:t>
      </w:r>
      <w:hyperlink r:id="rId6104">
        <w:r>
          <w:rPr>
            <w:color w:val="0000EE"/>
            <w:u w:val="single"/>
          </w:rPr>
          <w:t>9.29</w:t>
        </w:r>
      </w:hyperlink>
      <w:r>
        <w:t>.</w:t>
      </w:r>
    </w:p>
    <w:p>
      <w:r/>
      <w:r>
        <w:rPr>
          <w:i/>
        </w:rPr>
        <w:t>Voir aussi</w:t>
      </w:r>
      <w:r>
        <w:t xml:space="preserve"> </w:t>
      </w:r>
      <w:r>
        <w:t>Actes des Apôtres, Livre des</w:t>
      </w:r>
      <w:r>
        <w:t xml:space="preserve"> ; </w:t>
      </w:r>
      <w:r>
        <w:t>Hellénisme</w:t>
      </w:r>
      <w:r>
        <w:t xml:space="preserve"> ; </w:t>
      </w:r>
      <w:r>
        <w:t>Judaïsme</w:t>
      </w:r>
      <w:r>
        <w:t>.</w:t>
      </w:r>
      <w:r/>
      <w:r/>
    </w:p>
    <w:p>
      <w:r/>
    </w:p>
    <w:p>
      <w:pPr>
        <w:pStyle w:val="Heading2"/>
      </w:pPr>
      <w:r>
        <w:t>Hémam</w:t>
      </w:r>
      <w:r/>
    </w:p>
    <w:p>
      <w:r/>
      <w:r>
        <w:t xml:space="preserve">Orthographe de Héman, fils de Lothan, dans </w:t>
      </w:r>
      <w:hyperlink r:id="rId6399">
        <w:r>
          <w:rPr>
            <w:color w:val="0000EE"/>
            <w:u w:val="single"/>
          </w:rPr>
          <w:t>Genèse 36.22</w:t>
        </w:r>
      </w:hyperlink>
      <w:r>
        <w:t xml:space="preserve">. </w:t>
      </w:r>
      <w:r>
        <w:rPr>
          <w:i/>
        </w:rPr>
        <w:t>Voir</w:t>
      </w:r>
      <w:r>
        <w:t xml:space="preserve"> </w:t>
      </w:r>
      <w:r>
        <w:t>Héman n° 1</w:t>
      </w:r>
      <w:r>
        <w:t>.</w:t>
      </w:r>
      <w:r/>
      <w:r/>
    </w:p>
    <w:p>
      <w:r/>
    </w:p>
    <w:p>
      <w:pPr>
        <w:pStyle w:val="Heading2"/>
      </w:pPr>
      <w:r>
        <w:t>Héman</w:t>
      </w:r>
      <w:r/>
    </w:p>
    <w:p>
      <w:r/>
      <w:r>
        <w:t>1. Fils de Lothan, frère de Hori et descendant de Séir le Horien (</w:t>
      </w:r>
      <w:hyperlink r:id="rId6399">
        <w:r>
          <w:rPr>
            <w:color w:val="0000EE"/>
            <w:u w:val="single"/>
          </w:rPr>
          <w:t>Gn 36.22</w:t>
        </w:r>
      </w:hyperlink>
      <w:r>
        <w:t xml:space="preserve">) ; alternativement orthographié Homam dans </w:t>
      </w:r>
      <w:hyperlink r:id="rId6400">
        <w:r>
          <w:rPr>
            <w:color w:val="0000EE"/>
            <w:u w:val="single"/>
          </w:rPr>
          <w:t>1 Chroniques 1.39</w:t>
        </w:r>
      </w:hyperlink>
      <w:r>
        <w:t>, reflétant une erreur de copiste ultérieure.</w:t>
      </w:r>
    </w:p>
    <w:p>
      <w:r/>
      <w:r>
        <w:t>2. Fils de Mahol, descendant de Zérach de la tribu de Juda et l'un des sages dont la sagesse a été surpassée par celle du roi Salomon (</w:t>
      </w:r>
      <w:hyperlink r:id="rId269">
        <w:r>
          <w:rPr>
            <w:color w:val="0000EE"/>
            <w:u w:val="single"/>
          </w:rPr>
          <w:t>1R 4.31</w:t>
        </w:r>
      </w:hyperlink>
      <w:r>
        <w:t xml:space="preserve"> ; </w:t>
      </w:r>
      <w:hyperlink r:id="rId6401">
        <w:r>
          <w:rPr>
            <w:color w:val="0000EE"/>
            <w:u w:val="single"/>
          </w:rPr>
          <w:t>1Ch 2.6</w:t>
        </w:r>
      </w:hyperlink>
      <w:r>
        <w:t xml:space="preserve">). Il est peut-être l'Ezrahite mentionné comme auteur du </w:t>
      </w:r>
      <w:hyperlink r:id="rId6402">
        <w:r>
          <w:rPr>
            <w:color w:val="0000EE"/>
            <w:u w:val="single"/>
          </w:rPr>
          <w:t>Psaume 88</w:t>
        </w:r>
      </w:hyperlink>
      <w:r>
        <w:t>.</w:t>
      </w:r>
    </w:p>
    <w:p>
      <w:r/>
      <w:r>
        <w:t>3. Lévite Kehatite, fils de Joël et l'un des hommes désignés, avec Asaph et Éthan (également appelé Jeduthun), par David pour diriger les musiciens dans le sanctuaire (</w:t>
      </w:r>
      <w:hyperlink r:id="rId6403">
        <w:r>
          <w:rPr>
            <w:color w:val="0000EE"/>
            <w:u w:val="single"/>
          </w:rPr>
          <w:t>1Ch 6.33</w:t>
        </w:r>
      </w:hyperlink>
      <w:r>
        <w:t xml:space="preserve"> ; </w:t>
      </w:r>
      <w:hyperlink r:id="rId6404">
        <w:r>
          <w:rPr>
            <w:color w:val="0000EE"/>
            <w:u w:val="single"/>
          </w:rPr>
          <w:t>15.17</w:t>
        </w:r>
      </w:hyperlink>
      <w:r>
        <w:t xml:space="preserve"> ; </w:t>
      </w:r>
      <w:hyperlink r:id="rId6405">
        <w:r>
          <w:rPr>
            <w:color w:val="0000EE"/>
            <w:u w:val="single"/>
          </w:rPr>
          <w:t>16.41</w:t>
        </w:r>
      </w:hyperlink>
      <w:r>
        <w:t>). Lors du transport de l'arche de la maison d'Obed-Édom à Jérusalem, il était responsable de faire résonner les cymbales de bronze (</w:t>
      </w:r>
      <w:hyperlink r:id="rId6406">
        <w:r>
          <w:rPr>
            <w:color w:val="0000EE"/>
            <w:u w:val="single"/>
          </w:rPr>
          <w:t>1Ch 15.19</w:t>
        </w:r>
      </w:hyperlink>
      <w:r>
        <w:t xml:space="preserve"> ; </w:t>
      </w:r>
      <w:hyperlink r:id="rId6407">
        <w:r>
          <w:rPr>
            <w:color w:val="0000EE"/>
            <w:u w:val="single"/>
          </w:rPr>
          <w:t>2Ch 5.12</w:t>
        </w:r>
      </w:hyperlink>
      <w:r>
        <w:t>). Héman engendrera quatorze fils et trois filles, tous servant comme musiciens dans la maison du Seigneur (</w:t>
      </w:r>
      <w:hyperlink r:id="rId6408">
        <w:r>
          <w:rPr>
            <w:color w:val="0000EE"/>
            <w:u w:val="single"/>
          </w:rPr>
          <w:t>1Ch 25.1–6</w:t>
        </w:r>
      </w:hyperlink>
      <w:r>
        <w:t xml:space="preserve">). Plus tard, ses descendants participeront au nettoyage du temple pendant le règne du roi Ézéchias (715–686 av. J.‑C. ; </w:t>
      </w:r>
      <w:hyperlink r:id="rId6409">
        <w:r>
          <w:rPr>
            <w:color w:val="0000EE"/>
            <w:u w:val="single"/>
          </w:rPr>
          <w:t>2Ch 29.14</w:t>
        </w:r>
      </w:hyperlink>
      <w:r>
        <w:t xml:space="preserve">) et aideront à la célébration de la Pâque initiée par le roi Josias (640–609 av. J.‑C. ; </w:t>
      </w:r>
      <w:hyperlink r:id="rId6410">
        <w:r>
          <w:rPr>
            <w:color w:val="0000EE"/>
            <w:u w:val="single"/>
          </w:rPr>
          <w:t>2Ch 35.15</w:t>
        </w:r>
      </w:hyperlink>
      <w:r>
        <w:t>).</w:t>
      </w:r>
      <w:r/>
      <w:r/>
    </w:p>
    <w:p>
      <w:r/>
    </w:p>
    <w:p>
      <w:pPr>
        <w:pStyle w:val="Heading2"/>
      </w:pPr>
      <w:r>
        <w:t>Hemdan</w:t>
      </w:r>
      <w:r/>
    </w:p>
    <w:p>
      <w:r/>
      <w:r>
        <w:t>Fils de Dischon et descendant de Séir le Horien (</w:t>
      </w:r>
      <w:hyperlink r:id="rId4883">
        <w:r>
          <w:rPr>
            <w:color w:val="0000EE"/>
            <w:u w:val="single"/>
          </w:rPr>
          <w:t>Gn 36.26</w:t>
        </w:r>
      </w:hyperlink>
      <w:r>
        <w:t xml:space="preserve">). Il est également appelé Hamran dans </w:t>
      </w:r>
      <w:hyperlink r:id="rId4169">
        <w:r>
          <w:rPr>
            <w:color w:val="0000EE"/>
            <w:u w:val="single"/>
          </w:rPr>
          <w:t>1 Chroniques 1.41</w:t>
        </w:r>
      </w:hyperlink>
      <w:r>
        <w:t>.</w:t>
      </w:r>
      <w:r/>
      <w:r/>
    </w:p>
    <w:p>
      <w:r/>
    </w:p>
    <w:p>
      <w:pPr>
        <w:pStyle w:val="Heading2"/>
      </w:pPr>
      <w:r>
        <w:t>Hémor</w:t>
      </w:r>
      <w:r/>
    </w:p>
    <w:p>
      <w:r/>
      <w:r>
        <w:t xml:space="preserve">Dans la version LSG, rendu du prénom d'Hamor, père de Sichem, dans </w:t>
      </w:r>
      <w:hyperlink r:id="rId6411">
        <w:r>
          <w:rPr>
            <w:color w:val="0000EE"/>
            <w:u w:val="single"/>
          </w:rPr>
          <w:t>Actes 7.16</w:t>
        </w:r>
      </w:hyperlink>
      <w:r>
        <w:t>.</w:t>
      </w:r>
    </w:p>
    <w:p>
      <w:r/>
      <w:r>
        <w:rPr>
          <w:i/>
        </w:rPr>
        <w:t>Voir</w:t>
      </w:r>
      <w:r>
        <w:t xml:space="preserve"> </w:t>
      </w:r>
      <w:r>
        <w:t>Hamor</w:t>
      </w:r>
      <w:r>
        <w:t>.</w:t>
      </w:r>
      <w:r/>
      <w:r/>
    </w:p>
    <w:p>
      <w:r/>
    </w:p>
    <w:p>
      <w:pPr>
        <w:pStyle w:val="Heading2"/>
      </w:pPr>
      <w:r>
        <w:t>Hénoc</w:t>
      </w:r>
      <w:r/>
    </w:p>
    <w:p>
      <w:pPr>
        <w:pStyle w:val="ListNumber"/>
        <w:spacing w:line="240" w:lineRule="auto"/>
        <w:ind w:left="720"/>
      </w:pPr>
      <w:r/>
      <w:r>
        <w:t>Troisième fils de Madian, et petit-fils d'Abraham par Ketura (</w:t>
      </w:r>
      <w:hyperlink r:id="rId4622">
        <w:r>
          <w:rPr>
            <w:color w:val="0000EE"/>
            <w:u w:val="single"/>
          </w:rPr>
          <w:t>Gn 25.4</w:t>
        </w:r>
      </w:hyperlink>
      <w:r>
        <w:t xml:space="preserve"> ; </w:t>
      </w:r>
      <w:hyperlink r:id="rId43">
        <w:r>
          <w:rPr>
            <w:color w:val="0000EE"/>
            <w:u w:val="single"/>
          </w:rPr>
          <w:t>1Ch 1.33</w:t>
        </w:r>
      </w:hyperlink>
      <w:r>
        <w:t>).</w:t>
      </w:r>
    </w:p>
    <w:p>
      <w:pPr>
        <w:pStyle w:val="ListNumber"/>
        <w:spacing w:line="240" w:lineRule="auto"/>
        <w:ind w:left="720"/>
      </w:pPr>
      <w:r/>
      <w:r>
        <w:t>Premier fils de Ruben (</w:t>
      </w:r>
      <w:hyperlink r:id="rId2186">
        <w:r>
          <w:rPr>
            <w:color w:val="0000EE"/>
            <w:u w:val="single"/>
          </w:rPr>
          <w:t>Gn 46.9</w:t>
        </w:r>
      </w:hyperlink>
      <w:r>
        <w:t xml:space="preserve"> ; </w:t>
      </w:r>
      <w:hyperlink r:id="rId2187">
        <w:r>
          <w:rPr>
            <w:color w:val="0000EE"/>
            <w:u w:val="single"/>
          </w:rPr>
          <w:t>Ex 6.14</w:t>
        </w:r>
      </w:hyperlink>
      <w:r>
        <w:t xml:space="preserve"> ; </w:t>
      </w:r>
      <w:hyperlink r:id="rId2188">
        <w:r>
          <w:rPr>
            <w:color w:val="0000EE"/>
            <w:u w:val="single"/>
          </w:rPr>
          <w:t>1Ch 5.3</w:t>
        </w:r>
      </w:hyperlink>
      <w:r>
        <w:t xml:space="preserve">) et ancêtre des </w:t>
      </w:r>
      <w:r>
        <w:t>Hénokites</w:t>
      </w:r>
      <w:r>
        <w:t xml:space="preserve"> (</w:t>
      </w:r>
      <w:hyperlink r:id="rId6412">
        <w:r>
          <w:rPr>
            <w:color w:val="0000EE"/>
            <w:u w:val="single"/>
          </w:rPr>
          <w:t>Nb 26.5</w:t>
        </w:r>
      </w:hyperlink>
      <w:r>
        <w:t>).</w:t>
      </w:r>
      <w:r/>
      <w:r/>
    </w:p>
    <w:p>
      <w:r/>
    </w:p>
    <w:p>
      <w:pPr>
        <w:pStyle w:val="Heading2"/>
      </w:pPr>
      <w:r>
        <w:t>Hénoc (Lieu)</w:t>
      </w:r>
      <w:r/>
    </w:p>
    <w:p>
      <w:r/>
      <w:r>
        <w:t>Ville que Caïn a nommée d'après son premier fils, Hénoc (</w:t>
      </w:r>
      <w:hyperlink r:id="rId2110">
        <w:r>
          <w:rPr>
            <w:color w:val="0000EE"/>
            <w:u w:val="single"/>
          </w:rPr>
          <w:t>Gn 4.17</w:t>
        </w:r>
      </w:hyperlink>
      <w:r>
        <w:t>).</w:t>
      </w:r>
      <w:r/>
      <w:r/>
    </w:p>
    <w:p>
      <w:r/>
    </w:p>
    <w:p>
      <w:pPr>
        <w:pStyle w:val="Heading2"/>
      </w:pPr>
      <w:r>
        <w:t>Hénoc (Personne)</w:t>
      </w:r>
      <w:r/>
    </w:p>
    <w:p>
      <w:r/>
      <w:r>
        <w:t>1. Fils de Caïn et petit-fils d'Adam (</w:t>
      </w:r>
      <w:hyperlink r:id="rId6413">
        <w:r>
          <w:rPr>
            <w:color w:val="0000EE"/>
            <w:u w:val="single"/>
          </w:rPr>
          <w:t>Gn 4.17, 19</w:t>
        </w:r>
      </w:hyperlink>
      <w:r>
        <w:t>).</w:t>
      </w:r>
    </w:p>
    <w:p>
      <w:r/>
      <w:r>
        <w:t>2. Fils de Jéred, parmi les descendants de Seth ; père de Mathusalem (</w:t>
      </w:r>
      <w:hyperlink r:id="rId6414">
        <w:r>
          <w:rPr>
            <w:color w:val="0000EE"/>
            <w:u w:val="single"/>
          </w:rPr>
          <w:t>Gn 5.18–24</w:t>
        </w:r>
      </w:hyperlink>
      <w:r>
        <w:t xml:space="preserve"> ; </w:t>
      </w:r>
      <w:hyperlink r:id="rId6415">
        <w:r>
          <w:rPr>
            <w:color w:val="0000EE"/>
            <w:u w:val="single"/>
          </w:rPr>
          <w:t>1Ch 1.3</w:t>
        </w:r>
      </w:hyperlink>
      <w:r>
        <w:t>). Il vivait dans une relation si étroite avec Dieu qu'il a été emporté au ciel sans mourir.</w:t>
      </w:r>
      <w:r/>
      <w:r/>
    </w:p>
    <w:p>
      <w:r/>
    </w:p>
    <w:p>
      <w:pPr>
        <w:pStyle w:val="Heading2"/>
      </w:pPr>
      <w:r>
        <w:t>Hérésie</w:t>
      </w:r>
      <w:r/>
    </w:p>
    <w:p>
      <w:r/>
      <w:r>
        <w:t>Une hérésie correspond à un groupe sectaire ou un enseignement qui s'écarte de la norme. Le mot grec (</w:t>
      </w:r>
      <w:r>
        <w:rPr>
          <w:i/>
        </w:rPr>
        <w:t>hairesis</w:t>
      </w:r>
      <w:r>
        <w:t>), signifie littéralement « choix » et désigne une secte ou une faction. Par exemple, les sadducéens sont une secte au sein du judaïsme (</w:t>
      </w:r>
      <w:hyperlink r:id="rId4950">
        <w:r>
          <w:rPr>
            <w:color w:val="0000EE"/>
            <w:u w:val="single"/>
          </w:rPr>
          <w:t>Ac 5.17</w:t>
        </w:r>
      </w:hyperlink>
      <w:r>
        <w:t>), tout comme les pharisiens (</w:t>
      </w:r>
      <w:hyperlink r:id="rId3508">
        <w:r>
          <w:rPr>
            <w:color w:val="0000EE"/>
            <w:u w:val="single"/>
          </w:rPr>
          <w:t>15.5</w:t>
        </w:r>
      </w:hyperlink>
      <w:r>
        <w:t>). Lorsque de nombreux Juifs croient tout d'abord que Jésus de Nazareth est le Messie, ils sont connus sous le nom de « la secte des Nazaréens » (</w:t>
      </w:r>
      <w:hyperlink r:id="rId6416">
        <w:r>
          <w:rPr>
            <w:color w:val="0000EE"/>
            <w:u w:val="single"/>
          </w:rPr>
          <w:t>24.5</w:t>
        </w:r>
      </w:hyperlink>
      <w:r>
        <w:t xml:space="preserve">). Dans chacun de ces versets, le mot </w:t>
      </w:r>
      <w:r>
        <w:rPr>
          <w:i/>
        </w:rPr>
        <w:t>hairesis</w:t>
      </w:r>
      <w:r>
        <w:t xml:space="preserve"> ne désigne rien de plus qu'une secte. Après la croissance et le développement de l'Église, tout groupe qui appartient à une faction au sein d'une Église locale est appelé </w:t>
      </w:r>
      <w:r>
        <w:rPr>
          <w:i/>
        </w:rPr>
        <w:t xml:space="preserve">hairesis. </w:t>
      </w:r>
      <w:r>
        <w:t>C'est-à-dire que c'est une secte dont certaines opinions sont contraires aux vérités établies par les apôtres. Ainsi, Paul dit à l'Église de Corinthe que des sectes ou factions se développeront parmi eux et seront un moyen de séparer ceux qui sont approuvés par Dieu et ceux qui ne le sont pas (</w:t>
      </w:r>
      <w:hyperlink r:id="rId6417">
        <w:r>
          <w:rPr>
            <w:color w:val="0000EE"/>
            <w:u w:val="single"/>
          </w:rPr>
          <w:t>1Co 11.19</w:t>
        </w:r>
      </w:hyperlink>
      <w:r>
        <w:t>). Finalement, le mot « hérésie » en vient à signifier l'enseignement particulier qui a amené certains à se détourner de l'orthodoxie. Pierre avertit les chrétiens au sujet de divers faux enseignants qui essaieront de tromper les croyants avec leurs enseignements hérétiques (</w:t>
      </w:r>
      <w:hyperlink r:id="rId6418">
        <w:r>
          <w:rPr>
            <w:color w:val="0000EE"/>
            <w:u w:val="single"/>
          </w:rPr>
          <w:t>2P 2.1</w:t>
        </w:r>
      </w:hyperlink>
      <w:r>
        <w:t>). À l'époque moderne, c'est ainsi que le mot « hérésie » est généralement compris ; c'est un enseignement non orthodoxe et/ou faux, qui nuit à la foi de certains croyants et provoque également des divisions dans l'Église.</w:t>
      </w:r>
      <w:r/>
      <w:r/>
    </w:p>
    <w:p>
      <w:r/>
    </w:p>
    <w:p>
      <w:pPr>
        <w:pStyle w:val="Heading2"/>
      </w:pPr>
      <w:r>
        <w:t>Hermès, Hermas</w:t>
      </w:r>
      <w:r/>
    </w:p>
    <w:p>
      <w:pPr>
        <w:pStyle w:val="ListNumber"/>
        <w:spacing w:line="240" w:lineRule="auto"/>
        <w:ind w:left="720"/>
      </w:pPr>
      <w:r/>
      <w:r>
        <w:t>Dieu grec, fils de Zeus et de Maia. Les Romains l'appelaient Mercure. Dans la mythologie grecque, Hermès était le messager des dieux. Il guidait les âmes des défunts vers le séjour des morts. Il était le dieu de la fertilité, le patron de la musique, le gardien des voyageurs et le dieu de l'éloquence.</w:t>
      </w:r>
    </w:p>
    <w:p>
      <w:r/>
      <w:r>
        <w:t>Lorsque Paul a prêché à Lystre, les habitants ont pensé que l'apôtre Paul était Hermès, dû au fait que Paul avait accompli un miracle et qu'il était le principal orateur. Les habitants de Lystre croyaient que Paul était un dieu venu leur rendre visite sous forme humaine (</w:t>
      </w:r>
      <w:hyperlink r:id="rId6419">
        <w:r>
          <w:rPr>
            <w:color w:val="0000EE"/>
            <w:u w:val="single"/>
          </w:rPr>
          <w:t>Ac 14.11–12</w:t>
        </w:r>
      </w:hyperlink>
      <w:r>
        <w:t>).</w:t>
      </w:r>
    </w:p>
    <w:p>
      <w:pPr>
        <w:pStyle w:val="ListNumber"/>
        <w:spacing w:line="240" w:lineRule="auto"/>
        <w:ind w:left="720"/>
      </w:pPr>
      <w:r/>
      <w:r>
        <w:t>Chrétien à qui Paul a envoyé ses salutations dans sa lettre à Rome (</w:t>
      </w:r>
      <w:hyperlink r:id="rId6420">
        <w:r>
          <w:rPr>
            <w:color w:val="0000EE"/>
            <w:u w:val="single"/>
          </w:rPr>
          <w:t>Rm 16.14</w:t>
        </w:r>
      </w:hyperlink>
      <w:r>
        <w:t>).</w:t>
      </w:r>
      <w:r/>
      <w:r/>
    </w:p>
    <w:p>
      <w:r/>
    </w:p>
    <w:p>
      <w:pPr>
        <w:pStyle w:val="Heading2"/>
      </w:pPr>
      <w:r>
        <w:t>Hérode, famille hérodienne, hérodiens, partisans d'Hérode</w:t>
      </w:r>
      <w:r/>
    </w:p>
    <w:p>
      <w:r/>
      <w:r>
        <w:t>Hérode règne, ainsi que plusieurs membres de sa famille, à l'époque des événements du Nouveau Testament (NT). Plusieurs d'entre eux portent le nom « Hérode ».</w:t>
      </w:r>
    </w:p>
    <w:p>
      <w:r/>
      <w:r>
        <w:t>Le Christ naît pendant le règne d'Hérode le Grand. Son fils, Hérode Antipas, règne sur la Galilée et la Pérée à l'époque où Jésus et Jean le Baptiste exercent une grande partie de leurs ministères dans ces territoires. C'est cet Hérode qui fait décapiter Jean le Baptiste et devant lequel Christ est interrogé après son arrestation. Hérode Agrippa I</w:t>
      </w:r>
      <w:r>
        <w:rPr>
          <w:vertAlign w:val="superscript"/>
        </w:rPr>
        <w:t>er</w:t>
      </w:r>
      <w:r>
        <w:t xml:space="preserve"> est le persécuteur de l'Église mentionné dans </w:t>
      </w:r>
      <w:hyperlink r:id="rId153">
        <w:r>
          <w:rPr>
            <w:color w:val="0000EE"/>
            <w:u w:val="single"/>
          </w:rPr>
          <w:t>Actes 12</w:t>
        </w:r>
      </w:hyperlink>
      <w:r>
        <w:t>, et Hérode Agrippa II est celui devant qui Paul témoigne juste avant de partir pour Rome pour y être jugé devant César (</w:t>
      </w:r>
      <w:hyperlink r:id="rId6421">
        <w:r>
          <w:rPr>
            <w:color w:val="0000EE"/>
            <w:u w:val="single"/>
          </w:rPr>
          <w:t>Ac 26</w:t>
        </w:r>
      </w:hyperlink>
      <w:r>
        <w:t>). Il est difficile de bien comprendre l'époque du NT sans avoir de connaissances sur la dynastie hérodienne.</w:t>
      </w:r>
    </w:p>
    <w:p>
      <w:r/>
      <w:r>
        <w:t>Sommaire</w:t>
      </w:r>
    </w:p>
    <w:p>
      <w:r/>
      <w:r>
        <w:t>• La dynastie hérodienne</w:t>
      </w:r>
    </w:p>
    <w:p>
      <w:r/>
      <w:r>
        <w:t>• Hérode le Grand</w:t>
      </w:r>
    </w:p>
    <w:p>
      <w:r/>
      <w:r>
        <w:t>• Archélaüs</w:t>
      </w:r>
    </w:p>
    <w:p>
      <w:r/>
      <w:r>
        <w:t>• Antipas</w:t>
      </w:r>
    </w:p>
    <w:p>
      <w:r/>
      <w:r>
        <w:t>• Philippe le tétrarque</w:t>
      </w:r>
    </w:p>
    <w:p>
      <w:r/>
      <w:r>
        <w:t>• Agrippa I</w:t>
      </w:r>
      <w:r>
        <w:rPr>
          <w:vertAlign w:val="superscript"/>
        </w:rPr>
        <w:t>er</w:t>
      </w:r>
    </w:p>
    <w:p>
      <w:r/>
      <w:r>
        <w:t>• Agrippa II</w:t>
      </w:r>
    </w:p>
    <w:p>
      <w:pPr>
        <w:pStyle w:val="Heading3"/>
      </w:pPr>
      <w:r>
        <w:t>La dynastie hérodienne (67–47 av. J.‑C.)</w:t>
      </w:r>
    </w:p>
    <w:p>
      <w:r/>
      <w:r>
        <w:t xml:space="preserve">La dynastie hérodienne vient au pouvoir en profitant des choses suivantes : </w:t>
      </w:r>
    </w:p>
    <w:p>
      <w:pPr>
        <w:pStyle w:val="ListBullet"/>
        <w:spacing w:line="240" w:lineRule="auto"/>
        <w:ind w:left="720"/>
      </w:pPr>
      <w:r/>
      <w:r>
        <w:t>la confusion résultant de la décadence de la dynastie hasmonéenne</w:t>
      </w:r>
    </w:p>
    <w:p>
      <w:pPr>
        <w:pStyle w:val="ListBullet"/>
        <w:spacing w:line="240" w:lineRule="auto"/>
        <w:ind w:left="720"/>
      </w:pPr>
      <w:r/>
      <w:r>
        <w:t>le passage de la Syrie et de la Palestine sous domination romaine</w:t>
      </w:r>
    </w:p>
    <w:p>
      <w:pPr>
        <w:pStyle w:val="ListBullet"/>
        <w:spacing w:line="240" w:lineRule="auto"/>
        <w:ind w:left="720"/>
      </w:pPr>
      <w:r/>
      <w:r>
        <w:t>les guerres civiles qui ont caractérisé le déclin de la nation</w:t>
      </w:r>
    </w:p>
    <w:p>
      <w:r/>
      <w:r>
        <w:t xml:space="preserve">Une grande partie de ce qui est connu à propos de la dynastie hérodienne provient des écrits de l'historien Flavius Josèphe, particulièrement </w:t>
      </w:r>
      <w:r>
        <w:rPr>
          <w:i/>
        </w:rPr>
        <w:t>Antiquités juives</w:t>
      </w:r>
      <w:r>
        <w:t xml:space="preserve"> et </w:t>
      </w:r>
      <w:r>
        <w:rPr>
          <w:i/>
        </w:rPr>
        <w:t>La Guerre des Juifs</w:t>
      </w:r>
      <w:r>
        <w:t>.</w:t>
      </w:r>
    </w:p>
    <w:p>
      <w:pPr>
        <w:pStyle w:val="Heading3"/>
      </w:pPr>
      <w:r>
        <w:t>Hérode le Grand (47–4 av. J.‑C.)</w:t>
      </w:r>
    </w:p>
    <w:p>
      <w:pPr>
        <w:pStyle w:val="Heading4"/>
      </w:pPr>
      <w:r>
        <w:t>Hérode, gouverneur de Galilée (47–37 av. J.‑C.)</w:t>
      </w:r>
    </w:p>
    <w:p>
      <w:r/>
      <w:r>
        <w:t>Hérode le Grand devient gouverneur de Galilée à l'âge de 25 ans. Il gagne le respect des Romains et des Juifs galiléens car il capture et exécute rapidement Ézéchias, un chef d'insurgés. Toutefois, des personnes de la cour d'Hyrcan trouvent qu'il devient trop puissant et organisent son procès. Il est acquitté et relâché et s'enfuit à Damas chez Sextus César, gouverneur de Syrie. Sextus César nomme Hérode gouverneur de Coelé-Syrie. Hérode participe ainsi activement aux affaires romaines en Syrie. Alors que se succèdent différents dirigeants romains, Hérode reste en poste. Il réussit à collecter les impôts et à réprimer plusieurs révoltes. En 41 av. J.‑C., alors qu'Octave (Auguste César) est le nouvel empereur, Antoine est responsable de l'est de l'Empire. Sous sa direction, et après consultation avec Hyrcan II, Sextus nomme Hérode et Phasaël tétrarques de Judée.</w:t>
      </w:r>
    </w:p>
    <w:p>
      <w:pPr>
        <w:pStyle w:val="Heading4"/>
      </w:pPr>
      <w:r>
        <w:t>Le roi Hérode (37–4 av. J.‑C.)</w:t>
      </w:r>
    </w:p>
    <w:p>
      <w:r/>
      <w:r>
        <w:t>Les historiens divisent généralement le règne d'Hérode en trois périodes : (1) une période de consolidation (37 à 25 av. J.‑C.), (2) une période de prospérité (25 à 13 av. J.‑C.) et (3) une période caractérisée par des intrigues familiales (13 à 4 av. J.‑C.).</w:t>
      </w:r>
    </w:p>
    <w:p>
      <w:r/>
      <w:r>
        <w:t>La période de consolidation commence avec son accession au trône en 37 av. J.‑C. et finit à la mort des fils de Babas, derniers représentants masculins de la famille hasmonéenne. Pendant cette période, il est confronté à de nombreux adversaires puissants.</w:t>
      </w:r>
    </w:p>
    <w:p>
      <w:r/>
      <w:r>
        <w:t>Le peuple et les pharisiens représentent le premier groupe d'adversaires d'Hérode. Ils s'opposent à lui parce qu'il est Iduméen, seulement demi-Juif et ami des Romains. Ceux qui s'opposent à lui sont punis, tandis que ceux qui le soutiennent reçoivent faveurs et honneurs.</w:t>
      </w:r>
    </w:p>
    <w:p>
      <w:r/>
      <w:r>
        <w:t>Le deuxième groupe d'adversaires est formé des aristocrates alliés à Antigone. Hérode avait exécuté quarante-cinq des plus riches d'entre eux et avait confisqué leurs propriétés pour renflouer ses propres coffres.</w:t>
      </w:r>
    </w:p>
    <w:p>
      <w:r/>
      <w:r>
        <w:t xml:space="preserve">Le troisième groupe de ses adversaires est la famille hasmonéenne. L'adversaire principal d'Hérode est sa belle-mère, Alexandra. Elle est contrariée parce ce qu'il n'a pas nommé un autre hasmonéen, et en particulier son fils Aristobule, comme souverain sacrificateur pour succéder à Hyrcan. </w:t>
      </w:r>
    </w:p>
    <w:p>
      <w:r/>
      <w:r>
        <w:t>Alexandra écrit à Cléopâtre pour lui demander d'influencer Antoine afin qu'il force Hérode à destituer Ananel, le souverain sacrificateur alors en poste, et à le remplacer par Aristobule. Hérode finit par céder à la pression et nomme le fils d'Alexandra au poste de souverain sacrificateur. Cependant, après une célébration de la fête des Tabernacles, Hérode fait noyer Aristobule en faisant passer cela pour un accident. Hérode fait ensuite enchaîner Alexandra et la met sous garde pour l'empêcher de lui causer plus de problèmes.</w:t>
      </w:r>
    </w:p>
    <w:p>
      <w:r/>
      <w:r>
        <w:t>Le quatrième adversaire important d'Hérode est Cléopâtre. Lorsque la guerre civile éclate entre Antoine et Octave, Hérode veut apporter son aide à Antoine. Cléopâtre persuade Antoine d'envoyer Hérode combattre le roi arabe Malchus, qui n'a pas payé à Cléopâtre le tribut qu'il lui doit. Quand elle voit qu'Hérode va remporter la victoire, elle ordonne à ses troupes de soutenir Malchus, espérant affaiblir les deux camps jusqu'à ce qu'ils s'écroulent. Elle veut ainsi prendre contrôle de leurs territoires. Après un tremblement de terre catastrophique dans le domaine d'Hérode en 31 av. J.‑C., il remporte la victoire sur les Arabes et rentre chez lui. Peu après, le 2 septembre 31 av. J.‑C., Antoine est battu par Octave à la bataille d'Actium et se suicide, ainsi que Cléopâtre.</w:t>
      </w:r>
    </w:p>
    <w:p>
      <w:r/>
      <w:r>
        <w:t>La deuxième période du règne d'Hérode est une période de prospérité (25–14 av. J.‑C.). Son règne est caractérisé par la splendeur et les plaisirs, même si ceux-ci sont interrompus par des troubles occasionnels. Selon Josèphe, le plus noble de tous les accomplissements d'Hérode a été la reconstruction du temple de Jérusalem, qui a commencé en 20/19 av. J.‑C. (</w:t>
      </w:r>
      <w:r>
        <w:rPr>
          <w:i/>
        </w:rPr>
        <w:t>Antiquités</w:t>
      </w:r>
      <w:r>
        <w:t xml:space="preserve"> 15.8.1). La littérature rabbinique déclare que quiconque n'a pas vu le Temple d'Hérode n'a jamais vu de belle construction de sa vie (Talmud de Babylone : </w:t>
      </w:r>
      <w:r>
        <w:rPr>
          <w:i/>
        </w:rPr>
        <w:t>Baba Bathra</w:t>
      </w:r>
      <w:r>
        <w:t xml:space="preserve"> 4a). Avant cela, il a fait construire des théâtres, des amphithéâtres et des stades de course pour hommes et chevaux. En 24 av. J.‑C., Hérode se fait construire un palais royal. Il fait bâtir ou reconstruire de nombreuses forteresses et temples païens, y compris la Tour de Straton, qui sera plus tard renommée Césarée.</w:t>
      </w:r>
    </w:p>
    <w:p>
      <w:r/>
      <w:r>
        <w:t>Durant cette période, Hérode s'intéresse beaucoup à la culture et rassemble autour de lui des experts de littérature et d'art grecs. Des rhéteurs grecs sont nommés aux plus hautes fonctions de l'État. L'un d'eux est Nicolas de Damas, conseiller et instructeur d'Hérode en philosophie, rhétorique et histoire. À la fin de l'année 24 av. J.‑C., Hérode épouse Mariamne, fille de Simon, sacrificateur très connu à Jérusalem. Elle sera connue sous le nom de Mariamne II.</w:t>
      </w:r>
    </w:p>
    <w:p>
      <w:r/>
      <w:r>
        <w:t>Pendant ces années-là, le règne d'Hérode est accepté assez favorablement par les gens du peuple. Cependant, certains de ses agissements les contrarient. Il fait violence à la loi juive en introduisant des jeux quinquennaux (tous les cinq ans) en l'honneur de César. Les spectacles et les courses qu'il organise offensent les valeurs culturelles et religieuses du peuple. Hérode exige aussi que ses sujets prêtent un serment de loyauté, à l'exception de quelques privilégiés. De plus, il ne leur permet pas de se rassembler librement par crainte d'une révolte. Malgré cela, il garde le peuple sous son contrôle et leur fait même la faveur de réduire leurs taxes à deux reprises (en 14 av. J.‑C., il les réduit d'un quart).</w:t>
      </w:r>
    </w:p>
    <w:p>
      <w:r/>
      <w:r>
        <w:t>La troisième période du règne d'Hérode est une période d'intrigues et de remous au sein de sa propre famille (13–4 av. J.‑C.). À cette période de son règne, il a déjà eu dix femmes. Sa première femme, Doris, n'a eu qu'un fils, Antipater. Il renvoie Doris et Antipater quand il épouse Mariamne I, ne leur permettant de se rendre à Jérusalem que pour les fêtes. Il épouse Mariamne I en 37 av. J.‑C. C'est la petite-fille d'Hyrcan. Elle lui donne deux filles et trois fils. Le plus jeune de ses fils meurt à Rome. Ses deux autres fils jouent un rôle important dans cette partie du règne d'Hérode. À la fin de 24 av. J.‑C., il épouse sa troisième femme, Mariamne II, qui lui donne un fils, Hérode (Philippe). Malthace, sa quatrième femme, est une Samaritaine. Elle lui donne deux fils, Archélaüs et Antipas. Sa cinquième femme, Cléopâtre de Jérusalem, est la mère de Philippe le tétrarque. Parmi ses cinq autres femmes, seules Pallas, Phèdre et Elpide sont connues par leurs noms, et aucune ne joue un rôle important dans les événements de cette période.</w:t>
      </w:r>
    </w:p>
    <w:p>
      <w:r/>
      <w:r>
        <w:t>Alexandre et Aristobule, fils survivants de Mariamne I, sont les favoris d'Hérode. Immédiatement après leurs mariages respectifs, les problèmes commencent dans la famille d'Hérode. Salomé, sœur d'Hérode et mère de Bérénice (épouse d'Aristobule), déteste ces deux fils d'Hérode, principalement parce qu'elle convoite la position et la faveur dont ils jouissent pour son propre fils. Hérode décide alors de rappeler Antipater, son fils exilé, pour montrer à Alexandre et à Aristobule qu'il y a un autre héritier potentiel au trône. Antipater profite pleinement de la situation et utilise tous les moyens possibles pour acquérir le trône convoité. Finalement, un homme de mauvaise réputation, Euryclès de Lacédémone, entreprend de monter le père contre ses deux fils et vice versa. D'autres problèmes ne tardent pas à se manifester, et la patience d'Hérode s'épuise. Il met Alexandre et Aristobule en prison et nomme Antipater son héritier.</w:t>
      </w:r>
    </w:p>
    <w:p>
      <w:r/>
      <w:r>
        <w:t>Impatient d'accéder au trône, Antipater tente d'empoisonner Hérode. Le complot échoue lorsque Phéroras, le frère d'Hérode, boit le poison par erreur. Hérode emprisonne Antipater et rapporte ces faits à l'empereur (vers 5 av. J.‑C.). À cette époque, Hérode tombe gravement malade d'une maladie incurable. Il écrit un nouveau testament qui met de côté ses deux fils aînés, Archélaüs et Philippe, car Antipater a également empoisonné son esprit contre eux. Il choisit Antipas, son fils cadet, comme unique successeur.</w:t>
      </w:r>
    </w:p>
    <w:p>
      <w:r/>
      <w:r>
        <w:t>C'est à cette période que des sages arrivent en Judée, cherchant le roi des Juifs nouveau-né. Hérode leur demande de lui indiquer l'endroit où se trouve cet enfant dès qu'ils l'auront trouvé. Avertis dans un rêve de ne pas le faire, ils repartent chez eux par un autre chemin après avoir trouvé Jésus. Dieu avertit aussi Joseph, le mari de la mère de Jésus, et lui dit de s'enfuir en Égypte car Hérode veut tuer l'enfant. Joseph part de Bethléhem avec sa famille. Peu de temps après, Hérode fait tuer tous les garçons de Bethléhem âgés de deux ans et moins.</w:t>
      </w:r>
    </w:p>
    <w:p>
      <w:r/>
      <w:r>
        <w:t>La maladie d'Hérode s'aggrave. Il reçoit de Rome la permission d'exécuter Antipater, ce qu'il fait faire promptement. Il modifie à nouveau son testament et fait d'Archélaüs le roi de Judée, d'Idumée et de Samarie, d'Antipas le tétrarque de Galilée et de Pérée, et de Philippe le tétrarque des territoires à l'est de la Galilée. Au printemps de l'an 4 av. J.‑C., cinq jour après l'exécution d'Antipater, Hérode meurt à Jéricho et le peuple acclame Archélaüs comme roi.</w:t>
      </w:r>
    </w:p>
    <w:p>
      <w:pPr>
        <w:pStyle w:val="Heading3"/>
      </w:pPr>
      <w:r>
        <w:t>Archélaüs (4 av. J.‑C. – 6 apr. J.‑C.)</w:t>
      </w:r>
    </w:p>
    <w:p>
      <w:r/>
      <w:r>
        <w:t>Archélaüs est le fils d'Hérode le Grand et de Malthace (une Samaritaine). Il naît vers 22 av. J.‑C. Archélaüs est confronté à de nombreux problèmes. Il tue 3 000 personnes pour réprimer une révolte menée par des gens qui veulent venger le sang de ceux qui ont été tués par son père, Hérode le Grand. Ainsi, son règne commence mal. À la Pentecôte en 4 av. J.‑C., une autre révolte éclate, qui dure environ deux mois et demi. Pendant cette révolte, les portiques du Temple sont brûlés et le trésor est pillé par les Romains. La révolte se propage aux campagnes de Judée, à la Galilée et à la Pérée.</w:t>
      </w:r>
    </w:p>
    <w:p>
      <w:r/>
      <w:r>
        <w:t>Archélaüs traite brutalement tant les Juifs que les Samaritains (</w:t>
      </w:r>
      <w:r>
        <w:rPr>
          <w:i/>
        </w:rPr>
        <w:t>Guerre</w:t>
      </w:r>
      <w:r>
        <w:t xml:space="preserve"> 2.7.3), un fait confirmé par les Évangiles. En effet, quand Joseph revient de sa fuite en Égypte et apprend qu'Archélaüs règne sur la Judée, il a eu peur de s'y rendre. Averti par Dieu, emmène l'enfant Jésus en Galilée (</w:t>
      </w:r>
      <w:hyperlink r:id="rId6422">
        <w:r>
          <w:rPr>
            <w:color w:val="0000EE"/>
            <w:u w:val="single"/>
          </w:rPr>
          <w:t>Mt 2.22</w:t>
        </w:r>
      </w:hyperlink>
      <w:r>
        <w:t>).</w:t>
      </w:r>
    </w:p>
    <w:p>
      <w:r/>
      <w:r>
        <w:t>La tyrannie d'Archélaüs pousse finalement les Juifs et les Samaritains à envoyer une délégation jointe à Rome pour se plaindre officiellement à Auguste. Le fait que des ennemis aussi acharnés que Juifs et Samaritains aient été d'accord pour coopérer dans cette affaire indique à quel point la situation est grave. Ses frères Antipas et Philippe se rendent également à Rome pour se plaindre d'Archélaüs. Ils trouvent probablement qu'il s'acquitte mal de son rôle de représentant de Rome en Palestine. Ainsi, en l'an 6 apr. J.‑C., Archélaüs est déposé et exilé à Vienne en Gaule (l'actuelle Vienne sur le Rhône, au sud de Lyon). Antipas et Philippe reçoivent la permission de continuer leurs règnes respectifs. Les territoires d'Archélaüs deviennent une province gouvernée par des préfets ou des procurateurs romains.</w:t>
      </w:r>
    </w:p>
    <w:p>
      <w:pPr>
        <w:pStyle w:val="Heading3"/>
      </w:pPr>
      <w:r>
        <w:t>Antipas (4 av. J.‑C. – 39 apr. J.‑C.)</w:t>
      </w:r>
    </w:p>
    <w:p>
      <w:r/>
      <w:r>
        <w:t>Antipas, frère cadet d'Archélaüs, naît vers 20 av. J.‑C. Parmi tous les Hérodiens, il est celui qui le plus mentionné dans le NT car il règne sur la Galilée et la Pérée, où a lieu le plus gros des ministères de Jésus et de Jean le Baptiste.</w:t>
      </w:r>
    </w:p>
    <w:p>
      <w:r/>
      <w:r>
        <w:t>Le territoire d'Antipas est agité par la rébellion qui a débuté à la Pentecôte en 4 av. J.‑C. Il s'emploie immédiatement à rétablir l'ordre et à reconstruire ce qui a été détruit. Suivant l'exemple de son père, Hérode le Grand, Antipas construit des villes. Sepphoris est son premier projet. Elle sera la plus grande ville de Galilée et sa capitale jusqu'à ce qu'il construise Tibériade. Nazareth est à un peu plus de 6 kilomètres au sud-est de Sepphoris. Joseph, le mari de Marie, a donc peut-être travaillé comme charpentier (</w:t>
      </w:r>
      <w:hyperlink r:id="rId2412">
        <w:r>
          <w:rPr>
            <w:color w:val="0000EE"/>
            <w:u w:val="single"/>
          </w:rPr>
          <w:t>Mt 13.55</w:t>
        </w:r>
      </w:hyperlink>
      <w:r>
        <w:t xml:space="preserve"> ; </w:t>
      </w:r>
      <w:hyperlink r:id="rId2413">
        <w:r>
          <w:rPr>
            <w:color w:val="0000EE"/>
            <w:u w:val="single"/>
          </w:rPr>
          <w:t>Mc 6.3</w:t>
        </w:r>
      </w:hyperlink>
      <w:r>
        <w:t>) pour aider à la reconstruction de cette ville.</w:t>
      </w:r>
    </w:p>
    <w:p>
      <w:r/>
      <w:r>
        <w:t>Tibériade est la plus importante des 12 villes construites par la famille hérodienne. C'est la première ville de l'histoire juive à être établie avec la structure municipale d'une polis (ville) grecque</w:t>
      </w:r>
      <w:r>
        <w:rPr>
          <w:i/>
        </w:rPr>
        <w:t>.</w:t>
      </w:r>
      <w:r>
        <w:t xml:space="preserve"> Elle est construite en l'honneur de l'empereur qui règne alors : Tibère. Les Juifs la considèrent impure car un cimetière a été détruit lors de sa construction. Antipas offre des maisons gratuites, des terres et des exemptions fiscales à quiconque s'installe dans la ville dans les premières années après sa construction. Il achève la construction de Tibériade en 23 apr. J.‑C. et en fait sa capitale.</w:t>
      </w:r>
    </w:p>
    <w:p>
      <w:r/>
      <w:r>
        <w:t>L'incident pour lequel Antipas est le plus tristement célèbre dans le NT est la décapitation de Jean le Baptiste (</w:t>
      </w:r>
      <w:hyperlink r:id="rId6423">
        <w:r>
          <w:rPr>
            <w:color w:val="0000EE"/>
            <w:u w:val="single"/>
          </w:rPr>
          <w:t>Mt 14.3–12</w:t>
        </w:r>
      </w:hyperlink>
      <w:r>
        <w:t xml:space="preserve"> ; </w:t>
      </w:r>
      <w:hyperlink r:id="rId6424">
        <w:r>
          <w:rPr>
            <w:color w:val="0000EE"/>
            <w:u w:val="single"/>
          </w:rPr>
          <w:t>Mc 6.17–29</w:t>
        </w:r>
      </w:hyperlink>
      <w:r>
        <w:t xml:space="preserve"> ; </w:t>
      </w:r>
      <w:hyperlink r:id="rId6425">
        <w:r>
          <w:rPr>
            <w:color w:val="0000EE"/>
            <w:u w:val="single"/>
          </w:rPr>
          <w:t>Lc 3.19–20</w:t>
        </w:r>
      </w:hyperlink>
      <w:r>
        <w:t xml:space="preserve"> ; </w:t>
      </w:r>
      <w:r>
        <w:rPr>
          <w:i/>
        </w:rPr>
        <w:t>Antiquités</w:t>
      </w:r>
      <w:r>
        <w:t xml:space="preserve"> 18.5.2.116–119). Plusieurs intrigues dans la famille hérodienne produisent la situation qui mène à la mort de Jean le Baptiste. Antipas avait épousé la fille d'Arétas IV (son nom est inconnu), un roi nabatéen. L'empereur Auguste avait peut-être encouragé ce mariage car il favorisait les mariages entre familles de souverains pour promouvoir la paix dans son empire.</w:t>
      </w:r>
    </w:p>
    <w:p>
      <w:r/>
      <w:r>
        <w:t>Vers 29 apr. J.‑C., Antipas se rend à Rome. En chemin, il rend visite à son demi-frère Hérode Philippe, qui vit probablement dans une ville côtière de Palestine. Antipas tombe amoureux d'Hérodias, la femme de Philippe, qui est leur nièce à tous les deux. L'idée de devenir l'épouse d'un tétrarque lui plaît et elle accepte de l'épouser à son retour de Rome s'il renvoie la fille d'Arétas. Antipas accepte. Lorsque la fille d'Arétas en entend parler, elle s'enfuit chez son père. Cet épisode provoque une rupture de l'alliance politique avec Arétas et constitue une insulte personnelle contre lui. Il cherche alors à se venger.</w:t>
      </w:r>
    </w:p>
    <w:p>
      <w:r/>
      <w:r>
        <w:t>Le mariage d'Antipas et d'Hérodias viole à la loi de Moïse, qui interdit de se marier avec sa belle-sœur (</w:t>
      </w:r>
      <w:hyperlink r:id="rId6426">
        <w:r>
          <w:rPr>
            <w:color w:val="0000EE"/>
            <w:u w:val="single"/>
          </w:rPr>
          <w:t xml:space="preserve">Lv 18.16 </w:t>
        </w:r>
      </w:hyperlink>
      <w:r>
        <w:t xml:space="preserve">; </w:t>
      </w:r>
      <w:hyperlink r:id="rId6427">
        <w:r>
          <w:rPr>
            <w:color w:val="0000EE"/>
            <w:u w:val="single"/>
          </w:rPr>
          <w:t>20.21</w:t>
        </w:r>
      </w:hyperlink>
      <w:r>
        <w:t>), sauf pour donner des enfants à un frère décédé sans descendance (</w:t>
      </w:r>
      <w:hyperlink r:id="rId5782">
        <w:r>
          <w:rPr>
            <w:color w:val="0000EE"/>
            <w:u w:val="single"/>
          </w:rPr>
          <w:t xml:space="preserve">Dt 25.5 </w:t>
        </w:r>
      </w:hyperlink>
      <w:r>
        <w:t xml:space="preserve">; </w:t>
      </w:r>
      <w:hyperlink r:id="rId6428">
        <w:r>
          <w:rPr>
            <w:color w:val="0000EE"/>
            <w:u w:val="single"/>
          </w:rPr>
          <w:t>Mc 12.19</w:t>
        </w:r>
      </w:hyperlink>
      <w:r>
        <w:t>). Or, Philippe est encore en vie, et a même un enfant avec Hérodias (une fille nommée Salomé). Jean le Baptiste fait preuve d'un grand courage quand il reprend Antipas à ce sujet. Antipas le fait mettre en prison. La haine d'Hérodias envers Jean le Baptiste est trop grande pour se contenter de cet emprisonnement. Au moment opportun, à l'occasion de l'anniversaire d'Antipas, elle organise un festin à Machéronte en Pérée. Salomé, sa fille, danse pour le roi, qui lui promet avec serment et devant ses invités de lui donner tout ce qu'elle demandera, jusqu'à la moitié de son royaume. Salomé fait ce que lui dit sa mère et demande la tête de Jean le Baptiste sur un plateau. Antipas regrette immédiatement sa promesse imprudente, mais pour sauver la face devant ses invités, il lui accorde ce qu'elle a demandé. Le ministère de Jean se termine ainsi vers 31 ou 32 apr. J.‑C.</w:t>
      </w:r>
    </w:p>
    <w:p>
      <w:r/>
      <w:r>
        <w:t>Antipas et Jésus sont mentionnés ensemble trois fois dans les Évangiles.</w:t>
      </w:r>
    </w:p>
    <w:p>
      <w:r/>
      <w:r>
        <w:t>Au début du ministère de Jésus, Antipas entend parler de lui et commente, peut-être avec ironie, que Jésus pourrait bien être Jean le Baptiste ressuscité (</w:t>
      </w:r>
      <w:hyperlink r:id="rId6429">
        <w:r>
          <w:rPr>
            <w:color w:val="0000EE"/>
            <w:u w:val="single"/>
          </w:rPr>
          <w:t>Mt 14.1–2</w:t>
        </w:r>
      </w:hyperlink>
      <w:r>
        <w:t xml:space="preserve"> ; </w:t>
      </w:r>
      <w:hyperlink r:id="rId6430">
        <w:r>
          <w:rPr>
            <w:color w:val="0000EE"/>
            <w:u w:val="single"/>
          </w:rPr>
          <w:t>Mc 6.14–16</w:t>
        </w:r>
      </w:hyperlink>
      <w:r>
        <w:t xml:space="preserve"> ; </w:t>
      </w:r>
      <w:hyperlink r:id="rId6431">
        <w:r>
          <w:rPr>
            <w:color w:val="0000EE"/>
            <w:u w:val="single"/>
          </w:rPr>
          <w:t>Lc 9.7–9</w:t>
        </w:r>
      </w:hyperlink>
      <w:r>
        <w:t>). Il est évident pour Antipas que le ministère de Jésus est encore plus remarquable que celui de Jean, mais il hésite à recourir à la force pour forcer une rencontre, par crainte de soulever le peuple contre lui à nouveau. Finalement, Jésus se retire des territoires d'Antipas sans que les deux ne se rencontrent.</w:t>
      </w:r>
    </w:p>
    <w:p>
      <w:r/>
      <w:r>
        <w:t>Plus tard, alors que Jésus devient plus populaire, Antipas voit en lui une menace potentielle contre son pouvoir et menace de le tuer. Lors de son dernier voyage à Jérusalem, Jésus est averti par certains pharisiens qu'il doit quitter les territoires d'Antipas pour sa propre sécurité (</w:t>
      </w:r>
      <w:hyperlink r:id="rId6432">
        <w:r>
          <w:rPr>
            <w:color w:val="0000EE"/>
            <w:u w:val="single"/>
          </w:rPr>
          <w:t>Lc 13.31–33</w:t>
        </w:r>
      </w:hyperlink>
      <w:r>
        <w:t>). Jésus donne comme réponse à « ce renard » qu'il continuera son ministère de guérisons et d'exorcismes encore un peu et que quand il aura terminé, il ira à Jérusalem pour y mourir. Le lion et le renard étaient souvent contrastés dans la littérature ancienne. Le Lion de Juda, Jésus-Christ, ne se laisse pas contraindre par Antipas, homme lâche et rusé.</w:t>
      </w:r>
    </w:p>
    <w:p>
      <w:r/>
      <w:r>
        <w:t>Ils se rencontrent finalement en 33 apr. J.‑C. quand Jésus, après avoir été arrêté, est amené devant Antipas, qui l'interroge (</w:t>
      </w:r>
      <w:hyperlink r:id="rId6433">
        <w:r>
          <w:rPr>
            <w:color w:val="0000EE"/>
            <w:u w:val="single"/>
          </w:rPr>
          <w:t>Lc 23.6–12</w:t>
        </w:r>
      </w:hyperlink>
      <w:r>
        <w:t>). Comme cet événement n'est mentionné que par Luc, certains pensent qu'il est fictif. Il faut cependant se rappeler que le destinataire de Luc était Théophile, qui était probablement un officier romain. Luc a peut-être raconté cet incident parce que la réconciliation entre Pilate et Antipas mentionnée dans ce passage aurait intéressé Théophile.</w:t>
      </w:r>
    </w:p>
    <w:p>
      <w:r/>
      <w:r>
        <w:t>Dans le récit de Luc, Pilate ne trouve aucune raison de condamner Jésus. Il décide de l'envoyer à Antipas (qui est à Jérusalem pour la Pâque). Pilate se sert ainsi du fait que Jésus est galiléen (c'est-à-dire sous la juridiction d'Antipas), pour se libérer d'une situation délicate. Peut-être veut-il se réconcilier avec Antipas ? Leur relation avait été plutôt tendue depuis le massacre des Galiléens (</w:t>
      </w:r>
      <w:hyperlink r:id="rId6434">
        <w:r>
          <w:rPr>
            <w:color w:val="0000EE"/>
            <w:u w:val="single"/>
          </w:rPr>
          <w:t>Lc 13.1</w:t>
        </w:r>
      </w:hyperlink>
      <w:r>
        <w:t xml:space="preserve">) et depuis que Pilate avait introduit des boucliers votifs (c'est-à-dire comme offrandes) à Jérusalem, suscitant la colère des Juifs (Philon, </w:t>
      </w:r>
      <w:r>
        <w:rPr>
          <w:i/>
        </w:rPr>
        <w:t>Legatio ad Gaium</w:t>
      </w:r>
      <w:r>
        <w:t xml:space="preserve"> 299–304). Lorsque Jésus est emmené devant Antipas, le tétrarque se contente de se moquer de lui et le renvoie à Pilate. Le principal résultat de l'incident est la réconciliation politique d'Antipas et de Pilate.</w:t>
      </w:r>
    </w:p>
    <w:p>
      <w:pPr>
        <w:pStyle w:val="Heading3"/>
      </w:pPr>
      <w:r>
        <w:t>Philippe le tétrarque (4 av. J.‑C.–34 apr. J.‑C.)</w:t>
      </w:r>
    </w:p>
    <w:p>
      <w:r/>
      <w:r>
        <w:t>Philippe le tétrarque est le fils d'Hérode le Grand et de Cléopâtre de Jérusalem. Il naît vers 22 av. J.‑C. Lorsque le testament d'Hérode est exécuté, Philippe est nommé tétrarque de la Gaulanitide, de l'Auranitide, de la Batanée, de la Trachonitide (Bible Segond : Trachonite) et de l'Iturée, toutes situées dans les régions du nord du domaine d'Hérode le Grand (</w:t>
      </w:r>
      <w:hyperlink r:id="rId2222">
        <w:r>
          <w:rPr>
            <w:color w:val="0000EE"/>
            <w:u w:val="single"/>
          </w:rPr>
          <w:t>Lc 3.1</w:t>
        </w:r>
      </w:hyperlink>
      <w:r>
        <w:t>). Ses sujets sont principalement des Syriens et des Grecs. C'est donc le seul Hérodien à avoir mit son image sur des pièces de monnaie (ce qui aurait été un affront pour les Juifs).</w:t>
      </w:r>
    </w:p>
    <w:p>
      <w:r/>
      <w:r>
        <w:t>Il construit deux villes. D'abord, il reconstruit et agrandit Panéas et la renomme Césarée de Philippe. C'est là que Pierre déclare à Jésus qu'il croit qu'il est le Christ, et que Jésus lui dit qu'il bâtira son Église sur cette pierre (</w:t>
      </w:r>
      <w:hyperlink r:id="rId6435">
        <w:r>
          <w:rPr>
            <w:color w:val="0000EE"/>
            <w:u w:val="single"/>
          </w:rPr>
          <w:t>Mt 16.13–20</w:t>
        </w:r>
      </w:hyperlink>
      <w:r>
        <w:t xml:space="preserve"> ; </w:t>
      </w:r>
      <w:hyperlink r:id="rId6436">
        <w:r>
          <w:rPr>
            <w:color w:val="0000EE"/>
            <w:u w:val="single"/>
          </w:rPr>
          <w:t>Mc 8.27–30</w:t>
        </w:r>
      </w:hyperlink>
      <w:r>
        <w:t>). Ensuite, Philippe reconstruit et agrandit Bethsaïda et la renomme Julias. C'est là que Jésus guérit un aveugle (</w:t>
      </w:r>
      <w:hyperlink r:id="rId1509">
        <w:r>
          <w:rPr>
            <w:color w:val="0000EE"/>
            <w:u w:val="single"/>
          </w:rPr>
          <w:t>Mc 8.22–26</w:t>
        </w:r>
      </w:hyperlink>
      <w:r>
        <w:t>) et que dans le désert voisin, il nourrit 5 000 hommes (</w:t>
      </w:r>
      <w:hyperlink r:id="rId1920">
        <w:r>
          <w:rPr>
            <w:color w:val="0000EE"/>
            <w:u w:val="single"/>
          </w:rPr>
          <w:t>Lc 9.10–17</w:t>
        </w:r>
      </w:hyperlink>
      <w:r>
        <w:t>).</w:t>
      </w:r>
    </w:p>
    <w:p>
      <w:r/>
      <w:r>
        <w:t>Philippe n'a pas autant d'ambition politique que ses frères. Son règne est calme et ses sujets lui sont loyaux. Lorsque Philippe meurt en 34 apr. J.‑C., Tibère annexe ses territoires à la Syrie. En 37 apr. J.‑C., alors que Caligula est empereur, il donne ces territoires à Agrippa I</w:t>
      </w:r>
      <w:r>
        <w:rPr>
          <w:vertAlign w:val="superscript"/>
        </w:rPr>
        <w:t>er</w:t>
      </w:r>
      <w:r>
        <w:t>, frère d'Hérodiade.</w:t>
      </w:r>
    </w:p>
    <w:p>
      <w:pPr>
        <w:pStyle w:val="Heading3"/>
      </w:pPr>
      <w:r>
        <w:t>Agrippa I</w:t>
      </w:r>
      <w:r>
        <w:rPr>
          <w:vertAlign w:val="superscript"/>
        </w:rPr>
        <w:t>er</w:t>
      </w:r>
      <w:r>
        <w:t xml:space="preserve"> (37–44 apr. J.‑C.)</w:t>
      </w:r>
    </w:p>
    <w:p>
      <w:r/>
      <w:r>
        <w:t>Agrippa I</w:t>
      </w:r>
      <w:r>
        <w:rPr>
          <w:vertAlign w:val="superscript"/>
        </w:rPr>
        <w:t>er</w:t>
      </w:r>
      <w:r>
        <w:t xml:space="preserve"> est le fils d'Aristobule (fils d'Hérode le Grand et de Mariamne I) et de Bérénice. Il naît en 10 av. J.‑C. C'est le frère d'Hérodiade.</w:t>
      </w:r>
    </w:p>
    <w:p>
      <w:r/>
      <w:r>
        <w:t>Agrippa I</w:t>
      </w:r>
      <w:r>
        <w:rPr>
          <w:vertAlign w:val="superscript"/>
        </w:rPr>
        <w:t>er</w:t>
      </w:r>
      <w:r>
        <w:t xml:space="preserve"> est différent et traité en tant que tel par le reste de la famille hérodienne. Pendant ses études à Rome, il mène une vie immorale et contracte de nombreuses dettes. Il devient l'ami de Gaïus Caligula et déclare un jour qu'il souhaite que Caligula soit roi plutôt que Tibère. Ceci est rapporté à Tibère, qui le fait emprisonner. Il reste en prison jusqu'à la mort de Tibère, six mois plus tard.</w:t>
      </w:r>
    </w:p>
    <w:p>
      <w:r/>
      <w:r>
        <w:t>Lorsque Caligula accède au trône, il libère Agrippa et lui donne les territoires de Philippe le tétrarque, la partie nord du territoire qui avait appartenu à Lysanias, ainsi que le titre de roi. Ce titre provoque la jalousie de sa sœur Hérodiade, ce qui finit par entraîner la chute du mari de celle-ci, Antipas. En 39 apr. J.‑C., Agrippa I</w:t>
      </w:r>
      <w:r>
        <w:rPr>
          <w:vertAlign w:val="superscript"/>
        </w:rPr>
        <w:t>er</w:t>
      </w:r>
      <w:r>
        <w:t xml:space="preserve"> reçoit tous les territoires et les biens d'Antipas.</w:t>
      </w:r>
    </w:p>
    <w:p>
      <w:r/>
      <w:r>
        <w:t>Lorsque Caligula meurt en 41 apr. J.‑C., Agrippa I</w:t>
      </w:r>
      <w:r>
        <w:rPr>
          <w:vertAlign w:val="superscript"/>
        </w:rPr>
        <w:t>er</w:t>
      </w:r>
      <w:r>
        <w:t xml:space="preserve"> gagne la faveur de Claude, le nouvel empereur. Claude ajoute la Judée et la Samarie au territoire d'Agrippa. Ce territoire avait autrefois été gouverné par le grand-père d'Agrippa, Hérode le Grand.</w:t>
      </w:r>
    </w:p>
    <w:p>
      <w:r/>
      <w:r>
        <w:t>Agrippa I</w:t>
      </w:r>
      <w:r>
        <w:rPr>
          <w:vertAlign w:val="superscript"/>
        </w:rPr>
        <w:t>er</w:t>
      </w:r>
      <w:r>
        <w:t xml:space="preserve"> est mentionné dans le NT quand il persécute l'Église primitive pour gagner la faveur des Juifs (</w:t>
      </w:r>
      <w:hyperlink r:id="rId6437">
        <w:r>
          <w:rPr>
            <w:color w:val="0000EE"/>
            <w:u w:val="single"/>
          </w:rPr>
          <w:t>Ac 12.1–19</w:t>
        </w:r>
      </w:hyperlink>
      <w:r>
        <w:t>). Il fait exécuter Jacques, fils de Zébédée, et emprisonne Pierre. Quand Pierre est libéré par un ange, Agrippa fait exécuter les gardes.</w:t>
      </w:r>
    </w:p>
    <w:p>
      <w:r/>
      <w:r>
        <w:t>Agrippa I</w:t>
      </w:r>
      <w:r>
        <w:rPr>
          <w:vertAlign w:val="superscript"/>
        </w:rPr>
        <w:t>er</w:t>
      </w:r>
      <w:r>
        <w:t xml:space="preserve"> meurt en 44 apr. J.‑C. à Césarée. Les circonstances de sa mort sont relatées par Flavius Josèphe (</w:t>
      </w:r>
      <w:r>
        <w:rPr>
          <w:i/>
        </w:rPr>
        <w:t>Antiquités</w:t>
      </w:r>
      <w:r>
        <w:t xml:space="preserve"> 19.9.1.274–275 ; </w:t>
      </w:r>
      <w:r>
        <w:rPr>
          <w:i/>
        </w:rPr>
        <w:t>Guerre</w:t>
      </w:r>
      <w:r>
        <w:t xml:space="preserve"> 2.11.5.214–215) et dans Actes. À Césarée, lors d'un discours public, il porte une robe argentée étincelante. Alors que la foule le flatte en l'appelant un dieu, il est soudainement frappé d'une maladie mortelle et meurt horriblement. Il laisse derrière lui ses filles (Bérénice, Mariamne et Drusille) et un fils, Agrippa II, qui a 17 ans à l'époque. Comme Agrippa II est trop jeune pour régner, les territoires de son père deviennent temporairement une province romaine.</w:t>
      </w:r>
    </w:p>
    <w:p>
      <w:pPr>
        <w:pStyle w:val="Heading3"/>
      </w:pPr>
      <w:r>
        <w:t>Agrippa II (50–100 apr. J.‑C.)</w:t>
      </w:r>
    </w:p>
    <w:p>
      <w:r/>
      <w:r>
        <w:t>Agrippa II est le fils d'Agrippa I</w:t>
      </w:r>
      <w:r>
        <w:rPr>
          <w:vertAlign w:val="superscript"/>
        </w:rPr>
        <w:t>er</w:t>
      </w:r>
      <w:r>
        <w:t xml:space="preserve"> et de Cypros III. En 50 apr. J.‑C., six ans après la mort de son père, Claude le fait roi de Chalcis.</w:t>
      </w:r>
    </w:p>
    <w:p>
      <w:r/>
      <w:r>
        <w:t>Agrippa II contrôle le trésor du Temple et les habits sacrés du souverain sacrificateur. Cela lui permet de choisir qui occupe cette fonction. Les Romains le consultent sur les questions religieuses, ce qui est probablement la raison pour laquelle Festus lui demande d'entendre la défense de l'apôtre Paul à Césarée (59 apr. J.‑C.). Il est alors accompagné de sa sœur Bérénice (</w:t>
      </w:r>
      <w:hyperlink r:id="rId2233">
        <w:r>
          <w:rPr>
            <w:color w:val="0000EE"/>
            <w:u w:val="single"/>
          </w:rPr>
          <w:t>Ac 25–26</w:t>
        </w:r>
      </w:hyperlink>
      <w:r>
        <w:t>).</w:t>
      </w:r>
    </w:p>
    <w:p>
      <w:r/>
      <w:r>
        <w:t>En mai 66 apr. J.‑C., la révolte des Juifs commence (</w:t>
      </w:r>
      <w:r>
        <w:rPr>
          <w:i/>
        </w:rPr>
        <w:t>Guerre</w:t>
      </w:r>
      <w:r>
        <w:t xml:space="preserve"> 2.14.4.284). Lorsque la tentative d'Agrippa II de réprimer la révolte échoue, il devient allié fervent des Romains. Il le restera tout au long de la guerre (66–70 apr. J.‑C.). Durant cette période, Néron se suicide, puis Galba, le nouvel empereur, est assassiné, et Vespasien lui succède. Après avoir prêté allégeance au nouvel empereur, Agrippa II demeure avec Titus, le fils de Vespasien. Titus commande les troupes romaines pendant la guerre (</w:t>
      </w:r>
      <w:r>
        <w:rPr>
          <w:i/>
        </w:rPr>
        <w:t>Histoire</w:t>
      </w:r>
      <w:r>
        <w:t xml:space="preserve"> de Tacite 5.81). Quand Jérusalem tombe (le 6 août de l'année 70 apr. J.‑C.), Agrippa est probablement présent pour célébrer la destruction de son propre peuple.</w:t>
      </w:r>
    </w:p>
    <w:p>
      <w:r/>
      <w:r>
        <w:t xml:space="preserve">Après cela, Vespasien ajoute de nouveaux territoires au royaume d'Agrippa, bien qu'on ne sache pas exactement lesquels. En 79 apr. J.‑C., Vespasien meurt et Titus devient empereur. On sait peu de choses sur le règne d'Agrippa II après cela, sauf qu'il écrit à l'historien Flavius Josèphe pour le féliciter à propos de son œuvre, </w:t>
      </w:r>
      <w:r>
        <w:rPr>
          <w:i/>
        </w:rPr>
        <w:t>La Guerre des Juifs</w:t>
      </w:r>
      <w:r>
        <w:t xml:space="preserve">, et qu'il en achète un exemplaire (Josèphe </w:t>
      </w:r>
      <w:r>
        <w:rPr>
          <w:i/>
        </w:rPr>
        <w:t>Vie</w:t>
      </w:r>
      <w:r>
        <w:t xml:space="preserve"> 65.361–367 ; </w:t>
      </w:r>
      <w:r>
        <w:rPr>
          <w:i/>
        </w:rPr>
        <w:t>Apion</w:t>
      </w:r>
      <w:r>
        <w:t xml:space="preserve"> 1.9.47–52).</w:t>
      </w:r>
    </w:p>
    <w:p>
      <w:r/>
      <w:r>
        <w:t xml:space="preserve">Bien que le Talmud semble affirmer qu'Agrippa II avait deux épouses (Talmud babylonien : </w:t>
      </w:r>
      <w:r>
        <w:rPr>
          <w:i/>
        </w:rPr>
        <w:t>Sukkah</w:t>
      </w:r>
      <w:r>
        <w:t xml:space="preserve"> 27a), Josèphe ne donne aucune indication d'épouses ou d'enfants. Il est soupçonné d'avoir eu une relation incestueuse avec sa sœur Bérénice. Il meurt vers l'an 100 apr. J.‑C. Sa mort met fin à la dynastie hérodienne.</w:t>
      </w:r>
    </w:p>
    <w:p>
      <w:r/>
      <w:r>
        <w:rPr>
          <w:i/>
        </w:rPr>
        <w:t>Voir aussi</w:t>
      </w:r>
      <w:r>
        <w:t xml:space="preserve"> </w:t>
      </w:r>
      <w:r>
        <w:t>hérodiens</w:t>
      </w:r>
      <w:r>
        <w:t xml:space="preserve"> ; </w:t>
      </w:r>
      <w:r>
        <w:t>judaïsme</w:t>
      </w:r>
      <w:r>
        <w:t>.</w:t>
      </w:r>
      <w:r/>
      <w:r/>
    </w:p>
    <w:p>
      <w:r/>
    </w:p>
    <w:p>
      <w:pPr>
        <w:pStyle w:val="Heading2"/>
      </w:pPr>
      <w:r>
        <w:t>Hérodiade, Hérodias</w:t>
      </w:r>
      <w:r/>
    </w:p>
    <w:p>
      <w:r/>
      <w:r>
        <w:t>Hérodiade (ou Hérodias) est la fille d'Aristobule (fils d'Hérode le Grand) et de Bérénice. Elle naît entre 9 et 7 av. J.‑C. Elle a pour frère aîné Hérode Agrippa I</w:t>
      </w:r>
      <w:r>
        <w:rPr>
          <w:vertAlign w:val="superscript"/>
        </w:rPr>
        <w:t>er</w:t>
      </w:r>
      <w:r>
        <w:t>. En 6 av. J.‑C., alors qu'elle est encore enfant, elle est fiancée par son grand-père, Hérode le Grand, au fils de celui-ci, Hérode Philippe (dont la mère est Mariamne II). Hérodiade a une fille, Salomé, qui naît entre 15 et 19 apr. J.‑C.</w:t>
      </w:r>
    </w:p>
    <w:p>
      <w:r/>
      <w:r>
        <w:t>Hérodiade et Hérode Philippe vivent sur la côte judéenne, possiblement à Azot ou à Césarée. En 29 apr. J.‑C., Hérode Antipas, l'oncle et beau-frère d'Hérodiade, vient leur rendre visite alors qu'il se rend à Rome. Ils sont attirés l'un par l'autre et Hérodiade accepte de l'épouser à condition qu'il divorce de sa femme, fille d'Arétas IV, roi nabatéen de Pétra. Hérodiade, hasmonéenne, refuse de cohabiter avec une Arabe, car les Arabes sont alors des ennemis de longue date de la dynastie hasmonéenne. Lorsque la fille d'Arétas apprend ce que son mari et Hérodiade préparent, elle s'enfuit secrètement chez son père. Hérodiade et Antipas se marient alors. Cet incident ouvre les hostilités entre Antipas et Arétas, qui finissent par aboutir à la guerre entre eux deux, et à la défaite d'Antipas en 36 apr. J.‑C.</w:t>
      </w:r>
    </w:p>
    <w:p>
      <w:r/>
      <w:r>
        <w:t>Jean le Baptiste dénonce ouvertement ce mariage (</w:t>
      </w:r>
      <w:hyperlink r:id="rId6423">
        <w:r>
          <w:rPr>
            <w:color w:val="0000EE"/>
            <w:u w:val="single"/>
          </w:rPr>
          <w:t>Mt 14.3–12</w:t>
        </w:r>
      </w:hyperlink>
      <w:r>
        <w:t xml:space="preserve"> ; </w:t>
      </w:r>
      <w:hyperlink r:id="rId6424">
        <w:r>
          <w:rPr>
            <w:color w:val="0000EE"/>
            <w:u w:val="single"/>
          </w:rPr>
          <w:t>Mc 6.17–29</w:t>
        </w:r>
      </w:hyperlink>
      <w:r>
        <w:t xml:space="preserve"> ; </w:t>
      </w:r>
      <w:hyperlink r:id="rId6425">
        <w:r>
          <w:rPr>
            <w:color w:val="0000EE"/>
            <w:u w:val="single"/>
          </w:rPr>
          <w:t>Lc 3.19–20</w:t>
        </w:r>
      </w:hyperlink>
      <w:r>
        <w:t>). En effet, la loi juive interdit le mariage avec la femme d'un frère (</w:t>
      </w:r>
      <w:hyperlink r:id="rId6426">
        <w:r>
          <w:rPr>
            <w:color w:val="0000EE"/>
            <w:u w:val="single"/>
          </w:rPr>
          <w:t>Lv 18.16</w:t>
        </w:r>
      </w:hyperlink>
      <w:r>
        <w:t xml:space="preserve"> ; </w:t>
      </w:r>
      <w:hyperlink r:id="rId6427">
        <w:r>
          <w:rPr>
            <w:color w:val="0000EE"/>
            <w:u w:val="single"/>
          </w:rPr>
          <w:t>20.21</w:t>
        </w:r>
      </w:hyperlink>
      <w:r>
        <w:t>), sauf en cas de lévirat, dans le but de préserver la lignée d'un frère décédé sans enfant en mariant sa veuve (</w:t>
      </w:r>
      <w:hyperlink r:id="rId5782">
        <w:r>
          <w:rPr>
            <w:color w:val="0000EE"/>
            <w:u w:val="single"/>
          </w:rPr>
          <w:t>Dt 25.5</w:t>
        </w:r>
      </w:hyperlink>
      <w:r>
        <w:t xml:space="preserve"> ; </w:t>
      </w:r>
      <w:hyperlink r:id="rId6428">
        <w:r>
          <w:rPr>
            <w:color w:val="0000EE"/>
            <w:u w:val="single"/>
          </w:rPr>
          <w:t>Mc 12.19</w:t>
        </w:r>
      </w:hyperlink>
      <w:r>
        <w:t>). Or Hérode Philippe, le frère d'Antipas, est bien vivant, et Hérodiade et lui ont un enfant, Salomé. Malheureusement, Antipas réagit à la courageuse réprimande de Jean le Baptiste en l'emprisonnant (vers l'an 30 ou 31 apr. J.-C.). Mais cela ne suffit pas pour Hérodiade. Lors d'une fête (peut-être l'anniversaire d'Antipas), sa fille danse devant Hérode et ses magistrats. Enthousiasmé, Hérode Antipas promet à Salomé de lui donner ce qu'elle demandera, jusqu'à la moitié de son royaume. À la demande de sa mère, elle exige la tête de Jean le Baptiste sur un plateau. Antipas le fait alors exécuter.</w:t>
      </w:r>
    </w:p>
    <w:p>
      <w:r/>
      <w:r>
        <w:t>Hérodiade est mentionnée une autre fois dans les sources historiques. Elle participe à une intrigue opposant son frère, Agrippa I</w:t>
      </w:r>
      <w:r>
        <w:rPr>
          <w:vertAlign w:val="superscript"/>
        </w:rPr>
        <w:t xml:space="preserve">er </w:t>
      </w:r>
      <w:r>
        <w:t>à son mari Antipas, quand son frère est nommé roi par l'empereur Caligula. En effet, elle désire depuis longtemps la royauté. Antipas, sur l'insistance de sa femme, se rend à Rome pour plaider sa cause, mais il ne l'obtient pas et est exilé à la place. Hérodiade, cependant, lui reste fidèle et le suit en exil. (Caligula ne l'aurait cependant pas punie, elle, la sœur d'Agrippa.)</w:t>
      </w:r>
    </w:p>
    <w:p>
      <w:r/>
      <w:r>
        <w:rPr>
          <w:i/>
        </w:rPr>
        <w:t>Voir aussi</w:t>
      </w:r>
      <w:r>
        <w:t xml:space="preserve"> </w:t>
      </w:r>
      <w:r>
        <w:t>Hérode, famille hérodienne</w:t>
      </w:r>
      <w:r>
        <w:t>.</w:t>
      </w:r>
      <w:r/>
      <w:r/>
    </w:p>
    <w:p>
      <w:r/>
    </w:p>
    <w:p>
      <w:pPr>
        <w:pStyle w:val="Heading2"/>
      </w:pPr>
      <w:r>
        <w:t>Hérodiens</w:t>
      </w:r>
      <w:r/>
    </w:p>
    <w:p>
      <w:r/>
      <w:r>
        <w:t>Parti juif mentionné trois fois dans les Évangiles à l'occasion de deux épisodes différents. Le premier prend place en Galilée et le second à Jérusalem. Les deux fois, les hérodiens s'allient avec les pharisiens pour s'opposer au Christ. Après la guérison de l'homme à la main sèche, les pharisiens sortent et se consultent avec les hérodiens sur le moyen de faire mourir Jésus (</w:t>
      </w:r>
      <w:hyperlink r:id="rId6438">
        <w:r>
          <w:rPr>
            <w:color w:val="0000EE"/>
            <w:u w:val="single"/>
          </w:rPr>
          <w:t>Mc 3.6</w:t>
        </w:r>
      </w:hyperlink>
      <w:r>
        <w:t>). Les pharisiens et les hérodiens s'allient une autre fois dans le but de mettre le Christ en difficulté en lui posant des questions pièges (</w:t>
      </w:r>
      <w:hyperlink r:id="rId6439">
        <w:r>
          <w:rPr>
            <w:color w:val="0000EE"/>
            <w:u w:val="single"/>
          </w:rPr>
          <w:t>Mt 22.16</w:t>
        </w:r>
      </w:hyperlink>
      <w:r>
        <w:t xml:space="preserve"> et </w:t>
      </w:r>
      <w:hyperlink r:id="rId6440">
        <w:r>
          <w:rPr>
            <w:color w:val="0000EE"/>
            <w:u w:val="single"/>
          </w:rPr>
          <w:t>Mc 12.13).</w:t>
        </w:r>
      </w:hyperlink>
      <w:r>
        <w:t xml:space="preserve"> Les hérodiens ne sont pas mentionnés du tout dans Luc ou dans Jean.</w:t>
      </w:r>
    </w:p>
    <w:p>
      <w:r/>
      <w:r>
        <w:t xml:space="preserve">Dans </w:t>
      </w:r>
      <w:hyperlink r:id="rId6441">
        <w:r>
          <w:rPr>
            <w:color w:val="0000EE"/>
            <w:u w:val="single"/>
          </w:rPr>
          <w:t>Marc 8.15</w:t>
        </w:r>
      </w:hyperlink>
      <w:r>
        <w:t xml:space="preserve">, il est question du « levain d'Hérode » (ou « levain des hérodiens »). Cependant, dans le passage parallèle de </w:t>
      </w:r>
      <w:hyperlink r:id="rId6442">
        <w:r>
          <w:rPr>
            <w:color w:val="0000EE"/>
            <w:u w:val="single"/>
          </w:rPr>
          <w:t>Matthieu 16.6</w:t>
        </w:r>
      </w:hyperlink>
      <w:r>
        <w:t>, il est question du « levain des sadducéens ». Les sadducéens et les hérodiens étaient-ils en fait les mêmes personnes ?</w:t>
      </w:r>
    </w:p>
    <w:p>
      <w:r/>
      <w:r>
        <w:t>Matthieu a tendance à décrire les chefs religieux en tant qu'opposants à Jésus, alors que Marc décrit les opposants à Jésus comme étant à la fois religieux et politiques. Pourquoi donc Matthieu parle-t-il du « levain des sadducéens » plutôt que du « levain d'Hérode » ou « levain des hérodiens » de Marc ? Certains émettent l'hypothèse que les hérodiens étaient un parti politique composé principalement de sadducéens. Il a aussi été proposé que les hérodiens étaient les sadducéens ou encore les boéthusiens, dont le nom était souvent utilisé pour désigner les sadducéens. Il n'y a aucune différence entre les doctrines des boéthusiens et celles des sadducéens, mais les sadducéens étaient fidèles à la dynastie hasmonéenne, tandis que les boéthusiens se rattachaient à la dynastie d'Hérode et étaient par conséquent surnommés « hérodiens ». Les hérodiens avaient donc une affiliation politique avec la dynastie d'Hérode et une affiliation religieuse avec les sadducéens. Tout comme les sadducéens, les hérodiens étaient influents. Ils faisaient partie de la classe aristocratique de la Palestine.</w:t>
      </w:r>
    </w:p>
    <w:p>
      <w:r/>
      <w:r>
        <w:t xml:space="preserve">Néanmoins, à l'époque de Jésus, les différences politiques entre hérodiens et sadducéens n'étaient pas aussi prononcées à cause de l'alliance produite par le mariage de l'hérodien Hérode Antipas et de l'hasmonéenne Hérodiade. Les hérodiens et les sadducéens étaient alors alliés dans leurs convictions politiques en opposition à celles des pharisiens. En effet, les hérodiens et sadducéens soutenaient ceux qui étaient au pouvoir, alors que les pharisiens s'opposaient aux hasmonéens ainsi qu'aux hérodiens. Ceci explique pourquoi </w:t>
      </w:r>
      <w:hyperlink r:id="rId6443">
        <w:r>
          <w:rPr>
            <w:color w:val="0000EE"/>
            <w:u w:val="single"/>
          </w:rPr>
          <w:t>Matthieu 16.12</w:t>
        </w:r>
      </w:hyperlink>
      <w:r>
        <w:t xml:space="preserve"> et </w:t>
      </w:r>
      <w:hyperlink r:id="rId6441">
        <w:r>
          <w:rPr>
            <w:color w:val="0000EE"/>
            <w:u w:val="single"/>
          </w:rPr>
          <w:t>Marc 8.15</w:t>
        </w:r>
      </w:hyperlink>
      <w:r>
        <w:t xml:space="preserve"> identifient chacun deux groupes distincts d'opposants à Jésus : les pharisiens d'une part et les sadducéens ou hérodiens de l'autre.</w:t>
      </w:r>
    </w:p>
    <w:p>
      <w:r/>
      <w:r>
        <w:t xml:space="preserve">Pour résumer, les hérodiens étaient également connus sous le nom de boéthusiens. Les hérodiens avaient les mêmes croyances que les sadducéens, mais politiquement, ils étaient plus pro-Hérode que les sadducéens. Par contre, les pharisiens désiraient la venue d'un royaume messianique cataclysmique qui renverserait le pouvoir de la maison d'Hérode, alors que les hérodiens œuvraient en sa faveur. </w:t>
      </w:r>
    </w:p>
    <w:p>
      <w:r/>
      <w:r>
        <w:rPr>
          <w:i/>
        </w:rPr>
        <w:t>Voir aussi</w:t>
      </w:r>
      <w:r>
        <w:t xml:space="preserve"> </w:t>
      </w:r>
      <w:r>
        <w:t>Hérode, famille d'Hérode</w:t>
      </w:r>
      <w:r>
        <w:t>.</w:t>
      </w:r>
      <w:r/>
      <w:r/>
    </w:p>
    <w:p>
      <w:r/>
    </w:p>
    <w:p>
      <w:pPr>
        <w:pStyle w:val="Heading2"/>
      </w:pPr>
      <w:r>
        <w:t>Heth</w:t>
      </w:r>
      <w:r/>
    </w:p>
    <w:p>
      <w:r/>
      <w:r>
        <w:t>Ancêtre des Héthiens (ou Hittites) et descendant de Canaan, dans la lignée de Cham (</w:t>
      </w:r>
      <w:hyperlink r:id="rId6444">
        <w:r>
          <w:rPr>
            <w:color w:val="0000EE"/>
            <w:u w:val="single"/>
          </w:rPr>
          <w:t>Gn 10.15</w:t>
        </w:r>
      </w:hyperlink>
      <w:r>
        <w:t xml:space="preserve"> ; </w:t>
      </w:r>
      <w:hyperlink r:id="rId6445">
        <w:r>
          <w:rPr>
            <w:color w:val="0000EE"/>
            <w:u w:val="single"/>
          </w:rPr>
          <w:t>1Ch 1.13</w:t>
        </w:r>
      </w:hyperlink>
      <w:r>
        <w:t xml:space="preserve">). </w:t>
      </w:r>
      <w:r>
        <w:rPr>
          <w:i/>
        </w:rPr>
        <w:t>Voir</w:t>
      </w:r>
      <w:r>
        <w:t xml:space="preserve"> </w:t>
      </w:r>
      <w:r>
        <w:t>Héthiens, Hittites</w:t>
      </w:r>
      <w:r>
        <w:t>.</w:t>
      </w:r>
      <w:r/>
      <w:r/>
    </w:p>
    <w:p>
      <w:r/>
    </w:p>
    <w:p>
      <w:pPr>
        <w:pStyle w:val="Heading2"/>
      </w:pPr>
      <w:r>
        <w:t>Héthiens, Hittites</w:t>
      </w:r>
      <w:r/>
    </w:p>
    <w:p>
      <w:r/>
      <w:r>
        <w:t>Peuple biblique qui jouera un rôle important dans les promesses d'une terre pour les descendants d'Abram et les enfants d'Israël. Autrefois inconnus de l'histoire séculière et considérés comme un peuple mythique par certains critiques de l'histoire biblique, des données sur les Héthiens ont plus tard été découvertes par des archéologues et des historiens. Ils sont désormais connus pour avoir eu un empire centré en Asie Mineure. Ils possédaient une force militaire suffisante pour défier les armées d'Égypte sous le règne du vaniteux pharaon Ramsès II et les ont combattues jusqu'à une impasse à Kadès sur l'Oronte.</w:t>
      </w:r>
    </w:p>
    <w:p>
      <w:r/>
      <w:r>
        <w:t>Dans l'ensemble, les références bibliques ne suggèrent pas que les Héthiens étaient plus qu'un groupe mineur. Cependant, l'association des rois héthiens et de l'Égypte avec le commerce de chevaux de Salomon, ainsi que leur implication dans les conflits de Syrie et d'Israël durant la monarchie divisée, indiquent que les Héthiens étaient un peuple de grande importance.</w:t>
      </w:r>
    </w:p>
    <w:p>
      <w:pPr>
        <w:pStyle w:val="Heading3"/>
      </w:pPr>
      <w:r>
        <w:t>Géographie</w:t>
      </w:r>
    </w:p>
    <w:p>
      <w:r/>
      <w:r>
        <w:t>L'Empire héthien avait son centre en Anatolie (Asie Mineure, Turquie moderne), sa capitale étant Hattusa (Bogazkoy moderne) sur le coude de la rivière Halys (actuel Kizil Irmak). L'empire s'étendait parfois sur une zone beaucoup plus vaste sans frontières définies, puisqu'il incluait des cités-États qui étaient des dépendances du royaume anatolien, liées à lui par des traités mais sans en être partie intégrante. En raison de leur présence en Palestine-Syrie, les Héthiens ont fait sentir leur influence en Égypte et sont bien connus grâce à l'art et aux inscriptions de ce pays. La présence des Héthiens en Palestine est largement attestée dans la Bible, et le pouvoir des Héthiens dans des villes palestiniennes comme Hébron est indiqué dès l'époque patriarcale.</w:t>
      </w:r>
    </w:p>
    <w:p>
      <w:pPr>
        <w:pStyle w:val="Heading3"/>
      </w:pPr>
      <w:r>
        <w:t>Histoire</w:t>
      </w:r>
    </w:p>
    <w:p>
      <w:r/>
      <w:r>
        <w:t>Les Héthiens (également connus sous le nom de Hittites) faisaient partie des nombreux groupes de peuples, considérés comme ni sémitiques ni indo-européens, qui occupaient le plateau anatolien au 3e millénaire av. J.‑C. Vers la fin de ce millénaire, les Indo-Européens envahiront la région et prendront l'ascendant politique.</w:t>
      </w:r>
    </w:p>
    <w:p>
      <w:r/>
      <w:r>
        <w:t>Leur histoire au sens propre (c'est-à-dire basée sur des documents écrits) commence en Anatolie vers 1 900 av. J.‑C. avec l'arrivée de commerçants assyriens. Ces marchands s'établiront dans diverses villes et correspondront avec leur patrie en utilisant des tablettes cunéiformes. Un certain nombre de ces documents ont été trouvés près de Kayseri. Ils mentionnent la lutte entre les principautés héthiennes pour la suprématie en Anatolie et font référence à un certain roi Anittas, connu à partir de sources héthiennes de date ultérieure.</w:t>
      </w:r>
    </w:p>
    <w:p>
      <w:r/>
      <w:r>
        <w:t>Au cours du 15e siècle av. J.‑C., la domination des Hourrites sera brisée par les campagnes du roi égyptien Thoutmôsis III, mais un autre royaume hourrite, Mitanni, gagnera rapidement en importance en Asie occidentale. Mitanni représentait une menace pour les Héthiens, mais avec l'arrivée d'un monarque ambitieux et énergique, Suppiluliuma I (vers 1380–1340 av. J.‑C.), la vitalité héthienne et la force de leur empire connaîtra une résurgence. Nous sommes alors à l'époque de la rédaction des lettres d'Amarna, qui témoignent de la situation confuse en Palestine-Syrie.</w:t>
      </w:r>
    </w:p>
    <w:p>
      <w:r/>
      <w:r>
        <w:t>Suppiluliuma mènera une brillante expédition militaire contre Mitanni et, combinant force et génie diplomatique, il se forgera par la suite une zone tampon de cités-États vassales qui lui étaient liées par des traités, dont des copies ont été trouvées dans les archives héthiennes.</w:t>
      </w:r>
    </w:p>
    <w:p>
      <w:r/>
      <w:r>
        <w:t>Au cours de la première moitié du 14e siècle, la langueur d'Amenhotep III et la préoccupation religieuse d'Akhenaton avaient permis à l'empire asiatique d'Égypte de disparaître. Cependant, le début de la 19e dynastie verra les Égyptiens s'efforcer de regagner les territoires qui avaient été perdus. La lutte pour la Palestine-Syrie connaîtra son point d'orgue avec la célèbre bataille de Kadès sur l'Oronte, où l'avantage initial sera remporté par les chars héthiens. Ramsès II célébrera la bataille comme une victoire, bien qu'il ait à peine échappé à la mort. Le roi héthien, Muwatallis, revendiquera également un triomphe, mais en termes politiques, l'issue du combat sera indécis. Le roi héthien suivant, Hattusilis III, signera un traité avec Ramsès II dans la 21e année du règne du roi égyptien ; le pacte sera confirmé par le mariage de la fille de Hattusilis avec Ramsès II.</w:t>
      </w:r>
    </w:p>
    <w:p>
      <w:r/>
      <w:r>
        <w:t xml:space="preserve">Vers le milieu du 13e siècle av. J.‑C., les Héthiens se trouveront menacés à l'ouest par les Ahhiyawa, possiblement associés aux Achéens et aux Peuples de la mer (voir </w:t>
      </w:r>
      <w:r>
        <w:t>Philistie, Philistins</w:t>
      </w:r>
      <w:r>
        <w:t>). C'est une vague des Peuples de la mer qui mettra fin à l'Empire héthien vers 1190 av. J.‑C. Celle-ci déferla le long de la côte est de la Méditerranée jusqu'à ce qu'elle soit finalement arrêtée dans le delta du Nil par Ramsès III.</w:t>
      </w:r>
    </w:p>
    <w:p>
      <w:r/>
      <w:r>
        <w:t>Dans le nord de la Syrie, des cités-États indépendantes continueront d'être gouvernées par des rois portant des noms héthiens et érigeaient des monuments inscrits de hiéroglyphes héthiens. Les Assyriens continuaient à appeler cette région la Terre des Hatti, et l'Ancien Testament parle de ces dirigeants de principautés comme des « rois des Héthiens ». Ces petits royaumes seront bientôt soumis à un tribut assyrien et deviendront des provinces assyriennes sous les règnes de Salmanasar V et Sargon II, les dirigeants qui mettront également fin au royaume du nord d'Israël en conquérant Samarie en 721 av. J.‑C.</w:t>
      </w:r>
    </w:p>
    <w:p>
      <w:pPr>
        <w:pStyle w:val="Heading3"/>
      </w:pPr>
      <w:r>
        <w:t>Langues et littérature</w:t>
      </w:r>
    </w:p>
    <w:p>
      <w:r/>
      <w:r>
        <w:t>Dans les textes trouvés à Boghazkoy, huit langues différentes étaient en usage. Parmi celles-ci, seules deux, le héthien et l'akkadien, ont été utilisées pour les archives royales officielles. L'akkadien était la lingua franca de l'empire et était également la langue principale des tablettes d'Amarna. Le hourrite est la seule autre langue dans laquelle des textes complets ont été écrits. Les autres langues apparaissent principalement dans de courts passages des documents religieux héthiens, et l'une est identifiée uniquement par certains termes techniques.</w:t>
      </w:r>
    </w:p>
    <w:p>
      <w:r/>
      <w:r>
        <w:t>Il y avait huit langues : (1) Le héthien, également appelé nesite, a été reconnu par B. Hrozny comme ayant des affinités avec l'indo-européen. Cette proposition a suscité du scepticisme parmi les chercheurs pendant un certain temps, mais elle a désormais été prouvée au-delà de tout doute. (2) Le hattique, la langue du peuple autochtone d'Anatolie, est utilisé pour les discours sacerdotaux lors de l'exécution du rituel cultuel lié au panthéon héthien. (3) Le louvite est une autre langue indo-européenne, étroitement liée au héthien. (4) Le palaïque, une langue peu connue, est également indo-européenne. (5) Le hourrite apparaît dans de nombreux textes rituels. Des fragments d'une traduction hourrite de l'Épopée de Gilgamesh ont été retrouvés. Une des tablettes d'Amarna, écrite par Tushratta, roi de Mitanni, à Amenhotep III, était en hourrite. Sont également représentés (6) la langue aryenne des dirigeants de Mitanni, (7) l'akkadien, et (8) le sumérien. En plus de l'écriture cunéiforme, les Héthiens utilisaient des hiéroglyphes, qui ont été trouvés inscrits sur de la pierre et du plomb.</w:t>
      </w:r>
    </w:p>
    <w:p>
      <w:r/>
      <w:r>
        <w:t>Les archives héthiennes contenaient des textes de documents officiels, tels que des traités, des lois, des instructions, des annales royales, des lettres et d'autres documents historiques. Il y avait beaucoup de littérature religieuse, y compris des mythes, des légendes, des épopées, des incantations, des rituels, des présages, des prières et des descriptions de festivals et de leurs célébrations.</w:t>
      </w:r>
    </w:p>
    <w:p>
      <w:pPr>
        <w:pStyle w:val="Heading3"/>
      </w:pPr>
      <w:r>
        <w:t>Le Peuple</w:t>
      </w:r>
    </w:p>
    <w:p>
      <w:r/>
      <w:r>
        <w:t>La diversité linguistique caractéristique de la civilisation héthinne est un parallèle au grand mélange d'origines ethniques, en particulier sur l'étendue géographique couverte par l'empire. L'apparence physique des Héthiens est connue grâce à leurs propres reliefs et aux représentations sur les monuments égyptiens. Leurs propres représentations montrent les Héthiens avec des visages peu attrayants, de lourds manteaux, de hauts bonnets pointus et des chaussures à bouts relevés.</w:t>
      </w:r>
    </w:p>
    <w:p>
      <w:pPr>
        <w:pStyle w:val="Heading3"/>
      </w:pPr>
      <w:r>
        <w:t>Religion</w:t>
      </w:r>
    </w:p>
    <w:p>
      <w:r/>
      <w:r>
        <w:t>Les Héthiens avaient un panthéon de divinités, connues par leur nom grâce aux inscriptions et par leur apparence grâce aux reliefs. Les dieux peuvent être identifiés par une arme ou un outil porté dans la main droite, un symbole dans la main gauche, des ailes ou des accessoires similaires, ou l'animal sacré sur lequel une divinité peut se tenir.</w:t>
      </w:r>
    </w:p>
    <w:p>
      <w:r/>
      <w:r>
        <w:t>Un des dieux principaux était le dieu du temps, dont l'animal sacré était le taureau. Parmi la multiplicité des cultes locaux, un panthéon officiel a émergé, dirigé par la déesse du soleil, Arinna, qui était la divinité suprême de l'État et du roi. Les traités des Héthiens comportent généralement une longue liste de divinités qui servaient de témoins au traité et au serment.</w:t>
      </w:r>
    </w:p>
    <w:p>
      <w:pPr>
        <w:pStyle w:val="Heading3"/>
      </w:pPr>
      <w:r>
        <w:t>Les Héthiens et la Bible</w:t>
      </w:r>
    </w:p>
    <w:p>
      <w:r/>
      <w:r>
        <w:t>Le nom « Héthien(s) » apparaît près de cinquante fois dans l'Ancien Testament mais n'apparaît pas dans le Nouveau Testament. Si l'on inclut les occurrences du nom de Heth, le père des Héthiens, il y a plus de soixante mentions dans la Bible. La plupart concernent la présence des Héthiens en Canaan. Leur ancêtre et éponyme, Heth, est listé en deuxième position parmi les fils de Canaan dans la « table des nations » (</w:t>
      </w:r>
      <w:hyperlink r:id="rId6444">
        <w:r>
          <w:rPr>
            <w:color w:val="0000EE"/>
            <w:u w:val="single"/>
          </w:rPr>
          <w:t>Gn 10.15</w:t>
        </w:r>
      </w:hyperlink>
      <w:r>
        <w:t xml:space="preserve"> ; voir </w:t>
      </w:r>
      <w:hyperlink r:id="rId6445">
        <w:r>
          <w:rPr>
            <w:color w:val="0000EE"/>
            <w:u w:val="single"/>
          </w:rPr>
          <w:t>1Ch 1.13</w:t>
        </w:r>
      </w:hyperlink>
      <w:r>
        <w:t>). La plupart des références aux « fils de Heth » apparaissent dans le récit de l'achat de la grotte de Macpéla par Abraham (</w:t>
      </w:r>
      <w:hyperlink r:id="rId103">
        <w:r>
          <w:rPr>
            <w:color w:val="0000EE"/>
            <w:u w:val="single"/>
          </w:rPr>
          <w:t>Gn 23</w:t>
        </w:r>
      </w:hyperlink>
      <w:r>
        <w:t>).</w:t>
      </w:r>
    </w:p>
    <w:p>
      <w:r/>
      <w:r>
        <w:t xml:space="preserve">Les références de l'Ancien Testament aux Héthiens incluent </w:t>
      </w:r>
      <w:hyperlink r:id="rId1713">
        <w:r>
          <w:rPr>
            <w:color w:val="0000EE"/>
            <w:u w:val="single"/>
          </w:rPr>
          <w:t>Genèse 26.34</w:t>
        </w:r>
      </w:hyperlink>
      <w:r>
        <w:t xml:space="preserve"> ; </w:t>
      </w:r>
      <w:hyperlink r:id="rId6446">
        <w:r>
          <w:rPr>
            <w:color w:val="0000EE"/>
            <w:u w:val="single"/>
          </w:rPr>
          <w:t>27.46</w:t>
        </w:r>
      </w:hyperlink>
      <w:r>
        <w:t xml:space="preserve"> (femmes héthiennes) ; </w:t>
      </w:r>
      <w:hyperlink r:id="rId6381">
        <w:r>
          <w:rPr>
            <w:color w:val="0000EE"/>
            <w:u w:val="single"/>
          </w:rPr>
          <w:t>49.29–32</w:t>
        </w:r>
      </w:hyperlink>
      <w:r>
        <w:t xml:space="preserve"> ; </w:t>
      </w:r>
      <w:hyperlink r:id="rId4846">
        <w:r>
          <w:rPr>
            <w:color w:val="0000EE"/>
            <w:u w:val="single"/>
          </w:rPr>
          <w:t>50.13</w:t>
        </w:r>
      </w:hyperlink>
      <w:r>
        <w:t xml:space="preserve"> (Éphron) ; </w:t>
      </w:r>
      <w:hyperlink r:id="rId747">
        <w:r>
          <w:rPr>
            <w:color w:val="0000EE"/>
            <w:u w:val="single"/>
          </w:rPr>
          <w:t>Exode 33.2</w:t>
        </w:r>
      </w:hyperlink>
      <w:r>
        <w:t xml:space="preserve"> ; </w:t>
      </w:r>
      <w:hyperlink r:id="rId2163">
        <w:r>
          <w:rPr>
            <w:color w:val="0000EE"/>
            <w:u w:val="single"/>
          </w:rPr>
          <w:t>Nombres 13.29</w:t>
        </w:r>
      </w:hyperlink>
      <w:r>
        <w:t xml:space="preserve"> ; </w:t>
      </w:r>
      <w:hyperlink r:id="rId6059">
        <w:r>
          <w:rPr>
            <w:color w:val="0000EE"/>
            <w:u w:val="single"/>
          </w:rPr>
          <w:t>Deutéronome 7.1</w:t>
        </w:r>
      </w:hyperlink>
      <w:r>
        <w:t xml:space="preserve"> ; </w:t>
      </w:r>
      <w:hyperlink r:id="rId6447">
        <w:r>
          <w:rPr>
            <w:color w:val="0000EE"/>
            <w:u w:val="single"/>
          </w:rPr>
          <w:t>20.17</w:t>
        </w:r>
      </w:hyperlink>
      <w:r>
        <w:t xml:space="preserve"> (leur destruction) ; </w:t>
      </w:r>
      <w:hyperlink r:id="rId6448">
        <w:r>
          <w:rPr>
            <w:color w:val="0000EE"/>
            <w:u w:val="single"/>
          </w:rPr>
          <w:t>Josué 11.3</w:t>
        </w:r>
      </w:hyperlink>
      <w:r>
        <w:t xml:space="preserve"> ; </w:t>
      </w:r>
      <w:hyperlink r:id="rId6449">
        <w:r>
          <w:rPr>
            <w:color w:val="0000EE"/>
            <w:u w:val="single"/>
          </w:rPr>
          <w:t>12.8</w:t>
        </w:r>
      </w:hyperlink>
      <w:r>
        <w:t xml:space="preserve"> (occupants de Canaan) ; </w:t>
      </w:r>
      <w:hyperlink r:id="rId6450">
        <w:r>
          <w:rPr>
            <w:color w:val="0000EE"/>
            <w:u w:val="single"/>
          </w:rPr>
          <w:t>1 Samuel 26.6</w:t>
        </w:r>
      </w:hyperlink>
      <w:r>
        <w:t xml:space="preserve"> ; </w:t>
      </w:r>
      <w:hyperlink r:id="rId6451">
        <w:r>
          <w:rPr>
            <w:color w:val="0000EE"/>
            <w:u w:val="single"/>
          </w:rPr>
          <w:t>2 Samuel 11–12</w:t>
        </w:r>
      </w:hyperlink>
      <w:r>
        <w:t xml:space="preserve"> (Urie, un guerrier sous David) ; </w:t>
      </w:r>
      <w:hyperlink r:id="rId6452">
        <w:r>
          <w:rPr>
            <w:color w:val="0000EE"/>
            <w:u w:val="single"/>
          </w:rPr>
          <w:t>1R 9.20</w:t>
        </w:r>
      </w:hyperlink>
      <w:r>
        <w:t xml:space="preserve"> ; </w:t>
      </w:r>
      <w:hyperlink r:id="rId6453">
        <w:r>
          <w:rPr>
            <w:color w:val="0000EE"/>
            <w:u w:val="single"/>
          </w:rPr>
          <w:t>10.29</w:t>
        </w:r>
      </w:hyperlink>
      <w:r>
        <w:t xml:space="preserve"> (ouvriers ou commerçants sous Salomon) ; </w:t>
      </w:r>
      <w:hyperlink r:id="rId5685">
        <w:r>
          <w:rPr>
            <w:color w:val="0000EE"/>
            <w:u w:val="single"/>
          </w:rPr>
          <w:t>11.1</w:t>
        </w:r>
      </w:hyperlink>
      <w:r>
        <w:t xml:space="preserve"> (épouse de Salomon) ; </w:t>
      </w:r>
      <w:hyperlink r:id="rId6454">
        <w:r>
          <w:rPr>
            <w:color w:val="0000EE"/>
            <w:u w:val="single"/>
          </w:rPr>
          <w:t>Esdras 9.1</w:t>
        </w:r>
      </w:hyperlink>
      <w:r>
        <w:t xml:space="preserve"> (étrangers) ; </w:t>
      </w:r>
      <w:hyperlink r:id="rId6455">
        <w:r>
          <w:rPr>
            <w:color w:val="0000EE"/>
            <w:u w:val="single"/>
          </w:rPr>
          <w:t>Ézéchiel 16.3, 45</w:t>
        </w:r>
      </w:hyperlink>
      <w:r>
        <w:t xml:space="preserve"> (ancêtres de Jérusalem).</w:t>
      </w:r>
      <w:r/>
      <w:r/>
    </w:p>
    <w:p>
      <w:r/>
    </w:p>
    <w:p>
      <w:pPr>
        <w:pStyle w:val="Heading2"/>
      </w:pPr>
      <w:r>
        <w:t>Hetsron (Personne)</w:t>
      </w:r>
      <w:r/>
    </w:p>
    <w:p>
      <w:pPr>
        <w:pStyle w:val="ListNumber"/>
        <w:spacing w:line="240" w:lineRule="auto"/>
        <w:ind w:left="720"/>
      </w:pPr>
      <w:r/>
      <w:r>
        <w:t>Fils de Ruben (</w:t>
      </w:r>
      <w:hyperlink r:id="rId2186">
        <w:r>
          <w:rPr>
            <w:color w:val="0000EE"/>
            <w:u w:val="single"/>
          </w:rPr>
          <w:t>Gn 46.9</w:t>
        </w:r>
      </w:hyperlink>
      <w:r>
        <w:t xml:space="preserve"> ; </w:t>
      </w:r>
      <w:hyperlink r:id="rId2187">
        <w:r>
          <w:rPr>
            <w:color w:val="0000EE"/>
            <w:u w:val="single"/>
          </w:rPr>
          <w:t>Ex 6.14</w:t>
        </w:r>
      </w:hyperlink>
      <w:r>
        <w:t xml:space="preserve"> ; </w:t>
      </w:r>
      <w:hyperlink r:id="rId2188">
        <w:r>
          <w:rPr>
            <w:color w:val="0000EE"/>
            <w:u w:val="single"/>
          </w:rPr>
          <w:t>1Ch 5.3</w:t>
        </w:r>
      </w:hyperlink>
      <w:r>
        <w:t>) et fondateur de la famille des Hetsronites dans la tribu de Ruben (</w:t>
      </w:r>
      <w:hyperlink r:id="rId6456">
        <w:r>
          <w:rPr>
            <w:color w:val="0000EE"/>
            <w:u w:val="single"/>
          </w:rPr>
          <w:t>Nb 26.6</w:t>
        </w:r>
      </w:hyperlink>
      <w:r>
        <w:t>).</w:t>
      </w:r>
    </w:p>
    <w:p>
      <w:pPr>
        <w:pStyle w:val="ListNumber"/>
        <w:spacing w:line="240" w:lineRule="auto"/>
        <w:ind w:left="720"/>
      </w:pPr>
      <w:r/>
      <w:r>
        <w:t>Fils de Pérets (</w:t>
      </w:r>
      <w:hyperlink r:id="rId4858">
        <w:r>
          <w:rPr>
            <w:color w:val="0000EE"/>
            <w:u w:val="single"/>
          </w:rPr>
          <w:t>Gn 46.12</w:t>
        </w:r>
      </w:hyperlink>
      <w:r>
        <w:t xml:space="preserve"> ; </w:t>
      </w:r>
      <w:hyperlink r:id="rId6457">
        <w:r>
          <w:rPr>
            <w:color w:val="0000EE"/>
            <w:u w:val="single"/>
          </w:rPr>
          <w:t>Rt 4.18–19</w:t>
        </w:r>
      </w:hyperlink>
      <w:r>
        <w:t xml:space="preserve"> ; </w:t>
      </w:r>
      <w:hyperlink r:id="rId6458">
        <w:r>
          <w:rPr>
            <w:color w:val="0000EE"/>
            <w:u w:val="single"/>
          </w:rPr>
          <w:t>1Ch 2.5–25</w:t>
        </w:r>
      </w:hyperlink>
      <w:r>
        <w:t xml:space="preserve"> ; </w:t>
      </w:r>
      <w:hyperlink r:id="rId2192">
        <w:r>
          <w:rPr>
            <w:color w:val="0000EE"/>
            <w:u w:val="single"/>
          </w:rPr>
          <w:t>4.1</w:t>
        </w:r>
      </w:hyperlink>
      <w:r>
        <w:t xml:space="preserve">) et fondateur de la famille </w:t>
      </w:r>
      <w:r>
        <w:t>Hetsronite</w:t>
      </w:r>
      <w:r>
        <w:t xml:space="preserve"> dans la tribu de Juda (</w:t>
      </w:r>
      <w:hyperlink r:id="rId6207">
        <w:r>
          <w:rPr>
            <w:color w:val="0000EE"/>
            <w:u w:val="single"/>
          </w:rPr>
          <w:t>Nb 26.21</w:t>
        </w:r>
      </w:hyperlink>
      <w:r>
        <w:t>), un ancêtre de Jésus-Christ (</w:t>
      </w:r>
      <w:hyperlink r:id="rId6459">
        <w:r>
          <w:rPr>
            <w:color w:val="0000EE"/>
            <w:u w:val="single"/>
          </w:rPr>
          <w:t>Mt 1.3</w:t>
        </w:r>
      </w:hyperlink>
      <w:r>
        <w:t xml:space="preserve"> ; </w:t>
      </w:r>
      <w:hyperlink r:id="rId6028">
        <w:r>
          <w:rPr>
            <w:color w:val="0000EE"/>
            <w:u w:val="single"/>
          </w:rPr>
          <w:t>Lc 3.33</w:t>
        </w:r>
      </w:hyperlink>
      <w:r>
        <w:t>).</w:t>
      </w:r>
    </w:p>
    <w:p>
      <w:r/>
      <w:r>
        <w:rPr>
          <w:i/>
        </w:rPr>
        <w:t>Voir aussi</w:t>
      </w:r>
      <w:r>
        <w:t xml:space="preserve"> </w:t>
      </w:r>
      <w:r>
        <w:t>Généalogie de Jésus-Christ</w:t>
      </w:r>
      <w:r>
        <w:t>.</w:t>
      </w:r>
      <w:r/>
      <w:r/>
    </w:p>
    <w:p>
      <w:r/>
    </w:p>
    <w:p>
      <w:pPr>
        <w:pStyle w:val="Heading2"/>
      </w:pPr>
      <w:r>
        <w:t>Héviens</w:t>
      </w:r>
      <w:r/>
    </w:p>
    <w:p>
      <w:r/>
      <w:r>
        <w:t>Les Héviens étaient un groupe de personnes qui vivaient en Canaan avant l'arrivée des Israélites.</w:t>
      </w:r>
    </w:p>
    <w:p>
      <w:r/>
      <w:r>
        <w:t>Les archéologues et les historiens n'ont pas encore trouvé de preuves claires des Héviens en dehors de la Bible. Cependant, la Bible indique qu'ils descendaient de l'un des fils de Canaan (</w:t>
      </w:r>
      <w:hyperlink r:id="rId1307">
        <w:r>
          <w:rPr>
            <w:color w:val="0000EE"/>
            <w:u w:val="single"/>
          </w:rPr>
          <w:t>Gn 10.17</w:t>
        </w:r>
      </w:hyperlink>
      <w:r>
        <w:t>). Ils vivaient dans les régions autour des montagnes du Liban et du mont Hermon (</w:t>
      </w:r>
      <w:hyperlink r:id="rId6460">
        <w:r>
          <w:rPr>
            <w:color w:val="0000EE"/>
            <w:u w:val="single"/>
          </w:rPr>
          <w:t>Jg 3.3</w:t>
        </w:r>
      </w:hyperlink>
      <w:r>
        <w:t xml:space="preserve"> ;</w:t>
      </w:r>
      <w:hyperlink r:id="rId6448">
        <w:r>
          <w:rPr>
            <w:color w:val="0000EE"/>
            <w:u w:val="single"/>
          </w:rPr>
          <w:t xml:space="preserve"> 11.3</w:t>
        </w:r>
      </w:hyperlink>
      <w:r>
        <w:t>).</w:t>
      </w:r>
    </w:p>
    <w:p>
      <w:r/>
      <w:r>
        <w:t>Les Héviens apparaissent de nombreuses fois dans la Bible comme un groupe qu'Israël a chassé du pays (</w:t>
      </w:r>
      <w:hyperlink r:id="rId6449">
        <w:r>
          <w:rPr>
            <w:color w:val="0000EE"/>
            <w:u w:val="single"/>
          </w:rPr>
          <w:t>Jos 12.8</w:t>
        </w:r>
      </w:hyperlink>
      <w:r>
        <w:t xml:space="preserve"> ; </w:t>
      </w:r>
      <w:hyperlink r:id="rId6061">
        <w:r>
          <w:rPr>
            <w:color w:val="0000EE"/>
            <w:u w:val="single"/>
          </w:rPr>
          <w:t>24.11</w:t>
        </w:r>
      </w:hyperlink>
      <w:r>
        <w:t xml:space="preserve"> ; </w:t>
      </w:r>
      <w:hyperlink r:id="rId6452">
        <w:r>
          <w:rPr>
            <w:color w:val="0000EE"/>
            <w:u w:val="single"/>
          </w:rPr>
          <w:t>1R 9.20</w:t>
        </w:r>
      </w:hyperlink>
      <w:r>
        <w:t>). Cependant, certains d'entre eux sont restés dans le pays. Pendant l'époque du royaume israélite, certains Héviens vivaient encore près de la ville de Tyr et dans d'autres endroits (</w:t>
      </w:r>
      <w:hyperlink r:id="rId6461">
        <w:r>
          <w:rPr>
            <w:color w:val="0000EE"/>
            <w:u w:val="single"/>
          </w:rPr>
          <w:t>2S 24.7</w:t>
        </w:r>
      </w:hyperlink>
      <w:r>
        <w:t>).</w:t>
      </w:r>
    </w:p>
    <w:p>
      <w:r/>
      <w:r>
        <w:t xml:space="preserve">Certains érudits pensent que le nom « Hévien » pourrait provenir d'une erreur de copie. En hébreu, les lettres </w:t>
      </w:r>
      <w:r>
        <w:rPr>
          <w:i/>
        </w:rPr>
        <w:t>resh</w:t>
      </w:r>
      <w:r>
        <w:t xml:space="preserve"> (ר) et </w:t>
      </w:r>
      <w:r>
        <w:rPr>
          <w:i/>
        </w:rPr>
        <w:t>waw</w:t>
      </w:r>
      <w:r>
        <w:t xml:space="preserve"> (ו) se ressemblent. Cette erreur pourrait avoir transformé le nom « Horien » en « Hévien ».</w:t>
      </w:r>
    </w:p>
    <w:p>
      <w:r/>
      <w:r>
        <w:t xml:space="preserve">Certains érudits pensent qu'il pourrait y avoir eu une confusion dans les noms. </w:t>
      </w:r>
      <w:hyperlink r:id="rId1714">
        <w:r>
          <w:rPr>
            <w:color w:val="0000EE"/>
            <w:u w:val="single"/>
          </w:rPr>
          <w:t xml:space="preserve">Genèse 36.2 </w:t>
        </w:r>
      </w:hyperlink>
      <w:r>
        <w:t xml:space="preserve">appelle Tsibeon un « Hévien ». Dans les versets </w:t>
      </w:r>
      <w:hyperlink r:id="rId6462">
        <w:r>
          <w:rPr>
            <w:color w:val="0000EE"/>
            <w:u w:val="single"/>
          </w:rPr>
          <w:t>20</w:t>
        </w:r>
      </w:hyperlink>
      <w:r>
        <w:t xml:space="preserve"> et </w:t>
      </w:r>
      <w:hyperlink r:id="rId6463">
        <w:r>
          <w:rPr>
            <w:color w:val="0000EE"/>
            <w:u w:val="single"/>
          </w:rPr>
          <w:t>29</w:t>
        </w:r>
      </w:hyperlink>
      <w:r>
        <w:t>, il est appelé un « Horien ». À certains endroits, la Septante (une ancienne traduction grecque de l'Ancien Testament) dit « Horien » au lieu de « Hévien » (</w:t>
      </w:r>
      <w:hyperlink r:id="rId6200">
        <w:r>
          <w:rPr>
            <w:color w:val="0000EE"/>
            <w:u w:val="single"/>
          </w:rPr>
          <w:t>Gn 34.2</w:t>
        </w:r>
      </w:hyperlink>
      <w:r>
        <w:t xml:space="preserve"> ; </w:t>
      </w:r>
      <w:hyperlink r:id="rId6464">
        <w:r>
          <w:rPr>
            <w:color w:val="0000EE"/>
            <w:u w:val="single"/>
          </w:rPr>
          <w:t>Jos 9.7</w:t>
        </w:r>
      </w:hyperlink>
      <w:r>
        <w:t>). D'autres passages dans la Septante lisent « Héthien » plutôt que « Hivien » (</w:t>
      </w:r>
      <w:hyperlink r:id="rId6448">
        <w:r>
          <w:rPr>
            <w:color w:val="0000EE"/>
            <w:u w:val="single"/>
          </w:rPr>
          <w:t>Jos 11.3</w:t>
        </w:r>
      </w:hyperlink>
      <w:r>
        <w:t xml:space="preserve"> ; </w:t>
      </w:r>
      <w:hyperlink r:id="rId6460">
        <w:r>
          <w:rPr>
            <w:color w:val="0000EE"/>
            <w:u w:val="single"/>
          </w:rPr>
          <w:t>Jg 3.3</w:t>
        </w:r>
      </w:hyperlink>
      <w:r>
        <w:t>).</w:t>
      </w:r>
    </w:p>
    <w:p>
      <w:r/>
      <w:r>
        <w:t xml:space="preserve">Le chevauchement entre les noms Hévien et Horien dans </w:t>
      </w:r>
      <w:hyperlink r:id="rId4484">
        <w:r>
          <w:rPr>
            <w:color w:val="0000EE"/>
            <w:u w:val="single"/>
          </w:rPr>
          <w:t xml:space="preserve">Genèse 36 </w:t>
        </w:r>
      </w:hyperlink>
      <w:r>
        <w:t>pourrait indiquer que les deux groupes étaient connectés d'une certaine manière. Cela est similaire à la façon dont la Bible utilise parfois les noms Ismaélites et Madianites pour désigner le même groupe (</w:t>
      </w:r>
      <w:hyperlink r:id="rId6465">
        <w:r>
          <w:rPr>
            <w:color w:val="0000EE"/>
            <w:u w:val="single"/>
          </w:rPr>
          <w:t>Gn 37.27–28, 36</w:t>
        </w:r>
      </w:hyperlink>
      <w:r>
        <w:t>). Certains experts pensent que les Héviens et les Horiens pourraient avoir été liés aux Hourrites. Les Hourrites étaient un groupe bien connu dans l'histoire et l'archéologie.</w:t>
      </w:r>
    </w:p>
    <w:p>
      <w:r/>
      <w:r>
        <w:t>Le mot « Hévien » apparaît environ vingt-cinq fois dans l'Ancien Testament. Près d'un tiers de ces occurrences se trouvent dans le livre de Josué. Cela suggère que les Héviens étaient un groupe de personnes réel. La plupart des Héviens vivaient dans le pays de Canaan, mais certains vivaient aussi dans le pays d'Édom (</w:t>
      </w:r>
      <w:hyperlink r:id="rId1714">
        <w:r>
          <w:rPr>
            <w:color w:val="0000EE"/>
            <w:u w:val="single"/>
          </w:rPr>
          <w:t>Gn 36.2</w:t>
        </w:r>
      </w:hyperlink>
      <w:r>
        <w:t>).</w:t>
      </w:r>
    </w:p>
    <w:p>
      <w:r/>
      <w:r>
        <w:t>La Bible mentionne plusieurs Héviens. Parmi ceux-ci :</w:t>
      </w:r>
    </w:p>
    <w:p>
      <w:pPr>
        <w:pStyle w:val="ListBullet"/>
        <w:spacing w:line="240" w:lineRule="auto"/>
        <w:ind w:left="720"/>
      </w:pPr>
      <w:r/>
      <w:r>
        <w:t>Hamor (</w:t>
      </w:r>
      <w:hyperlink r:id="rId6200">
        <w:r>
          <w:rPr>
            <w:color w:val="0000EE"/>
            <w:u w:val="single"/>
          </w:rPr>
          <w:t>Gn 34.2</w:t>
        </w:r>
      </w:hyperlink>
      <w:r>
        <w:t>),</w:t>
      </w:r>
    </w:p>
    <w:p>
      <w:pPr>
        <w:pStyle w:val="ListBullet"/>
        <w:spacing w:line="240" w:lineRule="auto"/>
        <w:ind w:left="720"/>
      </w:pPr>
      <w:r/>
      <w:r>
        <w:t>Les gens de Gabaon (</w:t>
      </w:r>
      <w:hyperlink r:id="rId6464">
        <w:r>
          <w:rPr>
            <w:color w:val="0000EE"/>
            <w:u w:val="single"/>
          </w:rPr>
          <w:t>Jos 9.7</w:t>
        </w:r>
      </w:hyperlink>
      <w:r>
        <w:t>),</w:t>
      </w:r>
    </w:p>
    <w:p>
      <w:pPr>
        <w:pStyle w:val="ListBullet"/>
        <w:spacing w:line="240" w:lineRule="auto"/>
        <w:ind w:left="720"/>
      </w:pPr>
      <w:r/>
      <w:r>
        <w:t>Les Héviens du nord (</w:t>
      </w:r>
      <w:hyperlink r:id="rId6466">
        <w:r>
          <w:rPr>
            <w:color w:val="0000EE"/>
            <w:u w:val="single"/>
          </w:rPr>
          <w:t>Jg 3.3–8</w:t>
        </w:r>
      </w:hyperlink>
      <w:r>
        <w:t>), et</w:t>
      </w:r>
    </w:p>
    <w:p>
      <w:pPr>
        <w:pStyle w:val="ListBullet"/>
        <w:spacing w:line="240" w:lineRule="auto"/>
        <w:ind w:left="720"/>
      </w:pPr>
      <w:r/>
      <w:r>
        <w:t>Ceux qui vivaient près de Tyr (</w:t>
      </w:r>
      <w:hyperlink r:id="rId6461">
        <w:r>
          <w:rPr>
            <w:color w:val="0000EE"/>
            <w:u w:val="single"/>
          </w:rPr>
          <w:t>2S 24.7</w:t>
        </w:r>
      </w:hyperlink>
      <w:r>
        <w:t>).</w:t>
      </w:r>
    </w:p>
    <w:p>
      <w:r/>
      <w:r>
        <w:t>Lors du règne de Salomon sur Israël, les Héviens et d'autres peuples étrangers qui vivaient dans le pays ont été contraints de travailler comme esclaves (</w:t>
      </w:r>
      <w:hyperlink r:id="rId6467">
        <w:r>
          <w:rPr>
            <w:color w:val="0000EE"/>
            <w:u w:val="single"/>
          </w:rPr>
          <w:t>1R 9.20–21</w:t>
        </w:r>
      </w:hyperlink>
      <w:r>
        <w:t xml:space="preserve"> ; </w:t>
      </w:r>
      <w:hyperlink r:id="rId6468">
        <w:r>
          <w:rPr>
            <w:color w:val="0000EE"/>
            <w:u w:val="single"/>
          </w:rPr>
          <w:t>2Ch 8.7</w:t>
        </w:r>
      </w:hyperlink>
      <w:r>
        <w:t>).</w:t>
      </w:r>
      <w:r/>
      <w:r/>
    </w:p>
    <w:p>
      <w:r/>
    </w:p>
    <w:p>
      <w:pPr>
        <w:pStyle w:val="Heading2"/>
      </w:pPr>
      <w:r>
        <w:t>Hiddekel</w:t>
      </w:r>
      <w:r/>
    </w:p>
    <w:p>
      <w:r/>
      <w:r>
        <w:t>Un nom hébreu pour le Tigre (</w:t>
      </w:r>
      <w:hyperlink r:id="rId1419">
        <w:r>
          <w:rPr>
            <w:color w:val="0000EE"/>
            <w:u w:val="single"/>
          </w:rPr>
          <w:t>Gn 2.14</w:t>
        </w:r>
      </w:hyperlink>
      <w:r>
        <w:t xml:space="preserve"> ; </w:t>
      </w:r>
      <w:hyperlink r:id="rId6469">
        <w:r>
          <w:rPr>
            <w:color w:val="0000EE"/>
            <w:u w:val="single"/>
          </w:rPr>
          <w:t>Dn 10.4</w:t>
        </w:r>
      </w:hyperlink>
      <w:r>
        <w:t xml:space="preserve">). </w:t>
      </w:r>
      <w:r>
        <w:rPr>
          <w:i/>
        </w:rPr>
        <w:t>Voir</w:t>
      </w:r>
      <w:r>
        <w:t xml:space="preserve"> </w:t>
      </w:r>
      <w:r>
        <w:t>Tigre (fleuve)</w:t>
      </w:r>
      <w:r>
        <w:t>.</w:t>
      </w:r>
      <w:r/>
      <w:r/>
    </w:p>
    <w:p>
      <w:r/>
    </w:p>
    <w:p>
      <w:pPr>
        <w:pStyle w:val="Heading2"/>
      </w:pPr>
      <w:r>
        <w:t>Hira</w:t>
      </w:r>
      <w:r/>
    </w:p>
    <w:p>
      <w:r/>
      <w:r>
        <w:t>Adullamite et ami de Juda chez qui ce dernier se rend après que lui et ses frères ont vendu Joseph (</w:t>
      </w:r>
      <w:hyperlink r:id="rId6470">
        <w:r>
          <w:rPr>
            <w:color w:val="0000EE"/>
            <w:u w:val="single"/>
          </w:rPr>
          <w:t>Gn 38.1</w:t>
        </w:r>
      </w:hyperlink>
      <w:r>
        <w:t xml:space="preserve">). Il accompagnera Juda à la tonte des brebis après la mort de la femme de Juda (v. </w:t>
      </w:r>
      <w:hyperlink r:id="rId6471">
        <w:r>
          <w:rPr>
            <w:color w:val="0000EE"/>
            <w:u w:val="single"/>
          </w:rPr>
          <w:t>12</w:t>
        </w:r>
      </w:hyperlink>
      <w:r>
        <w:t xml:space="preserve">), et il servira de messager pour porter un chevreau de Juda à Tamar (v. </w:t>
      </w:r>
      <w:hyperlink r:id="rId6472">
        <w:r>
          <w:rPr>
            <w:color w:val="0000EE"/>
            <w:u w:val="single"/>
          </w:rPr>
          <w:t>20</w:t>
        </w:r>
      </w:hyperlink>
      <w:r>
        <w:t>).</w:t>
      </w:r>
      <w:r/>
      <w:r/>
    </w:p>
    <w:p>
      <w:r/>
    </w:p>
    <w:p>
      <w:pPr>
        <w:pStyle w:val="Heading2"/>
      </w:pPr>
      <w:r>
        <w:t>Homme Naturel (ou Animal)</w:t>
      </w:r>
      <w:r/>
    </w:p>
    <w:p>
      <w:r/>
      <w:r>
        <w:t xml:space="preserve">« L'homme naturel » est une expression qui apparaît dans </w:t>
      </w:r>
      <w:hyperlink r:id="rId2327">
        <w:r>
          <w:rPr>
            <w:color w:val="0000EE"/>
            <w:u w:val="single"/>
          </w:rPr>
          <w:t>1 Corinthiens 2.14</w:t>
        </w:r>
      </w:hyperlink>
      <w:r>
        <w:t xml:space="preserve"> dans certaines traductions de la Bible. Le mot traduit par « naturel » se trouve également dans </w:t>
      </w:r>
      <w:hyperlink r:id="rId5004">
        <w:r>
          <w:rPr>
            <w:color w:val="0000EE"/>
            <w:u w:val="single"/>
          </w:rPr>
          <w:t>1 Corinthiens 15.44, 46</w:t>
        </w:r>
      </w:hyperlink>
      <w:r>
        <w:t xml:space="preserve"> ; </w:t>
      </w:r>
      <w:hyperlink r:id="rId6473">
        <w:r>
          <w:rPr>
            <w:color w:val="0000EE"/>
            <w:u w:val="single"/>
          </w:rPr>
          <w:t>Jacques 3.15</w:t>
        </w:r>
      </w:hyperlink>
      <w:r>
        <w:t xml:space="preserve"> ; et </w:t>
      </w:r>
      <w:hyperlink r:id="rId6474">
        <w:r>
          <w:rPr>
            <w:color w:val="0000EE"/>
            <w:u w:val="single"/>
          </w:rPr>
          <w:t>Jude 1.19</w:t>
        </w:r>
      </w:hyperlink>
      <w:r>
        <w:t>.</w:t>
      </w:r>
    </w:p>
    <w:p>
      <w:pPr>
        <w:pStyle w:val="Heading3"/>
      </w:pPr>
      <w:r>
        <w:t>Que signifie « Homme naturel » ?</w:t>
      </w:r>
    </w:p>
    <w:p>
      <w:r/>
      <w:r>
        <w:t>Le mot est lié au nom grec généralement traduit par « âme ». Le sens du mot est déterminé par le contexte. Dans 1 Corinthiens, les quatre utilisations sont toutes contrastées avec « spirituel », un mot courant dans les écrits de Paul. Dans presque chaque cas, « spirituel » se réfère à l'œuvre du Saint-Esprit.</w:t>
      </w:r>
    </w:p>
    <w:p>
      <w:r/>
      <w:r>
        <w:t>Appliqué aux choses, « spirituel » signifie venant du Saint-Esprit ou produit par lui. Les auteurs du Nouveau Testament décrivent plusieurs choses comme « spirituelles » :</w:t>
      </w:r>
    </w:p>
    <w:p>
      <w:pPr>
        <w:pStyle w:val="ListBullet"/>
        <w:spacing w:line="240" w:lineRule="auto"/>
        <w:ind w:left="720"/>
      </w:pPr>
      <w:r/>
      <w:r>
        <w:t xml:space="preserve">La loi est « spirituelle » dans </w:t>
      </w:r>
      <w:hyperlink r:id="rId6475">
        <w:r>
          <w:rPr>
            <w:color w:val="0000EE"/>
            <w:u w:val="single"/>
          </w:rPr>
          <w:t>Romains 7.14</w:t>
        </w:r>
      </w:hyperlink>
      <w:r>
        <w:t>.</w:t>
      </w:r>
    </w:p>
    <w:p>
      <w:pPr>
        <w:pStyle w:val="ListBullet"/>
        <w:spacing w:line="240" w:lineRule="auto"/>
        <w:ind w:left="720"/>
      </w:pPr>
      <w:r/>
      <w:r>
        <w:t xml:space="preserve">Les dons sont « spirituels » dans </w:t>
      </w:r>
      <w:hyperlink r:id="rId6476">
        <w:r>
          <w:rPr>
            <w:color w:val="0000EE"/>
            <w:u w:val="single"/>
          </w:rPr>
          <w:t>1 Corinthiens 12.1</w:t>
        </w:r>
      </w:hyperlink>
      <w:r>
        <w:t>.</w:t>
      </w:r>
    </w:p>
    <w:p>
      <w:pPr>
        <w:pStyle w:val="ListBullet"/>
        <w:spacing w:line="240" w:lineRule="auto"/>
        <w:ind w:left="720"/>
      </w:pPr>
      <w:r/>
      <w:r>
        <w:t xml:space="preserve">Les bénédictions sont « spirituelles » dans </w:t>
      </w:r>
      <w:hyperlink r:id="rId2699">
        <w:r>
          <w:rPr>
            <w:color w:val="0000EE"/>
            <w:u w:val="single"/>
          </w:rPr>
          <w:t>Éphésiens 1.3</w:t>
        </w:r>
      </w:hyperlink>
      <w:r>
        <w:t>.</w:t>
      </w:r>
    </w:p>
    <w:p>
      <w:pPr>
        <w:pStyle w:val="ListBullet"/>
        <w:spacing w:line="240" w:lineRule="auto"/>
        <w:ind w:left="720"/>
      </w:pPr>
      <w:r/>
      <w:r>
        <w:t xml:space="preserve">Les sacrifices sont « spirituels » dans </w:t>
      </w:r>
      <w:hyperlink r:id="rId6477">
        <w:r>
          <w:rPr>
            <w:color w:val="0000EE"/>
            <w:u w:val="single"/>
          </w:rPr>
          <w:t>1 Pierre 2.5</w:t>
        </w:r>
      </w:hyperlink>
      <w:r>
        <w:t>.</w:t>
      </w:r>
    </w:p>
    <w:p>
      <w:r/>
      <w:r>
        <w:t>Lorsque le mot est appliqué aux personnes, il signifie motivé et dirigé par le Saint-Esprit (</w:t>
      </w:r>
      <w:hyperlink r:id="rId6478">
        <w:r>
          <w:rPr>
            <w:color w:val="0000EE"/>
            <w:u w:val="single"/>
          </w:rPr>
          <w:t>1Co 2.15</w:t>
        </w:r>
      </w:hyperlink>
      <w:r>
        <w:t xml:space="preserve">; </w:t>
      </w:r>
      <w:hyperlink r:id="rId1946">
        <w:r>
          <w:rPr>
            <w:color w:val="0000EE"/>
            <w:u w:val="single"/>
          </w:rPr>
          <w:t>14.37</w:t>
        </w:r>
      </w:hyperlink>
      <w:r>
        <w:t xml:space="preserve">; </w:t>
      </w:r>
      <w:hyperlink r:id="rId3013">
        <w:r>
          <w:rPr>
            <w:color w:val="0000EE"/>
            <w:u w:val="single"/>
          </w:rPr>
          <w:t>Ga 6.1</w:t>
        </w:r>
      </w:hyperlink>
      <w:r>
        <w:t>). « Naturel » est opposé à « spirituel », et il décrit donc généralement ce qui est vide de, ou opposé au Saint-Esprit et à son œuvre.</w:t>
      </w:r>
    </w:p>
    <w:p>
      <w:pPr>
        <w:pStyle w:val="Heading3"/>
      </w:pPr>
      <w:r>
        <w:t>Différences entre le naturel et le spirituel dans la Bible</w:t>
      </w:r>
    </w:p>
    <w:p>
      <w:r/>
      <w:r>
        <w:t xml:space="preserve">Dans </w:t>
      </w:r>
      <w:hyperlink r:id="rId6479">
        <w:r>
          <w:rPr>
            <w:color w:val="0000EE"/>
            <w:u w:val="single"/>
          </w:rPr>
          <w:t>1 Corinthiens 2.14–15</w:t>
        </w:r>
      </w:hyperlink>
      <w:r>
        <w:t>, « l'homme naturel » est contrasté avec « l'homme spirituel ». Dans ce contexte, l'homme naturel est celui qui n'accepte pas les choses qui viennent de l'esprit de Dieu (</w:t>
      </w:r>
      <w:hyperlink r:id="rId2327">
        <w:r>
          <w:rPr>
            <w:color w:val="0000EE"/>
            <w:u w:val="single"/>
          </w:rPr>
          <w:t>1 Corinthiens 2.14</w:t>
        </w:r>
      </w:hyperlink>
      <w:r>
        <w:t>). Au contraire, ces choses sont pour lui une « folie ». Il ne peut pas les comprendre parce qu'elles sont « discernées spirituellement ». Cette folie est celle de l'incrédulité (</w:t>
      </w:r>
      <w:hyperlink r:id="rId6480">
        <w:r>
          <w:rPr>
            <w:color w:val="0000EE"/>
            <w:u w:val="single"/>
          </w:rPr>
          <w:t>1.21</w:t>
        </w:r>
      </w:hyperlink>
      <w:r>
        <w:t>), et ce qui manque est l'intuition qui ne peut être produite que par le Saint-Esprit. Clairement, Paul a en tête quelqu'un sans, ou même opposé au, Saint-Esprit et à la vérité révélée de Dieu.</w:t>
      </w:r>
    </w:p>
    <w:p>
      <w:r/>
      <w:r>
        <w:t xml:space="preserve">Dans </w:t>
      </w:r>
      <w:hyperlink r:id="rId6481">
        <w:r>
          <w:rPr>
            <w:color w:val="0000EE"/>
            <w:u w:val="single"/>
          </w:rPr>
          <w:t>1 Corinthiens 15.44–46</w:t>
        </w:r>
      </w:hyperlink>
      <w:r>
        <w:t xml:space="preserve">, le contraste entre le spirituel et le naturel se produit dans un contexte différent. Le « corps » dans la mort est comparé au « corps » dans la résurrection. Le corps du croyant déposé dans la tombe (« semé ») est un corps naturel (v. </w:t>
      </w:r>
      <w:hyperlink r:id="rId5004">
        <w:r>
          <w:rPr>
            <w:color w:val="0000EE"/>
            <w:u w:val="single"/>
          </w:rPr>
          <w:t>44</w:t>
        </w:r>
      </w:hyperlink>
      <w:r>
        <w:t>a). Le corps du croyant ressuscité d'entre les morts sera un corps spirituel. Le corps ressuscité sera renouvelé et transformé par le Saint-Esprit (</w:t>
      </w:r>
      <w:hyperlink r:id="rId6482">
        <w:r>
          <w:rPr>
            <w:color w:val="0000EE"/>
            <w:u w:val="single"/>
          </w:rPr>
          <w:t>Rm 8.11</w:t>
        </w:r>
      </w:hyperlink>
      <w:r>
        <w:t>).</w:t>
      </w:r>
    </w:p>
    <w:p>
      <w:r/>
      <w:r>
        <w:t xml:space="preserve">Dans </w:t>
      </w:r>
      <w:hyperlink r:id="rId5004">
        <w:r>
          <w:rPr>
            <w:color w:val="0000EE"/>
            <w:u w:val="single"/>
          </w:rPr>
          <w:t>1 Corinthiens 15.44b</w:t>
        </w:r>
      </w:hyperlink>
      <w:r>
        <w:t xml:space="preserve"> et </w:t>
      </w:r>
      <w:hyperlink r:id="rId4930">
        <w:r>
          <w:rPr>
            <w:color w:val="0000EE"/>
            <w:u w:val="single"/>
          </w:rPr>
          <w:t>45a</w:t>
        </w:r>
      </w:hyperlink>
      <w:r>
        <w:t>, cependant, Paul relie le « corps naturel » à Adam avant la chute lorsque Dieu l'a créé (</w:t>
      </w:r>
      <w:hyperlink r:id="rId233">
        <w:r>
          <w:rPr>
            <w:color w:val="0000EE"/>
            <w:u w:val="single"/>
          </w:rPr>
          <w:t>Gn 2.7)</w:t>
        </w:r>
      </w:hyperlink>
      <w:r>
        <w:t>. Cela montre que ce qui est naturel se réfère à la création. Tel que créé à l'origine par Dieu, le « naturel » était « très bon » (</w:t>
      </w:r>
      <w:hyperlink r:id="rId5979">
        <w:r>
          <w:rPr>
            <w:color w:val="0000EE"/>
            <w:u w:val="single"/>
          </w:rPr>
          <w:t>Gn 1.31</w:t>
        </w:r>
      </w:hyperlink>
      <w:r>
        <w:t>). Le péché humain a corrompu la nature jusque sa condamnation par la mort. Par conséquent, la rébellion pécheresse de l'homme naturel, mesurée par la création originale, est désormais contre nature et anormale. L'œuvre du Saint-Esprit maintenant, en Christ, est d'éliminer cette anomalie et de réaliser les objectifs originaux de la création (</w:t>
      </w:r>
      <w:hyperlink r:id="rId6483">
        <w:r>
          <w:rPr>
            <w:color w:val="0000EE"/>
            <w:u w:val="single"/>
          </w:rPr>
          <w:t>Rm 8.19</w:t>
        </w:r>
      </w:hyperlink>
      <w:hyperlink r:id="rId6481">
        <w:r>
          <w:rPr>
            <w:color w:val="0000EE"/>
            <w:u w:val="single"/>
          </w:rPr>
          <w:t>–</w:t>
        </w:r>
      </w:hyperlink>
      <w:hyperlink r:id="rId6483">
        <w:r>
          <w:rPr>
            <w:color w:val="0000EE"/>
            <w:u w:val="single"/>
          </w:rPr>
          <w:t>22</w:t>
        </w:r>
      </w:hyperlink>
      <w:r>
        <w:t xml:space="preserve">; </w:t>
      </w:r>
      <w:hyperlink r:id="rId320">
        <w:r>
          <w:rPr>
            <w:color w:val="0000EE"/>
            <w:u w:val="single"/>
          </w:rPr>
          <w:t>2Co 5.17</w:t>
        </w:r>
      </w:hyperlink>
      <w:r>
        <w:t>).</w:t>
      </w:r>
    </w:p>
    <w:p>
      <w:r/>
      <w:r>
        <w:rPr>
          <w:i/>
        </w:rPr>
        <w:t>Voir aussi</w:t>
      </w:r>
      <w:r>
        <w:t xml:space="preserve"> </w:t>
      </w:r>
      <w:r>
        <w:t>Être humain</w:t>
      </w:r>
      <w:r>
        <w:t xml:space="preserve"> ; </w:t>
      </w:r>
      <w:r>
        <w:t>Humanité, ancienne et nouvelle</w:t>
      </w:r>
      <w:r>
        <w:t>.</w:t>
      </w:r>
      <w:r/>
      <w:r/>
    </w:p>
    <w:p>
      <w:r/>
    </w:p>
    <w:p>
      <w:pPr>
        <w:pStyle w:val="Heading2"/>
      </w:pPr>
      <w:r>
        <w:t>Hor, Montagne de</w:t>
      </w:r>
      <w:r/>
    </w:p>
    <w:p>
      <w:r/>
      <w:r>
        <w:t>1. Montagne située à la frontière du pays d'Édom (</w:t>
      </w:r>
      <w:hyperlink r:id="rId6484">
        <w:r>
          <w:rPr>
            <w:color w:val="0000EE"/>
            <w:u w:val="single"/>
          </w:rPr>
          <w:t>Nb 20.23</w:t>
        </w:r>
      </w:hyperlink>
      <w:r>
        <w:t xml:space="preserve"> ; </w:t>
      </w:r>
      <w:hyperlink r:id="rId4486">
        <w:r>
          <w:rPr>
            <w:color w:val="0000EE"/>
            <w:u w:val="single"/>
          </w:rPr>
          <w:t>33.37</w:t>
        </w:r>
      </w:hyperlink>
      <w:r>
        <w:t>). La montagne de Hor est le premier endroit où sont arrivés les Israélites (</w:t>
      </w:r>
      <w:hyperlink r:id="rId6485">
        <w:r>
          <w:rPr>
            <w:color w:val="0000EE"/>
            <w:u w:val="single"/>
          </w:rPr>
          <w:t>Nb 20.22</w:t>
        </w:r>
      </w:hyperlink>
      <w:r>
        <w:t>) après avoir erré près de quarante ans (</w:t>
      </w:r>
      <w:hyperlink r:id="rId6486">
        <w:r>
          <w:rPr>
            <w:color w:val="0000EE"/>
            <w:u w:val="single"/>
          </w:rPr>
          <w:t>Dt 2.14</w:t>
        </w:r>
      </w:hyperlink>
      <w:r>
        <w:t>). Le frère de Moïse, Aaron, ne sera pas autorisé à entrer en Canaan car il avait refusé de suivre les instructions du Seigneur à Meriba (</w:t>
      </w:r>
      <w:hyperlink r:id="rId6487">
        <w:r>
          <w:rPr>
            <w:color w:val="0000EE"/>
            <w:u w:val="single"/>
          </w:rPr>
          <w:t>Nb 20.7–13, 24</w:t>
        </w:r>
      </w:hyperlink>
      <w:r>
        <w:t>). Dépouillé de ses vêtements sacerdotaux, qui seront ensuite placés sur son fils Éléazar, Aaron mourra au sommet du mont Hor (</w:t>
      </w:r>
      <w:hyperlink r:id="rId6488">
        <w:r>
          <w:rPr>
            <w:color w:val="0000EE"/>
            <w:u w:val="single"/>
          </w:rPr>
          <w:t>Nb 20.25–29</w:t>
        </w:r>
      </w:hyperlink>
      <w:r>
        <w:t xml:space="preserve">) à l'âge de 123 ans. Une punition similaire sera plus tard infligée à Moïse, dont la mort sur le mont Nebo est comparée à celle d'Aaron sur </w:t>
      </w:r>
      <w:r>
        <w:t>la montagne de</w:t>
      </w:r>
      <w:r>
        <w:t xml:space="preserve"> Hor (</w:t>
      </w:r>
      <w:hyperlink r:id="rId6489">
        <w:r>
          <w:rPr>
            <w:color w:val="0000EE"/>
            <w:u w:val="single"/>
          </w:rPr>
          <w:t>Dt 32.49–51</w:t>
        </w:r>
      </w:hyperlink>
      <w:r>
        <w:t xml:space="preserve">). Selon </w:t>
      </w:r>
      <w:hyperlink r:id="rId6490">
        <w:r>
          <w:rPr>
            <w:color w:val="0000EE"/>
            <w:u w:val="single"/>
          </w:rPr>
          <w:t>Deutéronome 10.6</w:t>
        </w:r>
      </w:hyperlink>
      <w:r>
        <w:t xml:space="preserve">, Aaron est mort et a été enterré à Moséra (probablement le Moséroth de </w:t>
      </w:r>
      <w:hyperlink r:id="rId6491">
        <w:r>
          <w:rPr>
            <w:color w:val="0000EE"/>
            <w:u w:val="single"/>
          </w:rPr>
          <w:t>Nb 33.30–31</w:t>
        </w:r>
      </w:hyperlink>
      <w:r>
        <w:t xml:space="preserve">), un lieu qui devait être très proche (ou peut-être une partie) de </w:t>
      </w:r>
      <w:r>
        <w:t>la montagne de</w:t>
      </w:r>
      <w:r>
        <w:t xml:space="preserve"> Hor.</w:t>
      </w:r>
    </w:p>
    <w:p>
      <w:r/>
      <w:r>
        <w:t xml:space="preserve">La localisation de </w:t>
      </w:r>
      <w:r>
        <w:t>la montagne de</w:t>
      </w:r>
      <w:r>
        <w:t xml:space="preserve"> Hor reste incertaine. Le site traditionnel, Jebel Nebi Harun (qui signifie « la montagne du prophète Aaron »), s'élève à presque 1 500 m de hauteur et est la plus haute des montagnes d'Édom. Les musulmans affirment qu'un petit bâtiment à son sommet est le tombeau d'Aaron. Cependant, Jebel Nebi Harun est situé près de Petra (au milieu d'Édom) et trop loin à l'est de Kadès. Un emplacement plus probable est Jebel Madeira, situé à la frontière nord-ouest d'Édom, à environ 25 km au nord-est de Kadès. Quoi qu'il en soit, le mot hébreu hor signifie probablement « mont » (comme dans </w:t>
      </w:r>
      <w:hyperlink r:id="rId6492">
        <w:r>
          <w:rPr>
            <w:color w:val="0000EE"/>
            <w:u w:val="single"/>
          </w:rPr>
          <w:t>Gn 49.26</w:t>
        </w:r>
      </w:hyperlink>
      <w:r>
        <w:t>), de sorte que « montagne de Hor » signifie peut-être simplement « montagne des montagnes » ou « haute montagne » plutôt qu'un nom propre.</w:t>
      </w:r>
    </w:p>
    <w:p>
      <w:r/>
      <w:r>
        <w:t>2. Autre montagne située dans l'extrême nord (</w:t>
      </w:r>
      <w:hyperlink r:id="rId6184">
        <w:r>
          <w:rPr>
            <w:color w:val="0000EE"/>
            <w:u w:val="single"/>
          </w:rPr>
          <w:t>Nb 34.7–8</w:t>
        </w:r>
      </w:hyperlink>
      <w:r>
        <w:t>). Généralement identifiée soit à la montagne d'Hermon, soit le Jebel Akkar, il s'agissait peut-être simplement d'une montagne exceptionnellement haute.</w:t>
      </w:r>
      <w:r/>
      <w:r/>
    </w:p>
    <w:p>
      <w:r/>
    </w:p>
    <w:p>
      <w:pPr>
        <w:pStyle w:val="Heading2"/>
      </w:pPr>
      <w:r>
        <w:t>Hori</w:t>
      </w:r>
      <w:r/>
    </w:p>
    <w:p>
      <w:r/>
      <w:r>
        <w:t>1. Premier fils de Lothan. Lothan était le fondateur d'un sous-clan horien en Édom (</w:t>
      </w:r>
      <w:hyperlink r:id="rId6399">
        <w:r>
          <w:rPr>
            <w:color w:val="0000EE"/>
            <w:u w:val="single"/>
          </w:rPr>
          <w:t>Gn 36.22</w:t>
        </w:r>
      </w:hyperlink>
      <w:r>
        <w:t xml:space="preserve"> ; </w:t>
      </w:r>
      <w:hyperlink r:id="rId6400">
        <w:r>
          <w:rPr>
            <w:color w:val="0000EE"/>
            <w:u w:val="single"/>
          </w:rPr>
          <w:t>1Ch 1.39</w:t>
        </w:r>
      </w:hyperlink>
      <w:r>
        <w:t>).</w:t>
      </w:r>
    </w:p>
    <w:p>
      <w:r/>
      <w:r>
        <w:t>2. Le père de Schaphath et membre de la tribu de Siméon. Schaphath était l'un des douze espions (</w:t>
      </w:r>
      <w:hyperlink r:id="rId6493">
        <w:r>
          <w:rPr>
            <w:color w:val="0000EE"/>
            <w:u w:val="single"/>
          </w:rPr>
          <w:t>Nb 13.5</w:t>
        </w:r>
      </w:hyperlink>
      <w:r>
        <w:t>).</w:t>
      </w:r>
      <w:r/>
      <w:r/>
    </w:p>
    <w:p>
      <w:r/>
    </w:p>
    <w:p>
      <w:pPr>
        <w:pStyle w:val="Heading2"/>
      </w:pPr>
      <w:r>
        <w:t>Horiens</w:t>
      </w:r>
      <w:r/>
    </w:p>
    <w:p>
      <w:r/>
      <w:r>
        <w:t>Habitants des cavernes du mont Séir, selon la tradition. Ces pré-Édomites étaient appelés les fils de Séir (</w:t>
      </w:r>
      <w:hyperlink r:id="rId6462">
        <w:r>
          <w:rPr>
            <w:color w:val="0000EE"/>
            <w:u w:val="single"/>
          </w:rPr>
          <w:t>Gn 36.20</w:t>
        </w:r>
      </w:hyperlink>
      <w:r>
        <w:t>). Dans la Bible, ils ont été vaincus par Kedorlaomer et ses alliés (</w:t>
      </w:r>
      <w:hyperlink r:id="rId4620">
        <w:r>
          <w:rPr>
            <w:color w:val="0000EE"/>
            <w:u w:val="single"/>
          </w:rPr>
          <w:t>14.6</w:t>
        </w:r>
      </w:hyperlink>
      <w:r>
        <w:t>). Ils étaient gouvernés par des chefs (</w:t>
      </w:r>
      <w:hyperlink r:id="rId6494">
        <w:r>
          <w:rPr>
            <w:color w:val="0000EE"/>
            <w:u w:val="single"/>
          </w:rPr>
          <w:t>36.29–30</w:t>
        </w:r>
      </w:hyperlink>
      <w:r>
        <w:t>) et seront détruits, en fin de compte, par les descendants d'Ésaü (</w:t>
      </w:r>
      <w:hyperlink r:id="rId6495">
        <w:r>
          <w:rPr>
            <w:color w:val="0000EE"/>
            <w:u w:val="single"/>
          </w:rPr>
          <w:t>Dt 2.12, 22</w:t>
        </w:r>
      </w:hyperlink>
      <w:r>
        <w:t>).</w:t>
      </w:r>
    </w:p>
    <w:p>
      <w:r/>
      <w:r>
        <w:t xml:space="preserve">L'étymologie populaire et biblique de « Horien » a été contestée depuis la découverte des Hourrites (ou Hurrites) comme prédécesseurs ethniques de nombreuses tribus du Proche-Orient. Les Hourrites étaient un peuple non-sémitique des montagnes. Vers le 2e millénaire av. J.‑C., ils migreront vers le nord et le nord-est de la Mésopotamie, avant de s'installer dans les régions de la Syrie et de la Palestine. Étant donné que la langue hourrite était répandue dans la région occidentale du Jourdain, et puisque phonétiquement « Horien » est l'équivalent hébreu du terme extrabiblique « Hourrite », plusieurs érudits et traducteurs ont substitué « Hourrite » à « Horien ». Beaucoup ont assimilé les Héviens, qui faisaient partie du groupe linguistique et culturel hourrite, aux Horiens. Ces critiques ont supposé une corruption textuelle précoce du </w:t>
      </w:r>
      <w:r>
        <w:rPr>
          <w:i/>
        </w:rPr>
        <w:t>r(esh)</w:t>
      </w:r>
      <w:r>
        <w:t xml:space="preserve"> dans le mot « Ho</w:t>
      </w:r>
      <w:r>
        <w:rPr>
          <w:i/>
        </w:rPr>
        <w:t>r</w:t>
      </w:r>
      <w:r>
        <w:t xml:space="preserve">ien » en </w:t>
      </w:r>
      <w:r>
        <w:rPr>
          <w:i/>
        </w:rPr>
        <w:t>w(aw)</w:t>
      </w:r>
      <w:r>
        <w:t xml:space="preserve"> dans le mot « Hé</w:t>
      </w:r>
      <w:r>
        <w:rPr>
          <w:i/>
        </w:rPr>
        <w:t>v</w:t>
      </w:r>
      <w:r>
        <w:t xml:space="preserve">ien ». Un certain Tsibeon est appelé un Horien dans </w:t>
      </w:r>
      <w:hyperlink r:id="rId6496">
        <w:r>
          <w:rPr>
            <w:color w:val="0000EE"/>
            <w:u w:val="single"/>
          </w:rPr>
          <w:t>Genèse 36.20–30</w:t>
        </w:r>
      </w:hyperlink>
      <w:r>
        <w:t xml:space="preserve">, tandis que dans le verset </w:t>
      </w:r>
      <w:hyperlink r:id="rId1714">
        <w:r>
          <w:rPr>
            <w:color w:val="0000EE"/>
            <w:u w:val="single"/>
          </w:rPr>
          <w:t>2</w:t>
        </w:r>
      </w:hyperlink>
      <w:r>
        <w:t xml:space="preserve"> ce même homme est appelé un Hévien. La Septante de </w:t>
      </w:r>
      <w:hyperlink r:id="rId6464">
        <w:r>
          <w:rPr>
            <w:color w:val="0000EE"/>
            <w:u w:val="single"/>
          </w:rPr>
          <w:t>Josué 9.7</w:t>
        </w:r>
      </w:hyperlink>
      <w:r>
        <w:t xml:space="preserve"> et </w:t>
      </w:r>
      <w:hyperlink r:id="rId6200">
        <w:r>
          <w:rPr>
            <w:color w:val="0000EE"/>
            <w:u w:val="single"/>
          </w:rPr>
          <w:t>Genèse 34.2</w:t>
        </w:r>
      </w:hyperlink>
      <w:r>
        <w:t xml:space="preserve"> lit « Horien » au lieu de « Hévien » comme dans le Texte Massorétique. Certains manuscrits de la Septante lisent « Hétien » pour le « Hévien » du Texte Massorétique (</w:t>
      </w:r>
      <w:hyperlink r:id="rId6448">
        <w:r>
          <w:rPr>
            <w:color w:val="0000EE"/>
            <w:u w:val="single"/>
          </w:rPr>
          <w:t>Jos 11.3</w:t>
        </w:r>
      </w:hyperlink>
      <w:r>
        <w:t xml:space="preserve">, </w:t>
      </w:r>
      <w:hyperlink r:id="rId6460">
        <w:r>
          <w:rPr>
            <w:color w:val="0000EE"/>
            <w:u w:val="single"/>
          </w:rPr>
          <w:t>Jg 3.3</w:t>
        </w:r>
      </w:hyperlink>
      <w:r>
        <w:t xml:space="preserve">). Dans </w:t>
      </w:r>
      <w:hyperlink r:id="rId1714">
        <w:r>
          <w:rPr>
            <w:color w:val="0000EE"/>
            <w:u w:val="single"/>
          </w:rPr>
          <w:t>Genèse 36.2</w:t>
        </w:r>
      </w:hyperlink>
      <w:r>
        <w:t>, les manuscrits hébreux existants lisent à tort « Hévien » pour « Horien ». Il semble que les références de l'Ancien Testament ne correspondent pas aux Hourrites, et les noms propres des Horiens ne correspondent pas non plus aux exemples hourrites (</w:t>
      </w:r>
      <w:hyperlink r:id="rId6496">
        <w:r>
          <w:rPr>
            <w:color w:val="0000EE"/>
            <w:u w:val="single"/>
          </w:rPr>
          <w:t>Gn 36.20–30</w:t>
        </w:r>
      </w:hyperlink>
      <w:r>
        <w:t>), semblant plutôt être sémitiques. Les Horiens venaient de Transjordanie et étaient les prédécesseurs des Édomites (</w:t>
      </w:r>
      <w:hyperlink r:id="rId4620">
        <w:r>
          <w:rPr>
            <w:color w:val="0000EE"/>
            <w:u w:val="single"/>
          </w:rPr>
          <w:t>14.6</w:t>
        </w:r>
      </w:hyperlink>
      <w:r>
        <w:t>). Les références ultérieures aux Horiens peuvent concerner les Horiens occidentaux, qui étaient peut-être des Hourrites (</w:t>
      </w:r>
      <w:hyperlink r:id="rId6497">
        <w:r>
          <w:rPr>
            <w:color w:val="0000EE"/>
            <w:u w:val="single"/>
          </w:rPr>
          <w:t>Es 17.9</w:t>
        </w:r>
      </w:hyperlink>
      <w:r>
        <w:t xml:space="preserve">) et non-sémitiques, mais tout à fait distincts des prédécesseurs des Édomites, les Horiens orientaux. L'hébreu de </w:t>
      </w:r>
      <w:hyperlink r:id="rId6200">
        <w:r>
          <w:rPr>
            <w:color w:val="0000EE"/>
            <w:u w:val="single"/>
          </w:rPr>
          <w:t>Genèse 34.2</w:t>
        </w:r>
      </w:hyperlink>
      <w:r>
        <w:t xml:space="preserve"> et </w:t>
      </w:r>
      <w:hyperlink r:id="rId6464">
        <w:r>
          <w:rPr>
            <w:color w:val="0000EE"/>
            <w:u w:val="single"/>
          </w:rPr>
          <w:t>Josué 9.7</w:t>
        </w:r>
      </w:hyperlink>
      <w:r>
        <w:t xml:space="preserve"> peut provenir d'une famille de manuscrits différente de celle utilisée par les traducteurs de la Septante, préservant ses propres traditions ethniques. Il semble préférable de considérer à la fois les Héviens et les Horiens comme des groupes ethniques liés aux Hourrites par la langue et la culture.</w:t>
      </w:r>
    </w:p>
    <w:p>
      <w:r/>
      <w:r>
        <w:rPr>
          <w:i/>
        </w:rPr>
        <w:t>Voir aussi</w:t>
      </w:r>
      <w:r>
        <w:t xml:space="preserve"> </w:t>
      </w:r>
      <w:r>
        <w:t>Hourrites</w:t>
      </w:r>
      <w:r>
        <w:t xml:space="preserve"> ; </w:t>
      </w:r>
      <w:r>
        <w:t>Héviens</w:t>
      </w:r>
      <w:r>
        <w:t>.</w:t>
      </w:r>
      <w:r/>
      <w:r/>
    </w:p>
    <w:p>
      <w:r/>
    </w:p>
    <w:p>
      <w:pPr>
        <w:pStyle w:val="Heading2"/>
      </w:pPr>
      <w:r>
        <w:t>Hosanna</w:t>
      </w:r>
      <w:r/>
    </w:p>
    <w:p>
      <w:r/>
      <w:r>
        <w:t xml:space="preserve">Expression qui signifie en hébreu « accorde le salut ». Cette expression provient du </w:t>
      </w:r>
      <w:hyperlink r:id="rId6498">
        <w:r>
          <w:rPr>
            <w:color w:val="0000EE"/>
            <w:u w:val="single"/>
          </w:rPr>
          <w:t>Psaume 118.25</w:t>
        </w:r>
      </w:hyperlink>
      <w:r>
        <w:t xml:space="preserve"> : « </w:t>
      </w:r>
      <w:r>
        <w:t>O Éternel, accorde le salut</w:t>
      </w:r>
      <w:r>
        <w:t xml:space="preserve"> ».</w:t>
      </w:r>
    </w:p>
    <w:p>
      <w:r/>
      <w:r>
        <w:t xml:space="preserve">Le </w:t>
      </w:r>
      <w:hyperlink r:id="rId6499">
        <w:r>
          <w:rPr>
            <w:color w:val="0000EE"/>
            <w:u w:val="single"/>
          </w:rPr>
          <w:t>Psaume 118</w:t>
        </w:r>
      </w:hyperlink>
      <w:r>
        <w:t xml:space="preserve"> déclare la foi que l'Éternel sauvera son peuple. Le Hallel, un chant qui inclut les Psaumes 113 à 118, était chanté lors d'événements importants. Le verset </w:t>
      </w:r>
      <w:hyperlink r:id="rId6498">
        <w:r>
          <w:rPr>
            <w:color w:val="0000EE"/>
            <w:u w:val="single"/>
          </w:rPr>
          <w:t>118.25</w:t>
        </w:r>
      </w:hyperlink>
      <w:r>
        <w:t xml:space="preserve"> était utilisé lors de la fête des Tabernacles. Au moment où ce verset était lu, la foule agitait des branches de myrte, de saule et de palmier. Elle agitait peut-être aussi des branches à d'autres occasions pour exprimer de la joie, comme au jour de la restauration du temple de Jérusalem, qui avait été profané (</w:t>
      </w:r>
      <w:hyperlink r:id="rId6500">
        <w:r>
          <w:rPr>
            <w:color w:val="0000EE"/>
            <w:u w:val="single"/>
          </w:rPr>
          <w:t>2 M 10.6–7</w:t>
        </w:r>
      </w:hyperlink>
      <w:r>
        <w:t>).</w:t>
      </w:r>
    </w:p>
    <w:p>
      <w:r/>
      <w:r>
        <w:t>Dans le Nouveau Testament, la foule accueille Jésus à Jérusalem en criant « Hosanna » (</w:t>
      </w:r>
      <w:hyperlink r:id="rId6501">
        <w:r>
          <w:rPr>
            <w:color w:val="0000EE"/>
            <w:u w:val="single"/>
          </w:rPr>
          <w:t>Mt 21.9</w:t>
        </w:r>
      </w:hyperlink>
      <w:r>
        <w:t xml:space="preserve"> ; </w:t>
      </w:r>
      <w:hyperlink r:id="rId6502">
        <w:r>
          <w:rPr>
            <w:color w:val="0000EE"/>
            <w:u w:val="single"/>
          </w:rPr>
          <w:t>Mc 11.9–10</w:t>
        </w:r>
      </w:hyperlink>
      <w:r>
        <w:t xml:space="preserve"> ; </w:t>
      </w:r>
      <w:hyperlink r:id="rId6503">
        <w:r>
          <w:rPr>
            <w:color w:val="0000EE"/>
            <w:u w:val="single"/>
          </w:rPr>
          <w:t>Jn 12.13</w:t>
        </w:r>
      </w:hyperlink>
      <w:r>
        <w:t xml:space="preserve">), cri suivi de la proclamation : « </w:t>
      </w:r>
      <w:r>
        <w:t>Béni soit celui qui vient au nom du Seigneur</w:t>
      </w:r>
      <w:r>
        <w:t xml:space="preserve"> » (comp. avec le </w:t>
      </w:r>
      <w:hyperlink r:id="rId6504">
        <w:r>
          <w:rPr>
            <w:color w:val="0000EE"/>
            <w:u w:val="single"/>
          </w:rPr>
          <w:t>Ps 118.26</w:t>
        </w:r>
      </w:hyperlink>
      <w:r>
        <w:t xml:space="preserve">). Ces paroles indiquaient que la foule saluait Jésus comme le Messie, l'élu de Dieu. </w:t>
      </w:r>
    </w:p>
    <w:p>
      <w:r/>
      <w:r>
        <w:t xml:space="preserve">Déjà avant l'époque de Jésus, les Juifs croyaient que les paroles « Béni soit celui qui vient au nom du Seigneur » parlaient du Messie. Il est possible que le mot « Hosanna » avait lui aussi commencé à être lié à l'attente de la venue du Messie. </w:t>
      </w:r>
    </w:p>
    <w:p>
      <w:r/>
      <w:r>
        <w:t xml:space="preserve">Les autres paroles que criait la foule quand Jésus est venu à Jérusalem semblent confirmer cela. Dans </w:t>
      </w:r>
      <w:hyperlink r:id="rId6501">
        <w:r>
          <w:rPr>
            <w:color w:val="0000EE"/>
            <w:u w:val="single"/>
          </w:rPr>
          <w:t>Matthieu 21.9</w:t>
        </w:r>
      </w:hyperlink>
      <w:r>
        <w:t xml:space="preserve">, Jésus est appelé le « Fils de David », un titre messianique. Dans </w:t>
      </w:r>
      <w:hyperlink r:id="rId3637">
        <w:r>
          <w:rPr>
            <w:color w:val="0000EE"/>
            <w:u w:val="single"/>
          </w:rPr>
          <w:t>Marc 11.10</w:t>
        </w:r>
      </w:hyperlink>
      <w:r>
        <w:t xml:space="preserve">, la foule acclame « </w:t>
      </w:r>
      <w:r>
        <w:t>le règne qui vient, le règne de David, notre père</w:t>
      </w:r>
      <w:r>
        <w:t xml:space="preserve"> ». </w:t>
      </w:r>
      <w:hyperlink r:id="rId6503">
        <w:r>
          <w:rPr>
            <w:color w:val="0000EE"/>
            <w:u w:val="single"/>
          </w:rPr>
          <w:t>Jean 12.13</w:t>
        </w:r>
      </w:hyperlink>
      <w:r>
        <w:t xml:space="preserve"> indique qu'ils disaient aussi de Jésus « </w:t>
      </w:r>
      <w:r>
        <w:t>Béni soit celui qui vient au nom du Seigneur, le roi d’Israël !</w:t>
      </w:r>
      <w:r>
        <w:t xml:space="preserve"> » Ces paroles désignent toutes Jésus comme le Messie, le roi descendant de David que Dieu avait promis comme sauveur d'Israël.</w:t>
      </w:r>
    </w:p>
    <w:p>
      <w:r/>
      <w:r>
        <w:t>Il n'est pas nécessaire de supposer que parce que la foule criait « Hosanna », elle pensait que le règne de Jésus allait immédiatement commencer et qu'il allait libérer le peuple juif des Romains. Il est probable qu'ils ne savaient pas ce que Jésus avait l'intention de faire. Ce qui peut être affirmé avec certitude, c'est qu'ils croyaient que Jésus avait été envoyé par Dieu pour les sauver. Si ces paroles n'avaient pas été justes, Jésus n'aurait pas accepté d'être ainsi loué. Ce n'est que plus tard, quand il meurt et revient à la vie, qu'il est compris ce que signifie vraiment que Jésus est le Messie, le sauveur que Dieu a envoyé.</w:t>
      </w:r>
    </w:p>
    <w:p>
      <w:r/>
      <w:r>
        <w:rPr>
          <w:i/>
        </w:rPr>
        <w:t>Voir aussi</w:t>
      </w:r>
      <w:r>
        <w:t xml:space="preserve"> </w:t>
      </w:r>
      <w:r>
        <w:t>Hallel</w:t>
      </w:r>
      <w:r>
        <w:t xml:space="preserve"> ; </w:t>
      </w:r>
      <w:r>
        <w:t>alléluia</w:t>
      </w:r>
      <w:r>
        <w:t xml:space="preserve"> ; </w:t>
      </w:r>
      <w:r>
        <w:t>Messie</w:t>
      </w:r>
      <w:r>
        <w:t>.</w:t>
      </w:r>
      <w:r/>
      <w:r/>
    </w:p>
    <w:p>
      <w:r/>
    </w:p>
    <w:p>
      <w:pPr>
        <w:pStyle w:val="Heading2"/>
      </w:pPr>
      <w:r>
        <w:t>Hôte, Hôte des Cieux</w:t>
      </w:r>
      <w:r/>
    </w:p>
    <w:p>
      <w:r/>
      <w:r>
        <w:t>Mot traduisant une expression hébraïque fréquemment trouvée dans l'Ancien Testament. Il s'agit d'un terme militaire, apparaissant près de cinq cents fois dans l'Ancien Testament. Il est le plus souvent traduit par « armée » (</w:t>
      </w:r>
      <w:hyperlink r:id="rId6505">
        <w:r>
          <w:rPr>
            <w:color w:val="0000EE"/>
            <w:u w:val="single"/>
          </w:rPr>
          <w:t>2R 18.17</w:t>
        </w:r>
      </w:hyperlink>
      <w:r>
        <w:t>), mais peut également faire référence aux « anges », aux « corps célestes » ou à la « création ».</w:t>
      </w:r>
    </w:p>
    <w:p>
      <w:r/>
      <w:r>
        <w:t>La phrase « armée des cieux » a diverses applications dans la Bible. Les écrivains anciens se référaient parfois symboliquement au soleil, à la lune et aux étoiles comme à une armée (</w:t>
      </w:r>
      <w:hyperlink r:id="rId6506">
        <w:r>
          <w:rPr>
            <w:color w:val="0000EE"/>
            <w:u w:val="single"/>
          </w:rPr>
          <w:t>Dt 4.19</w:t>
        </w:r>
      </w:hyperlink>
      <w:r>
        <w:t xml:space="preserve"> ; </w:t>
      </w:r>
      <w:hyperlink r:id="rId6507">
        <w:r>
          <w:rPr>
            <w:color w:val="0000EE"/>
            <w:u w:val="single"/>
          </w:rPr>
          <w:t>Jg 5.20</w:t>
        </w:r>
      </w:hyperlink>
      <w:r>
        <w:t>). Dans les cultes astrologiques de l'Antiquité, on croyait que les corps célestes étaient animés par des esprits et constituaient ainsi une armée vivante qui contrôlait le destin céleste. Le culte de l'armée des cieux était l'une des premières formes d'idolâtrie. Il était courant parmi les Israélites lors de leurs périodes rétrogrades (</w:t>
      </w:r>
      <w:hyperlink r:id="rId6508">
        <w:r>
          <w:rPr>
            <w:color w:val="0000EE"/>
            <w:u w:val="single"/>
          </w:rPr>
          <w:t>Jr 19.13</w:t>
        </w:r>
      </w:hyperlink>
      <w:r>
        <w:t xml:space="preserve"> ; </w:t>
      </w:r>
      <w:hyperlink r:id="rId6509">
        <w:r>
          <w:rPr>
            <w:color w:val="0000EE"/>
            <w:u w:val="single"/>
          </w:rPr>
          <w:t>Ac 7.42</w:t>
        </w:r>
      </w:hyperlink>
      <w:r>
        <w:t>). Bien qu'ayant été mis en garde contre de telles croyances païennes (</w:t>
      </w:r>
      <w:hyperlink r:id="rId6506">
        <w:r>
          <w:rPr>
            <w:color w:val="0000EE"/>
            <w:u w:val="single"/>
          </w:rPr>
          <w:t>Dt 4.19</w:t>
        </w:r>
      </w:hyperlink>
      <w:r>
        <w:t xml:space="preserve"> ; </w:t>
      </w:r>
      <w:hyperlink r:id="rId6510">
        <w:r>
          <w:rPr>
            <w:color w:val="0000EE"/>
            <w:u w:val="single"/>
          </w:rPr>
          <w:t>17.3</w:t>
        </w:r>
      </w:hyperlink>
      <w:r>
        <w:t>), les Israélites sont tombés dans la pratique de l'adoration des corps célestes. Cela était particulièrement vrai pendant les périodes assyrienne et babylonienne (</w:t>
      </w:r>
      <w:hyperlink r:id="rId6511">
        <w:r>
          <w:rPr>
            <w:color w:val="0000EE"/>
            <w:u w:val="single"/>
          </w:rPr>
          <w:t>2R 17.16</w:t>
        </w:r>
      </w:hyperlink>
      <w:r>
        <w:t xml:space="preserve"> ; </w:t>
      </w:r>
      <w:hyperlink r:id="rId6512">
        <w:r>
          <w:rPr>
            <w:color w:val="0000EE"/>
            <w:u w:val="single"/>
          </w:rPr>
          <w:t>21.3–5</w:t>
        </w:r>
      </w:hyperlink>
      <w:r>
        <w:t xml:space="preserve"> ; </w:t>
      </w:r>
      <w:hyperlink r:id="rId6513">
        <w:r>
          <w:rPr>
            <w:color w:val="0000EE"/>
            <w:u w:val="single"/>
          </w:rPr>
          <w:t>2 Ch 33.3–5</w:t>
        </w:r>
      </w:hyperlink>
      <w:r>
        <w:t xml:space="preserve"> ; </w:t>
      </w:r>
      <w:hyperlink r:id="rId6514">
        <w:r>
          <w:rPr>
            <w:color w:val="0000EE"/>
            <w:u w:val="single"/>
          </w:rPr>
          <w:t>Jr 8.2</w:t>
        </w:r>
      </w:hyperlink>
      <w:r>
        <w:t xml:space="preserve"> ; </w:t>
      </w:r>
      <w:hyperlink r:id="rId6515">
        <w:r>
          <w:rPr>
            <w:color w:val="0000EE"/>
            <w:u w:val="single"/>
          </w:rPr>
          <w:t>So 1.5</w:t>
        </w:r>
      </w:hyperlink>
      <w:r>
        <w:t>). Le correctif à cette pratique païenne est la croyance au Seigneur comme Créateur du ciel et de la terre. Le Seigneur est le Tout-Puissant, celui qui a rassemblé les corps célestes par son commandement et les a ordonnés pour accomplir une fonction spéciale (</w:t>
      </w:r>
      <w:hyperlink r:id="rId1435">
        <w:r>
          <w:rPr>
            <w:color w:val="0000EE"/>
            <w:u w:val="single"/>
          </w:rPr>
          <w:t>Gn 1.14–19</w:t>
        </w:r>
      </w:hyperlink>
      <w:r>
        <w:t xml:space="preserve"> ; </w:t>
      </w:r>
      <w:hyperlink r:id="rId3991">
        <w:r>
          <w:rPr>
            <w:color w:val="0000EE"/>
            <w:u w:val="single"/>
          </w:rPr>
          <w:t>2.1</w:t>
        </w:r>
      </w:hyperlink>
      <w:r>
        <w:t xml:space="preserve"> ; </w:t>
      </w:r>
      <w:hyperlink r:id="rId6516">
        <w:r>
          <w:rPr>
            <w:color w:val="0000EE"/>
            <w:u w:val="single"/>
          </w:rPr>
          <w:t>Né 9.6</w:t>
        </w:r>
      </w:hyperlink>
      <w:r>
        <w:t xml:space="preserve"> ; </w:t>
      </w:r>
      <w:hyperlink r:id="rId3992">
        <w:r>
          <w:rPr>
            <w:color w:val="0000EE"/>
            <w:u w:val="single"/>
          </w:rPr>
          <w:t>Ps 33.6</w:t>
        </w:r>
      </w:hyperlink>
      <w:r>
        <w:t xml:space="preserve"> ; </w:t>
      </w:r>
      <w:hyperlink r:id="rId6517">
        <w:r>
          <w:rPr>
            <w:color w:val="0000EE"/>
            <w:u w:val="single"/>
          </w:rPr>
          <w:t>103.21</w:t>
        </w:r>
      </w:hyperlink>
      <w:r>
        <w:t xml:space="preserve"> ; </w:t>
      </w:r>
      <w:hyperlink r:id="rId933">
        <w:r>
          <w:rPr>
            <w:color w:val="0000EE"/>
            <w:u w:val="single"/>
          </w:rPr>
          <w:t>148.2</w:t>
        </w:r>
      </w:hyperlink>
      <w:r>
        <w:t xml:space="preserve"> ; </w:t>
      </w:r>
      <w:hyperlink r:id="rId5012">
        <w:r>
          <w:rPr>
            <w:color w:val="0000EE"/>
            <w:u w:val="single"/>
          </w:rPr>
          <w:t>Es 40.26</w:t>
        </w:r>
      </w:hyperlink>
      <w:r>
        <w:t xml:space="preserve"> ; </w:t>
      </w:r>
      <w:hyperlink r:id="rId6518">
        <w:r>
          <w:rPr>
            <w:color w:val="0000EE"/>
            <w:u w:val="single"/>
          </w:rPr>
          <w:t>45.12</w:t>
        </w:r>
      </w:hyperlink>
      <w:r>
        <w:t>).</w:t>
      </w:r>
    </w:p>
    <w:p>
      <w:r/>
      <w:r>
        <w:t xml:space="preserve">Dieu est souvent appelé « </w:t>
      </w:r>
      <w:r>
        <w:t>l’Éternel, le Dieu des armées</w:t>
      </w:r>
      <w:r>
        <w:t xml:space="preserve"> », c'est-à-dire des armées célestes (</w:t>
      </w:r>
      <w:hyperlink r:id="rId6519">
        <w:r>
          <w:rPr>
            <w:color w:val="0000EE"/>
            <w:u w:val="single"/>
          </w:rPr>
          <w:t>Jr 5.14</w:t>
        </w:r>
      </w:hyperlink>
      <w:r>
        <w:t xml:space="preserve"> ; </w:t>
      </w:r>
      <w:hyperlink r:id="rId6520">
        <w:r>
          <w:rPr>
            <w:color w:val="0000EE"/>
            <w:u w:val="single"/>
          </w:rPr>
          <w:t>38.17</w:t>
        </w:r>
      </w:hyperlink>
      <w:r>
        <w:t xml:space="preserve"> ; </w:t>
      </w:r>
      <w:hyperlink r:id="rId6521">
        <w:r>
          <w:rPr>
            <w:color w:val="0000EE"/>
            <w:u w:val="single"/>
          </w:rPr>
          <w:t>44.7</w:t>
        </w:r>
      </w:hyperlink>
      <w:r>
        <w:t xml:space="preserve"> ; </w:t>
      </w:r>
      <w:hyperlink r:id="rId6522">
        <w:r>
          <w:rPr>
            <w:color w:val="0000EE"/>
            <w:u w:val="single"/>
          </w:rPr>
          <w:t>Os 12.5</w:t>
        </w:r>
      </w:hyperlink>
      <w:r>
        <w:t>). L'armée céleste comprend des anges ou messagers qui sont associés à l'œuvre du Seigneur au ciel et sur terre. Dieu préside à un conseil céleste composé d'anges ou de « fils de Dieu » (</w:t>
      </w:r>
      <w:hyperlink r:id="rId298">
        <w:r>
          <w:rPr>
            <w:color w:val="0000EE"/>
            <w:u w:val="single"/>
          </w:rPr>
          <w:t>Gn 1.26</w:t>
        </w:r>
      </w:hyperlink>
      <w:r>
        <w:t xml:space="preserve"> ; </w:t>
      </w:r>
      <w:hyperlink r:id="rId5196">
        <w:r>
          <w:rPr>
            <w:color w:val="0000EE"/>
            <w:u w:val="single"/>
          </w:rPr>
          <w:t>1R 22.19</w:t>
        </w:r>
      </w:hyperlink>
      <w:r>
        <w:t xml:space="preserve"> ; </w:t>
      </w:r>
      <w:hyperlink r:id="rId6523">
        <w:r>
          <w:rPr>
            <w:color w:val="0000EE"/>
            <w:u w:val="single"/>
          </w:rPr>
          <w:t>Jb 1.6</w:t>
        </w:r>
      </w:hyperlink>
      <w:r>
        <w:t xml:space="preserve"> ; </w:t>
      </w:r>
      <w:hyperlink r:id="rId6524">
        <w:r>
          <w:rPr>
            <w:color w:val="0000EE"/>
            <w:u w:val="single"/>
          </w:rPr>
          <w:t>Ps 82</w:t>
        </w:r>
      </w:hyperlink>
      <w:r>
        <w:t xml:space="preserve"> ; </w:t>
      </w:r>
      <w:hyperlink r:id="rId932">
        <w:r>
          <w:rPr>
            <w:color w:val="0000EE"/>
            <w:u w:val="single"/>
          </w:rPr>
          <w:t>Es 6</w:t>
        </w:r>
      </w:hyperlink>
      <w:r>
        <w:t>). Des messagers sont envoyés depuis le conseil du Seigneur pour accomplir son dessein (</w:t>
      </w:r>
      <w:hyperlink r:id="rId6525">
        <w:r>
          <w:rPr>
            <w:color w:val="0000EE"/>
            <w:u w:val="single"/>
          </w:rPr>
          <w:t>Gn 28.12–15</w:t>
        </w:r>
      </w:hyperlink>
      <w:r>
        <w:t xml:space="preserve"> ; </w:t>
      </w:r>
      <w:hyperlink r:id="rId6526">
        <w:r>
          <w:rPr>
            <w:color w:val="0000EE"/>
            <w:u w:val="single"/>
          </w:rPr>
          <w:t>Lc 2.13</w:t>
        </w:r>
      </w:hyperlink>
      <w:r>
        <w:t>).</w:t>
      </w:r>
    </w:p>
    <w:p>
      <w:r/>
      <w:r>
        <w:t xml:space="preserve">Bien que ce terme d'armées soit parfois compris comme les étoiles ou les anges, les tribus d'Israël sont également appelées « l'armée du Seigneur ». L'« armée des cieux » dans </w:t>
      </w:r>
      <w:hyperlink r:id="rId6527">
        <w:r>
          <w:rPr>
            <w:color w:val="0000EE"/>
            <w:u w:val="single"/>
          </w:rPr>
          <w:t>Daniel 8.10–11</w:t>
        </w:r>
      </w:hyperlink>
      <w:r>
        <w:t xml:space="preserve"> semble être un langage figuré se référant à Israël, « le peuple saint », et Dieu, le Roi d'Israël, est appelé le « chef de l'armée ».</w:t>
      </w:r>
    </w:p>
    <w:p>
      <w:r/>
      <w:r>
        <w:t>Les mots grecs traduits par « armée » n'apparaissent que deux fois dans le Nouveau Testament (</w:t>
      </w:r>
      <w:hyperlink r:id="rId6526">
        <w:r>
          <w:rPr>
            <w:color w:val="0000EE"/>
            <w:u w:val="single"/>
          </w:rPr>
          <w:t>Lc 2.13</w:t>
        </w:r>
      </w:hyperlink>
      <w:r>
        <w:t xml:space="preserve"> ; </w:t>
      </w:r>
      <w:hyperlink r:id="rId6509">
        <w:r>
          <w:rPr>
            <w:color w:val="0000EE"/>
            <w:u w:val="single"/>
          </w:rPr>
          <w:t>Ac 7.42</w:t>
        </w:r>
      </w:hyperlink>
      <w:r>
        <w:t>). « Seigneur des armées » est utilisé par Paul et Jacques comme un titre pour le Seigneur (</w:t>
      </w:r>
      <w:hyperlink r:id="rId6528">
        <w:r>
          <w:rPr>
            <w:color w:val="0000EE"/>
            <w:u w:val="single"/>
          </w:rPr>
          <w:t>Rm 9.29</w:t>
        </w:r>
      </w:hyperlink>
      <w:r>
        <w:t xml:space="preserve"> ; </w:t>
      </w:r>
      <w:hyperlink r:id="rId6529">
        <w:r>
          <w:rPr>
            <w:color w:val="0000EE"/>
            <w:u w:val="single"/>
          </w:rPr>
          <w:t>Jc 5.4</w:t>
        </w:r>
      </w:hyperlink>
      <w:r>
        <w:t>). Le terme exprime la puissance souveraine et la majesté de Dieu dans l'histoire, mais l'identification précise des « armées » qui obéissent à son commandement est incertaine.</w:t>
      </w:r>
    </w:p>
    <w:p>
      <w:r/>
      <w:r>
        <w:rPr>
          <w:i/>
        </w:rPr>
        <w:t>Voir aussi</w:t>
      </w:r>
      <w:r>
        <w:t xml:space="preserve"> </w:t>
      </w:r>
      <w:r>
        <w:t>Seigneur des Armées</w:t>
      </w:r>
      <w:r>
        <w:t>.</w:t>
      </w:r>
      <w:r/>
      <w:r/>
    </w:p>
    <w:p>
      <w:r/>
    </w:p>
    <w:p>
      <w:pPr>
        <w:pStyle w:val="Heading2"/>
      </w:pPr>
      <w:r>
        <w:t>huile</w:t>
      </w:r>
      <w:r/>
    </w:p>
    <w:p>
      <w:r/>
      <w:r>
        <w:t>Dans la Bible, l'huile est un liquide gras extrait de sources naturelles. Le type d'huile le plus fréquemment mentionné est l'huile d'olive. Toutefois, d'autres huiles telle que l'huile de myrrhe sont aussi mentionnées dans la Bible (</w:t>
      </w:r>
      <w:hyperlink r:id="rId6530">
        <w:r>
          <w:rPr>
            <w:color w:val="0000EE"/>
            <w:u w:val="single"/>
          </w:rPr>
          <w:t>Est 2.12</w:t>
        </w:r>
      </w:hyperlink>
      <w:r>
        <w:t>).</w:t>
      </w:r>
    </w:p>
    <w:p>
      <w:pPr>
        <w:pStyle w:val="Heading3"/>
      </w:pPr>
      <w:r>
        <w:t>Usages d'huile dans la Bible</w:t>
      </w:r>
    </w:p>
    <w:p>
      <w:r/>
      <w:r>
        <w:t>L'huile était principalement utilisée comme aliment. Toutefois, l'huile avait nombre d'autres utilisations :</w:t>
      </w:r>
    </w:p>
    <w:p>
      <w:pPr>
        <w:pStyle w:val="ListBullet"/>
        <w:spacing w:line="240" w:lineRule="auto"/>
        <w:ind w:left="720"/>
      </w:pPr>
      <w:r/>
      <w:r>
        <w:t>Elle servait à oindre le corps comme produit cosmétique.</w:t>
      </w:r>
    </w:p>
    <w:p>
      <w:pPr>
        <w:pStyle w:val="ListBullet"/>
        <w:spacing w:line="240" w:lineRule="auto"/>
        <w:ind w:left="720"/>
      </w:pPr>
      <w:r/>
      <w:r>
        <w:t>Elle servait à soigner.</w:t>
      </w:r>
    </w:p>
    <w:p>
      <w:pPr>
        <w:pStyle w:val="ListBullet"/>
        <w:spacing w:line="240" w:lineRule="auto"/>
        <w:ind w:left="720"/>
      </w:pPr>
      <w:r/>
      <w:r>
        <w:t>Elle servait de combustible pour les lampes.</w:t>
      </w:r>
    </w:p>
    <w:p>
      <w:pPr>
        <w:pStyle w:val="ListBullet"/>
        <w:spacing w:line="240" w:lineRule="auto"/>
        <w:ind w:left="720"/>
      </w:pPr>
      <w:r/>
      <w:r>
        <w:t>Elle était utilisée pour oindre rois et sacrificateurs.</w:t>
      </w:r>
    </w:p>
    <w:p>
      <w:pPr>
        <w:pStyle w:val="ListBullet"/>
        <w:spacing w:line="240" w:lineRule="auto"/>
        <w:ind w:left="720"/>
      </w:pPr>
      <w:r/>
      <w:r>
        <w:t>Elle était utilisée dans des rituels, des sacrifices et des offrandes à Dieu.</w:t>
      </w:r>
    </w:p>
    <w:p>
      <w:r/>
      <w:r>
        <w:t>Les oliviers étaient abondants en Israël, ce qui permettait aux Israélites de vendre de l'huile d'olive, approvisionnant Tyr et l'Égypte. Comme les métaux précieux et les animaux, l'huile servait souvent de monnaie d'échange. Salomon utilise de l'huile pour payer Hiram pour ses contributions en services et matériaux à la construction du Temple (</w:t>
      </w:r>
      <w:hyperlink r:id="rId1279">
        <w:r>
          <w:rPr>
            <w:color w:val="0000EE"/>
            <w:u w:val="single"/>
          </w:rPr>
          <w:t>1R 5.11</w:t>
        </w:r>
      </w:hyperlink>
      <w:r>
        <w:t xml:space="preserve"> ; </w:t>
      </w:r>
      <w:hyperlink r:id="rId477">
        <w:r>
          <w:rPr>
            <w:color w:val="0000EE"/>
            <w:u w:val="single"/>
          </w:rPr>
          <w:t>Esd 27.17</w:t>
        </w:r>
      </w:hyperlink>
      <w:r>
        <w:t>).</w:t>
      </w:r>
    </w:p>
    <w:p>
      <w:r/>
      <w:r>
        <w:t>Comme l'huile était essentielle à la vie quotidienne, elle servait souvent de monnaie d'échange. L'huile était utilisée pour préparer la plupart des aliments (</w:t>
      </w:r>
      <w:hyperlink r:id="rId6531">
        <w:r>
          <w:rPr>
            <w:color w:val="0000EE"/>
            <w:u w:val="single"/>
          </w:rPr>
          <w:t>1R 17.12–16</w:t>
        </w:r>
      </w:hyperlink>
      <w:r>
        <w:t>). Le petit pain ou la galette de céréales qui servait de base au repas de midi, était cuit(e) sur une plaque avec un peu d'huile.</w:t>
      </w:r>
    </w:p>
    <w:p>
      <w:r/>
      <w:r>
        <w:t>L'huile était utilisée pour oindre le corps après un bain (</w:t>
      </w:r>
      <w:hyperlink r:id="rId1538">
        <w:r>
          <w:rPr>
            <w:color w:val="0000EE"/>
            <w:u w:val="single"/>
          </w:rPr>
          <w:t>Rt 3.3</w:t>
        </w:r>
      </w:hyperlink>
      <w:r>
        <w:t xml:space="preserve"> ; </w:t>
      </w:r>
      <w:hyperlink r:id="rId1539">
        <w:r>
          <w:rPr>
            <w:color w:val="0000EE"/>
            <w:u w:val="single"/>
          </w:rPr>
          <w:t>2S 12.20</w:t>
        </w:r>
      </w:hyperlink>
      <w:r>
        <w:t>). Elle était particulièrement utilisée à l'occasion de réjouissances. Lors des banquets égyptiens, les têtes des invités et des femmes qui faisaient le spectacle étaient ointes. Dans le NT, des malades étaient oints avec de l'huile (</w:t>
      </w:r>
      <w:hyperlink r:id="rId6532">
        <w:r>
          <w:rPr>
            <w:color w:val="0000EE"/>
            <w:u w:val="single"/>
          </w:rPr>
          <w:t>Jc 5.14</w:t>
        </w:r>
      </w:hyperlink>
      <w:r>
        <w:t>). L'huile d'olive pouvait également être avalée pour soulager les problèmes d'estomac. Ayant un effet apaisant, elle était aussi utilisée comme un doux laxatif. L'huile d'olive était aussi appliquée sur la peau pour soigner contusions, brûlures, coupures et écorchures (</w:t>
      </w:r>
      <w:hyperlink r:id="rId6533">
        <w:r>
          <w:rPr>
            <w:color w:val="0000EE"/>
            <w:u w:val="single"/>
          </w:rPr>
          <w:t>Es 1.6</w:t>
        </w:r>
      </w:hyperlink>
      <w:r>
        <w:t xml:space="preserve"> ; </w:t>
      </w:r>
      <w:hyperlink r:id="rId6534">
        <w:r>
          <w:rPr>
            <w:color w:val="0000EE"/>
            <w:u w:val="single"/>
          </w:rPr>
          <w:t>Mc 6.13</w:t>
        </w:r>
      </w:hyperlink>
      <w:r>
        <w:t xml:space="preserve"> ; </w:t>
      </w:r>
      <w:hyperlink r:id="rId6535">
        <w:r>
          <w:rPr>
            <w:color w:val="0000EE"/>
            <w:u w:val="single"/>
          </w:rPr>
          <w:t>Lc 10.34</w:t>
        </w:r>
      </w:hyperlink>
      <w:r>
        <w:t>).</w:t>
      </w:r>
    </w:p>
    <w:p>
      <w:r/>
      <w:r>
        <w:t>Dès que le soleil se couchait, la façon principale de s'éclairer était les lampes à huile. Les petites lampes portables avaient l'avantage de pouvoir aussi être posées sur une surface plate élevée. Dans les grandes maisons, les palais, les synagogues ou les temples, la lampe pouvait reposer sur une haute base en métal. La mèche de lin (</w:t>
      </w:r>
      <w:hyperlink r:id="rId6536">
        <w:r>
          <w:rPr>
            <w:color w:val="0000EE"/>
            <w:u w:val="single"/>
          </w:rPr>
          <w:t>Es 42.3</w:t>
        </w:r>
      </w:hyperlink>
      <w:r>
        <w:t>) ou de chanvre était placée dans l'huile et produisait une flamme jusqu'à ce qu'elle soit éteinte ou qu'il n'y ait plus d'huile. Des torches étaient utilisées dans les rues pour éclairer le chemin et pour plus de sécurité.</w:t>
      </w:r>
    </w:p>
    <w:p>
      <w:pPr>
        <w:pStyle w:val="Heading3"/>
      </w:pPr>
      <w:r>
        <w:t>Usages religieux et cérémoniels d'huile dans la Bible</w:t>
      </w:r>
    </w:p>
    <w:p>
      <w:r/>
      <w:r>
        <w:t>Les torches contribuaient à l'ambiance de fête des processions quand il faisait nuit. Elles étaient utilisées ainsi lors de processions de mariages. Pour éviter que les torches ne s'éteignent en cas de retard de la procession, ceux qui portaient les torches prenaient généralement avec eux de l'huile supplémentaire. Cette pratique sert de contexte à la parabole de Jésus sur les vierges sages et folles (</w:t>
      </w:r>
      <w:hyperlink r:id="rId6537">
        <w:r>
          <w:rPr>
            <w:color w:val="0000EE"/>
            <w:u w:val="single"/>
          </w:rPr>
          <w:t>Mt 25.1–13</w:t>
        </w:r>
      </w:hyperlink>
      <w:r>
        <w:t>).</w:t>
      </w:r>
    </w:p>
    <w:p>
      <w:r/>
      <w:r>
        <w:t>L'huile avait une signification particulière lorsqu'elle était utilisée pour l'onction des sacrificateurs et des rois (</w:t>
      </w:r>
      <w:hyperlink r:id="rId6538">
        <w:r>
          <w:rPr>
            <w:color w:val="0000EE"/>
            <w:u w:val="single"/>
          </w:rPr>
          <w:t xml:space="preserve">Ex 29.7 </w:t>
        </w:r>
      </w:hyperlink>
      <w:r>
        <w:t>;</w:t>
      </w:r>
      <w:hyperlink r:id="rId6538">
        <w:r>
          <w:rPr>
            <w:color w:val="0000EE"/>
            <w:u w:val="single"/>
          </w:rPr>
          <w:t xml:space="preserve"> </w:t>
        </w:r>
      </w:hyperlink>
      <w:hyperlink r:id="rId1569">
        <w:r>
          <w:rPr>
            <w:color w:val="0000EE"/>
            <w:u w:val="single"/>
          </w:rPr>
          <w:t xml:space="preserve">1S 10.1 </w:t>
        </w:r>
      </w:hyperlink>
      <w:r>
        <w:t xml:space="preserve">; </w:t>
      </w:r>
      <w:hyperlink r:id="rId6539">
        <w:r>
          <w:rPr>
            <w:color w:val="0000EE"/>
            <w:u w:val="single"/>
          </w:rPr>
          <w:t>1R 1.39</w:t>
        </w:r>
      </w:hyperlink>
      <w:r>
        <w:t xml:space="preserve">). Elle représentait ces rôles comme étant au service de Dieu et montrait de façon officielle et solennelle le choix de ces personnes pour occuper ces rôles très importants sous la bénédiction de Dieu. </w:t>
      </w:r>
    </w:p>
    <w:p>
      <w:r/>
      <w:r>
        <w:t>L'huile était utilisée au Temple. Elle était offerte en tant que prémices et en tant que dîme (</w:t>
      </w:r>
      <w:hyperlink r:id="rId6540">
        <w:r>
          <w:rPr>
            <w:color w:val="0000EE"/>
            <w:u w:val="single"/>
          </w:rPr>
          <w:t>Ex 22.29</w:t>
        </w:r>
      </w:hyperlink>
      <w:r>
        <w:t xml:space="preserve"> ; </w:t>
      </w:r>
      <w:hyperlink r:id="rId6541">
        <w:r>
          <w:rPr>
            <w:color w:val="0000EE"/>
            <w:u w:val="single"/>
          </w:rPr>
          <w:t>Dt 12.17</w:t>
        </w:r>
      </w:hyperlink>
      <w:r>
        <w:t>). Elle était utilisée lors des cérémonies au Temple et dans certaines offrandes. L'offrande de céréales était mélangée à de l'huile (</w:t>
      </w:r>
      <w:hyperlink r:id="rId6542">
        <w:r>
          <w:rPr>
            <w:color w:val="0000EE"/>
            <w:u w:val="single"/>
          </w:rPr>
          <w:t>Lv 8.26</w:t>
        </w:r>
      </w:hyperlink>
      <w:r>
        <w:t xml:space="preserve"> ; </w:t>
      </w:r>
      <w:hyperlink r:id="rId6543">
        <w:r>
          <w:rPr>
            <w:color w:val="0000EE"/>
            <w:u w:val="single"/>
          </w:rPr>
          <w:t>Nb 7.19</w:t>
        </w:r>
      </w:hyperlink>
      <w:r>
        <w:t>). De l'huile servait aussi à alimenter régulièrement la lampe qui brûlait dans le sanctuaire (</w:t>
      </w:r>
      <w:hyperlink r:id="rId6544">
        <w:r>
          <w:rPr>
            <w:color w:val="0000EE"/>
            <w:u w:val="single"/>
          </w:rPr>
          <w:t>Lv 24.2</w:t>
        </w:r>
      </w:hyperlink>
      <w:r>
        <w:t>). Le sacrifice quotidien incluait de l'huile (</w:t>
      </w:r>
      <w:hyperlink r:id="rId6545">
        <w:r>
          <w:rPr>
            <w:color w:val="0000EE"/>
            <w:u w:val="single"/>
          </w:rPr>
          <w:t>Ex 29.40</w:t>
        </w:r>
      </w:hyperlink>
      <w:r>
        <w:t>) mais elle n'était pas utilisée dans les sacrifices pour le péché ni dans l'offrande de jalousie (</w:t>
      </w:r>
      <w:hyperlink r:id="rId6546">
        <w:r>
          <w:rPr>
            <w:color w:val="0000EE"/>
            <w:u w:val="single"/>
          </w:rPr>
          <w:t>Lv 5.11</w:t>
        </w:r>
      </w:hyperlink>
      <w:r>
        <w:t xml:space="preserve"> ; </w:t>
      </w:r>
      <w:hyperlink r:id="rId6547">
        <w:r>
          <w:rPr>
            <w:color w:val="0000EE"/>
            <w:u w:val="single"/>
          </w:rPr>
          <w:t>Nb 5.15</w:t>
        </w:r>
      </w:hyperlink>
      <w:r>
        <w:t>).</w:t>
      </w:r>
    </w:p>
    <w:p>
      <w:pPr>
        <w:pStyle w:val="Heading3"/>
      </w:pPr>
      <w:r>
        <w:t>Production de l'huile</w:t>
      </w:r>
    </w:p>
    <w:p>
      <w:r/>
      <w:r>
        <w:t>L'huile était extraite des olives en utilisant un pilon et un mortier ou un pressoir en pierre (</w:t>
      </w:r>
      <w:hyperlink r:id="rId6548">
        <w:r>
          <w:rPr>
            <w:color w:val="0000EE"/>
            <w:u w:val="single"/>
          </w:rPr>
          <w:t>Ex 27.20</w:t>
        </w:r>
      </w:hyperlink>
      <w:r>
        <w:t>). Lorsqu'un pressoir était utilisé, la première extraction de pulpe d'olives était souvent pressée à nouveau. De tels pressoirs se trouvaient sur le mont des Oliviers. Le mot Gethsémané, nom du jardin où Jésus a prié avant son arrestation, signifie « pressoir à huile » en hébreu et en araméen.</w:t>
      </w:r>
    </w:p>
    <w:p>
      <w:pPr>
        <w:pStyle w:val="Heading3"/>
      </w:pPr>
      <w:r>
        <w:t>L'huile comme symbole</w:t>
      </w:r>
    </w:p>
    <w:p>
      <w:r/>
      <w:r>
        <w:t>L'huile était symboliquement associée à la joie, à la fête, au cérémoniel, à l'honneur et à la lumière. Elle représentait aussi la santé physique et spirituelle. L'absence ou la perte d'huile signifiait le chagrin et la perte de tout bien dans la vie (</w:t>
      </w:r>
      <w:hyperlink r:id="rId6549">
        <w:r>
          <w:rPr>
            <w:color w:val="0000EE"/>
            <w:u w:val="single"/>
          </w:rPr>
          <w:t>Jl 1.10</w:t>
        </w:r>
      </w:hyperlink>
      <w:r>
        <w:t>).</w:t>
      </w:r>
    </w:p>
    <w:p>
      <w:r/>
      <w:r>
        <w:rPr>
          <w:i/>
        </w:rPr>
        <w:t>Voir aussi</w:t>
      </w:r>
      <w:r>
        <w:t xml:space="preserve"> </w:t>
      </w:r>
      <w:r>
        <w:t>oindre</w:t>
      </w:r>
      <w:r>
        <w:t xml:space="preserve"> ; </w:t>
      </w:r>
      <w:r>
        <w:t>aliments et préparation des aliments</w:t>
      </w:r>
      <w:r>
        <w:t xml:space="preserve"> ; </w:t>
      </w:r>
      <w:r>
        <w:t>médecine et pratiques médicales et médicinales</w:t>
      </w:r>
      <w:r>
        <w:t xml:space="preserve"> ; </w:t>
      </w:r>
      <w:r>
        <w:t>onction</w:t>
      </w:r>
      <w:r>
        <w:t xml:space="preserve"> ; </w:t>
      </w:r>
      <w:r>
        <w:t>plantes</w:t>
      </w:r>
      <w:r>
        <w:t xml:space="preserve"> (</w:t>
      </w:r>
      <w:r>
        <w:t>olive, olivier</w:t>
      </w:r>
      <w:r>
        <w:t>).</w:t>
      </w:r>
      <w:r/>
      <w:r/>
    </w:p>
    <w:p>
      <w:r/>
    </w:p>
    <w:p>
      <w:pPr>
        <w:pStyle w:val="Heading2"/>
      </w:pPr>
      <w:r>
        <w:t>Hul</w:t>
      </w:r>
      <w:r/>
    </w:p>
    <w:p>
      <w:r/>
      <w:r>
        <w:t>Fils d'Aram et petit-fils de Sem (</w:t>
      </w:r>
      <w:hyperlink r:id="rId6163">
        <w:r>
          <w:rPr>
            <w:color w:val="0000EE"/>
            <w:u w:val="single"/>
          </w:rPr>
          <w:t>Gn 10.23</w:t>
        </w:r>
      </w:hyperlink>
      <w:r>
        <w:t xml:space="preserve"> ; </w:t>
      </w:r>
      <w:hyperlink r:id="rId1100">
        <w:r>
          <w:rPr>
            <w:color w:val="0000EE"/>
            <w:u w:val="single"/>
          </w:rPr>
          <w:t>1Ch 1.17</w:t>
        </w:r>
      </w:hyperlink>
      <w:r>
        <w:t>).</w:t>
      </w:r>
      <w:r/>
      <w:r/>
    </w:p>
    <w:p>
      <w:r/>
    </w:p>
    <w:p>
      <w:pPr>
        <w:pStyle w:val="Heading2"/>
      </w:pPr>
      <w:r>
        <w:t>Humanité, Ancienne et nouvelle</w:t>
      </w:r>
      <w:r/>
    </w:p>
    <w:p>
      <w:r/>
      <w:r>
        <w:t>Termes bibliques utilisés pour décrire l'état de l'être humain, dans sa relation avec Christ. Les êtres humains sont créés à l'image de Dieu et sont faits pour avoir une communion avec lui (</w:t>
      </w:r>
      <w:hyperlink r:id="rId3482">
        <w:r>
          <w:rPr>
            <w:color w:val="0000EE"/>
            <w:u w:val="single"/>
          </w:rPr>
          <w:t>Gn 1.26–27</w:t>
        </w:r>
      </w:hyperlink>
      <w:r>
        <w:t>). Dieu a fait connaître à Adam et Ève sa volonté dans une situation spécifique (</w:t>
      </w:r>
      <w:hyperlink r:id="rId6550">
        <w:r>
          <w:rPr>
            <w:color w:val="0000EE"/>
            <w:u w:val="single"/>
          </w:rPr>
          <w:t>2.15–17</w:t>
        </w:r>
      </w:hyperlink>
      <w:r>
        <w:t>), mais ils ont utilisé la liberté de leur volonté pour désobéir au commandement de Dieu (</w:t>
      </w:r>
      <w:hyperlink r:id="rId6551">
        <w:r>
          <w:rPr>
            <w:color w:val="0000EE"/>
            <w:u w:val="single"/>
          </w:rPr>
          <w:t>3.1–7</w:t>
        </w:r>
      </w:hyperlink>
      <w:r>
        <w:t>). Ainsi, l'espèce humaine est morte dans le péché (</w:t>
      </w:r>
      <w:hyperlink r:id="rId306">
        <w:r>
          <w:rPr>
            <w:color w:val="0000EE"/>
            <w:u w:val="single"/>
          </w:rPr>
          <w:t>Rm 5.12–21</w:t>
        </w:r>
      </w:hyperlink>
      <w:r>
        <w:t xml:space="preserve"> ; </w:t>
      </w:r>
      <w:hyperlink r:id="rId6552">
        <w:r>
          <w:rPr>
            <w:color w:val="0000EE"/>
            <w:u w:val="single"/>
          </w:rPr>
          <w:t>Ep 2.1–3</w:t>
        </w:r>
      </w:hyperlink>
      <w:r>
        <w:t>). Le péché d'Adam et Ève a été transmis à toute l'humanité (le péché originel). Nés avec une tendance au péché (</w:t>
      </w:r>
      <w:hyperlink r:id="rId4251">
        <w:r>
          <w:rPr>
            <w:color w:val="0000EE"/>
            <w:u w:val="single"/>
          </w:rPr>
          <w:t>Ps 51.5</w:t>
        </w:r>
      </w:hyperlink>
      <w:r>
        <w:t>), dès que l'âge de la responsabilité morale est atteint, les individus commencent à commettre leurs propres péchés. Paul utilise le terme « vieil homme » pour désigner cette condition. Le vieil homme peut respecter certaines parties de la loi et faire diverses bonnes choses. Mais personne, en tant que « vieil homme » ne peut jamais faire assez de bonnes choses pour mériter son propre salut. Le vieil homme doit être transformé en un homme nouveau, sans quoi il subira les conséquences de son péché. Seul Dieu peut opérer ce changement radical. Ce n'est que par la foi que les êtres humains peuvent accepter le don gracieux de Dieu.</w:t>
      </w:r>
    </w:p>
    <w:p>
      <w:r/>
      <w:r>
        <w:t xml:space="preserve">David, dans le </w:t>
      </w:r>
      <w:hyperlink r:id="rId3607">
        <w:r>
          <w:rPr>
            <w:color w:val="0000EE"/>
            <w:u w:val="single"/>
          </w:rPr>
          <w:t>Psaume 51</w:t>
        </w:r>
      </w:hyperlink>
      <w:r>
        <w:t xml:space="preserve">, implore Dieu d'enlever la culpabilité de ses péchés. Au verset </w:t>
      </w:r>
      <w:hyperlink r:id="rId2832">
        <w:r>
          <w:rPr>
            <w:color w:val="0000EE"/>
            <w:u w:val="single"/>
          </w:rPr>
          <w:t>10</w:t>
        </w:r>
      </w:hyperlink>
      <w:r>
        <w:t xml:space="preserve">, il supplie : « </w:t>
      </w:r>
      <w:r>
        <w:t>Crée en moi un cœur pur, Renouvelle en moi un esprit bien disposé</w:t>
      </w:r>
      <w:r>
        <w:t xml:space="preserve"> ». Dieu promet dans </w:t>
      </w:r>
      <w:hyperlink r:id="rId2792">
        <w:r>
          <w:rPr>
            <w:color w:val="0000EE"/>
            <w:u w:val="single"/>
          </w:rPr>
          <w:t>Ézéchiel 11.19</w:t>
        </w:r>
      </w:hyperlink>
      <w:r>
        <w:t xml:space="preserve">, </w:t>
      </w:r>
      <w:hyperlink r:id="rId6553">
        <w:r>
          <w:rPr>
            <w:color w:val="0000EE"/>
            <w:u w:val="single"/>
          </w:rPr>
          <w:t>18.31</w:t>
        </w:r>
      </w:hyperlink>
      <w:r>
        <w:t xml:space="preserve"> et </w:t>
      </w:r>
      <w:hyperlink r:id="rId6554">
        <w:r>
          <w:rPr>
            <w:color w:val="0000EE"/>
            <w:u w:val="single"/>
          </w:rPr>
          <w:t>36.26</w:t>
        </w:r>
      </w:hyperlink>
      <w:r>
        <w:t xml:space="preserve"> de donner aux pécheurs repentants un cœur nouveau et un esprit nouveau. Dans </w:t>
      </w:r>
      <w:hyperlink r:id="rId6555">
        <w:r>
          <w:rPr>
            <w:color w:val="0000EE"/>
            <w:u w:val="single"/>
          </w:rPr>
          <w:t>Romains 6.5–11</w:t>
        </w:r>
      </w:hyperlink>
      <w:r>
        <w:t xml:space="preserve">, Paul montre comment l'ancienne nature a été crucifiée avec Christ. Il en conclut ceci : « </w:t>
      </w:r>
      <w:r>
        <w:t>regardez-vous comme morts au péché, et comme vivants pour Dieu en Jésus-Christ</w:t>
      </w:r>
      <w:r>
        <w:t xml:space="preserve"> » (</w:t>
      </w:r>
      <w:hyperlink r:id="rId2338">
        <w:r>
          <w:rPr>
            <w:color w:val="0000EE"/>
            <w:u w:val="single"/>
          </w:rPr>
          <w:t>6.11</w:t>
        </w:r>
      </w:hyperlink>
      <w:r>
        <w:t xml:space="preserve">). Dans </w:t>
      </w:r>
      <w:hyperlink r:id="rId6556">
        <w:r>
          <w:rPr>
            <w:color w:val="0000EE"/>
            <w:u w:val="single"/>
          </w:rPr>
          <w:t>Éphésiens 4.22–24</w:t>
        </w:r>
      </w:hyperlink>
      <w:r>
        <w:t xml:space="preserve"> et </w:t>
      </w:r>
      <w:hyperlink r:id="rId319">
        <w:r>
          <w:rPr>
            <w:color w:val="0000EE"/>
            <w:u w:val="single"/>
          </w:rPr>
          <w:t>Colossiens 3.9–10</w:t>
        </w:r>
      </w:hyperlink>
      <w:r>
        <w:t>, il montre au croyant que ce dernier a dépouillé le vieil homme et revêtu l'homme nouveau. Jésus parle de cette transformation radicale comme d'une nouvelle naissance ; non pas une seconde naissance physique, comme le pensait Nicodème, mais une naissance spirituelle (</w:t>
      </w:r>
      <w:hyperlink r:id="rId6557">
        <w:r>
          <w:rPr>
            <w:color w:val="0000EE"/>
            <w:u w:val="single"/>
          </w:rPr>
          <w:t>Jn 3.6</w:t>
        </w:r>
      </w:hyperlink>
      <w:r>
        <w:t>). Seule la grâce de Dieu peut transformer le vieil homme en homme nouveau. Le vieil homme accepte le don gracieux de Dieu par la foi, mais même cette foi est un don de Dieu (</w:t>
      </w:r>
      <w:hyperlink r:id="rId6558">
        <w:r>
          <w:rPr>
            <w:color w:val="0000EE"/>
            <w:u w:val="single"/>
          </w:rPr>
          <w:t>Ep 2.8</w:t>
        </w:r>
      </w:hyperlink>
      <w:r>
        <w:t>). L'homme nouveau devient un enfant de Dieu. Il ne devient pas immédiatement parfait. Il doit lutter contre le péché tout au long de cette vie alors qu'il s'efforce de se rapprocher de plus en plus de l'idéal de sainteté parfaite. Il atteindra cette perfection seulement lors de la résurrection à venir (</w:t>
      </w:r>
      <w:hyperlink r:id="rId6559">
        <w:r>
          <w:rPr>
            <w:color w:val="0000EE"/>
            <w:u w:val="single"/>
          </w:rPr>
          <w:t>1Co 15.42–45</w:t>
        </w:r>
      </w:hyperlink>
      <w:r>
        <w:t>), lorsque toutes choses seront renouvelées (</w:t>
      </w:r>
      <w:hyperlink r:id="rId6560">
        <w:r>
          <w:rPr>
            <w:color w:val="0000EE"/>
            <w:u w:val="single"/>
          </w:rPr>
          <w:t>Ap 21.5</w:t>
        </w:r>
      </w:hyperlink>
      <w:r>
        <w:t>).</w:t>
      </w:r>
    </w:p>
    <w:p>
      <w:r/>
      <w:r>
        <w:rPr>
          <w:i/>
        </w:rPr>
        <w:t>Voir aussi</w:t>
      </w:r>
      <w:r>
        <w:t xml:space="preserve"> </w:t>
      </w:r>
      <w:r>
        <w:t>Adam (Personne)</w:t>
      </w:r>
      <w:r>
        <w:t xml:space="preserve"> ; </w:t>
      </w:r>
      <w:r>
        <w:t>Être humain</w:t>
      </w:r>
      <w:r>
        <w:t xml:space="preserve"> ; </w:t>
      </w:r>
      <w:r>
        <w:t>Homme naturel</w:t>
      </w:r>
      <w:r>
        <w:t xml:space="preserve"> ; </w:t>
      </w:r>
      <w:r>
        <w:t>Régénération</w:t>
      </w:r>
      <w:r>
        <w:t>.</w:t>
      </w:r>
      <w:r/>
      <w:r/>
    </w:p>
    <w:p>
      <w:r/>
    </w:p>
    <w:p>
      <w:pPr>
        <w:pStyle w:val="Heading2"/>
      </w:pPr>
      <w:r>
        <w:t>humilité</w:t>
      </w:r>
      <w:r/>
    </w:p>
    <w:p>
      <w:r/>
      <w:r>
        <w:t>L'humilité est soit un trait de caractère, soit une situation dans laquelle quelqu'un se trouve. Comme trait de caractère, elle désigne des sentiments modestes, une façon de s'abaisser soi-même devant Dieu et les hommes et de ne pas se considérer au-dessus des autres. L'humilité peut aussi être une situation dans laquelle quelqu'un est abaissé (pas forcément volontairement), comme par exemple la pauvreté ou le fait d'avoir peu de pouvoir et d'influence. De telles circonstances humbles peuvent amener les autres à considérer ceux dont se trouvent dans une situation humble comme des gens moins importants.</w:t>
      </w:r>
    </w:p>
    <w:p>
      <w:r/>
      <w:r>
        <w:t>Même si beaucoup considèrent l'humilité comme une faiblesse, les traditions juive et chrétienne enseignent que l'humilité est un trait de caractère indispensable pour marcher avec Dieu. L'humilité est le résultat du fait d'être reconnaissant et de comprendre que la vie est un don. Elle se manifeste en reconnaissant véritablement que l'on dépend entièrement de Dieu.</w:t>
      </w:r>
    </w:p>
    <w:p>
      <w:pPr>
        <w:pStyle w:val="Heading3"/>
      </w:pPr>
      <w:r>
        <w:t>Humilité dans l'Ancien Testament</w:t>
      </w:r>
    </w:p>
    <w:p>
      <w:r/>
      <w:r>
        <w:t>Dans la Bible, l'humilité, la douceur et la patience se rejoignent souvent. Dans les premiers siècles de l'histoire d'Israël, les pauvres, les affligés et les impuissants étaient considérés comme étant humbles. Dieu vient en aide aux humbles, mais abaisse les orgueilleux (</w:t>
      </w:r>
      <w:hyperlink r:id="rId6561">
        <w:r>
          <w:rPr>
            <w:color w:val="0000EE"/>
            <w:u w:val="single"/>
          </w:rPr>
          <w:t>1S 2.7</w:t>
        </w:r>
      </w:hyperlink>
      <w:r>
        <w:t xml:space="preserve"> ; </w:t>
      </w:r>
      <w:hyperlink r:id="rId6562">
        <w:r>
          <w:rPr>
            <w:color w:val="0000EE"/>
            <w:u w:val="single"/>
          </w:rPr>
          <w:t>2S 22.28</w:t>
        </w:r>
      </w:hyperlink>
      <w:r>
        <w:t>). Quand Abraham pose plusieurs questions à Dieu concernant la justice de son jugement, il le fait avec humilité, disant : « Voici, j’ai osé parler au Seigneur, moi qui ne suis que poudre et cendre » (</w:t>
      </w:r>
      <w:hyperlink r:id="rId2205">
        <w:r>
          <w:rPr>
            <w:color w:val="0000EE"/>
            <w:u w:val="single"/>
          </w:rPr>
          <w:t>Gn 18.27</w:t>
        </w:r>
      </w:hyperlink>
      <w:r>
        <w:t>).</w:t>
      </w:r>
    </w:p>
    <w:p>
      <w:r/>
      <w:r>
        <w:t>Le peuple d'Israël était un peuple esclave au début de son histoire. Les Israélites devaient se souvenir que Dieu les avait choisis non pas parce qu'ils étaient nombreux ou puissants, mais à cause de son amour et de sa promesse à leurs ancêtres (</w:t>
      </w:r>
      <w:hyperlink r:id="rId6563">
        <w:r>
          <w:rPr>
            <w:color w:val="0000EE"/>
            <w:u w:val="single"/>
          </w:rPr>
          <w:t>Dt 7.7–8</w:t>
        </w:r>
      </w:hyperlink>
      <w:r>
        <w:t>). Le sage reconnaît humblement que la sagesse, la force et la richesse ne sont pas des sujets de gloire personnelle. L'Éternel est celui qui exerce la bonté, la justice et le droit sur la terre et qui y prend plaisir (</w:t>
      </w:r>
      <w:hyperlink r:id="rId6564">
        <w:r>
          <w:rPr>
            <w:color w:val="0000EE"/>
            <w:u w:val="single"/>
          </w:rPr>
          <w:t>Jr 9.23–24</w:t>
        </w:r>
      </w:hyperlink>
      <w:r>
        <w:t>).</w:t>
      </w:r>
    </w:p>
    <w:p>
      <w:r/>
      <w:r>
        <w:t>Dieu se préoccupe toujours de ceux qui sont humiliés et particulièrement des pauvres (</w:t>
      </w:r>
      <w:hyperlink r:id="rId6565">
        <w:r>
          <w:rPr>
            <w:color w:val="0000EE"/>
            <w:u w:val="single"/>
          </w:rPr>
          <w:t>Ex 23.6, 11</w:t>
        </w:r>
      </w:hyperlink>
      <w:r>
        <w:t xml:space="preserve"> ; </w:t>
      </w:r>
      <w:hyperlink r:id="rId6566">
        <w:r>
          <w:rPr>
            <w:color w:val="0000EE"/>
            <w:u w:val="single"/>
          </w:rPr>
          <w:t>Dt 15.4, 7</w:t>
        </w:r>
      </w:hyperlink>
      <w:r>
        <w:t>). Il recherche ceux qui sont humbles de caractère quelles que soient leurs circonstances. Moïse, le serviteur de Dieu, était célèbre pour sa patience et son humilité exceptionnelles (</w:t>
      </w:r>
      <w:hyperlink r:id="rId266">
        <w:r>
          <w:rPr>
            <w:color w:val="0000EE"/>
            <w:u w:val="single"/>
          </w:rPr>
          <w:t>Nb 12.3</w:t>
        </w:r>
      </w:hyperlink>
      <w:r>
        <w:t xml:space="preserve">). Dans l'AT, humilité et justice vont souvent ensemble. </w:t>
      </w:r>
      <w:hyperlink r:id="rId288">
        <w:r>
          <w:rPr>
            <w:color w:val="0000EE"/>
            <w:u w:val="single"/>
          </w:rPr>
          <w:t xml:space="preserve">Michée 6.8 </w:t>
        </w:r>
      </w:hyperlink>
      <w:r>
        <w:t xml:space="preserve">proclame que Dieu demande « </w:t>
      </w:r>
      <w:r>
        <w:t>que tu pratiques la justice, que tu aimes la miséricorde, et que tu marches humblement avec ton Dieu »</w:t>
      </w:r>
      <w:r>
        <w:t>. Dans les Psaumes en particulier, « les humbles » est souvent une façon de désigner les justes (</w:t>
      </w:r>
      <w:hyperlink r:id="rId6567">
        <w:r>
          <w:rPr>
            <w:color w:val="0000EE"/>
            <w:u w:val="single"/>
          </w:rPr>
          <w:t>Ps 22.27</w:t>
        </w:r>
      </w:hyperlink>
      <w:r>
        <w:t xml:space="preserve"> ; </w:t>
      </w:r>
      <w:hyperlink r:id="rId6568">
        <w:r>
          <w:rPr>
            <w:color w:val="0000EE"/>
            <w:u w:val="single"/>
          </w:rPr>
          <w:t>25.9</w:t>
        </w:r>
      </w:hyperlink>
      <w:r>
        <w:t xml:space="preserve"> ; </w:t>
      </w:r>
      <w:hyperlink r:id="rId6569">
        <w:r>
          <w:rPr>
            <w:color w:val="0000EE"/>
            <w:u w:val="single"/>
          </w:rPr>
          <w:t>147.6</w:t>
        </w:r>
      </w:hyperlink>
      <w:r>
        <w:t>).</w:t>
      </w:r>
    </w:p>
    <w:p>
      <w:r/>
      <w:r>
        <w:t xml:space="preserve">Face à la sainteté de Dieu, les pécheurs doivent s'humilier. Ainsi s'exclame le prophète Ésaïe quand il voit la gloire du Dieu trois fois saint dans le Temple : « </w:t>
      </w:r>
      <w:r>
        <w:t>Je suis perdu, car je suis un homme dont les lèvres sont impures</w:t>
      </w:r>
      <w:r>
        <w:t xml:space="preserve"> » (</w:t>
      </w:r>
      <w:hyperlink r:id="rId6570">
        <w:r>
          <w:rPr>
            <w:color w:val="0000EE"/>
            <w:u w:val="single"/>
          </w:rPr>
          <w:t>Es 6.5</w:t>
        </w:r>
      </w:hyperlink>
      <w:r>
        <w:t>). L'humilité est donc davantage un trait de caractère que le simple fait d'être pauvre ou de souffrir. C'est un trait essentiel de la piété et de la sainteté pour tous ceux qui veulent suivre Dieu.</w:t>
      </w:r>
    </w:p>
    <w:p>
      <w:pPr>
        <w:pStyle w:val="Heading3"/>
      </w:pPr>
      <w:r>
        <w:t>Humilité dans le Nouveau Testament</w:t>
      </w:r>
    </w:p>
    <w:p>
      <w:r/>
      <w:r>
        <w:t>Dans le NT, l'humilité ne désigne presque jamais le fait d'être dans des circonstances humbles. Il s'agit plutôt presque toujours du trait de caractère. Jésus, en tant que Messie, est l'exemple suprême d'humilité. Il était prédit dans l'AT que le roi à venir serait humble, et cela décrit parfaitement Christ (</w:t>
      </w:r>
      <w:hyperlink r:id="rId6205">
        <w:r>
          <w:rPr>
            <w:color w:val="0000EE"/>
            <w:u w:val="single"/>
          </w:rPr>
          <w:t>Za 9.9</w:t>
        </w:r>
      </w:hyperlink>
      <w:r>
        <w:t xml:space="preserve"> ; </w:t>
      </w:r>
      <w:hyperlink r:id="rId6571">
        <w:r>
          <w:rPr>
            <w:color w:val="0000EE"/>
            <w:u w:val="single"/>
          </w:rPr>
          <w:t>Mt 21.4–5</w:t>
        </w:r>
      </w:hyperlink>
      <w:r>
        <w:t xml:space="preserve">). </w:t>
      </w:r>
    </w:p>
    <w:p>
      <w:r/>
      <w:r>
        <w:t>En tant que Fils de Dieu, Jésus ne se préoccupait pas de ses propres intérêts, mais a vécu sur terre une vie d'obéissance et de confiance en Dieu le Père. Comme le dit l'apôtre Paul, Jésus, bien que Fils de Dieu, « n’a point regardé comme une proie à arracher d’être égal avec Dieu, mais s’est dépouillé lui-même, en prenant une forme de serviteur, en devenant semblable aux hommes ; et ayant paru comme un simple homme » (</w:t>
      </w:r>
      <w:hyperlink r:id="rId6572">
        <w:r>
          <w:rPr>
            <w:color w:val="0000EE"/>
            <w:u w:val="single"/>
          </w:rPr>
          <w:t>Ph 2.5–8</w:t>
        </w:r>
      </w:hyperlink>
      <w:r>
        <w:t>). Jésus n'a jamais montré d'orgueil ni essayé de se donner de l'importance.</w:t>
      </w:r>
    </w:p>
    <w:p>
      <w:r/>
      <w:r>
        <w:t>Christ condamne la fausse religion avec fermeté, étant lui-même « doux et humble de cœur » (</w:t>
      </w:r>
      <w:hyperlink r:id="rId670">
        <w:r>
          <w:rPr>
            <w:color w:val="0000EE"/>
            <w:u w:val="single"/>
          </w:rPr>
          <w:t>Mt 11.29</w:t>
        </w:r>
      </w:hyperlink>
      <w:r>
        <w:t>). Il met en garde contre le désir d'être élevé aux yeux des hommes et reprend les chefs religieux qui exploitent les pauvres et les faibles (</w:t>
      </w:r>
      <w:hyperlink r:id="rId6573">
        <w:r>
          <w:rPr>
            <w:color w:val="0000EE"/>
            <w:u w:val="single"/>
          </w:rPr>
          <w:t>Lc 14.11</w:t>
        </w:r>
      </w:hyperlink>
      <w:r>
        <w:t xml:space="preserve"> ; </w:t>
      </w:r>
      <w:hyperlink r:id="rId6574">
        <w:r>
          <w:rPr>
            <w:color w:val="0000EE"/>
            <w:u w:val="single"/>
          </w:rPr>
          <w:t>Mt 23.12</w:t>
        </w:r>
      </w:hyperlink>
      <w:r>
        <w:t>). Même si Jésus a été servi et honoré par ses disciples, il a été au milieu d'eux « comme celui qui sert » (</w:t>
      </w:r>
      <w:hyperlink r:id="rId6575">
        <w:r>
          <w:rPr>
            <w:color w:val="0000EE"/>
            <w:u w:val="single"/>
          </w:rPr>
          <w:t>Lc 22.27</w:t>
        </w:r>
      </w:hyperlink>
      <w:r>
        <w:t xml:space="preserve"> ; </w:t>
      </w:r>
      <w:hyperlink r:id="rId654">
        <w:r>
          <w:rPr>
            <w:color w:val="0000EE"/>
            <w:u w:val="single"/>
          </w:rPr>
          <w:t>Mc 10.45</w:t>
        </w:r>
      </w:hyperlink>
      <w:r>
        <w:t xml:space="preserve"> ; </w:t>
      </w:r>
      <w:hyperlink r:id="rId653">
        <w:r>
          <w:rPr>
            <w:color w:val="0000EE"/>
            <w:u w:val="single"/>
          </w:rPr>
          <w:t>Mt 20.28</w:t>
        </w:r>
      </w:hyperlink>
      <w:r>
        <w:t>).</w:t>
      </w:r>
    </w:p>
    <w:p>
      <w:r/>
      <w:r>
        <w:t>Pour Jésus, être glorifié, c'était donner sa vie sur la croix en obéissance à la volonté de Dieu le Père. Il montre à tous ses disciples ce que cela veut dire d'être « pauvre en esprit ». Pendant tout son ministère terrestre, il donne constamment gloire au Père et dépend complètement de lui (</w:t>
      </w:r>
      <w:hyperlink r:id="rId6576">
        <w:r>
          <w:rPr>
            <w:color w:val="0000EE"/>
            <w:u w:val="single"/>
          </w:rPr>
          <w:t>Jn 5.19</w:t>
        </w:r>
      </w:hyperlink>
      <w:r>
        <w:t xml:space="preserve"> ; </w:t>
      </w:r>
      <w:hyperlink r:id="rId6577">
        <w:r>
          <w:rPr>
            <w:color w:val="0000EE"/>
            <w:u w:val="single"/>
          </w:rPr>
          <w:t>6.38</w:t>
        </w:r>
      </w:hyperlink>
      <w:r>
        <w:t xml:space="preserve"> ; </w:t>
      </w:r>
      <w:hyperlink r:id="rId6578">
        <w:r>
          <w:rPr>
            <w:color w:val="0000EE"/>
            <w:u w:val="single"/>
          </w:rPr>
          <w:t>7.15</w:t>
        </w:r>
      </w:hyperlink>
      <w:r>
        <w:t xml:space="preserve"> ; </w:t>
      </w:r>
      <w:hyperlink r:id="rId6579">
        <w:r>
          <w:rPr>
            <w:color w:val="0000EE"/>
            <w:u w:val="single"/>
          </w:rPr>
          <w:t>8.28, 50</w:t>
        </w:r>
      </w:hyperlink>
      <w:r>
        <w:t xml:space="preserve"> ; </w:t>
      </w:r>
      <w:hyperlink r:id="rId6580">
        <w:r>
          <w:rPr>
            <w:color w:val="0000EE"/>
            <w:u w:val="single"/>
          </w:rPr>
          <w:t>14.10, 24</w:t>
        </w:r>
      </w:hyperlink>
      <w:r>
        <w:t>). En lavant les pieds de ses disciples, il s'abaisse à la tâche d'un serviteur sans pour autant perdre sa dignité et son autorité. Il donne cela pour exemple de comment les chrétiens devraient se traiter les uns les autres dans l'amour (</w:t>
      </w:r>
      <w:hyperlink r:id="rId6581">
        <w:r>
          <w:rPr>
            <w:color w:val="0000EE"/>
            <w:u w:val="single"/>
          </w:rPr>
          <w:t>Jn 13.1–20</w:t>
        </w:r>
      </w:hyperlink>
      <w:r>
        <w:t xml:space="preserve"> ; </w:t>
      </w:r>
      <w:hyperlink r:id="rId3001">
        <w:r>
          <w:rPr>
            <w:color w:val="0000EE"/>
            <w:u w:val="single"/>
          </w:rPr>
          <w:t>Ph 2.1–4</w:t>
        </w:r>
      </w:hyperlink>
      <w:r>
        <w:t>).</w:t>
      </w:r>
    </w:p>
    <w:p>
      <w:r/>
      <w:r>
        <w:t xml:space="preserve">Ainsi, les disciples de Jésus sont appelés à vivre avec humilité. Au lieu de chercher à être reconnus, à protéger leurs propres intérêts ou à avoir du succès, ils devraient chercher à se mettre au service des autres. L'humilité devient une façon importante de manifester l'amour qui accomplit la loi de Dieu (voir aussi </w:t>
      </w:r>
      <w:hyperlink r:id="rId6582">
        <w:r>
          <w:rPr>
            <w:color w:val="0000EE"/>
            <w:u w:val="single"/>
          </w:rPr>
          <w:t>Rm 12.10</w:t>
        </w:r>
      </w:hyperlink>
      <w:r>
        <w:t xml:space="preserve"> ; </w:t>
      </w:r>
      <w:hyperlink r:id="rId6583">
        <w:r>
          <w:rPr>
            <w:color w:val="0000EE"/>
            <w:u w:val="single"/>
          </w:rPr>
          <w:t>13.8–10</w:t>
        </w:r>
      </w:hyperlink>
      <w:r>
        <w:t>).</w:t>
      </w:r>
      <w:r/>
      <w:r/>
    </w:p>
    <w:p>
      <w:r/>
    </w:p>
    <w:p>
      <w:pPr>
        <w:pStyle w:val="Heading2"/>
      </w:pPr>
      <w:r>
        <w:t>Hupham, Huphamite</w:t>
      </w:r>
      <w:r/>
    </w:p>
    <w:p>
      <w:r/>
      <w:r>
        <w:t>Benjaminite et fondateur de la famille Huphamite (</w:t>
      </w:r>
      <w:hyperlink r:id="rId6584">
        <w:r>
          <w:rPr>
            <w:color w:val="0000EE"/>
            <w:u w:val="single"/>
          </w:rPr>
          <w:t>Nb 26.39</w:t>
        </w:r>
      </w:hyperlink>
      <w:r>
        <w:t>) ; il s'agit peut-être de la même personne que Huppim (</w:t>
      </w:r>
      <w:hyperlink r:id="rId123">
        <w:r>
          <w:rPr>
            <w:color w:val="0000EE"/>
            <w:u w:val="single"/>
          </w:rPr>
          <w:t>Gn 46.21</w:t>
        </w:r>
      </w:hyperlink>
      <w:r>
        <w:t xml:space="preserve"> ; </w:t>
      </w:r>
      <w:hyperlink r:id="rId6585">
        <w:r>
          <w:rPr>
            <w:color w:val="0000EE"/>
            <w:u w:val="single"/>
          </w:rPr>
          <w:t>1Ch 7.12, 15</w:t>
        </w:r>
      </w:hyperlink>
      <w:r>
        <w:t>) et Huram (</w:t>
      </w:r>
      <w:hyperlink r:id="rId6586">
        <w:r>
          <w:rPr>
            <w:color w:val="0000EE"/>
            <w:u w:val="single"/>
          </w:rPr>
          <w:t>1Ch 8.5</w:t>
        </w:r>
      </w:hyperlink>
      <w:r>
        <w:t>).</w:t>
      </w:r>
    </w:p>
    <w:p>
      <w:r/>
      <w:r>
        <w:rPr>
          <w:i/>
        </w:rPr>
        <w:t>Voir aussi</w:t>
      </w:r>
      <w:r>
        <w:t xml:space="preserve"> </w:t>
      </w:r>
      <w:r>
        <w:t>Huppim</w:t>
      </w:r>
      <w:r>
        <w:t xml:space="preserve"> ; </w:t>
      </w:r>
      <w:r>
        <w:t>Huram n° 1</w:t>
      </w:r>
      <w:r>
        <w:t>.</w:t>
      </w:r>
      <w:r/>
      <w:r/>
    </w:p>
    <w:p>
      <w:r/>
    </w:p>
    <w:p>
      <w:pPr>
        <w:pStyle w:val="Heading2"/>
      </w:pPr>
      <w:r>
        <w:t>Huppim</w:t>
      </w:r>
      <w:r/>
    </w:p>
    <w:p>
      <w:r/>
      <w:r>
        <w:t>Peut-être le fils d'Ir (Iri) et un descendant de Benjamin par la lignée de Béla (</w:t>
      </w:r>
      <w:hyperlink r:id="rId123">
        <w:r>
          <w:rPr>
            <w:color w:val="0000EE"/>
            <w:u w:val="single"/>
          </w:rPr>
          <w:t>Gn 46.21</w:t>
        </w:r>
      </w:hyperlink>
      <w:r>
        <w:t xml:space="preserve"> ; </w:t>
      </w:r>
      <w:hyperlink r:id="rId6585">
        <w:r>
          <w:rPr>
            <w:color w:val="0000EE"/>
            <w:u w:val="single"/>
          </w:rPr>
          <w:t>1Ch 7.12, 15</w:t>
        </w:r>
      </w:hyperlink>
      <w:r>
        <w:t>). Huppim est probablement une orthographe alternative de Hupham, le père de la famille Huphamite de la tribu de Benjamin (</w:t>
      </w:r>
      <w:hyperlink r:id="rId6584">
        <w:r>
          <w:rPr>
            <w:color w:val="0000EE"/>
            <w:u w:val="single"/>
          </w:rPr>
          <w:t>Nb 26.39</w:t>
        </w:r>
      </w:hyperlink>
      <w:r>
        <w:t>). Sa lignée précise est difficile à déterminer.</w:t>
      </w:r>
      <w:r/>
      <w:r/>
    </w:p>
    <w:p>
      <w:r/>
    </w:p>
    <w:p>
      <w:pPr>
        <w:pStyle w:val="Heading2"/>
      </w:pPr>
      <w:r>
        <w:t>Huscham</w:t>
      </w:r>
      <w:r/>
    </w:p>
    <w:p>
      <w:pPr>
        <w:pStyle w:val="Heading1"/>
      </w:pPr>
      <w:r>
        <w:t>HUSCHAM</w:t>
      </w:r>
    </w:p>
    <w:p>
      <w:r/>
      <w:r>
        <w:t>Thémanite qui succèdera à Jobab comme roi d'Édom (</w:t>
      </w:r>
      <w:hyperlink r:id="rId6587">
        <w:r>
          <w:rPr>
            <w:color w:val="0000EE"/>
            <w:u w:val="single"/>
          </w:rPr>
          <w:t>Gn 36.34–35</w:t>
        </w:r>
      </w:hyperlink>
      <w:r>
        <w:t xml:space="preserve"> ; </w:t>
      </w:r>
      <w:hyperlink r:id="rId6588">
        <w:r>
          <w:rPr>
            <w:color w:val="0000EE"/>
            <w:u w:val="single"/>
          </w:rPr>
          <w:t>1Ch 1.45–46</w:t>
        </w:r>
      </w:hyperlink>
      <w:r>
        <w:t>).</w:t>
      </w:r>
      <w:r/>
      <w:r/>
    </w:p>
    <w:p>
      <w:r/>
    </w:p>
    <w:p>
      <w:pPr>
        <w:pStyle w:val="Heading2"/>
      </w:pPr>
      <w:r>
        <w:t>Huschim</w:t>
      </w:r>
      <w:r/>
    </w:p>
    <w:p>
      <w:r/>
      <w:r>
        <w:t>1. Fils de Dan (</w:t>
      </w:r>
      <w:hyperlink r:id="rId3564">
        <w:r>
          <w:rPr>
            <w:color w:val="0000EE"/>
            <w:u w:val="single"/>
          </w:rPr>
          <w:t>Gn 46.23</w:t>
        </w:r>
      </w:hyperlink>
      <w:r>
        <w:t xml:space="preserve">), également appelé </w:t>
      </w:r>
      <w:r>
        <w:t>Schucham</w:t>
      </w:r>
      <w:r>
        <w:t xml:space="preserve"> dans </w:t>
      </w:r>
      <w:hyperlink r:id="rId6589">
        <w:r>
          <w:rPr>
            <w:color w:val="0000EE"/>
            <w:u w:val="single"/>
          </w:rPr>
          <w:t>Nombres 26.42</w:t>
        </w:r>
      </w:hyperlink>
      <w:r>
        <w:t xml:space="preserve">, où il est mentionné comme le fondateur de la famille </w:t>
      </w:r>
      <w:r>
        <w:t>Schuchamite</w:t>
      </w:r>
      <w:r>
        <w:t>.</w:t>
      </w:r>
    </w:p>
    <w:p>
      <w:r/>
      <w:r>
        <w:t>2. Descendant benjamite d'Acher (</w:t>
      </w:r>
      <w:hyperlink r:id="rId124">
        <w:r>
          <w:rPr>
            <w:color w:val="0000EE"/>
            <w:u w:val="single"/>
          </w:rPr>
          <w:t>1Ch 7.12</w:t>
        </w:r>
      </w:hyperlink>
      <w:r>
        <w:t>).</w:t>
      </w:r>
    </w:p>
    <w:p>
      <w:r/>
      <w:r>
        <w:t xml:space="preserve">3. Une des trois épouses de </w:t>
      </w:r>
      <w:r>
        <w:t>Schacharaïm</w:t>
      </w:r>
      <w:r>
        <w:t>, un Benjamite (</w:t>
      </w:r>
      <w:hyperlink r:id="rId6590">
        <w:r>
          <w:rPr>
            <w:color w:val="0000EE"/>
            <w:u w:val="single"/>
          </w:rPr>
          <w:t>1Ch 8.8–11</w:t>
        </w:r>
      </w:hyperlink>
      <w:r>
        <w:t>).</w:t>
      </w:r>
      <w:r/>
      <w:r/>
    </w:p>
    <w:p>
      <w:r/>
    </w:p>
    <w:p>
      <w:pPr>
        <w:pStyle w:val="Heading2"/>
      </w:pPr>
      <w:r>
        <w:t>hypocrisie</w:t>
      </w:r>
      <w:r/>
    </w:p>
    <w:p>
      <w:r/>
      <w:r>
        <w:t>Le fait de dissimuler sa véritable personnalité, par exemple le fait de dire de belles paroles ou de faire de bonnes actions dans le but de prétendre être quelqu'un de louable, alors que cela ne représente pas qui on est vraiment ou ce que l'on pense vraiment. L'hypocrisie s'applique particulièrement à toute tentative de donner une apparence trompeuse de piété ou de vertu. L'usage du terme dans la culture biblique chrétienne a beaucoup influencé la façon dont il est compris en français. Ce terme désigne souvent la tromperie, le fait de se donner une autre apparence ou de prétendre avoir des vertus ou des qualités que l'on n'a pas.</w:t>
      </w:r>
    </w:p>
    <w:p>
      <w:r/>
      <w:r>
        <w:t>En contraste à cet usage biblique, le mot « hypocrisie » n'avait pas de connotation négative à l'origine parmi les Grecs. Sous sa forme verbale, il signifiait « expliquer, interpréter ou exposer ». Le nom « hypocrisie » pouvait signifier « une réponse ». Cependant, l'autre forme nominale, « un hypocrite », désignait presque toujours un « acteur » et dérivait probablement du sens verbal « exposer ».</w:t>
      </w:r>
    </w:p>
    <w:p>
      <w:r/>
      <w:r>
        <w:t xml:space="preserve">À l'origine, un « </w:t>
      </w:r>
      <w:r>
        <w:rPr>
          <w:i/>
        </w:rPr>
        <w:t>hypocrite</w:t>
      </w:r>
      <w:r>
        <w:t xml:space="preserve"> » pouvait donc être un orateur ou un acteur qui interprétait les mots d'un poète ou la musique d'un compositeur. L'acteur, ou « </w:t>
      </w:r>
      <w:r>
        <w:rPr>
          <w:i/>
        </w:rPr>
        <w:t>hypocrite</w:t>
      </w:r>
      <w:r>
        <w:t xml:space="preserve"> », s'efforçait de représenter devant son public ce que le poète ou le compositeur avait écrit. À une plus grande échelle, l'« </w:t>
      </w:r>
      <w:r>
        <w:rPr>
          <w:i/>
        </w:rPr>
        <w:t>hypocrite</w:t>
      </w:r>
      <w:r>
        <w:t xml:space="preserve"> » pouvait être un acteur parmi d'autres dans une pièce de théâtre jouée sur scène. Un bon « </w:t>
      </w:r>
      <w:r>
        <w:rPr>
          <w:i/>
        </w:rPr>
        <w:t>hypocrite</w:t>
      </w:r>
      <w:r>
        <w:t xml:space="preserve"> » interprétait fidèlement son rôle, tandis qu'un « </w:t>
      </w:r>
      <w:r>
        <w:rPr>
          <w:i/>
        </w:rPr>
        <w:t>hypocrite</w:t>
      </w:r>
      <w:r>
        <w:t xml:space="preserve"> » indésirable l'interprétait mal. </w:t>
      </w:r>
    </w:p>
    <w:p>
      <w:r/>
      <w:r>
        <w:t xml:space="preserve">À l'époque hellénistique (env. 325–125 av. J.‑C.), le monde était couramment perçu comme une scène, et toute la conduite humaine comme l'art de jouer son rôle sur cette scène. Le rôle et le script de chacun étaient écrits pour lui par son environnement familial, culturel et religieux. Ce rôle et ce script pouvaient être exécutés soit avec succès, soit avec médiocrité. Comprise dans ce sens, l'hypocrisie ne désignait pas la prétention ou la fausseté. Néanmoins, dans certains cas, le terme « </w:t>
      </w:r>
      <w:r>
        <w:rPr>
          <w:i/>
        </w:rPr>
        <w:t>hypocrite</w:t>
      </w:r>
      <w:r>
        <w:t xml:space="preserve"> » était utilisé pour décrire une personne qui jouait le rôle de sa vie de manière trompeuse. L'image qu'elle présentait aux autres (le « public ») n'était qu'un masque derrière lequel la vraie personne, différente des apparences qu'elle s'efforçait de donner, restait cachée.</w:t>
      </w:r>
    </w:p>
    <w:p>
      <w:r/>
      <w:r>
        <w:t>Dans les Évangiles, Jésus utilise souvent les termes « hypocrisie » (</w:t>
      </w:r>
      <w:hyperlink r:id="rId6591">
        <w:r>
          <w:rPr>
            <w:color w:val="0000EE"/>
            <w:u w:val="single"/>
          </w:rPr>
          <w:t>Mt 23.28</w:t>
        </w:r>
      </w:hyperlink>
      <w:r>
        <w:t xml:space="preserve"> ; </w:t>
      </w:r>
      <w:hyperlink r:id="rId6592">
        <w:r>
          <w:rPr>
            <w:color w:val="0000EE"/>
            <w:u w:val="single"/>
          </w:rPr>
          <w:t>Mc 12.15</w:t>
        </w:r>
      </w:hyperlink>
      <w:r>
        <w:t xml:space="preserve"> ; </w:t>
      </w:r>
      <w:hyperlink r:id="rId6593">
        <w:r>
          <w:rPr>
            <w:color w:val="0000EE"/>
            <w:u w:val="single"/>
          </w:rPr>
          <w:t>Lc 12.1</w:t>
        </w:r>
      </w:hyperlink>
      <w:r>
        <w:t>) et « hypocrite » (</w:t>
      </w:r>
      <w:hyperlink r:id="rId6594">
        <w:r>
          <w:rPr>
            <w:color w:val="0000EE"/>
            <w:u w:val="single"/>
          </w:rPr>
          <w:t>Mt 7.5</w:t>
        </w:r>
      </w:hyperlink>
      <w:r>
        <w:t xml:space="preserve"> ; </w:t>
      </w:r>
      <w:hyperlink r:id="rId6595">
        <w:r>
          <w:rPr>
            <w:color w:val="0000EE"/>
            <w:u w:val="single"/>
          </w:rPr>
          <w:t>24.51</w:t>
        </w:r>
      </w:hyperlink>
      <w:r>
        <w:t xml:space="preserve"> ; </w:t>
      </w:r>
      <w:hyperlink r:id="rId6596">
        <w:r>
          <w:rPr>
            <w:color w:val="0000EE"/>
            <w:u w:val="single"/>
          </w:rPr>
          <w:t>Lc 6.42</w:t>
        </w:r>
      </w:hyperlink>
      <w:r>
        <w:t xml:space="preserve"> ; </w:t>
      </w:r>
      <w:hyperlink r:id="rId6597">
        <w:r>
          <w:rPr>
            <w:color w:val="0000EE"/>
            <w:u w:val="single"/>
          </w:rPr>
          <w:t>13.15</w:t>
        </w:r>
      </w:hyperlink>
      <w:r>
        <w:t>) pour dénoncer la fausse religion. Jésus reprochait aux pharisiens et aux sadducéens de suivre à la lettre des règles religieuses pointilleuses sans se préoccuper vraiment de la justice et de l'amour de Dieu (</w:t>
      </w:r>
      <w:hyperlink r:id="rId6598">
        <w:r>
          <w:rPr>
            <w:color w:val="0000EE"/>
            <w:u w:val="single"/>
          </w:rPr>
          <w:t>Lc 11.38, 42</w:t>
        </w:r>
      </w:hyperlink>
      <w:r>
        <w:t>). Au lieu de cela, ils faisaient de leurs pratiques religieuses un spectacle public pour paraître pieux (</w:t>
      </w:r>
      <w:hyperlink r:id="rId6599">
        <w:r>
          <w:rPr>
            <w:color w:val="0000EE"/>
            <w:u w:val="single"/>
          </w:rPr>
          <w:t>Mc 7.1–13</w:t>
        </w:r>
      </w:hyperlink>
      <w:r>
        <w:t>). L'homme extérieur était tout propre ou paraissait juste, mais était rempli de mauvais désirs et de méchanceté à l'intérieur (</w:t>
      </w:r>
      <w:hyperlink r:id="rId6600">
        <w:r>
          <w:rPr>
            <w:color w:val="0000EE"/>
            <w:u w:val="single"/>
          </w:rPr>
          <w:t xml:space="preserve">Lc 11.39 </w:t>
        </w:r>
      </w:hyperlink>
      <w:r>
        <w:t xml:space="preserve">; </w:t>
      </w:r>
      <w:hyperlink r:id="rId6591">
        <w:r>
          <w:rPr>
            <w:color w:val="0000EE"/>
            <w:u w:val="single"/>
          </w:rPr>
          <w:t>Mt 23.28</w:t>
        </w:r>
      </w:hyperlink>
      <w:r>
        <w:t>).</w:t>
      </w:r>
    </w:p>
    <w:p>
      <w:r/>
      <w:r>
        <w:t>Jésus condamne l'hypocrisie parce qu'elle déforme la justice que Dieu désire. Plutôt que de rechercher une véritable sainteté intérieure, les hypocrites font de la justice des règles religieuses de conformité qui ont pour but d'obtenir les louanges des autres (</w:t>
      </w:r>
      <w:hyperlink r:id="rId6601">
        <w:r>
          <w:rPr>
            <w:color w:val="0000EE"/>
            <w:u w:val="single"/>
          </w:rPr>
          <w:t>Mt 23.2–7</w:t>
        </w:r>
      </w:hyperlink>
      <w:r>
        <w:t>). Cette idée de la justice démontre une conception déformée de Dieu et de la manière dont il se réconcilie avec les pécheurs (</w:t>
      </w:r>
      <w:hyperlink r:id="rId6602">
        <w:r>
          <w:rPr>
            <w:color w:val="0000EE"/>
            <w:u w:val="single"/>
          </w:rPr>
          <w:t>Lc 16.15</w:t>
        </w:r>
      </w:hyperlink>
      <w:r>
        <w:t>). Ces hypocrites, qui se présentaient comme des autorités concernant la volonté de Dieu, éloignaient en fait les pécheurs de lui (</w:t>
      </w:r>
      <w:hyperlink r:id="rId6603">
        <w:r>
          <w:rPr>
            <w:color w:val="0000EE"/>
            <w:u w:val="single"/>
          </w:rPr>
          <w:t>Lc 11.52</w:t>
        </w:r>
      </w:hyperlink>
      <w:r>
        <w:t>). Ils empêchaient ainsi les autres d'entrer dans le royaume de Dieu et n'y entraient pas eux-mêmes (</w:t>
      </w:r>
      <w:hyperlink r:id="rId6604">
        <w:r>
          <w:rPr>
            <w:color w:val="0000EE"/>
            <w:u w:val="single"/>
          </w:rPr>
          <w:t>Mt 23.13</w:t>
        </w:r>
      </w:hyperlink>
      <w:r>
        <w:t>).</w:t>
      </w:r>
      <w:r/>
      <w:r/>
    </w:p>
    <w:p>
      <w:r/>
    </w:p>
    <w:p>
      <w:pPr>
        <w:pStyle w:val="Heading2"/>
      </w:pPr>
      <w:r>
        <w:t>Iconium</w:t>
      </w:r>
      <w:r/>
    </w:p>
    <w:p>
      <w:r/>
      <w:r>
        <w:t>Ville située dans la partie sud-ouest de l'Asie Mineure centrale. Elle se trouvait à environ 150 km de la côte méditerranéenne. Aujourd'hui, Iconium est la ville turque de Konya, qui est également la capitale de la province de Konya.</w:t>
      </w:r>
    </w:p>
    <w:p>
      <w:pPr>
        <w:pStyle w:val="Heading3"/>
      </w:pPr>
      <w:r>
        <w:t>Économie</w:t>
      </w:r>
    </w:p>
    <w:p>
      <w:r/>
      <w:r>
        <w:t>Iconium était un centre agricole célèbre pour ses champs de blé et ses vergers d'abricotiers et de pruniers. Elle bénéficiait d'un emplacement et d'un climat idéaux, ce qui a contribué à en faire un lien majeur sur les routes commerciales entre la Syrie, Éphèse et Rome.</w:t>
      </w:r>
    </w:p>
    <w:p>
      <w:pPr>
        <w:pStyle w:val="Heading3"/>
      </w:pPr>
      <w:r>
        <w:t>Histoire</w:t>
      </w:r>
    </w:p>
    <w:p>
      <w:r/>
      <w:r>
        <w:t>L'origine de la ville est incertaine. C'est un groupe de tribus immigrantes du nord de la Grèce, appelées les Phrygiens, qui l'a fondée. L'historien grec Xénophon (env. 428 à 354 av. J.‑C.), mentionne Iconium. Il indique qu'il s'agissait d'une ville phrygienne visitée par le roi Cyrus. Les habitants d'Iconium parlaient la langue phrygienne, ce qui suggère qu'ils se considéraient comme originaires de cette région. Le nom d'Iconium était initialement phrygien.</w:t>
      </w:r>
    </w:p>
    <w:p>
      <w:r/>
      <w:r>
        <w:t xml:space="preserve">Cependant, un mythe plus tardif a ajouté une signification grecque au nom. Selon cette légende, un grand déluge a détruit l'humanité et la vie est restaurée lorsque Prométhée et Athéna insufflent la vie dans des images humaines. Ces images sont faites de boue laissée par les eaux en retrait. Le mot grec pour « image » est </w:t>
      </w:r>
      <w:r>
        <w:rPr>
          <w:i/>
        </w:rPr>
        <w:t>eikon.</w:t>
      </w:r>
      <w:r>
        <w:t xml:space="preserve"> Selon la légende, c'est de là qu'Iconium tire son nom.</w:t>
      </w:r>
    </w:p>
    <w:p>
      <w:r/>
      <w:r>
        <w:t>Au 3e siècle av. J.‑C., les rois séleucides de Syrie gouvernaient Iconium et promouvaient la culture grecque. Les Séleucides ont rapidement transformé Iconium en une ville hellénistique où l'on parlait grec. Chaque année, deux magistrats étaient nommés pour administrer le peuple. Plus tard, les Gaulois et les rois du Pont ont dominé Iconium (env. 165–63 av. J.‑C). Elle a cependant conservé son caractère hellénistique jusqu'à l'époque du Nouveau Testament. En l'an 36 av. J.‑C., Marc Antoine a donné la ville au roi Antymas. À sa mort en l'an 25 av. J.‑C., Icone a rejoint les villes voisines de Lystre, Derbe et Antioche de Pisidie. Ces villes ont été rajoutées à la province de Galatie, avant d'être incorporées dans l'Empire romain.</w:t>
      </w:r>
    </w:p>
    <w:p>
      <w:pPr>
        <w:pStyle w:val="Heading3"/>
      </w:pPr>
      <w:r>
        <w:t>Iconium dans la Bible</w:t>
      </w:r>
    </w:p>
    <w:p>
      <w:r/>
      <w:r>
        <w:t>L'apôtre Paul a visité Iconium lors de son premier voyage missionnaire. Après avoir quitté Antioche de Pisidie (</w:t>
      </w:r>
      <w:hyperlink r:id="rId6605">
        <w:r>
          <w:rPr>
            <w:color w:val="0000EE"/>
            <w:u w:val="single"/>
          </w:rPr>
          <w:t>Ac 13.51</w:t>
        </w:r>
      </w:hyperlink>
      <w:r>
        <w:t>), Paul est venu à la synagogue d'Iconium. Au début, sa prédication a remporté l'approbation des Juifs et des Grecs. Mais les « Juifs incrédules » ont rapidement incité une émeute contre lui (</w:t>
      </w:r>
      <w:hyperlink r:id="rId6606">
        <w:r>
          <w:rPr>
            <w:color w:val="0000EE"/>
            <w:u w:val="single"/>
          </w:rPr>
          <w:t>14.1–7</w:t>
        </w:r>
      </w:hyperlink>
      <w:r>
        <w:t xml:space="preserve">). Paul s'est enfui à Lystre, mais les Juifs d'Iconium l'ont suivi. Ils l'ont lapidé et l'ont laissé pour mort (v. </w:t>
      </w:r>
      <w:hyperlink r:id="rId994">
        <w:r>
          <w:rPr>
            <w:color w:val="0000EE"/>
            <w:u w:val="single"/>
          </w:rPr>
          <w:t>19</w:t>
        </w:r>
      </w:hyperlink>
      <w:r>
        <w:t xml:space="preserve"> ; voir </w:t>
      </w:r>
      <w:hyperlink r:id="rId6607">
        <w:r>
          <w:rPr>
            <w:color w:val="0000EE"/>
            <w:u w:val="single"/>
          </w:rPr>
          <w:t>2Tm 3.11</w:t>
        </w:r>
      </w:hyperlink>
      <w:r>
        <w:t>). Soigné par des amis, Paul a rejoint Barnabas à Derbe. Ils y ont fait de nombreux disciples. Plus tard, ils sont retournés à Iconium pour y fortifier les chrétiens (</w:t>
      </w:r>
      <w:hyperlink r:id="rId6608">
        <w:r>
          <w:rPr>
            <w:color w:val="0000EE"/>
            <w:u w:val="single"/>
          </w:rPr>
          <w:t>Ac 14.20–23</w:t>
        </w:r>
      </w:hyperlink>
      <w:r>
        <w:t>). Plus tard, Paul a entrepris un deuxième voyage missionnaire. Les chrétiens d'Icone ont recommandé Timothée à Paul et Silas (</w:t>
      </w:r>
      <w:hyperlink r:id="rId6609">
        <w:r>
          <w:rPr>
            <w:color w:val="0000EE"/>
            <w:u w:val="single"/>
          </w:rPr>
          <w:t>16.1–2</w:t>
        </w:r>
      </w:hyperlink>
      <w:r>
        <w:t>).</w:t>
      </w:r>
      <w:r/>
      <w:r/>
    </w:p>
    <w:p>
      <w:r/>
    </w:p>
    <w:p>
      <w:pPr>
        <w:pStyle w:val="Heading2"/>
      </w:pPr>
      <w:r>
        <w:t>Idoles, Idolâtrie</w:t>
      </w:r>
      <w:r/>
    </w:p>
    <w:p>
      <w:r/>
      <w:r>
        <w:t xml:space="preserve">Images fabriquées par l'homme ou représentations naturelles vénérées comme des divinités : tout ce qui reçoit un culte autre que le seul vrai Dieu. L'idolâtrie est le culte spirituel d'une idole. De nombreux idolâtres servent littéralement des idoles : dans l'Égypte ancienne, les statues des dieux étaient régulièrement et rituellement vêtues et nourries. Un certain concept du culte d'un faux dieu, Baal, est donné dans le récit du concours sur le mont Carmel : les prêtres de Baal criaient à haute voix, ils « </w:t>
      </w:r>
      <w:r>
        <w:t>sautaient</w:t>
      </w:r>
      <w:r>
        <w:t xml:space="preserve"> » autour de l'autel, ils se coupaient avec des épées et des lances (</w:t>
      </w:r>
      <w:hyperlink r:id="rId6610">
        <w:r>
          <w:rPr>
            <w:color w:val="0000EE"/>
            <w:u w:val="single"/>
          </w:rPr>
          <w:t>1R 18.26–29</w:t>
        </w:r>
      </w:hyperlink>
      <w:r>
        <w:t>). Le culte de Baal était largement suivi par Israël pendant la période de la monarchie.</w:t>
      </w:r>
    </w:p>
    <w:p>
      <w:pPr>
        <w:pStyle w:val="Heading3"/>
      </w:pPr>
      <w:r>
        <w:t>Dans l’Ancien Testament</w:t>
      </w:r>
    </w:p>
    <w:p>
      <w:r/>
      <w:r>
        <w:t>Les ancêtres d'Abraham étaient des adorateurs d'idoles en Mésopotamie (</w:t>
      </w:r>
      <w:hyperlink r:id="rId6611">
        <w:r>
          <w:rPr>
            <w:color w:val="0000EE"/>
            <w:u w:val="single"/>
          </w:rPr>
          <w:t>Jos 24.2</w:t>
        </w:r>
      </w:hyperlink>
      <w:r>
        <w:t>). Les fouilles archéologiques dans cette région ont révélé les images de nombreuses divinités, et la littérature religieuse mésopotamienne met en lumière le polythéisme grossier dont Abraham est issu. La tendance des Israélites vers l'idolâtrie était en partie l'expression du désir humain universel d'un dieu que l'on peut voir et connaître à travers les sens physiques.</w:t>
      </w:r>
    </w:p>
    <w:p>
      <w:r/>
      <w:r>
        <w:t>La plupart de l'idolâtrie des Israélites était empruntée à leurs voisins. Pendant les plus de 400 ans que les descendants de Jacob ont passés en Égypte, ils ont été exposés à l'idolâtrie polythéiste, ce qui a influencé leur état d'esprit religieux. Au Sinaï, tandis que Moïse recevait les Dix Commandements du Seigneur, le peuple demandera à Aaron de leur faire des dieux (</w:t>
      </w:r>
      <w:hyperlink r:id="rId6612">
        <w:r>
          <w:rPr>
            <w:color w:val="0000EE"/>
            <w:u w:val="single"/>
          </w:rPr>
          <w:t>Ex 32.1–6</w:t>
        </w:r>
      </w:hyperlink>
      <w:r>
        <w:t>). Il façonnera alors un veau d'or, suivant une forme égyptienne, car toute la famille bovine était adorée en Égypte : le taureau Apis, la vache Hathor et le veau Mnevis.</w:t>
      </w:r>
    </w:p>
    <w:p>
      <w:r/>
      <w:r>
        <w:t>C'est après son séjour en Égypte (</w:t>
      </w:r>
      <w:hyperlink r:id="rId6613">
        <w:r>
          <w:rPr>
            <w:color w:val="0000EE"/>
            <w:u w:val="single"/>
          </w:rPr>
          <w:t>1R 11.40</w:t>
        </w:r>
      </w:hyperlink>
      <w:r>
        <w:t>) que Jéroboam deviendra roi d'Israël et installera des veaux d'or, l'un à Béthel et l'autre à Dan (</w:t>
      </w:r>
      <w:hyperlink r:id="rId6614">
        <w:r>
          <w:rPr>
            <w:color w:val="0000EE"/>
            <w:u w:val="single"/>
          </w:rPr>
          <w:t>12.26–33</w:t>
        </w:r>
      </w:hyperlink>
      <w:r>
        <w:t>) ; un acte qui lui vaudra d'être qualifié de celui qui avait fait pécher Israël (</w:t>
      </w:r>
      <w:hyperlink r:id="rId6615">
        <w:r>
          <w:rPr>
            <w:color w:val="0000EE"/>
            <w:u w:val="single"/>
          </w:rPr>
          <w:t>2R 3.3</w:t>
        </w:r>
      </w:hyperlink>
      <w:r>
        <w:t>).</w:t>
      </w:r>
    </w:p>
    <w:p>
      <w:r/>
      <w:r>
        <w:t>Déjà à l'époque patriarcale, il y a des références aux théraphim, ou dieux domestiques. Des exemples de ces idoles ont été trouvés à Ur des Chaldéens, à Nuzi et dans d'autres sites, et sont mentionnés dans les tablettes cunéiformes. Les théraphim que Rachel a volés à Laban pouvaient être cachés dans la sacoche de son chameau (</w:t>
      </w:r>
      <w:hyperlink r:id="rId6616">
        <w:r>
          <w:rPr>
            <w:color w:val="0000EE"/>
            <w:u w:val="single"/>
          </w:rPr>
          <w:t>Gn 31.34</w:t>
        </w:r>
      </w:hyperlink>
      <w:r>
        <w:t>). Il semble cependant qu'à l'époque de David, ces idoles étaient plus grandes, car lorsque les hommes de Saül sont venus pour tuer David, Mical, la femme de David et la fille de Saül, aidera David à s'échapper pour ensuite prendre une telle image et la placer dans un lit pour faire croire aux hommes que David était malade (</w:t>
      </w:r>
      <w:hyperlink r:id="rId6617">
        <w:r>
          <w:rPr>
            <w:color w:val="0000EE"/>
            <w:u w:val="single"/>
          </w:rPr>
          <w:t>1S 19.11–16</w:t>
        </w:r>
      </w:hyperlink>
      <w:r>
        <w:t>).</w:t>
      </w:r>
    </w:p>
    <w:p>
      <w:r/>
      <w:r>
        <w:t>L'interdiction de l'idolâtrie est explicitement énoncée dans le deuxième commandement (</w:t>
      </w:r>
      <w:hyperlink r:id="rId4309">
        <w:r>
          <w:rPr>
            <w:color w:val="0000EE"/>
            <w:u w:val="single"/>
          </w:rPr>
          <w:t>Ex 20.4–5</w:t>
        </w:r>
      </w:hyperlink>
      <w:r>
        <w:t xml:space="preserve">) : « Tu ne te feras point d’image taillée, ni de représentation quelconque des choses qui sont en haut dans les cieux, qui sont en bas sur la terre, et qui sont dans les eaux plus bas que la terre. Tu ne te prosterneras point devant elles, et tu ne les serviras point; car moi, l’Éternel, ton Dieu, je suis un Dieu jaloux » (voir </w:t>
      </w:r>
      <w:hyperlink r:id="rId6618">
        <w:r>
          <w:rPr>
            <w:color w:val="0000EE"/>
            <w:u w:val="single"/>
          </w:rPr>
          <w:t>Ex 34.17</w:t>
        </w:r>
      </w:hyperlink>
      <w:r>
        <w:t xml:space="preserve"> ; </w:t>
      </w:r>
      <w:hyperlink r:id="rId4102">
        <w:r>
          <w:rPr>
            <w:color w:val="0000EE"/>
            <w:u w:val="single"/>
          </w:rPr>
          <w:t>Lv 19.4</w:t>
        </w:r>
      </w:hyperlink>
      <w:r>
        <w:t xml:space="preserve"> ; </w:t>
      </w:r>
      <w:hyperlink r:id="rId6619">
        <w:r>
          <w:rPr>
            <w:color w:val="0000EE"/>
            <w:u w:val="single"/>
          </w:rPr>
          <w:t>26.1</w:t>
        </w:r>
      </w:hyperlink>
      <w:r>
        <w:t xml:space="preserve"> ; </w:t>
      </w:r>
      <w:hyperlink r:id="rId6620">
        <w:r>
          <w:rPr>
            <w:color w:val="0000EE"/>
            <w:u w:val="single"/>
          </w:rPr>
          <w:t>Dt 4.15–19</w:t>
        </w:r>
      </w:hyperlink>
      <w:r>
        <w:t xml:space="preserve"> ; </w:t>
      </w:r>
      <w:hyperlink r:id="rId6621">
        <w:r>
          <w:rPr>
            <w:color w:val="0000EE"/>
            <w:u w:val="single"/>
          </w:rPr>
          <w:t>27.1–5</w:t>
        </w:r>
      </w:hyperlink>
      <w:r>
        <w:t>). Ce commandement est une extension ou un auxiliaire du premier, car il vise à préserver l'unicité de Dieu et à protéger sa gloire. La définition de l'idolâtrie a été élargie à l'époque de Samuel, qui a confronté le roi Saül avec l'accusation que l'entêtement équivaut à l'idolâtrie (</w:t>
      </w:r>
      <w:hyperlink r:id="rId3777">
        <w:r>
          <w:rPr>
            <w:color w:val="0000EE"/>
            <w:u w:val="single"/>
          </w:rPr>
          <w:t>1S 15.23</w:t>
        </w:r>
      </w:hyperlink>
      <w:r>
        <w:t>).</w:t>
      </w:r>
    </w:p>
    <w:p>
      <w:r/>
      <w:r>
        <w:t>Avant la conquête de Canaan, le Seigneur avertira Israël de ne pas épouser des membres de la population native, qu'il avait ordonné à Israël d'anéantir. Cette mesure visait à prévenir l'affaiblissement de la vie morale en Israël (</w:t>
      </w:r>
      <w:hyperlink r:id="rId6622">
        <w:r>
          <w:rPr>
            <w:color w:val="0000EE"/>
            <w:u w:val="single"/>
          </w:rPr>
          <w:t>Ex 34.16</w:t>
        </w:r>
      </w:hyperlink>
      <w:r>
        <w:t xml:space="preserve"> ; </w:t>
      </w:r>
      <w:hyperlink r:id="rId5105">
        <w:r>
          <w:rPr>
            <w:color w:val="0000EE"/>
            <w:u w:val="single"/>
          </w:rPr>
          <w:t>Dt 7.3–4</w:t>
        </w:r>
      </w:hyperlink>
      <w:r>
        <w:t xml:space="preserve">). Ce principe est de nouveau élargi dans le Nouveau Testament (voir </w:t>
      </w:r>
      <w:hyperlink r:id="rId6623">
        <w:r>
          <w:rPr>
            <w:color w:val="0000EE"/>
            <w:u w:val="single"/>
          </w:rPr>
          <w:t>1Co 15.33</w:t>
        </w:r>
      </w:hyperlink>
      <w:r>
        <w:t xml:space="preserve"> ; </w:t>
      </w:r>
      <w:hyperlink r:id="rId6624">
        <w:r>
          <w:rPr>
            <w:color w:val="0000EE"/>
            <w:u w:val="single"/>
          </w:rPr>
          <w:t>2Co 6.14</w:t>
        </w:r>
      </w:hyperlink>
      <w:r>
        <w:t>). L'histoire d'Israël démontre la pertinence de l'interdiction de tels mariages, car ils menaient inévitablement à l'apostasie. L'exemple le plus triste en est sans doute Salomon (</w:t>
      </w:r>
      <w:hyperlink r:id="rId6625">
        <w:r>
          <w:rPr>
            <w:color w:val="0000EE"/>
            <w:u w:val="single"/>
          </w:rPr>
          <w:t>1R 11.1–8</w:t>
        </w:r>
      </w:hyperlink>
      <w:r>
        <w:t xml:space="preserve">). Quand ce dernier était vieux, ses femmes détourneront son cœur vers d'autres dieux, si bien qu'il n'est pas resté entièrement fidèle au Seigneur son Dieu (v </w:t>
      </w:r>
      <w:hyperlink r:id="rId6626">
        <w:r>
          <w:rPr>
            <w:color w:val="0000EE"/>
            <w:u w:val="single"/>
          </w:rPr>
          <w:t>4</w:t>
        </w:r>
      </w:hyperlink>
      <w:r>
        <w:t>).</w:t>
      </w:r>
    </w:p>
    <w:p>
      <w:r/>
      <w:r>
        <w:t>À l'époque des juges, il y avait un cas infâme de culte des idoles (</w:t>
      </w:r>
      <w:hyperlink r:id="rId6627">
        <w:r>
          <w:rPr>
            <w:color w:val="0000EE"/>
            <w:u w:val="single"/>
          </w:rPr>
          <w:t>Jg 17.1–18.31</w:t>
        </w:r>
      </w:hyperlink>
      <w:r>
        <w:t>). La mère d'un Éphraïmite nommé Michée prendra deux cents pièces d'argent et fera faire par un orfèvre une image taillée pour son fils. Il avait aussi un sanctuaire, un éphod et des théraphim. Il engagera un Lévite errant pour être son prêtre, mais des hommes de la tribu de Dan viendront et prendront le Lévite, l'image et tous les accessoires, installeront cette idole à Dan et l'utiliseront comme objet de leur culte (</w:t>
      </w:r>
      <w:hyperlink r:id="rId6628">
        <w:r>
          <w:rPr>
            <w:color w:val="0000EE"/>
            <w:u w:val="single"/>
          </w:rPr>
          <w:t>18.30–31</w:t>
        </w:r>
      </w:hyperlink>
      <w:r>
        <w:t>).</w:t>
      </w:r>
    </w:p>
    <w:p>
      <w:r/>
      <w:r>
        <w:t>Dans les Écritures, les rois d'Israël sont évalués en fonction de leurs actions concernant les « hauts lieux » et les idoles. Asa ôtera toutes les idoles que ses ancêtres avaient fabriquées (</w:t>
      </w:r>
      <w:hyperlink r:id="rId6629">
        <w:r>
          <w:rPr>
            <w:color w:val="0000EE"/>
            <w:u w:val="single"/>
          </w:rPr>
          <w:t>1R 15.12</w:t>
        </w:r>
      </w:hyperlink>
      <w:r>
        <w:t xml:space="preserve">) et ne permettra pas à Maaca d'être reine mère parce qu'elle avait fait une image abominable pour </w:t>
      </w:r>
      <w:r>
        <w:t>Astarté</w:t>
      </w:r>
      <w:r>
        <w:t xml:space="preserve">. Il retranchera et brûlera l'image (v. </w:t>
      </w:r>
      <w:hyperlink r:id="rId6630">
        <w:r>
          <w:rPr>
            <w:color w:val="0000EE"/>
            <w:u w:val="single"/>
          </w:rPr>
          <w:t>13</w:t>
        </w:r>
      </w:hyperlink>
      <w:r>
        <w:t>). Le roi israélite Achab, pour sa part, était un idolâtre (</w:t>
      </w:r>
      <w:hyperlink r:id="rId6631">
        <w:r>
          <w:rPr>
            <w:color w:val="0000EE"/>
            <w:u w:val="single"/>
          </w:rPr>
          <w:t>1R 21.26</w:t>
        </w:r>
      </w:hyperlink>
      <w:r>
        <w:t xml:space="preserve"> ; voir </w:t>
      </w:r>
      <w:hyperlink r:id="rId1028">
        <w:r>
          <w:rPr>
            <w:color w:val="0000EE"/>
            <w:u w:val="single"/>
          </w:rPr>
          <w:t>16.30–33</w:t>
        </w:r>
      </w:hyperlink>
      <w:r>
        <w:t>).</w:t>
      </w:r>
    </w:p>
    <w:p>
      <w:r/>
      <w:r>
        <w:t>Ézéchias détruira les hauts lieux, abattra les piliers et retranchera les Astartés (</w:t>
      </w:r>
      <w:hyperlink r:id="rId6632">
        <w:r>
          <w:rPr>
            <w:color w:val="0000EE"/>
            <w:u w:val="single"/>
          </w:rPr>
          <w:t>2R 18.4</w:t>
        </w:r>
      </w:hyperlink>
      <w:r>
        <w:t xml:space="preserve"> ; </w:t>
      </w:r>
      <w:hyperlink r:id="rId6633">
        <w:r>
          <w:rPr>
            <w:color w:val="0000EE"/>
            <w:u w:val="single"/>
          </w:rPr>
          <w:t>2Ch 31.1</w:t>
        </w:r>
      </w:hyperlink>
      <w:r>
        <w:t>). Il mettra également fin à un culte étrange qui illustre la nature insidieuse de l'idolâtrie. Le serpent de bronze que Moïse avait élevé sur un poteau pour sauver les Israélites de la mort par morsure de serpent (</w:t>
      </w:r>
      <w:hyperlink r:id="rId6634">
        <w:r>
          <w:rPr>
            <w:color w:val="0000EE"/>
            <w:u w:val="single"/>
          </w:rPr>
          <w:t>Nb 21.9</w:t>
        </w:r>
      </w:hyperlink>
      <w:r>
        <w:t xml:space="preserve"> ; voir </w:t>
      </w:r>
      <w:hyperlink r:id="rId5170">
        <w:r>
          <w:rPr>
            <w:color w:val="0000EE"/>
            <w:u w:val="single"/>
          </w:rPr>
          <w:t>Jn 3.14</w:t>
        </w:r>
      </w:hyperlink>
      <w:r>
        <w:t>) avait été conservé jusqu'à l'époque d'Ézéchias. Il recevra le nom de Nehuschtan, et on le vénérait et lui brûlait de l'encens. Ézéchias le détruira (</w:t>
      </w:r>
      <w:hyperlink r:id="rId6632">
        <w:r>
          <w:rPr>
            <w:color w:val="0000EE"/>
            <w:u w:val="single"/>
          </w:rPr>
          <w:t>2R 18.4</w:t>
        </w:r>
      </w:hyperlink>
      <w:r>
        <w:t>) parce que ce qui avait été un instrument pour le bien était devenu une chose mauvaise.</w:t>
      </w:r>
    </w:p>
    <w:p>
      <w:r/>
      <w:r>
        <w:t>Le prophète Ésaïe décrit la fabrication d'une idole sous forme humaine (</w:t>
      </w:r>
      <w:hyperlink r:id="rId6635">
        <w:r>
          <w:rPr>
            <w:color w:val="0000EE"/>
            <w:u w:val="single"/>
          </w:rPr>
          <w:t>Es 40.19–20</w:t>
        </w:r>
      </w:hyperlink>
      <w:r>
        <w:t xml:space="preserve"> ; </w:t>
      </w:r>
      <w:hyperlink r:id="rId6636">
        <w:r>
          <w:rPr>
            <w:color w:val="0000EE"/>
            <w:u w:val="single"/>
          </w:rPr>
          <w:t>44.9–17</w:t>
        </w:r>
      </w:hyperlink>
      <w:r>
        <w:t>). Les images étaient coulées dans un moule à l'aide de métal fondu (</w:t>
      </w:r>
      <w:hyperlink r:id="rId6637">
        <w:r>
          <w:rPr>
            <w:color w:val="0000EE"/>
            <w:u w:val="single"/>
          </w:rPr>
          <w:t>40.19</w:t>
        </w:r>
      </w:hyperlink>
      <w:r>
        <w:t xml:space="preserve"> ; </w:t>
      </w:r>
      <w:hyperlink r:id="rId6638">
        <w:r>
          <w:rPr>
            <w:color w:val="0000EE"/>
            <w:u w:val="single"/>
          </w:rPr>
          <w:t>44.10</w:t>
        </w:r>
      </w:hyperlink>
      <w:r>
        <w:t>). Les statues étaient forgées par des forgerons (</w:t>
      </w:r>
      <w:hyperlink r:id="rId5749">
        <w:r>
          <w:rPr>
            <w:color w:val="0000EE"/>
            <w:u w:val="single"/>
          </w:rPr>
          <w:t>44.12</w:t>
        </w:r>
      </w:hyperlink>
      <w:r>
        <w:t>), sculptées dans le bois (</w:t>
      </w:r>
      <w:hyperlink r:id="rId6639">
        <w:r>
          <w:rPr>
            <w:color w:val="0000EE"/>
            <w:u w:val="single"/>
          </w:rPr>
          <w:t>44.13–17</w:t>
        </w:r>
      </w:hyperlink>
      <w:r>
        <w:t>) et recouvertes de métal précieux (</w:t>
      </w:r>
      <w:hyperlink r:id="rId6637">
        <w:r>
          <w:rPr>
            <w:color w:val="0000EE"/>
            <w:u w:val="single"/>
          </w:rPr>
          <w:t>40.19</w:t>
        </w:r>
      </w:hyperlink>
      <w:r>
        <w:t>). De petites images en argile et des plaques étaient également moulées et cuites dans un four, et des statues étaient sculptées dans la pierre. Le psalmiste s'exprimera contre les idoles et les images (</w:t>
      </w:r>
      <w:hyperlink r:id="rId6640">
        <w:r>
          <w:rPr>
            <w:color w:val="0000EE"/>
            <w:u w:val="single"/>
          </w:rPr>
          <w:t>Ps 96.5</w:t>
        </w:r>
      </w:hyperlink>
      <w:r>
        <w:t xml:space="preserve"> ; </w:t>
      </w:r>
      <w:hyperlink r:id="rId6641">
        <w:r>
          <w:rPr>
            <w:color w:val="0000EE"/>
            <w:u w:val="single"/>
          </w:rPr>
          <w:t>97.7</w:t>
        </w:r>
      </w:hyperlink>
      <w:r>
        <w:t xml:space="preserve"> ; </w:t>
      </w:r>
      <w:hyperlink r:id="rId6642">
        <w:r>
          <w:rPr>
            <w:color w:val="0000EE"/>
            <w:u w:val="single"/>
          </w:rPr>
          <w:t>106.34–39</w:t>
        </w:r>
      </w:hyperlink>
      <w:r>
        <w:t xml:space="preserve">) et l'impuissance des idoles est décrite dans </w:t>
      </w:r>
      <w:hyperlink r:id="rId6643">
        <w:r>
          <w:rPr>
            <w:color w:val="0000EE"/>
            <w:u w:val="single"/>
          </w:rPr>
          <w:t>Psaumes 115.4–8</w:t>
        </w:r>
      </w:hyperlink>
      <w:r>
        <w:t xml:space="preserve"> et </w:t>
      </w:r>
      <w:hyperlink r:id="rId6644">
        <w:r>
          <w:rPr>
            <w:color w:val="0000EE"/>
            <w:u w:val="single"/>
          </w:rPr>
          <w:t>135.15–18</w:t>
        </w:r>
      </w:hyperlink>
      <w:r>
        <w:t>.</w:t>
      </w:r>
    </w:p>
    <w:p>
      <w:r/>
      <w:r>
        <w:t>Les royaumes du nord et du sud d'Israël seront emmenés en captivité parce qu'ils avaient abandonné Dieu et servi des idoles. Les Juifs étaient bien conscients que l'idolâtrie les avait conduits en captivité, et pendant leur séjour à Babylone, ils développeront une aversion pour les idoles qui caractérise le judaïsme jusqu'à ce jour.</w:t>
      </w:r>
    </w:p>
    <w:p>
      <w:pPr>
        <w:pStyle w:val="Heading3"/>
      </w:pPr>
      <w:r>
        <w:t>Dans le Nouveau Testament</w:t>
      </w:r>
    </w:p>
    <w:p>
      <w:r/>
      <w:r>
        <w:t>Le traitement le plus complet de l'idolâtrie dans le Nouveau Testament (</w:t>
      </w:r>
      <w:r>
        <w:rPr>
          <w:i/>
        </w:rPr>
        <w:t>eidololatreia</w:t>
      </w:r>
      <w:r>
        <w:t>) et l'adorateur d'idoles (</w:t>
      </w:r>
      <w:r>
        <w:rPr>
          <w:i/>
        </w:rPr>
        <w:t>eidololatres</w:t>
      </w:r>
      <w:r>
        <w:t>) se trouve dans la Première Épître de Paul aux Corinthiens. Dans une épître antérieure (aujourd'hui disparue), Paul avait dit aux Corinthiens de ne pas s'associer avec ceux qui se disaient croyants mais qui étaient encore adorateurs d'idoles (</w:t>
      </w:r>
      <w:hyperlink r:id="rId3189">
        <w:r>
          <w:rPr>
            <w:color w:val="0000EE"/>
            <w:u w:val="single"/>
          </w:rPr>
          <w:t>1Co 5.9–11</w:t>
        </w:r>
      </w:hyperlink>
      <w:r>
        <w:t xml:space="preserve">). Après cette lettre, les Corinthiens ont dû demander à Paul des précisions sur ce sujet. Ainsi, dans cette épître, Paul fournit une réponse à leur question ; l'« idolâtre » est mentionné dans </w:t>
      </w:r>
      <w:hyperlink r:id="rId6645">
        <w:r>
          <w:rPr>
            <w:color w:val="0000EE"/>
            <w:u w:val="single"/>
          </w:rPr>
          <w:t>5.10–11, 6.9, 10.7</w:t>
        </w:r>
      </w:hyperlink>
      <w:r>
        <w:t xml:space="preserve">, et l'« idolâtrie » est évoquée dans </w:t>
      </w:r>
      <w:hyperlink r:id="rId6646">
        <w:r>
          <w:rPr>
            <w:color w:val="0000EE"/>
            <w:u w:val="single"/>
          </w:rPr>
          <w:t>10.14</w:t>
        </w:r>
      </w:hyperlink>
      <w:r>
        <w:t>.</w:t>
      </w:r>
    </w:p>
    <w:p>
      <w:r/>
      <w:r>
        <w:t>Les termes « idolâtrie » et « idolâtre » sont liés à deux autres expressions : (1) « idole » (</w:t>
      </w:r>
      <w:r>
        <w:rPr>
          <w:i/>
        </w:rPr>
        <w:t>eidolon</w:t>
      </w:r>
      <w:r>
        <w:t xml:space="preserve">), trouvée dans </w:t>
      </w:r>
      <w:hyperlink r:id="rId4086">
        <w:r>
          <w:rPr>
            <w:color w:val="0000EE"/>
            <w:u w:val="single"/>
          </w:rPr>
          <w:t>1 Corinthiens 8.4</w:t>
        </w:r>
      </w:hyperlink>
      <w:r>
        <w:t xml:space="preserve"> ; </w:t>
      </w:r>
      <w:hyperlink r:id="rId6647">
        <w:r>
          <w:rPr>
            <w:color w:val="0000EE"/>
            <w:u w:val="single"/>
          </w:rPr>
          <w:t>10.19</w:t>
        </w:r>
      </w:hyperlink>
      <w:r>
        <w:t xml:space="preserve"> ; </w:t>
      </w:r>
      <w:hyperlink r:id="rId6648">
        <w:r>
          <w:rPr>
            <w:color w:val="0000EE"/>
            <w:u w:val="single"/>
          </w:rPr>
          <w:t>12.2</w:t>
        </w:r>
      </w:hyperlink>
      <w:r>
        <w:t xml:space="preserve"> ; et (2) « </w:t>
      </w:r>
      <w:r>
        <w:t>viande sacrifiée aux idoles</w:t>
      </w:r>
      <w:r>
        <w:t xml:space="preserve"> » (</w:t>
      </w:r>
      <w:r>
        <w:rPr>
          <w:i/>
        </w:rPr>
        <w:t>eidolothutos</w:t>
      </w:r>
      <w:r>
        <w:t xml:space="preserve">), trouvée dans </w:t>
      </w:r>
      <w:hyperlink r:id="rId6649">
        <w:r>
          <w:rPr>
            <w:color w:val="0000EE"/>
            <w:u w:val="single"/>
          </w:rPr>
          <w:t>1 Corinthiens 8.1, 4, 7</w:t>
        </w:r>
      </w:hyperlink>
      <w:r>
        <w:t xml:space="preserve"> ; </w:t>
      </w:r>
      <w:hyperlink r:id="rId6647">
        <w:r>
          <w:rPr>
            <w:color w:val="0000EE"/>
            <w:u w:val="single"/>
          </w:rPr>
          <w:t>10.19</w:t>
        </w:r>
      </w:hyperlink>
      <w:r>
        <w:t xml:space="preserve">. Le type d'idolâtrie que Paul condamne est celui qui impliquait des chrétiens offrant des sacrifices aux idoles et participant ensuite à la consommation de la nourriture qui leur avait été sacrifiée. Les participants sont appelés idolâtres parce que leur implication dans ces sacrifices était perçue comme une communion avec les démons. Paul interdisait strictement de manger de la nourriture sacrificielle dans les temples populaires en présence de démons-idoles. Ainsi, il partageait la même vision des idoles que la plupart des Juifs de son époque. Pour les Juifs, les idoles et les divinités païennes étaient identiques. (Voir </w:t>
      </w:r>
      <w:hyperlink r:id="rId6650">
        <w:r>
          <w:rPr>
            <w:color w:val="0000EE"/>
            <w:u w:val="single"/>
          </w:rPr>
          <w:t>1Th 1.9</w:t>
        </w:r>
      </w:hyperlink>
      <w:r>
        <w:t xml:space="preserve">, où Paul contraste « idoles » avec « </w:t>
      </w:r>
      <w:r>
        <w:t xml:space="preserve">le Dieu vivant et </w:t>
      </w:r>
      <w:r>
        <w:rPr>
          <w:i/>
        </w:rPr>
        <w:t>vrai</w:t>
      </w:r>
      <w:r>
        <w:rPr>
          <w:i/>
        </w:rPr>
        <w:t xml:space="preserve"> </w:t>
      </w:r>
      <w:r>
        <w:t>».) Pour Paul, les idoles en elles-mêmes n'étaient rien (</w:t>
      </w:r>
      <w:hyperlink r:id="rId4086">
        <w:r>
          <w:rPr>
            <w:color w:val="0000EE"/>
            <w:u w:val="single"/>
          </w:rPr>
          <w:t>1Co 8.4</w:t>
        </w:r>
      </w:hyperlink>
      <w:r>
        <w:t>) ; derrière l'idole, cependant, se cachait un démon (</w:t>
      </w:r>
      <w:hyperlink r:id="rId6651">
        <w:r>
          <w:rPr>
            <w:color w:val="0000EE"/>
            <w:u w:val="single"/>
          </w:rPr>
          <w:t>10.20</w:t>
        </w:r>
      </w:hyperlink>
      <w:r>
        <w:t>).</w:t>
      </w:r>
    </w:p>
    <w:p>
      <w:r/>
      <w:r>
        <w:t xml:space="preserve">La consommation de nourriture sacrificielle lors des repas cultuels dans les temples païens était censurée par Paul, car il était entendu que les participants devenaient ainsi unis aux démons (voir </w:t>
      </w:r>
      <w:hyperlink r:id="rId6652">
        <w:r>
          <w:rPr>
            <w:color w:val="0000EE"/>
            <w:u w:val="single"/>
          </w:rPr>
          <w:t>1Co 10.19–21</w:t>
        </w:r>
      </w:hyperlink>
      <w:r>
        <w:t>). Cependant, Paul n'avait aucun problème avec ceux qui achetaient de la nourriture mise de côté lors de ces événements et ensuite vendue sur le marché. À son avis, s'ils la mangeaient chez eux, ils ne participaient pas à l'idolâtrie. Ils pouvaient manger cette nourriture en toute bonne conscience ; à moins, bien sûr, qu'en le faisant, ils ne deviennent la cause de la chute d'un croyant plus faible. Pour le bien de ces croyants, il fallait donc s'en abstenir. Il s'agissait d'une question de conscience (</w:t>
      </w:r>
      <w:hyperlink r:id="rId6653">
        <w:r>
          <w:rPr>
            <w:color w:val="0000EE"/>
            <w:u w:val="single"/>
          </w:rPr>
          <w:t>10.25–29</w:t>
        </w:r>
      </w:hyperlink>
      <w:r>
        <w:t>). Mais assister à des festivités païennes et manger des repas offerts aux idoles n'était permis sous aucune forme.</w:t>
      </w:r>
    </w:p>
    <w:p>
      <w:r/>
      <w:r>
        <w:t xml:space="preserve">Les Corinthiens participaient à ces repas régulièrement avant de devenir chrétiens et semblent avoir continué à le faire après leur conversion. À Corinthe, de tels repas étaient la pratique courante tant lors des festivals nationaux que des célébrations privées. Les « dieux » (que Paul considérait comme des « démons ») étaient censés être présents à ces événements parce que les sacrifices leur étaient offerts. Ainsi, participer à ces événements revenait à s'associer aux démons et donc à devenir idolâtre. Les Israélites antiques avaient été entraînés dans l'idolâtrie par leurs voisins païens à plusieurs reprises lorsqu'ils avaient été incités à participer à ces célébrations païennes (voir </w:t>
      </w:r>
      <w:hyperlink r:id="rId1593">
        <w:r>
          <w:rPr>
            <w:color w:val="0000EE"/>
            <w:u w:val="single"/>
          </w:rPr>
          <w:t>Nb 25</w:t>
        </w:r>
      </w:hyperlink>
      <w:r>
        <w:t xml:space="preserve"> ; </w:t>
      </w:r>
      <w:hyperlink r:id="rId6654">
        <w:r>
          <w:rPr>
            <w:color w:val="0000EE"/>
            <w:u w:val="single"/>
          </w:rPr>
          <w:t>Ex 32.6</w:t>
        </w:r>
      </w:hyperlink>
      <w:r>
        <w:t xml:space="preserve">). Les festivités impliquaient toutes sortes de débauches. Dans </w:t>
      </w:r>
      <w:hyperlink r:id="rId6655">
        <w:r>
          <w:rPr>
            <w:color w:val="0000EE"/>
            <w:u w:val="single"/>
          </w:rPr>
          <w:t>1 Corinthiens 10</w:t>
        </w:r>
      </w:hyperlink>
      <w:r>
        <w:t>, Paul fait référence à cette apostasie des Israélites et l'utilise comme exemple négatif. Parce que les Israélites se sont adonnés à des festivités païennes, ils ont été entraînés dans l'idolâtrie et la fornication, ce qui incitera la colère de Dieu et entraînera la destruction.</w:t>
      </w:r>
    </w:p>
    <w:p>
      <w:r/>
      <w:r>
        <w:t>Dans d'autres épîtres pauliniennes, l'idolâtrie est mentionnée, mais pas avec le type de définition et de discussion approfondie que l'on retrouve dans 1 Corinthiens. Néanmoins, Paul s'exprime contre l'idolâtrie réelle et ce que nous pourrions appeler l'idolâtrie figurative (c'est-à-dire l'idolâtrie dans le sens de désirer quelque chose au-dessus de Dieu).</w:t>
      </w:r>
    </w:p>
    <w:p>
      <w:r/>
      <w:r>
        <w:t xml:space="preserve">Dans </w:t>
      </w:r>
      <w:hyperlink r:id="rId4449">
        <w:r>
          <w:rPr>
            <w:color w:val="0000EE"/>
            <w:u w:val="single"/>
          </w:rPr>
          <w:t>Romains 1.18–32</w:t>
        </w:r>
      </w:hyperlink>
      <w:r>
        <w:t>, la débauche sexuelle et d'autres péchés sont attribués, en dernière analyse, à l'idolâtrie. Les Gentils, qui auraient dû savoir que Dieu existait, comme en témoignent la création et la conscience, ont abandonné le Dieu immortel et invisible en échange d'images mortelles et visibles (c'est-à-dire des idoles). À cause de cet abandon, Dieu les a livrés à faire les choses impures que leurs cœurs désiraient (</w:t>
      </w:r>
      <w:hyperlink r:id="rId3102">
        <w:r>
          <w:rPr>
            <w:color w:val="0000EE"/>
            <w:u w:val="single"/>
          </w:rPr>
          <w:t>Rm 1.24</w:t>
        </w:r>
      </w:hyperlink>
      <w:r>
        <w:t xml:space="preserve">). Ainsi, l'idolâtrie est incluse dans la liste de Paul de ce qu'il appelle « les œuvres de la chair » (voir </w:t>
      </w:r>
      <w:hyperlink r:id="rId6656">
        <w:r>
          <w:rPr>
            <w:color w:val="0000EE"/>
            <w:u w:val="single"/>
          </w:rPr>
          <w:t>Ga 5.19–20</w:t>
        </w:r>
      </w:hyperlink>
      <w:r>
        <w:t xml:space="preserve">). Et les indolâtres sont inclus dans le catalogue de toutes ces personnes mauvaises qui n'hériteront pas du royaume de Dieu (voir </w:t>
      </w:r>
      <w:hyperlink r:id="rId362">
        <w:r>
          <w:rPr>
            <w:color w:val="0000EE"/>
            <w:u w:val="single"/>
          </w:rPr>
          <w:t>1Co 6.9</w:t>
        </w:r>
      </w:hyperlink>
      <w:r>
        <w:t>).</w:t>
      </w:r>
    </w:p>
    <w:p>
      <w:r/>
      <w:r>
        <w:t xml:space="preserve">Dans </w:t>
      </w:r>
      <w:hyperlink r:id="rId6657">
        <w:r>
          <w:rPr>
            <w:color w:val="0000EE"/>
            <w:u w:val="single"/>
          </w:rPr>
          <w:t>Éphésiens 5.5</w:t>
        </w:r>
      </w:hyperlink>
      <w:r>
        <w:t xml:space="preserve">, Paul inclut à nouveau les idolâtres parmi ceux qui n'hériteront pas du royaume de Dieu. Cependant, ces idolâtres ne sont pas seulement ceux qui vont dans les temples païens et adorent des idoles ; ce sont ceux qui sont avides ou cupides. Selon des preuves manuscrites supérieures, le verset dit : « </w:t>
      </w:r>
      <w:r>
        <w:t>aucun impudique, ou impur, ou cupide, c’est-à-dire, idolâtre, n’a d’héritage dans le royaume de Christ et de Dieu</w:t>
      </w:r>
      <w:r>
        <w:t xml:space="preserve">. » Le point semble être que la personne avide et cupide qui fait de ses désirs son dieu est très semblable à un idolâtre. Ainsi, la cupidité et l'idolâtrie sont rendues synonymes. Le passage parallèle, </w:t>
      </w:r>
      <w:hyperlink r:id="rId2341">
        <w:r>
          <w:rPr>
            <w:color w:val="0000EE"/>
            <w:u w:val="single"/>
          </w:rPr>
          <w:t>Colossiens 3.5</w:t>
        </w:r>
      </w:hyperlink>
      <w:r>
        <w:t>, rend cela explicite, disant littéralement que la cupidité est une idolâtrie.</w:t>
      </w:r>
    </w:p>
    <w:p>
      <w:r/>
      <w:r>
        <w:rPr>
          <w:i/>
        </w:rPr>
        <w:t>Voir aussi</w:t>
      </w:r>
      <w:r>
        <w:t xml:space="preserve"> </w:t>
      </w:r>
      <w:r>
        <w:t>Divinités et religion cananéennes</w:t>
      </w:r>
      <w:r>
        <w:t xml:space="preserve"> ; </w:t>
      </w:r>
      <w:r>
        <w:t>Dieux et déesses</w:t>
      </w:r>
      <w:r>
        <w:t xml:space="preserve"> ; </w:t>
      </w:r>
      <w:r>
        <w:t>Haut Lieu</w:t>
      </w:r>
      <w:r>
        <w:t>.</w:t>
      </w:r>
      <w:r/>
      <w:r/>
    </w:p>
    <w:p>
      <w:r/>
    </w:p>
    <w:p>
      <w:pPr>
        <w:pStyle w:val="Heading2"/>
      </w:pPr>
      <w:r>
        <w:t>Idumée, Idumée, Iduméens</w:t>
      </w:r>
      <w:r/>
    </w:p>
    <w:p>
      <w:r/>
      <w:r>
        <w:t>Terme dérivé de la forme grecque d'Édom (« rouge »). Le passage d'Édomite à Iduméen résulte des conquêtes d'Alexandre le Grand, qui ont fait du grec la langue commune de la région. Le nom a été appliqué à l'ancien pays des Édomites et à la partie sud de Juda occupée par les descendants d'Ésaü après que les Juifs ont été déportés à Babylone suite à la conquête par Nebucadnetsar en 586 av. J.‑C. Le pays connu sous le nom d'Idumée pendant la période intertestamentaire avait sa frontière nord à Bet-sur (Beth-Tsur), à quelques kilomètres au nord d'Hébron, et incluait une partie de la Shephelah (basse terre) s'étendant jusqu'à l'ancien pays philistin (</w:t>
      </w:r>
      <w:hyperlink r:id="rId6658">
        <w:r>
          <w:rPr>
            <w:color w:val="0000EE"/>
            <w:u w:val="single"/>
          </w:rPr>
          <w:t>1 M 4.15, 22, 61</w:t>
        </w:r>
      </w:hyperlink>
      <w:r>
        <w:t xml:space="preserve">; </w:t>
      </w:r>
      <w:hyperlink r:id="rId6659">
        <w:r>
          <w:rPr>
            <w:color w:val="0000EE"/>
            <w:u w:val="single"/>
          </w:rPr>
          <w:t>5.65</w:t>
        </w:r>
      </w:hyperlink>
      <w:r>
        <w:t>).</w:t>
      </w:r>
    </w:p>
    <w:p>
      <w:r/>
      <w:r>
        <w:t>D'abord connus sous le nom d'Édomites, puis de Nabatéens, et enfin d'Iduméens, les ancêtres des Iduméens remontent leur lignée jusqu'au frère aîné de Jacob, Ésaü, qui a été privé à la fois de son droit d'aînesse et de sa bénédiction (</w:t>
      </w:r>
      <w:hyperlink r:id="rId6660">
        <w:r>
          <w:rPr>
            <w:color w:val="0000EE"/>
            <w:u w:val="single"/>
          </w:rPr>
          <w:t>Gn 27.1–45</w:t>
        </w:r>
      </w:hyperlink>
      <w:r>
        <w:t>). Cela conduira à un conflit entre les enfants d'Israël et les descendants d'Ésaü tout au long de la période biblique.</w:t>
      </w:r>
    </w:p>
    <w:p>
      <w:r/>
      <w:r>
        <w:t>Il n'est donc pas surprenant que les Édomites se soient réjouis lorsque les Babyloniens ont conquis Israël. Les Édomites ont ensuite occupé le territoire laissé vacant par les Israélites après la soumission du royaume par les Babyloniens en 586 av. J.‑C.</w:t>
      </w:r>
    </w:p>
    <w:p>
      <w:r/>
      <w:r>
        <w:t>Aux alentours de 300 av. J.‑C., des tribus arabes envahiront et prendront la capitale édomite, Pétra, forçant les Édomites restants à se déplacer vers la région au sud de Juda, qui sera ensuite incluse dans ce qui était connu sous le nom d'Idumée. Les envahisseurs, connus sous le nom de Nabatéens, feront de Sela ou Pétra le centre de leur commerce caravanier, tant de l'orient vers l'ouest que du nord au sud. Ces commerçants du désert, désormais influencés par les idées grecques, transformeront le « cratère » en forme de bol de Pétra en une ville fantastique avec une concentration de temples, de tombes et de bâtiments taillés dans le grès rouge coloré de la région. En plus de créer la ville la plus unique au monde, les Nabatéens étaient d'excellents commerçants et agriculteurs. Comme le dit Josèphe, ils n'étaient pas belliqueux mais habiles dans le commerce, l'art et l'agriculture. Les Nabatéens créèrent la forteresse stratégique du désert d'Avdat, qui, avec Pétra, commandait les routes caravanières. Les Nabatéens prospèreront d'environ 100 av. J.‑C. à 100 apr. J.‑C., lorsque les Romains causeront progressivement leur déclin en modifiant les routes caravanières du sud de la mer Morte vers la région autour de Damas et Palmyre.</w:t>
      </w:r>
    </w:p>
    <w:p>
      <w:r/>
      <w:r>
        <w:t>Au cours de la période intertestamentaire, les Juifs connaîtront des altercations frontalières avec les Iduméens. Hébron sera capturée par Judas Maccabée (</w:t>
      </w:r>
      <w:hyperlink r:id="rId6659">
        <w:r>
          <w:rPr>
            <w:color w:val="0000EE"/>
            <w:u w:val="single"/>
          </w:rPr>
          <w:t>1 M 5.65</w:t>
        </w:r>
      </w:hyperlink>
      <w:r>
        <w:t>). Jean Hyrcan contraindra les Iduméens à devenir Juifs et à se soumettre à la circoncision. Le gouverneur d'Idumée, Antipater, qui avait été nommé procurateur de Judée par Jules César, était un Iduméen. Antipater désignera son fils Hérode comme gouverneur de Galilée. Cela ouvrira la voie à Hérode pour devenir roi de Judée, sous le titre d'Hérode le Grand. Avec la conquête de la Judée par les Romains, d'abord en 70 apr. J.‑C., puis plus tard en 135 apr. J.‑C., l'Idumée disparaîtra de l'histoire. Ce n'est que ces dernières années que les archéologues ont commencé à découvrir certains des secrets des Iduméens et des Nabatéens, leurs conquérants.</w:t>
      </w:r>
    </w:p>
    <w:p>
      <w:r/>
      <w:r>
        <w:rPr>
          <w:i/>
        </w:rPr>
        <w:t>Voir aussi</w:t>
      </w:r>
      <w:r>
        <w:t xml:space="preserve"> </w:t>
      </w:r>
      <w:r>
        <w:t>Édom, Édomites</w:t>
      </w:r>
      <w:r>
        <w:t xml:space="preserve"> ; </w:t>
      </w:r>
      <w:r>
        <w:t>Judaïsme</w:t>
      </w:r>
      <w:r>
        <w:t>.</w:t>
      </w:r>
      <w:r/>
      <w:r/>
    </w:p>
    <w:p>
      <w:r/>
    </w:p>
    <w:p>
      <w:pPr>
        <w:pStyle w:val="Heading2"/>
      </w:pPr>
      <w:r>
        <w:t>Illyrie</w:t>
      </w:r>
      <w:r/>
    </w:p>
    <w:p>
      <w:r/>
      <w:r>
        <w:t>Province romaine située au nord-ouest de la Macédoine. Au sommet de l'Empire romain (vers 117 apr. J.‑C.), lorsqu'elle incluait la Dalmatie, l'Illyrie était délimitée par la mer Adriatique à l'ouest, par les provinces de Pannonie au nord, par la Mésie supérieure à l'est et par la Macédoine au sud. Aujourd'hui, la Slovénie, la Croatie, la Bosnie et la Yougoslavie occupent ce territoire.</w:t>
      </w:r>
    </w:p>
    <w:p>
      <w:r/>
      <w:r>
        <w:t>Tout au long du 6e siècle avant J.‑C., le peuple d'Illyrie a fait la guerre aux Macédoniens, jusqu'à ce que le souverain macédonien Philippe II les démette en 359 av. J.‑C. Au cours du 3e siècle av. J.‑C., leurs actes de piraterie contre les navires grecs et romains ont conduit à une guerre avec Rome qui a continué par intermittence pendant 60 ans (229–168 av. J.‑C.). Après une série de révoltes et une domination romaine sporadique, l'Illyrie a été officiellement intégrée à l'empire en l'an 11 av. J.‑C. et renommée Dalmatie. Il a fallu encore 20 ans pour que le peuple soit pleinement intégré à la culture romaine.</w:t>
      </w:r>
    </w:p>
    <w:p>
      <w:r/>
      <w:r>
        <w:t>En 229 av. J.‑C., l'historien romain Polybe a déclaré que « les Illyriens n'étaient pas les ennemis de tel ou tel peuple, mais étaient les ennemis communs de tous ». Plus tard, Strabon, un géographe grec du 1er siècle, décrivait encore le peuple d'Illyrie comme sauvage et rapace.</w:t>
      </w:r>
    </w:p>
    <w:p>
      <w:r/>
      <w:r>
        <w:t>La seule référence à l'Illyrie dans le Nouveau Testament se trouve dans la déclaration de l'apôtre Paul, selon laquelle il avait prêché l'Évangile de Jérusalem jusqu'en Illyrie (</w:t>
      </w:r>
      <w:hyperlink r:id="rId6661">
        <w:r>
          <w:rPr>
            <w:color w:val="0000EE"/>
            <w:u w:val="single"/>
          </w:rPr>
          <w:t>Rm 15.19</w:t>
        </w:r>
      </w:hyperlink>
      <w:r>
        <w:t>). Bien que les Actes ne documentent pas un ministère dans cette région, Paul a peut-être visité l'Illyrie lors de sa visite en Macédoine et en Achaïe, juste avant de retourner à Jérusalem (</w:t>
      </w:r>
      <w:hyperlink r:id="rId6662">
        <w:r>
          <w:rPr>
            <w:color w:val="0000EE"/>
            <w:u w:val="single"/>
          </w:rPr>
          <w:t>Ac 20.1–2</w:t>
        </w:r>
      </w:hyperlink>
      <w:r>
        <w:t>). Paul a exprimé le désir de poursuivre son ministère en Espagne, un environnement totalement latin (</w:t>
      </w:r>
      <w:hyperlink r:id="rId6663">
        <w:r>
          <w:rPr>
            <w:color w:val="0000EE"/>
            <w:u w:val="single"/>
          </w:rPr>
          <w:t>Rm 15.28</w:t>
        </w:r>
      </w:hyperlink>
      <w:r>
        <w:t>) ; en Illyrie, il aurait eu sa première expérience dans une culture plus latine que grecque.</w:t>
      </w:r>
    </w:p>
    <w:p>
      <w:r/>
      <w:r>
        <w:rPr>
          <w:i/>
        </w:rPr>
        <w:t>Voir aussi</w:t>
      </w:r>
      <w:r>
        <w:t xml:space="preserve"> </w:t>
      </w:r>
      <w:r>
        <w:t>Dalmatie</w:t>
      </w:r>
      <w:r>
        <w:t>.</w:t>
      </w:r>
      <w:r/>
      <w:r/>
    </w:p>
    <w:p>
      <w:r/>
    </w:p>
    <w:p>
      <w:pPr>
        <w:pStyle w:val="Heading2"/>
      </w:pPr>
      <w:r>
        <w:t>Image de Dieu</w:t>
      </w:r>
      <w:r/>
    </w:p>
    <w:p>
      <w:r/>
      <w:r>
        <w:t>L'expression « image de Dieu » signifie que les êtres humains reflètent la nature de Dieu de manière particulière. Nous ne pouvons pas évoquer d'aspect plus important à propos de la dignité et l'essence de l'humanité d'un point de vue chrétien. Parmi toutes les créatures, seuls les humains ressemblent à Dieu de telle sorte à pouvoir entretenir une relation proche avec Lui.</w:t>
      </w:r>
    </w:p>
    <w:p>
      <w:pPr>
        <w:pStyle w:val="Heading3"/>
      </w:pPr>
      <w:r>
        <w:t>La Création Originelle</w:t>
      </w:r>
    </w:p>
    <w:p>
      <w:r/>
      <w:r>
        <w:t xml:space="preserve">Dieu a élu bon de créer les hommes et les femmes à son image. La Bible l'enseigne dans </w:t>
      </w:r>
      <w:hyperlink r:id="rId3482">
        <w:r>
          <w:rPr>
            <w:color w:val="0000EE"/>
            <w:u w:val="single"/>
          </w:rPr>
          <w:t>Genèse 1.26–27</w:t>
        </w:r>
      </w:hyperlink>
      <w:r>
        <w:t>, lorsque Dieu emploie deux mots pour décrire en quoi les humains seraient comme lui : « image » et « ressemblance ». Ces deux termes ont une signification quasi identique. Dieu a également donné aux humains l'autorité de prendre soin des animaux.</w:t>
      </w:r>
    </w:p>
    <w:p>
      <w:r/>
      <w:hyperlink r:id="rId233">
        <w:r>
          <w:rPr>
            <w:color w:val="0000EE"/>
            <w:u w:val="single"/>
          </w:rPr>
          <w:t>Genèse 2.7</w:t>
        </w:r>
      </w:hyperlink>
      <w:r>
        <w:t xml:space="preserve"> indique clairement que Dieu a fait du premier humain un être vivant. Ce passage ne décrit pas les humains se développant à partir de créatures vivantes antérieures. Il ne suggère pas non plus que l'image de Dieu a évolué à partir d'une forme de vie inférieure. Dès le moment où Dieu a créé le premier homme et la première femme, ils reflétaient l'image de Dieu. Les hommes et les femmes partagent également cette ressemblance spéciale avec Dieu (</w:t>
      </w:r>
      <w:hyperlink r:id="rId4266">
        <w:r>
          <w:rPr>
            <w:color w:val="0000EE"/>
            <w:u w:val="single"/>
          </w:rPr>
          <w:t>Gn 1.27</w:t>
        </w:r>
      </w:hyperlink>
      <w:r>
        <w:t>).</w:t>
      </w:r>
    </w:p>
    <w:p>
      <w:r/>
      <w:r>
        <w:t>D'autres passages évoquent des personnes créées à l'image de Dieu :</w:t>
      </w:r>
    </w:p>
    <w:p>
      <w:pPr>
        <w:pStyle w:val="ListBullet"/>
        <w:spacing w:line="240" w:lineRule="auto"/>
        <w:ind w:left="720"/>
      </w:pPr>
      <w:r/>
      <w:hyperlink r:id="rId5968">
        <w:r>
          <w:rPr>
            <w:color w:val="0000EE"/>
            <w:u w:val="single"/>
          </w:rPr>
          <w:t>Genèse 5.1</w:t>
        </w:r>
      </w:hyperlink>
    </w:p>
    <w:p>
      <w:pPr>
        <w:pStyle w:val="ListBullet"/>
        <w:spacing w:line="240" w:lineRule="auto"/>
        <w:ind w:left="720"/>
      </w:pPr>
      <w:r/>
      <w:hyperlink r:id="rId6664">
        <w:r>
          <w:rPr>
            <w:color w:val="0000EE"/>
            <w:u w:val="single"/>
          </w:rPr>
          <w:t>Genèse 9.6</w:t>
        </w:r>
      </w:hyperlink>
    </w:p>
    <w:p>
      <w:pPr>
        <w:pStyle w:val="ListBullet"/>
        <w:spacing w:line="240" w:lineRule="auto"/>
        <w:ind w:left="720"/>
      </w:pPr>
      <w:r/>
      <w:hyperlink r:id="rId6665">
        <w:r>
          <w:rPr>
            <w:color w:val="0000EE"/>
            <w:u w:val="single"/>
          </w:rPr>
          <w:t>1 Corinthiens 11.7</w:t>
        </w:r>
      </w:hyperlink>
    </w:p>
    <w:p>
      <w:pPr>
        <w:pStyle w:val="ListBullet"/>
        <w:spacing w:line="240" w:lineRule="auto"/>
        <w:ind w:left="720"/>
      </w:pPr>
      <w:r/>
      <w:hyperlink r:id="rId6666">
        <w:r>
          <w:rPr>
            <w:color w:val="0000EE"/>
            <w:u w:val="single"/>
          </w:rPr>
          <w:t>Jacques 3.9</w:t>
        </w:r>
      </w:hyperlink>
    </w:p>
    <w:p>
      <w:r/>
      <w:hyperlink r:id="rId318">
        <w:r>
          <w:rPr>
            <w:color w:val="0000EE"/>
            <w:u w:val="single"/>
          </w:rPr>
          <w:t>Éphésiens 4.24</w:t>
        </w:r>
      </w:hyperlink>
      <w:r>
        <w:t xml:space="preserve"> et </w:t>
      </w:r>
      <w:hyperlink r:id="rId6667">
        <w:r>
          <w:rPr>
            <w:color w:val="0000EE"/>
            <w:u w:val="single"/>
          </w:rPr>
          <w:t>Colossiens 3.10</w:t>
        </w:r>
      </w:hyperlink>
      <w:r>
        <w:t xml:space="preserve"> se réfèrent à la recréation rédemptrice de l'humanité (à travers Jésus, l'humanité est restaurée ou renouvelée d'une manière qui reflète l'intention originale de Dieu pour la création). Ces passages sont également importants pour comprendre la ressemblance originale de l'humanité avec Dieu. Même si la Bible ne mentionne pas souvent cette idée, elle est très importante. Elle a une influence tout-englobante dans la relation entre Dieu et les humains.</w:t>
      </w:r>
    </w:p>
    <w:p>
      <w:pPr>
        <w:pStyle w:val="Heading3"/>
      </w:pPr>
      <w:r>
        <w:t>Qu'est-ce qui rend les humains uniques ?</w:t>
      </w:r>
    </w:p>
    <w:p>
      <w:r/>
      <w:r>
        <w:t>Seuls les humains sont faits à l'image de Dieu (</w:t>
      </w:r>
      <w:hyperlink r:id="rId2644">
        <w:r>
          <w:rPr>
            <w:color w:val="0000EE"/>
            <w:u w:val="single"/>
          </w:rPr>
          <w:t>Gn 1</w:t>
        </w:r>
      </w:hyperlink>
      <w:r>
        <w:t>). Les animaux, les poissons et les oiseaux n'ont pas cette qualité spéciale. Certains théologiens pensent que les anges sont également faits à l'image de Dieu parce qu'ils sont moralement bons, mais la Bible ne nous le dit pas directement.</w:t>
      </w:r>
    </w:p>
    <w:p>
      <w:r/>
      <w:r>
        <w:t xml:space="preserve">Les humains sont faits de la poussière du sol, ce qui signifie que nous partageons certaines caractéristiques avec la terre et d'autres créatures vivantes. Nos corps fonctionnent de manière similaire à ceux des animaux. Cependant, les humains sont uniques à tous égards. La personne entière (pas seulement une partie) est faite à l'image de Dieu. Le concept biblique ne laisse pas entendre que l'image soit </w:t>
      </w:r>
      <w:r>
        <w:rPr>
          <w:i/>
        </w:rPr>
        <w:t>dans</w:t>
      </w:r>
      <w:r>
        <w:t xml:space="preserve"> l'homme et la femme, mais plutôt que l'homme et la femme </w:t>
      </w:r>
      <w:r>
        <w:rPr>
          <w:i/>
        </w:rPr>
        <w:t>sont</w:t>
      </w:r>
      <w:r>
        <w:t xml:space="preserve"> l'image de Dieu.</w:t>
      </w:r>
    </w:p>
    <w:p>
      <w:pPr>
        <w:pStyle w:val="Heading3"/>
      </w:pPr>
      <w:r>
        <w:t>Comment les humains reflètent-ils l'image de Dieu ?</w:t>
      </w:r>
    </w:p>
    <w:p>
      <w:r/>
      <w:r>
        <w:t xml:space="preserve">Le rapport entre l'humanité et la terre est le plus évident dans le corps humain. Ainsi, nous comprenons également que les humains reflètent l'image de Dieu dans notre nature spirituelle. Nous avons la capacité de penser, de faire des choix et d'assumer la responsabilité de nos actes. Ces capacités nous distinguent des animaux et montrent en quoi nous ressemblons à Dieu. Alors que les animaux existent parce que Dieu les a créés, les humains entretiennent une relation spéciale avec Dieu. Les animaux tirent leur existence </w:t>
      </w:r>
      <w:r>
        <w:rPr>
          <w:i/>
        </w:rPr>
        <w:t>de</w:t>
      </w:r>
      <w:r>
        <w:t xml:space="preserve"> Dieu, mais les humains trouvent leur être </w:t>
      </w:r>
      <w:r>
        <w:rPr>
          <w:i/>
        </w:rPr>
        <w:t>en</w:t>
      </w:r>
      <w:r>
        <w:t xml:space="preserve"> Dieu. Les humains sont la « progéniture » de Dieu (</w:t>
      </w:r>
      <w:hyperlink r:id="rId6668">
        <w:r>
          <w:rPr>
            <w:color w:val="0000EE"/>
            <w:u w:val="single"/>
          </w:rPr>
          <w:t>Ac 17.28</w:t>
        </w:r>
      </w:hyperlink>
      <w:hyperlink r:id="rId3482">
        <w:r>
          <w:rPr>
            <w:color w:val="0000EE"/>
            <w:u w:val="single"/>
          </w:rPr>
          <w:t>–</w:t>
        </w:r>
      </w:hyperlink>
      <w:hyperlink r:id="rId6668">
        <w:r>
          <w:rPr>
            <w:color w:val="0000EE"/>
            <w:u w:val="single"/>
          </w:rPr>
          <w:t>29</w:t>
        </w:r>
      </w:hyperlink>
      <w:r>
        <w:t>).</w:t>
      </w:r>
    </w:p>
    <w:p>
      <w:r/>
      <w:hyperlink r:id="rId318">
        <w:r>
          <w:rPr>
            <w:color w:val="0000EE"/>
            <w:u w:val="single"/>
          </w:rPr>
          <w:t>Éphésiens 4.24</w:t>
        </w:r>
      </w:hyperlink>
      <w:r>
        <w:t xml:space="preserve"> et </w:t>
      </w:r>
      <w:hyperlink r:id="rId6667">
        <w:r>
          <w:rPr>
            <w:color w:val="0000EE"/>
            <w:u w:val="single"/>
          </w:rPr>
          <w:t>Colossiens 3.10</w:t>
        </w:r>
      </w:hyperlink>
      <w:r>
        <w:t xml:space="preserve"> nous montrent un autre aspect importante de cette réalité de la création en image de Dieu. Ces versets expliquent comment Dieu renouvelle les croyants en restaurant son image en eux. Cela se produit en leur donnant :</w:t>
      </w:r>
    </w:p>
    <w:p>
      <w:pPr>
        <w:pStyle w:val="ListBullet"/>
        <w:spacing w:line="240" w:lineRule="auto"/>
        <w:ind w:left="720"/>
      </w:pPr>
      <w:r/>
      <w:r>
        <w:t>justice (le fait d'agir avec équité),</w:t>
      </w:r>
    </w:p>
    <w:p>
      <w:pPr>
        <w:pStyle w:val="ListBullet"/>
        <w:spacing w:line="240" w:lineRule="auto"/>
        <w:ind w:left="720"/>
      </w:pPr>
      <w:r/>
      <w:r>
        <w:t>sainteté (le fait d'être mis à part pour Dieu), et</w:t>
      </w:r>
    </w:p>
    <w:p>
      <w:pPr>
        <w:pStyle w:val="ListBullet"/>
        <w:spacing w:line="240" w:lineRule="auto"/>
        <w:ind w:left="720"/>
      </w:pPr>
      <w:r/>
      <w:r>
        <w:t>véritable connaissance de Dieu.</w:t>
      </w:r>
    </w:p>
    <w:p>
      <w:r/>
      <w:r>
        <w:t>En d'autres termes, Paul explique que lorsque Dieu nous rachète, il nous recrée pour que l'on soit semblable à Jésus. Jésus reflète parfaitement l'image de Dieu sans aucun péché. Lorsque les humains ont péché pour la première fois, le péché a altéré l'image de Dieu en nous. Cependant, à travers le salut, Dieu s'efforce de restaurer cette image. Alors qu'Éphésiens et Colossiens nous parlent de ce renouvellement vers l'image de Dieu, d'autres parties de la Bible expliquent davantage comment Jésus contribue à rendre cela possible.</w:t>
      </w:r>
    </w:p>
    <w:p>
      <w:pPr>
        <w:pStyle w:val="Heading3"/>
      </w:pPr>
      <w:r>
        <w:t>Jésus et l’image de Dieu</w:t>
      </w:r>
    </w:p>
    <w:p>
      <w:r/>
      <w:r>
        <w:t>Jésus-Christ est l'image parfaite de Dieu (</w:t>
      </w:r>
      <w:hyperlink r:id="rId6669">
        <w:r>
          <w:rPr>
            <w:color w:val="0000EE"/>
            <w:u w:val="single"/>
          </w:rPr>
          <w:t>2Co 4.4</w:t>
        </w:r>
      </w:hyperlink>
      <w:r>
        <w:t xml:space="preserve"> ; </w:t>
      </w:r>
      <w:hyperlink r:id="rId6670">
        <w:r>
          <w:rPr>
            <w:color w:val="0000EE"/>
            <w:u w:val="single"/>
          </w:rPr>
          <w:t>Col 1.15</w:t>
        </w:r>
      </w:hyperlink>
      <w:r>
        <w:t xml:space="preserve"> ; </w:t>
      </w:r>
      <w:hyperlink r:id="rId1332">
        <w:r>
          <w:rPr>
            <w:color w:val="0000EE"/>
            <w:u w:val="single"/>
          </w:rPr>
          <w:t>Hé 1.3</w:t>
        </w:r>
      </w:hyperlink>
      <w:r>
        <w:t>). Cela est souvent compris comme une référence à la divinité de Jésus (être comme Dieu). En voyant Jésus, nous voyons à quoi ressemble Dieu le Père (</w:t>
      </w:r>
      <w:hyperlink r:id="rId6671">
        <w:r>
          <w:rPr>
            <w:color w:val="0000EE"/>
            <w:u w:val="single"/>
          </w:rPr>
          <w:t>Jn 14.9</w:t>
        </w:r>
      </w:hyperlink>
      <w:r>
        <w:t>). Cependant, dans ces passages, Jésus est désigné à la fois comme Dieu et comme humain (il s'agit de l'incarnation, c.-à-d. que Dieu prend forme humaine). En tant qu'humain parfait, Jésus nous montre pleinement ce que Dieu voulait que tous les humains soient, en commençant par le premier humain, Adam. Voilà pourquoi Jésus est appelé le « dernier Adam ». Il a parfaitement accompli le plan original de Dieu pour l'humanité.</w:t>
      </w:r>
    </w:p>
    <w:p>
      <w:r/>
      <w:r>
        <w:t>En tant que dernier Adam et Médiateur de la nouvelle alliance, Jésus aide ses disciples à devenir plus semblables à lui (</w:t>
      </w:r>
      <w:hyperlink r:id="rId314">
        <w:r>
          <w:rPr>
            <w:color w:val="0000EE"/>
            <w:u w:val="single"/>
          </w:rPr>
          <w:t>Rm 8.29</w:t>
        </w:r>
      </w:hyperlink>
      <w:r>
        <w:t>). Bien qu'il ait été parfait, il est devenu comme nous à tous égards, sauf dans le péché. Il a fait cela pour pouvoir ôter notre péché et nous aider à refléter sa propre gloire. Le Saint-Esprit agit dans les croyants pour les rendre de plus en plus semblables à Jésus (</w:t>
      </w:r>
      <w:hyperlink r:id="rId316">
        <w:r>
          <w:rPr>
            <w:color w:val="0000EE"/>
            <w:u w:val="single"/>
          </w:rPr>
          <w:t>2Co 3.18</w:t>
        </w:r>
      </w:hyperlink>
      <w:r>
        <w:t>). Le croyant doit se « revêt[ir] du Seigneur Jésus-Christ » (</w:t>
      </w:r>
      <w:hyperlink r:id="rId3105">
        <w:r>
          <w:rPr>
            <w:color w:val="0000EE"/>
            <w:u w:val="single"/>
          </w:rPr>
          <w:t>Rm 13.14</w:t>
        </w:r>
      </w:hyperlink>
      <w:r>
        <w:t xml:space="preserve"> ; </w:t>
      </w:r>
      <w:hyperlink r:id="rId6672">
        <w:r>
          <w:rPr>
            <w:color w:val="0000EE"/>
            <w:u w:val="single"/>
          </w:rPr>
          <w:t>Gal 3.27</w:t>
        </w:r>
      </w:hyperlink>
      <w:r>
        <w:t xml:space="preserve"> ; comp. </w:t>
      </w:r>
      <w:hyperlink r:id="rId318">
        <w:r>
          <w:rPr>
            <w:color w:val="0000EE"/>
            <w:u w:val="single"/>
          </w:rPr>
          <w:t>Ep 4.24</w:t>
        </w:r>
      </w:hyperlink>
      <w:r>
        <w:t xml:space="preserve"> ; </w:t>
      </w:r>
      <w:hyperlink r:id="rId6667">
        <w:r>
          <w:rPr>
            <w:color w:val="0000EE"/>
            <w:u w:val="single"/>
          </w:rPr>
          <w:t>Col 3.10</w:t>
        </w:r>
      </w:hyperlink>
      <w:r>
        <w:t>, « l'homme nouveau » à l'image de Dieu). Cette action est également décrite comme Christ « formé » dans le croyant (</w:t>
      </w:r>
      <w:hyperlink r:id="rId6673">
        <w:r>
          <w:rPr>
            <w:color w:val="0000EE"/>
            <w:u w:val="single"/>
          </w:rPr>
          <w:t>Gal 4.19</w:t>
        </w:r>
      </w:hyperlink>
      <w:r>
        <w:t>).</w:t>
      </w:r>
    </w:p>
    <w:p>
      <w:r/>
      <w:r>
        <w:t>Ce processus selon lequel nous devenons comme Jésus (appelé sanctification) se poursuit tout au long de la vie d'un croyant. Il ne sera pleinement achevé que lorsque le Christ reviendra et ressuscitera les croyants d'entre les morts. À ce moment-là, même nos corps physiques seront transformés pour être semblables au corps glorieux de Jésus (</w:t>
      </w:r>
      <w:hyperlink r:id="rId6674">
        <w:r>
          <w:rPr>
            <w:color w:val="0000EE"/>
            <w:u w:val="single"/>
          </w:rPr>
          <w:t>Ph 3.21</w:t>
        </w:r>
      </w:hyperlink>
      <w:r>
        <w:t>). Cette transformation finale nous rendra encore plus glorieux que lorsque Dieu a créé les humains à son image au commencement. Comme le dit la Bible, nous échangerons notre image terrestre pour une image céleste (</w:t>
      </w:r>
      <w:hyperlink r:id="rId315">
        <w:r>
          <w:rPr>
            <w:color w:val="0000EE"/>
            <w:u w:val="single"/>
          </w:rPr>
          <w:t>1Co 15.49</w:t>
        </w:r>
      </w:hyperlink>
      <w:r>
        <w:t>).</w:t>
      </w:r>
    </w:p>
    <w:p>
      <w:r/>
      <w:r>
        <w:rPr>
          <w:i/>
        </w:rPr>
        <w:t>Voir aussi</w:t>
      </w:r>
      <w:r>
        <w:t xml:space="preserve"> </w:t>
      </w:r>
      <w:r>
        <w:t>Homme</w:t>
      </w:r>
      <w:r>
        <w:t xml:space="preserve"> ; </w:t>
      </w:r>
      <w:r>
        <w:t>Femme</w:t>
      </w:r>
      <w:r>
        <w:t>.</w:t>
      </w:r>
      <w:r/>
      <w:r/>
    </w:p>
    <w:p>
      <w:r/>
    </w:p>
    <w:p>
      <w:pPr>
        <w:pStyle w:val="Heading2"/>
      </w:pPr>
      <w:r>
        <w:t>Impôts et tributs</w:t>
      </w:r>
      <w:r/>
    </w:p>
    <w:p>
      <w:r/>
      <w:r>
        <w:t>Les impôts et les tributs étaient de l'argent ou des biens que les autorités de certaines nations faisaient payer au peuple qui vivait en leur sein, ou à d'autres nations. Les tributs étaient habituellement payés en or, en argent, en bétail, en produits agricoles ou en travail forcé. Les rois et les sacrificateurs d'Israël prélevaient aussi des impôts pour l'entretien du Temple.</w:t>
      </w:r>
    </w:p>
    <w:p>
      <w:r/>
      <w:r>
        <w:t xml:space="preserve">Le terme « tribut » est mentionné pour la première fois dans la Bible dans </w:t>
      </w:r>
      <w:hyperlink r:id="rId6675">
        <w:r>
          <w:rPr>
            <w:color w:val="0000EE"/>
            <w:u w:val="single"/>
          </w:rPr>
          <w:t>Genèse 49.15</w:t>
        </w:r>
      </w:hyperlink>
      <w:r>
        <w:t xml:space="preserve">. Dans ce passage, il pourrait s'agir de travail forcé. Dans </w:t>
      </w:r>
      <w:hyperlink r:id="rId6676">
        <w:r>
          <w:rPr>
            <w:color w:val="0000EE"/>
            <w:u w:val="single"/>
          </w:rPr>
          <w:t>Nombres 31.28</w:t>
        </w:r>
      </w:hyperlink>
      <w:r>
        <w:t>, un prélèvement est fait sur le butin de guerre pour payer un tribut à l'Éternel (tribut qui est présenté aux sacrificateurs). Dans l'Ancien Testament (AT), les Hébreux payaient un tribut pour le Temple comme offrande volontaire au Seigneur (</w:t>
      </w:r>
      <w:hyperlink r:id="rId6677">
        <w:r>
          <w:rPr>
            <w:color w:val="0000EE"/>
            <w:u w:val="single"/>
          </w:rPr>
          <w:t>Dt 16.10</w:t>
        </w:r>
      </w:hyperlink>
      <w:r>
        <w:t>). Pendant la période du Nouveau Testament (NT), cette taxe était devenue obligatoire (</w:t>
      </w:r>
      <w:hyperlink r:id="rId2384">
        <w:r>
          <w:rPr>
            <w:color w:val="0000EE"/>
            <w:u w:val="single"/>
          </w:rPr>
          <w:t>Mt 17.24</w:t>
        </w:r>
      </w:hyperlink>
      <w:r>
        <w:t>).</w:t>
      </w:r>
    </w:p>
    <w:p>
      <w:pPr>
        <w:pStyle w:val="Heading4"/>
      </w:pPr>
      <w:r>
        <w:t>Impôts, tributs et des taxes dans l'Antiquité</w:t>
      </w:r>
    </w:p>
    <w:p>
      <w:r/>
      <w:r>
        <w:t xml:space="preserve">Déjà en 2500 </w:t>
      </w:r>
      <w:r>
        <w:t>av. J.‑C.</w:t>
      </w:r>
      <w:r>
        <w:t>, la cité-État de Lagash en Mésopotamie percevait des impôts qui touchaient beaucoup de domaines de la vie quotidienne : le revenu, le mariage, le divorce et la mort. Les Sumériens croyaient que le pays appartenait à leur dieu et à leur roi. Ils devaient donc payer un loyer ou une taxe.</w:t>
      </w:r>
    </w:p>
    <w:p>
      <w:r/>
      <w:r>
        <w:t>En Égypte, Joseph impose une taxe de 20 % sur la récolte de grain pendant les sept années d'abondance qui précèdent la famine annoncée par le rêve de pharaon. Ce prélèvement permet de préparer des provisions pour faire face aux sept années de famine à suivre (</w:t>
      </w:r>
      <w:hyperlink r:id="rId6678">
        <w:r>
          <w:rPr>
            <w:color w:val="0000EE"/>
            <w:u w:val="single"/>
          </w:rPr>
          <w:t>Gn 41.25–42.5</w:t>
        </w:r>
      </w:hyperlink>
      <w:r>
        <w:t>). Plus tard, les Égyptiens vendent leurs terres au pharaon et la taxe de 20% de la récolte devient permanente (</w:t>
      </w:r>
      <w:hyperlink r:id="rId4579">
        <w:r>
          <w:rPr>
            <w:color w:val="0000EE"/>
            <w:u w:val="single"/>
          </w:rPr>
          <w:t>Gn 47.13–26</w:t>
        </w:r>
      </w:hyperlink>
      <w:r>
        <w:t>). Le peuple cultivait les terres et payait ce prélèvement comme prix de location au pharaon, propriétaire des terres.</w:t>
      </w:r>
    </w:p>
    <w:p>
      <w:pPr>
        <w:pStyle w:val="Heading4"/>
      </w:pPr>
      <w:r>
        <w:t>Impôts et tributs en Israël avant l'exil</w:t>
      </w:r>
    </w:p>
    <w:p>
      <w:r/>
      <w:r>
        <w:t>Les rois guerriers comme David alimentaient le revenu du trésor national sans taxer leur propre peuple. Le butin et les tributs prélevés sur les peuples conquis (p. ex. les Cananéens) étaient une source de revenu principale (</w:t>
      </w:r>
      <w:hyperlink r:id="rId6679">
        <w:r>
          <w:rPr>
            <w:color w:val="0000EE"/>
            <w:u w:val="single"/>
          </w:rPr>
          <w:t xml:space="preserve">2S 8.6–14 </w:t>
        </w:r>
      </w:hyperlink>
      <w:r>
        <w:t xml:space="preserve">; </w:t>
      </w:r>
      <w:hyperlink r:id="rId3609">
        <w:r>
          <w:rPr>
            <w:color w:val="0000EE"/>
            <w:u w:val="single"/>
          </w:rPr>
          <w:t>1Ch 27.25–31</w:t>
        </w:r>
      </w:hyperlink>
      <w:r>
        <w:t>). Une des listes détaillant un tel tribut inclut quantité d'argent, d'or et de bronze, ainsi que 1 700 cavaliers et 20 000 fantassins. Les populations étrangères qui n'auraient pas dû rester en Israël après la conquête, mais qui l'ont fait, ont été utilisées comme force ouvrière au service de la nation (</w:t>
      </w:r>
      <w:hyperlink r:id="rId6680">
        <w:r>
          <w:rPr>
            <w:color w:val="0000EE"/>
            <w:u w:val="single"/>
          </w:rPr>
          <w:t xml:space="preserve">2S 20.24 </w:t>
        </w:r>
      </w:hyperlink>
      <w:r>
        <w:t xml:space="preserve">; </w:t>
      </w:r>
      <w:hyperlink r:id="rId6467">
        <w:r>
          <w:rPr>
            <w:color w:val="0000EE"/>
            <w:u w:val="single"/>
          </w:rPr>
          <w:t>1R 9.20–21</w:t>
        </w:r>
      </w:hyperlink>
      <w:r>
        <w:t>).</w:t>
      </w:r>
    </w:p>
    <w:p>
      <w:r/>
      <w:r>
        <w:t>Le peuple d'Israël a probablement été taxé pour la première fois sous le règne de Salomon. Des revenus étaient produits par les tributs de nations que son père David avait conquises, mais Salomon n'était pas un roi guerrier et n'a donc pas eu d'entrées de butin comme son père. Pour financer les besoins de la cour royale et ses grands projets de construction, Salomon a divisé Israël en 12 zones. Un intendant était responsable de chaque région et faisait envoyer le nécessaire à l'entretien de la maison du roi pendant un mois de l'année (</w:t>
      </w:r>
      <w:hyperlink r:id="rId6681">
        <w:r>
          <w:rPr>
            <w:color w:val="0000EE"/>
            <w:u w:val="single"/>
          </w:rPr>
          <w:t>1R 4.7</w:t>
        </w:r>
      </w:hyperlink>
      <w:r>
        <w:t>).</w:t>
      </w:r>
    </w:p>
    <w:p>
      <w:r/>
      <w:r>
        <w:t>Salomon obtenait également des revenus en taxant les caravanes de commerçants qui traversaient son royaume. De plus, tant les étrangers que les Israélites étaient contraints de travailler sur des projets majeurs, en particulier celui de la construction du Temple (</w:t>
      </w:r>
      <w:hyperlink r:id="rId6682">
        <w:r>
          <w:rPr>
            <w:color w:val="0000EE"/>
            <w:u w:val="single"/>
          </w:rPr>
          <w:t xml:space="preserve">1R 5.13 </w:t>
        </w:r>
      </w:hyperlink>
      <w:r>
        <w:t xml:space="preserve">; </w:t>
      </w:r>
      <w:hyperlink r:id="rId6467">
        <w:r>
          <w:rPr>
            <w:color w:val="0000EE"/>
            <w:u w:val="single"/>
          </w:rPr>
          <w:t xml:space="preserve">9.20–21 </w:t>
        </w:r>
      </w:hyperlink>
      <w:r>
        <w:t xml:space="preserve">; </w:t>
      </w:r>
      <w:hyperlink r:id="rId6683">
        <w:r>
          <w:rPr>
            <w:color w:val="0000EE"/>
            <w:u w:val="single"/>
          </w:rPr>
          <w:t>2Ch 8.7–8</w:t>
        </w:r>
      </w:hyperlink>
      <w:r>
        <w:t>). Toutefois, les ouvriers Israélites n'étaient envoyés travailler sur de tels projets que pendant des temps limités. Ils pouvaient alterner des périodes de travail pour le roi avec des périodes où ils pouvaient retourner chez eux. Des archéologues on découvert des poignées de jarres portant des tampons en hébreux qui disent « au roi ». Elles proviennent probablement de grandes jarres utilisées pour recueillir des biens faisant partie de prélèvements royaux (</w:t>
      </w:r>
      <w:hyperlink r:id="rId476">
        <w:r>
          <w:rPr>
            <w:color w:val="0000EE"/>
            <w:u w:val="single"/>
          </w:rPr>
          <w:t>2Ch 2.10</w:t>
        </w:r>
      </w:hyperlink>
      <w:r>
        <w:t>).</w:t>
      </w:r>
    </w:p>
    <w:p>
      <w:r/>
      <w:r>
        <w:t>Josaphat a lui aussi reçu des tributs d'Israël. Toutefois, ceux-ci étaient peut-être des contributions faites volontairement et non imposées (</w:t>
      </w:r>
      <w:hyperlink r:id="rId6684">
        <w:r>
          <w:rPr>
            <w:color w:val="0000EE"/>
            <w:u w:val="single"/>
          </w:rPr>
          <w:t>2Ch 17.5</w:t>
        </w:r>
      </w:hyperlink>
      <w:r>
        <w:t>). Il a continué la pratique de faire payer un tribut aux peuples voisins assujettis. Celui-ci comprenait de l'argent et de l'or de la part des Philistins, ainsi que 7 700 béliers et 7 700 boucs de la part des Arabes (</w:t>
      </w:r>
      <w:hyperlink r:id="rId6685">
        <w:r>
          <w:rPr>
            <w:color w:val="0000EE"/>
            <w:u w:val="single"/>
          </w:rPr>
          <w:t>2Ch 17.11–12</w:t>
        </w:r>
      </w:hyperlink>
      <w:r>
        <w:t xml:space="preserve">). </w:t>
      </w:r>
    </w:p>
    <w:p>
      <w:pPr>
        <w:pStyle w:val="Heading4"/>
      </w:pPr>
      <w:r>
        <w:t>Taxes et tributs aux puissances étrangères</w:t>
      </w:r>
    </w:p>
    <w:p>
      <w:r/>
      <w:r>
        <w:t xml:space="preserve">Cependant, la situation s'est inversée lorsque des empires voisins ont étendu leur influence sur Israël. Juda a été forcé de payer comme tribut une somme importante à Sanchérib, le roi d'Assyrie. Celui-ci a exigé 300 talents d'argent et 30 talents d'or, obligeant le roi </w:t>
      </w:r>
      <w:r>
        <w:t xml:space="preserve">Ézéchias a lui envoyer même </w:t>
      </w:r>
      <w:r>
        <w:t>l'or qui couvrait les portes du Temple (</w:t>
      </w:r>
      <w:hyperlink r:id="rId6686">
        <w:r>
          <w:rPr>
            <w:color w:val="0000EE"/>
            <w:u w:val="single"/>
          </w:rPr>
          <w:t>2R 18.14–16</w:t>
        </w:r>
      </w:hyperlink>
      <w:r>
        <w:t>). Plus tard, pharaon Néco a exigé de Juda une contribution de 100 talents d'argent et d'un talent d'or (</w:t>
      </w:r>
      <w:hyperlink r:id="rId6687">
        <w:r>
          <w:rPr>
            <w:color w:val="0000EE"/>
            <w:u w:val="single"/>
          </w:rPr>
          <w:t>2R 23.33</w:t>
        </w:r>
      </w:hyperlink>
      <w:r>
        <w:t>). Peu de temps après, Nebucadnetsar, le roi babylonien, a pris tous les trésors du Temple et du palais comme butin et emmené 10 000 captifs, des artisans et des forgerons, ne laissant que peu de gens, à part les pauvres, à Jérusalem (</w:t>
      </w:r>
      <w:hyperlink r:id="rId6688">
        <w:r>
          <w:rPr>
            <w:color w:val="0000EE"/>
            <w:u w:val="single"/>
          </w:rPr>
          <w:t>2R 24.13–16</w:t>
        </w:r>
      </w:hyperlink>
      <w:r>
        <w:t>).</w:t>
      </w:r>
    </w:p>
    <w:p>
      <w:r/>
      <w:r>
        <w:t>Les Perses ont mis en place un système de prélèvement régulier d'impôts et de taxes. Les satrapes (des gouverneurs provinciaux) étaient responsables des prélèvements et devaient verser des sommes fixes au trésor royal (</w:t>
      </w:r>
      <w:hyperlink r:id="rId6689">
        <w:r>
          <w:rPr>
            <w:color w:val="0000EE"/>
            <w:u w:val="single"/>
          </w:rPr>
          <w:t>Est 10.1</w:t>
        </w:r>
      </w:hyperlink>
      <w:r>
        <w:t>). Durant le règne d'Artaxerxès I, les Israélites de retour d'exil (sacrificateurs, Lévites et ceux qui travaillaient à reconstruire le temple de Jérusalem) ont été exemptés de tribut, d'impôt et de droit de passage (</w:t>
      </w:r>
      <w:hyperlink r:id="rId6690">
        <w:r>
          <w:rPr>
            <w:color w:val="0000EE"/>
            <w:u w:val="single"/>
          </w:rPr>
          <w:t>Esd 7.24</w:t>
        </w:r>
      </w:hyperlink>
      <w:r>
        <w:t xml:space="preserve">). Par ailleurs, les gouverneurs percevaient un tribut supplémentaire pour leur entretien. </w:t>
      </w:r>
      <w:hyperlink r:id="rId6691">
        <w:r>
          <w:rPr>
            <w:color w:val="0000EE"/>
            <w:u w:val="single"/>
          </w:rPr>
          <w:t xml:space="preserve">Néhémie 5.14–15 </w:t>
        </w:r>
      </w:hyperlink>
      <w:r>
        <w:t>mentionne que cela incluait du pain, du vin et 40 sicles d'argent. Le gouverneur juif Néhémie n'a pas prélevé ce tribut, car il trouvait que cela accablait le peuple. La vie n'était pas facile pour les Israélites revenus d'exil. Un certain nombre d'entre eux devaient emprunter de l'argent pour payer « le tribut du roi » en mettant leurs champs, leurs vignes et leurs maisons en garantie (voir Né 5.4). Cela signifiait que s'ils étaient incapables de rembourser ces prêts, ils pouvaient perdre leurs biens. Le roi perse Darius a permis aux Juifs d'utiliser l'argent des impôts royaux pour financer la reconstruction du temple de Jérusalem (</w:t>
      </w:r>
      <w:hyperlink r:id="rId6692">
        <w:r>
          <w:rPr>
            <w:color w:val="0000EE"/>
            <w:u w:val="single"/>
          </w:rPr>
          <w:t>Esd 6.7–10</w:t>
        </w:r>
      </w:hyperlink>
      <w:r>
        <w:t>).</w:t>
      </w:r>
    </w:p>
    <w:p>
      <w:r/>
      <w:r>
        <w:t>Dans les siècles qui ont suivi, Israël a été dominé par d'autres puissances étrangères. Le système de paiement d'impôts et de taxes a changé sous les Séleucides, les Ptolémées, puis les Romains. Les postes de collecteurs d'impôts étaient vendus aux plus offrants. Ceux qui occupaient ce poste prélevaient les impôts pour le roi, mais se servait aussi dans ce qu'ils prenaient du peuple. Cela les motivait à faire payer le maximum possible aux gens du peuple. Les Juifs payaient aussi des dîmes pour l'entretien du Temple, ainsi que des prélèvements allant jusqu'à un tiers des récoltes de grain et la moitié des récoltes de fruits. Ils payaient également des taxes sur leurs achats et leurs ventes, ainsi que des taxes fixes par personne.</w:t>
      </w:r>
    </w:p>
    <w:p>
      <w:pPr>
        <w:pStyle w:val="Heading4"/>
      </w:pPr>
      <w:r>
        <w:t>Jésus et la taxe du Temple</w:t>
      </w:r>
    </w:p>
    <w:p>
      <w:r/>
      <w:r>
        <w:t>En plus des taxes et impôts des puissances étrangères, les hommes Juifs du monde entier qui étaient âgés de 20 ans et plus payaient un demi-sicle annuellement pour contribuer aux dépenses du temple de Jérusalem (</w:t>
      </w:r>
      <w:hyperlink r:id="rId3714">
        <w:r>
          <w:rPr>
            <w:color w:val="0000EE"/>
            <w:u w:val="single"/>
          </w:rPr>
          <w:t>Ex 30.11–16</w:t>
        </w:r>
      </w:hyperlink>
      <w:r>
        <w:t xml:space="preserve">). Cette taxe a continué à être imposée même après la destruction du Temple en 70 </w:t>
      </w:r>
      <w:r>
        <w:t>apr. J.‑C.</w:t>
      </w:r>
      <w:r>
        <w:t xml:space="preserve"> Les adversaires de Jésus lui ont demandé s'il ne payait pas cette taxe (</w:t>
      </w:r>
      <w:hyperlink r:id="rId2384">
        <w:r>
          <w:rPr>
            <w:color w:val="0000EE"/>
            <w:u w:val="single"/>
          </w:rPr>
          <w:t>Mt 17.24-</w:t>
        </w:r>
      </w:hyperlink>
      <w:hyperlink r:id="rId6693">
        <w:r>
          <w:rPr>
            <w:color w:val="0000EE"/>
            <w:u w:val="single"/>
          </w:rPr>
          <w:t>25</w:t>
        </w:r>
      </w:hyperlink>
      <w:r>
        <w:t>), et s'il était permis pour un Juif de payer le tribut à César (</w:t>
      </w:r>
      <w:hyperlink r:id="rId6694">
        <w:r>
          <w:rPr>
            <w:color w:val="0000EE"/>
            <w:u w:val="single"/>
          </w:rPr>
          <w:t xml:space="preserve">Mt 22.17 </w:t>
        </w:r>
      </w:hyperlink>
      <w:r>
        <w:t xml:space="preserve">; </w:t>
      </w:r>
      <w:hyperlink r:id="rId6695">
        <w:r>
          <w:rPr>
            <w:color w:val="0000EE"/>
            <w:u w:val="single"/>
          </w:rPr>
          <w:t xml:space="preserve">Mc 12.14–15 </w:t>
        </w:r>
      </w:hyperlink>
      <w:r>
        <w:t xml:space="preserve">; </w:t>
      </w:r>
      <w:hyperlink r:id="rId6696">
        <w:r>
          <w:rPr>
            <w:color w:val="0000EE"/>
            <w:u w:val="single"/>
          </w:rPr>
          <w:t>Lc 20.22</w:t>
        </w:r>
      </w:hyperlink>
      <w:r>
        <w:t>). La réponse de Jésus à cette dernière question est célèbre : « Rendez à César ce qui est à César, et à Dieu ce qui est à Dieu » (</w:t>
      </w:r>
      <w:hyperlink r:id="rId6697">
        <w:r>
          <w:rPr>
            <w:color w:val="0000EE"/>
            <w:u w:val="single"/>
          </w:rPr>
          <w:t xml:space="preserve">Mt 22.21 </w:t>
        </w:r>
      </w:hyperlink>
      <w:r>
        <w:t xml:space="preserve">; </w:t>
      </w:r>
      <w:hyperlink r:id="rId6698">
        <w:r>
          <w:rPr>
            <w:color w:val="0000EE"/>
            <w:u w:val="single"/>
          </w:rPr>
          <w:t xml:space="preserve">Mc 12.17 </w:t>
        </w:r>
      </w:hyperlink>
      <w:r>
        <w:t xml:space="preserve">; </w:t>
      </w:r>
      <w:hyperlink r:id="rId6699">
        <w:r>
          <w:rPr>
            <w:color w:val="0000EE"/>
            <w:u w:val="single"/>
          </w:rPr>
          <w:t>Lc 20.25</w:t>
        </w:r>
      </w:hyperlink>
      <w:r>
        <w:t>). Malgré cela, ses adversaires l'ont faussement accusé devant Pilate d'empêcher le paiement du tribut à César (</w:t>
      </w:r>
      <w:hyperlink r:id="rId6700">
        <w:r>
          <w:rPr>
            <w:color w:val="0000EE"/>
            <w:u w:val="single"/>
          </w:rPr>
          <w:t>Lc 23.2</w:t>
        </w:r>
      </w:hyperlink>
      <w:r>
        <w:t>). Dans le NT, l'Église a affirmé que c'est le devoir civique de tout chrétien de payer l'impôt ou le tribut dû aux autorités (</w:t>
      </w:r>
      <w:hyperlink r:id="rId6701">
        <w:r>
          <w:rPr>
            <w:color w:val="0000EE"/>
            <w:u w:val="single"/>
          </w:rPr>
          <w:t>Rm 13.5–7</w:t>
        </w:r>
      </w:hyperlink>
      <w:r>
        <w:t>).</w:t>
      </w:r>
    </w:p>
    <w:p>
      <w:r/>
      <w:r>
        <w:rPr>
          <w:i/>
        </w:rPr>
        <w:t>Voir aussi</w:t>
      </w:r>
      <w:r>
        <w:t xml:space="preserve"> </w:t>
      </w:r>
      <w:r>
        <w:t>argent</w:t>
      </w:r>
      <w:r>
        <w:t xml:space="preserve"> ; </w:t>
      </w:r>
      <w:r>
        <w:t>changeur, créancier</w:t>
      </w:r>
      <w:r>
        <w:t xml:space="preserve"> ; </w:t>
      </w:r>
      <w:r>
        <w:t>collecteur d’impôts</w:t>
      </w:r>
      <w:r>
        <w:t>.</w:t>
      </w:r>
      <w:r/>
      <w:r/>
    </w:p>
    <w:p>
      <w:r/>
    </w:p>
    <w:p>
      <w:pPr>
        <w:pStyle w:val="Heading2"/>
      </w:pPr>
      <w:r>
        <w:t>impudicité, impudique, fornication</w:t>
      </w:r>
      <w:r/>
    </w:p>
    <w:p>
      <w:r/>
      <w:r>
        <w:t xml:space="preserve">Ces termes désignent l'immoralité sexuelle. Dans la Louis Segond 1910, « impudicité » et « impudique » désignent l'immoralité sexuelle et ceux qui la pratiquent. D'autres versions françaises traduisent impudicité « fornication » (Darby), « inconduite sexuelle » (Nouvelle Bible Segond) ou « immoralité sexuelle » (Semeur). </w:t>
      </w:r>
    </w:p>
    <w:p>
      <w:r/>
      <w:r>
        <w:t xml:space="preserve">Dans le Nouveau Testament (NT), le terme </w:t>
      </w:r>
      <w:r>
        <w:rPr>
          <w:i/>
        </w:rPr>
        <w:t>porneia</w:t>
      </w:r>
      <w:r>
        <w:t xml:space="preserve"> désigne, de façon générale, un rapport sexuel illicite de quelque sorte qu'il soit, c'est-à-dire tout rapport sexuel qui n'est pas entre mari et femme. Par exemple, dans </w:t>
      </w:r>
      <w:hyperlink r:id="rId6702">
        <w:r>
          <w:rPr>
            <w:color w:val="0000EE"/>
            <w:u w:val="single"/>
          </w:rPr>
          <w:t>1 Corinthiens 5.1</w:t>
        </w:r>
      </w:hyperlink>
      <w:r>
        <w:t>, le mot est utilisé deux fois pour décrire le fait qu'un homme avait des relations sexuelles avec sa belle-mère. Dans 1 Corinthiens, il semble que Paul utilise le mot pour désigner toutes sortes d'activités sexuelles illicites (</w:t>
      </w:r>
      <w:hyperlink r:id="rId6703">
        <w:r>
          <w:rPr>
            <w:color w:val="0000EE"/>
            <w:u w:val="single"/>
          </w:rPr>
          <w:t>6.13, 18</w:t>
        </w:r>
      </w:hyperlink>
      <w:r>
        <w:t xml:space="preserve">). Dans </w:t>
      </w:r>
      <w:hyperlink r:id="rId6704">
        <w:r>
          <w:rPr>
            <w:color w:val="0000EE"/>
            <w:u w:val="single"/>
          </w:rPr>
          <w:t>1 Corinthiens 7.2</w:t>
        </w:r>
      </w:hyperlink>
      <w:r>
        <w:t>, le mot « impudicité » est en fait au pluriel dans le grec original et implique qu'il y a différentes sortes d'impudicités. L'adultère serait donc inclus dans cet usage général du mot.</w:t>
      </w:r>
    </w:p>
    <w:p>
      <w:r/>
      <w:r>
        <w:t>L'impudicité peut aussi avoir le sens plus spécifique de rapports sexuels entre personnes non mariées. Ce sens est entendu lorsque les mots impudicité et adultère paraissent ensemble dans des listes bibliques de péchés. Par exemple, les péchés qui viennent du cœur et souillent une personne incluent les adultères et les impudicités (</w:t>
      </w:r>
      <w:hyperlink r:id="rId6705">
        <w:r>
          <w:rPr>
            <w:color w:val="0000EE"/>
            <w:u w:val="single"/>
          </w:rPr>
          <w:t>Mt 15.19</w:t>
        </w:r>
      </w:hyperlink>
      <w:r>
        <w:t xml:space="preserve"> ; </w:t>
      </w:r>
      <w:hyperlink r:id="rId6706">
        <w:r>
          <w:rPr>
            <w:color w:val="0000EE"/>
            <w:u w:val="single"/>
          </w:rPr>
          <w:t>Mc 7.21</w:t>
        </w:r>
      </w:hyperlink>
      <w:r>
        <w:t>). Ces deux péchés sont aussi inclus dans la liste de Paul qui décrit les pécheurs qui n'hériteront pas le royaume de Dieu (</w:t>
      </w:r>
      <w:hyperlink r:id="rId362">
        <w:r>
          <w:rPr>
            <w:color w:val="0000EE"/>
            <w:u w:val="single"/>
          </w:rPr>
          <w:t>1Co 6.9</w:t>
        </w:r>
      </w:hyperlink>
      <w:r>
        <w:t>).</w:t>
      </w:r>
    </w:p>
    <w:p>
      <w:r/>
      <w:r>
        <w:t xml:space="preserve">Le mot </w:t>
      </w:r>
      <w:r>
        <w:rPr>
          <w:i/>
        </w:rPr>
        <w:t>porneia</w:t>
      </w:r>
      <w:r>
        <w:t xml:space="preserve"> est traduit « infidélité » dans </w:t>
      </w:r>
      <w:hyperlink r:id="rId350">
        <w:r>
          <w:rPr>
            <w:color w:val="0000EE"/>
            <w:u w:val="single"/>
          </w:rPr>
          <w:t>Matthieu 5.32</w:t>
        </w:r>
      </w:hyperlink>
      <w:r>
        <w:t xml:space="preserve"> et </w:t>
      </w:r>
      <w:hyperlink r:id="rId351">
        <w:r>
          <w:rPr>
            <w:color w:val="0000EE"/>
            <w:u w:val="single"/>
          </w:rPr>
          <w:t>19.9</w:t>
        </w:r>
      </w:hyperlink>
      <w:r>
        <w:t xml:space="preserve"> car il s'agit en fait d'adultère. En effet, « adultère » est un sens possible du mot, et beaucoup pensent que c'est ce qu'il faut comprendre dans ce contexte. Toutefois, les érudits ne s'accordent pas sur la question de ce qui constitue l'exception qui justifie le divorce dans ces paroles de Jésus. Il est possible que le mot signifie simplement « adultère » ou qu'il inclue d'autres types de péchés sexuels.</w:t>
      </w:r>
    </w:p>
    <w:p>
      <w:r/>
      <w:r>
        <w:t xml:space="preserve">Parfois le mot « prostitution » est utilisé dans l'Ancien Testament et le Nouveau dans un sens similaire à celui d'« impudicité ». Dans les passages où la relation entre Dieu et Israël ou l'Église est décrite comme celle entre un mari et sa femme, l'apostasie et l'idolâtrie sont appelées des prostitutions (voir p. ex. </w:t>
      </w:r>
      <w:hyperlink r:id="rId6707">
        <w:r>
          <w:rPr>
            <w:color w:val="0000EE"/>
            <w:u w:val="single"/>
          </w:rPr>
          <w:t>Jr 2</w:t>
        </w:r>
      </w:hyperlink>
      <w:r>
        <w:t xml:space="preserve">). </w:t>
      </w:r>
      <w:hyperlink r:id="rId382">
        <w:r>
          <w:rPr>
            <w:color w:val="0000EE"/>
            <w:u w:val="single"/>
          </w:rPr>
          <w:t>Ézéchiel 16</w:t>
        </w:r>
      </w:hyperlink>
      <w:r>
        <w:t xml:space="preserve"> représente l'infidélité spirituelle de Jérusalem comme une infidélité maritale. Dans les trois premiers chapitres d'Osée, les infidélités de Gomer, sa femme, servent d'illustration à la façon dont la nation d'Israël était devenue coupable de prostitution en se livrant à l'idolâtrie bien que « mariée » au Seigneur. Dans le livre de l'Apocalypse, Babylone la grande est décrite comme une femme impudique et « la mère des impudiques » (</w:t>
      </w:r>
      <w:hyperlink r:id="rId6708">
        <w:r>
          <w:rPr>
            <w:color w:val="0000EE"/>
            <w:u w:val="single"/>
          </w:rPr>
          <w:t>Ap 14.8</w:t>
        </w:r>
      </w:hyperlink>
      <w:r>
        <w:t xml:space="preserve"> ; </w:t>
      </w:r>
      <w:hyperlink r:id="rId6709">
        <w:r>
          <w:rPr>
            <w:color w:val="0000EE"/>
            <w:u w:val="single"/>
          </w:rPr>
          <w:t>17.2–4</w:t>
        </w:r>
      </w:hyperlink>
      <w:r>
        <w:t xml:space="preserve"> ; </w:t>
      </w:r>
      <w:hyperlink r:id="rId6710">
        <w:r>
          <w:rPr>
            <w:color w:val="0000EE"/>
            <w:u w:val="single"/>
          </w:rPr>
          <w:t>18.3</w:t>
        </w:r>
      </w:hyperlink>
      <w:r>
        <w:t xml:space="preserve"> ; </w:t>
      </w:r>
      <w:hyperlink r:id="rId6711">
        <w:r>
          <w:rPr>
            <w:color w:val="0000EE"/>
            <w:u w:val="single"/>
          </w:rPr>
          <w:t>19.2</w:t>
        </w:r>
      </w:hyperlink>
      <w:r>
        <w:t>).</w:t>
      </w:r>
    </w:p>
    <w:p>
      <w:r/>
      <w:r>
        <w:rPr>
          <w:i/>
        </w:rPr>
        <w:t>Voir aussi</w:t>
      </w:r>
      <w:r>
        <w:t xml:space="preserve"> </w:t>
      </w:r>
      <w:r>
        <w:t>adultère</w:t>
      </w:r>
      <w:r>
        <w:t>.</w:t>
      </w:r>
      <w:r/>
      <w:r/>
    </w:p>
    <w:p>
      <w:r/>
    </w:p>
    <w:p>
      <w:pPr>
        <w:pStyle w:val="Heading2"/>
      </w:pPr>
      <w:r>
        <w:t>Imputation</w:t>
      </w:r>
      <w:r/>
    </w:p>
    <w:p>
      <w:pPr>
        <w:pStyle w:val="Heading3"/>
      </w:pPr>
      <w:r>
        <w:t>Qu'est-ce que l'imputation ?</w:t>
      </w:r>
    </w:p>
    <w:p>
      <w:r/>
      <w:r>
        <w:t>Imputer signifie attribuer quelque chose au compte de quelqu'un. Il s'agit d'un terme employé dans la Bible avec une référence légale au péché et au salut tels qu'ils sont considérés par Dieu. L'enseignement sur l'imputation est une partie clé de la foi chrétienne.</w:t>
      </w:r>
    </w:p>
    <w:p>
      <w:r/>
      <w:r>
        <w:t xml:space="preserve">Bien que le nom « imputation » n'apparaisse pas dans la Bible, le verbe « imputer » se trouve fréquemment dans l'Ancien et le Nouveau Testament. Le sens de base de « imputer » est « garder dans un registre ou un compte-rendu ». Dans le contexte du salut, le mot est constamment utilisé dans un sens juridique. Un bon exemple de cela se trouve dans </w:t>
      </w:r>
      <w:hyperlink r:id="rId6712">
        <w:r>
          <w:rPr>
            <w:color w:val="0000EE"/>
            <w:u w:val="single"/>
          </w:rPr>
          <w:t>Philémon 1.18</w:t>
        </w:r>
      </w:hyperlink>
      <w:r>
        <w:t xml:space="preserve">, où l'apôtre Paul assume la dette d'Onésime, en disant, « </w:t>
      </w:r>
      <w:r>
        <w:t>s’il te doit quelque chose, mets-le sur mon compte</w:t>
      </w:r>
      <w:r>
        <w:t xml:space="preserve"> ».</w:t>
      </w:r>
    </w:p>
    <w:p>
      <w:r/>
      <w:r>
        <w:t>Lorsque la Bible parle d'imputer le bien ou le mal, cela ne signifie pas que le caractère moral d'une personne change. Au lieu de cela, cela signifie que, du point de vue de Dieu, la justice ou le péché est crédité au compte d'une personne. Dans le sens le plus large, la Bible enseigne que tant Dieu (</w:t>
      </w:r>
      <w:hyperlink r:id="rId6713">
        <w:r>
          <w:rPr>
            <w:color w:val="0000EE"/>
            <w:u w:val="single"/>
          </w:rPr>
          <w:t>Ps 32.2</w:t>
        </w:r>
      </w:hyperlink>
      <w:r>
        <w:t>) que les gens (</w:t>
      </w:r>
      <w:hyperlink r:id="rId6714">
        <w:r>
          <w:rPr>
            <w:color w:val="0000EE"/>
            <w:u w:val="single"/>
          </w:rPr>
          <w:t>1S 22.15</w:t>
        </w:r>
      </w:hyperlink>
      <w:r>
        <w:t>) participent à ce processus. Les bonnes actions étaient souvent créditées en récompense (</w:t>
      </w:r>
      <w:hyperlink r:id="rId6715">
        <w:r>
          <w:rPr>
            <w:color w:val="0000EE"/>
            <w:u w:val="single"/>
          </w:rPr>
          <w:t>Ps 106.30–31</w:t>
        </w:r>
      </w:hyperlink>
      <w:r>
        <w:t>), tandis que les mauvaises actions étaient créditées en punition (</w:t>
      </w:r>
      <w:hyperlink r:id="rId6716">
        <w:r>
          <w:rPr>
            <w:color w:val="0000EE"/>
            <w:u w:val="single"/>
          </w:rPr>
          <w:t>Lv 17.3–4</w:t>
        </w:r>
      </w:hyperlink>
      <w:r>
        <w:t>).</w:t>
      </w:r>
    </w:p>
    <w:p>
      <w:pPr>
        <w:pStyle w:val="Heading3"/>
      </w:pPr>
      <w:r>
        <w:t>Trois façons dont la Bible explique l'imputation</w:t>
      </w:r>
    </w:p>
    <w:p>
      <w:r/>
      <w:r>
        <w:t>La Bible explique l'imputation de trois manières principales :</w:t>
      </w:r>
    </w:p>
    <w:p>
      <w:pPr>
        <w:pStyle w:val="ListNumber"/>
        <w:spacing w:line="240" w:lineRule="auto"/>
        <w:ind w:left="720"/>
      </w:pPr>
      <w:r/>
      <w:r>
        <w:t>Le péché originel d'Adam est imputé à chaque personne. Dans le plan de Dieu, le premier péché d'Adam a été attribué à chaque individu. Ainsi, tout le monde partage la culpabilité et la pénalité de ce péché.</w:t>
      </w:r>
    </w:p>
    <w:p>
      <w:pPr>
        <w:pStyle w:val="ListNumber"/>
        <w:spacing w:line="240" w:lineRule="auto"/>
        <w:ind w:left="720"/>
      </w:pPr>
      <w:r/>
      <w:r>
        <w:t>Le péché et la culpabilité de chaque personne a été imputé à Christ. Bien que Jésus fût sans péché, il a pris sur lui la pénalité du péché.</w:t>
      </w:r>
    </w:p>
    <w:p>
      <w:pPr>
        <w:pStyle w:val="ListNumber"/>
        <w:spacing w:line="240" w:lineRule="auto"/>
        <w:ind w:left="720"/>
      </w:pPr>
      <w:r/>
      <w:r>
        <w:t>La Bible enseigne que la justice de Christ est imputée aux croyants grâce à son œuvre sur la croix. Même si le croyant n'est pas parfaitement saint, ils est justifié (déclaré juste devant Dieu) selon la loi de Dieu et est « revêtu » de la justice de Christ.</w:t>
      </w:r>
    </w:p>
    <w:p>
      <w:pPr>
        <w:pStyle w:val="Heading3"/>
      </w:pPr>
      <w:r>
        <w:t>Imputation et salut</w:t>
      </w:r>
    </w:p>
    <w:p>
      <w:r/>
      <w:r>
        <w:t xml:space="preserve">Paul explique que Christ a pris la punition pour les péchés du croyant sur la croix. Il écrira que « </w:t>
      </w:r>
      <w:r>
        <w:t>Celui qui n’a point connu le péché, [Dieu] l’a fait devenir péché pour nous, afin que nous devenions en lui justice de Dieu</w:t>
      </w:r>
      <w:r>
        <w:t xml:space="preserve"> » (</w:t>
      </w:r>
      <w:hyperlink r:id="rId6717">
        <w:r>
          <w:rPr>
            <w:color w:val="0000EE"/>
            <w:u w:val="single"/>
          </w:rPr>
          <w:t>2Co 5.21</w:t>
        </w:r>
      </w:hyperlink>
      <w:r>
        <w:t>). Paul dira également que Christ a pris sur lui la malédiction de la loi mosaïque (</w:t>
      </w:r>
      <w:hyperlink r:id="rId2444">
        <w:r>
          <w:rPr>
            <w:color w:val="0000EE"/>
            <w:u w:val="single"/>
          </w:rPr>
          <w:t>Ga 3.13</w:t>
        </w:r>
      </w:hyperlink>
      <w:r>
        <w:t xml:space="preserve">). Pierre, en méditant sur </w:t>
      </w:r>
      <w:hyperlink r:id="rId5724">
        <w:r>
          <w:rPr>
            <w:color w:val="0000EE"/>
            <w:u w:val="single"/>
          </w:rPr>
          <w:t>Ésaïe 53</w:t>
        </w:r>
      </w:hyperlink>
      <w:r>
        <w:t xml:space="preserve">, dira que Christ « </w:t>
      </w:r>
      <w:r>
        <w:t>a porté lui-même nos péchés en son corps sur le bois</w:t>
      </w:r>
      <w:r>
        <w:t xml:space="preserve"> » (</w:t>
      </w:r>
      <w:hyperlink r:id="rId6718">
        <w:r>
          <w:rPr>
            <w:color w:val="0000EE"/>
            <w:u w:val="single"/>
          </w:rPr>
          <w:t>1P 2.24</w:t>
        </w:r>
      </w:hyperlink>
      <w:r>
        <w:t>). L'idée que la culpabilité du monde a été placée sur le Sauveur sans péché aide à expliquer le cri de Christ sur la croix : « Mon Dieu, mon Dieu, pourquoi m'as-tu abandonné ? » (</w:t>
      </w:r>
      <w:hyperlink r:id="rId6719">
        <w:r>
          <w:rPr>
            <w:color w:val="0000EE"/>
            <w:u w:val="single"/>
          </w:rPr>
          <w:t>Mt 27.46</w:t>
        </w:r>
      </w:hyperlink>
      <w:r>
        <w:t>).</w:t>
      </w:r>
    </w:p>
    <w:p>
      <w:r/>
      <w:r>
        <w:t xml:space="preserve">L'imputation signifie également que la justice de Christ est créditée aux croyants. Un exemple de la vie d'Abraham illustre cela. Après que Dieu a promis des bénédictions à Abraham, </w:t>
      </w:r>
      <w:hyperlink r:id="rId549">
        <w:r>
          <w:rPr>
            <w:color w:val="0000EE"/>
            <w:u w:val="single"/>
          </w:rPr>
          <w:t>Genèse 15.6</w:t>
        </w:r>
      </w:hyperlink>
      <w:r>
        <w:t xml:space="preserve"> dit qu'Abraham « </w:t>
      </w:r>
      <w:r>
        <w:t>eut confiance en l’Éternel, qui le lui imputa à justice</w:t>
      </w:r>
      <w:r>
        <w:t xml:space="preserve"> ». La Bible enseigne qu'aucune personne n'a naturellement le niveau de justice exigé par Dieu (</w:t>
      </w:r>
      <w:hyperlink r:id="rId6720">
        <w:r>
          <w:rPr>
            <w:color w:val="0000EE"/>
            <w:u w:val="single"/>
          </w:rPr>
          <w:t>Ps 130.3</w:t>
        </w:r>
      </w:hyperlink>
      <w:r>
        <w:t xml:space="preserve"> ; </w:t>
      </w:r>
      <w:hyperlink r:id="rId6721">
        <w:r>
          <w:rPr>
            <w:color w:val="0000EE"/>
            <w:u w:val="single"/>
          </w:rPr>
          <w:t>Es 64.6</w:t>
        </w:r>
      </w:hyperlink>
      <w:r>
        <w:t xml:space="preserve"> ; </w:t>
      </w:r>
      <w:hyperlink r:id="rId6722">
        <w:r>
          <w:rPr>
            <w:color w:val="0000EE"/>
            <w:u w:val="single"/>
          </w:rPr>
          <w:t>Rm 3.10</w:t>
        </w:r>
      </w:hyperlink>
      <w:r>
        <w:t>). Mais dans son plan de salut, Dieu fournit la justice nécessaire (</w:t>
      </w:r>
      <w:hyperlink r:id="rId6723">
        <w:r>
          <w:rPr>
            <w:color w:val="0000EE"/>
            <w:u w:val="single"/>
          </w:rPr>
          <w:t>Es 45.24</w:t>
        </w:r>
      </w:hyperlink>
      <w:r>
        <w:t xml:space="preserve"> ; </w:t>
      </w:r>
      <w:hyperlink r:id="rId6724">
        <w:r>
          <w:rPr>
            <w:color w:val="0000EE"/>
            <w:u w:val="single"/>
          </w:rPr>
          <w:t>54.17</w:t>
        </w:r>
      </w:hyperlink>
      <w:r>
        <w:t xml:space="preserve"> ; </w:t>
      </w:r>
      <w:hyperlink r:id="rId6725">
        <w:r>
          <w:rPr>
            <w:color w:val="0000EE"/>
            <w:u w:val="single"/>
          </w:rPr>
          <w:t>Os 10.12</w:t>
        </w:r>
      </w:hyperlink>
      <w:r>
        <w:t>). Lorsqu'une personne accepte par la foi l'œuvre de Christ, Dieu lui crédite la justice de Christ.</w:t>
      </w:r>
    </w:p>
    <w:p>
      <w:r/>
      <w:r>
        <w:t>L'imputation de la justice de Dieu aux croyants est un thème majeur dans la lettre de Paul aux Romains (</w:t>
      </w:r>
      <w:hyperlink r:id="rId4423">
        <w:r>
          <w:rPr>
            <w:color w:val="0000EE"/>
            <w:u w:val="single"/>
          </w:rPr>
          <w:t>Rm 3.21–5.21</w:t>
        </w:r>
      </w:hyperlink>
      <w:r>
        <w:t>). Paul parle de la joie d'un pécheur qui est déclaré juste (</w:t>
      </w:r>
      <w:hyperlink r:id="rId6726">
        <w:r>
          <w:rPr>
            <w:color w:val="0000EE"/>
            <w:u w:val="single"/>
          </w:rPr>
          <w:t>Rm 4.6</w:t>
        </w:r>
      </w:hyperlink>
      <w:r>
        <w:t>). L'imputation de la justice de Christ conduit également à la justification dans le tribunal de Dieu (</w:t>
      </w:r>
      <w:hyperlink r:id="rId3743">
        <w:r>
          <w:rPr>
            <w:color w:val="0000EE"/>
            <w:u w:val="single"/>
          </w:rPr>
          <w:t>Rm 5.18</w:t>
        </w:r>
      </w:hyperlink>
      <w:r>
        <w:t>). La mort de Christ, créditée au pécheur, est la raison de son acquittement par le Dieu saint. La Bible enseigne que les effets néfastes du péché d'Adam, qui ont été imputés à l'humanité, sont inversés pour ceux qui croient en Christ. L'imputation du péché humain à Christ permet à sa justice d'être créditée aux croyants.</w:t>
      </w:r>
    </w:p>
    <w:p>
      <w:r/>
      <w:r>
        <w:rPr>
          <w:i/>
        </w:rPr>
        <w:t>Voir aussi</w:t>
      </w:r>
      <w:r>
        <w:t xml:space="preserve"> </w:t>
      </w:r>
      <w:r>
        <w:t>Adam (Personne)</w:t>
      </w:r>
      <w:r>
        <w:t xml:space="preserve"> ; </w:t>
      </w:r>
      <w:r>
        <w:t>Christologie</w:t>
      </w:r>
      <w:r>
        <w:t xml:space="preserve"> ; </w:t>
      </w:r>
      <w:r>
        <w:t>Chute de l'humanité</w:t>
      </w:r>
      <w:r>
        <w:t xml:space="preserve"> ; </w:t>
      </w:r>
      <w:r>
        <w:t>Péché</w:t>
      </w:r>
      <w:r>
        <w:t>.</w:t>
      </w:r>
      <w:r/>
      <w:r/>
    </w:p>
    <w:p>
      <w:r/>
    </w:p>
    <w:p>
      <w:pPr>
        <w:pStyle w:val="Heading2"/>
      </w:pPr>
      <w:r>
        <w:t>Inceste</w:t>
      </w:r>
      <w:r/>
    </w:p>
    <w:p>
      <w:r/>
      <w:r>
        <w:t>Relations sexuelles entre membres de la même famille.</w:t>
      </w:r>
    </w:p>
    <w:p>
      <w:r/>
      <w:r>
        <w:t xml:space="preserve">L'inceste est strictement interdit dans </w:t>
      </w:r>
      <w:hyperlink r:id="rId1217">
        <w:r>
          <w:rPr>
            <w:color w:val="0000EE"/>
            <w:u w:val="single"/>
          </w:rPr>
          <w:t>Lévitique 18</w:t>
        </w:r>
      </w:hyperlink>
      <w:r>
        <w:t xml:space="preserve">. </w:t>
      </w:r>
      <w:hyperlink r:id="rId6727">
        <w:r>
          <w:rPr>
            <w:color w:val="0000EE"/>
            <w:u w:val="single"/>
          </w:rPr>
          <w:t>Lévitique 20</w:t>
        </w:r>
      </w:hyperlink>
      <w:r>
        <w:t xml:space="preserve"> précise même que certains types d'inceste devraient être punis de mort. La Bible considère l'inceste comme une infraction très grave, le qualifiant de déshonorant et de pervers.</w:t>
      </w:r>
    </w:p>
    <w:p>
      <w:r/>
      <w:r>
        <w:t>Des exemples d'inceste dans la Bible montrent qu'il provient d'un caractère mauvais :</w:t>
      </w:r>
    </w:p>
    <w:p>
      <w:pPr>
        <w:pStyle w:val="ListBullet"/>
        <w:spacing w:line="240" w:lineRule="auto"/>
        <w:ind w:left="720"/>
      </w:pPr>
      <w:r/>
      <w:r>
        <w:t>Les filles de Lot ont enivré leur père et ont couché avec lui. Toutes deux sont tombées enceintes (</w:t>
      </w:r>
      <w:hyperlink r:id="rId6728">
        <w:r>
          <w:rPr>
            <w:color w:val="0000EE"/>
            <w:u w:val="single"/>
          </w:rPr>
          <w:t>Gn 19.30</w:t>
        </w:r>
      </w:hyperlink>
      <w:r>
        <w:t>–</w:t>
      </w:r>
      <w:hyperlink r:id="rId6728">
        <w:r>
          <w:rPr>
            <w:color w:val="0000EE"/>
            <w:u w:val="single"/>
          </w:rPr>
          <w:t>38</w:t>
        </w:r>
      </w:hyperlink>
      <w:r>
        <w:t>).</w:t>
      </w:r>
    </w:p>
    <w:p>
      <w:pPr>
        <w:pStyle w:val="ListBullet"/>
        <w:spacing w:line="240" w:lineRule="auto"/>
        <w:ind w:left="720"/>
      </w:pPr>
      <w:r/>
      <w:r>
        <w:t>Amnon a trompé et violé sa demi-sœur Tamar (</w:t>
      </w:r>
      <w:hyperlink r:id="rId6729">
        <w:r>
          <w:rPr>
            <w:color w:val="0000EE"/>
            <w:u w:val="single"/>
          </w:rPr>
          <w:t>2S 13.1</w:t>
        </w:r>
      </w:hyperlink>
      <w:r>
        <w:t>–</w:t>
      </w:r>
      <w:hyperlink r:id="rId6729">
        <w:r>
          <w:rPr>
            <w:color w:val="0000EE"/>
            <w:u w:val="single"/>
          </w:rPr>
          <w:t>22</w:t>
        </w:r>
      </w:hyperlink>
      <w:r>
        <w:t>).</w:t>
      </w:r>
    </w:p>
    <w:p>
      <w:pPr>
        <w:pStyle w:val="ListBullet"/>
        <w:spacing w:line="240" w:lineRule="auto"/>
        <w:ind w:left="720"/>
      </w:pPr>
      <w:r/>
      <w:r>
        <w:t>Paul a vivement critiqué l'inceste qui se produisait dans l'église de Corinthe (</w:t>
      </w:r>
      <w:hyperlink r:id="rId6730">
        <w:r>
          <w:rPr>
            <w:color w:val="0000EE"/>
            <w:u w:val="single"/>
          </w:rPr>
          <w:t>1Co 5.1</w:t>
        </w:r>
      </w:hyperlink>
      <w:r>
        <w:t>–</w:t>
      </w:r>
      <w:hyperlink r:id="rId6730">
        <w:r>
          <w:rPr>
            <w:color w:val="0000EE"/>
            <w:u w:val="single"/>
          </w:rPr>
          <w:t>5</w:t>
        </w:r>
      </w:hyperlink>
      <w:r>
        <w:t>), montrant que c'était toujours mal à l'époque du Nouveau Testament.</w:t>
      </w:r>
    </w:p>
    <w:p>
      <w:r/>
      <w:r>
        <w:t xml:space="preserve">La relation de sang, ou la consanguinité, est une raison de l'interdiction de contact sexuel. Cela s'applique, par exemple, aux frères et sœurs, aux parents et enfants, aux grands-parents et petits-enfants, ainsi qu'à certains oncles, tantes, nièces et neveux. </w:t>
      </w:r>
      <w:hyperlink r:id="rId1217">
        <w:r>
          <w:rPr>
            <w:color w:val="0000EE"/>
            <w:u w:val="single"/>
          </w:rPr>
          <w:t>Lévitique 18</w:t>
        </w:r>
      </w:hyperlink>
      <w:r>
        <w:t xml:space="preserve"> interdit également les relations sexuelles avec des proches par alliance (affinité) et certains oncles et tantes. Dans l'Israël antique, il y avait une exception : un homme pouvait épouser la veuve de son frère décédé si elle n'avait pas de fils (</w:t>
      </w:r>
      <w:hyperlink r:id="rId6731">
        <w:r>
          <w:rPr>
            <w:color w:val="0000EE"/>
            <w:u w:val="single"/>
          </w:rPr>
          <w:t>Dt 25.5</w:t>
        </w:r>
      </w:hyperlink>
      <w:r>
        <w:t>–</w:t>
      </w:r>
      <w:hyperlink r:id="rId6731">
        <w:r>
          <w:rPr>
            <w:color w:val="0000EE"/>
            <w:u w:val="single"/>
          </w:rPr>
          <w:t>10</w:t>
        </w:r>
      </w:hyperlink>
      <w:r>
        <w:t>).</w:t>
      </w:r>
    </w:p>
    <w:p>
      <w:r/>
      <w:r>
        <w:t>Bien qu'il existe des raisons génétiques d'éviter l'inceste entre parents de sang, le principal problème est que cela nuit aux familles. Puisque les familles sont centrales dans l'œuvre de Dieu sur terre, il juge l'inceste très sévèrement. Les familles ne peuvent pas survivre lorsqu'il y a une inconduite sexuelle parmi leurs membres.</w:t>
      </w:r>
      <w:r/>
      <w:r/>
    </w:p>
    <w:p>
      <w:r/>
    </w:p>
    <w:p>
      <w:pPr>
        <w:pStyle w:val="Heading2"/>
      </w:pPr>
      <w:r>
        <w:t>Incirconcision</w:t>
      </w:r>
      <w:r/>
    </w:p>
    <w:p>
      <w:r/>
      <w:r>
        <w:t>La condition naturelle d'un homme, avec le prépuce recouvrant son pénis. Le peuple juif, ainsi que de nombreux autres groupes, a chirurgicalement retiré ce prépuce comme signe de leur alliance avec Dieu (</w:t>
      </w:r>
      <w:hyperlink r:id="rId93">
        <w:r>
          <w:rPr>
            <w:color w:val="0000EE"/>
            <w:u w:val="single"/>
          </w:rPr>
          <w:t>Gn 17.9–14</w:t>
        </w:r>
      </w:hyperlink>
      <w:r>
        <w:t xml:space="preserve"> ; </w:t>
      </w:r>
      <w:hyperlink r:id="rId6732">
        <w:r>
          <w:rPr>
            <w:color w:val="0000EE"/>
            <w:u w:val="single"/>
          </w:rPr>
          <w:t>Ex 12.48</w:t>
        </w:r>
      </w:hyperlink>
      <w:r>
        <w:t xml:space="preserve"> ; </w:t>
      </w:r>
      <w:hyperlink r:id="rId6733">
        <w:r>
          <w:rPr>
            <w:color w:val="0000EE"/>
            <w:u w:val="single"/>
          </w:rPr>
          <w:t>Lv 12.3</w:t>
        </w:r>
      </w:hyperlink>
      <w:r>
        <w:t>). En raison de cette pratique, le terme « incirconcision » en est venu à signifier « non-juif » ou « Gentil » (les Philistins, les Grecs et les Romains ne pratiquaient pas la circoncision, mais les Égyptiens et de nombreux peuples sémitiques le faisaient). Le mot était également utilisé pour décrire « ceux qui sont en dehors de l'alliance ».</w:t>
      </w:r>
    </w:p>
    <w:p>
      <w:r/>
      <w:r>
        <w:t>Le terme « incirconcision » apparaît à vingt reprises dans le Nouveau Testament, signifiant généralement simplement « Gentil », par opposition à Juif. Paul présente un argument convaincant contre la création de telles distinctions. Il plaide fermement contre la création de telles distinctions entre les gens. Pour Paul, l'attitude du cœur d'une personne envers Dieu est bien plus importante que le respect de la loi rituelle, qui n'a rien à voir avec le salut d'une personne (</w:t>
      </w:r>
      <w:hyperlink r:id="rId6734">
        <w:r>
          <w:rPr>
            <w:color w:val="0000EE"/>
            <w:u w:val="single"/>
          </w:rPr>
          <w:t>Rm 2.25–27</w:t>
        </w:r>
      </w:hyperlink>
      <w:r>
        <w:t>). Abraham est devenu croyant et a été accepté par Dieu alors qu'il était encore incirconcis. Ainsi, la circoncision n'a rien à voir avec son salut (</w:t>
      </w:r>
      <w:hyperlink r:id="rId6735">
        <w:r>
          <w:rPr>
            <w:color w:val="0000EE"/>
            <w:u w:val="single"/>
          </w:rPr>
          <w:t>Rm 3.30</w:t>
        </w:r>
      </w:hyperlink>
      <w:r>
        <w:t xml:space="preserve"> ; </w:t>
      </w:r>
      <w:hyperlink r:id="rId6736">
        <w:r>
          <w:rPr>
            <w:color w:val="0000EE"/>
            <w:u w:val="single"/>
          </w:rPr>
          <w:t>4.9–12</w:t>
        </w:r>
      </w:hyperlink>
      <w:r>
        <w:t>). Dans le passé, les Gentils étaient exclus du peuple de Dieu (</w:t>
      </w:r>
      <w:hyperlink r:id="rId6737">
        <w:r>
          <w:rPr>
            <w:color w:val="0000EE"/>
            <w:u w:val="single"/>
          </w:rPr>
          <w:t>Ep 2.11–12</w:t>
        </w:r>
      </w:hyperlink>
      <w:r>
        <w:t>). Désormais, les croyants juifs et gentils sont devenus un seul peuple en Jésus-Christ (</w:t>
      </w:r>
      <w:hyperlink r:id="rId6738">
        <w:r>
          <w:rPr>
            <w:color w:val="0000EE"/>
            <w:u w:val="single"/>
          </w:rPr>
          <w:t>Ga 2.7</w:t>
        </w:r>
      </w:hyperlink>
      <w:r>
        <w:t xml:space="preserve"> ; </w:t>
      </w:r>
      <w:hyperlink r:id="rId6739">
        <w:r>
          <w:rPr>
            <w:color w:val="0000EE"/>
            <w:u w:val="single"/>
          </w:rPr>
          <w:t>5.6</w:t>
        </w:r>
      </w:hyperlink>
      <w:r>
        <w:t xml:space="preserve"> ; </w:t>
      </w:r>
      <w:hyperlink r:id="rId321">
        <w:r>
          <w:rPr>
            <w:color w:val="0000EE"/>
            <w:u w:val="single"/>
          </w:rPr>
          <w:t>6.15</w:t>
        </w:r>
      </w:hyperlink>
      <w:r>
        <w:t xml:space="preserve"> ; </w:t>
      </w:r>
      <w:hyperlink r:id="rId1682">
        <w:r>
          <w:rPr>
            <w:color w:val="0000EE"/>
            <w:u w:val="single"/>
          </w:rPr>
          <w:t>Col 3.11</w:t>
        </w:r>
      </w:hyperlink>
      <w:r>
        <w:t>). Paul refuse d'écouter ceux qui exigent la circoncision pour une pleine adhésion à l'Église.</w:t>
      </w:r>
    </w:p>
    <w:p>
      <w:r/>
      <w:r>
        <w:t xml:space="preserve">Dans </w:t>
      </w:r>
      <w:hyperlink r:id="rId6740">
        <w:r>
          <w:rPr>
            <w:color w:val="0000EE"/>
            <w:u w:val="single"/>
          </w:rPr>
          <w:t>Colossiens 2.8–15</w:t>
        </w:r>
      </w:hyperlink>
      <w:r>
        <w:t>, Paul utilise l'« incirconcision » comme une métaphore, signifiant l'état d'une personne avant de connaître Dieu. Ici, l'incirconcision équivaut à « la chair » (signifiant les désirs mauvais d'une personne). C'est la même chose qu'être incirconcis. Tout comme la chair physique est coupée lors de la circoncision, cette « chair » spirituelle est coupée par Christ au moment de la conversion, comme le montre le baptême. La personne baptisée est purifiée de « l'impureté » tout comme un Gentil circoncis était considéré comme purifié de l'impureté incirconcise précédente.</w:t>
      </w:r>
    </w:p>
    <w:p>
      <w:r/>
      <w:r>
        <w:rPr>
          <w:i/>
        </w:rPr>
        <w:t>Voir aussi</w:t>
      </w:r>
      <w:r>
        <w:t xml:space="preserve"> </w:t>
      </w:r>
      <w:r>
        <w:t>Circoncision</w:t>
      </w:r>
      <w:r>
        <w:t>.</w:t>
      </w:r>
      <w:r/>
      <w:r/>
    </w:p>
    <w:p>
      <w:r/>
    </w:p>
    <w:p>
      <w:pPr>
        <w:pStyle w:val="Heading2"/>
      </w:pPr>
      <w:r>
        <w:t>Inde</w:t>
      </w:r>
      <w:r/>
    </w:p>
    <w:p>
      <w:r/>
      <w:r>
        <w:t xml:space="preserve">Terre orientale aux frontières géographiques inconsistantes à l'époque biblique. La Bible ne mentionne l'Inde que dans </w:t>
      </w:r>
      <w:hyperlink r:id="rId1412">
        <w:r>
          <w:rPr>
            <w:color w:val="0000EE"/>
            <w:u w:val="single"/>
          </w:rPr>
          <w:t>Esther 1.1</w:t>
        </w:r>
      </w:hyperlink>
      <w:r>
        <w:t xml:space="preserve"> et </w:t>
      </w:r>
      <w:hyperlink r:id="rId2132">
        <w:r>
          <w:rPr>
            <w:color w:val="0000EE"/>
            <w:u w:val="single"/>
          </w:rPr>
          <w:t>8.9.</w:t>
        </w:r>
      </w:hyperlink>
      <w:r>
        <w:t xml:space="preserve"> L'empire d'Assuérus s'étendait de Hoddu à Kush. Le terme « Hoddu » semble provenir d'un mot vieux-persan, Hindush. Il était lié à un mot sanskrit, Sindhu, signifiant « ruisseau », c'est-à-dire, le fleuve Indus. Des inscriptions perses montrent que l'Inde était une province de l'Empire achéménide de 559 à 330 av. J.‑C. Cela soutient les déclarations bibliques dans Esther. Même l'historien grec Hérodote au 5e siècle av. J.‑C. semble avoir été mal informé sur l'Inde (</w:t>
      </w:r>
      <w:r>
        <w:rPr>
          <w:i/>
        </w:rPr>
        <w:t>Guerres Perses</w:t>
      </w:r>
      <w:r>
        <w:t xml:space="preserve"> 3.94–106 ; 4.40, 44). Certaines légendes et traditions hébraïques mentionnent des Juifs en Inde à l'époque du roi Salomon. Certains interprètes ont suggéré que le fleuve Pischon dans le pays de Havila pourrait se référer à l'Inde (</w:t>
      </w:r>
      <w:hyperlink r:id="rId6741">
        <w:r>
          <w:rPr>
            <w:color w:val="0000EE"/>
            <w:u w:val="single"/>
          </w:rPr>
          <w:t>Gn 2.11</w:t>
        </w:r>
      </w:hyperlink>
      <w:r>
        <w:t xml:space="preserve">). Certains disent que les marchandises d'Ophir, comme le bois de santal (« sandal », </w:t>
      </w:r>
      <w:hyperlink r:id="rId6742">
        <w:r>
          <w:rPr>
            <w:color w:val="0000EE"/>
            <w:u w:val="single"/>
          </w:rPr>
          <w:t>1R 10.11</w:t>
        </w:r>
      </w:hyperlink>
      <w:r>
        <w:t xml:space="preserve">; </w:t>
      </w:r>
      <w:hyperlink r:id="rId6743">
        <w:r>
          <w:rPr>
            <w:color w:val="0000EE"/>
            <w:u w:val="single"/>
          </w:rPr>
          <w:t>2Ch 2.8</w:t>
        </w:r>
      </w:hyperlink>
      <w:r>
        <w:t>), l'ivoire et les singes, étaient d'origine indienne. De plus, certains des articles transportés par les marchands à Tyr, tels que les défenses d'ivoire et l'ébène (</w:t>
      </w:r>
      <w:hyperlink r:id="rId6744">
        <w:r>
          <w:rPr>
            <w:color w:val="0000EE"/>
            <w:u w:val="single"/>
          </w:rPr>
          <w:t>Ez 27.15</w:t>
        </w:r>
      </w:hyperlink>
      <w:r>
        <w:t>), pourraient provenir de l'Inde.</w:t>
      </w:r>
    </w:p>
    <w:p>
      <w:r/>
      <w:r>
        <w:t xml:space="preserve">Le Nouveau Testament ne fait pas référence à l'Inde. Cependant, les écrits juifs d'avant et d'après le Nouveau Testament mentionnent le pays. Ceux-ci incluent les Targums sur Esther, les Midrashim et le Talmud. Ce n'est qu'après la mort d'Alexandre le Grand en 323 av. J.‑C. que la Palestine et l'Europe ont commencé à écrire sur l'Inde. </w:t>
      </w:r>
      <w:hyperlink r:id="rId6745">
        <w:r>
          <w:rPr>
            <w:color w:val="0000EE"/>
            <w:u w:val="single"/>
          </w:rPr>
          <w:t>1 Maccabées 6.37</w:t>
        </w:r>
      </w:hyperlink>
      <w:r>
        <w:t xml:space="preserve"> dit que les armées séleucides utilisaient des éléphants de guerre (qui venaient possiblement d'Inde), montés par des conducteurs indiens au 2e siècle av. J.‑C. </w:t>
      </w:r>
      <w:hyperlink r:id="rId6746">
        <w:r>
          <w:rPr>
            <w:color w:val="0000EE"/>
            <w:u w:val="single"/>
          </w:rPr>
          <w:t>1 Maccabées 8.8</w:t>
        </w:r>
      </w:hyperlink>
      <w:r>
        <w:t xml:space="preserve"> indique que les Romains ont forcé Antiochus III à se rendre.</w:t>
      </w:r>
    </w:p>
    <w:p>
      <w:r/>
      <w:r>
        <w:t>La valeur de l'Inde est incertaine en raison de problèmes textuels. De plus, il n'y a aucune preuve que l'Empire Séleucide s'étendait jusqu'à l'Inde. Cependant, les Romains commerçaient avec l'Inde via l'Égypte et la mer Rouge. Cela rend l'absence de références dans le Nouveau Testament étrange. Au fil des siècles chrétiens, des références sont apparues dans la littérature juive et chrétienne primitive. Il est certain qu'au début de l'ère chrétienne, il y avait des colonies de Juifs et de chrétiens monophysites en Inde. Le monophysisme est la croyance que Jésus-Christ n'avait qu'une seule nature, qui était divine, plutôt que des natures à la fois humaine et divine. Selon la légende, c'est l'apôtre Thomas qui a apporté l'Évangile en Inde et fondé l'Église Mar Thoma.</w:t>
      </w:r>
      <w:r/>
      <w:r/>
    </w:p>
    <w:p>
      <w:r/>
    </w:p>
    <w:p>
      <w:pPr>
        <w:pStyle w:val="Heading2"/>
      </w:pPr>
      <w:r>
        <w:t>Innocence de Christ</w:t>
      </w:r>
      <w:r/>
    </w:p>
    <w:p>
      <w:r/>
      <w:r>
        <w:t>La Bible enseigne que Jésus-Christ n'a jamais péché. Il est parfait à tous égards en tant que Fils de Dieu. Sa nature humaine était entièrement sainte, sans aucun péché.</w:t>
      </w:r>
    </w:p>
    <w:p>
      <w:pPr>
        <w:pStyle w:val="Heading3"/>
      </w:pPr>
      <w:r>
        <w:t>Que dit la Bible sur l'absence de péché du Christ ?</w:t>
      </w:r>
    </w:p>
    <w:p>
      <w:r/>
      <w:r>
        <w:t xml:space="preserve">La Bible déclare clairement que Jésus était sans péché. Paul affirme que Christ « </w:t>
      </w:r>
      <w:r>
        <w:t>n’a point connu le péché</w:t>
      </w:r>
      <w:r>
        <w:t xml:space="preserve"> » (</w:t>
      </w:r>
      <w:hyperlink r:id="rId6717">
        <w:r>
          <w:rPr>
            <w:color w:val="0000EE"/>
            <w:u w:val="single"/>
          </w:rPr>
          <w:t>2Co 5.21</w:t>
        </w:r>
      </w:hyperlink>
      <w:r>
        <w:t xml:space="preserve">). Pierre dit qu'il « </w:t>
      </w:r>
      <w:r>
        <w:t>n’a point commis de péché, et dans [sa bouche] il ne s’est point trouvé de fraude</w:t>
      </w:r>
      <w:r>
        <w:t xml:space="preserve"> » (</w:t>
      </w:r>
      <w:hyperlink r:id="rId6747">
        <w:r>
          <w:rPr>
            <w:color w:val="0000EE"/>
            <w:u w:val="single"/>
          </w:rPr>
          <w:t>1P 2.22</w:t>
        </w:r>
      </w:hyperlink>
      <w:r>
        <w:t>). Il l'appelle « juste » (</w:t>
      </w:r>
      <w:hyperlink r:id="rId2306">
        <w:r>
          <w:rPr>
            <w:color w:val="0000EE"/>
            <w:u w:val="single"/>
          </w:rPr>
          <w:t>3.18</w:t>
        </w:r>
      </w:hyperlink>
      <w:r>
        <w:t>).</w:t>
      </w:r>
    </w:p>
    <w:p>
      <w:r/>
      <w:r>
        <w:t xml:space="preserve">L'auteur de la lettre aux Hébreux dit que Christ est « </w:t>
      </w:r>
      <w:r>
        <w:t>saint, innocent, sans tache, séparé des pécheurs</w:t>
      </w:r>
      <w:r>
        <w:t xml:space="preserve"> » (</w:t>
      </w:r>
      <w:hyperlink r:id="rId6308">
        <w:r>
          <w:rPr>
            <w:color w:val="0000EE"/>
            <w:u w:val="single"/>
          </w:rPr>
          <w:t>Hé 7.26</w:t>
        </w:r>
      </w:hyperlink>
      <w:r>
        <w:t>). Jacques parle de lui comme « le juste » (</w:t>
      </w:r>
      <w:hyperlink r:id="rId6748">
        <w:r>
          <w:rPr>
            <w:color w:val="0000EE"/>
            <w:u w:val="single"/>
          </w:rPr>
          <w:t>Jc 5.6</w:t>
        </w:r>
      </w:hyperlink>
      <w:r>
        <w:t xml:space="preserve">). Jean dit qu'« </w:t>
      </w:r>
      <w:r>
        <w:t>il n’y a point en lui de péché</w:t>
      </w:r>
      <w:r>
        <w:t xml:space="preserve"> » (</w:t>
      </w:r>
      <w:hyperlink r:id="rId6749">
        <w:r>
          <w:rPr>
            <w:color w:val="0000EE"/>
            <w:u w:val="single"/>
          </w:rPr>
          <w:t>1Jn 3.5</w:t>
        </w:r>
      </w:hyperlink>
      <w:r>
        <w:t>). Dans les Évangiles et dans la prédication des apôtres, Jésus est constamment présenté comme le Saint enfant, le Saint de Dieu, le Saint et le Juste (</w:t>
      </w:r>
      <w:hyperlink r:id="rId983">
        <w:r>
          <w:rPr>
            <w:color w:val="0000EE"/>
            <w:u w:val="single"/>
          </w:rPr>
          <w:t>Lc 1.35</w:t>
        </w:r>
      </w:hyperlink>
      <w:r>
        <w:t xml:space="preserve"> ; </w:t>
      </w:r>
      <w:hyperlink r:id="rId2512">
        <w:r>
          <w:rPr>
            <w:color w:val="0000EE"/>
            <w:u w:val="single"/>
          </w:rPr>
          <w:t>Jn 6.69</w:t>
        </w:r>
      </w:hyperlink>
      <w:r>
        <w:t xml:space="preserve"> ; </w:t>
      </w:r>
      <w:hyperlink r:id="rId1670">
        <w:r>
          <w:rPr>
            <w:color w:val="0000EE"/>
            <w:u w:val="single"/>
          </w:rPr>
          <w:t>Ac 3.14</w:t>
        </w:r>
      </w:hyperlink>
      <w:r>
        <w:t>).</w:t>
      </w:r>
    </w:p>
    <w:p>
      <w:r/>
      <w:r>
        <w:t xml:space="preserve">Jésus lui-même a demandé à ses opposants : « </w:t>
      </w:r>
      <w:r>
        <w:t>Qui de vous me convaincra de péché</w:t>
      </w:r>
      <w:r>
        <w:t xml:space="preserve"> ?» (</w:t>
      </w:r>
      <w:hyperlink r:id="rId6750">
        <w:r>
          <w:rPr>
            <w:color w:val="0000EE"/>
            <w:u w:val="single"/>
          </w:rPr>
          <w:t>Jn 8.46</w:t>
        </w:r>
      </w:hyperlink>
      <w:r>
        <w:t>). Tout au long de sa vie, Jésus a vécu avec la pleine conscience qu'il était saint et sans péché. De nombreuses références et inférences affirment qu'il est sans péché. Il a respecté toute la loi dans chaque détail et à tous égards (</w:t>
      </w:r>
      <w:hyperlink r:id="rId6751">
        <w:r>
          <w:rPr>
            <w:color w:val="0000EE"/>
            <w:u w:val="single"/>
          </w:rPr>
          <w:t>Rm 10.4</w:t>
        </w:r>
      </w:hyperlink>
      <w:r>
        <w:t xml:space="preserve"> ; </w:t>
      </w:r>
      <w:hyperlink r:id="rId6306">
        <w:r>
          <w:rPr>
            <w:color w:val="0000EE"/>
            <w:u w:val="single"/>
          </w:rPr>
          <w:t>Hé 4.15</w:t>
        </w:r>
      </w:hyperlink>
      <w:r>
        <w:t>). La femme de Pilate considérait Jésus comme un homme juste (</w:t>
      </w:r>
      <w:hyperlink r:id="rId6752">
        <w:r>
          <w:rPr>
            <w:color w:val="0000EE"/>
            <w:u w:val="single"/>
          </w:rPr>
          <w:t>Mt 27.19</w:t>
        </w:r>
      </w:hyperlink>
      <w:r>
        <w:t>). Pilate lui-même parlait de lui comme d'un homme innocent (</w:t>
      </w:r>
      <w:hyperlink r:id="rId6752">
        <w:r>
          <w:rPr>
            <w:color w:val="0000EE"/>
            <w:u w:val="single"/>
          </w:rPr>
          <w:t>Mt 27.24</w:t>
        </w:r>
      </w:hyperlink>
      <w:r>
        <w:t>). Même Judas a réalisé qu'il avait péché en « livrant le sang innocent » (</w:t>
      </w:r>
      <w:hyperlink r:id="rId6753">
        <w:r>
          <w:rPr>
            <w:color w:val="0000EE"/>
            <w:u w:val="single"/>
          </w:rPr>
          <w:t>Mt 27.4</w:t>
        </w:r>
      </w:hyperlink>
      <w:r>
        <w:t>).</w:t>
      </w:r>
    </w:p>
    <w:p>
      <w:pPr>
        <w:pStyle w:val="Heading3"/>
      </w:pPr>
      <w:r>
        <w:t>Que signifie le fait que Christ est sans péché ?</w:t>
      </w:r>
    </w:p>
    <w:p>
      <w:r/>
      <w:r>
        <w:t>L'absence de péché de Christ signifie plus que le simple fait qu'il n'a jamais commis de péché. Il y a aussi une question importante à savoir si Jésus aurait été en mesure de pécher. Était-il possible pour Jésus de pécher ? Cette question traite de ce que l'on appelle l'impeccabilité de Christ, ce qui signifie que Christ était incapable de pécher. Le point de vue opposé est la peccabilité. Cet enseignement affirme que Jésus aurait pu pécher, même s'il a choisi de ne pas le faire. Les deux points de vue soulèvent des questions importantes :</w:t>
      </w:r>
    </w:p>
    <w:p>
      <w:pPr>
        <w:pStyle w:val="ListBullet"/>
        <w:spacing w:line="240" w:lineRule="auto"/>
        <w:ind w:left="720"/>
      </w:pPr>
      <w:r/>
      <w:r>
        <w:t>Si Jésus ne pouvait pas pécher, comment pouvait-il vraiment être tenté ? La Bible nous parle de nombreuses occasions où Jésus a fait face à la tentation.</w:t>
      </w:r>
    </w:p>
    <w:p>
      <w:pPr>
        <w:pStyle w:val="ListBullet"/>
        <w:spacing w:line="240" w:lineRule="auto"/>
        <w:ind w:left="720"/>
      </w:pPr>
      <w:r/>
      <w:r>
        <w:t>Si Jésus avait pu pécher (même s'il ne l'a pas fait), cela signifierait-il que Dieu pourrait pécher ? Il s'agit là d'un problème, car Jésus est entièrement Fils de Dieu.</w:t>
      </w:r>
    </w:p>
    <w:p>
      <w:r/>
      <w:r>
        <w:t>Certaines personnes disent que Jésus aurait pu pécher en tant qu'humain, mais pas en tant que Dieu. Ceci est faux, car les natures humaine et divine de Jésus ne peuvent être séparées. Jésus ne peut agir uniquement en tant qu'humain ou uniquement en tant que Dieu. Il est toujours les deux en même temps. Cela faisait partie de l'erreur des anciens hérétiques nestoriens. Tout ce que fait Jésus, il le fait en tant qu'être qui est pleinement Dieu et pleinement humain.</w:t>
      </w:r>
    </w:p>
    <w:p>
      <w:r/>
      <w:r>
        <w:t>Être tenté et être incapable de pécher peuvent être vrais en même temps. Il est difficile pour nous de comprendre cela parce que nous sommes pécheurs et savons ce que c'est que de comettre le mal. L'expérience de Jésus était unique. Ses tentations dans le désert et tout au long de sa vie étaient réelles, même s'il était impossible pour lui de réellement pécher (</w:t>
      </w:r>
      <w:hyperlink r:id="rId6754">
        <w:r>
          <w:rPr>
            <w:color w:val="0000EE"/>
            <w:u w:val="single"/>
          </w:rPr>
          <w:t>Lc 22.28, 39–46</w:t>
        </w:r>
      </w:hyperlink>
      <w:r>
        <w:t>).</w:t>
      </w:r>
    </w:p>
    <w:p>
      <w:r/>
      <w:r>
        <w:t>Un exemple pour aider à expliquer cela est de penser à une forteresse qui ne peut être capturée tant que ses défenses restent solides. Même si la forteresse ne peut être vaincue, les ennemis peuvent toujours l'attaquer férocement. De la même manière, Jésus a fait face à de véritables tentations mais ne pouvait pas être vaincu par elles car il est le Saint Fils de Dieu.</w:t>
      </w:r>
    </w:p>
    <w:p>
      <w:r/>
      <w:r>
        <w:t>Ses tentations étaient réelles. Par conséquent, « nous n’avons pas un souverain sacrificateur qui ne puisse compatir à nos faiblesses ; au contraire, il a été tenté comme nous en toutes choses, sans commettre de péché. Approchons-nous donc avec assurance du trône de la grâce, afin d’obtenir miséricorde et de trouver grâce, pour être secourus dans nos besoins » (</w:t>
      </w:r>
      <w:hyperlink r:id="rId6755">
        <w:r>
          <w:rPr>
            <w:color w:val="0000EE"/>
            <w:u w:val="single"/>
          </w:rPr>
          <w:t>Hé 4.15–16</w:t>
        </w:r>
      </w:hyperlink>
      <w:r>
        <w:t>).</w:t>
      </w:r>
      <w:r/>
      <w:r/>
    </w:p>
    <w:p>
      <w:r/>
    </w:p>
    <w:p>
      <w:pPr>
        <w:pStyle w:val="Heading2"/>
      </w:pPr>
      <w:r>
        <w:t>Inscription Gallion</w:t>
      </w:r>
      <w:r/>
    </w:p>
    <w:p>
      <w:r/>
      <w:r>
        <w:t xml:space="preserve">Inscription grecque datée trouvée à Delphes, en Grèce, qui identifie Gallion comme proconsul (gouverneur) et établit le moment de la première visite de Paul à Corinthe (voir </w:t>
      </w:r>
      <w:hyperlink r:id="rId163">
        <w:r>
          <w:rPr>
            <w:color w:val="0000EE"/>
            <w:u w:val="single"/>
          </w:rPr>
          <w:t>Ac 18.12–17</w:t>
        </w:r>
      </w:hyperlink>
      <w:r>
        <w:t>).</w:t>
      </w:r>
    </w:p>
    <w:p>
      <w:r/>
      <w:r>
        <w:rPr>
          <w:i/>
        </w:rPr>
        <w:t>Voir</w:t>
      </w:r>
      <w:r>
        <w:t xml:space="preserve"> </w:t>
      </w:r>
      <w:r>
        <w:t>Chronologie de la Bible (Nouveau Testament)</w:t>
      </w:r>
      <w:r>
        <w:t xml:space="preserve"> ; </w:t>
      </w:r>
      <w:r>
        <w:t>Inscriptions</w:t>
      </w:r>
      <w:r>
        <w:t>.</w:t>
      </w:r>
      <w:r/>
      <w:r/>
    </w:p>
    <w:p>
      <w:r/>
    </w:p>
    <w:p>
      <w:pPr>
        <w:pStyle w:val="Heading2"/>
      </w:pPr>
      <w:r>
        <w:t>Inscriptions</w:t>
      </w:r>
      <w:r/>
    </w:p>
    <w:p>
      <w:r/>
      <w:r>
        <w:t>Terme utilisé pour désigner l'écriture dans le monde antique, réalisée sur un matériau de nature permanente, comme la pierre ou l'argile, plutôt que sur des substances ordinaires et non permanentes, telles que le papyrus ou le parchemin.</w:t>
      </w:r>
    </w:p>
    <w:p>
      <w:r/>
      <w:r>
        <w:t>Survol</w:t>
      </w:r>
    </w:p>
    <w:p>
      <w:r/>
      <w:r>
        <w:t xml:space="preserve">• </w:t>
      </w:r>
      <w:r>
        <w:rPr>
          <w:b/>
          <w:u w:val="single"/>
        </w:rPr>
        <w:t>Introduction</w:t>
      </w:r>
    </w:p>
    <w:p>
      <w:r/>
      <w:r>
        <w:t xml:space="preserve">• </w:t>
      </w:r>
      <w:r>
        <w:rPr>
          <w:b/>
          <w:u w:val="single"/>
        </w:rPr>
        <w:t>Inscriptions sur monuments</w:t>
      </w:r>
    </w:p>
    <w:p>
      <w:r/>
      <w:r>
        <w:t xml:space="preserve">• </w:t>
      </w:r>
      <w:r>
        <w:rPr>
          <w:b/>
          <w:u w:val="single"/>
        </w:rPr>
        <w:t>Archives historiques</w:t>
      </w:r>
    </w:p>
    <w:p>
      <w:r/>
      <w:r>
        <w:t xml:space="preserve">• </w:t>
      </w:r>
      <w:r>
        <w:rPr>
          <w:b/>
          <w:u w:val="single"/>
        </w:rPr>
        <w:t>Annonces officielles</w:t>
      </w:r>
    </w:p>
    <w:p>
      <w:r/>
      <w:r>
        <w:t xml:space="preserve">• </w:t>
      </w:r>
      <w:r>
        <w:rPr>
          <w:b/>
          <w:u w:val="single"/>
        </w:rPr>
        <w:t>Dédicaces</w:t>
      </w:r>
    </w:p>
    <w:p>
      <w:r/>
      <w:r>
        <w:t xml:space="preserve">• </w:t>
      </w:r>
      <w:r>
        <w:rPr>
          <w:b/>
          <w:u w:val="single"/>
        </w:rPr>
        <w:t>Correspondance</w:t>
      </w:r>
    </w:p>
    <w:p>
      <w:r/>
      <w:r>
        <w:t xml:space="preserve">• </w:t>
      </w:r>
      <w:r>
        <w:rPr>
          <w:b/>
          <w:u w:val="single"/>
        </w:rPr>
        <w:t>Décorations de sol en mosaïque</w:t>
      </w:r>
    </w:p>
    <w:p>
      <w:pPr>
        <w:pStyle w:val="Heading3"/>
      </w:pPr>
      <w:r>
        <w:t>Introduction</w:t>
      </w:r>
    </w:p>
    <w:p>
      <w:r/>
      <w:r>
        <w:t>Il existe des références occasionnelles aux inscriptions dans la Bible. Les Dix Commandements, par exemple, ont été inscrits sur de la pierre (</w:t>
      </w:r>
      <w:hyperlink r:id="rId6756">
        <w:r>
          <w:rPr>
            <w:color w:val="0000EE"/>
            <w:u w:val="single"/>
          </w:rPr>
          <w:t>Ex 31.18</w:t>
        </w:r>
      </w:hyperlink>
      <w:r>
        <w:t>) et donnés à Moïse, puis écrits par Josué sur de la pierre et érigés au mont Ébal près de Sichem (</w:t>
      </w:r>
      <w:hyperlink r:id="rId6757">
        <w:r>
          <w:rPr>
            <w:color w:val="0000EE"/>
            <w:u w:val="single"/>
          </w:rPr>
          <w:t>Jos 8.32</w:t>
        </w:r>
      </w:hyperlink>
      <w:r>
        <w:t>). Lors de fouilles à Sichem, G. E. Wright a trouvé une grande pierre préparée pour recevoir une inscription qu'il a datée de l'époque de Josué sur des bases stratigraphiques. Elle peut encore être vue sur le site. Un message de la main de Dieu au roi babylonien Belschatsar a été inscrit sur les murs de son palais (</w:t>
      </w:r>
      <w:hyperlink r:id="rId6758">
        <w:r>
          <w:rPr>
            <w:color w:val="0000EE"/>
            <w:u w:val="single"/>
          </w:rPr>
          <w:t>Dn 5.5, 24</w:t>
        </w:r>
      </w:hyperlink>
      <w:r>
        <w:t>). Paul a observé un autel avec l'inscription « À un dieu inconnu » dans le marché d'Athènes (</w:t>
      </w:r>
      <w:hyperlink r:id="rId6759">
        <w:r>
          <w:rPr>
            <w:color w:val="0000EE"/>
            <w:u w:val="single"/>
          </w:rPr>
          <w:t>Ac 17.23</w:t>
        </w:r>
      </w:hyperlink>
      <w:r>
        <w:t>). Le livre de l'Apocalypse parle des noms des douze tribus des fils d'Israël inscrits sur les portes de la ville céleste (</w:t>
      </w:r>
      <w:hyperlink r:id="rId6760">
        <w:r>
          <w:rPr>
            <w:color w:val="0000EE"/>
            <w:u w:val="single"/>
          </w:rPr>
          <w:t>Ap 21.12</w:t>
        </w:r>
      </w:hyperlink>
      <w:r>
        <w:t>).</w:t>
      </w:r>
    </w:p>
    <w:p>
      <w:r/>
      <w:r>
        <w:t>Les inscriptions dans le monde antique se trouvent dans presque toutes les langues et de n'importe quelle période de l'histoire : égyptien, babylonien, persan, grec, latin, hébreu, araméen, nabatéen, moabite, etc. Il fut un temps où il était populaire de soutenir que Moïse ne pouvait pas avoir écrit le Pentateuque parce que l'écriture n'avait pas été inventée si tôt. Les inscriptions trouvées dans les mines de turquoise de Serabit el-Khadim datant du XVe siècle av. J.‑C. ont réfuté cette thèse. De plus, il convient de noter que les tablettes d'argile trouvées à Ras Shamra par Claude Schaeffer et datées d'environ 1 400 av. J.‑C. démontrent une période considérable d'activité littéraire, tout comme les tablettes d'Ebla datant d'environ mille ans plus tôt.</w:t>
      </w:r>
    </w:p>
    <w:p>
      <w:r/>
      <w:r>
        <w:t>Les inscriptions peuvent être trouvées dans presque n'importe quelle position ou endroit, mais les emplacements les plus courants sont les sols des synagogues, des églises et des mosquées ; les pavés des forums ; les murs des bâtiments publics ; les pierres et statues dédicatoires ; les stèles et plaques monumentales ; les tombes et sarcophages ; et les bornes milliaires romaines. Une liste exhaustive est impossible, mais quelques échantillons représentatifs illustreront les divers types de matériel inscriptionnel existants.</w:t>
      </w:r>
    </w:p>
    <w:p>
      <w:pPr>
        <w:pStyle w:val="Heading3"/>
      </w:pPr>
      <w:r>
        <w:t>Inscriptions sur monuments</w:t>
      </w:r>
    </w:p>
    <w:p>
      <w:r/>
      <w:r>
        <w:t>Le pharaon égyptien Mérenptah a commémoré sa victoire sur les Peuples de la mer au XIIIe siècle av. J.‑C. en inscrivant une stèle de granit noir avec le récit de sa victoire. Elle contient la plus ancienne référence connue à Israël en dehors de la terre de Palestine : « Israël est dévasté ».</w:t>
      </w:r>
    </w:p>
    <w:p>
      <w:r/>
      <w:r>
        <w:t>Le roi israélite Omri (</w:t>
      </w:r>
      <w:hyperlink r:id="rId6761">
        <w:r>
          <w:rPr>
            <w:color w:val="0000EE"/>
            <w:u w:val="single"/>
          </w:rPr>
          <w:t>1R 16.16–30</w:t>
        </w:r>
      </w:hyperlink>
      <w:r>
        <w:t>) est mentionné dans un texte gravé en langue moabite sur une pierre datant de la fin du règne du roi moabite Méscha, vers 830 av. J.‑C. Elle a été découverte à Diban en 1868 et contient un récit de la rébellion réussie du roi contre l'oppression israélite.</w:t>
      </w:r>
    </w:p>
    <w:p>
      <w:r/>
      <w:r>
        <w:t>Une autre inscription monumentale a été trouvée à Persépolis, gravée sur la pente abrupte du mont Behistun. Il s'agit d'un rapport trilingue (vieux perse, élamite, akkadien) des exploits de Darius 1er, fournissant la clé pour percer le mystère de l'écriture cunéiforme dans laquelle plusieurs de ces langues anciennes étaient écrites.</w:t>
      </w:r>
    </w:p>
    <w:p>
      <w:r/>
      <w:r>
        <w:t>Le roi assyrien Salmanasar III a laissé un récit de ses six premières campagnes de conquête gravé sur un monolithe trouvé en 1861 à Kurkh sur le Hiddékel. La pierre est sculptée à l'avant et à l'arrière en cunéiforme, écrite sur un bas-relief du roi. Ce même roi a laissé un obélisque en pierre noire, de 2m de haut, représentant ses triomphes sur plusieurs autres rois, parmi lesquels se trouve Jéhu, roi d'Israël, représenté dans le deuxième panneau à partir du haut, se prosternant devant le monarque assyrien. Il s'agit de la plus ancienne image d'un Israélite que nous ayons, et la seule représentation connue d'un roi israélite par un de ses contemporains. L'inscription au-dessus de l'image indique : « Le tribut de Jéhu, fils [descendant] d'Omri … » Elle date du milieu du IXe siècle av. J.‑C.</w:t>
      </w:r>
    </w:p>
    <w:p>
      <w:pPr>
        <w:pStyle w:val="Heading3"/>
      </w:pPr>
      <w:r>
        <w:t>Archives historiques</w:t>
      </w:r>
    </w:p>
    <w:p>
      <w:r/>
      <w:r>
        <w:t xml:space="preserve">Dans la région de Mésopotamie, les anciens rois notaient fréquemment des rapports d'événements importants ou des proclamations sur pierre ou argile. Un exemple notable est le prisme d'argile contenant l'édition finale des Annales de Sanchérib datée de 691 av. J.‑C. Il est hexagonal, mesure 15 pouces (38 cm) de haut et 6 pouces (15 cm) de large, et est écrit sur tous les côtés en écriture cunéiforme. L'inscription parle d'« Ézéchias le Juif (roi de Juda), qui ne s'est pas soumis à mon joug [...]. Comme un oiseau en cage, je l'ai enfermé dans Jérusalem, sa ville royale » (cf. </w:t>
      </w:r>
      <w:hyperlink r:id="rId6762">
        <w:r>
          <w:rPr>
            <w:color w:val="0000EE"/>
            <w:u w:val="single"/>
          </w:rPr>
          <w:t>2R 18</w:t>
        </w:r>
      </w:hyperlink>
      <w:r>
        <w:t xml:space="preserve"> ; </w:t>
      </w:r>
      <w:hyperlink r:id="rId6763">
        <w:r>
          <w:rPr>
            <w:color w:val="0000EE"/>
            <w:u w:val="single"/>
          </w:rPr>
          <w:t>Es 36–39</w:t>
        </w:r>
      </w:hyperlink>
      <w:r>
        <w:t>).</w:t>
      </w:r>
    </w:p>
    <w:p>
      <w:r/>
      <w:r>
        <w:t xml:space="preserve">Bien qu'aucune annale comparable à celles produites par les rois assyriens n'ait survécu parmi les Babyloniens, nous avons quelques chroniques écrites sur des tablettes d'argile couvrant les années de 626 av. J.‑C. à la chute de Babylone face à Cyrus en l'an 539. L'une d'elles, la Chronique babylonienne, fournit une date exacte du 16 mars 597 av. J.‑C. pour la chute de Jérusalem face au roi babylonien </w:t>
      </w:r>
      <w:r>
        <w:t>Nebucadnetsar</w:t>
      </w:r>
      <w:r>
        <w:t xml:space="preserve"> (cf. </w:t>
      </w:r>
      <w:hyperlink r:id="rId5324">
        <w:r>
          <w:rPr>
            <w:color w:val="0000EE"/>
            <w:u w:val="single"/>
          </w:rPr>
          <w:t>2R 24.10–17</w:t>
        </w:r>
      </w:hyperlink>
      <w:r>
        <w:t>).</w:t>
      </w:r>
    </w:p>
    <w:p>
      <w:r/>
      <w:r>
        <w:t>Babylone elle-même est tombée aux mains de Cyrus le Mède, roi de Perse, en 539. L'événement est non seulement mentionné dans la Bible (</w:t>
      </w:r>
      <w:hyperlink r:id="rId5511">
        <w:r>
          <w:rPr>
            <w:color w:val="0000EE"/>
            <w:u w:val="single"/>
          </w:rPr>
          <w:t>Esd 1.1–3</w:t>
        </w:r>
      </w:hyperlink>
      <w:r>
        <w:t xml:space="preserve">), mais est également décrit sur un cylindre en argile en forme de baril de neuf pouces (23 cm) de longueur, écrit en écriture cunéiforme, pendant le règne de Cyrus. Il fait référence à sa politique qui permettait aux nations captives de reconstruire leurs villes et temples. Cela explique son encouragement et son aide financière aux Juifs pour retourner à Jérusalem afin de reconstruire le temple de Salomon que </w:t>
      </w:r>
      <w:r>
        <w:t>Nebucadnetsar</w:t>
      </w:r>
      <w:r>
        <w:t xml:space="preserve"> avait détruit (</w:t>
      </w:r>
      <w:hyperlink r:id="rId6764">
        <w:r>
          <w:rPr>
            <w:color w:val="0000EE"/>
            <w:u w:val="single"/>
          </w:rPr>
          <w:t>Esd 1.2–4</w:t>
        </w:r>
      </w:hyperlink>
      <w:r>
        <w:t>).</w:t>
      </w:r>
    </w:p>
    <w:p>
      <w:r/>
      <w:r>
        <w:t>Les pharaons égyptiens aimaient publier des récits de leurs exploits en écriture hiéroglyphique sur les murs des temples et des tombes. Ceux-ci étaient généralement gravés dans la pierre puis peints. L'un des récits les plus intéressants est la description par Schischak de son invasion du pays d'Israël, gravée sur le mur sud d'une cour du temple d'Amon à Karnak. L'inclusion de Meguiddo, ainsi que d'autres villes en Israël, parmi les plus de soixante-quinze villes dont les noms peuvent encore être lus, ajoute un intérêt historique au récit biblique de l'invasion de Schischak et de la conquête de Jérusalem et des « villes fortifiées de Juda » (</w:t>
      </w:r>
      <w:hyperlink r:id="rId3923">
        <w:r>
          <w:rPr>
            <w:color w:val="0000EE"/>
            <w:u w:val="single"/>
          </w:rPr>
          <w:t>1R 14.25–26</w:t>
        </w:r>
      </w:hyperlink>
      <w:r>
        <w:t xml:space="preserve">; </w:t>
      </w:r>
      <w:hyperlink r:id="rId6765">
        <w:r>
          <w:rPr>
            <w:color w:val="0000EE"/>
            <w:u w:val="single"/>
          </w:rPr>
          <w:t>2Ch 12.2–10</w:t>
        </w:r>
      </w:hyperlink>
      <w:r>
        <w:t>). Les découvertes archéologiques confirment une destruction et un incendie de la ville à cette époque.</w:t>
      </w:r>
    </w:p>
    <w:p>
      <w:pPr>
        <w:pStyle w:val="Heading3"/>
      </w:pPr>
      <w:r>
        <w:t>Annonces officielles</w:t>
      </w:r>
    </w:p>
    <w:p>
      <w:r/>
      <w:r>
        <w:t xml:space="preserve">Lorsqu'un ancien monarque ou un fonctionnaire public souhaitait publier une annonce avec un certain degré de permanence, elle était gravée dans la pierre ou réalisée en mosaïque. Une inscription sur une dalle de marbre datant du règne de Claude (41–54 ap. J.‑C.) a été découverte en 1878, provenant de la ville de Nazareth. Elle contient un avertissement contre le pillage de tombes ou toute autre profanation de cimetières. La peine pour une telle violation était déclarée être la mort. L'inscription peut refléter certains des problèmes que Claude a eus à Rome concernant la personne de Christ (Suétone, </w:t>
      </w:r>
      <w:r>
        <w:rPr>
          <w:i/>
        </w:rPr>
        <w:t>Claude</w:t>
      </w:r>
      <w:r>
        <w:t xml:space="preserve"> 25) qui ont conduit à l'expulsion des Juifs de la capitale (</w:t>
      </w:r>
      <w:hyperlink r:id="rId3112">
        <w:r>
          <w:rPr>
            <w:color w:val="0000EE"/>
            <w:u w:val="single"/>
          </w:rPr>
          <w:t>Ac 18</w:t>
        </w:r>
      </w:hyperlink>
      <w:r>
        <w:t>). La question devait être la résurrection de Christ telle que proclamée à Rome.</w:t>
      </w:r>
    </w:p>
    <w:p>
      <w:r/>
      <w:r>
        <w:t>Des annonces étaient placées même dans les temples. Josèphe a fait référence à un petit mur entourant le temple juif à Jérusalem qui contenait des dalles de pierre à intervalles réguliers avertissant en grec et en latin les Gentils entrant dans le temple (</w:t>
      </w:r>
      <w:r>
        <w:rPr>
          <w:i/>
        </w:rPr>
        <w:t>Guerre</w:t>
      </w:r>
      <w:r>
        <w:t xml:space="preserve"> 5.193–34 ; 6.125–26 ; </w:t>
      </w:r>
      <w:r>
        <w:rPr>
          <w:i/>
        </w:rPr>
        <w:t>Antiquités</w:t>
      </w:r>
      <w:r>
        <w:t xml:space="preserve"> 15.417). Deux exemples fragmentaires ont été trouvés. L'un, découvert par Clermont-Ganneau en 1871, dit : « Aucun étranger ne doit entrer dans la balustrade et le remblai autour du sanctuaire. Quiconque est pris devra s'en prendre à lui-même pour sa mort qui s'ensuit. » Les Romains permettaient aux Juifs de mettre à mort quiconque, même un Romain, qui dépassait cette barrière (</w:t>
      </w:r>
      <w:r>
        <w:rPr>
          <w:i/>
        </w:rPr>
        <w:t>Guerre</w:t>
      </w:r>
      <w:r>
        <w:t xml:space="preserve"> 6.126).</w:t>
      </w:r>
    </w:p>
    <w:p>
      <w:r/>
      <w:r>
        <w:t>Une inscription importante commandée par l'empereur Claude a été découverte au début du XXe siècle à Delphes, en Grèce. Elle était écrite en grec et mentionne Gallion comme proconsul avec une date qui peut être établie comme 51–52 apr. J.‑C. pour son mandat. Ce Gallion est le proconsul devant lequel Paul a été porté par les Juifs de Corinthe (</w:t>
      </w:r>
      <w:hyperlink r:id="rId163">
        <w:r>
          <w:rPr>
            <w:color w:val="0000EE"/>
            <w:u w:val="single"/>
          </w:rPr>
          <w:t>Ac 18.12–17</w:t>
        </w:r>
      </w:hyperlink>
      <w:r>
        <w:t>). Il est donc extrêmement important pour établir la date du séjour de dix-huit mois de Paul à Corinthe, et une date pivot importante pour la chronologie paulinienne en général. L'inscription est une annonce impériale aux citoyens de Delphes concernant la nécessité d'augmenter la population de la ville avec des personnes éminentes.</w:t>
      </w:r>
    </w:p>
    <w:p>
      <w:r/>
      <w:r>
        <w:t>Le nom de Ponce Pilate apparaît dans une inscription latine gravée sur une pierre trouvée dans le théâtre romain à Césarée Maritima, sur la côte d'Israël. Elle le désigne, en mots partiellement mutilés, comme préfet et contient le nom Tiberium, qui désigne une structure construite en l'honneur de l'empereur Tibère.</w:t>
      </w:r>
    </w:p>
    <w:p>
      <w:pPr>
        <w:pStyle w:val="Heading3"/>
      </w:pPr>
      <w:r>
        <w:t>Dédicaces</w:t>
      </w:r>
    </w:p>
    <w:p>
      <w:r/>
      <w:r>
        <w:t>Les inscriptions étaient couramment placées sur les murs ou les sols des bâtiments ou attachées à une autre structure pour dédier l'édifice achevé. Une inscription a été gravée dans le mur d'un long tunnel construit par le roi juif Ézéchias à Jérusalem lorsque le tunnel a été terminé (</w:t>
      </w:r>
      <w:hyperlink r:id="rId1429">
        <w:r>
          <w:rPr>
            <w:color w:val="0000EE"/>
            <w:u w:val="single"/>
          </w:rPr>
          <w:t>2R 20.20</w:t>
        </w:r>
      </w:hyperlink>
      <w:r>
        <w:t>). Elle est en hébreu et se trouve maintenant au musée d'Istanbul. Il s'agit de l'une des plus anciennes inscriptions que nous ayons dans cette langue, et elle décrit la construction du tunnel de Siloé.</w:t>
      </w:r>
    </w:p>
    <w:p>
      <w:r/>
      <w:r>
        <w:t xml:space="preserve">Dans la ville de Corinthe en Grèce, il y a une inscription dédicatoire gravée dans le pavé d'une place du côté nord du grand théâtre. L'inscription latine abrégée se lit : </w:t>
      </w:r>
      <w:r>
        <w:rPr>
          <w:i/>
        </w:rPr>
        <w:t>Erastus pro ædilitate sua pecunia stravit</w:t>
      </w:r>
      <w:r>
        <w:t xml:space="preserve"> (« Éraste, en retour de son édilité, a pavé à ses propres frais »). Le bronze a depuis longtemps été retiré des lettres gravées dans le calcaire gris de l'Acrocorinthe. Il s'agit probablement du même « Éraste, le trésorier de la ville » mentionné par Paul dans </w:t>
      </w:r>
      <w:hyperlink r:id="rId2373">
        <w:r>
          <w:rPr>
            <w:color w:val="0000EE"/>
            <w:u w:val="single"/>
          </w:rPr>
          <w:t>Romains 16.23</w:t>
        </w:r>
      </w:hyperlink>
      <w:r>
        <w:t>. Une inscription similaire de l'agora corinthienne de l'époque de Paul se lit : « Gnæus Babbius Philinus, édile et pontife, a fait ériger ce monument à ses propres frais, et il l'a approuvé en sa qualité officielle de duovir. »</w:t>
      </w:r>
    </w:p>
    <w:p>
      <w:r/>
      <w:r>
        <w:t>Une inscription dédicatoire monumentale en grec a été découverte à Jérusalem lors de fouilles en 1913–14, qui se trouvait autrefois sur le mur d'une synagogue du premier siècle apr. J.‑C. sur le mont Ophel. Elle fait référence à un certain Théodote, fils d'un chef de la synagogue nommé Vettenos, qui a construit la synagogue. Étant donné le fait que le nom Vettenos est romain, il se peut que Théodote ait été un esclave juif qui avait été libéré et avait reçu le nom romain de son maître. Si c'est le cas, cette inscription pourrait avoir été accrochée à la « synagogue dite des Affranchis » à Jérusalem (</w:t>
      </w:r>
      <w:hyperlink r:id="rId383">
        <w:r>
          <w:rPr>
            <w:color w:val="0000EE"/>
            <w:u w:val="single"/>
          </w:rPr>
          <w:t>Ac 6.9</w:t>
        </w:r>
      </w:hyperlink>
      <w:r>
        <w:t>).</w:t>
      </w:r>
    </w:p>
    <w:p>
      <w:r/>
      <w:r>
        <w:t>Le British Museum abrite une partie d'une arche brisée qui se dressait au-dessus d'une entrée de la ville grecque de Thessalonique du premier siècle apr. J.‑C. jusqu'en 1867, lorsqu'elle a été démolie pour fournir des pierres à la réparation du vaste mur de la ville. L'inscription commence par : « À l'époque des politarques ». Il s'agit d'un mot rare se référant à des fonctionnaires romains, et il est utilisé dans le livre des Actes (</w:t>
      </w:r>
      <w:hyperlink r:id="rId6766">
        <w:r>
          <w:rPr>
            <w:color w:val="0000EE"/>
            <w:u w:val="single"/>
          </w:rPr>
          <w:t>Ac 17.6</w:t>
        </w:r>
      </w:hyperlink>
      <w:r>
        <w:t>) en référence aux autorités de la ville de Thessalonique. Ce mot ne se trouve nulle part ailleurs dans la littérature grecque.</w:t>
      </w:r>
    </w:p>
    <w:p>
      <w:pPr>
        <w:pStyle w:val="Heading3"/>
      </w:pPr>
      <w:r>
        <w:t>Correspondance</w:t>
      </w:r>
    </w:p>
    <w:p>
      <w:r/>
      <w:r>
        <w:t>Au deuxième millénaire avant Jésus-Christ, il était courant d'écrire des correspondances sur de petites tablettes d'argile. Plus d'un demi-million ont été trouvées à Mari, Nuzi, Ninive, Ebla et ailleurs. Des exemples intéressants de telles correspondances peuvent être trouvés dans un grand nombre de tablettes d'argile découvertes à Tell el-Amarna en Haute-Égypte. Elles ont été écrites en langue babylonienne, utilisant l'écriture cunéiforme à l'époque où Akhenaton était absorbé par sa réforme de l'art et de la religion égyptiens dans sa nouvelle capitale Tell el-Amarna (Akhetaten), tandis que la Palestine et la Syrie étaient laissées à la merci de maraudeurs appelés Habiru dans les documents. Beaucoup de ces tablettes sont écrites depuis des villes de Canaan sous attaque et demandent de l'aide au Pharaon, dont elles sont les vassales à cette époque (fin du XIVe siècle avant J.‑C.). Certains pensent que ces Habiru étaient les anciens Hébreux qui ont envahi la terre sous la direction de Josué.</w:t>
      </w:r>
    </w:p>
    <w:p>
      <w:r/>
      <w:r>
        <w:t>Parfois, la correspondance était écrite à l'encre sur des morceaux cassés de poterie en céramique (tessons) appelés ostraca. En 1935, dix-huit d'entre eux ont été découverts lors des fouilles à Lakis, dans le sud d'Israël. Ils sont écrits en hébreu et fournissent des exemples du type d'écriture utilisée par les Judéens à l'époque de Jérémie. La langue est essentiellement identique à l'hébreu de l'Ancien Testament. Les lettres ont été envoyées par Hoshayahu, un officier responsable d'une ville voisine, à Yaosh, le gouverneur militaire de Lakis, pendant l'invasion de la Judée par les Babyloniens, qui s'est terminée par la destruction du temple à Jérusalem en 586 av. J.‑C.</w:t>
      </w:r>
    </w:p>
    <w:p>
      <w:r/>
      <w:r>
        <w:t>Onze tessons de poterie de ce type ont été trouvés à Massada, sur la rive occidentale de la mer Morte, lors des fouilles menées par Yigael Yadin de 1963 à 1965. Massada a été détruite par l'armée romaine sous le commandement de Flavius Silva en 73 apr. J.‑C. Neuf cent soixante hommes, femmes et enfants se sont suicidés plutôt que de se rendre aux Romains. Dix hommes ont été choisis pour trancher la gorge de ceux qui restaient. Selon Josèphe, ils ont tiré au sort pour décider qui devrait se charger de cette tâche terrible (</w:t>
      </w:r>
      <w:r>
        <w:rPr>
          <w:i/>
        </w:rPr>
        <w:t>Guerre</w:t>
      </w:r>
      <w:r>
        <w:t xml:space="preserve"> 7.395), et le professeur Yadin pense que les ostraca qu'il a trouvés étaient ceux utilisés lors du tirage au sort. L'un d'eux contenait le nom de Ben Yair, qui était probablement Eleazer Ben Yair, le commandant de la forteresse.</w:t>
      </w:r>
    </w:p>
    <w:p>
      <w:pPr>
        <w:pStyle w:val="Heading3"/>
      </w:pPr>
      <w:r>
        <w:t>Décoration de sol en mosaïque</w:t>
      </w:r>
    </w:p>
    <w:p>
      <w:r/>
      <w:r>
        <w:t xml:space="preserve">Au cours des périodes romaine et byzantine, il était courant de décorer les sols des basiliques, bains, synagogues, églises et autres bâtiments publics avec des tessellations élaborées contenant des inscriptions et des œuvres d'art. Une excavation en 1972 a révélé un bâtiment à Césarée Maritime avec des inscriptions en mosaïque sur six sols à travers la structure. Deux d'entre elles présentent le texte grec de </w:t>
      </w:r>
      <w:hyperlink r:id="rId2218">
        <w:r>
          <w:rPr>
            <w:color w:val="0000EE"/>
            <w:u w:val="single"/>
          </w:rPr>
          <w:t>Romains 13.3</w:t>
        </w:r>
      </w:hyperlink>
      <w:r>
        <w:t xml:space="preserve"> inscrit dans une bordure circulaire. Une autre est une bénédiction pour celui qui entre et sort de la pièce : « Que le Seigneur bénisse ton entrée et ta sortie ». Deux d'entre elles invoquent l'aide de Christ pour les personnes associées à la fonction et à la construction du bâtiment. Celles-ci faisaient partie d'un bâtiment qui a été détruit au VIIe siècle apr. J.‑C.</w:t>
      </w:r>
    </w:p>
    <w:p>
      <w:r/>
      <w:r>
        <w:t>Les sols des synagogues à Tibériade-Hamath, Beth Shan, Beth Alpha, Eschthemoa, Susiya, Hamath-gader, En-Guédi, et d'autres en Israël comportent des inscriptions en grec et en araméen qui se réfèrent généralement aux bienfaiteurs de la synagogue. Un sol de synagogue a été découvert à Naro, en Tunisie, contenant une inscription en latin. Dans la synagogue de Tibériade, l'hébreu était utilisé uniquement pour désigner les symboles astrologiques apparaissant dans le zodiaque. L'araméen était principalement employé pour la Halakha (règle ou loi religieuse), et le grec était principalement utilisé pour honorer les donateurs.</w:t>
      </w:r>
    </w:p>
    <w:p>
      <w:r/>
      <w:r>
        <w:t>L'une des inscriptions de sol en mosaïque les plus célèbres dans les églises se trouvait à Madaba, en Jordanie, où la plus ancienne carte connue d'Israël et de Jordanie a été intégrée dans le sol au VIe siècle apr. J.‑C. Les noms de lieux des villes, les caractéristiques géographiques et les passages des Écritures sont indiqués en grec. Les sols des églises contiennent généralement des dédicaces datées ou non datées, des bénédictions et des citations des Écritures qui apparaissent en araméen, copte, syriaque, latin et grec. Le symbolisme accompagne souvent les inscriptions, mais en 427 apr. J.‑C., un édit a été émis interdisant l'utilisation de croix et d'autres symboles religieux sur les pavements afin qu'ils ne soient pas piétinés. Il n'est pas clair dans quelle mesure cette interdiction était répandue.</w:t>
      </w:r>
    </w:p>
    <w:p>
      <w:r/>
      <w:r>
        <w:rPr>
          <w:i/>
        </w:rPr>
        <w:t>Voir aussi</w:t>
      </w:r>
      <w:r>
        <w:t xml:space="preserve"> </w:t>
      </w:r>
      <w:r>
        <w:t>Archéologie et la Bible</w:t>
      </w:r>
      <w:r>
        <w:t xml:space="preserve"> ; </w:t>
      </w:r>
      <w:r>
        <w:t>Poterie</w:t>
      </w:r>
      <w:r>
        <w:t>.</w:t>
      </w:r>
      <w:r/>
      <w:r/>
    </w:p>
    <w:p>
      <w:r/>
    </w:p>
    <w:p>
      <w:pPr>
        <w:pStyle w:val="Heading2"/>
      </w:pPr>
      <w:r>
        <w:t>Instruments de musique</w:t>
      </w:r>
      <w:r/>
    </w:p>
    <w:p>
      <w:r/>
      <w:r>
        <w:t>Instruments à cordes, à vent et à percussion utilisés pour créer de la musique.</w:t>
      </w:r>
    </w:p>
    <w:p>
      <w:r/>
      <w:r>
        <w:t>L'Ancien Testament nous en dit beaucoup sur la manière dont les gens utilisaient la musique dans le culte au temple. Cependant, il ne donne pas beaucoup de détails sur l'apparence des instruments ou leur fabrication. Ceci est en partie dû au deuxième commandement de Dieu. Le peuple hébreu comprenait ce commandement comme signifiant qu'il ne devait pas faire de dessins ou d'images de choses, y compris des instruments de musique. Le livre de Daniel mentionne six instruments différents qui étaient joués dans le palais du roi Nebucadnetsar.</w:t>
      </w:r>
    </w:p>
    <w:p>
      <w:r/>
      <w:r>
        <w:t>Les anciens Hébreux avaient des règles spéciales concernant les instruments qu'ils pouvaient utiliser dans le culte du temple. Ils ne les choisissaient pas en fonction de leur sonorité, mais en fonction de leur statut de « pur » (acceptable) ou « impur » (non acceptable) pour le culte. Certains instruments n'étaient pas autorisés dans le temple car ils étaient considérés comme impurs.</w:t>
      </w:r>
    </w:p>
    <w:p>
      <w:pPr>
        <w:pStyle w:val="Heading3"/>
      </w:pPr>
      <w:r>
        <w:t>Instruments à cordes</w:t>
      </w:r>
    </w:p>
    <w:p>
      <w:r/>
      <w:r>
        <w:t xml:space="preserve">Le peuple juif appréciait particulièrement les instruments à cordes. Ils pensaient que ces instruments étaient les meilleurs pour jouer de la musique lors des cérémonies au temple. De nombreux autres peuples anciens considéraient également les instruments à cordes comme très importants. Le roi David, par exemple, jouait d'un instrument à cordes appelé la lyre. Dans </w:t>
      </w:r>
      <w:hyperlink r:id="rId6767">
        <w:r>
          <w:rPr>
            <w:color w:val="0000EE"/>
            <w:u w:val="single"/>
          </w:rPr>
          <w:t>Psaumes 150.4</w:t>
        </w:r>
      </w:hyperlink>
      <w:r>
        <w:t xml:space="preserve">, le mot hébreu </w:t>
      </w:r>
      <w:r>
        <w:rPr>
          <w:i/>
        </w:rPr>
        <w:t>minim</w:t>
      </w:r>
      <w:r>
        <w:t xml:space="preserve"> (qui signifie « cordes ») fait référence à tous les différents types d'instruments à cordes que les gens utilisaient pour louer Dieu.</w:t>
      </w:r>
    </w:p>
    <w:p>
      <w:pPr>
        <w:pStyle w:val="Heading4"/>
      </w:pPr>
      <w:r>
        <w:t>Asor</w:t>
      </w:r>
    </w:p>
    <w:p>
      <w:r/>
      <w:r>
        <w:rPr>
          <w:i/>
        </w:rPr>
        <w:t>Asor</w:t>
      </w:r>
      <w:r>
        <w:t xml:space="preserve"> apparaît trois fois dans le livre des Psaumes (</w:t>
      </w:r>
      <w:hyperlink r:id="rId6768">
        <w:r>
          <w:rPr>
            <w:color w:val="0000EE"/>
            <w:u w:val="single"/>
          </w:rPr>
          <w:t>Ps 33.2</w:t>
        </w:r>
      </w:hyperlink>
      <w:r>
        <w:t xml:space="preserve"> ; </w:t>
      </w:r>
      <w:hyperlink r:id="rId6769">
        <w:r>
          <w:rPr>
            <w:color w:val="0000EE"/>
            <w:u w:val="single"/>
          </w:rPr>
          <w:t>92.3</w:t>
        </w:r>
      </w:hyperlink>
      <w:r>
        <w:t xml:space="preserve"> ; </w:t>
      </w:r>
      <w:hyperlink r:id="rId6770">
        <w:r>
          <w:rPr>
            <w:color w:val="0000EE"/>
            <w:u w:val="single"/>
          </w:rPr>
          <w:t>144.9</w:t>
        </w:r>
      </w:hyperlink>
      <w:r>
        <w:t xml:space="preserve">). Le mot </w:t>
      </w:r>
      <w:r>
        <w:rPr>
          <w:i/>
        </w:rPr>
        <w:t>asor</w:t>
      </w:r>
      <w:r>
        <w:t xml:space="preserve"> (qui signifie « dix » en hébreu) pourrait se référer à un instrument à dix cordes. Les chercheurs pensent que l'</w:t>
      </w:r>
      <w:r>
        <w:rPr>
          <w:i/>
        </w:rPr>
        <w:t>asor</w:t>
      </w:r>
      <w:r>
        <w:t xml:space="preserve"> était semblable à une cithare (un instrument à cordes plat) de Phénicie qui avait dix cordes. Il pourrait également avoir été similaire à un luth (un autre type d'instrument à cordes).</w:t>
      </w:r>
    </w:p>
    <w:p>
      <w:pPr>
        <w:pStyle w:val="Heading4"/>
      </w:pPr>
      <w:r>
        <w:t>Kathros</w:t>
      </w:r>
    </w:p>
    <w:p>
      <w:r/>
      <w:r>
        <w:t xml:space="preserve">Un </w:t>
      </w:r>
      <w:r>
        <w:rPr>
          <w:i/>
        </w:rPr>
        <w:t>kathros</w:t>
      </w:r>
      <w:r>
        <w:t xml:space="preserve"> était joué dans le palais du roi Nebucadnetsar. L'instrument était probablement similaire à une lyre, un petit instrument ressemblant à une harpe que les gens tenaient dans leurs mains (</w:t>
      </w:r>
      <w:hyperlink r:id="rId6771">
        <w:r>
          <w:rPr>
            <w:color w:val="0000EE"/>
            <w:u w:val="single"/>
          </w:rPr>
          <w:t>Dn 3.5, 7, 10, 15</w:t>
        </w:r>
      </w:hyperlink>
      <w:r>
        <w:t>).</w:t>
      </w:r>
    </w:p>
    <w:p>
      <w:pPr>
        <w:pStyle w:val="Heading4"/>
      </w:pPr>
      <w:r>
        <w:t>Kinnor</w:t>
      </w:r>
    </w:p>
    <w:p>
      <w:r/>
      <w:r>
        <w:t xml:space="preserve">Le </w:t>
      </w:r>
      <w:r>
        <w:rPr>
          <w:i/>
        </w:rPr>
        <w:t>kinnor</w:t>
      </w:r>
      <w:r>
        <w:t xml:space="preserve"> apparaît plus souvent dans la Bible que tout autre instrument. Il est mentionné quarante-deux fois. Beaucoup de gens l'appellent « la harpe de David », et il est devenu l'instrument le plus aimé du peuple juif. Il ressemblait plus à une lyre qu'à une grande harpe. Le nombre de ses cordes est incertain, mais elles étaient faites d'intestins de mouton. La caisse de résonance se trouvait au bas de l'instrument.</w:t>
      </w:r>
    </w:p>
    <w:p>
      <w:r/>
      <w:r>
        <w:t xml:space="preserve">Nous ne savons pas si les gens jouaient du </w:t>
      </w:r>
      <w:r>
        <w:rPr>
          <w:i/>
        </w:rPr>
        <w:t>kinnor</w:t>
      </w:r>
      <w:r>
        <w:t xml:space="preserve"> avec un plectre ou avec leurs mains. La Bible nous dit que David en « jouait de sa main » (</w:t>
      </w:r>
      <w:hyperlink r:id="rId6772">
        <w:r>
          <w:rPr>
            <w:color w:val="0000EE"/>
            <w:u w:val="single"/>
          </w:rPr>
          <w:t>1S 16.23</w:t>
        </w:r>
      </w:hyperlink>
      <w:r>
        <w:t xml:space="preserve">), ce qui pourrait signifier que jouer avec les mains n'était pas la manière habituelle. Le </w:t>
      </w:r>
      <w:r>
        <w:rPr>
          <w:i/>
        </w:rPr>
        <w:t>kinnor</w:t>
      </w:r>
      <w:r>
        <w:t xml:space="preserve"> était « mélodi[eux] » (</w:t>
      </w:r>
      <w:hyperlink r:id="rId6773">
        <w:r>
          <w:rPr>
            <w:color w:val="0000EE"/>
            <w:u w:val="single"/>
          </w:rPr>
          <w:t>Ps 81.2</w:t>
        </w:r>
      </w:hyperlink>
      <w:r>
        <w:t>). Il était utilisé dans le culte, les célébrations et les occasions d'État (</w:t>
      </w:r>
      <w:hyperlink r:id="rId6774">
        <w:r>
          <w:rPr>
            <w:color w:val="0000EE"/>
            <w:u w:val="single"/>
          </w:rPr>
          <w:t>1S 10.5</w:t>
        </w:r>
      </w:hyperlink>
      <w:r>
        <w:t xml:space="preserve"> ; </w:t>
      </w:r>
      <w:hyperlink r:id="rId4583">
        <w:r>
          <w:rPr>
            <w:color w:val="0000EE"/>
            <w:u w:val="single"/>
          </w:rPr>
          <w:t>2S 6.5</w:t>
        </w:r>
      </w:hyperlink>
      <w:r>
        <w:t xml:space="preserve"> ; </w:t>
      </w:r>
      <w:hyperlink r:id="rId6775">
        <w:r>
          <w:rPr>
            <w:color w:val="0000EE"/>
            <w:u w:val="single"/>
          </w:rPr>
          <w:t>Es 5.12</w:t>
        </w:r>
      </w:hyperlink>
      <w:r>
        <w:t>). Il était également joué par les bergers (</w:t>
      </w:r>
      <w:hyperlink r:id="rId6776">
        <w:r>
          <w:rPr>
            <w:color w:val="0000EE"/>
            <w:u w:val="single"/>
          </w:rPr>
          <w:t>1S 16.16</w:t>
        </w:r>
      </w:hyperlink>
      <w:r>
        <w:t>).</w:t>
      </w:r>
    </w:p>
    <w:p>
      <w:pPr>
        <w:pStyle w:val="Heading4"/>
      </w:pPr>
      <w:r>
        <w:t>Nebel</w:t>
      </w:r>
    </w:p>
    <w:p>
      <w:r/>
      <w:r>
        <w:t xml:space="preserve">Apparaît vingt-sept fois dans la Bible. Le mot </w:t>
      </w:r>
      <w:r>
        <w:rPr>
          <w:i/>
        </w:rPr>
        <w:t>nebel</w:t>
      </w:r>
      <w:r>
        <w:t xml:space="preserve"> signifie « peau » ou « bouteille en peau » en hébreu, en raison, peut-être, du fait que l'instrument avait la forme d'une bouteille, avec une partie inférieure ronde et large qui produisait le son. Il s'agissait d'un type de harpe (</w:t>
      </w:r>
      <w:hyperlink r:id="rId4583">
        <w:r>
          <w:rPr>
            <w:color w:val="0000EE"/>
            <w:u w:val="single"/>
          </w:rPr>
          <w:t>2S 6.5</w:t>
        </w:r>
      </w:hyperlink>
      <w:r>
        <w:t xml:space="preserve"> ; </w:t>
      </w:r>
      <w:hyperlink r:id="rId6777">
        <w:r>
          <w:rPr>
            <w:color w:val="0000EE"/>
            <w:u w:val="single"/>
          </w:rPr>
          <w:t>1R 10.12</w:t>
        </w:r>
      </w:hyperlink>
      <w:r>
        <w:t xml:space="preserve"> ; </w:t>
      </w:r>
      <w:hyperlink r:id="rId6778">
        <w:r>
          <w:rPr>
            <w:color w:val="0000EE"/>
            <w:u w:val="single"/>
          </w:rPr>
          <w:t>Né 12.27</w:t>
        </w:r>
      </w:hyperlink>
      <w:r>
        <w:t xml:space="preserve"> ; </w:t>
      </w:r>
      <w:hyperlink r:id="rId6779">
        <w:r>
          <w:rPr>
            <w:color w:val="0000EE"/>
            <w:u w:val="single"/>
          </w:rPr>
          <w:t>Ps 57.8</w:t>
        </w:r>
      </w:hyperlink>
      <w:r>
        <w:t xml:space="preserve"> ; </w:t>
      </w:r>
      <w:hyperlink r:id="rId6780">
        <w:r>
          <w:rPr>
            <w:color w:val="0000EE"/>
            <w:u w:val="single"/>
          </w:rPr>
          <w:t>Am 5.23</w:t>
        </w:r>
      </w:hyperlink>
      <w:r>
        <w:t xml:space="preserve">). Il était probablement similaire aux harpes d'Égypte. Les gens jouaient probablement du </w:t>
      </w:r>
      <w:r>
        <w:rPr>
          <w:i/>
        </w:rPr>
        <w:t>nebel</w:t>
      </w:r>
      <w:r>
        <w:t xml:space="preserve"> avec leurs mains au lieu d'un plectre. Il était plus grand et produisait un son plus fort que le </w:t>
      </w:r>
      <w:r>
        <w:rPr>
          <w:i/>
        </w:rPr>
        <w:t>kinnor</w:t>
      </w:r>
      <w:r>
        <w:t>.</w:t>
      </w:r>
    </w:p>
    <w:p>
      <w:r/>
      <w:r>
        <w:t xml:space="preserve">Les Bibles françaises modernes traduisent généralement </w:t>
      </w:r>
      <w:r>
        <w:rPr>
          <w:i/>
        </w:rPr>
        <w:t>nebel</w:t>
      </w:r>
      <w:r>
        <w:t xml:space="preserve"> par « harpe ».</w:t>
      </w:r>
    </w:p>
    <w:p>
      <w:pPr>
        <w:pStyle w:val="Heading4"/>
      </w:pPr>
      <w:r>
        <w:t>Psantrin (Pesanterin)</w:t>
      </w:r>
    </w:p>
    <w:p>
      <w:r/>
      <w:r>
        <w:t xml:space="preserve">Le </w:t>
      </w:r>
      <w:r>
        <w:rPr>
          <w:i/>
        </w:rPr>
        <w:t>psantrin</w:t>
      </w:r>
      <w:r>
        <w:t xml:space="preserve"> (également appelé </w:t>
      </w:r>
      <w:r>
        <w:rPr>
          <w:i/>
        </w:rPr>
        <w:t>pesanterin</w:t>
      </w:r>
      <w:r>
        <w:t>) était un instrument de Grèce. Il était joué dans l'orchestre du roi Nebucadnetsar (</w:t>
      </w:r>
      <w:hyperlink r:id="rId6781">
        <w:r>
          <w:rPr>
            <w:color w:val="0000EE"/>
            <w:u w:val="single"/>
          </w:rPr>
          <w:t>Dn 3.5–15</w:t>
        </w:r>
      </w:hyperlink>
      <w:r>
        <w:t>). Il se peut qu'il ait ressemblé à un tympanon (instrument à cordes que l'on joue en frappant les cordes avec de petits marteaux).</w:t>
      </w:r>
    </w:p>
    <w:p>
      <w:pPr>
        <w:pStyle w:val="Heading4"/>
      </w:pPr>
      <w:r>
        <w:t>Sabcha (Sabbéka)</w:t>
      </w:r>
    </w:p>
    <w:p>
      <w:r/>
      <w:r>
        <w:t xml:space="preserve">Le </w:t>
      </w:r>
      <w:r>
        <w:rPr>
          <w:i/>
        </w:rPr>
        <w:t>sabcha</w:t>
      </w:r>
      <w:r>
        <w:t xml:space="preserve"> (également appelé </w:t>
      </w:r>
      <w:r>
        <w:rPr>
          <w:i/>
        </w:rPr>
        <w:t>sabbéka</w:t>
      </w:r>
      <w:r>
        <w:t>) était un instrument à cordes joué dans le palais du roi à Babylone (</w:t>
      </w:r>
      <w:hyperlink r:id="rId6781">
        <w:r>
          <w:rPr>
            <w:color w:val="0000EE"/>
            <w:u w:val="single"/>
          </w:rPr>
          <w:t>Dn 3.5–15</w:t>
        </w:r>
      </w:hyperlink>
      <w:r>
        <w:t xml:space="preserve">). Les Grecs l'appelaient </w:t>
      </w:r>
      <w:r>
        <w:rPr>
          <w:i/>
        </w:rPr>
        <w:t>sambyke</w:t>
      </w:r>
      <w:r>
        <w:t xml:space="preserve">, et les Romains l'appelaient </w:t>
      </w:r>
      <w:r>
        <w:rPr>
          <w:i/>
        </w:rPr>
        <w:t>sambuca</w:t>
      </w:r>
      <w:r>
        <w:t xml:space="preserve">. Il avait la forme d'un triangle, possédait quatre cordes et produisait un son aigu et perçant. La version Louis Segond l'appelle une « </w:t>
      </w:r>
      <w:r>
        <w:t>sambuque</w:t>
      </w:r>
      <w:r>
        <w:t xml:space="preserve"> ».</w:t>
      </w:r>
    </w:p>
    <w:p>
      <w:pPr>
        <w:pStyle w:val="Heading3"/>
      </w:pPr>
      <w:r>
        <w:t>Instruments à vent</w:t>
      </w:r>
    </w:p>
    <w:p>
      <w:r/>
      <w:r>
        <w:t>Les instruments à vent (instruments dans lesquels on souffle pour produire de la musique) peuvent être divisés en deux groupes : les tuyaux et les cors.</w:t>
      </w:r>
    </w:p>
    <w:p>
      <w:pPr>
        <w:pStyle w:val="Heading4"/>
      </w:pPr>
      <w:r>
        <w:t>Halil</w:t>
      </w:r>
    </w:p>
    <w:p>
      <w:r/>
      <w:r>
        <w:t xml:space="preserve">Le </w:t>
      </w:r>
      <w:r>
        <w:rPr>
          <w:i/>
        </w:rPr>
        <w:t>halil</w:t>
      </w:r>
      <w:r>
        <w:t xml:space="preserve"> était un type d'instrument à vent mentionné six fois dans la Bible. De nombreux auteurs juifs après l'époque biblique en ont également parlé. Le </w:t>
      </w:r>
      <w:r>
        <w:rPr>
          <w:i/>
        </w:rPr>
        <w:t>halil</w:t>
      </w:r>
      <w:r>
        <w:t xml:space="preserve"> était similaire à l'</w:t>
      </w:r>
      <w:r>
        <w:rPr>
          <w:i/>
        </w:rPr>
        <w:t>aulos</w:t>
      </w:r>
      <w:r>
        <w:t xml:space="preserve"> grec (instrument ancien semblable au hautbois moderne). De nombreuses traductions de la Bible l'appellent une « flûte » (</w:t>
      </w:r>
      <w:hyperlink r:id="rId6782">
        <w:r>
          <w:rPr>
            <w:color w:val="0000EE"/>
            <w:u w:val="single"/>
          </w:rPr>
          <w:t>Mt 9.23</w:t>
        </w:r>
      </w:hyperlink>
      <w:r>
        <w:t xml:space="preserve"> ; </w:t>
      </w:r>
      <w:hyperlink r:id="rId6783">
        <w:r>
          <w:rPr>
            <w:color w:val="0000EE"/>
            <w:u w:val="single"/>
          </w:rPr>
          <w:t>1Co 14.7</w:t>
        </w:r>
      </w:hyperlink>
      <w:r>
        <w:t xml:space="preserve"> ; </w:t>
      </w:r>
      <w:hyperlink r:id="rId6784">
        <w:r>
          <w:rPr>
            <w:color w:val="0000EE"/>
            <w:u w:val="single"/>
          </w:rPr>
          <w:t>Ap 18.22</w:t>
        </w:r>
      </w:hyperlink>
      <w:r>
        <w:t>). Les gens fabriquaient des versions anciennes à partir de plantes creuses comme les roseaux. Il avait un embout spécial fait de deux petits morceaux de roseau, et il produisait probablement un son fort et aigu.</w:t>
      </w:r>
    </w:p>
    <w:p>
      <w:r/>
      <w:r>
        <w:t xml:space="preserve">Les gens jouaient du </w:t>
      </w:r>
      <w:r>
        <w:rPr>
          <w:i/>
        </w:rPr>
        <w:t>halil</w:t>
      </w:r>
      <w:r>
        <w:t xml:space="preserve"> pour différentes occasions :</w:t>
      </w:r>
    </w:p>
    <w:p>
      <w:pPr>
        <w:pStyle w:val="ListBullet"/>
        <w:spacing w:line="240" w:lineRule="auto"/>
        <w:ind w:left="720"/>
      </w:pPr>
      <w:r/>
      <w:r>
        <w:t>Lors d'événements joyeux comme les festins (</w:t>
      </w:r>
      <w:hyperlink r:id="rId6775">
        <w:r>
          <w:rPr>
            <w:color w:val="0000EE"/>
            <w:u w:val="single"/>
          </w:rPr>
          <w:t>Es 5.12</w:t>
        </w:r>
      </w:hyperlink>
      <w:r>
        <w:t>).</w:t>
      </w:r>
    </w:p>
    <w:p>
      <w:pPr>
        <w:pStyle w:val="ListBullet"/>
        <w:spacing w:line="240" w:lineRule="auto"/>
        <w:ind w:left="720"/>
      </w:pPr>
      <w:r/>
      <w:r>
        <w:t>Lorsque les prophètes étaient remplis de l'Esprit de Dieu (</w:t>
      </w:r>
      <w:hyperlink r:id="rId6774">
        <w:r>
          <w:rPr>
            <w:color w:val="0000EE"/>
            <w:u w:val="single"/>
          </w:rPr>
          <w:t>1S 10.5</w:t>
        </w:r>
      </w:hyperlink>
      <w:r>
        <w:t>).</w:t>
      </w:r>
    </w:p>
    <w:p>
      <w:pPr>
        <w:pStyle w:val="ListBullet"/>
        <w:spacing w:line="240" w:lineRule="auto"/>
        <w:ind w:left="720"/>
      </w:pPr>
      <w:r/>
      <w:r>
        <w:t>Lors de moments tristes pour pleurer et faire le deuil également (</w:t>
      </w:r>
      <w:hyperlink r:id="rId6785">
        <w:r>
          <w:rPr>
            <w:color w:val="0000EE"/>
            <w:u w:val="single"/>
          </w:rPr>
          <w:t>Jr 48.36</w:t>
        </w:r>
      </w:hyperlink>
      <w:r>
        <w:t>).</w:t>
      </w:r>
    </w:p>
    <w:p>
      <w:pPr>
        <w:pStyle w:val="Heading4"/>
      </w:pPr>
      <w:r>
        <w:t>Hatzotzrot</w:t>
      </w:r>
    </w:p>
    <w:p>
      <w:r/>
      <w:r>
        <w:t xml:space="preserve">Les </w:t>
      </w:r>
      <w:r>
        <w:rPr>
          <w:i/>
        </w:rPr>
        <w:t>hatzotzrot</w:t>
      </w:r>
      <w:r>
        <w:t xml:space="preserve"> étaient un type de trompette utilisé dans les temps anciens. Nous en savons plus sur cet instrument que sur beaucoup d'autres instruments hébreux parce que nous pouvons en voir des images. Lorsque les Romains ont capturé Jérusalem, ils ont pris deux de ces trompettes dans le temple. Ils ont gravé des images de ces trompettes sur un arc de triomphe à Rome qui a été construit pour leur chef Titus.</w:t>
      </w:r>
    </w:p>
    <w:p>
      <w:r/>
      <w:r>
        <w:t xml:space="preserve">La </w:t>
      </w:r>
      <w:r>
        <w:rPr>
          <w:i/>
        </w:rPr>
        <w:t>hatzotzrot</w:t>
      </w:r>
      <w:r>
        <w:t xml:space="preserve"> mesurait environ 1 m de longueur et était très étroite, avec une large ouverture à l'extrémité. On fabriquaient ces trompettes en argent ou en or. Sa forme a pu provenir des trompettes égyptiennes. Des instruments similaires étaient également utilisés en Assyrie, dans l'Empire hittite et en Grèce.</w:t>
      </w:r>
    </w:p>
    <w:p>
      <w:r/>
      <w:r>
        <w:t>Dieu dira à Moïse de fabriquer deux trompettes en argent (</w:t>
      </w:r>
      <w:hyperlink r:id="rId6786">
        <w:r>
          <w:rPr>
            <w:color w:val="0000EE"/>
            <w:u w:val="single"/>
          </w:rPr>
          <w:t>Nb 10.2</w:t>
        </w:r>
      </w:hyperlink>
      <w:r>
        <w:t>). Seuls les descendants d'Aaron, le premier grand prêtre, étaient autorisés à jouer de ces instruments. Ces trompettes étaient la version primitive de ce que nous connaissons aujourd'hui comme les trompettes de héraut.</w:t>
      </w:r>
    </w:p>
    <w:p>
      <w:r/>
      <w:r>
        <w:t>La Bible dit que ces trompettes aidaient les gens à se souvenir de Dieu (</w:t>
      </w:r>
      <w:hyperlink r:id="rId5570">
        <w:r>
          <w:rPr>
            <w:color w:val="0000EE"/>
            <w:u w:val="single"/>
          </w:rPr>
          <w:t>Nb 10.10</w:t>
        </w:r>
      </w:hyperlink>
      <w:r>
        <w:t>). On les utilisaient pour :</w:t>
      </w:r>
    </w:p>
    <w:p>
      <w:pPr>
        <w:pStyle w:val="ListBullet"/>
        <w:spacing w:line="240" w:lineRule="auto"/>
        <w:ind w:left="720"/>
      </w:pPr>
      <w:r/>
      <w:r>
        <w:t>Inviter les gens à se rassembler à la tente de rencontre.</w:t>
      </w:r>
    </w:p>
    <w:p>
      <w:pPr>
        <w:pStyle w:val="ListBullet"/>
        <w:spacing w:line="240" w:lineRule="auto"/>
        <w:ind w:left="720"/>
      </w:pPr>
      <w:r/>
      <w:r>
        <w:t>Donner des avertissements.</w:t>
      </w:r>
    </w:p>
    <w:p>
      <w:pPr>
        <w:pStyle w:val="ListBullet"/>
        <w:spacing w:line="240" w:lineRule="auto"/>
        <w:ind w:left="720"/>
      </w:pPr>
      <w:r/>
      <w:r>
        <w:t>Indiquer aux campements quand il fallait se déplacer.</w:t>
      </w:r>
    </w:p>
    <w:p>
      <w:pPr>
        <w:pStyle w:val="ListBullet"/>
        <w:spacing w:line="240" w:lineRule="auto"/>
        <w:ind w:left="720"/>
      </w:pPr>
      <w:r/>
      <w:r>
        <w:t>Indiquer le début des batailles.</w:t>
      </w:r>
    </w:p>
    <w:p>
      <w:r/>
      <w:r>
        <w:t xml:space="preserve">Les </w:t>
      </w:r>
      <w:r>
        <w:rPr>
          <w:i/>
        </w:rPr>
        <w:t>hatzotzrot</w:t>
      </w:r>
      <w:r>
        <w:t xml:space="preserve"> sont devenues très importantes dans le culte du temple. Le temple utilisait toujours au moins deux trompettes pour les services quotidiens. Lors des célébrations religieuses spéciales, il pouvait utiliser beaucoup plus de trompettes (</w:t>
      </w:r>
      <w:hyperlink r:id="rId6787">
        <w:r>
          <w:rPr>
            <w:color w:val="0000EE"/>
            <w:u w:val="single"/>
          </w:rPr>
          <w:t>1Ch 15.28</w:t>
        </w:r>
      </w:hyperlink>
      <w:r>
        <w:t xml:space="preserve"> ; </w:t>
      </w:r>
      <w:hyperlink r:id="rId6788">
        <w:r>
          <w:rPr>
            <w:color w:val="0000EE"/>
            <w:u w:val="single"/>
          </w:rPr>
          <w:t>2Ch 15.14</w:t>
        </w:r>
      </w:hyperlink>
      <w:r>
        <w:t xml:space="preserve"> ; </w:t>
      </w:r>
      <w:hyperlink r:id="rId6789">
        <w:r>
          <w:rPr>
            <w:color w:val="0000EE"/>
            <w:u w:val="single"/>
          </w:rPr>
          <w:t>Ps 98.6</w:t>
        </w:r>
      </w:hyperlink>
      <w:r>
        <w:t xml:space="preserve"> ; </w:t>
      </w:r>
      <w:hyperlink r:id="rId6781">
        <w:r>
          <w:rPr>
            <w:color w:val="0000EE"/>
            <w:u w:val="single"/>
          </w:rPr>
          <w:t>Dn 3.5–15</w:t>
        </w:r>
      </w:hyperlink>
      <w:r>
        <w:t xml:space="preserve"> ; </w:t>
      </w:r>
      <w:hyperlink r:id="rId6790">
        <w:r>
          <w:rPr>
            <w:color w:val="0000EE"/>
            <w:u w:val="single"/>
          </w:rPr>
          <w:t>Os 5.8</w:t>
        </w:r>
      </w:hyperlink>
      <w:r>
        <w:t>).</w:t>
      </w:r>
    </w:p>
    <w:p>
      <w:pPr>
        <w:pStyle w:val="Heading4"/>
      </w:pPr>
      <w:r>
        <w:t>Mashroqita</w:t>
      </w:r>
    </w:p>
    <w:p>
      <w:r/>
      <w:r>
        <w:t xml:space="preserve">La </w:t>
      </w:r>
      <w:r>
        <w:rPr>
          <w:i/>
        </w:rPr>
        <w:t>mashroqita</w:t>
      </w:r>
      <w:r>
        <w:t xml:space="preserve"> était un instrument joué dans le palais du roi Nebucadnetsar (</w:t>
      </w:r>
      <w:hyperlink r:id="rId6771">
        <w:r>
          <w:rPr>
            <w:color w:val="0000EE"/>
            <w:u w:val="single"/>
          </w:rPr>
          <w:t>Dn 3.5, 7, 10, 15</w:t>
        </w:r>
      </w:hyperlink>
      <w:r>
        <w:t xml:space="preserve">). Les chercheurs pensent qu'il ressemblait à une flûte de Pan similaire à la </w:t>
      </w:r>
      <w:r>
        <w:rPr>
          <w:i/>
        </w:rPr>
        <w:t>syrinx</w:t>
      </w:r>
      <w:r>
        <w:t xml:space="preserve"> grecque, qui avait une rangée de tubes creux de tailles différentes reliés ensemble. Ces tubes produisent différentes notes musicales lorsque quelqu'un souffle sur les sommets.</w:t>
      </w:r>
    </w:p>
    <w:p>
      <w:pPr>
        <w:pStyle w:val="Heading4"/>
      </w:pPr>
      <w:r>
        <w:t>Chophar</w:t>
      </w:r>
    </w:p>
    <w:p>
      <w:r/>
      <w:r>
        <w:t>Un chophar est un instrument à vent (semblable à une trompette) qui était utilisé dans l'ancien Israël. Les gens l'utilisent aujourd'hui encore dans les services religieux juifs. Il est mentionné soixante-douze fois dans la Bible (plus que tout autre instrument hébreu).</w:t>
      </w:r>
    </w:p>
    <w:p>
      <w:r/>
      <w:r>
        <w:t>Le chophar ancien était courbé comme la corne d'un bélier. Les versions ultérieures étaient droites avec une courbure près de l'extrémité large de la corne. Le chophar ne pouvait produire que deux ou trois sons différents. En raison de cette gamme limitée, certaines personnes ne le considèrent pas comme un véritable instrument de musique. Au lieu de cela, on l'utilisait principalement pour envoyer des signaux et des messages.</w:t>
      </w:r>
    </w:p>
    <w:p>
      <w:r/>
      <w:r>
        <w:t>Les gens utilisaient le chophar dans de nombreuses cérémonies religieuses, y compris :</w:t>
      </w:r>
    </w:p>
    <w:p>
      <w:pPr>
        <w:pStyle w:val="ListBullet"/>
        <w:spacing w:line="240" w:lineRule="auto"/>
        <w:ind w:left="720"/>
      </w:pPr>
      <w:r/>
      <w:r>
        <w:t>Quand ils ont déplacé l'arche (</w:t>
      </w:r>
      <w:hyperlink r:id="rId6791">
        <w:r>
          <w:rPr>
            <w:color w:val="0000EE"/>
            <w:u w:val="single"/>
          </w:rPr>
          <w:t>2S 6.15</w:t>
        </w:r>
      </w:hyperlink>
      <w:r>
        <w:t xml:space="preserve"> ; </w:t>
      </w:r>
      <w:hyperlink r:id="rId6787">
        <w:r>
          <w:rPr>
            <w:color w:val="0000EE"/>
            <w:u w:val="single"/>
          </w:rPr>
          <w:t>1Ch 15.28</w:t>
        </w:r>
      </w:hyperlink>
      <w:r>
        <w:t>).</w:t>
      </w:r>
    </w:p>
    <w:p>
      <w:pPr>
        <w:pStyle w:val="ListBullet"/>
        <w:spacing w:line="240" w:lineRule="auto"/>
        <w:ind w:left="720"/>
      </w:pPr>
      <w:r/>
      <w:r>
        <w:t>Quand le roi Asa a renouvelé l'accord entre Dieu et son peuple (</w:t>
      </w:r>
      <w:hyperlink r:id="rId6788">
        <w:r>
          <w:rPr>
            <w:color w:val="0000EE"/>
            <w:u w:val="single"/>
          </w:rPr>
          <w:t>2Ch 15.14</w:t>
        </w:r>
      </w:hyperlink>
      <w:r>
        <w:t>).</w:t>
      </w:r>
    </w:p>
    <w:p>
      <w:pPr>
        <w:pStyle w:val="ListBullet"/>
        <w:spacing w:line="240" w:lineRule="auto"/>
        <w:ind w:left="720"/>
      </w:pPr>
      <w:r/>
      <w:r>
        <w:t>Quand les gens rendaient grâce à Dieu (</w:t>
      </w:r>
      <w:hyperlink r:id="rId6789">
        <w:r>
          <w:rPr>
            <w:color w:val="0000EE"/>
            <w:u w:val="single"/>
          </w:rPr>
          <w:t>Ps 98.6</w:t>
        </w:r>
      </w:hyperlink>
      <w:r>
        <w:t xml:space="preserve"> ; </w:t>
      </w:r>
      <w:hyperlink r:id="rId6792">
        <w:r>
          <w:rPr>
            <w:color w:val="0000EE"/>
            <w:u w:val="single"/>
          </w:rPr>
          <w:t>150.3</w:t>
        </w:r>
      </w:hyperlink>
      <w:r>
        <w:t>).</w:t>
      </w:r>
    </w:p>
    <w:p>
      <w:pPr>
        <w:pStyle w:val="ListBullet"/>
        <w:spacing w:line="240" w:lineRule="auto"/>
        <w:ind w:left="720"/>
      </w:pPr>
      <w:r/>
      <w:r>
        <w:t>Au début de chaque nouveau mois.</w:t>
      </w:r>
    </w:p>
    <w:p>
      <w:pPr>
        <w:pStyle w:val="ListBullet"/>
        <w:spacing w:line="240" w:lineRule="auto"/>
        <w:ind w:left="720"/>
      </w:pPr>
      <w:r/>
      <w:r>
        <w:t>Au début de l'année du jubilé (année spéciale qui avait lieu tous les cinquante ans).</w:t>
      </w:r>
    </w:p>
    <w:p>
      <w:r/>
      <w:r>
        <w:t>On utilisait également le chophar pour des événements importants liés aux rois :</w:t>
      </w:r>
    </w:p>
    <w:p>
      <w:pPr>
        <w:pStyle w:val="ListBullet"/>
        <w:spacing w:line="240" w:lineRule="auto"/>
        <w:ind w:left="720"/>
      </w:pPr>
      <w:r/>
      <w:r>
        <w:t>Quand Absalom se déclare roi (</w:t>
      </w:r>
      <w:hyperlink r:id="rId6793">
        <w:r>
          <w:rPr>
            <w:color w:val="0000EE"/>
            <w:u w:val="single"/>
          </w:rPr>
          <w:t>2S 15.10</w:t>
        </w:r>
      </w:hyperlink>
      <w:r>
        <w:t>).</w:t>
      </w:r>
    </w:p>
    <w:p>
      <w:pPr>
        <w:pStyle w:val="ListBullet"/>
        <w:spacing w:line="240" w:lineRule="auto"/>
        <w:ind w:left="720"/>
      </w:pPr>
      <w:r/>
      <w:r>
        <w:t>Quand Salomon est choisi comme roi (</w:t>
      </w:r>
      <w:hyperlink r:id="rId6794">
        <w:r>
          <w:rPr>
            <w:color w:val="0000EE"/>
            <w:u w:val="single"/>
          </w:rPr>
          <w:t>1R 1.34</w:t>
        </w:r>
      </w:hyperlink>
      <w:r>
        <w:t>).</w:t>
      </w:r>
    </w:p>
    <w:p>
      <w:pPr>
        <w:pStyle w:val="ListBullet"/>
        <w:spacing w:line="240" w:lineRule="auto"/>
        <w:ind w:left="720"/>
      </w:pPr>
      <w:r/>
      <w:r>
        <w:t>Quand Jéhu devient roi (</w:t>
      </w:r>
      <w:hyperlink r:id="rId6795">
        <w:r>
          <w:rPr>
            <w:color w:val="0000EE"/>
            <w:u w:val="single"/>
          </w:rPr>
          <w:t>2R 9.13</w:t>
        </w:r>
      </w:hyperlink>
      <w:r>
        <w:t>).</w:t>
      </w:r>
    </w:p>
    <w:p>
      <w:pPr>
        <w:pStyle w:val="Heading4"/>
      </w:pPr>
      <w:r>
        <w:t>Sumponia</w:t>
      </w:r>
    </w:p>
    <w:p>
      <w:r/>
      <w:r>
        <w:t xml:space="preserve">Le mot « sumponia » est trouvé dans </w:t>
      </w:r>
      <w:hyperlink r:id="rId5772">
        <w:r>
          <w:rPr>
            <w:color w:val="0000EE"/>
            <w:u w:val="single"/>
          </w:rPr>
          <w:t>Daniel 3</w:t>
        </w:r>
      </w:hyperlink>
      <w:r>
        <w:t>, mais les chercheurs ne sont pas certains de sa signification exacte. Certains enseignants de la Bible pensent que « sumponia » se réfère à une cornemuse. La Version Louis Segond de la Bible le traduit ainsi. Cependant, les experts qui étudient les instruments de musique anciens ne sont pas d'accord, affirmant qu'il n'existait pas de cornemuses à l'époque du roi Nebucadnetsar.</w:t>
      </w:r>
    </w:p>
    <w:p>
      <w:r/>
      <w:r>
        <w:t xml:space="preserve">D'autres chercheurs suggèrent que la </w:t>
      </w:r>
      <w:r>
        <w:rPr>
          <w:i/>
        </w:rPr>
        <w:t>sumponia</w:t>
      </w:r>
      <w:r>
        <w:t xml:space="preserve"> pourrait ne pas être un instrument du tout. Au lieu de cela, ils pensent qu'elle pourrait décrire de nombreux instruments jouant de la musique ensemble. Ce sens serait logique car le mot vient du grec </w:t>
      </w:r>
      <w:r>
        <w:rPr>
          <w:i/>
        </w:rPr>
        <w:t>symphonia</w:t>
      </w:r>
      <w:r>
        <w:t xml:space="preserve">, qui signifie « sonner ensemble ». Dans </w:t>
      </w:r>
      <w:hyperlink r:id="rId6796">
        <w:r>
          <w:rPr>
            <w:color w:val="0000EE"/>
            <w:u w:val="single"/>
          </w:rPr>
          <w:t>Lc 15.25</w:t>
        </w:r>
      </w:hyperlink>
      <w:r>
        <w:t>, il est traduit par « musique ».</w:t>
      </w:r>
    </w:p>
    <w:p>
      <w:pPr>
        <w:pStyle w:val="Heading4"/>
      </w:pPr>
      <w:r>
        <w:t>Ugab</w:t>
      </w:r>
    </w:p>
    <w:p>
      <w:r/>
      <w:r>
        <w:t>Un ugab est un instrument ancien similaire à une flûte. La Bible mentionne l'ugab à quatre reprises (</w:t>
      </w:r>
      <w:hyperlink r:id="rId6797">
        <w:r>
          <w:rPr>
            <w:color w:val="0000EE"/>
            <w:u w:val="single"/>
          </w:rPr>
          <w:t>Gn 4.21</w:t>
        </w:r>
      </w:hyperlink>
      <w:r>
        <w:t xml:space="preserve"> ; </w:t>
      </w:r>
      <w:hyperlink r:id="rId6798">
        <w:r>
          <w:rPr>
            <w:color w:val="0000EE"/>
            <w:u w:val="single"/>
          </w:rPr>
          <w:t>Jb 21.12</w:t>
        </w:r>
      </w:hyperlink>
      <w:r>
        <w:t xml:space="preserve"> ; </w:t>
      </w:r>
      <w:hyperlink r:id="rId6799">
        <w:r>
          <w:rPr>
            <w:color w:val="0000EE"/>
            <w:u w:val="single"/>
          </w:rPr>
          <w:t>30.31</w:t>
        </w:r>
      </w:hyperlink>
      <w:r>
        <w:t xml:space="preserve"> ; </w:t>
      </w:r>
      <w:hyperlink r:id="rId6767">
        <w:r>
          <w:rPr>
            <w:color w:val="0000EE"/>
            <w:u w:val="single"/>
          </w:rPr>
          <w:t>Ps 150.4</w:t>
        </w:r>
      </w:hyperlink>
      <w:r>
        <w:t xml:space="preserve">). Habituellement, lorsque l'ugab est mentionné, il n'est pas lié à un événement religieux. Ce n'est que dans le </w:t>
      </w:r>
      <w:hyperlink r:id="rId6800">
        <w:r>
          <w:rPr>
            <w:color w:val="0000EE"/>
            <w:u w:val="single"/>
          </w:rPr>
          <w:t>Psaume 150</w:t>
        </w:r>
      </w:hyperlink>
      <w:r>
        <w:t xml:space="preserve"> qu'il est utilisé dans le culte. La Version du Roi Jacques le traduit incorrectement par « chalumeau ».</w:t>
      </w:r>
    </w:p>
    <w:p>
      <w:pPr>
        <w:pStyle w:val="Heading3"/>
      </w:pPr>
      <w:r>
        <w:t>Instruments de percussion</w:t>
      </w:r>
    </w:p>
    <w:p>
      <w:r/>
      <w:r>
        <w:t>Les instruments de percussion (instruments qui produisent du son lorsqu'ils sont frappés ou secoués) apparaissent fréquemment dans les premières histoires du peuple juif. Avec le temps, les gens ont cessé d'utiliser ces instruments dans le culte du temple. Il se peut que cela soit dû au fait que d'autres religions utilisaient des instruments similaires pour adorer de faux dieux.</w:t>
      </w:r>
    </w:p>
    <w:p>
      <w:pPr>
        <w:pStyle w:val="Heading4"/>
      </w:pPr>
      <w:r>
        <w:t>Mena Anim</w:t>
      </w:r>
    </w:p>
    <w:p>
      <w:r/>
      <w:r>
        <w:t xml:space="preserve">Un </w:t>
      </w:r>
      <w:r>
        <w:rPr>
          <w:i/>
        </w:rPr>
        <w:t>mena anim</w:t>
      </w:r>
      <w:r>
        <w:t xml:space="preserve"> est un type de hochet métallique bruyant. Il avait des anneaux métalliques qui pendaient sur un cadre et faisaient du bruit lorsqu'on le secouait. Le </w:t>
      </w:r>
      <w:r>
        <w:rPr>
          <w:i/>
        </w:rPr>
        <w:t>mena anim</w:t>
      </w:r>
      <w:r>
        <w:t xml:space="preserve"> était probablement similaire au sistre (hochet sacré utilisé dans l'ancienne Égypte). Le </w:t>
      </w:r>
      <w:r>
        <w:rPr>
          <w:i/>
        </w:rPr>
        <w:t>mena anim</w:t>
      </w:r>
      <w:r>
        <w:t xml:space="preserve"> apparaît dans </w:t>
      </w:r>
      <w:hyperlink r:id="rId4583">
        <w:r>
          <w:rPr>
            <w:color w:val="0000EE"/>
            <w:u w:val="single"/>
          </w:rPr>
          <w:t>2 Samuel 6.5</w:t>
        </w:r>
      </w:hyperlink>
      <w:r>
        <w:t>. La version révisée standard (RSV) de la Bible le traduit par « castagnettes ». La majorité des versions françaises le traduit par « sistre ».</w:t>
      </w:r>
    </w:p>
    <w:p>
      <w:pPr>
        <w:pStyle w:val="Heading4"/>
      </w:pPr>
      <w:r>
        <w:t>Pamonim</w:t>
      </w:r>
    </w:p>
    <w:p>
      <w:r/>
      <w:r>
        <w:t xml:space="preserve">Les </w:t>
      </w:r>
      <w:r>
        <w:rPr>
          <w:i/>
        </w:rPr>
        <w:t>pamonim</w:t>
      </w:r>
      <w:r>
        <w:t xml:space="preserve"> étaient de petites cloches que les prêtres portaient sur leurs vêtements spéciaux (</w:t>
      </w:r>
      <w:hyperlink r:id="rId6801">
        <w:r>
          <w:rPr>
            <w:color w:val="0000EE"/>
            <w:u w:val="single"/>
          </w:rPr>
          <w:t>Ex 28.33–34 ;</w:t>
        </w:r>
      </w:hyperlink>
      <w:r>
        <w:t xml:space="preserve"> </w:t>
      </w:r>
      <w:hyperlink r:id="rId6802">
        <w:r>
          <w:rPr>
            <w:color w:val="0000EE"/>
            <w:u w:val="single"/>
          </w:rPr>
          <w:t>39.25–26</w:t>
        </w:r>
      </w:hyperlink>
      <w:r>
        <w:t>). Les clochettes émettaient des sons doux lorsque le grand prêtre marchait. Cela aidait les gens à savoir où il se trouvait lorsqu'il entrait dans le lieu saint pour adorer Dieu.</w:t>
      </w:r>
    </w:p>
    <w:p>
      <w:pPr>
        <w:pStyle w:val="Heading4"/>
      </w:pPr>
      <w:r>
        <w:t>Shalishim</w:t>
      </w:r>
    </w:p>
    <w:p>
      <w:r/>
      <w:r>
        <w:t xml:space="preserve">Un </w:t>
      </w:r>
      <w:r>
        <w:rPr>
          <w:i/>
        </w:rPr>
        <w:t>shalishim</w:t>
      </w:r>
      <w:r>
        <w:t xml:space="preserve"> est un type de hochet mentionné dans la Bible. Certaines Bibles traduisent ce mot par « sistre » (un hochet sacré de l'ancienne Égypte) ou « triangle » (une percussion faite de métal). Les érudits ne sont pas certains que le </w:t>
      </w:r>
      <w:r>
        <w:rPr>
          <w:i/>
        </w:rPr>
        <w:t>shalishim</w:t>
      </w:r>
      <w:r>
        <w:t xml:space="preserve"> était réellement un instrument de musique. Le </w:t>
      </w:r>
      <w:r>
        <w:rPr>
          <w:i/>
        </w:rPr>
        <w:t>shalishim</w:t>
      </w:r>
      <w:r>
        <w:t xml:space="preserve"> apparaît dans </w:t>
      </w:r>
      <w:hyperlink r:id="rId6803">
        <w:r>
          <w:rPr>
            <w:color w:val="0000EE"/>
            <w:u w:val="single"/>
          </w:rPr>
          <w:t>1 Samuel 18.6</w:t>
        </w:r>
      </w:hyperlink>
      <w:r>
        <w:t>. Dans cette histoire, les gens l'utilisaient pour célébrer lorsque le roi Saül et David revenaient de combattre contre les Philistins.</w:t>
      </w:r>
    </w:p>
    <w:p>
      <w:pPr>
        <w:pStyle w:val="Heading4"/>
      </w:pPr>
      <w:r>
        <w:t>Toph (Tof)</w:t>
      </w:r>
    </w:p>
    <w:p>
      <w:r/>
      <w:r>
        <w:t xml:space="preserve">Un </w:t>
      </w:r>
      <w:r>
        <w:rPr>
          <w:i/>
        </w:rPr>
        <w:t>toph</w:t>
      </w:r>
      <w:r>
        <w:t xml:space="preserve"> (également appelé </w:t>
      </w:r>
      <w:r>
        <w:rPr>
          <w:i/>
        </w:rPr>
        <w:t>tof</w:t>
      </w:r>
      <w:r>
        <w:t xml:space="preserve">) était un type de tambour à main utilisé dans l'ancien Israël. Les femmes jouaient généralement du </w:t>
      </w:r>
      <w:r>
        <w:rPr>
          <w:i/>
        </w:rPr>
        <w:t>toph</w:t>
      </w:r>
      <w:r>
        <w:t>, mais certains passages de la Bible suggèrent que les hommes en jouaient aussi (</w:t>
      </w:r>
      <w:hyperlink r:id="rId6774">
        <w:r>
          <w:rPr>
            <w:color w:val="0000EE"/>
            <w:u w:val="single"/>
          </w:rPr>
          <w:t>1S 10.5</w:t>
        </w:r>
      </w:hyperlink>
      <w:r>
        <w:t xml:space="preserve"> ; </w:t>
      </w:r>
      <w:hyperlink r:id="rId4583">
        <w:r>
          <w:rPr>
            <w:color w:val="0000EE"/>
            <w:u w:val="single"/>
          </w:rPr>
          <w:t>2S 6.5</w:t>
        </w:r>
      </w:hyperlink>
      <w:r>
        <w:t xml:space="preserve"> ; </w:t>
      </w:r>
      <w:hyperlink r:id="rId6804">
        <w:r>
          <w:rPr>
            <w:color w:val="0000EE"/>
            <w:u w:val="single"/>
          </w:rPr>
          <w:t>1Ch 13.8</w:t>
        </w:r>
      </w:hyperlink>
      <w:r>
        <w:t>). La majorité des versions françaises l'appelle un « tambourin ».</w:t>
      </w:r>
    </w:p>
    <w:p>
      <w:r/>
      <w:r>
        <w:t xml:space="preserve">Le </w:t>
      </w:r>
      <w:r>
        <w:rPr>
          <w:i/>
        </w:rPr>
        <w:t>toph</w:t>
      </w:r>
      <w:r>
        <w:t xml:space="preserve"> apparaît quinze fois dans la Bible. Il avait un cadre en bois ou en métal en forme de cercle. Une peau d'animal, provenant d'un bélier ou d'une chèvre sauvage, était tendue sur le cadre. Les gens en jouaient en le frappant avec leurs mains. Nous ne savons pas si le </w:t>
      </w:r>
      <w:r>
        <w:rPr>
          <w:i/>
        </w:rPr>
        <w:t>toph</w:t>
      </w:r>
      <w:r>
        <w:t xml:space="preserve"> avait de la peau d'animal d'un seul côté ou des deux côtés. Certains chercheurs disent qu'il ressemblait à un tambourin ou à un petit tambour. Cependant, il n'y a aucune preuve qu'il possédait des pièces métalliques produisant des sons de cliquetis comme le fait un tambourin.</w:t>
      </w:r>
    </w:p>
    <w:p>
      <w:r/>
      <w:r>
        <w:t xml:space="preserve">Les gens jouaient du </w:t>
      </w:r>
      <w:r>
        <w:rPr>
          <w:i/>
        </w:rPr>
        <w:t>toph</w:t>
      </w:r>
      <w:r>
        <w:t xml:space="preserve"> lors des célébrations. Il produisait des sons forts (</w:t>
      </w:r>
      <w:hyperlink r:id="rId3652">
        <w:r>
          <w:rPr>
            <w:color w:val="0000EE"/>
            <w:u w:val="single"/>
          </w:rPr>
          <w:t>Ex 15.20</w:t>
        </w:r>
      </w:hyperlink>
      <w:r>
        <w:t xml:space="preserve"> ; </w:t>
      </w:r>
      <w:hyperlink r:id="rId6773">
        <w:r>
          <w:rPr>
            <w:color w:val="0000EE"/>
            <w:u w:val="single"/>
          </w:rPr>
          <w:t>Ps 81.2</w:t>
        </w:r>
      </w:hyperlink>
      <w:r>
        <w:t>).</w:t>
      </w:r>
    </w:p>
    <w:p>
      <w:pPr>
        <w:pStyle w:val="Heading4"/>
      </w:pPr>
      <w:r>
        <w:t>Zelzelim (Meziltayim)</w:t>
      </w:r>
    </w:p>
    <w:p>
      <w:r/>
      <w:r>
        <w:t xml:space="preserve">Les </w:t>
      </w:r>
      <w:r>
        <w:rPr>
          <w:i/>
        </w:rPr>
        <w:t>zelzelim</w:t>
      </w:r>
      <w:r>
        <w:t xml:space="preserve"> et </w:t>
      </w:r>
      <w:r>
        <w:rPr>
          <w:i/>
        </w:rPr>
        <w:t>meziltayim</w:t>
      </w:r>
      <w:r>
        <w:t xml:space="preserve"> étaient des cymbales utilisées dans l'Israël ancien. Ces mots proviennent du mot hébreu </w:t>
      </w:r>
      <w:r>
        <w:rPr>
          <w:i/>
        </w:rPr>
        <w:t>zala</w:t>
      </w:r>
      <w:r>
        <w:t>, qui signifie « produire un son retentissant ». La Bible utilise toujours ces mots sous une forme duale, indiquant que deux éléments allaient ensemble. Cela nous montre que les cymbales étaient toujours utilisées par paires.</w:t>
      </w:r>
    </w:p>
    <w:p>
      <w:r/>
      <w:r>
        <w:t>Certaines traductions de la Bible traduisent incorrectement ces mots par « castagnettes » (blocs en bois ou en métal qui produisent des sons de cliquetis).</w:t>
      </w:r>
    </w:p>
    <w:p>
      <w:r/>
      <w:r>
        <w:t>Les gens fabriquaient ces cymbales en métal. Elles venaient par paires, et une personne jouait des deux cymbales ensemble. Il s'agissait des seuls instruments de percussion autorisés dans le culte du temple. Les cymbales en métal étaient courantes dans de nombreuses cultures anciennes.</w:t>
      </w:r>
    </w:p>
    <w:p>
      <w:r/>
      <w:r>
        <w:t>Les cymbales apparaissent pour la première fois dans la Bible lorsque les gens ont déplacé l'arche à Jérusalem (</w:t>
      </w:r>
      <w:hyperlink r:id="rId4583">
        <w:r>
          <w:rPr>
            <w:color w:val="0000EE"/>
            <w:u w:val="single"/>
          </w:rPr>
          <w:t>2S 6.5</w:t>
        </w:r>
      </w:hyperlink>
      <w:r>
        <w:t xml:space="preserve"> ; </w:t>
      </w:r>
      <w:hyperlink r:id="rId6804">
        <w:r>
          <w:rPr>
            <w:color w:val="0000EE"/>
            <w:u w:val="single"/>
          </w:rPr>
          <w:t>1Ch 13.8</w:t>
        </w:r>
      </w:hyperlink>
      <w:r>
        <w:t>). Plus tard, les chefs des chanteurs lévitiques (musiciens de la tribu de Lévi) jouaient des cymbales dans le temple (</w:t>
      </w:r>
      <w:hyperlink r:id="rId6406">
        <w:r>
          <w:rPr>
            <w:color w:val="0000EE"/>
            <w:u w:val="single"/>
          </w:rPr>
          <w:t>1Ch 15.19</w:t>
        </w:r>
      </w:hyperlink>
      <w:r>
        <w:t>).</w:t>
      </w:r>
    </w:p>
    <w:p>
      <w:r/>
      <w:r>
        <w:t>Les cymbales avaient un but particulier dans le culte. Plutôt que de produire de la musique, elles étaient utilisées pour :</w:t>
      </w:r>
    </w:p>
    <w:p>
      <w:pPr>
        <w:pStyle w:val="ListBullet"/>
        <w:spacing w:line="240" w:lineRule="auto"/>
        <w:ind w:left="720"/>
      </w:pPr>
      <w:r/>
      <w:r>
        <w:t>Indiquer quand les gens devaient commencer à chanter</w:t>
      </w:r>
    </w:p>
    <w:p>
      <w:pPr>
        <w:pStyle w:val="ListBullet"/>
        <w:spacing w:line="240" w:lineRule="auto"/>
        <w:ind w:left="720"/>
      </w:pPr>
      <w:r/>
      <w:r>
        <w:t>Marquer différentes sections des psaumes</w:t>
      </w:r>
    </w:p>
    <w:p>
      <w:r/>
      <w:r>
        <w:t xml:space="preserve">Le </w:t>
      </w:r>
      <w:hyperlink r:id="rId6800">
        <w:r>
          <w:rPr>
            <w:color w:val="0000EE"/>
            <w:u w:val="single"/>
          </w:rPr>
          <w:t>Psaume 150</w:t>
        </w:r>
      </w:hyperlink>
      <w:r>
        <w:t xml:space="preserve"> mentionne deux types différents de cymbales. Nous ne savons pas en quoi ces cymbales différaient. Elles pouvaient être de tailles différentes ou fabriquées à partir de matériaux différents.</w:t>
      </w:r>
      <w:r/>
      <w:r/>
    </w:p>
    <w:p>
      <w:r/>
    </w:p>
    <w:p>
      <w:pPr>
        <w:pStyle w:val="Heading2"/>
      </w:pPr>
      <w:r>
        <w:t>Interprète</w:t>
      </w:r>
      <w:r/>
    </w:p>
    <w:p>
      <w:r/>
      <w:r>
        <w:t>Une personne qui aide à communiquer entre des locuteurs de différentes langues, ou quelqu'un qui explique le sens des rêves.</w:t>
      </w:r>
    </w:p>
    <w:p>
      <w:r/>
      <w:r>
        <w:t>Joseph a fait semblant d'avoir besoin d'un interprète pour parler à ses frères (</w:t>
      </w:r>
      <w:hyperlink r:id="rId6805">
        <w:r>
          <w:rPr>
            <w:color w:val="0000EE"/>
            <w:u w:val="single"/>
          </w:rPr>
          <w:t>Gn 42.23</w:t>
        </w:r>
      </w:hyperlink>
      <w:r>
        <w:t>). De plus, les rêves devaient être interprétés (</w:t>
      </w:r>
      <w:hyperlink r:id="rId6806">
        <w:r>
          <w:rPr>
            <w:color w:val="0000EE"/>
            <w:u w:val="single"/>
          </w:rPr>
          <w:t>Gn 40.8</w:t>
        </w:r>
      </w:hyperlink>
      <w:r>
        <w:t xml:space="preserve">; </w:t>
      </w:r>
      <w:hyperlink r:id="rId6807">
        <w:r>
          <w:rPr>
            <w:color w:val="0000EE"/>
            <w:u w:val="single"/>
          </w:rPr>
          <w:t>41.15–16</w:t>
        </w:r>
      </w:hyperlink>
      <w:r>
        <w:t xml:space="preserve">; </w:t>
      </w:r>
      <w:hyperlink r:id="rId6808">
        <w:r>
          <w:rPr>
            <w:color w:val="0000EE"/>
            <w:u w:val="single"/>
          </w:rPr>
          <w:t>Dn 2</w:t>
        </w:r>
      </w:hyperlink>
      <w:r>
        <w:t xml:space="preserve">; </w:t>
      </w:r>
      <w:hyperlink r:id="rId6809">
        <w:r>
          <w:rPr>
            <w:color w:val="0000EE"/>
            <w:u w:val="single"/>
          </w:rPr>
          <w:t>4.6</w:t>
        </w:r>
      </w:hyperlink>
      <w:hyperlink r:id="rId6810">
        <w:r>
          <w:rPr>
            <w:color w:val="0000EE"/>
            <w:u w:val="single"/>
          </w:rPr>
          <w:t>–</w:t>
        </w:r>
      </w:hyperlink>
      <w:hyperlink r:id="rId6809">
        <w:r>
          <w:rPr>
            <w:color w:val="0000EE"/>
            <w:u w:val="single"/>
          </w:rPr>
          <w:t>9, 18</w:t>
        </w:r>
      </w:hyperlink>
      <w:hyperlink r:id="rId6810">
        <w:r>
          <w:rPr>
            <w:color w:val="0000EE"/>
            <w:u w:val="single"/>
          </w:rPr>
          <w:t>–</w:t>
        </w:r>
      </w:hyperlink>
      <w:hyperlink r:id="rId6809">
        <w:r>
          <w:rPr>
            <w:color w:val="0000EE"/>
            <w:u w:val="single"/>
          </w:rPr>
          <w:t>24</w:t>
        </w:r>
      </w:hyperlink>
      <w:r>
        <w:t xml:space="preserve">; </w:t>
      </w:r>
      <w:hyperlink r:id="rId6811">
        <w:r>
          <w:rPr>
            <w:color w:val="0000EE"/>
            <w:u w:val="single"/>
          </w:rPr>
          <w:t>5.7</w:t>
        </w:r>
      </w:hyperlink>
      <w:hyperlink r:id="rId6812">
        <w:r>
          <w:rPr>
            <w:color w:val="0000EE"/>
            <w:u w:val="single"/>
          </w:rPr>
          <w:t>–</w:t>
        </w:r>
      </w:hyperlink>
      <w:hyperlink r:id="rId6811">
        <w:r>
          <w:rPr>
            <w:color w:val="0000EE"/>
            <w:u w:val="single"/>
          </w:rPr>
          <w:t>8, 12</w:t>
        </w:r>
      </w:hyperlink>
      <w:hyperlink r:id="rId6812">
        <w:r>
          <w:rPr>
            <w:color w:val="0000EE"/>
            <w:u w:val="single"/>
          </w:rPr>
          <w:t>–</w:t>
        </w:r>
      </w:hyperlink>
      <w:hyperlink r:id="rId6811">
        <w:r>
          <w:rPr>
            <w:color w:val="0000EE"/>
            <w:u w:val="single"/>
          </w:rPr>
          <w:t>17</w:t>
        </w:r>
      </w:hyperlink>
      <w:r>
        <w:t xml:space="preserve">; </w:t>
      </w:r>
      <w:hyperlink r:id="rId6813">
        <w:r>
          <w:rPr>
            <w:color w:val="0000EE"/>
            <w:u w:val="single"/>
          </w:rPr>
          <w:t>7.16</w:t>
        </w:r>
      </w:hyperlink>
      <w:r>
        <w:t>). L'interprète était parfois celui qui agissait comme médiateur ou intermédiaire (</w:t>
      </w:r>
      <w:hyperlink r:id="rId6814">
        <w:r>
          <w:rPr>
            <w:color w:val="0000EE"/>
            <w:u w:val="single"/>
          </w:rPr>
          <w:t>Jb 33.23</w:t>
        </w:r>
      </w:hyperlink>
      <w:r>
        <w:t>).</w:t>
      </w:r>
    </w:p>
    <w:p>
      <w:r/>
      <w:r>
        <w:t>Esdras et Néhémie ont agi comme interprètes ou traducteurs de la loi de Moïse lorsqu'elle a été lue aux Juifs qui étaient revenus d'exil (</w:t>
      </w:r>
      <w:hyperlink r:id="rId6815">
        <w:r>
          <w:rPr>
            <w:color w:val="0000EE"/>
            <w:u w:val="single"/>
          </w:rPr>
          <w:t>Né 8.8–9</w:t>
        </w:r>
      </w:hyperlink>
      <w:r>
        <w:t>). Ils ne connaissaient sans doute pas l'hébreu.</w:t>
      </w:r>
    </w:p>
    <w:p>
      <w:r/>
      <w:r>
        <w:t>À l'époque du Nouveau Testament, l'interprète :</w:t>
      </w:r>
    </w:p>
    <w:p>
      <w:pPr>
        <w:pStyle w:val="ListBullet"/>
        <w:spacing w:line="240" w:lineRule="auto"/>
        <w:ind w:left="720"/>
      </w:pPr>
      <w:r/>
      <w:r>
        <w:t>Expliquait les paroles de ceux qui parlaient en langues (</w:t>
      </w:r>
      <w:hyperlink r:id="rId6816">
        <w:r>
          <w:rPr>
            <w:color w:val="0000EE"/>
            <w:u w:val="single"/>
          </w:rPr>
          <w:t>1Co 14.28</w:t>
        </w:r>
      </w:hyperlink>
      <w:r>
        <w:t>)</w:t>
      </w:r>
    </w:p>
    <w:p>
      <w:pPr>
        <w:pStyle w:val="ListBullet"/>
        <w:spacing w:line="240" w:lineRule="auto"/>
        <w:ind w:left="720"/>
      </w:pPr>
      <w:r/>
      <w:r>
        <w:t>Traduisait les langues étrangères (</w:t>
      </w:r>
      <w:hyperlink r:id="rId6817">
        <w:r>
          <w:rPr>
            <w:color w:val="0000EE"/>
            <w:u w:val="single"/>
          </w:rPr>
          <w:t>Ac 2.6</w:t>
        </w:r>
      </w:hyperlink>
      <w:r>
        <w:t>)</w:t>
      </w:r>
    </w:p>
    <w:p>
      <w:pPr>
        <w:pStyle w:val="ListBullet"/>
        <w:spacing w:line="240" w:lineRule="auto"/>
        <w:ind w:left="720"/>
      </w:pPr>
      <w:r/>
      <w:r>
        <w:t>Expliquait les Écritures (</w:t>
      </w:r>
      <w:hyperlink r:id="rId1965">
        <w:r>
          <w:rPr>
            <w:color w:val="0000EE"/>
            <w:u w:val="single"/>
          </w:rPr>
          <w:t>Lc 24.27</w:t>
        </w:r>
      </w:hyperlink>
      <w:r>
        <w:t>)</w:t>
      </w:r>
      <w:r/>
      <w:r/>
    </w:p>
    <w:p>
      <w:r/>
    </w:p>
    <w:p>
      <w:pPr>
        <w:pStyle w:val="Heading2"/>
      </w:pPr>
      <w:r>
        <w:t>Irad</w:t>
      </w:r>
      <w:r/>
    </w:p>
    <w:p>
      <w:r/>
      <w:r>
        <w:t>Fils d'Hénoc, de la descendance de Caïn (</w:t>
      </w:r>
      <w:hyperlink r:id="rId6818">
        <w:r>
          <w:rPr>
            <w:color w:val="0000EE"/>
            <w:u w:val="single"/>
          </w:rPr>
          <w:t>Gn 4.18</w:t>
        </w:r>
      </w:hyperlink>
      <w:r>
        <w:t>).</w:t>
      </w:r>
      <w:r/>
      <w:r/>
    </w:p>
    <w:p>
      <w:r/>
    </w:p>
    <w:p>
      <w:pPr>
        <w:pStyle w:val="Heading2"/>
      </w:pPr>
      <w:r>
        <w:t>Iram</w:t>
      </w:r>
      <w:r/>
    </w:p>
    <w:p>
      <w:r/>
      <w:r>
        <w:t>Le chef d'une tribu en Édom (</w:t>
      </w:r>
      <w:hyperlink r:id="rId6819">
        <w:r>
          <w:rPr>
            <w:color w:val="0000EE"/>
            <w:u w:val="single"/>
          </w:rPr>
          <w:t>Gn 36.43</w:t>
        </w:r>
      </w:hyperlink>
      <w:r>
        <w:t xml:space="preserve"> ; </w:t>
      </w:r>
      <w:hyperlink r:id="rId6820">
        <w:r>
          <w:rPr>
            <w:color w:val="0000EE"/>
            <w:u w:val="single"/>
          </w:rPr>
          <w:t>1Ch 1.54</w:t>
        </w:r>
      </w:hyperlink>
      <w:r>
        <w:t>).</w:t>
      </w:r>
      <w:r/>
      <w:r/>
    </w:p>
    <w:p>
      <w:r/>
    </w:p>
    <w:p>
      <w:pPr>
        <w:pStyle w:val="Heading2"/>
      </w:pPr>
      <w:r>
        <w:t>Isaac</w:t>
      </w:r>
      <w:r/>
    </w:p>
    <w:p>
      <w:r/>
      <w:r>
        <w:t>Fils d'Abraham et de Sara, et père de Jacob et d'Ésaü. Isaac était l'un des patriarches d'Israël, les premiers pères ou leaders fondateurs du peuple israélite dans la Bible.</w:t>
      </w:r>
    </w:p>
    <w:p>
      <w:pPr>
        <w:pStyle w:val="Heading3"/>
      </w:pPr>
      <w:r>
        <w:t>Naissance et petite enfance d’Isaac</w:t>
      </w:r>
    </w:p>
    <w:p>
      <w:r/>
      <w:r>
        <w:t xml:space="preserve">Le nom Isaac a une origine linguistique intéressante. Il s'agit de la version française de l'hébreu </w:t>
      </w:r>
      <w:r>
        <w:rPr>
          <w:i/>
        </w:rPr>
        <w:t>Yitshaq</w:t>
      </w:r>
      <w:r>
        <w:t>, « Isaak » en grec. Sous une forme imparfaite, cela signifie « il rit ». Sous une forme parfaite, cela signifie « il a ri ». Les biblistes ont discuté de savoir qui rit, selon ce nom.</w:t>
      </w:r>
    </w:p>
    <w:p>
      <w:r/>
      <w:r>
        <w:t>Si Dieu est le « il » qui rit, le nom pourrait montrer l'hilarité divine. Abraham et Sara ont tous deux ri à la perspective d'avoir un enfant (</w:t>
      </w:r>
      <w:hyperlink r:id="rId81">
        <w:r>
          <w:rPr>
            <w:color w:val="0000EE"/>
            <w:u w:val="single"/>
          </w:rPr>
          <w:t>Gn 17.17</w:t>
        </w:r>
      </w:hyperlink>
      <w:r>
        <w:t xml:space="preserve"> ; </w:t>
      </w:r>
      <w:hyperlink r:id="rId6821">
        <w:r>
          <w:rPr>
            <w:color w:val="0000EE"/>
            <w:u w:val="single"/>
          </w:rPr>
          <w:t>18.12</w:t>
        </w:r>
      </w:hyperlink>
      <w:r>
        <w:t>). La promesse de Dieu s'est accomplie lorsqu'ils sont soudainement devenus parents.</w:t>
      </w:r>
    </w:p>
    <w:p>
      <w:r/>
      <w:r>
        <w:t>Le contexte familial d'Isaac est également intéressant. Sara n'était pas seulement l'épouse d'Abraham mais aussi sa demi-sœur (</w:t>
      </w:r>
      <w:hyperlink r:id="rId6822">
        <w:r>
          <w:rPr>
            <w:color w:val="0000EE"/>
            <w:u w:val="single"/>
          </w:rPr>
          <w:t>Gn 20.12</w:t>
        </w:r>
      </w:hyperlink>
      <w:r>
        <w:t>). Ce fait à lui seul a peut-être créé des interférences dans leur capacité à concevoir durant leurs premières années. En raison de cette relation, Isaac appartenait aux deux côtés de la famille de Térach. Selon la pratique courante de l'époque, le fils de l'épouse légale avait la priorité sur les descendants mâles des concubines. Cela signifiait qu'Isaac avait la priorité d'héritage sur Ismaël. Les cadeaux qu'Abraham a ensuite donnés aux fils de ses concubines (</w:t>
      </w:r>
      <w:hyperlink r:id="rId6823">
        <w:r>
          <w:rPr>
            <w:color w:val="0000EE"/>
            <w:u w:val="single"/>
          </w:rPr>
          <w:t>25.6</w:t>
        </w:r>
      </w:hyperlink>
      <w:r>
        <w:t>) étaient sans préjudice pour l'héritage d'Isaac.</w:t>
      </w:r>
    </w:p>
    <w:p>
      <w:r/>
      <w:r>
        <w:t>Suivant les instructions de Dieu (</w:t>
      </w:r>
      <w:hyperlink r:id="rId6824">
        <w:r>
          <w:rPr>
            <w:color w:val="0000EE"/>
            <w:u w:val="single"/>
          </w:rPr>
          <w:t>Gn 17.10–14</w:t>
        </w:r>
      </w:hyperlink>
      <w:r>
        <w:t>), Abraham circoncira Isaac le huitième jour en tant que membre de la communauté de l'alliance. La cérémonie suivante aura lieu lorsqu'il avait probablement environ trois ans. Dans les pays orientaux, les gens célèbrent le passage d'un enfant du lait aux aliments solides avec un festin. Cet événement est encore parfois observé. Lors de la célébration, la mère mâche une bouchée de nourriture solide et la pousse dans la bouche du bébé avec sa langue. Le nourrisson est souvent si choqué par ce traitement qu'il expulse immédiatement la nourriture, et la mère répète le processus. Pour un observateur, la procédure peut être drôle, et Ismaël riait peut-être de cela lorsque Sara s'est mise en colère (</w:t>
      </w:r>
      <w:hyperlink r:id="rId6825">
        <w:r>
          <w:rPr>
            <w:color w:val="0000EE"/>
            <w:u w:val="single"/>
          </w:rPr>
          <w:t>Gn 21.8–10</w:t>
        </w:r>
      </w:hyperlink>
      <w:r>
        <w:t>).</w:t>
      </w:r>
    </w:p>
    <w:p>
      <w:r/>
      <w:r>
        <w:t>Pendant les jeunes années d'Isaac, Abraham vivait en territoire philistin (</w:t>
      </w:r>
      <w:hyperlink r:id="rId6826">
        <w:r>
          <w:rPr>
            <w:color w:val="0000EE"/>
            <w:u w:val="single"/>
          </w:rPr>
          <w:t>Gn 21.34</w:t>
        </w:r>
      </w:hyperlink>
      <w:r>
        <w:t>). L'épreuve de la foi et de l'obéissance du père est survenue pendant cette période. Abraham a vu ce fils de la promesse de Dieu grandir pour devenir un jeune homme en bonne santé. Puis Dieu lui a demandé d'offrir Isaac en sacrifice.</w:t>
      </w:r>
    </w:p>
    <w:p>
      <w:r/>
      <w:r>
        <w:t>Isaac était coutumier des rituels sacrificiels et participait aux préparatifs. Il connaissait également les traditions selon lesquelles le chef de famille avait le pouvoir de vie ou de mort sur tous les membres de la famille. S'il a exprimé une quelconque protestation alors qu'il était allongé, lié sur l'autel sacrificiel, cela n'est pas mentionné dans l'histoire.</w:t>
      </w:r>
    </w:p>
    <w:p>
      <w:r/>
      <w:r>
        <w:t>Lorsque la foi d'Abraham n'a pas faibli, Dieu intervient au moment crucial et fournit une autre offrande, un bélier. En raison de l'obéissance d'Abraham, Dieu lui promet une grande bénédiction. Isaac participera également à cette bénédiction (</w:t>
      </w:r>
      <w:hyperlink r:id="rId106">
        <w:r>
          <w:rPr>
            <w:color w:val="0000EE"/>
            <w:u w:val="single"/>
          </w:rPr>
          <w:t>Gn 22</w:t>
        </w:r>
      </w:hyperlink>
      <w:r>
        <w:t xml:space="preserve"> ; </w:t>
      </w:r>
      <w:hyperlink r:id="rId6827">
        <w:r>
          <w:rPr>
            <w:color w:val="0000EE"/>
            <w:u w:val="single"/>
          </w:rPr>
          <w:t>25.11</w:t>
        </w:r>
      </w:hyperlink>
      <w:r>
        <w:t>). C'est cet acte de foi et d'obéissance que Paul honorera des siècles plus tard en appelant Abraham le père fondateur de l'Église chrétienne (</w:t>
      </w:r>
      <w:hyperlink r:id="rId6828">
        <w:r>
          <w:rPr>
            <w:color w:val="0000EE"/>
            <w:u w:val="single"/>
          </w:rPr>
          <w:t>Rm 4</w:t>
        </w:r>
      </w:hyperlink>
      <w:r>
        <w:t>).</w:t>
      </w:r>
    </w:p>
    <w:p>
      <w:pPr>
        <w:pStyle w:val="Heading3"/>
      </w:pPr>
      <w:r>
        <w:t>Mariage et famille d'Isaac</w:t>
      </w:r>
    </w:p>
    <w:p>
      <w:r/>
      <w:r>
        <w:t>Après la mort de Sara (</w:t>
      </w:r>
      <w:hyperlink r:id="rId103">
        <w:r>
          <w:rPr>
            <w:color w:val="0000EE"/>
            <w:u w:val="single"/>
          </w:rPr>
          <w:t>Gn 23</w:t>
        </w:r>
      </w:hyperlink>
      <w:r>
        <w:t>), Abraham voulait trouver une épouse pour Isaac. Il était de coutume que les parents arrangent les mariages de leurs enfants. Il ne voulait pas qu'Isaac épouse une femme non juive locale. Au lieu de cela, Abraham enverra son intendant à Nachor, en Mésopotamie, pour chercher une épouse pour son fils parmi ses proches.</w:t>
      </w:r>
    </w:p>
    <w:p>
      <w:r/>
      <w:hyperlink r:id="rId6015">
        <w:r>
          <w:rPr>
            <w:color w:val="0000EE"/>
            <w:u w:val="single"/>
          </w:rPr>
          <w:t>Genèse 24</w:t>
        </w:r>
      </w:hyperlink>
      <w:r>
        <w:t xml:space="preserve"> décrit comment le serviteur rencontre Rebecca. L'histoire met l'accent sur la foi, la persévérance et la bénédiction divine. Nachor a officiellement fiancé Rebecca à Isaac avant même qu'elle ait rencontré le reste de sa famille. Le père de Rebecca, Bethuel, et son frère, Laban, ont accepté cet arrangement. Rebecca a quitté sa maison avec la bénédiction de sa famille pour assumer ses nouvelles responsabilités en Palestine en tant qu'épouse d'Isaac.</w:t>
      </w:r>
    </w:p>
    <w:p>
      <w:r/>
      <w:r>
        <w:t>Quand Abraham mourra, à un âge avancé, Isaac et Ismaël l'enterreront dans la grotte de Macpéla (</w:t>
      </w:r>
      <w:hyperlink r:id="rId6829">
        <w:r>
          <w:rPr>
            <w:color w:val="0000EE"/>
            <w:u w:val="single"/>
          </w:rPr>
          <w:t>Genèse 25.8–9</w:t>
        </w:r>
      </w:hyperlink>
      <w:r>
        <w:t>). Isaac devient alors le patriarche de la famille et devient alors celui qui est responsable de diriger et de prendre des décisions importantes pour tout le groupe familial. Il implore Dieu pour que Rebecca puisse avoir des enfants. Elle donne naissance à des fils jumeaux, Ésaü (« le velu ») et Jacob (« supplanteur », ce qui signifie celui qui prend la place d'un autre).</w:t>
      </w:r>
    </w:p>
    <w:p>
      <w:r/>
      <w:r>
        <w:t>Ésaü deviendra chasseur, et Isaac le favorise. Jacob était plus sédentaire et agriculteur, et il était favorisé par sa mère. Jacob était aussi rusé. Un jour, il profite de la faim extrême d'Ésaü pour négocier avec son frère aîné l'échange de son droit d'aînesse contre un ragoût de lentilles. Posséder le droit d'aînesse signifiait que Jacob recevrait une double part d'héritage (</w:t>
      </w:r>
      <w:hyperlink r:id="rId6830">
        <w:r>
          <w:rPr>
            <w:color w:val="0000EE"/>
            <w:u w:val="single"/>
          </w:rPr>
          <w:t>Dt 21.17</w:t>
        </w:r>
      </w:hyperlink>
      <w:r>
        <w:t>).</w:t>
      </w:r>
    </w:p>
    <w:p>
      <w:pPr>
        <w:pStyle w:val="Heading3"/>
      </w:pPr>
      <w:r>
        <w:t>Dernières années et héritage d’Isaac</w:t>
      </w:r>
    </w:p>
    <w:p>
      <w:r/>
      <w:r>
        <w:t>Quand la famine est vient dans le pays, Dieu a dit à Isaac de ne pas aller en Égypte (</w:t>
      </w:r>
      <w:hyperlink r:id="rId6831">
        <w:r>
          <w:rPr>
            <w:color w:val="0000EE"/>
            <w:u w:val="single"/>
          </w:rPr>
          <w:t>Gn 26.2</w:t>
        </w:r>
      </w:hyperlink>
      <w:r>
        <w:t>). Isaac reste en Palestine, où Dieu lui dit qu'il vivrait bien. Quand les hommes de la région posent des questions à propos de Rebecca, Isaac prend peur et leur dit qu'elle est sa sœur. Quand le mensonge sera révélé, Abimélec, le roi, réprimande Isaac. Le roi avertit tout le monde dans la région de ne pas interférer avec Isaac. Isaac prospère tellement qu'Abimélec lui demande finalement de partir. Isaac emmène sa famille à Beer-Schéba, où il y avait beaucoup d'eau pour ses troupeaux, et sa fortune y augmentera.</w:t>
      </w:r>
    </w:p>
    <w:p>
      <w:r/>
      <w:r>
        <w:t>Bien qu'Ésaü était le fils préféré d'Isaac, son père n'approuvait pas les deux mariages d'Ésaü avec des femmes hittites. Quand Isaac sent que la fin de sa vie approchait, il voudra bénir son premier-né de manière traditionnelle (</w:t>
      </w:r>
      <w:hyperlink r:id="rId4307">
        <w:r>
          <w:rPr>
            <w:color w:val="0000EE"/>
            <w:u w:val="single"/>
          </w:rPr>
          <w:t>Gn 27</w:t>
        </w:r>
      </w:hyperlink>
      <w:r>
        <w:t>). Rebecca entend ses instructions à Ésaü. Elle encourage alors Jacob à tromper le vieil homme aveugle en se déguisant en Ésaü et en prenant la bénédiction de son frère.</w:t>
      </w:r>
    </w:p>
    <w:p>
      <w:r/>
      <w:r>
        <w:t>La tromperie réussit, et Isaac accordera à Jacob la bénédiction du premier-né. Lorsque Ésaü arrive pour recevoir sa bénédiction, il était trop tard. Ésaü sera très amer envers Jacob à cause de ce qui s'était passé.</w:t>
      </w:r>
    </w:p>
    <w:p>
      <w:r/>
      <w:r>
        <w:t>Rebecca envoie alors Jacob chez son frère Laban en Mésopotamie pour échapper à la colère d'Ésaü ainsi que pour trouver une épouse. Ésaü recevra une bénédiction d'Isaac, mais moindre. Deux décennies plus tard, Jacob, devenu riche, revient avec sa famille. Il fera la paix avec Ésaü avant qu'Isaac ne meure, et les frères enterreront Isaac à Hébron (</w:t>
      </w:r>
      <w:hyperlink r:id="rId6832">
        <w:r>
          <w:rPr>
            <w:color w:val="0000EE"/>
            <w:u w:val="single"/>
          </w:rPr>
          <w:t>Gn 35.27–29</w:t>
        </w:r>
      </w:hyperlink>
      <w:r>
        <w:t>).</w:t>
      </w:r>
    </w:p>
    <w:p>
      <w:r/>
      <w:r>
        <w:t xml:space="preserve">Isaac n'est pas aussi connu dans les récits de l'Ancien Testament qu'Abraham ou Jacob. Les passages du Nouveau Testament comme </w:t>
      </w:r>
      <w:hyperlink r:id="rId6833">
        <w:r>
          <w:rPr>
            <w:color w:val="0000EE"/>
            <w:u w:val="single"/>
          </w:rPr>
          <w:t>Actes 7.8</w:t>
        </w:r>
      </w:hyperlink>
      <w:r>
        <w:t xml:space="preserve">, </w:t>
      </w:r>
      <w:hyperlink r:id="rId6834">
        <w:r>
          <w:rPr>
            <w:color w:val="0000EE"/>
            <w:u w:val="single"/>
          </w:rPr>
          <w:t>Romains 9.7</w:t>
        </w:r>
      </w:hyperlink>
      <w:r>
        <w:t xml:space="preserve">, </w:t>
      </w:r>
      <w:hyperlink r:id="rId6835">
        <w:r>
          <w:rPr>
            <w:color w:val="0000EE"/>
            <w:u w:val="single"/>
          </w:rPr>
          <w:t>Galates 4.21–31</w:t>
        </w:r>
      </w:hyperlink>
      <w:r>
        <w:t xml:space="preserve">, et </w:t>
      </w:r>
      <w:hyperlink r:id="rId6836">
        <w:r>
          <w:rPr>
            <w:color w:val="0000EE"/>
            <w:u w:val="single"/>
          </w:rPr>
          <w:t>Hébreux 11.9–20</w:t>
        </w:r>
      </w:hyperlink>
      <w:r>
        <w:t xml:space="preserve"> reconnaissent son importance pour la foi alliancielle (foi basée sur la confiance dans les promesses de Dieu et la suivance de ses instructions). Isaac représente la nouvelle alliance que Dieu a faite avec Abraham en tant qu'enfant de la promesse de Dieu.</w:t>
      </w:r>
    </w:p>
    <w:p>
      <w:r/>
      <w:r>
        <w:rPr>
          <w:i/>
        </w:rPr>
        <w:t>Voir aussi</w:t>
      </w:r>
      <w:r>
        <w:t xml:space="preserve"> </w:t>
      </w:r>
      <w:r>
        <w:t>Israël, Histoire d'</w:t>
      </w:r>
      <w:r>
        <w:t xml:space="preserve"> ; </w:t>
      </w:r>
      <w:r>
        <w:t>Patriarches, Période des</w:t>
      </w:r>
      <w:r>
        <w:t>.</w:t>
      </w:r>
      <w:r/>
      <w:r/>
    </w:p>
    <w:p>
      <w:r/>
    </w:p>
    <w:p>
      <w:pPr>
        <w:pStyle w:val="Heading2"/>
      </w:pPr>
      <w:r>
        <w:t>Isaï, Rejeton (Racine, Descendant) d'</w:t>
      </w:r>
      <w:r/>
    </w:p>
    <w:p>
      <w:r/>
      <w:r>
        <w:t>Figure de style utilisée par Ésaïe (</w:t>
      </w:r>
      <w:hyperlink r:id="rId3730">
        <w:r>
          <w:rPr>
            <w:color w:val="0000EE"/>
            <w:u w:val="single"/>
          </w:rPr>
          <w:t>Es 11.10</w:t>
        </w:r>
      </w:hyperlink>
      <w:r>
        <w:t>) pour exprimer l'espérance d'un roi messianique à venir, dans la lignée de David. La « racine » (NBS) d'une famille est son premier membre. Isaï, le père de David, est un ancêtre du Messie (</w:t>
      </w:r>
      <w:hyperlink r:id="rId6837">
        <w:r>
          <w:rPr>
            <w:color w:val="0000EE"/>
            <w:u w:val="single"/>
          </w:rPr>
          <w:t>Es 11.1, 10</w:t>
        </w:r>
      </w:hyperlink>
      <w:r>
        <w:t xml:space="preserve"> ; </w:t>
      </w:r>
      <w:hyperlink r:id="rId6838">
        <w:r>
          <w:rPr>
            <w:color w:val="0000EE"/>
            <w:u w:val="single"/>
          </w:rPr>
          <w:t>Mt 1.5–6</w:t>
        </w:r>
      </w:hyperlink>
      <w:r>
        <w:t xml:space="preserve"> ; </w:t>
      </w:r>
      <w:hyperlink r:id="rId6839">
        <w:r>
          <w:rPr>
            <w:color w:val="0000EE"/>
            <w:u w:val="single"/>
          </w:rPr>
          <w:t>Lc 3.32</w:t>
        </w:r>
      </w:hyperlink>
      <w:r>
        <w:t xml:space="preserve"> ; </w:t>
      </w:r>
      <w:hyperlink r:id="rId6840">
        <w:r>
          <w:rPr>
            <w:color w:val="0000EE"/>
            <w:u w:val="single"/>
          </w:rPr>
          <w:t>Ac 13.22–23</w:t>
        </w:r>
      </w:hyperlink>
      <w:r>
        <w:t>). Ésaïe décrit le jugement de Dieu sur l'Assyrie comme l'abattage d'une forêt (</w:t>
      </w:r>
      <w:hyperlink r:id="rId6841">
        <w:r>
          <w:rPr>
            <w:color w:val="0000EE"/>
            <w:u w:val="single"/>
          </w:rPr>
          <w:t>Es 10.33–34</w:t>
        </w:r>
      </w:hyperlink>
      <w:r>
        <w:t>). Juda sera également abattu et le fier « arbre » de la royauté de David tombera. Mais, un petit morceau restera, qu'Ésaïe décrit comme une pousse d'une souche (</w:t>
      </w:r>
      <w:hyperlink r:id="rId6842">
        <w:r>
          <w:rPr>
            <w:color w:val="0000EE"/>
            <w:u w:val="single"/>
          </w:rPr>
          <w:t>Es 6.13</w:t>
        </w:r>
      </w:hyperlink>
      <w:r>
        <w:t>). La pousse messianique surgira de la souche d'Isaï comme une branche de ses racines. L'Esprit du Seigneur habitera en celui-ci qui sera un signe pour le peuple, afin que tout le monde recherche la gloire du Seigneur (</w:t>
      </w:r>
      <w:hyperlink r:id="rId3624">
        <w:r>
          <w:rPr>
            <w:color w:val="0000EE"/>
            <w:u w:val="single"/>
          </w:rPr>
          <w:t>Es 11.1–10</w:t>
        </w:r>
      </w:hyperlink>
      <w:r>
        <w:t xml:space="preserve"> ; voir </w:t>
      </w:r>
      <w:hyperlink r:id="rId6843">
        <w:r>
          <w:rPr>
            <w:color w:val="0000EE"/>
            <w:u w:val="single"/>
          </w:rPr>
          <w:t>Es 53.2</w:t>
        </w:r>
      </w:hyperlink>
      <w:r>
        <w:t xml:space="preserve"> ; </w:t>
      </w:r>
      <w:hyperlink r:id="rId6844">
        <w:r>
          <w:rPr>
            <w:color w:val="0000EE"/>
            <w:u w:val="single"/>
          </w:rPr>
          <w:t>Jr 23.5</w:t>
        </w:r>
      </w:hyperlink>
      <w:r>
        <w:t xml:space="preserve"> ; </w:t>
      </w:r>
      <w:hyperlink r:id="rId3623">
        <w:r>
          <w:rPr>
            <w:color w:val="0000EE"/>
            <w:u w:val="single"/>
          </w:rPr>
          <w:t>33.15</w:t>
        </w:r>
      </w:hyperlink>
      <w:r>
        <w:t xml:space="preserve"> ; </w:t>
      </w:r>
      <w:hyperlink r:id="rId6845">
        <w:r>
          <w:rPr>
            <w:color w:val="0000EE"/>
            <w:u w:val="single"/>
          </w:rPr>
          <w:t>Ez 17.22–23</w:t>
        </w:r>
      </w:hyperlink>
      <w:r>
        <w:t xml:space="preserve"> ; </w:t>
      </w:r>
      <w:hyperlink r:id="rId6846">
        <w:r>
          <w:rPr>
            <w:color w:val="0000EE"/>
            <w:u w:val="single"/>
          </w:rPr>
          <w:t>Za 3.8</w:t>
        </w:r>
      </w:hyperlink>
      <w:r>
        <w:t xml:space="preserve"> ; </w:t>
      </w:r>
      <w:hyperlink r:id="rId6847">
        <w:r>
          <w:rPr>
            <w:color w:val="0000EE"/>
            <w:u w:val="single"/>
          </w:rPr>
          <w:t>6.12</w:t>
        </w:r>
      </w:hyperlink>
      <w:r>
        <w:t>).</w:t>
      </w:r>
    </w:p>
    <w:p>
      <w:r/>
      <w:r>
        <w:t>L'apôtre Paul a cité la prophétie d'Ésaïe, affirmant que Jésus était la racine d'Isaï en qui les Gentils ont de l'espoir (</w:t>
      </w:r>
      <w:hyperlink r:id="rId6848">
        <w:r>
          <w:rPr>
            <w:color w:val="0000EE"/>
            <w:u w:val="single"/>
          </w:rPr>
          <w:t>Rm 15.12</w:t>
        </w:r>
      </w:hyperlink>
      <w:r>
        <w:t>). Christ n'est pas seulement « un rejeton [...] du tronc d'Isaï » (</w:t>
      </w:r>
      <w:hyperlink r:id="rId6849">
        <w:r>
          <w:rPr>
            <w:color w:val="0000EE"/>
            <w:u w:val="single"/>
          </w:rPr>
          <w:t>Es 11.1</w:t>
        </w:r>
      </w:hyperlink>
      <w:r>
        <w:t xml:space="preserve">) mais est lui-même la « racine d'Isaï » (NBS, </w:t>
      </w:r>
      <w:hyperlink r:id="rId3730">
        <w:r>
          <w:rPr>
            <w:color w:val="0000EE"/>
            <w:u w:val="single"/>
          </w:rPr>
          <w:t>Es 11.10</w:t>
        </w:r>
      </w:hyperlink>
      <w:r>
        <w:t xml:space="preserve"> ; </w:t>
      </w:r>
      <w:hyperlink r:id="rId6848">
        <w:r>
          <w:rPr>
            <w:color w:val="0000EE"/>
            <w:u w:val="single"/>
          </w:rPr>
          <w:t>Rm 15.12</w:t>
        </w:r>
      </w:hyperlink>
      <w:r>
        <w:t xml:space="preserve"> ; voir </w:t>
      </w:r>
      <w:hyperlink r:id="rId3646">
        <w:r>
          <w:rPr>
            <w:color w:val="0000EE"/>
            <w:u w:val="single"/>
          </w:rPr>
          <w:t>Ap 5.5</w:t>
        </w:r>
      </w:hyperlink>
      <w:r>
        <w:t xml:space="preserve"> ; </w:t>
      </w:r>
      <w:hyperlink r:id="rId3647">
        <w:r>
          <w:rPr>
            <w:color w:val="0000EE"/>
            <w:u w:val="single"/>
          </w:rPr>
          <w:t>22.16</w:t>
        </w:r>
      </w:hyperlink>
      <w:r>
        <w:t xml:space="preserve">, « rejeton de David »). Cela signifie que Jésus ne vient pas seulement de la lignée d'Isaï mais qu'Isaï (et David) viennent de Jésus. En d'autres termes, l'image d'une racine d'Isaï pointe vers la divinité de Jésus. Bien que Jésus était le fils de David, Jésus était aussi le « Seigneur » de David. Voilà ce que Jésus a soulevé lors de son débat avec les chefs religieux de son époque qui pensaient que le Messie n'était qu'un descendant humain de David. </w:t>
      </w:r>
      <w:hyperlink r:id="rId6850">
        <w:r>
          <w:rPr>
            <w:color w:val="0000EE"/>
            <w:u w:val="single"/>
          </w:rPr>
          <w:t>Matthieu 22.42–45</w:t>
        </w:r>
      </w:hyperlink>
      <w:r>
        <w:t xml:space="preserve"> dit ceci, commençant avec une question posée en deux parties par Jésus : « Que pensez-vous du Christ ? De qui est-il fils ? Ils lui répondirent : De David. Et Jésus leur dit : Comment donc David, animé par l’Esprit, l’appelle-t-il Seigneur, lorsqu’il dit : Le Seigneur a dit à mon Seigneur : Assieds-toi à ma droite, Jusqu’à ce que je fasse de tes ennemis ton marchepied ? Si donc David l’appelle Seigneur, comment est-il son fils ? »</w:t>
      </w:r>
    </w:p>
    <w:p>
      <w:r/>
      <w:r>
        <w:rPr>
          <w:i/>
        </w:rPr>
        <w:t>Voir aussi</w:t>
      </w:r>
      <w:r>
        <w:t xml:space="preserve"> </w:t>
      </w:r>
      <w:r>
        <w:t>Christologie</w:t>
      </w:r>
      <w:r>
        <w:t xml:space="preserve"> ; </w:t>
      </w:r>
      <w:r>
        <w:t>David</w:t>
      </w:r>
      <w:r>
        <w:t xml:space="preserve"> ; </w:t>
      </w:r>
      <w:r>
        <w:t>Généalogie de Jésus-Christ</w:t>
      </w:r>
      <w:r>
        <w:t xml:space="preserve"> ; </w:t>
      </w:r>
      <w:r>
        <w:t>Isaï (Personne)</w:t>
      </w:r>
      <w:r>
        <w:t xml:space="preserve"> ; </w:t>
      </w:r>
      <w:r>
        <w:t>Jésus-Christ, Enseignements de</w:t>
      </w:r>
      <w:r>
        <w:t>.</w:t>
      </w:r>
      <w:r/>
      <w:r/>
    </w:p>
    <w:p>
      <w:r/>
    </w:p>
    <w:p>
      <w:pPr>
        <w:pStyle w:val="Heading2"/>
      </w:pPr>
      <w:r>
        <w:t>Ismaël</w:t>
      </w:r>
      <w:r/>
    </w:p>
    <w:p>
      <w:pPr>
        <w:pStyle w:val="ListNumber"/>
        <w:spacing w:line="240" w:lineRule="auto"/>
        <w:ind w:left="720"/>
      </w:pPr>
      <w:r/>
      <w:r>
        <w:t>Premier fils d'Abraham, né d'Agar. Agar était la servante égyptienne de Sara, la femme d'Abraham. Sara choisira Agar pour qu'elle ait un enfant avec Abraham.</w:t>
      </w:r>
    </w:p>
    <w:p>
      <w:r/>
      <w:r>
        <w:t>Dieu avait promis de faire d'Abraham une grande nation, bien qu'il n'ait pas d'enfants (</w:t>
      </w:r>
      <w:hyperlink r:id="rId547">
        <w:r>
          <w:rPr>
            <w:color w:val="0000EE"/>
            <w:u w:val="single"/>
          </w:rPr>
          <w:t>Gn 12.2</w:t>
        </w:r>
      </w:hyperlink>
      <w:r>
        <w:t>). Dieu lui a promis que son fils serait son héritier (</w:t>
      </w:r>
      <w:hyperlink r:id="rId91">
        <w:r>
          <w:rPr>
            <w:color w:val="0000EE"/>
            <w:u w:val="single"/>
          </w:rPr>
          <w:t>15.4</w:t>
        </w:r>
      </w:hyperlink>
      <w:r>
        <w:t>). Mais lorsque Sara avait plus de 75 ans et n'avait toujours pas eu d'enfants, elle suivra une coutume de l'époque et donnera sa servante Agar à Abraham comme concubine. Ceci était destiné à donner un enfant à Sara par l'intermédiaire d'Agar (</w:t>
      </w:r>
      <w:hyperlink r:id="rId6851">
        <w:r>
          <w:rPr>
            <w:color w:val="0000EE"/>
            <w:u w:val="single"/>
          </w:rPr>
          <w:t>16.1–2</w:t>
        </w:r>
      </w:hyperlink>
      <w:r>
        <w:t>).</w:t>
      </w:r>
    </w:p>
    <w:p>
      <w:r/>
      <w:r>
        <w:t>Après qu'Agar est tombée enceinte, elle commencera à traiter Sara avec mépris. Sara traitera alors Agar durement, la poussant à s'enfuir. Un ange trouvera Agar et lui dira de revenir. L'ange lui promettra également un fils, lui disant de le nommer Ismaël, ce qui signifie « Dieu entend » (</w:t>
      </w:r>
      <w:hyperlink r:id="rId6852">
        <w:r>
          <w:rPr>
            <w:color w:val="0000EE"/>
            <w:u w:val="single"/>
          </w:rPr>
          <w:t>16.9–11</w:t>
        </w:r>
      </w:hyperlink>
      <w:r>
        <w:t>). Le garçon naîtra près d'Hébron alors qu'Abraham avait 86 ans (</w:t>
      </w:r>
      <w:hyperlink r:id="rId2459">
        <w:r>
          <w:rPr>
            <w:color w:val="0000EE"/>
            <w:u w:val="single"/>
          </w:rPr>
          <w:t>13.18</w:t>
        </w:r>
      </w:hyperlink>
      <w:r>
        <w:t xml:space="preserve"> ; </w:t>
      </w:r>
      <w:hyperlink r:id="rId6853">
        <w:r>
          <w:rPr>
            <w:color w:val="0000EE"/>
            <w:u w:val="single"/>
          </w:rPr>
          <w:t>16.16</w:t>
        </w:r>
      </w:hyperlink>
      <w:r>
        <w:t>).</w:t>
      </w:r>
    </w:p>
    <w:p>
      <w:r/>
      <w:r>
        <w:t>Abraham et Sara penseront d'abord qu'Ismaël était le fils que Dieu leur avait promis (</w:t>
      </w:r>
      <w:hyperlink r:id="rId81">
        <w:r>
          <w:rPr>
            <w:color w:val="0000EE"/>
            <w:u w:val="single"/>
          </w:rPr>
          <w:t>17.17</w:t>
        </w:r>
      </w:hyperlink>
      <w:r>
        <w:t xml:space="preserve"> ; </w:t>
      </w:r>
      <w:hyperlink r:id="rId6821">
        <w:r>
          <w:rPr>
            <w:color w:val="0000EE"/>
            <w:u w:val="single"/>
          </w:rPr>
          <w:t>18.12</w:t>
        </w:r>
      </w:hyperlink>
      <w:r>
        <w:t>). Quand Dieu annonce plus tard que Sara aurait son propre fils nommé Isaac, Abraham demande même à Dieu d'accepter Ismaël à la place (</w:t>
      </w:r>
      <w:hyperlink r:id="rId6854">
        <w:r>
          <w:rPr>
            <w:color w:val="0000EE"/>
            <w:u w:val="single"/>
          </w:rPr>
          <w:t>17.18</w:t>
        </w:r>
      </w:hyperlink>
      <w:r>
        <w:t>). Quand Ismaël avait treize ans, il sera circoncis comme témoin de l'alliance de Dieu avec Abraham (</w:t>
      </w:r>
      <w:hyperlink r:id="rId6855">
        <w:r>
          <w:rPr>
            <w:color w:val="0000EE"/>
            <w:u w:val="single"/>
          </w:rPr>
          <w:t>17.9–14, 22–27</w:t>
        </w:r>
      </w:hyperlink>
      <w:r>
        <w:t>). Le Seigneur promettra de faire d'Ismaël le père de douze princes, dont viendrait une grande nation. Mais l'alliance (l'accord spécial de Dieu avec Abraham) devait être établie avec Isaac (</w:t>
      </w:r>
      <w:hyperlink r:id="rId6856">
        <w:r>
          <w:rPr>
            <w:color w:val="0000EE"/>
            <w:u w:val="single"/>
          </w:rPr>
          <w:t>17.20</w:t>
        </w:r>
      </w:hyperlink>
      <w:r>
        <w:t>–</w:t>
      </w:r>
      <w:hyperlink r:id="rId6856">
        <w:r>
          <w:rPr>
            <w:color w:val="0000EE"/>
            <w:u w:val="single"/>
          </w:rPr>
          <w:t>21</w:t>
        </w:r>
      </w:hyperlink>
      <w:r>
        <w:t>).</w:t>
      </w:r>
    </w:p>
    <w:p>
      <w:r/>
      <w:r>
        <w:t>Les problèmes commencent au moment du sevrage d'Isaac, à l'âge de trois ans environ. Lorsque Sara voit Ismaël se moquer de son fils Isaac, elle décidera que le fils d'une esclave ne devrait pas être héritier avec son fils Isaac. Elle exigera qu'Ismaël et Agar soient renvoyés. Bien que cela ait contrarié Abraham, Dieu lui dira de faire ce que Sara demandait. Abraham leur donnera de la nourriture et de l'eau et les renverra. Il était alors clair pour Abraham qu'Isaac, et non Ismaël, était le fils de la promesse de Dieu.</w:t>
      </w:r>
    </w:p>
    <w:p>
      <w:r/>
      <w:r>
        <w:t>Agar survivra dans le désert grâce à l'aide d'un ange. Ismaël deviendra chasseur d'animaux sauvages et s'installera dans le désert de Paran. Il y épousera une femme égyptienne (</w:t>
      </w:r>
      <w:hyperlink r:id="rId6857">
        <w:r>
          <w:rPr>
            <w:color w:val="0000EE"/>
            <w:u w:val="single"/>
          </w:rPr>
          <w:t>21.20–21</w:t>
        </w:r>
      </w:hyperlink>
      <w:r>
        <w:t>). Nous ne savons pas grand chose de plus à son propos, hormis le fait qu'il aidera à enterrer Abraham, des années plus tard (</w:t>
      </w:r>
      <w:hyperlink r:id="rId6380">
        <w:r>
          <w:rPr>
            <w:color w:val="0000EE"/>
            <w:u w:val="single"/>
          </w:rPr>
          <w:t>25.9</w:t>
        </w:r>
      </w:hyperlink>
      <w:hyperlink r:id="rId6857">
        <w:r>
          <w:rPr>
            <w:color w:val="0000EE"/>
            <w:u w:val="single"/>
          </w:rPr>
          <w:t>–</w:t>
        </w:r>
      </w:hyperlink>
      <w:hyperlink r:id="rId6380">
        <w:r>
          <w:rPr>
            <w:color w:val="0000EE"/>
            <w:u w:val="single"/>
          </w:rPr>
          <w:t>10</w:t>
        </w:r>
      </w:hyperlink>
      <w:r>
        <w:t>). Il donnera également sa fille Mahalath en mariage (</w:t>
      </w:r>
      <w:hyperlink r:id="rId1717">
        <w:r>
          <w:rPr>
            <w:color w:val="0000EE"/>
            <w:u w:val="single"/>
          </w:rPr>
          <w:t>28.9</w:t>
        </w:r>
      </w:hyperlink>
      <w:r>
        <w:t>). Ismaël meurt à l'âge de 137 ans (</w:t>
      </w:r>
      <w:hyperlink r:id="rId6858">
        <w:r>
          <w:rPr>
            <w:color w:val="0000EE"/>
            <w:u w:val="single"/>
          </w:rPr>
          <w:t>25.17</w:t>
        </w:r>
      </w:hyperlink>
      <w:r>
        <w:t xml:space="preserve">). Les noms de ses douze fils et le lieu où s'établiront sont notés dans </w:t>
      </w:r>
      <w:hyperlink r:id="rId6859">
        <w:r>
          <w:rPr>
            <w:color w:val="0000EE"/>
            <w:u w:val="single"/>
          </w:rPr>
          <w:t>Genèse 25.13</w:t>
        </w:r>
      </w:hyperlink>
      <w:hyperlink r:id="rId6857">
        <w:r>
          <w:rPr>
            <w:color w:val="0000EE"/>
            <w:u w:val="single"/>
          </w:rPr>
          <w:t>–</w:t>
        </w:r>
      </w:hyperlink>
      <w:hyperlink r:id="rId6859">
        <w:r>
          <w:rPr>
            <w:color w:val="0000EE"/>
            <w:u w:val="single"/>
          </w:rPr>
          <w:t>16</w:t>
        </w:r>
      </w:hyperlink>
      <w:r>
        <w:t xml:space="preserve">. Plus tard dans l'histoire, une caravane de marchands ismaélites (également appelés Madianites, voir </w:t>
      </w:r>
      <w:hyperlink r:id="rId6860">
        <w:r>
          <w:rPr>
            <w:color w:val="0000EE"/>
            <w:u w:val="single"/>
          </w:rPr>
          <w:t>Jg 8.22</w:t>
        </w:r>
      </w:hyperlink>
      <w:hyperlink r:id="rId6857">
        <w:r>
          <w:rPr>
            <w:color w:val="0000EE"/>
            <w:u w:val="single"/>
          </w:rPr>
          <w:t>–</w:t>
        </w:r>
      </w:hyperlink>
      <w:hyperlink r:id="rId6860">
        <w:r>
          <w:rPr>
            <w:color w:val="0000EE"/>
            <w:u w:val="single"/>
          </w:rPr>
          <w:t>24</w:t>
        </w:r>
      </w:hyperlink>
      <w:r>
        <w:t>) achetera Joseph à ses frères et le vendra en Égypte (</w:t>
      </w:r>
      <w:hyperlink r:id="rId2184">
        <w:r>
          <w:rPr>
            <w:color w:val="0000EE"/>
            <w:u w:val="single"/>
          </w:rPr>
          <w:t>Gn 37.25</w:t>
        </w:r>
      </w:hyperlink>
      <w:hyperlink r:id="rId6857">
        <w:r>
          <w:rPr>
            <w:color w:val="0000EE"/>
            <w:u w:val="single"/>
          </w:rPr>
          <w:t>–</w:t>
        </w:r>
      </w:hyperlink>
      <w:hyperlink r:id="rId2184">
        <w:r>
          <w:rPr>
            <w:color w:val="0000EE"/>
            <w:u w:val="single"/>
          </w:rPr>
          <w:t>28</w:t>
        </w:r>
      </w:hyperlink>
      <w:r>
        <w:t xml:space="preserve"> ; </w:t>
      </w:r>
      <w:hyperlink r:id="rId4892">
        <w:r>
          <w:rPr>
            <w:color w:val="0000EE"/>
            <w:u w:val="single"/>
          </w:rPr>
          <w:t>39.1</w:t>
        </w:r>
      </w:hyperlink>
      <w:r>
        <w:t>).</w:t>
      </w:r>
    </w:p>
    <w:p>
      <w:r/>
      <w:r>
        <w:t>Bien qu'Isaac ait reçu les promesses spéciales de Dieu à la place d'Ismaël, cela ne signifiait pas que Dieu avait rejeté Ismaël. Abraham et Sara surestiment d'abord l'importance d'Ismaël dans le plan de Dieu, mais plus tard, ils auront tort de tenter de l'exclure complètement.</w:t>
      </w:r>
    </w:p>
    <w:p>
      <w:r/>
      <w:r>
        <w:t>Dans le Nouveau Testament, Paul utilise l'histoire d'Ismaël et d'Agar pour enseigner aux Galates que la loi ne doit pas être vue comme un fardeau (</w:t>
      </w:r>
      <w:hyperlink r:id="rId6861">
        <w:r>
          <w:rPr>
            <w:color w:val="0000EE"/>
            <w:u w:val="single"/>
          </w:rPr>
          <w:t>Ga 4.22</w:t>
        </w:r>
      </w:hyperlink>
      <w:r>
        <w:t xml:space="preserve">). Il y dit que ceux qui font confiance à la loi de Moïse, au lieu de faire confiance aux promesses de Dieu, n'héritent pas du royaume de Dieu. Ismaël, le fils de la femme esclave (ici un symbole de la loi), n'a pas reçu l'héritage avec le fils de la femme libre (v. </w:t>
      </w:r>
      <w:hyperlink r:id="rId6862">
        <w:r>
          <w:rPr>
            <w:color w:val="0000EE"/>
            <w:u w:val="single"/>
          </w:rPr>
          <w:t>30</w:t>
        </w:r>
      </w:hyperlink>
      <w:r>
        <w:t>).</w:t>
      </w:r>
    </w:p>
    <w:p>
      <w:pPr>
        <w:pStyle w:val="ListNumber"/>
        <w:spacing w:line="240" w:lineRule="auto"/>
        <w:ind w:left="720"/>
      </w:pPr>
      <w:r/>
      <w:r>
        <w:t>Membre de la famille royale du roi Sédécias, par son père Nethania et son grand-père Élischama (</w:t>
      </w:r>
      <w:hyperlink r:id="rId6863">
        <w:r>
          <w:rPr>
            <w:color w:val="0000EE"/>
            <w:u w:val="single"/>
          </w:rPr>
          <w:t>2R 25.25</w:t>
        </w:r>
      </w:hyperlink>
      <w:r>
        <w:t>). Cette histoire se déroule à l'époque où Babylone contrôlait Juda. Le roi babylonien Nebucadnetsar avait nommé un homme appelé Guedalia comme gouverneur dans la ville de Mitspa.</w:t>
      </w:r>
    </w:p>
    <w:p>
      <w:r/>
      <w:r>
        <w:t>Baalis, le roi des Ammonites, convaincra Ismaël de tuer Guedalia. Avant que cela ne se produise, un homme nommé Jochanan avertit Guedalia du complot visant à le tuer. Jochanan demandera même la permission de tuer Ismaël en premier pour protéger Guedalia, mais Guedalia refusera de croire à l'avertissement (</w:t>
      </w:r>
      <w:hyperlink r:id="rId6864">
        <w:r>
          <w:rPr>
            <w:color w:val="0000EE"/>
            <w:u w:val="single"/>
          </w:rPr>
          <w:t>Jr 40.14</w:t>
        </w:r>
      </w:hyperlink>
      <w:hyperlink r:id="rId6857">
        <w:r>
          <w:rPr>
            <w:color w:val="0000EE"/>
            <w:u w:val="single"/>
          </w:rPr>
          <w:t>–</w:t>
        </w:r>
      </w:hyperlink>
      <w:hyperlink r:id="rId6864">
        <w:r>
          <w:rPr>
            <w:color w:val="0000EE"/>
            <w:u w:val="single"/>
          </w:rPr>
          <w:t>16</w:t>
        </w:r>
      </w:hyperlink>
      <w:r>
        <w:t>).</w:t>
      </w:r>
    </w:p>
    <w:p>
      <w:r/>
      <w:r>
        <w:t>Ismaël se rendra à Mitspa avec dix hommes. Lors d'un repas en compagnie de Guedalia, ils le tueront ainsi que les soldats babyloniens qui étaient avec lui. Le lendemain, un groupe de quatre-vingts pèlerins religieux voyageait depuis le nord pour adorer au temple de Jérusalem. Ismaël les invitera à Mitspa, pour en tuer soixante-dix. Il laissera vivre dix d'entre eux parce qu'ils proposeront de lui donner leurs réserves de nourriture cachées. Ismaël cachera tous les corps dans une grande citerne (réservoir d'eau souterrain).</w:t>
      </w:r>
    </w:p>
    <w:p>
      <w:r/>
      <w:r>
        <w:t>Après cela, Ismaël prendra les hommes restants à Mitspa comme prisonniers, y compris le prophète Jérémie et quelques femmes de la famille royale. Il commencera à les emmener vers le pays des Ammonites. Cependant, Jochanan rassemblera quelques soldats et rattrapera Ismaël à un endroit appelé Gabaon. Jochanan sauvera tous les prisonniers, mais Ismaël et ses hommes s'échapperont vers le territoire ammonite (</w:t>
      </w:r>
      <w:hyperlink r:id="rId6865">
        <w:r>
          <w:rPr>
            <w:color w:val="0000EE"/>
            <w:u w:val="single"/>
          </w:rPr>
          <w:t>Jr 41</w:t>
        </w:r>
      </w:hyperlink>
      <w:r>
        <w:t>).</w:t>
      </w:r>
    </w:p>
    <w:p>
      <w:pPr>
        <w:pStyle w:val="ListNumber"/>
        <w:spacing w:line="240" w:lineRule="auto"/>
        <w:ind w:left="720"/>
      </w:pPr>
      <w:r/>
      <w:r>
        <w:t>Fils d'Atsel, un Benjamite de la famille de Saül (</w:t>
      </w:r>
      <w:hyperlink r:id="rId6866">
        <w:r>
          <w:rPr>
            <w:color w:val="0000EE"/>
            <w:u w:val="single"/>
          </w:rPr>
          <w:t>1Ch 8.38</w:t>
        </w:r>
      </w:hyperlink>
      <w:r>
        <w:t xml:space="preserve"> ; </w:t>
      </w:r>
      <w:hyperlink r:id="rId6867">
        <w:r>
          <w:rPr>
            <w:color w:val="0000EE"/>
            <w:u w:val="single"/>
          </w:rPr>
          <w:t>9.44</w:t>
        </w:r>
      </w:hyperlink>
      <w:r>
        <w:t>).</w:t>
      </w:r>
    </w:p>
    <w:p>
      <w:pPr>
        <w:pStyle w:val="ListNumber"/>
        <w:spacing w:line="240" w:lineRule="auto"/>
        <w:ind w:left="720"/>
      </w:pPr>
      <w:r/>
      <w:r>
        <w:t>Père de Zebadia, le gouverneur de la maison de Juda sous Josaphat (</w:t>
      </w:r>
      <w:hyperlink r:id="rId6868">
        <w:r>
          <w:rPr>
            <w:color w:val="0000EE"/>
            <w:u w:val="single"/>
          </w:rPr>
          <w:t>2Ch 19.11</w:t>
        </w:r>
      </w:hyperlink>
      <w:r>
        <w:t>).</w:t>
      </w:r>
    </w:p>
    <w:p>
      <w:pPr>
        <w:pStyle w:val="ListNumber"/>
        <w:spacing w:line="240" w:lineRule="auto"/>
        <w:ind w:left="720"/>
      </w:pPr>
      <w:r/>
      <w:r>
        <w:t>Fils de Jochanan. Il était l'un des commandants qui se sont alliés avec Jehojada, le prêtre, pour faire roi Joas (alors qu'il était encore enfant) et mettre fin au règne d'Athalie (</w:t>
      </w:r>
      <w:hyperlink r:id="rId6869">
        <w:r>
          <w:rPr>
            <w:color w:val="0000EE"/>
            <w:u w:val="single"/>
          </w:rPr>
          <w:t>2Ch 23.1</w:t>
        </w:r>
      </w:hyperlink>
      <w:r>
        <w:t>).</w:t>
      </w:r>
    </w:p>
    <w:p>
      <w:pPr>
        <w:pStyle w:val="ListNumber"/>
        <w:spacing w:line="240" w:lineRule="auto"/>
        <w:ind w:left="720"/>
      </w:pPr>
      <w:r/>
      <w:r>
        <w:t>Fils de Paschhur, l'un des prêtres qui divorceront de leurs femmes étrangères lors des réformes d'Esdras (</w:t>
      </w:r>
      <w:hyperlink r:id="rId6870">
        <w:r>
          <w:rPr>
            <w:color w:val="0000EE"/>
            <w:u w:val="single"/>
          </w:rPr>
          <w:t>Esd 10.22</w:t>
        </w:r>
      </w:hyperlink>
      <w:r>
        <w:t>).</w:t>
      </w:r>
      <w:r/>
      <w:r/>
    </w:p>
    <w:p>
      <w:r/>
    </w:p>
    <w:p>
      <w:pPr>
        <w:pStyle w:val="Heading2"/>
      </w:pPr>
      <w:r>
        <w:t>Israël (Personne)</w:t>
      </w:r>
      <w:r/>
    </w:p>
    <w:p>
      <w:r/>
      <w:r>
        <w:t>Prénom signifiant « celui qui lutte avec Dieu » ou « Dieu lutte » (</w:t>
      </w:r>
      <w:hyperlink r:id="rId3937">
        <w:r>
          <w:rPr>
            <w:color w:val="0000EE"/>
            <w:u w:val="single"/>
          </w:rPr>
          <w:t>Gn 32.28</w:t>
        </w:r>
      </w:hyperlink>
      <w:r>
        <w:t>). Il a été attribué au fils d'Isaac, Jacob, et à ses descendants (</w:t>
      </w:r>
      <w:hyperlink r:id="rId6871">
        <w:r>
          <w:rPr>
            <w:color w:val="0000EE"/>
            <w:u w:val="single"/>
          </w:rPr>
          <w:t>35.9–12</w:t>
        </w:r>
      </w:hyperlink>
      <w:r>
        <w:t xml:space="preserve"> ; voir </w:t>
      </w:r>
      <w:hyperlink r:id="rId6872">
        <w:r>
          <w:rPr>
            <w:color w:val="0000EE"/>
            <w:u w:val="single"/>
          </w:rPr>
          <w:t>Dt 6.1–4</w:t>
        </w:r>
      </w:hyperlink>
      <w:r>
        <w:t xml:space="preserve">). </w:t>
      </w:r>
      <w:r>
        <w:rPr>
          <w:i/>
        </w:rPr>
        <w:t>Voir</w:t>
      </w:r>
      <w:r>
        <w:t xml:space="preserve"> </w:t>
      </w:r>
      <w:r>
        <w:t>Jacob n° 1</w:t>
      </w:r>
      <w:r>
        <w:t xml:space="preserve"> ; </w:t>
      </w:r>
      <w:r>
        <w:t>Israël, Histoire d'</w:t>
      </w:r>
      <w:r>
        <w:t>.</w:t>
      </w:r>
      <w:r/>
      <w:r/>
    </w:p>
    <w:p>
      <w:r/>
    </w:p>
    <w:p>
      <w:pPr>
        <w:pStyle w:val="Heading2"/>
      </w:pPr>
      <w:r>
        <w:t>Israël, Histoire d'</w:t>
      </w:r>
      <w:r/>
    </w:p>
    <w:p>
      <w:r/>
      <w:r>
        <w:t>Récit du dessein souverain de Dieu qui appelle un peuple hors du paganisme et l'établit comme témoin de la vraie foi parmi les nations, de la puissance souveraine de Dieu qui le protège de l'extinction, de sa justice souveraine en traitant leur éloignement des voies de sa sainteté, de la grâce souveraine de Dieu qui pardonne leurs péchés et les rétablit dans la communion avec lui, en fournissant à travers eux un Sauveur pour le monde entier.</w:t>
      </w:r>
    </w:p>
    <w:p>
      <w:r/>
      <w:r>
        <w:t>Vue d'ensemble</w:t>
      </w:r>
    </w:p>
    <w:p>
      <w:r/>
      <w:r>
        <w:t xml:space="preserve">• </w:t>
      </w:r>
      <w:r>
        <w:rPr>
          <w:b/>
          <w:u w:val="single"/>
        </w:rPr>
        <w:t>Ère des patriarches</w:t>
      </w:r>
    </w:p>
    <w:p>
      <w:r/>
      <w:r>
        <w:t xml:space="preserve">• </w:t>
      </w:r>
      <w:r>
        <w:rPr>
          <w:b/>
          <w:u w:val="single"/>
        </w:rPr>
        <w:t>Séjour en Égypte</w:t>
      </w:r>
    </w:p>
    <w:p>
      <w:r/>
      <w:r>
        <w:t xml:space="preserve">• </w:t>
      </w:r>
      <w:r>
        <w:rPr>
          <w:b/>
          <w:u w:val="single"/>
        </w:rPr>
        <w:t>L’Exode</w:t>
      </w:r>
    </w:p>
    <w:p>
      <w:r/>
      <w:r>
        <w:t xml:space="preserve">• </w:t>
      </w:r>
      <w:r>
        <w:rPr>
          <w:b/>
          <w:u w:val="single"/>
        </w:rPr>
        <w:t>Errance dans le désert</w:t>
      </w:r>
    </w:p>
    <w:p>
      <w:r/>
      <w:r>
        <w:t xml:space="preserve">• </w:t>
      </w:r>
      <w:r>
        <w:rPr>
          <w:b/>
          <w:u w:val="single"/>
        </w:rPr>
        <w:t>La Conquête</w:t>
      </w:r>
    </w:p>
    <w:p>
      <w:r/>
      <w:r>
        <w:t xml:space="preserve">• </w:t>
      </w:r>
      <w:r>
        <w:rPr>
          <w:b/>
          <w:u w:val="single"/>
        </w:rPr>
        <w:t>Les Juges</w:t>
      </w:r>
    </w:p>
    <w:p>
      <w:r/>
      <w:r>
        <w:t xml:space="preserve">• </w:t>
      </w:r>
      <w:r>
        <w:rPr>
          <w:b/>
          <w:u w:val="single"/>
        </w:rPr>
        <w:t>La Monarchie unie</w:t>
      </w:r>
    </w:p>
    <w:p>
      <w:r/>
      <w:r>
        <w:t xml:space="preserve">• </w:t>
      </w:r>
      <w:r>
        <w:rPr>
          <w:b/>
          <w:u w:val="single"/>
        </w:rPr>
        <w:t>Le Royaume divisé</w:t>
      </w:r>
    </w:p>
    <w:p>
      <w:r/>
      <w:r>
        <w:t xml:space="preserve">• </w:t>
      </w:r>
      <w:r>
        <w:rPr>
          <w:b/>
          <w:u w:val="single"/>
        </w:rPr>
        <w:t>La Restauration</w:t>
      </w:r>
    </w:p>
    <w:p>
      <w:r/>
      <w:r>
        <w:t xml:space="preserve">• </w:t>
      </w:r>
      <w:r>
        <w:rPr>
          <w:b/>
          <w:u w:val="single"/>
        </w:rPr>
        <w:t>La Période intertestamentaire</w:t>
      </w:r>
    </w:p>
    <w:p>
      <w:r/>
      <w:r>
        <w:t xml:space="preserve">• </w:t>
      </w:r>
      <w:r>
        <w:rPr>
          <w:b/>
          <w:u w:val="single"/>
        </w:rPr>
        <w:t>La Période romaine</w:t>
      </w:r>
    </w:p>
    <w:p>
      <w:pPr>
        <w:pStyle w:val="Heading3"/>
      </w:pPr>
      <w:r>
        <w:t>Ère des patriarches</w:t>
      </w:r>
    </w:p>
    <w:p>
      <w:r/>
      <w:r>
        <w:t xml:space="preserve">L'histoire d'Israël commence avec Abraham, que Dieu a d'abord appelé à Ur, et peut-être plus tard à </w:t>
      </w:r>
      <w:r>
        <w:t>Charran</w:t>
      </w:r>
      <w:r>
        <w:t xml:space="preserve"> (</w:t>
      </w:r>
      <w:hyperlink r:id="rId85">
        <w:r>
          <w:rPr>
            <w:color w:val="0000EE"/>
            <w:u w:val="single"/>
          </w:rPr>
          <w:t>Ac 7.2–4</w:t>
        </w:r>
      </w:hyperlink>
      <w:r>
        <w:t>), pour quitter la Mésopotamie et aller dans un pays vers lequel Dieu le guiderait. En appelant Abraham, Dieu a conclu avec lui une alliance (</w:t>
      </w:r>
      <w:hyperlink r:id="rId86">
        <w:r>
          <w:rPr>
            <w:color w:val="0000EE"/>
            <w:u w:val="single"/>
          </w:rPr>
          <w:t>Gn 12.1–3</w:t>
        </w:r>
      </w:hyperlink>
      <w:r>
        <w:t xml:space="preserve">) qui lui promettait une terre, une faveur divine spéciale (« </w:t>
      </w:r>
      <w:r>
        <w:t>Je bénirai ceux qui te béniront, et je maudirai ceux qui te maudiront</w:t>
      </w:r>
      <w:r>
        <w:t xml:space="preserve"> »), et le privilège d'être un canal de bénédiction pour le monde entier (« </w:t>
      </w:r>
      <w:r>
        <w:t>toutes les familles de la terre seront bénies en toi</w:t>
      </w:r>
      <w:r>
        <w:t xml:space="preserve"> »). Dans </w:t>
      </w:r>
      <w:hyperlink r:id="rId6873">
        <w:r>
          <w:rPr>
            <w:color w:val="0000EE"/>
            <w:u w:val="single"/>
          </w:rPr>
          <w:t>Genèse 12.4–8</w:t>
        </w:r>
      </w:hyperlink>
      <w:r>
        <w:t xml:space="preserve">, Dieu confirme cette alliance inconditionnelle, promettant à Abraham cette nouvelle terre pour toujours, ainsi que d'innombrables descendants. Par la suite, dans </w:t>
      </w:r>
      <w:hyperlink r:id="rId546">
        <w:r>
          <w:rPr>
            <w:color w:val="0000EE"/>
            <w:u w:val="single"/>
          </w:rPr>
          <w:t>Genèse 15.1–21</w:t>
        </w:r>
      </w:hyperlink>
      <w:r>
        <w:t xml:space="preserve">, Dieu confirme de nouveau l'alliance mais ajoute la prédiction importante que la garantie de détenir Canaan à perpétuité ne signifiait pas l'occupation de la terre à chaque génération. Dieu a également précisé les limites de la Terre Promise (du fleuve d'Égypte à l'Euphrate, soit une étendue d'environ 800 à 1000 km). Une confirmation finale de l'alliance à Abraham apparaît dans </w:t>
      </w:r>
      <w:hyperlink r:id="rId6874">
        <w:r>
          <w:rPr>
            <w:color w:val="0000EE"/>
            <w:u w:val="single"/>
          </w:rPr>
          <w:t>Genèse 17.6–8</w:t>
        </w:r>
      </w:hyperlink>
      <w:r>
        <w:t>. Elle garantit la terre de Canaan à la postérité d'Abraham et ajoute que des rois (une prédiction de la dynastie davidique) surgiront dans sa lignée. L'alliance a été confirmée au fils d'Abraham, Isaac (</w:t>
      </w:r>
      <w:hyperlink r:id="rId4472">
        <w:r>
          <w:rPr>
            <w:color w:val="0000EE"/>
            <w:u w:val="single"/>
          </w:rPr>
          <w:t>Gn 26.3–5</w:t>
        </w:r>
      </w:hyperlink>
      <w:r>
        <w:t xml:space="preserve">) et à son petit-fils Jacob (ch </w:t>
      </w:r>
      <w:hyperlink r:id="rId6875">
        <w:r>
          <w:rPr>
            <w:color w:val="0000EE"/>
            <w:u w:val="single"/>
          </w:rPr>
          <w:t>28</w:t>
        </w:r>
      </w:hyperlink>
      <w:r>
        <w:t>).</w:t>
      </w:r>
    </w:p>
    <w:p>
      <w:r/>
      <w:r>
        <w:t xml:space="preserve">Cette période est connue sous le nom d'ère patriarcale dans l'histoire hébraïque. Les patriarches étaient Abraham, Isaac et Jacob. Ils étaient appelés patriarches parce qu'ils étaient pères, non seulement de leurs familles immédiates, mais aussi de la famille élargie des Hébreux, sur laquelle ils exerçaient un contrôle paternel. Ils servaient de chefs politiques, juridiques et spirituels de leur communauté migratoire, veillant à leurs intérêts et les guidant dans la louange de Dieu. Périodiquement, ils construisaient des autels sur lesquels ils offraient des sacrifices. Que la communauté patriarcale était très grande peut être vu dans </w:t>
      </w:r>
      <w:hyperlink r:id="rId5932">
        <w:r>
          <w:rPr>
            <w:color w:val="0000EE"/>
            <w:u w:val="single"/>
          </w:rPr>
          <w:t>Genèse 14.14</w:t>
        </w:r>
      </w:hyperlink>
      <w:r>
        <w:t>, qui dit qu'Abraham avait 318 hommes armés dans son camp. Si l'on suppose que la plupart des hommes étaient mariés et avaient un ou plusieurs enfants chacun, la famille élargie totale pouvait compter plus de 1 000 personnes.</w:t>
      </w:r>
    </w:p>
    <w:p>
      <w:r/>
      <w:r>
        <w:t>Les développements supplémentaires dans la vie d'Abraham et de Jacob ont été particulièrement importants pour l'histoire mondiale. Abraham, frustré de ne pas avoir d'héritier, a accepté la suggestion de Sara d'obtenir un héritier par sa servante, Agar (c'était aussi la coutume du pays.) Le fils né est nommé Ismaël, ancêtre des Arabes. Ainsi, Abraham est vénéré par les Arabes et les musulmans ainsi que par les Juifs et les chrétiens. Il est le père des Juifs par son fils Isaac, enfant de la promesse. Il occupe une place spéciale dans le christianisme en tant qu'exemple de Christ, par qui tous les chrétiens obtiennent leur salut.</w:t>
      </w:r>
    </w:p>
    <w:p>
      <w:r/>
      <w:r>
        <w:t>Jacob, un scélérat rusé dans sa jeunesse, se retrouve en exil dans le nord de la Mésopotamie pendant vingt ans chez son oncle Laban. Là, il épouse Léa et Rachel et engendre les fils qui deviendront les ancêtres des douze tribus d'Israël. À son retour en Palestine, il rencontre Dieu sur les rives du fleuve Jabbok (</w:t>
      </w:r>
      <w:hyperlink r:id="rId6021">
        <w:r>
          <w:rPr>
            <w:color w:val="0000EE"/>
            <w:u w:val="single"/>
          </w:rPr>
          <w:t>Gn 32</w:t>
        </w:r>
      </w:hyperlink>
      <w:r>
        <w:t>), et Dieu change son nom en Israël (« prince de Dieu »).</w:t>
      </w:r>
    </w:p>
    <w:p>
      <w:r/>
      <w:r>
        <w:t>L'ère patriarcale en Canaan dure 215 ans. On estime qu'Abraham est entré en Canaan vers 2 085 av. J.‑C., alors qu'il avait 75 ans. Jacob et ses fils migreront en Égypte pour échapper à une famine sévère en Canaan vers 1 870 av. J.‑C. Pendant une grande partie de l'ère patriarcale, la Palestine connait un déclin de sa population et est occupée en grande partie par des tribus nomades ou semi-nomades. Il était relativement facile pour les Hébreux de s'intégrer dans une telle situation. Après l'an 1 900, la Palestine commence à jouir de conditions plus stables. Peu de temps après, les Hébreux entreprennent le voyage vers l'Égypte.</w:t>
      </w:r>
    </w:p>
    <w:p>
      <w:pPr>
        <w:pStyle w:val="Heading3"/>
      </w:pPr>
      <w:r>
        <w:t>Séjour en Égypte</w:t>
      </w:r>
    </w:p>
    <w:p>
      <w:r/>
      <w:r>
        <w:t>Si Jacob et ses fils sont entrés en Égypte vers 1870 av. J.‑C., il s'agissait de la période du Moyen Empire. À cette époque, d'autres migrants d'Asie arrivaient en nombre croissant. Les Hébreux se sont installés à Gosen, dans la région du delta oriental, sous la protection de Joseph, qui occupait une position à la cour égyptienne à peu près équivalente à celle de premier ministre. À mesure que de plus en plus d'Hyksos asiatiques arrivaient en Égypte, ils commencent à prendre le contrôle du pays, tout du moins dans le nord de l'Égypte. Pendant cette même période, les Hébreux deviennent de plus en plus nombreux. Certains, qui adhèrent à une chronologie différente, croient que les Hébreux ont été accueillis en Égypte pendant les jours de domination des Hyksos (après 1750 av. J.‑C.). Quoi qu'il en soit, vers 1580 av. J.‑C., les princes égyptiens natifs reprennent le contrôle du pays et expulsent de nombreux Asiatiques.</w:t>
      </w:r>
    </w:p>
    <w:p>
      <w:r/>
      <w:r>
        <w:t xml:space="preserve">Au fil du temps, un roi monte sur le trône d'Égypte qui « </w:t>
      </w:r>
      <w:r>
        <w:t>n’avait point connu Joseph</w:t>
      </w:r>
      <w:r>
        <w:t xml:space="preserve"> » (</w:t>
      </w:r>
      <w:hyperlink r:id="rId5224">
        <w:r>
          <w:rPr>
            <w:color w:val="0000EE"/>
            <w:u w:val="single"/>
          </w:rPr>
          <w:t>Ex 1.8</w:t>
        </w:r>
      </w:hyperlink>
      <w:r>
        <w:t>). Très probablement, cela signifiait qu'une dynastie égyptienne autochtone s'était établie en Égypte et qu'elle s'inquiétait du fait que le nombre croissant et la richesse des Hébreux pourraient compromettre leur propre suprématie. Cependant, les mesures égyptiennes pour soumettre les Hébreux et réduire leur taux de natalité auront un effet inverse (</w:t>
      </w:r>
      <w:hyperlink r:id="rId6876">
        <w:r>
          <w:rPr>
            <w:color w:val="0000EE"/>
            <w:u w:val="single"/>
          </w:rPr>
          <w:t>Ex 1.12</w:t>
        </w:r>
      </w:hyperlink>
      <w:r>
        <w:t>). Les Égyptiens finissent par ordonner le meurtre de tous les nourrissons hébreux mâles à la naissance. Parmi ceux qui désobéissent à cet ordre se trouvent les parents de Moïse, qui placent ce dernier dans un panier étanche fait de roseaux. Trouvé par une des filles de Pharaon, il est élevé à la cour égyptienne, reçoit une éducation de premier ordre et devint un haut fonctionnaire du royaume.</w:t>
      </w:r>
    </w:p>
    <w:p>
      <w:r/>
      <w:r>
        <w:t>À l'âge de quarante ans, Moïse s'identifie à son propre peuple. Il tue un Égyptien pour défendre un compatriote hébreu et s'enfuit immédiatement vers le pays de Madian, dans la partie nord-est de la péninsule du Sinaï. Il se marie et y vit pendant 40 ans, se familiarisant parfaitement avec la géographie et les voies du désert à travers lequel il conduirait plus tard les Hébreux. Les Égyptiens continuent à opprimer sévèrement le peuple hébreu jusqu'à ce qu'ils implorent urgemment Dieu pour leur délivrance. En réponse, Dieu confronte Moïse dans la célèbre expérience du buisson ardent et l'appelle à retourner en Égypte pour conduire le peuple vers le pays de Canaan (</w:t>
      </w:r>
      <w:hyperlink r:id="rId6877">
        <w:r>
          <w:rPr>
            <w:color w:val="0000EE"/>
            <w:u w:val="single"/>
          </w:rPr>
          <w:t>Ex 3–4</w:t>
        </w:r>
      </w:hyperlink>
      <w:r>
        <w:t>). Il lui donne pour aide son frère, Aaron.</w:t>
      </w:r>
    </w:p>
    <w:p>
      <w:pPr>
        <w:pStyle w:val="Heading3"/>
      </w:pPr>
      <w:r>
        <w:t>L'Exode</w:t>
      </w:r>
    </w:p>
    <w:p>
      <w:r/>
      <w:r>
        <w:t>Il est compréhensible que le Pharaon d'Égypte ait été réticent à permettre aux Hébreux de partir définitivement. La valeur de cette main d'œuvre nombreuse était inestimable. Mais en fin de compte, après avoir subi une série de dix plaies, sur une période allant peut-être jusqu'à un an, les Égyptiens sont convaincus de laisser partir les Hébreux (</w:t>
      </w:r>
      <w:hyperlink r:id="rId6878">
        <w:r>
          <w:rPr>
            <w:color w:val="0000EE"/>
            <w:u w:val="single"/>
          </w:rPr>
          <w:t>Ex 7–12</w:t>
        </w:r>
      </w:hyperlink>
      <w:r>
        <w:t>).</w:t>
      </w:r>
    </w:p>
    <w:p>
      <w:r/>
      <w:r>
        <w:t>Les plaies avaient un but théologique ainsi qu'un but pratique. Elles discréditaient les dieux d'Égypte et exaltaient le Dieu très haut du ciel (</w:t>
      </w:r>
      <w:hyperlink r:id="rId6879">
        <w:r>
          <w:rPr>
            <w:color w:val="0000EE"/>
            <w:u w:val="single"/>
          </w:rPr>
          <w:t>Ex 12.12</w:t>
        </w:r>
      </w:hyperlink>
      <w:r>
        <w:t>). Les plaies discréditaient clairement des divinités spécifiques d'Égypte (par exemple, le Nil était vénéré comme Hâpy, première plaie ; la grenouille, vénérée comme Heket, deuxième plaie ; le taureau, vénéré comme Ptah, cinquième plaie ; le soleil, vénéré comme Amon-Rê/Aton, neuvième plaie). Ensemble, elles portaient atteinte directement au panthéon égyptien.</w:t>
      </w:r>
    </w:p>
    <w:p>
      <w:r/>
      <w:r>
        <w:t>Juste avant la dernière plaie (la nuit où l'ange de la mort envahit les maisons des Égyptiens), les Israélites accompliront le sacrifice de la Pâque selon les instructions divines. Cela impliquait de tuer un agneau pour chaque foyer (à moins que le foyer ne soit trop petit ; dans ce cas, des foyers pouvaient se regrouper). Quiconque négligeait d'appliquer le sang sur le montant de la porte ou rejetait cette disposition divine était soumis au jugement de Dieu. Après la mort des premiers-nés dans tout le pays, les Égyptiens supplient les Hébreux de partir. Leur groupe comptait six cent mille hommes de plus de vingt ans, plus les femmes et les enfants, pour un total de plus de deux million cinq cent mille. De plus, ils prennent leurs troupeaux, leurs bêtes et leurs effets personnels.</w:t>
      </w:r>
    </w:p>
    <w:p>
      <w:r/>
      <w:r>
        <w:t xml:space="preserve">La date à laquelle ils quittent l'Égypte est un sujet de débat continu. Traditionnellement, une date d'environ 1 446 av. J.‑C. est donnée pour l'exode (cf. </w:t>
      </w:r>
      <w:hyperlink r:id="rId2539">
        <w:r>
          <w:rPr>
            <w:color w:val="0000EE"/>
            <w:u w:val="single"/>
          </w:rPr>
          <w:t>1R 6.1</w:t>
        </w:r>
      </w:hyperlink>
      <w:r>
        <w:t>, qui place l'exode quatre cent quatre-vingts ans avant le début de la construction du temple en 966 av. J.‑C.) et 1 406 av. J.‑C. pour la Conquête sous Josué, et il ne semble pas y avoir d'arguments convaincants pour rejeter cette position. Cependant, un grand nombre de chercheurs préfèrent 1 275 av. J.‑C. pour diverses raisons.</w:t>
      </w:r>
    </w:p>
    <w:p>
      <w:r/>
      <w:r>
        <w:t>La date qui situe l'Exode plus tôt placerait les dernières années des errances dans le désert et la conquête de la Palestine pendant les règnes d'Amenhotep III et IV (1412–1366), une époque où les pharaons laissent le contrôle égyptien de la Palestine se désagréger. Lorsque les Égyptiens réaffirment leur pouvoir, vers l'an 1300 av. J.-C., ils limiteront leurs mouvements principalement à la zone côtière et ne rencontrent donc pas les Hébreux qui vivaient dans les régions montagneuses de Judée, de Samarie et de Galilée.</w:t>
      </w:r>
    </w:p>
    <w:p>
      <w:pPr>
        <w:pStyle w:val="Heading3"/>
      </w:pPr>
      <w:r>
        <w:t>Errance dans le désert</w:t>
      </w:r>
    </w:p>
    <w:p>
      <w:r/>
      <w:r>
        <w:t>Les errances dans le désert constituent une importante parenthèse dans l'histoire d'Israël. Au cours de ces années, des institutions significatives et fondamentales voient le jour sur l'ordre de Dieu. Au Sinaï, Moïse transmet à Israël la loi, le modèle du tabernacle (qui est devenu plus tard le modèle pour le temple) et les ordres pour son fonctionnement, ainsi que des instructions détaillées pour le sacerdoce et le système sacrificiel.</w:t>
      </w:r>
    </w:p>
    <w:p>
      <w:r/>
      <w:r>
        <w:t>La période de l'errance était véritablement une époque remarquable. La présence de Dieu se manifestait par une colonne de nuée qui planait sur le peuple le jour et une colonne de feu la nuit. Dieu fournissait de la nourriture sous forme de manne, procurait périodiquement de l'eau par des moyens miraculeux et veillait à ce que les vêtements ne s'usent pas. Malgré tout cela, le peuple murmurait et se plaignait continuellement.</w:t>
      </w:r>
    </w:p>
    <w:p>
      <w:r/>
      <w:r>
        <w:t>Au Sinaï, Dieu a donné la loi (</w:t>
      </w:r>
      <w:hyperlink r:id="rId6880">
        <w:r>
          <w:rPr>
            <w:color w:val="0000EE"/>
            <w:u w:val="single"/>
          </w:rPr>
          <w:t>Ex 19.2–24.18</w:t>
        </w:r>
      </w:hyperlink>
      <w:r>
        <w:t>), et le peuple s'est immédiatement engagé à la respecter (</w:t>
      </w:r>
      <w:hyperlink r:id="rId5251">
        <w:r>
          <w:rPr>
            <w:color w:val="0000EE"/>
            <w:u w:val="single"/>
          </w:rPr>
          <w:t>24.3</w:t>
        </w:r>
      </w:hyperlink>
      <w:r>
        <w:t xml:space="preserve">). Ensuite, Dieu a donné le modèle pour le tabernacle et son mobilier (chs </w:t>
      </w:r>
      <w:hyperlink r:id="rId6881">
        <w:r>
          <w:rPr>
            <w:color w:val="0000EE"/>
            <w:u w:val="single"/>
          </w:rPr>
          <w:t>25–27</w:t>
        </w:r>
      </w:hyperlink>
      <w:r>
        <w:t xml:space="preserve">, </w:t>
      </w:r>
      <w:hyperlink r:id="rId6882">
        <w:r>
          <w:rPr>
            <w:color w:val="0000EE"/>
            <w:u w:val="single"/>
          </w:rPr>
          <w:t>30–31</w:t>
        </w:r>
      </w:hyperlink>
      <w:r>
        <w:t xml:space="preserve">, </w:t>
      </w:r>
      <w:hyperlink r:id="rId6883">
        <w:r>
          <w:rPr>
            <w:color w:val="0000EE"/>
            <w:u w:val="single"/>
          </w:rPr>
          <w:t>35–40</w:t>
        </w:r>
      </w:hyperlink>
      <w:r>
        <w:t xml:space="preserve">) et a établi le sacerdoce (chs </w:t>
      </w:r>
      <w:hyperlink r:id="rId6884">
        <w:r>
          <w:rPr>
            <w:color w:val="0000EE"/>
            <w:u w:val="single"/>
          </w:rPr>
          <w:t>28–29</w:t>
        </w:r>
      </w:hyperlink>
      <w:r>
        <w:t xml:space="preserve">). Pendant que Moïse était sur la montagne recevant la révélation de Dieu, le peuple est devenu impatient et a réclamé des dieux qu'ils pouvaient voir. Même Aaron a été emporté par la vague idolâtre et a supervisé la fonte d'un veau d'or et la construction d'un autel devant ce dernier. Le fait qu'ils se soient tournés si facilement vers le culte du bétail égyptien indique que le paganisme avait dû faire de profondes incursions parmi eux pendant leur captivité (chs </w:t>
      </w:r>
      <w:hyperlink r:id="rId6885">
        <w:r>
          <w:rPr>
            <w:color w:val="0000EE"/>
            <w:u w:val="single"/>
          </w:rPr>
          <w:t>32–34</w:t>
        </w:r>
      </w:hyperlink>
      <w:r>
        <w:t>). L'intercession de Moïse en réponse à l'annonce de Dieu qu'il détruirait Israël à cause de son idolâtrie a conduit à une décision divine d'exécuter le jugement uniquement sur les pires contrevenants (</w:t>
      </w:r>
      <w:hyperlink r:id="rId6886">
        <w:r>
          <w:rPr>
            <w:color w:val="0000EE"/>
            <w:u w:val="single"/>
          </w:rPr>
          <w:t>32.9–14</w:t>
        </w:r>
      </w:hyperlink>
      <w:r>
        <w:t>).</w:t>
      </w:r>
    </w:p>
    <w:p>
      <w:r/>
      <w:r>
        <w:t>Par la suite, Dieu révèlera l'ordre légal et sacerdotal (</w:t>
      </w:r>
      <w:hyperlink r:id="rId3847">
        <w:r>
          <w:rPr>
            <w:color w:val="0000EE"/>
            <w:u w:val="single"/>
          </w:rPr>
          <w:t>Lv 1.1–27.34</w:t>
        </w:r>
      </w:hyperlink>
      <w:r>
        <w:t>). Parmi les institutions divinement établies décrites ou évoquées dans le Lévitique, on trouve plusieurs jours ou fêtes spéciales, y compris le Sabbat, la Pâque, la Fête des Pains sans Levain, les Prémices, la Pentecôte ou Fête des Semaines, la Fête des Trompettes, le Jour des Expiations, la Fête des Tabernacles, l'Année Sabbatique et l'Année du Jubilé.</w:t>
      </w:r>
    </w:p>
    <w:p>
      <w:r/>
      <w:r>
        <w:t>Après avoir campé au Sinaï pendant environ un an, les Israélites reçoivent l'ordre d'avancer (</w:t>
      </w:r>
      <w:hyperlink r:id="rId6887">
        <w:r>
          <w:rPr>
            <w:color w:val="0000EE"/>
            <w:u w:val="single"/>
          </w:rPr>
          <w:t>Nb 10.11–12</w:t>
        </w:r>
      </w:hyperlink>
      <w:r>
        <w:t xml:space="preserve">). Miriam (la sœur de Moïse) et Aaron critiqueront le leadership de Moïse et subiront une punition divine en conséquence (ch </w:t>
      </w:r>
      <w:hyperlink r:id="rId5545">
        <w:r>
          <w:rPr>
            <w:color w:val="0000EE"/>
            <w:u w:val="single"/>
          </w:rPr>
          <w:t>12</w:t>
        </w:r>
      </w:hyperlink>
      <w:r>
        <w:t>). Lorsque le peuple arriva à Kadès-Barnéa, la porte sud de la Palestine, il sera effrayé par le rapport de la plupart des espions qui avaient exploré Canaan et décidera de ne pas avancer en Canaan. Ils demanderont un nouveau chef pour les ramener en Égypte. Dieu déclarera alors que toute cette génération errerait dans le désert jusqu'à ce que les adultes soient morts. Seuls Josué et Caleb (les deux espions favorables à une invasion immédiate) entreraient dans la Terre Promise (</w:t>
      </w:r>
      <w:hyperlink r:id="rId6888">
        <w:r>
          <w:rPr>
            <w:color w:val="0000EE"/>
            <w:u w:val="single"/>
          </w:rPr>
          <w:t>14.26–30</w:t>
        </w:r>
      </w:hyperlink>
      <w:r>
        <w:t>). Vers la fin de la période d'errance, Moïse perd également le privilège d'entrer dans le pays par un acte de désobéissance.</w:t>
      </w:r>
    </w:p>
    <w:p>
      <w:pPr>
        <w:pStyle w:val="Heading3"/>
      </w:pPr>
      <w:r>
        <w:t>La Conquête</w:t>
      </w:r>
    </w:p>
    <w:p>
      <w:r/>
      <w:r>
        <w:t>La dernière partie du livre des Nombres décrit comment Moïse conduit les Israélites à la victoire sur les peuples vivant à l'est du Jourdain. Ruben, Gad et la demi-tribu de Manassé demandent alors la permission de s'y installer et seront autorisés à le faire à contrecœur, à condition qu'ils rejoignent le reste des Israélites pour conquérir Canaan avant de s'installer. Avant les victoires en Transjordanie, un nouveau recensement des hommes adultes est effectué afin de déterminer les capacités militaires d'Israël et de fournir une base pour une division équitable de la terre dans laquelle ils étaient sur le point d'entrer. Le nombre d'hommes de plus de vingt ans était de 601 730 (</w:t>
      </w:r>
      <w:hyperlink r:id="rId3712">
        <w:r>
          <w:rPr>
            <w:color w:val="0000EE"/>
            <w:u w:val="single"/>
          </w:rPr>
          <w:t>Nb 26.51</w:t>
        </w:r>
      </w:hyperlink>
      <w:r>
        <w:t>). Le livre du Deutéronome consiste principalement en une série de discours prononcés par Moïse lors d'une cérémonie de renouvellement de l'alliance sur les plaines de Moab, juste avant sa mort et la nomination de Josué comme chef.</w:t>
      </w:r>
    </w:p>
    <w:p>
      <w:r/>
      <w:r>
        <w:t>Josué ne perdra pas de temps pour avancer. Des espions envoyés de l'autre côté du Jourdain à Jéricho pour évaluer la situation rapportent une réalité bien différente de celle que les Hébreux avaient connue à Kadès-Barnéa une génération plus tôt. Désormais, les habitants de Canaan sont terrifiés car ils ont entendu parler de la force numérique et des victoires des Hébreux. Il semblerait que c'est le jour après le retour des espions que Josué déplace le peuple au bord du Jourdain et se prépara à le traverser. Les eaux se fendent pour eux comme la mer Rouge s'était fendue auparavant.</w:t>
      </w:r>
    </w:p>
    <w:p>
      <w:r/>
      <w:r>
        <w:t>Le récit de la conquête qui apparaît dans le livre de Josué n'est pas un compte rendu détaillé de bataille. Il décrit une percée au milieu de la Palestine autour de Jéricho et Aï, une avancée vers le sud pour vaincre la ligue amoréenne, et une campagne dans le nord contre Hatsor et d'autres villes. L'histoire de Josué est extrêmement condensée, car la principale action militaire de Josué a dû nécessiter environ six ans. L'ami de Josué, Caleb, avait 79 ans lorsque la Conquête a commencé et 85 ans après la dernière grande bataille avec Jabin, roi de Hatsor (</w:t>
      </w:r>
      <w:hyperlink r:id="rId6889">
        <w:r>
          <w:rPr>
            <w:color w:val="0000EE"/>
            <w:u w:val="single"/>
          </w:rPr>
          <w:t>Jos 14.7–10</w:t>
        </w:r>
      </w:hyperlink>
      <w:r>
        <w:t>).</w:t>
      </w:r>
    </w:p>
    <w:p>
      <w:r/>
      <w:r>
        <w:t>La guerre terminée, les principales forteresses, comme Jérusalem, restaient encore aux mains de l'ennemi, mais la terre à l'ouest du Jourdain sera attribuée aux neuf tribus et demie hébraïques. La tâche de réduire les villes ennemies sera laissée aux tribus individuelles sur le territoire desquelles elles se trouvaient. Le récit de Josué n'est pas tant un récit de la prouesse militaire israélite qu'une démonstration de la fidélité de Dieu et de son intervention en faveur de son peuple. Par exemple, à Jéricho, ils n'attaquèront pas mais suiviront simplement les ordres divins et observèrent l'effondrement des défenses ; à Gabaon, des grêlons tuèront plus d'Amoréens que les soldats israélites (</w:t>
      </w:r>
      <w:hyperlink r:id="rId6890">
        <w:r>
          <w:rPr>
            <w:color w:val="0000EE"/>
            <w:u w:val="single"/>
          </w:rPr>
          <w:t>Jos 10.7–11</w:t>
        </w:r>
      </w:hyperlink>
      <w:r>
        <w:t>).</w:t>
      </w:r>
    </w:p>
    <w:p>
      <w:pPr>
        <w:pStyle w:val="Heading3"/>
      </w:pPr>
      <w:r>
        <w:t>Les Juges</w:t>
      </w:r>
    </w:p>
    <w:p>
      <w:r/>
      <w:r>
        <w:t>Josué meurt environ trente ans après avoir conduit les Hébreux en Canaan, et il sera succédé par une série de dirigeants désignés divinement qui gouverneront parfois l'ensemble d'Israël en tant que confédération diffuse et parfois sur une ou plusieurs tribus. Ils étaient à la fois juges, fonctionnaires civils et chefs militaires.</w:t>
      </w:r>
    </w:p>
    <w:p>
      <w:r/>
      <w:r>
        <w:t>Le livre des Juges illustre une série de cycles récurrents : l'apostasie envers Dieu, la punition sous forme d'oppression par les tribus voisines, les cris vers Dieu pour obtenir du soulagement, la libération de l'esclavage sous la direction d'un juge, et une période de repos après l'oppression.</w:t>
      </w:r>
    </w:p>
    <w:p>
      <w:r/>
      <w:r>
        <w:t>Discerner la chronologie des juges est l'un des problèmes les plus complexes des Écritures. Additionner toutes les années d'oppression et de repos mentionnées dans le livre donne un total de 410. Le livre des Actes mentionne un total de 450 ans depuis les jours de Josué jusqu'à Samuel (</w:t>
      </w:r>
      <w:hyperlink r:id="rId2381">
        <w:r>
          <w:rPr>
            <w:color w:val="0000EE"/>
            <w:u w:val="single"/>
          </w:rPr>
          <w:t>Ac 13.19</w:t>
        </w:r>
      </w:hyperlink>
      <w:r>
        <w:t>). La différence dans Actes peut être expliquée par l'ajout des quarante années du ministère d'Éli (</w:t>
      </w:r>
      <w:hyperlink r:id="rId6891">
        <w:r>
          <w:rPr>
            <w:color w:val="0000EE"/>
            <w:u w:val="single"/>
          </w:rPr>
          <w:t>1S 4.18</w:t>
        </w:r>
      </w:hyperlink>
      <w:r>
        <w:t>). En accordant quatre cent dix ans pour la période des juges, environ trente pour la Conquête jusqu'aux juges, et quarante pour les errances dans le désert, cela signifie quatre cent quatre-vingts ans à partir de 1050 av. J.‑C. (date de la royauté de Saül), et donnerait une date d'environ 1530 av. J.-C. pour l'Exode. Cela représente environ 100 ans de plus que même la date précoce pour l'Exode. L'explication la plus probable est qu'il y a un certain chevauchement dans les oppressions et les règnes des Juges. Par exemple, les activités de Jephté étaient centrées sur la frontière orientale, celles de Samson dans la plaine philistine au sud-ouest, et celles de Débora et Barak dans le nord.</w:t>
      </w:r>
    </w:p>
    <w:p>
      <w:pPr>
        <w:pStyle w:val="Heading3"/>
      </w:pPr>
      <w:r>
        <w:t>La Monarchie unie</w:t>
      </w:r>
    </w:p>
    <w:p>
      <w:r/>
      <w:r>
        <w:t>En raison de la faiblesse d'Israël, résultant de la désunion politique ainsi que de l'incompétence et de la corruption des fils d'Éli et de Samuel, le peuple d'Israël demande un roi pour les gouverner. Cette demande était en réalité un rejet du plan de Dieu, qui cherchait à établir une théocratie, c'est-à-dire le règne de Dieu. Dieu accorde leur souhait aux Hébreux mais les avertit des inconvénients de la monarchie (</w:t>
      </w:r>
      <w:hyperlink r:id="rId6892">
        <w:r>
          <w:rPr>
            <w:color w:val="0000EE"/>
            <w:u w:val="single"/>
          </w:rPr>
          <w:t>1S 8.9–21</w:t>
        </w:r>
      </w:hyperlink>
      <w:r>
        <w:t xml:space="preserve">). Le concept de royauté n'était pas nouveau pour Israël. Il avait été évoqué dans </w:t>
      </w:r>
      <w:hyperlink r:id="rId6893">
        <w:r>
          <w:rPr>
            <w:color w:val="0000EE"/>
            <w:u w:val="single"/>
          </w:rPr>
          <w:t>Genèse 49.10</w:t>
        </w:r>
      </w:hyperlink>
      <w:r>
        <w:t xml:space="preserve"> et </w:t>
      </w:r>
      <w:hyperlink r:id="rId6894">
        <w:r>
          <w:rPr>
            <w:color w:val="0000EE"/>
            <w:u w:val="single"/>
          </w:rPr>
          <w:t>Nombres 24.17</w:t>
        </w:r>
      </w:hyperlink>
      <w:r>
        <w:t xml:space="preserve">, et Moïse avait fait des déclarations très claires à ce sujet dans </w:t>
      </w:r>
      <w:hyperlink r:id="rId6895">
        <w:r>
          <w:rPr>
            <w:color w:val="0000EE"/>
            <w:u w:val="single"/>
          </w:rPr>
          <w:t>Deutéronome 17.14–20</w:t>
        </w:r>
      </w:hyperlink>
      <w:r>
        <w:t>.</w:t>
      </w:r>
    </w:p>
    <w:p>
      <w:r/>
      <w:r>
        <w:t>La première étape de la monarchie hébraïque est communément appelée la monarchie unifiée parce que tout Israël était gouverné par un seul roi. Cette période durera cent vingt ans, englobant les règnes de quarante ans de Saül (</w:t>
      </w:r>
      <w:hyperlink r:id="rId1792">
        <w:r>
          <w:rPr>
            <w:color w:val="0000EE"/>
            <w:u w:val="single"/>
          </w:rPr>
          <w:t>Ac 13.21</w:t>
        </w:r>
      </w:hyperlink>
      <w:r>
        <w:t>), David (</w:t>
      </w:r>
      <w:hyperlink r:id="rId6896">
        <w:r>
          <w:rPr>
            <w:color w:val="0000EE"/>
            <w:u w:val="single"/>
          </w:rPr>
          <w:t>2S 5.5</w:t>
        </w:r>
      </w:hyperlink>
      <w:r>
        <w:t>), et Salomon (</w:t>
      </w:r>
      <w:hyperlink r:id="rId2559">
        <w:r>
          <w:rPr>
            <w:color w:val="0000EE"/>
            <w:u w:val="single"/>
          </w:rPr>
          <w:t>1R 11.42</w:t>
        </w:r>
      </w:hyperlink>
      <w:r>
        <w:t>).</w:t>
      </w:r>
    </w:p>
    <w:p>
      <w:r/>
      <w:r>
        <w:t>Le peuple a demandé un roi, et Dieu leur en a accordé un, mais pas comme ceux des nations environnantes. Le roi hébreu devait être un homme qui suivait les préceptes de Dieu dans sa vie publique et privée, qui ne s'immisçait pas dans les affaires du sacerdoce et qui ne tombait pas dans l'idolâtrie, mais exerçait toute son influence pour garder le peuple fidèle à Dieu. S'il échouait dans l'un de ces aspects, il risquait d'être déposé par Dieu, de voir sa lignée s'éteindre, ou même de voir le peuple tomber en captivité sous une puissance étrangère. Tout cela doit être pris en compte lors de l'évaluation des règnes de Saül, David, Salomon et des rois de la monarchie divisée.</w:t>
      </w:r>
    </w:p>
    <w:p>
      <w:r/>
      <w:r>
        <w:t>Saül a bien commencé. Il a remporté une grande victoire sur les Ammonites à Jabès en Galaad et a montré une sagesse considérable dans les affaires administratives. Mais après environ deux ans, il s'immisce dans la fonction de prêtre pour offrir un sacrifice, entraînant la prédiction divine que son royaume lui serait retiré (</w:t>
      </w:r>
      <w:hyperlink r:id="rId6897">
        <w:r>
          <w:rPr>
            <w:color w:val="0000EE"/>
            <w:u w:val="single"/>
          </w:rPr>
          <w:t>1S 13.8–14</w:t>
        </w:r>
      </w:hyperlink>
      <w:r>
        <w:t>). Il continuerait à jouir de grandes victoires militaires et de compétences en tant que dirigeant jusqu'à environ le milieu de son règne.</w:t>
      </w:r>
    </w:p>
    <w:p>
      <w:r/>
      <w:r>
        <w:t>Après la désobéissance de Saül au commandement de Dieu de détruire totalement les Amalécites, le Seigneur a rejette Saül et ordonne à Samuel d'oindre David en privé comme futur roi d'Israël. L'ascension de David aura été stimulée par sa victoire sur Goliath et la défaite concomitante des Philistins. Saül nomme ensuite David commandant de l'armée, et le jeune homme acquiert rapidement une réputation supérieure à celle du roi lui-même. Saül, qui sera de plus en plus perturbé mentalement après la rupture de sa relation avec Dieu, commence à tenter de tuer David, et pendant les dernières années du règne de Saül, David vit comme un fugitif. Pendant ce temps, les Philistins deviennent de plus en plus virulents et tuent Saül et la plupart de ses fils lors de la grande bataille du mont Gilboa, ce qui donnera aux Philistins le contrôle d'une grande partie de la Palestine à l'ouest du Jourdain (</w:t>
      </w:r>
      <w:hyperlink r:id="rId6898">
        <w:r>
          <w:rPr>
            <w:color w:val="0000EE"/>
            <w:u w:val="single"/>
          </w:rPr>
          <w:t>1S 31.1–7</w:t>
        </w:r>
      </w:hyperlink>
      <w:r>
        <w:t>).</w:t>
      </w:r>
    </w:p>
    <w:p>
      <w:r/>
      <w:r>
        <w:t>Peu après, David devient roi en Juda, établissant sa capitale à Hébron. Un fils de Saül, Isch-Boscheth, s'établit à Mahanaïm, à l'est du Jourdain. Pendant sept ans, les deux petits royaumes coexistent (</w:t>
      </w:r>
      <w:hyperlink r:id="rId6899">
        <w:r>
          <w:rPr>
            <w:color w:val="0000EE"/>
            <w:u w:val="single"/>
          </w:rPr>
          <w:t>2S 2.2–11</w:t>
        </w:r>
      </w:hyperlink>
      <w:r>
        <w:t>). Mais après l'assassinat du roi israélite et de son chef d'armée, David devient le souverain d'un royaume hébreu uni.</w:t>
      </w:r>
    </w:p>
    <w:p>
      <w:r/>
      <w:r>
        <w:t>Peu de temps après le début de son règne (1010–970 av. J.‑C.), David triomphe et soumet complètement les Philistins. Peu après, il capture Jérusalem, en faisant la capitale du royaume uni. Au cours des années suivantes, David construit un empire (</w:t>
      </w:r>
      <w:hyperlink r:id="rId6900">
        <w:r>
          <w:rPr>
            <w:color w:val="0000EE"/>
            <w:u w:val="single"/>
          </w:rPr>
          <w:t>2 Sm 8.10</w:t>
        </w:r>
      </w:hyperlink>
      <w:r>
        <w:t xml:space="preserve"> ; </w:t>
      </w:r>
      <w:hyperlink r:id="rId6901">
        <w:r>
          <w:rPr>
            <w:color w:val="0000EE"/>
            <w:u w:val="single"/>
          </w:rPr>
          <w:t>1Ch 18–19</w:t>
        </w:r>
      </w:hyperlink>
      <w:r>
        <w:t>), conquérant Moab, Édom, Damas, Tsoba et Ammon, et contrôle donc le territoire du golfe d'Aqaba (une branche de la mer Rouge) et le Sinaï au sud, presque jusqu'à l'Euphrate au nord. De plus, il établira de bonnes relations, sinon une alliance, avec Tyr. L'établissement de l'empire de David a été possible en raison d'un vide de pouvoir au Moyen-Orient. Les Égyptiens, Mycéniens, Hittites et Assyriens étaient soit décadents, soit retirés de la scène de l'Histoire. Les Phéniciens, un peuple commerçant pacifique, étaient également libres d'étendre leur commerce, et ils étaient heureux de vendre du cèdre à David pour son palais et le temple.</w:t>
      </w:r>
    </w:p>
    <w:p>
      <w:r/>
      <w:r>
        <w:t>Il n'y a aucun doute quant au fait que David a été le plus grand roi d'Israël. Jérusalem en viendra à être connue comme la ville de David. Lorsque le roi voudra construire le temple comme maison de Dieu, Dieu lui répond que son fils devrait le faire à sa place. Mais Dieu construirait d'une manière très réelle la maison de David ; il fera une alliance avec David, lui promettant que sa maison (dynastie, royaume, trône) serait établie pour toujours (</w:t>
      </w:r>
      <w:hyperlink r:id="rId3598">
        <w:r>
          <w:rPr>
            <w:color w:val="0000EE"/>
            <w:u w:val="single"/>
          </w:rPr>
          <w:t>2 Sm 7</w:t>
        </w:r>
      </w:hyperlink>
      <w:r>
        <w:t xml:space="preserve">). Christ, le souverain infini qui venait de la lignée de David, était seul capable de remplir cette promesse divine (voir </w:t>
      </w:r>
      <w:hyperlink r:id="rId6902">
        <w:r>
          <w:rPr>
            <w:color w:val="0000EE"/>
            <w:u w:val="single"/>
          </w:rPr>
          <w:t>Lc 1.31–33</w:t>
        </w:r>
      </w:hyperlink>
      <w:r>
        <w:t xml:space="preserve"> ; </w:t>
      </w:r>
      <w:hyperlink r:id="rId6903">
        <w:r>
          <w:rPr>
            <w:color w:val="0000EE"/>
            <w:u w:val="single"/>
          </w:rPr>
          <w:t>Ac 2.29–36</w:t>
        </w:r>
      </w:hyperlink>
      <w:r>
        <w:t xml:space="preserve"> ; </w:t>
      </w:r>
      <w:hyperlink r:id="rId6904">
        <w:r>
          <w:rPr>
            <w:color w:val="0000EE"/>
            <w:u w:val="single"/>
          </w:rPr>
          <w:t>13.32–39</w:t>
        </w:r>
      </w:hyperlink>
      <w:r>
        <w:t xml:space="preserve"> ; </w:t>
      </w:r>
      <w:hyperlink r:id="rId6905">
        <w:r>
          <w:rPr>
            <w:color w:val="0000EE"/>
            <w:u w:val="single"/>
          </w:rPr>
          <w:t>15.14–17</w:t>
        </w:r>
      </w:hyperlink>
      <w:r>
        <w:t>).</w:t>
      </w:r>
    </w:p>
    <w:p>
      <w:r/>
      <w:r>
        <w:t>Comme d'autres monarques orientaux, David adopte la pratique de maintenir un harem. Les Écritures mentionnent huit épouses et vingt et un enfants et font référence à d'autres épouses et concubines. Une telle situation ouvre la porte à des rivalités familiales et à des questions sur la succession au trône. Deux fils, Absalom et Adonija, tentent de s'emparer du trône, mais leurs efforts seront réprimés. Salomon, fils de la femme préférée de David (Bath-Schéba) deviendra roi après lui.</w:t>
      </w:r>
    </w:p>
    <w:p>
      <w:r/>
      <w:r>
        <w:t>Salomon (970–930 av. J.‑C.) était un homme de paix et un bâtisseur de palais, de villes, de fortifications et du temple. Il fortifie des villes dans tout son royaume et équipe des villes pour ses corps de chars et ses unités de cavalerie. Avec l'aide des Phéniciens, il construit un port maritime et maintient une flotte à Etsjon-Guéber, près de l'actuelle Eilat sur le golfe d'Aqaba. Il agrandira considérablement Jérusalem en incluant la zone du temple au nord de la ville de David et la colline sud-ouest maintenant connue sous le nom de Sion. Son projet le plus connu était le temple, qu'il a pris sept ans à construire. Mesurant deux fois la taille du tabernacle, il sera édifié selon le même plan de base. Il mesurait un peu moins que 30m de long et 10m de large et avait des aménagements magnifiques. Mais il a également construit un complexe de palais qui a pris treize ans à achever. Cela comprenait une armurerie, une salle du trône, la résidence privée du roi et une maison pour la fille de Pharaon.</w:t>
      </w:r>
    </w:p>
    <w:p>
      <w:r/>
      <w:r>
        <w:t>Très influencé, semble-t-il, par le témoignage spirituel de David et désireux de recevoir la bénédiction de Dieu sur son règne, Salomon offre un grand sacrifice à Dieu à Gabaon au début de son règne. En ce lieu, Dieu le rencontrera lui propose de lui accorder tout ce qu'il pourrait demander. Salomon décide de demander la compréhension et la sagesse pour gouverner le peuple de Dieu (</w:t>
      </w:r>
      <w:hyperlink r:id="rId2750">
        <w:r>
          <w:rPr>
            <w:color w:val="0000EE"/>
            <w:u w:val="single"/>
          </w:rPr>
          <w:t>1R 3.9</w:t>
        </w:r>
      </w:hyperlink>
      <w:r>
        <w:t>). Cette sagesse, donnée par Dieu, est évidente dans nombre de ses décisions administratives, politiques et architecturales.</w:t>
      </w:r>
    </w:p>
    <w:p>
      <w:r/>
      <w:r>
        <w:t>Malheureusement, Salomon n'a pas fait preuve d'une telle sagesse dans son maintien d'un harem de sept cent épouses et trois cent concubines, ou en engageant des dépenses excessives qui laisseront l'État dans une situation financière grave. Il a même érigé des lieux de culte pour ses épouses étrangères, subventionnant ainsi leur idolâtrie et attirant la colère de Dieu. Les épouses étrangères et leur idolâtrie se sont même avérées être la chute de Salomon lui-même ; avant que ce dernier ne meure, Dieu l'informera que pour cette raison, il diviserait le royaume à sa mort et en donnerait la plus grande partie à quelqu'un d'autre que le fils de Salomon. Cependant, par amour pour David, Dieu garderait Juda et Jérusalem entre les mains de la lignée davidique (</w:t>
      </w:r>
      <w:hyperlink r:id="rId6906">
        <w:r>
          <w:rPr>
            <w:color w:val="0000EE"/>
            <w:u w:val="single"/>
          </w:rPr>
          <w:t>1R 11.9–13</w:t>
        </w:r>
      </w:hyperlink>
      <w:r>
        <w:t>).</w:t>
      </w:r>
    </w:p>
    <w:p>
      <w:pPr>
        <w:pStyle w:val="Heading3"/>
      </w:pPr>
      <w:r>
        <w:t>Le Royaume divisé</w:t>
      </w:r>
    </w:p>
    <w:p>
      <w:r/>
      <w:r>
        <w:t>Après la mort de Salomon, le Proche-Orient serait destiné à devenir un endroit très différent. Israël ne se trouvait plus dans un vide au niveau du pouvoir. L'Empire assyrien s'élèvera en Mésopotamie, suivi par les empires néo-babylonien et médo-perse à leur tour. L'Égypte sera temporairement puissante au sud, mais passerait plus tard sous le contrôle de l'Assyrie et des Médo-Perses. Ces empires exerceront une grande pression sur Israël et domineront l'un ou les deux royaumes hébreux.</w:t>
      </w:r>
    </w:p>
    <w:p>
      <w:r/>
      <w:r>
        <w:t>À la mort de Salomon, son fils Roboam accède au trône et doit faire face à une montée de ressentiment en raison des lourds impôts et de la stagnation économique des dernières années de Salomon. Lorsque Roboam refuse d'accorder un soulagement, toutes les tribus du nord se séparent et forment le royaume du Nord, Israël, sous la direction de Jéroboam. Le royaume du Sud, Juda, ne conserva que les territoires de Juda et de Benjamin. Un total de vingt rois régnera dans chacun des royaumes séparés. Alors que le Nord connait plusieurs dynasties et que les règnes des rois sont généralement courts, dans le royaume du Sud, la dynastie de David continue de régner et leurs règnes étaient plus longs.</w:t>
      </w:r>
    </w:p>
    <w:p>
      <w:pPr>
        <w:pStyle w:val="Heading4"/>
      </w:pPr>
      <w:r>
        <w:t>Le Royaume du Nord</w:t>
      </w:r>
    </w:p>
    <w:p>
      <w:r/>
      <w:r>
        <w:t>Le royaume du Nord durera de la scission en 930 avant J.‑C. jusqu'à sa conquête par l'Assyrie en 722. Jéroboam, craignant de perdre la loyauté du peuple ssi ce dernier continuait à aller à Jérusalem pour adorer, a mis en place une nouvelle religion de son cru. Instituant un culte du veau, il construira des sanctuaires à Dan au nord et à Béthel au sud. Cette idolâtrie attirera la condamnation de Dieu et accomplira la prédiction selon laquelle la lignée de Jéroboam serait anéantie. Tous ses successeurs le suivront dans son idolâtrie. Israël sera en guerre avec Juda, la Syrie ou l'Assyrie pendant une grande partie de son histoire. Jéroboam établit d'abord sa capitale à Sichem, puis plus tard à Thirtsa.</w:t>
      </w:r>
    </w:p>
    <w:p>
      <w:r/>
      <w:r>
        <w:t>Quatre autres rois du nord méritent un commentaire spécial : Omri, Achab, Jéhu et Jéroboam II. Omri (885–874 av. J.‑C.) devait être un souverain impressionnant. Des générations plus tard, les Assyriens parlaient encore d'Israël comme du pays d'Omri. Après s'être établi sur le trône, il fixera la capitale permanente du royaume à Samarie et débutera les travaux d'un complexe palatial là-bas. Au début de son règne, il réussira à conquérir Moab, et plus tard, il rétablira les bonnes relations avec Tyr qui existaient à l'époque de David et Salomon. Il semble avoir établi une alliance complète, scellée par le mariage de son fils Achab avec Jézabel, une princesse de Tyr.</w:t>
      </w:r>
    </w:p>
    <w:p>
      <w:r/>
      <w:r>
        <w:t>Achab (874–853 av. J.‑C.) sera l'un des rois les plus importants d'Israël. Lui et sa femme, Jézabel, feront la promotion de l'odieuse idolâtrie du culte de Baal avec sa prostitution religieuse, suscitant la forte opposition du prophète Élie. Achab était un redoutable chef militaire, triomphant des Syriens lors de campagnes majeures et participant à une coalition qui combattra les Assyriens jusqu'à une situation de quasi-neutralisation. Il entreprendra également d'importants travaux de construction à Samarie, Hatsor, Meguiddo et d'autres villes, comme le montrent les fouilles archéologiques.</w:t>
      </w:r>
    </w:p>
    <w:p>
      <w:r/>
      <w:r>
        <w:t>Jéhu (841–814 av. J.‑C.) sera l'instrument de Dieu pour punir la maison d'Omri et détruire le culte de Baal en Israël. Il réussira à éradiquer le culte de Baal et éliminera littéralement des dizaines de parents et de fonctionnaires de la cour d'Achab. Cependant, il sera si impitoyable qu'il éliminera aussi ceux qui savaient comment diriger le gouvernement ; par la suite, le fonctionnement du pays en sera négativement affecté. Jéhu sera également contraint de devenir un vassal de l'Assyrie.</w:t>
      </w:r>
    </w:p>
    <w:p>
      <w:r/>
      <w:r>
        <w:t>Jéroboam II règnera pendant la majeure partie de la première moitié du huitième siècle (793–753 av. J.‑C.) et a conduira le royaume à son apogée et à une période de prospérité. Avec son contemporain Ozias au sud, il gouvernera la plupart des terres que David avait autrefois contrôlées. Cela sera possible parce que les Assyriens étaient en période de déclin pendant la majeure partie de la première moitié du siècle.</w:t>
      </w:r>
    </w:p>
    <w:p>
      <w:r/>
      <w:r>
        <w:t>Les prophètes actifs durant l'histoire du royaume du Nord incluent les prophètes non écrivains Élie et Élisée, ainsi que les prophètes écrivains Jonas, Amos et Osée.</w:t>
      </w:r>
    </w:p>
    <w:p>
      <w:pPr>
        <w:pStyle w:val="Heading4"/>
      </w:pPr>
      <w:r>
        <w:t>Le Royaume du Sud</w:t>
      </w:r>
    </w:p>
    <w:p>
      <w:r/>
      <w:r>
        <w:t>L'histoire du royaume du sud, Juda, aura été assez différente de celle du royaume du nord. Le temple s'y trouvait, ainsi qu'un grand nombre de Lévites, dont beaucoup sont venus au sud après la division du royaume pour protester contre l'idolâtrie du nord. En plus de cette force spirituelle, il y avait une plus grande stabilité politique et unité, favorisées par le fait que seules deux tribus (Juda et Benjamin) partageaient le pouvoir, et tous les rois étaient issus de la dynastie davidique. De plus, huit des rois étaient de bons monarques. Il y a aussi eu des réveils religieux à intervalles régulières. Dieu a accordé au royaume du sud environ cent d'existence de plus que le nord. Mais Juda, elle aussi, tombera dans l'idolâtrie et sera emmenée en captivité pour ses péchés.</w:t>
      </w:r>
    </w:p>
    <w:p>
      <w:r/>
      <w:r>
        <w:t>Roboam, le premier roi du sud, est surtout connu pour avoir refusé d'écouter des conseils avisés sur les questions fiscales, ce qui conduira à la division du royaume. Il sera également reconnu pour ses politiques religieuses. Après un bon début, il a laissera l'apostasie devenir incontrôlable, provoquant ainsi le jugement de Dieu sous la forme d'une invasion lors de sa cinquième année (926 av. J.‑C.) par Schischak I d'Égypte, entraînant un pillage important et le paiement d'un tribut. Par la suite, il lancera un programme ambitieux pour fortifier le royaume. L'invasion de Schischak entraînera une réforme spirituelle partielle et temporaire, mais la tendance générale du règne de Roboam était à la baisse.</w:t>
      </w:r>
    </w:p>
    <w:p>
      <w:r/>
      <w:r>
        <w:t>Les conditions durant le règne de son fils, Abijam, étaient pires encore, mais Asa (910–869 av. J.‑C.) initie une réforme religieuse qui sera efficace pendant la majeure partie de son règne. Cependant, lorsqu'il sera menacé par le royaume du Nord durant ses dernières années, Asa se tournera vers la Syrie pour obtenir de l'aide au lieu de se tourner vers Dieu, et il semble avoir défié les prophètes de Dieu jusqu'à son dernier jour.</w:t>
      </w:r>
    </w:p>
    <w:p>
      <w:r/>
      <w:r>
        <w:t>Le fils d'Asa, Josaphat (872–848 av. J.‑C.), semble avoir été influencé par la dévotion religieuse précoce de son père, et son règne se distinguera par sa fidélité, lui valant la faveur de Dieu. Cependant, il semble avoir conclu une alliance de grande ampleur avec Achab d'Israël, ce qui aboutira au mariage de son fils Joram avec la fille d'Achab, Athalie. Cette alliance impliquera Josaphat dans des entreprises communes presque désastreuses avec Achab, et plus tard avec deux de ses fils lorsqu'ils deviendront rois d'Israël. Elle a également ouvert la porte à l'introduction du culte de Baal en Juda lorsque Joram est monté sur le trône dans le royaume du sud. À cause de son péché, Joram (853–841 av. J.‑C.) souffrira de révoltes internes, d'invasions et il mourra d'une horrible maladie.</w:t>
      </w:r>
    </w:p>
    <w:p>
      <w:r/>
      <w:r>
        <w:t>Après sa mort, son dernier fils restant, Achazia, régnera moins d'un an, suivant les mauvaises voies de son père. Lorsque Achazia meurt au combat, la reine mère, Athalie, décida de s'emparer du trône pour elle-même et de sécuriser son pouvoir en éliminant tous ceux qui étaient en lice pour accéder au trône. Mais elle oubliera le fils d'Achazia, Joas, qui sera caché dans le temple pendant six ans.</w:t>
      </w:r>
    </w:p>
    <w:p>
      <w:r/>
      <w:r>
        <w:t>Quand Joas avait sept ans, Jehojada, le grand prêtre, organise son couronnement ainsi que l'exécution de l'assassine et idolâtre Athalie. Pendant ses premières années, sous l'influence de bons conseils, Joas règne bien. Cependant, après le milieu de son règne (835–796 av. J.‑C.), il commence à écouter les princes qui voulaient rétablir l'idolâtrie, et les conditions se détériorent. Les revers militaires entraîneront un déclin économique et, enfin, l'assassinat du roi.</w:t>
      </w:r>
    </w:p>
    <w:p>
      <w:r/>
      <w:r>
        <w:t>Son fils Amatsia (796–767 av. J.‑C.) commencera bien avec une victoire sur Édom et une vie vécue en fidélité à Dieu. Cependant, lui aussi tombera dans l'idolâtrie et sera totalement vaincu par le royaume du nord, étant retenu prisonnier là-bas. À ce moment-là, son fils Ozias prend le relais (vers 792 av. J.‑C.) et commencera un règne long et généralement couronné de succès. Au cours des décennies suivantes, l'Assyrie se trouvera en déclin, et Ozias ainsi que son contemporain du nord, Jéroboam II, pourra étendre les possessions hébraïques de telle sorte qu'à eux deux, ils contrôlaient la plupart du territoire que Salomon avait gouverné.</w:t>
      </w:r>
    </w:p>
    <w:p>
      <w:r/>
      <w:r>
        <w:t>Ozias (792–740 av. J.‑C.) rétablira le pouvoir de Juda assez rapidement après la défaite de son père aux mains d'Israël. Ensuite, il soumettra les Philistins au sud-ouest et les Ammonites de l'autre côté du Jourdain ; il renforcera sa domination sur les Édomites. Pendant tout son règne, les conditions économiques s'améliorent. Cependant, au sommet de son pouvoir, Ozias a violera imprudemment les prérogatives du grand prêtre et offrira un sacrifice dans le temple. Pour cela, il sera frappé de lèpre ; son fils Jotham devient corégent pendant les années 750–740 av. J.‑C., régnera seul pendant environ cinq années supplémentaires. Pendant ce temps, le pouvoir assyrien connaît une résurgence.</w:t>
      </w:r>
    </w:p>
    <w:p>
      <w:r/>
      <w:r>
        <w:t>Dans l'ensemble, Jotham poursuivra simplement les politiques d'Ozias. Cependant, l'administration de son fils Achaz (735–715 av. J.‑C.) sera fortement affectée par la menace assyrienne. Israël et la Syrie voulaient qu'il se joigne à la guerre contre l'Assyrie, mais il refuse, ayant un penchant pro-assyrien. Lorsqu'Israël et la Syrie envahiront Juda, le roi Achaz envoie un tribut à l'Assyrie et devient son vassal en échange de protection. Cette décision précipitée a été vainement opposée par Ésaïe, qui était prophète à la cour (vers 740–700 av. J.‑C.). Parallèlement, le prophète Michée servira le peuple de Juda. La politique pro-assyrienne d'Achaz est accompagnée d'une sympathie renouvelée pour l'idolâtrie, ce qui entraînera le jugement de Dieu sous forme d'invasion par les Édomites et les Philistins et de problèmes avec l'Assyrie. Pendant toute cette période, l'Assyrie avait annexé le royaume du nord (722 av. J.‑C.) et avait déporté beaucoup de ses habitants en captivité.</w:t>
      </w:r>
    </w:p>
    <w:p>
      <w:r/>
      <w:r>
        <w:t>Le roi de Juda suivant, Ézéchias (715–686 av. J.‑C.), sera profondément affecté par la chute d'Israël due à ses péchés, et il décidera de lancer une réforme dans son royaume. Il s'oppose également aux Assyriens, mais il n'osera pas interrompre les paiements de tribut, ni chercher l'indépendance jusqu'à ce que Sanchérib ne monte sur le trône à Ninive en 705 av. J.‑C. Au départ, Sanchérib était trop préoccupé pour s'occuper de Juda, mais en 701, il finit par envahir. Malgré un succès initial considérable, il sera arrêté par une peste suscitée par Dieu (</w:t>
      </w:r>
      <w:hyperlink r:id="rId6763">
        <w:r>
          <w:rPr>
            <w:color w:val="0000EE"/>
            <w:u w:val="single"/>
          </w:rPr>
          <w:t>Es 36–39</w:t>
        </w:r>
      </w:hyperlink>
      <w:r>
        <w:t>). Ésaïe restera aux côtés du roi pour le rassurer et le soutenir pendant cette urgence.</w:t>
      </w:r>
    </w:p>
    <w:p>
      <w:r/>
      <w:r>
        <w:t>Le fils d'Ézéchias, Manassé (697–642 av. J.‑C.), connaîtra un rège plus long que tout autre roi d'Israël ou de Juda. Malheureusement, il tourne le dos à l'exemple de son père et entraînera le peuple dans une idolâtrie grossière (</w:t>
      </w:r>
      <w:hyperlink r:id="rId6907">
        <w:r>
          <w:rPr>
            <w:color w:val="0000EE"/>
            <w:u w:val="single"/>
          </w:rPr>
          <w:t>2R 21.9</w:t>
        </w:r>
      </w:hyperlink>
      <w:r>
        <w:t>). Emmené captif par les Assyriens vers la fin de son règne, il se repentira de ses mauvaises actions et Dieu le rétablira sur son trône ; par la suite, il mène quelques réformes. Cependant, le pays était trop imprégné d'iniquité pour être sauvé. Son fils Amon (642–640 av. J.‑C.) reviendra à l'idolâtrie qu'il avait connue dans sa jeunesse.</w:t>
      </w:r>
    </w:p>
    <w:p>
      <w:r/>
      <w:r>
        <w:t>La situation sera différente avec Josias (640–609 av. J.‑C.), cependant. Tout au long de son règne, il se consacre à la réforme. Il cherchera à éradiquer l'idolâtrie et à restaurer le temple et son culte. En 622 av. J.‑C., le Livre de la Loi sera découvert lors de la réparation du temple, et ses exigences (qui avaient été oubliées) ont fortement impressionné le roi et le peuple. Il est certain que Jérémie et Sophonie ont exercé leur ministère pendant le règne de Josias, tout comme Nahum et Habakuk (selon toute probabilité).</w:t>
      </w:r>
    </w:p>
    <w:p>
      <w:r/>
      <w:r>
        <w:t>Les conditions internationales évoluaient désormais rapidement. L'Assyrie était en déclin, et Ninive tombe aux mains de Babylone et des Mèdes en 612 av. J.‑C. Trois ans plus tard, le Pharaon Néco d'Égypte marcha vers le nord pour aider son allié assyrien. Lorsque Josias tente de l'arrêter, il est tué au combat.</w:t>
      </w:r>
    </w:p>
    <w:p>
      <w:r/>
      <w:r>
        <w:t>À partir de ce moment, nous entrons dans une période de déclin ininterrompu pour Juda. Aucun des autres rois ne sera dévoué à Dieu, et le pouvoir politique ainsi que la santé économique déclinent rapidement. Le peuple mettra sur le trône l'un des fils de Josias, Joachaz, qui régnera pendant trois mois. Pharaon Néco le remplace par Jojakim (609–598 av. J.‑C.), un autre des fils de Josias. En 605, Nebucadnetsar de Babylone triomphe du Pharaon Néco, et envahit Juda, prenant tribut et otages de Jojakim, y compris Daniel et ses amis (</w:t>
      </w:r>
      <w:hyperlink r:id="rId6908">
        <w:r>
          <w:rPr>
            <w:color w:val="0000EE"/>
            <w:u w:val="single"/>
          </w:rPr>
          <w:t>Dn 1.1</w:t>
        </w:r>
      </w:hyperlink>
      <w:r>
        <w:t>). Jojakim se révoltera en l'an 600 av. J.‑C., mais Nebucadnetsar ne viendra pas s'occuper de lui personnellement avant 597 av. J.‑C. Il meurt avant l'arrivée des Babyloniens, et son fils Jojakin monte sur le trône en 598 av. J.‑C. pour régner seulement trois mois avant que les Babyloniens ne l'emportent en exil. Ézéchiel faisait partie des nombreux captifs pris à cette occasion.</w:t>
      </w:r>
    </w:p>
    <w:p>
      <w:r/>
      <w:r>
        <w:t>Les Babyloniens placent ensuite Sédécias, le plus jeune fils de Josias, sur le trône en 597 av. J.‑C. Il se révolte, et Nebucadnetsar assiége Jérusalem et prend la ville (587 av. J.‑C.), la détruisant ainsi que le temple et emportant un grand nombre de personnes. Le jugement de Dieu tombe finalement sur les Juifs pour leurs pratiques idolâtres.</w:t>
      </w:r>
    </w:p>
    <w:p>
      <w:pPr>
        <w:pStyle w:val="Heading3"/>
      </w:pPr>
      <w:r>
        <w:t>La Restauration</w:t>
      </w:r>
    </w:p>
    <w:p>
      <w:r/>
      <w:r>
        <w:t>Dans son jugement, Dieu s'est souvenu de la miséricorde. Ceci est évident dans les vies individuelles, lorsque des fidèles comme Daniel, Esther ou Néhémie accèdent à des positions importantes de la vie politique, ou lorsque de nombreuses autres personnes deviennent prospères dans un environnement étranger. Au niveau communautaire, cela se fait également ressentir car Dieu agira pour protéger les enclaves hébraïques dispersées à l'étranger et pour restaurer une société organisée en Palestine.</w:t>
      </w:r>
    </w:p>
    <w:p>
      <w:r/>
      <w:r>
        <w:t>Parmi les exilés, le judaïsme, en tant que mode de vie séparé de son propre système politique ou centre cultuel, a commencé à émerger. Les Juifs renoncent enfin à l'idolâtrie. Sans temple, sans sacerdoce, sans roi ni terre, ils se sont tournés vers les Écritures divines comme point de ralliement et fondement de leur communauté. Pendant cette période, ils développent la synagogue comme lieu de communion, de prière et d'étude.</w:t>
      </w:r>
    </w:p>
    <w:p>
      <w:r/>
      <w:r>
        <w:t>La restauration par Dieu d'une communauté organisée en Palestine impliquait particulièrement son « oint » Cyrus (</w:t>
      </w:r>
      <w:hyperlink r:id="rId6909">
        <w:r>
          <w:rPr>
            <w:color w:val="0000EE"/>
            <w:u w:val="single"/>
          </w:rPr>
          <w:t>Es 44.28</w:t>
        </w:r>
      </w:hyperlink>
      <w:r>
        <w:t xml:space="preserve"> ; </w:t>
      </w:r>
      <w:hyperlink r:id="rId1248">
        <w:r>
          <w:rPr>
            <w:color w:val="0000EE"/>
            <w:u w:val="single"/>
          </w:rPr>
          <w:t>45.1</w:t>
        </w:r>
      </w:hyperlink>
      <w:r>
        <w:t xml:space="preserve">). Cyrus était un prince perse qui, en 559 av. J.‑C., se révolte contre la dynastie dominante qui contrôlait l'Empire mède. Après avoir consolidé son emprise sur le trône, il entreprend de conquérir l'Asie Mineure et l'Empire chaldéen ou néo-babylonien. Humanitaire et administrateur sage, il permet aux peuples captifs de retourner chez eux et de reconstruire leurs communautés. Le décret de Cyrus aux Juifs apparaît dans </w:t>
      </w:r>
      <w:hyperlink r:id="rId6910">
        <w:r>
          <w:rPr>
            <w:color w:val="0000EE"/>
            <w:u w:val="single"/>
          </w:rPr>
          <w:t>Esdras 1</w:t>
        </w:r>
      </w:hyperlink>
      <w:r>
        <w:t xml:space="preserve"> et date probablement de 538 av. J.‑C. Un total de près de cinquante mille personnes retournent en Juda à la suite de cet édit (</w:t>
      </w:r>
      <w:hyperlink r:id="rId6911">
        <w:r>
          <w:rPr>
            <w:color w:val="0000EE"/>
            <w:u w:val="single"/>
          </w:rPr>
          <w:t>Esd 2.64–65</w:t>
        </w:r>
      </w:hyperlink>
      <w:r>
        <w:t>).</w:t>
      </w:r>
    </w:p>
    <w:p>
      <w:r/>
      <w:r>
        <w:t>Sous les pressions et les tensions de la réinstallation, le peuple construit ses maisons mais ne va pas beaucoup plus loin que poser les fondations d'un nouveau temple. Les prophètes Aggée et Zacharie finissent par inciter le peuple à construire la maison de Dieu (</w:t>
      </w:r>
      <w:hyperlink r:id="rId6912">
        <w:r>
          <w:rPr>
            <w:color w:val="0000EE"/>
            <w:u w:val="single"/>
          </w:rPr>
          <w:t>Esd 5.1</w:t>
        </w:r>
      </w:hyperlink>
      <w:r>
        <w:t xml:space="preserve">). Ils débutent les travaux la deuxième année de Darius Ier, dit le Grand (520 av. J.‑C. ; </w:t>
      </w:r>
      <w:hyperlink r:id="rId404">
        <w:r>
          <w:rPr>
            <w:color w:val="0000EE"/>
            <w:u w:val="single"/>
          </w:rPr>
          <w:t>Ag 1.1</w:t>
        </w:r>
      </w:hyperlink>
      <w:r>
        <w:t xml:space="preserve"> ; </w:t>
      </w:r>
      <w:hyperlink r:id="rId6913">
        <w:r>
          <w:rPr>
            <w:color w:val="0000EE"/>
            <w:u w:val="single"/>
          </w:rPr>
          <w:t>Za 1.1</w:t>
        </w:r>
      </w:hyperlink>
      <w:r>
        <w:t xml:space="preserve">), et les achèvent au cours de sa sixième année (515 av. J.‑C. ; </w:t>
      </w:r>
      <w:hyperlink r:id="rId2577">
        <w:r>
          <w:rPr>
            <w:color w:val="0000EE"/>
            <w:u w:val="single"/>
          </w:rPr>
          <w:t>Esd 6.15</w:t>
        </w:r>
      </w:hyperlink>
      <w:r>
        <w:t>).</w:t>
      </w:r>
    </w:p>
    <w:p>
      <w:r/>
      <w:r>
        <w:t xml:space="preserve">Durant le règne de Xerxès, fils de Darius (486–465 av. J.‑C.), un complot est mis sur pied pour exterminer tous les Juifs de l'Empire perse, qui contrôlait à cette époque les terres où vivaient les Juifs. Heureusement, Xerxès (Assuérus dans le livre d'Esther), au cours de sa troisième année (483 av. J.‑C. ; </w:t>
      </w:r>
      <w:hyperlink r:id="rId5557">
        <w:r>
          <w:rPr>
            <w:color w:val="0000EE"/>
            <w:u w:val="single"/>
          </w:rPr>
          <w:t>Est 1.3</w:t>
        </w:r>
      </w:hyperlink>
      <w:r>
        <w:t>), cherche une nouvelle reine et choisit Esther, qui réussit à préserver son peuple.</w:t>
      </w:r>
    </w:p>
    <w:p>
      <w:r/>
      <w:r>
        <w:t xml:space="preserve">Le fils de Xerxès, Artaxerxès Ier (465–424 av. J.‑C.), joue également un rôle important dans l'histoire juive. Au cours de la septième année de son règne (458 av. J.‑C.; </w:t>
      </w:r>
      <w:hyperlink r:id="rId6914">
        <w:r>
          <w:rPr>
            <w:color w:val="0000EE"/>
            <w:u w:val="single"/>
          </w:rPr>
          <w:t>Esd 7.7</w:t>
        </w:r>
      </w:hyperlink>
      <w:r>
        <w:t xml:space="preserve">), sous la direction d'Esdras, un deuxième contingent de Juifs retourne à Jérusalem. Dans la vingtième année d'Artaxerxès (445 av. J.‑C.; </w:t>
      </w:r>
      <w:hyperlink r:id="rId2130">
        <w:r>
          <w:rPr>
            <w:color w:val="0000EE"/>
            <w:u w:val="single"/>
          </w:rPr>
          <w:t>Né 2.1</w:t>
        </w:r>
      </w:hyperlink>
      <w:r>
        <w:t>), Néhémie se rend à Jérusalem pour superviser la reconstruction des murs de la ville. Malachie a probablement écrit sa prophétie aux Juifs de Jérusalem pendant la dernière partie du règne d'Artaxerxès.</w:t>
      </w:r>
    </w:p>
    <w:p>
      <w:r/>
      <w:r>
        <w:t>Après la chute de Samarie et l'exil de Juda, les Hébreux restants dans le pays se marient avec divers groupes païens de la région. Leur progéniture deviendra le peuple samaritain, un mélange religieux et ethnique. Ces personnes avaient comblé le vide laissé par la destruction de Juda et, naturellement, elles voyaient d'un mauvais œil l'intrusion de Juifs babyloniens dans une région qu'elles avaient fini par appeler la leur. Elles font tout leur possible pour contrecarrer les efforts de Néhémie pour reconstruire les murs. Il faudra tout le courage, le sens tactique, l'énergie et la persuasion d'Esdras et de Néhémie pour empêcher les Juifs de retour de se marier avec les personnes ethniquement mixtes du pays. De tels intermariages auraient signifié l'absorption et la destruction ultime du peuple juif.</w:t>
      </w:r>
    </w:p>
    <w:p>
      <w:r/>
      <w:r>
        <w:t>Un temple samaritain sera construit plus tard sur le mont Garizim (probablement au cours du Ve siècle av. J.‑C.), et deviendra le centre du culte samaritain. L'hostilité entre les Samaritains et les Juifs se poursuivit jusqu'à la période du NT (</w:t>
      </w:r>
      <w:hyperlink r:id="rId6915">
        <w:r>
          <w:rPr>
            <w:color w:val="0000EE"/>
            <w:u w:val="single"/>
          </w:rPr>
          <w:t>Jn 4</w:t>
        </w:r>
      </w:hyperlink>
      <w:r>
        <w:t>) et existe encore aujourd'hui.</w:t>
      </w:r>
    </w:p>
    <w:p>
      <w:pPr>
        <w:pStyle w:val="Heading3"/>
      </w:pPr>
      <w:r>
        <w:t>La Période intertestamentaire</w:t>
      </w:r>
    </w:p>
    <w:p>
      <w:r/>
      <w:r>
        <w:t>Alexandre le Grand conquiert l'Empire perse avec une rapidité fulgurante. Lorsque les habitants de Jérusalem ouvrent en grand leurs portes en 332 av. J.‑C. et capitulent sans combattre, Alexandre les traitera avec bonté. Après sa mort en 323 av. J.‑C., la Palestine passe d'un successeur à l'autre jusqu'à ce que Ptolémée Ier d'Égypte parvienne à établir son contrôle en 301 av. J.‑C. Par la suite, la région reste entre les mains égyptiennes jusqu'en 198 av. J.‑C. Les Ptolémées étaient tolérants et accordaient aux Juifs une autonomie considérable, leur permettant de développer leur culture unique sans être dérangés tant qu'ils payaient leurs impôts et restaient soumis. De nombreux Juifs se sont installés à Alexandrie et ont progressivement oublié leur hébreu dans l'environnement hellénistique. En conséquence, une traduction de l'Ancien Testament en grec (la Septante) y a été produite. Bien que les Ptolémées n'aient pas imposé l'hellénisme aux Juifs d'Alexandrie ou de Palestine, beaucoup ont été influencés par les idées hellénistiques.</w:t>
      </w:r>
    </w:p>
    <w:p>
      <w:r/>
      <w:r>
        <w:t>Lorsque Ptolémée V monte sur le trône en tant que mineur en 203 av. J.‑C., Antiochus III de Syrie profite de l'affaiblissement de l'Égypte et conquiert la Palestine (198 av. J.‑C.). Les Juifs semblent avoir espéré tirer profit du changement et accueilleront les Syriens. Cependant, leur espoir sera mal fondé. Antiochus III subit une défaite désastreuse aux mains de Rome à Magnésie en 190 av. J.‑C. La Syrie perd non seulement un grand territoire, mais sera également contraint de payer une énorme indemnité. Par la suite, les Juifs souffriront de lourdes charges financières, tout comme d'autres peuples de l'empire. Le roi syrien suivant, Antiochus IV Épiphane (175–164 av. J.‑C.), décide de renforcer l'unité et la puissance interne de l'empire en imposant, entre autres, une plus grande acceptation de la culture grecque et du culte du divin empereur. Naturellement, cette exigence idolâtre pèsera lourdement sur les Juifs monothéistes et les incite à la révolution.</w:t>
      </w:r>
    </w:p>
    <w:p>
      <w:r/>
      <w:r>
        <w:t>Cela n'explique pas entièrement la révolte des Maccabées contre la Syrie. En 168 av. J.‑C., un conflit armé éclate entre des factions juives à Jérusalem. Antiochus IV choisit de l'interpréter comme une rébellion ouverte et envoie une armée contre la ville. Ses forces démoliront une partie du mur de la ville et de nombreuses maisons. Par la suite, Antiochus décide de supprimer complètement le judaïsme. Il dédie le temple à Zeus et sacrifie des porcs sur l'autel. La circoncision, l'observance du sabbat et d'autres fêtes religieuses seront interdites, et le culte public des dieux païens devient obligatoire.</w:t>
      </w:r>
    </w:p>
    <w:p>
      <w:r/>
      <w:r>
        <w:t>Certains Juifs capituleront face aux ordres d'Antiochus ou résisteront seulement passivement ; d'autres décideront de résister ouvertement. Parmi eux se trouvaient Mattathias et ses cinq fils. Après la mort prématurée de Mattathias, son fils Judas Maccabée mène ses forces à la victoire contre les Syriens, retrouvant le droit de restaurer le culte juif. La réinauguration du temple le 25 décembre 164 av. J.‑C. marquera le début de la Fête de Hanoucca (</w:t>
      </w:r>
      <w:hyperlink r:id="rId6916">
        <w:r>
          <w:rPr>
            <w:color w:val="0000EE"/>
            <w:u w:val="single"/>
          </w:rPr>
          <w:t>1 M 4.36–59</w:t>
        </w:r>
      </w:hyperlink>
      <w:r>
        <w:t>). Par la suite, Jonathan et Simon (autres fils de Mattathias) poursuivront la lutte jusqu'à ce que l'indépendance soit acquise en 142 av. J.‑C. ; cela a été possible en grande partie parce qu'ils ont su tirer parti de l'affaiblissement croissant des dirigeants syriens et de la concurrence qui fait rage pour s'accaparer le trône royal.</w:t>
      </w:r>
    </w:p>
    <w:p>
      <w:r/>
      <w:r>
        <w:t>Simon dirige l'État juif jusqu'à son assassinat en 134 av. J.‑C., lorsque son fils Jean Hyrcan Ier (134–104 av. J.‑C.) prend le relais. Jean Hyrcan combattra avec succès à l'est, au nord et au sud, gagnant des terres en Transjordanie, capturant Sichem et le temple samaritain sur le mont Garizim, et subjuguant les Iduméens au sud, les forçant à adopter le judaïsme. Son fils Aristobule régnera pendant environ un an seulement (104–103 av. J.‑C.), mais il ajoutera une partie de la Galilée au royaume. À sa mort, sa veuve épousera son frère Alexandre Jannée (103–76 av. J.‑C.). Jannée mènera des actions militaires presque incessantes pendant son règne, et au moment de sa mort, il avait presque restauré le royaume de Salomon.</w:t>
      </w:r>
    </w:p>
    <w:p>
      <w:r/>
      <w:r>
        <w:t>À la mort de Jannée, Alexandra, veuve de deux rois, monte sur le trône (76–67 av. J.‑C.) et son fils aîné, Hyrcan II, devient grand prêtre. Son règne sera paisible et prospère, mais à sa mort, ses fils commenceront à se quereller. Leurs appels à Pompée, qui menait une campagne dans la région de la Méditerranée orientale, seront responsables de l'ingérence romaine dans la région et de la conquête de la Palestine en 63 av. J.‑C.</w:t>
      </w:r>
    </w:p>
    <w:p>
      <w:pPr>
        <w:pStyle w:val="Heading3"/>
      </w:pPr>
      <w:r>
        <w:t>La Période romaine</w:t>
      </w:r>
    </w:p>
    <w:p>
      <w:r/>
      <w:r>
        <w:t>Après que les Romains prennent le contrôle de la Palestine, Hyrcan II sera confirmé comme grand prêtre et nommé ethnarque, ou dirigeant politique (63–40 av. J.‑C.). Cependant, Antipater, père d'Hérode le Grand, était le véritable pouvoir derrière le trône, et pendant de nombreuses années, Hyrcanus sera incapable, en pratique, de gouverner en raison de la confusion des guerres civiles romaines. Antipater, loyal à Rome, veillait à ce que les politiques romaines soient appliquées ; il gagnera la faveur de Jules César envers les Juifs de Palestine et de la Diaspora.</w:t>
      </w:r>
    </w:p>
    <w:p>
      <w:r/>
      <w:r>
        <w:t>Avec le soutien de Marc Antoine, Hérode réussit à se faire nommer roi de Judée par le Sénat romain en 40 av. J.‑C. Cependant, une invasion parthe de Syrie et la haine des Juifs envers les Romains permettront à Antigone II, dernier roi de la famille des Maccabées, de régner pendant trois ans (40–37 av. J.‑C.). Hérode montera sur son trône en 37 et régnera jusqu'en 4 av. J.‑C. En tant que roi allié, Hérode se révélera être un excellent dirigeant du point de vue romain et gagna le titre de « Grand ». Il apportera un certain ordre aux régions à l'orient du Jourdain et permet l'organisation de la province romaine d'Arabie. Il promeut également les plans culturels d'Auguste pour le développement d'une civilisation gréco-romaine dans tout l'Empire.</w:t>
      </w:r>
    </w:p>
    <w:p>
      <w:r/>
      <w:r>
        <w:t>Hérode admirait la culture grecque et contribuera à des projets de construction à Rhodes, Antioche, Damas, Athènes et à d'autres endroits au-delà de la Palestine. Dans le territoire palestinien, il reconstruira Samarie et la nommera Sebaste en hommage à Auguste (Sebastos est le terme grec pour « Auguste ») et construira également le grand port de Césarée. Aussi grande, sans doute, que l'île de Manhattan, celle-ci deviendra la capitale de la Palestine romaine. Parmi ses nombreux autres projets de construction, la rénovation du temple à Jérusalem était la plus célèbre. Commencée en l'an 20 av. J.‑C., elle n'a été achevée que quelques années avant sa destruction en l'an 70 apr. J.‑C.</w:t>
      </w:r>
    </w:p>
    <w:p>
      <w:r/>
      <w:r>
        <w:t>La splendeur matérielle du règne d'Hérode ne gagnera cependant pas l'affection ni le soutien des Juifs. Il ne réussira pas non plus à instaurer la paix et l'harmonie dans sa famille, où se produisaient périodiquement des trahisons, des infidélités et des meurtres. Il était préoccupé par toute menace à son règne et réprimait sévèrement de telles menaces en vue de les éliminer, comme en témoigne son massacre des enfants à Bethléem après la naissance de Christ.</w:t>
      </w:r>
    </w:p>
    <w:p>
      <w:r/>
      <w:r>
        <w:t>Hérode finit par contrôler l'Idumée, la Judée, la Samarie, la Galilée, la Pérée et la région au nord-est de la mer de Galilée. Selon son dernier testament, son fils Archélaüs devait gouverner l'Idumée, la Judée et la Samarie ; Antipas, la Galilée et la Pérée ; et Philippe, la région au nord-est de la mer de Galilée. Archélaüs sera déposé en l'an 6 apr. J.‑C., et son territoire deviendra une province romaine (6–41 apr. J.‑C.) gouvernée par des officiels nommés directement par Rome. Le plus connu d'entre eux était Ponce Pilate (26–36 apr. J.‑C.), qui a ordonné la crucifixion de Jésus. Antipas aura plus de succès et construit une nouvelle capitale à Tibériade. Cependant, il se tombera dans les mauvaises faveurs de l'empereur en 39 apr. J.‑C. et sera déposé. Philippe était le plus efficace des trois et régnera jusqu'à sa mort en 34 apr. J.‑C. Les terres de Philippe seront plus tard données à Hérode Agrippa Ier en l'an 37 apr. J.‑C. ; les possessions d'Antipas seront ensuite ajoutées en l'an 39 apr. J.‑C. En l'an 41, Agrippa recevra également la Samarie, la Judée et l'Idumée.</w:t>
      </w:r>
    </w:p>
    <w:p>
      <w:r/>
      <w:r>
        <w:t>Hérode Agrippa Ier (37–44 apr. J.‑C.) était l'héritier des Maccabées (par sa grand-mère Mariamne, première épouse d'Hérode le Grand), et pour cette raison, il bénéficiait du soutien des Juifs patriotes et des Pharisiens en raison de son respect des ordonnances divines. Cependant, lorsqu'il fera construire un nouveau mur nord pour Jérusalem et s'impliquera dans les affaires étrangères, il éveillera les soupçons des Romains. À sa mort en 44 apr. J.‑C., ils transformeront le royaume en province romaine.</w:t>
      </w:r>
    </w:p>
    <w:p>
      <w:r/>
      <w:r>
        <w:t>Comme il ressort clairement des Évangiles, plusieurs sectes avaient émergé en Palestine à l'époque romaine et étaient actives au cours du premier siècle. Les Zélotes s'opposaient à la domination romaine et prônaient la rébellion armée. Les Hérodiens soutenaient la famille hérodiade et le pouvoir romain. Les Pharisiens étaient fanatiquement dévoués à la loi et étaient des surnaturalistes d'orientation théologique. Ils étaient quelque peu enclins à soutenir Rome si la liberté religieuse leur était accordée, et ils dominaient les synagogues du pays. Les Sadducéens étaient antisurnaturalistes, avaient tendance à collaborer avec le régime en place et dominaient le temple. De manière générale, la littérature de la période intertestamentaire et la mentalité populaire de l'époque avaient tendance à voir le Messie comme un libérateur politique qui délivrerait son peuple de la domination étrangère et établirait un nouveau royaume indépendant.</w:t>
      </w:r>
    </w:p>
    <w:p>
      <w:r/>
      <w:r>
        <w:t>Les préfets romains gouverneront la Palestine de 44 à 66 apr. J.‑C. Ils avaient le don d'offenser les scrupules religieux des Juifs et de les aliéner de diverses manières. Avec Félix (52–60 apr. J.‑C.), une tension constante débute entre les Juifs et les Romains, menant à la première révolte juive (66–70 apr. J.‑C.). Alors que Paul était emprisonné à Césarée (</w:t>
      </w:r>
      <w:hyperlink r:id="rId6917">
        <w:r>
          <w:rPr>
            <w:color w:val="0000EE"/>
            <w:u w:val="single"/>
          </w:rPr>
          <w:t>Ac 23.23–24.27</w:t>
        </w:r>
      </w:hyperlink>
      <w:r>
        <w:t xml:space="preserve">) vers 58–60 apr. J.‑C., des émeutes éclatent entre Juifs et Gentils. Festus (60–62 apr. J.‑C. ; </w:t>
      </w:r>
      <w:hyperlink r:id="rId6918">
        <w:r>
          <w:rPr>
            <w:color w:val="0000EE"/>
            <w:u w:val="single"/>
          </w:rPr>
          <w:t>Ac 25</w:t>
        </w:r>
      </w:hyperlink>
      <w:r>
        <w:t>) était un administrateur compétent, mais la situation était presque hors de contrôle. Après sa mort en fonction, une quasi-anarchie se manifestera jusqu'à l'arrivée de son successeur, Albinus (62–64 apr. J.‑C.). Totalement incompétent et malhonnête, Albinus sera rappelé en 64 et remplacé par Florus (64–66 apr. J.‑C.). Florus sera pire encore, recourant au vol et à la corruption ouverts jusqu'à ce qu'il n'y ait plus de sécurité ni de justice dans le pays. Les Juifs finiront par trouver la situation insupportable.</w:t>
      </w:r>
    </w:p>
    <w:p>
      <w:r/>
      <w:r>
        <w:t>L'étincelle qui mettra le feu aux poudres de la rébellion sera un acte antisémite de la population hellénistique de Césarée en 66 apr. J.‑C. Très vite, des émeutes se propagent dans de nombreuses villes, et les garnisons romaines seront massacrées à plusieurs endroits. Cependant, il n'y avait pas d'unité réelle parmi les Juifs, et à Jérusalem des bandes armées de Juifs se combattront pour la suprématie. Vespasien sera choisi pour commander une armée romaine d'environ six cent mille hommes mobilisés pour éteindre l'insurrection. Il soumettra la majeure partie de la Palestine avant d'être élevé au trône impérial en 69 apr. J.‑C. (après la mort de Néron), et il laissera son fils Titus de charger de terminer les opérations. En août 70 apr. J.‑C., les murs de Jérusalem seront percés, de nombreuses personnes massacrées, et la ville ainsi que le temple rasés. Massada résistera jusqu'en 73 apr. J.‑C. La Palestine est ainsi écrasée par la puissance romaine. Les pertes humaines et matérielles étaient incalculables et indescriptibles.</w:t>
      </w:r>
    </w:p>
    <w:p>
      <w:r/>
      <w:r>
        <w:t>À deux autres occasions, les Juifs seront destinés à combattre de manière désastreuse contre les Romains. Sous le règne de Trajan, une rébellion juive éclate en Cyrénaïque en l'an 115 apr. J.‑C. et se propagea rapidement à Chypre, en Égypte, en Palestine et en Mésopotamie. Cela résultait initialement de l'agitation entre les Juifs et leurs voisins hellénistiques, mais se transforma en une défiance envers l'autorité romaine. Cela était particulièrement vrai après les succès des Parthes à la frontière orientale de Rome, lorsqu'il un certain espoir de succès pour se libérer du joug romain semblait possible. Partout où les Juifs prenaient le dessus, ils perpétraient des massacres, et la population non-sémite ripostait de la même manière. Trajan réprimera impitoyablement les rebelles et rétablit l'ordre partout sauf en Égypte ; son successeur, Hadrien, sera chargé de finir le travail.</w:t>
      </w:r>
    </w:p>
    <w:p>
      <w:r/>
      <w:r>
        <w:t>Cependant Hadrien devra faire face à une nouvelle rébellion qu'il avait lui-même provoquée, en raison de sa loi interdisant la circoncision (qu'il considérait comme inhumaine) et de sa décision, en 130 apr. J.‑C., de reconstruire Jérusalem en tant qu'Aelia Capitolina et d'ériger un temple à Jupiter sur le site du temple de Yahvé. Ce dernier acte profanerait non seulement le site du temple, mais empêcherait également toute reconstruction du temple juif.</w:t>
      </w:r>
    </w:p>
    <w:p>
      <w:r/>
      <w:r>
        <w:t>Le chef de cette deuxième révolte juive était Siméon, prince d'Israël, appelé Bar-Kochba (« Fils de l'Étoile »). Les deux camps combattront avec une telle férocité pendant plus de trois ans (132–135 apr. J.‑C.) que la population de Judée sera presque exterminée. Jérusalem sera reconstruite en tant que colonie romaine, et les Juifs y seront interdits d'entrée sous peine de mort. Jusqu'au quatrième siècle, ils n'étaient autorisés à entrer qu'une fois par an, à l'anniversaire de la destruction du temple par Nebucadnetsar. Après la révolte de Bar-Kochba, le judaïsme s'est de plus en plus replié sur la citadelle de la loi écrite et orale, se séparant ainsi des Gentils.</w:t>
      </w:r>
    </w:p>
    <w:p>
      <w:r/>
      <w:r>
        <w:rPr>
          <w:i/>
        </w:rPr>
        <w:t>Voir aussi</w:t>
      </w:r>
      <w:r>
        <w:t xml:space="preserve"> </w:t>
      </w:r>
      <w:r>
        <w:t>Abraham</w:t>
      </w:r>
      <w:r>
        <w:t xml:space="preserve"> ; </w:t>
      </w:r>
      <w:r>
        <w:t>Chronologie de la Bible (Ancien Testament)</w:t>
      </w:r>
      <w:r>
        <w:t xml:space="preserve"> ; </w:t>
      </w:r>
      <w:r>
        <w:t>Conquête et Répartition de la Terre</w:t>
      </w:r>
      <w:r>
        <w:t xml:space="preserve"> ; </w:t>
      </w:r>
      <w:r>
        <w:t>David</w:t>
      </w:r>
      <w:r>
        <w:t xml:space="preserve"> ; </w:t>
      </w:r>
      <w:r>
        <w:t>Diaspora des Juifs</w:t>
      </w:r>
      <w:r>
        <w:t xml:space="preserve"> ; </w:t>
      </w:r>
      <w:r>
        <w:t>L'Exode</w:t>
      </w:r>
      <w:r>
        <w:t xml:space="preserve"> ; </w:t>
      </w:r>
      <w:r>
        <w:t>Première Révolte Juive</w:t>
      </w:r>
      <w:r>
        <w:t xml:space="preserve"> ; </w:t>
      </w:r>
      <w:r>
        <w:t>Juif</w:t>
      </w:r>
      <w:r>
        <w:t xml:space="preserve"> ; </w:t>
      </w:r>
      <w:r>
        <w:t>Judaïsme</w:t>
      </w:r>
      <w:r>
        <w:t xml:space="preserve"> ; </w:t>
      </w:r>
      <w:r>
        <w:t>Moïse</w:t>
      </w:r>
      <w:r>
        <w:t xml:space="preserve"> ; </w:t>
      </w:r>
      <w:r>
        <w:t>Période des Patriarches</w:t>
      </w:r>
      <w:r>
        <w:t xml:space="preserve"> ; </w:t>
      </w:r>
      <w:r>
        <w:t>Saül n°2</w:t>
      </w:r>
      <w:r>
        <w:t xml:space="preserve"> ; </w:t>
      </w:r>
      <w:r>
        <w:t>Salomon</w:t>
      </w:r>
      <w:r>
        <w:t xml:space="preserve"> ; </w:t>
      </w:r>
      <w:r>
        <w:t>Période Postexilique</w:t>
      </w:r>
      <w:r>
        <w:t xml:space="preserve"> ; </w:t>
      </w:r>
      <w:r>
        <w:t>Errance dans le Désert</w:t>
      </w:r>
      <w:r>
        <w:t>.</w:t>
      </w:r>
      <w:r/>
      <w:r/>
    </w:p>
    <w:p>
      <w:r/>
    </w:p>
    <w:p>
      <w:pPr>
        <w:pStyle w:val="Heading2"/>
      </w:pPr>
      <w:r>
        <w:t>Israélite</w:t>
      </w:r>
      <w:r/>
    </w:p>
    <w:p>
      <w:r/>
      <w:r>
        <w:t>Un descendant des douze fils d'Israël.</w:t>
      </w:r>
    </w:p>
    <w:p>
      <w:r/>
      <w:r>
        <w:t>« Israël » est le nom que Dieu a donné à Jacob (</w:t>
      </w:r>
      <w:hyperlink r:id="rId3937">
        <w:r>
          <w:rPr>
            <w:color w:val="0000EE"/>
            <w:u w:val="single"/>
          </w:rPr>
          <w:t>Gn 32.28</w:t>
        </w:r>
      </w:hyperlink>
      <w:r>
        <w:t>). Les Israélites se distinguaient de deux autres groupes familiaux issus d'Abraham. Un groupe était celui des Ismaélites, descendants de la servante d'Abraham, Agar, et de son fils Ismaël. L'autre groupe était celui des Édomites, descendants du frère de Jacob, Ésaü. Les Israélites ont vécu en Égypte depuis l'époque de Joseph jusqu'à l'exode. Dieu les a ensuite conduits en Canaan pour accomplir sa promesse à Abraham (</w:t>
      </w:r>
      <w:hyperlink r:id="rId3053">
        <w:r>
          <w:rPr>
            <w:color w:val="0000EE"/>
            <w:u w:val="single"/>
          </w:rPr>
          <w:t>Gn 17.8</w:t>
        </w:r>
      </w:hyperlink>
      <w:r>
        <w:t>).</w:t>
      </w:r>
    </w:p>
    <w:p>
      <w:r/>
      <w:r>
        <w:t>Dieu a conduit les Israélites hors d'Égypte, à travers le désert. Il les a ensuite menés dans le pays de Canaan, comme il le leur avait promis. Ils ont été gouvernés par des juges, des rois et des conquérants issus d'autres pays. En 722 av. J.‑C., l'Assyrie a conquis le royaume du Nord. Israël est ensuite devenu une partie de cet empire.</w:t>
      </w:r>
    </w:p>
    <w:p>
      <w:r/>
      <w:r>
        <w:t>Après cette période, « Israël » se réfèrera aux membres des tribus du sud, Juda et Benjamin. Un « Israélite » appartenait au reste fidèle de la nation d'alliance d'Israël. Ceci était vrai à la fois dans un sens religieux et politique.</w:t>
      </w:r>
    </w:p>
    <w:p>
      <w:r/>
      <w:r>
        <w:rPr>
          <w:i/>
        </w:rPr>
        <w:t>Voir aussi</w:t>
      </w:r>
      <w:r>
        <w:t xml:space="preserve"> </w:t>
      </w:r>
      <w:r>
        <w:t>Israël, Histoire d'</w:t>
      </w:r>
      <w:r>
        <w:t xml:space="preserve"> ; </w:t>
      </w:r>
      <w:r>
        <w:t>Juif</w:t>
      </w:r>
      <w:r>
        <w:t xml:space="preserve"> ; </w:t>
      </w:r>
      <w:r>
        <w:t>Judaïsme</w:t>
      </w:r>
      <w:r>
        <w:t>.</w:t>
      </w:r>
      <w:r/>
      <w:r/>
    </w:p>
    <w:p>
      <w:r/>
    </w:p>
    <w:p>
      <w:pPr>
        <w:pStyle w:val="Heading2"/>
      </w:pPr>
      <w:r>
        <w:t>Issacar (Personne)</w:t>
      </w:r>
      <w:r/>
    </w:p>
    <w:p>
      <w:r/>
      <w:r>
        <w:t>1. Neuvième fils de Jacob, le cinquième de sa femme Léa (</w:t>
      </w:r>
      <w:hyperlink r:id="rId6919">
        <w:r>
          <w:rPr>
            <w:color w:val="0000EE"/>
            <w:u w:val="single"/>
          </w:rPr>
          <w:t>Gn 30.17–18</w:t>
        </w:r>
      </w:hyperlink>
      <w:r>
        <w:t xml:space="preserve">) ; son nom signifie peut-être « récompense ». Jacob, dans son dernier message à ses douze fils, dit : « </w:t>
      </w:r>
      <w:r>
        <w:t>Issacar est un âne robuste, Qui se couche dans les étables</w:t>
      </w:r>
      <w:r>
        <w:t xml:space="preserve"> » (</w:t>
      </w:r>
      <w:hyperlink r:id="rId6201">
        <w:r>
          <w:rPr>
            <w:color w:val="0000EE"/>
            <w:u w:val="single"/>
          </w:rPr>
          <w:t>49.14</w:t>
        </w:r>
      </w:hyperlink>
      <w:r>
        <w:t>) ; l'image suggérée est celle d'un âne chargé qui refuse de déplacer son fardeau, un homme paresseux qui ne veut pas faire sa part du travail. On sait peu de choses sur Issacar, sauf ce qu'il a fait avec les autres fils d'Israël. Il avait quatre fils (</w:t>
      </w:r>
      <w:hyperlink r:id="rId6920">
        <w:r>
          <w:rPr>
            <w:color w:val="0000EE"/>
            <w:u w:val="single"/>
          </w:rPr>
          <w:t>46.13</w:t>
        </w:r>
      </w:hyperlink>
      <w:r>
        <w:t>), qui dirigeaient des clans dans la tribu (</w:t>
      </w:r>
      <w:hyperlink r:id="rId6921">
        <w:r>
          <w:rPr>
            <w:color w:val="0000EE"/>
            <w:u w:val="single"/>
          </w:rPr>
          <w:t>1Ch 7.1–5</w:t>
        </w:r>
      </w:hyperlink>
      <w:r>
        <w:t xml:space="preserve">). Sa famille est allée avec Jacob en Égypte, où ils sont morts (bien que les restes d'Issacar aient été ensuite déplacés à Sichem avec les autres douze patriarches ; voir </w:t>
      </w:r>
      <w:hyperlink r:id="rId6411">
        <w:r>
          <w:rPr>
            <w:color w:val="0000EE"/>
            <w:u w:val="single"/>
          </w:rPr>
          <w:t>Ac 7.16</w:t>
        </w:r>
      </w:hyperlink>
      <w:r>
        <w:t>).</w:t>
      </w:r>
    </w:p>
    <w:p>
      <w:r/>
      <w:r>
        <w:t>Les descendants d'Issacar étaient au nombre de 54 400 lors du premier recensement (</w:t>
      </w:r>
      <w:hyperlink r:id="rId6922">
        <w:r>
          <w:rPr>
            <w:color w:val="0000EE"/>
            <w:u w:val="single"/>
          </w:rPr>
          <w:t>Nb 1.29</w:t>
        </w:r>
      </w:hyperlink>
      <w:r>
        <w:t>), augmentant à 64 300 lors du second (</w:t>
      </w:r>
      <w:hyperlink r:id="rId6923">
        <w:r>
          <w:rPr>
            <w:color w:val="0000EE"/>
            <w:u w:val="single"/>
          </w:rPr>
          <w:t>26.25</w:t>
        </w:r>
      </w:hyperlink>
      <w:r>
        <w:t>), et à 87 000 pendant le règne de David (</w:t>
      </w:r>
      <w:hyperlink r:id="rId6924">
        <w:r>
          <w:rPr>
            <w:color w:val="0000EE"/>
            <w:u w:val="single"/>
          </w:rPr>
          <w:t>1Ch 7.5</w:t>
        </w:r>
      </w:hyperlink>
      <w:r>
        <w:t>). Issacar était la principale tribu impliquée dans le combat dirigé par Débora, elle-même membre de la tribu (</w:t>
      </w:r>
      <w:hyperlink r:id="rId6925">
        <w:r>
          <w:rPr>
            <w:color w:val="0000EE"/>
            <w:u w:val="single"/>
          </w:rPr>
          <w:t>Jg 5.15</w:t>
        </w:r>
      </w:hyperlink>
      <w:r>
        <w:t>). À l'époque de David, il y avait des hommes de la tribu d'Issacar qui comprenaient ce qu'Israël devait faire à la guerre (</w:t>
      </w:r>
      <w:hyperlink r:id="rId6926">
        <w:r>
          <w:rPr>
            <w:color w:val="0000EE"/>
            <w:u w:val="single"/>
          </w:rPr>
          <w:t>1Ch 12.32</w:t>
        </w:r>
      </w:hyperlink>
      <w:r>
        <w:t>). Ces hommes soutenaient David comme roi pour remplacer Saül.</w:t>
      </w:r>
    </w:p>
    <w:p>
      <w:r/>
      <w:r>
        <w:t>Issacar a reçu le quatrième lot de terre après que l'arche a été emmenée à Silo (</w:t>
      </w:r>
      <w:hyperlink r:id="rId6927">
        <w:r>
          <w:rPr>
            <w:color w:val="0000EE"/>
            <w:u w:val="single"/>
          </w:rPr>
          <w:t>Jos 19.17</w:t>
        </w:r>
      </w:hyperlink>
      <w:r>
        <w:t>). Cela comprenait les villes de Jizreel, Sunem et En-Gannim, et se situait entre les montagnes de Gilboa et Tabor. Leur lotissement était bordé au sud et à l'ouest par la tribu de Manassé, au nord par Zabulon et Nephthali, et à l'est par le fleuve du Jourdain. Ce territoire était en grande partie une plaine fertile et était souvent menacé par les Cananéens voisins ainsi que par des envahisseurs étrangers.</w:t>
      </w:r>
    </w:p>
    <w:p>
      <w:r/>
      <w:r>
        <w:t>2. Fils d'Obed-Édom, portier lévite pendant le règne de David (</w:t>
      </w:r>
      <w:hyperlink r:id="rId6928">
        <w:r>
          <w:rPr>
            <w:color w:val="0000EE"/>
            <w:u w:val="single"/>
          </w:rPr>
          <w:t>1Ch 26.5</w:t>
        </w:r>
      </w:hyperlink>
      <w:r>
        <w:t>).</w:t>
      </w:r>
      <w:r/>
      <w:r/>
    </w:p>
    <w:p>
      <w:r/>
    </w:p>
    <w:p>
      <w:pPr>
        <w:pStyle w:val="Heading2"/>
      </w:pPr>
      <w:r>
        <w:t>Italie</w:t>
      </w:r>
      <w:r/>
    </w:p>
    <w:p>
      <w:r/>
      <w:r>
        <w:t>Péninsule, en forme de botte, située entre les mers Tyrrhénienne et Adriatique. Des hauts plateaux et deux grandes chaînes de montagnes (les Alpes, qui forment la frontière nord, et les Apennins, qui constituent l'épine dorsale de la péninsule) occupent 77 % du territoire. Les plaines, limitées à la vallée du fleuve Pô, couvrent les 23 % restants.</w:t>
      </w:r>
    </w:p>
    <w:p>
      <w:r/>
      <w:r>
        <w:t>Les premières traces de l'histoire de la région se trouvent dans les artefacts des cultures abbevillienne et néandertalienne découverts dans de nombreuses zones, y compris le site de Rome. Avec l'avènement de l'agriculture (6000 av. J.‑C.), la population a augmenté rapidement. Vers 3000 av. J.‑C., de grands groupes d'agriculteurs s'étaient installés dans le sud de l'Italie le long de la côte méditerranéenne et dans le nord de l'Italie le long de la plaine du Pô. Au cours du troisième millénaire av. J.‑C., une culture majeure s'est développée dans la partie centrale de la péninsule, influencée par les civilisations minoenne et mycénienne, et caractérisée par l'agriculture, l'élevage et le travail du bronze.</w:t>
      </w:r>
    </w:p>
    <w:p>
      <w:r/>
      <w:r>
        <w:t>Au cours du deuxième millénaire av. J.‑C., une invasion de tribus indo-européennes a transformé la culture de la péninsule. Chaque région a été nommée d'après la tribu qui l'habitait. Parmi les plus importantes de ces tribus figuraient les Latins, qui se sont installés dans la vallée du Tibre, une région qui a pris le nom de Latium. Selon l'historien Antiochus de Syracuse (5e siècle av. J.‑C.), c'est également à cette époque (1300 avant J.‑C.) que le roi Italos a régné sur la partie sud-ouest de la péninsule. Cette région a pris son nom, et cette dénomination, au cours du millénaire suivant, s'est étendue vers le nord, de sorte qu'à l'époque d'Auguste (27 av. J.‑C.–14 apr. J.‑C.), l'ensemble de la péninsule soit appelée « Italie ».</w:t>
      </w:r>
    </w:p>
    <w:p>
      <w:r/>
      <w:r>
        <w:t>Vers la fin du 8e siècle av. J.‑C., les Étrusques, immigrants d'Asie Mineure, envahiront la péninsule et organiseront les tribus italiques moins civilisées en cités-États dominées par les Étrusques. Cela entraîna un chaos politique. Les guerres contre les colonies grecques, les guerres pour se libérer de la domination étrusque et les guerres entre cités-États marqueront les cinq siècles suivants. La cité-État qui tirera le plus de profit de ces troubles sera Rome. En 220 av. J.‑C., Rome avait conquis toute la péninsule et uni toute l'Italie au sud de la vallée du Pô sous une seule autorité. Après une grande révolte (90–88 av. J.‑C.), les Italiens de toute la péninsule obtiendront les droits de citoyenneté romaine, et en 49 av. J.‑C., Jules César étendra ces droits aux habitants de la vallée du Pô. Ainsi, à l'époque du Nouveau Testament, l'Italie avait, pour l'ensemble, pris sa forme actuelle.</w:t>
      </w:r>
    </w:p>
    <w:p>
      <w:r/>
      <w:r>
        <w:t>Le mot « Italie » apparaît trois fois dans le Nouveau Testament. Paul aura l'occasion de rencontrer Priscille et Aquilas, qui étaient récemment sortis d'Italie parce que Claude avait expulsé les Juifs de Rome (</w:t>
      </w:r>
      <w:hyperlink r:id="rId1614">
        <w:r>
          <w:rPr>
            <w:color w:val="0000EE"/>
            <w:u w:val="single"/>
          </w:rPr>
          <w:t>Ac 18.2</w:t>
        </w:r>
      </w:hyperlink>
      <w:r>
        <w:t>). L'Italie est mentionnée comme destination de Paul après son appel à César (</w:t>
      </w:r>
      <w:hyperlink r:id="rId6929">
        <w:r>
          <w:rPr>
            <w:color w:val="0000EE"/>
            <w:u w:val="single"/>
          </w:rPr>
          <w:t>Ac 27.1, 6</w:t>
        </w:r>
      </w:hyperlink>
      <w:r>
        <w:t>). L'auteur de la Lettre aux Hébreux envoie des salutations à ses lecteurs de la part de « ceux [qui viennent] d'Italie » (</w:t>
      </w:r>
      <w:hyperlink r:id="rId6269">
        <w:r>
          <w:rPr>
            <w:color w:val="0000EE"/>
            <w:u w:val="single"/>
          </w:rPr>
          <w:t>Hé 13.24</w:t>
        </w:r>
      </w:hyperlink>
      <w:r>
        <w:t>).</w:t>
      </w:r>
    </w:p>
    <w:p>
      <w:r/>
      <w:r>
        <w:rPr>
          <w:i/>
        </w:rPr>
        <w:t>Voir aussi</w:t>
      </w:r>
      <w:r>
        <w:t xml:space="preserve"> </w:t>
      </w:r>
      <w:r>
        <w:t>Césars, Les</w:t>
      </w:r>
      <w:r>
        <w:t xml:space="preserve"> ; </w:t>
      </w:r>
      <w:r>
        <w:t>Rome, Ville</w:t>
      </w:r>
      <w:r>
        <w:t>.</w:t>
      </w:r>
      <w:r/>
      <w:r/>
    </w:p>
    <w:p>
      <w:r/>
    </w:p>
    <w:p>
      <w:pPr>
        <w:pStyle w:val="Heading2"/>
      </w:pPr>
      <w:r>
        <w:t>Iturée, Ituréens</w:t>
      </w:r>
      <w:r/>
    </w:p>
    <w:p>
      <w:r/>
      <w:r>
        <w:t>L'Iturée était une petite région près de la Trachonitide. Les deux zones étaient gouvernées par Philippe, frère du roi Hérode le Grand, à l'époque où Tibère était empereur romain (</w:t>
      </w:r>
      <w:hyperlink r:id="rId2222">
        <w:r>
          <w:rPr>
            <w:color w:val="0000EE"/>
            <w:u w:val="single"/>
          </w:rPr>
          <w:t>Lc 3.1</w:t>
        </w:r>
      </w:hyperlink>
      <w:r>
        <w:t>).</w:t>
      </w:r>
    </w:p>
    <w:p>
      <w:r/>
      <w:r>
        <w:t>On suppose que l'Iturée se trouvait au nord-est de la mer de Galilée, dans la région du mont Hermon. Cependant, son emplacement et ses frontières sont disputés. Le nom provient presque certainement de Jethur, un des fils d'Ismaël (</w:t>
      </w:r>
      <w:hyperlink r:id="rId6167">
        <w:r>
          <w:rPr>
            <w:color w:val="0000EE"/>
            <w:u w:val="single"/>
          </w:rPr>
          <w:t>Gn 25.15</w:t>
        </w:r>
      </w:hyperlink>
      <w:r>
        <w:t>). Ses descendants faisaient partie de ceux conquis par les Israélites à l'est du Jourdain (</w:t>
      </w:r>
      <w:hyperlink r:id="rId6930">
        <w:r>
          <w:rPr>
            <w:color w:val="0000EE"/>
            <w:u w:val="single"/>
          </w:rPr>
          <w:t>1Ch 5.19–20</w:t>
        </w:r>
      </w:hyperlink>
      <w:r>
        <w:t>).</w:t>
      </w:r>
    </w:p>
    <w:p>
      <w:r/>
      <w:r>
        <w:t>Pendant de nombreuses années après cela, nous ne trouvons aucune mention des Ituréens dans les archives historiques. Puis, vers 105 av. J.‑C., l'historien juif Josèphe relate leur défaite par le souverain juif Aristobule. Après cette défaite, de nombreux Ituréens devront faire un choix difficile : ils pouvaient soit suivre les coutumes religieuses juives et rester chez eux, soit quitter leur patrie.</w:t>
      </w:r>
    </w:p>
    <w:p>
      <w:r/>
      <w:r>
        <w:t>Les auteurs classiques mentionnent souvent les Ituréens, qu'ils appellent parfois Syriens ou Arabes. C'étaient des archers habiles, avec les tendances prédatrices des groupes qui ne pouvaient ou ne voulaient pas s'établir dans une région pour longtemps. En raison de cela, il n'est pas surprenant que nous en sachions plus sur les Ituréens que sur l'Iturée.</w:t>
      </w:r>
    </w:p>
    <w:p>
      <w:r/>
      <w:r>
        <w:t>Strabon indique qu'ils vivaient dans une région montagneuse. Dion Cassius nous informe plus tard qu'ils avaient un roi. Leur histoire est difficile à comprendre en raison des divisions au sein de l'Empire romain qui les ont affectés. À la fin du 1er siècle apr. J.‑C., de nombreux Ituréens se trouveront sous la domination provinciale de la Syrie.</w:t>
      </w:r>
    </w:p>
    <w:p>
      <w:r/>
      <w:r>
        <w:t>Il est donc plus facile de parler des personnes que du lieu. Certains érudits soutiennent que Luc n'aurait pas pu utiliser le nom « Iturée », disant que cette forme était inconnue jusqu'à trois siècles plus tard. Ils disent que la forme adjectivale convient mieux dans ce cas. Cela soulève une autre question : ce territoire ituréen faisait-il partie de la tétrarchie de Philippe ? Luc aurait-il pu faire une erreur et anticiper un regroupement régional ultérieur ? Josèphe énumère les parties de la tétrarchie de Philippe. Il n'inclut pas l'Iturée.</w:t>
      </w:r>
    </w:p>
    <w:p>
      <w:r/>
      <w:r>
        <w:t>Trois faits sont clairs :</w:t>
      </w:r>
    </w:p>
    <w:p>
      <w:pPr>
        <w:pStyle w:val="ListNumber"/>
        <w:spacing w:line="240" w:lineRule="auto"/>
        <w:ind w:left="720"/>
      </w:pPr>
      <w:r/>
      <w:r>
        <w:t>Il y a une certaine souplesse et un chevauchement dans les descriptions des frontières territoriales.</w:t>
      </w:r>
    </w:p>
    <w:p>
      <w:pPr>
        <w:pStyle w:val="ListNumber"/>
        <w:spacing w:line="240" w:lineRule="auto"/>
        <w:ind w:left="720"/>
      </w:pPr>
      <w:r/>
      <w:r>
        <w:t>Il n'y a pas suffisamment de données pour tirer des conclusions précises sur l'Iturée.</w:t>
      </w:r>
    </w:p>
    <w:p>
      <w:pPr>
        <w:pStyle w:val="ListNumber"/>
        <w:spacing w:line="240" w:lineRule="auto"/>
        <w:ind w:left="720"/>
      </w:pPr>
      <w:r/>
      <w:r>
        <w:t>Les preuves sont claires dans d'autres parties des Écritures que Luc est un auteur attentif et digne de confiance.</w:t>
      </w:r>
      <w:r/>
      <w:r/>
    </w:p>
    <w:p>
      <w:r/>
    </w:p>
    <w:p>
      <w:pPr>
        <w:pStyle w:val="Heading2"/>
      </w:pPr>
      <w:r>
        <w:t>Jaakan</w:t>
      </w:r>
      <w:r/>
    </w:p>
    <w:p>
      <w:r/>
      <w:r>
        <w:t>Descendant d'Ésaü et fils d'</w:t>
      </w:r>
      <w:r>
        <w:t>Étser</w:t>
      </w:r>
      <w:r>
        <w:t xml:space="preserve"> le Horien (</w:t>
      </w:r>
      <w:hyperlink r:id="rId1127">
        <w:r>
          <w:rPr>
            <w:color w:val="0000EE"/>
            <w:u w:val="single"/>
          </w:rPr>
          <w:t>1Ch 1.42</w:t>
        </w:r>
      </w:hyperlink>
      <w:r>
        <w:t xml:space="preserve">) ; également appelé Akan dans </w:t>
      </w:r>
      <w:hyperlink r:id="rId522">
        <w:r>
          <w:rPr>
            <w:color w:val="0000EE"/>
            <w:u w:val="single"/>
          </w:rPr>
          <w:t>Genèse 36.27</w:t>
        </w:r>
      </w:hyperlink>
      <w:r>
        <w:t xml:space="preserve">. </w:t>
      </w:r>
      <w:r>
        <w:rPr>
          <w:i/>
        </w:rPr>
        <w:t>Voir</w:t>
      </w:r>
      <w:r>
        <w:t xml:space="preserve"> </w:t>
      </w:r>
      <w:r>
        <w:t>Beéroth Bené-Jaakan</w:t>
      </w:r>
      <w:r>
        <w:t>.</w:t>
      </w:r>
      <w:r/>
      <w:r/>
    </w:p>
    <w:p>
      <w:r/>
    </w:p>
    <w:p>
      <w:pPr>
        <w:pStyle w:val="Heading2"/>
      </w:pPr>
      <w:r>
        <w:t>Jabal</w:t>
      </w:r>
      <w:r/>
    </w:p>
    <w:p>
      <w:r/>
      <w:r>
        <w:t>Descendant de Caïn et premier fils de Lémec et Ada. Il était le père d'un peuple nomade qui habitait sous des tentes (</w:t>
      </w:r>
      <w:hyperlink r:id="rId467">
        <w:r>
          <w:rPr>
            <w:color w:val="0000EE"/>
            <w:u w:val="single"/>
          </w:rPr>
          <w:t>Gn 4.20</w:t>
        </w:r>
      </w:hyperlink>
      <w:r>
        <w:t>).</w:t>
      </w:r>
      <w:r/>
      <w:r/>
    </w:p>
    <w:p>
      <w:r/>
    </w:p>
    <w:p>
      <w:pPr>
        <w:pStyle w:val="Heading2"/>
      </w:pPr>
      <w:r>
        <w:t>Jacob</w:t>
      </w:r>
      <w:r/>
    </w:p>
    <w:p>
      <w:r/>
      <w:r>
        <w:t>1. Le plus jeune des fils jumeaux nés d'Isaac et de Rebecca (</w:t>
      </w:r>
      <w:hyperlink r:id="rId4865">
        <w:r>
          <w:rPr>
            <w:color w:val="0000EE"/>
            <w:u w:val="single"/>
          </w:rPr>
          <w:t>Gn 25.24–26</w:t>
        </w:r>
      </w:hyperlink>
      <w:r>
        <w:t xml:space="preserve">). Isaac avait prié pour sa femme stérile, Rebecca, et elle avait conçu les jumeaux, qui se sont bousculés dans son ventre. Lorsqu'elle interrogera le Seigneur à ce sujet, il lui dira qu'elle portait deux nations et que le fils aîné servirait le plus jeune (v. </w:t>
      </w:r>
      <w:hyperlink r:id="rId6931">
        <w:r>
          <w:rPr>
            <w:color w:val="0000EE"/>
            <w:u w:val="single"/>
          </w:rPr>
          <w:t>23</w:t>
        </w:r>
      </w:hyperlink>
      <w:r>
        <w:t xml:space="preserve">). Ésaü était velu et roux (plus tard, il sera appelé Édom, « rouge », </w:t>
      </w:r>
      <w:hyperlink r:id="rId3398">
        <w:r>
          <w:rPr>
            <w:color w:val="0000EE"/>
            <w:u w:val="single"/>
          </w:rPr>
          <w:t>25.30</w:t>
        </w:r>
      </w:hyperlink>
      <w:r>
        <w:t xml:space="preserve"> ; </w:t>
      </w:r>
      <w:hyperlink r:id="rId5971">
        <w:r>
          <w:rPr>
            <w:color w:val="0000EE"/>
            <w:u w:val="single"/>
          </w:rPr>
          <w:t>36.1</w:t>
        </w:r>
      </w:hyperlink>
      <w:r>
        <w:t xml:space="preserve">), mais Jacob naît en tenant le talon de son frère, ce qui lui vaudra le nom de Jacob, « il prend par le talon » (voir </w:t>
      </w:r>
      <w:hyperlink r:id="rId6932">
        <w:r>
          <w:rPr>
            <w:color w:val="0000EE"/>
            <w:u w:val="single"/>
          </w:rPr>
          <w:t>Os 12.3</w:t>
        </w:r>
      </w:hyperlink>
      <w:r>
        <w:t>), avec le sens dérivé de « supplanter, tromper, attaquer par derrière ».</w:t>
      </w:r>
    </w:p>
    <w:p>
      <w:r/>
      <w:r>
        <w:t>Histoire personnelle</w:t>
      </w:r>
    </w:p>
    <w:p>
      <w:r/>
      <w:r>
        <w:t>Ésaü et Jacob étaient très différents l'un de l'autre. Ésaü était un homme de plein air, le préféré de son père, tandis que Jacob restait près des tentes et était aimé par sa mère.</w:t>
      </w:r>
    </w:p>
    <w:p>
      <w:r/>
      <w:r>
        <w:t xml:space="preserve">Un jour, alors que Jacob préparait un potage rouge, Ésaü rentrera affamé et demandera de la nourriture à Jacob. Ce dernier proposera de vendre à Ésaü du ragoût en échange de son droit d'aînesse, et Ésaü acceptera, renonçant ainsi à son droit d'aînesse (voir </w:t>
      </w:r>
      <w:hyperlink r:id="rId6933">
        <w:r>
          <w:rPr>
            <w:color w:val="0000EE"/>
            <w:u w:val="single"/>
          </w:rPr>
          <w:t>Hé 12.16</w:t>
        </w:r>
      </w:hyperlink>
      <w:r>
        <w:t xml:space="preserve">). L'importance de cet épisode du potage rouge est démontrée par son association avec le deuxième nom d'Ésaü, Édom (« rouge », </w:t>
      </w:r>
      <w:hyperlink r:id="rId3398">
        <w:r>
          <w:rPr>
            <w:color w:val="0000EE"/>
            <w:u w:val="single"/>
          </w:rPr>
          <w:t>Gn 25.30</w:t>
        </w:r>
      </w:hyperlink>
      <w:r>
        <w:t>).</w:t>
      </w:r>
    </w:p>
    <w:p>
      <w:r/>
      <w:r>
        <w:t>Isaac, devenu vieux et aveugle, demandera un jour à Ésaü de prendre ses armes et d'aller chercher du gibier, dont Isaac était très friand (</w:t>
      </w:r>
      <w:hyperlink r:id="rId6934">
        <w:r>
          <w:rPr>
            <w:color w:val="0000EE"/>
            <w:u w:val="single"/>
          </w:rPr>
          <w:t>Gn 27.6–7</w:t>
        </w:r>
      </w:hyperlink>
      <w:r>
        <w:t xml:space="preserve"> ; voir </w:t>
      </w:r>
      <w:hyperlink r:id="rId6935">
        <w:r>
          <w:rPr>
            <w:color w:val="0000EE"/>
            <w:u w:val="single"/>
          </w:rPr>
          <w:t>25.28</w:t>
        </w:r>
      </w:hyperlink>
      <w:r>
        <w:t>), afin qu'il puisse manger et ensuite conférer sa bénédiction à Ésaü. Rebecca l'entendra cela, et appellera alors Jacob pour lui dira d'aller au troupeau et de choisir deux bons chevreaux pour qu'elle prépare un plat qui passerait pour du gibier pendant qu'Ésaü était à la chasse. Jacob craignait qu'Isaac ne détecte la tromperie, car Ésaü était très poilu, mais Rebecca avait tout prévu. Elle placera les peaux des chevreaux sur les mains et le cou de Jacob pour donner une impression de pilosité (</w:t>
      </w:r>
      <w:hyperlink r:id="rId6936">
        <w:r>
          <w:rPr>
            <w:color w:val="0000EE"/>
            <w:u w:val="single"/>
          </w:rPr>
          <w:t>27.16</w:t>
        </w:r>
      </w:hyperlink>
      <w:r>
        <w:t xml:space="preserve">) et l'habillera des meilleurs vêtements d'Ésaü, qui sentaient l'extérieur. Bien qu'Isaac ait reconnu la voix de Jacob, ses autres sens lui feront défaut, et il sera trompé par le toucher des peaux et l'odeur des vêtements. Il donnera donc la bénédiction à Jacob (v. </w:t>
      </w:r>
      <w:hyperlink r:id="rId1748">
        <w:r>
          <w:rPr>
            <w:color w:val="0000EE"/>
            <w:u w:val="single"/>
          </w:rPr>
          <w:t>27–29</w:t>
        </w:r>
      </w:hyperlink>
      <w:r>
        <w:t>).</w:t>
      </w:r>
    </w:p>
    <w:p>
      <w:r/>
      <w:r>
        <w:t>À peine Jacob était-il parti qu'Ésaü arrive avec le gibier qu'il avait cuisiné. La ruse de Jacob sera découverte, mais l'acte ne pouvait être annulé (</w:t>
      </w:r>
      <w:hyperlink r:id="rId6937">
        <w:r>
          <w:rPr>
            <w:color w:val="0000EE"/>
            <w:u w:val="single"/>
          </w:rPr>
          <w:t>Gn 27.33</w:t>
        </w:r>
      </w:hyperlink>
      <w:r>
        <w:t xml:space="preserve">), car, comme le montrent les tablettes de Nuzi, une bénédiction orale avait validité légale et ne pouvait être révoquée. Ésaü se trouve dévasté (voir </w:t>
      </w:r>
      <w:hyperlink r:id="rId6938">
        <w:r>
          <w:rPr>
            <w:color w:val="0000EE"/>
            <w:u w:val="single"/>
          </w:rPr>
          <w:t>Hé 12.17</w:t>
        </w:r>
      </w:hyperlink>
      <w:r>
        <w:t>) et Isaac lui donne une bénédiction inférieure à celle donnée à Jacob (</w:t>
      </w:r>
      <w:hyperlink r:id="rId6939">
        <w:r>
          <w:rPr>
            <w:color w:val="0000EE"/>
            <w:u w:val="single"/>
          </w:rPr>
          <w:t>Gn 27.39–40</w:t>
        </w:r>
      </w:hyperlink>
      <w:r>
        <w:t>).</w:t>
      </w:r>
    </w:p>
    <w:p>
      <w:r/>
      <w:r>
        <w:t>L'animosité entre les frères s'intensifiera, et Ésaü complotera pour tuer Jacob après la mort de leur père. Rebecca l'apprenant, elle ordonne à Jacob de fuir chez son frère Laban à Haran (</w:t>
      </w:r>
      <w:hyperlink r:id="rId6940">
        <w:r>
          <w:rPr>
            <w:color w:val="0000EE"/>
            <w:u w:val="single"/>
          </w:rPr>
          <w:t>Gn 27.42–45</w:t>
        </w:r>
      </w:hyperlink>
      <w:r>
        <w:t>). Les épouses hétiennes d'Ésaü, quant à elles, rendaient la vie dure à Rebecca. Elle s'en plaindra à Isaac, qui a appellera Jacob et l'enverra chez Laban pour épouser l'une des filles de son oncle (</w:t>
      </w:r>
      <w:hyperlink r:id="rId6941">
        <w:r>
          <w:rPr>
            <w:color w:val="0000EE"/>
            <w:u w:val="single"/>
          </w:rPr>
          <w:t>27.46–28.4</w:t>
        </w:r>
      </w:hyperlink>
      <w:r>
        <w:t>).</w:t>
      </w:r>
    </w:p>
    <w:p>
      <w:r/>
      <w:r>
        <w:t>Jacob part pour Charan. Utilisant une pierre comme oreiller, il fera un rêve d'une échelle qui atteint le ciel, avec les anges de Dieu qui montent et descendent dessus. Dieu parlera à Jacob et lui fera la promesse qu'il avait donnée à Abraham et Isaac concernant la terre et une descendance. Le lendemain matin, Jacob prendra son oreiller de pierre et le dressera comme une colonne, l'oignant d'huile. Il nommera l'endroit Béthel (« maison de Dieu ») et fera un vœu que si le Seigneur était avec lui et pourvoyait à ses besoins, il donnerait une dîme au Seigneur (</w:t>
      </w:r>
      <w:hyperlink r:id="rId1873">
        <w:r>
          <w:rPr>
            <w:color w:val="0000EE"/>
            <w:u w:val="single"/>
          </w:rPr>
          <w:t>Gn 28.10–22</w:t>
        </w:r>
      </w:hyperlink>
      <w:r>
        <w:t>).</w:t>
      </w:r>
    </w:p>
    <w:p>
      <w:r/>
      <w:r>
        <w:t>Lorsque Jacob atteint la région de Charan, il rencontrera des bergers qui connaissaient Laban. Rachel, la fille cadette de Laban, arrivera avec le troupeau de son père, et Jacob roulera la grande pierre de l'ouverture du puits et abreuvra les moutons pour elle (</w:t>
      </w:r>
      <w:hyperlink r:id="rId6942">
        <w:r>
          <w:rPr>
            <w:color w:val="0000EE"/>
            <w:u w:val="single"/>
          </w:rPr>
          <w:t>Gn 29.1–10</w:t>
        </w:r>
      </w:hyperlink>
      <w:r>
        <w:t xml:space="preserve">). Quand Rachel apprend que Jacob était de leur propre famille, elle accourra le dire à son père, qui accueillera Jacob chaleureusement. Après être resté avec eux pendant un mois, Jacob sera engagé pour s'occuper des troupeaux de Laban. Lorsqu'il sera question du salaire, Jacob proposera de travailler sept ans pour obtenir Rachel comme épouse (v. </w:t>
      </w:r>
      <w:hyperlink r:id="rId6943">
        <w:r>
          <w:rPr>
            <w:color w:val="0000EE"/>
            <w:u w:val="single"/>
          </w:rPr>
          <w:t>15–20</w:t>
        </w:r>
      </w:hyperlink>
      <w:r>
        <w:t>).</w:t>
      </w:r>
    </w:p>
    <w:p>
      <w:r/>
      <w:r>
        <w:t>Au bout de sept ans, Jacob était prêt à réclamer son dû, mais la nuit du festin de mariage, c'est sa fille aînée, Léa, que Laban donnera à Jacob. Jacob ne découvrira la substitution qu'au matin. Il se sentira trompé et protestera auprès de Laban, mais Laban insistera sur le fait que, selon la coutume, la fille aînée devait se marier en premier et il propose à Jacob de travailler encore sept ans pour Rachel. Jacob accepte et fait son temps (</w:t>
      </w:r>
      <w:hyperlink r:id="rId6944">
        <w:r>
          <w:rPr>
            <w:color w:val="0000EE"/>
            <w:u w:val="single"/>
          </w:rPr>
          <w:t>Gn 29.21–30</w:t>
        </w:r>
      </w:hyperlink>
      <w:r>
        <w:t>).</w:t>
      </w:r>
    </w:p>
    <w:p>
      <w:r/>
      <w:hyperlink r:id="rId2009">
        <w:r>
          <w:rPr>
            <w:color w:val="0000EE"/>
            <w:u w:val="single"/>
          </w:rPr>
          <w:t>Genèse 29</w:t>
        </w:r>
      </w:hyperlink>
      <w:r>
        <w:t xml:space="preserve"> et </w:t>
      </w:r>
      <w:hyperlink r:id="rId6945">
        <w:r>
          <w:rPr>
            <w:color w:val="0000EE"/>
            <w:u w:val="single"/>
          </w:rPr>
          <w:t>30</w:t>
        </w:r>
      </w:hyperlink>
      <w:r>
        <w:t xml:space="preserve"> relatent la naissance de la plupart des enfants de Jacob. Léa donne quatre fils à Jacob : Ruben, Siméon, Lévi et Juda (</w:t>
      </w:r>
      <w:hyperlink r:id="rId4293">
        <w:r>
          <w:rPr>
            <w:color w:val="0000EE"/>
            <w:u w:val="single"/>
          </w:rPr>
          <w:t>Gn 29.31–35</w:t>
        </w:r>
      </w:hyperlink>
      <w:r>
        <w:t>). Elle nommera son premier fils Ruben (« vois, un fils ») car elle pensait que son mari l'aimerait du fait qu'elle avait donné naissance à un fils. Siméon est dérivé de la racine « entendre », car Léa pensait que Dieu lui avait donné ce fils parce qu'il avait entendu qu'elle était haïe. Lévi est lié au verbe « joindre », car Léa pensait que son mari serait joint à elle grâce à ce troisième fils. Juda signifie « louange », car elle louera le Seigneur à la naissance de son quatrième fils.</w:t>
      </w:r>
    </w:p>
    <w:p>
      <w:r/>
      <w:r>
        <w:t>Rachel n'arrivait pas à avoir d'enfants et elle donnera donc sa servante Bilha à Jacob. Bilha lui enfantera Dan et Nephtali (</w:t>
      </w:r>
      <w:hyperlink r:id="rId6946">
        <w:r>
          <w:rPr>
            <w:color w:val="0000EE"/>
            <w:u w:val="single"/>
          </w:rPr>
          <w:t>Gn 30.1–8</w:t>
        </w:r>
      </w:hyperlink>
      <w:r>
        <w:t>). Rachel nomme le premier fils Dan « il a jugé », parce que Dieu l'avait jugée (c'est-à-dire qu'il l'avait justifiée). Nephtali signifie « ma lutte, mon combat », car Rachel dira qu'elle avait lutté avec sa sœur et l'avait vaincue.</w:t>
      </w:r>
    </w:p>
    <w:p>
      <w:r/>
      <w:r>
        <w:t>Léa donnera ensuite sa servante Zilpa à Jacob comme femme ; elle enfantera Gad et Aser (</w:t>
      </w:r>
      <w:hyperlink r:id="rId5821">
        <w:r>
          <w:rPr>
            <w:color w:val="0000EE"/>
            <w:u w:val="single"/>
          </w:rPr>
          <w:t>Gn 30.11</w:t>
        </w:r>
      </w:hyperlink>
      <w:r>
        <w:t>). Gad signifie « fortune » ; Léa disant, « Bonne fortune », à sa naissance. Aser (« heureux ») sera ainsi nommé parce que, selon Léa, « Maintenant les femmes me diront heureuse ».</w:t>
      </w:r>
    </w:p>
    <w:p>
      <w:r/>
      <w:r>
        <w:t>Ruben trouvera des mandragores dans un champ, et Léa les échangera avec Rachel pour les services de Jacob. Léa donnera ensuite naissance à ses cinquième et sixième fils, Issacar et Zabulon, suivis d'une fille qu'elle nommera Dina (</w:t>
      </w:r>
      <w:hyperlink r:id="rId6947">
        <w:r>
          <w:rPr>
            <w:color w:val="0000EE"/>
            <w:u w:val="single"/>
          </w:rPr>
          <w:t>Gn 30.14–21</w:t>
        </w:r>
      </w:hyperlink>
      <w:r>
        <w:t>). Issacar signifie peut-être « récompense », car Léa dira que Dieu l'avait récompensée pour avoir donné sa servante à son mari. Zabulon signifie sans doute « honneur » ; comme Léa pensait que désormais son mari l'honorerait.</w:t>
      </w:r>
    </w:p>
    <w:p>
      <w:r/>
      <w:r>
        <w:t>Enfin, Rachel elle-même conçoit et donne naissance à son premier enfant, un fils qu'elle nommera Joseph. « Joseph » signifie « il ajoutera » ou « puisse-t-il ajouter », car Rachel souhaitait que Dieu lui accorde un autre fils.</w:t>
      </w:r>
    </w:p>
    <w:p>
      <w:r/>
      <w:r>
        <w:t>Jacob voulait partir et retourner à Canaan, mais Laban souhaitait qu'il reste, car par divination, il avait appris que le Seigneur l'avait béni grâce à Jacob (</w:t>
      </w:r>
      <w:hyperlink r:id="rId6948">
        <w:r>
          <w:rPr>
            <w:color w:val="0000EE"/>
            <w:u w:val="single"/>
          </w:rPr>
          <w:t>Gn 30.27</w:t>
        </w:r>
      </w:hyperlink>
      <w:r>
        <w:t xml:space="preserve">). Ils discuteront de la question du salaires, et Jacob proposera que chaque brebis et chèvre tachetés et mouchetés, ainsi que chaque agneau noir, deviennent les siens (v. </w:t>
      </w:r>
      <w:hyperlink r:id="rId6949">
        <w:r>
          <w:rPr>
            <w:color w:val="0000EE"/>
            <w:u w:val="single"/>
          </w:rPr>
          <w:t>32–33</w:t>
        </w:r>
      </w:hyperlink>
      <w:r>
        <w:t xml:space="preserve">). Laban accepte les termes, mais il retire rapidement tous les animaux marqués de cette manière pour les placer sous la garde de ses fils, à environ trois jours de distance du reste des troupeaux (v. </w:t>
      </w:r>
      <w:hyperlink r:id="rId6950">
        <w:r>
          <w:rPr>
            <w:color w:val="0000EE"/>
            <w:u w:val="single"/>
          </w:rPr>
          <w:t>35–36</w:t>
        </w:r>
      </w:hyperlink>
      <w:r>
        <w:t>).</w:t>
      </w:r>
    </w:p>
    <w:p>
      <w:r/>
      <w:r>
        <w:t>Jacob cherchera également à obtenir un avantage : il essaiera d'influencer la génétique des animaux en plaçant des bâtons en bois tachetés et rayés près des abreuvoirs lorsque les meilleurs animaux se reproduisaient. Le Seigneur bénira Jacob et il deviendra riche en troupeaux et en bétail (</w:t>
      </w:r>
      <w:hyperlink r:id="rId6951">
        <w:r>
          <w:rPr>
            <w:color w:val="0000EE"/>
            <w:u w:val="single"/>
          </w:rPr>
          <w:t>Gn 30.37–43</w:t>
        </w:r>
      </w:hyperlink>
      <w:r>
        <w:t>).</w:t>
      </w:r>
    </w:p>
    <w:p>
      <w:r/>
      <w:r>
        <w:t>Les fils de Laban deviendront très amers envers Jacob, et l'attitude de Laban envers lui changera également. Jacob le remarquera, et le Seigneur parle alors à Jacob et lui dit de retourner en Canaan (</w:t>
      </w:r>
      <w:hyperlink r:id="rId6952">
        <w:r>
          <w:rPr>
            <w:color w:val="0000EE"/>
            <w:u w:val="single"/>
          </w:rPr>
          <w:t>Gn 31.3–16</w:t>
        </w:r>
      </w:hyperlink>
      <w:r>
        <w:t xml:space="preserve">). Jacob tient conseil avec ses deux épouses et leur raconte comment Dieu l'avait béni, même si leur père l'avait trompé et avait changé son salaire dix fois. Jacob organisera sa caravane pendant que Laban était parti tondre les moutons. Rachel volera les dieux domestiques de son père, car leur possession ferait de celui qui les détient l'héritier des biens de Laban (voir les </w:t>
      </w:r>
      <w:r>
        <w:t>Tablettes de Nuzi</w:t>
      </w:r>
      <w:r>
        <w:t>). Le groupe partira, traversant l'Euphrate et se dirigeant vers Galaad. Laban et ses proches les poursuivront, mais Dieu parlera à Laban dans un rêve, l'avertissant de ne rien dire à Jacob.</w:t>
      </w:r>
    </w:p>
    <w:p>
      <w:r/>
      <w:r>
        <w:t>Quand Laban rattrape Jacob, il le réprimandera pour être parti en cachette et s'enquerra de ses dieux domestiques. Jacob ne savait pas ce que Rachel avait fait, alors il dira que celui qui serait trouvé avec les dieux devrait être mis à mort (</w:t>
      </w:r>
      <w:hyperlink r:id="rId4106">
        <w:r>
          <w:rPr>
            <w:color w:val="0000EE"/>
            <w:u w:val="single"/>
          </w:rPr>
          <w:t>Gn 31.32</w:t>
        </w:r>
      </w:hyperlink>
      <w:r>
        <w:t>). Rachel les avait cachés dans une selle de chameau et était assise sur la selle lorsque son père fouille la tente. Laban ne trouvera pas les idoles. Après cela, Jacob se mettra en colère et se plaindra d'avoir servi Laban pendant vingt ans et que Laban avait réduit son salaire dix fois.</w:t>
      </w:r>
    </w:p>
    <w:p>
      <w:r/>
      <w:r>
        <w:t>Laban proposera alors une alliance de paix. Les deux hommes rassembleront donc des pierres pour faire un monument et l'appelleront « tas de témoignage ». Tôt le lendemain matin, Laban fera ses adieux et rentrera chez lui.</w:t>
      </w:r>
    </w:p>
    <w:p>
      <w:r/>
      <w:r>
        <w:t xml:space="preserve">Alors que Jacob et sa maisonnée poursuivaient leur route, il sera accueilli par les anges de Dieu (« le camp de Dieu », </w:t>
      </w:r>
      <w:hyperlink r:id="rId6953">
        <w:r>
          <w:rPr>
            <w:color w:val="0000EE"/>
            <w:u w:val="single"/>
          </w:rPr>
          <w:t>Gn 32.2</w:t>
        </w:r>
      </w:hyperlink>
      <w:r>
        <w:t>) et il nommera donc cet endroit Mahanaïm, « les deux camps ». Jacob enverra des messagers pour le devancer et informer Ésaü de son retour. Ils reviendront chargés de la nouvelle qu'Ésaü approchait avec quatre cents hommes. Jacob prendra peur et cherchera la protection du Seigneur. Pour gagner la faveur d'Ésaü, Jacob enverra des animaux au devant de lui en guise de cadeau, et cette nuit-là, il fera traverser à sa famille et à ses biens le gué de la rivière Jabbok. Jacob restera seul, et « un homme » luttera avec lui toute la nuit. Vers l'aube, l'homme touchera la cuisse de Jacob, et sa hanche sera déboîtée, mais Jacob ne cèdera pas jusqu'à ce que l'« homme » le bénisse. Ici, le Seigneur changera le nom de Jacob en Israël (« il lutte avec Dieu »), et Jacob nommera l'endroit Peniel (« face de Dieu ») parce qu'il avait vu Dieu face à face et avait survécu (</w:t>
      </w:r>
      <w:hyperlink r:id="rId6954">
        <w:r>
          <w:rPr>
            <w:color w:val="0000EE"/>
            <w:u w:val="single"/>
          </w:rPr>
          <w:t>Gn 32.30</w:t>
        </w:r>
      </w:hyperlink>
      <w:r>
        <w:t>).</w:t>
      </w:r>
    </w:p>
    <w:p>
      <w:r/>
      <w:r>
        <w:t>Ésaü approchant, Jacob arrangera sa famille et s'avancera, s'inclinant profondément devant son frère. Mais Ésaü sera gracieux et lui offrira son pardon, et la rencontre sera heureuse (</w:t>
      </w:r>
      <w:hyperlink r:id="rId1566">
        <w:r>
          <w:rPr>
            <w:color w:val="0000EE"/>
            <w:u w:val="single"/>
          </w:rPr>
          <w:t>Gn 33.4</w:t>
        </w:r>
      </w:hyperlink>
      <w:r>
        <w:t xml:space="preserve">). Ésaü sera surpris par la grande famille et les biens de Jacob et accomplira tous les gestes d'amitié. Ésaü retournera à Séir, et Jacob se rendra à Sichem, où il achètera une parcelle de terre à Hamor, le père de Sichem. Jacob y construira un autel et le nommera </w:t>
      </w:r>
      <w:r>
        <w:t>El-Élohé-Israël</w:t>
      </w:r>
      <w:r>
        <w:t xml:space="preserve">, « Dieu, le Dieu d'Israël » (v. </w:t>
      </w:r>
      <w:hyperlink r:id="rId1467">
        <w:r>
          <w:rPr>
            <w:color w:val="0000EE"/>
            <w:u w:val="single"/>
          </w:rPr>
          <w:t>20</w:t>
        </w:r>
      </w:hyperlink>
      <w:r>
        <w:t>).</w:t>
      </w:r>
    </w:p>
    <w:p>
      <w:r/>
      <w:r>
        <w:t>Agissant selon les instructions du Seigneur, Jacob se déplacera à Béthel et expulsera les dieux étrangers de sa maison. À Luz (Béthel), le Seigneur le rencontrera de nouveau et affirma de nouveau son nouveau nom, renouvelant sa promesse de terre et de descendants (</w:t>
      </w:r>
      <w:hyperlink r:id="rId6025">
        <w:r>
          <w:rPr>
            <w:color w:val="0000EE"/>
            <w:u w:val="single"/>
          </w:rPr>
          <w:t>Gn 35.9–15</w:t>
        </w:r>
      </w:hyperlink>
      <w:r>
        <w:t xml:space="preserve">). Alors qu'ils voyageaient vers le sud, Rachel mourra en donnant naissance à son deuxième fils (v. </w:t>
      </w:r>
      <w:hyperlink r:id="rId6955">
        <w:r>
          <w:rPr>
            <w:color w:val="0000EE"/>
            <w:u w:val="single"/>
          </w:rPr>
          <w:t>16–20</w:t>
        </w:r>
      </w:hyperlink>
      <w:r>
        <w:t>). Elle le nommera Ben-oni (« fils de ma douleur »), mais Jacob changera son nom en Benjamin (« fils de la main droite »). Jacob poursuivra vers Hébron et découvrira qu'Isaac était encore vivant. Isaac mourra à l'âge de 180 ans et sera enterré par Ésaü et Jacob.</w:t>
      </w:r>
    </w:p>
    <w:p>
      <w:r/>
      <w:r>
        <w:t xml:space="preserve">Bien que l'histoire de Jacob continue dans le livre de la Genèse, la figure centrale des chapitres </w:t>
      </w:r>
      <w:hyperlink r:id="rId6956">
        <w:r>
          <w:rPr>
            <w:color w:val="0000EE"/>
            <w:u w:val="single"/>
          </w:rPr>
          <w:t>37–50</w:t>
        </w:r>
      </w:hyperlink>
      <w:r>
        <w:t xml:space="preserve"> est Joseph, le fils préféré de Jacob, le premier-né de Rachel. Jacob montrait ce favoritisme de manière si ouverte que ses autres fils deviendront jaloux de Joseph. Ils comploteront pour tuer Joseph mais finiront par le vendre à une caravane de marchands en route vers l'Égypte (</w:t>
      </w:r>
      <w:hyperlink r:id="rId6957">
        <w:r>
          <w:rPr>
            <w:color w:val="0000EE"/>
            <w:u w:val="single"/>
          </w:rPr>
          <w:t>Gn 37.9–28</w:t>
        </w:r>
      </w:hyperlink>
      <w:r>
        <w:t>). Ils prendront le manteau de Joseph, le tremperont dans le sang d'un bouc, et l'apporteront à leur père, lui disant qu'ils avaient trouvé la robe. Jacob, reconnaissant le manteau qu'il avait donné à son fils, conclura qu'il était mort. Jacob était dévasté et ne voudra pas être consolé.</w:t>
      </w:r>
    </w:p>
    <w:p>
      <w:r/>
      <w:r>
        <w:t>Alors qu'une famine frappe Canaan, Jacob enverra ses fils en Égypte pour acheter du grain (</w:t>
      </w:r>
      <w:hyperlink r:id="rId6958">
        <w:r>
          <w:rPr>
            <w:color w:val="0000EE"/>
            <w:u w:val="single"/>
          </w:rPr>
          <w:t>Gn 42.1–5</w:t>
        </w:r>
      </w:hyperlink>
      <w:r>
        <w:t>), gardant Benjamin à la maison. Lorsque les frères reviendront à Canaan, ils rapporteront à Jacob que le gouverneur (qui était en réalité Joseph) avait gardé Siméon en otage et avait exigé qu'ils amènent Benjamin avec eux lorsqu'ils reviendraient pour du grain. La famine continuera, et Jacob enverra de nouveau ses fils en Égypte pour du grain. À contrecœur, il finira par permettre à Benjamin de les accompagner, envoyant également un cadeau pour le gouverneur égyptien (</w:t>
      </w:r>
      <w:hyperlink r:id="rId6959">
        <w:r>
          <w:rPr>
            <w:color w:val="0000EE"/>
            <w:u w:val="single"/>
          </w:rPr>
          <w:t>Gn 43.11–14</w:t>
        </w:r>
      </w:hyperlink>
      <w:r>
        <w:t>).</w:t>
      </w:r>
    </w:p>
    <w:p>
      <w:r/>
      <w:r>
        <w:t>La prochaine nouvelle que Jacob recevra sera que Joseph était en fait bien vivant en Égypte et qu'il voulait que son père et toute sa famille le rejoignent (</w:t>
      </w:r>
      <w:hyperlink r:id="rId6960">
        <w:r>
          <w:rPr>
            <w:color w:val="0000EE"/>
            <w:u w:val="single"/>
          </w:rPr>
          <w:t>Gn 45.21–28</w:t>
        </w:r>
      </w:hyperlink>
      <w:r>
        <w:t>). Jacob se rendra d'abord à Beer-Schéba et fera des offrandes au Seigneur. Le Seigneur parlera à Jacob, lui disant de descendre en Égypte et confirmera une fois de plus les promesses qu'il avait faites auparavant. Jacob et ses descendants qui étaient en Égypte étaient au nombre de soixante-dix, y compris les deux fils de Joseph.</w:t>
      </w:r>
    </w:p>
    <w:p>
      <w:r/>
      <w:r>
        <w:t>Quand Jacob arrive à Gosen, Joseph ira à sa rencontre, et ils connaîtront de joyeuses retrouvailles (</w:t>
      </w:r>
      <w:hyperlink r:id="rId6961">
        <w:r>
          <w:rPr>
            <w:color w:val="0000EE"/>
            <w:u w:val="single"/>
          </w:rPr>
          <w:t>Gn 46.28–30</w:t>
        </w:r>
      </w:hyperlink>
      <w:r>
        <w:t>). Joseph rapportera l'arrivée de son père et de ses frères au Pharaon (</w:t>
      </w:r>
      <w:hyperlink r:id="rId6962">
        <w:r>
          <w:rPr>
            <w:color w:val="0000EE"/>
            <w:u w:val="single"/>
          </w:rPr>
          <w:t>47.1</w:t>
        </w:r>
      </w:hyperlink>
      <w:r>
        <w:t>) et emmènera cinq de ses frères ainsi que son père rencontrer le souverain. Israël s'installera dans la région de Gosen et y prospérera. Jacob passera dix-sept ans en Égypte et atteindra l'âge de 147 ans.</w:t>
      </w:r>
    </w:p>
    <w:p>
      <w:r/>
      <w:r>
        <w:t>Alors que Jacob sent que sa mort est proche, il appellera Joseph et lui fera jurer qu'il l'enterrerait avec ses ancêtres en Canaan. Joseph emmenne ses deux fils, Manassé et Éphraïm, à son père pour la bénédiction patriarcale. Il présentera les garçons de sorte que Manassé, le premier-né, soit à la droite de Jacob et Éphraïm à sa gauche. Jacob, cependant, croise ses mains et donne au fils cadet la plus grande bénédiction (</w:t>
      </w:r>
      <w:hyperlink r:id="rId6041">
        <w:r>
          <w:rPr>
            <w:color w:val="0000EE"/>
            <w:u w:val="single"/>
          </w:rPr>
          <w:t>48.13–20</w:t>
        </w:r>
      </w:hyperlink>
      <w:r>
        <w:t>). Jacob prophétisera que son peuple retournerait en Canaan, et il donnera à Joseph une double portion de la terre. Jacob appellera ensuite tous ses fils et donnera à chacun d'eux une bénédiction (</w:t>
      </w:r>
      <w:hyperlink r:id="rId3039">
        <w:r>
          <w:rPr>
            <w:color w:val="0000EE"/>
            <w:u w:val="single"/>
          </w:rPr>
          <w:t>49.1–28</w:t>
        </w:r>
      </w:hyperlink>
      <w:r>
        <w:t xml:space="preserve">). Juda recevra une place prééminente, et c'est lui qui apparaît dans les généalogies de Jésus (v. </w:t>
      </w:r>
      <w:hyperlink r:id="rId6963">
        <w:r>
          <w:rPr>
            <w:color w:val="0000EE"/>
            <w:u w:val="single"/>
          </w:rPr>
          <w:t>8–12</w:t>
        </w:r>
      </w:hyperlink>
      <w:r>
        <w:t xml:space="preserve">). La bénédiction de Joseph montre une marque de faveur spéciale (v. </w:t>
      </w:r>
      <w:hyperlink r:id="rId4296">
        <w:r>
          <w:rPr>
            <w:color w:val="0000EE"/>
            <w:u w:val="single"/>
          </w:rPr>
          <w:t>22–26</w:t>
        </w:r>
      </w:hyperlink>
      <w:r>
        <w:t>). Jacob chargera également ses fils de l'enterrer dans la grotte de Macpéla près d'Hébron, puis il remontera ses pieds sur le lit et mourra.</w:t>
      </w:r>
    </w:p>
    <w:p>
      <w:r/>
      <w:r>
        <w:t>Joseph convoquera les médecins pour embaumer son père selon la pratique égyptienne : il y avait quarante jours pour l'embaumement et soixante-dix jours pour la période de deuil (</w:t>
      </w:r>
      <w:hyperlink r:id="rId6964">
        <w:r>
          <w:rPr>
            <w:color w:val="0000EE"/>
            <w:u w:val="single"/>
          </w:rPr>
          <w:t>Gn 50.1–3</w:t>
        </w:r>
      </w:hyperlink>
      <w:r>
        <w:t xml:space="preserve">). Des arrangements seront faits pour aller en Canaan enterrer Jacob comme Joseph l'avait promis. Un grand cortège funèbre, comprenant de nombreux fonctionnaires égyptiens ainsi que la famille de Jacob, montera d'Égypte. Le groupe pleurera pendant sept jours à l'aire de battage d'Atad ; puis les fils de Jacob l'enterreront dans la grotte de Macpéla comme il l'avait demandé. Le groupe entier retournera en Égypte, et Joseph assurera à ses frères qu'il n'avait aucune intention de se venger du mal qu'ils lui avaient fait. Dieu avait voulu cet épisode tout entier pour le bien (v. </w:t>
      </w:r>
      <w:hyperlink r:id="rId6965">
        <w:r>
          <w:rPr>
            <w:color w:val="0000EE"/>
            <w:u w:val="single"/>
          </w:rPr>
          <w:t>15–21</w:t>
        </w:r>
      </w:hyperlink>
      <w:r>
        <w:t>).</w:t>
      </w:r>
    </w:p>
    <w:p>
      <w:r/>
      <w:r>
        <w:t>Jacob en tant que nation d'Israël</w:t>
      </w:r>
    </w:p>
    <w:p>
      <w:r/>
      <w:r>
        <w:t>Dieu fera les mêmes promesses concernant la terre et la nation à Abraham, Isaac et Jacob, mais c'est par le nom donné par Dieu à Jacob (Israël) que la nation sera connue.</w:t>
      </w:r>
    </w:p>
    <w:p>
      <w:r/>
      <w:r>
        <w:t xml:space="preserve">Le nom Jacob est utilisé pour désigner la nation environ cent fois (voir par exemple </w:t>
      </w:r>
      <w:hyperlink r:id="rId6966">
        <w:r>
          <w:rPr>
            <w:color w:val="0000EE"/>
            <w:u w:val="single"/>
          </w:rPr>
          <w:t>Nb 24.5, 19</w:t>
        </w:r>
      </w:hyperlink>
      <w:r>
        <w:t xml:space="preserve"> ; </w:t>
      </w:r>
      <w:hyperlink r:id="rId6967">
        <w:r>
          <w:rPr>
            <w:color w:val="0000EE"/>
            <w:u w:val="single"/>
          </w:rPr>
          <w:t>Dt 32.9</w:t>
        </w:r>
      </w:hyperlink>
      <w:r>
        <w:t xml:space="preserve"> ; </w:t>
      </w:r>
      <w:hyperlink r:id="rId6968">
        <w:r>
          <w:rPr>
            <w:color w:val="0000EE"/>
            <w:u w:val="single"/>
          </w:rPr>
          <w:t>Ps 59.13</w:t>
        </w:r>
      </w:hyperlink>
      <w:r>
        <w:t xml:space="preserve">). Il est souvent trouvé en parallèle avec Israël (voir par exemple </w:t>
      </w:r>
      <w:hyperlink r:id="rId6969">
        <w:r>
          <w:rPr>
            <w:color w:val="0000EE"/>
            <w:u w:val="single"/>
          </w:rPr>
          <w:t>Nb 23.7</w:t>
        </w:r>
      </w:hyperlink>
      <w:r>
        <w:t xml:space="preserve"> ; </w:t>
      </w:r>
      <w:hyperlink r:id="rId4524">
        <w:r>
          <w:rPr>
            <w:color w:val="0000EE"/>
            <w:u w:val="single"/>
          </w:rPr>
          <w:t>Dt 33.10</w:t>
        </w:r>
      </w:hyperlink>
      <w:r>
        <w:t xml:space="preserve"> ; </w:t>
      </w:r>
      <w:hyperlink r:id="rId6970">
        <w:r>
          <w:rPr>
            <w:color w:val="0000EE"/>
            <w:u w:val="single"/>
          </w:rPr>
          <w:t>Es 14.1</w:t>
        </w:r>
      </w:hyperlink>
      <w:r>
        <w:t>). « Jacob » est également utilisé spécifiquement pour le royaume du nord d'Israël (</w:t>
      </w:r>
      <w:hyperlink r:id="rId6971">
        <w:r>
          <w:rPr>
            <w:color w:val="0000EE"/>
            <w:u w:val="single"/>
          </w:rPr>
          <w:t>Am 7.2, 5</w:t>
        </w:r>
      </w:hyperlink>
      <w:r>
        <w:t xml:space="preserve">). Dans </w:t>
      </w:r>
      <w:hyperlink r:id="rId6972">
        <w:r>
          <w:rPr>
            <w:color w:val="0000EE"/>
            <w:u w:val="single"/>
          </w:rPr>
          <w:t>Ésaïe 41.21</w:t>
        </w:r>
      </w:hyperlink>
      <w:r>
        <w:t>, « le roi de Jacob » se réfère à Dieu lui-même.</w:t>
      </w:r>
    </w:p>
    <w:p>
      <w:r/>
      <w:r>
        <w:rPr>
          <w:i/>
        </w:rPr>
        <w:t>Voir aussi</w:t>
      </w:r>
      <w:r>
        <w:t xml:space="preserve"> </w:t>
      </w:r>
      <w:r>
        <w:t>Genèse, Livre de la</w:t>
      </w:r>
      <w:r>
        <w:t xml:space="preserve"> ; </w:t>
      </w:r>
      <w:r>
        <w:t>Israël, Histoire d'</w:t>
      </w:r>
      <w:r>
        <w:t xml:space="preserve"> ; </w:t>
      </w:r>
      <w:r>
        <w:t>Patriarches, Période des</w:t>
      </w:r>
      <w:r>
        <w:t>.</w:t>
      </w:r>
    </w:p>
    <w:p>
      <w:r/>
      <w:r>
        <w:t>2. Père de Joseph, le mari de Marie et père terrestre de Jésus selon la généalogie de Matthieu (</w:t>
      </w:r>
      <w:hyperlink r:id="rId5938">
        <w:r>
          <w:rPr>
            <w:color w:val="0000EE"/>
            <w:u w:val="single"/>
          </w:rPr>
          <w:t>Mt 1.16</w:t>
        </w:r>
      </w:hyperlink>
      <w:r>
        <w:t>). Luc, cependant, nomme Héli comme le père de Joseph (</w:t>
      </w:r>
      <w:hyperlink r:id="rId5954">
        <w:r>
          <w:rPr>
            <w:color w:val="0000EE"/>
            <w:u w:val="single"/>
          </w:rPr>
          <w:t>Lc 3.24</w:t>
        </w:r>
      </w:hyperlink>
      <w:r>
        <w:t xml:space="preserve">). </w:t>
      </w:r>
      <w:r>
        <w:rPr>
          <w:i/>
        </w:rPr>
        <w:t>Voir</w:t>
      </w:r>
      <w:r>
        <w:t xml:space="preserve"> </w:t>
      </w:r>
      <w:r>
        <w:t>Généalogie de Jésus-Christ (Relation entre les deux récits)</w:t>
      </w:r>
      <w:r>
        <w:t>.</w:t>
      </w:r>
      <w:r/>
      <w:r/>
    </w:p>
    <w:p>
      <w:r/>
    </w:p>
    <w:p>
      <w:pPr>
        <w:pStyle w:val="Heading2"/>
      </w:pPr>
      <w:r>
        <w:t>Jacques (Personne)</w:t>
      </w:r>
      <w:r/>
    </w:p>
    <w:p>
      <w:r/>
      <w:r>
        <w:t>1. Jacques, frère de Jésus, premier ancien de l’Église de Jérusalem, auteur de la lettre qui porte son nom.</w:t>
      </w:r>
    </w:p>
    <w:p>
      <w:r/>
      <w:r>
        <w:t>Jacques n’est mentionné que deux fois dans les Évangiles, avec ses frères Joseph (ou Joses en grec), Simon et Judas (</w:t>
      </w:r>
      <w:hyperlink r:id="rId2412">
        <w:r>
          <w:rPr>
            <w:color w:val="0000EE"/>
            <w:u w:val="single"/>
          </w:rPr>
          <w:t>Matthieu 13:55</w:t>
        </w:r>
      </w:hyperlink>
      <w:r>
        <w:t xml:space="preserve">; </w:t>
      </w:r>
      <w:hyperlink r:id="rId2413">
        <w:r>
          <w:rPr>
            <w:color w:val="0000EE"/>
            <w:u w:val="single"/>
          </w:rPr>
          <w:t>Marc 6:3</w:t>
        </w:r>
      </w:hyperlink>
      <w:r>
        <w:t>). Il est possible que Jacques ait été le plus âgé des frères après Jésus. Certains se sont demandé s’il s’agissait ou non des frères de sang de Jésus. Cependant, il ne semble pas y avoir de raison valable de contester ce fait à partir des Saintes Écritures. Jacques, comme ses autres frères, n’a apparemment pas accepté l’autorité de Jésus pendant la vie de ce dernier sur terre (</w:t>
      </w:r>
      <w:hyperlink r:id="rId5785">
        <w:r>
          <w:rPr>
            <w:color w:val="0000EE"/>
            <w:u w:val="single"/>
          </w:rPr>
          <w:t>Jean 7:5</w:t>
        </w:r>
      </w:hyperlink>
      <w:r>
        <w:t>).</w:t>
      </w:r>
    </w:p>
    <w:p>
      <w:r/>
      <w:r>
        <w:t>La conversion de Jacques n’est pas mentionnée. Elle a pu se produire lorsque Jésus lui est apparu, ainsi qu’à d’autres, après sa résurrection (</w:t>
      </w:r>
      <w:hyperlink r:id="rId1974">
        <w:r>
          <w:rPr>
            <w:color w:val="0000EE"/>
            <w:u w:val="single"/>
          </w:rPr>
          <w:t>1 Corinthiens 15:7</w:t>
        </w:r>
      </w:hyperlink>
      <w:r>
        <w:t>). Il est devenu le chef de l’Église de Jérusalem (</w:t>
      </w:r>
      <w:hyperlink r:id="rId5815">
        <w:r>
          <w:rPr>
            <w:color w:val="0000EE"/>
            <w:u w:val="single"/>
          </w:rPr>
          <w:t>Actes 12:17</w:t>
        </w:r>
      </w:hyperlink>
      <w:r>
        <w:t xml:space="preserve">; </w:t>
      </w:r>
      <w:hyperlink r:id="rId5816">
        <w:r>
          <w:rPr>
            <w:color w:val="0000EE"/>
            <w:u w:val="single"/>
          </w:rPr>
          <w:t>21:18</w:t>
        </w:r>
      </w:hyperlink>
      <w:r>
        <w:t xml:space="preserve">; </w:t>
      </w:r>
      <w:hyperlink r:id="rId4205">
        <w:r>
          <w:rPr>
            <w:color w:val="0000EE"/>
            <w:u w:val="single"/>
          </w:rPr>
          <w:t>Galates 2:9</w:t>
        </w:r>
      </w:hyperlink>
      <w:r>
        <w:t>). Bien que Jésus ait toujours enseigné la subordination relative des liens familiaux (</w:t>
      </w:r>
      <w:hyperlink r:id="rId6973">
        <w:r>
          <w:rPr>
            <w:color w:val="0000EE"/>
            <w:u w:val="single"/>
          </w:rPr>
          <w:t>Matthieu 12:48–50</w:t>
        </w:r>
      </w:hyperlink>
      <w:r>
        <w:t xml:space="preserve">; </w:t>
      </w:r>
      <w:hyperlink r:id="rId6974">
        <w:r>
          <w:rPr>
            <w:color w:val="0000EE"/>
            <w:u w:val="single"/>
          </w:rPr>
          <w:t>Marc 3:33–35</w:t>
        </w:r>
      </w:hyperlink>
      <w:r>
        <w:t xml:space="preserve">; </w:t>
      </w:r>
      <w:hyperlink r:id="rId6975">
        <w:r>
          <w:rPr>
            <w:color w:val="0000EE"/>
            <w:u w:val="single"/>
          </w:rPr>
          <w:t>Luc 8:21</w:t>
        </w:r>
      </w:hyperlink>
      <w:r>
        <w:t>), il est difficile de croire que l’autorité de Jacques n’a pas été renforcée d’une manière ou d’une autre en raison de sa relation avec le Maitre.</w:t>
      </w:r>
    </w:p>
    <w:p>
      <w:r/>
      <w:r>
        <w:t>Jacques était considéré comme un apôtre (</w:t>
      </w:r>
      <w:hyperlink r:id="rId5814">
        <w:r>
          <w:rPr>
            <w:color w:val="0000EE"/>
            <w:u w:val="single"/>
          </w:rPr>
          <w:t>Galates 1:19</w:t>
        </w:r>
      </w:hyperlink>
      <w:r>
        <w:t xml:space="preserve">), bien qu’il n’ait pas été l’un des douze disciples. Certains suggèrent qu’il remplaçait le fils martyr de Zébédée ; d’autres élargissent la portée du terme « apôtre » pour y ajouter les « douze disciples » et « tous les apôtres » (voir les deux catégories distinctes citées en </w:t>
      </w:r>
      <w:hyperlink r:id="rId6976">
        <w:r>
          <w:rPr>
            <w:color w:val="0000EE"/>
            <w:u w:val="single"/>
          </w:rPr>
          <w:t>1 Corinthiens 15:5, 7</w:t>
        </w:r>
      </w:hyperlink>
      <w:r>
        <w:t>).</w:t>
      </w:r>
    </w:p>
    <w:p>
      <w:r/>
      <w:r>
        <w:t>Selon la tradition, Jacques a été nommé premier évêque de Jérusalem par le Seigneur lui-même et par les apôtres. Un fait est certain, il a présidé le premier concile de Jérusalem, convoqué pour examiner les conditions d’intégration des Païens dans l’Église chrétienne, et il a peut-être formulé le décret approuvé par tous ses collègues et envoyé aux Églises d’Antioche, de Syrie et de Cilicie (</w:t>
      </w:r>
      <w:hyperlink r:id="rId6977">
        <w:r>
          <w:rPr>
            <w:color w:val="0000EE"/>
            <w:u w:val="single"/>
          </w:rPr>
          <w:t>Actes 15:19–20</w:t>
        </w:r>
      </w:hyperlink>
      <w:r>
        <w:t>). Jacques considérait avec sérieux que son ministère particulier était destiné aux Juifs. Il a joué un rôle de médiateur dans la controverse qui a surgi dans la jeune Église au sujet de la place de la Loi pour ceux qui étaient devenus chrétiens, qu’ils soient d’origine païenne ou juive.</w:t>
      </w:r>
    </w:p>
    <w:p>
      <w:r/>
      <w:r>
        <w:t>Il a continué à avoir de fortes sympathies judéo-chrétiennes, comme le montre le message qu’il a adressé à Paul, qui se rendait à Jérusalem pour la dernière fois (</w:t>
      </w:r>
      <w:hyperlink r:id="rId6978">
        <w:r>
          <w:rPr>
            <w:color w:val="0000EE"/>
            <w:u w:val="single"/>
          </w:rPr>
          <w:t>Actes 21:18–25</w:t>
        </w:r>
      </w:hyperlink>
      <w:r>
        <w:t>). Il s’agit également de la dernière fois que les Actes mentionnent la carrière de Jacques. Il est traditionnellement considéré comme l’auteur de la Lettre de Jacques, dans laquelle il se décrit comme « serviteur de Dieu et du Seigneur Jésus-Christ » (</w:t>
      </w:r>
      <w:hyperlink r:id="rId3908">
        <w:r>
          <w:rPr>
            <w:color w:val="0000EE"/>
            <w:u w:val="single"/>
          </w:rPr>
          <w:t>Jacques 1:1</w:t>
        </w:r>
      </w:hyperlink>
      <w:r>
        <w:t>).</w:t>
      </w:r>
    </w:p>
    <w:p>
      <w:r/>
      <w:r>
        <w:t>Selon Hégésippe (vers 180), Jacques était appelé « le Juste » en raison de son adhésion fidèle à la Loi juive et de son mode de vie rigide. Il semble évident que Jacques a subi le martyre. Josèphe le situe en l’an 61, lors d’un soulèvement juif après la mort du procureur Festus et avant la nomination de son successeur.</w:t>
      </w:r>
    </w:p>
    <w:p>
      <w:r/>
      <w:r>
        <w:t>2. Jacques, fils d’Alphée, l’un des douze apôtres.</w:t>
      </w:r>
    </w:p>
    <w:p>
      <w:r/>
      <w:r>
        <w:t>Jacques, fils d’Alphée, est toujours cité comme l’un des 12 apôtres (</w:t>
      </w:r>
      <w:hyperlink r:id="rId585">
        <w:r>
          <w:rPr>
            <w:color w:val="0000EE"/>
            <w:u w:val="single"/>
          </w:rPr>
          <w:t>Matthieu 10:3</w:t>
        </w:r>
      </w:hyperlink>
      <w:r>
        <w:t xml:space="preserve">; </w:t>
      </w:r>
      <w:hyperlink r:id="rId586">
        <w:r>
          <w:rPr>
            <w:color w:val="0000EE"/>
            <w:u w:val="single"/>
          </w:rPr>
          <w:t>Marc 3:18</w:t>
        </w:r>
      </w:hyperlink>
      <w:r>
        <w:t xml:space="preserve">; </w:t>
      </w:r>
      <w:hyperlink r:id="rId587">
        <w:r>
          <w:rPr>
            <w:color w:val="0000EE"/>
            <w:u w:val="single"/>
          </w:rPr>
          <w:t>Luc 6:15</w:t>
        </w:r>
      </w:hyperlink>
      <w:r>
        <w:t xml:space="preserve">; </w:t>
      </w:r>
      <w:hyperlink r:id="rId588">
        <w:r>
          <w:rPr>
            <w:color w:val="0000EE"/>
            <w:u w:val="single"/>
          </w:rPr>
          <w:t>Actes 1:13</w:t>
        </w:r>
      </w:hyperlink>
      <w:r>
        <w:t>), mais on ne sait rien de certain à son sujet. Lévi (également connu sous le nom de Matthieu) est également décrit comme le fils d’Alphée (</w:t>
      </w:r>
      <w:hyperlink r:id="rId590">
        <w:r>
          <w:rPr>
            <w:color w:val="0000EE"/>
            <w:u w:val="single"/>
          </w:rPr>
          <w:t>Marc 2:14</w:t>
        </w:r>
      </w:hyperlink>
      <w:r>
        <w:t>), mais Jacques et lui n’étaient probablement pas frères. De nombreux érudits l’ont identifié à celui que l’on appelle « Jacques le Mineur » ou « Jacques le Petit ». Le qualificatif « le Petit » semble avoir été donné pour le distinguer du fils de Zébédée, et il peut signifier qu’il était soit plus petit, soit plus jeune que le fils de Zébédée (le mot grec peut traiter des deux interprétations).</w:t>
      </w:r>
    </w:p>
    <w:p>
      <w:r/>
      <w:r>
        <w:t>3. Jacques, fils de Zébédée. L’un des 12 apôtres ; le premier d’entre eux à être martyrisé (J.-C. 44).</w:t>
      </w:r>
    </w:p>
    <w:p>
      <w:r/>
      <w:r>
        <w:t>Jacques était un pêcheur galiléen. Nous pouvons supposer qu’il avait un mode de vie confortable (</w:t>
      </w:r>
      <w:hyperlink r:id="rId6979">
        <w:r>
          <w:rPr>
            <w:color w:val="0000EE"/>
            <w:u w:val="single"/>
          </w:rPr>
          <w:t>Marc 1:19–20</w:t>
        </w:r>
      </w:hyperlink>
      <w:r>
        <w:t>). Il a été appelé à devenir l’un des disciples en même temps que son frère Jean (</w:t>
      </w:r>
      <w:hyperlink r:id="rId6980">
        <w:r>
          <w:rPr>
            <w:color w:val="0000EE"/>
            <w:u w:val="single"/>
          </w:rPr>
          <w:t>Matthieu 4:21</w:t>
        </w:r>
      </w:hyperlink>
      <w:r>
        <w:t xml:space="preserve">; </w:t>
      </w:r>
      <w:hyperlink r:id="rId6979">
        <w:r>
          <w:rPr>
            <w:color w:val="0000EE"/>
            <w:u w:val="single"/>
          </w:rPr>
          <w:t>Marc 1:19–20</w:t>
        </w:r>
      </w:hyperlink>
      <w:r>
        <w:t>). Il est raisonnable de supposer qu’il était plus âgé que Jean, à la fois parce qu’il est presque toujours mentionné en premier et parce que Jean est parfois identifié comme « le frère de Jacques » (</w:t>
      </w:r>
      <w:hyperlink r:id="rId6981">
        <w:r>
          <w:rPr>
            <w:color w:val="0000EE"/>
            <w:u w:val="single"/>
          </w:rPr>
          <w:t>Matthieu 10:2</w:t>
        </w:r>
      </w:hyperlink>
      <w:r>
        <w:t xml:space="preserve">; </w:t>
      </w:r>
      <w:hyperlink r:id="rId6982">
        <w:r>
          <w:rPr>
            <w:color w:val="0000EE"/>
            <w:u w:val="single"/>
          </w:rPr>
          <w:t>17:1</w:t>
        </w:r>
      </w:hyperlink>
      <w:r>
        <w:t xml:space="preserve">; </w:t>
      </w:r>
      <w:hyperlink r:id="rId2019">
        <w:r>
          <w:rPr>
            <w:color w:val="0000EE"/>
            <w:u w:val="single"/>
          </w:rPr>
          <w:t>Marc 3:17</w:t>
        </w:r>
      </w:hyperlink>
      <w:r>
        <w:t xml:space="preserve">; </w:t>
      </w:r>
      <w:hyperlink r:id="rId6983">
        <w:r>
          <w:rPr>
            <w:color w:val="0000EE"/>
            <w:u w:val="single"/>
          </w:rPr>
          <w:t>5:37</w:t>
        </w:r>
      </w:hyperlink>
      <w:r>
        <w:t>).</w:t>
      </w:r>
    </w:p>
    <w:p>
      <w:r/>
      <w:r>
        <w:t>Jacques, Jean et Simon Pierre formaient une association de pêcheurs dont l’un des membres était André, le frère de Simon (</w:t>
      </w:r>
      <w:hyperlink r:id="rId2255">
        <w:r>
          <w:rPr>
            <w:color w:val="0000EE"/>
            <w:u w:val="single"/>
          </w:rPr>
          <w:t>Luc 5:10</w:t>
        </w:r>
      </w:hyperlink>
      <w:r>
        <w:t>). Les trois ont atteint, d’une certaine manière, une position de leadership parmi les disciples. On les trouve au cœur des affaires, par exemple, lorsque la fille de Jaïrus a été ressuscitée (</w:t>
      </w:r>
      <w:hyperlink r:id="rId6983">
        <w:r>
          <w:rPr>
            <w:color w:val="0000EE"/>
            <w:u w:val="single"/>
          </w:rPr>
          <w:t>Marc 5:37</w:t>
        </w:r>
      </w:hyperlink>
      <w:r>
        <w:t xml:space="preserve">; </w:t>
      </w:r>
      <w:hyperlink r:id="rId6984">
        <w:r>
          <w:rPr>
            <w:color w:val="0000EE"/>
            <w:u w:val="single"/>
          </w:rPr>
          <w:t>Luc 8:51</w:t>
        </w:r>
      </w:hyperlink>
      <w:r>
        <w:t>), lors de la Transfiguration (</w:t>
      </w:r>
      <w:hyperlink r:id="rId6982">
        <w:r>
          <w:rPr>
            <w:color w:val="0000EE"/>
            <w:u w:val="single"/>
          </w:rPr>
          <w:t>Matthieu 17:1</w:t>
        </w:r>
      </w:hyperlink>
      <w:r>
        <w:t xml:space="preserve">; </w:t>
      </w:r>
      <w:hyperlink r:id="rId6985">
        <w:r>
          <w:rPr>
            <w:color w:val="0000EE"/>
            <w:u w:val="single"/>
          </w:rPr>
          <w:t>Marc 9:2</w:t>
        </w:r>
      </w:hyperlink>
      <w:r>
        <w:t xml:space="preserve">; </w:t>
      </w:r>
      <w:hyperlink r:id="rId6986">
        <w:r>
          <w:rPr>
            <w:color w:val="0000EE"/>
            <w:u w:val="single"/>
          </w:rPr>
          <w:t>Luc 9:28</w:t>
        </w:r>
      </w:hyperlink>
      <w:r>
        <w:t>), sur le mont des Oliviers (</w:t>
      </w:r>
      <w:hyperlink r:id="rId6987">
        <w:r>
          <w:rPr>
            <w:color w:val="0000EE"/>
            <w:u w:val="single"/>
          </w:rPr>
          <w:t>Marc 13:3</w:t>
        </w:r>
      </w:hyperlink>
      <w:r>
        <w:t>) et dans le jardin de Gethsémané (</w:t>
      </w:r>
      <w:hyperlink r:id="rId6988">
        <w:r>
          <w:rPr>
            <w:color w:val="0000EE"/>
            <w:u w:val="single"/>
          </w:rPr>
          <w:t>Matthieu 26:37</w:t>
        </w:r>
      </w:hyperlink>
      <w:r>
        <w:t xml:space="preserve">; </w:t>
      </w:r>
      <w:hyperlink r:id="rId6989">
        <w:r>
          <w:rPr>
            <w:color w:val="0000EE"/>
            <w:u w:val="single"/>
          </w:rPr>
          <w:t>Marc 14:33</w:t>
        </w:r>
      </w:hyperlink>
      <w:r>
        <w:t>). En outre, Jacques et Jean avaient déjà accompagné Jésus chez Simon et André (</w:t>
      </w:r>
      <w:hyperlink r:id="rId6990">
        <w:r>
          <w:rPr>
            <w:color w:val="0000EE"/>
            <w:u w:val="single"/>
          </w:rPr>
          <w:t>Marc 1:29</w:t>
        </w:r>
      </w:hyperlink>
      <w:r>
        <w:t>).</w:t>
      </w:r>
    </w:p>
    <w:p>
      <w:r/>
      <w:r>
        <w:t>Jésus donne à Jacques et à Jean le surnom de Boanerges, qui signifie « fils du tonnerre » (</w:t>
      </w:r>
      <w:hyperlink r:id="rId2019">
        <w:r>
          <w:rPr>
            <w:color w:val="0000EE"/>
            <w:u w:val="single"/>
          </w:rPr>
          <w:t>Marc 3:17</w:t>
        </w:r>
      </w:hyperlink>
      <w:r>
        <w:t>), lorsque le Seigneur les a réprimandés pour leur discours explosif et pour s’être totalement détourné du but de sa venue. C’est peut-être la conséquence de leur suggestion de prier pour la destruction du village samaritain, en raison du rejet des villageois (</w:t>
      </w:r>
      <w:hyperlink r:id="rId2020">
        <w:r>
          <w:rPr>
            <w:color w:val="0000EE"/>
            <w:u w:val="single"/>
          </w:rPr>
          <w:t>Luc 9, 54</w:t>
        </w:r>
      </w:hyperlink>
      <w:r>
        <w:t xml:space="preserve">; cf. </w:t>
      </w:r>
      <w:hyperlink r:id="rId6991">
        <w:r>
          <w:rPr>
            <w:color w:val="0000EE"/>
            <w:u w:val="single"/>
          </w:rPr>
          <w:t>Marc 9:38</w:t>
        </w:r>
      </w:hyperlink>
      <w:r>
        <w:t xml:space="preserve">; </w:t>
      </w:r>
      <w:hyperlink r:id="rId6992">
        <w:r>
          <w:rPr>
            <w:color w:val="0000EE"/>
            <w:u w:val="single"/>
          </w:rPr>
          <w:t>Luc 9:49</w:t>
        </w:r>
      </w:hyperlink>
      <w:r>
        <w:t>).</w:t>
      </w:r>
    </w:p>
    <w:p>
      <w:r/>
      <w:r>
        <w:t>Les deux frères ont également fait preuve d’arrogance et de précipitation lorsqu’ils ont demandé une place d’honneur dans le Royaume. Jésus a prophétisé que Jacques et son frère boiraient la coupe que leur Maitre devait boire (</w:t>
      </w:r>
      <w:hyperlink r:id="rId6993">
        <w:r>
          <w:rPr>
            <w:color w:val="0000EE"/>
            <w:u w:val="single"/>
          </w:rPr>
          <w:t>Marc 10:35–40</w:t>
        </w:r>
      </w:hyperlink>
      <w:r>
        <w:t xml:space="preserve">; cf. </w:t>
      </w:r>
      <w:hyperlink r:id="rId6994">
        <w:r>
          <w:rPr>
            <w:color w:val="0000EE"/>
            <w:u w:val="single"/>
          </w:rPr>
          <w:t>Matthieu 20:20–23</w:t>
        </w:r>
      </w:hyperlink>
      <w:r>
        <w:t>). On suppose qu’ils étaient présents avec les autres disciples lorsque Christ ressuscité est apparu au bord de la mer de Galilée (</w:t>
      </w:r>
      <w:hyperlink r:id="rId6995">
        <w:r>
          <w:rPr>
            <w:color w:val="0000EE"/>
            <w:u w:val="single"/>
          </w:rPr>
          <w:t>Jean 21:1</w:t>
        </w:r>
      </w:hyperlink>
      <w:r>
        <w:t>), bien que, curieusement, le nom de Jacques ne soit mentionné nulle part dans le quatrième Évangile.</w:t>
      </w:r>
    </w:p>
    <w:p>
      <w:r/>
      <w:r>
        <w:t>Nous ne savons rien de la carrière de Jacques par la suite, jusqu’à l’année 44 environ, lorsque la prophétie de Jésus s’est accomplie : Jacques a été tué « par l’épée » par Hérode Agrippa Ier, devenant ainsi le premier des douze disciples dont le martyre est mentionné dans le NT (</w:t>
      </w:r>
      <w:hyperlink r:id="rId6996">
        <w:r>
          <w:rPr>
            <w:color w:val="0000EE"/>
            <w:u w:val="single"/>
          </w:rPr>
          <w:t>Actes 12:1–2</w:t>
        </w:r>
      </w:hyperlink>
      <w:r>
        <w:t>).</w:t>
      </w:r>
    </w:p>
    <w:p>
      <w:r/>
      <w:r>
        <w:t>La femme de Zébédée était Salomé (</w:t>
      </w:r>
      <w:hyperlink r:id="rId2740">
        <w:r>
          <w:rPr>
            <w:color w:val="0000EE"/>
            <w:u w:val="single"/>
          </w:rPr>
          <w:t>Matthieu 27:56</w:t>
        </w:r>
      </w:hyperlink>
      <w:r>
        <w:t xml:space="preserve">; </w:t>
      </w:r>
      <w:hyperlink r:id="rId2741">
        <w:r>
          <w:rPr>
            <w:color w:val="0000EE"/>
            <w:u w:val="single"/>
          </w:rPr>
          <w:t>Marc 15:40</w:t>
        </w:r>
      </w:hyperlink>
      <w:r>
        <w:t>), qui était peut-être une sœur de la mère du Seigneur (</w:t>
      </w:r>
      <w:hyperlink r:id="rId589">
        <w:r>
          <w:rPr>
            <w:color w:val="0000EE"/>
            <w:u w:val="single"/>
          </w:rPr>
          <w:t>Jean 19:25</w:t>
        </w:r>
      </w:hyperlink>
      <w:r>
        <w:t>). Si tel était le cas, cela signifierait que Jacques et Jean étaient des cousins germains de Jésus et qu’ils auraient pu se considérer comme étant dans une position privilégiée.</w:t>
      </w:r>
      <w:r/>
      <w:r/>
    </w:p>
    <w:p>
      <w:r/>
    </w:p>
    <w:p>
      <w:pPr>
        <w:pStyle w:val="Heading2"/>
      </w:pPr>
      <w:r>
        <w:t>Jacques, lettre de</w:t>
      </w:r>
      <w:r/>
    </w:p>
    <w:p>
      <w:r/>
      <w:r>
        <w:t>La première lettre des Épîtres générales, aussi appelées Épîtres catholiques.</w:t>
      </w:r>
    </w:p>
    <w:p>
      <w:r/>
      <w:r>
        <w:t>Sommaire</w:t>
      </w:r>
    </w:p>
    <w:p>
      <w:r/>
      <w:r>
        <w:t>• Auteur</w:t>
      </w:r>
    </w:p>
    <w:p>
      <w:r/>
      <w:r>
        <w:t>• Date, origine et destination</w:t>
      </w:r>
    </w:p>
    <w:p>
      <w:r/>
      <w:r>
        <w:t>• Objectifs et enseignement théologique</w:t>
      </w:r>
    </w:p>
    <w:p>
      <w:r/>
      <w:r>
        <w:t>• Contenu</w:t>
      </w:r>
    </w:p>
    <w:p>
      <w:pPr>
        <w:pStyle w:val="Heading3"/>
      </w:pPr>
      <w:r>
        <w:t>Auteur</w:t>
      </w:r>
    </w:p>
    <w:p>
      <w:r/>
      <w:r>
        <w:t>La lettre se présente comme ayant été écrite par « Jacques, serviteur de Dieu et du Seigneur Jésus-Christ » (</w:t>
      </w:r>
      <w:hyperlink r:id="rId3908">
        <w:r>
          <w:rPr>
            <w:color w:val="0000EE"/>
            <w:u w:val="single"/>
          </w:rPr>
          <w:t>Jc 1.1</w:t>
        </w:r>
      </w:hyperlink>
      <w:r>
        <w:t>). Mais qui était ce Jacques ? Parmi ceux qui sont mentionnés dans le Nouveau Testament (NT), seuls deux d'entre eux ont été considérés comme auteurs possibles de cette lettre : Jacques, fils de Zébédée, et Jacques, frère du Seigneur.</w:t>
      </w:r>
    </w:p>
    <w:p>
      <w:r/>
      <w:r>
        <w:t xml:space="preserve">Le Jacques qui a écrit cette épître n'était probablement pas le fils de Zébédée du même nom, car celui-ci est mort en martyr en 44 apr. J.‑C., donc avant qu'elle n'ait été écrite (voir </w:t>
      </w:r>
      <w:hyperlink r:id="rId6996">
        <w:r>
          <w:rPr>
            <w:color w:val="0000EE"/>
            <w:u w:val="single"/>
          </w:rPr>
          <w:t>Ac 12.1–2</w:t>
        </w:r>
      </w:hyperlink>
      <w:r>
        <w:t>). La plupart des chercheurs en concluent que l'auteur est donc Jacques, le frère de Jésus (</w:t>
      </w:r>
      <w:hyperlink r:id="rId2413">
        <w:r>
          <w:rPr>
            <w:color w:val="0000EE"/>
            <w:u w:val="single"/>
          </w:rPr>
          <w:t xml:space="preserve">Mc 6.3 </w:t>
        </w:r>
      </w:hyperlink>
      <w:r>
        <w:t xml:space="preserve">; </w:t>
      </w:r>
      <w:hyperlink r:id="rId5814">
        <w:r>
          <w:rPr>
            <w:color w:val="0000EE"/>
            <w:u w:val="single"/>
          </w:rPr>
          <w:t>Ga 1.19</w:t>
        </w:r>
      </w:hyperlink>
      <w:r>
        <w:t>) qui était à la tête de l'Église à Jérusalem (</w:t>
      </w:r>
      <w:hyperlink r:id="rId6997">
        <w:r>
          <w:rPr>
            <w:color w:val="0000EE"/>
            <w:u w:val="single"/>
          </w:rPr>
          <w:t xml:space="preserve">Ac 15.13, 19 </w:t>
        </w:r>
      </w:hyperlink>
      <w:r>
        <w:t xml:space="preserve">; </w:t>
      </w:r>
      <w:hyperlink r:id="rId6998">
        <w:r>
          <w:rPr>
            <w:color w:val="0000EE"/>
            <w:u w:val="single"/>
          </w:rPr>
          <w:t xml:space="preserve">21.17–25 </w:t>
        </w:r>
      </w:hyperlink>
      <w:r>
        <w:t xml:space="preserve">; </w:t>
      </w:r>
      <w:hyperlink r:id="rId6999">
        <w:r>
          <w:rPr>
            <w:color w:val="0000EE"/>
            <w:u w:val="single"/>
          </w:rPr>
          <w:t>Ga 2.12</w:t>
        </w:r>
      </w:hyperlink>
      <w:r>
        <w:t>). Le contenu de l'épître reflètent la judaïté et l'attachement à la loi qui caractérisaient ce Jacques.</w:t>
      </w:r>
    </w:p>
    <w:p>
      <w:r/>
      <w:r>
        <w:t xml:space="preserve">Jacques écrit en tant qu'ancien de l'Église de Jérusalem aux douze tribus de la dispersion. Il s'agit peut-être d'une façon de décrire la dispersion des Juifs chrétiens mentionnée dans </w:t>
      </w:r>
      <w:hyperlink r:id="rId997">
        <w:r>
          <w:rPr>
            <w:color w:val="0000EE"/>
            <w:u w:val="single"/>
          </w:rPr>
          <w:t>Actes 11.19</w:t>
        </w:r>
      </w:hyperlink>
      <w:r>
        <w:t xml:space="preserve">. Il leur présente la relation entre l'Évangile et la loi, que les Juifs tenaient en haute estime. Si les épîtres de Paul sont un commentaire sur les conséquences doctrinales de la mort et de la résurrection du Christ, l'épître de Jacques est plus axée sur l'enseignement du Christ durant sa vie terrestre et particulièrement sur le Sermon sur la montagne. </w:t>
      </w:r>
    </w:p>
    <w:p>
      <w:r/>
      <w:r>
        <w:t>Dans le Sermon sur la montagne comme dans l'épître de Jacques, l'amour est représenté comme l'accomplissement de la loi (</w:t>
      </w:r>
      <w:hyperlink r:id="rId7000">
        <w:r>
          <w:rPr>
            <w:color w:val="0000EE"/>
            <w:u w:val="single"/>
          </w:rPr>
          <w:t>Mt 7.12</w:t>
        </w:r>
      </w:hyperlink>
      <w:r>
        <w:t xml:space="preserve"> ; </w:t>
      </w:r>
      <w:hyperlink r:id="rId7001">
        <w:r>
          <w:rPr>
            <w:color w:val="0000EE"/>
            <w:u w:val="single"/>
          </w:rPr>
          <w:t>Jc 2.8</w:t>
        </w:r>
      </w:hyperlink>
      <w:r>
        <w:t>) et le langage est remarquablement similaire. Comparer par exemple:</w:t>
      </w:r>
    </w:p>
    <w:p>
      <w:pPr>
        <w:pStyle w:val="ListBullet"/>
        <w:spacing w:line="240" w:lineRule="auto"/>
        <w:ind w:left="720"/>
      </w:pPr>
      <w:r/>
      <w:hyperlink r:id="rId7002">
        <w:r>
          <w:rPr>
            <w:color w:val="0000EE"/>
            <w:u w:val="single"/>
          </w:rPr>
          <w:t>Jacques 1.2</w:t>
        </w:r>
      </w:hyperlink>
      <w:r>
        <w:t xml:space="preserve"> avec </w:t>
      </w:r>
      <w:hyperlink r:id="rId2715">
        <w:r>
          <w:rPr>
            <w:color w:val="0000EE"/>
            <w:u w:val="single"/>
          </w:rPr>
          <w:t>Matthieu 5.12</w:t>
        </w:r>
      </w:hyperlink>
      <w:r>
        <w:t xml:space="preserve"> ; </w:t>
      </w:r>
    </w:p>
    <w:p>
      <w:pPr>
        <w:pStyle w:val="ListBullet"/>
        <w:spacing w:line="240" w:lineRule="auto"/>
        <w:ind w:left="720"/>
      </w:pPr>
      <w:r/>
      <w:hyperlink r:id="rId7002">
        <w:r>
          <w:rPr>
            <w:color w:val="0000EE"/>
            <w:u w:val="single"/>
          </w:rPr>
          <w:t>Jacques</w:t>
        </w:r>
      </w:hyperlink>
      <w:hyperlink r:id="rId7003">
        <w:r>
          <w:rPr>
            <w:color w:val="0000EE"/>
            <w:u w:val="single"/>
          </w:rPr>
          <w:t xml:space="preserve"> 1.4</w:t>
        </w:r>
      </w:hyperlink>
      <w:r>
        <w:t xml:space="preserve"> avec </w:t>
      </w:r>
      <w:hyperlink r:id="rId2715">
        <w:r>
          <w:rPr>
            <w:color w:val="0000EE"/>
            <w:u w:val="single"/>
          </w:rPr>
          <w:t>Matthieu</w:t>
        </w:r>
      </w:hyperlink>
      <w:hyperlink r:id="rId7004">
        <w:r>
          <w:rPr>
            <w:color w:val="0000EE"/>
            <w:u w:val="single"/>
          </w:rPr>
          <w:t xml:space="preserve"> 5.48 </w:t>
        </w:r>
      </w:hyperlink>
      <w:r>
        <w:t xml:space="preserve">; </w:t>
      </w:r>
    </w:p>
    <w:p>
      <w:pPr>
        <w:pStyle w:val="ListBullet"/>
        <w:spacing w:line="240" w:lineRule="auto"/>
        <w:ind w:left="720"/>
      </w:pPr>
      <w:r/>
      <w:hyperlink r:id="rId7002">
        <w:r>
          <w:rPr>
            <w:color w:val="0000EE"/>
            <w:u w:val="single"/>
          </w:rPr>
          <w:t>Jacques</w:t>
        </w:r>
      </w:hyperlink>
      <w:hyperlink r:id="rId7005">
        <w:r>
          <w:rPr>
            <w:color w:val="0000EE"/>
            <w:u w:val="single"/>
          </w:rPr>
          <w:t xml:space="preserve"> 1.5</w:t>
        </w:r>
      </w:hyperlink>
      <w:r>
        <w:t xml:space="preserve"> et </w:t>
      </w:r>
      <w:hyperlink r:id="rId7006">
        <w:r>
          <w:rPr>
            <w:color w:val="0000EE"/>
            <w:u w:val="single"/>
          </w:rPr>
          <w:t>5.14–15</w:t>
        </w:r>
      </w:hyperlink>
      <w:r>
        <w:t xml:space="preserve"> avec </w:t>
      </w:r>
      <w:hyperlink r:id="rId2715">
        <w:r>
          <w:rPr>
            <w:color w:val="0000EE"/>
            <w:u w:val="single"/>
          </w:rPr>
          <w:t>Matthieu</w:t>
        </w:r>
      </w:hyperlink>
      <w:hyperlink r:id="rId7007">
        <w:r>
          <w:rPr>
            <w:color w:val="0000EE"/>
            <w:u w:val="single"/>
          </w:rPr>
          <w:t xml:space="preserve"> 7.7–11</w:t>
        </w:r>
      </w:hyperlink>
      <w:r>
        <w:t xml:space="preserve"> ; </w:t>
      </w:r>
    </w:p>
    <w:p>
      <w:pPr>
        <w:pStyle w:val="ListBullet"/>
        <w:spacing w:line="240" w:lineRule="auto"/>
        <w:ind w:left="720"/>
      </w:pPr>
      <w:r/>
      <w:hyperlink r:id="rId7002">
        <w:r>
          <w:rPr>
            <w:color w:val="0000EE"/>
            <w:u w:val="single"/>
          </w:rPr>
          <w:t>Jacques</w:t>
        </w:r>
      </w:hyperlink>
      <w:hyperlink r:id="rId7008">
        <w:r>
          <w:rPr>
            <w:color w:val="0000EE"/>
            <w:u w:val="single"/>
          </w:rPr>
          <w:t xml:space="preserve"> 2.13</w:t>
        </w:r>
      </w:hyperlink>
      <w:r>
        <w:t xml:space="preserve"> avec </w:t>
      </w:r>
      <w:hyperlink r:id="rId2715">
        <w:r>
          <w:rPr>
            <w:color w:val="0000EE"/>
            <w:u w:val="single"/>
          </w:rPr>
          <w:t>Matthieu</w:t>
        </w:r>
      </w:hyperlink>
      <w:hyperlink r:id="rId7009">
        <w:r>
          <w:rPr>
            <w:color w:val="0000EE"/>
            <w:u w:val="single"/>
          </w:rPr>
          <w:t xml:space="preserve"> 5.7</w:t>
        </w:r>
      </w:hyperlink>
      <w:r>
        <w:t xml:space="preserve"> et </w:t>
      </w:r>
      <w:hyperlink r:id="rId7010">
        <w:r>
          <w:rPr>
            <w:color w:val="0000EE"/>
            <w:u w:val="single"/>
          </w:rPr>
          <w:t>6.14–15</w:t>
        </w:r>
      </w:hyperlink>
      <w:r>
        <w:t xml:space="preserve"> ; </w:t>
      </w:r>
    </w:p>
    <w:p>
      <w:pPr>
        <w:pStyle w:val="ListBullet"/>
        <w:spacing w:line="240" w:lineRule="auto"/>
        <w:ind w:left="720"/>
      </w:pPr>
      <w:r/>
      <w:hyperlink r:id="rId7002">
        <w:r>
          <w:rPr>
            <w:color w:val="0000EE"/>
            <w:u w:val="single"/>
          </w:rPr>
          <w:t>Jacques</w:t>
        </w:r>
      </w:hyperlink>
      <w:hyperlink r:id="rId7011">
        <w:r>
          <w:rPr>
            <w:color w:val="0000EE"/>
            <w:u w:val="single"/>
          </w:rPr>
          <w:t xml:space="preserve"> 2.10</w:t>
        </w:r>
      </w:hyperlink>
      <w:r>
        <w:t xml:space="preserve"> avec </w:t>
      </w:r>
      <w:hyperlink r:id="rId2715">
        <w:r>
          <w:rPr>
            <w:color w:val="0000EE"/>
            <w:u w:val="single"/>
          </w:rPr>
          <w:t>Matthieu</w:t>
        </w:r>
      </w:hyperlink>
      <w:hyperlink r:id="rId7012">
        <w:r>
          <w:rPr>
            <w:color w:val="0000EE"/>
            <w:u w:val="single"/>
          </w:rPr>
          <w:t xml:space="preserve"> 5.19</w:t>
        </w:r>
      </w:hyperlink>
      <w:r>
        <w:t xml:space="preserve"> ; </w:t>
      </w:r>
    </w:p>
    <w:p>
      <w:pPr>
        <w:pStyle w:val="ListBullet"/>
        <w:spacing w:line="240" w:lineRule="auto"/>
        <w:ind w:left="720"/>
      </w:pPr>
      <w:r/>
      <w:hyperlink r:id="rId7002">
        <w:r>
          <w:rPr>
            <w:color w:val="0000EE"/>
            <w:u w:val="single"/>
          </w:rPr>
          <w:t>Jacques</w:t>
        </w:r>
      </w:hyperlink>
      <w:hyperlink r:id="rId378">
        <w:r>
          <w:rPr>
            <w:color w:val="0000EE"/>
            <w:u w:val="single"/>
          </w:rPr>
          <w:t xml:space="preserve"> 4.4</w:t>
        </w:r>
      </w:hyperlink>
      <w:r>
        <w:t xml:space="preserve"> avec </w:t>
      </w:r>
      <w:hyperlink r:id="rId2715">
        <w:r>
          <w:rPr>
            <w:color w:val="0000EE"/>
            <w:u w:val="single"/>
          </w:rPr>
          <w:t>Matthieu</w:t>
        </w:r>
      </w:hyperlink>
      <w:hyperlink r:id="rId7013">
        <w:r>
          <w:rPr>
            <w:color w:val="0000EE"/>
            <w:u w:val="single"/>
          </w:rPr>
          <w:t xml:space="preserve"> 6.24</w:t>
        </w:r>
      </w:hyperlink>
      <w:r>
        <w:t xml:space="preserve"> ; </w:t>
      </w:r>
    </w:p>
    <w:p>
      <w:pPr>
        <w:pStyle w:val="ListBullet"/>
        <w:spacing w:line="240" w:lineRule="auto"/>
        <w:ind w:left="720"/>
      </w:pPr>
      <w:r/>
      <w:hyperlink r:id="rId7002">
        <w:r>
          <w:rPr>
            <w:color w:val="0000EE"/>
            <w:u w:val="single"/>
          </w:rPr>
          <w:t>Jacques</w:t>
        </w:r>
      </w:hyperlink>
      <w:hyperlink r:id="rId7014">
        <w:r>
          <w:rPr>
            <w:color w:val="0000EE"/>
            <w:u w:val="single"/>
          </w:rPr>
          <w:t xml:space="preserve"> 4.11</w:t>
        </w:r>
      </w:hyperlink>
      <w:r>
        <w:t xml:space="preserve"> avec </w:t>
      </w:r>
      <w:hyperlink r:id="rId2715">
        <w:r>
          <w:rPr>
            <w:color w:val="0000EE"/>
            <w:u w:val="single"/>
          </w:rPr>
          <w:t>Matthieu</w:t>
        </w:r>
      </w:hyperlink>
      <w:hyperlink r:id="rId7015">
        <w:r>
          <w:rPr>
            <w:color w:val="0000EE"/>
            <w:u w:val="single"/>
          </w:rPr>
          <w:t xml:space="preserve"> 7.1–2</w:t>
        </w:r>
      </w:hyperlink>
      <w:r>
        <w:t xml:space="preserve"> ; </w:t>
      </w:r>
    </w:p>
    <w:p>
      <w:pPr>
        <w:pStyle w:val="ListBullet"/>
        <w:spacing w:line="240" w:lineRule="auto"/>
        <w:ind w:left="720"/>
      </w:pPr>
      <w:r/>
      <w:hyperlink r:id="rId7002">
        <w:r>
          <w:rPr>
            <w:color w:val="0000EE"/>
            <w:u w:val="single"/>
          </w:rPr>
          <w:t>Jacques</w:t>
        </w:r>
      </w:hyperlink>
      <w:hyperlink r:id="rId7016">
        <w:r>
          <w:rPr>
            <w:color w:val="0000EE"/>
            <w:u w:val="single"/>
          </w:rPr>
          <w:t xml:space="preserve"> 5.2</w:t>
        </w:r>
      </w:hyperlink>
      <w:r>
        <w:t xml:space="preserve"> avec </w:t>
      </w:r>
      <w:hyperlink r:id="rId2715">
        <w:r>
          <w:rPr>
            <w:color w:val="0000EE"/>
            <w:u w:val="single"/>
          </w:rPr>
          <w:t>Matthieu</w:t>
        </w:r>
      </w:hyperlink>
      <w:hyperlink r:id="rId7017">
        <w:r>
          <w:rPr>
            <w:color w:val="0000EE"/>
            <w:u w:val="single"/>
          </w:rPr>
          <w:t xml:space="preserve"> 6.19</w:t>
        </w:r>
      </w:hyperlink>
      <w:r>
        <w:t xml:space="preserve">. </w:t>
      </w:r>
    </w:p>
    <w:p>
      <w:r/>
      <w:r>
        <w:t xml:space="preserve">L'épître place le même accent que le Sermon sur la Montagne sur la justice dans l'Évangile en tant qu'accomplissement suprême de la loi. Jacques avait lui-même gagné le surnom « le Juste », un trait de caractère qui correspond à ces observations (voir </w:t>
      </w:r>
      <w:hyperlink r:id="rId7018">
        <w:r>
          <w:rPr>
            <w:color w:val="0000EE"/>
            <w:u w:val="single"/>
          </w:rPr>
          <w:t>Jc 1.20</w:t>
        </w:r>
      </w:hyperlink>
      <w:r>
        <w:t xml:space="preserve"> ; </w:t>
      </w:r>
      <w:hyperlink r:id="rId7011">
        <w:r>
          <w:rPr>
            <w:color w:val="0000EE"/>
            <w:u w:val="single"/>
          </w:rPr>
          <w:t>2.10</w:t>
        </w:r>
      </w:hyperlink>
      <w:r>
        <w:t xml:space="preserve"> ; comp. </w:t>
      </w:r>
      <w:hyperlink r:id="rId7019">
        <w:r>
          <w:rPr>
            <w:color w:val="0000EE"/>
            <w:u w:val="single"/>
          </w:rPr>
          <w:t>3.18</w:t>
        </w:r>
      </w:hyperlink>
      <w:r>
        <w:t xml:space="preserve"> avec </w:t>
      </w:r>
      <w:hyperlink r:id="rId7020">
        <w:r>
          <w:rPr>
            <w:color w:val="0000EE"/>
            <w:u w:val="single"/>
          </w:rPr>
          <w:t>Mt 5.20</w:t>
        </w:r>
      </w:hyperlink>
      <w:r>
        <w:t>). Il était donc particulièrement apte à diriger une Église encore zélée pour la loi (</w:t>
      </w:r>
      <w:hyperlink r:id="rId7021">
        <w:r>
          <w:rPr>
            <w:color w:val="0000EE"/>
            <w:u w:val="single"/>
          </w:rPr>
          <w:t>Ac 21.18–24</w:t>
        </w:r>
      </w:hyperlink>
      <w:r>
        <w:t xml:space="preserve"> ; </w:t>
      </w:r>
      <w:hyperlink r:id="rId6999">
        <w:r>
          <w:rPr>
            <w:color w:val="0000EE"/>
            <w:u w:val="single"/>
          </w:rPr>
          <w:t>Ga 2.12</w:t>
        </w:r>
      </w:hyperlink>
      <w:r>
        <w:t xml:space="preserve">). Si quelqu'un pouvait amener des Juifs à l'Évangile, c'était bien lui, car il présentait la justice selon le modèle de l'Ancien Testament (AT), combiné avec la foi évangélique (comp. aussi </w:t>
      </w:r>
      <w:hyperlink r:id="rId7001">
        <w:r>
          <w:rPr>
            <w:color w:val="0000EE"/>
            <w:u w:val="single"/>
          </w:rPr>
          <w:t>Jc 2.8</w:t>
        </w:r>
      </w:hyperlink>
      <w:r>
        <w:t xml:space="preserve"> avec </w:t>
      </w:r>
      <w:hyperlink r:id="rId7022">
        <w:r>
          <w:rPr>
            <w:color w:val="0000EE"/>
            <w:u w:val="single"/>
          </w:rPr>
          <w:t>Mt 5.44, 48</w:t>
        </w:r>
      </w:hyperlink>
      <w:r>
        <w:t>).</w:t>
      </w:r>
    </w:p>
    <w:p>
      <w:pPr>
        <w:pStyle w:val="Heading3"/>
      </w:pPr>
      <w:r>
        <w:t>Date, origine et destination</w:t>
      </w:r>
    </w:p>
    <w:p>
      <w:r/>
      <w:r>
        <w:t>De nombreux experts pensent que l'épître de Jacques a été écrite aussi tôt que 45–49 apr. J.‑C., car son contenu correspond aux débuts de l'Église, une époque où de nombreux chrétiens juifs n'avaient pas complètement rompu avec le judaïsme. Ainsi, Jacques utilise des termes comme « les douze tribus » (</w:t>
      </w:r>
      <w:hyperlink r:id="rId3908">
        <w:r>
          <w:rPr>
            <w:color w:val="0000EE"/>
            <w:u w:val="single"/>
          </w:rPr>
          <w:t>Jc 1.1</w:t>
        </w:r>
      </w:hyperlink>
      <w:r>
        <w:t>) et « synagogue » (</w:t>
      </w:r>
      <w:hyperlink r:id="rId7023">
        <w:r>
          <w:rPr>
            <w:color w:val="0000EE"/>
            <w:u w:val="single"/>
          </w:rPr>
          <w:t>2.2</w:t>
        </w:r>
      </w:hyperlink>
      <w:r>
        <w:t xml:space="preserve"> traduit du grec par « assemblée » dans la LSG). Son discours rappelle parfois celui des prophètes de l'AT (</w:t>
      </w:r>
      <w:hyperlink r:id="rId7024">
        <w:r>
          <w:rPr>
            <w:color w:val="0000EE"/>
            <w:u w:val="single"/>
          </w:rPr>
          <w:t>5.1 ss</w:t>
        </w:r>
      </w:hyperlink>
      <w:r>
        <w:t xml:space="preserve">) et d'autres fois celui du livre des Proverbes (comp. </w:t>
      </w:r>
      <w:hyperlink r:id="rId7005">
        <w:r>
          <w:rPr>
            <w:color w:val="0000EE"/>
            <w:u w:val="single"/>
          </w:rPr>
          <w:t>Jc 1.5</w:t>
        </w:r>
      </w:hyperlink>
      <w:r>
        <w:t xml:space="preserve"> avec </w:t>
      </w:r>
      <w:hyperlink r:id="rId7025">
        <w:r>
          <w:rPr>
            <w:color w:val="0000EE"/>
            <w:u w:val="single"/>
          </w:rPr>
          <w:t>Pr 2.6</w:t>
        </w:r>
      </w:hyperlink>
      <w:r>
        <w:t xml:space="preserve"> ; </w:t>
      </w:r>
      <w:hyperlink r:id="rId7026">
        <w:r>
          <w:rPr>
            <w:color w:val="0000EE"/>
            <w:u w:val="single"/>
          </w:rPr>
          <w:t>Jas 1.19</w:t>
        </w:r>
      </w:hyperlink>
      <w:r>
        <w:t xml:space="preserve"> avec </w:t>
      </w:r>
      <w:hyperlink r:id="rId7027">
        <w:r>
          <w:rPr>
            <w:color w:val="0000EE"/>
            <w:u w:val="single"/>
          </w:rPr>
          <w:t>Pr 29.20</w:t>
        </w:r>
      </w:hyperlink>
      <w:r>
        <w:t xml:space="preserve"> ; </w:t>
      </w:r>
      <w:hyperlink r:id="rId7019">
        <w:r>
          <w:rPr>
            <w:color w:val="0000EE"/>
            <w:u w:val="single"/>
          </w:rPr>
          <w:t>Jc 3.18</w:t>
        </w:r>
      </w:hyperlink>
      <w:r>
        <w:t xml:space="preserve"> avec </w:t>
      </w:r>
      <w:hyperlink r:id="rId1151">
        <w:r>
          <w:rPr>
            <w:color w:val="0000EE"/>
            <w:u w:val="single"/>
          </w:rPr>
          <w:t>Pr 11.30</w:t>
        </w:r>
      </w:hyperlink>
      <w:r>
        <w:t xml:space="preserve"> ; </w:t>
      </w:r>
      <w:hyperlink r:id="rId7028">
        <w:r>
          <w:rPr>
            <w:color w:val="0000EE"/>
            <w:u w:val="single"/>
          </w:rPr>
          <w:t>Jc 4.13–16</w:t>
        </w:r>
      </w:hyperlink>
      <w:r>
        <w:t xml:space="preserve"> avec </w:t>
      </w:r>
      <w:hyperlink r:id="rId7029">
        <w:r>
          <w:rPr>
            <w:color w:val="0000EE"/>
            <w:u w:val="single"/>
          </w:rPr>
          <w:t>Pr 27.1</w:t>
        </w:r>
      </w:hyperlink>
      <w:r>
        <w:t xml:space="preserve"> ; et </w:t>
      </w:r>
      <w:hyperlink r:id="rId693">
        <w:r>
          <w:rPr>
            <w:color w:val="0000EE"/>
            <w:u w:val="single"/>
          </w:rPr>
          <w:t>Jc 5.20</w:t>
        </w:r>
      </w:hyperlink>
      <w:r>
        <w:t xml:space="preserve"> avec </w:t>
      </w:r>
      <w:hyperlink r:id="rId7030">
        <w:r>
          <w:rPr>
            <w:color w:val="0000EE"/>
            <w:u w:val="single"/>
          </w:rPr>
          <w:t>Pr 10.12</w:t>
        </w:r>
      </w:hyperlink>
      <w:r>
        <w:t>). Comme mentionné plus tôt, le message de Jacques suit de près l'enseignement de Jésus, mais ne traite pas de la question de la relation entre les Gentils et la loi qui a pris de l'importance dans les années 50 et 60. De plus, contrairement aux épîtres de Pierre, Jude et Jean, Jacques ne dit rien concernant le problème des faux enseignants qui lui aussi devient plus important plus tard dans l'histoire de l'Église primitive. Aucun de ces indices ne correspond à une date de composition tardive. La lettre a probablement été écrite avant 50 apr. J.‑C., date du premier Concile de Jérusalem qui s'est réuni pour discuter de la question de la relation entre les Gentils et la loi (</w:t>
      </w:r>
      <w:hyperlink r:id="rId160">
        <w:r>
          <w:rPr>
            <w:color w:val="0000EE"/>
            <w:u w:val="single"/>
          </w:rPr>
          <w:t>Ac 15.1 ss</w:t>
        </w:r>
      </w:hyperlink>
      <w:r>
        <w:t>). La lettre aurait été écrite après 44 apr. J.‑C., date de la persécution déclenchée par Hérode Agrippa (</w:t>
      </w:r>
      <w:hyperlink r:id="rId7031">
        <w:r>
          <w:rPr>
            <w:color w:val="0000EE"/>
            <w:u w:val="single"/>
          </w:rPr>
          <w:t>12.1</w:t>
        </w:r>
      </w:hyperlink>
      <w:r>
        <w:t>). Cette persécution aurait poussé de nombreux chrétiens juifs à quitter Jérusalem. Ce sont peut-être ceux que Jacques appelle « la dispersion » (</w:t>
      </w:r>
      <w:hyperlink r:id="rId3908">
        <w:r>
          <w:rPr>
            <w:color w:val="0000EE"/>
            <w:u w:val="single"/>
          </w:rPr>
          <w:t>Jc 1.1</w:t>
        </w:r>
      </w:hyperlink>
      <w:r>
        <w:t>). Ainsi, l'épître aurait été écrite entre 45 et 49 apr. J.‑C., et serait le premier livre du NT à avoir été écrit. Même s'il n'est pas possible de déterminer l'exactitude de ces dates, il peut au moins être déterminé que la lettre a été écrite avant 61 ou 62 apr. J.‑C., date du martyre de Jacques, selon Flavius Josèphe.</w:t>
      </w:r>
    </w:p>
    <w:p>
      <w:r/>
      <w:r>
        <w:t xml:space="preserve">Un certain nombre de propositions ont été faites concernant l'origine géographique du livre, mais il ne fait guère de doute que la lettre a été écrite en Palestine. En effet, l'auteur fait des allusions qui conviennent généralement au Proche-Orient et plus particulièrement, à la Palestine (voir « les pluies de la première et de l'arrière-saison » dans </w:t>
      </w:r>
      <w:hyperlink r:id="rId5036">
        <w:r>
          <w:rPr>
            <w:color w:val="0000EE"/>
            <w:u w:val="single"/>
          </w:rPr>
          <w:t>5.7</w:t>
        </w:r>
      </w:hyperlink>
      <w:r>
        <w:t xml:space="preserve"> ; la source d'eau amère dans </w:t>
      </w:r>
      <w:hyperlink r:id="rId7032">
        <w:r>
          <w:rPr>
            <w:color w:val="0000EE"/>
            <w:u w:val="single"/>
          </w:rPr>
          <w:t>3.11</w:t>
        </w:r>
      </w:hyperlink>
      <w:r>
        <w:t xml:space="preserve"> ; le figuier, les olives et la vigne dans </w:t>
      </w:r>
      <w:hyperlink r:id="rId7033">
        <w:r>
          <w:rPr>
            <w:color w:val="0000EE"/>
            <w:u w:val="single"/>
          </w:rPr>
          <w:t>3.12</w:t>
        </w:r>
      </w:hyperlink>
      <w:r>
        <w:t xml:space="preserve"> ; et la « chaleur ardente » dans </w:t>
      </w:r>
      <w:hyperlink r:id="rId7034">
        <w:r>
          <w:rPr>
            <w:color w:val="0000EE"/>
            <w:u w:val="single"/>
          </w:rPr>
          <w:t>1.11</w:t>
        </w:r>
      </w:hyperlink>
      <w:r>
        <w:t>).</w:t>
      </w:r>
    </w:p>
    <w:p>
      <w:r/>
      <w:r>
        <w:t>Le contenu de la lettre indique clairement que Jacques s'adresse à des chrétiens juifs. Il les appelle les « douze tribus », un titre qui désigne Israël (</w:t>
      </w:r>
      <w:hyperlink r:id="rId3908">
        <w:r>
          <w:rPr>
            <w:color w:val="0000EE"/>
            <w:u w:val="single"/>
          </w:rPr>
          <w:t>1.1</w:t>
        </w:r>
      </w:hyperlink>
      <w:r>
        <w:t xml:space="preserve">). Il est supposé dans </w:t>
      </w:r>
      <w:hyperlink r:id="rId7035">
        <w:r>
          <w:rPr>
            <w:color w:val="0000EE"/>
            <w:u w:val="single"/>
          </w:rPr>
          <w:t>2.1</w:t>
        </w:r>
      </w:hyperlink>
      <w:r>
        <w:t xml:space="preserve"> qu'ils sont chrétiens. Leur lieu de rassemblement est appelé une synagogue (</w:t>
      </w:r>
      <w:hyperlink r:id="rId7023">
        <w:r>
          <w:rPr>
            <w:color w:val="0000EE"/>
            <w:u w:val="single"/>
          </w:rPr>
          <w:t>2.2</w:t>
        </w:r>
      </w:hyperlink>
      <w:r>
        <w:t>). Jacques parle de Dieu en tant que le « Seigneur des armées » (</w:t>
      </w:r>
      <w:hyperlink r:id="rId6529">
        <w:r>
          <w:rPr>
            <w:color w:val="0000EE"/>
            <w:u w:val="single"/>
          </w:rPr>
          <w:t>5.4</w:t>
        </w:r>
      </w:hyperlink>
      <w:r>
        <w:t>), un nom qui lui est fréquemment donné dans l'AT. Dans les passages plus courts et déconnectés de la lettre, il est impossible de découvrir quoi que ce soit sur les circonstances des lecteurs. La plupart de ces exhortations sont générales et se rapportent à des conditions sociales et spirituelles que l'on pourrait trouver parmi n'importe quel groupe de chrétiens à n'importe quelle époque. Les passages plus longs qui traitent de conditions sociales (</w:t>
      </w:r>
      <w:hyperlink r:id="rId7036">
        <w:r>
          <w:rPr>
            <w:color w:val="0000EE"/>
            <w:u w:val="single"/>
          </w:rPr>
          <w:t>2.1–12</w:t>
        </w:r>
      </w:hyperlink>
      <w:r>
        <w:t xml:space="preserve"> ; </w:t>
      </w:r>
      <w:hyperlink r:id="rId7037">
        <w:r>
          <w:rPr>
            <w:color w:val="0000EE"/>
            <w:u w:val="single"/>
          </w:rPr>
          <w:t>5.1–11</w:t>
        </w:r>
      </w:hyperlink>
      <w:r>
        <w:t xml:space="preserve">) fournissent des informations sur la situation des lecteurs. Jacques s'adresse à des chrétiens pauvres employés comme ouvriers agricoles par de riches propriétaires de terres. Quelques riches font peut-être partie de ses lecteurs chrétiens juifs (voir </w:t>
      </w:r>
      <w:hyperlink r:id="rId7038">
        <w:r>
          <w:rPr>
            <w:color w:val="0000EE"/>
            <w:u w:val="single"/>
          </w:rPr>
          <w:t>4.13–17</w:t>
        </w:r>
      </w:hyperlink>
      <w:r>
        <w:t>), mais Jacques se préoccupe principalement des pauvres. Ses dénonciations des abus des riches rappellent celles des prophètes de l'AT, particulièrement celles d'Amos.</w:t>
      </w:r>
    </w:p>
    <w:p>
      <w:pPr>
        <w:pStyle w:val="Heading3"/>
      </w:pPr>
      <w:r>
        <w:t>Objectifs et enseignement théologique</w:t>
      </w:r>
    </w:p>
    <w:p>
      <w:r/>
      <w:r>
        <w:t>La lettre de Jacques a pour objectifs de (1) fortifier les chrétiens juifs traversant des épreuves (</w:t>
      </w:r>
      <w:hyperlink r:id="rId7039">
        <w:r>
          <w:rPr>
            <w:color w:val="0000EE"/>
            <w:u w:val="single"/>
          </w:rPr>
          <w:t xml:space="preserve">Jc 1.2–4, 13–15 </w:t>
        </w:r>
      </w:hyperlink>
      <w:r>
        <w:t xml:space="preserve">; </w:t>
      </w:r>
      <w:hyperlink r:id="rId7040">
        <w:r>
          <w:rPr>
            <w:color w:val="0000EE"/>
            <w:u w:val="single"/>
          </w:rPr>
          <w:t>5.7–11</w:t>
        </w:r>
      </w:hyperlink>
      <w:r>
        <w:t>), (2) corriger une façon erronée de comprendre la doctrine de la justification par la foi (</w:t>
      </w:r>
      <w:hyperlink r:id="rId7041">
        <w:r>
          <w:rPr>
            <w:color w:val="0000EE"/>
            <w:u w:val="single"/>
          </w:rPr>
          <w:t>2.14–26</w:t>
        </w:r>
      </w:hyperlink>
      <w:r>
        <w:t>) ; et (3) de transmettre à la première génération de chrétiens un trésor de sagesse pratique.</w:t>
      </w:r>
    </w:p>
    <w:p>
      <w:r/>
      <w:r>
        <w:t>La théologie de l'Épître de Jacques n'est pas dogmatique. Elle ne mentionne pas les grands thèmes théologiques qui sont si importants dans les écrits de Paul et dans le reste du NT. Il n'y aucune mention de l'Incarnation et le nom de Christ n'apparaît que deux fois dans la lettre (</w:t>
      </w:r>
      <w:hyperlink r:id="rId3908">
        <w:r>
          <w:rPr>
            <w:color w:val="0000EE"/>
            <w:u w:val="single"/>
          </w:rPr>
          <w:t>1.1</w:t>
        </w:r>
      </w:hyperlink>
      <w:r>
        <w:t xml:space="preserve"> ; </w:t>
      </w:r>
      <w:hyperlink r:id="rId7035">
        <w:r>
          <w:rPr>
            <w:color w:val="0000EE"/>
            <w:u w:val="single"/>
          </w:rPr>
          <w:t>2.1</w:t>
        </w:r>
      </w:hyperlink>
      <w:r>
        <w:t>). Les souffrances, la mort et la résurrection du Christ n'y sont même pas mentionnées.</w:t>
      </w:r>
    </w:p>
    <w:p>
      <w:r/>
      <w:r>
        <w:t>La théologie de Jacques est pratique et a un caractère distinctement juif. Bien sûr, l'épître a aussi des caractéristiques chrétiennes. Jacques combine des éléments des deux pour produire cette lettre judéo-chrétienne.</w:t>
      </w:r>
    </w:p>
    <w:p>
      <w:r/>
      <w:r>
        <w:t>Les thèmes théologiques dont la lettre traite sont les suivants :</w:t>
      </w:r>
    </w:p>
    <w:p>
      <w:pPr>
        <w:pStyle w:val="Heading4"/>
      </w:pPr>
      <w:r>
        <w:t>La tentation et les épreuves</w:t>
      </w:r>
    </w:p>
    <w:p>
      <w:r/>
      <w:r>
        <w:t>La joie dans l'épreuve et l'utilité des épreuves pour développer et parfaire le caractère sont des enseignements juifs (</w:t>
      </w:r>
      <w:hyperlink r:id="rId7042">
        <w:r>
          <w:rPr>
            <w:color w:val="0000EE"/>
            <w:u w:val="single"/>
          </w:rPr>
          <w:t>1.2–4</w:t>
        </w:r>
      </w:hyperlink>
      <w:r>
        <w:t xml:space="preserve">). Jacques enseigne aussi sur l'origine des tentations (v. </w:t>
      </w:r>
      <w:hyperlink r:id="rId7043">
        <w:r>
          <w:rPr>
            <w:color w:val="0000EE"/>
            <w:u w:val="single"/>
          </w:rPr>
          <w:t>13–15</w:t>
        </w:r>
      </w:hyperlink>
      <w:r>
        <w:t xml:space="preserve">). Selon les rabbins, le péché s'explique par la présence d'un penchant mauvais dans l'homme qui l'y incite. Toutefois, Jacques précise que Dieu n'est pas la source de la tentation : « Dieu ne peut être tenté par le mal, et il ne tente lui-même personne. Mais chacun est tenté quand il est attiré et amorcé par sa propre convoitise » (v. </w:t>
      </w:r>
      <w:hyperlink r:id="rId7044">
        <w:r>
          <w:rPr>
            <w:color w:val="0000EE"/>
            <w:u w:val="single"/>
          </w:rPr>
          <w:t>13–14</w:t>
        </w:r>
      </w:hyperlink>
      <w:r>
        <w:t>).</w:t>
      </w:r>
    </w:p>
    <w:p>
      <w:pPr>
        <w:pStyle w:val="Heading4"/>
      </w:pPr>
      <w:r>
        <w:t>La loi</w:t>
      </w:r>
    </w:p>
    <w:p>
      <w:r/>
      <w:r>
        <w:t>La lettre entière se consacre à un enseignement éthique plutôt qu'à la doctrine. Comme mentionné plus tôt, il n'y a aucune mention de la mort et de la résurrection du Christ, vérités pourtant centrales à l'Évangile. Jacques présuppose l'Évangile et présente la mise en pratique du christianisme comme une loi parfaite. Il semble vouloir rassurer ses lecteurs judéo-chrétiens que pour eux, il existe toujours une loi (le bien inestimable de chaque Juif).</w:t>
      </w:r>
    </w:p>
    <w:p>
      <w:r/>
      <w:r>
        <w:t>La loi, comme règle de vie du christianisme, est une loi parfaite (</w:t>
      </w:r>
      <w:hyperlink r:id="rId7045">
        <w:r>
          <w:rPr>
            <w:color w:val="0000EE"/>
            <w:u w:val="single"/>
          </w:rPr>
          <w:t>1.25</w:t>
        </w:r>
      </w:hyperlink>
      <w:r>
        <w:t>) car elle a été perfectionnée par Jésus-Christ. C'est aussi une loi de liberté, c'est-à-dire une loi qui s'applique à ceux qui ont la liberté, non pas de la loi, mais du péché et de soi-même grâce à la « parole de vérité ». Ainsi, le mot « loi » décrit les règles de vie de la foi chrétienne et la norme de conduite pour le croyant en Jésus-Christ du point de vue d'un Juif palestinien chrétien.</w:t>
      </w:r>
    </w:p>
    <w:p>
      <w:r/>
      <w:r>
        <w:t xml:space="preserve">Cette tendance à décrire l'enseignement pratique chrétien comme loi apparaît dans </w:t>
      </w:r>
      <w:hyperlink r:id="rId7046">
        <w:r>
          <w:rPr>
            <w:color w:val="0000EE"/>
            <w:u w:val="single"/>
          </w:rPr>
          <w:t>2.8–13</w:t>
        </w:r>
      </w:hyperlink>
      <w:r>
        <w:t>, un passage qui explique pourquoi le favoritisme en faveur des riches est péché. L'impartialité est présentée comme l'obéissance à la loi royale « Tu aimeras ton prochain comme toi-même, vous faites bien » selon l’Écriture (</w:t>
      </w:r>
      <w:hyperlink r:id="rId7001">
        <w:r>
          <w:rPr>
            <w:color w:val="0000EE"/>
            <w:u w:val="single"/>
          </w:rPr>
          <w:t>2.8</w:t>
        </w:r>
      </w:hyperlink>
      <w:r>
        <w:t>), ici la loi de l'AT. Le mot « royal » fait allusion au royaume de Dieu. Cette règle de foi est donc pour ceux qui se soumettent au règne de Dieu. Cette assimilation de la loi aux règles de vie du christianisme est typique de toute la lettre.</w:t>
      </w:r>
    </w:p>
    <w:p>
      <w:pPr>
        <w:pStyle w:val="Heading4"/>
      </w:pPr>
      <w:r>
        <w:t>Le rapport entre la foi et les œuvres</w:t>
      </w:r>
    </w:p>
    <w:p>
      <w:r/>
      <w:r>
        <w:t>La foi joue un rôle important dans la théologie de Jacques. L'élément fondamental de la piété (</w:t>
      </w:r>
      <w:hyperlink r:id="rId7047">
        <w:r>
          <w:rPr>
            <w:color w:val="0000EE"/>
            <w:u w:val="single"/>
          </w:rPr>
          <w:t>1.3</w:t>
        </w:r>
      </w:hyperlink>
      <w:r>
        <w:t xml:space="preserve"> ; voir </w:t>
      </w:r>
      <w:hyperlink r:id="rId7048">
        <w:r>
          <w:rPr>
            <w:color w:val="0000EE"/>
            <w:u w:val="single"/>
          </w:rPr>
          <w:t>2.5</w:t>
        </w:r>
      </w:hyperlink>
      <w:r>
        <w:t>) est la foi en Dieu. Il ne s'agit pas seulement de croire en son existence, mais aussi de croire que Dieu est bon et bienveillant envers l'humanité (</w:t>
      </w:r>
      <w:hyperlink r:id="rId7049">
        <w:r>
          <w:rPr>
            <w:color w:val="0000EE"/>
            <w:u w:val="single"/>
          </w:rPr>
          <w:t>1.6</w:t>
        </w:r>
      </w:hyperlink>
      <w:r>
        <w:t>). La foi inclut la croyance en la puissance de Dieu et en sa capacité à faire des miracles. La foi est essentielle à la prière (</w:t>
      </w:r>
      <w:hyperlink r:id="rId7050">
        <w:r>
          <w:rPr>
            <w:color w:val="0000EE"/>
            <w:u w:val="single"/>
          </w:rPr>
          <w:t>5.15–16</w:t>
        </w:r>
      </w:hyperlink>
      <w:r>
        <w:t xml:space="preserve"> ; voir </w:t>
      </w:r>
      <w:hyperlink r:id="rId7049">
        <w:r>
          <w:rPr>
            <w:color w:val="0000EE"/>
            <w:u w:val="single"/>
          </w:rPr>
          <w:t>1.6</w:t>
        </w:r>
      </w:hyperlink>
      <w:r>
        <w:t>). Jacques a un concept de foi active qui va clairement au-delà du judaïsme puisqu'il caractérise la foi comme étant dans le Seigneur Jésus-Christ (</w:t>
      </w:r>
      <w:hyperlink r:id="rId7035">
        <w:r>
          <w:rPr>
            <w:color w:val="0000EE"/>
            <w:u w:val="single"/>
          </w:rPr>
          <w:t>2.1</w:t>
        </w:r>
      </w:hyperlink>
      <w:r>
        <w:t>).</w:t>
      </w:r>
    </w:p>
    <w:p>
      <w:r/>
      <w:r>
        <w:t xml:space="preserve">Il y a des similitudes entre le concept de la foi dans Jacques et celui présent dans les enseignements de Jésus. En effet, Jésus enseigne aussi que la foi permet de voir la puissance de Dieu et l'associe souvent à la guérison (voir </w:t>
      </w:r>
      <w:hyperlink r:id="rId7051">
        <w:r>
          <w:rPr>
            <w:color w:val="0000EE"/>
            <w:u w:val="single"/>
          </w:rPr>
          <w:t>Mt 21.22</w:t>
        </w:r>
      </w:hyperlink>
      <w:r>
        <w:t xml:space="preserve"> ; </w:t>
      </w:r>
      <w:hyperlink r:id="rId7052">
        <w:r>
          <w:rPr>
            <w:color w:val="0000EE"/>
            <w:u w:val="single"/>
          </w:rPr>
          <w:t>Mc 5.34</w:t>
        </w:r>
      </w:hyperlink>
      <w:r>
        <w:t xml:space="preserve"> ; </w:t>
      </w:r>
      <w:hyperlink r:id="rId7053">
        <w:r>
          <w:rPr>
            <w:color w:val="0000EE"/>
            <w:u w:val="single"/>
          </w:rPr>
          <w:t>11.24</w:t>
        </w:r>
      </w:hyperlink>
      <w:r>
        <w:t>).</w:t>
      </w:r>
    </w:p>
    <w:p>
      <w:r/>
      <w:r>
        <w:t xml:space="preserve">Le passage sur la foi le plus célèbre est </w:t>
      </w:r>
      <w:hyperlink r:id="rId7041">
        <w:r>
          <w:rPr>
            <w:color w:val="0000EE"/>
            <w:u w:val="single"/>
          </w:rPr>
          <w:t>Jacques 2.14–26</w:t>
        </w:r>
      </w:hyperlink>
      <w:r>
        <w:t xml:space="preserve">, passage qui clarifie son rapport avec les œuvres. Un examen attentif de ce passage démontre que Jacques ne contredit pas Paul. Pour Jacques et pour Paul, la foi est en le Seigneur Jésus-Christ, et cette foi produira toujours de bonnes œuvres. </w:t>
      </w:r>
    </w:p>
    <w:p>
      <w:r/>
      <w:r>
        <w:t>Il ne faut pas confondre la façon dont Jacques aborde le sujet des « œuvres » avec la façon dont Paul en parle le plus souvent dans Romains et dans Galates. Pour Jacques, les « œuvres » sont des œuvres de foi, la manifestation extérieure de la véritable spiritualité et particulièrement de l'amour (</w:t>
      </w:r>
      <w:hyperlink r:id="rId7001">
        <w:r>
          <w:rPr>
            <w:color w:val="0000EE"/>
            <w:u w:val="single"/>
          </w:rPr>
          <w:t>2.8</w:t>
        </w:r>
      </w:hyperlink>
      <w:r>
        <w:t>). Dans Romains et Galates, Paul utilise souvent le mot « œuvres » pour parler des œuvres de la loi par lesquelles certains pensaient qu'ils seraient justifiés devant Dieu. C'est contre cette hérésie que Paul s'oppose le plus fortement dans ses lettres aux Galates et aux Romains.</w:t>
      </w:r>
    </w:p>
    <w:p>
      <w:pPr>
        <w:pStyle w:val="Heading4"/>
      </w:pPr>
      <w:r>
        <w:t>La sagesse</w:t>
      </w:r>
    </w:p>
    <w:p>
      <w:r/>
      <w:r>
        <w:t>Le concept de la sagesse de Jacques illustre également l'arrière-plan juif de la lettre. La sagesse est principalement pratique plutôt que philosophique. Elle ne doit pas être confondue avec la capacité de raisonner ou celle de comprendre des problèmes intellectuels. Elle ne se préoccupe pas des questions du « pourquoi » et du « comment ». Elle doit être recherchée à travers la prière fervente ; c'est un don de Dieu (</w:t>
      </w:r>
      <w:hyperlink r:id="rId7005">
        <w:r>
          <w:rPr>
            <w:color w:val="0000EE"/>
            <w:u w:val="single"/>
          </w:rPr>
          <w:t>Jc 1.5</w:t>
        </w:r>
      </w:hyperlink>
      <w:r>
        <w:t xml:space="preserve">). Ces deux idées trouvent leurs racines dans les livres de sagesse juifs (voir </w:t>
      </w:r>
      <w:hyperlink r:id="rId7025">
        <w:r>
          <w:rPr>
            <w:color w:val="0000EE"/>
            <w:u w:val="single"/>
          </w:rPr>
          <w:t>Pr 2.6</w:t>
        </w:r>
      </w:hyperlink>
      <w:r>
        <w:t xml:space="preserve"> ; </w:t>
      </w:r>
      <w:hyperlink r:id="rId7054">
        <w:r>
          <w:rPr>
            <w:color w:val="0000EE"/>
            <w:u w:val="single"/>
          </w:rPr>
          <w:t>Sg 7.7</w:t>
        </w:r>
      </w:hyperlink>
      <w:r>
        <w:t xml:space="preserve"> ; </w:t>
      </w:r>
      <w:hyperlink r:id="rId7055">
        <w:r>
          <w:rPr>
            <w:color w:val="0000EE"/>
            <w:u w:val="single"/>
          </w:rPr>
          <w:t>Si 1.1</w:t>
        </w:r>
      </w:hyperlink>
      <w:r>
        <w:t>). Le sage démontre sa sagesse par sa bonne conduite (</w:t>
      </w:r>
      <w:hyperlink r:id="rId7056">
        <w:r>
          <w:rPr>
            <w:color w:val="0000EE"/>
            <w:u w:val="single"/>
          </w:rPr>
          <w:t>Jc 3.13</w:t>
        </w:r>
      </w:hyperlink>
      <w:r>
        <w:t xml:space="preserve">), alors que quelconque « sagesse » qui produit jalousie et égoïsme ne vient pas de Dieu (v. </w:t>
      </w:r>
      <w:hyperlink r:id="rId7057">
        <w:r>
          <w:rPr>
            <w:color w:val="0000EE"/>
            <w:u w:val="single"/>
          </w:rPr>
          <w:t>15–16</w:t>
        </w:r>
      </w:hyperlink>
      <w:r>
        <w:t>).</w:t>
      </w:r>
    </w:p>
    <w:p>
      <w:pPr>
        <w:pStyle w:val="Heading4"/>
      </w:pPr>
      <w:r>
        <w:t>La fin des temps</w:t>
      </w:r>
    </w:p>
    <w:p>
      <w:r/>
      <w:r>
        <w:t>Trois thèmes importants qui concernent la fin des temps sont abordés dans la lettre.</w:t>
      </w:r>
    </w:p>
    <w:p>
      <w:r/>
      <w:r>
        <w:t>Le royaume de Dieu</w:t>
      </w:r>
    </w:p>
    <w:p>
      <w:r/>
      <w:r>
        <w:t xml:space="preserve">Le royaume de Dieu est mentionné dans le contexte de l'enseignement de Jacques sur le favoritisme dans la première moitié du chapitre </w:t>
      </w:r>
      <w:hyperlink r:id="rId7058">
        <w:r>
          <w:rPr>
            <w:color w:val="0000EE"/>
            <w:u w:val="single"/>
          </w:rPr>
          <w:t>2</w:t>
        </w:r>
      </w:hyperlink>
      <w:r>
        <w:t>. Il ne faut pas être partial envers les riches, car Jacques demande : « Dieu n'a-t-il pas choisi les pauvres aux yeux du monde, pour qu'ils soient riches en la foi, et héritiers du royaume qu'il a promis à ceux qui l'aiment ? » (</w:t>
      </w:r>
      <w:hyperlink r:id="rId7048">
        <w:r>
          <w:rPr>
            <w:color w:val="0000EE"/>
            <w:u w:val="single"/>
          </w:rPr>
          <w:t>2.5</w:t>
        </w:r>
      </w:hyperlink>
      <w:r>
        <w:t xml:space="preserve">). Ce passage fait écho à l'enseignement de notre Seigneur dans </w:t>
      </w:r>
      <w:hyperlink r:id="rId7059">
        <w:r>
          <w:rPr>
            <w:color w:val="0000EE"/>
            <w:u w:val="single"/>
          </w:rPr>
          <w:t>Lc 6.20</w:t>
        </w:r>
      </w:hyperlink>
      <w:r>
        <w:t xml:space="preserve"> : « Heureux vous qui êtes pauvres, car le royaume de Dieu est à vous ». Le royaume le Dieu est son règne qui s'exerce déjà en partie dans cette vie, mais qui s'accomplira pleinement dans la vie à venir (comme « promis » dans </w:t>
      </w:r>
      <w:hyperlink r:id="rId7048">
        <w:r>
          <w:rPr>
            <w:color w:val="0000EE"/>
            <w:u w:val="single"/>
          </w:rPr>
          <w:t>Jc 2.5</w:t>
        </w:r>
      </w:hyperlink>
      <w:r>
        <w:t>).</w:t>
      </w:r>
    </w:p>
    <w:p>
      <w:r/>
      <w:r>
        <w:t>Le jugement</w:t>
      </w:r>
    </w:p>
    <w:p>
      <w:r/>
      <w:r>
        <w:t xml:space="preserve">Le jugement est un thème important qui porte sur la fin des temps dans Jacques. Dans </w:t>
      </w:r>
      <w:hyperlink r:id="rId7060">
        <w:r>
          <w:rPr>
            <w:color w:val="0000EE"/>
            <w:u w:val="single"/>
          </w:rPr>
          <w:t>2.12</w:t>
        </w:r>
      </w:hyperlink>
      <w:r>
        <w:t xml:space="preserve">, les lecteurs sont exhortés à parler et à agir comme devant être jugés par une loi de liberté. Le prochain verset leur rappelle que le jugement est sans miséricorde pour qui n'a pas fait miséricorde. En d'autres termes, le jugement sera administré selon les œuvres de l'amour. Dans </w:t>
      </w:r>
      <w:hyperlink r:id="rId7061">
        <w:r>
          <w:rPr>
            <w:color w:val="0000EE"/>
            <w:u w:val="single"/>
          </w:rPr>
          <w:t>3.1</w:t>
        </w:r>
      </w:hyperlink>
      <w:r>
        <w:t>, Jacques s'adresse à ceux qui désirent enseigner et explique que ceux qui enseignent seront jugés plus sévèrement.</w:t>
      </w:r>
    </w:p>
    <w:p>
      <w:r/>
      <w:r>
        <w:t xml:space="preserve">Le thème du jugement réapparaît dans </w:t>
      </w:r>
      <w:hyperlink r:id="rId7062">
        <w:r>
          <w:rPr>
            <w:color w:val="0000EE"/>
            <w:u w:val="single"/>
          </w:rPr>
          <w:t>5.1–6</w:t>
        </w:r>
      </w:hyperlink>
      <w:r>
        <w:t xml:space="preserve"> où l'auteur s'adresse aux injustes tel un prophète. Le jugement de Dieu s'abattra sur les riches propriétaires qui auront mené leur vies pour leur propre plaisir et au détriment des autres. Ils exploitent les pauvres qui sont à leur service et font condamner et tuer le juste qui ne leur résiste pas (</w:t>
      </w:r>
      <w:hyperlink r:id="rId6748">
        <w:r>
          <w:rPr>
            <w:color w:val="0000EE"/>
            <w:u w:val="single"/>
          </w:rPr>
          <w:t>5.6</w:t>
        </w:r>
      </w:hyperlink>
      <w:r>
        <w:t xml:space="preserve">). Le motif de leur sentence est déjà écrit (v. </w:t>
      </w:r>
      <w:hyperlink r:id="rId7063">
        <w:r>
          <w:rPr>
            <w:color w:val="0000EE"/>
            <w:u w:val="single"/>
          </w:rPr>
          <w:t>5</w:t>
        </w:r>
      </w:hyperlink>
      <w:r>
        <w:t>).</w:t>
      </w:r>
    </w:p>
    <w:p>
      <w:r/>
      <w:r>
        <w:t>Le dernier passage final portant sur le jugement (</w:t>
      </w:r>
      <w:hyperlink r:id="rId7064">
        <w:r>
          <w:rPr>
            <w:color w:val="0000EE"/>
            <w:u w:val="single"/>
          </w:rPr>
          <w:t>5.9</w:t>
        </w:r>
      </w:hyperlink>
      <w:r>
        <w:t>) s'adresse à ceux qui sont exploités ou souffrent. Jacques les exhorte à ne pas se plaindre les uns des autres. Juger revient à Dieu et le Juge est à la porte.</w:t>
      </w:r>
    </w:p>
    <w:p>
      <w:r/>
      <w:r>
        <w:t>Le retour de Christ</w:t>
      </w:r>
    </w:p>
    <w:p>
      <w:r/>
      <w:r>
        <w:t>L'espérance qui repose sur le retour futur du Christ alimente la persévérance dans la vie chrétienne. Le chrétien peut être patient et affermir son cœur, car le retour du Christ est proche (</w:t>
      </w:r>
      <w:hyperlink r:id="rId7065">
        <w:r>
          <w:rPr>
            <w:color w:val="0000EE"/>
            <w:u w:val="single"/>
          </w:rPr>
          <w:t>5.8</w:t>
        </w:r>
      </w:hyperlink>
      <w:r>
        <w:t>). Cette attente est puissante et s'applique dans le présent, ainsi qu'elle est également présentée dans les lettres aux Thessaloniciens.</w:t>
      </w:r>
    </w:p>
    <w:p>
      <w:pPr>
        <w:pStyle w:val="Heading3"/>
      </w:pPr>
      <w:r>
        <w:t>Contenu</w:t>
      </w:r>
    </w:p>
    <w:p>
      <w:r/>
      <w:r>
        <w:t>Comme typique des livres de sagesse juifs, Jacques aborde de nombreux sujets. Ses paragraphes sont courts et directs. La progression de sujet en sujet a été comparée à un collier de perles, chaque sujet étant relativement indépendant. Il y a parfois des transitions entre sujets, mais elles sont souvent difficiles à identifier et Jacques passe rapidement d'un sujet à un autre.</w:t>
      </w:r>
    </w:p>
    <w:p>
      <w:r/>
      <w:r>
        <w:t>L'auteur commence sa lettre en s'identifiant comme « serviteur de Dieu et du Seigneur Jésus-Christ » et en désignant ses lecteurs comme les « douze tribus qui sont dans la dispersion ». Comme mentionné plus tôt, ceci est peut-être une façon de désigner les chrétiens juifs qui sont partis de Jérusalem et d'Israël à cause de la persécution.</w:t>
      </w:r>
    </w:p>
    <w:p>
      <w:r/>
      <w:r>
        <w:t>Il commence avec un mot d'encouragement. Les épreuves doivent être regardées comme un sujet de joie, car elles sont un moyen que Dieu utilise pour tester le croyant et produire en eux la maturité spirituelle. S'il est besoin de sagesse, Dieu peut l'accorder. Il donne généreusement la sagesse à ceux qui la demandent avec foi (</w:t>
      </w:r>
      <w:hyperlink r:id="rId7066">
        <w:r>
          <w:rPr>
            <w:color w:val="0000EE"/>
            <w:u w:val="single"/>
          </w:rPr>
          <w:t>1.5–8</w:t>
        </w:r>
      </w:hyperlink>
      <w:r>
        <w:t>).</w:t>
      </w:r>
    </w:p>
    <w:p>
      <w:r/>
      <w:r>
        <w:t>Le chrétien qui est pauvre devrait être fier d'être élevé en Jésus-Christ. Le chrétien qui est riche devrait se glorifier d'apprendre l'humilité, car il a découvert qu'il y a des choses plus importantes que la richesse. Les richesses sont transitoires, comme des fleurs qui se dessèchent rapidement sous la chaleur du soleil de Palestine (</w:t>
      </w:r>
      <w:hyperlink r:id="rId7067">
        <w:r>
          <w:rPr>
            <w:color w:val="0000EE"/>
            <w:u w:val="single"/>
          </w:rPr>
          <w:t>1.9–11</w:t>
        </w:r>
      </w:hyperlink>
      <w:r>
        <w:t>).</w:t>
      </w:r>
    </w:p>
    <w:p>
      <w:r/>
      <w:r>
        <w:t>Dieu promet la vie à ceux qui endurent les épreuves. Il ne faut pas blâmer Dieu pour la tentation, car cela est contraire à sa nature même d'être tenté ou de tenter. La tentation provient du désir égoïste de chacun. Quand ce désir prend racine et donne naissance au péché, il produit la mort (</w:t>
      </w:r>
      <w:hyperlink r:id="rId7068">
        <w:r>
          <w:rPr>
            <w:color w:val="0000EE"/>
            <w:u w:val="single"/>
          </w:rPr>
          <w:t>1.12–15</w:t>
        </w:r>
      </w:hyperlink>
      <w:r>
        <w:t xml:space="preserve">). Dieu n'est pas l'origine de la tentation ; il est au contraire la source de tout bien. Le meilleur de ses dons est la nouvelle vie qui vient de la parole de la vérité (v. </w:t>
      </w:r>
      <w:hyperlink r:id="rId7069">
        <w:r>
          <w:rPr>
            <w:color w:val="0000EE"/>
            <w:u w:val="single"/>
          </w:rPr>
          <w:t>16–18</w:t>
        </w:r>
      </w:hyperlink>
      <w:r>
        <w:t>).</w:t>
      </w:r>
    </w:p>
    <w:p>
      <w:r/>
      <w:r>
        <w:t>Jacques avertit contre les dangers de la colère. En contraste, la parole de vérité doit être accueillie avec douceur. Cette écoute de la parole dans le bon état d'esprit spirituel peut apporter le salut (</w:t>
      </w:r>
      <w:hyperlink r:id="rId7070">
        <w:r>
          <w:rPr>
            <w:color w:val="0000EE"/>
            <w:u w:val="single"/>
          </w:rPr>
          <w:t>1.19–21</w:t>
        </w:r>
      </w:hyperlink>
      <w:r>
        <w:t xml:space="preserve">). Il ne faut pas se contenter d'écouter la parole, mais la mettre en pratique. Écouter sans mettre en pratique, c'est être comme un homme qui se voit dans un miroir et qui oublie ce qu'il a vu. Celui qui écoute activement plonge ses regards dans la Parole de Dieu, persévère et ne l'oublie pas, mais la met en pratique. Celui-là sera béni dans ce qu'il fait (v. </w:t>
      </w:r>
      <w:hyperlink r:id="rId7071">
        <w:r>
          <w:rPr>
            <w:color w:val="0000EE"/>
            <w:u w:val="single"/>
          </w:rPr>
          <w:t>22–25</w:t>
        </w:r>
      </w:hyperlink>
      <w:r>
        <w:t>).</w:t>
      </w:r>
    </w:p>
    <w:p>
      <w:r/>
      <w:r>
        <w:t>La vraie religion se voit dans la pratique et comprend de contrôler sa langue, d'aider les orphelins et les veuves, et d'adopter un mode de vie qui ne se conforme pas au monde (</w:t>
      </w:r>
      <w:hyperlink r:id="rId7072">
        <w:r>
          <w:rPr>
            <w:color w:val="0000EE"/>
            <w:u w:val="single"/>
          </w:rPr>
          <w:t>1.26–27</w:t>
        </w:r>
      </w:hyperlink>
      <w:r>
        <w:t>).</w:t>
      </w:r>
    </w:p>
    <w:p>
      <w:r/>
      <w:r>
        <w:t>Le favoritisme et la foi en Jésus-Christ ne vont pas de pair. Il est inacceptable de montrer du favoritisme envers un homme riche lorsqu'il vient dans l'assemblée et de ne faire aucun cas du pauvre. Dieu a choisi les pauvres pour être héritiers de son royaume. De plus, montrer du favoritisme envers les riches n'a pas de sens, car ce sont eux qui traînent les chrétiens devant les tribunaux et qui blasphèment le nom de Christ (</w:t>
      </w:r>
      <w:hyperlink r:id="rId7073">
        <w:r>
          <w:rPr>
            <w:color w:val="0000EE"/>
            <w:u w:val="single"/>
          </w:rPr>
          <w:t>2.1–7</w:t>
        </w:r>
      </w:hyperlink>
      <w:r>
        <w:t xml:space="preserve">). Montrer du favoritisme viole la loi royale de Dieu, qui est d'aimer son prochain comme soi-même. C'est un péché que Dieu jugera. Il suffit de pécher dans un domaine pour devenir transgresseur à l'égard de toute la loi (v. </w:t>
      </w:r>
      <w:hyperlink r:id="rId7046">
        <w:r>
          <w:rPr>
            <w:color w:val="0000EE"/>
            <w:u w:val="single"/>
          </w:rPr>
          <w:t>8–13</w:t>
        </w:r>
      </w:hyperlink>
      <w:r>
        <w:t>).</w:t>
      </w:r>
    </w:p>
    <w:p>
      <w:r/>
      <w:r>
        <w:t>Une foi qui ne produit pas d'œuvres peut-elle mener au salut ? À quoi sert une foi qui ne réagit pas aux besoins des autres ? Une telle foi est morte. Quelqu'un pourrait objecter en disant que certains sont chrétiens par la foi et d'autres chrétiens par les œuvres. Mais ce n'est pas le cas. La foi véritable se manifeste toujours par des œuvres. Il ne suffit pas d'avoir des croyances orthodoxes. Même les démons sont théologiquement orthodoxes ! Abraham, en offrant Isaac, donne un exemple de la façon dont la foi véritable et les œuvres vont de pair. Même Rahab, la prostituée, a démontré sa foi en protégeant les espions à Jéricho. Ainsi, la foi et les œuvres sont inséparables (</w:t>
      </w:r>
      <w:hyperlink r:id="rId7041">
        <w:r>
          <w:rPr>
            <w:color w:val="0000EE"/>
            <w:u w:val="single"/>
          </w:rPr>
          <w:t>2.14–26</w:t>
        </w:r>
      </w:hyperlink>
      <w:r>
        <w:t>).</w:t>
      </w:r>
    </w:p>
    <w:p>
      <w:r/>
      <w:r>
        <w:t>Peu de gens devraient devenir des enseignants spirituels, car cela entraîne une énorme responsabilité. Nous sommes tous sujets à des erreurs, notamment des erreurs dans nos paroles, car la langue est presque impossible à contrôler. Elle est comme un incendie destructeur allumé par l'enfer lui-même. La langue est souvent incohérente : elle est peut-être utilisée pour louer Dieu tout en maudissant les hommes. Cela ne devrait pas se faire (</w:t>
      </w:r>
      <w:hyperlink r:id="rId7074">
        <w:r>
          <w:rPr>
            <w:color w:val="0000EE"/>
            <w:u w:val="single"/>
          </w:rPr>
          <w:t>3.1–12</w:t>
        </w:r>
      </w:hyperlink>
      <w:r>
        <w:t>).</w:t>
      </w:r>
    </w:p>
    <w:p>
      <w:r/>
      <w:r>
        <w:t>La véritable sagesse se manifeste toujours dans la transformation du caractère, tandis que la fausse sagesse produit de la jalousie et de l'ambition égoïste (</w:t>
      </w:r>
      <w:hyperlink r:id="rId7075">
        <w:r>
          <w:rPr>
            <w:color w:val="0000EE"/>
            <w:u w:val="single"/>
          </w:rPr>
          <w:t>3.13–18</w:t>
        </w:r>
      </w:hyperlink>
      <w:r>
        <w:t>).</w:t>
      </w:r>
    </w:p>
    <w:p>
      <w:r/>
      <w:r>
        <w:t>Les conflits et les querelles tirent leurs origines de mauvais désirs. L'homme n'obtient pas ce qu'il désire soit parce qu'il ne le demande pas à Dieu, soit parce qu'il demande de mauvaises choses. Être un ami du monde, c'est être un ennemi de Dieu, car Dieu est un Dieu jaloux qui ne tolère aucun rival. Il s'oppose aux orgueilleux mais fait grâce aux humbles (</w:t>
      </w:r>
      <w:hyperlink r:id="rId7076">
        <w:r>
          <w:rPr>
            <w:color w:val="0000EE"/>
            <w:u w:val="single"/>
          </w:rPr>
          <w:t>4.1–10</w:t>
        </w:r>
      </w:hyperlink>
      <w:r>
        <w:t>).</w:t>
      </w:r>
    </w:p>
    <w:p>
      <w:r/>
      <w:r>
        <w:t>Parler contre un frère ou une sœur, ou les juger, c'est parler contre la loi de Dieu et la juger. La place du chrétien est de pratiquer la loi, non d'être juge. Le rôle de juge appartient à Dieu seul (</w:t>
      </w:r>
      <w:hyperlink r:id="rId7077">
        <w:r>
          <w:rPr>
            <w:color w:val="0000EE"/>
            <w:u w:val="single"/>
          </w:rPr>
          <w:t>4.11–12</w:t>
        </w:r>
      </w:hyperlink>
      <w:r>
        <w:t>).</w:t>
      </w:r>
    </w:p>
    <w:p>
      <w:r/>
      <w:r>
        <w:t>La vie est pleine d'incertitudes. Par conséquent, les projets doivent être faits en réalisant qu'ils dépendent tous de la volonté de Dieu. Agir autrement, c'est faire preuve d'orgueil et d'arrogance. C'est également un péché de s'abstenir de faire le bien qu'on sait qu'on doit faire (</w:t>
      </w:r>
      <w:hyperlink r:id="rId7038">
        <w:r>
          <w:rPr>
            <w:color w:val="0000EE"/>
            <w:u w:val="single"/>
          </w:rPr>
          <w:t>4.13–17</w:t>
        </w:r>
      </w:hyperlink>
      <w:r>
        <w:t>).</w:t>
      </w:r>
    </w:p>
    <w:p>
      <w:r/>
      <w:r>
        <w:t>Le jugement des riches arrive sur eux parce qu'ils accumulent leur richesse au lieu de l'utiliser pour faire le bien. Dieu n'est pas insensible aux cris des pauvres que les riches ont exploités et opprimés. Un jugement terrible les attend (</w:t>
      </w:r>
      <w:hyperlink r:id="rId7062">
        <w:r>
          <w:rPr>
            <w:color w:val="0000EE"/>
            <w:u w:val="single"/>
          </w:rPr>
          <w:t>5.1–6</w:t>
        </w:r>
      </w:hyperlink>
      <w:r>
        <w:t>).</w:t>
      </w:r>
    </w:p>
    <w:p>
      <w:r/>
      <w:r>
        <w:t>Face à la souffrance et à l'injustice, les pauvres doivent patiemment attendre le retour du Christ, comme le fermier attend patiemment que Dieu envoie les pluies pour faire pousser et mûrir ses récoltes. Les chrétiens ne doivent pas se plaindre les uns des autres, car le le retour de Christ est proche. Job donne un bon exemple de patience et d'endurance dans la souffrance. Il ne faut pas utiliser de serments pour garantir la véracité de ce qu'on affirme. Un simple oui ou non suffit (</w:t>
      </w:r>
      <w:hyperlink r:id="rId7078">
        <w:r>
          <w:rPr>
            <w:color w:val="0000EE"/>
            <w:u w:val="single"/>
          </w:rPr>
          <w:t>5.7–12</w:t>
        </w:r>
      </w:hyperlink>
      <w:r>
        <w:t>).</w:t>
      </w:r>
    </w:p>
    <w:p>
      <w:r/>
      <w:r>
        <w:t>Ceux qui souffrent devraient prier et ceux qui sont la joie devraient louer le Seigneur. Lorsque les croyants sont malades, qu'ils fassent appeler les anciens de l'Église pour que ceux-ci prient pour eux et les oignent d'huile. La prière de la foi sauvera le malade, et le Seigneur le relèvera. Si cette maladie est due à un péché personnel et que ce péché est confessé, Dieu pardonnera. Élie est un exemple classique de ce que Dieu peut faire quand un homme juste prie (</w:t>
      </w:r>
      <w:hyperlink r:id="rId7079">
        <w:r>
          <w:rPr>
            <w:color w:val="0000EE"/>
            <w:u w:val="single"/>
          </w:rPr>
          <w:t>5.13–18</w:t>
        </w:r>
      </w:hyperlink>
      <w:r>
        <w:t>).</w:t>
      </w:r>
    </w:p>
    <w:p>
      <w:r/>
      <w:r>
        <w:t>Si un chrétien constate qu'un autre chrétien s'est égaré de la vérité et parvient à le ramener dans la communion de Christ et de son Église, un pécheur aura été sauvé de la mort et Dieu lui pardonnera (</w:t>
      </w:r>
      <w:hyperlink r:id="rId7080">
        <w:r>
          <w:rPr>
            <w:color w:val="0000EE"/>
            <w:u w:val="single"/>
          </w:rPr>
          <w:t>5.19–20</w:t>
        </w:r>
      </w:hyperlink>
      <w:r>
        <w:t>).</w:t>
      </w:r>
    </w:p>
    <w:p>
      <w:r/>
      <w:r>
        <w:rPr>
          <w:i/>
        </w:rPr>
        <w:t>Voir aussi</w:t>
      </w:r>
      <w:r>
        <w:t xml:space="preserve"> </w:t>
      </w:r>
      <w:r>
        <w:t>frères de Jésus</w:t>
      </w:r>
      <w:r>
        <w:t xml:space="preserve"> ; </w:t>
      </w:r>
      <w:r>
        <w:t>Jacques (personne)</w:t>
      </w:r>
      <w:r>
        <w:t>.</w:t>
      </w:r>
      <w:r/>
      <w:r/>
    </w:p>
    <w:p>
      <w:r/>
    </w:p>
    <w:p>
      <w:pPr>
        <w:pStyle w:val="Heading2"/>
      </w:pPr>
      <w:r>
        <w:t>Jaelam</w:t>
      </w:r>
      <w:r/>
    </w:p>
    <w:p>
      <w:r/>
      <w:r>
        <w:t>Fils d'Ésaü et chef d'un clan édomite (</w:t>
      </w:r>
      <w:hyperlink r:id="rId7081">
        <w:r>
          <w:rPr>
            <w:color w:val="0000EE"/>
            <w:u w:val="single"/>
          </w:rPr>
          <w:t>Gn 36.5, 14, 18</w:t>
        </w:r>
      </w:hyperlink>
      <w:r>
        <w:t xml:space="preserve"> ; </w:t>
      </w:r>
      <w:hyperlink r:id="rId7082">
        <w:r>
          <w:rPr>
            <w:color w:val="0000EE"/>
            <w:u w:val="single"/>
          </w:rPr>
          <w:t>1Ch 1.35</w:t>
        </w:r>
      </w:hyperlink>
      <w:r>
        <w:t>).</w:t>
      </w:r>
      <w:r/>
      <w:r/>
    </w:p>
    <w:p>
      <w:r/>
    </w:p>
    <w:p>
      <w:pPr>
        <w:pStyle w:val="Heading2"/>
      </w:pPr>
      <w:r>
        <w:t>Jahleel, Jahleélite</w:t>
      </w:r>
      <w:r/>
    </w:p>
    <w:p>
      <w:r/>
      <w:r>
        <w:t>Fils de Zabulon (</w:t>
      </w:r>
      <w:hyperlink r:id="rId4650">
        <w:r>
          <w:rPr>
            <w:color w:val="0000EE"/>
            <w:u w:val="single"/>
          </w:rPr>
          <w:t>Gn 46.14</w:t>
        </w:r>
      </w:hyperlink>
      <w:r>
        <w:t>) et fondateur de la famille Jahleélite (</w:t>
      </w:r>
      <w:hyperlink r:id="rId4651">
        <w:r>
          <w:rPr>
            <w:color w:val="0000EE"/>
            <w:u w:val="single"/>
          </w:rPr>
          <w:t>Nb 26.26</w:t>
        </w:r>
      </w:hyperlink>
      <w:r>
        <w:t>).</w:t>
      </w:r>
      <w:r/>
      <w:r/>
    </w:p>
    <w:p>
      <w:r/>
    </w:p>
    <w:p>
      <w:pPr>
        <w:pStyle w:val="Heading2"/>
      </w:pPr>
      <w:r>
        <w:t>Jahtseel, Jahtseélite</w:t>
      </w:r>
      <w:r/>
    </w:p>
    <w:p>
      <w:r/>
      <w:r>
        <w:t>Fils de Nephthali (</w:t>
      </w:r>
      <w:hyperlink r:id="rId6164">
        <w:r>
          <w:rPr>
            <w:color w:val="0000EE"/>
            <w:u w:val="single"/>
          </w:rPr>
          <w:t>Gn 46.24</w:t>
        </w:r>
      </w:hyperlink>
      <w:r>
        <w:t xml:space="preserve"> ; </w:t>
      </w:r>
      <w:hyperlink r:id="rId6165">
        <w:r>
          <w:rPr>
            <w:color w:val="0000EE"/>
            <w:u w:val="single"/>
          </w:rPr>
          <w:t>1Ch 7.13</w:t>
        </w:r>
      </w:hyperlink>
      <w:r>
        <w:t xml:space="preserve">) et fondateur de la famille </w:t>
      </w:r>
      <w:r>
        <w:t>Jahtseélite</w:t>
      </w:r>
      <w:r>
        <w:t xml:space="preserve"> (</w:t>
      </w:r>
      <w:hyperlink r:id="rId7083">
        <w:r>
          <w:rPr>
            <w:color w:val="0000EE"/>
            <w:u w:val="single"/>
          </w:rPr>
          <w:t>Nb 26.48</w:t>
        </w:r>
      </w:hyperlink>
      <w:r>
        <w:t>).</w:t>
      </w:r>
      <w:r/>
      <w:r/>
    </w:p>
    <w:p>
      <w:r/>
    </w:p>
    <w:p>
      <w:pPr>
        <w:pStyle w:val="Heading2"/>
      </w:pPr>
      <w:r>
        <w:t>Jaïr</w:t>
      </w:r>
      <w:r/>
    </w:p>
    <w:p>
      <w:pPr>
        <w:pStyle w:val="ListNumber"/>
        <w:spacing w:line="240" w:lineRule="auto"/>
        <w:ind w:left="720"/>
      </w:pPr>
      <w:r/>
      <w:r>
        <w:t>Descendant de Manassé (</w:t>
      </w:r>
      <w:hyperlink r:id="rId7084">
        <w:r>
          <w:rPr>
            <w:color w:val="0000EE"/>
            <w:u w:val="single"/>
          </w:rPr>
          <w:t>Nb 32.41</w:t>
        </w:r>
      </w:hyperlink>
      <w:r>
        <w:t>). Au moment de la Conquête, il prendra plusieurs villages dans la région d'Argob en Basan et Galaad et les appellera de son propre nom, bourgs de Jaïr, signifiant « Villes de Jaïr » (</w:t>
      </w:r>
      <w:hyperlink r:id="rId7085">
        <w:r>
          <w:rPr>
            <w:color w:val="0000EE"/>
            <w:u w:val="single"/>
          </w:rPr>
          <w:t>Dt 3.14</w:t>
        </w:r>
      </w:hyperlink>
      <w:r>
        <w:t xml:space="preserve"> ; voir </w:t>
      </w:r>
      <w:hyperlink r:id="rId7086">
        <w:r>
          <w:rPr>
            <w:color w:val="0000EE"/>
            <w:u w:val="single"/>
          </w:rPr>
          <w:t>Jos 13.30</w:t>
        </w:r>
      </w:hyperlink>
      <w:r>
        <w:t xml:space="preserve"> ; </w:t>
      </w:r>
      <w:hyperlink r:id="rId1251">
        <w:r>
          <w:rPr>
            <w:color w:val="0000EE"/>
            <w:u w:val="single"/>
          </w:rPr>
          <w:t>1R 4.13</w:t>
        </w:r>
      </w:hyperlink>
      <w:r>
        <w:t xml:space="preserve"> ; </w:t>
      </w:r>
      <w:hyperlink r:id="rId7087">
        <w:r>
          <w:rPr>
            <w:color w:val="0000EE"/>
            <w:u w:val="single"/>
          </w:rPr>
          <w:t>1Ch 2.23</w:t>
        </w:r>
      </w:hyperlink>
      <w:r>
        <w:t>).</w:t>
      </w:r>
    </w:p>
    <w:p>
      <w:r/>
      <w:r>
        <w:rPr>
          <w:i/>
        </w:rPr>
        <w:t>Voir aussi</w:t>
      </w:r>
      <w:r>
        <w:t xml:space="preserve"> </w:t>
      </w:r>
      <w:r>
        <w:t>Havoth-Jaïr, bourgs de Jaïr</w:t>
      </w:r>
      <w:r>
        <w:t>.</w:t>
      </w:r>
    </w:p>
    <w:p>
      <w:pPr>
        <w:pStyle w:val="ListNumber"/>
        <w:spacing w:line="240" w:lineRule="auto"/>
        <w:ind w:left="720"/>
      </w:pPr>
      <w:r/>
      <w:r>
        <w:t>Un des juges d'Israël. Il a jugé Israël pendant vingt-deux ans. Étant Galaadite, il est possible qu'il ait été un descendant du n° 1 ci-dessus (</w:t>
      </w:r>
      <w:hyperlink r:id="rId7088">
        <w:r>
          <w:rPr>
            <w:color w:val="0000EE"/>
            <w:u w:val="single"/>
          </w:rPr>
          <w:t>Jg 10.3–5</w:t>
        </w:r>
      </w:hyperlink>
      <w:r>
        <w:t>).</w:t>
      </w:r>
    </w:p>
    <w:p>
      <w:pPr>
        <w:pStyle w:val="ListNumber"/>
        <w:spacing w:line="240" w:lineRule="auto"/>
        <w:ind w:left="720"/>
      </w:pPr>
      <w:r/>
      <w:r>
        <w:t>Père d'Elchanan, qui tuera Lachmi, le frère de Goliath (</w:t>
      </w:r>
      <w:hyperlink r:id="rId7089">
        <w:r>
          <w:rPr>
            <w:color w:val="0000EE"/>
            <w:u w:val="single"/>
          </w:rPr>
          <w:t>1Ch 20.5</w:t>
        </w:r>
      </w:hyperlink>
      <w:r>
        <w:t xml:space="preserve">). Dans </w:t>
      </w:r>
      <w:hyperlink r:id="rId7090">
        <w:r>
          <w:rPr>
            <w:color w:val="0000EE"/>
            <w:u w:val="single"/>
          </w:rPr>
          <w:t>2S 21.19</w:t>
        </w:r>
      </w:hyperlink>
      <w:r>
        <w:t xml:space="preserve">, il est appelé </w:t>
      </w:r>
      <w:r>
        <w:t>Jaaré-Oreguim</w:t>
      </w:r>
      <w:r>
        <w:t>.</w:t>
      </w:r>
    </w:p>
    <w:p>
      <w:pPr>
        <w:pStyle w:val="ListNumber"/>
        <w:spacing w:line="240" w:lineRule="auto"/>
        <w:ind w:left="720"/>
      </w:pPr>
      <w:r/>
      <w:r>
        <w:t>Père de Mardochée (</w:t>
      </w:r>
      <w:hyperlink r:id="rId1789">
        <w:r>
          <w:rPr>
            <w:color w:val="0000EE"/>
            <w:u w:val="single"/>
          </w:rPr>
          <w:t>Est 2.5</w:t>
        </w:r>
      </w:hyperlink>
      <w:r>
        <w:t>). Il y a un saut dans le temps au début du livre d'Esther, de 597 av. J.‑C. (lorsque Jeconiah, roi de Juda, a été capturé) à 486 av. J.‑C. (lorsque Xerxès, roi de Perse, a commencé son règne). Ainsi, Jaïr était soit celui qui a été capturé avec Jeconiah, soit son père, Schimeï. Dans ce cas, Jaïr serait né pendant la captivité.</w:t>
      </w:r>
      <w:r/>
      <w:r/>
    </w:p>
    <w:p>
      <w:r/>
    </w:p>
    <w:p>
      <w:pPr>
        <w:pStyle w:val="Heading2"/>
      </w:pPr>
      <w:r>
        <w:t>Jakin</w:t>
      </w:r>
      <w:r/>
    </w:p>
    <w:p>
      <w:pPr>
        <w:pStyle w:val="ListNumber"/>
        <w:spacing w:line="240" w:lineRule="auto"/>
        <w:ind w:left="720"/>
      </w:pPr>
      <w:r/>
      <w:r>
        <w:t>Fils de Siméon et chef des Jachinites, qui a déménagé en Égypte avec son grand-père Jacob (</w:t>
      </w:r>
      <w:hyperlink r:id="rId7091">
        <w:r>
          <w:rPr>
            <w:color w:val="0000EE"/>
            <w:u w:val="single"/>
          </w:rPr>
          <w:t>Gn 46.10</w:t>
        </w:r>
      </w:hyperlink>
      <w:r>
        <w:t xml:space="preserve"> ; </w:t>
      </w:r>
      <w:hyperlink r:id="rId7092">
        <w:r>
          <w:rPr>
            <w:color w:val="0000EE"/>
            <w:u w:val="single"/>
          </w:rPr>
          <w:t>Ex 6.15</w:t>
        </w:r>
      </w:hyperlink>
      <w:r>
        <w:t xml:space="preserve"> ; </w:t>
      </w:r>
      <w:hyperlink r:id="rId7093">
        <w:r>
          <w:rPr>
            <w:color w:val="0000EE"/>
            <w:u w:val="single"/>
          </w:rPr>
          <w:t>Nb 26.12</w:t>
        </w:r>
      </w:hyperlink>
      <w:r>
        <w:t xml:space="preserve">). Il est appelé Jarib dans </w:t>
      </w:r>
      <w:hyperlink r:id="rId7094">
        <w:r>
          <w:rPr>
            <w:color w:val="0000EE"/>
            <w:u w:val="single"/>
          </w:rPr>
          <w:t>1 Chroniques 4.24</w:t>
        </w:r>
      </w:hyperlink>
      <w:r>
        <w:t>.</w:t>
      </w:r>
    </w:p>
    <w:p>
      <w:pPr>
        <w:pStyle w:val="ListNumber"/>
        <w:spacing w:line="240" w:lineRule="auto"/>
        <w:ind w:left="720"/>
      </w:pPr>
      <w:r/>
      <w:r>
        <w:t>Un prêtre qui vivait à Jérusalem après l'exil à Babylone (</w:t>
      </w:r>
      <w:hyperlink r:id="rId7095">
        <w:r>
          <w:rPr>
            <w:color w:val="0000EE"/>
            <w:u w:val="single"/>
          </w:rPr>
          <w:t>1Ch 9.10</w:t>
        </w:r>
      </w:hyperlink>
      <w:r>
        <w:t xml:space="preserve"> ; </w:t>
      </w:r>
      <w:hyperlink r:id="rId7096">
        <w:r>
          <w:rPr>
            <w:color w:val="0000EE"/>
            <w:u w:val="single"/>
          </w:rPr>
          <w:t>Né 11.10</w:t>
        </w:r>
      </w:hyperlink>
      <w:r>
        <w:t>). Le prénom Jakin pourrait éventuellement se référer à une famille de prêtres que Jakin dirigeait.</w:t>
      </w:r>
    </w:p>
    <w:p>
      <w:pPr>
        <w:pStyle w:val="ListNumber"/>
        <w:spacing w:line="240" w:lineRule="auto"/>
        <w:ind w:left="720"/>
      </w:pPr>
      <w:r/>
      <w:r>
        <w:t>Descendant d'Aaron qui dirigeait la vingt-et-unième division des prêtres servant dans le temple à l'époque du roi David (</w:t>
      </w:r>
      <w:hyperlink r:id="rId7097">
        <w:r>
          <w:rPr>
            <w:color w:val="0000EE"/>
            <w:u w:val="single"/>
          </w:rPr>
          <w:t>1Ch 24.17</w:t>
        </w:r>
      </w:hyperlink>
      <w:r>
        <w:t>).</w:t>
      </w:r>
      <w:r/>
      <w:r/>
    </w:p>
    <w:p>
      <w:r/>
    </w:p>
    <w:p>
      <w:pPr>
        <w:pStyle w:val="Heading2"/>
      </w:pPr>
      <w:r>
        <w:t>Jamin</w:t>
      </w:r>
      <w:r/>
    </w:p>
    <w:p>
      <w:pPr>
        <w:pStyle w:val="ListNumber"/>
        <w:spacing w:line="240" w:lineRule="auto"/>
        <w:ind w:left="720"/>
      </w:pPr>
      <w:r/>
      <w:r>
        <w:t>Fils de Siméon (</w:t>
      </w:r>
      <w:hyperlink r:id="rId7091">
        <w:r>
          <w:rPr>
            <w:color w:val="0000EE"/>
            <w:u w:val="single"/>
          </w:rPr>
          <w:t>Gn 46.10</w:t>
        </w:r>
      </w:hyperlink>
      <w:r>
        <w:t xml:space="preserve"> ; </w:t>
      </w:r>
      <w:hyperlink r:id="rId7092">
        <w:r>
          <w:rPr>
            <w:color w:val="0000EE"/>
            <w:u w:val="single"/>
          </w:rPr>
          <w:t>Ex 6.15</w:t>
        </w:r>
      </w:hyperlink>
      <w:r>
        <w:t xml:space="preserve"> ; </w:t>
      </w:r>
      <w:hyperlink r:id="rId7094">
        <w:r>
          <w:rPr>
            <w:color w:val="0000EE"/>
            <w:u w:val="single"/>
          </w:rPr>
          <w:t>1Ch 4.24</w:t>
        </w:r>
      </w:hyperlink>
      <w:r>
        <w:t xml:space="preserve">) et fondateur de la famille </w:t>
      </w:r>
      <w:r>
        <w:t>Jaminite</w:t>
      </w:r>
      <w:r>
        <w:t xml:space="preserve"> (</w:t>
      </w:r>
      <w:hyperlink r:id="rId7093">
        <w:r>
          <w:rPr>
            <w:color w:val="0000EE"/>
            <w:u w:val="single"/>
          </w:rPr>
          <w:t>Nb 26.12</w:t>
        </w:r>
      </w:hyperlink>
      <w:r>
        <w:t>).</w:t>
      </w:r>
    </w:p>
    <w:p>
      <w:pPr>
        <w:pStyle w:val="ListNumber"/>
        <w:spacing w:line="240" w:lineRule="auto"/>
        <w:ind w:left="720"/>
      </w:pPr>
      <w:r/>
      <w:r>
        <w:t>Fils de Ram de la tribu de Juda (</w:t>
      </w:r>
      <w:hyperlink r:id="rId7098">
        <w:r>
          <w:rPr>
            <w:color w:val="0000EE"/>
            <w:u w:val="single"/>
          </w:rPr>
          <w:t>1Ch 2.27</w:t>
        </w:r>
      </w:hyperlink>
      <w:r>
        <w:t>).</w:t>
      </w:r>
    </w:p>
    <w:p>
      <w:pPr>
        <w:pStyle w:val="ListNumber"/>
        <w:spacing w:line="240" w:lineRule="auto"/>
        <w:ind w:left="720"/>
      </w:pPr>
      <w:r/>
      <w:r>
        <w:t>L'un des hommes (peut-être un Lévite) qui enseignait et expliquait la loi au peuple après la lecture publique d'Esdras (</w:t>
      </w:r>
      <w:hyperlink r:id="rId7099">
        <w:r>
          <w:rPr>
            <w:color w:val="0000EE"/>
            <w:u w:val="single"/>
          </w:rPr>
          <w:t>Né 8.7</w:t>
        </w:r>
      </w:hyperlink>
      <w:r>
        <w:t>).</w:t>
      </w:r>
      <w:r/>
      <w:r/>
    </w:p>
    <w:p>
      <w:r/>
    </w:p>
    <w:p>
      <w:pPr>
        <w:pStyle w:val="Heading2"/>
      </w:pPr>
      <w:r>
        <w:t>Japhet</w:t>
      </w:r>
      <w:r/>
    </w:p>
    <w:p>
      <w:r/>
      <w:r>
        <w:t>L'un des trois fils de Noé (</w:t>
      </w:r>
      <w:hyperlink r:id="rId2362">
        <w:r>
          <w:rPr>
            <w:color w:val="0000EE"/>
            <w:u w:val="single"/>
          </w:rPr>
          <w:t>Gn 5.32</w:t>
        </w:r>
      </w:hyperlink>
      <w:r>
        <w:t xml:space="preserve"> ; </w:t>
      </w:r>
      <w:hyperlink r:id="rId2364">
        <w:r>
          <w:rPr>
            <w:color w:val="0000EE"/>
            <w:u w:val="single"/>
          </w:rPr>
          <w:t>7.13</w:t>
        </w:r>
      </w:hyperlink>
      <w:r>
        <w:t xml:space="preserve"> ; </w:t>
      </w:r>
      <w:hyperlink r:id="rId7100">
        <w:r>
          <w:rPr>
            <w:color w:val="0000EE"/>
            <w:u w:val="single"/>
          </w:rPr>
          <w:t>9.18, 23, 27</w:t>
        </w:r>
      </w:hyperlink>
      <w:r>
        <w:t xml:space="preserve"> ; </w:t>
      </w:r>
      <w:hyperlink r:id="rId7101">
        <w:r>
          <w:rPr>
            <w:color w:val="0000EE"/>
            <w:u w:val="single"/>
          </w:rPr>
          <w:t>10.1–5</w:t>
        </w:r>
      </w:hyperlink>
      <w:r>
        <w:t xml:space="preserve"> ; </w:t>
      </w:r>
      <w:hyperlink r:id="rId7102">
        <w:r>
          <w:rPr>
            <w:color w:val="0000EE"/>
            <w:u w:val="single"/>
          </w:rPr>
          <w:t>1Ch 1.4–5</w:t>
        </w:r>
      </w:hyperlink>
      <w:r>
        <w:t>) qui, avec sa femme, faisait partie des huit survivants humains du grand Déluge. Parce que Japhet et son frère Sem ont agi avec respect et modestie en couvrant la nudité de leur père alors qu'il était en état d'ivresse (</w:t>
      </w:r>
      <w:hyperlink r:id="rId7103">
        <w:r>
          <w:rPr>
            <w:color w:val="0000EE"/>
            <w:u w:val="single"/>
          </w:rPr>
          <w:t>Gn 9.20–23</w:t>
        </w:r>
      </w:hyperlink>
      <w:r>
        <w:t xml:space="preserve">), ils ont tous deux été bénis dans la déclaration prophétique de Noé de </w:t>
      </w:r>
      <w:hyperlink r:id="rId7104">
        <w:r>
          <w:rPr>
            <w:color w:val="0000EE"/>
            <w:u w:val="single"/>
          </w:rPr>
          <w:t>Genèse 9.26–27</w:t>
        </w:r>
      </w:hyperlink>
      <w:r>
        <w:t xml:space="preserve">. À propos de Japhet, Noé a dit : « </w:t>
      </w:r>
      <w:r>
        <w:t>Que Dieu étende les possessions de Japhet, qu’il habite dans les tentes de Sem, et que Canaan soit leur esclave</w:t>
      </w:r>
      <w:r>
        <w:t xml:space="preserve"> ». Il y a deux interprétations de la signification de cette prophétie. Certains comprennent l'élargissement de Japhet comme une référence à une grande augmentation du nombre de ses descendants. « Habiter dans les tentes de Sem » est compris comme le partage par Japhet de la bénédiction de Sem. Selon cette vue, il y aura un moment où Dieu travaillera principalement avec Sem (le peuple d'Israël), mais ensuite, à un moment ultérieur, Japhet sera mis en relation avec la foi d'Israël et partagera ses promesses. Dans cette perspective, l'accomplissement se trouve dans l'ouverture de l'Évangile aux Gentils au début de l'Église du Nouveau Testament. D'autres comprennent l'« élargissement de Japhet » comme une référence à l'élargissement territorial, et « l'habitation dans les tentes de Sem » comme la conquête du territoire sémite par les Japhethites. Dans cette perspective, l'accomplissement se trouve dans les conquêtes grecques et romaines de la Palestine.</w:t>
      </w:r>
    </w:p>
    <w:p>
      <w:r/>
      <w:r>
        <w:t xml:space="preserve">Dans la « table des nations » dans </w:t>
      </w:r>
      <w:hyperlink r:id="rId6069">
        <w:r>
          <w:rPr>
            <w:color w:val="0000EE"/>
            <w:u w:val="single"/>
          </w:rPr>
          <w:t>Genèse 10.2</w:t>
        </w:r>
      </w:hyperlink>
      <w:r>
        <w:t>, Japhet est mentionné comme le père de Gomer, Magog, Madaï, Javan, Tubal, Méschec et Tiras. Ce sont les ancêtres des peuples qui vivaient au nord et à l'ouest d'Israël et qui parlaient ce que l'on classe aujourd'hui comme des langues indo-européennes.</w:t>
      </w:r>
    </w:p>
    <w:p>
      <w:r/>
      <w:r>
        <w:rPr>
          <w:i/>
        </w:rPr>
        <w:t>Voir aussi</w:t>
      </w:r>
      <w:r>
        <w:t xml:space="preserve"> </w:t>
      </w:r>
      <w:r>
        <w:t>Nations</w:t>
      </w:r>
      <w:r>
        <w:t xml:space="preserve"> ; </w:t>
      </w:r>
      <w:r>
        <w:t>Noé n° 1</w:t>
      </w:r>
      <w:r>
        <w:t>.</w:t>
      </w:r>
      <w:r/>
      <w:r/>
    </w:p>
    <w:p>
      <w:r/>
    </w:p>
    <w:p>
      <w:pPr>
        <w:pStyle w:val="Heading2"/>
      </w:pPr>
      <w:r>
        <w:t>Jardin d'Éden</w:t>
      </w:r>
      <w:r/>
    </w:p>
    <w:p>
      <w:r/>
      <w:r>
        <w:t>Emplacement à l'est d'Éden (</w:t>
      </w:r>
      <w:hyperlink r:id="rId7105">
        <w:r>
          <w:rPr>
            <w:color w:val="0000EE"/>
            <w:u w:val="single"/>
          </w:rPr>
          <w:t>Gn 2.8</w:t>
        </w:r>
      </w:hyperlink>
      <w:r>
        <w:t xml:space="preserve">) dans la région Hiddékel-Euphrate de la Mésopotamie, mentionné quatorze fois dans l'Ancien Testament. Les informations dans </w:t>
      </w:r>
      <w:hyperlink r:id="rId7106">
        <w:r>
          <w:rPr>
            <w:color w:val="0000EE"/>
            <w:u w:val="single"/>
          </w:rPr>
          <w:t>Genèse 2.8–10</w:t>
        </w:r>
      </w:hyperlink>
      <w:r>
        <w:t xml:space="preserve"> indiquent qu'il se trouvait dans la plaine de Schinear, et que quatre « têtes » ou branches étaient formées à partir du seul fleuve traversant Éden pour arroser le Jardin. Les têtes étaient le fleuve Hiddékel (ou Tigre) et l'Euphrate (tous deux étant des fleuves modernes bien connus) et deux rivières qui ont disparu : le Pishon et le Guihon. Ces dernières étaient très probablement des canaux d'eau naturels, plus tard utilisés comme canaux d'irrigation, car en cunéiforme il n'y a pas de mot distinct pour « fleuve » et « canal d'irrigation ». Si le Pishon et le Guihon étaient en fait des canaux d'irrigation, alors la Genèse place l'homme adamique dans un cadre géographique réel et élimine donc l'idée qu'Éden était un mythe. Si l'identification ci-dessus est correcte, Cusch se référait à la terre des anciens Kassites, tandis que Havila pouvait indiquer l'Arabie.</w:t>
      </w:r>
    </w:p>
    <w:p>
      <w:r/>
      <w:r>
        <w:t>Éden était le terrain d'essai de la fidélité de l'homme aux commandements de Dieu, et par la désobéissance, le Jardin a été perdu. Il sera retrouvé sous la forme du nouveau paradis (</w:t>
      </w:r>
      <w:hyperlink r:id="rId1157">
        <w:r>
          <w:rPr>
            <w:color w:val="0000EE"/>
            <w:u w:val="single"/>
          </w:rPr>
          <w:t>Ap 22.14</w:t>
        </w:r>
      </w:hyperlink>
      <w:r>
        <w:t>).</w:t>
      </w:r>
    </w:p>
    <w:p>
      <w:r/>
      <w:r>
        <w:rPr>
          <w:i/>
        </w:rPr>
        <w:t>Voir aussi</w:t>
      </w:r>
      <w:r>
        <w:t xml:space="preserve"> </w:t>
      </w:r>
      <w:r>
        <w:t>Adam (Personne)</w:t>
      </w:r>
      <w:r>
        <w:t xml:space="preserve"> ; </w:t>
      </w:r>
      <w:r>
        <w:t>Ève</w:t>
      </w:r>
      <w:r>
        <w:t xml:space="preserve"> ; </w:t>
      </w:r>
      <w:r>
        <w:t>Chute de l'Homme</w:t>
      </w:r>
      <w:r>
        <w:t xml:space="preserve"> ; </w:t>
      </w:r>
      <w:r>
        <w:t>Arbre de la Connaissance du Bien et du Mal</w:t>
      </w:r>
      <w:r>
        <w:t xml:space="preserve"> ; </w:t>
      </w:r>
      <w:r>
        <w:t>Arbre de Vie</w:t>
      </w:r>
      <w:r>
        <w:t>.</w:t>
      </w:r>
      <w:r/>
      <w:r/>
    </w:p>
    <w:p>
      <w:r/>
    </w:p>
    <w:p>
      <w:pPr>
        <w:pStyle w:val="Heading2"/>
      </w:pPr>
      <w:r>
        <w:t>Jaschub</w:t>
      </w:r>
      <w:r/>
    </w:p>
    <w:p>
      <w:r/>
      <w:r>
        <w:t>1. Troisième fils d'Issacar (</w:t>
      </w:r>
      <w:hyperlink r:id="rId7107">
        <w:r>
          <w:rPr>
            <w:color w:val="0000EE"/>
            <w:u w:val="single"/>
          </w:rPr>
          <w:t>1Ch 7.1</w:t>
        </w:r>
      </w:hyperlink>
      <w:r>
        <w:t xml:space="preserve"> ; également appelé Job dans </w:t>
      </w:r>
      <w:hyperlink r:id="rId6920">
        <w:r>
          <w:rPr>
            <w:color w:val="0000EE"/>
            <w:u w:val="single"/>
          </w:rPr>
          <w:t>Gn 46.13</w:t>
        </w:r>
      </w:hyperlink>
      <w:r>
        <w:t xml:space="preserve">), et fondateur de la famille des </w:t>
      </w:r>
      <w:r>
        <w:t>Jaschubites</w:t>
      </w:r>
      <w:r>
        <w:t xml:space="preserve"> (</w:t>
      </w:r>
      <w:hyperlink r:id="rId7108">
        <w:r>
          <w:rPr>
            <w:color w:val="0000EE"/>
            <w:u w:val="single"/>
          </w:rPr>
          <w:t>Nb 26.24</w:t>
        </w:r>
      </w:hyperlink>
      <w:r>
        <w:t>).</w:t>
      </w:r>
    </w:p>
    <w:p>
      <w:r/>
      <w:r>
        <w:t>2. Descendant de Bani, qui obéira à l'exhortation d'Esdras de divorcer de sa femme païenne après l'exil (</w:t>
      </w:r>
      <w:hyperlink r:id="rId7109">
        <w:r>
          <w:rPr>
            <w:color w:val="0000EE"/>
            <w:u w:val="single"/>
          </w:rPr>
          <w:t>Esd 10.29</w:t>
        </w:r>
      </w:hyperlink>
      <w:r>
        <w:t>).</w:t>
      </w:r>
      <w:r/>
      <w:r/>
    </w:p>
    <w:p>
      <w:r/>
    </w:p>
    <w:p>
      <w:pPr>
        <w:pStyle w:val="Heading2"/>
      </w:pPr>
      <w:r>
        <w:t>Jason</w:t>
      </w:r>
      <w:r/>
    </w:p>
    <w:p>
      <w:r/>
      <w:r>
        <w:t>1. Grand prêtre juif (174–171 av. J.‑C.) qui a provoqué le déclin du sacerdoce en hellénisant Jérusalem, faisant de ses habitants des « citoyens d'Antioche » (</w:t>
      </w:r>
      <w:hyperlink r:id="rId7110">
        <w:r>
          <w:rPr>
            <w:color w:val="0000EE"/>
            <w:u w:val="single"/>
          </w:rPr>
          <w:t>2 M 4.9ss</w:t>
        </w:r>
      </w:hyperlink>
      <w:r>
        <w:t xml:space="preserve">). Il a été déposé par son cousin Onias Ménélas, mais lorsqu'un faux rapport a annoncé la mort d'Antiochus Épiphane, Jason a attaqué Jérusalem démontrant une absence de pitié totale pour son propre peuple. Antiochus, revenant d'une attaque avortée sur l'Égypte, a repris Jérusalem et Jason a été contraint de fuir en Transjordanie puis de ville en ville. Le Deuxième Livre des Maccabées rapporte qu'à sa mort, « [Jason] avait </w:t>
      </w:r>
      <w:r>
        <w:t>abandonné tant de cadavres sur le sol, sans personne pour les enterrer, [...] ne fut pleuré par personne : on ne lui fit pas de funérailles, il n'eut aucune place dans le tombeau de ses ancêtres</w:t>
      </w:r>
      <w:r>
        <w:t xml:space="preserve"> » (</w:t>
      </w:r>
      <w:hyperlink r:id="rId7111">
        <w:r>
          <w:rPr>
            <w:color w:val="0000EE"/>
            <w:u w:val="single"/>
          </w:rPr>
          <w:t>5.10</w:t>
        </w:r>
      </w:hyperlink>
      <w:r>
        <w:t>, NFC).</w:t>
      </w:r>
    </w:p>
    <w:p>
      <w:r/>
      <w:r>
        <w:t>2. Chrétien juif à Thessalonique qui a hébergé Paul et Silas (</w:t>
      </w:r>
      <w:hyperlink r:id="rId7112">
        <w:r>
          <w:rPr>
            <w:color w:val="0000EE"/>
            <w:u w:val="single"/>
          </w:rPr>
          <w:t>Ac 17.1, 5–9</w:t>
        </w:r>
      </w:hyperlink>
      <w:r>
        <w:t>). Lui et d'autres ont été convoqués devant les autorités de la ville pour avoir hébergé des séditieux. Il a été libéré après avoir payé une caution.</w:t>
      </w:r>
    </w:p>
    <w:p>
      <w:r/>
      <w:r>
        <w:t>3. Chrétien de Corinthe qui, avec Paul, a envoyé des salutations à l'Église de Rome (</w:t>
      </w:r>
      <w:hyperlink r:id="rId7113">
        <w:r>
          <w:rPr>
            <w:color w:val="0000EE"/>
            <w:u w:val="single"/>
          </w:rPr>
          <w:t>Rm 16.21</w:t>
        </w:r>
      </w:hyperlink>
      <w:r>
        <w:t>).</w:t>
      </w:r>
      <w:r/>
      <w:r/>
    </w:p>
    <w:p>
      <w:r/>
    </w:p>
    <w:p>
      <w:pPr>
        <w:pStyle w:val="Heading2"/>
      </w:pPr>
      <w:r>
        <w:t>Javan (Lieu)</w:t>
      </w:r>
      <w:r/>
    </w:p>
    <w:p>
      <w:r/>
      <w:r>
        <w:t>Lieu couramment identifié avec la Grèce. Le nom Javan est linguistiquement associé à l'Ionie, une région à l'extrême ouest de l'Asie Mineure, colonisée par les Grecs. Avec le temps, le nom Javan sera utilisé pour désigner toute la Grèce. Dans de nombreux passages de la traduction grecque de la Bible, Javan apparaît sous le nom de « Hellas », qui est un autre nom pour la Grèce.</w:t>
      </w:r>
    </w:p>
    <w:p>
      <w:r/>
      <w:r>
        <w:t>Quelques indices quant à son emplacement sont donnés dès la « Table des nations », où Javan apparaît comme le quatrième fils de Japhet (</w:t>
      </w:r>
      <w:hyperlink r:id="rId6069">
        <w:r>
          <w:rPr>
            <w:color w:val="0000EE"/>
            <w:u w:val="single"/>
          </w:rPr>
          <w:t>Gn 10.2</w:t>
        </w:r>
      </w:hyperlink>
      <w:r>
        <w:t xml:space="preserve"> ; voir </w:t>
      </w:r>
      <w:hyperlink r:id="rId6070">
        <w:r>
          <w:rPr>
            <w:color w:val="0000EE"/>
            <w:u w:val="single"/>
          </w:rPr>
          <w:t>1Ch 1.5</w:t>
        </w:r>
      </w:hyperlink>
      <w:r>
        <w:t>). En se déplaçant vers l'ouest depuis Gomer, cela tend à le placer en Europe. Japhet est également dit être le père de :</w:t>
      </w:r>
    </w:p>
    <w:p>
      <w:pPr>
        <w:pStyle w:val="ListBullet"/>
        <w:spacing w:line="240" w:lineRule="auto"/>
        <w:ind w:left="720"/>
      </w:pPr>
      <w:r/>
      <w:r>
        <w:t>Élischa</w:t>
      </w:r>
    </w:p>
    <w:p>
      <w:pPr>
        <w:pStyle w:val="ListBullet"/>
        <w:spacing w:line="240" w:lineRule="auto"/>
        <w:ind w:left="720"/>
      </w:pPr>
      <w:r/>
      <w:r>
        <w:t>Tarsis</w:t>
      </w:r>
    </w:p>
    <w:p>
      <w:pPr>
        <w:pStyle w:val="ListBullet"/>
        <w:spacing w:line="240" w:lineRule="auto"/>
        <w:ind w:left="720"/>
      </w:pPr>
      <w:r/>
      <w:r>
        <w:t>Kittim</w:t>
      </w:r>
    </w:p>
    <w:p>
      <w:pPr>
        <w:pStyle w:val="ListBullet"/>
        <w:spacing w:line="240" w:lineRule="auto"/>
        <w:ind w:left="720"/>
      </w:pPr>
      <w:r/>
      <w:r>
        <w:t>Dodanim ou Rodanim (</w:t>
      </w:r>
      <w:hyperlink r:id="rId4286">
        <w:r>
          <w:rPr>
            <w:color w:val="0000EE"/>
            <w:u w:val="single"/>
          </w:rPr>
          <w:t>Gn 10.4</w:t>
        </w:r>
      </w:hyperlink>
      <w:r>
        <w:t xml:space="preserve"> ; </w:t>
      </w:r>
      <w:hyperlink r:id="rId4287">
        <w:r>
          <w:rPr>
            <w:color w:val="0000EE"/>
            <w:u w:val="single"/>
          </w:rPr>
          <w:t>1Ch 1.7</w:t>
        </w:r>
      </w:hyperlink>
      <w:r>
        <w:t>)</w:t>
      </w:r>
    </w:p>
    <w:p>
      <w:r/>
      <w:r>
        <w:t>Les liens entre ces zones ou peuples sont bien connus.</w:t>
      </w:r>
    </w:p>
    <w:p>
      <w:r/>
      <w:r>
        <w:t xml:space="preserve">La plupart des références à l'Ionie (Grèce) se trouvent dans les livres prophétiques. </w:t>
      </w:r>
      <w:hyperlink r:id="rId6096">
        <w:r>
          <w:rPr>
            <w:color w:val="0000EE"/>
            <w:u w:val="single"/>
          </w:rPr>
          <w:t>Ésaïe 66.19</w:t>
        </w:r>
      </w:hyperlink>
      <w:r>
        <w:t xml:space="preserve"> mentionne Javan avec Tarsis, Puth, Lud et Tubal. La gloire du Seigneur sera déclarée dans ces lieux. Ceux-ci sont considérés comme représentants des nations lointaines.</w:t>
      </w:r>
    </w:p>
    <w:p>
      <w:r/>
      <w:r>
        <w:t>Dans une longue prophétie contre Tyr, Ézéchiel nomme Javan, Tubal et Méschec. Ils échangeaient des esclaves et des vases de bronze contre les marchandises de Tyr (</w:t>
      </w:r>
      <w:hyperlink r:id="rId6097">
        <w:r>
          <w:rPr>
            <w:color w:val="0000EE"/>
            <w:u w:val="single"/>
          </w:rPr>
          <w:t>Ez 27.13</w:t>
        </w:r>
      </w:hyperlink>
      <w:r>
        <w:t xml:space="preserve">). </w:t>
      </w:r>
      <w:hyperlink r:id="rId6102">
        <w:r>
          <w:rPr>
            <w:color w:val="0000EE"/>
            <w:u w:val="single"/>
          </w:rPr>
          <w:t>Joëll 3.6</w:t>
        </w:r>
      </w:hyperlink>
      <w:r>
        <w:t xml:space="preserve"> condamne Tyr pour avoir vendu le peuple de Juda et de Jérusalem aux Grecs.</w:t>
      </w:r>
    </w:p>
    <w:p>
      <w:r/>
      <w:hyperlink r:id="rId7114">
        <w:r>
          <w:rPr>
            <w:color w:val="0000EE"/>
            <w:u w:val="single"/>
          </w:rPr>
          <w:t>Ézéchiel 27.19</w:t>
        </w:r>
      </w:hyperlink>
      <w:r>
        <w:t xml:space="preserve"> en hébreu se lit « Vedan et Javan d'Uzal ». Certaines traductions l'interprètent différemment :</w:t>
      </w:r>
    </w:p>
    <w:p>
      <w:pPr>
        <w:pStyle w:val="ListBullet"/>
        <w:spacing w:line="240" w:lineRule="auto"/>
        <w:ind w:left="720"/>
      </w:pPr>
      <w:r/>
      <w:r>
        <w:t xml:space="preserve">« </w:t>
      </w:r>
      <w:r>
        <w:t>Depuis la ville d'Ouzal, les tribus de Dan et de Yavan</w:t>
      </w:r>
      <w:r>
        <w:t xml:space="preserve"> » (NFC)</w:t>
      </w:r>
    </w:p>
    <w:p>
      <w:pPr>
        <w:pStyle w:val="ListBullet"/>
        <w:spacing w:line="240" w:lineRule="auto"/>
        <w:ind w:left="720"/>
      </w:pPr>
      <w:r/>
      <w:r>
        <w:t xml:space="preserve">« </w:t>
      </w:r>
      <w:r>
        <w:t>Wedân et Yavân-Méouzzal</w:t>
      </w:r>
      <w:r>
        <w:t xml:space="preserve"> » (TOB2010)</w:t>
      </w:r>
    </w:p>
    <w:p>
      <w:pPr>
        <w:pStyle w:val="ListBullet"/>
        <w:spacing w:line="240" w:lineRule="auto"/>
        <w:ind w:left="720"/>
      </w:pPr>
      <w:r/>
      <w:r>
        <w:t xml:space="preserve">« </w:t>
      </w:r>
      <w:r>
        <w:t>Vedân, Yavân et Meouzal</w:t>
      </w:r>
      <w:r>
        <w:t xml:space="preserve"> » (BDS)</w:t>
      </w:r>
    </w:p>
    <w:p>
      <w:r/>
      <w:r>
        <w:t>Les références à Javan dans Daniel désignent clairement la Grèce. Le bouc qui représente le roi de Grèce (</w:t>
      </w:r>
      <w:hyperlink r:id="rId6098">
        <w:r>
          <w:rPr>
            <w:color w:val="0000EE"/>
            <w:u w:val="single"/>
          </w:rPr>
          <w:t>Dn 8.21</w:t>
        </w:r>
      </w:hyperlink>
      <w:r>
        <w:t xml:space="preserve">) est Alexandre le Grand. Son empire sera divisé entre ses quatre généraux à sa mort. Le prince de Grèce dans </w:t>
      </w:r>
      <w:hyperlink r:id="rId6099">
        <w:r>
          <w:rPr>
            <w:color w:val="0000EE"/>
            <w:u w:val="single"/>
          </w:rPr>
          <w:t>Daniel 10.20</w:t>
        </w:r>
      </w:hyperlink>
      <w:r>
        <w:t xml:space="preserve"> est comparé au prince de Perse dans </w:t>
      </w:r>
      <w:hyperlink r:id="rId7115">
        <w:r>
          <w:rPr>
            <w:color w:val="0000EE"/>
            <w:u w:val="single"/>
          </w:rPr>
          <w:t>Daniel 10.13, 20</w:t>
        </w:r>
      </w:hyperlink>
      <w:r>
        <w:t xml:space="preserve">. Il a été suggéré que « prince » signifie ange gardien. Cependant, l'opposition du prince de Perse à l'archange Micaël montre que « prince » est un esprit démoniaque de haut rang (voir </w:t>
      </w:r>
      <w:hyperlink r:id="rId2703">
        <w:r>
          <w:rPr>
            <w:color w:val="0000EE"/>
            <w:u w:val="single"/>
          </w:rPr>
          <w:t>Ep 6.12</w:t>
        </w:r>
      </w:hyperlink>
      <w:r>
        <w:t xml:space="preserve">). </w:t>
      </w:r>
      <w:hyperlink r:id="rId6100">
        <w:r>
          <w:rPr>
            <w:color w:val="0000EE"/>
            <w:u w:val="single"/>
          </w:rPr>
          <w:t>Daniel 11.2</w:t>
        </w:r>
      </w:hyperlink>
      <w:r>
        <w:t xml:space="preserve"> prédit un conflit entre la Perse et la Grèce. Le verset suivant raconte le succès d'Alexandre le Grand et la division de son empire.</w:t>
      </w:r>
    </w:p>
    <w:p>
      <w:r/>
      <w:r>
        <w:rPr>
          <w:i/>
        </w:rPr>
        <w:t>Voir aussi</w:t>
      </w:r>
      <w:r>
        <w:t xml:space="preserve"> </w:t>
      </w:r>
      <w:r>
        <w:t>Grèce, Grec.</w:t>
      </w:r>
      <w:r/>
      <w:r/>
    </w:p>
    <w:p>
      <w:r/>
    </w:p>
    <w:p>
      <w:pPr>
        <w:pStyle w:val="Heading2"/>
      </w:pPr>
      <w:r>
        <w:t>Javan (Personne)</w:t>
      </w:r>
      <w:r/>
    </w:p>
    <w:p>
      <w:r/>
      <w:r>
        <w:t>Fils de Japhet, dont les descendants marins ont migré vers le nord et l'ouest de Canaan (</w:t>
      </w:r>
      <w:hyperlink r:id="rId7116">
        <w:r>
          <w:rPr>
            <w:color w:val="0000EE"/>
            <w:u w:val="single"/>
          </w:rPr>
          <w:t>Gn 10.2–4</w:t>
        </w:r>
      </w:hyperlink>
      <w:r>
        <w:t xml:space="preserve"> ; </w:t>
      </w:r>
      <w:hyperlink r:id="rId7117">
        <w:r>
          <w:rPr>
            <w:color w:val="0000EE"/>
            <w:u w:val="single"/>
          </w:rPr>
          <w:t>1Ch 1.5–7</w:t>
        </w:r>
      </w:hyperlink>
      <w:r>
        <w:t>).</w:t>
      </w:r>
      <w:r/>
      <w:r/>
    </w:p>
    <w:p>
      <w:r/>
    </w:p>
    <w:p>
      <w:pPr>
        <w:pStyle w:val="Heading2"/>
      </w:pPr>
      <w:r>
        <w:t>Jean (Personne)</w:t>
      </w:r>
      <w:r/>
    </w:p>
    <w:p>
      <w:pPr>
        <w:pStyle w:val="ListNumber"/>
        <w:spacing w:line="240" w:lineRule="auto"/>
        <w:ind w:left="720"/>
      </w:pPr>
      <w:r/>
      <w:r>
        <w:t>Père de Simon Pierre et André (</w:t>
      </w:r>
      <w:hyperlink r:id="rId7118">
        <w:r>
          <w:rPr>
            <w:color w:val="0000EE"/>
            <w:u w:val="single"/>
          </w:rPr>
          <w:t>Jn 1.40–42</w:t>
        </w:r>
      </w:hyperlink>
      <w:r>
        <w:t xml:space="preserve"> ; </w:t>
      </w:r>
      <w:hyperlink r:id="rId7119">
        <w:r>
          <w:rPr>
            <w:color w:val="0000EE"/>
            <w:u w:val="single"/>
          </w:rPr>
          <w:t>21.15–17</w:t>
        </w:r>
      </w:hyperlink>
      <w:r>
        <w:t xml:space="preserve">). Selon </w:t>
      </w:r>
      <w:hyperlink r:id="rId2316">
        <w:r>
          <w:rPr>
            <w:color w:val="0000EE"/>
            <w:u w:val="single"/>
          </w:rPr>
          <w:t>Matthieu 16.17</w:t>
        </w:r>
      </w:hyperlink>
      <w:r>
        <w:t>, le père de Pierre s'appelait Jona (Jonas, Jonas). Jona était soit une autre version du nom Jean, soit il existait deux récits distincts concernant son nom.</w:t>
      </w:r>
    </w:p>
    <w:p>
      <w:pPr>
        <w:pStyle w:val="ListNumber"/>
        <w:spacing w:line="240" w:lineRule="auto"/>
        <w:ind w:left="720"/>
      </w:pPr>
      <w:r/>
      <w:r>
        <w:t>Un membre de la famille des grands prêtres qui, avec Anne, Caïphe et Alexandre, a interrogé Pierre et Jean après que les deux apôtres eurent guéri un homme boiteux (</w:t>
      </w:r>
      <w:hyperlink r:id="rId525">
        <w:r>
          <w:rPr>
            <w:color w:val="0000EE"/>
            <w:u w:val="single"/>
          </w:rPr>
          <w:t>Ac 4.6</w:t>
        </w:r>
      </w:hyperlink>
      <w:r>
        <w:t>).</w:t>
      </w:r>
    </w:p>
    <w:p>
      <w:pPr>
        <w:pStyle w:val="ListNumber"/>
        <w:spacing w:line="240" w:lineRule="auto"/>
        <w:ind w:left="720"/>
      </w:pPr>
      <w:r/>
      <w:r>
        <w:t xml:space="preserve">Selon l'évêque de l'Église primitive Papias, un membre du groupe plus large des disciples de Jésus en dehors des Douze (voir </w:t>
      </w:r>
      <w:hyperlink r:id="rId4182">
        <w:r>
          <w:rPr>
            <w:color w:val="0000EE"/>
            <w:u w:val="single"/>
          </w:rPr>
          <w:t>Lc 10.1</w:t>
        </w:r>
      </w:hyperlink>
      <w:r>
        <w:t>). Connu sous le nom de « Jean l'ancien », il est souvent dit que c'est lui qui a écrit 2 et 3 Jean (</w:t>
      </w:r>
      <w:hyperlink r:id="rId7120">
        <w:r>
          <w:rPr>
            <w:color w:val="0000EE"/>
            <w:u w:val="single"/>
          </w:rPr>
          <w:t>2Jn 1.1</w:t>
        </w:r>
      </w:hyperlink>
      <w:r>
        <w:t xml:space="preserve"> ; </w:t>
      </w:r>
      <w:hyperlink r:id="rId5856">
        <w:r>
          <w:rPr>
            <w:color w:val="0000EE"/>
            <w:u w:val="single"/>
          </w:rPr>
          <w:t>3Jn 1.1</w:t>
        </w:r>
      </w:hyperlink>
      <w:r>
        <w:t>). Le terme « ancien » se réfère plus probablement à Jean l'apôtre.</w:t>
      </w:r>
    </w:p>
    <w:p>
      <w:pPr>
        <w:pStyle w:val="ListNumber"/>
        <w:spacing w:line="240" w:lineRule="auto"/>
        <w:ind w:left="720"/>
      </w:pPr>
      <w:r/>
      <w:r>
        <w:t xml:space="preserve">L'apôtre. </w:t>
      </w:r>
      <w:r>
        <w:rPr>
          <w:i/>
        </w:rPr>
        <w:t>Voir</w:t>
      </w:r>
      <w:r>
        <w:t xml:space="preserve"> </w:t>
      </w:r>
      <w:r>
        <w:t>Jean, L'apôtre</w:t>
      </w:r>
      <w:r>
        <w:t>.</w:t>
      </w:r>
    </w:p>
    <w:p>
      <w:pPr>
        <w:pStyle w:val="ListNumber"/>
        <w:spacing w:line="240" w:lineRule="auto"/>
        <w:ind w:left="720"/>
      </w:pPr>
      <w:r/>
      <w:r>
        <w:t xml:space="preserve">Le Baptiste. </w:t>
      </w:r>
      <w:r>
        <w:rPr>
          <w:i/>
        </w:rPr>
        <w:t>Voir</w:t>
      </w:r>
      <w:r>
        <w:t xml:space="preserve"> </w:t>
      </w:r>
      <w:r>
        <w:t>Jean Baptiste</w:t>
      </w:r>
      <w:r>
        <w:t>.</w:t>
      </w:r>
    </w:p>
    <w:p>
      <w:pPr>
        <w:pStyle w:val="ListNumber"/>
        <w:spacing w:line="240" w:lineRule="auto"/>
        <w:ind w:left="720"/>
      </w:pPr>
      <w:r/>
      <w:r>
        <w:t xml:space="preserve">Un des premiers disciples, connu sous le nom de Jean Marc, auteur du deuxième Évangile. </w:t>
      </w:r>
      <w:r>
        <w:rPr>
          <w:i/>
        </w:rPr>
        <w:t>Voir</w:t>
      </w:r>
      <w:r>
        <w:t xml:space="preserve"> </w:t>
      </w:r>
      <w:r>
        <w:t>Marc, Jean</w:t>
      </w:r>
      <w:r>
        <w:t>.</w:t>
      </w:r>
      <w:r/>
      <w:r/>
    </w:p>
    <w:p>
      <w:r/>
    </w:p>
    <w:p>
      <w:pPr>
        <w:pStyle w:val="Heading2"/>
      </w:pPr>
      <w:r>
        <w:t>Jean Marc</w:t>
      </w:r>
      <w:r/>
    </w:p>
    <w:p>
      <w:r/>
      <w:r>
        <w:t>Ami proche des premiers dirigeants de l'Église. Jean-Marc a écrit l'Évangile de Marc. Il était à la fois un compagnon de Paul et de Pierre, et un cousin de Barnabas.</w:t>
      </w:r>
    </w:p>
    <w:p>
      <w:pPr>
        <w:pStyle w:val="Heading3"/>
      </w:pPr>
      <w:r>
        <w:t>Jeunesse et famille</w:t>
      </w:r>
    </w:p>
    <w:p>
      <w:r/>
      <w:r>
        <w:t>Jean Marc venait d'une famille juive aisée à Jérusalem. Ils faisaient partie des premiers croyants en Jésus-Christ. Jean Marc avait à la fois un nom juif et un nom romain. Le nom romain Marc pouvait indiquer la citoyenneté romaine, à l'instar de Paul. Il se peut également qu'il ait simplement adopté ce nom lorsqu'il a quitté Jérusalem pour servir l'Église des gentils (non-juifs) à Antioche (</w:t>
      </w:r>
      <w:hyperlink r:id="rId157">
        <w:r>
          <w:rPr>
            <w:color w:val="0000EE"/>
            <w:u w:val="single"/>
          </w:rPr>
          <w:t>Ac 12.25</w:t>
        </w:r>
      </w:hyperlink>
      <w:r>
        <w:t>).</w:t>
      </w:r>
    </w:p>
    <w:p>
      <w:r/>
      <w:r>
        <w:t xml:space="preserve">Lorsqu'un ange du Seigneur a libéré Pierre de prison, l'apôtre est allé « </w:t>
      </w:r>
      <w:r>
        <w:t>vers la maison de Marie, mère de Jean, surnommé Marc</w:t>
      </w:r>
      <w:r>
        <w:t xml:space="preserve"> » (v. </w:t>
      </w:r>
      <w:hyperlink r:id="rId7121">
        <w:r>
          <w:rPr>
            <w:color w:val="0000EE"/>
            <w:u w:val="single"/>
          </w:rPr>
          <w:t>12</w:t>
        </w:r>
      </w:hyperlink>
      <w:r>
        <w:t xml:space="preserve">). Cette maison avait une porte extérieure. Elle était assez grande pour qu'un grand groupe de croyants puisse s'y rassembler. Une servante nommée Rhode y travaillait (v. </w:t>
      </w:r>
      <w:hyperlink r:id="rId7122">
        <w:r>
          <w:rPr>
            <w:color w:val="0000EE"/>
            <w:u w:val="single"/>
          </w:rPr>
          <w:t>12–13</w:t>
        </w:r>
      </w:hyperlink>
      <w:r>
        <w:t>). Ceci indique qu'une famille riche y vivait. Au moment de cet événement (vers l'an 44 apr. J.‑C.), Pierre a peut-être influencé Marc pour qu'il devienne un disciple de Jésus (</w:t>
      </w:r>
      <w:hyperlink r:id="rId7123">
        <w:r>
          <w:rPr>
            <w:color w:val="0000EE"/>
            <w:u w:val="single"/>
          </w:rPr>
          <w:t>1P 5.13</w:t>
        </w:r>
      </w:hyperlink>
      <w:r>
        <w:t>). Barnabas et Saul (également connu sous le nom de Paul) ont choisi Marc pour les accompagner à Antioche. Ceci suggère que l'Église de Jérusalem avait un grand respect pour Marc (</w:t>
      </w:r>
      <w:hyperlink r:id="rId157">
        <w:r>
          <w:rPr>
            <w:color w:val="0000EE"/>
            <w:u w:val="single"/>
          </w:rPr>
          <w:t>Ac 12.25</w:t>
        </w:r>
      </w:hyperlink>
      <w:r>
        <w:t>).</w:t>
      </w:r>
    </w:p>
    <w:p>
      <w:pPr>
        <w:pStyle w:val="Heading3"/>
      </w:pPr>
      <w:r>
        <w:t>Débuts dans le ministère et défis</w:t>
      </w:r>
    </w:p>
    <w:p>
      <w:r/>
      <w:r>
        <w:t>Jean Marc a rejoint Barnabas et Saul pour les aider à prêcher la Bonne Nouvelle de Jésus (</w:t>
      </w:r>
      <w:hyperlink r:id="rId7124">
        <w:r>
          <w:rPr>
            <w:color w:val="0000EE"/>
            <w:u w:val="single"/>
          </w:rPr>
          <w:t>Ac 13.5</w:t>
        </w:r>
      </w:hyperlink>
      <w:r>
        <w:t xml:space="preserve">). Il a cependant rapidement quitté les apôtres et est retourné à Jérusalem (v. </w:t>
      </w:r>
      <w:hyperlink r:id="rId1696">
        <w:r>
          <w:rPr>
            <w:color w:val="0000EE"/>
            <w:u w:val="single"/>
          </w:rPr>
          <w:t>13</w:t>
        </w:r>
      </w:hyperlink>
      <w:r>
        <w:t>). La Bible ne nous dit pas pourquoi Marc a quitté les apôtres. Le voyage a peut-être été trop difficile pour le jeune Marc.</w:t>
      </w:r>
    </w:p>
    <w:p>
      <w:r/>
      <w:r>
        <w:t xml:space="preserve">Il y a une autre explication possible. À Paphos, lorsque le voyage a commencé, Paul est devenu le principal leader (v. </w:t>
      </w:r>
      <w:hyperlink r:id="rId1696">
        <w:r>
          <w:rPr>
            <w:color w:val="0000EE"/>
            <w:u w:val="single"/>
          </w:rPr>
          <w:t>13</w:t>
        </w:r>
      </w:hyperlink>
      <w:r>
        <w:t xml:space="preserve">). À partir de ce moment, Actes parle de « Paul et Barnabas » plutôt que de « Barnabas et Paul » (sauf dans les v. </w:t>
      </w:r>
      <w:hyperlink r:id="rId7125">
        <w:r>
          <w:rPr>
            <w:color w:val="0000EE"/>
            <w:u w:val="single"/>
          </w:rPr>
          <w:t xml:space="preserve">12 </w:t>
        </w:r>
      </w:hyperlink>
      <w:r>
        <w:t>et</w:t>
      </w:r>
      <w:hyperlink r:id="rId7125">
        <w:r>
          <w:rPr>
            <w:color w:val="0000EE"/>
            <w:u w:val="single"/>
          </w:rPr>
          <w:t xml:space="preserve"> 25</w:t>
        </w:r>
      </w:hyperlink>
      <w:r>
        <w:t>). Marc n'a peut-être pas apprécié la manière dont Paul dirigeait. Ou peut-être a-t-il été contrarié que son parent Barnabas soit relégué au second plan par rapport à Paul dans l'œuvre de l'Évangile. Barnabas était un disciple de Jésus avant Paul (</w:t>
      </w:r>
      <w:hyperlink r:id="rId1687">
        <w:r>
          <w:rPr>
            <w:color w:val="0000EE"/>
            <w:u w:val="single"/>
          </w:rPr>
          <w:t>4.36–37</w:t>
        </w:r>
      </w:hyperlink>
      <w:r>
        <w:t>). C'est Barnabas qui a présenté Paul aux apôtres (</w:t>
      </w:r>
      <w:hyperlink r:id="rId7126">
        <w:r>
          <w:rPr>
            <w:color w:val="0000EE"/>
            <w:u w:val="single"/>
          </w:rPr>
          <w:t>9.27</w:t>
        </w:r>
      </w:hyperlink>
      <w:r>
        <w:t>).</w:t>
      </w:r>
    </w:p>
    <w:p>
      <w:r/>
      <w:r>
        <w:t xml:space="preserve">Mais il pourrait y avoir eu une raison plus importante derrière le départ de Marc. Comme Paul, Marc était un « </w:t>
      </w:r>
      <w:r>
        <w:t>Hébreu né d’Hébreux</w:t>
      </w:r>
      <w:r>
        <w:t xml:space="preserve"> » (</w:t>
      </w:r>
      <w:hyperlink r:id="rId1791">
        <w:r>
          <w:rPr>
            <w:color w:val="0000EE"/>
            <w:u w:val="single"/>
          </w:rPr>
          <w:t>Ph 3.5</w:t>
        </w:r>
      </w:hyperlink>
      <w:r>
        <w:t>). Marc a peut-être été en désaccord avec l'enseignement de Paul selon lequel les non-Juifs pouvaient être sauvés par la foi seule, sans suivre les lois juives.</w:t>
      </w:r>
    </w:p>
    <w:p>
      <w:r/>
      <w:r>
        <w:t>Il est important de noter que dans l'histoire de ce voyage, la Bible utilise uniquement le nom juif de Marc (« Jean ») lorsqu'elle parle de son temps avec Paul et Barnabas (</w:t>
      </w:r>
      <w:hyperlink r:id="rId7124">
        <w:r>
          <w:rPr>
            <w:color w:val="0000EE"/>
            <w:u w:val="single"/>
          </w:rPr>
          <w:t>Ac 13.5</w:t>
        </w:r>
      </w:hyperlink>
      <w:r>
        <w:t xml:space="preserve">). « Jean » est également utilisé lorsqu'il les quitte à Perge en Pamphylie (v. </w:t>
      </w:r>
      <w:hyperlink r:id="rId1696">
        <w:r>
          <w:rPr>
            <w:color w:val="0000EE"/>
            <w:u w:val="single"/>
          </w:rPr>
          <w:t>13</w:t>
        </w:r>
      </w:hyperlink>
      <w:r>
        <w:t xml:space="preserve">). Il est également important que Jean Marc soit retourné à l'endroit où il a d'abord servi. Il s'agissait là de l'Église juive à Jérusalem, et non de l'Église des gentils à Antioche (v. </w:t>
      </w:r>
      <w:hyperlink r:id="rId1696">
        <w:r>
          <w:rPr>
            <w:color w:val="0000EE"/>
            <w:u w:val="single"/>
          </w:rPr>
          <w:t>13</w:t>
        </w:r>
      </w:hyperlink>
      <w:r>
        <w:t>).</w:t>
      </w:r>
    </w:p>
    <w:p>
      <w:r/>
      <w:r>
        <w:t>La décision de Marc de partir a causé des problèmes plus tard. Paul et Barnabas ont eu une sérieuse dispute sur la question de savoir s'il fallait emmener Marc lors d'un autre voyage. Le désaccord était si fort que Paul et Barnabas se sont séparés (</w:t>
      </w:r>
      <w:hyperlink r:id="rId2654">
        <w:r>
          <w:rPr>
            <w:color w:val="0000EE"/>
            <w:u w:val="single"/>
          </w:rPr>
          <w:t>Ac 15.39</w:t>
        </w:r>
      </w:hyperlink>
      <w:r>
        <w:t>). Paul était extrêmement passionné par l'enseignement de la justification par la foi. Barnabas avait déjà montré son incertitude à propos de cet enseignement (</w:t>
      </w:r>
      <w:hyperlink r:id="rId7127">
        <w:r>
          <w:rPr>
            <w:color w:val="0000EE"/>
            <w:u w:val="single"/>
          </w:rPr>
          <w:t>Ga 2.13</w:t>
        </w:r>
      </w:hyperlink>
      <w:r>
        <w:t>). Cette différence de croyances a peut-être conduit à leur séparation. Barnabas a emmené Marc à Chypre, tandis que Paul a choisi Silas comme nouveau partenaire et est allé en Asie Mineure pour fortifier les nouvelles Églises là-bas (</w:t>
      </w:r>
      <w:hyperlink r:id="rId7128">
        <w:r>
          <w:rPr>
            <w:color w:val="0000EE"/>
            <w:u w:val="single"/>
          </w:rPr>
          <w:t>Ac 15.39–41</w:t>
        </w:r>
      </w:hyperlink>
      <w:r>
        <w:t>).</w:t>
      </w:r>
    </w:p>
    <w:p>
      <w:pPr>
        <w:pStyle w:val="Heading3"/>
      </w:pPr>
      <w:r>
        <w:t>Ministère ultérieur et réconciliation</w:t>
      </w:r>
    </w:p>
    <w:p>
      <w:r/>
      <w:r>
        <w:t xml:space="preserve">Marc réapparaît dans le récit biblique environ onze ans plus tard. Dans </w:t>
      </w:r>
      <w:hyperlink r:id="rId1695">
        <w:r>
          <w:rPr>
            <w:color w:val="0000EE"/>
            <w:u w:val="single"/>
          </w:rPr>
          <w:t>Colossiens 4.10</w:t>
        </w:r>
      </w:hyperlink>
      <w:r>
        <w:t xml:space="preserve"> et </w:t>
      </w:r>
      <w:hyperlink r:id="rId129">
        <w:r>
          <w:rPr>
            <w:color w:val="0000EE"/>
            <w:u w:val="single"/>
          </w:rPr>
          <w:t>Philémon 1.24</w:t>
        </w:r>
      </w:hyperlink>
      <w:r>
        <w:t>, il se trouve à Rome avec Paul, qui est désormais un vieil homme et « prisonnier de Jésus-Christ » (</w:t>
      </w:r>
      <w:hyperlink r:id="rId7129">
        <w:r>
          <w:rPr>
            <w:color w:val="0000EE"/>
            <w:u w:val="single"/>
          </w:rPr>
          <w:t>Phm 1.19</w:t>
        </w:r>
      </w:hyperlink>
      <w:r>
        <w:t xml:space="preserve">). Paul et Marc s'étaient réconciliés. Paul dit que Marc et d'autres sont « </w:t>
      </w:r>
      <w:r>
        <w:t>les seuls [Juifs] qui aient travaillé avec [lui] pour le royaume de Dieu</w:t>
      </w:r>
      <w:r>
        <w:t xml:space="preserve"> » (</w:t>
      </w:r>
      <w:hyperlink r:id="rId7130">
        <w:r>
          <w:rPr>
            <w:color w:val="0000EE"/>
            <w:u w:val="single"/>
          </w:rPr>
          <w:t>Col 4.11</w:t>
        </w:r>
      </w:hyperlink>
      <w:r>
        <w:t>).</w:t>
      </w:r>
    </w:p>
    <w:p>
      <w:r/>
      <w:r>
        <w:t xml:space="preserve">Dans sa dernière lettre avant sa mort, Paul écrit ses derniers mots à propos de Marc. Paul dit à Timothée : « </w:t>
      </w:r>
      <w:r>
        <w:t>Viens au plus tôt vers moi [...].</w:t>
      </w:r>
      <w:r>
        <w:t xml:space="preserve"> </w:t>
      </w:r>
      <w:r>
        <w:t>Luc seul est avec moi. Prends Marc, et amène-le avec toi, car il m’est utile pour le ministère</w:t>
      </w:r>
      <w:r>
        <w:t xml:space="preserve"> » (</w:t>
      </w:r>
      <w:hyperlink r:id="rId7131">
        <w:r>
          <w:rPr>
            <w:color w:val="0000EE"/>
            <w:u w:val="single"/>
          </w:rPr>
          <w:t>2Tm 4.9, 11</w:t>
        </w:r>
      </w:hyperlink>
      <w:r>
        <w:t xml:space="preserve">). Tous les autres avaient abandonné Paul lors de son procès devant César Néron (v. </w:t>
      </w:r>
      <w:hyperlink r:id="rId7132">
        <w:r>
          <w:rPr>
            <w:color w:val="0000EE"/>
            <w:u w:val="single"/>
          </w:rPr>
          <w:t>16</w:t>
        </w:r>
      </w:hyperlink>
      <w:r>
        <w:t>). Plus tôt, Marc avait aussi abandonné l'apôtre quand il était jeune, mais désormais il voyagera d'Éphèse à Rome et tentera de venir voir son ami Paul avec Timothée.</w:t>
      </w:r>
    </w:p>
    <w:p>
      <w:pPr>
        <w:pStyle w:val="Heading3"/>
      </w:pPr>
      <w:r>
        <w:t>L'Évangile selon Marc</w:t>
      </w:r>
    </w:p>
    <w:p>
      <w:r/>
      <w:r>
        <w:t xml:space="preserve">Marc avait également une relation étroite avec l'apôtre Pierre. Selon </w:t>
      </w:r>
      <w:hyperlink r:id="rId7123">
        <w:r>
          <w:rPr>
            <w:color w:val="0000EE"/>
            <w:u w:val="single"/>
          </w:rPr>
          <w:t>1 Pierre 5.13</w:t>
        </w:r>
      </w:hyperlink>
      <w:r>
        <w:t>, Pierre a envoyé une salutation à Marc et à l'Église de « Babylone ». Ici, « Babylone » symbolise Rome. Pierre donne à Marc le titre de « mon fils ». Cela montre que Marc avait une relation étroite avec Pierre (</w:t>
      </w:r>
      <w:hyperlink r:id="rId4205">
        <w:r>
          <w:rPr>
            <w:color w:val="0000EE"/>
            <w:u w:val="single"/>
          </w:rPr>
          <w:t>Ga 2.9</w:t>
        </w:r>
      </w:hyperlink>
      <w:r>
        <w:t>).</w:t>
      </w:r>
    </w:p>
    <w:p>
      <w:r/>
      <w:r>
        <w:t>La tradition ecclésiastique la plus importante et fiable (dans des écrits extra-bibliques) nous indique que Marc était l'assistant proche de Pierre. Les Pères de l'Église ont affirmé que Marc a soigneusement consigné par écrit les histoires et les enseignements de Pierre concernant Jésus. Marc a utilisé ces enseignements pour écrire l'Évangile de Marc, qu'il a probablement rédigé à Rome entre l'an 60 et 68 apr. J.‑C.</w:t>
      </w:r>
      <w:r/>
      <w:r/>
    </w:p>
    <w:p>
      <w:r/>
    </w:p>
    <w:p>
      <w:pPr>
        <w:pStyle w:val="Heading2"/>
      </w:pPr>
      <w:r>
        <w:t>Jebus, Jébusien</w:t>
      </w:r>
      <w:r/>
    </w:p>
    <w:p>
      <w:r/>
      <w:r>
        <w:t>Ville fortifiée située à la frontière entre Juda et Benjamin. David l'a conquise, et par la suite, elle est devenue connue sous le nom de « ville de David », ou ancienne Jérusalem. Les habitants qui y vivaient étaient appelés Jébusiens (</w:t>
      </w:r>
      <w:hyperlink r:id="rId5917">
        <w:r>
          <w:rPr>
            <w:color w:val="0000EE"/>
            <w:u w:val="single"/>
          </w:rPr>
          <w:t>Jos 18.16</w:t>
        </w:r>
      </w:hyperlink>
      <w:r>
        <w:t>). Ils faisaient partie de plusieurs groupes collectivement connus sous le nom de Cananéens (</w:t>
      </w:r>
      <w:hyperlink r:id="rId7133">
        <w:r>
          <w:rPr>
            <w:color w:val="0000EE"/>
            <w:u w:val="single"/>
          </w:rPr>
          <w:t>Gn 10.15–16</w:t>
        </w:r>
      </w:hyperlink>
      <w:r>
        <w:t>).</w:t>
      </w:r>
    </w:p>
    <w:p>
      <w:r/>
      <w:r>
        <w:t>Dieu promet à plusieurs reprises la terre des Jébusiens et de leurs voisins aux Israélites (</w:t>
      </w:r>
      <w:hyperlink r:id="rId5231">
        <w:r>
          <w:rPr>
            <w:color w:val="0000EE"/>
            <w:u w:val="single"/>
          </w:rPr>
          <w:t>Ex 3.8</w:t>
        </w:r>
      </w:hyperlink>
      <w:r>
        <w:t xml:space="preserve"> ; </w:t>
      </w:r>
      <w:hyperlink r:id="rId745">
        <w:r>
          <w:rPr>
            <w:color w:val="0000EE"/>
            <w:u w:val="single"/>
          </w:rPr>
          <w:t>13.5</w:t>
        </w:r>
      </w:hyperlink>
      <w:r>
        <w:t xml:space="preserve"> ; </w:t>
      </w:r>
      <w:hyperlink r:id="rId746">
        <w:r>
          <w:rPr>
            <w:color w:val="0000EE"/>
            <w:u w:val="single"/>
          </w:rPr>
          <w:t>23.23</w:t>
        </w:r>
      </w:hyperlink>
      <w:r>
        <w:t xml:space="preserve"> ; </w:t>
      </w:r>
      <w:hyperlink r:id="rId747">
        <w:r>
          <w:rPr>
            <w:color w:val="0000EE"/>
            <w:u w:val="single"/>
          </w:rPr>
          <w:t>33.2</w:t>
        </w:r>
      </w:hyperlink>
      <w:r>
        <w:t xml:space="preserve"> ; </w:t>
      </w:r>
      <w:hyperlink r:id="rId7134">
        <w:r>
          <w:rPr>
            <w:color w:val="0000EE"/>
            <w:u w:val="single"/>
          </w:rPr>
          <w:t>34.11</w:t>
        </w:r>
      </w:hyperlink>
      <w:r>
        <w:t xml:space="preserve"> ; </w:t>
      </w:r>
      <w:hyperlink r:id="rId2163">
        <w:r>
          <w:rPr>
            <w:color w:val="0000EE"/>
            <w:u w:val="single"/>
          </w:rPr>
          <w:t>Nb 13.29</w:t>
        </w:r>
      </w:hyperlink>
      <w:r>
        <w:t xml:space="preserve"> ; </w:t>
      </w:r>
      <w:hyperlink r:id="rId6059">
        <w:r>
          <w:rPr>
            <w:color w:val="0000EE"/>
            <w:u w:val="single"/>
          </w:rPr>
          <w:t>Dt 7.1</w:t>
        </w:r>
      </w:hyperlink>
      <w:r>
        <w:t xml:space="preserve"> ; </w:t>
      </w:r>
      <w:hyperlink r:id="rId6447">
        <w:r>
          <w:rPr>
            <w:color w:val="0000EE"/>
            <w:u w:val="single"/>
          </w:rPr>
          <w:t>20.17</w:t>
        </w:r>
      </w:hyperlink>
      <w:r>
        <w:t>). Cette promesse sera partiellement accomplie au début de la campagne dirigée par Josué (</w:t>
      </w:r>
      <w:hyperlink r:id="rId6060">
        <w:r>
          <w:rPr>
            <w:color w:val="0000EE"/>
            <w:u w:val="single"/>
          </w:rPr>
          <w:t>Jos 3.10</w:t>
        </w:r>
      </w:hyperlink>
      <w:r>
        <w:t xml:space="preserve"> ; </w:t>
      </w:r>
      <w:hyperlink r:id="rId6449">
        <w:r>
          <w:rPr>
            <w:color w:val="0000EE"/>
            <w:u w:val="single"/>
          </w:rPr>
          <w:t>12.8</w:t>
        </w:r>
      </w:hyperlink>
      <w:r>
        <w:t xml:space="preserve"> ; </w:t>
      </w:r>
      <w:hyperlink r:id="rId5917">
        <w:r>
          <w:rPr>
            <w:color w:val="0000EE"/>
            <w:u w:val="single"/>
          </w:rPr>
          <w:t>18.16</w:t>
        </w:r>
      </w:hyperlink>
      <w:r>
        <w:t xml:space="preserve"> ; voir </w:t>
      </w:r>
      <w:hyperlink r:id="rId6061">
        <w:r>
          <w:rPr>
            <w:color w:val="0000EE"/>
            <w:u w:val="single"/>
          </w:rPr>
          <w:t>24.11</w:t>
        </w:r>
      </w:hyperlink>
      <w:r>
        <w:t>). La Bible dit que les hommes de Juda ont combattu contre Jérusalem et l'ont prise (</w:t>
      </w:r>
      <w:hyperlink r:id="rId7135">
        <w:r>
          <w:rPr>
            <w:color w:val="0000EE"/>
            <w:u w:val="single"/>
          </w:rPr>
          <w:t>Jos 18.28</w:t>
        </w:r>
      </w:hyperlink>
      <w:r>
        <w:t xml:space="preserve">). Cependant, « </w:t>
      </w:r>
      <w:r>
        <w:t>Les fils de Benjamin ne chassèrent point les Jébusiens qui habitaient à Jérusalem; et les Jébusiens ont habité jusqu’à ce jour dans Jérusalem avec les fils de Benjamin</w:t>
      </w:r>
      <w:r>
        <w:t xml:space="preserve"> » (</w:t>
      </w:r>
      <w:hyperlink r:id="rId1778">
        <w:r>
          <w:rPr>
            <w:color w:val="0000EE"/>
            <w:u w:val="single"/>
          </w:rPr>
          <w:t>Jg 1.21</w:t>
        </w:r>
      </w:hyperlink>
      <w:r>
        <w:t>). Il semble que la ville ait été capturée par les hommes de Juda, mais que son peuple n'a pas été détruit et qu'ils sont ensuite revenus s'y établir de nouveau.</w:t>
      </w:r>
    </w:p>
    <w:p>
      <w:r/>
      <w:r>
        <w:t xml:space="preserve">Jebus (ou Jérusalem) se situait à la frontière entre deux tribus, Juda et Benjamin. Cela peut expliquer pourquoi elle a survécu jusqu'à l'époque de David. Les frontières de Juda et Benjamin sont décrites ainsi : « </w:t>
      </w:r>
      <w:r>
        <w:t>Elle montait de là par la vallée de Ben-Hinnom au côté méridional de Jebus, qui est Jérusalem, puis s’élevait jusqu’au sommet de la montagne, qui est devant la vallée de Hinnom à l’occident, et à l’extrémité de la vallée des Rephaïm au nord</w:t>
      </w:r>
      <w:r>
        <w:t xml:space="preserve"> » (</w:t>
      </w:r>
      <w:hyperlink r:id="rId5915">
        <w:r>
          <w:rPr>
            <w:color w:val="0000EE"/>
            <w:u w:val="single"/>
          </w:rPr>
          <w:t>Jos 15.8</w:t>
        </w:r>
      </w:hyperlink>
      <w:r>
        <w:t xml:space="preserve">). Elle « </w:t>
      </w:r>
      <w:r>
        <w:t>descendait par la vallée de Hinnom, sur le côté méridional des Jébusiens, jusqu’à En-Roguel</w:t>
      </w:r>
      <w:r>
        <w:t xml:space="preserve"> » (</w:t>
      </w:r>
      <w:hyperlink r:id="rId5917">
        <w:r>
          <w:rPr>
            <w:color w:val="0000EE"/>
            <w:u w:val="single"/>
          </w:rPr>
          <w:t>Jos 18.16</w:t>
        </w:r>
      </w:hyperlink>
      <w:r>
        <w:t>). Les deux descriptions s'accordent à dire que Jebus était sur la pente sud de la « montagne » au nord de la vallée de Hinnom. C'est là où se trouve l'actuelle Jérusalem.</w:t>
      </w:r>
    </w:p>
    <w:p>
      <w:r/>
      <w:r>
        <w:t>La ville a survécu grâce à un approvisionnement en eau constant provenant de la source de Guihon. Elle bénéficiait également de fortes défenses naturelles. Elle était facile à défendre en raison des vallées escarpées sur trois côtés : le Cédron à l'est et l'Hinnom au sud et à l'ouest. Les Jébusiens pensaient que leur ville ne pouvait pas être capturée, ce qui les rendait fiers et satisfaits d'eux-mêmes. Après la mort de Saül, lorsque David tentait d'unir le royaume, les Jébusiens ont défié David de capturer leur forteresse avec moquerie (</w:t>
      </w:r>
      <w:hyperlink r:id="rId7136">
        <w:r>
          <w:rPr>
            <w:color w:val="0000EE"/>
            <w:u w:val="single"/>
          </w:rPr>
          <w:t>2S 5.6</w:t>
        </w:r>
      </w:hyperlink>
      <w:r>
        <w:t xml:space="preserve"> ; voir </w:t>
      </w:r>
      <w:hyperlink r:id="rId7137">
        <w:r>
          <w:rPr>
            <w:color w:val="0000EE"/>
            <w:u w:val="single"/>
          </w:rPr>
          <w:t>1Ch 11.5</w:t>
        </w:r>
      </w:hyperlink>
      <w:r>
        <w:t>). En tant que dernière forteresse cananéenne restante dans la région, elle présentait un défi unique. Joab semble avoir mené l'attaque par le puits d'eau, réussissant là où les tentatives précédentes avaient échoué (</w:t>
      </w:r>
      <w:hyperlink r:id="rId7138">
        <w:r>
          <w:rPr>
            <w:color w:val="0000EE"/>
            <w:u w:val="single"/>
          </w:rPr>
          <w:t>2S 5.8</w:t>
        </w:r>
      </w:hyperlink>
      <w:r>
        <w:t>).</w:t>
      </w:r>
    </w:p>
    <w:p>
      <w:r/>
      <w:r>
        <w:t>Pour des raisons à la fois politiques et stratégiques, David décidera de déplacer sa capitale de Hébron à Jébus. Politiquement, elle se trouvait en territoire neutre entre Juda et Benjamin, ce qui n'a pas suscité de jalousie parmi les tribus. Stratégiquement, elle était facile à défendre et plus centralement située. Le choix s'est avéré judicieux. Bien que Jébus-Jérusalem ne soit pas sur une voie navigable ou une route majeure, elle est devenue au fil des siècles la capitale spirituelle du monde. Sous David et Salomon, elle est devenue le centre religieux d'Israël, et aujourd'hui elle est très importante pour les trois grandes religions qui croient en un seul Dieu : le judaïsme, le christianisme et l'islam.</w:t>
      </w:r>
    </w:p>
    <w:p>
      <w:r/>
      <w:r>
        <w:rPr>
          <w:i/>
        </w:rPr>
        <w:t>Voir aussi</w:t>
      </w:r>
      <w:r>
        <w:t xml:space="preserve"> </w:t>
      </w:r>
      <w:r>
        <w:t>Jérusalem</w:t>
      </w:r>
      <w:r>
        <w:t>.</w:t>
      </w:r>
      <w:r/>
      <w:r/>
    </w:p>
    <w:p>
      <w:r/>
    </w:p>
    <w:p>
      <w:pPr>
        <w:pStyle w:val="Heading2"/>
      </w:pPr>
      <w:r>
        <w:t>Jediaël</w:t>
      </w:r>
      <w:r/>
    </w:p>
    <w:p>
      <w:r/>
      <w:r>
        <w:t>1. Fils de Benjamin (</w:t>
      </w:r>
      <w:hyperlink r:id="rId7139">
        <w:r>
          <w:rPr>
            <w:color w:val="0000EE"/>
            <w:u w:val="single"/>
          </w:rPr>
          <w:t>1Ch 7.6, 10–11</w:t>
        </w:r>
      </w:hyperlink>
      <w:r>
        <w:t>), dont les descendants étaient des guerriers, au nombre de 17 200 à l'époque de David. Certains suggèrent qu'il est identifiable à Aschbel, également fils de Benjamin (</w:t>
      </w:r>
      <w:hyperlink r:id="rId123">
        <w:r>
          <w:rPr>
            <w:color w:val="0000EE"/>
            <w:u w:val="single"/>
          </w:rPr>
          <w:t>Gn 46.21</w:t>
        </w:r>
      </w:hyperlink>
      <w:r>
        <w:t>).</w:t>
      </w:r>
    </w:p>
    <w:p>
      <w:r/>
      <w:r>
        <w:rPr>
          <w:i/>
        </w:rPr>
        <w:t>Voir aussi</w:t>
      </w:r>
      <w:r>
        <w:t xml:space="preserve"> </w:t>
      </w:r>
      <w:r>
        <w:t>Aschbel, Ashbelite</w:t>
      </w:r>
      <w:r>
        <w:t>.</w:t>
      </w:r>
    </w:p>
    <w:p>
      <w:r/>
      <w:r>
        <w:t>2. Fils de Schimri, mentionné parmi les vaillants de David (</w:t>
      </w:r>
      <w:hyperlink r:id="rId7140">
        <w:r>
          <w:rPr>
            <w:color w:val="0000EE"/>
            <w:u w:val="single"/>
          </w:rPr>
          <w:t>1Ch 11.45</w:t>
        </w:r>
      </w:hyperlink>
      <w:r>
        <w:t>).</w:t>
      </w:r>
    </w:p>
    <w:p>
      <w:r/>
      <w:r>
        <w:t>3. Celui qui a déserté Saül pour rejoindre David à Tsiklag (</w:t>
      </w:r>
      <w:hyperlink r:id="rId7141">
        <w:r>
          <w:rPr>
            <w:color w:val="0000EE"/>
            <w:u w:val="single"/>
          </w:rPr>
          <w:t>1Ch 12.20</w:t>
        </w:r>
      </w:hyperlink>
      <w:r>
        <w:t>). Il se peut qu'il s'agisse de la même personne que n°2 ci-dessus.</w:t>
      </w:r>
    </w:p>
    <w:p>
      <w:r/>
      <w:r>
        <w:t>4. Membre de la famille lévitique de Koré, nommé portier du temple pendant le règne de David (</w:t>
      </w:r>
      <w:hyperlink r:id="rId7142">
        <w:r>
          <w:rPr>
            <w:color w:val="0000EE"/>
            <w:u w:val="single"/>
          </w:rPr>
          <w:t>1Ch 26.2</w:t>
        </w:r>
      </w:hyperlink>
      <w:r>
        <w:t>).</w:t>
      </w:r>
      <w:r/>
      <w:r/>
    </w:p>
    <w:p>
      <w:r/>
    </w:p>
    <w:p>
      <w:pPr>
        <w:pStyle w:val="Heading2"/>
      </w:pPr>
      <w:r>
        <w:t>Jegar-Sahadutha</w:t>
      </w:r>
      <w:r/>
    </w:p>
    <w:p>
      <w:r/>
      <w:r>
        <w:t>Nom araméen donné par Laban au tas de pierres qu'il a empilé avec Jacob en mémoire de leur alliance ; Jacob l'appellera « Galed » (</w:t>
      </w:r>
      <w:hyperlink r:id="rId1108">
        <w:r>
          <w:rPr>
            <w:color w:val="0000EE"/>
            <w:u w:val="single"/>
          </w:rPr>
          <w:t>Gn 31.47</w:t>
        </w:r>
      </w:hyperlink>
      <w:r>
        <w:t>). Le nom signifie « tas de témoignage ».</w:t>
      </w:r>
    </w:p>
    <w:p>
      <w:r/>
      <w:r>
        <w:rPr>
          <w:i/>
        </w:rPr>
        <w:t>Voir aussi</w:t>
      </w:r>
      <w:r>
        <w:t xml:space="preserve"> </w:t>
      </w:r>
      <w:r>
        <w:t>Galed</w:t>
      </w:r>
      <w:r>
        <w:t>.</w:t>
      </w:r>
      <w:r/>
      <w:r/>
    </w:p>
    <w:p>
      <w:r/>
    </w:p>
    <w:p>
      <w:pPr>
        <w:pStyle w:val="Heading2"/>
      </w:pPr>
      <w:r>
        <w:t>Jemuel</w:t>
      </w:r>
      <w:r/>
    </w:p>
    <w:p>
      <w:r/>
      <w:r>
        <w:t>Le premier fils de Siméon (</w:t>
      </w:r>
      <w:hyperlink r:id="rId7091">
        <w:r>
          <w:rPr>
            <w:color w:val="0000EE"/>
            <w:u w:val="single"/>
          </w:rPr>
          <w:t>Gn 46.10</w:t>
        </w:r>
      </w:hyperlink>
      <w:r>
        <w:t xml:space="preserve"> ; </w:t>
      </w:r>
      <w:hyperlink r:id="rId7092">
        <w:r>
          <w:rPr>
            <w:color w:val="0000EE"/>
            <w:u w:val="single"/>
          </w:rPr>
          <w:t>Ex 6.15</w:t>
        </w:r>
      </w:hyperlink>
      <w:r>
        <w:t xml:space="preserve">). Il est appelé Nemuel dans </w:t>
      </w:r>
      <w:hyperlink r:id="rId7094">
        <w:r>
          <w:rPr>
            <w:color w:val="0000EE"/>
            <w:u w:val="single"/>
          </w:rPr>
          <w:t>1 Chroniques 4.24</w:t>
        </w:r>
      </w:hyperlink>
      <w:r>
        <w:t xml:space="preserve"> et est le fondateur de la famille des </w:t>
      </w:r>
      <w:r>
        <w:t>Nemuélites</w:t>
      </w:r>
      <w:r>
        <w:t xml:space="preserve"> (</w:t>
      </w:r>
      <w:hyperlink r:id="rId7093">
        <w:r>
          <w:rPr>
            <w:color w:val="0000EE"/>
            <w:u w:val="single"/>
          </w:rPr>
          <w:t>Nb 26.12</w:t>
        </w:r>
      </w:hyperlink>
      <w:r>
        <w:t>).</w:t>
      </w:r>
      <w:r/>
      <w:r/>
    </w:p>
    <w:p>
      <w:r/>
    </w:p>
    <w:p>
      <w:pPr>
        <w:pStyle w:val="Heading2"/>
      </w:pPr>
      <w:r>
        <w:t>Jérach</w:t>
      </w:r>
      <w:r/>
    </w:p>
    <w:p>
      <w:r/>
      <w:r>
        <w:t>Fils de Jokthan et neveu de Péleg, durant la vie duquel la terre sera divisée, sans doute une référence à la dispersion suivant Babel. Jérach est probablement aussi le nom d'une tribu ou d'un district arabe (</w:t>
      </w:r>
      <w:hyperlink r:id="rId7143">
        <w:r>
          <w:rPr>
            <w:color w:val="0000EE"/>
            <w:u w:val="single"/>
          </w:rPr>
          <w:t>Gn 10.25–26</w:t>
        </w:r>
      </w:hyperlink>
      <w:r>
        <w:t xml:space="preserve"> ; </w:t>
      </w:r>
      <w:hyperlink r:id="rId584">
        <w:r>
          <w:rPr>
            <w:color w:val="0000EE"/>
            <w:u w:val="single"/>
          </w:rPr>
          <w:t>1Ch 1.20</w:t>
        </w:r>
      </w:hyperlink>
      <w:r>
        <w:t>).</w:t>
      </w:r>
      <w:r/>
      <w:r/>
    </w:p>
    <w:p>
      <w:r/>
    </w:p>
    <w:p>
      <w:pPr>
        <w:pStyle w:val="Heading2"/>
      </w:pPr>
      <w:r>
        <w:t>Jéred</w:t>
      </w:r>
      <w:r/>
    </w:p>
    <w:p>
      <w:r/>
      <w:r>
        <w:t>Fils de Mahalaleel est un descendant de Seth. Il était le père d'Hénoc (</w:t>
      </w:r>
      <w:hyperlink r:id="rId7144">
        <w:r>
          <w:rPr>
            <w:color w:val="0000EE"/>
            <w:u w:val="single"/>
          </w:rPr>
          <w:t>Gn 5.15–20</w:t>
        </w:r>
      </w:hyperlink>
      <w:r>
        <w:t xml:space="preserve"> ; </w:t>
      </w:r>
      <w:hyperlink r:id="rId7145">
        <w:r>
          <w:rPr>
            <w:color w:val="0000EE"/>
            <w:u w:val="single"/>
          </w:rPr>
          <w:t>1Ch 1.2</w:t>
        </w:r>
      </w:hyperlink>
      <w:r>
        <w:t xml:space="preserve"> ; </w:t>
      </w:r>
      <w:hyperlink r:id="rId7146">
        <w:r>
          <w:rPr>
            <w:color w:val="0000EE"/>
            <w:u w:val="single"/>
          </w:rPr>
          <w:t>Lc 3.37</w:t>
        </w:r>
      </w:hyperlink>
      <w:r>
        <w:t>).</w:t>
      </w:r>
    </w:p>
    <w:p>
      <w:r/>
      <w:r>
        <w:rPr>
          <w:i/>
        </w:rPr>
        <w:t>Voir</w:t>
      </w:r>
      <w:r>
        <w:t xml:space="preserve"> </w:t>
      </w:r>
      <w:r>
        <w:t>Généalogie de Jésus-Christ</w:t>
      </w:r>
      <w:r>
        <w:t>.</w:t>
      </w:r>
      <w:r/>
      <w:r/>
    </w:p>
    <w:p>
      <w:r/>
    </w:p>
    <w:p>
      <w:pPr>
        <w:pStyle w:val="Heading2"/>
      </w:pPr>
      <w:r>
        <w:t>Jéricho</w:t>
      </w:r>
      <w:r/>
    </w:p>
    <w:p>
      <w:r/>
      <w:r>
        <w:t xml:space="preserve">Ville très ancienne située à l'ouest du Jourdain. Le nom de Jéricho pourrait être lié au nom ancien du dieu lunaire cananéen. Les mots hébreux qui signifient </w:t>
      </w:r>
      <w:r>
        <w:rPr>
          <w:i/>
        </w:rPr>
        <w:t>lune</w:t>
      </w:r>
      <w:r>
        <w:t xml:space="preserve">, </w:t>
      </w:r>
      <w:r>
        <w:rPr>
          <w:i/>
        </w:rPr>
        <w:t>mois</w:t>
      </w:r>
      <w:r>
        <w:t xml:space="preserve">, </w:t>
      </w:r>
      <w:r>
        <w:rPr>
          <w:i/>
        </w:rPr>
        <w:t>nouvelle lune</w:t>
      </w:r>
      <w:r>
        <w:t xml:space="preserve"> et </w:t>
      </w:r>
      <w:r>
        <w:rPr>
          <w:i/>
        </w:rPr>
        <w:t>Jéricho</w:t>
      </w:r>
      <w:r>
        <w:t xml:space="preserve"> sont très similaires. D'autres associent le nom de Jéricho au mot hébreu qui signifie esprit ou odeur. Ils pensent que les parfums agréables des fruits et épices qui poussaient dans cette oasis sont la raison pour laquelle cet endroit a été appelé ainsi. Jéricho est parfois appelée « la ville des palmiers » dans l'Ancien Testament (AT), voir par exemple </w:t>
      </w:r>
      <w:hyperlink r:id="rId7147">
        <w:r>
          <w:rPr>
            <w:color w:val="0000EE"/>
            <w:u w:val="single"/>
          </w:rPr>
          <w:t>Deutéronome 34.3</w:t>
        </w:r>
      </w:hyperlink>
      <w:r>
        <w:t xml:space="preserve"> et </w:t>
      </w:r>
      <w:hyperlink r:id="rId7148">
        <w:r>
          <w:rPr>
            <w:color w:val="0000EE"/>
            <w:u w:val="single"/>
          </w:rPr>
          <w:t>2 Chroniques 28.15</w:t>
        </w:r>
      </w:hyperlink>
      <w:r>
        <w:t>.</w:t>
      </w:r>
    </w:p>
    <w:p>
      <w:r/>
      <w:r>
        <w:t>Jéricho est située à l'ouest du Jourdain, à environ 8 kilomètres des gués les plus au sud et à environ 16 kilomètres au nord-ouest de la mer Morte. Située dans la partie large de la plaine du Jourdain, Jéricho se trouve à près 305 mètres au-dessous du niveau de la mer et à 1 067 mètres au-dessous de Jérusalem (qui n'est qu'à 27 kilomètres de Jéricho). Cette situation topographique explique pourquoi dans la parabole du bon Samaritain, Jésus parle d'un voyageur qui « descendait de Jérusalem à Jéricho » (</w:t>
      </w:r>
      <w:hyperlink r:id="rId7149">
        <w:r>
          <w:rPr>
            <w:color w:val="0000EE"/>
            <w:u w:val="single"/>
          </w:rPr>
          <w:t>Lc 10.30</w:t>
        </w:r>
      </w:hyperlink>
      <w:r>
        <w:t>).</w:t>
      </w:r>
    </w:p>
    <w:p>
      <w:pPr>
        <w:pStyle w:val="Heading3"/>
      </w:pPr>
      <w:r>
        <w:t>Histoire de Jéricho</w:t>
      </w:r>
    </w:p>
    <w:p>
      <w:pPr>
        <w:pStyle w:val="Heading4"/>
      </w:pPr>
      <w:r>
        <w:t>Avant la période biblique</w:t>
      </w:r>
    </w:p>
    <w:p>
      <w:r/>
      <w:r>
        <w:t>Jéricho a été une grande ville prospère pendant des siècles, voire des millénaires, avant que la Bible la mentionne pour la première fois en lien avec l'exode d'Égypte. En fait, Jéricho est l'une des plus anciennes villes du monde, avec des vestiges datant de l'âge néolithique, il y a quelque 10 000 ans, et même d'avant cela.</w:t>
      </w:r>
    </w:p>
    <w:p>
      <w:r/>
      <w:r>
        <w:t xml:space="preserve">Les peuples primitifs auraient choisi ce site, d'abord comme campement, puis plus tard pour y fonder une ville importante pour trois raisons : (1) Il s'y trouve une source abondante, maintenant connue sous le nom de fontaine d'Élisée (voir </w:t>
      </w:r>
      <w:hyperlink r:id="rId7150">
        <w:r>
          <w:rPr>
            <w:color w:val="0000EE"/>
            <w:u w:val="single"/>
          </w:rPr>
          <w:t>2R 2.18–22</w:t>
        </w:r>
      </w:hyperlink>
      <w:r>
        <w:t>). (2) Le climat hivernal y est relativement chaud (très chaud en été). (3) Son emplacement est stratégiquement situé près d'un gué du Jourdain et il en part plusieurs routes menant vers l'ouest, dans la région des collines.</w:t>
      </w:r>
    </w:p>
    <w:p>
      <w:r/>
      <w:r>
        <w:t xml:space="preserve">Les migrations de plusieurs groupes différents ne peuvent être reconstituées que de façon approximative à partir de données archéologiques qui n'incluent pas d'inscriptions. Le développement de Jéricho a gagné en complexité avec le temps. Au début, il n'y avait qu'une économie toute simple basée sur la cueillette de nourriture. Mais à l'époque de Josué, Jéricho était une société urbaine à un tout autre niveau de complexité. Elle avait, entre autres, un roi, des soldats et des maisons d'hôtes. La première identification certaine de ses habitants se trouve dans </w:t>
      </w:r>
      <w:hyperlink r:id="rId2163">
        <w:r>
          <w:rPr>
            <w:color w:val="0000EE"/>
            <w:u w:val="single"/>
          </w:rPr>
          <w:t>Nombres 13.29</w:t>
        </w:r>
      </w:hyperlink>
      <w:r>
        <w:t xml:space="preserve"> : « </w:t>
      </w:r>
      <w:r>
        <w:t>les Héthiens, les Jébusiens et les Amoréens habitent la montagne ; et les Cananéens habitent près de la mer et le long du Jourdain</w:t>
      </w:r>
      <w:r>
        <w:t xml:space="preserve"> ».</w:t>
      </w:r>
    </w:p>
    <w:p>
      <w:pPr>
        <w:pStyle w:val="Heading4"/>
      </w:pPr>
      <w:r>
        <w:t>Jéricho dans l’Ancien Testament</w:t>
      </w:r>
    </w:p>
    <w:p>
      <w:r/>
      <w:r>
        <w:t>La ville de Jéricho de l'AT est célèbre en tant que première ville que les Israélites ont conquise quand ses murs se sont miraculeusement écroulés. Après avoir passé quelque temps dans les plaines de Moab sur la rive orientale du Jourdain (</w:t>
      </w:r>
      <w:hyperlink r:id="rId7151">
        <w:r>
          <w:rPr>
            <w:color w:val="0000EE"/>
            <w:u w:val="single"/>
          </w:rPr>
          <w:t>Nb 22.1</w:t>
        </w:r>
      </w:hyperlink>
      <w:r>
        <w:t xml:space="preserve">; </w:t>
      </w:r>
      <w:hyperlink r:id="rId7152">
        <w:r>
          <w:rPr>
            <w:color w:val="0000EE"/>
            <w:u w:val="single"/>
          </w:rPr>
          <w:t>26.3, 63</w:t>
        </w:r>
      </w:hyperlink>
      <w:r>
        <w:t>), les Israélites la ciblent comme premier objectif militaire de la Conquête. Josué envoie des espions en reconnaissance dans la région et dans la ville. Rahab, la prostituée, les accueille et les aide ensuite à s'évader. En récompense de son aide, sa famille et elle sont épargnées quand Israël détruit la ville (</w:t>
      </w:r>
      <w:hyperlink r:id="rId7153">
        <w:r>
          <w:rPr>
            <w:color w:val="0000EE"/>
            <w:u w:val="single"/>
          </w:rPr>
          <w:t>Jos 2</w:t>
        </w:r>
      </w:hyperlink>
      <w:r>
        <w:t xml:space="preserve">, </w:t>
      </w:r>
      <w:hyperlink r:id="rId7154">
        <w:r>
          <w:rPr>
            <w:color w:val="0000EE"/>
            <w:u w:val="single"/>
          </w:rPr>
          <w:t>6</w:t>
        </w:r>
      </w:hyperlink>
      <w:r>
        <w:t>). La chute de la ville se produit alors que les Israélites marchent marché autour d'elle en silence, à l'exception du son continu des trompettes, une fois par jour pendant six jours. Le septième jour, tandis que les sacrificateurs font retentir les trompettes, le peuple pousse un grand cri et les murs s'effondrent.</w:t>
      </w:r>
    </w:p>
    <w:p>
      <w:r/>
      <w:r>
        <w:t>Josué prononce une malédiction contre quiconque reconstruirait Jéricho (</w:t>
      </w:r>
      <w:hyperlink r:id="rId7155">
        <w:r>
          <w:rPr>
            <w:color w:val="0000EE"/>
            <w:u w:val="single"/>
          </w:rPr>
          <w:t>Jos 6.26</w:t>
        </w:r>
      </w:hyperlink>
      <w:r>
        <w:t>). Cette malédiction se réalise environ 500 ans plus tard lorsque Hiel reconstruit la ville au prix de la vie de deux de ses fils (</w:t>
      </w:r>
      <w:hyperlink r:id="rId1872">
        <w:r>
          <w:rPr>
            <w:color w:val="0000EE"/>
            <w:u w:val="single"/>
          </w:rPr>
          <w:t>1R 16.34</w:t>
        </w:r>
      </w:hyperlink>
      <w:r>
        <w:t>).</w:t>
      </w:r>
    </w:p>
    <w:p>
      <w:r/>
      <w:r>
        <w:t>Jéricho se trouvait dans le territoire de Benjamin, juste à la frontière du territoire d'Éphraïm au nord (</w:t>
      </w:r>
      <w:hyperlink r:id="rId7156">
        <w:r>
          <w:rPr>
            <w:color w:val="0000EE"/>
            <w:u w:val="single"/>
          </w:rPr>
          <w:t>Jos 16.1, 7</w:t>
        </w:r>
      </w:hyperlink>
      <w:r>
        <w:t xml:space="preserve"> ; </w:t>
      </w:r>
      <w:hyperlink r:id="rId7157">
        <w:r>
          <w:rPr>
            <w:color w:val="0000EE"/>
            <w:u w:val="single"/>
          </w:rPr>
          <w:t>18.12, 21</w:t>
        </w:r>
      </w:hyperlink>
      <w:r>
        <w:t xml:space="preserve">). La ville est mentionnée régulièrement dans l'AT. Dans </w:t>
      </w:r>
      <w:hyperlink r:id="rId7158">
        <w:r>
          <w:rPr>
            <w:color w:val="0000EE"/>
            <w:u w:val="single"/>
          </w:rPr>
          <w:t>2 Samuel 10.5</w:t>
        </w:r>
      </w:hyperlink>
      <w:r>
        <w:t xml:space="preserve"> (voir aussi </w:t>
      </w:r>
      <w:hyperlink r:id="rId7159">
        <w:r>
          <w:rPr>
            <w:color w:val="0000EE"/>
            <w:u w:val="single"/>
          </w:rPr>
          <w:t>1 Chr 19.5</w:t>
        </w:r>
      </w:hyperlink>
      <w:r>
        <w:t>), David demande à ses envoyés, qui avaient été humiliés par les Ammonites, d'y rester le temps que leurs barbes repoussent. Jéricho sert de base à Élisée et il y vit apparemment une « troupe de prophètes » (</w:t>
      </w:r>
      <w:hyperlink r:id="rId7160">
        <w:r>
          <w:rPr>
            <w:color w:val="0000EE"/>
            <w:u w:val="single"/>
          </w:rPr>
          <w:t>2R 2.5</w:t>
        </w:r>
      </w:hyperlink>
      <w:r>
        <w:t xml:space="preserve"> ; voir </w:t>
      </w:r>
      <w:hyperlink r:id="rId6774">
        <w:r>
          <w:rPr>
            <w:color w:val="0000EE"/>
            <w:u w:val="single"/>
          </w:rPr>
          <w:t>1S 10.5</w:t>
        </w:r>
      </w:hyperlink>
      <w:r>
        <w:t>). À l'époque d'Achaz, des prisonniers judéens capturés par l'armée du royaume du Nord y sont libérés (</w:t>
      </w:r>
      <w:hyperlink r:id="rId7148">
        <w:r>
          <w:rPr>
            <w:color w:val="0000EE"/>
            <w:u w:val="single"/>
          </w:rPr>
          <w:t>2Ch 28.15</w:t>
        </w:r>
      </w:hyperlink>
      <w:r>
        <w:t>). Lorsque Jérusalem tombe en 586 av. J.‑C., le roi Sédécias s'enfuit près de Jéricho, mais est capturé par les Babyloniens, qui lui crèvent les yeux plus tard, à Ribla en Syrie (</w:t>
      </w:r>
      <w:hyperlink r:id="rId7161">
        <w:r>
          <w:rPr>
            <w:color w:val="0000EE"/>
            <w:u w:val="single"/>
          </w:rPr>
          <w:t>2R 25.5</w:t>
        </w:r>
      </w:hyperlink>
      <w:r>
        <w:t xml:space="preserve"> ; </w:t>
      </w:r>
      <w:hyperlink r:id="rId7162">
        <w:r>
          <w:rPr>
            <w:color w:val="0000EE"/>
            <w:u w:val="single"/>
          </w:rPr>
          <w:t>Jr 39.5</w:t>
        </w:r>
      </w:hyperlink>
      <w:r>
        <w:t xml:space="preserve"> ; </w:t>
      </w:r>
      <w:hyperlink r:id="rId7163">
        <w:r>
          <w:rPr>
            <w:color w:val="0000EE"/>
            <w:u w:val="single"/>
          </w:rPr>
          <w:t>52.8</w:t>
        </w:r>
      </w:hyperlink>
      <w:r>
        <w:t>). Les dernières mentions de Jéricho dans l'AT se rapportent au temps du retour de l'exil. Des habitants de Jéricho font partie de ceux qui reviennent en Judée (</w:t>
      </w:r>
      <w:hyperlink r:id="rId7164">
        <w:r>
          <w:rPr>
            <w:color w:val="0000EE"/>
            <w:u w:val="single"/>
          </w:rPr>
          <w:t>Esd 2.34</w:t>
        </w:r>
      </w:hyperlink>
      <w:r>
        <w:t xml:space="preserve"> ; </w:t>
      </w:r>
      <w:hyperlink r:id="rId7165">
        <w:r>
          <w:rPr>
            <w:color w:val="0000EE"/>
            <w:u w:val="single"/>
          </w:rPr>
          <w:t>Né 7.36</w:t>
        </w:r>
      </w:hyperlink>
      <w:r>
        <w:t>) et qui aident à reconstruire le mur de Jérusalem (</w:t>
      </w:r>
      <w:hyperlink r:id="rId7166">
        <w:r>
          <w:rPr>
            <w:color w:val="0000EE"/>
            <w:u w:val="single"/>
          </w:rPr>
          <w:t>3.2</w:t>
        </w:r>
      </w:hyperlink>
      <w:r>
        <w:t>).</w:t>
      </w:r>
    </w:p>
    <w:p>
      <w:pPr>
        <w:pStyle w:val="Heading4"/>
      </w:pPr>
      <w:r>
        <w:t>Jéricho dans le Nouveau Testament</w:t>
      </w:r>
    </w:p>
    <w:p>
      <w:r/>
      <w:r>
        <w:t>La ville de Jéricho de l'époque du NT a été construite par Hérode à l'embouchure de l'Oued Qelt, c'est-à-dire à environ 2 kilomètres au sud du site de la ville de l'AT. Il est possible de mieux comprendre la relation entre les récits de guérison des aveugles dans les Évangiles synoptiques en considérant que Jésus était en train de sortir du site de l'ancien site de Jéricho (</w:t>
      </w:r>
      <w:hyperlink r:id="rId7167">
        <w:r>
          <w:rPr>
            <w:color w:val="0000EE"/>
            <w:u w:val="single"/>
          </w:rPr>
          <w:t>Mt 20.29</w:t>
        </w:r>
      </w:hyperlink>
      <w:r>
        <w:t xml:space="preserve"> ; </w:t>
      </w:r>
      <w:hyperlink r:id="rId7168">
        <w:r>
          <w:rPr>
            <w:color w:val="0000EE"/>
            <w:u w:val="single"/>
          </w:rPr>
          <w:t>Mc 10.46</w:t>
        </w:r>
      </w:hyperlink>
      <w:r>
        <w:t>) et s'approchait de celui du Jéricho d'Hérode (</w:t>
      </w:r>
      <w:hyperlink r:id="rId7169">
        <w:r>
          <w:rPr>
            <w:color w:val="0000EE"/>
            <w:u w:val="single"/>
          </w:rPr>
          <w:t>Lc 18.35</w:t>
        </w:r>
      </w:hyperlink>
      <w:r>
        <w:t>). La ville moderne de Jéricho inclut ces deux sites. Alors que Jésus traverse Jéricho (</w:t>
      </w:r>
      <w:hyperlink r:id="rId7170">
        <w:r>
          <w:rPr>
            <w:color w:val="0000EE"/>
            <w:u w:val="single"/>
          </w:rPr>
          <w:t>19.1</w:t>
        </w:r>
      </w:hyperlink>
      <w:r>
        <w:t>), il y rencontre Zachée, le riche chef de collecteurs d'impôts du nouveau Jéricho romain et mange chez lui. La ville figure également dans la parabole du Bon Samaritain (</w:t>
      </w:r>
      <w:hyperlink r:id="rId7171">
        <w:r>
          <w:rPr>
            <w:color w:val="0000EE"/>
            <w:u w:val="single"/>
          </w:rPr>
          <w:t>10.30–37</w:t>
        </w:r>
      </w:hyperlink>
      <w:r>
        <w:t>).</w:t>
      </w:r>
    </w:p>
    <w:p>
      <w:pPr>
        <w:pStyle w:val="Heading4"/>
      </w:pPr>
      <w:r>
        <w:t>Jéricho après le Nouveau Testament</w:t>
      </w:r>
    </w:p>
    <w:p>
      <w:r/>
      <w:r>
        <w:t>L'ancienne ville de Jéricho a eu peu d'importance après avoir été détruite par Josué. Mais le Jéricho d'Hérode était une ville belle et importante. Cependant, même cette ville a fini par tomber en déclin alors que les Romains ont perdu en influence au Moyen-Orient. L'essentiel de ce qui est connu de la ville depuis cette période jusqu'à l'époque moderne provient des écrits de pèlerins qui s'étaient rendus en Terre Sainte. Ils racontent habituellement avoir vu certaines choses d'importance biblique, comme l'arbre sur lequel Zachée avait grimpé. Cependant, ils décrivent aussi Jéricho comme un village musulman dans un état misérable et sordide. C'est dans cet état qu'il est resté jusqu'à il n'y a pas si longtemps que cela, lorsqu'il a commencé à grandir en taille et importance et est devenu une grande ville de Cisjordanie.</w:t>
      </w:r>
      <w:r/>
      <w:r/>
    </w:p>
    <w:p>
      <w:r/>
    </w:p>
    <w:p>
      <w:pPr>
        <w:pStyle w:val="Heading2"/>
      </w:pPr>
      <w:r>
        <w:t>Jéroboam</w:t>
      </w:r>
      <w:r/>
    </w:p>
    <w:p>
      <w:r/>
      <w:r>
        <w:t>Noms de deux rois qui ont régné dans le royaume du nord d'Israël : Jéroboam 1er (930–909 av. J.‑C.), l'initiateur et premier monarque des dix tribus d'Israël, et Jéroboam II (793–753 av. J.‑C.), le 14e roi du royaume du nord.</w:t>
      </w:r>
    </w:p>
    <w:p>
      <w:r/>
      <w:r>
        <w:t>1. Jéroboam 1er était le fils de Nebath de la tribu d'Éphraïm. Il a également servi le roi Salomon (</w:t>
      </w:r>
      <w:hyperlink r:id="rId7172">
        <w:r>
          <w:rPr>
            <w:color w:val="0000EE"/>
            <w:u w:val="single"/>
          </w:rPr>
          <w:t>1R 11.26</w:t>
        </w:r>
      </w:hyperlink>
      <w:r>
        <w:t xml:space="preserve">) et ses efforts ont été récompensés par sa nomination en tant que superviseur de la main-d'œuvre éphraïmite. Jéroboam a donc aidé à reconstruire une section importante des défenses de Jérusalem (v. </w:t>
      </w:r>
      <w:hyperlink r:id="rId7173">
        <w:r>
          <w:rPr>
            <w:color w:val="0000EE"/>
            <w:u w:val="single"/>
          </w:rPr>
          <w:t>27–28</w:t>
        </w:r>
      </w:hyperlink>
      <w:r>
        <w:t>). Cependant, ce jeune homme efficace et énergique ne restera pas longtemps au service de Salomon. Les origines de Jéroboam, la fierté de sa tribu et l'oppression de Salomon avaient produit un jeune rebelle. Achija, le prophète de Silo, rencontre un jour Jéroboam à l'extérieur de Jérusalem et a fait une chose surprenante : il déchire un nouveau vêtement qu'il portait en douze morceaux et en donne dix à Jéroboam (</w:t>
      </w:r>
      <w:hyperlink r:id="rId7174">
        <w:r>
          <w:rPr>
            <w:color w:val="0000EE"/>
            <w:u w:val="single"/>
          </w:rPr>
          <w:t>1R 11.29–30</w:t>
        </w:r>
      </w:hyperlink>
      <w:r>
        <w:t xml:space="preserve">). Achija avait symboliquement montré à Jéroboam que Dieu lui donnerait dix tribus et laisserait la lignée davidique intacte (v. </w:t>
      </w:r>
      <w:hyperlink r:id="rId7175">
        <w:r>
          <w:rPr>
            <w:color w:val="0000EE"/>
            <w:u w:val="single"/>
          </w:rPr>
          <w:t>31–39</w:t>
        </w:r>
      </w:hyperlink>
      <w:r>
        <w:t xml:space="preserve">). L'idolâtrie de Salomon avait entraîné ce jugement sur la lignée davidique (v. </w:t>
      </w:r>
      <w:hyperlink r:id="rId7176">
        <w:r>
          <w:rPr>
            <w:color w:val="0000EE"/>
            <w:u w:val="single"/>
          </w:rPr>
          <w:t>33</w:t>
        </w:r>
      </w:hyperlink>
      <w:r>
        <w:t xml:space="preserve">). Bien que les détails précis d'une révolte ne soient pas donnés (v. </w:t>
      </w:r>
      <w:hyperlink r:id="rId7177">
        <w:r>
          <w:rPr>
            <w:color w:val="0000EE"/>
            <w:u w:val="single"/>
          </w:rPr>
          <w:t>7</w:t>
        </w:r>
      </w:hyperlink>
      <w:r>
        <w:t xml:space="preserve">), Jéroboam finit par s'enfuir en Égypte pour sauver sa vie (v. </w:t>
      </w:r>
      <w:hyperlink r:id="rId6613">
        <w:r>
          <w:rPr>
            <w:color w:val="0000EE"/>
            <w:u w:val="single"/>
          </w:rPr>
          <w:t>40</w:t>
        </w:r>
      </w:hyperlink>
      <w:r>
        <w:t>).</w:t>
      </w:r>
    </w:p>
    <w:p>
      <w:r/>
      <w:r>
        <w:t>Après la mort de Salomon, Jéroboam retourne en Palestine et approche Roboam, le fils de Salomon, avec une demande : que son programme d'oppression cesse (</w:t>
      </w:r>
      <w:hyperlink r:id="rId7178">
        <w:r>
          <w:rPr>
            <w:color w:val="0000EE"/>
            <w:u w:val="single"/>
          </w:rPr>
          <w:t>1R 12.1–4</w:t>
        </w:r>
      </w:hyperlink>
      <w:r>
        <w:t xml:space="preserve">). Roboam demande alors trois jours pour consulter ses conseillers avant de répondre (v. </w:t>
      </w:r>
      <w:hyperlink r:id="rId7179">
        <w:r>
          <w:rPr>
            <w:color w:val="0000EE"/>
            <w:u w:val="single"/>
          </w:rPr>
          <w:t>5–11</w:t>
        </w:r>
      </w:hyperlink>
      <w:r>
        <w:t xml:space="preserve">). L'avis des conseillers plus âgés était en faveur de la clémence, mais les jeunes têtes brûlées l'emporteront, conseillant d'augmenter les impôts et le travail forcé (v. </w:t>
      </w:r>
      <w:hyperlink r:id="rId7180">
        <w:r>
          <w:rPr>
            <w:color w:val="0000EE"/>
            <w:u w:val="single"/>
          </w:rPr>
          <w:t>12–14</w:t>
        </w:r>
      </w:hyperlink>
      <w:r>
        <w:t>).</w:t>
      </w:r>
    </w:p>
    <w:p>
      <w:r/>
      <w:r>
        <w:t>Les Israélites répondent en rejetant Roboam. Jéroboam sera rapidement élu roi des tribus du nord (</w:t>
      </w:r>
      <w:hyperlink r:id="rId7181">
        <w:r>
          <w:rPr>
            <w:color w:val="0000EE"/>
            <w:u w:val="single"/>
          </w:rPr>
          <w:t>1R 12.20</w:t>
        </w:r>
      </w:hyperlink>
      <w:r>
        <w:t>), et un cessez-le-feu précaire stabilisera temporairement les relations entre les deux royaumes lors de leur division (930 av. J.‑C.).</w:t>
      </w:r>
    </w:p>
    <w:p>
      <w:r/>
      <w:r>
        <w:t xml:space="preserve">Ambitieux et habile, Jéroboam fera construire deux villes capitales, une à Sichem (voir </w:t>
      </w:r>
      <w:hyperlink r:id="rId7182">
        <w:r>
          <w:rPr>
            <w:color w:val="0000EE"/>
            <w:u w:val="single"/>
          </w:rPr>
          <w:t>Gn 12.6–8</w:t>
        </w:r>
      </w:hyperlink>
      <w:r>
        <w:t xml:space="preserve"> ; </w:t>
      </w:r>
      <w:hyperlink r:id="rId566">
        <w:r>
          <w:rPr>
            <w:color w:val="0000EE"/>
            <w:u w:val="single"/>
          </w:rPr>
          <w:t>Jos 8.30–35</w:t>
        </w:r>
      </w:hyperlink>
      <w:r>
        <w:t xml:space="preserve">), dans le territoire à l'ouest du Jourdain, et une à Peniel (voir </w:t>
      </w:r>
      <w:hyperlink r:id="rId6954">
        <w:r>
          <w:rPr>
            <w:color w:val="0000EE"/>
            <w:u w:val="single"/>
          </w:rPr>
          <w:t>Gn 32.30</w:t>
        </w:r>
      </w:hyperlink>
      <w:r>
        <w:t xml:space="preserve"> ; </w:t>
      </w:r>
      <w:hyperlink r:id="rId7183">
        <w:r>
          <w:rPr>
            <w:color w:val="0000EE"/>
            <w:u w:val="single"/>
          </w:rPr>
          <w:t>Jg 8.17</w:t>
        </w:r>
      </w:hyperlink>
      <w:r>
        <w:t>), à l'est du Jourdain (</w:t>
      </w:r>
      <w:hyperlink r:id="rId7184">
        <w:r>
          <w:rPr>
            <w:color w:val="0000EE"/>
            <w:u w:val="single"/>
          </w:rPr>
          <w:t>1R 12.25</w:t>
        </w:r>
      </w:hyperlink>
      <w:r>
        <w:t xml:space="preserve">). Il réinstituera le culte des veaux d'or, substituant une religion ancienne au culte de Yahvé. Il fera modifier les centres du culte, l'objet du culte, le sacerdoce et le moment du culte. Les nouveaux centres sont devenus Béthel et Dan (v. </w:t>
      </w:r>
      <w:hyperlink r:id="rId7185">
        <w:r>
          <w:rPr>
            <w:color w:val="0000EE"/>
            <w:u w:val="single"/>
          </w:rPr>
          <w:t>29</w:t>
        </w:r>
      </w:hyperlink>
      <w:r>
        <w:t>) ; Béthel était un lieu de culte patriarcal (</w:t>
      </w:r>
      <w:hyperlink r:id="rId1873">
        <w:r>
          <w:rPr>
            <w:color w:val="0000EE"/>
            <w:u w:val="single"/>
          </w:rPr>
          <w:t>Gn 28.10–22</w:t>
        </w:r>
      </w:hyperlink>
      <w:r>
        <w:t xml:space="preserve"> ; </w:t>
      </w:r>
      <w:hyperlink r:id="rId7186">
        <w:r>
          <w:rPr>
            <w:color w:val="0000EE"/>
            <w:u w:val="single"/>
          </w:rPr>
          <w:t>31.13</w:t>
        </w:r>
      </w:hyperlink>
      <w:r>
        <w:t xml:space="preserve"> ; </w:t>
      </w:r>
      <w:hyperlink r:id="rId7187">
        <w:r>
          <w:rPr>
            <w:color w:val="0000EE"/>
            <w:u w:val="single"/>
          </w:rPr>
          <w:t>35.1–7</w:t>
        </w:r>
      </w:hyperlink>
      <w:r>
        <w:t>), et Dan était le site d'un culte lévitique renégat établi pour la tribu de Dan à l'époque des juges (</w:t>
      </w:r>
      <w:hyperlink r:id="rId7188">
        <w:r>
          <w:rPr>
            <w:color w:val="0000EE"/>
            <w:u w:val="single"/>
          </w:rPr>
          <w:t>Jg 18</w:t>
        </w:r>
      </w:hyperlink>
      <w:r>
        <w:t>).</w:t>
      </w:r>
    </w:p>
    <w:p>
      <w:r/>
      <w:r>
        <w:t>L'objet du culte deviendra le veau idole (</w:t>
      </w:r>
      <w:hyperlink r:id="rId7189">
        <w:r>
          <w:rPr>
            <w:color w:val="0000EE"/>
            <w:u w:val="single"/>
          </w:rPr>
          <w:t>1R 12.28</w:t>
        </w:r>
      </w:hyperlink>
      <w:r>
        <w:t>). Le culte était basé sur la participation d'Aaron dans le premier cas de cette idolâtrie en Israël. Aaron avait présenté le veau d'or au Sinaï comme une représentation visible de l'invisible Yahvé qui avait fait sortir Israël d'Égypte (</w:t>
      </w:r>
      <w:hyperlink r:id="rId7190">
        <w:r>
          <w:rPr>
            <w:color w:val="0000EE"/>
            <w:u w:val="single"/>
          </w:rPr>
          <w:t>Ex 32.4–5</w:t>
        </w:r>
      </w:hyperlink>
      <w:r>
        <w:t>). Cette religion de compromis aurait encore un attrait pour les adorateurs de Yahvé. L'établissement antérieur de ce culte par Aaron ajoutait à l'attrait pour ceux qui hésitaient à se séparer de la méthodologie lévitique. Les Lévites à Dan contribueraient également à l'authentification du culte du veau.</w:t>
      </w:r>
    </w:p>
    <w:p>
      <w:r/>
      <w:r>
        <w:t>Il est possible que le séjour égyptien de Jéroboam ait contribué à ce tournant des événements. Le culte égyptien d'Amon-Rê, le dieu soleil, incluait sa représentation sous forme de taureau. Dans le culte égyptien, le taureau était destiné à représenter visiblement une divinité invisible. Ce concept aurait pu facilement être transféré par les Israélites à leur culte de l'invisible Yahvé.</w:t>
      </w:r>
    </w:p>
    <w:p>
      <w:r/>
      <w:r>
        <w:t>L'idolâtrie de Jéroboam entraînera la destruction ultime de sa lignée (</w:t>
      </w:r>
      <w:hyperlink r:id="rId7191">
        <w:r>
          <w:rPr>
            <w:color w:val="0000EE"/>
            <w:u w:val="single"/>
          </w:rPr>
          <w:t>1R 13.33–34</w:t>
        </w:r>
      </w:hyperlink>
      <w:r>
        <w:t>). Une conséquence immédiate sera la mort de son fils Abija (</w:t>
      </w:r>
      <w:hyperlink r:id="rId7192">
        <w:r>
          <w:rPr>
            <w:color w:val="0000EE"/>
            <w:u w:val="single"/>
          </w:rPr>
          <w:t>14.1–18</w:t>
        </w:r>
      </w:hyperlink>
      <w:r>
        <w:t xml:space="preserve">). Le plan de Jéroboam pour tromper le prophète Achija échouera et deviendra le moyen de prononcer le jugement sur la maison de Jéroboam et le royaume du nord (v. </w:t>
      </w:r>
      <w:hyperlink r:id="rId7193">
        <w:r>
          <w:rPr>
            <w:color w:val="0000EE"/>
            <w:u w:val="single"/>
          </w:rPr>
          <w:t>7–16</w:t>
        </w:r>
      </w:hyperlink>
      <w:r>
        <w:t>). Une manifestation du déclin progressif d'Israël sera la défaite que Jéroboam subira de la main d'Abija de Juda (</w:t>
      </w:r>
      <w:hyperlink r:id="rId7194">
        <w:r>
          <w:rPr>
            <w:color w:val="0000EE"/>
            <w:u w:val="single"/>
          </w:rPr>
          <w:t>2Ch 13.1–20</w:t>
        </w:r>
      </w:hyperlink>
      <w:r>
        <w:t>).</w:t>
      </w:r>
    </w:p>
    <w:p>
      <w:r/>
      <w:r>
        <w:t>Jéroboam 1er meurt après avoir régné vingt-deux ans sur Israël (</w:t>
      </w:r>
      <w:hyperlink r:id="rId7195">
        <w:r>
          <w:rPr>
            <w:color w:val="0000EE"/>
            <w:u w:val="single"/>
          </w:rPr>
          <w:t>1R 14.19–20</w:t>
        </w:r>
      </w:hyperlink>
      <w:r>
        <w:t>). Son fils restant, Nadab, régnera pendant seulement deux ans avant d'être assassiné par Baescha de la tribu d'Issacar (</w:t>
      </w:r>
      <w:hyperlink r:id="rId7196">
        <w:r>
          <w:rPr>
            <w:color w:val="0000EE"/>
            <w:u w:val="single"/>
          </w:rPr>
          <w:t>1R 14.20</w:t>
        </w:r>
      </w:hyperlink>
      <w:r>
        <w:t xml:space="preserve"> ; </w:t>
      </w:r>
      <w:hyperlink r:id="rId7197">
        <w:r>
          <w:rPr>
            <w:color w:val="0000EE"/>
            <w:u w:val="single"/>
          </w:rPr>
          <w:t>15.25–31</w:t>
        </w:r>
      </w:hyperlink>
      <w:r>
        <w:t>). Toute la maison de Jéroboam sera ensuite tuée par Baescha, accomplissant la prophétie d'Achija concernant la fin de la dynastie de Jéroboam. Cependant, même Baescha suivra les traces de l'apostasie de Jéroboam (</w:t>
      </w:r>
      <w:hyperlink r:id="rId7198">
        <w:r>
          <w:rPr>
            <w:color w:val="0000EE"/>
            <w:u w:val="single"/>
          </w:rPr>
          <w:t>1R 15.34</w:t>
        </w:r>
      </w:hyperlink>
      <w:r>
        <w:t>).</w:t>
      </w:r>
    </w:p>
    <w:p>
      <w:r/>
      <w:r>
        <w:t>2. Jéroboam II, le fils de Joash (ou Joas, 798–782 av. J.‑C.), régnera sur Israël plus longtemps que tout autre roi du nord, même s'il suivait le mauvais exemple de son homonyme ancestral, Jéroboam 1er (</w:t>
      </w:r>
      <w:hyperlink r:id="rId7199">
        <w:r>
          <w:rPr>
            <w:color w:val="0000EE"/>
            <w:u w:val="single"/>
          </w:rPr>
          <w:t>2R 14.23–24</w:t>
        </w:r>
      </w:hyperlink>
      <w:r>
        <w:t>). Son règne de quarante-et-un ans comprenait une corégence de onze ans avec son père. Il semble que Joas avait pris des mesures pour assurer la stabilité de son royaume avant d'affronter Amatsia de Juda au combat (</w:t>
      </w:r>
      <w:hyperlink r:id="rId7200">
        <w:r>
          <w:rPr>
            <w:color w:val="0000EE"/>
            <w:u w:val="single"/>
          </w:rPr>
          <w:t>2R 14.8–14</w:t>
        </w:r>
      </w:hyperlink>
      <w:r>
        <w:t xml:space="preserve"> ; </w:t>
      </w:r>
      <w:hyperlink r:id="rId7201">
        <w:r>
          <w:rPr>
            <w:color w:val="0000EE"/>
            <w:u w:val="single"/>
          </w:rPr>
          <w:t>2Ch 25.5–24</w:t>
        </w:r>
      </w:hyperlink>
      <w:r>
        <w:t>).</w:t>
      </w:r>
    </w:p>
    <w:p>
      <w:r/>
      <w:r>
        <w:t>Jéroboam II régnera dans la ville de Samarie (</w:t>
      </w:r>
      <w:hyperlink r:id="rId7202">
        <w:r>
          <w:rPr>
            <w:color w:val="0000EE"/>
            <w:u w:val="single"/>
          </w:rPr>
          <w:t>2R 14.23</w:t>
        </w:r>
      </w:hyperlink>
      <w:r>
        <w:t>). Les preuves archéologiques à Samarie indiquent un programme de reconstruction dans le palais royal pendant les règnes prospères de Joas et Jéroboam II. En 1910, les fouilleurs ont trouvé plus de soixante tessons de poterie inscrits qui étaient des factures ou des étiquettes pour l'huile et le vin envoyés aux réserves royales pour être utilisés au service du roi. Le nombre limité de noms de lieux (27) sur les tessons indique que les expéditions de ces marchandises n'étaient pas une imposition fiscale nationale, mais provenaient probablement toutes de propriétés appartenant à la maison royale. Ceux-ci illustrent les vastes possessions et l'opulence de la maison royale en Israël pendant le règne de Jéroboam II.</w:t>
      </w:r>
    </w:p>
    <w:p>
      <w:r/>
      <w:r>
        <w:t>Un grand nombre de plaques et de panneaux décoratifs sculptés en ivoire ont également été trouvés dans les ruines de Samarie, témoignant de la richesse du royaume du Nord dans ses derniers jours. L'influence des sociétés païennes de Syrie, d'Assyrie et d'Égypte se manifeste à travers les diverses figures de divinités sur les ivoires.</w:t>
      </w:r>
    </w:p>
    <w:p>
      <w:r/>
      <w:r>
        <w:t>Le prophète Jonas, fils d'Amitthaï, avait prophétisé l'acquisition du pouvoir par Jéroboam II (</w:t>
      </w:r>
      <w:hyperlink r:id="rId7203">
        <w:r>
          <w:rPr>
            <w:color w:val="0000EE"/>
            <w:u w:val="single"/>
          </w:rPr>
          <w:t>2R 14.25</w:t>
        </w:r>
      </w:hyperlink>
      <w:r>
        <w:t xml:space="preserve">). Bien que le règne de Jéroboam soit tardif dans l'histoire du royaume du Nord, Dieu désirait toujours montrer son amour patient et fidèle en gardant l'alliance, offrant à Israël la possibilité de se repentir (v. </w:t>
      </w:r>
      <w:hyperlink r:id="rId7204">
        <w:r>
          <w:rPr>
            <w:color w:val="0000EE"/>
            <w:u w:val="single"/>
          </w:rPr>
          <w:t>26–28</w:t>
        </w:r>
      </w:hyperlink>
      <w:r>
        <w:t>).</w:t>
      </w:r>
    </w:p>
    <w:p>
      <w:r/>
      <w:r>
        <w:t>Le royaume du nord atteindra sa plus grande extension depuis l'époque de Salomon grâce aux soins de Dieu pour Israël pendant le règne de Jéroboam. Les frontières s'étendront de Hamath sur le fleuve Oronte au nord jusqu'au golfe d'Aqaba, avec ses villes d'Élath et d'Étsjon-Guéber, au sud. Cependant, la prospérité ne suffisait pas à délivrer Israël de ses problèmes internes et externes. La corruption généralisée au sein du gouvernement et l'état spirituel dégénéré du peuple plongeront Israël dans des jours tumultueux qui se termineront par la destruction totale du royaume du nord. La vie de Jéroboam était menacée par des conspirateurs. Amatsia, un prêtre à Béthel, accusera même le prophète Amos de conspirer pour assassiner Jéroboam (</w:t>
      </w:r>
      <w:hyperlink r:id="rId7205">
        <w:r>
          <w:rPr>
            <w:color w:val="0000EE"/>
            <w:u w:val="single"/>
          </w:rPr>
          <w:t>Am 7.8–17</w:t>
        </w:r>
      </w:hyperlink>
      <w:r>
        <w:t>). Amos avait en réalité prophétisé la captivité d'Israël et la chute de la dynastie de Jéroboam. La parole de Dieu était devenue une menace pour Jéroboam à cause de la dureté des cœurs de tous en Israël, y compris le roi.</w:t>
      </w:r>
    </w:p>
    <w:p>
      <w:r/>
      <w:r>
        <w:t>La dépression économique, la détérioration morale, la faiblesse politique et la corruption gouvernementale accéléreront la chute d'Israël. Les riches propriétaires terriens, y compris Jéroboam II, avaient opprimé les citoyens moins fortunés et avaient contraint les petits propriétaires terriens à migrer de leurs fermes vers les villes.</w:t>
      </w:r>
    </w:p>
    <w:p>
      <w:r/>
      <w:r>
        <w:t>Dans les six mois suivant la mort de Jéroboam II, la prophétie concernant la fin de la dynastie de Jéhu (Jéroboam était le quatrième roi de cette lignée) s'est accomplie (</w:t>
      </w:r>
      <w:hyperlink r:id="rId7206">
        <w:r>
          <w:rPr>
            <w:color w:val="0000EE"/>
            <w:u w:val="single"/>
          </w:rPr>
          <w:t>2R 14.29</w:t>
        </w:r>
      </w:hyperlink>
      <w:r>
        <w:t xml:space="preserve"> ; </w:t>
      </w:r>
      <w:hyperlink r:id="rId7207">
        <w:r>
          <w:rPr>
            <w:color w:val="0000EE"/>
            <w:u w:val="single"/>
          </w:rPr>
          <w:t>15.8–12</w:t>
        </w:r>
      </w:hyperlink>
      <w:r>
        <w:t xml:space="preserve"> ; cf. </w:t>
      </w:r>
      <w:hyperlink r:id="rId7208">
        <w:r>
          <w:rPr>
            <w:color w:val="0000EE"/>
            <w:u w:val="single"/>
          </w:rPr>
          <w:t>10.12–31</w:t>
        </w:r>
      </w:hyperlink>
      <w:r>
        <w:t xml:space="preserve">). Tout comme le fils de Jéroboam 1er, Nadab, a été assassiné, le fils de Jéroboam II, Zacharie, sera également assassiné. Trente et un ans après la mort de Jéroboam II, les prophéties concernant la captivité d'Israël se verront accomplies (722 av. J.‑C. ; </w:t>
      </w:r>
      <w:hyperlink r:id="rId7209">
        <w:r>
          <w:rPr>
            <w:color w:val="0000EE"/>
            <w:u w:val="single"/>
          </w:rPr>
          <w:t>2R 17.5–41</w:t>
        </w:r>
      </w:hyperlink>
      <w:r>
        <w:t>).</w:t>
      </w:r>
    </w:p>
    <w:p>
      <w:r/>
      <w:r>
        <w:rPr>
          <w:i/>
        </w:rPr>
        <w:t>Voir aussi</w:t>
      </w:r>
      <w:r>
        <w:t xml:space="preserve"> </w:t>
      </w:r>
      <w:r>
        <w:t>Chronologie de la Bible (Ancien Testament)</w:t>
      </w:r>
      <w:r>
        <w:t xml:space="preserve"> ; </w:t>
      </w:r>
      <w:r>
        <w:t>Histoire d'Israël</w:t>
      </w:r>
      <w:r>
        <w:t>.</w:t>
      </w:r>
      <w:r/>
      <w:r/>
    </w:p>
    <w:p>
      <w:r/>
    </w:p>
    <w:p>
      <w:pPr>
        <w:pStyle w:val="Heading2"/>
      </w:pPr>
      <w:r>
        <w:t>Jérusalem</w:t>
      </w:r>
      <w:r/>
    </w:p>
    <w:p>
      <w:r/>
      <w:r>
        <w:t>Ville historique sacrée pour les chrétiens, les juifs et les musulmans. Elle était la principale ville de l'ancienne Palestine et est désormais une ville clé dans l'Israël moderne.</w:t>
      </w:r>
    </w:p>
    <w:p>
      <w:pPr>
        <w:pStyle w:val="Heading3"/>
      </w:pPr>
      <w:r>
        <w:t>Survol</w:t>
      </w:r>
    </w:p>
    <w:p>
      <w:pPr>
        <w:pStyle w:val="ListBullet"/>
        <w:spacing w:line="240" w:lineRule="auto"/>
        <w:ind w:left="720"/>
      </w:pPr>
      <w:r/>
      <w:r>
        <w:t>Que signifie le nom « Jérusalem » ?</w:t>
      </w:r>
    </w:p>
    <w:p>
      <w:pPr>
        <w:pStyle w:val="ListBullet"/>
        <w:spacing w:line="240" w:lineRule="auto"/>
        <w:ind w:left="720"/>
      </w:pPr>
      <w:r/>
      <w:r>
        <w:t>Où se trouve Jérusalem ?</w:t>
      </w:r>
    </w:p>
    <w:p>
      <w:pPr>
        <w:pStyle w:val="ListBullet"/>
        <w:spacing w:line="240" w:lineRule="auto"/>
        <w:ind w:left="720"/>
      </w:pPr>
      <w:r/>
      <w:r>
        <w:t>Histoire de Jérusalem</w:t>
      </w:r>
    </w:p>
    <w:p>
      <w:pPr>
        <w:pStyle w:val="Heading3"/>
      </w:pPr>
      <w:r>
        <w:t>Que signifie le nom « Jérusalem » ?</w:t>
      </w:r>
    </w:p>
    <w:p>
      <w:pPr>
        <w:pStyle w:val="Heading4"/>
      </w:pPr>
      <w:r>
        <w:t>Signification égyptienne</w:t>
      </w:r>
    </w:p>
    <w:p>
      <w:r/>
      <w:r>
        <w:t xml:space="preserve">La première mention du nom apparaît dans les Textes d'Exécration égyptiens des 19e et 18e siècles av. J.‑C. Ce nom est probablement à retranscrire ainsi en français : </w:t>
      </w:r>
      <w:r>
        <w:rPr>
          <w:i/>
        </w:rPr>
        <w:t>Urusalimum</w:t>
      </w:r>
      <w:r>
        <w:t>.</w:t>
      </w:r>
    </w:p>
    <w:p>
      <w:pPr>
        <w:pStyle w:val="Heading4"/>
      </w:pPr>
      <w:r>
        <w:t>Signification sémantique</w:t>
      </w:r>
    </w:p>
    <w:p>
      <w:r/>
      <w:r>
        <w:t xml:space="preserve">Au 14e iècle av. J.‑C., le nom apparaît dans la correspondance d'Abdi-Hepa de Tell el-Amarna, écrit </w:t>
      </w:r>
      <w:r>
        <w:rPr>
          <w:i/>
        </w:rPr>
        <w:t>Urusalim.</w:t>
      </w:r>
      <w:r>
        <w:t xml:space="preserve"> Plus tard, il sera trouvé dans l'inscription du souverain assyrien Sanchérib, écrit </w:t>
      </w:r>
      <w:r>
        <w:rPr>
          <w:i/>
        </w:rPr>
        <w:t>Ursalimmu.</w:t>
      </w:r>
      <w:r>
        <w:t xml:space="preserve"> Les deux éléments sémitiques clairs, </w:t>
      </w:r>
      <w:r>
        <w:rPr>
          <w:i/>
        </w:rPr>
        <w:t>uru</w:t>
      </w:r>
      <w:r>
        <w:t xml:space="preserve"> (ville) et </w:t>
      </w:r>
      <w:r>
        <w:rPr>
          <w:i/>
        </w:rPr>
        <w:t>Salim</w:t>
      </w:r>
      <w:r>
        <w:t xml:space="preserve"> (un nom divin), créent le sens « la ville du [dieu] Salim ». Le fait d'hyphéner les noms géographiques pour inclure des éléments divins était une pratique courante au Proche-Orient Ancien. La divinité Salim, ou Shalem (en akkadien, </w:t>
      </w:r>
      <w:r>
        <w:rPr>
          <w:i/>
        </w:rPr>
        <w:t>Shulmanu</w:t>
      </w:r>
      <w:r>
        <w:t xml:space="preserve"> ; voir Salomon), faisait partie du panthéon amoréen (voir </w:t>
      </w:r>
      <w:hyperlink r:id="rId7210">
        <w:r>
          <w:rPr>
            <w:color w:val="0000EE"/>
            <w:u w:val="single"/>
          </w:rPr>
          <w:t>Ez 16.3</w:t>
        </w:r>
      </w:hyperlink>
      <w:r>
        <w:t>).</w:t>
      </w:r>
    </w:p>
    <w:p>
      <w:r/>
      <w:r>
        <w:t xml:space="preserve">Étant donné que les textes les plus anciens (égyptiens, ouest-sémitiques et akkadien) ne soutiennent que </w:t>
      </w:r>
      <w:r>
        <w:rPr>
          <w:i/>
        </w:rPr>
        <w:t>urusalim</w:t>
      </w:r>
      <w:r>
        <w:t>, et puisque l'Ancien Testament montre que Jérusalem n'était pas à l'origine une ville hébraïque, il est probable que l'origine sémitique de ce nom signifie « la ville du [dieu] Salim ».</w:t>
      </w:r>
    </w:p>
    <w:p>
      <w:pPr>
        <w:pStyle w:val="Heading4"/>
      </w:pPr>
      <w:r>
        <w:t>Signification en hébreu/araméen</w:t>
      </w:r>
    </w:p>
    <w:p>
      <w:r/>
      <w:r>
        <w:t xml:space="preserve">Dans l'Ancien Testament hébreu, Jérusalem est écrit </w:t>
      </w:r>
      <w:r>
        <w:rPr>
          <w:i/>
        </w:rPr>
        <w:t>yerushalayim</w:t>
      </w:r>
      <w:r>
        <w:t xml:space="preserve">, et </w:t>
      </w:r>
      <w:r>
        <w:rPr>
          <w:i/>
        </w:rPr>
        <w:t xml:space="preserve">yerushalem </w:t>
      </w:r>
      <w:r>
        <w:t xml:space="preserve">dans les sections araméennes. Le nom combine </w:t>
      </w:r>
      <w:r>
        <w:rPr>
          <w:i/>
        </w:rPr>
        <w:t>yarah</w:t>
      </w:r>
      <w:r>
        <w:t xml:space="preserve"> (signifiant « fonder », voir </w:t>
      </w:r>
      <w:hyperlink r:id="rId7211">
        <w:r>
          <w:rPr>
            <w:color w:val="0000EE"/>
            <w:u w:val="single"/>
          </w:rPr>
          <w:t>Jb 38.6</w:t>
        </w:r>
      </w:hyperlink>
      <w:r>
        <w:t xml:space="preserve">) et </w:t>
      </w:r>
      <w:r>
        <w:rPr>
          <w:i/>
        </w:rPr>
        <w:t>shalem</w:t>
      </w:r>
      <w:r>
        <w:t xml:space="preserve"> (un nom divin). Cela donne le sens de « la fondation du [dieu] Shalem ». Le </w:t>
      </w:r>
      <w:r>
        <w:rPr>
          <w:i/>
        </w:rPr>
        <w:t>sh</w:t>
      </w:r>
      <w:r>
        <w:t xml:space="preserve"> en hébreu et en araméen est similaire au </w:t>
      </w:r>
      <w:r>
        <w:rPr>
          <w:i/>
        </w:rPr>
        <w:t>s</w:t>
      </w:r>
      <w:r>
        <w:t xml:space="preserve"> akkadien.</w:t>
      </w:r>
    </w:p>
    <w:p>
      <w:pPr>
        <w:pStyle w:val="Heading4"/>
      </w:pPr>
      <w:r>
        <w:t>Signification en grec</w:t>
      </w:r>
    </w:p>
    <w:p>
      <w:r/>
      <w:r>
        <w:t xml:space="preserve">Dans le Nouveau Testament, Jérusalem traduit les deux mots grecs </w:t>
      </w:r>
      <w:r>
        <w:rPr>
          <w:i/>
        </w:rPr>
        <w:t>Ierousalem</w:t>
      </w:r>
      <w:r>
        <w:t xml:space="preserve"> et </w:t>
      </w:r>
      <w:r>
        <w:rPr>
          <w:i/>
        </w:rPr>
        <w:t>Hierosoluma</w:t>
      </w:r>
      <w:r>
        <w:t xml:space="preserve">. </w:t>
      </w:r>
      <w:r>
        <w:rPr>
          <w:i/>
        </w:rPr>
        <w:t>Ierousalem</w:t>
      </w:r>
      <w:r>
        <w:t xml:space="preserve"> est la version grecque de la forme araméenne de l'Ancien Testament. </w:t>
      </w:r>
      <w:r>
        <w:rPr>
          <w:i/>
        </w:rPr>
        <w:t>Hierosoluma</w:t>
      </w:r>
      <w:r>
        <w:t xml:space="preserve"> utilise le mot grec </w:t>
      </w:r>
      <w:r>
        <w:rPr>
          <w:i/>
        </w:rPr>
        <w:t>hieros</w:t>
      </w:r>
      <w:r>
        <w:t xml:space="preserve"> (saint) et constitue un jeu de mots hellénisé. Il ne correspond ni à la racine sémitique du nom ni à la réalité historique de la ville.</w:t>
      </w:r>
    </w:p>
    <w:p>
      <w:pPr>
        <w:pStyle w:val="Heading3"/>
      </w:pPr>
      <w:r>
        <w:t>Où se situe Jérusalem ?</w:t>
      </w:r>
    </w:p>
    <w:p>
      <w:r/>
      <w:r>
        <w:t>Jérusalem est située à 31º 46’ 45” de latitude nord et 35º 13’ 25” de longitude est. La ville se trouve à plus de 750 m au-dessus du niveau de la mer. Elle est située à environ 22 km à l'ouest de l'extrémité nord de la mer Morte et à environ 55 km à l'est de la côte méditerranéenne.</w:t>
      </w:r>
    </w:p>
    <w:p>
      <w:r/>
      <w:r>
        <w:t xml:space="preserve">Jérusalem bénéficie d'un climat méditerranéen. D'octobre à mai, il pleut, avec environ 63 cm de précipitations chaque année. En janvier et février, de forts vents accompagnent souvent la pluie, et les températures chutent près de zéro (voir </w:t>
      </w:r>
      <w:hyperlink r:id="rId7212">
        <w:r>
          <w:rPr>
            <w:color w:val="0000EE"/>
            <w:u w:val="single"/>
          </w:rPr>
          <w:t>Esd 10.9</w:t>
        </w:r>
      </w:hyperlink>
      <w:r>
        <w:t>). Le temps le plus froid est enregistré pendant les saisons des plus fortes pluies. La neige tombe deux années sur trois. De mai à septembre, il ne pleut pas, et la forte radiation solaire entraîne une chaleur intense.</w:t>
      </w:r>
    </w:p>
    <w:p>
      <w:r/>
      <w:r>
        <w:t>Comme Rome, Jérusalem est une ville située sur des collines. Cinq collines forment la masse terrestre nue, d'environ 1,5 km de long et 1 km de large. Des ravins profonds l'entourent de tous côtés, sauf au nord. Elle se trouve sur la crête du plateau central de la Palestine. Elle est au carrefour de la route reliant Hébron, Bethléhem, Sichem (Naplouse) et les points au nord avec la route de la vallée du Jourdain et les routes vers la Méditerranée. Jérusalem est donc centrale pour le commerce du pays.</w:t>
      </w:r>
    </w:p>
    <w:p>
      <w:r/>
      <w:r>
        <w:t>La route principale qui traversait les montagnes de Judée et qui se dirigeait vers l'est ne pouvait pas passer au sud de Jérusalem à cause de la mer Morte et de ses falaises abruptes. La ville est probablement devenue habitée en raison de son emplacement commercial stratégique, malgré l'absence d'une source d'eau importante.</w:t>
      </w:r>
    </w:p>
    <w:p>
      <w:r/>
      <w:r>
        <w:t>L'eau, essentielle pour la civilisation, a toujours été rare à Jérusalem. La seule source d'eau naturelle permanente était la source de Guihon, parfois appelée la Fontaine de la Vierge, située dans la vallée du Cédron juste à l'est de l'ancienne forteresse que David a conquise. Des tunnels ont été creusés pour accéder à Guihon lors du siège de Jérusalem. Plus tard, le Tunnel de Siloé sera creusé à travers près de 550 m de calcaire, permettant aux eaux de Guihon de couler à travers la colline de Sion jusqu'à la piscine de Siloé.</w:t>
      </w:r>
    </w:p>
    <w:p>
      <w:r/>
      <w:r>
        <w:t>Plus au sud, là où les vallées du Cédron et de Hinnom se rencontrent, se trouvait une autre source appelée En-Roguel dans la Bible (aujourd'hui Bir Eyyub). En raison de la baisse de la nappe phréatique, cette source d'eau a cessé de couler et a été transformée plus tard en puits.</w:t>
      </w:r>
    </w:p>
    <w:p>
      <w:r/>
      <w:r>
        <w:t>Ces deux sources ne pouvaient pas soutenir une grande population et étaient trop profondes dans la vallée du Cédron pour l'irrigation. Par conséquent, les habitants ont créé un vaste réseau de citernes, de réservoirs et de conduits d'eau pour un approvisionnement supplémentaire en eau, et ce depuis les temps anciens.</w:t>
      </w:r>
    </w:p>
    <w:p>
      <w:pPr>
        <w:pStyle w:val="Heading3"/>
      </w:pPr>
      <w:r>
        <w:t>Histoire de Jérusalem</w:t>
      </w:r>
    </w:p>
    <w:p>
      <w:pPr>
        <w:pStyle w:val="Heading4"/>
      </w:pPr>
      <w:r>
        <w:t>La période préisraélite</w:t>
      </w:r>
    </w:p>
    <w:p>
      <w:r/>
      <w:r>
        <w:t>Les outils en silex paléolithiques et mésolithiques de type acheuléen trouvés dans la plaine de Rephaim constituent les premières preuves de la présence humaine à Jérusalem. Au début du 4e millénaire av. J.‑C., c'est un groupe sédentaire qui occupera d'abord la colline sud-est. Ceci est démontré par des artefacts trouvés dans trois tombes et par de la poterie découverte sur le substrat rocheux. Vers 1 800 av. J.‑C., un mur simple entourait la crête de la colline sud-est.</w:t>
      </w:r>
    </w:p>
    <w:p>
      <w:r/>
      <w:r>
        <w:t>Dans la Bible, Abraham donne la dîme à Melchisédek, le roi de Salem (</w:t>
      </w:r>
      <w:hyperlink r:id="rId7213">
        <w:r>
          <w:rPr>
            <w:color w:val="0000EE"/>
            <w:u w:val="single"/>
          </w:rPr>
          <w:t>Gn 14.17–20</w:t>
        </w:r>
      </w:hyperlink>
      <w:r>
        <w:t>). Plus tard (</w:t>
      </w:r>
      <w:hyperlink r:id="rId106">
        <w:r>
          <w:rPr>
            <w:color w:val="0000EE"/>
            <w:u w:val="single"/>
          </w:rPr>
          <w:t>Gn 22</w:t>
        </w:r>
      </w:hyperlink>
      <w:r>
        <w:t xml:space="preserve">), le grand patriarche visite une région qui deviendra partie de Jérusalem, la montagne de Morija, où Isaac sera presque sacrifié. </w:t>
      </w:r>
      <w:hyperlink r:id="rId1138">
        <w:r>
          <w:rPr>
            <w:color w:val="0000EE"/>
            <w:u w:val="single"/>
          </w:rPr>
          <w:t>2 Chroniques 3.1</w:t>
        </w:r>
      </w:hyperlink>
      <w:r>
        <w:t xml:space="preserve"> identifie la montagne de Morija à la colline du temple.</w:t>
      </w:r>
    </w:p>
    <w:p>
      <w:r/>
      <w:r>
        <w:t>Au 15e siècle av. J.‑C., les Hourrites (possiblement les Horites bibliques), entreront en Palestine. À peu près à la même époque à Jérusalem, d'importantes activités de construction commenceront, et des méthodes défensives améliorées seront ajoutées. La plupart des auteurs attribuent ces projets à Jérusalem au mouvement hourrite dans la région.</w:t>
      </w:r>
    </w:p>
    <w:p>
      <w:pPr>
        <w:pStyle w:val="Heading4"/>
      </w:pPr>
      <w:r>
        <w:t>Période de conquête et de colonisation</w:t>
      </w:r>
    </w:p>
    <w:p>
      <w:r/>
      <w:r>
        <w:t>Lorsque Gabaon fera la paix avec l'armée de Josué (</w:t>
      </w:r>
      <w:hyperlink r:id="rId3061">
        <w:r>
          <w:rPr>
            <w:color w:val="0000EE"/>
            <w:u w:val="single"/>
          </w:rPr>
          <w:t>Jos 9</w:t>
        </w:r>
      </w:hyperlink>
      <w:r>
        <w:t>), Adoni-Tsédek, le roi de Jérusalem, s'allie avec les rois de Hébron, Jarmuth, Lakis et Églon pour attaquer Gabaon. Josué rassemble alors ses forces et l'emporte sur la coalition, tuant les cinq rois à Makkéda (</w:t>
      </w:r>
      <w:hyperlink r:id="rId7214">
        <w:r>
          <w:rPr>
            <w:color w:val="0000EE"/>
            <w:u w:val="single"/>
          </w:rPr>
          <w:t>Jos 10.16–27</w:t>
        </w:r>
      </w:hyperlink>
      <w:r>
        <w:t>).</w:t>
      </w:r>
    </w:p>
    <w:p>
      <w:r/>
      <w:r>
        <w:t>La tribu de Juda prendra temporairement le contrôle de Jérusalem et la brûlera après cette victoire (</w:t>
      </w:r>
      <w:hyperlink r:id="rId7215">
        <w:r>
          <w:rPr>
            <w:color w:val="0000EE"/>
            <w:u w:val="single"/>
          </w:rPr>
          <w:t>Jg 1.8</w:t>
        </w:r>
      </w:hyperlink>
      <w:r>
        <w:t>). Cependant, les Jébusiens reviendront dans la ville (</w:t>
      </w:r>
      <w:hyperlink r:id="rId7216">
        <w:r>
          <w:rPr>
            <w:color w:val="0000EE"/>
            <w:u w:val="single"/>
          </w:rPr>
          <w:t>Jos 15.63</w:t>
        </w:r>
      </w:hyperlink>
      <w:r>
        <w:t xml:space="preserve"> ; </w:t>
      </w:r>
      <w:hyperlink r:id="rId7217">
        <w:r>
          <w:rPr>
            <w:color w:val="0000EE"/>
            <w:u w:val="single"/>
          </w:rPr>
          <w:t>1Ch 11.4–5</w:t>
        </w:r>
      </w:hyperlink>
      <w:r>
        <w:t>). Ce sont principalement les Jébusiens qui auront le contrôle de Jérusalem jusqu'à l'époque de David.</w:t>
      </w:r>
    </w:p>
    <w:p>
      <w:r/>
      <w:r>
        <w:t xml:space="preserve">La ville sert de frontière entre les terres tribales de Juda et de Benjamin, marquant la frontière sud du territoire de Benjamin. Le terme « </w:t>
      </w:r>
      <w:r>
        <w:t>le côté méridional des Jébusiens</w:t>
      </w:r>
      <w:r>
        <w:t xml:space="preserve"> » fait probablement référence à la colline sud-ouest (</w:t>
      </w:r>
      <w:hyperlink r:id="rId5915">
        <w:r>
          <w:rPr>
            <w:color w:val="0000EE"/>
            <w:u w:val="single"/>
          </w:rPr>
          <w:t>Jos 15.8</w:t>
        </w:r>
      </w:hyperlink>
      <w:r>
        <w:t xml:space="preserve"> ; </w:t>
      </w:r>
      <w:hyperlink r:id="rId5917">
        <w:r>
          <w:rPr>
            <w:color w:val="0000EE"/>
            <w:u w:val="single"/>
          </w:rPr>
          <w:t>18.16</w:t>
        </w:r>
      </w:hyperlink>
      <w:r>
        <w:t>). Il est probable que les Jébusiens la contrôlaient à cette époque.</w:t>
      </w:r>
    </w:p>
    <w:p>
      <w:pPr>
        <w:pStyle w:val="Heading4"/>
      </w:pPr>
      <w:r>
        <w:t>La Jérusalem de David</w:t>
      </w:r>
    </w:p>
    <w:p>
      <w:r/>
      <w:r>
        <w:t>Les Philistins remporteront la victoire à la montagne de Guilboa, où Saül et Jonathan mourront au combat (</w:t>
      </w:r>
      <w:hyperlink r:id="rId3587">
        <w:r>
          <w:rPr>
            <w:color w:val="0000EE"/>
            <w:u w:val="single"/>
          </w:rPr>
          <w:t>1S 31</w:t>
        </w:r>
      </w:hyperlink>
      <w:r>
        <w:t>). Ensuite, David régnera sur la tribu de Juda depuis Hébron. Pendant ce temps, le fils survivant de Saül, Ishbosheth, dirigeait les tribus du nord depuis Mahanaïm.</w:t>
      </w:r>
    </w:p>
    <w:p>
      <w:r/>
      <w:r>
        <w:t>Au cours du conflit de deux ans qui s'en suivra, la maison de David gagnera en force tandis que les forces d'Ishbosheth seront considérablement affaiblies (</w:t>
      </w:r>
      <w:hyperlink r:id="rId7218">
        <w:r>
          <w:rPr>
            <w:color w:val="0000EE"/>
            <w:u w:val="single"/>
          </w:rPr>
          <w:t>2S 3.1</w:t>
        </w:r>
      </w:hyperlink>
      <w:r>
        <w:t>). Ce conflit se terminera par la mort et la décapitation d'Ishbosheth, entraînant la dispersion de ses forces. David deviendra alors le souverain incontesté de toutes les tribus d'Israël.</w:t>
      </w:r>
    </w:p>
    <w:p>
      <w:r/>
      <w:r>
        <w:t>Cependant, le nouveau monarque comprendra la nécessité de créer une capitale nationale acceptée par le nord et le sud. Jérusalem restera neutre pendant le conflit car elle était entourée par le territoire jébusien. C'était également un emplacement stratégiquement important et commercialement central pour la jeune nation, ce qui en faisait un choix idéal.</w:t>
      </w:r>
    </w:p>
    <w:p>
      <w:r/>
      <w:r>
        <w:t>Durant les trente-trois années du règne de David à Jérusalem, il transformera la ville en centre impérial, un empire qui s'étendra de l'Égypte à l'Euphrate. Il a entreprendra d'importants projets de construction et agrandira la ville. Il renforcera les murs cananéens et envisagera d'étendre la ville, possiblement le long de la pente orientale de Sion.</w:t>
      </w:r>
    </w:p>
    <w:p>
      <w:r/>
      <w:r>
        <w:t>David fera construire une résidence royale avec la technologie et les matériaux de Hiram, roi de Tyr (</w:t>
      </w:r>
      <w:hyperlink r:id="rId2382">
        <w:r>
          <w:rPr>
            <w:color w:val="0000EE"/>
            <w:u w:val="single"/>
          </w:rPr>
          <w:t>2S 5.11</w:t>
        </w:r>
      </w:hyperlink>
      <w:r>
        <w:t xml:space="preserve">). </w:t>
      </w:r>
      <w:hyperlink r:id="rId7219">
        <w:r>
          <w:rPr>
            <w:color w:val="0000EE"/>
            <w:u w:val="single"/>
          </w:rPr>
          <w:t>Néhémie 12.37</w:t>
        </w:r>
      </w:hyperlink>
      <w:r>
        <w:t xml:space="preserve"> suggère que ce palais pourrait s'être trouvé près du côté oriental de la colline sud-est. Depuis une fenêtre de cette maison, Mical verra David danser d'une manière qu'elle trouvait honteuse (</w:t>
      </w:r>
      <w:hyperlink r:id="rId7220">
        <w:r>
          <w:rPr>
            <w:color w:val="0000EE"/>
            <w:u w:val="single"/>
          </w:rPr>
          <w:t>2S 6.16–23</w:t>
        </w:r>
      </w:hyperlink>
      <w:r>
        <w:t>). Depuis le toit de ce palais, David verra Bath-Schéba se baigner (</w:t>
      </w:r>
      <w:hyperlink r:id="rId7221">
        <w:r>
          <w:rPr>
            <w:color w:val="0000EE"/>
            <w:u w:val="single"/>
          </w:rPr>
          <w:t>2S 11.2–5</w:t>
        </w:r>
      </w:hyperlink>
      <w:r>
        <w:t>), et c'est depuis cette résidence qu'il planifiera le meurtre d'Urie, son mari (</w:t>
      </w:r>
      <w:hyperlink r:id="rId7222">
        <w:r>
          <w:rPr>
            <w:color w:val="0000EE"/>
            <w:u w:val="single"/>
          </w:rPr>
          <w:t>2S 11.14–25</w:t>
        </w:r>
      </w:hyperlink>
      <w:r>
        <w:t>).</w:t>
      </w:r>
    </w:p>
    <w:p>
      <w:r/>
      <w:r>
        <w:t>En faisant monter l'arche de Dieu à Jérusalem, David avait fait preuve d'un grand leadership (</w:t>
      </w:r>
      <w:hyperlink r:id="rId7223">
        <w:r>
          <w:rPr>
            <w:color w:val="0000EE"/>
            <w:u w:val="single"/>
          </w:rPr>
          <w:t>2S 6.1–15</w:t>
        </w:r>
      </w:hyperlink>
      <w:r>
        <w:t>). Cet acte suggérait que c'est là que Yahvé résiderait. Pour la première fois dans l'histoire d'Israël, il parvient à unir ses centres politiques et religieux. Jérusalem deviendra à la fois une ville sainte et royale. En conséquence, les gens l'appelleront la « Cité de David » (</w:t>
      </w:r>
      <w:hyperlink r:id="rId7224">
        <w:r>
          <w:rPr>
            <w:color w:val="0000EE"/>
            <w:u w:val="single"/>
          </w:rPr>
          <w:t>2S 5.7</w:t>
        </w:r>
      </w:hyperlink>
      <w:r>
        <w:t>) et la « Cité de Dieu » (</w:t>
      </w:r>
      <w:hyperlink r:id="rId7225">
        <w:r>
          <w:rPr>
            <w:color w:val="0000EE"/>
            <w:u w:val="single"/>
          </w:rPr>
          <w:t>Ps 46.4</w:t>
        </w:r>
      </w:hyperlink>
      <w:r>
        <w:t>). Les Juifs mâles adultes se rendaient à Jérusalem pour les commémorer fêtes et apporter les offrandes. David cherchera à rendre cet arrangement permanent en construisant un temple pour Yahvé. David désirait le faire (</w:t>
      </w:r>
      <w:hyperlink r:id="rId3598">
        <w:r>
          <w:rPr>
            <w:color w:val="0000EE"/>
            <w:u w:val="single"/>
          </w:rPr>
          <w:t>2S 7</w:t>
        </w:r>
      </w:hyperlink>
      <w:r>
        <w:t>), mais Dieu lui dira que cette tâche était destinée au fils du roi.</w:t>
      </w:r>
    </w:p>
    <w:p>
      <w:pPr>
        <w:pStyle w:val="Heading4"/>
      </w:pPr>
      <w:r>
        <w:t>La Période du premier temple</w:t>
      </w:r>
    </w:p>
    <w:p>
      <w:r/>
      <w:r>
        <w:t>Salomon tirera parti de la prise de conscience nationale croissante de la taille et de l'influence de l'empire davidique. En tant que leader innovant et dynamique, il fera de Jérusalem un centre cosmopolite. Les caravanes de l'Égypte à Babylone, et le commerce phénicien avec Élath, avec la mer Rouge et avec Ophir passaient par sa capitale. La flotte navale de Salomon voyageait jusqu'à Tarsis, sans doute située sur une île au large de la côte ouest de l'Espagne. Ces voyages rapportaient tous les trois ans des marchandises exotiques telles que :</w:t>
      </w:r>
    </w:p>
    <w:p>
      <w:pPr>
        <w:pStyle w:val="ListBullet"/>
        <w:spacing w:line="240" w:lineRule="auto"/>
        <w:ind w:left="720"/>
      </w:pPr>
      <w:r/>
      <w:r>
        <w:t>Des singes</w:t>
      </w:r>
    </w:p>
    <w:p>
      <w:pPr>
        <w:pStyle w:val="ListBullet"/>
        <w:spacing w:line="240" w:lineRule="auto"/>
        <w:ind w:left="720"/>
      </w:pPr>
      <w:r/>
      <w:r>
        <w:t>Des paons</w:t>
      </w:r>
    </w:p>
    <w:p>
      <w:pPr>
        <w:pStyle w:val="ListBullet"/>
        <w:spacing w:line="240" w:lineRule="auto"/>
        <w:ind w:left="720"/>
      </w:pPr>
      <w:r/>
      <w:r>
        <w:t>De l'argent</w:t>
      </w:r>
    </w:p>
    <w:p>
      <w:pPr>
        <w:pStyle w:val="ListBullet"/>
        <w:spacing w:line="240" w:lineRule="auto"/>
        <w:ind w:left="720"/>
      </w:pPr>
      <w:r/>
      <w:r>
        <w:t>Du fer</w:t>
      </w:r>
    </w:p>
    <w:p>
      <w:pPr>
        <w:pStyle w:val="ListBullet"/>
        <w:spacing w:line="240" w:lineRule="auto"/>
        <w:ind w:left="720"/>
      </w:pPr>
      <w:r/>
      <w:r>
        <w:t>De l'étain</w:t>
      </w:r>
    </w:p>
    <w:p>
      <w:pPr>
        <w:pStyle w:val="ListBullet"/>
        <w:spacing w:line="240" w:lineRule="auto"/>
        <w:ind w:left="720"/>
      </w:pPr>
      <w:r/>
      <w:r>
        <w:t>De l'ivoire</w:t>
      </w:r>
    </w:p>
    <w:p>
      <w:pPr>
        <w:pStyle w:val="ListBullet"/>
        <w:spacing w:line="240" w:lineRule="auto"/>
        <w:ind w:left="720"/>
      </w:pPr>
      <w:r/>
      <w:r>
        <w:t>De l'or</w:t>
      </w:r>
    </w:p>
    <w:p>
      <w:r/>
      <w:r>
        <w:t>Beaucoup de gens déménageront dans la capitale ou viendront en visite. La renommée de Salomon était devenue légendaire (</w:t>
      </w:r>
      <w:hyperlink r:id="rId7226">
        <w:r>
          <w:rPr>
            <w:color w:val="0000EE"/>
            <w:u w:val="single"/>
          </w:rPr>
          <w:t>1R 10</w:t>
        </w:r>
      </w:hyperlink>
      <w:r>
        <w:t>).</w:t>
      </w:r>
    </w:p>
    <w:p>
      <w:r/>
      <w:r>
        <w:t>Salomon était un grand bâtisseur dans la Jérusalem de l'Ancien Testament. Son projet le plus important était le premier temple. Construit au sommet de la colline du temple, il faudra sept ans pour le terminer, d'avril ou mai 966 av. J.‑C. à octobre ou novembre 959 av. J.‑C. (</w:t>
      </w:r>
      <w:hyperlink r:id="rId2539">
        <w:r>
          <w:rPr>
            <w:color w:val="0000EE"/>
            <w:u w:val="single"/>
          </w:rPr>
          <w:t>1R 6.1</w:t>
        </w:r>
      </w:hyperlink>
      <w:r>
        <w:t xml:space="preserve"> ; </w:t>
      </w:r>
      <w:hyperlink r:id="rId2137">
        <w:r>
          <w:rPr>
            <w:color w:val="0000EE"/>
            <w:u w:val="single"/>
          </w:rPr>
          <w:t>38</w:t>
        </w:r>
      </w:hyperlink>
      <w:r>
        <w:t>). Hiram fournira à la fois la technologie et les poutres de cèdre.</w:t>
      </w:r>
    </w:p>
    <w:p>
      <w:r/>
      <w:r>
        <w:t xml:space="preserve">Dans </w:t>
      </w:r>
      <w:hyperlink r:id="rId7227">
        <w:r>
          <w:rPr>
            <w:color w:val="0000EE"/>
            <w:u w:val="single"/>
          </w:rPr>
          <w:t>1 Rois 10.27</w:t>
        </w:r>
      </w:hyperlink>
      <w:r>
        <w:t>, nous voyons une image claire de la richesse que Salomon fera venir à Jérusalem : l'argent était aussi commun que les pierres, et le cèdre était aussi abondant que le sycomore. On estime que Jérusalem recevait l'équivalent de 17 millions de dollars américains chaque année (une somme d'argent très importante).</w:t>
      </w:r>
    </w:p>
    <w:p>
      <w:r/>
      <w:r>
        <w:t>Ironiquement, cette richesse est devenue un fardeau pour le règne de Salomon. Il dépensait trop, et ses plans économiques et politiques nécessitaient de lourds impôts et du travail forcé de la part des Israélites (</w:t>
      </w:r>
      <w:hyperlink r:id="rId7228">
        <w:r>
          <w:rPr>
            <w:color w:val="0000EE"/>
            <w:u w:val="single"/>
          </w:rPr>
          <w:t>1R 4.7–19</w:t>
        </w:r>
      </w:hyperlink>
      <w:r>
        <w:t xml:space="preserve"> ;</w:t>
      </w:r>
      <w:hyperlink r:id="rId4904">
        <w:r>
          <w:rPr>
            <w:color w:val="0000EE"/>
            <w:u w:val="single"/>
          </w:rPr>
          <w:t xml:space="preserve"> 5.13–18</w:t>
        </w:r>
      </w:hyperlink>
      <w:r>
        <w:t xml:space="preserve"> ; voir aussi </w:t>
      </w:r>
      <w:hyperlink r:id="rId7229">
        <w:r>
          <w:rPr>
            <w:color w:val="0000EE"/>
            <w:u w:val="single"/>
          </w:rPr>
          <w:t>1R 9.20–23</w:t>
        </w:r>
      </w:hyperlink>
      <w:r>
        <w:t>). Ces problèmes ont conduiront à une scission dans le gouvernement d'Israël après la mort de Salomon, entraînant un royaume divisé vers 930 av. J.‑C.</w:t>
      </w:r>
    </w:p>
    <w:p>
      <w:r/>
      <w:r>
        <w:t>Lorsque l'armée babylonienne assiége Jérusalem en 588 av. J.‑C., elle la capturera après de nombreux mois. La ville sera détruite. Ils brûleront le temple et le palais de Salomon et démoliront les murs de la ville. Ils pilleront les trésors du temple et déporteront de nombreux citoyens.</w:t>
      </w:r>
    </w:p>
    <w:p>
      <w:pPr>
        <w:pStyle w:val="Heading4"/>
      </w:pPr>
      <w:r>
        <w:t>La Période du second temple</w:t>
      </w:r>
    </w:p>
    <w:p>
      <w:r/>
      <w:r>
        <w:t>Jérémie prédit la destruction de Jérusalem et une période de captivité de soixante-dix ans (</w:t>
      </w:r>
      <w:hyperlink r:id="rId7230">
        <w:r>
          <w:rPr>
            <w:color w:val="0000EE"/>
            <w:u w:val="single"/>
          </w:rPr>
          <w:t>Jr 25.11</w:t>
        </w:r>
      </w:hyperlink>
      <w:r>
        <w:t xml:space="preserve"> ; </w:t>
      </w:r>
      <w:hyperlink r:id="rId7231">
        <w:r>
          <w:rPr>
            <w:color w:val="0000EE"/>
            <w:u w:val="single"/>
          </w:rPr>
          <w:t>29.10</w:t>
        </w:r>
      </w:hyperlink>
      <w:r>
        <w:t xml:space="preserve"> ; voir aussi </w:t>
      </w:r>
      <w:hyperlink r:id="rId7232">
        <w:r>
          <w:rPr>
            <w:color w:val="0000EE"/>
            <w:u w:val="single"/>
          </w:rPr>
          <w:t>2Ch 36.21</w:t>
        </w:r>
      </w:hyperlink>
      <w:r>
        <w:t xml:space="preserve"> ; </w:t>
      </w:r>
      <w:hyperlink r:id="rId7233">
        <w:r>
          <w:rPr>
            <w:color w:val="0000EE"/>
            <w:u w:val="single"/>
          </w:rPr>
          <w:t>Dn 9.2</w:t>
        </w:r>
      </w:hyperlink>
      <w:r>
        <w:t>). En 538 av. J.‑C., après la chute de Babylone, Cyrus, roi de Perse, émettra un décret célèbre (</w:t>
      </w:r>
      <w:hyperlink r:id="rId7234">
        <w:r>
          <w:rPr>
            <w:color w:val="0000EE"/>
            <w:u w:val="single"/>
          </w:rPr>
          <w:t>2Ch 36.22–23</w:t>
        </w:r>
      </w:hyperlink>
      <w:r>
        <w:t xml:space="preserve"> ; </w:t>
      </w:r>
      <w:hyperlink r:id="rId4599">
        <w:r>
          <w:rPr>
            <w:color w:val="0000EE"/>
            <w:u w:val="single"/>
          </w:rPr>
          <w:t>Esd 1.1–4</w:t>
        </w:r>
      </w:hyperlink>
      <w:r>
        <w:t xml:space="preserve"> ; voir aussi </w:t>
      </w:r>
      <w:hyperlink r:id="rId6909">
        <w:r>
          <w:rPr>
            <w:color w:val="0000EE"/>
            <w:u w:val="single"/>
          </w:rPr>
          <w:t>Es 44.28</w:t>
        </w:r>
      </w:hyperlink>
      <w:r>
        <w:t xml:space="preserve"> ; </w:t>
      </w:r>
      <w:hyperlink r:id="rId1248">
        <w:r>
          <w:rPr>
            <w:color w:val="0000EE"/>
            <w:u w:val="single"/>
          </w:rPr>
          <w:t>45.1</w:t>
        </w:r>
      </w:hyperlink>
      <w:r>
        <w:t>).</w:t>
      </w:r>
    </w:p>
    <w:p>
      <w:r/>
      <w:r>
        <w:t>Un petit groupe de Juifs retournera alors à Jérusalem avec Scheschbatsar, un prince de Juda, et Zorobabel (</w:t>
      </w:r>
      <w:hyperlink r:id="rId7235">
        <w:r>
          <w:rPr>
            <w:color w:val="0000EE"/>
            <w:u w:val="single"/>
          </w:rPr>
          <w:t>Esd 1.8–11</w:t>
        </w:r>
      </w:hyperlink>
      <w:r>
        <w:t xml:space="preserve"> ; </w:t>
      </w:r>
      <w:hyperlink r:id="rId7236">
        <w:r>
          <w:rPr>
            <w:color w:val="0000EE"/>
            <w:u w:val="single"/>
          </w:rPr>
          <w:t>2.2</w:t>
        </w:r>
      </w:hyperlink>
      <w:r>
        <w:t>). En 515 av. J.‑C., le deuxième temple a ouvrira officiellement ses portes, et la fête de la Pâque sera célébrée de nouveau à Jérusalem (</w:t>
      </w:r>
      <w:hyperlink r:id="rId7237">
        <w:r>
          <w:rPr>
            <w:color w:val="0000EE"/>
            <w:u w:val="single"/>
          </w:rPr>
          <w:t>Esd 6.15–18</w:t>
        </w:r>
      </w:hyperlink>
      <w:r>
        <w:t>).</w:t>
      </w:r>
    </w:p>
    <w:p>
      <w:r/>
      <w:r>
        <w:t>Esdras arrive à Jérusalem dans la septième année d'Artaxerxès (</w:t>
      </w:r>
      <w:hyperlink r:id="rId6914">
        <w:r>
          <w:rPr>
            <w:color w:val="0000EE"/>
            <w:u w:val="single"/>
          </w:rPr>
          <w:t>Esd 7.7</w:t>
        </w:r>
      </w:hyperlink>
      <w:r>
        <w:t xml:space="preserve">). En supposant que cela se réfère à Artaxerxès 1er, c'est en 458 av. J.‑C. qu'Esdras est revenu. Seul un petit groupe ressent le besoin impérieux d'entreprendre ce voyage difficile (voir les </w:t>
      </w:r>
      <w:r>
        <w:rPr>
          <w:i/>
        </w:rPr>
        <w:t>Antiquités juives</w:t>
      </w:r>
      <w:r>
        <w:t xml:space="preserve"> de Josèphe 11.1.3).</w:t>
      </w:r>
    </w:p>
    <w:p>
      <w:r/>
      <w:r>
        <w:t>Ému par les rapports de conditions difficiles (</w:t>
      </w:r>
      <w:hyperlink r:id="rId7238">
        <w:r>
          <w:rPr>
            <w:color w:val="0000EE"/>
            <w:u w:val="single"/>
          </w:rPr>
          <w:t>Né 1.3–4</w:t>
        </w:r>
      </w:hyperlink>
      <w:r>
        <w:t>), Néhémie, dans la 20e année d'Artaxerxès (445 av. J.‑C.), quittera son poste d'échanson du roi pour se rendre à Jérusalem. Alors que les premiers rapatriés se concentraient sur le temple, Néhémie se concentrera sur les murs de la ville. Il fournira la description la plus détaillée des murs de la ville de Jérusalem et de son agencement après l'exil (</w:t>
      </w:r>
      <w:hyperlink r:id="rId7239">
        <w:r>
          <w:rPr>
            <w:color w:val="0000EE"/>
            <w:u w:val="single"/>
          </w:rPr>
          <w:t>Né 2.11–16</w:t>
        </w:r>
      </w:hyperlink>
      <w:r>
        <w:t>). Poussé par son enthousiasme énergique, le peuple reconstruira les murs en cinquante-deux jours (</w:t>
      </w:r>
      <w:hyperlink r:id="rId2133">
        <w:r>
          <w:rPr>
            <w:color w:val="0000EE"/>
            <w:u w:val="single"/>
          </w:rPr>
          <w:t>Né 6.15</w:t>
        </w:r>
      </w:hyperlink>
      <w:r>
        <w:t>).</w:t>
      </w:r>
    </w:p>
    <w:p>
      <w:pPr>
        <w:pStyle w:val="Heading4"/>
      </w:pPr>
      <w:r>
        <w:t>La période romaine</w:t>
      </w:r>
    </w:p>
    <w:p>
      <w:r/>
      <w:r>
        <w:t xml:space="preserve">En l'an 40 av. J.‑C., avec l'aide des Parthes, Antigone attaquera et prendra Jérusalem, forçant Hérode à s'échapper de nuit. Il se rendra à Rome, où le Sénat le nommera « roi des Juifs » (voir </w:t>
      </w:r>
      <w:hyperlink r:id="rId2578">
        <w:r>
          <w:rPr>
            <w:color w:val="0000EE"/>
            <w:u w:val="single"/>
          </w:rPr>
          <w:t>Mt 2.1</w:t>
        </w:r>
      </w:hyperlink>
      <w:r>
        <w:t>).</w:t>
      </w:r>
    </w:p>
    <w:p>
      <w:r/>
      <w:r>
        <w:t>Fort de ce nouveau pouvoir, Hérode rassemblera deux légions romaines et, en 37 av. J.‑C., il expulsera définitivement les Parthes. Cela marquera le début du long et infâme règne d'Hérode à Jérusalem, qui durera trente-trois ans, de l'an 37 à l'an 4 av. J.‑C.</w:t>
      </w:r>
    </w:p>
    <w:p>
      <w:r/>
      <w:r>
        <w:t>Jérusalem connaîtra des années prospères et paisibles pendant le règne d'Hérode. Ce dernier transformera l'apparence de la ville. Il déplacera le centre gouvernemental vers la colline sud-ouest. Il y construira un grand palais, une arène pour les sports, un théâtre et un vaste système d'aqueducs.</w:t>
      </w:r>
    </w:p>
    <w:p>
      <w:r/>
      <w:r>
        <w:t xml:space="preserve">D'autres projets de construction se concentreront sur la colline du temple. Hérode agrandira l'ancienne forteresse maccabéenne en une structure bien plus grande et la nommera Antonia, en l'honneur de Marc Antoine. Dans la zone du temple, il élargira considérablement le chemin de marche sur les côtés nord et sud, lui donnant une forme rectangulaire. Hérode commencera la reconstruction du temple en l'an 20 av. J.‑C., et il ne l'achèvera qu'autour de l'an 64 apr. J.‑C., seulement six ans avant que Titus ne le détruise (voir </w:t>
      </w:r>
      <w:hyperlink r:id="rId7240">
        <w:r>
          <w:rPr>
            <w:color w:val="0000EE"/>
            <w:u w:val="single"/>
          </w:rPr>
          <w:t>Jn 2.20</w:t>
        </w:r>
      </w:hyperlink>
      <w:r>
        <w:t>).</w:t>
      </w:r>
    </w:p>
    <w:p>
      <w:r/>
      <w:r>
        <w:rPr>
          <w:i/>
        </w:rPr>
        <w:t>Voir aussi</w:t>
      </w:r>
      <w:r>
        <w:t xml:space="preserve"> </w:t>
      </w:r>
      <w:r>
        <w:t>Israël, Histoire d'</w:t>
      </w:r>
      <w:r>
        <w:t xml:space="preserve"> ; </w:t>
      </w:r>
      <w:r>
        <w:t>Jérusalem, Nouvelle</w:t>
      </w:r>
      <w:r>
        <w:t xml:space="preserve"> ; </w:t>
      </w:r>
      <w:r>
        <w:t>Judaïsme</w:t>
      </w:r>
      <w:r>
        <w:t xml:space="preserve"> ; </w:t>
      </w:r>
      <w:r>
        <w:t>Sion</w:t>
      </w:r>
      <w:r>
        <w:t xml:space="preserve"> ; </w:t>
      </w:r>
      <w:r>
        <w:t>Sion, Fille de</w:t>
      </w:r>
      <w:r>
        <w:t>.</w:t>
      </w:r>
      <w:r/>
      <w:r/>
    </w:p>
    <w:p>
      <w:r/>
    </w:p>
    <w:p>
      <w:pPr>
        <w:pStyle w:val="Heading2"/>
      </w:pPr>
      <w:r>
        <w:t>Jésus</w:t>
      </w:r>
      <w:r/>
    </w:p>
    <w:p>
      <w:pPr>
        <w:pStyle w:val="ListNumber"/>
        <w:spacing w:line="240" w:lineRule="auto"/>
        <w:ind w:left="720"/>
      </w:pPr>
      <w:r/>
      <w:r>
        <w:t>Prénom signifiant « sauveur » ou « Jéhovah [Yahvé] est salut » donné au Messie.</w:t>
      </w:r>
    </w:p>
    <w:p>
      <w:r/>
      <w:r>
        <w:rPr>
          <w:i/>
        </w:rPr>
        <w:t>Voir</w:t>
      </w:r>
      <w:r>
        <w:t xml:space="preserve"> </w:t>
      </w:r>
      <w:r>
        <w:t>Jésus-Christ</w:t>
      </w:r>
      <w:r>
        <w:t>.</w:t>
      </w:r>
    </w:p>
    <w:p>
      <w:pPr>
        <w:pStyle w:val="ListNumber"/>
        <w:spacing w:line="240" w:lineRule="auto"/>
        <w:ind w:left="720"/>
      </w:pPr>
      <w:r/>
      <w:r>
        <w:t>Traduction du prénom de Josué, fils de Nun dans certaines traductions (</w:t>
      </w:r>
      <w:hyperlink r:id="rId7241">
        <w:r>
          <w:rPr>
            <w:color w:val="0000EE"/>
            <w:u w:val="single"/>
          </w:rPr>
          <w:t>Ac 7.45</w:t>
        </w:r>
      </w:hyperlink>
      <w:r>
        <w:t xml:space="preserve"> et </w:t>
      </w:r>
      <w:hyperlink r:id="rId7242">
        <w:r>
          <w:rPr>
            <w:color w:val="0000EE"/>
            <w:u w:val="single"/>
          </w:rPr>
          <w:t>Hé 4.8</w:t>
        </w:r>
      </w:hyperlink>
      <w:r>
        <w:t>).</w:t>
      </w:r>
    </w:p>
    <w:p>
      <w:r/>
      <w:r>
        <w:rPr>
          <w:i/>
        </w:rPr>
        <w:t>Voir</w:t>
      </w:r>
      <w:r>
        <w:t xml:space="preserve"> </w:t>
      </w:r>
      <w:r>
        <w:t>Josué (Personne) n° 1</w:t>
      </w:r>
      <w:r>
        <w:t>.</w:t>
      </w:r>
    </w:p>
    <w:p>
      <w:pPr>
        <w:pStyle w:val="ListNumber"/>
        <w:spacing w:line="240" w:lineRule="auto"/>
        <w:ind w:left="720"/>
      </w:pPr>
      <w:r/>
      <w:r>
        <w:t>Chrétien juif, également appelé « Justus ». Il a envoyé ses salutations aux chrétiens de Colosses dans la lettre de l'apôtre Paul (</w:t>
      </w:r>
      <w:hyperlink r:id="rId7130">
        <w:r>
          <w:rPr>
            <w:color w:val="0000EE"/>
            <w:u w:val="single"/>
          </w:rPr>
          <w:t>Col 4.11</w:t>
        </w:r>
      </w:hyperlink>
      <w:r>
        <w:t>).</w:t>
      </w:r>
      <w:r/>
      <w:r/>
    </w:p>
    <w:p>
      <w:r/>
    </w:p>
    <w:p>
      <w:pPr>
        <w:pStyle w:val="Heading2"/>
      </w:pPr>
      <w:r>
        <w:t>Jetheth</w:t>
      </w:r>
      <w:r/>
    </w:p>
    <w:p>
      <w:r/>
      <w:r>
        <w:t>Un chef de clan d'Édom (</w:t>
      </w:r>
      <w:hyperlink r:id="rId592">
        <w:r>
          <w:rPr>
            <w:color w:val="0000EE"/>
            <w:u w:val="single"/>
          </w:rPr>
          <w:t>Gn 36.40</w:t>
        </w:r>
      </w:hyperlink>
      <w:r>
        <w:t xml:space="preserve"> ; </w:t>
      </w:r>
      <w:hyperlink r:id="rId593">
        <w:r>
          <w:rPr>
            <w:color w:val="0000EE"/>
            <w:u w:val="single"/>
          </w:rPr>
          <w:t>1Ch 1.51</w:t>
        </w:r>
      </w:hyperlink>
      <w:r>
        <w:t>).</w:t>
      </w:r>
      <w:r/>
      <w:r/>
    </w:p>
    <w:p>
      <w:r/>
    </w:p>
    <w:p>
      <w:pPr>
        <w:pStyle w:val="Heading2"/>
      </w:pPr>
      <w:r>
        <w:t>Jéthro</w:t>
      </w:r>
      <w:r/>
    </w:p>
    <w:p>
      <w:r/>
      <w:r>
        <w:t>Le beau-père de Moïse. La fille de Jéthro, Séphora, est devenue l'épouse de Moïse tandis que Moïse se cachait comme fugitif dans le désert (</w:t>
      </w:r>
      <w:hyperlink r:id="rId7243">
        <w:r>
          <w:rPr>
            <w:color w:val="0000EE"/>
            <w:u w:val="single"/>
          </w:rPr>
          <w:t>Ex 2.21</w:t>
        </w:r>
      </w:hyperlink>
      <w:r>
        <w:t>). Lorsque Moïse part pour l'Égypte, il emmena Séphora et ses fils avec lui, mais les renverra plus tard (</w:t>
      </w:r>
      <w:hyperlink r:id="rId7244">
        <w:r>
          <w:rPr>
            <w:color w:val="0000EE"/>
            <w:u w:val="single"/>
          </w:rPr>
          <w:t>4.20</w:t>
        </w:r>
      </w:hyperlink>
      <w:r>
        <w:t>). Jéthro les amène à Moïse après que les Israélites soient arrivés à la montagne du Sinaï (</w:t>
      </w:r>
      <w:hyperlink r:id="rId7245">
        <w:r>
          <w:rPr>
            <w:color w:val="0000EE"/>
            <w:u w:val="single"/>
          </w:rPr>
          <w:t>Ex 18.1–7</w:t>
        </w:r>
      </w:hyperlink>
      <w:r>
        <w:t>). Grâce à ce lien familial avec Moïse, Jéthro s'impliquera avec le peuple israélite.</w:t>
      </w:r>
    </w:p>
    <w:p>
      <w:pPr>
        <w:pStyle w:val="Heading3"/>
      </w:pPr>
      <w:r>
        <w:t>Quelle était la relation de Jéthro avec Israël ?</w:t>
      </w:r>
    </w:p>
    <w:p>
      <w:r/>
      <w:r>
        <w:t>Les experts ont interprété la relation de Jéthro avec Israël de différentes manières. Jéthro était prêtre de Madian (</w:t>
      </w:r>
      <w:hyperlink r:id="rId5259">
        <w:r>
          <w:rPr>
            <w:color w:val="0000EE"/>
            <w:u w:val="single"/>
          </w:rPr>
          <w:t>Ex 2.16</w:t>
        </w:r>
      </w:hyperlink>
      <w:r>
        <w:t xml:space="preserve"> ; </w:t>
      </w:r>
      <w:hyperlink r:id="rId5275">
        <w:r>
          <w:rPr>
            <w:color w:val="0000EE"/>
            <w:u w:val="single"/>
          </w:rPr>
          <w:t>3.1</w:t>
        </w:r>
      </w:hyperlink>
      <w:r>
        <w:t>). Nous ne savons pas avec certitude quelle religion suivaient les Madianites. Les Kéniens étaient une tribu au sein de la nation madianite (</w:t>
      </w:r>
      <w:hyperlink r:id="rId605">
        <w:r>
          <w:rPr>
            <w:color w:val="0000EE"/>
            <w:u w:val="single"/>
          </w:rPr>
          <w:t>Jg 1.16</w:t>
        </w:r>
      </w:hyperlink>
      <w:r>
        <w:t>). Certains experts ont suggéré que les Kéniens avaient un dieu tribal nommé Yahvé que Jéthro servait en tant que prêtre. Ces experts ont proposé que Moïse a introduit à Israël le dieu tribal de Jéthro, Yahvé, n'ont pas pu prouver cette idée. Les données dans la Bible ne soutiennent pas ce point de vue.</w:t>
      </w:r>
    </w:p>
    <w:p>
      <w:r/>
      <w:r>
        <w:t>Il est clair que Jéthro était un homme qui craignait et servait Dieu. La Bible pourrait être comprise comme enseignant que Jéthro connaissait le Dieu d'Israël parce qu'il était un descendant d'Abraham (</w:t>
      </w:r>
      <w:hyperlink r:id="rId7246">
        <w:r>
          <w:rPr>
            <w:color w:val="0000EE"/>
            <w:u w:val="single"/>
          </w:rPr>
          <w:t>Gn 25.2</w:t>
        </w:r>
      </w:hyperlink>
      <w:r>
        <w:t>). Après avoir entendu comment Dieu a sauvé Israël d'Égypte, Jéthro a reconnu Yahvé comme Dieu, le plus grand de tous les dieux. Il a également apporté un holocauste et des sacrifices, adorant Yahvé et s'identifiant à Israël (</w:t>
      </w:r>
      <w:hyperlink r:id="rId4089">
        <w:r>
          <w:rPr>
            <w:color w:val="0000EE"/>
            <w:u w:val="single"/>
          </w:rPr>
          <w:t>Ex 18.11</w:t>
        </w:r>
      </w:hyperlink>
      <w:r>
        <w:t>). Certains experts ont vu en cela une acceptation par Jéthro de l'alliance avec Israël. Mais cette interprétation repose sur une mauvaise compréhension de ce que Jéthro a réellement fait et de la signification du sacrifice et d'un repas partagé.</w:t>
      </w:r>
    </w:p>
    <w:p>
      <w:r/>
      <w:r>
        <w:t>Après avoir reçu les bons conseils de Jéthro sur la manière de gérer les différends parmi le peuple, Moïse nommera des hommes capables comme chefs et juges sur le peuple (</w:t>
      </w:r>
      <w:hyperlink r:id="rId7247">
        <w:r>
          <w:rPr>
            <w:color w:val="0000EE"/>
            <w:u w:val="single"/>
          </w:rPr>
          <w:t>Ex 18.13–27</w:t>
        </w:r>
      </w:hyperlink>
      <w:r>
        <w:t>). Jéthro retournera ensuite dans son propre pays et semble n'avoir eu aucun autre contact avec Israël. Son fils et d'autres descendants feront cependant plus tard partie d'Israël (</w:t>
      </w:r>
      <w:hyperlink r:id="rId7248">
        <w:r>
          <w:rPr>
            <w:color w:val="0000EE"/>
            <w:u w:val="single"/>
          </w:rPr>
          <w:t>Nb 10.29–33</w:t>
        </w:r>
      </w:hyperlink>
      <w:r>
        <w:t xml:space="preserve"> ; </w:t>
      </w:r>
      <w:hyperlink r:id="rId605">
        <w:r>
          <w:rPr>
            <w:color w:val="0000EE"/>
            <w:u w:val="single"/>
          </w:rPr>
          <w:t>Jg 1.16</w:t>
        </w:r>
      </w:hyperlink>
      <w:r>
        <w:t xml:space="preserve"> ; </w:t>
      </w:r>
      <w:hyperlink r:id="rId7249">
        <w:r>
          <w:rPr>
            <w:color w:val="0000EE"/>
            <w:u w:val="single"/>
          </w:rPr>
          <w:t>4.11</w:t>
        </w:r>
      </w:hyperlink>
      <w:r>
        <w:t>).</w:t>
      </w:r>
    </w:p>
    <w:p>
      <w:pPr>
        <w:pStyle w:val="Heading3"/>
      </w:pPr>
      <w:r>
        <w:t>Les Autres noms de Jéthro</w:t>
      </w:r>
    </w:p>
    <w:p>
      <w:r/>
      <w:r>
        <w:t>Jéthro est connu sous d'autres noms dans la Bible et les écrits ultérieurs. Le Talmud (une collection d'enseignements juifs et d'explications de la Torah, y compris des lois, des traditions et des débats rabbiniques) rapporte que son nom était à l'origine Jéther et que son nom est devenu Jéthro après sa conversion (il n'y a pas de preuve claire pour étayer cela). Il est aussi appelé Réuel. Il est le père de sept filles qui ont rencontré Moïse à un puits (</w:t>
      </w:r>
      <w:hyperlink r:id="rId7250">
        <w:r>
          <w:rPr>
            <w:color w:val="0000EE"/>
            <w:u w:val="single"/>
          </w:rPr>
          <w:t>Ex 2.16–18</w:t>
        </w:r>
      </w:hyperlink>
      <w:r>
        <w:t xml:space="preserve"> ; </w:t>
      </w:r>
      <w:hyperlink r:id="rId7251">
        <w:r>
          <w:rPr>
            <w:color w:val="0000EE"/>
            <w:u w:val="single"/>
          </w:rPr>
          <w:t>Nb 10.29</w:t>
        </w:r>
      </w:hyperlink>
      <w:r>
        <w:t>). Il est également désigné par le nom de Hobab (</w:t>
      </w:r>
      <w:hyperlink r:id="rId7249">
        <w:r>
          <w:rPr>
            <w:color w:val="0000EE"/>
            <w:u w:val="single"/>
          </w:rPr>
          <w:t>Jg 4.11</w:t>
        </w:r>
      </w:hyperlink>
      <w:r>
        <w:t>). Hobab est réputé être le fils de Réuel (</w:t>
      </w:r>
      <w:hyperlink r:id="rId7251">
        <w:r>
          <w:rPr>
            <w:color w:val="0000EE"/>
            <w:u w:val="single"/>
          </w:rPr>
          <w:t>Nb 10.29</w:t>
        </w:r>
      </w:hyperlink>
      <w:r>
        <w:t>).</w:t>
      </w:r>
    </w:p>
    <w:p>
      <w:r/>
      <w:r>
        <w:t>La Bible n'explique pas pourquoi différents noms sont utilisés. Certaines explications possibles incluent :</w:t>
      </w:r>
    </w:p>
    <w:p>
      <w:pPr>
        <w:pStyle w:val="ListNumber"/>
        <w:spacing w:line="240" w:lineRule="auto"/>
        <w:ind w:left="720"/>
      </w:pPr>
      <w:r/>
      <w:r>
        <w:t>Chaque tribu madianite pour laquelle il servait comme prêtre le connaissait sous un nom différent.</w:t>
      </w:r>
    </w:p>
    <w:p>
      <w:pPr>
        <w:pStyle w:val="ListNumber"/>
        <w:spacing w:line="240" w:lineRule="auto"/>
        <w:ind w:left="720"/>
      </w:pPr>
      <w:r/>
      <w:r>
        <w:t>Réuel était un nom tribal, et non un nom personnel.</w:t>
      </w:r>
    </w:p>
    <w:p>
      <w:pPr>
        <w:pStyle w:val="ListNumber"/>
        <w:spacing w:line="240" w:lineRule="auto"/>
        <w:ind w:left="720"/>
      </w:pPr>
      <w:r/>
      <w:r>
        <w:t>Hobab, le prénom du fils, était parfois utilisé pour désigner le père.</w:t>
      </w:r>
    </w:p>
    <w:p>
      <w:pPr>
        <w:pStyle w:val="ListNumber"/>
        <w:spacing w:line="240" w:lineRule="auto"/>
        <w:ind w:left="720"/>
      </w:pPr>
      <w:r/>
      <w:r>
        <w:t xml:space="preserve">Une glose apparaît dans le texte dans </w:t>
      </w:r>
      <w:hyperlink r:id="rId7252">
        <w:r>
          <w:rPr>
            <w:color w:val="0000EE"/>
            <w:u w:val="single"/>
          </w:rPr>
          <w:t>Ex 2.18</w:t>
        </w:r>
      </w:hyperlink>
      <w:r>
        <w:t xml:space="preserve"> et </w:t>
      </w:r>
      <w:hyperlink r:id="rId7249">
        <w:r>
          <w:rPr>
            <w:color w:val="0000EE"/>
            <w:u w:val="single"/>
          </w:rPr>
          <w:t>Jg 4.11</w:t>
        </w:r>
      </w:hyperlink>
    </w:p>
    <w:p>
      <w:r/>
      <w:r>
        <w:t>Malgré la confusion concernant les noms, nous pouvons clairement établir que Jéthro avait un fils nommé Hobab.</w:t>
      </w:r>
    </w:p>
    <w:p>
      <w:r/>
      <w:r>
        <w:rPr>
          <w:i/>
        </w:rPr>
        <w:t>Voir aussi</w:t>
      </w:r>
      <w:r>
        <w:t xml:space="preserve"> </w:t>
      </w:r>
      <w:r>
        <w:t>Madian, Madianite</w:t>
      </w:r>
      <w:r>
        <w:t xml:space="preserve"> ; </w:t>
      </w:r>
      <w:r>
        <w:t>Moïse</w:t>
      </w:r>
      <w:r>
        <w:t>.</w:t>
      </w:r>
      <w:r/>
      <w:r/>
    </w:p>
    <w:p>
      <w:r/>
    </w:p>
    <w:p>
      <w:pPr>
        <w:pStyle w:val="Heading2"/>
      </w:pPr>
      <w:r>
        <w:t>Jethur, Jethuriens</w:t>
      </w:r>
      <w:r/>
    </w:p>
    <w:p>
      <w:r/>
      <w:r>
        <w:t>Fils d'Ismaël et ses descendants (</w:t>
      </w:r>
      <w:hyperlink r:id="rId6167">
        <w:r>
          <w:rPr>
            <w:color w:val="0000EE"/>
            <w:u w:val="single"/>
          </w:rPr>
          <w:t>Gn 25.15</w:t>
        </w:r>
      </w:hyperlink>
      <w:r>
        <w:t xml:space="preserve"> ; </w:t>
      </w:r>
      <w:hyperlink r:id="rId7253">
        <w:r>
          <w:rPr>
            <w:color w:val="0000EE"/>
            <w:u w:val="single"/>
          </w:rPr>
          <w:t>1Ch 1.31</w:t>
        </w:r>
      </w:hyperlink>
      <w:r>
        <w:t>).</w:t>
      </w:r>
    </w:p>
    <w:p>
      <w:r/>
      <w:r>
        <w:t>Les tribus israélites qui se sont installées à l'est du Jourdain ont dû les combattre (</w:t>
      </w:r>
      <w:hyperlink r:id="rId7254">
        <w:r>
          <w:rPr>
            <w:color w:val="0000EE"/>
            <w:u w:val="single"/>
          </w:rPr>
          <w:t>1Ch 5.19</w:t>
        </w:r>
      </w:hyperlink>
      <w:r>
        <w:t>). Ils sont également appelés Ituréens. Les Jethuriens ont continué à vivre à l'époque du Nouveau Testament. La région d'Iturée tient d'eux son nom. C'était une zone au nord-est de la Galilée (</w:t>
      </w:r>
      <w:hyperlink r:id="rId2222">
        <w:r>
          <w:rPr>
            <w:color w:val="0000EE"/>
            <w:u w:val="single"/>
          </w:rPr>
          <w:t>Lc 3.1</w:t>
        </w:r>
      </w:hyperlink>
      <w:r>
        <w:t>).</w:t>
      </w:r>
    </w:p>
    <w:p>
      <w:r/>
      <w:r>
        <w:rPr>
          <w:i/>
        </w:rPr>
        <w:t>Voir</w:t>
      </w:r>
      <w:r>
        <w:t xml:space="preserve"> </w:t>
      </w:r>
      <w:r>
        <w:t>Iturée, Ituréens</w:t>
      </w:r>
      <w:r>
        <w:t>.</w:t>
      </w:r>
      <w:r/>
      <w:r/>
    </w:p>
    <w:p>
      <w:r/>
    </w:p>
    <w:p>
      <w:pPr>
        <w:pStyle w:val="Heading2"/>
      </w:pPr>
      <w:r>
        <w:t>Jetser</w:t>
      </w:r>
      <w:r/>
    </w:p>
    <w:p>
      <w:r/>
      <w:r>
        <w:t xml:space="preserve">Troisième fils de Nephthali et fondateur du clan des </w:t>
      </w:r>
      <w:r>
        <w:t>Jitsrites</w:t>
      </w:r>
      <w:r>
        <w:t xml:space="preserve"> (</w:t>
      </w:r>
      <w:hyperlink r:id="rId6164">
        <w:r>
          <w:rPr>
            <w:color w:val="0000EE"/>
            <w:u w:val="single"/>
          </w:rPr>
          <w:t>Gn 46.24</w:t>
        </w:r>
      </w:hyperlink>
      <w:r>
        <w:t xml:space="preserve"> ; </w:t>
      </w:r>
      <w:hyperlink r:id="rId7255">
        <w:r>
          <w:rPr>
            <w:color w:val="0000EE"/>
            <w:u w:val="single"/>
          </w:rPr>
          <w:t>Nb 26.49</w:t>
        </w:r>
      </w:hyperlink>
      <w:r>
        <w:t xml:space="preserve"> ; </w:t>
      </w:r>
      <w:hyperlink r:id="rId6165">
        <w:r>
          <w:rPr>
            <w:color w:val="0000EE"/>
            <w:u w:val="single"/>
          </w:rPr>
          <w:t>1Ch 7.13</w:t>
        </w:r>
      </w:hyperlink>
      <w:r>
        <w:t>).</w:t>
      </w:r>
      <w:r/>
      <w:r/>
    </w:p>
    <w:p>
      <w:r/>
    </w:p>
    <w:p>
      <w:pPr>
        <w:pStyle w:val="Heading2"/>
      </w:pPr>
      <w:r>
        <w:t>Jeûne</w:t>
      </w:r>
      <w:r/>
    </w:p>
    <w:p>
      <w:r/>
      <w:r>
        <w:t>Manger avec parcimonie ou s'abstenir complètement de nourriture, que ce soit par nécessité ou par choix. En termes médicaux, le jeûne est la détoxification du corps par la restriction alimentaire.</w:t>
      </w:r>
    </w:p>
    <w:p>
      <w:r/>
      <w:r>
        <w:t>Le jeûne spirituel consiste à mettre de côté certaines activités, à réduire la consommation de nourriture et à remplacer ces activités par la prière et l'attention portée aux préoccupations spirituelles. Le mot du Nouveau Testament (NT) traduit par « jeûne » signifie littéralement quelqu'un qui n'a pas mangé, quelqu'un qui est vide.</w:t>
      </w:r>
    </w:p>
    <w:p>
      <w:r/>
      <w:r>
        <w:t xml:space="preserve">Trois types de jeûne sont généralement reconnus : le jeûne </w:t>
      </w:r>
      <w:r>
        <w:rPr>
          <w:i/>
        </w:rPr>
        <w:t>normal</w:t>
      </w:r>
      <w:r>
        <w:t xml:space="preserve">, où il n'y a pas d'apport alimentaire pendant une période de temps prescrite, bien qu'il puisse y avoir une consommation de liquides ; le jeûne </w:t>
      </w:r>
      <w:r>
        <w:rPr>
          <w:i/>
        </w:rPr>
        <w:t>partiel</w:t>
      </w:r>
      <w:r>
        <w:t xml:space="preserve">, où le régime alimentaire est limité, bien que certains aliments soient autorisés ; et le jeûne </w:t>
      </w:r>
      <w:r>
        <w:rPr>
          <w:i/>
        </w:rPr>
        <w:t>absolu</w:t>
      </w:r>
      <w:r>
        <w:t>, où il y a une abstinence totale de nourriture et de liquides sous toutes leurs formes.</w:t>
      </w:r>
    </w:p>
    <w:p>
      <w:r/>
      <w:r>
        <w:t>Dans l'Ancien Testament (AT), le jeûne était considéré comme un acte de renoncement à soi destiné à apaiser la colère de Dieu et à l'inciter à agir avec bienveillance. En période d'urgence, le peuple jeûnait pour persuader Dieu de les épargner d'une calamité imminente (</w:t>
      </w:r>
      <w:hyperlink r:id="rId7256">
        <w:r>
          <w:rPr>
            <w:color w:val="0000EE"/>
            <w:u w:val="single"/>
          </w:rPr>
          <w:t>Jg 20.26</w:t>
        </w:r>
      </w:hyperlink>
      <w:r>
        <w:t xml:space="preserve"> ; </w:t>
      </w:r>
      <w:hyperlink r:id="rId7257">
        <w:r>
          <w:rPr>
            <w:color w:val="0000EE"/>
            <w:u w:val="single"/>
          </w:rPr>
          <w:t>1S 7.6</w:t>
        </w:r>
      </w:hyperlink>
      <w:r>
        <w:t xml:space="preserve"> ; </w:t>
      </w:r>
      <w:hyperlink r:id="rId7258">
        <w:r>
          <w:rPr>
            <w:color w:val="0000EE"/>
            <w:u w:val="single"/>
          </w:rPr>
          <w:t>1R 21.9</w:t>
        </w:r>
      </w:hyperlink>
      <w:r>
        <w:t xml:space="preserve"> ; </w:t>
      </w:r>
      <w:hyperlink r:id="rId7259">
        <w:r>
          <w:rPr>
            <w:color w:val="0000EE"/>
            <w:u w:val="single"/>
          </w:rPr>
          <w:t>2Ch 20.3</w:t>
        </w:r>
      </w:hyperlink>
      <w:r>
        <w:t xml:space="preserve"> ; </w:t>
      </w:r>
      <w:hyperlink r:id="rId7260">
        <w:r>
          <w:rPr>
            <w:color w:val="0000EE"/>
            <w:u w:val="single"/>
          </w:rPr>
          <w:t>Jr 36.6, 9</w:t>
        </w:r>
      </w:hyperlink>
      <w:r>
        <w:t>). Les individus jeûnaient dans l'espoir que Dieu les libérerait de leurs ennuis (</w:t>
      </w:r>
      <w:hyperlink r:id="rId7261">
        <w:r>
          <w:rPr>
            <w:color w:val="0000EE"/>
            <w:u w:val="single"/>
          </w:rPr>
          <w:t>2S 12.16–20</w:t>
        </w:r>
      </w:hyperlink>
      <w:r>
        <w:t xml:space="preserve"> ; </w:t>
      </w:r>
      <w:hyperlink r:id="rId7262">
        <w:r>
          <w:rPr>
            <w:color w:val="0000EE"/>
            <w:u w:val="single"/>
          </w:rPr>
          <w:t>1R 21.27</w:t>
        </w:r>
      </w:hyperlink>
      <w:r>
        <w:t xml:space="preserve"> ; </w:t>
      </w:r>
      <w:hyperlink r:id="rId7263">
        <w:r>
          <w:rPr>
            <w:color w:val="0000EE"/>
            <w:u w:val="single"/>
          </w:rPr>
          <w:t>Ps 35.13</w:t>
        </w:r>
      </w:hyperlink>
      <w:r>
        <w:t xml:space="preserve"> ; </w:t>
      </w:r>
      <w:hyperlink r:id="rId7264">
        <w:r>
          <w:rPr>
            <w:color w:val="0000EE"/>
            <w:u w:val="single"/>
          </w:rPr>
          <w:t>69.10</w:t>
        </w:r>
      </w:hyperlink>
      <w:r>
        <w:t>). Le jeûne était accompagné de prière (</w:t>
      </w:r>
      <w:hyperlink r:id="rId7265">
        <w:r>
          <w:rPr>
            <w:color w:val="0000EE"/>
            <w:u w:val="single"/>
          </w:rPr>
          <w:t>Esd 8.21</w:t>
        </w:r>
      </w:hyperlink>
      <w:r>
        <w:t xml:space="preserve"> ; </w:t>
      </w:r>
      <w:hyperlink r:id="rId7266">
        <w:r>
          <w:rPr>
            <w:color w:val="0000EE"/>
            <w:u w:val="single"/>
          </w:rPr>
          <w:t>Né 1.4</w:t>
        </w:r>
      </w:hyperlink>
      <w:r>
        <w:t xml:space="preserve"> ; </w:t>
      </w:r>
      <w:hyperlink r:id="rId7267">
        <w:r>
          <w:rPr>
            <w:color w:val="0000EE"/>
            <w:u w:val="single"/>
          </w:rPr>
          <w:t>Jr 14.12</w:t>
        </w:r>
      </w:hyperlink>
      <w:r>
        <w:t>).</w:t>
      </w:r>
    </w:p>
    <w:p>
      <w:r/>
      <w:r>
        <w:t>Les jeûnes réguliers duraient généralement une journée, du matin au soir, avec de la nourriture permise la nuit (</w:t>
      </w:r>
      <w:hyperlink r:id="rId7256">
        <w:r>
          <w:rPr>
            <w:color w:val="0000EE"/>
            <w:u w:val="single"/>
          </w:rPr>
          <w:t>Jg 20.26</w:t>
        </w:r>
      </w:hyperlink>
      <w:r>
        <w:t xml:space="preserve"> ; </w:t>
      </w:r>
      <w:hyperlink r:id="rId7268">
        <w:r>
          <w:rPr>
            <w:color w:val="0000EE"/>
            <w:u w:val="single"/>
          </w:rPr>
          <w:t>1S 14.24</w:t>
        </w:r>
      </w:hyperlink>
      <w:r>
        <w:t xml:space="preserve"> ; </w:t>
      </w:r>
      <w:hyperlink r:id="rId3816">
        <w:r>
          <w:rPr>
            <w:color w:val="0000EE"/>
            <w:u w:val="single"/>
          </w:rPr>
          <w:t>2S 1.12</w:t>
        </w:r>
      </w:hyperlink>
      <w:r>
        <w:t xml:space="preserve">), bien qu'il y ait des récits de jeûnes plus longs, comme lorsque Mardochée appelle un jeûne de trois jours (nuit et jour spécifiés, </w:t>
      </w:r>
      <w:hyperlink r:id="rId7269">
        <w:r>
          <w:rPr>
            <w:color w:val="0000EE"/>
            <w:u w:val="single"/>
          </w:rPr>
          <w:t>Est 4.16</w:t>
        </w:r>
      </w:hyperlink>
      <w:r>
        <w:t>) et le jeûne de sept jours à la mort de Saül (</w:t>
      </w:r>
      <w:hyperlink r:id="rId3815">
        <w:r>
          <w:rPr>
            <w:color w:val="0000EE"/>
            <w:u w:val="single"/>
          </w:rPr>
          <w:t>1S 31.13</w:t>
        </w:r>
      </w:hyperlink>
      <w:r>
        <w:t xml:space="preserve"> ; </w:t>
      </w:r>
      <w:hyperlink r:id="rId7270">
        <w:r>
          <w:rPr>
            <w:color w:val="0000EE"/>
            <w:u w:val="single"/>
          </w:rPr>
          <w:t>2S 3.35</w:t>
        </w:r>
      </w:hyperlink>
      <w:r>
        <w:t>). Parmi les jeûnes spéciaux figuraient les quarante jours de Moïse sur le mont Sinaï (</w:t>
      </w:r>
      <w:hyperlink r:id="rId7271">
        <w:r>
          <w:rPr>
            <w:color w:val="0000EE"/>
            <w:u w:val="single"/>
          </w:rPr>
          <w:t>Ex 34.28</w:t>
        </w:r>
      </w:hyperlink>
      <w:r>
        <w:t>) et le jeûne de trois semaines de Daniel avant de recevoir des visions (</w:t>
      </w:r>
      <w:hyperlink r:id="rId2203">
        <w:r>
          <w:rPr>
            <w:color w:val="0000EE"/>
            <w:u w:val="single"/>
          </w:rPr>
          <w:t>Dn 9.3</w:t>
        </w:r>
      </w:hyperlink>
      <w:r>
        <w:t xml:space="preserve"> ; </w:t>
      </w:r>
      <w:hyperlink r:id="rId7272">
        <w:r>
          <w:rPr>
            <w:color w:val="0000EE"/>
            <w:u w:val="single"/>
          </w:rPr>
          <w:t>10.3, 12</w:t>
        </w:r>
      </w:hyperlink>
      <w:r>
        <w:t>).</w:t>
      </w:r>
    </w:p>
    <w:p>
      <w:r/>
      <w:r>
        <w:t>En général, dans l'AT, le jeûne était souvent mal utilisé. Au lieu d'être un acte sincère de renoncement à soi-même et de soumission à Dieu, le jeûne était devenu une pratique extérieure, un rituel vide où une prétention de piété était affichée publiquement. Ainsi, les prophètes dénoncent l'insensibilité d'une telle hypocrisie. Jérémie rapporte que le Seigneur dit : « Même s'ils jeûnent, je n'écouterai pas leur cri » (</w:t>
      </w:r>
      <w:hyperlink r:id="rId7267">
        <w:r>
          <w:rPr>
            <w:color w:val="0000EE"/>
            <w:u w:val="single"/>
          </w:rPr>
          <w:t>Jr 14.12</w:t>
        </w:r>
      </w:hyperlink>
      <w:r>
        <w:t xml:space="preserve"> ; voir </w:t>
      </w:r>
      <w:hyperlink r:id="rId7273">
        <w:r>
          <w:rPr>
            <w:color w:val="0000EE"/>
            <w:u w:val="single"/>
          </w:rPr>
          <w:t>Es 58.1–10</w:t>
        </w:r>
      </w:hyperlink>
      <w:r>
        <w:t>).</w:t>
      </w:r>
    </w:p>
    <w:p>
      <w:r/>
      <w:r>
        <w:t>Le contexte de la compréhension du jeûne dans le NT est le développement de la tradition rabbinique qui a émergé de la période entre les Testaments, durant laquelle le jeûne est devenu la marque distinctive du Juif pieux, même s'il restait en grande partie un acte purement rituel. Les vœux étaient confirmés par le jeûne (</w:t>
      </w:r>
      <w:hyperlink r:id="rId7274">
        <w:r>
          <w:rPr>
            <w:color w:val="0000EE"/>
            <w:u w:val="single"/>
          </w:rPr>
          <w:t>Tb 7.12</w:t>
        </w:r>
      </w:hyperlink>
      <w:r>
        <w:t>), le remords et la pénitence étaient accompagnés par le jeûne (</w:t>
      </w:r>
      <w:hyperlink r:id="rId7275">
        <w:r>
          <w:rPr>
            <w:color w:val="0000EE"/>
            <w:u w:val="single"/>
          </w:rPr>
          <w:t>2 Esd 10.4</w:t>
        </w:r>
      </w:hyperlink>
      <w:r>
        <w:t>), et la prière était soutenue par le jeûne (</w:t>
      </w:r>
      <w:hyperlink r:id="rId7276">
        <w:r>
          <w:rPr>
            <w:color w:val="0000EE"/>
            <w:u w:val="single"/>
          </w:rPr>
          <w:t>1 M 3.47</w:t>
        </w:r>
      </w:hyperlink>
      <w:r>
        <w:t>). Des jours de jeûne spéciaux étaient observés, certains imposés volontairement (</w:t>
      </w:r>
      <w:hyperlink r:id="rId7277">
        <w:r>
          <w:rPr>
            <w:color w:val="0000EE"/>
            <w:u w:val="single"/>
          </w:rPr>
          <w:t>2 M 13.12</w:t>
        </w:r>
      </w:hyperlink>
      <w:r>
        <w:t xml:space="preserve"> ; </w:t>
      </w:r>
      <w:hyperlink r:id="rId7278">
        <w:r>
          <w:rPr>
            <w:color w:val="0000EE"/>
            <w:u w:val="single"/>
          </w:rPr>
          <w:t>2 Esd 5.13</w:t>
        </w:r>
      </w:hyperlink>
      <w:r>
        <w:t>).</w:t>
      </w:r>
    </w:p>
    <w:p>
      <w:r/>
      <w:r>
        <w:t>S'est développée ainsi une tradition rabbinique où le jeûne était considéré comme un acte méritoire, devenant ainsi l'acte principal de démonstration de piété. C'était cependant une fausse piété, consistant principalement en l'observance minutieuse de jours de jeûne, tant publics que privés. À l'exception des groupes ascétiques tels que les disciples de Jean le Baptiste, l'humeur dominante au sujet du jeûne lorsque Jésus est apparu sur la scène était celle d'une tristesse lugubre, une nécessité obligatoire, une exigence auto-imposée pour produire la discipline de l'abnégation.</w:t>
      </w:r>
    </w:p>
    <w:p>
      <w:r/>
      <w:r>
        <w:t>La compréhension du jeûne par Jésus est importante car elle représente un changement dans le rôle du jeûne. Son attitude initiale reflétait sans aucun doute le fait qu'il avait grandi en participant aux jeûnes réguliers et partageait donc les enseignements dominants de son époque. Cependant, son enseignement mature sur le jeûne rompt avec la tradition rabbinique. Deux récits concernant Jésus et le jeûne sont importants : son jeûne dans le cadre de sa tentation dans le désert (</w:t>
      </w:r>
      <w:hyperlink r:id="rId7279">
        <w:r>
          <w:rPr>
            <w:color w:val="0000EE"/>
            <w:u w:val="single"/>
          </w:rPr>
          <w:t>Mt 4.2</w:t>
        </w:r>
      </w:hyperlink>
      <w:r>
        <w:t xml:space="preserve"> ; </w:t>
      </w:r>
      <w:hyperlink r:id="rId7280">
        <w:r>
          <w:rPr>
            <w:color w:val="0000EE"/>
            <w:u w:val="single"/>
          </w:rPr>
          <w:t>Lc 4.2</w:t>
        </w:r>
      </w:hyperlink>
      <w:r>
        <w:t>), et son enseignement sur le jeûne dans le Sermon sur la Montagne (</w:t>
      </w:r>
      <w:hyperlink r:id="rId7281">
        <w:r>
          <w:rPr>
            <w:color w:val="0000EE"/>
            <w:u w:val="single"/>
          </w:rPr>
          <w:t>Mt 6.16–18</w:t>
        </w:r>
      </w:hyperlink>
      <w:r>
        <w:t>).</w:t>
      </w:r>
    </w:p>
    <w:p>
      <w:r/>
      <w:r>
        <w:t>Sa tentation est née d'un contexte de lutte. Immédiatement après son baptême, il a été poussé dans le désert par l'Esprit pour affronter la tentation de Satan. Au milieu de cette épreuve, il a jeûné et prié, montrant ainsi sa dépendance envers Dieu.</w:t>
      </w:r>
    </w:p>
    <w:p>
      <w:r/>
      <w:r>
        <w:t>Les paroles de Jésus sur le jeûne dans le Sermon sur la Montagne présentent une approche radicalement différente du jeûne volontaire. En condamnant le type de jeûne qui cherche à obtenir la faveur des hommes par une démonstration ostentatoire de piété extérieure, Jésus a enseigné à la place une foi robuste qui recherche l'authenticité de la relation avec Dieu à travers un cœur pur. Jésus ne condamne pas le jeûne en tant que tel, ni ne l'interdit. Il lui donne cependant un nouveau sens. Le jeûne est un service envers Dieu.</w:t>
      </w:r>
    </w:p>
    <w:p>
      <w:r/>
      <w:r>
        <w:t>Cette nouvelle compréhension du jeûne s'inscrit dans le contexte de l'avènement du temps du salut. L'Époux est là. C'est un temps de joie, non de tristesse. Par conséquent, l'humeur dominante du jeûne, en tant que manifestation de deuil et de piété feinte, est incompatible avec l'esprit de la nouvelle ère qui a commencé.</w:t>
      </w:r>
    </w:p>
    <w:p>
      <w:r/>
      <w:r>
        <w:t>Les enseignements de Jésus peuvent être résumés ainsi : Le jeûne est transcendé par le début des temps eschatologiques. La règle du Messie a brisé le pouvoir de l'âge du mal. Le jeûne ne semble plus cohérent avec l'esprit de gratitude et de joie qui marque le cadre de cet âge nouveau, puisque la vie chrétienne ne doit pas être dominée par la tragédie mais par la joie et le bonheur. Cependant, le royaume n'est pas pleinement accompli. Il y a une place pour le jeûne, si on le comprend correctement. Le jeûne doit être pratiqué dans le contexte de l'action de grâce joyeuse de la nouvelle vie en Christ. Le contexte du jeûne est la prière. Il doit se conformer aux mêmes conditions que la prière : une tranquillité discrète devant Dieu, découlant de la gratitude, exprimant l'action de grâce, fondée sur la foi, comme moyen de croissance spirituelle.</w:t>
      </w:r>
    </w:p>
    <w:p>
      <w:r/>
      <w:r>
        <w:rPr>
          <w:i/>
        </w:rPr>
        <w:t>Voir aussi</w:t>
      </w:r>
      <w:r>
        <w:t xml:space="preserve"> </w:t>
      </w:r>
      <w:r>
        <w:t>Prière</w:t>
      </w:r>
      <w:r>
        <w:t>.</w:t>
      </w:r>
      <w:r/>
      <w:r/>
    </w:p>
    <w:p>
      <w:r/>
    </w:p>
    <w:p>
      <w:pPr>
        <w:pStyle w:val="Heading2"/>
      </w:pPr>
      <w:r>
        <w:t>Jéusch, Jeusch</w:t>
      </w:r>
      <w:r/>
    </w:p>
    <w:p>
      <w:pPr>
        <w:pStyle w:val="ListNumber"/>
        <w:spacing w:line="240" w:lineRule="auto"/>
        <w:ind w:left="720"/>
      </w:pPr>
      <w:r/>
      <w:r>
        <w:t>L'aîné des trois fils nés à Ésaü par Oholibama (fille de la Cananéenne Ana). Jéusch était un chef parmi les descendants d'Ésaü en Édom (</w:t>
      </w:r>
      <w:hyperlink r:id="rId7282">
        <w:r>
          <w:rPr>
            <w:color w:val="0000EE"/>
            <w:u w:val="single"/>
          </w:rPr>
          <w:t>Gn 36.5–18</w:t>
        </w:r>
      </w:hyperlink>
      <w:r>
        <w:t xml:space="preserve"> ; </w:t>
      </w:r>
      <w:hyperlink r:id="rId7082">
        <w:r>
          <w:rPr>
            <w:color w:val="0000EE"/>
            <w:u w:val="single"/>
          </w:rPr>
          <w:t>1Ch 1.35</w:t>
        </w:r>
      </w:hyperlink>
      <w:r>
        <w:t>).</w:t>
      </w:r>
    </w:p>
    <w:p>
      <w:pPr>
        <w:pStyle w:val="ListNumber"/>
        <w:spacing w:line="240" w:lineRule="auto"/>
        <w:ind w:left="720"/>
      </w:pPr>
      <w:r/>
      <w:r>
        <w:t>Fils de Bilhan de la famille de Jediaël. Il était également un chef dans la tribu de Benjamin (</w:t>
      </w:r>
      <w:hyperlink r:id="rId1761">
        <w:r>
          <w:rPr>
            <w:color w:val="0000EE"/>
            <w:u w:val="single"/>
          </w:rPr>
          <w:t>1Ch 7.10</w:t>
        </w:r>
      </w:hyperlink>
      <w:r>
        <w:t>).</w:t>
      </w:r>
    </w:p>
    <w:p>
      <w:pPr>
        <w:pStyle w:val="ListNumber"/>
        <w:spacing w:line="240" w:lineRule="auto"/>
        <w:ind w:left="720"/>
      </w:pPr>
      <w:r/>
      <w:r>
        <w:t xml:space="preserve">Un Benjamite, fils </w:t>
      </w:r>
      <w:r>
        <w:t>d’Eschek</w:t>
      </w:r>
      <w:r>
        <w:t xml:space="preserve"> et descendant du roi Saül (</w:t>
      </w:r>
      <w:hyperlink r:id="rId7283">
        <w:r>
          <w:rPr>
            <w:color w:val="0000EE"/>
            <w:u w:val="single"/>
          </w:rPr>
          <w:t>1Ch 8.39</w:t>
        </w:r>
      </w:hyperlink>
      <w:r>
        <w:t>).</w:t>
      </w:r>
    </w:p>
    <w:p>
      <w:pPr>
        <w:pStyle w:val="ListNumber"/>
        <w:spacing w:line="240" w:lineRule="auto"/>
        <w:ind w:left="720"/>
      </w:pPr>
      <w:r/>
      <w:r>
        <w:t xml:space="preserve">Un Lévite de la famille de Guerschon et le troisième des quatre fils de </w:t>
      </w:r>
      <w:r>
        <w:t>Schimeï</w:t>
      </w:r>
      <w:r>
        <w:t>. Lui et son plus jeune frère, Beria, avaient peu de fils. Ainsi, les archives sous le règne du roi David les comptent comme une seule famille (</w:t>
      </w:r>
      <w:hyperlink r:id="rId1838">
        <w:r>
          <w:rPr>
            <w:color w:val="0000EE"/>
            <w:u w:val="single"/>
          </w:rPr>
          <w:t>1Ch 23.10–11</w:t>
        </w:r>
      </w:hyperlink>
      <w:r>
        <w:t>).</w:t>
      </w:r>
    </w:p>
    <w:p>
      <w:pPr>
        <w:pStyle w:val="ListNumber"/>
        <w:spacing w:line="240" w:lineRule="auto"/>
        <w:ind w:left="720"/>
      </w:pPr>
      <w:r/>
      <w:r>
        <w:t>L'aîné des trois fils nés du roi Roboam par Mahalath. Elle était la petite-fille d'Éliab (</w:t>
      </w:r>
      <w:hyperlink r:id="rId7284">
        <w:r>
          <w:rPr>
            <w:color w:val="0000EE"/>
            <w:u w:val="single"/>
          </w:rPr>
          <w:t>2Ch 11.19</w:t>
        </w:r>
      </w:hyperlink>
      <w:r>
        <w:t>).</w:t>
      </w:r>
      <w:r/>
      <w:r/>
    </w:p>
    <w:p>
      <w:r/>
    </w:p>
    <w:p>
      <w:pPr>
        <w:pStyle w:val="Heading2"/>
      </w:pPr>
      <w:r>
        <w:t>Jidlaph</w:t>
      </w:r>
      <w:r/>
    </w:p>
    <w:p>
      <w:r/>
      <w:r>
        <w:t>Septième fils de Nachor et Milca (</w:t>
      </w:r>
      <w:hyperlink r:id="rId6219">
        <w:r>
          <w:rPr>
            <w:color w:val="0000EE"/>
            <w:u w:val="single"/>
          </w:rPr>
          <w:t>Gn 22.22</w:t>
        </w:r>
      </w:hyperlink>
      <w:r>
        <w:t>).</w:t>
      </w:r>
      <w:r/>
      <w:r/>
    </w:p>
    <w:p>
      <w:r/>
    </w:p>
    <w:p>
      <w:pPr>
        <w:pStyle w:val="Heading2"/>
      </w:pPr>
      <w:r>
        <w:t>Jimna</w:t>
      </w:r>
      <w:r/>
    </w:p>
    <w:p>
      <w:r/>
      <w:r>
        <w:t>1. Fils d'Aser (</w:t>
      </w:r>
      <w:hyperlink r:id="rId1386">
        <w:r>
          <w:rPr>
            <w:color w:val="0000EE"/>
            <w:u w:val="single"/>
          </w:rPr>
          <w:t>Gn 46.17</w:t>
        </w:r>
      </w:hyperlink>
      <w:r>
        <w:t xml:space="preserve"> ; </w:t>
      </w:r>
      <w:hyperlink r:id="rId1387">
        <w:r>
          <w:rPr>
            <w:color w:val="0000EE"/>
            <w:u w:val="single"/>
          </w:rPr>
          <w:t>1Ch 7.30</w:t>
        </w:r>
      </w:hyperlink>
      <w:r>
        <w:t xml:space="preserve">) et fondateur de la famille </w:t>
      </w:r>
      <w:r>
        <w:t>Jimnite</w:t>
      </w:r>
      <w:r>
        <w:t xml:space="preserve"> (</w:t>
      </w:r>
      <w:hyperlink r:id="rId1835">
        <w:r>
          <w:rPr>
            <w:color w:val="0000EE"/>
            <w:u w:val="single"/>
          </w:rPr>
          <w:t>Nb 26.44</w:t>
        </w:r>
      </w:hyperlink>
      <w:r>
        <w:t>).</w:t>
      </w:r>
    </w:p>
    <w:p>
      <w:r/>
      <w:r>
        <w:t>2. Lévite et père de Koré. Koré était un assistant du temple pendant le règne du roi Ézéchias (</w:t>
      </w:r>
      <w:hyperlink r:id="rId7285">
        <w:r>
          <w:rPr>
            <w:color w:val="0000EE"/>
            <w:u w:val="single"/>
          </w:rPr>
          <w:t>2Ch 31.14</w:t>
        </w:r>
      </w:hyperlink>
      <w:r>
        <w:t>).</w:t>
      </w:r>
      <w:r/>
      <w:r/>
    </w:p>
    <w:p>
      <w:r/>
    </w:p>
    <w:p>
      <w:pPr>
        <w:pStyle w:val="Heading2"/>
      </w:pPr>
      <w:r>
        <w:t>Jimna, Jimnah, Jimnite</w:t>
      </w:r>
      <w:r/>
    </w:p>
    <w:p>
      <w:r/>
      <w:r>
        <w:t>Les versions du roi Jacques utilisent les formes « Jimna » et « Imnite ». Les noms se réfèrent au fils d'Aser et à sa famille (</w:t>
      </w:r>
      <w:hyperlink r:id="rId1386">
        <w:r>
          <w:rPr>
            <w:color w:val="0000EE"/>
            <w:u w:val="single"/>
          </w:rPr>
          <w:t>Gn 46.17</w:t>
        </w:r>
      </w:hyperlink>
      <w:r>
        <w:t xml:space="preserve"> et </w:t>
      </w:r>
      <w:hyperlink r:id="rId1835">
        <w:r>
          <w:rPr>
            <w:color w:val="0000EE"/>
            <w:u w:val="single"/>
          </w:rPr>
          <w:t>Nom 26.44</w:t>
        </w:r>
      </w:hyperlink>
      <w:r>
        <w:t>).</w:t>
      </w:r>
    </w:p>
    <w:p>
      <w:r/>
      <w:r>
        <w:rPr>
          <w:i/>
        </w:rPr>
        <w:t>Voir</w:t>
      </w:r>
      <w:r>
        <w:t xml:space="preserve"> </w:t>
      </w:r>
      <w:r>
        <w:t>Jimna n° 1</w:t>
      </w:r>
      <w:r>
        <w:t>.</w:t>
      </w:r>
      <w:r/>
      <w:r/>
    </w:p>
    <w:p>
      <w:r/>
    </w:p>
    <w:p>
      <w:pPr>
        <w:pStyle w:val="Heading2"/>
      </w:pPr>
      <w:r>
        <w:t>Jisca</w:t>
      </w:r>
      <w:r/>
    </w:p>
    <w:p>
      <w:r/>
      <w:r>
        <w:t>Fille de Haran et sœur de Milca (</w:t>
      </w:r>
      <w:hyperlink r:id="rId7286">
        <w:r>
          <w:rPr>
            <w:color w:val="0000EE"/>
            <w:u w:val="single"/>
          </w:rPr>
          <w:t>Gn 11.29</w:t>
        </w:r>
      </w:hyperlink>
      <w:r>
        <w:t>).</w:t>
      </w:r>
      <w:r/>
      <w:r/>
    </w:p>
    <w:p>
      <w:r/>
    </w:p>
    <w:p>
      <w:pPr>
        <w:pStyle w:val="Heading2"/>
      </w:pPr>
      <w:r>
        <w:t>Jischbak</w:t>
      </w:r>
      <w:r/>
    </w:p>
    <w:p>
      <w:r/>
      <w:r>
        <w:t>Un des fils d'Abraham par Ketura (</w:t>
      </w:r>
      <w:hyperlink r:id="rId7246">
        <w:r>
          <w:rPr>
            <w:color w:val="0000EE"/>
            <w:u w:val="single"/>
          </w:rPr>
          <w:t>Gn 25.2</w:t>
        </w:r>
      </w:hyperlink>
      <w:r>
        <w:t xml:space="preserve"> ; </w:t>
      </w:r>
      <w:hyperlink r:id="rId3038">
        <w:r>
          <w:rPr>
            <w:color w:val="0000EE"/>
            <w:u w:val="single"/>
          </w:rPr>
          <w:t>1Ch 1.32</w:t>
        </w:r>
      </w:hyperlink>
      <w:r>
        <w:t>).</w:t>
      </w:r>
      <w:r/>
      <w:r/>
    </w:p>
    <w:p>
      <w:r/>
    </w:p>
    <w:p>
      <w:pPr>
        <w:pStyle w:val="Heading2"/>
      </w:pPr>
      <w:r>
        <w:t>Jischva</w:t>
      </w:r>
      <w:r/>
    </w:p>
    <w:p>
      <w:r/>
      <w:r>
        <w:t>Un des fils du patriarche Aser (</w:t>
      </w:r>
      <w:hyperlink r:id="rId1386">
        <w:r>
          <w:rPr>
            <w:color w:val="0000EE"/>
            <w:u w:val="single"/>
          </w:rPr>
          <w:t>Gn 46.17</w:t>
        </w:r>
      </w:hyperlink>
      <w:r>
        <w:t xml:space="preserve"> ; </w:t>
      </w:r>
      <w:hyperlink r:id="rId1387">
        <w:r>
          <w:rPr>
            <w:color w:val="0000EE"/>
            <w:u w:val="single"/>
          </w:rPr>
          <w:t>1Ch 7.30</w:t>
        </w:r>
      </w:hyperlink>
      <w:r>
        <w:t>).</w:t>
      </w:r>
      <w:r/>
      <w:r/>
    </w:p>
    <w:p>
      <w:r/>
    </w:p>
    <w:p>
      <w:pPr>
        <w:pStyle w:val="Heading2"/>
      </w:pPr>
      <w:r>
        <w:t>Jischvi</w:t>
      </w:r>
      <w:r/>
    </w:p>
    <w:p>
      <w:pPr>
        <w:pStyle w:val="ListNumber"/>
        <w:spacing w:line="240" w:lineRule="auto"/>
        <w:ind w:left="720"/>
      </w:pPr>
      <w:r/>
      <w:r>
        <w:t>Troisième fils d'Aser (</w:t>
      </w:r>
      <w:hyperlink r:id="rId1386">
        <w:r>
          <w:rPr>
            <w:color w:val="0000EE"/>
            <w:u w:val="single"/>
          </w:rPr>
          <w:t>Gn 46.17</w:t>
        </w:r>
      </w:hyperlink>
      <w:r>
        <w:t xml:space="preserve"> ; </w:t>
      </w:r>
      <w:hyperlink r:id="rId1387">
        <w:r>
          <w:rPr>
            <w:color w:val="0000EE"/>
            <w:u w:val="single"/>
          </w:rPr>
          <w:t>1Ch 7.30</w:t>
        </w:r>
      </w:hyperlink>
      <w:r>
        <w:t xml:space="preserve">), fondateur du clan des </w:t>
      </w:r>
      <w:r>
        <w:t>Jischvites</w:t>
      </w:r>
      <w:r>
        <w:t xml:space="preserve"> (</w:t>
      </w:r>
      <w:hyperlink r:id="rId1835">
        <w:r>
          <w:rPr>
            <w:color w:val="0000EE"/>
            <w:u w:val="single"/>
          </w:rPr>
          <w:t>Nb 26.44</w:t>
        </w:r>
      </w:hyperlink>
      <w:r>
        <w:t>).</w:t>
      </w:r>
    </w:p>
    <w:p>
      <w:pPr>
        <w:pStyle w:val="ListNumber"/>
        <w:spacing w:line="240" w:lineRule="auto"/>
        <w:ind w:left="720"/>
      </w:pPr>
      <w:r/>
      <w:r>
        <w:t>Une variante du prénom « Isch-Boscheth », fils du roi Saül (</w:t>
      </w:r>
      <w:hyperlink r:id="rId7287">
        <w:r>
          <w:rPr>
            <w:color w:val="0000EE"/>
            <w:u w:val="single"/>
          </w:rPr>
          <w:t>1S 14.49</w:t>
        </w:r>
      </w:hyperlink>
      <w:r>
        <w:t>).</w:t>
      </w:r>
      <w:r/>
      <w:r/>
    </w:p>
    <w:p>
      <w:r/>
    </w:p>
    <w:p>
      <w:pPr>
        <w:pStyle w:val="Heading2"/>
      </w:pPr>
      <w:r>
        <w:t>Jithran</w:t>
      </w:r>
      <w:r/>
    </w:p>
    <w:p>
      <w:r/>
      <w:r>
        <w:t xml:space="preserve">1. Fils de </w:t>
      </w:r>
      <w:r>
        <w:t>Dischon</w:t>
      </w:r>
      <w:r>
        <w:t>, qui était un chef horien (</w:t>
      </w:r>
      <w:hyperlink r:id="rId4883">
        <w:r>
          <w:rPr>
            <w:color w:val="0000EE"/>
            <w:u w:val="single"/>
          </w:rPr>
          <w:t>Gn 36.26</w:t>
        </w:r>
      </w:hyperlink>
      <w:r>
        <w:t xml:space="preserve"> ; </w:t>
      </w:r>
      <w:hyperlink r:id="rId4169">
        <w:r>
          <w:rPr>
            <w:color w:val="0000EE"/>
            <w:u w:val="single"/>
          </w:rPr>
          <w:t>1Ch 1.41</w:t>
        </w:r>
      </w:hyperlink>
      <w:r>
        <w:t>).</w:t>
      </w:r>
    </w:p>
    <w:p>
      <w:r/>
      <w:r>
        <w:t>2. Fils de Tsophach (</w:t>
      </w:r>
      <w:hyperlink r:id="rId7288">
        <w:r>
          <w:rPr>
            <w:color w:val="0000EE"/>
            <w:u w:val="single"/>
          </w:rPr>
          <w:t>1Ch 7.37</w:t>
        </w:r>
      </w:hyperlink>
      <w:r>
        <w:t xml:space="preserve">). Il est probablement le même que Jéther mentionné dans </w:t>
      </w:r>
      <w:hyperlink r:id="rId7289">
        <w:r>
          <w:rPr>
            <w:color w:val="0000EE"/>
            <w:u w:val="single"/>
          </w:rPr>
          <w:t>1 Chroniques 7.38</w:t>
        </w:r>
      </w:hyperlink>
      <w:r>
        <w:t>.</w:t>
      </w:r>
      <w:r/>
      <w:r/>
    </w:p>
    <w:p>
      <w:r/>
    </w:p>
    <w:p>
      <w:pPr>
        <w:pStyle w:val="Heading2"/>
      </w:pPr>
      <w:r>
        <w:t>Job (Personne)</w:t>
      </w:r>
      <w:r/>
    </w:p>
    <w:p>
      <w:r/>
      <w:r>
        <w:t xml:space="preserve">1. Forme alternative de Jashub, le troisième fils d'Issacar, dans </w:t>
      </w:r>
      <w:hyperlink r:id="rId6920">
        <w:r>
          <w:rPr>
            <w:color w:val="0000EE"/>
            <w:u w:val="single"/>
          </w:rPr>
          <w:t>Genèse 46.13</w:t>
        </w:r>
      </w:hyperlink>
      <w:r>
        <w:t xml:space="preserve">. </w:t>
      </w:r>
      <w:r>
        <w:rPr>
          <w:i/>
        </w:rPr>
        <w:t>Voir</w:t>
      </w:r>
      <w:r>
        <w:t xml:space="preserve"> </w:t>
      </w:r>
      <w:r>
        <w:t>Jashub n° 1</w:t>
      </w:r>
      <w:r>
        <w:t>.</w:t>
      </w:r>
    </w:p>
    <w:p>
      <w:r/>
      <w:r>
        <w:t>2. Personnage central du livre de Job. La souffrance intense endurée par Job constitue le cadre du thème principal du livre, qui traite du rôle de la souffrance dans la vie d’un enfant de Dieu.</w:t>
      </w:r>
    </w:p>
    <w:p>
      <w:r/>
      <w:r>
        <w:t>L'étymologie du nom est complexe. Certains l'ont interprété comme un dérivé d'un mot hébreu signifiant « être hostile » et ont suggéré qu'il reflète l'obstination de Job à refuser de se soumettre à la volonté de Dieu. Cependant, le nom apparaît dans plusieurs textes ouest-sémitiques comme un nom propre, et il semble préférable de le comprendre simplement comme un nom commun. Le sens du nom en ouest-sémitique est soit « pas de Père » soit « où est mon Père ? »</w:t>
      </w:r>
    </w:p>
    <w:p>
      <w:r/>
      <w:r>
        <w:t xml:space="preserve">L'incertitude entourant l'auteur et la provenance géographique du livre rend difficile de situer Job dans l'histoire. La mention du nom de Job dans </w:t>
      </w:r>
      <w:hyperlink r:id="rId7290">
        <w:r>
          <w:rPr>
            <w:color w:val="0000EE"/>
            <w:u w:val="single"/>
          </w:rPr>
          <w:t>Ézéchiel 14.14, 20</w:t>
        </w:r>
      </w:hyperlink>
      <w:r>
        <w:t xml:space="preserve"> semble soutenir la possibilité qu'il était un personnage d'une grande antiquité.</w:t>
      </w:r>
    </w:p>
    <w:p>
      <w:r/>
      <w:r>
        <w:rPr>
          <w:i/>
        </w:rPr>
        <w:t>Voir aussi</w:t>
      </w:r>
      <w:r>
        <w:t xml:space="preserve"> </w:t>
      </w:r>
      <w:r>
        <w:t>Job, Livre de</w:t>
      </w:r>
      <w:r>
        <w:t>.</w:t>
      </w:r>
      <w:r/>
      <w:r/>
    </w:p>
    <w:p>
      <w:r/>
    </w:p>
    <w:p>
      <w:pPr>
        <w:pStyle w:val="Heading2"/>
      </w:pPr>
      <w:r>
        <w:t>Jobab</w:t>
      </w:r>
      <w:r/>
    </w:p>
    <w:p>
      <w:pPr>
        <w:pStyle w:val="ListNumber"/>
        <w:spacing w:line="240" w:lineRule="auto"/>
        <w:ind w:left="720"/>
      </w:pPr>
      <w:r/>
      <w:r>
        <w:t>Fils de Jokthan dans la lignée familiale d'Héber (</w:t>
      </w:r>
      <w:hyperlink r:id="rId6217">
        <w:r>
          <w:rPr>
            <w:color w:val="0000EE"/>
            <w:u w:val="single"/>
          </w:rPr>
          <w:t>Gn 10.29</w:t>
        </w:r>
      </w:hyperlink>
      <w:r>
        <w:t xml:space="preserve"> ; </w:t>
      </w:r>
      <w:hyperlink r:id="rId6218">
        <w:r>
          <w:rPr>
            <w:color w:val="0000EE"/>
            <w:u w:val="single"/>
          </w:rPr>
          <w:t>1Ch 1.23</w:t>
        </w:r>
      </w:hyperlink>
      <w:r>
        <w:t>).</w:t>
      </w:r>
    </w:p>
    <w:p>
      <w:pPr>
        <w:pStyle w:val="ListNumber"/>
        <w:spacing w:line="240" w:lineRule="auto"/>
        <w:ind w:left="720"/>
      </w:pPr>
      <w:r/>
      <w:r>
        <w:t>Ancien roi édomite, fils de Zérach de Botsra (</w:t>
      </w:r>
      <w:hyperlink r:id="rId7291">
        <w:r>
          <w:rPr>
            <w:color w:val="0000EE"/>
            <w:u w:val="single"/>
          </w:rPr>
          <w:t>Gn 36.33–34</w:t>
        </w:r>
      </w:hyperlink>
      <w:r>
        <w:t xml:space="preserve"> ; </w:t>
      </w:r>
      <w:hyperlink r:id="rId7292">
        <w:r>
          <w:rPr>
            <w:color w:val="0000EE"/>
            <w:u w:val="single"/>
          </w:rPr>
          <w:t>1Ch 1.44–45</w:t>
        </w:r>
      </w:hyperlink>
      <w:r>
        <w:t>).</w:t>
      </w:r>
    </w:p>
    <w:p>
      <w:pPr>
        <w:pStyle w:val="ListNumber"/>
        <w:spacing w:line="240" w:lineRule="auto"/>
        <w:ind w:left="720"/>
      </w:pPr>
      <w:r/>
      <w:r>
        <w:t>Roi de Madon. Avec d'autres rois cananéens, il rejoindra Jabin de Hatsor dans une alliance du nord visant à empêcher les Israélites de s'emparer de la partie nord de Canaan. Jobab mourra au combat aux eaux de Mérom (</w:t>
      </w:r>
      <w:hyperlink r:id="rId7293">
        <w:r>
          <w:rPr>
            <w:color w:val="0000EE"/>
            <w:u w:val="single"/>
          </w:rPr>
          <w:t>Jos 11.1</w:t>
        </w:r>
      </w:hyperlink>
      <w:r>
        <w:t xml:space="preserve"> ; </w:t>
      </w:r>
      <w:hyperlink r:id="rId7294">
        <w:r>
          <w:rPr>
            <w:color w:val="0000EE"/>
            <w:u w:val="single"/>
          </w:rPr>
          <w:t>12.19</w:t>
        </w:r>
      </w:hyperlink>
      <w:r>
        <w:t>).</w:t>
      </w:r>
    </w:p>
    <w:p>
      <w:pPr>
        <w:pStyle w:val="ListNumber"/>
        <w:spacing w:line="240" w:lineRule="auto"/>
        <w:ind w:left="720"/>
      </w:pPr>
      <w:r/>
      <w:r>
        <w:t>Fils de Schacharaïm par sa femme Hodesch, membre de la tribu de Benjamin (</w:t>
      </w:r>
      <w:hyperlink r:id="rId7295">
        <w:r>
          <w:rPr>
            <w:color w:val="0000EE"/>
            <w:u w:val="single"/>
          </w:rPr>
          <w:t>1Ch 8.9</w:t>
        </w:r>
      </w:hyperlink>
      <w:r>
        <w:t>).</w:t>
      </w:r>
    </w:p>
    <w:p>
      <w:pPr>
        <w:pStyle w:val="ListNumber"/>
        <w:spacing w:line="240" w:lineRule="auto"/>
        <w:ind w:left="720"/>
      </w:pPr>
      <w:r/>
      <w:r>
        <w:t>Fils d'Elpaal de la tribu de Benjamin (</w:t>
      </w:r>
      <w:hyperlink r:id="rId7296">
        <w:r>
          <w:rPr>
            <w:color w:val="0000EE"/>
            <w:u w:val="single"/>
          </w:rPr>
          <w:t>1Ch 8.18</w:t>
        </w:r>
      </w:hyperlink>
      <w:r>
        <w:t>).</w:t>
      </w:r>
      <w:r/>
      <w:r/>
    </w:p>
    <w:p>
      <w:r/>
    </w:p>
    <w:p>
      <w:pPr>
        <w:pStyle w:val="Heading2"/>
      </w:pPr>
      <w:r>
        <w:t>Joël (Personne)</w:t>
      </w:r>
      <w:r/>
    </w:p>
    <w:p>
      <w:r/>
      <w:r>
        <w:t>1. Lévite de la famille de Kehath. Il était le fils d'Azaria et un ancêtre d'Elkana, le père de Samuel le prophète (</w:t>
      </w:r>
      <w:hyperlink r:id="rId1299">
        <w:r>
          <w:rPr>
            <w:color w:val="0000EE"/>
            <w:u w:val="single"/>
          </w:rPr>
          <w:t>1S 1.1</w:t>
        </w:r>
      </w:hyperlink>
      <w:r>
        <w:t xml:space="preserve"> ; </w:t>
      </w:r>
      <w:hyperlink r:id="rId7297">
        <w:r>
          <w:rPr>
            <w:color w:val="0000EE"/>
            <w:u w:val="single"/>
          </w:rPr>
          <w:t>1Ch 6.36</w:t>
        </w:r>
      </w:hyperlink>
      <w:r>
        <w:t>).</w:t>
      </w:r>
    </w:p>
    <w:p>
      <w:r/>
      <w:r>
        <w:t>2. Fils aîné de Samuel le prophète. Lui et son frère Abija ont tellement corrompu la fonction de juge que les anciens ont intensifié leur demande pour un roi (</w:t>
      </w:r>
      <w:hyperlink r:id="rId7298">
        <w:r>
          <w:rPr>
            <w:color w:val="0000EE"/>
            <w:u w:val="single"/>
          </w:rPr>
          <w:t>1S 8.2–5</w:t>
        </w:r>
      </w:hyperlink>
      <w:r>
        <w:t>). Il était le père de Héman le chantre (</w:t>
      </w:r>
      <w:hyperlink r:id="rId6403">
        <w:r>
          <w:rPr>
            <w:color w:val="0000EE"/>
            <w:u w:val="single"/>
          </w:rPr>
          <w:t>1Ch 6.33</w:t>
        </w:r>
      </w:hyperlink>
      <w:r>
        <w:t xml:space="preserve">; </w:t>
      </w:r>
      <w:hyperlink r:id="rId7299">
        <w:r>
          <w:rPr>
            <w:color w:val="0000EE"/>
            <w:u w:val="single"/>
          </w:rPr>
          <w:t>15.17</w:t>
        </w:r>
      </w:hyperlink>
      <w:r>
        <w:t xml:space="preserve">). Son nom a été traduit par erreur par « Vashni » dans la version anglaise de la KJV en </w:t>
      </w:r>
      <w:hyperlink r:id="rId6403">
        <w:r>
          <w:rPr>
            <w:color w:val="0000EE"/>
            <w:u w:val="single"/>
          </w:rPr>
          <w:t>1Ch 6.28</w:t>
        </w:r>
      </w:hyperlink>
      <w:r>
        <w:t>.</w:t>
      </w:r>
    </w:p>
    <w:p>
      <w:r/>
      <w:r>
        <w:t>3. Prince d'une des familles siméonites qui a émigré dans la vallée de Guedor (</w:t>
      </w:r>
      <w:hyperlink r:id="rId7300">
        <w:r>
          <w:rPr>
            <w:color w:val="0000EE"/>
            <w:u w:val="single"/>
          </w:rPr>
          <w:t>1Ch 4.35</w:t>
        </w:r>
      </w:hyperlink>
      <w:r>
        <w:t>).</w:t>
      </w:r>
    </w:p>
    <w:p>
      <w:r/>
      <w:r>
        <w:t>4. Membre de la tribu de Ruben (</w:t>
      </w:r>
      <w:hyperlink r:id="rId7301">
        <w:r>
          <w:rPr>
            <w:color w:val="0000EE"/>
            <w:u w:val="single"/>
          </w:rPr>
          <w:t>1Ch 5.4, 8</w:t>
        </w:r>
      </w:hyperlink>
      <w:r>
        <w:t>).</w:t>
      </w:r>
    </w:p>
    <w:p>
      <w:r/>
      <w:r>
        <w:t>5. Chef de la tribu de Gad résidant à Basan (</w:t>
      </w:r>
      <w:hyperlink r:id="rId7302">
        <w:r>
          <w:rPr>
            <w:color w:val="0000EE"/>
            <w:u w:val="single"/>
          </w:rPr>
          <w:t>1Ch 5.12</w:t>
        </w:r>
      </w:hyperlink>
      <w:r>
        <w:t>).</w:t>
      </w:r>
    </w:p>
    <w:p>
      <w:r/>
      <w:r>
        <w:t>6. Troisième des quatre fils nommés de Jizrachja et chef de la tribu d'Issacar à l'époque de David (</w:t>
      </w:r>
      <w:hyperlink r:id="rId7303">
        <w:r>
          <w:rPr>
            <w:color w:val="0000EE"/>
            <w:u w:val="single"/>
          </w:rPr>
          <w:t>1Ch 7.3</w:t>
        </w:r>
      </w:hyperlink>
      <w:r>
        <w:t>).</w:t>
      </w:r>
    </w:p>
    <w:p>
      <w:r/>
      <w:r>
        <w:t>7. Le frère de Nathan et l'un des vaillants hommes de David (</w:t>
      </w:r>
      <w:hyperlink r:id="rId7304">
        <w:r>
          <w:rPr>
            <w:color w:val="0000EE"/>
            <w:u w:val="single"/>
          </w:rPr>
          <w:t>1Ch 11.38</w:t>
        </w:r>
      </w:hyperlink>
      <w:r>
        <w:t xml:space="preserve">). Il est aussi appelé Igal, fils de Nathan, dans </w:t>
      </w:r>
      <w:hyperlink r:id="rId7305">
        <w:r>
          <w:rPr>
            <w:color w:val="0000EE"/>
            <w:u w:val="single"/>
          </w:rPr>
          <w:t>2S 23.36</w:t>
        </w:r>
      </w:hyperlink>
      <w:r>
        <w:t xml:space="preserve">. </w:t>
      </w:r>
      <w:r>
        <w:rPr>
          <w:i/>
        </w:rPr>
        <w:t>Voir</w:t>
      </w:r>
      <w:r>
        <w:t xml:space="preserve"> </w:t>
      </w:r>
      <w:r>
        <w:t>Igal n° 2</w:t>
      </w:r>
      <w:r>
        <w:t>.</w:t>
      </w:r>
    </w:p>
    <w:p>
      <w:r/>
      <w:r>
        <w:t>8. Lévite de la famille de Guerschon qui a participé à la procession royale ayant amené l'arche de Dieu à Jérusalem pendant le règne de David (</w:t>
      </w:r>
      <w:hyperlink r:id="rId7306">
        <w:r>
          <w:rPr>
            <w:color w:val="0000EE"/>
            <w:u w:val="single"/>
          </w:rPr>
          <w:t>1Ch 15.7–11</w:t>
        </w:r>
      </w:hyperlink>
      <w:r>
        <w:t>). Il a peut-être été gestionnaire des trésors du temple à Jérusalem (</w:t>
      </w:r>
      <w:hyperlink r:id="rId7307">
        <w:r>
          <w:rPr>
            <w:color w:val="0000EE"/>
            <w:u w:val="single"/>
          </w:rPr>
          <w:t>1Ch 26.22</w:t>
        </w:r>
      </w:hyperlink>
      <w:r>
        <w:t>).</w:t>
      </w:r>
    </w:p>
    <w:p>
      <w:r/>
      <w:r>
        <w:t>9. Le fils de Pedaja, qui a servi comme chef de la moitié ouest de la tribu de Manassé pendant le règne de David (</w:t>
      </w:r>
      <w:hyperlink r:id="rId7308">
        <w:r>
          <w:rPr>
            <w:color w:val="0000EE"/>
            <w:u w:val="single"/>
          </w:rPr>
          <w:t>1Ch 27.20</w:t>
        </w:r>
      </w:hyperlink>
      <w:r>
        <w:t>)</w:t>
      </w:r>
    </w:p>
    <w:p>
      <w:r/>
      <w:r>
        <w:t>10. Lévite de la famille de Kehath qui a aidé à la réforme du temple par le roi Ézéchias à Jérusalem (</w:t>
      </w:r>
      <w:hyperlink r:id="rId7309">
        <w:r>
          <w:rPr>
            <w:color w:val="0000EE"/>
            <w:u w:val="single"/>
          </w:rPr>
          <w:t>2Ch 29.12</w:t>
        </w:r>
      </w:hyperlink>
      <w:r>
        <w:t>).</w:t>
      </w:r>
    </w:p>
    <w:p>
      <w:r/>
      <w:r>
        <w:t>11. Le fils de Nebo, qui a été encouragé par Esdras à divorcer de sa femme étrangère pendant la période postexilique (</w:t>
      </w:r>
      <w:hyperlink r:id="rId7310">
        <w:r>
          <w:rPr>
            <w:color w:val="0000EE"/>
            <w:u w:val="single"/>
          </w:rPr>
          <w:t>Esd 10.43</w:t>
        </w:r>
      </w:hyperlink>
      <w:r>
        <w:t>).</w:t>
      </w:r>
    </w:p>
    <w:p>
      <w:r/>
      <w:r>
        <w:t>12. Le fils de Zicri et le superviseur de 128 Benjaminites qui ont déménagé à Jérusalem après l'exil (</w:t>
      </w:r>
      <w:hyperlink r:id="rId7311">
        <w:r>
          <w:rPr>
            <w:color w:val="0000EE"/>
            <w:u w:val="single"/>
          </w:rPr>
          <w:t>Né 11.9</w:t>
        </w:r>
      </w:hyperlink>
      <w:r>
        <w:t>).</w:t>
      </w:r>
    </w:p>
    <w:p>
      <w:r/>
      <w:r>
        <w:t>13. Prophète qui a écrit le deuxième livre des Petits Prophètes. On sait peu de choses sur lui, sauf qu'il était le fils de Pethuel (</w:t>
      </w:r>
      <w:hyperlink r:id="rId7312">
        <w:r>
          <w:rPr>
            <w:color w:val="0000EE"/>
            <w:u w:val="single"/>
          </w:rPr>
          <w:t>Jl 1.1</w:t>
        </w:r>
      </w:hyperlink>
      <w:r>
        <w:t xml:space="preserve"> ; </w:t>
      </w:r>
      <w:hyperlink r:id="rId7313">
        <w:r>
          <w:rPr>
            <w:color w:val="0000EE"/>
            <w:u w:val="single"/>
          </w:rPr>
          <w:t>Ac 2.16</w:t>
        </w:r>
      </w:hyperlink>
      <w:r>
        <w:t xml:space="preserve">). </w:t>
      </w:r>
      <w:r>
        <w:rPr>
          <w:i/>
        </w:rPr>
        <w:t>Voir</w:t>
      </w:r>
      <w:r>
        <w:t xml:space="preserve"> </w:t>
      </w:r>
      <w:r>
        <w:t>Joël, Livre de</w:t>
      </w:r>
      <w:r>
        <w:t>.</w:t>
      </w:r>
      <w:r/>
      <w:r/>
    </w:p>
    <w:p>
      <w:r/>
    </w:p>
    <w:p>
      <w:pPr>
        <w:pStyle w:val="Heading2"/>
      </w:pPr>
      <w:r>
        <w:t>Joël, Livre de</w:t>
      </w:r>
      <w:r/>
    </w:p>
    <w:p>
      <w:r/>
      <w:r>
        <w:t>Livre de l'Ancien Testament, deuxième des petits prophètes.</w:t>
      </w:r>
    </w:p>
    <w:p>
      <w:r/>
      <w:r>
        <w:t>Vue d'ensemble</w:t>
      </w:r>
    </w:p>
    <w:p>
      <w:r/>
      <w:r>
        <w:t xml:space="preserve">• </w:t>
      </w:r>
      <w:r>
        <w:rPr>
          <w:b/>
          <w:u w:val="single"/>
        </w:rPr>
        <w:t>Auteur</w:t>
      </w:r>
    </w:p>
    <w:p>
      <w:r/>
      <w:r>
        <w:t xml:space="preserve">• </w:t>
      </w:r>
      <w:r>
        <w:rPr>
          <w:b/>
          <w:u w:val="single"/>
        </w:rPr>
        <w:t>Date</w:t>
      </w:r>
    </w:p>
    <w:p>
      <w:r/>
      <w:r>
        <w:t xml:space="preserve">• </w:t>
      </w:r>
      <w:r>
        <w:rPr>
          <w:b/>
          <w:u w:val="single"/>
        </w:rPr>
        <w:t>Contenu</w:t>
      </w:r>
    </w:p>
    <w:p>
      <w:r/>
      <w:r>
        <w:t xml:space="preserve">• </w:t>
      </w:r>
      <w:r>
        <w:rPr>
          <w:b/>
          <w:u w:val="single"/>
        </w:rPr>
        <w:t>Message</w:t>
      </w:r>
    </w:p>
    <w:p>
      <w:pPr>
        <w:pStyle w:val="Heading3"/>
      </w:pPr>
      <w:r>
        <w:t>Auteur</w:t>
      </w:r>
    </w:p>
    <w:p>
      <w:r/>
      <w:r>
        <w:t>Dans le premier verset, le contenu du livre de Joël est décrit comme la « parole » du Seigneur qui « fut adressée à Joël, fils de Pethuel ». Les Écritures ne nous disent rien de plus sur Joël ou Pethuel. Le nom Joël était courant ; il y a treize Joëls différents dans l'AT. D'après ce qui est dit dans le livre, il semblerait que Joël n'était pas prêtre mais était toutefois étroitement associé aux prêtres du temple, et très probablement un homme de Jérusalem. Il ne nous est pas possible d'en dire plus.</w:t>
      </w:r>
    </w:p>
    <w:p>
      <w:pPr>
        <w:pStyle w:val="Heading3"/>
      </w:pPr>
      <w:r>
        <w:t>Date</w:t>
      </w:r>
    </w:p>
    <w:p>
      <w:r/>
      <w:r>
        <w:t>De nombreux points de vue différents sur la date de Joël ont été adoptés par ceux qui ont étudié ce livre attentivement ; ainsi, il est difficile d'être catégorique. Le livre peut être daté d'une période après le retour à Jérusalem des exilés juifs qui avaient été à Babylone — plus précisément, à une période après le travail de reconstruction des murs de Jérusalem sous Néhémie (vers 400 av. J.‑C.). Les raisons avancées pour soutenir cela sont les suivantes :</w:t>
      </w:r>
    </w:p>
    <w:p>
      <w:r/>
      <w:r>
        <w:t xml:space="preserve">1. </w:t>
      </w:r>
      <w:hyperlink r:id="rId7314">
        <w:r>
          <w:rPr>
            <w:color w:val="0000EE"/>
            <w:u w:val="single"/>
          </w:rPr>
          <w:t>Joël 3.2</w:t>
        </w:r>
      </w:hyperlink>
      <w:r>
        <w:t xml:space="preserve"> indique que le peuple de Juda et de Jérusalem avait été dispersé parmi les nations et que leur terre avait été divisée. Cependant, ils ont été ramenés, et leur ville a de nouveau des murs (</w:t>
      </w:r>
      <w:hyperlink r:id="rId7315">
        <w:r>
          <w:rPr>
            <w:color w:val="0000EE"/>
            <w:u w:val="single"/>
          </w:rPr>
          <w:t>2.9</w:t>
        </w:r>
      </w:hyperlink>
      <w:r>
        <w:t>).</w:t>
      </w:r>
    </w:p>
    <w:p>
      <w:r/>
      <w:r>
        <w:t>2. Lorsqu'un appel à la prière et au jeûne est lancé, les prêtres et les anciens doivent prendre l'initiative (</w:t>
      </w:r>
      <w:hyperlink r:id="rId7316">
        <w:r>
          <w:rPr>
            <w:color w:val="0000EE"/>
            <w:u w:val="single"/>
          </w:rPr>
          <w:t>1.13</w:t>
        </w:r>
      </w:hyperlink>
      <w:r>
        <w:t xml:space="preserve"> ; </w:t>
      </w:r>
      <w:hyperlink r:id="rId7317">
        <w:r>
          <w:rPr>
            <w:color w:val="0000EE"/>
            <w:u w:val="single"/>
          </w:rPr>
          <w:t>2.16–17</w:t>
        </w:r>
      </w:hyperlink>
      <w:r>
        <w:t>). Il n'est fait mention d'aucun roi à un moment ou un autre du livre. Il y avait des rois jusqu'à l'époque de l'exil, mais pas pendant quatre cents ans après.</w:t>
      </w:r>
    </w:p>
    <w:p>
      <w:r/>
      <w:r>
        <w:t>3. Les prophètes préexiliques (Amos, Osée, Ésaïe, Michée et Jérémie) critiquaient souvent le peuple concernant le fait qu'ils offraient des sacrifices tout en s'écartant des voies du Seigneur dans leur vie quotidienne. Les prophètes postexiliques comme Aggée et Malachie encouragent plutôt le fait de revenir au fait d'offrir des sacrifices. Parmi les prophètes préexiliques, il y avait un reproche constant envers le peuple pour leur adoration des idoles ; ce n'était pas un problème pour le peuple après l'exil. Concernant ces deux préoccupations, Joël semble mieux correspondre au contexte postexilique qu'au contexte préexilique.</w:t>
      </w:r>
    </w:p>
    <w:p>
      <w:r/>
      <w:r>
        <w:t>4. Il n'y a aucune référence au royaume du nord d'Israël dans ce livre. Le discours se concentre fortement sur Juda et Jérusalem ; lorsque « Israël » est mentionné, la référence semble être au même peuple (</w:t>
      </w:r>
      <w:hyperlink r:id="rId7318">
        <w:r>
          <w:rPr>
            <w:color w:val="0000EE"/>
            <w:u w:val="single"/>
          </w:rPr>
          <w:t>2.27</w:t>
        </w:r>
      </w:hyperlink>
      <w:r>
        <w:t xml:space="preserve"> ; </w:t>
      </w:r>
      <w:hyperlink r:id="rId7319">
        <w:r>
          <w:rPr>
            <w:color w:val="0000EE"/>
            <w:u w:val="single"/>
          </w:rPr>
          <w:t>3.16</w:t>
        </w:r>
      </w:hyperlink>
      <w:r>
        <w:t>). Nous nous attendrions à trouver une manière différente de parler avant la chute du royaume du nord aux mains des Assyriens en 722 av. J.‑C.</w:t>
      </w:r>
    </w:p>
    <w:p>
      <w:r/>
      <w:r>
        <w:t>5. Les autres royaumes mentionnés sont Édom, Tyr et Sidon, les Philistins et les Grecs. Aucune mention n'est faite de la Syrie, de l'Assyrie et de Babylone, les ennemis invétérés du peuple aux mains desquels ce dernier a tant souffert à l'époque préexilique. Ceux qui sont mentionnés étaient certainement significatifs pour le peuple à l'époque postexilique, et ce n'est qu'à ce moment-là que les Grecs avaient de l'importance sur le territoire palestinien.</w:t>
      </w:r>
    </w:p>
    <w:p>
      <w:r/>
      <w:r>
        <w:t>Certains experts estiment que ces arguments ne sont pas très convaincants et que tout dans le livre peut coller avec une datation bien plus ancienne. Il a parfois été avancé que le livre est délibérément placé dans les Écritures hébraïques aux côtés des deux prophètes du VIIIe siècle av. J.‑C. (Osée et Amos). Cependant, l'ordre des livres dans le canon prophétique ne détermine pas leur date. Abdias (postexilique) se trouve entre des prophètes du VIIIe siècle av. J.‑C. (Amos et Michée), et dans l'Ancien Testament grec, Joël était même placé à une position différente de celle qu'il occupe dans la Bible hébraïque. Il est fort probable que Joël et Amos soient placés ensemble parce qu'</w:t>
      </w:r>
      <w:hyperlink r:id="rId807">
        <w:r>
          <w:rPr>
            <w:color w:val="0000EE"/>
            <w:u w:val="single"/>
          </w:rPr>
          <w:t>Amos 1.2</w:t>
        </w:r>
      </w:hyperlink>
      <w:r>
        <w:t xml:space="preserve"> contient les mêmes mots que l'on trouve à la fin du livre de Joël (</w:t>
      </w:r>
      <w:hyperlink r:id="rId7319">
        <w:r>
          <w:rPr>
            <w:color w:val="0000EE"/>
            <w:u w:val="single"/>
          </w:rPr>
          <w:t>Jl 3.16</w:t>
        </w:r>
      </w:hyperlink>
      <w:r>
        <w:t>). Certains de ceux qui privilégient une date préexilique pour le livre le placent au IXe siècle, au début du règne de Joas lorsque le roi était trop jeune pour réellement exercer ses fonctions de dirigeant du pays. D'autres le situent peu de temps avant la mort de Josias en 609 av. J.‑C. en raison de la référence à l'ennemi venant du nord (comme dans Jérémie) et de l'appel au peuple (similaire à l'appel de Jérémie) à revenir au Seigneur de tout leur cœur (</w:t>
      </w:r>
      <w:hyperlink r:id="rId7320">
        <w:r>
          <w:rPr>
            <w:color w:val="0000EE"/>
            <w:u w:val="single"/>
          </w:rPr>
          <w:t>2.12</w:t>
        </w:r>
      </w:hyperlink>
      <w:r>
        <w:t>).</w:t>
      </w:r>
    </w:p>
    <w:p>
      <w:pPr>
        <w:pStyle w:val="Heading3"/>
      </w:pPr>
      <w:r>
        <w:t>Contenu du livre</w:t>
      </w:r>
    </w:p>
    <w:p>
      <w:pPr>
        <w:pStyle w:val="Heading4"/>
      </w:pPr>
      <w:hyperlink r:id="rId7321">
        <w:r>
          <w:rPr>
            <w:color w:val="0000EE"/>
            <w:u w:val="single"/>
          </w:rPr>
          <w:t>1.1–12</w:t>
        </w:r>
      </w:hyperlink>
    </w:p>
    <w:p>
      <w:r/>
      <w:r>
        <w:t xml:space="preserve">Une invasion de sauterelles, plus dévastatrice que toutes celles que les générations passées avaient connues, était venue sur le pays (v. </w:t>
      </w:r>
      <w:hyperlink r:id="rId7322">
        <w:r>
          <w:rPr>
            <w:color w:val="0000EE"/>
            <w:u w:val="single"/>
          </w:rPr>
          <w:t>2–4</w:t>
        </w:r>
      </w:hyperlink>
      <w:r>
        <w:t xml:space="preserve">). Les buveurs étaient convoqués pour voir les vignes dévastées et les figuiers dépouillés (v. </w:t>
      </w:r>
      <w:hyperlink r:id="rId7323">
        <w:r>
          <w:rPr>
            <w:color w:val="0000EE"/>
            <w:u w:val="single"/>
          </w:rPr>
          <w:t>5–7</w:t>
        </w:r>
      </w:hyperlink>
      <w:r>
        <w:t xml:space="preserve">). Les gens étaient appelés à pleurer à la vue des champs dévastés, surtout les prêtres, car ils ne pourraient plus apporter d'offrandes de céréales et de boissons au Seigneur (v. </w:t>
      </w:r>
      <w:hyperlink r:id="rId7324">
        <w:r>
          <w:rPr>
            <w:color w:val="0000EE"/>
            <w:u w:val="single"/>
          </w:rPr>
          <w:t>8–10</w:t>
        </w:r>
      </w:hyperlink>
      <w:r>
        <w:t xml:space="preserve">). Les agriculteurs doivent pleurer la ruine de leur récolte, dans l'angoisse de la perte des fruits de la terre (v. </w:t>
      </w:r>
      <w:hyperlink r:id="rId7325">
        <w:r>
          <w:rPr>
            <w:color w:val="0000EE"/>
            <w:u w:val="single"/>
          </w:rPr>
          <w:t>11–12</w:t>
        </w:r>
      </w:hyperlink>
      <w:r>
        <w:t>).</w:t>
      </w:r>
    </w:p>
    <w:p>
      <w:pPr>
        <w:pStyle w:val="Heading4"/>
      </w:pPr>
      <w:hyperlink r:id="rId7326">
        <w:r>
          <w:rPr>
            <w:color w:val="0000EE"/>
            <w:u w:val="single"/>
          </w:rPr>
          <w:t>1.13–20</w:t>
        </w:r>
      </w:hyperlink>
    </w:p>
    <w:p>
      <w:r/>
      <w:r>
        <w:t xml:space="preserve">En raison de ce qui s'était passé, les gens étaient appelés à la prière et au jeûne ; les prêtres devaient se présenter devant le Seigneur vêtus de sac, déplorant le fait qu'aucune offrande ne puisse être apportée (v. </w:t>
      </w:r>
      <w:hyperlink r:id="rId7316">
        <w:r>
          <w:rPr>
            <w:color w:val="0000EE"/>
            <w:u w:val="single"/>
          </w:rPr>
          <w:t>13</w:t>
        </w:r>
      </w:hyperlink>
      <w:r>
        <w:t xml:space="preserve">). Les anciens et le peuple devaient venir au temple pour prier (v. </w:t>
      </w:r>
      <w:hyperlink r:id="rId7327">
        <w:r>
          <w:rPr>
            <w:color w:val="0000EE"/>
            <w:u w:val="single"/>
          </w:rPr>
          <w:t>14</w:t>
        </w:r>
      </w:hyperlink>
      <w:r>
        <w:t xml:space="preserve">). Une telle période de crise (récoltes perdues et brebis et bétail sans pâturage) devait être vue comme préfigurant le grand Jour à venir du Seigneur, pour lequel tout le monde devait se préparer (v. </w:t>
      </w:r>
      <w:hyperlink r:id="rId7328">
        <w:r>
          <w:rPr>
            <w:color w:val="0000EE"/>
            <w:u w:val="single"/>
          </w:rPr>
          <w:t>15–18</w:t>
        </w:r>
      </w:hyperlink>
      <w:r>
        <w:t xml:space="preserve">). Le prophète lui-même ne pouvait que crier à Dieu en voyant la dévastation du pays (v. </w:t>
      </w:r>
      <w:hyperlink r:id="rId7329">
        <w:r>
          <w:rPr>
            <w:color w:val="0000EE"/>
            <w:u w:val="single"/>
          </w:rPr>
          <w:t>19–20</w:t>
        </w:r>
      </w:hyperlink>
      <w:r>
        <w:t>).</w:t>
      </w:r>
    </w:p>
    <w:p>
      <w:pPr>
        <w:pStyle w:val="Heading4"/>
      </w:pPr>
      <w:hyperlink r:id="rId7330">
        <w:r>
          <w:rPr>
            <w:color w:val="0000EE"/>
            <w:u w:val="single"/>
          </w:rPr>
          <w:t>2.1–11</w:t>
        </w:r>
      </w:hyperlink>
    </w:p>
    <w:p>
      <w:r/>
      <w:r>
        <w:t xml:space="preserve">Dans cette section, le prophète évoque un temps où le jugement de Dieu menace toute la terre ; un temps pour sonner l'alarme, lorsqu'un grand et puissant « peuple » envahit la terre, un ennemi plus menaçant que tout ce qui avait été connu auparavant. De plus, c'est un avertissement de la venue du « Jour du Seigneur », « un jour de ténèbres et de tristesse » (v. </w:t>
      </w:r>
      <w:hyperlink r:id="rId7331">
        <w:r>
          <w:rPr>
            <w:color w:val="0000EE"/>
            <w:u w:val="single"/>
          </w:rPr>
          <w:t>1–2</w:t>
        </w:r>
      </w:hyperlink>
      <w:r>
        <w:t xml:space="preserve">). La terre est dévastée comme par le feu ; ce qui ressemblait au jardin d'Éden devient un désert (v. </w:t>
      </w:r>
      <w:hyperlink r:id="rId7332">
        <w:r>
          <w:rPr>
            <w:color w:val="0000EE"/>
            <w:u w:val="single"/>
          </w:rPr>
          <w:t>3</w:t>
        </w:r>
      </w:hyperlink>
      <w:r>
        <w:t xml:space="preserve">). Cette invasion est semblable à celle de la cavalerie et le bruit des insurgés ressemble au « grondement des chars ». Le monde entier se trouve dans l'angoisse du fait de leur avancée. Ils marchent comme des guerriers, passent à travers les armes, escaladent les murs de la ville et entrent dans les maisons comme des voleurs (v. </w:t>
      </w:r>
      <w:hyperlink r:id="rId7333">
        <w:r>
          <w:rPr>
            <w:color w:val="0000EE"/>
            <w:u w:val="single"/>
          </w:rPr>
          <w:t>4–9</w:t>
        </w:r>
      </w:hyperlink>
      <w:r>
        <w:t>).</w:t>
      </w:r>
    </w:p>
    <w:p>
      <w:r/>
      <w:r>
        <w:t xml:space="preserve">Certains ont interprété cette description comme une image des armées des nations ennemies d'Israël, utilisées par le Seigneur pour juger son propre peuple. Cependant, étant donné qu'elles sont décrites comme des chevaux en bataille, leur bruit comme « </w:t>
      </w:r>
      <w:r>
        <w:t>un bruit de chars</w:t>
      </w:r>
      <w:r>
        <w:t xml:space="preserve"> », leur avance « </w:t>
      </w:r>
      <w:r>
        <w:t>comme une armée puissante Qui se prépare au combat</w:t>
      </w:r>
      <w:r>
        <w:t xml:space="preserve"> », il semble que le fléau des sauterelles soit toujours à l'esprit. Cependant, le nuage sombre des sauterelles dans le ciel et leur effet terrible sur la terre préfigurent le grand jour où le Seigneur parlera et agira en jugement sur tous les peuples. Alors, le ciel et la terre trembleront ; le soleil, la lune et les étoiles seront obscurcis (v. </w:t>
      </w:r>
      <w:hyperlink r:id="rId7334">
        <w:r>
          <w:rPr>
            <w:color w:val="0000EE"/>
            <w:u w:val="single"/>
          </w:rPr>
          <w:t>10–11</w:t>
        </w:r>
      </w:hyperlink>
      <w:r>
        <w:t>).</w:t>
      </w:r>
    </w:p>
    <w:p>
      <w:pPr>
        <w:pStyle w:val="Heading4"/>
      </w:pPr>
      <w:hyperlink r:id="rId7335">
        <w:r>
          <w:rPr>
            <w:color w:val="0000EE"/>
            <w:u w:val="single"/>
          </w:rPr>
          <w:t>2.12–17</w:t>
        </w:r>
      </w:hyperlink>
    </w:p>
    <w:p>
      <w:r/>
      <w:r>
        <w:t xml:space="preserve">Le prophète exhorte à plusieurs reprises le peuple à revenir au Seigneur dans l'humilité et la pénitence afin que sa miséricorde et sa grâce puissent être trouvées. Ainsi, il sera possible de « </w:t>
      </w:r>
      <w:r>
        <w:t>lui apport[er] des offrandes de blé et de vin</w:t>
      </w:r>
      <w:r>
        <w:t xml:space="preserve"> » (v. </w:t>
      </w:r>
      <w:hyperlink r:id="rId7336">
        <w:r>
          <w:rPr>
            <w:color w:val="0000EE"/>
            <w:u w:val="single"/>
          </w:rPr>
          <w:t>14</w:t>
        </w:r>
      </w:hyperlink>
      <w:r>
        <w:t xml:space="preserve">, NFC). Un jeûne doit être décrété, une assemblée solennelle de jeunes et de vieux convoquée. Même les jeunes mariés doivent venir. Les prêtres doivent guider le peuple dans la prière à Dieu pour qu'il épargne son peuple (v. </w:t>
      </w:r>
      <w:hyperlink r:id="rId7337">
        <w:r>
          <w:rPr>
            <w:color w:val="0000EE"/>
            <w:u w:val="single"/>
          </w:rPr>
          <w:t>14–17</w:t>
        </w:r>
      </w:hyperlink>
      <w:r>
        <w:t>).</w:t>
      </w:r>
    </w:p>
    <w:p>
      <w:pPr>
        <w:pStyle w:val="Heading4"/>
      </w:pPr>
      <w:hyperlink r:id="rId7338">
        <w:r>
          <w:rPr>
            <w:color w:val="0000EE"/>
            <w:u w:val="single"/>
          </w:rPr>
          <w:t>2.18–27</w:t>
        </w:r>
      </w:hyperlink>
    </w:p>
    <w:p>
      <w:r/>
      <w:r>
        <w:t xml:space="preserve">Selon ce passage, il semble que le peuple se soit tourné vers Dieu comme le prophète l'exigeait ; en réponse, le Seigneur aura compassion d'eux et leur assurera le renouvellement de leur grain, de leur vin et de leur huile, ainsi que la suppression de leur opprobre (v. </w:t>
      </w:r>
      <w:hyperlink r:id="rId7339">
        <w:r>
          <w:rPr>
            <w:color w:val="0000EE"/>
            <w:u w:val="single"/>
          </w:rPr>
          <w:t>18–19</w:t>
        </w:r>
      </w:hyperlink>
      <w:r>
        <w:t xml:space="preserve">). L'« ennemi du nord » se retirerait, et Dieu restaurerait les pâturages du pays, ses arbres fruitiers et ses vignes (v. </w:t>
      </w:r>
      <w:hyperlink r:id="rId7340">
        <w:r>
          <w:rPr>
            <w:color w:val="0000EE"/>
            <w:u w:val="single"/>
          </w:rPr>
          <w:t>20–22</w:t>
        </w:r>
      </w:hyperlink>
      <w:r>
        <w:t xml:space="preserve">). Le peuple se réjouirait, et avec la bénédiction de </w:t>
      </w:r>
      <w:r>
        <w:t>la pluie de la première et de l’arrière-saison</w:t>
      </w:r>
      <w:r>
        <w:t xml:space="preserve">, la terre redeviendrait abondamment productive. Les pertes causées par l'invasion des sauterelles seraient réparées (v. </w:t>
      </w:r>
      <w:hyperlink r:id="rId7341">
        <w:r>
          <w:rPr>
            <w:color w:val="0000EE"/>
            <w:u w:val="single"/>
          </w:rPr>
          <w:t>23–25</w:t>
        </w:r>
      </w:hyperlink>
      <w:r>
        <w:t xml:space="preserve">). Les gens mangeraient à satiété et loueraient Dieu. Ils sauraient que le seul grand Dieu vivant était parmi eux, et ils ne seraient plus couverts de honte (v. </w:t>
      </w:r>
      <w:hyperlink r:id="rId7342">
        <w:r>
          <w:rPr>
            <w:color w:val="0000EE"/>
            <w:u w:val="single"/>
          </w:rPr>
          <w:t>26–27</w:t>
        </w:r>
      </w:hyperlink>
      <w:r>
        <w:t>).</w:t>
      </w:r>
    </w:p>
    <w:p>
      <w:pPr>
        <w:pStyle w:val="Heading4"/>
      </w:pPr>
      <w:hyperlink r:id="rId5626">
        <w:r>
          <w:rPr>
            <w:color w:val="0000EE"/>
            <w:u w:val="single"/>
          </w:rPr>
          <w:t>2.28–32</w:t>
        </w:r>
      </w:hyperlink>
    </w:p>
    <w:p>
      <w:r/>
      <w:r>
        <w:t xml:space="preserve">Le prophète a également vu que la bénédiction vécue dans ce renouveau après la peste des sauterelles préfigurait de plus grandes bénédictions à venir, tout comme le jugement vécu apportait l'avertissement du grand et terrible Jour du Seigneur à venir. Dieu ferait de plus grandes choses pour son peuple à l'avenir ; en particulier, il répandrait son Esprit sur les hommes et les femmes, jeunes et vieux, esclaves et libres (v. </w:t>
      </w:r>
      <w:hyperlink r:id="rId5548">
        <w:r>
          <w:rPr>
            <w:color w:val="0000EE"/>
            <w:u w:val="single"/>
          </w:rPr>
          <w:t>28–29</w:t>
        </w:r>
      </w:hyperlink>
      <w:r>
        <w:t xml:space="preserve">). Il y aurait des signes impressionnants dans le ciel et sur la terre (v. </w:t>
      </w:r>
      <w:hyperlink r:id="rId7343">
        <w:r>
          <w:rPr>
            <w:color w:val="0000EE"/>
            <w:u w:val="single"/>
          </w:rPr>
          <w:t>30–31</w:t>
        </w:r>
      </w:hyperlink>
      <w:r>
        <w:t xml:space="preserve">). Tous ceux qui invoqueraient le nom du Seigneur connaîtraient son salut (v. </w:t>
      </w:r>
      <w:hyperlink r:id="rId7344">
        <w:r>
          <w:rPr>
            <w:color w:val="0000EE"/>
            <w:u w:val="single"/>
          </w:rPr>
          <w:t>32</w:t>
        </w:r>
      </w:hyperlink>
      <w:r>
        <w:t>).</w:t>
      </w:r>
    </w:p>
    <w:p>
      <w:pPr>
        <w:pStyle w:val="Heading4"/>
      </w:pPr>
      <w:hyperlink r:id="rId7345">
        <w:r>
          <w:rPr>
            <w:color w:val="0000EE"/>
            <w:u w:val="single"/>
          </w:rPr>
          <w:t>3.1–15</w:t>
        </w:r>
      </w:hyperlink>
    </w:p>
    <w:p>
      <w:r/>
      <w:r>
        <w:t xml:space="preserve">Le sens du Jour du Seigneur pour Israël en tant que nation et sa signification pour toutes les nations doivent être saisis. Le peuple de Dieu trouverait la restauration en se tournant vers lui ; ceux qui les avaient dispersés, pris leur terre et vendus comme esclaves se trouveraient sujets à son jugement (v. </w:t>
      </w:r>
      <w:hyperlink r:id="rId7346">
        <w:r>
          <w:rPr>
            <w:color w:val="0000EE"/>
            <w:u w:val="single"/>
          </w:rPr>
          <w:t>1–3</w:t>
        </w:r>
      </w:hyperlink>
      <w:r>
        <w:t xml:space="preserve">). Tyr, Sidon et les Philistins en particulier devraient rendre compte de ce qu'ils avaient fait, prenant l'argent et l'or du Seigneur, retirant son peuple de leur terre et les vendant comme esclaves aux Grecs. Les fils et les filles de ces marchands d'esclaves seraient à leur tour vendus comme esclaves (v. </w:t>
      </w:r>
      <w:hyperlink r:id="rId4890">
        <w:r>
          <w:rPr>
            <w:color w:val="0000EE"/>
            <w:u w:val="single"/>
          </w:rPr>
          <w:t>4–8</w:t>
        </w:r>
      </w:hyperlink>
      <w:r>
        <w:t xml:space="preserve">). Ainsi, les nations doivent se préparer à la guerre (fondre leurs socs de charrue en épées et battre leurs serpes en lances) mais pas pour une bataille entre armées humaines. Ceux qui ont combattu contre le Dieu vivant doivent se confronter à lui en tant que guerrier puissant (v. </w:t>
      </w:r>
      <w:hyperlink r:id="rId7347">
        <w:r>
          <w:rPr>
            <w:color w:val="0000EE"/>
            <w:u w:val="single"/>
          </w:rPr>
          <w:t>9–11</w:t>
        </w:r>
      </w:hyperlink>
      <w:r>
        <w:t xml:space="preserve">). Ce guerrier puissant vient pour exécuter le jugement. La scène change d'un champ de bataille à un tribunal de justice ; de grandes foules se tiendront devant le Seigneur « dans la vallée du jugement » le Jour du Seigneur, qui est un jour de sombre terreur pour ceux qui se sont faits ennemis du Tout-Puissant (v. </w:t>
      </w:r>
      <w:hyperlink r:id="rId7348">
        <w:r>
          <w:rPr>
            <w:color w:val="0000EE"/>
            <w:u w:val="single"/>
          </w:rPr>
          <w:t>12–15</w:t>
        </w:r>
      </w:hyperlink>
      <w:r>
        <w:t>).</w:t>
      </w:r>
    </w:p>
    <w:p>
      <w:pPr>
        <w:pStyle w:val="Heading4"/>
      </w:pPr>
      <w:hyperlink r:id="rId7349">
        <w:r>
          <w:rPr>
            <w:color w:val="0000EE"/>
            <w:u w:val="single"/>
          </w:rPr>
          <w:t>3.16–21</w:t>
        </w:r>
      </w:hyperlink>
    </w:p>
    <w:p>
      <w:r/>
      <w:r>
        <w:t xml:space="preserve">Après que les hommes auront parlé et fait de leur mieux pour aller contre Dieu, ce dernier parlera et agira. Il se révélera être « un refuge » et un « abri » pour son peuple (v. </w:t>
      </w:r>
      <w:hyperlink r:id="rId7319">
        <w:r>
          <w:rPr>
            <w:color w:val="0000EE"/>
            <w:u w:val="single"/>
          </w:rPr>
          <w:t>16</w:t>
        </w:r>
      </w:hyperlink>
      <w:r>
        <w:t xml:space="preserve">). Leur ville sera alors préservée de l'invasion par des étrangers (v. </w:t>
      </w:r>
      <w:hyperlink r:id="rId7350">
        <w:r>
          <w:rPr>
            <w:color w:val="0000EE"/>
            <w:u w:val="single"/>
          </w:rPr>
          <w:t>17</w:t>
        </w:r>
      </w:hyperlink>
      <w:r>
        <w:t xml:space="preserve">). Leur terre sera merveilleusement productive (v. </w:t>
      </w:r>
      <w:hyperlink r:id="rId7351">
        <w:r>
          <w:rPr>
            <w:color w:val="0000EE"/>
            <w:u w:val="single"/>
          </w:rPr>
          <w:t>18</w:t>
        </w:r>
      </w:hyperlink>
      <w:r>
        <w:t xml:space="preserve">). À cause de ce que l'Égypte et Édom ont fait en violence à Juda, ils seront désolés (v. </w:t>
      </w:r>
      <w:hyperlink r:id="rId4511">
        <w:r>
          <w:rPr>
            <w:color w:val="0000EE"/>
            <w:u w:val="single"/>
          </w:rPr>
          <w:t>19</w:t>
        </w:r>
      </w:hyperlink>
      <w:r>
        <w:t xml:space="preserve">). Israël sera vengé et restauré, et il sera clair pour tous que la maison du Seigneur est à Jérusalem avec son peuple (v. </w:t>
      </w:r>
      <w:hyperlink r:id="rId7352">
        <w:r>
          <w:rPr>
            <w:color w:val="0000EE"/>
            <w:u w:val="single"/>
          </w:rPr>
          <w:t>20–21</w:t>
        </w:r>
      </w:hyperlink>
      <w:r>
        <w:t>).</w:t>
      </w:r>
    </w:p>
    <w:p>
      <w:r/>
      <w:r>
        <w:t xml:space="preserve">Cette manière de relater le contenu du livre repose sur l'idée que Joël a vécu une invasion de sauterelles à son époque et qu'il a perçu cela comme un avertissement d'un jugement divin plus grand à venir. Parallèlement, il a également évoqué une restauration et une bénédiction plus grandes lorsque le peuple se tournait vers Dieu dans la prière et le jeûne. D'autres voient les ennemis tout au long du livre comme des ennemis humains (ou tout du moins dans le chapitre </w:t>
      </w:r>
      <w:hyperlink r:id="rId7353">
        <w:r>
          <w:rPr>
            <w:color w:val="0000EE"/>
            <w:u w:val="single"/>
          </w:rPr>
          <w:t>2</w:t>
        </w:r>
      </w:hyperlink>
      <w:r>
        <w:t>). Certains voient l'ensemble du livre comme une annonce prophétique de batailles à venir, et en particulier d'une bataille finale du Seigneur contre ceux qui se sont faits ses ennemis. Certains pensent à deux prophètes, ou à deux parties du livre écrites à des moments différents. Cependant, la vision du livre mentionnée ci-dessus semble souffrir de la plus petite quantité de difficultés dans l'interprétation et donne un bon sens et une signification à l'ensemble.</w:t>
      </w:r>
    </w:p>
    <w:p>
      <w:pPr>
        <w:pStyle w:val="Heading3"/>
      </w:pPr>
      <w:r>
        <w:t>Message</w:t>
      </w:r>
    </w:p>
    <w:p>
      <w:r/>
      <w:r>
        <w:t xml:space="preserve">Que peut-on dire, pour conclure, de la signification du message de Joël au-delà de son temps ? Son message, comme celui de la plupart des prophètes de l'Ancien Testament, était un message de miséricorde et de jugement. Une catastrophe telle qu'une invasion de sauterelles était un avertissement du jugement de Dieu sur tous les hommes et les nations, dans l'histoire et finalement au grand Jour du Seigneur à la consommation de l'Histoire, lorsque tous seront rassemblés devant lui. Le message de Joël, avec son appel à la repentance découlant des événements de son temps, peut être mis en parallèle avec les paroles de Jésus lui-même lorsqu'on lui a posé une question concernant ceux qui avaient souffert dans les événements catastrophiques de son temps. Lorsqu'on lui a demandé s'ils étaient de plus grands pécheurs que les autres, il a répondu par la négative, mais avec l'avertissement : « </w:t>
      </w:r>
      <w:r>
        <w:t>mais si vous ne vous convertissez pas, vous périrez tous de la même manière</w:t>
      </w:r>
      <w:r>
        <w:t xml:space="preserve"> » (</w:t>
      </w:r>
      <w:hyperlink r:id="rId7354">
        <w:r>
          <w:rPr>
            <w:color w:val="0000EE"/>
            <w:u w:val="single"/>
          </w:rPr>
          <w:t>Lc 13.5</w:t>
        </w:r>
      </w:hyperlink>
      <w:r>
        <w:t>, TOB2010). La parole de Dieu à travers Joël appelait les gens à revenir à lui pour trouver en lui miséricorde ; puis à l'assurance de la miséricorde s'ajoutait l'espérance des plus grandes choses que Dieu ferait dans sa bonté. Il répandrait son Esprit librement sur tous. Ces paroles de promesse (</w:t>
      </w:r>
      <w:hyperlink r:id="rId3750">
        <w:r>
          <w:rPr>
            <w:color w:val="0000EE"/>
            <w:u w:val="single"/>
          </w:rPr>
          <w:t>Jl 2.28</w:t>
        </w:r>
      </w:hyperlink>
      <w:r>
        <w:t>) ont été rendues plus significatives que toutes les autres dans le livre de Joël par leur citation dans le Nouveau Testament dans la prédication de Pierre le jour de la Pentecôte (</w:t>
      </w:r>
      <w:hyperlink r:id="rId7355">
        <w:r>
          <w:rPr>
            <w:color w:val="0000EE"/>
            <w:u w:val="single"/>
          </w:rPr>
          <w:t>Ac 2.16–21</w:t>
        </w:r>
      </w:hyperlink>
      <w:r>
        <w:t>). Elles restent vraies pour l'Église chrétienne depuis le début de leur accomplissement, et avec elles se tient la grande assurance de Joël que Dieu fait sa demeure au milieu de son peuple et que ceux qui se tournent vers lui ne seront jamais honteux.</w:t>
      </w:r>
    </w:p>
    <w:p>
      <w:r/>
      <w:r>
        <w:rPr>
          <w:i/>
        </w:rPr>
        <w:t>Voir aussi</w:t>
      </w:r>
      <w:r>
        <w:t xml:space="preserve"> </w:t>
      </w:r>
      <w:r>
        <w:t>Israël, Histoire d'</w:t>
      </w:r>
      <w:r>
        <w:t xml:space="preserve"> ; </w:t>
      </w:r>
      <w:r>
        <w:t>Prophétie</w:t>
      </w:r>
      <w:r>
        <w:t xml:space="preserve"> ; </w:t>
      </w:r>
      <w:r>
        <w:t>Prophète, prophétesse</w:t>
      </w:r>
      <w:r>
        <w:t>.</w:t>
      </w:r>
      <w:r/>
      <w:r/>
    </w:p>
    <w:p>
      <w:r/>
    </w:p>
    <w:p>
      <w:pPr>
        <w:pStyle w:val="Heading2"/>
      </w:pPr>
      <w:r>
        <w:t>Joie</w:t>
      </w:r>
      <w:r/>
    </w:p>
    <w:p>
      <w:r/>
      <w:r>
        <w:t>Condition humaine positive qui peut être soit un sentiment, soit une action. La Bible utilise le terme « joie » dans les deux sens.</w:t>
      </w:r>
    </w:p>
    <w:p>
      <w:pPr>
        <w:pStyle w:val="Heading3"/>
      </w:pPr>
      <w:r>
        <w:t>La Joie en tant que sentiment</w:t>
      </w:r>
    </w:p>
    <w:p>
      <w:r/>
      <w:r>
        <w:t>La joie est un sentiment provoqué par le bien-être, le succès ou la bonne fortune. Une personne l'éprouve automatiquement en raison de certaines circonstances favorables. Elle ne peut pas être commandée.</w:t>
      </w:r>
    </w:p>
    <w:p>
      <w:pPr>
        <w:pStyle w:val="ListBullet"/>
        <w:spacing w:line="240" w:lineRule="auto"/>
        <w:ind w:left="720"/>
      </w:pPr>
      <w:r/>
      <w:r>
        <w:t>Le berger a ressenti une joie intense lorsqu'il a retrouvé sa brebis perdue (</w:t>
      </w:r>
      <w:hyperlink r:id="rId7356">
        <w:r>
          <w:rPr>
            <w:color w:val="0000EE"/>
            <w:u w:val="single"/>
          </w:rPr>
          <w:t>Mt 18.13</w:t>
        </w:r>
      </w:hyperlink>
      <w:r>
        <w:t>).</w:t>
      </w:r>
    </w:p>
    <w:p>
      <w:pPr>
        <w:pStyle w:val="ListBullet"/>
        <w:spacing w:line="240" w:lineRule="auto"/>
        <w:ind w:left="720"/>
      </w:pPr>
      <w:r/>
      <w:r>
        <w:t>La foule l'a ressenti lorsque Jésus a guéri une femme juive qui était liée par Satan depuis dix-huit ans (</w:t>
      </w:r>
      <w:hyperlink r:id="rId7357">
        <w:r>
          <w:rPr>
            <w:color w:val="0000EE"/>
            <w:u w:val="single"/>
          </w:rPr>
          <w:t>Lc 13.17</w:t>
        </w:r>
      </w:hyperlink>
      <w:r>
        <w:t>).</w:t>
      </w:r>
    </w:p>
    <w:p>
      <w:pPr>
        <w:pStyle w:val="ListBullet"/>
        <w:spacing w:line="240" w:lineRule="auto"/>
        <w:ind w:left="720"/>
      </w:pPr>
      <w:r/>
      <w:r>
        <w:t>Les disciples sont retournés à Jérusalem en se réjouissant après l'ascension de Jésus (retour au ciel) (</w:t>
      </w:r>
      <w:hyperlink r:id="rId7358">
        <w:r>
          <w:rPr>
            <w:color w:val="0000EE"/>
            <w:u w:val="single"/>
          </w:rPr>
          <w:t>Lc 24.52</w:t>
        </w:r>
      </w:hyperlink>
      <w:r>
        <w:t>)</w:t>
      </w:r>
    </w:p>
    <w:p>
      <w:pPr>
        <w:pStyle w:val="ListBullet"/>
        <w:spacing w:line="240" w:lineRule="auto"/>
        <w:ind w:left="720"/>
      </w:pPr>
      <w:r/>
      <w:r>
        <w:t>L'église d'Antioche a ressenti de la joie lorsque ses membres ont entendu la décision du Concile de Jérusalem selon laquelle ils n'avaient pas besoin d'être circoncis pour respecter la loi de Dieu (</w:t>
      </w:r>
      <w:hyperlink r:id="rId5207">
        <w:r>
          <w:rPr>
            <w:color w:val="0000EE"/>
            <w:u w:val="single"/>
          </w:rPr>
          <w:t>Ac 15.31</w:t>
        </w:r>
      </w:hyperlink>
      <w:r>
        <w:t>).</w:t>
      </w:r>
    </w:p>
    <w:p>
      <w:pPr>
        <w:pStyle w:val="ListBullet"/>
        <w:spacing w:line="240" w:lineRule="auto"/>
        <w:ind w:left="720"/>
      </w:pPr>
      <w:r/>
      <w:r>
        <w:t>Paul a mentionné sa joie d'entendre parler de l'obéissance des chrétiens romains (</w:t>
      </w:r>
      <w:hyperlink r:id="rId7359">
        <w:r>
          <w:rPr>
            <w:color w:val="0000EE"/>
            <w:u w:val="single"/>
          </w:rPr>
          <w:t>Rm 16.19</w:t>
        </w:r>
      </w:hyperlink>
      <w:r>
        <w:t>).</w:t>
      </w:r>
    </w:p>
    <w:p>
      <w:pPr>
        <w:pStyle w:val="ListBullet"/>
        <w:spacing w:line="240" w:lineRule="auto"/>
        <w:ind w:left="720"/>
      </w:pPr>
      <w:r/>
      <w:r>
        <w:t>Paul a écrit aux Corinthiens que l'amour ne se réjouit pas de l'injustice mais se réjouit de la vérité (</w:t>
      </w:r>
      <w:hyperlink r:id="rId7360">
        <w:r>
          <w:rPr>
            <w:color w:val="0000EE"/>
            <w:u w:val="single"/>
          </w:rPr>
          <w:t>1Co 13.6</w:t>
        </w:r>
      </w:hyperlink>
      <w:r>
        <w:t xml:space="preserve"> ; voir aussi </w:t>
      </w:r>
      <w:hyperlink r:id="rId7361">
        <w:r>
          <w:rPr>
            <w:color w:val="0000EE"/>
            <w:u w:val="single"/>
          </w:rPr>
          <w:t>1S 2.1</w:t>
        </w:r>
      </w:hyperlink>
      <w:r>
        <w:t xml:space="preserve"> ; </w:t>
      </w:r>
      <w:hyperlink r:id="rId7362">
        <w:r>
          <w:rPr>
            <w:color w:val="0000EE"/>
            <w:u w:val="single"/>
          </w:rPr>
          <w:t>11.9</w:t>
        </w:r>
      </w:hyperlink>
      <w:r>
        <w:t xml:space="preserve"> ; </w:t>
      </w:r>
      <w:hyperlink r:id="rId6803">
        <w:r>
          <w:rPr>
            <w:color w:val="0000EE"/>
            <w:u w:val="single"/>
          </w:rPr>
          <w:t>18.6</w:t>
        </w:r>
      </w:hyperlink>
      <w:r>
        <w:t xml:space="preserve"> ; </w:t>
      </w:r>
      <w:hyperlink r:id="rId7363">
        <w:r>
          <w:rPr>
            <w:color w:val="0000EE"/>
            <w:u w:val="single"/>
          </w:rPr>
          <w:t>2S 6.12</w:t>
        </w:r>
      </w:hyperlink>
      <w:r>
        <w:t xml:space="preserve"> ; </w:t>
      </w:r>
      <w:hyperlink r:id="rId7364">
        <w:r>
          <w:rPr>
            <w:color w:val="0000EE"/>
            <w:u w:val="single"/>
          </w:rPr>
          <w:t>1R 1.40</w:t>
        </w:r>
      </w:hyperlink>
      <w:r>
        <w:t xml:space="preserve"> ; </w:t>
      </w:r>
      <w:hyperlink r:id="rId7365">
        <w:r>
          <w:rPr>
            <w:color w:val="0000EE"/>
            <w:u w:val="single"/>
          </w:rPr>
          <w:t>Est 9.17–22</w:t>
        </w:r>
      </w:hyperlink>
      <w:r>
        <w:t>).</w:t>
      </w:r>
    </w:p>
    <w:p>
      <w:r/>
      <w:hyperlink r:id="rId7366">
        <w:r>
          <w:rPr>
            <w:color w:val="0000EE"/>
            <w:u w:val="single"/>
          </w:rPr>
          <w:t>Psaumes 137.1–6</w:t>
        </w:r>
      </w:hyperlink>
      <w:r>
        <w:t xml:space="preserve"> montre que l'émotion ne peut pas être commandée. Les captifs du peuple juif voulaient qu'ils chantent dans le pays de leur exil, ce qu'ils étaient incapables de faire, car Jérusalem était la source de leur joie.</w:t>
      </w:r>
    </w:p>
    <w:p>
      <w:pPr>
        <w:pStyle w:val="Heading3"/>
      </w:pPr>
      <w:r>
        <w:t>La Joie en tant qu'action</w:t>
      </w:r>
    </w:p>
    <w:p>
      <w:r/>
      <w:r>
        <w:t xml:space="preserve">Il y a cependant une joie que l'Écriture commande. Cette joie est une action qui peut être entreprise indépendamment des sentiments de la personne. </w:t>
      </w:r>
      <w:hyperlink r:id="rId7367">
        <w:r>
          <w:rPr>
            <w:color w:val="0000EE"/>
            <w:u w:val="single"/>
          </w:rPr>
          <w:t>Proverbes 5.18</w:t>
        </w:r>
      </w:hyperlink>
      <w:r>
        <w:t xml:space="preserve"> exhorte le lecteur à se réjouir de la femme de sa jeunesse, sans référence à ce qu'elle peut être. Christ a instruit ses disciples de se réjouir dans la persécution (</w:t>
      </w:r>
      <w:hyperlink r:id="rId7368">
        <w:r>
          <w:rPr>
            <w:color w:val="0000EE"/>
            <w:u w:val="single"/>
          </w:rPr>
          <w:t>Mt 5.11–12</w:t>
        </w:r>
      </w:hyperlink>
      <w:r>
        <w:t>). L'apôtre Paul a ordonné une joie constante (</w:t>
      </w:r>
      <w:hyperlink r:id="rId7369">
        <w:r>
          <w:rPr>
            <w:color w:val="0000EE"/>
            <w:u w:val="single"/>
          </w:rPr>
          <w:t>Ph 4.4</w:t>
        </w:r>
      </w:hyperlink>
      <w:r>
        <w:t xml:space="preserve"> ; </w:t>
      </w:r>
      <w:hyperlink r:id="rId7370">
        <w:r>
          <w:rPr>
            <w:color w:val="0000EE"/>
            <w:u w:val="single"/>
          </w:rPr>
          <w:t>1Th 5.16</w:t>
        </w:r>
      </w:hyperlink>
      <w:r>
        <w:t>). Jacques a dit que les chrétiens devraient voir dans les épreuves une source de joie parce que ces épreuves développent l'endurance (</w:t>
      </w:r>
      <w:hyperlink r:id="rId7002">
        <w:r>
          <w:rPr>
            <w:color w:val="0000EE"/>
            <w:u w:val="single"/>
          </w:rPr>
          <w:t>Jc 1.2</w:t>
        </w:r>
      </w:hyperlink>
      <w:r>
        <w:t>). La joie lors de temps difficiles n'est possible que parce qu'elle est un fruit du Saint-Esprit, qui est présent en chaque chrétien (</w:t>
      </w:r>
      <w:hyperlink r:id="rId7371">
        <w:r>
          <w:rPr>
            <w:color w:val="0000EE"/>
            <w:u w:val="single"/>
          </w:rPr>
          <w:t>Ga 5.22</w:t>
        </w:r>
      </w:hyperlink>
      <w:r>
        <w:t>).</w:t>
      </w:r>
    </w:p>
    <w:p>
      <w:r/>
      <w:r>
        <w:rPr>
          <w:i/>
        </w:rPr>
        <w:t>Voir aussi</w:t>
      </w:r>
      <w:r>
        <w:t xml:space="preserve"> </w:t>
      </w:r>
      <w:r>
        <w:t>Fruit de l'Esprit</w:t>
      </w:r>
      <w:r>
        <w:t>.</w:t>
      </w:r>
      <w:r/>
      <w:r/>
    </w:p>
    <w:p>
      <w:r/>
    </w:p>
    <w:p>
      <w:pPr>
        <w:pStyle w:val="Heading2"/>
      </w:pPr>
      <w:r>
        <w:t>Jojakin</w:t>
      </w:r>
      <w:r/>
    </w:p>
    <w:p>
      <w:r/>
      <w:r>
        <w:t xml:space="preserve">Roi de Juda pendant une très courte période, régnant de 598 à 597 av. J.‑C. Il était le fils de Jojakim et de Nehuschtha, qui était la fille d'Elnathan de Jérusalem (possiblement le même Elnathan mentionné par le prophète Jérémie, voir </w:t>
      </w:r>
      <w:hyperlink r:id="rId114">
        <w:r>
          <w:rPr>
            <w:color w:val="0000EE"/>
            <w:u w:val="single"/>
          </w:rPr>
          <w:t>Jr 26.22</w:t>
        </w:r>
      </w:hyperlink>
      <w:r>
        <w:t xml:space="preserve"> ; </w:t>
      </w:r>
      <w:hyperlink r:id="rId115">
        <w:r>
          <w:rPr>
            <w:color w:val="0000EE"/>
            <w:u w:val="single"/>
          </w:rPr>
          <w:t>36.12, 2</w:t>
        </w:r>
      </w:hyperlink>
      <w:r>
        <w:t>). Le nom Jojakin signifie « Yahweh soutiendra ». Il est également connu sous d'autres noms comme :</w:t>
      </w:r>
    </w:p>
    <w:p>
      <w:pPr>
        <w:pStyle w:val="ListBullet"/>
        <w:spacing w:line="240" w:lineRule="auto"/>
        <w:ind w:left="720"/>
      </w:pPr>
      <w:r/>
      <w:r>
        <w:t>Jeconia</w:t>
      </w:r>
      <w:r>
        <w:t xml:space="preserve"> (</w:t>
      </w:r>
      <w:hyperlink r:id="rId7372">
        <w:r>
          <w:rPr>
            <w:color w:val="0000EE"/>
            <w:u w:val="single"/>
          </w:rPr>
          <w:t>Jr 22.24, 28</w:t>
        </w:r>
      </w:hyperlink>
      <w:r>
        <w:t xml:space="preserve"> ; </w:t>
      </w:r>
      <w:hyperlink r:id="rId5758">
        <w:r>
          <w:rPr>
            <w:color w:val="0000EE"/>
            <w:u w:val="single"/>
          </w:rPr>
          <w:t>24.1</w:t>
        </w:r>
      </w:hyperlink>
      <w:r>
        <w:t xml:space="preserve"> ; </w:t>
      </w:r>
      <w:hyperlink r:id="rId7373">
        <w:r>
          <w:rPr>
            <w:color w:val="0000EE"/>
            <w:u w:val="single"/>
          </w:rPr>
          <w:t>27.20</w:t>
        </w:r>
      </w:hyperlink>
      <w:r>
        <w:t xml:space="preserve"> ; </w:t>
      </w:r>
      <w:hyperlink r:id="rId7374">
        <w:r>
          <w:rPr>
            <w:color w:val="0000EE"/>
            <w:u w:val="single"/>
          </w:rPr>
          <w:t>28.4</w:t>
        </w:r>
      </w:hyperlink>
      <w:r>
        <w:t xml:space="preserve"> ; </w:t>
      </w:r>
      <w:hyperlink r:id="rId5759">
        <w:r>
          <w:rPr>
            <w:color w:val="0000EE"/>
            <w:u w:val="single"/>
          </w:rPr>
          <w:t>29.2</w:t>
        </w:r>
      </w:hyperlink>
      <w:r>
        <w:t xml:space="preserve"> ; </w:t>
      </w:r>
      <w:hyperlink r:id="rId7375">
        <w:r>
          <w:rPr>
            <w:color w:val="0000EE"/>
            <w:u w:val="single"/>
          </w:rPr>
          <w:t>37.1</w:t>
        </w:r>
      </w:hyperlink>
      <w:r>
        <w:t xml:space="preserve"> ; </w:t>
      </w:r>
      <w:hyperlink r:id="rId7376">
        <w:r>
          <w:rPr>
            <w:color w:val="0000EE"/>
            <w:u w:val="single"/>
          </w:rPr>
          <w:t>Est 2.6</w:t>
        </w:r>
      </w:hyperlink>
      <w:r>
        <w:t>)</w:t>
      </w:r>
    </w:p>
    <w:p>
      <w:pPr>
        <w:pStyle w:val="ListBullet"/>
        <w:spacing w:line="240" w:lineRule="auto"/>
        <w:ind w:left="720"/>
      </w:pPr>
      <w:r/>
      <w:r>
        <w:t>Jéconias (</w:t>
      </w:r>
      <w:hyperlink r:id="rId7377">
        <w:r>
          <w:rPr>
            <w:color w:val="0000EE"/>
            <w:u w:val="single"/>
          </w:rPr>
          <w:t>1Ch 3.16–17</w:t>
        </w:r>
      </w:hyperlink>
      <w:r>
        <w:t>)</w:t>
      </w:r>
    </w:p>
    <w:p>
      <w:pPr>
        <w:pStyle w:val="ListBullet"/>
        <w:spacing w:line="240" w:lineRule="auto"/>
        <w:ind w:left="720"/>
      </w:pPr>
      <w:r/>
      <w:r>
        <w:t>Jéchonias (</w:t>
      </w:r>
      <w:hyperlink r:id="rId7378">
        <w:r>
          <w:rPr>
            <w:color w:val="0000EE"/>
            <w:u w:val="single"/>
          </w:rPr>
          <w:t>Mt 1.11–12</w:t>
        </w:r>
      </w:hyperlink>
      <w:r>
        <w:t>).</w:t>
      </w:r>
    </w:p>
    <w:p>
      <w:r/>
      <w:r>
        <w:t>Jojakin avait dix-huit ans lorsqu'il devient roi après la mort de son père, mais il régnera seulement trois mois et dix jours à Jérusalem (</w:t>
      </w:r>
      <w:hyperlink r:id="rId7379">
        <w:r>
          <w:rPr>
            <w:color w:val="0000EE"/>
            <w:u w:val="single"/>
          </w:rPr>
          <w:t>2R 24.8</w:t>
        </w:r>
      </w:hyperlink>
      <w:r>
        <w:t xml:space="preserve"> ; voir </w:t>
      </w:r>
      <w:hyperlink r:id="rId7380">
        <w:r>
          <w:rPr>
            <w:color w:val="0000EE"/>
            <w:u w:val="single"/>
          </w:rPr>
          <w:t>2Ch 36.9</w:t>
        </w:r>
      </w:hyperlink>
      <w:r>
        <w:t>). À cette époque, Juda était sous le contrôle de Babylone, mais se rebellait contre elle. Lorsque le roi babylonien Nebucadnetsar attaque Jérusalem, Jojakin devra se rendre car les chances étaient contre lui de façon écrasante. Selon la Chronique babylonienne, qui est basée sur les archives officielles des rois babyloniens, Nebucadnetsar entrera dans la région en décembre 598 av. J.‑C. et capturera Jérusalem le 16 mars 597 av. J.‑C. Les Babyloniens ont vidé les trésors du palais et du temple et ont emmené de nombreux prisonniers à Babylone :</w:t>
      </w:r>
    </w:p>
    <w:p>
      <w:pPr>
        <w:pStyle w:val="ListBullet"/>
        <w:spacing w:line="240" w:lineRule="auto"/>
        <w:ind w:left="720"/>
      </w:pPr>
      <w:r/>
      <w:r>
        <w:t>Jojakin</w:t>
      </w:r>
    </w:p>
    <w:p>
      <w:pPr>
        <w:pStyle w:val="ListBullet"/>
        <w:spacing w:line="240" w:lineRule="auto"/>
        <w:ind w:left="720"/>
      </w:pPr>
      <w:r/>
      <w:r>
        <w:t>Sa famille</w:t>
      </w:r>
    </w:p>
    <w:p>
      <w:pPr>
        <w:pStyle w:val="ListBullet"/>
        <w:spacing w:line="240" w:lineRule="auto"/>
        <w:ind w:left="720"/>
      </w:pPr>
      <w:r/>
      <w:r>
        <w:t>Des chefs militaires</w:t>
      </w:r>
    </w:p>
    <w:p>
      <w:pPr>
        <w:pStyle w:val="ListBullet"/>
        <w:spacing w:line="240" w:lineRule="auto"/>
        <w:ind w:left="720"/>
      </w:pPr>
      <w:r/>
      <w:r>
        <w:t>Des fonctionnaires royaux</w:t>
      </w:r>
    </w:p>
    <w:p>
      <w:pPr>
        <w:pStyle w:val="ListBullet"/>
        <w:spacing w:line="240" w:lineRule="auto"/>
        <w:ind w:left="720"/>
      </w:pPr>
      <w:r/>
      <w:r>
        <w:t>Des ouvriers qualifiés</w:t>
      </w:r>
    </w:p>
    <w:p>
      <w:r/>
      <w:r>
        <w:t>Avant de retourner à Babylone, Nebucadnetsar placera l'oncle de Jojakin, Matthania (renommé Sédécias), sur le trône à Jérusalem (</w:t>
      </w:r>
      <w:hyperlink r:id="rId7381">
        <w:r>
          <w:rPr>
            <w:color w:val="0000EE"/>
            <w:u w:val="single"/>
          </w:rPr>
          <w:t>2R 24.12–17</w:t>
        </w:r>
      </w:hyperlink>
      <w:r>
        <w:t xml:space="preserve"> ; voir </w:t>
      </w:r>
      <w:hyperlink r:id="rId3917">
        <w:r>
          <w:rPr>
            <w:color w:val="0000EE"/>
            <w:u w:val="single"/>
          </w:rPr>
          <w:t>2Ch 36.10</w:t>
        </w:r>
      </w:hyperlink>
      <w:r>
        <w:t>).</w:t>
      </w:r>
    </w:p>
    <w:p>
      <w:r/>
      <w:r>
        <w:t>Le prophète Jérémie observera que, malgré l'invasion traumatisante par Babylone et le chaos politique, le peuple de Juda ne connaîtra pas beaucoup de changement spirituel (</w:t>
      </w:r>
      <w:hyperlink r:id="rId7382">
        <w:r>
          <w:rPr>
            <w:color w:val="0000EE"/>
            <w:u w:val="single"/>
          </w:rPr>
          <w:t>Jr 37–38</w:t>
        </w:r>
      </w:hyperlink>
      <w:r>
        <w:t>). Jérémie prédira également que Jojakin ira en exil et qu'aucun de ses descendants ne lui succéderait en tant que roi (</w:t>
      </w:r>
      <w:hyperlink r:id="rId7383">
        <w:r>
          <w:rPr>
            <w:color w:val="0000EE"/>
            <w:u w:val="single"/>
          </w:rPr>
          <w:t>Jr 22.24–30</w:t>
        </w:r>
      </w:hyperlink>
      <w:r>
        <w:t>). En revanche, un faux prophète nommé Hanania prédira que Jojakin serait rétabli sur le trône dans les deux ans (</w:t>
      </w:r>
      <w:hyperlink r:id="rId7384">
        <w:r>
          <w:rPr>
            <w:color w:val="0000EE"/>
            <w:u w:val="single"/>
          </w:rPr>
          <w:t>Jr 28.3–4, 11</w:t>
        </w:r>
      </w:hyperlink>
      <w:r>
        <w:t xml:space="preserve"> ; voir v. </w:t>
      </w:r>
      <w:hyperlink r:id="rId7385">
        <w:r>
          <w:rPr>
            <w:color w:val="0000EE"/>
            <w:u w:val="single"/>
          </w:rPr>
          <w:t>12–17</w:t>
        </w:r>
      </w:hyperlink>
      <w:r>
        <w:t>).</w:t>
      </w:r>
    </w:p>
    <w:p>
      <w:r/>
      <w:r>
        <w:t>Jojakin restera le roi légitime de Juda, ce qui se reflète dans le fait que le prophète Ézéchiel datait ses messages selon les années d'exil de Jojakin, et non le règne de Sédécias (</w:t>
      </w:r>
      <w:hyperlink r:id="rId7386">
        <w:r>
          <w:rPr>
            <w:color w:val="0000EE"/>
            <w:u w:val="single"/>
          </w:rPr>
          <w:t>Ez 1.2</w:t>
        </w:r>
      </w:hyperlink>
      <w:r>
        <w:t xml:space="preserve"> ; </w:t>
      </w:r>
      <w:hyperlink r:id="rId4537">
        <w:r>
          <w:rPr>
            <w:color w:val="0000EE"/>
            <w:u w:val="single"/>
          </w:rPr>
          <w:t>8.1</w:t>
        </w:r>
      </w:hyperlink>
      <w:r>
        <w:t xml:space="preserve"> ; </w:t>
      </w:r>
      <w:hyperlink r:id="rId7387">
        <w:r>
          <w:rPr>
            <w:color w:val="0000EE"/>
            <w:u w:val="single"/>
          </w:rPr>
          <w:t>20.1</w:t>
        </w:r>
      </w:hyperlink>
      <w:r>
        <w:t>). Les archives babyloniennes reconnaissent également la position royale de Jojakin. Ces archives montrent qu'il conservera son titre de roi et recevra un traitement favorable de la part des Babyloniens. Une tablette cunéiforme mentionne même « Yaukin, roi du pays de Yahuda », avec ses cinq fils, recevant des rations d'huile et d'orge. Cela suggère qu'ils n'étaient pas emprisonnés mais vivaient des vies relativement normales à Babylone. Cependant, à un certain moment, Jojakin sera bien emprisonné. Il sera ensuite libéré pendant le règne d'Évil-Merodac vers 562 av. J.‑C. et aura le privilège de dîner avec le roi babylonien (</w:t>
      </w:r>
      <w:hyperlink r:id="rId7388">
        <w:r>
          <w:rPr>
            <w:color w:val="0000EE"/>
            <w:u w:val="single"/>
          </w:rPr>
          <w:t>2R 25.27–30</w:t>
        </w:r>
      </w:hyperlink>
      <w:r>
        <w:t xml:space="preserve"> ; </w:t>
      </w:r>
      <w:hyperlink r:id="rId7389">
        <w:r>
          <w:rPr>
            <w:color w:val="0000EE"/>
            <w:u w:val="single"/>
          </w:rPr>
          <w:t>Jr 52.31–34</w:t>
        </w:r>
      </w:hyperlink>
      <w:r>
        <w:t>). Il n'est pas clair si son emprisonnement était dû à une tentative d'évasion ou à cause de la rébellion de Juda contre Babylone sous Sédécias.</w:t>
      </w:r>
    </w:p>
    <w:p>
      <w:r/>
      <w:r>
        <w:t>Le nom de Jojakin apparaît dans la généalogie de Jésus-Christ dans l'Évangile de Matthieu (</w:t>
      </w:r>
      <w:hyperlink r:id="rId7378">
        <w:r>
          <w:rPr>
            <w:color w:val="0000EE"/>
            <w:u w:val="single"/>
          </w:rPr>
          <w:t>Mt 1.11–12</w:t>
        </w:r>
      </w:hyperlink>
      <w:r>
        <w:t>). Certaines personnes croient que cela contredit la prophétie de Jérémie selon laquelle aucun des descendants de Jojakin ne s'assiérait sur le trône (</w:t>
      </w:r>
      <w:hyperlink r:id="rId5946">
        <w:r>
          <w:rPr>
            <w:color w:val="0000EE"/>
            <w:u w:val="single"/>
          </w:rPr>
          <w:t>Jr 22.30</w:t>
        </w:r>
      </w:hyperlink>
      <w:r>
        <w:t>). Cependant, d'autres suggèrent que la bénédiction de Zorobabel (un descendant de Jojakin) par le prophète Aggée (</w:t>
      </w:r>
      <w:hyperlink r:id="rId7390">
        <w:r>
          <w:rPr>
            <w:color w:val="0000EE"/>
            <w:u w:val="single"/>
          </w:rPr>
          <w:t>Ag 2.20–23</w:t>
        </w:r>
      </w:hyperlink>
      <w:r>
        <w:t xml:space="preserve">) a inversé la malédiction de Jérémie et a réintroduit la lignée de Jojakin dans la lignée davidique et finalement messianique (voir </w:t>
      </w:r>
      <w:hyperlink r:id="rId5141">
        <w:r>
          <w:rPr>
            <w:color w:val="0000EE"/>
            <w:u w:val="single"/>
          </w:rPr>
          <w:t>Es 56.3–5</w:t>
        </w:r>
      </w:hyperlink>
      <w:r>
        <w:t>).</w:t>
      </w:r>
    </w:p>
    <w:p>
      <w:r/>
      <w:r>
        <w:rPr>
          <w:i/>
        </w:rPr>
        <w:t>Voir aussi</w:t>
      </w:r>
      <w:r>
        <w:t xml:space="preserve"> </w:t>
      </w:r>
      <w:r>
        <w:t>Chronologie de la Bible (Ancien Testament)</w:t>
      </w:r>
      <w:r>
        <w:t xml:space="preserve"> ; </w:t>
      </w:r>
      <w:r>
        <w:t>Diaspora des Juifs</w:t>
      </w:r>
      <w:r>
        <w:t xml:space="preserve"> ; </w:t>
      </w:r>
      <w:r>
        <w:t>Israël, Histoire d'</w:t>
      </w:r>
      <w:r>
        <w:t>.</w:t>
      </w:r>
      <w:r/>
      <w:r/>
    </w:p>
    <w:p>
      <w:r/>
    </w:p>
    <w:p>
      <w:pPr>
        <w:pStyle w:val="Heading2"/>
      </w:pPr>
      <w:r>
        <w:t>Jokschan</w:t>
      </w:r>
      <w:r/>
    </w:p>
    <w:p>
      <w:r/>
      <w:r>
        <w:t>Fils d'Abraham et de Ketura. Jokschan était le père de Sheba et Dedan (</w:t>
      </w:r>
      <w:hyperlink r:id="rId7391">
        <w:r>
          <w:rPr>
            <w:color w:val="0000EE"/>
            <w:u w:val="single"/>
          </w:rPr>
          <w:t>Gn 25.2–3</w:t>
        </w:r>
      </w:hyperlink>
      <w:r>
        <w:t xml:space="preserve"> ; </w:t>
      </w:r>
      <w:hyperlink r:id="rId3038">
        <w:r>
          <w:rPr>
            <w:color w:val="0000EE"/>
            <w:u w:val="single"/>
          </w:rPr>
          <w:t>1Ch 1.32</w:t>
        </w:r>
      </w:hyperlink>
      <w:r>
        <w:t>).</w:t>
      </w:r>
      <w:r/>
      <w:r/>
    </w:p>
    <w:p>
      <w:r/>
    </w:p>
    <w:p>
      <w:pPr>
        <w:pStyle w:val="Heading2"/>
      </w:pPr>
      <w:r>
        <w:t>Jokthan</w:t>
      </w:r>
      <w:r/>
    </w:p>
    <w:p>
      <w:r/>
      <w:r>
        <w:t>Fils d'Héber et frère cadet de Péleg. Un certain nombre de groupes arabes descendent de lui (</w:t>
      </w:r>
      <w:hyperlink r:id="rId7392">
        <w:r>
          <w:rPr>
            <w:color w:val="0000EE"/>
            <w:u w:val="single"/>
          </w:rPr>
          <w:t>Gn 10.25–29</w:t>
        </w:r>
      </w:hyperlink>
      <w:r>
        <w:t xml:space="preserve"> ; </w:t>
      </w:r>
      <w:hyperlink r:id="rId7393">
        <w:r>
          <w:rPr>
            <w:color w:val="0000EE"/>
            <w:u w:val="single"/>
          </w:rPr>
          <w:t>1Ch 1.19–23</w:t>
        </w:r>
      </w:hyperlink>
      <w:r>
        <w:t>).</w:t>
      </w:r>
      <w:r/>
      <w:r/>
    </w:p>
    <w:p>
      <w:r/>
    </w:p>
    <w:p>
      <w:pPr>
        <w:pStyle w:val="Heading2"/>
      </w:pPr>
      <w:r>
        <w:t>Joppé</w:t>
      </w:r>
      <w:r/>
    </w:p>
    <w:p>
      <w:r/>
      <w:r>
        <w:t>Ville située à environ 55 km au nord-ouest de Jérusalem, qui servait de port à Jérusalem. Joppé était construite sur une colline rocheuse d'environ 35 m de haut, avec un cap s'avançant au-delà de la côte dans la mer, et c'était le seul port naturel sur la côte méditerranéenne entre l'Égypte et l'ancienne ville d'Acco. À environ 90 à 120 m au large, une série de récifs formait une digue, permettant l'entrée dans le port par le nord. Il est possible que le port ait été plus grand et mieux protégé à l'époque biblique qu'il ne l'est aujourd'hui. La ville biblique était bien approvisionnée en eau, et les terres environnantes étaient assez fertiles.</w:t>
      </w:r>
    </w:p>
    <w:p>
      <w:r/>
      <w:r>
        <w:t>Joppé apparaît pour la première fois dans les archives anciennes dans la liste égyptienne des villes palestiniennes capturées par Thoutmôsis III (1490–1432 av. J.‑C.). Pendant la période amarnienne, elle était gouvernée par un prince local en alliance avec Jérusalem. Une source de cette période décrit ses beaux jardins et le savoir-faire de ses artisans en métal, cuir et bois. Lorsque la Palestine a été divisée entre les 12 tribus, Joppé a été attribuée à Dan (</w:t>
      </w:r>
      <w:hyperlink r:id="rId7394">
        <w:r>
          <w:rPr>
            <w:color w:val="0000EE"/>
            <w:u w:val="single"/>
          </w:rPr>
          <w:t>Jos 19.46</w:t>
        </w:r>
      </w:hyperlink>
      <w:r>
        <w:t xml:space="preserve"> ; LSG : « Japho »). Elle a bientôt été prise par les Philistins, qui en ont fait l'un de leurs ports maritimes. La conquête des Philistins par David a restauré Joppé à Israël, et pendant le règne de Salomon, elle est devenue un port majeur desservant Jérusalem. Des rondins de cèdre étaient flottés du Liban vers Joppé puis transportés à Jérusalem pour être utilisés dans la construction du temple (</w:t>
      </w:r>
      <w:hyperlink r:id="rId7395">
        <w:r>
          <w:rPr>
            <w:color w:val="0000EE"/>
            <w:u w:val="single"/>
          </w:rPr>
          <w:t>2Ch 2.16</w:t>
        </w:r>
      </w:hyperlink>
      <w:r>
        <w:t>).</w:t>
      </w:r>
    </w:p>
    <w:p>
      <w:r/>
      <w:r>
        <w:t>Joppé était le port maritime vers lequel Jonas s'est enfui lorsqu'il essayait d'éviter de prêcher à Ninive (</w:t>
      </w:r>
      <w:hyperlink r:id="rId7396">
        <w:r>
          <w:rPr>
            <w:color w:val="0000EE"/>
            <w:u w:val="single"/>
          </w:rPr>
          <w:t>Jon 1.3</w:t>
        </w:r>
      </w:hyperlink>
      <w:r>
        <w:t>) ; c'est là, espérant échapper à sa responsabilité, qu'il montera à bord d'un navire à destination de Tarsis. Lorsque Tiglath-Piléser III a envahi la Philistie en 743 av. J.‑C., Joppé était probablement l'une des villes philistines qui sont tombées entre ses mains. Sanchérib, lors de sa campagne de 701 av. J.‑C., mentionne Joppé comme l'une des villes qu'il a occupées. Par la suite, on en sait peu jusqu'à l'époque d'Esdras, lorsque des rondins de cèdre du Liban ont de nouveau été flottés jusqu'à Joppé et emportés à Jérusalem pour la reconstruction du temple (</w:t>
      </w:r>
      <w:hyperlink r:id="rId2411">
        <w:r>
          <w:rPr>
            <w:color w:val="0000EE"/>
            <w:u w:val="single"/>
          </w:rPr>
          <w:t>Esd 3.7</w:t>
        </w:r>
      </w:hyperlink>
      <w:r>
        <w:t>). Au cours du IVe siècle av. J.‑C., Eshmunazar de Sidon contrôlait la ville. Lorsque Sidon s'est révolté contre la Perse et a été détruit par Artaxerxès III, Joppé est devenue une ville libre, semble-t-il. Alexandre le Grand changera son nom de Japho (son nom dans l'Ancien Testament) à Joppé et y a établi une monnaie, en faisant une ville d'une certaine importance dans l'Empire grec. Après la mort d'Alexandre, ses successeurs se sont disputé la ville à plusieurs reprises. Elle a été gouvernée par l'Égypte de 301 av. J.‑C. jusqu'en 197 av. J.‑C., lorsque Antiochus III l'a intégrée au royaume séleucide.</w:t>
      </w:r>
    </w:p>
    <w:p>
      <w:r/>
      <w:r>
        <w:t>Durant la période des Maccabées, Joppé a connu diverses expériences. Lorsqu'Antiochus IV Épiphane s'est dirigé vers Jérusalem en 168 av. J.‑C. pour imposer son programme d'hellénisation, il a débarqué ses troupes à Joppé. En 164 av. J.‑C., à cause du succès de Judas Maccabée contre les Séleucides, des citoyens non-juifs ont noyé environ 200 Juifs. Judas a riposté en brûlant les installations portuaires et les bateaux ancrés là, mais n'a pas pu conquérir la ville elle-même (</w:t>
      </w:r>
      <w:hyperlink r:id="rId7397">
        <w:r>
          <w:rPr>
            <w:color w:val="0000EE"/>
            <w:u w:val="single"/>
          </w:rPr>
          <w:t>2 M 12.3–9</w:t>
        </w:r>
      </w:hyperlink>
      <w:r>
        <w:t>). En 147 av. J.‑C., Jonathan et Simon ont vaincu Apollonius Taos, le général syrien, et ont occupé Joppé pour Alexandre I Épiphane, un prétendant au trône syrien (</w:t>
      </w:r>
      <w:hyperlink r:id="rId7398">
        <w:r>
          <w:rPr>
            <w:color w:val="0000EE"/>
            <w:u w:val="single"/>
          </w:rPr>
          <w:t>1 M 10.74–86</w:t>
        </w:r>
      </w:hyperlink>
      <w:r>
        <w:t>). Grâce à une série de manœuvres politiques dans les années suivantes, Simon a pu fortifier la ville, expulser les habitants grecs et établir fermement Joppé comme une ville juive. Pendant l'occupation romaine de Pompée, Joppé sera déclarée ville libre ; elle sera rendue aux Juifs par Jules César (47 av. J.‑C.) et sera capturée par Hérode le Grand en 37 av. J.‑C. Détesté par les habitants de Joppé, Hérode construira un nouveau port à Césarée, à environ 65 km au nord de Joppé. À l'époque de la naissance de Jésus, Joppé était sous la domination de Césarée dans la province de Syrie (</w:t>
      </w:r>
      <w:r>
        <w:rPr>
          <w:i/>
        </w:rPr>
        <w:t>Antiquités</w:t>
      </w:r>
      <w:r>
        <w:t xml:space="preserve"> de Josèphe 17.13.2–4).</w:t>
      </w:r>
    </w:p>
    <w:p>
      <w:r/>
      <w:r>
        <w:t>Une congrégation chrétienne est apparue assez tôt à Joppé. Parmi les disciples vivant là-bas se trouvaient Dorcas, que Pierre a ressuscitée (</w:t>
      </w:r>
      <w:hyperlink r:id="rId4288">
        <w:r>
          <w:rPr>
            <w:color w:val="0000EE"/>
            <w:u w:val="single"/>
          </w:rPr>
          <w:t>Ac 9.36–41</w:t>
        </w:r>
      </w:hyperlink>
      <w:r>
        <w:t xml:space="preserve">), et Simon le tanneur (v. </w:t>
      </w:r>
      <w:hyperlink r:id="rId7399">
        <w:r>
          <w:rPr>
            <w:color w:val="0000EE"/>
            <w:u w:val="single"/>
          </w:rPr>
          <w:t>43</w:t>
        </w:r>
      </w:hyperlink>
      <w:r>
        <w:t>). De Joppé, Pierre sera appelé à Césarée pour présenter l'Évangile au centurion romain Corneille (</w:t>
      </w:r>
      <w:hyperlink r:id="rId183">
        <w:r>
          <w:rPr>
            <w:color w:val="0000EE"/>
            <w:u w:val="single"/>
          </w:rPr>
          <w:t>10.1–48</w:t>
        </w:r>
      </w:hyperlink>
      <w:r>
        <w:t>).</w:t>
      </w:r>
    </w:p>
    <w:p>
      <w:r/>
      <w:r>
        <w:t>Joppé était un centre majeur de révolte contre les Romains. Elle sera détruite par Vespasien en 68 apr. J.‑C. et remplacée par un camp militaire romain. Elle sera reconstruite plus tard et est connue aujourd'hui sous le nom de Jaffa, une banlieue de Tel-Aviv.</w:t>
      </w:r>
      <w:r/>
      <w:r/>
    </w:p>
    <w:p>
      <w:r/>
    </w:p>
    <w:p>
      <w:pPr>
        <w:pStyle w:val="Heading2"/>
      </w:pPr>
      <w:r>
        <w:t>Joseph</w:t>
      </w:r>
      <w:r/>
    </w:p>
    <w:p>
      <w:r/>
      <w:r>
        <w:t>1. Onzième fils de Jacob et premier fils de Rachel. Elle le nomme Joseph, qui signifie « qu'il ajoute », pour exprimer son désir que Dieu lui donne un autre fils (</w:t>
      </w:r>
      <w:hyperlink r:id="rId7400">
        <w:r>
          <w:rPr>
            <w:color w:val="0000EE"/>
            <w:u w:val="single"/>
          </w:rPr>
          <w:t>Gn 30.24</w:t>
        </w:r>
      </w:hyperlink>
      <w:r>
        <w:t>).</w:t>
      </w:r>
    </w:p>
    <w:p>
      <w:r/>
      <w:r>
        <w:t>À la prochaine mention de Joseph dans la Bible, il a 17 ans. Il garde les troupeaux de son père avec ses frères (</w:t>
      </w:r>
      <w:hyperlink r:id="rId5972">
        <w:r>
          <w:rPr>
            <w:color w:val="0000EE"/>
            <w:u w:val="single"/>
          </w:rPr>
          <w:t>Gn 37.2</w:t>
        </w:r>
      </w:hyperlink>
      <w:r>
        <w:t xml:space="preserve">). Joseph est le favori de son père, parce qu'il lui est né dans sa vieillesse (v. </w:t>
      </w:r>
      <w:hyperlink r:id="rId3318">
        <w:r>
          <w:rPr>
            <w:color w:val="0000EE"/>
            <w:u w:val="single"/>
          </w:rPr>
          <w:t>3</w:t>
        </w:r>
      </w:hyperlink>
      <w:r>
        <w:t xml:space="preserve">) et qu'il est le fils aîné de sa femme préférée. C'est pour cela que ses frères le détestent. Ils sont encore plus jaloux de Joseph quand Jacob lui offre une longue tunique multicolore à manches longues (v. </w:t>
      </w:r>
      <w:hyperlink r:id="rId7401">
        <w:r>
          <w:rPr>
            <w:color w:val="0000EE"/>
            <w:u w:val="single"/>
          </w:rPr>
          <w:t>3–4</w:t>
        </w:r>
      </w:hyperlink>
      <w:r>
        <w:t xml:space="preserve">). (Ce type de tunique est illustré par des peintures dans les tombes asiatiques de Khnoumhotep II à Beni Hassan et de nobles à Qurneh, près de Louqsor). L'hostilité de ses frères envers Joseph grandit encore quand il leur raconte ses rêves. Dans ses rêves, il domine sur eux (v. </w:t>
      </w:r>
      <w:hyperlink r:id="rId7402">
        <w:r>
          <w:rPr>
            <w:color w:val="0000EE"/>
            <w:u w:val="single"/>
          </w:rPr>
          <w:t>5–11</w:t>
        </w:r>
      </w:hyperlink>
      <w:r>
        <w:t xml:space="preserve">). Après cela, Joseph est envoyé par son père pour lui faire un rapport sur les troupeaux gardés par ses frères près de Sichem. Ses frères saisissent cette occasion pour le capturer et le vendre à une caravane de marchands voyageant vers l'Égypte (v. </w:t>
      </w:r>
      <w:hyperlink r:id="rId2184">
        <w:r>
          <w:rPr>
            <w:color w:val="0000EE"/>
            <w:u w:val="single"/>
          </w:rPr>
          <w:t>25–28</w:t>
        </w:r>
      </w:hyperlink>
      <w:r>
        <w:t xml:space="preserve">). Ses frères prennent alors sa tunique, la trempent dans le sang d'un bouc et la rapportent à Jacob. Il en conclut que Joseph a été tué par des bêtes sauvages (v. </w:t>
      </w:r>
      <w:hyperlink r:id="rId7403">
        <w:r>
          <w:rPr>
            <w:color w:val="0000EE"/>
            <w:u w:val="single"/>
          </w:rPr>
          <w:t>31–33</w:t>
        </w:r>
      </w:hyperlink>
      <w:r>
        <w:t xml:space="preserve">). Jacob est accablé de chagrin (v. </w:t>
      </w:r>
      <w:hyperlink r:id="rId7404">
        <w:r>
          <w:rPr>
            <w:color w:val="0000EE"/>
            <w:u w:val="single"/>
          </w:rPr>
          <w:t>34–35</w:t>
        </w:r>
      </w:hyperlink>
      <w:r>
        <w:t>).</w:t>
      </w:r>
    </w:p>
    <w:p>
      <w:r/>
      <w:r>
        <w:t>En Égypte, Joseph est vendu à Potiphar, un officier égyptien, chef de la garde (</w:t>
      </w:r>
      <w:hyperlink r:id="rId4891">
        <w:r>
          <w:rPr>
            <w:color w:val="0000EE"/>
            <w:u w:val="single"/>
          </w:rPr>
          <w:t>Gn 37.36</w:t>
        </w:r>
      </w:hyperlink>
      <w:r>
        <w:t xml:space="preserve"> ; </w:t>
      </w:r>
      <w:hyperlink r:id="rId4892">
        <w:r>
          <w:rPr>
            <w:color w:val="0000EE"/>
            <w:u w:val="single"/>
          </w:rPr>
          <w:t>39.1</w:t>
        </w:r>
      </w:hyperlink>
      <w:r>
        <w:t>). Il finit par confier à Joseph l'intendance de toute sa maison. Cependant, des problèmes surviennent à cause de la femme de Potiphar. Elle tente de séduire Joseph (</w:t>
      </w:r>
      <w:hyperlink r:id="rId7405">
        <w:r>
          <w:rPr>
            <w:color w:val="0000EE"/>
            <w:u w:val="single"/>
          </w:rPr>
          <w:t>39.6–10</w:t>
        </w:r>
      </w:hyperlink>
      <w:r>
        <w:t xml:space="preserve">). Il résiste fermement à ses avances. Il lui dit que céder à ses désirs serait trahir son maître et pécher contre Dieu (v. </w:t>
      </w:r>
      <w:hyperlink r:id="rId7406">
        <w:r>
          <w:rPr>
            <w:color w:val="0000EE"/>
            <w:u w:val="single"/>
          </w:rPr>
          <w:t>9</w:t>
        </w:r>
      </w:hyperlink>
      <w:r>
        <w:t xml:space="preserve">). Un jour, elle le saisit par son vêtement. Il s'enfuit en laissant le vêtement derrière lui. La femme de Potiphar accuse Joseph d'avoir essayé de la violer. On la croit et Joseph est enfermé dans la prison du roi (v. </w:t>
      </w:r>
      <w:hyperlink r:id="rId7407">
        <w:r>
          <w:rPr>
            <w:color w:val="0000EE"/>
            <w:u w:val="single"/>
          </w:rPr>
          <w:t>20</w:t>
        </w:r>
      </w:hyperlink>
      <w:r>
        <w:t xml:space="preserve">). L'échanson et le chef des panetiers (le responsable des boissons et le boulanger) de Pharaon y sont également détenus. Pendant son emprisonnement, Joseph, avec l'aide du Seigneur, interprète les rêves qui troublent ces deux hommes. Selon la prédiction de Joseph, le boulanger est ensuite exécuté et l'échanson est rétabli dans ses fonctions. Il a de nouveau la faveur du roi (chap. </w:t>
      </w:r>
      <w:hyperlink r:id="rId4464">
        <w:r>
          <w:rPr>
            <w:color w:val="0000EE"/>
            <w:u w:val="single"/>
          </w:rPr>
          <w:t>40</w:t>
        </w:r>
      </w:hyperlink>
      <w:r>
        <w:t>).</w:t>
      </w:r>
    </w:p>
    <w:p>
      <w:r/>
      <w:r>
        <w:t>Deux ans plus tard, Pharaon est lui aussi troublé par deux rêves que ses magiciens et sages sont incapables d'interpréter. L'échanson se souvient alors de Joseph et celui-ci est sorti de prison. Dieu révèle à Joseph que les rêves de Pharaon annoncent sept années d'abondance qui seront suivies de sept années de famine (</w:t>
      </w:r>
      <w:hyperlink r:id="rId7408">
        <w:r>
          <w:rPr>
            <w:color w:val="0000EE"/>
            <w:u w:val="single"/>
          </w:rPr>
          <w:t>Gn 41.25–36</w:t>
        </w:r>
      </w:hyperlink>
      <w:r>
        <w:t xml:space="preserve">). Pharaon est impressionné par l'interprétation que lui donne Joseph et le nomme gouverneur d'Égypte. Seul le pharaon lui-même surpasse Joseph en autorité (v. </w:t>
      </w:r>
      <w:hyperlink r:id="rId7409">
        <w:r>
          <w:rPr>
            <w:color w:val="0000EE"/>
            <w:u w:val="single"/>
          </w:rPr>
          <w:t>39–44</w:t>
        </w:r>
      </w:hyperlink>
      <w:r>
        <w:t xml:space="preserve">). Joseph reçoit un nouveau nom, </w:t>
      </w:r>
      <w:r>
        <w:t>Tsaphnath-Paenéach</w:t>
      </w:r>
      <w:r>
        <w:t xml:space="preserve">. Il reçoit aussi Asnath, fille de Poti-Phéra, pour épouse (v. </w:t>
      </w:r>
      <w:hyperlink r:id="rId7410">
        <w:r>
          <w:rPr>
            <w:color w:val="0000EE"/>
            <w:u w:val="single"/>
          </w:rPr>
          <w:t>45</w:t>
        </w:r>
      </w:hyperlink>
      <w:r>
        <w:t>).</w:t>
      </w:r>
    </w:p>
    <w:p>
      <w:r/>
      <w:r>
        <w:t>Joseph a 30 ans lorsqu'il devient gouverneur d'Égypte. Pendant les sept années de prospérité, il met de côté des provisions pour les sept années de famine à venir (</w:t>
      </w:r>
      <w:hyperlink r:id="rId7411">
        <w:r>
          <w:rPr>
            <w:color w:val="0000EE"/>
            <w:u w:val="single"/>
          </w:rPr>
          <w:t>Gn 41.53–56</w:t>
        </w:r>
      </w:hyperlink>
      <w:r>
        <w:t>). Lorsque la famine devient intolérable en Palestine, Jacob envoie ses fils acheter du blé en Égypte. Mais il n'envoie pas Benjamin, le plus jeune. Lorsque les frères de Joseph se présentent devant lui, ils ne le reconnaissent pas. Mais lui les reconnait. Il se souvient de ses rêves à leur sujet des années auparavant (</w:t>
      </w:r>
      <w:hyperlink r:id="rId7412">
        <w:r>
          <w:rPr>
            <w:color w:val="0000EE"/>
            <w:u w:val="single"/>
          </w:rPr>
          <w:t>42.8–9</w:t>
        </w:r>
      </w:hyperlink>
      <w:r>
        <w:t xml:space="preserve">). Après avoir entendu leur rapport sur leur famille, il les accuse d'être des espions (v. </w:t>
      </w:r>
      <w:hyperlink r:id="rId7413">
        <w:r>
          <w:rPr>
            <w:color w:val="0000EE"/>
            <w:u w:val="single"/>
          </w:rPr>
          <w:t>9–14</w:t>
        </w:r>
      </w:hyperlink>
      <w:r>
        <w:t xml:space="preserve">). Il insiste pour qu'ils laissent l'un de leurs frères en otage et reviennent avec Benjamin pour prouver qu'ils ont dit vrai (v. </w:t>
      </w:r>
      <w:hyperlink r:id="rId7414">
        <w:r>
          <w:rPr>
            <w:color w:val="0000EE"/>
            <w:u w:val="single"/>
          </w:rPr>
          <w:t>19–20</w:t>
        </w:r>
      </w:hyperlink>
      <w:r>
        <w:t xml:space="preserve">). Siméon est enchaîné et emprisonné en Égypte (v </w:t>
      </w:r>
      <w:hyperlink r:id="rId7415">
        <w:r>
          <w:rPr>
            <w:color w:val="0000EE"/>
            <w:u w:val="single"/>
          </w:rPr>
          <w:t>24</w:t>
        </w:r>
      </w:hyperlink>
      <w:r>
        <w:t>).</w:t>
      </w:r>
    </w:p>
    <w:p>
      <w:r/>
      <w:r>
        <w:t>Lorsque la famine empire encore en Palestine, Jacob ordonne à ses fils de retourner en Égypte pour acheter plus de blé (</w:t>
      </w:r>
      <w:hyperlink r:id="rId7416">
        <w:r>
          <w:rPr>
            <w:color w:val="0000EE"/>
            <w:u w:val="single"/>
          </w:rPr>
          <w:t>Gn 43.1–2</w:t>
        </w:r>
      </w:hyperlink>
      <w:r>
        <w:t xml:space="preserve">). Il accepte malgré lui la condition imposée par le gouverneur égyptien et permet que Benjamin accompagne ses frères (v. </w:t>
      </w:r>
      <w:hyperlink r:id="rId7417">
        <w:r>
          <w:rPr>
            <w:color w:val="0000EE"/>
            <w:u w:val="single"/>
          </w:rPr>
          <w:t>11–13</w:t>
        </w:r>
      </w:hyperlink>
      <w:r>
        <w:t xml:space="preserve">). À leur arrivée en Égypte, ils sont conduits à la maison de Joseph, où Siméon leur est rendu (v. </w:t>
      </w:r>
      <w:hyperlink r:id="rId7418">
        <w:r>
          <w:rPr>
            <w:color w:val="0000EE"/>
            <w:u w:val="single"/>
          </w:rPr>
          <w:t>23</w:t>
        </w:r>
      </w:hyperlink>
      <w:r>
        <w:t xml:space="preserve">). Un repas leur est servi (v. </w:t>
      </w:r>
      <w:hyperlink r:id="rId7419">
        <w:r>
          <w:rPr>
            <w:color w:val="0000EE"/>
            <w:u w:val="single"/>
          </w:rPr>
          <w:t>33</w:t>
        </w:r>
      </w:hyperlink>
      <w:r>
        <w:t>). Joseph finit par révéler qui il est et leur déclare que Dieu l'a envoyé en Égypte devant eux pour sauver leurs vies (</w:t>
      </w:r>
      <w:hyperlink r:id="rId7420">
        <w:r>
          <w:rPr>
            <w:color w:val="0000EE"/>
            <w:u w:val="single"/>
          </w:rPr>
          <w:t>45.4–8</w:t>
        </w:r>
      </w:hyperlink>
      <w:r>
        <w:t xml:space="preserve">). Il envoie chercher Jacob et le reste de la famille. Il leur donne des chariots et des provisions pour le voyage (v. </w:t>
      </w:r>
      <w:hyperlink r:id="rId7421">
        <w:r>
          <w:rPr>
            <w:color w:val="0000EE"/>
            <w:u w:val="single"/>
          </w:rPr>
          <w:t>21</w:t>
        </w:r>
      </w:hyperlink>
      <w:r>
        <w:t>). Lorsque Jacob arrive à Gosen dans le delta du Nil, Joseph va à sa rencontre, et père et fils se retrouvent dans la joie (</w:t>
      </w:r>
      <w:hyperlink r:id="rId6039">
        <w:r>
          <w:rPr>
            <w:color w:val="0000EE"/>
            <w:u w:val="single"/>
          </w:rPr>
          <w:t>46.28–29</w:t>
        </w:r>
      </w:hyperlink>
      <w:r>
        <w:t>). Joseph présente ensuite son père et ses frères à Pharaon. Pharaon leur permet de s'installer dans la région de Gosen (</w:t>
      </w:r>
      <w:hyperlink r:id="rId7422">
        <w:r>
          <w:rPr>
            <w:color w:val="0000EE"/>
            <w:u w:val="single"/>
          </w:rPr>
          <w:t>47.6</w:t>
        </w:r>
      </w:hyperlink>
      <w:r>
        <w:t>).</w:t>
      </w:r>
    </w:p>
    <w:p>
      <w:r/>
      <w:r>
        <w:t>Plus tard, Joseph apprend que son père âgé est malade. Il emmène ses deux fils, Manassé et Éphraïm, le voir. Il veut que son père Jacob les bénisse. Joseph présente ses fils pour que l'aîné soit à la droite de son père Jacob et le cadet à sa gauche. Il veut que Manassé reçoive la bénédiction qui lui revient comme premier-né. Cependant, Jacob croise les bras et place sa main droite sur Éphraïm et lui donne la plus grande bénédiction (</w:t>
      </w:r>
      <w:hyperlink r:id="rId7423">
        <w:r>
          <w:rPr>
            <w:color w:val="0000EE"/>
            <w:u w:val="single"/>
          </w:rPr>
          <w:t>Gn 48.14–20</w:t>
        </w:r>
      </w:hyperlink>
      <w:r>
        <w:t xml:space="preserve">). Il lègue également à Joseph les terres qu'il a prises aux Amoréens (v. </w:t>
      </w:r>
      <w:hyperlink r:id="rId1230">
        <w:r>
          <w:rPr>
            <w:color w:val="0000EE"/>
            <w:u w:val="single"/>
          </w:rPr>
          <w:t>22</w:t>
        </w:r>
      </w:hyperlink>
      <w:r>
        <w:t>). À la mort de Jacob, Joseph organise ses funérailles. Après son embaumement, un grand cortège funèbre emmène le corps en Canaan. Il est enterré par ses fils dans la grotte de Macpéla près d'Hébron (</w:t>
      </w:r>
      <w:hyperlink r:id="rId7424">
        <w:r>
          <w:rPr>
            <w:color w:val="0000EE"/>
            <w:u w:val="single"/>
          </w:rPr>
          <w:t>50.1–12</w:t>
        </w:r>
      </w:hyperlink>
      <w:r>
        <w:t>).</w:t>
      </w:r>
    </w:p>
    <w:p>
      <w:r/>
      <w:r>
        <w:t>À l'âge de 110 ans, Joseph fait appeler ses frères et leur annonce qu'il va bientôt mourir. Il leur fait promettre d'emporter ses os avec eux lorsque Dieu les ramènera en Canaan. Après sa mort, son corps est embaumé et mis dans un cercueil en Égypte (</w:t>
      </w:r>
      <w:hyperlink r:id="rId1163">
        <w:r>
          <w:rPr>
            <w:color w:val="0000EE"/>
            <w:u w:val="single"/>
          </w:rPr>
          <w:t>Gn 50.26</w:t>
        </w:r>
      </w:hyperlink>
      <w:r>
        <w:t>). De nombreuses années plus tard, Moïse emporte ses os lors de l'exode d'Égypte (</w:t>
      </w:r>
      <w:hyperlink r:id="rId6044">
        <w:r>
          <w:rPr>
            <w:color w:val="0000EE"/>
            <w:u w:val="single"/>
          </w:rPr>
          <w:t>Ex 13.19</w:t>
        </w:r>
      </w:hyperlink>
      <w:r>
        <w:t>). Les restes de Joseph sont enterrés à Sichem dans la parcelle que Jacob avait achetée à Hamor, le père de Sichem (</w:t>
      </w:r>
      <w:hyperlink r:id="rId7425">
        <w:r>
          <w:rPr>
            <w:color w:val="0000EE"/>
            <w:u w:val="single"/>
          </w:rPr>
          <w:t xml:space="preserve">Gn 33.18–20 </w:t>
        </w:r>
      </w:hyperlink>
      <w:r>
        <w:t xml:space="preserve">; </w:t>
      </w:r>
      <w:hyperlink r:id="rId1285">
        <w:r>
          <w:rPr>
            <w:color w:val="0000EE"/>
            <w:u w:val="single"/>
          </w:rPr>
          <w:t>Jos 24.32</w:t>
        </w:r>
      </w:hyperlink>
      <w:r>
        <w:t xml:space="preserve">). </w:t>
      </w:r>
      <w:r>
        <w:rPr>
          <w:i/>
        </w:rPr>
        <w:t>Voir</w:t>
      </w:r>
      <w:r>
        <w:t xml:space="preserve"> </w:t>
      </w:r>
      <w:r>
        <w:t xml:space="preserve">Israël (histoire) </w:t>
      </w:r>
      <w:r>
        <w:t xml:space="preserve">; </w:t>
      </w:r>
      <w:r>
        <w:t>patriarches (période)</w:t>
      </w:r>
      <w:r>
        <w:t>.</w:t>
      </w:r>
    </w:p>
    <w:p>
      <w:r/>
      <w:r>
        <w:t>2. Père de Jigual, de la tribu d'Issacar. Jigual est l'un des 12 espions envoyés par Moïse pour explorer le pays de Canaan (</w:t>
      </w:r>
      <w:hyperlink r:id="rId7426">
        <w:r>
          <w:rPr>
            <w:color w:val="0000EE"/>
            <w:u w:val="single"/>
          </w:rPr>
          <w:t>Nb 13.7</w:t>
        </w:r>
      </w:hyperlink>
      <w:r>
        <w:t>).</w:t>
      </w:r>
    </w:p>
    <w:p>
      <w:r/>
      <w:r>
        <w:t>3. Deuxième fils d'Asaph et chef de la première division des sacrificateurs qui servent au sanctuaire durant le règne de David (</w:t>
      </w:r>
      <w:hyperlink r:id="rId7427">
        <w:r>
          <w:rPr>
            <w:color w:val="0000EE"/>
            <w:u w:val="single"/>
          </w:rPr>
          <w:t>1Ch 25.2, 9</w:t>
        </w:r>
      </w:hyperlink>
      <w:r>
        <w:t>).</w:t>
      </w:r>
    </w:p>
    <w:p>
      <w:r/>
      <w:r>
        <w:t>4. Descendant de Binnuï qui fait partie de ceux qu'Esdras appelle à divorcer de leurs femmes étrangères pendant la période post-exilique (</w:t>
      </w:r>
      <w:hyperlink r:id="rId7428">
        <w:r>
          <w:rPr>
            <w:color w:val="0000EE"/>
            <w:u w:val="single"/>
          </w:rPr>
          <w:t>Esd 10.42</w:t>
        </w:r>
      </w:hyperlink>
      <w:r>
        <w:t>).</w:t>
      </w:r>
    </w:p>
    <w:p>
      <w:r/>
      <w:r>
        <w:t>5. Sacrificateur et chef de famille de la lignée de Schebania au temps de Jojakim, le souverain sacrificateur (</w:t>
      </w:r>
      <w:hyperlink r:id="rId7429">
        <w:r>
          <w:rPr>
            <w:color w:val="0000EE"/>
            <w:u w:val="single"/>
          </w:rPr>
          <w:t>Né 12.14</w:t>
        </w:r>
      </w:hyperlink>
      <w:r>
        <w:t>).</w:t>
      </w:r>
    </w:p>
    <w:p>
      <w:r/>
      <w:r>
        <w:t>6. Descendant de David (</w:t>
      </w:r>
      <w:hyperlink r:id="rId5938">
        <w:r>
          <w:rPr>
            <w:color w:val="0000EE"/>
            <w:u w:val="single"/>
          </w:rPr>
          <w:t xml:space="preserve">Mt 1.16 </w:t>
        </w:r>
      </w:hyperlink>
      <w:r>
        <w:t xml:space="preserve">; </w:t>
      </w:r>
      <w:hyperlink r:id="rId2582">
        <w:r>
          <w:rPr>
            <w:color w:val="0000EE"/>
            <w:u w:val="single"/>
          </w:rPr>
          <w:t>Lc 3.23</w:t>
        </w:r>
      </w:hyperlink>
      <w:r>
        <w:t>), époux de Marie, mère de Jésus. Joseph est fiancé à Marie, une jeune femme de la ville de Nazareth. L'ange Gabriel annonce à Marie qu'elle va enfanter le Fils de Dieu et qu'elle doit le nommer Jésus (</w:t>
      </w:r>
      <w:hyperlink r:id="rId7430">
        <w:r>
          <w:rPr>
            <w:color w:val="0000EE"/>
            <w:u w:val="single"/>
          </w:rPr>
          <w:t>Lc 1.31</w:t>
        </w:r>
      </w:hyperlink>
      <w:r>
        <w:t xml:space="preserve">). L'ange lui révèle aussi que cette conception sera l'œuvre du Saint-Esprit (v </w:t>
      </w:r>
      <w:hyperlink r:id="rId983">
        <w:r>
          <w:rPr>
            <w:color w:val="0000EE"/>
            <w:u w:val="single"/>
          </w:rPr>
          <w:t>35</w:t>
        </w:r>
      </w:hyperlink>
      <w:r>
        <w:t>). Joseph ne le sait pas. Il apprend quelque temps plus tard que Marie est enceinte. Il décide alors de la divorcer discrètement. C'est un homme juste et il ne veut l'humilier publiquement (</w:t>
      </w:r>
      <w:hyperlink r:id="rId985">
        <w:r>
          <w:rPr>
            <w:color w:val="0000EE"/>
            <w:u w:val="single"/>
          </w:rPr>
          <w:t>Mt 1.19</w:t>
        </w:r>
      </w:hyperlink>
      <w:r>
        <w:t>). Cependant, un ange lui apparaît dans un rêve et lui explique ce qui est arrivé (</w:t>
      </w:r>
      <w:hyperlink r:id="rId3936">
        <w:r>
          <w:rPr>
            <w:color w:val="0000EE"/>
            <w:u w:val="single"/>
          </w:rPr>
          <w:t xml:space="preserve">Mt 1.21 </w:t>
        </w:r>
      </w:hyperlink>
      <w:r>
        <w:t xml:space="preserve">; voir </w:t>
      </w:r>
      <w:hyperlink r:id="rId4032">
        <w:r>
          <w:rPr>
            <w:color w:val="0000EE"/>
            <w:u w:val="single"/>
          </w:rPr>
          <w:t>Es 7.14</w:t>
        </w:r>
      </w:hyperlink>
      <w:r>
        <w:t>). Le texte de Matthieu précise qu'il n'y a pas eu de rapports sexuels entre Joseph et Marie avant la naissance de Jésus (</w:t>
      </w:r>
      <w:hyperlink r:id="rId7431">
        <w:r>
          <w:rPr>
            <w:color w:val="0000EE"/>
            <w:u w:val="single"/>
          </w:rPr>
          <w:t xml:space="preserve">Mt 1.18, 25 </w:t>
        </w:r>
      </w:hyperlink>
      <w:r>
        <w:t xml:space="preserve">; voir aussi </w:t>
      </w:r>
      <w:hyperlink r:id="rId7432">
        <w:r>
          <w:rPr>
            <w:color w:val="0000EE"/>
            <w:u w:val="single"/>
          </w:rPr>
          <w:t>Lc 1.34–37</w:t>
        </w:r>
      </w:hyperlink>
      <w:r>
        <w:t>).</w:t>
      </w:r>
    </w:p>
    <w:p>
      <w:r/>
      <w:r>
        <w:t>César Auguste émet un décret ordonnant que tout le monde se fasse recenser dans sa ville natale pour payer les impôts. Joseph et Marie retournent à Bethléhem. C'est là que naît Jésus (</w:t>
      </w:r>
      <w:hyperlink r:id="rId7433">
        <w:r>
          <w:rPr>
            <w:color w:val="0000EE"/>
            <w:u w:val="single"/>
          </w:rPr>
          <w:t>Lc 2.1–6</w:t>
        </w:r>
      </w:hyperlink>
      <w:r>
        <w:t>). Plus tard, Joseph et Marie emmènent le nouveau-né Jésus au Temple pour le présenter au Seigneur (</w:t>
      </w:r>
      <w:hyperlink r:id="rId7434">
        <w:r>
          <w:rPr>
            <w:color w:val="0000EE"/>
            <w:u w:val="single"/>
          </w:rPr>
          <w:t>v. 22, 33</w:t>
        </w:r>
      </w:hyperlink>
      <w:r>
        <w:t>). Après la visite des mages, un ange apparaît à Joseph dans un rêve et lui ordonne d'emmener Jésus et Marie en Égypte afin de protéger l'enfant Jésus du roi Hérode (</w:t>
      </w:r>
      <w:hyperlink r:id="rId919">
        <w:r>
          <w:rPr>
            <w:color w:val="0000EE"/>
            <w:u w:val="single"/>
          </w:rPr>
          <w:t>Mt 2.13</w:t>
        </w:r>
      </w:hyperlink>
      <w:r>
        <w:t>). À la mort d'Hérode, un ange dit à Joseph de retourner en Israël. La famille s'installe à Nazareth. La dernière mention de Joseph est lorsque Marie et lui emmènent Jésus, âgé de 12 ans, à Jérusalem. Jésus reste à Jérusalem sans eux. Ils le retrouvent au Temple (</w:t>
      </w:r>
      <w:hyperlink r:id="rId7435">
        <w:r>
          <w:rPr>
            <w:color w:val="0000EE"/>
            <w:u w:val="single"/>
          </w:rPr>
          <w:t>Lc 2.41–51</w:t>
        </w:r>
      </w:hyperlink>
      <w:r>
        <w:t>). Joseph n'est pas identifié par son nom à cette occasion, mais Marie dit à Jésus que son père et elle l'ont cherché avec inquiétude.</w:t>
      </w:r>
    </w:p>
    <w:p>
      <w:r/>
      <w:r>
        <w:t>Les gens de la contrée de Nazareth désignent Jésus comme « le fils de Joseph » (</w:t>
      </w:r>
      <w:hyperlink r:id="rId7436">
        <w:r>
          <w:rPr>
            <w:color w:val="0000EE"/>
            <w:u w:val="single"/>
          </w:rPr>
          <w:t xml:space="preserve">Lc 4.22 </w:t>
        </w:r>
      </w:hyperlink>
      <w:r>
        <w:t xml:space="preserve">; </w:t>
      </w:r>
      <w:hyperlink r:id="rId5218">
        <w:r>
          <w:rPr>
            <w:color w:val="0000EE"/>
            <w:u w:val="single"/>
          </w:rPr>
          <w:t xml:space="preserve">Jn 1.45 </w:t>
        </w:r>
      </w:hyperlink>
      <w:r>
        <w:t xml:space="preserve">; </w:t>
      </w:r>
      <w:hyperlink r:id="rId7437">
        <w:r>
          <w:rPr>
            <w:color w:val="0000EE"/>
            <w:u w:val="single"/>
          </w:rPr>
          <w:t>6.42</w:t>
        </w:r>
      </w:hyperlink>
      <w:r>
        <w:t>). C'est seulement à travers de telles références que nous apprenons le métier de Joseph. Deux fois, Jésus est appelé « le fils du charpentier » (</w:t>
      </w:r>
      <w:hyperlink r:id="rId2412">
        <w:r>
          <w:rPr>
            <w:color w:val="0000EE"/>
            <w:u w:val="single"/>
          </w:rPr>
          <w:t>Mt 13.55</w:t>
        </w:r>
      </w:hyperlink>
      <w:r>
        <w:t xml:space="preserve"> ; </w:t>
      </w:r>
      <w:hyperlink r:id="rId2413">
        <w:r>
          <w:rPr>
            <w:color w:val="0000EE"/>
            <w:u w:val="single"/>
          </w:rPr>
          <w:t>Mc 6.3</w:t>
        </w:r>
      </w:hyperlink>
      <w:r>
        <w:t>). Joseph n'est pas un charpentier comme les charpentiers d'aujourd'hui. À cette époque-là, les maisons sont principalement construites en pierre et en terre. Joseph est plutôt menuisier ; c'est un artisan qui travaille le bois. Il est probable que le gros de son travail est de fabriquer des meubles et des outils agricoles.</w:t>
      </w:r>
    </w:p>
    <w:p>
      <w:r/>
      <w:r>
        <w:t>Au cours du ministère de Jésus, ce sont sa mère et ses frères qui viennent le chercher (</w:t>
      </w:r>
      <w:hyperlink r:id="rId7438">
        <w:r>
          <w:rPr>
            <w:color w:val="0000EE"/>
            <w:u w:val="single"/>
          </w:rPr>
          <w:t xml:space="preserve">Mt 12.46–50 </w:t>
        </w:r>
      </w:hyperlink>
      <w:r>
        <w:t xml:space="preserve">; </w:t>
      </w:r>
      <w:hyperlink r:id="rId7439">
        <w:r>
          <w:rPr>
            <w:color w:val="0000EE"/>
            <w:u w:val="single"/>
          </w:rPr>
          <w:t>Mc 3.31–35</w:t>
        </w:r>
      </w:hyperlink>
      <w:r>
        <w:t>). Cela laisse à penser que Joseph est décédé auparavant. Joseph est très probablement le père de Jacques, Joseph, Simon, Jude et leurs sœurs. Les noms de leurs sœurs ne sont pas donnés dans le NT (</w:t>
      </w:r>
      <w:hyperlink r:id="rId2412">
        <w:r>
          <w:rPr>
            <w:color w:val="0000EE"/>
            <w:u w:val="single"/>
          </w:rPr>
          <w:t xml:space="preserve">Mt 13.55 </w:t>
        </w:r>
      </w:hyperlink>
      <w:r>
        <w:t xml:space="preserve">; </w:t>
      </w:r>
      <w:hyperlink r:id="rId2413">
        <w:r>
          <w:rPr>
            <w:color w:val="0000EE"/>
            <w:u w:val="single"/>
          </w:rPr>
          <w:t>Mc 6.3</w:t>
        </w:r>
      </w:hyperlink>
      <w:r>
        <w:t>).</w:t>
      </w:r>
    </w:p>
    <w:p>
      <w:r/>
      <w:r>
        <w:rPr>
          <w:i/>
        </w:rPr>
        <w:t>Voir aussi</w:t>
      </w:r>
      <w:r>
        <w:t xml:space="preserve"> </w:t>
      </w:r>
      <w:r>
        <w:t xml:space="preserve">frères de Jésus </w:t>
      </w:r>
      <w:r>
        <w:t xml:space="preserve">; </w:t>
      </w:r>
      <w:r>
        <w:t>généalogie de Jésus-Christ</w:t>
      </w:r>
      <w:r>
        <w:t>.</w:t>
      </w:r>
    </w:p>
    <w:p>
      <w:r/>
      <w:r>
        <w:t>7. Fils de Joseph et Marie, frère de Jésus (</w:t>
      </w:r>
      <w:hyperlink r:id="rId2412">
        <w:r>
          <w:rPr>
            <w:color w:val="0000EE"/>
            <w:u w:val="single"/>
          </w:rPr>
          <w:t>Mt 13.55</w:t>
        </w:r>
      </w:hyperlink>
      <w:r>
        <w:t xml:space="preserve">). Il est aussi appelé Joses dans </w:t>
      </w:r>
      <w:hyperlink r:id="rId2413">
        <w:r>
          <w:rPr>
            <w:color w:val="0000EE"/>
            <w:u w:val="single"/>
          </w:rPr>
          <w:t>Marc 6.3</w:t>
        </w:r>
      </w:hyperlink>
      <w:r>
        <w:t xml:space="preserve">. </w:t>
      </w:r>
      <w:r>
        <w:rPr>
          <w:i/>
        </w:rPr>
        <w:t>Voir</w:t>
      </w:r>
      <w:r>
        <w:t xml:space="preserve"> </w:t>
      </w:r>
      <w:r>
        <w:t>frères de Jésus</w:t>
      </w:r>
      <w:r>
        <w:t>.</w:t>
      </w:r>
    </w:p>
    <w:p>
      <w:r/>
      <w:r>
        <w:t>8. Homme originaire de la ville d'Arimathée, disciple de Jésus. Il pourvoit sa propre tombe pour Jésus quand il meurt. Joseph d'Arimathée est un homme riche. C'est un membre respecté du sanhédrin, le haut conseil d'Israël (</w:t>
      </w:r>
      <w:hyperlink r:id="rId1297">
        <w:r>
          <w:rPr>
            <w:color w:val="0000EE"/>
            <w:u w:val="single"/>
          </w:rPr>
          <w:t>Mc 15.43</w:t>
        </w:r>
      </w:hyperlink>
      <w:r>
        <w:t>). Joseph d'Arimathée est bon et juste et ne participe pas à la décision du conseil de crucifier Jésus (</w:t>
      </w:r>
      <w:hyperlink r:id="rId7440">
        <w:r>
          <w:rPr>
            <w:color w:val="0000EE"/>
            <w:u w:val="single"/>
          </w:rPr>
          <w:t>Lc 23.50–51</w:t>
        </w:r>
      </w:hyperlink>
      <w:r>
        <w:t>). Joseph d'Arimathée est tout d'abord un disciple de Jésus en secret par crainte des Juifs (</w:t>
      </w:r>
      <w:hyperlink r:id="rId1298">
        <w:r>
          <w:rPr>
            <w:color w:val="0000EE"/>
            <w:u w:val="single"/>
          </w:rPr>
          <w:t>Jn 19.38</w:t>
        </w:r>
      </w:hyperlink>
      <w:r>
        <w:t>). Mais après la crucifixion, il prend courage et va voir Pilate pour lui demander le corps de Jésus. Nicodème et lui prennent le corps, l'embaument et l'enveloppent dans des linges, selon les coutumes funéraires juives. Joseph avait fait tailler une tombe pour lui-même dans un jardin proche. Personne n'y avait jamais été enterré. C'est là qu'ils placent le corps de Jésus. Ils en scellent l'entrée avec une grande pierre.</w:t>
      </w:r>
    </w:p>
    <w:p>
      <w:r/>
      <w:r>
        <w:t>9. Fils de Mattathias, ancêtre de Jésus (</w:t>
      </w:r>
      <w:hyperlink r:id="rId7441">
        <w:r>
          <w:rPr>
            <w:color w:val="0000EE"/>
            <w:u w:val="single"/>
          </w:rPr>
          <w:t>Lc 3.25</w:t>
        </w:r>
      </w:hyperlink>
      <w:r>
        <w:t xml:space="preserve">). </w:t>
      </w:r>
      <w:r>
        <w:rPr>
          <w:i/>
        </w:rPr>
        <w:t>Voir</w:t>
      </w:r>
      <w:r>
        <w:t xml:space="preserve"> </w:t>
      </w:r>
      <w:r>
        <w:t>généalogie de Jésus-Christ</w:t>
      </w:r>
      <w:r>
        <w:t>.</w:t>
      </w:r>
    </w:p>
    <w:p>
      <w:r/>
      <w:r>
        <w:t xml:space="preserve">10. Traduction de Josech, un des ancêtres de Jésus, dans </w:t>
      </w:r>
      <w:hyperlink r:id="rId7442">
        <w:r>
          <w:rPr>
            <w:color w:val="0000EE"/>
            <w:u w:val="single"/>
          </w:rPr>
          <w:t>Luc 3.26</w:t>
        </w:r>
      </w:hyperlink>
      <w:r>
        <w:t xml:space="preserve">. </w:t>
      </w:r>
      <w:r>
        <w:rPr>
          <w:i/>
        </w:rPr>
        <w:t>Voir</w:t>
      </w:r>
      <w:r>
        <w:t xml:space="preserve"> </w:t>
      </w:r>
      <w:r>
        <w:t>Josech</w:t>
      </w:r>
      <w:r>
        <w:t>.</w:t>
      </w:r>
    </w:p>
    <w:p>
      <w:r/>
      <w:r>
        <w:t>11. Fils de Jonam, un des ancêtres de Jésus (</w:t>
      </w:r>
      <w:hyperlink r:id="rId7443">
        <w:r>
          <w:rPr>
            <w:color w:val="0000EE"/>
            <w:u w:val="single"/>
          </w:rPr>
          <w:t>Lc 3.30</w:t>
        </w:r>
      </w:hyperlink>
      <w:r>
        <w:t xml:space="preserve">). </w:t>
      </w:r>
      <w:r>
        <w:rPr>
          <w:i/>
        </w:rPr>
        <w:t>Voir</w:t>
      </w:r>
      <w:r>
        <w:t xml:space="preserve"> </w:t>
      </w:r>
      <w:r>
        <w:t>généalogie de Jésus-Christ</w:t>
      </w:r>
      <w:r>
        <w:t>.</w:t>
      </w:r>
    </w:p>
    <w:p>
      <w:r/>
      <w:r>
        <w:t>12. Disciple de Jésus appelé « Barsabbas » et surnommé « Justus » (</w:t>
      </w:r>
      <w:hyperlink r:id="rId1697">
        <w:r>
          <w:rPr>
            <w:color w:val="0000EE"/>
            <w:u w:val="single"/>
          </w:rPr>
          <w:t>Ac 1.23</w:t>
        </w:r>
      </w:hyperlink>
      <w:r>
        <w:t>). Joseph est l'un des hommes proposés par les disciples aux onze apôtres pour remplacer Judas Iscariot, mais c'est Matthias qui est choisi.</w:t>
      </w:r>
    </w:p>
    <w:p>
      <w:r/>
      <w:r>
        <w:t>13. Lévite chypriote qui vend un champ et donne l'argent de la vente aux apôtres. Il est surnommé par les apôtres « Barnabas », ce qui signifie « fils d'encouragement » (</w:t>
      </w:r>
      <w:hyperlink r:id="rId2651">
        <w:r>
          <w:rPr>
            <w:color w:val="0000EE"/>
            <w:u w:val="single"/>
          </w:rPr>
          <w:t>Ac 4.36</w:t>
        </w:r>
      </w:hyperlink>
      <w:r>
        <w:t xml:space="preserve">). </w:t>
      </w:r>
      <w:r>
        <w:rPr>
          <w:i/>
        </w:rPr>
        <w:t>Voir</w:t>
      </w:r>
      <w:r>
        <w:t xml:space="preserve"> </w:t>
      </w:r>
      <w:r>
        <w:t>Barnabas</w:t>
      </w:r>
      <w:r>
        <w:t>.</w:t>
      </w:r>
      <w:r/>
      <w:r/>
    </w:p>
    <w:p>
      <w:r/>
    </w:p>
    <w:p>
      <w:pPr>
        <w:pStyle w:val="Heading2"/>
      </w:pPr>
      <w:r>
        <w:t>Joses</w:t>
      </w:r>
      <w:r/>
    </w:p>
    <w:p>
      <w:pPr>
        <w:pStyle w:val="ListNumber"/>
        <w:spacing w:line="240" w:lineRule="auto"/>
        <w:ind w:left="720"/>
      </w:pPr>
      <w:r/>
      <w:r>
        <w:t xml:space="preserve">Variante du nom de Joseph, le fils de Marie. Cette variante est utilisée dans </w:t>
      </w:r>
      <w:hyperlink r:id="rId2413">
        <w:r>
          <w:rPr>
            <w:color w:val="0000EE"/>
            <w:u w:val="single"/>
          </w:rPr>
          <w:t>Marc 6.3</w:t>
        </w:r>
      </w:hyperlink>
      <w:r>
        <w:t xml:space="preserve">. </w:t>
      </w:r>
      <w:r>
        <w:rPr>
          <w:i/>
        </w:rPr>
        <w:t>Voir</w:t>
      </w:r>
      <w:r>
        <w:t xml:space="preserve"> </w:t>
      </w:r>
      <w:r>
        <w:t>Joseph n° 7</w:t>
      </w:r>
      <w:r>
        <w:t>.</w:t>
      </w:r>
    </w:p>
    <w:p>
      <w:pPr>
        <w:pStyle w:val="ListNumber"/>
        <w:spacing w:line="240" w:lineRule="auto"/>
        <w:ind w:left="720"/>
      </w:pPr>
      <w:r/>
      <w:r>
        <w:t xml:space="preserve">Variante du nom de Joseph, aussi appelé Barnabas, qui est utilisée dans la Bible Martin dans </w:t>
      </w:r>
      <w:hyperlink r:id="rId2651">
        <w:r>
          <w:rPr>
            <w:color w:val="0000EE"/>
            <w:u w:val="single"/>
          </w:rPr>
          <w:t>Actes 4.36</w:t>
        </w:r>
      </w:hyperlink>
      <w:r>
        <w:t xml:space="preserve">. </w:t>
      </w:r>
      <w:r>
        <w:rPr>
          <w:i/>
        </w:rPr>
        <w:t>Voir</w:t>
      </w:r>
      <w:r>
        <w:t xml:space="preserve"> </w:t>
      </w:r>
      <w:r>
        <w:t>Barnabas</w:t>
      </w:r>
      <w:r>
        <w:t>.</w:t>
      </w:r>
      <w:r/>
      <w:r/>
    </w:p>
    <w:p>
      <w:r/>
    </w:p>
    <w:p>
      <w:pPr>
        <w:pStyle w:val="Heading2"/>
      </w:pPr>
      <w:r>
        <w:t>Josué, Livre de</w:t>
      </w:r>
      <w:r/>
    </w:p>
    <w:p>
      <w:r/>
      <w:r>
        <w:t>Premier des livres historiques dans la Bible française et premier livre de la section des Premiers Prophètes (incluant Juges, les livres de Samuel et les livres des Rois) dans la Bible hébraïque. Il commence par la mission du Seigneur confiée à Josué (</w:t>
      </w:r>
      <w:hyperlink r:id="rId7444">
        <w:r>
          <w:rPr>
            <w:color w:val="0000EE"/>
            <w:u w:val="single"/>
          </w:rPr>
          <w:t>Jos 1.1–9</w:t>
        </w:r>
      </w:hyperlink>
      <w:r>
        <w:t>) et se termine par l'enterrement de Josué, Éléazar et les ossements de Joseph (</w:t>
      </w:r>
      <w:hyperlink r:id="rId7445">
        <w:r>
          <w:rPr>
            <w:color w:val="0000EE"/>
            <w:u w:val="single"/>
          </w:rPr>
          <w:t>24.29–33</w:t>
        </w:r>
      </w:hyperlink>
      <w:r>
        <w:t>). Le but du livre est de montrer comment Josué a suivi les traces de Moïse, comment le Seigneur a donné la terre à Israël, et comment Israël pourrait prospérer dans cette terre.</w:t>
      </w:r>
    </w:p>
    <w:p>
      <w:r/>
      <w:r>
        <w:t>Vue d'ensemble</w:t>
      </w:r>
    </w:p>
    <w:p>
      <w:r/>
      <w:r>
        <w:t xml:space="preserve">• </w:t>
      </w:r>
      <w:r>
        <w:rPr>
          <w:b/>
          <w:u w:val="single"/>
        </w:rPr>
        <w:t>Auteur et date</w:t>
      </w:r>
    </w:p>
    <w:p>
      <w:r/>
      <w:r>
        <w:t xml:space="preserve">• </w:t>
      </w:r>
      <w:r>
        <w:rPr>
          <w:b/>
          <w:u w:val="single"/>
        </w:rPr>
        <w:t>Problèmes d’interprétation</w:t>
      </w:r>
    </w:p>
    <w:p>
      <w:r/>
      <w:r>
        <w:t xml:space="preserve">• </w:t>
      </w:r>
      <w:r>
        <w:rPr>
          <w:b/>
          <w:u w:val="single"/>
        </w:rPr>
        <w:t>Objectif</w:t>
      </w:r>
    </w:p>
    <w:p>
      <w:r/>
      <w:r>
        <w:t xml:space="preserve">• </w:t>
      </w:r>
      <w:r>
        <w:rPr>
          <w:b/>
          <w:u w:val="single"/>
        </w:rPr>
        <w:t>Contenu du livre</w:t>
      </w:r>
    </w:p>
    <w:p>
      <w:pPr>
        <w:pStyle w:val="Heading3"/>
      </w:pPr>
      <w:r>
        <w:t>Auteur et date</w:t>
      </w:r>
    </w:p>
    <w:p>
      <w:r/>
      <w:r>
        <w:t xml:space="preserve">Selon le Talmud, c'est Josué qui est l'auteur du livre. Cette ancienne tradition est peut-être basée sur la brève déclaration que Josué « </w:t>
      </w:r>
      <w:r>
        <w:t>écrivit ces choses dans le livre de la loi de Dieu</w:t>
      </w:r>
      <w:r>
        <w:t xml:space="preserve"> » (</w:t>
      </w:r>
      <w:hyperlink r:id="rId7446">
        <w:r>
          <w:rPr>
            <w:color w:val="0000EE"/>
            <w:u w:val="single"/>
          </w:rPr>
          <w:t>24.26</w:t>
        </w:r>
      </w:hyperlink>
      <w:r>
        <w:t xml:space="preserve">). Cependant, cela ne s'applique qu'au renouvellement de l'alliance (chap. </w:t>
      </w:r>
      <w:hyperlink r:id="rId7447">
        <w:r>
          <w:rPr>
            <w:color w:val="0000EE"/>
            <w:u w:val="single"/>
          </w:rPr>
          <w:t>24</w:t>
        </w:r>
      </w:hyperlink>
      <w:r>
        <w:t>). La question de la paternité est liée à la datation du livre. Étant donné que le livre n'a pas de marqueurs non ambigus sur la date et la paternité, ni les critiques ni les experts conservateurs n'ont pu parvenir à un accord sur ces questions. Selon une analyse conservatrice de Josué, le livre a été écrit entre 1 375 av. J.‑C. et 1 045 av. J.‑C. (prémonarchique). L'argument est basé sur les références à la migration de Dan (</w:t>
      </w:r>
      <w:hyperlink r:id="rId7448">
        <w:r>
          <w:rPr>
            <w:color w:val="0000EE"/>
            <w:u w:val="single"/>
          </w:rPr>
          <w:t>19.47</w:t>
        </w:r>
      </w:hyperlink>
      <w:r>
        <w:t xml:space="preserve"> ; voir </w:t>
      </w:r>
      <w:hyperlink r:id="rId7449">
        <w:r>
          <w:rPr>
            <w:color w:val="0000EE"/>
            <w:u w:val="single"/>
          </w:rPr>
          <w:t>Jg 18.27–31</w:t>
        </w:r>
      </w:hyperlink>
      <w:r>
        <w:t>), à Jérusalem en tant que ville jébusienne (</w:t>
      </w:r>
      <w:hyperlink r:id="rId7450">
        <w:r>
          <w:rPr>
            <w:color w:val="0000EE"/>
            <w:u w:val="single"/>
          </w:rPr>
          <w:t>Jos 15.8, 63</w:t>
        </w:r>
      </w:hyperlink>
      <w:r>
        <w:t xml:space="preserve"> ; </w:t>
      </w:r>
      <w:hyperlink r:id="rId7451">
        <w:r>
          <w:rPr>
            <w:color w:val="0000EE"/>
            <w:u w:val="single"/>
          </w:rPr>
          <w:t>18.16, 28</w:t>
        </w:r>
      </w:hyperlink>
      <w:r>
        <w:t>), à Sidon plutôt qu'à Tyr comme la ville phénicienne dominante (</w:t>
      </w:r>
      <w:hyperlink r:id="rId7452">
        <w:r>
          <w:rPr>
            <w:color w:val="0000EE"/>
            <w:u w:val="single"/>
          </w:rPr>
          <w:t>11.8</w:t>
        </w:r>
      </w:hyperlink>
      <w:r>
        <w:t xml:space="preserve"> ; </w:t>
      </w:r>
      <w:hyperlink r:id="rId7453">
        <w:r>
          <w:rPr>
            <w:color w:val="0000EE"/>
            <w:u w:val="single"/>
          </w:rPr>
          <w:t>13.4–6</w:t>
        </w:r>
      </w:hyperlink>
      <w:r>
        <w:t xml:space="preserve"> ; </w:t>
      </w:r>
      <w:hyperlink r:id="rId6390">
        <w:r>
          <w:rPr>
            <w:color w:val="0000EE"/>
            <w:u w:val="single"/>
          </w:rPr>
          <w:t>19.28</w:t>
        </w:r>
      </w:hyperlink>
      <w:r>
        <w:t>), et aussi sur le style de témoin oculaire (</w:t>
      </w:r>
      <w:hyperlink r:id="rId7454">
        <w:r>
          <w:rPr>
            <w:color w:val="0000EE"/>
            <w:u w:val="single"/>
          </w:rPr>
          <w:t>5.1, 6</w:t>
        </w:r>
      </w:hyperlink>
      <w:r>
        <w:t>). Mais les érudits critiques ont soulevé des questions qu'ils considéraient pouvoir être mieux résolues en postulant une date du 7e siècle av. J.‑C. ou même une date exilique.</w:t>
      </w:r>
    </w:p>
    <w:p>
      <w:pPr>
        <w:pStyle w:val="Heading3"/>
      </w:pPr>
      <w:r>
        <w:t>Problèmes d’interprétation</w:t>
      </w:r>
    </w:p>
    <w:p>
      <w:pPr>
        <w:pStyle w:val="Heading4"/>
      </w:pPr>
      <w:r>
        <w:t>Guerre sainte</w:t>
      </w:r>
    </w:p>
    <w:p>
      <w:r/>
      <w:r>
        <w:t>La moralité de la Conquête peut être expliquée par le concept de guerre sainte. Le motif de la guerre sainte expliquerait pourquoi Israël devait détruire la population indigène (</w:t>
      </w:r>
      <w:hyperlink r:id="rId7455">
        <w:r>
          <w:rPr>
            <w:color w:val="0000EE"/>
            <w:u w:val="single"/>
          </w:rPr>
          <w:t>Dt 7.16</w:t>
        </w:r>
      </w:hyperlink>
      <w:r>
        <w:t xml:space="preserve"> ; </w:t>
      </w:r>
      <w:hyperlink r:id="rId7456">
        <w:r>
          <w:rPr>
            <w:color w:val="0000EE"/>
            <w:u w:val="single"/>
          </w:rPr>
          <w:t>20.16–18</w:t>
        </w:r>
      </w:hyperlink>
      <w:r>
        <w:t xml:space="preserve"> ; </w:t>
      </w:r>
      <w:hyperlink r:id="rId7457">
        <w:r>
          <w:rPr>
            <w:color w:val="0000EE"/>
            <w:u w:val="single"/>
          </w:rPr>
          <w:t>Jos 6.21</w:t>
        </w:r>
      </w:hyperlink>
      <w:r>
        <w:t xml:space="preserve"> ; </w:t>
      </w:r>
      <w:hyperlink r:id="rId7458">
        <w:r>
          <w:rPr>
            <w:color w:val="0000EE"/>
            <w:u w:val="single"/>
          </w:rPr>
          <w:t>8.24–26</w:t>
        </w:r>
      </w:hyperlink>
      <w:r>
        <w:t xml:space="preserve"> ; </w:t>
      </w:r>
      <w:hyperlink r:id="rId7459">
        <w:r>
          <w:rPr>
            <w:color w:val="0000EE"/>
            <w:u w:val="single"/>
          </w:rPr>
          <w:t>10.10, 28–30, 35–42</w:t>
        </w:r>
      </w:hyperlink>
      <w:r>
        <w:t xml:space="preserve"> ; </w:t>
      </w:r>
      <w:hyperlink r:id="rId7460">
        <w:r>
          <w:rPr>
            <w:color w:val="0000EE"/>
            <w:u w:val="single"/>
          </w:rPr>
          <w:t>11.11</w:t>
        </w:r>
      </w:hyperlink>
      <w:r>
        <w:t>). La justification pourrait résider dans le concept qu'Israël était l'instrument de jugement de Dieu sur les nations cananéennes. Cet argument est lié à la mention de la méchanceté des Cananéens (</w:t>
      </w:r>
      <w:hyperlink r:id="rId2549">
        <w:r>
          <w:rPr>
            <w:color w:val="0000EE"/>
            <w:u w:val="single"/>
          </w:rPr>
          <w:t>Gn 15.16</w:t>
        </w:r>
      </w:hyperlink>
      <w:r>
        <w:t xml:space="preserve"> ; </w:t>
      </w:r>
      <w:hyperlink r:id="rId7461">
        <w:r>
          <w:rPr>
            <w:color w:val="0000EE"/>
            <w:u w:val="single"/>
          </w:rPr>
          <w:t>Dt 7.2–5, 25–26</w:t>
        </w:r>
      </w:hyperlink>
      <w:r>
        <w:t xml:space="preserve"> ; </w:t>
      </w:r>
      <w:hyperlink r:id="rId7462">
        <w:r>
          <w:rPr>
            <w:color w:val="0000EE"/>
            <w:u w:val="single"/>
          </w:rPr>
          <w:t>12.30–31</w:t>
        </w:r>
      </w:hyperlink>
      <w:r>
        <w:t xml:space="preserve"> ; </w:t>
      </w:r>
      <w:hyperlink r:id="rId4105">
        <w:r>
          <w:rPr>
            <w:color w:val="0000EE"/>
            <w:u w:val="single"/>
          </w:rPr>
          <w:t>Jos 23.7</w:t>
        </w:r>
      </w:hyperlink>
      <w:r>
        <w:t xml:space="preserve"> ; </w:t>
      </w:r>
      <w:hyperlink r:id="rId7463">
        <w:r>
          <w:rPr>
            <w:color w:val="0000EE"/>
            <w:u w:val="single"/>
          </w:rPr>
          <w:t>Jg 2.11</w:t>
        </w:r>
      </w:hyperlink>
      <w:r>
        <w:t>). Cependant, le récit canonique de la progression de la Conquête met la responsabilité sur les Cananéens. Ils ont marché et combattu contre Israël (</w:t>
      </w:r>
      <w:hyperlink r:id="rId7464">
        <w:r>
          <w:rPr>
            <w:color w:val="0000EE"/>
            <w:u w:val="single"/>
          </w:rPr>
          <w:t>Nb 21.21–35</w:t>
        </w:r>
      </w:hyperlink>
      <w:r>
        <w:t xml:space="preserve"> ; </w:t>
      </w:r>
      <w:hyperlink r:id="rId7465">
        <w:r>
          <w:rPr>
            <w:color w:val="0000EE"/>
            <w:u w:val="single"/>
          </w:rPr>
          <w:t>Jos 7.4–5</w:t>
        </w:r>
      </w:hyperlink>
      <w:r>
        <w:t xml:space="preserve"> ; </w:t>
      </w:r>
      <w:hyperlink r:id="rId7466">
        <w:r>
          <w:rPr>
            <w:color w:val="0000EE"/>
            <w:u w:val="single"/>
          </w:rPr>
          <w:t>8.5, 16–17</w:t>
        </w:r>
      </w:hyperlink>
      <w:r>
        <w:t xml:space="preserve"> ; </w:t>
      </w:r>
      <w:hyperlink r:id="rId766">
        <w:r>
          <w:rPr>
            <w:color w:val="0000EE"/>
            <w:u w:val="single"/>
          </w:rPr>
          <w:t>9.1–2</w:t>
        </w:r>
      </w:hyperlink>
      <w:r>
        <w:t xml:space="preserve"> ; </w:t>
      </w:r>
      <w:hyperlink r:id="rId7467">
        <w:r>
          <w:rPr>
            <w:color w:val="0000EE"/>
            <w:u w:val="single"/>
          </w:rPr>
          <w:t>10.1–6</w:t>
        </w:r>
      </w:hyperlink>
      <w:r>
        <w:t xml:space="preserve"> ; </w:t>
      </w:r>
      <w:hyperlink r:id="rId771">
        <w:r>
          <w:rPr>
            <w:color w:val="0000EE"/>
            <w:u w:val="single"/>
          </w:rPr>
          <w:t>11.1–5</w:t>
        </w:r>
      </w:hyperlink>
      <w:r>
        <w:t xml:space="preserve"> ; </w:t>
      </w:r>
      <w:hyperlink r:id="rId6061">
        <w:r>
          <w:rPr>
            <w:color w:val="0000EE"/>
            <w:u w:val="single"/>
          </w:rPr>
          <w:t>24.11</w:t>
        </w:r>
      </w:hyperlink>
      <w:r>
        <w:t xml:space="preserve">). Par conséquent, on pourrait soutenir que dans le processus de guerre, une invitation sincère à faire la paix aurait été donnée aux rois (voir </w:t>
      </w:r>
      <w:hyperlink r:id="rId7468">
        <w:r>
          <w:rPr>
            <w:color w:val="0000EE"/>
            <w:u w:val="single"/>
          </w:rPr>
          <w:t>Nb 21.21–22</w:t>
        </w:r>
      </w:hyperlink>
      <w:r>
        <w:t xml:space="preserve"> ; </w:t>
      </w:r>
      <w:hyperlink r:id="rId7469">
        <w:r>
          <w:rPr>
            <w:color w:val="0000EE"/>
            <w:u w:val="single"/>
          </w:rPr>
          <w:t>Dt 20.10–11</w:t>
        </w:r>
      </w:hyperlink>
      <w:r>
        <w:t xml:space="preserve">) mais a été refusée. Au lieu de cela, les rois ont pris l'initiative dans la bataille. La responsabilité de la destruction de la population native incombait donc à ses dirigeants. Cependant, tout cela était une preuve de l'action de Dieu dans les affaires humaines, que la Bible déclare simplement : « </w:t>
      </w:r>
      <w:r>
        <w:t>Car l’Éternel permit que ces peuples s’obstinassent à faire la guerre contre Israël, afin qu’Israël les dévouât par interdit, sans qu’il y eût pour eux de miséricorde, et qu’il les détruisît, comme l’Éternel l’avait ordonné à Moïse</w:t>
      </w:r>
      <w:r>
        <w:t xml:space="preserve"> » (</w:t>
      </w:r>
      <w:hyperlink r:id="rId4444">
        <w:r>
          <w:rPr>
            <w:color w:val="0000EE"/>
            <w:u w:val="single"/>
          </w:rPr>
          <w:t>Jos 11.20</w:t>
        </w:r>
      </w:hyperlink>
      <w:r>
        <w:t>). Tout comme Pharaon, dont le Seigneur a endurci le cœur, était responsable des fléaux en Égypte, de même les dirigeants cananéens étaient responsables de l'extermination de leurs populations. Le récit biblique de la Conquête affirme le mystère de la responsabilité humaine et de la souveraineté divine sans l'expliquer.</w:t>
      </w:r>
    </w:p>
    <w:p>
      <w:pPr>
        <w:pStyle w:val="Heading4"/>
      </w:pPr>
      <w:r>
        <w:t>Nature de la conquête</w:t>
      </w:r>
    </w:p>
    <w:p>
      <w:r/>
      <w:r>
        <w:t xml:space="preserve">Différentes explications de la nature de la Conquête ont été données. La vision traditionnelle d'une conquête de type « blitzkrieg », qui a abouti à une occupation complète de tout le pays (cf. </w:t>
      </w:r>
      <w:hyperlink r:id="rId7470">
        <w:r>
          <w:rPr>
            <w:color w:val="0000EE"/>
            <w:u w:val="single"/>
          </w:rPr>
          <w:t>Jos 10.40</w:t>
        </w:r>
      </w:hyperlink>
      <w:r>
        <w:t xml:space="preserve"> ; </w:t>
      </w:r>
      <w:hyperlink r:id="rId7471">
        <w:r>
          <w:rPr>
            <w:color w:val="0000EE"/>
            <w:u w:val="single"/>
          </w:rPr>
          <w:t>11.1–3, 16–19</w:t>
        </w:r>
      </w:hyperlink>
      <w:r>
        <w:t>), ne correspond pas au tableau d'ensemble du livre. Le livre présente une description réaliste des zones qui devaient encore être conquises (</w:t>
      </w:r>
      <w:hyperlink r:id="rId7472">
        <w:r>
          <w:rPr>
            <w:color w:val="0000EE"/>
            <w:u w:val="single"/>
          </w:rPr>
          <w:t>13.1–7</w:t>
        </w:r>
      </w:hyperlink>
      <w:r>
        <w:t xml:space="preserve">) et de la force militaire de la population indigène (voir </w:t>
      </w:r>
      <w:hyperlink r:id="rId7473">
        <w:r>
          <w:rPr>
            <w:color w:val="0000EE"/>
            <w:u w:val="single"/>
          </w:rPr>
          <w:t>13.13</w:t>
        </w:r>
      </w:hyperlink>
      <w:r>
        <w:t xml:space="preserve"> ; </w:t>
      </w:r>
      <w:hyperlink r:id="rId7216">
        <w:r>
          <w:rPr>
            <w:color w:val="0000EE"/>
            <w:u w:val="single"/>
          </w:rPr>
          <w:t>15.63</w:t>
        </w:r>
      </w:hyperlink>
      <w:r>
        <w:t xml:space="preserve"> ; </w:t>
      </w:r>
      <w:hyperlink r:id="rId7474">
        <w:r>
          <w:rPr>
            <w:color w:val="0000EE"/>
            <w:u w:val="single"/>
          </w:rPr>
          <w:t>16.10</w:t>
        </w:r>
      </w:hyperlink>
      <w:r>
        <w:t xml:space="preserve"> ; </w:t>
      </w:r>
      <w:hyperlink r:id="rId7475">
        <w:r>
          <w:rPr>
            <w:color w:val="0000EE"/>
            <w:u w:val="single"/>
          </w:rPr>
          <w:t>17.12–18</w:t>
        </w:r>
      </w:hyperlink>
      <w:r>
        <w:t xml:space="preserve"> ; </w:t>
      </w:r>
      <w:hyperlink r:id="rId7448">
        <w:r>
          <w:rPr>
            <w:color w:val="0000EE"/>
            <w:u w:val="single"/>
          </w:rPr>
          <w:t>19.47</w:t>
        </w:r>
      </w:hyperlink>
      <w:r>
        <w:t>). De plus, Josué promet que le Seigneur continuerait d'aider Israël à occuper le pays, au fur et à mesure que sa population et ses besoins se développaient (</w:t>
      </w:r>
      <w:hyperlink r:id="rId7476">
        <w:r>
          <w:rPr>
            <w:color w:val="0000EE"/>
            <w:u w:val="single"/>
          </w:rPr>
          <w:t>23.5</w:t>
        </w:r>
      </w:hyperlink>
      <w:r>
        <w:t xml:space="preserve">). L'occupation de Canaan s'est faite en deux étapes : conquête et occupation progressive (voir </w:t>
      </w:r>
      <w:hyperlink r:id="rId7477">
        <w:r>
          <w:rPr>
            <w:color w:val="0000EE"/>
            <w:u w:val="single"/>
          </w:rPr>
          <w:t>Ex 23.29–30</w:t>
        </w:r>
      </w:hyperlink>
      <w:r>
        <w:t xml:space="preserve"> ; </w:t>
      </w:r>
      <w:hyperlink r:id="rId7478">
        <w:r>
          <w:rPr>
            <w:color w:val="0000EE"/>
            <w:u w:val="single"/>
          </w:rPr>
          <w:t>Dt 7.22</w:t>
        </w:r>
      </w:hyperlink>
      <w:r>
        <w:t>).</w:t>
      </w:r>
    </w:p>
    <w:p>
      <w:pPr>
        <w:pStyle w:val="Heading3"/>
      </w:pPr>
      <w:r>
        <w:t>Objectif</w:t>
      </w:r>
    </w:p>
    <w:p>
      <w:r/>
      <w:r>
        <w:t>Le rôle de la forme finale (canonique) du livre est de montrer l'obéissance de Josué à la loi de Moïse. La victoire et la défaite illustrent l'obéissance et la désobéissance. Il existe bien entendu une tension ici, car les descriptions de la Conquête sont à la fois complètes et incomplètes. Cette tension est un dispositif dynamique pour démontrer que la Conquête et la jouissance de la terre dépendent entièrement de l'obéissance. La période de Josué est considérée comme un paradigme de l'Israël obéissante. Ainsi, une lecture holistique du livre présente un appel à la loyauté envers l'alliance, destiné aux générations futures.</w:t>
      </w:r>
    </w:p>
    <w:p>
      <w:pPr>
        <w:pStyle w:val="Heading3"/>
      </w:pPr>
      <w:r>
        <w:t>Contenu du livre</w:t>
      </w:r>
    </w:p>
    <w:p>
      <w:pPr>
        <w:pStyle w:val="Heading4"/>
      </w:pPr>
      <w:r>
        <w:t xml:space="preserve">Conquête de la Terre, </w:t>
      </w:r>
      <w:hyperlink r:id="rId3059">
        <w:r>
          <w:rPr>
            <w:color w:val="0000EE"/>
            <w:u w:val="single"/>
          </w:rPr>
          <w:t>1.1–12.24</w:t>
        </w:r>
      </w:hyperlink>
    </w:p>
    <w:p>
      <w:r/>
      <w:r>
        <w:t xml:space="preserve">Le Mandat du Seigneur confié à Josué, </w:t>
      </w:r>
      <w:hyperlink r:id="rId7444">
        <w:r>
          <w:rPr>
            <w:color w:val="0000EE"/>
            <w:u w:val="single"/>
          </w:rPr>
          <w:t>1.1–9</w:t>
        </w:r>
      </w:hyperlink>
    </w:p>
    <w:p>
      <w:r/>
      <w:r>
        <w:t>Avec la mort de Moïse (</w:t>
      </w:r>
      <w:hyperlink r:id="rId7479">
        <w:r>
          <w:rPr>
            <w:color w:val="0000EE"/>
            <w:u w:val="single"/>
          </w:rPr>
          <w:t>Jos 1.1</w:t>
        </w:r>
      </w:hyperlink>
      <w:r>
        <w:t>), le Seigneur lui-même confirme l'ordination de Josué par Moïse (</w:t>
      </w:r>
      <w:hyperlink r:id="rId7480">
        <w:r>
          <w:rPr>
            <w:color w:val="0000EE"/>
            <w:u w:val="single"/>
          </w:rPr>
          <w:t>Dt 34.9</w:t>
        </w:r>
      </w:hyperlink>
      <w:r>
        <w:t>). Il lui confie le leadership dans la conquête de Canaan (</w:t>
      </w:r>
      <w:hyperlink r:id="rId7481">
        <w:r>
          <w:rPr>
            <w:color w:val="0000EE"/>
            <w:u w:val="single"/>
          </w:rPr>
          <w:t>Jos 1.2–3</w:t>
        </w:r>
      </w:hyperlink>
      <w:r>
        <w:t xml:space="preserve">), définit les frontières géographiques du pays (v. </w:t>
      </w:r>
      <w:hyperlink r:id="rId5148">
        <w:r>
          <w:rPr>
            <w:color w:val="0000EE"/>
            <w:u w:val="single"/>
          </w:rPr>
          <w:t>4</w:t>
        </w:r>
      </w:hyperlink>
      <w:r>
        <w:t xml:space="preserve">), l'encourage en lui promettant sa présence continue (v. </w:t>
      </w:r>
      <w:hyperlink r:id="rId7482">
        <w:r>
          <w:rPr>
            <w:color w:val="0000EE"/>
            <w:u w:val="single"/>
          </w:rPr>
          <w:t>5, 9</w:t>
        </w:r>
      </w:hyperlink>
      <w:r>
        <w:t xml:space="preserve">), et s'attend à ce qu'il suive dévotement « la loi de Moïse » (c'est-à-dire, la loi donnée dans le Deutéronome ; voir </w:t>
      </w:r>
      <w:hyperlink r:id="rId7483">
        <w:r>
          <w:rPr>
            <w:color w:val="0000EE"/>
            <w:u w:val="single"/>
          </w:rPr>
          <w:t>Dt 31.9, 24–26</w:t>
        </w:r>
      </w:hyperlink>
      <w:r>
        <w:t xml:space="preserve"> ; </w:t>
      </w:r>
      <w:hyperlink r:id="rId7484">
        <w:r>
          <w:rPr>
            <w:color w:val="0000EE"/>
            <w:u w:val="single"/>
          </w:rPr>
          <w:t>Jos 23.6</w:t>
        </w:r>
      </w:hyperlink>
      <w:r>
        <w:t>), afin qu'il réussisse dans sa mission (</w:t>
      </w:r>
      <w:hyperlink r:id="rId7485">
        <w:r>
          <w:rPr>
            <w:color w:val="0000EE"/>
            <w:u w:val="single"/>
          </w:rPr>
          <w:t>1.7–8</w:t>
        </w:r>
      </w:hyperlink>
      <w:r>
        <w:t>). La mission originale, ainsi que le ministère de Moïse, trouvent leur continuité en Josué.</w:t>
      </w:r>
    </w:p>
    <w:p>
      <w:r/>
      <w:r>
        <w:t xml:space="preserve">Traversée du Jourdain, </w:t>
      </w:r>
      <w:hyperlink r:id="rId7486">
        <w:r>
          <w:rPr>
            <w:color w:val="0000EE"/>
            <w:u w:val="single"/>
          </w:rPr>
          <w:t>1.10–5.12</w:t>
        </w:r>
      </w:hyperlink>
    </w:p>
    <w:p>
      <w:r/>
      <w:r>
        <w:t>La première étape consiste à préparer Israël. En tant que chef, Josué doit montrer au peuple qu'il suit les traces de Moïse. Il le fait en rappelant aux tribus transjordaniennes de démontrer leur loyauté au commandement de Moïse en se joignant aux autres tribus dans la conquête de Canaan (</w:t>
      </w:r>
      <w:hyperlink r:id="rId7487">
        <w:r>
          <w:rPr>
            <w:color w:val="0000EE"/>
            <w:u w:val="single"/>
          </w:rPr>
          <w:t>1.13–15</w:t>
        </w:r>
      </w:hyperlink>
      <w:r>
        <w:t xml:space="preserve"> ; voir </w:t>
      </w:r>
      <w:hyperlink r:id="rId7488">
        <w:r>
          <w:rPr>
            <w:color w:val="0000EE"/>
            <w:u w:val="single"/>
          </w:rPr>
          <w:t>Nb 32.20–27</w:t>
        </w:r>
      </w:hyperlink>
      <w:r>
        <w:t>). Elles se soumettent à l'autorité de Josué comme à celle de Moïse (</w:t>
      </w:r>
      <w:hyperlink r:id="rId7489">
        <w:r>
          <w:rPr>
            <w:color w:val="0000EE"/>
            <w:u w:val="single"/>
          </w:rPr>
          <w:t>Jos 1.16–18</w:t>
        </w:r>
      </w:hyperlink>
      <w:r>
        <w:t xml:space="preserve">). Il démontre son leadership militaire en envoyant les deux espions à Jéricho (chap. </w:t>
      </w:r>
      <w:hyperlink r:id="rId7153">
        <w:r>
          <w:rPr>
            <w:color w:val="0000EE"/>
            <w:u w:val="single"/>
          </w:rPr>
          <w:t>2</w:t>
        </w:r>
      </w:hyperlink>
      <w:r>
        <w:t>). Son autorité est acceptée par les prêtres (</w:t>
      </w:r>
      <w:hyperlink r:id="rId7490">
        <w:r>
          <w:rPr>
            <w:color w:val="0000EE"/>
            <w:u w:val="single"/>
          </w:rPr>
          <w:t>3.6</w:t>
        </w:r>
      </w:hyperlink>
      <w:r>
        <w:t xml:space="preserve"> ; </w:t>
      </w:r>
      <w:hyperlink r:id="rId7491">
        <w:r>
          <w:rPr>
            <w:color w:val="0000EE"/>
            <w:u w:val="single"/>
          </w:rPr>
          <w:t>4.10</w:t>
        </w:r>
      </w:hyperlink>
      <w:r>
        <w:t>) et le peuple (</w:t>
      </w:r>
      <w:hyperlink r:id="rId7492">
        <w:r>
          <w:rPr>
            <w:color w:val="0000EE"/>
            <w:u w:val="single"/>
          </w:rPr>
          <w:t>3.5–9</w:t>
        </w:r>
      </w:hyperlink>
      <w:r>
        <w:t>) alors qu'ils traversent le Jourdain. La traversée du Jourdain marque la reconnaissance publique de Josué en tant que chef, à l'instar de Moïse (</w:t>
      </w:r>
      <w:hyperlink r:id="rId7493">
        <w:r>
          <w:rPr>
            <w:color w:val="0000EE"/>
            <w:u w:val="single"/>
          </w:rPr>
          <w:t>4.14</w:t>
        </w:r>
      </w:hyperlink>
      <w:r>
        <w:t>).</w:t>
      </w:r>
    </w:p>
    <w:p>
      <w:r/>
      <w:r>
        <w:t>Le récit de la traversée marque une transition importante de l'ère de l'exode/désert à l'ère de la Conquête. D'une part, l'histoire de Rahab illustre comment les Cananéens avaient entendu parler des actes puissants du Seigneur (</w:t>
      </w:r>
      <w:hyperlink r:id="rId7494">
        <w:r>
          <w:rPr>
            <w:color w:val="0000EE"/>
            <w:u w:val="single"/>
          </w:rPr>
          <w:t>2.10–11</w:t>
        </w:r>
      </w:hyperlink>
      <w:r>
        <w:t xml:space="preserve">) et ont réagi avec une grande peur (voir </w:t>
      </w:r>
      <w:hyperlink r:id="rId7495">
        <w:r>
          <w:rPr>
            <w:color w:val="0000EE"/>
            <w:u w:val="single"/>
          </w:rPr>
          <w:t>Ex 15.15</w:t>
        </w:r>
      </w:hyperlink>
      <w:r>
        <w:t xml:space="preserve"> ; </w:t>
      </w:r>
      <w:hyperlink r:id="rId7496">
        <w:r>
          <w:rPr>
            <w:color w:val="0000EE"/>
            <w:u w:val="single"/>
          </w:rPr>
          <w:t>23.27–28</w:t>
        </w:r>
      </w:hyperlink>
      <w:r>
        <w:t xml:space="preserve"> ; </w:t>
      </w:r>
      <w:hyperlink r:id="rId7497">
        <w:r>
          <w:rPr>
            <w:color w:val="0000EE"/>
            <w:u w:val="single"/>
          </w:rPr>
          <w:t>Dt 2.25</w:t>
        </w:r>
      </w:hyperlink>
      <w:r>
        <w:t xml:space="preserve"> ; </w:t>
      </w:r>
      <w:hyperlink r:id="rId7498">
        <w:r>
          <w:rPr>
            <w:color w:val="0000EE"/>
            <w:u w:val="single"/>
          </w:rPr>
          <w:t>7.23</w:t>
        </w:r>
      </w:hyperlink>
      <w:r>
        <w:t xml:space="preserve"> ; </w:t>
      </w:r>
      <w:hyperlink r:id="rId7499">
        <w:r>
          <w:rPr>
            <w:color w:val="0000EE"/>
            <w:u w:val="single"/>
          </w:rPr>
          <w:t>11.25</w:t>
        </w:r>
      </w:hyperlink>
      <w:r>
        <w:t xml:space="preserve"> ; </w:t>
      </w:r>
      <w:hyperlink r:id="rId7500">
        <w:r>
          <w:rPr>
            <w:color w:val="0000EE"/>
            <w:u w:val="single"/>
          </w:rPr>
          <w:t>32.30</w:t>
        </w:r>
      </w:hyperlink>
      <w:r>
        <w:t>). L'expression de foi de Rahab envers le Dieu d'Israël (</w:t>
      </w:r>
      <w:hyperlink r:id="rId7501">
        <w:r>
          <w:rPr>
            <w:color w:val="0000EE"/>
            <w:u w:val="single"/>
          </w:rPr>
          <w:t>2.11</w:t>
        </w:r>
      </w:hyperlink>
      <w:r>
        <w:t>) anticipe l'inclusion des Gentils dans la communauté de l'alliance, comme promis aux patriarches (</w:t>
      </w:r>
      <w:hyperlink r:id="rId555">
        <w:r>
          <w:rPr>
            <w:color w:val="0000EE"/>
            <w:u w:val="single"/>
          </w:rPr>
          <w:t>Gn 12.3</w:t>
        </w:r>
      </w:hyperlink>
      <w:r>
        <w:t>). Par la foi, Rahab est incluse dans l'alliance et sera richement récompensée par l'inclusion de son nom dans la lignée de Jésus (</w:t>
      </w:r>
      <w:hyperlink r:id="rId7502">
        <w:r>
          <w:rPr>
            <w:color w:val="0000EE"/>
            <w:u w:val="single"/>
          </w:rPr>
          <w:t>Mt 1.5</w:t>
        </w:r>
      </w:hyperlink>
      <w:r>
        <w:t>).</w:t>
      </w:r>
    </w:p>
    <w:p>
      <w:r/>
      <w:r>
        <w:t>Les Israélites traversent le Jourdain, sachant que la crainte de Dieu était tombée sur les Cananéens (</w:t>
      </w:r>
      <w:hyperlink r:id="rId7503">
        <w:r>
          <w:rPr>
            <w:color w:val="0000EE"/>
            <w:u w:val="single"/>
          </w:rPr>
          <w:t>Jos 2.24</w:t>
        </w:r>
      </w:hyperlink>
      <w:r>
        <w:t>). Cependant, ils reçoivent également l'instruction de montrer leur révérence pour le Seigneur en gardant une distance de sécurité entre eux et l'arche de l'alliance (</w:t>
      </w:r>
      <w:hyperlink r:id="rId2455">
        <w:r>
          <w:rPr>
            <w:color w:val="0000EE"/>
            <w:u w:val="single"/>
          </w:rPr>
          <w:t>3.4</w:t>
        </w:r>
      </w:hyperlink>
      <w:r>
        <w:t xml:space="preserve">) et en se consacrant eux-mêmes (v </w:t>
      </w:r>
      <w:hyperlink r:id="rId7504">
        <w:r>
          <w:rPr>
            <w:color w:val="0000EE"/>
            <w:u w:val="single"/>
          </w:rPr>
          <w:t>5</w:t>
        </w:r>
      </w:hyperlink>
      <w:r>
        <w:t xml:space="preserve">). Le « Dieu vivant » était parmi eux et exigeait sainteté et révérence de la part de son peuple (v. </w:t>
      </w:r>
      <w:hyperlink r:id="rId6060">
        <w:r>
          <w:rPr>
            <w:color w:val="0000EE"/>
            <w:u w:val="single"/>
          </w:rPr>
          <w:t>10</w:t>
        </w:r>
      </w:hyperlink>
      <w:r>
        <w:t xml:space="preserve">). En retour, il démontrerait sa loyauté à travers le passage miraculeux à travers le Jourdain (v. </w:t>
      </w:r>
      <w:hyperlink r:id="rId7505">
        <w:r>
          <w:rPr>
            <w:color w:val="0000EE"/>
            <w:u w:val="single"/>
          </w:rPr>
          <w:t>13</w:t>
        </w:r>
      </w:hyperlink>
      <w:r>
        <w:t>) et la conquête du pays (</w:t>
      </w:r>
      <w:hyperlink r:id="rId6060">
        <w:r>
          <w:rPr>
            <w:color w:val="0000EE"/>
            <w:u w:val="single"/>
          </w:rPr>
          <w:t>3.10</w:t>
        </w:r>
      </w:hyperlink>
      <w:r>
        <w:t>). Après que les tribus aient traversé la rivière (</w:t>
      </w:r>
      <w:hyperlink r:id="rId7506">
        <w:r>
          <w:rPr>
            <w:color w:val="0000EE"/>
            <w:u w:val="single"/>
          </w:rPr>
          <w:t>4.1</w:t>
        </w:r>
      </w:hyperlink>
      <w:r>
        <w:t xml:space="preserve">), chaque chef des douze tribus prendra une pierre du lit asséché de la rivière et érigera un mémorial à Guilgal (v. </w:t>
      </w:r>
      <w:hyperlink r:id="rId7507">
        <w:r>
          <w:rPr>
            <w:color w:val="0000EE"/>
            <w:u w:val="single"/>
          </w:rPr>
          <w:t>1–9, 20</w:t>
        </w:r>
      </w:hyperlink>
      <w:r>
        <w:t xml:space="preserve">). Israël devait se souvenir que les pierres, prises de l'endroit où les prêtres qui portaient l'arche s'étaient tenus, étaient des rappels de la présence majestueuse de Dieu. Les générations futures qui devaient entendre ce rapport (v. </w:t>
      </w:r>
      <w:hyperlink r:id="rId7508">
        <w:r>
          <w:rPr>
            <w:color w:val="0000EE"/>
            <w:u w:val="single"/>
          </w:rPr>
          <w:t>21–24</w:t>
        </w:r>
      </w:hyperlink>
      <w:r>
        <w:t xml:space="preserve">) étaient ainsi encouragées car la crainte de Dieu tomberait sur tous les peuples du pays (v. </w:t>
      </w:r>
      <w:hyperlink r:id="rId7509">
        <w:r>
          <w:rPr>
            <w:color w:val="0000EE"/>
            <w:u w:val="single"/>
          </w:rPr>
          <w:t>24</w:t>
        </w:r>
      </w:hyperlink>
      <w:r>
        <w:t>).</w:t>
      </w:r>
    </w:p>
    <w:p>
      <w:r/>
      <w:r>
        <w:t>La consécration avant la conquête de Jéricho est également symbolisée par l'acte de la circoncision (</w:t>
      </w:r>
      <w:hyperlink r:id="rId7510">
        <w:r>
          <w:rPr>
            <w:color w:val="0000EE"/>
            <w:u w:val="single"/>
          </w:rPr>
          <w:t>5.1–9</w:t>
        </w:r>
      </w:hyperlink>
      <w:r>
        <w:t xml:space="preserve">) et par la célébration de la Pâque (v. </w:t>
      </w:r>
      <w:hyperlink r:id="rId7511">
        <w:r>
          <w:rPr>
            <w:color w:val="0000EE"/>
            <w:u w:val="single"/>
          </w:rPr>
          <w:t>10–12</w:t>
        </w:r>
      </w:hyperlink>
      <w:r>
        <w:t xml:space="preserve">). Les événements ne sont pas nécessairement liés chronologiquement, mais seront choisis comme exemples de la réceptivité d'Israël au ministère de Josué. L'appel de Moïse à la nouvelle génération fera son effet (voir </w:t>
      </w:r>
      <w:hyperlink r:id="rId7512">
        <w:r>
          <w:rPr>
            <w:color w:val="0000EE"/>
            <w:u w:val="single"/>
          </w:rPr>
          <w:t>Dt 4.4–14</w:t>
        </w:r>
      </w:hyperlink>
      <w:r>
        <w:t xml:space="preserve"> ; </w:t>
      </w:r>
      <w:hyperlink r:id="rId7513">
        <w:r>
          <w:rPr>
            <w:color w:val="0000EE"/>
            <w:u w:val="single"/>
          </w:rPr>
          <w:t>6.1–5</w:t>
        </w:r>
      </w:hyperlink>
      <w:r>
        <w:t>). La nouvelle génération servira le Seigneur tant que Josué et les anciens étaient vivants (</w:t>
      </w:r>
      <w:hyperlink r:id="rId7514">
        <w:r>
          <w:rPr>
            <w:color w:val="0000EE"/>
            <w:u w:val="single"/>
          </w:rPr>
          <w:t>Jos 24.31</w:t>
        </w:r>
      </w:hyperlink>
      <w:r>
        <w:t>). La circoncision physique, négligée pendant le voyage dans le désert (</w:t>
      </w:r>
      <w:hyperlink r:id="rId7515">
        <w:r>
          <w:rPr>
            <w:color w:val="0000EE"/>
            <w:u w:val="single"/>
          </w:rPr>
          <w:t>5.5</w:t>
        </w:r>
      </w:hyperlink>
      <w:r>
        <w:t xml:space="preserve">) en raison de l'incrédulité, était un signe de réceptivité spirituelle. La nation réceptive recevra le signe extérieur de l'alliance avec l'anticipation que le Seigneur de l'alliance bénirait son peuple en lui accordant la victoire et le fruit du pays. Leur opprobre avait été ôté (v. </w:t>
      </w:r>
      <w:hyperlink r:id="rId7516">
        <w:r>
          <w:rPr>
            <w:color w:val="0000EE"/>
            <w:u w:val="single"/>
          </w:rPr>
          <w:t>9</w:t>
        </w:r>
      </w:hyperlink>
      <w:r>
        <w:t xml:space="preserve">). La continuité de l'alliance est également mise en évidence par la brève mention de la célébration de la Pâque. La nouveauté est leur consommation du fruit du pays. Goûtant à la nourriture de Canaan, la manne cesse. L'expérience du désert était terminée. Une nouvelle ère est inaugurée avec leur présence dans la Terre Promise (v. </w:t>
      </w:r>
      <w:hyperlink r:id="rId7517">
        <w:r>
          <w:rPr>
            <w:color w:val="0000EE"/>
            <w:u w:val="single"/>
          </w:rPr>
          <w:t>11–12</w:t>
        </w:r>
      </w:hyperlink>
      <w:r>
        <w:t>).</w:t>
      </w:r>
    </w:p>
    <w:p>
      <w:r/>
      <w:r>
        <w:t xml:space="preserve">Conquête de Jéricho, </w:t>
      </w:r>
      <w:hyperlink r:id="rId7518">
        <w:r>
          <w:rPr>
            <w:color w:val="0000EE"/>
            <w:u w:val="single"/>
          </w:rPr>
          <w:t>5.13–6.27</w:t>
        </w:r>
      </w:hyperlink>
    </w:p>
    <w:p>
      <w:r/>
      <w:r>
        <w:t>La victoire appartient au Seigneur. Voilà le message avec lequel commence la bataille de Jéricho. Le Dieu saint qui était apparu à Moïse dans le buisson ardent (</w:t>
      </w:r>
      <w:hyperlink r:id="rId7519">
        <w:r>
          <w:rPr>
            <w:color w:val="0000EE"/>
            <w:u w:val="single"/>
          </w:rPr>
          <w:t>Ex 3.2–4.17</w:t>
        </w:r>
      </w:hyperlink>
      <w:r>
        <w:t>) apparaît à Josué en tant que commandant de l'armée du Seigneur (</w:t>
      </w:r>
      <w:hyperlink r:id="rId4000">
        <w:r>
          <w:rPr>
            <w:color w:val="0000EE"/>
            <w:u w:val="single"/>
          </w:rPr>
          <w:t>Jos 5.14–15</w:t>
        </w:r>
      </w:hyperlink>
      <w:r>
        <w:t>) avec un message de la part du Seigneur (</w:t>
      </w:r>
      <w:hyperlink r:id="rId7520">
        <w:r>
          <w:rPr>
            <w:color w:val="0000EE"/>
            <w:u w:val="single"/>
          </w:rPr>
          <w:t>6.2</w:t>
        </w:r>
      </w:hyperlink>
      <w:r>
        <w:t xml:space="preserve">). La ville de Jéricho tombera sans siège ni bataille. La réponse d'Israël à la préparation de Jéricho pour la guerre (voir </w:t>
      </w:r>
      <w:hyperlink r:id="rId6061">
        <w:r>
          <w:rPr>
            <w:color w:val="0000EE"/>
            <w:u w:val="single"/>
          </w:rPr>
          <w:t>24.11</w:t>
        </w:r>
      </w:hyperlink>
      <w:r>
        <w:t>) était étrange, mais la présence de l'arche et le son des trompettes symbolisaient que le Seigneur combattrait pour Israël, comme il l'avait promis. Cependant, Israël ne pouvait prendre aucun butin. Parce que Yahvé a combattu pour Israël, tout devait lui être consacré (</w:t>
      </w:r>
      <w:hyperlink r:id="rId1209">
        <w:r>
          <w:rPr>
            <w:color w:val="0000EE"/>
            <w:u w:val="single"/>
          </w:rPr>
          <w:t>6.17</w:t>
        </w:r>
      </w:hyperlink>
      <w:r>
        <w:t xml:space="preserve">). Le Seigneur honorera le vœu fait à Rahab par les espions, de sorte qu'elle et sa famille seront gardées en vie (v. </w:t>
      </w:r>
      <w:hyperlink r:id="rId7521">
        <w:r>
          <w:rPr>
            <w:color w:val="0000EE"/>
            <w:u w:val="single"/>
          </w:rPr>
          <w:t>17, 25</w:t>
        </w:r>
      </w:hyperlink>
      <w:r>
        <w:t xml:space="preserve">), bien qu'elles soient temporairement placées à l'extérieur du camp (v. </w:t>
      </w:r>
      <w:hyperlink r:id="rId7522">
        <w:r>
          <w:rPr>
            <w:color w:val="0000EE"/>
            <w:u w:val="single"/>
          </w:rPr>
          <w:t>23</w:t>
        </w:r>
      </w:hyperlink>
      <w:r>
        <w:t xml:space="preserve">). Les métaux précieux seront placés dans le trésor (v. </w:t>
      </w:r>
      <w:hyperlink r:id="rId5750">
        <w:r>
          <w:rPr>
            <w:color w:val="0000EE"/>
            <w:u w:val="single"/>
          </w:rPr>
          <w:t>19, 24</w:t>
        </w:r>
      </w:hyperlink>
      <w:r>
        <w:t xml:space="preserve">), tandis que tout le reste sera brûlé par le feu (v. </w:t>
      </w:r>
      <w:hyperlink r:id="rId7523">
        <w:r>
          <w:rPr>
            <w:color w:val="0000EE"/>
            <w:u w:val="single"/>
          </w:rPr>
          <w:t>24</w:t>
        </w:r>
      </w:hyperlink>
      <w:r>
        <w:t xml:space="preserve">). Rien ne devait être pris pour un gain personnel ; sinon le jugement de Dieu reposerait sur Israël (v. </w:t>
      </w:r>
      <w:hyperlink r:id="rId7524">
        <w:r>
          <w:rPr>
            <w:color w:val="0000EE"/>
            <w:u w:val="single"/>
          </w:rPr>
          <w:t>18</w:t>
        </w:r>
      </w:hyperlink>
      <w:r>
        <w:t>). Afin de souligner la propriété absolue de Jéricho par Dieu, Josué prononcera une malédiction sur quiconque tenterait de reconstruire la ville (</w:t>
      </w:r>
      <w:hyperlink r:id="rId7155">
        <w:r>
          <w:rPr>
            <w:color w:val="0000EE"/>
            <w:u w:val="single"/>
          </w:rPr>
          <w:t>6.26</w:t>
        </w:r>
      </w:hyperlink>
      <w:r>
        <w:t xml:space="preserve"> ; voir </w:t>
      </w:r>
      <w:hyperlink r:id="rId1872">
        <w:r>
          <w:rPr>
            <w:color w:val="0000EE"/>
            <w:u w:val="single"/>
          </w:rPr>
          <w:t>1R 16.34</w:t>
        </w:r>
      </w:hyperlink>
      <w:r>
        <w:t>). Les rumeurs de la destruction de Jéricho se répandent, et les peuples de Canaan savaient que le Seigneur était avec Josué (</w:t>
      </w:r>
      <w:hyperlink r:id="rId7525">
        <w:r>
          <w:rPr>
            <w:color w:val="0000EE"/>
            <w:u w:val="single"/>
          </w:rPr>
          <w:t>Jos 6.27</w:t>
        </w:r>
      </w:hyperlink>
      <w:r>
        <w:t xml:space="preserve"> ; voir </w:t>
      </w:r>
      <w:hyperlink r:id="rId7482">
        <w:r>
          <w:rPr>
            <w:color w:val="0000EE"/>
            <w:u w:val="single"/>
          </w:rPr>
          <w:t>1.5, 9</w:t>
        </w:r>
      </w:hyperlink>
      <w:r>
        <w:t>).</w:t>
      </w:r>
    </w:p>
    <w:p>
      <w:r/>
      <w:r>
        <w:t xml:space="preserve">Tragédie et triomphe à Aï, </w:t>
      </w:r>
      <w:hyperlink r:id="rId507">
        <w:r>
          <w:rPr>
            <w:color w:val="0000EE"/>
            <w:u w:val="single"/>
          </w:rPr>
          <w:t>7.1–8.29</w:t>
        </w:r>
      </w:hyperlink>
    </w:p>
    <w:p>
      <w:r/>
      <w:r>
        <w:t>La victoire sera de courte durée car Acan défiera l'interdiction de Dieu, prenant certains des objets, les cachant dans le sol sous sa tente (</w:t>
      </w:r>
      <w:hyperlink r:id="rId2086">
        <w:r>
          <w:rPr>
            <w:color w:val="0000EE"/>
            <w:u w:val="single"/>
          </w:rPr>
          <w:t>7.21</w:t>
        </w:r>
      </w:hyperlink>
      <w:r>
        <w:t xml:space="preserve">), et attirant la colère de Dieu sur tout Israël (v. </w:t>
      </w:r>
      <w:hyperlink r:id="rId7526">
        <w:r>
          <w:rPr>
            <w:color w:val="0000EE"/>
            <w:u w:val="single"/>
          </w:rPr>
          <w:t>1</w:t>
        </w:r>
      </w:hyperlink>
      <w:r>
        <w:t xml:space="preserve">). Israël sera stupéfait par sa défaite à Aï (v. </w:t>
      </w:r>
      <w:hyperlink r:id="rId7527">
        <w:r>
          <w:rPr>
            <w:color w:val="0000EE"/>
            <w:u w:val="single"/>
          </w:rPr>
          <w:t>2–5</w:t>
        </w:r>
      </w:hyperlink>
      <w:r>
        <w:t xml:space="preserve">). Josué et les anciens réagiront à la catastrophe en jeûnant et en se lamentant (v. </w:t>
      </w:r>
      <w:hyperlink r:id="rId7528">
        <w:r>
          <w:rPr>
            <w:color w:val="0000EE"/>
            <w:u w:val="single"/>
          </w:rPr>
          <w:t>6–9</w:t>
        </w:r>
      </w:hyperlink>
      <w:r>
        <w:t xml:space="preserve">). Quel contraste entre les rapports de victoire répandus à travers le pays et le cri angoissé du serviteur de Dieu, craignant que les Cananéens ne rassemblent leurs forces et n'anéantissent Israël (v. </w:t>
      </w:r>
      <w:hyperlink r:id="rId2165">
        <w:r>
          <w:rPr>
            <w:color w:val="0000EE"/>
            <w:u w:val="single"/>
          </w:rPr>
          <w:t>9</w:t>
        </w:r>
      </w:hyperlink>
      <w:r>
        <w:t xml:space="preserve">). Ce n'est qu'après que le peuple se soit consacré (v. </w:t>
      </w:r>
      <w:hyperlink r:id="rId7529">
        <w:r>
          <w:rPr>
            <w:color w:val="0000EE"/>
            <w:u w:val="single"/>
          </w:rPr>
          <w:t>13</w:t>
        </w:r>
      </w:hyperlink>
      <w:r>
        <w:t xml:space="preserve">) et qu'Acan ait été exposé et sa mémoire effacée (vv </w:t>
      </w:r>
      <w:hyperlink r:id="rId7530">
        <w:r>
          <w:rPr>
            <w:color w:val="0000EE"/>
            <w:u w:val="single"/>
          </w:rPr>
          <w:t>25b-26</w:t>
        </w:r>
      </w:hyperlink>
      <w:r>
        <w:t>) qu'ils pourront renouveler l'attaque sur Aï, forts de la promesse de la présence et de la victoire de Dieu (</w:t>
      </w:r>
      <w:hyperlink r:id="rId7531">
        <w:r>
          <w:rPr>
            <w:color w:val="0000EE"/>
            <w:u w:val="single"/>
          </w:rPr>
          <w:t>8.1–2</w:t>
        </w:r>
      </w:hyperlink>
      <w:r>
        <w:t xml:space="preserve">). Aï sera également prise (v. </w:t>
      </w:r>
      <w:hyperlink r:id="rId7532">
        <w:r>
          <w:rPr>
            <w:color w:val="0000EE"/>
            <w:u w:val="single"/>
          </w:rPr>
          <w:t>3–19</w:t>
        </w:r>
      </w:hyperlink>
      <w:r>
        <w:t xml:space="preserve">) et la population maudite (v. </w:t>
      </w:r>
      <w:hyperlink r:id="rId7533">
        <w:r>
          <w:rPr>
            <w:color w:val="0000EE"/>
            <w:u w:val="single"/>
          </w:rPr>
          <w:t>20–26</w:t>
        </w:r>
      </w:hyperlink>
      <w:r>
        <w:t xml:space="preserve">), mais Israël jouira des dépouilles par permission directe du Seigneur (v. </w:t>
      </w:r>
      <w:hyperlink r:id="rId7534">
        <w:r>
          <w:rPr>
            <w:color w:val="0000EE"/>
            <w:u w:val="single"/>
          </w:rPr>
          <w:t>27</w:t>
        </w:r>
      </w:hyperlink>
      <w:r>
        <w:t xml:space="preserve">). Les ruines d'Aï, le tas de pierres recouvrant le corps du roi d'Aï (v. </w:t>
      </w:r>
      <w:hyperlink r:id="rId7535">
        <w:r>
          <w:rPr>
            <w:color w:val="0000EE"/>
            <w:u w:val="single"/>
          </w:rPr>
          <w:t>28–29</w:t>
        </w:r>
      </w:hyperlink>
      <w:r>
        <w:t>), et le tas de rochers sur le corps d'Acan étaient des rappels saisissants pour Israël que la fidélité de Dieu exige une loyauté absolue de la part de son peuple.</w:t>
      </w:r>
    </w:p>
    <w:p>
      <w:r/>
      <w:r>
        <w:t xml:space="preserve">Renouvellement de l'Alliance, </w:t>
      </w:r>
      <w:hyperlink r:id="rId566">
        <w:r>
          <w:rPr>
            <w:color w:val="0000EE"/>
            <w:u w:val="single"/>
          </w:rPr>
          <w:t>8.30–35</w:t>
        </w:r>
      </w:hyperlink>
    </w:p>
    <w:p>
      <w:r/>
      <w:r>
        <w:t>Josué conduit Israël à vivre un temps de renouvellement cérémonial de l'alliance à Sichem, comme Moïse l'avait ordonné (</w:t>
      </w:r>
      <w:hyperlink r:id="rId5215">
        <w:r>
          <w:rPr>
            <w:color w:val="0000EE"/>
            <w:u w:val="single"/>
          </w:rPr>
          <w:t>Jos 8.31</w:t>
        </w:r>
      </w:hyperlink>
      <w:r>
        <w:t xml:space="preserve"> ; voir </w:t>
      </w:r>
      <w:hyperlink r:id="rId7536">
        <w:r>
          <w:rPr>
            <w:color w:val="0000EE"/>
            <w:u w:val="single"/>
          </w:rPr>
          <w:t>Dt 11.29</w:t>
        </w:r>
      </w:hyperlink>
      <w:r>
        <w:t xml:space="preserve"> ; </w:t>
      </w:r>
      <w:hyperlink r:id="rId3843">
        <w:r>
          <w:rPr>
            <w:color w:val="0000EE"/>
            <w:u w:val="single"/>
          </w:rPr>
          <w:t>27</w:t>
        </w:r>
      </w:hyperlink>
      <w:r>
        <w:t xml:space="preserve">). Josué prend soin de la préparation appropriée de l'autel (voir </w:t>
      </w:r>
      <w:hyperlink r:id="rId7537">
        <w:r>
          <w:rPr>
            <w:color w:val="0000EE"/>
            <w:u w:val="single"/>
          </w:rPr>
          <w:t>Ex 20.25</w:t>
        </w:r>
      </w:hyperlink>
      <w:r>
        <w:t>) sur lequel des offrandes dédicatoires et communautaires sont présentées. Il copie la loi comme symbole de sa direction royale et de sa dévotion envers le Seigneur (</w:t>
      </w:r>
      <w:hyperlink r:id="rId6757">
        <w:r>
          <w:rPr>
            <w:color w:val="0000EE"/>
            <w:u w:val="single"/>
          </w:rPr>
          <w:t>Jos 8.32</w:t>
        </w:r>
      </w:hyperlink>
      <w:r>
        <w:t xml:space="preserve"> ; voir </w:t>
      </w:r>
      <w:hyperlink r:id="rId7538">
        <w:r>
          <w:rPr>
            <w:color w:val="0000EE"/>
            <w:u w:val="single"/>
          </w:rPr>
          <w:t>Dt 17.18</w:t>
        </w:r>
      </w:hyperlink>
      <w:r>
        <w:t>). Tout Israël (officiers et peuple, étrangers et Israélites de naissance) se présente ensemble pour la lecture des bénédictions et des malédictions (</w:t>
      </w:r>
      <w:hyperlink r:id="rId7539">
        <w:r>
          <w:rPr>
            <w:color w:val="0000EE"/>
            <w:u w:val="single"/>
          </w:rPr>
          <w:t>Jos 8.33–35</w:t>
        </w:r>
      </w:hyperlink>
      <w:r>
        <w:t xml:space="preserve">). Le livre entier du Deutéronome (c'est-à-dire « le Livre de la Loi », voir </w:t>
      </w:r>
      <w:hyperlink r:id="rId1940">
        <w:r>
          <w:rPr>
            <w:color w:val="0000EE"/>
            <w:u w:val="single"/>
          </w:rPr>
          <w:t>Dt 31.26</w:t>
        </w:r>
      </w:hyperlink>
      <w:r>
        <w:t xml:space="preserve">) est lu en leur présence. La moitié des tribus se tenait sur le mont Garizim et disait « Amen » aux bénédictions, et les six autres se tenaient sur le mont Ébal, disant « Amen » aux malédictions (voir </w:t>
      </w:r>
      <w:hyperlink r:id="rId7540">
        <w:r>
          <w:rPr>
            <w:color w:val="0000EE"/>
            <w:u w:val="single"/>
          </w:rPr>
          <w:t>Dt 27.9–26</w:t>
        </w:r>
      </w:hyperlink>
      <w:r>
        <w:t>).</w:t>
      </w:r>
    </w:p>
    <w:p>
      <w:r/>
      <w:r>
        <w:t xml:space="preserve">Alliance avec les Gabaonites, </w:t>
      </w:r>
      <w:hyperlink r:id="rId3061">
        <w:r>
          <w:rPr>
            <w:color w:val="0000EE"/>
            <w:u w:val="single"/>
          </w:rPr>
          <w:t>9.1–27</w:t>
        </w:r>
      </w:hyperlink>
    </w:p>
    <w:p>
      <w:r/>
      <w:r>
        <w:t xml:space="preserve">Les rumeurs des actes puissants de Dieu avaient semé la peur chez les rois cananéens (voir </w:t>
      </w:r>
      <w:hyperlink r:id="rId7541">
        <w:r>
          <w:rPr>
            <w:color w:val="0000EE"/>
            <w:u w:val="single"/>
          </w:rPr>
          <w:t>Jos 2.8–11, 24</w:t>
        </w:r>
      </w:hyperlink>
      <w:r>
        <w:t xml:space="preserve"> ; </w:t>
      </w:r>
      <w:hyperlink r:id="rId2164">
        <w:r>
          <w:rPr>
            <w:color w:val="0000EE"/>
            <w:u w:val="single"/>
          </w:rPr>
          <w:t>5.1</w:t>
        </w:r>
      </w:hyperlink>
      <w:r>
        <w:t xml:space="preserve"> ; </w:t>
      </w:r>
      <w:hyperlink r:id="rId7525">
        <w:r>
          <w:rPr>
            <w:color w:val="0000EE"/>
            <w:u w:val="single"/>
          </w:rPr>
          <w:t>6.27</w:t>
        </w:r>
      </w:hyperlink>
      <w:r>
        <w:t>). La première défaite à Aï leur avait donné l'espoir qu'Israël pouvait être vaincu. Plutôt que de se soumettre à Israël et de souffrir de l'humiliation en tant que serviteurs d'Israël, ils s'uniront contre Josué et Israël (</w:t>
      </w:r>
      <w:hyperlink r:id="rId766">
        <w:r>
          <w:rPr>
            <w:color w:val="0000EE"/>
            <w:u w:val="single"/>
          </w:rPr>
          <w:t>9.1–2</w:t>
        </w:r>
      </w:hyperlink>
      <w:r>
        <w:t>).</w:t>
      </w:r>
    </w:p>
    <w:p>
      <w:r/>
      <w:r>
        <w:t>Les Héviens de Gabaon, Kephirah, Beéroth et Kirjath-Jearim (</w:t>
      </w:r>
      <w:hyperlink r:id="rId7542">
        <w:r>
          <w:rPr>
            <w:color w:val="0000EE"/>
            <w:u w:val="single"/>
          </w:rPr>
          <w:t>9.7, 17</w:t>
        </w:r>
      </w:hyperlink>
      <w:r>
        <w:t xml:space="preserve">) ne s'allieront pas avec leurs compatriotes cananéens. Au lieu de cela, ils élaboreront un plan complexe pour tromper Israël et demander un traité de paix complet. Le but du traité était l'amitié (à savoir, la « paix »), promettant de s'entraider en cas d'attaque. Leur préoccupation était de préserver leur vie (v. </w:t>
      </w:r>
      <w:hyperlink r:id="rId7543">
        <w:r>
          <w:rPr>
            <w:color w:val="0000EE"/>
            <w:u w:val="single"/>
          </w:rPr>
          <w:t>15, 24</w:t>
        </w:r>
      </w:hyperlink>
      <w:r>
        <w:t xml:space="preserve">). Leur tromperie comprenait une ruse concernant la grande distance qu'ils avaient parcourue (v. </w:t>
      </w:r>
      <w:hyperlink r:id="rId7544">
        <w:r>
          <w:rPr>
            <w:color w:val="0000EE"/>
            <w:u w:val="single"/>
          </w:rPr>
          <w:t>11–14</w:t>
        </w:r>
      </w:hyperlink>
      <w:r>
        <w:t>) et un faux rapport des victoires d'Israël en Transjordanie sans mention de leur traversée du Jourdain (</w:t>
      </w:r>
      <w:hyperlink r:id="rId7545">
        <w:r>
          <w:rPr>
            <w:color w:val="0000EE"/>
            <w:u w:val="single"/>
          </w:rPr>
          <w:t>9.9–10</w:t>
        </w:r>
      </w:hyperlink>
      <w:r>
        <w:t xml:space="preserve"> ; voir </w:t>
      </w:r>
      <w:hyperlink r:id="rId2164">
        <w:r>
          <w:rPr>
            <w:color w:val="0000EE"/>
            <w:u w:val="single"/>
          </w:rPr>
          <w:t>5.1</w:t>
        </w:r>
      </w:hyperlink>
      <w:r>
        <w:t>). La loi permettait à la ville soumise d'imposer à sa population un type de traité de suzeraineté, dans lequel Israël définissait les termes et s'attendait à ce que la population subjugée serve de travailleurs forcés (</w:t>
      </w:r>
      <w:hyperlink r:id="rId7546">
        <w:r>
          <w:rPr>
            <w:color w:val="0000EE"/>
            <w:u w:val="single"/>
          </w:rPr>
          <w:t>Dt 20.11</w:t>
        </w:r>
      </w:hyperlink>
      <w:r>
        <w:t xml:space="preserve"> ; voir </w:t>
      </w:r>
      <w:hyperlink r:id="rId7547">
        <w:r>
          <w:rPr>
            <w:color w:val="0000EE"/>
            <w:u w:val="single"/>
          </w:rPr>
          <w:t>Jg 1.28–35</w:t>
        </w:r>
      </w:hyperlink>
      <w:r>
        <w:t xml:space="preserve"> ; </w:t>
      </w:r>
      <w:hyperlink r:id="rId7548">
        <w:r>
          <w:rPr>
            <w:color w:val="0000EE"/>
            <w:u w:val="single"/>
          </w:rPr>
          <w:t>1R 9.15–21</w:t>
        </w:r>
      </w:hyperlink>
      <w:r>
        <w:t>). Cependant, le traité permettait aux Héviens de maintenir leur mode de vie avec l'avantage de la protection militaire d'Israël.</w:t>
      </w:r>
    </w:p>
    <w:p>
      <w:r/>
      <w:r>
        <w:t xml:space="preserve">La Campagne du Sud, </w:t>
      </w:r>
      <w:hyperlink r:id="rId3062">
        <w:r>
          <w:rPr>
            <w:color w:val="0000EE"/>
            <w:u w:val="single"/>
          </w:rPr>
          <w:t>10.1–43</w:t>
        </w:r>
      </w:hyperlink>
    </w:p>
    <w:p>
      <w:r/>
      <w:r>
        <w:t>Le roi de Jérusalem, Adoni-Tsédek, dirigera les villes d'Hébron, Jarmuth, Lakis et Églon dans une alliance contre Gabaon comme ruse militaire pour prendre position contre Israël (</w:t>
      </w:r>
      <w:hyperlink r:id="rId7549">
        <w:r>
          <w:rPr>
            <w:color w:val="0000EE"/>
            <w:u w:val="single"/>
          </w:rPr>
          <w:t>Jos 10.1–5</w:t>
        </w:r>
      </w:hyperlink>
      <w:r>
        <w:t xml:space="preserve">). Les Gabaonites feront appel à Israël pour obtenir de l'aide en se basant sur leur relation d'alliance (v. </w:t>
      </w:r>
      <w:hyperlink r:id="rId7550">
        <w:r>
          <w:rPr>
            <w:color w:val="0000EE"/>
            <w:u w:val="single"/>
          </w:rPr>
          <w:t>6</w:t>
        </w:r>
      </w:hyperlink>
      <w:r>
        <w:t xml:space="preserve">). Josué conduit alors Israël dans une marche de 40 km à travers le désert de Guilgal jusqu'à Gabaon en l'espace d'une nuit (v. </w:t>
      </w:r>
      <w:hyperlink r:id="rId7551">
        <w:r>
          <w:rPr>
            <w:color w:val="0000EE"/>
            <w:u w:val="single"/>
          </w:rPr>
          <w:t>7–9</w:t>
        </w:r>
      </w:hyperlink>
      <w:r>
        <w:t xml:space="preserve">). L'attaque israélite surprend les Cananéens, qui étaient déjà effrayés par les Israélites. Le camp des Cananéens sera plongé dans la confusion, et les soldats fuiront la région montagneuse par la route de Beth-Horon vers Azéka et Makkéda (v. </w:t>
      </w:r>
      <w:hyperlink r:id="rId7552">
        <w:r>
          <w:rPr>
            <w:color w:val="0000EE"/>
            <w:u w:val="single"/>
          </w:rPr>
          <w:t>10</w:t>
        </w:r>
      </w:hyperlink>
      <w:r>
        <w:t xml:space="preserve">). Dans leur fuite, ils seront tourmentés par d'énormes grêlons (v. </w:t>
      </w:r>
      <w:hyperlink r:id="rId2668">
        <w:r>
          <w:rPr>
            <w:color w:val="0000EE"/>
            <w:u w:val="single"/>
          </w:rPr>
          <w:t>11</w:t>
        </w:r>
      </w:hyperlink>
      <w:r>
        <w:t xml:space="preserve">). La victoire était celle du Seigneur. Miraculeusement, Israël repoussera les Cananéens plus loin de la région montagneuse grâce à une journée dont la longueur se prolonge (v. </w:t>
      </w:r>
      <w:hyperlink r:id="rId7553">
        <w:r>
          <w:rPr>
            <w:color w:val="0000EE"/>
            <w:u w:val="single"/>
          </w:rPr>
          <w:t>12–14</w:t>
        </w:r>
      </w:hyperlink>
      <w:r>
        <w:t xml:space="preserve">). Le miracle de ce jour sera rappelé pendant longtemps dans le livre du Juste (voir </w:t>
      </w:r>
      <w:hyperlink r:id="rId7554">
        <w:r>
          <w:rPr>
            <w:color w:val="0000EE"/>
            <w:u w:val="single"/>
          </w:rPr>
          <w:t>2S 1.18</w:t>
        </w:r>
      </w:hyperlink>
      <w:r>
        <w:t>), car en ce jour le Seigneur a écouté un homme, à savoir Josué (</w:t>
      </w:r>
      <w:hyperlink r:id="rId7555">
        <w:r>
          <w:rPr>
            <w:color w:val="0000EE"/>
            <w:u w:val="single"/>
          </w:rPr>
          <w:t>Jos 10.14</w:t>
        </w:r>
      </w:hyperlink>
      <w:r>
        <w:t>).</w:t>
      </w:r>
    </w:p>
    <w:p>
      <w:r/>
      <w:r>
        <w:t>Les cinq rois cachés dans une grotte à Makkéda sont découverts, tués, pendus aux arbres et enterrés dans la grotte (</w:t>
      </w:r>
      <w:hyperlink r:id="rId7214">
        <w:r>
          <w:rPr>
            <w:color w:val="0000EE"/>
            <w:u w:val="single"/>
          </w:rPr>
          <w:t>10.16–27</w:t>
        </w:r>
      </w:hyperlink>
      <w:r>
        <w:t xml:space="preserve">). Leur tentative insensée de faire la guerre à Israël aura pris fin rapidement. Puisque la coalition des grandes villes avait été abattue, Josué mène Israël dans une campagne rapide contre les autres villes du sud (v. </w:t>
      </w:r>
      <w:hyperlink r:id="rId7556">
        <w:r>
          <w:rPr>
            <w:color w:val="0000EE"/>
            <w:u w:val="single"/>
          </w:rPr>
          <w:t>29–43</w:t>
        </w:r>
      </w:hyperlink>
      <w:r>
        <w:t xml:space="preserve">). La région sera été prise lors d'une campagne avec l'aide du Seigneur (v. </w:t>
      </w:r>
      <w:hyperlink r:id="rId7557">
        <w:r>
          <w:rPr>
            <w:color w:val="0000EE"/>
            <w:u w:val="single"/>
          </w:rPr>
          <w:t>42</w:t>
        </w:r>
      </w:hyperlink>
      <w:r>
        <w:t>).</w:t>
      </w:r>
    </w:p>
    <w:p>
      <w:r/>
      <w:r>
        <w:t xml:space="preserve">La Campagne du Nord, </w:t>
      </w:r>
      <w:hyperlink r:id="rId7558">
        <w:r>
          <w:rPr>
            <w:color w:val="0000EE"/>
            <w:u w:val="single"/>
          </w:rPr>
          <w:t>11.1–15</w:t>
        </w:r>
      </w:hyperlink>
    </w:p>
    <w:p>
      <w:r/>
      <w:r>
        <w:t>Les Israélites seront de nouveau contraints de se battre, cette fois sous la direction de Jabin, roi de Hatsor. Jabin rassemble les rois des villes du nord qui réuniront leurs troupes et chevaux près des eaux de Mérom pour combattre Israël (</w:t>
      </w:r>
      <w:hyperlink r:id="rId771">
        <w:r>
          <w:rPr>
            <w:color w:val="0000EE"/>
            <w:u w:val="single"/>
          </w:rPr>
          <w:t>11.1–5</w:t>
        </w:r>
      </w:hyperlink>
      <w:r>
        <w:t xml:space="preserve">). La similitude avec la campagne du sud est une manière littéraire de montrer que les rois du sud et du nord ont initié la guerre et ont été par conséquent vaincus. Il en sera de même pour les rois du nord, qui seront mis en déroute jusqu'à la région de Sidon en Phénicie (v. </w:t>
      </w:r>
      <w:hyperlink r:id="rId7452">
        <w:r>
          <w:rPr>
            <w:color w:val="0000EE"/>
            <w:u w:val="single"/>
          </w:rPr>
          <w:t>8</w:t>
        </w:r>
      </w:hyperlink>
      <w:r>
        <w:t xml:space="preserve">). Leurs chevaux seront estropiés et leurs chars brûlés (v. </w:t>
      </w:r>
      <w:hyperlink r:id="rId7559">
        <w:r>
          <w:rPr>
            <w:color w:val="0000EE"/>
            <w:u w:val="single"/>
          </w:rPr>
          <w:t>9</w:t>
        </w:r>
      </w:hyperlink>
      <w:r>
        <w:t xml:space="preserve">), comme le Seigneur l'avait ordonné (v. </w:t>
      </w:r>
      <w:hyperlink r:id="rId7560">
        <w:r>
          <w:rPr>
            <w:color w:val="0000EE"/>
            <w:u w:val="single"/>
          </w:rPr>
          <w:t>6</w:t>
        </w:r>
      </w:hyperlink>
      <w:r>
        <w:t xml:space="preserve">). Israël devait dépendre du Seigneur (voir </w:t>
      </w:r>
      <w:hyperlink r:id="rId7561">
        <w:r>
          <w:rPr>
            <w:color w:val="0000EE"/>
            <w:u w:val="single"/>
          </w:rPr>
          <w:t>Ps 20.7</w:t>
        </w:r>
      </w:hyperlink>
      <w:r>
        <w:t>). Hatsor, la grande ville ancestrale, centre du pouvoir cananéen au nord, sera complètement détruite (</w:t>
      </w:r>
      <w:hyperlink r:id="rId7562">
        <w:r>
          <w:rPr>
            <w:color w:val="0000EE"/>
            <w:u w:val="single"/>
          </w:rPr>
          <w:t>Jos 11.10–13</w:t>
        </w:r>
      </w:hyperlink>
      <w:r>
        <w:t>). La mise à feu de Jéricho, d'Aï et de Hatsor seront des exceptions, car Israël avait été promis des maisons, des puits et des villes cananéennes (</w:t>
      </w:r>
      <w:hyperlink r:id="rId7563">
        <w:r>
          <w:rPr>
            <w:color w:val="0000EE"/>
            <w:u w:val="single"/>
          </w:rPr>
          <w:t>Dt 6.10–11</w:t>
        </w:r>
      </w:hyperlink>
      <w:r>
        <w:t xml:space="preserve"> ; voir </w:t>
      </w:r>
      <w:hyperlink r:id="rId7564">
        <w:r>
          <w:rPr>
            <w:color w:val="0000EE"/>
            <w:u w:val="single"/>
          </w:rPr>
          <w:t>Jos 24.13</w:t>
        </w:r>
      </w:hyperlink>
      <w:r>
        <w:t>). Le récit de la campagne souligne à nouveau la loyauté absolue de Josué envers le Seigneur et envers Moïse, le serviteur du Seigneur (</w:t>
      </w:r>
      <w:hyperlink r:id="rId7565">
        <w:r>
          <w:rPr>
            <w:color w:val="0000EE"/>
            <w:u w:val="single"/>
          </w:rPr>
          <w:t>Jos 11.9–15</w:t>
        </w:r>
      </w:hyperlink>
      <w:r>
        <w:t>).</w:t>
      </w:r>
    </w:p>
    <w:p>
      <w:r/>
      <w:r>
        <w:t xml:space="preserve">Résumé des campagnes, </w:t>
      </w:r>
      <w:hyperlink r:id="rId7566">
        <w:r>
          <w:rPr>
            <w:color w:val="0000EE"/>
            <w:u w:val="single"/>
          </w:rPr>
          <w:t>11.16–12.24</w:t>
        </w:r>
      </w:hyperlink>
    </w:p>
    <w:p>
      <w:r/>
      <w:r>
        <w:t>Josué conduit Israël à la victoire et au repos grâce à son respect attentif des instructions du Seigneur données à Moïse. Moïse avait décrit en détail le pays à conquérir (</w:t>
      </w:r>
      <w:hyperlink r:id="rId751">
        <w:r>
          <w:rPr>
            <w:color w:val="0000EE"/>
            <w:u w:val="single"/>
          </w:rPr>
          <w:t>Dt 1.7</w:t>
        </w:r>
      </w:hyperlink>
      <w:r>
        <w:t>), et Josué prendra les régions dont Moïse avait parlé. Bien que les villes auraient pu demander un arrangement pacifique sous lequel elles seraient devenues des travailleurs forcés (</w:t>
      </w:r>
      <w:hyperlink r:id="rId7546">
        <w:r>
          <w:rPr>
            <w:color w:val="0000EE"/>
            <w:u w:val="single"/>
          </w:rPr>
          <w:t>Dt 20.11</w:t>
        </w:r>
      </w:hyperlink>
      <w:r>
        <w:t>), aucune des villes n'a reconnu Israël. Par crainte, elles ont comploté et manigancé pour détruire Israël. Ce sont elles qui étaient les agresseurs. Dieu avait endurci leurs cœurs (</w:t>
      </w:r>
      <w:hyperlink r:id="rId4444">
        <w:r>
          <w:rPr>
            <w:color w:val="0000EE"/>
            <w:u w:val="single"/>
          </w:rPr>
          <w:t>Jos 11.20</w:t>
        </w:r>
      </w:hyperlink>
      <w:r>
        <w:t xml:space="preserve">). La raison théologique est un mystère, comme cela avait été le cas pour Pharaon. Mais le résultat net sera que Canaan sera conquis et la population exterminée, à l'exception des Héviens à Gabaon et de leurs villes environnantes (v. </w:t>
      </w:r>
      <w:hyperlink r:id="rId7567">
        <w:r>
          <w:rPr>
            <w:color w:val="0000EE"/>
            <w:u w:val="single"/>
          </w:rPr>
          <w:t>19–20</w:t>
        </w:r>
      </w:hyperlink>
      <w:r>
        <w:t>). Même les Anakim, qui avaient apporté la peur à Israël quelque quarante années auparavant (</w:t>
      </w:r>
      <w:hyperlink r:id="rId5910">
        <w:r>
          <w:rPr>
            <w:color w:val="0000EE"/>
            <w:u w:val="single"/>
          </w:rPr>
          <w:t>Nb 13.33</w:t>
        </w:r>
      </w:hyperlink>
      <w:r>
        <w:t xml:space="preserve"> ; voir </w:t>
      </w:r>
      <w:hyperlink r:id="rId7568">
        <w:r>
          <w:rPr>
            <w:color w:val="0000EE"/>
            <w:u w:val="single"/>
          </w:rPr>
          <w:t>Dt 2.10, 21</w:t>
        </w:r>
      </w:hyperlink>
      <w:r>
        <w:t>), seront exécrés (</w:t>
      </w:r>
      <w:hyperlink r:id="rId7569">
        <w:r>
          <w:rPr>
            <w:color w:val="0000EE"/>
            <w:u w:val="single"/>
          </w:rPr>
          <w:t>Jos 11.21</w:t>
        </w:r>
      </w:hyperlink>
      <w:r>
        <w:t xml:space="preserve">). Il était toutefois déjà évident que chaque kilomètre carré de terre n'avait pas été pris (v. </w:t>
      </w:r>
      <w:hyperlink r:id="rId5898">
        <w:r>
          <w:rPr>
            <w:color w:val="0000EE"/>
            <w:u w:val="single"/>
          </w:rPr>
          <w:t>22</w:t>
        </w:r>
      </w:hyperlink>
      <w:r>
        <w:t>), même si en un sens, l'ensemble du pays appartenait à Israël, comme les principaux centres de résistance cananéenne avaient été brisés. La tension entre accomplissement et accomplissement total est apparente dans ces versets.</w:t>
      </w:r>
    </w:p>
    <w:p>
      <w:r/>
      <w:r>
        <w:t xml:space="preserve">La liste des rois vaincus (chap. </w:t>
      </w:r>
      <w:hyperlink r:id="rId3066">
        <w:r>
          <w:rPr>
            <w:color w:val="0000EE"/>
            <w:u w:val="single"/>
          </w:rPr>
          <w:t>12</w:t>
        </w:r>
      </w:hyperlink>
      <w:r>
        <w:t xml:space="preserve">) inclut les victoires sur Sihon et Og sous la direction de Moïse. Leur juxtaposition avec la liste des rois conquis sous Josué démontre la continuité en termes de leadership et d'objectifs : deux leaders, de nombreuses campagnes, mais un seul combat. La Terre Promise est maintenant un accomplie. À travers les campagnes, les frontières de la terre de l'héritage deviennent désormais de plus en plus apparentes. En Transjordanie, les limites iront de l'Arnon au mont Hermon (v. </w:t>
      </w:r>
      <w:hyperlink r:id="rId7570">
        <w:r>
          <w:rPr>
            <w:color w:val="0000EE"/>
            <w:u w:val="single"/>
          </w:rPr>
          <w:t>2–5</w:t>
        </w:r>
      </w:hyperlink>
      <w:r>
        <w:t xml:space="preserve">). En Canaan, la frontière s'étendra de la région au sud de Sidon jusqu'au Néguev (v. </w:t>
      </w:r>
      <w:hyperlink r:id="rId7571">
        <w:r>
          <w:rPr>
            <w:color w:val="0000EE"/>
            <w:u w:val="single"/>
          </w:rPr>
          <w:t>7–8</w:t>
        </w:r>
      </w:hyperlink>
      <w:r>
        <w:t>).</w:t>
      </w:r>
    </w:p>
    <w:p>
      <w:pPr>
        <w:pStyle w:val="Heading4"/>
      </w:pPr>
      <w:r>
        <w:t xml:space="preserve">La Répartition de la Terre, </w:t>
      </w:r>
      <w:hyperlink r:id="rId7572">
        <w:r>
          <w:rPr>
            <w:color w:val="0000EE"/>
            <w:u w:val="single"/>
          </w:rPr>
          <w:t>13.1–22.34</w:t>
        </w:r>
      </w:hyperlink>
    </w:p>
    <w:p>
      <w:r/>
      <w:r>
        <w:t xml:space="preserve">Le Commandement de répartir le territoire, </w:t>
      </w:r>
      <w:hyperlink r:id="rId7472">
        <w:r>
          <w:rPr>
            <w:color w:val="0000EE"/>
            <w:u w:val="single"/>
          </w:rPr>
          <w:t>13.1–7</w:t>
        </w:r>
      </w:hyperlink>
    </w:p>
    <w:p>
      <w:r/>
      <w:r>
        <w:t>En raison de l'âge avancé de Josué, la « totalité » du pays n'a pas été prise. Moïse avait averti Israël que l'héritage résulterait de la conquête ainsi que de l'extension progressive des frontières étroites d'Israël. Lentement, Israël devait hériter de tout le pays, de peur d'être submergé par sa taille et de ne pas pouvoir l'utiliser correctement (</w:t>
      </w:r>
      <w:hyperlink r:id="rId7477">
        <w:r>
          <w:rPr>
            <w:color w:val="0000EE"/>
            <w:u w:val="single"/>
          </w:rPr>
          <w:t>Ex 23.29–30</w:t>
        </w:r>
      </w:hyperlink>
      <w:r>
        <w:t xml:space="preserve"> ; </w:t>
      </w:r>
      <w:hyperlink r:id="rId7478">
        <w:r>
          <w:rPr>
            <w:color w:val="0000EE"/>
            <w:u w:val="single"/>
          </w:rPr>
          <w:t>Dt 7.22</w:t>
        </w:r>
      </w:hyperlink>
      <w:r>
        <w:t>). Les zones encore à occuper étaient : la région au nord de la Galilée, le mont Hermon (à l'est de la mer de Galilée), la zone occupée par les Philistins, et les enclaves cananéennes régionales (</w:t>
      </w:r>
      <w:hyperlink r:id="rId7573">
        <w:r>
          <w:rPr>
            <w:color w:val="0000EE"/>
            <w:u w:val="single"/>
          </w:rPr>
          <w:t>Jos 13.2–7</w:t>
        </w:r>
      </w:hyperlink>
      <w:r>
        <w:t xml:space="preserve"> ; voir </w:t>
      </w:r>
      <w:hyperlink r:id="rId7574">
        <w:r>
          <w:rPr>
            <w:color w:val="0000EE"/>
            <w:u w:val="single"/>
          </w:rPr>
          <w:t>Jg 1</w:t>
        </w:r>
      </w:hyperlink>
      <w:r>
        <w:t>). Israël ne devait pas se préoccuper des futurs droits d'occupation, car le Seigneur avait promis de les aider (</w:t>
      </w:r>
      <w:hyperlink r:id="rId7575">
        <w:r>
          <w:rPr>
            <w:color w:val="0000EE"/>
            <w:u w:val="single"/>
          </w:rPr>
          <w:t>Jos 13.6</w:t>
        </w:r>
      </w:hyperlink>
      <w:r>
        <w:t>).</w:t>
      </w:r>
    </w:p>
    <w:p>
      <w:r/>
      <w:r>
        <w:t xml:space="preserve">Répartition de la Transjordanie, </w:t>
      </w:r>
      <w:hyperlink r:id="rId7576">
        <w:r>
          <w:rPr>
            <w:color w:val="0000EE"/>
            <w:u w:val="single"/>
          </w:rPr>
          <w:t>13.8–33</w:t>
        </w:r>
      </w:hyperlink>
    </w:p>
    <w:p>
      <w:r/>
      <w:r>
        <w:t>Josué ne modifiera pas l'arrangement mosaïque concernant les attributions aux tribus de Manassé, Ruben et Gad (</w:t>
      </w:r>
      <w:hyperlink r:id="rId7577">
        <w:r>
          <w:rPr>
            <w:color w:val="0000EE"/>
            <w:u w:val="single"/>
          </w:rPr>
          <w:t>Jos 13.8, 32–33</w:t>
        </w:r>
      </w:hyperlink>
      <w:r>
        <w:t xml:space="preserve"> ; voir </w:t>
      </w:r>
      <w:hyperlink r:id="rId714">
        <w:r>
          <w:rPr>
            <w:color w:val="0000EE"/>
            <w:u w:val="single"/>
          </w:rPr>
          <w:t>Nb 32</w:t>
        </w:r>
      </w:hyperlink>
      <w:r>
        <w:t xml:space="preserve"> ; </w:t>
      </w:r>
      <w:hyperlink r:id="rId7578">
        <w:r>
          <w:rPr>
            <w:color w:val="0000EE"/>
            <w:u w:val="single"/>
          </w:rPr>
          <w:t>Dt 3.12–17</w:t>
        </w:r>
      </w:hyperlink>
      <w:r>
        <w:t>). Leur territoire excluait également certaines régions encore occupées par les Cananéens (</w:t>
      </w:r>
      <w:hyperlink r:id="rId7473">
        <w:r>
          <w:rPr>
            <w:color w:val="0000EE"/>
            <w:u w:val="single"/>
          </w:rPr>
          <w:t>Jos 13.13</w:t>
        </w:r>
      </w:hyperlink>
      <w:r>
        <w:t xml:space="preserve">). Les clans de Ruben avaient reçu le territoire du fleuve Arnon au nord jusqu'à Hesbon (v. </w:t>
      </w:r>
      <w:hyperlink r:id="rId7579">
        <w:r>
          <w:rPr>
            <w:color w:val="0000EE"/>
            <w:u w:val="single"/>
          </w:rPr>
          <w:t>15–23</w:t>
        </w:r>
      </w:hyperlink>
      <w:r>
        <w:t xml:space="preserve">). Les clans de Gad avaient reçu le territoire de Galaad, au sud du fleuve Jabbok jusqu'à Hesbon (v. </w:t>
      </w:r>
      <w:hyperlink r:id="rId5848">
        <w:r>
          <w:rPr>
            <w:color w:val="0000EE"/>
            <w:u w:val="single"/>
          </w:rPr>
          <w:t>24–28</w:t>
        </w:r>
      </w:hyperlink>
      <w:r>
        <w:t xml:space="preserve">). Plusieurs clans de Manassé recevront la région au sud du Wadi Yarmuk jusqu'au Jabbok (v. </w:t>
      </w:r>
      <w:hyperlink r:id="rId7580">
        <w:r>
          <w:rPr>
            <w:color w:val="0000EE"/>
            <w:u w:val="single"/>
          </w:rPr>
          <w:t>29–31</w:t>
        </w:r>
      </w:hyperlink>
      <w:r>
        <w:t>). Les villes lévitiques ne sont pas listées ici, mais il est fait mention du fait qu'elles ne recevaient pas de patrimoine, car elles devaient vivre des offrandes et sacrifices faits au Seigneur (</w:t>
      </w:r>
      <w:hyperlink r:id="rId7581">
        <w:r>
          <w:rPr>
            <w:color w:val="0000EE"/>
            <w:u w:val="single"/>
          </w:rPr>
          <w:t>Jos 13.14</w:t>
        </w:r>
      </w:hyperlink>
      <w:r>
        <w:t xml:space="preserve"> ; voir </w:t>
      </w:r>
      <w:hyperlink r:id="rId7582">
        <w:r>
          <w:rPr>
            <w:color w:val="0000EE"/>
            <w:u w:val="single"/>
          </w:rPr>
          <w:t>Nb 18.20–24</w:t>
        </w:r>
      </w:hyperlink>
      <w:r>
        <w:t xml:space="preserve"> ; </w:t>
      </w:r>
      <w:hyperlink r:id="rId7583">
        <w:r>
          <w:rPr>
            <w:color w:val="0000EE"/>
            <w:u w:val="single"/>
          </w:rPr>
          <w:t>35.1–8</w:t>
        </w:r>
      </w:hyperlink>
      <w:r>
        <w:t>).</w:t>
      </w:r>
    </w:p>
    <w:p>
      <w:r/>
      <w:r>
        <w:t xml:space="preserve">Les Répartitions tribales en Canaan, </w:t>
      </w:r>
      <w:hyperlink r:id="rId7584">
        <w:r>
          <w:rPr>
            <w:color w:val="0000EE"/>
            <w:u w:val="single"/>
          </w:rPr>
          <w:t>14.1–19.51</w:t>
        </w:r>
      </w:hyperlink>
    </w:p>
    <w:p>
      <w:r/>
      <w:r>
        <w:t>Éléazar, le grand prêtre, et Josué ont ensemble tiré au sort pour déterminer les frontières, la taille et l'attribution pour les neuf tribus et demie restantes. Une fois de plus, l'exclusion de la tribu de Lévi est mentionnée (</w:t>
      </w:r>
      <w:hyperlink r:id="rId7585">
        <w:r>
          <w:rPr>
            <w:color w:val="0000EE"/>
            <w:u w:val="single"/>
          </w:rPr>
          <w:t>Jos 14.4</w:t>
        </w:r>
      </w:hyperlink>
      <w:r>
        <w:t xml:space="preserve">), car leurs villes seront traitées dans les chapitres </w:t>
      </w:r>
      <w:hyperlink r:id="rId7586">
        <w:r>
          <w:rPr>
            <w:color w:val="0000EE"/>
            <w:u w:val="single"/>
          </w:rPr>
          <w:t>20–21</w:t>
        </w:r>
      </w:hyperlink>
      <w:r>
        <w:t>. Un autre dispositif littéraire employé est la mention spéciale de l'héritage de Caleb au début (</w:t>
      </w:r>
      <w:hyperlink r:id="rId7587">
        <w:r>
          <w:rPr>
            <w:color w:val="0000EE"/>
            <w:u w:val="single"/>
          </w:rPr>
          <w:t>14.6–15</w:t>
        </w:r>
      </w:hyperlink>
      <w:r>
        <w:t>) et de Josué à la fin (</w:t>
      </w:r>
      <w:hyperlink r:id="rId7588">
        <w:r>
          <w:rPr>
            <w:color w:val="0000EE"/>
            <w:u w:val="single"/>
          </w:rPr>
          <w:t>19.49–50</w:t>
        </w:r>
      </w:hyperlink>
      <w:r>
        <w:t>). Ces deux-là étaient les seuls à avoir quitté l'Égypte en tant qu'adultes, avaient été des espions fidèles et étaient entrés dans la Terre Promise (</w:t>
      </w:r>
      <w:hyperlink r:id="rId7589">
        <w:r>
          <w:rPr>
            <w:color w:val="0000EE"/>
            <w:u w:val="single"/>
          </w:rPr>
          <w:t>Nb 14.24, 30</w:t>
        </w:r>
      </w:hyperlink>
      <w:r>
        <w:t xml:space="preserve"> ; </w:t>
      </w:r>
      <w:hyperlink r:id="rId7590">
        <w:r>
          <w:rPr>
            <w:color w:val="0000EE"/>
            <w:u w:val="single"/>
          </w:rPr>
          <w:t>Dt 1.36–38</w:t>
        </w:r>
      </w:hyperlink>
      <w:r>
        <w:t>).</w:t>
      </w:r>
    </w:p>
    <w:p>
      <w:r/>
      <w:r>
        <w:t xml:space="preserve">Juda, </w:t>
      </w:r>
      <w:hyperlink r:id="rId7591">
        <w:r>
          <w:rPr>
            <w:color w:val="0000EE"/>
            <w:u w:val="single"/>
          </w:rPr>
          <w:t>15.1–63</w:t>
        </w:r>
      </w:hyperlink>
      <w:r>
        <w:t xml:space="preserve"> (voir </w:t>
      </w:r>
      <w:hyperlink r:id="rId7592">
        <w:r>
          <w:rPr>
            <w:color w:val="0000EE"/>
            <w:u w:val="single"/>
          </w:rPr>
          <w:t>Jg 1.10–15, 20</w:t>
        </w:r>
      </w:hyperlink>
      <w:r>
        <w:t>)</w:t>
      </w:r>
    </w:p>
    <w:p>
      <w:r/>
      <w:r>
        <w:t>Les frontières de Juda s'étendaient de la mer Morte vers l'ouest jusqu'à la Méditerranée (</w:t>
      </w:r>
      <w:hyperlink r:id="rId7593">
        <w:r>
          <w:rPr>
            <w:color w:val="0000EE"/>
            <w:u w:val="single"/>
          </w:rPr>
          <w:t>Jos 15.2–12</w:t>
        </w:r>
      </w:hyperlink>
      <w:r>
        <w:t xml:space="preserve">). Les villes de Juda sont répertoriées dans ses quatre régions : vingt-neuf dans le Néguev (v. </w:t>
      </w:r>
      <w:hyperlink r:id="rId7594">
        <w:r>
          <w:rPr>
            <w:color w:val="0000EE"/>
            <w:u w:val="single"/>
          </w:rPr>
          <w:t>21–32</w:t>
        </w:r>
      </w:hyperlink>
      <w:r>
        <w:t xml:space="preserve">), quarante-deux villes dans la Shephéla (ou contreforts occidentaux) et les plaines côtières (v. </w:t>
      </w:r>
      <w:hyperlink r:id="rId7595">
        <w:r>
          <w:rPr>
            <w:color w:val="0000EE"/>
            <w:u w:val="single"/>
          </w:rPr>
          <w:t>33–47</w:t>
        </w:r>
      </w:hyperlink>
      <w:r>
        <w:t>), trente-huit villes dans la région montagneuse (</w:t>
      </w:r>
      <w:hyperlink r:id="rId7596">
        <w:r>
          <w:rPr>
            <w:color w:val="0000EE"/>
            <w:u w:val="single"/>
          </w:rPr>
          <w:t>15.48–60</w:t>
        </w:r>
      </w:hyperlink>
      <w:r>
        <w:t xml:space="preserve">), et six villes dans le désert (v. </w:t>
      </w:r>
      <w:hyperlink r:id="rId7597">
        <w:r>
          <w:rPr>
            <w:color w:val="0000EE"/>
            <w:u w:val="single"/>
          </w:rPr>
          <w:t>61–62</w:t>
        </w:r>
      </w:hyperlink>
      <w:r>
        <w:t xml:space="preserve">). Juda n'a pas pu prendre Jérusalem (v. </w:t>
      </w:r>
      <w:hyperlink r:id="rId7216">
        <w:r>
          <w:rPr>
            <w:color w:val="0000EE"/>
            <w:u w:val="single"/>
          </w:rPr>
          <w:t>63</w:t>
        </w:r>
      </w:hyperlink>
      <w:r>
        <w:t xml:space="preserve">) jusqu'à ce que David en fasse sa capitale (voir </w:t>
      </w:r>
      <w:hyperlink r:id="rId1778">
        <w:r>
          <w:rPr>
            <w:color w:val="0000EE"/>
            <w:u w:val="single"/>
          </w:rPr>
          <w:t>Jg 1.21</w:t>
        </w:r>
      </w:hyperlink>
      <w:r>
        <w:t xml:space="preserve"> ; </w:t>
      </w:r>
      <w:hyperlink r:id="rId7598">
        <w:r>
          <w:rPr>
            <w:color w:val="0000EE"/>
            <w:u w:val="single"/>
          </w:rPr>
          <w:t>2S 5.6–16</w:t>
        </w:r>
      </w:hyperlink>
      <w:r>
        <w:t>).</w:t>
      </w:r>
    </w:p>
    <w:p>
      <w:r/>
      <w:r>
        <w:t xml:space="preserve">Éphraïm et Manassé, </w:t>
      </w:r>
      <w:hyperlink r:id="rId7599">
        <w:r>
          <w:rPr>
            <w:color w:val="0000EE"/>
            <w:u w:val="single"/>
          </w:rPr>
          <w:t>16.1–17.18</w:t>
        </w:r>
      </w:hyperlink>
    </w:p>
    <w:p>
      <w:r/>
      <w:r>
        <w:t xml:space="preserve">Ces deux tribus, descendantes de Joseph, seront richement bénies (voir </w:t>
      </w:r>
      <w:hyperlink r:id="rId7600">
        <w:r>
          <w:rPr>
            <w:color w:val="0000EE"/>
            <w:u w:val="single"/>
          </w:rPr>
          <w:t>Gn 48</w:t>
        </w:r>
      </w:hyperlink>
      <w:r>
        <w:t xml:space="preserve"> ; </w:t>
      </w:r>
      <w:hyperlink r:id="rId4296">
        <w:r>
          <w:rPr>
            <w:color w:val="0000EE"/>
            <w:u w:val="single"/>
          </w:rPr>
          <w:t>49.22–26</w:t>
        </w:r>
      </w:hyperlink>
      <w:r>
        <w:t xml:space="preserve"> ; </w:t>
      </w:r>
      <w:hyperlink r:id="rId7601">
        <w:r>
          <w:rPr>
            <w:color w:val="0000EE"/>
            <w:u w:val="single"/>
          </w:rPr>
          <w:t>Dt 33.13–17</w:t>
        </w:r>
      </w:hyperlink>
      <w:r>
        <w:t>) ayant acquis une certaine importance parmi les tribus. Elles recevront une part intitulée « la part [...] de Joseph » (</w:t>
      </w:r>
      <w:hyperlink r:id="rId7602">
        <w:r>
          <w:rPr>
            <w:color w:val="0000EE"/>
            <w:u w:val="single"/>
          </w:rPr>
          <w:t>Jos 16.1</w:t>
        </w:r>
      </w:hyperlink>
      <w:r>
        <w:t>). Une partie de Manassé avait déjà reçu un patrimoine à l'est du Jourdain (</w:t>
      </w:r>
      <w:hyperlink r:id="rId7580">
        <w:r>
          <w:rPr>
            <w:color w:val="0000EE"/>
            <w:u w:val="single"/>
          </w:rPr>
          <w:t>13.29–31</w:t>
        </w:r>
      </w:hyperlink>
      <w:r>
        <w:t>). Les limites pour Éphraïm et la moitié ouest de Manassé allaient de Béthel au mont Gilboa au nord et du Jourdain à la Méditerranée (</w:t>
      </w:r>
      <w:hyperlink r:id="rId7603">
        <w:r>
          <w:rPr>
            <w:color w:val="0000EE"/>
            <w:u w:val="single"/>
          </w:rPr>
          <w:t>16.1–3</w:t>
        </w:r>
      </w:hyperlink>
      <w:r>
        <w:t xml:space="preserve">). Éphraïm recevra la plus petite portion au sud (v. </w:t>
      </w:r>
      <w:hyperlink r:id="rId4825">
        <w:r>
          <w:rPr>
            <w:color w:val="0000EE"/>
            <w:u w:val="single"/>
          </w:rPr>
          <w:t>5–9</w:t>
        </w:r>
      </w:hyperlink>
      <w:r>
        <w:t>) mais ne pourra pas chasser les Cananéens de Guézer. Les clans de Manassé sont donnés, y compris Tselophchad (</w:t>
      </w:r>
      <w:hyperlink r:id="rId7604">
        <w:r>
          <w:rPr>
            <w:color w:val="0000EE"/>
            <w:u w:val="single"/>
          </w:rPr>
          <w:t>17.3–6</w:t>
        </w:r>
      </w:hyperlink>
      <w:r>
        <w:t xml:space="preserve"> ; voir </w:t>
      </w:r>
      <w:hyperlink r:id="rId5950">
        <w:r>
          <w:rPr>
            <w:color w:val="0000EE"/>
            <w:u w:val="single"/>
          </w:rPr>
          <w:t>Nb 27.1–11</w:t>
        </w:r>
      </w:hyperlink>
      <w:r>
        <w:t xml:space="preserve"> ; </w:t>
      </w:r>
      <w:hyperlink r:id="rId5951">
        <w:r>
          <w:rPr>
            <w:color w:val="0000EE"/>
            <w:u w:val="single"/>
          </w:rPr>
          <w:t>36.1–12</w:t>
        </w:r>
      </w:hyperlink>
      <w:r>
        <w:t>), afin de les distinguer clairement des clans de Manassé en Transjordanie. La région de Manassé ouest s'étendait de Sichem au mont Gilboa (</w:t>
      </w:r>
      <w:hyperlink r:id="rId7605">
        <w:r>
          <w:rPr>
            <w:color w:val="0000EE"/>
            <w:u w:val="single"/>
          </w:rPr>
          <w:t>Jos 17.7–11</w:t>
        </w:r>
      </w:hyperlink>
      <w:r>
        <w:t xml:space="preserve">) ; mais la tribu de Manassé sera elle aussi incapable de chasser complètement les Cananéens (v. </w:t>
      </w:r>
      <w:hyperlink r:id="rId7606">
        <w:r>
          <w:rPr>
            <w:color w:val="0000EE"/>
            <w:u w:val="single"/>
          </w:rPr>
          <w:t>12–13</w:t>
        </w:r>
      </w:hyperlink>
      <w:r>
        <w:t>).</w:t>
      </w:r>
    </w:p>
    <w:p>
      <w:r/>
      <w:r>
        <w:t>Bien qu'elles aient reçu la plus grande partie du territoire (plus d'un tiers), les tribus de Joseph se plaignaient. Elles savaient que le Seigneur les avait bénies (</w:t>
      </w:r>
      <w:hyperlink r:id="rId7607">
        <w:r>
          <w:rPr>
            <w:color w:val="0000EE"/>
            <w:u w:val="single"/>
          </w:rPr>
          <w:t>17.14</w:t>
        </w:r>
      </w:hyperlink>
      <w:r>
        <w:t xml:space="preserve">), et elles s'attendaient à obtenir plus de terres cultivables. Mais Josué les exhortera à utiliser les terres disponibles en abattant les forêts (v. </w:t>
      </w:r>
      <w:hyperlink r:id="rId7608">
        <w:r>
          <w:rPr>
            <w:color w:val="0000EE"/>
            <w:u w:val="single"/>
          </w:rPr>
          <w:t>15–18</w:t>
        </w:r>
      </w:hyperlink>
      <w:r>
        <w:t>). Lorsqu'elles exprimeront une inquiétude réaliste concernant la puissance militaire cananéenne, Josué les appellera à faire leur part dans l'occupation du territoire.</w:t>
      </w:r>
    </w:p>
    <w:p>
      <w:r/>
      <w:r>
        <w:t xml:space="preserve">Sept tribus, </w:t>
      </w:r>
      <w:hyperlink r:id="rId7609">
        <w:r>
          <w:rPr>
            <w:color w:val="0000EE"/>
            <w:u w:val="single"/>
          </w:rPr>
          <w:t>18.1–19.51</w:t>
        </w:r>
      </w:hyperlink>
    </w:p>
    <w:p>
      <w:r/>
      <w:r>
        <w:t xml:space="preserve">Les Israélites se sont assemblés à Silo pour installer le tabernacle (voir </w:t>
      </w:r>
      <w:hyperlink r:id="rId7610">
        <w:r>
          <w:rPr>
            <w:color w:val="0000EE"/>
            <w:u w:val="single"/>
          </w:rPr>
          <w:t>1S 1</w:t>
        </w:r>
      </w:hyperlink>
      <w:r>
        <w:t>). À ce moment-là, sept tribus n'avaient pas encore reçu leur patrimoine. Josué demande à chaque tribu de désigner trois hommes pour arpenter le pays. À leur retour, Josué tire au sort au tabernacle de Silo et répartit le pays (</w:t>
      </w:r>
      <w:hyperlink r:id="rId7611">
        <w:r>
          <w:rPr>
            <w:color w:val="0000EE"/>
            <w:u w:val="single"/>
          </w:rPr>
          <w:t>Jos 18.3–10</w:t>
        </w:r>
      </w:hyperlink>
      <w:r>
        <w:t xml:space="preserve">). Le territoire de Benjamin se trouvait entre Juda et Éphraïm (v. </w:t>
      </w:r>
      <w:hyperlink r:id="rId7612">
        <w:r>
          <w:rPr>
            <w:color w:val="0000EE"/>
            <w:u w:val="single"/>
          </w:rPr>
          <w:t>11–28</w:t>
        </w:r>
      </w:hyperlink>
      <w:r>
        <w:t>). L'allocation de Siméon était dans le sud de Juda (</w:t>
      </w:r>
      <w:hyperlink r:id="rId7613">
        <w:r>
          <w:rPr>
            <w:color w:val="0000EE"/>
            <w:u w:val="single"/>
          </w:rPr>
          <w:t>19.1–9</w:t>
        </w:r>
      </w:hyperlink>
      <w:r>
        <w:t xml:space="preserve">), ce qui entraînera son absorption dans Juda (voir </w:t>
      </w:r>
      <w:hyperlink r:id="rId7614">
        <w:r>
          <w:rPr>
            <w:color w:val="0000EE"/>
            <w:u w:val="single"/>
          </w:rPr>
          <w:t>Gn 49.7</w:t>
        </w:r>
      </w:hyperlink>
      <w:r>
        <w:t>). Zabulon (</w:t>
      </w:r>
      <w:hyperlink r:id="rId7615">
        <w:r>
          <w:rPr>
            <w:color w:val="0000EE"/>
            <w:u w:val="single"/>
          </w:rPr>
          <w:t>Jos 19.10–16</w:t>
        </w:r>
      </w:hyperlink>
      <w:r>
        <w:t xml:space="preserve">), Issacar (v. </w:t>
      </w:r>
      <w:hyperlink r:id="rId7616">
        <w:r>
          <w:rPr>
            <w:color w:val="0000EE"/>
            <w:u w:val="single"/>
          </w:rPr>
          <w:t>17–23</w:t>
        </w:r>
      </w:hyperlink>
      <w:r>
        <w:t xml:space="preserve">), Aser (v. </w:t>
      </w:r>
      <w:hyperlink r:id="rId7617">
        <w:r>
          <w:rPr>
            <w:color w:val="0000EE"/>
            <w:u w:val="single"/>
          </w:rPr>
          <w:t>24–31</w:t>
        </w:r>
      </w:hyperlink>
      <w:r>
        <w:t xml:space="preserve">) et Nephthali (v. </w:t>
      </w:r>
      <w:hyperlink r:id="rId7618">
        <w:r>
          <w:rPr>
            <w:color w:val="0000EE"/>
            <w:u w:val="single"/>
          </w:rPr>
          <w:t>32–39</w:t>
        </w:r>
      </w:hyperlink>
      <w:r>
        <w:t xml:space="preserve">) recevront une portion au nord de Manassé dans la région de Galilée. Dan recevra le septième lot et souffrira par la suite, lorsqu'il ne pourra pas maintenir le territoire alloué en raison de la pression de Juda à l'est et des Philistins à l'ouest (v. </w:t>
      </w:r>
      <w:hyperlink r:id="rId7619">
        <w:r>
          <w:rPr>
            <w:color w:val="0000EE"/>
            <w:u w:val="single"/>
          </w:rPr>
          <w:t>40–48</w:t>
        </w:r>
      </w:hyperlink>
      <w:r>
        <w:t>). Ils migreront vers le nord et trouveront dans les sources du Jourdain une région fertile (</w:t>
      </w:r>
      <w:hyperlink r:id="rId7448">
        <w:r>
          <w:rPr>
            <w:color w:val="0000EE"/>
            <w:u w:val="single"/>
          </w:rPr>
          <w:t>Jos 19.47</w:t>
        </w:r>
      </w:hyperlink>
      <w:r>
        <w:t xml:space="preserve"> ; voir </w:t>
      </w:r>
      <w:hyperlink r:id="rId7188">
        <w:r>
          <w:rPr>
            <w:color w:val="0000EE"/>
            <w:u w:val="single"/>
          </w:rPr>
          <w:t>Jg 18</w:t>
        </w:r>
      </w:hyperlink>
      <w:r>
        <w:t>).</w:t>
      </w:r>
    </w:p>
    <w:p>
      <w:r/>
      <w:r>
        <w:t xml:space="preserve">Conclusion, </w:t>
      </w:r>
      <w:hyperlink r:id="rId7620">
        <w:r>
          <w:rPr>
            <w:color w:val="0000EE"/>
            <w:u w:val="single"/>
          </w:rPr>
          <w:t>19.49–51</w:t>
        </w:r>
      </w:hyperlink>
    </w:p>
    <w:p>
      <w:r/>
      <w:r>
        <w:t>La conclusion est marquée par une symétrie avec le début (</w:t>
      </w:r>
      <w:hyperlink r:id="rId7621">
        <w:r>
          <w:rPr>
            <w:color w:val="0000EE"/>
            <w:u w:val="single"/>
          </w:rPr>
          <w:t>Jos 14.1–14</w:t>
        </w:r>
      </w:hyperlink>
      <w:r>
        <w:t>) en ce que Josué reçoit également un don. Une fois de plus, il est mentionné que toutes les divisions ont eu lieu en présence du Seigneur, attestées et exécutées par le grand prêtre Éléazar et Josué (</w:t>
      </w:r>
      <w:hyperlink r:id="rId7622">
        <w:r>
          <w:rPr>
            <w:color w:val="0000EE"/>
            <w:u w:val="single"/>
          </w:rPr>
          <w:t>19.51</w:t>
        </w:r>
      </w:hyperlink>
      <w:r>
        <w:t xml:space="preserve"> ; voir </w:t>
      </w:r>
      <w:hyperlink r:id="rId7623">
        <w:r>
          <w:rPr>
            <w:color w:val="0000EE"/>
            <w:u w:val="single"/>
          </w:rPr>
          <w:t>14.1</w:t>
        </w:r>
      </w:hyperlink>
      <w:r>
        <w:t>).</w:t>
      </w:r>
    </w:p>
    <w:p>
      <w:r/>
      <w:r>
        <w:t xml:space="preserve">Villes de refuge et villes lévitiques, </w:t>
      </w:r>
      <w:hyperlink r:id="rId7586">
        <w:r>
          <w:rPr>
            <w:color w:val="0000EE"/>
            <w:u w:val="single"/>
          </w:rPr>
          <w:t>20.1–21.45</w:t>
        </w:r>
      </w:hyperlink>
    </w:p>
    <w:p>
      <w:r/>
      <w:r>
        <w:t>Conformément aux instructions de Moïse, six villes lévitiques seront désignées, trois de chaque côté du Jourdain, comme villes de refuge (</w:t>
      </w:r>
      <w:hyperlink r:id="rId7624">
        <w:r>
          <w:rPr>
            <w:color w:val="0000EE"/>
            <w:u w:val="single"/>
          </w:rPr>
          <w:t>Nb 35.9–34</w:t>
        </w:r>
      </w:hyperlink>
      <w:r>
        <w:t xml:space="preserve"> ; </w:t>
      </w:r>
      <w:hyperlink r:id="rId7625">
        <w:r>
          <w:rPr>
            <w:color w:val="0000EE"/>
            <w:u w:val="single"/>
          </w:rPr>
          <w:t>Dt 4.41–43</w:t>
        </w:r>
      </w:hyperlink>
      <w:r>
        <w:t xml:space="preserve"> ; </w:t>
      </w:r>
      <w:hyperlink r:id="rId7626">
        <w:r>
          <w:rPr>
            <w:color w:val="0000EE"/>
            <w:u w:val="single"/>
          </w:rPr>
          <w:t>19.1–10</w:t>
        </w:r>
      </w:hyperlink>
      <w:r>
        <w:t>). Le but était de fournir un « refuge » (asile) pour ceux qui étaient coupables d'homicide involontaire. Cette pratique n'était pas destinée à offrir une échappatoire à un coupable, mais à permettre au processus légal d'être mené à terme (</w:t>
      </w:r>
      <w:hyperlink r:id="rId7627">
        <w:r>
          <w:rPr>
            <w:color w:val="0000EE"/>
            <w:u w:val="single"/>
          </w:rPr>
          <w:t>Jos 20</w:t>
        </w:r>
      </w:hyperlink>
      <w:r>
        <w:t>).</w:t>
      </w:r>
    </w:p>
    <w:p>
      <w:r/>
      <w:r>
        <w:t>Les Lévites recevront par clan un total de quarante-huit villes, dont six servaient également de villes refuge (</w:t>
      </w:r>
      <w:hyperlink r:id="rId7628">
        <w:r>
          <w:rPr>
            <w:color w:val="0000EE"/>
            <w:u w:val="single"/>
          </w:rPr>
          <w:t>21.1–42</w:t>
        </w:r>
      </w:hyperlink>
      <w:r>
        <w:t>). Les Lévites ne pouvaient pas cultiver le sol car ils dépendaient des dîmes du peuple (</w:t>
      </w:r>
      <w:hyperlink r:id="rId7629">
        <w:r>
          <w:rPr>
            <w:color w:val="0000EE"/>
            <w:u w:val="single"/>
          </w:rPr>
          <w:t>Nb 18.21–24</w:t>
        </w:r>
      </w:hyperlink>
      <w:r>
        <w:t xml:space="preserve">), mais ils étaient autorisés à avoir des terres pour le pâturage. Les dimensions des terres sont données dans </w:t>
      </w:r>
      <w:hyperlink r:id="rId2456">
        <w:r>
          <w:rPr>
            <w:color w:val="0000EE"/>
            <w:u w:val="single"/>
          </w:rPr>
          <w:t>Nombres 35.4–5</w:t>
        </w:r>
      </w:hyperlink>
      <w:r>
        <w:t>. Une allocation spéciale est faite aux descendants d'Aaron (</w:t>
      </w:r>
      <w:hyperlink r:id="rId7630">
        <w:r>
          <w:rPr>
            <w:color w:val="0000EE"/>
            <w:u w:val="single"/>
          </w:rPr>
          <w:t>Jos 21.9–19</w:t>
        </w:r>
      </w:hyperlink>
      <w:r>
        <w:t>), car ils servaient comme prêtres et leurs treize villes se trouvaient dans la région de Juda-Siméon, à proximité du temple de Jérusalem de l'époque de Salomon.</w:t>
      </w:r>
    </w:p>
    <w:p>
      <w:r/>
      <w:r>
        <w:t>Avec l'attribution des villes lévitiques, la répartition du pays est conclue. La promesse de la terre est accomplie (</w:t>
      </w:r>
      <w:hyperlink r:id="rId1202">
        <w:r>
          <w:rPr>
            <w:color w:val="0000EE"/>
            <w:u w:val="single"/>
          </w:rPr>
          <w:t>21.43–45</w:t>
        </w:r>
      </w:hyperlink>
      <w:r>
        <w:t xml:space="preserve">). Dieu est fidèle ! Cette section souligne l'accomplissement, la puissance et la grâce de Dieu, par lesquels Israël entre dans son repos. Cependant, le livre de Josué laisse également entrevoir la lutte qui attend encore les Israélites et l'épreuve qu'ils finiront par échouer (voir </w:t>
      </w:r>
      <w:hyperlink r:id="rId7631">
        <w:r>
          <w:rPr>
            <w:color w:val="0000EE"/>
            <w:u w:val="single"/>
          </w:rPr>
          <w:t>Ps 95.11</w:t>
        </w:r>
      </w:hyperlink>
      <w:r>
        <w:t xml:space="preserve"> ; </w:t>
      </w:r>
      <w:hyperlink r:id="rId7632">
        <w:r>
          <w:rPr>
            <w:color w:val="0000EE"/>
            <w:u w:val="single"/>
          </w:rPr>
          <w:t>Hé 3.7–11</w:t>
        </w:r>
      </w:hyperlink>
      <w:r>
        <w:t>).</w:t>
      </w:r>
    </w:p>
    <w:p>
      <w:r/>
      <w:r>
        <w:t xml:space="preserve">Retour des tribus de Transjordanie, </w:t>
      </w:r>
      <w:hyperlink r:id="rId7633">
        <w:r>
          <w:rPr>
            <w:color w:val="0000EE"/>
            <w:u w:val="single"/>
          </w:rPr>
          <w:t>22.1–34</w:t>
        </w:r>
      </w:hyperlink>
    </w:p>
    <w:p>
      <w:r/>
      <w:r>
        <w:t>Josué renverra les deux tribus et demie, les recommandant pour leur loyauté envers les autres tribus et envers le Seigneur (</w:t>
      </w:r>
      <w:hyperlink r:id="rId7634">
        <w:r>
          <w:rPr>
            <w:color w:val="0000EE"/>
            <w:u w:val="single"/>
          </w:rPr>
          <w:t>Jos 22.1–4</w:t>
        </w:r>
      </w:hyperlink>
      <w:r>
        <w:t xml:space="preserve">), avec un avertissement de ne pas succomber à l'idolâtrie mais d'aimer le Seigneur conformément à la loi deutéronomique, et avec une bénédiction (v. </w:t>
      </w:r>
      <w:hyperlink r:id="rId7635">
        <w:r>
          <w:rPr>
            <w:color w:val="0000EE"/>
            <w:u w:val="single"/>
          </w:rPr>
          <w:t>5–8</w:t>
        </w:r>
      </w:hyperlink>
      <w:r>
        <w:t xml:space="preserve">). Cependant, à leur retour, elles érigent un grand autel près du Jourdain du côté ouest. Les autres tribus en entendent parler et se réunirent à Silo (v. </w:t>
      </w:r>
      <w:hyperlink r:id="rId7636">
        <w:r>
          <w:rPr>
            <w:color w:val="0000EE"/>
            <w:u w:val="single"/>
          </w:rPr>
          <w:t>12</w:t>
        </w:r>
      </w:hyperlink>
      <w:r>
        <w:t>). Elles mandatèrent sagement Phinées, le fils du grand prêtre, avec dix représentants des tribus, pour enquêter sur l'affaire. La commission accusera les tribus transjordaniennes de trahison (</w:t>
      </w:r>
      <w:hyperlink r:id="rId7637">
        <w:r>
          <w:rPr>
            <w:color w:val="0000EE"/>
            <w:u w:val="single"/>
          </w:rPr>
          <w:t>Jos 22.15–20</w:t>
        </w:r>
      </w:hyperlink>
      <w:r>
        <w:t xml:space="preserve"> ; voir </w:t>
      </w:r>
      <w:hyperlink r:id="rId1593">
        <w:r>
          <w:rPr>
            <w:color w:val="0000EE"/>
            <w:u w:val="single"/>
          </w:rPr>
          <w:t>Nb 25</w:t>
        </w:r>
      </w:hyperlink>
      <w:r>
        <w:t xml:space="preserve"> ; </w:t>
      </w:r>
      <w:hyperlink r:id="rId7638">
        <w:r>
          <w:rPr>
            <w:color w:val="0000EE"/>
            <w:u w:val="single"/>
          </w:rPr>
          <w:t>Jos 7</w:t>
        </w:r>
      </w:hyperlink>
      <w:r>
        <w:t>).</w:t>
      </w:r>
    </w:p>
    <w:p>
      <w:r/>
      <w:r>
        <w:t>La réponse des tribus de Transjordanie démontre leur souci pour l'unité des tribus et pour l'adoration de Dieu. Ces tribus craignaient d'être exclues de la communauté du peuple de Dieu et avaient délibérément construit un autel, identique à celui prescrit dans la loi, afin de démontrer leur héritage commun (</w:t>
      </w:r>
      <w:hyperlink r:id="rId7639">
        <w:r>
          <w:rPr>
            <w:color w:val="0000EE"/>
            <w:u w:val="single"/>
          </w:rPr>
          <w:t>Jos 22.21–30</w:t>
        </w:r>
      </w:hyperlink>
      <w:r>
        <w:t>). L'autel n'était pas destiné au sacrifice ou au culte, mais servait de symbole de l'unité alliancielle du peuple de Dieu.</w:t>
      </w:r>
    </w:p>
    <w:p>
      <w:r/>
      <w:r>
        <w:t>Phinées et les représentants tribaux se sont trouvés satisfaits de leur réponse et ils repartiront en les assurant de la présence de Dieu (</w:t>
      </w:r>
      <w:hyperlink r:id="rId7640">
        <w:r>
          <w:rPr>
            <w:color w:val="0000EE"/>
            <w:u w:val="single"/>
          </w:rPr>
          <w:t>22.30–31</w:t>
        </w:r>
      </w:hyperlink>
      <w:r>
        <w:t xml:space="preserve">). Le rapport qu'ils feront aux tribus conduira à la réconciliation de ces dernières en ce qui concerne cette question. Le récit se conclut par la mention du nom donné à l'autel : « </w:t>
      </w:r>
      <w:r>
        <w:t>témoin entre nous que l’Éternel est Dieu</w:t>
      </w:r>
      <w:r>
        <w:t xml:space="preserve"> » (v. </w:t>
      </w:r>
      <w:hyperlink r:id="rId7641">
        <w:r>
          <w:rPr>
            <w:color w:val="0000EE"/>
            <w:u w:val="single"/>
          </w:rPr>
          <w:t>34</w:t>
        </w:r>
      </w:hyperlink>
      <w:r>
        <w:t>).</w:t>
      </w:r>
    </w:p>
    <w:p>
      <w:pPr>
        <w:pStyle w:val="Heading4"/>
      </w:pPr>
      <w:r>
        <w:t xml:space="preserve">Épilogue : La Terre, un dépôt sacré, </w:t>
      </w:r>
      <w:hyperlink r:id="rId7642">
        <w:r>
          <w:rPr>
            <w:color w:val="0000EE"/>
            <w:u w:val="single"/>
          </w:rPr>
          <w:t>23.1–24.33</w:t>
        </w:r>
      </w:hyperlink>
    </w:p>
    <w:p>
      <w:r/>
      <w:r>
        <w:t>Les deux derniers chapitres contiennent les discours d'adieu de Josué adressés à tous les dirigeants et à tout Israël.</w:t>
      </w:r>
    </w:p>
    <w:p>
      <w:r/>
      <w:r>
        <w:t xml:space="preserve">Adresse aux dirigeants, </w:t>
      </w:r>
      <w:hyperlink r:id="rId7643">
        <w:r>
          <w:rPr>
            <w:color w:val="0000EE"/>
            <w:u w:val="single"/>
          </w:rPr>
          <w:t>23.1–16</w:t>
        </w:r>
      </w:hyperlink>
    </w:p>
    <w:p>
      <w:r/>
      <w:r>
        <w:t>Josué passe en revue ce que le Seigneur a fait pour Israël en donnant la terre aux tribus. Il a démontré sa loyauté et continuera d'être avec son peuple afin qu'aucun ennemi ne puisse leur résister. Il accomplira chaque promesse en suspens, tout comme il avait déjà accompli des promesses. Cependant, ils devront persévérer dans leur loyauté envers le Seigneur. La loyauté envers le Seigneur n'est pas séparée de la loyauté envers la loi de Moïse. L'apostasie sera sévèrement punie, d'abord en laissant les nations piéger Israël, puis en les consumant dans sa colère.</w:t>
      </w:r>
    </w:p>
    <w:p>
      <w:r/>
      <w:r>
        <w:t xml:space="preserve">Adresse à Israël, </w:t>
      </w:r>
      <w:hyperlink r:id="rId567">
        <w:r>
          <w:rPr>
            <w:color w:val="0000EE"/>
            <w:u w:val="single"/>
          </w:rPr>
          <w:t>24.1–28</w:t>
        </w:r>
      </w:hyperlink>
    </w:p>
    <w:p>
      <w:r/>
      <w:r>
        <w:t>L'adresse se termine par un renouvellement de l'alliance à Sichem (</w:t>
      </w:r>
      <w:hyperlink r:id="rId7644">
        <w:r>
          <w:rPr>
            <w:color w:val="0000EE"/>
            <w:u w:val="single"/>
          </w:rPr>
          <w:t>Jos 24.1, 25–28</w:t>
        </w:r>
      </w:hyperlink>
      <w:r>
        <w:t xml:space="preserve"> ; voir </w:t>
      </w:r>
      <w:hyperlink r:id="rId566">
        <w:r>
          <w:rPr>
            <w:color w:val="0000EE"/>
            <w:u w:val="single"/>
          </w:rPr>
          <w:t>8.30–35</w:t>
        </w:r>
      </w:hyperlink>
      <w:r>
        <w:t>). Au Proche-Orient Ancien, il était courant lors de la conclusion d'un traité d'alliance de donner un bref résumé historique de la relation des parties impliquées. Josué passe en revue l'histoire d'Israël depuis les patriarches jusqu'à leur génération : patriarches (</w:t>
      </w:r>
      <w:hyperlink r:id="rId7645">
        <w:r>
          <w:rPr>
            <w:color w:val="0000EE"/>
            <w:u w:val="single"/>
          </w:rPr>
          <w:t>24.2–4</w:t>
        </w:r>
      </w:hyperlink>
      <w:r>
        <w:t xml:space="preserve">), exode (v. </w:t>
      </w:r>
      <w:hyperlink r:id="rId7646">
        <w:r>
          <w:rPr>
            <w:color w:val="0000EE"/>
            <w:u w:val="single"/>
          </w:rPr>
          <w:t>5–7</w:t>
        </w:r>
      </w:hyperlink>
      <w:r>
        <w:t xml:space="preserve">) et conquête (v. </w:t>
      </w:r>
      <w:hyperlink r:id="rId7647">
        <w:r>
          <w:rPr>
            <w:color w:val="0000EE"/>
            <w:u w:val="single"/>
          </w:rPr>
          <w:t>8–13</w:t>
        </w:r>
      </w:hyperlink>
      <w:r>
        <w:t>).</w:t>
      </w:r>
    </w:p>
    <w:p>
      <w:r/>
      <w:r>
        <w:t>La bonté, la présence et la loyauté de Yahweh étaient évidentes pour eux. Yahweh attendait également de son peuple une « fidélité » sous la forme d'une allégeance totale, sans aucune forme d'idolâtrie (</w:t>
      </w:r>
      <w:hyperlink r:id="rId7648">
        <w:r>
          <w:rPr>
            <w:color w:val="0000EE"/>
            <w:u w:val="single"/>
          </w:rPr>
          <w:t>Jos 24.14–15</w:t>
        </w:r>
      </w:hyperlink>
      <w:r>
        <w:t xml:space="preserve">). En tant que chef de sa famille, Josué jure d'être loyal (v. </w:t>
      </w:r>
      <w:hyperlink r:id="rId4113">
        <w:r>
          <w:rPr>
            <w:color w:val="0000EE"/>
            <w:u w:val="single"/>
          </w:rPr>
          <w:t>15</w:t>
        </w:r>
      </w:hyperlink>
      <w:r>
        <w:t xml:space="preserve">). Le peuple répondra en donnant des raisons d'être loyal au Seigneur (v. </w:t>
      </w:r>
      <w:hyperlink r:id="rId7649">
        <w:r>
          <w:rPr>
            <w:color w:val="0000EE"/>
            <w:u w:val="single"/>
          </w:rPr>
          <w:t>16–18</w:t>
        </w:r>
      </w:hyperlink>
      <w:r>
        <w:t xml:space="preserve">). Mais Josué les poussera à un engagement plus profond en remettant en question leur profession de foi (v. </w:t>
      </w:r>
      <w:hyperlink r:id="rId7650">
        <w:r>
          <w:rPr>
            <w:color w:val="0000EE"/>
            <w:u w:val="single"/>
          </w:rPr>
          <w:t>19–20</w:t>
        </w:r>
      </w:hyperlink>
      <w:r>
        <w:t xml:space="preserve">), puis en enregistrant leur vœu et en érigeant une pierre de témoignage contre eux (v. </w:t>
      </w:r>
      <w:hyperlink r:id="rId7651">
        <w:r>
          <w:rPr>
            <w:color w:val="0000EE"/>
            <w:u w:val="single"/>
          </w:rPr>
          <w:t>25–27</w:t>
        </w:r>
      </w:hyperlink>
      <w:r>
        <w:t>).</w:t>
      </w:r>
    </w:p>
    <w:p>
      <w:r/>
      <w:r>
        <w:t xml:space="preserve">La Fin d'une ère, </w:t>
      </w:r>
      <w:hyperlink r:id="rId7445">
        <w:r>
          <w:rPr>
            <w:color w:val="0000EE"/>
            <w:u w:val="single"/>
          </w:rPr>
          <w:t>24.29–33</w:t>
        </w:r>
      </w:hyperlink>
    </w:p>
    <w:p>
      <w:r/>
      <w:r>
        <w:t>Le livre commence par une référence à la mort de Moïse (</w:t>
      </w:r>
      <w:hyperlink r:id="rId7652">
        <w:r>
          <w:rPr>
            <w:color w:val="0000EE"/>
            <w:u w:val="single"/>
          </w:rPr>
          <w:t>1.1–2</w:t>
        </w:r>
      </w:hyperlink>
      <w:r>
        <w:t>) et se termine par la mort et l'enterrement de Josué (</w:t>
      </w:r>
      <w:hyperlink r:id="rId7653">
        <w:r>
          <w:rPr>
            <w:color w:val="0000EE"/>
            <w:u w:val="single"/>
          </w:rPr>
          <w:t>24.29–30</w:t>
        </w:r>
      </w:hyperlink>
      <w:r>
        <w:t xml:space="preserve">) et d'Éléazar le grand prêtre (v. </w:t>
      </w:r>
      <w:hyperlink r:id="rId7654">
        <w:r>
          <w:rPr>
            <w:color w:val="0000EE"/>
            <w:u w:val="single"/>
          </w:rPr>
          <w:t>33</w:t>
        </w:r>
      </w:hyperlink>
      <w:r>
        <w:t>), marquant la fin d'une époque. L'enterrement des ossements de Joseph (</w:t>
      </w:r>
      <w:hyperlink r:id="rId1285">
        <w:r>
          <w:rPr>
            <w:color w:val="0000EE"/>
            <w:u w:val="single"/>
          </w:rPr>
          <w:t>Jos 24.32</w:t>
        </w:r>
      </w:hyperlink>
      <w:r>
        <w:t xml:space="preserve"> ; voir </w:t>
      </w:r>
      <w:hyperlink r:id="rId6043">
        <w:r>
          <w:rPr>
            <w:color w:val="0000EE"/>
            <w:u w:val="single"/>
          </w:rPr>
          <w:t>Gn 50.25</w:t>
        </w:r>
      </w:hyperlink>
      <w:r>
        <w:t xml:space="preserve"> ; </w:t>
      </w:r>
      <w:hyperlink r:id="rId6044">
        <w:r>
          <w:rPr>
            <w:color w:val="0000EE"/>
            <w:u w:val="single"/>
          </w:rPr>
          <w:t>Ex 13.19</w:t>
        </w:r>
      </w:hyperlink>
      <w:r>
        <w:t>) dans un terrain acheté par Jacob (</w:t>
      </w:r>
      <w:hyperlink r:id="rId1284">
        <w:r>
          <w:rPr>
            <w:color w:val="0000EE"/>
            <w:u w:val="single"/>
          </w:rPr>
          <w:t>Gn 33.19</w:t>
        </w:r>
      </w:hyperlink>
      <w:r>
        <w:t>) réunit l'espérance caractéristique de l'époque de Moïse et de Josué.</w:t>
      </w:r>
    </w:p>
    <w:p>
      <w:r/>
      <w:r>
        <w:rPr>
          <w:i/>
        </w:rPr>
        <w:t>Voir aussi</w:t>
      </w:r>
      <w:r>
        <w:t xml:space="preserve"> </w:t>
      </w:r>
      <w:r>
        <w:t>Villes de refuge</w:t>
      </w:r>
      <w:r>
        <w:t xml:space="preserve"> ; </w:t>
      </w:r>
      <w:r>
        <w:t>Conquête et répartition de la terre</w:t>
      </w:r>
      <w:r>
        <w:t xml:space="preserve"> ; </w:t>
      </w:r>
      <w:r>
        <w:t>Israël, Histoire d'</w:t>
      </w:r>
      <w:r>
        <w:t xml:space="preserve"> ; </w:t>
      </w:r>
      <w:r>
        <w:t>Josué (Personne) n° 1</w:t>
      </w:r>
      <w:r>
        <w:t xml:space="preserve"> ; </w:t>
      </w:r>
      <w:r>
        <w:t>Villes lévitiques</w:t>
      </w:r>
      <w:r>
        <w:t>.</w:t>
      </w:r>
      <w:r/>
      <w:r/>
    </w:p>
    <w:p>
      <w:r/>
    </w:p>
    <w:p>
      <w:pPr>
        <w:pStyle w:val="Heading2"/>
      </w:pPr>
      <w:r>
        <w:t>Jour</w:t>
      </w:r>
      <w:r/>
    </w:p>
    <w:p>
      <w:r/>
      <w:r>
        <w:t xml:space="preserve">Le plus littéralement, une période de temps délimitée par la rotation de la Terre autour de son axe, comme la période entre deux levers de soleil consécutifs ; également, la partie de cette période où le soleil est visible, l'autre partie étant appelée « nuit ». Le mot « jour » apparaît plus de deux mille fois dans l'AT, plus de trois-cent-cinquante fois dans le NT. Le mot hébreu pour « jour » est utilisé de diverses manières, pas seulement au sens littéral. Le jour hébreu commençait le soir et se poursuivait jusqu'au soir suivant, un calcul vraisemblablement basé sur la Torah (cf. </w:t>
      </w:r>
      <w:hyperlink r:id="rId7655">
        <w:r>
          <w:rPr>
            <w:color w:val="0000EE"/>
            <w:u w:val="single"/>
          </w:rPr>
          <w:t>Gn 1.14, 19</w:t>
        </w:r>
      </w:hyperlink>
      <w:r>
        <w:t>). Ce type de jour solaire littéral (vingt-quatre heures) est connu comme un jour calendaire. Parmi d'autres nations anciennes du Proche-Orient, le jour calendaire commençait à des moments différents. La coutume grecque était d'accord avec celle des Hébreux ; les Babyloniens commençaient leur journée au lever du soleil ; le jour égyptien et romain s'étendait d'une minuit à l'autre.</w:t>
      </w:r>
    </w:p>
    <w:p>
      <w:pPr>
        <w:pStyle w:val="Heading3"/>
      </w:pPr>
      <w:r>
        <w:t>Jours et semaines dans la Bible</w:t>
      </w:r>
    </w:p>
    <w:p>
      <w:r/>
      <w:r>
        <w:t>Les unités communément reconnues de la journée visible (de douze heures) étaient le matin, midi et le soir (</w:t>
      </w:r>
      <w:hyperlink r:id="rId7656">
        <w:r>
          <w:rPr>
            <w:color w:val="0000EE"/>
            <w:u w:val="single"/>
          </w:rPr>
          <w:t>Ps 55.17</w:t>
        </w:r>
      </w:hyperlink>
      <w:r>
        <w:t>). Ces divisions étaient parfois définies par des termes pour l'aube (</w:t>
      </w:r>
      <w:hyperlink r:id="rId7657">
        <w:r>
          <w:rPr>
            <w:color w:val="0000EE"/>
            <w:u w:val="single"/>
          </w:rPr>
          <w:t>Jb 3.9</w:t>
        </w:r>
      </w:hyperlink>
      <w:r>
        <w:t>), la chaleur du jour (</w:t>
      </w:r>
      <w:hyperlink r:id="rId7658">
        <w:r>
          <w:rPr>
            <w:color w:val="0000EE"/>
            <w:u w:val="single"/>
          </w:rPr>
          <w:t>1S 11.11</w:t>
        </w:r>
      </w:hyperlink>
      <w:r>
        <w:t>), midi (</w:t>
      </w:r>
      <w:hyperlink r:id="rId7659">
        <w:r>
          <w:rPr>
            <w:color w:val="0000EE"/>
            <w:u w:val="single"/>
          </w:rPr>
          <w:t>Gn 43.16</w:t>
        </w:r>
      </w:hyperlink>
      <w:r>
        <w:t>), la fraîcheur du jour (</w:t>
      </w:r>
      <w:hyperlink r:id="rId241">
        <w:r>
          <w:rPr>
            <w:color w:val="0000EE"/>
            <w:u w:val="single"/>
          </w:rPr>
          <w:t>3.8</w:t>
        </w:r>
      </w:hyperlink>
      <w:r>
        <w:t>), et le soir (</w:t>
      </w:r>
      <w:hyperlink r:id="rId493">
        <w:r>
          <w:rPr>
            <w:color w:val="0000EE"/>
            <w:u w:val="single"/>
          </w:rPr>
          <w:t>Ru 2.17</w:t>
        </w:r>
      </w:hyperlink>
      <w:r>
        <w:t>). La phrase hébraïque « entre les deux soirs » (</w:t>
      </w:r>
      <w:hyperlink r:id="rId7660">
        <w:r>
          <w:rPr>
            <w:color w:val="0000EE"/>
            <w:u w:val="single"/>
          </w:rPr>
          <w:t>Ex 12.6</w:t>
        </w:r>
      </w:hyperlink>
      <w:r>
        <w:t>) se référait probablement au crépuscule, la partie sombre de la fin de journée (</w:t>
      </w:r>
      <w:hyperlink r:id="rId7661">
        <w:r>
          <w:rPr>
            <w:color w:val="0000EE"/>
            <w:u w:val="single"/>
          </w:rPr>
          <w:t>Ex 16.12</w:t>
        </w:r>
      </w:hyperlink>
      <w:r>
        <w:t>). La division des jours en heures consécutives n'a eu lieu qu'à l'époque du Christ. L'approximation la plus proche dans l'AT d'une telle unité était la division du jour en quarts (</w:t>
      </w:r>
      <w:hyperlink r:id="rId7662">
        <w:r>
          <w:rPr>
            <w:color w:val="0000EE"/>
            <w:u w:val="single"/>
          </w:rPr>
          <w:t>Né 9.3</w:t>
        </w:r>
      </w:hyperlink>
      <w:r>
        <w:t>), qui s'agissait peut-être d'un équivalent de la division préexilique de la nuit en veilles.</w:t>
      </w:r>
    </w:p>
    <w:p>
      <w:r/>
      <w:r>
        <w:t>Les anciens Hébreux ne nommaient pas les jours de la semaine, à l'exception du sabbat. Au lieu de cela, ils les désignaient numériquement, une pratique qui s'est poursuivie à l'époque du NT (</w:t>
      </w:r>
      <w:hyperlink r:id="rId2586">
        <w:r>
          <w:rPr>
            <w:color w:val="0000EE"/>
            <w:u w:val="single"/>
          </w:rPr>
          <w:t>Lc 24.1</w:t>
        </w:r>
      </w:hyperlink>
      <w:r>
        <w:t>). En raison de l'accent traditionnel hébreu sur le sabbat, il était important pour les Juifs de connaître l'heure exacte du début du sabbat. Les pharisiens ont donc décidé que l'apparition de trois étoiles après le coucher du soleil déterminerait le début du jour du sabbat.</w:t>
      </w:r>
    </w:p>
    <w:p>
      <w:pPr>
        <w:pStyle w:val="Heading3"/>
      </w:pPr>
      <w:r>
        <w:t>Les jours de la Création</w:t>
      </w:r>
    </w:p>
    <w:p>
      <w:r/>
      <w:r>
        <w:t>Beaucoup de gens croient que les jours mentionnés dans le récit de la Création de la Genèse étaient des périodes de vingt-quatre heures. L'expression « il y eut un soir, et il y eut un matin » est présenté comme preuve à l'appui de cette idée. Cette expression, cependant, est en réalité une figure littéraire sumérienne qui associe des opposés pour décrire la totalité. Ainsi, « soir-matin » signifie une phase complète de temps dans le cycle créatif total ; elle met l'accent sur l'exhaustivité ou la globalité du processus, et non sur la période de temps spécifique durant laquelle ce processus a été accompli. La totalité de la Création, phase par phase, a pu ainsi être représentée sans référence nécessaire à une période de temps définie.</w:t>
      </w:r>
    </w:p>
    <w:p>
      <w:r/>
      <w:r>
        <w:t>Étant donné que la journée civile sumérienne comprenait uniquement la période visible (douze heures), une journée légale d'autres nations était en réalité une « double journée » (vingt-quatre heures). Si le matériel des premiers chapitres de la Genèse reflète la culture sumérienne, l'utilisation de « soir-matin » exclurait les concepts actuels d'une journée calendaire et indiquerait plutôt une phase ou une période générale.</w:t>
      </w:r>
    </w:p>
    <w:p>
      <w:pPr>
        <w:pStyle w:val="Heading3"/>
      </w:pPr>
      <w:r>
        <w:t>Ancien Testament</w:t>
      </w:r>
    </w:p>
    <w:p>
      <w:r/>
      <w:r>
        <w:t>Dans l'AT, le mot « jour » a souvent une signification figurée. Par exemple, le « jour de l'Éternel » (</w:t>
      </w:r>
      <w:hyperlink r:id="rId3758">
        <w:r>
          <w:rPr>
            <w:color w:val="0000EE"/>
            <w:u w:val="single"/>
          </w:rPr>
          <w:t>Jl 1.15</w:t>
        </w:r>
      </w:hyperlink>
      <w:r>
        <w:t xml:space="preserve"> ; </w:t>
      </w:r>
      <w:hyperlink r:id="rId805">
        <w:r>
          <w:rPr>
            <w:color w:val="0000EE"/>
            <w:u w:val="single"/>
          </w:rPr>
          <w:t>Am 5.18</w:t>
        </w:r>
      </w:hyperlink>
      <w:r>
        <w:t>), le « jour de la détresse » (</w:t>
      </w:r>
      <w:hyperlink r:id="rId7663">
        <w:r>
          <w:rPr>
            <w:color w:val="0000EE"/>
            <w:u w:val="single"/>
          </w:rPr>
          <w:t>Ps 20.1</w:t>
        </w:r>
      </w:hyperlink>
      <w:r>
        <w:t>), et le « jour de la colère de Dieu » (</w:t>
      </w:r>
      <w:hyperlink r:id="rId7664">
        <w:r>
          <w:rPr>
            <w:color w:val="0000EE"/>
            <w:u w:val="single"/>
          </w:rPr>
          <w:t>Jb 20.28</w:t>
        </w:r>
      </w:hyperlink>
      <w:r>
        <w:t>). La forme plurielle est parfois utilisée pour décrire le règne d'un roi (</w:t>
      </w:r>
      <w:hyperlink r:id="rId7665">
        <w:r>
          <w:rPr>
            <w:color w:val="0000EE"/>
            <w:u w:val="single"/>
          </w:rPr>
          <w:t>1R 10.21</w:t>
        </w:r>
      </w:hyperlink>
      <w:r>
        <w:t>) ou la durée de vie d'un individu (</w:t>
      </w:r>
      <w:hyperlink r:id="rId5166">
        <w:r>
          <w:rPr>
            <w:color w:val="0000EE"/>
            <w:u w:val="single"/>
          </w:rPr>
          <w:t>Gn 5.4</w:t>
        </w:r>
      </w:hyperlink>
      <w:r>
        <w:t xml:space="preserve"> ; </w:t>
      </w:r>
      <w:hyperlink r:id="rId7666">
        <w:r>
          <w:rPr>
            <w:color w:val="0000EE"/>
            <w:u w:val="single"/>
          </w:rPr>
          <w:t>1R 3.14</w:t>
        </w:r>
      </w:hyperlink>
      <w:r>
        <w:t xml:space="preserve"> ; </w:t>
      </w:r>
      <w:hyperlink r:id="rId2147">
        <w:r>
          <w:rPr>
            <w:color w:val="0000EE"/>
            <w:u w:val="single"/>
          </w:rPr>
          <w:t>Ps 90.12</w:t>
        </w:r>
      </w:hyperlink>
      <w:r>
        <w:t>). Dieu est décrit dans le livre de Daniel comme l'« ancien des jours » (</w:t>
      </w:r>
      <w:hyperlink r:id="rId7667">
        <w:r>
          <w:rPr>
            <w:color w:val="0000EE"/>
            <w:u w:val="single"/>
          </w:rPr>
          <w:t>Dn 7.9, 13</w:t>
        </w:r>
      </w:hyperlink>
      <w:r>
        <w:t>).</w:t>
      </w:r>
    </w:p>
    <w:p>
      <w:r/>
      <w:r>
        <w:t>En plus du sabbat (</w:t>
      </w:r>
      <w:hyperlink r:id="rId5563">
        <w:r>
          <w:rPr>
            <w:color w:val="0000EE"/>
            <w:u w:val="single"/>
          </w:rPr>
          <w:t>Gn 2.3</w:t>
        </w:r>
      </w:hyperlink>
      <w:r>
        <w:t xml:space="preserve"> ; </w:t>
      </w:r>
      <w:hyperlink r:id="rId558">
        <w:r>
          <w:rPr>
            <w:color w:val="0000EE"/>
            <w:u w:val="single"/>
          </w:rPr>
          <w:t>Ex 20.8–11</w:t>
        </w:r>
      </w:hyperlink>
      <w:r>
        <w:t>), qui était réservé au repos et à l'adoration, le terme « jour » était appliqué à la célébration de la Pâque chaque printemps (</w:t>
      </w:r>
      <w:hyperlink r:id="rId5596">
        <w:r>
          <w:rPr>
            <w:color w:val="0000EE"/>
            <w:u w:val="single"/>
          </w:rPr>
          <w:t>Ex 12.14</w:t>
        </w:r>
      </w:hyperlink>
      <w:r>
        <w:t xml:space="preserve"> ; </w:t>
      </w:r>
      <w:hyperlink r:id="rId5600">
        <w:r>
          <w:rPr>
            <w:color w:val="0000EE"/>
            <w:u w:val="single"/>
          </w:rPr>
          <w:t>Lv 23.5</w:t>
        </w:r>
      </w:hyperlink>
      <w:r>
        <w:t>) et au Jour des Expiations (</w:t>
      </w:r>
      <w:hyperlink r:id="rId7668">
        <w:r>
          <w:rPr>
            <w:color w:val="0000EE"/>
            <w:u w:val="single"/>
          </w:rPr>
          <w:t>Lv 16.29–31</w:t>
        </w:r>
      </w:hyperlink>
      <w:r>
        <w:t>) chaque automne. Comme pour le sabbat, aucun travail n'était effectué à ces occasions ; des rituels religieux prescrits étaient observés.</w:t>
      </w:r>
    </w:p>
    <w:p>
      <w:pPr>
        <w:pStyle w:val="Heading3"/>
      </w:pPr>
      <w:r>
        <w:t>Nouveau Testament</w:t>
      </w:r>
    </w:p>
    <w:p>
      <w:r/>
      <w:r>
        <w:t xml:space="preserve">Dans le NT, l'utilisation de « jour » suivait dans une certaine mesure l'usage sémitique, bien que les quatre veilles militaires nocturnes soient d'origine grecque et romaine. La journée de douze heures de l'époque du NT était un héritage de l'astronomie babylonienne (cf. </w:t>
      </w:r>
      <w:hyperlink r:id="rId7669">
        <w:r>
          <w:rPr>
            <w:color w:val="0000EE"/>
            <w:u w:val="single"/>
          </w:rPr>
          <w:t>Jn 11.9</w:t>
        </w:r>
      </w:hyperlink>
      <w:r>
        <w:t>).</w:t>
      </w:r>
    </w:p>
    <w:p>
      <w:r/>
      <w:r>
        <w:t>En plus de l'utilisation littérale du mot « jour », les auteurs du NT l'ont parfois employé de manière figurée, comme dans des expressions telles que le « jour du salut » (</w:t>
      </w:r>
      <w:hyperlink r:id="rId7670">
        <w:r>
          <w:rPr>
            <w:color w:val="0000EE"/>
            <w:u w:val="single"/>
          </w:rPr>
          <w:t>2Co 6.2</w:t>
        </w:r>
      </w:hyperlink>
      <w:r>
        <w:t>) et le « jour de Jésus-Christ » (</w:t>
      </w:r>
      <w:hyperlink r:id="rId7671">
        <w:r>
          <w:rPr>
            <w:color w:val="0000EE"/>
            <w:u w:val="single"/>
          </w:rPr>
          <w:t>Ph 1.6</w:t>
        </w:r>
      </w:hyperlink>
      <w:r>
        <w:t>). Ou ils décrivaient des périodes de temps spécifiques, comme dans les « jours de service » au temple (</w:t>
      </w:r>
      <w:hyperlink r:id="rId7672">
        <w:r>
          <w:rPr>
            <w:color w:val="0000EE"/>
            <w:u w:val="single"/>
          </w:rPr>
          <w:t>Lc 1.23</w:t>
        </w:r>
      </w:hyperlink>
      <w:r>
        <w:t>). Les fêtes spéciales mentionnées incluent la Pâque (</w:t>
      </w:r>
      <w:hyperlink r:id="rId2140">
        <w:r>
          <w:rPr>
            <w:color w:val="0000EE"/>
            <w:u w:val="single"/>
          </w:rPr>
          <w:t>Jn 12.1</w:t>
        </w:r>
      </w:hyperlink>
      <w:r>
        <w:t>), les jours des pains sans levain (</w:t>
      </w:r>
      <w:hyperlink r:id="rId2607">
        <w:r>
          <w:rPr>
            <w:color w:val="0000EE"/>
            <w:u w:val="single"/>
          </w:rPr>
          <w:t>Ac 12.3</w:t>
        </w:r>
      </w:hyperlink>
      <w:r>
        <w:t>), et le jour de la Pentecôte (</w:t>
      </w:r>
      <w:hyperlink r:id="rId2600">
        <w:r>
          <w:rPr>
            <w:color w:val="0000EE"/>
            <w:u w:val="single"/>
          </w:rPr>
          <w:t>2.1</w:t>
        </w:r>
      </w:hyperlink>
      <w:r>
        <w:t>).</w:t>
      </w:r>
    </w:p>
    <w:p>
      <w:r/>
      <w:r>
        <w:t>Comme dans l'Ancien Testament, la période de la vie humaine est décrite comme des jours (</w:t>
      </w:r>
      <w:hyperlink r:id="rId7673">
        <w:r>
          <w:rPr>
            <w:color w:val="0000EE"/>
            <w:u w:val="single"/>
          </w:rPr>
          <w:t>Jn 9.4</w:t>
        </w:r>
      </w:hyperlink>
      <w:r>
        <w:t xml:space="preserve">). Les chrétiens sont appelés « </w:t>
      </w:r>
      <w:r>
        <w:t>des enfants de la lumière et des enfants du jour</w:t>
      </w:r>
      <w:r>
        <w:t xml:space="preserve"> » (</w:t>
      </w:r>
      <w:hyperlink r:id="rId7674">
        <w:r>
          <w:rPr>
            <w:color w:val="0000EE"/>
            <w:u w:val="single"/>
          </w:rPr>
          <w:t>1Th 5.5</w:t>
        </w:r>
      </w:hyperlink>
      <w:r>
        <w:t>). Des périodes ou époques plus longues sont désignées comme des jours (</w:t>
      </w:r>
      <w:hyperlink r:id="rId7670">
        <w:r>
          <w:rPr>
            <w:color w:val="0000EE"/>
            <w:u w:val="single"/>
          </w:rPr>
          <w:t>2Co 6.2</w:t>
        </w:r>
      </w:hyperlink>
      <w:r>
        <w:t xml:space="preserve"> ; </w:t>
      </w:r>
      <w:hyperlink r:id="rId7675">
        <w:r>
          <w:rPr>
            <w:color w:val="0000EE"/>
            <w:u w:val="single"/>
          </w:rPr>
          <w:t>Ep 5.16</w:t>
        </w:r>
      </w:hyperlink>
      <w:r>
        <w:t xml:space="preserve"> ; </w:t>
      </w:r>
      <w:hyperlink r:id="rId7676">
        <w:r>
          <w:rPr>
            <w:color w:val="0000EE"/>
            <w:u w:val="single"/>
          </w:rPr>
          <w:t>6.13</w:t>
        </w:r>
      </w:hyperlink>
      <w:r>
        <w:t xml:space="preserve"> ; </w:t>
      </w:r>
      <w:hyperlink r:id="rId6315">
        <w:r>
          <w:rPr>
            <w:color w:val="0000EE"/>
            <w:u w:val="single"/>
          </w:rPr>
          <w:t>He 5.7</w:t>
        </w:r>
      </w:hyperlink>
      <w:r>
        <w:t>). La note menaçante frappée par les prophètes hébreux concernant un jour de jugement est égalée par l'accent mis dans le NT sur un jour de jugement divin final lorsque le Fils de l'Homme (Jésus) se révélera comme Seigneur (</w:t>
      </w:r>
      <w:hyperlink r:id="rId7677">
        <w:r>
          <w:rPr>
            <w:color w:val="0000EE"/>
            <w:u w:val="single"/>
          </w:rPr>
          <w:t>Lc 17.30</w:t>
        </w:r>
      </w:hyperlink>
      <w:r>
        <w:t xml:space="preserve"> ; </w:t>
      </w:r>
      <w:hyperlink r:id="rId3767">
        <w:r>
          <w:rPr>
            <w:color w:val="0000EE"/>
            <w:u w:val="single"/>
          </w:rPr>
          <w:t>Jn 6.39–44</w:t>
        </w:r>
      </w:hyperlink>
      <w:r>
        <w:t xml:space="preserve"> ; </w:t>
      </w:r>
      <w:hyperlink r:id="rId7678">
        <w:r>
          <w:rPr>
            <w:color w:val="0000EE"/>
            <w:u w:val="single"/>
          </w:rPr>
          <w:t>1Co 5.5</w:t>
        </w:r>
      </w:hyperlink>
      <w:r>
        <w:t xml:space="preserve"> ; </w:t>
      </w:r>
      <w:hyperlink r:id="rId3761">
        <w:r>
          <w:rPr>
            <w:color w:val="0000EE"/>
            <w:u w:val="single"/>
          </w:rPr>
          <w:t>1Th 5.2</w:t>
        </w:r>
      </w:hyperlink>
      <w:r>
        <w:t xml:space="preserve"> ; </w:t>
      </w:r>
      <w:hyperlink r:id="rId7679">
        <w:r>
          <w:rPr>
            <w:color w:val="0000EE"/>
            <w:u w:val="single"/>
          </w:rPr>
          <w:t>2P 2.9</w:t>
        </w:r>
      </w:hyperlink>
      <w:r>
        <w:t xml:space="preserve"> ; </w:t>
      </w:r>
      <w:hyperlink r:id="rId7680">
        <w:r>
          <w:rPr>
            <w:color w:val="0000EE"/>
            <w:u w:val="single"/>
          </w:rPr>
          <w:t>3.7, 12</w:t>
        </w:r>
      </w:hyperlink>
      <w:r>
        <w:t xml:space="preserve"> ; </w:t>
      </w:r>
      <w:hyperlink r:id="rId3745">
        <w:r>
          <w:rPr>
            <w:color w:val="0000EE"/>
            <w:u w:val="single"/>
          </w:rPr>
          <w:t>1Jn 4.17</w:t>
        </w:r>
      </w:hyperlink>
      <w:r>
        <w:t xml:space="preserve"> ; </w:t>
      </w:r>
      <w:hyperlink r:id="rId7681">
        <w:r>
          <w:rPr>
            <w:color w:val="0000EE"/>
            <w:u w:val="single"/>
          </w:rPr>
          <w:t>Ap 16.14</w:t>
        </w:r>
      </w:hyperlink>
      <w:r>
        <w:t>). Le « jour d'éternité » marque le point où le temps deviendra éternité (</w:t>
      </w:r>
      <w:hyperlink r:id="rId7682">
        <w:r>
          <w:rPr>
            <w:color w:val="0000EE"/>
            <w:u w:val="single"/>
          </w:rPr>
          <w:t>2P 3.18</w:t>
        </w:r>
      </w:hyperlink>
      <w:r>
        <w:t>, DBY). La nouvelle Jérusalem, demeure du peuple de Dieu, est décrite comme un lieu de jour perpétuel (</w:t>
      </w:r>
      <w:hyperlink r:id="rId7683">
        <w:r>
          <w:rPr>
            <w:color w:val="0000EE"/>
            <w:u w:val="single"/>
          </w:rPr>
          <w:t>Ap 21.25</w:t>
        </w:r>
      </w:hyperlink>
      <w:r>
        <w:t>).</w:t>
      </w:r>
    </w:p>
    <w:p>
      <w:r/>
      <w:r>
        <w:rPr>
          <w:i/>
        </w:rPr>
        <w:t>Voir aussi</w:t>
      </w:r>
      <w:r>
        <w:t xml:space="preserve"> </w:t>
      </w:r>
      <w:r>
        <w:t>Calendriers, anciens et modernes</w:t>
      </w:r>
      <w:r>
        <w:t xml:space="preserve"> ; </w:t>
      </w:r>
      <w:r>
        <w:t>Jour du Seigneur</w:t>
      </w:r>
      <w:r>
        <w:t xml:space="preserve"> ; </w:t>
      </w:r>
      <w:r>
        <w:t>Eschatologie</w:t>
      </w:r>
      <w:r>
        <w:t>.</w:t>
      </w:r>
      <w:r/>
      <w:r/>
    </w:p>
    <w:p>
      <w:r/>
    </w:p>
    <w:p>
      <w:pPr>
        <w:pStyle w:val="Heading2"/>
      </w:pPr>
      <w:r>
        <w:t>Jour de l'Éternel, Jour du Seigneur</w:t>
      </w:r>
      <w:r/>
    </w:p>
    <w:p>
      <w:r/>
      <w:r>
        <w:t xml:space="preserve">Une expression utilisée par les prophètes de l'Ancien Testament pour décrire un moment où Dieu interviendra dans l'histoire, principalement pour le jugement. Ainsi, « le jour de l'Éternel » est également appelé « le </w:t>
      </w:r>
      <w:r>
        <w:t>jour de la colère de l’Éternel</w:t>
      </w:r>
      <w:r>
        <w:t xml:space="preserve"> » (</w:t>
      </w:r>
      <w:hyperlink r:id="rId7684">
        <w:r>
          <w:rPr>
            <w:color w:val="0000EE"/>
            <w:u w:val="single"/>
          </w:rPr>
          <w:t>So 2.2</w:t>
        </w:r>
      </w:hyperlink>
      <w:r>
        <w:t>). Cette expression apparaît dans les écrits du prophète Amos, qui a vécu au VIII</w:t>
      </w:r>
      <w:r>
        <w:rPr>
          <w:vertAlign w:val="superscript"/>
        </w:rPr>
        <w:t>e</w:t>
      </w:r>
      <w:r>
        <w:t xml:space="preserve"> siècle avant J.‑C.</w:t>
      </w:r>
    </w:p>
    <w:p>
      <w:pPr>
        <w:pStyle w:val="Heading3"/>
      </w:pPr>
      <w:r>
        <w:t>Le jour de l'Éternel dans l'Ancien Testament</w:t>
      </w:r>
    </w:p>
    <w:p>
      <w:r/>
      <w:r>
        <w:t>Parfois, « le jour de l'Éternel » est utilisé dans l'AT pour se référer à un jugement passé (</w:t>
      </w:r>
      <w:hyperlink r:id="rId7685">
        <w:r>
          <w:rPr>
            <w:color w:val="0000EE"/>
            <w:u w:val="single"/>
          </w:rPr>
          <w:t>Lm 2.22</w:t>
        </w:r>
      </w:hyperlink>
      <w:r>
        <w:t>). Cependant, il se réfère généralement à un jugement futur (</w:t>
      </w:r>
      <w:hyperlink r:id="rId7330">
        <w:r>
          <w:rPr>
            <w:color w:val="0000EE"/>
            <w:u w:val="single"/>
          </w:rPr>
          <w:t>Jl 2.1–11</w:t>
        </w:r>
      </w:hyperlink>
      <w:r>
        <w:t>). Plus précisément, il se réfère au jugement final du monde (</w:t>
      </w:r>
      <w:hyperlink r:id="rId7686">
        <w:r>
          <w:rPr>
            <w:color w:val="0000EE"/>
            <w:u w:val="single"/>
          </w:rPr>
          <w:t>Jl 3.14–21</w:t>
        </w:r>
      </w:hyperlink>
      <w:r>
        <w:t xml:space="preserve"> ; </w:t>
      </w:r>
      <w:hyperlink r:id="rId7687">
        <w:r>
          <w:rPr>
            <w:color w:val="0000EE"/>
            <w:u w:val="single"/>
          </w:rPr>
          <w:t>Ml 4.5</w:t>
        </w:r>
      </w:hyperlink>
      <w:r>
        <w:t xml:space="preserve">). Souvent, une prophétie concernant un événement proche est combinée avec une prophétie concernant la fin des temps : un jugement à venir est un aperçu du Jour final du Seigneur. La prophétie d'Ésaïe contre Babylone dans </w:t>
      </w:r>
      <w:hyperlink r:id="rId7688">
        <w:r>
          <w:rPr>
            <w:color w:val="0000EE"/>
            <w:u w:val="single"/>
          </w:rPr>
          <w:t xml:space="preserve">Ésaïe 13 </w:t>
        </w:r>
      </w:hyperlink>
      <w:r>
        <w:t>en est un exemple (</w:t>
      </w:r>
      <w:hyperlink r:id="rId7688">
        <w:r>
          <w:rPr>
            <w:color w:val="0000EE"/>
            <w:u w:val="single"/>
          </w:rPr>
          <w:t>Es 13.5–10</w:t>
        </w:r>
      </w:hyperlink>
      <w:r>
        <w:t>). Jésus a utilisé de nombreuses prophéties pour expliquer sa seconde venue (</w:t>
      </w:r>
      <w:hyperlink r:id="rId7689">
        <w:r>
          <w:rPr>
            <w:color w:val="0000EE"/>
            <w:u w:val="single"/>
          </w:rPr>
          <w:t>Mc 13.24–37</w:t>
        </w:r>
      </w:hyperlink>
      <w:r>
        <w:t>).</w:t>
      </w:r>
    </w:p>
    <w:p>
      <w:r/>
      <w:r>
        <w:t>Un autre exemple est la prophétie de Joël concernant le Jour de l'Éternel (</w:t>
      </w:r>
      <w:hyperlink r:id="rId7690">
        <w:r>
          <w:rPr>
            <w:color w:val="0000EE"/>
            <w:u w:val="single"/>
          </w:rPr>
          <w:t>Jl 1.15–2.11</w:t>
        </w:r>
      </w:hyperlink>
      <w:r>
        <w:t>). Le prophète a prédit une invasion de sauterelles que Dieu enverrait à Israël, mais sa prophétie s'étendait au Jour de l'Éternel après l'époque de Joël (</w:t>
      </w:r>
      <w:hyperlink r:id="rId7691">
        <w:r>
          <w:rPr>
            <w:color w:val="0000EE"/>
            <w:u w:val="single"/>
          </w:rPr>
          <w:t>Jl 2.14–17, 31</w:t>
        </w:r>
      </w:hyperlink>
      <w:r>
        <w:t>). Le Jour de l'Éternel se situe même après l'effusion du Saint-Esprit à la Pentecôte, qui était également prédite par la prophétie de Joël (</w:t>
      </w:r>
      <w:hyperlink r:id="rId5626">
        <w:r>
          <w:rPr>
            <w:color w:val="0000EE"/>
            <w:u w:val="single"/>
          </w:rPr>
          <w:t>Jl 2.28–32</w:t>
        </w:r>
      </w:hyperlink>
      <w:r>
        <w:t xml:space="preserve"> ; </w:t>
      </w:r>
      <w:hyperlink r:id="rId7355">
        <w:r>
          <w:rPr>
            <w:color w:val="0000EE"/>
            <w:u w:val="single"/>
          </w:rPr>
          <w:t>Ac 2.16–21</w:t>
        </w:r>
      </w:hyperlink>
      <w:r>
        <w:t xml:space="preserve"> ; </w:t>
      </w:r>
      <w:hyperlink r:id="rId7692">
        <w:r>
          <w:rPr>
            <w:color w:val="0000EE"/>
            <w:u w:val="single"/>
          </w:rPr>
          <w:t>Ap 6.12–13</w:t>
        </w:r>
      </w:hyperlink>
      <w:r>
        <w:t>). Le NT n'utilise le terme que pour désigner la fin des temps.</w:t>
      </w:r>
    </w:p>
    <w:p>
      <w:r/>
      <w:r>
        <w:t>Le Jour de l'Éternel est décrit comme un jour de ténèbres, de noirceur et de jugement. Il est associé au jugement de Dieu et décrit des changements dans la nature, tels que l'obscurcissement du soleil, de la lune et des étoiles (</w:t>
      </w:r>
      <w:hyperlink r:id="rId7693">
        <w:r>
          <w:rPr>
            <w:color w:val="0000EE"/>
            <w:u w:val="single"/>
          </w:rPr>
          <w:t>Es 13.10</w:t>
        </w:r>
      </w:hyperlink>
      <w:r>
        <w:t xml:space="preserve">; </w:t>
      </w:r>
      <w:hyperlink r:id="rId1436">
        <w:r>
          <w:rPr>
            <w:color w:val="0000EE"/>
            <w:u w:val="single"/>
          </w:rPr>
          <w:t>Jl 2.31</w:t>
        </w:r>
      </w:hyperlink>
      <w:r>
        <w:t xml:space="preserve">; </w:t>
      </w:r>
      <w:hyperlink r:id="rId7694">
        <w:r>
          <w:rPr>
            <w:color w:val="0000EE"/>
            <w:u w:val="single"/>
          </w:rPr>
          <w:t>3.15</w:t>
        </w:r>
      </w:hyperlink>
      <w:r>
        <w:t xml:space="preserve">; </w:t>
      </w:r>
      <w:hyperlink r:id="rId1437">
        <w:r>
          <w:rPr>
            <w:color w:val="0000EE"/>
            <w:u w:val="single"/>
          </w:rPr>
          <w:t>Mt 24.29</w:t>
        </w:r>
      </w:hyperlink>
      <w:r>
        <w:t xml:space="preserve">; </w:t>
      </w:r>
      <w:hyperlink r:id="rId3377">
        <w:r>
          <w:rPr>
            <w:color w:val="0000EE"/>
            <w:u w:val="single"/>
          </w:rPr>
          <w:t>Ap 6.12</w:t>
        </w:r>
      </w:hyperlink>
      <w:r>
        <w:t>). Les nations seront jugées pour leur rébellion contre Israël (</w:t>
      </w:r>
      <w:hyperlink r:id="rId4511">
        <w:r>
          <w:rPr>
            <w:color w:val="0000EE"/>
            <w:u w:val="single"/>
          </w:rPr>
          <w:t>Jl 3.19</w:t>
        </w:r>
      </w:hyperlink>
      <w:r>
        <w:t xml:space="preserve">; comparer </w:t>
      </w:r>
      <w:hyperlink r:id="rId4029">
        <w:r>
          <w:rPr>
            <w:color w:val="0000EE"/>
            <w:u w:val="single"/>
          </w:rPr>
          <w:t>Ps 2</w:t>
        </w:r>
      </w:hyperlink>
      <w:r>
        <w:t>). Cependant, il est dit à Israël de ne pas désirer ce jour car ils seront également jugés (</w:t>
      </w:r>
      <w:hyperlink r:id="rId3734">
        <w:r>
          <w:rPr>
            <w:color w:val="0000EE"/>
            <w:u w:val="single"/>
          </w:rPr>
          <w:t>Am 5.18–20</w:t>
        </w:r>
      </w:hyperlink>
      <w:r>
        <w:t>). Mais les prophètes promettent qu'un « reste » fidèle sera sauvé lorsqu'ils se tourneront vers le Messie (</w:t>
      </w:r>
      <w:hyperlink r:id="rId7344">
        <w:r>
          <w:rPr>
            <w:color w:val="0000EE"/>
            <w:u w:val="single"/>
          </w:rPr>
          <w:t>Jl 2.32</w:t>
        </w:r>
      </w:hyperlink>
      <w:r>
        <w:t xml:space="preserve">; </w:t>
      </w:r>
      <w:hyperlink r:id="rId3821">
        <w:r>
          <w:rPr>
            <w:color w:val="0000EE"/>
            <w:u w:val="single"/>
          </w:rPr>
          <w:t>Za 12.10</w:t>
        </w:r>
      </w:hyperlink>
      <w:r>
        <w:t>). Après le jugement, c'est un temps de prospérité, de restauration et de bénédiction pour Israël (</w:t>
      </w:r>
      <w:hyperlink r:id="rId7695">
        <w:r>
          <w:rPr>
            <w:color w:val="0000EE"/>
            <w:u w:val="single"/>
          </w:rPr>
          <w:t>Jl 3.18–21</w:t>
        </w:r>
      </w:hyperlink>
      <w:r>
        <w:t>).</w:t>
      </w:r>
    </w:p>
    <w:p>
      <w:pPr>
        <w:pStyle w:val="Heading3"/>
      </w:pPr>
      <w:r>
        <w:t>Le jour du Seigneur dans le Nouveau Testament</w:t>
      </w:r>
    </w:p>
    <w:p>
      <w:r/>
      <w:r>
        <w:t>Le Nouveau Testament contient des expressions plus explicites :</w:t>
      </w:r>
    </w:p>
    <w:p>
      <w:pPr>
        <w:pStyle w:val="ListBullet"/>
        <w:spacing w:line="240" w:lineRule="auto"/>
        <w:ind w:left="720"/>
      </w:pPr>
      <w:r/>
      <w:r>
        <w:t>« Le jour de notre Seigneur Jésus-Christ » (</w:t>
      </w:r>
      <w:hyperlink r:id="rId7696">
        <w:r>
          <w:rPr>
            <w:color w:val="0000EE"/>
            <w:u w:val="single"/>
          </w:rPr>
          <w:t>1Co 1.8</w:t>
        </w:r>
      </w:hyperlink>
      <w:r>
        <w:t>)</w:t>
      </w:r>
    </w:p>
    <w:p>
      <w:pPr>
        <w:pStyle w:val="ListBullet"/>
        <w:spacing w:line="240" w:lineRule="auto"/>
        <w:ind w:left="720"/>
      </w:pPr>
      <w:r/>
      <w:r>
        <w:t>« Le jour du Seigneur Jésus » (</w:t>
      </w:r>
      <w:hyperlink r:id="rId7678">
        <w:r>
          <w:rPr>
            <w:color w:val="0000EE"/>
            <w:u w:val="single"/>
          </w:rPr>
          <w:t>1Co 5.5</w:t>
        </w:r>
      </w:hyperlink>
      <w:r>
        <w:t xml:space="preserve"> ; </w:t>
      </w:r>
      <w:hyperlink r:id="rId7697">
        <w:r>
          <w:rPr>
            <w:color w:val="0000EE"/>
            <w:u w:val="single"/>
          </w:rPr>
          <w:t>2Co 1.14</w:t>
        </w:r>
      </w:hyperlink>
      <w:r>
        <w:t>)</w:t>
      </w:r>
    </w:p>
    <w:p>
      <w:pPr>
        <w:pStyle w:val="ListBullet"/>
        <w:spacing w:line="240" w:lineRule="auto"/>
        <w:ind w:left="720"/>
      </w:pPr>
      <w:r/>
      <w:r>
        <w:t>« Le jour de Christ » (</w:t>
      </w:r>
      <w:hyperlink r:id="rId7698">
        <w:r>
          <w:rPr>
            <w:color w:val="0000EE"/>
            <w:u w:val="single"/>
          </w:rPr>
          <w:t>Phm 1.10</w:t>
        </w:r>
      </w:hyperlink>
      <w:r>
        <w:t xml:space="preserve"> ; </w:t>
      </w:r>
      <w:hyperlink r:id="rId7699">
        <w:r>
          <w:rPr>
            <w:color w:val="0000EE"/>
            <w:u w:val="single"/>
          </w:rPr>
          <w:t>2.16</w:t>
        </w:r>
      </w:hyperlink>
      <w:r>
        <w:t>)</w:t>
      </w:r>
    </w:p>
    <w:p>
      <w:r/>
      <w:r>
        <w:t>Ceux-ci sont plus personnels et positifs. Ils se réfèrent aux événements finaux pour les croyants chrétiens, qui ne subiront pas la colère de Dieu (</w:t>
      </w:r>
      <w:hyperlink r:id="rId7700">
        <w:r>
          <w:rPr>
            <w:color w:val="0000EE"/>
            <w:u w:val="single"/>
          </w:rPr>
          <w:t>1Th 5.9</w:t>
        </w:r>
      </w:hyperlink>
      <w:r>
        <w:t>). Quand le Jour du Seigneur viendra, la terre sera renouvelée et purifiée par le feu (</w:t>
      </w:r>
      <w:hyperlink r:id="rId7701">
        <w:r>
          <w:rPr>
            <w:color w:val="0000EE"/>
            <w:u w:val="single"/>
          </w:rPr>
          <w:t>2P 3.10–13</w:t>
        </w:r>
      </w:hyperlink>
      <w:r>
        <w:t>). Dans l'Apocalypse, cette purification finale vient après le Millénium, c'est-à-dire le règne de mille ans de Christ (</w:t>
      </w:r>
      <w:hyperlink r:id="rId7702">
        <w:r>
          <w:rPr>
            <w:color w:val="0000EE"/>
            <w:u w:val="single"/>
          </w:rPr>
          <w:t>Ap 21.1</w:t>
        </w:r>
      </w:hyperlink>
      <w:r>
        <w:t>).</w:t>
      </w:r>
    </w:p>
    <w:p>
      <w:r/>
      <w:r>
        <w:rPr>
          <w:i/>
        </w:rPr>
        <w:t>Voir aussi</w:t>
      </w:r>
      <w:r>
        <w:t xml:space="preserve"> </w:t>
      </w:r>
      <w:r>
        <w:t>eschatologie</w:t>
      </w:r>
      <w:r>
        <w:t xml:space="preserve"> ; </w:t>
      </w:r>
      <w:r>
        <w:t>derniers jours</w:t>
      </w:r>
      <w:r>
        <w:t xml:space="preserve"> ; </w:t>
      </w:r>
      <w:r>
        <w:t>jugement dernier</w:t>
      </w:r>
      <w:r>
        <w:t>.</w:t>
      </w:r>
      <w:r/>
      <w:r/>
    </w:p>
    <w:p>
      <w:r/>
    </w:p>
    <w:p>
      <w:pPr>
        <w:pStyle w:val="Heading2"/>
      </w:pPr>
      <w:r>
        <w:t>Jour des Expiations</w:t>
      </w:r>
      <w:r/>
    </w:p>
    <w:p>
      <w:r/>
      <w:r>
        <w:t>Le Jour des Expiations (un moment où les croyants demandent à Dieu de pardonner leurs péchés), est le jour le plus sacré du calendrier juif. En hébreu, il est appelé Yom Kippour. Ce jour si particulier a lieu le dixième jour du mois hébreu de Tishri, qui tombe généralement entre la mi-septembre et la mi-octobre.</w:t>
      </w:r>
    </w:p>
    <w:p>
      <w:pPr>
        <w:pStyle w:val="Heading3"/>
      </w:pPr>
      <w:r>
        <w:t>Quelle est la signification du Jour des Expiations ?</w:t>
      </w:r>
    </w:p>
    <w:p>
      <w:r/>
      <w:r>
        <w:t>En ce jour important, le souverain sacrificateur entrait dans la salle la plus sacrée du tabernacle (ou temple). Cette salle était appelée le Lieu Très Saint ou le Saint des Saints. Le souverain sacrificateur faisait cela pour expier les péchés de tout le peuple d'Israël. Le mot « expiation » signifie couvrir les péchés afin que les gens puissent de nouveau avoir une bonne relation avec Dieu. Dans le Nouveau Testament, Yom Kippour était appelé « le Jeûne » (</w:t>
      </w:r>
      <w:hyperlink r:id="rId7703">
        <w:r>
          <w:rPr>
            <w:color w:val="0000EE"/>
            <w:u w:val="single"/>
          </w:rPr>
          <w:t>Ac 27.9</w:t>
        </w:r>
      </w:hyperlink>
      <w:r>
        <w:t>). Les enseignants juifs l'appelaient le « Jour » ou le « Grand Jour ».</w:t>
      </w:r>
    </w:p>
    <w:p>
      <w:pPr>
        <w:pStyle w:val="Heading3"/>
      </w:pPr>
      <w:r>
        <w:t>Le Premier Jour des Expiations</w:t>
      </w:r>
    </w:p>
    <w:p>
      <w:r/>
      <w:hyperlink r:id="rId2144">
        <w:r>
          <w:rPr>
            <w:color w:val="0000EE"/>
            <w:u w:val="single"/>
          </w:rPr>
          <w:t>Lévitique 16</w:t>
        </w:r>
      </w:hyperlink>
      <w:r>
        <w:t xml:space="preserve"> décrit la première cérémonie du Jour des Expiations. Bien que des traditions aient été ajoutées au fil des années, l'objectif principal est toujours resté le même : obtenir le pardon complet en offrant des sacrifices à Dieu.</w:t>
      </w:r>
    </w:p>
    <w:p>
      <w:r/>
      <w:r>
        <w:t>Le souverain sacrificateur devait commencer en changeant ses vêtements. Il enlevait ses magnifiques robes officielles et mettait des vêtements simples en lin blanc. Ces vêtements blancs montraient qu'il regrettait ses péchés et ceux du peuple.</w:t>
      </w:r>
    </w:p>
    <w:p>
      <w:r/>
      <w:r>
        <w:t>Le souverain sacrificateur sacrifiait alors un jeune taureau en offrande pour ses propres péchés et ceux de tous les autres sacrificateurs. Ensuite, il entrait dans le lieu très saint en portant des braises ardentes de l'autel où l'encens était brûlé. Il remplissait cette pièce spéciale de fumée d'encens parfumée. Puis, il aspergeait le sang du taureau sur le propitiatoire (le couvercle du coffre sacré appelé l'arche de l'alliance) et sur le sol devant celui-ci.</w:t>
      </w:r>
    </w:p>
    <w:p>
      <w:r/>
      <w:r>
        <w:t>Le peuple apportait deux chèvres au souverain sacrificateur. Le souverain sacrificateur choisissait entre ces chèvres en tirant au sort. Il sacrifiait une chèvre en offrande pour les péchés de tout le peuple. Il emportait le sang de cette chèvre dans le lieu très saint et le répandait comme il l'avait fait avec le sang du taureau. Cet acte purifiait le lieu très saint de tout péché.</w:t>
      </w:r>
    </w:p>
    <w:p>
      <w:r/>
      <w:r>
        <w:t>Le souverain sacrificateur posait alors ses mains sur la tête du bouc vivant et prononçait tous les péchés du peuple sur lui. Ce deuxième bouc était appelé le bouc émissaire, car il était envoyé dans le désert, emportant symboliquement les péchés du peuple.</w:t>
      </w:r>
    </w:p>
    <w:p>
      <w:r/>
      <w:r>
        <w:t>Après cela, le souverain sacrificateur remettait ses vêtements ordinaires. Il faisait ensuite deux autres offrandes appelées holocaustes, une pour lui-même et une pour le peuple. Il brûlait également la graisse de ces offrandes de culpabilité précédentes. Les parties restantes du taureau et du premier bouc étaient emportées hors du camp et brûlées entièrement.</w:t>
      </w:r>
    </w:p>
    <w:p>
      <w:r/>
      <w:r>
        <w:t>D'autres textes de l'Ancien Testament qui décrivent Yom Kippour incluent :</w:t>
      </w:r>
    </w:p>
    <w:p>
      <w:pPr>
        <w:pStyle w:val="ListBullet"/>
        <w:spacing w:line="240" w:lineRule="auto"/>
        <w:ind w:left="720"/>
      </w:pPr>
      <w:r/>
      <w:hyperlink r:id="rId7704">
        <w:r>
          <w:rPr>
            <w:color w:val="0000EE"/>
            <w:u w:val="single"/>
          </w:rPr>
          <w:t>Exode 30.10</w:t>
        </w:r>
      </w:hyperlink>
    </w:p>
    <w:p>
      <w:pPr>
        <w:pStyle w:val="ListBullet"/>
        <w:spacing w:line="240" w:lineRule="auto"/>
        <w:ind w:left="720"/>
      </w:pPr>
      <w:r/>
      <w:hyperlink r:id="rId7705">
        <w:r>
          <w:rPr>
            <w:color w:val="0000EE"/>
            <w:u w:val="single"/>
          </w:rPr>
          <w:t xml:space="preserve">Lévitique 23.26–32 </w:t>
        </w:r>
      </w:hyperlink>
      <w:r>
        <w:t>(ce passage indique la date de Yom Kippour dans une liste de toutes les fêtes annuelles)</w:t>
      </w:r>
    </w:p>
    <w:p>
      <w:pPr>
        <w:pStyle w:val="ListBullet"/>
        <w:spacing w:line="240" w:lineRule="auto"/>
        <w:ind w:left="720"/>
      </w:pPr>
      <w:r/>
      <w:hyperlink r:id="rId7706">
        <w:r>
          <w:rPr>
            <w:color w:val="0000EE"/>
            <w:u w:val="single"/>
          </w:rPr>
          <w:t>Lévitique 25.9–16</w:t>
        </w:r>
      </w:hyperlink>
      <w:r>
        <w:t xml:space="preserve"> (ce passage indique que chaque année de jubilé commençait le Jour des Expiations)</w:t>
      </w:r>
    </w:p>
    <w:p>
      <w:pPr>
        <w:pStyle w:val="ListBullet"/>
        <w:spacing w:line="240" w:lineRule="auto"/>
        <w:ind w:left="720"/>
      </w:pPr>
      <w:r/>
      <w:hyperlink r:id="rId7707">
        <w:r>
          <w:rPr>
            <w:color w:val="0000EE"/>
            <w:u w:val="single"/>
          </w:rPr>
          <w:t>Nombres 29.7–11</w:t>
        </w:r>
      </w:hyperlink>
    </w:p>
    <w:p>
      <w:pPr>
        <w:pStyle w:val="Heading3"/>
      </w:pPr>
      <w:r>
        <w:t>Le Jour des Expiations à l'époque moderne</w:t>
      </w:r>
    </w:p>
    <w:p>
      <w:r/>
      <w:r>
        <w:t>Le Jour des Expiations demeure profondément important dans la vie religieuse juive, même aujourd'hui. Lorsque le temple de Jérusalem a été détruit en 70 après J.‑C., le peuple juif ne pouvait plus effectuer les sacrifices. Cependant, ils ont continué à observer ce jour saint, ce qui montre à quel point il est central dans leur foi. Aujourd'hui, il reste le jour saint le plus important du judaïsme.</w:t>
      </w:r>
    </w:p>
    <w:p>
      <w:pPr>
        <w:pStyle w:val="Heading3"/>
      </w:pPr>
      <w:r>
        <w:t>Jeûne le Jour des Expiations</w:t>
      </w:r>
    </w:p>
    <w:p>
      <w:r/>
      <w:r>
        <w:t>La Bible dit de s'humilier en ce jour (</w:t>
      </w:r>
      <w:hyperlink r:id="rId7708">
        <w:r>
          <w:rPr>
            <w:color w:val="0000EE"/>
            <w:u w:val="single"/>
          </w:rPr>
          <w:t>Lv 23.27–32</w:t>
        </w:r>
      </w:hyperlink>
      <w:r>
        <w:t>). Bien que Moïse n'ait pas expliqué exactement ce que cela signifiait, les Juifs à travers l'histoire ont compris que cela signifiait jeûner (se priver de nourriture). Cette compréhension vient d'autres parties de la Bible où des phrases similaires apparaissent (</w:t>
      </w:r>
      <w:hyperlink r:id="rId7263">
        <w:r>
          <w:rPr>
            <w:color w:val="0000EE"/>
            <w:u w:val="single"/>
          </w:rPr>
          <w:t>Ps 35.13</w:t>
        </w:r>
      </w:hyperlink>
      <w:r>
        <w:t xml:space="preserve"> ; </w:t>
      </w:r>
      <w:hyperlink r:id="rId7709">
        <w:r>
          <w:rPr>
            <w:color w:val="0000EE"/>
            <w:u w:val="single"/>
          </w:rPr>
          <w:t>Es 58.3</w:t>
        </w:r>
      </w:hyperlink>
      <w:hyperlink r:id="rId7710">
        <w:r>
          <w:rPr>
            <w:color w:val="0000EE"/>
            <w:u w:val="single"/>
          </w:rPr>
          <w:t>–</w:t>
        </w:r>
      </w:hyperlink>
      <w:hyperlink r:id="rId7709">
        <w:r>
          <w:rPr>
            <w:color w:val="0000EE"/>
            <w:u w:val="single"/>
          </w:rPr>
          <w:t>5, 10</w:t>
        </w:r>
      </w:hyperlink>
      <w:r>
        <w:t>).</w:t>
      </w:r>
    </w:p>
    <w:p>
      <w:pPr>
        <w:pStyle w:val="Heading3"/>
      </w:pPr>
      <w:r>
        <w:t>L'Objectif du Jour des Expiations</w:t>
      </w:r>
    </w:p>
    <w:p>
      <w:r/>
      <w:r>
        <w:t>Lorsque le peuple d'Israël d'antan célébrait le Jour des Expiations, ils montraient leur foi en la capacité de Dieu à pardonner leurs péchés à travers ces cérémonies spéciales. Ils comprenaient que le pardon de Dieu était un don leur permettant de maintenir une relation spéciale avec lui en tant que peuple élu. Cette relation reposait sur l'alliance (accord spécial) que Dieu avait conclue avec eux.</w:t>
      </w:r>
    </w:p>
    <w:p>
      <w:r/>
      <w:r>
        <w:t>Dieu a déclaré que le Jour des Expiations devait être un sabbat spécial, un temps de repos complet (</w:t>
      </w:r>
      <w:hyperlink r:id="rId7711">
        <w:r>
          <w:rPr>
            <w:color w:val="0000EE"/>
            <w:u w:val="single"/>
          </w:rPr>
          <w:t>Lv 16.31</w:t>
        </w:r>
      </w:hyperlink>
      <w:r>
        <w:t xml:space="preserve"> ; </w:t>
      </w:r>
      <w:hyperlink r:id="rId7712">
        <w:r>
          <w:rPr>
            <w:color w:val="0000EE"/>
            <w:u w:val="single"/>
          </w:rPr>
          <w:t>23.32</w:t>
        </w:r>
      </w:hyperlink>
      <w:r>
        <w:t>). Tout comme les gens se reposaient du travail chaque semaine le jour du sabbat régulier, ils n'étaient pas autorisés à travailler le Jour des Expiations.</w:t>
      </w:r>
    </w:p>
    <w:p>
      <w:r/>
      <w:r>
        <w:t>Beaucoup de gens se demandent pourquoi Dieu a créé un jour spécial pour l'expiation alors que le peuple juif offrait déjà des sacrifices tout au long de l'année. Le Jour des Expiations avait deux objectifs importants :</w:t>
      </w:r>
    </w:p>
    <w:p>
      <w:pPr>
        <w:pStyle w:val="ListBullet"/>
        <w:spacing w:line="240" w:lineRule="auto"/>
        <w:ind w:left="720"/>
      </w:pPr>
      <w:r/>
      <w:r>
        <w:t>Il a aidé à protéger les gens de la colère de Dieu en raison de leurs péchés.</w:t>
      </w:r>
    </w:p>
    <w:p>
      <w:pPr>
        <w:pStyle w:val="ListBullet"/>
        <w:spacing w:line="240" w:lineRule="auto"/>
        <w:ind w:left="720"/>
      </w:pPr>
      <w:r/>
      <w:r>
        <w:t>Il assurait que Dieu resterait présent avec eux.</w:t>
      </w:r>
    </w:p>
    <w:p>
      <w:r/>
      <w:r>
        <w:t>En ce jour, deux actions importantes ont œuvré ensemble pour purifier de tout péché :</w:t>
      </w:r>
    </w:p>
    <w:p>
      <w:pPr>
        <w:pStyle w:val="ListBullet"/>
        <w:spacing w:line="240" w:lineRule="auto"/>
        <w:ind w:left="720"/>
      </w:pPr>
      <w:r/>
      <w:r>
        <w:t>Les sacrificateurs sacrifiaient une chèvre en offrande.</w:t>
      </w:r>
    </w:p>
    <w:p>
      <w:pPr>
        <w:pStyle w:val="ListBullet"/>
        <w:spacing w:line="240" w:lineRule="auto"/>
        <w:ind w:left="720"/>
      </w:pPr>
      <w:r/>
      <w:r>
        <w:t>Ensuite, ils envoyaient le deuxième bouc, appelé le bouc émissaire, dans le désert.</w:t>
      </w:r>
    </w:p>
    <w:p>
      <w:r/>
      <w:r>
        <w:t>Ces actions ont purifié trois choses importantes :</w:t>
      </w:r>
    </w:p>
    <w:p>
      <w:pPr>
        <w:pStyle w:val="ListBullet"/>
        <w:spacing w:line="240" w:lineRule="auto"/>
        <w:ind w:left="720"/>
      </w:pPr>
      <w:r/>
      <w:r>
        <w:t>Toute personne en Israël,</w:t>
      </w:r>
    </w:p>
    <w:p>
      <w:pPr>
        <w:pStyle w:val="ListBullet"/>
        <w:spacing w:line="240" w:lineRule="auto"/>
        <w:ind w:left="720"/>
      </w:pPr>
      <w:r/>
      <w:r>
        <w:t>Les sacrificateurs qui servaient dans le temple, et</w:t>
      </w:r>
    </w:p>
    <w:p>
      <w:pPr>
        <w:pStyle w:val="ListBullet"/>
        <w:spacing w:line="240" w:lineRule="auto"/>
        <w:ind w:left="720"/>
      </w:pPr>
      <w:r/>
      <w:r>
        <w:t>Le bâtiment sacré lui-même.</w:t>
      </w:r>
    </w:p>
    <w:p>
      <w:r/>
      <w:r>
        <w:t>Le but du système sacrificiel était pleinement exprimé ce jour-là. Certaines personnes appellent le Jour des Expiations le « Vendredi saint de l'Ancien Testament » car il était si important (Vendredi saint est le jour où les chrétiens se souviennent de la mort de Jésus sur la croix). Les sacrifices réguliers qui avaient lieu quotidiennement, hebdomadairement et mensuellement tout au long de l'année ne pouvaient pas complètement ôter le péché, comme le démontre le fait que le souverain sacrificateur ne pouvait pas entrer dans le Lieu Très Saint du temple les jours ordinaires.</w:t>
      </w:r>
    </w:p>
    <w:p>
      <w:r/>
      <w:r>
        <w:t>Cependant, en ce jour spécial chaque année, Dieu permettait au souverain sacrificateur d'entrer dans le Lieu Très Saint. Il portait le sang du sacrifice et représentait tout le peuple devant Dieu. Il aspergeait ce sang sur le propitiatoire, indiquant par là que Dieu avait accepté le sacrifice et pardonné les péchés du peuple.</w:t>
      </w:r>
    </w:p>
    <w:p>
      <w:r/>
      <w:r>
        <w:t>Le Jour des Expiations avait un objectif particulier que d'autres sacrifices ne pouvaient accomplir. Tout au long de l'année, chacun offrait des sacrifices pour les péchés dont ils étaient conscients. Cependant, on pèche souvent sans s'en rendre compte, et ces péchés inconnus devaient également être pardonnés. La Bible appelle parfois ces péchés des « péchés secrets » car ils restent cachés aux personnes qui les commettent.</w:t>
      </w:r>
    </w:p>
    <w:p>
      <w:r/>
      <w:r>
        <w:t>Ces péchés cachés rendaient le sanctuaire, la terre et la nation impurs aux yeux de Dieu. Dieu a institué le Jour des Expiations pour pardonner complètement tous les péchés, même ceux qui étaient cachés (</w:t>
      </w:r>
      <w:hyperlink r:id="rId7713">
        <w:r>
          <w:rPr>
            <w:color w:val="0000EE"/>
            <w:u w:val="single"/>
          </w:rPr>
          <w:t>Lv 16.33</w:t>
        </w:r>
      </w:hyperlink>
      <w:r>
        <w:t>). Le souverain sacrificateur représentait peuple d'Israël tout entier devant Dieu. Il servait de médiateur (quelqu'un qui aide à rapprocher deux parties) entre Dieu et le peuple.</w:t>
      </w:r>
    </w:p>
    <w:p>
      <w:r/>
      <w:r>
        <w:rPr>
          <w:i/>
        </w:rPr>
        <w:t>Voir</w:t>
      </w:r>
      <w:r>
        <w:t xml:space="preserve"> </w:t>
      </w:r>
      <w:r>
        <w:t>Expiation</w:t>
      </w:r>
      <w:r>
        <w:t xml:space="preserve"> ; </w:t>
      </w:r>
      <w:r>
        <w:t>Offrandes et sacrifices</w:t>
      </w:r>
      <w:r>
        <w:t>.</w:t>
      </w:r>
      <w:r/>
      <w:r/>
    </w:p>
    <w:p>
      <w:r/>
    </w:p>
    <w:p>
      <w:pPr>
        <w:pStyle w:val="Heading2"/>
      </w:pPr>
      <w:r>
        <w:t>Jour du Seigneur, le</w:t>
      </w:r>
      <w:r/>
    </w:p>
    <w:p>
      <w:r/>
      <w:r>
        <w:t>Expression apparaissant une fois dans le NT (</w:t>
      </w:r>
      <w:hyperlink r:id="rId7714">
        <w:r>
          <w:rPr>
            <w:color w:val="0000EE"/>
            <w:u w:val="single"/>
          </w:rPr>
          <w:t>Ap 1.10</w:t>
        </w:r>
      </w:hyperlink>
      <w:r>
        <w:t xml:space="preserve">), lorsque Jean dit : « </w:t>
      </w:r>
      <w:r>
        <w:t>Je fus ravi en esprit au jour du Seigneur</w:t>
      </w:r>
      <w:r>
        <w:t xml:space="preserve"> » ; synonyme de « dimanche » dans l'usage moderne.</w:t>
      </w:r>
    </w:p>
    <w:p>
      <w:r/>
      <w:r>
        <w:t>La première référence à l'activité chrétienne le dimanche apparaît dans une brève allusion que Paul fait au « premier jour de la semaine » (</w:t>
      </w:r>
      <w:hyperlink r:id="rId3298">
        <w:r>
          <w:rPr>
            <w:color w:val="0000EE"/>
            <w:u w:val="single"/>
          </w:rPr>
          <w:t>1Co 16.2</w:t>
        </w:r>
      </w:hyperlink>
      <w:r>
        <w:t>). Il demande aux membres de l'Église de Corinthe de se souvenir de leurs coreligionnaires appauvris à Jérusalem en mettant de côté une somme d'argent chaque dimanche.</w:t>
      </w:r>
    </w:p>
    <w:p>
      <w:r/>
      <w:r>
        <w:t>Pourquoi le dimanche ? Le premier jour de la semaine avait bien entendu pris une signification particulière parmi les chrétiens de Corinthe avant que Paul n'écrive cette lettre (55–56 apr. J.-C.), et il précise que cette pratique n'était pas simplement locale (</w:t>
      </w:r>
      <w:hyperlink r:id="rId5882">
        <w:r>
          <w:rPr>
            <w:color w:val="0000EE"/>
            <w:u w:val="single"/>
          </w:rPr>
          <w:t>1Co 16.1</w:t>
        </w:r>
      </w:hyperlink>
      <w:r>
        <w:t xml:space="preserve">). Le dimanche était le jour où se tenaient des réunions spéciales de l'Église (Paul fait plusieurs fois allusion à celles-ci dans 1 Co ; voir </w:t>
      </w:r>
      <w:hyperlink r:id="rId7715">
        <w:r>
          <w:rPr>
            <w:color w:val="0000EE"/>
            <w:u w:val="single"/>
          </w:rPr>
          <w:t>5.4</w:t>
        </w:r>
      </w:hyperlink>
      <w:r>
        <w:t xml:space="preserve"> ; </w:t>
      </w:r>
      <w:hyperlink r:id="rId7716">
        <w:r>
          <w:rPr>
            <w:color w:val="0000EE"/>
            <w:u w:val="single"/>
          </w:rPr>
          <w:t>11.18–20</w:t>
        </w:r>
      </w:hyperlink>
      <w:r>
        <w:t xml:space="preserve">). Des collectes étaient effectuées à ces occasions pour répondre aux besoins locaux (voir </w:t>
      </w:r>
      <w:hyperlink r:id="rId7717">
        <w:r>
          <w:rPr>
            <w:color w:val="0000EE"/>
            <w:u w:val="single"/>
          </w:rPr>
          <w:t>1Co 9.7–14</w:t>
        </w:r>
      </w:hyperlink>
      <w:r>
        <w:t>). Ainsi, Paul disait : « Lorsque la collecte est recueillie le dimanche, et que vous-vous rappelez de vos besoins au niveau local, mettez quelque chose de côté, en privé, pour les besoins de vos frères à Jérusalem. »</w:t>
      </w:r>
    </w:p>
    <w:p>
      <w:r/>
      <w:r>
        <w:t xml:space="preserve">Il existe un récit plus détaillé d'une rencontre chrétienne du dimanche dans </w:t>
      </w:r>
      <w:hyperlink r:id="rId7718">
        <w:r>
          <w:rPr>
            <w:color w:val="0000EE"/>
            <w:u w:val="single"/>
          </w:rPr>
          <w:t>Ac 20.6–12</w:t>
        </w:r>
      </w:hyperlink>
      <w:r>
        <w:t>. Le culte nocturne que Luc y décrit a eu lieu à Troas environ trois ans après que Paul a écrit 1 Corinthiens. Le principal objectif de Luc est de raconter l'histoire de la ressuscitation miraculeuse d'Eutychus (qui s'était endormi à la fenêtre) ; ainsi, certains détails de la réunion qui nous intéresseraient le plus sont absents du récit. Néanmoins, le texte est suffisamment complet pour indiquer le genre de choses que les premiers chrétiens faisaient lorsqu'ils se réunissaient le dimanche.</w:t>
      </w:r>
    </w:p>
    <w:p>
      <w:r/>
      <w:r>
        <w:t>Le fait que Luc mentionne le jour de la semaine est significatif. Ailleurs, il identifie rarement un jour, sauf s'il s'agit d'un sabbat ou d'une fête spéciale. Le mot qu'il emploie pour « réunis » (</w:t>
      </w:r>
      <w:hyperlink r:id="rId7719">
        <w:r>
          <w:rPr>
            <w:color w:val="0000EE"/>
            <w:u w:val="single"/>
          </w:rPr>
          <w:t>Ac 20.7</w:t>
        </w:r>
      </w:hyperlink>
      <w:r>
        <w:t>) est important, lui aussi. Il s'agit d'un terme semi-technique que le NT utilise pour les chrétiens réunis pour le culte (</w:t>
      </w:r>
      <w:hyperlink r:id="rId7715">
        <w:r>
          <w:rPr>
            <w:color w:val="0000EE"/>
            <w:u w:val="single"/>
          </w:rPr>
          <w:t>1Co 5.4</w:t>
        </w:r>
      </w:hyperlink>
      <w:r>
        <w:t>). Ce n'était donc pas une réunion spéciale convoquée pour écouter Paul (qui était déjà dans la ville depuis six jours) mais un événement hebdomadaire régulier. L'Église de Troas se réunissait peut-être quotidiennement, comme le faisait l'Église de Jérusalem (</w:t>
      </w:r>
      <w:hyperlink r:id="rId2989">
        <w:r>
          <w:rPr>
            <w:color w:val="0000EE"/>
            <w:u w:val="single"/>
          </w:rPr>
          <w:t>Ac 2.42, 46</w:t>
        </w:r>
      </w:hyperlink>
      <w:r>
        <w:t>), mais la rencontre du dimanche était manifestement considérée comme une occasion spéciale.</w:t>
      </w:r>
    </w:p>
    <w:p>
      <w:r/>
      <w:r>
        <w:t>Luc utilise le même mot pour décrire la prédication de Paul (</w:t>
      </w:r>
      <w:hyperlink r:id="rId7719">
        <w:r>
          <w:rPr>
            <w:color w:val="0000EE"/>
            <w:u w:val="single"/>
          </w:rPr>
          <w:t>Ac 20.7</w:t>
        </w:r>
      </w:hyperlink>
      <w:r>
        <w:t>) qu'il a utilisé précédemment pour le ministère de prédication de l'apôtre dans les synagogues à Éphèse et Corinthe (</w:t>
      </w:r>
      <w:hyperlink r:id="rId3111">
        <w:r>
          <w:rPr>
            <w:color w:val="0000EE"/>
            <w:u w:val="single"/>
          </w:rPr>
          <w:t>18.4</w:t>
        </w:r>
      </w:hyperlink>
      <w:r>
        <w:t xml:space="preserve"> ; </w:t>
      </w:r>
      <w:hyperlink r:id="rId7720">
        <w:r>
          <w:rPr>
            <w:color w:val="0000EE"/>
            <w:u w:val="single"/>
          </w:rPr>
          <w:t>19.8</w:t>
        </w:r>
      </w:hyperlink>
      <w:r>
        <w:t>). Cela préserve un lien intéressant entre le sabbat juif et le dimanche chrétien. Lorsqu'une Église locale se séparait de la synagogue, elle calquait probablement son culte sur la pratique synagogale. Bien que les trois composants principaux du culte synagogal (lecture des Écritures, enseignement et prière) ne se retrouvent pas ensemble dans les quelques récits du NT concernant le culte chrétien, chacun est attesté séparément.</w:t>
      </w:r>
    </w:p>
    <w:p>
      <w:r/>
      <w:r>
        <w:t>Le but principal de la réunion dominicale de l'Église à Troas, cependant, était distinctement chrétien. C'était « pour rompre le pain » (</w:t>
      </w:r>
      <w:hyperlink r:id="rId7719">
        <w:r>
          <w:rPr>
            <w:color w:val="0000EE"/>
            <w:u w:val="single"/>
          </w:rPr>
          <w:t>Ac 20.7</w:t>
        </w:r>
      </w:hyperlink>
      <w:r>
        <w:t xml:space="preserve">), le terme du NT pour désigner la Cène (et incluant, probablement, la communion de table moins formelle, appelée festin d'amour ou « agape » ; voir </w:t>
      </w:r>
      <w:hyperlink r:id="rId3262">
        <w:r>
          <w:rPr>
            <w:color w:val="0000EE"/>
            <w:u w:val="single"/>
          </w:rPr>
          <w:t>1Co 11.17–34</w:t>
        </w:r>
      </w:hyperlink>
      <w:r>
        <w:t>). La Cène est très rapidement devenue un point central du culte dominical de l'Église primitive. En tant que mémorial de la résurrection et promesse de la présence du Christ dans la communion de culte, c'était une manière chrétienne évidemment appropriée de célébrer le premier jour de la semaine.</w:t>
      </w:r>
    </w:p>
    <w:p>
      <w:r/>
      <w:r>
        <w:t xml:space="preserve">La troisième référence claire au dimanche dans le NT (et la seule qui l'appelle le Jour du Seigneur) nous emmène du continent turc à l'île égéenne de Patmos, probablement environ quarante ans après la visite de Paul à Troas. Dans </w:t>
      </w:r>
      <w:hyperlink r:id="rId7714">
        <w:r>
          <w:rPr>
            <w:color w:val="0000EE"/>
            <w:u w:val="single"/>
          </w:rPr>
          <w:t>Apocalypse 1.10</w:t>
        </w:r>
      </w:hyperlink>
      <w:r>
        <w:t>, Jean parle de son temps d'adoration, le Jour du Seigneur, lorsqu'il a reçu sa grande vision. Il est possible que l'expression « Jour du Seigneur » ici signifie Pâques, ou même le grand jour du jugement de Dieu que les prophètes de l'AT ont prédit, mais compte tenu de la manière dont les écrivains chrétiens ultérieurs ont utilisé cette expression, il est beaucoup plus probable qu'elle signifie simplement « dimanche ».</w:t>
      </w:r>
    </w:p>
    <w:p>
      <w:r/>
      <w:r>
        <w:t>Le contexte immédiat d'</w:t>
      </w:r>
      <w:hyperlink r:id="rId7714">
        <w:r>
          <w:rPr>
            <w:color w:val="0000EE"/>
            <w:u w:val="single"/>
          </w:rPr>
          <w:t>Apocalypse 1.10</w:t>
        </w:r>
      </w:hyperlink>
      <w:r>
        <w:t xml:space="preserve"> montre clairement que Jean considérait le dimanche comme le Jour du Seigneur, car ce jour-là, les chrétiens exprimaient ensemble leur engagement total envers Jésus en tant que Seigneur et Maître (</w:t>
      </w:r>
      <w:hyperlink r:id="rId7721">
        <w:r>
          <w:rPr>
            <w:color w:val="0000EE"/>
            <w:u w:val="single"/>
          </w:rPr>
          <w:t>Ap 1.8</w:t>
        </w:r>
      </w:hyperlink>
      <w:r>
        <w:t xml:space="preserve">). C'est la résurrection de Jésus le premier jour de la semaine qui a démontré sa seigneurie de la manière la plus claire (voir </w:t>
      </w:r>
      <w:hyperlink r:id="rId7722">
        <w:r>
          <w:rPr>
            <w:color w:val="0000EE"/>
            <w:u w:val="single"/>
          </w:rPr>
          <w:t>Rv 1.18</w:t>
        </w:r>
      </w:hyperlink>
      <w:r>
        <w:t xml:space="preserve"> et </w:t>
      </w:r>
      <w:hyperlink r:id="rId7723">
        <w:r>
          <w:rPr>
            <w:color w:val="0000EE"/>
            <w:u w:val="single"/>
          </w:rPr>
          <w:t>Jn 20.25–28</w:t>
        </w:r>
      </w:hyperlink>
      <w:r>
        <w:t>). Un jour, le monde entier devra reconnaître qu'il est « Roi des rois et Seigneur des seigneurs » (</w:t>
      </w:r>
      <w:hyperlink r:id="rId2525">
        <w:r>
          <w:rPr>
            <w:color w:val="0000EE"/>
            <w:u w:val="single"/>
          </w:rPr>
          <w:t>Ap 19.16</w:t>
        </w:r>
      </w:hyperlink>
      <w:r>
        <w:t xml:space="preserve"> ; cf. </w:t>
      </w:r>
      <w:hyperlink r:id="rId5042">
        <w:r>
          <w:rPr>
            <w:color w:val="0000EE"/>
            <w:u w:val="single"/>
          </w:rPr>
          <w:t>Ph 2.11</w:t>
        </w:r>
      </w:hyperlink>
      <w:r>
        <w:t>), mais en attendant, c'est dans le culte de l'Église que sa seigneurie est reconnue.</w:t>
      </w:r>
      <w:r/>
      <w:r/>
    </w:p>
    <w:p>
      <w:r/>
    </w:p>
    <w:p>
      <w:pPr>
        <w:pStyle w:val="Heading2"/>
      </w:pPr>
      <w:r>
        <w:t>Journée de marche, Journée de chemin</w:t>
      </w:r>
      <w:r/>
    </w:p>
    <w:p>
      <w:r/>
      <w:r>
        <w:t xml:space="preserve">Une des méthodes pour estimer les distances à l'époque biblique consistait à utiliser la journée de marche, qui était d'environ 32,2 km (20 mi), mais cela dépendait de facteurs tels que le mode de déplacement, le terrain et le temps. </w:t>
      </w:r>
      <w:hyperlink r:id="rId7724">
        <w:r>
          <w:rPr>
            <w:color w:val="0000EE"/>
            <w:u w:val="single"/>
          </w:rPr>
          <w:t>Exode 3.18</w:t>
        </w:r>
      </w:hyperlink>
      <w:r>
        <w:t xml:space="preserve">, </w:t>
      </w:r>
      <w:hyperlink r:id="rId7725">
        <w:r>
          <w:rPr>
            <w:color w:val="0000EE"/>
            <w:u w:val="single"/>
          </w:rPr>
          <w:t>Nombres 11.31</w:t>
        </w:r>
      </w:hyperlink>
      <w:r>
        <w:t xml:space="preserve">, </w:t>
      </w:r>
      <w:hyperlink r:id="rId7726">
        <w:r>
          <w:rPr>
            <w:color w:val="0000EE"/>
            <w:u w:val="single"/>
          </w:rPr>
          <w:t>1R 19.4</w:t>
        </w:r>
      </w:hyperlink>
      <w:r>
        <w:t xml:space="preserve"> et </w:t>
      </w:r>
      <w:hyperlink r:id="rId7727">
        <w:r>
          <w:rPr>
            <w:color w:val="0000EE"/>
            <w:u w:val="single"/>
          </w:rPr>
          <w:t>Lc 2.44</w:t>
        </w:r>
      </w:hyperlink>
      <w:r>
        <w:t xml:space="preserve"> mentionnent tous une journée de marche.</w:t>
      </w:r>
    </w:p>
    <w:p>
      <w:r/>
      <w:r>
        <w:t>L'Écriture fait également référence à un trajet de jour de sabbat (</w:t>
      </w:r>
      <w:hyperlink r:id="rId1327">
        <w:r>
          <w:rPr>
            <w:color w:val="0000EE"/>
            <w:u w:val="single"/>
          </w:rPr>
          <w:t>Ac 1.12</w:t>
        </w:r>
      </w:hyperlink>
      <w:r>
        <w:t>). Un trajet de jour de sabbat était probablement d'environ un kilomètre (3 500 pieds).</w:t>
      </w:r>
    </w:p>
    <w:p>
      <w:r/>
      <w:r>
        <w:rPr>
          <w:i/>
        </w:rPr>
        <w:t>Voir</w:t>
      </w:r>
      <w:r>
        <w:t xml:space="preserve"> </w:t>
      </w:r>
      <w:r>
        <w:t>le voyage du jour du sabbat</w:t>
      </w:r>
      <w:r>
        <w:t>.</w:t>
      </w:r>
      <w:r/>
      <w:r/>
    </w:p>
    <w:p>
      <w:r/>
    </w:p>
    <w:p>
      <w:pPr>
        <w:pStyle w:val="Heading2"/>
      </w:pPr>
      <w:r>
        <w:t>Jubal</w:t>
      </w:r>
      <w:r/>
    </w:p>
    <w:p>
      <w:r/>
      <w:r>
        <w:t>Fils d'Ada (épouse de Lémec) et descendant de Caïn. La Bible dit qu'il fut la première personne à jouer de la musique et à fabriquer des instruments de musique comme des harpes et des flûtes (</w:t>
      </w:r>
      <w:hyperlink r:id="rId7728">
        <w:r>
          <w:rPr>
            <w:color w:val="0000EE"/>
            <w:u w:val="single"/>
          </w:rPr>
          <w:t>Gn 4.19–21</w:t>
        </w:r>
      </w:hyperlink>
      <w:r>
        <w:t>).</w:t>
      </w:r>
      <w:r/>
      <w:r/>
    </w:p>
    <w:p>
      <w:r/>
    </w:p>
    <w:p>
      <w:pPr>
        <w:pStyle w:val="Heading2"/>
      </w:pPr>
      <w:r>
        <w:t>Juda (Personne)</w:t>
      </w:r>
      <w:r/>
    </w:p>
    <w:p>
      <w:pPr>
        <w:pStyle w:val="ListNumber"/>
        <w:spacing w:line="240" w:lineRule="auto"/>
        <w:ind w:left="720"/>
      </w:pPr>
      <w:r/>
      <w:r>
        <w:t>Le quatrième des douze fils de Jacob (</w:t>
      </w:r>
      <w:hyperlink r:id="rId7729">
        <w:r>
          <w:rPr>
            <w:color w:val="0000EE"/>
            <w:u w:val="single"/>
          </w:rPr>
          <w:t>Gn 35.23</w:t>
        </w:r>
      </w:hyperlink>
      <w:r>
        <w:t xml:space="preserve"> ; </w:t>
      </w:r>
      <w:hyperlink r:id="rId7730">
        <w:r>
          <w:rPr>
            <w:color w:val="0000EE"/>
            <w:u w:val="single"/>
          </w:rPr>
          <w:t>1Ch 2.1</w:t>
        </w:r>
      </w:hyperlink>
      <w:r>
        <w:t>) et le quatrième fils de Léa et Jacob. Léa le nommera Juda, ce qui signifie « louange », car elle était ravie de donner un autre fils à Jacob (</w:t>
      </w:r>
      <w:hyperlink r:id="rId7731">
        <w:r>
          <w:rPr>
            <w:color w:val="0000EE"/>
            <w:u w:val="single"/>
          </w:rPr>
          <w:t>Gn 29.35</w:t>
        </w:r>
      </w:hyperlink>
      <w:r>
        <w:t>). Juda avait cinq fils :</w:t>
      </w:r>
    </w:p>
    <w:p>
      <w:pPr>
        <w:pStyle w:val="ListNumber"/>
        <w:spacing w:line="240" w:lineRule="auto"/>
        <w:ind w:left="1440"/>
      </w:pPr>
      <w:r/>
      <w:r>
        <w:t>Er</w:t>
      </w:r>
    </w:p>
    <w:p>
      <w:pPr>
        <w:pStyle w:val="ListNumber"/>
        <w:spacing w:line="240" w:lineRule="auto"/>
        <w:ind w:left="1440"/>
      </w:pPr>
      <w:r/>
      <w:r>
        <w:t>Onan</w:t>
      </w:r>
    </w:p>
    <w:p>
      <w:pPr>
        <w:pStyle w:val="ListNumber"/>
        <w:spacing w:line="240" w:lineRule="auto"/>
        <w:ind w:left="1440"/>
      </w:pPr>
      <w:r/>
      <w:r>
        <w:t>Schéla</w:t>
      </w:r>
      <w:r>
        <w:t xml:space="preserve">, né de la fille de </w:t>
      </w:r>
      <w:r>
        <w:t>Schua</w:t>
      </w:r>
      <w:r>
        <w:t xml:space="preserve"> la Cananéenne (</w:t>
      </w:r>
      <w:hyperlink r:id="rId7732">
        <w:r>
          <w:rPr>
            <w:color w:val="0000EE"/>
            <w:u w:val="single"/>
          </w:rPr>
          <w:t>Gn 38.3–5</w:t>
        </w:r>
      </w:hyperlink>
      <w:r>
        <w:t xml:space="preserve"> ; </w:t>
      </w:r>
      <w:hyperlink r:id="rId4859">
        <w:r>
          <w:rPr>
            <w:color w:val="0000EE"/>
            <w:u w:val="single"/>
          </w:rPr>
          <w:t>1Ch 2.3</w:t>
        </w:r>
      </w:hyperlink>
      <w:r>
        <w:t>)</w:t>
      </w:r>
    </w:p>
    <w:p>
      <w:pPr>
        <w:pStyle w:val="ListNumber"/>
        <w:spacing w:line="240" w:lineRule="auto"/>
        <w:ind w:left="1440"/>
      </w:pPr>
      <w:r/>
      <w:r>
        <w:t>Les jumeaux Pérets et Zérach par Tamar, sa belle-fille (</w:t>
      </w:r>
      <w:hyperlink r:id="rId7733">
        <w:r>
          <w:rPr>
            <w:color w:val="0000EE"/>
            <w:u w:val="single"/>
          </w:rPr>
          <w:t>Gn 38.29–30</w:t>
        </w:r>
      </w:hyperlink>
      <w:r>
        <w:t xml:space="preserve"> ; </w:t>
      </w:r>
      <w:hyperlink r:id="rId7734">
        <w:r>
          <w:rPr>
            <w:color w:val="0000EE"/>
            <w:u w:val="single"/>
          </w:rPr>
          <w:t>1Ch 2.4</w:t>
        </w:r>
      </w:hyperlink>
      <w:r>
        <w:t>)</w:t>
      </w:r>
    </w:p>
    <w:p>
      <w:r/>
      <w:r>
        <w:t>Il a installé sa famille en Égypte avec son père et ses frères (</w:t>
      </w:r>
      <w:hyperlink r:id="rId7735">
        <w:r>
          <w:rPr>
            <w:color w:val="0000EE"/>
            <w:u w:val="single"/>
          </w:rPr>
          <w:t>Ex 1.2</w:t>
        </w:r>
      </w:hyperlink>
      <w:r>
        <w:t>). Dieu tuera ses deux premiers fils, Er et Onan, en Canaan pour leur désobéissance (</w:t>
      </w:r>
      <w:hyperlink r:id="rId4858">
        <w:r>
          <w:rPr>
            <w:color w:val="0000EE"/>
            <w:u w:val="single"/>
          </w:rPr>
          <w:t>Gn 46.12</w:t>
        </w:r>
      </w:hyperlink>
      <w:r>
        <w:t>). Juda deviendra le fondateur de l'une des douze tribus d'Israël (</w:t>
      </w:r>
      <w:hyperlink r:id="rId7736">
        <w:r>
          <w:rPr>
            <w:color w:val="0000EE"/>
            <w:u w:val="single"/>
          </w:rPr>
          <w:t>Nb 1.26–27</w:t>
        </w:r>
      </w:hyperlink>
      <w:r>
        <w:t>).</w:t>
      </w:r>
    </w:p>
    <w:p>
      <w:r/>
      <w:r>
        <w:t>Juda commettra l'iniquité avec Tamar (</w:t>
      </w:r>
      <w:hyperlink r:id="rId7737">
        <w:r>
          <w:rPr>
            <w:color w:val="0000EE"/>
            <w:u w:val="single"/>
          </w:rPr>
          <w:t>Genèse 38.6–30</w:t>
        </w:r>
      </w:hyperlink>
      <w:r>
        <w:t>). Cependant, il démontrera une grande capacité d'initiative lorsqu'il a prendra la responsabilité personnelle de la sécurité de Benjamin en Égypte et parlera au nom de ses frères devant Joseph (</w:t>
      </w:r>
      <w:hyperlink r:id="rId7738">
        <w:r>
          <w:rPr>
            <w:color w:val="0000EE"/>
            <w:u w:val="single"/>
          </w:rPr>
          <w:t>Gn 44.14–18</w:t>
        </w:r>
      </w:hyperlink>
      <w:r>
        <w:t>). Au moment de la bénédiction de Jacob, Juda recevra les privilèges de premier-né. La famille de Juda dirigera la famille de Jacob, et le Messie promis de l'alliance d'Abraham sera Judéen (</w:t>
      </w:r>
      <w:hyperlink r:id="rId6963">
        <w:r>
          <w:rPr>
            <w:color w:val="0000EE"/>
            <w:u w:val="single"/>
          </w:rPr>
          <w:t>Gn 49.8–12</w:t>
        </w:r>
      </w:hyperlink>
      <w:r>
        <w:t>). Plus tard, la famille de Juda sera louée lors des fiançailles de Ruth avec Boaz (</w:t>
      </w:r>
      <w:hyperlink r:id="rId7739">
        <w:r>
          <w:rPr>
            <w:color w:val="0000EE"/>
            <w:u w:val="single"/>
          </w:rPr>
          <w:t>Rt 4.12</w:t>
        </w:r>
      </w:hyperlink>
      <w:r>
        <w:t>), et les lignées royales davidiques (</w:t>
      </w:r>
      <w:hyperlink r:id="rId7740">
        <w:r>
          <w:rPr>
            <w:color w:val="0000EE"/>
            <w:u w:val="single"/>
          </w:rPr>
          <w:t>1Ch 2.1–15</w:t>
        </w:r>
      </w:hyperlink>
      <w:r>
        <w:t xml:space="preserve">; </w:t>
      </w:r>
      <w:hyperlink r:id="rId7741">
        <w:r>
          <w:rPr>
            <w:color w:val="0000EE"/>
            <w:u w:val="single"/>
          </w:rPr>
          <w:t>3.1–24</w:t>
        </w:r>
      </w:hyperlink>
      <w:r>
        <w:t>) ainsi que Jésus-Christ étaient Judéens (</w:t>
      </w:r>
      <w:hyperlink r:id="rId7742">
        <w:r>
          <w:rPr>
            <w:color w:val="0000EE"/>
            <w:u w:val="single"/>
          </w:rPr>
          <w:t>Mt 1.2–3</w:t>
        </w:r>
      </w:hyperlink>
      <w:r>
        <w:t xml:space="preserve">; </w:t>
      </w:r>
      <w:hyperlink r:id="rId6028">
        <w:r>
          <w:rPr>
            <w:color w:val="0000EE"/>
            <w:u w:val="single"/>
          </w:rPr>
          <w:t>Lc 3.33</w:t>
        </w:r>
      </w:hyperlink>
      <w:r>
        <w:t>).</w:t>
      </w:r>
    </w:p>
    <w:p>
      <w:r/>
      <w:r>
        <w:rPr>
          <w:i/>
        </w:rPr>
        <w:t>Voir aussi</w:t>
      </w:r>
      <w:r>
        <w:t xml:space="preserve"> </w:t>
      </w:r>
      <w:r>
        <w:t>Généalogie de Jésus-Christ</w:t>
      </w:r>
      <w:r>
        <w:t xml:space="preserve"> ; </w:t>
      </w:r>
      <w:r>
        <w:t>Juda, Tribu de</w:t>
      </w:r>
      <w:r>
        <w:t>.</w:t>
      </w:r>
    </w:p>
    <w:p>
      <w:pPr>
        <w:pStyle w:val="ListNumber"/>
        <w:spacing w:line="240" w:lineRule="auto"/>
        <w:ind w:left="720"/>
      </w:pPr>
      <w:r/>
      <w:r>
        <w:t>Père d'une famille de Lévites qui ont assisté Josué, le grand prêtre, à reconstruire le temple pendant la période après l'exil à Babylone (</w:t>
      </w:r>
      <w:hyperlink r:id="rId7743">
        <w:r>
          <w:rPr>
            <w:color w:val="0000EE"/>
            <w:u w:val="single"/>
          </w:rPr>
          <w:t>Esd 3.9</w:t>
        </w:r>
      </w:hyperlink>
      <w:r>
        <w:t xml:space="preserve">). Il est également appelé Hodavia dans </w:t>
      </w:r>
      <w:hyperlink r:id="rId7744">
        <w:r>
          <w:rPr>
            <w:color w:val="0000EE"/>
            <w:u w:val="single"/>
          </w:rPr>
          <w:t>Esdras 2.40</w:t>
        </w:r>
      </w:hyperlink>
      <w:r>
        <w:t xml:space="preserve"> et Hodva dans </w:t>
      </w:r>
      <w:hyperlink r:id="rId7745">
        <w:r>
          <w:rPr>
            <w:color w:val="0000EE"/>
            <w:u w:val="single"/>
          </w:rPr>
          <w:t>Néhémie 7.43</w:t>
        </w:r>
      </w:hyperlink>
      <w:r>
        <w:t>.</w:t>
      </w:r>
    </w:p>
    <w:p>
      <w:r/>
      <w:r>
        <w:rPr>
          <w:i/>
        </w:rPr>
        <w:t>Voir</w:t>
      </w:r>
      <w:r>
        <w:t xml:space="preserve"> </w:t>
      </w:r>
      <w:r>
        <w:t>Hodavia n° 4</w:t>
      </w:r>
      <w:r>
        <w:t>.</w:t>
      </w:r>
    </w:p>
    <w:p>
      <w:pPr>
        <w:pStyle w:val="ListNumber"/>
        <w:spacing w:line="240" w:lineRule="auto"/>
        <w:ind w:left="720"/>
      </w:pPr>
      <w:r/>
      <w:r>
        <w:t>L'un des Lévites encouragé par Esdras à divorcer de sa femme non-juive (</w:t>
      </w:r>
      <w:hyperlink r:id="rId7746">
        <w:r>
          <w:rPr>
            <w:color w:val="0000EE"/>
            <w:u w:val="single"/>
          </w:rPr>
          <w:t>Esd 10.23</w:t>
        </w:r>
      </w:hyperlink>
      <w:r>
        <w:t>).</w:t>
      </w:r>
    </w:p>
    <w:p>
      <w:pPr>
        <w:pStyle w:val="ListNumber"/>
        <w:spacing w:line="240" w:lineRule="auto"/>
        <w:ind w:left="720"/>
      </w:pPr>
      <w:r/>
      <w:r>
        <w:t>Benjaminite, fils d'Assenua, qui était le second en commandement sur la ville de Jérusalem pendant les jours de Néhémie (</w:t>
      </w:r>
      <w:hyperlink r:id="rId7311">
        <w:r>
          <w:rPr>
            <w:color w:val="0000EE"/>
            <w:u w:val="single"/>
          </w:rPr>
          <w:t>Né 11.9</w:t>
        </w:r>
      </w:hyperlink>
      <w:r>
        <w:t>).</w:t>
      </w:r>
    </w:p>
    <w:p>
      <w:pPr>
        <w:pStyle w:val="ListNumber"/>
        <w:spacing w:line="240" w:lineRule="auto"/>
        <w:ind w:left="720"/>
      </w:pPr>
      <w:r/>
      <w:r>
        <w:t>Un des chefs des Lévites qui est revenu avec Zorobabel et Josué en Juda après l'exil à Babylone (</w:t>
      </w:r>
      <w:hyperlink r:id="rId7747">
        <w:r>
          <w:rPr>
            <w:color w:val="0000EE"/>
            <w:u w:val="single"/>
          </w:rPr>
          <w:t>Né 12.8</w:t>
        </w:r>
      </w:hyperlink>
      <w:r>
        <w:t>).</w:t>
      </w:r>
    </w:p>
    <w:p>
      <w:pPr>
        <w:pStyle w:val="ListNumber"/>
        <w:spacing w:line="240" w:lineRule="auto"/>
        <w:ind w:left="720"/>
      </w:pPr>
      <w:r/>
      <w:r>
        <w:t>Un des princes de Juda qui aidera à consacrer le mur de Jérusalem pendant la période après l'exil à Babylone (</w:t>
      </w:r>
      <w:hyperlink r:id="rId1764">
        <w:r>
          <w:rPr>
            <w:color w:val="0000EE"/>
            <w:u w:val="single"/>
          </w:rPr>
          <w:t>Né 12.34</w:t>
        </w:r>
      </w:hyperlink>
      <w:r>
        <w:t>).</w:t>
      </w:r>
    </w:p>
    <w:p>
      <w:pPr>
        <w:pStyle w:val="ListNumber"/>
        <w:spacing w:line="240" w:lineRule="auto"/>
        <w:ind w:left="720"/>
      </w:pPr>
      <w:r/>
      <w:r>
        <w:t>L'un des prêtres qui jouait d'un instrument de musique lors de la dédicace du mur de Jérusalem pendant les jours de Néhémie (</w:t>
      </w:r>
      <w:hyperlink r:id="rId7748">
        <w:r>
          <w:rPr>
            <w:color w:val="0000EE"/>
            <w:u w:val="single"/>
          </w:rPr>
          <w:t>Né 12.36</w:t>
        </w:r>
      </w:hyperlink>
      <w:r>
        <w:t>). Il est peut-être identique à n°5 ci-dessus.</w:t>
      </w:r>
    </w:p>
    <w:p>
      <w:pPr>
        <w:pStyle w:val="ListNumber"/>
        <w:spacing w:line="240" w:lineRule="auto"/>
        <w:ind w:left="720"/>
      </w:pPr>
      <w:r/>
      <w:r>
        <w:t>Fils de Joseph, père de Siméon et ancêtre de Jésus-Christ (</w:t>
      </w:r>
      <w:hyperlink r:id="rId7443">
        <w:r>
          <w:rPr>
            <w:color w:val="0000EE"/>
            <w:u w:val="single"/>
          </w:rPr>
          <w:t>Lc 3.30</w:t>
        </w:r>
      </w:hyperlink>
      <w:r>
        <w:t>).</w:t>
      </w:r>
    </w:p>
    <w:p>
      <w:r/>
      <w:r>
        <w:rPr>
          <w:i/>
        </w:rPr>
        <w:t>Voir</w:t>
      </w:r>
      <w:r>
        <w:t xml:space="preserve"> </w:t>
      </w:r>
      <w:r>
        <w:t>Généalogie de Jésus-Christ</w:t>
      </w:r>
      <w:r>
        <w:t>.</w:t>
      </w:r>
      <w:r/>
      <w:r/>
    </w:p>
    <w:p>
      <w:r/>
    </w:p>
    <w:p>
      <w:pPr>
        <w:pStyle w:val="Heading2"/>
      </w:pPr>
      <w:r>
        <w:t>Juda, Tribu de</w:t>
      </w:r>
      <w:r/>
    </w:p>
    <w:p>
      <w:r/>
      <w:r>
        <w:t>Une des douze tribus d'Israël.</w:t>
      </w:r>
    </w:p>
    <w:p>
      <w:pPr>
        <w:pStyle w:val="Heading3"/>
      </w:pPr>
      <w:r>
        <w:t>Territoire géographique</w:t>
      </w:r>
    </w:p>
    <w:p>
      <w:r/>
      <w:r>
        <w:t xml:space="preserve">Les frontières de Juda sont bien définies dans </w:t>
      </w:r>
      <w:hyperlink r:id="rId7591">
        <w:r>
          <w:rPr>
            <w:color w:val="0000EE"/>
            <w:u w:val="single"/>
          </w:rPr>
          <w:t>Josué 15</w:t>
        </w:r>
      </w:hyperlink>
      <w:r>
        <w:t xml:space="preserve">, qui décrit l'héritage de la tribu après la Conquête. </w:t>
      </w:r>
      <w:hyperlink r:id="rId7749">
        <w:r>
          <w:rPr>
            <w:color w:val="0000EE"/>
            <w:u w:val="single"/>
          </w:rPr>
          <w:t>2 Rois 23.8</w:t>
        </w:r>
      </w:hyperlink>
      <w:r>
        <w:t xml:space="preserve"> décrit Juda comme s'étendant de Guéba à Beer-Schéba : Guéba se situe à environ 15 km au nord de Jérusalem, et Beer-Schéba à environ 65 km au sud. Juda possédait ainsi une bande de terre montagneuse sur l'épine dorsale centrale du sud de la Palestine, environ 80 km du nord au sud et 30 km d'est en ouest. De ces 2 400 km2, la moitié était désertique (au sud et à l'est) ; le reste était rocailleux et mal arrosé. La crête centrale, sur laquelle se trouvent Jérusalem, Hébron et Beer-Schéba, s'élève à près de 1 000 m par endroits avant de s'effiler dans le désert au sud. Le long de cette crête, reliant ces villes, passe la route principale. À l'est, la crête descend abruptement vers la mer Morte, à près de 1 500 m en contrebas. À l'ouest, elle descend moins brusquement vers les « basses terres » (en réalité un plateau d'environ 300 m de haut, avant de descendre vers la plaine philistine, qui s'étend jusqu'à la mer.</w:t>
      </w:r>
    </w:p>
    <w:p>
      <w:r/>
      <w:r>
        <w:t>La Judée proprement dite (Jérusalem fut une addition ultérieure) était éloignée et sécurisée dans ses collines. Son véritable centre et capitale était Hébron, à 1 000 m d'altitude. Elle n'était vulnérable au nord qu'aux attaquants marchant vers le sud le long de la route de la crête. Cependant, trois grandes vallées montaient des basses terres occidentales vers les collines : la vallée d'Ajalon, la vallée de Sorek et la vallée des térébinthes. Des batailles faisaient rage dans ces vallées depuis les jours de Josué jusqu'à l'époque de David et bien après. Les quelques routes vers l'orient (celle de Jérusalem à Jéricho est la plus connue) n'étaient pas si importantes, bien que ce soit par cette « porte dérobée » que Josué avait envahi le pays des collines (</w:t>
      </w:r>
      <w:hyperlink r:id="rId7750">
        <w:r>
          <w:rPr>
            <w:color w:val="0000EE"/>
            <w:u w:val="single"/>
          </w:rPr>
          <w:t>Jos 10.9</w:t>
        </w:r>
      </w:hyperlink>
      <w:r>
        <w:t>). La Judée était donc géographiquement bien en dehors du courant principal de la vie israélite, puisque seul le territoire de Siméon se trouvait au sud.</w:t>
      </w:r>
    </w:p>
    <w:p>
      <w:r/>
      <w:r>
        <w:t>La région occupée par Juda se divise facilement en trois régions naturelles : la crête montagneuse centrale, assez densément peuplée, surtout sur son versant occidental, où les précipitations et la rosée étaient les plus importantes ; les pentes orientales, presque inhabitées et principalement désertiques ; et la région pastorale du sud autour de Beer-Schéba, où les montagnes s'étendent en prairie sèche, avec une implantation de population clairsemée dans l'ensemble.</w:t>
      </w:r>
    </w:p>
    <w:p>
      <w:pPr>
        <w:pStyle w:val="Heading3"/>
      </w:pPr>
      <w:r>
        <w:t>Vie économique</w:t>
      </w:r>
    </w:p>
    <w:p>
      <w:r/>
      <w:r>
        <w:t>Pour Israël, la Palestine était une terre où coulait le lait et le miel (</w:t>
      </w:r>
      <w:hyperlink r:id="rId7751">
        <w:r>
          <w:rPr>
            <w:color w:val="0000EE"/>
            <w:u w:val="single"/>
          </w:rPr>
          <w:t>Nb 13.27</w:t>
        </w:r>
      </w:hyperlink>
      <w:r>
        <w:t>). La moitié de Juda pouvait être désertique, mais le reste avait un sol raisonnablement bon, et sur les pentes occidentales, la pluie était généralement suffisante. Le blé, l'orge, les olives, les figues, et surtout les vignobles, poussaient librement. La terre pouvait être pierreuse, mais les pierres pouvaient être collectées et utilisées pour les murs et les bâtiments. Bien que moins riche que les grandes vallées du nord comme Jizreel, Juda était néanmoins un bon pays pour l'agriculture mixte, bien que nécessitant un travail acharné. Les moutons et les chèvres étaient abondants, permettant l'agriculture de laine et de lait. Le bétail était sans doute plus rare ; Juda n'était pas un pays de bétail comme le Basan (</w:t>
      </w:r>
      <w:hyperlink r:id="rId469">
        <w:r>
          <w:rPr>
            <w:color w:val="0000EE"/>
            <w:u w:val="single"/>
          </w:rPr>
          <w:t>Nb 32.1</w:t>
        </w:r>
      </w:hyperlink>
      <w:r>
        <w:t>). La production de laine permettait la fabrication de tissu, et la peau des bêtes donnait accès au cuir. À cette époque, les collines étaient boisées, permettant la production de combustible et de matériaux de construction. L'argile pour la poterie était facilement disponible pour les ustensiles domestiques. Le cuivre venait d'Édom au sud, et le fer de Philistie à l'ouest ; ceux-ci pouvaient être obtenus en échangeant des produits agricoles. Qu'ils s'en rendent compte ou non, Dieu avait traité gracieusement le peuple de Juda en leur donnant des ressources adéquates. Néanmoins, le climat était vivifiant : un hiver froid et humide, avec parfois de la neige et de la grêle, et un long été sans pluie, avec une faible humidité et des nuits fraîches. Cela apportait de fortes rosées sur les pentes orientales (</w:t>
      </w:r>
      <w:hyperlink r:id="rId7752">
        <w:r>
          <w:rPr>
            <w:color w:val="0000EE"/>
            <w:u w:val="single"/>
          </w:rPr>
          <w:t>Jg 6.38</w:t>
        </w:r>
      </w:hyperlink>
      <w:r>
        <w:t>), et l'eau de pluie précieuse était conservée dans des citernes taillées dans la roche (</w:t>
      </w:r>
      <w:hyperlink r:id="rId7753">
        <w:r>
          <w:rPr>
            <w:color w:val="0000EE"/>
            <w:u w:val="single"/>
          </w:rPr>
          <w:t>Jr 2.13</w:t>
        </w:r>
      </w:hyperlink>
      <w:r>
        <w:t>). Des ruisseaux permanents de toute taille n'existaient pas à Juda, mais les sources ou « puits » étaient abondants, de Jérusalem à Beer-Schéba. Ce n'est que lorsque Juda sera entraîné dans la vie économique de l'empire commercial de Salomon que son mode de vie simple changera ; même alors, le changement dans les collines de Juda sera bien moindre qu'ailleurs. Juda n'avait pas de port maritime propre et ne contrôlait pas de riches routes de caravanes. Il n'avait pas de matières premières convoitées, comme le cuivre d'Édom ou les cèdres du Liban ; pas de produits de luxe pour le commerce, comme la teinture pourpre de Phénicie ou l'or d'Ophir ; pas de terres luxuriantes pour tenter la cupidité des autres. Dans la miséricorde de Dieu, les tentations de Juda étaient peu nombreuses. Sa foi était également moins susceptible d'être corrompue : relativement peu de Cananéens s'étaient jamais installés dans cette région, tandis que la Conquête avait été plus complète au sud qu'au nord.</w:t>
      </w:r>
    </w:p>
    <w:p>
      <w:pPr>
        <w:pStyle w:val="Heading3"/>
      </w:pPr>
      <w:r>
        <w:t>Histoire et importance</w:t>
      </w:r>
    </w:p>
    <w:p>
      <w:r/>
      <w:r>
        <w:t xml:space="preserve">Les premières bénédictions sur Juda sont notées dans </w:t>
      </w:r>
      <w:hyperlink r:id="rId6963">
        <w:r>
          <w:rPr>
            <w:color w:val="0000EE"/>
            <w:u w:val="single"/>
          </w:rPr>
          <w:t>Genèse 49.8–12</w:t>
        </w:r>
      </w:hyperlink>
      <w:r>
        <w:t xml:space="preserve"> et </w:t>
      </w:r>
      <w:hyperlink r:id="rId7754">
        <w:r>
          <w:rPr>
            <w:color w:val="0000EE"/>
            <w:u w:val="single"/>
          </w:rPr>
          <w:t>Deutéronome 33.7</w:t>
        </w:r>
      </w:hyperlink>
      <w:r>
        <w:t>. Après l'exode, la tribu de Juda prendra la première place dans l'organisation du campement dans le désert (</w:t>
      </w:r>
      <w:hyperlink r:id="rId7755">
        <w:r>
          <w:rPr>
            <w:color w:val="0000EE"/>
            <w:u w:val="single"/>
          </w:rPr>
          <w:t>Nb 2.3</w:t>
        </w:r>
      </w:hyperlink>
      <w:r>
        <w:t>). Caleb, l'un des deux espions fidèles, était un chef tribal de Juda (</w:t>
      </w:r>
      <w:hyperlink r:id="rId7756">
        <w:r>
          <w:rPr>
            <w:color w:val="0000EE"/>
            <w:u w:val="single"/>
          </w:rPr>
          <w:t>13.6</w:t>
        </w:r>
      </w:hyperlink>
      <w:r>
        <w:t>). Lors de l'invasion de la Palestine par Josué, les hautes terres attribuées à Juda seront les premières à être débarrassées des Cananéens, après les premiers combats autour de Jéricho et Aï (</w:t>
      </w:r>
      <w:hyperlink r:id="rId7154">
        <w:r>
          <w:rPr>
            <w:color w:val="0000EE"/>
            <w:u w:val="single"/>
          </w:rPr>
          <w:t>Jos 6</w:t>
        </w:r>
      </w:hyperlink>
      <w:r>
        <w:t xml:space="preserve"> ; </w:t>
      </w:r>
      <w:hyperlink r:id="rId7757">
        <w:r>
          <w:rPr>
            <w:color w:val="0000EE"/>
            <w:u w:val="single"/>
          </w:rPr>
          <w:t>8</w:t>
        </w:r>
      </w:hyperlink>
      <w:r>
        <w:t>). Le livre de Josué est un résumé de la campagne dans son ensemble.</w:t>
      </w:r>
    </w:p>
    <w:p>
      <w:r/>
      <w:r>
        <w:t>Après la mort de Josué, Siméon et Juda continueront le combat contre les Cananéens et marcheront ensemble contre la région montagneuse du sud, dirigés par Caleb et Othniel. Bien que le don de Dieu à Juda ait été toute la terre vers l'ouest jusqu'à la mer, Juda ne réussira à prendre que les collines. La plaine était contrôlée par des chars protégés par le fer et des villes fortifiées. Le roi de Jérusalem sera tué et Jérusalem sera brûlée (</w:t>
      </w:r>
      <w:hyperlink r:id="rId7215">
        <w:r>
          <w:rPr>
            <w:color w:val="0000EE"/>
            <w:u w:val="single"/>
          </w:rPr>
          <w:t>Jg 1.8</w:t>
        </w:r>
      </w:hyperlink>
      <w:r>
        <w:t xml:space="preserve">), mais les Jébusiens continueront à occuper la région jusqu'à l'époque de David (v. </w:t>
      </w:r>
      <w:hyperlink r:id="rId1778">
        <w:r>
          <w:rPr>
            <w:color w:val="0000EE"/>
            <w:u w:val="single"/>
          </w:rPr>
          <w:t>21</w:t>
        </w:r>
      </w:hyperlink>
      <w:r>
        <w:t xml:space="preserve">). Les hommes de Juda, comme d'autres Israélites, pouvaient brûler les villes cananéennes, mais ils n'occupaient généralement pas les anciens sites eux-mêmes. Sous les juges, la tribu de Juda était encore isolée, bien qu'Othniel soit de Juda (chap. </w:t>
      </w:r>
      <w:hyperlink r:id="rId7758">
        <w:r>
          <w:rPr>
            <w:color w:val="0000EE"/>
            <w:u w:val="single"/>
          </w:rPr>
          <w:t>3</w:t>
        </w:r>
      </w:hyperlink>
      <w:r>
        <w:t xml:space="preserve">). Dans la grande bataille contre Sisera, Juda n'est même pas mentionné (chap. </w:t>
      </w:r>
      <w:hyperlink r:id="rId3662">
        <w:r>
          <w:rPr>
            <w:color w:val="0000EE"/>
            <w:u w:val="single"/>
          </w:rPr>
          <w:t>5</w:t>
        </w:r>
      </w:hyperlink>
      <w:r>
        <w:t xml:space="preserve">). Cet isolement tribal sera rapidement perdu, d'abord par les invasions philistines venant de l'ouest, puis par la capture de Jérusalem par David et l'établissement de la capitale nationale et religieuse là-bas. Bien que dans </w:t>
      </w:r>
      <w:hyperlink r:id="rId4144">
        <w:r>
          <w:rPr>
            <w:color w:val="0000EE"/>
            <w:u w:val="single"/>
          </w:rPr>
          <w:t>Juges 15.11</w:t>
        </w:r>
      </w:hyperlink>
      <w:r>
        <w:t xml:space="preserve"> les hommes de Juda soient prêts même à livrer Samson aux Philistins, avec Samuel comme juge, tout change. L'arche revient (</w:t>
      </w:r>
      <w:hyperlink r:id="rId7759">
        <w:r>
          <w:rPr>
            <w:color w:val="0000EE"/>
            <w:u w:val="single"/>
          </w:rPr>
          <w:t>1S 7.1</w:t>
        </w:r>
      </w:hyperlink>
      <w:r>
        <w:t xml:space="preserve">) ; le territoire perdu est récupéré (v. </w:t>
      </w:r>
      <w:hyperlink r:id="rId776">
        <w:r>
          <w:rPr>
            <w:color w:val="0000EE"/>
            <w:u w:val="single"/>
          </w:rPr>
          <w:t>14</w:t>
        </w:r>
      </w:hyperlink>
      <w:r>
        <w:t>). En effet, les fils de Samuel agissent comme juges à Beer-Schéba (</w:t>
      </w:r>
      <w:hyperlink r:id="rId1728">
        <w:r>
          <w:rPr>
            <w:color w:val="0000EE"/>
            <w:u w:val="single"/>
          </w:rPr>
          <w:t>8.2</w:t>
        </w:r>
      </w:hyperlink>
      <w:r>
        <w:t>), bien qu'ils soient corrompus.</w:t>
      </w:r>
    </w:p>
    <w:p>
      <w:r/>
      <w:r>
        <w:t>David finit par briser le pouvoir des Philistins grâce à une série de victoires et règne comme roi d'abord à Hébron, la ville principale de Juda (</w:t>
      </w:r>
      <w:hyperlink r:id="rId7760">
        <w:r>
          <w:rPr>
            <w:color w:val="0000EE"/>
            <w:u w:val="single"/>
          </w:rPr>
          <w:t>2S 2.1–4</w:t>
        </w:r>
      </w:hyperlink>
      <w:r>
        <w:t>). Lorsqu'il est couronné roi de tout Israël, il déplace toutefois la capitale vers Jérusalem, nouvellement conquise, à la frontière nord de la tribu de Juda (</w:t>
      </w:r>
      <w:hyperlink r:id="rId7761">
        <w:r>
          <w:rPr>
            <w:color w:val="0000EE"/>
            <w:u w:val="single"/>
          </w:rPr>
          <w:t>5.6–10</w:t>
        </w:r>
      </w:hyperlink>
      <w:r>
        <w:t xml:space="preserve">). C'est ici que l'arche devait être amenée (chap. </w:t>
      </w:r>
      <w:hyperlink r:id="rId3596">
        <w:r>
          <w:rPr>
            <w:color w:val="0000EE"/>
            <w:u w:val="single"/>
          </w:rPr>
          <w:t>6</w:t>
        </w:r>
      </w:hyperlink>
      <w:r>
        <w:t>), et c'est ici que Salomon devait ériger le temple (</w:t>
      </w:r>
      <w:hyperlink r:id="rId7762">
        <w:r>
          <w:rPr>
            <w:color w:val="0000EE"/>
            <w:u w:val="single"/>
          </w:rPr>
          <w:t>7.13</w:t>
        </w:r>
      </w:hyperlink>
      <w:r>
        <w:t>). Toutes les promesses de Dieu se concentreront désormais autour de Jérusalem, du temple et de la lignée de David. Plus important que tout le reste, le Messie viendrait de Juda (</w:t>
      </w:r>
      <w:hyperlink r:id="rId6893">
        <w:r>
          <w:rPr>
            <w:color w:val="0000EE"/>
            <w:u w:val="single"/>
          </w:rPr>
          <w:t>Gn 49.10</w:t>
        </w:r>
      </w:hyperlink>
      <w:r>
        <w:t>).</w:t>
      </w:r>
    </w:p>
    <w:p>
      <w:r/>
      <w:r>
        <w:t>La division entre les tribus du nord et du sud avait commencé du vivant de David, après la révolte d'Absalom (</w:t>
      </w:r>
      <w:hyperlink r:id="rId7763">
        <w:r>
          <w:rPr>
            <w:color w:val="0000EE"/>
            <w:u w:val="single"/>
          </w:rPr>
          <w:t>2S 20.1</w:t>
        </w:r>
      </w:hyperlink>
      <w:r>
        <w:t>) ; après la mort de Salomon, la rupture devint complète (</w:t>
      </w:r>
      <w:hyperlink r:id="rId7764">
        <w:r>
          <w:rPr>
            <w:color w:val="0000EE"/>
            <w:u w:val="single"/>
          </w:rPr>
          <w:t>1R 12.16</w:t>
        </w:r>
      </w:hyperlink>
      <w:r>
        <w:t xml:space="preserve">). Désormais, pendant 200 ans, jusqu'à la chute du royaume du nord en 722 av. J.‑C., il y avait deux petits royaumes côte à côte : un plus grand au nord et à l'orient, appelé Israël (les « dix tribus », voir </w:t>
      </w:r>
      <w:hyperlink r:id="rId7765">
        <w:r>
          <w:rPr>
            <w:color w:val="0000EE"/>
            <w:u w:val="single"/>
          </w:rPr>
          <w:t>1R 11.35</w:t>
        </w:r>
      </w:hyperlink>
      <w:r>
        <w:t>), et un plus petit au sud, appelé Juda. Avec cela, l'histoire de Juda en tant que tribu prend pratiquement fin, car bien que toujours appelé par son ancien nom tribal, ce petit royaume était en réalité un « Juda Élargi ». Il contenait désormais non seulement l'ancienne tribu de Juda mais aussi le territoire jébusien nouvellement conquis de Jérusalem, une partie de l'ancien pays philistin, et les tribus de Benjamin et Siméon, ainsi que de nombreux Lévites (</w:t>
      </w:r>
      <w:hyperlink r:id="rId7766">
        <w:r>
          <w:rPr>
            <w:color w:val="0000EE"/>
            <w:u w:val="single"/>
          </w:rPr>
          <w:t>2Ch 11.14</w:t>
        </w:r>
      </w:hyperlink>
      <w:r>
        <w:t>) et d'autres « loyalistes » du nord. En effet, dorénavant, la notion de « tribu » avait beaucoup moins de signification qu'auparavant ; il était plus important de savoir où une personne vivait que de quelle tribu elle était issue, bien qu'au sein de la famille, les origines tribales continuaient d'être rappelées. Pendant 250 ans de plus, le petit royaume de Juda persistera seul. Même après l'exil, c'est la petite province de Juda qui émergera sous Néhémie (</w:t>
      </w:r>
      <w:hyperlink r:id="rId7767">
        <w:r>
          <w:rPr>
            <w:color w:val="0000EE"/>
            <w:u w:val="single"/>
          </w:rPr>
          <w:t>Né 1.2–3</w:t>
        </w:r>
      </w:hyperlink>
      <w:r>
        <w:t>), et la Judée restera encore un district à l'époque du Nouveau Testament (</w:t>
      </w:r>
      <w:hyperlink r:id="rId2222">
        <w:r>
          <w:rPr>
            <w:color w:val="0000EE"/>
            <w:u w:val="single"/>
          </w:rPr>
          <w:t>Lc 3.1</w:t>
        </w:r>
      </w:hyperlink>
      <w:r>
        <w:t xml:space="preserve">). La grande majorité des Juifs ultérieurs étaient issus de la tribu de Juda, comme le montre le nom même de « Juif ». Cependant, la principale gloire de la tribu de Juda, maintenant comme toujours, était que la maison de David en était issue. Lors de la naissance de Jésus-Christ, il devait être de la lignée de David et de la tribu de Juda. Ainsi, dans </w:t>
      </w:r>
      <w:hyperlink r:id="rId5854">
        <w:r>
          <w:rPr>
            <w:color w:val="0000EE"/>
            <w:u w:val="single"/>
          </w:rPr>
          <w:t>Apocalypse 7.5</w:t>
        </w:r>
      </w:hyperlink>
      <w:r>
        <w:t>, lorsque 12 000 sont scellés de chaque tribu, Juda a la place d'honneur dans la liste, comme il l'avait dans les Nombres (</w:t>
      </w:r>
      <w:hyperlink r:id="rId7755">
        <w:r>
          <w:rPr>
            <w:color w:val="0000EE"/>
            <w:u w:val="single"/>
          </w:rPr>
          <w:t>Nb 2.3</w:t>
        </w:r>
      </w:hyperlink>
      <w:r>
        <w:t>) bien longtemps auparavant.</w:t>
      </w:r>
    </w:p>
    <w:p>
      <w:r/>
      <w:r>
        <w:rPr>
          <w:i/>
        </w:rPr>
        <w:t>Voir aussi</w:t>
      </w:r>
      <w:r>
        <w:t xml:space="preserve"> </w:t>
      </w:r>
      <w:r>
        <w:t>Juda (personne) n° 1</w:t>
      </w:r>
      <w:r>
        <w:t>.</w:t>
      </w:r>
      <w:r/>
      <w:r/>
    </w:p>
    <w:p>
      <w:r/>
    </w:p>
    <w:p>
      <w:pPr>
        <w:pStyle w:val="Heading2"/>
      </w:pPr>
      <w:r>
        <w:t>Judaïsants</w:t>
      </w:r>
      <w:r/>
    </w:p>
    <w:p>
      <w:r/>
      <w:r>
        <w:t>Les judaïsants étaient un groupe de chrétiens juifs dans l'Église primitive qui enseignaient que les chrétiens non-juifs (gentils) devaient suivre les coutumes religieuses juives. Le mot « judaïser » signifie « vivre selon les coutumes et traditions juives ».</w:t>
      </w:r>
    </w:p>
    <w:p>
      <w:r/>
      <w:r>
        <w:t>Dans la Bible, le mot « judaïser » apparaît une seule fois (</w:t>
      </w:r>
      <w:hyperlink r:id="rId7768">
        <w:r>
          <w:rPr>
            <w:color w:val="0000EE"/>
            <w:u w:val="single"/>
          </w:rPr>
          <w:t>Ga 2.14</w:t>
        </w:r>
      </w:hyperlink>
      <w:r>
        <w:t xml:space="preserve">). Dans ce passage, Paul confronte Pierre au sujet de sa tentative de faire suivre aux croyants non-juifs les coutumes juives. Paul dit à Pierre : « </w:t>
      </w:r>
      <w:r>
        <w:t>Si toi qui es Juif, tu vis à la manière des païens et non à la manière des Juifs, pourquoi forces-tu les païens à judaïser</w:t>
      </w:r>
      <w:r>
        <w:t xml:space="preserve"> ? »</w:t>
      </w:r>
    </w:p>
    <w:p>
      <w:r/>
      <w:r>
        <w:t>La principale préoccupation de Paul n'était pas de savoir si les gens choisissaient de suivre les coutumes juives. Au contraire, il s'inquiétait que certaines personnes croient à tort qu'elles devaient suivre ces coutumes pour obtenir le salut. Paul enseignait que le salut vient par la foi en Jésus, et non par l'observance des coutumes juives.</w:t>
      </w:r>
    </w:p>
    <w:p>
      <w:pPr>
        <w:pStyle w:val="Heading3"/>
      </w:pPr>
      <w:r>
        <w:t>Le Christianisme primitif en tant que mouvement juif</w:t>
      </w:r>
    </w:p>
    <w:p>
      <w:r/>
      <w:r>
        <w:t>Lorsque le christianisme a commencé, la plupart des chrétiens étaient des Juifs qui avaient accepté Jésus comme le Messie (le chef choisi par Dieu). Même les quelques personnes non-juives qui sont devenues chrétiennes, comme Nicolas d'Antioche, s'étaient d'abord converties au judaïsme (</w:t>
      </w:r>
      <w:hyperlink r:id="rId996">
        <w:r>
          <w:rPr>
            <w:color w:val="0000EE"/>
            <w:u w:val="single"/>
          </w:rPr>
          <w:t>Ac 6.5</w:t>
        </w:r>
      </w:hyperlink>
      <w:r>
        <w:t>).</w:t>
      </w:r>
    </w:p>
    <w:p>
      <w:r/>
      <w:r>
        <w:t>À cette époque, pour devenir juif, une personne devait accomplir trois choses :</w:t>
      </w:r>
    </w:p>
    <w:p>
      <w:pPr>
        <w:pStyle w:val="ListNumber"/>
        <w:spacing w:line="240" w:lineRule="auto"/>
        <w:ind w:left="720"/>
      </w:pPr>
      <w:r/>
      <w:r>
        <w:t>Les hommes convertis devaient être circoncis.</w:t>
      </w:r>
    </w:p>
    <w:p>
      <w:pPr>
        <w:pStyle w:val="ListNumber"/>
        <w:spacing w:line="240" w:lineRule="auto"/>
        <w:ind w:left="720"/>
      </w:pPr>
      <w:r/>
      <w:r>
        <w:t>Tous les convertis devaient prendre un bain rituel dans l’eau.</w:t>
      </w:r>
    </w:p>
    <w:p>
      <w:pPr>
        <w:pStyle w:val="ListNumber"/>
        <w:spacing w:line="240" w:lineRule="auto"/>
        <w:ind w:left="720"/>
      </w:pPr>
      <w:r/>
      <w:r>
        <w:t>Tous les convertis devaient promettre de suivre la loi de Moïse (613 règles religieuses) et les enseignements des chefs religieux juifs.</w:t>
      </w:r>
    </w:p>
    <w:p>
      <w:r/>
      <w:r>
        <w:t>Pour les chrétiens juifs, suivre les coutumes juives était normal et naturel. Ils croyaient qu'accepter Jésus comme le Messie rendait leur foi juive plus complète, plutôt que de la remplacer. Ils ne voyaient pas le christianisme comme une religion distincte du judaïsme. Au contraire, ils le considéraient comme la forme la plus authentique du judaïsme.</w:t>
      </w:r>
    </w:p>
    <w:p>
      <w:r/>
      <w:r>
        <w:t>Ces chrétiens juifs :</w:t>
      </w:r>
    </w:p>
    <w:p>
      <w:pPr>
        <w:pStyle w:val="ListBullet"/>
        <w:spacing w:line="240" w:lineRule="auto"/>
        <w:ind w:left="720"/>
      </w:pPr>
      <w:r/>
      <w:r>
        <w:t>Ont été circoncis (soit en tant que bébés, soit lorsqu'ils se sont convertis au judaïsme).</w:t>
      </w:r>
    </w:p>
    <w:p>
      <w:pPr>
        <w:pStyle w:val="ListBullet"/>
        <w:spacing w:line="240" w:lineRule="auto"/>
        <w:ind w:left="720"/>
      </w:pPr>
      <w:r/>
      <w:r>
        <w:t>Suivi les lois alimentaires juives (appelées lois casher).</w:t>
      </w:r>
    </w:p>
    <w:p>
      <w:pPr>
        <w:pStyle w:val="ListBullet"/>
        <w:spacing w:line="240" w:lineRule="auto"/>
        <w:ind w:left="720"/>
      </w:pPr>
      <w:r/>
      <w:r>
        <w:t>Ont respecté les règles juives concernant le maintien de la pureté rituelle.</w:t>
      </w:r>
    </w:p>
    <w:p>
      <w:pPr>
        <w:pStyle w:val="ListBullet"/>
        <w:spacing w:line="240" w:lineRule="auto"/>
        <w:ind w:left="720"/>
      </w:pPr>
      <w:r/>
      <w:r>
        <w:t>Adoraient au temple de Jérusalem jusqu'à ce que les Romains le détruisent en 70 apr. J.‑C. (</w:t>
      </w:r>
      <w:hyperlink r:id="rId7769">
        <w:r>
          <w:rPr>
            <w:color w:val="0000EE"/>
            <w:u w:val="single"/>
          </w:rPr>
          <w:t>Ac 3.1</w:t>
        </w:r>
      </w:hyperlink>
      <w:r>
        <w:t xml:space="preserve"> ; </w:t>
      </w:r>
      <w:hyperlink r:id="rId7770">
        <w:r>
          <w:rPr>
            <w:color w:val="0000EE"/>
            <w:u w:val="single"/>
          </w:rPr>
          <w:t>21.26</w:t>
        </w:r>
      </w:hyperlink>
      <w:r>
        <w:t>).</w:t>
      </w:r>
    </w:p>
    <w:p>
      <w:pPr>
        <w:pStyle w:val="ListBullet"/>
        <w:spacing w:line="240" w:lineRule="auto"/>
        <w:ind w:left="720"/>
      </w:pPr>
      <w:r/>
      <w:r>
        <w:t xml:space="preserve">Ont continué (dans le cas de certains) à se réunir dans des synagogues (voir </w:t>
      </w:r>
      <w:hyperlink r:id="rId7023">
        <w:r>
          <w:rPr>
            <w:color w:val="0000EE"/>
            <w:u w:val="single"/>
          </w:rPr>
          <w:t>Jc 2.2</w:t>
        </w:r>
      </w:hyperlink>
      <w:r>
        <w:t>)</w:t>
      </w:r>
    </w:p>
    <w:p>
      <w:pPr>
        <w:pStyle w:val="Heading3"/>
      </w:pPr>
      <w:r>
        <w:t>Le Christianisme se propage dans le monde gréco-romain</w:t>
      </w:r>
    </w:p>
    <w:p>
      <w:r/>
      <w:r>
        <w:t>Le christianisme primitif a donc bien commencé comme un mouvement juif, et s'est ensuite étendu au monde gréco-romain. La persécution a forcé les chrétiens juifs à quitter Jérusalem (</w:t>
      </w:r>
      <w:hyperlink r:id="rId4554">
        <w:r>
          <w:rPr>
            <w:color w:val="0000EE"/>
            <w:u w:val="single"/>
          </w:rPr>
          <w:t>Ac 8.1</w:t>
        </w:r>
      </w:hyperlink>
      <w:r>
        <w:t xml:space="preserve"> ; </w:t>
      </w:r>
      <w:hyperlink r:id="rId7771">
        <w:r>
          <w:rPr>
            <w:color w:val="0000EE"/>
            <w:u w:val="single"/>
          </w:rPr>
          <w:t>11.19–24</w:t>
        </w:r>
      </w:hyperlink>
      <w:r>
        <w:t>). En voyageant vers de nouveaux endroits, ils ont partagé l'Évangile (la Bonne Nouvelle concernant Jésus). Philippe a apporté l'Évangile en Samarie, où de nombreux Samaritains sont devenus chrétiens (</w:t>
      </w:r>
      <w:hyperlink r:id="rId7772">
        <w:r>
          <w:rPr>
            <w:color w:val="0000EE"/>
            <w:u w:val="single"/>
          </w:rPr>
          <w:t>8.4</w:t>
        </w:r>
      </w:hyperlink>
      <w:hyperlink r:id="rId7771">
        <w:r>
          <w:rPr>
            <w:color w:val="0000EE"/>
            <w:u w:val="single"/>
          </w:rPr>
          <w:t>–</w:t>
        </w:r>
      </w:hyperlink>
      <w:hyperlink r:id="rId7772">
        <w:r>
          <w:rPr>
            <w:color w:val="0000EE"/>
            <w:u w:val="single"/>
          </w:rPr>
          <w:t>25</w:t>
        </w:r>
      </w:hyperlink>
      <w:r>
        <w:t>). Le jour de la Pentecôte, de nombreux Juifs de différentes parties du monde romain sont devenus chrétiens (</w:t>
      </w:r>
      <w:hyperlink r:id="rId7773">
        <w:r>
          <w:rPr>
            <w:color w:val="0000EE"/>
            <w:u w:val="single"/>
          </w:rPr>
          <w:t>2.5</w:t>
        </w:r>
      </w:hyperlink>
      <w:hyperlink r:id="rId7771">
        <w:r>
          <w:rPr>
            <w:color w:val="0000EE"/>
            <w:u w:val="single"/>
          </w:rPr>
          <w:t>–</w:t>
        </w:r>
      </w:hyperlink>
      <w:hyperlink r:id="rId7773">
        <w:r>
          <w:rPr>
            <w:color w:val="0000EE"/>
            <w:u w:val="single"/>
          </w:rPr>
          <w:t>11</w:t>
        </w:r>
      </w:hyperlink>
      <w:r>
        <w:t>). Lorsque ces nouveaux croyants sont retournés chez eux, ils ont probablement partagé l'Évangile là-bas. C'est probablement ainsi que la Bonne Nouvelle concernant Jésus a atteint Rome pour la première fois, bien que nous ne le sachions pas avec certitude.</w:t>
      </w:r>
    </w:p>
    <w:p>
      <w:r/>
      <w:r>
        <w:t>Le livre des Actes montre comment le christianisme est passé d'un petit groupe juif à Jérusalem à une foi qui s'est répandue dans le monde romain. Pendant cette période, de nombreux Juifs ont rejeté l'Évangile, tandis que de nombreuses personnes non juives l'ont accepté.</w:t>
      </w:r>
    </w:p>
    <w:p>
      <w:r/>
      <w:r>
        <w:t xml:space="preserve">Un changement majeur s'est produit dans </w:t>
      </w:r>
      <w:hyperlink r:id="rId183">
        <w:r>
          <w:rPr>
            <w:color w:val="0000EE"/>
            <w:u w:val="single"/>
          </w:rPr>
          <w:t>Actes 10.</w:t>
        </w:r>
      </w:hyperlink>
      <w:r>
        <w:t xml:space="preserve"> Dans ce chapitre, Pierre a partagé la Bonne Nouvelle de Jésus avec un officier militaire romain nommé Corneille. Corneille et tous ceux de sa maison ont cru à la Bonne Nouvelle et ont reçu le Saint-Esprit. Les croyants juifs qui étaient avec Pierre ont été surpris que Dieu ait également donné le Saint-Esprit aux non-Juifs (</w:t>
      </w:r>
      <w:hyperlink r:id="rId3504">
        <w:r>
          <w:rPr>
            <w:color w:val="0000EE"/>
            <w:u w:val="single"/>
          </w:rPr>
          <w:t>Ac 10.45</w:t>
        </w:r>
      </w:hyperlink>
      <w:r>
        <w:t>).</w:t>
      </w:r>
    </w:p>
    <w:p>
      <w:pPr>
        <w:pStyle w:val="Heading3"/>
      </w:pPr>
      <w:r>
        <w:t>Questions sur la circoncision et d'autres coutumes juives</w:t>
      </w:r>
    </w:p>
    <w:p>
      <w:r/>
      <w:r>
        <w:t>À mesure que de plus en plus de non-Juifs devenaient chrétiens, l'Église primitive a été confrontée à une question difficile : les non-Juifs devaient-ils d'abord devenir juifs avant de pouvoir devenir chrétiens ?</w:t>
      </w:r>
    </w:p>
    <w:p>
      <w:r/>
      <w:r>
        <w:t>Divers groupes ont donné des réponses différentes à cette question :</w:t>
      </w:r>
    </w:p>
    <w:p>
      <w:pPr>
        <w:pStyle w:val="ListBullet"/>
        <w:spacing w:line="240" w:lineRule="auto"/>
        <w:ind w:left="720"/>
      </w:pPr>
      <w:r/>
      <w:r>
        <w:t>Le « parti de la circoncision » (un groupe de chrétiens juifs) disait oui. Ils croyaient que les non-Juifs devaient d'abord se convertir au judaïsme et suivre toutes les lois juives pour devenir chrétiens (</w:t>
      </w:r>
      <w:hyperlink r:id="rId7774">
        <w:r>
          <w:rPr>
            <w:color w:val="0000EE"/>
            <w:u w:val="single"/>
          </w:rPr>
          <w:t>Ac 11.2</w:t>
        </w:r>
      </w:hyperlink>
      <w:r>
        <w:t xml:space="preserve"> ; </w:t>
      </w:r>
      <w:hyperlink r:id="rId6999">
        <w:r>
          <w:rPr>
            <w:color w:val="0000EE"/>
            <w:u w:val="single"/>
          </w:rPr>
          <w:t>Ga 2.12</w:t>
        </w:r>
      </w:hyperlink>
      <w:r>
        <w:t>).</w:t>
      </w:r>
    </w:p>
    <w:p>
      <w:pPr>
        <w:pStyle w:val="ListBullet"/>
        <w:spacing w:line="240" w:lineRule="auto"/>
        <w:ind w:left="720"/>
      </w:pPr>
      <w:r/>
      <w:r>
        <w:t>D'autres dirigeants, comme Pierre, Barnabas, et surtout Paul, étaient fortement en désaccord. Ils croyaient que les non-Juifs pouvaient devenir chrétiens sans d'abord devenir juifs.</w:t>
      </w:r>
    </w:p>
    <w:p>
      <w:r/>
      <w:r>
        <w:t>Ce désaccord aurait pu diviser l'Église primitive en deux groupes distincts, mais cela n'a pas eu lieu. Luc, l'auteur d'Actes, raconte comment la question a été résolue. Paul et Barnabas ont entrepris un voyage réussi pour parler de Jésus aux non-Juifs (</w:t>
      </w:r>
      <w:hyperlink r:id="rId159">
        <w:r>
          <w:rPr>
            <w:color w:val="0000EE"/>
            <w:u w:val="single"/>
          </w:rPr>
          <w:t>Ac 13.1–14.28</w:t>
        </w:r>
      </w:hyperlink>
      <w:r>
        <w:t>). À leur retour à l'Église d'Antioche, ils ont rapporté comment Dieu avait permis aux non-Juifs de croire en Jésus (</w:t>
      </w:r>
      <w:hyperlink r:id="rId7775">
        <w:r>
          <w:rPr>
            <w:color w:val="0000EE"/>
            <w:u w:val="single"/>
          </w:rPr>
          <w:t>Ac 14.27</w:t>
        </w:r>
      </w:hyperlink>
      <w:r>
        <w:t>).</w:t>
      </w:r>
    </w:p>
    <w:p>
      <w:r/>
      <w:r>
        <w:t>Mais certains judaïsants du parti de la circoncision sont venus de Judée à Antioche. Ils enseignaient que tous les hommes devaient être circoncis pour être sauvés (</w:t>
      </w:r>
      <w:hyperlink r:id="rId7776">
        <w:r>
          <w:rPr>
            <w:color w:val="0000EE"/>
            <w:u w:val="single"/>
          </w:rPr>
          <w:t>15.1</w:t>
        </w:r>
      </w:hyperlink>
      <w:r>
        <w:t xml:space="preserve">). De nombreux chrétiens d'origine juive, comme Paul, avaient autrefois été pharisiens. Les pharisiens étaient un groupe religieux juif qui mettait l'accent sur le respect scrupuleux de la loi de Moïse et des traditions orales. Certains de ces anciens pharisiens insistaient pour que les nouveaux convertis non-juifs soient circoncis et respectent la loi de Moïse (v. </w:t>
      </w:r>
      <w:hyperlink r:id="rId3508">
        <w:r>
          <w:rPr>
            <w:color w:val="0000EE"/>
            <w:u w:val="single"/>
          </w:rPr>
          <w:t>5</w:t>
        </w:r>
      </w:hyperlink>
      <w:r>
        <w:t>). En d'autres termes, ils voulaient que les non-juifs se convertissent au judaïsme avant de pouvoir devenir chrétiens.</w:t>
      </w:r>
    </w:p>
    <w:p>
      <w:pPr>
        <w:pStyle w:val="Heading3"/>
      </w:pPr>
      <w:r>
        <w:t>Le Concile de Jérusalem</w:t>
      </w:r>
    </w:p>
    <w:p>
      <w:r/>
      <w:r>
        <w:t>Pour résoudre ce problème, Paul et Barnabas se rendent à Jérusalem pour rencontrer les apôtres et les dirigeants de l'Église (</w:t>
      </w:r>
      <w:hyperlink r:id="rId7777">
        <w:r>
          <w:rPr>
            <w:color w:val="0000EE"/>
            <w:u w:val="single"/>
          </w:rPr>
          <w:t>Ac 15.4–12</w:t>
        </w:r>
      </w:hyperlink>
      <w:r>
        <w:t>). Jacques, qui était le frère de Jésus, dirigera cette réunion importante. Les deux parties présenteront leurs points de vue.</w:t>
      </w:r>
    </w:p>
    <w:p>
      <w:r/>
      <w:r>
        <w:t>Les dirigeants prendront une décision qui conviendrait à tout le monde. Ils écrievent alors une lettre aux chrétiens non-juifs avec trois règles principales qu'ils devraient suivre :</w:t>
      </w:r>
    </w:p>
    <w:p>
      <w:pPr>
        <w:pStyle w:val="ListNumber"/>
        <w:spacing w:line="240" w:lineRule="auto"/>
        <w:ind w:left="720"/>
      </w:pPr>
      <w:r/>
      <w:r>
        <w:t>Ne mangez pas de viande qui ait été offerte aux idoles (faux dieux).</w:t>
      </w:r>
    </w:p>
    <w:p>
      <w:pPr>
        <w:pStyle w:val="ListNumber"/>
        <w:spacing w:line="240" w:lineRule="auto"/>
        <w:ind w:left="720"/>
      </w:pPr>
      <w:r/>
      <w:r>
        <w:t>Ne mangez pas de viande contenant encore du sang.</w:t>
      </w:r>
    </w:p>
    <w:p>
      <w:pPr>
        <w:pStyle w:val="ListNumber"/>
        <w:spacing w:line="240" w:lineRule="auto"/>
        <w:ind w:left="720"/>
      </w:pPr>
      <w:r/>
      <w:r>
        <w:t xml:space="preserve">Ne vous livrez pas à l'immoralité sexuelle (v. </w:t>
      </w:r>
      <w:hyperlink r:id="rId7778">
        <w:r>
          <w:rPr>
            <w:color w:val="0000EE"/>
            <w:u w:val="single"/>
          </w:rPr>
          <w:t>23–29</w:t>
        </w:r>
      </w:hyperlink>
      <w:r>
        <w:t>).</w:t>
      </w:r>
    </w:p>
    <w:p>
      <w:r/>
      <w:r>
        <w:t>Pourquoi ont-ils choisi ces trois règles ? Selon la tradition juive, Dieu avait fait de ces règles une partie d'une alliance avec Noé longtemps auparavant. Puisque Noé était l'ancêtre de tous les humains, tant juifs que non-juifs, de telles lois s'appliquaient à tout le monde.</w:t>
      </w:r>
    </w:p>
    <w:p>
      <w:r/>
      <w:r>
        <w:t>Cependant, l'alliance spéciale que Dieu a conclu avec Moïse et le peuple d'Israël (l'alliance mosaïque) ne s'appliquait qu'aux Juifs. Le Concile de Jérusalem a décidé que seules trois règles s'appliquaient à tous les chrétiens. Les chrétiens n'ont pas besoin d'être circoncis, car cela faisait partie de l'alliance mosaïque.</w:t>
      </w:r>
    </w:p>
    <w:p>
      <w:pPr>
        <w:pStyle w:val="Heading3"/>
      </w:pPr>
      <w:r>
        <w:t>Le Conflit entre les judaïsants et les chrétiens non-juifs se poursuit</w:t>
      </w:r>
    </w:p>
    <w:p>
      <w:r/>
      <w:r>
        <w:t>Cependant, le conflit entre les judaïsants et les chrétiens non-juifs n'a pas pris fin avec le Concile de Jérusalem. Les lettres de Paul montrent que certains membres du parti de la circoncision ont continué à causer des problèmes :</w:t>
      </w:r>
    </w:p>
    <w:p>
      <w:pPr>
        <w:pStyle w:val="ListBullet"/>
        <w:spacing w:line="240" w:lineRule="auto"/>
        <w:ind w:left="720"/>
      </w:pPr>
      <w:r/>
      <w:r>
        <w:t>Paul résume brièvement les décisions du Concile de Jérusalem pour les chrétiens de Galatie (</w:t>
      </w:r>
      <w:hyperlink r:id="rId2613">
        <w:r>
          <w:rPr>
            <w:color w:val="0000EE"/>
            <w:u w:val="single"/>
          </w:rPr>
          <w:t>Gal 2.1–10</w:t>
        </w:r>
      </w:hyperlink>
      <w:r>
        <w:t>). Mais même après le Concile, les judaïsants étaient si influents que même Pierre et Barnabas ont cessé de manger avec les chrétiens non-juifs pendant un certain temps. Selon les lois de pureté juives, manger avec des personnes non-juives rendait quelqu'un religieusement impur.</w:t>
      </w:r>
    </w:p>
    <w:p>
      <w:pPr>
        <w:pStyle w:val="ListBullet"/>
        <w:spacing w:line="240" w:lineRule="auto"/>
        <w:ind w:left="720"/>
      </w:pPr>
      <w:r/>
      <w:r>
        <w:t>Paul a écrit sa lettre aux Galates parce que des membres du parti de la circoncision étaient venus dans les Églises de Galatie après son départ. Ils avaient convaincu certains chrétiens là-bas qu'ils devaient être circoncis et suivre scrupuleusement la loi de Moïse (</w:t>
      </w:r>
      <w:hyperlink r:id="rId7779">
        <w:r>
          <w:rPr>
            <w:color w:val="0000EE"/>
            <w:u w:val="single"/>
          </w:rPr>
          <w:t>Ga 5.12</w:t>
        </w:r>
      </w:hyperlink>
      <w:r>
        <w:t xml:space="preserve"> ; </w:t>
      </w:r>
      <w:hyperlink r:id="rId7780">
        <w:r>
          <w:rPr>
            <w:color w:val="0000EE"/>
            <w:u w:val="single"/>
          </w:rPr>
          <w:t>6.13</w:t>
        </w:r>
      </w:hyperlink>
      <w:r>
        <w:t>).</w:t>
      </w:r>
    </w:p>
    <w:p>
      <w:pPr>
        <w:pStyle w:val="ListBullet"/>
        <w:spacing w:line="240" w:lineRule="auto"/>
        <w:ind w:left="720"/>
      </w:pPr>
      <w:r/>
      <w:r>
        <w:t>Au moins certains des problèmes rencontrés par l'Église de Corinthe semblent avoir été causés par des judaïsants (</w:t>
      </w:r>
      <w:hyperlink r:id="rId7781">
        <w:r>
          <w:rPr>
            <w:color w:val="0000EE"/>
            <w:u w:val="single"/>
          </w:rPr>
          <w:t>2Co 11.12–15, 22</w:t>
        </w:r>
      </w:hyperlink>
      <w:r>
        <w:t>).</w:t>
      </w:r>
    </w:p>
    <w:p>
      <w:pPr>
        <w:pStyle w:val="ListBullet"/>
        <w:spacing w:line="240" w:lineRule="auto"/>
        <w:ind w:left="720"/>
      </w:pPr>
      <w:r/>
      <w:r>
        <w:t>Les judaïsants ont également influencé la communauté chrétienne de Philippes (</w:t>
      </w:r>
      <w:hyperlink r:id="rId7782">
        <w:r>
          <w:rPr>
            <w:color w:val="0000EE"/>
            <w:u w:val="single"/>
          </w:rPr>
          <w:t>Ph 3.2–3</w:t>
        </w:r>
      </w:hyperlink>
      <w:r>
        <w:t>).</w:t>
      </w:r>
    </w:p>
    <w:p>
      <w:pPr>
        <w:pStyle w:val="ListBullet"/>
        <w:spacing w:line="240" w:lineRule="auto"/>
        <w:ind w:left="720"/>
      </w:pPr>
      <w:r/>
      <w:r>
        <w:t xml:space="preserve">Les judaïsants semblent également avoir avancé dans l'Église de Colosses. Dans </w:t>
      </w:r>
      <w:hyperlink r:id="rId5647">
        <w:r>
          <w:rPr>
            <w:color w:val="0000EE"/>
            <w:u w:val="single"/>
          </w:rPr>
          <w:t>Colossiens 2.16–17</w:t>
        </w:r>
      </w:hyperlink>
      <w:r>
        <w:t>, Paul écrit : « Que personne donc ne vous juge au sujet du manger ou du boire, ou au sujet d’une fête, d’une nouvelle lune, ou des sabbats : c’était l’ombre des choses à venir, mais le corps est en Christ. »</w:t>
      </w:r>
    </w:p>
    <w:p>
      <w:pPr>
        <w:pStyle w:val="Heading3"/>
      </w:pPr>
      <w:r>
        <w:t>Paul s'oppose aux judaïsants</w:t>
      </w:r>
    </w:p>
    <w:p>
      <w:r/>
      <w:r>
        <w:t>Parmi tous les premiers apôtres et anciens, Paul a le plus souvent parlé contre l'idée que les non-Juifs doivent devenir juifs pour être chrétiens. Sa propre conversion fulgurante au christianisme est décrite trois fois dans les Actes (</w:t>
      </w:r>
      <w:hyperlink r:id="rId7783">
        <w:r>
          <w:rPr>
            <w:color w:val="0000EE"/>
            <w:u w:val="single"/>
          </w:rPr>
          <w:t>9.1–9</w:t>
        </w:r>
      </w:hyperlink>
      <w:r>
        <w:t xml:space="preserve"> ; </w:t>
      </w:r>
      <w:hyperlink r:id="rId1068">
        <w:r>
          <w:rPr>
            <w:color w:val="0000EE"/>
            <w:u w:val="single"/>
          </w:rPr>
          <w:t>22.6</w:t>
        </w:r>
      </w:hyperlink>
      <w:hyperlink r:id="rId7783">
        <w:r>
          <w:rPr>
            <w:color w:val="0000EE"/>
            <w:u w:val="single"/>
          </w:rPr>
          <w:t>–</w:t>
        </w:r>
      </w:hyperlink>
      <w:hyperlink r:id="rId1068">
        <w:r>
          <w:rPr>
            <w:color w:val="0000EE"/>
            <w:u w:val="single"/>
          </w:rPr>
          <w:t>16</w:t>
        </w:r>
      </w:hyperlink>
      <w:r>
        <w:t xml:space="preserve"> ; </w:t>
      </w:r>
      <w:hyperlink r:id="rId7784">
        <w:r>
          <w:rPr>
            <w:color w:val="0000EE"/>
            <w:u w:val="single"/>
          </w:rPr>
          <w:t>26.12</w:t>
        </w:r>
      </w:hyperlink>
      <w:hyperlink r:id="rId7783">
        <w:r>
          <w:rPr>
            <w:color w:val="0000EE"/>
            <w:u w:val="single"/>
          </w:rPr>
          <w:t>–</w:t>
        </w:r>
      </w:hyperlink>
      <w:hyperlink r:id="rId7784">
        <w:r>
          <w:rPr>
            <w:color w:val="0000EE"/>
            <w:u w:val="single"/>
          </w:rPr>
          <w:t>23</w:t>
        </w:r>
      </w:hyperlink>
      <w:r>
        <w:t>). Paul l'a mentionnée occasionnellement dans ses lettres (</w:t>
      </w:r>
      <w:hyperlink r:id="rId1062">
        <w:r>
          <w:rPr>
            <w:color w:val="0000EE"/>
            <w:u w:val="single"/>
          </w:rPr>
          <w:t>1Co 9.1</w:t>
        </w:r>
      </w:hyperlink>
      <w:r>
        <w:t xml:space="preserve"> ; </w:t>
      </w:r>
      <w:hyperlink r:id="rId4938">
        <w:r>
          <w:rPr>
            <w:color w:val="0000EE"/>
            <w:u w:val="single"/>
          </w:rPr>
          <w:t>15.8</w:t>
        </w:r>
      </w:hyperlink>
      <w:r>
        <w:t xml:space="preserve">; </w:t>
      </w:r>
      <w:hyperlink r:id="rId7785">
        <w:r>
          <w:rPr>
            <w:color w:val="0000EE"/>
            <w:u w:val="single"/>
          </w:rPr>
          <w:t>Gal 1.11</w:t>
        </w:r>
      </w:hyperlink>
      <w:hyperlink r:id="rId7783">
        <w:r>
          <w:rPr>
            <w:color w:val="0000EE"/>
            <w:u w:val="single"/>
          </w:rPr>
          <w:t>–</w:t>
        </w:r>
      </w:hyperlink>
      <w:hyperlink r:id="rId7785">
        <w:r>
          <w:rPr>
            <w:color w:val="0000EE"/>
            <w:u w:val="single"/>
          </w:rPr>
          <w:t>17</w:t>
        </w:r>
      </w:hyperlink>
      <w:r>
        <w:t>). Cette expérience a convaincu Paul que les gens ne peuvent être sauvés que par la foi en Jésus. Si Jésus est le seul chemin vers le salut, alors aucun autre chemin (y compris suivre la loi) ne pourrait sauver les gens. Paul a compris qu'être un juif pratiquant ne l'avait pas rendu juste devant Dieu (</w:t>
      </w:r>
      <w:hyperlink r:id="rId7786">
        <w:r>
          <w:rPr>
            <w:color w:val="0000EE"/>
            <w:u w:val="single"/>
          </w:rPr>
          <w:t>Ph 3.2</w:t>
        </w:r>
      </w:hyperlink>
      <w:hyperlink r:id="rId7783">
        <w:r>
          <w:rPr>
            <w:color w:val="0000EE"/>
            <w:u w:val="single"/>
          </w:rPr>
          <w:t>–</w:t>
        </w:r>
      </w:hyperlink>
      <w:hyperlink r:id="rId7786">
        <w:r>
          <w:rPr>
            <w:color w:val="0000EE"/>
            <w:u w:val="single"/>
          </w:rPr>
          <w:t>11</w:t>
        </w:r>
      </w:hyperlink>
      <w:r>
        <w:t>). Seule sa foi en Jésus avait pu accomplir cela.</w:t>
      </w:r>
    </w:p>
    <w:p>
      <w:r/>
      <w:r>
        <w:t>Parce que le parti de la circoncision continuait à enseigner son message, Paul devait continuer à expliquer que la c'est la foi seule qui rend une personne juste devant Dieu. Il s'agit là du message principal de ses lettres aux Romains et aux Galates.</w:t>
      </w:r>
    </w:p>
    <w:p>
      <w:pPr>
        <w:pStyle w:val="Heading3"/>
      </w:pPr>
      <w:r>
        <w:t>Le Déclin du christianisme d'origine juive</w:t>
      </w:r>
    </w:p>
    <w:p>
      <w:r/>
      <w:r>
        <w:t>Au fil du temps, le christianisme d'origine juive et le mouvement des judaïsants ont lentement disparu. L'idée selon laquelle les chrétiens non-juifs doivent d'abord devenir juifs pour être chrétiens est également devenue moins influente au fil du temps.</w:t>
      </w:r>
    </w:p>
    <w:p>
      <w:r/>
      <w:r>
        <w:t>Jérusalem avait été le centre du christianisme juif. Mais en 66–70 apr. J.‑C., le peuple juif s'est révolté contre la domination romaine. Juste avant que les Romains ne détruisent Jérusalem et son temple, de nombreux chrétiens juifs ont quitté la ville. Ils se sont rendus dans un endroit appelé Pella parce qu'ils croyaient que Dieu les avait avertis de partir. Plus tard, en 132–135 apr. J.‑C., une autre révolte a eu lieu. Un chef juif nommé Bar-Kochba a mené ce soulèvement. Au cours de cette période, les chrétiens juifs ont fait face à des persécutions de la part de leur propre peuple qui avait rejoint la révolte.</w:t>
      </w:r>
    </w:p>
    <w:p>
      <w:r/>
      <w:r>
        <w:t>Après ces événements, le christianisme d'origine juive est devenu moins populaire et a fini par disparaître. Lorsque cela s'est produit, l'enseignement des judaïsants, selon lequel les non-Juifs devaient devenir juifs pour être chrétiens, a également pris fin.</w:t>
      </w:r>
    </w:p>
    <w:p>
      <w:r/>
      <w:r>
        <w:rPr>
          <w:i/>
        </w:rPr>
        <w:t>Voir aussi</w:t>
      </w:r>
      <w:r>
        <w:t xml:space="preserve"> </w:t>
      </w:r>
      <w:r>
        <w:t>Actes des Apôtres, Livre des</w:t>
      </w:r>
      <w:r>
        <w:t xml:space="preserve"> ; </w:t>
      </w:r>
      <w:r>
        <w:t>Première révolte juive</w:t>
      </w:r>
      <w:r>
        <w:t xml:space="preserve"> ; </w:t>
      </w:r>
      <w:r>
        <w:t>Galates, Lettre aux</w:t>
      </w:r>
      <w:r>
        <w:t xml:space="preserve"> ; </w:t>
      </w:r>
      <w:r>
        <w:t>Concile de Jérusalem</w:t>
      </w:r>
      <w:r>
        <w:t xml:space="preserve"> ; </w:t>
      </w:r>
      <w:r>
        <w:t>Juif</w:t>
      </w:r>
      <w:r>
        <w:t xml:space="preserve"> ; </w:t>
      </w:r>
      <w:r>
        <w:t>Paul, L'Apôtre</w:t>
      </w:r>
      <w:r>
        <w:t>.</w:t>
      </w:r>
      <w:r/>
      <w:r/>
    </w:p>
    <w:p>
      <w:r/>
    </w:p>
    <w:p>
      <w:pPr>
        <w:pStyle w:val="Heading2"/>
      </w:pPr>
      <w:r>
        <w:t>Judaïsme</w:t>
      </w:r>
      <w:r/>
    </w:p>
    <w:p>
      <w:r/>
      <w:r>
        <w:t>Religion et culture du peuple juif depuis le début de la période post-exilique (538 av. J.-C.) jusqu'à l'époque moderne. Le mot « judaïsme » vient de « Juda », le nom du royaume du Sud d'Israël dans l'Antiquité. Le mot « Juif » est une abréviation du mot « Judéens » (habitants de Juda).</w:t>
      </w:r>
    </w:p>
    <w:p>
      <w:pPr>
        <w:pStyle w:val="Heading3"/>
      </w:pPr>
      <w:r>
        <w:t>La période du second Temple (515 av. J.-C. à 70 apr. J.-C.)</w:t>
      </w:r>
    </w:p>
    <w:p>
      <w:pPr>
        <w:pStyle w:val="Heading4"/>
      </w:pPr>
      <w:r>
        <w:t>Résumé historique</w:t>
      </w:r>
    </w:p>
    <w:p>
      <w:r/>
      <w:r>
        <w:t>La monarchie unifiée d'Israël comprend les règnes de Saül, David et Salomon. Elle prend fin peu après la mort de Salomon. Son fils Roboam tente d'imposer des taxes trop élevées et provoque la révolte des dix tribus du nord vers 930 av. J.-C. (</w:t>
      </w:r>
      <w:hyperlink r:id="rId7787">
        <w:r>
          <w:rPr>
            <w:color w:val="0000EE"/>
            <w:u w:val="single"/>
          </w:rPr>
          <w:t>1R 12</w:t>
        </w:r>
      </w:hyperlink>
      <w:r>
        <w:t xml:space="preserve">). Israël se divise alors définitivement en deux royaumes : la Samarie (le royaume du Nord) et Juda (le royaume du Sud). Le royaume du Nord est vaincu par les Assyriens en 722 av. J.-C. Des milliers de captifs, principalement les membres de la classe supérieure, sont emmenés en exil en Assyrie. Ces gens se mélangent probablement à la population locale par le mariage et disparaissent de l'Histoire. </w:t>
      </w:r>
    </w:p>
    <w:p>
      <w:r/>
      <w:r>
        <w:t>Le royaume de Juda survit en tant qu'État indépendant jusqu'en 597 av. J.-C. Il passe alors sous le contrôle des Babyloniens, durant le règne de Nebucadnetsar. Le temple de Jérusalem est détruit en 586 av. J.-C. De nombreux captifs sont emmenés en territoire babylonien. Ceci marque le début d'une période d'exil qui durera deux générations. Les Babyloniens sont vaincus par Cyrus le Perse en 539 av. J.-C. L'année suivante, ce roi publie un décret qui permet à tous les peuples captifs de retourner dans leurs pays d'origine (</w:t>
      </w:r>
      <w:hyperlink r:id="rId7234">
        <w:r>
          <w:rPr>
            <w:color w:val="0000EE"/>
            <w:u w:val="single"/>
          </w:rPr>
          <w:t xml:space="preserve">2Ch 36.22–23 </w:t>
        </w:r>
      </w:hyperlink>
      <w:r>
        <w:t xml:space="preserve">; </w:t>
      </w:r>
      <w:hyperlink r:id="rId6910">
        <w:r>
          <w:rPr>
            <w:color w:val="0000EE"/>
            <w:u w:val="single"/>
          </w:rPr>
          <w:t>Esd 1</w:t>
        </w:r>
      </w:hyperlink>
      <w:r>
        <w:t xml:space="preserve">). Au moins quatre vagues d'expatriés juifs repartent de Mésopotamie vers la Judée au cours du siècle qui suit ce décret. Leurs dirigeants incluent </w:t>
      </w:r>
      <w:r>
        <w:t>Scheschbatsar</w:t>
      </w:r>
      <w:r>
        <w:t>, Zorobabel, Esdras et Néhémie. Cependant, de nombreux Juifs décident de rester dans leur patrie d'adoption en Mésopotamie. Les exhortations prophétiques d'Aggée et de Zacharie aboutissent à la dédicace du second Temple au printemps 515 av. J.-C. Cette date marque la fin de la période d'exil de 70 ans (</w:t>
      </w:r>
      <w:hyperlink r:id="rId7231">
        <w:r>
          <w:rPr>
            <w:color w:val="0000EE"/>
            <w:u w:val="single"/>
          </w:rPr>
          <w:t>Jr 29.10</w:t>
        </w:r>
      </w:hyperlink>
      <w:r>
        <w:t>).</w:t>
      </w:r>
    </w:p>
    <w:p>
      <w:r/>
      <w:r>
        <w:t>En Judée, le peuple juif est dirigé par des gouverneurs qui occupent leur poste à la faveur du roi de Perse. Zorobabel est l'un des premiers gouverneurs (</w:t>
      </w:r>
      <w:hyperlink r:id="rId404">
        <w:r>
          <w:rPr>
            <w:color w:val="0000EE"/>
            <w:u w:val="single"/>
          </w:rPr>
          <w:t xml:space="preserve">Ag 1.1 </w:t>
        </w:r>
      </w:hyperlink>
      <w:r>
        <w:t xml:space="preserve">; </w:t>
      </w:r>
      <w:hyperlink r:id="rId7788">
        <w:r>
          <w:rPr>
            <w:color w:val="0000EE"/>
            <w:u w:val="single"/>
          </w:rPr>
          <w:t>2.1–2</w:t>
        </w:r>
      </w:hyperlink>
      <w:r>
        <w:t>). C'est un descendant de David (</w:t>
      </w:r>
      <w:hyperlink r:id="rId7789">
        <w:r>
          <w:rPr>
            <w:color w:val="0000EE"/>
            <w:u w:val="single"/>
          </w:rPr>
          <w:t>1Ch 3.10–19</w:t>
        </w:r>
      </w:hyperlink>
      <w:r>
        <w:t>). Il partage le pouvoir avec le souverain sacrificateur (ou grand-prêtre) Josué, fils de Jotsadak. La Palestine fait partie de l'une des 20 satrapies de l'Empire perse. On connaît somme toute peu sur l'histoire de la Palestine pendant la majeure partie de la période perse. L'Empire perse dure de 539 à 331 av. J.-C., quand il tombe aux mains des Grecs, dirigés par Alexandre le Grand. À la mort d'Alexandre en 323 av. J.-C., son empire est divisé entre ses généraux. L'Égypte et la Palestine passent sous le contrôle de Ptolémée I</w:t>
      </w:r>
      <w:r>
        <w:rPr>
          <w:vertAlign w:val="superscript"/>
        </w:rPr>
        <w:t>er</w:t>
      </w:r>
      <w:r>
        <w:t xml:space="preserve">. Les Ptolémées sont des despotes ou dictateurs « bienveillants » qui accordent aux Juifs de Palestine un certain degré de liberté et d'indépendance. Après la bataille de Panion en 198 av. J.-C., la Palestine passe sous le contrôle de l'Empire séleucide, fondé par Séleucos </w:t>
      </w:r>
      <w:r>
        <w:t>I</w:t>
      </w:r>
      <w:r>
        <w:rPr>
          <w:vertAlign w:val="superscript"/>
        </w:rPr>
        <w:t>er</w:t>
      </w:r>
      <w:r>
        <w:t>, un autre ancien général d'Alexandre le Grand.</w:t>
      </w:r>
    </w:p>
    <w:p>
      <w:r/>
      <w:r>
        <w:t xml:space="preserve">L'Empire séleucide englobe une très vaste région avec une population cosmopolite (variée). Cet empire s'étend de l'Asie Mineure et de la Palestine à l'ouest jusqu'aux frontières de l'Inde à l'est. Antiochos IV (Épiphane) monte sur le trône séleucide en 175 av. J.-C. Il tente d'unifier son vaste empire en l'hellénisant. Cela veut dire qu'il impose la langue et la culture grecques à tous les peuples dans son territoire. Les cultures et religions locales sont réprimées pour imposer cette politique. L'État juif de Palestine est peut-être celui que cette répression affecte le plus durement. </w:t>
      </w:r>
    </w:p>
    <w:p>
      <w:r/>
      <w:r>
        <w:t>En 167 av. J.-C., Antiochos IV dédie le temple de Jérusalem à Zeus olympien. Il offre une truie en sacrifice sur l'autel. C'est une abomination, car c'est un animal impur selon la loi de Moïse. Antiochos détruit aussi des rouleaux contenant les Écritures juives et interdit la circoncision. Cette répression déclenche une révolte menée par Mattathias, un sacrificateur âgé, et ses fils. Les Séleucides sont repoussés, et en 164 av. J.-C., le Temple est repris par Judas Maccabée, fils de Mattathias. « Maccabée » est un surnom qui veut dire « le marteau ». Cette victoire juive est célébrée chaque année par la fête de la dédicace (Hanoucca). Judas, ses frères et leurs descendants sont appelés Maccabées et Hasmonéens (Mattathias est de la maison de Hasmon). Ils règnent sur la Judée de 164 à 63 av. J.-C. La Palestine est ensuite conquise par Pompée, le général romain. Elle sera désormais vassale de Rome.</w:t>
      </w:r>
    </w:p>
    <w:p>
      <w:r/>
      <w:r>
        <w:t xml:space="preserve">Hyrcan, un Hasmonéen, devient souverain sacrificateur après la conquête de la Judée par les Romains, mais Antipater (un Iduméen) est celui qui exerce véritablement ce pouvoir en se servant de lui. Les fils d'Antipater, Phasaël et Hérode, sont gouverneurs, l'un de Jérusalem et l'autre de Galilée. Après l'assassinat d'Antipater en 43 av. J.-C., Hérode est nommé roi de Judée par le sénat romain, car il reçoit du soutien de Rome. Il sera appelé Hérode le Grand plus tard. Il règne de 37 à 4 av. J.-C. À sa mort, la Palestine est divisée par l'empereur Auguste (27 av. J.-C. à 14 apr. J.-C.). L'empereur nomme trois des fils d'Hérode gouverneurs : Hérode Archélaüs (ethnarque de Judée, d'Idumée et de Samarie de 4 av. J.-C. à 6 apr. J.-C.), Hérode Antipas (tétrarque de Galilée et de Pérée de 4 av. J.-C. à 39 apr. J.-C.) et Hérode Philippe (tétrarque de Batanée, Trachonite et d'autres petits États de 4 av. J.-C. à 34 apr. J.-C.). Après la mort ou la destitution des fils d'Hérode, ces territoires sont principalement confiés à des procurateurs romains. Pendant une brève période (41–44 apr. J.-C.), Hérode Agrippa I, petit-fils d'Hérode le Grand, règne sur quasiment le même territoire que son grand-père. À sa mort (racontée dans </w:t>
      </w:r>
      <w:hyperlink r:id="rId154">
        <w:r>
          <w:rPr>
            <w:color w:val="0000EE"/>
            <w:u w:val="single"/>
          </w:rPr>
          <w:t>Ac 12.20–23</w:t>
        </w:r>
      </w:hyperlink>
      <w:r>
        <w:t>), ses territoires sont aussi confiés à des procurateurs romains. La cupidité et l'incompétence de ces procurateurs finissent par mener à la rébellion de la population juive. La révolte désastreuse des Juifs de 66 à 73 apr. J.-C. entraîne la destruction du second Temple. Il est détruit par la dixième légion romaine sous le commandement du général Titus en 70 apr. J.-C. La révolte est complètement réprimée en 73 apr. J.-C. Plus de 900 Juifs assiégés dans la forteresse du désert de Massada près de la mer Morte se suicident plutôt que de tomber aux mains des Romains. Ces tragédies marquent la fin du sacerdoce et du rôle central du Temple dans la religion juive.</w:t>
      </w:r>
    </w:p>
    <w:p>
      <w:pPr>
        <w:pStyle w:val="Heading4"/>
      </w:pPr>
      <w:r>
        <w:t>Développements sociaux et religieux</w:t>
      </w:r>
    </w:p>
    <w:p>
      <w:r/>
      <w:r>
        <w:t>La conquête de la Judée par Babylone et la destruction du temple de Salomon en 586 av. J.-C. produisent des changements sociaux et religieux extrêmes dans la vie du peuple juif. La fin du culte du Temple porte un grand coup au cœur même de la religion israélite. En effet, le temple de Jérusalem était le seul lieu divinement désigné et approuvé pour accomplir une grande partie des exigences rituelles de la loi de Moïse, notamment les sacrifices. Les Juifs pieux restés en Judée après 586 av. J.-C. ne peuvent plus célébrer les trois fêtes de pèlerinage annuelles. Ces trois fêtes sont : Souccot (fête des Cabanes ou des Tabernacles), Pessa'h (fête de la Pâque) et Chavouot (fête des Semaines ou Pentecôte). Lorsque de nombreux exilés choisissent de retourner en Judée en 538 av. J.-C., beaucoup d'autres décident de rester dans leur nouvelle patrie. Pour eux, le culte au Temple, même quand il est rétabli en 516 av. J.-C., ne peut plus jouer de véritable rôle dans leur vie religieuse.</w:t>
      </w:r>
    </w:p>
    <w:p>
      <w:r/>
      <w:r>
        <w:t xml:space="preserve">Durant la période de l'exil et au début de la période post-exilique, la synagogue, une institution religieuse juive assez unique, commence à grandir. « Synagogue » est un mot grec qui signifie « lieu de rassemblement ». La synagogue devient populaire et utile aux communautés juives qui sont ailleurs qu'en Palestine. C'est pourquoi au cours des siècles qui suivent la dédicace du second Temple, elles apparaissent et se multiplient en Palestine également. Il y en a de nombreuses à Jérusalem même. Alors que la période du second Temple touche à sa fin, la synagogue a trois fonctions importantes dans la vie des juifs : maison de prière, maison d'étude et lieu d'assemblée. Le culte synagogal au premier siècle apr. J.-C. est illustré dans le Nouveau Testment dans </w:t>
      </w:r>
      <w:hyperlink r:id="rId7790">
        <w:r>
          <w:rPr>
            <w:color w:val="0000EE"/>
            <w:u w:val="single"/>
          </w:rPr>
          <w:t>Luc 4.16–30</w:t>
        </w:r>
      </w:hyperlink>
      <w:r>
        <w:t xml:space="preserve"> et </w:t>
      </w:r>
      <w:hyperlink r:id="rId7791">
        <w:r>
          <w:rPr>
            <w:color w:val="0000EE"/>
            <w:u w:val="single"/>
          </w:rPr>
          <w:t>Actes 13.13–42</w:t>
        </w:r>
      </w:hyperlink>
      <w:r>
        <w:t xml:space="preserve">. La partie principale du culte est la lecture de passages tirés de la Torah (loi de Moïse), puis de la Haftarah (Prophètes). Cette lecture est suivie d'une homélie (message court) basée sur les Écritures. Le culte synagogal au premier siècle apr. J.-C. inclut la récitation du Chema (« Écoute, Israël »), d'un assortiment de passages bibliques dont </w:t>
      </w:r>
      <w:hyperlink r:id="rId2452">
        <w:r>
          <w:rPr>
            <w:color w:val="0000EE"/>
            <w:u w:val="single"/>
          </w:rPr>
          <w:t xml:space="preserve">Deutéronome 6.4–9 </w:t>
        </w:r>
      </w:hyperlink>
      <w:r>
        <w:t xml:space="preserve">; </w:t>
      </w:r>
      <w:hyperlink r:id="rId7792">
        <w:r>
          <w:rPr>
            <w:color w:val="0000EE"/>
            <w:u w:val="single"/>
          </w:rPr>
          <w:t>11.13–21</w:t>
        </w:r>
      </w:hyperlink>
      <w:r>
        <w:t xml:space="preserve"> et </w:t>
      </w:r>
      <w:hyperlink r:id="rId7793">
        <w:r>
          <w:rPr>
            <w:color w:val="0000EE"/>
            <w:u w:val="single"/>
          </w:rPr>
          <w:t>Nombres 15.37–41</w:t>
        </w:r>
      </w:hyperlink>
      <w:r>
        <w:t xml:space="preserve">, et de la prière des dix-huit Bénédictions. Cette prière est aussi connue sous le nom d'Amida (« debout ») car on se levait pour la réciter. Les Juifs portent également des franges sur leurs vêtements en obéissance à </w:t>
      </w:r>
      <w:hyperlink r:id="rId7794">
        <w:r>
          <w:rPr>
            <w:color w:val="0000EE"/>
            <w:u w:val="single"/>
          </w:rPr>
          <w:t>Nombres 15.38–39</w:t>
        </w:r>
      </w:hyperlink>
      <w:r>
        <w:t xml:space="preserve"> (</w:t>
      </w:r>
      <w:hyperlink r:id="rId7795">
        <w:r>
          <w:rPr>
            <w:color w:val="0000EE"/>
            <w:u w:val="single"/>
          </w:rPr>
          <w:t>Mt 23.5</w:t>
        </w:r>
      </w:hyperlink>
      <w:r>
        <w:t xml:space="preserve">), et des phylactères sur leurs fronts et leurs bras gauches. Les phylactères sont de petites boîtes qui contiennent les passages bibliques qui sont récités dans le Chema. Elles ont pour but de se conformer littéralement au commandement de </w:t>
      </w:r>
      <w:hyperlink r:id="rId7796">
        <w:r>
          <w:rPr>
            <w:color w:val="0000EE"/>
            <w:u w:val="single"/>
          </w:rPr>
          <w:t>Deutéronome 6.8</w:t>
        </w:r>
      </w:hyperlink>
      <w:r>
        <w:t>. Les archéologues ont découvert des phylactères du premier siècle dans les ruines de Massada.</w:t>
      </w:r>
    </w:p>
    <w:p>
      <w:r/>
      <w:r>
        <w:t>En dehors de la Palestine, la Mésopotamie devient le deuxième centre le plus important du judaïsme. La communauté juive babylonienne est connue sous le nom de Golah (« captivité »). Son chef titulaire est appelé le Resh Galuta ou Exilarque (les deux termes signifient « chef de la captivité »). À la fin de la période de l'exil, les descendants des premiers captifs ont oublié l'hébreu et se servent désormais de l'araméen. L'araméen est la langue internationale au Proche-Orient ancient. C'est une langue apparentée à l'hébreu. Elle devient leur langue natale. Même en Palestine, l'araméen est désormais la langue principale qui est parlée. Pour cette raison, lorsque des passages de l'Ancien Testament sont lus en hébreu lors des cultes dans les synagogues, la majorité des gens ne comprend pas ce qui est lu. Pour palier à ce problème, un methurgeman (interprète) traduit oralement de courtes sections des Écritures. À partir du 2</w:t>
      </w:r>
      <w:r>
        <w:rPr>
          <w:vertAlign w:val="superscript"/>
        </w:rPr>
        <w:t>e</w:t>
      </w:r>
      <w:r>
        <w:t xml:space="preserve"> siècle</w:t>
      </w:r>
      <w:r>
        <w:t xml:space="preserve"> apr. J.-C., ces targoumim (« traductions ») sont mis à l'écrit. </w:t>
      </w:r>
    </w:p>
    <w:p>
      <w:r/>
      <w:r>
        <w:t>La population juive du monde gréco-romain du premier siècle apr. J.-C. est estimée à environ quatre à sept millions de personnes. Cela représente probablement entre trois et quatre fois la population de la Palestine de l'époque. Les Juifs qui vivent dans d'autres pays que la Palestine sont appelés collectivement « Diaspora » (« dispersion »). Suite à la domination grecque d'Alexandre le Grand et de ses successeurs dans le monde méditerranéen, le grec devient la langue commune dans toute cette région. Tout comme les Juifs mésopotamiens parlent l'araméen plutôt que l'hébreu, les Juifs du monde gréco-romain parlent désormais le grec. Vers le milieu du 3</w:t>
      </w:r>
      <w:r>
        <w:rPr>
          <w:vertAlign w:val="superscript"/>
        </w:rPr>
        <w:t>e</w:t>
      </w:r>
      <w:r>
        <w:t xml:space="preserve"> </w:t>
      </w:r>
      <w:r>
        <w:t>siècle av. J.-C., les Juifs hellénistiques commencent à traduire l'Ancien Testament de l'hébreu vers le grec. Cette traduction est connue sous de nom de Septante (ou la Bible des Septante). « Septante » signifie « soixante-dix ». Ce nom provient d'une légende selon laquelle la version de la Septante aurait été traduite par soixante-dix érudits juifs. Ils auraient produit exactement la même traduction en même temps sans se consulter. La Septante contient d'autres livres en plus de ceux de l'Ancien Testament. Ces livres ne sont pas reconnus comme canoniques par le judaïsme palestinien. Leur inclusion dans la Septante correspond au libéralisme des Juifs hellénistiques.</w:t>
      </w:r>
    </w:p>
    <w:p>
      <w:r/>
      <w:r>
        <w:t>C'est au cours du 2</w:t>
      </w:r>
      <w:r>
        <w:rPr>
          <w:vertAlign w:val="superscript"/>
        </w:rPr>
        <w:t xml:space="preserve">e </w:t>
      </w:r>
      <w:r>
        <w:t>siècle av. J.-C. que naissent la plupart des principaux partis du judaïsme palestinien. Les Hassidim (« pieux ») sont membres d'un groupe religieux qui s'allie aux Hasmonéens pendant la révolte contre les Séleucides (</w:t>
      </w:r>
      <w:hyperlink r:id="rId4954">
        <w:r>
          <w:rPr>
            <w:color w:val="0000EE"/>
            <w:u w:val="single"/>
          </w:rPr>
          <w:t>1 M 2.42</w:t>
        </w:r>
      </w:hyperlink>
      <w:r>
        <w:t xml:space="preserve"> ; </w:t>
      </w:r>
      <w:hyperlink r:id="rId7797">
        <w:r>
          <w:rPr>
            <w:color w:val="0000EE"/>
            <w:u w:val="single"/>
          </w:rPr>
          <w:t>7.13</w:t>
        </w:r>
      </w:hyperlink>
      <w:r>
        <w:t xml:space="preserve">). Cependant, ils s'opposent aux Hasmonéens par la suite, lorsque ces derniers veulent le sacerdoce pour eux-mêmes. Les pharisiens et les Esséniens sont peut-être issus des Hassidim. Il est possible que les sadducéens aient eu une connection à Tsadok, le souverain sacrificateur désigné par David. Les descendants de Tsadok sont considérés comme la seule lignée sacerdotale légitime. Ils dirigent les Lévites dans </w:t>
      </w:r>
      <w:hyperlink r:id="rId5512">
        <w:r>
          <w:rPr>
            <w:color w:val="0000EE"/>
            <w:u w:val="single"/>
          </w:rPr>
          <w:t>Ézéchiel 40–48</w:t>
        </w:r>
      </w:hyperlink>
      <w:r>
        <w:t>. Les sadducéens sont une classe aristocratique riche qui monopolise la position de souverain sacrificateur. Ils ne croient ni aux anges, ni aux esprits, ni à la résurrection, ni à la vie après la mort (</w:t>
      </w:r>
      <w:hyperlink r:id="rId7798">
        <w:r>
          <w:rPr>
            <w:color w:val="0000EE"/>
            <w:u w:val="single"/>
          </w:rPr>
          <w:t>Ac 23.8</w:t>
        </w:r>
      </w:hyperlink>
      <w:r>
        <w:t>). Ils n'acceptent pas non plus la loi orale des pharisiens. Ils disparaissent de l'Histoire avec la destruction du Temple en 70 apr. J.-C. en ne laissant aucun écrit.</w:t>
      </w:r>
    </w:p>
    <w:p>
      <w:r/>
      <w:r>
        <w:t>Les pharisiens (« séparés ») sont mentionnés pour la première fois dans les sources vers la fin du 2</w:t>
      </w:r>
      <w:r>
        <w:rPr>
          <w:vertAlign w:val="superscript"/>
        </w:rPr>
        <w:t xml:space="preserve">e </w:t>
      </w:r>
      <w:r>
        <w:t xml:space="preserve">siècle av. J.-C. Ils participent principalement aux affaires politiques. Ils représentent le peuple en opposition à Alexandre Jannée, le tyran hasmonéen (103–76 av. J.-C.). Pour se venger des pharisiens, Alexandre Jannée en fait exécuter des centaines. Au premier siècle apr. J.-C., les pharisiens semblent s'occuper exclusivement de questions religieuses. Ils sont reconnus pour leur observance exigeante de la loi de Moïse telle que traditionnellement interprétée. Pour rester rituellement purs, ils se séparent des autres Juifs qui ne sont pas aussi exigeants qu'eux afin de ne pas être souillés (rendus impurs) par eux. Les pharisiens font partie de groupes appelés </w:t>
      </w:r>
      <w:r>
        <w:rPr>
          <w:i/>
        </w:rPr>
        <w:t>haberim</w:t>
      </w:r>
      <w:r>
        <w:t xml:space="preserve"> (« associés »). Cela leur permet de se séparer de ceux qui sont plus tolérants qu'eux d'un point de vue religieux. Dans leur zèle pour rester fidèles à la loi de Moïse, les pharisiens développent une loi orale (qui est plus tard attribuée à tort à Moïse). Cette loi orale doit servir de « barrière » autour de la Torah. Cette loi orale est une interprétation et une expansion des 613 commandements de la loi de Moïse. Cette loi orale est mise à l'écrit à la fin du 2</w:t>
      </w:r>
      <w:r>
        <w:rPr>
          <w:vertAlign w:val="superscript"/>
        </w:rPr>
        <w:t xml:space="preserve">e </w:t>
      </w:r>
      <w:r>
        <w:t>siècle apr. J.-C. Il s'agit de la Mishna (« enseignement »). Paul et de nombreux autres chrétiens de la première génération sont des convertis du pharisaïsme (</w:t>
      </w:r>
      <w:hyperlink r:id="rId2725">
        <w:r>
          <w:rPr>
            <w:color w:val="0000EE"/>
            <w:u w:val="single"/>
          </w:rPr>
          <w:t>Ac 22.3</w:t>
        </w:r>
      </w:hyperlink>
      <w:r>
        <w:t xml:space="preserve"> ; </w:t>
      </w:r>
      <w:hyperlink r:id="rId7799">
        <w:r>
          <w:rPr>
            <w:color w:val="0000EE"/>
            <w:u w:val="single"/>
          </w:rPr>
          <w:t>23.6</w:t>
        </w:r>
      </w:hyperlink>
      <w:r>
        <w:t xml:space="preserve"> ; </w:t>
      </w:r>
      <w:hyperlink r:id="rId4949">
        <w:r>
          <w:rPr>
            <w:color w:val="0000EE"/>
            <w:u w:val="single"/>
          </w:rPr>
          <w:t>26.5</w:t>
        </w:r>
      </w:hyperlink>
      <w:r>
        <w:t xml:space="preserve"> ; </w:t>
      </w:r>
      <w:hyperlink r:id="rId1791">
        <w:r>
          <w:rPr>
            <w:color w:val="0000EE"/>
            <w:u w:val="single"/>
          </w:rPr>
          <w:t xml:space="preserve">Ph 3.5 </w:t>
        </w:r>
      </w:hyperlink>
      <w:r>
        <w:t xml:space="preserve">; </w:t>
      </w:r>
      <w:hyperlink r:id="rId3508">
        <w:r>
          <w:rPr>
            <w:color w:val="0000EE"/>
            <w:u w:val="single"/>
          </w:rPr>
          <w:t>Ac 15.5</w:t>
        </w:r>
      </w:hyperlink>
      <w:r>
        <w:t>). Le judaïsme pharisien survit à la destruction de Jérusalem en 70 apr. J.-C. Il devient le judaïsme rabbinique qui domine la vie religieuse juive depuis le 2</w:t>
      </w:r>
      <w:r>
        <w:rPr>
          <w:vertAlign w:val="superscript"/>
        </w:rPr>
        <w:t xml:space="preserve">e </w:t>
      </w:r>
      <w:r>
        <w:t>siècle apr. J.-C. jusqu'à nos jours.</w:t>
      </w:r>
    </w:p>
    <w:p>
      <w:r/>
      <w:r>
        <w:t>Les Esséniens sont un autre parti religieux du judaïsme. Ils apparaissent au 2</w:t>
      </w:r>
      <w:r>
        <w:rPr>
          <w:vertAlign w:val="superscript"/>
        </w:rPr>
        <w:t xml:space="preserve">e </w:t>
      </w:r>
      <w:r>
        <w:t>siècle av. J.-C. Tout comme les pharisiens, les Esséniens s'intéressent principalement au maintien de la pureté rituelle pour obéir à la loi de Moïse. Les Esséniens vivent et travaillent dans la société juive. Ils essaient d'influencer les autres par la simplicité et l'altruisme de leurs vies. Certains Esséniens vivent également dans leurs propres communautés, où ils retournent tous les soirs après le travail. Il existe de nombreuses factions religieuses au sein du judaïsme. L'un de ces groupes, qui n'a peut-être que des liens éloignés avec les Esséniens, établit une communauté sur la rive occidentale de la mer Morte. Ce groupe se considère comme le véritable Israël et se prépare dans le désert à la venue finale de Dieu en se gardant pur de toute souillure. De nombreux écrits des membres de cette secte ont été découverts dans des grottes près de la mer Morte où ils avaient été cachés juste avant la destruction de la colonie par les Romains. Ces écrits, les manuscrits de la mer Morte, sont une source précieuse d'informations détaillées sur cette secte religieuse et ses croyances. On l'appelle la communauté de Qumrân.</w:t>
      </w:r>
    </w:p>
    <w:p>
      <w:r/>
      <w:r>
        <w:t>Les Zélotes sont un autre parti des Juifs. Ils sont peut-être apparentés aux Sicaires (« hommes au poignard »). Ce groupe d'activistes politiques est actif de 6 à 66 apr. J.-C. Ils considèrent Dieu comme leur seul souverain. Ils tentent de renverser les Romains et ceux qui collaborent avec eux. Les Zélotes utilisent la violence pour faire cela, y compris les assassinats. Ils contribuent à faire grandir la révolte juive de 66 à 73 apr. J.-C. Ils meurent quand Jérusalem tombe en 70 apr. J.-C.</w:t>
      </w:r>
    </w:p>
    <w:p>
      <w:r/>
      <w:r>
        <w:t xml:space="preserve">Dans la Palestine du premier siècle apr. J.-C., la classe et le statut social sont déterminés selon les règles de pureté rituelle. La classe supérieure comprend les membres de l'élite religieuse. La classe supérieure comprend les sadducéens, les scribes, les pharisiens et les sacrificateurs de Jérusalem. Le sanhédrin est un conseil de délibération dont les membres viennent de ces groupes. </w:t>
      </w:r>
    </w:p>
    <w:p>
      <w:r/>
      <w:r>
        <w:t>Il n'y a pas vraiment de classe moyenne. La classe inférieure se compose principalement de l'</w:t>
      </w:r>
      <w:r>
        <w:rPr>
          <w:i/>
        </w:rPr>
        <w:t>Am Ha Arez</w:t>
      </w:r>
      <w:r>
        <w:t xml:space="preserve"> (« peuple du pays »). Ce sont des Juifs qui ne connaissent pas la loi par manque d'éducation. Ils n'observent pas attentivement les commandements qu'ils connaissent. L'attitude généralement hostile des pharisiens envers eux est exprimée dans </w:t>
      </w:r>
      <w:hyperlink r:id="rId7800">
        <w:r>
          <w:rPr>
            <w:color w:val="0000EE"/>
            <w:u w:val="single"/>
          </w:rPr>
          <w:t xml:space="preserve">Jean 7.49 </w:t>
        </w:r>
      </w:hyperlink>
      <w:r>
        <w:t xml:space="preserve">: « </w:t>
      </w:r>
      <w:r>
        <w:t xml:space="preserve">Mais cette foule qui ne connaît pas la loi, ce sont des maudits ! </w:t>
      </w:r>
      <w:r>
        <w:t xml:space="preserve">» </w:t>
      </w:r>
    </w:p>
    <w:p>
      <w:r/>
      <w:r>
        <w:t xml:space="preserve">Les « intouchables » forment une autre classe sociale dans la Palestine du premier siècle. Ce sont les Samaritains, les collecteurs d'impôts, les prostituées, les bergers, les lépreux, les Gentils, ou peut-être pire encore, les Juifs se comportant comme des Gentils (p. ex. le fils prodigue de </w:t>
      </w:r>
      <w:hyperlink r:id="rId7801">
        <w:r>
          <w:rPr>
            <w:color w:val="0000EE"/>
            <w:u w:val="single"/>
          </w:rPr>
          <w:t>Lc 15.11–32</w:t>
        </w:r>
      </w:hyperlink>
      <w:r>
        <w:t>). Les règles de pureté rituelle telles qu'elles sont généralement observées empêchent toute forme de contact social entre la classe supérieure et les « intouchables ». Cela rend les contacts avec les gens du peuple très indésirables pour les gens de la classe supérieure. Ce contexte aide à comprendre pourquoi le fait que Jésus mange avec des collecteurs d'impôts et des pécheurs scandalise les pharisiens (</w:t>
      </w:r>
      <w:hyperlink r:id="rId7802">
        <w:r>
          <w:rPr>
            <w:color w:val="0000EE"/>
            <w:u w:val="single"/>
          </w:rPr>
          <w:t>Mc 2.15–17</w:t>
        </w:r>
      </w:hyperlink>
      <w:r>
        <w:t>).</w:t>
      </w:r>
    </w:p>
    <w:p>
      <w:r/>
      <w:r>
        <w:t>Au cours des deux derniers siècles de la période du second Temple, cette façon de déterminer la classe sociale, par des critères religieux, devient source de conflit entre Jérusalem et les régions rurales de Palestine (notamment la Galilée). Les habitants de cette région sont considérés à Jérusalem comme ignorants de la Torah (</w:t>
      </w:r>
      <w:hyperlink r:id="rId7803">
        <w:r>
          <w:rPr>
            <w:color w:val="0000EE"/>
            <w:u w:val="single"/>
          </w:rPr>
          <w:t>Jn 1.46</w:t>
        </w:r>
      </w:hyperlink>
      <w:r>
        <w:t xml:space="preserve">). Jérusalem est principalement un centre religieux, dont l'industrie principale est liée au culte du Temple. La population de Jérusalem au premier siècle apr. J.-C. est estimée à environ 25 000 à 40 000 personnes. La plupart sont soit des artisans et des ouvriers dévoués à la construction et à la décoration du Temple (il est toujours inachevé quand il est détruit : voir </w:t>
      </w:r>
      <w:hyperlink r:id="rId7240">
        <w:r>
          <w:rPr>
            <w:color w:val="0000EE"/>
            <w:u w:val="single"/>
          </w:rPr>
          <w:t>Jn 2.20</w:t>
        </w:r>
      </w:hyperlink>
      <w:r>
        <w:t>), soit des sacrificateurs et des Lévites employés aux nombreuses activités rituelles du Temple. Les Juifs doivent se rendre à Jérusalem pour chacune des trois fêtes de pèlerinage annuelles. C'est difficile pour les agriculteurs palestiniens ruraux d'obéir à ces exigences.</w:t>
      </w:r>
    </w:p>
    <w:p>
      <w:r/>
      <w:r>
        <w:t xml:space="preserve">De plus, la dîme commandée dans la loi de Moïse n'est commandée que pour les produits agricoles, et non les salaires ou les biens échangés. Les agriculteurs ruraux portent donc tout le poids de cette forme d'imposition. Ils ont tout naturellement en colère contre les artisans urbains, les marchands et les sacrificateurs, car ils n'ont pas à payer de dîme. La tentation de ne pas payer la dîme sur les produits agricoles est très grande et c'est ce que font de nombreux agriculteurs. Les produits sur lesquels ils ne paient pas la dîme ne sont pas </w:t>
      </w:r>
      <w:r>
        <w:rPr>
          <w:i/>
        </w:rPr>
        <w:t>casher</w:t>
      </w:r>
      <w:r>
        <w:t>. Ce sont donc des produits qui doivent être évités par ceux qui, comme les pharisiens, sont religieusement exigeants. En plus de la première et de la deuxième dîme exigées des agriculteurs (la deuxième dîme doit être dépensée dans les environs de Jérusalem), on estime que les impôts romains représentent entre 10 et 15% de des revenus. Les taxes religieuses, en plus des taxes romaines, sont un fardeau financier écrasant de 25 à 30% du revenu. Il n'est pas difficile de comprendre pourquoi les Juifs finissent par se révolter contre leurs oppresseurs romains en 66 apr. J.-C. En fait, de plus petites rébellions se produisent plus ou moins régulièrement tout au long du premier siècle apr. J.-C. Beaucoup d'émeutes se produisent à l'occasion des trois festivals de pèlerinage annuels à Jérusalem, lorsque la population de la ville, habituellement de 25 000 à 40 000 habitants, monte jusqu'à 500 000 personnes ou plus. Ces fêtes rassemblent des conditions idéales pour les émeutes et les Romains sont particulièrement vigilants à cet égard. Jésus est exécuté lors de l'une de ces fêtes, la Pâque, après avoir été accusé d'être un révolutionnaire politique (</w:t>
      </w:r>
      <w:hyperlink r:id="rId7804">
        <w:r>
          <w:rPr>
            <w:color w:val="0000EE"/>
            <w:u w:val="single"/>
          </w:rPr>
          <w:t>Mc 15.26</w:t>
        </w:r>
      </w:hyperlink>
      <w:r>
        <w:t>).</w:t>
      </w:r>
    </w:p>
    <w:p>
      <w:r/>
      <w:r>
        <w:t>C'est dans le contexte de la période du second Temple que l'apocalyptisme Juif grandit avant de diminuer. Les écrits apocalyptiques (d'un mot grec signifiant « révélation ») correspondent à un type d'eschatologie (« récit des événements finaux »). Dans les écrits apocalyptiques, le rétablissement de toutes choses sur terre à leurs conditions idéales originelles ne se produit que par l'intervention de Dieu. Dieu intervient pour détruire le mal (en particulier les oppresseurs étrangers) et pour récompenser la justice des justes (Israël). Les visionnaires apocalyptiques produisent de nombreux écrits, qu'on appelle aujourd'hui des apocalypses. Dans ces écrits, ils essaient d'interpréter ce qui se passe à leur époque, et aussi de prédire quand Dieu viendra pour rendre justice. Puisque le point de vue général est que le temps des prophètes a pris fin, ces auteurs d'apocalypses n'écrivent pas sous leurs propres noms. Ils écrivent plutôt sous les noms d'anciennes personnalités bibliques, telles que Moïse, Abraham, Énoch et Esdras. Leur vision apocalyptique du futur inclut (1) l'attente de la venue d'un Messie, (2) l'arrivée d'une grande période de tribulation, parfois appelée les douleurs messianiques, (3) la résurrection des justes et (4) le jugement des méchants et la récompense des justes. Ces croyances ont probablement motivé la plupart, peut-être même la totalité, des révoltes juives contre les Romains.</w:t>
      </w:r>
    </w:p>
    <w:p>
      <w:r/>
      <w:r>
        <w:t>Certaines parties de l'Ancien Testament sont complétées durant la période du second Temple. Aggée, Zacharie et Malachie, les trois derniers livres prophétiques, sont écrits de la fin du 6</w:t>
      </w:r>
      <w:r>
        <w:rPr>
          <w:vertAlign w:val="superscript"/>
        </w:rPr>
        <w:t xml:space="preserve">e </w:t>
      </w:r>
      <w:r>
        <w:t>siècle au milieu du 5</w:t>
      </w:r>
      <w:r>
        <w:rPr>
          <w:vertAlign w:val="superscript"/>
        </w:rPr>
        <w:t xml:space="preserve">e </w:t>
      </w:r>
      <w:r>
        <w:t>siècle av. J.-C. Les rabbins ont ensuite dit que l'Esprit de Dieu avait été enlevé d'Israël à la fin de cette période d'activité prophétique. L'auteur des Chroniques termine son récit avec le décret de Cyrus (538 av. J.-C.), et Esdras-Néhémie et Esther semblent tous les trois avoir été écrits au 5</w:t>
      </w:r>
      <w:r>
        <w:rPr>
          <w:vertAlign w:val="superscript"/>
        </w:rPr>
        <w:t xml:space="preserve">e </w:t>
      </w:r>
      <w:r>
        <w:t>siècle av. J.-C.</w:t>
      </w:r>
    </w:p>
    <w:p>
      <w:r/>
      <w:r>
        <w:t xml:space="preserve">C'est donc pendant la période du second Temple que les écrits qui seront ensuite considérés comme inspirés et qui feront autorité dans le judaïsme sont complétés. Ces 24 livres sacrés sont alors reconnus en tant que tels. Avant la destruction de Jérusalem en 586 av. J.-C., l'observation de la loi de Moïse n'a pas été continue. Selon </w:t>
      </w:r>
      <w:hyperlink r:id="rId5321">
        <w:r>
          <w:rPr>
            <w:color w:val="0000EE"/>
            <w:u w:val="single"/>
          </w:rPr>
          <w:t>2 Rois 22</w:t>
        </w:r>
      </w:hyperlink>
      <w:r>
        <w:t>, elle a même été abandonnée pendant un certain temps et les prophètes classiques n'ont pas toujours été reconnus comme ils auraient dû l'être de leurs temps. Mais après 586 av. J.-C., la sainteté de la Torah devient incontestable dans la vie et la pensée du peuple juif. Elle est même plus importante que les cultes du Temple, même avant sa destruction en 70 apr. J.-C.</w:t>
      </w:r>
    </w:p>
    <w:p>
      <w:r/>
      <w:r>
        <w:t>L'Ancien Testament juif est divisé en trois sections que les Juifs désignent par le nom « TaNaK ». Le « T » dans « TaNak » correspond à la Torah (« Loi » ou « Révélation »). Le « N » dans « TaNak» correspond aux Nevi'im (« Prophètes »). Le « K » dans « TaNaK » correspond aux Ketouvim (« Écrits », c'est-à-dire les livres poétiques). La plupart des spécialistes sont d'accord pour dire que la loi et les prophètes sont déjà considérés canoniques avant le 2</w:t>
      </w:r>
      <w:r>
        <w:rPr>
          <w:vertAlign w:val="superscript"/>
        </w:rPr>
        <w:t xml:space="preserve">e </w:t>
      </w:r>
      <w:r>
        <w:t>siècle av. J.-C. Les Écrits sont définitivement déclarés canoniques lors du concile rabbinique de Jamnia (vers 90 apr. J.-C.). L'historicité de cet événement est contestée. Les rabbins auraient débattu sur la question du statut canonique de certains livres bibliques et s'ils devaient continuer à faire partie des Écritures. Mais le canon juif des Écritures est, dans la pratique, entièrement défini par l'usage traditionnel dès le premier siècle av. J.-C. La Loi se compose de cinq livres : Genèse, Exode, Lévitique, Nombres et Deutéronome. Les Prophètes se divisent en deux sections, les Premiers Prophètes (Josué, Juges, Samuel et Rois) et les Derniers Prophètes (Ésaïe, Jérémie, Ézéchiel et les 12 « petits prophètes »). Les Écrits comprennent Chroniques, Esdras-Néhémie, Esther, Job, Psaumes, Proverbes, Ecclésiaste, Cantique des Cantiques, Lamentations, Ruth et Daniel. Le nombre total de livres dans ce canon est de 24. Ce sont les mêmes livres que ceux du canon protestant de 39 livres. En effet, les Juifs comptent Samuel, Rois, Chroniques, Esdras-Néhémie et les 12 petits prophètes chacun comme un seul livre. Le canon protestant comptent les 12 petits prophètes comme 12 livres séparés, et les autres livres comme deux livres chacun. Le canon alexandrin du judaïsme hellénistique contient plus de livres. Ces livres supplémentaires (appelés Apocryphes par les protestants) se trouvent tous dans le canon de 46 livres de l'Ancien Testament catholique.</w:t>
      </w:r>
    </w:p>
    <w:p>
      <w:pPr>
        <w:pStyle w:val="Heading3"/>
      </w:pPr>
      <w:r>
        <w:t>La période talmudique (73–425 apr. J.-C.)</w:t>
      </w:r>
    </w:p>
    <w:p>
      <w:pPr>
        <w:pStyle w:val="Heading4"/>
      </w:pPr>
      <w:r>
        <w:t>Résumé historique</w:t>
      </w:r>
    </w:p>
    <w:p>
      <w:r/>
      <w:r>
        <w:t xml:space="preserve">Selon les légendes juives, alors que les Romains sont sur le point de conquérir Jérusalem lors de la révolte de 66–73 apr. J.-C., un éminent pharisien, le rabbin Yohanan ben Zakkaï, fait semblant d'être mort. Ses disciples reçoivent la permission de transporter son corps dans un cercueil hors de la ville assiégée. Il est bien plus probable qu'il ait obtenu la permission des Romains de déplacer son école de Jérusalem à Jamnia, sur la côte de la Palestine. </w:t>
      </w:r>
    </w:p>
    <w:p>
      <w:r/>
      <w:r>
        <w:t xml:space="preserve">Le culte du Temple et le système sacerdotal disparaissent après la destruction du Temple en 70 apr. J.-C. Des écoles rabbiniques comme celle du rabbin Yohanan se consacrent alors à l'énorme travail de reconstruire le judaïsme. L'ancien sanhédrin renaît à travers la Beth Din (« Cour de justice »). Gamaliel II, petit-fils de Hillel, qui a présidé l'ancien sanhédrin, devient le chef de la Beth Din. Il porte le titre de </w:t>
      </w:r>
      <w:r>
        <w:rPr>
          <w:i/>
        </w:rPr>
        <w:t>Nasi</w:t>
      </w:r>
      <w:r>
        <w:t xml:space="preserve"> (« prince »), ou Patriarche. Le patriarcat continue jusqu'en 425 apr. J.-C. L'empereur Théodose II l'abolit après la mort du dernier patriarche, Gamaliel VI. </w:t>
      </w:r>
    </w:p>
    <w:p>
      <w:r/>
      <w:r>
        <w:t>En Mésopotamie, le judaïsme babylonien connaît une période de renaissance qui dure jusqu'à la fin du 5</w:t>
      </w:r>
      <w:r>
        <w:rPr>
          <w:vertAlign w:val="superscript"/>
        </w:rPr>
        <w:t xml:space="preserve">e </w:t>
      </w:r>
      <w:r>
        <w:t>siècle apr. J.-C. Cette période est appelée l'Âge des Gaonim (« excellences ») en référence aux chefs des deux grandes écoles rabbiniques de Sura et de Poumbedita. Le grand Talmud babylonien est compilé dans ces deux écoles au 5</w:t>
      </w:r>
      <w:r>
        <w:rPr>
          <w:vertAlign w:val="superscript"/>
        </w:rPr>
        <w:t xml:space="preserve">e </w:t>
      </w:r>
      <w:r>
        <w:t>siècle apr. J.-C.</w:t>
      </w:r>
    </w:p>
    <w:p>
      <w:r/>
      <w:r>
        <w:t xml:space="preserve">En 115 apr. J.-C., des communautés juives se révoltent contre l'empereur Trajan dans tout le bassin méditerranéen oriental, notamment en Égypte, à Chypre et à Cyrène. Ces révoltes sont toutes maîtrisées par des légions romaines. En 132 apr. J.-C., les Juifs se révoltent à nouveau quand l'empereur Hadrien est sur le point de fonder la nouvelle ville d'Ælia Capitolina sur le site de l'ancienne Jérusalem. Ils sont menés par Shimon bar Koseva. Il est aussi appelé Shimon bar Kokhba (« fils de l'Étoile ») par ceux qui le suivent. Ce nom fait allusion au passage messianique de </w:t>
      </w:r>
      <w:hyperlink r:id="rId6894">
        <w:r>
          <w:rPr>
            <w:color w:val="0000EE"/>
            <w:u w:val="single"/>
          </w:rPr>
          <w:t>Nombres 24.17</w:t>
        </w:r>
      </w:hyperlink>
      <w:r>
        <w:t>. Bar-Kokhba se proclame messie. Il est soutenu par le célèbre érudit rabbinique Akiba. Malgré le succès de la révolte au début, elle est en fin de compte écrasée par les Romains sous le commandement de Julius Severus en 135. Peu de temps après, Hadrien proclame un décret qui interdit à tout Juif l'accès à la nouvelle Ælia Capitolina.</w:t>
      </w:r>
    </w:p>
    <w:p>
      <w:pPr>
        <w:pStyle w:val="Heading4"/>
      </w:pPr>
      <w:r>
        <w:t>Développements sociaux et religieux</w:t>
      </w:r>
    </w:p>
    <w:p>
      <w:r/>
      <w:r>
        <w:t>Durant cette période, l'accumulation de générations de savoir rabbinique aboutissent à la compilation des Talmuds babylonien et de Jérusalem. Les sages rabbiniques se considèrent comme les héritiers des anciens prophètes israélites, eux-mêmes héritiers de la loi de Moïse. Les sages rabbiniques différencient très clairement leur propres interprétations légales de la loi de Moïse (</w:t>
      </w:r>
      <w:r>
        <w:rPr>
          <w:i/>
        </w:rPr>
        <w:t>Halakha</w:t>
      </w:r>
      <w:r>
        <w:t>, ou « Voie », c'est-à-dire « guide de vie ») des commandements de la Torah elle-même (</w:t>
      </w:r>
      <w:r>
        <w:rPr>
          <w:i/>
        </w:rPr>
        <w:t>Mitzvah</w:t>
      </w:r>
      <w:r>
        <w:t xml:space="preserve">, ou « commandement »). </w:t>
      </w:r>
    </w:p>
    <w:p>
      <w:r/>
      <w:r>
        <w:t>La loi orale se développe au cours de générations de discussions rabbiniques. Elle est finalement compilée et mise à l'écrit grâce aux efforts du patriarche Juda Hanassi (vers 135–220 apr. J.-C.) au cours du dernier quart du 2</w:t>
      </w:r>
      <w:r>
        <w:rPr>
          <w:vertAlign w:val="superscript"/>
        </w:rPr>
        <w:t xml:space="preserve">e </w:t>
      </w:r>
      <w:r>
        <w:t xml:space="preserve">siècle apr. J.-C. Il s'agit de la Mishna (« enseignement »). La Mishna est une compilation de discussions rabbiniques organisée par thèmes. Ces discussions portent sur des sujets tels que le sabbat, les prémices, les sacrifices et les femmes. </w:t>
      </w:r>
    </w:p>
    <w:p>
      <w:r/>
      <w:r>
        <w:t xml:space="preserve">La Mishna sert ensuite de base aux discussions rabbiniques qui suivent en Palestine et en territoire babylonien. Les décisions des sages après la rédaction de la Mishna sont compilées vers 450 apr. J.-C. en Palestine et vers 500 en territoire babylonien. Le produit de cette deuxième phase de composition rabbinique suivant la Mishna est la Gémara ou </w:t>
      </w:r>
      <w:r>
        <w:rPr>
          <w:i/>
        </w:rPr>
        <w:t>guemara</w:t>
      </w:r>
      <w:r>
        <w:t xml:space="preserve"> (« achèvement, perfection » ou « répétition »). La Mishna et la Guemara babylonienne composent le Talmud babylonien, tandis que la même Mishna et la Guemara de Jérusalem ou palestinienne composent le Talmud de Jérusalem. </w:t>
      </w:r>
    </w:p>
    <w:p>
      <w:r/>
      <w:r>
        <w:t xml:space="preserve">Les rabbins produisent aussi un autre type de littérature, le Midrash (de </w:t>
      </w:r>
      <w:r>
        <w:rPr>
          <w:i/>
        </w:rPr>
        <w:t>midrashim</w:t>
      </w:r>
      <w:r>
        <w:t xml:space="preserve">, « interprétations »). Les midrashim suivent l'ordre d'un livre biblique particulier ou sont des homélies sur des textes bibliques choisis. Les </w:t>
      </w:r>
      <w:r>
        <w:rPr>
          <w:i/>
        </w:rPr>
        <w:t>targoumim</w:t>
      </w:r>
      <w:r>
        <w:t xml:space="preserve"> sont des traductions paraphrastiques des Écritures. C'est-à-dire que les targoumim reformulent les Écritures en langue araméenne. Les targoumim sont mis à l'écrit à partir de la fin du 2</w:t>
      </w:r>
      <w:r>
        <w:rPr>
          <w:vertAlign w:val="superscript"/>
        </w:rPr>
        <w:t xml:space="preserve">e </w:t>
      </w:r>
      <w:r>
        <w:t>siècle apr. J.-C.</w:t>
      </w:r>
    </w:p>
    <w:p>
      <w:r/>
      <w:r>
        <w:t>Suite à la destruction du Temple, le judaïsme rabbinique se concentre sur l'importance religieuse de la Torah. Le judaïsme rabbinique donne aussi à la spécialisation dans la connaissance de l'Ancien Testament le rôle central qu'elle continue d'avoir pour le judaïsme aujourd'hui. Le judaïsme rabbinique étend progressivement son influence sur judaïsme de la Diaspora sous la direction du rabbin Yohanan, aboutissant sur une sorte d'orthodoxie rabbinique au cours du 2</w:t>
      </w:r>
      <w:r>
        <w:rPr>
          <w:vertAlign w:val="superscript"/>
        </w:rPr>
        <w:t xml:space="preserve">e </w:t>
      </w:r>
      <w:r>
        <w:t>siècle. Le christianisme est l'un des principaux adversaires idéologiques du judaïsme rabbinique. Afin d'expulser les chrétiens juifs de leur milieu, les rabbins introduisent une bénédiction supplémentaire aux dix-huit Bénédictions habituellement récitées lors des services à la synagogue. Cette 19</w:t>
      </w:r>
      <w:r>
        <w:rPr>
          <w:vertAlign w:val="superscript"/>
        </w:rPr>
        <w:t>e</w:t>
      </w:r>
      <w:r>
        <w:t xml:space="preserve"> bénédiction est une malédiction contre les </w:t>
      </w:r>
      <w:r>
        <w:rPr>
          <w:i/>
        </w:rPr>
        <w:t>minim</w:t>
      </w:r>
      <w:r>
        <w:t xml:space="preserve"> (ou Minéens, c'est-à-dire les chrétiens et autres « hérétiques »). Il est impossible pour les chrétiens juifs qui assistent aux services de la synagogue de réciter cette malédiction. Le judaïsme se sépare ainsi fermement du christianisme à la fin du premier siècle.</w:t>
      </w:r>
    </w:p>
    <w:p>
      <w:r/>
      <w:r>
        <w:rPr>
          <w:i/>
        </w:rPr>
        <w:t>Voir aussi</w:t>
      </w:r>
      <w:r>
        <w:t xml:space="preserve"> </w:t>
      </w:r>
      <w:r>
        <w:t>manuscrits de la mer Morte</w:t>
      </w:r>
      <w:r>
        <w:t xml:space="preserve"> ; </w:t>
      </w:r>
      <w:r>
        <w:t>Esséniens</w:t>
      </w:r>
      <w:r>
        <w:t xml:space="preserve"> ; </w:t>
      </w:r>
      <w:r>
        <w:t>Diaspora des Juifs</w:t>
      </w:r>
      <w:r>
        <w:t xml:space="preserve"> ; </w:t>
      </w:r>
      <w:r>
        <w:t>première révolte juive</w:t>
      </w:r>
      <w:r>
        <w:t xml:space="preserve"> ; </w:t>
      </w:r>
      <w:r>
        <w:t>Israël (histoire)</w:t>
      </w:r>
      <w:r>
        <w:t xml:space="preserve"> ; </w:t>
      </w:r>
      <w:r>
        <w:t>Juif</w:t>
      </w:r>
      <w:r>
        <w:t xml:space="preserve"> ; </w:t>
      </w:r>
      <w:r>
        <w:t>Juda (tribu)</w:t>
      </w:r>
      <w:r>
        <w:t xml:space="preserve"> ; </w:t>
      </w:r>
      <w:r>
        <w:t>pharisiens</w:t>
      </w:r>
      <w:r>
        <w:t xml:space="preserve"> ; </w:t>
      </w:r>
      <w:r>
        <w:t>Philon (le Juif)</w:t>
      </w:r>
      <w:r>
        <w:t xml:space="preserve"> ; </w:t>
      </w:r>
      <w:r>
        <w:t>période post-exilique</w:t>
      </w:r>
      <w:r>
        <w:t xml:space="preserve"> ; </w:t>
      </w:r>
      <w:r>
        <w:t>sanhédrin</w:t>
      </w:r>
      <w:r>
        <w:t xml:space="preserve"> ; </w:t>
      </w:r>
      <w:r>
        <w:t>Talmud</w:t>
      </w:r>
      <w:r>
        <w:t xml:space="preserve"> ; </w:t>
      </w:r>
      <w:r>
        <w:t>Torah</w:t>
      </w:r>
      <w:r>
        <w:t xml:space="preserve"> ; </w:t>
      </w:r>
      <w:r>
        <w:t>tradition</w:t>
      </w:r>
      <w:r>
        <w:t xml:space="preserve"> ; </w:t>
      </w:r>
      <w:r>
        <w:t>tradition orale</w:t>
      </w:r>
      <w:r>
        <w:t>.</w:t>
      </w:r>
      <w:r/>
      <w:r/>
    </w:p>
    <w:p>
      <w:r/>
    </w:p>
    <w:p>
      <w:pPr>
        <w:pStyle w:val="Heading2"/>
      </w:pPr>
      <w:r>
        <w:t>Judas</w:t>
      </w:r>
      <w:r/>
    </w:p>
    <w:p>
      <w:r/>
      <w:r>
        <w:t>1. Fils de Simon, nommé « l'Iscariot ». C'est l'un des 12 disciples de Jésus. L'origine du nom Iscariot est incertaine. Il désigne probablement le lieu de sa naissance, la ville de Kerijoth. Sa maison d'enfance est peut-être à Kerijoth de Moab, à l'est du Jourdain (</w:t>
      </w:r>
      <w:hyperlink r:id="rId2036">
        <w:r>
          <w:rPr>
            <w:color w:val="0000EE"/>
            <w:u w:val="single"/>
          </w:rPr>
          <w:t xml:space="preserve">Jr 48.24 </w:t>
        </w:r>
      </w:hyperlink>
      <w:r>
        <w:t xml:space="preserve">; </w:t>
      </w:r>
      <w:hyperlink r:id="rId7805">
        <w:r>
          <w:rPr>
            <w:color w:val="0000EE"/>
            <w:u w:val="single"/>
          </w:rPr>
          <w:t>Am 2.2</w:t>
        </w:r>
      </w:hyperlink>
      <w:r>
        <w:t>), ou à Kerjioth-Hetsron dans le sud de Juda, également appelée Hatsor (</w:t>
      </w:r>
      <w:hyperlink r:id="rId7806">
        <w:r>
          <w:rPr>
            <w:color w:val="0000EE"/>
            <w:u w:val="single"/>
          </w:rPr>
          <w:t>Jos 15.25</w:t>
        </w:r>
      </w:hyperlink>
      <w:r>
        <w:t>). Une suggestion moins plausible est que le mot Iscariot provient d'un mot araméen qui signifie « assassin ». Judas aurait été appelé plus tard ainsi à cause de sa trahison de Jésus.</w:t>
      </w:r>
    </w:p>
    <w:p>
      <w:r/>
      <w:r>
        <w:t>Le nom de Judas l'Iscariot est toujours le dernier dans les listes des Douze (</w:t>
      </w:r>
      <w:hyperlink r:id="rId7807">
        <w:r>
          <w:rPr>
            <w:color w:val="0000EE"/>
            <w:u w:val="single"/>
          </w:rPr>
          <w:t xml:space="preserve">Mt 10.4 </w:t>
        </w:r>
      </w:hyperlink>
      <w:r>
        <w:t xml:space="preserve">; </w:t>
      </w:r>
      <w:hyperlink r:id="rId7808">
        <w:r>
          <w:rPr>
            <w:color w:val="0000EE"/>
            <w:u w:val="single"/>
          </w:rPr>
          <w:t xml:space="preserve">Mc 3.19 </w:t>
        </w:r>
      </w:hyperlink>
      <w:r>
        <w:t xml:space="preserve">; </w:t>
      </w:r>
      <w:hyperlink r:id="rId7809">
        <w:r>
          <w:rPr>
            <w:color w:val="0000EE"/>
            <w:u w:val="single"/>
          </w:rPr>
          <w:t>Lc 6.16</w:t>
        </w:r>
      </w:hyperlink>
      <w:r>
        <w:t>). Ceci indique peut-être davantage à quel point il devient ignoble dans l'esprit des disciples plutôt que l'importance qu'il a parmi les Douze de son vivant. Pendant le ministère public de Jésus, Judas est responsable de la bourse du groupe (</w:t>
      </w:r>
      <w:hyperlink r:id="rId2058">
        <w:r>
          <w:rPr>
            <w:color w:val="0000EE"/>
            <w:u w:val="single"/>
          </w:rPr>
          <w:t>Jn 13.29</w:t>
        </w:r>
      </w:hyperlink>
      <w:r>
        <w:t>). L'Évangile de Jean révèle qu'il vole de cet argent (</w:t>
      </w:r>
      <w:hyperlink r:id="rId2057">
        <w:r>
          <w:rPr>
            <w:color w:val="0000EE"/>
            <w:u w:val="single"/>
          </w:rPr>
          <w:t>12.6</w:t>
        </w:r>
      </w:hyperlink>
      <w:r>
        <w:t>). Il est surtout connu comme traître, car il fait un pacte avec les chefs des sacrificateurs pour leur livrer Jésus contre 30 pièces d'argent. Judas trahit Jésus en l'identifiant par un baiser de salutation au jardin de Gethsémané (</w:t>
      </w:r>
      <w:hyperlink r:id="rId7810">
        <w:r>
          <w:rPr>
            <w:color w:val="0000EE"/>
            <w:u w:val="single"/>
          </w:rPr>
          <w:t xml:space="preserve">Mt 26.14–47 </w:t>
        </w:r>
      </w:hyperlink>
      <w:r>
        <w:t xml:space="preserve">; </w:t>
      </w:r>
      <w:hyperlink r:id="rId7811">
        <w:r>
          <w:rPr>
            <w:color w:val="0000EE"/>
            <w:u w:val="single"/>
          </w:rPr>
          <w:t xml:space="preserve">Mc 14.10–46 </w:t>
        </w:r>
      </w:hyperlink>
      <w:r>
        <w:t xml:space="preserve">; </w:t>
      </w:r>
      <w:hyperlink r:id="rId7812">
        <w:r>
          <w:rPr>
            <w:color w:val="0000EE"/>
            <w:u w:val="single"/>
          </w:rPr>
          <w:t xml:space="preserve">Lc 22.3–48 </w:t>
        </w:r>
      </w:hyperlink>
      <w:r>
        <w:t xml:space="preserve">; </w:t>
      </w:r>
      <w:hyperlink r:id="rId7813">
        <w:r>
          <w:rPr>
            <w:color w:val="0000EE"/>
            <w:u w:val="single"/>
          </w:rPr>
          <w:t>Jn 18.2–5</w:t>
        </w:r>
      </w:hyperlink>
      <w:r>
        <w:t>).</w:t>
      </w:r>
    </w:p>
    <w:p>
      <w:r/>
      <w:r>
        <w:t>Diverses propositions ont été faites pour tenter d'expliquer la trahison de Judas. (1) Fidèle à son zèle patriotique, Judas livre Jésus aux autorités après avoir réalisé que son maître n'a pas l'intention de renverser l'ordre romain et d'établir un État juif. (2) Judas croit que Jésus est le Messie et planifie son arrestation dans l'espoir de le pousser à inaugurer son royaume. (3) Judas est un scélérat qui complote depuis le début du ministère public de Jésus. (4) Poussé par une impulsion satanique, Judas trahit Jésus. Cependant, après avoir reconnu qu'il a lui-même été trompé, il se suicide, rongé par le remord. (5) Sa fierté est blessée et son ego humilié par les réprimandes caustiques de Jésus. Alors Judas, qui est à l'origine un disciple loyal, se retourne contre lui. (6) Judas, motivé par son amour pour l'argent, cède à sa tentation égoïste, ne réalisant pas que Jésus serait par conséquent jugé et tué. En apprenant les conséquences de sa trahison, il se repent dans le désespoir et se suicide.</w:t>
      </w:r>
    </w:p>
    <w:p>
      <w:r/>
      <w:r>
        <w:t>Judas, désespéré suite à sa trahison, va se pendre dans un champ acheté avec ses 30 pièces d'argent (</w:t>
      </w:r>
      <w:hyperlink r:id="rId7814">
        <w:r>
          <w:rPr>
            <w:color w:val="0000EE"/>
            <w:u w:val="single"/>
          </w:rPr>
          <w:t>Mt 27.3–10</w:t>
        </w:r>
      </w:hyperlink>
      <w:r>
        <w:t xml:space="preserve">). </w:t>
      </w:r>
      <w:hyperlink r:id="rId7815">
        <w:r>
          <w:rPr>
            <w:color w:val="0000EE"/>
            <w:u w:val="single"/>
          </w:rPr>
          <w:t>Actes 1.18</w:t>
        </w:r>
      </w:hyperlink>
      <w:r>
        <w:t xml:space="preserve"> ajoute le détail macabre que son corps éclate, répandant ses entrailles. C'est pour cette raison que le champ est appelé le « champ du sang » (</w:t>
      </w:r>
      <w:hyperlink r:id="rId120">
        <w:r>
          <w:rPr>
            <w:color w:val="0000EE"/>
            <w:u w:val="single"/>
          </w:rPr>
          <w:t>Ac 1.19</w:t>
        </w:r>
      </w:hyperlink>
      <w:r>
        <w:t xml:space="preserve">). Matthias remplace ensuite Judas l'Iscariot parmi les Douze (v. </w:t>
      </w:r>
      <w:hyperlink r:id="rId4185">
        <w:r>
          <w:rPr>
            <w:color w:val="0000EE"/>
            <w:u w:val="single"/>
          </w:rPr>
          <w:t>26</w:t>
        </w:r>
      </w:hyperlink>
      <w:r>
        <w:t>).</w:t>
      </w:r>
    </w:p>
    <w:p>
      <w:r/>
      <w:r>
        <w:t>2. Fils de Joseph et de Marie, également appelé Jude. C'est le frère de Jésus, Jacques, Joseph et Simon (</w:t>
      </w:r>
      <w:hyperlink r:id="rId2412">
        <w:r>
          <w:rPr>
            <w:color w:val="0000EE"/>
            <w:u w:val="single"/>
          </w:rPr>
          <w:t xml:space="preserve">Mt 13.55 </w:t>
        </w:r>
      </w:hyperlink>
      <w:r>
        <w:t xml:space="preserve">; </w:t>
      </w:r>
      <w:hyperlink r:id="rId2413">
        <w:r>
          <w:rPr>
            <w:color w:val="0000EE"/>
            <w:u w:val="single"/>
          </w:rPr>
          <w:t>Mc 6.3</w:t>
        </w:r>
      </w:hyperlink>
      <w:r>
        <w:t>). Apparemment, Judas et ses frères n'acceptent tout d'abord pas Jésus comme Messie (</w:t>
      </w:r>
      <w:hyperlink r:id="rId5785">
        <w:r>
          <w:rPr>
            <w:color w:val="0000EE"/>
            <w:u w:val="single"/>
          </w:rPr>
          <w:t>Jn 7.5</w:t>
        </w:r>
      </w:hyperlink>
      <w:r>
        <w:t>), mais ils se convertissent après sa résurrection (</w:t>
      </w:r>
      <w:hyperlink r:id="rId1975">
        <w:r>
          <w:rPr>
            <w:color w:val="0000EE"/>
            <w:u w:val="single"/>
          </w:rPr>
          <w:t>Ac 1.14</w:t>
        </w:r>
      </w:hyperlink>
      <w:r>
        <w:t>). On pense que c'est ce « Jude » qui plus tard écrit l'épître du même nom.</w:t>
      </w:r>
    </w:p>
    <w:p>
      <w:r/>
      <w:r>
        <w:t>3. Fils de Jacques. C'est l'un des 12 disciples (</w:t>
      </w:r>
      <w:hyperlink r:id="rId7809">
        <w:r>
          <w:rPr>
            <w:color w:val="0000EE"/>
            <w:u w:val="single"/>
          </w:rPr>
          <w:t xml:space="preserve">Lc 6.16 </w:t>
        </w:r>
      </w:hyperlink>
      <w:r>
        <w:t xml:space="preserve">; </w:t>
      </w:r>
      <w:hyperlink r:id="rId7816">
        <w:r>
          <w:rPr>
            <w:color w:val="0000EE"/>
            <w:u w:val="single"/>
          </w:rPr>
          <w:t xml:space="preserve">Jn 14.22 </w:t>
        </w:r>
      </w:hyperlink>
      <w:r>
        <w:t xml:space="preserve">; </w:t>
      </w:r>
      <w:hyperlink r:id="rId588">
        <w:r>
          <w:rPr>
            <w:color w:val="0000EE"/>
            <w:u w:val="single"/>
          </w:rPr>
          <w:t>Ac 1.13</w:t>
        </w:r>
      </w:hyperlink>
      <w:r>
        <w:t xml:space="preserve">). Il est appelé Thaddée dans </w:t>
      </w:r>
      <w:hyperlink r:id="rId585">
        <w:r>
          <w:rPr>
            <w:color w:val="0000EE"/>
            <w:u w:val="single"/>
          </w:rPr>
          <w:t>Matthieu 10.3</w:t>
        </w:r>
      </w:hyperlink>
      <w:r>
        <w:t xml:space="preserve"> et </w:t>
      </w:r>
      <w:hyperlink r:id="rId586">
        <w:r>
          <w:rPr>
            <w:color w:val="0000EE"/>
            <w:u w:val="single"/>
          </w:rPr>
          <w:t>Marc 3.18</w:t>
        </w:r>
      </w:hyperlink>
      <w:r>
        <w:t xml:space="preserve">. </w:t>
      </w:r>
      <w:r>
        <w:rPr>
          <w:i/>
        </w:rPr>
        <w:t>Voir</w:t>
      </w:r>
      <w:r>
        <w:t xml:space="preserve"> </w:t>
      </w:r>
      <w:r>
        <w:t>Thaddée, l'Apôtre</w:t>
      </w:r>
      <w:r>
        <w:t>.</w:t>
      </w:r>
    </w:p>
    <w:p>
      <w:r/>
      <w:r>
        <w:t xml:space="preserve">4. Galiléen ayant mené une révolte juive contre les Romains à cause du recensement effectué par Quirinius en 6 apr. J.-C. Dans </w:t>
      </w:r>
      <w:hyperlink r:id="rId2226">
        <w:r>
          <w:rPr>
            <w:color w:val="0000EE"/>
            <w:u w:val="single"/>
          </w:rPr>
          <w:t>Actes 5.37</w:t>
        </w:r>
      </w:hyperlink>
      <w:r>
        <w:t>, le pharisien Gamaliel donne ce Judas comme exemple de quelqu'un qui a tenté sans succès de gagner le soutien du peuple juif. Flavius Josèphe lui attribue la fondation du parti des Zélotes juifs, un mouvement révolutionnaire radical qui tente de renverser le pouvoir romain pour rétablir l'autonomie juive (</w:t>
      </w:r>
      <w:r>
        <w:rPr>
          <w:i/>
        </w:rPr>
        <w:t>Guerre</w:t>
      </w:r>
      <w:r>
        <w:t xml:space="preserve"> 2.8.1).</w:t>
      </w:r>
    </w:p>
    <w:p>
      <w:r/>
      <w:r>
        <w:t>5. Propriétaire d'une maison le long de la rue appelée la droite à Damas. C'est dans sa maison que Saul (Paul) loge après sa conversion. Il y retrouve la vue par l'intermédiaire d'Ananias (</w:t>
      </w:r>
      <w:hyperlink r:id="rId4397">
        <w:r>
          <w:rPr>
            <w:color w:val="0000EE"/>
            <w:u w:val="single"/>
          </w:rPr>
          <w:t>Ac 9.11</w:t>
        </w:r>
      </w:hyperlink>
      <w:r>
        <w:t>).</w:t>
      </w:r>
    </w:p>
    <w:p>
      <w:r/>
      <w:r>
        <w:t>6. Prophète et dirigeant dans l'Église primitive de Jérusalem. Judas, nommé Barsabbas, est choisi avec Silas pour accompagner Paul et Barnabas à Antioche. Ils y confirment la décision du Concile de Jérusalem concernant l'Église des Gentils et y encouragent ensuite les disciples (</w:t>
      </w:r>
      <w:hyperlink r:id="rId7817">
        <w:r>
          <w:rPr>
            <w:color w:val="0000EE"/>
            <w:u w:val="single"/>
          </w:rPr>
          <w:t>Ac 15.22–32</w:t>
        </w:r>
      </w:hyperlink>
      <w:r>
        <w:t xml:space="preserve">). </w:t>
      </w:r>
      <w:r>
        <w:rPr>
          <w:i/>
        </w:rPr>
        <w:t>Voir</w:t>
      </w:r>
      <w:r>
        <w:t xml:space="preserve"> </w:t>
      </w:r>
      <w:r>
        <w:t>Joseph n°12</w:t>
      </w:r>
      <w:r>
        <w:t>.</w:t>
      </w:r>
    </w:p>
    <w:p>
      <w:r/>
      <w:r>
        <w:t>7. Dans le NT grec, « Judas » est l'orthographe du nom du patriarche Juda, le quatrième fils de Jacob (</w:t>
      </w:r>
      <w:hyperlink r:id="rId7742">
        <w:r>
          <w:rPr>
            <w:color w:val="0000EE"/>
            <w:u w:val="single"/>
          </w:rPr>
          <w:t>Mt 1.2–3</w:t>
        </w:r>
      </w:hyperlink>
      <w:r>
        <w:t>). En grec, c'est le même nom que Judas, même s'il est traditionnellement écrit « Juda » en français. Cette orthographe ressemble davantage à la prononciation du nom du patriarche en hébreu (</w:t>
      </w:r>
      <w:r>
        <w:rPr>
          <w:i/>
        </w:rPr>
        <w:t>yehuda</w:t>
      </w:r>
      <w:r>
        <w:t xml:space="preserve">), et distingue facilement son nom de celui de l'apôtre qui a trahi. </w:t>
      </w:r>
      <w:r>
        <w:rPr>
          <w:i/>
        </w:rPr>
        <w:t>Voir</w:t>
      </w:r>
      <w:r>
        <w:t xml:space="preserve"> </w:t>
      </w:r>
      <w:r>
        <w:t>Juda (personne) n° 1</w:t>
      </w:r>
      <w:r>
        <w:t>.</w:t>
      </w:r>
      <w:r/>
      <w:r/>
    </w:p>
    <w:p>
      <w:r/>
    </w:p>
    <w:p>
      <w:pPr>
        <w:pStyle w:val="Heading2"/>
      </w:pPr>
      <w:r>
        <w:t>Judée, Judéens</w:t>
      </w:r>
      <w:r/>
    </w:p>
    <w:p>
      <w:r/>
      <w:r>
        <w:t>La Judée était la terre où vivaient les Juifs. Le nom vient de la tribu de Juda. Vers 538 av. J.‑C., de nombreux Israélites sont rentrés chez eux après avoir été captifs à Babylone. La plupart de ces personnes étaient de la tribu de Juda, et sont donc devenues connues sous le nom de Judéens ou Juifs. Leur terre est devenue connue sous le nom de Judée.</w:t>
      </w:r>
    </w:p>
    <w:p>
      <w:r/>
      <w:r>
        <w:t>La Judée est une région très importante dans la Bible. Elle comprend plusieurs lieux significatifs, y compris Jérusalem et Bethléhem. De nombreux événements de la vie de Jésus s'y sont déroulés.</w:t>
      </w:r>
    </w:p>
    <w:p>
      <w:pPr>
        <w:pStyle w:val="Heading3"/>
      </w:pPr>
      <w:r>
        <w:t>La signification du nom « Judée »</w:t>
      </w:r>
    </w:p>
    <w:p>
      <w:r/>
      <w:r>
        <w:t xml:space="preserve">Le nom « Judée » apparaît pour la première fois dans </w:t>
      </w:r>
      <w:hyperlink r:id="rId7818">
        <w:r>
          <w:rPr>
            <w:color w:val="0000EE"/>
            <w:u w:val="single"/>
          </w:rPr>
          <w:t>Esdras 5.8</w:t>
        </w:r>
      </w:hyperlink>
      <w:r>
        <w:t>. À cette époque, la Judée faisait partie de l'Empire perse. Plus tard, lorsque les Grecs ont repris le contrôle des mains des Perses, la Judée sera mentionnée dans le livre de 1 Maccabées (</w:t>
      </w:r>
      <w:hyperlink r:id="rId7819">
        <w:r>
          <w:rPr>
            <w:color w:val="0000EE"/>
            <w:u w:val="single"/>
          </w:rPr>
          <w:t>1 Ma 5.45</w:t>
        </w:r>
      </w:hyperlink>
      <w:r>
        <w:t xml:space="preserve">; </w:t>
      </w:r>
      <w:hyperlink r:id="rId7820">
        <w:r>
          <w:rPr>
            <w:color w:val="0000EE"/>
            <w:u w:val="single"/>
          </w:rPr>
          <w:t>7.10</w:t>
        </w:r>
      </w:hyperlink>
      <w:r>
        <w:t>). Lors du gouvernement romain sur la région, ils rattacheront la Judée à leur province de Syrie. Cela durera jusqu'à environ 37 av. J.‑C., lorsque Hérode le Grand devient roi de Judée. Le mot « Judée » pouvait signifier différentes choses selon son utilisation. Parfois, il se référait à toutes les terres où vivaient les Juifs en Palestine occidentale (</w:t>
      </w:r>
      <w:hyperlink r:id="rId7821">
        <w:r>
          <w:rPr>
            <w:color w:val="0000EE"/>
            <w:u w:val="single"/>
          </w:rPr>
          <w:t>Lc 23.5</w:t>
        </w:r>
      </w:hyperlink>
      <w:r>
        <w:t xml:space="preserve">; </w:t>
      </w:r>
      <w:hyperlink r:id="rId7822">
        <w:r>
          <w:rPr>
            <w:color w:val="0000EE"/>
            <w:u w:val="single"/>
          </w:rPr>
          <w:t>Ac 10.37</w:t>
        </w:r>
      </w:hyperlink>
      <w:r>
        <w:t xml:space="preserve">; </w:t>
      </w:r>
      <w:hyperlink r:id="rId7823">
        <w:r>
          <w:rPr>
            <w:color w:val="0000EE"/>
            <w:u w:val="single"/>
          </w:rPr>
          <w:t>26.20</w:t>
        </w:r>
      </w:hyperlink>
      <w:r>
        <w:t>). Les auteurs non religieux de cette époque, comme Strabon, Tacite et Philon, utilisaient « Judée » dans ce sens large. Cependant, le plus souvent, « Judée » désignait simplement la région sud de la Palestine. Les deux autres principales régions étaient la Galilée au nord et la Samarie au centre.</w:t>
      </w:r>
    </w:p>
    <w:p>
      <w:pPr>
        <w:pStyle w:val="Heading3"/>
      </w:pPr>
      <w:r>
        <w:t>L'emplacement de la Judée</w:t>
      </w:r>
    </w:p>
    <w:p>
      <w:r/>
      <w:r>
        <w:t>Les frontières de la Judée ont évolué au fil du temps. Cependant, elle comprenait toujours des terres ayant appartenu à quatre tribus d'Israël : Juda, Dan, Benjamin et Siméon. La frontière entre la Judée et la Samarie au nord n'était pas très claire. Contrairement à d'autres frontières, il n'y avait pas de caractéristiques naturelles de division comme des vallées, des rivières ou des changements dans le paysage. Cependant, les historiens pensent que la frontière nord s'étendait de la ville de Joppé sur la mer Méditerranée jusqu'à un point sur le Jourdain. Ce point se trouvait à environ 15 à 20 km au nord de la mer Morte.</w:t>
      </w:r>
    </w:p>
    <w:p>
      <w:r/>
      <w:r>
        <w:t>La frontière sud de la Judée commençait près de la côte, à environ 10 km au sud-ouest de Gaza. De là, elle traversait la ville de Beer-Schéba et se terminait à la mer Morte. La Bible nous dit que Beer-Schéba marquait la limite sud de la nation (</w:t>
      </w:r>
      <w:hyperlink r:id="rId5857">
        <w:r>
          <w:rPr>
            <w:color w:val="0000EE"/>
            <w:u w:val="single"/>
          </w:rPr>
          <w:t>Jg 20.1</w:t>
        </w:r>
      </w:hyperlink>
      <w:r>
        <w:t>), et marquait donc également la limite sud de la Judée. La mer Morte formait la frontière est de la Judée, et la mer Méditerranée formait sa frontière ouest. La forme de la Judée était à peu près carrée, chaque côté mesurant environ 70 km de long.</w:t>
      </w:r>
    </w:p>
    <w:p>
      <w:pPr>
        <w:pStyle w:val="Heading3"/>
      </w:pPr>
      <w:r>
        <w:t>L'histoire de la Judée</w:t>
      </w:r>
    </w:p>
    <w:p>
      <w:r/>
      <w:r>
        <w:t>L'histoire de la Judée en tant que région distincte a commencé en 539 av. J.‑C., pendant la période perse. À cette époque, le roi Cyrus de Perse a permis au peuple juif de rentrer chez lui et de reconstruire à la fois leur temple et leur ville sainte, Jérusalem.</w:t>
      </w:r>
    </w:p>
    <w:p>
      <w:r/>
      <w:r>
        <w:t>Plus tard, de 334 à 167 av. J.‑C., les Grecs prendront le contrôle de la région. Les Séleucides, qui régnaient depuis la Syrie, accéderont au pouvoir. Ils étaient les descendants de l'un des chefs militaires d'Alexandre le Grand. Lorsque les Séleucides tenteront d'empêcher le peuple juif de pratiquer sa religion, les Juifs ripostent. Cette révolte sera menée par la famille des Hasmonéens. Après avoir gagné leur liberté, le peuple juif se gouvernera lui-même pendant presque 100 ans, de 167 à 63 av. J.‑C.</w:t>
      </w:r>
    </w:p>
    <w:p>
      <w:r/>
      <w:r>
        <w:t>En 63 av. J.‑C., un chef romain nommé Pompée prendra le contrôle du territoire. Plus tard, Rome fit d'Hérode le Grand le roi de Judée. Il régnera de 37 à 4 av. J.‑C. Après lui, son fils Hérode Archélaüs régnera jusqu'en l'an 6 apr. J.‑C.</w:t>
      </w:r>
    </w:p>
    <w:p>
      <w:r/>
      <w:r>
        <w:t>Ensuite, Rome commencera à envoyer des gouverneurs (appelés procurateurs) pour administrer la Judée, la Samarie et l'Idumée (une région au sud de la Judée). Ce système perdurera jusqu'à la révolte juive de 66 à 70 apr. J.‑C., à une exception près. En effet, de 41 à 44 apr. J.‑C., Hérode Agrippa 1er, le petit-fils d'Hérode le Grand, règnera sur toute la Palestine.</w:t>
      </w:r>
    </w:p>
    <w:p>
      <w:r/>
      <w:r>
        <w:t>Après l'époque du Nouveau Testament, de nombreux groupes différents ont régné sur la Judée et le reste de la Palestine :</w:t>
      </w:r>
    </w:p>
    <w:p>
      <w:pPr>
        <w:pStyle w:val="ListBullet"/>
        <w:spacing w:line="240" w:lineRule="auto"/>
        <w:ind w:left="720"/>
      </w:pPr>
      <w:r/>
      <w:r>
        <w:t>Rome a contrôlé la région jusqu'en 330 apr. J.‑C.</w:t>
      </w:r>
    </w:p>
    <w:p>
      <w:pPr>
        <w:pStyle w:val="ListBullet"/>
        <w:spacing w:line="240" w:lineRule="auto"/>
        <w:ind w:left="720"/>
      </w:pPr>
      <w:r/>
      <w:r>
        <w:t>Ensuite, l'Empire byzantin prendra le contrôle et règnera jusqu'en 634 apr. J.‑C. Pendant cette période, de nombreuses Églises chrétiennes seront construites.</w:t>
      </w:r>
    </w:p>
    <w:p>
      <w:pPr>
        <w:pStyle w:val="ListBullet"/>
        <w:spacing w:line="240" w:lineRule="auto"/>
        <w:ind w:left="720"/>
      </w:pPr>
      <w:r/>
      <w:r>
        <w:t>De 607 à 629 apr. J.‑C., les Perses envahiront de nouveau. Ils détruiront de nombreuses Églises et tueront beaucoup de personnes.</w:t>
      </w:r>
    </w:p>
    <w:p>
      <w:pPr>
        <w:pStyle w:val="ListBullet"/>
        <w:spacing w:line="240" w:lineRule="auto"/>
        <w:ind w:left="720"/>
      </w:pPr>
      <w:r/>
      <w:r>
        <w:t>Ensuite vint la période arabe de 634 à 1099, lorsque les dirigeants musulmans contrôlent la Judée.</w:t>
      </w:r>
    </w:p>
    <w:p>
      <w:pPr>
        <w:pStyle w:val="ListBullet"/>
        <w:spacing w:line="240" w:lineRule="auto"/>
        <w:ind w:left="720"/>
      </w:pPr>
      <w:r/>
      <w:r>
        <w:t>Les Croisés prendront le contrôle de 1099 à 1263. Il s'agissait de chrétiens européens qui souhaitaient s'emparer de la Terre Sainte, alors sous contrôle musulman.</w:t>
      </w:r>
    </w:p>
    <w:p>
      <w:pPr>
        <w:pStyle w:val="ListBullet"/>
        <w:spacing w:line="240" w:lineRule="auto"/>
        <w:ind w:left="720"/>
      </w:pPr>
      <w:r/>
      <w:r>
        <w:t>Après la défaite des Croisés, les dirigeants musulmans reprendront le contrôle de la région jusqu'en 1917.</w:t>
      </w:r>
    </w:p>
    <w:p>
      <w:pPr>
        <w:pStyle w:val="ListBullet"/>
        <w:spacing w:line="240" w:lineRule="auto"/>
        <w:ind w:left="720"/>
      </w:pPr>
      <w:r/>
      <w:r>
        <w:t>Après la Première Guerre mondiale, la Société des Nations accordera à la Grande-Bretagne l'autorité de gouverner la Palestine sous le Mandat britannique.</w:t>
      </w:r>
    </w:p>
    <w:p>
      <w:pPr>
        <w:pStyle w:val="ListBullet"/>
        <w:spacing w:line="240" w:lineRule="auto"/>
        <w:ind w:left="720"/>
      </w:pPr>
      <w:r/>
      <w:r>
        <w:t>En 1947, les Nations Unies proposeront de diviser le territoire en un État juif et un État arabe. En 1948, la domination britannique prendra fin et l'État d'Israël sera fondé.</w:t>
      </w:r>
    </w:p>
    <w:p>
      <w:pPr>
        <w:pStyle w:val="ListBullet"/>
        <w:spacing w:line="240" w:lineRule="auto"/>
        <w:ind w:left="720"/>
      </w:pPr>
      <w:r/>
      <w:r>
        <w:t>À la suite des victoires d'Israël lors de la guerre des Six Jours en juin 1967, la Judée sera capturée par Israël et se trouve sous contrôle israélien depuis lors.</w:t>
      </w:r>
    </w:p>
    <w:p>
      <w:r/>
      <w:r>
        <w:rPr>
          <w:i/>
        </w:rPr>
        <w:t>Voir aussi</w:t>
      </w:r>
      <w:r>
        <w:t xml:space="preserve"> </w:t>
      </w:r>
      <w:r>
        <w:t>Diaspora juive</w:t>
      </w:r>
      <w:r>
        <w:t xml:space="preserve"> ; </w:t>
      </w:r>
      <w:r>
        <w:t>Judaïsme</w:t>
      </w:r>
      <w:r>
        <w:t xml:space="preserve"> ; </w:t>
      </w:r>
      <w:r>
        <w:t>Palestine</w:t>
      </w:r>
      <w:r>
        <w:t xml:space="preserve"> ; </w:t>
      </w:r>
      <w:r>
        <w:t>Période postexilique</w:t>
      </w:r>
      <w:r>
        <w:t>.</w:t>
      </w:r>
      <w:r/>
      <w:r/>
    </w:p>
    <w:p>
      <w:r/>
    </w:p>
    <w:p>
      <w:pPr>
        <w:pStyle w:val="Heading2"/>
      </w:pPr>
      <w:r>
        <w:t>Judith (Personne)</w:t>
      </w:r>
      <w:r/>
    </w:p>
    <w:p>
      <w:pPr>
        <w:pStyle w:val="ListNumber"/>
        <w:spacing w:line="240" w:lineRule="auto"/>
        <w:ind w:left="720"/>
      </w:pPr>
      <w:r/>
      <w:r>
        <w:t>Fille de Beéri le Héthien et l'une des épouses d'Ésaü (</w:t>
      </w:r>
      <w:hyperlink r:id="rId1713">
        <w:r>
          <w:rPr>
            <w:color w:val="0000EE"/>
            <w:u w:val="single"/>
          </w:rPr>
          <w:t>Gn 26.34</w:t>
        </w:r>
      </w:hyperlink>
      <w:r>
        <w:t xml:space="preserve">). </w:t>
      </w:r>
      <w:hyperlink r:id="rId1714">
        <w:r>
          <w:rPr>
            <w:color w:val="0000EE"/>
            <w:u w:val="single"/>
          </w:rPr>
          <w:t>Genèse 36.2</w:t>
        </w:r>
      </w:hyperlink>
      <w:r>
        <w:t xml:space="preserve"> l'appelle « Oholibama ».</w:t>
      </w:r>
    </w:p>
    <w:p>
      <w:r/>
      <w:r>
        <w:rPr>
          <w:i/>
        </w:rPr>
        <w:t>Voir</w:t>
      </w:r>
      <w:r>
        <w:t xml:space="preserve"> </w:t>
      </w:r>
      <w:r>
        <w:t>Oholibama</w:t>
      </w:r>
      <w:r>
        <w:t>.</w:t>
      </w:r>
    </w:p>
    <w:p>
      <w:pPr>
        <w:pStyle w:val="ListNumber"/>
        <w:spacing w:line="240" w:lineRule="auto"/>
        <w:ind w:left="720"/>
      </w:pPr>
      <w:r/>
      <w:r>
        <w:t>Le personnage principal du livre de Judith, une veuve judéenne courageuse et belle de Béthulie. Elle décapitera le général assyrien Holopherne et sauvera son peuple de la destruction.</w:t>
      </w:r>
    </w:p>
    <w:p>
      <w:r/>
      <w:r>
        <w:rPr>
          <w:i/>
        </w:rPr>
        <w:t>Voir</w:t>
      </w:r>
      <w:r>
        <w:t xml:space="preserve"> </w:t>
      </w:r>
      <w:r>
        <w:t>Judith, Livre de</w:t>
      </w:r>
      <w:r>
        <w:t>.</w:t>
      </w:r>
      <w:r/>
      <w:r/>
    </w:p>
    <w:p>
      <w:r/>
    </w:p>
    <w:p>
      <w:pPr>
        <w:pStyle w:val="Heading2"/>
      </w:pPr>
      <w:r>
        <w:t>Jugement</w:t>
      </w:r>
      <w:r/>
    </w:p>
    <w:p>
      <w:r/>
      <w:r>
        <w:t>Concept scripturaire étroitement lié à celui de la justice de Dieu. Dans toutes ses relations, Dieu agit avec justice et selon la morale. L'être humain, créé par Dieu, possède une dimension morale, lui permettant de répondre positivement aux exigences justes de Dieu dans sa vie. Le jugement divin, qui implique l'approbation ou la désapprobation de Dieu sur chaque acte humain, est une conséquence naturelle de la relation Créateur-créature. Ainsi, le jugement, simplement défini, est la réponse divine à l'activité humaine. Dieu le Créateur doit aussi être Dieu le Juge. Puisque Dieu est juste, il répond par la punition ou la récompense à ce que chaque personne fait. La responsabilité morale d'un humain envers Dieu (une qualité non partagée par le reste de la création) est un ingrédient essentiel au fait d'être créé à l'image de Dieu. La création à l'image divine signifie que Dieu et l'être humain peuvent communiquer entre eux de telle manière que tous les gens sont capables de comprendre les exigences morales de Dieu et d'y répondre volontairement. Parmi les divers commandements positifs donnés aux gens dans sa création originale (incluant le mariage, la domination de la terre et les délices du jardin d'Éden) se trouvait le commandement négatif interdisant de manger le fruit d'un arbre. La rébellion à l'encontre de cette interdiction entraînait comme punition la menace de la mort (</w:t>
      </w:r>
      <w:hyperlink r:id="rId235">
        <w:r>
          <w:rPr>
            <w:color w:val="0000EE"/>
            <w:u w:val="single"/>
          </w:rPr>
          <w:t>Gn 2.16–17</w:t>
        </w:r>
      </w:hyperlink>
      <w:r>
        <w:t xml:space="preserve">). </w:t>
      </w:r>
      <w:hyperlink r:id="rId1144">
        <w:r>
          <w:rPr>
            <w:color w:val="0000EE"/>
            <w:u w:val="single"/>
          </w:rPr>
          <w:t>Genèse 3</w:t>
        </w:r>
      </w:hyperlink>
      <w:r>
        <w:t xml:space="preserve"> contient le récit du premier jugement de Dieu, celui contre Adam. Il est puni de mort du fait qu'il n'avait pas vécu selon les règles morales établies par Dieu (</w:t>
      </w:r>
      <w:hyperlink r:id="rId4669">
        <w:r>
          <w:rPr>
            <w:color w:val="0000EE"/>
            <w:u w:val="single"/>
          </w:rPr>
          <w:t>3.17–19</w:t>
        </w:r>
      </w:hyperlink>
      <w:r>
        <w:t>). Au sens purement technique, le jugement inclut l'approbation de Dieu sur les actes qui lui plaisent ; plus fréquemment cependant, le jugement est compris négativement dans le sens où Dieu punit ceux qui enfreignent ses commandements. Depuis la Chute, toute activité humaine se trouve sous le jugement négatif de Dieu (</w:t>
      </w:r>
      <w:hyperlink r:id="rId7824">
        <w:r>
          <w:rPr>
            <w:color w:val="0000EE"/>
            <w:u w:val="single"/>
          </w:rPr>
          <w:t>Rm 2.12</w:t>
        </w:r>
      </w:hyperlink>
      <w:r>
        <w:t>).</w:t>
      </w:r>
    </w:p>
    <w:p>
      <w:pPr>
        <w:pStyle w:val="Heading3"/>
      </w:pPr>
      <w:r>
        <w:t>Le Jugement dans cette vie</w:t>
      </w:r>
    </w:p>
    <w:p>
      <w:r/>
      <w:r>
        <w:t>L'idée chrétienne d'expiation, selon laquelle Christ meurt pour le péché à la place de l'homme, repose sur le postulat que Dieu tient les humains responsables de leur péché. Cependant, Dieu a envoyé son Fils pour résoudre ce problème. Le Fils s'est volontairement placé sous le jugement de Dieu et, à la place de l'humanité, il a reçu la punition divine (</w:t>
      </w:r>
      <w:hyperlink r:id="rId2444">
        <w:r>
          <w:rPr>
            <w:color w:val="0000EE"/>
            <w:u w:val="single"/>
          </w:rPr>
          <w:t>Ga 3.13</w:t>
        </w:r>
      </w:hyperlink>
      <w:r>
        <w:t>). La mort de Christ pour le péché peut donc être considérée comme la manifestation extrême du jugement divin. Dieu, en tant que juge, inflige à l'âme de Christ lors de sa crucifixion le jugement divin total contre le péché.</w:t>
      </w:r>
    </w:p>
    <w:p>
      <w:r/>
      <w:r>
        <w:t>Par la foi, suscitée par le Saint-Esprit et nourrie par la Parole, un croyant est uni à Christ, échappe ainsi au jugement divin et est sauvé du châtiment (</w:t>
      </w:r>
      <w:hyperlink r:id="rId7825">
        <w:r>
          <w:rPr>
            <w:color w:val="0000EE"/>
            <w:u w:val="single"/>
          </w:rPr>
          <w:t>Rm 3.22</w:t>
        </w:r>
      </w:hyperlink>
      <w:r>
        <w:t>). Celui qui, par la foi, partage les bénéfices de la mort du Christ se tient devant le juge divin et reçoit le verdict suivant : « non coupable ». De ce fait, au lieu de la punition et de la rétribution divines, il reçoit une sentence de vie éternelle. Jésus dit de ceux qui croient en lui qu'ils ont déjà traversé le jugement, ont échappé à la mort et partagent déjà la vie éternelle (</w:t>
      </w:r>
      <w:hyperlink r:id="rId7826">
        <w:r>
          <w:rPr>
            <w:color w:val="0000EE"/>
            <w:u w:val="single"/>
          </w:rPr>
          <w:t>Jn 5.24</w:t>
        </w:r>
      </w:hyperlink>
      <w:r>
        <w:t>).</w:t>
      </w:r>
    </w:p>
    <w:p>
      <w:r/>
      <w:r>
        <w:t>Bien que le péché ait été expié par Christ, chaque personne, croyante ou non-croyante, subit encore certaines conséquences de son péché dans cette vie. Pour chaque action humaine, il y a une réaction divine (</w:t>
      </w:r>
      <w:hyperlink r:id="rId7827">
        <w:r>
          <w:rPr>
            <w:color w:val="0000EE"/>
            <w:u w:val="single"/>
          </w:rPr>
          <w:t>Rm 2.6</w:t>
        </w:r>
      </w:hyperlink>
      <w:r>
        <w:t xml:space="preserve">). Paul parle de la conscience, qui effectue une série de jugements même sur les actions de ceux qui ne connaissent pas le vrai Dieu (v. </w:t>
      </w:r>
      <w:hyperlink r:id="rId7828">
        <w:r>
          <w:rPr>
            <w:color w:val="0000EE"/>
            <w:u w:val="single"/>
          </w:rPr>
          <w:t>15</w:t>
        </w:r>
      </w:hyperlink>
      <w:r>
        <w:t>).</w:t>
      </w:r>
    </w:p>
    <w:p>
      <w:r/>
      <w:r>
        <w:t>Les gouvernements sont également des manifestations du jugement divin sur les performances publiques de l'homme par rapport à la loi. La justice civile, bien que souvent corrompue, est un moyen par lequel Dieu exerce un jugement temporel sur toute infraction à la loi dans cette vie (</w:t>
      </w:r>
      <w:hyperlink r:id="rId7829">
        <w:r>
          <w:rPr>
            <w:color w:val="0000EE"/>
            <w:u w:val="single"/>
          </w:rPr>
          <w:t>Rm 13.1–2</w:t>
        </w:r>
      </w:hyperlink>
      <w:r>
        <w:t>). Les crimes publics contre la société ne sont pas les seuls péchés soumis au jugement divin.</w:t>
      </w:r>
    </w:p>
    <w:p>
      <w:r/>
      <w:r>
        <w:t>En plus des accusations de la conscience contre même le péché le plus privé, chaque action humaine porte en elle une récompense ou une punition potentielle. Vivre à l'intérieur des limites morales établies par Dieu, surtout telles qu'elles sont révélées dans les Dix Commandements et expliquées plus en détail dans le reste des Écritures, entraîne certains avantages physiques dans cette vie. Vivre en mépris de la loi morale entraîne des pénalités et des difficultés appropriées à l'infraction (</w:t>
      </w:r>
      <w:hyperlink r:id="rId4679">
        <w:r>
          <w:rPr>
            <w:color w:val="0000EE"/>
            <w:u w:val="single"/>
          </w:rPr>
          <w:t>Ga 6.7–8</w:t>
        </w:r>
      </w:hyperlink>
      <w:r>
        <w:t>). Par exemple, refuser de travailler peut entraîner la pauvreté, et l'excès peut entraîner une mauvaise santé. Certaines activités sont la source de leurs propres pénalités. Un chrétiens ne devraient pas en conclure, cependant, que la présence de calamités dans la vie d'une personne indique nécessairement un jugement spécifique de Dieu contre un péché particulier. Dieu peut utiliser les calamités dans la vie d'un chrétien pour le guider providentiellement vers le but de la vie éternelle (</w:t>
      </w:r>
      <w:hyperlink r:id="rId7830">
        <w:r>
          <w:rPr>
            <w:color w:val="0000EE"/>
            <w:u w:val="single"/>
          </w:rPr>
          <w:t>1P 4.12–13</w:t>
        </w:r>
      </w:hyperlink>
      <w:r>
        <w:t>).</w:t>
      </w:r>
    </w:p>
    <w:p>
      <w:r/>
      <w:r>
        <w:t>En raison du péché d'Adam, la création a été soumise à un jugement de corruption (</w:t>
      </w:r>
      <w:hyperlink r:id="rId7831">
        <w:r>
          <w:rPr>
            <w:color w:val="0000EE"/>
            <w:u w:val="single"/>
          </w:rPr>
          <w:t>Gn 3.17</w:t>
        </w:r>
      </w:hyperlink>
      <w:r>
        <w:t>). Toute la vie humaine participe à une détérioration qui est une manifestation du jugement divin contre le péché ayant pris naissance avec Adam. Dieu reste souverain même sur la corruption universelle et est capable de la diriger et de la contrôler pour ses desseins ultimes (</w:t>
      </w:r>
      <w:hyperlink r:id="rId7832">
        <w:r>
          <w:rPr>
            <w:color w:val="0000EE"/>
            <w:u w:val="single"/>
          </w:rPr>
          <w:t>Rm 8.20</w:t>
        </w:r>
      </w:hyperlink>
      <w:r>
        <w:t xml:space="preserve">). Ainsi, il peut utiliser les calamités pour le bénéfice de la vie du chrétien (v. </w:t>
      </w:r>
      <w:hyperlink r:id="rId7833">
        <w:r>
          <w:rPr>
            <w:color w:val="0000EE"/>
            <w:u w:val="single"/>
          </w:rPr>
          <w:t>28</w:t>
        </w:r>
      </w:hyperlink>
      <w:r>
        <w:t>), mais il peut aussi les utiliser pour manifester sa colère envers ceux qui persistent dans le péché délibéré et qui rejettent son Fils Jésus-Christ comme le Rédempteur du péché. Pharaon, qui a reconnu Moïse comme prophète de Dieu et l'a pourtant rejeté ainsi que son message, est un exemple parfait d'une personne qui a subi le jugement de Dieu (</w:t>
      </w:r>
      <w:hyperlink r:id="rId7834">
        <w:r>
          <w:rPr>
            <w:color w:val="0000EE"/>
            <w:u w:val="single"/>
          </w:rPr>
          <w:t>Ex 10.20</w:t>
        </w:r>
      </w:hyperlink>
      <w:r>
        <w:t>). Les Juifs qui ont vu les miracles de Jésus et ont rejeté ses prétentions à la messianité sont également parmi ceux qui ont reçu le jugement de Dieu de leur vivant (</w:t>
      </w:r>
      <w:hyperlink r:id="rId7835">
        <w:r>
          <w:rPr>
            <w:color w:val="0000EE"/>
            <w:u w:val="single"/>
          </w:rPr>
          <w:t>Mt 12.22–32</w:t>
        </w:r>
      </w:hyperlink>
      <w:r>
        <w:t>).</w:t>
      </w:r>
    </w:p>
    <w:p>
      <w:r/>
      <w:r>
        <w:t>À travers les guerres,et la création et destruction des nations, Dieu exerce un jugement collectif contre des peuples entiers. L'Ancien Testament relate la montée et la chute des nations et des rois. Le refus de reconnaître et d'adorer le vrai Dieu et de suivre ses lois aboutit finalement et inévitablement à l'extinction nationale. La destruction de Ninive et d'Israël dans l'Ancien Testament et de Jérusalem dans le Nouveau Testament sont des exemples clairs du jugement de Dieu contre des peuples entiers qui rejettent son message de salut. Le mépris public de la loi morale doit entraîner la désintégration nationale, souvent aggravée par l'invasion d'une nation étrangère. La destruction de Sodome et Gomorrhe était le résultat direct de la licence immorale (</w:t>
      </w:r>
      <w:hyperlink r:id="rId7836">
        <w:r>
          <w:rPr>
            <w:color w:val="0000EE"/>
            <w:u w:val="single"/>
          </w:rPr>
          <w:t>Jd 1.7</w:t>
        </w:r>
      </w:hyperlink>
      <w:r>
        <w:t>).</w:t>
      </w:r>
    </w:p>
    <w:p>
      <w:pPr>
        <w:pStyle w:val="Heading3"/>
      </w:pPr>
      <w:r>
        <w:t>Le Jugement dernier</w:t>
      </w:r>
    </w:p>
    <w:p>
      <w:r/>
      <w:r>
        <w:t>Le jugement, au sens final et ultime, est, plus que toute autre chose, l'apparition de Jésus-Christ au dernier jour. À ce moment-là, le croyant héritera de la vie éternelle et le non-croyant sera damné. Un chrétien ne craint pas ce moment, car il a déjà été acquitté en Christ Jésus. Le non-croyant craint à juste titre la mort. Le rejet persistant de l'offre de salut de Dieu est la cause d'un jugement horrible et irrévocable. Il s'agit là du péché contre le Saint-Esprit (</w:t>
      </w:r>
      <w:hyperlink r:id="rId4668">
        <w:r>
          <w:rPr>
            <w:color w:val="0000EE"/>
            <w:u w:val="single"/>
          </w:rPr>
          <w:t>Mt 12.32</w:t>
        </w:r>
      </w:hyperlink>
      <w:r>
        <w:t>). Ceux qui tombent sous sa condamnation sont ceux qui ont entendu le message spécial de Dieu pour eux, sont convaincus de sa vérité, mais persistent néanmoins à rejeter ce salut. Tout comme le non-croyant rejète Dieu dans cette vie, Dieu le rejette ainsi dans sa mort pour toujours.</w:t>
      </w:r>
    </w:p>
    <w:p>
      <w:r/>
      <w:r>
        <w:t>En plus de ce jugement individuel, toutes les nations apparaîtront devant Jésus (</w:t>
      </w:r>
      <w:hyperlink r:id="rId7837">
        <w:r>
          <w:rPr>
            <w:color w:val="0000EE"/>
            <w:u w:val="single"/>
          </w:rPr>
          <w:t>Mt 25.31–32</w:t>
        </w:r>
      </w:hyperlink>
      <w:r>
        <w:t xml:space="preserve">). Le sort de tous ceux qui se présentent devant le Juge a déjà été scellé. Les Écritures enseignent qu'il y a un jugement en ce dernier jour qui sera fait sur la base des œuvres (v. </w:t>
      </w:r>
      <w:hyperlink r:id="rId7838">
        <w:r>
          <w:rPr>
            <w:color w:val="0000EE"/>
            <w:u w:val="single"/>
          </w:rPr>
          <w:t>31–46</w:t>
        </w:r>
      </w:hyperlink>
      <w:r>
        <w:t>). Cela ne doit pas être vu comme un déni ou une contradiction du principe du salut par la foi seule. Chacun entre dans une relation salvatrice avec Jésus-Christ par la foi seule, sans œuvres. La foi est connue seulement de Dieu et, en elle-même, n'est pas visible aux autres. Cependant, la preuve de la présence de la foi réside dans les œuvres.</w:t>
      </w:r>
    </w:p>
    <w:p>
      <w:r/>
      <w:r>
        <w:t xml:space="preserve">Le jugement de Dieu sur l'être humain dans cette vie peut être bénéfique car, à travers ce jugement, il l'appelle à la repentance. Le Jugement dernier sera définitif : personne ne sera autorisé à se repentir ou à changer d'avis sur Dieu. Ce jour-là, tous reconnaîtront la véracité des affirmations de Dieu en Christ Jésus, mais seuls ceux qui ont cru en lui et accompli sa volonté dans leur vie recevront l'invitation à entrer dans la vie éternelle (v. </w:t>
      </w:r>
      <w:hyperlink r:id="rId7839">
        <w:r>
          <w:rPr>
            <w:color w:val="0000EE"/>
            <w:u w:val="single"/>
          </w:rPr>
          <w:t>34</w:t>
        </w:r>
      </w:hyperlink>
      <w:r>
        <w:t>).</w:t>
      </w:r>
    </w:p>
    <w:p>
      <w:pPr>
        <w:pStyle w:val="Heading3"/>
      </w:pPr>
      <w:r>
        <w:t>Implications pratiques</w:t>
      </w:r>
    </w:p>
    <w:p>
      <w:r/>
      <w:r>
        <w:t>Le chrétien peut mener une vie positive et confiante, sachant que Jésus a pris sur lui le jugement divin pour lui, le libérant ainsi de toute rétribution divine supplémentaire. En même temps, il sera conscient du jugement de Dieu contre tous les péchés, y compris ceux des chrétiens, et qu'en dehors de Christ, ils subiraient la pire punition divine possible. Il perçoit le mal et les calamités de cette vie comme l'expression continue du mécontentement de Dieu envers le péché. Lorsque ceux-ci surviennent, le chrétien le verra comme autant d'occasions de sonder son propre cœur et de se repentir. Bien qu'il ne connaisse pas la date exacte du Jugement dernier, il se prépare chaque jour pour ce moment.</w:t>
      </w:r>
    </w:p>
    <w:p>
      <w:pPr>
        <w:pStyle w:val="Heading3"/>
      </w:pPr>
      <w:r>
        <w:t>Conclusion</w:t>
      </w:r>
    </w:p>
    <w:p>
      <w:r/>
      <w:r>
        <w:t>Le concept de jugement recouvre toute l'histoire de l'humanité, depuis la chute jusqu'au dernier jour. Dieu, en tant que Dieu juste qui distingue clairement le bien du mal, n'a d'autre choix que d'exercer un jugement sur chacun dans sa vie quotidienne et surtout à la fin de sa vie. Dans sa grâce, Dieu a envoyé son Fils pour subir le jugement que nous méritions, et dans sa miséricorde, il retarde le jour du Jugement final afin que nous puissions parvenir à la repentance par la foi en Jésus-Christ (</w:t>
      </w:r>
      <w:hyperlink r:id="rId7840">
        <w:r>
          <w:rPr>
            <w:color w:val="0000EE"/>
            <w:u w:val="single"/>
          </w:rPr>
          <w:t>2P 3.9</w:t>
        </w:r>
      </w:hyperlink>
      <w:r>
        <w:t>). Les grands concepts de création, de justice, de loi, de salut et d'expiation trouvent leur apogée dans le Jugement divin du dernier jour.</w:t>
      </w:r>
    </w:p>
    <w:p>
      <w:r/>
      <w:r>
        <w:rPr>
          <w:i/>
        </w:rPr>
        <w:t>Voir aussi</w:t>
      </w:r>
      <w:r>
        <w:t xml:space="preserve"> </w:t>
      </w:r>
      <w:r>
        <w:t>Enfer</w:t>
      </w:r>
      <w:r>
        <w:t xml:space="preserve"> ; </w:t>
      </w:r>
      <w:r>
        <w:t>Trône du Jugement</w:t>
      </w:r>
      <w:r>
        <w:t xml:space="preserve"> ; </w:t>
      </w:r>
      <w:r>
        <w:t>Justification, Justifié</w:t>
      </w:r>
      <w:r>
        <w:t xml:space="preserve"> ; </w:t>
      </w:r>
      <w:r>
        <w:t>Jugement dernier</w:t>
      </w:r>
      <w:r>
        <w:t xml:space="preserve"> ; </w:t>
      </w:r>
      <w:r>
        <w:t>Deuxième venue de Christ</w:t>
      </w:r>
      <w:r>
        <w:t xml:space="preserve"> ; </w:t>
      </w:r>
      <w:r>
        <w:t>Colère de Dieu</w:t>
      </w:r>
      <w:r>
        <w:t>.</w:t>
      </w:r>
      <w:r/>
      <w:r/>
    </w:p>
    <w:p>
      <w:r/>
    </w:p>
    <w:p>
      <w:pPr>
        <w:pStyle w:val="Heading2"/>
      </w:pPr>
      <w:r>
        <w:t>Juges, Livre de</w:t>
      </w:r>
      <w:r/>
    </w:p>
    <w:p>
      <w:r/>
      <w:r>
        <w:t>Livre de l'Ancien Testament nommé d'après les dirigeants éminents levés par le Seigneur pour délivrer son peuple. Le mot « juge » en hébreu désigne également l'activité de gouvernance, y compris la guerre. Certains experts ont soutenu qu'il y avait deux types de juges : les libérateurs charismatiques (ou juges majeurs) et les sages judiciaires locaux (juges mineurs). Il est incertain pourquoi certains juges reçoivent une attention sommaire, tandis que les exploits d'autres juges sont détaillés avec précision.</w:t>
      </w:r>
    </w:p>
    <w:p>
      <w:r/>
      <w:r>
        <w:t>Vue d'ensemble</w:t>
      </w:r>
    </w:p>
    <w:p>
      <w:r/>
      <w:r>
        <w:t xml:space="preserve">• </w:t>
      </w:r>
      <w:r>
        <w:rPr>
          <w:b/>
          <w:u w:val="single"/>
        </w:rPr>
        <w:t>Auteur</w:t>
      </w:r>
    </w:p>
    <w:p>
      <w:r/>
      <w:r>
        <w:t xml:space="preserve">• </w:t>
      </w:r>
      <w:r>
        <w:rPr>
          <w:b/>
          <w:u w:val="single"/>
        </w:rPr>
        <w:t>Date</w:t>
      </w:r>
    </w:p>
    <w:p>
      <w:r/>
      <w:r>
        <w:t xml:space="preserve">• </w:t>
      </w:r>
      <w:r>
        <w:rPr>
          <w:b/>
          <w:u w:val="single"/>
        </w:rPr>
        <w:t>Cadre littéraire</w:t>
      </w:r>
    </w:p>
    <w:p>
      <w:r/>
      <w:r>
        <w:t xml:space="preserve">• </w:t>
      </w:r>
      <w:r>
        <w:rPr>
          <w:b/>
          <w:u w:val="single"/>
        </w:rPr>
        <w:t>Objectif et enseignement théologique</w:t>
      </w:r>
    </w:p>
    <w:p>
      <w:r/>
      <w:r>
        <w:t xml:space="preserve">• </w:t>
      </w:r>
      <w:r>
        <w:rPr>
          <w:b/>
          <w:u w:val="single"/>
        </w:rPr>
        <w:t>Résumé</w:t>
      </w:r>
    </w:p>
    <w:p>
      <w:pPr>
        <w:pStyle w:val="Heading3"/>
      </w:pPr>
      <w:r>
        <w:t>Auteur</w:t>
      </w:r>
    </w:p>
    <w:p>
      <w:r/>
      <w:r>
        <w:t>Le livre est une édition finale du matériel issu de la période de la monarchie naissante. Il pourrait bien s'agir d'un traité polémique en faveur du règne juste de David, par opposition à la royauté de Saül, qui était façonnée par une conception séculière et cananéenne de la royauté plutôt que par la loi de Dieu. L'auteur n'était presque certainement pas Samuel, comme on le pensait traditionnellement, mais un compilateur ultérieur qui s'est appuyé sur des écrits anciens.</w:t>
      </w:r>
    </w:p>
    <w:p>
      <w:pPr>
        <w:pStyle w:val="Heading3"/>
      </w:pPr>
      <w:r>
        <w:t>Date</w:t>
      </w:r>
    </w:p>
    <w:p>
      <w:r/>
      <w:r>
        <w:t>Bien que les juges aient réussi à offrir aux tribus un peu de répit face aux incursions des ennemis environnants, les Israélites étaient continuellement harcelés pendant de longues périodes. L'opinion des spécialistes diffère quant à la durée de la période des juges. La datation de l'Exode influence la datation du début des juges. Ceux qui optent pour une date précoce pour l'Exode situent le début autour de 1 370–1 360 av. J.‑C., tandis que d'autres proposent une date proche de la fin du 13e siècle av. J.‑C. Une question connexe concerne la chronologie des juges. Le livre des Juges offre-t-il un récit chronologique et séquentiel de la période, ou est-ce un compte rendu représentatif des juges de diverses régions de Canaan et de Transjordanie qui ont « jugé » une région, une tribu ou plusieurs tribus simultanément ?</w:t>
      </w:r>
    </w:p>
    <w:p>
      <w:pPr>
        <w:pStyle w:val="Heading3"/>
      </w:pPr>
      <w:r>
        <w:t>Contexte Littéraire</w:t>
      </w:r>
    </w:p>
    <w:p>
      <w:r/>
      <w:r>
        <w:t>Il ne fait aucun doute que les récits du livre portent des marques de créativité littéraire. Ces récits sont des classiques à part entière. La poésie du chant de Débora (</w:t>
      </w:r>
      <w:hyperlink r:id="rId3662">
        <w:r>
          <w:rPr>
            <w:color w:val="0000EE"/>
            <w:u w:val="single"/>
          </w:rPr>
          <w:t>Jg 5</w:t>
        </w:r>
      </w:hyperlink>
      <w:r>
        <w:t>) est très émouvante, et la fable de Jotham (</w:t>
      </w:r>
      <w:hyperlink r:id="rId7841">
        <w:r>
          <w:rPr>
            <w:color w:val="0000EE"/>
            <w:u w:val="single"/>
          </w:rPr>
          <w:t>9.8–15</w:t>
        </w:r>
      </w:hyperlink>
      <w:r>
        <w:t>) est un bel exemple de langage figuré. Le soin apporté aux récits se voit également dans la composition du livre. Il y a deux introductions : une politique (</w:t>
      </w:r>
      <w:hyperlink r:id="rId7842">
        <w:r>
          <w:rPr>
            <w:color w:val="0000EE"/>
            <w:u w:val="single"/>
          </w:rPr>
          <w:t>Jg 1.1–2.5</w:t>
        </w:r>
      </w:hyperlink>
      <w:r>
        <w:t>) et une socio-religieuse (</w:t>
      </w:r>
      <w:hyperlink r:id="rId7843">
        <w:r>
          <w:rPr>
            <w:color w:val="0000EE"/>
            <w:u w:val="single"/>
          </w:rPr>
          <w:t>2.6–3.6</w:t>
        </w:r>
      </w:hyperlink>
      <w:r>
        <w:t>). L'introduction politique relie Juges à l'histoire de la Conquête, lorsque les tribus ont tenté d'occuper le territoire. Elle prépare le lecteur aux problèmes politiques et militaires de l'ère des juges. L'introduction socio-religieuse explique pourquoi Israël a connu tant d'adversité, pourquoi l'institution des juges a vu le jour, et pourquoi le Seigneur n'a jamais accordé à Israël le repos durable promis face à ses ennemis. Le corps principal du livre est l'histoire des juges (</w:t>
      </w:r>
      <w:hyperlink r:id="rId7844">
        <w:r>
          <w:rPr>
            <w:color w:val="0000EE"/>
            <w:u w:val="single"/>
          </w:rPr>
          <w:t>3.7–16.31</w:t>
        </w:r>
      </w:hyperlink>
      <w:r>
        <w:t>). Les références aux juges mineurs (six au total) sont intégrées dans les récits des juges majeurs avec une fréquence croissante. Comme le montre le schéma, le nombre de juges mineurs augmente en fréquence en proportion de la diminution du nombre de juges majeurs : deux majeurs, un mineur ; deux majeurs, deux mineurs ; un majeur, trois mineurs ; un majeur. Il y a un total de douze juges, représentant les douze tribus d'Israël.</w:t>
      </w:r>
    </w:p>
    <w:p>
      <w:r/>
      <w:r>
        <w:t xml:space="preserve">L'objectif de la liste des douze juges, représentants des diverses parties de Canaan et de la Transjordanie, est de démontrer que toutes les tribus à travers les territoires conquis ont rencontré de graves difficultés face à une variété d'ennemis : Araméens, Moabites, Ammonites, Amalécites, Cananéens et Philistins. Israël était fortement pressé sur presque toutes ses frontières. Les appendices (chap. </w:t>
      </w:r>
      <w:hyperlink r:id="rId7845">
        <w:r>
          <w:rPr>
            <w:color w:val="0000EE"/>
            <w:u w:val="single"/>
          </w:rPr>
          <w:t>17–21</w:t>
        </w:r>
      </w:hyperlink>
      <w:r>
        <w:t>), ainsi que les deux introductions, forment le cadre du livre. Les problèmes politiques et socioreligieux (</w:t>
      </w:r>
      <w:hyperlink r:id="rId7846">
        <w:r>
          <w:rPr>
            <w:color w:val="0000EE"/>
            <w:u w:val="single"/>
          </w:rPr>
          <w:t>1.1–3.6</w:t>
        </w:r>
      </w:hyperlink>
      <w:r>
        <w:t xml:space="preserve">) sont présentés à travers plusieurs histoires dans les derniers chapitres. Le rédacteur final qui a donné au livre sa forme canonique a intentionnellement positionné les histoires des juges de manière à montrer un manque de mouvement. Les succès des étapes précédentes de l'histoire rédemptrice se sont arrêtés dans le flux et reflux des juges. Bien que le Seigneur ait délivré son peuple de nombreuses manières, ils sont retournés aux problèmes décrits dans </w:t>
      </w:r>
      <w:hyperlink r:id="rId7846">
        <w:r>
          <w:rPr>
            <w:color w:val="0000EE"/>
            <w:u w:val="single"/>
          </w:rPr>
          <w:t>1.1–3.6</w:t>
        </w:r>
      </w:hyperlink>
      <w:r>
        <w:t xml:space="preserve">. Les appendices décrivent les problèmes d'Israël représentatifs de la période des juges, quand « </w:t>
      </w:r>
      <w:r>
        <w:t>il n’y avait point de roi en Israël</w:t>
      </w:r>
      <w:r>
        <w:t xml:space="preserve"> » (</w:t>
      </w:r>
      <w:hyperlink r:id="rId7847">
        <w:r>
          <w:rPr>
            <w:color w:val="0000EE"/>
            <w:u w:val="single"/>
          </w:rPr>
          <w:t>17.6</w:t>
        </w:r>
      </w:hyperlink>
      <w:r>
        <w:t xml:space="preserve"> ; </w:t>
      </w:r>
      <w:hyperlink r:id="rId7848">
        <w:r>
          <w:rPr>
            <w:color w:val="0000EE"/>
            <w:u w:val="single"/>
          </w:rPr>
          <w:t>18.1</w:t>
        </w:r>
      </w:hyperlink>
      <w:r>
        <w:t xml:space="preserve"> ; </w:t>
      </w:r>
      <w:hyperlink r:id="rId7849">
        <w:r>
          <w:rPr>
            <w:color w:val="0000EE"/>
            <w:u w:val="single"/>
          </w:rPr>
          <w:t>19.1</w:t>
        </w:r>
      </w:hyperlink>
      <w:r>
        <w:t xml:space="preserve"> ; </w:t>
      </w:r>
      <w:hyperlink r:id="rId7850">
        <w:r>
          <w:rPr>
            <w:color w:val="0000EE"/>
            <w:u w:val="single"/>
          </w:rPr>
          <w:t>21.25</w:t>
        </w:r>
      </w:hyperlink>
      <w:r>
        <w:t>).</w:t>
      </w:r>
    </w:p>
    <w:p>
      <w:pPr>
        <w:pStyle w:val="Heading3"/>
      </w:pPr>
      <w:r>
        <w:t>Objectif et Enseignement Théologique</w:t>
      </w:r>
    </w:p>
    <w:p>
      <w:r/>
      <w:r>
        <w:t>Le cycle d'apostasie, de jugement, de cri pour demander la délivrance et de Dieu qui lève un juge reflète une perspective deutéronomique avec ses avertissements concernant la désobéissance et le jugement. La répétition du cycle soutient l'affirmation du narrateur anonyme selon laquelle Israël est resté inchangé par la grâce de Dieu. Cependant, malgré l'anarchie morale, religieuse et politique ainsi que les guerres civiles, le dernier chapitre montre que les tribus se préoccupent toujours du bien-être les unes des autres. Bien que l'unité du peuple de Dieu ait été gravement mise à l'épreuve, la situation n'est pas désespérée. Le livre se termine sur une note d'espérance : l'espérance d'un roi qui pourrait délivrer Israël.</w:t>
      </w:r>
    </w:p>
    <w:p>
      <w:r/>
      <w:r>
        <w:t>Ainsi, le livre a plusieurs objectifs : 1) démontrer l'absence de sens de cette étape dans le développement d'Israël ; 2) expliquer pourquoi les tribus n'ont pas occupé toute la terre promise aux patriarches ; 3) justifier les actes de Dieu, qui a été gracieux et patient face aux actes répétés de désobéissance d'Israël ; 4) présenter la légitimité d'un roi « berger » par opposition à une forme de royauté despotique ; et (5) expliquer le besoin urgent d'un nouvel élan, de peur qu'Israël ne succombe aux Philistins et aux guerres intertribales.</w:t>
      </w:r>
    </w:p>
    <w:p>
      <w:pPr>
        <w:pStyle w:val="Heading3"/>
      </w:pPr>
      <w:r>
        <w:t>Contenu</w:t>
      </w:r>
    </w:p>
    <w:p>
      <w:pPr>
        <w:pStyle w:val="Heading4"/>
      </w:pPr>
      <w:r>
        <w:t>Introduction politique (</w:t>
      </w:r>
      <w:hyperlink r:id="rId7842">
        <w:r>
          <w:rPr>
            <w:color w:val="0000EE"/>
            <w:u w:val="single"/>
          </w:rPr>
          <w:t>1.1–2.5</w:t>
        </w:r>
      </w:hyperlink>
      <w:r>
        <w:t>)</w:t>
      </w:r>
    </w:p>
    <w:p>
      <w:r/>
      <w:r>
        <w:t xml:space="preserve">Dans </w:t>
      </w:r>
      <w:hyperlink r:id="rId3059">
        <w:r>
          <w:rPr>
            <w:color w:val="0000EE"/>
            <w:u w:val="single"/>
          </w:rPr>
          <w:t>Josué 1–12</w:t>
        </w:r>
      </w:hyperlink>
      <w:r>
        <w:t xml:space="preserve">, la guerre sous Josué est décrite comme une mobilisation des forces cananéennes contre Israël. Par l'intervention du Seigneur, la résistance cananéenne est réprimée et le pays est occupé par les tribus (chap </w:t>
      </w:r>
      <w:hyperlink r:id="rId7851">
        <w:r>
          <w:rPr>
            <w:color w:val="0000EE"/>
            <w:u w:val="single"/>
          </w:rPr>
          <w:t>13–21</w:t>
        </w:r>
      </w:hyperlink>
      <w:r>
        <w:t xml:space="preserve">). </w:t>
      </w:r>
      <w:hyperlink r:id="rId7851">
        <w:r>
          <w:rPr>
            <w:color w:val="0000EE"/>
            <w:u w:val="single"/>
          </w:rPr>
          <w:t>Josué 13–21</w:t>
        </w:r>
      </w:hyperlink>
      <w:r>
        <w:t xml:space="preserve">, cependant, montre clairement que chaque tribu avait des problèmes pour débarrasser son territoire des poches de résistance cananéenne, qui étaient généralement centrées autour de villes fortement gardées et bien fortifiées (voir </w:t>
      </w:r>
      <w:hyperlink r:id="rId7852">
        <w:r>
          <w:rPr>
            <w:color w:val="0000EE"/>
            <w:u w:val="single"/>
          </w:rPr>
          <w:t>13.2–6, 13</w:t>
        </w:r>
      </w:hyperlink>
      <w:r>
        <w:t xml:space="preserve"> ; </w:t>
      </w:r>
      <w:hyperlink r:id="rId7216">
        <w:r>
          <w:rPr>
            <w:color w:val="0000EE"/>
            <w:u w:val="single"/>
          </w:rPr>
          <w:t>15.63</w:t>
        </w:r>
      </w:hyperlink>
      <w:r>
        <w:t xml:space="preserve"> ; </w:t>
      </w:r>
      <w:hyperlink r:id="rId7474">
        <w:r>
          <w:rPr>
            <w:color w:val="0000EE"/>
            <w:u w:val="single"/>
          </w:rPr>
          <w:t>16.10</w:t>
        </w:r>
      </w:hyperlink>
      <w:r>
        <w:t xml:space="preserve"> ; </w:t>
      </w:r>
      <w:hyperlink r:id="rId7475">
        <w:r>
          <w:rPr>
            <w:color w:val="0000EE"/>
            <w:u w:val="single"/>
          </w:rPr>
          <w:t>17.12–18</w:t>
        </w:r>
      </w:hyperlink>
      <w:r>
        <w:t>).</w:t>
      </w:r>
    </w:p>
    <w:p>
      <w:r/>
      <w:r>
        <w:t>Le livre de Josué met l'accent sur les succès et minimise les problèmes, tandis que le prologue de Juges prépare le terrain pour le reste du livre en abordant ouvertement les problèmes et les échecs d'Israël. Au fur et à mesure que le récit avance, ce sont précisément ces problèmes et échecs qui, en temps voulu, amènent Israël au bord du désastre.</w:t>
      </w:r>
    </w:p>
    <w:p>
      <w:r/>
      <w:r>
        <w:t>La période des juges commence avec la mort de Josué (</w:t>
      </w:r>
      <w:hyperlink r:id="rId7853">
        <w:r>
          <w:rPr>
            <w:color w:val="0000EE"/>
            <w:u w:val="single"/>
          </w:rPr>
          <w:t>Jg 1.1</w:t>
        </w:r>
      </w:hyperlink>
      <w:r>
        <w:t xml:space="preserve"> ; </w:t>
      </w:r>
      <w:hyperlink r:id="rId7854">
        <w:r>
          <w:rPr>
            <w:color w:val="0000EE"/>
            <w:u w:val="single"/>
          </w:rPr>
          <w:t>2.8–9</w:t>
        </w:r>
      </w:hyperlink>
      <w:r>
        <w:t>). Les Israélites avaient hérité de Josué les choses suivantes : la loi du Seigneur (</w:t>
      </w:r>
      <w:hyperlink r:id="rId7484">
        <w:r>
          <w:rPr>
            <w:color w:val="0000EE"/>
            <w:u w:val="single"/>
          </w:rPr>
          <w:t>Jos 23.6</w:t>
        </w:r>
      </w:hyperlink>
      <w:r>
        <w:t xml:space="preserve"> ; </w:t>
      </w:r>
      <w:hyperlink r:id="rId7446">
        <w:r>
          <w:rPr>
            <w:color w:val="0000EE"/>
            <w:u w:val="single"/>
          </w:rPr>
          <w:t>24.26</w:t>
        </w:r>
      </w:hyperlink>
      <w:r>
        <w:t>), la terre, un défi d'obéir au Seigneur (</w:t>
      </w:r>
      <w:hyperlink r:id="rId7855">
        <w:r>
          <w:rPr>
            <w:color w:val="0000EE"/>
            <w:u w:val="single"/>
          </w:rPr>
          <w:t>24.14–27</w:t>
        </w:r>
      </w:hyperlink>
      <w:r>
        <w:t>), et une promesse de la présence et de l'aide de Dieu pour soumettre les Cananéens (</w:t>
      </w:r>
      <w:hyperlink r:id="rId7856">
        <w:r>
          <w:rPr>
            <w:color w:val="0000EE"/>
            <w:u w:val="single"/>
          </w:rPr>
          <w:t>23.5, 10</w:t>
        </w:r>
      </w:hyperlink>
      <w:r>
        <w:t>).</w:t>
      </w:r>
    </w:p>
    <w:p>
      <w:r/>
      <w:r>
        <w:t>Juda et Siméon (</w:t>
      </w:r>
      <w:hyperlink r:id="rId7857">
        <w:r>
          <w:rPr>
            <w:color w:val="0000EE"/>
            <w:u w:val="single"/>
          </w:rPr>
          <w:t>Jg 1.2–20</w:t>
        </w:r>
      </w:hyperlink>
      <w:r>
        <w:t>)</w:t>
      </w:r>
    </w:p>
    <w:p>
      <w:r/>
      <w:r>
        <w:t>La prééminence de Juda et de Caleb est parallèle à la position de Juda dans Josué (</w:t>
      </w:r>
      <w:hyperlink r:id="rId7858">
        <w:r>
          <w:rPr>
            <w:color w:val="0000EE"/>
            <w:u w:val="single"/>
          </w:rPr>
          <w:t>Jos 14.6–15.63</w:t>
        </w:r>
      </w:hyperlink>
      <w:r>
        <w:t xml:space="preserve"> ; voir aussi la maison de Joseph, </w:t>
      </w:r>
      <w:hyperlink r:id="rId7859">
        <w:r>
          <w:rPr>
            <w:color w:val="0000EE"/>
            <w:u w:val="single"/>
          </w:rPr>
          <w:t>Jg 1.22–29</w:t>
        </w:r>
      </w:hyperlink>
      <w:r>
        <w:t xml:space="preserve"> ; voir </w:t>
      </w:r>
      <w:hyperlink r:id="rId7599">
        <w:r>
          <w:rPr>
            <w:color w:val="0000EE"/>
            <w:u w:val="single"/>
          </w:rPr>
          <w:t>Jos 16–17</w:t>
        </w:r>
      </w:hyperlink>
      <w:r>
        <w:t>). Juda l'emporte sur le cruel Adoni-Bézek, qui régnait sur Bézek, une ville de localisation incertaine. Juda occupe avec succès la région montagneuse, le Néguev et les contreforts occidentaux. Ils prennent même Jérusalem, ou une banlieue identifiée avec Jérusalem (</w:t>
      </w:r>
      <w:hyperlink r:id="rId7860">
        <w:r>
          <w:rPr>
            <w:color w:val="0000EE"/>
            <w:u w:val="single"/>
          </w:rPr>
          <w:t>Jos 1.8</w:t>
        </w:r>
      </w:hyperlink>
      <w:r>
        <w:t xml:space="preserve">), mais ne parviennent pas à y conserver le contrôle (v. </w:t>
      </w:r>
      <w:hyperlink r:id="rId7861">
        <w:r>
          <w:rPr>
            <w:color w:val="0000EE"/>
            <w:u w:val="single"/>
          </w:rPr>
          <w:t>21</w:t>
        </w:r>
      </w:hyperlink>
      <w:r>
        <w:t>) jusqu'à la conquête de la ville par David (</w:t>
      </w:r>
      <w:hyperlink r:id="rId7862">
        <w:r>
          <w:rPr>
            <w:color w:val="0000EE"/>
            <w:u w:val="single"/>
          </w:rPr>
          <w:t>2S 5.6–9</w:t>
        </w:r>
      </w:hyperlink>
      <w:r>
        <w:t>). Juda est victorieux sur les Cananéens dans la région d'Hébron, déjà conquise sous Josué (</w:t>
      </w:r>
      <w:hyperlink r:id="rId7863">
        <w:r>
          <w:rPr>
            <w:color w:val="0000EE"/>
            <w:u w:val="single"/>
          </w:rPr>
          <w:t>Jos 10.36</w:t>
        </w:r>
      </w:hyperlink>
      <w:r>
        <w:t xml:space="preserve">). Hébron, également connue sous le nom de Kirjath-Arba (« ville des quatre » ou « tétrapole »), était un allié puissant de Jérusalem (v. </w:t>
      </w:r>
      <w:hyperlink r:id="rId768">
        <w:r>
          <w:rPr>
            <w:color w:val="0000EE"/>
            <w:u w:val="single"/>
          </w:rPr>
          <w:t>3</w:t>
        </w:r>
      </w:hyperlink>
      <w:r>
        <w:t>) et avait pu rassembler un soutien militaire pour une nouvelle attaque contre Israël, même après sa première défaite. Caleb reçoit Hébron, comme Moïse l'avait promis (</w:t>
      </w:r>
      <w:hyperlink r:id="rId7864">
        <w:r>
          <w:rPr>
            <w:color w:val="0000EE"/>
            <w:u w:val="single"/>
          </w:rPr>
          <w:t>Jg 1.20</w:t>
        </w:r>
      </w:hyperlink>
      <w:r>
        <w:t xml:space="preserve"> ; voir </w:t>
      </w:r>
      <w:hyperlink r:id="rId7865">
        <w:r>
          <w:rPr>
            <w:color w:val="0000EE"/>
            <w:u w:val="single"/>
          </w:rPr>
          <w:t>Jos 15.13</w:t>
        </w:r>
      </w:hyperlink>
      <w:r>
        <w:t>). Après la victoire sur Hébron, Juda étend son contrôle sur la région montagneuse du sud par une attaque sur Debir (</w:t>
      </w:r>
      <w:hyperlink r:id="rId7866">
        <w:r>
          <w:rPr>
            <w:color w:val="0000EE"/>
            <w:u w:val="single"/>
          </w:rPr>
          <w:t>Jg 1.11–15</w:t>
        </w:r>
      </w:hyperlink>
      <w:r>
        <w:t xml:space="preserve"> ; voir </w:t>
      </w:r>
      <w:hyperlink r:id="rId7867">
        <w:r>
          <w:rPr>
            <w:color w:val="0000EE"/>
            <w:u w:val="single"/>
          </w:rPr>
          <w:t>Jos 15.14–19</w:t>
        </w:r>
      </w:hyperlink>
      <w:r>
        <w:t>).</w:t>
      </w:r>
    </w:p>
    <w:p>
      <w:r/>
      <w:r>
        <w:t>Les Kéniens (</w:t>
      </w:r>
      <w:hyperlink r:id="rId605">
        <w:r>
          <w:rPr>
            <w:color w:val="0000EE"/>
            <w:u w:val="single"/>
          </w:rPr>
          <w:t>Jg 1.16</w:t>
        </w:r>
      </w:hyperlink>
      <w:r>
        <w:t>), descendants de Jéthro et donc liés à Moïse par mariage, s'installent dans le Néguev autour d'Arad et de la ville des palmiers, qui ici se réfère probablement à Tamar plutôt qu'à Jéricho.</w:t>
      </w:r>
    </w:p>
    <w:p>
      <w:r/>
      <w:r>
        <w:t>Juda sécurise la frontière sud par une victoire sur les Cananéens à Horma (</w:t>
      </w:r>
      <w:hyperlink r:id="rId7868">
        <w:r>
          <w:rPr>
            <w:color w:val="0000EE"/>
            <w:u w:val="single"/>
          </w:rPr>
          <w:t>Jg 1.17</w:t>
        </w:r>
      </w:hyperlink>
      <w:r>
        <w:t xml:space="preserve"> ; voir </w:t>
      </w:r>
      <w:hyperlink r:id="rId7869">
        <w:r>
          <w:rPr>
            <w:color w:val="0000EE"/>
            <w:u w:val="single"/>
          </w:rPr>
          <w:t>Nb 14.45</w:t>
        </w:r>
      </w:hyperlink>
      <w:r>
        <w:t xml:space="preserve"> ; </w:t>
      </w:r>
      <w:hyperlink r:id="rId7870">
        <w:r>
          <w:rPr>
            <w:color w:val="0000EE"/>
            <w:u w:val="single"/>
          </w:rPr>
          <w:t>21.3</w:t>
        </w:r>
      </w:hyperlink>
      <w:r>
        <w:t xml:space="preserve"> ; </w:t>
      </w:r>
      <w:hyperlink r:id="rId7871">
        <w:r>
          <w:rPr>
            <w:color w:val="0000EE"/>
            <w:u w:val="single"/>
          </w:rPr>
          <w:t>Dt 1.44</w:t>
        </w:r>
      </w:hyperlink>
      <w:r>
        <w:t>) et la plaine côtière par des victoires à Gaza, Askalon et Ékron. Cependant, les succès de Juda dans la plaine côtière ont été entravés par une force cananéenne bien armée (</w:t>
      </w:r>
      <w:hyperlink r:id="rId5900">
        <w:r>
          <w:rPr>
            <w:color w:val="0000EE"/>
            <w:u w:val="single"/>
          </w:rPr>
          <w:t>Jg 1.18–19</w:t>
        </w:r>
      </w:hyperlink>
      <w:r>
        <w:t>). Il occupait la région montagneuse de Judée et le Néguev, mais ne pouvait pas conserver le contrôle des plaines. Les Philistins allaient bientôt prendre le contrôle de Gaza, Askalon et Ékron, et les intégrer dans leur pentapole.</w:t>
      </w:r>
    </w:p>
    <w:p>
      <w:r/>
      <w:r>
        <w:t>Benjamin (</w:t>
      </w:r>
      <w:hyperlink r:id="rId1778">
        <w:r>
          <w:rPr>
            <w:color w:val="0000EE"/>
            <w:u w:val="single"/>
          </w:rPr>
          <w:t>1.21</w:t>
        </w:r>
      </w:hyperlink>
      <w:r>
        <w:t>)</w:t>
      </w:r>
    </w:p>
    <w:p>
      <w:r/>
      <w:r>
        <w:t>Jérusalem était située à la frontière entre Juda et Benjamin. Juda prend la ville ou une banlieue (</w:t>
      </w:r>
      <w:hyperlink r:id="rId7860">
        <w:r>
          <w:rPr>
            <w:color w:val="0000EE"/>
            <w:u w:val="single"/>
          </w:rPr>
          <w:t>Jos 1.8</w:t>
        </w:r>
      </w:hyperlink>
      <w:r>
        <w:t>) mais était trop éloigné pour en conserver le contrôle. Benjamin était trop faible pour soumettre les Jébusiens. Seul David réussira à le faire (</w:t>
      </w:r>
      <w:hyperlink r:id="rId7862">
        <w:r>
          <w:rPr>
            <w:color w:val="0000EE"/>
            <w:u w:val="single"/>
          </w:rPr>
          <w:t>2S 5.6–9</w:t>
        </w:r>
      </w:hyperlink>
      <w:r>
        <w:t xml:space="preserve">) ; il l'a incorporée à Juda (voir </w:t>
      </w:r>
      <w:hyperlink r:id="rId7216">
        <w:r>
          <w:rPr>
            <w:color w:val="0000EE"/>
            <w:u w:val="single"/>
          </w:rPr>
          <w:t>Jos 15.63</w:t>
        </w:r>
      </w:hyperlink>
      <w:r>
        <w:t>), bien qu'elle ait été initialement attribuée à Benjamin (</w:t>
      </w:r>
      <w:hyperlink r:id="rId7135">
        <w:r>
          <w:rPr>
            <w:color w:val="0000EE"/>
            <w:u w:val="single"/>
          </w:rPr>
          <w:t>Jos 18.28</w:t>
        </w:r>
      </w:hyperlink>
      <w:r>
        <w:t>).</w:t>
      </w:r>
    </w:p>
    <w:p>
      <w:r/>
      <w:r>
        <w:t>Joseph : Éphraïm et Manassé (</w:t>
      </w:r>
      <w:hyperlink r:id="rId7859">
        <w:r>
          <w:rPr>
            <w:color w:val="0000EE"/>
            <w:u w:val="single"/>
          </w:rPr>
          <w:t>1.22–29</w:t>
        </w:r>
      </w:hyperlink>
      <w:r>
        <w:t>)</w:t>
      </w:r>
    </w:p>
    <w:p>
      <w:r/>
      <w:r>
        <w:t>Éphraïm prend Béthel, connu grâce aux récits patriarcaux comme un site cultuel important (</w:t>
      </w:r>
      <w:hyperlink r:id="rId88">
        <w:r>
          <w:rPr>
            <w:color w:val="0000EE"/>
            <w:u w:val="single"/>
          </w:rPr>
          <w:t>Gn 12.8</w:t>
        </w:r>
      </w:hyperlink>
      <w:r>
        <w:t xml:space="preserve"> ; </w:t>
      </w:r>
      <w:hyperlink r:id="rId7872">
        <w:r>
          <w:rPr>
            <w:color w:val="0000EE"/>
            <w:u w:val="single"/>
          </w:rPr>
          <w:t>13.3–4</w:t>
        </w:r>
      </w:hyperlink>
      <w:r>
        <w:t xml:space="preserve"> ; </w:t>
      </w:r>
      <w:hyperlink r:id="rId1874">
        <w:r>
          <w:rPr>
            <w:color w:val="0000EE"/>
            <w:u w:val="single"/>
          </w:rPr>
          <w:t>28.19</w:t>
        </w:r>
      </w:hyperlink>
      <w:r>
        <w:t xml:space="preserve"> ; </w:t>
      </w:r>
      <w:hyperlink r:id="rId7186">
        <w:r>
          <w:rPr>
            <w:color w:val="0000EE"/>
            <w:u w:val="single"/>
          </w:rPr>
          <w:t>31.13</w:t>
        </w:r>
      </w:hyperlink>
      <w:r>
        <w:t xml:space="preserve"> ; </w:t>
      </w:r>
      <w:hyperlink r:id="rId7873">
        <w:r>
          <w:rPr>
            <w:color w:val="0000EE"/>
            <w:u w:val="single"/>
          </w:rPr>
          <w:t>35.1–15</w:t>
        </w:r>
      </w:hyperlink>
      <w:r>
        <w:t>). Cependant, Manassé ne réussira pas à prendre les villes fortifiées dans la vallée de Jizreel (Esdraelon) : Beth-Schan, Taanach, Dor, Jibleam et Meguiddo. Ces villes contrôlaient le trafic le long des routes est-ouest et nord-sud ainsi que les passages importants à travers la chaîne du Carmel et le gué du Jourdain. Éphraïm ne pouvait pas prendre pleine possession de la plaine côtière, contrôlée par Guézer. Le succès d'Éphraïm et de Manassé était limité.</w:t>
      </w:r>
    </w:p>
    <w:p>
      <w:r/>
      <w:r>
        <w:t>Les quatre autres tribus (</w:t>
      </w:r>
      <w:hyperlink r:id="rId7874">
        <w:r>
          <w:rPr>
            <w:color w:val="0000EE"/>
            <w:u w:val="single"/>
          </w:rPr>
          <w:t>1.30–36</w:t>
        </w:r>
      </w:hyperlink>
      <w:r>
        <w:t>)</w:t>
      </w:r>
    </w:p>
    <w:p>
      <w:r/>
      <w:r>
        <w:t>Les quatre autres tribus de Canaan sont brièvement mentionnées. Elles aussi ne réussissent que partiellement. Zabulon, Aser, Nephtali, et surtout Dan n'ont pas complètement réussi à chasser les Cananéens. Au mieux, elles les soumettent plus tard en grande partie au travail forcé.</w:t>
      </w:r>
    </w:p>
    <w:p>
      <w:r/>
      <w:r>
        <w:t>L'échec d'Israël (</w:t>
      </w:r>
      <w:hyperlink r:id="rId7875">
        <w:r>
          <w:rPr>
            <w:color w:val="0000EE"/>
            <w:u w:val="single"/>
          </w:rPr>
          <w:t>2.1–5</w:t>
        </w:r>
      </w:hyperlink>
      <w:r>
        <w:t>)</w:t>
      </w:r>
    </w:p>
    <w:p>
      <w:r/>
      <w:r>
        <w:t xml:space="preserve">L'échec à soumettre le pays et à exterminer les Cananéens et leur culture conduit à des mariages mixtes et à l'idolâtrie (voir </w:t>
      </w:r>
      <w:hyperlink r:id="rId7876">
        <w:r>
          <w:rPr>
            <w:color w:val="0000EE"/>
            <w:u w:val="single"/>
          </w:rPr>
          <w:t>Ex 23.33</w:t>
        </w:r>
      </w:hyperlink>
      <w:r>
        <w:t xml:space="preserve"> ; </w:t>
      </w:r>
      <w:hyperlink r:id="rId7877">
        <w:r>
          <w:rPr>
            <w:color w:val="0000EE"/>
            <w:u w:val="single"/>
          </w:rPr>
          <w:t>34.12–16</w:t>
        </w:r>
      </w:hyperlink>
      <w:r>
        <w:t xml:space="preserve"> ; </w:t>
      </w:r>
      <w:hyperlink r:id="rId3180">
        <w:r>
          <w:rPr>
            <w:color w:val="0000EE"/>
            <w:u w:val="single"/>
          </w:rPr>
          <w:t>Nb 33.55</w:t>
        </w:r>
      </w:hyperlink>
      <w:r>
        <w:t xml:space="preserve"> ; </w:t>
      </w:r>
      <w:hyperlink r:id="rId7878">
        <w:r>
          <w:rPr>
            <w:color w:val="0000EE"/>
            <w:u w:val="single"/>
          </w:rPr>
          <w:t>Dt 7.2–5, 16</w:t>
        </w:r>
      </w:hyperlink>
      <w:r>
        <w:t xml:space="preserve"> ; </w:t>
      </w:r>
      <w:hyperlink r:id="rId7879">
        <w:r>
          <w:rPr>
            <w:color w:val="0000EE"/>
            <w:u w:val="single"/>
          </w:rPr>
          <w:t>Jos 23.7, 12</w:t>
        </w:r>
      </w:hyperlink>
      <w:r>
        <w:t>).</w:t>
      </w:r>
    </w:p>
    <w:p>
      <w:r/>
      <w:r>
        <w:t xml:space="preserve">L'identité de « l'ange du Seigneur » qui apparaît à Bokim n'est pas certaine. Il peut s'agir d'une référence au Seigneur lui-même, à un messager angélique ou à un prophète (voir </w:t>
      </w:r>
      <w:hyperlink r:id="rId7880">
        <w:r>
          <w:rPr>
            <w:color w:val="0000EE"/>
            <w:u w:val="single"/>
          </w:rPr>
          <w:t>Jg 6.8</w:t>
        </w:r>
      </w:hyperlink>
      <w:r>
        <w:t>). Il réprimande le peuple dans un esprit prophétique et prononce le jugement de Dieu sous la forme d'un affrontement continu entre Israël et les Cananéens (</w:t>
      </w:r>
      <w:hyperlink r:id="rId7881">
        <w:r>
          <w:rPr>
            <w:color w:val="0000EE"/>
            <w:u w:val="single"/>
          </w:rPr>
          <w:t>2.3</w:t>
        </w:r>
      </w:hyperlink>
      <w:r>
        <w:t>). Leurs pleurs et leurs sacrifices étaient en vain (</w:t>
      </w:r>
      <w:hyperlink r:id="rId7882">
        <w:r>
          <w:rPr>
            <w:color w:val="0000EE"/>
            <w:u w:val="single"/>
          </w:rPr>
          <w:t>2.4–5</w:t>
        </w:r>
      </w:hyperlink>
      <w:r>
        <w:t xml:space="preserve"> ; voir </w:t>
      </w:r>
      <w:hyperlink r:id="rId7883">
        <w:r>
          <w:rPr>
            <w:color w:val="0000EE"/>
            <w:u w:val="single"/>
          </w:rPr>
          <w:t>Ml 2.13</w:t>
        </w:r>
      </w:hyperlink>
      <w:r>
        <w:t>). Israël se trouve condamné, une génération après la mort de Josué.</w:t>
      </w:r>
    </w:p>
    <w:p>
      <w:pPr>
        <w:pStyle w:val="Heading4"/>
      </w:pPr>
      <w:r>
        <w:t>Introduction théologique (</w:t>
      </w:r>
      <w:hyperlink r:id="rId7843">
        <w:r>
          <w:rPr>
            <w:color w:val="0000EE"/>
            <w:u w:val="single"/>
          </w:rPr>
          <w:t>2.6–3.6</w:t>
        </w:r>
      </w:hyperlink>
      <w:r>
        <w:t>)</w:t>
      </w:r>
    </w:p>
    <w:p>
      <w:r/>
      <w:r>
        <w:t>L'introduction théologique commence là où Josué s'est arrêté (</w:t>
      </w:r>
      <w:hyperlink r:id="rId7884">
        <w:r>
          <w:rPr>
            <w:color w:val="0000EE"/>
            <w:u w:val="single"/>
          </w:rPr>
          <w:t>Jos 24.28–31</w:t>
        </w:r>
      </w:hyperlink>
      <w:r>
        <w:t>). La génération de Josué se distinguait par sa loyauté, mais leur fidélité au Seigneur ne durera pas longtemps après l'excitation de la Conquête et la démonstration de la présence de Dieu (</w:t>
      </w:r>
      <w:hyperlink r:id="rId7885">
        <w:r>
          <w:rPr>
            <w:color w:val="0000EE"/>
            <w:u w:val="single"/>
          </w:rPr>
          <w:t>Jg 2.10</w:t>
        </w:r>
      </w:hyperlink>
      <w:r>
        <w:t xml:space="preserve">). Israël servira les dieux cananéens (Baal et Astarté) à la place. Baal était le dieu de la tempête, symbole de la pluie et de la fertilité, et Astarté était sa compagne. Le pluriel (les Baals et les </w:t>
      </w:r>
      <w:r>
        <w:t>Astartés</w:t>
      </w:r>
      <w:r>
        <w:t xml:space="preserve">, </w:t>
      </w:r>
      <w:hyperlink r:id="rId7886">
        <w:r>
          <w:rPr>
            <w:color w:val="0000EE"/>
            <w:u w:val="single"/>
          </w:rPr>
          <w:t>2.11–13</w:t>
        </w:r>
      </w:hyperlink>
      <w:r>
        <w:t xml:space="preserve">) indique les nombreuses manières locales dont les dieux cananéens étaient adorés. L'unité religieuse sera fragmentée, donnant lieu à une grande diversité. Ainsi, Israël irritera le Seigneur (v. </w:t>
      </w:r>
      <w:hyperlink r:id="rId7887">
        <w:r>
          <w:rPr>
            <w:color w:val="0000EE"/>
            <w:u w:val="single"/>
          </w:rPr>
          <w:t>12–14</w:t>
        </w:r>
      </w:hyperlink>
      <w:r>
        <w:t>), qui leur enverra des ennemis et des pillards. Israël ne réussira pas à les affronter, comme Moïse et Josué l'avaient prédit (</w:t>
      </w:r>
      <w:hyperlink r:id="rId7888">
        <w:r>
          <w:rPr>
            <w:color w:val="0000EE"/>
            <w:u w:val="single"/>
          </w:rPr>
          <w:t>Dt 28.25, 33</w:t>
        </w:r>
      </w:hyperlink>
      <w:r>
        <w:t xml:space="preserve"> ; </w:t>
      </w:r>
      <w:hyperlink r:id="rId7889">
        <w:r>
          <w:rPr>
            <w:color w:val="0000EE"/>
            <w:u w:val="single"/>
          </w:rPr>
          <w:t>Jos 23.13, 16</w:t>
        </w:r>
      </w:hyperlink>
      <w:r>
        <w:t>). Le cycle d'apostasie, de jugement, de demande de miséricorde et de délivrance se retrouve tout au long des Juges. Le peuple était enraciné dans l'apostasie de leurs ancêtres, bien que la génération précédente ait été sensible à Dieu. Israël ne se soumet pas à la direction des juges, sauf pour se libérer des oppresseurs. En accomplissement des malédictions de l'alliance, Dieu jurera de ne pas donner de repos à son peuple mais de l'éprouver et de l'entraîner à la guerre (</w:t>
      </w:r>
      <w:hyperlink r:id="rId7890">
        <w:r>
          <w:rPr>
            <w:color w:val="0000EE"/>
            <w:u w:val="single"/>
          </w:rPr>
          <w:t>Jg 3.1–4</w:t>
        </w:r>
      </w:hyperlink>
      <w:r>
        <w:t>), afin qu'ils apprennent à répondre aux défis d'un monde réel.</w:t>
      </w:r>
    </w:p>
    <w:p>
      <w:pPr>
        <w:pStyle w:val="Heading4"/>
      </w:pPr>
      <w:r>
        <w:t>Les Juges d'Israël (</w:t>
      </w:r>
      <w:hyperlink r:id="rId7844">
        <w:r>
          <w:rPr>
            <w:color w:val="0000EE"/>
            <w:u w:val="single"/>
          </w:rPr>
          <w:t>3.7–16.31</w:t>
        </w:r>
      </w:hyperlink>
      <w:r>
        <w:t>)</w:t>
      </w:r>
    </w:p>
    <w:p>
      <w:r/>
      <w:r>
        <w:t>Othniel (</w:t>
      </w:r>
      <w:hyperlink r:id="rId7891">
        <w:r>
          <w:rPr>
            <w:color w:val="0000EE"/>
            <w:u w:val="single"/>
          </w:rPr>
          <w:t>3.7–11</w:t>
        </w:r>
      </w:hyperlink>
      <w:r>
        <w:t>)</w:t>
      </w:r>
    </w:p>
    <w:p>
      <w:r/>
      <w:r>
        <w:t>Othniel est une figure de transition, reliant la Conquête et les juges. Il avait participé à la conquête de Kirjath-Sépher et était lié à Caleb en tant que cousin et gendre (</w:t>
      </w:r>
      <w:hyperlink r:id="rId7892">
        <w:r>
          <w:rPr>
            <w:color w:val="0000EE"/>
            <w:u w:val="single"/>
          </w:rPr>
          <w:t>1.13</w:t>
        </w:r>
      </w:hyperlink>
      <w:r>
        <w:t>). Il repoussa les Araméens dirigés par Cuschan-Rischeathaïm, et le pays jouira de la paix pendant environ quarante ans.</w:t>
      </w:r>
    </w:p>
    <w:p>
      <w:r/>
      <w:r>
        <w:t>Éhud (</w:t>
      </w:r>
      <w:hyperlink r:id="rId7893">
        <w:r>
          <w:rPr>
            <w:color w:val="0000EE"/>
            <w:u w:val="single"/>
          </w:rPr>
          <w:t>3.12–30</w:t>
        </w:r>
      </w:hyperlink>
      <w:r>
        <w:t>)</w:t>
      </w:r>
    </w:p>
    <w:p>
      <w:r/>
      <w:r>
        <w:t>Les Moabites, alliés aux Ammonites et aux Amalécites, viennent contre Israël depuis l'orient et les oppriment pendant dix-huit ans sous la direction d'Églon. Éhud mènera la mission pour apporter un tribut à Églon dans son palais, sans doute situé près de Jéricho (la ville des palmiers). Éhud était particulièrement qualifié pour cette mission : étant gaucher, il pourra utiliser son épée à double tranchant de manière inattendue pour poignarder le roi. Le succès d'Éhud sera le résultat d'une planification minutieuse, y associant l'élément de surprise. Il payera le tribut et part, pour revenir seulement avec un prétendu oracle des dieux. Le roi tombe dans le piège et sera assassiné. Le retard à la cour moabite donne aux Israélites l'occasion de rassembler leurs forces aux gués du Jourdain. Le succès d'Éhud sera total : aucun Moabite n'en réchappera, et Israël jouira de la paix pendant quatre-vingts ans.</w:t>
      </w:r>
    </w:p>
    <w:p>
      <w:r/>
      <w:r>
        <w:t>Schamgar (</w:t>
      </w:r>
      <w:hyperlink r:id="rId7894">
        <w:r>
          <w:rPr>
            <w:color w:val="0000EE"/>
            <w:u w:val="single"/>
          </w:rPr>
          <w:t>3.31</w:t>
        </w:r>
      </w:hyperlink>
      <w:r>
        <w:t>)</w:t>
      </w:r>
    </w:p>
    <w:p>
      <w:r/>
      <w:r>
        <w:t>Les exploits de Schamgar étaient dirigés contre les Philistins dans les plaines côtières. Bien que son nom soit non-israélite, il était sans doute israélite de naissance. À l'instar de Samson, il a combattra les Philistins avec une arme non conventionnelle (un aiguillon à bœufs). Son nom est également mentionné dans le chant de Débora (</w:t>
      </w:r>
      <w:hyperlink r:id="rId7895">
        <w:r>
          <w:rPr>
            <w:color w:val="0000EE"/>
            <w:u w:val="single"/>
          </w:rPr>
          <w:t>5.6</w:t>
        </w:r>
      </w:hyperlink>
      <w:r>
        <w:t>).</w:t>
      </w:r>
    </w:p>
    <w:p>
      <w:r/>
      <w:r>
        <w:t>Débora et Barak (</w:t>
      </w:r>
      <w:hyperlink r:id="rId3651">
        <w:r>
          <w:rPr>
            <w:color w:val="0000EE"/>
            <w:u w:val="single"/>
          </w:rPr>
          <w:t>4.1–5.31</w:t>
        </w:r>
      </w:hyperlink>
      <w:r>
        <w:t>)</w:t>
      </w:r>
    </w:p>
    <w:p>
      <w:r/>
      <w:r>
        <w:t xml:space="preserve">Le récit se tourne maintenant vers les agresseurs cananéens au nord sous la direction de Jabin, roi de Hatsor, et Sisera, de </w:t>
      </w:r>
      <w:r>
        <w:t>Haroscheth-Goïm</w:t>
      </w:r>
      <w:r>
        <w:t xml:space="preserve"> (</w:t>
      </w:r>
      <w:hyperlink r:id="rId7896">
        <w:r>
          <w:rPr>
            <w:color w:val="0000EE"/>
            <w:u w:val="single"/>
          </w:rPr>
          <w:t>4.1–3</w:t>
        </w:r>
      </w:hyperlink>
      <w:r>
        <w:t>). Les ruines de Hatsor (</w:t>
      </w:r>
      <w:hyperlink r:id="rId7897">
        <w:r>
          <w:rPr>
            <w:color w:val="0000EE"/>
            <w:u w:val="single"/>
          </w:rPr>
          <w:t>Jos 11.13</w:t>
        </w:r>
      </w:hyperlink>
      <w:r>
        <w:t xml:space="preserve">) avaient été reconstruites, et un autre Jabin (voir v. </w:t>
      </w:r>
      <w:hyperlink r:id="rId7293">
        <w:r>
          <w:rPr>
            <w:color w:val="0000EE"/>
            <w:u w:val="single"/>
          </w:rPr>
          <w:t>1</w:t>
        </w:r>
      </w:hyperlink>
      <w:r>
        <w:t>) régnait sur la région. Il avait retrouvé sa puissance militaire, car il possédait jusqu'à neuf cents chars de fer. Il opprimera Israël pendant vingt ans (</w:t>
      </w:r>
      <w:hyperlink r:id="rId7898">
        <w:r>
          <w:rPr>
            <w:color w:val="0000EE"/>
            <w:u w:val="single"/>
          </w:rPr>
          <w:t>Jg 4.3</w:t>
        </w:r>
      </w:hyperlink>
      <w:r>
        <w:t>).</w:t>
      </w:r>
    </w:p>
    <w:p>
      <w:r/>
      <w:r>
        <w:t>Dieu avait une prophétesse en Israël qui dirigeait son peuple pendant cette période sombre (</w:t>
      </w:r>
      <w:hyperlink r:id="rId3655">
        <w:r>
          <w:rPr>
            <w:color w:val="0000EE"/>
            <w:u w:val="single"/>
          </w:rPr>
          <w:t>4.4</w:t>
        </w:r>
      </w:hyperlink>
      <w:r>
        <w:t xml:space="preserve">). Elle rendait des jugements sous un palmier dans le sud d'Éphraïm près de Benjamin (v. </w:t>
      </w:r>
      <w:hyperlink r:id="rId3657">
        <w:r>
          <w:rPr>
            <w:color w:val="0000EE"/>
            <w:u w:val="single"/>
          </w:rPr>
          <w:t>5</w:t>
        </w:r>
      </w:hyperlink>
      <w:r>
        <w:t xml:space="preserve">). Elle appellera Barak à rassembler les armées de Nephtali et de Zabulon (les tribus affectées par les raids cananéens) et à affronter Sisera dans une attaque surprise près du </w:t>
      </w:r>
      <w:r>
        <w:t>torrent de</w:t>
      </w:r>
      <w:r>
        <w:t xml:space="preserve"> Kison (v. </w:t>
      </w:r>
      <w:hyperlink r:id="rId7899">
        <w:r>
          <w:rPr>
            <w:color w:val="0000EE"/>
            <w:u w:val="single"/>
          </w:rPr>
          <w:t>6–7</w:t>
        </w:r>
      </w:hyperlink>
      <w:r>
        <w:t xml:space="preserve">). L'hésitation de Barak l'amènera à demander la présence de Débora, ce qui entraînera la perte de l'honneur de tuer Sisera, le commandant des forces cananéennes (v. </w:t>
      </w:r>
      <w:hyperlink r:id="rId7900">
        <w:r>
          <w:rPr>
            <w:color w:val="0000EE"/>
            <w:u w:val="single"/>
          </w:rPr>
          <w:t>8–10</w:t>
        </w:r>
      </w:hyperlink>
      <w:r>
        <w:t>). Le Seigneur donnera le succès à l'attaque surprise depuis le mont Tabor, de sorte que les Cananéens seront mis en déroute, incapables d'utiliser leurs chars lourds, qui s'enliseront dans les marais de la vallée de Jizreel (</w:t>
      </w:r>
      <w:hyperlink r:id="rId7901">
        <w:r>
          <w:rPr>
            <w:color w:val="0000EE"/>
            <w:u w:val="single"/>
          </w:rPr>
          <w:t>5.20–22</w:t>
        </w:r>
      </w:hyperlink>
      <w:r>
        <w:t>). Les Cananéens seront mis en déroute, et Sisera sera tué par Jaël, la femme d'Héber, un Kénien qui s'était séparé des siens autour d'Arad (</w:t>
      </w:r>
      <w:hyperlink r:id="rId7902">
        <w:r>
          <w:rPr>
            <w:color w:val="0000EE"/>
            <w:u w:val="single"/>
          </w:rPr>
          <w:t>4.17–18</w:t>
        </w:r>
      </w:hyperlink>
      <w:r>
        <w:t xml:space="preserve"> ; voir </w:t>
      </w:r>
      <w:hyperlink r:id="rId605">
        <w:r>
          <w:rPr>
            <w:color w:val="0000EE"/>
            <w:u w:val="single"/>
          </w:rPr>
          <w:t>1.16</w:t>
        </w:r>
      </w:hyperlink>
      <w:r>
        <w:t>). Elle lui offrira l'hospitalité, car sa famille avait des relations amicales avec les Cananéens, mais le mettra héroïquement à mort avec un piquet de tente (</w:t>
      </w:r>
      <w:hyperlink r:id="rId7903">
        <w:r>
          <w:rPr>
            <w:color w:val="0000EE"/>
            <w:u w:val="single"/>
          </w:rPr>
          <w:t>4.18–21</w:t>
        </w:r>
      </w:hyperlink>
      <w:r>
        <w:t xml:space="preserve"> ; </w:t>
      </w:r>
      <w:hyperlink r:id="rId7904">
        <w:r>
          <w:rPr>
            <w:color w:val="0000EE"/>
            <w:u w:val="single"/>
          </w:rPr>
          <w:t>5.26–27</w:t>
        </w:r>
      </w:hyperlink>
      <w:r>
        <w:t>). Lors de campagnes successives, les Israélites obtiennent la liberté de Jabin, jusqu'à la destruction totale de son pouvoir (</w:t>
      </w:r>
      <w:hyperlink r:id="rId7905">
        <w:r>
          <w:rPr>
            <w:color w:val="0000EE"/>
            <w:u w:val="single"/>
          </w:rPr>
          <w:t>4.24</w:t>
        </w:r>
      </w:hyperlink>
      <w:r>
        <w:t>).</w:t>
      </w:r>
    </w:p>
    <w:p>
      <w:r/>
      <w:r>
        <w:t xml:space="preserve">Le chant de Débora (chap </w:t>
      </w:r>
      <w:hyperlink r:id="rId3662">
        <w:r>
          <w:rPr>
            <w:color w:val="0000EE"/>
            <w:u w:val="single"/>
          </w:rPr>
          <w:t>5</w:t>
        </w:r>
      </w:hyperlink>
      <w:r>
        <w:t>) célèbre, de manière poétique, la victoire sur Jabin. Il s'agit de l'un des plus anciens poèmes de la Bible. Il loue le Dieu d'Israël comme le Roi qui vient protéger son peuple d'alliance, et devant qui les montagnes bougent (</w:t>
      </w:r>
      <w:hyperlink r:id="rId7906">
        <w:r>
          <w:rPr>
            <w:color w:val="0000EE"/>
            <w:u w:val="single"/>
          </w:rPr>
          <w:t>5.2–3</w:t>
        </w:r>
      </w:hyperlink>
      <w:r>
        <w:t>). Il est le Dieu du Mont Sinaï (</w:t>
      </w:r>
      <w:hyperlink r:id="rId7907">
        <w:r>
          <w:rPr>
            <w:color w:val="0000EE"/>
            <w:u w:val="single"/>
          </w:rPr>
          <w:t>Jg 5.4–5</w:t>
        </w:r>
      </w:hyperlink>
      <w:r>
        <w:t xml:space="preserve"> ; voir </w:t>
      </w:r>
      <w:hyperlink r:id="rId7908">
        <w:r>
          <w:rPr>
            <w:color w:val="0000EE"/>
            <w:u w:val="single"/>
          </w:rPr>
          <w:t>Dt 33.2</w:t>
        </w:r>
      </w:hyperlink>
      <w:r>
        <w:t xml:space="preserve"> ; </w:t>
      </w:r>
      <w:hyperlink r:id="rId7909">
        <w:r>
          <w:rPr>
            <w:color w:val="0000EE"/>
            <w:u w:val="single"/>
          </w:rPr>
          <w:t>Ps 68.7–8</w:t>
        </w:r>
      </w:hyperlink>
      <w:r>
        <w:t xml:space="preserve"> ; </w:t>
      </w:r>
      <w:hyperlink r:id="rId7910">
        <w:r>
          <w:rPr>
            <w:color w:val="0000EE"/>
            <w:u w:val="single"/>
          </w:rPr>
          <w:t>Ha 3.3–4</w:t>
        </w:r>
      </w:hyperlink>
      <w:r>
        <w:t>). Bien que les oppresseurs aient dépouillé Israël et rendu les routes dangereuses pour voyager, et qu'Israël ait été incapable de se défendre (</w:t>
      </w:r>
      <w:hyperlink r:id="rId7911">
        <w:r>
          <w:rPr>
            <w:color w:val="0000EE"/>
            <w:u w:val="single"/>
          </w:rPr>
          <w:t>Jg 5.6–8</w:t>
        </w:r>
      </w:hyperlink>
      <w:r>
        <w:t xml:space="preserve">), le Seigneur a suscité Débora et Barak pour mener les nobles à la guerre (v. </w:t>
      </w:r>
      <w:hyperlink r:id="rId7912">
        <w:r>
          <w:rPr>
            <w:color w:val="0000EE"/>
            <w:u w:val="single"/>
          </w:rPr>
          <w:t>9–13</w:t>
        </w:r>
      </w:hyperlink>
      <w:r>
        <w:t xml:space="preserve">). Ils sont venus d'Éphraïm, Benjamin, Zabulon, Issacar et Nephthali (v. </w:t>
      </w:r>
      <w:hyperlink r:id="rId7913">
        <w:r>
          <w:rPr>
            <w:color w:val="0000EE"/>
            <w:u w:val="single"/>
          </w:rPr>
          <w:t>14–15a, 18</w:t>
        </w:r>
      </w:hyperlink>
      <w:r>
        <w:t xml:space="preserve">), mais les tribus transjordaniennes et Aser ne voulaient pas s'impliquer (v. </w:t>
      </w:r>
      <w:hyperlink r:id="rId7914">
        <w:r>
          <w:rPr>
            <w:color w:val="0000EE"/>
            <w:u w:val="single"/>
          </w:rPr>
          <w:t>15b-17</w:t>
        </w:r>
      </w:hyperlink>
      <w:r>
        <w:t xml:space="preserve">). Le chant passe ensuite à la scène du combat, où des pluies torrentielles ont embourbé les chars (v. </w:t>
      </w:r>
      <w:hyperlink r:id="rId7915">
        <w:r>
          <w:rPr>
            <w:color w:val="0000EE"/>
            <w:u w:val="single"/>
          </w:rPr>
          <w:t>19–23</w:t>
        </w:r>
      </w:hyperlink>
      <w:r>
        <w:t xml:space="preserve">). Jaël est célébrée comme « bénie [...] entre les femmes », qui a utilisé sa simplicité de vie pour mettre fin à Sisera (v. </w:t>
      </w:r>
      <w:hyperlink r:id="rId7916">
        <w:r>
          <w:rPr>
            <w:color w:val="0000EE"/>
            <w:u w:val="single"/>
          </w:rPr>
          <w:t>24–27</w:t>
        </w:r>
      </w:hyperlink>
      <w:r>
        <w:t xml:space="preserve">). Elle contraste avec la mère de Sisera, qui est dépeinte, elle et toute sa culture, en train d'attendre en vain le retour de Sisera avec tous ses butins (v. </w:t>
      </w:r>
      <w:hyperlink r:id="rId7917">
        <w:r>
          <w:rPr>
            <w:color w:val="0000EE"/>
            <w:u w:val="single"/>
          </w:rPr>
          <w:t>28–30</w:t>
        </w:r>
      </w:hyperlink>
      <w:r>
        <w:t>). Le Seigneur utilise les simples pour confondre les puissants. Le chant se conclut sur une prière, demandant le jugement de Dieu sur tous les ennemis d'Israël (</w:t>
      </w:r>
      <w:hyperlink r:id="rId7918">
        <w:r>
          <w:rPr>
            <w:color w:val="0000EE"/>
            <w:u w:val="single"/>
          </w:rPr>
          <w:t>Jg 5.31a</w:t>
        </w:r>
      </w:hyperlink>
      <w:r>
        <w:t xml:space="preserve"> ; voir </w:t>
      </w:r>
      <w:hyperlink r:id="rId7919">
        <w:r>
          <w:rPr>
            <w:color w:val="0000EE"/>
            <w:u w:val="single"/>
          </w:rPr>
          <w:t>Ps 68.1–3</w:t>
        </w:r>
      </w:hyperlink>
      <w:r>
        <w:t>).</w:t>
      </w:r>
    </w:p>
    <w:p>
      <w:r/>
      <w:r>
        <w:t>Gédéon (</w:t>
      </w:r>
      <w:hyperlink r:id="rId7920">
        <w:r>
          <w:rPr>
            <w:color w:val="0000EE"/>
            <w:u w:val="single"/>
          </w:rPr>
          <w:t>6.1–8.35</w:t>
        </w:r>
      </w:hyperlink>
      <w:r>
        <w:t>)</w:t>
      </w:r>
    </w:p>
    <w:p>
      <w:r/>
      <w:r>
        <w:t>Le repos d'Israël pendant quarante ans (</w:t>
      </w:r>
      <w:hyperlink r:id="rId7918">
        <w:r>
          <w:rPr>
            <w:color w:val="0000EE"/>
            <w:u w:val="single"/>
          </w:rPr>
          <w:t>Jg 5.31b</w:t>
        </w:r>
      </w:hyperlink>
      <w:r>
        <w:t>) sera troublé par l'invasion des Madianites et des Amalécites venant de l'orient (</w:t>
      </w:r>
      <w:hyperlink r:id="rId7921">
        <w:r>
          <w:rPr>
            <w:color w:val="0000EE"/>
            <w:u w:val="single"/>
          </w:rPr>
          <w:t>6.1–3</w:t>
        </w:r>
      </w:hyperlink>
      <w:r>
        <w:t xml:space="preserve">). Ils détruiront l'économie en envahissant le pays au moment de la récolte (v. </w:t>
      </w:r>
      <w:hyperlink r:id="rId7922">
        <w:r>
          <w:rPr>
            <w:color w:val="0000EE"/>
            <w:u w:val="single"/>
          </w:rPr>
          <w:t>4–6</w:t>
        </w:r>
      </w:hyperlink>
      <w:r>
        <w:t>). En réponse au cri d'Israël, Dieu enverra un prophète avec un message similaire à celui de l'ange de l'Éternel (</w:t>
      </w:r>
      <w:hyperlink r:id="rId7875">
        <w:r>
          <w:rPr>
            <w:color w:val="0000EE"/>
            <w:u w:val="single"/>
          </w:rPr>
          <w:t>2.1–5</w:t>
        </w:r>
      </w:hyperlink>
      <w:r>
        <w:t>). Puis un ange apparaît à Gédéon et l'appelle à diriger le peuple au combat (</w:t>
      </w:r>
      <w:hyperlink r:id="rId7923">
        <w:r>
          <w:rPr>
            <w:color w:val="0000EE"/>
            <w:u w:val="single"/>
          </w:rPr>
          <w:t>6.11–14</w:t>
        </w:r>
      </w:hyperlink>
      <w:r>
        <w:t xml:space="preserve">). Le Seigneur l'assure de sa présence (v. </w:t>
      </w:r>
      <w:hyperlink r:id="rId7924">
        <w:r>
          <w:rPr>
            <w:color w:val="0000EE"/>
            <w:u w:val="single"/>
          </w:rPr>
          <w:t>16</w:t>
        </w:r>
      </w:hyperlink>
      <w:r>
        <w:t xml:space="preserve">) par un signe (v. </w:t>
      </w:r>
      <w:hyperlink r:id="rId7925">
        <w:r>
          <w:rPr>
            <w:color w:val="0000EE"/>
            <w:u w:val="single"/>
          </w:rPr>
          <w:t>17–22</w:t>
        </w:r>
      </w:hyperlink>
      <w:r>
        <w:t xml:space="preserve">). Gédéon saura qu'il avait été visité par le Seigneur et construira un autel appelé « </w:t>
      </w:r>
      <w:r>
        <w:t>l’Éternel [est] paix</w:t>
      </w:r>
      <w:r>
        <w:t xml:space="preserve"> » à Ophra (v. </w:t>
      </w:r>
      <w:hyperlink r:id="rId1477">
        <w:r>
          <w:rPr>
            <w:color w:val="0000EE"/>
            <w:u w:val="single"/>
          </w:rPr>
          <w:t>24</w:t>
        </w:r>
      </w:hyperlink>
      <w:r>
        <w:t xml:space="preserve">). Il répond en détruisant le site cultuel dédié à Baal et Astarté à Ophra (v. </w:t>
      </w:r>
      <w:hyperlink r:id="rId7926">
        <w:r>
          <w:rPr>
            <w:color w:val="0000EE"/>
            <w:u w:val="single"/>
          </w:rPr>
          <w:t>25–28</w:t>
        </w:r>
      </w:hyperlink>
      <w:r>
        <w:t xml:space="preserve">) et en initiant le culte au nouvel autel (v. </w:t>
      </w:r>
      <w:hyperlink r:id="rId7927">
        <w:r>
          <w:rPr>
            <w:color w:val="0000EE"/>
            <w:u w:val="single"/>
          </w:rPr>
          <w:t>28</w:t>
        </w:r>
      </w:hyperlink>
      <w:r>
        <w:t xml:space="preserve">). Baal ne protégera pas son propre autel (v. </w:t>
      </w:r>
      <w:hyperlink r:id="rId7928">
        <w:r>
          <w:rPr>
            <w:color w:val="0000EE"/>
            <w:u w:val="single"/>
          </w:rPr>
          <w:t>29–32</w:t>
        </w:r>
      </w:hyperlink>
      <w:r>
        <w:t xml:space="preserve">), même lorsqu'il sera défié par le père de Gédéon (v. </w:t>
      </w:r>
      <w:hyperlink r:id="rId7929">
        <w:r>
          <w:rPr>
            <w:color w:val="0000EE"/>
            <w:u w:val="single"/>
          </w:rPr>
          <w:t>31</w:t>
        </w:r>
      </w:hyperlink>
      <w:r>
        <w:t xml:space="preserve">). Par conséquent, Gédéon sera connu sous le nom de Jerubbaal (signifiant « </w:t>
      </w:r>
      <w:r>
        <w:t>Que Baal plaide contre lui</w:t>
      </w:r>
      <w:r>
        <w:t xml:space="preserve"> », v. </w:t>
      </w:r>
      <w:hyperlink r:id="rId7930">
        <w:r>
          <w:rPr>
            <w:color w:val="0000EE"/>
            <w:u w:val="single"/>
          </w:rPr>
          <w:t>32</w:t>
        </w:r>
      </w:hyperlink>
      <w:r>
        <w:t>).</w:t>
      </w:r>
    </w:p>
    <w:p>
      <w:r/>
      <w:r>
        <w:t>Gédéon rassemblera ensuite une armée de 32 000 hommes d'Aser, de Zabulon et de Nephthali (</w:t>
      </w:r>
      <w:hyperlink r:id="rId7931">
        <w:r>
          <w:rPr>
            <w:color w:val="0000EE"/>
            <w:u w:val="single"/>
          </w:rPr>
          <w:t>6.35</w:t>
        </w:r>
      </w:hyperlink>
      <w:r>
        <w:t xml:space="preserve"> ; voir </w:t>
      </w:r>
      <w:hyperlink r:id="rId7932">
        <w:r>
          <w:rPr>
            <w:color w:val="0000EE"/>
            <w:u w:val="single"/>
          </w:rPr>
          <w:t>7.3b</w:t>
        </w:r>
      </w:hyperlink>
      <w:r>
        <w:t>). Afin de s'assurer de la présence du Seigneur, il demandera un autre signe : le signe de la toison (</w:t>
      </w:r>
      <w:hyperlink r:id="rId7933">
        <w:r>
          <w:rPr>
            <w:color w:val="0000EE"/>
            <w:u w:val="single"/>
          </w:rPr>
          <w:t>6.36–40</w:t>
        </w:r>
      </w:hyperlink>
      <w:r>
        <w:t xml:space="preserve">). Il faut garder à l'esprit que Gédéon vivait dans une région où les merveilles de Dieu avaient été rares (v. </w:t>
      </w:r>
      <w:hyperlink r:id="rId7934">
        <w:r>
          <w:rPr>
            <w:color w:val="0000EE"/>
            <w:u w:val="single"/>
          </w:rPr>
          <w:t>13</w:t>
        </w:r>
      </w:hyperlink>
      <w:r>
        <w:t>) et que lui, à l'instar de Moïse, avait besoin d'être rassuré que Dieu était avec lui. Dieu répondra à sa foi grandissante. Gédéon s'avance alors avec une armée considérablement réduite de trois cents hommes contre l'ennemi. De son armée initiale, vingt-deux-mille étaient partis, par peur (</w:t>
      </w:r>
      <w:hyperlink r:id="rId7935">
        <w:r>
          <w:rPr>
            <w:color w:val="0000EE"/>
            <w:u w:val="single"/>
          </w:rPr>
          <w:t>7.2–3</w:t>
        </w:r>
      </w:hyperlink>
      <w:r>
        <w:t xml:space="preserve"> ; voir </w:t>
      </w:r>
      <w:hyperlink r:id="rId7936">
        <w:r>
          <w:rPr>
            <w:color w:val="0000EE"/>
            <w:u w:val="single"/>
          </w:rPr>
          <w:t>Dt 20.8</w:t>
        </w:r>
      </w:hyperlink>
      <w:r>
        <w:t>). 9 700 autres seront renvoyés chez eux, bien qu'ils aient été des hommes vaillants (</w:t>
      </w:r>
      <w:hyperlink r:id="rId7937">
        <w:r>
          <w:rPr>
            <w:color w:val="0000EE"/>
            <w:u w:val="single"/>
          </w:rPr>
          <w:t>7.4–8</w:t>
        </w:r>
      </w:hyperlink>
      <w:r>
        <w:t xml:space="preserve">). Après avoir rassuré Gédéon par un rêve d'un soldat ennemi, Dieu utilisera les trois-cents d'une manière merveilleuse pour confondre les Madianites (v. </w:t>
      </w:r>
      <w:hyperlink r:id="rId7938">
        <w:r>
          <w:rPr>
            <w:color w:val="0000EE"/>
            <w:u w:val="single"/>
          </w:rPr>
          <w:t>9–15</w:t>
        </w:r>
      </w:hyperlink>
      <w:r>
        <w:t>). Dieu donnera à Israël la victoire sur les chefs madianites Oreb, Zeeb, Zébach et Tsalmunna (</w:t>
      </w:r>
      <w:hyperlink r:id="rId7939">
        <w:r>
          <w:rPr>
            <w:color w:val="0000EE"/>
            <w:u w:val="single"/>
          </w:rPr>
          <w:t>7.16–8.21</w:t>
        </w:r>
      </w:hyperlink>
      <w:r>
        <w:t>). Gédéon évitera sagement une confrontation militaire possible avec Éphraïm (</w:t>
      </w:r>
      <w:hyperlink r:id="rId7940">
        <w:r>
          <w:rPr>
            <w:color w:val="0000EE"/>
            <w:u w:val="single"/>
          </w:rPr>
          <w:t>8.1–3</w:t>
        </w:r>
      </w:hyperlink>
      <w:r>
        <w:t xml:space="preserve">), poursuivant l'ennemi sur une longue route en Transjordanie, et punissant les chefs de Succoth et de Penuel qui ne l'avaient pas assisté (v. </w:t>
      </w:r>
      <w:hyperlink r:id="rId7941">
        <w:r>
          <w:rPr>
            <w:color w:val="0000EE"/>
            <w:u w:val="single"/>
          </w:rPr>
          <w:t>4–9, 13–16</w:t>
        </w:r>
      </w:hyperlink>
      <w:r>
        <w:t>).</w:t>
      </w:r>
    </w:p>
    <w:p>
      <w:r/>
      <w:r>
        <w:t>Cette glorieuse victoire suscitera un intérêt renouvelé pour l'idée de royauté. Les hommes d'Israël souhaitaient établir la famille de Gédéon comme dynastie royale (</w:t>
      </w:r>
      <w:hyperlink r:id="rId7942">
        <w:r>
          <w:rPr>
            <w:color w:val="0000EE"/>
            <w:u w:val="single"/>
          </w:rPr>
          <w:t>8.22</w:t>
        </w:r>
      </w:hyperlink>
      <w:r>
        <w:t xml:space="preserve">). Gédéon refusera et plutôt, installera à tort un éphod, fondu à partir de l'or pris au combat (v. </w:t>
      </w:r>
      <w:hyperlink r:id="rId7943">
        <w:r>
          <w:rPr>
            <w:color w:val="0000EE"/>
            <w:u w:val="single"/>
          </w:rPr>
          <w:t>23–27</w:t>
        </w:r>
      </w:hyperlink>
      <w:r>
        <w:t xml:space="preserve">). L'éphod était sans doute utilisé pour des pratiques cultuelles, possiblement la divination (voir </w:t>
      </w:r>
      <w:hyperlink r:id="rId7944">
        <w:r>
          <w:rPr>
            <w:color w:val="0000EE"/>
            <w:u w:val="single"/>
          </w:rPr>
          <w:t>17.5</w:t>
        </w:r>
      </w:hyperlink>
      <w:r>
        <w:t>).</w:t>
      </w:r>
    </w:p>
    <w:p>
      <w:r/>
      <w:r>
        <w:t>L'ère de Gédéon prend également fin. Il aura été l'instrument de Dieu, accordant à Israël quarante ans de repos. Il engendrera soixante-dix fils et mourra dans sa vieillesse. Dieu l'avait richement béni, même s'il avait égaré Israël avec son éphod. Par la suite, Israël retournera au culte de Baal (</w:t>
      </w:r>
      <w:hyperlink r:id="rId7945">
        <w:r>
          <w:rPr>
            <w:color w:val="0000EE"/>
            <w:u w:val="single"/>
          </w:rPr>
          <w:t>Jg 8.33–35</w:t>
        </w:r>
      </w:hyperlink>
      <w:r>
        <w:t>).</w:t>
      </w:r>
    </w:p>
    <w:p>
      <w:r/>
      <w:r>
        <w:t>Après l'époque de Gédéon, son fils Abimélec tentera d'établir une continuité dynastique en se faisant proclamer roi à Sichem (</w:t>
      </w:r>
      <w:hyperlink r:id="rId7946">
        <w:r>
          <w:rPr>
            <w:color w:val="0000EE"/>
            <w:u w:val="single"/>
          </w:rPr>
          <w:t>9.1–6</w:t>
        </w:r>
      </w:hyperlink>
      <w:r>
        <w:t xml:space="preserve">). Avec le soutien de ses proches à Sichem, Abimélec fera tuer tous ses frères sauf Jotham (v. </w:t>
      </w:r>
      <w:hyperlink r:id="rId7947">
        <w:r>
          <w:rPr>
            <w:color w:val="0000EE"/>
            <w:u w:val="single"/>
          </w:rPr>
          <w:t>4–5</w:t>
        </w:r>
      </w:hyperlink>
      <w:r>
        <w:t xml:space="preserve">). Après le couronnement d'Abimélec, Jotham exprimera son opposition à son frère de manière proverbiale (v. </w:t>
      </w:r>
      <w:hyperlink r:id="rId7948">
        <w:r>
          <w:rPr>
            <w:color w:val="0000EE"/>
            <w:u w:val="single"/>
          </w:rPr>
          <w:t>7–20</w:t>
        </w:r>
      </w:hyperlink>
      <w:r>
        <w:t>), avant de se cacher. Trois ans plus tard, les plans machiavéliques d'Abimélec se retourneront contre lui lorsque les citoyens de Sichem se rebellent. Il attaquera furieusement la ville et la détruira. Peu de temps après, cependant, il sera blessé à Thébets par une meule jetée par une femme depuis la tour où elle s'était réfugiée pour lui échapper. Son serviteur mettra fin à ses souffrances selon sa demande. Cet épisode démontre à quel point un roi despotique peut être mauvais. Une fois de plus, la justice de Dieu prévaut.</w:t>
      </w:r>
    </w:p>
    <w:p>
      <w:r/>
      <w:r>
        <w:t>Thola (</w:t>
      </w:r>
      <w:hyperlink r:id="rId7949">
        <w:r>
          <w:rPr>
            <w:color w:val="0000EE"/>
            <w:u w:val="single"/>
          </w:rPr>
          <w:t>10.1–2</w:t>
        </w:r>
      </w:hyperlink>
      <w:r>
        <w:t>)</w:t>
      </w:r>
    </w:p>
    <w:p>
      <w:r/>
      <w:r>
        <w:t>Thola était un juge mineur d'Issacar qui a dirigé Israël pendant vingt-trois ans.</w:t>
      </w:r>
    </w:p>
    <w:p>
      <w:r/>
      <w:r>
        <w:t>Jaïr (</w:t>
      </w:r>
      <w:hyperlink r:id="rId7088">
        <w:r>
          <w:rPr>
            <w:color w:val="0000EE"/>
            <w:u w:val="single"/>
          </w:rPr>
          <w:t>10.3–5</w:t>
        </w:r>
      </w:hyperlink>
      <w:r>
        <w:t>)</w:t>
      </w:r>
    </w:p>
    <w:p>
      <w:r/>
      <w:r>
        <w:t>Jaïr était un juge mineur de Galaad qui a dirigé Israël pendant vingt-deux ans.</w:t>
      </w:r>
    </w:p>
    <w:p>
      <w:r/>
      <w:r>
        <w:t>Jephthé (</w:t>
      </w:r>
      <w:hyperlink r:id="rId7950">
        <w:r>
          <w:rPr>
            <w:color w:val="0000EE"/>
            <w:u w:val="single"/>
          </w:rPr>
          <w:t>10.6–12.7</w:t>
        </w:r>
      </w:hyperlink>
      <w:r>
        <w:t>)</w:t>
      </w:r>
    </w:p>
    <w:p>
      <w:r/>
      <w:r>
        <w:t>Un récapitulatif (</w:t>
      </w:r>
      <w:hyperlink r:id="rId7951">
        <w:r>
          <w:rPr>
            <w:color w:val="0000EE"/>
            <w:u w:val="single"/>
          </w:rPr>
          <w:t>10.6–16</w:t>
        </w:r>
      </w:hyperlink>
      <w:r>
        <w:t>) du cycle (idolâtrie, ennemis, appel à l'aide, repentance momentanée) introduit le récit de Jephthé. Face à l'attaque des Ammonites, les anciens de Galaad demanderont de l'aide à Jephthé (</w:t>
      </w:r>
      <w:hyperlink r:id="rId7952">
        <w:r>
          <w:rPr>
            <w:color w:val="0000EE"/>
            <w:u w:val="single"/>
          </w:rPr>
          <w:t>10.17–11.8</w:t>
        </w:r>
      </w:hyperlink>
      <w:r>
        <w:t xml:space="preserve">), qui promettra de les aider, à condition qu'il reste leur chef même après la guerre (v. </w:t>
      </w:r>
      <w:hyperlink r:id="rId7953">
        <w:r>
          <w:rPr>
            <w:color w:val="0000EE"/>
            <w:u w:val="single"/>
          </w:rPr>
          <w:t>9–10</w:t>
        </w:r>
      </w:hyperlink>
      <w:r>
        <w:t xml:space="preserve">). Lors d'une cérémonie solennelle, il devient leur « chef » à Mitspa (v. </w:t>
      </w:r>
      <w:hyperlink r:id="rId7954">
        <w:r>
          <w:rPr>
            <w:color w:val="0000EE"/>
            <w:u w:val="single"/>
          </w:rPr>
          <w:t>11</w:t>
        </w:r>
      </w:hyperlink>
      <w:r>
        <w:t xml:space="preserve">). Jephthé entame alors une correspondance avec le roi ammonite, dans laquelle il plaide pour les droits d'Israël sur la base de la revendication historique des Israélites sur la terre telle qu'accordée par le Seigneur (v. </w:t>
      </w:r>
      <w:hyperlink r:id="rId7955">
        <w:r>
          <w:rPr>
            <w:color w:val="0000EE"/>
            <w:u w:val="single"/>
          </w:rPr>
          <w:t>12–27</w:t>
        </w:r>
      </w:hyperlink>
      <w:r>
        <w:t>). Au lieu de partir immédiatement en guerre, il espérait que « l</w:t>
      </w:r>
      <w:r>
        <w:t>’Éternel, le juge</w:t>
      </w:r>
      <w:r>
        <w:t xml:space="preserve"> » réglerait le différend (v. </w:t>
      </w:r>
      <w:hyperlink r:id="rId7956">
        <w:r>
          <w:rPr>
            <w:color w:val="0000EE"/>
            <w:u w:val="single"/>
          </w:rPr>
          <w:t>27</w:t>
        </w:r>
      </w:hyperlink>
      <w:r>
        <w:t xml:space="preserve">). Le roi ammonite, toutefois, ne se laisse pas convaincre. Lorsque l'Esprit de Dieu vient sur lui, Jephthé conduit Israël au combat, mais seulement après avoir fait un vœu imprudent. Il sera victorieux mais découvrira que son vœu de sacrifier l'être qui sortirait en premier de sa maison l'oblige à sacrifier sa fille. Il n'est pas clair, selon le débat, s'il l'a offerte en sacrifice humain ou si elle a sacrifié le mariage (voir discussion sous </w:t>
      </w:r>
      <w:r>
        <w:t>Jephthé</w:t>
      </w:r>
      <w:r>
        <w:t>).</w:t>
      </w:r>
    </w:p>
    <w:p>
      <w:r/>
      <w:r>
        <w:t>Les Éphraïmites semblaient avoir un désir insatiable de guerre. Ils s'étaient déjà plaints à Gédéon, qui avait réussi à désamorcer leurs menaces (</w:t>
      </w:r>
      <w:hyperlink r:id="rId7940">
        <w:r>
          <w:rPr>
            <w:color w:val="0000EE"/>
            <w:u w:val="single"/>
          </w:rPr>
          <w:t>8.1–3</w:t>
        </w:r>
      </w:hyperlink>
      <w:r>
        <w:t>). Jephté les combattra, cependant, parce que les Israélites vivant en Transjordanie avaient été qualifiés de « renégats » (</w:t>
      </w:r>
      <w:hyperlink r:id="rId7957">
        <w:r>
          <w:rPr>
            <w:color w:val="0000EE"/>
            <w:u w:val="single"/>
          </w:rPr>
          <w:t>12.1–4</w:t>
        </w:r>
      </w:hyperlink>
      <w:r>
        <w:t>). Quarante-deux mille Éphraïmites ont été tués près des gués du Jourdain dans cette guerre civile. Par la suite, Jephté régnera pendant seulement six ans.</w:t>
      </w:r>
    </w:p>
    <w:p>
      <w:r/>
      <w:r>
        <w:t>Ibtsan (</w:t>
      </w:r>
      <w:hyperlink r:id="rId1911">
        <w:r>
          <w:rPr>
            <w:color w:val="0000EE"/>
            <w:u w:val="single"/>
          </w:rPr>
          <w:t>12.8–10</w:t>
        </w:r>
      </w:hyperlink>
      <w:r>
        <w:t>)</w:t>
      </w:r>
    </w:p>
    <w:p>
      <w:r/>
      <w:r>
        <w:t>Ibtsan était un juge mineur de Bethléem qui gouvernera Israël pendant sept ans.</w:t>
      </w:r>
    </w:p>
    <w:p>
      <w:r/>
      <w:r>
        <w:t>Élon (</w:t>
      </w:r>
      <w:hyperlink r:id="rId7958">
        <w:r>
          <w:rPr>
            <w:color w:val="0000EE"/>
            <w:u w:val="single"/>
          </w:rPr>
          <w:t>12.11</w:t>
        </w:r>
      </w:hyperlink>
      <w:r>
        <w:t>)</w:t>
      </w:r>
    </w:p>
    <w:p>
      <w:r/>
      <w:r>
        <w:t>Élon, un juge mineur de Zabulon, gouvernera Israël pendant dix ans.</w:t>
      </w:r>
    </w:p>
    <w:p>
      <w:r/>
      <w:r>
        <w:t>Abdon (</w:t>
      </w:r>
      <w:hyperlink r:id="rId7959">
        <w:r>
          <w:rPr>
            <w:color w:val="0000EE"/>
            <w:u w:val="single"/>
          </w:rPr>
          <w:t>12.13–15</w:t>
        </w:r>
      </w:hyperlink>
      <w:r>
        <w:t>)</w:t>
      </w:r>
    </w:p>
    <w:p>
      <w:r/>
      <w:r>
        <w:t>Abdon était un juge mineur, un Pirathonite, dont l'emplacement est incertain. Il exercera son rôle pendant huit ans.</w:t>
      </w:r>
    </w:p>
    <w:p>
      <w:r/>
      <w:r>
        <w:t>Samson (</w:t>
      </w:r>
      <w:hyperlink r:id="rId7960">
        <w:r>
          <w:rPr>
            <w:color w:val="0000EE"/>
            <w:u w:val="single"/>
          </w:rPr>
          <w:t>13.1–16.31</w:t>
        </w:r>
      </w:hyperlink>
      <w:r>
        <w:t>)</w:t>
      </w:r>
    </w:p>
    <w:p>
      <w:r/>
      <w:r>
        <w:t>La grandeur de Samson dans l'histoire de la rédemption réside dans sa naissance miraculeuse (</w:t>
      </w:r>
      <w:hyperlink r:id="rId7961">
        <w:r>
          <w:rPr>
            <w:color w:val="0000EE"/>
            <w:u w:val="single"/>
          </w:rPr>
          <w:t>13.1–24</w:t>
        </w:r>
      </w:hyperlink>
      <w:r>
        <w:t>), son service en tant que Naziréen (</w:t>
      </w:r>
      <w:hyperlink r:id="rId7962">
        <w:r>
          <w:rPr>
            <w:color w:val="0000EE"/>
            <w:u w:val="single"/>
          </w:rPr>
          <w:t>13.7</w:t>
        </w:r>
      </w:hyperlink>
      <w:r>
        <w:t xml:space="preserve"> ; voir </w:t>
      </w:r>
      <w:hyperlink r:id="rId7963">
        <w:r>
          <w:rPr>
            <w:color w:val="0000EE"/>
            <w:u w:val="single"/>
          </w:rPr>
          <w:t>Nb 6.1–21</w:t>
        </w:r>
      </w:hyperlink>
      <w:r>
        <w:t>), les interventions répétées de l'Esprit du Seigneur (</w:t>
      </w:r>
      <w:hyperlink r:id="rId7964">
        <w:r>
          <w:rPr>
            <w:color w:val="0000EE"/>
            <w:u w:val="single"/>
          </w:rPr>
          <w:t>Jg 13.25</w:t>
        </w:r>
      </w:hyperlink>
      <w:r>
        <w:t xml:space="preserve"> ; </w:t>
      </w:r>
      <w:hyperlink r:id="rId7965">
        <w:r>
          <w:rPr>
            <w:color w:val="0000EE"/>
            <w:u w:val="single"/>
          </w:rPr>
          <w:t>14.6, 19</w:t>
        </w:r>
      </w:hyperlink>
      <w:r>
        <w:t xml:space="preserve"> ; </w:t>
      </w:r>
      <w:hyperlink r:id="rId7966">
        <w:r>
          <w:rPr>
            <w:color w:val="0000EE"/>
            <w:u w:val="single"/>
          </w:rPr>
          <w:t>15.14</w:t>
        </w:r>
      </w:hyperlink>
      <w:r>
        <w:t xml:space="preserve">), ses exploits en solitaire contre les Philistins (Askalon, </w:t>
      </w:r>
      <w:hyperlink r:id="rId7967">
        <w:r>
          <w:rPr>
            <w:color w:val="0000EE"/>
            <w:u w:val="single"/>
          </w:rPr>
          <w:t>14.19</w:t>
        </w:r>
      </w:hyperlink>
      <w:r>
        <w:t xml:space="preserve"> ; les champs, </w:t>
      </w:r>
      <w:hyperlink r:id="rId7968">
        <w:r>
          <w:rPr>
            <w:color w:val="0000EE"/>
            <w:u w:val="single"/>
          </w:rPr>
          <w:t>15.1–6</w:t>
        </w:r>
      </w:hyperlink>
      <w:r>
        <w:t xml:space="preserve"> ; le rocher d'Étam, </w:t>
      </w:r>
      <w:hyperlink r:id="rId7969">
        <w:r>
          <w:rPr>
            <w:color w:val="0000EE"/>
            <w:u w:val="single"/>
          </w:rPr>
          <w:t>15.7–17</w:t>
        </w:r>
      </w:hyperlink>
      <w:r>
        <w:t xml:space="preserve"> ; Gaza, </w:t>
      </w:r>
      <w:hyperlink r:id="rId7970">
        <w:r>
          <w:rPr>
            <w:color w:val="0000EE"/>
            <w:u w:val="single"/>
          </w:rPr>
          <w:t>16.1–3, 23–30</w:t>
        </w:r>
      </w:hyperlink>
      <w:r>
        <w:t>), et sa dépendance occasionnelle envers le Seigneur (</w:t>
      </w:r>
      <w:hyperlink r:id="rId7971">
        <w:r>
          <w:rPr>
            <w:color w:val="0000EE"/>
            <w:u w:val="single"/>
          </w:rPr>
          <w:t>15.18–19</w:t>
        </w:r>
      </w:hyperlink>
      <w:r>
        <w:t xml:space="preserve"> ; </w:t>
      </w:r>
      <w:hyperlink r:id="rId7972">
        <w:r>
          <w:rPr>
            <w:color w:val="0000EE"/>
            <w:u w:val="single"/>
          </w:rPr>
          <w:t>16.28–30</w:t>
        </w:r>
      </w:hyperlink>
      <w:r>
        <w:t xml:space="preserve">). Cependant, sa vie personnelle était entachée par sa faiblesse pour les femmes philistines (chap </w:t>
      </w:r>
      <w:hyperlink r:id="rId7973">
        <w:r>
          <w:rPr>
            <w:color w:val="0000EE"/>
            <w:u w:val="single"/>
          </w:rPr>
          <w:t>14</w:t>
        </w:r>
      </w:hyperlink>
      <w:r>
        <w:t xml:space="preserve">, </w:t>
      </w:r>
      <w:hyperlink r:id="rId7974">
        <w:r>
          <w:rPr>
            <w:color w:val="0000EE"/>
            <w:u w:val="single"/>
          </w:rPr>
          <w:t>16</w:t>
        </w:r>
      </w:hyperlink>
      <w:r>
        <w:t>). Séduit par Dalila, il sera emprisonné à Gaza. Il mourra dans l'effondrement du temple de Dagon, priant que le Seigneur lui permette de se venger (</w:t>
      </w:r>
      <w:hyperlink r:id="rId7972">
        <w:r>
          <w:rPr>
            <w:color w:val="0000EE"/>
            <w:u w:val="single"/>
          </w:rPr>
          <w:t>16.28–30</w:t>
        </w:r>
      </w:hyperlink>
      <w:r>
        <w:t>). Il sera enterré dans le tombeau de son père sur le territoire de Dan (</w:t>
      </w:r>
      <w:hyperlink r:id="rId7975">
        <w:r>
          <w:rPr>
            <w:color w:val="0000EE"/>
            <w:u w:val="single"/>
          </w:rPr>
          <w:t>16.31</w:t>
        </w:r>
      </w:hyperlink>
      <w:r>
        <w:t>).</w:t>
      </w:r>
    </w:p>
    <w:p>
      <w:pPr>
        <w:pStyle w:val="Heading4"/>
      </w:pPr>
      <w:r>
        <w:t>Épilogue (</w:t>
      </w:r>
      <w:hyperlink r:id="rId7845">
        <w:r>
          <w:rPr>
            <w:color w:val="0000EE"/>
            <w:u w:val="single"/>
          </w:rPr>
          <w:t>17–21</w:t>
        </w:r>
      </w:hyperlink>
      <w:r>
        <w:t>)</w:t>
      </w:r>
    </w:p>
    <w:p>
      <w:r/>
      <w:r>
        <w:t xml:space="preserve">La nature cyclique de l'existence d'Israël est resté inchangé. Le répit face aux ennemis était toujours temporaire. Israël n'était pas encore prêt pour une royauté dynastique, et quoi qu'on puisse dire des trois années d'Abimélec, il s'agissait d'une royauté du pire genre. Israël oscillait entre idolâtrie et foi au Seigneur véritable. La période des juges était instable, marquée par un individualisme mesquin et par le provincialisme. Cependant, Dieu restait souverain dans les affaires de son peuple. L'épilogue contient deux histoires : l'histoire de Michée et la migration des Danites (chap </w:t>
      </w:r>
      <w:hyperlink r:id="rId6627">
        <w:r>
          <w:rPr>
            <w:color w:val="0000EE"/>
            <w:u w:val="single"/>
          </w:rPr>
          <w:t>17–18</w:t>
        </w:r>
      </w:hyperlink>
      <w:r>
        <w:t xml:space="preserve">) et la guerre civile (chap </w:t>
      </w:r>
      <w:hyperlink r:id="rId7976">
        <w:r>
          <w:rPr>
            <w:color w:val="0000EE"/>
            <w:u w:val="single"/>
          </w:rPr>
          <w:t>19–21</w:t>
        </w:r>
      </w:hyperlink>
      <w:r>
        <w:t xml:space="preserve">). L'épilogue est lié par la phrase « </w:t>
      </w:r>
      <w:r>
        <w:t>En ce temps-là, il n’y avait point de roi en Israël. Chacun faisait ce qui lui semblait bon</w:t>
      </w:r>
      <w:r>
        <w:t xml:space="preserve"> » (</w:t>
      </w:r>
      <w:hyperlink r:id="rId7847">
        <w:r>
          <w:rPr>
            <w:color w:val="0000EE"/>
            <w:u w:val="single"/>
          </w:rPr>
          <w:t>17.6</w:t>
        </w:r>
      </w:hyperlink>
      <w:r>
        <w:t xml:space="preserve"> ; </w:t>
      </w:r>
      <w:hyperlink r:id="rId7848">
        <w:r>
          <w:rPr>
            <w:color w:val="0000EE"/>
            <w:u w:val="single"/>
          </w:rPr>
          <w:t>18.1</w:t>
        </w:r>
      </w:hyperlink>
      <w:r>
        <w:t xml:space="preserve"> ; </w:t>
      </w:r>
      <w:hyperlink r:id="rId7849">
        <w:r>
          <w:rPr>
            <w:color w:val="0000EE"/>
            <w:u w:val="single"/>
          </w:rPr>
          <w:t>19.1</w:t>
        </w:r>
      </w:hyperlink>
      <w:r>
        <w:t xml:space="preserve"> ; </w:t>
      </w:r>
      <w:hyperlink r:id="rId7850">
        <w:r>
          <w:rPr>
            <w:color w:val="0000EE"/>
            <w:u w:val="single"/>
          </w:rPr>
          <w:t>21.25</w:t>
        </w:r>
      </w:hyperlink>
      <w:r>
        <w:t>). La récurrence symétrique (deux fois dans chaque récit) souligne l'anarchie et l'incapacité des tribus à s'unir pour servir Dieu en tant que peuple d'alliance.</w:t>
      </w:r>
    </w:p>
    <w:p>
      <w:r/>
      <w:r>
        <w:t>Mica et les Danites (</w:t>
      </w:r>
      <w:hyperlink r:id="rId6627">
        <w:r>
          <w:rPr>
            <w:color w:val="0000EE"/>
            <w:u w:val="single"/>
          </w:rPr>
          <w:t>17–18</w:t>
        </w:r>
      </w:hyperlink>
      <w:r>
        <w:t>)</w:t>
      </w:r>
    </w:p>
    <w:p>
      <w:r/>
      <w:r>
        <w:t xml:space="preserve">Mica était un Éphraïmite qui a établi un sanctuaire et engagé l'un de ses propres fils, puis un Lévite de Bethléem, pour servir comme prêtres (chap </w:t>
      </w:r>
      <w:hyperlink r:id="rId7977">
        <w:r>
          <w:rPr>
            <w:color w:val="0000EE"/>
            <w:u w:val="single"/>
          </w:rPr>
          <w:t>17</w:t>
        </w:r>
      </w:hyperlink>
      <w:r>
        <w:t xml:space="preserve">). Incapables de conserver leur patrimoine, les Danites partiront pour s'établir au pied du mont Hermon. Ils prendront les idoles et le Lévite du sanctuaire de Mica et établiront une ville cultuelle dans la nouvelle ville de Dan, construite sur les ruines de Laïs (chap </w:t>
      </w:r>
      <w:hyperlink r:id="rId7188">
        <w:r>
          <w:rPr>
            <w:color w:val="0000EE"/>
            <w:u w:val="single"/>
          </w:rPr>
          <w:t>18</w:t>
        </w:r>
      </w:hyperlink>
      <w:r>
        <w:t>). Ainsi, ils mettront en place un centre cultuel qui rivalisait avec le tabernacle de Silo (</w:t>
      </w:r>
      <w:hyperlink r:id="rId7978">
        <w:r>
          <w:rPr>
            <w:color w:val="0000EE"/>
            <w:u w:val="single"/>
          </w:rPr>
          <w:t>18.31</w:t>
        </w:r>
      </w:hyperlink>
      <w:r>
        <w:t>).</w:t>
      </w:r>
    </w:p>
    <w:p>
      <w:r/>
      <w:r>
        <w:t>Guerre civile (</w:t>
      </w:r>
      <w:hyperlink r:id="rId7976">
        <w:r>
          <w:rPr>
            <w:color w:val="0000EE"/>
            <w:u w:val="single"/>
          </w:rPr>
          <w:t>19–21</w:t>
        </w:r>
      </w:hyperlink>
      <w:r>
        <w:t>)</w:t>
      </w:r>
    </w:p>
    <w:p>
      <w:r/>
      <w:r>
        <w:t xml:space="preserve">Les habitants de Guibea, qui appartenaient à Benjamin, abuseront sexuellement de la concubine d'un Lévite au point qu'elle en est morte. Tout comme le Lévite des chap </w:t>
      </w:r>
      <w:hyperlink r:id="rId7977">
        <w:r>
          <w:rPr>
            <w:color w:val="0000EE"/>
            <w:u w:val="single"/>
          </w:rPr>
          <w:t>17</w:t>
        </w:r>
      </w:hyperlink>
      <w:r>
        <w:t xml:space="preserve"> et </w:t>
      </w:r>
      <w:hyperlink r:id="rId7188">
        <w:r>
          <w:rPr>
            <w:color w:val="0000EE"/>
            <w:u w:val="single"/>
          </w:rPr>
          <w:t>18</w:t>
        </w:r>
      </w:hyperlink>
      <w:r>
        <w:t>, elle était de Bethléem (</w:t>
      </w:r>
      <w:hyperlink r:id="rId7849">
        <w:r>
          <w:rPr>
            <w:color w:val="0000EE"/>
            <w:u w:val="single"/>
          </w:rPr>
          <w:t>19.1</w:t>
        </w:r>
      </w:hyperlink>
      <w:r>
        <w:t>). De manière dramatique, le Lévite enverra des morceaux de son cadavre à toutes les tribus, qui se sont assemblées contre les Benjamites parce qu'ils protégeaient les criminels de Guibea (</w:t>
      </w:r>
      <w:hyperlink r:id="rId7979">
        <w:r>
          <w:rPr>
            <w:color w:val="0000EE"/>
            <w:u w:val="single"/>
          </w:rPr>
          <w:t>19.29–20.19</w:t>
        </w:r>
      </w:hyperlink>
      <w:r>
        <w:t>). Dans le combat qui s'en suivra, la population de Benjamin sera décimée (</w:t>
      </w:r>
      <w:hyperlink r:id="rId7980">
        <w:r>
          <w:rPr>
            <w:color w:val="0000EE"/>
            <w:u w:val="single"/>
          </w:rPr>
          <w:t>20.20–48</w:t>
        </w:r>
      </w:hyperlink>
      <w:r>
        <w:t>). Les onze tribus leur donneront quatre-cents vierges prises lors d'une guerre civile contre Jabès en Galaad (</w:t>
      </w:r>
      <w:hyperlink r:id="rId7981">
        <w:r>
          <w:rPr>
            <w:color w:val="0000EE"/>
            <w:u w:val="single"/>
          </w:rPr>
          <w:t>21.6–15</w:t>
        </w:r>
      </w:hyperlink>
      <w:r>
        <w:t>). Cela n'était toutefois pas suffisant. En raison de la menace d'extinction de Benjamin et du vœu de ne pas donner leurs filles en mariage à un Benjamite, les Israélites concevront un plan par lequel les Benjamites pourraient prendre des vierges israélites lors de leurs danses pendant le festival à Silo. Benjamin pourra ainsi reconstruire ses villes et ses lotissements.</w:t>
      </w:r>
    </w:p>
    <w:p>
      <w:r/>
      <w:r>
        <w:rPr>
          <w:i/>
        </w:rPr>
        <w:t>Voir aussi</w:t>
      </w:r>
      <w:r>
        <w:t xml:space="preserve"> </w:t>
      </w:r>
      <w:r>
        <w:t>Gédéon</w:t>
      </w:r>
      <w:r>
        <w:t xml:space="preserve"> ; </w:t>
      </w:r>
      <w:r>
        <w:t>Jephthé</w:t>
      </w:r>
      <w:r>
        <w:t xml:space="preserve"> ; </w:t>
      </w:r>
      <w:r>
        <w:t>Samson</w:t>
      </w:r>
      <w:r>
        <w:t>.</w:t>
      </w:r>
      <w:r/>
      <w:r/>
    </w:p>
    <w:p>
      <w:r/>
    </w:p>
    <w:p>
      <w:pPr>
        <w:pStyle w:val="Heading2"/>
      </w:pPr>
      <w:r>
        <w:t>Juif</w:t>
      </w:r>
      <w:r/>
    </w:p>
    <w:p>
      <w:r/>
      <w:r>
        <w:t xml:space="preserve">Terme qui désigne un Judéen ou quelqu'un qui appartient à Juda. </w:t>
      </w:r>
    </w:p>
    <w:p>
      <w:pPr>
        <w:pStyle w:val="Heading4"/>
      </w:pPr>
      <w:r>
        <w:t>Ancien Testament</w:t>
      </w:r>
    </w:p>
    <w:p>
      <w:r/>
      <w:r>
        <w:t xml:space="preserve">La première utilisation du nom « Juif » dans l'Ancien Testament (AT) provient de </w:t>
      </w:r>
      <w:hyperlink r:id="rId4504">
        <w:r>
          <w:rPr>
            <w:color w:val="0000EE"/>
            <w:u w:val="single"/>
          </w:rPr>
          <w:t xml:space="preserve">2 Rois 16.6, </w:t>
        </w:r>
      </w:hyperlink>
      <w:r>
        <w:t>où il désigne des citoyens de Juda. Le terme devient populaire à l'époque de Jérémie avant l'exil à Babylone à la fin du 6</w:t>
      </w:r>
      <w:r>
        <w:t>ᵉ</w:t>
      </w:r>
      <w:r>
        <w:t xml:space="preserve"> siècle av. J.‑C. (</w:t>
      </w:r>
      <w:hyperlink r:id="rId7982">
        <w:r>
          <w:rPr>
            <w:color w:val="0000EE"/>
            <w:u w:val="single"/>
          </w:rPr>
          <w:t>Jr 32.12</w:t>
        </w:r>
      </w:hyperlink>
      <w:r>
        <w:t xml:space="preserve">). L'utilisation de ce terme révèle un sentiment croissant d'identité nationale devant les nations étrangères. </w:t>
      </w:r>
      <w:hyperlink r:id="rId7983">
        <w:r>
          <w:rPr>
            <w:color w:val="0000EE"/>
            <w:u w:val="single"/>
          </w:rPr>
          <w:t>Jérémie 34.9</w:t>
        </w:r>
      </w:hyperlink>
      <w:r>
        <w:t xml:space="preserve"> utilise le mot « Juif » en parallèle au mot « Hébreu » pour plaider en faveur de ceux du peuple qui n'ont pas été libérés de l'esclavage par leurs concitoyens. Dans </w:t>
      </w:r>
      <w:hyperlink r:id="rId7984">
        <w:r>
          <w:rPr>
            <w:color w:val="0000EE"/>
            <w:u w:val="single"/>
          </w:rPr>
          <w:t>Jérémie 52.28</w:t>
        </w:r>
      </w:hyperlink>
      <w:r>
        <w:t>, le terme « Juif» est utilisé pour indiquer le nombre de citoyens déportés.</w:t>
      </w:r>
    </w:p>
    <w:p>
      <w:r/>
      <w:r>
        <w:t xml:space="preserve">Pendant l'exil à Babylone, le terme acquiert une signification religieuse. Les Juifs se distinguent des peuples environnants parce qu'ils croient dans l'unique et vrai Dieu. De leur point de vue, il y a désormais deux types de personnes : les Juifs d'une part, et les Gentils ou païens d'autre part (les termes « Gentils » et « païens » désignent les non-Juifs). Dans </w:t>
      </w:r>
      <w:hyperlink r:id="rId7985">
        <w:r>
          <w:rPr>
            <w:color w:val="0000EE"/>
            <w:u w:val="single"/>
          </w:rPr>
          <w:t>Daniel 3.8</w:t>
        </w:r>
      </w:hyperlink>
      <w:r>
        <w:t>–</w:t>
      </w:r>
      <w:hyperlink r:id="rId7985">
        <w:r>
          <w:rPr>
            <w:color w:val="0000EE"/>
            <w:u w:val="single"/>
          </w:rPr>
          <w:t>12</w:t>
        </w:r>
      </w:hyperlink>
      <w:r>
        <w:t xml:space="preserve">, certains Juifs sont accusés de ne pas se plier aux pratiques religieuses babyloniennes. Le livre d'Esther est centré sur la question de l'identité juive et de sa survie en tant que peuple exilé dans l'Empire perse. </w:t>
      </w:r>
      <w:hyperlink r:id="rId7986">
        <w:r>
          <w:rPr>
            <w:color w:val="0000EE"/>
            <w:u w:val="single"/>
          </w:rPr>
          <w:t>Esther 8.17</w:t>
        </w:r>
      </w:hyperlink>
      <w:r>
        <w:t xml:space="preserve"> mentionne des Gentils se convertissant à la foi des Juifs (« </w:t>
      </w:r>
      <w:r>
        <w:t>beaucoup de gens d’entre les peuples du pays se firent Juifs »</w:t>
      </w:r>
      <w:r>
        <w:t>).</w:t>
      </w:r>
    </w:p>
    <w:p>
      <w:r/>
      <w:r>
        <w:t xml:space="preserve">Après l'exil, la signification religieuse de « Juif » demeure. Elle est évidente dans </w:t>
      </w:r>
      <w:hyperlink r:id="rId7987">
        <w:r>
          <w:rPr>
            <w:color w:val="0000EE"/>
            <w:u w:val="single"/>
          </w:rPr>
          <w:t>Zacharie 8.23</w:t>
        </w:r>
      </w:hyperlink>
      <w:r>
        <w:t xml:space="preserve">, qui prophétise que les Gentils chercheront les Juifs à cause de la présence de Dieu avec eux. Dans </w:t>
      </w:r>
      <w:hyperlink r:id="rId7988">
        <w:r>
          <w:rPr>
            <w:color w:val="0000EE"/>
            <w:u w:val="single"/>
          </w:rPr>
          <w:t>Esdras 4.12</w:t>
        </w:r>
      </w:hyperlink>
      <w:r>
        <w:t>, le terme « Juifs » est utilisé pour désigner les exilés de retour à Jérusalem et en Judée. Néhémie l'utilise également de cette manière (</w:t>
      </w:r>
      <w:hyperlink r:id="rId7989">
        <w:r>
          <w:rPr>
            <w:color w:val="0000EE"/>
            <w:u w:val="single"/>
          </w:rPr>
          <w:t>Né 1.2</w:t>
        </w:r>
      </w:hyperlink>
      <w:r>
        <w:t xml:space="preserve"> ; </w:t>
      </w:r>
      <w:hyperlink r:id="rId7990">
        <w:r>
          <w:rPr>
            <w:color w:val="0000EE"/>
            <w:u w:val="single"/>
          </w:rPr>
          <w:t>4.2</w:t>
        </w:r>
      </w:hyperlink>
      <w:r>
        <w:t>). Au retour de l'exil, Néhémie condamne fortement des Juifs coupables de mariage aux autres peuples. Les enfants de certains d'entre eux ne savent même pas « parler le juif » (</w:t>
      </w:r>
      <w:hyperlink r:id="rId1111">
        <w:r>
          <w:rPr>
            <w:color w:val="0000EE"/>
            <w:u w:val="single"/>
          </w:rPr>
          <w:t>Né 13.24</w:t>
        </w:r>
      </w:hyperlink>
      <w:r>
        <w:t>). En agissant ainsi, ils exposent Israël tout à nouveau à une influence religieuse idolâtre (</w:t>
      </w:r>
      <w:hyperlink r:id="rId7991">
        <w:r>
          <w:rPr>
            <w:color w:val="0000EE"/>
            <w:u w:val="single"/>
          </w:rPr>
          <w:t>Né 13.23–27</w:t>
        </w:r>
      </w:hyperlink>
      <w:r>
        <w:t>).</w:t>
      </w:r>
    </w:p>
    <w:p>
      <w:pPr>
        <w:pStyle w:val="Heading4"/>
      </w:pPr>
      <w:r>
        <w:t>Nouveau Testament</w:t>
      </w:r>
    </w:p>
    <w:p>
      <w:r/>
      <w:r>
        <w:t>Le terme « Juif » a une signification similaire dans le Nouveau Testament (NT). Les écrits du NT expliquent certaines coutumes juives pour les lecteurs et auditeurs gentils (</w:t>
      </w:r>
      <w:hyperlink r:id="rId7992">
        <w:r>
          <w:rPr>
            <w:color w:val="0000EE"/>
            <w:u w:val="single"/>
          </w:rPr>
          <w:t>Mc 7.3</w:t>
        </w:r>
      </w:hyperlink>
      <w:r>
        <w:t xml:space="preserve"> ; </w:t>
      </w:r>
      <w:hyperlink r:id="rId2598">
        <w:r>
          <w:rPr>
            <w:color w:val="0000EE"/>
            <w:u w:val="single"/>
          </w:rPr>
          <w:t>Jn 5.1</w:t>
        </w:r>
      </w:hyperlink>
      <w:r>
        <w:t xml:space="preserve"> ; </w:t>
      </w:r>
      <w:hyperlink r:id="rId7993">
        <w:r>
          <w:rPr>
            <w:color w:val="0000EE"/>
            <w:u w:val="single"/>
          </w:rPr>
          <w:t>19.40</w:t>
        </w:r>
      </w:hyperlink>
      <w:r>
        <w:t>). Les Juifs se distinguent des Gentils (</w:t>
      </w:r>
      <w:hyperlink r:id="rId997">
        <w:r>
          <w:rPr>
            <w:color w:val="0000EE"/>
            <w:u w:val="single"/>
          </w:rPr>
          <w:t>Ac 11.19</w:t>
        </w:r>
      </w:hyperlink>
      <w:r>
        <w:t>), des Samaritains (</w:t>
      </w:r>
      <w:hyperlink r:id="rId7994">
        <w:r>
          <w:rPr>
            <w:color w:val="0000EE"/>
            <w:u w:val="single"/>
          </w:rPr>
          <w:t>Jn 4.9, 22</w:t>
        </w:r>
      </w:hyperlink>
      <w:r>
        <w:t>) et des prosélytes (</w:t>
      </w:r>
      <w:hyperlink r:id="rId3539">
        <w:r>
          <w:rPr>
            <w:color w:val="0000EE"/>
            <w:u w:val="single"/>
          </w:rPr>
          <w:t>Ac 2.10</w:t>
        </w:r>
      </w:hyperlink>
      <w:r>
        <w:t>). Un prosélyte était un non-Juif converti au judaïsme. Les chrétiens d'origine juive sont parfois appelés des « Juifs » dans le NT (</w:t>
      </w:r>
      <w:hyperlink r:id="rId7127">
        <w:r>
          <w:rPr>
            <w:color w:val="0000EE"/>
            <w:u w:val="single"/>
          </w:rPr>
          <w:t>Ga 2.13</w:t>
        </w:r>
      </w:hyperlink>
      <w:r>
        <w:t>), mais Paul ne laisse aucune confusion possible entre chrétien et juif de religion.</w:t>
      </w:r>
    </w:p>
    <w:p>
      <w:r/>
      <w:r>
        <w:t xml:space="preserve">Dans </w:t>
      </w:r>
      <w:hyperlink r:id="rId7995">
        <w:r>
          <w:rPr>
            <w:color w:val="0000EE"/>
            <w:u w:val="single"/>
          </w:rPr>
          <w:t>Romains 2.17</w:t>
        </w:r>
      </w:hyperlink>
      <w:r>
        <w:t>–</w:t>
      </w:r>
      <w:hyperlink r:id="rId7995">
        <w:r>
          <w:rPr>
            <w:color w:val="0000EE"/>
            <w:u w:val="single"/>
          </w:rPr>
          <w:t>29</w:t>
        </w:r>
      </w:hyperlink>
      <w:r>
        <w:t>, Paul définit ce qu'est vraiment un « Juif ». Il explique qu'un véritable Juif est circoncis de cœur et pas juste de corps. Il ne suffit pas de suivre les coutumes religieuses juives pour être un vrai Juif. Paul parle probablement à partir de sa propre expérience dans le judaïsme avant de devenir chrétien. Il a compris que ses pratiques religieuses, dont il a été si fier, ne sont pas la vraie justice devant Dieu et l'ont même mené à faire du mal au véritable peuple de Dieu (</w:t>
      </w:r>
      <w:hyperlink r:id="rId7996">
        <w:r>
          <w:rPr>
            <w:color w:val="0000EE"/>
            <w:u w:val="single"/>
          </w:rPr>
          <w:t>Ph 3.3</w:t>
        </w:r>
      </w:hyperlink>
      <w:r>
        <w:t>–</w:t>
      </w:r>
      <w:hyperlink r:id="rId7996">
        <w:r>
          <w:rPr>
            <w:color w:val="0000EE"/>
            <w:u w:val="single"/>
          </w:rPr>
          <w:t>6</w:t>
        </w:r>
      </w:hyperlink>
      <w:r>
        <w:t xml:space="preserve">). Ce qu'il dit à propos de la « louange » dans </w:t>
      </w:r>
      <w:hyperlink r:id="rId3877">
        <w:r>
          <w:rPr>
            <w:color w:val="0000EE"/>
            <w:u w:val="single"/>
          </w:rPr>
          <w:t>Romains 2.29</w:t>
        </w:r>
      </w:hyperlink>
      <w:r>
        <w:t xml:space="preserve"> est la partie la plus importante dans ce passage. C'est un jeu de mots frappant car en hébreu, Juda signifie « louange » (</w:t>
      </w:r>
      <w:hyperlink r:id="rId7731">
        <w:r>
          <w:rPr>
            <w:color w:val="0000EE"/>
            <w:u w:val="single"/>
          </w:rPr>
          <w:t>Gn 29.35</w:t>
        </w:r>
      </w:hyperlink>
      <w:r>
        <w:t>).</w:t>
      </w:r>
    </w:p>
    <w:p>
      <w:r/>
      <w:r>
        <w:t xml:space="preserve">Paul considère la foi chrétienne comme la véritable héritière de la foi de l'AT. </w:t>
      </w:r>
      <w:hyperlink r:id="rId7997">
        <w:r>
          <w:rPr>
            <w:color w:val="0000EE"/>
            <w:u w:val="single"/>
          </w:rPr>
          <w:t>Apocalypse 2.9</w:t>
        </w:r>
      </w:hyperlink>
      <w:r>
        <w:t xml:space="preserve"> et </w:t>
      </w:r>
      <w:hyperlink r:id="rId7998">
        <w:r>
          <w:rPr>
            <w:color w:val="0000EE"/>
            <w:u w:val="single"/>
          </w:rPr>
          <w:t>3.9</w:t>
        </w:r>
      </w:hyperlink>
      <w:r>
        <w:t xml:space="preserve"> montrent bien qu'être Juif n'est pas juste un droit de naissance associé à la pratique du judaïsme. (La pratique du judaïsme inclut l'appartenance à une synagogue, c'est-à-dire un lieu de culte juif). Ces passages sont liés à la déclaration dans le NT que Jésus est le Messie choisi par Dieu (</w:t>
      </w:r>
      <w:hyperlink r:id="rId7999">
        <w:r>
          <w:rPr>
            <w:color w:val="0000EE"/>
            <w:u w:val="single"/>
          </w:rPr>
          <w:t>Rm 9.3</w:t>
        </w:r>
      </w:hyperlink>
      <w:r>
        <w:t>–</w:t>
      </w:r>
      <w:hyperlink r:id="rId7999">
        <w:r>
          <w:rPr>
            <w:color w:val="0000EE"/>
            <w:u w:val="single"/>
          </w:rPr>
          <w:t>5</w:t>
        </w:r>
      </w:hyperlink>
      <w:r>
        <w:t xml:space="preserve">; </w:t>
      </w:r>
      <w:hyperlink r:id="rId8000">
        <w:r>
          <w:rPr>
            <w:color w:val="0000EE"/>
            <w:u w:val="single"/>
          </w:rPr>
          <w:t>10.1</w:t>
        </w:r>
      </w:hyperlink>
      <w:r>
        <w:t>–</w:t>
      </w:r>
      <w:hyperlink r:id="rId8000">
        <w:r>
          <w:rPr>
            <w:color w:val="0000EE"/>
            <w:u w:val="single"/>
          </w:rPr>
          <w:t>4</w:t>
        </w:r>
      </w:hyperlink>
      <w:r>
        <w:t>). En effet, dans le NT, les Juifs s'opposent souvent au message chrétien. L'Évangile les scandalise car ils ne veulent pas d'un Messie crucifié (</w:t>
      </w:r>
      <w:hyperlink r:id="rId2520">
        <w:r>
          <w:rPr>
            <w:color w:val="0000EE"/>
            <w:u w:val="single"/>
          </w:rPr>
          <w:t>1Co 1.23</w:t>
        </w:r>
      </w:hyperlink>
      <w:r>
        <w:t xml:space="preserve">). </w:t>
      </w:r>
    </w:p>
    <w:p>
      <w:r/>
      <w:r>
        <w:t>Paul lui-même est un Juif dont les origines et la formation sont impressionnantes (</w:t>
      </w:r>
      <w:hyperlink r:id="rId8001">
        <w:r>
          <w:rPr>
            <w:color w:val="0000EE"/>
            <w:u w:val="single"/>
          </w:rPr>
          <w:t>Ac 26.4</w:t>
        </w:r>
      </w:hyperlink>
      <w:r>
        <w:t>–</w:t>
      </w:r>
      <w:hyperlink r:id="rId8001">
        <w:r>
          <w:rPr>
            <w:color w:val="0000EE"/>
            <w:u w:val="single"/>
          </w:rPr>
          <w:t>7</w:t>
        </w:r>
      </w:hyperlink>
      <w:r>
        <w:t>). Mais comme il est chrétien et prêche le Christ, il est persécuté par les Juifs non-chrétiens (</w:t>
      </w:r>
      <w:hyperlink r:id="rId8002">
        <w:r>
          <w:rPr>
            <w:color w:val="0000EE"/>
            <w:u w:val="single"/>
          </w:rPr>
          <w:t>Ac 21.11</w:t>
        </w:r>
      </w:hyperlink>
      <w:r>
        <w:t xml:space="preserve">; </w:t>
      </w:r>
      <w:hyperlink r:id="rId8003">
        <w:r>
          <w:rPr>
            <w:color w:val="0000EE"/>
            <w:u w:val="single"/>
          </w:rPr>
          <w:t>23.12, 27</w:t>
        </w:r>
      </w:hyperlink>
      <w:r>
        <w:t xml:space="preserve">). </w:t>
      </w:r>
      <w:hyperlink r:id="rId7997">
        <w:r>
          <w:rPr>
            <w:color w:val="0000EE"/>
            <w:u w:val="single"/>
          </w:rPr>
          <w:t>Apocalypse 2.9</w:t>
        </w:r>
      </w:hyperlink>
      <w:r>
        <w:t xml:space="preserve"> et </w:t>
      </w:r>
      <w:hyperlink r:id="rId7998">
        <w:r>
          <w:rPr>
            <w:color w:val="0000EE"/>
            <w:u w:val="single"/>
          </w:rPr>
          <w:t>3.9</w:t>
        </w:r>
      </w:hyperlink>
      <w:r>
        <w:t xml:space="preserve"> qualifient de satanique une telle opposition à Christ et à son peuple de la part de Juifs. En effet, ceux qui font cela servent les intérêts de Satan, l'adversaire de Dieu.</w:t>
      </w:r>
    </w:p>
    <w:p>
      <w:r/>
      <w:r>
        <w:t>L'Évangile de Jean utilise beaucoup le terme « Juif ». Il y apparaît environ 70 fois, alors qu'il n'est utilisé que 5 ou 6 fois dans les autres Évangiles. Jean utilise parfois ce terme dans le sens simple de « Judéen ». Le plus souvent, cependant, Jean l'utilise pour désigner les autorités religieuses, surtout celles de Jérusalem, qui s'opposent à Jésus (</w:t>
      </w:r>
      <w:hyperlink r:id="rId8004">
        <w:r>
          <w:rPr>
            <w:color w:val="0000EE"/>
            <w:u w:val="single"/>
          </w:rPr>
          <w:t xml:space="preserve">Jn 5.18 </w:t>
        </w:r>
      </w:hyperlink>
      <w:r>
        <w:t xml:space="preserve">; </w:t>
      </w:r>
      <w:hyperlink r:id="rId8005">
        <w:r>
          <w:rPr>
            <w:color w:val="0000EE"/>
            <w:u w:val="single"/>
          </w:rPr>
          <w:t xml:space="preserve">9.18 </w:t>
        </w:r>
      </w:hyperlink>
      <w:r>
        <w:t xml:space="preserve">; </w:t>
      </w:r>
      <w:hyperlink r:id="rId8006">
        <w:r>
          <w:rPr>
            <w:color w:val="0000EE"/>
            <w:u w:val="single"/>
          </w:rPr>
          <w:t xml:space="preserve">11.8 </w:t>
        </w:r>
      </w:hyperlink>
      <w:r>
        <w:t xml:space="preserve">; </w:t>
      </w:r>
      <w:hyperlink r:id="rId8007">
        <w:r>
          <w:rPr>
            <w:color w:val="0000EE"/>
            <w:u w:val="single"/>
          </w:rPr>
          <w:t>18.36</w:t>
        </w:r>
      </w:hyperlink>
      <w:r>
        <w:t xml:space="preserve">). </w:t>
      </w:r>
    </w:p>
    <w:p>
      <w:r/>
      <w:r>
        <w:t xml:space="preserve">Dans </w:t>
      </w:r>
      <w:hyperlink r:id="rId8008">
        <w:r>
          <w:rPr>
            <w:color w:val="0000EE"/>
            <w:u w:val="single"/>
          </w:rPr>
          <w:t>Jean 9.22,</w:t>
        </w:r>
      </w:hyperlink>
      <w:r>
        <w:t xml:space="preserve"> les parents de l'aveugle, qui sont Juifs de naissance, craignent « les Juifs » qui les interrogent. Dans </w:t>
      </w:r>
      <w:hyperlink r:id="rId8009">
        <w:r>
          <w:rPr>
            <w:color w:val="0000EE"/>
            <w:u w:val="single"/>
          </w:rPr>
          <w:t>Jean 18.14</w:t>
        </w:r>
      </w:hyperlink>
      <w:r>
        <w:t>, le mot « Juifs » désigne les chefs des sacrificateurs et des pharisiens. Il faut néanmoins souligner que Jean est lui-même Juif de naissance et n'incite pas à la haine envers les Juifs. Il condamne ceux qui s'opposent à Jésus, et non pas l'ensemble de l'ethnie ou du peuple. Il parle ainsi aussi de Juifs qui croient en Jésus (</w:t>
      </w:r>
      <w:hyperlink r:id="rId8010">
        <w:r>
          <w:rPr>
            <w:color w:val="0000EE"/>
            <w:u w:val="single"/>
          </w:rPr>
          <w:t>Jn 8.31</w:t>
        </w:r>
      </w:hyperlink>
      <w:r>
        <w:t xml:space="preserve"> ; </w:t>
      </w:r>
      <w:hyperlink r:id="rId8011">
        <w:r>
          <w:rPr>
            <w:color w:val="0000EE"/>
            <w:u w:val="single"/>
          </w:rPr>
          <w:t>11.45</w:t>
        </w:r>
      </w:hyperlink>
      <w:r>
        <w:t xml:space="preserve"> ; </w:t>
      </w:r>
      <w:hyperlink r:id="rId8012">
        <w:r>
          <w:rPr>
            <w:color w:val="0000EE"/>
            <w:u w:val="single"/>
          </w:rPr>
          <w:t>12.11</w:t>
        </w:r>
      </w:hyperlink>
      <w:r>
        <w:t xml:space="preserve">), et Nathanaël est présenté comme un modèle de Juif chrétien, un véritable « Israélite </w:t>
      </w:r>
      <w:r>
        <w:t>dans lequel il n’y a point de fraude</w:t>
      </w:r>
      <w:r>
        <w:t xml:space="preserve"> » (</w:t>
      </w:r>
      <w:hyperlink r:id="rId8013">
        <w:r>
          <w:rPr>
            <w:color w:val="0000EE"/>
            <w:u w:val="single"/>
          </w:rPr>
          <w:t>Jn 1.47</w:t>
        </w:r>
      </w:hyperlink>
      <w:r>
        <w:t>).</w:t>
      </w:r>
    </w:p>
    <w:p>
      <w:r/>
      <w:r>
        <w:rPr>
          <w:i/>
        </w:rPr>
        <w:t>Voir aussi</w:t>
      </w:r>
      <w:r>
        <w:t xml:space="preserve"> </w:t>
      </w:r>
      <w:r>
        <w:t>Diaspora des Juifs</w:t>
      </w:r>
      <w:r>
        <w:t xml:space="preserve"> ; </w:t>
      </w:r>
      <w:r>
        <w:t>Israël (histoire)</w:t>
      </w:r>
      <w:r>
        <w:t xml:space="preserve"> ; </w:t>
      </w:r>
      <w:r>
        <w:t>judaïsme</w:t>
      </w:r>
      <w:r>
        <w:t xml:space="preserve"> ; </w:t>
      </w:r>
      <w:r>
        <w:t>judaïsants</w:t>
      </w:r>
      <w:r>
        <w:t xml:space="preserve"> ; </w:t>
      </w:r>
      <w:r>
        <w:t>pharisiens</w:t>
      </w:r>
      <w:r>
        <w:t xml:space="preserve"> ; </w:t>
      </w:r>
      <w:r>
        <w:t>période postexilique</w:t>
      </w:r>
      <w:r>
        <w:t>.</w:t>
      </w:r>
      <w:r/>
      <w:r/>
    </w:p>
    <w:p>
      <w:r/>
    </w:p>
    <w:p>
      <w:pPr>
        <w:pStyle w:val="Heading2"/>
      </w:pPr>
      <w:r>
        <w:t>Julius</w:t>
      </w:r>
      <w:r/>
    </w:p>
    <w:p>
      <w:r/>
      <w:r>
        <w:t>Centurion romain de la cohorte augustéenne qui escortera l'apôtre Paul et d'autres prisonniers de la Palestine à Rome (</w:t>
      </w:r>
      <w:hyperlink r:id="rId132">
        <w:r>
          <w:rPr>
            <w:color w:val="0000EE"/>
            <w:u w:val="single"/>
          </w:rPr>
          <w:t>Ac 27.1</w:t>
        </w:r>
      </w:hyperlink>
      <w:r>
        <w:t xml:space="preserve">). Les dirigeants juifs de Jérusalem avaient accusé Paul d'enseigner une fausse doctrine et de profaner le temple. En raison de l'indécision de deux gouverneurs romains successifs, Paul était resté en prison pendant plus de deux ans et finira par faire appel à César. Julius était un homme bienveillant. Il permettra à Paul de quitter le navire à Sidon pour être réconforté par ses amis (v. </w:t>
      </w:r>
      <w:hyperlink r:id="rId8014">
        <w:r>
          <w:rPr>
            <w:color w:val="0000EE"/>
            <w:u w:val="single"/>
          </w:rPr>
          <w:t>3</w:t>
        </w:r>
      </w:hyperlink>
      <w:r>
        <w:t xml:space="preserve">). Cependant, dans son empressement pour amener ses prisonniers à Rome, Julius ignorera le conseil de Paul de passer l'hiver à Beaux Ports. Au lieu de cela, il ordonnera au navire de naviguer vers Phénix, un autre port en Crète, plus adapté pour l'hivernage (v. </w:t>
      </w:r>
      <w:hyperlink r:id="rId8015">
        <w:r>
          <w:rPr>
            <w:color w:val="0000EE"/>
            <w:u w:val="single"/>
          </w:rPr>
          <w:t>9–12</w:t>
        </w:r>
      </w:hyperlink>
      <w:r>
        <w:t xml:space="preserve">). Pendant le voyage, une tempête détruit le navire. Les soldats à bord voulaient tuer les prisonniers de peur qu'ils ne s'échappent, mais Julius empêchera ce massacre, ordonnant à tous de quitter le navire et de nager jusqu'à la rive. Cette décision sauvera la vie de Paul (v. </w:t>
      </w:r>
      <w:hyperlink r:id="rId8016">
        <w:r>
          <w:rPr>
            <w:color w:val="0000EE"/>
            <w:u w:val="single"/>
          </w:rPr>
          <w:t>42–44</w:t>
        </w:r>
      </w:hyperlink>
      <w:r>
        <w:t>). Certains experts ont supposé que Julius était le soldat qui est resté avec Paul à Rome (</w:t>
      </w:r>
      <w:hyperlink r:id="rId8017">
        <w:r>
          <w:rPr>
            <w:color w:val="0000EE"/>
            <w:u w:val="single"/>
          </w:rPr>
          <w:t>Ac 28.16</w:t>
        </w:r>
      </w:hyperlink>
      <w:r>
        <w:t>).</w:t>
      </w:r>
      <w:r/>
      <w:r/>
    </w:p>
    <w:p>
      <w:r/>
    </w:p>
    <w:p>
      <w:pPr>
        <w:pStyle w:val="Heading2"/>
      </w:pPr>
      <w:r>
        <w:t>Jupiter</w:t>
      </w:r>
      <w:r/>
    </w:p>
    <w:p>
      <w:r/>
      <w:r>
        <w:t>Jupiter est le dieu suprême dans les croyances romaines. Il est l'équivalent de Zeus dans la mythologie grecque. Jupiter était le fils de Saturne et à la fois le mari et le frère de Junon.</w:t>
      </w:r>
    </w:p>
    <w:p>
      <w:r/>
      <w:r>
        <w:t>Jupiter (également appelé « Jove ») était le dieu du destin. Son arme était la foudre. Les gens considéraient l'aigle, le chêne et l'olivier comme sacrés dans son culte. Un temple de Jupiter se dressait à Rome sur la colline du Capitole. À l'époque du règne d'Hadrien (117–138 apr. J.‑C.), un temple de Jupiter Capitolinus a été construit sur les ruines du temple juif à Jérusalem.</w:t>
      </w:r>
    </w:p>
    <w:p>
      <w:r/>
      <w:r>
        <w:t>Lors de leur premier voyage missionnaire, les apôtres Barnabas et Paul se rendront à Lystre. Les habitants de la ville ont cru qu'ils étaient des dieux venus leur rendre visite (</w:t>
      </w:r>
      <w:hyperlink r:id="rId4081">
        <w:r>
          <w:rPr>
            <w:color w:val="0000EE"/>
            <w:u w:val="single"/>
          </w:rPr>
          <w:t>Ac 14.12–13</w:t>
        </w:r>
      </w:hyperlink>
      <w:r>
        <w:t>). Ils croyaient que Barnabas était Zeus (ou Jupiter) et Paul était Hermès (ou Mercure).</w:t>
      </w:r>
      <w:r/>
      <w:r/>
    </w:p>
    <w:p>
      <w:r/>
    </w:p>
    <w:p>
      <w:pPr>
        <w:pStyle w:val="Heading2"/>
      </w:pPr>
      <w:r>
        <w:t>Justification, Justifié</w:t>
      </w:r>
      <w:r/>
    </w:p>
    <w:p>
      <w:r/>
      <w:r>
        <w:t>L'acte par lequel Dieu amène les pécheurs dans une nouvelle relation d'alliance avec Lui-même à travers le pardon de leurs péchés. Par la justification, Dieu déclare juste une personne, à savoir qu'elle se trouve désormais en droite et véritable relation avec lui.</w:t>
      </w:r>
    </w:p>
    <w:p>
      <w:r/>
      <w:r>
        <w:t>Depuis la Réforme, ce terme a été essentiel dans la théologie chrétienne. Martin Luther a mis l'accent sur la doctrine de la justification par la foi seule. Pour Luther, il s'agissait d'un retour aux enseignements de l'apôtre Paul. Il a ainsi défié le catholicisme médiéval, qui mettait l'accent sur les bonnes œuvres et les indulgences pour le salut. La doctrine de la justification par la foi seule souligne que chaque personne est entièrement pécheresse et ne peut pas régler le problème de son propre péché. Elle met en avant le don de l'expiation de Dieu par Jésus-Christ, que les gens acceptent en plaçant leur confiance en Christ, plutôt qu'en leur mérite propre.</w:t>
      </w:r>
    </w:p>
    <w:p>
      <w:r/>
      <w:r>
        <w:t>Les mots « justification » et « justifier » ne sont pas si fréquents que ça dans la Bible. Cependant, l'importance de l'idée se trouve présente dans un grand nombre d'usages du mot « justice ». Ils proviennent de la même racine hébraïque et grecque. Par conséquent, comprendre la justification implique également de comprendre le concept biblique de la justice.</w:t>
      </w:r>
    </w:p>
    <w:p>
      <w:r/>
      <w:r>
        <w:t>En grec courant, « justification » et « justifier » étaient souvent des termes juridiques. Ils se référaient à déclarer quelqu'un innocent ou vertueux au tribunal. Cependant, ces termes ont également une signification plus large liée aux normes de toute relation.</w:t>
      </w:r>
    </w:p>
    <w:p>
      <w:pPr>
        <w:pStyle w:val="Heading3"/>
      </w:pPr>
      <w:r>
        <w:t>Dans l’Ancien Testament</w:t>
      </w:r>
    </w:p>
    <w:p>
      <w:r/>
      <w:r>
        <w:t>Dans l'Ancien Testament, la justice concerne les relations et les responsabilités au sein de ces relations. Parfois, une personne est qualifiée de juste parce qu'elle entretient une bonne relation avec une autre personne. D'autres fois, une personne est considérée comme juste parce qu'elle remplit certaines responsabilités au sein d'une relation (</w:t>
      </w:r>
      <w:hyperlink r:id="rId8018">
        <w:r>
          <w:rPr>
            <w:color w:val="0000EE"/>
            <w:u w:val="single"/>
          </w:rPr>
          <w:t>Gn 38.26</w:t>
        </w:r>
      </w:hyperlink>
      <w:r>
        <w:t>). Plus important encore, ces termes sont souvent utilisés pour décrire Dieu, qui est perçu comme juste. Dieu règne avec justice (</w:t>
      </w:r>
      <w:hyperlink r:id="rId8019">
        <w:r>
          <w:rPr>
            <w:color w:val="0000EE"/>
            <w:u w:val="single"/>
          </w:rPr>
          <w:t>Gn 18.25</w:t>
        </w:r>
      </w:hyperlink>
      <w:r>
        <w:t>), et ses jugements sont vrais et justes (</w:t>
      </w:r>
      <w:hyperlink r:id="rId8020">
        <w:r>
          <w:rPr>
            <w:color w:val="0000EE"/>
            <w:u w:val="single"/>
          </w:rPr>
          <w:t>Ps 19.9</w:t>
        </w:r>
      </w:hyperlink>
      <w:r>
        <w:t>). Tant les innocents que les coupables reconnaissent la justice de Dieu ; les innocents s'attendent à être déclarés purs, et les coupables savent que la loi de Dieu prévaudra.</w:t>
      </w:r>
    </w:p>
    <w:p>
      <w:r/>
      <w:r>
        <w:t>La justification et la justice sont étroitement liées aux actions salvatrices de Dieu en faveur de son peuple d'alliance. La justice de Dieu concerne davantage son intervention pour son peuple sous l'alliance que la stricte justice. La justification doit être comprise en termes d'alliance, et non seulement de loi. L'exemple le plus important de cela est Abraham, qui a été considéré comme juste parce qu'il répond avec foi à l'alliance de Dieu (</w:t>
      </w:r>
      <w:hyperlink r:id="rId549">
        <w:r>
          <w:rPr>
            <w:color w:val="0000EE"/>
            <w:u w:val="single"/>
          </w:rPr>
          <w:t>Genèse 15.6</w:t>
        </w:r>
      </w:hyperlink>
      <w:r>
        <w:t>). Abraham ne pouvait pas se rendre juste lui-même ; Dieu l'a rendu juste sur la base de l'alliance. Nous sommes tous aussi impuissants qu'Abraham. Aux yeux de Dieu, personne ne peut être justifié par ses propres moyens (</w:t>
      </w:r>
      <w:hyperlink r:id="rId8021">
        <w:r>
          <w:rPr>
            <w:color w:val="0000EE"/>
            <w:u w:val="single"/>
          </w:rPr>
          <w:t>Ps 143.2</w:t>
        </w:r>
      </w:hyperlink>
      <w:r>
        <w:t>). L'espérance de l'humanité réside dans le fait que Dieu se souvienne de son alliance. La justice vient de la miséricorde ou de la grâce de Dieu, car il traite son peuple selon sa bienveillance (</w:t>
      </w:r>
      <w:hyperlink r:id="rId8022">
        <w:r>
          <w:rPr>
            <w:color w:val="0000EE"/>
            <w:u w:val="single"/>
          </w:rPr>
          <w:t>Es 63.7</w:t>
        </w:r>
      </w:hyperlink>
      <w:r>
        <w:t>). La justification est basée sur la nature de Dieu et est principalement un concept religieux, plutôt que purement éthique.</w:t>
      </w:r>
    </w:p>
    <w:p>
      <w:pPr>
        <w:pStyle w:val="Heading3"/>
      </w:pPr>
      <w:r>
        <w:t>Dans le Nouveau Testament</w:t>
      </w:r>
    </w:p>
    <w:p>
      <w:r/>
      <w:r>
        <w:t>Le Nouveau Testament aborde la justification principalement dans les lettres de Paul, notamment dans Romains et Galates. Dans ces lettres, la justification par la foi est un concept clé que Paul utilise pour expliquer l'impact de l'œuvre de Christ sur l'humanité pécheresse. Paul contraste la justification par la foi avec le légalisme juif, qui tentait de faire de la loi la base du salut. Paul condamne fermement cette approche (</w:t>
      </w:r>
      <w:hyperlink r:id="rId8023">
        <w:r>
          <w:rPr>
            <w:color w:val="0000EE"/>
            <w:u w:val="single"/>
          </w:rPr>
          <w:t>Ga 1.6–9</w:t>
        </w:r>
      </w:hyperlink>
      <w:r>
        <w:t>). Il rappelle à ses lecteurs que la justice, ou justification, est un don de Dieu par le sang de Jésus-Christ (sang de</w:t>
      </w:r>
      <w:r>
        <w:rPr>
          <w:i/>
        </w:rPr>
        <w:t xml:space="preserve"> l'alliance</w:t>
      </w:r>
      <w:r>
        <w:t xml:space="preserve">, </w:t>
      </w:r>
      <w:hyperlink r:id="rId1819">
        <w:r>
          <w:rPr>
            <w:color w:val="0000EE"/>
            <w:u w:val="single"/>
          </w:rPr>
          <w:t>He 13.20</w:t>
        </w:r>
      </w:hyperlink>
      <w:r>
        <w:t>), et non quelque chose qui s'obtient par la loi (</w:t>
      </w:r>
      <w:hyperlink r:id="rId8024">
        <w:r>
          <w:rPr>
            <w:color w:val="0000EE"/>
            <w:u w:val="single"/>
          </w:rPr>
          <w:t>Rm 3.21</w:t>
        </w:r>
      </w:hyperlink>
      <w:r>
        <w:t>). La loi ne peut pas mener à la justice et ce n'était pas là le rôle de la loi dans l'intention de Dieu.</w:t>
      </w:r>
    </w:p>
    <w:p>
      <w:r/>
      <w:hyperlink r:id="rId8025">
        <w:r>
          <w:rPr>
            <w:color w:val="0000EE"/>
            <w:u w:val="single"/>
          </w:rPr>
          <w:t>Galates 3.15–25</w:t>
        </w:r>
      </w:hyperlink>
      <w:r>
        <w:t xml:space="preserve"> explique le rôle de la loi, qui est venue 430 ans après l'alliance qui a amené Abraham à entrer dans une relation avec Dieu. Quel que soit le but de la loi, elle n'a pas été donnée pour apporter la justice : « </w:t>
      </w:r>
      <w:r>
        <w:t>S’il eût été donné une loi qui pût procurer la vie, la justice viendrait réellement de la loi</w:t>
      </w:r>
      <w:r>
        <w:t xml:space="preserve"> » (</w:t>
      </w:r>
      <w:hyperlink r:id="rId8026">
        <w:r>
          <w:rPr>
            <w:color w:val="0000EE"/>
            <w:u w:val="single"/>
          </w:rPr>
          <w:t>Ga 3.21</w:t>
        </w:r>
      </w:hyperlink>
      <w:r>
        <w:t>). Christ a justifié les gens, et cela doit se comprendre en termes d'alliance, non de loi. Depuis l'époque d'Abraham, la justification est toujours venue par la foi au Dieu qui garde son alliance, et non par la loi. La justice est un terme relationnel, confirmé par ceux qui, par la foi, sont amenés dans une relation juste avec Dieu. La loi apporte le jugement et expose notre incapacité à gérer le péché (</w:t>
      </w:r>
      <w:hyperlink r:id="rId8027">
        <w:r>
          <w:rPr>
            <w:color w:val="0000EE"/>
            <w:u w:val="single"/>
          </w:rPr>
          <w:t>Ac 13.39</w:t>
        </w:r>
      </w:hyperlink>
      <w:r>
        <w:t xml:space="preserve"> ; </w:t>
      </w:r>
      <w:hyperlink r:id="rId8028">
        <w:r>
          <w:rPr>
            <w:color w:val="0000EE"/>
            <w:u w:val="single"/>
          </w:rPr>
          <w:t>Rm 8.3</w:t>
        </w:r>
      </w:hyperlink>
      <w:r>
        <w:t>). La justification, cependant, aborde le problème du péché et de la culpabilité, offrant le salut. Le croyant est libéré de la condamnation (</w:t>
      </w:r>
      <w:hyperlink r:id="rId8029">
        <w:r>
          <w:rPr>
            <w:color w:val="0000EE"/>
            <w:u w:val="single"/>
          </w:rPr>
          <w:t>Rm 8.1</w:t>
        </w:r>
      </w:hyperlink>
      <w:r>
        <w:t>). La compréhension principale de la justification vient en se concentrant sur l'alliance et la grâce, non sur la loi et le jugement. Les références de Paul à Abraham dans Romains et Galates montrent que l'alliance a toujours été le seul espoir de l'humanité. Dieu reste fidèle à son alliance, même lorsque son peuple la brise quotidiennement.</w:t>
      </w:r>
    </w:p>
    <w:p>
      <w:r/>
      <w:r>
        <w:t>Dans l'enseignement de Paul, Dieu est à la fois juste et celui qui justifie. Le péché exige un jugement et doit être traité. La manière dont Dieu conduit les gens à lui est révélée en dehors de la loi et se trouve plutot dans la vie et la mort de Christ, que Dieu a donné comme un sacrifice expiatoire (</w:t>
      </w:r>
      <w:hyperlink r:id="rId8030">
        <w:r>
          <w:rPr>
            <w:color w:val="0000EE"/>
            <w:u w:val="single"/>
          </w:rPr>
          <w:t>Rm 3.21–26</w:t>
        </w:r>
      </w:hyperlink>
      <w:r>
        <w:t>). Le péché a été traité dans la mort de Jésus, qui a pris le péché afin qu'en lui nous puissions devenir la justice de Dieu (</w:t>
      </w:r>
      <w:hyperlink r:id="rId6717">
        <w:r>
          <w:rPr>
            <w:color w:val="0000EE"/>
            <w:u w:val="single"/>
          </w:rPr>
          <w:t>2Co 5.2</w:t>
        </w:r>
      </w:hyperlink>
      <w:r>
        <w:t>). Dans sa mort, Christ porte la culpabilité de toute l'humanité afin qu'en ayant confiance en lui, les gens puissent connaître Dieu et avoir avec lui une relation véritable.</w:t>
      </w:r>
    </w:p>
    <w:p>
      <w:r/>
      <w:r>
        <w:t>Pour Paul, la justification, au regard du péché humain, est enracinée dans la nature de Dieu, car Dieu seul peut guérir et racheter l'humanité. La justification est opérée par la grâce seule. Enracinée dans la nature de Dieu, elle est rendue disponible par l'œuvre de Christ comme don de Dieu. Par conséquent, nous confessons souvent que Christ est mort « pour nous » (</w:t>
      </w:r>
      <w:hyperlink r:id="rId2443">
        <w:r>
          <w:rPr>
            <w:color w:val="0000EE"/>
            <w:u w:val="single"/>
          </w:rPr>
          <w:t>Rm 5.8</w:t>
        </w:r>
      </w:hyperlink>
      <w:r>
        <w:t xml:space="preserve"> ; </w:t>
      </w:r>
      <w:hyperlink r:id="rId8031">
        <w:r>
          <w:rPr>
            <w:color w:val="0000EE"/>
            <w:u w:val="single"/>
          </w:rPr>
          <w:t>1Th 5.10</w:t>
        </w:r>
      </w:hyperlink>
      <w:r>
        <w:t>) ou « pour nos péchés » (</w:t>
      </w:r>
      <w:hyperlink r:id="rId4396">
        <w:r>
          <w:rPr>
            <w:color w:val="0000EE"/>
            <w:u w:val="single"/>
          </w:rPr>
          <w:t>1Co 15.3</w:t>
        </w:r>
      </w:hyperlink>
      <w:r>
        <w:t>). La manière de recevoir ce don est par la foi et la foi seule (</w:t>
      </w:r>
      <w:hyperlink r:id="rId7825">
        <w:r>
          <w:rPr>
            <w:color w:val="0000EE"/>
            <w:u w:val="single"/>
          </w:rPr>
          <w:t>Rm 3.22</w:t>
        </w:r>
      </w:hyperlink>
      <w:r>
        <w:t xml:space="preserve"> ; </w:t>
      </w:r>
      <w:hyperlink r:id="rId322">
        <w:r>
          <w:rPr>
            <w:color w:val="0000EE"/>
            <w:u w:val="single"/>
          </w:rPr>
          <w:t>5.1</w:t>
        </w:r>
      </w:hyperlink>
      <w:r>
        <w:t>). Cette foi est une simple confiance dans l'œuvre de Christ. Il s'agit d'une confiance par laquelle on s'identifie librement à Christ, par laquelle on aime Sa Parole et que l'on vit selon les valeurs du Royaume de Dieu. La personne justifiée sait que sa droite relation avec Dieu ne dépend que de la grâce et non de l'effort ou des actes. La justification est entièrement un don de l'amour infini de Dieu. L'impuissance de l'humain est surmontée par la puissance de l'Évangile, dans lequel l'œuvre salvatrice de Dieu est révélée (</w:t>
      </w:r>
      <w:hyperlink r:id="rId4424">
        <w:r>
          <w:rPr>
            <w:color w:val="0000EE"/>
            <w:u w:val="single"/>
          </w:rPr>
          <w:t>Rm 1.17</w:t>
        </w:r>
      </w:hyperlink>
      <w:r>
        <w:t>).</w:t>
      </w:r>
    </w:p>
    <w:p>
      <w:r/>
      <w:r>
        <w:t>La justification est mentionnée dans les Évangiles dans la parabole du pharisien et du collecteur d'impôts qui sont allés au temple pour prier. Le pharisien met en avant ses œuvres religieuses et sa supériorité morale. Le collecteur d'impôts, ressentant une profonde culpabilité et indignité, ne pouvait que demander miséricorde. Selon Jésus, le collecteur d'impôts est rentré chez lui justifié (</w:t>
      </w:r>
      <w:hyperlink r:id="rId8032">
        <w:r>
          <w:rPr>
            <w:color w:val="0000EE"/>
            <w:u w:val="single"/>
          </w:rPr>
          <w:t>Lc 18.14</w:t>
        </w:r>
      </w:hyperlink>
      <w:r>
        <w:t>). C'est la seule référence directe à la justification par la foi. Cependant, tout au long de son ministère, Jésus avait affaire à des personnes focalisées sur leur piété. Celles-ci cherchaient à se justifier devant Dieu. Elles se distinguaient des pécheurs et des indésirables. Elles étaient tellement concentrées sur leurs propres œuvres qu'elles étaient offensées par le message de grâce et le pardon total de personnes pécheresses (</w:t>
      </w:r>
      <w:hyperlink r:id="rId8033">
        <w:r>
          <w:rPr>
            <w:color w:val="0000EE"/>
            <w:u w:val="single"/>
          </w:rPr>
          <w:t>Lc 7.36–50</w:t>
        </w:r>
      </w:hyperlink>
      <w:r>
        <w:t>). Jésus a abordé le même problème que Paul confrontera plus tard. Seuls ceux qui s'humilient devant Dieu seront exaltés (</w:t>
      </w:r>
      <w:hyperlink r:id="rId8034">
        <w:r>
          <w:rPr>
            <w:color w:val="0000EE"/>
            <w:u w:val="single"/>
          </w:rPr>
          <w:t>Mt 18.4</w:t>
        </w:r>
      </w:hyperlink>
      <w:r>
        <w:t xml:space="preserve"> ; </w:t>
      </w:r>
      <w:hyperlink r:id="rId6574">
        <w:r>
          <w:rPr>
            <w:color w:val="0000EE"/>
            <w:u w:val="single"/>
          </w:rPr>
          <w:t>23.12</w:t>
        </w:r>
      </w:hyperlink>
      <w:r>
        <w:t>). Seuls ceux qui se savent pécheurs entendront le message de grâce (</w:t>
      </w:r>
      <w:hyperlink r:id="rId8035">
        <w:r>
          <w:rPr>
            <w:color w:val="0000EE"/>
            <w:u w:val="single"/>
          </w:rPr>
          <w:t>Lc 5.32</w:t>
        </w:r>
      </w:hyperlink>
      <w:r>
        <w:t xml:space="preserve"> ; </w:t>
      </w:r>
      <w:hyperlink r:id="rId8036">
        <w:r>
          <w:rPr>
            <w:color w:val="0000EE"/>
            <w:u w:val="single"/>
          </w:rPr>
          <w:t>15.7, 10</w:t>
        </w:r>
      </w:hyperlink>
      <w:r>
        <w:t xml:space="preserve"> ; </w:t>
      </w:r>
      <w:hyperlink r:id="rId8037">
        <w:r>
          <w:rPr>
            <w:color w:val="0000EE"/>
            <w:u w:val="single"/>
          </w:rPr>
          <w:t>19.7</w:t>
        </w:r>
      </w:hyperlink>
      <w:r>
        <w:t>). Seuls les indignes trouvent la guérison (</w:t>
      </w:r>
      <w:hyperlink r:id="rId8038">
        <w:r>
          <w:rPr>
            <w:color w:val="0000EE"/>
            <w:u w:val="single"/>
          </w:rPr>
          <w:t>Mt 8.8</w:t>
        </w:r>
      </w:hyperlink>
      <w:r>
        <w:t>).</w:t>
      </w:r>
    </w:p>
    <w:p>
      <w:r/>
      <w:r>
        <w:t>Nous devons toujours réaffirmer la justification par la foi. Tout le monde a tendance à chercher la justice personnelle pour se tenir devant Dieu en se basant sur son propre caractère et sa piété. Cependant, le renouveau et la santé de l'Église (comme on le voit chez Martin Luther et John Wesley) dépendent de la croyance selon laquelle « le juste vivra par la foi » (</w:t>
      </w:r>
      <w:hyperlink r:id="rId4424">
        <w:r>
          <w:rPr>
            <w:color w:val="0000EE"/>
            <w:u w:val="single"/>
          </w:rPr>
          <w:t>Rm 1.17</w:t>
        </w:r>
      </w:hyperlink>
      <w:r>
        <w:t xml:space="preserve">; </w:t>
      </w:r>
      <w:hyperlink r:id="rId8039">
        <w:r>
          <w:rPr>
            <w:color w:val="0000EE"/>
            <w:u w:val="single"/>
          </w:rPr>
          <w:t>Hé 10.38</w:t>
        </w:r>
      </w:hyperlink>
      <w:r>
        <w:t xml:space="preserve">; </w:t>
      </w:r>
      <w:hyperlink r:id="rId3692">
        <w:r>
          <w:rPr>
            <w:color w:val="0000EE"/>
            <w:u w:val="single"/>
          </w:rPr>
          <w:t>11.7</w:t>
        </w:r>
      </w:hyperlink>
      <w:r>
        <w:t>).</w:t>
      </w:r>
    </w:p>
    <w:p>
      <w:r/>
      <w:r>
        <w:rPr>
          <w:i/>
        </w:rPr>
        <w:t>Voir aussi</w:t>
      </w:r>
      <w:r>
        <w:t xml:space="preserve"> </w:t>
      </w:r>
      <w:r>
        <w:t>Adoption</w:t>
      </w:r>
      <w:r>
        <w:t xml:space="preserve"> ; </w:t>
      </w:r>
      <w:r>
        <w:t>Foi</w:t>
      </w:r>
      <w:r>
        <w:t xml:space="preserve"> ; </w:t>
      </w:r>
      <w:r>
        <w:t>Loi, Concept biblique de</w:t>
      </w:r>
      <w:r>
        <w:t xml:space="preserve"> ; </w:t>
      </w:r>
      <w:r>
        <w:t>Sanctification</w:t>
      </w:r>
      <w:r>
        <w:t>.</w:t>
      </w:r>
      <w:r/>
      <w:r/>
    </w:p>
    <w:p>
      <w:r/>
    </w:p>
    <w:p>
      <w:pPr>
        <w:pStyle w:val="Heading2"/>
      </w:pPr>
      <w:r>
        <w:t>Justus</w:t>
      </w:r>
      <w:r/>
    </w:p>
    <w:p>
      <w:r/>
      <w:r>
        <w:t>1. Nom de famille pour Joseph Barsabbas (</w:t>
      </w:r>
      <w:hyperlink r:id="rId1697">
        <w:r>
          <w:rPr>
            <w:color w:val="0000EE"/>
            <w:u w:val="single"/>
          </w:rPr>
          <w:t>Ac 1.23</w:t>
        </w:r>
      </w:hyperlink>
      <w:r>
        <w:t xml:space="preserve">). </w:t>
      </w:r>
      <w:r>
        <w:rPr>
          <w:i/>
        </w:rPr>
        <w:t>Voir</w:t>
      </w:r>
      <w:r>
        <w:t xml:space="preserve"> </w:t>
      </w:r>
      <w:r>
        <w:t>Joseph n° 12</w:t>
      </w:r>
      <w:r>
        <w:t>.</w:t>
      </w:r>
    </w:p>
    <w:p>
      <w:r/>
      <w:r>
        <w:t>2. Un homme corinthien pieux (présumément un converti de Paul), qui a ouvert sa maison à Paul et aux chrétiens après que la synagogue juive a été fermée à la prédication de Paul (</w:t>
      </w:r>
      <w:hyperlink r:id="rId8040">
        <w:r>
          <w:rPr>
            <w:color w:val="0000EE"/>
            <w:u w:val="single"/>
          </w:rPr>
          <w:t>Ac 18.7</w:t>
        </w:r>
      </w:hyperlink>
      <w:r>
        <w:t xml:space="preserve">). Il y a un désaccord parmi les manuscrits quant à la forme exacte de son nom. Diverses lectures ont Justus ou Titius Justus. Il a également été identifié comme le Gaïus de </w:t>
      </w:r>
      <w:hyperlink r:id="rId2373">
        <w:r>
          <w:rPr>
            <w:color w:val="0000EE"/>
            <w:u w:val="single"/>
          </w:rPr>
          <w:t>Romains 16.23</w:t>
        </w:r>
      </w:hyperlink>
      <w:r>
        <w:t>.</w:t>
      </w:r>
    </w:p>
    <w:p>
      <w:r/>
      <w:r>
        <w:t>3. Nom de famille d'un croyant nommé Jésus, un chrétien juif (</w:t>
      </w:r>
      <w:hyperlink r:id="rId7130">
        <w:r>
          <w:rPr>
            <w:color w:val="0000EE"/>
            <w:u w:val="single"/>
          </w:rPr>
          <w:t>Col 4.11</w:t>
        </w:r>
      </w:hyperlink>
      <w:r>
        <w:t xml:space="preserve">). </w:t>
      </w:r>
      <w:r>
        <w:rPr>
          <w:i/>
        </w:rPr>
        <w:t>Voir</w:t>
      </w:r>
      <w:r>
        <w:t xml:space="preserve"> </w:t>
      </w:r>
      <w:r>
        <w:t>Jésus n° 3</w:t>
      </w:r>
      <w:r>
        <w:t>.</w:t>
      </w:r>
      <w:r/>
      <w:r/>
    </w:p>
    <w:p>
      <w:r/>
    </w:p>
    <w:p>
      <w:pPr>
        <w:pStyle w:val="Heading2"/>
      </w:pPr>
      <w:r>
        <w:t>Kadès, Kadès-Barnéa</w:t>
      </w:r>
      <w:r/>
    </w:p>
    <w:p>
      <w:r/>
      <w:r>
        <w:t>Lieu de résidence des Israélites errants pendant près de trente-huit ans. Dans la vaste région du Sinaï, il y a deux principales oasis : au sud se trouve Wadi Feiran, près de la montagne de Moïse (Mont Sinaï ou Horeb) ; au nord se trouve Kadès, ou Kadès-Barnéa. La première était l'endroit où la loi a été donnée ; la seconde, le principal campement des douze tribus pendant leur exode d'Égypte (</w:t>
      </w:r>
      <w:hyperlink r:id="rId8041">
        <w:r>
          <w:rPr>
            <w:color w:val="0000EE"/>
            <w:u w:val="single"/>
          </w:rPr>
          <w:t>Dt 1.46</w:t>
        </w:r>
      </w:hyperlink>
      <w:r>
        <w:t>).</w:t>
      </w:r>
    </w:p>
    <w:p>
      <w:r/>
      <w:r>
        <w:t>Kadès-Barnéa (</w:t>
      </w:r>
      <w:hyperlink r:id="rId4724">
        <w:r>
          <w:rPr>
            <w:color w:val="0000EE"/>
            <w:u w:val="single"/>
          </w:rPr>
          <w:t>Gn 14.7</w:t>
        </w:r>
      </w:hyperlink>
      <w:r>
        <w:t>, « En-Mischpath ») a été pillé par Kedorlaomer, roi d'Élam, à l'époque d'Abraham. Dans cette région, Agar a été chassée de la tente de Sara, sa maîtresse (</w:t>
      </w:r>
      <w:hyperlink r:id="rId1683">
        <w:r>
          <w:rPr>
            <w:color w:val="0000EE"/>
            <w:u w:val="single"/>
          </w:rPr>
          <w:t>16.14</w:t>
        </w:r>
      </w:hyperlink>
      <w:r>
        <w:t>), et c'est ici que Miriam est morte et a été enterrée (</w:t>
      </w:r>
      <w:hyperlink r:id="rId8042">
        <w:r>
          <w:rPr>
            <w:color w:val="0000EE"/>
            <w:u w:val="single"/>
          </w:rPr>
          <w:t>Nb 20.1</w:t>
        </w:r>
      </w:hyperlink>
      <w:r>
        <w:t>). La grande querelle au sujet de l'eau a eu lieu ici, donnant naissance au nom Meriba ou Meribath-kadès (</w:t>
      </w:r>
      <w:hyperlink r:id="rId8043">
        <w:r>
          <w:rPr>
            <w:color w:val="0000EE"/>
            <w:u w:val="single"/>
          </w:rPr>
          <w:t>Nb 20.2–24</w:t>
        </w:r>
      </w:hyperlink>
      <w:r>
        <w:t xml:space="preserve"> ; </w:t>
      </w:r>
      <w:hyperlink r:id="rId8044">
        <w:r>
          <w:rPr>
            <w:color w:val="0000EE"/>
            <w:u w:val="single"/>
          </w:rPr>
          <w:t>Dt 32.51</w:t>
        </w:r>
      </w:hyperlink>
      <w:r>
        <w:t xml:space="preserve"> ; </w:t>
      </w:r>
      <w:hyperlink r:id="rId8045">
        <w:r>
          <w:rPr>
            <w:color w:val="0000EE"/>
            <w:u w:val="single"/>
          </w:rPr>
          <w:t>Ez 47.19</w:t>
        </w:r>
      </w:hyperlink>
      <w:r>
        <w:t xml:space="preserve"> ; </w:t>
      </w:r>
      <w:hyperlink r:id="rId6214">
        <w:r>
          <w:rPr>
            <w:color w:val="0000EE"/>
            <w:u w:val="single"/>
          </w:rPr>
          <w:t>48.28</w:t>
        </w:r>
      </w:hyperlink>
      <w:r>
        <w:t>). Ce lieu sera également le théâtre de la rébellion de Koré contre la direction de Moïse et Aaron (</w:t>
      </w:r>
      <w:hyperlink r:id="rId8046">
        <w:r>
          <w:rPr>
            <w:color w:val="0000EE"/>
            <w:u w:val="single"/>
          </w:rPr>
          <w:t>Nb 16–17</w:t>
        </w:r>
      </w:hyperlink>
      <w:r>
        <w:t>). Cette région restera longtemps dans la mémoire des tribus israélites comme lieu de leur incrédulité suite au rapport des dix espions et un retard de trente-huit ans avant leur occupation de la Terre Promise (</w:t>
      </w:r>
      <w:hyperlink r:id="rId8047">
        <w:r>
          <w:rPr>
            <w:color w:val="0000EE"/>
            <w:u w:val="single"/>
          </w:rPr>
          <w:t>Ps 95.8–11</w:t>
        </w:r>
      </w:hyperlink>
      <w:r>
        <w:t xml:space="preserve"> ; voir </w:t>
      </w:r>
      <w:hyperlink r:id="rId6297">
        <w:r>
          <w:rPr>
            <w:color w:val="0000EE"/>
            <w:u w:val="single"/>
          </w:rPr>
          <w:t>Hé 3.7–19</w:t>
        </w:r>
      </w:hyperlink>
      <w:r>
        <w:t>).</w:t>
      </w:r>
    </w:p>
    <w:p>
      <w:r/>
      <w:r>
        <w:t>En raison de l'eau, des pâturages et des terres agricoles, ainsi que de sa proximité avec Canaan, les Israélites estimeront que cette région était l'endroit idéal pour passer la plupart de leur temps avant d'entrer dans la Terre Promise.</w:t>
      </w:r>
    </w:p>
    <w:p>
      <w:r/>
      <w:r>
        <w:rPr>
          <w:i/>
        </w:rPr>
        <w:t>Voir aussi</w:t>
      </w:r>
      <w:r>
        <w:t xml:space="preserve"> </w:t>
      </w:r>
      <w:r>
        <w:t>Meriba n° 2</w:t>
      </w:r>
      <w:r>
        <w:t xml:space="preserve"> ; </w:t>
      </w:r>
      <w:r>
        <w:t>Errances dans le désert</w:t>
      </w:r>
      <w:r>
        <w:t>.</w:t>
      </w:r>
      <w:r/>
      <w:r/>
    </w:p>
    <w:p>
      <w:r/>
    </w:p>
    <w:p>
      <w:pPr>
        <w:pStyle w:val="Heading2"/>
      </w:pPr>
      <w:r>
        <w:t>Kadmoniens</w:t>
      </w:r>
      <w:r/>
    </w:p>
    <w:p>
      <w:r/>
      <w:r>
        <w:t>Tribu sémitique à laquelle Dieu a promis la terre aux descendants d'Abraham (</w:t>
      </w:r>
      <w:hyperlink r:id="rId8048">
        <w:r>
          <w:rPr>
            <w:color w:val="0000EE"/>
            <w:u w:val="single"/>
          </w:rPr>
          <w:t>Gn 15.19</w:t>
        </w:r>
      </w:hyperlink>
      <w:r>
        <w:t xml:space="preserve">). Les peuples sémitiques sont des groupes anciens du Moyen-Orient et d'Afrique du Nord, connus pour leurs langues partagées (comme l'hébreu, l'araméen ou l'arabe) et leurs traditions culturelles. Le nom « Kadmoniens » signifie « oriental » en hébreu. Cela peut expliquer pourquoi la Bible parle parfois des « fils de l'orient » (voir p. ex. </w:t>
      </w:r>
      <w:hyperlink r:id="rId6823">
        <w:r>
          <w:rPr>
            <w:color w:val="0000EE"/>
            <w:u w:val="single"/>
          </w:rPr>
          <w:t>Gn 25.6</w:t>
        </w:r>
      </w:hyperlink>
      <w:r>
        <w:t xml:space="preserve"> ; </w:t>
      </w:r>
      <w:hyperlink r:id="rId8049">
        <w:r>
          <w:rPr>
            <w:color w:val="0000EE"/>
            <w:u w:val="single"/>
          </w:rPr>
          <w:t>Jg 8.10</w:t>
        </w:r>
      </w:hyperlink>
      <w:r>
        <w:t xml:space="preserve"> ; </w:t>
      </w:r>
      <w:hyperlink r:id="rId8050">
        <w:r>
          <w:rPr>
            <w:color w:val="0000EE"/>
            <w:u w:val="single"/>
          </w:rPr>
          <w:t>1R 4.30</w:t>
        </w:r>
      </w:hyperlink>
      <w:r>
        <w:t xml:space="preserve"> ; </w:t>
      </w:r>
      <w:hyperlink r:id="rId8051">
        <w:r>
          <w:rPr>
            <w:color w:val="0000EE"/>
            <w:u w:val="single"/>
          </w:rPr>
          <w:t>Jb 1.3</w:t>
        </w:r>
      </w:hyperlink>
      <w:r>
        <w:t>).</w:t>
      </w:r>
      <w:r/>
      <w:r/>
    </w:p>
    <w:p>
      <w:r/>
    </w:p>
    <w:p>
      <w:pPr>
        <w:pStyle w:val="Heading2"/>
      </w:pPr>
      <w:r>
        <w:t>Kaïnan</w:t>
      </w:r>
      <w:r/>
    </w:p>
    <w:p>
      <w:r/>
      <w:r>
        <w:t>Arrière-petit-fils d'Adam, également appelé Kénan (</w:t>
      </w:r>
      <w:hyperlink r:id="rId8052">
        <w:r>
          <w:rPr>
            <w:color w:val="0000EE"/>
            <w:u w:val="single"/>
          </w:rPr>
          <w:t>Gn 5.9–14</w:t>
        </w:r>
      </w:hyperlink>
      <w:r>
        <w:t xml:space="preserve"> ; </w:t>
      </w:r>
      <w:hyperlink r:id="rId7145">
        <w:r>
          <w:rPr>
            <w:color w:val="0000EE"/>
            <w:u w:val="single"/>
          </w:rPr>
          <w:t>1Ch 1.2</w:t>
        </w:r>
      </w:hyperlink>
      <w:r>
        <w:t xml:space="preserve"> ; </w:t>
      </w:r>
      <w:hyperlink r:id="rId7146">
        <w:r>
          <w:rPr>
            <w:color w:val="0000EE"/>
            <w:u w:val="single"/>
          </w:rPr>
          <w:t>Lc 3.37</w:t>
        </w:r>
      </w:hyperlink>
      <w:r>
        <w:t>).</w:t>
      </w:r>
    </w:p>
    <w:p>
      <w:r/>
      <w:r>
        <w:rPr>
          <w:i/>
        </w:rPr>
        <w:t>Voir</w:t>
      </w:r>
      <w:r>
        <w:t xml:space="preserve"> </w:t>
      </w:r>
      <w:r>
        <w:t>Kénan</w:t>
      </w:r>
      <w:r>
        <w:t>.</w:t>
      </w:r>
      <w:r/>
      <w:r/>
    </w:p>
    <w:p>
      <w:r/>
    </w:p>
    <w:p>
      <w:pPr>
        <w:pStyle w:val="Heading2"/>
      </w:pPr>
      <w:r>
        <w:t>Karen</w:t>
      </w:r>
      <w:r/>
    </w:p>
    <w:p>
      <w:r/>
      <w:r>
        <w:t>Une autre orthographe pour Keran, fils de Dishon (</w:t>
      </w:r>
      <w:hyperlink r:id="rId4883">
        <w:r>
          <w:rPr>
            <w:color w:val="0000EE"/>
            <w:u w:val="single"/>
          </w:rPr>
          <w:t>Gn 36.26</w:t>
        </w:r>
      </w:hyperlink>
      <w:r>
        <w:t xml:space="preserve"> ; </w:t>
      </w:r>
      <w:hyperlink r:id="rId4169">
        <w:r>
          <w:rPr>
            <w:color w:val="0000EE"/>
            <w:u w:val="single"/>
          </w:rPr>
          <w:t>1Ch 1.41</w:t>
        </w:r>
      </w:hyperlink>
      <w:r>
        <w:t xml:space="preserve">). </w:t>
      </w:r>
      <w:r>
        <w:rPr>
          <w:i/>
        </w:rPr>
        <w:t>Voir</w:t>
      </w:r>
      <w:r>
        <w:t xml:space="preserve"> </w:t>
      </w:r>
      <w:r>
        <w:t>Keran</w:t>
      </w:r>
      <w:r>
        <w:t>.</w:t>
      </w:r>
      <w:r/>
      <w:r/>
    </w:p>
    <w:p>
      <w:r/>
    </w:p>
    <w:p>
      <w:pPr>
        <w:pStyle w:val="Heading2"/>
      </w:pPr>
      <w:r>
        <w:t>Kédar</w:t>
      </w:r>
      <w:r/>
    </w:p>
    <w:p>
      <w:pPr>
        <w:pStyle w:val="ListNumber"/>
        <w:spacing w:line="240" w:lineRule="auto"/>
        <w:ind w:left="720"/>
      </w:pPr>
      <w:r/>
      <w:r>
        <w:t>Deuxième fils d'Ismaël, fils d'Abraham (</w:t>
      </w:r>
      <w:hyperlink r:id="rId8053">
        <w:r>
          <w:rPr>
            <w:color w:val="0000EE"/>
            <w:u w:val="single"/>
          </w:rPr>
          <w:t>Gn 25.13</w:t>
        </w:r>
      </w:hyperlink>
      <w:r>
        <w:t xml:space="preserve"> ; </w:t>
      </w:r>
      <w:hyperlink r:id="rId1270">
        <w:r>
          <w:rPr>
            <w:color w:val="0000EE"/>
            <w:u w:val="single"/>
          </w:rPr>
          <w:t>1Ch 1.29</w:t>
        </w:r>
      </w:hyperlink>
      <w:r>
        <w:t>).</w:t>
      </w:r>
    </w:p>
    <w:p>
      <w:pPr>
        <w:pStyle w:val="ListNumber"/>
        <w:spacing w:line="240" w:lineRule="auto"/>
        <w:ind w:left="720"/>
      </w:pPr>
      <w:r/>
      <w:r>
        <w:t>Une tribu ou une région apparaissant principalement dans les écrits prophétiques de l'époque de Salomon jusqu'à l'exil. Dans la prophétie d'Ésaïe contre l'Arabie, Kédar est mentionné à deux reprises (</w:t>
      </w:r>
      <w:hyperlink r:id="rId1096">
        <w:r>
          <w:rPr>
            <w:color w:val="0000EE"/>
            <w:u w:val="single"/>
          </w:rPr>
          <w:t>Es 21.13–17</w:t>
        </w:r>
      </w:hyperlink>
      <w:r>
        <w:t xml:space="preserve">). Avec l'Arabie, Dedan et Tema, les habitants de Kédar sont menacés de destruction. </w:t>
      </w:r>
      <w:hyperlink r:id="rId8054">
        <w:r>
          <w:rPr>
            <w:color w:val="0000EE"/>
            <w:u w:val="single"/>
          </w:rPr>
          <w:t>Ésaïe 21.16</w:t>
        </w:r>
      </w:hyperlink>
      <w:r>
        <w:t xml:space="preserve"> mentionne leur « gloire », suggérant une certaine richesse (voir aussi </w:t>
      </w:r>
      <w:hyperlink r:id="rId8055">
        <w:r>
          <w:rPr>
            <w:color w:val="0000EE"/>
            <w:u w:val="single"/>
          </w:rPr>
          <w:t>Ez 27.21</w:t>
        </w:r>
      </w:hyperlink>
      <w:r>
        <w:t xml:space="preserve">). Le ton militariste dans </w:t>
      </w:r>
      <w:hyperlink r:id="rId1215">
        <w:r>
          <w:rPr>
            <w:color w:val="0000EE"/>
            <w:u w:val="single"/>
          </w:rPr>
          <w:t>Ésaïe 21.17</w:t>
        </w:r>
      </w:hyperlink>
      <w:r>
        <w:t xml:space="preserve"> suggère qu'ils étaient un peuple guerrier. Dans </w:t>
      </w:r>
      <w:hyperlink r:id="rId8056">
        <w:r>
          <w:rPr>
            <w:color w:val="0000EE"/>
            <w:u w:val="single"/>
          </w:rPr>
          <w:t>Jérémie 49.28</w:t>
        </w:r>
      </w:hyperlink>
      <w:r>
        <w:t xml:space="preserve">, Kédar est lié à Hatsor en tant que victimes des conquêtes de Nebucadnetsar. Il n'y a pas de trace en dehors de la Bible de la marche de Nebucadnetsar sur Kédar. Cependant, </w:t>
      </w:r>
      <w:r>
        <w:t>Assurbanipal</w:t>
      </w:r>
      <w:r>
        <w:t>, le roi d'Assyrie, mentionne la conquête de Kédar. Cela aurait été vers 650 av. J.‑C., soit un demi-siècle avant la conquête babylonienne.</w:t>
      </w:r>
    </w:p>
    <w:p>
      <w:r/>
      <w:r>
        <w:t>En dehors du récit d'</w:t>
      </w:r>
      <w:r>
        <w:t>Assurbanipal</w:t>
      </w:r>
      <w:r>
        <w:t>, la seule autre référence ancienne à Kédar en dehors de la Bible se trouve sur un bol en argent. Il a été offert à la déesse arabe Han-’ilat dans le delta égyptien. L'inscription sur le bol dit : « Caïn, fils de Guéschem, roi de Kédar », et elle est datée du 5e siècle av. J.‑C. Ce Guéschem était très probablement l'ennemi de Néhémie (</w:t>
      </w:r>
      <w:hyperlink r:id="rId1094">
        <w:r>
          <w:rPr>
            <w:color w:val="0000EE"/>
            <w:u w:val="single"/>
          </w:rPr>
          <w:t>Né 2.19</w:t>
        </w:r>
      </w:hyperlink>
      <w:r>
        <w:t xml:space="preserve"> ; </w:t>
      </w:r>
      <w:hyperlink r:id="rId8057">
        <w:r>
          <w:rPr>
            <w:color w:val="0000EE"/>
            <w:u w:val="single"/>
          </w:rPr>
          <w:t>6.1–6</w:t>
        </w:r>
      </w:hyperlink>
      <w:r>
        <w:t>).</w:t>
      </w:r>
    </w:p>
    <w:p>
      <w:r/>
      <w:r>
        <w:t xml:space="preserve">L'image que donne la Bible de Kédar est celle d'un peuple vivant dans le désert, descendant d'Ismaël. Ils ne croyaient pas en Yahweh au départ, mais sont inclus dans la prophétie d'Ésaïe concernant le futur royaume de Dieu (voir </w:t>
      </w:r>
      <w:hyperlink r:id="rId8058">
        <w:r>
          <w:rPr>
            <w:color w:val="0000EE"/>
            <w:u w:val="single"/>
          </w:rPr>
          <w:t>Es 42.11</w:t>
        </w:r>
      </w:hyperlink>
      <w:r>
        <w:t xml:space="preserve"> ; </w:t>
      </w:r>
      <w:hyperlink r:id="rId1097">
        <w:r>
          <w:rPr>
            <w:color w:val="0000EE"/>
            <w:u w:val="single"/>
          </w:rPr>
          <w:t>60.7</w:t>
        </w:r>
      </w:hyperlink>
      <w:r>
        <w:t xml:space="preserve">). Leur environnement désertique limitait leur travail à l'élevage de moutons et au commerce. L'eau imprévisible dans le désert les obligeait à se déplacer. Une vie sous tente était préférable à des maisons permanentes (voir </w:t>
      </w:r>
      <w:hyperlink r:id="rId8059">
        <w:r>
          <w:rPr>
            <w:color w:val="0000EE"/>
            <w:u w:val="single"/>
          </w:rPr>
          <w:t>Ps 120.5</w:t>
        </w:r>
      </w:hyperlink>
      <w:r>
        <w:t xml:space="preserve"> ; </w:t>
      </w:r>
      <w:hyperlink r:id="rId8060">
        <w:r>
          <w:rPr>
            <w:color w:val="0000EE"/>
            <w:u w:val="single"/>
          </w:rPr>
          <w:t>Ct 1.5</w:t>
        </w:r>
      </w:hyperlink>
      <w:r>
        <w:t>). Pour cette raison, les archéologues n'ont trouvé aucun site nommé Kédar. Kédar se trouvait à l'orient et légèrement au sud d'Israël, dans le sud de la Jordanie. Le peuple de Kédar s'est vraisemblablement éteint ou a été absorbé par les nations voisines.</w:t>
      </w:r>
      <w:r/>
      <w:r/>
    </w:p>
    <w:p>
      <w:r/>
    </w:p>
    <w:p>
      <w:pPr>
        <w:pStyle w:val="Heading2"/>
      </w:pPr>
      <w:r>
        <w:t>Kedma</w:t>
      </w:r>
      <w:r/>
    </w:p>
    <w:p>
      <w:r/>
      <w:r>
        <w:t xml:space="preserve">Fils d'Ismaël mentionné dans </w:t>
      </w:r>
      <w:hyperlink r:id="rId6167">
        <w:r>
          <w:rPr>
            <w:color w:val="0000EE"/>
            <w:u w:val="single"/>
          </w:rPr>
          <w:t>Genèse 25.15</w:t>
        </w:r>
      </w:hyperlink>
      <w:r>
        <w:t>. Plus tard, ses descendants étaient connus par son nom (</w:t>
      </w:r>
      <w:hyperlink r:id="rId7253">
        <w:r>
          <w:rPr>
            <w:color w:val="0000EE"/>
            <w:u w:val="single"/>
          </w:rPr>
          <w:t>1Ch 1.31</w:t>
        </w:r>
      </w:hyperlink>
      <w:r>
        <w:t>).</w:t>
      </w:r>
      <w:r/>
      <w:r/>
    </w:p>
    <w:p>
      <w:r/>
    </w:p>
    <w:p>
      <w:pPr>
        <w:pStyle w:val="Heading2"/>
      </w:pPr>
      <w:r>
        <w:t>Kedorlaomer</w:t>
      </w:r>
      <w:r/>
    </w:p>
    <w:p>
      <w:r/>
      <w:r>
        <w:t>Roi d'Élam qui participera avec trois autres rois à une campagne contre cinq villes près de l'extrémité sud de la plaine de la mer Morte (</w:t>
      </w:r>
      <w:hyperlink r:id="rId6009">
        <w:r>
          <w:rPr>
            <w:color w:val="0000EE"/>
            <w:u w:val="single"/>
          </w:rPr>
          <w:t>Gn 14</w:t>
        </w:r>
      </w:hyperlink>
      <w:r>
        <w:t xml:space="preserve">). Bien que Kedorlaomer soit initialement troisième dans la liste (v. </w:t>
      </w:r>
      <w:hyperlink r:id="rId705">
        <w:r>
          <w:rPr>
            <w:color w:val="0000EE"/>
            <w:u w:val="single"/>
          </w:rPr>
          <w:t>1</w:t>
        </w:r>
      </w:hyperlink>
      <w:r>
        <w:t>), il était manifestement le chef des quatre rois. Ailleurs dans le chapitre, son nom apparaît en premier ou est mentionné seul.</w:t>
      </w:r>
    </w:p>
    <w:p>
      <w:r/>
      <w:r>
        <w:t>Pendant douze ans, les cinq villes de la plaine seront vassales de Kedorlaomer. La treizième année, les villes se rebellent, et l'année suivante, Kedorlaomer enrôlera des alliés pour rétablir sa domination. Les rois victorieux pilleront les villes et prendront des prisonniers. Comme Lot, le neveu du patriarche Abram, était parmi les captifs, Abram rassemblera ses serviteurs et alliés et poursuivra Kedorlaomer jusqu'à Damas. Kedorlaomer sera vaincu, et le butin capturé ainsi que les prisonniers pourront être sauvés.</w:t>
      </w:r>
    </w:p>
    <w:p>
      <w:r/>
      <w:r>
        <w:t>La première moitié du nom Kedorlaomer est un mot élamite courant signifiant « serviteur ». La seconde moitié est probablement le nom d'une divinité élamite. Bien que les deux éléments du nom soient connus en dehors de la Bible, leur combinaison ne l'est pas. Cependant, la rencontre correspond à une date du début du 2e millénaire av. J.‑C., coïncidant avec le récit biblique.</w:t>
      </w:r>
      <w:r/>
      <w:r/>
    </w:p>
    <w:p>
      <w:r/>
    </w:p>
    <w:p>
      <w:pPr>
        <w:pStyle w:val="Heading2"/>
      </w:pPr>
      <w:r>
        <w:t>Kehath, Kehathites</w:t>
      </w:r>
      <w:r/>
    </w:p>
    <w:p>
      <w:r/>
      <w:r>
        <w:t>Kehath était un fils de Lévi (</w:t>
      </w:r>
      <w:hyperlink r:id="rId6129">
        <w:r>
          <w:rPr>
            <w:color w:val="0000EE"/>
            <w:u w:val="single"/>
          </w:rPr>
          <w:t>Gn 46.11</w:t>
        </w:r>
      </w:hyperlink>
      <w:r>
        <w:t xml:space="preserve"> ; </w:t>
      </w:r>
      <w:hyperlink r:id="rId6135">
        <w:r>
          <w:rPr>
            <w:color w:val="0000EE"/>
            <w:u w:val="single"/>
          </w:rPr>
          <w:t>Ex 6.16</w:t>
        </w:r>
      </w:hyperlink>
      <w:r>
        <w:t>). Il était le père d'Amram, Jitsehar, Hébron et Uziel (</w:t>
      </w:r>
      <w:hyperlink r:id="rId8061">
        <w:r>
          <w:rPr>
            <w:color w:val="0000EE"/>
            <w:u w:val="single"/>
          </w:rPr>
          <w:t>Ex 6.18</w:t>
        </w:r>
      </w:hyperlink>
      <w:r>
        <w:t xml:space="preserve"> ; </w:t>
      </w:r>
      <w:hyperlink r:id="rId8062">
        <w:r>
          <w:rPr>
            <w:color w:val="0000EE"/>
            <w:u w:val="single"/>
          </w:rPr>
          <w:t>Nb 3.19, 27</w:t>
        </w:r>
      </w:hyperlink>
      <w:r>
        <w:t xml:space="preserve"> ; </w:t>
      </w:r>
      <w:hyperlink r:id="rId8063">
        <w:r>
          <w:rPr>
            <w:color w:val="0000EE"/>
            <w:u w:val="single"/>
          </w:rPr>
          <w:t>1Ch 6.2</w:t>
        </w:r>
      </w:hyperlink>
      <w:r>
        <w:t>). Il était le fondateur de la famille des Kehathites parmi les Lévites, qui étaient responsables de tâches importantes dans le service du tabernacle (</w:t>
      </w:r>
      <w:hyperlink r:id="rId8064">
        <w:r>
          <w:rPr>
            <w:color w:val="0000EE"/>
            <w:u w:val="single"/>
          </w:rPr>
          <w:t>Nb 3.31–32</w:t>
        </w:r>
      </w:hyperlink>
      <w:r>
        <w:t>). Moïse, Aaron et Miriam étaient des descendants de Kehath (</w:t>
      </w:r>
      <w:hyperlink r:id="rId8065">
        <w:r>
          <w:rPr>
            <w:color w:val="0000EE"/>
            <w:u w:val="single"/>
          </w:rPr>
          <w:t>Ex 6.18–20</w:t>
        </w:r>
      </w:hyperlink>
      <w:r>
        <w:t xml:space="preserve"> ; </w:t>
      </w:r>
      <w:hyperlink r:id="rId8066">
        <w:r>
          <w:rPr>
            <w:color w:val="0000EE"/>
            <w:u w:val="single"/>
          </w:rPr>
          <w:t>Nb 26.59</w:t>
        </w:r>
      </w:hyperlink>
      <w:r>
        <w:t xml:space="preserve"> ; </w:t>
      </w:r>
      <w:hyperlink r:id="rId8067">
        <w:r>
          <w:rPr>
            <w:color w:val="0000EE"/>
            <w:u w:val="single"/>
          </w:rPr>
          <w:t>1Ch 6.3</w:t>
        </w:r>
      </w:hyperlink>
      <w:r>
        <w:t xml:space="preserve"> ; </w:t>
      </w:r>
      <w:hyperlink r:id="rId8068">
        <w:r>
          <w:rPr>
            <w:color w:val="0000EE"/>
            <w:u w:val="single"/>
          </w:rPr>
          <w:t>23.13–17</w:t>
        </w:r>
      </w:hyperlink>
      <w:r>
        <w:t>).</w:t>
      </w:r>
    </w:p>
    <w:p>
      <w:pPr>
        <w:pStyle w:val="Heading3"/>
      </w:pPr>
      <w:r>
        <w:t>Les Kehathites parmi les Lévites</w:t>
      </w:r>
    </w:p>
    <w:p>
      <w:r/>
      <w:r>
        <w:t>La tribu de Lévi avait trois divisions nommées d'après les fils de Lévi :</w:t>
      </w:r>
    </w:p>
    <w:p>
      <w:pPr>
        <w:pStyle w:val="ListBullet"/>
        <w:spacing w:line="240" w:lineRule="auto"/>
        <w:ind w:left="720"/>
      </w:pPr>
      <w:r/>
      <w:r>
        <w:t>Guerschon (ou Guerschom),</w:t>
      </w:r>
    </w:p>
    <w:p>
      <w:pPr>
        <w:pStyle w:val="ListBullet"/>
        <w:spacing w:line="240" w:lineRule="auto"/>
        <w:ind w:left="720"/>
      </w:pPr>
      <w:r/>
      <w:r>
        <w:t>Kehath, et</w:t>
      </w:r>
    </w:p>
    <w:p>
      <w:pPr>
        <w:pStyle w:val="ListBullet"/>
        <w:spacing w:line="240" w:lineRule="auto"/>
        <w:ind w:left="720"/>
      </w:pPr>
      <w:r/>
      <w:r>
        <w:t>Merari (</w:t>
      </w:r>
      <w:hyperlink r:id="rId6129">
        <w:r>
          <w:rPr>
            <w:color w:val="0000EE"/>
            <w:u w:val="single"/>
          </w:rPr>
          <w:t>Gn 46.11</w:t>
        </w:r>
      </w:hyperlink>
      <w:r>
        <w:t xml:space="preserve"> ; </w:t>
      </w:r>
      <w:hyperlink r:id="rId6135">
        <w:r>
          <w:rPr>
            <w:color w:val="0000EE"/>
            <w:u w:val="single"/>
          </w:rPr>
          <w:t>Ex 6.16</w:t>
        </w:r>
      </w:hyperlink>
      <w:r>
        <w:t xml:space="preserve"> ; </w:t>
      </w:r>
      <w:hyperlink r:id="rId6130">
        <w:r>
          <w:rPr>
            <w:color w:val="0000EE"/>
            <w:u w:val="single"/>
          </w:rPr>
          <w:t>Nb 3.17</w:t>
        </w:r>
      </w:hyperlink>
      <w:r>
        <w:t xml:space="preserve"> ; </w:t>
      </w:r>
      <w:hyperlink r:id="rId6137">
        <w:r>
          <w:rPr>
            <w:color w:val="0000EE"/>
            <w:u w:val="single"/>
          </w:rPr>
          <w:t>1Ch 6.1, 16</w:t>
        </w:r>
      </w:hyperlink>
      <w:r>
        <w:t xml:space="preserve"> ; </w:t>
      </w:r>
      <w:hyperlink r:id="rId6138">
        <w:r>
          <w:rPr>
            <w:color w:val="0000EE"/>
            <w:u w:val="single"/>
          </w:rPr>
          <w:t>23.6</w:t>
        </w:r>
      </w:hyperlink>
      <w:r>
        <w:t>).</w:t>
      </w:r>
    </w:p>
    <w:p>
      <w:r/>
      <w:r>
        <w:t xml:space="preserve">Les Kehathites étaient une famille importante parmi les Lévites. L'ordre de leurs noms dans </w:t>
      </w:r>
      <w:hyperlink r:id="rId1186">
        <w:r>
          <w:rPr>
            <w:color w:val="0000EE"/>
            <w:u w:val="single"/>
          </w:rPr>
          <w:t>Nombres 4</w:t>
        </w:r>
      </w:hyperlink>
      <w:r>
        <w:t xml:space="preserve">, </w:t>
      </w:r>
      <w:hyperlink r:id="rId8069">
        <w:r>
          <w:rPr>
            <w:color w:val="0000EE"/>
            <w:u w:val="single"/>
          </w:rPr>
          <w:t>Josué 21</w:t>
        </w:r>
      </w:hyperlink>
      <w:r>
        <w:t xml:space="preserve">, </w:t>
      </w:r>
      <w:hyperlink r:id="rId8070">
        <w:r>
          <w:rPr>
            <w:color w:val="0000EE"/>
            <w:u w:val="single"/>
          </w:rPr>
          <w:t>1 Chroniques 6.16</w:t>
        </w:r>
      </w:hyperlink>
      <w:r>
        <w:t xml:space="preserve">, et </w:t>
      </w:r>
      <w:hyperlink r:id="rId7309">
        <w:r>
          <w:rPr>
            <w:color w:val="0000EE"/>
            <w:u w:val="single"/>
          </w:rPr>
          <w:t>2 Chroniques 29.12</w:t>
        </w:r>
      </w:hyperlink>
      <w:r>
        <w:t xml:space="preserve"> suggère qu'ils ont été assignés à une position plus honorable que Guerschon ou Merari. Les références à leur position et à leurs devoirs (qu'ils soient appelés « les Kehathites » ou « les fils de Kehath ») apparaissent tout au long des premiers écrits hébreux (</w:t>
      </w:r>
      <w:hyperlink r:id="rId8061">
        <w:r>
          <w:rPr>
            <w:color w:val="0000EE"/>
            <w:u w:val="single"/>
          </w:rPr>
          <w:t>Ex 6.18</w:t>
        </w:r>
      </w:hyperlink>
      <w:r>
        <w:t xml:space="preserve"> ; </w:t>
      </w:r>
      <w:hyperlink r:id="rId8071">
        <w:r>
          <w:rPr>
            <w:color w:val="0000EE"/>
            <w:u w:val="single"/>
          </w:rPr>
          <w:t>Nb 3.19, 27–30</w:t>
        </w:r>
      </w:hyperlink>
      <w:r>
        <w:t xml:space="preserve"> ; </w:t>
      </w:r>
      <w:hyperlink r:id="rId8072">
        <w:r>
          <w:rPr>
            <w:color w:val="0000EE"/>
            <w:u w:val="single"/>
          </w:rPr>
          <w:t>4.2–4, 15, 18, 34, 37</w:t>
        </w:r>
      </w:hyperlink>
      <w:r>
        <w:t xml:space="preserve"> ; </w:t>
      </w:r>
      <w:hyperlink r:id="rId8073">
        <w:r>
          <w:rPr>
            <w:color w:val="0000EE"/>
            <w:u w:val="single"/>
          </w:rPr>
          <w:t>7.9</w:t>
        </w:r>
      </w:hyperlink>
      <w:r>
        <w:t xml:space="preserve"> ; </w:t>
      </w:r>
      <w:hyperlink r:id="rId8074">
        <w:r>
          <w:rPr>
            <w:color w:val="0000EE"/>
            <w:u w:val="single"/>
          </w:rPr>
          <w:t>10.21</w:t>
        </w:r>
      </w:hyperlink>
      <w:r>
        <w:t xml:space="preserve"> ; </w:t>
      </w:r>
      <w:hyperlink r:id="rId6136">
        <w:r>
          <w:rPr>
            <w:color w:val="0000EE"/>
            <w:u w:val="single"/>
          </w:rPr>
          <w:t>26.57</w:t>
        </w:r>
      </w:hyperlink>
      <w:r>
        <w:t xml:space="preserve"> ; </w:t>
      </w:r>
      <w:hyperlink r:id="rId8075">
        <w:r>
          <w:rPr>
            <w:color w:val="0000EE"/>
            <w:u w:val="single"/>
          </w:rPr>
          <w:t>Jos 21.4–5, 10, 20, 26</w:t>
        </w:r>
      </w:hyperlink>
      <w:r>
        <w:t xml:space="preserve"> ; </w:t>
      </w:r>
      <w:hyperlink r:id="rId8076">
        <w:r>
          <w:rPr>
            <w:color w:val="0000EE"/>
            <w:u w:val="single"/>
          </w:rPr>
          <w:t>1Ch 6.2, 18, 22, 33, 54, 61, 66, 70</w:t>
        </w:r>
      </w:hyperlink>
      <w:r>
        <w:t xml:space="preserve"> ; </w:t>
      </w:r>
      <w:hyperlink r:id="rId8077">
        <w:r>
          <w:rPr>
            <w:color w:val="0000EE"/>
            <w:u w:val="single"/>
          </w:rPr>
          <w:t>15.5</w:t>
        </w:r>
      </w:hyperlink>
      <w:r>
        <w:t xml:space="preserve"> ; </w:t>
      </w:r>
      <w:hyperlink r:id="rId8078">
        <w:r>
          <w:rPr>
            <w:color w:val="0000EE"/>
            <w:u w:val="single"/>
          </w:rPr>
          <w:t>23.12</w:t>
        </w:r>
      </w:hyperlink>
      <w:r>
        <w:t xml:space="preserve"> ; </w:t>
      </w:r>
      <w:hyperlink r:id="rId8079">
        <w:r>
          <w:rPr>
            <w:color w:val="0000EE"/>
            <w:u w:val="single"/>
          </w:rPr>
          <w:t>2Ch 20.19</w:t>
        </w:r>
      </w:hyperlink>
      <w:r>
        <w:t xml:space="preserve"> ; </w:t>
      </w:r>
      <w:hyperlink r:id="rId7309">
        <w:r>
          <w:rPr>
            <w:color w:val="0000EE"/>
            <w:u w:val="single"/>
          </w:rPr>
          <w:t>29.12</w:t>
        </w:r>
      </w:hyperlink>
      <w:r>
        <w:t xml:space="preserve"> ; </w:t>
      </w:r>
      <w:hyperlink r:id="rId8080">
        <w:r>
          <w:rPr>
            <w:color w:val="0000EE"/>
            <w:u w:val="single"/>
          </w:rPr>
          <w:t>34.12</w:t>
        </w:r>
      </w:hyperlink>
      <w:r>
        <w:t>).</w:t>
      </w:r>
    </w:p>
    <w:p>
      <w:pPr>
        <w:pStyle w:val="Heading3"/>
      </w:pPr>
      <w:r>
        <w:t>Devoirs pendant le voyage dans le désert</w:t>
      </w:r>
    </w:p>
    <w:p>
      <w:r/>
      <w:r>
        <w:t>Après avoir quitté l'Égypte, les Israélites voyageront dans le désert. Les Kehathites campaient du côté sud du tabernacle (</w:t>
      </w:r>
      <w:hyperlink r:id="rId8081">
        <w:r>
          <w:rPr>
            <w:color w:val="0000EE"/>
            <w:u w:val="single"/>
          </w:rPr>
          <w:t>Nb 3.29</w:t>
        </w:r>
      </w:hyperlink>
      <w:r>
        <w:t>). Lorsque le tabernacle était déplacé, ils portaient l'arche et d'autres objets sacrés sur leurs épaules (</w:t>
      </w:r>
      <w:hyperlink r:id="rId8073">
        <w:r>
          <w:rPr>
            <w:color w:val="0000EE"/>
            <w:u w:val="single"/>
          </w:rPr>
          <w:t>Nb 7.9</w:t>
        </w:r>
      </w:hyperlink>
      <w:r>
        <w:t>). Lors de la construction du tabernacle, un recensement sera effectué de tous les mâles Kehathites qui serviraient Dieu (</w:t>
      </w:r>
      <w:hyperlink r:id="rId8082">
        <w:r>
          <w:rPr>
            <w:color w:val="0000EE"/>
            <w:u w:val="single"/>
          </w:rPr>
          <w:t>Nb 3.27–28</w:t>
        </w:r>
      </w:hyperlink>
      <w:r>
        <w:t xml:space="preserve"> ; </w:t>
      </w:r>
      <w:hyperlink r:id="rId8083">
        <w:r>
          <w:rPr>
            <w:color w:val="0000EE"/>
            <w:u w:val="single"/>
          </w:rPr>
          <w:t>4.1–4, 34–37</w:t>
        </w:r>
      </w:hyperlink>
      <w:r>
        <w:t>).</w:t>
      </w:r>
    </w:p>
    <w:p>
      <w:pPr>
        <w:pStyle w:val="Heading3"/>
      </w:pPr>
      <w:r>
        <w:t>Colonisation de Canaan</w:t>
      </w:r>
    </w:p>
    <w:p>
      <w:r/>
      <w:r>
        <w:t>Après que les tribus se soient installées dans le pays de Canaan, il semblait que le service des Kehathites était terminé. Cependant, Dieu ordonnera qu'ils soient pris en charge, tout comme les autres familles lévitiques. Les Kehathites recevront de nombreuses villes pour y vivre (</w:t>
      </w:r>
      <w:hyperlink r:id="rId8084">
        <w:r>
          <w:rPr>
            <w:color w:val="0000EE"/>
            <w:u w:val="single"/>
          </w:rPr>
          <w:t>Jos 21.4–5, 20–26</w:t>
        </w:r>
      </w:hyperlink>
      <w:r>
        <w:t xml:space="preserve"> ; </w:t>
      </w:r>
      <w:hyperlink r:id="rId8085">
        <w:r>
          <w:rPr>
            <w:color w:val="0000EE"/>
            <w:u w:val="single"/>
          </w:rPr>
          <w:t>1Ch 6.66–70</w:t>
        </w:r>
      </w:hyperlink>
      <w:r>
        <w:t>).</w:t>
      </w:r>
    </w:p>
    <w:p>
      <w:pPr>
        <w:pStyle w:val="Heading3"/>
      </w:pPr>
      <w:r>
        <w:t>Service durant le règne de David</w:t>
      </w:r>
    </w:p>
    <w:p>
      <w:r/>
      <w:r>
        <w:t>Lors de l'accession au trône de David, ce dernier organisera les Lévites en trois divisions (</w:t>
      </w:r>
      <w:hyperlink r:id="rId6138">
        <w:r>
          <w:rPr>
            <w:color w:val="0000EE"/>
            <w:u w:val="single"/>
          </w:rPr>
          <w:t>1Ch 23.6</w:t>
        </w:r>
      </w:hyperlink>
      <w:r>
        <w:t>). Héman, qui représentait les Kehathites, était responsable de la musique dans la maison de Dieu (</w:t>
      </w:r>
      <w:hyperlink r:id="rId8086">
        <w:r>
          <w:rPr>
            <w:color w:val="0000EE"/>
            <w:u w:val="single"/>
          </w:rPr>
          <w:t>1Ch 6.31</w:t>
        </w:r>
      </w:hyperlink>
      <w:r>
        <w:t xml:space="preserve">). Un autre groupe de Kehathites était chargé de préparer le « </w:t>
      </w:r>
      <w:r>
        <w:t>pains de proposition</w:t>
      </w:r>
      <w:r>
        <w:t xml:space="preserve"> » chaque jour de sabbat (</w:t>
      </w:r>
      <w:hyperlink r:id="rId8087">
        <w:r>
          <w:rPr>
            <w:color w:val="0000EE"/>
            <w:u w:val="single"/>
          </w:rPr>
          <w:t>1Ch 9.32</w:t>
        </w:r>
      </w:hyperlink>
      <w:r>
        <w:t>). Quand David apportera l'arche de l'alliance à Jérusalem, il nommera Uriel, un Kehathite, pour superviser son transport (</w:t>
      </w:r>
      <w:hyperlink r:id="rId8088">
        <w:r>
          <w:rPr>
            <w:color w:val="0000EE"/>
            <w:u w:val="single"/>
          </w:rPr>
          <w:t>1Ch 15.3–5</w:t>
        </w:r>
      </w:hyperlink>
      <w:r>
        <w:t>).</w:t>
      </w:r>
    </w:p>
    <w:p>
      <w:pPr>
        <w:pStyle w:val="Heading3"/>
      </w:pPr>
      <w:r>
        <w:t>La Période du royaume divisé</w:t>
      </w:r>
    </w:p>
    <w:p>
      <w:r/>
      <w:r>
        <w:t>À l'époque du royaume divisé, les Moabites et les Ammonites ont attaqué Juda. Le roi Josaphat admettra que Juda ne pouvait pas les vaincre et demandera l'aide de Dieu. Les Kehathites dirigeront le peuple dans des chants de louange. Ils ont peut-être aussi dirigé l'armée lorsque le roi et les guerriers de Juda ont affronté les envahisseurs (</w:t>
      </w:r>
      <w:hyperlink r:id="rId8089">
        <w:r>
          <w:rPr>
            <w:color w:val="0000EE"/>
            <w:u w:val="single"/>
          </w:rPr>
          <w:t>2Ch 20.19–22</w:t>
        </w:r>
      </w:hyperlink>
      <w:r>
        <w:t>).</w:t>
      </w:r>
    </w:p>
    <w:p>
      <w:pPr>
        <w:pStyle w:val="Heading3"/>
      </w:pPr>
      <w:r>
        <w:t>Rôle dans les réformes religieuses</w:t>
      </w:r>
    </w:p>
    <w:p>
      <w:r/>
      <w:r>
        <w:t>Deux mouvements de réforme importants ont eu lieu dans les dernières années de Juda :</w:t>
      </w:r>
    </w:p>
    <w:p>
      <w:pPr>
        <w:pStyle w:val="ListBullet"/>
        <w:spacing w:line="240" w:lineRule="auto"/>
        <w:ind w:left="720"/>
      </w:pPr>
      <w:r/>
      <w:r>
        <w:t>La première s'est produite pendant le règne d'Ézéchias, de 715 à 686 av. J.‑C. (</w:t>
      </w:r>
      <w:hyperlink r:id="rId6762">
        <w:r>
          <w:rPr>
            <w:color w:val="0000EE"/>
            <w:u w:val="single"/>
          </w:rPr>
          <w:t>2R 18</w:t>
        </w:r>
      </w:hyperlink>
      <w:r>
        <w:t xml:space="preserve"> ; </w:t>
      </w:r>
      <w:hyperlink r:id="rId8090">
        <w:r>
          <w:rPr>
            <w:color w:val="0000EE"/>
            <w:u w:val="single"/>
          </w:rPr>
          <w:t>2Ch 29–30</w:t>
        </w:r>
      </w:hyperlink>
      <w:r>
        <w:t>).</w:t>
      </w:r>
    </w:p>
    <w:p>
      <w:pPr>
        <w:pStyle w:val="ListBullet"/>
        <w:spacing w:line="240" w:lineRule="auto"/>
        <w:ind w:left="720"/>
      </w:pPr>
      <w:r/>
      <w:r>
        <w:t>Le deuxième s'est produit pendant le règne de Josias, de 640 à 609 av. J.‑C. (</w:t>
      </w:r>
      <w:hyperlink r:id="rId8091">
        <w:r>
          <w:rPr>
            <w:color w:val="0000EE"/>
            <w:u w:val="single"/>
          </w:rPr>
          <w:t>2R 22–23</w:t>
        </w:r>
      </w:hyperlink>
      <w:r>
        <w:t xml:space="preserve"> ; </w:t>
      </w:r>
      <w:hyperlink r:id="rId8092">
        <w:r>
          <w:rPr>
            <w:color w:val="0000EE"/>
            <w:u w:val="single"/>
          </w:rPr>
          <w:t>2Ch 34</w:t>
        </w:r>
      </w:hyperlink>
      <w:r>
        <w:t>).</w:t>
      </w:r>
    </w:p>
    <w:p>
      <w:r/>
      <w:r>
        <w:t>La réforme de Josias a atteint son apogée en 621 av. J.‑C. lorsque le Livre de la Loi a été trouvé. Les Kehathites ont joué un rôle clé dans les deux réformes. Sous le règne d'Ézéchias, ils ont nettoyé le temple (</w:t>
      </w:r>
      <w:hyperlink r:id="rId8093">
        <w:r>
          <w:rPr>
            <w:color w:val="0000EE"/>
            <w:u w:val="single"/>
          </w:rPr>
          <w:t>2Ch 29.12–16</w:t>
        </w:r>
      </w:hyperlink>
      <w:r>
        <w:t>). Sous le règne de Josias, deux Kehathites ont supervisé les réparations du temple (</w:t>
      </w:r>
      <w:hyperlink r:id="rId8080">
        <w:r>
          <w:rPr>
            <w:color w:val="0000EE"/>
            <w:u w:val="single"/>
          </w:rPr>
          <w:t>2Ch 34.12</w:t>
        </w:r>
      </w:hyperlink>
      <w:r>
        <w:t>).</w:t>
      </w:r>
    </w:p>
    <w:p>
      <w:pPr>
        <w:pStyle w:val="Heading3"/>
      </w:pPr>
      <w:r>
        <w:t>Après l’exil</w:t>
      </w:r>
    </w:p>
    <w:p>
      <w:r/>
      <w:r>
        <w:t>Après l'exil à Babylone, les Kehathites sont mentionnés de nouveau. Bien que nous ayons peu d'informations sur leur importance durant cette période, ils ont probablement servi Dieu fidèlement malgré le déclin spirituel général. Les quelques-uns dont les noms sont enregistrés dans la Bible ont reçu des tâches modestes. Sans preuve du contraire, nous pouvons supposer qu'ils ont accompli leurs responsabilités fidèlement (</w:t>
      </w:r>
      <w:hyperlink r:id="rId8094">
        <w:r>
          <w:rPr>
            <w:color w:val="0000EE"/>
            <w:u w:val="single"/>
          </w:rPr>
          <w:t>1Ch 9.19, 31–32</w:t>
        </w:r>
      </w:hyperlink>
      <w:r>
        <w:t xml:space="preserve"> ; </w:t>
      </w:r>
      <w:hyperlink r:id="rId8095">
        <w:r>
          <w:rPr>
            <w:color w:val="0000EE"/>
            <w:u w:val="single"/>
          </w:rPr>
          <w:t>Esd 2.42</w:t>
        </w:r>
      </w:hyperlink>
      <w:r>
        <w:t xml:space="preserve"> ; </w:t>
      </w:r>
      <w:hyperlink r:id="rId8096">
        <w:r>
          <w:rPr>
            <w:color w:val="0000EE"/>
            <w:u w:val="single"/>
          </w:rPr>
          <w:t>Né 12.25</w:t>
        </w:r>
      </w:hyperlink>
      <w:r>
        <w:t>).</w:t>
      </w:r>
    </w:p>
    <w:p>
      <w:r/>
      <w:r>
        <w:rPr>
          <w:i/>
        </w:rPr>
        <w:t>Voir aussi</w:t>
      </w:r>
      <w:r>
        <w:t xml:space="preserve"> </w:t>
      </w:r>
      <w:r>
        <w:t>Lévi, Tribu de</w:t>
      </w:r>
      <w:r>
        <w:t xml:space="preserve"> ; </w:t>
      </w:r>
      <w:r>
        <w:t>Prêtres et lévites</w:t>
      </w:r>
      <w:r>
        <w:t xml:space="preserve"> ; </w:t>
      </w:r>
      <w:r>
        <w:t>Tabernacle</w:t>
      </w:r>
      <w:r>
        <w:t xml:space="preserve"> ; </w:t>
      </w:r>
      <w:r>
        <w:t>Temple</w:t>
      </w:r>
      <w:r>
        <w:t>.</w:t>
      </w:r>
      <w:r/>
      <w:r/>
    </w:p>
    <w:p>
      <w:r/>
    </w:p>
    <w:p>
      <w:pPr>
        <w:pStyle w:val="Heading2"/>
      </w:pPr>
      <w:r>
        <w:t>Kemuel</w:t>
      </w:r>
      <w:r/>
    </w:p>
    <w:p>
      <w:pPr>
        <w:pStyle w:val="ListNumber"/>
        <w:spacing w:line="240" w:lineRule="auto"/>
        <w:ind w:left="720"/>
      </w:pPr>
      <w:r/>
      <w:r>
        <w:t>Troisième fils de Nachor (le frère du patriarche Abraham). Il était le père d'Aram (</w:t>
      </w:r>
      <w:hyperlink r:id="rId1101">
        <w:r>
          <w:rPr>
            <w:color w:val="0000EE"/>
            <w:u w:val="single"/>
          </w:rPr>
          <w:t>Gn 22.21</w:t>
        </w:r>
      </w:hyperlink>
      <w:r>
        <w:t>).</w:t>
      </w:r>
    </w:p>
    <w:p>
      <w:pPr>
        <w:pStyle w:val="ListNumber"/>
        <w:spacing w:line="240" w:lineRule="auto"/>
        <w:ind w:left="720"/>
      </w:pPr>
      <w:r/>
      <w:r>
        <w:t>Un fils de Schiphtan de la tribu d'Éphraïm. Il était l'un des douze hommes choisis pour diviser le pays parmi les tribus israélites (</w:t>
      </w:r>
      <w:hyperlink r:id="rId8097">
        <w:r>
          <w:rPr>
            <w:color w:val="0000EE"/>
            <w:u w:val="single"/>
          </w:rPr>
          <w:t>Nb 34.24</w:t>
        </w:r>
      </w:hyperlink>
      <w:r>
        <w:t>).</w:t>
      </w:r>
    </w:p>
    <w:p>
      <w:pPr>
        <w:pStyle w:val="ListNumber"/>
        <w:spacing w:line="240" w:lineRule="auto"/>
        <w:ind w:left="720"/>
      </w:pPr>
      <w:r/>
      <w:r>
        <w:t>Le père de Haschabia. Il était un dirigeant des Lévites pendant le règne du roi David (</w:t>
      </w:r>
      <w:hyperlink r:id="rId8098">
        <w:r>
          <w:rPr>
            <w:color w:val="0000EE"/>
            <w:u w:val="single"/>
          </w:rPr>
          <w:t>1Ch 27.17</w:t>
        </w:r>
      </w:hyperlink>
      <w:r>
        <w:t>).</w:t>
      </w:r>
      <w:r/>
      <w:r/>
    </w:p>
    <w:p>
      <w:r/>
    </w:p>
    <w:p>
      <w:pPr>
        <w:pStyle w:val="Heading2"/>
      </w:pPr>
      <w:r>
        <w:t>Kénan</w:t>
      </w:r>
      <w:r/>
    </w:p>
    <w:p>
      <w:r/>
      <w:r>
        <w:t>Descendant d'Adam. Il a vécu quatre générations après Adam, fils d'Énosch (</w:t>
      </w:r>
      <w:hyperlink r:id="rId8052">
        <w:r>
          <w:rPr>
            <w:color w:val="0000EE"/>
            <w:u w:val="single"/>
          </w:rPr>
          <w:t>Gn 5.9–14</w:t>
        </w:r>
      </w:hyperlink>
      <w:r>
        <w:t xml:space="preserve"> ; </w:t>
      </w:r>
      <w:hyperlink r:id="rId7145">
        <w:r>
          <w:rPr>
            <w:color w:val="0000EE"/>
            <w:u w:val="single"/>
          </w:rPr>
          <w:t>1Ch 1.2</w:t>
        </w:r>
      </w:hyperlink>
      <w:r>
        <w:t xml:space="preserve">). Il est également appelé Kaïnan dans </w:t>
      </w:r>
      <w:hyperlink r:id="rId7146">
        <w:r>
          <w:rPr>
            <w:color w:val="0000EE"/>
            <w:u w:val="single"/>
          </w:rPr>
          <w:t>Luc 3.37</w:t>
        </w:r>
      </w:hyperlink>
      <w:r>
        <w:t>.</w:t>
      </w:r>
    </w:p>
    <w:p>
      <w:r/>
      <w:r>
        <w:rPr>
          <w:i/>
        </w:rPr>
        <w:t>Voir</w:t>
      </w:r>
      <w:r>
        <w:t xml:space="preserve"> </w:t>
      </w:r>
      <w:r>
        <w:t>Généalogie de Jésus-Christ</w:t>
      </w:r>
      <w:r>
        <w:t>.</w:t>
      </w:r>
      <w:r/>
      <w:r/>
    </w:p>
    <w:p>
      <w:r/>
    </w:p>
    <w:p>
      <w:pPr>
        <w:pStyle w:val="Heading2"/>
      </w:pPr>
      <w:r>
        <w:t>Kenaz</w:t>
      </w:r>
      <w:r/>
    </w:p>
    <w:p>
      <w:r/>
      <w:r>
        <w:t xml:space="preserve">La forme singulière du nom de la tribu des </w:t>
      </w:r>
      <w:r>
        <w:t>Keniziens</w:t>
      </w:r>
      <w:r>
        <w:t>. Dieu promettra leur terre aux descendants d'Abraham (</w:t>
      </w:r>
      <w:hyperlink r:id="rId8048">
        <w:r>
          <w:rPr>
            <w:color w:val="0000EE"/>
            <w:u w:val="single"/>
          </w:rPr>
          <w:t>Gn 15.19</w:t>
        </w:r>
      </w:hyperlink>
      <w:r>
        <w:t xml:space="preserve">). L'Ancien Testament mentionne trois hommes différents portant ce nom. Cela pourrait être dû au fait que les </w:t>
      </w:r>
      <w:r>
        <w:t>Keniziens</w:t>
      </w:r>
      <w:r>
        <w:t xml:space="preserve"> s'étaient installés à la fois en Édom (une terre au sud) et dans le sud de Juda (une partie de ce qui deviendrait Israël). Cela se produit avant que les Israélites ne conquièrent la terre.</w:t>
      </w:r>
    </w:p>
    <w:p>
      <w:pPr>
        <w:pStyle w:val="ListNumber"/>
        <w:spacing w:line="240" w:lineRule="auto"/>
        <w:ind w:left="720"/>
      </w:pPr>
      <w:r/>
      <w:r>
        <w:t>Petit-fils d'Ésaü et chef de clan d'Édom (</w:t>
      </w:r>
      <w:hyperlink r:id="rId8099">
        <w:r>
          <w:rPr>
            <w:color w:val="0000EE"/>
            <w:u w:val="single"/>
          </w:rPr>
          <w:t>Gn 36.11, 15, 42</w:t>
        </w:r>
      </w:hyperlink>
      <w:r>
        <w:t xml:space="preserve"> ; </w:t>
      </w:r>
      <w:hyperlink r:id="rId8100">
        <w:r>
          <w:rPr>
            <w:color w:val="0000EE"/>
            <w:u w:val="single"/>
          </w:rPr>
          <w:t>1Ch 1.36, 53</w:t>
        </w:r>
      </w:hyperlink>
      <w:r>
        <w:t>).</w:t>
      </w:r>
    </w:p>
    <w:p>
      <w:pPr>
        <w:pStyle w:val="ListNumber"/>
        <w:spacing w:line="240" w:lineRule="auto"/>
        <w:ind w:left="720"/>
      </w:pPr>
      <w:r/>
      <w:r>
        <w:t>Père d'Othniel et de Seraja (</w:t>
      </w:r>
      <w:hyperlink r:id="rId8101">
        <w:r>
          <w:rPr>
            <w:color w:val="0000EE"/>
            <w:u w:val="single"/>
          </w:rPr>
          <w:t>Jos 15.17</w:t>
        </w:r>
      </w:hyperlink>
      <w:r>
        <w:t xml:space="preserve"> ; </w:t>
      </w:r>
      <w:hyperlink r:id="rId7892">
        <w:r>
          <w:rPr>
            <w:color w:val="0000EE"/>
            <w:u w:val="single"/>
          </w:rPr>
          <w:t>Jg 1.13</w:t>
        </w:r>
      </w:hyperlink>
      <w:r>
        <w:t xml:space="preserve"> ; </w:t>
      </w:r>
      <w:hyperlink r:id="rId8102">
        <w:r>
          <w:rPr>
            <w:color w:val="0000EE"/>
            <w:u w:val="single"/>
          </w:rPr>
          <w:t>3.9–11</w:t>
        </w:r>
      </w:hyperlink>
      <w:r>
        <w:t xml:space="preserve"> ; </w:t>
      </w:r>
      <w:hyperlink r:id="rId8103">
        <w:r>
          <w:rPr>
            <w:color w:val="0000EE"/>
            <w:u w:val="single"/>
          </w:rPr>
          <w:t>1Ch 4.13</w:t>
        </w:r>
      </w:hyperlink>
      <w:r>
        <w:t>).</w:t>
      </w:r>
    </w:p>
    <w:p>
      <w:pPr>
        <w:pStyle w:val="ListNumber"/>
        <w:spacing w:line="240" w:lineRule="auto"/>
        <w:ind w:left="720"/>
      </w:pPr>
      <w:r/>
      <w:r>
        <w:t>Descendant de Caleb (</w:t>
      </w:r>
      <w:hyperlink r:id="rId4594">
        <w:r>
          <w:rPr>
            <w:color w:val="0000EE"/>
            <w:u w:val="single"/>
          </w:rPr>
          <w:t>1Ch 4.15</w:t>
        </w:r>
      </w:hyperlink>
      <w:r>
        <w:t xml:space="preserve">). </w:t>
      </w:r>
      <w:r>
        <w:rPr>
          <w:i/>
        </w:rPr>
        <w:t>Voir</w:t>
      </w:r>
      <w:r>
        <w:t xml:space="preserve"> </w:t>
      </w:r>
      <w:r>
        <w:t>Keniziens</w:t>
      </w:r>
      <w:r>
        <w:t>.</w:t>
      </w:r>
      <w:r/>
      <w:r/>
    </w:p>
    <w:p>
      <w:r/>
    </w:p>
    <w:p>
      <w:pPr>
        <w:pStyle w:val="Heading2"/>
      </w:pPr>
      <w:r>
        <w:t>Kéniens</w:t>
      </w:r>
      <w:r/>
    </w:p>
    <w:p>
      <w:r/>
      <w:r>
        <w:t>Les Kéniens étaient l'une des dix tribus vivant en Canaan à l'époque d'Abraham (</w:t>
      </w:r>
      <w:hyperlink r:id="rId8048">
        <w:r>
          <w:rPr>
            <w:color w:val="0000EE"/>
            <w:u w:val="single"/>
          </w:rPr>
          <w:t>Gn 15.19</w:t>
        </w:r>
      </w:hyperlink>
      <w:r>
        <w:t>). Cependant, ils ne sont pas mentionnés parmi les tribus cananéennes à l'époque de Moïse (</w:t>
      </w:r>
      <w:hyperlink r:id="rId5263">
        <w:r>
          <w:rPr>
            <w:color w:val="0000EE"/>
            <w:u w:val="single"/>
          </w:rPr>
          <w:t>Ex 3.17</w:t>
        </w:r>
      </w:hyperlink>
      <w:r>
        <w:t xml:space="preserve">). Ceci est probablement dû au fait qu'ils avaient développé une relation plus amicale avec Israël à cette époque. Israël a continué à accorder un traitement spécial aux Kéniens, comme le montre </w:t>
      </w:r>
      <w:hyperlink r:id="rId8104">
        <w:r>
          <w:rPr>
            <w:color w:val="0000EE"/>
            <w:u w:val="single"/>
          </w:rPr>
          <w:t>1 Samuel 15.6</w:t>
        </w:r>
      </w:hyperlink>
      <w:r>
        <w:t>. Lorsque Saül rassemblera son armée pour combattre les Amalécites, il avertira les Kéniens avant l'attaque. Cet acte de bonté était probablement en réponse à l'aide apportée par Hobab, fils de Reuel, qui servit de guide à Israël dans le désert (</w:t>
      </w:r>
      <w:hyperlink r:id="rId8105">
        <w:r>
          <w:rPr>
            <w:color w:val="0000EE"/>
            <w:u w:val="single"/>
          </w:rPr>
          <w:t>Nb 10.29–31</w:t>
        </w:r>
      </w:hyperlink>
      <w:r>
        <w:t>).</w:t>
      </w:r>
    </w:p>
    <w:p>
      <w:r/>
      <w:r>
        <w:t xml:space="preserve">À l'époque du juge Barak et de la prophétesse Débora, certains Kéniens vivaient en Galilée. </w:t>
      </w:r>
      <w:hyperlink r:id="rId7249">
        <w:r>
          <w:rPr>
            <w:color w:val="0000EE"/>
            <w:u w:val="single"/>
          </w:rPr>
          <w:t>Juges 4.11</w:t>
        </w:r>
      </w:hyperlink>
      <w:r>
        <w:t xml:space="preserve"> nous dit : « </w:t>
      </w:r>
      <w:r>
        <w:t xml:space="preserve">Héber, le </w:t>
      </w:r>
      <w:r>
        <w:t>Kénien</w:t>
      </w:r>
      <w:r>
        <w:t>, s’était séparé des Kéniens, des fils de Hobab, beau-père de Moïse, et il avait dressé sa tente jusqu’au chêne de Tsaannaïm, près de Kédesch</w:t>
      </w:r>
      <w:r>
        <w:t>. » Le Kédesch en question se trouvait en Galilée et était différent de Kadès-Barnéa dans le désert du Sinaï.</w:t>
      </w:r>
    </w:p>
    <w:p>
      <w:pPr>
        <w:pStyle w:val="Heading3"/>
      </w:pPr>
      <w:r>
        <w:t>Le rôle des Kéniens en tant que métallurgistes</w:t>
      </w:r>
    </w:p>
    <w:p>
      <w:r/>
      <w:r>
        <w:t>Le nom « Kénien » est étroitement lié au mot pour « forgeron » (un métallurgiste qui travaille le cuivre) en arabe et en araméen. Cela suggère que cette tribu pourrait avoir été un groupe de métallurgistes itinérants qui offraient leurs compétences là où elles étaient nécessaires. Nous savons que des tribus nomades de métallurgistes se déplaçaient à travers l'ancien Proche-Orient dès le début du 2e millénaire av. J.‑C. Des images de ces travailleurs peuvent être trouvées dans la tombe de Beni-Hasan en Égypte, qui date du 19e siècle av. J.‑C. Même à l'époque moderne, au moins une tribu arabe de forgerons itinérants a suivi des routes commerciales à la recherche de travail.</w:t>
      </w:r>
    </w:p>
    <w:p>
      <w:pPr>
        <w:pStyle w:val="Heading3"/>
      </w:pPr>
      <w:r>
        <w:t>L'influence des Kéniens sur la culture israélite</w:t>
      </w:r>
    </w:p>
    <w:p>
      <w:r/>
      <w:r>
        <w:t>Selon ce que la Bible nous dit sur les Kéniens, une question importante est de savoir quelle influence cette tribu fortement répandue a eue sur la vie et la culture des Israélites. Certains ont suggéré que Moïse a appris à fabriquer le serpent d'airain de son beau-père kénien/madianite, Jéthro (</w:t>
      </w:r>
      <w:hyperlink r:id="rId8106">
        <w:r>
          <w:rPr>
            <w:color w:val="0000EE"/>
            <w:u w:val="single"/>
          </w:rPr>
          <w:t>Nb 21.4–9</w:t>
        </w:r>
      </w:hyperlink>
      <w:r>
        <w:t>). Cela demeure toutefois peu probable. Cependant, si les Kéniens étaient experts en métallurgie, ils ont peut-être enseigné cette compétence au peuple de Dieu pour les aider à s'établir en tant que nation.</w:t>
      </w:r>
    </w:p>
    <w:p>
      <w:r/>
      <w:r>
        <w:t>De plus d'importance est la suggestion selon laquelle Jéthro (également appelé Reuel), « prêtre de Madian », aurait été la source de la croyance de Moïse en un Dieu unique, à savoir la religion monothéiste de Yahweh. Cette idée peut être contestée à la fois d'un point de vue biblique et historique.</w:t>
      </w:r>
    </w:p>
    <w:p>
      <w:r/>
      <w:r>
        <w:t xml:space="preserve">La Bible déclare spécifiquement que Yahweh était le Dieu personnel connu des gens pieux dès les premières générations dans </w:t>
      </w:r>
      <w:hyperlink r:id="rId4727">
        <w:r>
          <w:rPr>
            <w:color w:val="0000EE"/>
            <w:u w:val="single"/>
          </w:rPr>
          <w:t>Genèse 4.26</w:t>
        </w:r>
      </w:hyperlink>
      <w:r>
        <w:t xml:space="preserve"> : « </w:t>
      </w:r>
      <w:r>
        <w:t>Seth eut aussi un fils, et il l’appela du nom d’Énosch. C’est alors que l’on commença à invoquer le nom de l’Éternel</w:t>
      </w:r>
      <w:r>
        <w:t>. » Tout aussi important est le fait que la mère de Moïse (ou son ailleule, comme certains le suggèrent) portait le nom de Jokébed, qui signifie « Yahweh est gloire ». Il est clair que Moïse n'a pas entendu parler de Yahweh pour la première fois par son beau-père lors de son exil dans le désert de Madian.</w:t>
      </w:r>
    </w:p>
    <w:p>
      <w:r/>
      <w:r>
        <w:t>Des preuves historiques montrent qu'aucun centre cultuel autre que le tabernacle mobile n'était situé dans le Sinaï, ni où que ce soit d'autre au sud de Beer-Schéba. C'est au sud de cette ville que Dieu, qui s'était auparavant révélé aux patriarches à divers endroits dans le nord, a dit à Moïse qu'il était le même Dieu d'Abraham, d'Isaac et de Jacob (</w:t>
      </w:r>
      <w:hyperlink r:id="rId639">
        <w:r>
          <w:rPr>
            <w:color w:val="0000EE"/>
            <w:u w:val="single"/>
          </w:rPr>
          <w:t>Ex 3.6</w:t>
        </w:r>
      </w:hyperlink>
      <w:r>
        <w:t>). Les Israélites ne sont jamais retournés au Sinaï pour adorer, même si Dieu s'était d'abord révélé à eux là-bas.</w:t>
      </w:r>
    </w:p>
    <w:p>
      <w:r/>
      <w:r>
        <w:t>Jéthro a clairement appris à connaître Yahweh par l'intermédiaire de Moïse, et non l'inverse. Ces Kéniens, qui sont devenus partie du peuple de Dieu, l'ont fait en étant adoptés dans la relation d'alliance avec le Dieu de Jacob grâce au témoignage d'Israël.</w:t>
      </w:r>
    </w:p>
    <w:p>
      <w:pPr>
        <w:pStyle w:val="Heading3"/>
      </w:pPr>
      <w:r>
        <w:t>Les Kéniens et la tribu de Juda</w:t>
      </w:r>
    </w:p>
    <w:p>
      <w:r/>
      <w:r>
        <w:t xml:space="preserve">Fait intéressant, </w:t>
      </w:r>
      <w:hyperlink r:id="rId8107">
        <w:r>
          <w:rPr>
            <w:color w:val="0000EE"/>
            <w:u w:val="single"/>
          </w:rPr>
          <w:t>1 Chroniques 2.55</w:t>
        </w:r>
      </w:hyperlink>
      <w:r>
        <w:t xml:space="preserve"> inclut un Kénien nommé Hamath dans la liste familiale de la tribu de Juda. Hamath était l'ancêtre des Récabites. Cela montre que les Kéniens ont finalement été intégrés à la tribu de Juda. David relie également les Kéniens à d'autres groupes vivant dans le sud de Juda (</w:t>
      </w:r>
      <w:hyperlink r:id="rId8108">
        <w:r>
          <w:rPr>
            <w:color w:val="0000EE"/>
            <w:u w:val="single"/>
          </w:rPr>
          <w:t>1S 27.10</w:t>
        </w:r>
      </w:hyperlink>
      <w:r>
        <w:t xml:space="preserve">). </w:t>
      </w:r>
      <w:hyperlink r:id="rId8109">
        <w:r>
          <w:rPr>
            <w:color w:val="0000EE"/>
            <w:u w:val="single"/>
          </w:rPr>
          <w:t>Jérémie 35</w:t>
        </w:r>
      </w:hyperlink>
      <w:r>
        <w:t xml:space="preserve"> indique que les Récabites avaient un mode de vie nomade simple jusqu'à l'époque de la captivité babylonienne. Cela correspond également à ce que nous savons de la nature des Kéniens.</w:t>
      </w:r>
      <w:r/>
      <w:r/>
    </w:p>
    <w:p>
      <w:r/>
    </w:p>
    <w:p>
      <w:pPr>
        <w:pStyle w:val="Heading2"/>
      </w:pPr>
      <w:r>
        <w:t>Keniziens</w:t>
      </w:r>
      <w:r/>
    </w:p>
    <w:p>
      <w:r/>
      <w:r>
        <w:t>Peuple lié à Kenaz, petit-fils d'Ésaü (</w:t>
      </w:r>
      <w:hyperlink r:id="rId8110">
        <w:r>
          <w:rPr>
            <w:color w:val="0000EE"/>
            <w:u w:val="single"/>
          </w:rPr>
          <w:t>Gn 36.11, 15</w:t>
        </w:r>
      </w:hyperlink>
      <w:r>
        <w:t>). Les Keniziens étaient d'origine édomite et résidaient au sud-est de Juda, à proximité des Kéniens. On pense qu'ils faisaient partie de la population pré-israélite de Canaan (</w:t>
      </w:r>
      <w:hyperlink r:id="rId8048">
        <w:r>
          <w:rPr>
            <w:color w:val="0000EE"/>
            <w:u w:val="single"/>
          </w:rPr>
          <w:t>Gn 15.19</w:t>
        </w:r>
      </w:hyperlink>
      <w:r>
        <w:t xml:space="preserve">). Leur territoire devait être donné aux Israélites avec celui des Kéniens, des Amoréens et des Cananéens (v. </w:t>
      </w:r>
      <w:hyperlink r:id="rId8111">
        <w:r>
          <w:rPr>
            <w:color w:val="0000EE"/>
            <w:u w:val="single"/>
          </w:rPr>
          <w:t>19–21</w:t>
        </w:r>
      </w:hyperlink>
      <w:r>
        <w:t>).</w:t>
      </w:r>
    </w:p>
    <w:p>
      <w:r/>
      <w:r>
        <w:t>Dans Nombres et Josué, Caleb, l'espion fidèle, sera considéré comme appartenant aux Keniziens (</w:t>
      </w:r>
      <w:hyperlink r:id="rId8112">
        <w:r>
          <w:rPr>
            <w:color w:val="0000EE"/>
            <w:u w:val="single"/>
          </w:rPr>
          <w:t>Nb 32.12</w:t>
        </w:r>
      </w:hyperlink>
      <w:r>
        <w:t xml:space="preserve"> ; </w:t>
      </w:r>
      <w:hyperlink r:id="rId8113">
        <w:r>
          <w:rPr>
            <w:color w:val="0000EE"/>
            <w:u w:val="single"/>
          </w:rPr>
          <w:t>Jos 14.6, 14</w:t>
        </w:r>
      </w:hyperlink>
      <w:r>
        <w:t xml:space="preserve">). Selon </w:t>
      </w:r>
      <w:hyperlink r:id="rId4594">
        <w:r>
          <w:rPr>
            <w:color w:val="0000EE"/>
            <w:u w:val="single"/>
          </w:rPr>
          <w:t>1 Chroniques 4.15</w:t>
        </w:r>
      </w:hyperlink>
      <w:r>
        <w:t>, la généalogie de Caleb remonte à Juda (</w:t>
      </w:r>
      <w:hyperlink r:id="rId2192">
        <w:r>
          <w:rPr>
            <w:color w:val="0000EE"/>
            <w:u w:val="single"/>
          </w:rPr>
          <w:t>1Ch 4.1</w:t>
        </w:r>
      </w:hyperlink>
      <w:r>
        <w:t>). La relation de Caleb avec les Keniziens n'est donc pas claire. Caleb établira son patrimoine à Kirjath-Sépher (</w:t>
      </w:r>
      <w:hyperlink r:id="rId8114">
        <w:r>
          <w:rPr>
            <w:color w:val="0000EE"/>
            <w:u w:val="single"/>
          </w:rPr>
          <w:t>Jg 1.11–13</w:t>
        </w:r>
      </w:hyperlink>
      <w:r>
        <w:t>), qui est en Juda mais également situé près du territoire des Keniziens. L'opinion critique considère les Keniziens comme des non-Israélites qui occupaient Hébron, Debir, et la région montagneuse la plus méridionale du Néguev et qui ont été politiquement incorporés à Juda.</w:t>
      </w:r>
      <w:r/>
      <w:r/>
    </w:p>
    <w:p>
      <w:r/>
    </w:p>
    <w:p>
      <w:pPr>
        <w:pStyle w:val="Heading2"/>
      </w:pPr>
      <w:r>
        <w:t>Kesita</w:t>
      </w:r>
      <w:r/>
    </w:p>
    <w:p>
      <w:r/>
      <w:r>
        <w:t>Un poids de valeur inconnue (</w:t>
      </w:r>
      <w:hyperlink r:id="rId1284">
        <w:r>
          <w:rPr>
            <w:color w:val="0000EE"/>
            <w:u w:val="single"/>
          </w:rPr>
          <w:t>Gn 33.19</w:t>
        </w:r>
      </w:hyperlink>
      <w:r>
        <w:t xml:space="preserve"> ; </w:t>
      </w:r>
      <w:hyperlink r:id="rId1285">
        <w:r>
          <w:rPr>
            <w:color w:val="0000EE"/>
            <w:u w:val="single"/>
          </w:rPr>
          <w:t>Jos 24.32</w:t>
        </w:r>
      </w:hyperlink>
      <w:r>
        <w:t xml:space="preserve"> ; </w:t>
      </w:r>
      <w:hyperlink r:id="rId1286">
        <w:r>
          <w:rPr>
            <w:color w:val="0000EE"/>
            <w:u w:val="single"/>
          </w:rPr>
          <w:t>Jb 42.11</w:t>
        </w:r>
      </w:hyperlink>
      <w:r>
        <w:t>).</w:t>
      </w:r>
    </w:p>
    <w:p>
      <w:r/>
      <w:r>
        <w:rPr>
          <w:i/>
        </w:rPr>
        <w:t>Regarder</w:t>
      </w:r>
      <w:r>
        <w:t xml:space="preserve"> </w:t>
      </w:r>
      <w:r>
        <w:t>Argent</w:t>
      </w:r>
      <w:r>
        <w:t>.</w:t>
      </w:r>
      <w:r/>
      <w:r/>
    </w:p>
    <w:p>
      <w:r/>
    </w:p>
    <w:p>
      <w:pPr>
        <w:pStyle w:val="Heading2"/>
      </w:pPr>
      <w:r>
        <w:t>Ketura</w:t>
      </w:r>
      <w:r/>
    </w:p>
    <w:p>
      <w:r/>
      <w:r>
        <w:t>Ketura était la deuxième épouse d'Abraham. La Bible n'indique pas clairement si Abraham l'a épousée avant ou après la mort de Sara (</w:t>
      </w:r>
      <w:hyperlink r:id="rId8115">
        <w:r>
          <w:rPr>
            <w:color w:val="0000EE"/>
            <w:u w:val="single"/>
          </w:rPr>
          <w:t>Gn 25.1</w:t>
        </w:r>
      </w:hyperlink>
      <w:r>
        <w:t>). Abraham et Ketura ont eu six fils ensemble :</w:t>
      </w:r>
    </w:p>
    <w:p>
      <w:pPr>
        <w:pStyle w:val="ListNumber"/>
        <w:spacing w:line="240" w:lineRule="auto"/>
        <w:ind w:left="720"/>
      </w:pPr>
      <w:r/>
      <w:r>
        <w:t>Zimran</w:t>
      </w:r>
    </w:p>
    <w:p>
      <w:pPr>
        <w:pStyle w:val="ListNumber"/>
        <w:spacing w:line="240" w:lineRule="auto"/>
        <w:ind w:left="720"/>
      </w:pPr>
      <w:r/>
      <w:r>
        <w:t>Jokschan</w:t>
      </w:r>
    </w:p>
    <w:p>
      <w:pPr>
        <w:pStyle w:val="ListNumber"/>
        <w:spacing w:line="240" w:lineRule="auto"/>
        <w:ind w:left="720"/>
      </w:pPr>
      <w:r/>
      <w:r>
        <w:t>Medan</w:t>
      </w:r>
    </w:p>
    <w:p>
      <w:pPr>
        <w:pStyle w:val="ListNumber"/>
        <w:spacing w:line="240" w:lineRule="auto"/>
        <w:ind w:left="720"/>
      </w:pPr>
      <w:r/>
      <w:r>
        <w:t>Madian</w:t>
      </w:r>
    </w:p>
    <w:p>
      <w:pPr>
        <w:pStyle w:val="ListNumber"/>
        <w:spacing w:line="240" w:lineRule="auto"/>
        <w:ind w:left="720"/>
      </w:pPr>
      <w:r/>
      <w:r>
        <w:t>Jischbak</w:t>
      </w:r>
    </w:p>
    <w:p>
      <w:pPr>
        <w:pStyle w:val="ListNumber"/>
        <w:spacing w:line="240" w:lineRule="auto"/>
        <w:ind w:left="720"/>
      </w:pPr>
      <w:r/>
      <w:r>
        <w:t xml:space="preserve">Schuach (voir </w:t>
      </w:r>
      <w:hyperlink r:id="rId7246">
        <w:r>
          <w:rPr>
            <w:color w:val="0000EE"/>
            <w:u w:val="single"/>
          </w:rPr>
          <w:t>Gn 25.2</w:t>
        </w:r>
      </w:hyperlink>
      <w:r>
        <w:t>)</w:t>
      </w:r>
    </w:p>
    <w:p>
      <w:r/>
      <w:r>
        <w:t>Ketura n'avait pas le même statut que Sara. La Bible l'appelle une concubine (</w:t>
      </w:r>
      <w:hyperlink r:id="rId6823">
        <w:r>
          <w:rPr>
            <w:color w:val="0000EE"/>
            <w:u w:val="single"/>
          </w:rPr>
          <w:t>Gn 25.6</w:t>
        </w:r>
      </w:hyperlink>
      <w:r>
        <w:t xml:space="preserve">, voir </w:t>
      </w:r>
      <w:hyperlink r:id="rId3038">
        <w:r>
          <w:rPr>
            <w:color w:val="0000EE"/>
            <w:u w:val="single"/>
          </w:rPr>
          <w:t>1Ch 1.32</w:t>
        </w:r>
      </w:hyperlink>
      <w:r>
        <w:t>). Ses fils ont reçu des cadeaux d'Abraham au lieu de partager son héritage.</w:t>
      </w:r>
    </w:p>
    <w:p>
      <w:r/>
      <w:r>
        <w:t>Les fils de Ketura deviendront les ancêtres de tribus avec lesquelles Israël aura plus tard des contacts après son entrée dans la terre promise. Les plus importantes de ces tribus étaient Madian et les fils de Jokschan, Sheba et Dedan (</w:t>
      </w:r>
      <w:hyperlink r:id="rId1367">
        <w:r>
          <w:rPr>
            <w:color w:val="0000EE"/>
            <w:u w:val="single"/>
          </w:rPr>
          <w:t>Gn 25.3</w:t>
        </w:r>
      </w:hyperlink>
      <w:r>
        <w:t>). Ces tribus s'installeront dans les régions nord et centrale près de l'Euphrate, s'étendant jusqu'aux parties centrales du désert d'Arabie.</w:t>
      </w:r>
    </w:p>
    <w:p>
      <w:r/>
      <w:r>
        <w:t>Le peuple travaillera comme marchands et bergers (</w:t>
      </w:r>
      <w:hyperlink r:id="rId4289">
        <w:r>
          <w:rPr>
            <w:color w:val="0000EE"/>
            <w:u w:val="single"/>
          </w:rPr>
          <w:t>Gn 37</w:t>
        </w:r>
      </w:hyperlink>
      <w:r>
        <w:t xml:space="preserve"> ; </w:t>
      </w:r>
      <w:hyperlink r:id="rId5259">
        <w:r>
          <w:rPr>
            <w:color w:val="0000EE"/>
            <w:u w:val="single"/>
          </w:rPr>
          <w:t>Ex 2.16</w:t>
        </w:r>
      </w:hyperlink>
      <w:r>
        <w:t>). Ils participaient au commerce international (</w:t>
      </w:r>
      <w:hyperlink r:id="rId4752">
        <w:r>
          <w:rPr>
            <w:color w:val="0000EE"/>
            <w:u w:val="single"/>
          </w:rPr>
          <w:t>Es 60.6</w:t>
        </w:r>
      </w:hyperlink>
      <w:r>
        <w:t>). Par exemple, la reine de Séba, qui était une descendante de Jokschan (</w:t>
      </w:r>
      <w:hyperlink r:id="rId1367">
        <w:r>
          <w:rPr>
            <w:color w:val="0000EE"/>
            <w:u w:val="single"/>
          </w:rPr>
          <w:t>Gn 25.3</w:t>
        </w:r>
      </w:hyperlink>
      <w:r>
        <w:t>), rendra visite à Salomon pour commencer à commercer avec Israël (</w:t>
      </w:r>
      <w:hyperlink r:id="rId2183">
        <w:r>
          <w:rPr>
            <w:color w:val="0000EE"/>
            <w:u w:val="single"/>
          </w:rPr>
          <w:t>1R 10.2</w:t>
        </w:r>
      </w:hyperlink>
      <w:r>
        <w:t>).</w:t>
      </w:r>
    </w:p>
    <w:p>
      <w:r/>
      <w:r>
        <w:rPr>
          <w:i/>
        </w:rPr>
        <w:t>Voir aussi</w:t>
      </w:r>
      <w:r>
        <w:t xml:space="preserve"> </w:t>
      </w:r>
      <w:r>
        <w:t>Abraham</w:t>
      </w:r>
      <w:r>
        <w:t>.</w:t>
      </w:r>
      <w:r/>
      <w:r/>
    </w:p>
    <w:p>
      <w:r/>
    </w:p>
    <w:p>
      <w:pPr>
        <w:pStyle w:val="Heading2"/>
      </w:pPr>
      <w:r>
        <w:t>Kirjathaïm</w:t>
      </w:r>
      <w:r/>
    </w:p>
    <w:p>
      <w:r/>
      <w:r>
        <w:t>1. Ville sur le plateau moabite, mentionnée lors de la marche des quatre rois contre les cinq (</w:t>
      </w:r>
      <w:hyperlink r:id="rId704">
        <w:r>
          <w:rPr>
            <w:color w:val="0000EE"/>
            <w:u w:val="single"/>
          </w:rPr>
          <w:t>Gn 14.5</w:t>
        </w:r>
      </w:hyperlink>
      <w:r>
        <w:t>), où ils ont été attaqués par les Émim indigènes. Elle sera prise par les Israélites à Sihon (</w:t>
      </w:r>
      <w:hyperlink r:id="rId8116">
        <w:r>
          <w:rPr>
            <w:color w:val="0000EE"/>
            <w:u w:val="single"/>
          </w:rPr>
          <w:t>Nb 32.37</w:t>
        </w:r>
      </w:hyperlink>
      <w:r>
        <w:t>) et incluse dans l'héritage de Ruben (</w:t>
      </w:r>
      <w:hyperlink r:id="rId8117">
        <w:r>
          <w:rPr>
            <w:color w:val="0000EE"/>
            <w:u w:val="single"/>
          </w:rPr>
          <w:t>Jos 13.19</w:t>
        </w:r>
      </w:hyperlink>
      <w:r>
        <w:t>). La Pierre Moabite rapporte que Sihon avait fortifié l'endroit après avoir pris le contrôle du plateau ; au 7e siècle av. J.‑C., elle était encore sous contrôle moabite (</w:t>
      </w:r>
      <w:hyperlink r:id="rId8118">
        <w:r>
          <w:rPr>
            <w:color w:val="0000EE"/>
            <w:u w:val="single"/>
          </w:rPr>
          <w:t>Jr 48.1, 23</w:t>
        </w:r>
      </w:hyperlink>
      <w:r>
        <w:t xml:space="preserve"> ; </w:t>
      </w:r>
      <w:hyperlink r:id="rId8119">
        <w:r>
          <w:rPr>
            <w:color w:val="0000EE"/>
            <w:u w:val="single"/>
          </w:rPr>
          <w:t>Ez 25.9</w:t>
        </w:r>
      </w:hyperlink>
      <w:r>
        <w:t>). Eusèbe la placera à 10 milles romains à l'ouest de Médeba. Deux identifications ont été proposées : Khirbet el-Qureiyeh ou Qaryat el-Mukhaiyet, respectivement à 10 km au nord-ouest et 5 km au nord-ouest de Médeba.</w:t>
      </w:r>
    </w:p>
    <w:p>
      <w:r/>
      <w:r>
        <w:t>2. Ville lévitique dans le territoire de Nephthali (</w:t>
      </w:r>
      <w:hyperlink r:id="rId8120">
        <w:r>
          <w:rPr>
            <w:color w:val="0000EE"/>
            <w:u w:val="single"/>
          </w:rPr>
          <w:t>1Ch 6.76</w:t>
        </w:r>
      </w:hyperlink>
      <w:r>
        <w:t xml:space="preserve">), appelée Karthan dans </w:t>
      </w:r>
      <w:hyperlink r:id="rId8121">
        <w:r>
          <w:rPr>
            <w:color w:val="0000EE"/>
            <w:u w:val="single"/>
          </w:rPr>
          <w:t>Josué 21.32</w:t>
        </w:r>
      </w:hyperlink>
      <w:r>
        <w:t>. Cette dernière est probablement une variante de dialecte. On suggère une identification avec Khirbet el-Qurieyeh, au nord-est de ‘Aïn Ibl dans le sud du Liban.</w:t>
      </w:r>
    </w:p>
    <w:p>
      <w:r/>
      <w:r>
        <w:rPr>
          <w:i/>
        </w:rPr>
        <w:t>Voir aussi</w:t>
      </w:r>
      <w:r>
        <w:t xml:space="preserve"> </w:t>
      </w:r>
      <w:r>
        <w:t>Villes lévitiques</w:t>
      </w:r>
      <w:r>
        <w:t>.</w:t>
      </w:r>
      <w:r/>
      <w:r/>
    </w:p>
    <w:p>
      <w:r/>
    </w:p>
    <w:p>
      <w:pPr>
        <w:pStyle w:val="Heading2"/>
      </w:pPr>
      <w:r>
        <w:t>Kirjath-Arba</w:t>
      </w:r>
      <w:r/>
    </w:p>
    <w:p>
      <w:r/>
      <w:r>
        <w:t>Ancien nom pour Hébron. Le lieu se trouvait près de la grotte de Macpéla, le lieu de sépulture des patriarches (</w:t>
      </w:r>
      <w:hyperlink r:id="rId6377">
        <w:r>
          <w:rPr>
            <w:color w:val="0000EE"/>
            <w:u w:val="single"/>
          </w:rPr>
          <w:t>Gn 23.2</w:t>
        </w:r>
      </w:hyperlink>
      <w:r>
        <w:t xml:space="preserve"> ; </w:t>
      </w:r>
      <w:hyperlink r:id="rId262">
        <w:r>
          <w:rPr>
            <w:color w:val="0000EE"/>
            <w:u w:val="single"/>
          </w:rPr>
          <w:t>Jos 14.15</w:t>
        </w:r>
      </w:hyperlink>
      <w:r>
        <w:t xml:space="preserve"> ; </w:t>
      </w:r>
      <w:hyperlink r:id="rId8122">
        <w:r>
          <w:rPr>
            <w:color w:val="0000EE"/>
            <w:u w:val="single"/>
          </w:rPr>
          <w:t>Jg 1.10</w:t>
        </w:r>
      </w:hyperlink>
      <w:r>
        <w:t>).</w:t>
      </w:r>
    </w:p>
    <w:p>
      <w:r/>
      <w:r>
        <w:rPr>
          <w:i/>
        </w:rPr>
        <w:t>Voir</w:t>
      </w:r>
      <w:r>
        <w:t xml:space="preserve"> </w:t>
      </w:r>
      <w:r>
        <w:t>Hébron (Lieu) n° 1</w:t>
      </w:r>
      <w:r>
        <w:t>.</w:t>
      </w:r>
      <w:r/>
      <w:r/>
    </w:p>
    <w:p>
      <w:r/>
    </w:p>
    <w:p>
      <w:pPr>
        <w:pStyle w:val="Heading2"/>
      </w:pPr>
      <w:r>
        <w:t>Kis</w:t>
      </w:r>
      <w:r/>
    </w:p>
    <w:p>
      <w:pPr>
        <w:pStyle w:val="ListNumber"/>
        <w:spacing w:line="240" w:lineRule="auto"/>
        <w:ind w:left="720"/>
      </w:pPr>
      <w:r/>
      <w:r>
        <w:t>Benjamite de Guibea, père du roi Saül ; un homme important dans sa ville (</w:t>
      </w:r>
      <w:hyperlink r:id="rId8123">
        <w:r>
          <w:rPr>
            <w:color w:val="0000EE"/>
            <w:u w:val="single"/>
          </w:rPr>
          <w:t>1S 9.1</w:t>
        </w:r>
      </w:hyperlink>
      <w:r>
        <w:t>). Sa lignée est retracée sur quatre générations. Il en va de même pour Elkana, le père de Samuel, qui oindra Saül roi (</w:t>
      </w:r>
      <w:hyperlink r:id="rId1299">
        <w:r>
          <w:rPr>
            <w:color w:val="0000EE"/>
            <w:u w:val="single"/>
          </w:rPr>
          <w:t>1S 1.1</w:t>
        </w:r>
      </w:hyperlink>
      <w:r>
        <w:t>).</w:t>
      </w:r>
    </w:p>
    <w:p>
      <w:r/>
      <w:r>
        <w:t xml:space="preserve">Les détails concernant la famille de Kis sont quelque peu flous. Le nom de son père est Abiel selon </w:t>
      </w:r>
      <w:hyperlink r:id="rId8123">
        <w:r>
          <w:rPr>
            <w:color w:val="0000EE"/>
            <w:u w:val="single"/>
          </w:rPr>
          <w:t>1 Samuel 9.1</w:t>
        </w:r>
      </w:hyperlink>
      <w:r>
        <w:t xml:space="preserve">. Si le Kis mentionné dans </w:t>
      </w:r>
      <w:hyperlink r:id="rId8124">
        <w:r>
          <w:rPr>
            <w:color w:val="0000EE"/>
            <w:u w:val="single"/>
          </w:rPr>
          <w:t>1 Chroniques 8.30</w:t>
        </w:r>
      </w:hyperlink>
      <w:r>
        <w:t xml:space="preserve"> est la même personne, alors Abiel était également connu sous le nom de Jeïel. Cependant, il se peut que ce second Kis ait été un oncle du père de Saül. Dans </w:t>
      </w:r>
      <w:hyperlink r:id="rId8125">
        <w:r>
          <w:rPr>
            <w:color w:val="0000EE"/>
            <w:u w:val="single"/>
          </w:rPr>
          <w:t>1 Chroniques 8.33</w:t>
        </w:r>
      </w:hyperlink>
      <w:r>
        <w:t xml:space="preserve"> et </w:t>
      </w:r>
      <w:hyperlink r:id="rId8126">
        <w:r>
          <w:rPr>
            <w:color w:val="0000EE"/>
            <w:u w:val="single"/>
          </w:rPr>
          <w:t>9.39</w:t>
        </w:r>
      </w:hyperlink>
      <w:r>
        <w:t xml:space="preserve">, Ner, et non Abiel, est dit être le père de Kis. Cependant, dans </w:t>
      </w:r>
      <w:hyperlink r:id="rId8127">
        <w:r>
          <w:rPr>
            <w:color w:val="0000EE"/>
            <w:u w:val="single"/>
          </w:rPr>
          <w:t>1 Samuel 14.51</w:t>
        </w:r>
      </w:hyperlink>
      <w:r>
        <w:t>, Abiel est dit être le père de deux fils dont les noms étaient Ner et Kis. La solution est sans doute que le Ner mentionné dans les Chroniques était un ancêtre antérieur, probablement le père ou le grand-père d'Abiel. Si c'est le cas, alors la relation père-fils entre Ner et Kis doit être prise dans un sens élargi, comme ailleurs dans l'Ancien Testament. Aucun autre détail de la vie de Kis n'est disponible. Sa tombe était à Tséla de Benjamin (</w:t>
      </w:r>
      <w:hyperlink r:id="rId8128">
        <w:r>
          <w:rPr>
            <w:color w:val="0000EE"/>
            <w:u w:val="single"/>
          </w:rPr>
          <w:t>2Sa 21.14</w:t>
        </w:r>
      </w:hyperlink>
      <w:r>
        <w:t>).</w:t>
      </w:r>
    </w:p>
    <w:p>
      <w:pPr>
        <w:pStyle w:val="ListNumber"/>
        <w:spacing w:line="240" w:lineRule="auto"/>
        <w:ind w:left="720"/>
      </w:pPr>
      <w:r/>
      <w:r>
        <w:t>Un Lévite, petit-fils de Merari, fils de Machli et père de Jerachmeel (</w:t>
      </w:r>
      <w:hyperlink r:id="rId8129">
        <w:r>
          <w:rPr>
            <w:color w:val="0000EE"/>
            <w:u w:val="single"/>
          </w:rPr>
          <w:t>1Ch 23.21–22</w:t>
        </w:r>
      </w:hyperlink>
      <w:r>
        <w:t xml:space="preserve"> ; </w:t>
      </w:r>
      <w:hyperlink r:id="rId8130">
        <w:r>
          <w:rPr>
            <w:color w:val="0000EE"/>
            <w:u w:val="single"/>
          </w:rPr>
          <w:t>24.29</w:t>
        </w:r>
      </w:hyperlink>
      <w:r>
        <w:t>).</w:t>
      </w:r>
    </w:p>
    <w:p>
      <w:pPr>
        <w:pStyle w:val="ListNumber"/>
        <w:spacing w:line="240" w:lineRule="auto"/>
        <w:ind w:left="720"/>
      </w:pPr>
      <w:r/>
      <w:r>
        <w:t>Le fils d'Abdi, un autre Lévite de la famille de Merari. Il était l'un des Lévites qui ont aidé Ézéchias à purifier le temple (</w:t>
      </w:r>
      <w:hyperlink r:id="rId7309">
        <w:r>
          <w:rPr>
            <w:color w:val="0000EE"/>
            <w:u w:val="single"/>
          </w:rPr>
          <w:t>2Ch 29.12</w:t>
        </w:r>
      </w:hyperlink>
      <w:r>
        <w:t>).</w:t>
      </w:r>
    </w:p>
    <w:p>
      <w:pPr>
        <w:pStyle w:val="ListNumber"/>
        <w:spacing w:line="240" w:lineRule="auto"/>
        <w:ind w:left="720"/>
      </w:pPr>
      <w:r/>
      <w:r>
        <w:t>Un Benjamite arrière-grand-père de Mardochée. Mardochée a été exilé par Nebucadnetsar en 597 av. J.‑C. (</w:t>
      </w:r>
      <w:hyperlink r:id="rId1789">
        <w:r>
          <w:rPr>
            <w:color w:val="0000EE"/>
            <w:u w:val="single"/>
          </w:rPr>
          <w:t>Est 2.5</w:t>
        </w:r>
      </w:hyperlink>
      <w:r>
        <w:t>), avec le roi Jojakin et le prophète Ézéchiel.</w:t>
      </w:r>
      <w:r/>
      <w:r/>
    </w:p>
    <w:p>
      <w:r/>
    </w:p>
    <w:p>
      <w:pPr>
        <w:pStyle w:val="Heading2"/>
      </w:pPr>
      <w:r>
        <w:t>Kittim</w:t>
      </w:r>
      <w:r/>
    </w:p>
    <w:p>
      <w:r/>
      <w:r>
        <w:t>Nom hébreu ancien pour l'île de Chypre dans la mer Méditerranée. Le nom vient des descendants de Javan (les Kittim) mentionnés dans la Table des Nations (</w:t>
      </w:r>
      <w:hyperlink r:id="rId4286">
        <w:r>
          <w:rPr>
            <w:color w:val="0000EE"/>
            <w:u w:val="single"/>
          </w:rPr>
          <w:t>Gn 10.4)</w:t>
        </w:r>
      </w:hyperlink>
      <w:r>
        <w:t>. Le prophète Daniel mentionne des « navires de Kittim » dans une vision (</w:t>
      </w:r>
      <w:hyperlink r:id="rId2648">
        <w:r>
          <w:rPr>
            <w:color w:val="0000EE"/>
            <w:u w:val="single"/>
          </w:rPr>
          <w:t>Dn 11.30</w:t>
        </w:r>
      </w:hyperlink>
      <w:r>
        <w:t>).</w:t>
      </w:r>
    </w:p>
    <w:p>
      <w:r/>
      <w:r>
        <w:rPr>
          <w:i/>
        </w:rPr>
        <w:t>Voir</w:t>
      </w:r>
      <w:r>
        <w:t xml:space="preserve"> </w:t>
      </w:r>
      <w:r>
        <w:t>Chypre</w:t>
      </w:r>
      <w:r>
        <w:t>.</w:t>
      </w:r>
      <w:r/>
      <w:r/>
    </w:p>
    <w:p>
      <w:r/>
    </w:p>
    <w:p>
      <w:pPr>
        <w:pStyle w:val="Heading2"/>
      </w:pPr>
      <w:r>
        <w:t>Koré</w:t>
      </w:r>
      <w:r/>
    </w:p>
    <w:p>
      <w:pPr>
        <w:pStyle w:val="ListNumber"/>
        <w:spacing w:line="240" w:lineRule="auto"/>
        <w:ind w:left="720"/>
      </w:pPr>
      <w:r/>
      <w:r>
        <w:t>Troisième fils d'Ésaü par Oholibama, la fille d'Ana (</w:t>
      </w:r>
      <w:hyperlink r:id="rId7081">
        <w:r>
          <w:rPr>
            <w:color w:val="0000EE"/>
            <w:u w:val="single"/>
          </w:rPr>
          <w:t>Gn 36.5, 14, 18</w:t>
        </w:r>
      </w:hyperlink>
      <w:r>
        <w:t xml:space="preserve"> ; </w:t>
      </w:r>
      <w:hyperlink r:id="rId7082">
        <w:r>
          <w:rPr>
            <w:color w:val="0000EE"/>
            <w:u w:val="single"/>
          </w:rPr>
          <w:t>1Ch 1.35</w:t>
        </w:r>
      </w:hyperlink>
      <w:r>
        <w:t>).</w:t>
      </w:r>
    </w:p>
    <w:p>
      <w:pPr>
        <w:pStyle w:val="ListNumber"/>
        <w:spacing w:line="240" w:lineRule="auto"/>
        <w:ind w:left="720"/>
      </w:pPr>
      <w:r/>
      <w:r>
        <w:t>Petit-fils d'Ésaü et cinquième fils d'Éliphaz (</w:t>
      </w:r>
      <w:hyperlink r:id="rId8131">
        <w:r>
          <w:rPr>
            <w:color w:val="0000EE"/>
            <w:u w:val="single"/>
          </w:rPr>
          <w:t>Gn 36.16</w:t>
        </w:r>
      </w:hyperlink>
      <w:r>
        <w:t>).</w:t>
      </w:r>
    </w:p>
    <w:p>
      <w:pPr>
        <w:pStyle w:val="ListNumber"/>
        <w:spacing w:line="240" w:lineRule="auto"/>
        <w:ind w:left="720"/>
      </w:pPr>
      <w:r/>
      <w:r>
        <w:t>Le fils aîné de Jitsehar, fils de Kehath de la tribu de Lévi (</w:t>
      </w:r>
      <w:hyperlink r:id="rId8132">
        <w:r>
          <w:rPr>
            <w:color w:val="0000EE"/>
            <w:u w:val="single"/>
          </w:rPr>
          <w:t>Ex 6.21, 24</w:t>
        </w:r>
      </w:hyperlink>
      <w:r>
        <w:t>). Il mènera une rébellion contre Moïse et Aaron dans le désert. Il accusera Moïse et Aaron de s'élever au-dessus de l'assemblée du Seigneur (</w:t>
      </w:r>
      <w:hyperlink r:id="rId8133">
        <w:r>
          <w:rPr>
            <w:color w:val="0000EE"/>
            <w:u w:val="single"/>
          </w:rPr>
          <w:t>Nb 16.1–3</w:t>
        </w:r>
      </w:hyperlink>
      <w:r>
        <w:t>).</w:t>
      </w:r>
    </w:p>
    <w:p>
      <w:r/>
      <w:hyperlink r:id="rId8134">
        <w:r>
          <w:rPr>
            <w:color w:val="0000EE"/>
            <w:u w:val="single"/>
          </w:rPr>
          <w:t>Nombres 16.1</w:t>
        </w:r>
      </w:hyperlink>
      <w:r>
        <w:t xml:space="preserve"> relate également une révolte menée par deux frères, Dathan et Abiram, ainsi qu'un homme nommé On. Tous étaient de la tribu de Ruben. Ils ont défié l'autorité de Moïse. Dathan et Abiram ont accusé Moïse de se faire prince. Ils ont affirmé qu'il avait échoué à les conduire dans la terre promise (</w:t>
      </w:r>
      <w:hyperlink r:id="rId8135">
        <w:r>
          <w:rPr>
            <w:color w:val="0000EE"/>
            <w:u w:val="single"/>
          </w:rPr>
          <w:t>Nb 16.12–14</w:t>
        </w:r>
      </w:hyperlink>
      <w:r>
        <w:t>). Les récits des deux rébellions sont entremêlés de telle manière qu'il est difficile de les séparer. Il se peut que les deux révoltes aient eu lieu simultanément.</w:t>
      </w:r>
    </w:p>
    <w:p>
      <w:r/>
      <w:r>
        <w:t>Moïse défiera Koré et ses partisans à une épreuve par le feu. Ils devaient prendre des encensoirs avec du feu et de l'encens à la tente de la rencontre le lendemain. Dieu choisirait alors l'un d'eux pour être le saint sacrificateur (</w:t>
      </w:r>
      <w:hyperlink r:id="rId8136">
        <w:r>
          <w:rPr>
            <w:color w:val="0000EE"/>
            <w:u w:val="single"/>
          </w:rPr>
          <w:t>Nb 16.4–10, 15–17</w:t>
        </w:r>
      </w:hyperlink>
      <w:r>
        <w:t>). Moïse accusera Koré et sa compagnie de se rebeller contre Dieu plutôt que contre Aaron (</w:t>
      </w:r>
      <w:hyperlink r:id="rId8137">
        <w:r>
          <w:rPr>
            <w:color w:val="0000EE"/>
            <w:u w:val="single"/>
          </w:rPr>
          <w:t>Nb 16.11</w:t>
        </w:r>
      </w:hyperlink>
      <w:r>
        <w:t>). Lorsque les hommes se sont rassemblés comme Moïse l'avait ordonné, la gloire du Seigneur est apparue à tout le peuple.</w:t>
      </w:r>
    </w:p>
    <w:p>
      <w:r/>
      <w:r>
        <w:t>Le Seigneur ordonnera à Moïse de dire à l'assemblée de se séparer des tentes de Koré, de Dathan et d'Abiram (</w:t>
      </w:r>
      <w:hyperlink r:id="rId8138">
        <w:r>
          <w:rPr>
            <w:color w:val="0000EE"/>
            <w:u w:val="single"/>
          </w:rPr>
          <w:t>Nb 16.19–24</w:t>
        </w:r>
      </w:hyperlink>
      <w:r>
        <w:t>). Moïse proposera un test pour prouver son autorité. Mais alors qu'il parlait, la terre s'ouvrira et engloutira tous les rebelles, leurs familles et leurs possessions. Le feu consumera les 250 hommes qui offraient l'encens. Le reste des Israélites sera terrifié et s'enfuira de la scène (</w:t>
      </w:r>
      <w:hyperlink r:id="rId8139">
        <w:r>
          <w:rPr>
            <w:color w:val="0000EE"/>
            <w:u w:val="single"/>
          </w:rPr>
          <w:t>Nb 16.31–35</w:t>
        </w:r>
      </w:hyperlink>
      <w:r>
        <w:t xml:space="preserve">). </w:t>
      </w:r>
      <w:hyperlink r:id="rId8140">
        <w:r>
          <w:rPr>
            <w:color w:val="0000EE"/>
            <w:u w:val="single"/>
          </w:rPr>
          <w:t>Nombres 26.11</w:t>
        </w:r>
      </w:hyperlink>
      <w:r>
        <w:t xml:space="preserve"> ajoute cependant que « </w:t>
      </w:r>
      <w:r>
        <w:t>Les fils de Koré ne moururent pas</w:t>
      </w:r>
      <w:r>
        <w:t xml:space="preserve"> » avec les autres.</w:t>
      </w:r>
    </w:p>
    <w:p>
      <w:r/>
      <w:r>
        <w:t>Ensuite, par l'intermédiaire de Moïse, le Seigneur instruira Éléazar, le fils d'Aaron. Il devait prendre les encensoirs des hommes morts et les transformer en plaques martelées pour recouvrir l'autel. Cela rappellerait aux Israélites que seuls les prêtres, descendants d'Aaron, pouvaient brûler de l'encens devant le Seigneur. Quiconque d'autre subirait le même sort que Koré et ses partisans (</w:t>
      </w:r>
      <w:hyperlink r:id="rId8141">
        <w:r>
          <w:rPr>
            <w:color w:val="0000EE"/>
            <w:u w:val="single"/>
          </w:rPr>
          <w:t>Nb 16.36–40</w:t>
        </w:r>
      </w:hyperlink>
      <w:r>
        <w:t>).</w:t>
      </w:r>
    </w:p>
    <w:p>
      <w:r/>
      <w:r>
        <w:t>Le lendemain, le peuple se plaindra contre Moïse et Aaron. Ils les accuseront d'avoir tué le peuple de Dieu. Même après ce qui était arrivé à Koré et à ses partisans, ils ne croyaient toujours pas que Dieu avait montré que Moïse et Aaron étaient les véritables dirigeants. À cause de cette nouvelle rébellion, Dieu menacera de détruire le peuple tout entier et enverra une maladie mortelle parmi eux. Moïse priera pour le peuple et empêchera le désastre de s'aggraver. Cependant, 14 700 Israélites mourront de la maladie (</w:t>
      </w:r>
      <w:hyperlink r:id="rId8142">
        <w:r>
          <w:rPr>
            <w:color w:val="0000EE"/>
            <w:u w:val="single"/>
          </w:rPr>
          <w:t>Nb 16.41–50</w:t>
        </w:r>
      </w:hyperlink>
      <w:r>
        <w:t xml:space="preserve">). L'incident de la rébellion des Koréites est mentionné pour la dernière fois dans </w:t>
      </w:r>
      <w:hyperlink r:id="rId2105">
        <w:r>
          <w:rPr>
            <w:color w:val="0000EE"/>
            <w:u w:val="single"/>
          </w:rPr>
          <w:t>Jude 1.11</w:t>
        </w:r>
      </w:hyperlink>
      <w:r>
        <w:t>.</w:t>
      </w:r>
    </w:p>
    <w:p>
      <w:r/>
      <w:r>
        <w:rPr>
          <w:i/>
        </w:rPr>
        <w:t>Voir aussi</w:t>
      </w:r>
      <w:r>
        <w:t xml:space="preserve"> </w:t>
      </w:r>
      <w:r>
        <w:t>Koréite, Korite</w:t>
      </w:r>
      <w:r>
        <w:t>.</w:t>
      </w:r>
    </w:p>
    <w:p>
      <w:pPr>
        <w:pStyle w:val="ListNumber"/>
        <w:spacing w:line="240" w:lineRule="auto"/>
        <w:ind w:left="720"/>
      </w:pPr>
      <w:r/>
      <w:r>
        <w:t>Fils aîné d'Hébron, inclus dans la liste familiale de Caleb (</w:t>
      </w:r>
      <w:hyperlink r:id="rId8143">
        <w:r>
          <w:rPr>
            <w:color w:val="0000EE"/>
            <w:u w:val="single"/>
          </w:rPr>
          <w:t>1Ch 2.43</w:t>
        </w:r>
      </w:hyperlink>
      <w:r>
        <w:t>). Cette référence a été comprise comme un nom géographique, possiblement une ville en Juda.</w:t>
      </w:r>
    </w:p>
    <w:p>
      <w:pPr>
        <w:pStyle w:val="ListNumber"/>
        <w:spacing w:line="240" w:lineRule="auto"/>
        <w:ind w:left="720"/>
      </w:pPr>
      <w:r/>
      <w:r>
        <w:t>Fils d'</w:t>
      </w:r>
      <w:r>
        <w:t>Amminadab</w:t>
      </w:r>
      <w:r>
        <w:t xml:space="preserve"> et petit-fils de Kehath, deuxième fils de Lévi (</w:t>
      </w:r>
      <w:hyperlink r:id="rId8144">
        <w:r>
          <w:rPr>
            <w:color w:val="0000EE"/>
            <w:u w:val="single"/>
          </w:rPr>
          <w:t>1Ch 6.22</w:t>
        </w:r>
      </w:hyperlink>
      <w:r>
        <w:t>).</w:t>
      </w:r>
      <w:r/>
      <w:r/>
    </w:p>
    <w:p>
      <w:r/>
    </w:p>
    <w:p>
      <w:pPr>
        <w:pStyle w:val="Heading2"/>
      </w:pPr>
      <w:r>
        <w:t>L’apôtre Paul</w:t>
      </w:r>
      <w:r/>
    </w:p>
    <w:p>
      <w:r/>
      <w:r>
        <w:t>Dirigeant éminent de l’Église du premier siècle, apôtre des Païens, auteur de 13 épitres du Nouveau Testament.</w:t>
      </w:r>
    </w:p>
    <w:p>
      <w:r/>
      <w:r>
        <w:t>Aperçu</w:t>
      </w:r>
    </w:p>
    <w:p>
      <w:r/>
      <w:r>
        <w:t>- Contextes familial et culturel</w:t>
      </w:r>
    </w:p>
    <w:p>
      <w:r/>
      <w:r>
        <w:t>- Éducation</w:t>
      </w:r>
    </w:p>
    <w:p>
      <w:r/>
      <w:r>
        <w:t>- Saul, le persécuteur</w:t>
      </w:r>
    </w:p>
    <w:p>
      <w:r/>
      <w:r>
        <w:t>- Conversion et appel</w:t>
      </w:r>
    </w:p>
    <w:p>
      <w:r/>
      <w:r>
        <w:t>- Préparation au ministère</w:t>
      </w:r>
    </w:p>
    <w:p>
      <w:r/>
      <w:r>
        <w:t>- Envoyé d’Antioche</w:t>
      </w:r>
    </w:p>
    <w:p>
      <w:r/>
      <w:r>
        <w:t>- Voyage avec Barnabas</w:t>
      </w:r>
    </w:p>
    <w:p>
      <w:r/>
      <w:r>
        <w:t>- Concile de Jérusalem</w:t>
      </w:r>
    </w:p>
    <w:p>
      <w:r/>
      <w:r>
        <w:t>- Autres voyages</w:t>
      </w:r>
    </w:p>
    <w:p>
      <w:r/>
      <w:r>
        <w:t>- Œuvre missionnaire</w:t>
      </w:r>
    </w:p>
    <w:p>
      <w:r/>
      <w:r>
        <w:t>- Arrestation à Jérusalem</w:t>
      </w:r>
    </w:p>
    <w:p>
      <w:r/>
      <w:r>
        <w:t>- Voyage et séjour à Rome</w:t>
      </w:r>
    </w:p>
    <w:p>
      <w:r/>
      <w:r>
        <w:t>- Dernières années et martyre</w:t>
      </w:r>
    </w:p>
    <w:p>
      <w:pPr>
        <w:pStyle w:val="Heading3"/>
      </w:pPr>
      <w:r>
        <w:t>Contextes familial et culturel</w:t>
      </w:r>
    </w:p>
    <w:p>
      <w:r/>
      <w:r>
        <w:t>Paul est né vers l’an 10 apr. J.-C., un Juif dans une famille de pharisiens (</w:t>
      </w:r>
      <w:hyperlink r:id="rId7799">
        <w:r>
          <w:rPr>
            <w:color w:val="0000EE"/>
            <w:u w:val="single"/>
          </w:rPr>
          <w:t>Actes 23:6</w:t>
        </w:r>
      </w:hyperlink>
      <w:r>
        <w:t>) de la tribu de Benjamin (</w:t>
      </w:r>
      <w:hyperlink r:id="rId1791">
        <w:r>
          <w:rPr>
            <w:color w:val="0000EE"/>
            <w:u w:val="single"/>
          </w:rPr>
          <w:t>Philippiens 3:5</w:t>
        </w:r>
      </w:hyperlink>
      <w:r>
        <w:t>) à Tarse, en Cilicie (</w:t>
      </w:r>
      <w:hyperlink r:id="rId4397">
        <w:r>
          <w:rPr>
            <w:color w:val="0000EE"/>
            <w:u w:val="single"/>
          </w:rPr>
          <w:t>Actes 9:11</w:t>
        </w:r>
      </w:hyperlink>
      <w:r>
        <w:t xml:space="preserve">; </w:t>
      </w:r>
      <w:hyperlink r:id="rId2724">
        <w:r>
          <w:rPr>
            <w:color w:val="0000EE"/>
            <w:u w:val="single"/>
          </w:rPr>
          <w:t>21:39</w:t>
        </w:r>
      </w:hyperlink>
      <w:r>
        <w:t xml:space="preserve">; </w:t>
      </w:r>
      <w:hyperlink r:id="rId2725">
        <w:r>
          <w:rPr>
            <w:color w:val="0000EE"/>
            <w:u w:val="single"/>
          </w:rPr>
          <w:t>22:3</w:t>
        </w:r>
      </w:hyperlink>
      <w:r>
        <w:t>), un centre de commerce et d’apprentissage qui englobait l’esprit hellénistique et la politique romaine. Tarse était une ville dont il pouvait se vanter (</w:t>
      </w:r>
      <w:hyperlink r:id="rId2724">
        <w:r>
          <w:rPr>
            <w:color w:val="0000EE"/>
            <w:u w:val="single"/>
          </w:rPr>
          <w:t>21:39</w:t>
        </w:r>
      </w:hyperlink>
      <w:r>
        <w:t>). Ses parents lui ont donné le nom de Saul, peut-être d’après le premier roi d’Israël, qui était également Benjaminite (</w:t>
      </w:r>
      <w:hyperlink r:id="rId8145">
        <w:r>
          <w:rPr>
            <w:color w:val="0000EE"/>
            <w:u w:val="single"/>
          </w:rPr>
          <w:t>1 Samuel 11:15</w:t>
        </w:r>
      </w:hyperlink>
      <w:r>
        <w:t xml:space="preserve">; </w:t>
      </w:r>
      <w:hyperlink r:id="rId1792">
        <w:r>
          <w:rPr>
            <w:color w:val="0000EE"/>
            <w:u w:val="single"/>
          </w:rPr>
          <w:t>Actes 13:21</w:t>
        </w:r>
      </w:hyperlink>
      <w:r>
        <w:t xml:space="preserve">), mais </w:t>
      </w:r>
      <w:hyperlink r:id="rId152">
        <w:r>
          <w:rPr>
            <w:color w:val="0000EE"/>
            <w:u w:val="single"/>
          </w:rPr>
          <w:t>Actes 13:9</w:t>
        </w:r>
      </w:hyperlink>
      <w:r>
        <w:t xml:space="preserve"> fait remarquer qu’il « s’appelait aussi Paul ». Il utilise le nom romain de Paul tout au long de ses lettres.</w:t>
      </w:r>
    </w:p>
    <w:p>
      <w:r/>
      <w:r>
        <w:t>Paul a reçu la connaissance de la Loi et des Prophètes de ses parents religieux, ainsi que des langues hébraïque et araméenne (</w:t>
      </w:r>
      <w:hyperlink r:id="rId2732">
        <w:r>
          <w:rPr>
            <w:color w:val="0000EE"/>
            <w:u w:val="single"/>
          </w:rPr>
          <w:t>Actes 21:40</w:t>
        </w:r>
      </w:hyperlink>
      <w:r>
        <w:t xml:space="preserve">; </w:t>
      </w:r>
      <w:hyperlink r:id="rId8146">
        <w:r>
          <w:rPr>
            <w:color w:val="0000EE"/>
            <w:u w:val="single"/>
          </w:rPr>
          <w:t>22:2–3</w:t>
        </w:r>
      </w:hyperlink>
      <w:r>
        <w:t xml:space="preserve">; </w:t>
      </w:r>
      <w:hyperlink r:id="rId7799">
        <w:r>
          <w:rPr>
            <w:color w:val="0000EE"/>
            <w:u w:val="single"/>
          </w:rPr>
          <w:t>23:6</w:t>
        </w:r>
      </w:hyperlink>
      <w:r>
        <w:t xml:space="preserve">; </w:t>
      </w:r>
      <w:hyperlink r:id="rId8147">
        <w:r>
          <w:rPr>
            <w:color w:val="0000EE"/>
            <w:u w:val="single"/>
          </w:rPr>
          <w:t>Galates 1:14</w:t>
        </w:r>
      </w:hyperlink>
      <w:r>
        <w:t xml:space="preserve">; </w:t>
      </w:r>
      <w:hyperlink r:id="rId8148">
        <w:r>
          <w:rPr>
            <w:color w:val="0000EE"/>
            <w:u w:val="single"/>
          </w:rPr>
          <w:t>Philippiens 3:5–6</w:t>
        </w:r>
      </w:hyperlink>
      <w:r>
        <w:t>). Toutefois, Tarse n’était pas une ville juive. Elle avait plutôt une coloration grecque, car on y parlait la langue grecque et on y étudiait la littérature grecque. C’est pourquoi Paul connaissait le grec (</w:t>
      </w:r>
      <w:hyperlink r:id="rId6111">
        <w:r>
          <w:rPr>
            <w:color w:val="0000EE"/>
            <w:u w:val="single"/>
          </w:rPr>
          <w:t>Actes 21:37</w:t>
        </w:r>
      </w:hyperlink>
      <w:r>
        <w:t>), la langue des rues et des boutiques de Tarse.</w:t>
      </w:r>
    </w:p>
    <w:p>
      <w:r/>
      <w:r>
        <w:t>Les Juifs ont été amenés à Tarse, capitale de la province romaine de Cilicie, en l’an 171 av. J.-C. en vue de promouvoir le commerce dans la région. Les ancêtres de Paul ont probablement reçu la citoyenneté romaine à cette époque. Paul a hérité de son père la citoyenneté tarsienne et la citoyenneté romaine, deux nationalités qui se sont avérées être d’une grande valeur pour Paul dans sa vie ultérieure, surtout au moment où il voyageait pour répandre l’Évangile à travers l’Empire romain (</w:t>
      </w:r>
      <w:hyperlink r:id="rId2726">
        <w:r>
          <w:rPr>
            <w:color w:val="0000EE"/>
            <w:u w:val="single"/>
          </w:rPr>
          <w:t>Actes 16:37</w:t>
        </w:r>
      </w:hyperlink>
      <w:r>
        <w:t xml:space="preserve">; </w:t>
      </w:r>
      <w:hyperlink r:id="rId8149">
        <w:r>
          <w:rPr>
            <w:color w:val="0000EE"/>
            <w:u w:val="single"/>
          </w:rPr>
          <w:t>22:25–29</w:t>
        </w:r>
      </w:hyperlink>
      <w:r>
        <w:t xml:space="preserve">; </w:t>
      </w:r>
      <w:hyperlink r:id="rId8150">
        <w:r>
          <w:rPr>
            <w:color w:val="0000EE"/>
            <w:u w:val="single"/>
          </w:rPr>
          <w:t>23:27</w:t>
        </w:r>
      </w:hyperlink>
      <w:r>
        <w:t xml:space="preserve">). Il est possible que Paul ait eu plusieurs frères et sœurs, mais </w:t>
      </w:r>
      <w:hyperlink r:id="rId8151">
        <w:r>
          <w:rPr>
            <w:color w:val="0000EE"/>
            <w:u w:val="single"/>
          </w:rPr>
          <w:t>Actes 23:16</w:t>
        </w:r>
      </w:hyperlink>
      <w:r>
        <w:t xml:space="preserve"> ne mentionne qu’une seule sœur, dont le fils a sauvé la vie de Paul.</w:t>
      </w:r>
    </w:p>
    <w:p>
      <w:r/>
      <w:r>
        <w:t>Paul était faiseur de tentes (</w:t>
      </w:r>
      <w:hyperlink r:id="rId5521">
        <w:r>
          <w:rPr>
            <w:color w:val="0000EE"/>
            <w:u w:val="single"/>
          </w:rPr>
          <w:t>Actes 18:3</w:t>
        </w:r>
      </w:hyperlink>
      <w:r>
        <w:t>). Il se peut qu’il ait appris ce métier auprès de son père ou qu’il ait choisi ce travail pour subvenir à ses besoins, comme l’exigeait la coutume pour ceux qui suivaient une formation rabbinique. Tarse était réputé pour son tissu en poils de chèvre appelé cilicium. En tissant et en façonnant ce tissu pour en faire des tentes, des voiles, des auvents et des manteaux, Paul a accédé à l’indépendance financière au cours de son ministère apostolique (</w:t>
      </w:r>
      <w:hyperlink r:id="rId5521">
        <w:r>
          <w:rPr>
            <w:color w:val="0000EE"/>
            <w:u w:val="single"/>
          </w:rPr>
          <w:t>Actes 18:3</w:t>
        </w:r>
      </w:hyperlink>
      <w:r>
        <w:t xml:space="preserve">; </w:t>
      </w:r>
      <w:hyperlink r:id="rId8152">
        <w:r>
          <w:rPr>
            <w:color w:val="0000EE"/>
            <w:u w:val="single"/>
          </w:rPr>
          <w:t>20:34</w:t>
        </w:r>
      </w:hyperlink>
      <w:r>
        <w:t xml:space="preserve">; </w:t>
      </w:r>
      <w:hyperlink r:id="rId179">
        <w:r>
          <w:rPr>
            <w:color w:val="0000EE"/>
            <w:u w:val="single"/>
          </w:rPr>
          <w:t>28:30</w:t>
        </w:r>
      </w:hyperlink>
      <w:r>
        <w:t xml:space="preserve">; </w:t>
      </w:r>
      <w:hyperlink r:id="rId8153">
        <w:r>
          <w:rPr>
            <w:color w:val="0000EE"/>
            <w:u w:val="single"/>
          </w:rPr>
          <w:t>2 Corinthiens 11:9</w:t>
        </w:r>
      </w:hyperlink>
      <w:r>
        <w:t xml:space="preserve">; </w:t>
      </w:r>
      <w:hyperlink r:id="rId5523">
        <w:r>
          <w:rPr>
            <w:color w:val="0000EE"/>
            <w:u w:val="single"/>
          </w:rPr>
          <w:t>1 Thessaloniciens 2:9</w:t>
        </w:r>
      </w:hyperlink>
      <w:r>
        <w:t xml:space="preserve">; </w:t>
      </w:r>
      <w:hyperlink r:id="rId5524">
        <w:r>
          <w:rPr>
            <w:color w:val="0000EE"/>
            <w:u w:val="single"/>
          </w:rPr>
          <w:t>2 Thessaloniciens 3:8</w:t>
        </w:r>
      </w:hyperlink>
      <w:r>
        <w:t>).</w:t>
      </w:r>
    </w:p>
    <w:p>
      <w:pPr>
        <w:pStyle w:val="Heading3"/>
      </w:pPr>
      <w:r>
        <w:t>Éducation</w:t>
      </w:r>
    </w:p>
    <w:p>
      <w:r/>
      <w:r>
        <w:t>Bien que né à Tarse, Paul a déclaré aux Juifs de Jérusalem qu’il a grandi dans cette ville et qu’il a étudié sous le mentorat de Gamaliel (</w:t>
      </w:r>
      <w:hyperlink r:id="rId2725">
        <w:r>
          <w:rPr>
            <w:color w:val="0000EE"/>
            <w:u w:val="single"/>
          </w:rPr>
          <w:t>Actes 22:3</w:t>
        </w:r>
      </w:hyperlink>
      <w:r>
        <w:t>). Il est difficile de savoir exactement quand Paul a été amené à Jérusalem pour la première fois, mais il est probable qu’il a commencé ses études rabbiniques formelles entre 13 et 20 ans. Son maitre, Gamaliel, était le petit-fils de Hillel, fondateur d’une école pharisienne dont les enseignements figurent encore de nos jours dans les écrits talmudiques. Ce même Gamaliel, par sa sagesse, a persuadé le Sanhédrin d’épargner la vie de Pierre et des apôtres (</w:t>
      </w:r>
      <w:hyperlink r:id="rId8154">
        <w:r>
          <w:rPr>
            <w:color w:val="0000EE"/>
            <w:u w:val="single"/>
          </w:rPr>
          <w:t>5:33–40</w:t>
        </w:r>
      </w:hyperlink>
      <w:r>
        <w:t>). Il ne fait aucun doute qu’en étudiant sous le mentorat de Gamaliel, dans l’école d’Hillel, Paul a commencé à progresser dans le judaïsme au-delà de nombreux Juifs de son âge et est devenu extrêmement zélé pour les traditions de ses pères (</w:t>
      </w:r>
      <w:hyperlink r:id="rId8147">
        <w:r>
          <w:rPr>
            <w:color w:val="0000EE"/>
            <w:u w:val="single"/>
          </w:rPr>
          <w:t>Galates 1:14</w:t>
        </w:r>
      </w:hyperlink>
      <w:r>
        <w:t xml:space="preserve">). Peut-être aussi à ce moment-là, Paul a commencé à éprouver des difficultés en regard de la Loi, qu’il décrira plus tard en </w:t>
      </w:r>
      <w:hyperlink r:id="rId8155">
        <w:r>
          <w:rPr>
            <w:color w:val="0000EE"/>
            <w:u w:val="single"/>
          </w:rPr>
          <w:t>Romains 7</w:t>
        </w:r>
      </w:hyperlink>
      <w:r>
        <w:t>.</w:t>
      </w:r>
    </w:p>
    <w:p>
      <w:r/>
      <w:r>
        <w:t>Pendant que Paul étudiait la loi juive à Jérusalem, Jésus travaillait comme charpentier à Nazareth. Jésus a ainsi rassemblé les disciples qui seraient un jour les collaborateurs de Paul dans l’Évangile, a accompli son ministère et la rédemption sur la croix du Calvaire (30 av. J.-C.). La résurrection de Christ a donné naissance à l’Église, laquelle a été baptisée du Saint-Esprit lors de la fête de la Pentecôte à Jérusalem.</w:t>
      </w:r>
    </w:p>
    <w:p>
      <w:pPr>
        <w:pStyle w:val="Heading3"/>
      </w:pPr>
      <w:r>
        <w:t>Saul, le persécuteur</w:t>
      </w:r>
    </w:p>
    <w:p>
      <w:r/>
      <w:r>
        <w:t>Peu après ces événements qui ont bouleversé le monde, les membres de certaines synagogues de Jérusalem, dont la synagogue cilicienne, d’où Paul était originaire (</w:t>
      </w:r>
      <w:hyperlink r:id="rId383">
        <w:r>
          <w:rPr>
            <w:color w:val="0000EE"/>
            <w:u w:val="single"/>
          </w:rPr>
          <w:t>Actes 6:9</w:t>
        </w:r>
      </w:hyperlink>
      <w:r>
        <w:t xml:space="preserve">), n’ont pu résister à la sagesse et à l’Esprit par lequel parlait (verset </w:t>
      </w:r>
      <w:hyperlink r:id="rId8156">
        <w:r>
          <w:rPr>
            <w:color w:val="0000EE"/>
            <w:u w:val="single"/>
          </w:rPr>
          <w:t>10</w:t>
        </w:r>
      </w:hyperlink>
      <w:r>
        <w:t xml:space="preserve">) un membre de l'Église de Jérusalem nommé Étienne (versets </w:t>
      </w:r>
      <w:hyperlink r:id="rId8157">
        <w:r>
          <w:rPr>
            <w:color w:val="0000EE"/>
            <w:u w:val="single"/>
          </w:rPr>
          <w:t>5, 8</w:t>
        </w:r>
      </w:hyperlink>
      <w:r>
        <w:t xml:space="preserve">). Ils l’ont accusé de blasphème devant le Sanhédrin (versets </w:t>
      </w:r>
      <w:hyperlink r:id="rId8158">
        <w:r>
          <w:rPr>
            <w:color w:val="0000EE"/>
            <w:u w:val="single"/>
          </w:rPr>
          <w:t>11–15</w:t>
        </w:r>
      </w:hyperlink>
      <w:r>
        <w:t>) et après sa défense éloquente (</w:t>
      </w:r>
      <w:hyperlink r:id="rId5067">
        <w:r>
          <w:rPr>
            <w:color w:val="0000EE"/>
            <w:u w:val="single"/>
          </w:rPr>
          <w:t>7:1–53</w:t>
        </w:r>
      </w:hyperlink>
      <w:r>
        <w:t xml:space="preserve">) l'ont trainé hors de la ville, où il a été lapidé à mort. Il est devenu le premier martyr chrétien. Les archives ne révèlent pas entièrement le rôle de Paul dans ces événements, mais nous savons qu’il était présent et aux avant-postes parce que les témoins contre Étienne, qui devaient jeter les premières pierres lors de l’exécution, « déposèrent leurs vêtements aux pieds d’un jeune homme nommé Saul [Paul] » (verset </w:t>
      </w:r>
      <w:hyperlink r:id="rId8159">
        <w:r>
          <w:rPr>
            <w:color w:val="0000EE"/>
            <w:u w:val="single"/>
          </w:rPr>
          <w:t>58</w:t>
        </w:r>
      </w:hyperlink>
      <w:r>
        <w:t>, lsg).</w:t>
      </w:r>
    </w:p>
    <w:p>
      <w:r/>
      <w:r>
        <w:t>Lors du procès d’Étienne, Paul a entendu la méthode de défense historique d’Étienne, et il l’a ensuite utilisée lui-même à Antioche de Pisidie (</w:t>
      </w:r>
      <w:hyperlink r:id="rId8160">
        <w:r>
          <w:rPr>
            <w:color w:val="0000EE"/>
            <w:u w:val="single"/>
          </w:rPr>
          <w:t>Actes 13:16–41</w:t>
        </w:r>
      </w:hyperlink>
      <w:r>
        <w:t>). Il a été témoin de l’homme au visage d’ange (</w:t>
      </w:r>
      <w:hyperlink r:id="rId8161">
        <w:r>
          <w:rPr>
            <w:color w:val="0000EE"/>
            <w:u w:val="single"/>
          </w:rPr>
          <w:t>6:15</w:t>
        </w:r>
      </w:hyperlink>
      <w:r>
        <w:t>), rempli de l'Esprit Saint, regardant en haut et proclamant « les cieux ouverts, et le Fils de l’homme debout à la droite de Dieu » (</w:t>
      </w:r>
      <w:hyperlink r:id="rId5700">
        <w:r>
          <w:rPr>
            <w:color w:val="0000EE"/>
            <w:u w:val="single"/>
          </w:rPr>
          <w:t>7:56</w:t>
        </w:r>
      </w:hyperlink>
      <w:r>
        <w:t>). La mort d’Étienne a déclenché les événements qui ont abouti à la conversion de Paul et à sa mission en tant qu’apôtre des Païens. Cependant, à cette époque, Paul était le chef de file des oppresseurs de l’Église. Il proférait des menaces et perpétrait des meurtres contre les disciples du Seigneur (</w:t>
      </w:r>
      <w:hyperlink r:id="rId8162">
        <w:r>
          <w:rPr>
            <w:color w:val="0000EE"/>
            <w:u w:val="single"/>
          </w:rPr>
          <w:t>9:1</w:t>
        </w:r>
      </w:hyperlink>
      <w:r>
        <w:t>) ; il persécutait l’Église de Dieu et cherchait à la détruire (</w:t>
      </w:r>
      <w:hyperlink r:id="rId8163">
        <w:r>
          <w:rPr>
            <w:color w:val="0000EE"/>
            <w:u w:val="single"/>
          </w:rPr>
          <w:t>Galates 1:13</w:t>
        </w:r>
      </w:hyperlink>
      <w:r>
        <w:t>) en emprisonnant les chrétiens, hommes et femmes (</w:t>
      </w:r>
      <w:hyperlink r:id="rId8164">
        <w:r>
          <w:rPr>
            <w:color w:val="0000EE"/>
            <w:u w:val="single"/>
          </w:rPr>
          <w:t>Actes 22:4</w:t>
        </w:r>
      </w:hyperlink>
      <w:r>
        <w:t>), dans de nombreuses villes.</w:t>
      </w:r>
    </w:p>
    <w:p>
      <w:pPr>
        <w:pStyle w:val="Heading3"/>
      </w:pPr>
      <w:r>
        <w:t>Conversion et appel</w:t>
      </w:r>
    </w:p>
    <w:p>
      <w:r/>
      <w:r>
        <w:t>Paul avait obtenu du souverain sacrificateur de Jérusalem des lettres adressées aux synagogues de Damas l’autorisant à arrêter les chrétiens de cette ville et à les amener à Jérusalem afin qu’ils y soient jugés (</w:t>
      </w:r>
      <w:hyperlink r:id="rId8165">
        <w:r>
          <w:rPr>
            <w:color w:val="0000EE"/>
            <w:u w:val="single"/>
          </w:rPr>
          <w:t>Actes 9:1–2</w:t>
        </w:r>
      </w:hyperlink>
      <w:r>
        <w:t>). Paul se rendait à Damas dans ce but. En chemin, à la périphérie de la ville, s’est produit l’événement qui a transformé ce persécuteur de Jésus-Christ, respectueux de la loi, et destructeur blasphématoire de l’Église naissante, en principal propagateur de l’Évangile de la grâce et en bâtisseur de l’Église (</w:t>
      </w:r>
      <w:hyperlink r:id="rId8166">
        <w:r>
          <w:rPr>
            <w:color w:val="0000EE"/>
            <w:u w:val="single"/>
          </w:rPr>
          <w:t>1 Corinthiens 3:10</w:t>
        </w:r>
      </w:hyperlink>
      <w:r>
        <w:t xml:space="preserve">; </w:t>
      </w:r>
      <w:hyperlink r:id="rId8167">
        <w:r>
          <w:rPr>
            <w:color w:val="0000EE"/>
            <w:u w:val="single"/>
          </w:rPr>
          <w:t>1 Timothée 1:13</w:t>
        </w:r>
      </w:hyperlink>
      <w:r>
        <w:t>). Paul s’est converti sur ces entrefaites (c. av. 31–33 J.-C.). Cette conversion a été d’une telle importance révolutionnaire et durable qu’elle fait l’objet de trois récits détaillés dans le livre des Actes des Apôtres (</w:t>
      </w:r>
      <w:hyperlink r:id="rId1067">
        <w:r>
          <w:rPr>
            <w:color w:val="0000EE"/>
            <w:u w:val="single"/>
          </w:rPr>
          <w:t>Actes 9:1–19</w:t>
        </w:r>
      </w:hyperlink>
      <w:r>
        <w:t xml:space="preserve">; </w:t>
      </w:r>
      <w:hyperlink r:id="rId8168">
        <w:r>
          <w:rPr>
            <w:color w:val="0000EE"/>
            <w:u w:val="single"/>
          </w:rPr>
          <w:t>22:1–21</w:t>
        </w:r>
      </w:hyperlink>
      <w:r>
        <w:t xml:space="preserve">; </w:t>
      </w:r>
      <w:hyperlink r:id="rId8169">
        <w:r>
          <w:rPr>
            <w:color w:val="0000EE"/>
            <w:u w:val="single"/>
          </w:rPr>
          <w:t>26:1–23</w:t>
        </w:r>
      </w:hyperlink>
      <w:r>
        <w:t>), et de nombreuses références y sont faites dans les écrits de Paul lui-même (</w:t>
      </w:r>
      <w:hyperlink r:id="rId1062">
        <w:r>
          <w:rPr>
            <w:color w:val="0000EE"/>
            <w:u w:val="single"/>
          </w:rPr>
          <w:t>1 Corinthiens 9:1</w:t>
        </w:r>
      </w:hyperlink>
      <w:r>
        <w:t xml:space="preserve">; </w:t>
      </w:r>
      <w:hyperlink r:id="rId4938">
        <w:r>
          <w:rPr>
            <w:color w:val="0000EE"/>
            <w:u w:val="single"/>
          </w:rPr>
          <w:t>15:8</w:t>
        </w:r>
      </w:hyperlink>
      <w:r>
        <w:t xml:space="preserve">; </w:t>
      </w:r>
      <w:hyperlink r:id="rId1076">
        <w:r>
          <w:rPr>
            <w:color w:val="0000EE"/>
            <w:u w:val="single"/>
          </w:rPr>
          <w:t>Galates 1:15–16</w:t>
        </w:r>
      </w:hyperlink>
      <w:r>
        <w:t xml:space="preserve">; </w:t>
      </w:r>
      <w:hyperlink r:id="rId8170">
        <w:r>
          <w:rPr>
            <w:color w:val="0000EE"/>
            <w:u w:val="single"/>
          </w:rPr>
          <w:t>Éphésiens 3:3</w:t>
        </w:r>
      </w:hyperlink>
      <w:r>
        <w:t xml:space="preserve">; </w:t>
      </w:r>
      <w:hyperlink r:id="rId8171">
        <w:r>
          <w:rPr>
            <w:color w:val="0000EE"/>
            <w:u w:val="single"/>
          </w:rPr>
          <w:t>Philippiens 3:12</w:t>
        </w:r>
      </w:hyperlink>
      <w:r>
        <w:t>).</w:t>
      </w:r>
    </w:p>
    <w:p>
      <w:r/>
      <w:r>
        <w:t>À ce moment-là, Paul a vu en chemin resplendir autour de lui et de ses compagnons une lumière venant du ciel, et dont l’éclat surpassait celui du soleil (</w:t>
      </w:r>
      <w:hyperlink r:id="rId8172">
        <w:r>
          <w:rPr>
            <w:color w:val="0000EE"/>
            <w:u w:val="single"/>
          </w:rPr>
          <w:t>Actes 26:13–14</w:t>
        </w:r>
      </w:hyperlink>
      <w:r>
        <w:t xml:space="preserve">). Cependant, seul Paul a entendu la voix de Jésus lui confier sa mission de ministre et de témoin auprès des Païens (versets </w:t>
      </w:r>
      <w:hyperlink r:id="rId8173">
        <w:r>
          <w:rPr>
            <w:color w:val="0000EE"/>
            <w:u w:val="single"/>
          </w:rPr>
          <w:t>14–18</w:t>
        </w:r>
      </w:hyperlink>
      <w:r>
        <w:t>). Temporairement aveuglé, Paul a été conduit à Damas (</w:t>
      </w:r>
      <w:hyperlink r:id="rId8174">
        <w:r>
          <w:rPr>
            <w:color w:val="0000EE"/>
            <w:u w:val="single"/>
          </w:rPr>
          <w:t>9:8</w:t>
        </w:r>
      </w:hyperlink>
      <w:r>
        <w:t xml:space="preserve">). Là, le disciple Ananias et la communauté chrétienne ont pardonné à Paul, l’ont baptisé et l’ont aidé à traverser l’événement déconcertant de sa conversion (versets </w:t>
      </w:r>
      <w:hyperlink r:id="rId8175">
        <w:r>
          <w:rPr>
            <w:color w:val="0000EE"/>
            <w:u w:val="single"/>
          </w:rPr>
          <w:t>10–22</w:t>
        </w:r>
      </w:hyperlink>
      <w:r>
        <w:t xml:space="preserve">). Après une courte période passée au sein de l’Église, Paul a subi des menaces de mort de la part des Juifs à qui il prêchait Jésus (versets </w:t>
      </w:r>
      <w:hyperlink r:id="rId8176">
        <w:r>
          <w:rPr>
            <w:color w:val="0000EE"/>
            <w:u w:val="single"/>
          </w:rPr>
          <w:t>20–22</w:t>
        </w:r>
      </w:hyperlink>
      <w:r>
        <w:t xml:space="preserve">), mais les chrétiens l’ont protégé, le délivrant ainsi de ses persécuteurs d’une manière ingénieuse (versets </w:t>
      </w:r>
      <w:hyperlink r:id="rId3559">
        <w:r>
          <w:rPr>
            <w:color w:val="0000EE"/>
            <w:u w:val="single"/>
          </w:rPr>
          <w:t>23–25</w:t>
        </w:r>
      </w:hyperlink>
      <w:r>
        <w:t>).</w:t>
      </w:r>
    </w:p>
    <w:p>
      <w:pPr>
        <w:pStyle w:val="Heading3"/>
      </w:pPr>
      <w:r>
        <w:t>Préparation au ministère</w:t>
      </w:r>
    </w:p>
    <w:p>
      <w:r/>
      <w:r>
        <w:t>Paul est donc entré dans une période de préparation qui durera environ 13 ans. Pendant cette période, Paul a d’abord passé trois ans dans le désert d’Arabie. Là, il a pu prier et méditer sur la défense d’Étienne devant le Sanhédrin, sur l’importance capitale de sa conversion, sur la vision qu’il a reçue de Jésus-Christ et sur la signification de tous ces événements à la lumière de la théologie juive. Paul est ensuite retourné à Damas, puis a rendu visite à Pierre à Jérusalem pendant 15 jours (</w:t>
      </w:r>
      <w:hyperlink r:id="rId8177">
        <w:r>
          <w:rPr>
            <w:color w:val="0000EE"/>
            <w:u w:val="single"/>
          </w:rPr>
          <w:t>Galates 1:17–18</w:t>
        </w:r>
      </w:hyperlink>
      <w:r>
        <w:t>).</w:t>
      </w:r>
    </w:p>
    <w:p>
      <w:r/>
      <w:r>
        <w:t>Au début, les disciples de Jérusalem avaient peur de Saul parce qu’ils ne croyaient pas qu’il était un disciple de Jésus (</w:t>
      </w:r>
      <w:hyperlink r:id="rId8178">
        <w:r>
          <w:rPr>
            <w:color w:val="0000EE"/>
            <w:u w:val="single"/>
          </w:rPr>
          <w:t>Actes 9:26</w:t>
        </w:r>
      </w:hyperlink>
      <w:r>
        <w:t xml:space="preserve">), mais Barnabas l’a pris avec lui et les disciples de Jérusalem l’ont accepté (versets </w:t>
      </w:r>
      <w:hyperlink r:id="rId8179">
        <w:r>
          <w:rPr>
            <w:color w:val="0000EE"/>
            <w:u w:val="single"/>
          </w:rPr>
          <w:t>27–28</w:t>
        </w:r>
      </w:hyperlink>
      <w:r>
        <w:t>). Pendant son séjour à Jérusalem, Paul a sans doute entendu l’évangile oral, un résumé des paroles et des actes de Jésus, transmis à tous les convertis. Paul aurait ainsi reçu l’enseignement sur l’institution de la Sainte Cène (</w:t>
      </w:r>
      <w:hyperlink r:id="rId8180">
        <w:r>
          <w:rPr>
            <w:color w:val="0000EE"/>
            <w:u w:val="single"/>
          </w:rPr>
          <w:t>1 Corinthiens 11:23–25</w:t>
        </w:r>
      </w:hyperlink>
      <w:r>
        <w:t>), sur les paroles spécifiques du Seigneur (</w:t>
      </w:r>
      <w:hyperlink r:id="rId8181">
        <w:r>
          <w:rPr>
            <w:color w:val="0000EE"/>
            <w:u w:val="single"/>
          </w:rPr>
          <w:t>Actes 20:35</w:t>
        </w:r>
      </w:hyperlink>
      <w:r>
        <w:t xml:space="preserve">; </w:t>
      </w:r>
      <w:hyperlink r:id="rId8182">
        <w:r>
          <w:rPr>
            <w:color w:val="0000EE"/>
            <w:u w:val="single"/>
          </w:rPr>
          <w:t>1 Corinthiens 7:10</w:t>
        </w:r>
      </w:hyperlink>
      <w:r>
        <w:t xml:space="preserve">; </w:t>
      </w:r>
      <w:hyperlink r:id="rId8183">
        <w:r>
          <w:rPr>
            <w:color w:val="0000EE"/>
            <w:u w:val="single"/>
          </w:rPr>
          <w:t>9:14</w:t>
        </w:r>
      </w:hyperlink>
      <w:r>
        <w:t>), sur les apparitions du Christ ressuscité (</w:t>
      </w:r>
      <w:hyperlink r:id="rId1066">
        <w:r>
          <w:rPr>
            <w:color w:val="0000EE"/>
            <w:u w:val="single"/>
          </w:rPr>
          <w:t>1 Corinthiens 15:3–8</w:t>
        </w:r>
      </w:hyperlink>
      <w:r>
        <w:t>), l'esprit et le caractère de Jésus (</w:t>
      </w:r>
      <w:hyperlink r:id="rId3170">
        <w:r>
          <w:rPr>
            <w:color w:val="0000EE"/>
            <w:u w:val="single"/>
          </w:rPr>
          <w:t>2 Corinthiens 10:1</w:t>
        </w:r>
      </w:hyperlink>
      <w:r>
        <w:t xml:space="preserve">; </w:t>
      </w:r>
      <w:hyperlink r:id="rId6572">
        <w:r>
          <w:rPr>
            <w:color w:val="0000EE"/>
            <w:u w:val="single"/>
          </w:rPr>
          <w:t>Philippiens 2:5–8</w:t>
        </w:r>
      </w:hyperlink>
      <w:r>
        <w:t>). Paul a également prêché à Jérusalem, peut-être dans les synagogues où il avait entendu les messages d’Étienne. Cependant, lorsque les Juifs ont à nouveau menacé sa vie, les disciples l’ont renvoyé à Tarse (</w:t>
      </w:r>
      <w:hyperlink r:id="rId8184">
        <w:r>
          <w:rPr>
            <w:color w:val="0000EE"/>
            <w:u w:val="single"/>
          </w:rPr>
          <w:t>Actes 9:29–30</w:t>
        </w:r>
      </w:hyperlink>
      <w:r>
        <w:t xml:space="preserve">; </w:t>
      </w:r>
      <w:hyperlink r:id="rId2727">
        <w:r>
          <w:rPr>
            <w:color w:val="0000EE"/>
            <w:u w:val="single"/>
          </w:rPr>
          <w:t>Galates 1:21</w:t>
        </w:r>
      </w:hyperlink>
      <w:r>
        <w:t>).</w:t>
      </w:r>
    </w:p>
    <w:p>
      <w:r/>
      <w:r>
        <w:t>La préparation au ministère de Paul s’est achevée lorsque Barnabas est allé le chercher à Tarse pour l’amener à Antioche. Paul a vécu dix ans en Cilicie. Depuis sa conversion, avant d’être envoyé à Tarse, il prêchait que Jésus est le Fils de Dieu (</w:t>
      </w:r>
      <w:hyperlink r:id="rId8185">
        <w:r>
          <w:rPr>
            <w:color w:val="0000EE"/>
            <w:u w:val="single"/>
          </w:rPr>
          <w:t>Actes 9:20</w:t>
        </w:r>
      </w:hyperlink>
      <w:r>
        <w:t xml:space="preserve">), parlant hardiment au nom du Seigneur (verset </w:t>
      </w:r>
      <w:hyperlink r:id="rId7126">
        <w:r>
          <w:rPr>
            <w:color w:val="0000EE"/>
            <w:u w:val="single"/>
          </w:rPr>
          <w:t>27</w:t>
        </w:r>
      </w:hyperlink>
      <w:r>
        <w:t xml:space="preserve">). Il est clair que Paul affichait le même zèle lorsqu’il vivait parmi les Païens en Cilicie. En fait, son ministère était peut-être si efficace qu’il a commencé à attirer l’attention des gens à Antioche. Au cours de ces années, Paul a probablement subi plusieurs des souffrances mentionnées en </w:t>
      </w:r>
      <w:hyperlink r:id="rId8186">
        <w:r>
          <w:rPr>
            <w:color w:val="0000EE"/>
            <w:u w:val="single"/>
          </w:rPr>
          <w:t>2 Corinthiens 11:24–26</w:t>
        </w:r>
      </w:hyperlink>
      <w:r>
        <w:t xml:space="preserve">. Plusieurs érudits pensent que l’expérience extatique mentionnée en </w:t>
      </w:r>
      <w:hyperlink r:id="rId8187">
        <w:r>
          <w:rPr>
            <w:color w:val="0000EE"/>
            <w:u w:val="single"/>
          </w:rPr>
          <w:t>2 Corinthiens 12:1–9</w:t>
        </w:r>
      </w:hyperlink>
      <w:r>
        <w:t>avec l’épine dans la chair qui la caractérise, a également eu lieu avant son arrivée à Antioche.</w:t>
      </w:r>
    </w:p>
    <w:p>
      <w:pPr>
        <w:pStyle w:val="Heading3"/>
      </w:pPr>
      <w:r>
        <w:t>Envoyé d’Antioche</w:t>
      </w:r>
    </w:p>
    <w:p>
      <w:r/>
      <w:r>
        <w:t>L’Église d’Antioche tire son origine dans la persécution montée par Paul après la mort d’Étienne. Jusqu’à leur arrivée à Antioche, les disciples dispersés n’avaient prêché la parole qu’aux Juifs (</w:t>
      </w:r>
      <w:hyperlink r:id="rId997">
        <w:r>
          <w:rPr>
            <w:color w:val="0000EE"/>
            <w:u w:val="single"/>
          </w:rPr>
          <w:t>Actes 11:19</w:t>
        </w:r>
      </w:hyperlink>
      <w:r>
        <w:t xml:space="preserve">). Les Païens ont ainsi entendu la Bonne nouvelle pour la première fois (verset </w:t>
      </w:r>
      <w:hyperlink r:id="rId3033">
        <w:r>
          <w:rPr>
            <w:color w:val="0000EE"/>
            <w:u w:val="single"/>
          </w:rPr>
          <w:t>20</w:t>
        </w:r>
      </w:hyperlink>
      <w:r>
        <w:t xml:space="preserve">), et plusieurs personnes ont cru et se sont converties au Seigneur (verset </w:t>
      </w:r>
      <w:hyperlink r:id="rId8188">
        <w:r>
          <w:rPr>
            <w:color w:val="0000EE"/>
            <w:u w:val="single"/>
          </w:rPr>
          <w:t>21</w:t>
        </w:r>
      </w:hyperlink>
      <w:r>
        <w:t>). Il est normal que Paul, l’apôtre des Païens (</w:t>
      </w:r>
      <w:hyperlink r:id="rId8189">
        <w:r>
          <w:rPr>
            <w:color w:val="0000EE"/>
            <w:u w:val="single"/>
          </w:rPr>
          <w:t>Actes 22:21</w:t>
        </w:r>
      </w:hyperlink>
      <w:r>
        <w:t xml:space="preserve">; </w:t>
      </w:r>
      <w:hyperlink r:id="rId8190">
        <w:r>
          <w:rPr>
            <w:color w:val="0000EE"/>
            <w:u w:val="single"/>
          </w:rPr>
          <w:t>Romains 11:13</w:t>
        </w:r>
      </w:hyperlink>
      <w:r>
        <w:t>), encore inconnu des églises de Judée (</w:t>
      </w:r>
      <w:hyperlink r:id="rId8191">
        <w:r>
          <w:rPr>
            <w:color w:val="0000EE"/>
            <w:u w:val="single"/>
          </w:rPr>
          <w:t>Galates 1:22</w:t>
        </w:r>
      </w:hyperlink>
      <w:r>
        <w:t>), aille à Antioche pour commencer officiellement le ministère auquel il avait été appelé (</w:t>
      </w:r>
      <w:hyperlink r:id="rId8192">
        <w:r>
          <w:rPr>
            <w:color w:val="0000EE"/>
            <w:u w:val="single"/>
          </w:rPr>
          <w:t>Actes 26:17–18</w:t>
        </w:r>
      </w:hyperlink>
      <w:r>
        <w:t>).</w:t>
      </w:r>
    </w:p>
    <w:p>
      <w:r/>
      <w:r>
        <w:t>Barnabas et Paul sont restés avec l’Église d’Antioche pendant un an. Ils y ont réussi leur mission avec brio qu’un nouveau nom, chrétien, a vu le jour pour distinguer les disciples d’Antioche des Païens et des Juifs (</w:t>
      </w:r>
      <w:hyperlink r:id="rId999">
        <w:r>
          <w:rPr>
            <w:color w:val="0000EE"/>
            <w:u w:val="single"/>
          </w:rPr>
          <w:t>Actes 11:26</w:t>
        </w:r>
      </w:hyperlink>
      <w:r>
        <w:t xml:space="preserve">). Ayant entendu parler de la famine en Judée, les disciples d’Antioche ont décidé de voler au secours des disciples de Judée, don qu’ils ont envoyé par l’intermédiaire de Barnabas et de Paul (verset </w:t>
      </w:r>
      <w:hyperlink r:id="rId2615">
        <w:r>
          <w:rPr>
            <w:color w:val="0000EE"/>
            <w:u w:val="single"/>
          </w:rPr>
          <w:t>30</w:t>
        </w:r>
      </w:hyperlink>
      <w:r>
        <w:t>). Ce don a montré aux Églises juives la puissance de l’Évangile parmi les Païens. Leur mission achevée, Barnabas et Paul sont rentrés à Antioche avec Jean Marc (</w:t>
      </w:r>
      <w:hyperlink r:id="rId157">
        <w:r>
          <w:rPr>
            <w:color w:val="0000EE"/>
            <w:u w:val="single"/>
          </w:rPr>
          <w:t>12:25</w:t>
        </w:r>
      </w:hyperlink>
      <w:r>
        <w:t>), le cousin de Barnabas (</w:t>
      </w:r>
      <w:hyperlink r:id="rId1695">
        <w:r>
          <w:rPr>
            <w:color w:val="0000EE"/>
            <w:u w:val="single"/>
          </w:rPr>
          <w:t>Colossiens 4:10</w:t>
        </w:r>
      </w:hyperlink>
      <w:r>
        <w:t>).</w:t>
      </w:r>
    </w:p>
    <w:p>
      <w:r/>
      <w:r>
        <w:t>Depuis le jour de la Pentecôte, l’œuvre d’évangélisation était superficielle et occasionnelle. Les contacts se faisaient dans les maisons, les marchés, les rues, les synagogues, sur les routes, etc. (</w:t>
      </w:r>
      <w:hyperlink r:id="rId7769">
        <w:r>
          <w:rPr>
            <w:color w:val="0000EE"/>
            <w:u w:val="single"/>
          </w:rPr>
          <w:t>Actes 3:1</w:t>
        </w:r>
      </w:hyperlink>
      <w:r>
        <w:t xml:space="preserve">; </w:t>
      </w:r>
      <w:hyperlink r:id="rId8193">
        <w:r>
          <w:rPr>
            <w:color w:val="0000EE"/>
            <w:u w:val="single"/>
          </w:rPr>
          <w:t>5:12, 42</w:t>
        </w:r>
      </w:hyperlink>
      <w:r>
        <w:t xml:space="preserve">; </w:t>
      </w:r>
      <w:hyperlink r:id="rId8194">
        <w:r>
          <w:rPr>
            <w:color w:val="0000EE"/>
            <w:u w:val="single"/>
          </w:rPr>
          <w:t>8:26–29</w:t>
        </w:r>
      </w:hyperlink>
      <w:r>
        <w:t xml:space="preserve">; </w:t>
      </w:r>
      <w:hyperlink r:id="rId8195">
        <w:r>
          <w:rPr>
            <w:color w:val="0000EE"/>
            <w:u w:val="single"/>
          </w:rPr>
          <w:t>10:22</w:t>
        </w:r>
      </w:hyperlink>
      <w:r>
        <w:t>). Toutefois, à Antioche, le Saint-Esprit a suscité un effort déterminé pour évangéliser une partie de l’Empire romain (</w:t>
      </w:r>
      <w:hyperlink r:id="rId158">
        <w:r>
          <w:rPr>
            <w:color w:val="0000EE"/>
            <w:u w:val="single"/>
          </w:rPr>
          <w:t>13:1–3</w:t>
        </w:r>
      </w:hyperlink>
      <w:r>
        <w:t xml:space="preserve">). Selon les instructions du Saint-Esprit, l’Église a séparé Barnabas et Paul pour cette œuvre. Avec les prières et les encouragements de cette Église, et avec Jean Marc comme assistant, Barnabas et Paul, envoyés par l’Esprit Saint, ont mis le cap sur Chypre (verset </w:t>
      </w:r>
      <w:hyperlink r:id="rId8196">
        <w:r>
          <w:rPr>
            <w:color w:val="0000EE"/>
            <w:u w:val="single"/>
          </w:rPr>
          <w:t>4</w:t>
        </w:r>
      </w:hyperlink>
      <w:r>
        <w:t>).</w:t>
      </w:r>
    </w:p>
    <w:p>
      <w:pPr>
        <w:pStyle w:val="Heading3"/>
      </w:pPr>
      <w:r>
        <w:t>Voyage avec Barnabas</w:t>
      </w:r>
    </w:p>
    <w:p>
      <w:r/>
      <w:r>
        <w:t>Arrivés à Salamine, ils ont prêché dans les synagogues en parcourant l’île jusqu’à Paphos (</w:t>
      </w:r>
      <w:hyperlink r:id="rId8197">
        <w:r>
          <w:rPr>
            <w:color w:val="0000EE"/>
            <w:u w:val="single"/>
          </w:rPr>
          <w:t>Actes 13:5–6</w:t>
        </w:r>
      </w:hyperlink>
      <w:r>
        <w:t xml:space="preserve">). Le proconsul romain, Sergius Paulus, a manifesté le désir d’entendre la Parole de Dieu (verset </w:t>
      </w:r>
      <w:hyperlink r:id="rId8198">
        <w:r>
          <w:rPr>
            <w:color w:val="0000EE"/>
            <w:u w:val="single"/>
          </w:rPr>
          <w:t>7</w:t>
        </w:r>
      </w:hyperlink>
      <w:r>
        <w:t xml:space="preserve">). Un magicien nommé Élymas Bar-Jésus voulait empêcher le proconsul de croire en Jésus, mais il a été frappé de cécité temporaire sur l’ordre de Paul (versets </w:t>
      </w:r>
      <w:hyperlink r:id="rId8199">
        <w:r>
          <w:rPr>
            <w:color w:val="0000EE"/>
            <w:u w:val="single"/>
          </w:rPr>
          <w:t>8–11</w:t>
        </w:r>
      </w:hyperlink>
      <w:r>
        <w:t>). Il s’agit de la première manifestation chez Paul des preuves de l’apostolat (</w:t>
      </w:r>
      <w:hyperlink r:id="rId8200">
        <w:r>
          <w:rPr>
            <w:color w:val="0000EE"/>
            <w:u w:val="single"/>
          </w:rPr>
          <w:t>2 Corinthiens 12:12</w:t>
        </w:r>
      </w:hyperlink>
      <w:r>
        <w:t>). À partir de ce moment, Luc utilisait le nom de Paul, et non celui de Saul, dans le récit des Actes des Apôtres (</w:t>
      </w:r>
      <w:hyperlink r:id="rId152">
        <w:r>
          <w:rPr>
            <w:color w:val="0000EE"/>
            <w:u w:val="single"/>
          </w:rPr>
          <w:t>Actes 13:9</w:t>
        </w:r>
      </w:hyperlink>
      <w:r>
        <w:t xml:space="preserve">), et Paul a remplacé Barnabas à la tête du groupe. Ainsi, « Paul et ses compagnons » partent de Paphos et arrivent à Perge, en Pamphylie (verset </w:t>
      </w:r>
      <w:hyperlink r:id="rId1696">
        <w:r>
          <w:rPr>
            <w:color w:val="0000EE"/>
            <w:u w:val="single"/>
          </w:rPr>
          <w:t>13</w:t>
        </w:r>
      </w:hyperlink>
      <w:r>
        <w:t xml:space="preserve">). Jean Marc se sépare d’eux à Perge et retourne chez lui à Jérusalem (verset </w:t>
      </w:r>
      <w:hyperlink r:id="rId1696">
        <w:r>
          <w:rPr>
            <w:color w:val="0000EE"/>
            <w:u w:val="single"/>
          </w:rPr>
          <w:t>13</w:t>
        </w:r>
      </w:hyperlink>
      <w:r>
        <w:t>). Cette séparation a provoqué une discorde (</w:t>
      </w:r>
      <w:hyperlink r:id="rId2654">
        <w:r>
          <w:rPr>
            <w:color w:val="0000EE"/>
            <w:u w:val="single"/>
          </w:rPr>
          <w:t>15:39</w:t>
        </w:r>
      </w:hyperlink>
      <w:r>
        <w:t>), mais Paul et Marc se sont réconciliés par la suite (</w:t>
      </w:r>
      <w:hyperlink r:id="rId1695">
        <w:r>
          <w:rPr>
            <w:color w:val="0000EE"/>
            <w:u w:val="single"/>
          </w:rPr>
          <w:t>Colossiens 4:10</w:t>
        </w:r>
      </w:hyperlink>
      <w:r>
        <w:t xml:space="preserve">; </w:t>
      </w:r>
      <w:hyperlink r:id="rId128">
        <w:r>
          <w:rPr>
            <w:color w:val="0000EE"/>
            <w:u w:val="single"/>
          </w:rPr>
          <w:t>2 Timothée 4:11</w:t>
        </w:r>
      </w:hyperlink>
      <w:r>
        <w:t>).</w:t>
      </w:r>
    </w:p>
    <w:p>
      <w:r/>
      <w:r>
        <w:t>Les voyages missionnaires de Paul se sont poursuivis dans la province romaine d’Asie, en particulier dans la partie sud de la Galatie, dans les régions de Pamphylie, de Pisidie et de Lycaonie. La région côtière où le groupe a débarqué est une région chaude et impaludée. Tout porte à croire que Paul y a contracté le paludisme et qu’il s’est rendu dans la région, à travers les montagnes, jusqu’aux hauts plateaux de 4 000 pieds (1 219,2 mètres). Un tel voyage aurait été parsemé de rivières dangereuses et de bandits (</w:t>
      </w:r>
      <w:hyperlink r:id="rId8201">
        <w:r>
          <w:rPr>
            <w:color w:val="0000EE"/>
            <w:u w:val="single"/>
          </w:rPr>
          <w:t>2 Corinthiens 11:26</w:t>
        </w:r>
      </w:hyperlink>
      <w:r>
        <w:t>), mais les montagnards galates ont bien accueilli Paul à son arrivée (</w:t>
      </w:r>
      <w:hyperlink r:id="rId8202">
        <w:r>
          <w:rPr>
            <w:color w:val="0000EE"/>
            <w:u w:val="single"/>
          </w:rPr>
          <w:t>Galates 4:13–15</w:t>
        </w:r>
      </w:hyperlink>
      <w:r>
        <w:t>) et il a été récompensé par un accueil chaleureux de son message (</w:t>
      </w:r>
      <w:hyperlink r:id="rId8203">
        <w:r>
          <w:rPr>
            <w:color w:val="0000EE"/>
            <w:u w:val="single"/>
          </w:rPr>
          <w:t>Actes 13:48–49</w:t>
        </w:r>
      </w:hyperlink>
      <w:r>
        <w:t>).</w:t>
      </w:r>
    </w:p>
    <w:p>
      <w:r/>
      <w:r>
        <w:t>Paul et Barnabas ont été invités à prêcher la parole dans la synagogue d’Antioche en Pisidie (</w:t>
      </w:r>
      <w:hyperlink r:id="rId2449">
        <w:r>
          <w:rPr>
            <w:color w:val="0000EE"/>
            <w:u w:val="single"/>
          </w:rPr>
          <w:t>Actes 13:15</w:t>
        </w:r>
      </w:hyperlink>
      <w:r>
        <w:t xml:space="preserve">), et Paul a prêché un message bourré des caractéristiques de l’Évangile qu’il inscrirait plus tard dans ses lettres aux Églises (versets </w:t>
      </w:r>
      <w:hyperlink r:id="rId8160">
        <w:r>
          <w:rPr>
            <w:color w:val="0000EE"/>
            <w:u w:val="single"/>
          </w:rPr>
          <w:t>16–41</w:t>
        </w:r>
      </w:hyperlink>
      <w:r>
        <w:t xml:space="preserve">). Il est invité à prêcher la semaine suivante (verset </w:t>
      </w:r>
      <w:hyperlink r:id="rId990">
        <w:r>
          <w:rPr>
            <w:color w:val="0000EE"/>
            <w:u w:val="single"/>
          </w:rPr>
          <w:t>42</w:t>
        </w:r>
      </w:hyperlink>
      <w:r>
        <w:t xml:space="preserve">) ; presque toute la ville s’est rassemblée pour écouter la Parole de Dieu (verset </w:t>
      </w:r>
      <w:hyperlink r:id="rId8204">
        <w:r>
          <w:rPr>
            <w:color w:val="0000EE"/>
            <w:u w:val="single"/>
          </w:rPr>
          <w:t>44</w:t>
        </w:r>
      </w:hyperlink>
      <w:r>
        <w:t xml:space="preserve">). Son succès a suscité la jalousie des Juifs qui se sont opposés aux paroles de Paul (verset </w:t>
      </w:r>
      <w:hyperlink r:id="rId991">
        <w:r>
          <w:rPr>
            <w:color w:val="0000EE"/>
            <w:u w:val="single"/>
          </w:rPr>
          <w:t>45</w:t>
        </w:r>
      </w:hyperlink>
      <w:r>
        <w:t xml:space="preserve">), ce qui a amené les apôtres à se tourner vers les Païens (versets </w:t>
      </w:r>
      <w:hyperlink r:id="rId8205">
        <w:r>
          <w:rPr>
            <w:color w:val="0000EE"/>
            <w:u w:val="single"/>
          </w:rPr>
          <w:t>46–47</w:t>
        </w:r>
      </w:hyperlink>
      <w:r>
        <w:t xml:space="preserve">). De nombreux Païens d’Antioche ont cru et ont répandu la parole dans toute la région, mais Paul et Barnabas ont été chassés et sont allés à Iconium en Lycaonie (versets </w:t>
      </w:r>
      <w:hyperlink r:id="rId8206">
        <w:r>
          <w:rPr>
            <w:color w:val="0000EE"/>
            <w:u w:val="single"/>
          </w:rPr>
          <w:t>48–51</w:t>
        </w:r>
      </w:hyperlink>
      <w:r>
        <w:t>).</w:t>
      </w:r>
    </w:p>
    <w:p>
      <w:r/>
      <w:r>
        <w:t>Le succès d’Antioche s’est reproduit à Iconium, tout comme l’opposition des Juifs (</w:t>
      </w:r>
      <w:hyperlink r:id="rId6105">
        <w:r>
          <w:rPr>
            <w:color w:val="0000EE"/>
            <w:u w:val="single"/>
          </w:rPr>
          <w:t>Actes 14:1</w:t>
        </w:r>
      </w:hyperlink>
      <w:r>
        <w:t xml:space="preserve">), et les apôtres ont fui la menace d’une lapidation à Lystre et à Derbe en Lycaonie (versets </w:t>
      </w:r>
      <w:hyperlink r:id="rId8207">
        <w:r>
          <w:rPr>
            <w:color w:val="0000EE"/>
            <w:u w:val="single"/>
          </w:rPr>
          <w:t>5–6</w:t>
        </w:r>
      </w:hyperlink>
      <w:r>
        <w:t xml:space="preserve">). À Lystre, les preuves de l’apostolat de Paul se sont manifestées à nouveau, Paul ayant guéri un homme infirme depuis sa naissance (versets </w:t>
      </w:r>
      <w:hyperlink r:id="rId8208">
        <w:r>
          <w:rPr>
            <w:color w:val="0000EE"/>
            <w:u w:val="single"/>
          </w:rPr>
          <w:t>8–10</w:t>
        </w:r>
      </w:hyperlink>
      <w:r>
        <w:t xml:space="preserve">). Cependant, les citoyens idolâtres de la ville, étant stimulés par la croyance populaire selon laquelle Jupiter, accompagné de Mercure, avait autrefois visité leur région, ont adoré Paul et Barnabas comme ces divinités (versets </w:t>
      </w:r>
      <w:hyperlink r:id="rId8209">
        <w:r>
          <w:rPr>
            <w:color w:val="0000EE"/>
            <w:u w:val="single"/>
          </w:rPr>
          <w:t>11–13</w:t>
        </w:r>
      </w:hyperlink>
      <w:r>
        <w:t xml:space="preserve">). Malgré les paroles convaincantes de Paul, qu’ils considéraient comme Mercure, les foules ont offert un sacrifice (versets </w:t>
      </w:r>
      <w:hyperlink r:id="rId8210">
        <w:r>
          <w:rPr>
            <w:color w:val="0000EE"/>
            <w:u w:val="single"/>
          </w:rPr>
          <w:t>14–18</w:t>
        </w:r>
      </w:hyperlink>
      <w:r>
        <w:t>).</w:t>
      </w:r>
    </w:p>
    <w:p>
      <w:r/>
      <w:r>
        <w:t>À Lystre, Paul a goûté pour la première fois le même traitement que celui qu’il avait administré aux chrétiens. Les Juifs l’ont lapidé, l’ont trainé hors de la ville et l’ont laissé pour mort (</w:t>
      </w:r>
      <w:hyperlink r:id="rId994">
        <w:r>
          <w:rPr>
            <w:color w:val="0000EE"/>
            <w:u w:val="single"/>
          </w:rPr>
          <w:t>Actes 14:19</w:t>
        </w:r>
      </w:hyperlink>
      <w:r>
        <w:t>). Timothée (</w:t>
      </w:r>
      <w:hyperlink r:id="rId6106">
        <w:r>
          <w:rPr>
            <w:color w:val="0000EE"/>
            <w:u w:val="single"/>
          </w:rPr>
          <w:t>16:1–3</w:t>
        </w:r>
      </w:hyperlink>
      <w:r>
        <w:t>) était sans doute parmi les nouveaux convertis qui entouraient Paul alors qu’il était couché à l’extérieur de la porte (</w:t>
      </w:r>
      <w:hyperlink r:id="rId3726">
        <w:r>
          <w:rPr>
            <w:color w:val="0000EE"/>
            <w:u w:val="single"/>
          </w:rPr>
          <w:t>14:20</w:t>
        </w:r>
      </w:hyperlink>
      <w:r>
        <w:t>). Timothée était le fils de Paul dans la foi (</w:t>
      </w:r>
      <w:hyperlink r:id="rId4552">
        <w:r>
          <w:rPr>
            <w:color w:val="0000EE"/>
            <w:u w:val="single"/>
          </w:rPr>
          <w:t>1 Corinthiens 4:17</w:t>
        </w:r>
      </w:hyperlink>
      <w:r>
        <w:t xml:space="preserve">; </w:t>
      </w:r>
      <w:hyperlink r:id="rId8211">
        <w:r>
          <w:rPr>
            <w:color w:val="0000EE"/>
            <w:u w:val="single"/>
          </w:rPr>
          <w:t>1 Timothée 1:2</w:t>
        </w:r>
      </w:hyperlink>
      <w:r>
        <w:t>), témoin oculaire de ses souffrances (</w:t>
      </w:r>
      <w:hyperlink r:id="rId8212">
        <w:r>
          <w:rPr>
            <w:color w:val="0000EE"/>
            <w:u w:val="single"/>
          </w:rPr>
          <w:t>2 Timothée 3:10–11</w:t>
        </w:r>
      </w:hyperlink>
      <w:r>
        <w:t>), compagnon fidèle et partenaire de travail (</w:t>
      </w:r>
      <w:hyperlink r:id="rId4761">
        <w:r>
          <w:rPr>
            <w:color w:val="0000EE"/>
            <w:u w:val="single"/>
          </w:rPr>
          <w:t>Actes 19:22</w:t>
        </w:r>
      </w:hyperlink>
      <w:r>
        <w:t xml:space="preserve">; </w:t>
      </w:r>
      <w:hyperlink r:id="rId1302">
        <w:r>
          <w:rPr>
            <w:color w:val="0000EE"/>
            <w:u w:val="single"/>
          </w:rPr>
          <w:t>20:4</w:t>
        </w:r>
      </w:hyperlink>
      <w:r>
        <w:t xml:space="preserve">; </w:t>
      </w:r>
      <w:hyperlink r:id="rId7113">
        <w:r>
          <w:rPr>
            <w:color w:val="0000EE"/>
            <w:u w:val="single"/>
          </w:rPr>
          <w:t>Romains 16:21</w:t>
        </w:r>
      </w:hyperlink>
      <w:r>
        <w:t xml:space="preserve">; </w:t>
      </w:r>
      <w:hyperlink r:id="rId2972">
        <w:r>
          <w:rPr>
            <w:color w:val="0000EE"/>
            <w:u w:val="single"/>
          </w:rPr>
          <w:t>1 Thessaloniciens 3:2</w:t>
        </w:r>
      </w:hyperlink>
      <w:r>
        <w:t>). Le lendemain, Barnabas et Paul ont débarqué à Derbe (</w:t>
      </w:r>
      <w:hyperlink r:id="rId3726">
        <w:r>
          <w:rPr>
            <w:color w:val="0000EE"/>
            <w:u w:val="single"/>
          </w:rPr>
          <w:t>Actes 14:20</w:t>
        </w:r>
      </w:hyperlink>
      <w:r>
        <w:t>).</w:t>
      </w:r>
    </w:p>
    <w:p>
      <w:r/>
      <w:r>
        <w:t>Après avoir fait de nombreux disciples à Derbe, les apôtres ont fait chemin retour en passant par Lystre, Iconium et Antioche de Pisidie, fortifiant et encourageant les nouveaux convertis et nommant des anciens dans chaque église (</w:t>
      </w:r>
      <w:hyperlink r:id="rId8213">
        <w:r>
          <w:rPr>
            <w:color w:val="0000EE"/>
            <w:u w:val="single"/>
          </w:rPr>
          <w:t>Actes 14:21–23</w:t>
        </w:r>
      </w:hyperlink>
      <w:r>
        <w:t xml:space="preserve">). Arrivés à Perge, ils sont partis à Antioche de Syrie, où ils ont annoncé à l’église la merveilleuse nouvelle que Dieu a ouvert une porte de la foi chez les Païens (versets </w:t>
      </w:r>
      <w:hyperlink r:id="rId8214">
        <w:r>
          <w:rPr>
            <w:color w:val="0000EE"/>
            <w:u w:val="single"/>
          </w:rPr>
          <w:t>25–27</w:t>
        </w:r>
      </w:hyperlink>
      <w:r>
        <w:t>).</w:t>
      </w:r>
    </w:p>
    <w:p>
      <w:pPr>
        <w:pStyle w:val="Heading3"/>
      </w:pPr>
      <w:r>
        <w:t>Concile de Jérusalem</w:t>
      </w:r>
    </w:p>
    <w:p>
      <w:r/>
      <w:r>
        <w:t>Les Juifs, qui avaient pourchassé Paul et Barnabas dans toute la Galatie, les ont suivis dans l’optique d’ensorceler les Païens de cette région et de les convaincre d’abandonner la grâce de Christ et de se soumettre à la loi juive (</w:t>
      </w:r>
      <w:hyperlink r:id="rId2619">
        <w:r>
          <w:rPr>
            <w:color w:val="0000EE"/>
            <w:u w:val="single"/>
          </w:rPr>
          <w:t>Galates 1:6</w:t>
        </w:r>
      </w:hyperlink>
      <w:r>
        <w:t xml:space="preserve">; </w:t>
      </w:r>
      <w:hyperlink r:id="rId8215">
        <w:r>
          <w:rPr>
            <w:color w:val="0000EE"/>
            <w:u w:val="single"/>
          </w:rPr>
          <w:t>3:1</w:t>
        </w:r>
      </w:hyperlink>
      <w:r>
        <w:t>). Peu après le retour des apôtres à Antioche, des judaïsants (chrétiens qui insistent pour que leurs coreligionnaires suivent la loi de Moïse) sont venus de Judée à Antioche, enseignant le salut par la Loi (</w:t>
      </w:r>
      <w:hyperlink r:id="rId7776">
        <w:r>
          <w:rPr>
            <w:color w:val="0000EE"/>
            <w:u w:val="single"/>
          </w:rPr>
          <w:t>Actes 15:1</w:t>
        </w:r>
      </w:hyperlink>
      <w:r>
        <w:t>). Ainsi la guerre contre l’Évangile de la grâce prêché par Paul a-t-elle commencé.</w:t>
      </w:r>
    </w:p>
    <w:p>
      <w:r/>
      <w:r>
        <w:t xml:space="preserve">L’Église d’Antioche a envoyé Paul, Barnabas et d’autres à Jérusalem pour régler la controverse entre la Loi et la Grâce avec les apôtres et les anciens de cette ville (49 av. J.-C., </w:t>
      </w:r>
      <w:hyperlink r:id="rId2626">
        <w:r>
          <w:rPr>
            <w:color w:val="0000EE"/>
            <w:u w:val="single"/>
          </w:rPr>
          <w:t>Actes 15:2</w:t>
        </w:r>
      </w:hyperlink>
      <w:r>
        <w:t xml:space="preserve">). Sur le chemin de Jérusalem, ils ont répandu la nouvelle de la conversion des Païens. Cette nouvelle a apporté une grande joie aux frères (verset </w:t>
      </w:r>
      <w:hyperlink r:id="rId8216">
        <w:r>
          <w:rPr>
            <w:color w:val="0000EE"/>
            <w:u w:val="single"/>
          </w:rPr>
          <w:t>3</w:t>
        </w:r>
      </w:hyperlink>
      <w:r>
        <w:t xml:space="preserve">). Cette joie n’était pas partagée par certains à Jérusalem qui, lors de la première réunion du concile, avaient déclaré qu’il fallait ordonner aux Païens d’observer la loi de Moïse (verset </w:t>
      </w:r>
      <w:hyperlink r:id="rId3508">
        <w:r>
          <w:rPr>
            <w:color w:val="0000EE"/>
            <w:u w:val="single"/>
          </w:rPr>
          <w:t>5</w:t>
        </w:r>
      </w:hyperlink>
      <w:r>
        <w:t>).</w:t>
      </w:r>
    </w:p>
    <w:p>
      <w:r/>
      <w:r>
        <w:t>Après cette réunion, Paul et Barnabas ont rencontré en privé Pierre, Jean et Jacques (</w:t>
      </w:r>
      <w:hyperlink r:id="rId2613">
        <w:r>
          <w:rPr>
            <w:color w:val="0000EE"/>
            <w:u w:val="single"/>
          </w:rPr>
          <w:t>Galates 2:1–10</w:t>
        </w:r>
      </w:hyperlink>
      <w:r>
        <w:t>) et leur ont expliqué l’Évangile qu’ils prêchaient aux Païens. Ces trois responsables de l’Église de Jérusalem ont confirmé que Paul a reçu la grâce de prêcher l’Évangile aux Païens et lui ont tendu « la main d’association ». Cette réunion privée semble avoir tranché la question du respect de la loi juive, car lors de la réunion générale suivante, Pierre a déclaré : « Mais c’est par la grâce du Seigneur Jésus que nous croyons être sauvés, de la même manière qu’eux » (</w:t>
      </w:r>
      <w:hyperlink r:id="rId8217">
        <w:r>
          <w:rPr>
            <w:color w:val="0000EE"/>
            <w:u w:val="single"/>
          </w:rPr>
          <w:t>Actes 15:11</w:t>
        </w:r>
      </w:hyperlink>
      <w:r>
        <w:t>, lsg), et Jacques a décidé « qu’on ne crée pas des difficultés à ceux des païens qui se convertissent à Dieu » (</w:t>
      </w:r>
      <w:hyperlink r:id="rId8218">
        <w:r>
          <w:rPr>
            <w:color w:val="0000EE"/>
            <w:u w:val="single"/>
          </w:rPr>
          <w:t>Actes 15:19</w:t>
        </w:r>
      </w:hyperlink>
      <w:r>
        <w:t xml:space="preserve">, lsg). Cette réponse a été une grande victoire pour Paul et Barnabas, et l’Église d’Antioche a reçu cette nouvelle avec joie (versets </w:t>
      </w:r>
      <w:hyperlink r:id="rId8219">
        <w:r>
          <w:rPr>
            <w:color w:val="0000EE"/>
            <w:u w:val="single"/>
          </w:rPr>
          <w:t>30–35</w:t>
        </w:r>
      </w:hyperlink>
      <w:r>
        <w:t>).</w:t>
      </w:r>
    </w:p>
    <w:p>
      <w:r/>
      <w:r>
        <w:t>Plus tard, Pierre s’est rendu à Antioche et s’est associé librement avec les frères païens, contrairement à son attitude timide dans la maison de Corneille (</w:t>
      </w:r>
      <w:hyperlink r:id="rId8220">
        <w:r>
          <w:rPr>
            <w:color w:val="0000EE"/>
            <w:u w:val="single"/>
          </w:rPr>
          <w:t>Actes 10:28</w:t>
        </w:r>
      </w:hyperlink>
      <w:r>
        <w:t>). Cette attitude a persisté jusqu’à « l’arrivée de quelques personnes envoyées par Jacques ». Leur présence a suscité la crainte de Pierre, obscurcissant la lumière de l’Évangile de la grâce et l’amenant à se séparer des Païens. L’action de Pierre a poussé d’autres personnes, notamment Barnabas, à faire de même (</w:t>
      </w:r>
      <w:hyperlink r:id="rId8221">
        <w:r>
          <w:rPr>
            <w:color w:val="0000EE"/>
            <w:u w:val="single"/>
          </w:rPr>
          <w:t>Galates 2:12–13</w:t>
        </w:r>
      </w:hyperlink>
      <w:r>
        <w:t xml:space="preserve">). Paul a bien géré cette grave crise, a confronté Pierre publiquement et l’a accusé de judaïsme et d’hypocrisie (verset </w:t>
      </w:r>
      <w:hyperlink r:id="rId7768">
        <w:r>
          <w:rPr>
            <w:color w:val="0000EE"/>
            <w:u w:val="single"/>
          </w:rPr>
          <w:t>14</w:t>
        </w:r>
      </w:hyperlink>
      <w:r>
        <w:t xml:space="preserve">). Paul a gagné la bataille et a sauvé Pierre et Barnabas par des paroles éloquentes concernant la justification par la foi (versets </w:t>
      </w:r>
      <w:hyperlink r:id="rId8222">
        <w:r>
          <w:rPr>
            <w:color w:val="0000EE"/>
            <w:u w:val="single"/>
          </w:rPr>
          <w:t>15–21</w:t>
        </w:r>
      </w:hyperlink>
      <w:r>
        <w:t xml:space="preserve">), mais les judaïsants ont lancé les hostilités. À partir de ce moment-là, ils ne se sont plus reposés ; au contraire, ils ont tourmenté et persécuté Paul dans le monde entier. Toutefois, l’apôtre Paul n’a pas fléchi le genou devant eux un seul instant. Il était engagé dans le combat de sa vie, afin que la vérité de l’Évangile demeure parmi les frères païens (verset </w:t>
      </w:r>
      <w:hyperlink r:id="rId8223">
        <w:r>
          <w:rPr>
            <w:color w:val="0000EE"/>
            <w:u w:val="single"/>
          </w:rPr>
          <w:t>5</w:t>
        </w:r>
      </w:hyperlink>
      <w:r>
        <w:t>).</w:t>
      </w:r>
    </w:p>
    <w:p>
      <w:pPr>
        <w:pStyle w:val="Heading3"/>
      </w:pPr>
      <w:r>
        <w:t>Autres voyages</w:t>
      </w:r>
    </w:p>
    <w:p>
      <w:r/>
      <w:r>
        <w:t>Paul envisageait de rendre visite aux nouveaux convertis pour voir en quel état ils sont. Il a donc proposé à Barnabas de retourner dans les villes où ils avaient déjà prêché Jésus (</w:t>
      </w:r>
      <w:hyperlink r:id="rId8224">
        <w:r>
          <w:rPr>
            <w:color w:val="0000EE"/>
            <w:u w:val="single"/>
          </w:rPr>
          <w:t>Actes 15:36</w:t>
        </w:r>
      </w:hyperlink>
      <w:r>
        <w:t>). Barnabas voulait emmener Jean Marc avec eux, mais Paul n’était pas d’accord, car il les avait abandonnés lors de leur premier voyage (</w:t>
      </w:r>
      <w:hyperlink r:id="rId1696">
        <w:r>
          <w:rPr>
            <w:color w:val="0000EE"/>
            <w:u w:val="single"/>
          </w:rPr>
          <w:t>13:13</w:t>
        </w:r>
      </w:hyperlink>
      <w:r>
        <w:t>). Ce vif désaccord a mis fin à l’association de Barnabas avec Paul (</w:t>
      </w:r>
      <w:hyperlink r:id="rId8225">
        <w:r>
          <w:rPr>
            <w:color w:val="0000EE"/>
            <w:u w:val="single"/>
          </w:rPr>
          <w:t>15:37–39</w:t>
        </w:r>
      </w:hyperlink>
      <w:r>
        <w:t xml:space="preserve">). Silas, chef des frères de Jérusalem (verset </w:t>
      </w:r>
      <w:hyperlink r:id="rId1698">
        <w:r>
          <w:rPr>
            <w:color w:val="0000EE"/>
            <w:u w:val="single"/>
          </w:rPr>
          <w:t>22</w:t>
        </w:r>
      </w:hyperlink>
      <w:r>
        <w:t xml:space="preserve">), a accompagné Paul lorsqu’il est parti par voie terrestre à travers la Syrie et la Cilicie pour fortifier les Églises (versets </w:t>
      </w:r>
      <w:hyperlink r:id="rId151">
        <w:r>
          <w:rPr>
            <w:color w:val="0000EE"/>
            <w:u w:val="single"/>
          </w:rPr>
          <w:t>40–41</w:t>
        </w:r>
      </w:hyperlink>
      <w:r>
        <w:t>).</w:t>
      </w:r>
    </w:p>
    <w:p>
      <w:r/>
      <w:r>
        <w:t>Partant de Derbe, en Galatie, Paul et Silas ont revisité les églises que Paul avait établies avec Barnabas. À Lystre, Timothée les a rejoints (</w:t>
      </w:r>
      <w:hyperlink r:id="rId6106">
        <w:r>
          <w:rPr>
            <w:color w:val="0000EE"/>
            <w:u w:val="single"/>
          </w:rPr>
          <w:t>Actes 16:1–3</w:t>
        </w:r>
      </w:hyperlink>
      <w:r>
        <w:t>). Les apôtres ont remis à ces jeunes églises la lettre rédigée par les anciens et les apôtres de Jérusalem concernant l’observance de la Loi (</w:t>
      </w:r>
      <w:hyperlink r:id="rId7778">
        <w:r>
          <w:rPr>
            <w:color w:val="0000EE"/>
            <w:u w:val="single"/>
          </w:rPr>
          <w:t>15:23–29</w:t>
        </w:r>
      </w:hyperlink>
      <w:r>
        <w:t>), ce qui les a fortifiées et les a fait croitre (</w:t>
      </w:r>
      <w:hyperlink r:id="rId8226">
        <w:r>
          <w:rPr>
            <w:color w:val="0000EE"/>
            <w:u w:val="single"/>
          </w:rPr>
          <w:t>16:4–5</w:t>
        </w:r>
      </w:hyperlink>
      <w:r>
        <w:t>).</w:t>
      </w:r>
    </w:p>
    <w:p>
      <w:r/>
      <w:r>
        <w:t>Il est probable qu’Éphèse, ville importante de la province romaine d’Asie, était l’objectif principal du groupe pour l’avancement de l’Évangile, mais ils ont « été empêchés par le Saint-Esprit d’annoncer la parole dans l’Asie » (</w:t>
      </w:r>
      <w:hyperlink r:id="rId5881">
        <w:r>
          <w:rPr>
            <w:color w:val="0000EE"/>
            <w:u w:val="single"/>
          </w:rPr>
          <w:t>Actes 16:6</w:t>
        </w:r>
      </w:hyperlink>
      <w:r>
        <w:t xml:space="preserve">). Ensuite, ils ont essayé de tourner vers le nord et d’entrer dans la région de Bithynie, « mais l’Esprit de Jésus ne le leur a pas permis » (verset </w:t>
      </w:r>
      <w:hyperlink r:id="rId2013">
        <w:r>
          <w:rPr>
            <w:color w:val="0000EE"/>
            <w:u w:val="single"/>
          </w:rPr>
          <w:t>7</w:t>
        </w:r>
      </w:hyperlink>
      <w:r>
        <w:t xml:space="preserve">). Ainsi, Dieu les a contraints de continuer tout droit vers l’ouest jusqu’à Troas, sur la mer Égée, où Luc les a rejoints (« nous » au verset </w:t>
      </w:r>
      <w:hyperlink r:id="rId8227">
        <w:r>
          <w:rPr>
            <w:color w:val="0000EE"/>
            <w:u w:val="single"/>
          </w:rPr>
          <w:t>10</w:t>
        </w:r>
      </w:hyperlink>
      <w:r>
        <w:t xml:space="preserve">), et Paul a eu une vision dans laquelle il a été appelé à quitter l’Asie pour se rendre en Macédoine (verset </w:t>
      </w:r>
      <w:hyperlink r:id="rId8228">
        <w:r>
          <w:rPr>
            <w:color w:val="0000EE"/>
            <w:u w:val="single"/>
          </w:rPr>
          <w:t>8–9</w:t>
        </w:r>
      </w:hyperlink>
      <w:r>
        <w:t xml:space="preserve">). Paul et son groupe ont immédiatement traversé l’Europe en bateau (verset </w:t>
      </w:r>
      <w:hyperlink r:id="rId8229">
        <w:r>
          <w:rPr>
            <w:color w:val="0000EE"/>
            <w:u w:val="single"/>
          </w:rPr>
          <w:t>11</w:t>
        </w:r>
      </w:hyperlink>
      <w:r>
        <w:t>), où ils ont annoncé l’Évangile à Philippes, à Thessalonique, à Bérée, à Athènes et à Corinthe.</w:t>
      </w:r>
    </w:p>
    <w:p>
      <w:r/>
      <w:r>
        <w:t>Philippes était une colonie romaine et un avant-poste militaire qui comptait peu de Juifs. Paul s’est donc rendu à un endroit près de la rivière où les Juifs locaux priaient. Il a prêché à quelques femmes, notamment à Lydie, qui a cru et s’est fait baptiser avec sa famille (</w:t>
      </w:r>
      <w:hyperlink r:id="rId8230">
        <w:r>
          <w:rPr>
            <w:color w:val="0000EE"/>
            <w:u w:val="single"/>
          </w:rPr>
          <w:t>Actes 16:12–15</w:t>
        </w:r>
      </w:hyperlink>
      <w:r>
        <w:t xml:space="preserve">), implantant ainsi la première Église d'Europe. Paul a chassé un esprit de divination d’une jeune fille à Philippes ; en conséquence, Silas et lui ont été emprisonnés (versets </w:t>
      </w:r>
      <w:hyperlink r:id="rId8231">
        <w:r>
          <w:rPr>
            <w:color w:val="0000EE"/>
            <w:u w:val="single"/>
          </w:rPr>
          <w:t>16–24</w:t>
        </w:r>
      </w:hyperlink>
      <w:r>
        <w:t xml:space="preserve">). Les événements de leur nuit en prison ont fait du geôlier un disciple de Christ (versets </w:t>
      </w:r>
      <w:hyperlink r:id="rId8232">
        <w:r>
          <w:rPr>
            <w:color w:val="0000EE"/>
            <w:u w:val="single"/>
          </w:rPr>
          <w:t>25–34</w:t>
        </w:r>
      </w:hyperlink>
      <w:r>
        <w:t xml:space="preserve">), et lui et sa famille ont été ajoutés à l’Église de Philippes, qui se réunissait dans la maison de Lydie (verset </w:t>
      </w:r>
      <w:hyperlink r:id="rId8233">
        <w:r>
          <w:rPr>
            <w:color w:val="0000EE"/>
            <w:u w:val="single"/>
          </w:rPr>
          <w:t>40</w:t>
        </w:r>
      </w:hyperlink>
      <w:r>
        <w:t xml:space="preserve">). Lorsque Paul a révélé sa citoyenneté romaine, on l’a libéré et on l’a invité à quitter la ville (versets </w:t>
      </w:r>
      <w:hyperlink r:id="rId8234">
        <w:r>
          <w:rPr>
            <w:color w:val="0000EE"/>
            <w:u w:val="single"/>
          </w:rPr>
          <w:t>35–39</w:t>
        </w:r>
      </w:hyperlink>
      <w:r>
        <w:t>).</w:t>
      </w:r>
    </w:p>
    <w:p>
      <w:r/>
      <w:r>
        <w:t>À Thessalonique, les Juifs, jaloux à la suite du succès du message évangélique de Paul, ont provoqué un soulèvement populaire pour traquer les apôtres. Ils sont allés se plaindre auprès des autorités de la ville que les gens « qui ont bouleversé le monde, sont aussi venus ici » et ils ont accusé les apôtres d’agir « contre les édits de César, disant qu’il y a un autre roi, Jésus » (</w:t>
      </w:r>
      <w:hyperlink r:id="rId8235">
        <w:r>
          <w:rPr>
            <w:color w:val="0000EE"/>
            <w:u w:val="single"/>
          </w:rPr>
          <w:t>Actes 17:5–7</w:t>
        </w:r>
      </w:hyperlink>
      <w:r>
        <w:t>).</w:t>
      </w:r>
    </w:p>
    <w:p>
      <w:r/>
      <w:r>
        <w:t>Paul et Silas ont quitté Thessalonique de nuit et sont arrivés à Bérée, une ville qui s’est distinguée du fait que ses citoyens ont accueilli l’Évangile avec empressement et avec méditation (</w:t>
      </w:r>
      <w:hyperlink r:id="rId8236">
        <w:r>
          <w:rPr>
            <w:color w:val="0000EE"/>
            <w:u w:val="single"/>
          </w:rPr>
          <w:t>Actes 17:10–12</w:t>
        </w:r>
      </w:hyperlink>
      <w:r>
        <w:t xml:space="preserve">). Les Juifs de Thessalonique ne se sont pas donné un répit et ont suivi Paul à Bérée, afin de susciter une indignation populaire. Les frères ont ensuite envoyé Paul à Athènes, tandis que Silas et Timothée sont restés sur place (versets </w:t>
      </w:r>
      <w:hyperlink r:id="rId8237">
        <w:r>
          <w:rPr>
            <w:color w:val="0000EE"/>
            <w:u w:val="single"/>
          </w:rPr>
          <w:t>13–15</w:t>
        </w:r>
      </w:hyperlink>
      <w:r>
        <w:t>).</w:t>
      </w:r>
    </w:p>
    <w:p>
      <w:r/>
      <w:r>
        <w:t>Les Athéniens ont traité Paul de discoureur, mais l’ont laissé s’exprimer devant l’Aréopage. Le discours de Paul à l’Aréopage était garni de ses vastes connaissances. Il a convoqué la philosophie gréco-romaine (</w:t>
      </w:r>
      <w:hyperlink r:id="rId8238">
        <w:r>
          <w:rPr>
            <w:color w:val="0000EE"/>
            <w:u w:val="single"/>
          </w:rPr>
          <w:t>Actes 17:27</w:t>
        </w:r>
      </w:hyperlink>
      <w:r>
        <w:t xml:space="preserve">), la poésie (verset </w:t>
      </w:r>
      <w:hyperlink r:id="rId1131">
        <w:r>
          <w:rPr>
            <w:color w:val="0000EE"/>
            <w:u w:val="single"/>
          </w:rPr>
          <w:t>28</w:t>
        </w:r>
      </w:hyperlink>
      <w:r>
        <w:t xml:space="preserve">), la sculpture (versets </w:t>
      </w:r>
      <w:hyperlink r:id="rId8239">
        <w:r>
          <w:rPr>
            <w:color w:val="0000EE"/>
            <w:u w:val="single"/>
          </w:rPr>
          <w:t>25, 29</w:t>
        </w:r>
      </w:hyperlink>
      <w:r>
        <w:t xml:space="preserve">), l’architecture (verset </w:t>
      </w:r>
      <w:hyperlink r:id="rId8240">
        <w:r>
          <w:rPr>
            <w:color w:val="0000EE"/>
            <w:u w:val="single"/>
          </w:rPr>
          <w:t>24</w:t>
        </w:r>
      </w:hyperlink>
      <w:r>
        <w:t xml:space="preserve">) et la religion, en proclamant l'existence d'un « dieu inconnu » (verset </w:t>
      </w:r>
      <w:hyperlink r:id="rId6759">
        <w:r>
          <w:rPr>
            <w:color w:val="0000EE"/>
            <w:u w:val="single"/>
          </w:rPr>
          <w:t>23</w:t>
        </w:r>
      </w:hyperlink>
      <w:r>
        <w:t xml:space="preserve">). Cependant, on l’a brutalement interrompu par les moqueries et l’indifférence lorsqu’il a évoqué la résurrection (verset </w:t>
      </w:r>
      <w:hyperlink r:id="rId8241">
        <w:r>
          <w:rPr>
            <w:color w:val="0000EE"/>
            <w:u w:val="single"/>
          </w:rPr>
          <w:t>32</w:t>
        </w:r>
      </w:hyperlink>
      <w:r>
        <w:t>). Bien que les paroles de Paul aient réjoui l’esprit de beaucoup, elles ont influencé la volonté de peu de personnes. C’est pourquoi, lorsqu’il est arrivé à Corinthe, il a décidé de ne pas proclamer le mystère de Dieu avec des paroles éloquentes de sagesse, afin que la foi des disciples ne repose pas sur la sagesse humaine, mais sur la puissance de Dieu, mais qu’elle s’appuie sur la puissance de Dieu (</w:t>
      </w:r>
      <w:hyperlink r:id="rId8242">
        <w:r>
          <w:rPr>
            <w:color w:val="0000EE"/>
            <w:u w:val="single"/>
          </w:rPr>
          <w:t>1 Corinthiens 2:1–5</w:t>
        </w:r>
      </w:hyperlink>
      <w:r>
        <w:t>).</w:t>
      </w:r>
    </w:p>
    <w:p>
      <w:r/>
      <w:r>
        <w:t>À Corinthe, Paul a rencontré Aquila et Priscille (</w:t>
      </w:r>
      <w:hyperlink r:id="rId8243">
        <w:r>
          <w:rPr>
            <w:color w:val="0000EE"/>
            <w:u w:val="single"/>
          </w:rPr>
          <w:t>Actes 18:2–3</w:t>
        </w:r>
      </w:hyperlink>
      <w:r>
        <w:t>), des Juifs romains avec lesquels il vivait et travaillait en tant que faiseur de tentes et qui allaient devenir des membres éminents des Églises (</w:t>
      </w:r>
      <w:hyperlink r:id="rId4771">
        <w:r>
          <w:rPr>
            <w:color w:val="0000EE"/>
            <w:u w:val="single"/>
          </w:rPr>
          <w:t>Actes 18:26</w:t>
        </w:r>
      </w:hyperlink>
      <w:r>
        <w:t xml:space="preserve">; </w:t>
      </w:r>
      <w:hyperlink r:id="rId1081">
        <w:r>
          <w:rPr>
            <w:color w:val="0000EE"/>
            <w:u w:val="single"/>
          </w:rPr>
          <w:t>Romains 16:3</w:t>
        </w:r>
      </w:hyperlink>
      <w:r>
        <w:t xml:space="preserve">; </w:t>
      </w:r>
      <w:hyperlink r:id="rId1082">
        <w:r>
          <w:rPr>
            <w:color w:val="0000EE"/>
            <w:u w:val="single"/>
          </w:rPr>
          <w:t>1 Corinthiens 16:19</w:t>
        </w:r>
      </w:hyperlink>
      <w:r>
        <w:t xml:space="preserve">; </w:t>
      </w:r>
      <w:hyperlink r:id="rId1083">
        <w:r>
          <w:rPr>
            <w:color w:val="0000EE"/>
            <w:u w:val="single"/>
          </w:rPr>
          <w:t>2 Timothée 4:19</w:t>
        </w:r>
      </w:hyperlink>
      <w:r>
        <w:t>). Il est resté à Corinthe 18 mois, de 50 à 51 av. J.-C., implantant une église (</w:t>
      </w:r>
      <w:hyperlink r:id="rId162">
        <w:r>
          <w:rPr>
            <w:color w:val="0000EE"/>
            <w:u w:val="single"/>
          </w:rPr>
          <w:t>Actes 18:11</w:t>
        </w:r>
      </w:hyperlink>
      <w:r>
        <w:t xml:space="preserve">) sur la base d’une vision de Dieu (versets </w:t>
      </w:r>
      <w:hyperlink r:id="rId8244">
        <w:r>
          <w:rPr>
            <w:color w:val="0000EE"/>
            <w:u w:val="single"/>
          </w:rPr>
          <w:t>9–10</w:t>
        </w:r>
      </w:hyperlink>
      <w:r>
        <w:t xml:space="preserve">) et en dépit des attaques des Juifs (versets </w:t>
      </w:r>
      <w:hyperlink r:id="rId163">
        <w:r>
          <w:rPr>
            <w:color w:val="0000EE"/>
            <w:u w:val="single"/>
          </w:rPr>
          <w:t>12–17</w:t>
        </w:r>
      </w:hyperlink>
      <w:r>
        <w:t>). Paul a écrit la première et la deuxième lettre aux Thessaloniciens depuis Corinthe, afin d’établir les disciples dans une vie sainte et laborieuse (</w:t>
      </w:r>
      <w:hyperlink r:id="rId2786">
        <w:r>
          <w:rPr>
            <w:color w:val="0000EE"/>
            <w:u w:val="single"/>
          </w:rPr>
          <w:t>1 Thessaloniciens 3:13</w:t>
        </w:r>
      </w:hyperlink>
      <w:r>
        <w:t xml:space="preserve">; </w:t>
      </w:r>
      <w:hyperlink r:id="rId677">
        <w:r>
          <w:rPr>
            <w:color w:val="0000EE"/>
            <w:u w:val="single"/>
          </w:rPr>
          <w:t>5:23</w:t>
        </w:r>
      </w:hyperlink>
      <w:r>
        <w:t xml:space="preserve">; </w:t>
      </w:r>
      <w:hyperlink r:id="rId8245">
        <w:r>
          <w:rPr>
            <w:color w:val="0000EE"/>
            <w:u w:val="single"/>
          </w:rPr>
          <w:t>2 Thessaloniciens 3:7–12</w:t>
        </w:r>
      </w:hyperlink>
      <w:r>
        <w:t>) dans l’espérance de la seconde venue de Jésus-Christ (</w:t>
      </w:r>
      <w:hyperlink r:id="rId8246">
        <w:r>
          <w:rPr>
            <w:color w:val="0000EE"/>
            <w:u w:val="single"/>
          </w:rPr>
          <w:t>1 Thessaloniciens 4:15–18</w:t>
        </w:r>
      </w:hyperlink>
      <w:r>
        <w:t xml:space="preserve">; </w:t>
      </w:r>
      <w:hyperlink r:id="rId8247">
        <w:r>
          <w:rPr>
            <w:color w:val="0000EE"/>
            <w:u w:val="single"/>
          </w:rPr>
          <w:t>2 Thessaloniciens 2:1ff</w:t>
        </w:r>
      </w:hyperlink>
      <w:r>
        <w:t>.).</w:t>
      </w:r>
    </w:p>
    <w:p>
      <w:r/>
      <w:r>
        <w:t>Accompagné de Priscille et d’Aquila, Paul a quitté Corinthe pour la Syrie. Il a laissé ses compagnons d’œuvre à Éphèse, a navigué jusqu’à Césarée, a visité brièvement Jérusalem et est retourné à Antioche (</w:t>
      </w:r>
      <w:hyperlink r:id="rId8248">
        <w:r>
          <w:rPr>
            <w:color w:val="0000EE"/>
            <w:u w:val="single"/>
          </w:rPr>
          <w:t>Actes 18:18–22</w:t>
        </w:r>
      </w:hyperlink>
      <w:r>
        <w:t>). Paul est resté quelque temps à Antioche, mais ne s’est pas éloigné longtemps de son champ missionnaire. Étant seul, il a quitté Antioche, allait de lieu en lieu en Galatie et en Phrygie, fortifiant tous les disciples, et est arrivé finalement à Éphèse (</w:t>
      </w:r>
      <w:hyperlink r:id="rId3728">
        <w:r>
          <w:rPr>
            <w:color w:val="0000EE"/>
            <w:u w:val="single"/>
          </w:rPr>
          <w:t>18:23</w:t>
        </w:r>
      </w:hyperlink>
      <w:r>
        <w:t xml:space="preserve">; </w:t>
      </w:r>
      <w:hyperlink r:id="rId8249">
        <w:r>
          <w:rPr>
            <w:color w:val="0000EE"/>
            <w:u w:val="single"/>
          </w:rPr>
          <w:t>19:1</w:t>
        </w:r>
      </w:hyperlink>
      <w:r>
        <w:t>).</w:t>
      </w:r>
    </w:p>
    <w:p>
      <w:pPr>
        <w:pStyle w:val="Heading3"/>
      </w:pPr>
      <w:r>
        <w:t>Œuvre missionnaire</w:t>
      </w:r>
    </w:p>
    <w:p>
      <w:r/>
      <w:r>
        <w:t>Un Juif nommé Apollos avait exercé son ministère à Éphèse avant l’arrivée de Paul et s’était récemment rendu à Corinthe (</w:t>
      </w:r>
      <w:hyperlink r:id="rId165">
        <w:r>
          <w:rPr>
            <w:color w:val="0000EE"/>
            <w:u w:val="single"/>
          </w:rPr>
          <w:t>Actes 18:24–28</w:t>
        </w:r>
      </w:hyperlink>
      <w:r>
        <w:t>). Là, Apollos est devenu innocemment la cause d’une discorde (</w:t>
      </w:r>
      <w:hyperlink r:id="rId8250">
        <w:r>
          <w:rPr>
            <w:color w:val="0000EE"/>
            <w:u w:val="single"/>
          </w:rPr>
          <w:t>1 Corinthiens 3:3–9</w:t>
        </w:r>
      </w:hyperlink>
      <w:r>
        <w:t>) au point qu’il est parti et a refusé de revenir, malgré la demande de Paul (</w:t>
      </w:r>
      <w:hyperlink r:id="rId1013">
        <w:r>
          <w:rPr>
            <w:color w:val="0000EE"/>
            <w:u w:val="single"/>
          </w:rPr>
          <w:t>16:12</w:t>
        </w:r>
      </w:hyperlink>
      <w:r>
        <w:t>). La visite antérieure de Paul à Éphèse (</w:t>
      </w:r>
      <w:hyperlink r:id="rId8251">
        <w:r>
          <w:rPr>
            <w:color w:val="0000EE"/>
            <w:u w:val="single"/>
          </w:rPr>
          <w:t>Actes 18:19–20</w:t>
        </w:r>
      </w:hyperlink>
      <w:r>
        <w:t>), le ministère d’Apollos et la présence de Priscille et d’Aquila avaient préparé Éphèse pour que l’apôtre puisse y prêcher l’Évangile de Christ.</w:t>
      </w:r>
    </w:p>
    <w:p>
      <w:r/>
      <w:r>
        <w:t>Paul a commencé son ministère à Éphèse en remettant sur le droit chemin quelques disciples mal informés de Jean-Baptiste (</w:t>
      </w:r>
      <w:hyperlink r:id="rId8252">
        <w:r>
          <w:rPr>
            <w:color w:val="0000EE"/>
            <w:u w:val="single"/>
          </w:rPr>
          <w:t>Actes 19:1–7</w:t>
        </w:r>
      </w:hyperlink>
      <w:r>
        <w:t xml:space="preserve">). Il a ensuite passé trois mois à prêcher dans la synagogue locale jusqu’à ce que des membres de l’assemblée « décrient devant la multitude la voie du Seigneur » (verset </w:t>
      </w:r>
      <w:hyperlink r:id="rId8253">
        <w:r>
          <w:rPr>
            <w:color w:val="0000EE"/>
            <w:u w:val="single"/>
          </w:rPr>
          <w:t>9</w:t>
        </w:r>
      </w:hyperlink>
      <w:r>
        <w:t xml:space="preserve">). Paul a ensuite pris les disciples et a poursuivi son argumentaire dans un cadre neutre, l’école de Tyrannus (versets </w:t>
      </w:r>
      <w:hyperlink r:id="rId8254">
        <w:r>
          <w:rPr>
            <w:color w:val="0000EE"/>
            <w:u w:val="single"/>
          </w:rPr>
          <w:t>8–9</w:t>
        </w:r>
      </w:hyperlink>
      <w:r>
        <w:t xml:space="preserve">), où Juifs et Grecs étaient libres de venir. Il y est resté deux ans et « tous ceux qui habitaient l’Asie, Juifs et Grecs, entendirent la parole du Seigneur » (verset </w:t>
      </w:r>
      <w:hyperlink r:id="rId1399">
        <w:r>
          <w:rPr>
            <w:color w:val="0000EE"/>
            <w:u w:val="single"/>
          </w:rPr>
          <w:t>10</w:t>
        </w:r>
      </w:hyperlink>
      <w:r>
        <w:t>).</w:t>
      </w:r>
    </w:p>
    <w:p>
      <w:r/>
      <w:r>
        <w:t>L’œuvre à Éphèse a été un grand succès (</w:t>
      </w:r>
      <w:hyperlink r:id="rId8255">
        <w:r>
          <w:rPr>
            <w:color w:val="0000EE"/>
            <w:u w:val="single"/>
          </w:rPr>
          <w:t>Actes 19:10, 20, 26</w:t>
        </w:r>
      </w:hyperlink>
      <w:r>
        <w:t>). Paul avait une porte ouverte pour un ministère efficace (</w:t>
      </w:r>
      <w:hyperlink r:id="rId8256">
        <w:r>
          <w:rPr>
            <w:color w:val="0000EE"/>
            <w:u w:val="single"/>
          </w:rPr>
          <w:t>1 Corinthiens 16:9</w:t>
        </w:r>
      </w:hyperlink>
      <w:r>
        <w:t>), soutenu par des miracles extraordinaires (</w:t>
      </w:r>
      <w:hyperlink r:id="rId8257">
        <w:r>
          <w:rPr>
            <w:color w:val="0000EE"/>
            <w:u w:val="single"/>
          </w:rPr>
          <w:t>Actes 19:11–17</w:t>
        </w:r>
      </w:hyperlink>
      <w:r>
        <w:t xml:space="preserve">), le fait de brûler publiquement des livres de magie de grande valeur (versets </w:t>
      </w:r>
      <w:hyperlink r:id="rId8258">
        <w:r>
          <w:rPr>
            <w:color w:val="0000EE"/>
            <w:u w:val="single"/>
          </w:rPr>
          <w:t>18–19</w:t>
        </w:r>
      </w:hyperlink>
      <w:r>
        <w:t xml:space="preserve">), et l'assistance de fonctionnaires amicaux de la province d'Asie (verset </w:t>
      </w:r>
      <w:hyperlink r:id="rId1390">
        <w:r>
          <w:rPr>
            <w:color w:val="0000EE"/>
            <w:u w:val="single"/>
          </w:rPr>
          <w:t>31</w:t>
        </w:r>
      </w:hyperlink>
      <w:r>
        <w:t>). Il y avait aussi de nombreux adversaires (</w:t>
      </w:r>
      <w:hyperlink r:id="rId2918">
        <w:r>
          <w:rPr>
            <w:color w:val="0000EE"/>
            <w:u w:val="single"/>
          </w:rPr>
          <w:t>1 Corinthiens 15:32</w:t>
        </w:r>
      </w:hyperlink>
      <w:r>
        <w:t xml:space="preserve">; </w:t>
      </w:r>
      <w:hyperlink r:id="rId8256">
        <w:r>
          <w:rPr>
            <w:color w:val="0000EE"/>
            <w:u w:val="single"/>
          </w:rPr>
          <w:t>16:9</w:t>
        </w:r>
      </w:hyperlink>
      <w:r>
        <w:t>), en particulier parmi les artisans en service au temple de Diane. Le ministère de Paul a nui à leur commerce au point de les inciter à un soulèvement (</w:t>
      </w:r>
      <w:hyperlink r:id="rId527">
        <w:r>
          <w:rPr>
            <w:color w:val="0000EE"/>
            <w:u w:val="single"/>
          </w:rPr>
          <w:t>Actes 19:23–41</w:t>
        </w:r>
      </w:hyperlink>
      <w:r>
        <w:t>). Paul avait l’intention de rester à Éphèse jusqu’à la Pentecôte (</w:t>
      </w:r>
      <w:hyperlink r:id="rId5624">
        <w:r>
          <w:rPr>
            <w:color w:val="0000EE"/>
            <w:u w:val="single"/>
          </w:rPr>
          <w:t>1 Corinthiens 16:8</w:t>
        </w:r>
      </w:hyperlink>
      <w:r>
        <w:t>), mais ce tumulte semble avoir précipité son départ (</w:t>
      </w:r>
      <w:hyperlink r:id="rId8259">
        <w:r>
          <w:rPr>
            <w:color w:val="0000EE"/>
            <w:u w:val="single"/>
          </w:rPr>
          <w:t>Actes 20:1</w:t>
        </w:r>
      </w:hyperlink>
      <w:r>
        <w:t>).</w:t>
      </w:r>
    </w:p>
    <w:p>
      <w:r/>
      <w:r>
        <w:t>Pendant son séjour à Éphèse, la famille de Chloé a envoyé un message à Paul depuis Corinthe, l’informant que des divisions rongeaient l’Église de cette ville (</w:t>
      </w:r>
      <w:hyperlink r:id="rId8260">
        <w:r>
          <w:rPr>
            <w:color w:val="0000EE"/>
            <w:u w:val="single"/>
          </w:rPr>
          <w:t>1 Corinthiens 1:10–13</w:t>
        </w:r>
      </w:hyperlink>
      <w:r>
        <w:t>). Ce rapport a donné lieu à une avalanche de lettres et de voyages. Paul a écrit une lettre, de nos jours perdue, à cette église (</w:t>
      </w:r>
      <w:hyperlink r:id="rId3118">
        <w:r>
          <w:rPr>
            <w:color w:val="0000EE"/>
            <w:u w:val="single"/>
          </w:rPr>
          <w:t>5:9</w:t>
        </w:r>
      </w:hyperlink>
      <w:r>
        <w:t>). L’Église de Corinthe a écrit une lettre (</w:t>
      </w:r>
      <w:hyperlink r:id="rId3204">
        <w:r>
          <w:rPr>
            <w:color w:val="0000EE"/>
            <w:u w:val="single"/>
          </w:rPr>
          <w:t>7:1</w:t>
        </w:r>
      </w:hyperlink>
      <w:r>
        <w:t>) et a envoyé des messagers à Paul (</w:t>
      </w:r>
      <w:hyperlink r:id="rId3191">
        <w:r>
          <w:rPr>
            <w:color w:val="0000EE"/>
            <w:u w:val="single"/>
          </w:rPr>
          <w:t>16:17</w:t>
        </w:r>
      </w:hyperlink>
      <w:r>
        <w:t>), et Paul leur a envoyé Timothée (</w:t>
      </w:r>
      <w:hyperlink r:id="rId4552">
        <w:r>
          <w:rPr>
            <w:color w:val="0000EE"/>
            <w:u w:val="single"/>
          </w:rPr>
          <w:t>4:17</w:t>
        </w:r>
      </w:hyperlink>
      <w:r>
        <w:t xml:space="preserve">; </w:t>
      </w:r>
      <w:hyperlink r:id="rId8261">
        <w:r>
          <w:rPr>
            <w:color w:val="0000EE"/>
            <w:u w:val="single"/>
          </w:rPr>
          <w:t>16:10</w:t>
        </w:r>
      </w:hyperlink>
      <w:r>
        <w:t>). Paul a ensuite écrit 1 Corinthiens (53 av. J.-C.) et l’a envoyé par l’intermédiaire de Tite, qui devait le rencontrer à Troas pour lui faire part des résultats (</w:t>
      </w:r>
      <w:hyperlink r:id="rId3140">
        <w:r>
          <w:rPr>
            <w:color w:val="0000EE"/>
            <w:u w:val="single"/>
          </w:rPr>
          <w:t>2 Corinthiens 2:12–13</w:t>
        </w:r>
      </w:hyperlink>
      <w:r>
        <w:t>).</w:t>
      </w:r>
    </w:p>
    <w:p>
      <w:r/>
      <w:r>
        <w:t>Après son départ précipité d’Éphèse, Paul a trouvé une porte ouverte pour annoncer l’Évangile à Troas, mais il avait tellement envie de prendre des nouvelles des frères de Corinthe qu’il a poursuivi son voyage jusqu’en Macédoine (</w:t>
      </w:r>
      <w:hyperlink r:id="rId3140">
        <w:r>
          <w:rPr>
            <w:color w:val="0000EE"/>
            <w:u w:val="single"/>
          </w:rPr>
          <w:t>2 Corinthiens 2:12–13</w:t>
        </w:r>
      </w:hyperlink>
      <w:r>
        <w:t>). Là, il a finalement été réconforté par Tite (</w:t>
      </w:r>
      <w:hyperlink r:id="rId8262">
        <w:r>
          <w:rPr>
            <w:color w:val="0000EE"/>
            <w:u w:val="single"/>
          </w:rPr>
          <w:t>7:5–7</w:t>
        </w:r>
      </w:hyperlink>
      <w:r>
        <w:t xml:space="preserve">) et il s’est réjoui de la nouvelle de la repentance, de l’ardeur, du désir et du zèle des Corinthiens (versets </w:t>
      </w:r>
      <w:hyperlink r:id="rId8263">
        <w:r>
          <w:rPr>
            <w:color w:val="0000EE"/>
            <w:u w:val="single"/>
          </w:rPr>
          <w:t>8–16</w:t>
        </w:r>
      </w:hyperlink>
      <w:r>
        <w:t>). Paul a écrit 2 Corinthiens quand il était en Macédoine (54 av. J.-C.), a parcouru le nord-ouest pour proclamer la bonne nouvelle de Christ en Illyrie (</w:t>
      </w:r>
      <w:hyperlink r:id="rId6661">
        <w:r>
          <w:rPr>
            <w:color w:val="0000EE"/>
            <w:u w:val="single"/>
          </w:rPr>
          <w:t>Romains 15:19</w:t>
        </w:r>
      </w:hyperlink>
      <w:r>
        <w:t>), puis il s’est dirigé vers le sud, vers l’Achaïe et sa troisième visite à Corinthe (</w:t>
      </w:r>
      <w:hyperlink r:id="rId8264">
        <w:r>
          <w:rPr>
            <w:color w:val="0000EE"/>
            <w:u w:val="single"/>
          </w:rPr>
          <w:t>Actes 19:21</w:t>
        </w:r>
      </w:hyperlink>
      <w:r>
        <w:t xml:space="preserve">; </w:t>
      </w:r>
      <w:hyperlink r:id="rId8265">
        <w:r>
          <w:rPr>
            <w:color w:val="0000EE"/>
            <w:u w:val="single"/>
          </w:rPr>
          <w:t>20:1–3</w:t>
        </w:r>
      </w:hyperlink>
      <w:r>
        <w:t xml:space="preserve">; </w:t>
      </w:r>
      <w:hyperlink r:id="rId8266">
        <w:r>
          <w:rPr>
            <w:color w:val="0000EE"/>
            <w:u w:val="single"/>
          </w:rPr>
          <w:t>2 Corinthiens 13:1</w:t>
        </w:r>
      </w:hyperlink>
      <w:r>
        <w:t>).</w:t>
      </w:r>
    </w:p>
    <w:p>
      <w:r/>
      <w:r>
        <w:t>La date et le lieu où Paul a écrit sa lettre aux Galates sont sujets à controverse. Certains la datent d’avant le concile de Jérusalem, vers l’an 45 av. J.-C. D’autres affirment qu’il l’a écrite quand il était en Corinthe à ce stade de son histoire. Nous retenons cette dernière opinion dans ce récit.</w:t>
      </w:r>
    </w:p>
    <w:p>
      <w:r/>
      <w:r>
        <w:t>Un séjour hivernal de trois mois à Corinthe (55–56 av. J.-C.), Paul a rédigé l’épitre aux Romains, qui a fermement établi le point de référence de l’Évangile pour tous les âges. Paul avait de nombreux amis personnels à Rome (</w:t>
      </w:r>
      <w:hyperlink r:id="rId8267">
        <w:r>
          <w:rPr>
            <w:color w:val="0000EE"/>
            <w:u w:val="single"/>
          </w:rPr>
          <w:t>Romains 16</w:t>
        </w:r>
      </w:hyperlink>
      <w:r>
        <w:t>) et avait depuis longtemps l’intention de s’y rendre (</w:t>
      </w:r>
      <w:hyperlink r:id="rId8268">
        <w:r>
          <w:rPr>
            <w:color w:val="0000EE"/>
            <w:u w:val="single"/>
          </w:rPr>
          <w:t>1:10–15</w:t>
        </w:r>
      </w:hyperlink>
      <w:r>
        <w:t>). Il envisageait de faire parvenir à Jérusalem une collecte provenant des Églises païennes (</w:t>
      </w:r>
      <w:hyperlink r:id="rId8181">
        <w:r>
          <w:rPr>
            <w:color w:val="0000EE"/>
            <w:u w:val="single"/>
          </w:rPr>
          <w:t>Actes 20:35</w:t>
        </w:r>
      </w:hyperlink>
      <w:r>
        <w:t xml:space="preserve">; </w:t>
      </w:r>
      <w:hyperlink r:id="rId8269">
        <w:r>
          <w:rPr>
            <w:color w:val="0000EE"/>
            <w:u w:val="single"/>
          </w:rPr>
          <w:t>Romains 15:25–26</w:t>
        </w:r>
      </w:hyperlink>
      <w:r>
        <w:t xml:space="preserve">; </w:t>
      </w:r>
      <w:hyperlink r:id="rId5882">
        <w:r>
          <w:rPr>
            <w:color w:val="0000EE"/>
            <w:u w:val="single"/>
          </w:rPr>
          <w:t>1 Corinthiens 16:1</w:t>
        </w:r>
      </w:hyperlink>
      <w:r>
        <w:t>), puis de se rendre à Rome (</w:t>
      </w:r>
      <w:hyperlink r:id="rId8264">
        <w:r>
          <w:rPr>
            <w:color w:val="0000EE"/>
            <w:u w:val="single"/>
          </w:rPr>
          <w:t>Actes 19:21</w:t>
        </w:r>
      </w:hyperlink>
      <w:r>
        <w:t>) sur le chemin de l’Espagne (</w:t>
      </w:r>
      <w:hyperlink r:id="rId8270">
        <w:r>
          <w:rPr>
            <w:color w:val="0000EE"/>
            <w:u w:val="single"/>
          </w:rPr>
          <w:t>Romains 15:23–24</w:t>
        </w:r>
      </w:hyperlink>
      <w:r>
        <w:t>).</w:t>
      </w:r>
    </w:p>
    <w:p>
      <w:pPr>
        <w:pStyle w:val="Heading3"/>
      </w:pPr>
      <w:r>
        <w:t>Arrestation à Jérusalem</w:t>
      </w:r>
    </w:p>
    <w:p>
      <w:r/>
      <w:r>
        <w:t>Le voyage de Paul de Corinthe à Jérusalem a été marqué par de nombreux avertissements concernant le danger qui l’attendait à Jérusalem. L’acrimonie des judaïsants à l’égard de Paul a été évoquée partout, mais toutes les alarmes sont restées lettre morte (</w:t>
      </w:r>
      <w:hyperlink r:id="rId8271">
        <w:r>
          <w:rPr>
            <w:color w:val="0000EE"/>
            <w:u w:val="single"/>
          </w:rPr>
          <w:t>Actes 20:22–24, 38</w:t>
        </w:r>
      </w:hyperlink>
      <w:r>
        <w:t xml:space="preserve">; </w:t>
      </w:r>
      <w:hyperlink r:id="rId8272">
        <w:r>
          <w:rPr>
            <w:color w:val="0000EE"/>
            <w:u w:val="single"/>
          </w:rPr>
          <w:t>21:4, 10–15</w:t>
        </w:r>
      </w:hyperlink>
      <w:r>
        <w:t xml:space="preserve">). Cependant, la requête de prière en </w:t>
      </w:r>
      <w:hyperlink r:id="rId8273">
        <w:r>
          <w:rPr>
            <w:color w:val="0000EE"/>
            <w:u w:val="single"/>
          </w:rPr>
          <w:t>Romains 15:30–32</w:t>
        </w:r>
      </w:hyperlink>
      <w:r>
        <w:t xml:space="preserve"> montre que Paul savait qu’il pourrait bientôt avoir besoin d’un secours divin face aux incroyants de Judée.</w:t>
      </w:r>
    </w:p>
    <w:p>
      <w:r/>
      <w:r>
        <w:t>Les voyageurs, qui transportaient la collecte pour Jérusalem, se sont rapidement mis en route, afin d’arriver à Jérusalem avant la Pentecôte (</w:t>
      </w:r>
      <w:hyperlink r:id="rId2632">
        <w:r>
          <w:rPr>
            <w:color w:val="0000EE"/>
            <w:u w:val="single"/>
          </w:rPr>
          <w:t>Actes 20:16</w:t>
        </w:r>
      </w:hyperlink>
      <w:r>
        <w:t xml:space="preserve">). Ils sont partis d’Achaïe par voie terrestre, ont traversé la Macédoine et sont arrivés à Philippes à temps pour la Pâque (printemps 56 av. J.-C., verset </w:t>
      </w:r>
      <w:hyperlink r:id="rId8274">
        <w:r>
          <w:rPr>
            <w:color w:val="0000EE"/>
            <w:u w:val="single"/>
          </w:rPr>
          <w:t>6</w:t>
        </w:r>
      </w:hyperlink>
      <w:r>
        <w:t xml:space="preserve">). Traversant la mer jusqu’à Troas, ils ont rendu visite aux frères (versets </w:t>
      </w:r>
      <w:hyperlink r:id="rId5156">
        <w:r>
          <w:rPr>
            <w:color w:val="0000EE"/>
            <w:u w:val="single"/>
          </w:rPr>
          <w:t>7–12</w:t>
        </w:r>
      </w:hyperlink>
      <w:r>
        <w:t xml:space="preserve">), puis ils ont navigué à travers l’archipel de l’est de la mer Égée jusqu’à Milet (versets </w:t>
      </w:r>
      <w:hyperlink r:id="rId8275">
        <w:r>
          <w:rPr>
            <w:color w:val="0000EE"/>
            <w:u w:val="single"/>
          </w:rPr>
          <w:t>13–16</w:t>
        </w:r>
      </w:hyperlink>
      <w:r>
        <w:t xml:space="preserve">). De Milet, Paul a envoyé chercher les anciens d’Éphèse, auxquels il a adressé un discours passionné contenant ses propres avertissements (versets </w:t>
      </w:r>
      <w:hyperlink r:id="rId8276">
        <w:r>
          <w:rPr>
            <w:color w:val="0000EE"/>
            <w:u w:val="single"/>
          </w:rPr>
          <w:t>17–38</w:t>
        </w:r>
      </w:hyperlink>
      <w:r>
        <w:t>).</w:t>
      </w:r>
    </w:p>
    <w:p>
      <w:r/>
      <w:r>
        <w:t>Se séparant d’eux, Paul et ses compagnons ont embarqué pour Cos, Rhodes, puis Patara, où ils ont changé de navire pour la Phénicie (</w:t>
      </w:r>
      <w:hyperlink r:id="rId8277">
        <w:r>
          <w:rPr>
            <w:color w:val="0000EE"/>
            <w:u w:val="single"/>
          </w:rPr>
          <w:t>Actes 21:1–2</w:t>
        </w:r>
      </w:hyperlink>
      <w:r>
        <w:t xml:space="preserve">). Une route directe vers Tyr les a conduits à proximité de Chypre, avec les souvenirs de Barnabas et de Sergius Paulus. (verset </w:t>
      </w:r>
      <w:hyperlink r:id="rId2655">
        <w:r>
          <w:rPr>
            <w:color w:val="0000EE"/>
            <w:u w:val="single"/>
          </w:rPr>
          <w:t>3</w:t>
        </w:r>
      </w:hyperlink>
      <w:r>
        <w:t xml:space="preserve">). « Par l'Esprit » les disciples de Tyr « disaient à Paul de ne pas monter à Jérusalem » (verset </w:t>
      </w:r>
      <w:hyperlink r:id="rId8278">
        <w:r>
          <w:rPr>
            <w:color w:val="0000EE"/>
            <w:u w:val="single"/>
          </w:rPr>
          <w:t>4</w:t>
        </w:r>
      </w:hyperlink>
      <w:r>
        <w:t>), mais il a poursuivi sa route jusqu’à Césarée, où il s’est installé avec ses compagnons chez Philippe, qui avait déjà servi avec le martyr Étienne (</w:t>
      </w:r>
      <w:hyperlink r:id="rId2215">
        <w:r>
          <w:rPr>
            <w:color w:val="0000EE"/>
            <w:u w:val="single"/>
          </w:rPr>
          <w:t>21:8</w:t>
        </w:r>
      </w:hyperlink>
      <w:r>
        <w:t xml:space="preserve">; cf. </w:t>
      </w:r>
      <w:hyperlink r:id="rId996">
        <w:r>
          <w:rPr>
            <w:color w:val="0000EE"/>
            <w:u w:val="single"/>
          </w:rPr>
          <w:t>6:5</w:t>
        </w:r>
      </w:hyperlink>
      <w:r>
        <w:t>). À Césarée, Paul ne s’est pas laissé pas convaincre par une prophétie particulièrement dramatique de son arrestation prochaine (</w:t>
      </w:r>
      <w:hyperlink r:id="rId8279">
        <w:r>
          <w:rPr>
            <w:color w:val="0000EE"/>
            <w:u w:val="single"/>
          </w:rPr>
          <w:t>21:10–14</w:t>
        </w:r>
      </w:hyperlink>
      <w:r>
        <w:t>).</w:t>
      </w:r>
    </w:p>
    <w:p>
      <w:r/>
      <w:r>
        <w:t>À Jérusalem, le groupe apostolique a séjourné chez Mnason, un disciple de la première heure, et a été chaleureusement accueilli par les frères (</w:t>
      </w:r>
      <w:hyperlink r:id="rId8280">
        <w:r>
          <w:rPr>
            <w:color w:val="0000EE"/>
            <w:u w:val="single"/>
          </w:rPr>
          <w:t>Actes 21:15–17</w:t>
        </w:r>
      </w:hyperlink>
      <w:r>
        <w:t xml:space="preserve">). Jacques et les anciens de l’Église ont loué Dieu lorsqu’ils ont entendu parler de ses œuvres par l’intermédiaire de Paul parmi les Païens (versets </w:t>
      </w:r>
      <w:hyperlink r:id="rId8281">
        <w:r>
          <w:rPr>
            <w:color w:val="0000EE"/>
            <w:u w:val="single"/>
          </w:rPr>
          <w:t>18–20</w:t>
        </w:r>
      </w:hyperlink>
      <w:r>
        <w:t>), et lorsqu’ils ont reçu la collecte des églises (</w:t>
      </w:r>
      <w:hyperlink r:id="rId8282">
        <w:r>
          <w:rPr>
            <w:color w:val="0000EE"/>
            <w:u w:val="single"/>
          </w:rPr>
          <w:t>24:17</w:t>
        </w:r>
      </w:hyperlink>
      <w:r>
        <w:t>). Ils ont fait part à Paul de sa mauvaise réputation parmi les milliers de disciples juifs de Jérusalem et l’ont exhorté à corriger la conception erronée des judaïsants selon laquelle il encourageait les chrétiens juifs à abandonner les coutumes mosaïques (versets 21–24), et à faire en sorte que les chrétiens juifs ne soient pas obligés d’abandonner les coutumes mosaïques (</w:t>
      </w:r>
      <w:hyperlink r:id="rId8283">
        <w:r>
          <w:rPr>
            <w:color w:val="0000EE"/>
            <w:u w:val="single"/>
          </w:rPr>
          <w:t>21:21–24</w:t>
        </w:r>
      </w:hyperlink>
      <w:r>
        <w:t xml:space="preserve">). </w:t>
      </w:r>
      <w:hyperlink r:id="rId5125">
        <w:r>
          <w:rPr>
            <w:color w:val="0000EE"/>
            <w:u w:val="single"/>
          </w:rPr>
          <w:t>Actes 21:25</w:t>
        </w:r>
      </w:hyperlink>
      <w:r>
        <w:t xml:space="preserve"> révèle que les anciens de Jérusalem savaient que les Païens n’avaient aucune obligation envers Moïse ; leur souci était que Paul démontre que les frères juifs étaient libres de continuer à observer leurs coutumes.</w:t>
      </w:r>
    </w:p>
    <w:p>
      <w:r/>
      <w:r>
        <w:t>Paul a observé les fêtes juives (</w:t>
      </w:r>
      <w:hyperlink r:id="rId8274">
        <w:r>
          <w:rPr>
            <w:color w:val="0000EE"/>
            <w:u w:val="single"/>
          </w:rPr>
          <w:t>Actes 20:6</w:t>
        </w:r>
      </w:hyperlink>
      <w:r>
        <w:t>), comme Jésus et les premiers disciples de Jérusalem. Il s’est également coupé les cheveux lors d’un vœu à Cenchrées (</w:t>
      </w:r>
      <w:hyperlink r:id="rId2156">
        <w:r>
          <w:rPr>
            <w:color w:val="0000EE"/>
            <w:u w:val="single"/>
          </w:rPr>
          <w:t>18:18</w:t>
        </w:r>
      </w:hyperlink>
      <w:r>
        <w:t>), c’était donc une petite affaire pour lui, un Juif, de se purifier sur le plan cérémoniel après être devenu chrétien, surtout si cette action pouvait démonter les arguments des judaïsants. S’il avait refusé la demande des anciens, il aurait confirmé l’accusation des judaïsants. Le succès de ce plan est illustré par le fait que les Juifs d’Asie, en visite à Jérusalem pour la fête de la Pentecôte de l’an 57 av. J.-C., ont semé la zizanie chez Paul (</w:t>
      </w:r>
      <w:hyperlink r:id="rId8284">
        <w:r>
          <w:rPr>
            <w:color w:val="0000EE"/>
            <w:u w:val="single"/>
          </w:rPr>
          <w:t>21:27–29</w:t>
        </w:r>
      </w:hyperlink>
      <w:r>
        <w:t>), et non les judaïsants de Jérusalem.</w:t>
      </w:r>
    </w:p>
    <w:p>
      <w:r/>
      <w:r>
        <w:t>La ville entière a été soulevée par les persécuteurs persistants de Paul. Une foule violente l’a trainé hors du temple, tout comme Étienne avait été trainé jusqu’à son martyre. Ils ont essayé de le tuer, mais il a été sauvé par des soldats romains alors que la foule criait : « Fais-le mourir ! », comme le cas de Jésus (</w:t>
      </w:r>
      <w:hyperlink r:id="rId8285">
        <w:r>
          <w:rPr>
            <w:color w:val="0000EE"/>
            <w:u w:val="single"/>
          </w:rPr>
          <w:t>Actes 21:30–36</w:t>
        </w:r>
      </w:hyperlink>
      <w:r>
        <w:t xml:space="preserve">). À ce moment-là, la diversité éducative et culturelle de la vie de Paul a volé à son secours. Ayant été transporté en sécurité dans les casernes romaines, il s’est adressé en grec au tribun, qui l’avait considéré comme un assassin égyptien (versets </w:t>
      </w:r>
      <w:hyperlink r:id="rId8286">
        <w:r>
          <w:rPr>
            <w:color w:val="0000EE"/>
            <w:u w:val="single"/>
          </w:rPr>
          <w:t>37–38</w:t>
        </w:r>
      </w:hyperlink>
      <w:r>
        <w:t xml:space="preserve">). Autorisé à s’adresser à la foule, il l’a fait en araméen, langue alors courante en Israël (versets </w:t>
      </w:r>
      <w:hyperlink r:id="rId8287">
        <w:r>
          <w:rPr>
            <w:color w:val="0000EE"/>
            <w:u w:val="single"/>
          </w:rPr>
          <w:t>39–40</w:t>
        </w:r>
      </w:hyperlink>
      <w:r>
        <w:t>). La foule silencieuse a écouté avec intérêt la défense de Paul jusqu’à ce qu’il prononce le mot « Païens ». À ce moment-là, la foule a repris ses menaces et ses violences, et Paul a été emmené dans la caserne (</w:t>
      </w:r>
      <w:hyperlink r:id="rId8288">
        <w:r>
          <w:rPr>
            <w:color w:val="0000EE"/>
            <w:u w:val="single"/>
          </w:rPr>
          <w:t>22:1–24</w:t>
        </w:r>
      </w:hyperlink>
      <w:r>
        <w:t xml:space="preserve">). Les Romains s’apprêtaient à le fouetter, mais Paul leur a révélé qu’il n’était pas seulement un Juif de Tarse, mais aussi un citoyen romain né libre. Le tribun a pris peur, car il avait lié un citoyen romain. Voulant connaitre les charges retenues contre Paul, il l’a conduit devant le Sanhédrin (versets </w:t>
      </w:r>
      <w:hyperlink r:id="rId8289">
        <w:r>
          <w:rPr>
            <w:color w:val="0000EE"/>
            <w:u w:val="single"/>
          </w:rPr>
          <w:t>25–30</w:t>
        </w:r>
      </w:hyperlink>
      <w:r>
        <w:t>).</w:t>
      </w:r>
    </w:p>
    <w:p>
      <w:r/>
      <w:r>
        <w:t>Cette réunion de la magistrature juive ne tarde pas à sombrer dans la dissension et la violence. Paul a eu recours à des tactiques justifiées dans une telle guerre et a divisé désespérément le Sanhédrin sur le sujet de la résurrection (</w:t>
      </w:r>
      <w:hyperlink r:id="rId8290">
        <w:r>
          <w:rPr>
            <w:color w:val="0000EE"/>
            <w:u w:val="single"/>
          </w:rPr>
          <w:t>Actes 23:1–9</w:t>
        </w:r>
      </w:hyperlink>
      <w:r>
        <w:t xml:space="preserve">). Paul a à nouveau été sauvé, cette fois des factions contestataires de la direction juive, et emmené à la caserne, où le Seigneur l’a encouragé en lui promettant qu’il irait à Rome (56 av. J.-C., versets </w:t>
      </w:r>
      <w:hyperlink r:id="rId8291">
        <w:r>
          <w:rPr>
            <w:color w:val="0000EE"/>
            <w:u w:val="single"/>
          </w:rPr>
          <w:t>10–11</w:t>
        </w:r>
      </w:hyperlink>
      <w:r>
        <w:t>).</w:t>
      </w:r>
    </w:p>
    <w:p>
      <w:r/>
      <w:r>
        <w:t>Entre-temps, 40 Juifs ont fomenté un complot meurtrier contre Paul. Ils ont juré de ne pas manger ni boire avant d’avoir tué l’apôtre (</w:t>
      </w:r>
      <w:hyperlink r:id="rId8292">
        <w:r>
          <w:rPr>
            <w:color w:val="0000EE"/>
            <w:u w:val="single"/>
          </w:rPr>
          <w:t>Actes 23:12–15</w:t>
        </w:r>
      </w:hyperlink>
      <w:r>
        <w:t xml:space="preserve">). Ils ont presque réussi, mais avec l’aide du fils de la sœur de Paul (verset </w:t>
      </w:r>
      <w:hyperlink r:id="rId8151">
        <w:r>
          <w:rPr>
            <w:color w:val="0000EE"/>
            <w:u w:val="single"/>
          </w:rPr>
          <w:t>16</w:t>
        </w:r>
      </w:hyperlink>
      <w:r>
        <w:t xml:space="preserve">), ce complot a été démasqué. Pour sa sécurité, Paul a été conduit à Jérusalem à Césarée sous la garde de 470 soldats et remis à la garde de Félix, le gouverneur (versets </w:t>
      </w:r>
      <w:hyperlink r:id="rId2734">
        <w:r>
          <w:rPr>
            <w:color w:val="0000EE"/>
            <w:u w:val="single"/>
          </w:rPr>
          <w:t>16–35</w:t>
        </w:r>
      </w:hyperlink>
      <w:r>
        <w:t>). Des audiences non concluantes devant Félix (</w:t>
      </w:r>
      <w:hyperlink r:id="rId2211">
        <w:r>
          <w:rPr>
            <w:color w:val="0000EE"/>
            <w:u w:val="single"/>
          </w:rPr>
          <w:t>Actes 24</w:t>
        </w:r>
      </w:hyperlink>
      <w:r>
        <w:t>), puis devant son successeur, Festus (</w:t>
      </w:r>
      <w:hyperlink r:id="rId2636">
        <w:r>
          <w:rPr>
            <w:color w:val="0000EE"/>
            <w:u w:val="single"/>
          </w:rPr>
          <w:t>25:1–12</w:t>
        </w:r>
      </w:hyperlink>
      <w:r>
        <w:t>) et devant le roi Agrippa (</w:t>
      </w:r>
      <w:hyperlink r:id="rId8293">
        <w:r>
          <w:rPr>
            <w:color w:val="0000EE"/>
            <w:u w:val="single"/>
          </w:rPr>
          <w:t>25:23–26:32</w:t>
        </w:r>
      </w:hyperlink>
      <w:r>
        <w:t>) ont occupé Paul pendant ses deux années d'emprisonnement à Césarée. Festus, désireux de plaire aux Juifs, a suggéré que Paul soit renvoyé à Jérusalem pour y être jugé, mais Paul connaissait les intentions meurtrières de ses accusateurs et s’est à nouveau prévalu de sa citoyenneté romaine en lançant un appel dramatique à César (</w:t>
      </w:r>
      <w:hyperlink r:id="rId8294">
        <w:r>
          <w:rPr>
            <w:color w:val="0000EE"/>
            <w:u w:val="single"/>
          </w:rPr>
          <w:t>25:9–12</w:t>
        </w:r>
      </w:hyperlink>
      <w:r>
        <w:t>).</w:t>
      </w:r>
    </w:p>
    <w:p>
      <w:pPr>
        <w:pStyle w:val="Heading3"/>
      </w:pPr>
      <w:r>
        <w:t>Voyage et séjour à Rome</w:t>
      </w:r>
    </w:p>
    <w:p>
      <w:r/>
      <w:r>
        <w:t xml:space="preserve">Pour plaider sa cause devant le tribunal de César, Paul et ses compagnons, Aristarque et Luc, ont effectué un voyage périlleux (58 av. J.-C., </w:t>
      </w:r>
      <w:hyperlink r:id="rId135">
        <w:r>
          <w:rPr>
            <w:color w:val="0000EE"/>
            <w:u w:val="single"/>
          </w:rPr>
          <w:t>Actes 27:1–28:16</w:t>
        </w:r>
      </w:hyperlink>
      <w:r>
        <w:t>). Leur voyage par bateau de Césarée à Rome représente l’une des tournées les plus remarquables que l’on connaisse. Le récit détaillé de Luc constitue un trésor d’informations sur les navires anciens, la navigation et le métier de marin. Il s’agit aussi d’un magnifique portrait de l’apôtre Paul, un homme héroïque et digne, un ambassadeur de l’Évangile dans les chaines (</w:t>
      </w:r>
      <w:hyperlink r:id="rId2902">
        <w:r>
          <w:rPr>
            <w:color w:val="0000EE"/>
            <w:u w:val="single"/>
          </w:rPr>
          <w:t>Éphésiens 6:20</w:t>
        </w:r>
      </w:hyperlink>
      <w:r>
        <w:t>), qui, guidé et encouragé par son Dieu (</w:t>
      </w:r>
      <w:hyperlink r:id="rId8295">
        <w:r>
          <w:rPr>
            <w:color w:val="0000EE"/>
            <w:u w:val="single"/>
          </w:rPr>
          <w:t>Actes 27:23–26</w:t>
        </w:r>
      </w:hyperlink>
      <w:r>
        <w:t xml:space="preserve">), a conduit les 276 personnes à bord en lieu sûr (verset </w:t>
      </w:r>
      <w:hyperlink r:id="rId8296">
        <w:r>
          <w:rPr>
            <w:color w:val="0000EE"/>
            <w:u w:val="single"/>
          </w:rPr>
          <w:t>37</w:t>
        </w:r>
      </w:hyperlink>
      <w:r>
        <w:t>).</w:t>
      </w:r>
    </w:p>
    <w:p>
      <w:r/>
      <w:r>
        <w:t>Luc retrace le voyage étape par étape, exposant chaque crise, caractérisée par un changement de navire à Myra, un retard à Fair Havens en Crète, et le naufrage à Malte. Enfin, au printemps de l’an 59 av. J.-C., ils sont arrivés à Puteoli, en Italie, et se sont rendus à Rome, accueillis par les frères le long de la Voie Appienne (</w:t>
      </w:r>
      <w:hyperlink r:id="rId8297">
        <w:r>
          <w:rPr>
            <w:color w:val="0000EE"/>
            <w:u w:val="single"/>
          </w:rPr>
          <w:t>Actes 28:13–16</w:t>
        </w:r>
      </w:hyperlink>
      <w:r>
        <w:t>).</w:t>
      </w:r>
    </w:p>
    <w:p>
      <w:r/>
      <w:r>
        <w:t>Luc a présenté un dénouement pacifique des Actes, malgré le fait que l’apôtre Paul était un prisonnier impérial de César Néron. Paul vivait seul dans sa propre maison, enchainé en présence d’un garde romain (</w:t>
      </w:r>
      <w:hyperlink r:id="rId4769">
        <w:r>
          <w:rPr>
            <w:color w:val="0000EE"/>
            <w:u w:val="single"/>
          </w:rPr>
          <w:t>Actes 28:16, 30</w:t>
        </w:r>
      </w:hyperlink>
      <w:r>
        <w:t xml:space="preserve">). Là, il recevait les dirigeants juifs locaux, afin de calmer les craintes qu’ils avaient à son sujet et, en même temps, pour les convaincre de l’existence de Jésus. Ses efforts ont abouti à un succès mitigé (versets </w:t>
      </w:r>
      <w:hyperlink r:id="rId8298">
        <w:r>
          <w:rPr>
            <w:color w:val="0000EE"/>
            <w:u w:val="single"/>
          </w:rPr>
          <w:t>17–28</w:t>
        </w:r>
      </w:hyperlink>
      <w:r>
        <w:t>). Pendant les deux années ou plus que Paul a passées à Rome, les judaïsants semblent s’être retirés, pour être remplacés par le péril du gnosticisme oriental. Ce détail ressort des lettres de Paul aux Philippiens, aux Colossiens, aux Éphésiens et à Philémon, toutes ont été écrites à cette époque. Il est peu probable que les accusateurs de Paul se soient présentés à Rome pour porter des accusations formelles devant César, Paul a donc probablement été libéré en l’an 61 av. J.-C..</w:t>
      </w:r>
    </w:p>
    <w:p>
      <w:pPr>
        <w:pStyle w:val="Heading3"/>
      </w:pPr>
      <w:r>
        <w:t>Dernières années et martyre</w:t>
      </w:r>
    </w:p>
    <w:p>
      <w:r/>
      <w:r>
        <w:t xml:space="preserve">On suppose ici que Paul est l’auteur des lettres pastorales (1 Timothée, 2 Timothée et Tite). Seules ces lettres permettent de retracer le cours probable des événements des dernières années de Paul. </w:t>
      </w:r>
      <w:hyperlink r:id="rId6663">
        <w:r>
          <w:rPr>
            <w:color w:val="0000EE"/>
            <w:u w:val="single"/>
          </w:rPr>
          <w:t>Romains 15:28</w:t>
        </w:r>
      </w:hyperlink>
      <w:r>
        <w:t xml:space="preserve"> montre que Paul avait l’intention de remettre les dons à Jérusalem, puis de « partir pour l’Espagne et de passer chez vous [Rome] ». Son arrestation et son emprisonnement à Jérusalem n’ont pas seulement saboté ces projets, ils ont aussi soustrait cinq précieuses années à la fleur d’une vie des plus productives. Bien que Clément de Rome ait laissé croire que Paul avait réalisé son désir d’aller en Espagne (</w:t>
      </w:r>
      <w:r>
        <w:rPr>
          <w:i/>
        </w:rPr>
        <w:t>Clément aux Corinthiens</w:t>
      </w:r>
      <w:r>
        <w:t xml:space="preserve"> 5), il est certain que la pression quotidienne de l’attention anxieuse de Paul pour toutes les églises (</w:t>
      </w:r>
      <w:hyperlink r:id="rId8299">
        <w:r>
          <w:rPr>
            <w:color w:val="0000EE"/>
            <w:u w:val="single"/>
          </w:rPr>
          <w:t>2 Corinthiens 11:28</w:t>
        </w:r>
      </w:hyperlink>
      <w:r>
        <w:t>) n’a pas diminué.</w:t>
      </w:r>
    </w:p>
    <w:p>
      <w:r/>
      <w:r>
        <w:t>Si Paul s’est rendu en Espagne, il était peut-être là lorsque Rome a été incendiée le 19 juillet, 64 av. J.-C. La tradition révèle que Paul a voyagé jusqu’en Grande-Bretagne, mais aucune preuve ne confirme ce fait. De retour vers l’est, il a laissé Tite en Crète (</w:t>
      </w:r>
      <w:hyperlink r:id="rId8300">
        <w:r>
          <w:rPr>
            <w:color w:val="0000EE"/>
            <w:u w:val="single"/>
          </w:rPr>
          <w:t>Tite 1:5</w:t>
        </w:r>
      </w:hyperlink>
      <w:r>
        <w:t>) et est passé par Milet, au sud d’Éphèse, où il a laissé Trophime malade (</w:t>
      </w:r>
      <w:hyperlink r:id="rId4862">
        <w:r>
          <w:rPr>
            <w:color w:val="0000EE"/>
            <w:u w:val="single"/>
          </w:rPr>
          <w:t>2 Timothée 4:20</w:t>
        </w:r>
      </w:hyperlink>
      <w:r>
        <w:t>). Se dirigeant vers la Macédoine, Paul a rendu visite à Timothée à Éphèse (</w:t>
      </w:r>
      <w:hyperlink r:id="rId4760">
        <w:r>
          <w:rPr>
            <w:color w:val="0000EE"/>
            <w:u w:val="single"/>
          </w:rPr>
          <w:t>1 Timothée 1:3</w:t>
        </w:r>
      </w:hyperlink>
      <w:r>
        <w:t>). En chemin, Paul a laissé son manteau et ses livres à Carpus à Troas (</w:t>
      </w:r>
      <w:hyperlink r:id="rId8301">
        <w:r>
          <w:rPr>
            <w:color w:val="0000EE"/>
            <w:u w:val="single"/>
          </w:rPr>
          <w:t>2 Timothée 4:13</w:t>
        </w:r>
      </w:hyperlink>
      <w:r>
        <w:t>). Paul avait donc l’intention d’y retourner pour récupérer ses biens. Paul a écrit à Timothée sa première lettre étant à Macédoine, une épitre à la fois affectueuse et empreinte d’inquiétude (62–64 av. J.-C.). Il avait décidé de passer l’hiver à Nicopolis (</w:t>
      </w:r>
      <w:hyperlink r:id="rId8302">
        <w:r>
          <w:rPr>
            <w:color w:val="0000EE"/>
            <w:u w:val="single"/>
          </w:rPr>
          <w:t>Tite 3:12</w:t>
        </w:r>
      </w:hyperlink>
      <w:r>
        <w:t>), au nord-ouest de Corinthe, sur la mer Adriatique, mais il était encore en Macédoine lorsqu’il a écrit sa lettre à Tite. Cette lettre est semblable à 1 Timothée, mais avec un ton un peu plus dur. Elle donne un dernier aperçu de l’éloquent et zélé Apollos (</w:t>
      </w:r>
      <w:hyperlink r:id="rId8303">
        <w:r>
          <w:rPr>
            <w:color w:val="0000EE"/>
            <w:u w:val="single"/>
          </w:rPr>
          <w:t>Tite 3:13</w:t>
        </w:r>
      </w:hyperlink>
      <w:r>
        <w:t>), qui est toujours associé à Paul dix ans ou plus après sa première apparition à Éphèse (</w:t>
      </w:r>
      <w:hyperlink r:id="rId530">
        <w:r>
          <w:rPr>
            <w:color w:val="0000EE"/>
            <w:u w:val="single"/>
          </w:rPr>
          <w:t>Actes 18:24</w:t>
        </w:r>
      </w:hyperlink>
      <w:r>
        <w:t>).</w:t>
      </w:r>
    </w:p>
    <w:p>
      <w:r/>
      <w:r>
        <w:t>À partir de là, la trajectoire de Paul est obscure. Il a peut-être hiverné à Nicopolis, mais il n’est pas retourné à Troas pour prendre son manteau d’hiver (</w:t>
      </w:r>
      <w:hyperlink r:id="rId8301">
        <w:r>
          <w:rPr>
            <w:color w:val="0000EE"/>
            <w:u w:val="single"/>
          </w:rPr>
          <w:t>2 Timothée 4:13</w:t>
        </w:r>
      </w:hyperlink>
      <w:r>
        <w:t xml:space="preserve">). À un moment donné, les Romains l’ont arrêté, car il a passé un hiver dans la prison mamertine de Rome, souffrant du froid dans cette cellule de pierre avant d’écrire sa deuxième lettre à Timothée (66–67 av. J.-C.). Il est possible qu’il ait anticipé l’hiver à venir lorsqu’il a demandé à Timothée d’apporter son manteau (versets </w:t>
      </w:r>
      <w:hyperlink r:id="rId8304">
        <w:r>
          <w:rPr>
            <w:color w:val="0000EE"/>
            <w:u w:val="single"/>
          </w:rPr>
          <w:t>13, 21</w:t>
        </w:r>
      </w:hyperlink>
      <w:r>
        <w:t>). Il est possible que les accusations portées contre Paul soient liées à l’incendie de Rome, on ignore ce détail. Toutefois, il était désormais « illégal » d’être chrétien puisque la « nouvelle religion » n’était plus protégée par le droit romain comme faisant partie du judaïsme (qui était une religion légalisée et reconnue par le droit romain).</w:t>
      </w:r>
    </w:p>
    <w:p>
      <w:r/>
      <w:r>
        <w:t>À cette époque, il était dangereux d’être associé à Paul. Beaucoup l’ont abandonné (</w:t>
      </w:r>
      <w:hyperlink r:id="rId7132">
        <w:r>
          <w:rPr>
            <w:color w:val="0000EE"/>
            <w:u w:val="single"/>
          </w:rPr>
          <w:t>2 Timothée 4:16</w:t>
        </w:r>
      </w:hyperlink>
      <w:r>
        <w:t>), notamment tous ses collaborateurs en Asie (</w:t>
      </w:r>
      <w:hyperlink r:id="rId1403">
        <w:r>
          <w:rPr>
            <w:color w:val="0000EE"/>
            <w:u w:val="single"/>
          </w:rPr>
          <w:t>1:15</w:t>
        </w:r>
      </w:hyperlink>
      <w:r>
        <w:t>) et Démas, qui aimait le monde (</w:t>
      </w:r>
      <w:hyperlink r:id="rId5883">
        <w:r>
          <w:rPr>
            <w:color w:val="0000EE"/>
            <w:u w:val="single"/>
          </w:rPr>
          <w:t>4:10</w:t>
        </w:r>
      </w:hyperlink>
      <w:r>
        <w:t xml:space="preserve">). Seul Luc, le médecin et auteur de Luc et des Actes, était avec lui lorsqu’il écrivait sa deuxième lettre à Timothée (verset </w:t>
      </w:r>
      <w:hyperlink r:id="rId128">
        <w:r>
          <w:rPr>
            <w:color w:val="0000EE"/>
            <w:u w:val="single"/>
          </w:rPr>
          <w:t>11</w:t>
        </w:r>
      </w:hyperlink>
      <w:r>
        <w:t>). Les fidèles qui se cachaient encore à Rome étaient également en contact avec l’apôtre Paul (</w:t>
      </w:r>
      <w:hyperlink r:id="rId8305">
        <w:r>
          <w:rPr>
            <w:color w:val="0000EE"/>
            <w:u w:val="single"/>
          </w:rPr>
          <w:t>1:16</w:t>
        </w:r>
      </w:hyperlink>
      <w:r>
        <w:t xml:space="preserve">; </w:t>
      </w:r>
      <w:hyperlink r:id="rId8306">
        <w:r>
          <w:rPr>
            <w:color w:val="0000EE"/>
            <w:u w:val="single"/>
          </w:rPr>
          <w:t>4:19, 21</w:t>
        </w:r>
      </w:hyperlink>
      <w:r>
        <w:t>). Il a demandé à Timothée de venir le trouver à Rome et d’y amener Marc (</w:t>
      </w:r>
      <w:hyperlink r:id="rId128">
        <w:r>
          <w:rPr>
            <w:color w:val="0000EE"/>
            <w:u w:val="single"/>
          </w:rPr>
          <w:t>4:11</w:t>
        </w:r>
      </w:hyperlink>
      <w:r>
        <w:t>). Apparemment, Timothée est venu et a été emprisonné (</w:t>
      </w:r>
      <w:hyperlink r:id="rId6266">
        <w:r>
          <w:rPr>
            <w:color w:val="0000EE"/>
            <w:u w:val="single"/>
          </w:rPr>
          <w:t>Hébreux 13:23</w:t>
        </w:r>
      </w:hyperlink>
      <w:r>
        <w:t>). La demande de Paul concernant les livres et les parchemins (</w:t>
      </w:r>
      <w:hyperlink r:id="rId8301">
        <w:r>
          <w:rPr>
            <w:color w:val="0000EE"/>
            <w:u w:val="single"/>
          </w:rPr>
          <w:t>2 Timothée 4:13</w:t>
        </w:r>
      </w:hyperlink>
      <w:r>
        <w:t>) montre qu’il lisait et étudiait sans cesse les Saintes Écritures.</w:t>
      </w:r>
    </w:p>
    <w:p>
      <w:r/>
      <w:r>
        <w:t>Le César Néron a entendu l’apôtre Paul deux fois. Lors de sa première défense, seul le Seigneur se tenait à ses côtés (</w:t>
      </w:r>
      <w:hyperlink r:id="rId7132">
        <w:r>
          <w:rPr>
            <w:color w:val="0000EE"/>
            <w:u w:val="single"/>
          </w:rPr>
          <w:t>2 Timothée 4:16</w:t>
        </w:r>
      </w:hyperlink>
      <w:r>
        <w:t xml:space="preserve">). Il y a plaidé, non seulement sa cause, mais aussi celle de l’Évangile, désirant toujours que tous les Païens entendent son message. Peut-être qu’aucune décision n’a été prise, et ainsi, il a été « délivré de la gueule du lion » (verset </w:t>
      </w:r>
      <w:hyperlink r:id="rId8307">
        <w:r>
          <w:rPr>
            <w:color w:val="0000EE"/>
            <w:u w:val="single"/>
          </w:rPr>
          <w:t>17</w:t>
        </w:r>
      </w:hyperlink>
      <w:r>
        <w:t xml:space="preserve">). Certes, il savait qu’il allait bientôt mourir, mais il n’avait pas peur, étant convaincu que le Seigneur lui donnerait une couronne de justice au dernier jour (verset </w:t>
      </w:r>
      <w:hyperlink r:id="rId2718">
        <w:r>
          <w:rPr>
            <w:color w:val="0000EE"/>
            <w:u w:val="single"/>
          </w:rPr>
          <w:t>8</w:t>
        </w:r>
      </w:hyperlink>
      <w:r>
        <w:t xml:space="preserve">). Enfin, l’apôtre lui-même a donné son encouragement fondamental à tous les disciples : « Que le Seigneur soit avec ton esprit ! Que la grâce soit avec vous ! » (verset </w:t>
      </w:r>
      <w:hyperlink r:id="rId8308">
        <w:r>
          <w:rPr>
            <w:color w:val="0000EE"/>
            <w:u w:val="single"/>
          </w:rPr>
          <w:t>22</w:t>
        </w:r>
      </w:hyperlink>
      <w:r>
        <w:t>, lsg). Après ce passage, les Saintes Écritures sont muettes au sujet de Paul.</w:t>
      </w:r>
    </w:p>
    <w:p>
      <w:r/>
      <w:r>
        <w:t>On ne sait rien de la seconde audience de Paul, excepté le fait qu’elle s’est soldée par une condamnation à la peine capitale. L’histoire ne rapporte pas la fin de Paul. Néron est mort au cours de l’été de l’an 68 av. J.-C., Paul a donc été exécuté avant cette date. En tant que citoyen romain, il a dû échapper aux tortures persistantes subies récemment par ses compagnons martyrs. La tradition suggère qu’il a été décapité par l’épée d’un chef impérial sur la route d’Ostie, à la périphérie de Rome, et enterré à proximité. Paul a ainsi réalisé son désir de « s’en aller et d’être avec Christ, ce qui de beaucoup est le meilleur » (</w:t>
      </w:r>
      <w:hyperlink r:id="rId3097">
        <w:r>
          <w:rPr>
            <w:color w:val="0000EE"/>
            <w:u w:val="single"/>
          </w:rPr>
          <w:t>Philippiens 1:23</w:t>
        </w:r>
      </w:hyperlink>
      <w:r>
        <w:t>, lsg).</w:t>
      </w:r>
      <w:r/>
      <w:r/>
    </w:p>
    <w:p>
      <w:r/>
    </w:p>
    <w:p>
      <w:pPr>
        <w:pStyle w:val="Heading2"/>
      </w:pPr>
      <w:r>
        <w:t>L’espérance</w:t>
      </w:r>
      <w:r/>
    </w:p>
    <w:p>
      <w:r/>
      <w:r>
        <w:t>Attente ou croyance en la réalisation d’une chose désirée. Les blessures actuelles et l’incertitude concernant l’avenir créent un besoin constant d’espérance. La pauvreté, la faim, la maladie et le potentiel humain à faire régner la terreur et la destruction dans le monde entier font naitre le désir d’une chose meilleure. De tout temps, les gens envisagent l’avenir avec un mélange de nostalgie et de crainte. Nombre de personnes concluent qu’il n’existe pas de raison valable d’espérer et que, par conséquent, espérer revient à vivre dans l’illusion. Les Saintes Écritures nous révèlent que ceux qui n’ont pas Dieu sont sans espérance (</w:t>
      </w:r>
      <w:hyperlink r:id="rId1935">
        <w:r>
          <w:rPr>
            <w:color w:val="0000EE"/>
            <w:u w:val="single"/>
          </w:rPr>
          <w:t>Éphésiens 2:12</w:t>
        </w:r>
      </w:hyperlink>
      <w:r>
        <w:t>).</w:t>
      </w:r>
    </w:p>
    <w:p>
      <w:r/>
      <w:r>
        <w:t>Le monde moderne cherche l’espérance dans l’effort humain et croit en l’inévitabilité du progrès, supposant que tout ira naturellement de mieux en mieux. La menace et la réalité de la guerre au 20e siècle remettent en cause cet optimisme et laissent dans leur sillage un désespoir croissant. Certes, bon nombre de personnes trouvent encore peu de raisons d’espérer, mais d’autres se fondent sur une base humaniste de l’espérance. Ces personnes considèrent que, si les hommes sont la source des problèmes du monde, ils peuvent aussi en être la solution. Cet argument peut être remis en question sur la base des preuves actuelles et historiques du contraire.</w:t>
      </w:r>
    </w:p>
    <w:p>
      <w:r/>
      <w:r>
        <w:t>Le christianisme est souvent pris en compte dans les discussions relatives à l’espérance. Malheureusement, le christianisme n’a pas toujours eu une « bonne réputation » à cet égard. Dans les premiers siècles de l’histoire de l’Église, l’accent mis sur la disparité entre ce monde et celui à venir semblait créer une attitude d’évasion, de futilité ou d’indifférence à l’égard des problèmes et des souffrances de l’existence humaine. Au 19e siècle, le philosophe prussien Frederick Nietzsche (1844–1900) affirmait que le christianisme rendait ses adeptes lâches parce qu’il leur enseignait que tout ce qui arrivait était la volonté de Dieu, les décourageant ainsi de consentir des efforts pour changer le monde. Karl Marx (1818–83) a déclaré que le christianisme ou la religion était « l’opium du peuple ». De l’avis de Marx, la religion empêchait les hommes de se révolter contre ceux qui les opprimaient.</w:t>
      </w:r>
    </w:p>
    <w:p>
      <w:r/>
      <w:r>
        <w:t>Jürgen Moltmann s’est opposé au fait de considérer le christianisme comme un autre monde dans ce que l’on a appelé la « théologie de l’espérance ». Cette théologie est le produit du pessimisme et du désespoir de l’Europe d’après la Seconde Guerre mondiale. La théologie de l’espérance de Moltmann affirme que l’avenir est la base pour changer le présent et que le service chrétien devrait être une tentative de faire de l’espérance d’un autre monde une réalité présente. La résurrection apporte l’espérance dans la souffrance et encourage les hommes à la surmonter. Cependant, se fier à l’effort humain pour changer l’avenir pourrait conduire à une notion humaniste de la résurrection, la considérant comme un simple symbole d’espérance pour motiver l’action plutôt que de la reconnaitre comme l’action historique de Dieu dans le monde par l’intermédiaire de Jésus-Christ. Une autre préoccupation réside dans le fait que la discussion sur l’espérance pour ce monde grâce à une transformation des structures politiques et sociales pourrait négliger la nécessité d’une transformation personnelle de la vie des hommes au moyen de la conversion et de la repentance. Si des questions critiques ont été soulevées au sujet de la théologie de l’espérance, cette théologie a aussi conduit à l’examen ou au réexamen de la doctrine biblique de l’espérance.</w:t>
      </w:r>
    </w:p>
    <w:p>
      <w:r/>
      <w:r>
        <w:t>L’espérance biblique est l’espérance en ce que Dieu fera dans le futur. La résurrection de Jésus est au cœur de l’espérance chrétienne. Paul a parlé de la nature, de la certitude et de l’importance de la résurrection (</w:t>
      </w:r>
      <w:hyperlink r:id="rId8309">
        <w:r>
          <w:rPr>
            <w:color w:val="0000EE"/>
            <w:u w:val="single"/>
          </w:rPr>
          <w:t>1 Corinthiens 15:12–28</w:t>
        </w:r>
      </w:hyperlink>
      <w:r>
        <w:t xml:space="preserve">). En déclarant « Si c’est dans cette vie seulement que nous espérons en Christ, nous sommes les plus malheureux de tous les hommes. », Paul affirme avec certitude que l’espérance chrétienne est tournée vers l’avenir (v </w:t>
      </w:r>
      <w:hyperlink r:id="rId8310">
        <w:r>
          <w:rPr>
            <w:color w:val="0000EE"/>
            <w:u w:val="single"/>
          </w:rPr>
          <w:t>19</w:t>
        </w:r>
      </w:hyperlink>
      <w:r>
        <w:t xml:space="preserve">, lsg). L’importance de la résurrection de Christ réside dans le fait qu’elle indique, non seulement sa victoire sur la mort, mais qu’elle étend également cette victoire à ceux qui sont les siens : « mais chacun en son rang. Christ comme prémices, puis ceux qui appartiennent à Christ, lors de son avènement. » (v </w:t>
      </w:r>
      <w:hyperlink r:id="rId5005">
        <w:r>
          <w:rPr>
            <w:color w:val="0000EE"/>
            <w:u w:val="single"/>
          </w:rPr>
          <w:t>23</w:t>
        </w:r>
      </w:hyperlink>
      <w:r>
        <w:t>). L’apôtre Pierre a déclaré : « Béni soit Dieu, le Père de notre Seigneur Jésus-Christ, qui, selon sa grande miséricorde, nous a régénérés, pour une espérance vivante, par la résurrection de Jésus-Christ d’entre les morts » (</w:t>
      </w:r>
      <w:hyperlink r:id="rId5186">
        <w:r>
          <w:rPr>
            <w:color w:val="0000EE"/>
            <w:u w:val="single"/>
          </w:rPr>
          <w:t>1 Pierre 1:3</w:t>
        </w:r>
      </w:hyperlink>
      <w:r>
        <w:t xml:space="preserve">, lsg). Dans ce passage, Pierre attribue l’espérance vivante à la résurrection de Christ et évoque la bénédiction future de Dieu sur ceux qui appartiennent à Christ. Cette espérance future permet au chrétien de vivre sans désespoir les luttes et les souffrances du présent (cf. </w:t>
      </w:r>
      <w:hyperlink r:id="rId3773">
        <w:r>
          <w:rPr>
            <w:color w:val="0000EE"/>
            <w:u w:val="single"/>
          </w:rPr>
          <w:t>Romains 8:18</w:t>
        </w:r>
      </w:hyperlink>
      <w:r>
        <w:t xml:space="preserve">; </w:t>
      </w:r>
      <w:hyperlink r:id="rId3146">
        <w:r>
          <w:rPr>
            <w:color w:val="0000EE"/>
            <w:u w:val="single"/>
          </w:rPr>
          <w:t>2 Corinthiens 4:16–18</w:t>
        </w:r>
      </w:hyperlink>
      <w:r>
        <w:t>).</w:t>
      </w:r>
    </w:p>
    <w:p>
      <w:r/>
      <w:r>
        <w:t>L’espérance chrétienne est solidement ancrée dans les paroles et les actions de Dieu. Les promesses de Dieu se sont avérées fiables. La résurrection de Jésus devient la base ultime de l’espérance. Puisque Dieu a déjà vaincu la mort à travers Christ, le chrétien peut vivre avec assurance dans le présent. Quelque obscure que l’époque actuelle soit, le chrétien a déjà vu la lumière à venir. Les hommes doivent espérer, et l’espérance placée dans la promesse personnelle de Dieu est sûre. Cette espérance sûre est pleine de signification sociale, libérant ainsi l’individu de l’esclavage du matérialisme et de son égoïsme naturel. L’espérance chrétienne offre à la fois une sécurité pour l’avenir et une disposition aimante à partager avec les autres dans le présent.</w:t>
      </w:r>
      <w:r/>
      <w:r/>
    </w:p>
    <w:p>
      <w:r/>
    </w:p>
    <w:p>
      <w:pPr>
        <w:pStyle w:val="Heading2"/>
      </w:pPr>
      <w:r>
        <w:t>L’Évangile</w:t>
      </w:r>
      <w:r/>
    </w:p>
    <w:p>
      <w:r/>
      <w:r>
        <w:t>Terme utilisé pour décrire de diverses manières la bonne nouvelle du salut que Dieu offre en Jésus-Christ.</w:t>
      </w:r>
    </w:p>
    <w:p>
      <w:r/>
      <w:r>
        <w:t>Aperçu</w:t>
      </w:r>
    </w:p>
    <w:p>
      <w:r/>
      <w:r>
        <w:t>• Le message de l’Évangile selon Ésaïe</w:t>
      </w:r>
    </w:p>
    <w:p>
      <w:r/>
      <w:r>
        <w:t>• L’Évangile dans le Nouveau Testament</w:t>
      </w:r>
    </w:p>
    <w:p>
      <w:r/>
      <w:r>
        <w:t>• La bonne nouvelle de la venue de Christ</w:t>
      </w:r>
    </w:p>
    <w:p>
      <w:r/>
      <w:r>
        <w:t>• L’Évangile selon Jésus</w:t>
      </w:r>
    </w:p>
    <w:p>
      <w:r/>
      <w:r>
        <w:t>• L’Évangile après la résurrection de Jésus</w:t>
      </w:r>
    </w:p>
    <w:p>
      <w:pPr>
        <w:pStyle w:val="Heading3"/>
      </w:pPr>
      <w:r>
        <w:t>Le message de l’Évangile selon Ésaïe</w:t>
      </w:r>
    </w:p>
    <w:p>
      <w:r/>
      <w:r>
        <w:t>De tous les passages cités, ceux d’Ésaïe représentent le socle le plus important pour l’Évangile dans le Nouveau Testament. Selon l’Évangile d’Ésaïe, Dieu seul sauve, et son salut s’explique uniquement par sa nature. Israël n’a pas mérité sa délivrance ; aujourd’hui, il n’est pas plus digne de l’amour divin qu’il ne l’était au moment de sa captivité. Peu importe le prix qu’Israël a payé pour ses péchés passés (</w:t>
      </w:r>
      <w:hyperlink r:id="rId8311">
        <w:r>
          <w:rPr>
            <w:color w:val="0000EE"/>
            <w:u w:val="single"/>
          </w:rPr>
          <w:t>Ésaïe 40:2</w:t>
        </w:r>
      </w:hyperlink>
      <w:r>
        <w:t>), il reste un peuple pécheur (</w:t>
      </w:r>
      <w:hyperlink r:id="rId8312">
        <w:r>
          <w:rPr>
            <w:color w:val="0000EE"/>
            <w:u w:val="single"/>
          </w:rPr>
          <w:t>42:25</w:t>
        </w:r>
      </w:hyperlink>
      <w:r>
        <w:t xml:space="preserve">; </w:t>
      </w:r>
      <w:hyperlink r:id="rId8313">
        <w:r>
          <w:rPr>
            <w:color w:val="0000EE"/>
            <w:u w:val="single"/>
          </w:rPr>
          <w:t>46:12–13</w:t>
        </w:r>
      </w:hyperlink>
      <w:r>
        <w:t xml:space="preserve">; </w:t>
      </w:r>
      <w:hyperlink r:id="rId8314">
        <w:r>
          <w:rPr>
            <w:color w:val="0000EE"/>
            <w:u w:val="single"/>
          </w:rPr>
          <w:t>48:1</w:t>
        </w:r>
      </w:hyperlink>
      <w:r>
        <w:t>). Israël doit son salut uniquement à la grâce de Dieu (</w:t>
      </w:r>
      <w:hyperlink r:id="rId8315">
        <w:r>
          <w:rPr>
            <w:color w:val="0000EE"/>
            <w:u w:val="single"/>
          </w:rPr>
          <w:t>55:1–7</w:t>
        </w:r>
      </w:hyperlink>
      <w:r>
        <w:t>). Selon le dessein de Dieu, le salut d’Israël ne dépend pas de sa justice, mais de celle du Seigneur (</w:t>
      </w:r>
      <w:hyperlink r:id="rId8316">
        <w:r>
          <w:rPr>
            <w:color w:val="0000EE"/>
            <w:u w:val="single"/>
          </w:rPr>
          <w:t>41:10</w:t>
        </w:r>
      </w:hyperlink>
      <w:r>
        <w:t xml:space="preserve">; </w:t>
      </w:r>
      <w:hyperlink r:id="rId6723">
        <w:r>
          <w:rPr>
            <w:color w:val="0000EE"/>
            <w:u w:val="single"/>
          </w:rPr>
          <w:t>45:24</w:t>
        </w:r>
      </w:hyperlink>
      <w:r>
        <w:t xml:space="preserve">; </w:t>
      </w:r>
      <w:hyperlink r:id="rId8317">
        <w:r>
          <w:rPr>
            <w:color w:val="0000EE"/>
            <w:u w:val="single"/>
          </w:rPr>
          <w:t>46:13</w:t>
        </w:r>
      </w:hyperlink>
      <w:r>
        <w:t xml:space="preserve">; </w:t>
      </w:r>
      <w:hyperlink r:id="rId8318">
        <w:r>
          <w:rPr>
            <w:color w:val="0000EE"/>
            <w:u w:val="single"/>
          </w:rPr>
          <w:t>51:5–6</w:t>
        </w:r>
      </w:hyperlink>
      <w:r>
        <w:t xml:space="preserve">). Il n’existe aucune justice en Israël pouvant être récompensée, le Seigneur œuvre pour </w:t>
      </w:r>
      <w:r>
        <w:rPr>
          <w:i/>
        </w:rPr>
        <w:t>créer</w:t>
      </w:r>
      <w:r>
        <w:t xml:space="preserve"> la justice en cette nation (</w:t>
      </w:r>
      <w:hyperlink r:id="rId8319">
        <w:r>
          <w:rPr>
            <w:color w:val="0000EE"/>
            <w:u w:val="single"/>
          </w:rPr>
          <w:t>45:8</w:t>
        </w:r>
      </w:hyperlink>
      <w:r>
        <w:t xml:space="preserve">; </w:t>
      </w:r>
      <w:hyperlink r:id="rId8320">
        <w:r>
          <w:rPr>
            <w:color w:val="0000EE"/>
            <w:u w:val="single"/>
          </w:rPr>
          <w:t>61:3, 10–11</w:t>
        </w:r>
      </w:hyperlink>
      <w:r>
        <w:t>). Toutefois, comme l’indiquent ces références, le salut ne s’accomplit pas au détriment de la justice. La sentence pour les péchés d’Israël doit être dûment appliquée. La miséricorde de Dieu n’est pas remise en question. Au contraire, elle s’exprime ici avec plus de force, car la sentence n’est pas infligée à son peuple, mais au Serviteur désigné pour se substituer au peuple (</w:t>
      </w:r>
      <w:hyperlink r:id="rId8321">
        <w:r>
          <w:rPr>
            <w:color w:val="0000EE"/>
            <w:u w:val="single"/>
          </w:rPr>
          <w:t>53:4–12</w:t>
        </w:r>
      </w:hyperlink>
      <w:r>
        <w:t>). Grâce à l’œuvre du Serviteur, plusieurs seront justifiés (</w:t>
      </w:r>
      <w:hyperlink r:id="rId8322">
        <w:r>
          <w:rPr>
            <w:color w:val="0000EE"/>
            <w:u w:val="single"/>
          </w:rPr>
          <w:t>53:11</w:t>
        </w:r>
      </w:hyperlink>
      <w:r>
        <w:t xml:space="preserve">). L’évangéliste (le prédicateur de la bonne nouvelle) viendra, selon la prophétie </w:t>
      </w:r>
      <w:hyperlink r:id="rId8323">
        <w:r>
          <w:rPr>
            <w:color w:val="0000EE"/>
            <w:u w:val="single"/>
          </w:rPr>
          <w:t>du chapitre 61 d’Ésaïe</w:t>
        </w:r>
      </w:hyperlink>
      <w:r>
        <w:t xml:space="preserve">. Il sera appelé l’Oint (verset </w:t>
      </w:r>
      <w:hyperlink r:id="rId4033">
        <w:r>
          <w:rPr>
            <w:color w:val="0000EE"/>
            <w:u w:val="single"/>
          </w:rPr>
          <w:t>1</w:t>
        </w:r>
      </w:hyperlink>
      <w:r>
        <w:t xml:space="preserve">) qui annonce l’année de la miséricorde de l’Éternel (verset </w:t>
      </w:r>
      <w:hyperlink r:id="rId8324">
        <w:r>
          <w:rPr>
            <w:color w:val="0000EE"/>
            <w:u w:val="single"/>
          </w:rPr>
          <w:t>2</w:t>
        </w:r>
      </w:hyperlink>
      <w:r>
        <w:t xml:space="preserve">). Sa prédication glorifiera Dieu (verset </w:t>
      </w:r>
      <w:hyperlink r:id="rId8325">
        <w:r>
          <w:rPr>
            <w:color w:val="0000EE"/>
            <w:u w:val="single"/>
          </w:rPr>
          <w:t>3</w:t>
        </w:r>
      </w:hyperlink>
      <w:r>
        <w:t>).</w:t>
      </w:r>
    </w:p>
    <w:p>
      <w:pPr>
        <w:pStyle w:val="Heading3"/>
      </w:pPr>
      <w:r>
        <w:t>L’Évangile dans le Nouveau Testament</w:t>
      </w:r>
    </w:p>
    <w:p>
      <w:r/>
      <w:r>
        <w:t>Seules deux références (</w:t>
      </w:r>
      <w:hyperlink r:id="rId8326">
        <w:r>
          <w:rPr>
            <w:color w:val="0000EE"/>
            <w:u w:val="single"/>
          </w:rPr>
          <w:t>Galates 3:8</w:t>
        </w:r>
      </w:hyperlink>
      <w:r>
        <w:t xml:space="preserve">; </w:t>
      </w:r>
      <w:hyperlink r:id="rId8327">
        <w:r>
          <w:rPr>
            <w:color w:val="0000EE"/>
            <w:u w:val="single"/>
          </w:rPr>
          <w:t>Hébreux 4:2, 6</w:t>
        </w:r>
      </w:hyperlink>
      <w:r>
        <w:t xml:space="preserve">) du Nouveau Testament évoquent la proclamation de l’Évangile avant l’ère chrétienne. C’est tout à fait remarquable, étant donné (1) la présence indubitable de l’Évangile dans l’Ancien Testament, (2) l’abondance de la terminologie évangélique dans le Nouveau Testament (en grec, le nom apparait 76 fois et le verbe 54 fois) et (3) la présentation de Christ comme l’accomplissement de l’Ancien Testament et le recours fréquent à l’Ancien Testament pour comprendre sa nature et ses œuvres. Cette observation est intéressante et très significative. Elle indique que l’usage du Nouveau Testament repose sur la </w:t>
      </w:r>
      <w:r>
        <w:rPr>
          <w:i/>
        </w:rPr>
        <w:t>nature</w:t>
      </w:r>
      <w:r>
        <w:t xml:space="preserve"> du message (la vérité sur le salut), mais aussi sur des </w:t>
      </w:r>
      <w:r>
        <w:rPr>
          <w:i/>
        </w:rPr>
        <w:t>événements historiques.</w:t>
      </w:r>
      <w:r>
        <w:t xml:space="preserve"> Dans le Nouveau Testament (presque sans exception) l’utilisation de la terminologie évangélique se limite aux messages formulés durant le moment de l’accomplissement, à savoir l’époque au cours de laquelle le salut promis dans l’Ancien Testament s’accomplit réellement. Le Nouveau Testament ne s’intéresse pas aux promesses de salut, mais aux nouvelles du salut. Selon </w:t>
      </w:r>
      <w:hyperlink r:id="rId8328">
        <w:r>
          <w:rPr>
            <w:color w:val="0000EE"/>
            <w:u w:val="single"/>
          </w:rPr>
          <w:t>Marc 1:1–4</w:t>
        </w:r>
      </w:hyperlink>
      <w:r>
        <w:t xml:space="preserve">, l’Évangile ne « commence » pas dans l’Ancien Testament, mais avec Jean Baptiste, dont les œuvres accomplissent les prophéties de l’Ancien Testament. En </w:t>
      </w:r>
      <w:hyperlink r:id="rId8329">
        <w:r>
          <w:rPr>
            <w:color w:val="0000EE"/>
            <w:u w:val="single"/>
          </w:rPr>
          <w:t>Romains 1:1–5</w:t>
        </w:r>
      </w:hyperlink>
      <w:r>
        <w:t xml:space="preserve"> l’Évangile est présenté comme une bénédiction promise dans l’Ancien Testament, mais qui ne s’est pas concrétisée avant l’avènement de Jésus (voir aussi </w:t>
      </w:r>
      <w:hyperlink r:id="rId8330">
        <w:r>
          <w:rPr>
            <w:color w:val="0000EE"/>
            <w:u w:val="single"/>
          </w:rPr>
          <w:t>Actes 13:32–33</w:t>
        </w:r>
      </w:hyperlink>
      <w:r>
        <w:t>).</w:t>
      </w:r>
    </w:p>
    <w:p>
      <w:pPr>
        <w:pStyle w:val="Heading3"/>
      </w:pPr>
      <w:r>
        <w:t>La bonne nouvelle de la venue de Christ</w:t>
      </w:r>
    </w:p>
    <w:p>
      <w:r/>
      <w:r>
        <w:t>La naissance promise de Jean-Baptiste est une bonne nouvelle (</w:t>
      </w:r>
      <w:hyperlink r:id="rId8331">
        <w:r>
          <w:rPr>
            <w:color w:val="0000EE"/>
            <w:u w:val="single"/>
          </w:rPr>
          <w:t>Luc 1:19</w:t>
        </w:r>
      </w:hyperlink>
      <w:r>
        <w:t xml:space="preserve">), pour ses parents (versets </w:t>
      </w:r>
      <w:hyperlink r:id="rId8332">
        <w:r>
          <w:rPr>
            <w:color w:val="0000EE"/>
            <w:u w:val="single"/>
          </w:rPr>
          <w:t>7, 24–25</w:t>
        </w:r>
      </w:hyperlink>
      <w:r>
        <w:t xml:space="preserve">) et pour tout le peuple : Jean est envoyé pour les préparer à la venue du Messie (versets </w:t>
      </w:r>
      <w:hyperlink r:id="rId8333">
        <w:r>
          <w:rPr>
            <w:color w:val="0000EE"/>
            <w:u w:val="single"/>
          </w:rPr>
          <w:t>14–17, 67–79</w:t>
        </w:r>
      </w:hyperlink>
      <w:r>
        <w:t>). La prédication de Jean est un Évangile (</w:t>
      </w:r>
      <w:hyperlink r:id="rId8334">
        <w:r>
          <w:rPr>
            <w:color w:val="0000EE"/>
            <w:u w:val="single"/>
          </w:rPr>
          <w:t>3:18</w:t>
        </w:r>
      </w:hyperlink>
      <w:r>
        <w:t xml:space="preserve">) pour les mêmes raisons. Le Messie viendra pour exécuter le jugement, un processus qui implique la condamnation et le salut (versets </w:t>
      </w:r>
      <w:hyperlink r:id="rId8335">
        <w:r>
          <w:rPr>
            <w:color w:val="0000EE"/>
            <w:u w:val="single"/>
          </w:rPr>
          <w:t>3–17</w:t>
        </w:r>
      </w:hyperlink>
      <w:r>
        <w:t xml:space="preserve">). Le message de Jean est un Évangile pour les pécheurs dans la mesure où ils sont avertis de l’imminence du jugement et exhortés à se repentir avant que le jugement ne s’abatte sur eux (versets </w:t>
      </w:r>
      <w:hyperlink r:id="rId8336">
        <w:r>
          <w:rPr>
            <w:color w:val="0000EE"/>
            <w:u w:val="single"/>
          </w:rPr>
          <w:t>7–9</w:t>
        </w:r>
      </w:hyperlink>
      <w:r>
        <w:t xml:space="preserve">) ; c’est un Évangile pour les pénitents, car le pardon leur est promis (verset </w:t>
      </w:r>
      <w:hyperlink r:id="rId8337">
        <w:r>
          <w:rPr>
            <w:color w:val="0000EE"/>
            <w:u w:val="single"/>
          </w:rPr>
          <w:t>3</w:t>
        </w:r>
      </w:hyperlink>
      <w:r>
        <w:t xml:space="preserve">) tout comme l’appartenance à la communauté du Messie (verset </w:t>
      </w:r>
      <w:hyperlink r:id="rId8338">
        <w:r>
          <w:rPr>
            <w:color w:val="0000EE"/>
            <w:u w:val="single"/>
          </w:rPr>
          <w:t>17</w:t>
        </w:r>
      </w:hyperlink>
      <w:r>
        <w:t>). La naissance du Sauveur lui-même est annoncée comme une bonne nouvelle, source de grande joie (</w:t>
      </w:r>
      <w:hyperlink r:id="rId8339">
        <w:r>
          <w:rPr>
            <w:color w:val="0000EE"/>
            <w:u w:val="single"/>
          </w:rPr>
          <w:t>2:10–11</w:t>
        </w:r>
      </w:hyperlink>
      <w:r>
        <w:t>).</w:t>
      </w:r>
    </w:p>
    <w:p>
      <w:pPr>
        <w:pStyle w:val="Heading3"/>
      </w:pPr>
      <w:r>
        <w:t>L’Évangile selon Jésus</w:t>
      </w:r>
    </w:p>
    <w:p>
      <w:pPr>
        <w:pStyle w:val="Heading4"/>
      </w:pPr>
      <w:r>
        <w:t>La venue du Royaume de Dieu</w:t>
      </w:r>
    </w:p>
    <w:p>
      <w:r/>
      <w:r>
        <w:t>Dieu a mandaté Jésus et l’a oint de l’Esprit pour qu’il proclame l’Évangile (</w:t>
      </w:r>
      <w:hyperlink r:id="rId8340">
        <w:r>
          <w:rPr>
            <w:color w:val="0000EE"/>
            <w:u w:val="single"/>
          </w:rPr>
          <w:t>Marc 1:14</w:t>
        </w:r>
      </w:hyperlink>
      <w:r>
        <w:t xml:space="preserve">; </w:t>
      </w:r>
      <w:hyperlink r:id="rId1506">
        <w:r>
          <w:rPr>
            <w:color w:val="0000EE"/>
            <w:u w:val="single"/>
          </w:rPr>
          <w:t>Luc 4:18</w:t>
        </w:r>
      </w:hyperlink>
      <w:r>
        <w:t>). Au cœur de sa prédication se trouve la déclaration suivante : « Le temps est accompli, et le Royaume de Dieu est proche. Repentez-vous, et croyez à la bonne nouvelle. » (</w:t>
      </w:r>
      <w:hyperlink r:id="rId8341">
        <w:r>
          <w:rPr>
            <w:color w:val="0000EE"/>
            <w:u w:val="single"/>
          </w:rPr>
          <w:t>Marc 1:15</w:t>
        </w:r>
      </w:hyperlink>
      <w:r>
        <w:t xml:space="preserve">). (Pour d’autres références à cet Évangile, voir </w:t>
      </w:r>
      <w:hyperlink r:id="rId8342">
        <w:r>
          <w:rPr>
            <w:color w:val="0000EE"/>
            <w:u w:val="single"/>
          </w:rPr>
          <w:t>Matthieu 4:23</w:t>
        </w:r>
      </w:hyperlink>
      <w:r>
        <w:t xml:space="preserve">; </w:t>
      </w:r>
      <w:hyperlink r:id="rId8343">
        <w:r>
          <w:rPr>
            <w:color w:val="0000EE"/>
            <w:u w:val="single"/>
          </w:rPr>
          <w:t>9:35</w:t>
        </w:r>
      </w:hyperlink>
      <w:r>
        <w:t xml:space="preserve">; </w:t>
      </w:r>
      <w:hyperlink r:id="rId8344">
        <w:r>
          <w:rPr>
            <w:color w:val="0000EE"/>
            <w:u w:val="single"/>
          </w:rPr>
          <w:t>24:14</w:t>
        </w:r>
      </w:hyperlink>
      <w:r>
        <w:t xml:space="preserve">; </w:t>
      </w:r>
      <w:hyperlink r:id="rId8345">
        <w:r>
          <w:rPr>
            <w:color w:val="0000EE"/>
            <w:u w:val="single"/>
          </w:rPr>
          <w:t>26:13</w:t>
        </w:r>
      </w:hyperlink>
      <w:r>
        <w:t xml:space="preserve">; </w:t>
      </w:r>
      <w:hyperlink r:id="rId8346">
        <w:r>
          <w:rPr>
            <w:color w:val="0000EE"/>
            <w:u w:val="single"/>
          </w:rPr>
          <w:t>Marc 8:35</w:t>
        </w:r>
      </w:hyperlink>
      <w:r>
        <w:t xml:space="preserve">; </w:t>
      </w:r>
      <w:hyperlink r:id="rId8347">
        <w:r>
          <w:rPr>
            <w:color w:val="0000EE"/>
            <w:u w:val="single"/>
          </w:rPr>
          <w:t>10:29</w:t>
        </w:r>
      </w:hyperlink>
      <w:r>
        <w:t xml:space="preserve">; </w:t>
      </w:r>
      <w:hyperlink r:id="rId8348">
        <w:r>
          <w:rPr>
            <w:color w:val="0000EE"/>
            <w:u w:val="single"/>
          </w:rPr>
          <w:t>13:10</w:t>
        </w:r>
      </w:hyperlink>
      <w:r>
        <w:t xml:space="preserve">; </w:t>
      </w:r>
      <w:hyperlink r:id="rId8349">
        <w:r>
          <w:rPr>
            <w:color w:val="0000EE"/>
            <w:u w:val="single"/>
          </w:rPr>
          <w:t>14:9</w:t>
        </w:r>
      </w:hyperlink>
      <w:r>
        <w:t xml:space="preserve">; </w:t>
      </w:r>
      <w:hyperlink r:id="rId8350">
        <w:r>
          <w:rPr>
            <w:color w:val="0000EE"/>
            <w:u w:val="single"/>
          </w:rPr>
          <w:t>Luc 4:43</w:t>
        </w:r>
      </w:hyperlink>
      <w:r>
        <w:t xml:space="preserve">; </w:t>
      </w:r>
      <w:hyperlink r:id="rId8351">
        <w:r>
          <w:rPr>
            <w:color w:val="0000EE"/>
            <w:u w:val="single"/>
          </w:rPr>
          <w:t>8:1</w:t>
        </w:r>
      </w:hyperlink>
      <w:r>
        <w:t xml:space="preserve">; </w:t>
      </w:r>
      <w:hyperlink r:id="rId8352">
        <w:r>
          <w:rPr>
            <w:color w:val="0000EE"/>
            <w:u w:val="single"/>
          </w:rPr>
          <w:t>16:16</w:t>
        </w:r>
      </w:hyperlink>
      <w:r>
        <w:t xml:space="preserve">.) Ce message est une bonne nouvelle pour plusieurs raisons : (1) le Royaume approche. Le Dieu que Jésus proclame est souverain sur toute la création. Pourtant, son règne est paradoxalement incomplet : sa volonté n’est pas faite sur la terre comme au Ciel ; le mal domine à la place du bien. Toutefois, selon Jésus, cette situation n’est pas définitive. Lorsque le Royaume viendra, le règne de Dieu sera parfait ; le mal sera jugé, la justice sera établie et son peuple sera béni. (2) Le Royaume est </w:t>
      </w:r>
      <w:r>
        <w:rPr>
          <w:i/>
        </w:rPr>
        <w:t>en cours</w:t>
      </w:r>
      <w:r>
        <w:t xml:space="preserve"> d’inauguration. Jésus déclare : « Le temps est accompli » (</w:t>
      </w:r>
      <w:hyperlink r:id="rId8341">
        <w:r>
          <w:rPr>
            <w:color w:val="0000EE"/>
            <w:u w:val="single"/>
          </w:rPr>
          <w:t>Marc 1:15 a</w:t>
        </w:r>
      </w:hyperlink>
      <w:r>
        <w:t>). Le moment prévu pour l’accomplissement des promesses de l’Ancien Testament est arrivé. (3) L’instauration du Royaume n’est donc plus une perspective lointaine ; la pleine réalisation du règne de Dieu est « proche » (</w:t>
      </w:r>
      <w:hyperlink r:id="rId8341">
        <w:r>
          <w:rPr>
            <w:color w:val="0000EE"/>
            <w:u w:val="single"/>
          </w:rPr>
          <w:t>Marc 1:15b</w:t>
        </w:r>
      </w:hyperlink>
      <w:r>
        <w:t>). (4) Dieu établit son règne dans un but salvateur. Cette intention est contenue dans l’appel de Jésus à la repentance (</w:t>
      </w:r>
      <w:hyperlink r:id="rId8341">
        <w:r>
          <w:rPr>
            <w:color w:val="0000EE"/>
            <w:u w:val="single"/>
          </w:rPr>
          <w:t>Marc 1:15c</w:t>
        </w:r>
      </w:hyperlink>
      <w:r>
        <w:t>). Les passages que nous allons aborder sont particulièrement clairs à cet égard.</w:t>
      </w:r>
    </w:p>
    <w:p>
      <w:pPr>
        <w:pStyle w:val="Heading4"/>
      </w:pPr>
      <w:r>
        <w:t>Le salut des pauvres</w:t>
      </w:r>
    </w:p>
    <w:p>
      <w:r/>
      <w:r>
        <w:t xml:space="preserve">Convié à la lecture des Saintes Écritures dans la synagogue de Nazareth, Jésus a ouvert </w:t>
      </w:r>
      <w:hyperlink r:id="rId8323">
        <w:r>
          <w:rPr>
            <w:color w:val="0000EE"/>
            <w:u w:val="single"/>
          </w:rPr>
          <w:t>Ésaïe 61</w:t>
        </w:r>
      </w:hyperlink>
      <w:r>
        <w:t>: « L’Esprit du Seigneur est sur moi, parce qu’il m’a oint pour annoncer une bonne nouvelle aux pauvres ; Il m’a envoyé pour guérir ceux qui ont le cœur brisé, pour proclamer aux captifs la délivrance, et aux aveugles le recouvrement de la vue, pour renvoyer libres les opprimés. Pour publier une année de grâce du Seigneur. » (</w:t>
      </w:r>
      <w:hyperlink r:id="rId8353">
        <w:r>
          <w:rPr>
            <w:color w:val="0000EE"/>
            <w:u w:val="single"/>
          </w:rPr>
          <w:t>Luc 4:18–19</w:t>
        </w:r>
      </w:hyperlink>
      <w:r>
        <w:t xml:space="preserve">, LSG). Après avoir lu la prophétie, Jésus a annoncé son accomplissement dans son ministère (verset </w:t>
      </w:r>
      <w:hyperlink r:id="rId8354">
        <w:r>
          <w:rPr>
            <w:color w:val="0000EE"/>
            <w:u w:val="single"/>
          </w:rPr>
          <w:t>21</w:t>
        </w:r>
      </w:hyperlink>
      <w:r>
        <w:t xml:space="preserve">). Parmi les personnes que Jésus est venu libérer, on retrouve les handicapés physiques, tels que les aveugles (verset </w:t>
      </w:r>
      <w:hyperlink r:id="rId1506">
        <w:r>
          <w:rPr>
            <w:color w:val="0000EE"/>
            <w:u w:val="single"/>
          </w:rPr>
          <w:t>18</w:t>
        </w:r>
      </w:hyperlink>
      <w:r>
        <w:t xml:space="preserve">) et les lépreux (verset </w:t>
      </w:r>
      <w:hyperlink r:id="rId8355">
        <w:r>
          <w:rPr>
            <w:color w:val="0000EE"/>
            <w:u w:val="single"/>
          </w:rPr>
          <w:t>27</w:t>
        </w:r>
      </w:hyperlink>
      <w:r>
        <w:t xml:space="preserve">) (voir les références aux miracles de guérison aux versets </w:t>
      </w:r>
      <w:hyperlink r:id="rId8356">
        <w:r>
          <w:rPr>
            <w:color w:val="0000EE"/>
            <w:u w:val="single"/>
          </w:rPr>
          <w:t>23, 33–41</w:t>
        </w:r>
      </w:hyperlink>
      <w:r>
        <w:t xml:space="preserve">; le lien étroit entre l’évangélisation et la guérison en </w:t>
      </w:r>
      <w:hyperlink r:id="rId8342">
        <w:r>
          <w:rPr>
            <w:color w:val="0000EE"/>
            <w:u w:val="single"/>
          </w:rPr>
          <w:t>Matthieu 4:23</w:t>
        </w:r>
      </w:hyperlink>
      <w:r>
        <w:t xml:space="preserve">; </w:t>
      </w:r>
      <w:hyperlink r:id="rId8343">
        <w:r>
          <w:rPr>
            <w:color w:val="0000EE"/>
            <w:u w:val="single"/>
          </w:rPr>
          <w:t>9:35</w:t>
        </w:r>
      </w:hyperlink>
      <w:r>
        <w:t xml:space="preserve">; </w:t>
      </w:r>
      <w:hyperlink r:id="rId1507">
        <w:r>
          <w:rPr>
            <w:color w:val="0000EE"/>
            <w:u w:val="single"/>
          </w:rPr>
          <w:t>11:5</w:t>
        </w:r>
      </w:hyperlink>
      <w:r>
        <w:t xml:space="preserve">; </w:t>
      </w:r>
      <w:hyperlink r:id="rId8357">
        <w:r>
          <w:rPr>
            <w:color w:val="0000EE"/>
            <w:u w:val="single"/>
          </w:rPr>
          <w:t>Luc 7:21–22</w:t>
        </w:r>
      </w:hyperlink>
      <w:r>
        <w:t xml:space="preserve">; </w:t>
      </w:r>
      <w:hyperlink r:id="rId8358">
        <w:r>
          <w:rPr>
            <w:color w:val="0000EE"/>
            <w:u w:val="single"/>
          </w:rPr>
          <w:t>9:6</w:t>
        </w:r>
      </w:hyperlink>
      <w:r>
        <w:t xml:space="preserve">; et la description en </w:t>
      </w:r>
      <w:hyperlink r:id="rId8359">
        <w:r>
          <w:rPr>
            <w:color w:val="0000EE"/>
            <w:u w:val="single"/>
          </w:rPr>
          <w:t>Matthieu 12:22–29</w:t>
        </w:r>
      </w:hyperlink>
      <w:r>
        <w:t xml:space="preserve">; </w:t>
      </w:r>
      <w:hyperlink r:id="rId8360">
        <w:r>
          <w:rPr>
            <w:color w:val="0000EE"/>
            <w:u w:val="single"/>
          </w:rPr>
          <w:t>Luc 13:11–16</w:t>
        </w:r>
      </w:hyperlink>
      <w:r>
        <w:t>, des handicapés physiques comme étant des captifs de Satan libérés par Jésus). Les personnes démunies sont également incluses, comme la veuve aidée par Élie pendant la famine (</w:t>
      </w:r>
      <w:hyperlink r:id="rId8361">
        <w:r>
          <w:rPr>
            <w:color w:val="0000EE"/>
            <w:u w:val="single"/>
          </w:rPr>
          <w:t>Luc 4:25–26</w:t>
        </w:r>
      </w:hyperlink>
      <w:r>
        <w:t xml:space="preserve">). Jésus déclare : « heureux vous qui êtes pauvres et affamés » au sens littéral du terme, en </w:t>
      </w:r>
      <w:hyperlink r:id="rId8362">
        <w:r>
          <w:rPr>
            <w:color w:val="0000EE"/>
            <w:u w:val="single"/>
          </w:rPr>
          <w:t>Luc 6:20–21</w:t>
        </w:r>
      </w:hyperlink>
      <w:r>
        <w:t xml:space="preserve">. Pourtant, la pauvreté dont il est question est avant tout « spirituelle ». Toujours en appliquant </w:t>
      </w:r>
      <w:hyperlink r:id="rId8323">
        <w:r>
          <w:rPr>
            <w:color w:val="0000EE"/>
            <w:u w:val="single"/>
          </w:rPr>
          <w:t>Ésaïe 61</w:t>
        </w:r>
      </w:hyperlink>
      <w:r>
        <w:t xml:space="preserve">, Jésus parle en </w:t>
      </w:r>
      <w:hyperlink r:id="rId8363">
        <w:r>
          <w:rPr>
            <w:color w:val="0000EE"/>
            <w:u w:val="single"/>
          </w:rPr>
          <w:t>Matthieu 5:3</w:t>
        </w:r>
      </w:hyperlink>
      <w:r>
        <w:t xml:space="preserve"> des « pauvres en esprit ». Il s’agit de personnes brisées et affligées par la misère et la pauvreté, l’oppression et l’injustice, la souffrance et la mort, l’apostasie nationale et le péché, des personnes qui se tournent vers Dieu et attendent avec impatience qu’il fasse régner la justice, qu’il accorde sa miséricorde et qu’il établisse son Royaume. Jésus apporte la bonne nouvelle à ces personnes (</w:t>
      </w:r>
      <w:hyperlink r:id="rId8364">
        <w:r>
          <w:rPr>
            <w:color w:val="0000EE"/>
            <w:u w:val="single"/>
          </w:rPr>
          <w:t>Matthieu 5, 3–10</w:t>
        </w:r>
      </w:hyperlink>
      <w:r>
        <w:t>). Dieu a envoyé Jésus pour introduire le Royaume, pour sauver les perdus, pour libérer les captifs, pour délivrer les opprimés, pour guérir les cœurs brisés et pour pardonner les coupables (</w:t>
      </w:r>
      <w:hyperlink r:id="rId8365">
        <w:r>
          <w:rPr>
            <w:color w:val="0000EE"/>
            <w:u w:val="single"/>
          </w:rPr>
          <w:t>Marc 2:5, 10, 17</w:t>
        </w:r>
      </w:hyperlink>
      <w:r>
        <w:t xml:space="preserve">; </w:t>
      </w:r>
      <w:hyperlink r:id="rId654">
        <w:r>
          <w:rPr>
            <w:color w:val="0000EE"/>
            <w:u w:val="single"/>
          </w:rPr>
          <w:t>10:45</w:t>
        </w:r>
      </w:hyperlink>
      <w:r>
        <w:t xml:space="preserve">; </w:t>
      </w:r>
      <w:hyperlink r:id="rId8366">
        <w:r>
          <w:rPr>
            <w:color w:val="0000EE"/>
            <w:u w:val="single"/>
          </w:rPr>
          <w:t>Luc 4:18–21</w:t>
        </w:r>
      </w:hyperlink>
      <w:r>
        <w:t xml:space="preserve">; </w:t>
      </w:r>
      <w:hyperlink r:id="rId8367">
        <w:r>
          <w:rPr>
            <w:color w:val="0000EE"/>
            <w:u w:val="single"/>
          </w:rPr>
          <w:t>7:48–49</w:t>
        </w:r>
      </w:hyperlink>
      <w:r>
        <w:t xml:space="preserve">; </w:t>
      </w:r>
      <w:hyperlink r:id="rId8368">
        <w:r>
          <w:rPr>
            <w:color w:val="0000EE"/>
            <w:u w:val="single"/>
          </w:rPr>
          <w:t>15:1–32</w:t>
        </w:r>
      </w:hyperlink>
      <w:r>
        <w:t xml:space="preserve">; </w:t>
      </w:r>
      <w:hyperlink r:id="rId8369">
        <w:r>
          <w:rPr>
            <w:color w:val="0000EE"/>
            <w:u w:val="single"/>
          </w:rPr>
          <w:t>19:10</w:t>
        </w:r>
      </w:hyperlink>
      <w:r>
        <w:t>).</w:t>
      </w:r>
    </w:p>
    <w:p>
      <w:pPr>
        <w:pStyle w:val="Heading4"/>
      </w:pPr>
      <w:r>
        <w:t>Le don de la grâce</w:t>
      </w:r>
    </w:p>
    <w:p>
      <w:r/>
      <w:r>
        <w:t>L’arrivée du Royaume n’est pas le résultat ou la récompense d’un effort humain, mais la réponse de Dieu à la situation difficile de l’homme : le don de sa grâce (</w:t>
      </w:r>
      <w:hyperlink r:id="rId8370">
        <w:r>
          <w:rPr>
            <w:color w:val="0000EE"/>
            <w:u w:val="single"/>
          </w:rPr>
          <w:t>Luc 12:32</w:t>
        </w:r>
      </w:hyperlink>
      <w:r>
        <w:t>). En conséquence, seule la nature de Dieu permet d’expliquer la logique du salut des pauvres. Comme le fils prodigue l’a lui-même reconnu, il ne méritait guère d’être le serviteur de son père, et encore moins son fils. Aucun de ses actes, pas même sa repentance, ne lui permettait de mériter l’amour de son père (</w:t>
      </w:r>
      <w:hyperlink r:id="rId7801">
        <w:r>
          <w:rPr>
            <w:color w:val="0000EE"/>
            <w:u w:val="single"/>
          </w:rPr>
          <w:t>15:11–32</w:t>
        </w:r>
      </w:hyperlink>
      <w:r>
        <w:t xml:space="preserve">). Dans la parabole de </w:t>
      </w:r>
      <w:hyperlink r:id="rId8371">
        <w:r>
          <w:rPr>
            <w:color w:val="0000EE"/>
            <w:u w:val="single"/>
          </w:rPr>
          <w:t>Matthieu 20:1–16</w:t>
        </w:r>
      </w:hyperlink>
      <w:r>
        <w:t xml:space="preserve">, les derniers ouvriers embauchés ont reçu le salaire d’une journée entière grâce à la bonté de l’employeur. Le premier débiteur dans l’histoire de </w:t>
      </w:r>
      <w:hyperlink r:id="rId8372">
        <w:r>
          <w:rPr>
            <w:color w:val="0000EE"/>
            <w:u w:val="single"/>
          </w:rPr>
          <w:t>Matthieu 18:23–35</w:t>
        </w:r>
      </w:hyperlink>
      <w:r>
        <w:t xml:space="preserve"> méritait d’être vendu comme esclave ; au contraire, le roi a annulé son énorme dette. Le publicain, qui n’avait rien d’autre à offrir à Dieu qu’une confession de ses péchés et un appel à la miséricorde, est rentré chez lui justifié (</w:t>
      </w:r>
      <w:hyperlink r:id="rId8373">
        <w:r>
          <w:rPr>
            <w:color w:val="0000EE"/>
            <w:u w:val="single"/>
          </w:rPr>
          <w:t>Luc 18:13–14</w:t>
        </w:r>
      </w:hyperlink>
      <w:r>
        <w:t xml:space="preserve">). Il en va de même pour les plus vertueux parmi les pauvres, tels que les personnes décrites en </w:t>
      </w:r>
      <w:hyperlink r:id="rId8374">
        <w:r>
          <w:rPr>
            <w:color w:val="0000EE"/>
            <w:u w:val="single"/>
          </w:rPr>
          <w:t>Matthieu 5:7–10</w:t>
        </w:r>
      </w:hyperlink>
      <w:r>
        <w:t>. Leur vertu est réelle et non imaginaire. Pourtant, en respectant les commandements de Dieu, ils ne lui sont pas redevables ; ils accomplissent simplement leur devoir (</w:t>
      </w:r>
      <w:hyperlink r:id="rId8375">
        <w:r>
          <w:rPr>
            <w:color w:val="0000EE"/>
            <w:u w:val="single"/>
          </w:rPr>
          <w:t>Luc 17:7–10</w:t>
        </w:r>
      </w:hyperlink>
      <w:r>
        <w:t>). En outre, même la personne la plus miséricordieuse a besoin de la miséricorde divine (</w:t>
      </w:r>
      <w:hyperlink r:id="rId7009">
        <w:r>
          <w:rPr>
            <w:color w:val="0000EE"/>
            <w:u w:val="single"/>
          </w:rPr>
          <w:t>Matthieu 5:7</w:t>
        </w:r>
      </w:hyperlink>
      <w:r>
        <w:t xml:space="preserve">). En effet, même les personnes les plus désireuses d’obéir à la Loi de Dieu sont incapables de respecter toutes ses exigences (voir </w:t>
      </w:r>
      <w:hyperlink r:id="rId8376">
        <w:r>
          <w:rPr>
            <w:color w:val="0000EE"/>
            <w:u w:val="single"/>
          </w:rPr>
          <w:t>11:28–30</w:t>
        </w:r>
      </w:hyperlink>
      <w:r>
        <w:t xml:space="preserve">). Le premier serviteur en </w:t>
      </w:r>
      <w:hyperlink r:id="rId8372">
        <w:r>
          <w:rPr>
            <w:color w:val="0000EE"/>
            <w:u w:val="single"/>
          </w:rPr>
          <w:t>Matthieu 18:23–35</w:t>
        </w:r>
      </w:hyperlink>
      <w:r>
        <w:t xml:space="preserve"> a une dette bien supérieure au montant qu’elle peut payer, permettant ainsi de mettre en valeur la générosité du roi. La grâce est conditionnée par l’incapacité de ses destinataires (</w:t>
      </w:r>
      <w:hyperlink r:id="rId8377">
        <w:r>
          <w:rPr>
            <w:color w:val="0000EE"/>
            <w:u w:val="single"/>
          </w:rPr>
          <w:t>Luc 14:12–14</w:t>
        </w:r>
      </w:hyperlink>
      <w:r>
        <w:t>).</w:t>
      </w:r>
    </w:p>
    <w:p>
      <w:pPr>
        <w:pStyle w:val="Heading4"/>
      </w:pPr>
      <w:r>
        <w:t>L’appel au salut</w:t>
      </w:r>
    </w:p>
    <w:p>
      <w:r/>
      <w:r>
        <w:t>Les Israélites étaient sans exception des pécheurs, ayant tous besoin du salut apporté par Jésus (</w:t>
      </w:r>
      <w:hyperlink r:id="rId3936">
        <w:r>
          <w:rPr>
            <w:color w:val="0000EE"/>
            <w:u w:val="single"/>
          </w:rPr>
          <w:t>Matthieu 1:21</w:t>
        </w:r>
      </w:hyperlink>
      <w:r>
        <w:t xml:space="preserve">; </w:t>
      </w:r>
      <w:hyperlink r:id="rId8378">
        <w:r>
          <w:rPr>
            <w:color w:val="0000EE"/>
            <w:u w:val="single"/>
          </w:rPr>
          <w:t>Luc 1:77</w:t>
        </w:r>
      </w:hyperlink>
      <w:r>
        <w:t>). Dans une démonstration de la grâce de Dieu, Jésus a proclamé son Évangile à toute la nation (</w:t>
      </w:r>
      <w:hyperlink r:id="rId8342">
        <w:r>
          <w:rPr>
            <w:color w:val="0000EE"/>
            <w:u w:val="single"/>
          </w:rPr>
          <w:t>Matthieu 4:23</w:t>
        </w:r>
      </w:hyperlink>
      <w:r>
        <w:t xml:space="preserve">; </w:t>
      </w:r>
      <w:hyperlink r:id="rId8343">
        <w:r>
          <w:rPr>
            <w:color w:val="0000EE"/>
            <w:u w:val="single"/>
          </w:rPr>
          <w:t>9:35</w:t>
        </w:r>
      </w:hyperlink>
      <w:r>
        <w:t xml:space="preserve">; </w:t>
      </w:r>
      <w:hyperlink r:id="rId8379">
        <w:r>
          <w:rPr>
            <w:color w:val="0000EE"/>
            <w:u w:val="single"/>
          </w:rPr>
          <w:t>15:24</w:t>
        </w:r>
      </w:hyperlink>
      <w:r>
        <w:t xml:space="preserve">; </w:t>
      </w:r>
      <w:hyperlink r:id="rId8350">
        <w:r>
          <w:rPr>
            <w:color w:val="0000EE"/>
            <w:u w:val="single"/>
          </w:rPr>
          <w:t>Luc 4:43</w:t>
        </w:r>
      </w:hyperlink>
      <w:r>
        <w:t xml:space="preserve">; </w:t>
      </w:r>
      <w:hyperlink r:id="rId8358">
        <w:r>
          <w:rPr>
            <w:color w:val="0000EE"/>
            <w:u w:val="single"/>
          </w:rPr>
          <w:t>9:6</w:t>
        </w:r>
      </w:hyperlink>
      <w:r>
        <w:t xml:space="preserve">; </w:t>
      </w:r>
      <w:hyperlink r:id="rId8380">
        <w:r>
          <w:rPr>
            <w:color w:val="0000EE"/>
            <w:u w:val="single"/>
          </w:rPr>
          <w:t>20:1</w:t>
        </w:r>
      </w:hyperlink>
      <w:r>
        <w:t>). Des plus honorables aux plus modestes, tous ont été invités à se soumettre aux règles de Dieu et à participer librement au banquet qu’il a préparé (</w:t>
      </w:r>
      <w:hyperlink r:id="rId8381">
        <w:r>
          <w:rPr>
            <w:color w:val="0000EE"/>
            <w:u w:val="single"/>
          </w:rPr>
          <w:t>Luc 14:16–24</w:t>
        </w:r>
      </w:hyperlink>
      <w:r>
        <w:t>). Toutefois, le don du salut doit être reçu pour être effectif (</w:t>
      </w:r>
      <w:hyperlink r:id="rId8382">
        <w:r>
          <w:rPr>
            <w:color w:val="0000EE"/>
            <w:u w:val="single"/>
          </w:rPr>
          <w:t>Marc 10:15</w:t>
        </w:r>
      </w:hyperlink>
      <w:r>
        <w:t>). S’il s’agit bien d’un don gratuit, il s’agit aussi d’un trésor inestimable pour lequel une personne avisée sacrifiera volontiers tout le reste (</w:t>
      </w:r>
      <w:hyperlink r:id="rId8383">
        <w:r>
          <w:rPr>
            <w:color w:val="0000EE"/>
            <w:u w:val="single"/>
          </w:rPr>
          <w:t>Matthieu 13:44–46</w:t>
        </w:r>
      </w:hyperlink>
      <w:r>
        <w:t>), un sacrifice que seul le coût du rejet de l’Évangile surpasse (</w:t>
      </w:r>
      <w:hyperlink r:id="rId4717">
        <w:r>
          <w:rPr>
            <w:color w:val="0000EE"/>
            <w:u w:val="single"/>
          </w:rPr>
          <w:t>Matthieu 11:20–24</w:t>
        </w:r>
      </w:hyperlink>
      <w:r>
        <w:t xml:space="preserve">; </w:t>
      </w:r>
      <w:hyperlink r:id="rId8384">
        <w:r>
          <w:rPr>
            <w:color w:val="0000EE"/>
            <w:u w:val="single"/>
          </w:rPr>
          <w:t>Marc 8:34–39</w:t>
        </w:r>
      </w:hyperlink>
      <w:r>
        <w:t xml:space="preserve">; </w:t>
      </w:r>
      <w:hyperlink r:id="rId8385">
        <w:r>
          <w:rPr>
            <w:color w:val="0000EE"/>
            <w:u w:val="single"/>
          </w:rPr>
          <w:t>Luc 14:24, 33</w:t>
        </w:r>
      </w:hyperlink>
      <w:r>
        <w:t>). « Repentez-vous, et croyez à la bonne nouvelle. » déclare Jésus (</w:t>
      </w:r>
      <w:hyperlink r:id="rId8341">
        <w:r>
          <w:rPr>
            <w:color w:val="0000EE"/>
            <w:u w:val="single"/>
          </w:rPr>
          <w:t>Marc 1:15</w:t>
        </w:r>
      </w:hyperlink>
      <w:r>
        <w:t>). Les personnes qui s’estiment justes et qui sont imbues d’elles-mêmes doivent abandonner leur faux sentiment de sécurité et reconnaitre humblement qu’elles ont besoin de Dieu (</w:t>
      </w:r>
      <w:hyperlink r:id="rId8386">
        <w:r>
          <w:rPr>
            <w:color w:val="0000EE"/>
            <w:u w:val="single"/>
          </w:rPr>
          <w:t>Luc 6:24–26</w:t>
        </w:r>
      </w:hyperlink>
      <w:r>
        <w:t>). À cette condition seulement, le message de Jésus aux pauvres sera perçu comme un Évangile. L’annonce de la libération (</w:t>
      </w:r>
      <w:hyperlink r:id="rId8353">
        <w:r>
          <w:rPr>
            <w:color w:val="0000EE"/>
            <w:u w:val="single"/>
          </w:rPr>
          <w:t>4:18–19</w:t>
        </w:r>
      </w:hyperlink>
      <w:r>
        <w:t xml:space="preserve">) est uniquement une bonne nouvelle pour les personnes qui sont asservies et qui savent qu’elles le sont. Le commandement s’applique aussi aux indigents et aux affligés. Les personnes qui se lamentent sur leur sort doivent se repentir de leurs péchés. Cependant, un élément supplémentaire est nécessaire à une réponse complète : une personne ne peut pas croire à l’Évangile de Jésus sans un engagement à l’égard de </w:t>
      </w:r>
      <w:r>
        <w:rPr>
          <w:i/>
        </w:rPr>
        <w:t>Jésus</w:t>
      </w:r>
      <w:r>
        <w:t xml:space="preserve"> -Christ (</w:t>
      </w:r>
      <w:hyperlink r:id="rId5733">
        <w:r>
          <w:rPr>
            <w:color w:val="0000EE"/>
            <w:u w:val="single"/>
          </w:rPr>
          <w:t>Jean 3:16</w:t>
        </w:r>
      </w:hyperlink>
      <w:r>
        <w:t>). Même les personnes « pauvres en esprit », conformément à la définition précédente, ne sont pas réellement « bénies » tant qu’elles ne reconnaissent pas la véracité des affirmations de Jésus (</w:t>
      </w:r>
      <w:hyperlink r:id="rId8387">
        <w:r>
          <w:rPr>
            <w:color w:val="0000EE"/>
            <w:u w:val="single"/>
          </w:rPr>
          <w:t>Matthieu 11:6</w:t>
        </w:r>
      </w:hyperlink>
      <w:r>
        <w:t>) et n’adoptent pas une vie d’obéissance selon ses conditions (</w:t>
      </w:r>
      <w:hyperlink r:id="rId8388">
        <w:r>
          <w:rPr>
            <w:color w:val="0000EE"/>
            <w:u w:val="single"/>
          </w:rPr>
          <w:t>7:21–27</w:t>
        </w:r>
      </w:hyperlink>
      <w:r>
        <w:t>). Ces éléments nous préparent à aborder le point suivant.</w:t>
      </w:r>
    </w:p>
    <w:p>
      <w:pPr>
        <w:pStyle w:val="Heading4"/>
      </w:pPr>
      <w:r>
        <w:t>Résumé</w:t>
      </w:r>
    </w:p>
    <w:p>
      <w:r/>
      <w:r>
        <w:t>Tout au long du ministère de Jésus sur terre, le thème de son Évangile demeure l’avènement progressif du Royaume de Dieu (</w:t>
      </w:r>
      <w:hyperlink r:id="rId8342">
        <w:r>
          <w:rPr>
            <w:color w:val="0000EE"/>
            <w:u w:val="single"/>
          </w:rPr>
          <w:t>Matthieu 4:23</w:t>
        </w:r>
      </w:hyperlink>
      <w:r>
        <w:t xml:space="preserve">; </w:t>
      </w:r>
      <w:hyperlink r:id="rId8344">
        <w:r>
          <w:rPr>
            <w:color w:val="0000EE"/>
            <w:u w:val="single"/>
          </w:rPr>
          <w:t>24:14</w:t>
        </w:r>
      </w:hyperlink>
      <w:r>
        <w:t xml:space="preserve">; </w:t>
      </w:r>
      <w:hyperlink r:id="rId8350">
        <w:r>
          <w:rPr>
            <w:color w:val="0000EE"/>
            <w:u w:val="single"/>
          </w:rPr>
          <w:t>Luc 4:43</w:t>
        </w:r>
      </w:hyperlink>
      <w:r>
        <w:t xml:space="preserve">; </w:t>
      </w:r>
      <w:hyperlink r:id="rId8352">
        <w:r>
          <w:rPr>
            <w:color w:val="0000EE"/>
            <w:u w:val="single"/>
          </w:rPr>
          <w:t>16:16</w:t>
        </w:r>
      </w:hyperlink>
      <w:r>
        <w:t>), un message prêché presque exclusivement aux Juifs (</w:t>
      </w:r>
      <w:hyperlink r:id="rId8389">
        <w:r>
          <w:rPr>
            <w:color w:val="0000EE"/>
            <w:u w:val="single"/>
          </w:rPr>
          <w:t>Matthieu 10:5–6</w:t>
        </w:r>
      </w:hyperlink>
      <w:r>
        <w:t xml:space="preserve">; </w:t>
      </w:r>
      <w:hyperlink r:id="rId8379">
        <w:r>
          <w:rPr>
            <w:color w:val="0000EE"/>
            <w:u w:val="single"/>
          </w:rPr>
          <w:t>15:24</w:t>
        </w:r>
      </w:hyperlink>
      <w:r>
        <w:t xml:space="preserve">). Cependant, Jésus a également donné un aperçu du devenir de l’Évangile après l’accomplissement de son œuvre sur terre : (1) En </w:t>
      </w:r>
      <w:hyperlink r:id="rId8346">
        <w:r>
          <w:rPr>
            <w:color w:val="0000EE"/>
            <w:u w:val="single"/>
          </w:rPr>
          <w:t>Marc 8:35</w:t>
        </w:r>
      </w:hyperlink>
      <w:r>
        <w:t xml:space="preserve"> et </w:t>
      </w:r>
      <w:hyperlink r:id="rId8347">
        <w:r>
          <w:rPr>
            <w:color w:val="0000EE"/>
            <w:u w:val="single"/>
          </w:rPr>
          <w:t>10:29,</w:t>
        </w:r>
      </w:hyperlink>
      <w:r>
        <w:t xml:space="preserve"> Jésus évoque des personnes qui doivent consentir de grands sacrifices « à cause de lui et à cause de l’Évangile ». Malgré la distinction entre Jésus et l’Évangile, les deux sont ici associés d’une manière très étroite. Le moment approchait où l’annonciateur de l’Évangile deviendrait l’annoncé. (2) En </w:t>
      </w:r>
      <w:hyperlink r:id="rId8348">
        <w:r>
          <w:rPr>
            <w:color w:val="0000EE"/>
            <w:u w:val="single"/>
          </w:rPr>
          <w:t>Marc 13:10</w:t>
        </w:r>
      </w:hyperlink>
      <w:r>
        <w:t xml:space="preserve"> et </w:t>
      </w:r>
      <w:hyperlink r:id="rId8344">
        <w:r>
          <w:rPr>
            <w:color w:val="0000EE"/>
            <w:u w:val="single"/>
          </w:rPr>
          <w:t>Matthieu 24:14</w:t>
        </w:r>
      </w:hyperlink>
      <w:r>
        <w:t xml:space="preserve"> (et le texte ambigu de </w:t>
      </w:r>
      <w:hyperlink r:id="rId8390">
        <w:r>
          <w:rPr>
            <w:color w:val="0000EE"/>
            <w:u w:val="single"/>
          </w:rPr>
          <w:t>Marc 16:15</w:t>
        </w:r>
      </w:hyperlink>
      <w:r>
        <w:t xml:space="preserve">), Jésus prédit que l’Évangile du Royaume sera prêché aux nations païennes. (3) En </w:t>
      </w:r>
      <w:hyperlink r:id="rId8391">
        <w:r>
          <w:rPr>
            <w:color w:val="0000EE"/>
            <w:u w:val="single"/>
          </w:rPr>
          <w:t>Marc 14</w:t>
        </w:r>
      </w:hyperlink>
      <w:r>
        <w:t xml:space="preserve">, après avoir interprété le geste d’une femme (verset </w:t>
      </w:r>
      <w:hyperlink r:id="rId8392">
        <w:r>
          <w:rPr>
            <w:color w:val="0000EE"/>
            <w:u w:val="single"/>
          </w:rPr>
          <w:t>3</w:t>
        </w:r>
      </w:hyperlink>
      <w:r>
        <w:t xml:space="preserve">) comme étant une onction de son corps avant son enterrement (verset </w:t>
      </w:r>
      <w:hyperlink r:id="rId8393">
        <w:r>
          <w:rPr>
            <w:color w:val="0000EE"/>
            <w:u w:val="single"/>
          </w:rPr>
          <w:t>8</w:t>
        </w:r>
      </w:hyperlink>
      <w:r>
        <w:t xml:space="preserve">), Jésus déclare : « Je vous le dis en vérité, partout où la bonne nouvelle sera prêchée, dans le monde entier, on racontera aussi en mémoire de cette femme ce qu’elle a fait. » (verset </w:t>
      </w:r>
      <w:hyperlink r:id="rId8349">
        <w:r>
          <w:rPr>
            <w:color w:val="0000EE"/>
            <w:u w:val="single"/>
          </w:rPr>
          <w:t>9</w:t>
        </w:r>
      </w:hyperlink>
      <w:r>
        <w:t xml:space="preserve">, lsg; voir </w:t>
      </w:r>
      <w:hyperlink r:id="rId8345">
        <w:r>
          <w:rPr>
            <w:color w:val="0000EE"/>
            <w:u w:val="single"/>
          </w:rPr>
          <w:t>Matthieu 26:13</w:t>
        </w:r>
      </w:hyperlink>
      <w:r>
        <w:t xml:space="preserve">). Cette affirmation suggère clairement que la personne de Jésus et sa mort occuperont une place importante dans le message qui sera proclamé ; autrement, le lien si solennel entre l’Évangile et ce geste en particulier est étrange. Dans ce texte, il existe déjà une indication de l’importance cruciale de la mort de Jésus pour le salut, tel qu’il est annoncé dans son Évangile (voir </w:t>
      </w:r>
      <w:hyperlink r:id="rId8394">
        <w:r>
          <w:rPr>
            <w:color w:val="0000EE"/>
            <w:u w:val="single"/>
          </w:rPr>
          <w:t>Marc 14:22–24</w:t>
        </w:r>
      </w:hyperlink>
      <w:r>
        <w:t>) et pour le début de la mission d’évangélisation auprès des Païens (</w:t>
      </w:r>
      <w:hyperlink r:id="rId653">
        <w:r>
          <w:rPr>
            <w:color w:val="0000EE"/>
            <w:u w:val="single"/>
          </w:rPr>
          <w:t>Matthieu 20:28</w:t>
        </w:r>
      </w:hyperlink>
      <w:r>
        <w:t xml:space="preserve"> est un verset capital pour expliquer le changement qui existe entre </w:t>
      </w:r>
      <w:hyperlink r:id="rId8379">
        <w:r>
          <w:rPr>
            <w:color w:val="0000EE"/>
            <w:u w:val="single"/>
          </w:rPr>
          <w:t>Matthieu 15:24</w:t>
        </w:r>
      </w:hyperlink>
      <w:r>
        <w:t xml:space="preserve"> et </w:t>
      </w:r>
      <w:hyperlink r:id="rId8395">
        <w:r>
          <w:rPr>
            <w:color w:val="0000EE"/>
            <w:u w:val="single"/>
          </w:rPr>
          <w:t>28:18–20</w:t>
        </w:r>
      </w:hyperlink>
      <w:r>
        <w:t>).</w:t>
      </w:r>
    </w:p>
    <w:p>
      <w:pPr>
        <w:pStyle w:val="Heading3"/>
      </w:pPr>
      <w:r>
        <w:t>L’Évangile après la résurrection de Jésus</w:t>
      </w:r>
    </w:p>
    <w:p>
      <w:r/>
      <w:r>
        <w:t>Après la résurrection de Jésus, l’Évangile était proclamé par ses témoins oculaires. Le contenu de cet Évangile est rapporté dans le livre des Actes des Apôtres et dans les épitres de Paul. Sur les 43 occurrences du mot euangelizomai (« évangéliser ») en dehors des Évangiles, 15 se trouvent dans le livre des Actes et 21 dans les écrits de Paul ; sur les 64 occurrences du mot euangelion (« évangile »), 2 se trouvent dans le livre des Actes et pas moins de 60 dans les écrits de Paul.</w:t>
      </w:r>
    </w:p>
    <w:p>
      <w:pPr>
        <w:pStyle w:val="Heading4"/>
      </w:pPr>
      <w:r>
        <w:t>L’Évangile de Christ</w:t>
      </w:r>
    </w:p>
    <w:p>
      <w:r/>
      <w:r>
        <w:t>Après sa résurrection, Jésus-Christ a repris l’évangélisation (</w:t>
      </w:r>
      <w:hyperlink r:id="rId8396">
        <w:r>
          <w:rPr>
            <w:color w:val="0000EE"/>
            <w:u w:val="single"/>
          </w:rPr>
          <w:t>Éphésiens 2:16–17</w:t>
        </w:r>
      </w:hyperlink>
      <w:r>
        <w:t>), par l’intermédiaire de ses représentants (</w:t>
      </w:r>
      <w:hyperlink r:id="rId8397">
        <w:r>
          <w:rPr>
            <w:color w:val="0000EE"/>
            <w:u w:val="single"/>
          </w:rPr>
          <w:t>Romains 15:16–18</w:t>
        </w:r>
      </w:hyperlink>
      <w:r>
        <w:t xml:space="preserve">; </w:t>
      </w:r>
      <w:hyperlink r:id="rId1071">
        <w:r>
          <w:rPr>
            <w:color w:val="0000EE"/>
            <w:u w:val="single"/>
          </w:rPr>
          <w:t>1 Corinthiens 1:17</w:t>
        </w:r>
      </w:hyperlink>
      <w:r>
        <w:t xml:space="preserve">; </w:t>
      </w:r>
      <w:hyperlink r:id="rId8398">
        <w:r>
          <w:rPr>
            <w:color w:val="0000EE"/>
            <w:u w:val="single"/>
          </w:rPr>
          <w:t>9:12–18</w:t>
        </w:r>
      </w:hyperlink>
      <w:r>
        <w:t xml:space="preserve">; </w:t>
      </w:r>
      <w:hyperlink r:id="rId8399">
        <w:r>
          <w:rPr>
            <w:color w:val="0000EE"/>
            <w:u w:val="single"/>
          </w:rPr>
          <w:t>Galates 4:13–14</w:t>
        </w:r>
      </w:hyperlink>
      <w:r>
        <w:t xml:space="preserve">; </w:t>
      </w:r>
      <w:hyperlink r:id="rId1826">
        <w:r>
          <w:rPr>
            <w:color w:val="0000EE"/>
            <w:u w:val="single"/>
          </w:rPr>
          <w:t>Éphésiens 4:11</w:t>
        </w:r>
      </w:hyperlink>
      <w:r>
        <w:t xml:space="preserve">; </w:t>
      </w:r>
      <w:hyperlink r:id="rId8400">
        <w:r>
          <w:rPr>
            <w:color w:val="0000EE"/>
            <w:u w:val="single"/>
          </w:rPr>
          <w:t>2 Timothée 1:9–11</w:t>
        </w:r>
      </w:hyperlink>
      <w:r>
        <w:t>). De plus, Christ est devenu le thème central de l’Évangile ; le Proclamateur est désormais le Proclamé. Cette affirmation se retrouve à plusieurs reprises dans le livre des Actes des Apôtres (</w:t>
      </w:r>
      <w:hyperlink r:id="rId8401">
        <w:r>
          <w:rPr>
            <w:color w:val="0000EE"/>
            <w:u w:val="single"/>
          </w:rPr>
          <w:t>5:42</w:t>
        </w:r>
      </w:hyperlink>
      <w:r>
        <w:t xml:space="preserve">; </w:t>
      </w:r>
      <w:hyperlink r:id="rId8402">
        <w:r>
          <w:rPr>
            <w:color w:val="0000EE"/>
            <w:u w:val="single"/>
          </w:rPr>
          <w:t>8:4–5, 35</w:t>
        </w:r>
      </w:hyperlink>
      <w:r>
        <w:t xml:space="preserve">; </w:t>
      </w:r>
      <w:hyperlink r:id="rId3033">
        <w:r>
          <w:rPr>
            <w:color w:val="0000EE"/>
            <w:u w:val="single"/>
          </w:rPr>
          <w:t>11:20</w:t>
        </w:r>
      </w:hyperlink>
      <w:r>
        <w:t xml:space="preserve">; </w:t>
      </w:r>
      <w:hyperlink r:id="rId4847">
        <w:r>
          <w:rPr>
            <w:color w:val="0000EE"/>
            <w:u w:val="single"/>
          </w:rPr>
          <w:t>17:18</w:t>
        </w:r>
      </w:hyperlink>
      <w:r>
        <w:t>) et dans les écrits de Paul (</w:t>
      </w:r>
      <w:hyperlink r:id="rId8403">
        <w:r>
          <w:rPr>
            <w:color w:val="0000EE"/>
            <w:u w:val="single"/>
          </w:rPr>
          <w:t>Romains 1:1–4</w:t>
        </w:r>
      </w:hyperlink>
      <w:r>
        <w:t xml:space="preserve">; </w:t>
      </w:r>
      <w:hyperlink r:id="rId8404">
        <w:r>
          <w:rPr>
            <w:color w:val="0000EE"/>
            <w:u w:val="single"/>
          </w:rPr>
          <w:t>10:8–17</w:t>
        </w:r>
      </w:hyperlink>
      <w:r>
        <w:t xml:space="preserve">; </w:t>
      </w:r>
      <w:hyperlink r:id="rId8405">
        <w:r>
          <w:rPr>
            <w:color w:val="0000EE"/>
            <w:u w:val="single"/>
          </w:rPr>
          <w:t>15:19–20</w:t>
        </w:r>
      </w:hyperlink>
      <w:r>
        <w:t xml:space="preserve">; </w:t>
      </w:r>
      <w:hyperlink r:id="rId4945">
        <w:r>
          <w:rPr>
            <w:color w:val="0000EE"/>
            <w:u w:val="single"/>
          </w:rPr>
          <w:t>2 Corinthiens 4:4–6</w:t>
        </w:r>
      </w:hyperlink>
      <w:r>
        <w:t xml:space="preserve">; </w:t>
      </w:r>
      <w:hyperlink r:id="rId8406">
        <w:r>
          <w:rPr>
            <w:color w:val="0000EE"/>
            <w:u w:val="single"/>
          </w:rPr>
          <w:t>11:4</w:t>
        </w:r>
      </w:hyperlink>
      <w:r>
        <w:t xml:space="preserve">; </w:t>
      </w:r>
      <w:hyperlink r:id="rId8407">
        <w:r>
          <w:rPr>
            <w:color w:val="0000EE"/>
            <w:u w:val="single"/>
          </w:rPr>
          <w:t>Galates 1:16</w:t>
        </w:r>
      </w:hyperlink>
      <w:r>
        <w:t xml:space="preserve">; </w:t>
      </w:r>
      <w:hyperlink r:id="rId1984">
        <w:r>
          <w:rPr>
            <w:color w:val="0000EE"/>
            <w:u w:val="single"/>
          </w:rPr>
          <w:t>Éphésiens 3:8</w:t>
        </w:r>
      </w:hyperlink>
      <w:r>
        <w:t xml:space="preserve">; </w:t>
      </w:r>
      <w:hyperlink r:id="rId8408">
        <w:r>
          <w:rPr>
            <w:color w:val="0000EE"/>
            <w:u w:val="single"/>
          </w:rPr>
          <w:t>Philippiens 1:15–18</w:t>
        </w:r>
      </w:hyperlink>
      <w:r>
        <w:t xml:space="preserve">; </w:t>
      </w:r>
      <w:hyperlink r:id="rId8409">
        <w:r>
          <w:rPr>
            <w:color w:val="0000EE"/>
            <w:u w:val="single"/>
          </w:rPr>
          <w:t>2 Timothée 2:8</w:t>
        </w:r>
      </w:hyperlink>
      <w:r>
        <w:t xml:space="preserve">). Le Nouveau Testament parle sans cesse de </w:t>
      </w:r>
      <w:r>
        <w:rPr>
          <w:i/>
        </w:rPr>
        <w:t>l’Évangile</w:t>
      </w:r>
      <w:r>
        <w:t xml:space="preserve">(jamais des évangiles) de Christ. Un second Évangile serait aussi improbable et inutile qu’un second Christ. Dieu autorise un seul Évangile (exemple, </w:t>
      </w:r>
      <w:hyperlink r:id="rId8410">
        <w:r>
          <w:rPr>
            <w:color w:val="0000EE"/>
            <w:u w:val="single"/>
          </w:rPr>
          <w:t>Romains 1:1–17</w:t>
        </w:r>
      </w:hyperlink>
      <w:r>
        <w:t xml:space="preserve">) qu’il proclame (exemple, </w:t>
      </w:r>
      <w:hyperlink r:id="rId8411">
        <w:r>
          <w:rPr>
            <w:color w:val="0000EE"/>
            <w:u w:val="single"/>
          </w:rPr>
          <w:t>2 Thessaloniciens 2:13–14</w:t>
        </w:r>
      </w:hyperlink>
      <w:r>
        <w:t xml:space="preserve">). </w:t>
      </w:r>
      <w:hyperlink r:id="rId8412">
        <w:r>
          <w:rPr>
            <w:color w:val="0000EE"/>
            <w:u w:val="single"/>
          </w:rPr>
          <w:t>Galates 2:7–9</w:t>
        </w:r>
      </w:hyperlink>
      <w:r>
        <w:t xml:space="preserve"> ne mentionne pas deux évangiles, mais deux champs de mission. Paul (l’apôtre des incirconcis) et Pierre (l’apôtre des circoncis) sont tous deux chargés de « l’Évangile de Christ » (</w:t>
      </w:r>
      <w:hyperlink r:id="rId8413">
        <w:r>
          <w:rPr>
            <w:color w:val="0000EE"/>
            <w:u w:val="single"/>
          </w:rPr>
          <w:t>Galates 1:7</w:t>
        </w:r>
      </w:hyperlink>
      <w:r>
        <w:t xml:space="preserve">; voir aussi </w:t>
      </w:r>
      <w:hyperlink r:id="rId2692">
        <w:r>
          <w:rPr>
            <w:color w:val="0000EE"/>
            <w:u w:val="single"/>
          </w:rPr>
          <w:t>1 Corinthiens 15:1–11</w:t>
        </w:r>
      </w:hyperlink>
      <w:r>
        <w:t>), le message que Dieu a ordonné pour le salut des Juifs et des Païens (</w:t>
      </w:r>
      <w:hyperlink r:id="rId523">
        <w:r>
          <w:rPr>
            <w:color w:val="0000EE"/>
            <w:u w:val="single"/>
          </w:rPr>
          <w:t>Romains 1:16</w:t>
        </w:r>
      </w:hyperlink>
      <w:r>
        <w:t xml:space="preserve">). « L’autre Évangile » que Paul dénonce en </w:t>
      </w:r>
      <w:hyperlink r:id="rId8023">
        <w:r>
          <w:rPr>
            <w:color w:val="0000EE"/>
            <w:u w:val="single"/>
          </w:rPr>
          <w:t>Galates 1:6–9</w:t>
        </w:r>
      </w:hyperlink>
      <w:r>
        <w:t xml:space="preserve"> et </w:t>
      </w:r>
      <w:hyperlink r:id="rId8406">
        <w:r>
          <w:rPr>
            <w:color w:val="0000EE"/>
            <w:u w:val="single"/>
          </w:rPr>
          <w:t>2 Corinthiens 11:4</w:t>
        </w:r>
      </w:hyperlink>
      <w:r>
        <w:t xml:space="preserve"> n’est pas un autre Évangile sur Jésus, mais un message sur « un autre Jésus » qui n’est pas le vrai, il existe uniquement dans la pensée et dans les messages de ceux qui le proclament. Prêcher le vrai Christ revient à prêcher le vrai Évangile, indépendamment des motivations de chacun (</w:t>
      </w:r>
      <w:hyperlink r:id="rId8414">
        <w:r>
          <w:rPr>
            <w:color w:val="0000EE"/>
            <w:u w:val="single"/>
          </w:rPr>
          <w:t>Philippiens 1:15–18, 27</w:t>
        </w:r>
      </w:hyperlink>
      <w:r>
        <w:t>), et réagir positivement à l’Évangile signifie se tourner vers Christ (</w:t>
      </w:r>
      <w:hyperlink r:id="rId8415">
        <w:r>
          <w:rPr>
            <w:color w:val="0000EE"/>
            <w:u w:val="single"/>
          </w:rPr>
          <w:t>Actes 11:20–21</w:t>
        </w:r>
      </w:hyperlink>
      <w:r>
        <w:t xml:space="preserve">; </w:t>
      </w:r>
      <w:hyperlink r:id="rId8404">
        <w:r>
          <w:rPr>
            <w:color w:val="0000EE"/>
            <w:u w:val="single"/>
          </w:rPr>
          <w:t>Romains 10:8–17</w:t>
        </w:r>
      </w:hyperlink>
      <w:r>
        <w:t xml:space="preserve">; </w:t>
      </w:r>
      <w:hyperlink r:id="rId8416">
        <w:r>
          <w:rPr>
            <w:color w:val="0000EE"/>
            <w:u w:val="single"/>
          </w:rPr>
          <w:t>Galates 2:14–16</w:t>
        </w:r>
      </w:hyperlink>
      <w:r>
        <w:t>).</w:t>
      </w:r>
    </w:p>
    <w:p>
      <w:pPr>
        <w:pStyle w:val="Heading4"/>
      </w:pPr>
      <w:r>
        <w:t>L’Évangile, témoin des événements salvateurs</w:t>
      </w:r>
    </w:p>
    <w:p>
      <w:r/>
      <w:r>
        <w:t>L’Évangile apporte un témoignage sur tous les aspects de l’œuvre salvatrice de Christ, depuis sa naissance (</w:t>
      </w:r>
      <w:hyperlink r:id="rId2304">
        <w:r>
          <w:rPr>
            <w:color w:val="0000EE"/>
            <w:u w:val="single"/>
          </w:rPr>
          <w:t>Romains 1:3</w:t>
        </w:r>
      </w:hyperlink>
      <w:r>
        <w:t xml:space="preserve">; </w:t>
      </w:r>
      <w:hyperlink r:id="rId8409">
        <w:r>
          <w:rPr>
            <w:color w:val="0000EE"/>
            <w:u w:val="single"/>
          </w:rPr>
          <w:t>2 Timothée 2:8</w:t>
        </w:r>
      </w:hyperlink>
      <w:r>
        <w:t>) et son ministère public (</w:t>
      </w:r>
      <w:hyperlink r:id="rId2495">
        <w:r>
          <w:rPr>
            <w:color w:val="0000EE"/>
            <w:u w:val="single"/>
          </w:rPr>
          <w:t>Marc 1:1</w:t>
        </w:r>
      </w:hyperlink>
      <w:r>
        <w:t xml:space="preserve">; </w:t>
      </w:r>
      <w:hyperlink r:id="rId8417">
        <w:r>
          <w:rPr>
            <w:color w:val="0000EE"/>
            <w:u w:val="single"/>
          </w:rPr>
          <w:t>Actes 10:36–38</w:t>
        </w:r>
      </w:hyperlink>
      <w:r>
        <w:t>) jusqu’à sa seconde venue (</w:t>
      </w:r>
      <w:hyperlink r:id="rId8418">
        <w:r>
          <w:rPr>
            <w:color w:val="0000EE"/>
            <w:u w:val="single"/>
          </w:rPr>
          <w:t>Colossiens 1:5, 23</w:t>
        </w:r>
      </w:hyperlink>
      <w:r>
        <w:t xml:space="preserve">; voir </w:t>
      </w:r>
      <w:hyperlink r:id="rId2910">
        <w:r>
          <w:rPr>
            <w:color w:val="0000EE"/>
            <w:u w:val="single"/>
          </w:rPr>
          <w:t>3:1–4</w:t>
        </w:r>
      </w:hyperlink>
      <w:r>
        <w:t xml:space="preserve">; </w:t>
      </w:r>
      <w:hyperlink r:id="rId8419">
        <w:r>
          <w:rPr>
            <w:color w:val="0000EE"/>
            <w:u w:val="single"/>
          </w:rPr>
          <w:t>1 Thessaloniciens 1:5–10</w:t>
        </w:r>
      </w:hyperlink>
      <w:r>
        <w:t>) et le jugement dernier (</w:t>
      </w:r>
      <w:hyperlink r:id="rId8420">
        <w:r>
          <w:rPr>
            <w:color w:val="0000EE"/>
            <w:u w:val="single"/>
          </w:rPr>
          <w:t>Romains 2:16</w:t>
        </w:r>
      </w:hyperlink>
      <w:r>
        <w:t xml:space="preserve">). Toutefois, la mort et la résurrection de Christ sont les événements les plus cruciaux pour l’accomplissement du salut, par conséquent, ils occupent une place prépondérante dans la prédication de l’Évangile. Ces événements constituent le point culminant de la proclamation de Marc (chapitre </w:t>
      </w:r>
      <w:hyperlink r:id="rId8421">
        <w:r>
          <w:rPr>
            <w:color w:val="0000EE"/>
            <w:u w:val="single"/>
          </w:rPr>
          <w:t>15–16</w:t>
        </w:r>
      </w:hyperlink>
      <w:r>
        <w:t>) et auxquels tout le reste se prépare (</w:t>
      </w:r>
      <w:hyperlink r:id="rId5715">
        <w:r>
          <w:rPr>
            <w:color w:val="0000EE"/>
            <w:u w:val="single"/>
          </w:rPr>
          <w:t>8:31</w:t>
        </w:r>
      </w:hyperlink>
      <w:r>
        <w:t xml:space="preserve">; </w:t>
      </w:r>
      <w:hyperlink r:id="rId8422">
        <w:r>
          <w:rPr>
            <w:color w:val="0000EE"/>
            <w:u w:val="single"/>
          </w:rPr>
          <w:t>9:31</w:t>
        </w:r>
      </w:hyperlink>
      <w:r>
        <w:t xml:space="preserve">; </w:t>
      </w:r>
      <w:hyperlink r:id="rId8423">
        <w:r>
          <w:rPr>
            <w:color w:val="0000EE"/>
            <w:u w:val="single"/>
          </w:rPr>
          <w:t>10:33–34</w:t>
        </w:r>
      </w:hyperlink>
      <w:r>
        <w:t xml:space="preserve">; </w:t>
      </w:r>
      <w:hyperlink r:id="rId8424">
        <w:r>
          <w:rPr>
            <w:color w:val="0000EE"/>
            <w:u w:val="single"/>
          </w:rPr>
          <w:t>12:6–8</w:t>
        </w:r>
      </w:hyperlink>
      <w:r>
        <w:t>) ; un accent particulier est mis sur la mort de Jésus comme moyen de salut contre le péché (</w:t>
      </w:r>
      <w:hyperlink r:id="rId654">
        <w:r>
          <w:rPr>
            <w:color w:val="0000EE"/>
            <w:u w:val="single"/>
          </w:rPr>
          <w:t>10:45</w:t>
        </w:r>
      </w:hyperlink>
      <w:r>
        <w:t xml:space="preserve">; </w:t>
      </w:r>
      <w:hyperlink r:id="rId8425">
        <w:r>
          <w:rPr>
            <w:color w:val="0000EE"/>
            <w:u w:val="single"/>
          </w:rPr>
          <w:t>14:3–9, 22–24</w:t>
        </w:r>
      </w:hyperlink>
      <w:r>
        <w:t>). De même, dans l’Évangile de Paul, la mort et la résurrection de Jésus occupent une place prépondérante (</w:t>
      </w:r>
      <w:hyperlink r:id="rId5185">
        <w:r>
          <w:rPr>
            <w:color w:val="0000EE"/>
            <w:u w:val="single"/>
          </w:rPr>
          <w:t>Romains 4:25</w:t>
        </w:r>
      </w:hyperlink>
      <w:r>
        <w:t xml:space="preserve">; </w:t>
      </w:r>
      <w:hyperlink r:id="rId8426">
        <w:r>
          <w:rPr>
            <w:color w:val="0000EE"/>
            <w:u w:val="single"/>
          </w:rPr>
          <w:t>1 Corinthiens 15:1–4</w:t>
        </w:r>
      </w:hyperlink>
      <w:r>
        <w:t>), la croix occupant la place centrale (</w:t>
      </w:r>
      <w:hyperlink r:id="rId8427">
        <w:r>
          <w:rPr>
            <w:color w:val="0000EE"/>
            <w:u w:val="single"/>
          </w:rPr>
          <w:t>1 Corinthiens 1:17–2:5</w:t>
        </w:r>
      </w:hyperlink>
      <w:r>
        <w:t>). Selon Paul, si Christ n’était pas ressuscité des morts, le message de la croix serait une perte de temps (</w:t>
      </w:r>
      <w:hyperlink r:id="rId8428">
        <w:r>
          <w:rPr>
            <w:color w:val="0000EE"/>
            <w:u w:val="single"/>
          </w:rPr>
          <w:t>1 Corinthiens 15:14, 17</w:t>
        </w:r>
      </w:hyperlink>
      <w:r>
        <w:t xml:space="preserve">; voir aussi </w:t>
      </w:r>
      <w:hyperlink r:id="rId8429">
        <w:r>
          <w:rPr>
            <w:color w:val="0000EE"/>
            <w:u w:val="single"/>
          </w:rPr>
          <w:t>Romains 6:3–11</w:t>
        </w:r>
      </w:hyperlink>
      <w:r>
        <w:t>). Cependant, puisque Christ est ressuscité, sa mort mérite une attention particulière, car elle est la source de l’expiation des péchés par Dieu (</w:t>
      </w:r>
      <w:hyperlink r:id="rId8030">
        <w:r>
          <w:rPr>
            <w:color w:val="0000EE"/>
            <w:u w:val="single"/>
          </w:rPr>
          <w:t>Romains 3:21–26</w:t>
        </w:r>
      </w:hyperlink>
      <w:r>
        <w:t xml:space="preserve">; </w:t>
      </w:r>
      <w:hyperlink r:id="rId8430">
        <w:r>
          <w:rPr>
            <w:color w:val="0000EE"/>
            <w:u w:val="single"/>
          </w:rPr>
          <w:t>5:6–11</w:t>
        </w:r>
      </w:hyperlink>
      <w:r>
        <w:t xml:space="preserve">; </w:t>
      </w:r>
      <w:hyperlink r:id="rId8431">
        <w:r>
          <w:rPr>
            <w:color w:val="0000EE"/>
            <w:u w:val="single"/>
          </w:rPr>
          <w:t>2 Corinthiens 5:14–21</w:t>
        </w:r>
      </w:hyperlink>
      <w:r>
        <w:t xml:space="preserve">; </w:t>
      </w:r>
      <w:hyperlink r:id="rId8432">
        <w:r>
          <w:rPr>
            <w:color w:val="0000EE"/>
            <w:u w:val="single"/>
          </w:rPr>
          <w:t>Éphésiens 1:7</w:t>
        </w:r>
      </w:hyperlink>
      <w:r>
        <w:t>). L’Évangile rapporté par le livre des Actes des Apôtres proclame la mort de Jésus (</w:t>
      </w:r>
      <w:hyperlink r:id="rId8433">
        <w:r>
          <w:rPr>
            <w:color w:val="0000EE"/>
            <w:u w:val="single"/>
          </w:rPr>
          <w:t>Actes 8:25</w:t>
        </w:r>
      </w:hyperlink>
      <w:r>
        <w:t xml:space="preserve">; </w:t>
      </w:r>
      <w:hyperlink r:id="rId8434">
        <w:r>
          <w:rPr>
            <w:color w:val="0000EE"/>
            <w:u w:val="single"/>
          </w:rPr>
          <w:t>20:24, 28</w:t>
        </w:r>
      </w:hyperlink>
      <w:r>
        <w:t xml:space="preserve">; voir </w:t>
      </w:r>
      <w:hyperlink r:id="rId8435">
        <w:r>
          <w:rPr>
            <w:color w:val="0000EE"/>
            <w:u w:val="single"/>
          </w:rPr>
          <w:t>10:36–43</w:t>
        </w:r>
      </w:hyperlink>
      <w:r>
        <w:t>) et surtout sa résurrection, le moyen par lequel il a vaincu la mort et a reçu l’exaltation en tant que Seigneur et Juge à venir (</w:t>
      </w:r>
      <w:hyperlink r:id="rId8435">
        <w:r>
          <w:rPr>
            <w:color w:val="0000EE"/>
            <w:u w:val="single"/>
          </w:rPr>
          <w:t>10:36–43</w:t>
        </w:r>
      </w:hyperlink>
      <w:r>
        <w:t xml:space="preserve">; </w:t>
      </w:r>
      <w:hyperlink r:id="rId8330">
        <w:r>
          <w:rPr>
            <w:color w:val="0000EE"/>
            <w:u w:val="single"/>
          </w:rPr>
          <w:t>13:32–33</w:t>
        </w:r>
      </w:hyperlink>
      <w:r>
        <w:t xml:space="preserve">; </w:t>
      </w:r>
      <w:hyperlink r:id="rId8436">
        <w:r>
          <w:rPr>
            <w:color w:val="0000EE"/>
            <w:u w:val="single"/>
          </w:rPr>
          <w:t>17:18, 31</w:t>
        </w:r>
      </w:hyperlink>
      <w:r>
        <w:t>). Selon 1 Pierre, les prédicateurs de l’Évangile (</w:t>
      </w:r>
      <w:hyperlink r:id="rId3096">
        <w:r>
          <w:rPr>
            <w:color w:val="0000EE"/>
            <w:u w:val="single"/>
          </w:rPr>
          <w:t>1 Pierre 1:12</w:t>
        </w:r>
      </w:hyperlink>
      <w:r>
        <w:t>) se sont focalisés, comme les prophètes de l’Ancien Testament, sur « les souffrances de Christ et sa gloire à venir » (</w:t>
      </w:r>
      <w:hyperlink r:id="rId4914">
        <w:r>
          <w:rPr>
            <w:color w:val="0000EE"/>
            <w:u w:val="single"/>
          </w:rPr>
          <w:t>1:11</w:t>
        </w:r>
      </w:hyperlink>
      <w:r>
        <w:t xml:space="preserve">; voir aussi </w:t>
      </w:r>
      <w:hyperlink r:id="rId8437">
        <w:r>
          <w:rPr>
            <w:color w:val="0000EE"/>
            <w:u w:val="single"/>
          </w:rPr>
          <w:t>1:18–19</w:t>
        </w:r>
      </w:hyperlink>
      <w:r>
        <w:t xml:space="preserve">; </w:t>
      </w:r>
      <w:hyperlink r:id="rId8438">
        <w:r>
          <w:rPr>
            <w:color w:val="0000EE"/>
            <w:u w:val="single"/>
          </w:rPr>
          <w:t>2:21–24</w:t>
        </w:r>
      </w:hyperlink>
      <w:r>
        <w:t xml:space="preserve">; </w:t>
      </w:r>
      <w:hyperlink r:id="rId8439">
        <w:r>
          <w:rPr>
            <w:color w:val="0000EE"/>
            <w:u w:val="single"/>
          </w:rPr>
          <w:t>3:18–22</w:t>
        </w:r>
      </w:hyperlink>
      <w:r>
        <w:t>).</w:t>
      </w:r>
    </w:p>
    <w:p>
      <w:pPr>
        <w:pStyle w:val="Heading4"/>
      </w:pPr>
      <w:r>
        <w:t>L’Évangile comme puissance du salut</w:t>
      </w:r>
    </w:p>
    <w:p>
      <w:r/>
      <w:r>
        <w:t xml:space="preserve">L’Évangile représente bien plus qu’un récit sur les événements passés et qu’un exposé de doctrine. Paul déclare en </w:t>
      </w:r>
      <w:hyperlink r:id="rId8440">
        <w:r>
          <w:rPr>
            <w:color w:val="0000EE"/>
            <w:u w:val="single"/>
          </w:rPr>
          <w:t>1 Corinthiens 1:17–18</w:t>
        </w:r>
      </w:hyperlink>
      <w:r>
        <w:t xml:space="preserve"> et à nouveau en </w:t>
      </w:r>
      <w:hyperlink r:id="rId523">
        <w:r>
          <w:rPr>
            <w:color w:val="0000EE"/>
            <w:u w:val="single"/>
          </w:rPr>
          <w:t>Romains 1:16</w:t>
        </w:r>
      </w:hyperlink>
      <w:r>
        <w:t xml:space="preserve"> que l’Évangile est « la puissance de Dieu », pas uniquement un témoignage de sa puissance, mais </w:t>
      </w:r>
      <w:r>
        <w:rPr>
          <w:i/>
        </w:rPr>
        <w:t>l’expression</w:t>
      </w:r>
      <w:r>
        <w:t xml:space="preserve"> de sa puissance. Il ne peut donc pas être entravé (</w:t>
      </w:r>
      <w:hyperlink r:id="rId8441">
        <w:r>
          <w:rPr>
            <w:color w:val="0000EE"/>
            <w:u w:val="single"/>
          </w:rPr>
          <w:t>2 Timothée 2:8–9</w:t>
        </w:r>
      </w:hyperlink>
      <w:r>
        <w:t xml:space="preserve">). « notre Évangile ne vous ayant pas été prêché en paroles seulement, mais avec puissance », écrit Paul en </w:t>
      </w:r>
      <w:hyperlink r:id="rId8442">
        <w:r>
          <w:rPr>
            <w:color w:val="0000EE"/>
            <w:u w:val="single"/>
          </w:rPr>
          <w:t>1 Thessaloniciens 1:5</w:t>
        </w:r>
      </w:hyperlink>
      <w:r>
        <w:t xml:space="preserve">. Son propos ne signifie pas que l’Évangile a été accompagné d’œuvres puissantes (même si c’est le cas ; voir </w:t>
      </w:r>
      <w:hyperlink r:id="rId8443">
        <w:r>
          <w:rPr>
            <w:color w:val="0000EE"/>
            <w:u w:val="single"/>
          </w:rPr>
          <w:t>Romains 15:18–19</w:t>
        </w:r>
      </w:hyperlink>
      <w:r>
        <w:t>), mais que l’Évangile lui-même est une œuvre puissante. Dieu agit ainsi par l’intermédiaire de son Saint-Esprit (</w:t>
      </w:r>
      <w:hyperlink r:id="rId8443">
        <w:r>
          <w:rPr>
            <w:color w:val="0000EE"/>
            <w:u w:val="single"/>
          </w:rPr>
          <w:t>Romains 15:18–19</w:t>
        </w:r>
      </w:hyperlink>
      <w:r>
        <w:t xml:space="preserve">; </w:t>
      </w:r>
      <w:hyperlink r:id="rId8242">
        <w:r>
          <w:rPr>
            <w:color w:val="0000EE"/>
            <w:u w:val="single"/>
          </w:rPr>
          <w:t>1 Corinthiens 2:1–5</w:t>
        </w:r>
      </w:hyperlink>
      <w:r>
        <w:t xml:space="preserve">; </w:t>
      </w:r>
      <w:hyperlink r:id="rId8444">
        <w:r>
          <w:rPr>
            <w:color w:val="0000EE"/>
            <w:u w:val="single"/>
          </w:rPr>
          <w:t>1 Thessaloniciens 1:6</w:t>
        </w:r>
      </w:hyperlink>
      <w:r>
        <w:t xml:space="preserve">). Par ailleurs, le but principal de Dieu lorsqu’il déploie sa puissance est de changer la vie des êtres humains, de les affranchir du péché et de la mort, et de les réconcilier avec lui-même ; bref, de les sauver. L’Évangile possède la puissance nécessaire pour assurer le salut qu’il annonce et pour transmettre la vie qu’il promet (exemple </w:t>
      </w:r>
      <w:hyperlink r:id="rId523">
        <w:r>
          <w:rPr>
            <w:color w:val="0000EE"/>
            <w:u w:val="single"/>
          </w:rPr>
          <w:t>Romains 1:16</w:t>
        </w:r>
      </w:hyperlink>
      <w:r>
        <w:t xml:space="preserve">; </w:t>
      </w:r>
      <w:hyperlink r:id="rId8404">
        <w:r>
          <w:rPr>
            <w:color w:val="0000EE"/>
            <w:u w:val="single"/>
          </w:rPr>
          <w:t>10:8–17</w:t>
        </w:r>
      </w:hyperlink>
      <w:r>
        <w:t xml:space="preserve">; </w:t>
      </w:r>
      <w:hyperlink r:id="rId8440">
        <w:r>
          <w:rPr>
            <w:color w:val="0000EE"/>
            <w:u w:val="single"/>
          </w:rPr>
          <w:t>1 Corinthiens 1:17–18</w:t>
        </w:r>
      </w:hyperlink>
      <w:r>
        <w:t xml:space="preserve">; </w:t>
      </w:r>
      <w:hyperlink r:id="rId8445">
        <w:r>
          <w:rPr>
            <w:color w:val="0000EE"/>
            <w:u w:val="single"/>
          </w:rPr>
          <w:t>15:1–2</w:t>
        </w:r>
      </w:hyperlink>
      <w:r>
        <w:t xml:space="preserve">; </w:t>
      </w:r>
      <w:hyperlink r:id="rId8446">
        <w:r>
          <w:rPr>
            <w:color w:val="0000EE"/>
            <w:u w:val="single"/>
          </w:rPr>
          <w:t>Éphésiens 1:13</w:t>
        </w:r>
      </w:hyperlink>
      <w:r>
        <w:t xml:space="preserve">; </w:t>
      </w:r>
      <w:hyperlink r:id="rId8411">
        <w:r>
          <w:rPr>
            <w:color w:val="0000EE"/>
            <w:u w:val="single"/>
          </w:rPr>
          <w:t>2 Thessaloniciens 2:13–14</w:t>
        </w:r>
      </w:hyperlink>
      <w:r>
        <w:t xml:space="preserve">; </w:t>
      </w:r>
      <w:hyperlink r:id="rId8447">
        <w:r>
          <w:rPr>
            <w:color w:val="0000EE"/>
            <w:u w:val="single"/>
          </w:rPr>
          <w:t>2 Timothée 1:8–11</w:t>
        </w:r>
      </w:hyperlink>
      <w:r>
        <w:t xml:space="preserve">; </w:t>
      </w:r>
      <w:hyperlink r:id="rId8448">
        <w:r>
          <w:rPr>
            <w:color w:val="0000EE"/>
            <w:u w:val="single"/>
          </w:rPr>
          <w:t>1 Pierre 1:23–25</w:t>
        </w:r>
      </w:hyperlink>
      <w:r>
        <w:t>). Pour recevoir le salut, les êtres humains doivent écouter et croire l’Évangile. Ce message est exactement le moyen par lequel la puissance salvatrice manifestée en Christ et dans ses œuvres (en particulier sa mort et sa résurrection) se transmet aux hommes et devient effective dans leur vie. De même, les chrétiens reçoivent le Saint-Esprit en association avec l’Évangile ou en conséquence directe de la réception de l’Évangile (</w:t>
      </w:r>
      <w:hyperlink r:id="rId8449">
        <w:r>
          <w:rPr>
            <w:color w:val="0000EE"/>
            <w:u w:val="single"/>
          </w:rPr>
          <w:t>Actes 10:36–44</w:t>
        </w:r>
      </w:hyperlink>
      <w:r>
        <w:t xml:space="preserve">; </w:t>
      </w:r>
      <w:hyperlink r:id="rId8450">
        <w:r>
          <w:rPr>
            <w:color w:val="0000EE"/>
            <w:u w:val="single"/>
          </w:rPr>
          <w:t>15:7–8</w:t>
        </w:r>
      </w:hyperlink>
      <w:r>
        <w:t xml:space="preserve">; </w:t>
      </w:r>
      <w:hyperlink r:id="rId8406">
        <w:r>
          <w:rPr>
            <w:color w:val="0000EE"/>
            <w:u w:val="single"/>
          </w:rPr>
          <w:t>2 Corinthiens 11:4</w:t>
        </w:r>
      </w:hyperlink>
      <w:r>
        <w:t xml:space="preserve">; </w:t>
      </w:r>
      <w:hyperlink r:id="rId8451">
        <w:r>
          <w:rPr>
            <w:color w:val="0000EE"/>
            <w:u w:val="single"/>
          </w:rPr>
          <w:t>Galates 3:1–2</w:t>
        </w:r>
      </w:hyperlink>
      <w:r>
        <w:t>). En bref, l’Évangile est le lieu décisif de la rencontre entre le pécheur et le Dieu Sauveur.</w:t>
      </w:r>
    </w:p>
    <w:p>
      <w:pPr>
        <w:pStyle w:val="Heading4"/>
      </w:pPr>
      <w:r>
        <w:t>L’Évangile de la grâce</w:t>
      </w:r>
    </w:p>
    <w:p>
      <w:r/>
      <w:r>
        <w:t>Selon le témoignage de Pierre au Concile de Jérusalem (</w:t>
      </w:r>
      <w:hyperlink r:id="rId3020">
        <w:r>
          <w:rPr>
            <w:color w:val="0000EE"/>
            <w:u w:val="single"/>
          </w:rPr>
          <w:t>Actes 15:7–11</w:t>
        </w:r>
      </w:hyperlink>
      <w:r>
        <w:t>), une partie essentielle de l’Évangile (pour les Païens comme pour les Juifs) est le salut « par la grâce du Seigneur Jésus ». Vers la fin de son parcours missionnaire, Paul déclare que son principal souci a été « d’annoncer la bonne nouvelle de la grâce de Dieu. » (</w:t>
      </w:r>
      <w:hyperlink r:id="rId8452">
        <w:r>
          <w:rPr>
            <w:color w:val="0000EE"/>
            <w:u w:val="single"/>
          </w:rPr>
          <w:t>Actes 20:24</w:t>
        </w:r>
      </w:hyperlink>
      <w:r>
        <w:t>, lsg). Cette déclaration se comprend uniquement en relation avec le concept de Paul sur la justice de Dieu, notamment exposée dans l’épitre aux Romains. Paul ne se contente pas d’exposer un attribut divin. Il décrit plutôt une activité divine ; la manifestation de la justice de Dieu, « dans le temps présent » (</w:t>
      </w:r>
      <w:hyperlink r:id="rId8453">
        <w:r>
          <w:rPr>
            <w:color w:val="0000EE"/>
            <w:u w:val="single"/>
          </w:rPr>
          <w:t>Romains 3:26</w:t>
        </w:r>
      </w:hyperlink>
      <w:r>
        <w:t>), dans l’ère nouvelle inaugurée par l’arrivée de Jésus. La manifestation est double. En examinant ces deux aspects, et en le faisant à la lumière de l’Évangile déclaré par Ésaïe et par Jésus (qui ont tous deux fortement influencé Paul), respectivement, nous pourrons comprendre pourquoi Paul évoque « l’Évangile de la grâce de Dieu ».</w:t>
      </w:r>
    </w:p>
    <w:p>
      <w:r/>
      <w:r>
        <w:t xml:space="preserve">Premièrement, l’Évangile est un </w:t>
      </w:r>
      <w:r>
        <w:rPr>
          <w:i/>
        </w:rPr>
        <w:t>témoignage</w:t>
      </w:r>
      <w:r>
        <w:t xml:space="preserve"> de la grâce de Dieu. En offrant son Fils en sacrifice pour les péchés (</w:t>
      </w:r>
      <w:hyperlink r:id="rId8454">
        <w:r>
          <w:rPr>
            <w:color w:val="0000EE"/>
            <w:u w:val="single"/>
          </w:rPr>
          <w:t>Romains 3:25a</w:t>
        </w:r>
      </w:hyperlink>
      <w:r>
        <w:t xml:space="preserve">), Dieu démontre sa justice (versets </w:t>
      </w:r>
      <w:hyperlink r:id="rId4425">
        <w:r>
          <w:rPr>
            <w:color w:val="0000EE"/>
            <w:u w:val="single"/>
          </w:rPr>
          <w:t>25b-26</w:t>
        </w:r>
      </w:hyperlink>
      <w:r>
        <w:t xml:space="preserve">). En d’autres termes, avec la mort de Jésus, les péchés « ignorés » (verset </w:t>
      </w:r>
      <w:hyperlink r:id="rId8454">
        <w:r>
          <w:rPr>
            <w:color w:val="0000EE"/>
            <w:u w:val="single"/>
          </w:rPr>
          <w:t>25</w:t>
        </w:r>
      </w:hyperlink>
      <w:r>
        <w:t xml:space="preserve">c) deviennent l’objet de la colère (voir verset </w:t>
      </w:r>
      <w:hyperlink r:id="rId8455">
        <w:r>
          <w:rPr>
            <w:color w:val="0000EE"/>
            <w:u w:val="single"/>
          </w:rPr>
          <w:t>1:18</w:t>
        </w:r>
      </w:hyperlink>
      <w:r>
        <w:t>) et du jugement de Dieu. Néanmoins, de même que Dieu applique un traitement juste et résolu aux péchés, il fait preuve de grâce envers les pécheurs. Car le jugement contre le péché ne se focalise pas sur les pécheurs eux-mêmes, mais sur la personne désignée pour se substituer à eux et agir en leur nom (</w:t>
      </w:r>
      <w:hyperlink r:id="rId5185">
        <w:r>
          <w:rPr>
            <w:color w:val="0000EE"/>
            <w:u w:val="single"/>
          </w:rPr>
          <w:t>Romains 4:25</w:t>
        </w:r>
      </w:hyperlink>
      <w:r>
        <w:t xml:space="preserve">; </w:t>
      </w:r>
      <w:hyperlink r:id="rId8456">
        <w:r>
          <w:rPr>
            <w:color w:val="0000EE"/>
            <w:u w:val="single"/>
          </w:rPr>
          <w:t>5:6, 11</w:t>
        </w:r>
      </w:hyperlink>
      <w:r>
        <w:t xml:space="preserve">; voir aussi </w:t>
      </w:r>
      <w:hyperlink r:id="rId6717">
        <w:r>
          <w:rPr>
            <w:color w:val="0000EE"/>
            <w:u w:val="single"/>
          </w:rPr>
          <w:t>2 Corinthiens 5:21</w:t>
        </w:r>
      </w:hyperlink>
      <w:r>
        <w:t xml:space="preserve">; </w:t>
      </w:r>
      <w:hyperlink r:id="rId2444">
        <w:r>
          <w:rPr>
            <w:color w:val="0000EE"/>
            <w:u w:val="single"/>
          </w:rPr>
          <w:t>Galates 3:13</w:t>
        </w:r>
      </w:hyperlink>
      <w:r>
        <w:t>). Sur cette base, les pécheurs sont librement pardonnés (</w:t>
      </w:r>
      <w:hyperlink r:id="rId8457">
        <w:r>
          <w:rPr>
            <w:color w:val="0000EE"/>
            <w:u w:val="single"/>
          </w:rPr>
          <w:t>Romains 3:24</w:t>
        </w:r>
      </w:hyperlink>
      <w:r>
        <w:t>). « La grâce du Seigneur Jésus » (</w:t>
      </w:r>
      <w:hyperlink r:id="rId8217">
        <w:r>
          <w:rPr>
            <w:color w:val="0000EE"/>
            <w:u w:val="single"/>
          </w:rPr>
          <w:t>Actes 15:11</w:t>
        </w:r>
      </w:hyperlink>
      <w:r>
        <w:t>) envers les pécheurs est également évidente, car il porte volontiers leurs iniquités et subit les conséquences de leurs méfaits (</w:t>
      </w:r>
      <w:hyperlink r:id="rId2305">
        <w:r>
          <w:rPr>
            <w:color w:val="0000EE"/>
            <w:u w:val="single"/>
          </w:rPr>
          <w:t>Galates 2:20</w:t>
        </w:r>
      </w:hyperlink>
      <w:r>
        <w:t xml:space="preserve">; voir aussi </w:t>
      </w:r>
      <w:hyperlink r:id="rId8458">
        <w:r>
          <w:rPr>
            <w:color w:val="0000EE"/>
            <w:u w:val="single"/>
          </w:rPr>
          <w:t>2 Corinthiens 8:9</w:t>
        </w:r>
      </w:hyperlink>
      <w:r>
        <w:t xml:space="preserve">; </w:t>
      </w:r>
      <w:hyperlink r:id="rId2529">
        <w:r>
          <w:rPr>
            <w:color w:val="0000EE"/>
            <w:u w:val="single"/>
          </w:rPr>
          <w:t>Philippiens 2:6–8</w:t>
        </w:r>
      </w:hyperlink>
      <w:r>
        <w:t>).</w:t>
      </w:r>
    </w:p>
    <w:p>
      <w:r/>
      <w:r>
        <w:t xml:space="preserve">Deuxièmement, l’Évangile est un </w:t>
      </w:r>
      <w:r>
        <w:rPr>
          <w:i/>
        </w:rPr>
        <w:t>canal</w:t>
      </w:r>
      <w:r>
        <w:t xml:space="preserve"> de la grâce de Dieu. Paul déclare : « La justice de Dieu est révélée dans l’Évangile. » (</w:t>
      </w:r>
      <w:hyperlink r:id="rId4424">
        <w:r>
          <w:rPr>
            <w:color w:val="0000EE"/>
            <w:u w:val="single"/>
          </w:rPr>
          <w:t>Romains 1:17</w:t>
        </w:r>
      </w:hyperlink>
      <w:r>
        <w:t xml:space="preserve">). Paul ne sous-entend pas que l’Évangile parle de la justice de Dieu (bien qu’il le fasse), mais que la justice de Dieu est activement à l’œuvre dans l’Évangile. Cette activité explique à son tour comment l’Évangile devient « la puissance de Dieu pour le salut » (verset </w:t>
      </w:r>
      <w:hyperlink r:id="rId523">
        <w:r>
          <w:rPr>
            <w:color w:val="0000EE"/>
            <w:u w:val="single"/>
          </w:rPr>
          <w:t>16</w:t>
        </w:r>
      </w:hyperlink>
      <w:r>
        <w:t xml:space="preserve">). Comment Dieu manifeste-t-il sa justice à ce stade ? En résumé, en l’accordant comme un don gratuit à des êtres humains pécheurs. Elle demeure la justice de Dieu, mais par la grâce de Dieu, cette justice est partagée par les êtres humains. En outre, prendre part à la justice de Dieu dépend de la relation personnelle avec Jésus-Christ. Selon Paul, la personne sauvée est celle qui a été acquittée, justifiée, « déclarée juste » par Dieu, le Juge. Le verdict ne repose pas sur une justice en soi (Dieu justifie l’impie, </w:t>
      </w:r>
      <w:hyperlink r:id="rId8459">
        <w:r>
          <w:rPr>
            <w:color w:val="0000EE"/>
            <w:u w:val="single"/>
          </w:rPr>
          <w:t>Romains 4:5</w:t>
        </w:r>
      </w:hyperlink>
      <w:r>
        <w:t xml:space="preserve">). Dieu ne me traite pas non plus comme si j’étais juste. Selon Paul, je suis déclaré juste parce que réellement </w:t>
      </w:r>
      <w:r>
        <w:rPr>
          <w:i/>
        </w:rPr>
        <w:t>je suis</w:t>
      </w:r>
      <w:r>
        <w:t xml:space="preserve"> juste ; pas de moi-même, mais en Christ (</w:t>
      </w:r>
      <w:hyperlink r:id="rId8460">
        <w:r>
          <w:rPr>
            <w:color w:val="0000EE"/>
            <w:u w:val="single"/>
          </w:rPr>
          <w:t>1 Corinthiens 1:30</w:t>
        </w:r>
      </w:hyperlink>
      <w:r>
        <w:t xml:space="preserve">; </w:t>
      </w:r>
      <w:hyperlink r:id="rId6717">
        <w:r>
          <w:rPr>
            <w:color w:val="0000EE"/>
            <w:u w:val="single"/>
          </w:rPr>
          <w:t>2 Corinthiens 5:21</w:t>
        </w:r>
      </w:hyperlink>
      <w:r>
        <w:t xml:space="preserve">; </w:t>
      </w:r>
      <w:hyperlink r:id="rId8461">
        <w:r>
          <w:rPr>
            <w:color w:val="0000EE"/>
            <w:u w:val="single"/>
          </w:rPr>
          <w:t>Philippiens 3:9</w:t>
        </w:r>
      </w:hyperlink>
      <w:r>
        <w:t>). Cette relation est établie par la révélation (et l’offre gratuite) de la justice de Dieu dans l’Évangile (</w:t>
      </w:r>
      <w:hyperlink r:id="rId8462">
        <w:r>
          <w:rPr>
            <w:color w:val="0000EE"/>
            <w:u w:val="single"/>
          </w:rPr>
          <w:t>Romains 1:16–17</w:t>
        </w:r>
      </w:hyperlink>
      <w:r>
        <w:t>).</w:t>
      </w:r>
    </w:p>
    <w:p>
      <w:pPr>
        <w:pStyle w:val="Heading4"/>
      </w:pPr>
      <w:r>
        <w:t>Répondre à l’Évangile</w:t>
      </w:r>
    </w:p>
    <w:p>
      <w:r/>
      <w:r>
        <w:t>L’Évangile nécessite une triple réponse :</w:t>
      </w:r>
    </w:p>
    <w:p>
      <w:r/>
      <w:r>
        <w:t xml:space="preserve">1. </w:t>
      </w:r>
      <w:r>
        <w:rPr>
          <w:i/>
        </w:rPr>
        <w:t>Croire.</w:t>
      </w:r>
      <w:r>
        <w:t xml:space="preserve"> Selon Paul, l’Évangile est « c’est une puissance de Dieu pour le salut de quiconque croit » (</w:t>
      </w:r>
      <w:hyperlink r:id="rId523">
        <w:r>
          <w:rPr>
            <w:color w:val="0000EE"/>
            <w:u w:val="single"/>
          </w:rPr>
          <w:t>Romains 1:16</w:t>
        </w:r>
      </w:hyperlink>
      <w:r>
        <w:t>). Pour Paul, la foi est l’abandon de toute dépendance à l’égard des « œuvres de la loi » pour la justification (</w:t>
      </w:r>
      <w:hyperlink r:id="rId8463">
        <w:r>
          <w:rPr>
            <w:color w:val="0000EE"/>
            <w:u w:val="single"/>
          </w:rPr>
          <w:t>3:28</w:t>
        </w:r>
      </w:hyperlink>
      <w:r>
        <w:t xml:space="preserve">) et une dépendance totale à l’égard de la grâce de Dieu, telle qu’elle est démontrée dans l’œuvre de Christ, notamment dans sa mort (verset </w:t>
      </w:r>
      <w:hyperlink r:id="rId8454">
        <w:r>
          <w:rPr>
            <w:color w:val="0000EE"/>
            <w:u w:val="single"/>
          </w:rPr>
          <w:t>25</w:t>
        </w:r>
      </w:hyperlink>
      <w:r>
        <w:t xml:space="preserve">). En conséquence, « l’autre Évangile » de </w:t>
      </w:r>
      <w:hyperlink r:id="rId2619">
        <w:r>
          <w:rPr>
            <w:color w:val="0000EE"/>
            <w:u w:val="single"/>
          </w:rPr>
          <w:t>Galates 1:6</w:t>
        </w:r>
      </w:hyperlink>
      <w:r>
        <w:t xml:space="preserve"> et de </w:t>
      </w:r>
      <w:hyperlink r:id="rId8406">
        <w:r>
          <w:rPr>
            <w:color w:val="0000EE"/>
            <w:u w:val="single"/>
          </w:rPr>
          <w:t>2 Corinthiens 11:4</w:t>
        </w:r>
      </w:hyperlink>
      <w:r>
        <w:t xml:space="preserve"> est une tromperie, car il prêche le salut par le mérite personnel plutôt que (ou en même temps que) l’œuvre de Christ (voir </w:t>
      </w:r>
      <w:hyperlink r:id="rId8464">
        <w:r>
          <w:rPr>
            <w:color w:val="0000EE"/>
            <w:u w:val="single"/>
          </w:rPr>
          <w:t>Galates 2:16</w:t>
        </w:r>
      </w:hyperlink>
      <w:r>
        <w:t>). En conclusion, la foi repose sur Dieu (</w:t>
      </w:r>
      <w:hyperlink r:id="rId8465">
        <w:r>
          <w:rPr>
            <w:color w:val="0000EE"/>
            <w:u w:val="single"/>
          </w:rPr>
          <w:t>Romains 4:24</w:t>
        </w:r>
      </w:hyperlink>
      <w:r>
        <w:t xml:space="preserve">; </w:t>
      </w:r>
      <w:hyperlink r:id="rId8466">
        <w:r>
          <w:rPr>
            <w:color w:val="0000EE"/>
            <w:u w:val="single"/>
          </w:rPr>
          <w:t>1 Thessaloniciens 1:8–9</w:t>
        </w:r>
      </w:hyperlink>
      <w:r>
        <w:t>) et sur Christ (</w:t>
      </w:r>
      <w:hyperlink r:id="rId8467">
        <w:r>
          <w:rPr>
            <w:color w:val="0000EE"/>
            <w:u w:val="single"/>
          </w:rPr>
          <w:t>Romains 3:22, 26</w:t>
        </w:r>
      </w:hyperlink>
      <w:r>
        <w:t xml:space="preserve">; </w:t>
      </w:r>
      <w:hyperlink r:id="rId8468">
        <w:r>
          <w:rPr>
            <w:color w:val="0000EE"/>
            <w:u w:val="single"/>
          </w:rPr>
          <w:t>Galates 2:16, 20</w:t>
        </w:r>
      </w:hyperlink>
      <w:r>
        <w:t>). Cependant, il est impératif de croire également à l`Évangile (</w:t>
      </w:r>
      <w:hyperlink r:id="rId8469">
        <w:r>
          <w:rPr>
            <w:color w:val="0000EE"/>
            <w:u w:val="single"/>
          </w:rPr>
          <w:t>Actes 8:12</w:t>
        </w:r>
      </w:hyperlink>
      <w:r>
        <w:t xml:space="preserve">; </w:t>
      </w:r>
      <w:hyperlink r:id="rId8415">
        <w:r>
          <w:rPr>
            <w:color w:val="0000EE"/>
            <w:u w:val="single"/>
          </w:rPr>
          <w:t>11:20–21</w:t>
        </w:r>
      </w:hyperlink>
      <w:r>
        <w:t xml:space="preserve">; </w:t>
      </w:r>
      <w:hyperlink r:id="rId8470">
        <w:r>
          <w:rPr>
            <w:color w:val="0000EE"/>
            <w:u w:val="single"/>
          </w:rPr>
          <w:t>15:7</w:t>
        </w:r>
      </w:hyperlink>
      <w:r>
        <w:t xml:space="preserve">; </w:t>
      </w:r>
      <w:hyperlink r:id="rId523">
        <w:r>
          <w:rPr>
            <w:color w:val="0000EE"/>
            <w:u w:val="single"/>
          </w:rPr>
          <w:t>Romains 1:16</w:t>
        </w:r>
      </w:hyperlink>
      <w:r>
        <w:t xml:space="preserve">; </w:t>
      </w:r>
      <w:hyperlink r:id="rId8404">
        <w:r>
          <w:rPr>
            <w:color w:val="0000EE"/>
            <w:u w:val="single"/>
          </w:rPr>
          <w:t>10:8–17</w:t>
        </w:r>
      </w:hyperlink>
      <w:r>
        <w:t xml:space="preserve">; </w:t>
      </w:r>
      <w:hyperlink r:id="rId8471">
        <w:r>
          <w:rPr>
            <w:color w:val="0000EE"/>
            <w:u w:val="single"/>
          </w:rPr>
          <w:t>1 Corinthiens 1:17–24</w:t>
        </w:r>
      </w:hyperlink>
      <w:r>
        <w:t xml:space="preserve">; </w:t>
      </w:r>
      <w:hyperlink r:id="rId683">
        <w:r>
          <w:rPr>
            <w:color w:val="0000EE"/>
            <w:u w:val="single"/>
          </w:rPr>
          <w:t>Philippiens 1:27</w:t>
        </w:r>
      </w:hyperlink>
      <w:r>
        <w:t xml:space="preserve">; </w:t>
      </w:r>
      <w:hyperlink r:id="rId8472">
        <w:r>
          <w:rPr>
            <w:color w:val="0000EE"/>
            <w:u w:val="single"/>
          </w:rPr>
          <w:t>Hébreux 4:2</w:t>
        </w:r>
      </w:hyperlink>
      <w:r>
        <w:t>), car le salut de Dieu se fait connaitre et se transmet justement par ce moyen. De plus, croire à l’Évangile implique la repentance (</w:t>
      </w:r>
      <w:hyperlink r:id="rId8473">
        <w:r>
          <w:rPr>
            <w:color w:val="0000EE"/>
            <w:u w:val="single"/>
          </w:rPr>
          <w:t>Actes 14:15</w:t>
        </w:r>
      </w:hyperlink>
      <w:r>
        <w:t xml:space="preserve">; </w:t>
      </w:r>
      <w:hyperlink r:id="rId8474">
        <w:r>
          <w:rPr>
            <w:color w:val="0000EE"/>
            <w:u w:val="single"/>
          </w:rPr>
          <w:t>20:21, 24</w:t>
        </w:r>
      </w:hyperlink>
      <w:r>
        <w:t xml:space="preserve">; </w:t>
      </w:r>
      <w:hyperlink r:id="rId8419">
        <w:r>
          <w:rPr>
            <w:color w:val="0000EE"/>
            <w:u w:val="single"/>
          </w:rPr>
          <w:t>1 Thessaloniciens 1:5–10</w:t>
        </w:r>
      </w:hyperlink>
      <w:r>
        <w:t>) et l’obéissance (</w:t>
      </w:r>
      <w:hyperlink r:id="rId8475">
        <w:r>
          <w:rPr>
            <w:color w:val="0000EE"/>
            <w:u w:val="single"/>
          </w:rPr>
          <w:t>Romains 1:5</w:t>
        </w:r>
      </w:hyperlink>
      <w:r>
        <w:t xml:space="preserve">; </w:t>
      </w:r>
      <w:hyperlink r:id="rId8397">
        <w:r>
          <w:rPr>
            <w:color w:val="0000EE"/>
            <w:u w:val="single"/>
          </w:rPr>
          <w:t>15:16–18</w:t>
        </w:r>
      </w:hyperlink>
      <w:r>
        <w:t xml:space="preserve">; </w:t>
      </w:r>
      <w:hyperlink r:id="rId8476">
        <w:r>
          <w:rPr>
            <w:color w:val="0000EE"/>
            <w:u w:val="single"/>
          </w:rPr>
          <w:t>Hébreux 4:6</w:t>
        </w:r>
      </w:hyperlink>
      <w:r>
        <w:t>). Ceux qui refusent d’obéir à l’Évangile mettent leur vie en danger (</w:t>
      </w:r>
      <w:hyperlink r:id="rId8477">
        <w:r>
          <w:rPr>
            <w:color w:val="0000EE"/>
            <w:u w:val="single"/>
          </w:rPr>
          <w:t>2 Thessaloniciens 1:5–10</w:t>
        </w:r>
      </w:hyperlink>
      <w:r>
        <w:t xml:space="preserve">; </w:t>
      </w:r>
      <w:hyperlink r:id="rId8478">
        <w:r>
          <w:rPr>
            <w:color w:val="0000EE"/>
            <w:u w:val="single"/>
          </w:rPr>
          <w:t>1 Pierre 4:17</w:t>
        </w:r>
      </w:hyperlink>
      <w:r>
        <w:t>).</w:t>
      </w:r>
    </w:p>
    <w:p>
      <w:r/>
      <w:r>
        <w:t xml:space="preserve">2. </w:t>
      </w:r>
      <w:r>
        <w:rPr>
          <w:i/>
        </w:rPr>
        <w:t>Croitre.</w:t>
      </w:r>
      <w:r>
        <w:t xml:space="preserve"> L’Évangile est plus qu’un message à recevoir ; il est aussi une fondation sur laquelle bâtir (</w:t>
      </w:r>
      <w:hyperlink r:id="rId8445">
        <w:r>
          <w:rPr>
            <w:color w:val="0000EE"/>
            <w:u w:val="single"/>
          </w:rPr>
          <w:t>1 Corinthiens 15:1–2</w:t>
        </w:r>
      </w:hyperlink>
      <w:r>
        <w:t xml:space="preserve">). Il maintient et donne la vie. Se détacher de l’Évangile pour aller ailleurs ne sera jamais source de croissance pour un chrétien (se détourner de l’Évangile revient à abandonner Dieu et Christ, </w:t>
      </w:r>
      <w:hyperlink r:id="rId2619">
        <w:r>
          <w:rPr>
            <w:color w:val="0000EE"/>
            <w:u w:val="single"/>
          </w:rPr>
          <w:t>Galates 1:6</w:t>
        </w:r>
      </w:hyperlink>
      <w:r>
        <w:t xml:space="preserve">), le chrétien grandit en se plongeant de plus en plus profondément dans l’Évangile. En </w:t>
      </w:r>
      <w:hyperlink r:id="rId8479">
        <w:r>
          <w:rPr>
            <w:color w:val="0000EE"/>
            <w:u w:val="single"/>
          </w:rPr>
          <w:t>Romains 1:15</w:t>
        </w:r>
      </w:hyperlink>
      <w:r>
        <w:t xml:space="preserve"> Paul exprime son désir d’annoncer l’Évangile aux chrétiens de Rome. Dans les chapitres suivants, en prévision de sa visite, il présente l’un de ses exposés les plus profonds de l’Évangile, un Évangile dont la vérité n’a jamais été sondée et dont la puissance n’a jamais été épuisée.</w:t>
      </w:r>
    </w:p>
    <w:p>
      <w:r/>
      <w:r>
        <w:t xml:space="preserve">3. </w:t>
      </w:r>
      <w:r>
        <w:rPr>
          <w:i/>
        </w:rPr>
        <w:t>L’espérance.</w:t>
      </w:r>
      <w:r>
        <w:t xml:space="preserve"> « L’espérance de l’Évangile » (</w:t>
      </w:r>
      <w:hyperlink r:id="rId8480">
        <w:r>
          <w:rPr>
            <w:color w:val="0000EE"/>
            <w:u w:val="single"/>
          </w:rPr>
          <w:t>Colossiens 1:23</w:t>
        </w:r>
      </w:hyperlink>
      <w:r>
        <w:t>) englobe le retour de Christ et la gloire du Ciel (</w:t>
      </w:r>
      <w:hyperlink r:id="rId2911">
        <w:r>
          <w:rPr>
            <w:color w:val="0000EE"/>
            <w:u w:val="single"/>
          </w:rPr>
          <w:t>Colossiens 1:5</w:t>
        </w:r>
      </w:hyperlink>
      <w:r>
        <w:t xml:space="preserve">; </w:t>
      </w:r>
      <w:hyperlink r:id="rId2910">
        <w:r>
          <w:rPr>
            <w:color w:val="0000EE"/>
            <w:u w:val="single"/>
          </w:rPr>
          <w:t>3:1–4</w:t>
        </w:r>
      </w:hyperlink>
      <w:r>
        <w:t xml:space="preserve">; </w:t>
      </w:r>
      <w:hyperlink r:id="rId8481">
        <w:r>
          <w:rPr>
            <w:color w:val="0000EE"/>
            <w:u w:val="single"/>
          </w:rPr>
          <w:t>2 Thessaloniciens 2:14–16</w:t>
        </w:r>
      </w:hyperlink>
      <w:r>
        <w:t>), mais aussi le jugement dernier. Pour ceux qui embrassent l’Évangile, le jugement dernier n’a rien de terrifiant, car le Juge est celui qui les sauve de la colère à venir (</w:t>
      </w:r>
      <w:hyperlink r:id="rId8482">
        <w:r>
          <w:rPr>
            <w:color w:val="0000EE"/>
            <w:u w:val="single"/>
          </w:rPr>
          <w:t>1 Thessaloniciens 1:10</w:t>
        </w:r>
      </w:hyperlink>
      <w:r>
        <w:t>). Ceux qui sont unis à Jésus n’ont pas à redouter la condamnation, ni aujourd’hui, ni à la fin (</w:t>
      </w:r>
      <w:hyperlink r:id="rId8029">
        <w:r>
          <w:rPr>
            <w:color w:val="0000EE"/>
            <w:u w:val="single"/>
          </w:rPr>
          <w:t>Romains 8:1</w:t>
        </w:r>
      </w:hyperlink>
      <w:r>
        <w:t>). Au contraire, le jugement dernier marquera leur justification finale (</w:t>
      </w:r>
      <w:hyperlink r:id="rId2778">
        <w:r>
          <w:rPr>
            <w:color w:val="0000EE"/>
            <w:u w:val="single"/>
          </w:rPr>
          <w:t>1 Corinthiens 4:5</w:t>
        </w:r>
      </w:hyperlink>
      <w:r>
        <w:t xml:space="preserve">; </w:t>
      </w:r>
      <w:hyperlink r:id="rId8483">
        <w:r>
          <w:rPr>
            <w:color w:val="0000EE"/>
            <w:u w:val="single"/>
          </w:rPr>
          <w:t>Galates 5:5</w:t>
        </w:r>
      </w:hyperlink>
      <w:r>
        <w:t>). Par conséquent, ce thème n’est pas seulement un corollaire, mais une partie intégrante de la bonne nouvelle (</w:t>
      </w:r>
      <w:hyperlink r:id="rId8420">
        <w:r>
          <w:rPr>
            <w:color w:val="0000EE"/>
            <w:u w:val="single"/>
          </w:rPr>
          <w:t>Romains 2:16</w:t>
        </w:r>
      </w:hyperlink>
      <w:r>
        <w:t>). Ceux qui sont morts depuis qu’ils ont cru à l’Évangile (</w:t>
      </w:r>
      <w:hyperlink r:id="rId54">
        <w:r>
          <w:rPr>
            <w:color w:val="0000EE"/>
            <w:u w:val="single"/>
          </w:rPr>
          <w:t>1 Pierre 4:6</w:t>
        </w:r>
      </w:hyperlink>
      <w:r>
        <w:t>) paraissent avoir subi un sort commun à tous les hommes, voire la condamnation réservée aux sans foi ni loi. En réalité, leur réponse à l’Évangile leur assure l’approbation du Seigneur lorsqu’il reviendra (</w:t>
      </w:r>
      <w:hyperlink r:id="rId8484">
        <w:r>
          <w:rPr>
            <w:color w:val="0000EE"/>
            <w:u w:val="single"/>
          </w:rPr>
          <w:t>4:5–6</w:t>
        </w:r>
      </w:hyperlink>
      <w:r>
        <w:t xml:space="preserve">; </w:t>
      </w:r>
      <w:hyperlink r:id="rId2721">
        <w:r>
          <w:rPr>
            <w:color w:val="0000EE"/>
            <w:u w:val="single"/>
          </w:rPr>
          <w:t>5:4</w:t>
        </w:r>
      </w:hyperlink>
      <w:r>
        <w:t>) et une place dans l’héritage impérissable des cieux (</w:t>
      </w:r>
      <w:hyperlink r:id="rId2720">
        <w:r>
          <w:rPr>
            <w:color w:val="0000EE"/>
            <w:u w:val="single"/>
          </w:rPr>
          <w:t>1:4</w:t>
        </w:r>
      </w:hyperlink>
      <w:r>
        <w:t>).</w:t>
      </w:r>
      <w:r/>
      <w:r/>
    </w:p>
    <w:p>
      <w:r/>
    </w:p>
    <w:p>
      <w:pPr>
        <w:pStyle w:val="Heading2"/>
      </w:pPr>
      <w:r>
        <w:t>L’évêque</w:t>
      </w:r>
      <w:r/>
    </w:p>
    <w:p>
      <w:r/>
      <w:r>
        <w:t xml:space="preserve">L’évêque est une personnalité dans l’Église dont les attributs sont cités en </w:t>
      </w:r>
      <w:hyperlink r:id="rId8485">
        <w:r>
          <w:rPr>
            <w:color w:val="0000EE"/>
            <w:u w:val="single"/>
          </w:rPr>
          <w:t>1 Timothée 3:2–7</w:t>
        </w:r>
      </w:hyperlink>
      <w:r>
        <w:t xml:space="preserve"> et en </w:t>
      </w:r>
      <w:hyperlink r:id="rId8486">
        <w:r>
          <w:rPr>
            <w:color w:val="0000EE"/>
            <w:u w:val="single"/>
          </w:rPr>
          <w:t>Tite 1:6–9</w:t>
        </w:r>
      </w:hyperlink>
      <w:r>
        <w:t>. Le mot grec duquel découlent le titre français « évêque » et l’adjectif « épiscopal » se traduit très souvent dans les versions modernes par « ancien », « superviseur », « berger », ou « gardien » lesquelles traductions correspondent étroitement au terme actuel « pasteur ». Jésus est appelé « le Berger et l’Évêque de vos âmes » (</w:t>
      </w:r>
      <w:hyperlink r:id="rId696">
        <w:r>
          <w:rPr>
            <w:color w:val="0000EE"/>
            <w:u w:val="single"/>
          </w:rPr>
          <w:t>1 Pierre 2:25</w:t>
        </w:r>
      </w:hyperlink>
      <w:r>
        <w:t>, lsg).</w:t>
      </w:r>
    </w:p>
    <w:p>
      <w:r/>
      <w:r>
        <w:t>Dans le Nouveau Testament, « évêque » et « ancien » renvoient à la même fonction, comme le démontre l’ordre donné par l’apôtre Paul à Tite de nommer « des anciens dans chaque ville » et faisant allusion à ces mêmes individus comme des « évêques » (</w:t>
      </w:r>
      <w:hyperlink r:id="rId8487">
        <w:r>
          <w:rPr>
            <w:color w:val="0000EE"/>
            <w:u w:val="single"/>
          </w:rPr>
          <w:t>Tite 1:5, 7</w:t>
        </w:r>
      </w:hyperlink>
      <w:r>
        <w:t>). Pendant son séjour à Milet, Paul a convoqué les anciens de l’église d’Éphèse et les a appelés « superviseurs » ou « gardiens » (</w:t>
      </w:r>
      <w:hyperlink r:id="rId8488">
        <w:r>
          <w:rPr>
            <w:color w:val="0000EE"/>
            <w:u w:val="single"/>
          </w:rPr>
          <w:t>Actes 20:17, 28</w:t>
        </w:r>
      </w:hyperlink>
      <w:r>
        <w:t>). Dans sa lettre à Philippe, Paul a salué les « évêques et les diacres » (</w:t>
      </w:r>
      <w:hyperlink r:id="rId8489">
        <w:r>
          <w:rPr>
            <w:color w:val="0000EE"/>
            <w:u w:val="single"/>
          </w:rPr>
          <w:t>Philippiens 1:1</w:t>
        </w:r>
      </w:hyperlink>
      <w:r>
        <w:t>). L’existence de plusieurs évêques à Philippes et à Éphèse souligne que la fonction épiscopale n’avait pas encore évolué vers ce qu’elle est devenue plus tard : un seul évêque à la tête d’une ou de plusieurs églises.</w:t>
      </w:r>
    </w:p>
    <w:p>
      <w:r/>
      <w:r>
        <w:t>Sans aucun doute, les évêques occupaient des positions d’autorité, toutefois, les responsabilités de cette fonction ne sont pas clairement indiquées dans le Nouveau Testament. L’une des tâches des évêques était de combattre l’hérésie (</w:t>
      </w:r>
      <w:hyperlink r:id="rId8490">
        <w:r>
          <w:rPr>
            <w:color w:val="0000EE"/>
            <w:u w:val="single"/>
          </w:rPr>
          <w:t>Tite 1:9</w:t>
        </w:r>
      </w:hyperlink>
      <w:r>
        <w:t>) d’enseigner et de prêcher les Saintes Écritures (</w:t>
      </w:r>
      <w:hyperlink r:id="rId8491">
        <w:r>
          <w:rPr>
            <w:color w:val="0000EE"/>
            <w:u w:val="single"/>
          </w:rPr>
          <w:t>1 Timothée 3:2</w:t>
        </w:r>
      </w:hyperlink>
      <w:r>
        <w:t xml:space="preserve">). En outre, certains éléments indiquent que l’une de leurs principales préoccupations concernait les questions économiques et la prise en charge des pauvres, ainsi que la supervision générale de la congrégation. Les listes d’attributs figurant dans les lettres de Paul à Timothée et à Tite indiquent qu’un évêque était considéré comme un dirigeant de la congrégation et un représentant auprès du monde païen. </w:t>
      </w:r>
      <w:r>
        <w:rPr>
          <w:i/>
        </w:rPr>
        <w:t>Consultez</w:t>
      </w:r>
      <w:r>
        <w:t xml:space="preserve"> </w:t>
      </w:r>
      <w:r>
        <w:t>Ancien</w:t>
      </w:r>
      <w:r>
        <w:t xml:space="preserve">; </w:t>
      </w:r>
      <w:r>
        <w:t>Pasteur</w:t>
      </w:r>
      <w:r>
        <w:t xml:space="preserve">; </w:t>
      </w:r>
      <w:r>
        <w:t>Presbytère</w:t>
      </w:r>
      <w:r>
        <w:t>.</w:t>
      </w:r>
      <w:r/>
      <w:r/>
    </w:p>
    <w:p>
      <w:r/>
    </w:p>
    <w:p>
      <w:pPr>
        <w:pStyle w:val="Heading2"/>
      </w:pPr>
      <w:r>
        <w:t>La circoncision</w:t>
      </w:r>
      <w:r/>
    </w:p>
    <w:p>
      <w:r/>
      <w:r>
        <w:t>Ablation chirurgicale du prépuce de l’organe reproducteur masculin. À l’époque de la Bible, la circoncision représentait le sceau de l’alliance de Dieu avec Abraham (</w:t>
      </w:r>
      <w:hyperlink r:id="rId8492">
        <w:r>
          <w:rPr>
            <w:color w:val="0000EE"/>
            <w:u w:val="single"/>
          </w:rPr>
          <w:t>Genèse 17:1–14</w:t>
        </w:r>
      </w:hyperlink>
      <w:r>
        <w:t>). Si la circoncision est à l’origine un ancien rite traditionnel ou religieux, elle s’est répandue dans les pays occidentaux depuis le début de ce siècle pour des raisons d’hygiène. Plusieurs médecins soutiennent que la circoncision aide à prévenir les cancers génitaux chez les hommes et leurs femmes, ainsi cette opération bénigne est pratiquée quelques jours après la naissance sur quasiment tous les nouveau-nés masculins en Amérique du Nord. La procédure n’a plus de signification religieuse en dehors du judaïsme.</w:t>
      </w:r>
    </w:p>
    <w:p>
      <w:r/>
      <w:r>
        <w:t>Aperçu</w:t>
      </w:r>
    </w:p>
    <w:p>
      <w:r/>
      <w:r>
        <w:t>• La circoncision dans le monde antique</w:t>
      </w:r>
    </w:p>
    <w:p>
      <w:r/>
      <w:r>
        <w:t>• La circoncision dans l’Ancien Testament</w:t>
      </w:r>
    </w:p>
    <w:p>
      <w:r/>
      <w:r>
        <w:t>• La circoncision dans le Nouveau Testament</w:t>
      </w:r>
    </w:p>
    <w:p>
      <w:pPr>
        <w:pStyle w:val="Heading3"/>
      </w:pPr>
      <w:r>
        <w:t>La circoncision dans le monde antique</w:t>
      </w:r>
    </w:p>
    <w:p>
      <w:r/>
      <w:r>
        <w:t>La circoncision est un rite bien plus ancien que le peuple hébreu. Des peintures rupestres témoignent de sa pratique à l’époque préhistorique. Les dessins des temples égyptiens révèlent que l’opération était courante en 4000 av. J.-C. et probablement plus tôt. Les populations qui ont recours à la circoncision sont présentes sur la quasi-totalité des continents. Ce rite était pratiqué par les Indiens d’Amérique centrale et du Sud, les Polynésiens, les peuples de Nouvelle-Guinée, de nombreuses tribus australiennes et africaines, les Égyptiens et les Arabes préislamiques. La circoncision n’est pas mentionnée dans le Coran, toutefois, comme Mohammed était circoncis, la tradition veut que les musulmans de sexe masculin respectent cette ancienne coutume. Les ancêtres des Arabes remontent à Abraham par l’intermédiaire d’Ismaël (</w:t>
      </w:r>
      <w:hyperlink r:id="rId8493">
        <w:r>
          <w:rPr>
            <w:color w:val="0000EE"/>
            <w:u w:val="single"/>
          </w:rPr>
          <w:t>Genèse 17:20</w:t>
        </w:r>
      </w:hyperlink>
      <w:r>
        <w:t xml:space="preserve">), l’âge moyen de la circoncision chez les musulmans est donc de 13 ans, car Ismaël a été circoncis à cet âge (verset </w:t>
      </w:r>
      <w:hyperlink r:id="rId8494">
        <w:r>
          <w:rPr>
            <w:color w:val="0000EE"/>
            <w:u w:val="single"/>
          </w:rPr>
          <w:t>25</w:t>
        </w:r>
      </w:hyperlink>
      <w:r>
        <w:t>).</w:t>
      </w:r>
    </w:p>
    <w:p>
      <w:r/>
      <w:r>
        <w:t>Parmi les peuples sémites occidentaux, les Ammonites, les Édomites, les Madianites, les Moabites et les Phéniciens pratiquaient tous la circoncision (</w:t>
      </w:r>
      <w:hyperlink r:id="rId8495">
        <w:r>
          <w:rPr>
            <w:color w:val="0000EE"/>
            <w:u w:val="single"/>
          </w:rPr>
          <w:t>Jérémie 9:25–26</w:t>
        </w:r>
      </w:hyperlink>
      <w:r>
        <w:t>). Les Philistins, en revanche, ne la pratiquaient pas (</w:t>
      </w:r>
      <w:hyperlink r:id="rId8496">
        <w:r>
          <w:rPr>
            <w:color w:val="0000EE"/>
            <w:u w:val="single"/>
          </w:rPr>
          <w:t>Juges 14:3</w:t>
        </w:r>
      </w:hyperlink>
      <w:r>
        <w:t xml:space="preserve">; </w:t>
      </w:r>
      <w:hyperlink r:id="rId8497">
        <w:r>
          <w:rPr>
            <w:color w:val="0000EE"/>
            <w:u w:val="single"/>
          </w:rPr>
          <w:t>15:18</w:t>
        </w:r>
      </w:hyperlink>
      <w:r>
        <w:t xml:space="preserve">; </w:t>
      </w:r>
      <w:hyperlink r:id="rId8498">
        <w:r>
          <w:rPr>
            <w:color w:val="0000EE"/>
            <w:u w:val="single"/>
          </w:rPr>
          <w:t>1 Samuel 14:6</w:t>
        </w:r>
      </w:hyperlink>
      <w:r>
        <w:t xml:space="preserve">; </w:t>
      </w:r>
      <w:hyperlink r:id="rId8499">
        <w:r>
          <w:rPr>
            <w:color w:val="0000EE"/>
            <w:u w:val="single"/>
          </w:rPr>
          <w:t>17:26, 36</w:t>
        </w:r>
      </w:hyperlink>
      <w:r>
        <w:t xml:space="preserve">; </w:t>
      </w:r>
      <w:hyperlink r:id="rId8500">
        <w:r>
          <w:rPr>
            <w:color w:val="0000EE"/>
            <w:u w:val="single"/>
          </w:rPr>
          <w:t>18:25, 27</w:t>
        </w:r>
      </w:hyperlink>
      <w:r>
        <w:t xml:space="preserve">; </w:t>
      </w:r>
      <w:hyperlink r:id="rId8501">
        <w:r>
          <w:rPr>
            <w:color w:val="0000EE"/>
            <w:u w:val="single"/>
          </w:rPr>
          <w:t>31:4</w:t>
        </w:r>
      </w:hyperlink>
      <w:r>
        <w:t xml:space="preserve">; </w:t>
      </w:r>
      <w:hyperlink r:id="rId8502">
        <w:r>
          <w:rPr>
            <w:color w:val="0000EE"/>
            <w:u w:val="single"/>
          </w:rPr>
          <w:t>2 Samuel 1:20</w:t>
        </w:r>
      </w:hyperlink>
      <w:r>
        <w:t xml:space="preserve">; </w:t>
      </w:r>
      <w:hyperlink r:id="rId8503">
        <w:r>
          <w:rPr>
            <w:color w:val="0000EE"/>
            <w:u w:val="single"/>
          </w:rPr>
          <w:t>3:14</w:t>
        </w:r>
      </w:hyperlink>
      <w:r>
        <w:t xml:space="preserve">; </w:t>
      </w:r>
      <w:hyperlink r:id="rId8504">
        <w:r>
          <w:rPr>
            <w:color w:val="0000EE"/>
            <w:u w:val="single"/>
          </w:rPr>
          <w:t>1 Chroniques 10:4</w:t>
        </w:r>
      </w:hyperlink>
      <w:r>
        <w:t>).</w:t>
      </w:r>
    </w:p>
    <w:p>
      <w:r/>
      <w:r>
        <w:t>Les jeunes hommes étaient généralement circoncis à la puberté, visiblement pour les préparer au mariage et à assumer toutes leurs responsabilités dans la tribu. Les Hébreux étaient le seul peuple à pratiquer la circoncision dès l’enfance, évitant ainsi de l’associer à des rituels de fertilité.</w:t>
      </w:r>
    </w:p>
    <w:p>
      <w:pPr>
        <w:pStyle w:val="Heading3"/>
      </w:pPr>
      <w:r>
        <w:t>La circoncision dans l’Ancien Testament</w:t>
      </w:r>
    </w:p>
    <w:p>
      <w:r/>
      <w:r>
        <w:t xml:space="preserve">Dans la Bible, la circoncision est pratiquée pour la première fois en </w:t>
      </w:r>
      <w:hyperlink r:id="rId92">
        <w:r>
          <w:rPr>
            <w:color w:val="0000EE"/>
            <w:u w:val="single"/>
          </w:rPr>
          <w:t>Genèse 17</w:t>
        </w:r>
      </w:hyperlink>
      <w:r>
        <w:t xml:space="preserve"> pour marquer l’alliance entre Dieu et Abraham. Dieu a promis à Abraham une terre et plusieurs descendants par l’intermédiaire d’un fils que ce dernier allait concevoir, et duquel découleraient des rois. Les bénédictions se répandraient sur Abraham et à travers lui sur toutes les nations (</w:t>
      </w:r>
      <w:hyperlink r:id="rId86">
        <w:r>
          <w:rPr>
            <w:color w:val="0000EE"/>
            <w:u w:val="single"/>
          </w:rPr>
          <w:t>Genèse 12:1–3</w:t>
        </w:r>
      </w:hyperlink>
      <w:r>
        <w:t xml:space="preserve">). Après l’inauguration officielle de l’alliance (chapitre </w:t>
      </w:r>
      <w:hyperlink r:id="rId546">
        <w:r>
          <w:rPr>
            <w:color w:val="0000EE"/>
            <w:u w:val="single"/>
          </w:rPr>
          <w:t>15</w:t>
        </w:r>
      </w:hyperlink>
      <w:r>
        <w:t>), Dieu l’a scellée en ordonnant à Abraham de se faire circoncire, ainsi que tous les hommes de sa maison (</w:t>
      </w:r>
      <w:hyperlink r:id="rId8505">
        <w:r>
          <w:rPr>
            <w:color w:val="0000EE"/>
            <w:u w:val="single"/>
          </w:rPr>
          <w:t>17:9–13</w:t>
        </w:r>
      </w:hyperlink>
      <w:r>
        <w:t>).</w:t>
      </w:r>
    </w:p>
    <w:p>
      <w:r/>
      <w:r>
        <w:t>La circoncision devait exprimer la foi en l’accomplissement des promesses de Dieu. Car la foi d’Abraham avait faibli (</w:t>
      </w:r>
      <w:hyperlink r:id="rId388">
        <w:r>
          <w:rPr>
            <w:color w:val="0000EE"/>
            <w:u w:val="single"/>
          </w:rPr>
          <w:t>Genèse 16</w:t>
        </w:r>
      </w:hyperlink>
      <w:r>
        <w:t>), malgré la démonstration extraordinaire de la gloire de Dieu (</w:t>
      </w:r>
      <w:hyperlink r:id="rId8506">
        <w:r>
          <w:rPr>
            <w:color w:val="0000EE"/>
            <w:u w:val="single"/>
          </w:rPr>
          <w:t>15:9–17</w:t>
        </w:r>
      </w:hyperlink>
      <w:r>
        <w:t>), un souvenir perpétuel des promesses de l’alliance de Dieu était apposé sur son corps et sur celui de ses descendants mâles (</w:t>
      </w:r>
      <w:hyperlink r:id="rId8507">
        <w:r>
          <w:rPr>
            <w:color w:val="0000EE"/>
            <w:u w:val="single"/>
          </w:rPr>
          <w:t>17:11</w:t>
        </w:r>
      </w:hyperlink>
      <w:r>
        <w:t>). Ce signe était étroitement lié à la promesse d’alliance de Dieu, au point que le rite lui-même pouvait être qualifié « d’alliance » (</w:t>
      </w:r>
      <w:hyperlink r:id="rId8508">
        <w:r>
          <w:rPr>
            <w:color w:val="0000EE"/>
            <w:u w:val="single"/>
          </w:rPr>
          <w:t>Genèse 17:10</w:t>
        </w:r>
      </w:hyperlink>
      <w:r>
        <w:t xml:space="preserve">; </w:t>
      </w:r>
      <w:hyperlink r:id="rId6833">
        <w:r>
          <w:rPr>
            <w:color w:val="0000EE"/>
            <w:u w:val="single"/>
          </w:rPr>
          <w:t>Actes 7:8</w:t>
        </w:r>
      </w:hyperlink>
      <w:r>
        <w:t>).</w:t>
      </w:r>
    </w:p>
    <w:p>
      <w:r/>
      <w:r>
        <w:t>La circoncision devait se dérouler le huitième jour après la naissance (</w:t>
      </w:r>
      <w:hyperlink r:id="rId554">
        <w:r>
          <w:rPr>
            <w:color w:val="0000EE"/>
            <w:u w:val="single"/>
          </w:rPr>
          <w:t>Genèse 17:12</w:t>
        </w:r>
      </w:hyperlink>
      <w:r>
        <w:t xml:space="preserve">; </w:t>
      </w:r>
      <w:hyperlink r:id="rId8509">
        <w:r>
          <w:rPr>
            <w:color w:val="0000EE"/>
            <w:u w:val="single"/>
          </w:rPr>
          <w:t>Lévitique 12:1–3</w:t>
        </w:r>
      </w:hyperlink>
      <w:r>
        <w:t xml:space="preserve">voir </w:t>
      </w:r>
      <w:hyperlink r:id="rId8510">
        <w:r>
          <w:rPr>
            <w:color w:val="0000EE"/>
            <w:u w:val="single"/>
          </w:rPr>
          <w:t>Genèse 21:4</w:t>
        </w:r>
      </w:hyperlink>
      <w:r>
        <w:t xml:space="preserve">; </w:t>
      </w:r>
      <w:hyperlink r:id="rId8511">
        <w:r>
          <w:rPr>
            <w:color w:val="0000EE"/>
            <w:u w:val="single"/>
          </w:rPr>
          <w:t>Luc 1:59</w:t>
        </w:r>
      </w:hyperlink>
      <w:r>
        <w:t xml:space="preserve">; </w:t>
      </w:r>
      <w:hyperlink r:id="rId8512">
        <w:r>
          <w:rPr>
            <w:color w:val="0000EE"/>
            <w:u w:val="single"/>
          </w:rPr>
          <w:t>2:21</w:t>
        </w:r>
      </w:hyperlink>
      <w:r>
        <w:t xml:space="preserve">; </w:t>
      </w:r>
      <w:hyperlink r:id="rId6833">
        <w:r>
          <w:rPr>
            <w:color w:val="0000EE"/>
            <w:u w:val="single"/>
          </w:rPr>
          <w:t>Actes 7:8</w:t>
        </w:r>
      </w:hyperlink>
      <w:r>
        <w:t xml:space="preserve">; </w:t>
      </w:r>
      <w:hyperlink r:id="rId1791">
        <w:r>
          <w:rPr>
            <w:color w:val="0000EE"/>
            <w:u w:val="single"/>
          </w:rPr>
          <w:t>Philippiens 3:5</w:t>
        </w:r>
      </w:hyperlink>
      <w:r>
        <w:t>), traditionnellement effectuée par le père de l’enfant (</w:t>
      </w:r>
      <w:hyperlink r:id="rId8513">
        <w:r>
          <w:rPr>
            <w:color w:val="0000EE"/>
            <w:u w:val="single"/>
          </w:rPr>
          <w:t>Genèse 17:23</w:t>
        </w:r>
      </w:hyperlink>
      <w:r>
        <w:t xml:space="preserve">; </w:t>
      </w:r>
      <w:hyperlink r:id="rId8510">
        <w:r>
          <w:rPr>
            <w:color w:val="0000EE"/>
            <w:u w:val="single"/>
          </w:rPr>
          <w:t>21:4</w:t>
        </w:r>
      </w:hyperlink>
      <w:r>
        <w:t xml:space="preserve">; </w:t>
      </w:r>
      <w:hyperlink r:id="rId6833">
        <w:r>
          <w:rPr>
            <w:color w:val="0000EE"/>
            <w:u w:val="single"/>
          </w:rPr>
          <w:t>Actes 7:8</w:t>
        </w:r>
      </w:hyperlink>
      <w:r>
        <w:t>), à ce moment, le nourrisson recevait son nom (</w:t>
      </w:r>
      <w:hyperlink r:id="rId8511">
        <w:r>
          <w:rPr>
            <w:color w:val="0000EE"/>
            <w:u w:val="single"/>
          </w:rPr>
          <w:t>Luc 1:59</w:t>
        </w:r>
      </w:hyperlink>
      <w:r>
        <w:t xml:space="preserve">; </w:t>
      </w:r>
      <w:hyperlink r:id="rId8512">
        <w:r>
          <w:rPr>
            <w:color w:val="0000EE"/>
            <w:u w:val="single"/>
          </w:rPr>
          <w:t>2:21</w:t>
        </w:r>
      </w:hyperlink>
      <w:r>
        <w:t>). Au début, on utilisait des couteaux en silex (</w:t>
      </w:r>
      <w:hyperlink r:id="rId8514">
        <w:r>
          <w:rPr>
            <w:color w:val="0000EE"/>
            <w:u w:val="single"/>
          </w:rPr>
          <w:t>Exode 4:25</w:t>
        </w:r>
      </w:hyperlink>
      <w:r>
        <w:t xml:space="preserve">; </w:t>
      </w:r>
      <w:hyperlink r:id="rId8515">
        <w:r>
          <w:rPr>
            <w:color w:val="0000EE"/>
            <w:u w:val="single"/>
          </w:rPr>
          <w:t>Josué 5:2–3</w:t>
        </w:r>
      </w:hyperlink>
      <w:r>
        <w:t>). Plus tard, le rite était effectué par un praticien qualifié appelé « mohel »</w:t>
      </w:r>
      <w:r>
        <w:rPr>
          <w:i/>
        </w:rPr>
        <w:t>.</w:t>
      </w:r>
      <w:r>
        <w:t xml:space="preserve"> Des études médicales ont démontré que la prothrombine, une protéine sanguine qui facilite la coagulation est plus abondante le huitième jour qu’à n’importe quel autre moment de la vie.</w:t>
      </w:r>
    </w:p>
    <w:p>
      <w:pPr>
        <w:pStyle w:val="Heading4"/>
      </w:pPr>
      <w:r>
        <w:t>Signification théologique</w:t>
      </w:r>
    </w:p>
    <w:p>
      <w:r/>
      <w:r>
        <w:t>La circoncision était associée à l’accomplissement de la promesse de Dieu concernant la descendance d’Abraham (</w:t>
      </w:r>
      <w:hyperlink r:id="rId8516">
        <w:r>
          <w:rPr>
            <w:color w:val="0000EE"/>
            <w:u w:val="single"/>
          </w:rPr>
          <w:t>Genèse 17:9–12</w:t>
        </w:r>
      </w:hyperlink>
      <w:r>
        <w:t>). Comme la circoncision s’appliquait à l’organe reproducteur, elle se rapportait à la propagation de la race. Son application au nourrisson de huit jours démontre le caractère gracieux de la promesse de Dieu aux descendants d’Abraham et indique que le peuple de Dieu a besoin d’une grâce purificatrice dès la naissance (</w:t>
      </w:r>
      <w:hyperlink r:id="rId8509">
        <w:r>
          <w:rPr>
            <w:color w:val="0000EE"/>
            <w:u w:val="single"/>
          </w:rPr>
          <w:t>Lévitique 12:1–3</w:t>
        </w:r>
      </w:hyperlink>
      <w:r>
        <w:t>). Les promesses de l’alliance étaient renouvelées à chaque génération donnant la possibilité aux récipiendaires de répondre par la foi ou par l’incrédulité. Pour le peuple élu, rien ne pouvait affecter l’accomplissement ultime des promesses faites à Abraham et à sa descendance.</w:t>
      </w:r>
    </w:p>
    <w:p>
      <w:r/>
      <w:r>
        <w:t>La circoncision était également liée à l’accomplissement de la promesse de Dieu concernant la terre (</w:t>
      </w:r>
      <w:hyperlink r:id="rId3053">
        <w:r>
          <w:rPr>
            <w:color w:val="0000EE"/>
            <w:u w:val="single"/>
          </w:rPr>
          <w:t>Genèse 17:8</w:t>
        </w:r>
      </w:hyperlink>
      <w:r>
        <w:t>). La terre était la possession sainte de Dieu, et les Israélites devaient être saints pour la posséder. Lorsque Joseph et ses descendants séjournaient en Égypte, ils ont continué à faire circoncire leurs fils. Cependant, à la suite du péché commis au mont Sinaï après l’exode, les Israélites incrédules n’ont plus apposé le signe de l’alliance sur leurs enfants pendant qu’ils erraient dans le désert. En raison de l’absence de circoncision de la nouvelle génération, le peuple n’était pas prêt à entrer dans la Terre promise. Ainsi, Dieu a ordonné à Josué de faire circoncire les hommes d’Israël. L’obéissance du peuple était un acte de foi, car les armées ennemies campaient à proximité, tandis que les guerriers israélites étaient immobilisés par l’opération (</w:t>
      </w:r>
      <w:hyperlink r:id="rId3873">
        <w:r>
          <w:rPr>
            <w:color w:val="0000EE"/>
            <w:u w:val="single"/>
          </w:rPr>
          <w:t>Josué 5:2–9</w:t>
        </w:r>
      </w:hyperlink>
      <w:r>
        <w:t>).</w:t>
      </w:r>
    </w:p>
    <w:p>
      <w:r/>
      <w:r>
        <w:t>Au début, la participation aux promesses de l’alliance était réservée aux personnes extérieures à la famille d’Abraham (</w:t>
      </w:r>
      <w:hyperlink r:id="rId8517">
        <w:r>
          <w:rPr>
            <w:color w:val="0000EE"/>
            <w:u w:val="single"/>
          </w:rPr>
          <w:t>Genèse 17:12–13</w:t>
        </w:r>
      </w:hyperlink>
      <w:r>
        <w:t xml:space="preserve">). </w:t>
      </w:r>
      <w:hyperlink r:id="rId8518">
        <w:r>
          <w:rPr>
            <w:color w:val="0000EE"/>
            <w:u w:val="single"/>
          </w:rPr>
          <w:t>Exode 12:43–49</w:t>
        </w:r>
      </w:hyperlink>
      <w:r>
        <w:t xml:space="preserve"> donnant la possibilité aux non-Israélites de prendre part à la Pâque à condition de se plier à la même exigence que celle imposée aux Juifs, à savoir la circoncision.</w:t>
      </w:r>
    </w:p>
    <w:p>
      <w:pPr>
        <w:pStyle w:val="Heading3"/>
      </w:pPr>
      <w:r>
        <w:t>La circoncision dans le Nouveau Testament</w:t>
      </w:r>
    </w:p>
    <w:p>
      <w:r/>
      <w:r>
        <w:t>Jean Baptiste était circoncis, tout comme Jésus et Paul (</w:t>
      </w:r>
      <w:hyperlink r:id="rId8511">
        <w:r>
          <w:rPr>
            <w:color w:val="0000EE"/>
            <w:u w:val="single"/>
          </w:rPr>
          <w:t>Luc 1:59</w:t>
        </w:r>
      </w:hyperlink>
      <w:r>
        <w:t xml:space="preserve">; </w:t>
      </w:r>
      <w:hyperlink r:id="rId8512">
        <w:r>
          <w:rPr>
            <w:color w:val="0000EE"/>
            <w:u w:val="single"/>
          </w:rPr>
          <w:t>2:21</w:t>
        </w:r>
      </w:hyperlink>
      <w:r>
        <w:t xml:space="preserve">; </w:t>
      </w:r>
      <w:hyperlink r:id="rId1791">
        <w:r>
          <w:rPr>
            <w:color w:val="0000EE"/>
            <w:u w:val="single"/>
          </w:rPr>
          <w:t>Philippiens 3:5</w:t>
        </w:r>
      </w:hyperlink>
      <w:r>
        <w:t>). Jésus a reconnu l’aspect purificateur de la circoncision (</w:t>
      </w:r>
      <w:hyperlink r:id="rId8519">
        <w:r>
          <w:rPr>
            <w:color w:val="0000EE"/>
            <w:u w:val="single"/>
          </w:rPr>
          <w:t>Jean 7:22–23</w:t>
        </w:r>
      </w:hyperlink>
      <w:r>
        <w:t>), établissant un contraste entre ce rite et son ministère de guérison qui rendait un homme totalement guéri et donc « pur » sur le plan cérémoniel. Avant d’être lapidé, Étienne a évoqué à l’alliance de la circoncision et a reproché à ses accusateurs juifs d’être comme leurs ancêtres, un peuple rebelle et incirconcis de cœur et d’oreilles, qui résiste constamment à l’Esprit Saint (</w:t>
      </w:r>
      <w:hyperlink r:id="rId8520">
        <w:r>
          <w:rPr>
            <w:color w:val="0000EE"/>
            <w:u w:val="single"/>
          </w:rPr>
          <w:t>Actes 7:8, 51</w:t>
        </w:r>
      </w:hyperlink>
      <w:r>
        <w:t>).</w:t>
      </w:r>
    </w:p>
    <w:p>
      <w:r/>
      <w:r>
        <w:t>Pendant un certain temps, les premiers chrétiens ont continué à participer aux rites et aux coutumes juives, assistant même aux services du temple (</w:t>
      </w:r>
      <w:hyperlink r:id="rId7769">
        <w:r>
          <w:rPr>
            <w:color w:val="0000EE"/>
            <w:u w:val="single"/>
          </w:rPr>
          <w:t>Actes 3:1</w:t>
        </w:r>
      </w:hyperlink>
      <w:r>
        <w:t xml:space="preserve">; </w:t>
      </w:r>
      <w:hyperlink r:id="rId8521">
        <w:r>
          <w:rPr>
            <w:color w:val="0000EE"/>
            <w:u w:val="single"/>
          </w:rPr>
          <w:t>5:21, 42</w:t>
        </w:r>
      </w:hyperlink>
      <w:r>
        <w:t>). Lorsque des Païens (non-Juifs) sont venus à Christ, une controverse est née entre ceux qui prônaient la nécessité de la circoncision pour adhérer à la communauté de l’alliance et ceux qui n’estimaient pas ce rite nécessaire. D’après la première école de pensée, comme les Juifs étaient le peuple auquel l’alliance avait promis le Messie, les Païens devaient d’abord être circoncis et devenir Juifs avant de recevoir le salut en Christ.</w:t>
      </w:r>
    </w:p>
    <w:p>
      <w:r/>
      <w:r>
        <w:t>À l’époque de Christ, plusieurs Juifs ne comprenaient pas la signification de la circoncision, estimant que l’acte physique était indispensable et représentait une garantie du salut. Par conséquent, pour les Juifs, la circoncision était devenue un symbole du privilège religieux et une source de fierté raciale (</w:t>
      </w:r>
      <w:hyperlink r:id="rId8522">
        <w:r>
          <w:rPr>
            <w:color w:val="0000EE"/>
            <w:u w:val="single"/>
          </w:rPr>
          <w:t>Philippiens 3:4–6</w:t>
        </w:r>
      </w:hyperlink>
      <w:r>
        <w:t>). Ces Juifs associaient la cérémonie de circoncision à la Loi mosaïque plutôt qu’à la promesse faite à Abraham (</w:t>
      </w:r>
      <w:hyperlink r:id="rId8523">
        <w:r>
          <w:rPr>
            <w:color w:val="0000EE"/>
            <w:u w:val="single"/>
          </w:rPr>
          <w:t>Jean 7:22</w:t>
        </w:r>
      </w:hyperlink>
      <w:r>
        <w:t xml:space="preserve">; </w:t>
      </w:r>
      <w:hyperlink r:id="rId7776">
        <w:r>
          <w:rPr>
            <w:color w:val="0000EE"/>
            <w:u w:val="single"/>
          </w:rPr>
          <w:t>Actes 15:1</w:t>
        </w:r>
      </w:hyperlink>
      <w:r>
        <w:t xml:space="preserve">). Comme les Grecs et les Romains ne pratiquaient pas la circoncision, les Juifs étaient appelés « les circoncis » (LSG </w:t>
      </w:r>
      <w:hyperlink r:id="rId3504">
        <w:r>
          <w:rPr>
            <w:color w:val="0000EE"/>
            <w:u w:val="single"/>
          </w:rPr>
          <w:t>Actes 10:45</w:t>
        </w:r>
      </w:hyperlink>
      <w:r>
        <w:t xml:space="preserve">; </w:t>
      </w:r>
      <w:hyperlink r:id="rId7774">
        <w:r>
          <w:rPr>
            <w:color w:val="0000EE"/>
            <w:u w:val="single"/>
          </w:rPr>
          <w:t>11:2</w:t>
        </w:r>
      </w:hyperlink>
      <w:r>
        <w:t xml:space="preserve">; </w:t>
      </w:r>
      <w:hyperlink r:id="rId8524">
        <w:r>
          <w:rPr>
            <w:color w:val="0000EE"/>
            <w:u w:val="single"/>
          </w:rPr>
          <w:t>Romains 15:8</w:t>
        </w:r>
      </w:hyperlink>
      <w:r>
        <w:t xml:space="preserve">; </w:t>
      </w:r>
      <w:hyperlink r:id="rId8412">
        <w:r>
          <w:rPr>
            <w:color w:val="0000EE"/>
            <w:u w:val="single"/>
          </w:rPr>
          <w:t>Galates 2:7–9</w:t>
        </w:r>
      </w:hyperlink>
      <w:r>
        <w:t xml:space="preserve">; </w:t>
      </w:r>
      <w:hyperlink r:id="rId8525">
        <w:r>
          <w:rPr>
            <w:color w:val="0000EE"/>
            <w:u w:val="single"/>
          </w:rPr>
          <w:t>Éphésiens 2:11</w:t>
        </w:r>
      </w:hyperlink>
      <w:r>
        <w:t xml:space="preserve">; </w:t>
      </w:r>
      <w:hyperlink r:id="rId8526">
        <w:r>
          <w:rPr>
            <w:color w:val="0000EE"/>
            <w:u w:val="single"/>
          </w:rPr>
          <w:t>Tite 1:10</w:t>
        </w:r>
      </w:hyperlink>
      <w:r>
        <w:t>), et selon les pratiques de l’Ancien Testament (</w:t>
      </w:r>
      <w:hyperlink r:id="rId8527">
        <w:r>
          <w:rPr>
            <w:color w:val="0000EE"/>
            <w:u w:val="single"/>
          </w:rPr>
          <w:t>Ézéchiel 28:10</w:t>
        </w:r>
      </w:hyperlink>
      <w:r>
        <w:t xml:space="preserve">; </w:t>
      </w:r>
      <w:hyperlink r:id="rId8528">
        <w:r>
          <w:rPr>
            <w:color w:val="0000EE"/>
            <w:u w:val="single"/>
          </w:rPr>
          <w:t>31:18</w:t>
        </w:r>
      </w:hyperlink>
      <w:r>
        <w:t xml:space="preserve">; </w:t>
      </w:r>
      <w:hyperlink r:id="rId8529">
        <w:r>
          <w:rPr>
            <w:color w:val="0000EE"/>
            <w:u w:val="single"/>
          </w:rPr>
          <w:t>32:19–32</w:t>
        </w:r>
      </w:hyperlink>
      <w:r>
        <w:t xml:space="preserve">), les Païens étaient appelés « les incirconcis » (LSG </w:t>
      </w:r>
      <w:hyperlink r:id="rId6738">
        <w:r>
          <w:rPr>
            <w:color w:val="0000EE"/>
            <w:u w:val="single"/>
          </w:rPr>
          <w:t>Galates 2:7</w:t>
        </w:r>
      </w:hyperlink>
      <w:r>
        <w:t xml:space="preserve">; </w:t>
      </w:r>
      <w:hyperlink r:id="rId8525">
        <w:r>
          <w:rPr>
            <w:color w:val="0000EE"/>
            <w:u w:val="single"/>
          </w:rPr>
          <w:t>Éphésiens 2:11</w:t>
        </w:r>
      </w:hyperlink>
      <w:r>
        <w:t>).</w:t>
      </w:r>
    </w:p>
    <w:p>
      <w:r/>
      <w:r>
        <w:t>Lors de leur visite à Césarée, les chrétiens juifs ont été stupéfaits de constater que les Païens non circoncis avaient reçu le don purificateur du Saint-Esprit (</w:t>
      </w:r>
      <w:hyperlink r:id="rId8530">
        <w:r>
          <w:rPr>
            <w:color w:val="0000EE"/>
            <w:u w:val="single"/>
          </w:rPr>
          <w:t>Actes 10:44–48</w:t>
        </w:r>
      </w:hyperlink>
      <w:r>
        <w:t>). Moïse avait promis que Dieu circoncirait le cœur de son peuple pour qu’il aime le Seigneur de tout son cœur et de toute son âme (</w:t>
      </w:r>
      <w:hyperlink r:id="rId8531">
        <w:r>
          <w:rPr>
            <w:color w:val="0000EE"/>
            <w:u w:val="single"/>
          </w:rPr>
          <w:t>Deutéronome 30:6</w:t>
        </w:r>
      </w:hyperlink>
      <w:r>
        <w:t>). Ézéchiel avait prophétisé que le Seigneur aspergerait son peuple d’eau pure, lui donnerait un cœur nouveau et mettrait son Esprit en lui (</w:t>
      </w:r>
      <w:hyperlink r:id="rId2834">
        <w:r>
          <w:rPr>
            <w:color w:val="0000EE"/>
            <w:u w:val="single"/>
          </w:rPr>
          <w:t>Ézéchiel 36:25–27</w:t>
        </w:r>
      </w:hyperlink>
      <w:r>
        <w:t>). Lorsque les chrétiens juifs ont été témoins de l’accomplissement de la prophétie selon laquelle Dieu répandrait son Esprit sur toute chair (</w:t>
      </w:r>
      <w:hyperlink r:id="rId3750">
        <w:r>
          <w:rPr>
            <w:color w:val="0000EE"/>
            <w:u w:val="single"/>
          </w:rPr>
          <w:t>Joel 2:28</w:t>
        </w:r>
      </w:hyperlink>
      <w:r>
        <w:t xml:space="preserve">; </w:t>
      </w:r>
      <w:hyperlink r:id="rId8532">
        <w:r>
          <w:rPr>
            <w:color w:val="0000EE"/>
            <w:u w:val="single"/>
          </w:rPr>
          <w:t>Actes 2:17</w:t>
        </w:r>
      </w:hyperlink>
      <w:r>
        <w:t>), ils ont réalisé que la circoncision du cœur pouvait se produire sans une marque physique. Ainsi, les chrétiens païens (non-Juifs) ont été immédiatement baptisés.</w:t>
      </w:r>
    </w:p>
    <w:p>
      <w:r/>
      <w:r>
        <w:t>Cependant, certains chrétiens juifs n’étaient pas immédiatement disposés à accepter des Païens au sein de l’Église. À son retour à Jérusalem, au terme de sa visite à Césarée, « le parti de la circoncision » a critiqué Pierre. Toutefois, après avoir relaté la manifestation de l’Esprit sur les Païens, Pierre a déclaré qu’il ne pouvait pas s’opposer à Dieu. Cette déclaration a réduit les chrétiens juifs au silence et ils ont glorifié Dieu d’avoir accordé aux Païens le droit à la repentance (</w:t>
      </w:r>
      <w:hyperlink r:id="rId8533">
        <w:r>
          <w:rPr>
            <w:color w:val="0000EE"/>
            <w:u w:val="single"/>
          </w:rPr>
          <w:t>Actes 11:1–3, 15:8</w:t>
        </w:r>
      </w:hyperlink>
      <w:r>
        <w:t>).</w:t>
      </w:r>
    </w:p>
    <w:p>
      <w:r/>
      <w:r>
        <w:t>Certains « judaïsants » du parti pharisien ont enseigné aux chrétiens d’Antioche que la circoncision était indispensable au salut (</w:t>
      </w:r>
      <w:hyperlink r:id="rId2622">
        <w:r>
          <w:rPr>
            <w:color w:val="0000EE"/>
            <w:u w:val="single"/>
          </w:rPr>
          <w:t>Actes 15:1, 5</w:t>
        </w:r>
      </w:hyperlink>
      <w:r>
        <w:t xml:space="preserve">). Après un débat avec ces personnes, Paul et Barnabas sont allés à Jérusalem pour consulter les autres apôtres et les anciens (verset </w:t>
      </w:r>
      <w:hyperlink r:id="rId2626">
        <w:r>
          <w:rPr>
            <w:color w:val="0000EE"/>
            <w:u w:val="single"/>
          </w:rPr>
          <w:t>2</w:t>
        </w:r>
      </w:hyperlink>
      <w:r>
        <w:t xml:space="preserve">). Pierre a soutenu que Dieu avait donné l’Esprit aux Païens et avait « purifié leurs cœurs par la foi », affirmant que les Juifs, tout comme les Païens devaient être sauvés « la grâce du Seigneur Jésus » (versets </w:t>
      </w:r>
      <w:hyperlink r:id="rId8534">
        <w:r>
          <w:rPr>
            <w:color w:val="0000EE"/>
            <w:u w:val="single"/>
          </w:rPr>
          <w:t>8–9</w:t>
        </w:r>
      </w:hyperlink>
      <w:r>
        <w:t xml:space="preserve">, </w:t>
      </w:r>
      <w:hyperlink r:id="rId8217">
        <w:r>
          <w:rPr>
            <w:color w:val="0000EE"/>
            <w:u w:val="single"/>
          </w:rPr>
          <w:t>11</w:t>
        </w:r>
      </w:hyperlink>
      <w:r>
        <w:t xml:space="preserve">, LSG). Par conséquent, Jacques et les autres dirigeants de Jérusalem ont convenu que la circoncision ne devait pas être imposée aux Païens (verset </w:t>
      </w:r>
      <w:hyperlink r:id="rId3022">
        <w:r>
          <w:rPr>
            <w:color w:val="0000EE"/>
            <w:u w:val="single"/>
          </w:rPr>
          <w:t>13–21</w:t>
        </w:r>
      </w:hyperlink>
      <w:r>
        <w:t>).</w:t>
      </w:r>
    </w:p>
    <w:p>
      <w:r/>
      <w:r>
        <w:t>Une décision a été prise : Pierre, Jacques et Jean seraient chargés d’annoncer l’Évangile aux « circoncis », tandis que Paul et Barnabas prêcheraient aux « incirconcis » (</w:t>
      </w:r>
      <w:hyperlink r:id="rId8412">
        <w:r>
          <w:rPr>
            <w:color w:val="0000EE"/>
            <w:u w:val="single"/>
          </w:rPr>
          <w:t>Galates 2:7–9</w:t>
        </w:r>
      </w:hyperlink>
      <w:r>
        <w:t>). À cause de sa politique d’évangélisation selon laquelle tous les peuples ont les mêmes prérogatives, notamment sur les questions de coutume sans importance sur le plan spirituel (</w:t>
      </w:r>
      <w:hyperlink r:id="rId3246">
        <w:r>
          <w:rPr>
            <w:color w:val="0000EE"/>
            <w:u w:val="single"/>
          </w:rPr>
          <w:t>1 Corinthiens 9:19–23</w:t>
        </w:r>
      </w:hyperlink>
      <w:r>
        <w:t>), Paul a fait circoncire Timothée. Timothée était considéré par les Juifs comme l’un des leurs, car sa mère était juive (</w:t>
      </w:r>
      <w:hyperlink r:id="rId6609">
        <w:r>
          <w:rPr>
            <w:color w:val="0000EE"/>
            <w:u w:val="single"/>
          </w:rPr>
          <w:t>Actes 16:1–2</w:t>
        </w:r>
      </w:hyperlink>
      <w:r>
        <w:t>). Par ailleurs, Paul a refusé de faire circoncire Tite, parce qu’il n’était pas Juif (</w:t>
      </w:r>
      <w:hyperlink r:id="rId6109">
        <w:r>
          <w:rPr>
            <w:color w:val="0000EE"/>
            <w:u w:val="single"/>
          </w:rPr>
          <w:t>Galates 2:3</w:t>
        </w:r>
      </w:hyperlink>
      <w:r>
        <w:t>). Visiblement, Paul a autorisé aux chrétiens juifs de faire circoncire leurs fils (</w:t>
      </w:r>
      <w:hyperlink r:id="rId1035">
        <w:r>
          <w:rPr>
            <w:color w:val="0000EE"/>
            <w:u w:val="single"/>
          </w:rPr>
          <w:t>Actes 21:21</w:t>
        </w:r>
      </w:hyperlink>
      <w:r>
        <w:t>).</w:t>
      </w:r>
    </w:p>
    <w:p>
      <w:r/>
      <w:r>
        <w:t>Pourtant, le même Paul a déclaré que ceux qui soutenaient la nécessité pour les chrétiens de Galatie d’être circoncis et d’obéir à la Loi ne l’observaient pas eux-mêmes, mais voulaient se vanter dans la chair et éviter d’être persécutés pour la croix de Christ (</w:t>
      </w:r>
      <w:hyperlink r:id="rId8535">
        <w:r>
          <w:rPr>
            <w:color w:val="0000EE"/>
            <w:u w:val="single"/>
          </w:rPr>
          <w:t>Galates 6:12–13</w:t>
        </w:r>
      </w:hyperlink>
      <w:r>
        <w:t>) une persécution que Paul était prêt à supporter (</w:t>
      </w:r>
      <w:hyperlink r:id="rId8536">
        <w:r>
          <w:rPr>
            <w:color w:val="0000EE"/>
            <w:u w:val="single"/>
          </w:rPr>
          <w:t>5:11</w:t>
        </w:r>
      </w:hyperlink>
      <w:r>
        <w:t xml:space="preserve">). Si l’on admet (pour entretenir le débat sur la question) l’hypothèse pharisienne selon laquelle le salut s’obtient par l’observation de la Loi, Paul déclare que ceux qui ont été circoncis doivent obéir à toutes les autres lois juives (versets </w:t>
      </w:r>
      <w:hyperlink r:id="rId8537">
        <w:r>
          <w:rPr>
            <w:color w:val="0000EE"/>
            <w:u w:val="single"/>
          </w:rPr>
          <w:t>2–3</w:t>
        </w:r>
      </w:hyperlink>
      <w:r>
        <w:t xml:space="preserve">). Christ ne « servirait à rien » à ceux qui « se justifieraient par la Loi » ; cette tentative de justice par les œuvres prouverait que les chrétiens de Galatie seraient « séparés de Christ », et « déchus de la grâce » (versets </w:t>
      </w:r>
      <w:hyperlink r:id="rId8538">
        <w:r>
          <w:rPr>
            <w:color w:val="0000EE"/>
            <w:u w:val="single"/>
          </w:rPr>
          <w:t>2–4</w:t>
        </w:r>
      </w:hyperlink>
      <w:r>
        <w:t>). Ces chrétiens étaient tentés de se tourner vers « un autre Évangile » (</w:t>
      </w:r>
      <w:hyperlink r:id="rId8539">
        <w:r>
          <w:rPr>
            <w:color w:val="0000EE"/>
            <w:u w:val="single"/>
          </w:rPr>
          <w:t>1:6–7</w:t>
        </w:r>
      </w:hyperlink>
      <w:r>
        <w:t>).</w:t>
      </w:r>
    </w:p>
    <w:p>
      <w:r/>
      <w:r>
        <w:t>Face à la menace sérieuse que les judaïsants représentaient pour l’Évangile de la grâce, Paul souhaitait que tous ceux qui troublent les chrétiens de Galatie soient « retranchés » (</w:t>
      </w:r>
      <w:hyperlink r:id="rId7779">
        <w:r>
          <w:rPr>
            <w:color w:val="0000EE"/>
            <w:u w:val="single"/>
          </w:rPr>
          <w:t>Galates 5:12</w:t>
        </w:r>
      </w:hyperlink>
      <w:r>
        <w:t>). Il qualifie les judaïsants de « chiens » et de « mauvais ouvriers » (LSG « concision »), affirmant que les chrétiens sont « la vraie circoncision », parce qu’ils adorent Dieu en esprit et se glorifient en Jésus-Christ, sans mettre leur confiance dans les œuvres humaines pour mériter le salut (</w:t>
      </w:r>
      <w:hyperlink r:id="rId7782">
        <w:r>
          <w:rPr>
            <w:color w:val="0000EE"/>
            <w:u w:val="single"/>
          </w:rPr>
          <w:t>Philippiens 3:2–3</w:t>
        </w:r>
      </w:hyperlink>
      <w:r>
        <w:t>).</w:t>
      </w:r>
    </w:p>
    <w:p>
      <w:r/>
      <w:r>
        <w:t>Selon les enseignements de Paul, la circoncision avait effectivement une valeur pour les Juifs, car elle était le signe que les « oracles de Dieu », c’est-à-dire la Parole de Dieu concernant la promesse du salut, leur avaient été confiés (</w:t>
      </w:r>
      <w:hyperlink r:id="rId8540">
        <w:r>
          <w:rPr>
            <w:color w:val="0000EE"/>
            <w:u w:val="single"/>
          </w:rPr>
          <w:t>Romains 3:1–3</w:t>
        </w:r>
      </w:hyperlink>
      <w:r>
        <w:t>). Il a rappelé aux chrétiens d’Éphèse qu’en tant que Païens, ils avaient été « étrangers aux alliances de la promesse », ne portant pas le signe de l’alliance dans leur chair (</w:t>
      </w:r>
      <w:hyperlink r:id="rId6737">
        <w:r>
          <w:rPr>
            <w:color w:val="0000EE"/>
            <w:u w:val="single"/>
          </w:rPr>
          <w:t>Éphésiens 2:11–12</w:t>
        </w:r>
      </w:hyperlink>
      <w:r>
        <w:t xml:space="preserve">; voir </w:t>
      </w:r>
      <w:hyperlink r:id="rId8541">
        <w:r>
          <w:rPr>
            <w:color w:val="0000EE"/>
            <w:u w:val="single"/>
          </w:rPr>
          <w:t>Colossiens 2:13</w:t>
        </w:r>
      </w:hyperlink>
      <w:r>
        <w:t>). De même, les Juifs n’avaient aucune raison de s’enorgueillir, car la désobéissance pouvait réduire la circoncision extérieure en incirconcision (</w:t>
      </w:r>
      <w:hyperlink r:id="rId8542">
        <w:r>
          <w:rPr>
            <w:color w:val="0000EE"/>
            <w:u w:val="single"/>
          </w:rPr>
          <w:t>Romains 2:25</w:t>
        </w:r>
      </w:hyperlink>
      <w:r>
        <w:t>).</w:t>
      </w:r>
    </w:p>
    <w:p>
      <w:r/>
      <w:r>
        <w:t>Paul et les autres apôtres ont poursuivi l’enseignement de Moïse et des prophètes de l’Ancien Testament en affirmant que la véritable circoncision était celle du cœur. L’enseignement du Nouveau Testament va plus loin en affirmant qu’un chrétien fidèle, même s’il est physiquement incirconcis, est considéré par Dieu comme circoncis, car « le Juif, ce n'est pas celui qui en a les dehors ; et la circoncision, ce n'est pas celle qui est visible dans la chair. » (</w:t>
      </w:r>
      <w:hyperlink r:id="rId2294">
        <w:r>
          <w:rPr>
            <w:color w:val="0000EE"/>
            <w:u w:val="single"/>
          </w:rPr>
          <w:t>Romains 2:28</w:t>
        </w:r>
      </w:hyperlink>
      <w:r>
        <w:t>, LSG). Les Juifs et les Païens sont sauvés par la grâce (</w:t>
      </w:r>
      <w:hyperlink r:id="rId8217">
        <w:r>
          <w:rPr>
            <w:color w:val="0000EE"/>
            <w:u w:val="single"/>
          </w:rPr>
          <w:t>Actes 15:11</w:t>
        </w:r>
      </w:hyperlink>
      <w:r>
        <w:t>), et les circoncis comme les incirconcis sont justifiés sur la base de leur foi, indépendamment des œuvres de la Loi (</w:t>
      </w:r>
      <w:hyperlink r:id="rId8543">
        <w:r>
          <w:rPr>
            <w:color w:val="0000EE"/>
            <w:u w:val="single"/>
          </w:rPr>
          <w:t>Romains 3:28–30</w:t>
        </w:r>
      </w:hyperlink>
      <w:r>
        <w:t>).</w:t>
      </w:r>
    </w:p>
    <w:p>
      <w:r/>
      <w:r>
        <w:t>Abraham est l’exemple d’une personne dont la foi lui a été imputée à justice (</w:t>
      </w:r>
      <w:hyperlink r:id="rId8544">
        <w:r>
          <w:rPr>
            <w:color w:val="0000EE"/>
            <w:u w:val="single"/>
          </w:rPr>
          <w:t>Romains 4:3</w:t>
        </w:r>
      </w:hyperlink>
      <w:r>
        <w:t xml:space="preserve">voir </w:t>
      </w:r>
      <w:hyperlink r:id="rId549">
        <w:r>
          <w:rPr>
            <w:color w:val="0000EE"/>
            <w:u w:val="single"/>
          </w:rPr>
          <w:t>Genèse 15:6</w:t>
        </w:r>
      </w:hyperlink>
      <w:r>
        <w:t>). Paul a affirmé que les Païens et les Juifs sont tous deux justifiés par la foi, car Abraham a été considéré comme juste avant d’être circoncis. Abraham n’a pas été circoncis pour obtenir la justice, mais à titre de signe ou de sceau de la justice qu’il possédait par la foi alors qu’il n’était pas encore circoncis. Ainsi, Abraham est le père de tous ceux qui croient sans être circoncis, ainsi que des circoncis qui suivent l’exemple de la foi d’Abraham (</w:t>
      </w:r>
      <w:hyperlink r:id="rId6736">
        <w:r>
          <w:rPr>
            <w:color w:val="0000EE"/>
            <w:u w:val="single"/>
          </w:rPr>
          <w:t>Romains 4:9–12</w:t>
        </w:r>
      </w:hyperlink>
      <w:r>
        <w:t xml:space="preserve">voir </w:t>
      </w:r>
      <w:hyperlink r:id="rId8545">
        <w:r>
          <w:rPr>
            <w:color w:val="0000EE"/>
            <w:u w:val="single"/>
          </w:rPr>
          <w:t>Galates 3:6–9</w:t>
        </w:r>
      </w:hyperlink>
      <w:r>
        <w:t>).</w:t>
      </w:r>
    </w:p>
    <w:p>
      <w:r/>
      <w:r>
        <w:rPr>
          <w:i/>
        </w:rPr>
        <w:t>Voir aussi</w:t>
      </w:r>
      <w:r>
        <w:t xml:space="preserve"> </w:t>
      </w:r>
      <w:r>
        <w:t>Baptême</w:t>
      </w:r>
      <w:r>
        <w:t xml:space="preserve">; </w:t>
      </w:r>
      <w:r>
        <w:t>Pureté et impureté, les règles relatives à</w:t>
      </w:r>
      <w:r>
        <w:t xml:space="preserve">; </w:t>
      </w:r>
      <w:r>
        <w:t>Incirconcision</w:t>
      </w:r>
      <w:r>
        <w:t>.</w:t>
      </w:r>
      <w:r/>
      <w:r/>
    </w:p>
    <w:p>
      <w:r/>
    </w:p>
    <w:p>
      <w:pPr>
        <w:pStyle w:val="Heading2"/>
      </w:pPr>
      <w:r>
        <w:t>La Crète</w:t>
      </w:r>
      <w:r/>
    </w:p>
    <w:p>
      <w:r/>
      <w:r>
        <w:t>La Crète est la quatrième ile la plus large de la Méditerranée, elle s’étend sur environ 60 milles (97 kilomètres) au sud-est de la Grèce et Sur 110 milles (soit 177 kilomètres) au sud-ouest de la Turquie. De l’est à l’ouest, la Crète mesure 160 milles (soit 257, 4 kilomètres) de long, avec environ 36 milles (soit 58 kilomètres) de largeur, une superficie de 3 200 milles carrés (soit 5149 kilomètres carrés). Dans cette ile s’étend une chaine de montagnes dominée au centre par le sacré mont Ida (9 000 pieds d’altitude, soit 2742 mètres). Les pentes de ces montagnes sont très inclinées vers la côte australe, ce qui pousse la majorité des habitants à vivre sur les très douces pentes septentrionales.</w:t>
      </w:r>
    </w:p>
    <w:p>
      <w:r/>
      <w:r>
        <w:t>La Crète revêt une importance capitale dans l’histoire de l’Église chrétienne. Quand Paul est allé à Rome en tant que prisonnier, le navire qui le conduisait a cherché refuge contre une tempête à Beaux Ports (</w:t>
      </w:r>
      <w:hyperlink r:id="rId1724">
        <w:r>
          <w:rPr>
            <w:color w:val="0000EE"/>
            <w:u w:val="single"/>
          </w:rPr>
          <w:t>Actes 27:8</w:t>
        </w:r>
      </w:hyperlink>
      <w:r>
        <w:t xml:space="preserve">). Ce navire a essayé en vain d’atteindre le port plus commode de Phénix (verset </w:t>
      </w:r>
      <w:hyperlink r:id="rId8546">
        <w:r>
          <w:rPr>
            <w:color w:val="0000EE"/>
            <w:u w:val="single"/>
          </w:rPr>
          <w:t>12</w:t>
        </w:r>
      </w:hyperlink>
      <w:r>
        <w:t xml:space="preserve">) mais il a été emporté par la tempête et s’est réfugié sur une ile de la côte sud-est de la Crète appelée Clauda (verset </w:t>
      </w:r>
      <w:hyperlink r:id="rId2731">
        <w:r>
          <w:rPr>
            <w:color w:val="0000EE"/>
            <w:u w:val="single"/>
          </w:rPr>
          <w:t>16</w:t>
        </w:r>
      </w:hyperlink>
      <w:r>
        <w:t>). Paul a surement visité la Crète après son emprisonnement à Rome, car dans sa lettre adressée à Tite, il a déclaré : « je t’ai laissé en Crète » (</w:t>
      </w:r>
      <w:hyperlink r:id="rId8300">
        <w:r>
          <w:rPr>
            <w:color w:val="0000EE"/>
            <w:u w:val="single"/>
          </w:rPr>
          <w:t>Tite 1:5</w:t>
        </w:r>
      </w:hyperlink>
      <w:r>
        <w:t>, lsg). Sur la base de cette parole et à travers d’autres preuves, plusieurs érudits ont conclu que Paul a été libéré et a élargi son ministère avant son second emprisonnement et sa mise à mort (</w:t>
      </w:r>
      <w:hyperlink r:id="rId2641">
        <w:r>
          <w:rPr>
            <w:color w:val="0000EE"/>
            <w:u w:val="single"/>
          </w:rPr>
          <w:t>2 Timothée 4:6</w:t>
        </w:r>
      </w:hyperlink>
      <w:r>
        <w:t>). Paul n’avait pas grand-chose de bon à dire sur les habitants de la Crète, citant l’un de leurs poètes qui les a traités de « menteurs, méchantes bêtes et ventres paresseux. » (</w:t>
      </w:r>
      <w:hyperlink r:id="rId8547">
        <w:r>
          <w:rPr>
            <w:color w:val="0000EE"/>
            <w:u w:val="single"/>
          </w:rPr>
          <w:t>Tite 1:12</w:t>
        </w:r>
      </w:hyperlink>
      <w:r>
        <w:t>). Cependant, l’Évangile a certainement fait une grande différence sur cette ile, car de nos jours, le nom de Tite est honoré dans plusieurs villages, églises et monastères.</w:t>
      </w:r>
    </w:p>
    <w:p>
      <w:r/>
      <w:r>
        <w:t>En raison de sa situation géographique et de sa fertilité relative, la Crète a été un enjeu de guerre et de commerce. Rome a conquis cette ile en 67 av. J.-C., elle est ainsi devenue une province distincte. Ces habitants ont prospéré sous les Romains et plus tard sous les chrétiens grecs (byzantins). Les sarrasins (les musulmans) ont occupé cette ile pendant plus d’un siècle (823–960 ap. J.-C.). Après des siècles de domination chrétienne, cette ile a été conquise par le sultan turc et la civilisation a dépéri (1669–1898). Au 20e siècle, la Crète faisait partie de la Grèce, à l’exception d’une période d’occupation allemande pendant la Seconde Guerre mondiale.</w:t>
      </w:r>
      <w:r/>
      <w:r/>
    </w:p>
    <w:p>
      <w:r/>
    </w:p>
    <w:p>
      <w:pPr>
        <w:pStyle w:val="Heading2"/>
      </w:pPr>
      <w:r>
        <w:t>La foi</w:t>
      </w:r>
      <w:r/>
    </w:p>
    <w:p>
      <w:r/>
      <w:r>
        <w:t>La foi est la croyance en un fait sans preuve tangible ; la confiance en Dieu.</w:t>
      </w:r>
    </w:p>
    <w:p>
      <w:pPr>
        <w:pStyle w:val="Heading3"/>
      </w:pPr>
      <w:r>
        <w:t>Définition de la foi</w:t>
      </w:r>
    </w:p>
    <w:p>
      <w:r/>
      <w:r>
        <w:t xml:space="preserve">Dans l’Ancien Testament et le Nouveau Testament, le terme « foi » revêt plusieurs significations. La foi peut signifier une simple confiance en Dieu ou en sa Parole, et à d’autres moments, la foi devient presque équivalente à une obéissance active. Elle peut aussi s’exprimer dans une déclaration de foi. Ainsi, elle peut aussi signifier la totalité de la doctrine ou de la vérité chrétienne reçue, « la vérité ». En </w:t>
      </w:r>
      <w:hyperlink r:id="rId8548">
        <w:r>
          <w:rPr>
            <w:color w:val="0000EE"/>
            <w:u w:val="single"/>
          </w:rPr>
          <w:t>Colossiens 2:7</w:t>
        </w:r>
      </w:hyperlink>
      <w:r>
        <w:t xml:space="preserve">, ce même terme suggère un fait que l’on doit accepter comme un tout et qui doit être incarné dans la vie personnelle. En </w:t>
      </w:r>
      <w:hyperlink r:id="rId8549">
        <w:r>
          <w:rPr>
            <w:color w:val="0000EE"/>
            <w:u w:val="single"/>
          </w:rPr>
          <w:t>2 Timothée 4:7</w:t>
        </w:r>
      </w:hyperlink>
      <w:r>
        <w:t>, Paul témoigne qu’il a « gardé la foi ».</w:t>
      </w:r>
    </w:p>
    <w:p>
      <w:pPr>
        <w:pStyle w:val="Heading3"/>
      </w:pPr>
      <w:r>
        <w:t>La foi dans l’Ancien Testament</w:t>
      </w:r>
    </w:p>
    <w:p>
      <w:r/>
      <w:r>
        <w:t>L’Ancien Testament met aussi fortement l’accent sur la foi en tant que confiance en l’alliance de Dieu ou en l’alliance que Dieu a conclue avec Abraham et ses descendants. L’appel d’Abraham et la promesse que ses descendants seraient utilisés dans l’histoire de la rédemption sont devenus la base des récits de l’Ancien Testament, considérés comme l’accomplissement de cette alliance. Une fois la nation d’Israël créée, Dieu l’a soutenue et protégée. L’exode d’Égypte indique clairement que Dieu était à l’œuvre pour ramener son peuple à la Terre promise. L’obéissance du peuple de Dieu en tant que véritable expression de la foi apparait clairement dans l’Ancien Testament. Sans avoir vu Dieu, son peuple a cru en lui et lui a obéi. Abraham a quitté son pays natal pour se rendre en territoire inconnu. Le peuple d’Israël a quitté l’Égypte sous la conduite de Dieu pour se rendre dans un pays qu’il ne pouvait pas voir. La promesse de Dieu a donné à ce peuple le courage de posséder la terre qui lui était promise. Après l’exode, l’aspersion du sang a confirmé l’alliance d’Abraham avec le peuple d’Israël (</w:t>
      </w:r>
      <w:hyperlink r:id="rId8550">
        <w:r>
          <w:rPr>
            <w:color w:val="0000EE"/>
            <w:u w:val="single"/>
          </w:rPr>
          <w:t>Exode 24:6–7</w:t>
        </w:r>
      </w:hyperlink>
      <w:r>
        <w:t>). L’expression de la foi se caractérisait par l’obéissance stricte aux commandements de Dieu. Cette réponse de la foi humaine à la fidélité de l’Éternel était nationale et collective. On notait aussi des commandements et des exemples de foi personnelle.</w:t>
      </w:r>
    </w:p>
    <w:p>
      <w:r/>
      <w:r>
        <w:t>Les parties narratives et juridiques de l’Ancien Testament, mais aussi les écrits poétiques et prophétiques mettent l’accent sur la foi. Les Psaumes abondent en expressions de confiance personnelle en l’Éternel, même dans les périodes sombres. Habacuc souligne que « le juste vivra par sa foi » (</w:t>
      </w:r>
      <w:hyperlink r:id="rId3738">
        <w:r>
          <w:rPr>
            <w:color w:val="0000EE"/>
            <w:u w:val="single"/>
          </w:rPr>
          <w:t>Habacuc 2:4</w:t>
        </w:r>
      </w:hyperlink>
      <w:r>
        <w:t>). Au fur et à mesure que l’Éternel instruisait Israël, il est clair que la question de la foi en la fidélité de Dieu devenait de plus en plus une question de réponse individuelle et personnelle. En outre, les éléments tels que la confiance, l’obéissance, la crainte et la certitude se mélangent dans la vie des prophètes pour former une compréhension plus profonde de cette foi personnelle.</w:t>
      </w:r>
    </w:p>
    <w:p>
      <w:pPr>
        <w:pStyle w:val="Heading3"/>
      </w:pPr>
      <w:r>
        <w:t>La foi dans le Nouveau Testament</w:t>
      </w:r>
    </w:p>
    <w:p>
      <w:r/>
      <w:r>
        <w:t>L’Ancien Testament met l’accent sur la fidélité de Dieu, alors que le Nouveau Testament s’étend sur la foi active, la réponse de l’auditeur à la révélation finale promise à travers le Messie, Jésus. Le verbe et le nom décrivent régulièrement la manière dont les hommes réagissent de manière adéquate à la parole de Jésus et à l’Évangile.</w:t>
      </w:r>
    </w:p>
    <w:p>
      <w:pPr>
        <w:pStyle w:val="Heading4"/>
      </w:pPr>
      <w:r>
        <w:t>Les Évangiles synoptiques</w:t>
      </w:r>
    </w:p>
    <w:p>
      <w:r/>
      <w:r>
        <w:t>La caractéristique la plus frappante des Évangiles synoptiques (passages tirés de lsg) est l’utilisation de la foi sans en identifier l’objet : « Si vous aviez de la foi comme un grain de sénevé » (</w:t>
      </w:r>
      <w:hyperlink r:id="rId8551">
        <w:r>
          <w:rPr>
            <w:color w:val="0000EE"/>
            <w:u w:val="single"/>
          </w:rPr>
          <w:t>Matthieu 17:20</w:t>
        </w:r>
      </w:hyperlink>
      <w:r>
        <w:t>) ; « Jésus voyant leur foi » (</w:t>
      </w:r>
      <w:hyperlink r:id="rId8552">
        <w:r>
          <w:rPr>
            <w:color w:val="0000EE"/>
            <w:u w:val="single"/>
          </w:rPr>
          <w:t>Marc 2:5</w:t>
        </w:r>
      </w:hyperlink>
      <w:r>
        <w:t>) ; « Ta foi t’a sauvée » (</w:t>
      </w:r>
      <w:hyperlink r:id="rId8553">
        <w:r>
          <w:rPr>
            <w:color w:val="0000EE"/>
            <w:u w:val="single"/>
          </w:rPr>
          <w:t>Luc 7:50</w:t>
        </w:r>
      </w:hyperlink>
      <w:r>
        <w:t>). Jésus est présenté comme celui qui, par son œuvre et sa parole, ouvre la porte à la foi et la rend possible. La question n’est pas de savoir si la foi est en Jésus ou au Père ; les deux sont sans aucun doute impliqués, mais comme pour tout véritable porteur de la Parole de Dieu, le regard de la foi est tourné vers l’envoyeur.</w:t>
      </w:r>
    </w:p>
    <w:p>
      <w:r/>
      <w:r>
        <w:t>À plus d’une reprise, Jésus rejette la demande d’un miracle pour étayer ses paroles (</w:t>
      </w:r>
      <w:hyperlink r:id="rId8554">
        <w:r>
          <w:rPr>
            <w:color w:val="0000EE"/>
            <w:u w:val="single"/>
          </w:rPr>
          <w:t>Matthieu 12:38–39</w:t>
        </w:r>
      </w:hyperlink>
      <w:r>
        <w:t xml:space="preserve">; </w:t>
      </w:r>
      <w:hyperlink r:id="rId1016">
        <w:r>
          <w:rPr>
            <w:color w:val="0000EE"/>
            <w:u w:val="single"/>
          </w:rPr>
          <w:t>16:1–4</w:t>
        </w:r>
      </w:hyperlink>
      <w:r>
        <w:t>). La foi est une réponse à la Parole seule, sans aucun appui. Il n’existe pas d’autre signe que celui de Jonas. Dans l’histoire de l’homme riche et de Lazare (</w:t>
      </w:r>
      <w:hyperlink r:id="rId5002">
        <w:r>
          <w:rPr>
            <w:color w:val="0000EE"/>
            <w:u w:val="single"/>
          </w:rPr>
          <w:t>Luc 16:19–31</w:t>
        </w:r>
      </w:hyperlink>
      <w:r>
        <w:t xml:space="preserve">), Jésus rejette la demande d’une manifestation spectaculaire et insiste sur le fait que l’auditeur doit répondre à la parole qui lui est donnée (cf. </w:t>
      </w:r>
      <w:hyperlink r:id="rId1330">
        <w:r>
          <w:rPr>
            <w:color w:val="0000EE"/>
            <w:u w:val="single"/>
          </w:rPr>
          <w:t>Jean 20:29</w:t>
        </w:r>
      </w:hyperlink>
      <w:r>
        <w:t>). La Parole exige le don de soi et l’engagement. Ainsi, la nature même de la Parole et de la foi devient un obstacle pour les orgueilleux et les puissants.</w:t>
      </w:r>
    </w:p>
    <w:p>
      <w:r/>
      <w:r>
        <w:t>La foi donne de la visibilité à la puissance de Dieu. Elle déplace les montagnes, guérit les malades et permet d’entrer dans le Royaume. La foi peut être mêlée au doute, comme dans le cas du père qui demandait la guérison de son fils (« Je crois ! Viens au secours de mon incrédulité ! » [</w:t>
      </w:r>
      <w:hyperlink r:id="rId8555">
        <w:r>
          <w:rPr>
            <w:color w:val="0000EE"/>
            <w:u w:val="single"/>
          </w:rPr>
          <w:t>Marc 9:24</w:t>
        </w:r>
      </w:hyperlink>
      <w:r>
        <w:t>]), ou comme Jean Baptiste en prison, qui, malgré ses doutes, a été confirmé par Jésus comme le plus grand des enfants nés d’une femme (</w:t>
      </w:r>
      <w:hyperlink r:id="rId8556">
        <w:r>
          <w:rPr>
            <w:color w:val="0000EE"/>
            <w:u w:val="single"/>
          </w:rPr>
          <w:t>Matthieu 11:2–15</w:t>
        </w:r>
      </w:hyperlink>
      <w:r>
        <w:t>). La conception de Pierre (et des autres disciples) était erronée, mais Jésus confirme que la confession de Pierre est la pierre angulaire de l’Église. Les évangiles synoptiques dépeignent la foi primitive des disciples dans toutes ses limites et ses faiblesses, mais il s’agit néanmoins d’une foi en ce sens qu’elle est leur réponse positive à la parole et à l’œuvre de Jésus.</w:t>
      </w:r>
    </w:p>
    <w:p>
      <w:pPr>
        <w:pStyle w:val="Heading4"/>
      </w:pPr>
      <w:r>
        <w:t>Le quatrième évangile</w:t>
      </w:r>
    </w:p>
    <w:p>
      <w:r/>
      <w:r>
        <w:t>La foi est un concept particulièrement important dans l’Évangile selon Jean (passages tirés de lsg),bien que le mot (en grec) apparaisse uniquement sous la forme d’un verbe. Très souvent, la référence a trait à l’acceptation du caractère vrai d’un fait, c’est-à-dire à la simple croyance : « Croyez-moi, je suis dans le Père et le Père est en moi » (</w:t>
      </w:r>
      <w:hyperlink r:id="rId8557">
        <w:r>
          <w:rPr>
            <w:color w:val="0000EE"/>
            <w:u w:val="single"/>
          </w:rPr>
          <w:t>Jean 14:11</w:t>
        </w:r>
      </w:hyperlink>
      <w:r>
        <w:t>) ; « Si vous croyiez Moïse, vous me croiriez » (</w:t>
      </w:r>
      <w:hyperlink r:id="rId8558">
        <w:r>
          <w:rPr>
            <w:color w:val="0000EE"/>
            <w:u w:val="single"/>
          </w:rPr>
          <w:t>Jean 5:46</w:t>
        </w:r>
      </w:hyperlink>
      <w:r>
        <w:t>).</w:t>
      </w:r>
    </w:p>
    <w:p>
      <w:r/>
      <w:r>
        <w:t xml:space="preserve">L’expression particulière « croire en » est plus révélatrice, elle signifie mettre sa confiance en l’autre. La forme particulière de l’expression est sans parallèle avant le quatrième évangile et peut bien exprimer le sens fort de la confiance personnelle en la Parole éternelle faite chair. En </w:t>
      </w:r>
      <w:hyperlink r:id="rId5733">
        <w:r>
          <w:rPr>
            <w:color w:val="0000EE"/>
            <w:u w:val="single"/>
          </w:rPr>
          <w:t>Jean 3:16</w:t>
        </w:r>
      </w:hyperlink>
      <w:r>
        <w:t>, quiconque met sa confiance en lui a la vie éternelle. Ceux qui mettent leur confiance en lui reçoivent le pouvoir de devenir fils de Dieu, de naitre de Dieu (</w:t>
      </w:r>
      <w:hyperlink r:id="rId5745">
        <w:r>
          <w:rPr>
            <w:color w:val="0000EE"/>
            <w:u w:val="single"/>
          </w:rPr>
          <w:t>Jean 1:12</w:t>
        </w:r>
      </w:hyperlink>
      <w:r>
        <w:t>). Ils n’auront jamais soif (</w:t>
      </w:r>
      <w:hyperlink r:id="rId8559">
        <w:r>
          <w:rPr>
            <w:color w:val="0000EE"/>
            <w:u w:val="single"/>
          </w:rPr>
          <w:t>6:35</w:t>
        </w:r>
      </w:hyperlink>
      <w:r>
        <w:t>) ; ils vivront, même s’ils meurent (</w:t>
      </w:r>
      <w:hyperlink r:id="rId1981">
        <w:r>
          <w:rPr>
            <w:color w:val="0000EE"/>
            <w:u w:val="single"/>
          </w:rPr>
          <w:t>11:25</w:t>
        </w:r>
      </w:hyperlink>
      <w:r>
        <w:t>).</w:t>
      </w:r>
    </w:p>
    <w:p>
      <w:r/>
      <w:r>
        <w:t xml:space="preserve">En d’autres endroits, Jean parle de la confiance ou de la foi dans un sens absolu, soit sans faire référence à celui en qui la confiance est placée. En </w:t>
      </w:r>
      <w:hyperlink r:id="rId8560">
        <w:r>
          <w:rPr>
            <w:color w:val="0000EE"/>
            <w:u w:val="single"/>
          </w:rPr>
          <w:t>Jean 11:15,</w:t>
        </w:r>
      </w:hyperlink>
      <w:r>
        <w:t xml:space="preserve"> Jésus arrive après la mort de Lazare et se réjouit « afin que vous croyiez ». Le résultat de cette réaction sera la foi. De même, dans le prologue (</w:t>
      </w:r>
      <w:hyperlink r:id="rId8561">
        <w:r>
          <w:rPr>
            <w:color w:val="0000EE"/>
            <w:u w:val="single"/>
          </w:rPr>
          <w:t>1:7</w:t>
        </w:r>
      </w:hyperlink>
      <w:r>
        <w:t>), Jean Baptiste témoigne afin que tous croient par lui. Lorsque Jésus répond au doute de Thomas concernant la résurrection, il déclare : « Parce que tu m’as vu, tu as cru. Heureux ceux qui n’ont pas vu, et qui ont cru ! » (</w:t>
      </w:r>
      <w:hyperlink r:id="rId1330">
        <w:r>
          <w:rPr>
            <w:color w:val="0000EE"/>
            <w:u w:val="single"/>
          </w:rPr>
          <w:t>20:29</w:t>
        </w:r>
      </w:hyperlink>
      <w:r>
        <w:t>). Dans ces passages et dans d’autres, le résultat fondamental du témoignage de Jésus est la confiance.</w:t>
      </w:r>
    </w:p>
    <w:p>
      <w:r/>
      <w:r>
        <w:t xml:space="preserve">La foi et la connaissance sont étroitement liées. En </w:t>
      </w:r>
      <w:hyperlink r:id="rId2512">
        <w:r>
          <w:rPr>
            <w:color w:val="0000EE"/>
            <w:u w:val="single"/>
          </w:rPr>
          <w:t>Jean 6:69,</w:t>
        </w:r>
      </w:hyperlink>
      <w:r>
        <w:t xml:space="preserve"> Pierre déclare : « Et nous avons cru et nous avons connu que tu es le Christ, le Saint de Dieu. » Dans sa prière sacerdotale, Jésus affirme que la vie éternelle consiste à « te connaitre, toi, le seul vrai Dieu, et Jésus-Christ celui que tu as envoyé » (</w:t>
      </w:r>
      <w:hyperlink r:id="rId8562">
        <w:r>
          <w:rPr>
            <w:color w:val="0000EE"/>
            <w:u w:val="single"/>
          </w:rPr>
          <w:t>Jean 17:3</w:t>
        </w:r>
      </w:hyperlink>
      <w:r>
        <w:t>). Par ailleurs, nous voyons Dieu à travers les yeux de la foi. Personne n’a jamais vu Dieu, mais le Fils unique l’a révélé (</w:t>
      </w:r>
      <w:hyperlink r:id="rId5734">
        <w:r>
          <w:rPr>
            <w:color w:val="0000EE"/>
            <w:u w:val="single"/>
          </w:rPr>
          <w:t>1:18</w:t>
        </w:r>
      </w:hyperlink>
      <w:r>
        <w:t>). Celui qui a vu Jésus a vu le Père (</w:t>
      </w:r>
      <w:hyperlink r:id="rId6671">
        <w:r>
          <w:rPr>
            <w:color w:val="0000EE"/>
            <w:u w:val="single"/>
          </w:rPr>
          <w:t>14:9</w:t>
        </w:r>
      </w:hyperlink>
      <w:r>
        <w:t>).</w:t>
      </w:r>
    </w:p>
    <w:p>
      <w:r/>
      <w:r>
        <w:t>Le verbe croire est également exprimé par le verbe « recevoir ». Ceux qui reçoivent Christ reçoivent le pouvoir de devenir fils de Dieu (</w:t>
      </w:r>
      <w:hyperlink r:id="rId5745">
        <w:r>
          <w:rPr>
            <w:color w:val="0000EE"/>
            <w:u w:val="single"/>
          </w:rPr>
          <w:t>Jean 1:12</w:t>
        </w:r>
      </w:hyperlink>
      <w:r>
        <w:t>). La confiance signifie savoir ou voir que la gloire de Dieu (</w:t>
      </w:r>
      <w:hyperlink r:id="rId1968">
        <w:r>
          <w:rPr>
            <w:color w:val="0000EE"/>
            <w:u w:val="single"/>
          </w:rPr>
          <w:t>1:14</w:t>
        </w:r>
      </w:hyperlink>
      <w:r>
        <w:t xml:space="preserve">; </w:t>
      </w:r>
      <w:hyperlink r:id="rId8563">
        <w:r>
          <w:rPr>
            <w:color w:val="0000EE"/>
            <w:u w:val="single"/>
          </w:rPr>
          <w:t>17:4</w:t>
        </w:r>
      </w:hyperlink>
      <w:r>
        <w:t>) est présente.</w:t>
      </w:r>
    </w:p>
    <w:p>
      <w:pPr>
        <w:pStyle w:val="Heading4"/>
      </w:pPr>
      <w:r>
        <w:t>Les écrits de Paul</w:t>
      </w:r>
    </w:p>
    <w:p>
      <w:r/>
      <w:r>
        <w:t>Dans les lettres de Paul (passages tirés de lsg), il aborde la question de la foi sous différents angles. Il oppose la foi aux « œuvres de la loi » comme seul et véritable fondement de la justice (</w:t>
      </w:r>
      <w:hyperlink r:id="rId8564">
        <w:r>
          <w:rPr>
            <w:color w:val="0000EE"/>
            <w:u w:val="single"/>
          </w:rPr>
          <w:t>Romains 1–4</w:t>
        </w:r>
      </w:hyperlink>
      <w:r>
        <w:t xml:space="preserve">; </w:t>
      </w:r>
      <w:hyperlink r:id="rId8565">
        <w:r>
          <w:rPr>
            <w:color w:val="0000EE"/>
            <w:u w:val="single"/>
          </w:rPr>
          <w:t>Galates 1–4</w:t>
        </w:r>
      </w:hyperlink>
      <w:r>
        <w:t>) et fait appel à Abraham pour prouver son point de vue : « Abram eut confiance en l’Éternel, qui le lui imputa à justice » (</w:t>
      </w:r>
      <w:hyperlink r:id="rId549">
        <w:r>
          <w:rPr>
            <w:color w:val="0000EE"/>
            <w:u w:val="single"/>
          </w:rPr>
          <w:t>Genèse 15:6</w:t>
        </w:r>
      </w:hyperlink>
      <w:r>
        <w:t xml:space="preserve">; cf. </w:t>
      </w:r>
      <w:hyperlink r:id="rId8459">
        <w:r>
          <w:rPr>
            <w:color w:val="0000EE"/>
            <w:u w:val="single"/>
          </w:rPr>
          <w:t>Romains 4:5</w:t>
        </w:r>
      </w:hyperlink>
      <w:r>
        <w:t xml:space="preserve">; </w:t>
      </w:r>
      <w:hyperlink r:id="rId8566">
        <w:r>
          <w:rPr>
            <w:color w:val="0000EE"/>
            <w:u w:val="single"/>
          </w:rPr>
          <w:t>Galates 3:6</w:t>
        </w:r>
      </w:hyperlink>
      <w:r>
        <w:t>). Cet acte est entièrement indépendant de la Loi (</w:t>
      </w:r>
      <w:hyperlink r:id="rId8024">
        <w:r>
          <w:rPr>
            <w:color w:val="0000EE"/>
            <w:u w:val="single"/>
          </w:rPr>
          <w:t>Romains 3:21</w:t>
        </w:r>
      </w:hyperlink>
      <w:r>
        <w:t>) ; la justice est un don de Dieu par la foi en Christ, en particulier en son œuvre expiatoire. La conviction de Paul repose sur sa conscience du péché radical et omniprésent de l’être humain, qui rend chacun impuissant. L’humanité est morte dans le péché, mais elle est rendue vivante par la foi en la parole et l’œuvre de Jésus, transmises par l’Évangile.</w:t>
      </w:r>
    </w:p>
    <w:p>
      <w:r/>
      <w:r>
        <w:t>La foi est donc la foi en Jésus-Christ. Le nombre de métaphores employées par Paul pour décrire les conséquences de la foi est incroyable. Par la foi, les chrétiens sont justifiés (</w:t>
      </w:r>
      <w:hyperlink r:id="rId322">
        <w:r>
          <w:rPr>
            <w:color w:val="0000EE"/>
            <w:u w:val="single"/>
          </w:rPr>
          <w:t>Romains 5:1</w:t>
        </w:r>
      </w:hyperlink>
      <w:r>
        <w:t>), réconciliés (</w:t>
      </w:r>
      <w:hyperlink r:id="rId8567">
        <w:r>
          <w:rPr>
            <w:color w:val="0000EE"/>
            <w:u w:val="single"/>
          </w:rPr>
          <w:t>2 Corinthiens 5:18</w:t>
        </w:r>
      </w:hyperlink>
      <w:r>
        <w:t>), rachetés (</w:t>
      </w:r>
      <w:hyperlink r:id="rId8432">
        <w:r>
          <w:rPr>
            <w:color w:val="0000EE"/>
            <w:u w:val="single"/>
          </w:rPr>
          <w:t>Éphésiens 1:7</w:t>
        </w:r>
      </w:hyperlink>
      <w:r>
        <w:t>), rendus à la vie (</w:t>
      </w:r>
      <w:hyperlink r:id="rId8568">
        <w:r>
          <w:rPr>
            <w:color w:val="0000EE"/>
            <w:u w:val="single"/>
          </w:rPr>
          <w:t>2:5</w:t>
        </w:r>
      </w:hyperlink>
      <w:r>
        <w:t>), adoptés dans la famille de Dieu (</w:t>
      </w:r>
      <w:hyperlink r:id="rId8569">
        <w:r>
          <w:rPr>
            <w:color w:val="0000EE"/>
            <w:u w:val="single"/>
          </w:rPr>
          <w:t>Romains 8:15–16</w:t>
        </w:r>
      </w:hyperlink>
      <w:r>
        <w:t>), recréés (</w:t>
      </w:r>
      <w:hyperlink r:id="rId320">
        <w:r>
          <w:rPr>
            <w:color w:val="0000EE"/>
            <w:u w:val="single"/>
          </w:rPr>
          <w:t>2 Corinthiens 5:17</w:t>
        </w:r>
      </w:hyperlink>
      <w:r>
        <w:t>), transportés dans un nouveau royaume (</w:t>
      </w:r>
      <w:hyperlink r:id="rId2944">
        <w:r>
          <w:rPr>
            <w:color w:val="0000EE"/>
            <w:u w:val="single"/>
          </w:rPr>
          <w:t>Colossiens 1:13</w:t>
        </w:r>
      </w:hyperlink>
      <w:r>
        <w:t>) et libérés (</w:t>
      </w:r>
      <w:hyperlink r:id="rId8570">
        <w:r>
          <w:rPr>
            <w:color w:val="0000EE"/>
            <w:u w:val="single"/>
          </w:rPr>
          <w:t>Galates 5:1</w:t>
        </w:r>
      </w:hyperlink>
      <w:r>
        <w:t xml:space="preserve">). La foi est, pour Paul, la </w:t>
      </w:r>
      <w:r>
        <w:rPr>
          <w:i/>
        </w:rPr>
        <w:t>condition sine qua non</w:t>
      </w:r>
      <w:r>
        <w:t xml:space="preserve"> de tous les aspects du salut, depuis la grâce qui convainc jusqu’à l’acte de recevoir le plein héritage lorsque le Seigneur viendra.</w:t>
      </w:r>
    </w:p>
    <w:p>
      <w:r/>
      <w:r>
        <w:t>Dans les lettres de Paul, la foi est liée à l’amour, de sorte que le grand représentant de la justification par la foi devienne également le représentant bien structuré de l’amour chrétien distinctif. L’affirmation selon laquelle la foi est indispensable au salut n’est qu’une partie de la vérité, car la foi s’exprime par l’amour : « Car, en Jésus-Christ, ni la circoncision ni l’incirconcision n’a de valeur, mais la foi qui agit par l’amour. » (</w:t>
      </w:r>
      <w:hyperlink r:id="rId6739">
        <w:r>
          <w:rPr>
            <w:color w:val="0000EE"/>
            <w:u w:val="single"/>
          </w:rPr>
          <w:t>Galates 5:6</w:t>
        </w:r>
      </w:hyperlink>
      <w:r>
        <w:t>) ; « Si j’ai toute la foi nécessaire pour transporter des montagnes, mais que je n’aie pas l’amour, je ne suis rien » (</w:t>
      </w:r>
      <w:hyperlink r:id="rId8571">
        <w:r>
          <w:rPr>
            <w:color w:val="0000EE"/>
            <w:u w:val="single"/>
          </w:rPr>
          <w:t>1 Corinthiens 13:2</w:t>
        </w:r>
      </w:hyperlink>
      <w:r>
        <w:t xml:space="preserve">). L’amour est à la fois la genèse et l’expression ultime de la foi. Ainsi, même pour Paul, il ne peut y avoir de </w:t>
      </w:r>
      <w:r>
        <w:rPr>
          <w:i/>
        </w:rPr>
        <w:t>séparation</w:t>
      </w:r>
      <w:r>
        <w:t xml:space="preserve"> totale entre la foi et les œuvres. Cet amour dont parle Paul est le fruit essentiel de l’Esprit par lequel la vie de foi est vécue. La foi trouve son expression dans l’amour uniquement en vertu de l’Esprit qui l’habite.</w:t>
      </w:r>
    </w:p>
    <w:p>
      <w:pPr>
        <w:pStyle w:val="Heading4"/>
      </w:pPr>
      <w:r>
        <w:t>Les épitres générales</w:t>
      </w:r>
    </w:p>
    <w:p>
      <w:r/>
      <w:r>
        <w:t>Jacques parle de la foi comme étant complétée par les œuvres (</w:t>
      </w:r>
      <w:hyperlink r:id="rId8572">
        <w:r>
          <w:rPr>
            <w:color w:val="0000EE"/>
            <w:u w:val="single"/>
          </w:rPr>
          <w:t>Jacques 2:22</w:t>
        </w:r>
      </w:hyperlink>
      <w:r>
        <w:t xml:space="preserve">). Il s’oppose au concept de la foi qui se concentre principalement sur le fait de croire en la véracité d’un fait sans agir en conséquence. Jacques, comme Paul, affirme la primauté de la foi, mais il avertit ceux qui en tireraient des conclusions erronées. La foi sans les œuvres n’est pas la foi ; elle est stérile (verset </w:t>
      </w:r>
      <w:hyperlink r:id="rId8573">
        <w:r>
          <w:rPr>
            <w:color w:val="0000EE"/>
            <w:u w:val="single"/>
          </w:rPr>
          <w:t>20</w:t>
        </w:r>
      </w:hyperlink>
      <w:r>
        <w:t>). La dimension pratique de la foi est au centre d’une grande partie de cette épitre.</w:t>
      </w:r>
    </w:p>
    <w:p>
      <w:r/>
      <w:r>
        <w:t>L’auteur de l’épitre aux Hébreux reconnait que la foi a toujours été une caractéristique du peuple de Dieu et de ses dirigeants spécialement appelés. La foi rend le nébuleux et l’incertain substantiel ; elle rend l’invisible évident. Par la foi, le peuple de Dieu a un fondement plus certain pour sa vie et ses actions par rapport à ce que le monde est capable de discerner (</w:t>
      </w:r>
      <w:hyperlink r:id="rId8574">
        <w:r>
          <w:rPr>
            <w:color w:val="0000EE"/>
            <w:u w:val="single"/>
          </w:rPr>
          <w:t>Hébreux 11:1</w:t>
        </w:r>
      </w:hyperlink>
      <w:r>
        <w:t>). La grande nuée de témoins (</w:t>
      </w:r>
      <w:hyperlink r:id="rId8575">
        <w:r>
          <w:rPr>
            <w:color w:val="0000EE"/>
            <w:u w:val="single"/>
          </w:rPr>
          <w:t>12:1</w:t>
        </w:r>
      </w:hyperlink>
      <w:r>
        <w:t>) témoigne par sa foi de la fidélité de Dieu.</w:t>
      </w:r>
    </w:p>
    <w:p>
      <w:r/>
      <w:r>
        <w:t>La foi est ouverte par la Parole de Dieu, s’exprime par le Saint-Esprit qui est donné, et témoigne de la seigneurie de Jésus-Christ.</w:t>
      </w:r>
      <w:r/>
      <w:r/>
    </w:p>
    <w:p>
      <w:r/>
    </w:p>
    <w:p>
      <w:pPr>
        <w:pStyle w:val="Heading2"/>
      </w:pPr>
      <w:r>
        <w:t>La gloire</w:t>
      </w:r>
      <w:r/>
    </w:p>
    <w:p>
      <w:r/>
      <w:r>
        <w:t>La splendeur remarquable de Dieu et ses effets sur l’humanité.</w:t>
      </w:r>
    </w:p>
    <w:p>
      <w:pPr>
        <w:pStyle w:val="Heading3"/>
      </w:pPr>
      <w:r>
        <w:t>La gloire de Dieu</w:t>
      </w:r>
    </w:p>
    <w:p>
      <w:r/>
      <w:r>
        <w:t>On peut décrire la gloire de Dieu de deux manières : (1) comme une catégorie générale ou un attribut, et (2) comme une catégorie spécifique renvoyant à des manifestations historiques particulières de sa présence.</w:t>
      </w:r>
    </w:p>
    <w:p>
      <w:pPr>
        <w:pStyle w:val="Heading4"/>
      </w:pPr>
      <w:r>
        <w:t>Description de la gloire de Dieu en tant qu’attribut</w:t>
      </w:r>
    </w:p>
    <w:p>
      <w:r/>
      <w:r>
        <w:t>La gloire de Dieu renvoie principalement à sa beauté majestueuse et à sa splendeur ; elle renvoie également à l’expression du caractère de Dieu (</w:t>
      </w:r>
      <w:hyperlink r:id="rId8576">
        <w:r>
          <w:rPr>
            <w:color w:val="0000EE"/>
            <w:u w:val="single"/>
          </w:rPr>
          <w:t>Romains 3:23</w:t>
        </w:r>
      </w:hyperlink>
      <w:r>
        <w:t>). Les Saintes Écritures rendent hommage à son nom glorieux (</w:t>
      </w:r>
      <w:hyperlink r:id="rId8577">
        <w:r>
          <w:rPr>
            <w:color w:val="0000EE"/>
            <w:u w:val="single"/>
          </w:rPr>
          <w:t>Néhémie 9:5</w:t>
        </w:r>
      </w:hyperlink>
      <w:r>
        <w:t>), le décrivent comme le Père de gloire (</w:t>
      </w:r>
      <w:hyperlink r:id="rId8578">
        <w:r>
          <w:rPr>
            <w:color w:val="0000EE"/>
            <w:u w:val="single"/>
          </w:rPr>
          <w:t>Éphésiens 1:17</w:t>
        </w:r>
      </w:hyperlink>
      <w:r>
        <w:t>) et le Roi de gloire (</w:t>
      </w:r>
      <w:hyperlink r:id="rId8579">
        <w:r>
          <w:rPr>
            <w:color w:val="0000EE"/>
            <w:u w:val="single"/>
          </w:rPr>
          <w:t>Psaume 24</w:t>
        </w:r>
      </w:hyperlink>
      <w:r>
        <w:t>) ; il est élevé au-dessus des cieux, et sa gloire s’étend sur toute la terre (</w:t>
      </w:r>
      <w:hyperlink r:id="rId8580">
        <w:r>
          <w:rPr>
            <w:color w:val="0000EE"/>
            <w:u w:val="single"/>
          </w:rPr>
          <w:t>Psaume 57:5, 11</w:t>
        </w:r>
      </w:hyperlink>
      <w:r>
        <w:t xml:space="preserve">; </w:t>
      </w:r>
      <w:hyperlink r:id="rId8581">
        <w:r>
          <w:rPr>
            <w:color w:val="0000EE"/>
            <w:u w:val="single"/>
          </w:rPr>
          <w:t>108:5</w:t>
        </w:r>
      </w:hyperlink>
      <w:r>
        <w:t xml:space="preserve">; </w:t>
      </w:r>
      <w:hyperlink r:id="rId8582">
        <w:r>
          <w:rPr>
            <w:color w:val="0000EE"/>
            <w:u w:val="single"/>
          </w:rPr>
          <w:t>113:4</w:t>
        </w:r>
      </w:hyperlink>
      <w:r>
        <w:t>). Il est le Dieu de gloire qui est apparu aux patriarches de l’Ancien Testament (</w:t>
      </w:r>
      <w:hyperlink r:id="rId5795">
        <w:r>
          <w:rPr>
            <w:color w:val="0000EE"/>
            <w:u w:val="single"/>
          </w:rPr>
          <w:t>Actes 7:2</w:t>
        </w:r>
      </w:hyperlink>
      <w:r>
        <w:t>). Il est jaloux de conserver sa gloire et ne veut pas la donner à un autre (</w:t>
      </w:r>
      <w:hyperlink r:id="rId8583">
        <w:r>
          <w:rPr>
            <w:color w:val="0000EE"/>
            <w:u w:val="single"/>
          </w:rPr>
          <w:t>Ésaïe 42:8</w:t>
        </w:r>
      </w:hyperlink>
      <w:r>
        <w:t>) ; il agit pour se glorifier (</w:t>
      </w:r>
      <w:hyperlink r:id="rId8584">
        <w:r>
          <w:rPr>
            <w:color w:val="0000EE"/>
            <w:u w:val="single"/>
          </w:rPr>
          <w:t>Psaume 79:9</w:t>
        </w:r>
      </w:hyperlink>
      <w:r>
        <w:t xml:space="preserve">; </w:t>
      </w:r>
      <w:hyperlink r:id="rId8585">
        <w:r>
          <w:rPr>
            <w:color w:val="0000EE"/>
            <w:u w:val="single"/>
          </w:rPr>
          <w:t>Ésaïe 48:11</w:t>
        </w:r>
      </w:hyperlink>
      <w:r>
        <w:t>).</w:t>
      </w:r>
    </w:p>
    <w:p>
      <w:r/>
      <w:r>
        <w:t>La gloire de Dieu est proclamée par la création (</w:t>
      </w:r>
      <w:hyperlink r:id="rId3939">
        <w:r>
          <w:rPr>
            <w:color w:val="0000EE"/>
            <w:u w:val="single"/>
          </w:rPr>
          <w:t>Psaume 19:1</w:t>
        </w:r>
      </w:hyperlink>
      <w:r>
        <w:t xml:space="preserve">; </w:t>
      </w:r>
      <w:hyperlink r:id="rId8586">
        <w:r>
          <w:rPr>
            <w:color w:val="0000EE"/>
            <w:u w:val="single"/>
          </w:rPr>
          <w:t>97:6</w:t>
        </w:r>
      </w:hyperlink>
      <w:r>
        <w:t xml:space="preserve">; </w:t>
      </w:r>
      <w:hyperlink r:id="rId3481">
        <w:r>
          <w:rPr>
            <w:color w:val="0000EE"/>
            <w:u w:val="single"/>
          </w:rPr>
          <w:t>Romains 1:20</w:t>
        </w:r>
      </w:hyperlink>
      <w:r>
        <w:t>). Elle est révélée par ses actes puissants de salut et de délivrance (</w:t>
      </w:r>
      <w:hyperlink r:id="rId8587">
        <w:r>
          <w:rPr>
            <w:color w:val="0000EE"/>
            <w:u w:val="single"/>
          </w:rPr>
          <w:t>1 Chroniques 16:24</w:t>
        </w:r>
      </w:hyperlink>
      <w:r>
        <w:t xml:space="preserve">; </w:t>
      </w:r>
      <w:hyperlink r:id="rId8588">
        <w:r>
          <w:rPr>
            <w:color w:val="0000EE"/>
            <w:u w:val="single"/>
          </w:rPr>
          <w:t>Psaume 72:18–19</w:t>
        </w:r>
      </w:hyperlink>
      <w:r>
        <w:t xml:space="preserve">; </w:t>
      </w:r>
      <w:hyperlink r:id="rId8589">
        <w:r>
          <w:rPr>
            <w:color w:val="0000EE"/>
            <w:u w:val="single"/>
          </w:rPr>
          <w:t>96:3</w:t>
        </w:r>
      </w:hyperlink>
      <w:r>
        <w:t xml:space="preserve">; </w:t>
      </w:r>
      <w:hyperlink r:id="rId8590">
        <w:r>
          <w:rPr>
            <w:color w:val="0000EE"/>
            <w:u w:val="single"/>
          </w:rPr>
          <w:t>145:10–12</w:t>
        </w:r>
      </w:hyperlink>
      <w:r>
        <w:t xml:space="preserve">; </w:t>
      </w:r>
      <w:hyperlink r:id="rId8591">
        <w:r>
          <w:rPr>
            <w:color w:val="0000EE"/>
            <w:u w:val="single"/>
          </w:rPr>
          <w:t>Jean 11:4, 40</w:t>
        </w:r>
      </w:hyperlink>
      <w:r>
        <w:t>). Sa gloire est le thème de la louange (</w:t>
      </w:r>
      <w:hyperlink r:id="rId8592">
        <w:r>
          <w:rPr>
            <w:color w:val="0000EE"/>
            <w:u w:val="single"/>
          </w:rPr>
          <w:t>1 Chroniques 16:24–29</w:t>
        </w:r>
      </w:hyperlink>
      <w:r>
        <w:t xml:space="preserve">; </w:t>
      </w:r>
      <w:hyperlink r:id="rId8593">
        <w:r>
          <w:rPr>
            <w:color w:val="0000EE"/>
            <w:u w:val="single"/>
          </w:rPr>
          <w:t>Psaume 29:1–2, 9</w:t>
        </w:r>
      </w:hyperlink>
      <w:r>
        <w:t xml:space="preserve">; </w:t>
      </w:r>
      <w:hyperlink r:id="rId8594">
        <w:r>
          <w:rPr>
            <w:color w:val="0000EE"/>
            <w:u w:val="single"/>
          </w:rPr>
          <w:t>66:1–2</w:t>
        </w:r>
      </w:hyperlink>
      <w:r>
        <w:t xml:space="preserve">; </w:t>
      </w:r>
      <w:hyperlink r:id="rId8595">
        <w:r>
          <w:rPr>
            <w:color w:val="0000EE"/>
            <w:u w:val="single"/>
          </w:rPr>
          <w:t>96:7–8</w:t>
        </w:r>
      </w:hyperlink>
      <w:r>
        <w:t xml:space="preserve">; </w:t>
      </w:r>
      <w:hyperlink r:id="rId8596">
        <w:r>
          <w:rPr>
            <w:color w:val="0000EE"/>
            <w:u w:val="single"/>
          </w:rPr>
          <w:t>115:1</w:t>
        </w:r>
      </w:hyperlink>
      <w:r>
        <w:t xml:space="preserve">; </w:t>
      </w:r>
      <w:hyperlink r:id="rId8597">
        <w:r>
          <w:rPr>
            <w:color w:val="0000EE"/>
            <w:u w:val="single"/>
          </w:rPr>
          <w:t>Ésaïe 42:12</w:t>
        </w:r>
      </w:hyperlink>
      <w:r>
        <w:t xml:space="preserve">; </w:t>
      </w:r>
      <w:hyperlink r:id="rId8598">
        <w:r>
          <w:rPr>
            <w:color w:val="0000EE"/>
            <w:u w:val="single"/>
          </w:rPr>
          <w:t>Romains 4:20</w:t>
        </w:r>
      </w:hyperlink>
      <w:r>
        <w:t xml:space="preserve">; </w:t>
      </w:r>
      <w:hyperlink r:id="rId1336">
        <w:r>
          <w:rPr>
            <w:color w:val="0000EE"/>
            <w:u w:val="single"/>
          </w:rPr>
          <w:t>Philippiens 2:9–11</w:t>
        </w:r>
      </w:hyperlink>
      <w:r>
        <w:t>).</w:t>
      </w:r>
    </w:p>
    <w:p>
      <w:pPr>
        <w:pStyle w:val="Heading4"/>
      </w:pPr>
      <w:r>
        <w:t>Description de la gloire de Dieu en tant que sa présence</w:t>
      </w:r>
    </w:p>
    <w:p>
      <w:r/>
      <w:r>
        <w:t>Les références à la gloire de l’Éternel renvoient souvent à des manifestations historiques particulières de sa présence ; des images de lumière et de feu sont fréquemment associées à ces événements. L’exemple le plus marquant est l’événement connu dans la littérature rabbinique sous le nom de gloire shekinah, expression qui signifie « la gloire demeure ». Elle fait principalement référence à la présence de Dieu dans la colonne de nuée et de feu de l’Ancien Testament.</w:t>
      </w:r>
    </w:p>
    <w:p>
      <w:r/>
      <w:r>
        <w:t xml:space="preserve">La première référence explicite à la nuée de gloire se trouve en </w:t>
      </w:r>
      <w:hyperlink r:id="rId2871">
        <w:r>
          <w:rPr>
            <w:color w:val="0000EE"/>
            <w:u w:val="single"/>
          </w:rPr>
          <w:t>Exode 13:21–22</w:t>
        </w:r>
      </w:hyperlink>
      <w:r>
        <w:t>. Au moment de l’exode, la gloire de Dieu est apparue dans la colonne de nuée et de feu pour conduire le peuple à travers la mer et le désert (</w:t>
      </w:r>
      <w:hyperlink r:id="rId8599">
        <w:r>
          <w:rPr>
            <w:color w:val="0000EE"/>
            <w:u w:val="single"/>
          </w:rPr>
          <w:t>Néhémie 9:11–12, 19</w:t>
        </w:r>
      </w:hyperlink>
      <w:r>
        <w:t>). Au Sinaï, alors qu’Israël campait autour de la montagne, la gloire de Dieu est apparue dans la nuée et le feu pour parler à Moïse sous les yeux du peuple (</w:t>
      </w:r>
      <w:hyperlink r:id="rId8600">
        <w:r>
          <w:rPr>
            <w:color w:val="0000EE"/>
            <w:u w:val="single"/>
          </w:rPr>
          <w:t>Exode 19:9, 16–18</w:t>
        </w:r>
      </w:hyperlink>
      <w:r>
        <w:t xml:space="preserve">; </w:t>
      </w:r>
      <w:hyperlink r:id="rId8601">
        <w:r>
          <w:rPr>
            <w:color w:val="0000EE"/>
            <w:u w:val="single"/>
          </w:rPr>
          <w:t>24:15–18</w:t>
        </w:r>
      </w:hyperlink>
      <w:r>
        <w:t xml:space="preserve">; </w:t>
      </w:r>
      <w:hyperlink r:id="rId8602">
        <w:r>
          <w:rPr>
            <w:color w:val="0000EE"/>
            <w:u w:val="single"/>
          </w:rPr>
          <w:t>Deutéronome 5:5, 22–24</w:t>
        </w:r>
      </w:hyperlink>
      <w:r>
        <w:t>). Lorsque Moïse a eu un aperçu de cette gloire non dissimulée par la nuée et le feu, son visage est devenu radieux et devait être voilé à cause de la peur du peuple (</w:t>
      </w:r>
      <w:hyperlink r:id="rId8603">
        <w:r>
          <w:rPr>
            <w:color w:val="0000EE"/>
            <w:u w:val="single"/>
          </w:rPr>
          <w:t>Exode 33:18–23</w:t>
        </w:r>
      </w:hyperlink>
      <w:r>
        <w:t xml:space="preserve">; </w:t>
      </w:r>
      <w:hyperlink r:id="rId3143">
        <w:r>
          <w:rPr>
            <w:color w:val="0000EE"/>
            <w:u w:val="single"/>
          </w:rPr>
          <w:t>34:29–35</w:t>
        </w:r>
      </w:hyperlink>
      <w:r>
        <w:t xml:space="preserve">; </w:t>
      </w:r>
      <w:hyperlink r:id="rId8604">
        <w:r>
          <w:rPr>
            <w:color w:val="0000EE"/>
            <w:u w:val="single"/>
          </w:rPr>
          <w:t>2 Corinthiens 3:7–18</w:t>
        </w:r>
      </w:hyperlink>
      <w:r>
        <w:t>).</w:t>
      </w:r>
    </w:p>
    <w:p>
      <w:r/>
      <w:r>
        <w:t>L’image du peuple d’Israël qui campe autour de la gloire de Dieu sur le mont Sinaï montre que Dieu habite au milieu de son peuple. Une fois le tabernacle achevé, le peuple s’est mis en route, la nuée de gloire de la présence de Dieu est demeurée au-dessus d’eux tout au long de leur voyage (</w:t>
      </w:r>
      <w:hyperlink r:id="rId2867">
        <w:r>
          <w:rPr>
            <w:color w:val="0000EE"/>
            <w:u w:val="single"/>
          </w:rPr>
          <w:t>Exode 40:34–38</w:t>
        </w:r>
      </w:hyperlink>
      <w:r>
        <w:t xml:space="preserve">; </w:t>
      </w:r>
      <w:hyperlink r:id="rId6887">
        <w:r>
          <w:rPr>
            <w:color w:val="0000EE"/>
            <w:u w:val="single"/>
          </w:rPr>
          <w:t>Nombres 10:11–12</w:t>
        </w:r>
      </w:hyperlink>
      <w:r>
        <w:t>). Lors du campement, les tribus d’Israël encerclaient le tabernacle (</w:t>
      </w:r>
      <w:hyperlink r:id="rId8605">
        <w:r>
          <w:rPr>
            <w:color w:val="0000EE"/>
            <w:u w:val="single"/>
          </w:rPr>
          <w:t>Nombres 1:50–2:2</w:t>
        </w:r>
      </w:hyperlink>
      <w:r>
        <w:t>), et la nuée leur rappelait la présence de Dieu au milieu d’eux. Plus tard, la même gloire a rempli le nouveau temple que Salomon a construit (</w:t>
      </w:r>
      <w:hyperlink r:id="rId8606">
        <w:r>
          <w:rPr>
            <w:color w:val="0000EE"/>
            <w:u w:val="single"/>
          </w:rPr>
          <w:t>2 Chroniques 5:13–6:1</w:t>
        </w:r>
      </w:hyperlink>
      <w:r>
        <w:t xml:space="preserve">; </w:t>
      </w:r>
      <w:hyperlink r:id="rId8607">
        <w:r>
          <w:rPr>
            <w:color w:val="0000EE"/>
            <w:u w:val="single"/>
          </w:rPr>
          <w:t>7:1–3</w:t>
        </w:r>
      </w:hyperlink>
      <w:r>
        <w:t>). Les psalmistes ont célébré Jérusalem et le temple comme le lieu où résidait la gloire de Dieu (</w:t>
      </w:r>
      <w:hyperlink r:id="rId8608">
        <w:r>
          <w:rPr>
            <w:color w:val="0000EE"/>
            <w:u w:val="single"/>
          </w:rPr>
          <w:t>Psaume 26:8</w:t>
        </w:r>
      </w:hyperlink>
      <w:r>
        <w:t xml:space="preserve">; </w:t>
      </w:r>
      <w:hyperlink r:id="rId8609">
        <w:r>
          <w:rPr>
            <w:color w:val="0000EE"/>
            <w:u w:val="single"/>
          </w:rPr>
          <w:t>63:2</w:t>
        </w:r>
      </w:hyperlink>
      <w:r>
        <w:t xml:space="preserve">; </w:t>
      </w:r>
      <w:hyperlink r:id="rId8610">
        <w:r>
          <w:rPr>
            <w:color w:val="0000EE"/>
            <w:u w:val="single"/>
          </w:rPr>
          <w:t>85:9</w:t>
        </w:r>
      </w:hyperlink>
      <w:r>
        <w:t>) ; Dieu était au milieu d’eux.</w:t>
      </w:r>
    </w:p>
    <w:p>
      <w:r/>
      <w:r>
        <w:t>Plus tard dans l’histoire d’Israël, les psalmistes ont nié la présence glorieuse de Dieu (</w:t>
      </w:r>
      <w:hyperlink r:id="rId8611">
        <w:r>
          <w:rPr>
            <w:color w:val="0000EE"/>
            <w:u w:val="single"/>
          </w:rPr>
          <w:t>Ésaïe 3:8</w:t>
        </w:r>
      </w:hyperlink>
      <w:r>
        <w:t>) et ont échangé la gloire de l’Éternel contre des idoles faites de main d’homme (</w:t>
      </w:r>
      <w:hyperlink r:id="rId8612">
        <w:r>
          <w:rPr>
            <w:color w:val="0000EE"/>
            <w:u w:val="single"/>
          </w:rPr>
          <w:t>Psaume 106:20</w:t>
        </w:r>
      </w:hyperlink>
      <w:r>
        <w:t xml:space="preserve">; </w:t>
      </w:r>
      <w:hyperlink r:id="rId8613">
        <w:r>
          <w:rPr>
            <w:color w:val="0000EE"/>
            <w:u w:val="single"/>
          </w:rPr>
          <w:t>Jérémie 2:10–11</w:t>
        </w:r>
      </w:hyperlink>
      <w:r>
        <w:t xml:space="preserve">; cf. </w:t>
      </w:r>
      <w:hyperlink r:id="rId8614">
        <w:r>
          <w:rPr>
            <w:color w:val="0000EE"/>
            <w:u w:val="single"/>
          </w:rPr>
          <w:t>Romains 1:23</w:t>
        </w:r>
      </w:hyperlink>
      <w:r>
        <w:t>). À cause de leur désobéissance, le jugement s’est abattu sur Jérusalem ; les sanctions de la violation de l’alliance ont été appliquées. Dieu ne serait plus le Dieu d’un peuple désobéissant (</w:t>
      </w:r>
      <w:hyperlink r:id="rId8615">
        <w:r>
          <w:rPr>
            <w:color w:val="0000EE"/>
            <w:u w:val="single"/>
          </w:rPr>
          <w:t>Osée 1:9</w:t>
        </w:r>
      </w:hyperlink>
      <w:r>
        <w:t>). La présence de Dieu dans la nuée de gloire s’est retirée du temple (</w:t>
      </w:r>
      <w:hyperlink r:id="rId8616">
        <w:r>
          <w:rPr>
            <w:color w:val="0000EE"/>
            <w:u w:val="single"/>
          </w:rPr>
          <w:t>Ézéchiel 10:4, 18–19</w:t>
        </w:r>
      </w:hyperlink>
      <w:r>
        <w:t xml:space="preserve">; </w:t>
      </w:r>
      <w:hyperlink r:id="rId8617">
        <w:r>
          <w:rPr>
            <w:color w:val="0000EE"/>
            <w:u w:val="single"/>
          </w:rPr>
          <w:t>11:22</w:t>
        </w:r>
      </w:hyperlink>
      <w:r>
        <w:t>), et Israël est parti en exil (</w:t>
      </w:r>
      <w:hyperlink r:id="rId8618">
        <w:r>
          <w:rPr>
            <w:color w:val="0000EE"/>
            <w:u w:val="single"/>
          </w:rPr>
          <w:t>12:1–15</w:t>
        </w:r>
      </w:hyperlink>
      <w:r>
        <w:t>).</w:t>
      </w:r>
    </w:p>
    <w:p>
      <w:r/>
      <w:r>
        <w:t>Pourtant, sur la base de ce jugement, Dieu a décidé d’amener un reste du peuple d’Israël pour reconstruire la ville et le temple. Dans ses visions, Ézéchiel a vu la gloire de l’Éternel habiter à nouveau dans le temple (</w:t>
      </w:r>
      <w:hyperlink r:id="rId8619">
        <w:r>
          <w:rPr>
            <w:color w:val="0000EE"/>
            <w:u w:val="single"/>
          </w:rPr>
          <w:t>Ézéchiel 43:2–9</w:t>
        </w:r>
      </w:hyperlink>
      <w:r>
        <w:t>), un temps où la gloire reviendrait vers un peuple purifié et habiterait parmi lui pour toujours. À la fin de l’exil et la construction du second temple étant en cours, Aggée et Zacharie ont encouragé le peuple en lui promettant le retour de la gloire de Dieu pour remplir le temple comme dans le premier temple et pour « être la gloire au milieu d’eux » (</w:t>
      </w:r>
      <w:hyperlink r:id="rId8620">
        <w:r>
          <w:rPr>
            <w:color w:val="0000EE"/>
            <w:u w:val="single"/>
          </w:rPr>
          <w:t>Aggée 2:3–9</w:t>
        </w:r>
      </w:hyperlink>
      <w:r>
        <w:t xml:space="preserve">; </w:t>
      </w:r>
      <w:hyperlink r:id="rId8621">
        <w:r>
          <w:rPr>
            <w:color w:val="0000EE"/>
            <w:u w:val="single"/>
          </w:rPr>
          <w:t>Zacharie 2:5, 10–11</w:t>
        </w:r>
      </w:hyperlink>
      <w:r>
        <w:t>).</w:t>
      </w:r>
    </w:p>
    <w:p>
      <w:pPr>
        <w:pStyle w:val="Heading3"/>
      </w:pPr>
      <w:r>
        <w:t>La gloire de Dieu en Jésus-Christ</w:t>
      </w:r>
    </w:p>
    <w:p>
      <w:r/>
      <w:r>
        <w:t xml:space="preserve">Nous ne savons pas si la gloire shekinah est revenue dans le second temple. Toutefois, nous savons que la gloire de Dieu s’est à nouveau manifestée sur terre en la personne de Jésus-Christ. </w:t>
      </w:r>
      <w:hyperlink r:id="rId1968">
        <w:r>
          <w:rPr>
            <w:color w:val="0000EE"/>
            <w:u w:val="single"/>
          </w:rPr>
          <w:t>Jean 1:14</w:t>
        </w:r>
      </w:hyperlink>
      <w:r>
        <w:t xml:space="preserve"> déclare : « La parole a été faite chair, </w:t>
      </w:r>
      <w:r>
        <w:rPr>
          <w:i/>
        </w:rPr>
        <w:t>et elle a habité</w:t>
      </w:r>
      <w:r>
        <w:t xml:space="preserve"> parmi nous, et nous avons contemplé sa </w:t>
      </w:r>
      <w:r>
        <w:rPr>
          <w:i/>
        </w:rPr>
        <w:t>gloire, une gloire</w:t>
      </w:r>
      <w:r>
        <w:t xml:space="preserve"> comme la gloire du Fils unique » (caractères italiques ajoutés). Par essence, Jésus était le nouveau tabernacle de la gloire de Dieu. En Jésus, Dieu a habité parmi les hommes. Puisque Christ était (et est) l’image même de Dieu, voir la lumière de son visage revenait à connaitre la gloire de Dieu (</w:t>
      </w:r>
      <w:hyperlink r:id="rId4945">
        <w:r>
          <w:rPr>
            <w:color w:val="0000EE"/>
            <w:u w:val="single"/>
          </w:rPr>
          <w:t>2 Corinthiens 4:4–6</w:t>
        </w:r>
      </w:hyperlink>
      <w:r>
        <w:t>). Voir Jésus, c’est voir « la lumière des nations et la gloire d’Israël » (</w:t>
      </w:r>
      <w:hyperlink r:id="rId8622">
        <w:r>
          <w:rPr>
            <w:color w:val="0000EE"/>
            <w:u w:val="single"/>
          </w:rPr>
          <w:t>Luc 2, 30–32</w:t>
        </w:r>
      </w:hyperlink>
      <w:r>
        <w:t>). Les disciples qui ont assisté à la transfiguration (</w:t>
      </w:r>
      <w:hyperlink r:id="rId8623">
        <w:r>
          <w:rPr>
            <w:color w:val="0000EE"/>
            <w:u w:val="single"/>
          </w:rPr>
          <w:t>Matthieu 17:1–8</w:t>
        </w:r>
      </w:hyperlink>
      <w:r>
        <w:t>) ont vu sa gloire d’une manière merveilleuse (</w:t>
      </w:r>
      <w:hyperlink r:id="rId8624">
        <w:r>
          <w:rPr>
            <w:color w:val="0000EE"/>
            <w:u w:val="single"/>
          </w:rPr>
          <w:t>2 Pierre 1:16–17</w:t>
        </w:r>
      </w:hyperlink>
      <w:r>
        <w:t xml:space="preserve">), car cette gloire éclatait hors de son corps humain. Cet éclat de gloire préfigurait la glorification que Christ a connue lors de sa résurrection et de son ascension (voir </w:t>
      </w:r>
      <w:hyperlink r:id="rId5174">
        <w:r>
          <w:rPr>
            <w:color w:val="0000EE"/>
            <w:u w:val="single"/>
          </w:rPr>
          <w:t>Jean 17:5</w:t>
        </w:r>
      </w:hyperlink>
      <w:r>
        <w:t xml:space="preserve">; </w:t>
      </w:r>
      <w:hyperlink r:id="rId5704">
        <w:r>
          <w:rPr>
            <w:color w:val="0000EE"/>
            <w:u w:val="single"/>
          </w:rPr>
          <w:t>Philippiens 2:5–11</w:t>
        </w:r>
      </w:hyperlink>
      <w:r>
        <w:t>).</w:t>
      </w:r>
    </w:p>
    <w:p>
      <w:r/>
      <w:r>
        <w:t>Parce que Jésus s’est humilié et a été obéissant jusqu’à la mort, Dieu l’a élevé (</w:t>
      </w:r>
      <w:hyperlink r:id="rId5184">
        <w:r>
          <w:rPr>
            <w:color w:val="0000EE"/>
            <w:u w:val="single"/>
          </w:rPr>
          <w:t>Philippiens 2:8–9</w:t>
        </w:r>
      </w:hyperlink>
      <w:r>
        <w:t>). Après avoir souffert la mort sur la croix, il est entré dans sa gloire (</w:t>
      </w:r>
      <w:hyperlink r:id="rId5173">
        <w:r>
          <w:rPr>
            <w:color w:val="0000EE"/>
            <w:u w:val="single"/>
          </w:rPr>
          <w:t>Luc 24:26</w:t>
        </w:r>
      </w:hyperlink>
      <w:r>
        <w:t>) avec un corps nouveau et glorieux (</w:t>
      </w:r>
      <w:hyperlink r:id="rId8625">
        <w:r>
          <w:rPr>
            <w:color w:val="0000EE"/>
            <w:u w:val="single"/>
          </w:rPr>
          <w:t>1 Corinthiens 15:39–43</w:t>
        </w:r>
      </w:hyperlink>
      <w:r>
        <w:t xml:space="preserve">; </w:t>
      </w:r>
      <w:hyperlink r:id="rId6674">
        <w:r>
          <w:rPr>
            <w:color w:val="0000EE"/>
            <w:u w:val="single"/>
          </w:rPr>
          <w:t>Philippiens 3:21</w:t>
        </w:r>
      </w:hyperlink>
      <w:r>
        <w:t>). Le Christ glorifié est apparu à ses serviteurs. Étienne a vu sa gloire (</w:t>
      </w:r>
      <w:hyperlink r:id="rId8626">
        <w:r>
          <w:rPr>
            <w:color w:val="0000EE"/>
            <w:u w:val="single"/>
          </w:rPr>
          <w:t>Actes 7:55</w:t>
        </w:r>
      </w:hyperlink>
      <w:r>
        <w:t>), et Saul a été aveuglé par sa splendeur (</w:t>
      </w:r>
      <w:hyperlink r:id="rId8627">
        <w:r>
          <w:rPr>
            <w:color w:val="0000EE"/>
            <w:u w:val="single"/>
          </w:rPr>
          <w:t>9:3</w:t>
        </w:r>
      </w:hyperlink>
      <w:r>
        <w:t>). Il est prévu que ce même Christ revienne dans la gloire. Il s’assiéra sur son trône pour juger (</w:t>
      </w:r>
      <w:hyperlink r:id="rId5696">
        <w:r>
          <w:rPr>
            <w:color w:val="0000EE"/>
            <w:u w:val="single"/>
          </w:rPr>
          <w:t>Matthieu 25:31</w:t>
        </w:r>
      </w:hyperlink>
      <w:r>
        <w:t>) ; le mal sera puni (</w:t>
      </w:r>
      <w:hyperlink r:id="rId5694">
        <w:r>
          <w:rPr>
            <w:color w:val="0000EE"/>
            <w:u w:val="single"/>
          </w:rPr>
          <w:t>16:27</w:t>
        </w:r>
      </w:hyperlink>
      <w:r>
        <w:t xml:space="preserve">; </w:t>
      </w:r>
      <w:hyperlink r:id="rId2891">
        <w:r>
          <w:rPr>
            <w:color w:val="0000EE"/>
            <w:u w:val="single"/>
          </w:rPr>
          <w:t>24:30</w:t>
        </w:r>
      </w:hyperlink>
      <w:r>
        <w:t xml:space="preserve">; </w:t>
      </w:r>
      <w:hyperlink r:id="rId2892">
        <w:r>
          <w:rPr>
            <w:color w:val="0000EE"/>
            <w:u w:val="single"/>
          </w:rPr>
          <w:t>Marc 13:26</w:t>
        </w:r>
      </w:hyperlink>
      <w:r>
        <w:t xml:space="preserve">; </w:t>
      </w:r>
      <w:hyperlink r:id="rId2893">
        <w:r>
          <w:rPr>
            <w:color w:val="0000EE"/>
            <w:u w:val="single"/>
          </w:rPr>
          <w:t>Luc 21:27</w:t>
        </w:r>
      </w:hyperlink>
      <w:r>
        <w:t xml:space="preserve">; </w:t>
      </w:r>
      <w:hyperlink r:id="rId8628">
        <w:r>
          <w:rPr>
            <w:color w:val="0000EE"/>
            <w:u w:val="single"/>
          </w:rPr>
          <w:t>2 Thessaloniciens 2:9–10</w:t>
        </w:r>
      </w:hyperlink>
      <w:r>
        <w:t>). Ceux qui ont proclamé Christ devant les hommes n’ont pas à craindre son apparition glorieuse (</w:t>
      </w:r>
      <w:hyperlink r:id="rId377">
        <w:r>
          <w:rPr>
            <w:color w:val="0000EE"/>
            <w:u w:val="single"/>
          </w:rPr>
          <w:t>Marc 8:38</w:t>
        </w:r>
      </w:hyperlink>
      <w:r>
        <w:t>).</w:t>
      </w:r>
    </w:p>
    <w:p>
      <w:r/>
      <w:r>
        <w:t>À la fin, la terre entière sera remplie de sa gloire (</w:t>
      </w:r>
      <w:hyperlink r:id="rId8629">
        <w:r>
          <w:rPr>
            <w:color w:val="0000EE"/>
            <w:u w:val="single"/>
          </w:rPr>
          <w:t>Psaume 72:19</w:t>
        </w:r>
      </w:hyperlink>
      <w:r>
        <w:t xml:space="preserve">; </w:t>
      </w:r>
      <w:hyperlink r:id="rId6240">
        <w:r>
          <w:rPr>
            <w:color w:val="0000EE"/>
            <w:u w:val="single"/>
          </w:rPr>
          <w:t>Ésaïe 6:3</w:t>
        </w:r>
      </w:hyperlink>
      <w:r>
        <w:t xml:space="preserve">; </w:t>
      </w:r>
      <w:hyperlink r:id="rId8630">
        <w:r>
          <w:rPr>
            <w:color w:val="0000EE"/>
            <w:u w:val="single"/>
          </w:rPr>
          <w:t>Hébreux 2:14</w:t>
        </w:r>
      </w:hyperlink>
      <w:r>
        <w:t>). Il n’existera plus de nuage de gloire au-dessus d’un temple pour lui donner l’aspect d’un lieu saint, car il y aura un nouveau ciel et une nouvelle terre (</w:t>
      </w:r>
      <w:hyperlink r:id="rId7702">
        <w:r>
          <w:rPr>
            <w:color w:val="0000EE"/>
            <w:u w:val="single"/>
          </w:rPr>
          <w:t>Apocalypse 21:1</w:t>
        </w:r>
      </w:hyperlink>
      <w:r>
        <w:t xml:space="preserve">). La ville sainte aura l’éclat de la gloire de Dieu (versets </w:t>
      </w:r>
      <w:hyperlink r:id="rId8631">
        <w:r>
          <w:rPr>
            <w:color w:val="0000EE"/>
            <w:u w:val="single"/>
          </w:rPr>
          <w:t>10–11</w:t>
        </w:r>
      </w:hyperlink>
      <w:r>
        <w:t>).</w:t>
      </w:r>
    </w:p>
    <w:p>
      <w:pPr>
        <w:pStyle w:val="Heading3"/>
      </w:pPr>
      <w:r>
        <w:t>La gloire et le peuple de Dieu</w:t>
      </w:r>
    </w:p>
    <w:p>
      <w:r/>
      <w:r>
        <w:t xml:space="preserve">Le peuple de Dieu a expérimenté la gloire de la présence de Dieu. Le nuage de gloire de l’Ancien Testament était </w:t>
      </w:r>
      <w:r>
        <w:rPr>
          <w:i/>
        </w:rPr>
        <w:t>leur</w:t>
      </w:r>
      <w:r>
        <w:t xml:space="preserve"> gloire (</w:t>
      </w:r>
      <w:hyperlink r:id="rId8612">
        <w:r>
          <w:rPr>
            <w:color w:val="0000EE"/>
            <w:u w:val="single"/>
          </w:rPr>
          <w:t>Psaume 106:20</w:t>
        </w:r>
      </w:hyperlink>
      <w:r>
        <w:t xml:space="preserve">; </w:t>
      </w:r>
      <w:hyperlink r:id="rId4082">
        <w:r>
          <w:rPr>
            <w:color w:val="0000EE"/>
            <w:u w:val="single"/>
          </w:rPr>
          <w:t>Jérémie 2:11</w:t>
        </w:r>
      </w:hyperlink>
      <w:r>
        <w:t>). Christ est venu comme l’incarnation de la gloire de Dieu ; Dieu était au milieu de son peuple. Lorsque Christ est monté au ciel, il a envoyé son Esprit aux chrétiens (</w:t>
      </w:r>
      <w:hyperlink r:id="rId8632">
        <w:r>
          <w:rPr>
            <w:color w:val="0000EE"/>
            <w:u w:val="single"/>
          </w:rPr>
          <w:t>Jean 16:7–14</w:t>
        </w:r>
      </w:hyperlink>
      <w:r>
        <w:t>) afin que Dieu puisse vivre au milieu de son peuple. L’Esprit de gloire repose sur ceux qui souffrent pour le nom de Christ (</w:t>
      </w:r>
      <w:hyperlink r:id="rId8633">
        <w:r>
          <w:rPr>
            <w:color w:val="0000EE"/>
            <w:u w:val="single"/>
          </w:rPr>
          <w:t>1 Pierre 4:14</w:t>
        </w:r>
      </w:hyperlink>
      <w:r>
        <w:t>) ; cet Esprit est la garantie de l’héritage glorieux des saints (</w:t>
      </w:r>
      <w:hyperlink r:id="rId8634">
        <w:r>
          <w:rPr>
            <w:color w:val="0000EE"/>
            <w:u w:val="single"/>
          </w:rPr>
          <w:t>Romains 8:16–17</w:t>
        </w:r>
      </w:hyperlink>
      <w:r>
        <w:t>).</w:t>
      </w:r>
    </w:p>
    <w:p>
      <w:r/>
      <w:r>
        <w:t>Dieu a donné à son peuple l’espérance de la gloire (</w:t>
      </w:r>
      <w:hyperlink r:id="rId8635">
        <w:r>
          <w:rPr>
            <w:color w:val="0000EE"/>
            <w:u w:val="single"/>
          </w:rPr>
          <w:t>Romains 5:2</w:t>
        </w:r>
      </w:hyperlink>
      <w:r>
        <w:t xml:space="preserve">; </w:t>
      </w:r>
      <w:hyperlink r:id="rId6674">
        <w:r>
          <w:rPr>
            <w:color w:val="0000EE"/>
            <w:u w:val="single"/>
          </w:rPr>
          <w:t>Philippiens 3:21</w:t>
        </w:r>
      </w:hyperlink>
      <w:r>
        <w:t xml:space="preserve">; </w:t>
      </w:r>
      <w:hyperlink r:id="rId8636">
        <w:r>
          <w:rPr>
            <w:color w:val="0000EE"/>
            <w:u w:val="single"/>
          </w:rPr>
          <w:t>Colossiens 1:27</w:t>
        </w:r>
      </w:hyperlink>
      <w:r>
        <w:t xml:space="preserve">; </w:t>
      </w:r>
      <w:hyperlink r:id="rId8637">
        <w:r>
          <w:rPr>
            <w:color w:val="0000EE"/>
            <w:u w:val="single"/>
          </w:rPr>
          <w:t>Jude 1:24–25</w:t>
        </w:r>
      </w:hyperlink>
      <w:r>
        <w:t>). Ceux qu’il a choisis, il les glorifiera aussi (</w:t>
      </w:r>
      <w:hyperlink r:id="rId4431">
        <w:r>
          <w:rPr>
            <w:color w:val="0000EE"/>
            <w:u w:val="single"/>
          </w:rPr>
          <w:t>Romains 8:30</w:t>
        </w:r>
      </w:hyperlink>
      <w:r>
        <w:t xml:space="preserve">; </w:t>
      </w:r>
      <w:hyperlink r:id="rId8638">
        <w:r>
          <w:rPr>
            <w:color w:val="0000EE"/>
            <w:u w:val="single"/>
          </w:rPr>
          <w:t>9:23</w:t>
        </w:r>
      </w:hyperlink>
      <w:r>
        <w:t>) ; ils participeront à la gloire de Christ (</w:t>
      </w:r>
      <w:hyperlink r:id="rId8639">
        <w:r>
          <w:rPr>
            <w:color w:val="0000EE"/>
            <w:u w:val="single"/>
          </w:rPr>
          <w:t>Colossiens 3:4</w:t>
        </w:r>
      </w:hyperlink>
      <w:r>
        <w:t xml:space="preserve">; </w:t>
      </w:r>
      <w:hyperlink r:id="rId8640">
        <w:r>
          <w:rPr>
            <w:color w:val="0000EE"/>
            <w:u w:val="single"/>
          </w:rPr>
          <w:t>2 Thessaloniciens 2:14</w:t>
        </w:r>
      </w:hyperlink>
      <w:r>
        <w:t xml:space="preserve">; </w:t>
      </w:r>
      <w:hyperlink r:id="rId8641">
        <w:r>
          <w:rPr>
            <w:color w:val="0000EE"/>
            <w:u w:val="single"/>
          </w:rPr>
          <w:t>2 Timothée 2:10</w:t>
        </w:r>
      </w:hyperlink>
      <w:r>
        <w:t>). Les souffrances du temps présent ne sont pas comparables à la gloire qui sera révélée (</w:t>
      </w:r>
      <w:hyperlink r:id="rId3773">
        <w:r>
          <w:rPr>
            <w:color w:val="0000EE"/>
            <w:u w:val="single"/>
          </w:rPr>
          <w:t>Romains 8:18</w:t>
        </w:r>
      </w:hyperlink>
      <w:r>
        <w:t xml:space="preserve">; </w:t>
      </w:r>
      <w:hyperlink r:id="rId8642">
        <w:r>
          <w:rPr>
            <w:color w:val="0000EE"/>
            <w:u w:val="single"/>
          </w:rPr>
          <w:t>2 Corinthiens 4:17</w:t>
        </w:r>
      </w:hyperlink>
      <w:r>
        <w:t>). Toute la création aspire à voir la liberté glorieuse des enfants de Dieu (</w:t>
      </w:r>
      <w:hyperlink r:id="rId8643">
        <w:r>
          <w:rPr>
            <w:color w:val="0000EE"/>
            <w:u w:val="single"/>
          </w:rPr>
          <w:t>Romains 8:21</w:t>
        </w:r>
      </w:hyperlink>
      <w:r>
        <w:t>). Cette espérance de gloire est si certaine que Pierre peut parler d’y participer dès maintenant (</w:t>
      </w:r>
      <w:hyperlink r:id="rId1971">
        <w:r>
          <w:rPr>
            <w:color w:val="0000EE"/>
            <w:u w:val="single"/>
          </w:rPr>
          <w:t>1 Pierre 5:1</w:t>
        </w:r>
      </w:hyperlink>
      <w:r>
        <w:t xml:space="preserve">) tout en attendant la gloire éternelle (verset </w:t>
      </w:r>
      <w:hyperlink r:id="rId8644">
        <w:r>
          <w:rPr>
            <w:color w:val="0000EE"/>
            <w:u w:val="single"/>
          </w:rPr>
          <w:t>10</w:t>
        </w:r>
      </w:hyperlink>
      <w:r>
        <w:t>). Participants à la gloire de Christ, les membres de l’Église sont appelés à glorifier Dieu. En raison de l’espérance qui est en elle, elle se purifie (</w:t>
      </w:r>
      <w:hyperlink r:id="rId8645">
        <w:r>
          <w:rPr>
            <w:color w:val="0000EE"/>
            <w:u w:val="single"/>
          </w:rPr>
          <w:t>1 Jean 3:3</w:t>
        </w:r>
      </w:hyperlink>
      <w:r>
        <w:t>).</w:t>
      </w:r>
    </w:p>
    <w:p>
      <w:r/>
      <w:r>
        <w:rPr>
          <w:i/>
        </w:rPr>
        <w:t>Voir aussi</w:t>
      </w:r>
      <w:r>
        <w:t xml:space="preserve"> </w:t>
      </w:r>
      <w:r>
        <w:t>La vantardise</w:t>
      </w:r>
      <w:r>
        <w:t xml:space="preserve">; </w:t>
      </w:r>
      <w:r>
        <w:t>Dieu, être et attributs de</w:t>
      </w:r>
      <w:r>
        <w:t xml:space="preserve">; </w:t>
      </w:r>
      <w:r>
        <w:t>Colonne de feu et de nuée</w:t>
      </w:r>
      <w:r>
        <w:t xml:space="preserve">; </w:t>
      </w:r>
      <w:r>
        <w:t>Shekinah</w:t>
      </w:r>
      <w:r>
        <w:t xml:space="preserve">; </w:t>
      </w:r>
      <w:r>
        <w:t>Théophanie</w:t>
      </w:r>
      <w:r>
        <w:t xml:space="preserve">; </w:t>
      </w:r>
      <w:r>
        <w:t>La richesse</w:t>
      </w:r>
      <w:r>
        <w:t>.</w:t>
      </w:r>
      <w:r/>
      <w:r/>
    </w:p>
    <w:p>
      <w:r/>
    </w:p>
    <w:p>
      <w:pPr>
        <w:pStyle w:val="Heading2"/>
      </w:pPr>
      <w:r>
        <w:t>La grâce</w:t>
      </w:r>
      <w:r/>
    </w:p>
    <w:p>
      <w:r/>
      <w:r>
        <w:t>Le don de Dieu qui s’exprime à travers sa miséricorde, sa bonté et son salut pour les hommes.</w:t>
      </w:r>
    </w:p>
    <w:p>
      <w:r/>
      <w:r>
        <w:t>La grâce est une dimension de la puissance divine qui permet à Dieu de réagir à l’indifférence et à la rébellion de l’homme avec une faculté inexorable de pardonner et de bénir. Dieu est miséricordieux. La grâce divine est une doctrine qui étaye les écrits de l’Ancien et du Nouveau Testament. Cependant, l’Ancien Testament préfigure et prépare la véritable expression de la grâce qui se manifeste dans le Nouveau Testament.</w:t>
      </w:r>
    </w:p>
    <w:p>
      <w:pPr>
        <w:pStyle w:val="Heading3"/>
      </w:pPr>
      <w:r>
        <w:t>La grâce dans l’Ancien Testament</w:t>
      </w:r>
    </w:p>
    <w:p>
      <w:r/>
      <w:r>
        <w:t>Au début de l’Ancien Testament, l’Éternel se révèle comme un « Dieu miséricordieux et compatissant, lent à la colère, riche en bonté et en fidélité » (</w:t>
      </w:r>
      <w:hyperlink r:id="rId8646">
        <w:r>
          <w:rPr>
            <w:color w:val="0000EE"/>
            <w:u w:val="single"/>
          </w:rPr>
          <w:t>Exode 34:6</w:t>
        </w:r>
      </w:hyperlink>
      <w:r>
        <w:t>, lsg). En conséquence, les êtres humains qui ne méritent pas la présence de Dieu peuvent s’approcher de lui par la prière suivante : « Si j’ai trouvé [grâce] à tes yeux, Seigneur… » (</w:t>
      </w:r>
      <w:hyperlink r:id="rId8647">
        <w:r>
          <w:rPr>
            <w:color w:val="0000EE"/>
            <w:u w:val="single"/>
          </w:rPr>
          <w:t>Exode 34:9</w:t>
        </w:r>
      </w:hyperlink>
      <w:r>
        <w:t>, lsg). Par le biais d’une initiative divine, l’homme qui était séparé de Dieu est accepté sans contrepartie, ouvrant ainsi la voie à la réconciliation et à un service rédempteur.</w:t>
      </w:r>
    </w:p>
    <w:p>
      <w:r/>
      <w:r>
        <w:t>La grâce divine s’est manifestée depuis le jardin d’Éden lorsque, au lieu d’abandonner ou de punir l’humanité après la chute, Dieu a réagi par la promesse d’une rédemption (</w:t>
      </w:r>
      <w:hyperlink r:id="rId250">
        <w:r>
          <w:rPr>
            <w:color w:val="0000EE"/>
            <w:u w:val="single"/>
          </w:rPr>
          <w:t>Genèse 3:15</w:t>
        </w:r>
      </w:hyperlink>
      <w:r>
        <w:t>) et des soins bienveillants. L’appel lancé à Abraham était une manifestation de la grâce, pour lui en tant qu’individu, mais aussi par son entremise comme un moyen d’atteindre le monde entier. La promesse de Dieu de bénir Abraham et ses descendants indiquait un rôle majeur pour apporter une bénédiction universelle à « toutes les familles de la terre » (</w:t>
      </w:r>
      <w:hyperlink r:id="rId8648">
        <w:r>
          <w:rPr>
            <w:color w:val="0000EE"/>
            <w:u w:val="single"/>
          </w:rPr>
          <w:t>Genèse 12:2–3</w:t>
        </w:r>
      </w:hyperlink>
      <w:r>
        <w:t>). Par conséquent, l’appel d’Abraham et la promesse de bénédiction universelle se traduisent tous deux par une alliance donnée par Dieu, visant à répandre la grâce de Dieu sur l’ensemble de la race humaine. Dans le but de confirmer solennellement la promesse faite à Abraham, Dieu a déclaré : « Voici mon alliance, que je fais avec toi. Tu deviendras père d’une multitude de nations… J’établirai mon alliance entre moi et toi, et tes descendants après toi, selon leurs générations : ce sera une alliance perpétuelle. » (</w:t>
      </w:r>
      <w:hyperlink r:id="rId8649">
        <w:r>
          <w:rPr>
            <w:color w:val="0000EE"/>
            <w:u w:val="single"/>
          </w:rPr>
          <w:t>Genèse 17:4, 7</w:t>
        </w:r>
      </w:hyperlink>
      <w:r>
        <w:t>, lsg). Cette promesse devait s’accomplir en vertu de la grâce, et non de la race, de manière à s’appliquer à tous les descendants d’Abraham, non seulement aux chrétiens juifs, ses descendants raciaux, mais aussi à ses descendants spirituels, les chrétiens de toutes les nations qui professent une foi semblable à celle d’Abraham (</w:t>
      </w:r>
      <w:hyperlink r:id="rId8650">
        <w:r>
          <w:rPr>
            <w:color w:val="0000EE"/>
            <w:u w:val="single"/>
          </w:rPr>
          <w:t>Romains 4:16</w:t>
        </w:r>
      </w:hyperlink>
      <w:r>
        <w:t>). Ainsi, au regard de la grâce divine, l’élection d’Abraham et de la nation d’Israël n’était pas l’aboutissement du projet de Dieu. Il s’agissait d’un processus du plan de Dieu visant à étendre ses desseins rédempteurs à tous les chrétiens, issus de toutes les nations. En accordant sa grâce à Abraham, Dieu établissait les prémices de l’Église, la communauté de la grâce.</w:t>
      </w:r>
    </w:p>
    <w:p>
      <w:r/>
      <w:r>
        <w:t>La méthode divine et singulière par laquelle Dieu a choisi Abraham pour qu’il bénéficie de sa grâce sert de modèle à la sélection de tous les individus tout au long de l’histoire de la rédemption. Des individus comme Abraham, David, les prophètes et, plus tard, les apôtres ont bénéficié des avantages de la grâce à travers leur appel. Leurs contributions ont joué un rôle important dans l’accomplissement de l’alliance de Dieu au nom de la communauté des personnes qui partagent la foi d’Abraham : l’Église. À travers ses relations empreintes de bonté avec Israël, ses patriarches et ses dirigeants, Dieu a jeté les jalons de la propagation de sa grâce à l’Église universelle. Les interventions gracieuses de Dieu dans l’ancienne alliance avaient pour but de manifester la primauté de l’Église dans ses desseins rédempteurs. En exerçant leur ministère, les prophètes de l’ancienne alliance savaient qu’ils servaient l’Église et non eux-mêmes (</w:t>
      </w:r>
      <w:hyperlink r:id="rId8651">
        <w:r>
          <w:rPr>
            <w:color w:val="0000EE"/>
            <w:u w:val="single"/>
          </w:rPr>
          <w:t>1 Pierre 1:10–12</w:t>
        </w:r>
      </w:hyperlink>
      <w:r>
        <w:t>).</w:t>
      </w:r>
    </w:p>
    <w:p>
      <w:r/>
      <w:r>
        <w:t>Les institutions de l’ancienne alliance, qui étaient une expression transitoire et médiatrice de la grâce divine, n’avaient qu’une validité temporaire remplacée par les manifestations ultimes de la grâce de Dieu dans la nouvelle alliance (</w:t>
      </w:r>
      <w:hyperlink r:id="rId8652">
        <w:r>
          <w:rPr>
            <w:color w:val="0000EE"/>
            <w:u w:val="single"/>
          </w:rPr>
          <w:t>Hébreux 8:6–7</w:t>
        </w:r>
      </w:hyperlink>
      <w:r>
        <w:t>). Ainsi, l’ancienne alliance devait devenir caduque et être remplacée par une nouvelle alliance qui exprimerait la pleine manifestation de la grâce de Dieu. La divergence proverbiale entre la loi et la grâce devient intelligible dans cette perspective. Tout comme l’élection de la race d’Israël, la Loi (l’une des institutions les plus apparentes de l’ancienne alliance) était une mesure temporaire de la grâce divine accordée pour anticiper et préparer l’alliance de la justification par la grâce, par la foi en Jésus-Christ (</w:t>
      </w:r>
      <w:hyperlink r:id="rId8653">
        <w:r>
          <w:rPr>
            <w:color w:val="0000EE"/>
            <w:u w:val="single"/>
          </w:rPr>
          <w:t>Galates 3:23–29</w:t>
        </w:r>
      </w:hyperlink>
      <w:r>
        <w:t xml:space="preserve">; </w:t>
      </w:r>
      <w:hyperlink r:id="rId6354">
        <w:r>
          <w:rPr>
            <w:color w:val="0000EE"/>
            <w:u w:val="single"/>
          </w:rPr>
          <w:t>Hébreux 10:1</w:t>
        </w:r>
      </w:hyperlink>
      <w:r>
        <w:t>).</w:t>
      </w:r>
    </w:p>
    <w:p>
      <w:pPr>
        <w:pStyle w:val="Heading3"/>
      </w:pPr>
      <w:r>
        <w:t>La grâce dans le Nouveau Testament</w:t>
      </w:r>
    </w:p>
    <w:p>
      <w:r/>
      <w:r>
        <w:t>Le concept de la grâce, défini comme le soutien actif de Dieu à son peuple, est mis en évidence avec précision dans le Nouveau Testament. La grâce divine se personnifie en Jésus-Christ, qui démontre la dynamique de la grâce de Dieu. À travers son ministère de rédemption, Jésus accomplit les promesses de l’ancienne alliance relatives aux interactions gracieuses de Dieu avec l’humanité (</w:t>
      </w:r>
      <w:hyperlink r:id="rId8654">
        <w:r>
          <w:rPr>
            <w:color w:val="0000EE"/>
            <w:u w:val="single"/>
          </w:rPr>
          <w:t>Jean 1:14, 17</w:t>
        </w:r>
      </w:hyperlink>
      <w:r>
        <w:t>).</w:t>
      </w:r>
    </w:p>
    <w:p>
      <w:r/>
      <w:r>
        <w:t>La grâce de Dieu qui se manifeste en Jésus-Christ permet au Seigneur de pardonner aux pécheurs et de les rassembler dans l’Église, la communauté de la nouvelle alliance. Durant son ministère, Jésus a constamment adressé des paroles de pardon à un grand nombre de pécheurs et a apporté l’aide bienveillante de Dieu à toute une série de personnes aux besoins les plus désespérés. À travers des enseignements comme celui sur le fils prodigue et la brebis perdue, Jésus a clairement démontré qu’il était venu pour chercher et sauver les perdus. Cependant, c’est sa mort rédemptrice sur la croix qui a largement ouvert la porte du salut pour que les pécheurs puissent accéder à la grâce de Dieu qui pardonne et qui restaure. Cette vérité simpliste est formulée dans la doctrine de la justification par la foi au moyen de la grâce (</w:t>
      </w:r>
      <w:hyperlink r:id="rId8576">
        <w:r>
          <w:rPr>
            <w:color w:val="0000EE"/>
            <w:u w:val="single"/>
          </w:rPr>
          <w:t>Romains 3:23</w:t>
        </w:r>
      </w:hyperlink>
      <w:r>
        <w:t xml:space="preserve">; </w:t>
      </w:r>
      <w:hyperlink r:id="rId8655">
        <w:r>
          <w:rPr>
            <w:color w:val="0000EE"/>
            <w:u w:val="single"/>
          </w:rPr>
          <w:t>Tite 3:7</w:t>
        </w:r>
      </w:hyperlink>
      <w:r>
        <w:t>). Selon cet enseignement, la grâce de Dieu qui s’est manifestée par le sacrifice de Christ pour les pécheurs, lui permet de déclarer les personnes repenties « justes » ou « non coupables » et de les inclure dans ses desseins éternels. Ces derniers accèdent ainsi à la sphère où règne la grâce de Dieu, ce qui leur permet de mettre en œuvre le processus de sanctification individuelle en coopération avec le Saint-Esprit.</w:t>
      </w:r>
    </w:p>
    <w:p>
      <w:r/>
      <w:r>
        <w:t>La grâce de Dieu manifestée en Jésus-Christ permet également au Seigneur d’accorder des bénédictions imméritées aux chrétiens, enrichissant ainsi leur vie tout en les unifiant au sein de l’Église, le corps de Christ. Leur adhésion sur la base de la grâce leur confère un nouveau statut d’enfants de Dieu, de membres de la maison de Dieu, de sorte qu’ils sont en relation avec le Seigneur comme avec leur Père céleste (</w:t>
      </w:r>
      <w:hyperlink r:id="rId8656">
        <w:r>
          <w:rPr>
            <w:color w:val="0000EE"/>
            <w:u w:val="single"/>
          </w:rPr>
          <w:t>Galates 4:4–6</w:t>
        </w:r>
      </w:hyperlink>
      <w:r>
        <w:t>). Par conséquent, ils deviennent membres d’une communauté où les distinctions de race, de classe et de sexe sont inutiles, puisqu’ils sont tous héritiers à parts égales de la promesse de bénédiction universelle de Dieu faite à Abraham depuis longtemps (</w:t>
      </w:r>
      <w:hyperlink r:id="rId5515">
        <w:r>
          <w:rPr>
            <w:color w:val="0000EE"/>
            <w:u w:val="single"/>
          </w:rPr>
          <w:t>3:28–29</w:t>
        </w:r>
      </w:hyperlink>
      <w:r>
        <w:t>). Afin d’enrichir la vie de chaque individu et de garantir son utilité au sein de sa nouvelle communauté, le Saint-Esprit accorde gracieusement aux chrétiens divers dons pour l’accomplissement de ministères au profit de l’Église (voir</w:t>
      </w:r>
      <w:hyperlink r:id="rId8657">
        <w:r>
          <w:rPr>
            <w:color w:val="0000EE"/>
            <w:u w:val="single"/>
          </w:rPr>
          <w:t>Romains 12:6–8</w:t>
        </w:r>
      </w:hyperlink>
      <w:r>
        <w:t>). Parmi ces ministères, le plus important est celui d’apôtre, lui-même étroitement lié à la bienveillance de Dieu (</w:t>
      </w:r>
      <w:hyperlink r:id="rId8475">
        <w:r>
          <w:rPr>
            <w:color w:val="0000EE"/>
            <w:u w:val="single"/>
          </w:rPr>
          <w:t>1:5</w:t>
        </w:r>
      </w:hyperlink>
      <w:r>
        <w:t xml:space="preserve">; </w:t>
      </w:r>
      <w:hyperlink r:id="rId8658">
        <w:r>
          <w:rPr>
            <w:color w:val="0000EE"/>
            <w:u w:val="single"/>
          </w:rPr>
          <w:t>15:15–16</w:t>
        </w:r>
      </w:hyperlink>
      <w:r>
        <w:t>) puisqu’il s’associe au ministère des anciens prophètes pour constituer la structure fondatrice de l’Église (</w:t>
      </w:r>
      <w:hyperlink r:id="rId8659">
        <w:r>
          <w:rPr>
            <w:color w:val="0000EE"/>
            <w:u w:val="single"/>
          </w:rPr>
          <w:t>Éphésiens 2:20</w:t>
        </w:r>
      </w:hyperlink>
      <w:r>
        <w:t>). Comme les richesses de la grâce divine sont librement octroyées aux chrétiens dans leur vie communautaire sur terre (</w:t>
      </w:r>
      <w:hyperlink r:id="rId8660">
        <w:r>
          <w:rPr>
            <w:color w:val="0000EE"/>
            <w:u w:val="single"/>
          </w:rPr>
          <w:t>1:7–8</w:t>
        </w:r>
      </w:hyperlink>
      <w:r>
        <w:t>), l’Église transportée dans l’éternité démontrera, par son existence même, les richesses incommensurables de la grâce de Dieu en Jésus-Christ (</w:t>
      </w:r>
      <w:hyperlink r:id="rId2701">
        <w:r>
          <w:rPr>
            <w:color w:val="0000EE"/>
            <w:u w:val="single"/>
          </w:rPr>
          <w:t>2:6</w:t>
        </w:r>
      </w:hyperlink>
      <w:r>
        <w:t>).</w:t>
      </w:r>
    </w:p>
    <w:p>
      <w:r/>
      <w:r>
        <w:t>Enfin, la grâce de Dieu manifestée en Jésus-Christ permet à Dieu d’aider les chrétiens à reproduire sa grâce dans leur caractère et dans leurs relations. La condition indispensable pour recevoir la grâce de Dieu est l’humilité (</w:t>
      </w:r>
      <w:hyperlink r:id="rId5676">
        <w:r>
          <w:rPr>
            <w:color w:val="0000EE"/>
            <w:u w:val="single"/>
          </w:rPr>
          <w:t>Jacques 4:6</w:t>
        </w:r>
      </w:hyperlink>
      <w:r>
        <w:t xml:space="preserve">; </w:t>
      </w:r>
      <w:hyperlink r:id="rId5677">
        <w:r>
          <w:rPr>
            <w:color w:val="0000EE"/>
            <w:u w:val="single"/>
          </w:rPr>
          <w:t>1 Pierre 5:5</w:t>
        </w:r>
      </w:hyperlink>
      <w:r>
        <w:t>). Cette humilité envers Dieu permet aux chrétiens d’être humbles avec leurs semblables. En vertu de la grâce, ils peuvent mettre de côté l’égoïsme et la vanité, afin de traiter les autres avec dignité (</w:t>
      </w:r>
      <w:hyperlink r:id="rId8661">
        <w:r>
          <w:rPr>
            <w:color w:val="0000EE"/>
            <w:u w:val="single"/>
          </w:rPr>
          <w:t>Philippiens 2:3–4</w:t>
        </w:r>
      </w:hyperlink>
      <w:r>
        <w:t>) dans une attitude de service mutuel (</w:t>
      </w:r>
      <w:hyperlink r:id="rId4811">
        <w:r>
          <w:rPr>
            <w:color w:val="0000EE"/>
            <w:u w:val="single"/>
          </w:rPr>
          <w:t>Éphésiens 5:21</w:t>
        </w:r>
      </w:hyperlink>
      <w:r>
        <w:t>) et dans un esprit de pardon mutuel (</w:t>
      </w:r>
      <w:hyperlink r:id="rId8372">
        <w:r>
          <w:rPr>
            <w:color w:val="0000EE"/>
            <w:u w:val="single"/>
          </w:rPr>
          <w:t>Matthieu 18:23–35</w:t>
        </w:r>
      </w:hyperlink>
      <w:r>
        <w:t>), de sorte que même leur communication puisse témoigner de la grâce divine (</w:t>
      </w:r>
      <w:hyperlink r:id="rId8662">
        <w:r>
          <w:rPr>
            <w:color w:val="0000EE"/>
            <w:u w:val="single"/>
          </w:rPr>
          <w:t>Colossiens 4:6</w:t>
        </w:r>
      </w:hyperlink>
      <w:r>
        <w:t>). Puisque la grâce de Jésus-Christ est le cadre existentiel qui régit la vie et les relations des chrétiens, ceux-ci sont exhortés à ne pas pervertir la grâce de Dieu pour la transformer en pratiques impies (</w:t>
      </w:r>
      <w:hyperlink r:id="rId4049">
        <w:r>
          <w:rPr>
            <w:color w:val="0000EE"/>
            <w:u w:val="single"/>
          </w:rPr>
          <w:t>Jude 1:4</w:t>
        </w:r>
      </w:hyperlink>
      <w:r>
        <w:t>) Ils sont au contraire invités à croitre dans la grâce du Seigneur (</w:t>
      </w:r>
      <w:hyperlink r:id="rId7682">
        <w:r>
          <w:rPr>
            <w:color w:val="0000EE"/>
            <w:u w:val="single"/>
          </w:rPr>
          <w:t>2 Pierre 3:18</w:t>
        </w:r>
      </w:hyperlink>
      <w:r>
        <w:t>).</w:t>
      </w:r>
    </w:p>
    <w:p>
      <w:r/>
      <w:r>
        <w:t>La signification fondamentale de la grâce dans la Bible fait référence à la volonté de Dieu d’exercer sa bienveillance sur ses créatures. Cette bienveillance de Dieu se concrétise en Jésus-Christ. Par définition, cette grâce est pleinement accessible à tous les êtres humains, sous réserve qu’ils se repentent et désirent la recevoir (</w:t>
      </w:r>
      <w:hyperlink r:id="rId8663">
        <w:r>
          <w:rPr>
            <w:color w:val="0000EE"/>
            <w:u w:val="single"/>
          </w:rPr>
          <w:t>Tite 2:11–12</w:t>
        </w:r>
      </w:hyperlink>
      <w:r>
        <w:t>). En conséquence, la séparation qui existait entre l’homme et Dieu, ainsi que ses desseins est remplacée par l’accès à la majesté divine, autrement inaccessible, représentée par un trône, afin que sa grâce puisse être disponible pour répondre aux besoins de l’homme (</w:t>
      </w:r>
      <w:hyperlink r:id="rId6309">
        <w:r>
          <w:rPr>
            <w:color w:val="0000EE"/>
            <w:u w:val="single"/>
          </w:rPr>
          <w:t>Hébreux 4:16</w:t>
        </w:r>
      </w:hyperlink>
      <w:r>
        <w:t>). L’alternative tragique à la réception de la grâce de Dieu consiste à rester dans une séparation désespérée ou à poursuivre des tentatives stériles pour mériter la faveur de Dieu par des efforts humains voués à l’échec (</w:t>
      </w:r>
      <w:hyperlink r:id="rId2828">
        <w:r>
          <w:rPr>
            <w:color w:val="0000EE"/>
            <w:u w:val="single"/>
          </w:rPr>
          <w:t>Romains 1:21</w:t>
        </w:r>
      </w:hyperlink>
      <w:r>
        <w:t>). Dieu accepte les pécheurs sans condition, s’ils ne rejettent pas cette invitation.</w:t>
      </w:r>
    </w:p>
    <w:p>
      <w:r/>
      <w:r>
        <w:t>Comme Christ représente l’accomplissement, l’incarnation et le dispensateur de la grâce divine, les premiers chrétiens désignaient spontanément la grâce de Dieu par l’expression « la grâce de notre Seigneur Jésus-Christ ». Ils considéraient cette grâce comme fondamentale et omniprésente dans leur vie et dans l’existence de leur communauté de foi, et ils ont donc naturellement associé la salutation traditionnelle shalom (« paix ») à une référence à la grâce de Jésus-Christ. Ainsi, pratiquement tous les livres du Nouveau Testament utilisent une variante de la même formule de salutation « Que la grâce de notre Seigneur Jésus-Christ soit avec vous tous ! » (</w:t>
      </w:r>
      <w:hyperlink r:id="rId8664">
        <w:r>
          <w:rPr>
            <w:color w:val="0000EE"/>
            <w:u w:val="single"/>
          </w:rPr>
          <w:t>2 Thessaloniciens 3:18</w:t>
        </w:r>
      </w:hyperlink>
      <w:r>
        <w:t>).</w:t>
      </w:r>
    </w:p>
    <w:p>
      <w:r/>
      <w:r>
        <w:rPr>
          <w:i/>
        </w:rPr>
        <w:t>Voir aussi</w:t>
      </w:r>
      <w:r>
        <w:t xml:space="preserve"> </w:t>
      </w:r>
      <w:r>
        <w:t>Dieu, Être et attributs de</w:t>
      </w:r>
      <w:r>
        <w:t xml:space="preserve">; </w:t>
      </w:r>
      <w:r>
        <w:t>Amour</w:t>
      </w:r>
      <w:r>
        <w:t xml:space="preserve">; </w:t>
      </w:r>
      <w:r>
        <w:t>Miséricorde</w:t>
      </w:r>
      <w:r>
        <w:t>.</w:t>
      </w:r>
      <w:r/>
      <w:r/>
    </w:p>
    <w:p>
      <w:r/>
    </w:p>
    <w:p>
      <w:pPr>
        <w:pStyle w:val="Heading2"/>
      </w:pPr>
      <w:r>
        <w:t>La sainteté</w:t>
      </w:r>
      <w:r/>
    </w:p>
    <w:p>
      <w:r/>
      <w:r>
        <w:t>Attribut principal de Dieu et caractère à développer dans la vie de son peuple. La « sainteté » et l’adjectif « saint » apparaissent plus de 900 fois dans la Bible. Le premier mot de l’Ancien Testament (AT) en référence à la sainteté signifie « couper » ou « séparer ». Au fond, la sainteté consiste à se couper ou à se séparer de ce qui est impur pour ensuite se consacrer à ce qui est pur.</w:t>
      </w:r>
    </w:p>
    <w:p>
      <w:r/>
      <w:r>
        <w:t>Dans l’AT, la sainteté de Dieu souligne le fait qu’il transcende la création et que son caractère reflète la perfection morale. Dieu est saint en ce sens qu’il est totalement distinct de sa création et qu’il exerce sur elle une majesté et un pouvoir souverains. Sa sainteté est particulièrement manifeste dans les Psaumes (</w:t>
      </w:r>
      <w:hyperlink r:id="rId5198">
        <w:r>
          <w:rPr>
            <w:color w:val="0000EE"/>
            <w:u w:val="single"/>
          </w:rPr>
          <w:t>Psaume 47:8</w:t>
        </w:r>
      </w:hyperlink>
      <w:r>
        <w:t>) et dans les prophètes (</w:t>
      </w:r>
      <w:hyperlink r:id="rId8665">
        <w:r>
          <w:rPr>
            <w:color w:val="0000EE"/>
            <w:u w:val="single"/>
          </w:rPr>
          <w:t>Ézéchiel 39:7</w:t>
        </w:r>
      </w:hyperlink>
      <w:r>
        <w:t>), où la « sainteté » apparait comme un synonyme du Dieu d’Israël. Ainsi, les Saintes Écritures attribuent à Dieu le titre de « Saint » (</w:t>
      </w:r>
      <w:hyperlink r:id="rId2841">
        <w:r>
          <w:rPr>
            <w:color w:val="0000EE"/>
            <w:u w:val="single"/>
          </w:rPr>
          <w:t>Ésaïe 57:15</w:t>
        </w:r>
      </w:hyperlink>
      <w:r>
        <w:t>), « Saint » (</w:t>
      </w:r>
      <w:hyperlink r:id="rId8666">
        <w:r>
          <w:rPr>
            <w:color w:val="0000EE"/>
            <w:u w:val="single"/>
          </w:rPr>
          <w:t>Job 6:10</w:t>
        </w:r>
      </w:hyperlink>
      <w:r>
        <w:t xml:space="preserve">; </w:t>
      </w:r>
      <w:hyperlink r:id="rId8667">
        <w:r>
          <w:rPr>
            <w:color w:val="0000EE"/>
            <w:u w:val="single"/>
          </w:rPr>
          <w:t>Ésaïe 43:15</w:t>
        </w:r>
      </w:hyperlink>
      <w:r>
        <w:t>), et « Saint d’Israël » (</w:t>
      </w:r>
      <w:hyperlink r:id="rId8668">
        <w:r>
          <w:rPr>
            <w:color w:val="0000EE"/>
            <w:u w:val="single"/>
          </w:rPr>
          <w:t>Psaume 89:18</w:t>
        </w:r>
      </w:hyperlink>
      <w:r>
        <w:t xml:space="preserve">; </w:t>
      </w:r>
      <w:hyperlink r:id="rId8669">
        <w:r>
          <w:rPr>
            <w:color w:val="0000EE"/>
            <w:u w:val="single"/>
          </w:rPr>
          <w:t>Ésaïe 60:14</w:t>
        </w:r>
      </w:hyperlink>
      <w:r>
        <w:t xml:space="preserve">; </w:t>
      </w:r>
      <w:hyperlink r:id="rId8670">
        <w:r>
          <w:rPr>
            <w:color w:val="0000EE"/>
            <w:u w:val="single"/>
          </w:rPr>
          <w:t>Jérémie 50:29</w:t>
        </w:r>
      </w:hyperlink>
      <w:r>
        <w:t>).</w:t>
      </w:r>
    </w:p>
    <w:p>
      <w:r/>
      <w:r>
        <w:t xml:space="preserve">Dans l’AT, la sainteté de Dieu signifie que l’Éternel est séparé de tout ce qui est mauvais et souillé (cf. </w:t>
      </w:r>
      <w:hyperlink r:id="rId8671">
        <w:r>
          <w:rPr>
            <w:color w:val="0000EE"/>
            <w:u w:val="single"/>
          </w:rPr>
          <w:t>Job 34:10</w:t>
        </w:r>
      </w:hyperlink>
      <w:r>
        <w:t>). Son caractère saint est la norme de la perfection morale absolue (</w:t>
      </w:r>
      <w:hyperlink r:id="rId8672">
        <w:r>
          <w:rPr>
            <w:color w:val="0000EE"/>
            <w:u w:val="single"/>
          </w:rPr>
          <w:t>Ésaïe 5:16</w:t>
        </w:r>
      </w:hyperlink>
      <w:r>
        <w:t xml:space="preserve">). La sainteté de Dieu, sa majesté transcendante et son caractère pur, est savamment équilibrée dans le </w:t>
      </w:r>
      <w:hyperlink r:id="rId8673">
        <w:r>
          <w:rPr>
            <w:color w:val="0000EE"/>
            <w:u w:val="single"/>
          </w:rPr>
          <w:t>Psaume 99</w:t>
        </w:r>
      </w:hyperlink>
      <w:r>
        <w:t xml:space="preserve">. Si les versets </w:t>
      </w:r>
      <w:hyperlink r:id="rId8674">
        <w:r>
          <w:rPr>
            <w:color w:val="0000EE"/>
            <w:u w:val="single"/>
          </w:rPr>
          <w:t>1 à 3</w:t>
        </w:r>
      </w:hyperlink>
      <w:r>
        <w:t xml:space="preserve"> montrent que Dieu est distant de ce qui est fini et lié à la terre, les versets </w:t>
      </w:r>
      <w:hyperlink r:id="rId8675">
        <w:r>
          <w:rPr>
            <w:color w:val="0000EE"/>
            <w:u w:val="single"/>
          </w:rPr>
          <w:t>4</w:t>
        </w:r>
      </w:hyperlink>
      <w:r>
        <w:t xml:space="preserve"> et </w:t>
      </w:r>
      <w:hyperlink r:id="rId8676">
        <w:r>
          <w:rPr>
            <w:color w:val="0000EE"/>
            <w:u w:val="single"/>
          </w:rPr>
          <w:t>5</w:t>
        </w:r>
      </w:hyperlink>
      <w:r>
        <w:t xml:space="preserve"> soulignent sa séparation d’avec le péché et le mal.</w:t>
      </w:r>
    </w:p>
    <w:p>
      <w:r/>
      <w:r>
        <w:t>Dans l’AT, Dieu exigeait la sainteté dans la vie de son peuple. Par l’intermédiaire de Moïse, Dieu a déclaré à l’assemblée d’Israël : « Soyez saints, car je suis saint, moi, l’Éternel, votre Dieu. » (</w:t>
      </w:r>
      <w:hyperlink r:id="rId8677">
        <w:r>
          <w:rPr>
            <w:color w:val="0000EE"/>
            <w:u w:val="single"/>
          </w:rPr>
          <w:t>Lévitique 19:2</w:t>
        </w:r>
      </w:hyperlink>
      <w:r>
        <w:t>, lsg). La sainteté prescrite dans l’AT avait deux dimensions : une est (1) externe, ou cérémonielle, et l’autre (2) interne, ou morale et spirituelle. La sainteté cérémonielle de l’AT, prescrite dans le Pentateuque (les cinq premiers livres de l’AT), consistait en la consécration rituelle au service de Dieu. Ainsi, les sacrificateurs et les lévites étaient sanctifiés en respectant un processus complexe de consécration rituelle (</w:t>
      </w:r>
      <w:hyperlink r:id="rId8678">
        <w:r>
          <w:rPr>
            <w:color w:val="0000EE"/>
            <w:u w:val="single"/>
          </w:rPr>
          <w:t>Exode 29</w:t>
        </w:r>
      </w:hyperlink>
      <w:r>
        <w:t>), de même que les naziréens hébreux, ce qui signifie « personnes séparées » (</w:t>
      </w:r>
      <w:hyperlink r:id="rId7963">
        <w:r>
          <w:rPr>
            <w:color w:val="0000EE"/>
            <w:u w:val="single"/>
          </w:rPr>
          <w:t>Nombres 6:1–21</w:t>
        </w:r>
      </w:hyperlink>
      <w:r>
        <w:t>). Des prophètes comme Élisée (</w:t>
      </w:r>
      <w:hyperlink r:id="rId8679">
        <w:r>
          <w:rPr>
            <w:color w:val="0000EE"/>
            <w:u w:val="single"/>
          </w:rPr>
          <w:t>2 Rois 4:9</w:t>
        </w:r>
      </w:hyperlink>
      <w:r>
        <w:t>) et Jérémie (</w:t>
      </w:r>
      <w:hyperlink r:id="rId8680">
        <w:r>
          <w:rPr>
            <w:color w:val="0000EE"/>
            <w:u w:val="single"/>
          </w:rPr>
          <w:t>Jérémie 1:5</w:t>
        </w:r>
      </w:hyperlink>
      <w:r>
        <w:t>) ont également été sanctifiés pour exercer un ministère prophétique spécial en Israël.</w:t>
      </w:r>
    </w:p>
    <w:p>
      <w:r/>
      <w:r>
        <w:t>Cependant, l’AT met également l’accent sur les aspects intérieurs, moraux et spirituels de la sainteté. Les hommes et les femmes, créés à l’image de Dieu, sont appelés à cultiver le caractère saint de Dieu dans leur vie (</w:t>
      </w:r>
      <w:hyperlink r:id="rId8677">
        <w:r>
          <w:rPr>
            <w:color w:val="0000EE"/>
            <w:u w:val="single"/>
          </w:rPr>
          <w:t>Lévitique 19:2</w:t>
        </w:r>
      </w:hyperlink>
      <w:r>
        <w:t xml:space="preserve">; </w:t>
      </w:r>
      <w:hyperlink r:id="rId8681">
        <w:r>
          <w:rPr>
            <w:color w:val="0000EE"/>
            <w:u w:val="single"/>
          </w:rPr>
          <w:t>Nombres 15:40</w:t>
        </w:r>
      </w:hyperlink>
      <w:r>
        <w:t>). Dans le Nouveau Testament (NT), la sainteté cérémonielle du Pentateuque est reléguée à l’arrière-plan. Certes, une grande partie des adeptes du judaïsme à l’époque de Jésus recherchaient une sainteté cérémonielle par les œuvres (</w:t>
      </w:r>
      <w:hyperlink r:id="rId8682">
        <w:r>
          <w:rPr>
            <w:color w:val="0000EE"/>
            <w:u w:val="single"/>
          </w:rPr>
          <w:t>Marc 7:1–5</w:t>
        </w:r>
      </w:hyperlink>
      <w:r>
        <w:t xml:space="preserve">), le NT met l’accent sur la dimension éthique plutôt que sur la dimension formelle de la sainteté (versets </w:t>
      </w:r>
      <w:hyperlink r:id="rId8683">
        <w:r>
          <w:rPr>
            <w:color w:val="0000EE"/>
            <w:u w:val="single"/>
          </w:rPr>
          <w:t>6–12</w:t>
        </w:r>
      </w:hyperlink>
      <w:r>
        <w:t>). Grâce à la venue de l’Esprit Saint, l’Église primitive a compris que la sainteté de vie constituait une réalité intérieure profonde qui devait influencer les pensées et les attitudes des chrétiens par rapport aux personnes et aux objets du monde extérieur.</w:t>
      </w:r>
    </w:p>
    <w:p>
      <w:r/>
      <w:r>
        <w:t>L’équivalent grec du NT du mot hébreu commun pour désigner la sainteté signifie un état intérieur d’absence de faute morale et une harmonie relative avec la perfection morale de Dieu. L’expression « à l’image de Dieu » ou le mot « piété » reflète le sens du premier mot grec pour désigner la sainteté. Un autre mot grec se rapproche du concept dominant de la sainteté dans l’AT, à savoir la séparation extérieure de ce qui est profane et la consécration au service de Dieu.</w:t>
      </w:r>
    </w:p>
    <w:p>
      <w:r/>
      <w:r>
        <w:t>Étant donné que les auteurs du NT ont adopté le portrait de la divinité de l’AT, la sainteté est attribuée à Dieu dans un nombre relativement restreint de textes apostoliques. Jésus a affirmé la nature éthique de Dieu lorsqu’il a exhorté ses disciples à prier pour que le nom du Père soit estimé à sa juste valeur : « Que ton nom soit sanctifié » (</w:t>
      </w:r>
      <w:hyperlink r:id="rId2682">
        <w:r>
          <w:rPr>
            <w:color w:val="0000EE"/>
            <w:u w:val="single"/>
          </w:rPr>
          <w:t>Matthieu 6:9</w:t>
        </w:r>
      </w:hyperlink>
      <w:r>
        <w:t>, lsg). Dans le livre de l’Apocalypse, la perfection morale du Père est exaltée par le triple qualificatif de sainteté emprunté à Ésaïe : « Saint, saint, saint est le Seigneur Dieu, le Tout-Puissant, qui était, qui est, et qui vient ! » (</w:t>
      </w:r>
      <w:hyperlink r:id="rId8684">
        <w:r>
          <w:rPr>
            <w:color w:val="0000EE"/>
            <w:u w:val="single"/>
          </w:rPr>
          <w:t>Apocalypse 4:8</w:t>
        </w:r>
      </w:hyperlink>
      <w:r>
        <w:t xml:space="preserve">, lsg; cf. </w:t>
      </w:r>
      <w:hyperlink r:id="rId6240">
        <w:r>
          <w:rPr>
            <w:color w:val="0000EE"/>
            <w:u w:val="single"/>
          </w:rPr>
          <w:t>Ésaïe 6:3</w:t>
        </w:r>
      </w:hyperlink>
      <w:r>
        <w:t>). Luc, cependant, contemple la sainteté de Dieu sous l’angle de concept dominant de la transcendance et de la majesté de Dieu dans l’AT (</w:t>
      </w:r>
      <w:hyperlink r:id="rId8685">
        <w:r>
          <w:rPr>
            <w:color w:val="0000EE"/>
            <w:u w:val="single"/>
          </w:rPr>
          <w:t>Luc 1:49</w:t>
        </w:r>
      </w:hyperlink>
      <w:r>
        <w:t>).</w:t>
      </w:r>
    </w:p>
    <w:p>
      <w:r/>
      <w:r>
        <w:t>De même, la sainteté de Jésus-Christ est affirmée dans le NT. Luc (</w:t>
      </w:r>
      <w:hyperlink r:id="rId983">
        <w:r>
          <w:rPr>
            <w:color w:val="0000EE"/>
            <w:u w:val="single"/>
          </w:rPr>
          <w:t>Luc 1:35</w:t>
        </w:r>
      </w:hyperlink>
      <w:r>
        <w:t xml:space="preserve">; </w:t>
      </w:r>
      <w:hyperlink r:id="rId8686">
        <w:r>
          <w:rPr>
            <w:color w:val="0000EE"/>
            <w:u w:val="single"/>
          </w:rPr>
          <w:t>4:34</w:t>
        </w:r>
      </w:hyperlink>
      <w:r>
        <w:t>), Pierre (</w:t>
      </w:r>
      <w:hyperlink r:id="rId1670">
        <w:r>
          <w:rPr>
            <w:color w:val="0000EE"/>
            <w:u w:val="single"/>
          </w:rPr>
          <w:t>Actes 3:14</w:t>
        </w:r>
      </w:hyperlink>
      <w:r>
        <w:t xml:space="preserve">; </w:t>
      </w:r>
      <w:hyperlink r:id="rId8687">
        <w:r>
          <w:rPr>
            <w:color w:val="0000EE"/>
            <w:u w:val="single"/>
          </w:rPr>
          <w:t>4:27–30</w:t>
        </w:r>
      </w:hyperlink>
      <w:r>
        <w:t>), l’auteur de l’épitre aux Hébreux (</w:t>
      </w:r>
      <w:hyperlink r:id="rId6308">
        <w:r>
          <w:rPr>
            <w:color w:val="0000EE"/>
            <w:u w:val="single"/>
          </w:rPr>
          <w:t>Hébreux 7:26</w:t>
        </w:r>
      </w:hyperlink>
      <w:r>
        <w:t>) et Jean (</w:t>
      </w:r>
      <w:hyperlink r:id="rId3645">
        <w:r>
          <w:rPr>
            <w:color w:val="0000EE"/>
            <w:u w:val="single"/>
          </w:rPr>
          <w:t>Apocalypse 3:7</w:t>
        </w:r>
      </w:hyperlink>
      <w:r>
        <w:t>) attribuent la sainteté au Père et au Fils.</w:t>
      </w:r>
    </w:p>
    <w:p>
      <w:r/>
      <w:r>
        <w:t>Étant donné que l’Esprit vient de Dieu, qu’il révèle son caractère saint et qu’il est l’instrument des saints desseins de Dieu dans le monde, il est lui aussi absolument saint (</w:t>
      </w:r>
      <w:hyperlink r:id="rId8688">
        <w:r>
          <w:rPr>
            <w:color w:val="0000EE"/>
            <w:u w:val="single"/>
          </w:rPr>
          <w:t>Matthieu 1:18</w:t>
        </w:r>
      </w:hyperlink>
      <w:r>
        <w:t xml:space="preserve">; </w:t>
      </w:r>
      <w:hyperlink r:id="rId8689">
        <w:r>
          <w:rPr>
            <w:color w:val="0000EE"/>
            <w:u w:val="single"/>
          </w:rPr>
          <w:t>3:16</w:t>
        </w:r>
      </w:hyperlink>
      <w:r>
        <w:t xml:space="preserve">; </w:t>
      </w:r>
      <w:hyperlink r:id="rId4190">
        <w:r>
          <w:rPr>
            <w:color w:val="0000EE"/>
            <w:u w:val="single"/>
          </w:rPr>
          <w:t>28:19</w:t>
        </w:r>
      </w:hyperlink>
      <w:r>
        <w:t xml:space="preserve">; </w:t>
      </w:r>
      <w:hyperlink r:id="rId976">
        <w:r>
          <w:rPr>
            <w:color w:val="0000EE"/>
            <w:u w:val="single"/>
          </w:rPr>
          <w:t>Luc 1:15</w:t>
        </w:r>
      </w:hyperlink>
      <w:r>
        <w:t xml:space="preserve">; </w:t>
      </w:r>
      <w:hyperlink r:id="rId8690">
        <w:r>
          <w:rPr>
            <w:color w:val="0000EE"/>
            <w:u w:val="single"/>
          </w:rPr>
          <w:t>4:14</w:t>
        </w:r>
      </w:hyperlink>
      <w:r>
        <w:t>). Le titre commun « Esprit Saint » souligne la perfection éthique de la troisième personne de la Divinité (</w:t>
      </w:r>
      <w:hyperlink r:id="rId8691">
        <w:r>
          <w:rPr>
            <w:color w:val="0000EE"/>
            <w:u w:val="single"/>
          </w:rPr>
          <w:t>Jean 3:5–8</w:t>
        </w:r>
      </w:hyperlink>
      <w:r>
        <w:t xml:space="preserve">; </w:t>
      </w:r>
      <w:hyperlink r:id="rId8692">
        <w:r>
          <w:rPr>
            <w:color w:val="0000EE"/>
            <w:u w:val="single"/>
          </w:rPr>
          <w:t>14:16–17, 26</w:t>
        </w:r>
      </w:hyperlink>
      <w:r>
        <w:t>).</w:t>
      </w:r>
    </w:p>
    <w:p>
      <w:r/>
      <w:r>
        <w:t>Dans le NT, la sainteté caractérise également l’Église de Christ. L’apôtre Paul a enseigné que Christ a aimé l’Église et est mort pour elle, « afin de la sanctifier par la parole, après l’avoir purifiée par le baptême d’eau » (</w:t>
      </w:r>
      <w:hyperlink r:id="rId8693">
        <w:r>
          <w:rPr>
            <w:color w:val="0000EE"/>
            <w:u w:val="single"/>
          </w:rPr>
          <w:t>Éphésiens 5:26</w:t>
        </w:r>
      </w:hyperlink>
      <w:r>
        <w:t>, lsg). Dans un langage emprunté à l’AT, Pierre s’adresse à l’Église comme à un peuple saint. Séparée des nations incrédules et consacrée au Seigneur, l’Église est « une nation sainte » (</w:t>
      </w:r>
      <w:hyperlink r:id="rId3933">
        <w:r>
          <w:rPr>
            <w:color w:val="0000EE"/>
            <w:u w:val="single"/>
          </w:rPr>
          <w:t>1 Pierre 2:9</w:t>
        </w:r>
      </w:hyperlink>
      <w:r>
        <w:t xml:space="preserve">; cf. </w:t>
      </w:r>
      <w:hyperlink r:id="rId562">
        <w:r>
          <w:rPr>
            <w:color w:val="0000EE"/>
            <w:u w:val="single"/>
          </w:rPr>
          <w:t>Exode 19:6</w:t>
        </w:r>
      </w:hyperlink>
      <w:r>
        <w:t>).</w:t>
      </w:r>
    </w:p>
    <w:p>
      <w:r/>
      <w:r>
        <w:t>Cependant, le NT traite plus souvent de la sainteté en mettant l’accent sur les chrétiens individuels. Les chrétiens sont souvent appelés « saints », ce qui signifie littéralement « des personnes saintes », puisque par la foi, Dieu justifie les pécheurs, les déclarant « saints » à ses yeux. Un pécheur justifié n’est en aucun cas moralement parfait, mais Dieu déclare les chrétiens innocents. Ainsi, bien que les chrétiens de Corinthe, par exemple, soient en proie à de nombreux péchés, Paul peut s’adresser à ses amis égarés comme à ceux qui ont été « sanctifiés en Jésus-Christ, appelés à être saints » (</w:t>
      </w:r>
      <w:hyperlink r:id="rId4555">
        <w:r>
          <w:rPr>
            <w:color w:val="0000EE"/>
            <w:u w:val="single"/>
          </w:rPr>
          <w:t>1 Corinthiens 1:2</w:t>
        </w:r>
      </w:hyperlink>
      <w:r>
        <w:t>, lsg). Malgré leurs problèmes, les chrétiens de Corinthe étaient « saints » en Christ.</w:t>
      </w:r>
    </w:p>
    <w:p>
      <w:r/>
      <w:r>
        <w:t>Le NT, cependant, met un accent particulier sur la réalité de la sainteté pratique dans l’expérience quotidienne du chrétien. Le Dieu qui déclare librement une personne juste par la foi en Christ exige que le chrétien progresse dans sa vie de sainteté. Dans le plan de Dieu, la croissance dans la sainteté doit accompagner la foi. Dieu pourvoit gracieusement les ressources spirituelles qui aident les chrétiens à être « participants de la nature divine » (</w:t>
      </w:r>
      <w:hyperlink r:id="rId8694">
        <w:r>
          <w:rPr>
            <w:color w:val="0000EE"/>
            <w:u w:val="single"/>
          </w:rPr>
          <w:t>2 Pierre 1:4</w:t>
        </w:r>
      </w:hyperlink>
      <w:r>
        <w:t>).</w:t>
      </w:r>
    </w:p>
    <w:p>
      <w:r/>
      <w:r>
        <w:rPr>
          <w:i/>
        </w:rPr>
        <w:t>Voir aussi</w:t>
      </w:r>
      <w:r>
        <w:t xml:space="preserve"> </w:t>
      </w:r>
      <w:r>
        <w:t>Dieu, Être et attributs de</w:t>
      </w:r>
      <w:r>
        <w:t>.</w:t>
      </w:r>
      <w:r/>
      <w:r/>
    </w:p>
    <w:p>
      <w:r/>
    </w:p>
    <w:p>
      <w:pPr>
        <w:pStyle w:val="Heading2"/>
      </w:pPr>
      <w:r>
        <w:t>La vie éternelle</w:t>
      </w:r>
      <w:r/>
    </w:p>
    <w:p>
      <w:r/>
      <w:r>
        <w:t>La vie éternelle est un mode d’existence mentionné dans les Saintes Écritures, caractérisé par l’intemporalité ou l’immortalité ; un type de vie attribué à Dieu et distribué aux chrétiens. Les auteurs bibliques ont compris qu’il y avait un Dieu vivant qui existait avant la création du monde et qui continuera d’exister à la fin des temps. Le don de Dieu à ceux qui lui obéissent et lui rendent des comptes est désigné par le terme de « vie éternelle » ou un autre synonyme. L’Évangile de Jean fournit le matériel le plus définitif sur la vie éternelle.</w:t>
      </w:r>
    </w:p>
    <w:p>
      <w:r/>
      <w:r>
        <w:t>L’expression « vie éternelle » apparait une seule fois dans la version grecque de l’Ancien Testament (</w:t>
      </w:r>
      <w:hyperlink r:id="rId646">
        <w:r>
          <w:rPr>
            <w:color w:val="0000EE"/>
            <w:u w:val="single"/>
          </w:rPr>
          <w:t>Daniel 12:2</w:t>
        </w:r>
      </w:hyperlink>
      <w:r>
        <w:t>avec le sens fondamental de « la vie du siècle », désignant la vie du siècle au-delà de la résurrection des morts). Le sens premier du mot « vie » dans l’Ancien Testament désigne cependant la qualité du bien-être dans l’existence terrestre.</w:t>
      </w:r>
    </w:p>
    <w:p>
      <w:r/>
      <w:r>
        <w:t>Pendant la période intertestamentaire, les rabbins ont établi une distinction claire entre « le siècle présent » et « le siècle à venir ». Ils soulignaient que le concept de vie dans le nouveau siècle consiste en une distinction qualitative par rapport au siècle présent, plutôt qu’en une simple distinction quantitative.</w:t>
      </w:r>
    </w:p>
    <w:p>
      <w:r/>
      <w:r>
        <w:t>Le mot grec traduit par « éternel » est dérivé du mot « siècle » ou « éon ». Situer le Nouveau Testament dans le contexte du judaïsme, avec son concept d’un Dieu vivant et la promesse du « siècle à venir », donne de la profondeur et de la couleur à la signification de l’adjectif « éternel ». L’avènement de Jésus-Christ en tant que révélation définitive de Dieu rend les qualités de la vie dans l’ère messianique future accessibles dans la réalité présente.</w:t>
      </w:r>
    </w:p>
    <w:p>
      <w:r/>
      <w:r>
        <w:t>Le jeune homme riche est venu à Jésus et lui a demandé comment hériter de la vie éternelle (</w:t>
      </w:r>
      <w:hyperlink r:id="rId8695">
        <w:r>
          <w:rPr>
            <w:color w:val="0000EE"/>
            <w:u w:val="single"/>
          </w:rPr>
          <w:t>Marc 10:17</w:t>
        </w:r>
      </w:hyperlink>
      <w:r>
        <w:t xml:space="preserve">). Il pensait évidemment à la résurrection dans le siècle à venir. Jésus lui a répondu en utilisant les mêmes termes (verset </w:t>
      </w:r>
      <w:hyperlink r:id="rId8696">
        <w:r>
          <w:rPr>
            <w:color w:val="0000EE"/>
            <w:u w:val="single"/>
          </w:rPr>
          <w:t>30</w:t>
        </w:r>
      </w:hyperlink>
      <w:r>
        <w:t>).</w:t>
      </w:r>
    </w:p>
    <w:p>
      <w:r/>
      <w:r>
        <w:t>Dans sa réponse au jeune homme riche, Jésus a assimilé le fait de recevoir la vie éternelle à l’entrée dans le Royaume de Dieu (</w:t>
      </w:r>
      <w:hyperlink r:id="rId8697">
        <w:r>
          <w:rPr>
            <w:color w:val="0000EE"/>
            <w:u w:val="single"/>
          </w:rPr>
          <w:t>Mc 10, 23–25</w:t>
        </w:r>
      </w:hyperlink>
      <w:r>
        <w:t xml:space="preserve">). Le Royaume de Dieu n’est pas simplement un événement futur, mais la vie, le ministère et les enseignements de Jésus le mettent déjà en évidence. Le Royaume est un don de la vie disponible bien que l’adepte vive encore à l’époque actuelle. De nombreuses paraboles de Jésus soulignent ce point (par exemple, celles de </w:t>
      </w:r>
      <w:hyperlink r:id="rId8698">
        <w:r>
          <w:rPr>
            <w:color w:val="0000EE"/>
            <w:u w:val="single"/>
          </w:rPr>
          <w:t>Matthieu 13</w:t>
        </w:r>
      </w:hyperlink>
      <w:r>
        <w:t>). Les Béatitudes du Sermon sur la montagne (</w:t>
      </w:r>
      <w:hyperlink r:id="rId8699">
        <w:r>
          <w:rPr>
            <w:color w:val="0000EE"/>
            <w:u w:val="single"/>
          </w:rPr>
          <w:t>5:3–12</w:t>
        </w:r>
      </w:hyperlink>
      <w:r>
        <w:t>) renforcent le concept d’une bénédiction actuelle qui inclut le salut, le pardon et la justice. Ainsi, la vie éternelle est une bénédiction actuelle pour ceux qui se soumettent au règne de Dieu et jouissent de la bénédiction de ce nouveau siècle de salut avant la fin du siècle présent.</w:t>
      </w:r>
    </w:p>
    <w:p>
      <w:r/>
      <w:r>
        <w:t>La discussion ultime sur la vie éternelle est tirée de l’Évangile selon Jean. L’objectif de Jean souligne l’importance cruciale de ce concept : « Mais ces choses ont été écrites afin que vous croyiez que Jésus est le Christ, le Fils de Dieu, et qu’en croyant vous ayez la vie en son nom » (</w:t>
      </w:r>
      <w:hyperlink r:id="rId2500">
        <w:r>
          <w:rPr>
            <w:color w:val="0000EE"/>
            <w:u w:val="single"/>
          </w:rPr>
          <w:t>Jean 20:31</w:t>
        </w:r>
      </w:hyperlink>
      <w:r>
        <w:t xml:space="preserve">, lsg). Les premiers écrits johanniques faisant référence à la vie éternelle se trouvent en </w:t>
      </w:r>
      <w:hyperlink r:id="rId8700">
        <w:r>
          <w:rPr>
            <w:color w:val="0000EE"/>
            <w:u w:val="single"/>
          </w:rPr>
          <w:t>Jean 3:15</w:t>
        </w:r>
      </w:hyperlink>
      <w:r>
        <w:t>.</w:t>
      </w:r>
    </w:p>
    <w:p>
      <w:r/>
      <w:r>
        <w:t xml:space="preserve">Jean partageait clairement l’attente juive du siècle à venir avec ses bénédictions anticipées (à titre illustratif, </w:t>
      </w:r>
      <w:hyperlink r:id="rId8701">
        <w:r>
          <w:rPr>
            <w:color w:val="0000EE"/>
            <w:u w:val="single"/>
          </w:rPr>
          <w:t>Jean 3:36</w:t>
        </w:r>
      </w:hyperlink>
      <w:r>
        <w:t xml:space="preserve">; </w:t>
      </w:r>
      <w:hyperlink r:id="rId1978">
        <w:r>
          <w:rPr>
            <w:color w:val="0000EE"/>
            <w:u w:val="single"/>
          </w:rPr>
          <w:t>4:14</w:t>
        </w:r>
      </w:hyperlink>
      <w:r>
        <w:t xml:space="preserve">; </w:t>
      </w:r>
      <w:hyperlink r:id="rId8702">
        <w:r>
          <w:rPr>
            <w:color w:val="0000EE"/>
            <w:u w:val="single"/>
          </w:rPr>
          <w:t>5:29, 39</w:t>
        </w:r>
      </w:hyperlink>
      <w:r>
        <w:t xml:space="preserve">; </w:t>
      </w:r>
      <w:hyperlink r:id="rId8703">
        <w:r>
          <w:rPr>
            <w:color w:val="0000EE"/>
            <w:u w:val="single"/>
          </w:rPr>
          <w:t>6:27</w:t>
        </w:r>
      </w:hyperlink>
      <w:r>
        <w:t xml:space="preserve">; </w:t>
      </w:r>
      <w:hyperlink r:id="rId8704">
        <w:r>
          <w:rPr>
            <w:color w:val="0000EE"/>
            <w:u w:val="single"/>
          </w:rPr>
          <w:t>12:25</w:t>
        </w:r>
      </w:hyperlink>
      <w:r>
        <w:t xml:space="preserve">). La vie éternelle est définie par les dons spéciaux de l’ère messianique lorsqu’elle arrive à sa fin. La résurrection de Lazare (chapitre </w:t>
      </w:r>
      <w:hyperlink r:id="rId2112">
        <w:r>
          <w:rPr>
            <w:color w:val="0000EE"/>
            <w:u w:val="single"/>
          </w:rPr>
          <w:t>11</w:t>
        </w:r>
      </w:hyperlink>
      <w:r>
        <w:t xml:space="preserve">) était une parabole vivante démontrant la vie future offerte à ceux qui font confiance à Christ. Marthe, avant la résurrection effective de son frère, a affirmé sa conviction que Lazare serait ressuscité au dernier jour (verset </w:t>
      </w:r>
      <w:hyperlink r:id="rId8705">
        <w:r>
          <w:rPr>
            <w:color w:val="0000EE"/>
            <w:u w:val="single"/>
          </w:rPr>
          <w:t>24</w:t>
        </w:r>
      </w:hyperlink>
      <w:r>
        <w:t xml:space="preserve">). Jésus a répondu qu’il est lui-même la résurrection et la vie, et que ceux qui croient en lui ne mourront jamais, même s’ils meurent physiquement (versets </w:t>
      </w:r>
      <w:hyperlink r:id="rId8706">
        <w:r>
          <w:rPr>
            <w:color w:val="0000EE"/>
            <w:u w:val="single"/>
          </w:rPr>
          <w:t>25–26</w:t>
        </w:r>
      </w:hyperlink>
      <w:r>
        <w:t>).</w:t>
      </w:r>
    </w:p>
    <w:p>
      <w:r/>
      <w:r>
        <w:t>Toutefois, l’Évangile de Jean ne se concentre pas sur l’avenir anticipé, mais sur l’expérience actuelle de cette vie future. Pour le chrétien, la vie du siècle à venir est déjà disponible en Christ. Les métaphores par lesquelles Jésus a défini sa propre mission mettent l’accent sur la vie nouvelle actuelle : l’eau vive qui est une source d’eau jaillissant pour la vie éternelle (</w:t>
      </w:r>
      <w:hyperlink r:id="rId8707">
        <w:r>
          <w:rPr>
            <w:color w:val="0000EE"/>
            <w:u w:val="single"/>
          </w:rPr>
          <w:t>Jean 4:10–14</w:t>
        </w:r>
      </w:hyperlink>
      <w:r>
        <w:t>) ; le pain de vie qui satisfait la faim spirituelle du monde (</w:t>
      </w:r>
      <w:hyperlink r:id="rId8708">
        <w:r>
          <w:rPr>
            <w:color w:val="0000EE"/>
            <w:u w:val="single"/>
          </w:rPr>
          <w:t>6:35–40</w:t>
        </w:r>
      </w:hyperlink>
      <w:r>
        <w:t>) ; la lumière du monde qui conduit ses disciples à la lumière de la vie (</w:t>
      </w:r>
      <w:hyperlink r:id="rId1980">
        <w:r>
          <w:rPr>
            <w:color w:val="0000EE"/>
            <w:u w:val="single"/>
          </w:rPr>
          <w:t>8:12</w:t>
        </w:r>
      </w:hyperlink>
      <w:r>
        <w:t>) ; le bon berger qui apporte la vie en abondance (</w:t>
      </w:r>
      <w:hyperlink r:id="rId8709">
        <w:r>
          <w:rPr>
            <w:color w:val="0000EE"/>
            <w:u w:val="single"/>
          </w:rPr>
          <w:t>10:10</w:t>
        </w:r>
      </w:hyperlink>
      <w:r>
        <w:t>) ; le donneur de vie qui ressuscite les morts (</w:t>
      </w:r>
      <w:hyperlink r:id="rId1981">
        <w:r>
          <w:rPr>
            <w:color w:val="0000EE"/>
            <w:u w:val="single"/>
          </w:rPr>
          <w:t>11:25</w:t>
        </w:r>
      </w:hyperlink>
      <w:r>
        <w:t>) ; le chemin, la vérité et la vie (</w:t>
      </w:r>
      <w:hyperlink r:id="rId1982">
        <w:r>
          <w:rPr>
            <w:color w:val="0000EE"/>
            <w:u w:val="single"/>
          </w:rPr>
          <w:t>14:6</w:t>
        </w:r>
      </w:hyperlink>
      <w:r>
        <w:t>) ; et la vigne authentique qui soutient ceux qui demeurent en lui (</w:t>
      </w:r>
      <w:hyperlink r:id="rId8710">
        <w:r>
          <w:rPr>
            <w:color w:val="0000EE"/>
            <w:u w:val="single"/>
          </w:rPr>
          <w:t>15:5</w:t>
        </w:r>
      </w:hyperlink>
      <w:r>
        <w:t>).</w:t>
      </w:r>
    </w:p>
    <w:p>
      <w:r/>
      <w:r>
        <w:t>Jésus a pris soin de préciser que l’accomplissement de sa mission ne reposait pas sur sa nature et ses capacités, mais sur le Père qui l’avait envoyé. La soumission de Jésus au Père met à nouveau en évidence le fait que la vie est un don de Dieu. Ceux qui croient au Fils de Dieu reçoivent la vie que Dieu seul donne : la vie éternelle. Ainsi, la promesse de résurrection pour tous les chrétiens est la conséquence naturelle du don de Dieu (</w:t>
      </w:r>
      <w:hyperlink r:id="rId8711">
        <w:r>
          <w:rPr>
            <w:color w:val="0000EE"/>
            <w:u w:val="single"/>
          </w:rPr>
          <w:t>Jean 5:26–29</w:t>
        </w:r>
      </w:hyperlink>
      <w:r>
        <w:t xml:space="preserve">). Rendue explicite par la résurrection de Lazare, cette promesse est garantie par la résurrection de Christ en tant que « prémices » (selon la terminologie paulinienne, lsg </w:t>
      </w:r>
      <w:hyperlink r:id="rId5005">
        <w:r>
          <w:rPr>
            <w:color w:val="0000EE"/>
            <w:u w:val="single"/>
          </w:rPr>
          <w:t>1 Corinthiens 15:23</w:t>
        </w:r>
      </w:hyperlink>
      <w:r>
        <w:t>).</w:t>
      </w:r>
    </w:p>
    <w:p>
      <w:r/>
      <w:r>
        <w:t>Jésus a ajouté un contenu supplémentaire au concept de vie éternelle en le reliant à la connaissance du vrai Dieu (</w:t>
      </w:r>
      <w:hyperlink r:id="rId8562">
        <w:r>
          <w:rPr>
            <w:color w:val="0000EE"/>
            <w:u w:val="single"/>
          </w:rPr>
          <w:t>Jean 17:3</w:t>
        </w:r>
      </w:hyperlink>
      <w:r>
        <w:t xml:space="preserve">). Selon la pensée grecque, la connaissance renvoyait au résultat de la contemplation ou de l’extase mystique. Dans l’Ancien Testament, en revanche, la connaissance était synonyme d’expérience, de relation, de fraternité et d’intérêt (cf. </w:t>
      </w:r>
      <w:hyperlink r:id="rId579">
        <w:r>
          <w:rPr>
            <w:color w:val="0000EE"/>
            <w:u w:val="single"/>
          </w:rPr>
          <w:t>Jérémie 31:34</w:t>
        </w:r>
      </w:hyperlink>
      <w:r>
        <w:t xml:space="preserve">). Cette connotation de la connaissance en tant que relation intime est soulignée par l’utilisation de la forme verbale pour désigner les relations sexuelles entre un homme et une femme (cf. </w:t>
      </w:r>
      <w:hyperlink r:id="rId8712">
        <w:r>
          <w:rPr>
            <w:color w:val="0000EE"/>
            <w:u w:val="single"/>
          </w:rPr>
          <w:t>Genèse 4:1</w:t>
        </w:r>
      </w:hyperlink>
      <w:r>
        <w:t>). Jésus a déclaré : « Je suis le bon berger. Je connais mes brebis, et elles me connaissent, comme le Père me connait et comme je connais le Père. » (</w:t>
      </w:r>
      <w:hyperlink r:id="rId8713">
        <w:r>
          <w:rPr>
            <w:color w:val="0000EE"/>
            <w:u w:val="single"/>
          </w:rPr>
          <w:t>Jean 10:14–15</w:t>
        </w:r>
      </w:hyperlink>
      <w:r>
        <w:t>, lsg). La relation intime et mutuelle du Père et du Fils est le modèle de la relation entre le Fils et ses disciples. Cette connaissance n’est pas le fruit d’une éducation ou d’une manipulation de l’esprit, mais elle est révélée par le Fils (</w:t>
      </w:r>
      <w:hyperlink r:id="rId5734">
        <w:r>
          <w:rPr>
            <w:color w:val="0000EE"/>
            <w:u w:val="single"/>
          </w:rPr>
          <w:t>1:18</w:t>
        </w:r>
      </w:hyperlink>
      <w:r>
        <w:t xml:space="preserve">; cf. </w:t>
      </w:r>
      <w:hyperlink r:id="rId8714">
        <w:r>
          <w:rPr>
            <w:color w:val="0000EE"/>
            <w:u w:val="single"/>
          </w:rPr>
          <w:t>14:7</w:t>
        </w:r>
      </w:hyperlink>
      <w:r>
        <w:t>).</w:t>
      </w:r>
    </w:p>
    <w:p>
      <w:r/>
      <w:r>
        <w:t>Un aperçu des principaux éléments du concept de la vie éternelle montre clairement qu’il ne s’agit pas simplement d’une vie sans fin ou éternelle. Bien qu’il n’existe pas de limites définitives à la vie éternelle, la Bible met principalement l’accent sur la qualité de la vie, en particulier sur ses éléments divins. La vie éternelle est l’importation des qualités du siècle à venir dans le présent par la révélation d’un Dieu fidèle en Christ, et elle apporte la connaissance de la relation de Dieu avec Christ.</w:t>
      </w:r>
    </w:p>
    <w:p>
      <w:r/>
      <w:r>
        <w:rPr>
          <w:i/>
        </w:rPr>
        <w:t>Consultez aussi</w:t>
      </w:r>
      <w:r>
        <w:t xml:space="preserve"> </w:t>
      </w:r>
      <w:r>
        <w:t>Vie</w:t>
      </w:r>
      <w:r>
        <w:t xml:space="preserve">; </w:t>
      </w:r>
      <w:r>
        <w:t>Nouvelle création, la nouvelle créature</w:t>
      </w:r>
      <w:r>
        <w:t xml:space="preserve">; </w:t>
      </w:r>
      <w:r>
        <w:t>Régénération</w:t>
      </w:r>
      <w:r>
        <w:t>.</w:t>
      </w:r>
      <w:r/>
      <w:r/>
    </w:p>
    <w:p>
      <w:r/>
    </w:p>
    <w:p>
      <w:pPr>
        <w:pStyle w:val="Heading2"/>
      </w:pPr>
      <w:r>
        <w:t>La Voie</w:t>
      </w:r>
      <w:r/>
    </w:p>
    <w:p>
      <w:r/>
      <w:r>
        <w:t>« La Voie » est l'un des noms donnés à la première communauté chrétienne (</w:t>
      </w:r>
      <w:hyperlink r:id="rId8715">
        <w:r>
          <w:rPr>
            <w:color w:val="0000EE"/>
            <w:u w:val="single"/>
          </w:rPr>
          <w:t>Ac 9.2</w:t>
        </w:r>
      </w:hyperlink>
      <w:r>
        <w:t>). Tant les Juifs que les personnes irréligieuses utilisaient ce nom lorsqu'ils parlaient des chrétiens. Le nom apparaissait dans des discussions à la fois positives et négatives concernant l'Église (</w:t>
      </w:r>
      <w:hyperlink r:id="rId8716">
        <w:r>
          <w:rPr>
            <w:color w:val="0000EE"/>
            <w:u w:val="single"/>
          </w:rPr>
          <w:t>Ac 19.9, 23</w:t>
        </w:r>
      </w:hyperlink>
      <w:r>
        <w:t xml:space="preserve"> ; </w:t>
      </w:r>
      <w:hyperlink r:id="rId8164">
        <w:r>
          <w:rPr>
            <w:color w:val="0000EE"/>
            <w:u w:val="single"/>
          </w:rPr>
          <w:t>22.4</w:t>
        </w:r>
      </w:hyperlink>
      <w:r>
        <w:t xml:space="preserve"> ; </w:t>
      </w:r>
      <w:hyperlink r:id="rId8717">
        <w:r>
          <w:rPr>
            <w:color w:val="0000EE"/>
            <w:u w:val="single"/>
          </w:rPr>
          <w:t>24.14, 22</w:t>
        </w:r>
      </w:hyperlink>
      <w:r>
        <w:t>).</w:t>
      </w:r>
    </w:p>
    <w:p>
      <w:r/>
      <w:r>
        <w:t>L'apôtre Paul a utilisé le terme dans sa défense devant le gouverneur romain Félix. Cela suggère que le nom avait une certaine forme d'acceptation officielle (</w:t>
      </w:r>
      <w:hyperlink r:id="rId8717">
        <w:r>
          <w:rPr>
            <w:color w:val="0000EE"/>
            <w:u w:val="single"/>
          </w:rPr>
          <w:t>24.14, 22</w:t>
        </w:r>
      </w:hyperlink>
      <w:r>
        <w:t xml:space="preserve">). Il est très probable que ce nom provient de la déclaration de Jésus : « </w:t>
      </w:r>
      <w:r>
        <w:t>Je suis le chemin, la vérité, et la vie</w:t>
      </w:r>
      <w:r>
        <w:t xml:space="preserve"> » (</w:t>
      </w:r>
      <w:hyperlink r:id="rId1982">
        <w:r>
          <w:rPr>
            <w:color w:val="0000EE"/>
            <w:u w:val="single"/>
          </w:rPr>
          <w:t>Jn 14.6</w:t>
        </w:r>
      </w:hyperlink>
      <w:r>
        <w:t>).</w:t>
      </w:r>
      <w:r/>
      <w:r/>
    </w:p>
    <w:p>
      <w:r/>
    </w:p>
    <w:p>
      <w:pPr>
        <w:pStyle w:val="Heading2"/>
      </w:pPr>
      <w:r>
        <w:t>Laban (Personne)</w:t>
      </w:r>
      <w:r/>
    </w:p>
    <w:p>
      <w:r/>
      <w:r>
        <w:t>Fils de Bethuel (</w:t>
      </w:r>
      <w:hyperlink r:id="rId8718">
        <w:r>
          <w:rPr>
            <w:color w:val="0000EE"/>
            <w:u w:val="single"/>
          </w:rPr>
          <w:t>Gn 24.24, 29</w:t>
        </w:r>
      </w:hyperlink>
      <w:r>
        <w:t xml:space="preserve">), frère de Rebecca (v. </w:t>
      </w:r>
      <w:hyperlink r:id="rId8719">
        <w:r>
          <w:rPr>
            <w:color w:val="0000EE"/>
            <w:u w:val="single"/>
          </w:rPr>
          <w:t>15, 29</w:t>
        </w:r>
      </w:hyperlink>
      <w:r>
        <w:t>), père de Léa et Rachel (</w:t>
      </w:r>
      <w:hyperlink r:id="rId8720">
        <w:r>
          <w:rPr>
            <w:color w:val="0000EE"/>
            <w:u w:val="single"/>
          </w:rPr>
          <w:t>29.16</w:t>
        </w:r>
      </w:hyperlink>
      <w:r>
        <w:t>), et oncle et beau-père de Jacob. Les ancêtres de Laban vivaient à Ur, mais son père, Bethuel, était appelé l'Araméen de Paddan-Aram, et Laban est également désigné comme l'Araméen (</w:t>
      </w:r>
      <w:hyperlink r:id="rId1930">
        <w:r>
          <w:rPr>
            <w:color w:val="0000EE"/>
            <w:u w:val="single"/>
          </w:rPr>
          <w:t>25.20</w:t>
        </w:r>
      </w:hyperlink>
      <w:r>
        <w:t xml:space="preserve"> ; voir </w:t>
      </w:r>
      <w:hyperlink r:id="rId1931">
        <w:r>
          <w:rPr>
            <w:color w:val="0000EE"/>
            <w:u w:val="single"/>
          </w:rPr>
          <w:t>28.5</w:t>
        </w:r>
      </w:hyperlink>
      <w:r>
        <w:t>). Leur ville natale était Charan, qui se trouvait en Syrie et qui, comme Ur, était un centre du culte du dieu de la lune, Sin ou Nannar.</w:t>
      </w:r>
    </w:p>
    <w:p>
      <w:r/>
      <w:r>
        <w:t>Quand Isaac atteidra l'âge adulte, Abraham enverra son serviteur Éliézer à Charan pour trouver une épouse pour Isaac. Laban accueillera Éliézer avec hospitalité et fera des provisions pour lui et ses chameaux (</w:t>
      </w:r>
      <w:hyperlink r:id="rId8721">
        <w:r>
          <w:rPr>
            <w:color w:val="0000EE"/>
            <w:u w:val="single"/>
          </w:rPr>
          <w:t>Gn 24.29–33, 54</w:t>
        </w:r>
      </w:hyperlink>
      <w:r>
        <w:t xml:space="preserve">). Laban agissait en chef de la maison : il prend la décision concernant le mariage de Rebecca avec Isaac (v. </w:t>
      </w:r>
      <w:hyperlink r:id="rId8722">
        <w:r>
          <w:rPr>
            <w:color w:val="0000EE"/>
            <w:u w:val="single"/>
          </w:rPr>
          <w:t>50–51</w:t>
        </w:r>
      </w:hyperlink>
      <w:r>
        <w:t xml:space="preserve">), et c'est à lui et à sa mère qu'Éliézer fera des cadeaux d'ornements coûteux (v. </w:t>
      </w:r>
      <w:hyperlink r:id="rId8723">
        <w:r>
          <w:rPr>
            <w:color w:val="0000EE"/>
            <w:u w:val="single"/>
          </w:rPr>
          <w:t>53</w:t>
        </w:r>
      </w:hyperlink>
      <w:r>
        <w:t>).</w:t>
      </w:r>
    </w:p>
    <w:p>
      <w:r/>
      <w:r>
        <w:t>Laban joue un rôle important dans le récit de son neveu Jacob dans sa quête d'une épouse. Après la tromperie d'Isaac par Rébecca et Jacob, Rébecca craignait qu'Ésaü ne tue Jacob, et elle suggère alors qu'il fuie chez son frère, Laban (</w:t>
      </w:r>
      <w:hyperlink r:id="rId2404">
        <w:r>
          <w:rPr>
            <w:color w:val="0000EE"/>
            <w:u w:val="single"/>
          </w:rPr>
          <w:t>Gn 27.43</w:t>
        </w:r>
      </w:hyperlink>
      <w:r>
        <w:t>) ; entre-temps, elle persuadera Isaac que Jacob devait aller à Haran pour trouver une épouse parmi leur propre peuple. Lorsque Jacob arrive dans la région de Charan, il rencontra Rachel, la fille cadette de Laban, et sera chaleureusement accueilli (</w:t>
      </w:r>
      <w:hyperlink r:id="rId8724">
        <w:r>
          <w:rPr>
            <w:color w:val="0000EE"/>
            <w:u w:val="single"/>
          </w:rPr>
          <w:t>29.13</w:t>
        </w:r>
      </w:hyperlink>
      <w:r>
        <w:t>). Laban engage alors Jacob pour s'occuper de ses troupeaux, et il est convenu qu'après sept ans de travail, Jacob recevrait Rachel en guise de salaire. À la fin de cette période, Laban la substituera pour Léa, sa fille aînée. Devant les protestations de Jacob, les deux hommes décidèrent finalement que Jacob devrait servir sept années supplémentaires pour Rachel.</w:t>
      </w:r>
    </w:p>
    <w:p>
      <w:r/>
      <w:r>
        <w:t>Jacob et Laban étaient tous deux habitués des manigances et ont connus de sérieux différends concernant les salaires. Jacob proposera que ses salaires soient une certaine portion des troupeaux. Lorsque l'accord sera passé, le Seigneur bénit Jacob et ses troupeaux, et Laban se mettra en colère. Jacob affirmera que Laban avait changé ses salaires dix fois (</w:t>
      </w:r>
      <w:hyperlink r:id="rId8725">
        <w:r>
          <w:rPr>
            <w:color w:val="0000EE"/>
            <w:u w:val="single"/>
          </w:rPr>
          <w:t>Gn 31.7, 41</w:t>
        </w:r>
      </w:hyperlink>
      <w:r>
        <w:t>).</w:t>
      </w:r>
    </w:p>
    <w:p>
      <w:r/>
      <w:r>
        <w:t>Jacob fuira Charan. Laban le poursuivra parce qu'il lui manquait ses dieux domestiques, dont la possession faisait de celui qui les détenait l'héritier du domaine de Laban. Rachel les avait pris mais les avait habilement cachés lorsque son père s'était mis à leur recherche.</w:t>
      </w:r>
    </w:p>
    <w:p>
      <w:r/>
      <w:r>
        <w:t>Laban et Jacob se sépareront après avoir conclu une alliance de paix et érigé une colonne de pierres pour servir de témoin entre eux (</w:t>
      </w:r>
      <w:hyperlink r:id="rId8726">
        <w:r>
          <w:rPr>
            <w:color w:val="0000EE"/>
            <w:u w:val="single"/>
          </w:rPr>
          <w:t>Gn 31.46–50</w:t>
        </w:r>
      </w:hyperlink>
      <w:r>
        <w:t>).</w:t>
      </w:r>
    </w:p>
    <w:p>
      <w:r/>
      <w:r>
        <w:rPr>
          <w:i/>
        </w:rPr>
        <w:t>Voir aussi</w:t>
      </w:r>
      <w:r>
        <w:t xml:space="preserve"> </w:t>
      </w:r>
      <w:r>
        <w:t>Jacob n° 1</w:t>
      </w:r>
      <w:r>
        <w:t>.</w:t>
      </w:r>
      <w:r/>
      <w:r/>
    </w:p>
    <w:p>
      <w:r/>
    </w:p>
    <w:p>
      <w:pPr>
        <w:pStyle w:val="Heading2"/>
      </w:pPr>
      <w:r>
        <w:t>Lachaï-roï, Puits de</w:t>
      </w:r>
      <w:r/>
    </w:p>
    <w:p>
      <w:r/>
      <w:r>
        <w:t>Un puits entre Kadès et Béréd où Agar sera confrontée par l'ange du Seigneur lorsqu'elle était enceinte d'Ismaël (</w:t>
      </w:r>
      <w:hyperlink r:id="rId8727">
        <w:r>
          <w:rPr>
            <w:color w:val="0000EE"/>
            <w:u w:val="single"/>
          </w:rPr>
          <w:t>Gn 16.7–14</w:t>
        </w:r>
      </w:hyperlink>
      <w:r>
        <w:t>). Beer-</w:t>
      </w:r>
      <w:r>
        <w:t>lachaï-roï</w:t>
      </w:r>
      <w:r>
        <w:t xml:space="preserve"> signifie « le puits du Vivant qui me voit ». Cela fait référence à l'apparition de Dieu à la servante de Saraï. Plus tard, Isaac l'utilisait souvent comme point d'eau lors de ses voyages (</w:t>
      </w:r>
      <w:hyperlink r:id="rId8728">
        <w:r>
          <w:rPr>
            <w:color w:val="0000EE"/>
            <w:u w:val="single"/>
          </w:rPr>
          <w:t>Gn 24.62</w:t>
        </w:r>
      </w:hyperlink>
      <w:r>
        <w:t xml:space="preserve"> ; </w:t>
      </w:r>
      <w:hyperlink r:id="rId6827">
        <w:r>
          <w:rPr>
            <w:color w:val="0000EE"/>
            <w:u w:val="single"/>
          </w:rPr>
          <w:t>25.11</w:t>
        </w:r>
      </w:hyperlink>
      <w:r>
        <w:t>).</w:t>
      </w:r>
      <w:r/>
      <w:r/>
    </w:p>
    <w:p>
      <w:r/>
    </w:p>
    <w:p>
      <w:pPr>
        <w:pStyle w:val="Heading2"/>
      </w:pPr>
      <w:r>
        <w:t>Langues de feu</w:t>
      </w:r>
      <w:r/>
    </w:p>
    <w:p>
      <w:r/>
      <w:r>
        <w:t xml:space="preserve">Phrase dans </w:t>
      </w:r>
      <w:hyperlink r:id="rId8729">
        <w:r>
          <w:rPr>
            <w:color w:val="0000EE"/>
            <w:u w:val="single"/>
          </w:rPr>
          <w:t>Actes 2.3</w:t>
        </w:r>
      </w:hyperlink>
      <w:r>
        <w:t xml:space="preserve"> employée pour décrire l'apparence physique de l'Esprit. Les langues de feu semblent accomplir la prédiction de Jean Baptiste selon laquelle celui qui vient après lui baptiserait du Saint-Esprit et de feu (</w:t>
      </w:r>
      <w:hyperlink r:id="rId1647">
        <w:r>
          <w:rPr>
            <w:color w:val="0000EE"/>
            <w:u w:val="single"/>
          </w:rPr>
          <w:t>Mt 3.11</w:t>
        </w:r>
      </w:hyperlink>
      <w:r>
        <w:t xml:space="preserve"> ; </w:t>
      </w:r>
      <w:hyperlink r:id="rId1648">
        <w:r>
          <w:rPr>
            <w:color w:val="0000EE"/>
            <w:u w:val="single"/>
          </w:rPr>
          <w:t>Lc 3.16</w:t>
        </w:r>
      </w:hyperlink>
      <w:r>
        <w:t>). Les disciples sont décrits comme étant remplis du Saint-Esprit, accomplissant la promesse de l'Ancien Testament que Jean Baptiste et Jésus ont répétée au sujet du baptême de l'Esprit.</w:t>
      </w:r>
    </w:p>
    <w:p>
      <w:r/>
      <w:r>
        <w:rPr>
          <w:i/>
        </w:rPr>
        <w:t>Voir aussi</w:t>
      </w:r>
      <w:r>
        <w:t xml:space="preserve"> </w:t>
      </w:r>
      <w:r>
        <w:t>Pentecôte</w:t>
      </w:r>
      <w:r>
        <w:t>.</w:t>
      </w:r>
      <w:r/>
      <w:r/>
    </w:p>
    <w:p>
      <w:r/>
    </w:p>
    <w:p>
      <w:pPr>
        <w:pStyle w:val="Heading2"/>
      </w:pPr>
      <w:r>
        <w:t>Langues, parler en</w:t>
      </w:r>
      <w:r/>
    </w:p>
    <w:p>
      <w:r/>
      <w:r>
        <w:t xml:space="preserve">Lorsque quelqu'un s'exprime dans une langue qu'il n'a pas apprise. Il s'agit d'un don spécial de Dieu. Le mot grec est </w:t>
      </w:r>
      <w:r>
        <w:rPr>
          <w:i/>
        </w:rPr>
        <w:t>glossolalia</w:t>
      </w:r>
      <w:r>
        <w:t xml:space="preserve">, qui signifie « parler en langues ». Il s'agit d'une combinaison du mot </w:t>
      </w:r>
      <w:r>
        <w:rPr>
          <w:i/>
        </w:rPr>
        <w:t>laleô</w:t>
      </w:r>
      <w:r>
        <w:t xml:space="preserve"> (« parler ») et </w:t>
      </w:r>
      <w:r>
        <w:rPr>
          <w:i/>
        </w:rPr>
        <w:t>glossa</w:t>
      </w:r>
      <w:r>
        <w:t xml:space="preserve"> (« langue »).</w:t>
      </w:r>
    </w:p>
    <w:p>
      <w:pPr>
        <w:pStyle w:val="Heading3"/>
      </w:pPr>
      <w:r>
        <w:t>Première apparition dans l'Église primitive</w:t>
      </w:r>
    </w:p>
    <w:p>
      <w:r/>
      <w:r>
        <w:t>La première fois que des personnes ont parlé en langues était le jour de la Pentecôte. Ce jour-là, le Saint-Esprit a rempli cent vingt chrétiens qui se réunissaient. Ils ont commencé à louer Dieu dans de nombreuses langues différentes qu'ils n'avaient jamais apprises. Des personnes d'environ seize nations différentes qui étaient à Jérusalem pouvaient comprendre ce que les chrétiens disaient parce que chaque personne entendait le message (la Bonne Nouvelle concernant Jésus) dans sa propre langue (</w:t>
      </w:r>
      <w:hyperlink r:id="rId8730">
        <w:r>
          <w:rPr>
            <w:color w:val="0000EE"/>
            <w:u w:val="single"/>
          </w:rPr>
          <w:t>Ac 2.8–11</w:t>
        </w:r>
      </w:hyperlink>
      <w:r>
        <w:t>).</w:t>
      </w:r>
    </w:p>
    <w:p>
      <w:pPr>
        <w:pStyle w:val="Heading3"/>
      </w:pPr>
      <w:r>
        <w:t>Autres occasions où des gens ont parlé en langues</w:t>
      </w:r>
    </w:p>
    <w:p>
      <w:r/>
      <w:r>
        <w:t>Plus tard dans le livre des Actes, d'autres groupes de personnes ont également parlé en langues lorsqu'ils ont reçu le Saint-Esprit (</w:t>
      </w:r>
      <w:hyperlink r:id="rId8731">
        <w:r>
          <w:rPr>
            <w:color w:val="0000EE"/>
            <w:u w:val="single"/>
          </w:rPr>
          <w:t>10.46</w:t>
        </w:r>
      </w:hyperlink>
      <w:r>
        <w:t xml:space="preserve"> ; </w:t>
      </w:r>
      <w:hyperlink r:id="rId8732">
        <w:r>
          <w:rPr>
            <w:color w:val="0000EE"/>
            <w:u w:val="single"/>
          </w:rPr>
          <w:t>19.6</w:t>
        </w:r>
      </w:hyperlink>
      <w:r>
        <w:t xml:space="preserve">). Cependant, tout le monde n'a pas parlé en langues lorsqu'ils ont reçu l'Esprit (voir </w:t>
      </w:r>
      <w:hyperlink r:id="rId8733">
        <w:r>
          <w:rPr>
            <w:color w:val="0000EE"/>
            <w:u w:val="single"/>
          </w:rPr>
          <w:t>8.15</w:t>
        </w:r>
      </w:hyperlink>
      <w:hyperlink r:id="rId8730">
        <w:r>
          <w:rPr>
            <w:color w:val="0000EE"/>
            <w:u w:val="single"/>
          </w:rPr>
          <w:t>–</w:t>
        </w:r>
      </w:hyperlink>
      <w:hyperlink r:id="rId8733">
        <w:r>
          <w:rPr>
            <w:color w:val="0000EE"/>
            <w:u w:val="single"/>
          </w:rPr>
          <w:t>17</w:t>
        </w:r>
      </w:hyperlink>
      <w:r>
        <w:t>). Cela montre que parler en langues n'était pas le seul signe que quelqu'un avait reçu le Saint-Esprit. La Bible enseigne que tous les croyants reçoivent le Saint-Esprit lorsqu'ils deviennent membres de l'Église, qui est appelée le corps de Christ (</w:t>
      </w:r>
      <w:hyperlink r:id="rId8734">
        <w:r>
          <w:rPr>
            <w:color w:val="0000EE"/>
            <w:u w:val="single"/>
          </w:rPr>
          <w:t>1Co 12.13</w:t>
        </w:r>
      </w:hyperlink>
      <w:r>
        <w:t xml:space="preserve">). La véritable preuve que le Saint-Esprit agit dans la vie de quelqu'un est le « fruit de l'Esprit » tel que décrit dans </w:t>
      </w:r>
      <w:hyperlink r:id="rId2331">
        <w:r>
          <w:rPr>
            <w:color w:val="0000EE"/>
            <w:u w:val="single"/>
          </w:rPr>
          <w:t>Ga 5.22</w:t>
        </w:r>
      </w:hyperlink>
      <w:hyperlink r:id="rId8730">
        <w:r>
          <w:rPr>
            <w:color w:val="0000EE"/>
            <w:u w:val="single"/>
          </w:rPr>
          <w:t>–</w:t>
        </w:r>
      </w:hyperlink>
      <w:hyperlink r:id="rId2331">
        <w:r>
          <w:rPr>
            <w:color w:val="0000EE"/>
            <w:u w:val="single"/>
          </w:rPr>
          <w:t>23</w:t>
        </w:r>
      </w:hyperlink>
      <w:r>
        <w:t xml:space="preserve"> :</w:t>
      </w:r>
    </w:p>
    <w:p>
      <w:pPr>
        <w:pStyle w:val="ListBullet"/>
        <w:spacing w:line="240" w:lineRule="auto"/>
        <w:ind w:left="720"/>
      </w:pPr>
      <w:r/>
      <w:r>
        <w:t>Amour</w:t>
      </w:r>
    </w:p>
    <w:p>
      <w:pPr>
        <w:pStyle w:val="ListBullet"/>
        <w:spacing w:line="240" w:lineRule="auto"/>
        <w:ind w:left="720"/>
      </w:pPr>
      <w:r/>
      <w:r>
        <w:t>Joie</w:t>
      </w:r>
    </w:p>
    <w:p>
      <w:pPr>
        <w:pStyle w:val="ListBullet"/>
        <w:spacing w:line="240" w:lineRule="auto"/>
        <w:ind w:left="720"/>
      </w:pPr>
      <w:r/>
      <w:r>
        <w:t>Paix</w:t>
      </w:r>
    </w:p>
    <w:p>
      <w:pPr>
        <w:pStyle w:val="ListBullet"/>
        <w:spacing w:line="240" w:lineRule="auto"/>
        <w:ind w:left="720"/>
      </w:pPr>
      <w:r/>
      <w:r>
        <w:t>Patience</w:t>
      </w:r>
    </w:p>
    <w:p>
      <w:pPr>
        <w:pStyle w:val="ListBullet"/>
        <w:spacing w:line="240" w:lineRule="auto"/>
        <w:ind w:left="720"/>
      </w:pPr>
      <w:r/>
      <w:r>
        <w:t>Bonté</w:t>
      </w:r>
    </w:p>
    <w:p>
      <w:pPr>
        <w:pStyle w:val="ListBullet"/>
        <w:spacing w:line="240" w:lineRule="auto"/>
        <w:ind w:left="720"/>
      </w:pPr>
      <w:r/>
      <w:r>
        <w:t>Bénignité (gentillesse)</w:t>
      </w:r>
    </w:p>
    <w:p>
      <w:pPr>
        <w:pStyle w:val="ListBullet"/>
        <w:spacing w:line="240" w:lineRule="auto"/>
        <w:ind w:left="720"/>
      </w:pPr>
      <w:r/>
      <w:r>
        <w:t>Fidélité</w:t>
      </w:r>
    </w:p>
    <w:p>
      <w:pPr>
        <w:pStyle w:val="ListBullet"/>
        <w:spacing w:line="240" w:lineRule="auto"/>
        <w:ind w:left="720"/>
      </w:pPr>
      <w:r/>
      <w:r>
        <w:t>Douceur</w:t>
      </w:r>
    </w:p>
    <w:p>
      <w:pPr>
        <w:pStyle w:val="ListBullet"/>
        <w:spacing w:line="240" w:lineRule="auto"/>
        <w:ind w:left="720"/>
      </w:pPr>
      <w:r/>
      <w:r>
        <w:t>Tempérance (ou maîtrise de soi)</w:t>
      </w:r>
    </w:p>
    <w:p>
      <w:pPr>
        <w:pStyle w:val="Heading3"/>
      </w:pPr>
      <w:r>
        <w:t>Utilisation publique et privée du parler en langues</w:t>
      </w:r>
    </w:p>
    <w:p>
      <w:r/>
      <w:r>
        <w:t>Dans les premiers temps de l'Église, certains chrétiens parlaient en langues et d'autres non. Paul enseignait qu'un interprète devait être présent si le parler en langues se faisait publiquement à l'Église. Si personne ne pouvait interpréter, les langues devaient être utilisées en privé comme moyen de prier et d'adorer Dieu. Dans ces cas, la personne parle à elle-même et à Dieu (</w:t>
      </w:r>
      <w:hyperlink r:id="rId6816">
        <w:r>
          <w:rPr>
            <w:color w:val="0000EE"/>
            <w:u w:val="single"/>
          </w:rPr>
          <w:t>1Co 14.28</w:t>
        </w:r>
      </w:hyperlink>
      <w:r>
        <w:t>). Cela diffère du parler en langues lors des réunions d'Église, qui nécessite que quelqu'un interprète le message pour que tout le monde comprenne.</w:t>
      </w:r>
    </w:p>
    <w:p>
      <w:r/>
      <w:r>
        <w:t>Cependant, dans certaines conditions décrites par Paul, le parler en langues peut devenir l'un des dons spirituels utilisés dans le ministère exercé envers l'Église pour le bien commun. La préoccupation principale est que le parler en langues en public ne devrait pas se limiter à prier ou parler sans interprétation.</w:t>
      </w:r>
    </w:p>
    <w:p>
      <w:pPr>
        <w:pStyle w:val="Heading3"/>
      </w:pPr>
      <w:r>
        <w:t>Règles pour parler en langues dans l'Église</w:t>
      </w:r>
    </w:p>
    <w:p>
      <w:r/>
      <w:r>
        <w:t>L'apôtre Paul a donné des règles claires concernant le parler en langues lors des réunions d'Église. Ces règles visent à garantir que le don de parler en langues serve l'Église et ne devienne pas un moyen de rechercher un épanouissement personnel (</w:t>
      </w:r>
      <w:hyperlink r:id="rId3284">
        <w:r>
          <w:rPr>
            <w:color w:val="0000EE"/>
            <w:u w:val="single"/>
          </w:rPr>
          <w:t>1Co 14.27</w:t>
        </w:r>
      </w:hyperlink>
      <w:hyperlink r:id="rId8730">
        <w:r>
          <w:rPr>
            <w:color w:val="0000EE"/>
            <w:u w:val="single"/>
          </w:rPr>
          <w:t>–</w:t>
        </w:r>
      </w:hyperlink>
      <w:hyperlink r:id="rId3284">
        <w:r>
          <w:rPr>
            <w:color w:val="0000EE"/>
            <w:u w:val="single"/>
          </w:rPr>
          <w:t>33</w:t>
        </w:r>
      </w:hyperlink>
      <w:r>
        <w:t>) :</w:t>
      </w:r>
    </w:p>
    <w:p>
      <w:pPr>
        <w:pStyle w:val="ListNumber"/>
        <w:spacing w:line="240" w:lineRule="auto"/>
        <w:ind w:left="720"/>
      </w:pPr>
      <w:r/>
      <w:r>
        <w:t>Seules une, deux ou trois personnes devraient parler en langues pendant un culte.</w:t>
      </w:r>
    </w:p>
    <w:p>
      <w:pPr>
        <w:pStyle w:val="ListNumber"/>
        <w:spacing w:line="240" w:lineRule="auto"/>
        <w:ind w:left="720"/>
      </w:pPr>
      <w:r/>
      <w:r>
        <w:t>Ces personnes devraient parler une à la fois, et non toutes en même temps.</w:t>
      </w:r>
    </w:p>
    <w:p>
      <w:pPr>
        <w:pStyle w:val="ListNumber"/>
        <w:spacing w:line="240" w:lineRule="auto"/>
        <w:ind w:left="720"/>
      </w:pPr>
      <w:r/>
      <w:r>
        <w:t>Quelqu'un doit être présent pour expliquer (interpréter) ce qui est dit en langues. Si personne ne peut interpréter, la personne ne doit pas parler en langues pendant le culte.</w:t>
      </w:r>
    </w:p>
    <w:p>
      <w:pPr>
        <w:pStyle w:val="ListNumber"/>
        <w:spacing w:line="240" w:lineRule="auto"/>
        <w:ind w:left="720"/>
      </w:pPr>
      <w:r/>
      <w:r>
        <w:t>La personne qui parle en langues ne doit pas être la même personne qui interprète le message (</w:t>
      </w:r>
      <w:hyperlink r:id="rId8735">
        <w:r>
          <w:rPr>
            <w:color w:val="0000EE"/>
            <w:u w:val="single"/>
          </w:rPr>
          <w:t>1Co 12.10</w:t>
        </w:r>
      </w:hyperlink>
      <w:r>
        <w:t>).</w:t>
      </w:r>
    </w:p>
    <w:p>
      <w:pPr>
        <w:pStyle w:val="ListNumber"/>
        <w:spacing w:line="240" w:lineRule="auto"/>
        <w:ind w:left="720"/>
      </w:pPr>
      <w:r/>
      <w:r>
        <w:t>S'il y a trop de personnes qui parlent en langues et pas assez d'interprètes, les gens devraient prier pour avoir la capacité d'interpréter à la place (</w:t>
      </w:r>
      <w:hyperlink r:id="rId8736">
        <w:r>
          <w:rPr>
            <w:color w:val="0000EE"/>
            <w:u w:val="single"/>
          </w:rPr>
          <w:t>1Co 14.13</w:t>
        </w:r>
      </w:hyperlink>
      <w:r>
        <w:t>).</w:t>
      </w:r>
    </w:p>
    <w:p>
      <w:pPr>
        <w:pStyle w:val="ListNumber"/>
        <w:spacing w:line="240" w:lineRule="auto"/>
        <w:ind w:left="720"/>
      </w:pPr>
      <w:r/>
      <w:r>
        <w:t>Après qu'une personne a interprété les langues dans une langue courante, d'autres devraient évaluer si le message est en accord avec la vérité de Dieu.</w:t>
      </w:r>
    </w:p>
    <w:p>
      <w:pPr>
        <w:pStyle w:val="ListNumber"/>
        <w:spacing w:line="240" w:lineRule="auto"/>
        <w:ind w:left="720"/>
      </w:pPr>
      <w:r/>
      <w:r>
        <w:t>Les personnes ayant le don de discernement (la capacité de déterminer si quelque chose vient vraiment de Dieu) devraient éprouver tout ce qui est dit (</w:t>
      </w:r>
      <w:hyperlink r:id="rId8735">
        <w:r>
          <w:rPr>
            <w:color w:val="0000EE"/>
            <w:u w:val="single"/>
          </w:rPr>
          <w:t>1Co 12.10</w:t>
        </w:r>
      </w:hyperlink>
      <w:r>
        <w:t>).</w:t>
      </w:r>
    </w:p>
    <w:p>
      <w:r/>
      <w:r>
        <w:t>Les gens devraient toujours garder le contrôle d'eux-mêmes pendant le culte. Ils ne devraient pas attribuer un comportement inhabituel au fait d'être « emportés par l'Esprit ». Dieu apporte la paix et l'unité, pas le désordre et la confusion.</w:t>
      </w:r>
    </w:p>
    <w:p>
      <w:r/>
      <w:r>
        <w:t>Paul a enseigné que les chrétiens ne devraient pas chercher spécifiquement le don de parler en langues. Au lieu de cela, ils devraient désirer des dons qui aident tout le monde à comprendre clairement le message de Dieu (</w:t>
      </w:r>
      <w:hyperlink r:id="rId8737">
        <w:r>
          <w:rPr>
            <w:color w:val="0000EE"/>
            <w:u w:val="single"/>
          </w:rPr>
          <w:t>1Co 12.31</w:t>
        </w:r>
      </w:hyperlink>
      <w:r>
        <w:t xml:space="preserve"> ; </w:t>
      </w:r>
      <w:hyperlink r:id="rId8738">
        <w:r>
          <w:rPr>
            <w:color w:val="0000EE"/>
            <w:u w:val="single"/>
          </w:rPr>
          <w:t>14.1, 5</w:t>
        </w:r>
      </w:hyperlink>
      <w:r>
        <w:t>). Cependant, si quelqu'un a le don des langues, il ne devrait pas être empêché de l'utiliser, tant qu'il suit ces règles et l'utilise pour aider les autres.</w:t>
      </w:r>
    </w:p>
    <w:p>
      <w:r/>
      <w:r>
        <w:rPr>
          <w:i/>
        </w:rPr>
        <w:t>Voir</w:t>
      </w:r>
      <w:r>
        <w:t xml:space="preserve"> </w:t>
      </w:r>
      <w:r>
        <w:t>Baptême de l'Esprit</w:t>
      </w:r>
      <w:r>
        <w:t xml:space="preserve"> ; </w:t>
      </w:r>
      <w:r>
        <w:t>Dons spirituels</w:t>
      </w:r>
      <w:r>
        <w:t>.</w:t>
      </w:r>
      <w:r/>
      <w:r/>
    </w:p>
    <w:p>
      <w:r/>
    </w:p>
    <w:p>
      <w:pPr>
        <w:pStyle w:val="Heading2"/>
      </w:pPr>
      <w:r>
        <w:t>Lasée</w:t>
      </w:r>
      <w:r/>
    </w:p>
    <w:p>
      <w:r/>
      <w:r>
        <w:t>Ville portuaire sur l'île de Crète, située à environ 8 km à l'est de Beaux Ports. Le navire de l'apôtre Paul est passé par Lasée en route vers l'Italie (</w:t>
      </w:r>
      <w:hyperlink r:id="rId1724">
        <w:r>
          <w:rPr>
            <w:color w:val="0000EE"/>
            <w:u w:val="single"/>
          </w:rPr>
          <w:t>Ac 27.8</w:t>
        </w:r>
      </w:hyperlink>
      <w:r>
        <w:t>).</w:t>
      </w:r>
    </w:p>
    <w:p>
      <w:r/>
      <w:r>
        <w:t xml:space="preserve">Nous ne savons pas grand-chose sur Lasée. Elle est probablement en ruines près de Beaux Ports. Il se peut qu'il s'agisse de la même ville que Lasos, mentionnée par Pline l'Ancien dans son </w:t>
      </w:r>
      <w:r>
        <w:rPr>
          <w:i/>
        </w:rPr>
        <w:t>Histoire Naturelle</w:t>
      </w:r>
      <w:r>
        <w:t xml:space="preserve"> (4.12.59). Pline dit que Lasée était célèbre dans le monde antique. Sa région comptait cent villes et était l'un des ports les plus importants de Crète.</w:t>
      </w:r>
      <w:r/>
      <w:r/>
    </w:p>
    <w:p>
      <w:r/>
    </w:p>
    <w:p>
      <w:pPr>
        <w:pStyle w:val="Heading2"/>
      </w:pPr>
      <w:r>
        <w:t>Le blasphème</w:t>
      </w:r>
      <w:r/>
    </w:p>
    <w:p>
      <w:r/>
      <w:r>
        <w:t>Le blasphème est une parole ou un écrit profane ou méprisant à l’égard de (ou une action envers) Dieu. En général, le terme « blasphème » fait référence à toute calomnie, à l’instar de toute parole ou action dans le but d’insulter ou de dévaloriser un autre être humain. Dans la littérature grecque, ce terme était employé pour insulter ou pour tourner des personnes vivantes ou mortes en ridicule, mais son sens s’est élargi pour également faire allusion aux dieux, notamment pour douter de la puissance ou pour se moquer de la nature d’un dieu.</w:t>
      </w:r>
    </w:p>
    <w:p>
      <w:r/>
      <w:r>
        <w:t>Dans l’Ancien Testament, le terme « blasphème » signifie toujours insulter Dieu, soit en l’attaquant directement, soit en se moquant de lui de manière indirecte. Dans les deux cas, la gloire et l’honneur de Dieu sont diminués ; ainsi, le blasphème est le contraire de l’éloge. Un Israélite peut directement insulter le « nom » en maudissant Dieu (</w:t>
      </w:r>
      <w:hyperlink r:id="rId8739">
        <w:r>
          <w:rPr>
            <w:color w:val="0000EE"/>
            <w:u w:val="single"/>
          </w:rPr>
          <w:t>Lévitique 24:10–16</w:t>
        </w:r>
      </w:hyperlink>
      <w:r>
        <w:t>) ou désobéir intentionnellement à la loi de Dieu (</w:t>
      </w:r>
      <w:hyperlink r:id="rId5100">
        <w:r>
          <w:rPr>
            <w:color w:val="0000EE"/>
            <w:u w:val="single"/>
          </w:rPr>
          <w:t>Nombres 15:30</w:t>
        </w:r>
      </w:hyperlink>
      <w:r>
        <w:t>). Ces deux cas de blasphème étaient punis de mort, tout comme l’idolâtrie, le blasphème ultime (</w:t>
      </w:r>
      <w:hyperlink r:id="rId8740">
        <w:r>
          <w:rPr>
            <w:color w:val="0000EE"/>
            <w:u w:val="single"/>
          </w:rPr>
          <w:t>Ésaïe 66:3</w:t>
        </w:r>
      </w:hyperlink>
      <w:r>
        <w:t>). On pensait que les Païens, qui n’avaient jamais fait l’expérience de la puissance et de la majesté du Seigneur, étaient les plus susceptibles de blasphémer. Ainsi, le roi d’Assyrie a blasphémé en assimilant le Seigneur aux dieux des nations qu’il avait déjà conquises (</w:t>
      </w:r>
      <w:hyperlink r:id="rId8741">
        <w:r>
          <w:rPr>
            <w:color w:val="0000EE"/>
            <w:u w:val="single"/>
          </w:rPr>
          <w:t>2 Rois 19:4–6, 22</w:t>
        </w:r>
      </w:hyperlink>
      <w:r>
        <w:t>). À cause de son arrogance, ce roi a été condamné par la parole du prophète Ésaïe. L’exil du peuple d’Israël a également fait de Dieu un sujet de moquerie (</w:t>
      </w:r>
      <w:hyperlink r:id="rId8742">
        <w:r>
          <w:rPr>
            <w:color w:val="0000EE"/>
            <w:u w:val="single"/>
          </w:rPr>
          <w:t>Ésaïe 52:5</w:t>
        </w:r>
      </w:hyperlink>
      <w:r>
        <w:t>), lorsqu’Édom a tourné en dérision les dévastées « montagnes d’Israël » (</w:t>
      </w:r>
      <w:hyperlink r:id="rId8743">
        <w:r>
          <w:rPr>
            <w:color w:val="0000EE"/>
            <w:u w:val="single"/>
          </w:rPr>
          <w:t>Ézéchiel 35:12</w:t>
        </w:r>
      </w:hyperlink>
      <w:r>
        <w:t>, lsg),et lorsque l’ennemi s’est moqué du fait que Dieu n’avait pas protégé Jérusalem (</w:t>
      </w:r>
      <w:hyperlink r:id="rId8744">
        <w:r>
          <w:rPr>
            <w:color w:val="0000EE"/>
            <w:u w:val="single"/>
          </w:rPr>
          <w:t>Psaume 74:18</w:t>
        </w:r>
      </w:hyperlink>
      <w:r>
        <w:t xml:space="preserve">; </w:t>
      </w:r>
      <w:hyperlink r:id="rId8745">
        <w:r>
          <w:rPr>
            <w:color w:val="0000EE"/>
            <w:u w:val="single"/>
          </w:rPr>
          <w:t>1 Maccabées 2:6</w:t>
        </w:r>
      </w:hyperlink>
      <w:r>
        <w:t>).</w:t>
      </w:r>
    </w:p>
    <w:p>
      <w:r/>
      <w:r>
        <w:t>Dans le Nouveau Testament, le blasphème prend le sens grec le plus large, car il inclut le fait de calomnier un être humain (</w:t>
      </w:r>
      <w:hyperlink r:id="rId6705">
        <w:r>
          <w:rPr>
            <w:color w:val="0000EE"/>
            <w:u w:val="single"/>
          </w:rPr>
          <w:t>Matthieu 15:19</w:t>
        </w:r>
      </w:hyperlink>
      <w:r>
        <w:t xml:space="preserve">; consultez aussi </w:t>
      </w:r>
      <w:hyperlink r:id="rId8746">
        <w:r>
          <w:rPr>
            <w:color w:val="0000EE"/>
            <w:u w:val="single"/>
          </w:rPr>
          <w:t>Romains 3:8</w:t>
        </w:r>
      </w:hyperlink>
      <w:r>
        <w:t xml:space="preserve">; </w:t>
      </w:r>
      <w:hyperlink r:id="rId8747">
        <w:r>
          <w:rPr>
            <w:color w:val="0000EE"/>
            <w:u w:val="single"/>
          </w:rPr>
          <w:t>1 Corinthiens 10:30</w:t>
        </w:r>
      </w:hyperlink>
      <w:r>
        <w:t xml:space="preserve">; </w:t>
      </w:r>
      <w:hyperlink r:id="rId8748">
        <w:r>
          <w:rPr>
            <w:color w:val="0000EE"/>
            <w:u w:val="single"/>
          </w:rPr>
          <w:t>Éphésiens 4:31</w:t>
        </w:r>
      </w:hyperlink>
      <w:r>
        <w:t xml:space="preserve">; </w:t>
      </w:r>
      <w:hyperlink r:id="rId8749">
        <w:r>
          <w:rPr>
            <w:color w:val="0000EE"/>
            <w:u w:val="single"/>
          </w:rPr>
          <w:t>Tite 3:2</w:t>
        </w:r>
      </w:hyperlink>
      <w:r>
        <w:t>), et même Dieu. Ce sens se rapporte également au fait de se moquer des puissances angéliques ou démoniaques, une mauvaise attitude envers tout autre être (</w:t>
      </w:r>
      <w:hyperlink r:id="rId8750">
        <w:r>
          <w:rPr>
            <w:color w:val="0000EE"/>
            <w:u w:val="single"/>
          </w:rPr>
          <w:t>2 Pierre 2:10–12</w:t>
        </w:r>
      </w:hyperlink>
      <w:r>
        <w:t xml:space="preserve">, </w:t>
      </w:r>
      <w:hyperlink r:id="rId8751">
        <w:r>
          <w:rPr>
            <w:color w:val="0000EE"/>
            <w:u w:val="single"/>
          </w:rPr>
          <w:t>Jude 1:8–10</w:t>
        </w:r>
      </w:hyperlink>
      <w:r>
        <w:t>). En d’autres termes, la calomnie, la dérision et la moquerie de toute sorte sont fortement condamnées par le Nouveau Testament.</w:t>
      </w:r>
    </w:p>
    <w:p>
      <w:r/>
      <w:r>
        <w:t>Dans le Nouveau Testament, la forme de blasphème la plus courante est le blasphème contre Dieu. Un individu pourrait insulter Dieu directement (</w:t>
      </w:r>
      <w:hyperlink r:id="rId8752">
        <w:r>
          <w:rPr>
            <w:color w:val="0000EE"/>
            <w:u w:val="single"/>
          </w:rPr>
          <w:t>Apocalypse 13:6</w:t>
        </w:r>
      </w:hyperlink>
      <w:r>
        <w:t xml:space="preserve">; </w:t>
      </w:r>
      <w:hyperlink r:id="rId8753">
        <w:r>
          <w:rPr>
            <w:color w:val="0000EE"/>
            <w:u w:val="single"/>
          </w:rPr>
          <w:t>16:9</w:t>
        </w:r>
      </w:hyperlink>
      <w:r>
        <w:t>), se moquer de sa Parole (</w:t>
      </w:r>
      <w:hyperlink r:id="rId8754">
        <w:r>
          <w:rPr>
            <w:color w:val="0000EE"/>
            <w:u w:val="single"/>
          </w:rPr>
          <w:t>Tite 2:5</w:t>
        </w:r>
      </w:hyperlink>
      <w:r>
        <w:t>), ou rejeter sa révélation et le porteur de cette révélation (</w:t>
      </w:r>
      <w:hyperlink r:id="rId8755">
        <w:r>
          <w:rPr>
            <w:color w:val="0000EE"/>
            <w:u w:val="single"/>
          </w:rPr>
          <w:t>Actes 6:11</w:t>
        </w:r>
      </w:hyperlink>
      <w:r>
        <w:t>). Jésus a été accusé de blasphème lorsqu’il a prétendu détenir une prérogative appartenant à Dieu : le pouvoir de pardonner les péchés (</w:t>
      </w:r>
      <w:hyperlink r:id="rId8756">
        <w:r>
          <w:rPr>
            <w:color w:val="0000EE"/>
            <w:u w:val="single"/>
          </w:rPr>
          <w:t>Marc 2:7</w:t>
        </w:r>
      </w:hyperlink>
      <w:r>
        <w:t xml:space="preserve">). </w:t>
      </w:r>
      <w:hyperlink r:id="rId8757">
        <w:r>
          <w:rPr>
            <w:color w:val="0000EE"/>
            <w:u w:val="single"/>
          </w:rPr>
          <w:t>Jean 10:33–36</w:t>
        </w:r>
      </w:hyperlink>
      <w:r>
        <w:t xml:space="preserve"> fait état d’une tentative de lapidation de Jésus ; ses accusateurs lui ont dit : « Tu es un homme, mais tu te prends pour Dieu » (verset </w:t>
      </w:r>
      <w:hyperlink r:id="rId8758">
        <w:r>
          <w:rPr>
            <w:color w:val="0000EE"/>
            <w:u w:val="single"/>
          </w:rPr>
          <w:t>33</w:t>
        </w:r>
      </w:hyperlink>
      <w:r>
        <w:t>). Jésus a été condamné par le plus haut tribunal juif, le Sanhédrin, pour blasphème, car il prétendait être le Fils de l’Homme (le Messie), mais d’après le Sanhédrin, Jésus n’avait fourni aucune preuve qu’il était un personnage aussi exalté, il semblait donc se moquer du Messie, et par extension, de Dieu lui-même (</w:t>
      </w:r>
      <w:hyperlink r:id="rId8759">
        <w:r>
          <w:rPr>
            <w:color w:val="0000EE"/>
            <w:u w:val="single"/>
          </w:rPr>
          <w:t>Marc 14:64</w:t>
        </w:r>
      </w:hyperlink>
      <w:r>
        <w:t>).</w:t>
      </w:r>
    </w:p>
    <w:p>
      <w:r/>
      <w:r>
        <w:t>La Bible révèle clairement que le blasphème est pardonnable (</w:t>
      </w:r>
      <w:hyperlink r:id="rId4668">
        <w:r>
          <w:rPr>
            <w:color w:val="0000EE"/>
            <w:u w:val="single"/>
          </w:rPr>
          <w:t>Matthieu 12:32</w:t>
        </w:r>
      </w:hyperlink>
      <w:r>
        <w:t xml:space="preserve">; </w:t>
      </w:r>
      <w:hyperlink r:id="rId8760">
        <w:r>
          <w:rPr>
            <w:color w:val="0000EE"/>
            <w:u w:val="single"/>
          </w:rPr>
          <w:t>Marc 3:28–29</w:t>
        </w:r>
      </w:hyperlink>
      <w:r>
        <w:t>), mais si une personne ne se repent pas, la seule solution est de la livrer à Satan, afin qu’elle reçoive une leçon (</w:t>
      </w:r>
      <w:hyperlink r:id="rId528">
        <w:r>
          <w:rPr>
            <w:color w:val="0000EE"/>
            <w:u w:val="single"/>
          </w:rPr>
          <w:t>1 Timothée 1:20</w:t>
        </w:r>
      </w:hyperlink>
      <w:r>
        <w:t>).</w:t>
      </w:r>
      <w:r/>
      <w:r/>
    </w:p>
    <w:p>
      <w:r/>
    </w:p>
    <w:p>
      <w:pPr>
        <w:pStyle w:val="Heading2"/>
      </w:pPr>
      <w:r>
        <w:t>Le diacre, la diaconesse</w:t>
      </w:r>
      <w:r/>
    </w:p>
    <w:p>
      <w:r/>
      <w:r>
        <w:t>Ces termes désignant un responsable d’une église locale découlent d’un mot grec qui signifie « serviteur » ou « ministre. » Le terme « diaconat » est employé pour la fonction elle-même ou pour le collège des diacres et des diaconesses. Comme pour plusieurs autres mots bibliques utilisés de nos jours au sens technique, les termes « diacre » et « diaconesse » étaient au départ des termes populaires non techniques. Au cours du premier siècle séculaire de l’ère J.-C. et dans la culture grecque du Nouveau Testament, ces termes décrivaient une variété de services.</w:t>
      </w:r>
    </w:p>
    <w:p>
      <w:pPr>
        <w:pStyle w:val="Heading3"/>
      </w:pPr>
      <w:r>
        <w:t>Origines du concept</w:t>
      </w:r>
    </w:p>
    <w:p>
      <w:pPr>
        <w:pStyle w:val="Heading4"/>
      </w:pPr>
      <w:r>
        <w:t>L’usage grec</w:t>
      </w:r>
    </w:p>
    <w:p>
      <w:r/>
      <w:r>
        <w:t>Dans les écrits extrabibliques, on a trouvé des références où le mot grec « diacre » signifiait « serveur », « serviteur », « intendant » ou « messager ». Dans au moins deux cas, ce terme désignait un boulanger ou un cuisinier. Dans l’usage religieux, le mot désignait divers serviteurs dans les temples païens. Des documents anciens montrent des « diacres » présidant à la dédicace d’une statue du dieu grec Hermès. Sérapis et Isis, divinités égyptiennes, étaient servis par un collège de « diacres » présidé par un prêtre.</w:t>
      </w:r>
    </w:p>
    <w:p>
      <w:pPr>
        <w:pStyle w:val="Heading4"/>
      </w:pPr>
      <w:r>
        <w:t>Usage général du Nouveau Testament</w:t>
      </w:r>
    </w:p>
    <w:p>
      <w:r/>
      <w:r>
        <w:t>Des auteurs bibliques ont utilisé ce même terme au sens général pour décrire divers ministères ou services. Toutefois, plus tard après le développement de l’église apostolique que ce terme a été employé pour désigner un corps distinct de responsables ecclésiastiques. Parmi ces usages généraux, le terme « diacre » désigne un serveur lors des repas (</w:t>
      </w:r>
      <w:hyperlink r:id="rId8761">
        <w:r>
          <w:rPr>
            <w:color w:val="0000EE"/>
            <w:u w:val="single"/>
          </w:rPr>
          <w:t>Jean 2:5, 9</w:t>
        </w:r>
      </w:hyperlink>
      <w:r>
        <w:t>), un serviteur du roi (</w:t>
      </w:r>
      <w:hyperlink r:id="rId4989">
        <w:r>
          <w:rPr>
            <w:color w:val="0000EE"/>
            <w:u w:val="single"/>
          </w:rPr>
          <w:t>Matthieu 22:13</w:t>
        </w:r>
      </w:hyperlink>
      <w:r>
        <w:t>), un serviteur de Satan (</w:t>
      </w:r>
      <w:hyperlink r:id="rId4428">
        <w:r>
          <w:rPr>
            <w:color w:val="0000EE"/>
            <w:u w:val="single"/>
          </w:rPr>
          <w:t>2 Corinthiens 11:15</w:t>
        </w:r>
      </w:hyperlink>
      <w:r>
        <w:t>), un serviteur de Dieu (</w:t>
      </w:r>
      <w:hyperlink r:id="rId8762">
        <w:r>
          <w:rPr>
            <w:color w:val="0000EE"/>
            <w:u w:val="single"/>
          </w:rPr>
          <w:t>6:4</w:t>
        </w:r>
      </w:hyperlink>
      <w:r>
        <w:t>), un serviteur de Christ (</w:t>
      </w:r>
      <w:hyperlink r:id="rId2916">
        <w:r>
          <w:rPr>
            <w:color w:val="0000EE"/>
            <w:u w:val="single"/>
          </w:rPr>
          <w:t>11:23</w:t>
        </w:r>
      </w:hyperlink>
      <w:r>
        <w:t>), un serviteur de l’église (</w:t>
      </w:r>
      <w:hyperlink r:id="rId8763">
        <w:r>
          <w:rPr>
            <w:color w:val="0000EE"/>
            <w:u w:val="single"/>
          </w:rPr>
          <w:t>Colossiens 1:24–25</w:t>
        </w:r>
      </w:hyperlink>
      <w:r>
        <w:t>), un dirigeant politique (</w:t>
      </w:r>
      <w:hyperlink r:id="rId8764">
        <w:r>
          <w:rPr>
            <w:color w:val="0000EE"/>
            <w:u w:val="single"/>
          </w:rPr>
          <w:t>Romains 13:4</w:t>
        </w:r>
      </w:hyperlink>
      <w:r>
        <w:t>).</w:t>
      </w:r>
    </w:p>
    <w:p>
      <w:r/>
      <w:r>
        <w:t>Le Nouveau Testament présente la fonction de serviteur comme une forme de ministère ou de service et comme une marque de toute l’Église. Ainsi, cette fonction est considérée comme une norme pour tous les disciples (</w:t>
      </w:r>
      <w:hyperlink r:id="rId8765">
        <w:r>
          <w:rPr>
            <w:color w:val="0000EE"/>
            <w:u w:val="single"/>
          </w:rPr>
          <w:t>Matthieu 20:26–28</w:t>
        </w:r>
      </w:hyperlink>
      <w:r>
        <w:t xml:space="preserve">; </w:t>
      </w:r>
      <w:hyperlink r:id="rId8766">
        <w:r>
          <w:rPr>
            <w:color w:val="0000EE"/>
            <w:u w:val="single"/>
          </w:rPr>
          <w:t>Luc 22:26–27</w:t>
        </w:r>
      </w:hyperlink>
      <w:r>
        <w:t>). Les enseignements de Jésus sur le jugement ultime relient le ministère aux actions comme nourrir les affamés, accueillir les étrangers, habiller les nus et rendre visite aux malades et aux prisonniers (</w:t>
      </w:r>
      <w:hyperlink r:id="rId7838">
        <w:r>
          <w:rPr>
            <w:color w:val="0000EE"/>
            <w:u w:val="single"/>
          </w:rPr>
          <w:t>Matthieu 25:31–46</w:t>
        </w:r>
      </w:hyperlink>
      <w:r>
        <w:t xml:space="preserve">). Tout au long du Nouveau Testament, l’accent est mis sur la compassion envers les besoins physiques et spirituels des individus et du don de soi pour répondre à ces besoins. Un tel service est en réalité un ministère rendu à Christ lui-même (verset </w:t>
      </w:r>
      <w:hyperlink r:id="rId8767">
        <w:r>
          <w:rPr>
            <w:color w:val="0000EE"/>
            <w:u w:val="single"/>
          </w:rPr>
          <w:t>45</w:t>
        </w:r>
      </w:hyperlink>
      <w:r>
        <w:t>).</w:t>
      </w:r>
    </w:p>
    <w:p>
      <w:pPr>
        <w:pStyle w:val="Heading4"/>
      </w:pPr>
      <w:r>
        <w:t>Origine de la fonction</w:t>
      </w:r>
    </w:p>
    <w:p>
      <w:r/>
      <w:r>
        <w:t xml:space="preserve">Certains érudits de la Bible soulignent l’existence d’une relation entre le </w:t>
      </w:r>
      <w:r>
        <w:rPr>
          <w:i/>
        </w:rPr>
        <w:t>hazzan</w:t>
      </w:r>
      <w:r>
        <w:t xml:space="preserve"> de la synagogue juive et la fonction chrétienne de diacre. Le </w:t>
      </w:r>
      <w:r>
        <w:rPr>
          <w:i/>
        </w:rPr>
        <w:t>hazzan</w:t>
      </w:r>
      <w:r>
        <w:t xml:space="preserve"> était chargé d’ouvrir et de fermer les portes de la synagogue, de veiller à sa propreté et de distribuer les livres pour la lecture. Jésus avait sans doute remis le livre d’Ésaïe à un tel individu après avoir terminé sa lecture (</w:t>
      </w:r>
      <w:hyperlink r:id="rId8768">
        <w:r>
          <w:rPr>
            <w:color w:val="0000EE"/>
            <w:u w:val="single"/>
          </w:rPr>
          <w:t>Luc 4:20</w:t>
        </w:r>
      </w:hyperlink>
      <w:r>
        <w:t>).</w:t>
      </w:r>
    </w:p>
    <w:p>
      <w:r/>
      <w:r>
        <w:t>D’autres érudits du Nouveau Testament se concentrent sur la sélection des sept hommes (</w:t>
      </w:r>
      <w:hyperlink r:id="rId6398">
        <w:r>
          <w:rPr>
            <w:color w:val="0000EE"/>
            <w:u w:val="single"/>
          </w:rPr>
          <w:t>Actes 6:1–6</w:t>
        </w:r>
      </w:hyperlink>
      <w:r>
        <w:t>). Ces érudits considèrent cette action comme un précurseur historique d’une structure plus développée (</w:t>
      </w:r>
      <w:hyperlink r:id="rId8489">
        <w:r>
          <w:rPr>
            <w:color w:val="0000EE"/>
            <w:u w:val="single"/>
          </w:rPr>
          <w:t>Philippiens 1:1</w:t>
        </w:r>
      </w:hyperlink>
      <w:r>
        <w:t xml:space="preserve">; </w:t>
      </w:r>
      <w:hyperlink r:id="rId8769">
        <w:r>
          <w:rPr>
            <w:color w:val="0000EE"/>
            <w:u w:val="single"/>
          </w:rPr>
          <w:t>1 Timothée 3:8–13</w:t>
        </w:r>
      </w:hyperlink>
      <w:r>
        <w:t>-Les deux références spécifiques à la « fonction » de diacre). En Actes, Luc a consacré une attention particulière à la sélection d’une nouvelle vague de dirigeants d’église. Surchargés de responsabilités, les douze apôtres ont proposé une répartition des tâches pour assurer la prise en charge des veuves hellénistes (langage grec) lors de la distribution quotidienne de nourriture et d’aumônes par l’Église. Sept hommes de bonne réputation, remplis de l’Esprit et de sagesse (</w:t>
      </w:r>
      <w:hyperlink r:id="rId8770">
        <w:r>
          <w:rPr>
            <w:color w:val="0000EE"/>
            <w:u w:val="single"/>
          </w:rPr>
          <w:t>Actes 6:3</w:t>
        </w:r>
      </w:hyperlink>
      <w:r>
        <w:t>), sont devenus par la suite des membres importants de la congrégation de Jérusalem, accomplissant des œuvres de charité et s’occupant des besoins physiques.</w:t>
      </w:r>
    </w:p>
    <w:p>
      <w:r/>
      <w:r>
        <w:t xml:space="preserve">Certains érudits soulignent que le diaconat ne doit pas être exclusivement lié aux œuvres de charité, car le mot grec utilisé en </w:t>
      </w:r>
      <w:hyperlink r:id="rId8771">
        <w:r>
          <w:rPr>
            <w:color w:val="0000EE"/>
            <w:u w:val="single"/>
          </w:rPr>
          <w:t>Actes 6:2</w:t>
        </w:r>
      </w:hyperlink>
      <w:r>
        <w:t xml:space="preserve"> est apparenté au mot traduit par « ministère de la parole » au verset </w:t>
      </w:r>
      <w:hyperlink r:id="rId8772">
        <w:r>
          <w:rPr>
            <w:color w:val="0000EE"/>
            <w:u w:val="single"/>
          </w:rPr>
          <w:t>4</w:t>
        </w:r>
      </w:hyperlink>
      <w:r>
        <w:t>. Les personnes choisies pour superviser la prise en charge des besoins physiques étaient des personnes de stature spirituelle. Étienne, par exemple, « plein de grâce et de puissance, faisait des prodiges et de grands miracles » (</w:t>
      </w:r>
      <w:hyperlink r:id="rId5068">
        <w:r>
          <w:rPr>
            <w:color w:val="0000EE"/>
            <w:u w:val="single"/>
          </w:rPr>
          <w:t>6:8</w:t>
        </w:r>
      </w:hyperlink>
      <w:r>
        <w:t xml:space="preserve">, lsg). Philippe, nommé parmi les sept en </w:t>
      </w:r>
      <w:hyperlink r:id="rId205">
        <w:r>
          <w:rPr>
            <w:color w:val="0000EE"/>
            <w:u w:val="single"/>
          </w:rPr>
          <w:t>Actes 6</w:t>
        </w:r>
      </w:hyperlink>
      <w:r>
        <w:t>, a « annoncé la bonne nouvelle du royaume de Dieu et du nom de Jésus-Christ » (</w:t>
      </w:r>
      <w:hyperlink r:id="rId8469">
        <w:r>
          <w:rPr>
            <w:color w:val="0000EE"/>
            <w:u w:val="single"/>
          </w:rPr>
          <w:t>8:12</w:t>
        </w:r>
      </w:hyperlink>
      <w:r>
        <w:t xml:space="preserve">). Philippe a aussi baptisé des personnes (verset </w:t>
      </w:r>
      <w:hyperlink r:id="rId8773">
        <w:r>
          <w:rPr>
            <w:color w:val="0000EE"/>
            <w:u w:val="single"/>
          </w:rPr>
          <w:t>38</w:t>
        </w:r>
      </w:hyperlink>
      <w:r>
        <w:t>) et est considéré comme un évangéliste (</w:t>
      </w:r>
      <w:hyperlink r:id="rId2215">
        <w:r>
          <w:rPr>
            <w:color w:val="0000EE"/>
            <w:u w:val="single"/>
          </w:rPr>
          <w:t>21:8</w:t>
        </w:r>
      </w:hyperlink>
      <w:r>
        <w:t>).</w:t>
      </w:r>
    </w:p>
    <w:p>
      <w:pPr>
        <w:pStyle w:val="Heading3"/>
      </w:pPr>
      <w:r>
        <w:t>Les diacres dans l’Église primitive</w:t>
      </w:r>
    </w:p>
    <w:p>
      <w:r/>
      <w:r>
        <w:t xml:space="preserve">Ceux qui citent </w:t>
      </w:r>
      <w:hyperlink r:id="rId205">
        <w:r>
          <w:rPr>
            <w:color w:val="0000EE"/>
            <w:u w:val="single"/>
          </w:rPr>
          <w:t>Actes 6</w:t>
        </w:r>
      </w:hyperlink>
      <w:r>
        <w:t xml:space="preserve"> comme une étape préliminaire de la fonction de diacre se réfèrent à la propagation de cette pratique de l’église de Jérusalem vers les congrégations païennes qui se développaient ailleurs. De nombreuses églises ont probablement pris la nomination des « sept de Jérusalem » comme modèle à suivre, certaines ont même adopté le chiffre sept. À titre illustratif, dans une lettre de Corneille, pape du troisième siècle, l’église de Rome aurait maintenu le nombre de sept pour les diacres.</w:t>
      </w:r>
    </w:p>
    <w:p>
      <w:r/>
      <w:r>
        <w:t xml:space="preserve">Au moment où l’église de Philippes a reçu ses instructions de l’apôtre Paul (c. J.-C. 62) et que Timothée a reçu la première lettre de Paul, le terme « diacre » était devenu un terme technique désignant une fonction spécifique dans les églises. En </w:t>
      </w:r>
      <w:hyperlink r:id="rId8489">
        <w:r>
          <w:rPr>
            <w:color w:val="0000EE"/>
            <w:u w:val="single"/>
          </w:rPr>
          <w:t>Philippiens 1:1,</w:t>
        </w:r>
      </w:hyperlink>
      <w:r>
        <w:t xml:space="preserve"> Paul s’est adressé à l’Église en général et a ajouté « avec les évêques et les diacres ». Certains interprètes considèrent qu’il s’agit là d’une véritable création de deux groupes distincts au sein de l’ensemble de l’Église, bien qu’aucune autre description ne soit donnée. Les diacres de cette congrégation étaient peut-être chargés de la collecte et de la distribution des offrandes dont il est question (</w:t>
      </w:r>
      <w:hyperlink r:id="rId8774">
        <w:r>
          <w:rPr>
            <w:color w:val="0000EE"/>
            <w:u w:val="single"/>
          </w:rPr>
          <w:t>Ph 4:14–18</w:t>
        </w:r>
      </w:hyperlink>
      <w:r>
        <w:t>).</w:t>
      </w:r>
    </w:p>
    <w:p>
      <w:r/>
      <w:r>
        <w:t xml:space="preserve">En </w:t>
      </w:r>
      <w:hyperlink r:id="rId8769">
        <w:r>
          <w:rPr>
            <w:color w:val="0000EE"/>
            <w:u w:val="single"/>
          </w:rPr>
          <w:t>1 Timothée 3:8–13,</w:t>
        </w:r>
      </w:hyperlink>
      <w:r>
        <w:t xml:space="preserve"> des instructions sont données sur les compétences requises pour exercer la fonction de diacre. Bien qu’il s’agisse du traitement le plus détaillé du sujet dans le Nouveau Testament, il est en fait assez sommaire. La plupart des compétences basées sur le caractère et le comportement personnels sont similaires à celles d’un évêque. À titre illustratif, un diacre doit être honnête, monogame, « ne doit pas boire beaucoup de vin » et être un parent responsable. Le verset </w:t>
      </w:r>
      <w:hyperlink r:id="rId8775">
        <w:r>
          <w:rPr>
            <w:color w:val="0000EE"/>
            <w:u w:val="single"/>
          </w:rPr>
          <w:t>11</w:t>
        </w:r>
      </w:hyperlink>
      <w:r>
        <w:t>, qui exige que « les femmes aussi soient honnêtes, non médisantes, sobres, fidèles en toutes choses » (lsg), s’adresserait non pas aux femmes des diacres, mais aux diaconesses, comme l’indiquent plusieurs traductions (bs, bd). Peu importe le cas, il est clair que les femmes participaient au travail du diaconat.</w:t>
      </w:r>
    </w:p>
    <w:p>
      <w:r/>
      <w:r>
        <w:t>Contrairement à la fonction d’évêque (</w:t>
      </w:r>
      <w:hyperlink r:id="rId8491">
        <w:r>
          <w:rPr>
            <w:color w:val="0000EE"/>
            <w:u w:val="single"/>
          </w:rPr>
          <w:t>1 Timothée 3:2</w:t>
        </w:r>
      </w:hyperlink>
      <w:r>
        <w:t xml:space="preserve">), les diacres ne sont pas décrits comme assurant l’enseignement ou l’hospitalité. En fait, aucune compétence fonctionnelle n’est mentionnée pour clarifier le rôle des diacres et des diaconesses dans l’Église primitive. Les qualités énumérées sont appropriées pour ceux qui ont des responsabilités monétaires et administratives (comme le suggère </w:t>
      </w:r>
      <w:hyperlink r:id="rId6398">
        <w:r>
          <w:rPr>
            <w:color w:val="0000EE"/>
            <w:u w:val="single"/>
          </w:rPr>
          <w:t>Actes 6:1–6</w:t>
        </w:r>
      </w:hyperlink>
      <w:r>
        <w:t xml:space="preserve"> ). Timothée a appris que les bons diacres seront récompensés ; leur foi sera davantage affermie et ils consolideront aussi leur réputation auprès de ceux qu’ils servent (</w:t>
      </w:r>
      <w:hyperlink r:id="rId8776">
        <w:r>
          <w:rPr>
            <w:color w:val="0000EE"/>
            <w:u w:val="single"/>
          </w:rPr>
          <w:t>1 Timothée 3:13</w:t>
        </w:r>
      </w:hyperlink>
      <w:r>
        <w:t>).</w:t>
      </w:r>
    </w:p>
    <w:p>
      <w:r/>
      <w:r>
        <w:t xml:space="preserve">La fonction de diacre différait de celle d’ancien, adaptée d’un modèle juif précis dans l’Ancien Testament (consultez </w:t>
      </w:r>
      <w:hyperlink r:id="rId8777">
        <w:r>
          <w:rPr>
            <w:color w:val="0000EE"/>
            <w:u w:val="single"/>
          </w:rPr>
          <w:t>Nombres 11:16–17</w:t>
        </w:r>
      </w:hyperlink>
      <w:r>
        <w:t xml:space="preserve">; </w:t>
      </w:r>
      <w:hyperlink r:id="rId8778">
        <w:r>
          <w:rPr>
            <w:color w:val="0000EE"/>
            <w:u w:val="single"/>
          </w:rPr>
          <w:t>Deutéronome 29:10</w:t>
        </w:r>
      </w:hyperlink>
      <w:r>
        <w:t>). Le diaconat, en revanche, s’est développé à partir de l’exemple fort, personnel et historique de Jésus, le serviteur qui a répondu avec compassion aux besoins humains concrets.</w:t>
      </w:r>
    </w:p>
    <w:p>
      <w:r/>
      <w:r>
        <w:t>Au fur et à mesure que la fonction de diacre s’est consolidée, le diacre devait se charger des soins pastoraux. Les pauvres et les malades recevaient le service des diacres non seulement physiquement, mais aussi sous forme d’instruction et de consolation. Les maisons des membres de l’église étaient devenues un territoire familier pour le diacre ou la diaconesse. Un modèle de visite a été établi pour découvrir les besoins de l’ensemble de l’Église et y répondre. Bien que ce modèle comprenne l’administration des fonds, il allait bien au-delà. Les diacres et les diaconesses sont sans aucun doute devenus des symboles d’amour pour l’Église en général.</w:t>
      </w:r>
    </w:p>
    <w:p>
      <w:r/>
      <w:r>
        <w:t>Il est difficile de déterminer comment la fonction de diacre s’inscrit dans le modèle plus large de l’ordre ecclésiastique au sein du Nouveau Testament, en raison de la diversité évidente qui existait au cours des années de formation de l’Église. Certains historiens de l’Église concluent qu’au fur et à mesure que la structure ecclésiastique se développait, les anciens assuraient la direction de la congrégation. Les diacres les assistaient, en particulier dans les services sociaux et les soins pastoraux. À la fin du premier et au début du deuxième siècle, on a assisté à l’émergence d’un triple ministère, composé de diacres, d’anciens (presbytres) et d’évêques. Les évêques ou « surperviseurs » ont commencé à exercer leur autorité sur des régions ou des groupes d’églises.</w:t>
      </w:r>
    </w:p>
    <w:p>
      <w:pPr>
        <w:pStyle w:val="Heading3"/>
      </w:pPr>
      <w:r>
        <w:t>Les diaconesses</w:t>
      </w:r>
    </w:p>
    <w:p>
      <w:r/>
      <w:r>
        <w:t>Quelle était la place des femmes dans le ministère de l’Église primitive ? Le fait que Paul ait inclus des références aux femmes dans le ministère est frappant par rapport au rôle des femmes en général au premier siècle. Il a félicité Phœbé pour son service dans l’Église de Cenchrées, en utilisant le mot « diacre » pour la décrire (</w:t>
      </w:r>
      <w:hyperlink r:id="rId2193">
        <w:r>
          <w:rPr>
            <w:color w:val="0000EE"/>
            <w:u w:val="single"/>
          </w:rPr>
          <w:t>Romains 16:1</w:t>
        </w:r>
      </w:hyperlink>
      <w:r>
        <w:t xml:space="preserve">). Il l’a célébrée en tant qu’« aide » (verset </w:t>
      </w:r>
      <w:hyperlink r:id="rId8779">
        <w:r>
          <w:rPr>
            <w:color w:val="0000EE"/>
            <w:u w:val="single"/>
          </w:rPr>
          <w:t>2</w:t>
        </w:r>
      </w:hyperlink>
      <w:r>
        <w:t xml:space="preserve">), un mot qui dénote des qualités de leadership (cf. </w:t>
      </w:r>
      <w:hyperlink r:id="rId5204">
        <w:r>
          <w:rPr>
            <w:color w:val="0000EE"/>
            <w:u w:val="single"/>
          </w:rPr>
          <w:t>Romains 12:8</w:t>
        </w:r>
      </w:hyperlink>
      <w:r>
        <w:t xml:space="preserve">; </w:t>
      </w:r>
      <w:hyperlink r:id="rId8780">
        <w:r>
          <w:rPr>
            <w:color w:val="0000EE"/>
            <w:u w:val="single"/>
          </w:rPr>
          <w:t>1 Timothée 3:4–5</w:t>
        </w:r>
      </w:hyperlink>
      <w:r>
        <w:t>). Certains érudits ont utilisé cette référence comme un exemple de développement précoce de la fonction de diaconesse. D’autres l’ont interprétée dans un sens non technique, signifiant que Phœbé exerçait un rôle de service général et qu’elle était donc digne d’être reconnue à Rome. Que le terme « diacre » soit utilisé de manière technique ou descriptive, le ministère des femmes et des hommes dans le Nouveau Testament a été modelé sur l’exemple de Jésus, qui « n’est pas venu pour être servi, mais pour servir » (</w:t>
      </w:r>
      <w:hyperlink r:id="rId654">
        <w:r>
          <w:rPr>
            <w:color w:val="0000EE"/>
            <w:u w:val="single"/>
          </w:rPr>
          <w:t>Marc 10:45</w:t>
        </w:r>
      </w:hyperlink>
      <w:r>
        <w:t>). En raison du grand nombre de femmes converties (</w:t>
      </w:r>
      <w:hyperlink r:id="rId3503">
        <w:r>
          <w:rPr>
            <w:color w:val="0000EE"/>
            <w:u w:val="single"/>
          </w:rPr>
          <w:t>Actes 5:14</w:t>
        </w:r>
      </w:hyperlink>
      <w:r>
        <w:t xml:space="preserve">; </w:t>
      </w:r>
      <w:hyperlink r:id="rId6113">
        <w:r>
          <w:rPr>
            <w:color w:val="0000EE"/>
            <w:u w:val="single"/>
          </w:rPr>
          <w:t>17:4</w:t>
        </w:r>
      </w:hyperlink>
      <w:r>
        <w:t>), les femmes ont exercé leur ministère dans des domaines tels que les visites, l’enseignement du discipolat et l’assistance au baptême. Les diaconesses sont mentionnées dans des documents du troisième siècle comme administrant le baptême aux femmes converties.</w:t>
      </w:r>
    </w:p>
    <w:p>
      <w:r/>
      <w:r>
        <w:rPr>
          <w:i/>
        </w:rPr>
        <w:t>Consultez aussi</w:t>
      </w:r>
      <w:r>
        <w:t xml:space="preserve"> </w:t>
      </w:r>
      <w:r>
        <w:t>Évêque</w:t>
      </w:r>
      <w:r>
        <w:t xml:space="preserve">; </w:t>
      </w:r>
      <w:r>
        <w:t>Ancien</w:t>
      </w:r>
      <w:r>
        <w:t xml:space="preserve">; </w:t>
      </w:r>
      <w:r>
        <w:t>Pasteur</w:t>
      </w:r>
      <w:r>
        <w:t xml:space="preserve">; </w:t>
      </w:r>
      <w:r>
        <w:t>Presbytre</w:t>
      </w:r>
      <w:r>
        <w:t>.</w:t>
      </w:r>
      <w:r/>
      <w:r/>
    </w:p>
    <w:p>
      <w:r/>
    </w:p>
    <w:p>
      <w:pPr>
        <w:pStyle w:val="Heading2"/>
      </w:pPr>
      <w:r>
        <w:t>Le sauveur</w:t>
      </w:r>
      <w:r/>
    </w:p>
    <w:p>
      <w:r/>
      <w:r>
        <w:t>Celui qui libère ou secourt. Le terme « sauveur » renvoie généralement à Dieu et à Jésus-Christ dans la Bible. Comprendre que Jésus est le Sauveur est une vérité indéniable nécessaire pour s’approprier le message biblique. Certaines versions de la Bible en français utilisent le terme « sauveur » dans l’Ancien Testament pour traduire les variantes du mot hébreu « yasha »</w:t>
      </w:r>
      <w:r>
        <w:rPr>
          <w:i/>
        </w:rPr>
        <w:t>,</w:t>
      </w:r>
      <w:r>
        <w:t xml:space="preserve"> qui signifie « sauver », « délivrer » ou « secourir ». La plupart du temps, ce terme est utilisé pour exprimer le participe du verbe, « moshia »</w:t>
      </w:r>
      <w:r>
        <w:rPr>
          <w:i/>
        </w:rPr>
        <w:t>,</w:t>
      </w:r>
      <w:r>
        <w:t xml:space="preserve"> qui signifie « la personne qui sauve ».Utilisé sous cette acception, le terme « sauveur » apparait 13 ou 14 fois dans l’Ancien Testament, en fonction de la version.</w:t>
      </w:r>
    </w:p>
    <w:p>
      <w:r/>
      <w:r>
        <w:t xml:space="preserve">Le terme « sauveur », dans sa compréhension élémentaire, celle d’une personne qui délivre et secourt, est mentionné en </w:t>
      </w:r>
      <w:hyperlink r:id="rId8781">
        <w:r>
          <w:rPr>
            <w:color w:val="0000EE"/>
            <w:u w:val="single"/>
          </w:rPr>
          <w:t>Deutéronome 22:27</w:t>
        </w:r>
      </w:hyperlink>
      <w:r>
        <w:t>, où la loi prévoyait une situation où aucun sauveur n’était proche en cas de besoin. Le mot « Moshia » est un également utilisé pour faire référence aux individus ; pour preuve, Othniel et Éhud sont appelés « libérateurs » (</w:t>
      </w:r>
      <w:hyperlink r:id="rId8782">
        <w:r>
          <w:rPr>
            <w:color w:val="0000EE"/>
            <w:u w:val="single"/>
          </w:rPr>
          <w:t>Juges 3:9, 15</w:t>
        </w:r>
      </w:hyperlink>
      <w:r>
        <w:t xml:space="preserve">) et </w:t>
      </w:r>
      <w:hyperlink r:id="rId8783">
        <w:r>
          <w:rPr>
            <w:color w:val="0000EE"/>
            <w:u w:val="single"/>
          </w:rPr>
          <w:t>Néhémie 9:27</w:t>
        </w:r>
      </w:hyperlink>
      <w:r>
        <w:t xml:space="preserve"> assimile les juges de façon générale aux libérateurs envoyés par Dieu. </w:t>
      </w:r>
      <w:hyperlink r:id="rId8784">
        <w:r>
          <w:rPr>
            <w:color w:val="0000EE"/>
            <w:u w:val="single"/>
          </w:rPr>
          <w:t>2 Rois 13:5</w:t>
        </w:r>
      </w:hyperlink>
      <w:r>
        <w:t xml:space="preserve"> révèle que l’Éternel a donné à Israël un sauveur en vue de le délivrer des griffes des Araméens. Certains ont identifié ce libérateur comme étant le roi Jéroboam II de Juda et d’autres comme un roi étranger ; le plus souvent Zakir de Hamath. Cependant, le texte ne mentionne pas clairement qui aurait pu être ce sauveur. L’essentiel du texte est que Dieu a envoyé ce libérateur pour son peuple. La majorité des références dans l’Ancien Testament désignent Dieu lui-même comme le Sauveur d’Israël, et même lorsque d’autres personnes sont ainsi désignées, il est clairement indiqué que Dieu les a envoyées ou appelées. Israël a compris que Dieu était son Sauveur et l’a exprimé dans des chants de louange (</w:t>
      </w:r>
      <w:hyperlink r:id="rId8785">
        <w:r>
          <w:rPr>
            <w:color w:val="0000EE"/>
            <w:u w:val="single"/>
          </w:rPr>
          <w:t>Psaume 17:7</w:t>
        </w:r>
      </w:hyperlink>
      <w:r>
        <w:t xml:space="preserve">; </w:t>
      </w:r>
      <w:hyperlink r:id="rId8786">
        <w:r>
          <w:rPr>
            <w:color w:val="0000EE"/>
            <w:u w:val="single"/>
          </w:rPr>
          <w:t>106:1–12</w:t>
        </w:r>
      </w:hyperlink>
      <w:r>
        <w:t>) et les appels au secours (</w:t>
      </w:r>
      <w:hyperlink r:id="rId8787">
        <w:r>
          <w:rPr>
            <w:color w:val="0000EE"/>
            <w:u w:val="single"/>
          </w:rPr>
          <w:t>Jérémie 14:8</w:t>
        </w:r>
      </w:hyperlink>
      <w:r>
        <w:t>). David a déclaré ceci à propos de Dieu : « Dieu est mon rocher, mon refuge et mon sauveur. » (</w:t>
      </w:r>
      <w:hyperlink r:id="rId8788">
        <w:r>
          <w:rPr>
            <w:color w:val="0000EE"/>
            <w:u w:val="single"/>
          </w:rPr>
          <w:t>2 Samuel 22:3</w:t>
        </w:r>
      </w:hyperlink>
      <w:r>
        <w:t>, lsg). La plupart du temps, les psalmistes se réfèrent à l’Éternel comme leur « secours » ou leur « salut » (</w:t>
      </w:r>
      <w:hyperlink r:id="rId8789">
        <w:r>
          <w:rPr>
            <w:color w:val="0000EE"/>
            <w:u w:val="single"/>
          </w:rPr>
          <w:t>Psaume 27:9</w:t>
        </w:r>
      </w:hyperlink>
      <w:r>
        <w:t xml:space="preserve">; </w:t>
      </w:r>
      <w:hyperlink r:id="rId8790">
        <w:r>
          <w:rPr>
            <w:color w:val="0000EE"/>
            <w:u w:val="single"/>
          </w:rPr>
          <w:t>38:22</w:t>
        </w:r>
      </w:hyperlink>
      <w:r>
        <w:t xml:space="preserve">; </w:t>
      </w:r>
      <w:hyperlink r:id="rId8791">
        <w:r>
          <w:rPr>
            <w:color w:val="0000EE"/>
            <w:u w:val="single"/>
          </w:rPr>
          <w:t>42:5, 11</w:t>
        </w:r>
      </w:hyperlink>
      <w:r>
        <w:t xml:space="preserve">; </w:t>
      </w:r>
      <w:hyperlink r:id="rId8792">
        <w:r>
          <w:rPr>
            <w:color w:val="0000EE"/>
            <w:u w:val="single"/>
          </w:rPr>
          <w:t>65:5</w:t>
        </w:r>
      </w:hyperlink>
      <w:r>
        <w:t xml:space="preserve">; </w:t>
      </w:r>
      <w:hyperlink r:id="rId8793">
        <w:r>
          <w:rPr>
            <w:color w:val="0000EE"/>
            <w:u w:val="single"/>
          </w:rPr>
          <w:t>68:19</w:t>
        </w:r>
      </w:hyperlink>
      <w:r>
        <w:t xml:space="preserve">; </w:t>
      </w:r>
      <w:hyperlink r:id="rId8584">
        <w:r>
          <w:rPr>
            <w:color w:val="0000EE"/>
            <w:u w:val="single"/>
          </w:rPr>
          <w:t>79:9</w:t>
        </w:r>
      </w:hyperlink>
      <w:r>
        <w:t xml:space="preserve">; </w:t>
      </w:r>
      <w:hyperlink r:id="rId8794">
        <w:r>
          <w:rPr>
            <w:color w:val="0000EE"/>
            <w:u w:val="single"/>
          </w:rPr>
          <w:t>85:4</w:t>
        </w:r>
      </w:hyperlink>
      <w:r>
        <w:t xml:space="preserve">; </w:t>
      </w:r>
      <w:hyperlink r:id="rId4022">
        <w:r>
          <w:rPr>
            <w:color w:val="0000EE"/>
            <w:u w:val="single"/>
          </w:rPr>
          <w:t>89:26</w:t>
        </w:r>
      </w:hyperlink>
      <w:r>
        <w:t>; des termes qui sont rendus par « Sauveur » dans la bds). L’exode a sans doute été le plus grand exemple de libération pour le peuple israélite, grâce à cet événement, ils ont gardé l’image de Dieu comme le Libérateur. Le psalmiste, se souvenant du péché d’Israël qui a fabriqué un veau d’or, proclame : « Ils oublièrent Dieu, leur sauveur, Qui avait fait de grandes choses en Égypte » (</w:t>
      </w:r>
      <w:hyperlink r:id="rId8795">
        <w:r>
          <w:rPr>
            <w:color w:val="0000EE"/>
            <w:u w:val="single"/>
          </w:rPr>
          <w:t>Psaume 106:21</w:t>
        </w:r>
      </w:hyperlink>
      <w:r>
        <w:t xml:space="preserve">, lsg; cf. </w:t>
      </w:r>
      <w:hyperlink r:id="rId8796">
        <w:r>
          <w:rPr>
            <w:color w:val="0000EE"/>
            <w:u w:val="single"/>
          </w:rPr>
          <w:t>Ésaïe 63:11</w:t>
        </w:r>
      </w:hyperlink>
      <w:r>
        <w:t xml:space="preserve">; </w:t>
      </w:r>
      <w:hyperlink r:id="rId8797">
        <w:r>
          <w:rPr>
            <w:color w:val="0000EE"/>
            <w:u w:val="single"/>
          </w:rPr>
          <w:t>Osée 13:4–6</w:t>
        </w:r>
      </w:hyperlink>
      <w:r>
        <w:t>). En Ésaïe, où le terme « sauveur » est une appellation fréquente pour désigner Dieu, ce terme est utilisé pour souligner son caractère unique. Dieu seul est considéré comme Sauveur, par opposition aux dieux étrangers et aux idoles : « C’est moi, moi qui suis l’Éternel,Et hors moi il n’y a point de sauveur. C’est moi qui ai annoncé, sauvé, prédit, Ce n’est point parmi vous un dieu étranger. » (</w:t>
      </w:r>
      <w:hyperlink r:id="rId8798">
        <w:r>
          <w:rPr>
            <w:color w:val="0000EE"/>
            <w:u w:val="single"/>
          </w:rPr>
          <w:t>Ésaïe 43:11–12</w:t>
        </w:r>
      </w:hyperlink>
      <w:r>
        <w:t>, lsg). Ésaïe ajoute que Dieu se manifestera comme un Sauveur par la bénédiction et la restauration futures d’Israël (</w:t>
      </w:r>
      <w:hyperlink r:id="rId4019">
        <w:r>
          <w:rPr>
            <w:color w:val="0000EE"/>
            <w:u w:val="single"/>
          </w:rPr>
          <w:t>49:26</w:t>
        </w:r>
      </w:hyperlink>
      <w:r>
        <w:t xml:space="preserve">; </w:t>
      </w:r>
      <w:hyperlink r:id="rId8799">
        <w:r>
          <w:rPr>
            <w:color w:val="0000EE"/>
            <w:u w:val="single"/>
          </w:rPr>
          <w:t>60:16</w:t>
        </w:r>
      </w:hyperlink>
      <w:r>
        <w:t xml:space="preserve">). L’appellation « Sauveur » ne renvoie pas directement au Messie dans l’Ancien Testament, mais un passage comme </w:t>
      </w:r>
      <w:hyperlink r:id="rId6205">
        <w:r>
          <w:rPr>
            <w:color w:val="0000EE"/>
            <w:u w:val="single"/>
          </w:rPr>
          <w:t>Zacharie 9:9</w:t>
        </w:r>
      </w:hyperlink>
      <w:r>
        <w:t xml:space="preserve"> précise que l’Oint de Dieu sera un Libérateur. Plusieurs livres apocryphes utilisent le terme « Sauveur » pour faire référence à Dieu, certains à travers des gros titres comme « l’Éternel, votre Sauveur » « Sauveur éternel » (</w:t>
      </w:r>
      <w:hyperlink r:id="rId8800">
        <w:r>
          <w:rPr>
            <w:color w:val="0000EE"/>
            <w:u w:val="single"/>
          </w:rPr>
          <w:t>Baruch 4:22</w:t>
        </w:r>
      </w:hyperlink>
      <w:r>
        <w:t>) ou « l’Éternel, le Sauveur d’Israël » (</w:t>
      </w:r>
      <w:hyperlink r:id="rId8801">
        <w:r>
          <w:rPr>
            <w:color w:val="0000EE"/>
            <w:u w:val="single"/>
          </w:rPr>
          <w:t>3 Maccabée 7:16</w:t>
        </w:r>
      </w:hyperlink>
      <w:r>
        <w:t>). Cette expression justifie également le fait que Dieu est capable de sauver Israël. La littérature grecque utilise le mot « soter » (« sauveur », « libérateur », qui provient du verbe « sozo » qui signifie « sauver », « secourir ») qui s’applique à la fois aux dieux et aux humains. Par exemple, Hérodote qualifie les Athéniens de sauveurs de la Grèce (</w:t>
      </w:r>
      <w:r>
        <w:rPr>
          <w:i/>
        </w:rPr>
        <w:t>Guerres perses</w:t>
      </w:r>
      <w:r>
        <w:t xml:space="preserve"> 7.139.5). Dans la Septante, le mot « soter » (« sauveur ») est utilisé pour traduire les variantes du mot hébreu « yasha » qui signifie (« sauver »).Le mot « soter » apparait 24 fois dans le Nouveau Testament et se réfère uniquement à Dieu et à Jésus-Christ, soit 8 fois pour Dieu et 16 fois pour Christ. Parmi les 24 occurrences du mot « soter » dans le Nouveau Testament</w:t>
      </w:r>
      <w:r>
        <w:rPr>
          <w:i/>
        </w:rPr>
        <w:t>,</w:t>
      </w:r>
      <w:r>
        <w:t xml:space="preserve"> 10 se retrouvent dans les lettres et 5 dans 2 Pierre. Le recours à l’Ancien Testament est visible en </w:t>
      </w:r>
      <w:hyperlink r:id="rId8802">
        <w:r>
          <w:rPr>
            <w:color w:val="0000EE"/>
            <w:u w:val="single"/>
          </w:rPr>
          <w:t>Luc 1:47</w:t>
        </w:r>
      </w:hyperlink>
      <w:r>
        <w:t>où Marie loue Dieu comme Sauveur dans son cantique de louange. Le nom de Jésus (Joshua en grec) signifie « l’Éternel est le salut » et ce nom lui a été donné par anticipation, au regard de sa future fonction de Sauveur (</w:t>
      </w:r>
      <w:hyperlink r:id="rId3936">
        <w:r>
          <w:rPr>
            <w:color w:val="0000EE"/>
            <w:u w:val="single"/>
          </w:rPr>
          <w:t>Matthieu 1:21</w:t>
        </w:r>
      </w:hyperlink>
      <w:r>
        <w:t>). En sa qualité de Sauveur, Jésus accomplit le plan de Dieu, à savoir la promesse d’un libérateur (</w:t>
      </w:r>
      <w:hyperlink r:id="rId8803">
        <w:r>
          <w:rPr>
            <w:color w:val="0000EE"/>
            <w:u w:val="single"/>
          </w:rPr>
          <w:t>Actes 13:23</w:t>
        </w:r>
      </w:hyperlink>
      <w:r>
        <w:t xml:space="preserve">; </w:t>
      </w:r>
      <w:hyperlink r:id="rId8804">
        <w:r>
          <w:rPr>
            <w:color w:val="0000EE"/>
            <w:u w:val="single"/>
          </w:rPr>
          <w:t>Tite 3:4</w:t>
        </w:r>
      </w:hyperlink>
      <w:r>
        <w:t>), assure la rédemption de l’humanité (</w:t>
      </w:r>
      <w:hyperlink r:id="rId8805">
        <w:r>
          <w:rPr>
            <w:color w:val="0000EE"/>
            <w:u w:val="single"/>
          </w:rPr>
          <w:t>Tite 2:13–14</w:t>
        </w:r>
      </w:hyperlink>
      <w:r>
        <w:t>), et constitue l’espérance du chrétien (</w:t>
      </w:r>
      <w:hyperlink r:id="rId2696">
        <w:r>
          <w:rPr>
            <w:color w:val="0000EE"/>
            <w:u w:val="single"/>
          </w:rPr>
          <w:t>Philippiens 3:20–21</w:t>
        </w:r>
      </w:hyperlink>
      <w:r>
        <w:t>). Le terme « sauveur » renferme l’image de celui qui sauve ou libère du danger pour un lieu sûr. Jésus a libéré le chrétien du péché et de la mort pour le conduire à l’immortalité et à la vie (</w:t>
      </w:r>
      <w:hyperlink r:id="rId8806">
        <w:r>
          <w:rPr>
            <w:color w:val="0000EE"/>
            <w:u w:val="single"/>
          </w:rPr>
          <w:t>2 Timothée 1:10</w:t>
        </w:r>
      </w:hyperlink>
      <w:r>
        <w:t>). Bien que Jésus ne s’assimile jamais au Sauveur (« soter »), il est annoncé comme tel à sa naissance (</w:t>
      </w:r>
      <w:hyperlink r:id="rId8807">
        <w:r>
          <w:rPr>
            <w:color w:val="0000EE"/>
            <w:u w:val="single"/>
          </w:rPr>
          <w:t>Luc 2:11</w:t>
        </w:r>
      </w:hyperlink>
      <w:r>
        <w:t>), confessé comme tel par ceux qui ont écouté son Évangile (</w:t>
      </w:r>
      <w:hyperlink r:id="rId8808">
        <w:r>
          <w:rPr>
            <w:color w:val="0000EE"/>
            <w:u w:val="single"/>
          </w:rPr>
          <w:t>Jean 4:42</w:t>
        </w:r>
      </w:hyperlink>
      <w:r>
        <w:t>), et proclamé comme tel par l’Église primitive (</w:t>
      </w:r>
      <w:hyperlink r:id="rId8809">
        <w:r>
          <w:rPr>
            <w:color w:val="0000EE"/>
            <w:u w:val="single"/>
          </w:rPr>
          <w:t>Actes 5:31</w:t>
        </w:r>
      </w:hyperlink>
      <w:r>
        <w:t xml:space="preserve">; </w:t>
      </w:r>
      <w:hyperlink r:id="rId8803">
        <w:r>
          <w:rPr>
            <w:color w:val="0000EE"/>
            <w:u w:val="single"/>
          </w:rPr>
          <w:t>13:23</w:t>
        </w:r>
      </w:hyperlink>
      <w:r>
        <w:t>). Le salut occupe une place de choix dans la mission de Jésus (</w:t>
      </w:r>
      <w:hyperlink r:id="rId8369">
        <w:r>
          <w:rPr>
            <w:color w:val="0000EE"/>
            <w:u w:val="single"/>
          </w:rPr>
          <w:t>Luc 19:10</w:t>
        </w:r>
      </w:hyperlink>
      <w:r>
        <w:t>). Paul enseigne que, Christ est le Sauveur de l’Église aujourd’hui (</w:t>
      </w:r>
      <w:hyperlink r:id="rId5540">
        <w:r>
          <w:rPr>
            <w:color w:val="0000EE"/>
            <w:u w:val="single"/>
          </w:rPr>
          <w:t>Éphésiens 5:23</w:t>
        </w:r>
      </w:hyperlink>
      <w:r>
        <w:t>) et demain (</w:t>
      </w:r>
      <w:hyperlink r:id="rId8810">
        <w:r>
          <w:rPr>
            <w:color w:val="0000EE"/>
            <w:u w:val="single"/>
          </w:rPr>
          <w:t>Philippiens 3:20</w:t>
        </w:r>
      </w:hyperlink>
      <w:r>
        <w:t>). Sauveur, comme appellation, s’applique à Dieu dans les épitres pastorales et fait clairement référence à Dieu en tant que Sauveur de tous (</w:t>
      </w:r>
      <w:hyperlink r:id="rId8811">
        <w:r>
          <w:rPr>
            <w:color w:val="0000EE"/>
            <w:u w:val="single"/>
          </w:rPr>
          <w:t>1 Timothée 2:3</w:t>
        </w:r>
      </w:hyperlink>
      <w:r>
        <w:t xml:space="preserve">; </w:t>
      </w:r>
      <w:hyperlink r:id="rId8812">
        <w:r>
          <w:rPr>
            <w:color w:val="0000EE"/>
            <w:u w:val="single"/>
          </w:rPr>
          <w:t>4:10</w:t>
        </w:r>
      </w:hyperlink>
      <w:r>
        <w:t>). Les épitres pastorales désignent également clairement Jésus comme Sauveur (</w:t>
      </w:r>
      <w:hyperlink r:id="rId8806">
        <w:r>
          <w:rPr>
            <w:color w:val="0000EE"/>
            <w:u w:val="single"/>
          </w:rPr>
          <w:t>2 Timothée 1:10</w:t>
        </w:r>
      </w:hyperlink>
      <w:r>
        <w:t xml:space="preserve">; </w:t>
      </w:r>
      <w:hyperlink r:id="rId8813">
        <w:r>
          <w:rPr>
            <w:color w:val="0000EE"/>
            <w:u w:val="single"/>
          </w:rPr>
          <w:t>Tite 3:6</w:t>
        </w:r>
      </w:hyperlink>
      <w:r>
        <w:t>), dans certains passages où Dieu est également connu comme le Sauveur (</w:t>
      </w:r>
      <w:hyperlink r:id="rId8814">
        <w:r>
          <w:rPr>
            <w:color w:val="0000EE"/>
            <w:u w:val="single"/>
          </w:rPr>
          <w:t>Tite 2:13</w:t>
        </w:r>
      </w:hyperlink>
      <w:r>
        <w:t xml:space="preserve">; </w:t>
      </w:r>
      <w:hyperlink r:id="rId8815">
        <w:r>
          <w:rPr>
            <w:color w:val="0000EE"/>
            <w:u w:val="single"/>
          </w:rPr>
          <w:t>3:4–6</w:t>
        </w:r>
      </w:hyperlink>
      <w:r>
        <w:t xml:space="preserve">). Le terme Sauveur est utilisé pour désigner Jésus-Christ tout au long de 2 Pierre (par exemple, </w:t>
      </w:r>
      <w:hyperlink r:id="rId8816">
        <w:r>
          <w:rPr>
            <w:color w:val="0000EE"/>
            <w:u w:val="single"/>
          </w:rPr>
          <w:t>2 Pierre 2:20</w:t>
        </w:r>
      </w:hyperlink>
      <w:r>
        <w:t>). Jean, dans sa première lettre, l’utilise pour décrire Jésus comme le Sauveur envoyé par le Père pour sauver le monde (</w:t>
      </w:r>
      <w:hyperlink r:id="rId8817">
        <w:r>
          <w:rPr>
            <w:color w:val="0000EE"/>
            <w:u w:val="single"/>
          </w:rPr>
          <w:t>1 Jean 4:14</w:t>
        </w:r>
      </w:hyperlink>
      <w:r>
        <w:t xml:space="preserve">). </w:t>
      </w:r>
      <w:r>
        <w:rPr>
          <w:i/>
        </w:rPr>
        <w:t>Voir aussi</w:t>
      </w:r>
      <w:r>
        <w:t xml:space="preserve"> </w:t>
      </w:r>
      <w:r>
        <w:t>Salut</w:t>
      </w:r>
      <w:r>
        <w:t>.</w:t>
      </w:r>
      <w:r/>
      <w:r/>
    </w:p>
    <w:p>
      <w:r/>
    </w:p>
    <w:p>
      <w:pPr>
        <w:pStyle w:val="Heading2"/>
      </w:pPr>
      <w:r>
        <w:t>Léa</w:t>
      </w:r>
      <w:r/>
    </w:p>
    <w:p>
      <w:r/>
      <w:r>
        <w:t>Léa était la fille de Laban et la sœur aînée de Rachel.</w:t>
      </w:r>
    </w:p>
    <w:p>
      <w:r/>
      <w:r>
        <w:t>Elle devint l'épouse de Jacob, qui avait trompé son père Isaac pour obtenir la bénédiction destinée à Ésaü (</w:t>
      </w:r>
      <w:hyperlink r:id="rId8818">
        <w:r>
          <w:rPr>
            <w:color w:val="0000EE"/>
            <w:u w:val="single"/>
          </w:rPr>
          <w:t>Gn 27.5–40</w:t>
        </w:r>
      </w:hyperlink>
      <w:r>
        <w:t>). Pour échapper à la colère d'Ésaü et trouver une épouse (</w:t>
      </w:r>
      <w:hyperlink r:id="rId8819">
        <w:r>
          <w:rPr>
            <w:color w:val="0000EE"/>
            <w:u w:val="single"/>
          </w:rPr>
          <w:t>Gn 27.46–28.2</w:t>
        </w:r>
      </w:hyperlink>
      <w:r>
        <w:t>), Jacob se rendra chez son oncle Laban en Mésopotamie (</w:t>
      </w:r>
      <w:hyperlink r:id="rId2404">
        <w:r>
          <w:rPr>
            <w:color w:val="0000EE"/>
            <w:u w:val="single"/>
          </w:rPr>
          <w:t>Gn 27.43</w:t>
        </w:r>
      </w:hyperlink>
      <w:r>
        <w:t xml:space="preserve"> ; </w:t>
      </w:r>
      <w:hyperlink r:id="rId8820">
        <w:r>
          <w:rPr>
            <w:color w:val="0000EE"/>
            <w:u w:val="single"/>
          </w:rPr>
          <w:t>28.2</w:t>
        </w:r>
      </w:hyperlink>
      <w:r>
        <w:t>). Il tombera amoureux de Rachel, la fille cadette de Laban, et acceptera de travailler pour Laban pendant sept ans afin de l'épouser (</w:t>
      </w:r>
      <w:hyperlink r:id="rId8821">
        <w:r>
          <w:rPr>
            <w:color w:val="0000EE"/>
            <w:u w:val="single"/>
          </w:rPr>
          <w:t>Gn 29.17–18</w:t>
        </w:r>
      </w:hyperlink>
      <w:r>
        <w:t>).</w:t>
      </w:r>
    </w:p>
    <w:p>
      <w:r/>
      <w:r>
        <w:t>Lorsque le mariage a eu lieu, Laban trompera Jacob en lui donnant Léa, sa fille aînée, au lieu de Rachel (</w:t>
      </w:r>
      <w:hyperlink r:id="rId8822">
        <w:r>
          <w:rPr>
            <w:color w:val="0000EE"/>
            <w:u w:val="single"/>
          </w:rPr>
          <w:t>Gn 29.21–25</w:t>
        </w:r>
      </w:hyperlink>
      <w:r>
        <w:t>). Laban justifiera ces actes en disant que la fille aînée devait être mariée en premier (</w:t>
      </w:r>
      <w:hyperlink r:id="rId8823">
        <w:r>
          <w:rPr>
            <w:color w:val="0000EE"/>
            <w:u w:val="single"/>
          </w:rPr>
          <w:t>Gn 29.26</w:t>
        </w:r>
      </w:hyperlink>
      <w:r>
        <w:t xml:space="preserve">). Léa était décrite comme ayant les yeux « délicats », tandis que Rachel était « </w:t>
      </w:r>
      <w:r>
        <w:t>belle de taille et belle de figure</w:t>
      </w:r>
      <w:r>
        <w:t xml:space="preserve"> » (</w:t>
      </w:r>
      <w:hyperlink r:id="rId8824">
        <w:r>
          <w:rPr>
            <w:color w:val="0000EE"/>
            <w:u w:val="single"/>
          </w:rPr>
          <w:t>Gn 29.17</w:t>
        </w:r>
      </w:hyperlink>
      <w:r>
        <w:t>).</w:t>
      </w:r>
    </w:p>
    <w:p>
      <w:r/>
      <w:r>
        <w:t>Jacob travaillera pendant sept années supplémentaires pour épouser Rachel, qu'il aimait profondément (</w:t>
      </w:r>
      <w:hyperlink r:id="rId8825">
        <w:r>
          <w:rPr>
            <w:color w:val="0000EE"/>
            <w:u w:val="single"/>
          </w:rPr>
          <w:t>Gn 29.20</w:t>
        </w:r>
      </w:hyperlink>
      <w:r>
        <w:t>). Léa, qui n'était pas aussi favorisée que Rachel, a eu six fils et une fille avant que Rachel n'ait des enfants (</w:t>
      </w:r>
      <w:hyperlink r:id="rId8826">
        <w:r>
          <w:rPr>
            <w:color w:val="0000EE"/>
            <w:u w:val="single"/>
          </w:rPr>
          <w:t>Gn 29.31–30.22</w:t>
        </w:r>
      </w:hyperlink>
      <w:r>
        <w:t>) :</w:t>
      </w:r>
    </w:p>
    <w:p>
      <w:pPr>
        <w:pStyle w:val="ListNumber"/>
        <w:spacing w:line="240" w:lineRule="auto"/>
        <w:ind w:left="720"/>
      </w:pPr>
      <w:r/>
      <w:r>
        <w:t>Ruben</w:t>
      </w:r>
    </w:p>
    <w:p>
      <w:pPr>
        <w:pStyle w:val="ListNumber"/>
        <w:spacing w:line="240" w:lineRule="auto"/>
        <w:ind w:left="720"/>
      </w:pPr>
      <w:r/>
      <w:r>
        <w:t>Simeon</w:t>
      </w:r>
    </w:p>
    <w:p>
      <w:pPr>
        <w:pStyle w:val="ListNumber"/>
        <w:spacing w:line="240" w:lineRule="auto"/>
        <w:ind w:left="720"/>
      </w:pPr>
      <w:r/>
      <w:r>
        <w:t>Lévi</w:t>
      </w:r>
    </w:p>
    <w:p>
      <w:pPr>
        <w:pStyle w:val="ListNumber"/>
        <w:spacing w:line="240" w:lineRule="auto"/>
        <w:ind w:left="720"/>
      </w:pPr>
      <w:r/>
      <w:r>
        <w:t>Juda</w:t>
      </w:r>
    </w:p>
    <w:p>
      <w:pPr>
        <w:pStyle w:val="ListNumber"/>
        <w:spacing w:line="240" w:lineRule="auto"/>
        <w:ind w:left="720"/>
      </w:pPr>
      <w:r/>
      <w:r>
        <w:t>Issacar</w:t>
      </w:r>
    </w:p>
    <w:p>
      <w:pPr>
        <w:pStyle w:val="ListNumber"/>
        <w:spacing w:line="240" w:lineRule="auto"/>
        <w:ind w:left="720"/>
      </w:pPr>
      <w:r/>
      <w:r>
        <w:t>Zabulon</w:t>
      </w:r>
    </w:p>
    <w:p>
      <w:pPr>
        <w:pStyle w:val="ListNumber"/>
        <w:spacing w:line="240" w:lineRule="auto"/>
        <w:ind w:left="720"/>
      </w:pPr>
      <w:r/>
      <w:r>
        <w:t>Dina</w:t>
      </w:r>
    </w:p>
    <w:p>
      <w:r/>
      <w:r>
        <w:t>L'incapacité de Rachel à avoir des enfants était une source de grande tristesse pour elle, et elle a même échangé des mandragores, une plante censée favoriser la conception, avec Léa pour essayer de concevoir (</w:t>
      </w:r>
      <w:hyperlink r:id="rId8827">
        <w:r>
          <w:rPr>
            <w:color w:val="0000EE"/>
            <w:u w:val="single"/>
          </w:rPr>
          <w:t>Gn 30.14–17</w:t>
        </w:r>
      </w:hyperlink>
      <w:r>
        <w:t>).</w:t>
      </w:r>
    </w:p>
    <w:p>
      <w:r/>
      <w:r>
        <w:t>Les fils de Léa ont acquis une grande importance dans l'histoire d'Israël. Son fils Lévi est devenu l'ancêtre des prêtres, et son fils Juda était l'ancêtre de la lignée royale dont Jésus-Christ est issu (</w:t>
      </w:r>
      <w:hyperlink r:id="rId250">
        <w:r>
          <w:rPr>
            <w:color w:val="0000EE"/>
            <w:u w:val="single"/>
          </w:rPr>
          <w:t>Gn 3.15</w:t>
        </w:r>
      </w:hyperlink>
      <w:r>
        <w:t xml:space="preserve"> ; </w:t>
      </w:r>
      <w:hyperlink r:id="rId8648">
        <w:r>
          <w:rPr>
            <w:color w:val="0000EE"/>
            <w:u w:val="single"/>
          </w:rPr>
          <w:t>12.2–3</w:t>
        </w:r>
      </w:hyperlink>
      <w:r>
        <w:t xml:space="preserve"> ; </w:t>
      </w:r>
      <w:hyperlink r:id="rId8828">
        <w:r>
          <w:rPr>
            <w:color w:val="0000EE"/>
            <w:u w:val="single"/>
          </w:rPr>
          <w:t>2S 7.16</w:t>
        </w:r>
      </w:hyperlink>
      <w:r>
        <w:t xml:space="preserve"> ; </w:t>
      </w:r>
      <w:hyperlink r:id="rId573">
        <w:r>
          <w:rPr>
            <w:color w:val="0000EE"/>
            <w:u w:val="single"/>
          </w:rPr>
          <w:t>Mt 1.1</w:t>
        </w:r>
      </w:hyperlink>
      <w:r>
        <w:t>).</w:t>
      </w:r>
    </w:p>
    <w:p>
      <w:r/>
      <w:r>
        <w:rPr>
          <w:i/>
        </w:rPr>
        <w:t>Voir aussi</w:t>
      </w:r>
      <w:r>
        <w:t xml:space="preserve"> </w:t>
      </w:r>
      <w:r>
        <w:t>Jacob n° 1</w:t>
      </w:r>
      <w:r>
        <w:t>.</w:t>
      </w:r>
      <w:r/>
      <w:r/>
    </w:p>
    <w:p>
      <w:r/>
    </w:p>
    <w:p>
      <w:pPr>
        <w:pStyle w:val="Heading2"/>
      </w:pPr>
      <w:r>
        <w:t>L'Égyptien</w:t>
      </w:r>
      <w:r/>
    </w:p>
    <w:p>
      <w:r/>
      <w:r>
        <w:t xml:space="preserve">Homme non identifié, venu d'Égypte, qui a mené une révolte violente contre la domination romaine. Il a rassemblé un grand groupe de partisans, y compris un groupe violent appelé les </w:t>
      </w:r>
      <w:r>
        <w:rPr>
          <w:i/>
        </w:rPr>
        <w:t>Sicaires</w:t>
      </w:r>
      <w:r>
        <w:t xml:space="preserve"> (rebelles juifs connus pour utiliser de petits couteaux pour assassiner leurs ennemis). L'Égyptien a conduit ses partisans dans le désert.</w:t>
      </w:r>
    </w:p>
    <w:p>
      <w:r/>
      <w:r>
        <w:t>Après une perturbation dans le temple, le commandant romain Claude Lysias a demandé à l'apôtre Paul s'il était cet insurgé égyptien (</w:t>
      </w:r>
      <w:hyperlink r:id="rId8829">
        <w:r>
          <w:rPr>
            <w:color w:val="0000EE"/>
            <w:u w:val="single"/>
          </w:rPr>
          <w:t>Ac 21.38</w:t>
        </w:r>
      </w:hyperlink>
      <w:r>
        <w:t>). L'historien juif antique Flavius Josèphe a également parlé de cet homme dans ses écrits. Il y dit que l'Égyptien avait mené une rébellion échouée, qui fut maîtrisée par le gouverneur romain Félix. Le nombre de rebelles impliqués dans la révolte diffère selon les sources, mais tous s'accordent à dire que l'Égyptien s'est enfui et n'a jamais été capturé.</w:t>
      </w:r>
      <w:r/>
      <w:r/>
    </w:p>
    <w:p>
      <w:r/>
    </w:p>
    <w:p>
      <w:pPr>
        <w:pStyle w:val="Heading2"/>
      </w:pPr>
      <w:r>
        <w:t>Lehabim</w:t>
      </w:r>
      <w:r/>
    </w:p>
    <w:p>
      <w:r/>
      <w:r>
        <w:t>Un des nombreux groupes de personnes associés à l'Égypte (</w:t>
      </w:r>
      <w:hyperlink r:id="rId883">
        <w:r>
          <w:rPr>
            <w:color w:val="0000EE"/>
            <w:u w:val="single"/>
          </w:rPr>
          <w:t>Gn 10.13</w:t>
        </w:r>
      </w:hyperlink>
      <w:r>
        <w:t xml:space="preserve"> ; </w:t>
      </w:r>
      <w:hyperlink r:id="rId884">
        <w:r>
          <w:rPr>
            <w:color w:val="0000EE"/>
            <w:u w:val="single"/>
          </w:rPr>
          <w:t>1Ch 1.11</w:t>
        </w:r>
      </w:hyperlink>
      <w:r>
        <w:t>). Il se peut que les Lehabim soient un peuple non identifié près de l'Égypte. De nombreux érudits soutiennent, probablement à juste titre, qu'ils sont identiques aux Lubim (Libyens). Les Lubim sont souvent vus dans la Bible comme combattant en alliance avec l'Égypte (</w:t>
      </w:r>
      <w:hyperlink r:id="rId8830">
        <w:r>
          <w:rPr>
            <w:color w:val="0000EE"/>
            <w:u w:val="single"/>
          </w:rPr>
          <w:t>Dn 11.43</w:t>
        </w:r>
      </w:hyperlink>
      <w:r>
        <w:t xml:space="preserve"> ; </w:t>
      </w:r>
      <w:hyperlink r:id="rId8831">
        <w:r>
          <w:rPr>
            <w:color w:val="0000EE"/>
            <w:u w:val="single"/>
          </w:rPr>
          <w:t>Na 3.9</w:t>
        </w:r>
      </w:hyperlink>
      <w:r>
        <w:t>). L'Égypte et ce groupe s'alliaient parfois contre Israël, comme à l'époque de Roboam et Asa (</w:t>
      </w:r>
      <w:hyperlink r:id="rId8832">
        <w:r>
          <w:rPr>
            <w:color w:val="0000EE"/>
            <w:u w:val="single"/>
          </w:rPr>
          <w:t>2Ch 12.3</w:t>
        </w:r>
      </w:hyperlink>
      <w:r>
        <w:t xml:space="preserve"> ;</w:t>
      </w:r>
      <w:hyperlink r:id="rId8833">
        <w:r>
          <w:rPr>
            <w:color w:val="0000EE"/>
            <w:u w:val="single"/>
          </w:rPr>
          <w:t xml:space="preserve"> 16.8</w:t>
        </w:r>
      </w:hyperlink>
      <w:r>
        <w:t>).</w:t>
      </w:r>
      <w:r/>
      <w:r/>
    </w:p>
    <w:p>
      <w:r/>
    </w:p>
    <w:p>
      <w:pPr>
        <w:pStyle w:val="Heading2"/>
      </w:pPr>
      <w:r>
        <w:t>Lémec</w:t>
      </w:r>
      <w:r/>
    </w:p>
    <w:p>
      <w:pPr>
        <w:pStyle w:val="ListNumber"/>
        <w:spacing w:line="240" w:lineRule="auto"/>
        <w:ind w:left="720"/>
      </w:pPr>
      <w:r/>
      <w:r>
        <w:t xml:space="preserve">Fils de </w:t>
      </w:r>
      <w:r>
        <w:t>Metuschaël</w:t>
      </w:r>
      <w:r>
        <w:t>, un descendant de Caïn, et mari d'Ada et de Tsilla.</w:t>
      </w:r>
    </w:p>
    <w:p>
      <w:r/>
      <w:r>
        <w:t>Les fils de Lémec avec Ada étaient :</w:t>
      </w:r>
    </w:p>
    <w:p>
      <w:pPr>
        <w:pStyle w:val="ListBullet"/>
        <w:spacing w:line="240" w:lineRule="auto"/>
        <w:ind w:left="1440"/>
      </w:pPr>
      <w:r/>
      <w:r>
        <w:t xml:space="preserve">Jabal, « </w:t>
      </w:r>
      <w:r>
        <w:t>le père de ceux qui habitent sous des tentes et près des troupeaux</w:t>
      </w:r>
      <w:r>
        <w:t xml:space="preserve"> ».</w:t>
      </w:r>
    </w:p>
    <w:p>
      <w:pPr>
        <w:pStyle w:val="ListBullet"/>
        <w:spacing w:line="240" w:lineRule="auto"/>
        <w:ind w:left="1440"/>
      </w:pPr>
      <w:r/>
      <w:r>
        <w:t xml:space="preserve">Jubal, « </w:t>
      </w:r>
      <w:r>
        <w:t>le père de tous ceux qui jouent de la harpe et du chalumeau</w:t>
      </w:r>
      <w:r>
        <w:t xml:space="preserve"> ».</w:t>
      </w:r>
    </w:p>
    <w:p>
      <w:r/>
      <w:r>
        <w:t>Ses enfants avec Tsilla étaient :</w:t>
      </w:r>
    </w:p>
    <w:p>
      <w:pPr>
        <w:pStyle w:val="ListBullet"/>
        <w:spacing w:line="240" w:lineRule="auto"/>
        <w:ind w:left="1440"/>
      </w:pPr>
      <w:r/>
      <w:r>
        <w:t xml:space="preserve">Tubal-Caïn, « </w:t>
      </w:r>
      <w:r>
        <w:t>qui forgeait tous les instruments d’airain et de fer</w:t>
      </w:r>
      <w:r>
        <w:t xml:space="preserve"> ».</w:t>
      </w:r>
    </w:p>
    <w:p>
      <w:pPr>
        <w:pStyle w:val="ListBullet"/>
        <w:spacing w:line="240" w:lineRule="auto"/>
        <w:ind w:left="1440"/>
      </w:pPr>
      <w:r/>
      <w:r>
        <w:t>Naama (</w:t>
      </w:r>
      <w:hyperlink r:id="rId2111">
        <w:r>
          <w:rPr>
            <w:color w:val="0000EE"/>
            <w:u w:val="single"/>
          </w:rPr>
          <w:t>Gn 4.18–22</w:t>
        </w:r>
      </w:hyperlink>
      <w:r>
        <w:t>).</w:t>
      </w:r>
    </w:p>
    <w:p>
      <w:r/>
      <w:r>
        <w:t>Dans les premiers chapitres de la Genèse, les fils de Lémec représentent les débuts de l'élevage, de la musique et de la métallurgie. Le chant de Lémec (</w:t>
      </w:r>
      <w:hyperlink r:id="rId8834">
        <w:r>
          <w:rPr>
            <w:color w:val="0000EE"/>
            <w:u w:val="single"/>
          </w:rPr>
          <w:t>Gn 4.23–24</w:t>
        </w:r>
      </w:hyperlink>
      <w:r>
        <w:t>) est un exemple précoce de poésie hébraïque. Dans ce chant, Lémec se vante d'avoir tué un homme qui l'avait blessé, comparant son acte de vengeance au meurtre d'Abel par Caïn (</w:t>
      </w:r>
      <w:hyperlink r:id="rId8835">
        <w:r>
          <w:rPr>
            <w:color w:val="0000EE"/>
            <w:u w:val="single"/>
          </w:rPr>
          <w:t>Gn 4.8–12</w:t>
        </w:r>
      </w:hyperlink>
      <w:r>
        <w:t>). Il affirme que si Caïn était vengé sept fois, alors Lémec le sera « soixante-dix-sept fois ». Le chant de Lémec montre comment, à mesure que la civilisation grandissait, l'orgueil et la violence augmentaient également. Cela contraste fortement avec l'enseignement de Jésus sur le pardon, où il conseille de pardonner « septante fois sept fois » (</w:t>
      </w:r>
      <w:hyperlink r:id="rId8836">
        <w:r>
          <w:rPr>
            <w:color w:val="0000EE"/>
            <w:u w:val="single"/>
          </w:rPr>
          <w:t>Mt 18.22</w:t>
        </w:r>
      </w:hyperlink>
      <w:r>
        <w:t>).</w:t>
      </w:r>
    </w:p>
    <w:p>
      <w:pPr>
        <w:pStyle w:val="ListNumber"/>
        <w:spacing w:line="240" w:lineRule="auto"/>
        <w:ind w:left="720"/>
      </w:pPr>
      <w:r/>
      <w:r>
        <w:t xml:space="preserve">Fils de </w:t>
      </w:r>
      <w:r>
        <w:t>Metuschélah</w:t>
      </w:r>
      <w:r>
        <w:t xml:space="preserve"> et père de Noé (</w:t>
      </w:r>
      <w:hyperlink r:id="rId8837">
        <w:r>
          <w:rPr>
            <w:color w:val="0000EE"/>
            <w:u w:val="single"/>
          </w:rPr>
          <w:t>Gn 5.25–31</w:t>
        </w:r>
      </w:hyperlink>
      <w:r>
        <w:t xml:space="preserve"> ; </w:t>
      </w:r>
      <w:hyperlink r:id="rId6415">
        <w:r>
          <w:rPr>
            <w:color w:val="0000EE"/>
            <w:u w:val="single"/>
          </w:rPr>
          <w:t>1Ch 1.3</w:t>
        </w:r>
      </w:hyperlink>
      <w:r>
        <w:t>). À la naissance de Noé, Lémec espérait que l'enfant apporterait un soulagement à l'humanité de la malédiction placée sur Adam (</w:t>
      </w:r>
      <w:hyperlink r:id="rId3935">
        <w:r>
          <w:rPr>
            <w:color w:val="0000EE"/>
            <w:u w:val="single"/>
          </w:rPr>
          <w:t>Gn 5.29</w:t>
        </w:r>
      </w:hyperlink>
      <w:r>
        <w:t xml:space="preserve"> ; voir </w:t>
      </w:r>
      <w:hyperlink r:id="rId7831">
        <w:r>
          <w:rPr>
            <w:color w:val="0000EE"/>
            <w:u w:val="single"/>
          </w:rPr>
          <w:t>Gn 3.17</w:t>
        </w:r>
      </w:hyperlink>
      <w:r>
        <w:t xml:space="preserve">). Il a vécu 777 ans, l'une des vies les plus longues parmi ceux qui ont vécu avant le Déluge. Les Manuscrits de la mer Morte contenaient de longues conversations entre Lémec et son père, </w:t>
      </w:r>
      <w:r>
        <w:t>Metuschélah</w:t>
      </w:r>
      <w:r>
        <w:t xml:space="preserve">. Lémec (orthographié Lamech dans le Nouveau Testament) est répertorié comme un ancêtre de Jésus dans la liste familiale enregistrée dans </w:t>
      </w:r>
      <w:hyperlink r:id="rId1313">
        <w:r>
          <w:rPr>
            <w:color w:val="0000EE"/>
            <w:u w:val="single"/>
          </w:rPr>
          <w:t>Luc 3.36</w:t>
        </w:r>
      </w:hyperlink>
      <w:r>
        <w:t>.</w:t>
      </w:r>
    </w:p>
    <w:p>
      <w:r/>
      <w:r>
        <w:rPr>
          <w:i/>
        </w:rPr>
        <w:t>Voir aussi</w:t>
      </w:r>
      <w:r>
        <w:t xml:space="preserve"> </w:t>
      </w:r>
      <w:r>
        <w:t>Généalogie de Jésus-Christ</w:t>
      </w:r>
      <w:r>
        <w:t>.</w:t>
      </w:r>
      <w:r/>
      <w:r/>
    </w:p>
    <w:p>
      <w:r/>
    </w:p>
    <w:p>
      <w:pPr>
        <w:pStyle w:val="Heading2"/>
      </w:pPr>
      <w:r>
        <w:t>Les scribes</w:t>
      </w:r>
      <w:r/>
    </w:p>
    <w:p>
      <w:r/>
      <w:r>
        <w:t>Au début de l’époque de l’Ancien Testament, il s’agit des personnes employées pour leur capacité à consigner des informations par écrit. Après l’exil, les scribes étaient une classe d’érudits qui enseignaient, copiaient et interprétaient la loi juive au profit du peuple. Dans les Évangiles, ils se présentent comme les principaux détracteurs de Jésus.</w:t>
      </w:r>
    </w:p>
    <w:p>
      <w:pPr>
        <w:pStyle w:val="Heading3"/>
      </w:pPr>
      <w:r>
        <w:t>Les scribes avant l’exil</w:t>
      </w:r>
    </w:p>
    <w:p>
      <w:r/>
      <w:r>
        <w:t>La capacité à lire et à écrire n’était pas monnaie courante dans l’Israël antique, et des secrétaires professionnels jouaient un rôle important dans les différents aspects de la vie publique. Il semble que c’est la première notion biblique du terme « scribe » et qu’elle n’ait aucune connotation religieuse. Les scribes étaient employés pour tenir des comptes ou mettre par écrit des informations juridiques (</w:t>
      </w:r>
      <w:hyperlink r:id="rId7982">
        <w:r>
          <w:rPr>
            <w:color w:val="0000EE"/>
            <w:u w:val="single"/>
          </w:rPr>
          <w:t>Jérémie 32:12</w:t>
        </w:r>
      </w:hyperlink>
      <w:r>
        <w:t>), des données militaires (</w:t>
      </w:r>
      <w:hyperlink r:id="rId8838">
        <w:r>
          <w:rPr>
            <w:color w:val="0000EE"/>
            <w:u w:val="single"/>
          </w:rPr>
          <w:t>2 Chroniques 26:11</w:t>
        </w:r>
      </w:hyperlink>
      <w:r>
        <w:t>), d'autres documents publics (</w:t>
      </w:r>
      <w:hyperlink r:id="rId4539">
        <w:r>
          <w:rPr>
            <w:color w:val="0000EE"/>
            <w:u w:val="single"/>
          </w:rPr>
          <w:t>Juges 8:14</w:t>
        </w:r>
      </w:hyperlink>
      <w:r>
        <w:t xml:space="preserve">; </w:t>
      </w:r>
      <w:hyperlink r:id="rId2397">
        <w:r>
          <w:rPr>
            <w:color w:val="0000EE"/>
            <w:u w:val="single"/>
          </w:rPr>
          <w:t>Ésaïe 50:1</w:t>
        </w:r>
      </w:hyperlink>
      <w:r>
        <w:t>), ou des correspondances personnelles (</w:t>
      </w:r>
      <w:hyperlink r:id="rId8839">
        <w:r>
          <w:rPr>
            <w:color w:val="0000EE"/>
            <w:u w:val="single"/>
          </w:rPr>
          <w:t>Jérémie 36:18</w:t>
        </w:r>
      </w:hyperlink>
      <w:r>
        <w:t>). Ces secrétaires étaient indispensables à l’administration royale, et on mentionne souvent un scribe en chef qui faisait office de greffier (</w:t>
      </w:r>
      <w:hyperlink r:id="rId8840">
        <w:r>
          <w:rPr>
            <w:color w:val="0000EE"/>
            <w:u w:val="single"/>
          </w:rPr>
          <w:t>1 Rois 4:3</w:t>
        </w:r>
      </w:hyperlink>
      <w:r>
        <w:t xml:space="preserve">; </w:t>
      </w:r>
      <w:hyperlink r:id="rId8841">
        <w:r>
          <w:rPr>
            <w:color w:val="0000EE"/>
            <w:u w:val="single"/>
          </w:rPr>
          <w:t>2 Chroniques 24:11</w:t>
        </w:r>
      </w:hyperlink>
      <w:r>
        <w:t>), en tant que conseiller (</w:t>
      </w:r>
      <w:hyperlink r:id="rId8842">
        <w:r>
          <w:rPr>
            <w:color w:val="0000EE"/>
            <w:u w:val="single"/>
          </w:rPr>
          <w:t>2 Samuel 8:16–17</w:t>
        </w:r>
      </w:hyperlink>
      <w:r>
        <w:t xml:space="preserve">; </w:t>
      </w:r>
      <w:hyperlink r:id="rId8843">
        <w:r>
          <w:rPr>
            <w:color w:val="0000EE"/>
            <w:u w:val="single"/>
          </w:rPr>
          <w:t>2 Rois 18:18</w:t>
        </w:r>
      </w:hyperlink>
      <w:r>
        <w:t xml:space="preserve">; </w:t>
      </w:r>
      <w:hyperlink r:id="rId8844">
        <w:r>
          <w:rPr>
            <w:color w:val="0000EE"/>
            <w:u w:val="single"/>
          </w:rPr>
          <w:t>22:12</w:t>
        </w:r>
      </w:hyperlink>
      <w:r>
        <w:t xml:space="preserve">; </w:t>
      </w:r>
      <w:hyperlink r:id="rId8845">
        <w:r>
          <w:rPr>
            <w:color w:val="0000EE"/>
            <w:u w:val="single"/>
          </w:rPr>
          <w:t>1 Chroniques 27:32</w:t>
        </w:r>
      </w:hyperlink>
      <w:r>
        <w:t xml:space="preserve">; </w:t>
      </w:r>
      <w:hyperlink r:id="rId8846">
        <w:r>
          <w:rPr>
            <w:color w:val="0000EE"/>
            <w:u w:val="single"/>
          </w:rPr>
          <w:t>Ésaïe 36:3</w:t>
        </w:r>
      </w:hyperlink>
      <w:r>
        <w:t>), et en qualité de superviseur financier (</w:t>
      </w:r>
      <w:hyperlink r:id="rId8847">
        <w:r>
          <w:rPr>
            <w:color w:val="0000EE"/>
            <w:u w:val="single"/>
          </w:rPr>
          <w:t>2 Rois 22:3–4</w:t>
        </w:r>
      </w:hyperlink>
      <w:r>
        <w:t>). Les secrétaires ou les scribes étaient également associés au sacerdoce, servant d’archivistes pour les affaires du temple (</w:t>
      </w:r>
      <w:hyperlink r:id="rId33">
        <w:r>
          <w:rPr>
            <w:color w:val="0000EE"/>
            <w:u w:val="single"/>
          </w:rPr>
          <w:t>1 Chroniques 24:6</w:t>
        </w:r>
      </w:hyperlink>
      <w:r>
        <w:t xml:space="preserve">; </w:t>
      </w:r>
      <w:hyperlink r:id="rId8848">
        <w:r>
          <w:rPr>
            <w:color w:val="0000EE"/>
            <w:u w:val="single"/>
          </w:rPr>
          <w:t>2 Chroniques 34:13–15</w:t>
        </w:r>
      </w:hyperlink>
      <w:r>
        <w:t>).</w:t>
      </w:r>
    </w:p>
    <w:p>
      <w:pPr>
        <w:pStyle w:val="Heading3"/>
      </w:pPr>
      <w:r>
        <w:t>Les scribes après l’exil</w:t>
      </w:r>
    </w:p>
    <w:p>
      <w:r/>
      <w:r>
        <w:t>En raison de la restauration du judaïsme sous la houlette d’Esdras et de Néhémie, le terme « scribe » a commencé à être associé plus étroitement à ceux qui se réunissaient, étudiaient et interprétaient la Torah (la loi juive). Ils exerçaient une profession distincte de celle des enseignants, étant capables de conserver fidèlement la loi de Moïse et de l’interpréter dans l’optique de satisfaire les exigences après l’exil. Au début de cette période, Esdras se veut le scribe idéal qui avait « appliqué son cœur à étudier et à mettre en pratique la loi et à enseigner au milieu d’Israël les lois et les ordonnances de l’Éternel, et à enseigner au milieu d’Israël les lois et les ordonnances. » Dans l’Ecclésiastique, le scribe est présenté comme une personne qui, en raison de son étude diligente de la Loi, des Prophètes et des Écrits (</w:t>
      </w:r>
      <w:hyperlink r:id="rId8849">
        <w:r>
          <w:rPr>
            <w:color w:val="0000EE"/>
            <w:u w:val="single"/>
          </w:rPr>
          <w:t>Ecclésiastique 38:24ff</w:t>
        </w:r>
      </w:hyperlink>
      <w:r>
        <w:t xml:space="preserve">; </w:t>
      </w:r>
      <w:hyperlink r:id="rId8850">
        <w:r>
          <w:rPr>
            <w:color w:val="0000EE"/>
            <w:u w:val="single"/>
          </w:rPr>
          <w:t>39:1</w:t>
        </w:r>
      </w:hyperlink>
      <w:r>
        <w:t>), est capable de comprendre profondément le sens caché des textes (</w:t>
      </w:r>
      <w:hyperlink r:id="rId8851">
        <w:r>
          <w:rPr>
            <w:color w:val="0000EE"/>
            <w:u w:val="single"/>
          </w:rPr>
          <w:t>39:2–3</w:t>
        </w:r>
      </w:hyperlink>
      <w:r>
        <w:t>), et est donc capable de servir de juge et de conseiller pour le peuple et l’État (</w:t>
      </w:r>
      <w:hyperlink r:id="rId8852">
        <w:r>
          <w:rPr>
            <w:color w:val="0000EE"/>
            <w:u w:val="single"/>
          </w:rPr>
          <w:t>38:33</w:t>
        </w:r>
      </w:hyperlink>
      <w:r>
        <w:t xml:space="preserve">; </w:t>
      </w:r>
      <w:hyperlink r:id="rId8853">
        <w:r>
          <w:rPr>
            <w:color w:val="0000EE"/>
            <w:u w:val="single"/>
          </w:rPr>
          <w:t>39:4–8</w:t>
        </w:r>
      </w:hyperlink>
      <w:r>
        <w:t>). En raison de la place inestimable qu’il occupe dans une société régie par la Torah, le scribe est digne de louanges et d’un grand respect à travers les générations (</w:t>
      </w:r>
      <w:hyperlink r:id="rId8854">
        <w:r>
          <w:rPr>
            <w:color w:val="0000EE"/>
            <w:u w:val="single"/>
          </w:rPr>
          <w:t>39:9</w:t>
        </w:r>
      </w:hyperlink>
      <w:r>
        <w:t xml:space="preserve">). Au deuxième siècle av. J.-C., les scribes constituaient une classe assez distincte dans la société juive. À partir de cette époque, ils sont devenus étroitement liés à la montée des Pharisiens, et la plupart des scribes leur étaient affiliés (voir le lien étroit dans le Nouveau Testament : </w:t>
      </w:r>
      <w:hyperlink r:id="rId7020">
        <w:r>
          <w:rPr>
            <w:color w:val="0000EE"/>
            <w:u w:val="single"/>
          </w:rPr>
          <w:t>Matthieu 5:20</w:t>
        </w:r>
      </w:hyperlink>
      <w:r>
        <w:t xml:space="preserve">; </w:t>
      </w:r>
      <w:hyperlink r:id="rId8855">
        <w:r>
          <w:rPr>
            <w:color w:val="0000EE"/>
            <w:u w:val="single"/>
          </w:rPr>
          <w:t>12:38</w:t>
        </w:r>
      </w:hyperlink>
      <w:r>
        <w:t xml:space="preserve">; </w:t>
      </w:r>
      <w:hyperlink r:id="rId8856">
        <w:r>
          <w:rPr>
            <w:color w:val="0000EE"/>
            <w:u w:val="single"/>
          </w:rPr>
          <w:t>15:1</w:t>
        </w:r>
      </w:hyperlink>
      <w:r>
        <w:t xml:space="preserve">; </w:t>
      </w:r>
      <w:hyperlink r:id="rId8857">
        <w:r>
          <w:rPr>
            <w:color w:val="0000EE"/>
            <w:u w:val="single"/>
          </w:rPr>
          <w:t>Marc 7:5</w:t>
        </w:r>
      </w:hyperlink>
      <w:r>
        <w:t xml:space="preserve">; </w:t>
      </w:r>
      <w:hyperlink r:id="rId8858">
        <w:r>
          <w:rPr>
            <w:color w:val="0000EE"/>
            <w:u w:val="single"/>
          </w:rPr>
          <w:t>Luc 6:7</w:t>
        </w:r>
      </w:hyperlink>
      <w:r>
        <w:t>).</w:t>
      </w:r>
    </w:p>
    <w:p>
      <w:pPr>
        <w:pStyle w:val="Heading3"/>
      </w:pPr>
      <w:r>
        <w:t>Formation et statut</w:t>
      </w:r>
    </w:p>
    <w:p>
      <w:r/>
      <w:r>
        <w:t>Au départ, les scribes étaient formés au sein de familles sacerdotales qui partageaient la même profession. Ces groupes garantissaient la réglementation et la perpétuation de la fonction (</w:t>
      </w:r>
      <w:hyperlink r:id="rId8107">
        <w:r>
          <w:rPr>
            <w:color w:val="0000EE"/>
            <w:u w:val="single"/>
          </w:rPr>
          <w:t>1 Chroniques 2:55</w:t>
        </w:r>
      </w:hyperlink>
      <w:r>
        <w:t xml:space="preserve">). Plus tard, la formation a été ouverte aux membres de toutes les classes sociales, ce qui a eu pour résultat, à l’époque de Jésus, que les scribes issus de familles non sacerdotales étaient beaucoup plus nombreux et influents. La formation commençait dès le plus jeune âge sous la supervision personnelle d’un maitre (rabbin), qui donnait des instructions sur toutes les questions relatives à la Loi et à son interprétation. La loi écrite de Moïse ne pouvant satisfaire directement les exigences après l’exil, les compétences des scribes constituaient un apport important. La « loi orale » qu’ils ont établie était considérée comme égale à la loi écrite et tout aussi contraignante pour ceux qui voulaient être agréables à Dieu (voir </w:t>
      </w:r>
      <w:hyperlink r:id="rId8859">
        <w:r>
          <w:rPr>
            <w:color w:val="0000EE"/>
            <w:u w:val="single"/>
          </w:rPr>
          <w:t>Marc 7:6–13</w:t>
        </w:r>
      </w:hyperlink>
      <w:r>
        <w:t>). Cette fonction importante, au cœur de la vie juive, explique la participation des scribes au Sanhédrin. Le Sanhédrin, pour prendre des décisions juridiques conformes à la Loi, avait évidemment besoin de leur présence. Les scribes étaient donc les seuls, en dehors des souverains sacrificateurs aristocratiques et des anciens, à être représentés au sein de cette cour suprême juive (</w:t>
      </w:r>
      <w:hyperlink r:id="rId8860">
        <w:r>
          <w:rPr>
            <w:color w:val="0000EE"/>
            <w:u w:val="single"/>
          </w:rPr>
          <w:t>Matthieu 26:57</w:t>
        </w:r>
      </w:hyperlink>
      <w:r>
        <w:t xml:space="preserve">; </w:t>
      </w:r>
      <w:hyperlink r:id="rId8861">
        <w:r>
          <w:rPr>
            <w:color w:val="0000EE"/>
            <w:u w:val="single"/>
          </w:rPr>
          <w:t>Marc 14:43, 53</w:t>
        </w:r>
      </w:hyperlink>
      <w:r>
        <w:t xml:space="preserve">; </w:t>
      </w:r>
      <w:hyperlink r:id="rId8862">
        <w:r>
          <w:rPr>
            <w:color w:val="0000EE"/>
            <w:u w:val="single"/>
          </w:rPr>
          <w:t>Luc 22:66</w:t>
        </w:r>
      </w:hyperlink>
      <w:r>
        <w:t xml:space="preserve">; </w:t>
      </w:r>
      <w:hyperlink r:id="rId8863">
        <w:r>
          <w:rPr>
            <w:color w:val="0000EE"/>
            <w:u w:val="single"/>
          </w:rPr>
          <w:t>Actes 23:9</w:t>
        </w:r>
      </w:hyperlink>
      <w:r>
        <w:t>). Être les instructeurs de la Loi qui faisaient autorité, tant à l’intérieur du temple (</w:t>
      </w:r>
      <w:hyperlink r:id="rId8864">
        <w:r>
          <w:rPr>
            <w:color w:val="0000EE"/>
            <w:u w:val="single"/>
          </w:rPr>
          <w:t>Luc 2:46</w:t>
        </w:r>
      </w:hyperlink>
      <w:r>
        <w:t>) que dans les diverses synagogues de Judée et de Galilée (</w:t>
      </w:r>
      <w:hyperlink r:id="rId4284">
        <w:r>
          <w:rPr>
            <w:color w:val="0000EE"/>
            <w:u w:val="single"/>
          </w:rPr>
          <w:t>5:17</w:t>
        </w:r>
      </w:hyperlink>
      <w:r>
        <w:t>), ainsi que des membres éminents du Sanhédrin, les scribes étaient très respectés au sein de la communauté juive. Ils portaient des vêtements spéciaux (</w:t>
      </w:r>
      <w:hyperlink r:id="rId8865">
        <w:r>
          <w:rPr>
            <w:color w:val="0000EE"/>
            <w:u w:val="single"/>
          </w:rPr>
          <w:t>Marc 12:38</w:t>
        </w:r>
      </w:hyperlink>
      <w:r>
        <w:t>) avec des franges commémoratives à la base et des phylactères, ou « boîtes à prières », suspendus aux bras (</w:t>
      </w:r>
      <w:hyperlink r:id="rId7795">
        <w:r>
          <w:rPr>
            <w:color w:val="0000EE"/>
            <w:u w:val="single"/>
          </w:rPr>
          <w:t>Matthieu 23:5</w:t>
        </w:r>
      </w:hyperlink>
      <w:r>
        <w:t>). Cette tenue rendait leur présence évidente et incitait les gens du peuple à se lever ou à s’incliner à leur passage (</w:t>
      </w:r>
      <w:hyperlink r:id="rId8865">
        <w:r>
          <w:rPr>
            <w:color w:val="0000EE"/>
            <w:u w:val="single"/>
          </w:rPr>
          <w:t>Marc 12:38</w:t>
        </w:r>
      </w:hyperlink>
      <w:r>
        <w:t>). Ils étaient respectueusement appelés « rabbi » ou « maitre » (</w:t>
      </w:r>
      <w:hyperlink r:id="rId8866">
        <w:r>
          <w:rPr>
            <w:color w:val="0000EE"/>
            <w:u w:val="single"/>
          </w:rPr>
          <w:t>Matthieu 23:7</w:t>
        </w:r>
      </w:hyperlink>
      <w:r>
        <w:t>) et occupaient la place d’honneur lors du culte et des activités sociales (</w:t>
      </w:r>
      <w:hyperlink r:id="rId8867">
        <w:r>
          <w:rPr>
            <w:color w:val="0000EE"/>
            <w:u w:val="single"/>
          </w:rPr>
          <w:t>Matthieu 23:2</w:t>
        </w:r>
      </w:hyperlink>
      <w:r>
        <w:t xml:space="preserve">; </w:t>
      </w:r>
      <w:hyperlink r:id="rId5641">
        <w:r>
          <w:rPr>
            <w:color w:val="0000EE"/>
            <w:u w:val="single"/>
          </w:rPr>
          <w:t>Marc 12:39</w:t>
        </w:r>
      </w:hyperlink>
      <w:r>
        <w:t xml:space="preserve">; </w:t>
      </w:r>
      <w:hyperlink r:id="rId5642">
        <w:r>
          <w:rPr>
            <w:color w:val="0000EE"/>
            <w:u w:val="single"/>
          </w:rPr>
          <w:t>Luc 20:46</w:t>
        </w:r>
      </w:hyperlink>
      <w:r>
        <w:t>).</w:t>
      </w:r>
    </w:p>
    <w:p>
      <w:pPr>
        <w:pStyle w:val="Heading3"/>
      </w:pPr>
      <w:r>
        <w:t>Les scribes au temps de Jésus</w:t>
      </w:r>
    </w:p>
    <w:p>
      <w:r/>
      <w:r>
        <w:t>Pendant le ministère de Jésus, les scribes se présentaient principalement comme ceux qui accordaient une attention extrême à l’observance de la Loi. Luc désigne les scribes comme des « hommes de la Loi », décrivant ainsi à ses auditeurs et aux lecteurs païens la fonction principale des scribes en tant qu’interprètes de la loi juive. Les scribes critiquaient souvent Jésus, l’accusant de violer la Loi à de nombreuses reprises, notamment lorsqu’il pardonnait les péchés (</w:t>
      </w:r>
      <w:hyperlink r:id="rId8868">
        <w:r>
          <w:rPr>
            <w:color w:val="0000EE"/>
            <w:u w:val="single"/>
          </w:rPr>
          <w:t>Matthieu 9:1–3</w:t>
        </w:r>
      </w:hyperlink>
      <w:r>
        <w:t xml:space="preserve">; </w:t>
      </w:r>
      <w:hyperlink r:id="rId8869">
        <w:r>
          <w:rPr>
            <w:color w:val="0000EE"/>
            <w:u w:val="single"/>
          </w:rPr>
          <w:t>Luc 5:17–26</w:t>
        </w:r>
      </w:hyperlink>
      <w:r>
        <w:t>), lorsqu'il violait l’observance du sabbat, par le travail (</w:t>
      </w:r>
      <w:hyperlink r:id="rId8870">
        <w:r>
          <w:rPr>
            <w:color w:val="0000EE"/>
            <w:u w:val="single"/>
          </w:rPr>
          <w:t>Luc 6:1–2</w:t>
        </w:r>
      </w:hyperlink>
      <w:r>
        <w:t xml:space="preserve">), par la guérison (versets </w:t>
      </w:r>
      <w:hyperlink r:id="rId8871">
        <w:r>
          <w:rPr>
            <w:color w:val="0000EE"/>
            <w:u w:val="single"/>
          </w:rPr>
          <w:t>6–11</w:t>
        </w:r>
      </w:hyperlink>
      <w:r>
        <w:t>), après avoir remarqué qu'il ne suivait pas leurs cérémonies de purification (</w:t>
      </w:r>
      <w:hyperlink r:id="rId8872">
        <w:r>
          <w:rPr>
            <w:color w:val="0000EE"/>
            <w:u w:val="single"/>
          </w:rPr>
          <w:t>Marc 7:2–5</w:t>
        </w:r>
      </w:hyperlink>
      <w:r>
        <w:t>) et qu’il ignorait leur pratique du jeûne (</w:t>
      </w:r>
      <w:hyperlink r:id="rId8873">
        <w:r>
          <w:rPr>
            <w:color w:val="0000EE"/>
            <w:u w:val="single"/>
          </w:rPr>
          <w:t>Luc 5:33–39</w:t>
        </w:r>
      </w:hyperlink>
      <w:r>
        <w:t>). Il n’est pas surprenant qu’ils aient particulièrement désapprouvé la pratique de Jésus consistant à passer du temps avec les impurs et les exclus de la société juive (</w:t>
      </w:r>
      <w:hyperlink r:id="rId8874">
        <w:r>
          <w:rPr>
            <w:color w:val="0000EE"/>
            <w:u w:val="single"/>
          </w:rPr>
          <w:t>Marc 2:16–17</w:t>
        </w:r>
      </w:hyperlink>
      <w:r>
        <w:t xml:space="preserve">; </w:t>
      </w:r>
      <w:hyperlink r:id="rId8875">
        <w:r>
          <w:rPr>
            <w:color w:val="0000EE"/>
            <w:u w:val="single"/>
          </w:rPr>
          <w:t>Luc 15:1–2</w:t>
        </w:r>
      </w:hyperlink>
      <w:r>
        <w:t>). Ils essayaient souvent de tromper Jésus en lui posant des questions sur la Loi (</w:t>
      </w:r>
      <w:hyperlink r:id="rId8857">
        <w:r>
          <w:rPr>
            <w:color w:val="0000EE"/>
            <w:u w:val="single"/>
          </w:rPr>
          <w:t>Marc 7:5</w:t>
        </w:r>
      </w:hyperlink>
      <w:r>
        <w:t xml:space="preserve">; </w:t>
      </w:r>
      <w:hyperlink r:id="rId8876">
        <w:r>
          <w:rPr>
            <w:color w:val="0000EE"/>
            <w:u w:val="single"/>
          </w:rPr>
          <w:t>12:28, 35</w:t>
        </w:r>
      </w:hyperlink>
      <w:r>
        <w:t xml:space="preserve">; </w:t>
      </w:r>
      <w:hyperlink r:id="rId8877">
        <w:r>
          <w:rPr>
            <w:color w:val="0000EE"/>
            <w:u w:val="single"/>
          </w:rPr>
          <w:t>Luc 11:53</w:t>
        </w:r>
      </w:hyperlink>
      <w:r>
        <w:t xml:space="preserve">; </w:t>
      </w:r>
      <w:hyperlink r:id="rId8878">
        <w:r>
          <w:rPr>
            <w:color w:val="0000EE"/>
            <w:u w:val="single"/>
          </w:rPr>
          <w:t>Jean 8:3–4</w:t>
        </w:r>
      </w:hyperlink>
      <w:r>
        <w:t>). Ils exigeaient de Jésus qu’il décline son identité (</w:t>
      </w:r>
      <w:hyperlink r:id="rId8855">
        <w:r>
          <w:rPr>
            <w:color w:val="0000EE"/>
            <w:u w:val="single"/>
          </w:rPr>
          <w:t>Matthieu 12:38</w:t>
        </w:r>
      </w:hyperlink>
      <w:r>
        <w:t>) et qu’il révèle la source de son autorité pour accomplir des miracles (</w:t>
      </w:r>
      <w:hyperlink r:id="rId8879">
        <w:r>
          <w:rPr>
            <w:color w:val="0000EE"/>
            <w:u w:val="single"/>
          </w:rPr>
          <w:t>Marc 3:22</w:t>
        </w:r>
      </w:hyperlink>
      <w:r>
        <w:t xml:space="preserve">; </w:t>
      </w:r>
      <w:hyperlink r:id="rId8880">
        <w:r>
          <w:rPr>
            <w:color w:val="0000EE"/>
            <w:u w:val="single"/>
          </w:rPr>
          <w:t>Luc 20:1–4</w:t>
        </w:r>
      </w:hyperlink>
      <w:r>
        <w:t>). Bien qu’un petit nombre d’entre eux aient accepté Jésus (</w:t>
      </w:r>
      <w:hyperlink r:id="rId8881">
        <w:r>
          <w:rPr>
            <w:color w:val="0000EE"/>
            <w:u w:val="single"/>
          </w:rPr>
          <w:t>Matthieu 8:19</w:t>
        </w:r>
      </w:hyperlink>
      <w:r>
        <w:t xml:space="preserve">; </w:t>
      </w:r>
      <w:hyperlink r:id="rId8882">
        <w:r>
          <w:rPr>
            <w:color w:val="0000EE"/>
            <w:u w:val="single"/>
          </w:rPr>
          <w:t>13:52</w:t>
        </w:r>
      </w:hyperlink>
      <w:r>
        <w:t xml:space="preserve">; </w:t>
      </w:r>
      <w:hyperlink r:id="rId4053">
        <w:r>
          <w:rPr>
            <w:color w:val="0000EE"/>
            <w:u w:val="single"/>
          </w:rPr>
          <w:t>Marc 12:32</w:t>
        </w:r>
      </w:hyperlink>
      <w:r>
        <w:t xml:space="preserve">; </w:t>
      </w:r>
      <w:hyperlink r:id="rId8883">
        <w:r>
          <w:rPr>
            <w:color w:val="0000EE"/>
            <w:u w:val="single"/>
          </w:rPr>
          <w:t>Jean 3:1–2</w:t>
        </w:r>
      </w:hyperlink>
      <w:r>
        <w:t>), ils étaient généralement hostiles envers lui. Cette hostilité était également due à sa popularité croissante parmi le peuple, ce qui représentait une menace pour leur autorité (</w:t>
      </w:r>
      <w:hyperlink r:id="rId8884">
        <w:r>
          <w:rPr>
            <w:color w:val="0000EE"/>
            <w:u w:val="single"/>
          </w:rPr>
          <w:t>Matthieu 7:29</w:t>
        </w:r>
      </w:hyperlink>
      <w:r>
        <w:t>) et la sécurité de la ville (</w:t>
      </w:r>
      <w:hyperlink r:id="rId8885">
        <w:r>
          <w:rPr>
            <w:color w:val="0000EE"/>
            <w:u w:val="single"/>
          </w:rPr>
          <w:t>Matthieu 21:15</w:t>
        </w:r>
      </w:hyperlink>
      <w:r>
        <w:t xml:space="preserve">; </w:t>
      </w:r>
      <w:hyperlink r:id="rId8886">
        <w:r>
          <w:rPr>
            <w:color w:val="0000EE"/>
            <w:u w:val="single"/>
          </w:rPr>
          <w:t>Marc 11:18</w:t>
        </w:r>
      </w:hyperlink>
      <w:r>
        <w:t>). Un autre facteur important qui a contribué à leur opposition à Jésus est la manière dont il a exposé leur hypocrisie et leur corruption. Dans les réprimandes qu’il leur adresse, ainsi qu’aux Pharisiens, Jésus les accuse ouvertement de rechercher la reconnaissance publique (</w:t>
      </w:r>
      <w:hyperlink r:id="rId8887">
        <w:r>
          <w:rPr>
            <w:color w:val="0000EE"/>
            <w:u w:val="single"/>
          </w:rPr>
          <w:t>Matthieu 23:5–7</w:t>
        </w:r>
      </w:hyperlink>
      <w:r>
        <w:t xml:space="preserve">; </w:t>
      </w:r>
      <w:hyperlink r:id="rId8888">
        <w:r>
          <w:rPr>
            <w:color w:val="0000EE"/>
            <w:u w:val="single"/>
          </w:rPr>
          <w:t>Marc 12:38–39</w:t>
        </w:r>
      </w:hyperlink>
      <w:r>
        <w:t xml:space="preserve">; </w:t>
      </w:r>
      <w:hyperlink r:id="rId8889">
        <w:r>
          <w:rPr>
            <w:color w:val="0000EE"/>
            <w:u w:val="single"/>
          </w:rPr>
          <w:t>Luc 11:43</w:t>
        </w:r>
      </w:hyperlink>
      <w:r>
        <w:t>). Ils semblaient extérieurement corrects et saints, mais leurs cœurs étaient corrompus (</w:t>
      </w:r>
      <w:hyperlink r:id="rId8890">
        <w:r>
          <w:rPr>
            <w:color w:val="0000EE"/>
            <w:u w:val="single"/>
          </w:rPr>
          <w:t>Matthieu 23:25–28</w:t>
        </w:r>
      </w:hyperlink>
      <w:r>
        <w:t xml:space="preserve">; </w:t>
      </w:r>
      <w:hyperlink r:id="rId8891">
        <w:r>
          <w:rPr>
            <w:color w:val="0000EE"/>
            <w:u w:val="single"/>
          </w:rPr>
          <w:t>Luc 11:39–41</w:t>
        </w:r>
      </w:hyperlink>
      <w:r>
        <w:t>). Jésus a également attaqué le principe de la loi orale enseignée par les scribes, déclarant qu’il s’agissait d’un « fardeau pesant » que les scribes eux-mêmes ne pouvaient porter (</w:t>
      </w:r>
      <w:hyperlink r:id="rId8892">
        <w:r>
          <w:rPr>
            <w:color w:val="0000EE"/>
            <w:u w:val="single"/>
          </w:rPr>
          <w:t>Matthieu 23:2–4, 13–22</w:t>
        </w:r>
      </w:hyperlink>
      <w:r>
        <w:t xml:space="preserve">; </w:t>
      </w:r>
      <w:hyperlink r:id="rId8893">
        <w:r>
          <w:rPr>
            <w:color w:val="0000EE"/>
            <w:u w:val="single"/>
          </w:rPr>
          <w:t>Luc 11:46</w:t>
        </w:r>
      </w:hyperlink>
      <w:r>
        <w:t>). Ils mettaient l’accent sur des points mineurs de la Loi, mais étaient également coupables d’ignorer les aspects les plus importants : la justice, la miséricorde et la foi (</w:t>
      </w:r>
      <w:hyperlink r:id="rId8894">
        <w:r>
          <w:rPr>
            <w:color w:val="0000EE"/>
            <w:u w:val="single"/>
          </w:rPr>
          <w:t>Matthieu 23:23–24</w:t>
        </w:r>
      </w:hyperlink>
      <w:r>
        <w:t xml:space="preserve">; </w:t>
      </w:r>
      <w:hyperlink r:id="rId8895">
        <w:r>
          <w:rPr>
            <w:color w:val="0000EE"/>
            <w:u w:val="single"/>
          </w:rPr>
          <w:t>Marc 12:40</w:t>
        </w:r>
      </w:hyperlink>
      <w:r>
        <w:t xml:space="preserve">; </w:t>
      </w:r>
      <w:hyperlink r:id="rId4126">
        <w:r>
          <w:rPr>
            <w:color w:val="0000EE"/>
            <w:u w:val="single"/>
          </w:rPr>
          <w:t>Luc 11:42</w:t>
        </w:r>
      </w:hyperlink>
      <w:r>
        <w:t>). Ils se considéraient comme les descendants des prophètes, mais Jésus leur a dit qu’ils auraient tué les prophètes s’ils avaient vécu à leur époque (</w:t>
      </w:r>
      <w:hyperlink r:id="rId8896">
        <w:r>
          <w:rPr>
            <w:color w:val="0000EE"/>
            <w:u w:val="single"/>
          </w:rPr>
          <w:t>Matthieu 23:29–36</w:t>
        </w:r>
      </w:hyperlink>
      <w:r>
        <w:t xml:space="preserve">; </w:t>
      </w:r>
      <w:hyperlink r:id="rId8897">
        <w:r>
          <w:rPr>
            <w:color w:val="0000EE"/>
            <w:u w:val="single"/>
          </w:rPr>
          <w:t>Luc 20:9–19</w:t>
        </w:r>
      </w:hyperlink>
      <w:r>
        <w:t>).</w:t>
      </w:r>
    </w:p>
    <w:p>
      <w:r/>
      <w:r>
        <w:t>Il n’est donc pas surprenant que les scribes désirent se débarrasser de Jésus (</w:t>
      </w:r>
      <w:hyperlink r:id="rId8898">
        <w:r>
          <w:rPr>
            <w:color w:val="0000EE"/>
            <w:u w:val="single"/>
          </w:rPr>
          <w:t>Marc 14:1</w:t>
        </w:r>
      </w:hyperlink>
      <w:r>
        <w:t xml:space="preserve">; </w:t>
      </w:r>
      <w:hyperlink r:id="rId8877">
        <w:r>
          <w:rPr>
            <w:color w:val="0000EE"/>
            <w:u w:val="single"/>
          </w:rPr>
          <w:t>Luc 11:53</w:t>
        </w:r>
      </w:hyperlink>
      <w:r>
        <w:t>). Son interprétation plus souple de la Loi représentait une menace évidente pour leur position et leur autorité au sein de la communauté. Les scribes ont fait front commun avec leurs adversaires habituels (les souverains sacrificateurs) pour monter le complot de l’arrestation de Jésus (</w:t>
      </w:r>
      <w:hyperlink r:id="rId8899">
        <w:r>
          <w:rPr>
            <w:color w:val="0000EE"/>
            <w:u w:val="single"/>
          </w:rPr>
          <w:t>Marc 14:43</w:t>
        </w:r>
      </w:hyperlink>
      <w:r>
        <w:t>). Lorsque Jésus a comparu devant eux et devant le reste du Sanhédrin, ils ont participé à une conspiration contre lui, qui le rendait digne de mort (</w:t>
      </w:r>
      <w:hyperlink r:id="rId8900">
        <w:r>
          <w:rPr>
            <w:color w:val="0000EE"/>
            <w:u w:val="single"/>
          </w:rPr>
          <w:t>Matthieu 26:57–66</w:t>
        </w:r>
      </w:hyperlink>
      <w:r>
        <w:t>). Lorsqu’ils ont conduit Jésus devant Hérode, ils se sont tenus à l’écart et ont crié leurs accusations avec les autres (</w:t>
      </w:r>
      <w:hyperlink r:id="rId8901">
        <w:r>
          <w:rPr>
            <w:color w:val="0000EE"/>
            <w:u w:val="single"/>
          </w:rPr>
          <w:t>Luc 23:10</w:t>
        </w:r>
      </w:hyperlink>
      <w:r>
        <w:t>). Enfin, ils ont participé, avec d’autres membres du Sanhédrin, à la moquerie de Jésus sur la croix (</w:t>
      </w:r>
      <w:hyperlink r:id="rId8902">
        <w:r>
          <w:rPr>
            <w:color w:val="0000EE"/>
            <w:u w:val="single"/>
          </w:rPr>
          <w:t>Matthieu 27:41–43</w:t>
        </w:r>
      </w:hyperlink>
      <w:r>
        <w:t>). Avant la destruction de Jérusalem en l’an 70 av. J.-C., les scribes ont continué, avec les autres membres du Sanhédrin, à s’opposer à l’Église chrétienne naissante et ont contribué à faire tuer Étienne pour sa foi (</w:t>
      </w:r>
      <w:hyperlink r:id="rId8903">
        <w:r>
          <w:rPr>
            <w:color w:val="0000EE"/>
            <w:u w:val="single"/>
          </w:rPr>
          <w:t>Actes 6:12–14</w:t>
        </w:r>
      </w:hyperlink>
      <w:r>
        <w:t>).</w:t>
      </w:r>
    </w:p>
    <w:p>
      <w:r/>
      <w:r>
        <w:rPr>
          <w:i/>
        </w:rPr>
        <w:t>Voir aussi</w:t>
      </w:r>
      <w:r>
        <w:t xml:space="preserve"> </w:t>
      </w:r>
      <w:r>
        <w:t>Judaïsme</w:t>
      </w:r>
      <w:r>
        <w:t xml:space="preserve">; </w:t>
      </w:r>
      <w:r>
        <w:t>Pharisiens</w:t>
      </w:r>
      <w:r>
        <w:t xml:space="preserve">; </w:t>
      </w:r>
      <w:r>
        <w:t>Écrivain</w:t>
      </w:r>
      <w:r>
        <w:t>.</w:t>
      </w:r>
      <w:r/>
      <w:r/>
    </w:p>
    <w:p>
      <w:r/>
    </w:p>
    <w:p>
      <w:pPr>
        <w:pStyle w:val="Heading2"/>
      </w:pPr>
      <w:r>
        <w:t>Léscha</w:t>
      </w:r>
      <w:r/>
    </w:p>
    <w:p>
      <w:r/>
      <w:r>
        <w:t>Toponyme, autrement inconnu. Une description ancienne utilise ce nom pour désigner la frontière sud du territoire occupé par les Cananéens (</w:t>
      </w:r>
      <w:hyperlink r:id="rId330">
        <w:r>
          <w:rPr>
            <w:color w:val="0000EE"/>
            <w:u w:val="single"/>
          </w:rPr>
          <w:t>Gn 10.19</w:t>
        </w:r>
      </w:hyperlink>
      <w:r>
        <w:t>). Ce passage associe Léscha à d'autres villes près de l'extrémité sud de la mer Morte.</w:t>
      </w:r>
      <w:r/>
      <w:r/>
    </w:p>
    <w:p>
      <w:r/>
    </w:p>
    <w:p>
      <w:pPr>
        <w:pStyle w:val="Heading2"/>
      </w:pPr>
      <w:r>
        <w:t>Lettre aux Galates</w:t>
      </w:r>
      <w:r/>
    </w:p>
    <w:p>
      <w:r/>
      <w:r>
        <w:t>La lettre de Paul aux Galates est l'une des lettres les plus importantes du Nouveau Testament. Elle est riche de renseignements sur la personnalité et les enseignements de Paul. De nombreuses personnes ont commenté que cette épître offre le fondement du message message concernant la liberté chrétienne.</w:t>
      </w:r>
    </w:p>
    <w:p>
      <w:pPr>
        <w:pStyle w:val="Heading3"/>
      </w:pPr>
      <w:r>
        <w:t>Survol</w:t>
      </w:r>
    </w:p>
    <w:p>
      <w:r/>
      <w:r>
        <w:t xml:space="preserve">• </w:t>
      </w:r>
      <w:r>
        <w:rPr>
          <w:b/>
          <w:u w:val="single"/>
        </w:rPr>
        <w:t>Qui a rédigé la lettre aux Galates ?</w:t>
      </w:r>
    </w:p>
    <w:p>
      <w:r/>
      <w:r>
        <w:t xml:space="preserve">• </w:t>
      </w:r>
      <w:r>
        <w:rPr>
          <w:b/>
          <w:u w:val="single"/>
        </w:rPr>
        <w:t>À qui la lettre aux Galates a-t-elle été envoyée ? Pour qui a-t-elle été écrite ?</w:t>
      </w:r>
    </w:p>
    <w:p>
      <w:r/>
      <w:r>
        <w:t xml:space="preserve">• </w:t>
      </w:r>
      <w:r>
        <w:rPr>
          <w:b/>
          <w:u w:val="single"/>
        </w:rPr>
        <w:t>Pourquoi la lettre aux Galates a-t-elle été écrite ? Que nous enseigne-t-elle sur Dieu ?</w:t>
      </w:r>
    </w:p>
    <w:p>
      <w:r/>
      <w:r>
        <w:t xml:space="preserve">• </w:t>
      </w:r>
      <w:r>
        <w:rPr>
          <w:b/>
          <w:u w:val="single"/>
        </w:rPr>
        <w:t>Quel est le message de la lettre aux Galates ?</w:t>
      </w:r>
    </w:p>
    <w:p>
      <w:pPr>
        <w:pStyle w:val="Heading3"/>
      </w:pPr>
      <w:r>
        <w:t>Qui a rédigé la lettre aux Galates ?</w:t>
      </w:r>
    </w:p>
    <w:p>
      <w:r/>
      <w:r>
        <w:t>C'est l'apôtre Paul qui a écrit cette lettre (</w:t>
      </w:r>
      <w:hyperlink r:id="rId1057">
        <w:r>
          <w:rPr>
            <w:color w:val="0000EE"/>
            <w:u w:val="single"/>
          </w:rPr>
          <w:t>Ga 1.1</w:t>
        </w:r>
      </w:hyperlink>
      <w:r>
        <w:t>). Il y partage des détails importants sur sa vie avant de devenir un disciple de Jésus. Il parle de sa vie antérieure en tant que Juif dévot (</w:t>
      </w:r>
      <w:hyperlink r:id="rId8163">
        <w:r>
          <w:rPr>
            <w:color w:val="0000EE"/>
            <w:u w:val="single"/>
          </w:rPr>
          <w:t>Ga 1.13</w:t>
        </w:r>
      </w:hyperlink>
      <w:r>
        <w:t>).</w:t>
      </w:r>
    </w:p>
    <w:p>
      <w:r/>
      <w:r>
        <w:t>Le solide héritage juif de Paul est essentiel pour comprendre ce qu'il écrit dans cette lettre. Il était tellement engagé dans sa foi juive qu'il attaquait activement l'Église chrétienne primitive. Il parle de cela aux Galates parce que ses traditions juives avaient été très importantes pour lui ; il avait cru que combattre l'Église était la bonne chose à faire.</w:t>
      </w:r>
    </w:p>
    <w:p>
      <w:r/>
      <w:r>
        <w:t>La profonde dévotion de Paul au judaïsme rend son passage au christianisme d'autant plus remarquable. Il avait la conviction que Dieu lui avait confié un message spécial (une révélation) qui lui conférait l'autorité pour écrire cette lettre.</w:t>
      </w:r>
    </w:p>
    <w:p>
      <w:r/>
      <w:r>
        <w:t>Dans cette lettre, Paul aborde deux aspects importants de sa conversion au christianisme. Tout d'abord, il avait compris que Dieu avait un plan pour sa vie même avant sa naissance (</w:t>
      </w:r>
      <w:hyperlink r:id="rId8904">
        <w:r>
          <w:rPr>
            <w:color w:val="0000EE"/>
            <w:u w:val="single"/>
          </w:rPr>
          <w:t>Ga 1.15</w:t>
        </w:r>
      </w:hyperlink>
      <w:r>
        <w:t>). Bien que Paul n'explique pas cela en détail, il parlait souvent de la bonté de Dieu. Il ne croyait plus devoir gagner l'approbation de Dieu par ses propres bonnes œuvres.</w:t>
      </w:r>
    </w:p>
    <w:p>
      <w:r/>
      <w:r>
        <w:t>La deuxième réalité importante était de comprendre que Dieu l'avait choisi pour être prédicateur en même temps qu'il devenait chrétien. Lorsque Paul prêchait aux Galates, il le faisait avec l'autorité de Dieu, car il savait que Dieu lui avait confié cette tâche. Ce ne sont pas les dirigeants de l'Église (les apôtres et les anciens) qui avaient décidé que Paul devait prêcher la Bonne Nouvelle concernant Jésus. Il s'agissait plutôt du plan de Dieu.</w:t>
      </w:r>
    </w:p>
    <w:p>
      <w:r/>
      <w:r>
        <w:t>Paul était également certain que son message venait de Dieu, et non de lui-même. Il avait reçu ce message directement de Jésus-Christ (</w:t>
      </w:r>
      <w:hyperlink r:id="rId1065">
        <w:r>
          <w:rPr>
            <w:color w:val="0000EE"/>
            <w:u w:val="single"/>
          </w:rPr>
          <w:t>Ga 1.12</w:t>
        </w:r>
      </w:hyperlink>
      <w:r>
        <w:t>).</w:t>
      </w:r>
    </w:p>
    <w:p>
      <w:r/>
      <w:r>
        <w:t>Paul a pris grand soin de montrer que Dieu l'avait choisi comme messager (</w:t>
      </w:r>
      <w:hyperlink r:id="rId1057">
        <w:r>
          <w:rPr>
            <w:color w:val="0000EE"/>
            <w:u w:val="single"/>
          </w:rPr>
          <w:t>Ga 1.1</w:t>
        </w:r>
      </w:hyperlink>
      <w:r>
        <w:t>). Il savait que Dieu l'avait appelé non seulement à prêcher, mais aussi à être un apôtre (ou messager) avec la même autorité que les disciples de Jésus à Jérusalem. Il peut donner l'air de chercher à se défendre, mais ce sont les problèmes spécifiques parmi les Galates (ceux-là même qui l'ont poussé à écrire cette lettre) qui expliquent cela.</w:t>
      </w:r>
    </w:p>
    <w:p>
      <w:r/>
      <w:r>
        <w:t>Dans cette lettre, Paul partage quelque chose sur sa vie qu'il ne mentionne nulle part ailleurs. Après être devenu chrétien, il est allé dans un endroit appelé Arabie (</w:t>
      </w:r>
      <w:hyperlink r:id="rId1070">
        <w:r>
          <w:rPr>
            <w:color w:val="0000EE"/>
            <w:u w:val="single"/>
          </w:rPr>
          <w:t>Ga 1.17</w:t>
        </w:r>
      </w:hyperlink>
      <w:r>
        <w:t>). Paul ne nous dit pas ce qu'il y a fait, mais il a probablement passé du temps à réfléchir profondément à ses nouvelles croyances.</w:t>
      </w:r>
    </w:p>
    <w:p>
      <w:r/>
      <w:r>
        <w:t>Le livre des Actes nous dit que lorsque Paul est retourné dans la ville de Damas, il a démontré avec force aux gens que Jésus était le Messie, l'homme providentiel choisi par Dieu (</w:t>
      </w:r>
      <w:hyperlink r:id="rId2518">
        <w:r>
          <w:rPr>
            <w:color w:val="0000EE"/>
            <w:u w:val="single"/>
          </w:rPr>
          <w:t>Ac 9.22</w:t>
        </w:r>
      </w:hyperlink>
      <w:r>
        <w:t>). Paul mentionne également qu'il a voyagé dans les régions de Syrie et de Cilicie (</w:t>
      </w:r>
      <w:hyperlink r:id="rId2727">
        <w:r>
          <w:rPr>
            <w:color w:val="0000EE"/>
            <w:u w:val="single"/>
          </w:rPr>
          <w:t>Ga 1.21</w:t>
        </w:r>
      </w:hyperlink>
      <w:r>
        <w:t>). Cela s'est produit avant son premier voyage en tant que missionnaire.</w:t>
      </w:r>
    </w:p>
    <w:p>
      <w:pPr>
        <w:pStyle w:val="Heading3"/>
      </w:pPr>
      <w:r>
        <w:t>À qui la Lettre aux Galates a-t-elle été envoyée ? Quand a-t-elle été écrite ?</w:t>
      </w:r>
    </w:p>
    <w:p>
      <w:r/>
      <w:r>
        <w:t>Avant de pouvoir déterminer quand cette lettre a été écrite, nous devons comprendre à qui Paul l’a envoyée.</w:t>
      </w:r>
    </w:p>
    <w:p>
      <w:pPr>
        <w:pStyle w:val="Heading4"/>
      </w:pPr>
      <w:r>
        <w:t>À qui la lettre aux Galates a-t-elle été envoyée ?</w:t>
      </w:r>
    </w:p>
    <w:p>
      <w:r/>
      <w:r>
        <w:t>Paul a écrit sa lettre aux Galates, mais les experts débattent de l'endroit exact où vivaient ces personnes. Cela est dû au fait que le mot « Galatie » était utilisé de deux manières différentes.</w:t>
      </w:r>
    </w:p>
    <w:p>
      <w:r/>
      <w:r>
        <w:t>D'une certaine manière, la Galatie désignait une vaste région appelée province. Cette province s'étendait d'une région appelée la Pamphylie au sud jusqu'à un endroit appelé le Pont, près de la côte nord. Cependant, « Galatie » pouvait aussi ne désigner que la partie nord de cette région, où des personnes venant d'un endroit appelé la Gaule s'étaient installées il y a longtemps. Ce sont ces colons qui ont donné leur nom à la région.</w:t>
      </w:r>
    </w:p>
    <w:p>
      <w:r/>
      <w:r>
        <w:t>Ainsi, lorsque Paul utilise le mot « Galatie », cela pourrait désigner soit uniquement la région nord, soit l'ensemble de la province. Les experts de la question ont développé, dans l'ensemble, deux visions différentes à ce sujet :</w:t>
      </w:r>
    </w:p>
    <w:p>
      <w:pPr>
        <w:pStyle w:val="ListNumber"/>
        <w:spacing w:line="240" w:lineRule="auto"/>
        <w:ind w:left="720"/>
      </w:pPr>
      <w:r/>
      <w:r>
        <w:t>La théorie de la Galatie du Nord, selon laquelle Paul écrivait aux Églises de la région nord.</w:t>
      </w:r>
    </w:p>
    <w:p>
      <w:pPr>
        <w:pStyle w:val="ListNumber"/>
        <w:spacing w:line="240" w:lineRule="auto"/>
        <w:ind w:left="720"/>
      </w:pPr>
      <w:r/>
      <w:r>
        <w:t>La théorie de la Galatie du Sud, qui affirme que Paul écrivait aux Églises qu'il avait fondées dans le sud de la Galatie lors de son premier voyage missionnaire.</w:t>
      </w:r>
    </w:p>
    <w:p>
      <w:r/>
      <w:r>
        <w:t>Cette question peut sembler n'être qu'un petit détail, mais elle est en fait importante. En effet, savoir où Paul a envoyé sa lettre nous aide à comprendre quand et pourquoi il l'a écrite.</w:t>
      </w:r>
    </w:p>
    <w:p>
      <w:r/>
      <w:r>
        <w:t>Jusqu'au début du XXe siècle, on pensait que Paul écrivait à des personnes vivant dans le nord de la Galatie. Cela semblait logique pour plusieurs raisons. La région nord avait été appelée Galatie pendant longtemps. Le nom provenait de personnes appelées Galates qui y vivaient. Ce n'est que bien plus tard, en l'an 25 av. J.‑C., que les Romains ont transformé une région plus vaste en province et l'ont également appelée Galatie.</w:t>
      </w:r>
    </w:p>
    <w:p>
      <w:r/>
      <w:r>
        <w:t>De nombreux experts pensent que les personnes vivant dans la partie sud de la province n'auraient probablement pas aimé être appelées « Galates ». À cette époque, lorsque les gens entendaient le nom « Galates », ils pensaient généralement aux personnes vivant dans le nord.</w:t>
      </w:r>
    </w:p>
    <w:p>
      <w:r/>
      <w:r>
        <w:t>Luc, qui a écrit le livre des Actes, décrivait généralement les lieux par leurs régions géographiques plutôt que par leurs zones politiques. Par exemple, il dit que les villes de Lystre et Derbe font partie de la Lycaonie, et non de la Galatie.</w:t>
      </w:r>
    </w:p>
    <w:p>
      <w:r/>
      <w:r>
        <w:t xml:space="preserve">Ainsi, lorsque Luc mentionne la Phrygie et la Galatie dans </w:t>
      </w:r>
      <w:hyperlink r:id="rId5881">
        <w:r>
          <w:rPr>
            <w:color w:val="0000EE"/>
            <w:u w:val="single"/>
          </w:rPr>
          <w:t>Ac 16.6</w:t>
        </w:r>
      </w:hyperlink>
      <w:r>
        <w:t xml:space="preserve"> et </w:t>
      </w:r>
      <w:hyperlink r:id="rId3728">
        <w:r>
          <w:rPr>
            <w:color w:val="0000EE"/>
            <w:u w:val="single"/>
          </w:rPr>
          <w:t>18.23</w:t>
        </w:r>
      </w:hyperlink>
      <w:r>
        <w:t>, il veut probablement dire que Paul a voyagé à travers la région nord. Cette dernière comptait trois principales villes : Ancyre, Tavium et Pessinonte. Cela suggère que Paul a probablement fondé des Églises dans ces villes de la région du nord.</w:t>
      </w:r>
    </w:p>
    <w:p>
      <w:r/>
      <w:r>
        <w:t>Cependant, certains experts ne sont pas d'accord avec la théorie de la Galatie du Nord. Ils soulignent que, bien que Luc décrive les lieux par leurs régions, Paul utilise généralement les noms des provinces romaines officielles lorsqu'il parle de groupes d'Églises. Par exemple, Paul se réfère :</w:t>
      </w:r>
    </w:p>
    <w:p>
      <w:pPr>
        <w:pStyle w:val="ListBullet"/>
        <w:spacing w:line="240" w:lineRule="auto"/>
        <w:ind w:left="720"/>
      </w:pPr>
      <w:r/>
      <w:r>
        <w:t xml:space="preserve">Aux « </w:t>
      </w:r>
      <w:r>
        <w:t>Églises de Judée qui sont en Christ</w:t>
      </w:r>
      <w:r>
        <w:t xml:space="preserve"> » (</w:t>
      </w:r>
      <w:hyperlink r:id="rId8191">
        <w:r>
          <w:rPr>
            <w:color w:val="0000EE"/>
            <w:u w:val="single"/>
          </w:rPr>
          <w:t>Ga 1.22</w:t>
        </w:r>
      </w:hyperlink>
      <w:r>
        <w:t>).</w:t>
      </w:r>
    </w:p>
    <w:p>
      <w:pPr>
        <w:pStyle w:val="ListBullet"/>
        <w:spacing w:line="240" w:lineRule="auto"/>
        <w:ind w:left="720"/>
      </w:pPr>
      <w:r/>
      <w:r>
        <w:t>Aux « Églises d'Asie » (</w:t>
      </w:r>
      <w:hyperlink r:id="rId1082">
        <w:r>
          <w:rPr>
            <w:color w:val="0000EE"/>
            <w:u w:val="single"/>
          </w:rPr>
          <w:t>1Co 16.19</w:t>
        </w:r>
      </w:hyperlink>
      <w:r>
        <w:t>).</w:t>
      </w:r>
    </w:p>
    <w:p>
      <w:pPr>
        <w:pStyle w:val="ListBullet"/>
        <w:spacing w:line="240" w:lineRule="auto"/>
        <w:ind w:left="720"/>
      </w:pPr>
      <w:r/>
      <w:r>
        <w:t xml:space="preserve">Il mentionne également les croyants en Macédoine et en Achaïe à plusieurs reprises (par exemple, </w:t>
      </w:r>
      <w:hyperlink r:id="rId8905">
        <w:r>
          <w:rPr>
            <w:color w:val="0000EE"/>
            <w:u w:val="single"/>
          </w:rPr>
          <w:t>2Co 8.1</w:t>
        </w:r>
      </w:hyperlink>
      <w:r>
        <w:t xml:space="preserve"> ; </w:t>
      </w:r>
      <w:hyperlink r:id="rId8906">
        <w:r>
          <w:rPr>
            <w:color w:val="0000EE"/>
            <w:u w:val="single"/>
          </w:rPr>
          <w:t>9.2</w:t>
        </w:r>
      </w:hyperlink>
      <w:r>
        <w:t xml:space="preserve"> ; </w:t>
      </w:r>
      <w:hyperlink r:id="rId8907">
        <w:r>
          <w:rPr>
            <w:color w:val="0000EE"/>
            <w:u w:val="single"/>
          </w:rPr>
          <w:t>1Th 4.10</w:t>
        </w:r>
      </w:hyperlink>
      <w:r>
        <w:t xml:space="preserve"> ; </w:t>
      </w:r>
      <w:hyperlink r:id="rId8908">
        <w:r>
          <w:rPr>
            <w:color w:val="0000EE"/>
            <w:u w:val="single"/>
          </w:rPr>
          <w:t>1Co 16.15</w:t>
        </w:r>
      </w:hyperlink>
      <w:r>
        <w:t xml:space="preserve"> ; </w:t>
      </w:r>
      <w:hyperlink r:id="rId1055">
        <w:r>
          <w:rPr>
            <w:color w:val="0000EE"/>
            <w:u w:val="single"/>
          </w:rPr>
          <w:t>2Co 1.1</w:t>
        </w:r>
      </w:hyperlink>
      <w:r>
        <w:t xml:space="preserve"> ; ainsi que </w:t>
      </w:r>
      <w:hyperlink r:id="rId2993">
        <w:r>
          <w:rPr>
            <w:color w:val="0000EE"/>
            <w:u w:val="single"/>
          </w:rPr>
          <w:t>Rm 15.26</w:t>
        </w:r>
      </w:hyperlink>
      <w:r>
        <w:t xml:space="preserve"> ; </w:t>
      </w:r>
      <w:hyperlink r:id="rId8906">
        <w:r>
          <w:rPr>
            <w:color w:val="0000EE"/>
            <w:u w:val="single"/>
          </w:rPr>
          <w:t>2Co 9.2</w:t>
        </w:r>
      </w:hyperlink>
      <w:r>
        <w:t xml:space="preserve"> ; </w:t>
      </w:r>
      <w:hyperlink r:id="rId8909">
        <w:r>
          <w:rPr>
            <w:color w:val="0000EE"/>
            <w:u w:val="single"/>
          </w:rPr>
          <w:t>1Th 1.7</w:t>
        </w:r>
      </w:hyperlink>
      <w:r>
        <w:t>).</w:t>
      </w:r>
    </w:p>
    <w:p>
      <w:r/>
      <w:r>
        <w:t>Comme cela semble être la manière habituelle d'écrire de Paul, ces experts pensent que sa lettre aux Galates était destinée à toutes les Églises de la province romaine de Galatie, et pas seulement à celles de la région nord.</w:t>
      </w:r>
    </w:p>
    <w:p>
      <w:r/>
      <w:r>
        <w:t>Les partisans de la théorie de la Galatie du Sud avancent deux arguments principaux. Premièrement, ils affirment que les habitants du sud de la Galatie n'auraient pas été gênés d'être appelés Galates, car il n'existait pas d'autre nom pour les désigner.</w:t>
      </w:r>
    </w:p>
    <w:p>
      <w:r/>
      <w:r>
        <w:t>Deuxièmement, ils se réfèrent à quelque chose que Paul a écrit dans sa lettre. Il dit qu'il a d'abord prêché aux Galates lorsqu'il était malade (</w:t>
      </w:r>
      <w:hyperlink r:id="rId8910">
        <w:r>
          <w:rPr>
            <w:color w:val="0000EE"/>
            <w:u w:val="single"/>
          </w:rPr>
          <w:t>Ga 4.13</w:t>
        </w:r>
      </w:hyperlink>
      <w:r>
        <w:t>). La cartographie de la région nous permet de nous rendre compte qu'il s'agit d'un indice important. La route vers le nord de la Galatie passait par des montagnes et aurait été très difficile pour quelqu'un qui était malade, alors que le voyage vers le sud de la Galatie aurait été beaucoup plus court et plus facile. Cela suggère que Paul est probablement allé vers le sud plutôt que vers le nord lorsqu'il était malade.</w:t>
      </w:r>
    </w:p>
    <w:p>
      <w:r/>
      <w:r>
        <w:t xml:space="preserve">Il y a deux autres raisons qui soutiennent la théorie de la Galatie du Sud. Premièrement, </w:t>
      </w:r>
      <w:hyperlink r:id="rId1302">
        <w:r>
          <w:rPr>
            <w:color w:val="0000EE"/>
            <w:u w:val="single"/>
          </w:rPr>
          <w:t xml:space="preserve">Ac 20.4 </w:t>
        </w:r>
      </w:hyperlink>
      <w:r>
        <w:t>énumère les personnes qui ont voyagé avec Paul à Jérusalem. De nombreux chercheurs pensent que ces personnes ont été choisies par leurs Églises pour aider à livrer de l'argent aux Églises pauvres en Judée. La liste inclut Gaïus et Timothée, qui étaient originaires de la Galatie du Sud, mais personne de la Galatie du Nord. Cependant, cet argument serait plus fort si Actes mentionnait spécifiquement cette collecte d'argent.</w:t>
      </w:r>
    </w:p>
    <w:p>
      <w:r/>
      <w:r>
        <w:t>Deuxièmement, Paul mentionne un homme nommé Barnabas trois fois dans sa lettre (</w:t>
      </w:r>
      <w:hyperlink r:id="rId2628">
        <w:r>
          <w:rPr>
            <w:color w:val="0000EE"/>
            <w:u w:val="single"/>
          </w:rPr>
          <w:t>Ga 2.1, 9, 13</w:t>
        </w:r>
      </w:hyperlink>
      <w:r>
        <w:t>). Cela suggère que les Galates savaient qui était Barnabas. Selon le livre des Actes, Barnabas n'a voyagé avec Paul que lors de son premier voyage missionnaire, qui a traversé le sud de la Galatie.</w:t>
      </w:r>
    </w:p>
    <w:p>
      <w:r/>
      <w:r>
        <w:t>Bien que les deux points de vue présentent de bons arguments, les preuves semblent soutenir la théorie de la Galatie du Sud plus fortement que la théorie de la Galatie du Nord.</w:t>
      </w:r>
    </w:p>
    <w:p>
      <w:pPr>
        <w:pStyle w:val="Heading4"/>
      </w:pPr>
      <w:r>
        <w:t>Quand la Lettre aux Galates a-t-elle été écrite ?</w:t>
      </w:r>
    </w:p>
    <w:p>
      <w:r/>
      <w:r>
        <w:t xml:space="preserve">Selon la théorie de la Galatie du Nord, Paul a écrit cette lettre vers l'an 56 ap. J.‑C., lors de son troisième voyage missionnaire, après les événements décrits dans </w:t>
      </w:r>
      <w:hyperlink r:id="rId3728">
        <w:r>
          <w:rPr>
            <w:color w:val="0000EE"/>
            <w:u w:val="single"/>
          </w:rPr>
          <w:t>Actes 18.23</w:t>
        </w:r>
      </w:hyperlink>
      <w:r>
        <w:t>. Il pourrait l'avoir écrite alors qu'il était dans la ville d'Éphèse ou peu après en être parti.</w:t>
      </w:r>
    </w:p>
    <w:p>
      <w:r/>
      <w:r>
        <w:t>La théorie de la Galatie du Sud nous offre différentes possibilités quant au moment où Paul a écrit la lettre. Il aurait pu l'écrire à tout moment après son premier voyage missionnaire, lorsqu'il a fondé des Églises dans le sud de la Galatie. Cela inclut la période de son troisième voyage.</w:t>
      </w:r>
    </w:p>
    <w:p>
      <w:r/>
      <w:r>
        <w:t>Cependant, des indices dans la lettre suggèrent qu'elle pourrait avoir été écrite bien plus tôt. En fait, il pourrait s'agir de l'une des premières lettres que Paul ait écrites.</w:t>
      </w:r>
    </w:p>
    <w:p>
      <w:r/>
      <w:r>
        <w:t xml:space="preserve">Il est difficile de déterminer quand Paul a écrit cette lettre en raison des différences entre ce que Paul y dit et ce que le livre des Actes nous apprend à propos des visites à Jérusalem. Dans </w:t>
      </w:r>
      <w:hyperlink r:id="rId8911">
        <w:r>
          <w:rPr>
            <w:color w:val="0000EE"/>
            <w:u w:val="single"/>
          </w:rPr>
          <w:t>Galates 1–2</w:t>
        </w:r>
      </w:hyperlink>
      <w:r>
        <w:t>, Paul mentionne deux visites à Jérusalem (</w:t>
      </w:r>
      <w:hyperlink r:id="rId2612">
        <w:r>
          <w:rPr>
            <w:color w:val="0000EE"/>
            <w:u w:val="single"/>
          </w:rPr>
          <w:t>1.18</w:t>
        </w:r>
      </w:hyperlink>
      <w:r>
        <w:t xml:space="preserve"> ; </w:t>
      </w:r>
      <w:hyperlink r:id="rId2628">
        <w:r>
          <w:rPr>
            <w:color w:val="0000EE"/>
            <w:u w:val="single"/>
          </w:rPr>
          <w:t>2.1</w:t>
        </w:r>
      </w:hyperlink>
      <w:r>
        <w:t>). Mais Actes parle de trois visites (</w:t>
      </w:r>
      <w:hyperlink r:id="rId8178">
        <w:r>
          <w:rPr>
            <w:color w:val="0000EE"/>
            <w:u w:val="single"/>
          </w:rPr>
          <w:t>Ac 9.26</w:t>
        </w:r>
      </w:hyperlink>
      <w:r>
        <w:t xml:space="preserve"> ; </w:t>
      </w:r>
      <w:hyperlink r:id="rId8912">
        <w:r>
          <w:rPr>
            <w:color w:val="0000EE"/>
            <w:u w:val="single"/>
          </w:rPr>
          <w:t>11.29–30</w:t>
        </w:r>
      </w:hyperlink>
      <w:r>
        <w:t xml:space="preserve"> ; </w:t>
      </w:r>
      <w:hyperlink r:id="rId2626">
        <w:r>
          <w:rPr>
            <w:color w:val="0000EE"/>
            <w:u w:val="single"/>
          </w:rPr>
          <w:t>15.2</w:t>
        </w:r>
      </w:hyperlink>
      <w:r>
        <w:t>).</w:t>
      </w:r>
    </w:p>
    <w:p>
      <w:r/>
      <w:r>
        <w:t>Beaucoup de gens pensent que la deuxième visite de Paul (</w:t>
      </w:r>
      <w:hyperlink r:id="rId2628">
        <w:r>
          <w:rPr>
            <w:color w:val="0000EE"/>
            <w:u w:val="single"/>
          </w:rPr>
          <w:t>Ga 2.1</w:t>
        </w:r>
      </w:hyperlink>
      <w:r>
        <w:t xml:space="preserve">) était la même visite décrite dans </w:t>
      </w:r>
      <w:hyperlink r:id="rId160">
        <w:r>
          <w:rPr>
            <w:color w:val="0000EE"/>
            <w:u w:val="single"/>
          </w:rPr>
          <w:t>Actes 15</w:t>
        </w:r>
      </w:hyperlink>
      <w:r>
        <w:t>. Cela signifierait que Paul offrait son propre récit de ce qui s'était passé lors d'une réunion importante appelée le Concile de Jérusalem. Plusieurs raisons soutiennent cette idée :</w:t>
      </w:r>
    </w:p>
    <w:p>
      <w:pPr>
        <w:pStyle w:val="ListBullet"/>
        <w:spacing w:line="240" w:lineRule="auto"/>
        <w:ind w:left="720"/>
      </w:pPr>
      <w:r/>
      <w:r>
        <w:t>Les deux récits mentionnent Barnabas.</w:t>
      </w:r>
    </w:p>
    <w:p>
      <w:pPr>
        <w:pStyle w:val="ListBullet"/>
        <w:spacing w:line="240" w:lineRule="auto"/>
        <w:ind w:left="720"/>
      </w:pPr>
      <w:r/>
      <w:r>
        <w:t>Les deux débatent pour savoir si les croyants non-juifs (gentils) devaient être circoncis.</w:t>
      </w:r>
    </w:p>
    <w:p>
      <w:pPr>
        <w:pStyle w:val="ListBullet"/>
        <w:spacing w:line="240" w:lineRule="auto"/>
        <w:ind w:left="720"/>
      </w:pPr>
      <w:r/>
      <w:r>
        <w:t>Dans les deux, Paul et Barnabas font un rapport aux dirigeants de Jérusalem.</w:t>
      </w:r>
    </w:p>
    <w:p>
      <w:r/>
      <w:r>
        <w:t>Cependant, il y a quelques problèmes avec ce point de vue :</w:t>
      </w:r>
    </w:p>
    <w:p>
      <w:pPr>
        <w:pStyle w:val="ListBullet"/>
        <w:spacing w:line="240" w:lineRule="auto"/>
        <w:ind w:left="720"/>
      </w:pPr>
      <w:r/>
      <w:r>
        <w:t xml:space="preserve">Les paroles de Paul dans </w:t>
      </w:r>
      <w:hyperlink r:id="rId2628">
        <w:r>
          <w:rPr>
            <w:color w:val="0000EE"/>
            <w:u w:val="single"/>
          </w:rPr>
          <w:t>Galates 2.1</w:t>
        </w:r>
      </w:hyperlink>
      <w:r>
        <w:t xml:space="preserve"> suggèrent qu'il s'agissait de sa deuxième visite à Jérusalem, mais </w:t>
      </w:r>
      <w:hyperlink r:id="rId160">
        <w:r>
          <w:rPr>
            <w:color w:val="0000EE"/>
            <w:u w:val="single"/>
          </w:rPr>
          <w:t>Actes 15</w:t>
        </w:r>
      </w:hyperlink>
      <w:r>
        <w:t xml:space="preserve"> constitue sa troisième visite. Certains expliquent cela en disant que lors de sa deuxième visite (</w:t>
      </w:r>
      <w:hyperlink r:id="rId2615">
        <w:r>
          <w:rPr>
            <w:color w:val="0000EE"/>
            <w:u w:val="single"/>
          </w:rPr>
          <w:t>Ac 11.30</w:t>
        </w:r>
      </w:hyperlink>
      <w:r>
        <w:t>), Paul et Barnabas ont seulement remis de l'argent aux anciens de l'Église et n'ont pas rencontré les apôtres.</w:t>
      </w:r>
    </w:p>
    <w:p>
      <w:pPr>
        <w:pStyle w:val="ListBullet"/>
        <w:spacing w:line="240" w:lineRule="auto"/>
        <w:ind w:left="720"/>
      </w:pPr>
      <w:r/>
      <w:r>
        <w:t xml:space="preserve">Dans </w:t>
      </w:r>
      <w:hyperlink r:id="rId1000">
        <w:r>
          <w:rPr>
            <w:color w:val="0000EE"/>
            <w:u w:val="single"/>
          </w:rPr>
          <w:t>Galates 2</w:t>
        </w:r>
      </w:hyperlink>
      <w:r>
        <w:t xml:space="preserve">, Paul parle uniquement de sa rencontre avec trois dirigeants principaux à Jérusalem. Il ne mentionne pas une réunion avec toute l'Église, comme le décrit </w:t>
      </w:r>
      <w:hyperlink r:id="rId160">
        <w:r>
          <w:rPr>
            <w:color w:val="0000EE"/>
            <w:u w:val="single"/>
          </w:rPr>
          <w:t>Actes 15</w:t>
        </w:r>
      </w:hyperlink>
      <w:r>
        <w:t>. Certains suggèrent que Paul et Barnabas ont pu avoir une réunion privée avec ces dirigeants avant la grande réunion de toute l'Église en l'an 50 ap J.‑C.</w:t>
      </w:r>
    </w:p>
    <w:p>
      <w:pPr>
        <w:pStyle w:val="ListBullet"/>
        <w:spacing w:line="240" w:lineRule="auto"/>
        <w:ind w:left="720"/>
      </w:pPr>
      <w:r/>
      <w:r>
        <w:t>Paul ne mentionne pas les règles que l'Église de Jérusalem a établies pour les croyants non-juifs (</w:t>
      </w:r>
      <w:hyperlink r:id="rId8913">
        <w:r>
          <w:rPr>
            <w:color w:val="0000EE"/>
            <w:u w:val="single"/>
          </w:rPr>
          <w:t>Ac 15.20</w:t>
        </w:r>
      </w:hyperlink>
      <w:r>
        <w:t>). Au lieu de cela, il mentionne seulement leur accord en ce qui concerne le soutien aux pauvres (</w:t>
      </w:r>
      <w:hyperlink r:id="rId2617">
        <w:r>
          <w:rPr>
            <w:color w:val="0000EE"/>
            <w:u w:val="single"/>
          </w:rPr>
          <w:t>Ga 2.10</w:t>
        </w:r>
      </w:hyperlink>
      <w:r>
        <w:t>).</w:t>
      </w:r>
    </w:p>
    <w:p>
      <w:pPr>
        <w:pStyle w:val="ListBullet"/>
        <w:spacing w:line="240" w:lineRule="auto"/>
        <w:ind w:left="720"/>
      </w:pPr>
      <w:r/>
      <w:r>
        <w:t>Paul écrit au sujet d'une dispute avec Pierre concernant la communion entre les croyants juifs et non-juifs (</w:t>
      </w:r>
      <w:hyperlink r:id="rId8914">
        <w:r>
          <w:rPr>
            <w:color w:val="0000EE"/>
            <w:u w:val="single"/>
          </w:rPr>
          <w:t>Ga 2.11–14</w:t>
        </w:r>
      </w:hyperlink>
      <w:r>
        <w:t>) après avoir décrit leur accord à Jérusalem. Cela semble déroutant Pierre agit alors à l'encontre de ce sur quoi ils se seraient mis d'accord. Peut-être que Pierre avait convenu que les non-Juifs n'avaient pas besoin d'être circoncis, mais n'était pas certain par rapport au fait de manger avec eux.</w:t>
      </w:r>
    </w:p>
    <w:p>
      <w:r/>
      <w:r>
        <w:t xml:space="preserve">Certains experts voient le déroulement des événements différemment. Ils pensent que lorsque Paul et Barnabas ont apporté de l'argent à Jérusalem, ils ont également eu des réunions privées avec les principaux apôtres. Cela pourrait s'être produit pendant la période décrite dans </w:t>
      </w:r>
      <w:hyperlink r:id="rId8912">
        <w:r>
          <w:rPr>
            <w:color w:val="0000EE"/>
            <w:u w:val="single"/>
          </w:rPr>
          <w:t>Actes 11.29–30</w:t>
        </w:r>
      </w:hyperlink>
      <w:r>
        <w:t>.</w:t>
      </w:r>
    </w:p>
    <w:p>
      <w:r/>
      <w:r>
        <w:t xml:space="preserve">À cette époque, il y avait une forte opposition aux apôtres. </w:t>
      </w:r>
      <w:hyperlink r:id="rId153">
        <w:r>
          <w:rPr>
            <w:color w:val="0000EE"/>
            <w:u w:val="single"/>
          </w:rPr>
          <w:t>Actes 12</w:t>
        </w:r>
      </w:hyperlink>
      <w:r>
        <w:t xml:space="preserve"> nous dit que Jacques a été tué et que Pierre a été emprisonné. Cela pourrait expliquer pourquoi Paul et Barnabas ont rencontré les dirigeants en privé plutôt qu'avec toute l'Église.</w:t>
      </w:r>
    </w:p>
    <w:p>
      <w:r/>
      <w:r>
        <w:t>Cette explication nous aide à comprendre deux choses :</w:t>
      </w:r>
    </w:p>
    <w:p>
      <w:pPr>
        <w:pStyle w:val="ListNumber"/>
        <w:spacing w:line="240" w:lineRule="auto"/>
        <w:ind w:left="720"/>
      </w:pPr>
      <w:r/>
      <w:r>
        <w:t>Paul ne mentionne pas la décision de l'Église parce que cette réunion a eu lieu avant la grande réunion à Jérusalem (appelée le Concile de Jérusalem).</w:t>
      </w:r>
    </w:p>
    <w:p>
      <w:pPr>
        <w:pStyle w:val="ListNumber"/>
        <w:spacing w:line="240" w:lineRule="auto"/>
        <w:ind w:left="720"/>
      </w:pPr>
      <w:r/>
      <w:r>
        <w:t>Plus tard, Pierre a agi différemment à Antioche concernant le mélange avec les croyants non-juifs, car l'ensemble de l'Église n'avait pas encore discuté et décidé que faire à ce sujet.</w:t>
      </w:r>
    </w:p>
    <w:p>
      <w:r/>
      <w:r>
        <w:t>Si cette perspective est correcte, Paul pourrait avoir écrit sa lettre aux Galates avant 50 ap. J.‑C., faisant alors de celle-ci sa première lettre.</w:t>
      </w:r>
    </w:p>
    <w:p>
      <w:r/>
      <w:r>
        <w:t>Cependant, cette idée présente trois problèmes :</w:t>
      </w:r>
    </w:p>
    <w:p>
      <w:pPr>
        <w:pStyle w:val="ListBullet"/>
        <w:spacing w:line="240" w:lineRule="auto"/>
        <w:ind w:left="720"/>
      </w:pPr>
      <w:r/>
      <w:r>
        <w:t xml:space="preserve">Lorsque </w:t>
      </w:r>
      <w:hyperlink r:id="rId2615">
        <w:r>
          <w:rPr>
            <w:color w:val="0000EE"/>
            <w:u w:val="single"/>
          </w:rPr>
          <w:t>Actes 11.30</w:t>
        </w:r>
      </w:hyperlink>
      <w:r>
        <w:t xml:space="preserve"> parle de la visite de Paul et Barnabas à Jérusalem, il ne mentionne aucune rencontre avec les apôtres.</w:t>
      </w:r>
    </w:p>
    <w:p>
      <w:pPr>
        <w:pStyle w:val="ListBullet"/>
        <w:spacing w:line="240" w:lineRule="auto"/>
        <w:ind w:left="720"/>
      </w:pPr>
      <w:r/>
      <w:r>
        <w:t>Paul dit que lui et Barnabas ont emmené un homme nommé Tite avec eux (</w:t>
      </w:r>
      <w:hyperlink r:id="rId2628">
        <w:r>
          <w:rPr>
            <w:color w:val="0000EE"/>
            <w:u w:val="single"/>
          </w:rPr>
          <w:t>Ga 2.1</w:t>
        </w:r>
      </w:hyperlink>
      <w:r>
        <w:t>), mais Actes ne mentionne pas du tout Tite lors de cette visite.</w:t>
      </w:r>
    </w:p>
    <w:p>
      <w:pPr>
        <w:pStyle w:val="ListBullet"/>
        <w:spacing w:line="240" w:lineRule="auto"/>
        <w:ind w:left="720"/>
      </w:pPr>
      <w:r/>
      <w:r>
        <w:t>Paul parle de prêcher aux non-Juifs (</w:t>
      </w:r>
      <w:hyperlink r:id="rId8915">
        <w:r>
          <w:rPr>
            <w:color w:val="0000EE"/>
            <w:u w:val="single"/>
          </w:rPr>
          <w:t>Ga 2.2</w:t>
        </w:r>
      </w:hyperlink>
      <w:r>
        <w:t>). Cela suggère qu'il a écrit la lettre après son premier voyage missionnaire. La seule façon dont cela pourrait s'être produit plus tôt est s'il parlait de son travail à Antioche, où les croyants juifs et non-juifs rendaient un culte ensemble.</w:t>
      </w:r>
    </w:p>
    <w:p>
      <w:r/>
      <w:r>
        <w:t>Il est difficile de déterminer quelle perspective est correcte. Lorsque Paul mentionne avoir attendu quatorze ans (</w:t>
      </w:r>
      <w:hyperlink r:id="rId2628">
        <w:r>
          <w:rPr>
            <w:color w:val="0000EE"/>
            <w:u w:val="single"/>
          </w:rPr>
          <w:t>Ga 2.1</w:t>
        </w:r>
      </w:hyperlink>
      <w:r>
        <w:t>), cela suggère qu'il a écrit la lettre plus tard. Cependant, en examinant ce que Paul écrit dans cette lettre aux côtés de ce qui a été décidé au Concile de Jérusalem en l'an 50 ap. J.‑C., il semble qu'il pourrait l'avoir écrite plus tôt.</w:t>
      </w:r>
    </w:p>
    <w:p>
      <w:pPr>
        <w:pStyle w:val="Heading3"/>
      </w:pPr>
      <w:r>
        <w:t>Pourquoi la lettre aux Galates a-t-elle été écrite ? Que nous enseigne-t-elle sur Dieu ?</w:t>
      </w:r>
    </w:p>
    <w:p>
      <w:r/>
      <w:r>
        <w:t>Les Églises en Galatie faisaient face à de sérieux problèmes. Un groupe de personnes semait le trouble en affirmant que les croyants non-juifs devaient se faire circoncire (et donc subir une cérémonie religieuse juive) pour être sauvés. Ces fauteurs de troubles étaient des chrétiens juifs (appelés judaïsants) qui pensaient que les non-juifs ne pouvaient être sauvés que s'ils suivaient les coutumes juives.</w:t>
      </w:r>
    </w:p>
    <w:p>
      <w:r/>
      <w:r>
        <w:t>Ces mêmes personnes attaquaient également l'autorité de Paul en tant qu'apôtre de Jésus. Elles prétendaient que les apôtres à Jérusalem étaient plus importants que Paul et soutenaient leurs opinions. C'est pourquoi Paul prenait la situation très au sérieux. Elles remettaient en question le message fondamental concernant Jésus (l'Évangile) qu'il avait enseigné. Sa lettre montre à quel point cette question le préoccupe.</w:t>
      </w:r>
    </w:p>
    <w:p>
      <w:r/>
      <w:r>
        <w:t>La manière dont nous interprétons cette lettre dépend du moment où Paul l'a écrite. Si Paul a rédigé la lettre avant le Concile de Jérusalem, l'Église n'avait pas encore décidé que faire au sujet de la circoncision (</w:t>
      </w:r>
      <w:hyperlink r:id="rId160">
        <w:r>
          <w:rPr>
            <w:color w:val="0000EE"/>
            <w:u w:val="single"/>
          </w:rPr>
          <w:t>Ac 15</w:t>
        </w:r>
      </w:hyperlink>
      <w:r>
        <w:t>). Cela signifierait que le problème en Galatie était le premier grand débat sur cette question.</w:t>
      </w:r>
    </w:p>
    <w:p>
      <w:r/>
      <w:r>
        <w:t>Cependant, si Paul a écrit la lettre après le Concile de Jérusalem, les Églises de la Galatie du Sud auraient déjà reçu les décisions du concile (</w:t>
      </w:r>
      <w:hyperlink r:id="rId3028">
        <w:r>
          <w:rPr>
            <w:color w:val="0000EE"/>
            <w:u w:val="single"/>
          </w:rPr>
          <w:t>Ac 16.4</w:t>
        </w:r>
      </w:hyperlink>
      <w:r>
        <w:t>), mais écoutaient encore des chrétiens juifs qui avaient des règles plus strictes que celles décidées par les apôtres à Jérusalem. S'il écrivait aux Églises de la Galatie du Nord, nous ne savons pas si elles avaient entendu parler de la décision de l'Église.</w:t>
      </w:r>
    </w:p>
    <w:p>
      <w:r/>
      <w:r>
        <w:t>Paul écrit cette lettre avec deux objectifs principaux :</w:t>
      </w:r>
    </w:p>
    <w:p>
      <w:pPr>
        <w:pStyle w:val="ListNumber"/>
        <w:spacing w:line="240" w:lineRule="auto"/>
        <w:ind w:left="720"/>
      </w:pPr>
      <w:r/>
      <w:r>
        <w:t>Démontrer qu'il était un véritable apôtre de Jésus avec une autorité authentique.</w:t>
      </w:r>
    </w:p>
    <w:p>
      <w:pPr>
        <w:pStyle w:val="ListNumber"/>
        <w:spacing w:line="240" w:lineRule="auto"/>
        <w:ind w:left="720"/>
      </w:pPr>
      <w:r/>
      <w:r>
        <w:t>Défendre le fait que son message concernant Jésus était le véritable message (l'Évangile).</w:t>
      </w:r>
    </w:p>
    <w:p>
      <w:r/>
      <w:r>
        <w:t>Dans sa lettre, Paul enseigne des idées importantes sur Dieu. Son message principal met en garde contre l'idée que les gens doivent suivre des règles religieuses strictes pour être sauvés (appelé légalisme). Ce n'était pas seulement un problème pour les Églises de Galatie. Cette question est importante partout où les gens pensent devoir suivre certaines règles pour être acceptés par Dieu.</w:t>
      </w:r>
    </w:p>
    <w:p>
      <w:r/>
      <w:r>
        <w:t>Paul a expliqué pourquoi cette façon de penser était erronée. Si les non-Juifs devaient être circoncis pour devenir chrétiens, cela poserait deux problèmes :</w:t>
      </w:r>
    </w:p>
    <w:p>
      <w:pPr>
        <w:pStyle w:val="ListNumber"/>
        <w:spacing w:line="240" w:lineRule="auto"/>
        <w:ind w:left="720"/>
      </w:pPr>
      <w:r/>
      <w:r>
        <w:t>Cela ferait d'une cérémonie physique une nécessité pour le salut.</w:t>
      </w:r>
    </w:p>
    <w:p>
      <w:pPr>
        <w:pStyle w:val="ListNumber"/>
        <w:spacing w:line="240" w:lineRule="auto"/>
        <w:ind w:left="720"/>
      </w:pPr>
      <w:r/>
      <w:r>
        <w:t>Cela obligerait les gens à suivre toutes les lois juives.</w:t>
      </w:r>
    </w:p>
    <w:p>
      <w:r/>
      <w:r>
        <w:t>Paul a enseigné que les gens sont rendus justes devant Dieu par la foi (appelé la justification par la foi), et non en suivant des règles religieuses (ou justification par les œuvres de la loi). Tout au long de sa lettre, il souligne que le salut vient par la grâce de Dieu, et non par les efforts humains.</w:t>
      </w:r>
    </w:p>
    <w:p>
      <w:r/>
      <w:r>
        <w:t>Bien que Paul ait argumenté contre le fait de suivre des règles religieuses pour être sauvé, il n'a pas dit que les gens pouvaient faire tout ce qu'ils voulaient. Il a enseigné qu'il existe une voie médiane entre le respect strict des règles et l'absence totale de directives.</w:t>
      </w:r>
    </w:p>
    <w:p>
      <w:r/>
      <w:r>
        <w:t>Jésus accorde aux croyants la liberté, mais Paul avertit que cette liberté ne doit pas être utilisée comme une excuse pour commettre de mauvaises actions (</w:t>
      </w:r>
      <w:hyperlink r:id="rId8916">
        <w:r>
          <w:rPr>
            <w:color w:val="0000EE"/>
            <w:u w:val="single"/>
          </w:rPr>
          <w:t>Ga 5.13</w:t>
        </w:r>
      </w:hyperlink>
      <w:r>
        <w:t>). Paul fixe même des normes très élevées en ce qui concerne la façon dont les chrétiens devraient vivre. Il se prend comme exemple, disant que son ancien « moi » est mort (il a été « crucifié avec Christ ») et qu'il vit désormais pour Christ (</w:t>
      </w:r>
      <w:hyperlink r:id="rId2305">
        <w:r>
          <w:rPr>
            <w:color w:val="0000EE"/>
            <w:u w:val="single"/>
          </w:rPr>
          <w:t>Ga 2.20</w:t>
        </w:r>
      </w:hyperlink>
      <w:r>
        <w:t>).</w:t>
      </w:r>
    </w:p>
    <w:p>
      <w:r/>
      <w:r>
        <w:t>Cette lettre enseigne deux choses importantes :</w:t>
      </w:r>
    </w:p>
    <w:p>
      <w:pPr>
        <w:pStyle w:val="ListNumber"/>
        <w:spacing w:line="240" w:lineRule="auto"/>
        <w:ind w:left="720"/>
      </w:pPr>
      <w:r/>
      <w:r>
        <w:t>Comment les chrétiens peuvent être réellement libres.</w:t>
      </w:r>
    </w:p>
    <w:p>
      <w:pPr>
        <w:pStyle w:val="ListNumber"/>
        <w:spacing w:line="240" w:lineRule="auto"/>
        <w:ind w:left="720"/>
      </w:pPr>
      <w:r/>
      <w:r>
        <w:t>Comment les chrétiens devraient-ils utiliser cette liberté pour mener une vie vertueuse.</w:t>
      </w:r>
    </w:p>
    <w:p>
      <w:pPr>
        <w:pStyle w:val="Heading3"/>
      </w:pPr>
      <w:r>
        <w:t>Quel est le message de la lettre aux Galates ?</w:t>
      </w:r>
    </w:p>
    <w:p>
      <w:pPr>
        <w:pStyle w:val="Heading4"/>
      </w:pPr>
      <w:r>
        <w:t>Introduction (</w:t>
      </w:r>
      <w:hyperlink r:id="rId8917">
        <w:r>
          <w:rPr>
            <w:color w:val="0000EE"/>
            <w:u w:val="single"/>
          </w:rPr>
          <w:t>1.1–5</w:t>
        </w:r>
      </w:hyperlink>
      <w:r>
        <w:t>)</w:t>
      </w:r>
    </w:p>
    <w:p>
      <w:r/>
      <w:r>
        <w:t>Paul commence cette lettre différemment de ses autres lettres. Habituellement, il débute celles-ci en remerciant Dieu et en offrant une courte salutation. Cependant, dans cette lettre, il omet l'action de grâce et prolonge la salutation. Il insiste dès le départ sur le fait que Dieu l'a choisi pour être son apôtre (un apôtre est une personne choisie et envoyée par Jésus pour être son messager et représentant spécial).</w:t>
      </w:r>
    </w:p>
    <w:p>
      <w:pPr>
        <w:pStyle w:val="Heading4"/>
      </w:pPr>
      <w:r>
        <w:t>Les Opposants (</w:t>
      </w:r>
      <w:hyperlink r:id="rId8918">
        <w:r>
          <w:rPr>
            <w:color w:val="0000EE"/>
            <w:u w:val="single"/>
          </w:rPr>
          <w:t>1.6–10</w:t>
        </w:r>
      </w:hyperlink>
      <w:r>
        <w:t>)</w:t>
      </w:r>
    </w:p>
    <w:p>
      <w:r/>
      <w:r>
        <w:t>Paul est surpris que les Galates aient si rapidement commencé à écouter des personnes qui modifient l'Évangile (la Bonne Nouvelle concernant Jésus). Il met fortement en garde contre quiconque enseigne un message différent.</w:t>
      </w:r>
    </w:p>
    <w:p>
      <w:pPr>
        <w:pStyle w:val="Heading4"/>
      </w:pPr>
      <w:r>
        <w:t>Défense de son apostolat (</w:t>
      </w:r>
      <w:hyperlink r:id="rId8919">
        <w:r>
          <w:rPr>
            <w:color w:val="0000EE"/>
            <w:u w:val="single"/>
          </w:rPr>
          <w:t>1.11–2.14</w:t>
        </w:r>
      </w:hyperlink>
      <w:r>
        <w:t>)</w:t>
      </w:r>
    </w:p>
    <w:p>
      <w:r/>
      <w:r>
        <w:t>Paul défend sa position en plusieurs étapes :</w:t>
      </w:r>
    </w:p>
    <w:p>
      <w:pPr>
        <w:pStyle w:val="ListNumber"/>
        <w:spacing w:line="240" w:lineRule="auto"/>
        <w:ind w:left="720"/>
      </w:pPr>
      <w:r/>
      <w:r>
        <w:t>Il explique que son enseignement vient directement de Dieu, et non d'une personne. Cela montre deux choses importantes :</w:t>
      </w:r>
    </w:p>
    <w:p>
      <w:pPr>
        <w:pStyle w:val="ListBullet"/>
        <w:spacing w:line="240" w:lineRule="auto"/>
        <w:ind w:left="1440"/>
      </w:pPr>
      <w:r/>
      <w:r>
        <w:t>Dieu l’a choisi comme apôtre.</w:t>
      </w:r>
    </w:p>
    <w:p>
      <w:pPr>
        <w:pStyle w:val="ListBullet"/>
        <w:spacing w:line="240" w:lineRule="auto"/>
        <w:ind w:left="1440"/>
      </w:pPr>
      <w:r/>
      <w:r>
        <w:t>Dieu a approuvé son message au sujet de Jésus.</w:t>
      </w:r>
    </w:p>
    <w:p>
      <w:pPr>
        <w:pStyle w:val="ListNumber"/>
        <w:spacing w:line="240" w:lineRule="auto"/>
        <w:ind w:left="720"/>
      </w:pPr>
      <w:r/>
      <w:r>
        <w:t>Paul veut clarifier que son autorité ne dépend pas des autres personnes. Mais il montre aussi qu'il enseigne les mêmes choses que les autres apôtres (</w:t>
      </w:r>
      <w:hyperlink r:id="rId8920">
        <w:r>
          <w:rPr>
            <w:color w:val="0000EE"/>
            <w:u w:val="single"/>
          </w:rPr>
          <w:t>Ga 1.11–12</w:t>
        </w:r>
      </w:hyperlink>
      <w:r>
        <w:t>).</w:t>
      </w:r>
    </w:p>
    <w:p>
      <w:pPr>
        <w:pStyle w:val="ListNumber"/>
        <w:spacing w:line="240" w:lineRule="auto"/>
        <w:ind w:left="720"/>
      </w:pPr>
      <w:r/>
      <w:r>
        <w:t>Ensuite, Paul parle de la façon dont sa vie a changé. Il décrit comment il est passé d'une personne juive très dévouée à quelqu'un qui prêche la Bonne Nouvelle de Jésus. Cela aide à montrer que Dieu était celui qui l'a appelé à ce travail (</w:t>
      </w:r>
      <w:hyperlink r:id="rId8921">
        <w:r>
          <w:rPr>
            <w:color w:val="0000EE"/>
            <w:u w:val="single"/>
          </w:rPr>
          <w:t>Ga 1.13–17</w:t>
        </w:r>
      </w:hyperlink>
      <w:r>
        <w:t>).</w:t>
      </w:r>
    </w:p>
    <w:p>
      <w:r/>
      <w:r>
        <w:t>Paul décrit ensuite deux réunions importantes qu'il a eues avec les apôtres à Jérusalem. Lors de ces réunions, ils l'ont accueilli comme apôtre, ce qui montrait qu'ils étaient d'un commun accord entre eux.</w:t>
      </w:r>
    </w:p>
    <w:p>
      <w:r/>
      <w:r>
        <w:t>Ils ont élaboré un plan ensemble :</w:t>
      </w:r>
    </w:p>
    <w:p>
      <w:pPr>
        <w:pStyle w:val="ListBullet"/>
        <w:spacing w:line="240" w:lineRule="auto"/>
        <w:ind w:left="720"/>
      </w:pPr>
      <w:r/>
      <w:r>
        <w:t>Paul enseignerait aux non-Juifs au sujet de Jésus.</w:t>
      </w:r>
    </w:p>
    <w:p>
      <w:pPr>
        <w:pStyle w:val="ListBullet"/>
        <w:spacing w:line="240" w:lineRule="auto"/>
        <w:ind w:left="720"/>
      </w:pPr>
      <w:r/>
      <w:r>
        <w:t>Pierre enseignerait aux Juifs.</w:t>
      </w:r>
    </w:p>
    <w:p>
      <w:pPr>
        <w:pStyle w:val="ListBullet"/>
        <w:spacing w:line="240" w:lineRule="auto"/>
        <w:ind w:left="720"/>
      </w:pPr>
      <w:r/>
      <w:r>
        <w:t>Tout le monde s'accordait à dire que Paul était un véritable apôtre de Jésus.</w:t>
      </w:r>
    </w:p>
    <w:p>
      <w:pPr>
        <w:pStyle w:val="ListBullet"/>
        <w:spacing w:line="240" w:lineRule="auto"/>
        <w:ind w:left="720"/>
      </w:pPr>
      <w:r/>
      <w:r>
        <w:t>Ils ont tous promis d'aider les pauvres, car les chrétiens en ont tous la responsabilité (</w:t>
      </w:r>
      <w:hyperlink r:id="rId8922">
        <w:r>
          <w:rPr>
            <w:color w:val="0000EE"/>
            <w:u w:val="single"/>
          </w:rPr>
          <w:t>1.18–2.10</w:t>
        </w:r>
      </w:hyperlink>
      <w:r>
        <w:t>).</w:t>
      </w:r>
    </w:p>
    <w:p>
      <w:r/>
      <w:r>
        <w:t>Paul donne un exemple concret pour montrer son autorité en tant qu'apôtre. Il raconte un moment où il a corrigé publiquement Pierre. Pierre avait changé son comportement parce qu'il avait peur de certaines personnes venues de Jacques à Jérusalem. Ces personnes appartenaient à un groupe qui insistait sur le respect des coutumes juives (appelé « la circoncision » ou « le groupe de la circoncision »). Lorsque Paul a défié Pierre à ce sujet, cela a conduit aux principaux enseignements de sa lettre (</w:t>
      </w:r>
      <w:hyperlink r:id="rId8914">
        <w:r>
          <w:rPr>
            <w:color w:val="0000EE"/>
            <w:u w:val="single"/>
          </w:rPr>
          <w:t>Ga 2.11–14</w:t>
        </w:r>
      </w:hyperlink>
      <w:r>
        <w:t>).</w:t>
      </w:r>
    </w:p>
    <w:p>
      <w:pPr>
        <w:pStyle w:val="Heading4"/>
      </w:pPr>
      <w:r>
        <w:t>Défense de l'Évangile (</w:t>
      </w:r>
      <w:hyperlink r:id="rId8923">
        <w:r>
          <w:rPr>
            <w:color w:val="0000EE"/>
            <w:u w:val="single"/>
          </w:rPr>
          <w:t>2.15–4.31</w:t>
        </w:r>
      </w:hyperlink>
      <w:r>
        <w:t>)</w:t>
      </w:r>
    </w:p>
    <w:p>
      <w:r/>
      <w:r>
        <w:t xml:space="preserve">Paul introduit la question de la justification par les œuvres de la loi et montre en quoi elle diffère de la justification par la foi. Paul dit que les gens doivent choisir entre Jésus (être rendus justes avec Dieu par la foi) et la loi (être rendus justes par les œuvres de la loi ; </w:t>
      </w:r>
      <w:hyperlink r:id="rId8222">
        <w:r>
          <w:rPr>
            <w:color w:val="0000EE"/>
            <w:u w:val="single"/>
          </w:rPr>
          <w:t>Ga 2.15–21</w:t>
        </w:r>
      </w:hyperlink>
      <w:r>
        <w:t>).</w:t>
      </w:r>
    </w:p>
    <w:p>
      <w:r/>
      <w:r>
        <w:t>Paul veut montrer que la foi en Jésus est meilleure que suivre les lois juives pour être sauvé. Il rappelle aux Galates qu'ils sont devenus chrétiens grâce à l'Esprit de Dieu, et non en suivant des règles. Il est perplexe quant à la raison pour laquelle ils veulent maintenant revenir à suivre strictement la loi, qu'il dit provenir de l'effort humain (la « chair ») plutôt que de l'Esprit de Dieu (</w:t>
      </w:r>
      <w:hyperlink r:id="rId8924">
        <w:r>
          <w:rPr>
            <w:color w:val="0000EE"/>
            <w:u w:val="single"/>
          </w:rPr>
          <w:t>Ga 3.1–5</w:t>
        </w:r>
      </w:hyperlink>
      <w:r>
        <w:t>).</w:t>
      </w:r>
    </w:p>
    <w:p>
      <w:r/>
      <w:r>
        <w:t>Paul évoque ensuite Abraham. Il le mentionne parce que ses opposants affirmaient que seules les personnes descendant d'Abraham pouvaient être sauvées et que la circoncision était le signe nécessaire d'appartenance à la famille de l'alliance de Dieu.</w:t>
      </w:r>
    </w:p>
    <w:p>
      <w:r/>
      <w:r>
        <w:t>Mais Paul explique quelque chose d'important. Même Abraham lui-même a été justifié devant Dieu par la foi, et non en suivant la loi (</w:t>
      </w:r>
      <w:hyperlink r:id="rId8545">
        <w:r>
          <w:rPr>
            <w:color w:val="0000EE"/>
            <w:u w:val="single"/>
          </w:rPr>
          <w:t>Ga 3.6–9</w:t>
        </w:r>
      </w:hyperlink>
      <w:r>
        <w:t>).</w:t>
      </w:r>
    </w:p>
    <w:p>
      <w:r/>
      <w:r>
        <w:t>Paul explique que suivre la loi ne peut apporter qu'une malédiction, car personne ne peut lui obéir parfaitement. Ensuite, il enseigne comment Jésus est devenu une malédiction pour nous. À cause de cela, Paul dit qu'à travers Jésus, nous pouvons recevoir les bénédictions que Dieu a promises à Abraham (</w:t>
      </w:r>
      <w:hyperlink r:id="rId8925">
        <w:r>
          <w:rPr>
            <w:color w:val="0000EE"/>
            <w:u w:val="single"/>
          </w:rPr>
          <w:t>Ga 3.10–14</w:t>
        </w:r>
      </w:hyperlink>
      <w:r>
        <w:t>).</w:t>
      </w:r>
    </w:p>
    <w:p>
      <w:r/>
      <w:r>
        <w:t>Paul sait que certaines personnes pourraient contester son enseignement concernant Abraham. Elles pourraient dire qu'il ne devrait pas utiliser la promesse de Dieu à Abraham pour argumenter contre le respect de la loi. Mais Paul explique que Dieu a fait cette promesse à Abraham quatre cents ans avant de donner la loi. Par conséquent, la loi postérieure ne peut pas annuler la promesse antérieure de Dieu (</w:t>
      </w:r>
      <w:hyperlink r:id="rId2546">
        <w:r>
          <w:rPr>
            <w:color w:val="0000EE"/>
            <w:u w:val="single"/>
          </w:rPr>
          <w:t>Ga 3.15–18</w:t>
        </w:r>
      </w:hyperlink>
      <w:r>
        <w:t>).</w:t>
      </w:r>
    </w:p>
    <w:p>
      <w:r/>
      <w:r>
        <w:t>Ensuite, Paul explique pourquoi Dieu a donné la loi en premier lieu. Il dit que la loi avait deux objectifs importants :</w:t>
      </w:r>
    </w:p>
    <w:p>
      <w:pPr>
        <w:pStyle w:val="ListNumber"/>
        <w:spacing w:line="240" w:lineRule="auto"/>
        <w:ind w:left="720"/>
      </w:pPr>
      <w:r/>
      <w:r>
        <w:t>Montrer aux gens qu'ils avaient besoin de l'aide de Dieu.</w:t>
      </w:r>
    </w:p>
    <w:p>
      <w:pPr>
        <w:pStyle w:val="ListNumber"/>
        <w:spacing w:line="240" w:lineRule="auto"/>
        <w:ind w:left="720"/>
      </w:pPr>
      <w:r/>
      <w:r>
        <w:t>Montrer que suivre uniquement la loi ne peut pas donner la vie spirituelle.</w:t>
      </w:r>
    </w:p>
    <w:p>
      <w:r/>
      <w:r>
        <w:t>Paul compare la loi à un gardien (ou tuteur) qui prend soin d'un enfant. Dans les temps anciens, les familles riches avaient quelqu'un pour surveiller leurs enfants jusqu'à ce qu'ils soient assez grands pour être indépendants. Paul utilise cet exemple pour expliquer comment la loi fonctionnait avant que Jésus ne vienne (</w:t>
      </w:r>
      <w:hyperlink r:id="rId8926">
        <w:r>
          <w:rPr>
            <w:color w:val="0000EE"/>
            <w:u w:val="single"/>
          </w:rPr>
          <w:t>Ga 3.19–29</w:t>
        </w:r>
      </w:hyperlink>
      <w:r>
        <w:t>).</w:t>
      </w:r>
    </w:p>
    <w:p>
      <w:r/>
      <w:r>
        <w:t>Paul compare deux situations différentes :</w:t>
      </w:r>
    </w:p>
    <w:p>
      <w:pPr>
        <w:pStyle w:val="ListNumber"/>
        <w:spacing w:line="240" w:lineRule="auto"/>
        <w:ind w:left="720"/>
      </w:pPr>
      <w:r/>
      <w:r>
        <w:t>Être comme un enfant sous la responsabilité d'un tuteur.</w:t>
      </w:r>
    </w:p>
    <w:p>
      <w:pPr>
        <w:pStyle w:val="ListNumber"/>
        <w:spacing w:line="240" w:lineRule="auto"/>
        <w:ind w:left="720"/>
      </w:pPr>
      <w:r/>
      <w:r>
        <w:t>Être comme un enfant adulte avec tous les droits au sein de la famille.</w:t>
      </w:r>
    </w:p>
    <w:p>
      <w:r/>
      <w:r>
        <w:t>Il explique que l'Esprit de Dieu aide les croyants à entretenir une relation étroite avec Dieu, leur permettant de l'appeler « Abba » (ce qui signifie « Père » en araméen). Ce type de relation étroite n'était pas possible simplement en suivant la loi (</w:t>
      </w:r>
      <w:hyperlink r:id="rId8927">
        <w:r>
          <w:rPr>
            <w:color w:val="0000EE"/>
            <w:u w:val="single"/>
          </w:rPr>
          <w:t>Ga 4.1–7</w:t>
        </w:r>
      </w:hyperlink>
      <w:r>
        <w:t>).</w:t>
      </w:r>
    </w:p>
    <w:p>
      <w:r/>
      <w:r>
        <w:t>Après avoir exposé ses principaux arguments, Paul fait un appel personnel aux Galates. Tout d'abord, il leur rappelle leur passé :</w:t>
      </w:r>
    </w:p>
    <w:p>
      <w:pPr>
        <w:pStyle w:val="ListBullet"/>
        <w:spacing w:line="240" w:lineRule="auto"/>
        <w:ind w:left="720"/>
      </w:pPr>
      <w:r/>
      <w:r>
        <w:t>Avant de devenir chrétiens, ils étaient comme des esclaves de la loi.</w:t>
      </w:r>
    </w:p>
    <w:p>
      <w:pPr>
        <w:pStyle w:val="ListBullet"/>
        <w:spacing w:line="240" w:lineRule="auto"/>
        <w:ind w:left="720"/>
      </w:pPr>
      <w:r/>
      <w:r>
        <w:t>Maintenant, ils retournent à ce même type d'esclavage en essayant de suivre les fêtes religieuses juives. Paul est très attristé par ce changement.</w:t>
      </w:r>
    </w:p>
    <w:p>
      <w:r/>
      <w:r>
        <w:t>Ensuite, il leur rappelle leur relation :</w:t>
      </w:r>
    </w:p>
    <w:p>
      <w:pPr>
        <w:pStyle w:val="ListBullet"/>
        <w:spacing w:line="240" w:lineRule="auto"/>
        <w:ind w:left="720"/>
      </w:pPr>
      <w:r/>
      <w:r>
        <w:t>Lorsqu'ils sont devenus chrétiens pour la première fois, ils aimaient et respectaient Paul.</w:t>
      </w:r>
    </w:p>
    <w:p>
      <w:pPr>
        <w:pStyle w:val="ListBullet"/>
        <w:spacing w:line="240" w:lineRule="auto"/>
        <w:ind w:left="720"/>
      </w:pPr>
      <w:r/>
      <w:r>
        <w:t>Maintenant, leur attitude envers lui a changé. Cela trouble profondément Paul (</w:t>
      </w:r>
      <w:hyperlink r:id="rId8928">
        <w:r>
          <w:rPr>
            <w:color w:val="0000EE"/>
            <w:u w:val="single"/>
          </w:rPr>
          <w:t>Ga 4.8–20</w:t>
        </w:r>
      </w:hyperlink>
      <w:r>
        <w:t>).</w:t>
      </w:r>
    </w:p>
    <w:p>
      <w:r/>
      <w:r>
        <w:t>Enfin, Paul utilise une histoire de la Bible pour clarifier son point. Il parle des deux fils d'Abraham, Isaac et Ismaël. Il utilise leur histoire comme exemple pour montrer la différence entre :</w:t>
      </w:r>
    </w:p>
    <w:p>
      <w:pPr>
        <w:pStyle w:val="ListBullet"/>
        <w:spacing w:line="240" w:lineRule="auto"/>
        <w:ind w:left="720"/>
      </w:pPr>
      <w:r/>
      <w:r>
        <w:t>Isaac, dont la mère était Sara, une femme libre (Paul l'utilise comme exemple d'être des enfants libres de Dieu).</w:t>
      </w:r>
    </w:p>
    <w:p>
      <w:pPr>
        <w:pStyle w:val="ListBullet"/>
        <w:spacing w:line="240" w:lineRule="auto"/>
        <w:ind w:left="720"/>
      </w:pPr>
      <w:r/>
      <w:r>
        <w:t>Ismaël, dont la mère était Agar, une esclave (Paul l'utilise comme exemple d'être esclaves de la loi).</w:t>
      </w:r>
    </w:p>
    <w:p>
      <w:r/>
      <w:r>
        <w:t>Cet exemple soutient ce que Paul a dit à propos de la liberté par rapport à l'esclavage des règles (</w:t>
      </w:r>
      <w:hyperlink r:id="rId6835">
        <w:r>
          <w:rPr>
            <w:color w:val="0000EE"/>
            <w:u w:val="single"/>
          </w:rPr>
          <w:t>Ga 4.21–31</w:t>
        </w:r>
      </w:hyperlink>
      <w:r>
        <w:t>).</w:t>
      </w:r>
    </w:p>
    <w:p>
      <w:pPr>
        <w:pStyle w:val="Heading4"/>
      </w:pPr>
      <w:r>
        <w:t>Conseils pratiques (</w:t>
      </w:r>
      <w:hyperlink r:id="rId8929">
        <w:r>
          <w:rPr>
            <w:color w:val="0000EE"/>
            <w:u w:val="single"/>
          </w:rPr>
          <w:t>5.1–6.10</w:t>
        </w:r>
      </w:hyperlink>
      <w:r>
        <w:t>)</w:t>
      </w:r>
    </w:p>
    <w:p>
      <w:r/>
      <w:r>
        <w:t>Après avoir expliqué ses principaux enseignements, Paul dit aux Galates comment ils devraient vivre en tant que personnes libres en Christ :</w:t>
      </w:r>
    </w:p>
    <w:p>
      <w:pPr>
        <w:pStyle w:val="ListBullet"/>
        <w:spacing w:line="240" w:lineRule="auto"/>
        <w:ind w:left="720"/>
      </w:pPr>
      <w:r/>
      <w:r>
        <w:t>Ne renoncez pas à votre liberté en acceptant d'être circoncis et de suivre les lois juives (</w:t>
      </w:r>
      <w:hyperlink r:id="rId8930">
        <w:r>
          <w:rPr>
            <w:color w:val="0000EE"/>
            <w:u w:val="single"/>
          </w:rPr>
          <w:t>Ga 5.1–6</w:t>
        </w:r>
      </w:hyperlink>
      <w:r>
        <w:t>).</w:t>
      </w:r>
    </w:p>
    <w:p>
      <w:pPr>
        <w:pStyle w:val="ListBullet"/>
        <w:spacing w:line="240" w:lineRule="auto"/>
        <w:ind w:left="720"/>
      </w:pPr>
      <w:r/>
      <w:r>
        <w:t>Faites attention aux personnes qui enseignent des choses erronées (</w:t>
      </w:r>
      <w:hyperlink r:id="rId8931">
        <w:r>
          <w:rPr>
            <w:color w:val="0000EE"/>
            <w:u w:val="single"/>
          </w:rPr>
          <w:t>Ga 5.7–12</w:t>
        </w:r>
      </w:hyperlink>
      <w:r>
        <w:t>).</w:t>
      </w:r>
    </w:p>
    <w:p>
      <w:pPr>
        <w:pStyle w:val="ListBullet"/>
        <w:spacing w:line="240" w:lineRule="auto"/>
        <w:ind w:left="720"/>
      </w:pPr>
      <w:r/>
      <w:r>
        <w:t>Remplacez le respect strict des règles par l'amour. L'Esprit de Dieu aide les gens à éviter de faire de mauvaises choses et à développer de bonnes qualités dans leur vie (</w:t>
      </w:r>
      <w:hyperlink r:id="rId8932">
        <w:r>
          <w:rPr>
            <w:color w:val="0000EE"/>
            <w:u w:val="single"/>
          </w:rPr>
          <w:t>Ga 5.13</w:t>
        </w:r>
      </w:hyperlink>
      <w:r>
        <w:t>–</w:t>
      </w:r>
      <w:hyperlink r:id="rId8932">
        <w:r>
          <w:rPr>
            <w:color w:val="0000EE"/>
            <w:u w:val="single"/>
          </w:rPr>
          <w:t>26</w:t>
        </w:r>
      </w:hyperlink>
      <w:r>
        <w:t>).</w:t>
      </w:r>
    </w:p>
    <w:p>
      <w:pPr>
        <w:pStyle w:val="ListBullet"/>
        <w:spacing w:line="240" w:lineRule="auto"/>
        <w:ind w:left="720"/>
      </w:pPr>
      <w:r/>
      <w:r>
        <w:t>Vivez avec attention envers les autres. Aidez les personnes qui rencontrent des problèmes. Soyez particulièrement serviable envers les autres chrétiens. Cherchez des moyens de faire le bien pour tout le monde (</w:t>
      </w:r>
      <w:hyperlink r:id="rId8933">
        <w:r>
          <w:rPr>
            <w:color w:val="0000EE"/>
            <w:u w:val="single"/>
          </w:rPr>
          <w:t>Ga 6.1–10</w:t>
        </w:r>
      </w:hyperlink>
      <w:r>
        <w:t>).</w:t>
      </w:r>
    </w:p>
    <w:p>
      <w:pPr>
        <w:pStyle w:val="Heading4"/>
      </w:pPr>
      <w:r>
        <w:t>Conclusion (</w:t>
      </w:r>
      <w:hyperlink r:id="rId8934">
        <w:r>
          <w:rPr>
            <w:color w:val="0000EE"/>
            <w:u w:val="single"/>
          </w:rPr>
          <w:t>6.11–18</w:t>
        </w:r>
      </w:hyperlink>
      <w:r>
        <w:t>)</w:t>
      </w:r>
    </w:p>
    <w:p>
      <w:r/>
      <w:r>
        <w:t>Paul écrit lui-même la dernière partie de la lettre. Il établit un dernier contraste entre :</w:t>
      </w:r>
    </w:p>
    <w:p>
      <w:pPr>
        <w:pStyle w:val="ListBullet"/>
        <w:spacing w:line="240" w:lineRule="auto"/>
        <w:ind w:left="720"/>
      </w:pPr>
      <w:r/>
      <w:r>
        <w:t>Sa propre concentration sur le fait de ne se vanter que de la mort de Jésus sur la croix (se « glorifier [...] de la croix »).</w:t>
      </w:r>
    </w:p>
    <w:p>
      <w:pPr>
        <w:pStyle w:val="ListBullet"/>
        <w:spacing w:line="240" w:lineRule="auto"/>
        <w:ind w:left="720"/>
      </w:pPr>
      <w:r/>
      <w:r>
        <w:t>Leur concentration sur la fierté de suivre la loi et les cérémonies religieuses (« se glorifier dans [la] chair »).</w:t>
      </w:r>
    </w:p>
    <w:p>
      <w:r/>
      <w:r>
        <w:t>Contrairement à ses autres lettres, Paul ne termine pas par des salutations. Au lieu de cela, il demande simplement que personne ne le dérange davantage à propos de ces questions.</w:t>
      </w:r>
    </w:p>
    <w:p>
      <w:r/>
      <w:r>
        <w:rPr>
          <w:i/>
        </w:rPr>
        <w:t>Voir aussi</w:t>
      </w:r>
      <w:r>
        <w:t xml:space="preserve"> </w:t>
      </w:r>
      <w:r>
        <w:t>Galatie</w:t>
      </w:r>
      <w:r>
        <w:t xml:space="preserve"> ; </w:t>
      </w:r>
      <w:r>
        <w:t>Judaïsants</w:t>
      </w:r>
      <w:r>
        <w:t xml:space="preserve"> ; </w:t>
      </w:r>
      <w:r>
        <w:t>Loi, concept biblique de</w:t>
      </w:r>
      <w:r>
        <w:t xml:space="preserve"> ; </w:t>
      </w:r>
      <w:r>
        <w:t>Paul, l'apôtre</w:t>
      </w:r>
      <w:r>
        <w:t>.</w:t>
      </w:r>
      <w:r/>
      <w:r/>
    </w:p>
    <w:p>
      <w:r/>
    </w:p>
    <w:p>
      <w:pPr>
        <w:pStyle w:val="Heading2"/>
      </w:pPr>
      <w:r>
        <w:t>Lettre aux Romains</w:t>
      </w:r>
      <w:r/>
    </w:p>
    <w:p>
      <w:r/>
      <w:r>
        <w:t>Sixième livre du Nouveau Testament, et lettre la plus longue de l'apôtre Paul dans la Bible.</w:t>
      </w:r>
    </w:p>
    <w:p>
      <w:pPr>
        <w:pStyle w:val="Heading3"/>
      </w:pPr>
      <w:r>
        <w:t>Survol</w:t>
      </w:r>
    </w:p>
    <w:p>
      <w:pPr>
        <w:pStyle w:val="ListBullet"/>
        <w:spacing w:line="240" w:lineRule="auto"/>
        <w:ind w:left="720"/>
      </w:pPr>
      <w:r/>
      <w:r>
        <w:rPr>
          <w:b/>
          <w:u w:val="single"/>
        </w:rPr>
        <w:t>Qui a rédigé la lettre aux Romains ?</w:t>
      </w:r>
    </w:p>
    <w:p>
      <w:pPr>
        <w:pStyle w:val="ListBullet"/>
        <w:spacing w:line="240" w:lineRule="auto"/>
        <w:ind w:left="720"/>
      </w:pPr>
      <w:r/>
      <w:r>
        <w:rPr>
          <w:b/>
          <w:u w:val="single"/>
        </w:rPr>
        <w:t>Quand et où la lettre aux Romains a-t-elle été écrite ? À qui était-elle adressée ?</w:t>
      </w:r>
    </w:p>
    <w:p>
      <w:pPr>
        <w:pStyle w:val="ListBullet"/>
        <w:spacing w:line="240" w:lineRule="auto"/>
        <w:ind w:left="720"/>
      </w:pPr>
      <w:r/>
      <w:r>
        <w:rPr>
          <w:b/>
          <w:u w:val="single"/>
        </w:rPr>
        <w:t>Quel est le contexte de la lettre ?</w:t>
      </w:r>
    </w:p>
    <w:p>
      <w:pPr>
        <w:pStyle w:val="ListBullet"/>
        <w:spacing w:line="240" w:lineRule="auto"/>
        <w:ind w:left="720"/>
      </w:pPr>
      <w:r/>
      <w:r>
        <w:rPr>
          <w:b/>
          <w:u w:val="single"/>
        </w:rPr>
        <w:t>À qui la lettre était-elle destinée ?</w:t>
      </w:r>
    </w:p>
    <w:p>
      <w:pPr>
        <w:pStyle w:val="ListBullet"/>
        <w:spacing w:line="240" w:lineRule="auto"/>
        <w:ind w:left="720"/>
      </w:pPr>
      <w:r/>
      <w:r>
        <w:rPr>
          <w:b/>
          <w:u w:val="single"/>
        </w:rPr>
        <w:t>Pourquoi la lettre aux Romains a-t-elle été écrite ?</w:t>
      </w:r>
    </w:p>
    <w:p>
      <w:pPr>
        <w:pStyle w:val="ListBullet"/>
        <w:spacing w:line="240" w:lineRule="auto"/>
        <w:ind w:left="720"/>
      </w:pPr>
      <w:r/>
      <w:r>
        <w:rPr>
          <w:b/>
          <w:u w:val="single"/>
        </w:rPr>
        <w:t>Que nous enseigne la lettre aux Romains sur Dieu ?</w:t>
      </w:r>
    </w:p>
    <w:p>
      <w:pPr>
        <w:pStyle w:val="ListBullet"/>
        <w:spacing w:line="240" w:lineRule="auto"/>
        <w:ind w:left="720"/>
      </w:pPr>
      <w:r/>
      <w:r>
        <w:rPr>
          <w:b/>
          <w:u w:val="single"/>
        </w:rPr>
        <w:t>Quel est le message de la lettre aux Romains ?</w:t>
      </w:r>
    </w:p>
    <w:p>
      <w:pPr>
        <w:pStyle w:val="Heading3"/>
      </w:pPr>
      <w:r>
        <w:t>Qui a rédigé la lettre ?</w:t>
      </w:r>
    </w:p>
    <w:p>
      <w:r/>
      <w:r>
        <w:t>C'est l'apôtre Paul qui a écrit cette lettre, comme nous pouvons le voir par son utilisation de « je » tout au long de celle-ci (</w:t>
      </w:r>
      <w:hyperlink r:id="rId8935">
        <w:r>
          <w:rPr>
            <w:color w:val="0000EE"/>
            <w:u w:val="single"/>
          </w:rPr>
          <w:t>Rm 1.5, 10</w:t>
        </w:r>
      </w:hyperlink>
      <w:r>
        <w:t>, etc.). La lettre commence par « Paul, serviteur de Jésus-Christ, appelé à être apôtre ». Bien que Paul ait dit les mots, c'est un homme nommé Tertius qui les a écrits (</w:t>
      </w:r>
      <w:hyperlink r:id="rId8936">
        <w:r>
          <w:rPr>
            <w:color w:val="0000EE"/>
            <w:u w:val="single"/>
          </w:rPr>
          <w:t>16.22</w:t>
        </w:r>
      </w:hyperlink>
      <w:r>
        <w:t>). Les experts de tous les bords s'accordent à dire que c'est Paul qui a écrit cette lettre. Romains apparaît en premier dans presque toutes les listes anciennes des lettres de Paul.</w:t>
      </w:r>
    </w:p>
    <w:p>
      <w:pPr>
        <w:pStyle w:val="Heading3"/>
      </w:pPr>
      <w:r>
        <w:t>À qui la lettre a-t-elle été écrite ? D'où la lettre a-t-elle été envoyée ?</w:t>
      </w:r>
    </w:p>
    <w:p>
      <w:r/>
      <w:r>
        <w:t>Paul a envoyé cette lettre aux chrétiens de Rome (</w:t>
      </w:r>
      <w:hyperlink r:id="rId8937">
        <w:r>
          <w:rPr>
            <w:color w:val="0000EE"/>
            <w:u w:val="single"/>
          </w:rPr>
          <w:t>Rm 1.7</w:t>
        </w:r>
      </w:hyperlink>
      <w:r>
        <w:t>). Il l'a écrite alors qu'il était dans la ville de Corinthe. Nous savons cela parce qu'il mentionne Éraste, qui était le trésorier de la ville de Corinthe (</w:t>
      </w:r>
      <w:hyperlink r:id="rId2373">
        <w:r>
          <w:rPr>
            <w:color w:val="0000EE"/>
            <w:u w:val="single"/>
          </w:rPr>
          <w:t>16.23</w:t>
        </w:r>
      </w:hyperlink>
      <w:r>
        <w:t>). Il y a une inscription (une écriture gravée dans le pavé de pierre) à côté du grand théâtre de Corinthe. L'inscription indique qu'Éraste, le trésorier de la ville, l'a placée là, en reconnaissance de son élection. Il semble qu'Éraste soit resté à Corinthe parce que c'était son lieu de résidence (</w:t>
      </w:r>
      <w:hyperlink r:id="rId4862">
        <w:r>
          <w:rPr>
            <w:color w:val="0000EE"/>
            <w:u w:val="single"/>
          </w:rPr>
          <w:t>2Tm 4.20</w:t>
        </w:r>
      </w:hyperlink>
      <w:r>
        <w:t>).</w:t>
      </w:r>
    </w:p>
    <w:p>
      <w:r/>
      <w:r>
        <w:t>De plus, lorsque Paul a écrit cette lettre, il séjournait chez un homme nommé Gaïus (</w:t>
      </w:r>
      <w:hyperlink r:id="rId2373">
        <w:r>
          <w:rPr>
            <w:color w:val="0000EE"/>
            <w:u w:val="single"/>
          </w:rPr>
          <w:t>Rm 16.23</w:t>
        </w:r>
      </w:hyperlink>
      <w:r>
        <w:t>). Il s'agit probablement du même Gaïus qui vivait à Corinthe (</w:t>
      </w:r>
      <w:hyperlink r:id="rId3502">
        <w:r>
          <w:rPr>
            <w:color w:val="0000EE"/>
            <w:u w:val="single"/>
          </w:rPr>
          <w:t>1Co 1.14</w:t>
        </w:r>
      </w:hyperlink>
      <w:r>
        <w:t>). Une femme nommée Phœbé a probablement transporté la lettre à Rome. Elle était diaconesse et servait dans l'Église de Cenchrées, qui était le port oriental de Corinthe (</w:t>
      </w:r>
      <w:hyperlink r:id="rId2193">
        <w:r>
          <w:rPr>
            <w:color w:val="0000EE"/>
            <w:u w:val="single"/>
          </w:rPr>
          <w:t>Rm 16.1</w:t>
        </w:r>
      </w:hyperlink>
      <w:r>
        <w:t>).</w:t>
      </w:r>
    </w:p>
    <w:p>
      <w:pPr>
        <w:pStyle w:val="Heading3"/>
      </w:pPr>
      <w:r>
        <w:t>Quand la lettre a-t-elle été rédigée ?</w:t>
      </w:r>
    </w:p>
    <w:p>
      <w:r/>
      <w:r>
        <w:t xml:space="preserve">Nous pouvons déterminer quand Paul a écrit cette lettre en examinant certaines des choses qu'il y dit, comme par exemple les références aux personnes, aux événements et à ses voyages. Dans </w:t>
      </w:r>
      <w:hyperlink r:id="rId8938">
        <w:r>
          <w:rPr>
            <w:color w:val="0000EE"/>
            <w:u w:val="single"/>
          </w:rPr>
          <w:t>Romains 15.23–28</w:t>
        </w:r>
      </w:hyperlink>
      <w:r>
        <w:t>, Paul indique qu'il était sur le point de rendre visite à Jérusalem pour y apporter de l'argent que les Églises de Macédoine et d'Achaïe avaient collecté pour les chrétiens pauvres là-bas. Après cela, il prévoyait de rendre visite à Rome en route vers l'Espagne (</w:t>
      </w:r>
      <w:hyperlink r:id="rId8938">
        <w:r>
          <w:rPr>
            <w:color w:val="0000EE"/>
            <w:u w:val="single"/>
          </w:rPr>
          <w:t>15.23–28</w:t>
        </w:r>
      </w:hyperlink>
      <w:r>
        <w:t>). C'est à la fin de sa troisième visite de trois mois à Corinthe qu'il a emporté ces fonds avec lui pour Jérusalem (</w:t>
      </w:r>
      <w:hyperlink r:id="rId8939">
        <w:r>
          <w:rPr>
            <w:color w:val="0000EE"/>
            <w:u w:val="single"/>
          </w:rPr>
          <w:t>Ac 20.2, 23</w:t>
        </w:r>
      </w:hyperlink>
      <w:r>
        <w:t xml:space="preserve"> ; </w:t>
      </w:r>
      <w:hyperlink r:id="rId8282">
        <w:r>
          <w:rPr>
            <w:color w:val="0000EE"/>
            <w:u w:val="single"/>
          </w:rPr>
          <w:t>24.17</w:t>
        </w:r>
      </w:hyperlink>
      <w:r>
        <w:t>).</w:t>
      </w:r>
    </w:p>
    <w:p>
      <w:r/>
      <w:r>
        <w:t>Certaines personnes voyageaient avec Paul depuis Corinthe à cette époque. Le livre des Actes énumère leurs noms (</w:t>
      </w:r>
      <w:hyperlink r:id="rId1302">
        <w:r>
          <w:rPr>
            <w:color w:val="0000EE"/>
            <w:u w:val="single"/>
          </w:rPr>
          <w:t>20.4</w:t>
        </w:r>
      </w:hyperlink>
      <w:r>
        <w:t>) et quatre de ces personnes étaient avec Paul lorsqu'il écrit cette lettre : Timothée, Sosipater, Gaïus et Éraste (</w:t>
      </w:r>
      <w:hyperlink r:id="rId8940">
        <w:r>
          <w:rPr>
            <w:color w:val="0000EE"/>
            <w:u w:val="single"/>
          </w:rPr>
          <w:t>Rm 16.21, 23</w:t>
        </w:r>
      </w:hyperlink>
      <w:r>
        <w:t>). Paul s'est rendu à Jérusalem vers 57–58 après J.‑C. Ainsi, c'est à peu près à cette même époque que Paul a écrit cette lettre.</w:t>
      </w:r>
    </w:p>
    <w:p>
      <w:pPr>
        <w:pStyle w:val="Heading3"/>
      </w:pPr>
      <w:r>
        <w:t>Quel est le contexte de la lettre ?</w:t>
      </w:r>
    </w:p>
    <w:p>
      <w:r/>
      <w:r>
        <w:t>Au cours de son deuxième voyage missionnaire, Paul a rendu visite à Corinthe et y a implanté une Église. Il est resté dans la ville pendant dix-huit mois (</w:t>
      </w:r>
      <w:hyperlink r:id="rId8941">
        <w:r>
          <w:rPr>
            <w:color w:val="0000EE"/>
            <w:u w:val="single"/>
          </w:rPr>
          <w:t>Ac 18.1, 11</w:t>
        </w:r>
      </w:hyperlink>
      <w:r>
        <w:t>). Il est arrivé en même temps que Priscille et Aquilas, qui venaient récemment d'arriver depuis Rome. Après son séjour de dix-huit mois à Corinthe, Paul sera mené devant le nouveau proconsul (gouverneur) Gallion (</w:t>
      </w:r>
      <w:hyperlink r:id="rId328">
        <w:r>
          <w:rPr>
            <w:color w:val="0000EE"/>
            <w:u w:val="single"/>
          </w:rPr>
          <w:t>Ac 18.12</w:t>
        </w:r>
      </w:hyperlink>
      <w:r>
        <w:t>). Nous savons quand cela s'est produit parce que les archéologues ont trouvé une inscription concernant Gallion à Delphes, qui montre qu'il est devenu gouverneur au printemps de l'an 51 apr. J.‑C. Cela signifie que Paul a dû arriver à Corinthe en hiver de l'an 49 apr. J.‑C.</w:t>
      </w:r>
    </w:p>
    <w:p>
      <w:r/>
      <w:r>
        <w:t>Après avoir quitté Corinthe, Paul retournera à Antioche pour rendre compte de son travail. Puis il commencera son dernier voyage pour collecter de l'argent auprès des Églises non-juives (gentils) pour les pauvres à Jérusalem (</w:t>
      </w:r>
      <w:hyperlink r:id="rId8942">
        <w:r>
          <w:rPr>
            <w:color w:val="0000EE"/>
            <w:u w:val="single"/>
          </w:rPr>
          <w:t>Rm 15.25–29</w:t>
        </w:r>
      </w:hyperlink>
      <w:r>
        <w:t>). Il avait planifié cette collecte plus tôt (</w:t>
      </w:r>
      <w:hyperlink r:id="rId5882">
        <w:r>
          <w:rPr>
            <w:color w:val="0000EE"/>
            <w:u w:val="single"/>
          </w:rPr>
          <w:t>1Co 16.1</w:t>
        </w:r>
      </w:hyperlink>
      <w:r>
        <w:t xml:space="preserve"> ; </w:t>
      </w:r>
      <w:hyperlink r:id="rId8943">
        <w:r>
          <w:rPr>
            <w:color w:val="0000EE"/>
            <w:u w:val="single"/>
          </w:rPr>
          <w:t>2Co 9.5</w:t>
        </w:r>
      </w:hyperlink>
      <w:r>
        <w:t>). Paul devra retourner à Corinthe à cause de problèmes persistants là-bas (</w:t>
      </w:r>
      <w:hyperlink r:id="rId3190">
        <w:r>
          <w:rPr>
            <w:color w:val="0000EE"/>
            <w:u w:val="single"/>
          </w:rPr>
          <w:t>1Co 1.11</w:t>
        </w:r>
      </w:hyperlink>
      <w:r>
        <w:t xml:space="preserve"> ; </w:t>
      </w:r>
      <w:hyperlink r:id="rId3204">
        <w:r>
          <w:rPr>
            <w:color w:val="0000EE"/>
            <w:u w:val="single"/>
          </w:rPr>
          <w:t>7.1</w:t>
        </w:r>
      </w:hyperlink>
      <w:r>
        <w:t xml:space="preserve"> ;</w:t>
      </w:r>
      <w:hyperlink r:id="rId3204">
        <w:r>
          <w:rPr>
            <w:color w:val="0000EE"/>
            <w:u w:val="single"/>
          </w:rPr>
          <w:t xml:space="preserve"> </w:t>
        </w:r>
      </w:hyperlink>
      <w:hyperlink r:id="rId8944">
        <w:r>
          <w:rPr>
            <w:color w:val="0000EE"/>
            <w:u w:val="single"/>
          </w:rPr>
          <w:t>Ac 20.3</w:t>
        </w:r>
      </w:hyperlink>
      <w:r>
        <w:t>). C'est à ce moment-là qu'il écrira la lettre aux Romains. Les deux derniers chapitres montrent que Paul prévoyait de récupérer l'argent pour Jérusalem bientôt, puis de se rendre à Rome (</w:t>
      </w:r>
      <w:hyperlink r:id="rId8270">
        <w:r>
          <w:rPr>
            <w:color w:val="0000EE"/>
            <w:u w:val="single"/>
          </w:rPr>
          <w:t>Rm 15.23–24</w:t>
        </w:r>
      </w:hyperlink>
      <w:r>
        <w:t>).</w:t>
      </w:r>
    </w:p>
    <w:p>
      <w:r/>
      <w:r>
        <w:t>Il écrit cette lettre pour informer les Romains de sa venue, afin qu'ils puissent l'aider à poursuivre son voyage vers l'Espagne (</w:t>
      </w:r>
      <w:hyperlink r:id="rId8945">
        <w:r>
          <w:rPr>
            <w:color w:val="0000EE"/>
            <w:u w:val="single"/>
          </w:rPr>
          <w:t>Rm 15.24, 28</w:t>
        </w:r>
      </w:hyperlink>
      <w:r>
        <w:t>). Contrairement à la plupart des autres Églises, Paul n'a pas implanté les Églises de Rome ou de Colosses. Voilà pourquoi sa lettre ne mentionne aucun problème spécifique parmi les chrétiens romains.</w:t>
      </w:r>
    </w:p>
    <w:p>
      <w:pPr>
        <w:pStyle w:val="Heading3"/>
      </w:pPr>
      <w:r>
        <w:t>À qui la lettre était-elle destinée ?</w:t>
      </w:r>
    </w:p>
    <w:p>
      <w:r/>
      <w:r>
        <w:t>L'Église de Rome comptait à la fois des chrétiens juifs et non-juifs. L'Église a probablement commencé lorsque certains croyants juifs qui étaient à Jérusalem le jour de la Pentecôte sont devenus chrétiens (</w:t>
      </w:r>
      <w:hyperlink r:id="rId3539">
        <w:r>
          <w:rPr>
            <w:color w:val="0000EE"/>
            <w:u w:val="single"/>
          </w:rPr>
          <w:t>Ac 2.10</w:t>
        </w:r>
      </w:hyperlink>
      <w:r>
        <w:t>). Ils faisaient partie des trois mille personnes qui ont cru en Jésus ce jour-là. Certains de ces nouveaux croyants ont probablement porté la Bonne Nouvelle de Jésus à Rome. Certains des chrétiens que Paul salue dans sa lettre suivaient peut-être Christ depuis de nombreuses années. Ils faisaient peut-être partie des premières personnes à devenir chrétiennes. Jusqu'à l'arrivée de Paul, l'Église romaine a probablement grandi grâce au témoignage à leur foi de ses propres membres, avec l'aide occasionnelle d'enseignants qui leur rendaient visite.</w:t>
      </w:r>
    </w:p>
    <w:p>
      <w:r/>
      <w:r>
        <w:t>La Bonne Nouvelle concernant Jésus s'était clairement répandue parmi les païens, car il y avait des croyants non-juifs dans l'Église romaine. Nous pouvons le déduire à partir de ce que Paul dit tout au long de sa lettre. Paul leur écrit même comme si la plupart des membres de l'Église étaient des païens (</w:t>
      </w:r>
      <w:hyperlink r:id="rId8946">
        <w:r>
          <w:rPr>
            <w:color w:val="0000EE"/>
            <w:u w:val="single"/>
          </w:rPr>
          <w:t>Rm 1.13, 15</w:t>
        </w:r>
      </w:hyperlink>
      <w:r>
        <w:t xml:space="preserve"> ; </w:t>
      </w:r>
      <w:hyperlink r:id="rId8658">
        <w:r>
          <w:rPr>
            <w:color w:val="0000EE"/>
            <w:u w:val="single"/>
          </w:rPr>
          <w:t>15.15–16</w:t>
        </w:r>
      </w:hyperlink>
      <w:r>
        <w:t xml:space="preserve">). Beaucoup de ces membres non-juifs étaient probablement des personnes non juives « craignant Dieu » qui suivaient les pratiques religieuses juives mais ne s'étaient pas entièrement converties au judaïsme (à l'instar de Corneille dans </w:t>
      </w:r>
      <w:hyperlink r:id="rId2247">
        <w:r>
          <w:rPr>
            <w:color w:val="0000EE"/>
            <w:u w:val="single"/>
          </w:rPr>
          <w:t>Ac 10.2</w:t>
        </w:r>
      </w:hyperlink>
      <w:r>
        <w:t>).</w:t>
      </w:r>
    </w:p>
    <w:p>
      <w:pPr>
        <w:pStyle w:val="Heading3"/>
      </w:pPr>
      <w:r>
        <w:t>Pourquoi la lettre a-t-elle été écrite ?</w:t>
      </w:r>
    </w:p>
    <w:p>
      <w:r/>
      <w:r>
        <w:t>Il s'agit de la lettre la plus détaillée et la plus passionnée de Paul. Elle se lit à la fois comme un document d'enseignement précis et une lettre personnelle et sincère. Le message principal tout au long est que Juifs et Gentils ont tous deux échoué à se conformer aux barèmes de Dieu et ont besoin d'être sauvés (</w:t>
      </w:r>
      <w:hyperlink r:id="rId8947">
        <w:r>
          <w:rPr>
            <w:color w:val="0000EE"/>
            <w:u w:val="single"/>
          </w:rPr>
          <w:t>Rm 3.21–31</w:t>
        </w:r>
      </w:hyperlink>
      <w:r>
        <w:t>) ; que Dieu a révélé sa manière de rendre les gens justes devant lui à tous, et pas seulement aux Juifs parce que Dieu est le Dieu de tous les peuples, puisqu'il n'y a qu'un seul Dieu (</w:t>
      </w:r>
      <w:hyperlink r:id="rId8948">
        <w:r>
          <w:rPr>
            <w:color w:val="0000EE"/>
            <w:u w:val="single"/>
          </w:rPr>
          <w:t>3.29</w:t>
        </w:r>
      </w:hyperlink>
      <w:r>
        <w:t xml:space="preserve">) ; qu'il rend les Juifs justes avec lui-même par la mort de Jésus sur la croix et qu'il en fait de même pour les non-Juifs, tenant sa promesse à Abraham (v. </w:t>
      </w:r>
      <w:hyperlink r:id="rId6735">
        <w:r>
          <w:rPr>
            <w:color w:val="0000EE"/>
            <w:u w:val="single"/>
          </w:rPr>
          <w:t>30</w:t>
        </w:r>
      </w:hyperlink>
      <w:r>
        <w:t>) ; que les deux groupes peuvent recevoir la bénédiction de Dieu par leur foi (</w:t>
      </w:r>
      <w:hyperlink r:id="rId8635">
        <w:r>
          <w:rPr>
            <w:color w:val="0000EE"/>
            <w:u w:val="single"/>
          </w:rPr>
          <w:t>5.2</w:t>
        </w:r>
      </w:hyperlink>
      <w:r>
        <w:t xml:space="preserve">) et que cette Bonne Nouvelle est d'abord pour les Juifs, et aussi pour les Grecs (terme que Paul utilise pour désigner tous les non-Juifs ; </w:t>
      </w:r>
      <w:hyperlink r:id="rId523">
        <w:r>
          <w:rPr>
            <w:color w:val="0000EE"/>
            <w:u w:val="single"/>
          </w:rPr>
          <w:t>1.16</w:t>
        </w:r>
      </w:hyperlink>
      <w:r>
        <w:t>).</w:t>
      </w:r>
    </w:p>
    <w:p>
      <w:pPr>
        <w:pStyle w:val="Heading3"/>
      </w:pPr>
      <w:r>
        <w:t>Que nous enseigne la lettre sur Dieu ?</w:t>
      </w:r>
    </w:p>
    <w:p>
      <w:r/>
      <w:r>
        <w:t>Une fois qu'une personne croit en Jésus, elle est justifiée devant Dieu (</w:t>
      </w:r>
      <w:hyperlink r:id="rId8949">
        <w:r>
          <w:rPr>
            <w:color w:val="0000EE"/>
            <w:u w:val="single"/>
          </w:rPr>
          <w:t>Rm 1–3</w:t>
        </w:r>
      </w:hyperlink>
      <w:r>
        <w:t xml:space="preserve">). Cela signifie que Dieu l'accepte comme étant en règle avec lui. Cette nouvelle relation avec Dieu offre aux croyants une nouvelle vie à travers Jésus et les intègre au peuple de Dieu (chap. </w:t>
      </w:r>
      <w:hyperlink r:id="rId8950">
        <w:r>
          <w:rPr>
            <w:color w:val="0000EE"/>
            <w:u w:val="single"/>
          </w:rPr>
          <w:t>4–8</w:t>
        </w:r>
      </w:hyperlink>
      <w:r>
        <w:t>). Ces chapitres constituent la partie la plus complexe de la lettre. Ils expliquent des vérités profondes sur la bonté infinie de Dieu, son amour suprême et ses plans mystérieux pour les hommes.</w:t>
      </w:r>
    </w:p>
    <w:p>
      <w:r/>
      <w:r>
        <w:t>Après cela, Paul parle de la manière dont les non-Juifs deviennent membres de la famille de Dieu. Il explique que même si beaucoup de Juifs n'ont pas cru en Jésus, certains sont restés fidèles. Il dit qu'un jour, tout le véritable peuple de Dieu (à la fois Juifs et Gentils) sera uni en une seule Église sur terre (</w:t>
      </w:r>
      <w:hyperlink r:id="rId8951">
        <w:r>
          <w:rPr>
            <w:color w:val="0000EE"/>
            <w:u w:val="single"/>
          </w:rPr>
          <w:t>Rm 9–11</w:t>
        </w:r>
      </w:hyperlink>
      <w:r>
        <w:t>).</w:t>
      </w:r>
    </w:p>
    <w:p>
      <w:r/>
      <w:r>
        <w:t xml:space="preserve">Dans les sections suivantes, Paul explique comment ces enseignements devraient changer la façon dont les chrétiens vivent et travaillent ensemble (chap. </w:t>
      </w:r>
      <w:hyperlink r:id="rId8952">
        <w:r>
          <w:rPr>
            <w:color w:val="0000EE"/>
            <w:u w:val="single"/>
          </w:rPr>
          <w:t>12–15</w:t>
        </w:r>
      </w:hyperlink>
      <w:r>
        <w:t xml:space="preserve">). La lettre se termine par les salutations personnelles de Paul à divers chrétiens à Rome (chap. </w:t>
      </w:r>
      <w:hyperlink r:id="rId8267">
        <w:r>
          <w:rPr>
            <w:color w:val="0000EE"/>
            <w:u w:val="single"/>
          </w:rPr>
          <w:t>16</w:t>
        </w:r>
      </w:hyperlink>
      <w:r>
        <w:t>).</w:t>
      </w:r>
    </w:p>
    <w:p>
      <w:pPr>
        <w:pStyle w:val="Heading3"/>
      </w:pPr>
      <w:r>
        <w:t>Quel est le message de la lettre ?</w:t>
      </w:r>
    </w:p>
    <w:p>
      <w:pPr>
        <w:pStyle w:val="Heading4"/>
      </w:pPr>
      <w:r>
        <w:t>Vue d'ensemble</w:t>
      </w:r>
    </w:p>
    <w:p>
      <w:r/>
      <w:hyperlink r:id="rId4424">
        <w:r>
          <w:rPr>
            <w:color w:val="0000EE"/>
            <w:u w:val="single"/>
          </w:rPr>
          <w:t xml:space="preserve">Romains 1.17 </w:t>
        </w:r>
      </w:hyperlink>
      <w:r>
        <w:t>énonce le message principal des huit premiers chapitres : « Le juste vivra par la foi. » Paul cite ces paroles d'</w:t>
      </w:r>
      <w:hyperlink r:id="rId3738">
        <w:r>
          <w:rPr>
            <w:color w:val="0000EE"/>
            <w:u w:val="single"/>
          </w:rPr>
          <w:t>Habakuk 2.4</w:t>
        </w:r>
      </w:hyperlink>
      <w:r>
        <w:t xml:space="preserve"> pour montrer que le fait d'être rendu juste avec Dieu par la foi a toujours fait partie du plan de Dieu. C'est cela qui a été enseigné par les prophètes de l'Ancien Testament. Ce qui était nouveau dans l'enseignement de Paul est que les païens pouvaient devenir membres de la famille de Dieu aux côtés des Juifs en croyant en Jésus (</w:t>
      </w:r>
      <w:hyperlink r:id="rId8953">
        <w:r>
          <w:rPr>
            <w:color w:val="0000EE"/>
            <w:u w:val="single"/>
          </w:rPr>
          <w:t>Ep 3.5–6</w:t>
        </w:r>
      </w:hyperlink>
      <w:r>
        <w:t>). Certains chrétiens juifs disaient que les païens devaient d'abord se convertir au judaïsme pour être acceptés par Dieu (</w:t>
      </w:r>
      <w:hyperlink r:id="rId7776">
        <w:r>
          <w:rPr>
            <w:color w:val="0000EE"/>
            <w:u w:val="single"/>
          </w:rPr>
          <w:t>Ac 15.1</w:t>
        </w:r>
      </w:hyperlink>
      <w:r>
        <w:t>). Mais Paul a expliqué dans Éphésiens que le plan de Dieu était d'accepter les deux groupes par leur foi en Jésus (</w:t>
      </w:r>
      <w:hyperlink r:id="rId8954">
        <w:r>
          <w:rPr>
            <w:color w:val="0000EE"/>
            <w:u w:val="single"/>
          </w:rPr>
          <w:t>Ep 3.6</w:t>
        </w:r>
      </w:hyperlink>
      <w:r>
        <w:t>).</w:t>
      </w:r>
    </w:p>
    <w:p>
      <w:r/>
      <w:r>
        <w:t>La première partie de la lettre explique comment les humains sont réconciliés avec Dieu par la foi. Les trois premiers chapitres montrent que tant les Juifs que les Gentils ont péché, et que l'œuvre de Jésus pour sauver les humains s'applique aux deux groupes (</w:t>
      </w:r>
      <w:hyperlink r:id="rId8955">
        <w:r>
          <w:rPr>
            <w:color w:val="0000EE"/>
            <w:u w:val="single"/>
          </w:rPr>
          <w:t>Rm 3.21–22</w:t>
        </w:r>
      </w:hyperlink>
      <w:r>
        <w:t xml:space="preserve">). Le chapitre </w:t>
      </w:r>
      <w:hyperlink r:id="rId6828">
        <w:r>
          <w:rPr>
            <w:color w:val="0000EE"/>
            <w:u w:val="single"/>
          </w:rPr>
          <w:t>4</w:t>
        </w:r>
      </w:hyperlink>
      <w:r>
        <w:t xml:space="preserve"> montre qu'Abraham est le père spirituel de tous ceux qui croient en Dieu, tant les Juifs que les non-Juifs.</w:t>
      </w:r>
    </w:p>
    <w:p>
      <w:r/>
      <w:r>
        <w:t xml:space="preserve">Ensuite, dans les chapitres </w:t>
      </w:r>
      <w:hyperlink r:id="rId8956">
        <w:r>
          <w:rPr>
            <w:color w:val="0000EE"/>
            <w:u w:val="single"/>
          </w:rPr>
          <w:t>5–8</w:t>
        </w:r>
      </w:hyperlink>
      <w:r>
        <w:t>, Paul explique comment les personnes qui ont été rendues justes devant Dieu devraient vivre par la foi. Quiconque, qu'il soit juif ou païen, accepte ce que Dieu a fait par la mort de Jésus sur la croix sera libéré de :</w:t>
      </w:r>
    </w:p>
    <w:p>
      <w:pPr>
        <w:pStyle w:val="ListBullet"/>
        <w:spacing w:line="240" w:lineRule="auto"/>
        <w:ind w:left="720"/>
      </w:pPr>
      <w:r/>
      <w:r>
        <w:t xml:space="preserve">La colère de Dieu (chap. </w:t>
      </w:r>
      <w:hyperlink r:id="rId3742">
        <w:r>
          <w:rPr>
            <w:color w:val="0000EE"/>
            <w:u w:val="single"/>
          </w:rPr>
          <w:t>5</w:t>
        </w:r>
      </w:hyperlink>
      <w:r>
        <w:t>)</w:t>
      </w:r>
    </w:p>
    <w:p>
      <w:pPr>
        <w:pStyle w:val="ListBullet"/>
        <w:spacing w:line="240" w:lineRule="auto"/>
        <w:ind w:left="720"/>
      </w:pPr>
      <w:r/>
      <w:r>
        <w:t xml:space="preserve">Le pouvoir du péché (chap. </w:t>
      </w:r>
      <w:hyperlink r:id="rId8957">
        <w:r>
          <w:rPr>
            <w:color w:val="0000EE"/>
            <w:u w:val="single"/>
          </w:rPr>
          <w:t>6</w:t>
        </w:r>
      </w:hyperlink>
      <w:r>
        <w:t>)</w:t>
      </w:r>
    </w:p>
    <w:p>
      <w:pPr>
        <w:pStyle w:val="ListBullet"/>
        <w:spacing w:line="240" w:lineRule="auto"/>
        <w:ind w:left="720"/>
      </w:pPr>
      <w:r/>
      <w:r>
        <w:t xml:space="preserve">Le pouvoir contraignant de la loi (chap. </w:t>
      </w:r>
      <w:hyperlink r:id="rId8155">
        <w:r>
          <w:rPr>
            <w:color w:val="0000EE"/>
            <w:u w:val="single"/>
          </w:rPr>
          <w:t>7</w:t>
        </w:r>
      </w:hyperlink>
      <w:r>
        <w:t>)</w:t>
      </w:r>
    </w:p>
    <w:p>
      <w:pPr>
        <w:pStyle w:val="ListBullet"/>
        <w:spacing w:line="240" w:lineRule="auto"/>
        <w:ind w:left="720"/>
      </w:pPr>
      <w:r/>
      <w:r>
        <w:t xml:space="preserve">Le pouvoir de la mort (chap. </w:t>
      </w:r>
      <w:hyperlink r:id="rId2317">
        <w:r>
          <w:rPr>
            <w:color w:val="0000EE"/>
            <w:u w:val="single"/>
          </w:rPr>
          <w:t>8</w:t>
        </w:r>
      </w:hyperlink>
      <w:r>
        <w:t>)</w:t>
      </w:r>
    </w:p>
    <w:p>
      <w:r/>
      <w:r>
        <w:t xml:space="preserve">Dans </w:t>
      </w:r>
      <w:hyperlink r:id="rId8951">
        <w:r>
          <w:rPr>
            <w:color w:val="0000EE"/>
            <w:u w:val="single"/>
          </w:rPr>
          <w:t>Romains 9–11</w:t>
        </w:r>
      </w:hyperlink>
      <w:r>
        <w:t>, Paul aborde la question de la nation d'Israël « selon la chair » (les Juifs physiques) et l'objectif futur, ultime, de Dieu. Il conclut que Dieu n'a pas rejeté son peuple issu de la lignée d'Abraham (</w:t>
      </w:r>
      <w:hyperlink r:id="rId8958">
        <w:r>
          <w:rPr>
            <w:color w:val="0000EE"/>
            <w:u w:val="single"/>
          </w:rPr>
          <w:t>11.1–2</w:t>
        </w:r>
      </w:hyperlink>
      <w:r>
        <w:t xml:space="preserve">). Utilisant l'image d'un arbre, Paul explique que Dieu peut les ramener dans sa famille s'ils acceptent Jésus comme leur sauveur promis (v. </w:t>
      </w:r>
      <w:hyperlink r:id="rId8959">
        <w:r>
          <w:rPr>
            <w:color w:val="0000EE"/>
            <w:u w:val="single"/>
          </w:rPr>
          <w:t>23</w:t>
        </w:r>
      </w:hyperlink>
      <w:r>
        <w:t>).</w:t>
      </w:r>
    </w:p>
    <w:p>
      <w:r/>
      <w:r>
        <w:t>Dans les derniers chapitres (</w:t>
      </w:r>
      <w:hyperlink r:id="rId8960">
        <w:r>
          <w:rPr>
            <w:color w:val="0000EE"/>
            <w:u w:val="single"/>
          </w:rPr>
          <w:t>12–16</w:t>
        </w:r>
      </w:hyperlink>
      <w:r>
        <w:t xml:space="preserve">), Paul explique comment les enseignements des onze premiers chapitres devraient influencer la vie quotidienne des chrétiens. Il termine en rappelant aux lecteurs l'importance du fait que les Gentils soient venus à Dieu grâce à son ministère (chap. </w:t>
      </w:r>
      <w:hyperlink r:id="rId8961">
        <w:r>
          <w:rPr>
            <w:color w:val="0000EE"/>
            <w:u w:val="single"/>
          </w:rPr>
          <w:t>15</w:t>
        </w:r>
      </w:hyperlink>
      <w:r>
        <w:t>).</w:t>
      </w:r>
    </w:p>
    <w:p>
      <w:pPr>
        <w:pStyle w:val="Heading4"/>
      </w:pPr>
      <w:r>
        <w:t>En détail</w:t>
      </w:r>
    </w:p>
    <w:p>
      <w:r/>
      <w:r>
        <w:t>Dans le premier chapitre, Paul soutient que les païens se sont rebellés contre Dieu. Dieu a révélé sa colère contre leurs mauvaises voies (</w:t>
      </w:r>
      <w:hyperlink r:id="rId8455">
        <w:r>
          <w:rPr>
            <w:color w:val="0000EE"/>
            <w:u w:val="single"/>
          </w:rPr>
          <w:t>Rm 1.18</w:t>
        </w:r>
      </w:hyperlink>
      <w:r>
        <w:t xml:space="preserve">). Il leur avait pourtant donné suffisamment de preuves de son existence à travers le monde naturel mais ils ont tout de même choisi d'adorer de nombreux dieux et idoles à la place, ce qui a conduit à un comportement immoral de leur part (v. </w:t>
      </w:r>
      <w:hyperlink r:id="rId8962">
        <w:r>
          <w:rPr>
            <w:color w:val="0000EE"/>
            <w:u w:val="single"/>
          </w:rPr>
          <w:t>20–23</w:t>
        </w:r>
      </w:hyperlink>
      <w:r>
        <w:t xml:space="preserve">). À trois reprises, Paul dit que « </w:t>
      </w:r>
      <w:r>
        <w:t>Dieu les a livrés [aux] convoitises de leurs cœurs</w:t>
      </w:r>
      <w:r>
        <w:t xml:space="preserve"> » (v. </w:t>
      </w:r>
      <w:hyperlink r:id="rId3102">
        <w:r>
          <w:rPr>
            <w:color w:val="0000EE"/>
            <w:u w:val="single"/>
          </w:rPr>
          <w:t>24</w:t>
        </w:r>
      </w:hyperlink>
      <w:r>
        <w:t>). Cela incluait :</w:t>
      </w:r>
    </w:p>
    <w:p>
      <w:pPr>
        <w:pStyle w:val="ListBullet"/>
        <w:spacing w:line="240" w:lineRule="auto"/>
        <w:ind w:left="720"/>
      </w:pPr>
      <w:r/>
      <w:r>
        <w:t xml:space="preserve">« Des passions infâmes » (v. </w:t>
      </w:r>
      <w:hyperlink r:id="rId8963">
        <w:r>
          <w:rPr>
            <w:color w:val="0000EE"/>
            <w:u w:val="single"/>
          </w:rPr>
          <w:t>26</w:t>
        </w:r>
      </w:hyperlink>
      <w:r>
        <w:t>),</w:t>
      </w:r>
    </w:p>
    <w:p>
      <w:pPr>
        <w:pStyle w:val="ListBullet"/>
        <w:spacing w:line="240" w:lineRule="auto"/>
        <w:ind w:left="720"/>
      </w:pPr>
      <w:r/>
      <w:r>
        <w:t xml:space="preserve">Une « intelligence déréglée » (v. </w:t>
      </w:r>
      <w:hyperlink r:id="rId8964">
        <w:r>
          <w:rPr>
            <w:color w:val="0000EE"/>
            <w:u w:val="single"/>
          </w:rPr>
          <w:t>28</w:t>
        </w:r>
      </w:hyperlink>
      <w:r>
        <w:t>, NFC), et</w:t>
      </w:r>
    </w:p>
    <w:p>
      <w:pPr>
        <w:pStyle w:val="ListBullet"/>
        <w:spacing w:line="240" w:lineRule="auto"/>
        <w:ind w:left="720"/>
      </w:pPr>
      <w:r/>
      <w:r>
        <w:t xml:space="preserve">Le fait de « </w:t>
      </w:r>
      <w:r>
        <w:t>commettre des choses indignes</w:t>
      </w:r>
      <w:r>
        <w:t xml:space="preserve"> » (v. </w:t>
      </w:r>
      <w:hyperlink r:id="rId8964">
        <w:r>
          <w:rPr>
            <w:color w:val="0000EE"/>
            <w:u w:val="single"/>
          </w:rPr>
          <w:t>28</w:t>
        </w:r>
      </w:hyperlink>
      <w:r>
        <w:t>).</w:t>
      </w:r>
    </w:p>
    <w:p>
      <w:r/>
      <w:r>
        <w:t>Cela signifie que le fait que Dieu a permis à leurs péchés de continuer est en réalité un acte de jugement divin (</w:t>
      </w:r>
      <w:hyperlink r:id="rId8454">
        <w:r>
          <w:rPr>
            <w:color w:val="0000EE"/>
            <w:u w:val="single"/>
          </w:rPr>
          <w:t>3.25</w:t>
        </w:r>
      </w:hyperlink>
      <w:r>
        <w:t>). Il n'a pas puni leur manque de compréhension à son sujet (</w:t>
      </w:r>
      <w:hyperlink r:id="rId3774">
        <w:r>
          <w:rPr>
            <w:color w:val="0000EE"/>
            <w:u w:val="single"/>
          </w:rPr>
          <w:t>Ac 17.30</w:t>
        </w:r>
      </w:hyperlink>
      <w:r>
        <w:t>). Il ne les a pas empêchés d'adorer de faux dieux (</w:t>
      </w:r>
      <w:hyperlink r:id="rId6509">
        <w:r>
          <w:rPr>
            <w:color w:val="0000EE"/>
            <w:u w:val="single"/>
          </w:rPr>
          <w:t>7.42</w:t>
        </w:r>
      </w:hyperlink>
      <w:r>
        <w:t>).</w:t>
      </w:r>
    </w:p>
    <w:p>
      <w:r/>
      <w:r>
        <w:t>Le peuple juif n'avait pas non plus de quoi se vanter. Ils avaient reçu la loi de Dieu par Moïse, qui révélait la volonté de Dieu pour leur nation, mais ils ne l'ont pas obéie (</w:t>
      </w:r>
      <w:hyperlink r:id="rId7995">
        <w:r>
          <w:rPr>
            <w:color w:val="0000EE"/>
            <w:u w:val="single"/>
          </w:rPr>
          <w:t>Rm 2.17–29</w:t>
        </w:r>
      </w:hyperlink>
      <w:r>
        <w:t xml:space="preserve">). Même les païens, qui n'ont pas la loi, font parfois naturellement ce que la loi exige. Ils démontrent ainsi que la loi est « </w:t>
      </w:r>
      <w:r>
        <w:t>est écrite dans leurs cœurs, leur conscience en rendant témoignage, et leurs pensées s’accusant ou se défendant tour à tour</w:t>
      </w:r>
      <w:r>
        <w:t xml:space="preserve"> » (v. </w:t>
      </w:r>
      <w:hyperlink r:id="rId3069">
        <w:r>
          <w:rPr>
            <w:color w:val="0000EE"/>
            <w:u w:val="single"/>
          </w:rPr>
          <w:t>14–15</w:t>
        </w:r>
      </w:hyperlink>
      <w:r>
        <w:t xml:space="preserve">). Pour un Juif, obéir à la loi ne suffisait pas. Ils devaient obéir parce qu'ils le voulaient vraiment, pas seulement parce que c'était requis (v. </w:t>
      </w:r>
      <w:hyperlink r:id="rId3877">
        <w:r>
          <w:rPr>
            <w:color w:val="0000EE"/>
            <w:u w:val="single"/>
          </w:rPr>
          <w:t>29</w:t>
        </w:r>
      </w:hyperlink>
      <w:r>
        <w:t>).</w:t>
      </w:r>
    </w:p>
    <w:p>
      <w:r/>
      <w:r>
        <w:t>Certains Gentils respectaient Dieu et suivaient les principaux enseignements de ses lois. Ils sont devenus des exemples montrant combien il était grave que les Juifs n'obéissent pas (</w:t>
      </w:r>
      <w:hyperlink r:id="rId8965">
        <w:r>
          <w:rPr>
            <w:color w:val="0000EE"/>
            <w:u w:val="single"/>
          </w:rPr>
          <w:t>Rm 2.14, 27</w:t>
        </w:r>
      </w:hyperlink>
      <w:r>
        <w:t>). Même si le peuple choisi par Dieu n'a pas été fidèle, cela n'a pas empêché Dieu de tenir sa promesse à Abraham (</w:t>
      </w:r>
      <w:hyperlink r:id="rId8966">
        <w:r>
          <w:rPr>
            <w:color w:val="0000EE"/>
            <w:u w:val="single"/>
          </w:rPr>
          <w:t>3.3</w:t>
        </w:r>
      </w:hyperlink>
      <w:r>
        <w:t xml:space="preserve">). Les Juifs avaient de nombreux avantages sur les non-Juifs, mais cela ne les a pas aidés car les deux groupes s'étaient livrés au péché (v. </w:t>
      </w:r>
      <w:hyperlink r:id="rId8967">
        <w:r>
          <w:rPr>
            <w:color w:val="0000EE"/>
            <w:u w:val="single"/>
          </w:rPr>
          <w:t>1, 9</w:t>
        </w:r>
      </w:hyperlink>
      <w:r>
        <w:t xml:space="preserve">). La situation est désormais la suivante : « </w:t>
      </w:r>
      <w:r>
        <w:t>tous ont péché et sont privés de la gloire de Dieu</w:t>
      </w:r>
      <w:r>
        <w:t xml:space="preserve"> » (v. </w:t>
      </w:r>
      <w:hyperlink r:id="rId8576">
        <w:r>
          <w:rPr>
            <w:color w:val="0000EE"/>
            <w:u w:val="single"/>
          </w:rPr>
          <w:t>23</w:t>
        </w:r>
      </w:hyperlink>
      <w:r>
        <w:t>).</w:t>
      </w:r>
    </w:p>
    <w:p>
      <w:r/>
      <w:r>
        <w:t>Ainsi, Dieu a envoyé Jésus pour racheter le monde de ses péchés (</w:t>
      </w:r>
      <w:hyperlink r:id="rId8947">
        <w:r>
          <w:rPr>
            <w:color w:val="0000EE"/>
            <w:u w:val="single"/>
          </w:rPr>
          <w:t>Rm 3.21–31</w:t>
        </w:r>
      </w:hyperlink>
      <w:r>
        <w:t xml:space="preserve">). Dieu a révélé sa justice en dehors de la loi par la « foi en Jésus-Christ » (v. </w:t>
      </w:r>
      <w:hyperlink r:id="rId7825">
        <w:r>
          <w:rPr>
            <w:color w:val="0000EE"/>
            <w:u w:val="single"/>
          </w:rPr>
          <w:t>22</w:t>
        </w:r>
      </w:hyperlink>
      <w:r>
        <w:t>). Les théologiens et traducteurs de la Bible ont deux manières différentes de comprendre cette expression :</w:t>
      </w:r>
    </w:p>
    <w:p>
      <w:pPr>
        <w:pStyle w:val="ListNumber"/>
        <w:spacing w:line="240" w:lineRule="auto"/>
        <w:ind w:left="720"/>
      </w:pPr>
      <w:r/>
      <w:r>
        <w:t>« Foi en Jésus-Christ » (également appelée la vision du génitif objectif) : Cette perspective comprend l'expression comme signifiant notre foi, Christ étant l'objet de cette foi. Cela signifie que nous sommes sauvés en croyant en Jésus et en ce qu'il a fait pour nous. La plupart des traductions anglaises de la Bible adoptent cette compréhension.</w:t>
      </w:r>
    </w:p>
    <w:p>
      <w:pPr>
        <w:pStyle w:val="ListNumber"/>
        <w:spacing w:line="240" w:lineRule="auto"/>
        <w:ind w:left="720"/>
      </w:pPr>
      <w:r/>
      <w:r>
        <w:t>« Foi de Jésus-Christ » (également appelée la vision du génitif subjectif) : Cette perspective considère que la phrase comme se réfère à la fidélité propre de Jésus envers Dieu. Cela signifie que Jésus a été fidèle à Dieu en suivant le plan de ce dernier et en accomplissant sa mission, même jusqu'à la mort sur la croix. Selon cette vision, nous sommes sauvés grâce à l'obéissance fidèle de Christ envers Dieu.</w:t>
      </w:r>
    </w:p>
    <w:p>
      <w:r/>
      <w:r>
        <w:t>De nombreux experts pensent aujourd'hui que les deux significations pourraient être voulues, montrant comment la fidélité de Jésus et notre foi collaborent dans le plan de salut de Dieu. Les deux points de vue s'accordent à dire que la « foi de Christ » ou la « foi en Christ » est accessible à tous, tant aux Juifs qu'aux non-Juifs, sur la base de leur confiance en Dieu.</w:t>
      </w:r>
    </w:p>
    <w:p>
      <w:r/>
      <w:r>
        <w:t>La loi est « saint[e], juste et bon[ne] » (</w:t>
      </w:r>
      <w:hyperlink r:id="rId8968">
        <w:r>
          <w:rPr>
            <w:color w:val="0000EE"/>
            <w:u w:val="single"/>
          </w:rPr>
          <w:t>7.12</w:t>
        </w:r>
      </w:hyperlink>
      <w:r>
        <w:t>). Cependant, cette justice n'était pas accessible uniquement par l'obéissance aux commandements de la loi. Cela ferait de Dieu uniquement le Dieu des Juifs, puisque Dieu a donné la loi spécifiquement au peuple juif (</w:t>
      </w:r>
      <w:hyperlink r:id="rId8948">
        <w:r>
          <w:rPr>
            <w:color w:val="0000EE"/>
            <w:u w:val="single"/>
          </w:rPr>
          <w:t>3.29</w:t>
        </w:r>
      </w:hyperlink>
      <w:r>
        <w:t>).</w:t>
      </w:r>
    </w:p>
    <w:p>
      <w:r/>
      <w:r>
        <w:t xml:space="preserve">Mais Dieu est également le Dieu des païens. Il rend tout le monde juste avec lui-même par Jésus-Christ. Selon le texte grec de </w:t>
      </w:r>
      <w:hyperlink r:id="rId7825">
        <w:r>
          <w:rPr>
            <w:color w:val="0000EE"/>
            <w:u w:val="single"/>
          </w:rPr>
          <w:t>Romains 3.22</w:t>
        </w:r>
      </w:hyperlink>
      <w:r>
        <w:t xml:space="preserve">, cette justice vient à « tous ceux qui sont fidèles » ou « persévèrent dans la foi » (dépendant de comment on choisit de traduire le mot « foi/fidélité ». Ainsi, la justice de Dieu vient par la foi en (ou la fidélité de) Jésus-Christ (v. </w:t>
      </w:r>
      <w:hyperlink r:id="rId8969">
        <w:r>
          <w:rPr>
            <w:color w:val="0000EE"/>
            <w:u w:val="single"/>
          </w:rPr>
          <w:t>3.22</w:t>
        </w:r>
      </w:hyperlink>
      <w:r>
        <w:t>). Elle fournit la base du salut pour tous ceux qui croient (</w:t>
      </w:r>
      <w:hyperlink r:id="rId4426">
        <w:r>
          <w:rPr>
            <w:color w:val="0000EE"/>
            <w:u w:val="single"/>
          </w:rPr>
          <w:t>5.9</w:t>
        </w:r>
      </w:hyperlink>
      <w:r>
        <w:t>).</w:t>
      </w:r>
    </w:p>
    <w:p>
      <w:r/>
      <w:r>
        <w:t>Plusieurs fois dans le</w:t>
      </w:r>
      <w:hyperlink r:id="rId6828">
        <w:r>
          <w:rPr>
            <w:color w:val="0000EE"/>
            <w:u w:val="single"/>
          </w:rPr>
          <w:t xml:space="preserve"> chapitre 4</w:t>
        </w:r>
      </w:hyperlink>
      <w:r>
        <w:t>, Paul souligne qu'Abraham était le Père des Juifs et des Gentils (</w:t>
      </w:r>
      <w:hyperlink r:id="rId8970">
        <w:r>
          <w:rPr>
            <w:color w:val="0000EE"/>
            <w:u w:val="single"/>
          </w:rPr>
          <w:t>Rm 4.11–12</w:t>
        </w:r>
      </w:hyperlink>
      <w:r>
        <w:t xml:space="preserve">, </w:t>
      </w:r>
      <w:hyperlink r:id="rId8971">
        <w:r>
          <w:rPr>
            <w:color w:val="0000EE"/>
            <w:u w:val="single"/>
          </w:rPr>
          <w:t>16–18</w:t>
        </w:r>
      </w:hyperlink>
      <w:r>
        <w:t xml:space="preserve">). Dieu a promis à Abraham qu'à travers ses descendants, toutes les nations (Gentils) seraient bénies. Abraham a été justifié par la foi, et cette promesse s'étend à tous ceux qui partagent la même foi (tant les Juifs que les Gentils). La fidélité de Jésus-Christ a rendu cela possible, et ce don est pour tous ceux qui croient et restent fidèles (v. </w:t>
      </w:r>
      <w:hyperlink r:id="rId8972">
        <w:r>
          <w:rPr>
            <w:color w:val="0000EE"/>
            <w:u w:val="single"/>
          </w:rPr>
          <w:t>11</w:t>
        </w:r>
      </w:hyperlink>
      <w:r>
        <w:t>).</w:t>
      </w:r>
    </w:p>
    <w:p>
      <w:r/>
      <w:r>
        <w:t>Paul a expliqué une vérité importante concernant le plan de Dieu. Il a enseigné que lorsque les gens font confiance à Jésus-Christ, ils sont déclarés justes devant Dieu. Cela s'appelle la justification. Les chrétiens ont compris la justification de trois manières principales :</w:t>
      </w:r>
    </w:p>
    <w:p>
      <w:pPr>
        <w:pStyle w:val="ListBullet"/>
        <w:spacing w:line="240" w:lineRule="auto"/>
        <w:ind w:left="720"/>
      </w:pPr>
      <w:r/>
      <w:r>
        <w:t>Certains comprennent la justification comme le fait que Dieu déclare les croyants justes par la foi en Christ. Selon ce point de vue, la justification est une déclaration légale. La justice de Christ est imputée (créditée) aux croyants.</w:t>
      </w:r>
    </w:p>
    <w:p>
      <w:pPr>
        <w:pStyle w:val="ListBullet"/>
        <w:spacing w:line="240" w:lineRule="auto"/>
        <w:ind w:left="720"/>
      </w:pPr>
      <w:r/>
      <w:r>
        <w:t>Certains voient dans la justification le fait que Dieu rend les gens véritablement justes par sa grâce, ce qui transforme leur vie. Selon cette vision, la justification inclut à la fois la déclaration de Dieu et une transformation intérieure par la grâce et les bonnes œuvres. La justice est infusée (versée dans) les croyants, notamment par le baptême et les autres sacrements (moyens de grâce), qui permettent ce processus de transformation.</w:t>
      </w:r>
    </w:p>
    <w:p>
      <w:pPr>
        <w:pStyle w:val="ListBullet"/>
        <w:spacing w:line="240" w:lineRule="auto"/>
        <w:ind w:left="720"/>
      </w:pPr>
      <w:r/>
      <w:r>
        <w:t>Certaines personnes comprennent la justification comme faisant partie du processus plus large du salut, par lequel les croyants sont unis à Dieu de manière profonde et transformatrice. Dans cette perspective, la justification n'est pas seulement une déclaration légale ou une transformation interne, mais une pleine participation à la vie divine de Dieu (appelée théosis). Les croyants sont progressivement transformés à l'image de Dieu, vivant une union profonde et continue avec lui.</w:t>
      </w:r>
    </w:p>
    <w:p>
      <w:r/>
      <w:r>
        <w:t>Tous s'accordent à dire qu'à travers Jésus, les croyants sont sauvés du jugement de Dieu contre le péché et trouvent la paix avec Dieu (</w:t>
      </w:r>
      <w:hyperlink r:id="rId8973">
        <w:r>
          <w:rPr>
            <w:color w:val="0000EE"/>
            <w:u w:val="single"/>
          </w:rPr>
          <w:t>Rm 5.1, 9</w:t>
        </w:r>
      </w:hyperlink>
      <w:r>
        <w:t>).</w:t>
      </w:r>
    </w:p>
    <w:p>
      <w:r/>
      <w:r>
        <w:t xml:space="preserve">Le péché est entré dans le monde par le premier péché, et la mort est venue à tous les hommes (v. </w:t>
      </w:r>
      <w:hyperlink r:id="rId4874">
        <w:r>
          <w:rPr>
            <w:color w:val="0000EE"/>
            <w:u w:val="single"/>
          </w:rPr>
          <w:t>12</w:t>
        </w:r>
      </w:hyperlink>
      <w:r>
        <w:t xml:space="preserve">) mais la justification est venue par le second Adam, Jésus. Il offre le salut à ceux qui sont fidèles et reçoivent l'abondance de sa grâce (v. </w:t>
      </w:r>
      <w:hyperlink r:id="rId8974">
        <w:r>
          <w:rPr>
            <w:color w:val="0000EE"/>
            <w:u w:val="single"/>
          </w:rPr>
          <w:t>16–18</w:t>
        </w:r>
      </w:hyperlink>
      <w:r>
        <w:t>).</w:t>
      </w:r>
    </w:p>
    <w:p>
      <w:r/>
      <w:r>
        <w:t xml:space="preserve">La loi n'était pas destinée à sauver le Juif. « </w:t>
      </w:r>
      <w:r>
        <w:t>Elle a été donnée ensuite à cause des transgressions</w:t>
      </w:r>
      <w:r>
        <w:t xml:space="preserve"> » (</w:t>
      </w:r>
      <w:hyperlink r:id="rId917">
        <w:r>
          <w:rPr>
            <w:color w:val="0000EE"/>
            <w:u w:val="single"/>
          </w:rPr>
          <w:t>Ga 3.19</w:t>
        </w:r>
      </w:hyperlink>
      <w:r>
        <w:t>). Elle servait à rendre toutes sortes de personnes plus conscientes du péché. « L</w:t>
      </w:r>
      <w:r>
        <w:t>a loi est intervenue pour que l’offense abond[</w:t>
      </w:r>
      <w:r>
        <w:t>e] » (</w:t>
      </w:r>
      <w:hyperlink r:id="rId8975">
        <w:r>
          <w:rPr>
            <w:color w:val="0000EE"/>
            <w:u w:val="single"/>
          </w:rPr>
          <w:t>Rm 5.20</w:t>
        </w:r>
      </w:hyperlink>
      <w:r>
        <w:t>). Le péché a utilisé la loi pour tromper et détruire ceux qui ont essayé d'obéir à ce premier (</w:t>
      </w:r>
      <w:hyperlink r:id="rId8976">
        <w:r>
          <w:rPr>
            <w:color w:val="0000EE"/>
            <w:u w:val="single"/>
          </w:rPr>
          <w:t>7.11</w:t>
        </w:r>
      </w:hyperlink>
      <w:r>
        <w:t>).</w:t>
      </w:r>
    </w:p>
    <w:p>
      <w:r/>
      <w:r>
        <w:t>Paul savait ce que c'était que de convoiter (vouloir des choses qui appartiennent à d'autres) avant de connaître la loi. À l'âge de douze ou treize ans, il est devenu responsable de suivre la loi et ses exigences. Le commandement qui disait « Tu ne convoiteras pas » montrait à Paul combien la loi exigeait de lui, et cette compréhension lui a causé une grande détresse (</w:t>
      </w:r>
      <w:hyperlink r:id="rId8976">
        <w:r>
          <w:rPr>
            <w:color w:val="0000EE"/>
            <w:u w:val="single"/>
          </w:rPr>
          <w:t>7.11</w:t>
        </w:r>
      </w:hyperlink>
      <w:r>
        <w:t>). Une fois que les gens savaient ce que la loi exigeait, ils étaient pleinement responsables de lui obéir. Le péché devenait encore plus grave car cela signifiait désormais enfreindre la loi de Dieu que les gens connaissaient.</w:t>
      </w:r>
    </w:p>
    <w:p>
      <w:r/>
      <w:r>
        <w:t xml:space="preserve">Cette situation a conduit les gens à avoir besoin de la grâce de Dieu plus encore. Comme le dit la Bible, « </w:t>
      </w:r>
      <w:r>
        <w:t>là où le péché a abondé, la grâce a surabondé</w:t>
      </w:r>
      <w:r>
        <w:t xml:space="preserve"> » (</w:t>
      </w:r>
      <w:hyperlink r:id="rId8975">
        <w:r>
          <w:rPr>
            <w:color w:val="0000EE"/>
            <w:u w:val="single"/>
          </w:rPr>
          <w:t>Rm 5.20</w:t>
        </w:r>
      </w:hyperlink>
      <w:r>
        <w:t>). Certains ont soutenu qu'ils devraient continuer à pécher « afin que la grâce abonde ». Mais cette idée démontre une incompréhension complète de ce que signifie être libéré de la colère de Dieu, libéré de la loi, libéré du péché et libéré de la mort (</w:t>
      </w:r>
      <w:hyperlink r:id="rId8977">
        <w:r>
          <w:rPr>
            <w:color w:val="0000EE"/>
            <w:u w:val="single"/>
          </w:rPr>
          <w:t>6.1</w:t>
        </w:r>
      </w:hyperlink>
      <w:r>
        <w:t>).</w:t>
      </w:r>
    </w:p>
    <w:p>
      <w:r/>
      <w:r>
        <w:t xml:space="preserve">Paul explique que les personnes qui ont été rendues justes avec Dieu et sauvées du péché par Jésus sont mortes au pouvoir du péché. Le péché ne peut plus les contrôler comme un maître contrôle un esclave (v. </w:t>
      </w:r>
      <w:hyperlink r:id="rId8978">
        <w:r>
          <w:rPr>
            <w:color w:val="0000EE"/>
            <w:u w:val="single"/>
          </w:rPr>
          <w:t>2, 6</w:t>
        </w:r>
      </w:hyperlink>
      <w:r>
        <w:t xml:space="preserve">). Le point principal est que le péché et Satan ne peuvent pas régner sur les personnes qui croient en Jésus (v. </w:t>
      </w:r>
      <w:hyperlink r:id="rId8979">
        <w:r>
          <w:rPr>
            <w:color w:val="0000EE"/>
            <w:u w:val="single"/>
          </w:rPr>
          <w:t>9, 14</w:t>
        </w:r>
      </w:hyperlink>
      <w:r>
        <w:t xml:space="preserve">). Le péché ne peut pas être leur maître (v. </w:t>
      </w:r>
      <w:hyperlink r:id="rId3103">
        <w:r>
          <w:rPr>
            <w:color w:val="0000EE"/>
            <w:u w:val="single"/>
          </w:rPr>
          <w:t>12</w:t>
        </w:r>
      </w:hyperlink>
      <w:r>
        <w:t xml:space="preserve">). Le péché ne peut pas les soumettre à son esclavage (v. </w:t>
      </w:r>
      <w:hyperlink r:id="rId8980">
        <w:r>
          <w:rPr>
            <w:color w:val="0000EE"/>
            <w:u w:val="single"/>
          </w:rPr>
          <w:t>17, 20</w:t>
        </w:r>
      </w:hyperlink>
      <w:r>
        <w:t>).</w:t>
      </w:r>
    </w:p>
    <w:p>
      <w:r/>
      <w:r>
        <w:t>Les personnes justes vis-à-vis de Dieu sont libérées de trois choses :</w:t>
      </w:r>
    </w:p>
    <w:p>
      <w:pPr>
        <w:pStyle w:val="ListBullet"/>
        <w:spacing w:line="240" w:lineRule="auto"/>
        <w:ind w:left="720"/>
      </w:pPr>
      <w:r/>
      <w:r>
        <w:t>Ils sont libres du jugement de Dieu contre le péché.</w:t>
      </w:r>
    </w:p>
    <w:p>
      <w:pPr>
        <w:pStyle w:val="ListBullet"/>
        <w:spacing w:line="240" w:lineRule="auto"/>
        <w:ind w:left="720"/>
      </w:pPr>
      <w:r/>
      <w:r>
        <w:t>Ils sont libres des exigences de la loi.</w:t>
      </w:r>
    </w:p>
    <w:p>
      <w:pPr>
        <w:pStyle w:val="ListBullet"/>
        <w:spacing w:line="240" w:lineRule="auto"/>
        <w:ind w:left="720"/>
      </w:pPr>
      <w:r/>
      <w:r>
        <w:t>Ils sont libres de l'emprise du péché.</w:t>
      </w:r>
    </w:p>
    <w:p>
      <w:r/>
      <w:r>
        <w:t>Par l'obéissance fidèle de Jésus, Dieu a libéré ces personnes de la mort. Dieu promet de donner une vie nouvelle à leurs corps physiques par son Saint-Esprit (</w:t>
      </w:r>
      <w:hyperlink r:id="rId8981">
        <w:r>
          <w:rPr>
            <w:color w:val="0000EE"/>
            <w:u w:val="single"/>
          </w:rPr>
          <w:t>Rm 8.2, 11</w:t>
        </w:r>
      </w:hyperlink>
      <w:r>
        <w:t xml:space="preserve">). Si les gens vivent selon leurs désirs égoïstes (« selon la chair »), ils feront face à la mort. Mais s'ils laissent le Saint-Esprit guider leur vie, ils connaîtront pas la véritable liberté et la vie (v. </w:t>
      </w:r>
      <w:hyperlink r:id="rId8982">
        <w:r>
          <w:rPr>
            <w:color w:val="0000EE"/>
            <w:u w:val="single"/>
          </w:rPr>
          <w:t>6–13</w:t>
        </w:r>
      </w:hyperlink>
      <w:r>
        <w:t xml:space="preserve">). Même la mort ne pourra pas les séparer de l'amour de Dieu en Jésus-Christ (v. </w:t>
      </w:r>
      <w:hyperlink r:id="rId3494">
        <w:r>
          <w:rPr>
            <w:color w:val="0000EE"/>
            <w:u w:val="single"/>
          </w:rPr>
          <w:t>38–39</w:t>
        </w:r>
      </w:hyperlink>
      <w:r>
        <w:t xml:space="preserve">). Le Saint-Esprit les guide et les aide lorsqu'ils sont faibles. Tant le Saint-Esprit que Jésus intercèdent pour eux (v. </w:t>
      </w:r>
      <w:hyperlink r:id="rId8983">
        <w:r>
          <w:rPr>
            <w:color w:val="0000EE"/>
            <w:u w:val="single"/>
          </w:rPr>
          <w:t>14, 26, 34</w:t>
        </w:r>
      </w:hyperlink>
      <w:r>
        <w:t>).</w:t>
      </w:r>
    </w:p>
    <w:p>
      <w:r/>
      <w:r>
        <w:t xml:space="preserve">Paul n'aborde pas la manière d'appliquer ces principes théologiques jusqu'à </w:t>
      </w:r>
      <w:hyperlink r:id="rId8984">
        <w:r>
          <w:rPr>
            <w:color w:val="0000EE"/>
            <w:u w:val="single"/>
          </w:rPr>
          <w:t>Romains 12</w:t>
        </w:r>
      </w:hyperlink>
      <w:r>
        <w:t xml:space="preserve">. Dans les chapitres </w:t>
      </w:r>
      <w:hyperlink r:id="rId8951">
        <w:r>
          <w:rPr>
            <w:color w:val="0000EE"/>
            <w:u w:val="single"/>
          </w:rPr>
          <w:t>9–11</w:t>
        </w:r>
      </w:hyperlink>
      <w:r>
        <w:t xml:space="preserve">, il explique comment et pourquoi les Juifs ont rejeté Jésus, le Messie (l'élu de Dieu). Comment le peuple juif a-t-il pu rejeter Jésus alors que Dieu avait travaillé si étroitement avec eux pendant si longtemps ? Ils avaient une relation privilégiée avec Dieu, différente de celle de tous les autres peuples sur terre. Paul explore cette question épineuse dans les chapitres </w:t>
      </w:r>
      <w:hyperlink r:id="rId8951">
        <w:r>
          <w:rPr>
            <w:color w:val="0000EE"/>
            <w:u w:val="single"/>
          </w:rPr>
          <w:t>9–11</w:t>
        </w:r>
      </w:hyperlink>
      <w:r>
        <w:t>.</w:t>
      </w:r>
    </w:p>
    <w:p>
      <w:r/>
      <w:r>
        <w:t>Paul donne quatre raisons pour lesquelles les Juifs ont rejeté Jésus, le Messie :</w:t>
      </w:r>
    </w:p>
    <w:p>
      <w:pPr>
        <w:pStyle w:val="ListNumber"/>
        <w:spacing w:line="240" w:lineRule="auto"/>
        <w:ind w:left="720"/>
      </w:pPr>
      <w:r/>
      <w:r>
        <w:t>Dieu a choisi Israël intentionnellement, sachant pleinement ce qui se passerait à l'avenir. Ce sont les descendants physiques d'Israël qui ont bénéficié de toutes les relations spéciales avec Dieu qu'un peuple élu pouvait expérimenter :</w:t>
      </w:r>
    </w:p>
    <w:p>
      <w:pPr>
        <w:pStyle w:val="ListBullet"/>
        <w:spacing w:line="240" w:lineRule="auto"/>
        <w:ind w:left="1440"/>
      </w:pPr>
      <w:r/>
      <w:r>
        <w:t>Ils étaient enfants de Dieu.</w:t>
      </w:r>
    </w:p>
    <w:p>
      <w:pPr>
        <w:pStyle w:val="ListBullet"/>
        <w:spacing w:line="240" w:lineRule="auto"/>
        <w:ind w:left="1440"/>
      </w:pPr>
      <w:r/>
      <w:r>
        <w:t>Ils ont fait l'expérience de la gloire de Dieu.</w:t>
      </w:r>
    </w:p>
    <w:p>
      <w:pPr>
        <w:pStyle w:val="ListBullet"/>
        <w:spacing w:line="240" w:lineRule="auto"/>
        <w:ind w:left="1440"/>
      </w:pPr>
      <w:r/>
      <w:r>
        <w:t>Ils ont reçu les alliances (accords spéciaux) de Dieu.</w:t>
      </w:r>
    </w:p>
    <w:p>
      <w:pPr>
        <w:pStyle w:val="ListBullet"/>
        <w:spacing w:line="240" w:lineRule="auto"/>
        <w:ind w:left="1440"/>
      </w:pPr>
      <w:r/>
      <w:r>
        <w:t>Ils ont reçu la loi de Dieu.</w:t>
      </w:r>
    </w:p>
    <w:p>
      <w:pPr>
        <w:pStyle w:val="ListBullet"/>
        <w:spacing w:line="240" w:lineRule="auto"/>
        <w:ind w:left="1440"/>
      </w:pPr>
      <w:r/>
      <w:r>
        <w:t>Ils ont appris à adorer Dieu.</w:t>
      </w:r>
    </w:p>
    <w:p>
      <w:pPr>
        <w:pStyle w:val="ListBullet"/>
        <w:spacing w:line="240" w:lineRule="auto"/>
        <w:ind w:left="1440"/>
      </w:pPr>
      <w:r/>
      <w:r>
        <w:t>Ils ont reçu les promesses de Dieu.</w:t>
      </w:r>
    </w:p>
    <w:p>
      <w:pPr>
        <w:pStyle w:val="ListBullet"/>
        <w:spacing w:line="240" w:lineRule="auto"/>
        <w:ind w:left="1440"/>
      </w:pPr>
      <w:r/>
      <w:r>
        <w:t>Ils sont issus des patriarches : Abraham, Isaac et Jacob.</w:t>
      </w:r>
    </w:p>
    <w:p>
      <w:pPr>
        <w:pStyle w:val="ListBullet"/>
        <w:spacing w:line="240" w:lineRule="auto"/>
        <w:ind w:left="1440"/>
      </w:pPr>
      <w:r/>
      <w:r>
        <w:t>Ils étaient les personnes pour lesquelles Jésus est venu (</w:t>
      </w:r>
      <w:hyperlink r:id="rId8985">
        <w:r>
          <w:rPr>
            <w:color w:val="0000EE"/>
            <w:u w:val="single"/>
          </w:rPr>
          <w:t>Rm 9.1–5</w:t>
        </w:r>
      </w:hyperlink>
      <w:r>
        <w:t>).</w:t>
      </w:r>
    </w:p>
    <w:p>
      <w:r/>
      <w:r>
        <w:t>Dieu les avait choisis, tout comme il avait choisi Jacob plutôt qu'Ésaü avant même leur naissance, de la même manière que lorsque Dieu a rendu Pharaon obstiné (endurci son cœur), ou comme un potier façonne l'argile en tout type de pot qu'il veut créer (</w:t>
      </w:r>
      <w:hyperlink r:id="rId8986">
        <w:r>
          <w:rPr>
            <w:color w:val="0000EE"/>
            <w:u w:val="single"/>
          </w:rPr>
          <w:t>9.6–26</w:t>
        </w:r>
      </w:hyperlink>
      <w:r>
        <w:t>).</w:t>
      </w:r>
    </w:p>
    <w:p>
      <w:r/>
      <w:r>
        <w:t>Dieu ne les a pas choisis en fonction de leurs actions. Il les a choisis parce qu'il avait un but spécial pour eux.</w:t>
      </w:r>
    </w:p>
    <w:p>
      <w:r/>
      <w:r>
        <w:t>Cela ne signifie pas que Dieu était injuste. Il devait montrer sa puissance à travers le peuple juif afin que tout le monde sur terre le connaisse. Dieu a choisi Israël pour servir ses desseins, tout comme il avait choisi Pharaon, Jacob et Moïse. Ces personnes ont été sauvées parce qu'elles avaient foi en Dieu (</w:t>
      </w:r>
      <w:hyperlink r:id="rId8987">
        <w:r>
          <w:rPr>
            <w:color w:val="0000EE"/>
            <w:u w:val="single"/>
          </w:rPr>
          <w:t>Hé 11</w:t>
        </w:r>
      </w:hyperlink>
      <w:r>
        <w:t>).</w:t>
      </w:r>
    </w:p>
    <w:p>
      <w:pPr>
        <w:pStyle w:val="ListNumber"/>
        <w:spacing w:line="240" w:lineRule="auto"/>
        <w:ind w:left="720"/>
      </w:pPr>
      <w:r/>
      <w:r>
        <w:t>Israël a rejeté Jésus, le Messie, et son Évangile. Paul soutient que cela suit un schéma qui apparaît de façon répétée à travers l'histoire (</w:t>
      </w:r>
      <w:hyperlink r:id="rId8988">
        <w:r>
          <w:rPr>
            <w:color w:val="0000EE"/>
            <w:u w:val="single"/>
          </w:rPr>
          <w:t>Romains 9.30–10.21</w:t>
        </w:r>
      </w:hyperlink>
      <w:r>
        <w:t xml:space="preserve">). Le peuple juif a essayé d'être en règle avec Dieu en suivant des règles au lieu de placer leur foi en lui. À cause de cela, ils n'ont pas reconnu la justice qui vient par la foi. Ils ont fondé leur justice sur la loi et ainsi ils « </w:t>
      </w:r>
      <w:r>
        <w:t>se sont heurtés contre</w:t>
      </w:r>
      <w:r>
        <w:t xml:space="preserve"> » leur propre Messie (</w:t>
      </w:r>
      <w:hyperlink r:id="rId8989">
        <w:r>
          <w:rPr>
            <w:color w:val="0000EE"/>
            <w:u w:val="single"/>
          </w:rPr>
          <w:t>9.30–33</w:t>
        </w:r>
      </w:hyperlink>
      <w:r>
        <w:t>). Ils ont rejeté Jésus comme Messie et ont mal compris comment les humains sont rendus justes devant Dieu.</w:t>
      </w:r>
    </w:p>
    <w:p>
      <w:pPr>
        <w:pStyle w:val="ListNumber"/>
        <w:spacing w:line="240" w:lineRule="auto"/>
        <w:ind w:left="720"/>
      </w:pPr>
      <w:r/>
      <w:r>
        <w:t>Il dit que certains Juifs (un petit groupe appelé un « reste ») ont déjà cru à la Bonne Nouvelle concernant Jésus (</w:t>
      </w:r>
      <w:hyperlink r:id="rId8990">
        <w:r>
          <w:rPr>
            <w:color w:val="0000EE"/>
            <w:u w:val="single"/>
          </w:rPr>
          <w:t>Rm 11.1–16, 26</w:t>
        </w:r>
      </w:hyperlink>
      <w:r>
        <w:t>). Cela démontre qu'un jour, beaucoup plus de Juifs croiront aussi. Même si Paul dit que Dieu a rejeté Israël pour l'instant, ce rejet n'est ni permanent ni définitif.</w:t>
      </w:r>
    </w:p>
    <w:p>
      <w:r/>
      <w:r>
        <w:t>Paul utilise l'image d'un olivier pour expliquer cela. Il dit que Dieu a détaché Israël de l'arbre de la promesse d'Abraham pour un temps. Cependant, Dieu n'a pas complètement rejeté son peuple. Le reste qui a cru a obtenu ce qu'il cherchait, tandis que les autres ont été rendus obstinés pour un moment. Dieu a agi ainsi pour qu'ils deviennent jaloux en voyant des non-Juifs être accueillis dans le royaume de Dieu. Cela signifie que la séparation d'Israël avec Dieu n'a pas à durer éternellement.</w:t>
      </w:r>
    </w:p>
    <w:p>
      <w:pPr>
        <w:pStyle w:val="ListNumber"/>
        <w:spacing w:line="240" w:lineRule="auto"/>
        <w:ind w:left="720"/>
      </w:pPr>
      <w:r/>
      <w:r>
        <w:t>Paul dit que Dieu a utilisé le rejet de Jésus par Israël pour produire de bonnes choses. Lorsque le peuple juif a rejeté Jésus, cela a ouvert la voie aux non-Juifs (Gentils) pour devenir membres de la famille de Dieu. Paul dit que si de nombreux Juifs acceptent plus tard Jésus, ce serait aussi incroyable que de voir des morts revenir à la vie ! Il explique cette idée dans le reste du chapitre (</w:t>
      </w:r>
      <w:hyperlink r:id="rId8991">
        <w:r>
          <w:rPr>
            <w:color w:val="0000EE"/>
            <w:u w:val="single"/>
          </w:rPr>
          <w:t>Rm 11.17–36</w:t>
        </w:r>
      </w:hyperlink>
      <w:r>
        <w:t>).</w:t>
      </w:r>
    </w:p>
    <w:p>
      <w:r/>
      <w:r>
        <w:t xml:space="preserve">Paul avertit les Gentils de ne pas faire preuve d'orgueil à ce sujet. Le peuple juif a trébuché pour que les Gentils puissent être inclus dans le plan de Dieu (v. </w:t>
      </w:r>
      <w:hyperlink r:id="rId8992">
        <w:r>
          <w:rPr>
            <w:color w:val="0000EE"/>
            <w:u w:val="single"/>
          </w:rPr>
          <w:t>17–19</w:t>
        </w:r>
      </w:hyperlink>
      <w:r>
        <w:t xml:space="preserve">), certes. Mais Israël n'a pas « trébuché » au point de tomber irrémédiablement (v. </w:t>
      </w:r>
      <w:hyperlink r:id="rId8993">
        <w:r>
          <w:rPr>
            <w:color w:val="0000EE"/>
            <w:u w:val="single"/>
          </w:rPr>
          <w:t>11</w:t>
        </w:r>
      </w:hyperlink>
      <w:r>
        <w:t>). Leur « chute » a été une bénédiction pour les Gentils et faisait partie du plan de Dieu. Paul utilise à nouveau l'image d'un olivier. Il dit que Dieu a coupé le peuple juif de l'arbre parce qu'ils ne croyaient pas. Mais Dieu peut les regreffer sur l'arbre s'ils commencent à croire en Jésus.</w:t>
      </w:r>
    </w:p>
    <w:p>
      <w:r/>
      <w:r>
        <w:t xml:space="preserve">Dans </w:t>
      </w:r>
      <w:hyperlink r:id="rId8960">
        <w:r>
          <w:rPr>
            <w:color w:val="0000EE"/>
            <w:u w:val="single"/>
          </w:rPr>
          <w:t>Romains 12–16</w:t>
        </w:r>
      </w:hyperlink>
      <w:r>
        <w:t xml:space="preserve">, Paul explique comment les chrétiens devraient vivre en se basant sur tout ce qu'il a enseigné auparavant. Paul commence en disant : « </w:t>
      </w:r>
      <w:r>
        <w:t>Je vous exhorte donc</w:t>
      </w:r>
      <w:r>
        <w:t xml:space="preserve"> » (</w:t>
      </w:r>
      <w:hyperlink r:id="rId8994">
        <w:r>
          <w:rPr>
            <w:color w:val="0000EE"/>
            <w:u w:val="single"/>
          </w:rPr>
          <w:t>12.1</w:t>
        </w:r>
      </w:hyperlink>
      <w:r>
        <w:t>). Il énumère ensuite de nombreuses vertus et responsabilités chrétiennes. Paul donne souvent ce genre de conseils dans ses lettres. Il veut aider les nouveaux croyants à comprendre comment vivre en tant que chrétiens, qu'ils viennent d'un milieu juif ou non juif.</w:t>
      </w:r>
    </w:p>
    <w:p>
      <w:r/>
      <w:hyperlink r:id="rId8995">
        <w:r>
          <w:rPr>
            <w:color w:val="0000EE"/>
            <w:u w:val="single"/>
          </w:rPr>
          <w:t>Romains 13</w:t>
        </w:r>
      </w:hyperlink>
      <w:r>
        <w:t xml:space="preserve"> se concentre sur la manière dont les chrétiens à Rome devraient se comporter envers les fonctionnaires du gouvernement. Paul enseigne que Dieu établit le gouvernement civil, et les chrétiens devraient reconnaître que le gouvernement civil a le droit d'exister même si ceux qui sont au pouvoir sont corrompus. Ces fonctionnaires servent Dieu en punissant ceux qui font le mal (</w:t>
      </w:r>
      <w:hyperlink r:id="rId8764">
        <w:r>
          <w:rPr>
            <w:color w:val="0000EE"/>
            <w:u w:val="single"/>
          </w:rPr>
          <w:t>13.4</w:t>
        </w:r>
      </w:hyperlink>
      <w:r>
        <w:t>).</w:t>
      </w:r>
    </w:p>
    <w:p>
      <w:r/>
      <w:r>
        <w:t xml:space="preserve">Dans le chapitre </w:t>
      </w:r>
      <w:hyperlink r:id="rId8996">
        <w:r>
          <w:rPr>
            <w:color w:val="0000EE"/>
            <w:u w:val="single"/>
          </w:rPr>
          <w:t>14</w:t>
        </w:r>
      </w:hyperlink>
      <w:r>
        <w:t>, Paul aborde la manière dont les chrétiens devraient se traiter lorsqu'ils sont en désaccord sur certaines pratiques, comme la consommation de certains aliments. Il enseigne que :</w:t>
      </w:r>
    </w:p>
    <w:p>
      <w:pPr>
        <w:pStyle w:val="ListBullet"/>
        <w:spacing w:line="240" w:lineRule="auto"/>
        <w:ind w:left="720"/>
      </w:pPr>
      <w:r/>
      <w:r>
        <w:t>Les chrétiens qui se sentent libres de faire ces choses (en raison de leur liberté en Christ) ne devraient pas inciter les autres à agir contre leur propre conscience.</w:t>
      </w:r>
    </w:p>
    <w:p>
      <w:pPr>
        <w:pStyle w:val="ListBullet"/>
        <w:spacing w:line="240" w:lineRule="auto"/>
        <w:ind w:left="720"/>
      </w:pPr>
      <w:r/>
      <w:r>
        <w:t>Les chrétiens qui évitent ces choses ne devraient pas juger ceux qui les pratiquent.</w:t>
      </w:r>
    </w:p>
    <w:p>
      <w:pPr>
        <w:pStyle w:val="ListBullet"/>
        <w:spacing w:line="240" w:lineRule="auto"/>
        <w:ind w:left="720"/>
      </w:pPr>
      <w:r/>
      <w:r>
        <w:t>Tout le monde devrait montrer de l'amour et du respect les uns envers les autres, ce qui prouve qu'ils sont de véritables disciples de Jésus.</w:t>
      </w:r>
    </w:p>
    <w:p>
      <w:r/>
      <w:r>
        <w:t xml:space="preserve">Dans le chapitre </w:t>
      </w:r>
      <w:hyperlink r:id="rId8961">
        <w:r>
          <w:rPr>
            <w:color w:val="0000EE"/>
            <w:u w:val="single"/>
          </w:rPr>
          <w:t>15</w:t>
        </w:r>
      </w:hyperlink>
      <w:r>
        <w:t>, Paul partage ses projets de voyage et explique son rôle particulier. Il se considère comme un ministre sacerdotal au service des Gentils. Il prévoit d'apporter l'argent collecté auprès des Églises des Gentils à Jérusalem comme une offrande spéciale à Dieu, montrant ainsi comment les Gentils sont devenus croyants.</w:t>
      </w:r>
    </w:p>
    <w:p>
      <w:r/>
      <w:r>
        <w:t xml:space="preserve">Le chapitre </w:t>
      </w:r>
      <w:hyperlink r:id="rId8267">
        <w:r>
          <w:rPr>
            <w:color w:val="0000EE"/>
            <w:u w:val="single"/>
          </w:rPr>
          <w:t>16</w:t>
        </w:r>
      </w:hyperlink>
      <w:r>
        <w:t xml:space="preserve"> se termine de manière typique par des salutations et des recommandations de différentes personnes. Il mentionne vingt sept personnes nommément, montrant sa profonde connexion avec la communauté de l'Église romaine.</w:t>
      </w:r>
    </w:p>
    <w:p>
      <w:r/>
      <w:r>
        <w:rPr>
          <w:i/>
        </w:rPr>
        <w:t>Voir aussi</w:t>
      </w:r>
      <w:r>
        <w:t xml:space="preserve"> </w:t>
      </w:r>
      <w:r>
        <w:t>Paul, L’apôtre</w:t>
      </w:r>
      <w:r>
        <w:t>.</w:t>
      </w:r>
      <w:r/>
      <w:r/>
    </w:p>
    <w:p>
      <w:r/>
    </w:p>
    <w:p>
      <w:pPr>
        <w:pStyle w:val="Heading2"/>
      </w:pPr>
      <w:r>
        <w:t>Lettres écrites (antiques)</w:t>
      </w:r>
      <w:r/>
    </w:p>
    <w:p>
      <w:r/>
      <w:r>
        <w:t>Message écrit envoyé d'une personne à une autre. Dans les temps anciens, les lettres étaient particulièrement importantes lorsque les rois et les fonctionnaires devaient envoyer des ordres ou des rapports.</w:t>
      </w:r>
    </w:p>
    <w:p>
      <w:pPr>
        <w:pStyle w:val="Heading3"/>
      </w:pPr>
      <w:r>
        <w:t>Exemples de lettres anciennes</w:t>
      </w:r>
    </w:p>
    <w:p>
      <w:r/>
      <w:r>
        <w:t>Il existe des lettres d'Arad-Nana, le médecin royal, adressées à son maître Osnappar. Ces lettres traitent du mal de dos du roi et du problème oculaire d'un jeune prince. Les célèbres lettres d'Amarna sont des rapports et des appels de princes en Palestine, préoccupés par la faiblesse de la politique étrangère du pharaon Akhnaton dans la région. Une lettre intéressante de la veuve de Toutankhamon à un roi Hittite concerne un arrangement matrimonial.</w:t>
      </w:r>
    </w:p>
    <w:p>
      <w:pPr>
        <w:pStyle w:val="Heading3"/>
      </w:pPr>
      <w:r>
        <w:t>Les Lettres dans l'Ancien Testament</w:t>
      </w:r>
    </w:p>
    <w:p>
      <w:r/>
      <w:r>
        <w:t>Quelques exemples de lettres apparaissent dans l'Ancien Testament :</w:t>
      </w:r>
    </w:p>
    <w:p>
      <w:pPr>
        <w:pStyle w:val="ListBullet"/>
        <w:spacing w:line="240" w:lineRule="auto"/>
        <w:ind w:left="720"/>
      </w:pPr>
      <w:r/>
      <w:r>
        <w:t>La lettre mortelle de David à Joab concernant Urie (</w:t>
      </w:r>
      <w:hyperlink r:id="rId8997">
        <w:r>
          <w:rPr>
            <w:color w:val="0000EE"/>
            <w:u w:val="single"/>
          </w:rPr>
          <w:t>2S 11.14–15</w:t>
        </w:r>
      </w:hyperlink>
      <w:r>
        <w:t>).</w:t>
      </w:r>
    </w:p>
    <w:p>
      <w:pPr>
        <w:pStyle w:val="ListBullet"/>
        <w:spacing w:line="240" w:lineRule="auto"/>
        <w:ind w:left="720"/>
      </w:pPr>
      <w:r/>
      <w:r>
        <w:t>La lettre tout aussi maléfique de Jézabel sous la signature falsifiée d'Achab aux anciens de Jizreel (</w:t>
      </w:r>
      <w:hyperlink r:id="rId8998">
        <w:r>
          <w:rPr>
            <w:color w:val="0000EE"/>
            <w:u w:val="single"/>
          </w:rPr>
          <w:t>1R 21.8–9</w:t>
        </w:r>
      </w:hyperlink>
      <w:r>
        <w:t>).</w:t>
      </w:r>
    </w:p>
    <w:p>
      <w:pPr>
        <w:pStyle w:val="ListBullet"/>
        <w:spacing w:line="240" w:lineRule="auto"/>
        <w:ind w:left="720"/>
      </w:pPr>
      <w:r/>
      <w:r>
        <w:t>La lettre du roi syrien au roi d'Israël concernant la lèpre de Naaman (</w:t>
      </w:r>
      <w:hyperlink r:id="rId8999">
        <w:r>
          <w:rPr>
            <w:color w:val="0000EE"/>
            <w:u w:val="single"/>
          </w:rPr>
          <w:t>2R 5.5–7</w:t>
        </w:r>
      </w:hyperlink>
      <w:r>
        <w:t>).</w:t>
      </w:r>
    </w:p>
    <w:p>
      <w:r/>
      <w:r>
        <w:t>Tous ceux-ci sont rapportés dans le récit de l'Ancien Testament sans les salutations habituelles ni les formes de politesse.</w:t>
      </w:r>
    </w:p>
    <w:p>
      <w:r/>
      <w:r>
        <w:t xml:space="preserve">Nous pouvons lire ce qui semble être des lettres complètes dans Esdras, en </w:t>
      </w:r>
      <w:hyperlink r:id="rId9000">
        <w:r>
          <w:rPr>
            <w:color w:val="0000EE"/>
            <w:u w:val="single"/>
          </w:rPr>
          <w:t>4.11–23</w:t>
        </w:r>
      </w:hyperlink>
      <w:r>
        <w:t xml:space="preserve"> ; </w:t>
      </w:r>
      <w:hyperlink r:id="rId9001">
        <w:r>
          <w:rPr>
            <w:color w:val="0000EE"/>
            <w:u w:val="single"/>
          </w:rPr>
          <w:t>5.7–17</w:t>
        </w:r>
      </w:hyperlink>
      <w:r>
        <w:t xml:space="preserve"> ; </w:t>
      </w:r>
      <w:hyperlink r:id="rId9002">
        <w:r>
          <w:rPr>
            <w:color w:val="0000EE"/>
            <w:u w:val="single"/>
          </w:rPr>
          <w:t>7.11–26</w:t>
        </w:r>
      </w:hyperlink>
      <w:r>
        <w:t>. Nous trouvons également des lettres complètes dans Néhémie chapitres</w:t>
      </w:r>
      <w:hyperlink r:id="rId9003">
        <w:r>
          <w:rPr>
            <w:color w:val="0000EE"/>
            <w:u w:val="single"/>
          </w:rPr>
          <w:t xml:space="preserve"> 6.5–7</w:t>
        </w:r>
      </w:hyperlink>
      <w:r>
        <w:t>, et le livre de Jérémie. Cependant, beaucoup d'autres lettres dans la Bible sont des versions abrégées qui ne nous donnent que les points principaux (</w:t>
      </w:r>
      <w:hyperlink r:id="rId9004">
        <w:r>
          <w:rPr>
            <w:color w:val="0000EE"/>
            <w:u w:val="single"/>
          </w:rPr>
          <w:t>Né 2.8</w:t>
        </w:r>
      </w:hyperlink>
      <w:r>
        <w:t xml:space="preserve"> ; </w:t>
      </w:r>
      <w:hyperlink r:id="rId9005">
        <w:r>
          <w:rPr>
            <w:color w:val="0000EE"/>
            <w:u w:val="single"/>
          </w:rPr>
          <w:t>Est 9.20–31</w:t>
        </w:r>
      </w:hyperlink>
      <w:r>
        <w:t>).</w:t>
      </w:r>
    </w:p>
    <w:p>
      <w:pPr>
        <w:pStyle w:val="Heading3"/>
      </w:pPr>
      <w:r>
        <w:t>Autres lettres anciennes</w:t>
      </w:r>
    </w:p>
    <w:p>
      <w:r/>
      <w:r>
        <w:t>De nombreuses lettres officielles écrites sur du papier égyptien ancien (appelé papyrus) ont été retrouvées. Ces lettres sont similaires à celles mentionnées dans l'Ancien Testament. L'empereur Claude a écrit une lettre en 42 apr. J.‑C. aux habitants d'Alexandrie au sujet des problèmes avec la communauté juive là-bas. Vers 100 apr. J.‑C., un gouverneur égyptien a écrit une lettre à tous les habitants de sa région concernant le recensement de la population. Cela nous aide à comprendre l'époque de la naissance de Jésus, car un recensement similaire a poussé Marie et Joseph à voyager jusqu'à Bethléem.</w:t>
      </w:r>
    </w:p>
    <w:p>
      <w:r/>
      <w:r>
        <w:t>Les lettres de Cicéron nous parlent d'une période importante de l'histoire de Rome. Cicéron décrit comment Rome est passée d'un gouvernement dirigé par un groupe de dirigeants (appelés sénateurs) à un gouvernement dirigé par des empereurs. Pline était un gouverneur romain dans une région appelée Bithynie vers l'an 100 apr. J.‑C. Ses lettres nous aident à comprendre comment les Romains vivaient à cette époque. Elles nous parlent également des premiers conflits entre le gouvernement romain et l'Église chrétienne naissante.</w:t>
      </w:r>
    </w:p>
    <w:p>
      <w:r/>
      <w:r>
        <w:t>Les lettres anciennes nous aident à comprendre la vie quotidienne et les occupations ordinaires des gens à l'époque gréco-romaine et durant les premiers siècles chrétiens. Cela est similaire aux informations que nous apprenons des documents du Nouveau Testament. Elles fournissent un contexte, une illustration, un commentaire, et parfois des preuves historiques directes.</w:t>
      </w:r>
    </w:p>
    <w:p>
      <w:r/>
      <w:r>
        <w:t>Un ensemble important de lettres provient de Bar Kokhba, qui a dirigé le peuple juif dans une lutte contre Rome de 132 à 135 apr. J.‑C. Ces lettres ont été découvertes cachées dans une grotte près de la mer Morte. Dans une lettre, il ordonne : « Quoi que dise Élisée, faites-le. » Une autre ordonne l'arrestation de Tahnun Ben Ismaël et la confiscation de son blé. Une autre appelle à la punition de certains qui avaient réparé leurs maisons en défi d'une politique de la terre brûlée.</w:t>
      </w:r>
    </w:p>
    <w:p>
      <w:pPr>
        <w:pStyle w:val="Heading3"/>
      </w:pPr>
      <w:r>
        <w:t>Lettres écrites à l'époque de Paul</w:t>
      </w:r>
    </w:p>
    <w:p>
      <w:r/>
      <w:r>
        <w:t>Paul suivait avec précision la manière d'écrire les lettres à son époque. Ses lettres comportaient généralement les parties suivantes, dans ce même ordre :</w:t>
      </w:r>
    </w:p>
    <w:p>
      <w:pPr>
        <w:pStyle w:val="ListNumber"/>
        <w:spacing w:line="240" w:lineRule="auto"/>
        <w:ind w:left="720"/>
      </w:pPr>
      <w:r/>
      <w:r>
        <w:t>Salutations en début de lettre</w:t>
      </w:r>
    </w:p>
    <w:p>
      <w:pPr>
        <w:pStyle w:val="ListNumber"/>
        <w:spacing w:line="240" w:lineRule="auto"/>
        <w:ind w:left="720"/>
      </w:pPr>
      <w:r/>
      <w:r>
        <w:t>Remerciements et prière pour les personnes à qui il écrivait</w:t>
      </w:r>
    </w:p>
    <w:p>
      <w:pPr>
        <w:pStyle w:val="ListNumber"/>
        <w:spacing w:line="240" w:lineRule="auto"/>
        <w:ind w:left="720"/>
      </w:pPr>
      <w:r/>
      <w:r>
        <w:t>Message principal (corps de la lettre)</w:t>
      </w:r>
    </w:p>
    <w:p>
      <w:pPr>
        <w:pStyle w:val="ListNumber"/>
        <w:spacing w:line="240" w:lineRule="auto"/>
        <w:ind w:left="720"/>
      </w:pPr>
      <w:r/>
      <w:r>
        <w:t>Salutations aux amis</w:t>
      </w:r>
    </w:p>
    <w:p>
      <w:pPr>
        <w:pStyle w:val="ListNumber"/>
        <w:spacing w:line="240" w:lineRule="auto"/>
        <w:ind w:left="720"/>
      </w:pPr>
      <w:r/>
      <w:r>
        <w:t>Prière finale à la conclusion</w:t>
      </w:r>
    </w:p>
    <w:p>
      <w:r/>
      <w:r>
        <w:t>Voici une lettre datant d'environ 150 apr. J.‑C. qui illustre ce même style d'écriture :</w:t>
      </w:r>
    </w:p>
    <w:p>
      <w:r/>
      <w:r>
        <w:t>« Ammonous à son cher père, salutations. Quand j'ai reçu ta lettre et constaté que, par la volonté des dieux, tu étais préservé, j'ai ressenti une grande joie. Et comme, en même temps, une occasion s'est présentée ici, je t'écris cette lettre, désireux de te rendre mes hommages. Occupe-toi le plus rapidement possible des affaires urgentes. Tout ce que le petit demande sera fait. Si le porteur de cette lettre te remet un petit panier, c'est moi qui l'ai envoyé. Tous tes amis te saluent nommément. Celer te salue ainsi que tous ceux qui sont avec lui. Je prie pour ta santé. »</w:t>
      </w:r>
    </w:p>
    <w:p>
      <w:r/>
      <w:r>
        <w:t>Paul a écrit sur de nombreux sujets différents dans ses lettres. Parfois, il corrigeait avec soin les chrétiens de Corinthe lorsqu'ils étaient trop orgueilleux. D'autres fois, il avertissait fermement les personnes qui enseignaient de fausses choses sur Dieu. Il écrivait aussi sur des sujets simples, pour donner des nouvelles de ses amis par exemple ; ou pour demander des livres et un manteau dont il avait besoin qu'il avait laissés dans la ville de Troas.</w:t>
      </w:r>
    </w:p>
    <w:p>
      <w:pPr>
        <w:pStyle w:val="Heading3"/>
      </w:pPr>
      <w:r>
        <w:t>Lettres du Nouveau Testament</w:t>
      </w:r>
    </w:p>
    <w:p>
      <w:r/>
      <w:r>
        <w:t>Le Nouveau Testament contient de nombreuses lettres qui enseignent aux gens concernant Dieu. Ce style d'écriture de lettres d'enseignement a commencé avec des enseignants grecs anciens comme Platon et Aristote. Cependant, les auteurs du Nouveau Testament s'adressent eux-mêmes :</w:t>
      </w:r>
    </w:p>
    <w:p>
      <w:pPr>
        <w:pStyle w:val="ListBullet"/>
        <w:spacing w:line="240" w:lineRule="auto"/>
        <w:ind w:left="720"/>
      </w:pPr>
      <w:r/>
      <w:r>
        <w:t>À des groupes ou des communautés (Romains, 1 &amp; 2 Corinthiens, Galates, Philippiens, Éphésiens, Colossiens, 1 &amp; 2 Thessaloniciens, Hébreux).</w:t>
      </w:r>
    </w:p>
    <w:p>
      <w:pPr>
        <w:pStyle w:val="ListBullet"/>
        <w:spacing w:line="240" w:lineRule="auto"/>
        <w:ind w:left="720"/>
      </w:pPr>
      <w:r/>
      <w:r>
        <w:t>À l'Église au sens plus général (lettres de Pierre, Jude, Jacques et la première épître de Jean).</w:t>
      </w:r>
    </w:p>
    <w:p>
      <w:pPr>
        <w:pStyle w:val="ListBullet"/>
        <w:spacing w:line="240" w:lineRule="auto"/>
        <w:ind w:left="720"/>
      </w:pPr>
      <w:r/>
      <w:r>
        <w:t>À des individus ou à une communauté chrétienne particulière.</w:t>
      </w:r>
    </w:p>
    <w:p>
      <w:r/>
      <w:r>
        <w:t xml:space="preserve">La lettre apostolique enregistrée dans </w:t>
      </w:r>
      <w:hyperlink r:id="rId160">
        <w:r>
          <w:rPr>
            <w:color w:val="0000EE"/>
            <w:u w:val="single"/>
          </w:rPr>
          <w:t>Actes 15</w:t>
        </w:r>
      </w:hyperlink>
      <w:r>
        <w:t xml:space="preserve"> a peut-être inspiré cette pratique. </w:t>
      </w:r>
      <w:hyperlink r:id="rId9006">
        <w:r>
          <w:rPr>
            <w:color w:val="0000EE"/>
            <w:u w:val="single"/>
          </w:rPr>
          <w:t>Apocalypse 2</w:t>
        </w:r>
      </w:hyperlink>
      <w:r>
        <w:t xml:space="preserve"> et </w:t>
      </w:r>
      <w:hyperlink r:id="rId9007">
        <w:r>
          <w:rPr>
            <w:color w:val="0000EE"/>
            <w:u w:val="single"/>
          </w:rPr>
          <w:t>3</w:t>
        </w:r>
      </w:hyperlink>
      <w:r>
        <w:t xml:space="preserve"> sont de véritables lettres adressées à sept églises du circuit asiatique de Jean.</w:t>
      </w:r>
    </w:p>
    <w:p>
      <w:r/>
      <w:r>
        <w:rPr>
          <w:i/>
        </w:rPr>
        <w:t>Voir aussi</w:t>
      </w:r>
      <w:r>
        <w:t xml:space="preserve"> </w:t>
      </w:r>
      <w:r>
        <w:t>Lettres de Lakis</w:t>
      </w:r>
      <w:r>
        <w:t xml:space="preserve"> ; </w:t>
      </w:r>
      <w:r>
        <w:t>Écriture</w:t>
      </w:r>
      <w:r>
        <w:t>.</w:t>
      </w:r>
      <w:r/>
      <w:r/>
    </w:p>
    <w:p>
      <w:r/>
    </w:p>
    <w:p>
      <w:pPr>
        <w:pStyle w:val="Heading2"/>
      </w:pPr>
      <w:r>
        <w:t>Letuschim</w:t>
      </w:r>
      <w:r/>
    </w:p>
    <w:p>
      <w:pPr>
        <w:pStyle w:val="Heading1"/>
      </w:pPr>
      <w:r>
        <w:t>LETUSCHIM</w:t>
      </w:r>
      <w:r>
        <w:t>*</w:t>
      </w:r>
    </w:p>
    <w:p>
      <w:r/>
      <w:r>
        <w:t>Tribu fondée par le deuxième des trois fils de Dedan, un descendant d'Abraham et de Ketura par la lignée de Jokschan (</w:t>
      </w:r>
      <w:hyperlink r:id="rId1367">
        <w:r>
          <w:rPr>
            <w:color w:val="0000EE"/>
            <w:u w:val="single"/>
          </w:rPr>
          <w:t>Gn 25.3</w:t>
        </w:r>
      </w:hyperlink>
      <w:r>
        <w:t>). Certains suggèrent que la tribu s'est finalement installée dans le nord de l'Arabie.</w:t>
      </w:r>
      <w:r/>
      <w:r/>
    </w:p>
    <w:p>
      <w:r/>
    </w:p>
    <w:p>
      <w:pPr>
        <w:pStyle w:val="Heading2"/>
      </w:pPr>
      <w:r>
        <w:t>Leummim</w:t>
      </w:r>
      <w:r/>
    </w:p>
    <w:p>
      <w:r/>
      <w:r>
        <w:t>Tribu fondée par le troisième des trois fils de Dedan, un descendant d'Abraham et de Ketura par la lignée de Jokschan (</w:t>
      </w:r>
      <w:hyperlink r:id="rId1367">
        <w:r>
          <w:rPr>
            <w:color w:val="0000EE"/>
            <w:u w:val="single"/>
          </w:rPr>
          <w:t>Gn 25.3</w:t>
        </w:r>
      </w:hyperlink>
      <w:r>
        <w:t>). La tribu s'est probablement installée dans le nord de l'Arabie.</w:t>
      </w:r>
      <w:r/>
      <w:r/>
    </w:p>
    <w:p>
      <w:r/>
    </w:p>
    <w:p>
      <w:pPr>
        <w:pStyle w:val="Heading2"/>
      </w:pPr>
      <w:r>
        <w:t>levain</w:t>
      </w:r>
      <w:r/>
    </w:p>
    <w:p>
      <w:r/>
      <w:r>
        <w:t>Toute substance qui, quand elle est ajoutée à de la pâte, la fait fermenter. La fermentation fait lever (gonfler) le pain. Le levain peut désigner une substance étrangère à la pâte qui aide à la fermenter la première fois. Le levain peut aussi désigner un morceau de pâte déjà fermenté dont on se sert pour faire lever une nouvelle pâte à pain.</w:t>
      </w:r>
    </w:p>
    <w:p>
      <w:r/>
      <w:r>
        <w:t>Il semble que les premiers Hébreux utilisaient principalement de la pâte fermentée comme levain. Bien plus tard, ils ont commencé à utiliser de la lie (le dépôt qui se forme au fond du vin) pour faire lever la pâte à pain.</w:t>
      </w:r>
    </w:p>
    <w:p>
      <w:pPr>
        <w:pStyle w:val="Heading3"/>
      </w:pPr>
      <w:r>
        <w:t>Le levain pendant l'exode</w:t>
      </w:r>
    </w:p>
    <w:p>
      <w:r/>
      <w:r>
        <w:t>Les anciens Israélites mangeaient souvent du pain avec levain (</w:t>
      </w:r>
      <w:hyperlink r:id="rId9008">
        <w:r>
          <w:rPr>
            <w:color w:val="0000EE"/>
            <w:u w:val="single"/>
          </w:rPr>
          <w:t>Os 7.4</w:t>
        </w:r>
      </w:hyperlink>
      <w:r>
        <w:t>). Cependant, pendant la fête annuelle de la Pâque, il leur était interdit de manger ou de conserver du pain levé dans leurs maisons (</w:t>
      </w:r>
      <w:hyperlink r:id="rId9009">
        <w:r>
          <w:rPr>
            <w:color w:val="0000EE"/>
            <w:u w:val="single"/>
          </w:rPr>
          <w:t>Ex 13.7</w:t>
        </w:r>
      </w:hyperlink>
      <w:r>
        <w:t>). Ceci devait leur rappeler qu'ils avaient dû sortir d'Égypte dans la précipitation pour s'échapper. L'ordre de Dieu avait été pressant et ils n'avaient pas eu le temps de préparer du pain levé. Le peuple avait été obligé d'emporter ses bols à mélanger (des pétrins) et sa pâte (</w:t>
      </w:r>
      <w:hyperlink r:id="rId9010">
        <w:r>
          <w:rPr>
            <w:color w:val="0000EE"/>
            <w:u w:val="single"/>
          </w:rPr>
          <w:t>Ex 12.34–39</w:t>
        </w:r>
      </w:hyperlink>
      <w:r>
        <w:t xml:space="preserve"> ; </w:t>
      </w:r>
      <w:hyperlink r:id="rId9011">
        <w:r>
          <w:rPr>
            <w:color w:val="0000EE"/>
            <w:u w:val="single"/>
          </w:rPr>
          <w:t>Dt 16.3</w:t>
        </w:r>
      </w:hyperlink>
      <w:r>
        <w:t>).</w:t>
      </w:r>
    </w:p>
    <w:p>
      <w:pPr>
        <w:pStyle w:val="Heading3"/>
      </w:pPr>
      <w:r>
        <w:t>Le levain et les offrandes</w:t>
      </w:r>
    </w:p>
    <w:p>
      <w:r/>
      <w:r>
        <w:t>C'est peut-être parce que le levain favorisait la dégradation des aliments qu'il n'était pas autorisé dans les offrandes à Dieu sur l'autel (</w:t>
      </w:r>
      <w:hyperlink r:id="rId9012">
        <w:r>
          <w:rPr>
            <w:color w:val="0000EE"/>
            <w:u w:val="single"/>
          </w:rPr>
          <w:t>Ex 23.18</w:t>
        </w:r>
      </w:hyperlink>
      <w:r>
        <w:t xml:space="preserve"> ; </w:t>
      </w:r>
      <w:hyperlink r:id="rId9013">
        <w:r>
          <w:rPr>
            <w:color w:val="0000EE"/>
            <w:u w:val="single"/>
          </w:rPr>
          <w:t>34.25</w:t>
        </w:r>
      </w:hyperlink>
      <w:r>
        <w:t>). Il était également interdit d'utiliser du levain dans les offrandes cuites à partir de céréales (</w:t>
      </w:r>
      <w:hyperlink r:id="rId9014">
        <w:r>
          <w:rPr>
            <w:color w:val="0000EE"/>
            <w:u w:val="single"/>
          </w:rPr>
          <w:t>Lv 2.11</w:t>
        </w:r>
      </w:hyperlink>
      <w:r>
        <w:t xml:space="preserve"> ; </w:t>
      </w:r>
      <w:hyperlink r:id="rId9015">
        <w:r>
          <w:rPr>
            <w:color w:val="0000EE"/>
            <w:u w:val="single"/>
          </w:rPr>
          <w:t>6.10</w:t>
        </w:r>
      </w:hyperlink>
      <w:r>
        <w:t>). La Bible ne précise pas si les pains de proposition qui étaient placés dans le sanctuaire était faits avec ou sans levain. Selon Flavius Josèphe, c'étaient des pains sans levain (</w:t>
      </w:r>
      <w:r>
        <w:rPr>
          <w:i/>
        </w:rPr>
        <w:t>Antiquités</w:t>
      </w:r>
      <w:r>
        <w:t xml:space="preserve"> 3.6.6).</w:t>
      </w:r>
    </w:p>
    <w:p>
      <w:r/>
      <w:r>
        <w:t>Il y avait deux exceptions à la règle générale qui interdisait le levain dans les offrandes. Du levain pouvait être utilisé dans les offrandes qui étaient mangées par les sacrificateurs ou d'autres personnes. Il était possible d'inclure du pain levé avec un sacrifice de reconnaissance ou d'actions de grâce (</w:t>
      </w:r>
      <w:hyperlink r:id="rId9016">
        <w:r>
          <w:rPr>
            <w:color w:val="0000EE"/>
            <w:u w:val="single"/>
          </w:rPr>
          <w:t>Lv 7.13</w:t>
        </w:r>
      </w:hyperlink>
      <w:r>
        <w:t>). Des pains levés étaient aussi présentés lors de la fête des Semaines (ou Pentecôte), car ils représentaient la nourriture ordinaire du peuple, que Dieu avait pourvue (</w:t>
      </w:r>
      <w:hyperlink r:id="rId9017">
        <w:r>
          <w:rPr>
            <w:color w:val="0000EE"/>
            <w:u w:val="single"/>
          </w:rPr>
          <w:t>23.17</w:t>
        </w:r>
      </w:hyperlink>
      <w:r>
        <w:t xml:space="preserve">). </w:t>
      </w:r>
    </w:p>
    <w:p>
      <w:pPr>
        <w:pStyle w:val="Heading3"/>
      </w:pPr>
      <w:r>
        <w:t>Évolution de l'utilisation du levain</w:t>
      </w:r>
    </w:p>
    <w:p>
      <w:r/>
      <w:r>
        <w:t>L'action lente du levain est devenue un problème lorsque les Hébreux sont devenus agriculteurs, surtout pendant la période chargée des premiers jours de la moisson. Pour cette raison, il était alors plus courant d'utiliser de la pâte sans levain pour les besoins quotidiens.</w:t>
      </w:r>
    </w:p>
    <w:p>
      <w:r/>
      <w:r>
        <w:t xml:space="preserve">Cette pratique était aussi encouragée par le fait que le levain, ainsi que d'autres aliments qui fermentent, représentaient pour beaucoup la dégradation et la contamination. Le levain était donc considéré comme incompatible avec le concept de la sainteté parfaite de Dieu. On retrouve cette façon de penser au levain dans une citation de Plutarque, le célèbre écrivain grec : « En général, tout ce qui fermente produit une espèce de corruption ; et si le levain est trop abondant, il gâte et perd la farine » </w:t>
      </w:r>
      <w:r>
        <w:t>(Questions romaines</w:t>
      </w:r>
      <w:r>
        <w:rPr>
          <w:i/>
        </w:rPr>
        <w:t>,</w:t>
      </w:r>
      <w:r>
        <w:t xml:space="preserve"> 109).</w:t>
      </w:r>
      <w:r>
        <w:t xml:space="preserve"> L'apôtre Paul exprime une idée similaire dans </w:t>
      </w:r>
      <w:hyperlink r:id="rId9018">
        <w:r>
          <w:rPr>
            <w:color w:val="0000EE"/>
            <w:u w:val="single"/>
          </w:rPr>
          <w:t>1 Corinthiens 5.6</w:t>
        </w:r>
      </w:hyperlink>
      <w:r>
        <w:t xml:space="preserve"> et </w:t>
      </w:r>
      <w:hyperlink r:id="rId9019">
        <w:r>
          <w:rPr>
            <w:color w:val="0000EE"/>
            <w:u w:val="single"/>
          </w:rPr>
          <w:t>Galates 5.9</w:t>
        </w:r>
      </w:hyperlink>
      <w:r>
        <w:t>.</w:t>
      </w:r>
    </w:p>
    <w:p>
      <w:pPr>
        <w:pStyle w:val="Heading3"/>
      </w:pPr>
      <w:r>
        <w:t>Le levain en tant que symbole</w:t>
      </w:r>
    </w:p>
    <w:p>
      <w:r/>
      <w:r>
        <w:t>Le pouvoir de transformation du levain pouvait représenter la façon dont un changement peut se propager progressivement, qu'il soit bon ou mauvais. Le levain symbolisait le plus souvent (mais pas toujours) quelque chose de mauvais pour les rabbins juifs. Jésus décrit les mauvais enseignements des pharisiens et des sadducéens comme un levain dont il faut se garder (</w:t>
      </w:r>
      <w:hyperlink r:id="rId9020">
        <w:r>
          <w:rPr>
            <w:color w:val="0000EE"/>
            <w:u w:val="single"/>
          </w:rPr>
          <w:t>Mt 16.6, 11–12</w:t>
        </w:r>
      </w:hyperlink>
      <w:r>
        <w:t>). Il avertit aussi de ne pas imiter le levain d'Hérode et des pharisiens (</w:t>
      </w:r>
      <w:hyperlink r:id="rId6441">
        <w:r>
          <w:rPr>
            <w:color w:val="0000EE"/>
            <w:u w:val="single"/>
          </w:rPr>
          <w:t>Mc 8.15</w:t>
        </w:r>
      </w:hyperlink>
      <w:r>
        <w:t xml:space="preserve">). Dans </w:t>
      </w:r>
      <w:hyperlink r:id="rId6593">
        <w:r>
          <w:rPr>
            <w:color w:val="0000EE"/>
            <w:u w:val="single"/>
          </w:rPr>
          <w:t>Luc 12.1</w:t>
        </w:r>
      </w:hyperlink>
      <w:r>
        <w:t xml:space="preserve"> le levain des pharisiens désigne leur hypocrisie (voir </w:t>
      </w:r>
      <w:hyperlink r:id="rId6591">
        <w:r>
          <w:rPr>
            <w:color w:val="0000EE"/>
            <w:u w:val="single"/>
          </w:rPr>
          <w:t>Mt 23.28</w:t>
        </w:r>
      </w:hyperlink>
      <w:r>
        <w:t>).</w:t>
      </w:r>
    </w:p>
    <w:p>
      <w:r/>
      <w:r>
        <w:t>Paul utilise l'image du levain pour avertir contre l'immoralité parmi les chrétiens. Il avertit les chrétiens corinthiens qui laissaient faire de grands péchés dans l'Église en leur demandant : « Ne savez-vous pas qu’un peu de levain fait lever toute la pâte ? ». Paul leur dit de considérer les mauvaises choses qu'ils faisaient avant de devenir chrétiens comme le vieux levain, dont ils devaient se débarrasser. Dans l'AT, la fête des pains sans levain suivait immédiatement après la Pâque, la célébration du moment où Dieu avait délivré Israël d'Égypte. Paul utilise cet exemple pour expliquer aux Corinthiens qu'eux aussi avaient été rachetés en Christ. Leurs vies devaient être comme la fête qui suivait la Pâque : ils devaient célébrer avec « les pains sans levain de la pureté et de la vérité » (</w:t>
      </w:r>
      <w:hyperlink r:id="rId3206">
        <w:r>
          <w:rPr>
            <w:color w:val="0000EE"/>
            <w:u w:val="single"/>
          </w:rPr>
          <w:t>1Co 5.6–8</w:t>
        </w:r>
      </w:hyperlink>
      <w:r>
        <w:t>).</w:t>
      </w:r>
    </w:p>
    <w:p>
      <w:r/>
      <w:r>
        <w:t>Jésus utilise aussi l'image de ce que fait le levain pour illustrer quelque chose de bon. Comme le levain fait gonfler toute la pâte, le royaume de Dieu grandit dans le monde et l'influence (</w:t>
      </w:r>
      <w:hyperlink r:id="rId9021">
        <w:r>
          <w:rPr>
            <w:color w:val="0000EE"/>
            <w:u w:val="single"/>
          </w:rPr>
          <w:t>Mt 13.33</w:t>
        </w:r>
      </w:hyperlink>
      <w:r>
        <w:t xml:space="preserve"> ; </w:t>
      </w:r>
      <w:hyperlink r:id="rId9022">
        <w:r>
          <w:rPr>
            <w:color w:val="0000EE"/>
            <w:u w:val="single"/>
          </w:rPr>
          <w:t>Lc 13.20–21</w:t>
        </w:r>
      </w:hyperlink>
      <w:r>
        <w:t>).</w:t>
      </w:r>
    </w:p>
    <w:p>
      <w:r/>
      <w:r>
        <w:rPr>
          <w:i/>
        </w:rPr>
        <w:t>Voir aussi</w:t>
      </w:r>
      <w:r>
        <w:t xml:space="preserve"> </w:t>
      </w:r>
      <w:r>
        <w:t>pain</w:t>
      </w:r>
      <w:r>
        <w:t xml:space="preserve"> ; </w:t>
      </w:r>
      <w:r>
        <w:t>fêtes d'Israël</w:t>
      </w:r>
      <w:r>
        <w:t xml:space="preserve"> ; </w:t>
      </w:r>
      <w:r>
        <w:t>aliments et préparation des aliments</w:t>
      </w:r>
      <w:r>
        <w:t xml:space="preserve"> ; </w:t>
      </w:r>
      <w:r>
        <w:t>pain sans levain</w:t>
      </w:r>
      <w:r>
        <w:t>.</w:t>
      </w:r>
      <w:r/>
      <w:r/>
    </w:p>
    <w:p>
      <w:r/>
    </w:p>
    <w:p>
      <w:pPr>
        <w:pStyle w:val="Heading2"/>
      </w:pPr>
      <w:r>
        <w:t>Lévi (personne)</w:t>
      </w:r>
      <w:r/>
    </w:p>
    <w:p>
      <w:r/>
      <w:r>
        <w:t>1. Le troisième fils de Jacob et de Léa (</w:t>
      </w:r>
      <w:hyperlink r:id="rId9023">
        <w:r>
          <w:rPr>
            <w:color w:val="0000EE"/>
            <w:u w:val="single"/>
          </w:rPr>
          <w:t>Gn 29.34</w:t>
        </w:r>
      </w:hyperlink>
      <w:r>
        <w:t xml:space="preserve">). L'étymologie de son nom est incertaine. (L'étymologie est la science de l'origine des mots.) </w:t>
      </w:r>
    </w:p>
    <w:p>
      <w:r/>
      <w:r>
        <w:t>Lévi est lié à la tragédie de Sichem. En effet, Lévi et son frère Siméon massacrent impitoyablement tous les habitants de la ville de sexe masculin pour venger le viol de leur sœur Dina par Sichem le Hévien. Avant de mourir, Jacob condamne cet acte et prononce un jugement à cause du comportement de Lévi (</w:t>
      </w:r>
      <w:hyperlink r:id="rId4294">
        <w:r>
          <w:rPr>
            <w:color w:val="0000EE"/>
            <w:u w:val="single"/>
          </w:rPr>
          <w:t>49.5–7</w:t>
        </w:r>
      </w:hyperlink>
      <w:r>
        <w:t>). Selon ces paroles, les descendants de Lévi allaient être dispersés parmi les tribus d'Israël.</w:t>
      </w:r>
    </w:p>
    <w:p>
      <w:r/>
      <w:r>
        <w:t>La tribu de Lévi est composée des descendants des ses trois fils : Guershon, Kehath et Merari. Moïse, Aaron et Miriam sont descendants de Kehath (</w:t>
      </w:r>
      <w:hyperlink r:id="rId6135">
        <w:r>
          <w:rPr>
            <w:color w:val="0000EE"/>
            <w:u w:val="single"/>
          </w:rPr>
          <w:t>Ex 6.16</w:t>
        </w:r>
      </w:hyperlink>
      <w:r>
        <w:t xml:space="preserve">). Les Lévites restent fidèles à Yahvé lors de l'épisode du veau d'or près du mont Horeb. Ils reçoivent comme récompense le ministère du service du tabernacle (chap. </w:t>
      </w:r>
      <w:hyperlink r:id="rId9024">
        <w:r>
          <w:rPr>
            <w:color w:val="0000EE"/>
            <w:u w:val="single"/>
          </w:rPr>
          <w:t>32</w:t>
        </w:r>
      </w:hyperlink>
      <w:r>
        <w:t>) et plus tard celui du Temple.</w:t>
      </w:r>
    </w:p>
    <w:p>
      <w:r/>
      <w:r>
        <w:rPr>
          <w:i/>
        </w:rPr>
        <w:t>Voir aussi</w:t>
      </w:r>
      <w:r>
        <w:t xml:space="preserve"> </w:t>
      </w:r>
      <w:r>
        <w:t>Lévi (tribu)</w:t>
      </w:r>
      <w:r>
        <w:t>.</w:t>
      </w:r>
    </w:p>
    <w:p>
      <w:r/>
      <w:r>
        <w:t>2. Collecteur d'impôts de Capernaüm (</w:t>
      </w:r>
      <w:hyperlink r:id="rId590">
        <w:r>
          <w:rPr>
            <w:color w:val="0000EE"/>
            <w:u w:val="single"/>
          </w:rPr>
          <w:t>Mc 2.14</w:t>
        </w:r>
      </w:hyperlink>
      <w:r>
        <w:t>). C'est un des 12 disciples. Il est aussi appelé Matthieu (</w:t>
      </w:r>
      <w:hyperlink r:id="rId590">
        <w:r>
          <w:rPr>
            <w:color w:val="0000EE"/>
            <w:u w:val="single"/>
          </w:rPr>
          <w:t xml:space="preserve">Mc 2.14 </w:t>
        </w:r>
      </w:hyperlink>
      <w:r>
        <w:t xml:space="preserve">; </w:t>
      </w:r>
      <w:hyperlink r:id="rId9025">
        <w:r>
          <w:rPr>
            <w:color w:val="0000EE"/>
            <w:u w:val="single"/>
          </w:rPr>
          <w:t xml:space="preserve">Lc 5.27 </w:t>
        </w:r>
      </w:hyperlink>
      <w:r>
        <w:t xml:space="preserve">; voir </w:t>
      </w:r>
      <w:hyperlink r:id="rId591">
        <w:r>
          <w:rPr>
            <w:color w:val="0000EE"/>
            <w:u w:val="single"/>
          </w:rPr>
          <w:t>Mt 9.9</w:t>
        </w:r>
      </w:hyperlink>
      <w:r>
        <w:t xml:space="preserve">). </w:t>
      </w:r>
      <w:r>
        <w:rPr>
          <w:i/>
        </w:rPr>
        <w:t>Voir</w:t>
      </w:r>
      <w:r>
        <w:t xml:space="preserve"> </w:t>
      </w:r>
      <w:r>
        <w:t>Matthieu (personne)</w:t>
      </w:r>
      <w:r>
        <w:t>.</w:t>
      </w:r>
    </w:p>
    <w:p>
      <w:r/>
      <w:r>
        <w:t>3. Fils de Melchi et ancêtre de Jésus (</w:t>
      </w:r>
      <w:hyperlink r:id="rId5954">
        <w:r>
          <w:rPr>
            <w:color w:val="0000EE"/>
            <w:u w:val="single"/>
          </w:rPr>
          <w:t>Lc 3.24</w:t>
        </w:r>
      </w:hyperlink>
      <w:r>
        <w:t xml:space="preserve">). </w:t>
      </w:r>
      <w:r>
        <w:rPr>
          <w:i/>
        </w:rPr>
        <w:t>Voir</w:t>
      </w:r>
      <w:r>
        <w:t xml:space="preserve"> </w:t>
      </w:r>
      <w:r>
        <w:t>généalogie de Jésus-Christ</w:t>
      </w:r>
      <w:r>
        <w:t>.</w:t>
      </w:r>
    </w:p>
    <w:p>
      <w:r/>
      <w:r>
        <w:t>4. Fils de Siméon et ancêtre de Jésus (</w:t>
      </w:r>
      <w:hyperlink r:id="rId4633">
        <w:r>
          <w:rPr>
            <w:color w:val="0000EE"/>
            <w:u w:val="single"/>
          </w:rPr>
          <w:t>Lc 3.29</w:t>
        </w:r>
      </w:hyperlink>
      <w:r>
        <w:t xml:space="preserve">). </w:t>
      </w:r>
      <w:r>
        <w:rPr>
          <w:i/>
        </w:rPr>
        <w:t>Voir</w:t>
      </w:r>
      <w:r>
        <w:t xml:space="preserve"> </w:t>
      </w:r>
      <w:r>
        <w:t>généalogie de Jésus-Christ</w:t>
      </w:r>
      <w:r>
        <w:t>.</w:t>
      </w:r>
      <w:r/>
      <w:r/>
    </w:p>
    <w:p>
      <w:r/>
    </w:p>
    <w:p>
      <w:pPr>
        <w:pStyle w:val="Heading2"/>
      </w:pPr>
      <w:r>
        <w:t>Liban</w:t>
      </w:r>
      <w:r/>
    </w:p>
    <w:p>
      <w:r/>
      <w:r>
        <w:t>Région mentionnée uniquement dans l'Ancien Testament (AT). Cependant, plusieurs de ses villes sont mentionnées dans le Nouveau Testament (NT), particulièrement Tyr et Sidon. Le nom « Liban » désigne généralement la double chaîne de montagnes qui s'étend depuis la région de Tyr en direction du nord-est le long de la côte méditerranéenne. Les deux chaînes du Liban sont parallèles l'une à l'autre : le Liban à l'ouest et l'Anti-Liban à l'est. Le nom « Liban » vient de la racine hébraïque l-b-n</w:t>
      </w:r>
      <w:r>
        <w:rPr>
          <w:i/>
        </w:rPr>
        <w:t>,</w:t>
      </w:r>
      <w:r>
        <w:t xml:space="preserve"> qui signifie « blanc ». Elles ont peut-être été appelées ainsi à cause du calcaire blanc qui les compose, ou bien à cause de la neige qui les recouvre pendant six mois de l'année (</w:t>
      </w:r>
      <w:hyperlink r:id="rId9026">
        <w:r>
          <w:rPr>
            <w:color w:val="0000EE"/>
            <w:u w:val="single"/>
          </w:rPr>
          <w:t>Jr 18.14</w:t>
        </w:r>
      </w:hyperlink>
      <w:r>
        <w:t>).</w:t>
      </w:r>
    </w:p>
    <w:p>
      <w:pPr>
        <w:pStyle w:val="Heading3"/>
      </w:pPr>
      <w:r>
        <w:t>Géographie</w:t>
      </w:r>
    </w:p>
    <w:p>
      <w:r/>
      <w:r>
        <w:t>À leur extrémité sud, les chaînes du Liban sont le prolongement des collines du nord de la Galilée. Le mont Hermon (aussi appelé Sirion et Senir dans l'AT) est très proéminent dans la chaîne de l'Anti-Liban. Il s'élève à 2 813 mètres. Les deux chaînes sont séparées par une large vallée : la vallée du Liban (</w:t>
      </w:r>
      <w:hyperlink r:id="rId9027">
        <w:r>
          <w:rPr>
            <w:color w:val="0000EE"/>
            <w:u w:val="single"/>
          </w:rPr>
          <w:t>Jos 11.17</w:t>
        </w:r>
      </w:hyperlink>
      <w:r>
        <w:t>) ou « l’entrée de Hamath » (</w:t>
      </w:r>
      <w:hyperlink r:id="rId9028">
        <w:r>
          <w:rPr>
            <w:color w:val="0000EE"/>
            <w:u w:val="single"/>
          </w:rPr>
          <w:t xml:space="preserve">Nb 34.8 </w:t>
        </w:r>
      </w:hyperlink>
      <w:r>
        <w:t>Darby). Elle est aujourd'hui appelée la Bekaa.</w:t>
      </w:r>
    </w:p>
    <w:p>
      <w:r/>
      <w:r>
        <w:t>Au sud, la chaîne du Liban est séparée des collines de Galilée par une gorge profonde qui va d'est en ouest. Le fleuve Litani y coule. Il se verse dans la Méditerranée juste au nord de Tyr. Les régions supérieures de la chaîne du Liban suivent la vallée de la Bekaa en direction du nord-est jusqu'à proximité de Baalbek. La crête du Liban fait environ 161 kilomètres. Elle s'étend vers le nord jusqu'à la vallée du fleuve Nahr al-Kebir qui va d'est en ouest. Cette crête est couronnée d'une série de pics. À son sud et du côté est de Sidon se trouvent les monts suivants : djébel Rihan, Tomàt et djébel Niha. Ils font de 1 636 à 1 899 mètres d'altitude. Au centre de la vallée et à l'est de Beyrouth se trouvent djébel Bàroûk, djébel Keneïsé et djébel Sannîn. Ces months font respectivement 2 200 mètres, 2 100 mètres et 2 600 mètres d'altitude. Plus au nord, à l'est de Tripoli, se trouvent Qurnat as Sawda' et Qurnat Aruba qui font environ 3 000 et 2 230 mètres d'altitude.</w:t>
      </w:r>
    </w:p>
    <w:p>
      <w:r/>
      <w:r>
        <w:t>Ces hautes montagnes retiennent les pluies qui viennent de la Méditerranée. Les zones montagneuses et la côte reçoivent ainsi d'abondantes pluies. Au-delà des montagnes, les pluies diminuent. C'est le long de la zone côtière entre les montagnes et la mer que les Phéniciens ont prospéré et que des villes comme Tyr, Sarepta, Sidon, Béryte (Beyrouth), Byblos (Jubayl) et Tripoli se sont développées. La zone côtière compte un certain nombre de promontoires (avancées dans la mer). Ce sont des extensions de la chaîne de montagnes du Liban. La route côtière a dû être taillée autour de (et à travers) ces promontoires. Le promontoire de Nahr el-Kalb (« fleuve du Chien »), un peu au nord de Beyrouth, est un bon exemple de ce genre d'avancée.</w:t>
      </w:r>
    </w:p>
    <w:p>
      <w:r/>
      <w:r>
        <w:t>Du côté est de la chaîne du Liban se trouve la vallée de la Bekaa. Le fleuve Oronte prend sa source au nord de cette vallée et coule vers le nord avant de se jeter dans la Méditerranée au nord de l'ancienne Ougarit. Toute cette région de la vallée était appelée la Cœlé-Syrie (« Syrie creuse ») dans la littérature classique. C'était le « grenier » des Romains (c'est-à-dire que c'est de là qu'ils tiraient le plus gros de leur nourriture).</w:t>
      </w:r>
    </w:p>
    <w:p>
      <w:r/>
      <w:r>
        <w:t>À l'est de la vallée de la Bekaa se trouve la chaîne de l'Anti-Liban, où la rivière Barada prend sa source et coule vers l'est en direction de l'oasis fertile de Damas. Le mont Hermon, dans la partie sud de la chaîne, était appelé Sirion par les Phéniciens et Senir par les Amorites (</w:t>
      </w:r>
      <w:hyperlink r:id="rId9029">
        <w:r>
          <w:rPr>
            <w:color w:val="0000EE"/>
            <w:u w:val="single"/>
          </w:rPr>
          <w:t>Dt 3.9</w:t>
        </w:r>
      </w:hyperlink>
      <w:r>
        <w:t>).</w:t>
      </w:r>
    </w:p>
    <w:p>
      <w:pPr>
        <w:pStyle w:val="Heading3"/>
      </w:pPr>
      <w:r>
        <w:t>Ressources naturelles</w:t>
      </w:r>
    </w:p>
    <w:p>
      <w:r/>
      <w:r>
        <w:t xml:space="preserve">Au temps de l'Antiquité, le Liban était célèbre pour ses riches forêts de cyprès et de cèdres. Les zones côtières, la vallée de la Bekaa et les pentes inférieures des montagnes étaient favorables à la culture des oliviers et des arbres fruitiers, aux vignobles, ainsi qu'à certaines cultures céréalières. Une des productions importantes du pays provenait de la mer : un mollusque de la classe des gastéropodes qui donnait une teinture rouge ou pourpre. Le nom « Phénicien » dérive du grec </w:t>
      </w:r>
      <w:r>
        <w:rPr>
          <w:i/>
        </w:rPr>
        <w:t>phoinos,</w:t>
      </w:r>
      <w:r>
        <w:t xml:space="preserve"> c'est à dire, rouge-pourpre. De la laine teinte en pourpre se trouvait à Ougarit vers 1500 av. J.-C. Les Phéniciens ont eu le monopole de cette industrie pendant des siècles. Le peuple d'Israël, qui a utilisé beaucoup de teinture pourpre dans les ornements de son tabernacle (</w:t>
      </w:r>
      <w:hyperlink r:id="rId9030">
        <w:r>
          <w:rPr>
            <w:color w:val="0000EE"/>
            <w:u w:val="single"/>
          </w:rPr>
          <w:t>Ex 26</w:t>
        </w:r>
      </w:hyperlink>
      <w:r>
        <w:t>) et les vêtements de ses sacrificateurs (</w:t>
      </w:r>
      <w:hyperlink r:id="rId9031">
        <w:r>
          <w:rPr>
            <w:color w:val="0000EE"/>
            <w:u w:val="single"/>
          </w:rPr>
          <w:t xml:space="preserve">Ex 28.4–6 </w:t>
        </w:r>
      </w:hyperlink>
      <w:r>
        <w:t xml:space="preserve">; </w:t>
      </w:r>
      <w:hyperlink r:id="rId9032">
        <w:r>
          <w:rPr>
            <w:color w:val="0000EE"/>
            <w:u w:val="single"/>
          </w:rPr>
          <w:t>39.1, 28–29</w:t>
        </w:r>
      </w:hyperlink>
      <w:r>
        <w:t>), obtenait probablement cette teinture des Phéniciens.</w:t>
      </w:r>
    </w:p>
    <w:p>
      <w:r/>
      <w:r>
        <w:t xml:space="preserve">Le roi Salomon a d'importantes relations commerciales avec la Phénicie. Il commande du bois de cèdre et de cyprès à </w:t>
      </w:r>
      <w:r>
        <w:t xml:space="preserve">Hiram </w:t>
      </w:r>
      <w:r>
        <w:t>I</w:t>
      </w:r>
      <w:r>
        <w:rPr>
          <w:vertAlign w:val="superscript"/>
        </w:rPr>
        <w:t>er</w:t>
      </w:r>
      <w:r>
        <w:t xml:space="preserve"> de Tyr (</w:t>
      </w:r>
      <w:hyperlink r:id="rId9033">
        <w:r>
          <w:rPr>
            <w:color w:val="0000EE"/>
            <w:u w:val="single"/>
          </w:rPr>
          <w:t xml:space="preserve">1R 5.6, 9, 14 </w:t>
        </w:r>
      </w:hyperlink>
      <w:r>
        <w:t xml:space="preserve">; </w:t>
      </w:r>
      <w:hyperlink r:id="rId9034">
        <w:r>
          <w:rPr>
            <w:color w:val="0000EE"/>
            <w:u w:val="single"/>
          </w:rPr>
          <w:t xml:space="preserve">7.2 </w:t>
        </w:r>
      </w:hyperlink>
      <w:r>
        <w:t xml:space="preserve">; </w:t>
      </w:r>
      <w:hyperlink r:id="rId9035">
        <w:r>
          <w:rPr>
            <w:color w:val="0000EE"/>
            <w:u w:val="single"/>
          </w:rPr>
          <w:t xml:space="preserve">10.17, 21 </w:t>
        </w:r>
      </w:hyperlink>
      <w:r>
        <w:t xml:space="preserve">; </w:t>
      </w:r>
      <w:hyperlink r:id="rId9036">
        <w:r>
          <w:rPr>
            <w:color w:val="0000EE"/>
            <w:u w:val="single"/>
          </w:rPr>
          <w:t>2Ch 2.8, 16</w:t>
        </w:r>
      </w:hyperlink>
      <w:r>
        <w:t>) pour la construction du Temple à Jérusalem. Salomon échange ce bois contre un approvisionnement en blé et en huile d'olive (</w:t>
      </w:r>
      <w:hyperlink r:id="rId1279">
        <w:r>
          <w:rPr>
            <w:color w:val="0000EE"/>
            <w:u w:val="single"/>
          </w:rPr>
          <w:t>1R 5.11</w:t>
        </w:r>
      </w:hyperlink>
      <w:r>
        <w:t>). Les arbres sont transportés par mer jusqu'au territoire de Salomon. Ils sont ensuite acheminés vers Jérusalem. Les cèdres et les cyprès du Liban et de l'Anti-Liban servent également à la construction des navires de Tyr (</w:t>
      </w:r>
      <w:hyperlink r:id="rId9037">
        <w:r>
          <w:rPr>
            <w:color w:val="0000EE"/>
            <w:u w:val="single"/>
          </w:rPr>
          <w:t>Ez 27.5</w:t>
        </w:r>
      </w:hyperlink>
      <w:r>
        <w:t>), de barges (bateaux) sacrées et de meubles en Égypte, et du second Temple à Jérusalem (</w:t>
      </w:r>
      <w:hyperlink r:id="rId2411">
        <w:r>
          <w:rPr>
            <w:color w:val="0000EE"/>
            <w:u w:val="single"/>
          </w:rPr>
          <w:t>Esd 3.7</w:t>
        </w:r>
      </w:hyperlink>
      <w:r>
        <w:t>).</w:t>
      </w:r>
    </w:p>
    <w:p>
      <w:r/>
      <w:r>
        <w:t xml:space="preserve">À partir des ports du Liban, les Phéniciens faisaient du commerce avec de nombreux pays. Cétaient des maîtres dans l'art de la construction navale : leurs navires étaient utilisés en temps de paix comme en temps de guerre. </w:t>
      </w:r>
      <w:hyperlink r:id="rId5442">
        <w:r>
          <w:rPr>
            <w:color w:val="0000EE"/>
            <w:u w:val="single"/>
          </w:rPr>
          <w:t>Ézéchiel 27</w:t>
        </w:r>
      </w:hyperlink>
      <w:r>
        <w:t xml:space="preserve"> détaille la nature et l'étendue des activités commerciales des marchands de Tyr, Sidon, Guebal (ou Byblos) et Arvad. </w:t>
      </w:r>
    </w:p>
    <w:p>
      <w:pPr>
        <w:pStyle w:val="Heading3"/>
      </w:pPr>
      <w:r>
        <w:t>Histoire</w:t>
      </w:r>
    </w:p>
    <w:p>
      <w:r/>
      <w:r>
        <w:t>La région attire l'attention des Égyptiens pendant la quatrième dynastie (vers 2600 av. J.-C.). Le pharaon Snéfrou obtient 40 cargaisons de cèdre du Liban. Byblos passe sous l'influence égyptienne pendant la douzième dynastie (vers 1980–1800 av. J.-C.). Les Égyptiens échangent alors des ornements en or contre du cèdre. Pendant la dix-huitième dynastie (vers 1552–1306 av. J.-C.), l'Égypte conquiert la Syrie. Les archives mentionnent régulièrement que du cèdre est payé à l'Égypte comme tribut. Plus tard, un envoyé de Ramsès XI nommé Ounamon doit payer du cèdre à grand prix (vers 1100 av. J.-C.).</w:t>
      </w:r>
    </w:p>
    <w:p>
      <w:r/>
      <w:r>
        <w:t>Le pouvoir égyptien diminue ensuite, et les Assyriens prennent contrôle de la région. Dès l'époque de Tiglath-Piléser I</w:t>
      </w:r>
      <w:r>
        <w:rPr>
          <w:vertAlign w:val="superscript"/>
        </w:rPr>
        <w:t>er</w:t>
      </w:r>
      <w:r>
        <w:t xml:space="preserve"> (vers 1100 av. J.-C.), ils reçoivent de grandes quantités de cèdre comme tribut. Plus tard, le Liban passe au pouvoir de Nebucadnetsar et de la nation babylonienne. Babylone emporte de grandes quantités de cèdre pour construire des temples et des palais. Ésaïe et Habakuk parlent du pillage des forêts du Liban (</w:t>
      </w:r>
      <w:hyperlink r:id="rId9038">
        <w:r>
          <w:rPr>
            <w:color w:val="0000EE"/>
            <w:u w:val="single"/>
          </w:rPr>
          <w:t xml:space="preserve">Es 14.8 </w:t>
        </w:r>
      </w:hyperlink>
      <w:r>
        <w:t xml:space="preserve">; </w:t>
      </w:r>
      <w:hyperlink r:id="rId9039">
        <w:r>
          <w:rPr>
            <w:color w:val="0000EE"/>
            <w:u w:val="single"/>
          </w:rPr>
          <w:t>Ha 2.17</w:t>
        </w:r>
      </w:hyperlink>
      <w:r>
        <w:t>). Au cours des siècles suivants, le Liban passe aux mains des Perses, puis des Grecs, puis des Romains.</w:t>
      </w:r>
    </w:p>
    <w:p>
      <w:r/>
      <w:r>
        <w:t>À l'époque du NT, les villes de Tyr et de Sidon sont fréquemment mentionnées ensemble (</w:t>
      </w:r>
      <w:hyperlink r:id="rId9040">
        <w:r>
          <w:rPr>
            <w:color w:val="0000EE"/>
            <w:u w:val="single"/>
          </w:rPr>
          <w:t xml:space="preserve">Mt 15.21 </w:t>
        </w:r>
      </w:hyperlink>
      <w:r>
        <w:t xml:space="preserve">; </w:t>
      </w:r>
      <w:hyperlink r:id="rId9041">
        <w:r>
          <w:rPr>
            <w:color w:val="0000EE"/>
            <w:u w:val="single"/>
          </w:rPr>
          <w:t xml:space="preserve">Mc 3.8 </w:t>
        </w:r>
      </w:hyperlink>
      <w:r>
        <w:t xml:space="preserve">; </w:t>
      </w:r>
      <w:hyperlink r:id="rId9042">
        <w:r>
          <w:rPr>
            <w:color w:val="0000EE"/>
            <w:u w:val="single"/>
          </w:rPr>
          <w:t xml:space="preserve">7.24, 31 </w:t>
        </w:r>
      </w:hyperlink>
      <w:r>
        <w:t xml:space="preserve">; </w:t>
      </w:r>
      <w:hyperlink r:id="rId9043">
        <w:r>
          <w:rPr>
            <w:color w:val="0000EE"/>
            <w:u w:val="single"/>
          </w:rPr>
          <w:t xml:space="preserve">Lc 6.17 </w:t>
        </w:r>
      </w:hyperlink>
      <w:r>
        <w:t xml:space="preserve">; </w:t>
      </w:r>
      <w:hyperlink r:id="rId9044">
        <w:r>
          <w:rPr>
            <w:color w:val="0000EE"/>
            <w:u w:val="single"/>
          </w:rPr>
          <w:t xml:space="preserve">10.13–14 </w:t>
        </w:r>
      </w:hyperlink>
      <w:r>
        <w:t xml:space="preserve">; </w:t>
      </w:r>
      <w:hyperlink r:id="rId2017">
        <w:r>
          <w:rPr>
            <w:color w:val="0000EE"/>
            <w:u w:val="single"/>
          </w:rPr>
          <w:t>Ac 12.20</w:t>
        </w:r>
      </w:hyperlink>
      <w:r>
        <w:t>). Cela n'est pas toujours le cas (</w:t>
      </w:r>
      <w:hyperlink r:id="rId9045">
        <w:r>
          <w:rPr>
            <w:color w:val="0000EE"/>
            <w:u w:val="single"/>
          </w:rPr>
          <w:t>Ac 21.3, 7</w:t>
        </w:r>
      </w:hyperlink>
      <w:r>
        <w:t xml:space="preserve">). </w:t>
      </w:r>
      <w:hyperlink r:id="rId6112">
        <w:r>
          <w:rPr>
            <w:color w:val="0000EE"/>
            <w:u w:val="single"/>
          </w:rPr>
          <w:t xml:space="preserve">Marc 7.26 </w:t>
        </w:r>
      </w:hyperlink>
      <w:r>
        <w:t>parle d'une femme grecque Syro-Phénicienne. Jésus prêche dans ces régions pendant son ministère. Dans la poésie biblique, les grands cèdres du Liban sont symboles de majesté et de force (</w:t>
      </w:r>
      <w:hyperlink r:id="rId9046">
        <w:r>
          <w:rPr>
            <w:color w:val="0000EE"/>
            <w:u w:val="single"/>
          </w:rPr>
          <w:t xml:space="preserve">Jg 9.15 </w:t>
        </w:r>
      </w:hyperlink>
      <w:r>
        <w:t xml:space="preserve">; </w:t>
      </w:r>
      <w:hyperlink r:id="rId9047">
        <w:r>
          <w:rPr>
            <w:color w:val="0000EE"/>
            <w:u w:val="single"/>
          </w:rPr>
          <w:t xml:space="preserve">2R 14.9 </w:t>
        </w:r>
      </w:hyperlink>
      <w:r>
        <w:t xml:space="preserve">; </w:t>
      </w:r>
      <w:hyperlink r:id="rId9048">
        <w:r>
          <w:rPr>
            <w:color w:val="0000EE"/>
            <w:u w:val="single"/>
          </w:rPr>
          <w:t xml:space="preserve">Ps 92.12 </w:t>
        </w:r>
      </w:hyperlink>
      <w:r>
        <w:t xml:space="preserve">; </w:t>
      </w:r>
      <w:hyperlink r:id="rId9049">
        <w:r>
          <w:rPr>
            <w:color w:val="0000EE"/>
            <w:u w:val="single"/>
          </w:rPr>
          <w:t xml:space="preserve">104.16 </w:t>
        </w:r>
      </w:hyperlink>
      <w:r>
        <w:t xml:space="preserve">; </w:t>
      </w:r>
      <w:hyperlink r:id="rId9050">
        <w:r>
          <w:rPr>
            <w:color w:val="0000EE"/>
            <w:u w:val="single"/>
          </w:rPr>
          <w:t xml:space="preserve">Es 35.2 </w:t>
        </w:r>
      </w:hyperlink>
      <w:r>
        <w:t xml:space="preserve">; </w:t>
      </w:r>
      <w:hyperlink r:id="rId9051">
        <w:r>
          <w:rPr>
            <w:color w:val="0000EE"/>
            <w:u w:val="single"/>
          </w:rPr>
          <w:t>60.13</w:t>
        </w:r>
      </w:hyperlink>
      <w:r>
        <w:t>). Ils sont aussi symboles de l'orgueil terrestre qui se brisera un jour devant la colère de Dieu (</w:t>
      </w:r>
      <w:hyperlink r:id="rId9052">
        <w:r>
          <w:rPr>
            <w:color w:val="0000EE"/>
            <w:u w:val="single"/>
          </w:rPr>
          <w:t xml:space="preserve">Ps 29.5 </w:t>
        </w:r>
      </w:hyperlink>
      <w:r>
        <w:t xml:space="preserve">; </w:t>
      </w:r>
      <w:hyperlink r:id="rId9053">
        <w:r>
          <w:rPr>
            <w:color w:val="0000EE"/>
            <w:u w:val="single"/>
          </w:rPr>
          <w:t xml:space="preserve">Is 2.13 </w:t>
        </w:r>
      </w:hyperlink>
      <w:r>
        <w:t xml:space="preserve">; </w:t>
      </w:r>
      <w:hyperlink r:id="rId9054">
        <w:r>
          <w:rPr>
            <w:color w:val="0000EE"/>
            <w:u w:val="single"/>
          </w:rPr>
          <w:t xml:space="preserve">10.34 </w:t>
        </w:r>
      </w:hyperlink>
      <w:r>
        <w:t xml:space="preserve">; </w:t>
      </w:r>
      <w:hyperlink r:id="rId5863">
        <w:r>
          <w:rPr>
            <w:color w:val="0000EE"/>
            <w:u w:val="single"/>
          </w:rPr>
          <w:t xml:space="preserve">Jr 22.6 </w:t>
        </w:r>
      </w:hyperlink>
      <w:r>
        <w:t xml:space="preserve">; </w:t>
      </w:r>
      <w:hyperlink r:id="rId9055">
        <w:r>
          <w:rPr>
            <w:color w:val="0000EE"/>
            <w:u w:val="single"/>
          </w:rPr>
          <w:t>Ez 31.3</w:t>
        </w:r>
      </w:hyperlink>
      <w:r>
        <w:t>).</w:t>
      </w:r>
      <w:r/>
      <w:r/>
    </w:p>
    <w:p>
      <w:r/>
    </w:p>
    <w:p>
      <w:pPr>
        <w:pStyle w:val="Heading2"/>
      </w:pPr>
      <w:r>
        <w:t>Liberté, Liberté</w:t>
      </w:r>
      <w:r/>
    </w:p>
    <w:p>
      <w:r/>
      <w:r>
        <w:t>La qualité ou l'état d'être libre. Dans le monde antique, l'esclavage était omniprésent. La loi de Moïse stipulait qu'un esclave hébreu pouvait servir six ans et être libéré la septième année (</w:t>
      </w:r>
      <w:hyperlink r:id="rId4898">
        <w:r>
          <w:rPr>
            <w:color w:val="0000EE"/>
            <w:u w:val="single"/>
          </w:rPr>
          <w:t>Ex 21.2</w:t>
        </w:r>
      </w:hyperlink>
      <w:r>
        <w:t xml:space="preserve">). Cette loi constitue le contexte de </w:t>
      </w:r>
      <w:hyperlink r:id="rId9056">
        <w:r>
          <w:rPr>
            <w:color w:val="0000EE"/>
            <w:u w:val="single"/>
          </w:rPr>
          <w:t xml:space="preserve">Jérémie 34. </w:t>
        </w:r>
      </w:hyperlink>
      <w:r>
        <w:t>Jérémie clarifie deux choses : les gens connaissaient la loi, mais beaucoup ne l'obéissaient pas. Malgré cela, la loi montrait que la liberté était importante. Après chaque période de quarante-neuf ans, il y avait une année spéciale appelée le Jubilé. Lors de cette période, toutes les propriétés retournaient à leurs propriétaires d'origine et les esclaves étaient libérés (</w:t>
      </w:r>
      <w:hyperlink r:id="rId9057">
        <w:r>
          <w:rPr>
            <w:color w:val="0000EE"/>
            <w:u w:val="single"/>
          </w:rPr>
          <w:t>Lv 25.8–24</w:t>
        </w:r>
      </w:hyperlink>
      <w:r>
        <w:t xml:space="preserve"> ; voir </w:t>
      </w:r>
      <w:hyperlink r:id="rId9058">
        <w:r>
          <w:rPr>
            <w:color w:val="0000EE"/>
            <w:u w:val="single"/>
          </w:rPr>
          <w:t>Ez 46.17</w:t>
        </w:r>
      </w:hyperlink>
      <w:r>
        <w:t>).</w:t>
      </w:r>
    </w:p>
    <w:p>
      <w:pPr>
        <w:pStyle w:val="Heading3"/>
      </w:pPr>
      <w:r>
        <w:t>Libération des esclaves</w:t>
      </w:r>
    </w:p>
    <w:p>
      <w:r/>
      <w:r>
        <w:t>La liberté pouvait être accordée à un esclave pour d'autres raisons. L'esclave devait être libéré si le propriétaire causait la perte d'un œil ou d'une dent de l'esclave (</w:t>
      </w:r>
      <w:hyperlink r:id="rId4336">
        <w:r>
          <w:rPr>
            <w:color w:val="0000EE"/>
            <w:u w:val="single"/>
          </w:rPr>
          <w:t>Ex 21.26–27</w:t>
        </w:r>
      </w:hyperlink>
      <w:r>
        <w:t>). Job médite le fait que dans le séjour des morts ou dans la mort, l'esclave est libre de son maître (</w:t>
      </w:r>
      <w:hyperlink r:id="rId9059">
        <w:r>
          <w:rPr>
            <w:color w:val="0000EE"/>
            <w:u w:val="single"/>
          </w:rPr>
          <w:t>Jb 3.19</w:t>
        </w:r>
      </w:hyperlink>
      <w:r>
        <w:t>). Dans un autre verset, il est reconnaissant pour la liberté de l'âne sauvage (</w:t>
      </w:r>
      <w:hyperlink r:id="rId9060">
        <w:r>
          <w:rPr>
            <w:color w:val="0000EE"/>
            <w:u w:val="single"/>
          </w:rPr>
          <w:t>Jb 39.5</w:t>
        </w:r>
      </w:hyperlink>
      <w:r>
        <w:t>).</w:t>
      </w:r>
    </w:p>
    <w:p>
      <w:pPr>
        <w:pStyle w:val="Heading3"/>
      </w:pPr>
      <w:r>
        <w:t>Le Messie et la liberté</w:t>
      </w:r>
    </w:p>
    <w:p>
      <w:r/>
      <w:r>
        <w:t xml:space="preserve">Quand le Messie (l'élu de Dieu) viendra, l'une de ses tâches sera de « </w:t>
      </w:r>
      <w:r>
        <w:t>proclamer aux captifs la liberté</w:t>
      </w:r>
      <w:r>
        <w:t xml:space="preserve"> » (</w:t>
      </w:r>
      <w:hyperlink r:id="rId4033">
        <w:r>
          <w:rPr>
            <w:color w:val="0000EE"/>
            <w:u w:val="single"/>
          </w:rPr>
          <w:t>Es 61.1</w:t>
        </w:r>
      </w:hyperlink>
      <w:r>
        <w:t>). Les croyants de l'Ancien Testament envisageaient cette liberté en termes de libération de la domination étrangère. Cependant, le Messie se concentrera principalement sur la libération des esprits des gens. La liberté est une manière de vivre devant Dieu. C'est aussi une libération par rapport au péché.</w:t>
      </w:r>
    </w:p>
    <w:p>
      <w:pPr>
        <w:pStyle w:val="Heading3"/>
      </w:pPr>
      <w:r>
        <w:t>La Liberté dans le Nouveau Testament</w:t>
      </w:r>
    </w:p>
    <w:p>
      <w:r/>
      <w:r>
        <w:t xml:space="preserve">Dans le Nouveau Testament, la liberté est parfois perçue comme une libération littérale de la captivité. Les quatre Évangiles par exemple font référence à la coutume juive de libérer un prisonnier à la Pâque (voir </w:t>
      </w:r>
      <w:hyperlink r:id="rId1667">
        <w:r>
          <w:rPr>
            <w:color w:val="0000EE"/>
            <w:u w:val="single"/>
          </w:rPr>
          <w:t>Mc 15.6–15</w:t>
        </w:r>
      </w:hyperlink>
      <w:r>
        <w:t xml:space="preserve">). Il y a aussi des références à la libération de prisonniers (voir </w:t>
      </w:r>
      <w:hyperlink r:id="rId9061">
        <w:r>
          <w:rPr>
            <w:color w:val="0000EE"/>
            <w:u w:val="single"/>
          </w:rPr>
          <w:t>Ac 3.13</w:t>
        </w:r>
      </w:hyperlink>
      <w:r>
        <w:t xml:space="preserve">; </w:t>
      </w:r>
      <w:hyperlink r:id="rId9062">
        <w:r>
          <w:rPr>
            <w:color w:val="0000EE"/>
            <w:u w:val="single"/>
          </w:rPr>
          <w:t>16.35</w:t>
        </w:r>
      </w:hyperlink>
      <w:r>
        <w:t>). Paul encourageait les esclaves chrétiens à obtenir leur liberté s'ils le pouvaient (</w:t>
      </w:r>
      <w:hyperlink r:id="rId9063">
        <w:r>
          <w:rPr>
            <w:color w:val="0000EE"/>
            <w:u w:val="single"/>
          </w:rPr>
          <w:t>1Co 7.21</w:t>
        </w:r>
      </w:hyperlink>
      <w:r>
        <w:t xml:space="preserve">). Il a demandé à un propriétaire d'esclave, Philémon, de libérer l'esclave Onésime. Onésime était un esclave qui s'était enfui (voir la lettre à </w:t>
      </w:r>
      <w:hyperlink r:id="rId9064">
        <w:r>
          <w:rPr>
            <w:color w:val="0000EE"/>
            <w:u w:val="single"/>
          </w:rPr>
          <w:t>Philémon</w:t>
        </w:r>
      </w:hyperlink>
      <w:r>
        <w:t>). Paul ne plaidait pas pour la liberté de l'esclavage comme partie de l'Évangile chrétien. Il soulignait plutôt la liberté en Christ pour tous les croyants. Tous sont libres en Christ, tant ceux qui sont libres que ceux qui sont esclaves.</w:t>
      </w:r>
    </w:p>
    <w:p>
      <w:pPr>
        <w:pStyle w:val="Heading3"/>
      </w:pPr>
      <w:r>
        <w:t>La Véritable liberté à travers Jésus</w:t>
      </w:r>
    </w:p>
    <w:p>
      <w:r/>
      <w:r>
        <w:t>La liberté qui compte est celle que donne Jésus. Jésus dit que les gens sont vraiment libres quand le Fils les libère (</w:t>
      </w:r>
      <w:hyperlink r:id="rId9065">
        <w:r>
          <w:rPr>
            <w:color w:val="0000EE"/>
            <w:u w:val="single"/>
          </w:rPr>
          <w:t>Jn 8.36</w:t>
        </w:r>
      </w:hyperlink>
      <w:r>
        <w:t>). Paul exulte dans la liberté qu'apporte Jésus-Christ (</w:t>
      </w:r>
      <w:hyperlink r:id="rId9066">
        <w:r>
          <w:rPr>
            <w:color w:val="0000EE"/>
            <w:u w:val="single"/>
          </w:rPr>
          <w:t>Romains 7.24–25</w:t>
        </w:r>
      </w:hyperlink>
      <w:r>
        <w:t>). La même idée peut être exprimée en termes de vérité rendant les gens libres (</w:t>
      </w:r>
      <w:hyperlink r:id="rId9067">
        <w:r>
          <w:rPr>
            <w:color w:val="0000EE"/>
            <w:u w:val="single"/>
          </w:rPr>
          <w:t>Jn 8.32</w:t>
        </w:r>
      </w:hyperlink>
      <w:r>
        <w:t>). Bien sûr, ces mots doivent être compris car Jésus est lui-même la vérité (</w:t>
      </w:r>
      <w:hyperlink r:id="rId1982">
        <w:r>
          <w:rPr>
            <w:color w:val="0000EE"/>
            <w:u w:val="single"/>
          </w:rPr>
          <w:t>Jn 14.6</w:t>
        </w:r>
      </w:hyperlink>
      <w:r>
        <w:t xml:space="preserve">). Ce n'est pas le concept philosophique selon lequel l'erreur asservit les hommes tandis que la vérité a un effet libérateur. La vérité ici est celle qui est associée à Jésus, « </w:t>
      </w:r>
      <w:r>
        <w:t>la parole de la vérité, la parole de l’Évangile</w:t>
      </w:r>
      <w:r>
        <w:t xml:space="preserve"> » (</w:t>
      </w:r>
      <w:hyperlink r:id="rId2911">
        <w:r>
          <w:rPr>
            <w:color w:val="0000EE"/>
            <w:u w:val="single"/>
          </w:rPr>
          <w:t>Col 1.5</w:t>
        </w:r>
      </w:hyperlink>
      <w:r>
        <w:t xml:space="preserve">). Paul dit : « </w:t>
      </w:r>
      <w:r>
        <w:t>Or, le Seigneur c’est l’Esprit</w:t>
      </w:r>
      <w:r>
        <w:t xml:space="preserve"> </w:t>
      </w:r>
      <w:r>
        <w:t>; et là où est l’Esprit du Seigneur, là est la liberté</w:t>
      </w:r>
      <w:r>
        <w:t xml:space="preserve"> » (</w:t>
      </w:r>
      <w:hyperlink r:id="rId4946">
        <w:r>
          <w:rPr>
            <w:color w:val="0000EE"/>
            <w:u w:val="single"/>
          </w:rPr>
          <w:t>2Co 3.17</w:t>
        </w:r>
      </w:hyperlink>
      <w:r>
        <w:t>).</w:t>
      </w:r>
    </w:p>
    <w:p>
      <w:pPr>
        <w:pStyle w:val="Heading3"/>
      </w:pPr>
      <w:r>
        <w:t>Libération du péché</w:t>
      </w:r>
    </w:p>
    <w:p>
      <w:r/>
      <w:r>
        <w:t>Le Nouveau Testament soutient que les gens livrés à eux-mêmes ne peuvent pas vaincre le péché. Le monde moderne en est la preuve. Nous pouvons chercher à faire le bien, mais le mal est trop puissant pour nous. Nous ne pouvons pas faire le bien que nous souhaitons faire (</w:t>
      </w:r>
      <w:hyperlink r:id="rId9068">
        <w:r>
          <w:rPr>
            <w:color w:val="0000EE"/>
            <w:u w:val="single"/>
          </w:rPr>
          <w:t>Rm 7.21–23</w:t>
        </w:r>
      </w:hyperlink>
      <w:r>
        <w:t xml:space="preserve">). Mais grâce à l'œuvre salvatrice de Christ, le pouvoir du péché est brisé. « </w:t>
      </w:r>
      <w:r>
        <w:t>En effet, la loi de l’esprit de vie en Jésus-Christ m’a affranchi de la loi du péché et de la mort</w:t>
      </w:r>
      <w:r>
        <w:t xml:space="preserve"> » (</w:t>
      </w:r>
      <w:hyperlink r:id="rId2319">
        <w:r>
          <w:rPr>
            <w:color w:val="0000EE"/>
            <w:u w:val="single"/>
          </w:rPr>
          <w:t>Rm 8.2</w:t>
        </w:r>
      </w:hyperlink>
      <w:r>
        <w:t>). Cette vérité est avancée de nombreuses fois et exprimée de diverses manières.</w:t>
      </w:r>
    </w:p>
    <w:p>
      <w:pPr>
        <w:pStyle w:val="Heading3"/>
      </w:pPr>
      <w:r>
        <w:t>Liberté par rapport à la loi religieuse</w:t>
      </w:r>
    </w:p>
    <w:p>
      <w:r/>
      <w:r>
        <w:t>Il existe une autre liberté qui appartient au chrétien. Les chrétiens sont libérés de la loi. Au premier siècle, de nombreuses personnes considéraient que c'était le respect des commandements de Dieu qui était le chemin du salut. Cela était couramment encouragé parmi certains Juifs. Certains des premiers chrétiens semblent avoir adopté cette idée. L'idée paraît évidente : si nous menons une bonne vie, nous serons en paix avec Dieu.</w:t>
      </w:r>
    </w:p>
    <w:p>
      <w:r/>
      <w:r>
        <w:t>Le problème avec cette position est que nous ne menons pas de bonnes vies. Le péché est trop puissant. Il existe un autre problème : Jésus n'est pas mort pour le chemin de la loi. Ceci est particulièrement souligné dans Galates. Paul soutient fermement que le salut ne se fait pas par le moyen de la loi mais par la foi (</w:t>
      </w:r>
      <w:hyperlink r:id="rId6828">
        <w:r>
          <w:rPr>
            <w:color w:val="0000EE"/>
            <w:u w:val="single"/>
          </w:rPr>
          <w:t>Rm 4</w:t>
        </w:r>
      </w:hyperlink>
      <w:r>
        <w:t xml:space="preserve"> ; </w:t>
      </w:r>
      <w:hyperlink r:id="rId9069">
        <w:r>
          <w:rPr>
            <w:color w:val="0000EE"/>
            <w:u w:val="single"/>
          </w:rPr>
          <w:t>Ga 3</w:t>
        </w:r>
      </w:hyperlink>
      <w:r>
        <w:t>). Il se plaint des personnes qui se sont glissées pour espionner la liberté qu'ils avaient en Christ Jésus (</w:t>
      </w:r>
      <w:hyperlink r:id="rId9070">
        <w:r>
          <w:rPr>
            <w:color w:val="0000EE"/>
            <w:u w:val="single"/>
          </w:rPr>
          <w:t>Ga 2.4</w:t>
        </w:r>
      </w:hyperlink>
      <w:r>
        <w:t>). Il souligne que, puisque Christ nous a libérés, nous ne devrions pas nous soumettre à une quelconque forme d'esclavage (</w:t>
      </w:r>
      <w:hyperlink r:id="rId8570">
        <w:r>
          <w:rPr>
            <w:color w:val="0000EE"/>
            <w:u w:val="single"/>
          </w:rPr>
          <w:t>5.1</w:t>
        </w:r>
      </w:hyperlink>
      <w:r>
        <w:t>).</w:t>
      </w:r>
    </w:p>
    <w:p>
      <w:pPr>
        <w:pStyle w:val="Heading3"/>
      </w:pPr>
      <w:r>
        <w:t>Liberté pour la création</w:t>
      </w:r>
    </w:p>
    <w:p>
      <w:r/>
      <w:r>
        <w:t xml:space="preserve">Paul a écrit qu'un jour, toute la création sera « </w:t>
      </w:r>
      <w:r>
        <w:t>affranchie de la servitude de la corruption</w:t>
      </w:r>
      <w:r>
        <w:t xml:space="preserve"> » (</w:t>
      </w:r>
      <w:hyperlink r:id="rId8643">
        <w:r>
          <w:rPr>
            <w:color w:val="0000EE"/>
            <w:u w:val="single"/>
          </w:rPr>
          <w:t>Rm 8.21</w:t>
        </w:r>
      </w:hyperlink>
      <w:r>
        <w:t>). La création partagera, d'une certaine manière, la liberté glorieuse des enfants de Dieu. Ceci annonce un avenir merveilleux pour la création. Et nous ne devrions pas manquer la « gloire » que signifie la liberté des enfants de Dieu.</w:t>
      </w:r>
    </w:p>
    <w:p>
      <w:pPr>
        <w:pStyle w:val="Heading3"/>
      </w:pPr>
      <w:r>
        <w:t>User de la liberté avec sagesse</w:t>
      </w:r>
    </w:p>
    <w:p>
      <w:r/>
      <w:r>
        <w:t>Nous pouvons désirer profiter de la liberté puisque nous ne faisons rien pour gagner notre salut. La Bible nous avertit cependant de ne pas abuser de notre liberté (</w:t>
      </w:r>
      <w:hyperlink r:id="rId2337">
        <w:r>
          <w:rPr>
            <w:color w:val="0000EE"/>
            <w:u w:val="single"/>
          </w:rPr>
          <w:t>Rm 6.1–4</w:t>
        </w:r>
      </w:hyperlink>
      <w:r>
        <w:t xml:space="preserve"> ; </w:t>
      </w:r>
      <w:hyperlink r:id="rId8916">
        <w:r>
          <w:rPr>
            <w:color w:val="0000EE"/>
            <w:u w:val="single"/>
          </w:rPr>
          <w:t>Ga 5.13</w:t>
        </w:r>
      </w:hyperlink>
      <w:r>
        <w:t xml:space="preserve"> ; </w:t>
      </w:r>
      <w:hyperlink r:id="rId9071">
        <w:r>
          <w:rPr>
            <w:color w:val="0000EE"/>
            <w:u w:val="single"/>
          </w:rPr>
          <w:t>1P 2.16</w:t>
        </w:r>
      </w:hyperlink>
      <w:r>
        <w:t>). Nous devons vivre en tant que personnes libres. Nous ne devons pas faire de notre liberté un moyen de devenir esclaves du péché.</w:t>
      </w:r>
    </w:p>
    <w:p>
      <w:r/>
      <w:r>
        <w:rPr>
          <w:i/>
        </w:rPr>
        <w:t>Voir aussi</w:t>
      </w:r>
      <w:r>
        <w:t xml:space="preserve"> </w:t>
      </w:r>
      <w:r>
        <w:t>Esclave, esclavage</w:t>
      </w:r>
      <w:r>
        <w:t>.</w:t>
      </w:r>
      <w:r/>
      <w:r/>
    </w:p>
    <w:p>
      <w:r/>
    </w:p>
    <w:p>
      <w:pPr>
        <w:pStyle w:val="Heading2"/>
      </w:pPr>
      <w:r>
        <w:t>Libertines</w:t>
      </w:r>
      <w:r/>
    </w:p>
    <w:p>
      <w:r/>
      <w:r>
        <w:t xml:space="preserve">Mot latin (pronocé </w:t>
      </w:r>
      <w:r>
        <w:rPr>
          <w:i/>
        </w:rPr>
        <w:t>li-ber-ti-nès</w:t>
      </w:r>
      <w:r>
        <w:t xml:space="preserve">) autrefois employé pour se référer aux affranchis d'origine juive (aucun rapport avec le sens courant de « libertin » dans la langue française courante). La seule référence à ceux-ci dans le Nouveau Testament se trouve dans </w:t>
      </w:r>
      <w:hyperlink r:id="rId383">
        <w:r>
          <w:rPr>
            <w:color w:val="0000EE"/>
            <w:u w:val="single"/>
          </w:rPr>
          <w:t>Actes 6.9</w:t>
        </w:r>
      </w:hyperlink>
      <w:r>
        <w:t>. La plupart des versions modernes traduisent ce terme latin par le terme plus francisé « affranchis » (ou « esclaves libérés », NFC) en supposant que la désignation est politico-légale, et non géographique. L'apparition des Libertines avec des groupes de différentes parties de l'empire pourrait signifier que les Libertines étaient un groupe de la région de Liberatum en Afrique du Nord, qui était à cette époque sous juridiction romaine. Il est cependant plus probable que les personnes qui se réunissaient dans la synagogue des Libertines étaient des Juifs qui avaient autrefois été esclaves. Philon, un Juif hellénistique d'Alexandrie, parle de Juifs qui avaient été capturés lors des conquêtes de Pompée et emmenés à Rome en l'an 63 av. J.‑C., où ils seront vendus comme esclaves mais libérés par la suite. Lorsque ces Juifs ont été libérés, ils se sont installés dans diverses parties de l'empire : Cyrène, Alexandrie, Cilicie et Asie.</w:t>
      </w:r>
    </w:p>
    <w:p>
      <w:r/>
      <w:r>
        <w:t xml:space="preserve">Ces Juifs hellénophones, selon </w:t>
      </w:r>
      <w:hyperlink r:id="rId383">
        <w:r>
          <w:rPr>
            <w:color w:val="0000EE"/>
            <w:u w:val="single"/>
          </w:rPr>
          <w:t>Actes 6.9</w:t>
        </w:r>
      </w:hyperlink>
      <w:r>
        <w:t>, adoraient dans une synagogue qui leur était propre à Jérusalem. Ils ne parlaient pas l'araméen de leurs homologues palestiniens. En 1913, R. Weill a trouvé une inscription à Jérusalem concernant un certain Théodote, fils de Vettenos. L'inscription fait référence à une synagogue qui correspond à la description d'</w:t>
      </w:r>
      <w:hyperlink r:id="rId383">
        <w:r>
          <w:rPr>
            <w:color w:val="0000EE"/>
            <w:u w:val="single"/>
          </w:rPr>
          <w:t>Actes 6.9</w:t>
        </w:r>
      </w:hyperlink>
      <w:r>
        <w:t>. L'Église primitive a jugé nécessaire de débattre de sa foi avec les Libertines de cette synagogue. Étienne, un homme nommé plus tôt pour traiter des problèmes survenant dans l'élément hellénophone de l'Église (</w:t>
      </w:r>
      <w:hyperlink r:id="rId6398">
        <w:r>
          <w:rPr>
            <w:color w:val="0000EE"/>
            <w:u w:val="single"/>
          </w:rPr>
          <w:t>Ac 6.1–6</w:t>
        </w:r>
      </w:hyperlink>
      <w:r>
        <w:t>), apparaît comme défenseur compétent de la foi en Jésus-Christ contre la synagogue des Libertines.</w:t>
      </w:r>
    </w:p>
    <w:p>
      <w:r/>
      <w:r>
        <w:rPr>
          <w:i/>
        </w:rPr>
        <w:t>Voir aussi</w:t>
      </w:r>
      <w:r>
        <w:t xml:space="preserve"> </w:t>
      </w:r>
      <w:r>
        <w:t>Affranchis</w:t>
      </w:r>
      <w:r>
        <w:t>.</w:t>
      </w:r>
      <w:r/>
      <w:r/>
    </w:p>
    <w:p>
      <w:r/>
    </w:p>
    <w:p>
      <w:pPr>
        <w:pStyle w:val="Heading2"/>
      </w:pPr>
      <w:r>
        <w:t>Libye, Libyens</w:t>
      </w:r>
      <w:r/>
    </w:p>
    <w:p>
      <w:r/>
      <w:r>
        <w:t>Pays et ses habitants à l'ouest de l'Égypte. Dans les textes hébreux anciens , trois mots différents étaient utilisés pour décrire la Libye et son peuple. Ces mots peuvent être difficiles à comprendre aujourd'hui pour deux raisons. Premièrement, certains des anciens textes sont peu clairs. Deuxièmement, les écrivains d'autrefois utilisaient souvent le mot « Libye » pour désigner toute partie de l'Afrique qui n'était pas l'Égypte.</w:t>
      </w:r>
    </w:p>
    <w:p>
      <w:r/>
      <w:r>
        <w:t>À partir du XIIe siècle av. J.‑C., les Libyens ont servi dans les armées d'Égypte et d'Éthiopie (</w:t>
      </w:r>
      <w:hyperlink r:id="rId8832">
        <w:r>
          <w:rPr>
            <w:color w:val="0000EE"/>
            <w:u w:val="single"/>
          </w:rPr>
          <w:t>2Ch 12.3</w:t>
        </w:r>
      </w:hyperlink>
      <w:r>
        <w:t xml:space="preserve"> ; </w:t>
      </w:r>
      <w:hyperlink r:id="rId8833">
        <w:r>
          <w:rPr>
            <w:color w:val="0000EE"/>
            <w:u w:val="single"/>
          </w:rPr>
          <w:t>16.8</w:t>
        </w:r>
      </w:hyperlink>
      <w:r>
        <w:t xml:space="preserve"> ; </w:t>
      </w:r>
      <w:hyperlink r:id="rId8831">
        <w:r>
          <w:rPr>
            <w:color w:val="0000EE"/>
            <w:u w:val="single"/>
          </w:rPr>
          <w:t>Na 3.9</w:t>
        </w:r>
      </w:hyperlink>
      <w:r>
        <w:t>). L'un de leurs chefs les plus célèbres était Schischak, qui venait de Libye. Il est ensuite devenu un dirigeant puissant qui a envahi d'autres terres.</w:t>
      </w:r>
    </w:p>
    <w:p>
      <w:r/>
      <w:r>
        <w:t>Le prophète Ézéchiel a dit que la Libye serait vaincue avec d'autres nations (</w:t>
      </w:r>
      <w:hyperlink r:id="rId9072">
        <w:r>
          <w:rPr>
            <w:color w:val="0000EE"/>
            <w:u w:val="single"/>
          </w:rPr>
          <w:t>Ez 30.5</w:t>
        </w:r>
      </w:hyperlink>
      <w:r>
        <w:t>). Le livre de Daniel mentionne également que les Libyens faisaient partie des peuples qui ont été conquis (</w:t>
      </w:r>
      <w:hyperlink r:id="rId8830">
        <w:r>
          <w:rPr>
            <w:color w:val="0000EE"/>
            <w:u w:val="single"/>
          </w:rPr>
          <w:t>Dn 11.43</w:t>
        </w:r>
      </w:hyperlink>
      <w:r>
        <w:t>). Le livre d'Ésaïe mentionne brièvement les Libyens, les appelant par leur nom hébreu « Pul » (</w:t>
      </w:r>
      <w:hyperlink r:id="rId6096">
        <w:r>
          <w:rPr>
            <w:color w:val="0000EE"/>
            <w:u w:val="single"/>
          </w:rPr>
          <w:t>Es 66.19</w:t>
        </w:r>
      </w:hyperlink>
      <w:r>
        <w:t>).</w:t>
      </w:r>
    </w:p>
    <w:p>
      <w:r/>
      <w:r>
        <w:t>Un homme nommé Simon, originaire d'une ville appelée Cyrène en Libye, a été contraint par les soldats romains de porter la croix de Jésus le jour de sa crucifixion (</w:t>
      </w:r>
      <w:hyperlink r:id="rId3538">
        <w:r>
          <w:rPr>
            <w:color w:val="0000EE"/>
            <w:u w:val="single"/>
          </w:rPr>
          <w:t>Mt 27.32</w:t>
        </w:r>
      </w:hyperlink>
      <w:r>
        <w:t xml:space="preserve"> ; </w:t>
      </w:r>
      <w:hyperlink r:id="rId524">
        <w:r>
          <w:rPr>
            <w:color w:val="0000EE"/>
            <w:u w:val="single"/>
          </w:rPr>
          <w:t>Mc 15.21</w:t>
        </w:r>
      </w:hyperlink>
      <w:r>
        <w:t xml:space="preserve"> ; </w:t>
      </w:r>
      <w:hyperlink r:id="rId9073">
        <w:r>
          <w:rPr>
            <w:color w:val="0000EE"/>
            <w:u w:val="single"/>
          </w:rPr>
          <w:t>Lc 23.26</w:t>
        </w:r>
      </w:hyperlink>
      <w:r>
        <w:t>). Cyrène se trouve à l'est de la Libye. Plus tard, lorsque le Saint-Esprit est venu sur les disciples de Jésus à Jérusalem le jour de la Pentecôte, des personnes de Libye faisaient partie de la grande foule rassemblée ce jour-là en ce lieu (</w:t>
      </w:r>
      <w:hyperlink r:id="rId3539">
        <w:r>
          <w:rPr>
            <w:color w:val="0000EE"/>
            <w:u w:val="single"/>
          </w:rPr>
          <w:t>Ac 2.10</w:t>
        </w:r>
      </w:hyperlink>
      <w:r>
        <w:t>).</w:t>
      </w:r>
      <w:r/>
      <w:r/>
    </w:p>
    <w:p>
      <w:r/>
    </w:p>
    <w:p>
      <w:pPr>
        <w:pStyle w:val="Heading2"/>
      </w:pPr>
      <w:r>
        <w:t>Lion de la Tribu de Juda</w:t>
      </w:r>
      <w:r/>
    </w:p>
    <w:p>
      <w:r/>
      <w:r>
        <w:t xml:space="preserve">Un titre du Messie (le leader choisi de Dieu) qui n'apparaît que dans </w:t>
      </w:r>
      <w:hyperlink r:id="rId3646">
        <w:r>
          <w:rPr>
            <w:color w:val="0000EE"/>
            <w:u w:val="single"/>
          </w:rPr>
          <w:t>Apocalypse 5.5</w:t>
        </w:r>
      </w:hyperlink>
      <w:r>
        <w:t xml:space="preserve"> : « </w:t>
      </w:r>
      <w:r>
        <w:t>le lion de la tribu de Juda, le rejeton de David, a vaincu</w:t>
      </w:r>
      <w:r>
        <w:t xml:space="preserve"> ». C'est une référence à la promesse de </w:t>
      </w:r>
      <w:hyperlink r:id="rId9074">
        <w:r>
          <w:rPr>
            <w:color w:val="0000EE"/>
            <w:u w:val="single"/>
          </w:rPr>
          <w:t>Genèse 49.9–10</w:t>
        </w:r>
      </w:hyperlink>
      <w:r>
        <w:t xml:space="preserve"> : « Juda est un jeune lion. [...] </w:t>
      </w:r>
      <w:r>
        <w:t>Le sceptre ne s’éloignera point de Juda</w:t>
      </w:r>
      <w:r>
        <w:t>. »</w:t>
      </w:r>
    </w:p>
    <w:p>
      <w:r/>
      <w:r>
        <w:t xml:space="preserve">L'expression résume l'espérance de l'Ancien Testament selon laquelle le Messie conquierrait et délivrerait son peuple de toute forme de mal spirituel, politique et social (voir </w:t>
      </w:r>
      <w:hyperlink r:id="rId9075">
        <w:r>
          <w:rPr>
            <w:color w:val="0000EE"/>
            <w:u w:val="single"/>
          </w:rPr>
          <w:t>2 Esd 11.37</w:t>
        </w:r>
      </w:hyperlink>
      <w:r>
        <w:t xml:space="preserve"> ; </w:t>
      </w:r>
      <w:hyperlink r:id="rId9076">
        <w:r>
          <w:rPr>
            <w:color w:val="0000EE"/>
            <w:u w:val="single"/>
          </w:rPr>
          <w:t>12.31</w:t>
        </w:r>
      </w:hyperlink>
      <w:r>
        <w:t>). L'Ancien Testament utilise souvent le lion comme symbole de puissance et de capacité à vaincre leurs ennemis (</w:t>
      </w:r>
      <w:hyperlink r:id="rId9077">
        <w:r>
          <w:rPr>
            <w:color w:val="0000EE"/>
            <w:u w:val="single"/>
          </w:rPr>
          <w:t>Jb 10.16</w:t>
        </w:r>
      </w:hyperlink>
      <w:r>
        <w:t xml:space="preserve"> ; </w:t>
      </w:r>
      <w:hyperlink r:id="rId9078">
        <w:r>
          <w:rPr>
            <w:color w:val="0000EE"/>
            <w:u w:val="single"/>
          </w:rPr>
          <w:t>Ps 10.9</w:t>
        </w:r>
      </w:hyperlink>
      <w:r>
        <w:t xml:space="preserve"> ; </w:t>
      </w:r>
      <w:hyperlink r:id="rId2464">
        <w:r>
          <w:rPr>
            <w:color w:val="0000EE"/>
            <w:u w:val="single"/>
          </w:rPr>
          <w:t>Ez 1.10</w:t>
        </w:r>
      </w:hyperlink>
      <w:r>
        <w:t xml:space="preserve"> ; </w:t>
      </w:r>
      <w:hyperlink r:id="rId9079">
        <w:r>
          <w:rPr>
            <w:color w:val="0000EE"/>
            <w:u w:val="single"/>
          </w:rPr>
          <w:t>Dn 7.1–4</w:t>
        </w:r>
      </w:hyperlink>
      <w:r>
        <w:t>).</w:t>
      </w:r>
    </w:p>
    <w:p>
      <w:r/>
      <w:r>
        <w:t>L'auteur de l'Apocalypse affirme que tous les chrétiens croient que Christ vaincra toutes les puissances du mal. Toutefois, contrairement à l'espérance de l'Ancien Testament, Christ ne viendra pas comme un lion conquérant par la puissance militaire, mais comme l'Agneau, qui souffre et est sacrifié pour les péchés de son peuple (</w:t>
      </w:r>
      <w:hyperlink r:id="rId4918">
        <w:r>
          <w:rPr>
            <w:color w:val="0000EE"/>
            <w:u w:val="single"/>
          </w:rPr>
          <w:t>Ap 5.6</w:t>
        </w:r>
      </w:hyperlink>
      <w:r>
        <w:t>).</w:t>
      </w:r>
      <w:r/>
      <w:r/>
    </w:p>
    <w:p>
      <w:r/>
    </w:p>
    <w:p>
      <w:pPr>
        <w:pStyle w:val="Heading2"/>
      </w:pPr>
      <w:r>
        <w:t>livre</w:t>
      </w:r>
      <w:r/>
    </w:p>
    <w:p>
      <w:r/>
      <w:r>
        <w:t>Ensemble de pages écrites ou rouleau qui contient un récit ou sert à grouper des informations. À l'époque biblique, les livres étaient généralement faits de bois, de parchemin ou de papyrus.</w:t>
      </w:r>
    </w:p>
    <w:p>
      <w:r/>
      <w:r>
        <w:t xml:space="preserve">Il y a 66 livres dans la Bible : 39 dans les Écritures juives ou Ancien Testament (AT) et 27 dans le Nouveau Testament (NT). Chaque livre a son propre sujet et le contenu qui s'y rapporte. Par exemple, la Genèse raconte les débuts de l'histoire biblique. Ruth raconte l'histoire de cette femme, qui était l'arrière grand-mère du roi David. Les livres des prophètes regroupent les prophéties de ces prophètes. Les Évangiles racontent la vie et les enseignements de Jésus. </w:t>
      </w:r>
    </w:p>
    <w:p>
      <w:pPr>
        <w:pStyle w:val="Heading3"/>
      </w:pPr>
      <w:r>
        <w:t>Le livre de la loi</w:t>
      </w:r>
    </w:p>
    <w:p>
      <w:r/>
      <w:r>
        <w:t>Le livre le plus important pour les anciens Israélites était le livre de la loi (</w:t>
      </w:r>
      <w:hyperlink r:id="rId9080">
        <w:r>
          <w:rPr>
            <w:color w:val="0000EE"/>
            <w:u w:val="single"/>
          </w:rPr>
          <w:t>2R 22.8</w:t>
        </w:r>
      </w:hyperlink>
      <w:r>
        <w:t>). Ce livre était particulièrement important parce qu'il contient la révélation de Dieu à Moïse, le plus important des prophètes de l'AT (</w:t>
      </w:r>
      <w:hyperlink r:id="rId7484">
        <w:r>
          <w:rPr>
            <w:color w:val="0000EE"/>
            <w:u w:val="single"/>
          </w:rPr>
          <w:t>Jos 23.6</w:t>
        </w:r>
      </w:hyperlink>
      <w:r>
        <w:t xml:space="preserve">; </w:t>
      </w:r>
      <w:hyperlink r:id="rId1941">
        <w:r>
          <w:rPr>
            <w:color w:val="0000EE"/>
            <w:u w:val="single"/>
          </w:rPr>
          <w:t>Mc 12.26</w:t>
        </w:r>
      </w:hyperlink>
      <w:r>
        <w:t xml:space="preserve">). Le livre de la loi inclut l'alliance de Dieu avec Israël, ses commandements, ses instructions et des promesses ainsi que des avertissements (voir p. ex. </w:t>
      </w:r>
      <w:hyperlink r:id="rId561">
        <w:r>
          <w:rPr>
            <w:color w:val="0000EE"/>
            <w:u w:val="single"/>
          </w:rPr>
          <w:t>Ex 20</w:t>
        </w:r>
      </w:hyperlink>
      <w:r>
        <w:t>). Ce livre était donc fondamental à la foi d'Israël.</w:t>
      </w:r>
    </w:p>
    <w:p>
      <w:r/>
      <w:r>
        <w:t>Dieu commande à Josué de méditer sur le livre de la loi jour et nuit (</w:t>
      </w:r>
      <w:hyperlink r:id="rId7860">
        <w:r>
          <w:rPr>
            <w:color w:val="0000EE"/>
            <w:u w:val="single"/>
          </w:rPr>
          <w:t>Jos 1.8</w:t>
        </w:r>
      </w:hyperlink>
      <w:r>
        <w:t>). Les prophètes y font souvent allusion, particulièrement à Deutéronome. Lorsque des rois de Juda se détournent de Dieu, le Temple et le livre de la loi cessent d'être utilisés. Au temps du roi Josias, qui aimait Dieu, le Temple est réparé et le livre de la loi y est retrouvé. La lecture de la loi inspire le roi et le peuple à se repentir et à revenir vers Dieu (</w:t>
      </w:r>
      <w:hyperlink r:id="rId9081">
        <w:r>
          <w:rPr>
            <w:color w:val="0000EE"/>
            <w:u w:val="single"/>
          </w:rPr>
          <w:t>2R 22.8</w:t>
        </w:r>
      </w:hyperlink>
      <w:r>
        <w:t>–</w:t>
      </w:r>
      <w:hyperlink r:id="rId9081">
        <w:r>
          <w:rPr>
            <w:color w:val="0000EE"/>
            <w:u w:val="single"/>
          </w:rPr>
          <w:t>13</w:t>
        </w:r>
      </w:hyperlink>
      <w:r>
        <w:t>).</w:t>
      </w:r>
    </w:p>
    <w:p>
      <w:pPr>
        <w:pStyle w:val="Heading3"/>
      </w:pPr>
      <w:r>
        <w:t>Autres livres mentionnés dans la Bible</w:t>
      </w:r>
    </w:p>
    <w:p>
      <w:r/>
      <w:r>
        <w:t>Un certain nombre de livres sont mentionnés dans la Bible. Souvent, ce sont des sources d'information dont il est question dans les récits bibliques :</w:t>
      </w:r>
    </w:p>
    <w:p>
      <w:pPr>
        <w:pStyle w:val="ListBullet"/>
        <w:spacing w:line="240" w:lineRule="auto"/>
        <w:ind w:left="720"/>
      </w:pPr>
      <w:r/>
      <w:r>
        <w:t xml:space="preserve">Le Livre des </w:t>
      </w:r>
      <w:r>
        <w:t>Guerres de l’Éternel</w:t>
      </w:r>
      <w:r>
        <w:t xml:space="preserve"> (</w:t>
      </w:r>
      <w:hyperlink r:id="rId9082">
        <w:r>
          <w:rPr>
            <w:color w:val="0000EE"/>
            <w:u w:val="single"/>
          </w:rPr>
          <w:t>Nb 21.14</w:t>
        </w:r>
      </w:hyperlink>
      <w:r>
        <w:t>)</w:t>
      </w:r>
    </w:p>
    <w:p>
      <w:pPr>
        <w:pStyle w:val="ListBullet"/>
        <w:spacing w:line="240" w:lineRule="auto"/>
        <w:ind w:left="720"/>
      </w:pPr>
      <w:r/>
      <w:r>
        <w:t>Le Livre du Juste (</w:t>
      </w:r>
      <w:hyperlink r:id="rId9083">
        <w:r>
          <w:rPr>
            <w:color w:val="0000EE"/>
            <w:u w:val="single"/>
          </w:rPr>
          <w:t>Jos 10.13</w:t>
        </w:r>
      </w:hyperlink>
      <w:r>
        <w:t xml:space="preserve"> ; </w:t>
      </w:r>
      <w:hyperlink r:id="rId7554">
        <w:r>
          <w:rPr>
            <w:color w:val="0000EE"/>
            <w:u w:val="single"/>
          </w:rPr>
          <w:t>2S 1.18</w:t>
        </w:r>
      </w:hyperlink>
      <w:r>
        <w:t>)</w:t>
      </w:r>
    </w:p>
    <w:p>
      <w:pPr>
        <w:pStyle w:val="ListBullet"/>
        <w:spacing w:line="240" w:lineRule="auto"/>
        <w:ind w:left="720"/>
      </w:pPr>
      <w:r/>
      <w:r>
        <w:t>Le Livre des Actes de Salomon (</w:t>
      </w:r>
      <w:hyperlink r:id="rId9084">
        <w:r>
          <w:rPr>
            <w:color w:val="0000EE"/>
            <w:u w:val="single"/>
          </w:rPr>
          <w:t>1R 11.41</w:t>
        </w:r>
      </w:hyperlink>
      <w:r>
        <w:t>)</w:t>
      </w:r>
    </w:p>
    <w:p>
      <w:pPr>
        <w:pStyle w:val="ListBullet"/>
        <w:spacing w:line="240" w:lineRule="auto"/>
        <w:ind w:left="720"/>
      </w:pPr>
      <w:r/>
      <w:r>
        <w:t>Le Livre des Chroniques des Rois de Juda (</w:t>
      </w:r>
      <w:hyperlink r:id="rId9085">
        <w:r>
          <w:rPr>
            <w:color w:val="0000EE"/>
            <w:u w:val="single"/>
          </w:rPr>
          <w:t>1R 14.29</w:t>
        </w:r>
      </w:hyperlink>
      <w:r>
        <w:t>)</w:t>
      </w:r>
    </w:p>
    <w:p>
      <w:r/>
      <w:r>
        <w:t xml:space="preserve">De nombreux textes prophétiques sont mentionnés dans 1 et 2 Chroniques comme sources d'information. </w:t>
      </w:r>
      <w:hyperlink r:id="rId5829">
        <w:r>
          <w:rPr>
            <w:color w:val="0000EE"/>
            <w:u w:val="single"/>
          </w:rPr>
          <w:t>1 Chroniques 29.29</w:t>
        </w:r>
      </w:hyperlink>
      <w:r>
        <w:t xml:space="preserve"> en mentionne trois : le Livre de Samuel le voyant, le Livre de Nathan le prophète et le Livre de Gad le prophète (</w:t>
      </w:r>
      <w:hyperlink r:id="rId5829">
        <w:r>
          <w:rPr>
            <w:color w:val="0000EE"/>
            <w:u w:val="single"/>
          </w:rPr>
          <w:t>1Ch 29.29</w:t>
        </w:r>
      </w:hyperlink>
      <w:r>
        <w:t xml:space="preserve">). </w:t>
      </w:r>
      <w:hyperlink r:id="rId9086">
        <w:r>
          <w:rPr>
            <w:color w:val="0000EE"/>
            <w:u w:val="single"/>
          </w:rPr>
          <w:t xml:space="preserve">2 Chroniques 9.29 </w:t>
        </w:r>
      </w:hyperlink>
      <w:r>
        <w:t xml:space="preserve">mentionne aussi la </w:t>
      </w:r>
      <w:r>
        <w:t>Prophétie d’Achija de Silo.</w:t>
      </w:r>
    </w:p>
    <w:p>
      <w:r/>
      <w:r>
        <w:t xml:space="preserve">Le fait que les livres historiques de 1 &amp; 2 Chroniques utilisent des textes écrits par des prophètes comme sources montre que </w:t>
      </w:r>
      <w:r>
        <w:t>les Israélites considéraient leur histoire comme un récit des œuvres de Dieu.</w:t>
      </w:r>
    </w:p>
    <w:p>
      <w:r/>
      <w:r>
        <w:rPr>
          <w:i/>
        </w:rPr>
        <w:t>Consulter</w:t>
      </w:r>
      <w:r>
        <w:t xml:space="preserve"> </w:t>
      </w:r>
      <w:r>
        <w:t>Écriture</w:t>
      </w:r>
      <w:r>
        <w:t>.</w:t>
      </w:r>
      <w:r/>
      <w:r/>
    </w:p>
    <w:p>
      <w:r/>
    </w:p>
    <w:p>
      <w:pPr>
        <w:pStyle w:val="Heading2"/>
      </w:pPr>
      <w:r>
        <w:t>Livre d'Esther</w:t>
      </w:r>
      <w:r/>
    </w:p>
    <w:p>
      <w:r/>
      <w:r>
        <w:t>Livre de l'Ancien Testament qui relate l'histoire d'une femme juive qui protège son peuple après son mariage avec un roi non-juif.</w:t>
      </w:r>
    </w:p>
    <w:p>
      <w:pPr>
        <w:pStyle w:val="Heading3"/>
      </w:pPr>
      <w:r>
        <w:t>Survol</w:t>
      </w:r>
    </w:p>
    <w:p>
      <w:r/>
      <w:r>
        <w:t xml:space="preserve">• </w:t>
      </w:r>
      <w:r>
        <w:rPr>
          <w:b/>
          <w:u w:val="single"/>
        </w:rPr>
        <w:t>Qui a rédigé le Livre d'Esther ?</w:t>
      </w:r>
    </w:p>
    <w:p>
      <w:r/>
      <w:r>
        <w:t xml:space="preserve">• </w:t>
      </w:r>
      <w:r>
        <w:rPr>
          <w:b/>
          <w:u w:val="single"/>
        </w:rPr>
        <w:t>Quand et où le Livre d'Esther a-t-il été écrit ? Pourquoi a-t-il été écrit ?</w:t>
      </w:r>
    </w:p>
    <w:p>
      <w:r/>
      <w:r>
        <w:t xml:space="preserve">• </w:t>
      </w:r>
      <w:r>
        <w:rPr>
          <w:b/>
          <w:u w:val="single"/>
        </w:rPr>
        <w:t>Le livre d'Esther est-il considéré comme faisant partie de la Bible ?</w:t>
      </w:r>
    </w:p>
    <w:p>
      <w:r/>
      <w:r>
        <w:t xml:space="preserve">• </w:t>
      </w:r>
      <w:r>
        <w:rPr>
          <w:b/>
          <w:u w:val="single"/>
        </w:rPr>
        <w:t>Quel est le contexte du livre d'Esther ?</w:t>
      </w:r>
    </w:p>
    <w:p>
      <w:r/>
      <w:r>
        <w:t xml:space="preserve">• </w:t>
      </w:r>
      <w:r>
        <w:rPr>
          <w:b/>
          <w:u w:val="single"/>
        </w:rPr>
        <w:t>Quel est le message du livre d'Esther ?</w:t>
      </w:r>
    </w:p>
    <w:p>
      <w:pPr>
        <w:pStyle w:val="Heading3"/>
      </w:pPr>
      <w:r>
        <w:t>Qui a rédigé le Livre d'Esther ?</w:t>
      </w:r>
    </w:p>
    <w:p>
      <w:r/>
      <w:r>
        <w:t xml:space="preserve">Nous ne savons pas qui a écrit le livre d'Esther. La référence dans </w:t>
      </w:r>
      <w:hyperlink r:id="rId9087">
        <w:r>
          <w:rPr>
            <w:color w:val="0000EE"/>
            <w:u w:val="single"/>
          </w:rPr>
          <w:t>9.20</w:t>
        </w:r>
      </w:hyperlink>
      <w:r>
        <w:t xml:space="preserve"> où il est dit que Mardochée « </w:t>
      </w:r>
      <w:r>
        <w:t>écrivit ces choses</w:t>
      </w:r>
      <w:r>
        <w:t xml:space="preserve"> » implique qu'une partie, sinon la totalité, du livre a été écrite par lui. L'absence du nom de Dieu dans le livre d'Esther peut être due au fait que l'auteur souhaitait que le livre devienne une partie des archives officielles de la cour perse. L'utilisation du nom de Dieu aurait pu empêcher cela de se produire.</w:t>
      </w:r>
    </w:p>
    <w:p>
      <w:r/>
      <w:r>
        <w:t>L'auteur du livre avait une grande connaissance de la vie et des coutumes à la cour perse (le lieu où vivait et régnait le roi). Pour cette raison, certaines personnes pensent que Mardochée pourrait être la même personne qu'un homme nommé Morduka. Morduka était un fonctionnaire de la cour perse (quelqu'un qui travaillait pour le roi) à l'époque de deux rois :</w:t>
      </w:r>
    </w:p>
    <w:p>
      <w:pPr>
        <w:pStyle w:val="ListNumber"/>
        <w:spacing w:line="240" w:lineRule="auto"/>
        <w:ind w:left="720"/>
      </w:pPr>
      <w:r/>
      <w:r>
        <w:t>Darius 1er, qui a régné de 521 à 486 av. J.‑C.</w:t>
      </w:r>
    </w:p>
    <w:p>
      <w:pPr>
        <w:pStyle w:val="ListNumber"/>
        <w:spacing w:line="240" w:lineRule="auto"/>
        <w:ind w:left="720"/>
      </w:pPr>
      <w:r/>
      <w:r>
        <w:t>Xerxès, qui a régné de 486 à 464 av. J.‑C.</w:t>
      </w:r>
    </w:p>
    <w:p>
      <w:pPr>
        <w:pStyle w:val="Heading3"/>
      </w:pPr>
      <w:r>
        <w:t>Quand et où le Livre d'Esther a-t-il été écrit ? Pourquoi a-t-il été écrit ?</w:t>
      </w:r>
    </w:p>
    <w:p>
      <w:r/>
      <w:r>
        <w:t>Le moment et le lieu exacts de la rédaction du Livre d'Esther ne sont pas certains. Plusieurs pensent qu'il a été écrit peu après 465 av. J.‑C. Cette idée provient de la mention dans le livre du roi Assuérus, qui pourrait être le roi Xerxès. Xerxès est mort en 465 av. J.‑C.</w:t>
      </w:r>
    </w:p>
    <w:p>
      <w:r/>
      <w:r>
        <w:t>Cependant, de nombreux chercheurs pensent qu'il a été écrit plus tard. Un livre appelé l'Ecclésiastique, rédigé vers 180 av. J.‑C., mentionne des événements de cette époque ultérieure. Il évoque également des héros juifs mais ne parle pas d'Esther ou de Mardochée. Cela suggère que le livre d'Esther n'avait peut-être pas encore été écrit.</w:t>
      </w:r>
    </w:p>
    <w:p>
      <w:r/>
      <w:r>
        <w:t xml:space="preserve">Certains érudits pensent que le livre d'Esther a été écrit à l'époque des Maccabées, vers 167 à 160 av. J.‑C. D'autres estiment que l'histoire d'Esther pourrait provenir d'un ancien conte religieux (histoire cultuelle) de l'ancienne Babylone. Selon cette perspective, le personnage d'Esther pourrait être basé sur Ishtar, une déesse de la croyance babylonienne. Mardochée pourrait être inspiré de Marduk, un dieu de la croyance babylonienne. La première référence en dehors de la Bible à la Fête de Pourim (un événement décrit dans le livre d'Esther) se trouve dans </w:t>
      </w:r>
      <w:hyperlink r:id="rId9088">
        <w:r>
          <w:rPr>
            <w:color w:val="0000EE"/>
            <w:u w:val="single"/>
          </w:rPr>
          <w:t>2 Maccabées 15.36</w:t>
        </w:r>
      </w:hyperlink>
      <w:r>
        <w:t>, qui a probablement été écrit vers 75 av. J.‑C.</w:t>
      </w:r>
    </w:p>
    <w:p>
      <w:r/>
      <w:r>
        <w:t>Le livre d'Esther prétend relater des événements survenus en Perse au cours du Ve siècle av. J.‑C. Ces événements racontent comment Esther est devenue reine. Si le livre a été écrit après les événements qu'il décrit, il pourrait avoir eu un objectif particulier. Il pourrait avoir été rédigé pour donner de l'espoir au peuple juif à une époque où il était maltraité (persécuté).</w:t>
      </w:r>
    </w:p>
    <w:p>
      <w:r/>
      <w:r>
        <w:t xml:space="preserve">Un objectif clair du Livre d'Esther est d'expliquer l'origine de la fête juive appelée Pourim, décrite dans </w:t>
      </w:r>
      <w:hyperlink r:id="rId9089">
        <w:r>
          <w:rPr>
            <w:color w:val="0000EE"/>
            <w:u w:val="single"/>
          </w:rPr>
          <w:t>Esther 9.16–28</w:t>
        </w:r>
      </w:hyperlink>
      <w:r>
        <w:t xml:space="preserve">. Le terme « pourim » est probablement lié au mot assyrien </w:t>
      </w:r>
      <w:r>
        <w:rPr>
          <w:i/>
        </w:rPr>
        <w:t>puru</w:t>
      </w:r>
      <w:r>
        <w:t>, signifiant une petite pierre utilisée pour tirer au sort.</w:t>
      </w:r>
    </w:p>
    <w:p>
      <w:pPr>
        <w:pStyle w:val="Heading3"/>
      </w:pPr>
      <w:r>
        <w:t>Le livre d'Esther est-il considéré comme faisant partie de la Bible ?</w:t>
      </w:r>
    </w:p>
    <w:p>
      <w:r/>
      <w:r>
        <w:t>Le principal problème que certaines personnes perçoivent avec le livre d'Esther est qu'il ne mentionne pas directement Dieu. Il ne parle pas non plus clairement de la direction divine (providence) dans les événements de l'histoire, ce qui est inhabituel pour un livre de la Bible. Ainsi, certains érudits juifs et chrétiens se demandent s'il devrait être inclus dans le canon de la Bible (la liste officielle des livres considérés comme Écriture).</w:t>
      </w:r>
    </w:p>
    <w:p>
      <w:r/>
      <w:r>
        <w:t>À y regardant de plus près, cependant, nous pouvons voir la conduite de Dieu tout au long du récit :</w:t>
      </w:r>
    </w:p>
    <w:p>
      <w:pPr>
        <w:pStyle w:val="ListBullet"/>
        <w:spacing w:line="240" w:lineRule="auto"/>
        <w:ind w:left="720"/>
      </w:pPr>
      <w:r/>
      <w:hyperlink r:id="rId7269">
        <w:r>
          <w:rPr>
            <w:color w:val="0000EE"/>
            <w:u w:val="single"/>
          </w:rPr>
          <w:t>Esther 4.16</w:t>
        </w:r>
      </w:hyperlink>
      <w:r>
        <w:t xml:space="preserve"> mentionne le jeûne (s'abstenir de manger pendant un certain temps), ce qui indique également un temps dévoué à la prière.</w:t>
      </w:r>
    </w:p>
    <w:p>
      <w:pPr>
        <w:pStyle w:val="ListBullet"/>
        <w:spacing w:line="240" w:lineRule="auto"/>
        <w:ind w:left="720"/>
      </w:pPr>
      <w:r/>
      <w:r>
        <w:t>Il semble qu'Esther soit au bon endroit au bon moment, au-delà de pures coïncidences.</w:t>
      </w:r>
    </w:p>
    <w:p>
      <w:pPr>
        <w:pStyle w:val="ListBullet"/>
        <w:spacing w:line="240" w:lineRule="auto"/>
        <w:ind w:left="720"/>
      </w:pPr>
      <w:r/>
      <w:r>
        <w:t>La chute d'Haman (le méchant de l'histoire) semble également être guidée par Dieu.</w:t>
      </w:r>
    </w:p>
    <w:p>
      <w:r/>
      <w:r>
        <w:t>Le livre montre comment Dieu protège son peuple même lorsqu'il est maltraité, ce qui en a fait un livre préféré pour de nombreux Juifs à travers l'histoire. Cependant, certaines parties du livre sont difficiles à comprendre aujourd'hui. Par exemple, le traitement sévère des fils d'Haman (</w:t>
      </w:r>
      <w:hyperlink r:id="rId9090">
        <w:r>
          <w:rPr>
            <w:color w:val="0000EE"/>
            <w:u w:val="single"/>
          </w:rPr>
          <w:t>9.13–14</w:t>
        </w:r>
      </w:hyperlink>
      <w:r>
        <w:t>) n'est pas quelque chose que nous accepterions maintenant.</w:t>
      </w:r>
    </w:p>
    <w:p>
      <w:r/>
      <w:r>
        <w:t xml:space="preserve">Bien que le livre d'Esther contienne des enseignements pratiques, certaines personnes se demandent encore s'il appartient vraiment à la Bible. Dans la Bible juive, Esther fait partie d'un groupe de cinq livres appelés les </w:t>
      </w:r>
      <w:r>
        <w:rPr>
          <w:i/>
        </w:rPr>
        <w:t>Megilloth</w:t>
      </w:r>
      <w:r>
        <w:t>. Les autres livres de ce groupe sont Ruth, le Cantique des cantiques, Ecclésiaste et Lamentations. La Septante (version grecque de l'Ancien Testament) ajoute 107 versets supplémentaires au livre d'Esther. Ces ajouts font partie des Apocryphes dans les versions françaises de la Bible.</w:t>
      </w:r>
    </w:p>
    <w:p>
      <w:r/>
      <w:r>
        <w:t>Les gens débattent depuis longtemps de la question de savoir si Esther devrait être dans la Bible. Même pendant la Réforme (il y a environ cinq cents ans), la question était encore d'actualité. Aujourd'hui, certains chrétiens évangéliques ont encore des doutes sur la valeur du livre. Cependant, la plupart des gens acceptent Esther comme faisant partie de la Bible pour deux raisons principales :</w:t>
      </w:r>
    </w:p>
    <w:p>
      <w:pPr>
        <w:pStyle w:val="ListNumber"/>
        <w:spacing w:line="240" w:lineRule="auto"/>
        <w:ind w:left="720"/>
      </w:pPr>
      <w:r/>
      <w:r>
        <w:t>Les Juifs et les Chrétiens l'ont accepté depuis longtemps comme faisant partie de leurs livres sacrés.</w:t>
      </w:r>
    </w:p>
    <w:p>
      <w:pPr>
        <w:pStyle w:val="ListNumber"/>
        <w:spacing w:line="240" w:lineRule="auto"/>
        <w:ind w:left="720"/>
      </w:pPr>
      <w:r/>
      <w:r>
        <w:t xml:space="preserve">Il montre comment Dieu prend soin du peuple juif, une idée importante dans la Bible. (Voir, à ce sujet, </w:t>
      </w:r>
      <w:hyperlink r:id="rId8951">
        <w:r>
          <w:rPr>
            <w:color w:val="0000EE"/>
            <w:u w:val="single"/>
          </w:rPr>
          <w:t>Rm 9–11</w:t>
        </w:r>
      </w:hyperlink>
      <w:r>
        <w:t xml:space="preserve"> ; </w:t>
      </w:r>
      <w:hyperlink r:id="rId9091">
        <w:r>
          <w:rPr>
            <w:color w:val="0000EE"/>
            <w:u w:val="single"/>
          </w:rPr>
          <w:t>Ap 7</w:t>
        </w:r>
      </w:hyperlink>
      <w:r>
        <w:t xml:space="preserve">, </w:t>
      </w:r>
      <w:hyperlink r:id="rId9092">
        <w:r>
          <w:rPr>
            <w:color w:val="0000EE"/>
            <w:u w:val="single"/>
          </w:rPr>
          <w:t>14)</w:t>
        </w:r>
      </w:hyperlink>
      <w:r>
        <w:t>.</w:t>
      </w:r>
    </w:p>
    <w:p>
      <w:pPr>
        <w:pStyle w:val="Heading3"/>
      </w:pPr>
      <w:r>
        <w:t>Quel est le contexte du livre d'Esther ?</w:t>
      </w:r>
    </w:p>
    <w:p>
      <w:r/>
      <w:r>
        <w:t>Certaines personnes ont remarqué certains problèmes avec l'histoire dans le livre d'Esther :</w:t>
      </w:r>
    </w:p>
    <w:p>
      <w:pPr>
        <w:pStyle w:val="ListNumber"/>
        <w:spacing w:line="240" w:lineRule="auto"/>
        <w:ind w:left="720"/>
      </w:pPr>
      <w:r/>
      <w:r>
        <w:t>L'historien Hérodote mentionne que l'épouse du roi Xerxès s'appelait Amestris. Cependant, le livre d'Esther évoque une épouse nommée Esther. Il est possible que le roi Xerxès ait eu plusieurs épouses.</w:t>
      </w:r>
    </w:p>
    <w:p>
      <w:pPr>
        <w:pStyle w:val="ListNumber"/>
        <w:spacing w:line="240" w:lineRule="auto"/>
        <w:ind w:left="720"/>
      </w:pPr>
      <w:r/>
      <w:r>
        <w:t xml:space="preserve">Le livre semble indiquer que Mardochée a été exilé en 597 av. J.‑C. Si cela est exact, Mardochée aurait eu environ 120 ans pendant le règne du roi Xerxès. Cependant, le texte de </w:t>
      </w:r>
      <w:hyperlink r:id="rId9093">
        <w:r>
          <w:rPr>
            <w:color w:val="0000EE"/>
            <w:u w:val="single"/>
          </w:rPr>
          <w:t>2.5–6</w:t>
        </w:r>
      </w:hyperlink>
      <w:r>
        <w:t xml:space="preserve"> pourrait signifier que c'est l'arrière-grand-père de Mardochée qui a été exilé plutôt que Mardochée.</w:t>
      </w:r>
    </w:p>
    <w:p>
      <w:pPr>
        <w:pStyle w:val="ListNumber"/>
        <w:spacing w:line="240" w:lineRule="auto"/>
        <w:ind w:left="720"/>
      </w:pPr>
      <w:r/>
      <w:r>
        <w:t xml:space="preserve">Certaines parties de l'histoire (voir </w:t>
      </w:r>
      <w:hyperlink r:id="rId9094">
        <w:r>
          <w:rPr>
            <w:color w:val="0000EE"/>
            <w:u w:val="single"/>
          </w:rPr>
          <w:t>1.4</w:t>
        </w:r>
      </w:hyperlink>
      <w:r>
        <w:t xml:space="preserve"> ; </w:t>
      </w:r>
      <w:hyperlink r:id="rId6173">
        <w:r>
          <w:rPr>
            <w:color w:val="0000EE"/>
            <w:u w:val="single"/>
          </w:rPr>
          <w:t>2.7, 12</w:t>
        </w:r>
      </w:hyperlink>
      <w:r>
        <w:t xml:space="preserve"> ; </w:t>
      </w:r>
      <w:hyperlink r:id="rId2379">
        <w:r>
          <w:rPr>
            <w:color w:val="0000EE"/>
            <w:u w:val="single"/>
          </w:rPr>
          <w:t>7.9</w:t>
        </w:r>
      </w:hyperlink>
      <w:r>
        <w:t xml:space="preserve"> ; </w:t>
      </w:r>
      <w:hyperlink r:id="rId9095">
        <w:r>
          <w:rPr>
            <w:color w:val="0000EE"/>
            <w:u w:val="single"/>
          </w:rPr>
          <w:t>9.16</w:t>
        </w:r>
      </w:hyperlink>
      <w:r>
        <w:t>) semblent difficiles à croire pour les lecteurs modernes :</w:t>
      </w:r>
    </w:p>
    <w:p>
      <w:pPr>
        <w:pStyle w:val="ListBullet"/>
        <w:spacing w:line="240" w:lineRule="auto"/>
        <w:ind w:left="1440"/>
      </w:pPr>
      <w:r/>
      <w:r>
        <w:t>Un banquet long de 180 jours.</w:t>
      </w:r>
    </w:p>
    <w:p>
      <w:pPr>
        <w:pStyle w:val="ListBullet"/>
        <w:spacing w:line="240" w:lineRule="auto"/>
        <w:ind w:left="1440"/>
      </w:pPr>
      <w:r/>
      <w:r>
        <w:t>Des soins de beauté longs de douze mois pour Esther.</w:t>
      </w:r>
    </w:p>
    <w:p>
      <w:pPr>
        <w:pStyle w:val="ListBullet"/>
        <w:spacing w:line="240" w:lineRule="auto"/>
        <w:ind w:left="1440"/>
      </w:pPr>
      <w:r/>
      <w:r>
        <w:t>Une potence de 25 mètres de haut.</w:t>
      </w:r>
    </w:p>
    <w:p>
      <w:pPr>
        <w:pStyle w:val="ListBullet"/>
        <w:spacing w:line="240" w:lineRule="auto"/>
        <w:ind w:left="1440"/>
      </w:pPr>
      <w:r/>
      <w:r>
        <w:t>L'assassinat de 75 000 sujets de Xerxès par les Juifs.</w:t>
      </w:r>
    </w:p>
    <w:p>
      <w:r/>
      <w:r>
        <w:t>Certaines personnes estiment que ces détails ressemblent davantage à des histoires inventées (mythologiques) qu'à de l'histoire réelle. Cependant, il est important de se rappeler que parfois, des choses qui semblent incroyables se révèlent être vraies lorsque nous en apprenons davantage sur l'histoire.</w:t>
      </w:r>
    </w:p>
    <w:p>
      <w:r/>
      <w:r>
        <w:t>Plusieurs éléments dans le livre d'Esther indiquent qu'il se situe à une époque réelle de l'histoire. Assuérus, le roi de l'histoire, est généralement considéré comme étant le même que le roi Xerxès. Son père était le roi Darius. Nous avons découvert des inscriptions et des sculptures en relief datant de l'époque de Darius. Une sculpture en relief montre Darius assis sur son trône avec Xerxès debout derrière lui.</w:t>
      </w:r>
    </w:p>
    <w:p>
      <w:r/>
      <w:r>
        <w:t>On pense que Xerxès était facilement influençable dans sa vie personnelle. Ceux qui cherchaient à lui plaire (les courtisans flatteurs) pouvaient aisément le faire changer d'avis. Cependant, en temps de guerre, Xerxès s'averrait être un leader fort. Il se battait avec acharnement pour obtenir ce qu'il désirait. Xerxès a réprimé une rébellion en Égypte. Il a ensuite rassemblé une flotte pour attaquer Athènes, une ville de Grèce. Les Grecs ont remporté une grande bataille navale à un endroit appelé Salamine en 480 av. J.‑C., ce qui a sauvé la Grèce d'une prise de contrôle totale par la Perse. Xerxès a finalement perdu la guerre. Il est retourné vivre dans ses magnifiques palais situés dans des villes appelées Persépolis et Suse. Par la suite, Xerxès a cessé d'adorer les dieux d'Égypte et de Babylone. À la place, il a commencé à suivre Ahuramazda, un dieu perse connu comme l'esprit du bien.</w:t>
      </w:r>
    </w:p>
    <w:p>
      <w:pPr>
        <w:pStyle w:val="Heading3"/>
      </w:pPr>
      <w:r>
        <w:t>Quel est le message du livre d'Esther ?</w:t>
      </w:r>
    </w:p>
    <w:p>
      <w:r/>
      <w:r>
        <w:t>Le Livre d'Esther raconte une histoire qui s'est déroulée il y a longtemps en Perse, aujourd'hui appelée Iran. L'histoire concerne le roi Assuérus, qui régnait sur un vaste empire allant de l'Inde à l'Éthiopie (</w:t>
      </w:r>
      <w:hyperlink r:id="rId9096">
        <w:r>
          <w:rPr>
            <w:color w:val="0000EE"/>
            <w:u w:val="single"/>
          </w:rPr>
          <w:t>1.1–9</w:t>
        </w:r>
      </w:hyperlink>
      <w:r>
        <w:t>). La ville principale de son empire s'appelait Suse (Shushan), en Perse.</w:t>
      </w:r>
    </w:p>
    <w:p>
      <w:r/>
      <w:r>
        <w:t>L'histoire débute lorsque la reine Vasthi désobéit au roi. En conséquence, elle perd son titre de reine. Le roi cherche alors une nouvelle reine (</w:t>
      </w:r>
      <w:hyperlink r:id="rId9097">
        <w:r>
          <w:rPr>
            <w:color w:val="0000EE"/>
            <w:u w:val="single"/>
          </w:rPr>
          <w:t>1.10–22</w:t>
        </w:r>
      </w:hyperlink>
      <w:r>
        <w:t>). Il choisit une jeune femme juive nommée Hadassa, également appelée Esther (</w:t>
      </w:r>
      <w:hyperlink r:id="rId9098">
        <w:r>
          <w:rPr>
            <w:color w:val="0000EE"/>
            <w:u w:val="single"/>
          </w:rPr>
          <w:t>2.1–18</w:t>
        </w:r>
      </w:hyperlink>
      <w:r>
        <w:t>). Esther vit avec son parent Mardochée car elle est orpheline.</w:t>
      </w:r>
    </w:p>
    <w:p>
      <w:r/>
      <w:r>
        <w:t xml:space="preserve">Peu après qu'Esther soit devenue reine, elle et Mardochée aident à sauver la vie du roi (v. </w:t>
      </w:r>
      <w:hyperlink r:id="rId9099">
        <w:r>
          <w:rPr>
            <w:color w:val="0000EE"/>
            <w:u w:val="single"/>
          </w:rPr>
          <w:t>19–23</w:t>
        </w:r>
      </w:hyperlink>
      <w:r>
        <w:t xml:space="preserve">). Cela devient important plus tard dans l'histoire. Un homme nommé Haman devient très puissant à la cour du roi. Haman n'aime pas Mardochée, alors il élabore un plan pour tuer tous les Juifs de l'empire (chap. </w:t>
      </w:r>
      <w:hyperlink r:id="rId9100">
        <w:r>
          <w:rPr>
            <w:color w:val="0000EE"/>
            <w:u w:val="single"/>
          </w:rPr>
          <w:t>3</w:t>
        </w:r>
      </w:hyperlink>
      <w:r>
        <w:t xml:space="preserve">). Mardochée demande à la reine Esther d'aider à sauver le peuple juif. Esther demande aux Juifs de Suse de jeûner et de prier pour obtenir de l'aide. Ensuite, elle va parler au roi (chap. </w:t>
      </w:r>
      <w:hyperlink r:id="rId9101">
        <w:r>
          <w:rPr>
            <w:color w:val="0000EE"/>
            <w:u w:val="single"/>
          </w:rPr>
          <w:t>4</w:t>
        </w:r>
      </w:hyperlink>
      <w:r>
        <w:t>).</w:t>
      </w:r>
    </w:p>
    <w:p>
      <w:r/>
      <w:r>
        <w:t>Une nuit, le roi ne peut pas dormir à cause de ce qu'Esther lui a dit (</w:t>
      </w:r>
      <w:hyperlink r:id="rId9102">
        <w:r>
          <w:rPr>
            <w:color w:val="0000EE"/>
            <w:u w:val="single"/>
          </w:rPr>
          <w:t>5.1–6.1</w:t>
        </w:r>
      </w:hyperlink>
      <w:r>
        <w:t xml:space="preserve">). Il lit comment Mardochée lui a sauvé la vie et décide d'honorer Mardochée. Cela se produit juste au moment où Haman prévoit de nuire à Mardochée (chap. </w:t>
      </w:r>
      <w:hyperlink r:id="rId9103">
        <w:r>
          <w:rPr>
            <w:color w:val="0000EE"/>
            <w:u w:val="single"/>
          </w:rPr>
          <w:t>6</w:t>
        </w:r>
      </w:hyperlink>
      <w:r>
        <w:t xml:space="preserve">). Le roi découvre le plan maléfique d'Haman. Haman est pendu en guise de punition (chap. </w:t>
      </w:r>
      <w:hyperlink r:id="rId9104">
        <w:r>
          <w:rPr>
            <w:color w:val="0000EE"/>
            <w:u w:val="single"/>
          </w:rPr>
          <w:t>7</w:t>
        </w:r>
      </w:hyperlink>
      <w:r>
        <w:t xml:space="preserve">). Le roi promulgue alors une nouvelle loi pour protéger le peuple juif. Il honore également Mardochée et lui donne un poste important (chap. </w:t>
      </w:r>
      <w:hyperlink r:id="rId9105">
        <w:r>
          <w:rPr>
            <w:color w:val="0000EE"/>
            <w:u w:val="single"/>
          </w:rPr>
          <w:t>8</w:t>
        </w:r>
      </w:hyperlink>
      <w:r>
        <w:t>). Les Juifs, avec la permission du roi, tuent les soldats qui auraient auparavant voulu les tuer dans le complot d'Haman (</w:t>
      </w:r>
      <w:hyperlink r:id="rId9106">
        <w:r>
          <w:rPr>
            <w:color w:val="0000EE"/>
            <w:u w:val="single"/>
          </w:rPr>
          <w:t>9.1–16</w:t>
        </w:r>
      </w:hyperlink>
      <w:r>
        <w:t>). Après cela, ils organisent une grande célébration (</w:t>
      </w:r>
      <w:hyperlink r:id="rId9107">
        <w:r>
          <w:rPr>
            <w:color w:val="0000EE"/>
            <w:u w:val="single"/>
          </w:rPr>
          <w:t>9.17–10.3</w:t>
        </w:r>
      </w:hyperlink>
      <w:r>
        <w:t>). Cette célébration deviendra une fête appelée Pourim. Pendant Pourim, les gens festoient, offrent des cadeaux et aident les pauvres.</w:t>
      </w:r>
    </w:p>
    <w:p>
      <w:r/>
      <w:r>
        <w:rPr>
          <w:i/>
        </w:rPr>
        <w:t>Voir aussi</w:t>
      </w:r>
      <w:r>
        <w:t xml:space="preserve"> </w:t>
      </w:r>
      <w:r>
        <w:t>Esther (Personne)</w:t>
      </w:r>
      <w:r>
        <w:t xml:space="preserve"> ; </w:t>
      </w:r>
      <w:r>
        <w:t>Perse, Perses</w:t>
      </w:r>
      <w:r>
        <w:t>.</w:t>
      </w:r>
      <w:r/>
      <w:r/>
    </w:p>
    <w:p>
      <w:r/>
    </w:p>
    <w:p>
      <w:pPr>
        <w:pStyle w:val="Heading2"/>
      </w:pPr>
      <w:r>
        <w:t>Lod</w:t>
      </w:r>
      <w:r/>
    </w:p>
    <w:p>
      <w:r/>
      <w:r>
        <w:t>Ville située sur la plaine côtière de Palestine. La ville moderne, appelée Ludd, se trouve à 15 km au sud-est de Tel Aviv. Le nom de la ville apparaît pour la première fois dans une liste de villes cananéennes datant de 1465 av. J.‑C., sous le règne du pharaon égyptien Thoutmôsis III, qui en a fourni la liste. Le fondateur de la ville serait Schémer, un Benjamite (</w:t>
      </w:r>
      <w:hyperlink r:id="rId6232">
        <w:r>
          <w:rPr>
            <w:color w:val="0000EE"/>
            <w:u w:val="single"/>
          </w:rPr>
          <w:t>1Ch 8.12</w:t>
        </w:r>
      </w:hyperlink>
      <w:r>
        <w:t>). Elle figure dans une liste de lieux réinstallés par les exilés revenant de Babylone (</w:t>
      </w:r>
      <w:hyperlink r:id="rId9108">
        <w:r>
          <w:rPr>
            <w:color w:val="0000EE"/>
            <w:u w:val="single"/>
          </w:rPr>
          <w:t>Esd 2.33</w:t>
        </w:r>
      </w:hyperlink>
      <w:r>
        <w:t xml:space="preserve"> ; </w:t>
      </w:r>
      <w:hyperlink r:id="rId9109">
        <w:r>
          <w:rPr>
            <w:color w:val="0000EE"/>
            <w:u w:val="single"/>
          </w:rPr>
          <w:t>Né 7.37</w:t>
        </w:r>
      </w:hyperlink>
      <w:r>
        <w:t>), et est incluse dans la liste des établissements Benjamites (</w:t>
      </w:r>
      <w:hyperlink r:id="rId9110">
        <w:r>
          <w:rPr>
            <w:color w:val="0000EE"/>
            <w:u w:val="single"/>
          </w:rPr>
          <w:t>Né 11.35</w:t>
        </w:r>
      </w:hyperlink>
      <w:r>
        <w:t>). L'histoire de la ville peut être retracée en continu depuis l'époque des Maccabées, à travers la période romaine, y compris les première et deuxième guerres juives contre les Romains, jusqu'aux périodes de l'Empire byzantin et des Croisades, jusqu'à l'époque moderne.</w:t>
      </w:r>
    </w:p>
    <w:p>
      <w:r/>
      <w:r>
        <w:t>À l'époque du Nouveau Testament, les sources juives soulignent l'importance de la ville, alors nommée Lydde. Elle possédait un grand marché et était réputée pour l'élevage de bétail. Les industries du textile, de la teinture et de la poterie y prospéraient. C'était également le siège d'un Sanhédrin, et des érudits talmudiques célèbres y enseignaient. C'était donc ce type de communauté, animée et florissante, qui existait lorsque Pierre a visité la ville et a servi ses chrétiens (</w:t>
      </w:r>
      <w:hyperlink r:id="rId9111">
        <w:r>
          <w:rPr>
            <w:color w:val="0000EE"/>
            <w:u w:val="single"/>
          </w:rPr>
          <w:t>Ac 9.32–35</w:t>
        </w:r>
      </w:hyperlink>
      <w:r>
        <w:t>).</w:t>
      </w:r>
      <w:r/>
      <w:r/>
    </w:p>
    <w:p>
      <w:r/>
    </w:p>
    <w:p>
      <w:pPr>
        <w:pStyle w:val="Heading2"/>
      </w:pPr>
      <w:r>
        <w:t>Loïs</w:t>
      </w:r>
      <w:r/>
    </w:p>
    <w:p>
      <w:r/>
      <w:r>
        <w:t>Grand-mère de Timothée (</w:t>
      </w:r>
      <w:hyperlink r:id="rId4520">
        <w:r>
          <w:rPr>
            <w:color w:val="0000EE"/>
            <w:u w:val="single"/>
          </w:rPr>
          <w:t>2Tm 1.5</w:t>
        </w:r>
      </w:hyperlink>
      <w:r>
        <w:t>). Sa famille, y compris Eunice, la mère de Timothée, vivait à Lystre (</w:t>
      </w:r>
      <w:hyperlink r:id="rId3727">
        <w:r>
          <w:rPr>
            <w:color w:val="0000EE"/>
            <w:u w:val="single"/>
          </w:rPr>
          <w:t>Ac 16.1</w:t>
        </w:r>
      </w:hyperlink>
      <w:r>
        <w:t xml:space="preserve">). Loïs était une Juive engagée. Elle semble s'être convertie au christianisme lors du premier voyage missionnaire de Paul (chap. </w:t>
      </w:r>
      <w:hyperlink r:id="rId186">
        <w:r>
          <w:rPr>
            <w:color w:val="0000EE"/>
            <w:u w:val="single"/>
          </w:rPr>
          <w:t>14</w:t>
        </w:r>
      </w:hyperlink>
      <w:r>
        <w:t>). Paul mentionne le fait que Timothée partageait la foi de sa grand-mère et de sa mère.</w:t>
      </w:r>
      <w:r/>
      <w:r/>
    </w:p>
    <w:p>
      <w:r/>
    </w:p>
    <w:p>
      <w:pPr>
        <w:pStyle w:val="Heading2"/>
      </w:pPr>
      <w:r>
        <w:t>Lois alimentaires</w:t>
      </w:r>
      <w:r/>
    </w:p>
    <w:p>
      <w:r/>
      <w:r>
        <w:t>Réglementations sur la préparation et la consommation d'aliments fournies par Dieu pour son peuple à l'époque de l'Ancien Testament. Les lois alimentaires faisaient partie de réglementations plus larges sur la « pureté » qui visaient à maintenir le statut d'Israël en tant que peuple saint.</w:t>
      </w:r>
    </w:p>
    <w:p>
      <w:r/>
      <w:r>
        <w:t>Vue d'ensemble</w:t>
      </w:r>
    </w:p>
    <w:p>
      <w:r/>
      <w:r>
        <w:t xml:space="preserve">• </w:t>
      </w:r>
      <w:r>
        <w:rPr>
          <w:b/>
          <w:u w:val="single"/>
        </w:rPr>
        <w:t>Sainteté et loi alimentaire</w:t>
      </w:r>
    </w:p>
    <w:p>
      <w:r/>
      <w:r>
        <w:t xml:space="preserve">• </w:t>
      </w:r>
      <w:r>
        <w:rPr>
          <w:b/>
          <w:u w:val="single"/>
        </w:rPr>
        <w:t>Avant Moïse</w:t>
      </w:r>
    </w:p>
    <w:p>
      <w:r/>
      <w:r>
        <w:t xml:space="preserve">• </w:t>
      </w:r>
      <w:r>
        <w:rPr>
          <w:b/>
          <w:u w:val="single"/>
        </w:rPr>
        <w:t>La loi de Moïse</w:t>
      </w:r>
    </w:p>
    <w:p>
      <w:r/>
      <w:r>
        <w:t xml:space="preserve">• </w:t>
      </w:r>
      <w:r>
        <w:rPr>
          <w:b/>
          <w:u w:val="single"/>
        </w:rPr>
        <w:t>Après Moïse</w:t>
      </w:r>
    </w:p>
    <w:p>
      <w:r/>
      <w:r>
        <w:t xml:space="preserve">• </w:t>
      </w:r>
      <w:r>
        <w:rPr>
          <w:b/>
          <w:u w:val="single"/>
        </w:rPr>
        <w:t>Symbolisme</w:t>
      </w:r>
    </w:p>
    <w:p>
      <w:r/>
      <w:r>
        <w:t xml:space="preserve">• </w:t>
      </w:r>
      <w:r>
        <w:rPr>
          <w:b/>
          <w:u w:val="single"/>
        </w:rPr>
        <w:t>Réactions de l’Église</w:t>
      </w:r>
    </w:p>
    <w:p>
      <w:pPr>
        <w:pStyle w:val="Heading3"/>
      </w:pPr>
      <w:r>
        <w:t>Sainteté et lois alimentaires</w:t>
      </w:r>
    </w:p>
    <w:p>
      <w:r/>
      <w:r>
        <w:t xml:space="preserve">Les lois bibliques concernant le régime alimentaire et la pureté reposaient sur l'idée de sainteté. Le sens sous-jacent du mot hébreu pour « sainteté » est difficile à déterminer, mais il signifiait probablement « couper », « être séparé de » ou « mettre à part ». Le Seigneur a dit à Israël : « </w:t>
      </w:r>
      <w:r>
        <w:t>Vous serez saints pour moi, car je suis saint, moi, l’Éternel</w:t>
      </w:r>
      <w:r>
        <w:t xml:space="preserve"> </w:t>
      </w:r>
      <w:r>
        <w:t>; je vous ai séparés des peuples, afin que vous soyez à moi</w:t>
      </w:r>
      <w:r>
        <w:t xml:space="preserve"> » (</w:t>
      </w:r>
      <w:hyperlink r:id="rId9112">
        <w:r>
          <w:rPr>
            <w:color w:val="0000EE"/>
            <w:u w:val="single"/>
          </w:rPr>
          <w:t>Lv 20.26</w:t>
        </w:r>
      </w:hyperlink>
      <w:r>
        <w:t>). Dieu est l'exemple suprême de sainteté ; il est unique dans son caractère et son être (</w:t>
      </w:r>
      <w:hyperlink r:id="rId6240">
        <w:r>
          <w:rPr>
            <w:color w:val="0000EE"/>
            <w:u w:val="single"/>
          </w:rPr>
          <w:t>Es 6.3</w:t>
        </w:r>
      </w:hyperlink>
      <w:r>
        <w:t xml:space="preserve">). Mais Dieu voulait que son peuple d'alliance soit saint aussi. L'une des façons dont Dieu a rendu les Israélites différents des autres peuples du monde était en leur donnant des lois alimentaires : « </w:t>
      </w:r>
      <w:r>
        <w:t>je suis l’Éternel, votre Dieu</w:t>
      </w:r>
      <w:r>
        <w:t xml:space="preserve"> </w:t>
      </w:r>
      <w:r>
        <w:t>; vous vous sanctifierez, et vous serez saints, car je suis saint</w:t>
      </w:r>
      <w:r>
        <w:t xml:space="preserve"> » (</w:t>
      </w:r>
      <w:hyperlink r:id="rId9113">
        <w:r>
          <w:rPr>
            <w:color w:val="0000EE"/>
            <w:u w:val="single"/>
          </w:rPr>
          <w:t>Lv 11.44</w:t>
        </w:r>
      </w:hyperlink>
      <w:r>
        <w:t>). Respecter les lois alimentaires ne rendait pas automatiquement le peuple « saint » (c'est-à-dire, séparé pour Dieu) ; c'était plutôt l'une des façons dont les croyants de l'Ancienne Alliance pouvaient montrer leur gratitude à Dieu pour la délivrance qu'il leur avait prodiguée.</w:t>
      </w:r>
    </w:p>
    <w:p>
      <w:pPr>
        <w:pStyle w:val="Heading3"/>
      </w:pPr>
      <w:r>
        <w:t>Avant Moïse</w:t>
      </w:r>
    </w:p>
    <w:p>
      <w:r/>
      <w:r>
        <w:t>Depuis la Création, Dieu a approuvé toutes les variétés de fruits et légumes comme nourriture légitime, pure (</w:t>
      </w:r>
      <w:hyperlink r:id="rId9114">
        <w:r>
          <w:rPr>
            <w:color w:val="0000EE"/>
            <w:u w:val="single"/>
          </w:rPr>
          <w:t>Gn 1.29</w:t>
        </w:r>
      </w:hyperlink>
      <w:r>
        <w:t>). Après la chute de l'humanité, Dieu a distingué entre les animaux purs et impurs. À l'époque de Noé, Dieu a ordonné que des spécimens supplémentaires d'animaux purs soient embarqués dans l'arche (</w:t>
      </w:r>
      <w:hyperlink r:id="rId9115">
        <w:r>
          <w:rPr>
            <w:color w:val="0000EE"/>
            <w:u w:val="single"/>
          </w:rPr>
          <w:t>7.2</w:t>
        </w:r>
      </w:hyperlink>
      <w:r>
        <w:t xml:space="preserve"> ; </w:t>
      </w:r>
      <w:hyperlink r:id="rId1464">
        <w:r>
          <w:rPr>
            <w:color w:val="0000EE"/>
            <w:u w:val="single"/>
          </w:rPr>
          <w:t>8.20</w:t>
        </w:r>
      </w:hyperlink>
      <w:r>
        <w:t>). Après le Déluge, Dieu a interdit la consommation de sang car le sang représentait la vie (</w:t>
      </w:r>
      <w:hyperlink r:id="rId9116">
        <w:r>
          <w:rPr>
            <w:color w:val="0000EE"/>
            <w:u w:val="single"/>
          </w:rPr>
          <w:t>9.4</w:t>
        </w:r>
      </w:hyperlink>
      <w:r>
        <w:t>). Pour commémorer la lutte du patriarche Jacob avec l'Ange de l'Éternel, les descendants de Jacob se sont abstenus de manger un certain muscle de la hanche (</w:t>
      </w:r>
      <w:hyperlink r:id="rId9117">
        <w:r>
          <w:rPr>
            <w:color w:val="0000EE"/>
            <w:u w:val="single"/>
          </w:rPr>
          <w:t>32.32</w:t>
        </w:r>
      </w:hyperlink>
      <w:r>
        <w:t>), bien que cela ne fût pas un commandement de Dieu.</w:t>
      </w:r>
    </w:p>
    <w:p>
      <w:pPr>
        <w:pStyle w:val="Heading3"/>
      </w:pPr>
      <w:r>
        <w:t>La Loi de Moïse</w:t>
      </w:r>
    </w:p>
    <w:p>
      <w:r/>
      <w:r>
        <w:t>La révélation principale des normes alimentaires du Seigneur pour Israël a été donnée par Moïse. Les lois alimentaires se trouvent parmi les règlements cérémoniels reçus au Mont Sinaï (</w:t>
      </w:r>
      <w:hyperlink r:id="rId9118">
        <w:r>
          <w:rPr>
            <w:color w:val="0000EE"/>
            <w:u w:val="single"/>
          </w:rPr>
          <w:t>Lv 11</w:t>
        </w:r>
      </w:hyperlink>
      <w:r>
        <w:t>). Moïse a répété bon nombre de ces lois trente-neuf ans plus tard, peu avant que le peuple n'entre dans la Terre Promise (</w:t>
      </w:r>
      <w:hyperlink r:id="rId9119">
        <w:r>
          <w:rPr>
            <w:color w:val="0000EE"/>
            <w:u w:val="single"/>
          </w:rPr>
          <w:t>Dt 14.3–21</w:t>
        </w:r>
      </w:hyperlink>
      <w:r>
        <w:t>). Les lois alimentaires concernaient uniquement les produits animaux, à l'exception de l'interdiction du vin pour certaines personnes (</w:t>
      </w:r>
      <w:hyperlink r:id="rId9120">
        <w:r>
          <w:rPr>
            <w:color w:val="0000EE"/>
            <w:u w:val="single"/>
          </w:rPr>
          <w:t>Lv 10.9</w:t>
        </w:r>
      </w:hyperlink>
      <w:r>
        <w:t xml:space="preserve"> ; </w:t>
      </w:r>
      <w:hyperlink r:id="rId9121">
        <w:r>
          <w:rPr>
            <w:color w:val="0000EE"/>
            <w:u w:val="single"/>
          </w:rPr>
          <w:t>Nb 6.3–4</w:t>
        </w:r>
      </w:hyperlink>
      <w:r>
        <w:t xml:space="preserve"> ; voir </w:t>
      </w:r>
      <w:hyperlink r:id="rId9122">
        <w:r>
          <w:rPr>
            <w:color w:val="0000EE"/>
            <w:u w:val="single"/>
          </w:rPr>
          <w:t>Jg 13.14</w:t>
        </w:r>
      </w:hyperlink>
      <w:r>
        <w:t xml:space="preserve"> ; </w:t>
      </w:r>
      <w:hyperlink r:id="rId9123">
        <w:r>
          <w:rPr>
            <w:color w:val="0000EE"/>
            <w:u w:val="single"/>
          </w:rPr>
          <w:t>Jr 35.6</w:t>
        </w:r>
      </w:hyperlink>
      <w:r>
        <w:t>).</w:t>
      </w:r>
    </w:p>
    <w:p>
      <w:r/>
      <w:r>
        <w:t>Cinq catégories d'êtres vivants étaient réglementées pour l'alimentation. Pour être comestible, un animal devait avoir des sabots fendus et devait ruminer. Selon le Lévitique, cette exigence excluait les chameaux, les chevaux, les lapins et les porcs (</w:t>
      </w:r>
      <w:hyperlink r:id="rId9124">
        <w:r>
          <w:rPr>
            <w:color w:val="0000EE"/>
            <w:u w:val="single"/>
          </w:rPr>
          <w:t>Lv 11.2–8</w:t>
        </w:r>
      </w:hyperlink>
      <w:r>
        <w:t xml:space="preserve">). La vie marine devait avoir des nageoires et des écailles (v. </w:t>
      </w:r>
      <w:hyperlink r:id="rId9125">
        <w:r>
          <w:rPr>
            <w:color w:val="0000EE"/>
            <w:u w:val="single"/>
          </w:rPr>
          <w:t>9–12</w:t>
        </w:r>
      </w:hyperlink>
      <w:r>
        <w:t xml:space="preserve">). Les oiseaux étaient comestibles s'ils n'étaient pas prédateurs (v. </w:t>
      </w:r>
      <w:hyperlink r:id="rId9126">
        <w:r>
          <w:rPr>
            <w:color w:val="0000EE"/>
            <w:u w:val="single"/>
          </w:rPr>
          <w:t>13–19</w:t>
        </w:r>
      </w:hyperlink>
      <w:r>
        <w:t xml:space="preserve">) ; Moïse a ensuite listé vingt espèces spécifiquement interdites parce qu'elles étaient des oiseaux de proie ou des charognards. Les insectes ailés étaient interdits (v. </w:t>
      </w:r>
      <w:hyperlink r:id="rId9127">
        <w:r>
          <w:rPr>
            <w:color w:val="0000EE"/>
            <w:u w:val="single"/>
          </w:rPr>
          <w:t>22–23</w:t>
        </w:r>
      </w:hyperlink>
      <w:r>
        <w:t xml:space="preserve">), sauf certains types de criquets et de sauterelles (nourriture couramment consommée par les nomades du désert). Enfin, « </w:t>
      </w:r>
      <w:r>
        <w:t>les animaux qui rampent sur la terre</w:t>
      </w:r>
      <w:r>
        <w:t xml:space="preserve"> », y compris les reptiles et les rongeurs (v. </w:t>
      </w:r>
      <w:hyperlink r:id="rId9128">
        <w:r>
          <w:rPr>
            <w:color w:val="0000EE"/>
            <w:u w:val="single"/>
          </w:rPr>
          <w:t>29–31</w:t>
        </w:r>
      </w:hyperlink>
      <w:r>
        <w:t>), étaient exclus.</w:t>
      </w:r>
    </w:p>
    <w:p>
      <w:r/>
      <w:r>
        <w:t>D'autres interdictions ont été émises concernant la nourriture qui, autrement, aurait été considérée comme propre. Par exemple, rien de ce qui était trouvé déjà mort (</w:t>
      </w:r>
      <w:hyperlink r:id="rId5080">
        <w:r>
          <w:rPr>
            <w:color w:val="0000EE"/>
            <w:u w:val="single"/>
          </w:rPr>
          <w:t>Dt 14.21</w:t>
        </w:r>
      </w:hyperlink>
      <w:r>
        <w:t>) ou qui avait été déchiré par des bêtes (</w:t>
      </w:r>
      <w:hyperlink r:id="rId9129">
        <w:r>
          <w:rPr>
            <w:color w:val="0000EE"/>
            <w:u w:val="single"/>
          </w:rPr>
          <w:t>Lv 17.15</w:t>
        </w:r>
      </w:hyperlink>
      <w:r>
        <w:t>) ne devait être mangé. La nourriture pouvait devenir souillée par contact avec quelque chose d'autre qui était impur, comme une souris morte qui tombait par hasard dans un récipient de nourriture (</w:t>
      </w:r>
      <w:hyperlink r:id="rId9130">
        <w:r>
          <w:rPr>
            <w:color w:val="0000EE"/>
            <w:u w:val="single"/>
          </w:rPr>
          <w:t>11.32–34</w:t>
        </w:r>
      </w:hyperlink>
      <w:r>
        <w:t>). Un jeune chevreau ne devait pas être bouilli dans le lait de sa mère (</w:t>
      </w:r>
      <w:hyperlink r:id="rId9131">
        <w:r>
          <w:rPr>
            <w:color w:val="0000EE"/>
            <w:u w:val="single"/>
          </w:rPr>
          <w:t>Ex 23.19</w:t>
        </w:r>
      </w:hyperlink>
      <w:r>
        <w:t xml:space="preserve"> ; </w:t>
      </w:r>
      <w:hyperlink r:id="rId9132">
        <w:r>
          <w:rPr>
            <w:color w:val="0000EE"/>
            <w:u w:val="single"/>
          </w:rPr>
          <w:t>34.26</w:t>
        </w:r>
      </w:hyperlink>
      <w:r>
        <w:t xml:space="preserve"> ; </w:t>
      </w:r>
      <w:hyperlink r:id="rId5080">
        <w:r>
          <w:rPr>
            <w:color w:val="0000EE"/>
            <w:u w:val="single"/>
          </w:rPr>
          <w:t>Dt 14.21</w:t>
        </w:r>
      </w:hyperlink>
      <w:r>
        <w:t>). Lorsque des animaux propres étaient abattus, leur sang devait être drainé (</w:t>
      </w:r>
      <w:hyperlink r:id="rId9133">
        <w:r>
          <w:rPr>
            <w:color w:val="0000EE"/>
            <w:u w:val="single"/>
          </w:rPr>
          <w:t>Lv 17.14</w:t>
        </w:r>
      </w:hyperlink>
      <w:r>
        <w:t>). Tous les morceaux de graisse (</w:t>
      </w:r>
      <w:hyperlink r:id="rId9134">
        <w:r>
          <w:rPr>
            <w:color w:val="0000EE"/>
            <w:u w:val="single"/>
          </w:rPr>
          <w:t>3.16</w:t>
        </w:r>
      </w:hyperlink>
      <w:r>
        <w:t xml:space="preserve"> ; </w:t>
      </w:r>
      <w:hyperlink r:id="rId9135">
        <w:r>
          <w:rPr>
            <w:color w:val="0000EE"/>
            <w:u w:val="single"/>
          </w:rPr>
          <w:t>7.23</w:t>
        </w:r>
      </w:hyperlink>
      <w:r>
        <w:t>), en particulier la queue grasse d'un mouton (</w:t>
      </w:r>
      <w:hyperlink r:id="rId9136">
        <w:r>
          <w:rPr>
            <w:color w:val="0000EE"/>
            <w:u w:val="single"/>
          </w:rPr>
          <w:t>Ex 29.22</w:t>
        </w:r>
      </w:hyperlink>
      <w:r>
        <w:t xml:space="preserve"> ; </w:t>
      </w:r>
      <w:hyperlink r:id="rId9137">
        <w:r>
          <w:rPr>
            <w:color w:val="0000EE"/>
            <w:u w:val="single"/>
          </w:rPr>
          <w:t>Lv 3.9</w:t>
        </w:r>
      </w:hyperlink>
      <w:r>
        <w:t>), étaient réservés pour les sacrifices au Seigneur. Par Moïse, le Seigneur a réitéré l'interdiction de manger du sang (</w:t>
      </w:r>
      <w:hyperlink r:id="rId1608">
        <w:r>
          <w:rPr>
            <w:color w:val="0000EE"/>
            <w:u w:val="single"/>
          </w:rPr>
          <w:t>Lv 17.10</w:t>
        </w:r>
      </w:hyperlink>
      <w:r>
        <w:t xml:space="preserve"> ; </w:t>
      </w:r>
      <w:hyperlink r:id="rId9138">
        <w:r>
          <w:rPr>
            <w:color w:val="0000EE"/>
            <w:u w:val="single"/>
          </w:rPr>
          <w:t>19.26</w:t>
        </w:r>
      </w:hyperlink>
      <w:r>
        <w:t xml:space="preserve"> ; </w:t>
      </w:r>
      <w:hyperlink r:id="rId9139">
        <w:r>
          <w:rPr>
            <w:color w:val="0000EE"/>
            <w:u w:val="single"/>
          </w:rPr>
          <w:t>Dt 12.16</w:t>
        </w:r>
      </w:hyperlink>
      <w:r>
        <w:t xml:space="preserve"> ; </w:t>
      </w:r>
      <w:hyperlink r:id="rId9140">
        <w:r>
          <w:rPr>
            <w:color w:val="0000EE"/>
            <w:u w:val="single"/>
          </w:rPr>
          <w:t>15.23</w:t>
        </w:r>
      </w:hyperlink>
      <w:r>
        <w:t>).</w:t>
      </w:r>
    </w:p>
    <w:p>
      <w:r/>
      <w:r>
        <w:t>Plusieurs raisons, énoncées dans les Écritures ou déduites de celles-ci, expliquent les lois alimentaires et s'appliquent aux règlements de pureté de la Bible en général. Certaines semblent être des raisons naturelles, tandis que d'autres peuvent être symboliques ou relationnelles.</w:t>
      </w:r>
    </w:p>
    <w:p>
      <w:pPr>
        <w:pStyle w:val="Heading4"/>
      </w:pPr>
      <w:r>
        <w:t>Hygiène</w:t>
      </w:r>
    </w:p>
    <w:p>
      <w:r/>
      <w:r>
        <w:t>Certaines lois alimentaires, telles que celles interdisant de manger des vermines ou de la chair en décomposition, visaient à contourner des dangers sanitaires évidents et étaient données pour protéger le peuple. Cependant, l'hygiène seule ne peut expliquer toutes les réglementations ; en effet, certains aliments qui auraient pu être acceptables d'un point de vue hygiénique, comme le lapin ou les palourdes, étaient exclus.</w:t>
      </w:r>
    </w:p>
    <w:p>
      <w:pPr>
        <w:pStyle w:val="Heading4"/>
      </w:pPr>
      <w:r>
        <w:t>Répulsion</w:t>
      </w:r>
    </w:p>
    <w:p>
      <w:r/>
      <w:r>
        <w:t xml:space="preserve">Les vers et les serpents sont généralement considérés comme répugnants, quelle que soit leur valeur alimentaire réelle. De tels animaux n'étaient pas </w:t>
      </w:r>
      <w:r>
        <w:rPr>
          <w:i/>
        </w:rPr>
        <w:t>kasher</w:t>
      </w:r>
      <w:r>
        <w:t xml:space="preserve"> (appropriés à la consommation).</w:t>
      </w:r>
    </w:p>
    <w:p>
      <w:pPr>
        <w:pStyle w:val="Heading4"/>
      </w:pPr>
      <w:r>
        <w:t>Relation avec la pratique païenne</w:t>
      </w:r>
    </w:p>
    <w:p>
      <w:r/>
      <w:r>
        <w:t>Faire bouillir un jeune chèvre dans le lait de sa mère a été documenté comme un rite païen parmi les contemporains de Moïse, les Cananéens. Le peuple de Dieu ne devait pas imiter les pratiques des peuples qui les entouraient (</w:t>
      </w:r>
      <w:hyperlink r:id="rId9141">
        <w:r>
          <w:rPr>
            <w:color w:val="0000EE"/>
            <w:u w:val="single"/>
          </w:rPr>
          <w:t>Dt 18.9</w:t>
        </w:r>
      </w:hyperlink>
      <w:r>
        <w:t>).</w:t>
      </w:r>
    </w:p>
    <w:p>
      <w:pPr>
        <w:pStyle w:val="Heading3"/>
      </w:pPr>
      <w:r>
        <w:t>Après Moïse</w:t>
      </w:r>
    </w:p>
    <w:p>
      <w:r/>
      <w:r>
        <w:t xml:space="preserve">Les lois alimentaires données au Mont Sinaï ont continué d'être reconnues tout au long de l'histoire d'Israël. Avant la naissance de Samson, la mère de l'enfant a été avertie : « </w:t>
      </w:r>
      <w:r>
        <w:t>Maintenant prends bien garde, ne bois ni vin ni liqueur forte, et ne mange rien d’impur</w:t>
      </w:r>
      <w:r>
        <w:t xml:space="preserve"> » (</w:t>
      </w:r>
      <w:hyperlink r:id="rId9142">
        <w:r>
          <w:rPr>
            <w:color w:val="0000EE"/>
            <w:u w:val="single"/>
          </w:rPr>
          <w:t>Jg 13.4</w:t>
        </w:r>
      </w:hyperlink>
      <w:r>
        <w:t>). Pendant les guerres contre les Philistins du siècle suivant (vers 1 041 av. J.‑C.), les soldats du roi Saül ont péché en ne respectant pas les exigences concernant le bon écoulement du sang des animaux (</w:t>
      </w:r>
      <w:hyperlink r:id="rId9143">
        <w:r>
          <w:rPr>
            <w:color w:val="0000EE"/>
            <w:u w:val="single"/>
          </w:rPr>
          <w:t>1S 14.32–34</w:t>
        </w:r>
      </w:hyperlink>
      <w:r>
        <w:t>).</w:t>
      </w:r>
    </w:p>
    <w:p>
      <w:r/>
      <w:r>
        <w:t>Plus tard, lorsque les Israélites seront exilés dans des terres païennes, ils seront confrontés à des situations où le choix des aliments et leur préparation pouvaient les rendre impurs (</w:t>
      </w:r>
      <w:hyperlink r:id="rId9144">
        <w:r>
          <w:rPr>
            <w:color w:val="0000EE"/>
            <w:u w:val="single"/>
          </w:rPr>
          <w:t>Ez 4.12–14</w:t>
        </w:r>
      </w:hyperlink>
      <w:r>
        <w:t>). Le refus de Daniel de se souiller avec les délices païens à la cour babylonienne de Nabuchodonosor (605 av. J.‑C.) illustrait sa loyauté envers Dieu (</w:t>
      </w:r>
      <w:hyperlink r:id="rId9145">
        <w:r>
          <w:rPr>
            <w:color w:val="0000EE"/>
            <w:u w:val="single"/>
          </w:rPr>
          <w:t>Dn 1.8</w:t>
        </w:r>
      </w:hyperlink>
      <w:r>
        <w:t>).</w:t>
      </w:r>
    </w:p>
    <w:p>
      <w:r/>
      <w:r>
        <w:t>Depuis l'époque du prophète Ésaïe (740 av. J.‑C.), la nourriture la plus abominable pour les Israélites était la viande de porc (</w:t>
      </w:r>
      <w:hyperlink r:id="rId9146">
        <w:r>
          <w:rPr>
            <w:color w:val="0000EE"/>
            <w:u w:val="single"/>
          </w:rPr>
          <w:t>Es 65.4</w:t>
        </w:r>
      </w:hyperlink>
      <w:r>
        <w:t xml:space="preserve"> ; </w:t>
      </w:r>
      <w:hyperlink r:id="rId9147">
        <w:r>
          <w:rPr>
            <w:color w:val="0000EE"/>
            <w:u w:val="single"/>
          </w:rPr>
          <w:t>66.3, 17</w:t>
        </w:r>
      </w:hyperlink>
      <w:r>
        <w:t>). À l'époque des Maccabées, l'« abomination de la désolation », à laquelle le héros juif Judas Maccabée et ses partisans ont résisté jusqu'à la mort, incluait des sacrifices de porcs sur l'autel du temple à Jérusalem par le souverain païen Antiochus Épiphane (</w:t>
      </w:r>
      <w:hyperlink r:id="rId9148">
        <w:r>
          <w:rPr>
            <w:color w:val="0000EE"/>
            <w:u w:val="single"/>
          </w:rPr>
          <w:t>1 M 1.54, 62–63</w:t>
        </w:r>
      </w:hyperlink>
      <w:r>
        <w:t xml:space="preserve"> ; </w:t>
      </w:r>
      <w:hyperlink r:id="rId9149">
        <w:r>
          <w:rPr>
            <w:color w:val="0000EE"/>
            <w:u w:val="single"/>
          </w:rPr>
          <w:t>2 M 6.5</w:t>
        </w:r>
      </w:hyperlink>
      <w:r>
        <w:t xml:space="preserve"> ; </w:t>
      </w:r>
      <w:hyperlink r:id="rId9150">
        <w:r>
          <w:rPr>
            <w:color w:val="0000EE"/>
            <w:u w:val="single"/>
          </w:rPr>
          <w:t>7.1</w:t>
        </w:r>
      </w:hyperlink>
      <w:r>
        <w:t>).</w:t>
      </w:r>
    </w:p>
    <w:p>
      <w:pPr>
        <w:pStyle w:val="Heading3"/>
      </w:pPr>
      <w:r>
        <w:t>Symbolisme</w:t>
      </w:r>
    </w:p>
    <w:p>
      <w:r/>
      <w:r>
        <w:t xml:space="preserve">Certains produits alimentaires étaient exclus en raison de ce qu'ils symbolisaient. Dieu a dit de ne pas manger de sang : « </w:t>
      </w:r>
      <w:r>
        <w:t>Seulement, garde-toi de manger le sang, car le sang, c’est l’âme</w:t>
      </w:r>
      <w:r>
        <w:t xml:space="preserve"> </w:t>
      </w:r>
      <w:r>
        <w:t>; et tu ne mangeras pas l’âme avec la chair</w:t>
      </w:r>
      <w:r>
        <w:t xml:space="preserve"> » (</w:t>
      </w:r>
      <w:hyperlink r:id="rId9151">
        <w:r>
          <w:rPr>
            <w:color w:val="0000EE"/>
            <w:u w:val="single"/>
          </w:rPr>
          <w:t>Dt 12.23</w:t>
        </w:r>
      </w:hyperlink>
      <w:r>
        <w:t>). Le sang avait une fonction rituelle. Il était utilisé pour faire l'expiation sur l'autel de Dieu et ne devait donc pas être mangé (</w:t>
      </w:r>
      <w:hyperlink r:id="rId9152">
        <w:r>
          <w:rPr>
            <w:color w:val="0000EE"/>
            <w:u w:val="single"/>
          </w:rPr>
          <w:t>Lv 17.11–12</w:t>
        </w:r>
      </w:hyperlink>
      <w:r>
        <w:t>). Les auteurs du Nouveau Testament ont reconnu le sang sacrificiel de l'Ancien Testament comme un « type » ou une préfiguration du sang de Jésus-Christ versé sur la croix en sacrifice pour le péché (</w:t>
      </w:r>
      <w:hyperlink r:id="rId9153">
        <w:r>
          <w:rPr>
            <w:color w:val="0000EE"/>
            <w:u w:val="single"/>
          </w:rPr>
          <w:t>Hé 10.1, 4, 12</w:t>
        </w:r>
      </w:hyperlink>
      <w:r>
        <w:t xml:space="preserve"> ; </w:t>
      </w:r>
      <w:hyperlink r:id="rId8437">
        <w:r>
          <w:rPr>
            <w:color w:val="0000EE"/>
            <w:u w:val="single"/>
          </w:rPr>
          <w:t>1P 1.18–19</w:t>
        </w:r>
      </w:hyperlink>
      <w:r>
        <w:t>). Un respect symbolique pour la vie maternelle peut expliquer pourquoi celui qui tombait sur un nid d'oiseau était autorisé à prendre les œufs ou les petits mais devait laisser la mère indemne (</w:t>
      </w:r>
      <w:hyperlink r:id="rId9154">
        <w:r>
          <w:rPr>
            <w:color w:val="0000EE"/>
            <w:u w:val="single"/>
          </w:rPr>
          <w:t>Dt 22.6–7</w:t>
        </w:r>
      </w:hyperlink>
      <w:r>
        <w:t>). La nécessité de préserver un écosystème désertique fragile peut également avoir été un facteur.</w:t>
      </w:r>
    </w:p>
    <w:p>
      <w:pPr>
        <w:pStyle w:val="Heading3"/>
      </w:pPr>
      <w:r>
        <w:t>Réactions de l'Église</w:t>
      </w:r>
    </w:p>
    <w:p>
      <w:r/>
      <w:r>
        <w:t>Dans les débuts, l'Église primitive, avec son arrière-plan juif, a eu du mal à se détacher des traditions alimentaires hébraïques. L'apôtre Pierre a reçu une vision, répétée trois fois, concernant le fait de ne plus considérer comme « impurs » ni les aliments non juifs ni les non-Juifs qui les consommaient (</w:t>
      </w:r>
      <w:hyperlink r:id="rId9155">
        <w:r>
          <w:rPr>
            <w:color w:val="0000EE"/>
            <w:u w:val="single"/>
          </w:rPr>
          <w:t>Ac 10.9–16</w:t>
        </w:r>
      </w:hyperlink>
      <w:r>
        <w:t xml:space="preserve"> ; </w:t>
      </w:r>
      <w:hyperlink r:id="rId9156">
        <w:r>
          <w:rPr>
            <w:color w:val="0000EE"/>
            <w:u w:val="single"/>
          </w:rPr>
          <w:t>11.1–10</w:t>
        </w:r>
      </w:hyperlink>
      <w:r>
        <w:t xml:space="preserve">). Plus tard, un concile à Jérusalem a officiellement décidé de ne pas conserver le cérémonialisme de Moïse dans l'Église, avec comme seule exception que les chrétiens gentils devaient s'abstenir « </w:t>
      </w:r>
      <w:r>
        <w:t>s’abstenir des souillures des idoles, de l’impudicité, des animaux étouffés et du sang</w:t>
      </w:r>
      <w:r>
        <w:t xml:space="preserve"> » (</w:t>
      </w:r>
      <w:hyperlink r:id="rId8913">
        <w:r>
          <w:rPr>
            <w:color w:val="0000EE"/>
            <w:u w:val="single"/>
          </w:rPr>
          <w:t>Ac 15.20</w:t>
        </w:r>
      </w:hyperlink>
      <w:r>
        <w:t xml:space="preserve">) afin de ne pas offenser les chrétiens juifs. C'était une application de l'enseignement du Nouveau Testament sur la considération pour ceux qui ont des consciences sensibles. « </w:t>
      </w:r>
      <w:r>
        <w:t>Pour un aliment, ne détruis pas l’œuvre de Dieu. À la vérité toutes choses sont pures</w:t>
      </w:r>
      <w:r>
        <w:t xml:space="preserve"> </w:t>
      </w:r>
      <w:r>
        <w:t>; mais il est mal à l’homme, quand il mange, de devenir une pierre d’achoppement</w:t>
      </w:r>
      <w:r>
        <w:t xml:space="preserve"> [...]. </w:t>
      </w:r>
      <w:r>
        <w:t>Mais celui qui a des doutes au sujet de ce qu’il mange est condamné, parce qu’il n’agit pas par conviction. Tout ce qui n’est pas le produit d’une conviction est péché</w:t>
      </w:r>
      <w:r>
        <w:t xml:space="preserve"> » (</w:t>
      </w:r>
      <w:hyperlink r:id="rId9157">
        <w:r>
          <w:rPr>
            <w:color w:val="0000EE"/>
            <w:u w:val="single"/>
          </w:rPr>
          <w:t>Rm 14.20, 23</w:t>
        </w:r>
      </w:hyperlink>
      <w:r>
        <w:t>).</w:t>
      </w:r>
    </w:p>
    <w:p>
      <w:r/>
      <w:r>
        <w:t>Les lois alimentaires juives ont également une pertinence pour les chrétiens en raison de certaines promesses de l'Ancien Testament. Dieu a promis, d'abord à Abraham et, par réitération ou allusion, tout au long de l'Ancien Testament, que les Gentils seraient inclus dans son alliance. En préservant la santé du peuple hébreu, Dieu assurait leur continuation en tant que nation. Selon le Nouveau Testament, le salut des Juifs et des Gentils a été accompli par Christ, un Juif. La nation par laquelle Christ est venu a été protégée afin que la promesse de Dieu puisse être accomplie. Ainsi, les lois alimentaires ne doivent pas être considérées comme des restrictions contraignantes de la loi ; elles faisaient partie de la manière dont Dieu réalisait son plan rédempteur.</w:t>
      </w:r>
    </w:p>
    <w:p>
      <w:r/>
      <w:r>
        <w:rPr>
          <w:i/>
        </w:rPr>
        <w:t>Voir aussi</w:t>
      </w:r>
      <w:r>
        <w:t xml:space="preserve"> </w:t>
      </w:r>
      <w:r>
        <w:t>Pureté et impureté, Règlements concernant la</w:t>
      </w:r>
      <w:r>
        <w:t xml:space="preserve"> ; </w:t>
      </w:r>
      <w:r>
        <w:t>Lévitique, Livre du</w:t>
      </w:r>
      <w:r>
        <w:t>.</w:t>
      </w:r>
      <w:r/>
      <w:r/>
    </w:p>
    <w:p>
      <w:r/>
    </w:p>
    <w:p>
      <w:pPr>
        <w:pStyle w:val="Heading2"/>
      </w:pPr>
      <w:r>
        <w:t>Lot</w:t>
      </w:r>
      <w:r/>
    </w:p>
    <w:p>
      <w:r/>
      <w:r>
        <w:t>Neveu d'Abraham et ancêtre des Moabites et des Ammonites. Comme Abraham, il est né à Ur. Après la mort du père de Lot, son grand-père Térach s'occupera de lui. Il voyagera avec Térach et son oncle Abram jusqu'à Haran (</w:t>
      </w:r>
      <w:hyperlink r:id="rId9158">
        <w:r>
          <w:rPr>
            <w:color w:val="0000EE"/>
            <w:u w:val="single"/>
          </w:rPr>
          <w:t>Gn 11.27–32</w:t>
        </w:r>
      </w:hyperlink>
      <w:r>
        <w:t>). À la mort de Térach, Lot rejoigndra Abram pour son voyage vers Canaan et plus tard vers l'Égypte avant de retourner à Canaan.</w:t>
      </w:r>
    </w:p>
    <w:p>
      <w:r/>
      <w:r>
        <w:t xml:space="preserve">Au moment de leur retour, Lot et Abram avaient trop d'animaux pour vivre dans la même région. Abram, dans sa bonté, laissera Lot choisir en premier où il voulait vivre. Lot choisira la vallée du Jourdain parce qu'elle avait de bonnes terres pour cultiver des plantes. La vallée était belle comme un « </w:t>
      </w:r>
      <w:r>
        <w:t>jardin de l’Éternel</w:t>
      </w:r>
      <w:r>
        <w:t xml:space="preserve"> » avant que le jugement de Dieu ne s'abatte sur la région (</w:t>
      </w:r>
      <w:hyperlink r:id="rId9159">
        <w:r>
          <w:rPr>
            <w:color w:val="0000EE"/>
            <w:u w:val="single"/>
          </w:rPr>
          <w:t>Gn 13.10</w:t>
        </w:r>
      </w:hyperlink>
      <w:r>
        <w:t>). Lot s'installera dans la ville de Sodome et commencera à participer aux mauvaises actions qui s'y déroulaient.</w:t>
      </w:r>
    </w:p>
    <w:p>
      <w:r/>
      <w:r>
        <w:t>Pendant que Lot vivait à Sodome, quatre rois de Mésopotamie vaincront les rois de cinq villes voisines, y compris Sodome. Ils régnaient probablement sur de petites cités-états. Les rois captureront Lot, sa famille et ses biens. En entendant cela, Abram mènera un groupe pour sauver Lot. Il vaincra les rois envahisseurs et récupérera les captifs et le butin à Choba, au nord de Damas (</w:t>
      </w:r>
      <w:hyperlink r:id="rId6009">
        <w:r>
          <w:rPr>
            <w:color w:val="0000EE"/>
            <w:u w:val="single"/>
          </w:rPr>
          <w:t>Gn 14</w:t>
        </w:r>
      </w:hyperlink>
      <w:r>
        <w:t>).</w:t>
      </w:r>
    </w:p>
    <w:p>
      <w:r/>
      <w:r>
        <w:t>Plus tard, deux anges rendront visite à Lot à Sodome pour l'inciter à quitter la ville avant sa destruction. Le comportement maléfique de Sodome était évident lorsque les habitants essaieront d'agresser les visiteurs. Lorsque Lot propose de laisser les habitants faire du mal à ses filles à la place, cela montre que vivre parmi des gens mauvais l'avait transformé, en mal. Lot ne voulait pas quitter Sodome au début. Ses futurs gendres refuseront de venir avec lui. Sa femme se retournera vers la ville en partant, et Dieu la transformera en une colonne de sel (</w:t>
      </w:r>
      <w:hyperlink r:id="rId96">
        <w:r>
          <w:rPr>
            <w:color w:val="0000EE"/>
            <w:u w:val="single"/>
          </w:rPr>
          <w:t>Gn 19</w:t>
        </w:r>
      </w:hyperlink>
      <w:r>
        <w:t>).</w:t>
      </w:r>
    </w:p>
    <w:p>
      <w:r/>
      <w:r>
        <w:t>Ce qui se passe ensuite est très troublant. Les filles de Lot pensaient qu'elles ne trouveraient jamais de maris. Elles enivrent alors leur père et couchent avec lui. Chaque fille aura un fils, l'un nommé Moab et l'autre Ben-Ammi. Ces fils grandiront pour fonder deux groupes de personnes différents, les Moabites et les Ammonites. Ces groupes deviendront ensuite des ennemis d'Israël (</w:t>
      </w:r>
      <w:hyperlink r:id="rId6728">
        <w:r>
          <w:rPr>
            <w:color w:val="0000EE"/>
            <w:u w:val="single"/>
          </w:rPr>
          <w:t>Gn 19.30–38</w:t>
        </w:r>
      </w:hyperlink>
      <w:r>
        <w:t>).</w:t>
      </w:r>
    </w:p>
    <w:p>
      <w:r/>
      <w:r>
        <w:t>Même si Lot a commis de nombreuses erreurs, le Nouveau Testament l'appelle un homme « juste » (</w:t>
      </w:r>
      <w:hyperlink r:id="rId9160">
        <w:r>
          <w:rPr>
            <w:color w:val="0000EE"/>
            <w:u w:val="single"/>
          </w:rPr>
          <w:t>2P 2.7–9</w:t>
        </w:r>
      </w:hyperlink>
      <w:r>
        <w:t>). Cela signifie que, parce que Lot avait confiance en Dieu, Dieu l'a accepté. Certaines personnes se demandent si l'histoire de Lot et la destruction de Sodome ont vraiment eu lieu. Mais Jésus lui-même a dit que ces événements étaient vrais (</w:t>
      </w:r>
      <w:hyperlink r:id="rId9161">
        <w:r>
          <w:rPr>
            <w:color w:val="0000EE"/>
            <w:u w:val="single"/>
          </w:rPr>
          <w:t>Lc 17.28–29</w:t>
        </w:r>
      </w:hyperlink>
      <w:r>
        <w:t>).</w:t>
      </w:r>
    </w:p>
    <w:p>
      <w:r/>
      <w:r>
        <w:rPr>
          <w:i/>
        </w:rPr>
        <w:t>Voir aussi</w:t>
      </w:r>
      <w:r>
        <w:t xml:space="preserve"> </w:t>
      </w:r>
      <w:r>
        <w:t>Sodome et Gomorrhe</w:t>
      </w:r>
      <w:r>
        <w:t>.</w:t>
      </w:r>
      <w:r/>
      <w:r/>
    </w:p>
    <w:p>
      <w:r/>
    </w:p>
    <w:p>
      <w:pPr>
        <w:pStyle w:val="Heading2"/>
      </w:pPr>
      <w:r>
        <w:t>Lothan</w:t>
      </w:r>
      <w:r/>
    </w:p>
    <w:p>
      <w:r/>
      <w:r>
        <w:t>Fils aîné de Séir (</w:t>
      </w:r>
      <w:hyperlink r:id="rId6462">
        <w:r>
          <w:rPr>
            <w:color w:val="0000EE"/>
            <w:u w:val="single"/>
          </w:rPr>
          <w:t>Gn 36.20</w:t>
        </w:r>
      </w:hyperlink>
      <w:r>
        <w:t xml:space="preserve">) et chef des habitants natifs Horienss d'Édom (v. </w:t>
      </w:r>
      <w:hyperlink r:id="rId9162">
        <w:r>
          <w:rPr>
            <w:color w:val="0000EE"/>
            <w:u w:val="single"/>
          </w:rPr>
          <w:t>22, 29</w:t>
        </w:r>
      </w:hyperlink>
      <w:r>
        <w:t>). Lothan avait deux fils, Hori et Homam (</w:t>
      </w:r>
      <w:hyperlink r:id="rId9163">
        <w:r>
          <w:rPr>
            <w:color w:val="0000EE"/>
            <w:u w:val="single"/>
          </w:rPr>
          <w:t>1Ch 1.38–39</w:t>
        </w:r>
      </w:hyperlink>
      <w:r>
        <w:t>).</w:t>
      </w:r>
      <w:r/>
      <w:r/>
    </w:p>
    <w:p>
      <w:r/>
    </w:p>
    <w:p>
      <w:pPr>
        <w:pStyle w:val="Heading2"/>
      </w:pPr>
      <w:r>
        <w:t>Louange</w:t>
      </w:r>
      <w:r/>
    </w:p>
    <w:p>
      <w:r/>
      <w:r>
        <w:t>Honneur, éloge et adoration.</w:t>
      </w:r>
    </w:p>
    <w:p>
      <w:pPr>
        <w:pStyle w:val="Heading3"/>
      </w:pPr>
      <w:r>
        <w:t>Celui à qui adresser la louange</w:t>
      </w:r>
    </w:p>
    <w:p>
      <w:r/>
      <w:r>
        <w:t xml:space="preserve">L'unique Seigneur, qui est Dieu au-dessus de tous, est seul digne de louange. Fréquemment, l'Ancien Testament souligne que la louange qui lui est due ne doit pas être offerte à d'autres dieux ou à des idoles de toute sorte (voir par exemple </w:t>
      </w:r>
      <w:hyperlink r:id="rId8583">
        <w:r>
          <w:rPr>
            <w:color w:val="0000EE"/>
            <w:u w:val="single"/>
          </w:rPr>
          <w:t>Es 42.8</w:t>
        </w:r>
      </w:hyperlink>
      <w:r>
        <w:t>). La reconnaissance des qualités de vie et des actions justes ses hommes et des femmes est légitime (</w:t>
      </w:r>
      <w:hyperlink r:id="rId9164">
        <w:r>
          <w:rPr>
            <w:color w:val="0000EE"/>
            <w:u w:val="single"/>
          </w:rPr>
          <w:t>Pr 31.28–31</w:t>
        </w:r>
      </w:hyperlink>
      <w:r>
        <w:t xml:space="preserve"> ; </w:t>
      </w:r>
      <w:hyperlink r:id="rId6094">
        <w:r>
          <w:rPr>
            <w:color w:val="0000EE"/>
            <w:u w:val="single"/>
          </w:rPr>
          <w:t>1P 2.14</w:t>
        </w:r>
      </w:hyperlink>
      <w:r>
        <w:t>). Cependant, chacun devrait chercher à recevoir la louange et la reconnaissance de la part de Dieu (</w:t>
      </w:r>
      <w:hyperlink r:id="rId3877">
        <w:r>
          <w:rPr>
            <w:color w:val="0000EE"/>
            <w:u w:val="single"/>
          </w:rPr>
          <w:t>Rm 2.29</w:t>
        </w:r>
      </w:hyperlink>
      <w:r>
        <w:t>), et non de la part de leurs semblables (</w:t>
      </w:r>
      <w:hyperlink r:id="rId9165">
        <w:r>
          <w:rPr>
            <w:color w:val="0000EE"/>
            <w:u w:val="single"/>
          </w:rPr>
          <w:t>Mt 6.1–6</w:t>
        </w:r>
      </w:hyperlink>
      <w:r>
        <w:t xml:space="preserve"> ; </w:t>
      </w:r>
      <w:hyperlink r:id="rId9166">
        <w:r>
          <w:rPr>
            <w:color w:val="0000EE"/>
            <w:u w:val="single"/>
          </w:rPr>
          <w:t>Jn 12.43</w:t>
        </w:r>
      </w:hyperlink>
      <w:r>
        <w:t>), afin que d'autres puissent être amenés à glorifier Dieu pour tout bien trouvé en eux (</w:t>
      </w:r>
      <w:hyperlink r:id="rId9167">
        <w:r>
          <w:rPr>
            <w:color w:val="0000EE"/>
            <w:u w:val="single"/>
          </w:rPr>
          <w:t>Mt 5.16</w:t>
        </w:r>
      </w:hyperlink>
      <w:r>
        <w:t xml:space="preserve">). Fréquemment, la Bible parle de louer « le nom » de Dieu (voir par exemple </w:t>
      </w:r>
      <w:hyperlink r:id="rId9168">
        <w:r>
          <w:rPr>
            <w:color w:val="0000EE"/>
            <w:u w:val="single"/>
          </w:rPr>
          <w:t>Ps 149.3</w:t>
        </w:r>
      </w:hyperlink>
      <w:r>
        <w:t>), ce qui signifie qu'il doit être loué pour tout ce qu'il est et s'est révélé être. Le mot souvent répété « Hallelujah » est simplement l'équivalent hébreu de « Louez le Seigneur ».</w:t>
      </w:r>
    </w:p>
    <w:p>
      <w:pPr>
        <w:pStyle w:val="Heading3"/>
      </w:pPr>
      <w:r>
        <w:t>Celui qui adresse les louanges</w:t>
      </w:r>
    </w:p>
    <w:p>
      <w:r/>
      <w:r>
        <w:t>Dieu est parfaitement loué par ses anges au ciel (</w:t>
      </w:r>
      <w:hyperlink r:id="rId941">
        <w:r>
          <w:rPr>
            <w:color w:val="0000EE"/>
            <w:u w:val="single"/>
          </w:rPr>
          <w:t>Ps 103.20</w:t>
        </w:r>
      </w:hyperlink>
      <w:r>
        <w:t xml:space="preserve"> ; </w:t>
      </w:r>
      <w:hyperlink r:id="rId933">
        <w:r>
          <w:rPr>
            <w:color w:val="0000EE"/>
            <w:u w:val="single"/>
          </w:rPr>
          <w:t>148.2</w:t>
        </w:r>
      </w:hyperlink>
      <w:r>
        <w:t>). Ils ont chanté leurs louanges lorsque Jésus est né (</w:t>
      </w:r>
      <w:hyperlink r:id="rId9169">
        <w:r>
          <w:rPr>
            <w:color w:val="0000EE"/>
            <w:u w:val="single"/>
          </w:rPr>
          <w:t>Lc 2.13–14</w:t>
        </w:r>
      </w:hyperlink>
      <w:r>
        <w:t xml:space="preserve">), et le livre de l'Apocalypse (voir par exemple </w:t>
      </w:r>
      <w:hyperlink r:id="rId9170">
        <w:r>
          <w:rPr>
            <w:color w:val="0000EE"/>
            <w:u w:val="single"/>
          </w:rPr>
          <w:t>Ap 7.11–12</w:t>
        </w:r>
      </w:hyperlink>
      <w:r>
        <w:t>) parle de leur louange continue au ciel. Toute la création loue Dieu dans le sens où elle montre sa grandeur en tant que Créateur (</w:t>
      </w:r>
      <w:hyperlink r:id="rId2660">
        <w:r>
          <w:rPr>
            <w:color w:val="0000EE"/>
            <w:u w:val="single"/>
          </w:rPr>
          <w:t>Ps 19.1–6</w:t>
        </w:r>
      </w:hyperlink>
      <w:r>
        <w:t xml:space="preserve">). Le </w:t>
      </w:r>
      <w:hyperlink r:id="rId9171">
        <w:r>
          <w:rPr>
            <w:color w:val="0000EE"/>
            <w:u w:val="single"/>
          </w:rPr>
          <w:t>Psaume 148</w:t>
        </w:r>
      </w:hyperlink>
      <w:r>
        <w:t xml:space="preserve"> énumère le soleil, la lune et les étoiles, le feu et la grêle, la neige, la pluie, le vent et le temps, les montagnes et les collines, les arbres fruitiers et les cèdres, les animaux sauvages, le bétail, les serpents et les oiseaux pour affirmer qu'ils louent Dieu à l'unisson. Le ciel et la terre sont dits participer à la louange de Dieu (</w:t>
      </w:r>
      <w:hyperlink r:id="rId9172">
        <w:r>
          <w:rPr>
            <w:color w:val="0000EE"/>
            <w:u w:val="single"/>
          </w:rPr>
          <w:t>Ps 89.5</w:t>
        </w:r>
      </w:hyperlink>
      <w:r>
        <w:t xml:space="preserve"> ; </w:t>
      </w:r>
      <w:hyperlink r:id="rId9173">
        <w:r>
          <w:rPr>
            <w:color w:val="0000EE"/>
            <w:u w:val="single"/>
          </w:rPr>
          <w:t>96.11</w:t>
        </w:r>
      </w:hyperlink>
      <w:r>
        <w:t xml:space="preserve"> ; </w:t>
      </w:r>
      <w:hyperlink r:id="rId9174">
        <w:r>
          <w:rPr>
            <w:color w:val="0000EE"/>
            <w:u w:val="single"/>
          </w:rPr>
          <w:t>98.4</w:t>
        </w:r>
      </w:hyperlink>
      <w:r>
        <w:t xml:space="preserve">). Le Psautier se termine par les mots « </w:t>
      </w:r>
      <w:r>
        <w:t>Que tout ce qui respire loue l’Éternel</w:t>
      </w:r>
      <w:r>
        <w:t xml:space="preserve"> ! » (</w:t>
      </w:r>
      <w:hyperlink r:id="rId9175">
        <w:r>
          <w:rPr>
            <w:color w:val="0000EE"/>
            <w:u w:val="single"/>
          </w:rPr>
          <w:t>150.6</w:t>
        </w:r>
      </w:hyperlink>
      <w:r>
        <w:t>). Dans l'Ancien Testament, nous voyons que les prêtres et les Lévites ont un rôle spécial dans la louange (</w:t>
      </w:r>
      <w:hyperlink r:id="rId9176">
        <w:r>
          <w:rPr>
            <w:color w:val="0000EE"/>
            <w:u w:val="single"/>
          </w:rPr>
          <w:t>Ps 135.19–20</w:t>
        </w:r>
      </w:hyperlink>
      <w:r>
        <w:t>), ainsi que les chantres dans le temple (</w:t>
      </w:r>
      <w:hyperlink r:id="rId9177">
        <w:r>
          <w:rPr>
            <w:color w:val="0000EE"/>
            <w:u w:val="single"/>
          </w:rPr>
          <w:t>2Ch 20.21</w:t>
        </w:r>
      </w:hyperlink>
      <w:r>
        <w:t>) et ceux qui, comme Miriam (</w:t>
      </w:r>
      <w:hyperlink r:id="rId3652">
        <w:r>
          <w:rPr>
            <w:color w:val="0000EE"/>
            <w:u w:val="single"/>
          </w:rPr>
          <w:t>Ex 15.20</w:t>
        </w:r>
      </w:hyperlink>
      <w:r>
        <w:t>) et David (</w:t>
      </w:r>
      <w:hyperlink r:id="rId9178">
        <w:r>
          <w:rPr>
            <w:color w:val="0000EE"/>
            <w:u w:val="single"/>
          </w:rPr>
          <w:t>2 Sm 6.14</w:t>
        </w:r>
      </w:hyperlink>
      <w:r>
        <w:t>), ont conduit les autres dans la louange de Dieu. Il s'agissait cependant du devoir de tout le peuple de Dieu de le louer ; leur louange était destinée, de plus, à amener les nations à le connaître et à le louer (</w:t>
      </w:r>
      <w:hyperlink r:id="rId9179">
        <w:r>
          <w:rPr>
            <w:color w:val="0000EE"/>
            <w:u w:val="single"/>
          </w:rPr>
          <w:t>Ps 67.2–3</w:t>
        </w:r>
      </w:hyperlink>
      <w:r>
        <w:t>). Le Nouveau Testament développe le même accent (</w:t>
      </w:r>
      <w:hyperlink r:id="rId9180">
        <w:r>
          <w:rPr>
            <w:color w:val="0000EE"/>
            <w:u w:val="single"/>
          </w:rPr>
          <w:t>Rm 15.7–12</w:t>
        </w:r>
      </w:hyperlink>
      <w:r>
        <w:t>), et souligne que les dons de Dieu sont donnés à son peuple pour être utilisés à sa louange et à sa gloire (</w:t>
      </w:r>
      <w:hyperlink r:id="rId4773">
        <w:r>
          <w:rPr>
            <w:color w:val="0000EE"/>
            <w:u w:val="single"/>
          </w:rPr>
          <w:t>Ep 1.6, 12, 14</w:t>
        </w:r>
      </w:hyperlink>
      <w:r>
        <w:t>). C'est par une vie de droiture ainsi que par la parole que les gens doivent le louer (</w:t>
      </w:r>
      <w:hyperlink r:id="rId9181">
        <w:r>
          <w:rPr>
            <w:color w:val="0000EE"/>
            <w:u w:val="single"/>
          </w:rPr>
          <w:t>Ph 1.11</w:t>
        </w:r>
      </w:hyperlink>
      <w:r>
        <w:t>). Le peuple racheté de Dieu est destiné à proclamer les louanges de celui qui les a appelés des ténèbres à sa merveilleuse lumière (</w:t>
      </w:r>
      <w:hyperlink r:id="rId3933">
        <w:r>
          <w:rPr>
            <w:color w:val="0000EE"/>
            <w:u w:val="single"/>
          </w:rPr>
          <w:t>1P 2.9</w:t>
        </w:r>
      </w:hyperlink>
      <w:r>
        <w:t>). Le dernier livre du Nouveau Testament dévoile la louange de Dieu dans les cieux, où les quatre êtres vivants (représentant toute la création) et les vingt-quatre anciens (représentant le peuple de Dieu sous les anciennes et nouvelles alliances) s'unissent dans l'adoration, pour adorer le Dieu puissant qui les a créés et l'Agneau de Dieu qui les a rachetés (</w:t>
      </w:r>
      <w:hyperlink r:id="rId9182">
        <w:r>
          <w:rPr>
            <w:color w:val="0000EE"/>
            <w:u w:val="single"/>
          </w:rPr>
          <w:t>Ap 4–5</w:t>
        </w:r>
      </w:hyperlink>
      <w:r>
        <w:t>).</w:t>
      </w:r>
    </w:p>
    <w:p>
      <w:pPr>
        <w:pStyle w:val="Heading3"/>
      </w:pPr>
      <w:r>
        <w:t>Quand Dieu doit-il être loué ?</w:t>
      </w:r>
    </w:p>
    <w:p>
      <w:r/>
      <w:r>
        <w:t xml:space="preserve">Dans l'Ancien Testament, il y avait des moments de louange spéciale : les sabbats, les nouvelles lunes et les festivals. Dans </w:t>
      </w:r>
      <w:hyperlink r:id="rId9183">
        <w:r>
          <w:rPr>
            <w:color w:val="0000EE"/>
            <w:u w:val="single"/>
          </w:rPr>
          <w:t>Psaumes 119.164</w:t>
        </w:r>
      </w:hyperlink>
      <w:r>
        <w:t xml:space="preserve">, le psalmiste dit qu'il a loué le Seigneur sept fois par jour. « </w:t>
      </w:r>
      <w:r>
        <w:t>Du lever du soleil jusqu’à son couchant, Que le nom de l’Éternel soit célébré</w:t>
      </w:r>
      <w:r>
        <w:t xml:space="preserve"> » est l'exhortation de </w:t>
      </w:r>
      <w:hyperlink r:id="rId9184">
        <w:r>
          <w:rPr>
            <w:color w:val="0000EE"/>
            <w:u w:val="single"/>
          </w:rPr>
          <w:t>Psaumes 113.3</w:t>
        </w:r>
      </w:hyperlink>
      <w:r>
        <w:t xml:space="preserve">. </w:t>
      </w:r>
      <w:hyperlink r:id="rId9185">
        <w:r>
          <w:rPr>
            <w:color w:val="0000EE"/>
            <w:u w:val="single"/>
          </w:rPr>
          <w:t>Psaumes 145.1</w:t>
        </w:r>
      </w:hyperlink>
      <w:r>
        <w:t xml:space="preserve"> dit : « </w:t>
      </w:r>
      <w:r>
        <w:t>Je t’exalterai, ô mon Dieu, mon roi</w:t>
      </w:r>
      <w:r>
        <w:t xml:space="preserve"> </w:t>
      </w:r>
      <w:r>
        <w:t>! Et je bénirai ton nom à toujours et à perpétuité</w:t>
      </w:r>
      <w:r>
        <w:t xml:space="preserve"> ». Une dévotion à une vie de louange est exprimée dans </w:t>
      </w:r>
      <w:hyperlink r:id="rId9186">
        <w:r>
          <w:rPr>
            <w:color w:val="0000EE"/>
            <w:u w:val="single"/>
          </w:rPr>
          <w:t>Psaume 146.2</w:t>
        </w:r>
      </w:hyperlink>
      <w:r>
        <w:t xml:space="preserve"> : « </w:t>
      </w:r>
      <w:r>
        <w:t>Je louerai l’Éternel tant que je vivrai, Je célébrerai mon Dieu tant que j’existerai</w:t>
      </w:r>
      <w:r>
        <w:t xml:space="preserve"> ». Dans le Nouveau Testament, de même, il y a des moments spéciaux de louange, mais toute la vie du chrétien est destinée à être consacrée, en parole et en action, à la louange de Dieu.</w:t>
      </w:r>
    </w:p>
    <w:p>
      <w:pPr>
        <w:pStyle w:val="Heading3"/>
      </w:pPr>
      <w:r>
        <w:t>Où la louange doit-elle être offerte ?</w:t>
      </w:r>
    </w:p>
    <w:p>
      <w:r/>
      <w:r>
        <w:t xml:space="preserve">Dans l'Ancien Testament, le temple (et donc « Sion » ou « Jérusalem », où le temple était situé) occupait une place spéciale dans le dessein de Dieu : c'est là que son peuple devait le louer. </w:t>
      </w:r>
      <w:hyperlink r:id="rId9187">
        <w:r>
          <w:rPr>
            <w:color w:val="0000EE"/>
            <w:u w:val="single"/>
          </w:rPr>
          <w:t>Psaume 102.21</w:t>
        </w:r>
      </w:hyperlink>
      <w:r>
        <w:t xml:space="preserve"> décrit des gens qui déclarent à Sion le nom du Seigneur, et à Jérusalem sa louange. Les gens avaient à louer Dieu publiquement devant l'assemblée et devant les dirigeants de la nation (</w:t>
      </w:r>
      <w:hyperlink r:id="rId9188">
        <w:r>
          <w:rPr>
            <w:color w:val="0000EE"/>
            <w:u w:val="single"/>
          </w:rPr>
          <w:t>Ps 107.32</w:t>
        </w:r>
      </w:hyperlink>
      <w:r>
        <w:t>), mais ils pouvaient aussi le faire seuls. En effet, la vie tout entière doit être louange. Ainsi, la louange peut venir de lieux inattendus. Les hommes et femmes pieux peuvent chanter de joie alors qu'ils sont couchés sur leurs lits (</w:t>
      </w:r>
      <w:hyperlink r:id="rId9189">
        <w:r>
          <w:rPr>
            <w:color w:val="0000EE"/>
            <w:u w:val="single"/>
          </w:rPr>
          <w:t>149.5</w:t>
        </w:r>
      </w:hyperlink>
      <w:r>
        <w:t>). Paul et Silas peuvent chanter des louanges à Dieu dans une prison de Philippes (</w:t>
      </w:r>
      <w:hyperlink r:id="rId9190">
        <w:r>
          <w:rPr>
            <w:color w:val="0000EE"/>
            <w:u w:val="single"/>
          </w:rPr>
          <w:t>Ac 16.25</w:t>
        </w:r>
      </w:hyperlink>
      <w:r>
        <w:t>).</w:t>
      </w:r>
    </w:p>
    <w:p>
      <w:pPr>
        <w:pStyle w:val="Heading3"/>
      </w:pPr>
      <w:r>
        <w:t>Comment Dieu doit-il être loué ?</w:t>
      </w:r>
    </w:p>
    <w:p>
      <w:r/>
      <w:r>
        <w:t>Comme il n'y a pas de limite de temps ou de lieu, il n'y a pas non plus de limite aux manières dont Dieu peut être loué. Il peut être loué par le chant (</w:t>
      </w:r>
      <w:hyperlink r:id="rId9191">
        <w:r>
          <w:rPr>
            <w:color w:val="0000EE"/>
            <w:u w:val="single"/>
          </w:rPr>
          <w:t>Ps 47.7</w:t>
        </w:r>
      </w:hyperlink>
      <w:r>
        <w:t>), par la danse (</w:t>
      </w:r>
      <w:hyperlink r:id="rId9168">
        <w:r>
          <w:rPr>
            <w:color w:val="0000EE"/>
            <w:u w:val="single"/>
          </w:rPr>
          <w:t>149.3</w:t>
        </w:r>
      </w:hyperlink>
      <w:r>
        <w:t>), ou avec des instruments de musique (</w:t>
      </w:r>
      <w:hyperlink r:id="rId6770">
        <w:r>
          <w:rPr>
            <w:color w:val="0000EE"/>
            <w:u w:val="single"/>
          </w:rPr>
          <w:t>144.9</w:t>
        </w:r>
      </w:hyperlink>
      <w:r>
        <w:t xml:space="preserve"> ; </w:t>
      </w:r>
      <w:hyperlink r:id="rId9192">
        <w:r>
          <w:rPr>
            <w:color w:val="0000EE"/>
            <w:u w:val="single"/>
          </w:rPr>
          <w:t>150.3–5</w:t>
        </w:r>
      </w:hyperlink>
      <w:r>
        <w:t xml:space="preserve">). Le Psautier nous offre de nombreux chants de louange, et d'autres sont disséminés dans l'Ancien Testament. Le Nouveau Testament parle « </w:t>
      </w:r>
      <w:r>
        <w:t>des psaumes, [...] des hymnes, [et] des cantiques spirituels</w:t>
      </w:r>
      <w:r>
        <w:t xml:space="preserve"> » (</w:t>
      </w:r>
      <w:hyperlink r:id="rId9193">
        <w:r>
          <w:rPr>
            <w:color w:val="0000EE"/>
            <w:u w:val="single"/>
          </w:rPr>
          <w:t>Col 3.16</w:t>
        </w:r>
      </w:hyperlink>
      <w:r>
        <w:t xml:space="preserve"> ; voir aussi </w:t>
      </w:r>
      <w:hyperlink r:id="rId9194">
        <w:r>
          <w:rPr>
            <w:color w:val="0000EE"/>
            <w:u w:val="single"/>
          </w:rPr>
          <w:t>Ep 5.19</w:t>
        </w:r>
      </w:hyperlink>
      <w:r>
        <w:t xml:space="preserve">). Des exemples de chants de louange chrétiens sont probablement retranscris dans </w:t>
      </w:r>
      <w:hyperlink r:id="rId9195">
        <w:r>
          <w:rPr>
            <w:color w:val="0000EE"/>
            <w:u w:val="single"/>
          </w:rPr>
          <w:t>Éphésiens 5.14</w:t>
        </w:r>
      </w:hyperlink>
      <w:r>
        <w:t xml:space="preserve">, </w:t>
      </w:r>
      <w:hyperlink r:id="rId2909">
        <w:r>
          <w:rPr>
            <w:color w:val="0000EE"/>
            <w:u w:val="single"/>
          </w:rPr>
          <w:t>Philippiens 2.6–11</w:t>
        </w:r>
      </w:hyperlink>
      <w:r>
        <w:t xml:space="preserve">, </w:t>
      </w:r>
      <w:hyperlink r:id="rId9196">
        <w:r>
          <w:rPr>
            <w:color w:val="0000EE"/>
            <w:u w:val="single"/>
          </w:rPr>
          <w:t>1 Timothée 1.17</w:t>
        </w:r>
      </w:hyperlink>
      <w:r>
        <w:t xml:space="preserve">, et </w:t>
      </w:r>
      <w:hyperlink r:id="rId9197">
        <w:r>
          <w:rPr>
            <w:color w:val="0000EE"/>
            <w:u w:val="single"/>
          </w:rPr>
          <w:t>2 Timothée 2.11–13</w:t>
        </w:r>
      </w:hyperlink>
      <w:r>
        <w:t>.</w:t>
      </w:r>
    </w:p>
    <w:p>
      <w:pPr>
        <w:pStyle w:val="Heading3"/>
      </w:pPr>
      <w:r>
        <w:t>Pourquoi Dieu doit-il être loué ?</w:t>
      </w:r>
    </w:p>
    <w:p>
      <w:r/>
      <w:r>
        <w:t>La création incite à la louange de Dieu (</w:t>
      </w:r>
      <w:hyperlink r:id="rId9198">
        <w:r>
          <w:rPr>
            <w:color w:val="0000EE"/>
            <w:u w:val="single"/>
          </w:rPr>
          <w:t>Ps 8.3</w:t>
        </w:r>
      </w:hyperlink>
      <w:r>
        <w:t>), tout comme son amour et ses soins préservateurs (</w:t>
      </w:r>
      <w:hyperlink r:id="rId9199">
        <w:r>
          <w:rPr>
            <w:color w:val="0000EE"/>
            <w:u w:val="single"/>
          </w:rPr>
          <w:t>21.4</w:t>
        </w:r>
      </w:hyperlink>
      <w:r>
        <w:t>) et le fait qu'il est un Dieu qui répond aux prières (</w:t>
      </w:r>
      <w:hyperlink r:id="rId9200">
        <w:r>
          <w:rPr>
            <w:color w:val="0000EE"/>
            <w:u w:val="single"/>
          </w:rPr>
          <w:t>116.1</w:t>
        </w:r>
      </w:hyperlink>
      <w:r>
        <w:t>). Son œuvre rédemptrice conduit son peuple à l'adorer (</w:t>
      </w:r>
      <w:hyperlink r:id="rId9201">
        <w:r>
          <w:rPr>
            <w:color w:val="0000EE"/>
            <w:u w:val="single"/>
          </w:rPr>
          <w:t>Ex 15.1–2</w:t>
        </w:r>
      </w:hyperlink>
      <w:r>
        <w:t xml:space="preserve">). Certains des psaumes (par exemple, </w:t>
      </w:r>
      <w:hyperlink r:id="rId9202">
        <w:r>
          <w:rPr>
            <w:color w:val="0000EE"/>
            <w:u w:val="single"/>
          </w:rPr>
          <w:t>Ps 107</w:t>
        </w:r>
      </w:hyperlink>
      <w:r>
        <w:t>) énumèrent de nombreuses raisons pour lesquelles il devrait être loué. Avec la venue du Seigneur Jésus-Christ se dessine une nouvelle explosion de louanges parce que le Messie, le Sauveur, est venu à son peuple (</w:t>
      </w:r>
      <w:hyperlink r:id="rId8807">
        <w:r>
          <w:rPr>
            <w:color w:val="0000EE"/>
            <w:u w:val="single"/>
          </w:rPr>
          <w:t>Lc 2.11</w:t>
        </w:r>
      </w:hyperlink>
      <w:r>
        <w:t>). Tout ce qu'il a accompli par sa vie, sa mort et sa résurrection appelle à la louange. La louange arrivera à son plein accomplissement, dans la perfection, lorsque Dieu régnera victorieux sur toutes choses. Ainsi, Jean dit ceci dans le livre de l'Apocalypse (</w:t>
      </w:r>
      <w:hyperlink r:id="rId9203">
        <w:r>
          <w:rPr>
            <w:color w:val="0000EE"/>
            <w:u w:val="single"/>
          </w:rPr>
          <w:t>19.6</w:t>
        </w:r>
      </w:hyperlink>
      <w:r>
        <w:t xml:space="preserve">) : « </w:t>
      </w:r>
      <w:r>
        <w:t>Et j’entendis comme une voix d’une foule nombreuse, comme un bruit de grosses eaux, et comme un bruit de forts tonnerres, disant: Alléluia! Car le Seigneur notre Dieu tout-puissant est entré dans son règne.</w:t>
      </w:r>
      <w:r>
        <w:t xml:space="preserve"> »</w:t>
      </w:r>
    </w:p>
    <w:p>
      <w:r/>
      <w:r>
        <w:rPr>
          <w:i/>
        </w:rPr>
        <w:t>Voir aussi</w:t>
      </w:r>
      <w:r>
        <w:t xml:space="preserve"> </w:t>
      </w:r>
      <w:r>
        <w:t>Prière</w:t>
      </w:r>
      <w:r>
        <w:t xml:space="preserve"> ; </w:t>
      </w:r>
      <w:r>
        <w:t>Tabernacle</w:t>
      </w:r>
      <w:r>
        <w:t xml:space="preserve"> ; </w:t>
      </w:r>
      <w:r>
        <w:t>Temple</w:t>
      </w:r>
      <w:r>
        <w:t xml:space="preserve"> ; </w:t>
      </w:r>
      <w:r>
        <w:t>Adoration</w:t>
      </w:r>
      <w:r>
        <w:t>.</w:t>
      </w:r>
      <w:r/>
      <w:r/>
    </w:p>
    <w:p>
      <w:r/>
    </w:p>
    <w:p>
      <w:pPr>
        <w:pStyle w:val="Heading2"/>
      </w:pPr>
      <w:r>
        <w:t>Luc (Personne)</w:t>
      </w:r>
      <w:r/>
    </w:p>
    <w:p>
      <w:r/>
      <w:r>
        <w:t>Ami proche et assistant de l'apôtre Paul. Il a écrit l'Évangile selon Luc et le livre des Actes.</w:t>
      </w:r>
    </w:p>
    <w:p>
      <w:r/>
      <w:r>
        <w:t>Si nous acceptons Luc, l'ami de Paul, comme l'auteur de Luc-Actes, nous pouvons en apprendre beaucoup sur lui à partir de cette œuvre en deux parties. L'introduction à l'Évangile montre que Luc n'était pas un témoin oculaire ni quelqu'un qui a suivi directement Jésus pendant sa vie. Il explique qu'il a effectué des recherches approfondies et a rédigé un récit organisé de la vie de Jésus.</w:t>
      </w:r>
    </w:p>
    <w:p>
      <w:pPr>
        <w:pStyle w:val="Heading3"/>
      </w:pPr>
      <w:r>
        <w:t>En quoi l'Évangile de Luc est-il unique ?</w:t>
      </w:r>
    </w:p>
    <w:p>
      <w:r/>
      <w:r>
        <w:t>Luc a écrit sur certains sujets que les autres auteurs des Évangiles n'ont pas inclus dans leurs livres. Un aspect particulier de l'écriture de Luc est qu'il a rédigé deux livres liés : l'Évangile de Luc et le livre des Actes. Ensemble, ces livres montrent comment le message de Dieu s'est répandu des Juifs aux peuples du monde entier, accomplissant ce que le prophète Ésaïe avait annoncé jadis.</w:t>
      </w:r>
    </w:p>
    <w:p>
      <w:r/>
      <w:r>
        <w:t>Luc avait comme souci particulier de montrer que Dieu était pour tout le monde, pas seulement pour le peuple juif (</w:t>
      </w:r>
      <w:hyperlink r:id="rId9204">
        <w:r>
          <w:rPr>
            <w:color w:val="0000EE"/>
            <w:u w:val="single"/>
          </w:rPr>
          <w:t>Lc 2.14</w:t>
        </w:r>
      </w:hyperlink>
      <w:r>
        <w:t xml:space="preserve"> ; </w:t>
      </w:r>
      <w:hyperlink r:id="rId9205">
        <w:r>
          <w:rPr>
            <w:color w:val="0000EE"/>
            <w:u w:val="single"/>
          </w:rPr>
          <w:t>24.47</w:t>
        </w:r>
      </w:hyperlink>
      <w:r>
        <w:t>). Cela est souvent appelé l'universalité de Luc. Dans son Évangile, Luc a souvent écrit sur :</w:t>
      </w:r>
    </w:p>
    <w:p>
      <w:pPr>
        <w:pStyle w:val="ListBullet"/>
        <w:spacing w:line="240" w:lineRule="auto"/>
        <w:ind w:left="720"/>
      </w:pPr>
      <w:r/>
      <w:r>
        <w:t>Les individus et leurs histoires</w:t>
      </w:r>
    </w:p>
    <w:p>
      <w:pPr>
        <w:pStyle w:val="ListBullet"/>
        <w:spacing w:line="240" w:lineRule="auto"/>
        <w:ind w:left="720"/>
      </w:pPr>
      <w:r/>
      <w:r>
        <w:t>Les personnes rejetées par la société</w:t>
      </w:r>
    </w:p>
    <w:p>
      <w:pPr>
        <w:pStyle w:val="ListBullet"/>
        <w:spacing w:line="240" w:lineRule="auto"/>
        <w:ind w:left="720"/>
      </w:pPr>
      <w:r/>
      <w:r>
        <w:t>Les femmes et les enfants</w:t>
      </w:r>
    </w:p>
    <w:p>
      <w:pPr>
        <w:pStyle w:val="ListBullet"/>
        <w:spacing w:line="240" w:lineRule="auto"/>
        <w:ind w:left="720"/>
      </w:pPr>
      <w:r/>
      <w:r>
        <w:t>Les riches et les pauvres et leurs relations</w:t>
      </w:r>
    </w:p>
    <w:p>
      <w:pPr>
        <w:pStyle w:val="ListBullet"/>
        <w:spacing w:line="240" w:lineRule="auto"/>
        <w:ind w:left="720"/>
      </w:pPr>
      <w:r/>
      <w:r>
        <w:t>L'importance de la prière</w:t>
      </w:r>
    </w:p>
    <w:p>
      <w:pPr>
        <w:pStyle w:val="ListBullet"/>
        <w:spacing w:line="240" w:lineRule="auto"/>
        <w:ind w:left="720"/>
      </w:pPr>
      <w:r/>
      <w:r>
        <w:t>L'œuvre du Saint-Esprit de Dieu</w:t>
      </w:r>
    </w:p>
    <w:p>
      <w:r/>
      <w:r>
        <w:t>Ces choix dans ce que Luc a écrit nous aident à comprendre quel genre de personne il était et comment il comprenait la foi chrétienne. Ses écrits sont souvent remplis de joie et de louanges à Dieu.</w:t>
      </w:r>
    </w:p>
    <w:p>
      <w:pPr>
        <w:pStyle w:val="Heading3"/>
      </w:pPr>
      <w:r>
        <w:t>Que savons-nous de Luc d'après le livre des Actes ?</w:t>
      </w:r>
    </w:p>
    <w:p>
      <w:r/>
      <w:r>
        <w:t>Dans le livre des Actes, il y a plusieurs sections où l'auteur utilise le mot « nous » au lieu d'« il » ou « ils ». Ceci suggère que l'auteur était présent lors de ces événements. Si c'est bien Luc qui a écrit Actes, comme la plupart des premiers chrétiens le croyaient, nous pouvons alors retracer ses voyages avec Paul :</w:t>
      </w:r>
    </w:p>
    <w:p>
      <w:pPr>
        <w:pStyle w:val="ListBullet"/>
        <w:spacing w:line="240" w:lineRule="auto"/>
        <w:ind w:left="720"/>
      </w:pPr>
      <w:r/>
      <w:r>
        <w:t>Tout d'abord, Luc rencontre Paul dans la ville de Philippes (</w:t>
      </w:r>
      <w:hyperlink r:id="rId9206">
        <w:r>
          <w:rPr>
            <w:color w:val="0000EE"/>
            <w:u w:val="single"/>
          </w:rPr>
          <w:t>Ac 16.10–17</w:t>
        </w:r>
      </w:hyperlink>
      <w:r>
        <w:t>). Certaines personnes pensent que Philippes pourrait avoir été la ville natale de Luc.</w:t>
      </w:r>
    </w:p>
    <w:p>
      <w:pPr>
        <w:pStyle w:val="ListBullet"/>
        <w:spacing w:line="240" w:lineRule="auto"/>
        <w:ind w:left="720"/>
      </w:pPr>
      <w:r/>
      <w:r>
        <w:t>Plus tard, lorsque Paul revient à Philippes, Luc le rejoint à nouveau (</w:t>
      </w:r>
      <w:hyperlink r:id="rId9207">
        <w:r>
          <w:rPr>
            <w:color w:val="0000EE"/>
            <w:u w:val="single"/>
          </w:rPr>
          <w:t>Ac 20.5–15</w:t>
        </w:r>
      </w:hyperlink>
      <w:r>
        <w:t>).</w:t>
      </w:r>
    </w:p>
    <w:p>
      <w:pPr>
        <w:pStyle w:val="ListBullet"/>
        <w:spacing w:line="240" w:lineRule="auto"/>
        <w:ind w:left="720"/>
      </w:pPr>
      <w:r/>
      <w:r>
        <w:t>Luc voyagera ensuite avec Paul en direction de Jérusalem et restera avec Philippe à Césarée (</w:t>
      </w:r>
      <w:hyperlink r:id="rId9208">
        <w:r>
          <w:rPr>
            <w:color w:val="0000EE"/>
            <w:u w:val="single"/>
          </w:rPr>
          <w:t>Ac 21.1–18</w:t>
        </w:r>
      </w:hyperlink>
      <w:r>
        <w:t>).</w:t>
      </w:r>
    </w:p>
    <w:p>
      <w:pPr>
        <w:pStyle w:val="ListBullet"/>
        <w:spacing w:line="240" w:lineRule="auto"/>
        <w:ind w:left="720"/>
      </w:pPr>
      <w:r/>
      <w:r>
        <w:t>Ensuite, après les deux ans d'emprisonnement de Paul à Césarée, Luc naviguera avec lui vers Rome (</w:t>
      </w:r>
      <w:hyperlink r:id="rId135">
        <w:r>
          <w:rPr>
            <w:color w:val="0000EE"/>
            <w:u w:val="single"/>
          </w:rPr>
          <w:t>Ac 27.1–28.16</w:t>
        </w:r>
      </w:hyperlink>
      <w:r>
        <w:t>).</w:t>
      </w:r>
    </w:p>
    <w:p>
      <w:pPr>
        <w:pStyle w:val="Heading3"/>
      </w:pPr>
      <w:r>
        <w:t>Que savons-nous de Luc d'après les lettres de Paul ?</w:t>
      </w:r>
    </w:p>
    <w:p>
      <w:r/>
      <w:r>
        <w:t>Nous pouvons en apprendre davantage sur Luc à partir des lettres de Paul (</w:t>
      </w:r>
      <w:hyperlink r:id="rId126">
        <w:r>
          <w:rPr>
            <w:color w:val="0000EE"/>
            <w:u w:val="single"/>
          </w:rPr>
          <w:t>Col 4.14</w:t>
        </w:r>
      </w:hyperlink>
      <w:r>
        <w:t xml:space="preserve"> ; </w:t>
      </w:r>
      <w:hyperlink r:id="rId128">
        <w:r>
          <w:rPr>
            <w:color w:val="0000EE"/>
            <w:u w:val="single"/>
          </w:rPr>
          <w:t>2Tm 4.11</w:t>
        </w:r>
      </w:hyperlink>
      <w:r>
        <w:t xml:space="preserve"> ; </w:t>
      </w:r>
      <w:hyperlink r:id="rId129">
        <w:r>
          <w:rPr>
            <w:color w:val="0000EE"/>
            <w:u w:val="single"/>
          </w:rPr>
          <w:t>Phm 1.24</w:t>
        </w:r>
      </w:hyperlink>
      <w:r>
        <w:t xml:space="preserve">). </w:t>
      </w:r>
      <w:hyperlink r:id="rId7130">
        <w:r>
          <w:rPr>
            <w:color w:val="0000EE"/>
            <w:u w:val="single"/>
          </w:rPr>
          <w:t>Colossiens 4.11</w:t>
        </w:r>
      </w:hyperlink>
      <w:r>
        <w:t xml:space="preserve"> et </w:t>
      </w:r>
      <w:hyperlink r:id="rId126">
        <w:r>
          <w:rPr>
            <w:color w:val="0000EE"/>
            <w:u w:val="single"/>
          </w:rPr>
          <w:t>14</w:t>
        </w:r>
      </w:hyperlink>
      <w:r>
        <w:t xml:space="preserve"> semblent indiquer que Luc était un gentil (non-juif) et un médecin. L'intérêt de Luc pour la guérison et les détails médicaux soutient l'idée qu'il était médecin. Par exemple, il décrit soigneusement plusieurs occasions où Jésus a guéri des gens :</w:t>
      </w:r>
    </w:p>
    <w:p>
      <w:pPr>
        <w:pStyle w:val="ListBullet"/>
        <w:spacing w:line="240" w:lineRule="auto"/>
        <w:ind w:left="720"/>
      </w:pPr>
      <w:r/>
      <w:r>
        <w:t>Une femme avec une forte fièvre (</w:t>
      </w:r>
      <w:hyperlink r:id="rId9209">
        <w:r>
          <w:rPr>
            <w:color w:val="0000EE"/>
            <w:u w:val="single"/>
          </w:rPr>
          <w:t>Lc 4.38</w:t>
        </w:r>
      </w:hyperlink>
      <w:r>
        <w:t>)</w:t>
      </w:r>
    </w:p>
    <w:p>
      <w:pPr>
        <w:pStyle w:val="ListBullet"/>
        <w:spacing w:line="240" w:lineRule="auto"/>
        <w:ind w:left="720"/>
      </w:pPr>
      <w:r/>
      <w:r>
        <w:t>Un homme atteint d'une maladie de peau (</w:t>
      </w:r>
      <w:hyperlink r:id="rId9210">
        <w:r>
          <w:rPr>
            <w:color w:val="0000EE"/>
            <w:u w:val="single"/>
          </w:rPr>
          <w:t>Lc 5.12</w:t>
        </w:r>
      </w:hyperlink>
      <w:r>
        <w:t>)</w:t>
      </w:r>
    </w:p>
    <w:p>
      <w:pPr>
        <w:pStyle w:val="ListBullet"/>
        <w:spacing w:line="240" w:lineRule="auto"/>
        <w:ind w:left="720"/>
      </w:pPr>
      <w:r/>
      <w:r>
        <w:t>Une femme qui saignait depuis de nombreuses années (</w:t>
      </w:r>
      <w:hyperlink r:id="rId9211">
        <w:r>
          <w:rPr>
            <w:color w:val="0000EE"/>
            <w:u w:val="single"/>
          </w:rPr>
          <w:t>Lc 8.43</w:t>
        </w:r>
      </w:hyperlink>
      <w:r>
        <w:t>)</w:t>
      </w:r>
    </w:p>
    <w:p>
      <w:pPr>
        <w:pStyle w:val="Heading3"/>
      </w:pPr>
      <w:r>
        <w:t>Que disaient les premiers auteurs chrétiens au sujet de Luc ?</w:t>
      </w:r>
    </w:p>
    <w:p>
      <w:r/>
      <w:r>
        <w:t>Les auteurs chrétiens des premiers siècles nous en apprennent également davantage sur Luc. Ils indiquent qu'il était médecin et qu'il vivait dans la ville d'Antioche. Selon ces auteurs, Luc a rédigé son Évangile alors qu'il se trouvait en Achaïe (une région de Grèce) et a vécu jusqu'à l'âge de 84 ans.</w:t>
      </w:r>
      <w:r/>
      <w:r/>
    </w:p>
    <w:p>
      <w:r/>
    </w:p>
    <w:p>
      <w:pPr>
        <w:pStyle w:val="Heading2"/>
      </w:pPr>
      <w:r>
        <w:t>Luc, Évangile de</w:t>
      </w:r>
      <w:r/>
    </w:p>
    <w:p>
      <w:r/>
      <w:r>
        <w:t>Troisième livre du Nouveau Testament ; également le troisième des Évangiles synoptiques (Matthieu, Marc, Luc).</w:t>
      </w:r>
    </w:p>
    <w:p>
      <w:r/>
      <w:r>
        <w:t>Vue d'ensemble</w:t>
      </w:r>
    </w:p>
    <w:p>
      <w:r/>
      <w:r>
        <w:t xml:space="preserve">• </w:t>
      </w:r>
      <w:r>
        <w:rPr>
          <w:b/>
          <w:u w:val="single"/>
        </w:rPr>
        <w:t>Auteur</w:t>
      </w:r>
    </w:p>
    <w:p>
      <w:r/>
      <w:r>
        <w:t xml:space="preserve">• </w:t>
      </w:r>
      <w:r>
        <w:rPr>
          <w:b/>
          <w:u w:val="single"/>
        </w:rPr>
        <w:t>Date, origine et destinataires</w:t>
      </w:r>
    </w:p>
    <w:p>
      <w:r/>
      <w:r>
        <w:t xml:space="preserve">• </w:t>
      </w:r>
      <w:r>
        <w:rPr>
          <w:b/>
          <w:u w:val="single"/>
        </w:rPr>
        <w:t>Contexte</w:t>
      </w:r>
    </w:p>
    <w:p>
      <w:r/>
      <w:r>
        <w:t xml:space="preserve">• </w:t>
      </w:r>
      <w:r>
        <w:rPr>
          <w:b/>
          <w:u w:val="single"/>
        </w:rPr>
        <w:t>Objectif et enseignement théologique</w:t>
      </w:r>
    </w:p>
    <w:p>
      <w:r/>
      <w:r>
        <w:t xml:space="preserve">• </w:t>
      </w:r>
      <w:r>
        <w:rPr>
          <w:b/>
          <w:u w:val="single"/>
        </w:rPr>
        <w:t>Contenu</w:t>
      </w:r>
    </w:p>
    <w:p>
      <w:pPr>
        <w:pStyle w:val="Heading3"/>
      </w:pPr>
      <w:r>
        <w:t>Auteur</w:t>
      </w:r>
    </w:p>
    <w:p>
      <w:r/>
      <w:r>
        <w:t>La tradition attribue la rédaction de l'Évangile au compagnon estimé de Paul, Luc le médecin (</w:t>
      </w:r>
      <w:hyperlink r:id="rId126">
        <w:r>
          <w:rPr>
            <w:color w:val="0000EE"/>
            <w:u w:val="single"/>
          </w:rPr>
          <w:t>Col 4.14</w:t>
        </w:r>
      </w:hyperlink>
      <w:r>
        <w:t>). L'Évangile n'identifie pas son auteur par son nom, mais il était apparemment bien connu parmi les premiers croyants. Il avait manifestement rassemblé des informations pour son projet depuis un certain temps. Dans Luc et Actes, le destinataire est identifié comme Théophile.</w:t>
      </w:r>
    </w:p>
    <w:p>
      <w:r/>
      <w:r>
        <w:t>Le témoignage interne du livre des Actes en faveur de l'attribution à Luc doit également être pris en compte, car il existe une relation étroite entre les deux livres. Dans trois passages étendus en « nous », l'auteur rapporte sa présence (</w:t>
      </w:r>
      <w:hyperlink r:id="rId9206">
        <w:r>
          <w:rPr>
            <w:color w:val="0000EE"/>
            <w:u w:val="single"/>
          </w:rPr>
          <w:t>Ac 16.10–17</w:t>
        </w:r>
      </w:hyperlink>
      <w:r>
        <w:t xml:space="preserve"> ; </w:t>
      </w:r>
      <w:hyperlink r:id="rId134">
        <w:r>
          <w:rPr>
            <w:color w:val="0000EE"/>
            <w:u w:val="single"/>
          </w:rPr>
          <w:t>20.5–21.18</w:t>
        </w:r>
      </w:hyperlink>
      <w:r>
        <w:t xml:space="preserve"> ; </w:t>
      </w:r>
      <w:hyperlink r:id="rId135">
        <w:r>
          <w:rPr>
            <w:color w:val="0000EE"/>
            <w:u w:val="single"/>
          </w:rPr>
          <w:t>27.1–28.16</w:t>
        </w:r>
      </w:hyperlink>
      <w:r>
        <w:t>). Ceux-ci semblent être des extraits de notes de voyage ; le dernier d'entre eux place l'auteur à Rome avec l'apôtre Paul. Nous pouvons, par le processus d'élimination, établir Luc comme l'auteur avec une quasi-certitude.</w:t>
      </w:r>
    </w:p>
    <w:p>
      <w:pPr>
        <w:pStyle w:val="Heading3"/>
      </w:pPr>
      <w:r>
        <w:t>Date, origine et destinataires</w:t>
      </w:r>
    </w:p>
    <w:p>
      <w:r/>
      <w:r>
        <w:t xml:space="preserve">La datation de Luc est débattue. Certains plaident pour une date postérieure à 70 apr. J.‑C., mais cela prive </w:t>
      </w:r>
      <w:hyperlink r:id="rId9212">
        <w:r>
          <w:rPr>
            <w:color w:val="0000EE"/>
            <w:u w:val="single"/>
          </w:rPr>
          <w:t>Luc 21.20</w:t>
        </w:r>
      </w:hyperlink>
      <w:r>
        <w:t xml:space="preserve"> de sa valeur prédictive. D'autres suggèrent une date antérieure à la mort de Paul (64 apr. J.‑C.). Cette dernière explication rendrait aisément compte du fait qu'Actes se termine par son ministère à Rome alors qu'il est en prison.</w:t>
      </w:r>
    </w:p>
    <w:p>
      <w:r/>
      <w:r>
        <w:t xml:space="preserve">Il se peut que l'Évangile ait été écrit à Rome, mais il n'y a aucune certitude à ce sujet. L'Asie Mineure et la Grèce ont également été proposés. Le </w:t>
      </w:r>
      <w:r>
        <w:rPr>
          <w:i/>
        </w:rPr>
        <w:t>Prologue monarchien à Luc</w:t>
      </w:r>
      <w:r>
        <w:t xml:space="preserve"> favorise cette dernière option, mais sa fiabilité est douteuse. C'est à Rome que Luc aurait pu utiliser son temps de manière profitable pour apporter les dernières touches au troisième Évangile.</w:t>
      </w:r>
    </w:p>
    <w:p>
      <w:r/>
      <w:r>
        <w:t>Luc écrit à Théophile. Théophile (« bien-aimé de Dieu ») n'est probablement pas, comme certains le suggèrent, un terme générique pour tous les croyants, mais plutôt une personne qui semble peu familière avec la géographie de la Palestine. En effet, Luc prend soin de détailler des éléments qui lui seraient inconnus. Il semble avoir une bien meilleure compréhension du monde gréco-romain dans son ensemble, car Luc présuppose que son lecteur le connaît bien. Luc évite également les termes qui pourraient dérouter un lecteur gentil, tels que « hosanna », lors de l'entrée triomphale de Jésus à Jérusalem.</w:t>
      </w:r>
    </w:p>
    <w:p>
      <w:r/>
      <w:r>
        <w:t>Selon toute probabilité, le troisième Évangile a été composé à Rome pendant que Paul attendait son procès, en l'an 64 apr. J.‑C. ou avant. Il est dédié à l'« excellent Théophile » (</w:t>
      </w:r>
      <w:hyperlink r:id="rId9213">
        <w:r>
          <w:rPr>
            <w:color w:val="0000EE"/>
            <w:u w:val="single"/>
          </w:rPr>
          <w:t>Lc 1.3</w:t>
        </w:r>
      </w:hyperlink>
      <w:r>
        <w:t>), selon une coutume appropriée de l'époque. Il s'agit d'un Gentil éminent qui était devenu croyant et que Luc souhaitait instruire (lui ainsi que d'autres) plus soigneusement dans la foi.</w:t>
      </w:r>
    </w:p>
    <w:p>
      <w:pPr>
        <w:pStyle w:val="Heading3"/>
      </w:pPr>
      <w:r>
        <w:t>Contexte</w:t>
      </w:r>
    </w:p>
    <w:p>
      <w:r/>
      <w:r>
        <w:t>Jésus a vécu sa vie dans une région d'environ 80 km de large et 250 km de long, de Dan au nord à Beer-Schéba au sud. À part Jérusalem, les lieux qu'il est rapporté avoir visités ne sont pas importants pour l'histoire séculière de la région. Il a été élevé dans le modeste village de Nazareth et y a vécu jusqu'à l'âge de trente ans environ. Capernaüm est devenu le centre de son ministère en Galilée. Il est passé de temps à autres par la Samarie, et il a exercé son ministère en Pérée. Il a été trahi et crucifié à Jérusalem, ressuscitant en triomphe le troisième jour.</w:t>
      </w:r>
    </w:p>
    <w:p>
      <w:r/>
      <w:r>
        <w:t>Luc écrit rétrospectivement. Sa perspective avait changé pendant l'intervalle : géographiquement de la Palestine à l'Empire romain, politiquement d'Israël à Rome, socialement de la société juive à la société païenne, et religieusement du temple à l'horizon de la mission chrétienne. C'est comme si une ère était superposée à l'autre, permettant ainsi à l'Église primitive de comprendre le sens de la vie et du ministère de Jésus.</w:t>
      </w:r>
    </w:p>
    <w:p>
      <w:pPr>
        <w:pStyle w:val="Heading3"/>
      </w:pPr>
      <w:r>
        <w:t>Objectif et enseignement théologique</w:t>
      </w:r>
    </w:p>
    <w:p>
      <w:r/>
      <w:r>
        <w:t>Siméon a magnifiquement exprimé le thème rédempteur de l'Évangile de Luc lorsque, tenant Jésus dans ses bras, il s'est exclamé : « mes yeux ont vu ton salut, Salut que tu as préparé devant tous les peuples, Lumière pour éclairer les nations, Et gloire d’Israël, ton peuple » (</w:t>
      </w:r>
      <w:hyperlink r:id="rId8622">
        <w:r>
          <w:rPr>
            <w:color w:val="0000EE"/>
            <w:u w:val="single"/>
          </w:rPr>
          <w:t>Lc 2.30–32</w:t>
        </w:r>
      </w:hyperlink>
      <w:r>
        <w:t>). Il a désigné Jésus comme le Sauveur tant attendu, source d'espérance pour les Gentils et les Juifs.</w:t>
      </w:r>
    </w:p>
    <w:p>
      <w:r/>
      <w:r>
        <w:t>Luc a intégré l'œuvre du Saint-Esprit dans la vie et le ministère de Jésus. Jésus a été conçu par le Saint-Esprit (</w:t>
      </w:r>
      <w:hyperlink r:id="rId983">
        <w:r>
          <w:rPr>
            <w:color w:val="0000EE"/>
            <w:u w:val="single"/>
          </w:rPr>
          <w:t>Lc 1.35</w:t>
        </w:r>
      </w:hyperlink>
      <w:r>
        <w:t>) ; l'Esprit est descendu sur lui lors de son baptême (</w:t>
      </w:r>
      <w:hyperlink r:id="rId198">
        <w:r>
          <w:rPr>
            <w:color w:val="0000EE"/>
            <w:u w:val="single"/>
          </w:rPr>
          <w:t>3.22</w:t>
        </w:r>
      </w:hyperlink>
      <w:r>
        <w:t>) ; il a été conduit dans le désert par l'Esprit pour être tenté (</w:t>
      </w:r>
      <w:hyperlink r:id="rId7280">
        <w:r>
          <w:rPr>
            <w:color w:val="0000EE"/>
            <w:u w:val="single"/>
          </w:rPr>
          <w:t>4.2</w:t>
        </w:r>
      </w:hyperlink>
      <w:r>
        <w:t xml:space="preserve">) ; il a été oint par l'Esprit pour son ministère (v. </w:t>
      </w:r>
      <w:hyperlink r:id="rId1506">
        <w:r>
          <w:rPr>
            <w:color w:val="0000EE"/>
            <w:u w:val="single"/>
          </w:rPr>
          <w:t>18</w:t>
        </w:r>
      </w:hyperlink>
      <w:r>
        <w:t>). L'Esprit est, pour ainsi dire, en coulisses dess travaux ultérieurs de Jésus, mais la relation est entndue même lorsqu'elle n'est pas répétée.</w:t>
      </w:r>
    </w:p>
    <w:p>
      <w:r/>
      <w:r>
        <w:t xml:space="preserve">Luc a mis en avant l'expérience de la joie messianique. L'hôte angélique a annoncé la naissance de Jésus avec les mots suivants : « </w:t>
      </w:r>
      <w:r>
        <w:t>Gloire à Dieu dans les lieux très hauts, Et paix sur la terre parmi les hommes qu’il agrée</w:t>
      </w:r>
      <w:r>
        <w:t xml:space="preserve"> ! » (</w:t>
      </w:r>
      <w:hyperlink r:id="rId9204">
        <w:r>
          <w:rPr>
            <w:color w:val="0000EE"/>
            <w:u w:val="single"/>
          </w:rPr>
          <w:t>2.14</w:t>
        </w:r>
      </w:hyperlink>
      <w:r>
        <w:t xml:space="preserve">) Ensuite, alors qu'il approchait de Jérusalem, la multitude qui l'accompagnait a commencé à louer Dieu, en disant : « </w:t>
      </w:r>
      <w:r>
        <w:t>Béni soit le roi qui vient au nom du Seigneur</w:t>
      </w:r>
      <w:r>
        <w:t xml:space="preserve"> !</w:t>
      </w:r>
      <w:r>
        <w:t xml:space="preserve"> Paix dans le ciel, et gloire dans les lieux très hauts</w:t>
      </w:r>
      <w:r>
        <w:t xml:space="preserve"> ! » (</w:t>
      </w:r>
      <w:hyperlink r:id="rId9214">
        <w:r>
          <w:rPr>
            <w:color w:val="0000EE"/>
            <w:u w:val="single"/>
          </w:rPr>
          <w:t>19.38</w:t>
        </w:r>
      </w:hyperlink>
      <w:r>
        <w:t>)</w:t>
      </w:r>
    </w:p>
    <w:p>
      <w:r/>
      <w:r>
        <w:t>Tout cela suggère que le thème de la rédemption dans Luc est complexe. La messianité de Jésus, l'invitation faite aux Gentils tout autant qu'aux Juifs, l'intégration de la puissance du Saint-Esprit pour le ministère de Jésus et celui de ses disciples, l'accent sur la joie qui accompagne la proclamation de l'Évangile sont autant de variations présentes dans la manière dont Luc présente l'unique dessein de rédemption.</w:t>
      </w:r>
    </w:p>
    <w:p>
      <w:r/>
      <w:r>
        <w:t>D'autres préoccupations surgissent incidemment. L'intérêt de Luc pour l'exactitude historique en est une. Son souci apologétique en est une autre. La place importante qu'il accorde à la prière en est une troisième. La liste pourrait être allongée.</w:t>
      </w:r>
    </w:p>
    <w:p>
      <w:pPr>
        <w:pStyle w:val="Heading3"/>
      </w:pPr>
      <w:r>
        <w:t>Contenu</w:t>
      </w:r>
    </w:p>
    <w:p>
      <w:pPr>
        <w:pStyle w:val="Heading4"/>
      </w:pPr>
      <w:r>
        <w:t>Prologue (</w:t>
      </w:r>
      <w:hyperlink r:id="rId136">
        <w:r>
          <w:rPr>
            <w:color w:val="0000EE"/>
            <w:u w:val="single"/>
          </w:rPr>
          <w:t>1.1–4</w:t>
        </w:r>
      </w:hyperlink>
      <w:r>
        <w:t>)</w:t>
      </w:r>
    </w:p>
    <w:p>
      <w:r/>
      <w:r>
        <w:t>L'Évangile commence par un prologue formel. Luc a cherché à consigner de manière ordonnée ce que d'autres avaient transmis comme héritage de foi. Il l'a fait afin d'établir les références historiques de la foi et d'assurer à ses lecteurs leur validité.</w:t>
      </w:r>
    </w:p>
    <w:p>
      <w:pPr>
        <w:pStyle w:val="Heading4"/>
      </w:pPr>
      <w:r>
        <w:t>Naissance et enfance de Jésus (</w:t>
      </w:r>
      <w:hyperlink r:id="rId9215">
        <w:r>
          <w:rPr>
            <w:color w:val="0000EE"/>
            <w:u w:val="single"/>
          </w:rPr>
          <w:t>1.5–2.52</w:t>
        </w:r>
      </w:hyperlink>
      <w:r>
        <w:t>)</w:t>
      </w:r>
    </w:p>
    <w:p>
      <w:r/>
      <w:r>
        <w:t>Aucun des Évangiles ne se présente comme une biographie exhaustive de Jésus. Cependant, Luc a démontré un intérêt particulier pour les événements historiques, notamment en ce qui concerne les récits de la nativité et de l'enfance de Jésus. Il en relate dix épisodes au total : l'annonciation de la naissance de Jean Baptiste en tant que précurseur de Christ ; l'annonce de la naissance de Jésus à Marie ; la visite de Marie à Élisabeth ; la naissance de Jean Baptiste ; le temps de Jean Baptiste dans le désert ; la naissance de Jésus ; la visite des bergers ; la circoncision de Jésus ; la présentation de Jésus au temple ; et la visite au temple durant sa jeunesse.</w:t>
      </w:r>
    </w:p>
    <w:p>
      <w:r/>
      <w:r>
        <w:t xml:space="preserve">Jean Baptiste jouit d'une attention considérable dans la première partie de l'Évangile. Luc rapport que c'était pendant le règne d'Hérode (Hérode le Grand, 37–4 av. J.‑C.) que Zacharie, le prêtre, exerçait son ministère dans le temple (vingt-quatre groupes de prêtres servaient à cette fonction pendant deux semaines distinctes de l'année. Le privilège de brûler de l'encens était déterminé par tirage au sort, et une fois que le prêtre l'avait exercé, il se trouverait disqualifié pour répéter l'acte). Un ange du Seigneur apparait à Zacharie alors qu'il s'apprête à brûler de l'encens. Il lui annonce que lui et sa femme, Élisabeth, auraient un fils, dont le nom serait Jean. Il devra vivre comme un naziréen (voir </w:t>
      </w:r>
      <w:hyperlink r:id="rId9216">
        <w:r>
          <w:rPr>
            <w:color w:val="0000EE"/>
            <w:u w:val="single"/>
          </w:rPr>
          <w:t>Nb 6.1–4</w:t>
        </w:r>
      </w:hyperlink>
      <w:r>
        <w:t>) et préparer la voie pour le Messie. Lorsque Zacharie hésite à croire (lui et Élisabeth étaient d'un âge avancé), l'ange le rend muet jusqu'au moment de la naissance promise.</w:t>
      </w:r>
    </w:p>
    <w:p>
      <w:r/>
      <w:r>
        <w:t>Nous entendons ensuite parler de Jean en lien avec la visite de Marie à Élisabeth. Le bébé tressaille dans le ventre d'Élisabeth lorsqu'elle entend la salutation de Marie (</w:t>
      </w:r>
      <w:hyperlink r:id="rId9217">
        <w:r>
          <w:rPr>
            <w:color w:val="0000EE"/>
            <w:u w:val="single"/>
          </w:rPr>
          <w:t>Lc 1.41</w:t>
        </w:r>
      </w:hyperlink>
      <w:r>
        <w:t>). Luc fait suivre immédiatement ce récit de la naissance de Jean Baptiste. Zacharie nomme l'enfant comme il en avait reçu l'instruction, retrouve la parole et commence à prophétiser concernant la venue du Messie et le rôle préparatoire que son fils jouerait. L'enfant « croissait, et se fortifiait en esprit », demeurant dans le désert jusqu'à ce que commence son ministère public.</w:t>
      </w:r>
    </w:p>
    <w:p>
      <w:r/>
      <w:r>
        <w:t>Luc raconte l'histoire de la nativité du point de vue de Marie. L'ange Gabriel lui rend visite et lui annonce qu'elle donnerait naissance au Messie (</w:t>
      </w:r>
      <w:hyperlink r:id="rId971">
        <w:r>
          <w:rPr>
            <w:color w:val="0000EE"/>
            <w:u w:val="single"/>
          </w:rPr>
          <w:t>1.26–38</w:t>
        </w:r>
      </w:hyperlink>
      <w:r>
        <w:t>), concevant miraculeusement par le Saint-Esprit. Marie est dépeinte comme pieuse et soumise aux desseins de Dieu.</w:t>
      </w:r>
    </w:p>
    <w:p>
      <w:r/>
      <w:r>
        <w:t>Il est dit que la naissance a eu lieu lorsque Quirinius était gouverneur de Syrie, chacun devant se rendre dans leurs villes ancestrales pour un recensement. Marie accouche dans une étable à Bethléhem. Des anges annoncent la naissance aux bergers, qui quittent leurs troupeaux pour voir l'enfant. Marie garde ces événements dans son cœur et médite leur signification.</w:t>
      </w:r>
    </w:p>
    <w:p>
      <w:r/>
      <w:r>
        <w:t>Après que Marie ait observé ses quarante jours de purification rituelle, elle se rend avec Joseph au temple pour présenter Jésus au Seigneur (</w:t>
      </w:r>
      <w:hyperlink r:id="rId9218">
        <w:r>
          <w:rPr>
            <w:color w:val="0000EE"/>
            <w:u w:val="single"/>
          </w:rPr>
          <w:t>2.21–40</w:t>
        </w:r>
      </w:hyperlink>
      <w:r>
        <w:t>). Là, Siméon et Anne, deux personnes âgées et pieuses, reconnaissent l'enfant comme le Messie promis. Siméon conclut que Jésus ferait tomber et se relever beaucoup en Israël, et apporterait une profonde tristesse au cœur de Marie.</w:t>
      </w:r>
    </w:p>
    <w:p>
      <w:r/>
      <w:r>
        <w:t xml:space="preserve">Les récits de la nativité et de l'enfance se terminent par la visite de Jésus au temple à l'âge de douze ans pour célébrer la Fête de la Pâque. Joseph et Marie laissent Jésus derrière eux dans le temple, pensant qu'il était parmi des parents ou des amis. Ils retracent leurs pas et le trouvèrent dans le temple en train de converser avec les rabbins, les écoutant et les étonnant par sa propre compréhension. Luc conclut en disant que Jésus « </w:t>
      </w:r>
      <w:r>
        <w:t>croissait en sagesse, en stature, et en grâce, devant Dieu et devant les hommes</w:t>
      </w:r>
      <w:r>
        <w:t xml:space="preserve"> » (</w:t>
      </w:r>
      <w:hyperlink r:id="rId9219">
        <w:r>
          <w:rPr>
            <w:color w:val="0000EE"/>
            <w:u w:val="single"/>
          </w:rPr>
          <w:t>2.52</w:t>
        </w:r>
      </w:hyperlink>
      <w:r>
        <w:t>).</w:t>
      </w:r>
    </w:p>
    <w:p>
      <w:pPr>
        <w:pStyle w:val="Heading4"/>
      </w:pPr>
      <w:r>
        <w:t>Début du ministère public (</w:t>
      </w:r>
      <w:hyperlink r:id="rId9220">
        <w:r>
          <w:rPr>
            <w:color w:val="0000EE"/>
            <w:u w:val="single"/>
          </w:rPr>
          <w:t>3.1–4.30</w:t>
        </w:r>
      </w:hyperlink>
      <w:r>
        <w:t>)</w:t>
      </w:r>
    </w:p>
    <w:p>
      <w:r/>
      <w:r>
        <w:t>Luc relate ensuite les événements liés à l'inauguration du ministère de Jésus. Ceux-ci incluent le ministère de Jean Baptiste, le baptême de Jésus, sa généalogie, sa tentation et son annonce publique à Nazareth. Luc date le début du ministère de Jean Baptiste de six manières différentes, à travers les mandats de Tibère César, Ponce Pilate, Hérode Antipas, Philippe, Lysanias, et Anne et Caïphe. Jean vient prêcher un baptême de repentance en préparation de la venue du Messie. Des multitudes sortent dans le désert pour l'entendre et être baptisées par lui.</w:t>
      </w:r>
    </w:p>
    <w:p>
      <w:r/>
      <w:r>
        <w:t>Jésus vient également pour se faire baptiser (Luc ne mentionne pas la protestation de Jean selon laquelle Jésus devrait plutôt le baptiser, ni l'insistance de Jésus sur le fait que cela devait se faire, semble-t-il pour s'identifier au peuple et anticiper sa mort à leur place). Le baptême marque l'entrée de Jésus dans son ministère public. Luc insère ce qui pourrait être le registre généalogique de Marie, en accord avec ses efforts antérieurs pour raconter les événements du point de vue de celle-ci.</w:t>
      </w:r>
    </w:p>
    <w:p>
      <w:r/>
      <w:r>
        <w:t>La tentation de Jésus était une épreuve probatoire de son ministère messianique. L'introduction à deux des tentations, « Si tu es le Fils de Dieu », était conçue pour le faire douter des paroles entendues lors de son baptême : « Tu es mon Fils » (</w:t>
      </w:r>
      <w:hyperlink r:id="rId198">
        <w:r>
          <w:rPr>
            <w:color w:val="0000EE"/>
            <w:u w:val="single"/>
          </w:rPr>
          <w:t>3.22</w:t>
        </w:r>
      </w:hyperlink>
      <w:r>
        <w:t xml:space="preserve">; </w:t>
      </w:r>
      <w:hyperlink r:id="rId9221">
        <w:r>
          <w:rPr>
            <w:color w:val="0000EE"/>
            <w:u w:val="single"/>
          </w:rPr>
          <w:t>4.3, 9</w:t>
        </w:r>
      </w:hyperlink>
      <w:r>
        <w:t>). Satan espérait persuader Jésus de chercher à accomplir son appel tout en évitant la croix. Jésus repousse la tentation à chaque reprise en citant les Écritures.</w:t>
      </w:r>
    </w:p>
    <w:p>
      <w:r/>
      <w:r>
        <w:t>Jésus retourne en Galilée et à la synagogue de Nazareth. Il y annonce son ministère public avec des paroles empruntées du Jubilée, associées à l'âge messianique (</w:t>
      </w:r>
      <w:hyperlink r:id="rId8353">
        <w:r>
          <w:rPr>
            <w:color w:val="0000EE"/>
            <w:u w:val="single"/>
          </w:rPr>
          <w:t>4.18–19</w:t>
        </w:r>
      </w:hyperlink>
      <w:r>
        <w:t xml:space="preserve"> ; cf. </w:t>
      </w:r>
      <w:hyperlink r:id="rId3683">
        <w:r>
          <w:rPr>
            <w:color w:val="0000EE"/>
            <w:u w:val="single"/>
          </w:rPr>
          <w:t>Es 61.1–2</w:t>
        </w:r>
      </w:hyperlink>
      <w:r>
        <w:t xml:space="preserve">). Elles reflétaient à la fois l'accent religieux ainsi que les implications sociales de taille du ministère qui allait être le sien. Cette annonce offrait principalement de l'espoir à ceux qui étaient opprimés et ostracisés par la société. Lorsque les personnes présentes ont remis en question ses qualifications, Jésus leur répond : « </w:t>
      </w:r>
      <w:r>
        <w:t>aucun prophète n’est bien reçu dans sa patrie</w:t>
      </w:r>
      <w:r>
        <w:t xml:space="preserve"> » (</w:t>
      </w:r>
      <w:hyperlink r:id="rId9222">
        <w:r>
          <w:rPr>
            <w:color w:val="0000EE"/>
            <w:u w:val="single"/>
          </w:rPr>
          <w:t>Lc 4.24</w:t>
        </w:r>
      </w:hyperlink>
      <w:r>
        <w:t>). Ils chercheront à le jeter du sommet d'une colline, mais il passe au milieu d'eux et poursuit son chemin.</w:t>
      </w:r>
    </w:p>
    <w:p>
      <w:pPr>
        <w:pStyle w:val="Heading4"/>
      </w:pPr>
      <w:r>
        <w:t>Le Ministère Galiléen (</w:t>
      </w:r>
      <w:hyperlink r:id="rId9223">
        <w:r>
          <w:rPr>
            <w:color w:val="0000EE"/>
            <w:u w:val="single"/>
          </w:rPr>
          <w:t>4.31–9.50</w:t>
        </w:r>
      </w:hyperlink>
      <w:r>
        <w:t>)</w:t>
      </w:r>
    </w:p>
    <w:p>
      <w:r/>
      <w:r>
        <w:t>Jésus déplace le cœur de son activité à Capernaüm. Luc relate une variété d'épisodes associés au ministère galiléen qui s'en suivra (environ trente d'entre eux). Environ un tiers impliquent un événement extraordinaire, tel qu'une guérison, un exorcisme, une résurrection ou le fait de nourrir une multitude. Ces événements étaient une démonstration de l'âge messianique.</w:t>
      </w:r>
    </w:p>
    <w:p>
      <w:r/>
      <w:r>
        <w:t>C'est toutefois l'enseignement de Jésus qui semble d'abord avoir attiré l'attention du peuple. Il n'enseignait pas comme les rabbins, en s'appuyant sur des précédents traditionnels, mais enseignait avec l'autorité de sa fonction messianique. Luc entrelace son récit avec un échantillon considérable de l'enseignement de Jésus. Une section assez étendue concerne l'observance du sabbat (</w:t>
      </w:r>
      <w:hyperlink r:id="rId9224">
        <w:r>
          <w:rPr>
            <w:color w:val="0000EE"/>
            <w:u w:val="single"/>
          </w:rPr>
          <w:t>6.1–11</w:t>
        </w:r>
      </w:hyperlink>
      <w:r>
        <w:t>). Celle-ci est moins marquante, cependant, que le sermon de Jésus « sur la plaine », avec ses commentaires étendus concernant les bénédictions et les malédictions, l'amour pour les ennemis, le jugement d'autrui, la reconnaissance d'un homme à travers ses fruits, et la différence entre les bâtisseurs sages et insensés (</w:t>
      </w:r>
      <w:hyperlink r:id="rId9225">
        <w:r>
          <w:rPr>
            <w:color w:val="0000EE"/>
            <w:u w:val="single"/>
          </w:rPr>
          <w:t>6.12–49</w:t>
        </w:r>
      </w:hyperlink>
      <w:r>
        <w:t>). Jésus enseignait par le biais de paraboles, et Luc relate celles du semeur et de la lampe et du boisseau (</w:t>
      </w:r>
      <w:hyperlink r:id="rId9226">
        <w:r>
          <w:rPr>
            <w:color w:val="0000EE"/>
            <w:u w:val="single"/>
          </w:rPr>
          <w:t>8.1–18</w:t>
        </w:r>
      </w:hyperlink>
      <w:r>
        <w:t>). Dans le premier cas, la semence représente la parole de Dieu, le sol illustrant la manière variable de recevoir la Parole. Grâce à celle-ci, les disciples pourraient mieux comprendre les résultats mitigés du ministère de Jésus et les leurs. D'autres seraient perplexes face aux paraboles.</w:t>
      </w:r>
    </w:p>
    <w:p>
      <w:r/>
      <w:r>
        <w:t>Luc décrit l'appel de certains disciples. Il mentionne Pierre, Jacques et Jean, et plus tard Lévi (</w:t>
      </w:r>
      <w:hyperlink r:id="rId9227">
        <w:r>
          <w:rPr>
            <w:color w:val="0000EE"/>
            <w:u w:val="single"/>
          </w:rPr>
          <w:t>5.1–11, 27–32</w:t>
        </w:r>
      </w:hyperlink>
      <w:r>
        <w:t>). Les premiers ont été appelés depuis leurs barques de pêche et le dernier depuis son bureau de taxes. Tous ont été invités à suivre Christ dans son ministère messianique à travers la campagne galiléenne. Plus tard, les douze disciples étant au complet, Jésus les enverra prêcher le Royaume et guérir les malades (</w:t>
      </w:r>
      <w:hyperlink r:id="rId9228">
        <w:r>
          <w:rPr>
            <w:color w:val="0000EE"/>
            <w:u w:val="single"/>
          </w:rPr>
          <w:t>9.1–11</w:t>
        </w:r>
      </w:hyperlink>
      <w:r>
        <w:t xml:space="preserve">). Sans aucun doute, beaucoup ont contribué au ministère au sens élargi. Luc note la présence de certaines femmes qui voyageaient avec eux et contribuaient de leurs propres ressources pour soutenir Jésus et ses disciples (voir </w:t>
      </w:r>
      <w:hyperlink r:id="rId9229">
        <w:r>
          <w:rPr>
            <w:color w:val="0000EE"/>
            <w:u w:val="single"/>
          </w:rPr>
          <w:t>8.3</w:t>
        </w:r>
      </w:hyperlink>
      <w:r>
        <w:t>).</w:t>
      </w:r>
    </w:p>
    <w:p>
      <w:r/>
      <w:r>
        <w:t>On ressent une montée d'enthousiasme à l'égard de l'entreprise galiléenne. Jésus commence seul, travaillant dans l'obscurité, mais cette partie du ministère de Christ se termine avec un groupe fidèle de disciples, des multitudes captivées par ses paroles, et son nom circulant dans toute la région. La section trouve son point culminant dans la confession de Pierre alors qu'il reconnait Jésus comme le Christ, et la transfiguration de Jésus qui s'en suit (</w:t>
      </w:r>
      <w:hyperlink r:id="rId9230">
        <w:r>
          <w:rPr>
            <w:color w:val="0000EE"/>
            <w:u w:val="single"/>
          </w:rPr>
          <w:t>9.10–36</w:t>
        </w:r>
      </w:hyperlink>
      <w:r>
        <w:t>). La présence de Moïse et Élie représente la Loi et les Prophètes et les montre comme subordonnés au Messie.</w:t>
      </w:r>
    </w:p>
    <w:p>
      <w:r/>
      <w:r>
        <w:t>La scène se déplace brusquement au pied de la montagne, où les disciples n'ont pas réussi à délivrer un garçon possédé par un démon. Ici, Jésus souligne la nécessité de ressources spirituelles pour accomplir les besoins du Royaume. Peu après, en réponse à la dispute des disciples sur qui serait le plus grand, il lance un appel à l'humilité.</w:t>
      </w:r>
    </w:p>
    <w:p>
      <w:pPr>
        <w:pStyle w:val="Heading4"/>
      </w:pPr>
      <w:r>
        <w:t>Route vers Jérusalem (</w:t>
      </w:r>
      <w:hyperlink r:id="rId9231">
        <w:r>
          <w:rPr>
            <w:color w:val="0000EE"/>
            <w:u w:val="single"/>
          </w:rPr>
          <w:t>9.51–19.27</w:t>
        </w:r>
      </w:hyperlink>
      <w:r>
        <w:t>)</w:t>
      </w:r>
    </w:p>
    <w:p>
      <w:r/>
      <w:r>
        <w:t>Luc passe ensuite au ministère de Jésus alors qu'il fait route vers Jérusalem. On appelle parfois cela le ministère de Jésus en Pérée, supposant qu'une grande partie de ce segment s'est déroulée de l'autre côté du Jourdain, dans le district de la Pérée. Il peut également être décrit, de manière plus frappante, comme « la route vers la croix ». Le nombre d'incidents qui y est rapporté est à peu près le même que dans la section précédente, bien que le texte soit environ vingt-cinq pour cent plus long.</w:t>
      </w:r>
    </w:p>
    <w:p>
      <w:r/>
      <w:r>
        <w:t>Dès le départ, une opposition semble se soulever contre Jésus, qui envoie ses messagers au devant de lui pour préparer son arrivée dans un village samaritain. Les habitants ne voudront cependant pas l'accueillir, car il se dirigeait vers Jérusalem. Il existait une animosité entre les Juifs et les Samaritains. Ces derniers avaient été installés dans le pays pendant l'occupation assyrienne et avaient apporté avec eux des coutumes religieuses et sociales étrangères, entraînant un syncrétisme que les Juifs trouvaient répugnant. Certains disciples demandent à Jésus s'il souhaitait qu'ils fassent descendre le feu du ciel sur le village, mais Jésus les réprimandera, démontrant un esprit plus conciliant.</w:t>
      </w:r>
    </w:p>
    <w:p>
      <w:r/>
      <w:r>
        <w:t>Luc réintroduit les Samaritains en lien avec une histoire racontée par Jésus (</w:t>
      </w:r>
      <w:hyperlink r:id="rId9232">
        <w:r>
          <w:rPr>
            <w:color w:val="0000EE"/>
            <w:u w:val="single"/>
          </w:rPr>
          <w:t>10.25–37</w:t>
        </w:r>
      </w:hyperlink>
      <w:r>
        <w:t xml:space="preserve">) : un homme est attaqué par des voleurs, qui le laisseront pour mort. Un prêtre d'abord, puis un Lévite passeront, chacun marchant de l'autre côté de la route. Un autre passe par là et prend pitié de l'étranger blessé. Il panse ses blessures et l'amène dans une auberge où il pourra être soigné aux frais de son bienfaiteur. Jésus ajoute le détail suivant : l'homme qui s'est arrêté pour aider était un Samaritain. Lui seul comprend qu'un « prochain » est celui que nous choisissons comme ami plutôt que celui qui nous choisit comme ami (les Samaritains réapparaissent une fois de plus dans le récit des dix lépreux qui ont été guéris, dont seul un Samaritain revient pour exprimer sa reconnaissance, </w:t>
      </w:r>
      <w:hyperlink r:id="rId9233">
        <w:r>
          <w:rPr>
            <w:color w:val="0000EE"/>
            <w:u w:val="single"/>
          </w:rPr>
          <w:t>17.11–19</w:t>
        </w:r>
      </w:hyperlink>
      <w:r>
        <w:t>).</w:t>
      </w:r>
    </w:p>
    <w:p>
      <w:r/>
      <w:r>
        <w:t xml:space="preserve">L'histoire du Bon Samaritain suggère l'opposition que Jésus rencontrait de la part des autorités religieuses à Jérusalem. Même si les foules augmentaient, Jésus note ceci : « </w:t>
      </w:r>
      <w:r>
        <w:t>La reine du Midi se lèvera, au jour du jugement, avec les hommes de cette génération et les condamnera,parce qu’elle vint des extrémités de la terre pour entendre la sagesse de Salomon</w:t>
      </w:r>
      <w:r>
        <w:t xml:space="preserve"> </w:t>
      </w:r>
      <w:r>
        <w:t>; et voici, il y a ici plus que Salomon</w:t>
      </w:r>
      <w:r>
        <w:t xml:space="preserve"> » (</w:t>
      </w:r>
      <w:hyperlink r:id="rId9234">
        <w:r>
          <w:rPr>
            <w:color w:val="0000EE"/>
            <w:u w:val="single"/>
          </w:rPr>
          <w:t>11.31</w:t>
        </w:r>
      </w:hyperlink>
      <w:r>
        <w:t>). De même, les hommes de Ninive se lèveront pour condamner la génération présente aux temps de Jésus, parce qu'eux s'étaient repentis à la prédication de Jonas, alors que celui qui se trouve devant eux est plus grand que Jonas.</w:t>
      </w:r>
    </w:p>
    <w:p>
      <w:r/>
      <w:r>
        <w:t>Jésus réserve le reproche le plus sévère pour ces pharisiens qui étaient venus contester chacun de ses mouvements. Jésus et les pharisiens évoluaient dans des cercles très similaires. Certains s'étaient montrés sympathisants de son message, mais ceux-ci semblaient être minoritaires. Jésus dépeignait les pharisiens comme des légalistes méticuleux (</w:t>
      </w:r>
      <w:hyperlink r:id="rId1020">
        <w:r>
          <w:rPr>
            <w:color w:val="0000EE"/>
            <w:u w:val="single"/>
          </w:rPr>
          <w:t>11.37–44</w:t>
        </w:r>
      </w:hyperlink>
      <w:r>
        <w:t>). La tournure des événements semblait se dirigeaient vers un point culminant. Jésus avait prophétisé sa mort imminente et sa résurrection subséquente. Son visage était tourné vers Jérusalem. Lorsque certains pharisiens bienveillants l'avertissent du plan d'Hérode Antipas de le faire tuer, il refuse d'être intimidé (</w:t>
      </w:r>
      <w:hyperlink r:id="rId9235">
        <w:r>
          <w:rPr>
            <w:color w:val="0000EE"/>
            <w:u w:val="single"/>
          </w:rPr>
          <w:t>13.32–33</w:t>
        </w:r>
      </w:hyperlink>
      <w:r>
        <w:t>).</w:t>
      </w:r>
    </w:p>
    <w:p>
      <w:r/>
      <w:r>
        <w:t xml:space="preserve">Les paraboles abondent dans cette section de l'Évangile. Elles incluent celles du Bon Samaritain, du grain de moutarde, du levain, de la porte étroite, de l'invitation au festin des noces, du grand banquet, de la construction de la tour, du roi qui part en guerre, de la brebis perdue, de la pièce perdue, du fils prodigue, de l'intendant injuste, de l'homme riche et de Lazare, du pharisien et du publicain, et des dix mines. Celles-ci semblent appartenir à trois catégories, bien que peut-être pas exclusivement. </w:t>
      </w:r>
    </w:p>
    <w:p>
      <w:r/>
      <w:r>
        <w:t>Premièrement, l'acceptation des pécheurs (bien que l'Écriture révèle que nous sommes tous pécheurs, « pécheurs » dans les Évangiles synoptiques se réfère aux Juifs non pratiquants). Un exemple classique en est la parabole du fils prodigue (</w:t>
      </w:r>
      <w:hyperlink r:id="rId7801">
        <w:r>
          <w:rPr>
            <w:color w:val="0000EE"/>
            <w:u w:val="single"/>
          </w:rPr>
          <w:t>15.11–32</w:t>
        </w:r>
      </w:hyperlink>
      <w:r>
        <w:t>).</w:t>
      </w:r>
    </w:p>
    <w:p>
      <w:r/>
      <w:r>
        <w:t>La deuxième catégorie pourrait être appelée les paraboles du Royaume. Elles suggèrent que, bien que le Royaume commence de manière relativement insignifiante, il s'étendra à des proportions incroyables. Elles avertissent également que tout ce qui semble faire partie de la croissance n'est pas une véritable extension du Royaume. Ces accents peuvent être reconnus en comparant les paraboles du grain de moutarde, du levain et de la porte étroite (</w:t>
      </w:r>
      <w:hyperlink r:id="rId9236">
        <w:r>
          <w:rPr>
            <w:color w:val="0000EE"/>
            <w:u w:val="single"/>
          </w:rPr>
          <w:t>13.18–30</w:t>
        </w:r>
      </w:hyperlink>
      <w:r>
        <w:t>).</w:t>
      </w:r>
    </w:p>
    <w:p>
      <w:r/>
      <w:r>
        <w:t>La troisième catégorie concerne la question de l'intendance. Jésus a raconté une parabole, alors qu'ils approchaient de Jérusalem, (</w:t>
      </w:r>
      <w:hyperlink r:id="rId9237">
        <w:r>
          <w:rPr>
            <w:color w:val="0000EE"/>
            <w:u w:val="single"/>
          </w:rPr>
          <w:t>19.11–27</w:t>
        </w:r>
      </w:hyperlink>
      <w:r>
        <w:t>) qui impliquait un homme de noble naissance qui se rend dans un pays lointain, laissant à ses serviteurs dix mines chacun (une mine représentait environ trois mois de salaire pour les ouvriers). Ils devaient investir les mines afin que l'homme obtienne un bon profit à son retour. À son retour, le noble appelle ses serviteurs pour obtenir leur compte rendu. Ceux qui s'étaient montrés fidèles dans les petites choses se sont vus offrir de plus grandes opportunités, mais celui qui a échoué a perdu même ce qui lui avait été donné.</w:t>
      </w:r>
    </w:p>
    <w:p>
      <w:r/>
      <w:r>
        <w:t>Il y a des scènes particulièrement émouvantes dans le récit de l'Évangile. L'une montre Jésus qui accueille de petits enfants (</w:t>
      </w:r>
      <w:hyperlink r:id="rId9238">
        <w:r>
          <w:rPr>
            <w:color w:val="0000EE"/>
            <w:u w:val="single"/>
          </w:rPr>
          <w:t>18.15–17</w:t>
        </w:r>
      </w:hyperlink>
      <w:r>
        <w:t xml:space="preserve">). Une autre décrit un riche dirigeant qui demande à Jésus comment obtenir la vie éternelle (v. </w:t>
      </w:r>
      <w:hyperlink r:id="rId9239">
        <w:r>
          <w:rPr>
            <w:color w:val="0000EE"/>
            <w:u w:val="single"/>
          </w:rPr>
          <w:t>18–30</w:t>
        </w:r>
      </w:hyperlink>
      <w:r>
        <w:t>). Un autre épisode, enfin, concerne un collecteur d'impôts appelé Zachée (</w:t>
      </w:r>
      <w:hyperlink r:id="rId9240">
        <w:r>
          <w:rPr>
            <w:color w:val="0000EE"/>
            <w:u w:val="single"/>
          </w:rPr>
          <w:t>19.1–10</w:t>
        </w:r>
      </w:hyperlink>
      <w:r>
        <w:t>). Ces scènes nous aident à mieux apprécier l'étendu du ministère de Jésus dans sa diversité.</w:t>
      </w:r>
    </w:p>
    <w:p>
      <w:r/>
      <w:r>
        <w:t>Lentement mais sûrement, Jésus se fraie un chemin jusqu'à Jérusalem. Il avait rencontré une opposition croissante. La croix se trouvait juste au-delà de l'horizon et il prêchait tant que le temps le permettait.</w:t>
      </w:r>
    </w:p>
    <w:p>
      <w:pPr>
        <w:pStyle w:val="Heading4"/>
      </w:pPr>
      <w:r>
        <w:t>Mort et résurrection de Jésus (</w:t>
      </w:r>
      <w:hyperlink r:id="rId9241">
        <w:r>
          <w:rPr>
            <w:color w:val="0000EE"/>
            <w:u w:val="single"/>
          </w:rPr>
          <w:t>19.28–24.53</w:t>
        </w:r>
      </w:hyperlink>
      <w:r>
        <w:t>)</w:t>
      </w:r>
    </w:p>
    <w:p>
      <w:r/>
      <w:r>
        <w:t>Luc conclut son récit avec la semaine de la Passion. Il commence avec l'Entrée Triomphale de Christ (</w:t>
      </w:r>
      <w:hyperlink r:id="rId9242">
        <w:r>
          <w:rPr>
            <w:color w:val="0000EE"/>
            <w:u w:val="single"/>
          </w:rPr>
          <w:t>19.28–44</w:t>
        </w:r>
      </w:hyperlink>
      <w:r>
        <w:t xml:space="preserve">). Alors que ceux qui accompagnaient Jésus franchissaient la crête du Mont des Oliviers, ils ont commencé à louer Dieu pour tous les miracles qu'ils avaient vus : « </w:t>
      </w:r>
      <w:r>
        <w:t>Béni soit le roi qui vient au nom du Seigneur</w:t>
      </w:r>
      <w:r>
        <w:t xml:space="preserve"> </w:t>
      </w:r>
      <w:r>
        <w:t>! Paix dans le ciel, et gloire dans les lieux très hauts</w:t>
      </w:r>
      <w:r>
        <w:t xml:space="preserve"> </w:t>
      </w:r>
      <w:r>
        <w:t>!</w:t>
      </w:r>
      <w:r>
        <w:t xml:space="preserve"> » (</w:t>
      </w:r>
      <w:hyperlink r:id="rId9214">
        <w:r>
          <w:rPr>
            <w:color w:val="0000EE"/>
            <w:u w:val="single"/>
          </w:rPr>
          <w:t>19.38</w:t>
        </w:r>
      </w:hyperlink>
      <w:r>
        <w:t>) La jubilation de la multitude contraste fortement avec les pleurs de Jésus sur une ville impénitente et sa lamentation sur la destruction qui lui sera infligée.</w:t>
      </w:r>
    </w:p>
    <w:p>
      <w:r/>
      <w:r>
        <w:t>En entrant dans la zone du temple, Jésus commence alors à chasser ceux qui y vendaient des marchandises. La maison de Dieu était appelée à être une maison de prière, alors qu'eux, pour reprendre les paroles de Jésus, en avaient fait une caverne de voleurs. Il continue à enseigner quotidiennement dans les enceintes du temple, tandis que les chefs religieux complotaient comment le mettre à mort sans susciter la colère du peuple.</w:t>
      </w:r>
    </w:p>
    <w:p>
      <w:r/>
      <w:r>
        <w:t xml:space="preserve">Luc note une partie de l'échange avec les dirigeants et le peuple (chap. </w:t>
      </w:r>
      <w:hyperlink r:id="rId9243">
        <w:r>
          <w:rPr>
            <w:color w:val="0000EE"/>
            <w:u w:val="single"/>
          </w:rPr>
          <w:t>20–21</w:t>
        </w:r>
      </w:hyperlink>
      <w:r>
        <w:t>). Cette conversation inclut une remise en question de l'autorité de Jésus, la parabole des vignerons méchants, la question du paiement des impôts à César, une autre question concernant la résurrection, la question de Jésus sur la façon de comprendre l'ascendance davidique et la seigneurie du Messie, un avertissement contre les scribes, des commentaires sur l'offrande de la veuve, et un discours sur la fin des temps. Cette large gamme de sujets est liée à la dispute messianique qui avait cours.</w:t>
      </w:r>
    </w:p>
    <w:p>
      <w:r/>
      <w:r>
        <w:t>Le problème tel que Luc le présente semble moins intellectuel que moral. Les responsables religieux étaient déterminés à conserver leur position privilégiée à tout prix. Ce rabbin galiléen représentait une menace sérieuse qui devait être éliminée. Il ne s'agissait que d'attendre la bonne opportunité. Celle-ci apparait lorsque Judas Iscariot propose de trahir Jésus (</w:t>
      </w:r>
      <w:hyperlink r:id="rId9244">
        <w:r>
          <w:rPr>
            <w:color w:val="0000EE"/>
            <w:u w:val="single"/>
          </w:rPr>
          <w:t>22.1–6</w:t>
        </w:r>
      </w:hyperlink>
      <w:r>
        <w:t>).</w:t>
      </w:r>
    </w:p>
    <w:p>
      <w:r/>
      <w:r>
        <w:t>Entre le complot des dirigeants et l'arrestation de Jésus se déroulent la Dernière Cène et la veillée de prière à Gethsémané (</w:t>
      </w:r>
      <w:hyperlink r:id="rId9245">
        <w:r>
          <w:rPr>
            <w:color w:val="0000EE"/>
            <w:u w:val="single"/>
          </w:rPr>
          <w:t>22.7–46</w:t>
        </w:r>
      </w:hyperlink>
      <w:r>
        <w:t>). Depuis la chambre haute, Jésus et les disciples traversent la vallée du Cédron jusqu'au mont des Oliviers et Jésus y prie en préparation pour la crucifixion à venir. Les disciples dormaient, épuisés par les lourdes exigences des jours qui avaient précédé. Judas arrivera et désignera Jésus ; les soldats l'emmenèront précipitamment pour comparaître devant le grand prêtre. Pierre renie le Christ, craignant pour sa propre vie. Jésus est condamné par le Sanhédrin (les commentateurs débattent pour savoir s'il s'agissait d'une session formelle du conseil des anciens juifs). Il sera envoyé au gouverneur romain, Ponce Pilate, puis à Hérode Antipas, et de nouveau à Pilate. Pilate ne verra aucune raison de condamner Jésus à mort, mais la foule, excitée par les dirigeants juifs, exigera sa crucifixion. Pilate cèdera à leur pression lorsque les alternatives semblaient lui échapper.</w:t>
      </w:r>
    </w:p>
    <w:p>
      <w:r/>
      <w:r>
        <w:t>Jésus sera alors emmené pour être crucifié. Luc seul mentionne ceux qui le pleuraient (</w:t>
      </w:r>
      <w:hyperlink r:id="rId9246">
        <w:r>
          <w:rPr>
            <w:color w:val="0000EE"/>
            <w:u w:val="single"/>
          </w:rPr>
          <w:t>23.27</w:t>
        </w:r>
      </w:hyperlink>
      <w:r>
        <w:t>). Jésus les avertit de pleurer plutôt pour eux-mêmes et leurs enfants. Ici et par la suite, nous voyons la préoccupation de Jésus pour les autres au milieu de sa propre agonie : ceux qui le crucifiaient, le criminel repentant et sa mère, Marie.</w:t>
      </w:r>
    </w:p>
    <w:p>
      <w:r/>
      <w:r>
        <w:t xml:space="preserve">Luc note une réaction mitigée à la crucifixion. Les gens se tenaient là à regarder, comme immobilisés par le flot des événements. Ils ont peut-être ressenti une impuissance à intervenir, même s'ils étaient disposés à le faire. Certains des chefs religieux sont allés jusqu'à se moquer de Jésus : « </w:t>
      </w:r>
      <w:r>
        <w:t>Il a sauvé les autres</w:t>
      </w:r>
      <w:r>
        <w:t xml:space="preserve"> </w:t>
      </w:r>
      <w:r>
        <w:t>; qu’il se sauve lui-même, s’il est le Christ, l’élu de Dieu</w:t>
      </w:r>
      <w:r>
        <w:t xml:space="preserve"> </w:t>
      </w:r>
      <w:r>
        <w:t>!</w:t>
      </w:r>
      <w:r>
        <w:t xml:space="preserve"> » (</w:t>
      </w:r>
      <w:hyperlink r:id="rId4153">
        <w:r>
          <w:rPr>
            <w:color w:val="0000EE"/>
            <w:u w:val="single"/>
          </w:rPr>
          <w:t>23.35</w:t>
        </w:r>
      </w:hyperlink>
      <w:r>
        <w:t>). Un criminel endurci s'est joint à leur dérision, tandis que l'autre a demandé la clémence.</w:t>
      </w:r>
    </w:p>
    <w:p>
      <w:r/>
      <w:r>
        <w:t>La scène était comme enveloppée d'obscurité. Le rideau du temple se déchire, suggérant que l'accès était désormais possible grâce au sang versé du Christ. Jésus remet son esprit au Père et rend son dernier souffle. Son corps sera déposé dans le tombeau de Joseph d'Arimathée. Des femmes préparent des épices et des parfums pour l'inhumation, mais se reposent le jour du sabbat en obéissance au commandement.</w:t>
      </w:r>
    </w:p>
    <w:p>
      <w:r/>
      <w:r>
        <w:t xml:space="preserve">Tôt le premier jour de la semaine, les femmes s'approchent du tombeau, et trouvent la pierre qui en gardait l'entrée roulée, le corps de Jésus ayant disparu. Soudain, deux figures en habits resplendissants se tiennent près d'elles. Ils annoncent aux femmes effrayées : « </w:t>
      </w:r>
      <w:r>
        <w:t>Il n’est point ici, mais il est ressuscité</w:t>
      </w:r>
      <w:r>
        <w:t xml:space="preserve"> » (</w:t>
      </w:r>
      <w:hyperlink r:id="rId9247">
        <w:r>
          <w:rPr>
            <w:color w:val="0000EE"/>
            <w:u w:val="single"/>
          </w:rPr>
          <w:t>24.6</w:t>
        </w:r>
      </w:hyperlink>
      <w:r>
        <w:t>). Les femmes retournent alors pour dire aux apôtres ce qu'elles ont vu et Pierre court vers le tombeau pour confirmer leurs découvertes. Il découvre les bandes de lin disposées comme elles l'avaient été, mais le corps absent. Il se demande ce qui s'était passé.</w:t>
      </w:r>
    </w:p>
    <w:p>
      <w:r/>
      <w:r>
        <w:t>Le même jour, deux disciples se rendent dans un village appelé Emmaüs. Ils discutaient en route de ce qui s'était passé à Jérusalem lorsqu'ils sont rejoints par Jésus en chemin. Ils sont empêchés de le reconnaître jusqu'à plus tard, lorsqu'il rompera le pain avec eux. Ils retournent alors en hâte à Jérusalem pour rassurer la communauté que c'était bien vrai : le Seigneur était ressuscité.</w:t>
      </w:r>
    </w:p>
    <w:p>
      <w:r/>
      <w:r>
        <w:t xml:space="preserve">Alors qu'ils parlaient encore, Jésus apparait au milieu d'eux. « </w:t>
      </w:r>
      <w:r>
        <w:t>Voyez mes mains et mes pieds, c’est bien moi</w:t>
      </w:r>
      <w:r>
        <w:t xml:space="preserve"> </w:t>
      </w:r>
      <w:r>
        <w:t>; touchez-moi et voyez</w:t>
      </w:r>
      <w:r>
        <w:t xml:space="preserve"> </w:t>
      </w:r>
      <w:r>
        <w:t>: un esprit n’a ni chair ni os, comme vous voyez que j’ai</w:t>
      </w:r>
      <w:r>
        <w:t xml:space="preserve"> » (</w:t>
      </w:r>
      <w:hyperlink r:id="rId9248">
        <w:r>
          <w:rPr>
            <w:color w:val="0000EE"/>
            <w:u w:val="single"/>
          </w:rPr>
          <w:t>24.39</w:t>
        </w:r>
      </w:hyperlink>
      <w:r>
        <w:t xml:space="preserve">). Il les a aide alors à comprendre les implications de ce qui s'était passé : « il est écrit que le Christ souffrirait, et qu’il ressusciterait des morts le troisième jour, et que la repentance et lepardon des péchés seraient prêchés en son nom à toutes les nations,à commencer par Jérusalem. Vous êtes témoins de ces choses. Et voici, j’enverrai sur vous ce que mon Père a promis ; mais vous, restez dans la ville jusqu’à ce que vous soyez revêtus de la puissance d’en haut » (v. </w:t>
      </w:r>
      <w:hyperlink r:id="rId9249">
        <w:r>
          <w:rPr>
            <w:color w:val="0000EE"/>
            <w:u w:val="single"/>
          </w:rPr>
          <w:t>46–49</w:t>
        </w:r>
      </w:hyperlink>
      <w:r>
        <w:t>).</w:t>
      </w:r>
    </w:p>
    <w:p>
      <w:r/>
      <w:r>
        <w:t>Luc conclut son Évangile par le récit de l'Ascension (</w:t>
      </w:r>
      <w:hyperlink r:id="rId9250">
        <w:r>
          <w:rPr>
            <w:color w:val="0000EE"/>
            <w:u w:val="single"/>
          </w:rPr>
          <w:t>24.50–53</w:t>
        </w:r>
      </w:hyperlink>
      <w:r>
        <w:t>). C'est pendant que Jésus les bénissait qu'il est élevé devant leurs yeux. Ils l'adorent alors comme le Seigneur ascensionné et retournent à Jérusalem avec une grande joie. Ils y restent, dans l'enceinte du temple, louant Dieu et anticipant la venue du Saint-Esprit pour les fortifier afin de témoigner dans le monde entier.</w:t>
      </w:r>
    </w:p>
    <w:p>
      <w:r/>
      <w:r>
        <w:rPr>
          <w:i/>
        </w:rPr>
        <w:t>Voir aussi</w:t>
      </w:r>
      <w:r>
        <w:t xml:space="preserve"> </w:t>
      </w:r>
      <w:r>
        <w:t>Actes des Apôtres, Livre des</w:t>
      </w:r>
      <w:r>
        <w:t xml:space="preserve"> ; </w:t>
      </w:r>
      <w:r>
        <w:t>Jésus-Christ, Enseignements de</w:t>
      </w:r>
      <w:r>
        <w:t xml:space="preserve"> ; </w:t>
      </w:r>
      <w:r>
        <w:t>Luc (Personne)</w:t>
      </w:r>
      <w:r>
        <w:t xml:space="preserve"> ; </w:t>
      </w:r>
      <w:r>
        <w:t>Évangiles Synoptiques</w:t>
      </w:r>
      <w:r>
        <w:t>.</w:t>
      </w:r>
      <w:r/>
      <w:r/>
    </w:p>
    <w:p>
      <w:r/>
    </w:p>
    <w:p>
      <w:pPr>
        <w:pStyle w:val="Heading2"/>
      </w:pPr>
      <w:r>
        <w:t>Lucius</w:t>
      </w:r>
      <w:r/>
    </w:p>
    <w:p>
      <w:pPr>
        <w:pStyle w:val="ListNumber"/>
        <w:spacing w:line="240" w:lineRule="auto"/>
        <w:ind w:left="720"/>
      </w:pPr>
      <w:r/>
      <w:r>
        <w:t>Homme de Cyrène (une ville en Afrique du Nord) répertorié parmi les prophètes et enseignants à Antioche (</w:t>
      </w:r>
      <w:hyperlink r:id="rId3034">
        <w:r>
          <w:rPr>
            <w:color w:val="0000EE"/>
            <w:u w:val="single"/>
          </w:rPr>
          <w:t>Ac 13.1</w:t>
        </w:r>
      </w:hyperlink>
      <w:r>
        <w:t xml:space="preserve">). Il se peut qu'il ait été parmi les chrétiens juifs de Chypre et de Cyrène (les hommes qui ont prêché aux Gentils à Antioche face à la persécution ; </w:t>
      </w:r>
      <w:hyperlink r:id="rId9251">
        <w:r>
          <w:rPr>
            <w:color w:val="0000EE"/>
            <w:u w:val="single"/>
          </w:rPr>
          <w:t>11.19–21</w:t>
        </w:r>
      </w:hyperlink>
      <w:r>
        <w:t xml:space="preserve">). Certains ont essayé de l'identifier à Luc, l'auteur des Actes, ou au Lucius mentionné dans </w:t>
      </w:r>
      <w:hyperlink r:id="rId7113">
        <w:r>
          <w:rPr>
            <w:color w:val="0000EE"/>
            <w:u w:val="single"/>
          </w:rPr>
          <w:t>Romains 16.21</w:t>
        </w:r>
      </w:hyperlink>
    </w:p>
    <w:p>
      <w:pPr>
        <w:pStyle w:val="ListNumber"/>
        <w:spacing w:line="240" w:lineRule="auto"/>
        <w:ind w:left="720"/>
      </w:pPr>
      <w:r/>
      <w:r>
        <w:t xml:space="preserve">Chrétien juif (voir </w:t>
      </w:r>
      <w:hyperlink r:id="rId2301">
        <w:r>
          <w:rPr>
            <w:color w:val="0000EE"/>
            <w:u w:val="single"/>
          </w:rPr>
          <w:t>Rm 9.3</w:t>
        </w:r>
      </w:hyperlink>
      <w:r>
        <w:t>), l'un des compagnons de l'apôtre Paul qui enverra des salutations à ceux de Rome (</w:t>
      </w:r>
      <w:hyperlink r:id="rId7113">
        <w:r>
          <w:rPr>
            <w:color w:val="0000EE"/>
            <w:u w:val="single"/>
          </w:rPr>
          <w:t>16.21</w:t>
        </w:r>
      </w:hyperlink>
      <w:r>
        <w:t xml:space="preserve">). Le fait que ce Lucius était juif rend peu probable le fait qu'il puisse être la même personne que Luc, qui a écrit l'Évangile de Luc et les Actes. Un auteur chrétien ancien nommé Origène a suggéré qu'ils étaient la même personne, mais Luc était très probablement un gentil (non-juif), comme indiqué dans </w:t>
      </w:r>
      <w:hyperlink r:id="rId9252">
        <w:r>
          <w:rPr>
            <w:color w:val="0000EE"/>
            <w:u w:val="single"/>
          </w:rPr>
          <w:t>Col 4.12–14</w:t>
        </w:r>
      </w:hyperlink>
      <w:r>
        <w:t>.</w:t>
      </w:r>
      <w:r/>
      <w:r/>
    </w:p>
    <w:p>
      <w:r/>
    </w:p>
    <w:p>
      <w:pPr>
        <w:pStyle w:val="Heading2"/>
      </w:pPr>
      <w:r>
        <w:t>Lud, Ludim</w:t>
      </w:r>
      <w:r/>
    </w:p>
    <w:p>
      <w:r/>
      <w:r>
        <w:t xml:space="preserve">Noms apparaissant dans la Table des nations dans </w:t>
      </w:r>
      <w:hyperlink r:id="rId4483">
        <w:r>
          <w:rPr>
            <w:color w:val="0000EE"/>
            <w:u w:val="single"/>
          </w:rPr>
          <w:t>Genèse 10</w:t>
        </w:r>
      </w:hyperlink>
      <w:r>
        <w:t>. Ludim est mentionné comme le premier fils de Mizraïm, et Lud est mentionné comme le quatrième fils de Sem. Il est probablement préférable de les considérer comme ayant des origines ethniques différentes. Certains, cependant, ont suggéré que les deux noms se réfèrent à un peuple d'Asie Mineure, les Lydiens, qui sont mentionnés sur les inscriptions d'</w:t>
      </w:r>
      <w:r>
        <w:t>Assurbanipal</w:t>
      </w:r>
      <w:r>
        <w:t xml:space="preserve"> comme </w:t>
      </w:r>
      <w:r>
        <w:rPr>
          <w:i/>
        </w:rPr>
        <w:t>Luddu.</w:t>
      </w:r>
      <w:r>
        <w:t xml:space="preserve"> Il ne fait guère de doute que Lud, à tout le moins, doit être associé à la Lydie. Josèphe fait cette identification (</w:t>
      </w:r>
      <w:r>
        <w:rPr>
          <w:i/>
        </w:rPr>
        <w:t>Antiquités juives</w:t>
      </w:r>
      <w:r>
        <w:t xml:space="preserve"> 1.6.4.). Dans </w:t>
      </w:r>
      <w:hyperlink r:id="rId6096">
        <w:r>
          <w:rPr>
            <w:color w:val="0000EE"/>
            <w:u w:val="single"/>
          </w:rPr>
          <w:t>Ésaïe 66.19</w:t>
        </w:r>
      </w:hyperlink>
      <w:r>
        <w:t>, il est mentionné parmi d'autres nations d'Asie Mineure.</w:t>
      </w:r>
    </w:p>
    <w:p>
      <w:r/>
      <w:r>
        <w:t xml:space="preserve">Lud est souvent mentionné dans des contextes qui suggèrent que ces hommes étaient réputés pour être de bons soldats. Selon </w:t>
      </w:r>
      <w:hyperlink r:id="rId9253">
        <w:r>
          <w:rPr>
            <w:color w:val="0000EE"/>
            <w:u w:val="single"/>
          </w:rPr>
          <w:t>Jérémie 46.9</w:t>
        </w:r>
      </w:hyperlink>
      <w:r>
        <w:t xml:space="preserve">, ils ont combattu avec les Égyptiens contre les Babyloniens à la bataille de Carkemisch en 605 av. J.‑C. Dans la lamentation sur Tyr dans </w:t>
      </w:r>
      <w:hyperlink r:id="rId9254">
        <w:r>
          <w:rPr>
            <w:color w:val="0000EE"/>
            <w:u w:val="single"/>
          </w:rPr>
          <w:t>Ézéchiel 27.10</w:t>
        </w:r>
      </w:hyperlink>
      <w:r>
        <w:t>, ils sont répertoriés parmi d'autres mercenaires dans l'armée de Tyr. Peut-être qu'</w:t>
      </w:r>
      <w:hyperlink r:id="rId9072">
        <w:r>
          <w:rPr>
            <w:color w:val="0000EE"/>
            <w:u w:val="single"/>
          </w:rPr>
          <w:t>Ézéchiel 30.5</w:t>
        </w:r>
      </w:hyperlink>
      <w:r>
        <w:t xml:space="preserve"> est un autre cas de Lydiens servant comme mercenaires, cette fois dans l'armée égyptienne. Une telle aide militaire à l'Égypte remonte à la période assyrienne, lorsque Gyges avait envoyé une aide militaire à Psammétique d'Égypte contre les Assyriens.</w:t>
      </w:r>
    </w:p>
    <w:p>
      <w:r/>
      <w:r>
        <w:rPr>
          <w:i/>
        </w:rPr>
        <w:t>Voir aussi</w:t>
      </w:r>
      <w:r>
        <w:t xml:space="preserve"> </w:t>
      </w:r>
      <w:r>
        <w:t>Lydie (lieu)</w:t>
      </w:r>
      <w:r>
        <w:t>.</w:t>
      </w:r>
      <w:r/>
      <w:r/>
    </w:p>
    <w:p>
      <w:r/>
    </w:p>
    <w:p>
      <w:pPr>
        <w:pStyle w:val="Heading2"/>
      </w:pPr>
      <w:r>
        <w:t>Lumière</w:t>
      </w:r>
      <w:r/>
    </w:p>
    <w:p>
      <w:r/>
      <w:r>
        <w:t>Illumination, qui permet de voir.</w:t>
      </w:r>
    </w:p>
    <w:p>
      <w:pPr>
        <w:pStyle w:val="Heading3"/>
      </w:pPr>
      <w:r>
        <w:t>La Lumière dans l'Ancien Testament</w:t>
      </w:r>
    </w:p>
    <w:p>
      <w:r/>
      <w:r>
        <w:t>La lumière est un concept avec de nombreuses significations dans l'Ancien Testament. Elle se réfère souvent à la lumière physique ordinaire, mais elle symbolise aussi la vérité spirituelle. La première chose que Dieu a créée était la lumière (</w:t>
      </w:r>
      <w:hyperlink r:id="rId6244">
        <w:r>
          <w:rPr>
            <w:color w:val="0000EE"/>
            <w:u w:val="single"/>
          </w:rPr>
          <w:t>Gn 1.3</w:t>
        </w:r>
      </w:hyperlink>
      <w:r>
        <w:t>). Il a également créé le soleil, la lune et les étoiles pour donner de la lumière (</w:t>
      </w:r>
      <w:hyperlink r:id="rId9255">
        <w:r>
          <w:rPr>
            <w:color w:val="0000EE"/>
            <w:u w:val="single"/>
          </w:rPr>
          <w:t>Gn 1.16</w:t>
        </w:r>
      </w:hyperlink>
      <w:r>
        <w:t>). Parfois, la Bible personnifie la lumière. Par exemple, Job la décrit comme si elle vivait dans un lieu inaccessible (</w:t>
      </w:r>
      <w:hyperlink r:id="rId9256">
        <w:r>
          <w:rPr>
            <w:color w:val="0000EE"/>
            <w:u w:val="single"/>
          </w:rPr>
          <w:t>Jb 38.19</w:t>
        </w:r>
      </w:hyperlink>
      <w:r>
        <w:t xml:space="preserve"> ; voir aussi v. </w:t>
      </w:r>
      <w:hyperlink r:id="rId9257">
        <w:r>
          <w:rPr>
            <w:color w:val="0000EE"/>
            <w:u w:val="single"/>
          </w:rPr>
          <w:t>24</w:t>
        </w:r>
      </w:hyperlink>
      <w:r>
        <w:t>). Les Israélites utilisaient aussi de la lumière artificielle dans le tabernacle (</w:t>
      </w:r>
      <w:hyperlink r:id="rId9258">
        <w:r>
          <w:rPr>
            <w:color w:val="0000EE"/>
            <w:u w:val="single"/>
          </w:rPr>
          <w:t>Ex 25.37</w:t>
        </w:r>
      </w:hyperlink>
      <w:r>
        <w:t>).</w:t>
      </w:r>
    </w:p>
    <w:p>
      <w:r/>
      <w:r>
        <w:t>La lumière est un symbole de ce qui est bon, édifiant ou lié à des personnes importantes, en particulier Dieu. Le prédicateur dans l'Ecclésiaste dit : « La lumière est douce » (</w:t>
      </w:r>
      <w:hyperlink r:id="rId9259">
        <w:r>
          <w:rPr>
            <w:color w:val="0000EE"/>
            <w:u w:val="single"/>
          </w:rPr>
          <w:t>Ec 11.7</w:t>
        </w:r>
      </w:hyperlink>
      <w:r>
        <w:t>). Pendant les plaies en Égypte, tandis que les Égyptiens étaient dans l'obscurité totale, les Israélites avaient de la lumière (</w:t>
      </w:r>
      <w:hyperlink r:id="rId9260">
        <w:r>
          <w:rPr>
            <w:color w:val="0000EE"/>
            <w:u w:val="single"/>
          </w:rPr>
          <w:t>Ex 10.23</w:t>
        </w:r>
      </w:hyperlink>
      <w:r>
        <w:t>). Lorsque les Israélites ont quitté l'Égypte, Dieu les a guidé avec une colonne de nuée le jour et une colonne de feu la nuit (</w:t>
      </w:r>
      <w:hyperlink r:id="rId2090">
        <w:r>
          <w:rPr>
            <w:color w:val="0000EE"/>
            <w:u w:val="single"/>
          </w:rPr>
          <w:t>Ex 13.21</w:t>
        </w:r>
      </w:hyperlink>
      <w:r>
        <w:t>). La colonne de feu leur donnait de la lumière tandis que leurs ennemis étaient dans l'obscurité (</w:t>
      </w:r>
      <w:hyperlink r:id="rId9261">
        <w:r>
          <w:rPr>
            <w:color w:val="0000EE"/>
            <w:u w:val="single"/>
          </w:rPr>
          <w:t>Ex 14.20</w:t>
        </w:r>
      </w:hyperlink>
      <w:r>
        <w:t>). Même lorsqu'ils péchaient, Israël se souvenait que Dieu ne les avait pas abandonnés. La colonne de feu restait pour les guider (</w:t>
      </w:r>
      <w:hyperlink r:id="rId9262">
        <w:r>
          <w:rPr>
            <w:color w:val="0000EE"/>
            <w:u w:val="single"/>
          </w:rPr>
          <w:t>Né 9.19</w:t>
        </w:r>
      </w:hyperlink>
      <w:r>
        <w:t xml:space="preserve"> ; comparer </w:t>
      </w:r>
      <w:hyperlink r:id="rId9263">
        <w:r>
          <w:rPr>
            <w:color w:val="0000EE"/>
            <w:u w:val="single"/>
          </w:rPr>
          <w:t>Né 9.12</w:t>
        </w:r>
      </w:hyperlink>
      <w:r>
        <w:t xml:space="preserve"> ; </w:t>
      </w:r>
      <w:hyperlink r:id="rId2874">
        <w:r>
          <w:rPr>
            <w:color w:val="0000EE"/>
            <w:u w:val="single"/>
          </w:rPr>
          <w:t>Ps 78.14</w:t>
        </w:r>
      </w:hyperlink>
      <w:r>
        <w:t xml:space="preserve"> ; </w:t>
      </w:r>
      <w:hyperlink r:id="rId2870">
        <w:r>
          <w:rPr>
            <w:color w:val="0000EE"/>
            <w:u w:val="single"/>
          </w:rPr>
          <w:t>105.39</w:t>
        </w:r>
      </w:hyperlink>
      <w:r>
        <w:t>).</w:t>
      </w:r>
    </w:p>
    <w:p>
      <w:r/>
      <w:r>
        <w:t xml:space="preserve">Dans l'Ancien Testament, la lumière représente souvent la bénédiction de Dieu. Job dit : « </w:t>
      </w:r>
      <w:r>
        <w:t>Il met à découvert ce qui est caché dans les ténèbres, Il produit à la lumière l’ombre de la mort</w:t>
      </w:r>
      <w:r>
        <w:t xml:space="preserve"> » (</w:t>
      </w:r>
      <w:hyperlink r:id="rId9264">
        <w:r>
          <w:rPr>
            <w:color w:val="0000EE"/>
            <w:u w:val="single"/>
          </w:rPr>
          <w:t>Jb 12.22</w:t>
        </w:r>
      </w:hyperlink>
      <w:r>
        <w:t>). Lorsque Job était en difficulté, il se souvenait des moments où Dieu éclairait son chemin, et il se sentait en sécurité (</w:t>
      </w:r>
      <w:hyperlink r:id="rId9265">
        <w:r>
          <w:rPr>
            <w:color w:val="0000EE"/>
            <w:u w:val="single"/>
          </w:rPr>
          <w:t>Jb 29.2–3</w:t>
        </w:r>
      </w:hyperlink>
      <w:r>
        <w:t xml:space="preserve">). L'ami de Job, Éliphaz, a également dit que si Job suivait son conseil, « </w:t>
      </w:r>
      <w:r>
        <w:t>Sur tes sentiers brillera la lumière</w:t>
      </w:r>
      <w:r>
        <w:t xml:space="preserve"> » (</w:t>
      </w:r>
      <w:hyperlink r:id="rId9266">
        <w:r>
          <w:rPr>
            <w:color w:val="0000EE"/>
            <w:u w:val="single"/>
          </w:rPr>
          <w:t>Jb 22.28</w:t>
        </w:r>
      </w:hyperlink>
      <w:r>
        <w:t>). Le psalmiste y voyait aussi une bénédiction lorsque Dieu allumait sa lampe (</w:t>
      </w:r>
      <w:hyperlink r:id="rId9267">
        <w:r>
          <w:rPr>
            <w:color w:val="0000EE"/>
            <w:u w:val="single"/>
          </w:rPr>
          <w:t>Ps 18.28</w:t>
        </w:r>
      </w:hyperlink>
      <w:r>
        <w:t xml:space="preserve"> ; </w:t>
      </w:r>
      <w:hyperlink r:id="rId9268">
        <w:r>
          <w:rPr>
            <w:color w:val="0000EE"/>
            <w:u w:val="single"/>
          </w:rPr>
          <w:t>118.27</w:t>
        </w:r>
      </w:hyperlink>
      <w:r>
        <w:t xml:space="preserve"> ; voir </w:t>
      </w:r>
      <w:hyperlink r:id="rId2788">
        <w:r>
          <w:rPr>
            <w:color w:val="0000EE"/>
            <w:u w:val="single"/>
          </w:rPr>
          <w:t>97.11</w:t>
        </w:r>
      </w:hyperlink>
      <w:r>
        <w:t xml:space="preserve"> ; </w:t>
      </w:r>
      <w:hyperlink r:id="rId9269">
        <w:r>
          <w:rPr>
            <w:color w:val="0000EE"/>
            <w:u w:val="single"/>
          </w:rPr>
          <w:t>112.4</w:t>
        </w:r>
      </w:hyperlink>
      <w:r>
        <w:t>).</w:t>
      </w:r>
    </w:p>
    <w:p>
      <w:r/>
      <w:r>
        <w:t xml:space="preserve">La lumière est étroitement liée à Dieu. La Bible dit même que Dieu est lumière : « </w:t>
      </w:r>
      <w:r>
        <w:t>l’Éternel sera ta lumière à toujours</w:t>
      </w:r>
      <w:r>
        <w:t xml:space="preserve"> » (</w:t>
      </w:r>
      <w:hyperlink r:id="rId9270">
        <w:r>
          <w:rPr>
            <w:color w:val="0000EE"/>
            <w:u w:val="single"/>
          </w:rPr>
          <w:t>Es 60.19–20</w:t>
        </w:r>
      </w:hyperlink>
      <w:r>
        <w:t xml:space="preserve">). Le psalmiste se réjouissait en disant : « </w:t>
      </w:r>
      <w:r>
        <w:t>L’Éternel est ma lumière et mon salut</w:t>
      </w:r>
      <w:r>
        <w:t xml:space="preserve"> » (</w:t>
      </w:r>
      <w:hyperlink r:id="rId9271">
        <w:r>
          <w:rPr>
            <w:color w:val="0000EE"/>
            <w:u w:val="single"/>
          </w:rPr>
          <w:t>Ps 27.1</w:t>
        </w:r>
      </w:hyperlink>
      <w:r>
        <w:t>). Dieu est décrit comme étant vêtu de lumière (</w:t>
      </w:r>
      <w:hyperlink r:id="rId9272">
        <w:r>
          <w:rPr>
            <w:color w:val="0000EE"/>
            <w:u w:val="single"/>
          </w:rPr>
          <w:t>Ps 104.2</w:t>
        </w:r>
      </w:hyperlink>
      <w:r>
        <w:t>), et la lumière demeure avec lui (</w:t>
      </w:r>
      <w:hyperlink r:id="rId9273">
        <w:r>
          <w:rPr>
            <w:color w:val="0000EE"/>
            <w:u w:val="single"/>
          </w:rPr>
          <w:t>Dn 2.22</w:t>
        </w:r>
      </w:hyperlink>
      <w:r>
        <w:t>). Pour Dieu, les ténèbres et la lumière sont les mêmes ; aucune ne peut rien lui cacher (</w:t>
      </w:r>
      <w:hyperlink r:id="rId9274">
        <w:r>
          <w:rPr>
            <w:color w:val="0000EE"/>
            <w:u w:val="single"/>
          </w:rPr>
          <w:t>Ps 139.12</w:t>
        </w:r>
      </w:hyperlink>
      <w:r>
        <w:t>). Le prophète Michée a également décrit Dieu comme lumière et comme quelqu'un qui amène ses serviteurs à la lumière (</w:t>
      </w:r>
      <w:hyperlink r:id="rId9275">
        <w:r>
          <w:rPr>
            <w:color w:val="0000EE"/>
            <w:u w:val="single"/>
          </w:rPr>
          <w:t>Mi 7.8–9</w:t>
        </w:r>
      </w:hyperlink>
      <w:r>
        <w:t>), montrant que Dieu apporte bénédiction et victoire à son peuple.</w:t>
      </w:r>
    </w:p>
    <w:p>
      <w:r/>
      <w:r>
        <w:t xml:space="preserve">La bénédiction de Dieu est souvent décrite comme la « lumière de sa présence ». Dans </w:t>
      </w:r>
      <w:hyperlink r:id="rId9276">
        <w:r>
          <w:rPr>
            <w:color w:val="0000EE"/>
            <w:u w:val="single"/>
          </w:rPr>
          <w:t>Psaume 4.6</w:t>
        </w:r>
      </w:hyperlink>
      <w:r>
        <w:t xml:space="preserve">, le psalmiste dit : « </w:t>
      </w:r>
      <w:r>
        <w:t>Fais lever sur nous la lumière de ta face, ô Éternel</w:t>
      </w:r>
      <w:r>
        <w:t xml:space="preserve"> ! » Cette expression de lumière se réfère à la faveur de Dieu. Dans </w:t>
      </w:r>
      <w:hyperlink r:id="rId9277">
        <w:r>
          <w:rPr>
            <w:color w:val="0000EE"/>
            <w:u w:val="single"/>
          </w:rPr>
          <w:t>Psaume 44.3</w:t>
        </w:r>
      </w:hyperlink>
      <w:r>
        <w:t>, c'est la lumière de Dieu, sa main droite et son amour qui apportent la victoire à son peuple. Ceux qui marchent dans la lumière de Dieu sont bénis (</w:t>
      </w:r>
      <w:hyperlink r:id="rId9278">
        <w:r>
          <w:rPr>
            <w:color w:val="0000EE"/>
            <w:u w:val="single"/>
          </w:rPr>
          <w:t>Ps 89.15</w:t>
        </w:r>
      </w:hyperlink>
      <w:r>
        <w:t>), mais cette lumière expose aussi les péchés cachés (</w:t>
      </w:r>
      <w:hyperlink r:id="rId9279">
        <w:r>
          <w:rPr>
            <w:color w:val="0000EE"/>
            <w:u w:val="single"/>
          </w:rPr>
          <w:t>Ps 90.8</w:t>
        </w:r>
      </w:hyperlink>
      <w:r>
        <w:t>). Personne ne peut se cacher de l'œil vigilant de Dieu, mais sa lumière représente principalement la bénédiction qui vient de sa présence. À une occasion, Job a utilisé l'expression pour décrire la faveur des autres (</w:t>
      </w:r>
      <w:hyperlink r:id="rId9280">
        <w:r>
          <w:rPr>
            <w:color w:val="0000EE"/>
            <w:u w:val="single"/>
          </w:rPr>
          <w:t>Jb 29.24</w:t>
        </w:r>
      </w:hyperlink>
      <w:r>
        <w:t>). La lumière que Dieu donne à ses serviteurs leur permet de partager sa bénédiction avec les autres (</w:t>
      </w:r>
      <w:hyperlink r:id="rId9281">
        <w:r>
          <w:rPr>
            <w:color w:val="0000EE"/>
            <w:u w:val="single"/>
          </w:rPr>
          <w:t>Es 42.6</w:t>
        </w:r>
      </w:hyperlink>
      <w:r>
        <w:t xml:space="preserve"> ; </w:t>
      </w:r>
      <w:hyperlink r:id="rId4561">
        <w:r>
          <w:rPr>
            <w:color w:val="0000EE"/>
            <w:u w:val="single"/>
          </w:rPr>
          <w:t>49.6</w:t>
        </w:r>
      </w:hyperlink>
      <w:r>
        <w:t>).</w:t>
      </w:r>
    </w:p>
    <w:p>
      <w:r/>
      <w:r>
        <w:t xml:space="preserve">La justice de Dieu est également liée à la lumière. Il dit : « </w:t>
      </w:r>
      <w:r>
        <w:t>j’établirai ma loi pour être la lumière des peuples</w:t>
      </w:r>
      <w:r>
        <w:t xml:space="preserve"> » (</w:t>
      </w:r>
      <w:hyperlink r:id="rId9282">
        <w:r>
          <w:rPr>
            <w:color w:val="0000EE"/>
            <w:u w:val="single"/>
          </w:rPr>
          <w:t>Es 51.4</w:t>
        </w:r>
      </w:hyperlink>
      <w:r>
        <w:t xml:space="preserve">). Dans ce contexte, la lumière de Dieu est puissante, comme un feu dévorant. La lumière est aussi liée au bon comportement, comme on le voit dans les Proverbes : « </w:t>
      </w:r>
      <w:r>
        <w:t>Le sentier des justes est comme la lumière resplendissante</w:t>
      </w:r>
      <w:r>
        <w:t xml:space="preserve"> » (</w:t>
      </w:r>
      <w:hyperlink r:id="rId9283">
        <w:r>
          <w:rPr>
            <w:color w:val="0000EE"/>
            <w:u w:val="single"/>
          </w:rPr>
          <w:t>Pr 4.18</w:t>
        </w:r>
      </w:hyperlink>
      <w:r>
        <w:t>).</w:t>
      </w:r>
    </w:p>
    <w:p>
      <w:r/>
      <w:r>
        <w:t xml:space="preserve">L'absence de lumière est utilisée comme symbole de désastre. Certaines personnes « </w:t>
      </w:r>
      <w:r>
        <w:t>tâtonnent en des ténèbres sans lumière</w:t>
      </w:r>
      <w:r>
        <w:t xml:space="preserve"> » (</w:t>
      </w:r>
      <w:hyperlink r:id="rId9284">
        <w:r>
          <w:rPr>
            <w:color w:val="0000EE"/>
            <w:u w:val="single"/>
          </w:rPr>
          <w:t>Jb 12.25</w:t>
        </w:r>
      </w:hyperlink>
      <w:r>
        <w:t>, TOB2010). L'ami de Job, Bildad, croyait que la lumière des méchants serait éteinte comme punition (</w:t>
      </w:r>
      <w:hyperlink r:id="rId9285">
        <w:r>
          <w:rPr>
            <w:color w:val="0000EE"/>
            <w:u w:val="single"/>
          </w:rPr>
          <w:t>Jb 18.5–17</w:t>
        </w:r>
      </w:hyperlink>
      <w:r>
        <w:t xml:space="preserve">). Après la destruction de Jérusalem par Babylone, le peuple pleurait, disant : « </w:t>
      </w:r>
      <w:r>
        <w:t>Il m’a conduit, mené dans les ténèbres, Et non dans la lumière</w:t>
      </w:r>
      <w:r>
        <w:t xml:space="preserve"> » (</w:t>
      </w:r>
      <w:hyperlink r:id="rId9286">
        <w:r>
          <w:rPr>
            <w:color w:val="0000EE"/>
            <w:u w:val="single"/>
          </w:rPr>
          <w:t>Lm 3.2</w:t>
        </w:r>
      </w:hyperlink>
      <w:r>
        <w:t>).</w:t>
      </w:r>
    </w:p>
    <w:p>
      <w:pPr>
        <w:pStyle w:val="Heading3"/>
      </w:pPr>
      <w:r>
        <w:t>La Lumière dans le Nouveau Testament</w:t>
      </w:r>
    </w:p>
    <w:p>
      <w:r/>
      <w:r>
        <w:t xml:space="preserve">Dans le Nouveau Testament, les références à la lumière sont souvent symboliques. Par exemple, lorsque Saul de Tarse a rencontré « </w:t>
      </w:r>
      <w:r>
        <w:t>une lumière venant du ciel</w:t>
      </w:r>
      <w:r>
        <w:t xml:space="preserve"> » sur la route de Damas (</w:t>
      </w:r>
      <w:hyperlink r:id="rId8627">
        <w:r>
          <w:rPr>
            <w:color w:val="0000EE"/>
            <w:u w:val="single"/>
          </w:rPr>
          <w:t>Ac 9.3</w:t>
        </w:r>
      </w:hyperlink>
      <w:r>
        <w:t xml:space="preserve"> ; voir </w:t>
      </w:r>
      <w:hyperlink r:id="rId4569">
        <w:r>
          <w:rPr>
            <w:color w:val="0000EE"/>
            <w:u w:val="single"/>
          </w:rPr>
          <w:t>22.6–11</w:t>
        </w:r>
      </w:hyperlink>
      <w:r>
        <w:t xml:space="preserve"> ; </w:t>
      </w:r>
      <w:hyperlink r:id="rId9287">
        <w:r>
          <w:rPr>
            <w:color w:val="0000EE"/>
            <w:u w:val="single"/>
          </w:rPr>
          <w:t>26.13</w:t>
        </w:r>
      </w:hyperlink>
      <w:r>
        <w:t xml:space="preserve">), il n'est pas clair s'il s'agissait de lumière ordinaire ou d'autre chose. De même, lorsque Pierre s'est trouvé emprisonné, « </w:t>
      </w:r>
      <w:r>
        <w:t>une lumière brilla dans la prison</w:t>
      </w:r>
      <w:r>
        <w:t xml:space="preserve"> » (</w:t>
      </w:r>
      <w:hyperlink r:id="rId9288">
        <w:r>
          <w:rPr>
            <w:color w:val="0000EE"/>
            <w:u w:val="single"/>
          </w:rPr>
          <w:t>Ac 12.7</w:t>
        </w:r>
      </w:hyperlink>
      <w:r>
        <w:t xml:space="preserve">). La ville céleste n'a pas besoin de lumière physique parce que « </w:t>
      </w:r>
      <w:r>
        <w:t>le Seigneur Dieu les éclairera</w:t>
      </w:r>
      <w:r>
        <w:t xml:space="preserve"> » (</w:t>
      </w:r>
      <w:hyperlink r:id="rId9289">
        <w:r>
          <w:rPr>
            <w:color w:val="0000EE"/>
            <w:u w:val="single"/>
          </w:rPr>
          <w:t>Ap 22.5</w:t>
        </w:r>
      </w:hyperlink>
      <w:r>
        <w:t xml:space="preserve"> ; voir </w:t>
      </w:r>
      <w:hyperlink r:id="rId9290">
        <w:r>
          <w:rPr>
            <w:color w:val="0000EE"/>
            <w:u w:val="single"/>
          </w:rPr>
          <w:t>21.11, 23–24</w:t>
        </w:r>
      </w:hyperlink>
      <w:r>
        <w:t>).</w:t>
      </w:r>
    </w:p>
    <w:p>
      <w:r/>
      <w:r>
        <w:t xml:space="preserve">La connexion entre Dieu et la lumière est un thème commun dans le Nouveau Testament. L'apôtre Jean écrira : « </w:t>
      </w:r>
      <w:r>
        <w:t>Dieu est lumière, et [il] n’y a point en lui de ténèbres</w:t>
      </w:r>
      <w:r>
        <w:t xml:space="preserve"> » (</w:t>
      </w:r>
      <w:hyperlink r:id="rId9291">
        <w:r>
          <w:rPr>
            <w:color w:val="0000EE"/>
            <w:u w:val="single"/>
          </w:rPr>
          <w:t>1Jn 1.5</w:t>
        </w:r>
      </w:hyperlink>
      <w:r>
        <w:t>). Jacques a appelé Dieu le « Père des lumières » (</w:t>
      </w:r>
      <w:hyperlink r:id="rId9292">
        <w:r>
          <w:rPr>
            <w:color w:val="0000EE"/>
            <w:u w:val="single"/>
          </w:rPr>
          <w:t>Jc 1.17</w:t>
        </w:r>
      </w:hyperlink>
      <w:r>
        <w:t>). Dieu est aussi décrit comme vivant dans une lumière que personne ne peut approcher (</w:t>
      </w:r>
      <w:hyperlink r:id="rId2100">
        <w:r>
          <w:rPr>
            <w:color w:val="0000EE"/>
            <w:u w:val="single"/>
          </w:rPr>
          <w:t>1Tm 6.16</w:t>
        </w:r>
      </w:hyperlink>
      <w:r>
        <w:t xml:space="preserve"> ; voir aussi </w:t>
      </w:r>
      <w:hyperlink r:id="rId3004">
        <w:r>
          <w:rPr>
            <w:color w:val="0000EE"/>
            <w:u w:val="single"/>
          </w:rPr>
          <w:t>1Jn 1.7</w:t>
        </w:r>
      </w:hyperlink>
      <w:r>
        <w:t>). Jésus a dit : « Je suis la lumière du monde » (</w:t>
      </w:r>
      <w:hyperlink r:id="rId1980">
        <w:r>
          <w:rPr>
            <w:color w:val="0000EE"/>
            <w:u w:val="single"/>
          </w:rPr>
          <w:t>Jn 8.12</w:t>
        </w:r>
      </w:hyperlink>
      <w:r>
        <w:t xml:space="preserve"> ; voir aussi </w:t>
      </w:r>
      <w:hyperlink r:id="rId9293">
        <w:r>
          <w:rPr>
            <w:color w:val="0000EE"/>
            <w:u w:val="single"/>
          </w:rPr>
          <w:t>9.5</w:t>
        </w:r>
      </w:hyperlink>
      <w:r>
        <w:t xml:space="preserve">), et « </w:t>
      </w:r>
      <w:r>
        <w:t>Je suis venu comme une lumière dans le monde, afin que quiconque croit en moi ne demeure pas dans les ténèbres</w:t>
      </w:r>
      <w:r>
        <w:t xml:space="preserve"> » (</w:t>
      </w:r>
      <w:hyperlink r:id="rId9294">
        <w:r>
          <w:rPr>
            <w:color w:val="0000EE"/>
            <w:u w:val="single"/>
          </w:rPr>
          <w:t>Jn 12.46</w:t>
        </w:r>
      </w:hyperlink>
      <w:r>
        <w:t>). Il était lui-même la lumière, selon l'apôtre Jean (</w:t>
      </w:r>
      <w:hyperlink r:id="rId9295">
        <w:r>
          <w:rPr>
            <w:color w:val="0000EE"/>
            <w:u w:val="single"/>
          </w:rPr>
          <w:t>Jn 1.1–10</w:t>
        </w:r>
      </w:hyperlink>
      <w:r>
        <w:t>). Jean Baptiste est venu témoigner de cette lumière pour conduire les gens à la foi (</w:t>
      </w:r>
      <w:hyperlink r:id="rId9296">
        <w:r>
          <w:rPr>
            <w:color w:val="0000EE"/>
            <w:u w:val="single"/>
          </w:rPr>
          <w:t>Jn 1.7–8</w:t>
        </w:r>
      </w:hyperlink>
      <w:r>
        <w:t>). Ceux qui reçoivent la lumière acquièrent le droit de devenir enfants de Dieu (</w:t>
      </w:r>
      <w:hyperlink r:id="rId9297">
        <w:r>
          <w:rPr>
            <w:color w:val="0000EE"/>
            <w:u w:val="single"/>
          </w:rPr>
          <w:t>Jn 1.9–12</w:t>
        </w:r>
      </w:hyperlink>
      <w:r>
        <w:t>). Parfois, la lumière est utilisée pour représenter la révélation des gens qui trouvent la connaissance de Dieu et de son salut (</w:t>
      </w:r>
      <w:hyperlink r:id="rId9298">
        <w:r>
          <w:rPr>
            <w:color w:val="0000EE"/>
            <w:u w:val="single"/>
          </w:rPr>
          <w:t>Mt 4.16</w:t>
        </w:r>
      </w:hyperlink>
      <w:r>
        <w:t xml:space="preserve"> ; </w:t>
      </w:r>
      <w:hyperlink r:id="rId9299">
        <w:r>
          <w:rPr>
            <w:color w:val="0000EE"/>
            <w:u w:val="single"/>
          </w:rPr>
          <w:t>Lc 2.32</w:t>
        </w:r>
      </w:hyperlink>
      <w:r>
        <w:t xml:space="preserve"> ; </w:t>
      </w:r>
      <w:hyperlink r:id="rId9300">
        <w:r>
          <w:rPr>
            <w:color w:val="0000EE"/>
            <w:u w:val="single"/>
          </w:rPr>
          <w:t>Ac 13.47</w:t>
        </w:r>
      </w:hyperlink>
      <w:r>
        <w:t xml:space="preserve"> ; </w:t>
      </w:r>
      <w:hyperlink r:id="rId9301">
        <w:r>
          <w:rPr>
            <w:color w:val="0000EE"/>
            <w:u w:val="single"/>
          </w:rPr>
          <w:t>26.18</w:t>
        </w:r>
      </w:hyperlink>
      <w:r>
        <w:t>).</w:t>
      </w:r>
    </w:p>
    <w:p>
      <w:r/>
      <w:r>
        <w:t>Jean a écrit que la lumière brille dans les ténèbres, et que les ténèbres ne l'ont pas vaincue (</w:t>
      </w:r>
      <w:hyperlink r:id="rId9302">
        <w:r>
          <w:rPr>
            <w:color w:val="0000EE"/>
            <w:u w:val="single"/>
          </w:rPr>
          <w:t>Jn 1.5</w:t>
        </w:r>
      </w:hyperlink>
      <w:r>
        <w:t xml:space="preserve"> ; voir </w:t>
      </w:r>
      <w:hyperlink r:id="rId9303">
        <w:r>
          <w:rPr>
            <w:color w:val="0000EE"/>
            <w:u w:val="single"/>
          </w:rPr>
          <w:t>1Jn 2.8</w:t>
        </w:r>
      </w:hyperlink>
      <w:r>
        <w:t xml:space="preserve">). Il a aussi dit que « </w:t>
      </w:r>
      <w:r>
        <w:t>la lumière étant venue dans le monde, les hommes ont préféré les ténèbres à la lumière, parce que leurs œuvres étaient mauvaises</w:t>
      </w:r>
      <w:r>
        <w:t xml:space="preserve"> » (</w:t>
      </w:r>
      <w:hyperlink r:id="rId9304">
        <w:r>
          <w:rPr>
            <w:color w:val="0000EE"/>
            <w:u w:val="single"/>
          </w:rPr>
          <w:t>Jn 3.19</w:t>
        </w:r>
      </w:hyperlink>
      <w:r>
        <w:t>). Les gens qui font le mal évitent la lumière, mais ceux qui font le bien viennent à la lumière (</w:t>
      </w:r>
      <w:hyperlink r:id="rId9305">
        <w:r>
          <w:rPr>
            <w:color w:val="0000EE"/>
            <w:u w:val="single"/>
          </w:rPr>
          <w:t>Jn 3.20–21</w:t>
        </w:r>
      </w:hyperlink>
      <w:r>
        <w:t>). Quand Jean décrit la résurrection de Lazare, Jésus dit que les hommes trébuchent la nuit parce qu'ils n'ont pas de lumière (</w:t>
      </w:r>
      <w:hyperlink r:id="rId9306">
        <w:r>
          <w:rPr>
            <w:color w:val="0000EE"/>
            <w:u w:val="single"/>
          </w:rPr>
          <w:t>Jn 11.10</w:t>
        </w:r>
      </w:hyperlink>
      <w:r>
        <w:t>). Jésus dit que les hommes n'ont pas de lumière « en » eux, montrant que la lumière est spirituelle (</w:t>
      </w:r>
      <w:hyperlink r:id="rId1980">
        <w:r>
          <w:rPr>
            <w:color w:val="0000EE"/>
            <w:u w:val="single"/>
          </w:rPr>
          <w:t>Jn 11.10</w:t>
        </w:r>
      </w:hyperlink>
      <w:r>
        <w:t>).</w:t>
      </w:r>
    </w:p>
    <w:p>
      <w:r/>
      <w:r>
        <w:t>Les croyants sont décrits comme des « enfants de lumière » (</w:t>
      </w:r>
      <w:hyperlink r:id="rId9307">
        <w:r>
          <w:rPr>
            <w:color w:val="0000EE"/>
            <w:u w:val="single"/>
          </w:rPr>
          <w:t>Jn 12.36</w:t>
        </w:r>
      </w:hyperlink>
      <w:r>
        <w:t xml:space="preserve">, voir aussi </w:t>
      </w:r>
      <w:hyperlink r:id="rId9308">
        <w:r>
          <w:rPr>
            <w:color w:val="0000EE"/>
            <w:u w:val="single"/>
          </w:rPr>
          <w:t>Lc 16.8</w:t>
        </w:r>
      </w:hyperlink>
      <w:r>
        <w:t xml:space="preserve">). Leurs vies sont façonnées par leur connexion à la lumière. Paul a également écrit que les chrétiens sont « </w:t>
      </w:r>
      <w:r>
        <w:t>des enfants de la lumière et des enfants du jour</w:t>
      </w:r>
      <w:r>
        <w:t xml:space="preserve"> » (</w:t>
      </w:r>
      <w:hyperlink r:id="rId7674">
        <w:r>
          <w:rPr>
            <w:color w:val="0000EE"/>
            <w:u w:val="single"/>
          </w:rPr>
          <w:t>1Th 5.5</w:t>
        </w:r>
      </w:hyperlink>
      <w:r>
        <w:t>). Dans la première lettre de Jean, les chrétiens sont exhortés à « [marcher] dans la lumière » (</w:t>
      </w:r>
      <w:hyperlink r:id="rId3004">
        <w:r>
          <w:rPr>
            <w:color w:val="0000EE"/>
            <w:u w:val="single"/>
          </w:rPr>
          <w:t>1Jn 1.7</w:t>
        </w:r>
      </w:hyperlink>
      <w:r>
        <w:t>), ce qui signifie qu'ils devraient vivre des vies de bonté et de vérité.</w:t>
      </w:r>
    </w:p>
    <w:p>
      <w:r/>
      <w:r>
        <w:t>Jésus a dit à ses disciples : « Vous êtes la lumière du monde » (</w:t>
      </w:r>
      <w:hyperlink r:id="rId9309">
        <w:r>
          <w:rPr>
            <w:color w:val="0000EE"/>
            <w:u w:val="single"/>
          </w:rPr>
          <w:t>Mt 5.14</w:t>
        </w:r>
      </w:hyperlink>
      <w:r>
        <w:t>). Cette déclaration signifie que les chrétiens doivent refléter la lumière de Dieu en menant des vies pieuses. Quand Jésus est appelé la lumière du monde, cela signifie qu'il peut sauver le monde et révéler la vérité. Quand les croyants sont appelés la lumière du monde, ce n'est pas parce qu'ils peuvent sauver le monde, mais parce qu'ils montrent au monde le chemin du salut. Jésus leur a demandé de laisser leur lumière briller à travers leurs bonnes actions afin que les gens louent Dieu (</w:t>
      </w:r>
      <w:hyperlink r:id="rId9309">
        <w:r>
          <w:rPr>
            <w:color w:val="0000EE"/>
            <w:u w:val="single"/>
          </w:rPr>
          <w:t>Mt 5.16</w:t>
        </w:r>
      </w:hyperlink>
      <w:r>
        <w:t>). Les chrétiens doivent faire pleinement usage de la lumière qu'ils ont. S'ils l'ignorent et vivent dans les ténèbres, ils se trouvent dans une situation pire, car ils connaissent la vérité et ont choisi de s'en détourner (</w:t>
      </w:r>
      <w:hyperlink r:id="rId9310">
        <w:r>
          <w:rPr>
            <w:color w:val="0000EE"/>
            <w:u w:val="single"/>
          </w:rPr>
          <w:t>Mt 6.23</w:t>
        </w:r>
      </w:hyperlink>
      <w:r>
        <w:t xml:space="preserve"> ; </w:t>
      </w:r>
      <w:hyperlink r:id="rId9311">
        <w:r>
          <w:rPr>
            <w:color w:val="0000EE"/>
            <w:u w:val="single"/>
          </w:rPr>
          <w:t>Lc 11.35</w:t>
        </w:r>
      </w:hyperlink>
      <w:r>
        <w:t>).</w:t>
      </w:r>
    </w:p>
    <w:p>
      <w:r/>
      <w:r>
        <w:t>La métaphore de la lumière n'est pas facile à accepter pour les gens modernes. La Bible enseigne que la lumière de Christ a illuminé tous les chrétiens. S'ils ignorent cette lumière et vivent comme s'ils étaient encore dans l'obscurité, alors ils resteront dans une obscurité profonde. Ils sont pires que les autres parce qu'ils savent ce qu'est la lumière, ce qu'elle peut signifier pour eux, et s'en sont détournés.</w:t>
      </w:r>
    </w:p>
    <w:p>
      <w:r/>
      <w:r>
        <w:rPr>
          <w:i/>
        </w:rPr>
        <w:t>Voir aussi</w:t>
      </w:r>
      <w:r>
        <w:t xml:space="preserve"> </w:t>
      </w:r>
      <w:r>
        <w:t>Ténèbres</w:t>
      </w:r>
      <w:r>
        <w:t>.</w:t>
      </w:r>
      <w:r/>
      <w:r/>
    </w:p>
    <w:p>
      <w:r/>
    </w:p>
    <w:p>
      <w:pPr>
        <w:pStyle w:val="Heading2"/>
      </w:pPr>
      <w:r>
        <w:t>Luz</w:t>
      </w:r>
      <w:r/>
    </w:p>
    <w:p>
      <w:r/>
      <w:r>
        <w:t>1. Nom cananéen original de la ville de Béthel (</w:t>
      </w:r>
      <w:hyperlink r:id="rId1874">
        <w:r>
          <w:rPr>
            <w:color w:val="0000EE"/>
            <w:u w:val="single"/>
          </w:rPr>
          <w:t>Gn 28.19</w:t>
        </w:r>
      </w:hyperlink>
      <w:r>
        <w:t xml:space="preserve"> ; </w:t>
      </w:r>
      <w:hyperlink r:id="rId9312">
        <w:r>
          <w:rPr>
            <w:color w:val="0000EE"/>
            <w:u w:val="single"/>
          </w:rPr>
          <w:t>35.6</w:t>
        </w:r>
      </w:hyperlink>
      <w:r>
        <w:t xml:space="preserve">). C'est ici que Jacob aura une vision de Dieu. En reconnaissance de la présence de Dieu, il appellera cet endroit « la maison de Dieu » (Beth-El). Jacob n'était peut-être pas dans la ville elle-même, ce qui pourrait expliquer la divergence apparente dans </w:t>
      </w:r>
      <w:hyperlink r:id="rId1309">
        <w:r>
          <w:rPr>
            <w:color w:val="0000EE"/>
            <w:u w:val="single"/>
          </w:rPr>
          <w:t>Jos 16.2</w:t>
        </w:r>
      </w:hyperlink>
      <w:r>
        <w:t xml:space="preserve">. L'expression « de Béthel à Luz » dans la description de la frontière du territoire attribué à Joseph (Éphraïm et Manassé) semble distinguer Béthel de Luz comme s'il s'agissait de deux villes différentes. Il est possible qu'à l'origine, le nom Luz continuait d'être utilisé pour la ville, bien que les Israélites sachent, par tradition, quel était l'endroit où Jacob avait nommé Béthel en dehors de la ville de Luz. Selon </w:t>
      </w:r>
      <w:hyperlink r:id="rId1309">
        <w:r>
          <w:rPr>
            <w:color w:val="0000EE"/>
            <w:u w:val="single"/>
          </w:rPr>
          <w:t>Josué 16.2</w:t>
        </w:r>
      </w:hyperlink>
      <w:r>
        <w:t>, Béthel serait alors une zone située à l'est de la ville de Luz. Au moment de la Conquête (</w:t>
      </w:r>
      <w:hyperlink r:id="rId9313">
        <w:r>
          <w:rPr>
            <w:color w:val="0000EE"/>
            <w:u w:val="single"/>
          </w:rPr>
          <w:t>Jg 1.22–25</w:t>
        </w:r>
      </w:hyperlink>
      <w:r>
        <w:t>), ou par la suite, les Israélites changeront le nom de Luz en Béthel.</w:t>
      </w:r>
    </w:p>
    <w:p>
      <w:r/>
      <w:r>
        <w:rPr>
          <w:i/>
        </w:rPr>
        <w:t>Voir aussi</w:t>
      </w:r>
      <w:r>
        <w:t xml:space="preserve"> </w:t>
      </w:r>
      <w:r>
        <w:t>Béthel (Lieu), Béthélite n° 1</w:t>
      </w:r>
      <w:r>
        <w:t>.</w:t>
      </w:r>
    </w:p>
    <w:p>
      <w:r/>
      <w:r>
        <w:t>2. Ville héthienne (aussi appelée Hittite) nommée d'après Luz en Palestine par l'un de ses habitants qui a migré vers la région héthienne après que les Israélites ont capturé cette ville (</w:t>
      </w:r>
      <w:hyperlink r:id="rId1875">
        <w:r>
          <w:rPr>
            <w:color w:val="0000EE"/>
            <w:u w:val="single"/>
          </w:rPr>
          <w:t>Jg 1.26</w:t>
        </w:r>
      </w:hyperlink>
      <w:r>
        <w:t>).</w:t>
      </w:r>
      <w:r/>
      <w:r/>
    </w:p>
    <w:p>
      <w:r/>
    </w:p>
    <w:p>
      <w:pPr>
        <w:pStyle w:val="Heading2"/>
      </w:pPr>
      <w:r>
        <w:t>Lycaonie</w:t>
      </w:r>
      <w:r/>
    </w:p>
    <w:p>
      <w:r/>
      <w:r>
        <w:t>Région située dans l'intérieur sud de la province romaine d'Asie (également appelée Asie Mineure), au nord des monts Taurus. Avant l'occupation romaine, elle était bordée au nord par la Galatie, au sud par la Cilicie, à l'est par la Cappadoce et à l'ouest par la Phrygie et la Pisidie. Comme beaucoup de ses États voisins, la Lycaonie était gouvernée par les Séleucides après la conquête d'Alexandre le Grand. Lorsque les Romains ont vaincu les Séleucides dans l'ouest de l'Asie Mineure (190 av. J.‑C.), la Lycaonie a été donnée aux Attalides de Pergame. Elle est restée sous leur contrôle jusqu'en 130 av. J.‑C., lorsque leur roi meurt et que leur royaume est dissous. La région sera ensuite administrée par les Romains, qui rattacheront la section nord du territoire lycaonien à la Galatie, la section est à la Cappadoce et la section sud à la Cilicie. En l'an 37 apr. J.‑C., l'est de la Lycaonie obtiendra son indépendance de la Cappadoce et sera connu sous le nom de Lycaonie Antiochiana. À l'époque de Christ, la Lycaonie avait été réduite, peu ou prou, à une zone ethnique dans le sud de la Galatie et doit être considérée comme telle dans toutes les références du Nouveau Testament.</w:t>
      </w:r>
    </w:p>
    <w:p>
      <w:r/>
      <w:r>
        <w:t>Le territoire se trouvait sur un plateau élevé et aride. Le sol était généralement de mauvaise qualité, bien que des zones fertiles existaient au sud autour des principales villes de Lystre et Derbe. Par conséquent, les principales activités étaient l'élevage de moutons et de chèvres, avec un peu d'agriculture au sud. La Lycaonie était traversée par une importante route commerciale reliant la Syrie, Éphèse et Rome.</w:t>
      </w:r>
    </w:p>
    <w:p>
      <w:r/>
      <w:r>
        <w:t>Il n'est pas certain qu'Iconium était une ville de Lycaonie. Certains experts croient qu'elle en était la capitale et la ville principale. D'autres la considèrent comme une ville phrygienne. Cette dernière position semble être soutenue dans Actes, où il est dit que Paul a fui Iconium pour Lystre et Derbe, « villes de la Lycaonie » (</w:t>
      </w:r>
      <w:hyperlink r:id="rId3725">
        <w:r>
          <w:rPr>
            <w:color w:val="0000EE"/>
            <w:u w:val="single"/>
          </w:rPr>
          <w:t>Ac 14.6</w:t>
        </w:r>
      </w:hyperlink>
      <w:r>
        <w:t xml:space="preserve">), des lieux où la langue lycaonienne était parlée (v. </w:t>
      </w:r>
      <w:hyperlink r:id="rId9314">
        <w:r>
          <w:rPr>
            <w:color w:val="0000EE"/>
            <w:u w:val="single"/>
          </w:rPr>
          <w:t>11</w:t>
        </w:r>
      </w:hyperlink>
      <w:r>
        <w:t>). Il est probable que, dans le territoire politique de Galatie, il y avait plusieurs zones ethniques et que Paul a traversé une frontière ethnique dans une tentative de trouver la sécurité face aux Juifs mécontents d'Iconium.</w:t>
      </w:r>
    </w:p>
    <w:p>
      <w:r/>
      <w:r>
        <w:t>L'apôtre Paul a effectué trois visites en Lycaonie. Lors de son premier voyage missionnaire, la prédication de l'Évangile sera très efficace et il fera de nombreux disciples (</w:t>
      </w:r>
      <w:hyperlink r:id="rId9315">
        <w:r>
          <w:rPr>
            <w:color w:val="0000EE"/>
            <w:u w:val="single"/>
          </w:rPr>
          <w:t>Ac 14.21–22</w:t>
        </w:r>
      </w:hyperlink>
      <w:r>
        <w:t xml:space="preserve">). Lorsque Paul guérit un homme infirme à Lystre, les dirigeants du culte païen souhaiteront même l'adorer comme un dieu (v. </w:t>
      </w:r>
      <w:hyperlink r:id="rId9316">
        <w:r>
          <w:rPr>
            <w:color w:val="0000EE"/>
            <w:u w:val="single"/>
          </w:rPr>
          <w:t>11–18</w:t>
        </w:r>
      </w:hyperlink>
      <w:r>
        <w:t>). Il rend de nouveau visite à la région lors de son deuxième voyage missionnaire. C'est ici qu'il rencontrera Timothée et lui demandera de rejoindre son équipe (</w:t>
      </w:r>
      <w:hyperlink r:id="rId9317">
        <w:r>
          <w:rPr>
            <w:color w:val="0000EE"/>
            <w:u w:val="single"/>
          </w:rPr>
          <w:t>16.1–5</w:t>
        </w:r>
      </w:hyperlink>
      <w:r>
        <w:t xml:space="preserve">). Une visite finale (lors de son troisième voyage, dans lequel son but était de renforcer les croyants) est indiquée par </w:t>
      </w:r>
      <w:hyperlink r:id="rId3728">
        <w:r>
          <w:rPr>
            <w:color w:val="0000EE"/>
            <w:u w:val="single"/>
          </w:rPr>
          <w:t>Actes 18.23</w:t>
        </w:r>
      </w:hyperlink>
      <w:r>
        <w:t>.</w:t>
      </w:r>
    </w:p>
    <w:p>
      <w:r/>
      <w:r>
        <w:t>Des inscriptions chrétiennes ultérieures indiquent qu'à la fin du 3e siècle, la région de Lycaonie possédait l'un des systèmes ecclésiastiques les plus développés en Asie Mineure.</w:t>
      </w:r>
      <w:r/>
      <w:r/>
    </w:p>
    <w:p>
      <w:r/>
    </w:p>
    <w:p>
      <w:pPr>
        <w:pStyle w:val="Heading2"/>
      </w:pPr>
      <w:r>
        <w:t>Lycie</w:t>
      </w:r>
      <w:r/>
    </w:p>
    <w:p>
      <w:r/>
      <w:r>
        <w:t>Pays situé dans la partie sud-ouest de la province romaine d'Asie (communément appelée Asie Mineure), délimité au nord-ouest par la Carie, au nord par la Phrygie et la Pisidie, au nord-est par la Pamphylie, et à l'ouest, au sud et à l'est par la mer Méditerranée. La géographie de la région combine un terrain montagneux accidenté avec des vallées fertiles formées par la descente de plusieurs petites rivières vers la mer. Les régions montagneuses produisent des olives, des raisins et du bois, tandis que les vallées sont responsables de la production des céréales cultivées de la région. À l'embouchure des rivières se trouvent les principaux ports maritimes du pays. Deux d'entre eux, Patara et Myra, intéressent les étudiants du Nouveau Testament.</w:t>
      </w:r>
    </w:p>
    <w:p>
      <w:r/>
      <w:r>
        <w:t xml:space="preserve">Patara, située dans le sud-ouest de la Lycie dans la vallée du fleuve Xanthe, était le siège de l'oracle d'Apollon. </w:t>
      </w:r>
      <w:hyperlink r:id="rId3305">
        <w:r>
          <w:rPr>
            <w:color w:val="0000EE"/>
            <w:u w:val="single"/>
          </w:rPr>
          <w:t>Actes 21.1</w:t>
        </w:r>
      </w:hyperlink>
      <w:r>
        <w:t xml:space="preserve"> le mentionne comme le port où Paul, à la fin de son troisième voyage missionnaire, embarquera sur un navire en direction de la Phénicie (certains manuscrits incluent ici un arrêt supplémentaire à Myra). Myra, située dans le sud-est de la Lycie, est mentionnée dans </w:t>
      </w:r>
      <w:hyperlink r:id="rId9318">
        <w:r>
          <w:rPr>
            <w:color w:val="0000EE"/>
            <w:u w:val="single"/>
          </w:rPr>
          <w:t>Actes 27.5–7</w:t>
        </w:r>
      </w:hyperlink>
      <w:r>
        <w:t xml:space="preserve"> comme le port où Paul et Julius, un centurion romain, ont embarqué sur un navire alexandrin à destination de Rome. Lorsque les vents venaient de l'ouest, il était courant pour les navires de grain alexandrins se dirigeant vers l'Italie de longer la côte de la Palestine et de la Syrie vers le nord et de longer la côte sud de l'Asie Mineure vers l'ouest. Cela faisait des ports de Lycie des lieux naturels permettant aux navires de s'abriter en préparation pour la dernière étape du voyage vers l'Italie.</w:t>
      </w:r>
    </w:p>
    <w:p>
      <w:r/>
      <w:r>
        <w:t>L'histoire de la région est étroitement liée à celle de l'Asie Mineure. Parmi tous les peuples de l'ouest de l'Asie Mineure, la Lycie sera la seule à pouvoir résister à l'assaut des rois de Lydie. En 546 av. J.‑C., elle sera cependant contrainte de se soumettre à la domination perse. Avec l'invasion d'Alexandre le Grand en 333 av. J.‑C., la Lycie passera sous le contrôle des Ptolémées (308–197 av. J.‑C.) et des Séleucides (197–189 av. J.‑C.). Lorsque les Romains triomphent d'Antiochus III à Magnésie (189 av. J.‑C.), la Lycie sera donnée à Rhodes, une île au large de sa côte occidentale. Vingt ans plus tard, Rome accordera à la Lycie le statut d'État indépendant. Ce statut durera jusqu'en 43 apr. J.‑C., moment où l'empereur Claude déclare la Lycie province romaine. Sous la réorganisation provinciale de Vespasien en 74 apr. J.‑C., elle sera réunie avec la Pamphylie.</w:t>
      </w:r>
    </w:p>
    <w:p>
      <w:r/>
      <w:hyperlink r:id="rId1322">
        <w:r>
          <w:rPr>
            <w:color w:val="0000EE"/>
            <w:u w:val="single"/>
          </w:rPr>
          <w:t>1 Maccabées 15.23</w:t>
        </w:r>
      </w:hyperlink>
      <w:r>
        <w:t xml:space="preserve"> témoigne d'une communauté juive importante en Lycie vers 139 av. J.‑C. Le Nouveau Testament ne fournit aucune preuve de la présence de chrétiens dans cette région. Cependant, une lettre de Lycie écrite en 312 apr. J.‑C. à l'empereur Maximien, en opposition au christianisme, indique la présence de chrétiens dans cette région dans les premiers siècles de l'Église.</w:t>
      </w:r>
      <w:r/>
      <w:r/>
    </w:p>
    <w:p>
      <w:r/>
    </w:p>
    <w:p>
      <w:pPr>
        <w:pStyle w:val="Heading2"/>
      </w:pPr>
      <w:r>
        <w:t>Lydda</w:t>
      </w:r>
      <w:r/>
    </w:p>
    <w:p>
      <w:r/>
      <w:r>
        <w:t>Nom donne, dans le Nouveau Testament, à Lod, une ville située au sud-ouest de Jérusalem dans la Shéphélah (</w:t>
      </w:r>
      <w:hyperlink r:id="rId9319">
        <w:r>
          <w:rPr>
            <w:color w:val="0000EE"/>
            <w:u w:val="single"/>
          </w:rPr>
          <w:t>Ac 9.32–38</w:t>
        </w:r>
      </w:hyperlink>
      <w:r>
        <w:t>).</w:t>
      </w:r>
    </w:p>
    <w:p>
      <w:r/>
      <w:r>
        <w:rPr>
          <w:i/>
        </w:rPr>
        <w:t>Voir</w:t>
      </w:r>
      <w:r>
        <w:t xml:space="preserve"> </w:t>
      </w:r>
      <w:r>
        <w:t>Lod</w:t>
      </w:r>
      <w:r>
        <w:t>.</w:t>
      </w:r>
      <w:r/>
      <w:r/>
    </w:p>
    <w:p>
      <w:r/>
    </w:p>
    <w:p>
      <w:pPr>
        <w:pStyle w:val="Heading2"/>
      </w:pPr>
      <w:r>
        <w:t>Lydie (Personne)</w:t>
      </w:r>
      <w:r/>
    </w:p>
    <w:p>
      <w:r/>
      <w:r>
        <w:t>Lydie était une femme non-juive qui est devenue chrétienne après avoir entendu Paul prêcher dans la ville de Philippes (</w:t>
      </w:r>
      <w:hyperlink r:id="rId9320">
        <w:r>
          <w:rPr>
            <w:color w:val="0000EE"/>
            <w:u w:val="single"/>
          </w:rPr>
          <w:t>Ac 16.14, 40</w:t>
        </w:r>
      </w:hyperlink>
      <w:r>
        <w:t>). Femme d'affaires qui vendait des tissus pourpres coûteux, Lydie venait de la ville de Thyatire dans la région de la Lydie, dans la partie occidentale de la province romaine d'Asie (communément appelée Asie Mineure).</w:t>
      </w:r>
    </w:p>
    <w:p>
      <w:r/>
      <w:r>
        <w:t>Actes décrit Lydie comme une adoratrice de Dieu (ou « craignant Dieu »). Ces mots signifient qu'elle était une gentille attirée par le judaïsme. Elle s'est convertie au christianisme et Paul l'a baptisée. Ensuite, Lydie invitera Paul et Silas à séjourner chez elle pendant leur séjour à Philippes.</w:t>
      </w:r>
      <w:r/>
      <w:r/>
    </w:p>
    <w:p>
      <w:r/>
    </w:p>
    <w:p>
      <w:pPr>
        <w:pStyle w:val="Heading2"/>
      </w:pPr>
      <w:r>
        <w:t>Lysias</w:t>
      </w:r>
      <w:r/>
    </w:p>
    <w:p>
      <w:r/>
      <w:r>
        <w:t>1. Commandant romain qui écrira une lettre à Félix concernant l'apôtre Paul (</w:t>
      </w:r>
      <w:hyperlink r:id="rId137">
        <w:r>
          <w:rPr>
            <w:color w:val="0000EE"/>
            <w:u w:val="single"/>
          </w:rPr>
          <w:t>Ac 23.26</w:t>
        </w:r>
      </w:hyperlink>
      <w:r>
        <w:t xml:space="preserve">). </w:t>
      </w:r>
      <w:r>
        <w:rPr>
          <w:i/>
        </w:rPr>
        <w:t>Voir</w:t>
      </w:r>
      <w:r>
        <w:t xml:space="preserve"> </w:t>
      </w:r>
      <w:r>
        <w:t>Claude Lysias</w:t>
      </w:r>
      <w:r>
        <w:t>.</w:t>
      </w:r>
    </w:p>
    <w:p>
      <w:r/>
      <w:r>
        <w:t>2. Lysias, nommé régent de Syrie par Antiochus IV Épiphane pendant que le roi combattait les Parthes (</w:t>
      </w:r>
      <w:hyperlink r:id="rId9321">
        <w:r>
          <w:rPr>
            <w:color w:val="0000EE"/>
            <w:u w:val="single"/>
          </w:rPr>
          <w:t>1 M 3.31–37</w:t>
        </w:r>
      </w:hyperlink>
      <w:r>
        <w:t>; 166–165 av. J.‑C.), enverra les généraux Ptolémée, Nicanor et Gorgias pour soumettre Judas Maccabée en Judée, et mènera lui-même une attaque contre Judas. Enfin, un traité de paix sera signé et approuvé par Antiochus Épiphane (2 M 11), permettant de supprimer les sévères restrictions religieuses contre les Juifs, Judas procédant à la purification du temple, rétablissant le sacrifice quotidien.</w:t>
      </w:r>
    </w:p>
    <w:p>
      <w:r/>
      <w:r>
        <w:t>Lorsque Antiochus Épiphane meurt en 164, Lysias, accompagné du jeune roi Antiochus V Eupator, entrera de nouveau en Judée, triomphera de Judas à Bethzacharia et assiégera Jérusalem. La situation politique à Antioche forcera toutefois Lysias à se retirer et à retourner en Syrie, où lui et son jeune protégé, Antiochus V, seront renversés par Démétrius 1er et exécutés (162 av. J.‑C.).</w:t>
      </w:r>
      <w:r/>
      <w:r/>
    </w:p>
    <w:p>
      <w:r/>
    </w:p>
    <w:p>
      <w:pPr>
        <w:pStyle w:val="Heading2"/>
      </w:pPr>
      <w:r>
        <w:t>Lystre</w:t>
      </w:r>
      <w:r/>
    </w:p>
    <w:p>
      <w:r/>
      <w:r>
        <w:t>Ville située dans la région de Lycaonie, dans la province romaine de Galatie.</w:t>
      </w:r>
    </w:p>
    <w:p>
      <w:pPr>
        <w:pStyle w:val="Heading3"/>
      </w:pPr>
      <w:r>
        <w:t>Lystre dans le Nouveau Testament</w:t>
      </w:r>
    </w:p>
    <w:p>
      <w:r/>
      <w:r>
        <w:t xml:space="preserve">Les principales mentions de Lystre dans la Bible proviennent du livre des Actes, avec une mention dans </w:t>
      </w:r>
      <w:hyperlink r:id="rId6607">
        <w:r>
          <w:rPr>
            <w:color w:val="0000EE"/>
            <w:u w:val="single"/>
          </w:rPr>
          <w:t>2 Timothée 3.11</w:t>
        </w:r>
      </w:hyperlink>
      <w:r>
        <w:t>. Lors du premier voyage missionnaire de Paul, lui et Barnabas viennent à Lystre après avoir fait face à l'opposition dans la ville voisine d'Iconium. Ils se rendent ensuite à Derbe et dans les régions autour de ces villes (</w:t>
      </w:r>
      <w:hyperlink r:id="rId3725">
        <w:r>
          <w:rPr>
            <w:color w:val="0000EE"/>
            <w:u w:val="single"/>
          </w:rPr>
          <w:t>Ac 14.6</w:t>
        </w:r>
      </w:hyperlink>
      <w:r>
        <w:t>).</w:t>
      </w:r>
    </w:p>
    <w:p>
      <w:r/>
      <w:r>
        <w:t xml:space="preserve">Pendant son séjour à Lystre, Paul guérira un homme qui ne pouvait pas marcher (v. </w:t>
      </w:r>
      <w:hyperlink r:id="rId9322">
        <w:r>
          <w:rPr>
            <w:color w:val="0000EE"/>
            <w:u w:val="single"/>
          </w:rPr>
          <w:t>8</w:t>
        </w:r>
      </w:hyperlink>
      <w:r>
        <w:t xml:space="preserve">). Après avoir vu ce miracle, les habitants locaux seront pris d'un grand enthousiasme. Ils croyaient que Barnabas était Zeus (le roi des dieux grecs) et que Paul était Hermès (le messager des dieux grecs). Ils pensaient que Paul était Hermès parce qu'il était le principal orateur, Hermès étant connu pour être un messager qui transmettait les paroles des dieux aux gens (v. </w:t>
      </w:r>
      <w:hyperlink r:id="rId9323">
        <w:r>
          <w:rPr>
            <w:color w:val="0000EE"/>
            <w:u w:val="single"/>
          </w:rPr>
          <w:t>9–21</w:t>
        </w:r>
      </w:hyperlink>
      <w:r>
        <w:t>). Dans certaines versions de la Bible, Zeus et Hermès sont appelés par leurs noms latins, Jupiter et Mercure.</w:t>
      </w:r>
    </w:p>
    <w:p>
      <w:pPr>
        <w:pStyle w:val="Heading3"/>
      </w:pPr>
      <w:r>
        <w:t>Culture locale et religion</w:t>
      </w:r>
    </w:p>
    <w:p>
      <w:r/>
      <w:r>
        <w:t>La plupart des habitants de Lystre appartenaient à un petit groupe de la région d'Anatolie. Ils parlaient leur propre langue locale, que les chercheurs connaissent grâce à des écrits anciens sur pierre trouvés dans la région. Les gens parlaient encore cette langue jusqu'au 6e siècle ap. J.‑C. L'ancien système de village anatolien a perduré dans cette ville marchande, même après que les Romains aient pris le contrôle de la ville.</w:t>
      </w:r>
    </w:p>
    <w:p>
      <w:r/>
      <w:r>
        <w:t xml:space="preserve">Zeus était considéré comme le plus puissant de tous les dieux grecs, et Hermès était son fils qui servait de messager entre les dieux et les humains. Les habitants de Lystre croyaient fermement en ces dieux. Les découvertes archéologiques soutiennent ce que Luc écrit dans le livre des Actes à ce sujet. Les chercheurs ont trouvé une pierre ancienne avec une inscription qui parle de la dédicace d'une statue d'Hermès à Zeus. Une autre pierre comporte une inscription concernant « Zeus devant la ville », ce qui aide à expliquer </w:t>
      </w:r>
      <w:hyperlink r:id="rId9324">
        <w:r>
          <w:rPr>
            <w:color w:val="0000EE"/>
            <w:u w:val="single"/>
          </w:rPr>
          <w:t>Actes 14.13</w:t>
        </w:r>
      </w:hyperlink>
      <w:r>
        <w:t xml:space="preserve"> où il est mention du « </w:t>
      </w:r>
      <w:r>
        <w:t>prêtre de Jupiter, dont le temple était à l’entrée de la ville</w:t>
      </w:r>
      <w:r>
        <w:t xml:space="preserve"> ».</w:t>
      </w:r>
    </w:p>
    <w:p>
      <w:pPr>
        <w:pStyle w:val="Heading3"/>
      </w:pPr>
      <w:r>
        <w:t>Emplacement et connexions</w:t>
      </w:r>
    </w:p>
    <w:p>
      <w:r/>
      <w:r>
        <w:t xml:space="preserve">Derbe et Lystre appartenaient toutes deux à la même région politique. Iconium était située dans une autre région politique. La géographie, le commerce et la vie sociale de Lystre ressemblaient plus à Iconium qu'à Derbe, malgré la frontière politique qui les séparait. Il semble que les deux villes communiquaient souvent. </w:t>
      </w:r>
      <w:hyperlink r:id="rId6609">
        <w:r>
          <w:rPr>
            <w:color w:val="0000EE"/>
            <w:u w:val="single"/>
          </w:rPr>
          <w:t>Actes 16.1–2</w:t>
        </w:r>
      </w:hyperlink>
      <w:r>
        <w:t xml:space="preserve"> lie Lystre et Iconium comme des lieux où Timothée était bien connu et respecté.</w:t>
      </w:r>
      <w:r/>
      <w:r/>
    </w:p>
    <w:p>
      <w:r/>
    </w:p>
    <w:p>
      <w:pPr>
        <w:pStyle w:val="Heading2"/>
      </w:pPr>
      <w:r>
        <w:t>Maaca (Lieu)</w:t>
      </w:r>
      <w:r/>
    </w:p>
    <w:p>
      <w:r/>
      <w:r>
        <w:t xml:space="preserve">Petit royaume dans le nord de la Transjordanie, alternativement nommé les Syriens de Maaca dans </w:t>
      </w:r>
      <w:hyperlink r:id="rId1124">
        <w:r>
          <w:rPr>
            <w:color w:val="0000EE"/>
            <w:u w:val="single"/>
          </w:rPr>
          <w:t>1 Chroniques 19.6</w:t>
        </w:r>
      </w:hyperlink>
      <w:r>
        <w:t xml:space="preserve">. Selon </w:t>
      </w:r>
      <w:hyperlink r:id="rId9325">
        <w:r>
          <w:rPr>
            <w:color w:val="0000EE"/>
            <w:u w:val="single"/>
          </w:rPr>
          <w:t>Josué 13.11</w:t>
        </w:r>
      </w:hyperlink>
      <w:r>
        <w:t>, les États de Gueschur et Maaca se trouvaient entre Galaad et le mont Hermon et ils bordaient le royaume d'Og, souverain de Basan (</w:t>
      </w:r>
      <w:hyperlink r:id="rId9326">
        <w:r>
          <w:rPr>
            <w:color w:val="0000EE"/>
            <w:u w:val="single"/>
          </w:rPr>
          <w:t>Jos 12.4–5</w:t>
        </w:r>
      </w:hyperlink>
      <w:r>
        <w:t>). Son peuple était considéré comme des descendants de Nachor (</w:t>
      </w:r>
      <w:hyperlink r:id="rId3035">
        <w:r>
          <w:rPr>
            <w:color w:val="0000EE"/>
            <w:u w:val="single"/>
          </w:rPr>
          <w:t>Gn 22.24</w:t>
        </w:r>
      </w:hyperlink>
      <w:r>
        <w:t>) et constituait la tribu la plus méridionale des Nahorites.</w:t>
      </w:r>
    </w:p>
    <w:p>
      <w:r/>
      <w:r>
        <w:rPr>
          <w:i/>
        </w:rPr>
        <w:t>Voir aussi</w:t>
      </w:r>
      <w:r>
        <w:t xml:space="preserve"> </w:t>
      </w:r>
      <w:r>
        <w:t>Aram (Personne) n° 2</w:t>
      </w:r>
      <w:r>
        <w:t xml:space="preserve"> ; </w:t>
      </w:r>
      <w:r>
        <w:t>Aram (Lieu)</w:t>
      </w:r>
      <w:r>
        <w:t>.</w:t>
      </w:r>
      <w:r/>
      <w:r/>
    </w:p>
    <w:p>
      <w:r/>
    </w:p>
    <w:p>
      <w:pPr>
        <w:pStyle w:val="Heading2"/>
      </w:pPr>
      <w:r>
        <w:t>Maaca (Personne)</w:t>
      </w:r>
      <w:r/>
    </w:p>
    <w:p>
      <w:r/>
      <w:r>
        <w:t>Maaca était un prénom hébreu courant dans l'Ancien Testament. Plusieurs personnes portaient ce nom.</w:t>
      </w:r>
    </w:p>
    <w:p>
      <w:pPr>
        <w:pStyle w:val="ListNumber"/>
        <w:spacing w:line="240" w:lineRule="auto"/>
        <w:ind w:left="720"/>
      </w:pPr>
      <w:r/>
      <w:r>
        <w:t>Le dernier des quatre enfants nés de Nachor, le frère d'Abraham, et de Réuma, sa concubine (</w:t>
      </w:r>
      <w:hyperlink r:id="rId3035">
        <w:r>
          <w:rPr>
            <w:color w:val="0000EE"/>
            <w:u w:val="single"/>
          </w:rPr>
          <w:t>Gn 22.24</w:t>
        </w:r>
      </w:hyperlink>
      <w:r>
        <w:t>).</w:t>
      </w:r>
    </w:p>
    <w:p>
      <w:pPr>
        <w:pStyle w:val="ListNumber"/>
        <w:spacing w:line="240" w:lineRule="auto"/>
        <w:ind w:left="720"/>
      </w:pPr>
      <w:r/>
      <w:r>
        <w:t>Une fille du roi Talmaï de Gueschur. Elle était une des épouses du roi David et la mère d'Absalom (</w:t>
      </w:r>
      <w:hyperlink r:id="rId9327">
        <w:r>
          <w:rPr>
            <w:color w:val="0000EE"/>
            <w:u w:val="single"/>
          </w:rPr>
          <w:t>2S 3.3</w:t>
        </w:r>
      </w:hyperlink>
      <w:r>
        <w:t xml:space="preserve"> ; </w:t>
      </w:r>
      <w:hyperlink r:id="rId9328">
        <w:r>
          <w:rPr>
            <w:color w:val="0000EE"/>
            <w:u w:val="single"/>
          </w:rPr>
          <w:t>1Ch 3.2</w:t>
        </w:r>
      </w:hyperlink>
      <w:r>
        <w:t>).</w:t>
      </w:r>
    </w:p>
    <w:p>
      <w:pPr>
        <w:pStyle w:val="ListNumber"/>
        <w:spacing w:line="240" w:lineRule="auto"/>
        <w:ind w:left="720"/>
      </w:pPr>
      <w:r/>
      <w:r>
        <w:t>Le père d'Akisch. Le roi Akisch de Gath a hébergé deux des esclaves de Schimeï pendant le règne du roi Salomon (</w:t>
      </w:r>
      <w:hyperlink r:id="rId9329">
        <w:r>
          <w:rPr>
            <w:color w:val="0000EE"/>
            <w:u w:val="single"/>
          </w:rPr>
          <w:t>1R 2.39</w:t>
        </w:r>
      </w:hyperlink>
      <w:r>
        <w:t xml:space="preserve">). Il est probablement la même personne que </w:t>
      </w:r>
      <w:r>
        <w:t>Maoc</w:t>
      </w:r>
      <w:r>
        <w:t xml:space="preserve"> dans </w:t>
      </w:r>
      <w:hyperlink r:id="rId9330">
        <w:r>
          <w:rPr>
            <w:color w:val="0000EE"/>
            <w:u w:val="single"/>
          </w:rPr>
          <w:t>1 Samuel 27.2</w:t>
        </w:r>
      </w:hyperlink>
      <w:r>
        <w:t>.</w:t>
      </w:r>
    </w:p>
    <w:p>
      <w:r/>
      <w:r>
        <w:rPr>
          <w:i/>
        </w:rPr>
        <w:t>Voir</w:t>
      </w:r>
      <w:r>
        <w:t xml:space="preserve"> </w:t>
      </w:r>
      <w:r>
        <w:t>Maoc</w:t>
      </w:r>
      <w:r>
        <w:t>.</w:t>
      </w:r>
    </w:p>
    <w:p>
      <w:pPr>
        <w:pStyle w:val="ListNumber"/>
        <w:spacing w:line="240" w:lineRule="auto"/>
        <w:ind w:left="720"/>
      </w:pPr>
      <w:r/>
      <w:r>
        <w:t>Une fille d'Absalom (également appelée Abisalom) (</w:t>
      </w:r>
      <w:hyperlink r:id="rId9331">
        <w:r>
          <w:rPr>
            <w:color w:val="0000EE"/>
            <w:u w:val="single"/>
          </w:rPr>
          <w:t>1R 15.2, 10</w:t>
        </w:r>
      </w:hyperlink>
      <w:r>
        <w:t xml:space="preserve">). Elle était l'épouse du roi Roboam de Juda, qui régnera de 930 à 913 av. J.‑C., la mère du roi Abija (913 à 910 av. J.‑C.) et la grand-mère du roi Asa de Juda (910 à 869 av. J.‑C., </w:t>
      </w:r>
      <w:hyperlink r:id="rId9332">
        <w:r>
          <w:rPr>
            <w:color w:val="0000EE"/>
            <w:u w:val="single"/>
          </w:rPr>
          <w:t>1R 15.10</w:t>
        </w:r>
      </w:hyperlink>
      <w:r>
        <w:t xml:space="preserve"> ; </w:t>
      </w:r>
      <w:hyperlink r:id="rId9333">
        <w:r>
          <w:rPr>
            <w:color w:val="0000EE"/>
            <w:u w:val="single"/>
          </w:rPr>
          <w:t>2Ch 11.20–22</w:t>
        </w:r>
      </w:hyperlink>
      <w:r>
        <w:t>). Plus tard, Asa la retirera de son rôle de reine mère parce qu'elle avait fait une idole pour Astarté (</w:t>
      </w:r>
      <w:hyperlink r:id="rId9334">
        <w:r>
          <w:rPr>
            <w:color w:val="0000EE"/>
            <w:u w:val="single"/>
          </w:rPr>
          <w:t>1R 15.10–13</w:t>
        </w:r>
      </w:hyperlink>
      <w:r>
        <w:t xml:space="preserve"> ; </w:t>
      </w:r>
      <w:hyperlink r:id="rId9335">
        <w:r>
          <w:rPr>
            <w:color w:val="0000EE"/>
            <w:u w:val="single"/>
          </w:rPr>
          <w:t>2Ch 15.16</w:t>
        </w:r>
      </w:hyperlink>
      <w:r>
        <w:t xml:space="preserve">). Son nom est orthographié </w:t>
      </w:r>
      <w:r>
        <w:t>Micaja</w:t>
      </w:r>
      <w:r>
        <w:t xml:space="preserve"> (ou </w:t>
      </w:r>
      <w:r>
        <w:t>Mikayahou, NBS &amp; TOB2010</w:t>
      </w:r>
      <w:r>
        <w:t xml:space="preserve">) dans </w:t>
      </w:r>
      <w:hyperlink r:id="rId9336">
        <w:r>
          <w:rPr>
            <w:color w:val="0000EE"/>
            <w:u w:val="single"/>
          </w:rPr>
          <w:t>2 Chroniques 13.2</w:t>
        </w:r>
      </w:hyperlink>
      <w:r>
        <w:t>.</w:t>
      </w:r>
    </w:p>
    <w:p>
      <w:pPr>
        <w:pStyle w:val="ListNumber"/>
        <w:spacing w:line="240" w:lineRule="auto"/>
        <w:ind w:left="720"/>
      </w:pPr>
      <w:r/>
      <w:r>
        <w:t>Une concubine de Caleb et la mère de quatre de ses fils (</w:t>
      </w:r>
      <w:hyperlink r:id="rId9337">
        <w:r>
          <w:rPr>
            <w:color w:val="0000EE"/>
            <w:u w:val="single"/>
          </w:rPr>
          <w:t>1Ch 2.48</w:t>
        </w:r>
      </w:hyperlink>
      <w:r>
        <w:t>).</w:t>
      </w:r>
    </w:p>
    <w:p>
      <w:pPr>
        <w:pStyle w:val="ListNumber"/>
        <w:spacing w:line="240" w:lineRule="auto"/>
        <w:ind w:left="720"/>
      </w:pPr>
      <w:r/>
      <w:r>
        <w:t>Une sœur de Huppim et Schuppim, l'épouse de Makir de Manassée et mère de Péresch et Schéresch (</w:t>
      </w:r>
      <w:hyperlink r:id="rId9338">
        <w:r>
          <w:rPr>
            <w:color w:val="0000EE"/>
            <w:u w:val="single"/>
          </w:rPr>
          <w:t>1Ch 7.15–16</w:t>
        </w:r>
      </w:hyperlink>
      <w:r>
        <w:t>).</w:t>
      </w:r>
    </w:p>
    <w:p>
      <w:pPr>
        <w:pStyle w:val="ListNumber"/>
        <w:spacing w:line="240" w:lineRule="auto"/>
        <w:ind w:left="720"/>
      </w:pPr>
      <w:r/>
      <w:r>
        <w:t>Une femme de la tribu de Benjamin, épouse de Jeïel, et ancêtre du roi Saül (</w:t>
      </w:r>
      <w:hyperlink r:id="rId9339">
        <w:r>
          <w:rPr>
            <w:color w:val="0000EE"/>
            <w:u w:val="single"/>
          </w:rPr>
          <w:t>1Ch 8.29</w:t>
        </w:r>
      </w:hyperlink>
      <w:r>
        <w:t xml:space="preserve"> ; </w:t>
      </w:r>
      <w:hyperlink r:id="rId9340">
        <w:r>
          <w:rPr>
            <w:color w:val="0000EE"/>
            <w:u w:val="single"/>
          </w:rPr>
          <w:t>9.35</w:t>
        </w:r>
      </w:hyperlink>
      <w:r>
        <w:t>).</w:t>
      </w:r>
    </w:p>
    <w:p>
      <w:pPr>
        <w:pStyle w:val="ListNumber"/>
        <w:spacing w:line="240" w:lineRule="auto"/>
        <w:ind w:left="720"/>
      </w:pPr>
      <w:r/>
      <w:r>
        <w:t>Un père de Hanan, l'un des vaillants guerriers de David (</w:t>
      </w:r>
      <w:hyperlink r:id="rId9341">
        <w:r>
          <w:rPr>
            <w:color w:val="0000EE"/>
            <w:u w:val="single"/>
          </w:rPr>
          <w:t>1Ch 11.43</w:t>
        </w:r>
      </w:hyperlink>
      <w:r>
        <w:t>).</w:t>
      </w:r>
    </w:p>
    <w:p>
      <w:pPr>
        <w:pStyle w:val="ListNumber"/>
        <w:spacing w:line="240" w:lineRule="auto"/>
        <w:ind w:left="720"/>
      </w:pPr>
      <w:r/>
      <w:r>
        <w:t xml:space="preserve">Le père de </w:t>
      </w:r>
      <w:r>
        <w:t>Schephathia</w:t>
      </w:r>
      <w:r>
        <w:t xml:space="preserve">. </w:t>
      </w:r>
      <w:r>
        <w:t>Schephathia</w:t>
      </w:r>
      <w:r>
        <w:t xml:space="preserve"> était le chef de la tribu de Siméon pendant le règne du roi David (</w:t>
      </w:r>
      <w:hyperlink r:id="rId4629">
        <w:r>
          <w:rPr>
            <w:color w:val="0000EE"/>
            <w:u w:val="single"/>
          </w:rPr>
          <w:t>1Ch 27.16</w:t>
        </w:r>
      </w:hyperlink>
      <w:r>
        <w:t>).</w:t>
      </w:r>
      <w:r/>
      <w:r/>
    </w:p>
    <w:p>
      <w:r/>
    </w:p>
    <w:p>
      <w:pPr>
        <w:pStyle w:val="Heading2"/>
      </w:pPr>
      <w:r>
        <w:t>Macédoine</w:t>
      </w:r>
      <w:r/>
    </w:p>
    <w:p>
      <w:r/>
      <w:r>
        <w:t>Province romaine de l'époque du Nouveau Testament. La Macédoine a commencé comme un royaume au 7e siècle av. J.‑C. Peu de choses sont connues sur les premiers siècles de son histoire, mais avec l'arrivée au pouvoir du roi grec Philippe II (359–336 av. J.‑C.), et surtout de son fils Alexandre III (le Grand, 336–323 av. J.‑C.), la Macédoine est devenue une puissance mondiale. Après la mort d'Alexandre, l'empire a été divisé entre ses successeurs en plusieurs régions, dont l'une était le royaume macédonien original. L'instabilité a régné pendant les cent cinquante années suivantes, et en 167 av. J.‑C., la Macédoine est passée sous domination romaine. Initialement divisée en quatre districts par les Romains (</w:t>
      </w:r>
      <w:hyperlink r:id="rId9342">
        <w:r>
          <w:rPr>
            <w:color w:val="0000EE"/>
            <w:u w:val="single"/>
          </w:rPr>
          <w:t>Ac 16.12</w:t>
        </w:r>
      </w:hyperlink>
      <w:r>
        <w:t xml:space="preserve"> est une référence possible à cette division), ce territoire a été transformé en province romaine en l'an 14 av. J.‑C. avec Thessalonique comme capitale. Brièvement, de l'an 15 à l'an 44 apr. J.‑C., la Macédoine a été combinée avec l'Achaïe et la Moésie (d'autres parties de la Grèce) en une grande province ; cependant, en l'an 44, les trois ont de nouveau été séparés. L'importance de la Macédoine a perduré à travers l'ère romaine, et elle est restée une entité distincte jusqu'à nos jours, bien qu'elle ait fait partie de la Yougoslavie de 1945 à 1991.</w:t>
      </w:r>
    </w:p>
    <w:p>
      <w:r/>
      <w:r>
        <w:t xml:space="preserve">La province romaine de Macédoine comprenait la région nord de la Grèce ainsi que les parties sud de l'Albanie actuelle, de la Bulgarie et de l'ancienne République yougoslave de Macédoine. Réputée pour son or, son argent, son bois et ses terres agricoles, la région servait également de route terrestre pour le commerce entre l'Asie et l'Occident. Peu de temps après que les Romains ont incorporé la Macédoine comme province, ils ont construit la </w:t>
      </w:r>
      <w:r>
        <w:rPr>
          <w:i/>
        </w:rPr>
        <w:t>Via Egnatia</w:t>
      </w:r>
      <w:r>
        <w:t>, une route pavée de plus de 800 km de long, allant de la côte adriatique à la Mer Égée, sans doute parcourue par l'apôtre Paul alors qu'il se déplaçait à travers les villes macédoniennes de Néapolis, Philippes, Amphipolis, Apollonie et Thessalonique (</w:t>
      </w:r>
      <w:hyperlink r:id="rId9343">
        <w:r>
          <w:rPr>
            <w:color w:val="0000EE"/>
            <w:u w:val="single"/>
          </w:rPr>
          <w:t>Ac 16.11–12</w:t>
        </w:r>
      </w:hyperlink>
      <w:r>
        <w:t xml:space="preserve"> ; </w:t>
      </w:r>
      <w:hyperlink r:id="rId873">
        <w:r>
          <w:rPr>
            <w:color w:val="0000EE"/>
            <w:u w:val="single"/>
          </w:rPr>
          <w:t>17.1</w:t>
        </w:r>
      </w:hyperlink>
      <w:r>
        <w:t>).</w:t>
      </w:r>
    </w:p>
    <w:p>
      <w:r/>
      <w:r>
        <w:t>L'Évangile sera introduit en Europe par la Macédoine lorsque Paul répond à une vision lors de son deuxième voyage missionnaire (</w:t>
      </w:r>
      <w:hyperlink r:id="rId9344">
        <w:r>
          <w:rPr>
            <w:color w:val="0000EE"/>
            <w:u w:val="single"/>
          </w:rPr>
          <w:t>Ac 16.9–12</w:t>
        </w:r>
      </w:hyperlink>
      <w:r>
        <w:t xml:space="preserve">). Les détails de cette œuvre, centrée à Philippes et Thessalonique, sont décrits dans </w:t>
      </w:r>
      <w:hyperlink r:id="rId9345">
        <w:r>
          <w:rPr>
            <w:color w:val="0000EE"/>
            <w:u w:val="single"/>
          </w:rPr>
          <w:t>Actes 16.11–17.15</w:t>
        </w:r>
      </w:hyperlink>
      <w:r>
        <w:t>. Lors de son troisième voyage, bien que retardé initialement (</w:t>
      </w:r>
      <w:hyperlink r:id="rId9346">
        <w:r>
          <w:rPr>
            <w:color w:val="0000EE"/>
            <w:u w:val="single"/>
          </w:rPr>
          <w:t>19.21–22</w:t>
        </w:r>
      </w:hyperlink>
      <w:r>
        <w:t>), Paul retourne en Macédoine, et de nouveau après un séjour à Corinthe (</w:t>
      </w:r>
      <w:hyperlink r:id="rId8265">
        <w:r>
          <w:rPr>
            <w:color w:val="0000EE"/>
            <w:u w:val="single"/>
          </w:rPr>
          <w:t>20.1–3</w:t>
        </w:r>
      </w:hyperlink>
      <w:r>
        <w:t xml:space="preserve"> ; voir </w:t>
      </w:r>
      <w:hyperlink r:id="rId9347">
        <w:r>
          <w:rPr>
            <w:color w:val="0000EE"/>
            <w:u w:val="single"/>
          </w:rPr>
          <w:t>1Co 16.5</w:t>
        </w:r>
      </w:hyperlink>
      <w:r>
        <w:t xml:space="preserve"> ; </w:t>
      </w:r>
      <w:hyperlink r:id="rId9348">
        <w:r>
          <w:rPr>
            <w:color w:val="0000EE"/>
            <w:u w:val="single"/>
          </w:rPr>
          <w:t>2Co 1.16</w:t>
        </w:r>
      </w:hyperlink>
      <w:r>
        <w:t xml:space="preserve"> ; </w:t>
      </w:r>
      <w:hyperlink r:id="rId3160">
        <w:r>
          <w:rPr>
            <w:color w:val="0000EE"/>
            <w:u w:val="single"/>
          </w:rPr>
          <w:t>2.13</w:t>
        </w:r>
      </w:hyperlink>
      <w:r>
        <w:t xml:space="preserve"> pour d'autres références aux visites en Macédoine).</w:t>
      </w:r>
    </w:p>
    <w:p>
      <w:r/>
      <w:r>
        <w:t>Les croyants macédoniens ont joué un rôle important dans la collecte que Paul a organisée pour les pauvres à Jérusalem (</w:t>
      </w:r>
      <w:hyperlink r:id="rId2993">
        <w:r>
          <w:rPr>
            <w:color w:val="0000EE"/>
            <w:u w:val="single"/>
          </w:rPr>
          <w:t>Rm 15.26</w:t>
        </w:r>
      </w:hyperlink>
      <w:r>
        <w:t xml:space="preserve"> ; </w:t>
      </w:r>
      <w:hyperlink r:id="rId9349">
        <w:r>
          <w:rPr>
            <w:color w:val="0000EE"/>
            <w:u w:val="single"/>
          </w:rPr>
          <w:t>2Co 9.2–4</w:t>
        </w:r>
      </w:hyperlink>
      <w:r>
        <w:t>) ; Paul les a félicités pour leur générosité (</w:t>
      </w:r>
      <w:hyperlink r:id="rId9350">
        <w:r>
          <w:rPr>
            <w:color w:val="0000EE"/>
            <w:u w:val="single"/>
          </w:rPr>
          <w:t>2Co 8.1–2</w:t>
        </w:r>
      </w:hyperlink>
      <w:r>
        <w:t>). Il les a également loués pour leur exemple de foi, même en période d'adversité (</w:t>
      </w:r>
      <w:hyperlink r:id="rId9351">
        <w:r>
          <w:rPr>
            <w:color w:val="0000EE"/>
            <w:u w:val="single"/>
          </w:rPr>
          <w:t>2Co 7.5</w:t>
        </w:r>
      </w:hyperlink>
      <w:r>
        <w:t xml:space="preserve"> ; </w:t>
      </w:r>
      <w:hyperlink r:id="rId8909">
        <w:r>
          <w:rPr>
            <w:color w:val="0000EE"/>
            <w:u w:val="single"/>
          </w:rPr>
          <w:t>1Th 1.7</w:t>
        </w:r>
      </w:hyperlink>
      <w:r>
        <w:t>), et pour leur amour envers les autres (</w:t>
      </w:r>
      <w:hyperlink r:id="rId8907">
        <w:r>
          <w:rPr>
            <w:color w:val="0000EE"/>
            <w:u w:val="single"/>
          </w:rPr>
          <w:t>1Th 4.10</w:t>
        </w:r>
      </w:hyperlink>
      <w:r>
        <w:t>). Certains des Macédoniens ont travaillé directement avec Paul pour accomplir la mission de l'Évangile (</w:t>
      </w:r>
      <w:hyperlink r:id="rId1301">
        <w:r>
          <w:rPr>
            <w:color w:val="0000EE"/>
            <w:u w:val="single"/>
          </w:rPr>
          <w:t>Ac 19.29</w:t>
        </w:r>
      </w:hyperlink>
      <w:r>
        <w:t xml:space="preserve"> ; </w:t>
      </w:r>
      <w:hyperlink r:id="rId1302">
        <w:r>
          <w:rPr>
            <w:color w:val="0000EE"/>
            <w:u w:val="single"/>
          </w:rPr>
          <w:t>20.4</w:t>
        </w:r>
      </w:hyperlink>
      <w:r>
        <w:t xml:space="preserve"> ; </w:t>
      </w:r>
      <w:hyperlink r:id="rId335">
        <w:r>
          <w:rPr>
            <w:color w:val="0000EE"/>
            <w:u w:val="single"/>
          </w:rPr>
          <w:t>27.2</w:t>
        </w:r>
      </w:hyperlink>
      <w:r>
        <w:t>), et il a adressé des lettres aux Églises de deux villes macédoniennes : Philippes et Thessalonique.</w:t>
      </w:r>
    </w:p>
    <w:p>
      <w:r/>
      <w:r>
        <w:rPr>
          <w:i/>
        </w:rPr>
        <w:t>Voir aussi</w:t>
      </w:r>
      <w:r>
        <w:t xml:space="preserve"> </w:t>
      </w:r>
      <w:r>
        <w:t>Grèce, Grec</w:t>
      </w:r>
      <w:r>
        <w:t>.</w:t>
      </w:r>
      <w:r/>
      <w:r/>
    </w:p>
    <w:p>
      <w:r/>
    </w:p>
    <w:p>
      <w:pPr>
        <w:pStyle w:val="Heading2"/>
      </w:pPr>
      <w:r>
        <w:t>Machaerus</w:t>
      </w:r>
      <w:r/>
    </w:p>
    <w:p>
      <w:pPr>
        <w:pStyle w:val="Heading1"/>
      </w:pPr>
      <w:r>
        <w:t xml:space="preserve">MACHAÉRUS, </w:t>
      </w:r>
      <w:r>
        <w:rPr>
          <w:b/>
        </w:rPr>
        <w:t>MACHÉRONTE</w:t>
      </w:r>
    </w:p>
    <w:p>
      <w:r/>
      <w:r>
        <w:t>Nom d'une forteresse imposante où Jean le Baptiste a été emprisonné. Selon l'historien juif Flavius Josèphe, c'est là qu'Hérode Antipas a ordonné l'exécution de Jean (</w:t>
      </w:r>
      <w:r>
        <w:rPr>
          <w:i/>
        </w:rPr>
        <w:t>Antiquités</w:t>
      </w:r>
      <w:r>
        <w:t xml:space="preserve"> 18.5.2).</w:t>
      </w:r>
    </w:p>
    <w:p>
      <w:r/>
      <w:r>
        <w:t xml:space="preserve">Bien que le nom Machaérus ne soit pas mentionné dans la Bible et dans les textes religieux juifs écrits entre l'AT et le NT, c'était l'une des forteresses les plus puissantes de l'ancienne Palestine. Elle a été construite par Alexandre Jannée, le roi hasmonéen (Josèphe, </w:t>
      </w:r>
      <w:r>
        <w:rPr>
          <w:i/>
        </w:rPr>
        <w:t>Guerre</w:t>
      </w:r>
      <w:r>
        <w:t xml:space="preserve"> 7.6.1–4). Pendant les guerres de Pompée, le général romain Gabinius l'a détruite (</w:t>
      </w:r>
      <w:r>
        <w:rPr>
          <w:i/>
        </w:rPr>
        <w:t>Guerre</w:t>
      </w:r>
      <w:r>
        <w:t xml:space="preserve"> 1.8.5). Plus tard, elle est reconstruite et agrandie par Hérode le Grand, qui ajoute un grand palais à l'intérieur de ses murs.</w:t>
      </w:r>
    </w:p>
    <w:p>
      <w:r/>
      <w:r>
        <w:t>La forteresse se dressait sur une haute falaise surplombant la mer Morte. Elle était située à l'est de la mer Morte, dans la partie sud de la Pérée. Aujourd'hui, cet endroit est appelé Mukawir.</w:t>
      </w:r>
    </w:p>
    <w:p>
      <w:r/>
      <w:r>
        <w:t>Cette forteresse a aussi été le site d'un événement politique important. Hérode Antipas allait divorcer de sa première épouse, originaire d'Arabie, pour pouvoir épouser Hérodiade. Sa première épouse s'est alors enfuie de Machaérus vers son père, le roi Arétas IV d'Arabie. Selon Josèphe, cet incident a déclenché une guerre entre Hérode et le roi Arétas (</w:t>
      </w:r>
      <w:r>
        <w:rPr>
          <w:i/>
        </w:rPr>
        <w:t>Antiquités</w:t>
      </w:r>
      <w:r>
        <w:t xml:space="preserve"> 18.5.1 de Josèphe). Hérode a perdu cette guerre.</w:t>
      </w:r>
    </w:p>
    <w:p>
      <w:r/>
      <w:r>
        <w:t>Pendant que Jean est en prison à Machaérus, il est autorisé à recevoir des visiteurs. C'est ainsi qu'il envoie de ses disciples à Jésus pour lui demander s'il est bien le Christ attendu (</w:t>
      </w:r>
      <w:hyperlink r:id="rId9352">
        <w:r>
          <w:rPr>
            <w:color w:val="0000EE"/>
            <w:u w:val="single"/>
          </w:rPr>
          <w:t>Mt 11.2–3</w:t>
        </w:r>
      </w:hyperlink>
      <w:r>
        <w:t xml:space="preserve"> ; </w:t>
      </w:r>
      <w:hyperlink r:id="rId9353">
        <w:r>
          <w:rPr>
            <w:color w:val="0000EE"/>
            <w:u w:val="single"/>
          </w:rPr>
          <w:t>Lc 7.18–20</w:t>
        </w:r>
      </w:hyperlink>
      <w:r>
        <w:t>).</w:t>
      </w:r>
    </w:p>
    <w:p>
      <w:r/>
      <w:hyperlink r:id="rId9354">
        <w:r>
          <w:rPr>
            <w:color w:val="0000EE"/>
            <w:u w:val="single"/>
          </w:rPr>
          <w:t>Matthieu 14.1–12</w:t>
        </w:r>
      </w:hyperlink>
      <w:r>
        <w:t xml:space="preserve"> et </w:t>
      </w:r>
      <w:hyperlink r:id="rId6424">
        <w:r>
          <w:rPr>
            <w:color w:val="0000EE"/>
            <w:u w:val="single"/>
          </w:rPr>
          <w:t>Marc 6.17–29</w:t>
        </w:r>
      </w:hyperlink>
      <w:r>
        <w:t xml:space="preserve"> racontent comment Hérode réagit en entendant parler de Jésus et de ses miracles, pensant que Jésus devait être Jean-Baptiste revenu à la vie.</w:t>
      </w:r>
      <w:r/>
      <w:r/>
    </w:p>
    <w:p>
      <w:r/>
    </w:p>
    <w:p>
      <w:pPr>
        <w:pStyle w:val="Heading2"/>
      </w:pPr>
      <w:r>
        <w:t>Macpéla</w:t>
      </w:r>
      <w:r/>
    </w:p>
    <w:p>
      <w:r/>
      <w:r>
        <w:t>Petit champ d'arbres et une grotte avec deux chambres près de Mamré dans le district d'Hébron, acheté par Abraham comme lieu de sépulture pour Sara. C'est Éphron, un Hétien, qui l'a vendu pour un prix de 400 sicles d'argent (</w:t>
      </w:r>
      <w:hyperlink r:id="rId9355">
        <w:r>
          <w:rPr>
            <w:color w:val="0000EE"/>
            <w:u w:val="single"/>
          </w:rPr>
          <w:t>Gn 23.8–19</w:t>
        </w:r>
      </w:hyperlink>
      <w:r>
        <w:t>). Plus tard, Abraham (</w:t>
      </w:r>
      <w:hyperlink r:id="rId4845">
        <w:r>
          <w:rPr>
            <w:color w:val="0000EE"/>
            <w:u w:val="single"/>
          </w:rPr>
          <w:t>25.9</w:t>
        </w:r>
      </w:hyperlink>
      <w:r>
        <w:t>), Isaac et Rebecca (</w:t>
      </w:r>
      <w:hyperlink r:id="rId9356">
        <w:r>
          <w:rPr>
            <w:color w:val="0000EE"/>
            <w:u w:val="single"/>
          </w:rPr>
          <w:t>49.30–31</w:t>
        </w:r>
      </w:hyperlink>
      <w:r>
        <w:t>), ainsi que Jacob (</w:t>
      </w:r>
      <w:hyperlink r:id="rId4846">
        <w:r>
          <w:rPr>
            <w:color w:val="0000EE"/>
            <w:u w:val="single"/>
          </w:rPr>
          <w:t>50.13</w:t>
        </w:r>
      </w:hyperlink>
      <w:r>
        <w:t>) y seront enterrés.</w:t>
      </w:r>
    </w:p>
    <w:p>
      <w:r/>
      <w:r>
        <w:t xml:space="preserve">Les détails de l'achat de Macpéla par Abraham, comparés aux lois hétiennes, soutiennent la fiabilité de l'histoire dans </w:t>
      </w:r>
      <w:hyperlink r:id="rId103">
        <w:r>
          <w:rPr>
            <w:color w:val="0000EE"/>
            <w:u w:val="single"/>
          </w:rPr>
          <w:t>Genèse 23</w:t>
        </w:r>
      </w:hyperlink>
      <w:r>
        <w:t>. L'attention est portée sur le nombre d'arbres, la pesée de l'argent selon l'évaluation actuelle de l'acheteur et du vendeur, et les témoins à la porte de la ville où la transaction a été officiellement annoncée. Tous ces détails sont conformes aux lois hétiennes, qui auraient été oubliées après l'époque des patriarches. La monnaie n'était pas un moyen d'échange avant 700 av. J.‑C. Comme il est impliqué que le sicle était un poids et non une pièce à l'époque d'Abraham, cela indique également une date ancienne pour l'histoire de cette acquisition.</w:t>
      </w:r>
      <w:r/>
      <w:r/>
    </w:p>
    <w:p>
      <w:r/>
    </w:p>
    <w:p>
      <w:pPr>
        <w:pStyle w:val="Heading2"/>
      </w:pPr>
      <w:r>
        <w:t>Madaï</w:t>
      </w:r>
      <w:r/>
    </w:p>
    <w:p>
      <w:r/>
      <w:r>
        <w:t>Troisième des sept fils de Japhet (</w:t>
      </w:r>
      <w:hyperlink r:id="rId6069">
        <w:r>
          <w:rPr>
            <w:color w:val="0000EE"/>
            <w:u w:val="single"/>
          </w:rPr>
          <w:t>Gn 10.2</w:t>
        </w:r>
      </w:hyperlink>
      <w:r>
        <w:t xml:space="preserve"> ; </w:t>
      </w:r>
      <w:hyperlink r:id="rId6070">
        <w:r>
          <w:rPr>
            <w:color w:val="0000EE"/>
            <w:u w:val="single"/>
          </w:rPr>
          <w:t>1Ch 1.5</w:t>
        </w:r>
      </w:hyperlink>
      <w:r>
        <w:t>).</w:t>
      </w:r>
      <w:r/>
      <w:r/>
    </w:p>
    <w:p>
      <w:r/>
    </w:p>
    <w:p>
      <w:pPr>
        <w:pStyle w:val="Heading2"/>
      </w:pPr>
      <w:r>
        <w:t>Madian, Madianite</w:t>
      </w:r>
      <w:r/>
    </w:p>
    <w:p>
      <w:r/>
      <w:r>
        <w:t>Une personne, un lieu ou un peuple. Le peuple madianite vivait à l'extrémité est de Galaad, de Moab et d'Édom, vers le sud jusqu'au nord-ouest de l'Arabie. Ils avaient peu, voire aucun, établissement permanent.</w:t>
      </w:r>
    </w:p>
    <w:p>
      <w:r/>
      <w:r>
        <w:t>Madian et ses descendants jouent un rôle important dans l'histoire ancienne d'Israël. Ils sont mentionnés en lien avec :</w:t>
      </w:r>
    </w:p>
    <w:p>
      <w:pPr>
        <w:pStyle w:val="ListBullet"/>
        <w:spacing w:line="240" w:lineRule="auto"/>
        <w:ind w:left="720"/>
      </w:pPr>
      <w:r/>
      <w:r>
        <w:t>Abraham (</w:t>
      </w:r>
      <w:hyperlink r:id="rId9357">
        <w:r>
          <w:rPr>
            <w:color w:val="0000EE"/>
            <w:u w:val="single"/>
          </w:rPr>
          <w:t>Gn 25.1–6</w:t>
        </w:r>
      </w:hyperlink>
      <w:r>
        <w:t>),</w:t>
      </w:r>
    </w:p>
    <w:p>
      <w:pPr>
        <w:pStyle w:val="ListBullet"/>
        <w:spacing w:line="240" w:lineRule="auto"/>
        <w:ind w:left="720"/>
      </w:pPr>
      <w:r/>
      <w:r>
        <w:t>Joseph (</w:t>
      </w:r>
      <w:hyperlink r:id="rId1091">
        <w:r>
          <w:rPr>
            <w:color w:val="0000EE"/>
            <w:u w:val="single"/>
          </w:rPr>
          <w:t>Gn 37.25–36</w:t>
        </w:r>
      </w:hyperlink>
      <w:r>
        <w:t>),</w:t>
      </w:r>
    </w:p>
    <w:p>
      <w:pPr>
        <w:pStyle w:val="ListBullet"/>
        <w:spacing w:line="240" w:lineRule="auto"/>
        <w:ind w:left="720"/>
      </w:pPr>
      <w:r/>
      <w:r>
        <w:t>Moïse (</w:t>
      </w:r>
      <w:hyperlink r:id="rId9358">
        <w:r>
          <w:rPr>
            <w:color w:val="0000EE"/>
            <w:u w:val="single"/>
          </w:rPr>
          <w:t>Ex 2.15–3.1</w:t>
        </w:r>
      </w:hyperlink>
      <w:r>
        <w:t>),</w:t>
      </w:r>
    </w:p>
    <w:p>
      <w:pPr>
        <w:pStyle w:val="ListBullet"/>
        <w:spacing w:line="240" w:lineRule="auto"/>
        <w:ind w:left="720"/>
      </w:pPr>
      <w:r/>
      <w:r>
        <w:t>Balaam (</w:t>
      </w:r>
      <w:hyperlink r:id="rId9359">
        <w:r>
          <w:rPr>
            <w:color w:val="0000EE"/>
            <w:u w:val="single"/>
          </w:rPr>
          <w:t>Nombres 22.1–6</w:t>
        </w:r>
      </w:hyperlink>
      <w:r>
        <w:t xml:space="preserve"> ; </w:t>
      </w:r>
      <w:hyperlink r:id="rId1593">
        <w:r>
          <w:rPr>
            <w:color w:val="0000EE"/>
            <w:u w:val="single"/>
          </w:rPr>
          <w:t>25</w:t>
        </w:r>
      </w:hyperlink>
      <w:r>
        <w:t xml:space="preserve"> ; </w:t>
      </w:r>
      <w:hyperlink r:id="rId9360">
        <w:r>
          <w:rPr>
            <w:color w:val="0000EE"/>
            <w:u w:val="single"/>
          </w:rPr>
          <w:t>31.1–20</w:t>
        </w:r>
      </w:hyperlink>
      <w:r>
        <w:t>), et</w:t>
      </w:r>
    </w:p>
    <w:p>
      <w:pPr>
        <w:pStyle w:val="ListBullet"/>
        <w:spacing w:line="240" w:lineRule="auto"/>
        <w:ind w:left="720"/>
      </w:pPr>
      <w:r/>
      <w:r>
        <w:t>Gédéon (</w:t>
      </w:r>
      <w:hyperlink r:id="rId9361">
        <w:r>
          <w:rPr>
            <w:color w:val="0000EE"/>
            <w:u w:val="single"/>
          </w:rPr>
          <w:t>Jg 6.1–8.28</w:t>
        </w:r>
      </w:hyperlink>
      <w:r>
        <w:t>).</w:t>
      </w:r>
    </w:p>
    <w:p>
      <w:pPr>
        <w:pStyle w:val="Heading3"/>
      </w:pPr>
      <w:r>
        <w:t>Qui était Madian ?</w:t>
      </w:r>
    </w:p>
    <w:p>
      <w:r/>
      <w:r>
        <w:t>Madian était le demi-frère cadet d'Isaac. Il était le quatrième des six fils nés de Ketura, qu'Abraham a épousée dans son âge avancé (</w:t>
      </w:r>
      <w:hyperlink r:id="rId2001">
        <w:r>
          <w:rPr>
            <w:color w:val="0000EE"/>
            <w:u w:val="single"/>
          </w:rPr>
          <w:t>Gn 25.1–2</w:t>
        </w:r>
      </w:hyperlink>
      <w:r>
        <w:t xml:space="preserve"> ; voir </w:t>
      </w:r>
      <w:hyperlink r:id="rId9362">
        <w:r>
          <w:rPr>
            <w:color w:val="0000EE"/>
            <w:u w:val="single"/>
          </w:rPr>
          <w:t>23.1–2</w:t>
        </w:r>
      </w:hyperlink>
      <w:r>
        <w:t xml:space="preserve"> ; </w:t>
      </w:r>
      <w:hyperlink r:id="rId9363">
        <w:r>
          <w:rPr>
            <w:color w:val="0000EE"/>
            <w:u w:val="single"/>
          </w:rPr>
          <w:t>24.67</w:t>
        </w:r>
      </w:hyperlink>
      <w:r>
        <w:t xml:space="preserve"> ; </w:t>
      </w:r>
      <w:hyperlink r:id="rId3038">
        <w:r>
          <w:rPr>
            <w:color w:val="0000EE"/>
            <w:u w:val="single"/>
          </w:rPr>
          <w:t>1Ch 1.32</w:t>
        </w:r>
      </w:hyperlink>
      <w:r>
        <w:t>). La Bible appelle Madian et ses frères de sang « les fils de Ketura » (</w:t>
      </w:r>
      <w:hyperlink r:id="rId4622">
        <w:r>
          <w:rPr>
            <w:color w:val="0000EE"/>
            <w:u w:val="single"/>
          </w:rPr>
          <w:t>Gn 25.4</w:t>
        </w:r>
      </w:hyperlink>
      <w:r>
        <w:t xml:space="preserve"> ; </w:t>
      </w:r>
      <w:hyperlink r:id="rId9364">
        <w:r>
          <w:rPr>
            <w:color w:val="0000EE"/>
            <w:u w:val="single"/>
          </w:rPr>
          <w:t>1Ch 1.32–33</w:t>
        </w:r>
      </w:hyperlink>
      <w:r>
        <w:t>). Cela les distingue d'Isaac, le fils de Sara, par lequel la promesse de Dieu à Abraham devait être accomplie (</w:t>
      </w:r>
      <w:hyperlink r:id="rId86">
        <w:r>
          <w:rPr>
            <w:color w:val="0000EE"/>
            <w:u w:val="single"/>
          </w:rPr>
          <w:t>Gn 12.1–3</w:t>
        </w:r>
      </w:hyperlink>
      <w:r>
        <w:t xml:space="preserve"> ; </w:t>
      </w:r>
      <w:hyperlink r:id="rId9365">
        <w:r>
          <w:rPr>
            <w:color w:val="0000EE"/>
            <w:u w:val="single"/>
          </w:rPr>
          <w:t>17.15–21</w:t>
        </w:r>
      </w:hyperlink>
      <w:r>
        <w:t>). Abraham et les Israélites considéraient ces autres fils comme n'ayant pas plus de droits d'héritage que les fils d'une concubine (</w:t>
      </w:r>
      <w:hyperlink r:id="rId3037">
        <w:r>
          <w:rPr>
            <w:color w:val="0000EE"/>
            <w:u w:val="single"/>
          </w:rPr>
          <w:t>Gn 25.5–6</w:t>
        </w:r>
      </w:hyperlink>
      <w:r>
        <w:t xml:space="preserve"> ; </w:t>
      </w:r>
      <w:hyperlink r:id="rId7253">
        <w:r>
          <w:rPr>
            <w:color w:val="0000EE"/>
            <w:u w:val="single"/>
          </w:rPr>
          <w:t>1Ch 1.31</w:t>
        </w:r>
      </w:hyperlink>
      <w:r>
        <w:t>).</w:t>
      </w:r>
    </w:p>
    <w:p>
      <w:r/>
      <w:r>
        <w:t>Ces fils ont été éloignés de la famille d'Abraham pour le bien d'Isaac. Ils sont devenus des peuples semi-nomades (des personnes qui se déplaçaient d'un endroit à l'autre) vivant dans les déserts à l'est et au sud de la Palestine (</w:t>
      </w:r>
      <w:hyperlink r:id="rId3037">
        <w:r>
          <w:rPr>
            <w:color w:val="0000EE"/>
            <w:u w:val="single"/>
          </w:rPr>
          <w:t>Gn 25.5–6</w:t>
        </w:r>
      </w:hyperlink>
      <w:r>
        <w:t>).</w:t>
      </w:r>
    </w:p>
    <w:p>
      <w:pPr>
        <w:pStyle w:val="Heading3"/>
      </w:pPr>
      <w:r>
        <w:t>Le Pays de Madian</w:t>
      </w:r>
    </w:p>
    <w:p>
      <w:r/>
      <w:r>
        <w:t>L'emplacement exact de Madian est incertain. Il se trouvait probablement au sud d'Édom, du côté est du golfe d'Aqaba. Ptolémée, un géographe d'Alexandrie qui a vécu au 2e siècle apr. J.‑C., mentionne une ville nommée Modiana sur la côte. Il mentionne également une Madiana à 40 km à l'intérieur des terres (l'actuelle el-Bed') dans cette région. Cet emplacement est soutenu par Josèphe (un historien juif du 1er siècle apr. J.‑C.) et Eusèbe (un historien de l'Église chrétienne du début du 4e siècle).</w:t>
      </w:r>
    </w:p>
    <w:p>
      <w:r/>
      <w:r>
        <w:t>Au début des temps de l'Ancien Testament, Madian faisait probablement référence à la région bordant Galaad, Moab et Édom, s'étendant jusqu'à l'est du Sinaï.</w:t>
      </w:r>
    </w:p>
    <w:p>
      <w:r/>
      <w:r>
        <w:t>À l'époque de Joseph, certains clans madianites vivaient dans le désert du nord de la Transjordanie près de Galaad ou Basan. Cela s'explique par le fait qu'ils faisaient partie d'une caravane ismaélite voyageant sur la route commerciale de Damas à travers Galaad, passant par Dothan jusqu'en Égypte (</w:t>
      </w:r>
      <w:hyperlink r:id="rId9366">
        <w:r>
          <w:rPr>
            <w:color w:val="0000EE"/>
            <w:u w:val="single"/>
          </w:rPr>
          <w:t>Gn 37.17, 25–28, 36</w:t>
        </w:r>
      </w:hyperlink>
      <w:r>
        <w:t>).</w:t>
      </w:r>
    </w:p>
    <w:p>
      <w:r/>
      <w:r>
        <w:t>Après la fuite de Moïse devant Pharaon, il s'installera à Madian. Il y a épousé Séphora, la fille d'un prêtre madianite (</w:t>
      </w:r>
      <w:hyperlink r:id="rId9367">
        <w:r>
          <w:rPr>
            <w:color w:val="0000EE"/>
            <w:u w:val="single"/>
          </w:rPr>
          <w:t>Ex 2.15–22</w:t>
        </w:r>
      </w:hyperlink>
      <w:r>
        <w:t>). Plus tard, Moïse demandera à son parent madianite Hobab de guider les Israélites à travers le désert (</w:t>
      </w:r>
      <w:hyperlink r:id="rId9368">
        <w:r>
          <w:rPr>
            <w:color w:val="0000EE"/>
            <w:u w:val="single"/>
          </w:rPr>
          <w:t>Dt 1.19</w:t>
        </w:r>
      </w:hyperlink>
      <w:r>
        <w:t>). Hobab connaissait bien la région, même s'il vivait ailleurs (</w:t>
      </w:r>
      <w:hyperlink r:id="rId9369">
        <w:r>
          <w:rPr>
            <w:color w:val="0000EE"/>
            <w:u w:val="single"/>
          </w:rPr>
          <w:t>Nb 10.11–12, 29–31</w:t>
        </w:r>
      </w:hyperlink>
      <w:r>
        <w:t>).</w:t>
      </w:r>
    </w:p>
    <w:p>
      <w:r/>
      <w:r>
        <w:t>Dans l'histoire de Balaam, un grand groupe de Madianites semble avoir vécu à la frontière orientale de Moab (</w:t>
      </w:r>
      <w:hyperlink r:id="rId1590">
        <w:r>
          <w:rPr>
            <w:color w:val="0000EE"/>
            <w:u w:val="single"/>
          </w:rPr>
          <w:t>Nb 22.31</w:t>
        </w:r>
      </w:hyperlink>
      <w:r>
        <w:t>). Le roi moabite Balak était sous la domination du roi amoréen nommé Sihon (</w:t>
      </w:r>
      <w:hyperlink r:id="rId9370">
        <w:r>
          <w:rPr>
            <w:color w:val="0000EE"/>
            <w:u w:val="single"/>
          </w:rPr>
          <w:t>Nb 21.26–30</w:t>
        </w:r>
      </w:hyperlink>
      <w:r>
        <w:t xml:space="preserve"> ; </w:t>
      </w:r>
      <w:hyperlink r:id="rId9371">
        <w:r>
          <w:rPr>
            <w:color w:val="0000EE"/>
            <w:u w:val="single"/>
          </w:rPr>
          <w:t>Jé 48.45</w:t>
        </w:r>
      </w:hyperlink>
      <w:r>
        <w:t>). Il discutera de la menace israélite avec les anciens de Madian. Ils ont envoyé des représentants à Balaam (</w:t>
      </w:r>
      <w:hyperlink r:id="rId9372">
        <w:r>
          <w:rPr>
            <w:color w:val="0000EE"/>
            <w:u w:val="single"/>
          </w:rPr>
          <w:t>Nb 22.2–7</w:t>
        </w:r>
      </w:hyperlink>
      <w:r>
        <w:t>).</w:t>
      </w:r>
    </w:p>
    <w:p>
      <w:r/>
      <w:r>
        <w:t>À Sittim, dans les plaines de Moab, un Israélite rencontrera et épousera une princesse madianite (</w:t>
      </w:r>
      <w:hyperlink r:id="rId7151">
        <w:r>
          <w:rPr>
            <w:color w:val="0000EE"/>
            <w:u w:val="single"/>
          </w:rPr>
          <w:t>Nb 22.1</w:t>
        </w:r>
      </w:hyperlink>
      <w:r>
        <w:t xml:space="preserve"> ; </w:t>
      </w:r>
      <w:hyperlink r:id="rId9373">
        <w:r>
          <w:rPr>
            <w:color w:val="0000EE"/>
            <w:u w:val="single"/>
          </w:rPr>
          <w:t>25.1</w:t>
        </w:r>
      </w:hyperlink>
      <w:r>
        <w:t xml:space="preserve"> ; </w:t>
      </w:r>
      <w:hyperlink r:id="rId1263">
        <w:r>
          <w:rPr>
            <w:color w:val="0000EE"/>
            <w:u w:val="single"/>
          </w:rPr>
          <w:t>6–18</w:t>
        </w:r>
      </w:hyperlink>
      <w:r>
        <w:t xml:space="preserve"> ; </w:t>
      </w:r>
      <w:hyperlink r:id="rId1595">
        <w:r>
          <w:rPr>
            <w:color w:val="0000EE"/>
            <w:u w:val="single"/>
          </w:rPr>
          <w:t>31.8</w:t>
        </w:r>
      </w:hyperlink>
      <w:r>
        <w:t>). Les rois madianites n'étaient pas des souverains indépendants, mais étaient contrôlés par le roi Sihon (</w:t>
      </w:r>
      <w:hyperlink r:id="rId9374">
        <w:r>
          <w:rPr>
            <w:color w:val="0000EE"/>
            <w:u w:val="single"/>
          </w:rPr>
          <w:t>Jos 13.21</w:t>
        </w:r>
      </w:hyperlink>
      <w:r>
        <w:t>). Toutes les preuves suggèrent que les clans madianites vivaient à proximité, aux frontières de Moab. Puisque Moab se trouve au nord d'Édom, la mention d'une victoire édomite sur Madian pourrait indiquer que les Madianites s'étaient déplacés vers le nord, dans le territoire édomite (</w:t>
      </w:r>
      <w:hyperlink r:id="rId1519">
        <w:r>
          <w:rPr>
            <w:color w:val="0000EE"/>
            <w:u w:val="single"/>
          </w:rPr>
          <w:t>Gn 36.35</w:t>
        </w:r>
      </w:hyperlink>
      <w:r>
        <w:t>).</w:t>
      </w:r>
    </w:p>
    <w:p>
      <w:r/>
      <w:r>
        <w:t>L'invasion des Madianites que Gédéon a repoussée venait de l'orient. Cela suggère que « le territoire de Madian » pourrait se référer à une zone au sud d'Édom. Cependant, les Madianites vivaient dans une région beaucoup plus vaste. Cela incluait les déserts à l'est de Moab et d'Édom, et s'étendait au sud-est du Sinaï et au nord-ouest de l'Arabie.</w:t>
      </w:r>
      <w:r/>
      <w:r/>
    </w:p>
    <w:p>
      <w:r/>
    </w:p>
    <w:p>
      <w:pPr>
        <w:pStyle w:val="Heading2"/>
      </w:pPr>
      <w:r>
        <w:t>Magdiel</w:t>
      </w:r>
      <w:r/>
    </w:p>
    <w:p>
      <w:r/>
      <w:r>
        <w:t>Un des chefs d'Édom (</w:t>
      </w:r>
      <w:hyperlink r:id="rId6819">
        <w:r>
          <w:rPr>
            <w:color w:val="0000EE"/>
            <w:u w:val="single"/>
          </w:rPr>
          <w:t>Gn 36.43</w:t>
        </w:r>
      </w:hyperlink>
      <w:r>
        <w:t xml:space="preserve"> ; </w:t>
      </w:r>
      <w:hyperlink r:id="rId6820">
        <w:r>
          <w:rPr>
            <w:color w:val="0000EE"/>
            <w:u w:val="single"/>
          </w:rPr>
          <w:t>1Ch 1.54</w:t>
        </w:r>
      </w:hyperlink>
      <w:r>
        <w:t>).</w:t>
      </w:r>
      <w:r/>
      <w:r/>
    </w:p>
    <w:p>
      <w:r/>
    </w:p>
    <w:p>
      <w:pPr>
        <w:pStyle w:val="Heading2"/>
      </w:pPr>
      <w:r>
        <w:t>Magie</w:t>
      </w:r>
      <w:r/>
    </w:p>
    <w:p>
      <w:r/>
      <w:r>
        <w:t>La magie est une tentative d'influencer ou de contrôler des personnes ou des événements par des forces surnaturelles. Les gens essaient d'utiliser ces forces en effectuant des cérémonies, en prononçant des mots spéciaux (sorts), en utilisant des charmes et en réalisant des rituels.</w:t>
      </w:r>
    </w:p>
    <w:p>
      <w:r/>
      <w:r>
        <w:t xml:space="preserve">Plusieurs termes dans la Bible pourraient être considérés comme des formes de magie. Plusieurs de ces termes sont mentionnés dans </w:t>
      </w:r>
      <w:hyperlink r:id="rId9375">
        <w:r>
          <w:rPr>
            <w:color w:val="0000EE"/>
            <w:u w:val="single"/>
          </w:rPr>
          <w:t>Deutéronome 18.9–14</w:t>
        </w:r>
      </w:hyperlink>
      <w:r>
        <w:t>. Dieu n'autorise pas le peuple d'Israël à pratiquer la magie ou les activités occultes. Le peuple de Dieu doit éviter les pratiques magiques parce que Dieu communique directement avec eux par l'intermédiaire de ses prophètes. Les pratiques magiques humaines peuvent créer de faux espoirs ou de fausses peurs et éloigner les gens de la vérité de Dieu. Bien que les pratiques magiques ne puissent égaler la précision des prophètes de Dieu, la Bible suggère qu'il pourrait y avoir une certaine réalité surnaturelle derrière certaines pratiques magiques.</w:t>
      </w:r>
    </w:p>
    <w:p>
      <w:pPr>
        <w:pStyle w:val="Heading3"/>
      </w:pPr>
      <w:r>
        <w:t>La Magie dans l'Ancien Testament</w:t>
      </w:r>
    </w:p>
    <w:p>
      <w:r/>
      <w:r>
        <w:t>Les magiciens apparaissent dans le livre de l'Exode, dans l'Ancien Testament, lorsque les magiciens d'Égypte rivalisent avec Moïse. La Bible ne rejette pas le succès initial des magiciens comme de simples tours, car ils connaissent un certain succès au début (</w:t>
      </w:r>
      <w:hyperlink r:id="rId9376">
        <w:r>
          <w:rPr>
            <w:color w:val="0000EE"/>
            <w:u w:val="single"/>
          </w:rPr>
          <w:t>Ex 7–8</w:t>
        </w:r>
      </w:hyperlink>
      <w:r>
        <w:t xml:space="preserve">). Mais leurs échecs commencent à devenir évidents dans </w:t>
      </w:r>
      <w:hyperlink r:id="rId9377">
        <w:r>
          <w:rPr>
            <w:color w:val="0000EE"/>
            <w:u w:val="single"/>
          </w:rPr>
          <w:t>Ex 8–</w:t>
        </w:r>
      </w:hyperlink>
      <w:hyperlink r:id="rId9378">
        <w:r>
          <w:rPr>
            <w:color w:val="0000EE"/>
            <w:u w:val="single"/>
          </w:rPr>
          <w:t>9</w:t>
        </w:r>
      </w:hyperlink>
      <w:r>
        <w:t>. La Bible ne nie pas complètement que le pouvoir surnaturel maléfique puisse agir à travers un magicien. Ce que la Bible clarifie plutôt est que ce pouvoir n'est pas en accord avec la volonté de Dieu et ne peut pas la vaincre.</w:t>
      </w:r>
    </w:p>
    <w:p>
      <w:pPr>
        <w:pStyle w:val="Heading3"/>
      </w:pPr>
      <w:r>
        <w:t>La Magie dans le Nouveau Testament</w:t>
      </w:r>
    </w:p>
    <w:p>
      <w:r/>
      <w:r>
        <w:t>Dans le Nouveau Testament, la magie est abordée dans le livre des Actes. Lorsque Philippe est allé en Samarie, il a rencontré Simon le magicien. Simon avait attiré beaucoup d'attention en étonnant les gens avec sa magie (</w:t>
      </w:r>
      <w:hyperlink r:id="rId9379">
        <w:r>
          <w:rPr>
            <w:color w:val="0000EE"/>
            <w:u w:val="single"/>
          </w:rPr>
          <w:t>Ac 8.11</w:t>
        </w:r>
      </w:hyperlink>
      <w:r>
        <w:t>). Après avoir entendu le message de Philippe, beaucoup ont cru en Dieu et ont commencé à le suivre. Simon a vu les choses merveilleuses que Philippe pouvait faire et a pensé que ces pouvoirs venaient du rituel de l'imposition des mains. Philippe a expliqué que ces merveilles ne pouvaient pas être achetées mais venaient comme un don gracieux de Dieu à ceux qui se repentent de leurs péchés.</w:t>
      </w:r>
    </w:p>
    <w:p>
      <w:r/>
      <w:r>
        <w:t xml:space="preserve">Un autre passage important est </w:t>
      </w:r>
      <w:hyperlink r:id="rId9380">
        <w:r>
          <w:rPr>
            <w:color w:val="0000EE"/>
            <w:u w:val="single"/>
          </w:rPr>
          <w:t>Actes 19.11–20</w:t>
        </w:r>
      </w:hyperlink>
      <w:r>
        <w:t>. Ici, certains exorcistes juifs ont essayé d'utiliser le nom de Jésus dans leur travail. Cependant, l'homme possédé par l'esprit mauvais les a attaqués. Il les a maîtrisés et ils ont fui cette maison nus et blessés. Cela montre que le pouvoir derrière les miracles des apôtres reposait sur leur relation personnelle avec Jésus-Christ. Après cet incident, les habitants d'Éphèse ont dû choisir entre la parole du Seigneur et leurs pratiques magiques. Certains ont rassemblé leurs livres et les ont brûlés devant tout le monde. Cette démonstration de la puissance de Dieu et le besoin de loyauté envers lui ont contribué à répandre davantage la Bonne Nouvelle de Jésus.</w:t>
      </w:r>
    </w:p>
    <w:p>
      <w:r/>
      <w:r>
        <w:t>La position de la Bible contre la magie est fortement exprimée dans le dernier livre de la Bible, le livre de l'Apocalypse. Les sorciers sont consignés au lac de feu (</w:t>
      </w:r>
      <w:hyperlink r:id="rId4662">
        <w:r>
          <w:rPr>
            <w:color w:val="0000EE"/>
            <w:u w:val="single"/>
          </w:rPr>
          <w:t>Ap 21.8</w:t>
        </w:r>
      </w:hyperlink>
      <w:r>
        <w:t>). La Bible s'oppose constamment à la magie. Elle n'exclut pas la possibilité que Satan puisse utiliser la magie à des fins maléfiques. Les pratiques magiques sont condamnées car elles peuvent conduire à de faux espoirs ou de fausses peurs et éloigner les gens de la fidélité à la Parole de Dieu.</w:t>
      </w:r>
    </w:p>
    <w:p>
      <w:r/>
      <w:r>
        <w:rPr>
          <w:i/>
        </w:rPr>
        <w:t>Voir aussi</w:t>
      </w:r>
      <w:r>
        <w:t xml:space="preserve"> </w:t>
      </w:r>
      <w:r>
        <w:t>Amulette</w:t>
      </w:r>
      <w:r>
        <w:t xml:space="preserve"> ; </w:t>
      </w:r>
      <w:r>
        <w:t>Divinités et religion cananéennes</w:t>
      </w:r>
      <w:r>
        <w:t xml:space="preserve"> ; </w:t>
      </w:r>
      <w:r>
        <w:t>Fronton</w:t>
      </w:r>
      <w:r>
        <w:t xml:space="preserve"> ; </w:t>
      </w:r>
      <w:r>
        <w:t>Présage</w:t>
      </w:r>
      <w:r>
        <w:t xml:space="preserve"> ; </w:t>
      </w:r>
      <w:r>
        <w:t>Devin, devineresse</w:t>
      </w:r>
      <w:r>
        <w:t xml:space="preserve"> ; </w:t>
      </w:r>
      <w:r>
        <w:t>Sorcellerie</w:t>
      </w:r>
      <w:r>
        <w:t xml:space="preserve"> ; </w:t>
      </w:r>
      <w:r>
        <w:t>Voyants</w:t>
      </w:r>
      <w:r>
        <w:t>.</w:t>
      </w:r>
      <w:r/>
      <w:r/>
    </w:p>
    <w:p>
      <w:r/>
    </w:p>
    <w:p>
      <w:pPr>
        <w:pStyle w:val="Heading2"/>
      </w:pPr>
      <w:r>
        <w:t>Magistrat</w:t>
      </w:r>
      <w:r/>
    </w:p>
    <w:p>
      <w:r/>
      <w:r>
        <w:t>Titre d'un fonctionnaire public qui agissait en tant que juge et administrateur d'un district donné. Le roi Artaxerxès ordonnera à Esdras de sélectionner des magistrats ainsi que des juges pour gouverner le peuple à leur retour en Palestine (</w:t>
      </w:r>
      <w:hyperlink r:id="rId9381">
        <w:r>
          <w:rPr>
            <w:color w:val="0000EE"/>
            <w:u w:val="single"/>
          </w:rPr>
          <w:t>Esd 7.25</w:t>
        </w:r>
      </w:hyperlink>
      <w:r>
        <w:t>). Cet officier était l'un des fonctionnaires de la cour de Nebucadnetsar invités à la fête de dédicace (</w:t>
      </w:r>
      <w:hyperlink r:id="rId9382">
        <w:r>
          <w:rPr>
            <w:color w:val="0000EE"/>
            <w:u w:val="single"/>
          </w:rPr>
          <w:t>Dn 3.2–3</w:t>
        </w:r>
      </w:hyperlink>
      <w:r>
        <w:t xml:space="preserve">). </w:t>
      </w:r>
      <w:hyperlink r:id="rId9383">
        <w:r>
          <w:rPr>
            <w:color w:val="0000EE"/>
            <w:u w:val="single"/>
          </w:rPr>
          <w:t>Luc 12.58</w:t>
        </w:r>
      </w:hyperlink>
      <w:r>
        <w:t xml:space="preserve"> dépeint le magistrat comme une autorité dirigeante dont le verdict était définitif.</w:t>
      </w:r>
    </w:p>
    <w:p>
      <w:r/>
      <w:r>
        <w:t xml:space="preserve">Pendant l'époque romaine, chaque colonie avait deux magistrats ou « préteurs » (appelés </w:t>
      </w:r>
      <w:r>
        <w:rPr>
          <w:i/>
        </w:rPr>
        <w:t>duumviri</w:t>
      </w:r>
      <w:r>
        <w:t>). Ils jugeaient les crimes contre l'État. Ainsi, Paul et Silas seront amenés devant les magistrats à Philippes. Ils seront accusés de prôner des coutumes inacceptables pour les Romains (</w:t>
      </w:r>
      <w:hyperlink r:id="rId9384">
        <w:r>
          <w:rPr>
            <w:color w:val="0000EE"/>
            <w:u w:val="single"/>
          </w:rPr>
          <w:t>Ac 16.20–38</w:t>
        </w:r>
      </w:hyperlink>
      <w:r>
        <w:t xml:space="preserve">). Devant ce </w:t>
      </w:r>
      <w:r>
        <w:rPr>
          <w:i/>
        </w:rPr>
        <w:t>duumvir</w:t>
      </w:r>
      <w:r>
        <w:t>, ils recevront l'ordre d'être déshabillés, battus et jetés en prison. Le « préteur » (</w:t>
      </w:r>
      <w:r>
        <w:rPr>
          <w:i/>
        </w:rPr>
        <w:t>strategos</w:t>
      </w:r>
      <w:r>
        <w:t xml:space="preserve"> en grec) était un titre spécial pour un </w:t>
      </w:r>
      <w:r>
        <w:rPr>
          <w:i/>
        </w:rPr>
        <w:t>duumvir</w:t>
      </w:r>
      <w:r>
        <w:t xml:space="preserve"> principal.</w:t>
      </w:r>
      <w:r/>
      <w:r/>
    </w:p>
    <w:p>
      <w:r/>
    </w:p>
    <w:p>
      <w:pPr>
        <w:pStyle w:val="Heading2"/>
      </w:pPr>
      <w:r>
        <w:t>Magog</w:t>
      </w:r>
      <w:r/>
    </w:p>
    <w:p>
      <w:r/>
      <w:r>
        <w:t>Terme trouvé à cinq reprises seulement dans la Bible, mais significatif en raison de son utilisation dans les passages prophétiques bien connus d’</w:t>
      </w:r>
      <w:hyperlink r:id="rId9385">
        <w:r>
          <w:rPr>
            <w:color w:val="0000EE"/>
            <w:u w:val="single"/>
          </w:rPr>
          <w:t>Ézéchiel 38–39</w:t>
        </w:r>
      </w:hyperlink>
      <w:r>
        <w:t xml:space="preserve"> et d'</w:t>
      </w:r>
      <w:hyperlink r:id="rId4881">
        <w:r>
          <w:rPr>
            <w:color w:val="0000EE"/>
            <w:u w:val="single"/>
          </w:rPr>
          <w:t>Apocalypse 20</w:t>
        </w:r>
      </w:hyperlink>
      <w:r>
        <w:t xml:space="preserve">. Dans la Table des nations, en </w:t>
      </w:r>
      <w:hyperlink r:id="rId6069">
        <w:r>
          <w:rPr>
            <w:color w:val="0000EE"/>
            <w:u w:val="single"/>
          </w:rPr>
          <w:t>Genèse 10.2</w:t>
        </w:r>
      </w:hyperlink>
      <w:r>
        <w:t xml:space="preserve"> (voir aussi </w:t>
      </w:r>
      <w:hyperlink r:id="rId6070">
        <w:r>
          <w:rPr>
            <w:color w:val="0000EE"/>
            <w:u w:val="single"/>
          </w:rPr>
          <w:t>1Ch 1.5</w:t>
        </w:r>
      </w:hyperlink>
      <w:r>
        <w:t>), Magog est listé parmi les fils de Japhet, identifiant à la fois un individu et la nation qui en est issue. Dans Ézéchiel et l'Apocalypse, Magog en est venu à désigner soit une terre, soit un peuple, ou les deux.</w:t>
      </w:r>
    </w:p>
    <w:p>
      <w:r/>
      <w:r>
        <w:t>Magog n'est pas mentionné dans la littérature contemporaine de l'époque biblique. Par conséquent, une définition doit provenir principalement du témoignage des Écritures, bien que des auteurs d'époques ultérieures aient donné des indices supplémentaires pour l'identification du mot. Magog a d'abord été identifié bibliquement comme un fils de Japhet (</w:t>
      </w:r>
      <w:hyperlink r:id="rId6069">
        <w:r>
          <w:rPr>
            <w:color w:val="0000EE"/>
            <w:u w:val="single"/>
          </w:rPr>
          <w:t>Gn 10.2</w:t>
        </w:r>
      </w:hyperlink>
      <w:r>
        <w:t xml:space="preserve"> ; </w:t>
      </w:r>
      <w:hyperlink r:id="rId6070">
        <w:r>
          <w:rPr>
            <w:color w:val="0000EE"/>
            <w:u w:val="single"/>
          </w:rPr>
          <w:t>1Ch 1.5</w:t>
        </w:r>
      </w:hyperlink>
      <w:r>
        <w:t xml:space="preserve">), avec Tubal et Méschec (voir </w:t>
      </w:r>
      <w:hyperlink r:id="rId9386">
        <w:r>
          <w:rPr>
            <w:color w:val="0000EE"/>
            <w:u w:val="single"/>
          </w:rPr>
          <w:t>Ez 38.2</w:t>
        </w:r>
      </w:hyperlink>
      <w:r>
        <w:t xml:space="preserve">). </w:t>
      </w:r>
      <w:hyperlink r:id="rId9386">
        <w:r>
          <w:rPr>
            <w:color w:val="0000EE"/>
            <w:u w:val="single"/>
          </w:rPr>
          <w:t>Ézéchiel 38.2</w:t>
        </w:r>
      </w:hyperlink>
      <w:r>
        <w:t xml:space="preserve"> associe Magog à la personne de Gog, indiquant que Magog était le pays (avec Tubal et Méschec) sur lequel régnait Gog. </w:t>
      </w:r>
      <w:hyperlink r:id="rId9387">
        <w:r>
          <w:rPr>
            <w:color w:val="0000EE"/>
            <w:u w:val="single"/>
          </w:rPr>
          <w:t>Ézéchiel 39.6</w:t>
        </w:r>
      </w:hyperlink>
      <w:r>
        <w:t xml:space="preserve"> utilise le terme Magog pour parler des gens du pays de Magog. Ensemble, </w:t>
      </w:r>
      <w:hyperlink r:id="rId9388">
        <w:r>
          <w:rPr>
            <w:color w:val="0000EE"/>
            <w:u w:val="single"/>
          </w:rPr>
          <w:t>Ézéchiel 38</w:t>
        </w:r>
      </w:hyperlink>
      <w:r>
        <w:t xml:space="preserve"> et </w:t>
      </w:r>
      <w:hyperlink r:id="rId9389">
        <w:r>
          <w:rPr>
            <w:color w:val="0000EE"/>
            <w:u w:val="single"/>
          </w:rPr>
          <w:t>39</w:t>
        </w:r>
      </w:hyperlink>
      <w:r>
        <w:t xml:space="preserve"> présentent une invasion d'Israël dans les derniers jours (voir </w:t>
      </w:r>
      <w:hyperlink r:id="rId9390">
        <w:r>
          <w:rPr>
            <w:color w:val="0000EE"/>
            <w:u w:val="single"/>
          </w:rPr>
          <w:t>Ez 38.8–16</w:t>
        </w:r>
      </w:hyperlink>
      <w:r>
        <w:t xml:space="preserve">) par Gog et son peuple du pays de Magog, ainsi que des peuples de tous les coins du monde connu (voir v. </w:t>
      </w:r>
      <w:hyperlink r:id="rId9391">
        <w:r>
          <w:rPr>
            <w:color w:val="0000EE"/>
            <w:u w:val="single"/>
          </w:rPr>
          <w:t>5–6</w:t>
        </w:r>
      </w:hyperlink>
      <w:r>
        <w:t>).</w:t>
      </w:r>
    </w:p>
    <w:p>
      <w:r/>
      <w:hyperlink r:id="rId9392">
        <w:r>
          <w:rPr>
            <w:color w:val="0000EE"/>
            <w:u w:val="single"/>
          </w:rPr>
          <w:t>Apocalypse 20.8</w:t>
        </w:r>
      </w:hyperlink>
      <w:r>
        <w:t xml:space="preserve"> décrit Gog et Magog comme envahissant la terre d'Israël avec une grande compagnie de nations de toutes les parties du monde. Il semble certain qu'Ézéchiel et l'Apocalypse avaient en tête le même événement des derniers jours. </w:t>
      </w:r>
      <w:hyperlink r:id="rId9392">
        <w:r>
          <w:rPr>
            <w:color w:val="0000EE"/>
            <w:u w:val="single"/>
          </w:rPr>
          <w:t>Apocalypse 20.8</w:t>
        </w:r>
      </w:hyperlink>
      <w:r>
        <w:t xml:space="preserve"> peut être compris comme identifiant Gog à Satan et voyant Magog comme des peuples envahisseurs qui viennent avec Satan. Certains considèrent « Gog et Magog » dans </w:t>
      </w:r>
      <w:hyperlink r:id="rId9392">
        <w:r>
          <w:rPr>
            <w:color w:val="0000EE"/>
            <w:u w:val="single"/>
          </w:rPr>
          <w:t>Apocalypse 20.8</w:t>
        </w:r>
      </w:hyperlink>
      <w:r>
        <w:t xml:space="preserve"> comme un symbole d'une grande bataille future à la fin du millenium, similaire à l'invasion dans </w:t>
      </w:r>
      <w:hyperlink r:id="rId9385">
        <w:r>
          <w:rPr>
            <w:color w:val="0000EE"/>
            <w:u w:val="single"/>
          </w:rPr>
          <w:t>Ézéchiel 38–39</w:t>
        </w:r>
      </w:hyperlink>
      <w:r>
        <w:t xml:space="preserve">, mais les termes eux-mêmes ne sont pas spécifiquement identifiés. Certains voient Magog dans </w:t>
      </w:r>
      <w:hyperlink r:id="rId4881">
        <w:r>
          <w:rPr>
            <w:color w:val="0000EE"/>
            <w:u w:val="single"/>
          </w:rPr>
          <w:t>Apocalypse 20</w:t>
        </w:r>
      </w:hyperlink>
      <w:r>
        <w:t xml:space="preserve"> comme une autre personne aux côtés de Gog.</w:t>
      </w:r>
    </w:p>
    <w:p>
      <w:r/>
      <w:r>
        <w:t xml:space="preserve">Les écrits extrabibliques fournissent des indices supplémentaires. Les </w:t>
      </w:r>
      <w:r>
        <w:rPr>
          <w:i/>
        </w:rPr>
        <w:t>Antiquités juives</w:t>
      </w:r>
      <w:r>
        <w:t xml:space="preserve"> de Josèphe (1.6.1) assimile Magog aux Scythes du nord qui vivaient dans la région de l'actuelle Turquie et du sud de la Russie centrale. Jubilés 7.19 et 9.8 se réfèrent à Magog comme les « barbares du nord ». Dans l'Ancien Testament, Magog est associé à Tubal et Méschec, des zones géographiques normalement considérées comme situées dans la région montagneuse entre, et au sud de, la mer Caspienne et la mer Noire.</w:t>
      </w:r>
    </w:p>
    <w:p>
      <w:r/>
      <w:r>
        <w:t>Les données disponibles suggèrent d'identifier Magog dans Ézéchiel et l'Apocalypse avec les hordes barbares du nord (peut-être la région des Scythes) de la région géographique moderne de la Turquie et du sud de la Russie centrale, qui envahiront Israël sous la direction de Gog dans les derniers jours. Cependant, il n'y a aucune justification dans les Écritures ou ailleurs pour conjecturer que ces nations modernes sont l'identification correcte de ces termes.</w:t>
      </w:r>
      <w:r/>
      <w:r/>
    </w:p>
    <w:p>
      <w:r/>
    </w:p>
    <w:p>
      <w:pPr>
        <w:pStyle w:val="Heading2"/>
      </w:pPr>
      <w:r>
        <w:t>Mahalaleel, Maléléel</w:t>
      </w:r>
      <w:r/>
    </w:p>
    <w:p>
      <w:pPr>
        <w:pStyle w:val="ListNumber"/>
        <w:spacing w:line="240" w:lineRule="auto"/>
        <w:ind w:left="720"/>
      </w:pPr>
      <w:r/>
      <w:r>
        <w:t>Fils de Kénan et père de Jéred dans la lignée de Seth (</w:t>
      </w:r>
      <w:hyperlink r:id="rId9393">
        <w:r>
          <w:rPr>
            <w:color w:val="0000EE"/>
            <w:u w:val="single"/>
          </w:rPr>
          <w:t>Gn 5.12–17</w:t>
        </w:r>
      </w:hyperlink>
      <w:r>
        <w:t xml:space="preserve"> ; </w:t>
      </w:r>
      <w:hyperlink r:id="rId7145">
        <w:r>
          <w:rPr>
            <w:color w:val="0000EE"/>
            <w:u w:val="single"/>
          </w:rPr>
          <w:t>1 Chroniques 1.2</w:t>
        </w:r>
      </w:hyperlink>
      <w:r>
        <w:t xml:space="preserve">). Il est également mentionné dans </w:t>
      </w:r>
      <w:hyperlink r:id="rId7146">
        <w:r>
          <w:rPr>
            <w:color w:val="0000EE"/>
            <w:u w:val="single"/>
          </w:rPr>
          <w:t>Luc 3.37</w:t>
        </w:r>
      </w:hyperlink>
      <w:r>
        <w:t>.</w:t>
      </w:r>
    </w:p>
    <w:p>
      <w:r/>
      <w:r>
        <w:rPr>
          <w:i/>
        </w:rPr>
        <w:t>Voir</w:t>
      </w:r>
      <w:r>
        <w:t xml:space="preserve"> </w:t>
      </w:r>
      <w:r>
        <w:t>Généalogie de Jésus-Christ</w:t>
      </w:r>
      <w:r>
        <w:t>.</w:t>
      </w:r>
    </w:p>
    <w:p>
      <w:pPr>
        <w:pStyle w:val="ListNumber"/>
        <w:spacing w:line="240" w:lineRule="auto"/>
        <w:ind w:left="720"/>
      </w:pPr>
      <w:r/>
      <w:r>
        <w:t>Fils de Perets et membre de la tribu de Juda qui a vécu après le retour du peuple juif de l'exil à Babylone (</w:t>
      </w:r>
      <w:hyperlink r:id="rId9394">
        <w:r>
          <w:rPr>
            <w:color w:val="0000EE"/>
            <w:u w:val="single"/>
          </w:rPr>
          <w:t>Né 11.4</w:t>
        </w:r>
      </w:hyperlink>
      <w:r>
        <w:t>).</w:t>
      </w:r>
      <w:r/>
      <w:r/>
    </w:p>
    <w:p>
      <w:r/>
    </w:p>
    <w:p>
      <w:pPr>
        <w:pStyle w:val="Heading2"/>
      </w:pPr>
      <w:r>
        <w:t>Mahalath (Personne)</w:t>
      </w:r>
      <w:r/>
    </w:p>
    <w:p>
      <w:r/>
      <w:r>
        <w:t>1. Fille d'Ismaël, sœur de Nebajoth, troisième épouse d'Ésaü et mère de Reuel (</w:t>
      </w:r>
      <w:hyperlink r:id="rId1717">
        <w:r>
          <w:rPr>
            <w:color w:val="0000EE"/>
            <w:u w:val="single"/>
          </w:rPr>
          <w:t>Gn 28.9</w:t>
        </w:r>
      </w:hyperlink>
      <w:r>
        <w:t xml:space="preserve">) ; également appelée Basmath dans </w:t>
      </w:r>
      <w:hyperlink r:id="rId9395">
        <w:r>
          <w:rPr>
            <w:color w:val="0000EE"/>
            <w:u w:val="single"/>
          </w:rPr>
          <w:t>Genèse 36.3–17</w:t>
        </w:r>
      </w:hyperlink>
      <w:r>
        <w:t>.</w:t>
      </w:r>
    </w:p>
    <w:p>
      <w:r/>
      <w:r>
        <w:t xml:space="preserve">2. Fille de </w:t>
      </w:r>
      <w:r>
        <w:t>Jerimoth</w:t>
      </w:r>
      <w:r>
        <w:t xml:space="preserve"> et première épouse du roi Roboam (</w:t>
      </w:r>
      <w:hyperlink r:id="rId39">
        <w:r>
          <w:rPr>
            <w:color w:val="0000EE"/>
            <w:u w:val="single"/>
          </w:rPr>
          <w:t>2Ch 11.18</w:t>
        </w:r>
      </w:hyperlink>
      <w:r>
        <w:t>).</w:t>
      </w:r>
      <w:r/>
      <w:r/>
    </w:p>
    <w:p>
      <w:r/>
    </w:p>
    <w:p>
      <w:pPr>
        <w:pStyle w:val="Heading2"/>
      </w:pPr>
      <w:r>
        <w:t>Mahanaïm</w:t>
      </w:r>
      <w:r/>
    </w:p>
    <w:p>
      <w:r/>
      <w:r>
        <w:t>Mahanaïm était une colonie à l'est du Jourdain, en Galaad.</w:t>
      </w:r>
    </w:p>
    <w:p>
      <w:r/>
      <w:r>
        <w:t>Jacob y rencontrera des anges et nommera l'endroit « le camp de Dieu ». Il divisera sa maisonnée et ses biens en deux camps pour éviter de tout perdre lorsqu'il affrontera Ésaü (</w:t>
      </w:r>
      <w:hyperlink r:id="rId9396">
        <w:r>
          <w:rPr>
            <w:color w:val="0000EE"/>
            <w:u w:val="single"/>
          </w:rPr>
          <w:t>Gn 32.1–11</w:t>
        </w:r>
      </w:hyperlink>
      <w:r>
        <w:t>). Mahanaïm signifie « deux camps » en hébreu.</w:t>
      </w:r>
    </w:p>
    <w:p>
      <w:r/>
      <w:r>
        <w:t>La ville se trouvait le long de la frontière entre Manassé et les tribus de Gad (</w:t>
      </w:r>
      <w:hyperlink r:id="rId9397">
        <w:r>
          <w:rPr>
            <w:color w:val="0000EE"/>
            <w:u w:val="single"/>
          </w:rPr>
          <w:t>Jos 13.26, 30</w:t>
        </w:r>
      </w:hyperlink>
      <w:r>
        <w:t>). Josué la donnera aux Lévites comme héritage (</w:t>
      </w:r>
      <w:hyperlink r:id="rId9398">
        <w:r>
          <w:rPr>
            <w:color w:val="0000EE"/>
            <w:u w:val="single"/>
          </w:rPr>
          <w:t>Jos 21.38</w:t>
        </w:r>
      </w:hyperlink>
      <w:r>
        <w:t xml:space="preserve"> ; </w:t>
      </w:r>
      <w:hyperlink r:id="rId9399">
        <w:r>
          <w:rPr>
            <w:color w:val="0000EE"/>
            <w:u w:val="single"/>
          </w:rPr>
          <w:t>1Ch 6.80</w:t>
        </w:r>
      </w:hyperlink>
      <w:r>
        <w:t>). Après la défaite de Saül à la montagne de Guilboa, Ishbosheth, son fils, s'enfuira à Mahanaïm pour établir une capitale en exil. Il réussira à contrôler une grande partie d'Israël depuis là jusqu'à ce que Recab et Baana l'assassinent (</w:t>
      </w:r>
      <w:hyperlink r:id="rId9400">
        <w:r>
          <w:rPr>
            <w:color w:val="0000EE"/>
            <w:u w:val="single"/>
          </w:rPr>
          <w:t>2S 2.8, 12, 29</w:t>
        </w:r>
      </w:hyperlink>
      <w:r>
        <w:t xml:space="preserve"> ; </w:t>
      </w:r>
      <w:hyperlink r:id="rId9401">
        <w:r>
          <w:rPr>
            <w:color w:val="0000EE"/>
            <w:u w:val="single"/>
          </w:rPr>
          <w:t>4.5–7</w:t>
        </w:r>
      </w:hyperlink>
      <w:r>
        <w:t>).</w:t>
      </w:r>
    </w:p>
    <w:p>
      <w:r/>
      <w:r>
        <w:t>David s'enfuira dans cette ville lors de la rébellion d'Absalom. Il y recevra des provisions de Barzillaï et de certains Galaadites (</w:t>
      </w:r>
      <w:hyperlink r:id="rId9402">
        <w:r>
          <w:rPr>
            <w:color w:val="0000EE"/>
            <w:u w:val="single"/>
          </w:rPr>
          <w:t>17.24–27</w:t>
        </w:r>
      </w:hyperlink>
      <w:r>
        <w:t>). À la porte de cette ville, il pleurera en recevant la nouvelle de la mort d'Absalom. Salomon choisira la ville comme capitale de son septième district et établira Achinadab comme son gouverneur (</w:t>
      </w:r>
      <w:hyperlink r:id="rId9403">
        <w:r>
          <w:rPr>
            <w:color w:val="0000EE"/>
            <w:u w:val="single"/>
          </w:rPr>
          <w:t>1R 4.14</w:t>
        </w:r>
      </w:hyperlink>
      <w:r>
        <w:t>).</w:t>
      </w:r>
    </w:p>
    <w:p>
      <w:r/>
      <w:r>
        <w:t>La Bible situe Mahanaïm quelque part près du fleuve Jabbok, au centre de Galaad. Certains on pensé qu'il se trouvait à Khirbet al-Makhna, à environ 3 km au nord d'Ajalon. Plus récemment, cependant, les chercheurs estiment que la ville se situait plutôt au niveau des collines jumelles de Tulul al-Dhahab le long du fleuve Jabbok. Un expert, Yohanan Aharoni, a suggéré que la colline occidentale était Mahanaïm et que la colline orientale était Penuel.</w:t>
      </w:r>
      <w:r/>
      <w:r/>
    </w:p>
    <w:p>
      <w:r/>
    </w:p>
    <w:p>
      <w:pPr>
        <w:pStyle w:val="Heading2"/>
      </w:pPr>
      <w:r>
        <w:t>main</w:t>
      </w:r>
      <w:r/>
    </w:p>
    <w:p>
      <w:r/>
      <w:r>
        <w:t>Extrémité inférieure du bras qui commence au poignet et s'étend jusqu'au bout des doigts, et peut tenir et déplacer des objets. L'être humain utilise entre autres ses mains pour ramasser des objets, écrire, travailler et faire des gestes. Il est question de main(s) des centaines de fois dans la Bible. Le terme peut avoir son sens physique habituel, ou être utilisé symboliquement pour exprimer des idées et des sentiments.</w:t>
      </w:r>
    </w:p>
    <w:p>
      <w:pPr>
        <w:pStyle w:val="Heading3"/>
      </w:pPr>
      <w:r>
        <w:t>Références symboliques à des mains</w:t>
      </w:r>
    </w:p>
    <w:p>
      <w:r/>
      <w:r>
        <w:t>Dans la Bible, le mot « main » est souvent utilisé pour exprimer différentes notions. Parler de la main de quelqu'un comme étant forte est une façon de décrire son pouvoir (</w:t>
      </w:r>
      <w:hyperlink r:id="rId9404">
        <w:r>
          <w:rPr>
            <w:color w:val="0000EE"/>
            <w:u w:val="single"/>
          </w:rPr>
          <w:t>Dt 2.15</w:t>
        </w:r>
      </w:hyperlink>
      <w:r>
        <w:t xml:space="preserve"> ; </w:t>
      </w:r>
      <w:hyperlink r:id="rId9405">
        <w:r>
          <w:rPr>
            <w:color w:val="0000EE"/>
            <w:u w:val="single"/>
          </w:rPr>
          <w:t>Ps 31.5</w:t>
        </w:r>
      </w:hyperlink>
      <w:r>
        <w:t xml:space="preserve"> ; </w:t>
      </w:r>
      <w:hyperlink r:id="rId2695">
        <w:r>
          <w:rPr>
            <w:color w:val="0000EE"/>
            <w:u w:val="single"/>
          </w:rPr>
          <w:t>Mc 14.62</w:t>
        </w:r>
      </w:hyperlink>
      <w:r>
        <w:t xml:space="preserve">). Dans </w:t>
      </w:r>
      <w:hyperlink r:id="rId9406">
        <w:r>
          <w:rPr>
            <w:color w:val="0000EE"/>
            <w:u w:val="single"/>
          </w:rPr>
          <w:t>Josué 8.20</w:t>
        </w:r>
      </w:hyperlink>
      <w:r>
        <w:t xml:space="preserve">, « ils ne purent se sauver » est exprimé en hébreu par « ils n'avaient pas de mains pour fuir » (expression similaire au texte hébreu de </w:t>
      </w:r>
      <w:hyperlink r:id="rId9407">
        <w:r>
          <w:rPr>
            <w:color w:val="0000EE"/>
            <w:u w:val="single"/>
          </w:rPr>
          <w:t>Ps 76.5</w:t>
        </w:r>
      </w:hyperlink>
      <w:r>
        <w:t>). À l'inverse, des mains faibles ou molles montrent que quelqu'un est impuissant ou incertain (</w:t>
      </w:r>
      <w:hyperlink r:id="rId9408">
        <w:r>
          <w:rPr>
            <w:color w:val="0000EE"/>
            <w:u w:val="single"/>
          </w:rPr>
          <w:t>Es 35.3</w:t>
        </w:r>
      </w:hyperlink>
      <w:r>
        <w:t>).</w:t>
      </w:r>
    </w:p>
    <w:p>
      <w:r/>
      <w:r>
        <w:t>La position ou l'utilisation des mains avait également des significations particulières. Les gens se donnaient la main en signe d'amitié (</w:t>
      </w:r>
      <w:hyperlink r:id="rId9409">
        <w:r>
          <w:rPr>
            <w:color w:val="0000EE"/>
            <w:u w:val="single"/>
          </w:rPr>
          <w:t>2R 10.15</w:t>
        </w:r>
      </w:hyperlink>
      <w:r>
        <w:t>). La main droite d'un roi symbolisant son pouvoir, être assis à sa droite était signe de faveur et d'honneur (</w:t>
      </w:r>
      <w:hyperlink r:id="rId9410">
        <w:r>
          <w:rPr>
            <w:color w:val="0000EE"/>
            <w:u w:val="single"/>
          </w:rPr>
          <w:t xml:space="preserve">Ps 16.11 </w:t>
        </w:r>
      </w:hyperlink>
      <w:r>
        <w:t xml:space="preserve">; </w:t>
      </w:r>
      <w:hyperlink r:id="rId9411">
        <w:r>
          <w:rPr>
            <w:color w:val="0000EE"/>
            <w:u w:val="single"/>
          </w:rPr>
          <w:t xml:space="preserve">77.10 </w:t>
        </w:r>
      </w:hyperlink>
      <w:r>
        <w:t xml:space="preserve">; </w:t>
      </w:r>
      <w:hyperlink r:id="rId1333">
        <w:r>
          <w:rPr>
            <w:color w:val="0000EE"/>
            <w:u w:val="single"/>
          </w:rPr>
          <w:t>110.1</w:t>
        </w:r>
      </w:hyperlink>
      <w:r>
        <w:t>). Avoir les mains pures signifiait que quelqu'un était innocent de tout méfait (</w:t>
      </w:r>
      <w:hyperlink r:id="rId9412">
        <w:r>
          <w:rPr>
            <w:color w:val="0000EE"/>
            <w:u w:val="single"/>
          </w:rPr>
          <w:t>Ps 26.6</w:t>
        </w:r>
      </w:hyperlink>
      <w:r>
        <w:t>). Les personnes se serraient la main pour conclure un accord (</w:t>
      </w:r>
      <w:hyperlink r:id="rId9413">
        <w:r>
          <w:rPr>
            <w:color w:val="0000EE"/>
            <w:u w:val="single"/>
          </w:rPr>
          <w:t>Pr 6.1</w:t>
        </w:r>
      </w:hyperlink>
      <w:r>
        <w:t>). Lever la main contre quelqu'un signifiait prendre action contre cette personne pour lui faire du mal (</w:t>
      </w:r>
      <w:hyperlink r:id="rId7172">
        <w:r>
          <w:rPr>
            <w:color w:val="0000EE"/>
            <w:u w:val="single"/>
          </w:rPr>
          <w:t>1R 11.26</w:t>
        </w:r>
      </w:hyperlink>
      <w:r>
        <w:t>).</w:t>
      </w:r>
    </w:p>
    <w:p>
      <w:r/>
      <w:r>
        <w:t>Les mains étaient parfois levées lors de la prière (</w:t>
      </w:r>
      <w:hyperlink r:id="rId9414">
        <w:r>
          <w:rPr>
            <w:color w:val="0000EE"/>
            <w:u w:val="single"/>
          </w:rPr>
          <w:t>Ex 17.11</w:t>
        </w:r>
      </w:hyperlink>
      <w:r>
        <w:t xml:space="preserve"> ; </w:t>
      </w:r>
      <w:hyperlink r:id="rId9415">
        <w:r>
          <w:rPr>
            <w:color w:val="0000EE"/>
            <w:u w:val="single"/>
          </w:rPr>
          <w:t>Lv 9.22</w:t>
        </w:r>
      </w:hyperlink>
      <w:r>
        <w:t xml:space="preserve"> ; </w:t>
      </w:r>
      <w:hyperlink r:id="rId9416">
        <w:r>
          <w:rPr>
            <w:color w:val="0000EE"/>
            <w:u w:val="single"/>
          </w:rPr>
          <w:t>Es 1.15</w:t>
        </w:r>
      </w:hyperlink>
      <w:r>
        <w:t xml:space="preserve"> ; </w:t>
      </w:r>
      <w:hyperlink r:id="rId9417">
        <w:r>
          <w:rPr>
            <w:color w:val="0000EE"/>
            <w:u w:val="single"/>
          </w:rPr>
          <w:t>1Tm 2.8</w:t>
        </w:r>
      </w:hyperlink>
      <w:r>
        <w:t>) ou pour s'engager envers Dieu (</w:t>
      </w:r>
      <w:hyperlink r:id="rId9418">
        <w:r>
          <w:rPr>
            <w:color w:val="0000EE"/>
            <w:u w:val="single"/>
          </w:rPr>
          <w:t>Gn 14.22</w:t>
        </w:r>
      </w:hyperlink>
      <w:r>
        <w:t xml:space="preserve"> ; </w:t>
      </w:r>
      <w:hyperlink r:id="rId9419">
        <w:r>
          <w:rPr>
            <w:color w:val="0000EE"/>
            <w:u w:val="single"/>
          </w:rPr>
          <w:t>24.2</w:t>
        </w:r>
      </w:hyperlink>
      <w:r>
        <w:t>).</w:t>
      </w:r>
    </w:p>
    <w:p>
      <w:r/>
      <w:r>
        <w:t>Il y a un certains nombre d'expressions et coutumes bibliques dont la main fait partie :</w:t>
      </w:r>
    </w:p>
    <w:p>
      <w:pPr>
        <w:pStyle w:val="ListBullet"/>
        <w:spacing w:line="240" w:lineRule="auto"/>
        <w:ind w:left="720"/>
      </w:pPr>
      <w:r/>
      <w:r>
        <w:t>Livrer entre les mains de quelqu'un signifie livrer au pouvoir de quelqu'un (</w:t>
      </w:r>
      <w:hyperlink r:id="rId9420">
        <w:r>
          <w:rPr>
            <w:color w:val="0000EE"/>
            <w:u w:val="single"/>
          </w:rPr>
          <w:t>Jg 12.3</w:t>
        </w:r>
      </w:hyperlink>
      <w:r>
        <w:t>).</w:t>
      </w:r>
    </w:p>
    <w:p>
      <w:pPr>
        <w:pStyle w:val="ListBullet"/>
        <w:spacing w:line="240" w:lineRule="auto"/>
        <w:ind w:left="720"/>
      </w:pPr>
      <w:r/>
      <w:r>
        <w:t>Frapper des mains est un signe de joie (</w:t>
      </w:r>
      <w:hyperlink r:id="rId9421">
        <w:r>
          <w:rPr>
            <w:color w:val="0000EE"/>
            <w:u w:val="single"/>
          </w:rPr>
          <w:t>2R 11.12</w:t>
        </w:r>
      </w:hyperlink>
      <w:r>
        <w:t>).</w:t>
      </w:r>
    </w:p>
    <w:p>
      <w:pPr>
        <w:pStyle w:val="ListBullet"/>
        <w:spacing w:line="240" w:lineRule="auto"/>
        <w:ind w:left="720"/>
      </w:pPr>
      <w:r/>
      <w:r>
        <w:t>Ouvrir la main signifie être généreux (</w:t>
      </w:r>
      <w:hyperlink r:id="rId9422">
        <w:r>
          <w:rPr>
            <w:color w:val="0000EE"/>
            <w:u w:val="single"/>
          </w:rPr>
          <w:t>Dt 15.11</w:t>
        </w:r>
      </w:hyperlink>
      <w:r>
        <w:t>).</w:t>
      </w:r>
    </w:p>
    <w:p>
      <w:pPr>
        <w:pStyle w:val="ListBullet"/>
        <w:spacing w:line="240" w:lineRule="auto"/>
        <w:ind w:left="720"/>
      </w:pPr>
      <w:r/>
      <w:r>
        <w:t>Mettre la main sur la tête était un signe de détresse (</w:t>
      </w:r>
      <w:hyperlink r:id="rId2201">
        <w:r>
          <w:rPr>
            <w:color w:val="0000EE"/>
            <w:u w:val="single"/>
          </w:rPr>
          <w:t>2S 13.19</w:t>
        </w:r>
      </w:hyperlink>
      <w:r>
        <w:t>).</w:t>
      </w:r>
    </w:p>
    <w:p>
      <w:pPr>
        <w:pStyle w:val="ListBullet"/>
        <w:spacing w:line="240" w:lineRule="auto"/>
        <w:ind w:left="720"/>
      </w:pPr>
      <w:r/>
      <w:r>
        <w:t>Mettre la main sur la bouche signifie ne rien dire ou garder le silence (</w:t>
      </w:r>
      <w:hyperlink r:id="rId9423">
        <w:r>
          <w:rPr>
            <w:color w:val="0000EE"/>
            <w:u w:val="single"/>
          </w:rPr>
          <w:t>Pr 30.32</w:t>
        </w:r>
      </w:hyperlink>
      <w:r>
        <w:t>).</w:t>
      </w:r>
    </w:p>
    <w:p>
      <w:pPr>
        <w:pStyle w:val="ListBullet"/>
        <w:spacing w:line="240" w:lineRule="auto"/>
        <w:ind w:left="720"/>
      </w:pPr>
      <w:r/>
      <w:r>
        <w:t>Mettre la main à quelque chose signifie commencer une tâche (</w:t>
      </w:r>
      <w:hyperlink r:id="rId9424">
        <w:r>
          <w:rPr>
            <w:color w:val="0000EE"/>
            <w:u w:val="single"/>
          </w:rPr>
          <w:t>Lc 9.62</w:t>
        </w:r>
      </w:hyperlink>
      <w:r>
        <w:t>).</w:t>
      </w:r>
    </w:p>
    <w:p>
      <w:r/>
      <w:r>
        <w:t>Ponce Pilate s'est lavé les mains lors du procès de Jésus pour montrer que ce n'était pas lui qui portait la responsabilité de la condamnation de Jésus, même s'il l'avait accordée (</w:t>
      </w:r>
      <w:hyperlink r:id="rId9425">
        <w:r>
          <w:rPr>
            <w:color w:val="0000EE"/>
            <w:u w:val="single"/>
          </w:rPr>
          <w:t>Mt 27.24</w:t>
        </w:r>
      </w:hyperlink>
      <w:r>
        <w:t>). Cependant, ayant en tant que gouverneur approuvé la mort de Jésus, Pilate a tout de même été coupable.</w:t>
      </w:r>
    </w:p>
    <w:p>
      <w:r/>
      <w:r>
        <w:t>Le peuple d'Israël est sorti d'Égypte « la main levée », c'est à dire, sans se cacher, avec audace (</w:t>
      </w:r>
      <w:hyperlink r:id="rId9426">
        <w:r>
          <w:rPr>
            <w:color w:val="0000EE"/>
            <w:u w:val="single"/>
          </w:rPr>
          <w:t>Ex 14.8</w:t>
        </w:r>
      </w:hyperlink>
      <w:r>
        <w:t xml:space="preserve">). </w:t>
      </w:r>
    </w:p>
    <w:p>
      <w:pPr>
        <w:pStyle w:val="Heading3"/>
      </w:pPr>
      <w:r>
        <w:t>Les mains dans le travail et les rituels</w:t>
      </w:r>
    </w:p>
    <w:p>
      <w:r/>
      <w:r>
        <w:t>Travailler de ses mains était considéré comme honorable (</w:t>
      </w:r>
      <w:hyperlink r:id="rId9427">
        <w:r>
          <w:rPr>
            <w:color w:val="0000EE"/>
            <w:u w:val="single"/>
          </w:rPr>
          <w:t>Ep 4.28</w:t>
        </w:r>
      </w:hyperlink>
      <w:r>
        <w:t xml:space="preserve"> ; </w:t>
      </w:r>
      <w:hyperlink r:id="rId9428">
        <w:r>
          <w:rPr>
            <w:color w:val="0000EE"/>
            <w:u w:val="single"/>
          </w:rPr>
          <w:t>1Th 4.11</w:t>
        </w:r>
      </w:hyperlink>
      <w:r>
        <w:t>). L'apôtre Paul était fier du travail qu'il accomplissait de ses mains (</w:t>
      </w:r>
      <w:hyperlink r:id="rId8152">
        <w:r>
          <w:rPr>
            <w:color w:val="0000EE"/>
            <w:u w:val="single"/>
          </w:rPr>
          <w:t>Ac 20.34</w:t>
        </w:r>
      </w:hyperlink>
      <w:r>
        <w:t xml:space="preserve"> ; </w:t>
      </w:r>
      <w:hyperlink r:id="rId9429">
        <w:r>
          <w:rPr>
            <w:color w:val="0000EE"/>
            <w:u w:val="single"/>
          </w:rPr>
          <w:t>1Co 4.12</w:t>
        </w:r>
      </w:hyperlink>
      <w:r>
        <w:t>).</w:t>
      </w:r>
    </w:p>
    <w:p>
      <w:r/>
      <w:r>
        <w:t>Les sacrificateurs devaient se laver les mains avant de pouvoir accomplir leur travail au tabernacle ou plus tard au Temple (</w:t>
      </w:r>
      <w:hyperlink r:id="rId1548">
        <w:r>
          <w:rPr>
            <w:color w:val="0000EE"/>
            <w:u w:val="single"/>
          </w:rPr>
          <w:t xml:space="preserve">Ex 30.19–21 </w:t>
        </w:r>
      </w:hyperlink>
      <w:r>
        <w:t xml:space="preserve">; </w:t>
      </w:r>
      <w:hyperlink r:id="rId9430">
        <w:r>
          <w:rPr>
            <w:color w:val="0000EE"/>
            <w:u w:val="single"/>
          </w:rPr>
          <w:t>40.30–32</w:t>
        </w:r>
      </w:hyperlink>
      <w:r>
        <w:t>). Au temps de Jésus, les scribes et les pharisiens enseignaient qu'il fallait se purifier les mains avant de manger. Toutefois, Jésus ne suivait pas leurs règles car c'étaient des enseignements d'hommes qui pouvaient même annuler ce que Dieu avait commandé (</w:t>
      </w:r>
      <w:hyperlink r:id="rId9431">
        <w:r>
          <w:rPr>
            <w:color w:val="0000EE"/>
            <w:u w:val="single"/>
          </w:rPr>
          <w:t xml:space="preserve">Mt 15.1–20 </w:t>
        </w:r>
      </w:hyperlink>
      <w:r>
        <w:t xml:space="preserve">; </w:t>
      </w:r>
      <w:hyperlink r:id="rId9432">
        <w:r>
          <w:rPr>
            <w:color w:val="0000EE"/>
            <w:u w:val="single"/>
          </w:rPr>
          <w:t>Lc 11.38</w:t>
        </w:r>
      </w:hyperlink>
      <w:r>
        <w:t>).</w:t>
      </w:r>
    </w:p>
    <w:p>
      <w:pPr>
        <w:pStyle w:val="Heading3"/>
      </w:pPr>
      <w:r>
        <w:t>La main du Seigneur</w:t>
      </w:r>
    </w:p>
    <w:p>
      <w:r/>
      <w:r>
        <w:t>La Bible parle souvent de la main ou des mains de l'Éternel / du Seigneur / de Dieu pour décrire la façon dont il agit. Cela peut signifier :</w:t>
      </w:r>
    </w:p>
    <w:p>
      <w:pPr>
        <w:pStyle w:val="ListBullet"/>
        <w:spacing w:line="240" w:lineRule="auto"/>
        <w:ind w:left="720"/>
      </w:pPr>
      <w:r/>
      <w:r>
        <w:t>La puissance de Dieu (</w:t>
      </w:r>
      <w:hyperlink r:id="rId9404">
        <w:r>
          <w:rPr>
            <w:color w:val="0000EE"/>
            <w:u w:val="single"/>
          </w:rPr>
          <w:t>Dt 2.15</w:t>
        </w:r>
      </w:hyperlink>
      <w:r>
        <w:t>).</w:t>
      </w:r>
    </w:p>
    <w:p>
      <w:pPr>
        <w:pStyle w:val="ListBullet"/>
        <w:spacing w:line="240" w:lineRule="auto"/>
        <w:ind w:left="720"/>
      </w:pPr>
      <w:r/>
      <w:r>
        <w:t>Le jugement de Dieu (</w:t>
      </w:r>
      <w:hyperlink r:id="rId1518">
        <w:r>
          <w:rPr>
            <w:color w:val="0000EE"/>
            <w:u w:val="single"/>
          </w:rPr>
          <w:t>Ac 13.11</w:t>
        </w:r>
      </w:hyperlink>
      <w:r>
        <w:t xml:space="preserve"> ; </w:t>
      </w:r>
      <w:hyperlink r:id="rId6320">
        <w:r>
          <w:rPr>
            <w:color w:val="0000EE"/>
            <w:u w:val="single"/>
          </w:rPr>
          <w:t>Hé 10.31</w:t>
        </w:r>
      </w:hyperlink>
      <w:r>
        <w:t>).</w:t>
      </w:r>
    </w:p>
    <w:p>
      <w:pPr>
        <w:pStyle w:val="ListBullet"/>
        <w:spacing w:line="240" w:lineRule="auto"/>
        <w:ind w:left="720"/>
      </w:pPr>
      <w:r/>
      <w:r>
        <w:t>Le pouvoir de Dieu qui fait parler les prophètes en son nom (</w:t>
      </w:r>
      <w:hyperlink r:id="rId4537">
        <w:r>
          <w:rPr>
            <w:color w:val="0000EE"/>
            <w:u w:val="single"/>
          </w:rPr>
          <w:t>Ez 8.1</w:t>
        </w:r>
      </w:hyperlink>
      <w:r>
        <w:t xml:space="preserve"> ; </w:t>
      </w:r>
      <w:hyperlink r:id="rId4034">
        <w:r>
          <w:rPr>
            <w:color w:val="0000EE"/>
            <w:u w:val="single"/>
          </w:rPr>
          <w:t>37.1</w:t>
        </w:r>
      </w:hyperlink>
      <w:r>
        <w:t>).</w:t>
      </w:r>
    </w:p>
    <w:p>
      <w:pPr>
        <w:pStyle w:val="ListBullet"/>
        <w:spacing w:line="240" w:lineRule="auto"/>
        <w:ind w:left="720"/>
      </w:pPr>
      <w:r/>
      <w:r>
        <w:t>Le soutien ou la protection de Dieu (</w:t>
      </w:r>
      <w:hyperlink r:id="rId9433">
        <w:r>
          <w:rPr>
            <w:color w:val="0000EE"/>
            <w:u w:val="single"/>
          </w:rPr>
          <w:t>Esd 7.6</w:t>
        </w:r>
      </w:hyperlink>
      <w:r>
        <w:t xml:space="preserve"> ; </w:t>
      </w:r>
      <w:hyperlink r:id="rId9434">
        <w:r>
          <w:rPr>
            <w:color w:val="0000EE"/>
            <w:u w:val="single"/>
          </w:rPr>
          <w:t>Jn 10.28–29</w:t>
        </w:r>
      </w:hyperlink>
      <w:r>
        <w:t>).</w:t>
      </w:r>
    </w:p>
    <w:p>
      <w:pPr>
        <w:pStyle w:val="Heading3"/>
      </w:pPr>
      <w:r>
        <w:t>L'imposition des mains</w:t>
      </w:r>
    </w:p>
    <w:p>
      <w:r/>
      <w:r>
        <w:t>Dans la Bible, imposer les mains à quelqu'un signifie de placer les mains sur la tête de cette personne dans des conditions très spéciales. C'était un geste symbolique très important. Cette pratique est mentionnée de nombreuses fois dans la Bible et utilisée dans différentes situations.</w:t>
      </w:r>
    </w:p>
    <w:p>
      <w:r/>
      <w:r>
        <w:t>Dans l'Ancien Testament, lorsqu'une personne apportait un animal en sacrifice, elle posait ses mains sur la tête de l'animal avant qu'il ne soit tué. Cela pouvait signifier le transfert des péchés de la personne à l'animal et c'était aussi une façon d'exprimer le lien entre la personne et son sacrifice (</w:t>
      </w:r>
      <w:hyperlink r:id="rId9435">
        <w:r>
          <w:rPr>
            <w:color w:val="0000EE"/>
            <w:u w:val="single"/>
          </w:rPr>
          <w:t>Lv 1.4</w:t>
        </w:r>
      </w:hyperlink>
      <w:r>
        <w:t>).</w:t>
      </w:r>
    </w:p>
    <w:p>
      <w:r/>
      <w:r>
        <w:t>L'imposition des mains servait aussi à désigner quelqu'un pour remplir un certain rôle particulièrement important pour le peuple de Dieu. Par exemple :</w:t>
      </w:r>
    </w:p>
    <w:p>
      <w:pPr>
        <w:pStyle w:val="ListBullet"/>
        <w:spacing w:line="240" w:lineRule="auto"/>
        <w:ind w:left="720"/>
      </w:pPr>
      <w:r/>
      <w:r>
        <w:t>Moïse a posé ses mains sur Josué pour en faire le nouveau chef d'Israël (</w:t>
      </w:r>
      <w:hyperlink r:id="rId9436">
        <w:r>
          <w:rPr>
            <w:color w:val="0000EE"/>
            <w:u w:val="single"/>
          </w:rPr>
          <w:t>Nb 27.12–23</w:t>
        </w:r>
      </w:hyperlink>
      <w:r>
        <w:t>).</w:t>
      </w:r>
    </w:p>
    <w:p>
      <w:pPr>
        <w:pStyle w:val="ListBullet"/>
        <w:spacing w:line="240" w:lineRule="auto"/>
        <w:ind w:left="720"/>
      </w:pPr>
      <w:r/>
      <w:r>
        <w:t>Les apôtres ont imposé leurs mains à sept hommes choisis afin de leur confier un ministère d'aide (</w:t>
      </w:r>
      <w:hyperlink r:id="rId9437">
        <w:r>
          <w:rPr>
            <w:color w:val="0000EE"/>
            <w:u w:val="single"/>
          </w:rPr>
          <w:t>Ac 6.5–6</w:t>
        </w:r>
      </w:hyperlink>
      <w:r>
        <w:t>).</w:t>
      </w:r>
    </w:p>
    <w:p>
      <w:pPr>
        <w:pStyle w:val="ListBullet"/>
        <w:spacing w:line="240" w:lineRule="auto"/>
        <w:ind w:left="720"/>
      </w:pPr>
      <w:r/>
      <w:r>
        <w:t>L'Église d'Antioche a imposé les mains à Paul et Barnabas pour les envoyer en mission (</w:t>
      </w:r>
      <w:hyperlink r:id="rId9438">
        <w:r>
          <w:rPr>
            <w:color w:val="0000EE"/>
            <w:u w:val="single"/>
          </w:rPr>
          <w:t>Ac 13.3</w:t>
        </w:r>
      </w:hyperlink>
      <w:r>
        <w:t>).</w:t>
      </w:r>
    </w:p>
    <w:p>
      <w:r/>
      <w:r>
        <w:t>Lorsque des dirigeants imposaient leurs mains à quelqu'un, ils montraient que cette personne était nommée à son ministère par leur autorité (</w:t>
      </w:r>
      <w:hyperlink r:id="rId9439">
        <w:r>
          <w:rPr>
            <w:color w:val="0000EE"/>
            <w:u w:val="single"/>
          </w:rPr>
          <w:t>1Tm 4.14</w:t>
        </w:r>
      </w:hyperlink>
      <w:r>
        <w:t xml:space="preserve"> ; </w:t>
      </w:r>
      <w:hyperlink r:id="rId9440">
        <w:r>
          <w:rPr>
            <w:color w:val="0000EE"/>
            <w:u w:val="single"/>
          </w:rPr>
          <w:t>2Tm 1.6</w:t>
        </w:r>
      </w:hyperlink>
      <w:r>
        <w:t>). L'imposition des mains était probablement toujours accompagnée de prière, comme le mentionnent un certain nombre de passages.</w:t>
      </w:r>
    </w:p>
    <w:p>
      <w:r/>
      <w:r>
        <w:t>Jésus imposait souvent ses mains à des malades lorsqu'il les guérissait (</w:t>
      </w:r>
      <w:hyperlink r:id="rId9441">
        <w:r>
          <w:rPr>
            <w:color w:val="0000EE"/>
            <w:u w:val="single"/>
          </w:rPr>
          <w:t>Mc 6.5</w:t>
        </w:r>
      </w:hyperlink>
      <w:r>
        <w:t xml:space="preserve"> ; </w:t>
      </w:r>
      <w:hyperlink r:id="rId9442">
        <w:r>
          <w:rPr>
            <w:color w:val="0000EE"/>
            <w:u w:val="single"/>
          </w:rPr>
          <w:t>Lc 4.40</w:t>
        </w:r>
      </w:hyperlink>
      <w:r>
        <w:t xml:space="preserve"> ; </w:t>
      </w:r>
      <w:hyperlink r:id="rId9443">
        <w:r>
          <w:rPr>
            <w:color w:val="0000EE"/>
            <w:u w:val="single"/>
          </w:rPr>
          <w:t>13.11–13</w:t>
        </w:r>
      </w:hyperlink>
      <w:r>
        <w:t>). Ses disciples faisaient de même (</w:t>
      </w:r>
      <w:hyperlink r:id="rId9444">
        <w:r>
          <w:rPr>
            <w:color w:val="0000EE"/>
            <w:u w:val="single"/>
          </w:rPr>
          <w:t>Mc 16.18</w:t>
        </w:r>
      </w:hyperlink>
      <w:r>
        <w:t xml:space="preserve"> ; </w:t>
      </w:r>
      <w:hyperlink r:id="rId9445">
        <w:r>
          <w:rPr>
            <w:color w:val="0000EE"/>
            <w:u w:val="single"/>
          </w:rPr>
          <w:t>Ac 9.12, 17</w:t>
        </w:r>
      </w:hyperlink>
      <w:r>
        <w:t xml:space="preserve"> ; </w:t>
      </w:r>
      <w:hyperlink r:id="rId4461">
        <w:r>
          <w:rPr>
            <w:color w:val="0000EE"/>
            <w:u w:val="single"/>
          </w:rPr>
          <w:t>28.8</w:t>
        </w:r>
      </w:hyperlink>
      <w:r>
        <w:t>). L'imposition des mains montre au malade que Dieu accorde la guérison à travers celui ou ceux qui imposent les mains et montre de la compassion pour cette personne.</w:t>
      </w:r>
    </w:p>
    <w:p>
      <w:r/>
      <w:r>
        <w:rPr>
          <w:i/>
        </w:rPr>
        <w:t>Voir aussi</w:t>
      </w:r>
      <w:r>
        <w:t xml:space="preserve"> </w:t>
      </w:r>
      <w:r>
        <w:t>main droite</w:t>
      </w:r>
      <w:r>
        <w:t>.</w:t>
      </w:r>
      <w:r/>
      <w:r/>
    </w:p>
    <w:p>
      <w:r/>
    </w:p>
    <w:p>
      <w:pPr>
        <w:pStyle w:val="Heading2"/>
      </w:pPr>
      <w:r>
        <w:t>Main droite</w:t>
      </w:r>
      <w:r/>
    </w:p>
    <w:p>
      <w:r/>
      <w:r>
        <w:t>Dans la Bible, l'expression « main droite » a deux significations principales. Premièrement, elle désigne le côté droit du corps d'une personne. Deuxièmement, elle est souvent utilisée comme un symbole avec une signification particulière.</w:t>
      </w:r>
    </w:p>
    <w:p>
      <w:r/>
      <w:r>
        <w:t>Le mot « droit » dans la Bible signifie souvent « correct » ou « bon ». Quand quelque chose est « droit », cela signifie qu'il est juste et suit les voies de Dieu (</w:t>
      </w:r>
      <w:hyperlink r:id="rId8019">
        <w:r>
          <w:rPr>
            <w:color w:val="0000EE"/>
            <w:u w:val="single"/>
          </w:rPr>
          <w:t>Gn 18.25</w:t>
        </w:r>
      </w:hyperlink>
      <w:r>
        <w:t>). Dans de nombreux endroits de la Bible, la main droite de Dieu est utilisée comme symbole de sa puissance. Par exemple :</w:t>
      </w:r>
    </w:p>
    <w:p>
      <w:pPr>
        <w:pStyle w:val="ListBullet"/>
        <w:spacing w:line="240" w:lineRule="auto"/>
        <w:ind w:left="720"/>
      </w:pPr>
      <w:r/>
      <w:r>
        <w:t>Il montre comment Dieu aide son peuple à remporter des batailles (</w:t>
      </w:r>
      <w:hyperlink r:id="rId9446">
        <w:r>
          <w:rPr>
            <w:color w:val="0000EE"/>
            <w:u w:val="single"/>
          </w:rPr>
          <w:t>Ps 17.7, 98.1</w:t>
        </w:r>
      </w:hyperlink>
      <w:r>
        <w:t>)</w:t>
      </w:r>
    </w:p>
    <w:p>
      <w:pPr>
        <w:pStyle w:val="ListBullet"/>
        <w:spacing w:line="240" w:lineRule="auto"/>
        <w:ind w:left="720"/>
      </w:pPr>
      <w:r/>
      <w:r>
        <w:t>Il montre comment Dieu punit ceux qui font des choses mauvaises (</w:t>
      </w:r>
      <w:hyperlink r:id="rId9447">
        <w:r>
          <w:rPr>
            <w:color w:val="0000EE"/>
            <w:u w:val="single"/>
          </w:rPr>
          <w:t>Hé 2.16</w:t>
        </w:r>
      </w:hyperlink>
      <w:r>
        <w:t>)</w:t>
      </w:r>
    </w:p>
    <w:p>
      <w:pPr>
        <w:pStyle w:val="ListBullet"/>
        <w:spacing w:line="240" w:lineRule="auto"/>
        <w:ind w:left="720"/>
      </w:pPr>
      <w:r/>
      <w:r>
        <w:t>Il montre comment Dieu vient à l'aide des justes qui sont dans le besoin (</w:t>
      </w:r>
      <w:hyperlink r:id="rId9448">
        <w:r>
          <w:rPr>
            <w:color w:val="0000EE"/>
            <w:u w:val="single"/>
          </w:rPr>
          <w:t>Ps 139.10</w:t>
        </w:r>
      </w:hyperlink>
      <w:r>
        <w:t>).</w:t>
      </w:r>
    </w:p>
    <w:p>
      <w:r/>
      <w:r>
        <w:t>Bien que les humains ne puissent pas se sauver par leur propre pouvoir, Dieu promet de rendre les gens forts quand il décide de les aider (</w:t>
      </w:r>
      <w:hyperlink r:id="rId9449">
        <w:r>
          <w:rPr>
            <w:color w:val="0000EE"/>
            <w:u w:val="single"/>
          </w:rPr>
          <w:t>Jb 40.14</w:t>
        </w:r>
      </w:hyperlink>
      <w:r>
        <w:t xml:space="preserve"> ; </w:t>
      </w:r>
      <w:hyperlink r:id="rId9450">
        <w:r>
          <w:rPr>
            <w:color w:val="0000EE"/>
            <w:u w:val="single"/>
          </w:rPr>
          <w:t>Es 41.13</w:t>
        </w:r>
      </w:hyperlink>
      <w:r>
        <w:t>).</w:t>
      </w:r>
    </w:p>
    <w:p>
      <w:r/>
      <w:r>
        <w:t>Être à la droite de Dieu, c'est se trouver dans un lieu de grandes bénédictions (</w:t>
      </w:r>
      <w:hyperlink r:id="rId9410">
        <w:r>
          <w:rPr>
            <w:color w:val="0000EE"/>
            <w:u w:val="single"/>
          </w:rPr>
          <w:t>Ps 16.11</w:t>
        </w:r>
      </w:hyperlink>
      <w:r>
        <w:t>). À la droite de Dieu, le Seigneur Jésus-Christ règne désormais dans la gloire et intercède pour ceux qu'il a rachetés (</w:t>
      </w:r>
      <w:hyperlink r:id="rId9451">
        <w:r>
          <w:rPr>
            <w:color w:val="0000EE"/>
            <w:u w:val="single"/>
          </w:rPr>
          <w:t>Rm 8.34</w:t>
        </w:r>
      </w:hyperlink>
      <w:r>
        <w:t>).</w:t>
      </w:r>
    </w:p>
    <w:p>
      <w:r/>
      <w:r>
        <w:t>Offrir la main droite de communion, c'est étendre l'acceptation et la grâce (</w:t>
      </w:r>
      <w:hyperlink r:id="rId4205">
        <w:r>
          <w:rPr>
            <w:color w:val="0000EE"/>
            <w:u w:val="single"/>
          </w:rPr>
          <w:t>Ga 2.9</w:t>
        </w:r>
      </w:hyperlink>
      <w:r>
        <w:t>). À l'époque biblique, les gens se serraient la main droite pour montrer qu'ils faisaient une promesse ou un accord sérieux. Cette pratique d'utiliser la main droite pour faire des promesses était également courante à l'époque biblique et continue aujourd'hui (</w:t>
      </w:r>
      <w:hyperlink r:id="rId9409">
        <w:r>
          <w:rPr>
            <w:color w:val="0000EE"/>
            <w:u w:val="single"/>
          </w:rPr>
          <w:t>2R 10.15</w:t>
        </w:r>
      </w:hyperlink>
      <w:r>
        <w:t>).</w:t>
      </w:r>
    </w:p>
    <w:p>
      <w:r/>
      <w:r>
        <w:t>La main gauche est parfois associée aux bénédictions (</w:t>
      </w:r>
      <w:hyperlink r:id="rId9452">
        <w:r>
          <w:rPr>
            <w:color w:val="0000EE"/>
            <w:u w:val="single"/>
          </w:rPr>
          <w:t>Pr 3.16</w:t>
        </w:r>
      </w:hyperlink>
      <w:r>
        <w:t>). Cependant, elle peut également être liée à une trahison de confiance ou à une mauvaise action (</w:t>
      </w:r>
      <w:hyperlink r:id="rId9453">
        <w:r>
          <w:rPr>
            <w:color w:val="0000EE"/>
            <w:u w:val="single"/>
          </w:rPr>
          <w:t>Ec 10.2</w:t>
        </w:r>
      </w:hyperlink>
      <w:r>
        <w:t>).</w:t>
      </w:r>
    </w:p>
    <w:p>
      <w:r/>
      <w:r>
        <w:rPr>
          <w:i/>
        </w:rPr>
        <w:t>Voir aussi</w:t>
      </w:r>
      <w:r>
        <w:t xml:space="preserve"> </w:t>
      </w:r>
      <w:r>
        <w:t>Main</w:t>
      </w:r>
      <w:r>
        <w:t>.</w:t>
      </w:r>
      <w:r/>
      <w:r/>
    </w:p>
    <w:p>
      <w:r/>
    </w:p>
    <w:p>
      <w:pPr>
        <w:pStyle w:val="Heading2"/>
      </w:pPr>
      <w:r>
        <w:t>Maison de César</w:t>
      </w:r>
      <w:r/>
    </w:p>
    <w:p>
      <w:r/>
      <w:r>
        <w:t>Terme désignant les serviteurs impériaux, à la fois esclaves et libres, à Rome et dans les provinces de l'Empire romain. L'apôtre Paul clôturera sa lettre aux chrétiens de Philippes avec les salutations offertes par ceux « de la maison de César » (</w:t>
      </w:r>
      <w:hyperlink r:id="rId9454">
        <w:r>
          <w:rPr>
            <w:color w:val="0000EE"/>
            <w:u w:val="single"/>
          </w:rPr>
          <w:t>4.22</w:t>
        </w:r>
      </w:hyperlink>
      <w:r>
        <w:t>). Le personnel de la maison impériale comptait des centaines de personnes, et les postes revêtaient une certaine importance sociale.</w:t>
      </w:r>
    </w:p>
    <w:p>
      <w:r/>
      <w:r>
        <w:t>Selon le Martyre de Paul, écrit au 2e siècle, lorsque Paul arrive à Rome, il sera accueilli par des personnes « de la maison de César ». Il entrera en communication avec les dirigeants juifs locaux et prêchera et enseignera sans entrave (</w:t>
      </w:r>
      <w:hyperlink r:id="rId9455">
        <w:r>
          <w:rPr>
            <w:color w:val="0000EE"/>
            <w:u w:val="single"/>
          </w:rPr>
          <w:t>Ac 28.17, 31</w:t>
        </w:r>
      </w:hyperlink>
      <w:r>
        <w:t>). Certains hommes et femmes seront convaincus et croiront (</w:t>
      </w:r>
      <w:hyperlink r:id="rId9456">
        <w:r>
          <w:rPr>
            <w:color w:val="0000EE"/>
            <w:u w:val="single"/>
          </w:rPr>
          <w:t>Ac 28.23–24</w:t>
        </w:r>
      </w:hyperlink>
      <w:r>
        <w:t>), incluant sans doute certains de la maison de César. Le message se répandra même à toute la garde prétorienne (</w:t>
      </w:r>
      <w:hyperlink r:id="rId9457">
        <w:r>
          <w:rPr>
            <w:color w:val="0000EE"/>
            <w:u w:val="single"/>
          </w:rPr>
          <w:t>Ph 1.13</w:t>
        </w:r>
      </w:hyperlink>
      <w:r>
        <w:t xml:space="preserve">). Certains experts estiment que certains des croyants mentionnés dans </w:t>
      </w:r>
      <w:hyperlink r:id="rId8267">
        <w:r>
          <w:rPr>
            <w:color w:val="0000EE"/>
            <w:u w:val="single"/>
          </w:rPr>
          <w:t>Romains 16</w:t>
        </w:r>
      </w:hyperlink>
      <w:r>
        <w:t xml:space="preserve"> étaient des membres de la maison impériale.</w:t>
      </w:r>
    </w:p>
    <w:p>
      <w:r/>
      <w:r>
        <w:rPr>
          <w:i/>
        </w:rPr>
        <w:t>Voir aussi</w:t>
      </w:r>
      <w:r>
        <w:t xml:space="preserve"> </w:t>
      </w:r>
      <w:r>
        <w:t>Césars, Les</w:t>
      </w:r>
      <w:r>
        <w:t>.</w:t>
      </w:r>
      <w:r/>
      <w:r/>
    </w:p>
    <w:p>
      <w:r/>
    </w:p>
    <w:p>
      <w:pPr>
        <w:pStyle w:val="Heading2"/>
      </w:pPr>
      <w:r>
        <w:t>Maison de Dieu</w:t>
      </w:r>
      <w:r/>
    </w:p>
    <w:p>
      <w:r/>
      <w:r>
        <w:t>Expression courante utilisée au Proche-Orient durant l'Antiquité pour désigner une structure destinée à accueillir une divinité ou ses serviteurs. Dans l'Ancien Testament, cette expression est utilisée pour désigner le tabernacle (</w:t>
      </w:r>
      <w:hyperlink r:id="rId9458">
        <w:r>
          <w:rPr>
            <w:color w:val="0000EE"/>
            <w:u w:val="single"/>
          </w:rPr>
          <w:t xml:space="preserve">Dt 23.18 </w:t>
        </w:r>
      </w:hyperlink>
      <w:r>
        <w:t xml:space="preserve">; </w:t>
      </w:r>
      <w:hyperlink r:id="rId9459">
        <w:r>
          <w:rPr>
            <w:color w:val="0000EE"/>
            <w:u w:val="single"/>
          </w:rPr>
          <w:t>1Ch 6.31–32</w:t>
        </w:r>
      </w:hyperlink>
      <w:r>
        <w:t>), le temple de Salomon (</w:t>
      </w:r>
      <w:hyperlink r:id="rId9460">
        <w:r>
          <w:rPr>
            <w:color w:val="0000EE"/>
            <w:u w:val="single"/>
          </w:rPr>
          <w:t xml:space="preserve">1R 8.11–20 </w:t>
        </w:r>
      </w:hyperlink>
      <w:r>
        <w:t xml:space="preserve">; </w:t>
      </w:r>
      <w:hyperlink r:id="rId9461">
        <w:r>
          <w:rPr>
            <w:color w:val="0000EE"/>
            <w:u w:val="single"/>
          </w:rPr>
          <w:t xml:space="preserve">12.27 </w:t>
        </w:r>
      </w:hyperlink>
      <w:r>
        <w:t xml:space="preserve">; </w:t>
      </w:r>
      <w:hyperlink r:id="rId9462">
        <w:r>
          <w:rPr>
            <w:color w:val="0000EE"/>
            <w:u w:val="single"/>
          </w:rPr>
          <w:t>Jr 20.1</w:t>
        </w:r>
      </w:hyperlink>
      <w:r>
        <w:t>), des sanctuaires nationaux et des temples païens (</w:t>
      </w:r>
      <w:hyperlink r:id="rId9463">
        <w:r>
          <w:rPr>
            <w:color w:val="0000EE"/>
            <w:u w:val="single"/>
          </w:rPr>
          <w:t xml:space="preserve">Jg 9.4 </w:t>
        </w:r>
      </w:hyperlink>
      <w:r>
        <w:t xml:space="preserve">; </w:t>
      </w:r>
      <w:hyperlink r:id="rId9464">
        <w:r>
          <w:rPr>
            <w:color w:val="0000EE"/>
            <w:u w:val="single"/>
          </w:rPr>
          <w:t>2R 10.21</w:t>
        </w:r>
      </w:hyperlink>
      <w:r>
        <w:t>).</w:t>
      </w:r>
    </w:p>
    <w:p>
      <w:r/>
      <w:r>
        <w:t>À l'époque du Nouveau Testament, le Temple était encore appelé la « maison de Dieu » (</w:t>
      </w:r>
      <w:hyperlink r:id="rId9465">
        <w:r>
          <w:rPr>
            <w:color w:val="0000EE"/>
            <w:u w:val="single"/>
          </w:rPr>
          <w:t xml:space="preserve">Mt 12.4 </w:t>
        </w:r>
      </w:hyperlink>
      <w:r>
        <w:t xml:space="preserve">; </w:t>
      </w:r>
      <w:hyperlink r:id="rId34">
        <w:r>
          <w:rPr>
            <w:color w:val="0000EE"/>
            <w:u w:val="single"/>
          </w:rPr>
          <w:t xml:space="preserve">Mc 2.26 </w:t>
        </w:r>
      </w:hyperlink>
      <w:r>
        <w:t xml:space="preserve">; </w:t>
      </w:r>
      <w:hyperlink r:id="rId9466">
        <w:r>
          <w:rPr>
            <w:color w:val="0000EE"/>
            <w:u w:val="single"/>
          </w:rPr>
          <w:t xml:space="preserve">11.17 </w:t>
        </w:r>
      </w:hyperlink>
      <w:r>
        <w:t xml:space="preserve">; </w:t>
      </w:r>
      <w:hyperlink r:id="rId9467">
        <w:r>
          <w:rPr>
            <w:color w:val="0000EE"/>
            <w:u w:val="single"/>
          </w:rPr>
          <w:t xml:space="preserve">Lc 6.4 </w:t>
        </w:r>
      </w:hyperlink>
      <w:r>
        <w:t xml:space="preserve">; </w:t>
      </w:r>
      <w:hyperlink r:id="rId9468">
        <w:r>
          <w:rPr>
            <w:color w:val="0000EE"/>
            <w:u w:val="single"/>
          </w:rPr>
          <w:t>Jn 2.16–17</w:t>
        </w:r>
      </w:hyperlink>
      <w:r>
        <w:t>), mais avec quelques changements significatifs. En effet, après l'ascension du Christ, l'Église se considère désormais comme la maison de Dieu (</w:t>
      </w:r>
      <w:hyperlink r:id="rId9469">
        <w:r>
          <w:rPr>
            <w:color w:val="0000EE"/>
            <w:u w:val="single"/>
          </w:rPr>
          <w:t xml:space="preserve">1Co 3.9 </w:t>
        </w:r>
      </w:hyperlink>
      <w:r>
        <w:t xml:space="preserve">; </w:t>
      </w:r>
      <w:hyperlink r:id="rId2502">
        <w:r>
          <w:rPr>
            <w:color w:val="0000EE"/>
            <w:u w:val="single"/>
          </w:rPr>
          <w:t xml:space="preserve">Hé 3.6 </w:t>
        </w:r>
      </w:hyperlink>
      <w:r>
        <w:t xml:space="preserve">; </w:t>
      </w:r>
      <w:hyperlink r:id="rId6477">
        <w:r>
          <w:rPr>
            <w:color w:val="0000EE"/>
            <w:u w:val="single"/>
          </w:rPr>
          <w:t xml:space="preserve">1P 2.5 </w:t>
        </w:r>
      </w:hyperlink>
      <w:r>
        <w:t xml:space="preserve">; </w:t>
      </w:r>
      <w:hyperlink r:id="rId8478">
        <w:r>
          <w:rPr>
            <w:color w:val="0000EE"/>
            <w:u w:val="single"/>
          </w:rPr>
          <w:t>4.17</w:t>
        </w:r>
      </w:hyperlink>
      <w:r>
        <w:t>). Dieu n'habite plus dans des bâtiments faits de mains humaines mais dans la vie de ceux qui confessent Jésus comme Seigneur.</w:t>
      </w:r>
    </w:p>
    <w:p>
      <w:r/>
      <w:r>
        <w:rPr>
          <w:i/>
        </w:rPr>
        <w:t>Voir aussi</w:t>
      </w:r>
      <w:r>
        <w:t xml:space="preserve"> </w:t>
      </w:r>
      <w:r>
        <w:t>tabernacle</w:t>
      </w:r>
      <w:r>
        <w:t xml:space="preserve"> ; </w:t>
      </w:r>
      <w:r>
        <w:t>Temple</w:t>
      </w:r>
      <w:r>
        <w:t>.</w:t>
      </w:r>
      <w:r/>
      <w:r/>
    </w:p>
    <w:p>
      <w:r/>
    </w:p>
    <w:p>
      <w:pPr>
        <w:pStyle w:val="Heading2"/>
      </w:pPr>
      <w:r>
        <w:t>Maisonnée</w:t>
      </w:r>
      <w:r/>
    </w:p>
    <w:p>
      <w:r/>
      <w:r>
        <w:t>Une maisonnée est un groupe de personnes vivant ensemble en tant que famille. À l'époque biblique, une maisonnée était beaucoup plus grand que ce que nous pourrions considérer comme une famille aujourd'hui. Elle comprenait un père, une mère ou des mères, des enfants, des grands-parents, des serviteurs, des concubines (femmes vivant avec un homme mais ayant moins de droits que les épouses) et des étrangers (personnes séjournant temporairement avec la famille).</w:t>
      </w:r>
    </w:p>
    <w:p>
      <w:r/>
      <w:r>
        <w:t>La maisonnée du patriarche Jacob, par exemple comprenait soixante-six personnes. Cela n'incluait pas les épouses de ses fils (</w:t>
      </w:r>
      <w:hyperlink r:id="rId9470">
        <w:r>
          <w:rPr>
            <w:color w:val="0000EE"/>
            <w:u w:val="single"/>
          </w:rPr>
          <w:t>Gn 46.26</w:t>
        </w:r>
      </w:hyperlink>
      <w:r>
        <w:t xml:space="preserve">). La maisonnée était considéré comme une unité, et tous les membres partageaient la responsabilité de protéger l'honneur de la famille. Dans </w:t>
      </w:r>
      <w:hyperlink r:id="rId9471">
        <w:r>
          <w:rPr>
            <w:color w:val="0000EE"/>
            <w:u w:val="single"/>
          </w:rPr>
          <w:t>2 Samuel 3.27</w:t>
        </w:r>
      </w:hyperlink>
      <w:r>
        <w:t>, nous voyons un exemple d'une maisonnée cherchant à se venger pour défendre l'honneur de leur famille.</w:t>
      </w:r>
    </w:p>
    <w:p>
      <w:r/>
      <w:r>
        <w:t>Dans l'Ancien Testament, tous les mâles de la maison d'Abraham ont été circoncis comme signe de l'alliance que Dieu avait faite avec lui (</w:t>
      </w:r>
      <w:hyperlink r:id="rId8513">
        <w:r>
          <w:rPr>
            <w:color w:val="0000EE"/>
            <w:u w:val="single"/>
          </w:rPr>
          <w:t>Gn 17.23</w:t>
        </w:r>
      </w:hyperlink>
      <w:r>
        <w:t>). À l'époque du Nouveau Testament, il y a des cas où des maisonnées entières ont été baptisées (</w:t>
      </w:r>
      <w:hyperlink r:id="rId9472">
        <w:r>
          <w:rPr>
            <w:color w:val="0000EE"/>
            <w:u w:val="single"/>
          </w:rPr>
          <w:t>Ac 11.14</w:t>
        </w:r>
      </w:hyperlink>
      <w:r>
        <w:t>).</w:t>
      </w:r>
    </w:p>
    <w:p>
      <w:r/>
      <w:r>
        <w:rPr>
          <w:i/>
        </w:rPr>
        <w:t>Voir aussi</w:t>
      </w:r>
      <w:r>
        <w:t xml:space="preserve"> </w:t>
      </w:r>
      <w:r>
        <w:t>Vie de famille et relations</w:t>
      </w:r>
      <w:r>
        <w:t>.</w:t>
      </w:r>
      <w:r/>
      <w:r/>
    </w:p>
    <w:p>
      <w:r/>
    </w:p>
    <w:p>
      <w:pPr>
        <w:pStyle w:val="Heading2"/>
      </w:pPr>
      <w:r>
        <w:t>Maisons et Habitations</w:t>
      </w:r>
      <w:r/>
    </w:p>
    <w:p>
      <w:r/>
      <w:r>
        <w:t>Sommaire</w:t>
      </w:r>
    </w:p>
    <w:p>
      <w:r/>
      <w:r>
        <w:t>• Maisons de l'âge du bronze moyen</w:t>
      </w:r>
    </w:p>
    <w:p>
      <w:r/>
      <w:r>
        <w:t>• Maisons de l'âge du bronze final</w:t>
      </w:r>
    </w:p>
    <w:p>
      <w:r/>
      <w:r>
        <w:t>• Maisons israélites de l'âge du fer</w:t>
      </w:r>
    </w:p>
    <w:p>
      <w:r/>
      <w:r>
        <w:t>• Maisons de l'époque du Nouveau Testament</w:t>
      </w:r>
    </w:p>
    <w:p>
      <w:pPr>
        <w:pStyle w:val="Heading3"/>
      </w:pPr>
      <w:r>
        <w:t>Maisons de l'âge du bronze moyen (vers 1800–1500 av. J.-C.)</w:t>
      </w:r>
    </w:p>
    <w:p>
      <w:r/>
      <w:r>
        <w:t>Les premiers ancêtres d'Israël vivaient principalement dans des tentes et d'autres habitations temporaires avant de s'installer dans le pays des Cananéens. À l'époque du bronze moyen, les Cananéens vivaient dans des maisons assez grandes avec plusieurs pièces arrangées autour d'une cour.</w:t>
      </w:r>
    </w:p>
    <w:p>
      <w:r/>
      <w:r>
        <w:t>Les maisons les plus simples avaient une cour et une seule pièce située sur l'un des côtés, habituellement à l'ouest, pour éviter que la fumée poussée par le vent d'ouest n'entre dans la pièce. Les silos à grain se trouvaient habituellement dans la pièce plutôt que dans la cour. Des exemplaires représentatifs de telles maisons ont été trouvés à Tell Nagila, au nord-ouest de Beer-Sheva, datant d'environ 1700 av. J.-C. Trois de ces maisons avaient chacune une pièce de 3 mètres sur 2,1 et une cour de 3 mètres sur 4,9. La pièce unique était parfois divisée par une cloison. Les murs étaient faits de pierres brutes et de briques de boue recouvertes de plâtre de boue. Ces murs étaient à peine assez épais pour soutenir un deuxième étage. Ces maisons étaient serrées les unes contre les autres pour permettre l'usage d'un mur arrière partagé et d'entrées sur la cour par des ruelles plus ou moins parallèles. Chaque maison contenait un banc fait de pierre et d'argile placé le long d'un mur.</w:t>
      </w:r>
    </w:p>
    <w:p>
      <w:r/>
      <w:r>
        <w:t>Parfois, plusieurs pièces étaient construites d'un côté de la cour. La plus grande maison trouvée à date provient de Tell Beit Mirsim et date d'environ 1600 av. J.-C. C'était probablement la maison d'un gouverneur local ou d'un aristocrate. Il n'y avait pas moins de six pièces sur le côté ouest de la cour. Celle-ci mesurait environ 10,7 mètres par 5,8. L'espace de vie couvert, qui comprenait un rez-de-chaussée et un étage, était d'environ 139 mètres carrés. L'épaisseur des murs extérieurs fait supposer qu'il devait y avoir un étage. Le rez-de-chaussée pouvait avoir de multiples fonctions : deux pièces servaient d'écuries et deux autres d'entrepôts. D'autres maisons de moindre taille, construites sur le modèle de cour avec pièces d'un seul côté, n'ont été trouvées à ce même tell que dans la strate correspondant à la période aux environs de 1700 av. J.-C.</w:t>
      </w:r>
    </w:p>
    <w:p>
      <w:r/>
      <w:r>
        <w:t>Un deuxième type de maison datant de l'âge du bronze moyen était constitué d'un vestibule (entrée) couvert avec des pièces sur un ou deux côtés. Un exemplaire représentatif de ce type a aussi été trouvé à Tell Beit Mirsim. Il date d'environ 1800 av. J.-C. La grande entrée rectangulaire était couverte et contenait trois grandes dalles de pierre disposées verticalement dans le sens de la longueur de la maison. Ces dalles soutenaient les supports en bois du toit. Des chevrons (poutres) en bois et un toit fait de roseaux recouverts de boue ont été trouvés parmi les débris. Chacune des trois pièces à l'ouest était accessible depuis l'entrée. Les fondations en pierre et les murs en briques de boue étaient suffisamment solides pour soutenir un étage, accessible par un escalier ou une échelle en bois à l'extérieur. Le sol était un mélange de terre, de cendres et de paille soigneusement lissé.</w:t>
      </w:r>
    </w:p>
    <w:p>
      <w:r/>
      <w:r>
        <w:t>Un troisième type de maison consistait en une cour ouverte avec des pièces sur deux côtés adjacents de la cour. Un exemplaire représentatif a également été trouvé à Tell Beit Mirsim. Cette maison était construite sur les ruines de la maison à entrée couverte décrite ci-dessus. L'entrée avait été transformée en cour. Une maison à Tell Taanach, datée à environ 1700 av. J.-C. (période du Bronze moyen II) était de construction très solide. Les murs avaient au minimum 0,9 mètre d'épaisseur et étaient fixés dans du mortier. La cour contenait une citerne. Il y avait un four dans une pièce du côté est de la maison. Les sols du rez-de-chaussée étaient plâtrés et avaient une surface de 214 mètres carrés. Un escalier intérieur menait à l'étage.</w:t>
      </w:r>
    </w:p>
    <w:p>
      <w:r/>
      <w:r>
        <w:t>Dans certaines maisons, les pièces étaient placées de côtés opposés de la cour. Plusieurs exemplaires représentatifs ont été trouvés à Beth-Schémesch (Tell er-Rumeilah) et Meguiddo. À Beth-Schémesch, le mur de la ville servait de mur sud à l'une de ces maisons. Les pièces se trouvaient sur les côtés est et ouest de la cour. L'entrée depuis la rue donnait dans l'une des pièces. Les autres pièces étaient accessibles en traversant la cour. Les murs extérieurs avaient plus de 91,4 centimètres d'épaisseur et les murs intérieurs 45,7 centimètres d'épaisseur. Les murs étaient enduits de plâtre de boue et de chaux.</w:t>
      </w:r>
    </w:p>
    <w:p>
      <w:r/>
      <w:r>
        <w:t>À Meguiddo, des maisons étaient construites contre le mur nord de la ville. Au niveau XII (vers 1750–1700 av. J.-C.), trois maisons de ce type bien conservées ont été découvertes. Les maisons étaient séparées par des murs perpendiculaires au mur de la ville. L'entrée de chaque maison traversait une pièce donnant sur la rue pour aller dans une cour pavée de petites pierres et de galets. Les cours étaient dotées de fours et l'une des maisons avait également une citerne.</w:t>
      </w:r>
    </w:p>
    <w:p>
      <w:r/>
      <w:r>
        <w:t xml:space="preserve">Un quatrième type de maison qui date de l'âge du bronze moyen avait des pièces sur trois des côtés de la cour. Les tailles et utilisations de ces pièces pouvaient varier. Un exemplaire représentatif date d'environ 1600 av. J.-C. Il a été trouvé à Meguiddo, au niveau IX. Cette maison mesurait 12,8 mètres sur 11,9. Elle contenait neuf pièces de plusieurs tailles. La cour était plâtrée de chaux avec un grand four au centre. Un deuxième four a été trouvé dans l'une des pièces du côté est. Chaque pièce avait une porte donnant sur la cour. Comme dans d'autres maisons datant de l'âge du bronze moyen, elle avait des sépultures sous le sol (voir </w:t>
      </w:r>
      <w:hyperlink r:id="rId9473">
        <w:r>
          <w:rPr>
            <w:color w:val="0000EE"/>
            <w:u w:val="single"/>
          </w:rPr>
          <w:t xml:space="preserve">1S 25.1 </w:t>
        </w:r>
      </w:hyperlink>
      <w:r>
        <w:t xml:space="preserve">; </w:t>
      </w:r>
      <w:hyperlink r:id="rId9474">
        <w:r>
          <w:rPr>
            <w:color w:val="0000EE"/>
            <w:u w:val="single"/>
          </w:rPr>
          <w:t>1R 2.34</w:t>
        </w:r>
      </w:hyperlink>
      <w:r>
        <w:t xml:space="preserve"> pour des références bibliques à de telles sépultures à l'époque de l'âge du fer).</w:t>
      </w:r>
    </w:p>
    <w:p>
      <w:r/>
      <w:r>
        <w:t>Le nombre de styles différents de maisons palestiniennes pendant l'âge du bronze moyen indique un niveau de prospérité bien plus élevé que celui de l'âge du bronze ancien. De grandes quantités d'ustensiles ménagers élégants et de bonne fabrication ont été découvertes tant dans les maisons que les tombes.</w:t>
      </w:r>
    </w:p>
    <w:p>
      <w:pPr>
        <w:pStyle w:val="Heading3"/>
      </w:pPr>
      <w:r>
        <w:t>Maisons de l'âge du bronze final (vers 1550–1200 av. J.-C.)</w:t>
      </w:r>
    </w:p>
    <w:p>
      <w:r/>
      <w:r>
        <w:t>Peu d'informations sont disponibles sur les maisons de cette période. Ceci est dû en partie aux hasards des fouilles, mais aussi au fait que de nombreux sites ont été détruits à la fin de cette époque par les Israélites, par les « peuples de la mer » et par les Égyptiens entre autres.</w:t>
      </w:r>
    </w:p>
    <w:p>
      <w:pPr>
        <w:pStyle w:val="Heading3"/>
      </w:pPr>
      <w:r>
        <w:t>Maisons israélites de l'âge du fer (vers 1200–600 av. J.-C.)</w:t>
      </w:r>
    </w:p>
    <w:p>
      <w:r/>
      <w:r>
        <w:t>De nombreux exemplaires de bâtiments domestiques de cette période ont été trouvés. Les premières structures israélites étaient assez rudimentaires, mais la qualité de construction s'est progressivement améliorée. Ainsi, à Tell Qasil au 12</w:t>
      </w:r>
      <w:r>
        <w:rPr>
          <w:vertAlign w:val="superscript"/>
        </w:rPr>
        <w:t>e</w:t>
      </w:r>
      <w:r>
        <w:t xml:space="preserve"> siècle, il y avait des maisons pauvres qui avaient juste une cour et une pièce unique d'un côté. Une maison plus grande, qui date de la même époque et était située à Beth-Schémesch, avait une fondation faite de grandes pierres non taillées, une cour d'environ 10,4 mètres par 6,1 et trois pièces d'un côté de la cour qui mesuraient 3,4 mètres par 3,2. La cour et deux des pièces étaient pavées de pierres brutes. Une autre maison, découverte à Hatsor et datant d'environ 900 av. J.-C., avait une cour et des pièces sur l'un des côtés. La moitié de la cour était couverte par un toit soutenu par des piliers de pierre. Ces piliers de pierre étaient très caractéristiques des maisons de l'âge du fer en Palestine et ont été retrouvés dans des sites de fouilles dans tout le pays.</w:t>
      </w:r>
    </w:p>
    <w:p>
      <w:r/>
      <w:r>
        <w:t>Le type de maison le plus commun à l'époque des rois de Juda et d'Israël comportait des pièces construites sur trois des côtés de la cour. Ce type de maison est parfois désigné « maison à quatre pièces ». Une longue pièce était bâtie du côté court de la cour. Deux autres pièces étaient situées chacune sur l'un des côtés longs. La cour était divisée en trois dans le sens de la longueur par deux rangées de piliers. Ces piliers portaient le toit et servaient de support à des murs à mi-hauteur ou allant jusqu'en haut. L'entrée de la maison était dans la cour ; celle-ci donnait sur la rue. Il y avait souvent des fours et des silos dans ces cours. Le complexe pouvait être agrandi en y ajoutant une rangée de pièces à l'extérieur des pièces qui étaient sur le côté long de la cour. Il était possible de diviser de longues pièces en pièces plus petites de différentes façons. Parfois, quand la solidité des murs le permettait, un deuxième étage pouvait être construit. Un très bon exemplaire de maison à quatre pièces agrandie par la suite a été découvert à Sichem. Cette maison date d'environ 748–724 av. J.-C. La cour contenait un bac de stockage, un foyer ouvert de grande taille, une meule (moulin à bras), des broyeurs en pierre, et des fonds de jarres dans des piédestaux en pierre. Dans les pièces qui avaient été ajoutées se trouvait un dispositif pour récupérer l'eau du toit et la rediriger vers un système d'eau souterrain. Un grand silo dans l'une des pièces était relié à la cuisine.</w:t>
      </w:r>
    </w:p>
    <w:p>
      <w:r/>
      <w:r>
        <w:t>Certains éléments démontrent que les grandes maisons de l'âge du fer servaient de bâtiments industriels ou commerciaux. Des maisons à Tell Beit Mirsim contenaient des cuves à teinture et des poids de métier à tisser. Ailleurs, le grand nombre de meules fait supposer qu'il s'y trouvait une industrie de mouture de blé (c'est-à-dire où le blé était moulu). Il y a également des indications de cuves à vin, d'équipement de potiers et de boutiques. Certaines maisons avaient des pièces réservées à des fins religieuses et contenaient des brûle-parfums, des figurines, de petits autels et d'autres objets similaires.</w:t>
      </w:r>
    </w:p>
    <w:p>
      <w:r/>
      <w:r>
        <w:t>Les fouilles de Kathleen Kenyon à Jérusalem ont produit des maisons datant de l'époque de la fin du royaume de Juda. Elles étaient plutôt petites et de plans irréguliers, mais suivaient dans l'ensemble le même modèle que celles situées dans la région des collines de Juda : une cour divisée par une rangée de piliers en pierre qui soutenaient le toit.</w:t>
      </w:r>
    </w:p>
    <w:p>
      <w:r/>
      <w:r>
        <w:t>Le contraste entre les grandes et les petites maisons dans certaines villes correspond probablement à l'inégalité sociale dénoncée par les prophètes. Aux 10</w:t>
      </w:r>
      <w:r>
        <w:rPr>
          <w:vertAlign w:val="superscript"/>
        </w:rPr>
        <w:t>e</w:t>
      </w:r>
      <w:r>
        <w:t xml:space="preserve"> et 9</w:t>
      </w:r>
      <w:r>
        <w:rPr>
          <w:vertAlign w:val="superscript"/>
        </w:rPr>
        <w:t>e</w:t>
      </w:r>
      <w:r>
        <w:t xml:space="preserve"> siècles av. J.-C., il y avait quasiment toujours quelques grandes maisons pour de nombreuses maisons plus petites. Au 8</w:t>
      </w:r>
      <w:r>
        <w:rPr>
          <w:vertAlign w:val="superscript"/>
        </w:rPr>
        <w:t>e</w:t>
      </w:r>
      <w:r>
        <w:t xml:space="preserve"> siècle av. J.-C., la grande ville de Thirtsa n'avait que trois ou quatre grandes maisons, mais un très grand nombre de constructions plus rudimentaires.</w:t>
      </w:r>
    </w:p>
    <w:p>
      <w:pPr>
        <w:pStyle w:val="Heading3"/>
      </w:pPr>
      <w:r>
        <w:t>Maisons à l'époque du Nouveau Testament</w:t>
      </w:r>
    </w:p>
    <w:p>
      <w:r/>
      <w:r>
        <w:t>Le NT mentionne maisons, toits, portes, fondations, chambres hautes et lampes. L'une des paraboles de Jésus établit un contraste entre une bonne et une mauvaise fondation (</w:t>
      </w:r>
      <w:hyperlink r:id="rId9475">
        <w:r>
          <w:rPr>
            <w:color w:val="0000EE"/>
            <w:u w:val="single"/>
          </w:rPr>
          <w:t>Mt 7.25</w:t>
        </w:r>
      </w:hyperlink>
      <w:r>
        <w:t>). Un homme paralysé est descendu par ses amis à travers une ouverture faite dans le toit d'une maison pour le placer dans la pièce inférieure où se trouve Jésus (</w:t>
      </w:r>
      <w:hyperlink r:id="rId9476">
        <w:r>
          <w:rPr>
            <w:color w:val="0000EE"/>
            <w:u w:val="single"/>
          </w:rPr>
          <w:t>Mc 2.4</w:t>
        </w:r>
      </w:hyperlink>
      <w:r>
        <w:t>). Jésus parle de prêcher sur les toits (</w:t>
      </w:r>
      <w:hyperlink r:id="rId9477">
        <w:r>
          <w:rPr>
            <w:color w:val="0000EE"/>
            <w:u w:val="single"/>
          </w:rPr>
          <w:t xml:space="preserve">Mt 10.27 </w:t>
        </w:r>
      </w:hyperlink>
      <w:r>
        <w:t xml:space="preserve">; </w:t>
      </w:r>
      <w:hyperlink r:id="rId9478">
        <w:r>
          <w:rPr>
            <w:color w:val="0000EE"/>
            <w:u w:val="single"/>
          </w:rPr>
          <w:t>Lc 12.3</w:t>
        </w:r>
      </w:hyperlink>
      <w:r>
        <w:t>). Pierre monte sur un toit pour prier (</w:t>
      </w:r>
      <w:hyperlink r:id="rId3498">
        <w:r>
          <w:rPr>
            <w:color w:val="0000EE"/>
            <w:u w:val="single"/>
          </w:rPr>
          <w:t>Ac 10.9</w:t>
        </w:r>
      </w:hyperlink>
      <w:r>
        <w:t>). Les maisons sont balayées pour retrouver des objets perdus (</w:t>
      </w:r>
      <w:hyperlink r:id="rId9479">
        <w:r>
          <w:rPr>
            <w:color w:val="0000EE"/>
            <w:u w:val="single"/>
          </w:rPr>
          <w:t>Lc 15.8</w:t>
        </w:r>
      </w:hyperlink>
      <w:r>
        <w:t>) et éclairées par des lampes (</w:t>
      </w:r>
      <w:hyperlink r:id="rId2021">
        <w:r>
          <w:rPr>
            <w:color w:val="0000EE"/>
            <w:u w:val="single"/>
          </w:rPr>
          <w:t>Mt 5.15</w:t>
        </w:r>
      </w:hyperlink>
      <w:r>
        <w:t>). Il y a plusieurs mentions de maisons appartenant à des personnes spécifiques (</w:t>
      </w:r>
      <w:hyperlink r:id="rId9480">
        <w:r>
          <w:rPr>
            <w:color w:val="0000EE"/>
            <w:u w:val="single"/>
          </w:rPr>
          <w:t xml:space="preserve">Mc 8.3 </w:t>
        </w:r>
      </w:hyperlink>
      <w:r>
        <w:t xml:space="preserve">; </w:t>
      </w:r>
      <w:hyperlink r:id="rId9481">
        <w:r>
          <w:rPr>
            <w:color w:val="0000EE"/>
            <w:u w:val="single"/>
          </w:rPr>
          <w:t xml:space="preserve">Lc 10.5 </w:t>
        </w:r>
      </w:hyperlink>
      <w:r>
        <w:t xml:space="preserve">; </w:t>
      </w:r>
      <w:hyperlink r:id="rId9482">
        <w:r>
          <w:rPr>
            <w:color w:val="0000EE"/>
            <w:u w:val="single"/>
          </w:rPr>
          <w:t xml:space="preserve">16.4 </w:t>
        </w:r>
      </w:hyperlink>
      <w:r>
        <w:t xml:space="preserve">; </w:t>
      </w:r>
      <w:hyperlink r:id="rId9483">
        <w:r>
          <w:rPr>
            <w:color w:val="0000EE"/>
            <w:u w:val="single"/>
          </w:rPr>
          <w:t xml:space="preserve">19.9 </w:t>
        </w:r>
      </w:hyperlink>
      <w:r>
        <w:t xml:space="preserve">; </w:t>
      </w:r>
      <w:hyperlink r:id="rId9484">
        <w:r>
          <w:rPr>
            <w:color w:val="0000EE"/>
            <w:u w:val="single"/>
          </w:rPr>
          <w:t xml:space="preserve">Jn 11.20 </w:t>
        </w:r>
      </w:hyperlink>
      <w:r>
        <w:t xml:space="preserve">; </w:t>
      </w:r>
      <w:hyperlink r:id="rId9485">
        <w:r>
          <w:rPr>
            <w:color w:val="0000EE"/>
            <w:u w:val="single"/>
          </w:rPr>
          <w:t xml:space="preserve">Ac 4.34 </w:t>
        </w:r>
      </w:hyperlink>
      <w:r>
        <w:t xml:space="preserve">; </w:t>
      </w:r>
      <w:hyperlink r:id="rId4397">
        <w:r>
          <w:rPr>
            <w:color w:val="0000EE"/>
            <w:u w:val="single"/>
          </w:rPr>
          <w:t xml:space="preserve">9.11 </w:t>
        </w:r>
      </w:hyperlink>
      <w:r>
        <w:t xml:space="preserve">; </w:t>
      </w:r>
      <w:hyperlink r:id="rId9486">
        <w:r>
          <w:rPr>
            <w:color w:val="0000EE"/>
            <w:u w:val="single"/>
          </w:rPr>
          <w:t>10.32</w:t>
        </w:r>
      </w:hyperlink>
      <w:r>
        <w:t>). Certaines maisons ont des chambres hautes situées sur le toit et accessibles par un escalier à l'extérieur de la maison. Le repas de la Pâque de Jésus avec ses disciples est préparé dans une telle grande pièce, située à l'étage (</w:t>
      </w:r>
      <w:hyperlink r:id="rId9487">
        <w:r>
          <w:rPr>
            <w:color w:val="0000EE"/>
            <w:u w:val="single"/>
          </w:rPr>
          <w:t>Mc 14.12–15</w:t>
        </w:r>
      </w:hyperlink>
      <w:r>
        <w:t>). Les disciples utilisent aussi une pièce similaire après la mort et la résurrection de Jésus (</w:t>
      </w:r>
      <w:hyperlink r:id="rId588">
        <w:r>
          <w:rPr>
            <w:color w:val="0000EE"/>
            <w:u w:val="single"/>
          </w:rPr>
          <w:t>Ac 1.13</w:t>
        </w:r>
      </w:hyperlink>
      <w:r>
        <w:t>). Dans ces maisons, il y a parfois des serviteurs (</w:t>
      </w:r>
      <w:hyperlink r:id="rId9488">
        <w:r>
          <w:rPr>
            <w:color w:val="0000EE"/>
            <w:u w:val="single"/>
          </w:rPr>
          <w:t>10.7</w:t>
        </w:r>
      </w:hyperlink>
      <w:r>
        <w:t>), et certaines ont une chambre d'hôte (</w:t>
      </w:r>
      <w:hyperlink r:id="rId1460">
        <w:r>
          <w:rPr>
            <w:color w:val="0000EE"/>
            <w:u w:val="single"/>
          </w:rPr>
          <w:t>Mc 14.14</w:t>
        </w:r>
      </w:hyperlink>
      <w:r>
        <w:t>). L'ensemble des données du NT permet de conclure à l'existence de maisons de tailles et de niveaux d'élégance assez variés à l'époque de Jésus. Dans une rue typique de Judée ou de Galilée, on pouvait trouver de petites maisons de 2,3 à 2,8 mètres carrés ainsi qu'une villa de la classe supérieure, avec deux étages ou plus, qui pouvait être embellie par des rangées de piliers et des ornements architecturaux.</w:t>
      </w:r>
    </w:p>
    <w:p>
      <w:r/>
      <w:r>
        <w:t>Pour en apprendre davantage sur ces maisons, il faut se tourner vers les indices découverts au cours de fouilles archéologiques et dans la littérature. Les écrits des rabbins et de Flavius Josèphe fournissent des détails qui complètent ce que les fouilles révèlent. Les fouilles sur des sites de la période romaine hérodienne (de 37 av. J.-C. à 70 apr. J.-C.) permettent la découverte d'informations plus tangibles. La fouille de l'ancien quartier juif de Jérusalem s'avère une mine d'informations. Une grande maison d'environ 209 mètres carrés a été trouvée. Elle avait une cour centrale avec trois fours de cuisson et une citerne. De grandes niches dans certains des murs contiennent de la poterie cassée ; elles servaient probablement de placards. Des traces de sols en mosaïque et de murs plâtrés aident à se représenter la splendeur de cette maison. Il y avait peut-être jusqu'à dix pièces autour de la cour. Des vestiges d'autres jolies maisons de la fin de la période du second Temple ont été découverts plus à l'ouest, notamment dans la zone du cimetière arménien sur le mont Sion. De magnifiques fresques y ont été préservées, représentant des oiseaux d'une façon originale. Des pavements en mosaïque avec des motifs purement géométriques ont été trouvés dans d'autres maisons, qui respectaient ainsi l'interdiction de dépeindre des êtres vivants.</w:t>
      </w:r>
    </w:p>
    <w:p>
      <w:r/>
      <w:r>
        <w:rPr>
          <w:i/>
        </w:rPr>
        <w:t>Voir aussi</w:t>
      </w:r>
      <w:r>
        <w:t xml:space="preserve"> </w:t>
      </w:r>
      <w:r>
        <w:t>architecture</w:t>
      </w:r>
      <w:r>
        <w:t>.</w:t>
      </w:r>
      <w:r/>
      <w:r/>
    </w:p>
    <w:p>
      <w:r/>
    </w:p>
    <w:p>
      <w:pPr>
        <w:pStyle w:val="Heading2"/>
      </w:pPr>
      <w:r>
        <w:t>maître, maîtresse</w:t>
      </w:r>
      <w:r/>
    </w:p>
    <w:p>
      <w:r/>
      <w:r>
        <w:t>Terme qui désigne une personne qui a autorité ou possède quelque chose ou quelqu'un. Le mot « maître » est aussi parfois utilisé dans un autre sens, celui d'enseignant (</w:t>
      </w:r>
      <w:hyperlink r:id="rId9489">
        <w:r>
          <w:rPr>
            <w:color w:val="0000EE"/>
            <w:u w:val="single"/>
          </w:rPr>
          <w:t>Jn 1.38</w:t>
        </w:r>
      </w:hyperlink>
      <w:r>
        <w:t>). En plus de son sens ordinaire (p. ex., maîtresse d'une esclave), le mot « maîtresse » est plus rarement utilisé pour décrire une prostituée (Ez 16.30).</w:t>
      </w:r>
    </w:p>
    <w:p>
      <w:r/>
      <w:r>
        <w:t>Maître ou maîtresse désigne le plus souvent quelqu'un en position d'autorité, ou un propriétaire :</w:t>
      </w:r>
    </w:p>
    <w:p>
      <w:pPr>
        <w:pStyle w:val="ListBullet"/>
        <w:spacing w:line="240" w:lineRule="auto"/>
        <w:ind w:left="720"/>
      </w:pPr>
      <w:r/>
      <w:r>
        <w:t>le propriétaire d'un animal (</w:t>
      </w:r>
      <w:hyperlink r:id="rId6204">
        <w:r>
          <w:rPr>
            <w:color w:val="0000EE"/>
            <w:u w:val="single"/>
          </w:rPr>
          <w:t>Es 1.3</w:t>
        </w:r>
      </w:hyperlink>
      <w:r>
        <w:t>)</w:t>
      </w:r>
    </w:p>
    <w:p>
      <w:pPr>
        <w:pStyle w:val="ListBullet"/>
        <w:spacing w:line="240" w:lineRule="auto"/>
        <w:ind w:left="720"/>
      </w:pPr>
      <w:r/>
      <w:r>
        <w:t>un chef de famille (</w:t>
      </w:r>
      <w:hyperlink r:id="rId9490">
        <w:r>
          <w:rPr>
            <w:color w:val="0000EE"/>
            <w:u w:val="single"/>
          </w:rPr>
          <w:t>Mc 13.35</w:t>
        </w:r>
      </w:hyperlink>
      <w:r>
        <w:t>) ou une maîtresse de maison (</w:t>
      </w:r>
      <w:hyperlink r:id="rId9491">
        <w:r>
          <w:rPr>
            <w:color w:val="0000EE"/>
            <w:u w:val="single"/>
          </w:rPr>
          <w:t>1R 17.17</w:t>
        </w:r>
      </w:hyperlink>
      <w:r>
        <w:t>)</w:t>
      </w:r>
    </w:p>
    <w:p>
      <w:pPr>
        <w:pStyle w:val="ListBullet"/>
        <w:spacing w:line="240" w:lineRule="auto"/>
        <w:ind w:left="720"/>
      </w:pPr>
      <w:r/>
      <w:r>
        <w:t>un propriétaire d'esclaves (</w:t>
      </w:r>
      <w:hyperlink r:id="rId9492">
        <w:r>
          <w:rPr>
            <w:color w:val="0000EE"/>
            <w:u w:val="single"/>
          </w:rPr>
          <w:t xml:space="preserve">Gn 16.9 </w:t>
        </w:r>
      </w:hyperlink>
      <w:r>
        <w:t>;</w:t>
      </w:r>
      <w:hyperlink r:id="rId9493">
        <w:r>
          <w:rPr>
            <w:color w:val="0000EE"/>
            <w:u w:val="single"/>
          </w:rPr>
          <w:t xml:space="preserve"> 39.3 </w:t>
        </w:r>
      </w:hyperlink>
      <w:r>
        <w:t xml:space="preserve">; </w:t>
      </w:r>
      <w:hyperlink r:id="rId2311">
        <w:r>
          <w:rPr>
            <w:color w:val="0000EE"/>
            <w:u w:val="single"/>
          </w:rPr>
          <w:t>Ep 6.5</w:t>
        </w:r>
      </w:hyperlink>
      <w:r>
        <w:t>)</w:t>
      </w:r>
    </w:p>
    <w:p>
      <w:pPr>
        <w:pStyle w:val="ListBullet"/>
        <w:spacing w:line="240" w:lineRule="auto"/>
        <w:ind w:left="720"/>
      </w:pPr>
      <w:r/>
      <w:r>
        <w:t>quelqu'un qui a des personnes travaillant pour lui (</w:t>
      </w:r>
      <w:hyperlink r:id="rId9494">
        <w:r>
          <w:rPr>
            <w:color w:val="0000EE"/>
            <w:u w:val="single"/>
          </w:rPr>
          <w:t>Lc 16.3</w:t>
        </w:r>
      </w:hyperlink>
      <w:r>
        <w:t>)</w:t>
      </w:r>
    </w:p>
    <w:p>
      <w:pPr>
        <w:pStyle w:val="ListBullet"/>
        <w:spacing w:line="240" w:lineRule="auto"/>
        <w:ind w:left="720"/>
      </w:pPr>
      <w:r/>
      <w:r>
        <w:t>le Seigneur Dieu, à qui appartiennent tous les membres de son peuple (</w:t>
      </w:r>
      <w:hyperlink r:id="rId4910">
        <w:r>
          <w:rPr>
            <w:color w:val="0000EE"/>
            <w:u w:val="single"/>
          </w:rPr>
          <w:t>Ep 6.9</w:t>
        </w:r>
      </w:hyperlink>
      <w:r>
        <w:t>)</w:t>
      </w:r>
    </w:p>
    <w:p>
      <w:r/>
      <w:r>
        <w:t xml:space="preserve">En grec, le concept de « maître » est souvent communiqué par le mot </w:t>
      </w:r>
      <w:r>
        <w:rPr>
          <w:i/>
        </w:rPr>
        <w:t xml:space="preserve">kurios, </w:t>
      </w:r>
      <w:r>
        <w:t>qui désigne aussi quelqu'un d'important. La bonne façon de comprendre ce mot dépend du contexte dans lequel il est utilisé. Parfois, ce peut simplement être une formule de respect, comme « monsieur » (</w:t>
      </w:r>
      <w:hyperlink r:id="rId9495">
        <w:r>
          <w:rPr>
            <w:color w:val="0000EE"/>
            <w:u w:val="single"/>
          </w:rPr>
          <w:t>Jn 12.20–22</w:t>
        </w:r>
      </w:hyperlink>
      <w:r>
        <w:t>). Dans certains cas, il désigne le maître que quelqu'un sert volontairement ou comme esclave (</w:t>
      </w:r>
      <w:hyperlink r:id="rId4910">
        <w:r>
          <w:rPr>
            <w:color w:val="0000EE"/>
            <w:u w:val="single"/>
          </w:rPr>
          <w:t>Ep 6.9</w:t>
        </w:r>
      </w:hyperlink>
      <w:r>
        <w:t xml:space="preserve">). </w:t>
      </w:r>
    </w:p>
    <w:p>
      <w:r/>
      <w:r>
        <w:t xml:space="preserve">Le plus important des usages du mot </w:t>
      </w:r>
      <w:r>
        <w:rPr>
          <w:i/>
        </w:rPr>
        <w:t>kyrios</w:t>
      </w:r>
      <w:r>
        <w:t xml:space="preserve"> est celui qui décrit Dieu ou Jésus en tant que « Seigneur ». Le fait que Dieu est Seigneur et le fait que Jésus est Seigneur signifient leur pleine autorité et pouvoir. Dans </w:t>
      </w:r>
      <w:hyperlink r:id="rId5038">
        <w:r>
          <w:rPr>
            <w:color w:val="0000EE"/>
            <w:u w:val="single"/>
          </w:rPr>
          <w:t>Jean 13.13–14</w:t>
        </w:r>
      </w:hyperlink>
      <w:r>
        <w:t>, Jésus déclare qu'il est à la fois maître (enseignant) et Seigneur (</w:t>
      </w:r>
      <w:r>
        <w:rPr>
          <w:i/>
        </w:rPr>
        <w:t>kyrios</w:t>
      </w:r>
      <w:r>
        <w:t>). Pour devenir chrétien, il faut reconnaître que Jésus est le Seigneur qui a pleine autorité sur nous (</w:t>
      </w:r>
      <w:hyperlink r:id="rId2838">
        <w:r>
          <w:rPr>
            <w:color w:val="0000EE"/>
            <w:u w:val="single"/>
          </w:rPr>
          <w:t>Rm 10.9</w:t>
        </w:r>
      </w:hyperlink>
      <w:r>
        <w:t>).</w:t>
      </w:r>
      <w:r/>
      <w:r/>
    </w:p>
    <w:p>
      <w:r/>
    </w:p>
    <w:p>
      <w:pPr>
        <w:pStyle w:val="Heading2"/>
      </w:pPr>
      <w:r>
        <w:t>Majordome</w:t>
      </w:r>
      <w:r/>
    </w:p>
    <w:p>
      <w:r/>
      <w:r>
        <w:t xml:space="preserve">Sens d'un mot hébreu traduit par « échanson » ou « goûteur de vin » dans </w:t>
      </w:r>
      <w:hyperlink r:id="rId4464">
        <w:r>
          <w:rPr>
            <w:color w:val="0000EE"/>
            <w:u w:val="single"/>
          </w:rPr>
          <w:t>Genèse 40</w:t>
        </w:r>
      </w:hyperlink>
      <w:r>
        <w:t xml:space="preserve"> et </w:t>
      </w:r>
      <w:hyperlink r:id="rId9496">
        <w:r>
          <w:rPr>
            <w:color w:val="0000EE"/>
            <w:u w:val="single"/>
          </w:rPr>
          <w:t>41</w:t>
        </w:r>
      </w:hyperlink>
      <w:r>
        <w:t xml:space="preserve">. </w:t>
      </w:r>
      <w:r>
        <w:rPr>
          <w:i/>
        </w:rPr>
        <w:t>Voir</w:t>
      </w:r>
      <w:r>
        <w:t xml:space="preserve"> </w:t>
      </w:r>
      <w:r>
        <w:t>Échanson</w:t>
      </w:r>
      <w:r>
        <w:t>.</w:t>
      </w:r>
      <w:r/>
      <w:r/>
    </w:p>
    <w:p>
      <w:r/>
    </w:p>
    <w:p>
      <w:pPr>
        <w:pStyle w:val="Heading2"/>
      </w:pPr>
      <w:r>
        <w:t>Makir</w:t>
      </w:r>
      <w:r/>
    </w:p>
    <w:p>
      <w:pPr>
        <w:pStyle w:val="ListNumber"/>
        <w:spacing w:line="240" w:lineRule="auto"/>
        <w:ind w:left="720"/>
      </w:pPr>
      <w:r/>
      <w:r>
        <w:t>Petit-fils du patriarche Joseph. Il était le fils aîné de Manassé par sa concubine araméenne (</w:t>
      </w:r>
      <w:hyperlink r:id="rId9497">
        <w:r>
          <w:rPr>
            <w:color w:val="0000EE"/>
            <w:u w:val="single"/>
          </w:rPr>
          <w:t>Gn 50.23</w:t>
        </w:r>
      </w:hyperlink>
      <w:r>
        <w:t xml:space="preserve"> ; </w:t>
      </w:r>
      <w:hyperlink r:id="rId9498">
        <w:r>
          <w:rPr>
            <w:color w:val="0000EE"/>
            <w:u w:val="single"/>
          </w:rPr>
          <w:t>1Ch 7.14</w:t>
        </w:r>
      </w:hyperlink>
      <w:r>
        <w:t>). Makir était le père de Galaad et le fondateur du clan des Makirites (</w:t>
      </w:r>
      <w:hyperlink r:id="rId9499">
        <w:r>
          <w:rPr>
            <w:color w:val="0000EE"/>
            <w:u w:val="single"/>
          </w:rPr>
          <w:t>Nb 26.29</w:t>
        </w:r>
      </w:hyperlink>
      <w:r>
        <w:t>). Ses descendants ont vaincu les Amoréens qui vivaient dans le pays de Galaad à l'est du Jourdain à l'époque de Moïse (</w:t>
      </w:r>
      <w:hyperlink r:id="rId9500">
        <w:r>
          <w:rPr>
            <w:color w:val="0000EE"/>
            <w:u w:val="single"/>
          </w:rPr>
          <w:t>Nb 32.39</w:t>
        </w:r>
      </w:hyperlink>
      <w:r>
        <w:t>). Plus tard, Josué leur attribuera ce pays ainsi que Basan comme héritage (</w:t>
      </w:r>
      <w:hyperlink r:id="rId9501">
        <w:r>
          <w:rPr>
            <w:color w:val="0000EE"/>
            <w:u w:val="single"/>
          </w:rPr>
          <w:t>Dt 3.15</w:t>
        </w:r>
      </w:hyperlink>
      <w:r>
        <w:t xml:space="preserve"> ; </w:t>
      </w:r>
      <w:hyperlink r:id="rId9502">
        <w:r>
          <w:rPr>
            <w:color w:val="0000EE"/>
            <w:u w:val="single"/>
          </w:rPr>
          <w:t>Jos 17.1–3</w:t>
        </w:r>
      </w:hyperlink>
      <w:r>
        <w:t xml:space="preserve">). Dans </w:t>
      </w:r>
      <w:hyperlink r:id="rId607">
        <w:r>
          <w:rPr>
            <w:color w:val="0000EE"/>
            <w:u w:val="single"/>
          </w:rPr>
          <w:t>Juges 5.14</w:t>
        </w:r>
      </w:hyperlink>
      <w:r>
        <w:t>, toute la tribu de Manassé est appelée par ce nom.</w:t>
      </w:r>
    </w:p>
    <w:p>
      <w:pPr>
        <w:pStyle w:val="ListNumber"/>
        <w:spacing w:line="240" w:lineRule="auto"/>
        <w:ind w:left="720"/>
      </w:pPr>
      <w:r/>
      <w:r>
        <w:t>Fils d'Ammiel qui vivait à Lo-debar. Lo-debar était une ville à l'est du Jourdain. Makir fournira un abri à Mephiboscheth (</w:t>
      </w:r>
      <w:hyperlink r:id="rId9503">
        <w:r>
          <w:rPr>
            <w:color w:val="0000EE"/>
            <w:u w:val="single"/>
          </w:rPr>
          <w:t>2S 9.4–5</w:t>
        </w:r>
      </w:hyperlink>
      <w:r>
        <w:t>). Plus tard, Makir, avec Schobi et Barzillaï, apportera des provisions à David et à son peuple lorsque David fuyait son fils Absalom (</w:t>
      </w:r>
      <w:hyperlink r:id="rId733">
        <w:r>
          <w:rPr>
            <w:color w:val="0000EE"/>
            <w:u w:val="single"/>
          </w:rPr>
          <w:t>2S 17.27</w:t>
        </w:r>
      </w:hyperlink>
      <w:r>
        <w:t>).</w:t>
      </w:r>
      <w:r/>
      <w:r/>
    </w:p>
    <w:p>
      <w:r/>
    </w:p>
    <w:p>
      <w:pPr>
        <w:pStyle w:val="Heading2"/>
      </w:pPr>
      <w:r>
        <w:t>Malchus</w:t>
      </w:r>
      <w:r/>
    </w:p>
    <w:p>
      <w:r/>
      <w:r>
        <w:t xml:space="preserve">Nom d'un serviteur du souverain sacrificateur mentionné dans </w:t>
      </w:r>
      <w:hyperlink r:id="rId9504">
        <w:r>
          <w:rPr>
            <w:color w:val="0000EE"/>
            <w:u w:val="single"/>
          </w:rPr>
          <w:t>Jean 18.10</w:t>
        </w:r>
      </w:hyperlink>
      <w:r>
        <w:t xml:space="preserve">. Au moment de l'arrestation de Jésus, Pierre a frappé Malchus avec une épée et lui a coupé l'oreille. </w:t>
      </w:r>
      <w:hyperlink r:id="rId9505">
        <w:r>
          <w:rPr>
            <w:color w:val="0000EE"/>
            <w:u w:val="single"/>
          </w:rPr>
          <w:t>Matthieu 26.51</w:t>
        </w:r>
      </w:hyperlink>
      <w:r>
        <w:t xml:space="preserve">, </w:t>
      </w:r>
      <w:hyperlink r:id="rId9506">
        <w:r>
          <w:rPr>
            <w:color w:val="0000EE"/>
            <w:u w:val="single"/>
          </w:rPr>
          <w:t>Marc 14.47</w:t>
        </w:r>
      </w:hyperlink>
      <w:r>
        <w:t xml:space="preserve"> et </w:t>
      </w:r>
      <w:hyperlink r:id="rId9507">
        <w:r>
          <w:rPr>
            <w:color w:val="0000EE"/>
            <w:u w:val="single"/>
          </w:rPr>
          <w:t>Luc 22.50–51</w:t>
        </w:r>
      </w:hyperlink>
      <w:r>
        <w:t xml:space="preserve"> racontent l'incident mais ne donnent pas le nom du serviteur. L'Évangile selon Luc précise que Jésus a immédiatement guéri son oreille.</w:t>
      </w:r>
      <w:r/>
      <w:r/>
    </w:p>
    <w:p>
      <w:r/>
    </w:p>
    <w:p>
      <w:pPr>
        <w:pStyle w:val="Heading2"/>
      </w:pPr>
      <w:r>
        <w:t>Malkiel, Malchielite</w:t>
      </w:r>
      <w:r/>
    </w:p>
    <w:p>
      <w:r/>
      <w:r>
        <w:t>Fils de Beria, petit-fils d'Aser (</w:t>
      </w:r>
      <w:hyperlink r:id="rId1386">
        <w:r>
          <w:rPr>
            <w:color w:val="0000EE"/>
            <w:u w:val="single"/>
          </w:rPr>
          <w:t>Gn 46.17</w:t>
        </w:r>
      </w:hyperlink>
      <w:r>
        <w:t xml:space="preserve"> ; </w:t>
      </w:r>
      <w:hyperlink r:id="rId2011">
        <w:r>
          <w:rPr>
            <w:color w:val="0000EE"/>
            <w:u w:val="single"/>
          </w:rPr>
          <w:t>1Ch 7.31</w:t>
        </w:r>
      </w:hyperlink>
      <w:r>
        <w:t>), et fondateur de la famille Malkiélite (</w:t>
      </w:r>
      <w:hyperlink r:id="rId6220">
        <w:r>
          <w:rPr>
            <w:color w:val="0000EE"/>
            <w:u w:val="single"/>
          </w:rPr>
          <w:t>Nb 26.45</w:t>
        </w:r>
      </w:hyperlink>
      <w:r>
        <w:t>).</w:t>
      </w:r>
      <w:r/>
      <w:r/>
    </w:p>
    <w:p>
      <w:r/>
    </w:p>
    <w:p>
      <w:pPr>
        <w:pStyle w:val="Heading2"/>
      </w:pPr>
      <w:r>
        <w:t>Malte</w:t>
      </w:r>
      <w:r/>
    </w:p>
    <w:p>
      <w:r/>
      <w:r>
        <w:t>Île de la mer Méditerranée, au sud de la Sicile. Le nom Malte n'apparaît qu'une seule fois dans la Bible (</w:t>
      </w:r>
      <w:hyperlink r:id="rId9508">
        <w:r>
          <w:rPr>
            <w:color w:val="0000EE"/>
            <w:u w:val="single"/>
          </w:rPr>
          <w:t>Ac 28.1</w:t>
        </w:r>
      </w:hyperlink>
      <w:r>
        <w:t>), en lien avec le naufrage survenu lors du voyage de Paul vers Rome (</w:t>
      </w:r>
      <w:hyperlink r:id="rId5551">
        <w:r>
          <w:rPr>
            <w:color w:val="0000EE"/>
            <w:u w:val="single"/>
          </w:rPr>
          <w:t>25.11–12</w:t>
        </w:r>
      </w:hyperlink>
      <w:r>
        <w:t>). Ce voyage a été entrepris pendant l'hiver, la saison où les tempêtes sont les plus probables en Méditerranée. Le navire avançait prudemment, car des vents contraires soufflaient (</w:t>
      </w:r>
      <w:hyperlink r:id="rId2656">
        <w:r>
          <w:rPr>
            <w:color w:val="0000EE"/>
            <w:u w:val="single"/>
          </w:rPr>
          <w:t>27.4</w:t>
        </w:r>
      </w:hyperlink>
      <w:r>
        <w:t xml:space="preserve">). Avec difficulté, ils atteindront le port de Beaux Ports en Crète (v. </w:t>
      </w:r>
      <w:hyperlink r:id="rId9509">
        <w:r>
          <w:rPr>
            <w:color w:val="0000EE"/>
            <w:u w:val="single"/>
          </w:rPr>
          <w:t>7–8</w:t>
        </w:r>
      </w:hyperlink>
      <w:r>
        <w:t xml:space="preserve">). Malgré un avertissement de Paul, la décision sera prise d'essayer d'atteindre le port crétois de Phénix, plus adapté pour passer l'hiver (v. </w:t>
      </w:r>
      <w:hyperlink r:id="rId8015">
        <w:r>
          <w:rPr>
            <w:color w:val="0000EE"/>
            <w:u w:val="single"/>
          </w:rPr>
          <w:t>9–12</w:t>
        </w:r>
      </w:hyperlink>
      <w:r>
        <w:t>).</w:t>
      </w:r>
    </w:p>
    <w:p>
      <w:r/>
      <w:r>
        <w:t>Pris par une violente tempête et poussés impuissants par le vent pendant quatorze jours, le navire s'approchera finalement de la terre pendant la nuit. Le matin, le navire tentera d'atteindre la plage, mais s'échouera et sera brisé en morceaux par les vagues. Tout le monde parviendra à atteindre le rivage sain et sauf. En mettant du bois sur un feu, Paul sera mordu par une vipère. Les indigènes de l'île supposeront qu'il était un criminel dont la vie était prise par la morsure d'un serpent. Lorsqu'il ne tomba pas mort, ils changeront radicalement d'opinion à son sujet et le considèreront comme un dieu (</w:t>
      </w:r>
      <w:hyperlink r:id="rId9510">
        <w:r>
          <w:rPr>
            <w:color w:val="0000EE"/>
            <w:u w:val="single"/>
          </w:rPr>
          <w:t>Ac 28.6</w:t>
        </w:r>
      </w:hyperlink>
      <w:r>
        <w:t>).</w:t>
      </w:r>
    </w:p>
    <w:p>
      <w:r/>
      <w:r>
        <w:t>L'île de Malte se trouve à environ 100 km de la Sicile et couvre une superficie de 250 km2. La baie de Saint-Paul est le site traditionnel du naufrage mentionné dans les Actes. L'île est principalement agricole, mais la production est faible en raison du sol calcaire peu profond. La culture en terrasses est pratiquée pour maximiser l'utilisation du sol. L'île ne possède pas de rivières et dépend des précipitations et des sources pour son approvisionnement en eau. Le climat est généralement doux, mais en été, l'île est exposée au sirocco chaud et chargé de poussière provenant des déserts de Libye.</w:t>
      </w:r>
      <w:r/>
      <w:r/>
    </w:p>
    <w:p>
      <w:r/>
    </w:p>
    <w:p>
      <w:pPr>
        <w:pStyle w:val="Heading2"/>
      </w:pPr>
      <w:r>
        <w:t>Mamré (Lieu)</w:t>
      </w:r>
      <w:r/>
    </w:p>
    <w:p>
      <w:r/>
      <w:r>
        <w:t>Important bosquet de chênes près duquel vivait Abraham, nommé d'après un Amoréen qui l'a aidé à vaincre Kedorlaomer et à sauver Lot (</w:t>
      </w:r>
      <w:hyperlink r:id="rId4729">
        <w:r>
          <w:rPr>
            <w:color w:val="0000EE"/>
            <w:u w:val="single"/>
          </w:rPr>
          <w:t>Gn 14.13, 24</w:t>
        </w:r>
      </w:hyperlink>
      <w:r>
        <w:t>). Abraham a érigé un autel sous le chêne de Mamré (</w:t>
      </w:r>
      <w:hyperlink r:id="rId2459">
        <w:r>
          <w:rPr>
            <w:color w:val="0000EE"/>
            <w:u w:val="single"/>
          </w:rPr>
          <w:t>13.18</w:t>
        </w:r>
      </w:hyperlink>
      <w:r>
        <w:t xml:space="preserve">). Abraham était assis près de l'arbre sacré lorsqu'il a accueilli trois invités mystérieux (chap. </w:t>
      </w:r>
      <w:hyperlink r:id="rId95">
        <w:r>
          <w:rPr>
            <w:color w:val="0000EE"/>
            <w:u w:val="single"/>
          </w:rPr>
          <w:t>18</w:t>
        </w:r>
      </w:hyperlink>
      <w:r>
        <w:t xml:space="preserve">). Mamré est également un site possible pour la scène des cérémonies de l'alliance abrahamique (chap. </w:t>
      </w:r>
      <w:hyperlink r:id="rId546">
        <w:r>
          <w:rPr>
            <w:color w:val="0000EE"/>
            <w:u w:val="single"/>
          </w:rPr>
          <w:t>15</w:t>
        </w:r>
      </w:hyperlink>
      <w:r>
        <w:t>). Isaac et Jacob y ont également vécu (</w:t>
      </w:r>
      <w:hyperlink r:id="rId9511">
        <w:r>
          <w:rPr>
            <w:color w:val="0000EE"/>
            <w:u w:val="single"/>
          </w:rPr>
          <w:t>35.27</w:t>
        </w:r>
      </w:hyperlink>
      <w:r>
        <w:t>).</w:t>
      </w:r>
      <w:r/>
      <w:r/>
    </w:p>
    <w:p>
      <w:r/>
    </w:p>
    <w:p>
      <w:pPr>
        <w:pStyle w:val="Heading2"/>
      </w:pPr>
      <w:r>
        <w:t>Mamré (Personne)</w:t>
      </w:r>
      <w:r/>
    </w:p>
    <w:p>
      <w:r/>
      <w:r>
        <w:t xml:space="preserve">Propriétaire d'une parcelle de terre appelée « </w:t>
      </w:r>
      <w:r>
        <w:t>les chênes de</w:t>
      </w:r>
      <w:r>
        <w:t xml:space="preserve"> Mamré ». Il était un Amoréen et est mentionné comme ayant deux frères : Aner et Eschcol (</w:t>
      </w:r>
      <w:hyperlink r:id="rId894">
        <w:r>
          <w:rPr>
            <w:color w:val="0000EE"/>
            <w:u w:val="single"/>
          </w:rPr>
          <w:t>Gn 14.13</w:t>
        </w:r>
      </w:hyperlink>
      <w:r>
        <w:t>). Ceux-ci sont devenus alliés d'Abraham lorsqu'il combattra pour sauver son neveu Lot.</w:t>
      </w:r>
      <w:r/>
      <w:r/>
    </w:p>
    <w:p>
      <w:r/>
    </w:p>
    <w:p>
      <w:pPr>
        <w:pStyle w:val="Heading2"/>
      </w:pPr>
      <w:r>
        <w:t>Manahath (Personne)</w:t>
      </w:r>
      <w:r/>
    </w:p>
    <w:p>
      <w:r/>
      <w:r>
        <w:t xml:space="preserve">Un des cinq fils de </w:t>
      </w:r>
      <w:r>
        <w:t>Schobal</w:t>
      </w:r>
      <w:r>
        <w:t xml:space="preserve"> (</w:t>
      </w:r>
      <w:hyperlink r:id="rId594">
        <w:r>
          <w:rPr>
            <w:color w:val="0000EE"/>
            <w:u w:val="single"/>
          </w:rPr>
          <w:t>Gn 36.23</w:t>
        </w:r>
      </w:hyperlink>
      <w:r>
        <w:t xml:space="preserve"> ; </w:t>
      </w:r>
      <w:hyperlink r:id="rId595">
        <w:r>
          <w:rPr>
            <w:color w:val="0000EE"/>
            <w:u w:val="single"/>
          </w:rPr>
          <w:t>1Ch 1.40</w:t>
        </w:r>
      </w:hyperlink>
      <w:r>
        <w:t>).</w:t>
      </w:r>
      <w:r/>
      <w:r/>
    </w:p>
    <w:p>
      <w:r/>
    </w:p>
    <w:p>
      <w:pPr>
        <w:pStyle w:val="Heading2"/>
      </w:pPr>
      <w:r>
        <w:t>Manahen</w:t>
      </w:r>
      <w:r/>
    </w:p>
    <w:p>
      <w:r/>
      <w:r>
        <w:t>L'un des prophètes et enseignants de l'Église à Antioche (</w:t>
      </w:r>
      <w:hyperlink r:id="rId3034">
        <w:r>
          <w:rPr>
            <w:color w:val="0000EE"/>
            <w:u w:val="single"/>
          </w:rPr>
          <w:t>Ac 13.1</w:t>
        </w:r>
      </w:hyperlink>
      <w:r>
        <w:t>). La Bible l'identifie comme un proche compagnon d'Hérode le tétrarque (un tétrarque était un dirigeant qui gouvernait l'une des quatre parties d'une région). Le nom Manahen est une forme grecque du nom hébreu Menahem.</w:t>
      </w:r>
      <w:r/>
      <w:r/>
    </w:p>
    <w:p>
      <w:r/>
    </w:p>
    <w:p>
      <w:pPr>
        <w:pStyle w:val="Heading2"/>
      </w:pPr>
      <w:r>
        <w:t>Manassé (Personne)</w:t>
      </w:r>
      <w:r/>
    </w:p>
    <w:p>
      <w:pPr>
        <w:pStyle w:val="ListNumber"/>
        <w:spacing w:line="240" w:lineRule="auto"/>
        <w:ind w:left="720"/>
      </w:pPr>
      <w:r/>
      <w:r>
        <w:t>Fils aîné de Joseph et de son épouse égyptienne, Asnath (</w:t>
      </w:r>
      <w:hyperlink r:id="rId9512">
        <w:r>
          <w:rPr>
            <w:color w:val="0000EE"/>
            <w:u w:val="single"/>
          </w:rPr>
          <w:t>Gn 41.50–51</w:t>
        </w:r>
      </w:hyperlink>
      <w:r>
        <w:t>). Manassé et son frère Éphraïm ont rendu visite à leur grand-père Jacob alors qu'il était mourant. Jacob dira que Manassé et Éphraïm devaient être considérés comme ses propres fils, et non ceux de Joseph (</w:t>
      </w:r>
      <w:hyperlink r:id="rId9513">
        <w:r>
          <w:rPr>
            <w:color w:val="0000EE"/>
            <w:u w:val="single"/>
          </w:rPr>
          <w:t>Gn 48.5–6</w:t>
        </w:r>
      </w:hyperlink>
      <w:r>
        <w:t>). Il précisera que les descendants du premier-né Manassé ne seraient pas aussi nombreux que ceux d'Éphraïm (</w:t>
      </w:r>
      <w:hyperlink r:id="rId6041">
        <w:r>
          <w:rPr>
            <w:color w:val="0000EE"/>
            <w:u w:val="single"/>
          </w:rPr>
          <w:t>Gn 48.13–20</w:t>
        </w:r>
      </w:hyperlink>
      <w:r>
        <w:t xml:space="preserve">). Cela explique pourquoi Éphraïm et Manassé sont répertoriés comme deux des douze tribus d'Israël et non Joseph, du moins dans la plupart des cas (voir </w:t>
      </w:r>
      <w:hyperlink r:id="rId9514">
        <w:r>
          <w:rPr>
            <w:color w:val="0000EE"/>
            <w:u w:val="single"/>
          </w:rPr>
          <w:t>Ap 7.6</w:t>
        </w:r>
      </w:hyperlink>
      <w:r>
        <w:t>). Manassé a également fondé la famille manassite (</w:t>
      </w:r>
      <w:hyperlink r:id="rId9515">
        <w:r>
          <w:rPr>
            <w:color w:val="0000EE"/>
            <w:u w:val="single"/>
          </w:rPr>
          <w:t>Dt 4.43</w:t>
        </w:r>
      </w:hyperlink>
      <w:r>
        <w:t xml:space="preserve"> ; </w:t>
      </w:r>
      <w:hyperlink r:id="rId1711">
        <w:r>
          <w:rPr>
            <w:color w:val="0000EE"/>
            <w:u w:val="single"/>
          </w:rPr>
          <w:t>2R 10.33</w:t>
        </w:r>
      </w:hyperlink>
      <w:r>
        <w:t>).</w:t>
      </w:r>
    </w:p>
    <w:p>
      <w:r/>
      <w:r>
        <w:rPr>
          <w:i/>
        </w:rPr>
        <w:t>Voir aussi</w:t>
      </w:r>
      <w:r>
        <w:t xml:space="preserve"> </w:t>
      </w:r>
      <w:r>
        <w:t>Manassé, Tribu de</w:t>
      </w:r>
      <w:r>
        <w:t>.</w:t>
      </w:r>
    </w:p>
    <w:p>
      <w:pPr>
        <w:pStyle w:val="ListNumber"/>
        <w:spacing w:line="240" w:lineRule="auto"/>
        <w:ind w:left="720"/>
      </w:pPr>
      <w:r/>
      <w:r>
        <w:t xml:space="preserve">La traduction de la version LSG pour Moïse dans </w:t>
      </w:r>
      <w:hyperlink r:id="rId9516">
        <w:r>
          <w:rPr>
            <w:color w:val="0000EE"/>
            <w:u w:val="single"/>
          </w:rPr>
          <w:t>Jg 18.30</w:t>
        </w:r>
      </w:hyperlink>
      <w:r>
        <w:t>. En hébreu, les deux noms diffèrent d'une seule lettre. Un scribe ancien a probablement été offensé que ce verset relie le petit-fils de Moïse à l'idolâtrie et aurait donc changé le nom en Manassé pour préserver la réputation de Moïse.</w:t>
      </w:r>
    </w:p>
    <w:p>
      <w:r/>
      <w:r>
        <w:rPr>
          <w:i/>
        </w:rPr>
        <w:t>Voir</w:t>
      </w:r>
      <w:r>
        <w:t xml:space="preserve"> </w:t>
      </w:r>
      <w:r>
        <w:t>Moïse</w:t>
      </w:r>
      <w:r>
        <w:t>.</w:t>
      </w:r>
    </w:p>
    <w:p>
      <w:pPr>
        <w:pStyle w:val="ListNumber"/>
        <w:spacing w:line="240" w:lineRule="auto"/>
        <w:ind w:left="720"/>
      </w:pPr>
      <w:r/>
      <w:r>
        <w:t>Treizième roi de Juda, qui règnera de 697 à 642 av. J.‑C., et ancêtre de Jésus (</w:t>
      </w:r>
      <w:hyperlink r:id="rId9517">
        <w:r>
          <w:rPr>
            <w:color w:val="0000EE"/>
            <w:u w:val="single"/>
          </w:rPr>
          <w:t>Mt 1.10</w:t>
        </w:r>
      </w:hyperlink>
      <w:r>
        <w:t xml:space="preserve">). Il est célèbre pour son règne long et mauvais, décrit dans </w:t>
      </w:r>
      <w:hyperlink r:id="rId9518">
        <w:r>
          <w:rPr>
            <w:color w:val="0000EE"/>
            <w:u w:val="single"/>
          </w:rPr>
          <w:t>2 Rois 21.1–26</w:t>
        </w:r>
      </w:hyperlink>
      <w:r>
        <w:t xml:space="preserve"> et </w:t>
      </w:r>
      <w:hyperlink r:id="rId9519">
        <w:r>
          <w:rPr>
            <w:color w:val="0000EE"/>
            <w:u w:val="single"/>
          </w:rPr>
          <w:t>2 Chroniques 33.1–20</w:t>
        </w:r>
      </w:hyperlink>
      <w:r>
        <w:t xml:space="preserve">. Son père était le pieux roi Ézéchias, et sa mère était </w:t>
      </w:r>
      <w:r>
        <w:t>Hephtsiba</w:t>
      </w:r>
      <w:r>
        <w:t xml:space="preserve"> (</w:t>
      </w:r>
      <w:hyperlink r:id="rId2566">
        <w:r>
          <w:rPr>
            <w:color w:val="0000EE"/>
            <w:u w:val="single"/>
          </w:rPr>
          <w:t>2R 21.1</w:t>
        </w:r>
      </w:hyperlink>
      <w:r>
        <w:t>).</w:t>
      </w:r>
    </w:p>
    <w:p>
      <w:r/>
      <w:r>
        <w:t>À l'âge de 12 ans, il devient corégent avec son père. En 686 av. J.‑C., son père meurt et il devient seul roi à l'âge de seulement 23 ans. Son règne de 55 ans (</w:t>
      </w:r>
      <w:hyperlink r:id="rId2566">
        <w:r>
          <w:rPr>
            <w:color w:val="0000EE"/>
            <w:u w:val="single"/>
          </w:rPr>
          <w:t>2R 21.1</w:t>
        </w:r>
      </w:hyperlink>
      <w:r>
        <w:t>) est daté du début de son temps en tant que corégent avec son père. Il a donc régné onze ans comme corégent et quarante-quatre ans comme seul roi ; soit plus longtemps que tout autre roi en Juda ou en Israël. Malheureusement, il était le roi judéen le plus mauvais. Il a même commis une série de meurtres pour rester au pouvoir (</w:t>
      </w:r>
      <w:hyperlink r:id="rId9520">
        <w:r>
          <w:rPr>
            <w:color w:val="0000EE"/>
            <w:u w:val="single"/>
          </w:rPr>
          <w:t>2R 21.16</w:t>
        </w:r>
      </w:hyperlink>
      <w:r>
        <w:t xml:space="preserve"> ; </w:t>
      </w:r>
      <w:hyperlink r:id="rId9521">
        <w:r>
          <w:rPr>
            <w:color w:val="0000EE"/>
            <w:u w:val="single"/>
          </w:rPr>
          <w:t>24.4</w:t>
        </w:r>
      </w:hyperlink>
      <w:r>
        <w:t xml:space="preserve">). Ses péchés sont listés dans </w:t>
      </w:r>
      <w:hyperlink r:id="rId9522">
        <w:r>
          <w:rPr>
            <w:color w:val="0000EE"/>
            <w:u w:val="single"/>
          </w:rPr>
          <w:t>2 Rois 21.2–9</w:t>
        </w:r>
      </w:hyperlink>
      <w:r>
        <w:t xml:space="preserve"> et incluent :</w:t>
      </w:r>
    </w:p>
    <w:p>
      <w:pPr>
        <w:pStyle w:val="ListBullet"/>
        <w:spacing w:line="240" w:lineRule="auto"/>
        <w:ind w:left="1440"/>
      </w:pPr>
      <w:r/>
      <w:r>
        <w:t>La reconstruction des hauts lieux pour le culte païen</w:t>
      </w:r>
    </w:p>
    <w:p>
      <w:pPr>
        <w:pStyle w:val="ListBullet"/>
        <w:spacing w:line="240" w:lineRule="auto"/>
        <w:ind w:left="1440"/>
      </w:pPr>
      <w:r/>
      <w:r>
        <w:t>L'encouragement au culte de Baal, du soleil, de la lune et des étoiles.</w:t>
      </w:r>
    </w:p>
    <w:p>
      <w:pPr>
        <w:pStyle w:val="ListBullet"/>
        <w:spacing w:line="240" w:lineRule="auto"/>
        <w:ind w:left="1440"/>
      </w:pPr>
      <w:r/>
      <w:r>
        <w:t>Le sacrifice de son fils alors qu'il était encore enfant, par le feu (</w:t>
      </w:r>
      <w:hyperlink r:id="rId3897">
        <w:r>
          <w:rPr>
            <w:color w:val="0000EE"/>
            <w:u w:val="single"/>
          </w:rPr>
          <w:t>2R 21.6</w:t>
        </w:r>
      </w:hyperlink>
      <w:r>
        <w:t xml:space="preserve"> ; voir </w:t>
      </w:r>
      <w:hyperlink r:id="rId5924">
        <w:r>
          <w:rPr>
            <w:color w:val="0000EE"/>
            <w:u w:val="single"/>
          </w:rPr>
          <w:t>23.10</w:t>
        </w:r>
      </w:hyperlink>
      <w:r>
        <w:t xml:space="preserve"> ; </w:t>
      </w:r>
      <w:hyperlink r:id="rId9523">
        <w:r>
          <w:rPr>
            <w:color w:val="0000EE"/>
            <w:u w:val="single"/>
          </w:rPr>
          <w:t>Jr 7.31</w:t>
        </w:r>
      </w:hyperlink>
      <w:r>
        <w:t>)</w:t>
      </w:r>
    </w:p>
    <w:p>
      <w:r/>
      <w:hyperlink r:id="rId9524">
        <w:r>
          <w:rPr>
            <w:color w:val="0000EE"/>
            <w:u w:val="single"/>
          </w:rPr>
          <w:t>2 Chroniques 33.11–16</w:t>
        </w:r>
      </w:hyperlink>
      <w:r>
        <w:t xml:space="preserve"> indique que lorsqu'il a été pris comme prisonnier de guerre à Babylone, il s'y est sincèrement repenti, et Dieu l'a rétabli comme roi. Il tentera ensuite de mettre fin aux anciennes pratiques non-juives et de restaurer le culte approprié de Dieu seul. Bien que cette histoire ne soit pas mentionnée dans 2 Rois, il n'y a aucune raison de douter de sa véracité. Les archives assyriennes mentionnent Manassé à deux reprises, notant qu'il a fidèlement fourni des hommes pour transporter du bois du Liban à Ninive pour le roi assyrien </w:t>
      </w:r>
      <w:r>
        <w:t>Assarhaddon</w:t>
      </w:r>
      <w:r>
        <w:t>. Les archives disent également que Manassé a payé un tribut au roi Assurbanipal après que les Assyriens ont mené une campagne militaire en Égypte en 667 av. J.‑C. Bien que la captivité et la libération similaires du Pharaon Néco soient notées, la captivité et la libération de Manassé ne sont pas mentionnées dans ces archives.</w:t>
      </w:r>
    </w:p>
    <w:p>
      <w:r/>
      <w:r>
        <w:t>Lorsque Manassé meurt en 642 av. J.‑C., à l'âge de 67 ans, il est enterré dans son propre jardin (</w:t>
      </w:r>
      <w:hyperlink r:id="rId9525">
        <w:r>
          <w:rPr>
            <w:color w:val="0000EE"/>
            <w:u w:val="single"/>
          </w:rPr>
          <w:t>2R 21.18</w:t>
        </w:r>
      </w:hyperlink>
      <w:r>
        <w:t>), plutôt que dans les lieux de sépulture royaux avec des rois très respectés comme Jehojada et Ézéchias (</w:t>
      </w:r>
      <w:hyperlink r:id="rId9526">
        <w:r>
          <w:rPr>
            <w:color w:val="0000EE"/>
            <w:u w:val="single"/>
          </w:rPr>
          <w:t>2Ch 24.16</w:t>
        </w:r>
      </w:hyperlink>
      <w:r>
        <w:t xml:space="preserve"> ; </w:t>
      </w:r>
      <w:hyperlink r:id="rId9527">
        <w:r>
          <w:rPr>
            <w:color w:val="0000EE"/>
            <w:u w:val="single"/>
          </w:rPr>
          <w:t>32.33</w:t>
        </w:r>
      </w:hyperlink>
      <w:r>
        <w:t>). Ampon, le fils de Manassé, retournera aux pratiques méchantes de son père mais ne règnera que deux ans, de 642 à 640 av. J.‑C., avant d'être assassiné. C'est Josias, le pieux petit-fils de Manassé, qui règnera de 640 à 609 av. J.‑C., qui ramènera le peuple à la véritable adoration de Yahvé (</w:t>
      </w:r>
      <w:hyperlink r:id="rId9528">
        <w:r>
          <w:rPr>
            <w:color w:val="0000EE"/>
            <w:u w:val="single"/>
          </w:rPr>
          <w:t>2R 23.4–14</w:t>
        </w:r>
      </w:hyperlink>
      <w:r>
        <w:t>). Cependant, même les réformes de Josias ne pourront pas empêcher le jugement qui avait été prédit à cause des péchés de Manassé (</w:t>
      </w:r>
      <w:hyperlink r:id="rId5322">
        <w:r>
          <w:rPr>
            <w:color w:val="0000EE"/>
            <w:u w:val="single"/>
          </w:rPr>
          <w:t>2R 23.26–27</w:t>
        </w:r>
      </w:hyperlink>
      <w:r>
        <w:t>).</w:t>
      </w:r>
    </w:p>
    <w:p>
      <w:r/>
      <w:r>
        <w:rPr>
          <w:i/>
        </w:rPr>
        <w:t>Voir aussi</w:t>
      </w:r>
      <w:r>
        <w:t xml:space="preserve"> </w:t>
      </w:r>
      <w:r>
        <w:t>Prière de Manassé</w:t>
      </w:r>
      <w:r>
        <w:t>.</w:t>
      </w:r>
    </w:p>
    <w:p>
      <w:pPr>
        <w:pStyle w:val="ListNumber"/>
        <w:spacing w:line="240" w:lineRule="auto"/>
        <w:ind w:left="720"/>
      </w:pPr>
      <w:r/>
      <w:r>
        <w:t xml:space="preserve">Fils de </w:t>
      </w:r>
      <w:r>
        <w:t>Pachath-Moab</w:t>
      </w:r>
      <w:r>
        <w:t>, qui obéira à l'ordre d'Esdras de divorcer de sa femme non-juive après l'exil à Babylone (</w:t>
      </w:r>
      <w:hyperlink r:id="rId9529">
        <w:r>
          <w:rPr>
            <w:color w:val="0000EE"/>
            <w:u w:val="single"/>
          </w:rPr>
          <w:t>Esd 10.30</w:t>
        </w:r>
      </w:hyperlink>
      <w:r>
        <w:t>).</w:t>
      </w:r>
    </w:p>
    <w:p>
      <w:pPr>
        <w:pStyle w:val="ListNumber"/>
        <w:spacing w:line="240" w:lineRule="auto"/>
        <w:ind w:left="720"/>
      </w:pPr>
      <w:r/>
      <w:r>
        <w:t xml:space="preserve">Fils de </w:t>
      </w:r>
      <w:r>
        <w:t>Haschum</w:t>
      </w:r>
      <w:r>
        <w:t>, qui obéia à l'ordre d'Esdras de divorcer de sa femme non-juive après l'exil à Babylone (</w:t>
      </w:r>
      <w:hyperlink r:id="rId9530">
        <w:r>
          <w:rPr>
            <w:color w:val="0000EE"/>
            <w:u w:val="single"/>
          </w:rPr>
          <w:t>Esd 10.33</w:t>
        </w:r>
      </w:hyperlink>
      <w:r>
        <w:t>).</w:t>
      </w:r>
      <w:r/>
      <w:r/>
    </w:p>
    <w:p>
      <w:r/>
    </w:p>
    <w:p>
      <w:pPr>
        <w:pStyle w:val="Heading2"/>
      </w:pPr>
      <w:r>
        <w:t>Manassé, Tribu de</w:t>
      </w:r>
      <w:r/>
    </w:p>
    <w:p>
      <w:r/>
      <w:r>
        <w:t>Géographiquement, il s'agit de la plus grande des douze tribus d'Israël, et la seule à posséder deux territoires, avec une demi-tribu dans chacun. Isolées l'une de l'autre par la vallée du Jourdain, elles se sont développées séparément. La demi-tribu à l'ouest du Jourdain était plus importante, tant à l'époque de l'Ancien que du Nouveau Testament, car elle était la principale tribu du royaume nord d'Israël (931–722 av. J.‑C.) et l'un des principaux lieux d'origine ancestraux des Samaritains.</w:t>
      </w:r>
    </w:p>
    <w:p>
      <w:pPr>
        <w:pStyle w:val="Heading3"/>
      </w:pPr>
      <w:r>
        <w:t>Histoire ancienne</w:t>
      </w:r>
    </w:p>
    <w:p>
      <w:pPr>
        <w:pStyle w:val="Heading4"/>
      </w:pPr>
      <w:r>
        <w:t>Origines</w:t>
      </w:r>
    </w:p>
    <w:p>
      <w:r/>
      <w:r>
        <w:t xml:space="preserve">Leurs familles retracent leurs origines jusqu'au fils aîné de Joseph, Manassé, au fils de Manassé, Makir, à son petit-fils Galaad, ou encore à des descendants ultérieurs tels que Tselophchad et Jaïr. Une harmonisation équitable peut être reconstituée à partir des données généalogiques bibliques dans </w:t>
      </w:r>
      <w:hyperlink r:id="rId9513">
        <w:r>
          <w:rPr>
            <w:color w:val="0000EE"/>
            <w:u w:val="single"/>
          </w:rPr>
          <w:t>Genèse 48.5–6</w:t>
        </w:r>
      </w:hyperlink>
      <w:r>
        <w:t xml:space="preserve"> ; </w:t>
      </w:r>
      <w:hyperlink r:id="rId9531">
        <w:r>
          <w:rPr>
            <w:color w:val="0000EE"/>
            <w:u w:val="single"/>
          </w:rPr>
          <w:t>Nombres 26.28–34</w:t>
        </w:r>
      </w:hyperlink>
      <w:r>
        <w:t xml:space="preserve"> ; </w:t>
      </w:r>
      <w:hyperlink r:id="rId9502">
        <w:r>
          <w:rPr>
            <w:color w:val="0000EE"/>
            <w:u w:val="single"/>
          </w:rPr>
          <w:t>Josué 17.1–3</w:t>
        </w:r>
      </w:hyperlink>
      <w:r>
        <w:t xml:space="preserve"> ; </w:t>
      </w:r>
      <w:hyperlink r:id="rId9532">
        <w:r>
          <w:rPr>
            <w:color w:val="0000EE"/>
            <w:u w:val="single"/>
          </w:rPr>
          <w:t>1 Chroniques 2.21–23</w:t>
        </w:r>
      </w:hyperlink>
      <w:r>
        <w:t xml:space="preserve"> et </w:t>
      </w:r>
      <w:hyperlink r:id="rId9533">
        <w:r>
          <w:rPr>
            <w:color w:val="0000EE"/>
            <w:u w:val="single"/>
          </w:rPr>
          <w:t>7.14–19</w:t>
        </w:r>
      </w:hyperlink>
      <w:r>
        <w:t xml:space="preserve">, un texte corrompu par plusieurs erreurs de copistes. La mention d'Asriel dans </w:t>
      </w:r>
      <w:hyperlink r:id="rId9498">
        <w:r>
          <w:rPr>
            <w:color w:val="0000EE"/>
            <w:u w:val="single"/>
          </w:rPr>
          <w:t>1 Chroniques 7.14</w:t>
        </w:r>
      </w:hyperlink>
      <w:r>
        <w:t xml:space="preserve"> semble être une erreur de copiste ; sinon, les récits peuvent être réconciliés, même si chaque liste a préservé des données différentes et qu'aucune n'est complète en elle-même.</w:t>
      </w:r>
    </w:p>
    <w:p>
      <w:pPr>
        <w:pStyle w:val="Heading4"/>
      </w:pPr>
      <w:r>
        <w:t>Taille</w:t>
      </w:r>
    </w:p>
    <w:p>
      <w:r/>
      <w:r>
        <w:t>Un an après l'exode, Manassé avait la plus petite armée, selon le premier recensement de Moïse (</w:t>
      </w:r>
      <w:hyperlink r:id="rId9534">
        <w:r>
          <w:rPr>
            <w:color w:val="0000EE"/>
            <w:u w:val="single"/>
          </w:rPr>
          <w:t>Nb 1.34–35</w:t>
        </w:r>
      </w:hyperlink>
      <w:r>
        <w:t>). À la veille de la conquête de Canaan, après avoir erré trente-huit ans dans le désert du Sinaï puis conquis la Transjordanie, il avait la sixième plus grande force de combat, selon un deuxième recensement (</w:t>
      </w:r>
      <w:hyperlink r:id="rId9531">
        <w:r>
          <w:rPr>
            <w:color w:val="0000EE"/>
            <w:u w:val="single"/>
          </w:rPr>
          <w:t>Nb 26.28–34</w:t>
        </w:r>
      </w:hyperlink>
      <w:r>
        <w:t>) : 52 700 hommes.</w:t>
      </w:r>
    </w:p>
    <w:p>
      <w:pPr>
        <w:pStyle w:val="Heading4"/>
      </w:pPr>
      <w:r>
        <w:t>Premiers établissements</w:t>
      </w:r>
    </w:p>
    <w:p>
      <w:r/>
      <w:r>
        <w:t>Les soldats de la demi-tribu orientale de Manassé ont installé leurs familles en Galaad, qu'ils ont capturée sous la direction de Moïse des mains du roi amoréen Og (</w:t>
      </w:r>
      <w:hyperlink r:id="rId9535">
        <w:r>
          <w:rPr>
            <w:color w:val="0000EE"/>
            <w:u w:val="single"/>
          </w:rPr>
          <w:t>Nb 21.32–35</w:t>
        </w:r>
      </w:hyperlink>
      <w:r>
        <w:t xml:space="preserve"> ; </w:t>
      </w:r>
      <w:hyperlink r:id="rId9536">
        <w:r>
          <w:rPr>
            <w:color w:val="0000EE"/>
            <w:u w:val="single"/>
          </w:rPr>
          <w:t>32.39–42</w:t>
        </w:r>
      </w:hyperlink>
      <w:r>
        <w:t xml:space="preserve"> ; </w:t>
      </w:r>
      <w:hyperlink r:id="rId9537">
        <w:r>
          <w:rPr>
            <w:color w:val="0000EE"/>
            <w:u w:val="single"/>
          </w:rPr>
          <w:t>Dt 3.1–15</w:t>
        </w:r>
      </w:hyperlink>
      <w:r>
        <w:t>). Ensuite, sous Josué, ils traverseront le Jourdain pour aider les autres tribus à conquérir Canaan (</w:t>
      </w:r>
      <w:hyperlink r:id="rId9538">
        <w:r>
          <w:rPr>
            <w:color w:val="0000EE"/>
            <w:u w:val="single"/>
          </w:rPr>
          <w:t>Nb 32.1–32</w:t>
        </w:r>
      </w:hyperlink>
      <w:r>
        <w:t xml:space="preserve"> ; </w:t>
      </w:r>
      <w:hyperlink r:id="rId5841">
        <w:r>
          <w:rPr>
            <w:color w:val="0000EE"/>
            <w:u w:val="single"/>
          </w:rPr>
          <w:t>Jos 1.12–18</w:t>
        </w:r>
      </w:hyperlink>
      <w:r>
        <w:t>). Par la suite, la demi-tribu occidentale recevra son lot et commencera à s'installer dans la région montagneuse centrale (</w:t>
      </w:r>
      <w:hyperlink r:id="rId9539">
        <w:r>
          <w:rPr>
            <w:color w:val="0000EE"/>
            <w:u w:val="single"/>
          </w:rPr>
          <w:t>Jos 16.1–9</w:t>
        </w:r>
      </w:hyperlink>
      <w:r>
        <w:t xml:space="preserve"> ; chap </w:t>
      </w:r>
      <w:hyperlink r:id="rId9540">
        <w:r>
          <w:rPr>
            <w:color w:val="0000EE"/>
            <w:u w:val="single"/>
          </w:rPr>
          <w:t>17</w:t>
        </w:r>
      </w:hyperlink>
      <w:r>
        <w:t>). Après que les tribus restantes aient reçu leurs parts de terre, l'armée de la demi-tribu orientale retournera chez elle (</w:t>
      </w:r>
      <w:hyperlink r:id="rId9541">
        <w:r>
          <w:rPr>
            <w:color w:val="0000EE"/>
            <w:u w:val="single"/>
          </w:rPr>
          <w:t>22.1–9</w:t>
        </w:r>
      </w:hyperlink>
      <w:r>
        <w:t xml:space="preserve">). En route vers leurs familles en Galaad, ils aideront à construire un autel près du Jourdain. Cet acte visait à préserver l'unité nationale, mais manquera de déclencher une guerre civile (v. </w:t>
      </w:r>
      <w:hyperlink r:id="rId717">
        <w:r>
          <w:rPr>
            <w:color w:val="0000EE"/>
            <w:u w:val="single"/>
          </w:rPr>
          <w:t>10–34</w:t>
        </w:r>
      </w:hyperlink>
      <w:r>
        <w:t>).</w:t>
      </w:r>
    </w:p>
    <w:p>
      <w:pPr>
        <w:pStyle w:val="Heading3"/>
      </w:pPr>
      <w:r>
        <w:t>La Demi-tribu orientale</w:t>
      </w:r>
    </w:p>
    <w:p>
      <w:pPr>
        <w:pStyle w:val="Heading4"/>
      </w:pPr>
      <w:r>
        <w:t>Territoire</w:t>
      </w:r>
    </w:p>
    <w:p>
      <w:r/>
      <w:r>
        <w:t>Moïse attribuera à la demi-tribu orientale près de 8 000 km2 de territoire dans trois régions géographiques (le nord de Galaad, Basan et le mont Hermon), mais elle ne réussira à contrôler que 2 000 km2 environ : la moitié de Galaad au nord de la rivière Jabbok (et au sud de la rivière Yarmuk), malgré des conquêtes initiales réussies (</w:t>
      </w:r>
      <w:hyperlink r:id="rId9536">
        <w:r>
          <w:rPr>
            <w:color w:val="0000EE"/>
            <w:u w:val="single"/>
          </w:rPr>
          <w:t>Nb 32.39–42</w:t>
        </w:r>
      </w:hyperlink>
      <w:r>
        <w:t xml:space="preserve"> ; </w:t>
      </w:r>
      <w:hyperlink r:id="rId9542">
        <w:r>
          <w:rPr>
            <w:color w:val="0000EE"/>
            <w:u w:val="single"/>
          </w:rPr>
          <w:t>Dt 3.12–15</w:t>
        </w:r>
      </w:hyperlink>
      <w:r>
        <w:t xml:space="preserve"> ; </w:t>
      </w:r>
      <w:hyperlink r:id="rId9543">
        <w:r>
          <w:rPr>
            <w:color w:val="0000EE"/>
            <w:u w:val="single"/>
          </w:rPr>
          <w:t>Jos 13.8–13</w:t>
        </w:r>
      </w:hyperlink>
      <w:r>
        <w:t>) et une expansion progressive vers le nord bien plus tard (</w:t>
      </w:r>
      <w:hyperlink r:id="rId9544">
        <w:r>
          <w:rPr>
            <w:color w:val="0000EE"/>
            <w:u w:val="single"/>
          </w:rPr>
          <w:t>1Ch 5.23</w:t>
        </w:r>
      </w:hyperlink>
      <w:r>
        <w:t>).</w:t>
      </w:r>
    </w:p>
    <w:p>
      <w:r/>
      <w:r>
        <w:t>Le territoire occupé était principalement un haut plateau avec un centre montagneux. Il était bien arrosé par les pluies en hiver et par une forte rosée en été. Les oliviers, les vignes et le blé prospéraient, et les chèvres et les brebis pouvaient trouver un pâturage adéquat sur les pentes orientales, qui se fondaient progressivement dans le désert vers l'est.</w:t>
      </w:r>
    </w:p>
    <w:p>
      <w:pPr>
        <w:pStyle w:val="Heading4"/>
      </w:pPr>
      <w:r>
        <w:t>Peuple et lieux</w:t>
      </w:r>
    </w:p>
    <w:p>
      <w:r/>
      <w:r>
        <w:t>Les citoyens éminents de la demi-tribu orientale comprenaient les « juges » Jaïr et Jephté (</w:t>
      </w:r>
      <w:hyperlink r:id="rId7088">
        <w:r>
          <w:rPr>
            <w:color w:val="0000EE"/>
            <w:u w:val="single"/>
          </w:rPr>
          <w:t>Jg 10.3–5</w:t>
        </w:r>
      </w:hyperlink>
      <w:r>
        <w:t xml:space="preserve"> ; </w:t>
      </w:r>
      <w:hyperlink r:id="rId9545">
        <w:r>
          <w:rPr>
            <w:color w:val="0000EE"/>
            <w:u w:val="single"/>
          </w:rPr>
          <w:t>11.6–12</w:t>
        </w:r>
      </w:hyperlink>
      <w:r>
        <w:t>) et le bienfaiteur de David, Barzillaï (</w:t>
      </w:r>
      <w:hyperlink r:id="rId9546">
        <w:r>
          <w:rPr>
            <w:color w:val="0000EE"/>
            <w:u w:val="single"/>
          </w:rPr>
          <w:t>2S 19.31–39</w:t>
        </w:r>
      </w:hyperlink>
      <w:r>
        <w:t xml:space="preserve">). Les principales villes étaient Jabès et Ramoth en Galaad, respectivement une ville de refuge et une ville lévitique (à l'origine dans Gad, voir </w:t>
      </w:r>
      <w:hyperlink r:id="rId5892">
        <w:r>
          <w:rPr>
            <w:color w:val="0000EE"/>
            <w:u w:val="single"/>
          </w:rPr>
          <w:t>Jos 20.8</w:t>
        </w:r>
      </w:hyperlink>
      <w:r>
        <w:t xml:space="preserve"> ; </w:t>
      </w:r>
      <w:hyperlink r:id="rId9398">
        <w:r>
          <w:rPr>
            <w:color w:val="0000EE"/>
            <w:u w:val="single"/>
          </w:rPr>
          <w:t>21.38</w:t>
        </w:r>
      </w:hyperlink>
      <w:r>
        <w:t>).</w:t>
      </w:r>
    </w:p>
    <w:p>
      <w:r/>
      <w:r>
        <w:t>Le territoire oriental était généralement appelé simplement « la demi-tribu de Manassé », jusqu'à ce que David (vers 1000–961 av. J.‑C.) en fasse un district administratif (</w:t>
      </w:r>
      <w:hyperlink r:id="rId1771">
        <w:r>
          <w:rPr>
            <w:color w:val="0000EE"/>
            <w:u w:val="single"/>
          </w:rPr>
          <w:t>1Ch 27.21</w:t>
        </w:r>
      </w:hyperlink>
      <w:r>
        <w:t>). Salomon (970–930 av. J.‑C.) la divisera et l'incorporera dans deux nouveaux districts (</w:t>
      </w:r>
      <w:hyperlink r:id="rId9547">
        <w:r>
          <w:rPr>
            <w:color w:val="0000EE"/>
            <w:u w:val="single"/>
          </w:rPr>
          <w:t>1R 4.13–14</w:t>
        </w:r>
      </w:hyperlink>
      <w:r>
        <w:t xml:space="preserve">). Sous Jéroboam 1er (930–909 av. J.‑C.), il s'est joint, à égalité, avec huit autres tribus et avec la demi-tribu occidentale, pour former une confédération de dix tribus (le royaume du nord d'Israël) en 930 av. J.‑C. La Syrie et l'Assyrie détiendront toutes deux l'est de Manassé temporairement, aux 9e et 8e siècles av. J.‑C. (voir </w:t>
      </w:r>
      <w:hyperlink r:id="rId809">
        <w:r>
          <w:rPr>
            <w:color w:val="0000EE"/>
            <w:u w:val="single"/>
          </w:rPr>
          <w:t>2R 10.32–33</w:t>
        </w:r>
      </w:hyperlink>
      <w:r>
        <w:t xml:space="preserve"> ; </w:t>
      </w:r>
      <w:hyperlink r:id="rId811">
        <w:r>
          <w:rPr>
            <w:color w:val="0000EE"/>
            <w:u w:val="single"/>
          </w:rPr>
          <w:t>13.7</w:t>
        </w:r>
      </w:hyperlink>
      <w:r>
        <w:t xml:space="preserve"> avec </w:t>
      </w:r>
      <w:hyperlink r:id="rId7203">
        <w:r>
          <w:rPr>
            <w:color w:val="0000EE"/>
            <w:u w:val="single"/>
          </w:rPr>
          <w:t>14.25</w:t>
        </w:r>
      </w:hyperlink>
      <w:r>
        <w:t xml:space="preserve"> ; et </w:t>
      </w:r>
      <w:hyperlink r:id="rId1712">
        <w:r>
          <w:rPr>
            <w:color w:val="0000EE"/>
            <w:u w:val="single"/>
          </w:rPr>
          <w:t>2R 15.29</w:t>
        </w:r>
      </w:hyperlink>
      <w:r>
        <w:t xml:space="preserve"> avec </w:t>
      </w:r>
      <w:hyperlink r:id="rId9548">
        <w:r>
          <w:rPr>
            <w:color w:val="0000EE"/>
            <w:u w:val="single"/>
          </w:rPr>
          <w:t>2Ch 34.6–7</w:t>
        </w:r>
      </w:hyperlink>
      <w:r>
        <w:t>). Le roi Tiglath-Piléser III (745–727 av. J.‑C.) d'Assyrie envahira la région, la conquerra, déportera son peuple et la dispersera dans tout l'empire (</w:t>
      </w:r>
      <w:hyperlink r:id="rId1422">
        <w:r>
          <w:rPr>
            <w:color w:val="0000EE"/>
            <w:u w:val="single"/>
          </w:rPr>
          <w:t>1Ch 5.26</w:t>
        </w:r>
      </w:hyperlink>
      <w:r>
        <w:t xml:space="preserve"> ; voir </w:t>
      </w:r>
      <w:hyperlink r:id="rId1712">
        <w:r>
          <w:rPr>
            <w:color w:val="0000EE"/>
            <w:u w:val="single"/>
          </w:rPr>
          <w:t>2R 15.29</w:t>
        </w:r>
      </w:hyperlink>
      <w:r>
        <w:t>) environ dix ans avant que le reste du royaume du nord ne tombe aux mains des Assyriens en 722 av. J.‑C. La plupart des Manassites occidentaux qui avaient été délaissés se marieront avec des étrangers, commenceront à adorer des divinités païennes, et sont devenus les ancêtres des Samaritains (</w:t>
      </w:r>
      <w:hyperlink r:id="rId9549">
        <w:r>
          <w:rPr>
            <w:color w:val="0000EE"/>
            <w:u w:val="single"/>
          </w:rPr>
          <w:t>2R 17.24–41</w:t>
        </w:r>
      </w:hyperlink>
      <w:r>
        <w:t>). Par la suite, la région sera connue sous le nom de Galaad. À l'époque du Nouveau Testament, la région faisait partie de la Décapole et en partie de la Pérée.</w:t>
      </w:r>
      <w:r/>
      <w:r/>
    </w:p>
    <w:p>
      <w:r/>
    </w:p>
    <w:p>
      <w:pPr>
        <w:pStyle w:val="Heading2"/>
      </w:pPr>
      <w:r>
        <w:t>Mandragore</w:t>
      </w:r>
      <w:r/>
    </w:p>
    <w:p>
      <w:r/>
      <w:r>
        <w:t>Plante qui pousse dans les terres autour de la mer Méditerranée. Dans les temps anciens, on croyait que cette plante pouvait augmenter le désir sexuel (</w:t>
      </w:r>
      <w:hyperlink r:id="rId6945">
        <w:r>
          <w:rPr>
            <w:color w:val="0000EE"/>
            <w:u w:val="single"/>
          </w:rPr>
          <w:t>Gn 30</w:t>
        </w:r>
      </w:hyperlink>
      <w:r>
        <w:t>). Elle était connue pour son odeur agréable (</w:t>
      </w:r>
      <w:hyperlink r:id="rId9550">
        <w:r>
          <w:rPr>
            <w:color w:val="0000EE"/>
            <w:u w:val="single"/>
          </w:rPr>
          <w:t>Ct 7.13</w:t>
        </w:r>
      </w:hyperlink>
      <w:r>
        <w:t>).</w:t>
      </w:r>
    </w:p>
    <w:p>
      <w:r/>
      <w:r>
        <w:t>La mandragore, ou pomme d'amour, est une plante vivace sans tige. Elle appartient à la même famille que la belladone, la pomme de terre et la tomate. Elle possède une grande racine épaisse, souvent fourchue, qui pousse comme une betterave. Du sommet de la racine émergent de nombreuses feuilles sombres d'environ 30 cm de long et 10 cm de large.</w:t>
      </w:r>
    </w:p>
    <w:p>
      <w:r/>
      <w:r>
        <w:t>La plante est légèrement toxique. Ses racines épaisses ressemblent parfois aux parties inférieures du corps humain. En raison de cette forme, on croyait qu'elle possédait des pouvoirs spéciaux pour accroître le désir sexuel ou la fertilité (</w:t>
      </w:r>
      <w:hyperlink r:id="rId9551">
        <w:r>
          <w:rPr>
            <w:color w:val="0000EE"/>
            <w:u w:val="single"/>
          </w:rPr>
          <w:t>Gn 30.14–16</w:t>
        </w:r>
      </w:hyperlink>
      <w:r>
        <w:t>).</w:t>
      </w:r>
    </w:p>
    <w:p>
      <w:r/>
      <w:r>
        <w:t>La pomme d'amour était une plante commune dans les champs en friche à travers Israël et les régions environnantes. Elle pousse naturellement dans toute la région méditerranéenne, le sud de l'Europe et l'ouest de l'Asie (Asie Mineure).</w:t>
      </w:r>
    </w:p>
    <w:p>
      <w:r/>
      <w:r>
        <w:t xml:space="preserve">La mandragore est mentionnée dans </w:t>
      </w:r>
      <w:hyperlink r:id="rId9550">
        <w:r>
          <w:rPr>
            <w:color w:val="0000EE"/>
            <w:u w:val="single"/>
          </w:rPr>
          <w:t>Ct 7.13</w:t>
        </w:r>
      </w:hyperlink>
      <w:r>
        <w:t>. Certains érudits estiment que l'auteur pourrait avoir fait référence à une plante différente, comme le cédrat ou le champignon de champ comestible commun (</w:t>
      </w:r>
      <w:r>
        <w:rPr>
          <w:i/>
        </w:rPr>
        <w:t>Agaricus campestris</w:t>
      </w:r>
      <w:r>
        <w:t>).</w:t>
      </w:r>
      <w:r/>
      <w:r/>
    </w:p>
    <w:p>
      <w:r/>
    </w:p>
    <w:p>
      <w:pPr>
        <w:pStyle w:val="Heading2"/>
      </w:pPr>
      <w:r>
        <w:t>Marchand, Commerçant</w:t>
      </w:r>
      <w:r/>
    </w:p>
    <w:p>
      <w:r/>
      <w:r>
        <w:t>Une personne qui achète et vend des marchandises pour réaliser un profit. Le système de troc a progressivement été remplacé par un système où des marchands professionnels facilitaient l'échange de biens. Au départ, cela se faisait contre un paiement en pièces d'argent (</w:t>
      </w:r>
      <w:hyperlink r:id="rId9552">
        <w:r>
          <w:rPr>
            <w:color w:val="0000EE"/>
            <w:u w:val="single"/>
          </w:rPr>
          <w:t>Gn 23.16</w:t>
        </w:r>
      </w:hyperlink>
      <w:r>
        <w:t>), puis en monnaie ou un autre moyen d'échange. Les marchands opéraient localement et internationalement avec les Araméens (</w:t>
      </w:r>
      <w:hyperlink r:id="rId9553">
        <w:r>
          <w:rPr>
            <w:color w:val="0000EE"/>
            <w:u w:val="single"/>
          </w:rPr>
          <w:t>1R 20.34</w:t>
        </w:r>
      </w:hyperlink>
      <w:r>
        <w:t xml:space="preserve"> ; </w:t>
      </w:r>
      <w:hyperlink r:id="rId9554">
        <w:r>
          <w:rPr>
            <w:color w:val="0000EE"/>
            <w:u w:val="single"/>
          </w:rPr>
          <w:t>Ez 27.16–18</w:t>
        </w:r>
      </w:hyperlink>
      <w:r>
        <w:t>), les Cananéens et les Phéniciens (</w:t>
      </w:r>
      <w:hyperlink r:id="rId9555">
        <w:r>
          <w:rPr>
            <w:color w:val="0000EE"/>
            <w:u w:val="single"/>
          </w:rPr>
          <w:t>Es 23.2, 8</w:t>
        </w:r>
      </w:hyperlink>
      <w:r>
        <w:t>), les Assyriens (</w:t>
      </w:r>
      <w:hyperlink r:id="rId9556">
        <w:r>
          <w:rPr>
            <w:color w:val="0000EE"/>
            <w:u w:val="single"/>
          </w:rPr>
          <w:t>Na 3.16</w:t>
        </w:r>
      </w:hyperlink>
      <w:r>
        <w:t>), les Babyloniens, les Perses, les Grecs et les Romains. Certains marchands voyageaient loin (</w:t>
      </w:r>
      <w:hyperlink r:id="rId9557">
        <w:r>
          <w:rPr>
            <w:color w:val="0000EE"/>
            <w:u w:val="single"/>
          </w:rPr>
          <w:t>Né 13.16–20</w:t>
        </w:r>
      </w:hyperlink>
      <w:r>
        <w:t>). Les peuples du désert, avec leurs caravanes, échangeaient leurs marchandises dans de nombreux pays (</w:t>
      </w:r>
      <w:hyperlink r:id="rId9558">
        <w:r>
          <w:rPr>
            <w:color w:val="0000EE"/>
            <w:u w:val="single"/>
          </w:rPr>
          <w:t>Ez 27.15, 20–23</w:t>
        </w:r>
      </w:hyperlink>
      <w:r>
        <w:t xml:space="preserve"> ; </w:t>
      </w:r>
      <w:hyperlink r:id="rId9559">
        <w:r>
          <w:rPr>
            <w:color w:val="0000EE"/>
            <w:u w:val="single"/>
          </w:rPr>
          <w:t>38.13</w:t>
        </w:r>
      </w:hyperlink>
      <w:r>
        <w:t>). Ils opéraient dans des bazars et ouvraient des boutiques pour le commerce (</w:t>
      </w:r>
      <w:hyperlink r:id="rId9553">
        <w:r>
          <w:rPr>
            <w:color w:val="0000EE"/>
            <w:u w:val="single"/>
          </w:rPr>
          <w:t>1R 20.34</w:t>
        </w:r>
      </w:hyperlink>
      <w:r>
        <w:t xml:space="preserve"> ; </w:t>
      </w:r>
      <w:hyperlink r:id="rId9560">
        <w:r>
          <w:rPr>
            <w:color w:val="0000EE"/>
            <w:u w:val="single"/>
          </w:rPr>
          <w:t>Né 3.31</w:t>
        </w:r>
      </w:hyperlink>
      <w:r>
        <w:t xml:space="preserve"> ; </w:t>
      </w:r>
      <w:hyperlink r:id="rId9561">
        <w:r>
          <w:rPr>
            <w:color w:val="0000EE"/>
            <w:u w:val="single"/>
          </w:rPr>
          <w:t>13.19–20</w:t>
        </w:r>
      </w:hyperlink>
      <w:r>
        <w:t>). Les marchandises étaient stockées dans des entrepôts (</w:t>
      </w:r>
      <w:hyperlink r:id="rId9562">
        <w:r>
          <w:rPr>
            <w:color w:val="0000EE"/>
            <w:u w:val="single"/>
          </w:rPr>
          <w:t>Gn 41.49</w:t>
        </w:r>
      </w:hyperlink>
      <w:r>
        <w:t xml:space="preserve"> ; </w:t>
      </w:r>
      <w:hyperlink r:id="rId9563">
        <w:r>
          <w:rPr>
            <w:color w:val="0000EE"/>
            <w:u w:val="single"/>
          </w:rPr>
          <w:t>1R 9.19</w:t>
        </w:r>
      </w:hyperlink>
      <w:r>
        <w:t>). Les fils de Jacob commerçaient en Égypte (</w:t>
      </w:r>
      <w:hyperlink r:id="rId6073">
        <w:r>
          <w:rPr>
            <w:color w:val="0000EE"/>
            <w:u w:val="single"/>
          </w:rPr>
          <w:t>Gn 43.11</w:t>
        </w:r>
      </w:hyperlink>
      <w:r>
        <w:t>). À l'époque de Salomon, le commerce s'est considérablement développé (</w:t>
      </w:r>
      <w:hyperlink r:id="rId9564">
        <w:r>
          <w:rPr>
            <w:color w:val="0000EE"/>
            <w:u w:val="single"/>
          </w:rPr>
          <w:t>1R 9.26–27</w:t>
        </w:r>
      </w:hyperlink>
      <w:r>
        <w:t xml:space="preserve"> ; </w:t>
      </w:r>
      <w:hyperlink r:id="rId9565">
        <w:r>
          <w:rPr>
            <w:color w:val="0000EE"/>
            <w:u w:val="single"/>
          </w:rPr>
          <w:t>10.28</w:t>
        </w:r>
      </w:hyperlink>
      <w:r>
        <w:t>). Pendant l'exil, les Juifs se sont impliqués dans l'activité marchande en Babylonie, et beaucoup ne sont jamais retournés en Palestine. À Jérusalem, les marchands ont aidé Néhémie à reconstruire le mur (</w:t>
      </w:r>
      <w:hyperlink r:id="rId9566">
        <w:r>
          <w:rPr>
            <w:color w:val="0000EE"/>
            <w:u w:val="single"/>
          </w:rPr>
          <w:t>Né 3.31–32</w:t>
        </w:r>
      </w:hyperlink>
      <w:r>
        <w:t>).</w:t>
      </w:r>
      <w:r/>
      <w:r/>
    </w:p>
    <w:p>
      <w:r/>
    </w:p>
    <w:p>
      <w:pPr>
        <w:pStyle w:val="Heading2"/>
      </w:pPr>
      <w:r>
        <w:t>Marchepied</w:t>
      </w:r>
      <w:r/>
    </w:p>
    <w:p>
      <w:r/>
      <w:r>
        <w:t xml:space="preserve">Petit meuble utilisé pour poser les pieds. </w:t>
      </w:r>
    </w:p>
    <w:p>
      <w:r/>
      <w:r>
        <w:t>Une partie du grand revenu en or du roi Salomon avait été utilisée pour construire un marchepied pour son trône d'ivoire (</w:t>
      </w:r>
      <w:hyperlink r:id="rId9567">
        <w:r>
          <w:rPr>
            <w:color w:val="0000EE"/>
            <w:u w:val="single"/>
          </w:rPr>
          <w:t>2Ch 9.18</w:t>
        </w:r>
      </w:hyperlink>
      <w:r>
        <w:t>). Le mot « marchepied » est souvent utilisé dans un sens symbolique. Par exemple, l'arche de l'alliance et le Temple sous tous les deux appelés le marchepied de Dieu. Tout comme les rois reposaient leurs pieds sur un marchepied quand ils étaient assis sur leurs trônes, ces endroits saints représentaient là où Dieu, assis sur son trône, reposait ses pieds (</w:t>
      </w:r>
      <w:hyperlink r:id="rId9568">
        <w:r>
          <w:rPr>
            <w:color w:val="0000EE"/>
            <w:u w:val="single"/>
          </w:rPr>
          <w:t>1Ch 28.2</w:t>
        </w:r>
      </w:hyperlink>
      <w:r>
        <w:t xml:space="preserve"> ; </w:t>
      </w:r>
      <w:hyperlink r:id="rId8676">
        <w:r>
          <w:rPr>
            <w:color w:val="0000EE"/>
            <w:u w:val="single"/>
          </w:rPr>
          <w:t>Ps 99.5</w:t>
        </w:r>
      </w:hyperlink>
      <w:r>
        <w:t xml:space="preserve"> ; </w:t>
      </w:r>
      <w:hyperlink r:id="rId9569">
        <w:r>
          <w:rPr>
            <w:color w:val="0000EE"/>
            <w:u w:val="single"/>
          </w:rPr>
          <w:t>132.7</w:t>
        </w:r>
      </w:hyperlink>
      <w:r>
        <w:t xml:space="preserve"> ; </w:t>
      </w:r>
      <w:hyperlink r:id="rId9570">
        <w:r>
          <w:rPr>
            <w:color w:val="0000EE"/>
            <w:u w:val="single"/>
          </w:rPr>
          <w:t>Lm 2.1</w:t>
        </w:r>
      </w:hyperlink>
      <w:r>
        <w:t xml:space="preserve"> ; comp. avec </w:t>
      </w:r>
      <w:hyperlink r:id="rId9051">
        <w:r>
          <w:rPr>
            <w:color w:val="0000EE"/>
            <w:u w:val="single"/>
          </w:rPr>
          <w:t>Es 60.13</w:t>
        </w:r>
      </w:hyperlink>
      <w:r>
        <w:t xml:space="preserve">). </w:t>
      </w:r>
    </w:p>
    <w:p>
      <w:r/>
      <w:hyperlink r:id="rId1333">
        <w:r>
          <w:rPr>
            <w:color w:val="0000EE"/>
            <w:u w:val="single"/>
          </w:rPr>
          <w:t xml:space="preserve">Psaumes 110.1 </w:t>
        </w:r>
      </w:hyperlink>
      <w:r>
        <w:t>promet que Dieu va donner au Messie ses ennemis comme marchepied. Ils lui seraient tellement soumis que leur place serait sous ses pieds. Cette image de la victoire du Messie sur ses ennemis est reprise dans le Nouveau Testament concernant Jésus (</w:t>
      </w:r>
      <w:hyperlink r:id="rId9571">
        <w:r>
          <w:rPr>
            <w:color w:val="0000EE"/>
            <w:u w:val="single"/>
          </w:rPr>
          <w:t>Mt 22.44</w:t>
        </w:r>
      </w:hyperlink>
      <w:r>
        <w:t xml:space="preserve"> ; </w:t>
      </w:r>
      <w:hyperlink r:id="rId9572">
        <w:r>
          <w:rPr>
            <w:color w:val="0000EE"/>
            <w:u w:val="single"/>
          </w:rPr>
          <w:t>Mc 12.36</w:t>
        </w:r>
      </w:hyperlink>
      <w:r>
        <w:t xml:space="preserve"> ; </w:t>
      </w:r>
      <w:hyperlink r:id="rId9573">
        <w:r>
          <w:rPr>
            <w:color w:val="0000EE"/>
            <w:u w:val="single"/>
          </w:rPr>
          <w:t>Lc 20.43</w:t>
        </w:r>
      </w:hyperlink>
      <w:r>
        <w:t xml:space="preserve"> ; </w:t>
      </w:r>
      <w:hyperlink r:id="rId9574">
        <w:r>
          <w:rPr>
            <w:color w:val="0000EE"/>
            <w:u w:val="single"/>
          </w:rPr>
          <w:t>Ac 2.35</w:t>
        </w:r>
      </w:hyperlink>
      <w:r>
        <w:t xml:space="preserve"> ; </w:t>
      </w:r>
      <w:hyperlink r:id="rId9575">
        <w:r>
          <w:rPr>
            <w:color w:val="0000EE"/>
            <w:u w:val="single"/>
          </w:rPr>
          <w:t>Hé 1.13</w:t>
        </w:r>
      </w:hyperlink>
      <w:r>
        <w:t xml:space="preserve"> ; </w:t>
      </w:r>
      <w:hyperlink r:id="rId9576">
        <w:r>
          <w:rPr>
            <w:color w:val="0000EE"/>
            <w:u w:val="single"/>
          </w:rPr>
          <w:t>10.13</w:t>
        </w:r>
      </w:hyperlink>
      <w:r>
        <w:t>). Le mot grec qui est utilisé dans ces passages signifie littéralement quelque chose placé dessous le pied.</w:t>
      </w:r>
      <w:r/>
      <w:r/>
    </w:p>
    <w:p>
      <w:r/>
    </w:p>
    <w:p>
      <w:pPr>
        <w:pStyle w:val="Heading2"/>
      </w:pPr>
      <w:r>
        <w:t>Mardochée</w:t>
      </w:r>
      <w:r/>
    </w:p>
    <w:p>
      <w:pPr>
        <w:pStyle w:val="ListNumber"/>
        <w:spacing w:line="240" w:lineRule="auto"/>
        <w:ind w:left="720"/>
      </w:pPr>
      <w:r/>
      <w:r>
        <w:t>Chef juif pendant l'exil, principalement connu grâce au livre d'Esther. Selon certaines sources rabbiniques, Mardochée aurait lui-même écrit le livre d'Esther. Il a vécu sous le règne du roi Xerxès de Perse (également appelé Assuérus). À cette époque, la Perse était un grand empire comprenant 127 provinces.</w:t>
      </w:r>
    </w:p>
    <w:p>
      <w:r/>
      <w:r>
        <w:t>Mardochée était de la tribu de Benjamin et un descendant de Kis (le père du roi Saül). Ses proches faisaient partie des Juifs que le roi Nabuchodonosor avait forcés à quitter la Palestine pour vivre à Babylone. Bien que Mardochée ait eu un nom babylonien, il se souciait profondément de ses compatriotes juifs. Même si le roi Cyrus a déclaré qu'ils pouvaient retourner dans leur patrie en 538 av. J.‑C., ils ont choisi de vivre dans d'autres terres plutôt que de faire face aux difficultés de la reconstruction de la Palestine.</w:t>
      </w:r>
    </w:p>
    <w:p>
      <w:r/>
      <w:r>
        <w:t>La vie de Mardochée est intimement liée à sa cousine, Hadassa, également appelée Esther. Il l'a adoptée après la mort de ses parents. Lorsque le roi a destitué la reine Vasthi, Esther est devenue la nouvelle reine. Cette position l'a ensuite aidée à sauver son peuple. La direction et l'influence de Mardochée sur Esther étaient très importantes. Cependant, c'est la protection de Dieu qui a rendu leurs actions fructueuses. C'est cela qui a protégé les Juifs des plans maléfiques d'Haman, le principal conseiller du roi.</w:t>
      </w:r>
    </w:p>
    <w:p>
      <w:r/>
      <w:r>
        <w:t>Haman détestait les Juifs et avait élaboré des plans pour les détruire tous. Il était en colère parce que Mardochée refusait de s'incliner devant lui (s'incliner était un signe de respect.) Lorsque Mardochée a appris les plans d'Haman, il a envoyé un message à Esther par l'intermédiaire d'un serviteur royal nommé Hathac.</w:t>
      </w:r>
    </w:p>
    <w:p>
      <w:r/>
      <w:r>
        <w:t>Au début, Esther avait peur d'agir. Mais Mardochée l'a exhortée à se demander si Dieu l'avait faite reine pour ce but précis : sauver leur peuple. Il l'a avertie avec ces paroles célèbres :</w:t>
      </w:r>
    </w:p>
    <w:p>
      <w:r/>
      <w:r>
        <w:t>« Ne t’imagine pas que tu échapperas seule d’entre tous les Juifs, parce que tu es dans la maison du roi ; car, si tu te tais maintenant, le secours et la délivrance surgiront d’autre part pour les Juifs, et toi et la maison de ton père vous périrez. Et qui sait si ce n’est pas pour un temps comme celui-ci que tu es parvenue à la royauté ? » (</w:t>
      </w:r>
      <w:hyperlink r:id="rId9577">
        <w:r>
          <w:rPr>
            <w:color w:val="0000EE"/>
            <w:u w:val="single"/>
          </w:rPr>
          <w:t>Est 4.13–14</w:t>
        </w:r>
      </w:hyperlink>
      <w:r>
        <w:t>).</w:t>
      </w:r>
    </w:p>
    <w:p>
      <w:r/>
      <w:r>
        <w:t>À travers ces mots, Mardochée disait à Esther que Dieu l'avait probablement faite reine spécifiquement pour aider à sauver son peuple.</w:t>
      </w:r>
    </w:p>
    <w:p>
      <w:r/>
      <w:r>
        <w:t>Pendant qu'Haman complotait contre Mardochée, il construira une haute structure en bois (appelée potence) pour le pendre. La nuit où elle sera terminée, le roi Xerxès n'arrivera pas à dormir. Il demandera à quelqu'un de lui lire le livre des annales de son règne. C'est là que le roi apprendra que Mardochée lui avait autrefois sauvé la vie en déjouant une tentative d'assassinat contre lui. Le roi demandera alors si Mardochée avait déjà été récompensé pour cette bonne action. Lorsqu'il découvre que Mardochée n'avait jamais été honoré, le roi fera appeler Haman.</w:t>
      </w:r>
    </w:p>
    <w:p>
      <w:r/>
      <w:r>
        <w:t>Le roi demande à Haman ce qui devrait être fait pour quelqu'un que le roi souhaite honorer. Haman, pensant que le roi parlait de lui, suggère alors trois gestes grandioses (</w:t>
      </w:r>
      <w:hyperlink r:id="rId9578">
        <w:r>
          <w:rPr>
            <w:color w:val="0000EE"/>
            <w:u w:val="single"/>
          </w:rPr>
          <w:t>Est 6.7–9</w:t>
        </w:r>
      </w:hyperlink>
      <w:r>
        <w:t>). À la surprise de Haman, le roi lui ordonne de faire toutes ces choses pour Mardochée ! Plus tard, dans un retournement de situation inattendu, Haman sera exécuté sur la même potence qu'il avait construite pour tuer Mardochée.</w:t>
      </w:r>
    </w:p>
    <w:p>
      <w:r/>
      <w:r>
        <w:t>Après la mort d'Haman, Mardochée et Esther agissent rapidement. Le premier ordre de tuer les Juifs ne pouvant pas être modifié puisqu'il faisait déjà force de loi, le roi Xerxès (qui se souciait désormais de protéger les Juifs) décide de promulguer une nouvelle loi. Cette dernière permettra aux Juifs de se défendre et de riposter contre quiconque tenterait de les attaquer. Mardochée envoie donc ce nouvel ordre à tous les fonctionnaires perses. Ils collaboreront avec lui pour protéger les Juifs, et beaucoup de leurs ennemis seront tués.</w:t>
      </w:r>
    </w:p>
    <w:p>
      <w:r/>
      <w:r>
        <w:t>Après cette victoire, Mardochée dira aux Juifs de célébrer leur salut chaque année les 14 et 15 jours d'Adar (autour du mois de mars). Ils appelleront cette célébration « Pourim », un nom vient du mot « pour », qui signifie « sort », en référence au sort qu'Haman avait utilisé pour choisir le jour où il prévoyait de détruire les Juifs.</w:t>
      </w:r>
    </w:p>
    <w:p>
      <w:r/>
      <w:r>
        <w:rPr>
          <w:i/>
        </w:rPr>
        <w:t>Voir aussi</w:t>
      </w:r>
      <w:r>
        <w:t xml:space="preserve"> </w:t>
      </w:r>
      <w:r>
        <w:t>Esther, Livre d'</w:t>
      </w:r>
      <w:r>
        <w:t>.</w:t>
      </w:r>
    </w:p>
    <w:p>
      <w:pPr>
        <w:pStyle w:val="ListNumber"/>
        <w:spacing w:line="240" w:lineRule="auto"/>
        <w:ind w:left="720"/>
      </w:pPr>
      <w:r/>
      <w:r>
        <w:t>Un des dix chefs juifs revenus avec Zorobabel après l'exil à Babylone (</w:t>
      </w:r>
      <w:hyperlink r:id="rId7236">
        <w:r>
          <w:rPr>
            <w:color w:val="0000EE"/>
            <w:u w:val="single"/>
          </w:rPr>
          <w:t>Esd 2.2</w:t>
        </w:r>
      </w:hyperlink>
      <w:r>
        <w:t xml:space="preserve"> ; </w:t>
      </w:r>
      <w:hyperlink r:id="rId9579">
        <w:r>
          <w:rPr>
            <w:color w:val="0000EE"/>
            <w:u w:val="single"/>
          </w:rPr>
          <w:t>Né 7.7</w:t>
        </w:r>
      </w:hyperlink>
      <w:r>
        <w:t>).</w:t>
      </w:r>
      <w:r/>
      <w:r/>
    </w:p>
    <w:p>
      <w:r/>
    </w:p>
    <w:p>
      <w:pPr>
        <w:pStyle w:val="Heading2"/>
      </w:pPr>
      <w:r>
        <w:t>mariage, coutumes de mariage</w:t>
      </w:r>
      <w:r/>
    </w:p>
    <w:p>
      <w:r/>
      <w:r>
        <w:t>Union légitime d'un homme et d'une femme telle que reconnue par les autorités ou la société, selon les coutumes et dispositions de diverses cultures.</w:t>
      </w:r>
    </w:p>
    <w:p>
      <w:r/>
      <w:r>
        <w:t>Le mariage a été instauré par Dieu, qui a décrété qu'un homme quittera son père et sa mère pour s'attacher à sa femme, et que lui et elle deviendraient une seule chair (</w:t>
      </w:r>
      <w:hyperlink r:id="rId2284">
        <w:r>
          <w:rPr>
            <w:color w:val="0000EE"/>
            <w:u w:val="single"/>
          </w:rPr>
          <w:t>Gn 2.24</w:t>
        </w:r>
      </w:hyperlink>
      <w:r>
        <w:t>).</w:t>
      </w:r>
    </w:p>
    <w:p>
      <w:r/>
      <w:r>
        <w:t>Plusieurs types de coutumes de mariage sont mentionnées dans l'Ancien Testament (AT). La plus ancienne semble être basée sur un principe matrilinéaire : le mariage avec des membres de la famille de la mère. Bien qu'il semble y avoir quelques indications de cette pratique à l'âge du bronze moyen et au début de la monarchie, il est difficile d'en être certain. Cependant, on sait que le rôle de la mère était important en Égypte, et peut-être ailleurs, pour déterminer la descendance.</w:t>
      </w:r>
    </w:p>
    <w:p>
      <w:r/>
      <w:r>
        <w:t>Généralement, la mariée quittait ses parents lorsqu'elle se mariait et allait vivre avec le clan de son mari, comme Rebecca (</w:t>
      </w:r>
      <w:hyperlink r:id="rId9580">
        <w:r>
          <w:rPr>
            <w:color w:val="0000EE"/>
            <w:u w:val="single"/>
          </w:rPr>
          <w:t>Gn 24.58–59</w:t>
        </w:r>
      </w:hyperlink>
      <w:r>
        <w:t>). Le mot parfois traduit « épouser » (une femme) dans certaines bibles françaises (</w:t>
      </w:r>
      <w:hyperlink r:id="rId9581">
        <w:r>
          <w:rPr>
            <w:color w:val="0000EE"/>
            <w:u w:val="single"/>
          </w:rPr>
          <w:t xml:space="preserve">Dt 21.13, </w:t>
        </w:r>
      </w:hyperlink>
      <w:r>
        <w:t>voir Nouvelle Bible Segond) provient d'une racine signifiant « devenir maître ». Dans ce contexte sociétaire, l'épouse traitait souvent son mari comme un maître et l'adressait ainsi.</w:t>
      </w:r>
    </w:p>
    <w:p>
      <w:r/>
      <w:r>
        <w:t>Les listes généalogiques hébraïques montrent que la descendance était établie au travers des hommes de la lignée (</w:t>
      </w:r>
      <w:hyperlink r:id="rId9582">
        <w:r>
          <w:rPr>
            <w:color w:val="0000EE"/>
            <w:u w:val="single"/>
          </w:rPr>
          <w:t>Gn 5.10</w:t>
        </w:r>
      </w:hyperlink>
      <w:r>
        <w:t xml:space="preserve"> ; </w:t>
      </w:r>
      <w:hyperlink r:id="rId9583">
        <w:r>
          <w:rPr>
            <w:color w:val="0000EE"/>
            <w:u w:val="single"/>
          </w:rPr>
          <w:t>36.9–43</w:t>
        </w:r>
      </w:hyperlink>
      <w:r>
        <w:t xml:space="preserve"> ; </w:t>
      </w:r>
      <w:hyperlink r:id="rId9584">
        <w:r>
          <w:rPr>
            <w:color w:val="0000EE"/>
            <w:u w:val="single"/>
          </w:rPr>
          <w:t>Nb 1.1–15</w:t>
        </w:r>
      </w:hyperlink>
      <w:r>
        <w:t xml:space="preserve"> ; </w:t>
      </w:r>
      <w:hyperlink r:id="rId3568">
        <w:r>
          <w:rPr>
            <w:color w:val="0000EE"/>
            <w:u w:val="single"/>
          </w:rPr>
          <w:t>Ru 4.18–22</w:t>
        </w:r>
      </w:hyperlink>
      <w:r>
        <w:t xml:space="preserve"> ; </w:t>
      </w:r>
      <w:hyperlink r:id="rId9585">
        <w:r>
          <w:rPr>
            <w:color w:val="0000EE"/>
            <w:u w:val="single"/>
          </w:rPr>
          <w:t>1Ch 1.1–9</w:t>
        </w:r>
      </w:hyperlink>
      <w:r>
        <w:t xml:space="preserve">). Le droit important de donner un nom à enfant, indiquant pouvoir et autorité sur lui, est exercé presque autant par le père et la mère dans les références bibliques (voir </w:t>
      </w:r>
      <w:hyperlink r:id="rId9586">
        <w:r>
          <w:rPr>
            <w:color w:val="0000EE"/>
            <w:u w:val="single"/>
          </w:rPr>
          <w:t>Gn 4.1, 25–26</w:t>
        </w:r>
      </w:hyperlink>
      <w:r>
        <w:t xml:space="preserve"> ; </w:t>
      </w:r>
      <w:hyperlink r:id="rId3935">
        <w:r>
          <w:rPr>
            <w:color w:val="0000EE"/>
            <w:u w:val="single"/>
          </w:rPr>
          <w:t>5.29</w:t>
        </w:r>
      </w:hyperlink>
      <w:r>
        <w:t xml:space="preserve"> ; </w:t>
      </w:r>
      <w:hyperlink r:id="rId1758">
        <w:r>
          <w:rPr>
            <w:color w:val="0000EE"/>
            <w:u w:val="single"/>
          </w:rPr>
          <w:t>35.18</w:t>
        </w:r>
      </w:hyperlink>
      <w:r>
        <w:t xml:space="preserve"> ; </w:t>
      </w:r>
      <w:hyperlink r:id="rId9587">
        <w:r>
          <w:rPr>
            <w:color w:val="0000EE"/>
            <w:u w:val="single"/>
          </w:rPr>
          <w:t>1S 1.20</w:t>
        </w:r>
      </w:hyperlink>
      <w:r>
        <w:t xml:space="preserve"> ; </w:t>
      </w:r>
      <w:hyperlink r:id="rId9588">
        <w:r>
          <w:rPr>
            <w:color w:val="0000EE"/>
            <w:u w:val="single"/>
          </w:rPr>
          <w:t>4.21</w:t>
        </w:r>
      </w:hyperlink>
      <w:r>
        <w:t xml:space="preserve"> ; </w:t>
      </w:r>
      <w:hyperlink r:id="rId9589">
        <w:r>
          <w:rPr>
            <w:color w:val="0000EE"/>
            <w:u w:val="single"/>
          </w:rPr>
          <w:t>Es 8.3</w:t>
        </w:r>
      </w:hyperlink>
      <w:r>
        <w:t xml:space="preserve"> ; </w:t>
      </w:r>
      <w:hyperlink r:id="rId9590">
        <w:r>
          <w:rPr>
            <w:color w:val="0000EE"/>
            <w:u w:val="single"/>
          </w:rPr>
          <w:t>Os 1.4–9</w:t>
        </w:r>
      </w:hyperlink>
      <w:r>
        <w:t xml:space="preserve">). Les fils étaient parfois nommés d'après leurs pères (p. ex. « Ben-Hur » signifie « fils de Hur »). Les noms des pères servaient très souvent à identifier les enfants (p. ex. « Simon, fils de Jonas »). </w:t>
      </w:r>
    </w:p>
    <w:p>
      <w:r/>
      <w:r>
        <w:t>Le père était incontestablement le chef de famille dans le foyer d'une société patriarcale. Sa femme et ses enfants étaient considérés comme ses possessions à certains égards, comme l'étaient ses champs et son bétail (</w:t>
      </w:r>
      <w:hyperlink r:id="rId3084">
        <w:r>
          <w:rPr>
            <w:color w:val="0000EE"/>
            <w:u w:val="single"/>
          </w:rPr>
          <w:t>Ex 20.17</w:t>
        </w:r>
      </w:hyperlink>
      <w:r>
        <w:t xml:space="preserve"> ; </w:t>
      </w:r>
      <w:hyperlink r:id="rId3081">
        <w:r>
          <w:rPr>
            <w:color w:val="0000EE"/>
            <w:u w:val="single"/>
          </w:rPr>
          <w:t>Dt 5.21</w:t>
        </w:r>
      </w:hyperlink>
      <w:r>
        <w:t>). Il avait le droit de vendre ses fils et ses filles (</w:t>
      </w:r>
      <w:hyperlink r:id="rId9591">
        <w:r>
          <w:rPr>
            <w:color w:val="0000EE"/>
            <w:u w:val="single"/>
          </w:rPr>
          <w:t>Ex 21.7</w:t>
        </w:r>
      </w:hyperlink>
      <w:r>
        <w:t xml:space="preserve"> ; </w:t>
      </w:r>
      <w:hyperlink r:id="rId9592">
        <w:r>
          <w:rPr>
            <w:color w:val="0000EE"/>
            <w:u w:val="single"/>
          </w:rPr>
          <w:t>Né 5.5</w:t>
        </w:r>
      </w:hyperlink>
      <w:r>
        <w:t>) et possédait même le pouvoir de vie et de mort sur ses enfants.</w:t>
      </w:r>
    </w:p>
    <w:p>
      <w:r/>
      <w:r>
        <w:t>Dans la loi de Moïse, il était permis à un homme de divorcer, mais il n'y a pas d'indication qu'une femme pouvait divorcer de son mari (</w:t>
      </w:r>
      <w:hyperlink r:id="rId4270">
        <w:r>
          <w:rPr>
            <w:color w:val="0000EE"/>
            <w:u w:val="single"/>
          </w:rPr>
          <w:t>Dt 24.1–4</w:t>
        </w:r>
      </w:hyperlink>
      <w:r>
        <w:t xml:space="preserve"> ; voir </w:t>
      </w:r>
      <w:hyperlink r:id="rId9593">
        <w:r>
          <w:rPr>
            <w:color w:val="0000EE"/>
            <w:u w:val="single"/>
          </w:rPr>
          <w:t>22.13–21</w:t>
        </w:r>
      </w:hyperlink>
      <w:r>
        <w:t>).</w:t>
      </w:r>
    </w:p>
    <w:p>
      <w:r/>
      <w:r>
        <w:t>La coutume du lévirat (mariage du frère ou plus proche parent mâle du défunt à sa veuve) servait à préserver une lignée familiale ainsi que l'héritage ancestral. Ainsi, lorsqu'un homme mourait sans enfant, la responsabilité de lui donner une descendance revenait à son frère ou plus proche parent mâle (</w:t>
      </w:r>
      <w:hyperlink r:id="rId6731">
        <w:r>
          <w:rPr>
            <w:color w:val="0000EE"/>
            <w:u w:val="single"/>
          </w:rPr>
          <w:t>Dt 25.5–10</w:t>
        </w:r>
      </w:hyperlink>
      <w:r>
        <w:t>). Le premier-né du nouveau mariage était considéré comme l'enfant du défunt. Le lévirat était également connu des Cananéens, des Assyriens et des Hittites.</w:t>
      </w:r>
    </w:p>
    <w:p>
      <w:r/>
      <w:r>
        <w:t xml:space="preserve">Le lévirat le plus connu de l'AT est celui de Ruth, même s'il ne se conforme pas exactement à la loi de </w:t>
      </w:r>
      <w:hyperlink r:id="rId9594">
        <w:r>
          <w:rPr>
            <w:color w:val="0000EE"/>
            <w:u w:val="single"/>
          </w:rPr>
          <w:t>Deutéronome 25</w:t>
        </w:r>
      </w:hyperlink>
      <w:r>
        <w:t>. Il était essentiel pour Ruth de trouver un proche parent masculin puisqu'elle était veuve, sans enfants et vulnérable. Le plus proche parent masculin qui aurait pu l'épouser refuse de le faire, parce qu'il pense que ce serait à la perte de sa propre famille. Boaz est le prochain parent masculin le plus proche et il accepte d'assumer cette responsabilité. Il se marie avec Ruth, avec qui il a un fils (</w:t>
      </w:r>
      <w:hyperlink r:id="rId9595">
        <w:r>
          <w:rPr>
            <w:color w:val="0000EE"/>
            <w:u w:val="single"/>
          </w:rPr>
          <w:t>Ru 2.20–4.10</w:t>
        </w:r>
      </w:hyperlink>
      <w:r>
        <w:t>).</w:t>
      </w:r>
    </w:p>
    <w:p>
      <w:r/>
      <w:r>
        <w:t>Il y a de nombreux cas de polygamie mentionnés dans l'AT, mais selon toute probabilité, la grande majorité des Israélites étaient monogames. Il n'y a aucun exemple de grand ménage polygame parmi les classes populaires.</w:t>
      </w:r>
    </w:p>
    <w:p>
      <w:r/>
      <w:r>
        <w:t>La parole divine donnée à Adam au commencement était qu'un « homme … s'attachera à sa femme » (</w:t>
      </w:r>
      <w:hyperlink r:id="rId2284">
        <w:r>
          <w:rPr>
            <w:color w:val="0000EE"/>
            <w:u w:val="single"/>
          </w:rPr>
          <w:t>Gn 2.24</w:t>
        </w:r>
      </w:hyperlink>
      <w:r>
        <w:t>). Les lois hébraïques assument généralement le mariage avec une seule femme (</w:t>
      </w:r>
      <w:hyperlink r:id="rId3084">
        <w:r>
          <w:rPr>
            <w:color w:val="0000EE"/>
            <w:u w:val="single"/>
          </w:rPr>
          <w:t xml:space="preserve">Ex 20.17 </w:t>
        </w:r>
      </w:hyperlink>
      <w:r>
        <w:t xml:space="preserve">; </w:t>
      </w:r>
      <w:hyperlink r:id="rId9596">
        <w:r>
          <w:rPr>
            <w:color w:val="0000EE"/>
            <w:u w:val="single"/>
          </w:rPr>
          <w:t xml:space="preserve">21.5 </w:t>
        </w:r>
      </w:hyperlink>
      <w:r>
        <w:t xml:space="preserve">; </w:t>
      </w:r>
      <w:hyperlink r:id="rId9597">
        <w:r>
          <w:rPr>
            <w:color w:val="0000EE"/>
            <w:u w:val="single"/>
          </w:rPr>
          <w:t xml:space="preserve">Lv 18.8, 16–20 </w:t>
        </w:r>
      </w:hyperlink>
      <w:r>
        <w:t xml:space="preserve">; </w:t>
      </w:r>
      <w:hyperlink r:id="rId365">
        <w:r>
          <w:rPr>
            <w:color w:val="0000EE"/>
            <w:u w:val="single"/>
          </w:rPr>
          <w:t xml:space="preserve">20.10 </w:t>
        </w:r>
      </w:hyperlink>
      <w:r>
        <w:t xml:space="preserve">; </w:t>
      </w:r>
      <w:hyperlink r:id="rId9598">
        <w:r>
          <w:rPr>
            <w:color w:val="0000EE"/>
            <w:u w:val="single"/>
          </w:rPr>
          <w:t xml:space="preserve">Nm 5.12 </w:t>
        </w:r>
      </w:hyperlink>
      <w:r>
        <w:t xml:space="preserve">; </w:t>
      </w:r>
      <w:hyperlink r:id="rId3081">
        <w:r>
          <w:rPr>
            <w:color w:val="0000EE"/>
            <w:u w:val="single"/>
          </w:rPr>
          <w:t>Dt 5.21</w:t>
        </w:r>
      </w:hyperlink>
      <w:r>
        <w:t>). La monogamie était la norme à l'époque de la monarchie. Cependant, Salomon, en tant que roi, n'a pas suivi les traditions hébraïques à cet égard. Dans la période postexilique, les mariages étaient également principalement monogames, même s'il y avait beaucoup plus de divorces. À l'époque du Nouveau Testament (NT), la monogamie semble avoir été la norme, même si des personnes telles qu'Hérode le Grand étaient polygames. Jésus-Christ a enseigné que si un homme divorce de sa femme et en épouse une autre, il commet l'adultère, sauf en cas d'infidélité (</w:t>
      </w:r>
      <w:hyperlink r:id="rId3226">
        <w:r>
          <w:rPr>
            <w:color w:val="0000EE"/>
            <w:u w:val="single"/>
          </w:rPr>
          <w:t xml:space="preserve">Mt 5.31–32 </w:t>
        </w:r>
      </w:hyperlink>
      <w:r>
        <w:t>). L'apôtre Paul précise aussi que la relation maritale est pour la vie.</w:t>
      </w:r>
    </w:p>
    <w:p>
      <w:r/>
      <w:r>
        <w:t>Les gens se mariaient généralement parmi leurs proches. Il était donc important de préciser quels mariages n'étaient pas acceptables entre membres d'une même famille. L'exemple du mariage d'Abraham et de Sara semble indiquer qu'il était acceptable à leur époque de se marier avec une demi-sœur du côté de son père (</w:t>
      </w:r>
      <w:hyperlink r:id="rId6822">
        <w:r>
          <w:rPr>
            <w:color w:val="0000EE"/>
            <w:u w:val="single"/>
          </w:rPr>
          <w:t>Gn 20.12</w:t>
        </w:r>
      </w:hyperlink>
      <w:r>
        <w:t>). Les paroles de Tamar, fille du roi David, à son demi-frère qui s'apprête à la violer, semble indiquer que c'était peut-être toujours possible pendant le règne de David (</w:t>
      </w:r>
      <w:hyperlink r:id="rId9599">
        <w:r>
          <w:rPr>
            <w:color w:val="0000EE"/>
            <w:u w:val="single"/>
          </w:rPr>
          <w:t>2S 13.13</w:t>
        </w:r>
      </w:hyperlink>
      <w:r>
        <w:t xml:space="preserve">). Pourtant, cela avait été spécifiquement interdit dans </w:t>
      </w:r>
      <w:hyperlink r:id="rId9600">
        <w:r>
          <w:rPr>
            <w:color w:val="0000EE"/>
            <w:u w:val="single"/>
          </w:rPr>
          <w:t>Lévitique 20.17</w:t>
        </w:r>
      </w:hyperlink>
      <w:r>
        <w:t xml:space="preserve">. </w:t>
      </w:r>
    </w:p>
    <w:p>
      <w:r/>
      <w:r>
        <w:t xml:space="preserve">Comme la loi de </w:t>
      </w:r>
      <w:hyperlink r:id="rId5782">
        <w:r>
          <w:rPr>
            <w:color w:val="0000EE"/>
            <w:u w:val="single"/>
          </w:rPr>
          <w:t>Deutéronome 25.5</w:t>
        </w:r>
      </w:hyperlink>
      <w:r>
        <w:t xml:space="preserve"> prévoit ce qui semble interdit dans </w:t>
      </w:r>
      <w:hyperlink r:id="rId6426">
        <w:r>
          <w:rPr>
            <w:color w:val="0000EE"/>
            <w:u w:val="single"/>
          </w:rPr>
          <w:t>Lévitique 18.16</w:t>
        </w:r>
      </w:hyperlink>
      <w:r>
        <w:t>, il est possible qu'il y ait eu une modification des règlements lévitiques plus stricts. Les mariages entre cousins, tels que ceux d'Isaac avec Rebecca et de Jacob avec Rachel et Léa, étaient courants. Lorsqu'une demande de mariage venait d'un proche parent, il était presque impossible de refuser (</w:t>
      </w:r>
      <w:hyperlink r:id="rId9601">
        <w:r>
          <w:rPr>
            <w:color w:val="0000EE"/>
            <w:u w:val="single"/>
          </w:rPr>
          <w:t xml:space="preserve">Tobit 6.13 </w:t>
        </w:r>
      </w:hyperlink>
      <w:r>
        <w:t xml:space="preserve">; </w:t>
      </w:r>
      <w:hyperlink r:id="rId9602">
        <w:r>
          <w:rPr>
            <w:color w:val="0000EE"/>
            <w:u w:val="single"/>
          </w:rPr>
          <w:t>7.11–12</w:t>
        </w:r>
      </w:hyperlink>
      <w:r>
        <w:t>). Avant que la loi ne soit donnée, Moïse est né d'un mariage entre un neveu et sa tante (</w:t>
      </w:r>
      <w:hyperlink r:id="rId9603">
        <w:r>
          <w:rPr>
            <w:color w:val="0000EE"/>
            <w:u w:val="single"/>
          </w:rPr>
          <w:t xml:space="preserve">Ex 6.20 </w:t>
        </w:r>
      </w:hyperlink>
      <w:r>
        <w:t xml:space="preserve">; </w:t>
      </w:r>
      <w:hyperlink r:id="rId8066">
        <w:r>
          <w:rPr>
            <w:color w:val="0000EE"/>
            <w:u w:val="single"/>
          </w:rPr>
          <w:t>Nb 26.59</w:t>
        </w:r>
      </w:hyperlink>
      <w:r>
        <w:t xml:space="preserve">), ce qui aurait été interdit selon </w:t>
      </w:r>
      <w:hyperlink r:id="rId9604">
        <w:r>
          <w:rPr>
            <w:color w:val="0000EE"/>
            <w:u w:val="single"/>
          </w:rPr>
          <w:t>Lévitique 18.12–13</w:t>
        </w:r>
      </w:hyperlink>
      <w:r>
        <w:t xml:space="preserve"> et </w:t>
      </w:r>
      <w:hyperlink r:id="rId9605">
        <w:r>
          <w:rPr>
            <w:color w:val="0000EE"/>
            <w:u w:val="single"/>
          </w:rPr>
          <w:t>20.19</w:t>
        </w:r>
      </w:hyperlink>
      <w:r>
        <w:t>. Le mariage de Jacob avec deux sœurs en même temps aurait également été interdit (</w:t>
      </w:r>
      <w:hyperlink r:id="rId4269">
        <w:r>
          <w:rPr>
            <w:color w:val="0000EE"/>
            <w:u w:val="single"/>
          </w:rPr>
          <w:t xml:space="preserve">Gn 29.30 </w:t>
        </w:r>
      </w:hyperlink>
      <w:r>
        <w:t xml:space="preserve">; voir </w:t>
      </w:r>
      <w:hyperlink r:id="rId9597">
        <w:r>
          <w:rPr>
            <w:color w:val="0000EE"/>
            <w:u w:val="single"/>
          </w:rPr>
          <w:t>Lv 18.16–20</w:t>
        </w:r>
      </w:hyperlink>
      <w:r>
        <w:t>, en particulier le v. 18).</w:t>
      </w:r>
    </w:p>
    <w:p>
      <w:r/>
      <w:r>
        <w:t>Lorsque les Israélites se sont installés en Canaan, beaucoup d'entre eux se sont mariés avec des femmes cananéennes, ce qui les a entraînés à adopter leurs pratiques religieuses (</w:t>
      </w:r>
      <w:hyperlink r:id="rId9606">
        <w:r>
          <w:rPr>
            <w:color w:val="0000EE"/>
            <w:u w:val="single"/>
          </w:rPr>
          <w:t>Jg 3.6</w:t>
        </w:r>
      </w:hyperlink>
      <w:r>
        <w:t>). De tels mariages mixtes étaient interdits par la loi de Moïse (</w:t>
      </w:r>
      <w:hyperlink r:id="rId9607">
        <w:r>
          <w:rPr>
            <w:color w:val="0000EE"/>
            <w:u w:val="single"/>
          </w:rPr>
          <w:t>Ex 34.15–16</w:t>
        </w:r>
      </w:hyperlink>
      <w:r>
        <w:t xml:space="preserve"> ; </w:t>
      </w:r>
      <w:hyperlink r:id="rId5105">
        <w:r>
          <w:rPr>
            <w:color w:val="0000EE"/>
            <w:u w:val="single"/>
          </w:rPr>
          <w:t>Dt 7.3–4</w:t>
        </w:r>
      </w:hyperlink>
      <w:r>
        <w:t>). Cependant, de nombreux Israélites n'ont pas observé ces commandements. Dans le cas d'une femme faite prisonnière à la guerre, une exception pouvait être faite (</w:t>
      </w:r>
      <w:hyperlink r:id="rId9608">
        <w:r>
          <w:rPr>
            <w:color w:val="0000EE"/>
            <w:u w:val="single"/>
          </w:rPr>
          <w:t>Dt 21.10–14</w:t>
        </w:r>
      </w:hyperlink>
      <w:r>
        <w:t>). Samson a fait le contraire : il a épousé une femme philistine ,qui est restée avec son propre peuple, mais qui recevait périodiquement des visites conjugales de son mari (</w:t>
      </w:r>
      <w:hyperlink r:id="rId9609">
        <w:r>
          <w:rPr>
            <w:color w:val="0000EE"/>
            <w:u w:val="single"/>
          </w:rPr>
          <w:t>Jg 14.8–15.2</w:t>
        </w:r>
      </w:hyperlink>
      <w:r>
        <w:t>).</w:t>
      </w:r>
    </w:p>
    <w:p>
      <w:r/>
      <w:r>
        <w:t>Le danger que le mariage mixte corrompe la foi hébraïque était considéré si grand que, pendant la période postexilique, une réforme a ordonné que chaque Juif qui avait épousé une femme étrangère la renvoie avec ses enfants (</w:t>
      </w:r>
      <w:hyperlink r:id="rId9610">
        <w:r>
          <w:rPr>
            <w:color w:val="0000EE"/>
            <w:u w:val="single"/>
          </w:rPr>
          <w:t>Esd 9.2</w:t>
        </w:r>
      </w:hyperlink>
      <w:r>
        <w:t xml:space="preserve"> ; </w:t>
      </w:r>
      <w:hyperlink r:id="rId9611">
        <w:r>
          <w:rPr>
            <w:color w:val="0000EE"/>
            <w:u w:val="single"/>
          </w:rPr>
          <w:t>10.3, 16–17</w:t>
        </w:r>
      </w:hyperlink>
      <w:r>
        <w:t>). L'intention était de ne plus permettre à Israël de retomber dans l'idolâtrie qui avait provoqué l'exil, même s'il fallait payer le prix de la destruction de foyers. Dans le NT, Paul prescrit aussi que les chrétiens ne doivent pas se marier en dehors de la foi (</w:t>
      </w:r>
      <w:hyperlink r:id="rId9612">
        <w:r>
          <w:rPr>
            <w:color w:val="0000EE"/>
            <w:u w:val="single"/>
          </w:rPr>
          <w:t>2Co 6.14–15</w:t>
        </w:r>
      </w:hyperlink>
      <w:r>
        <w:t>).</w:t>
      </w:r>
    </w:p>
    <w:p>
      <w:r/>
      <w:r>
        <w:t>Il est difficile d'estimer à partir de quel âge les gens se mariaient. Selon la tradition juive après les temps bibliques, un garçon était considéré responsable d'un point de vue religieux et communautaire à l'âge de 13 ans. Cette transition était célébrée par la bar-mitsva, une cérémonie qui avait généralement lieu lorsque le garçon avait 13 ans. Toutefois, la Bible n'indique pas clairement à quel âge les jeunes filles ou les jeunes hommes étaient mariés.</w:t>
      </w:r>
    </w:p>
    <w:p>
      <w:r/>
      <w:r>
        <w:t xml:space="preserve">Normalement, les parents du jeune homme choisissaient la mariée. Ils en parlaient ensuite avec les parents de la mariée. Souvent, les futurs mariés n'étaient pas consultés. La coutume était de marier l'aîné de la famille en premier (voir </w:t>
      </w:r>
      <w:hyperlink r:id="rId8823">
        <w:r>
          <w:rPr>
            <w:color w:val="0000EE"/>
            <w:u w:val="single"/>
          </w:rPr>
          <w:t>Gn 29.26</w:t>
        </w:r>
      </w:hyperlink>
      <w:r>
        <w:t>). Lorsque Abraham décide qu'il est temps pour Isaac de se marier, il envoie son serviteur choisir une épouse parmi ses proches en Mésopotamie. Le serviteur discute de la proposition de mariage avec le frère et la mère de la mariée dans un premier temps (</w:t>
      </w:r>
      <w:hyperlink r:id="rId9613">
        <w:r>
          <w:rPr>
            <w:color w:val="0000EE"/>
            <w:u w:val="single"/>
          </w:rPr>
          <w:t>24.33–53</w:t>
        </w:r>
      </w:hyperlink>
      <w:r>
        <w:t xml:space="preserve">). Ce n'est qu'ensuite que Rebecca est consultée (v. </w:t>
      </w:r>
      <w:hyperlink r:id="rId9614">
        <w:r>
          <w:rPr>
            <w:color w:val="0000EE"/>
            <w:u w:val="single"/>
          </w:rPr>
          <w:t>57–58</w:t>
        </w:r>
      </w:hyperlink>
      <w:r>
        <w:t>). Son père était peut-être dans l'impossibilité d'assumer ce qui normalement aurait été son rôle et sa décision.</w:t>
      </w:r>
    </w:p>
    <w:p>
      <w:r/>
      <w:r>
        <w:t>La pratique normale était de payer une dot, c'est-à-dire un paiement en biens, à la famille de la future mariée, comme condition de mariage. Cela signifie que la majorité des jeunes hommes ne pouvaient probablement pas se permettre d'avoir plus d'une épouse. Certains épisodes bibliques pourraient indiquer qu'il était possible de proposer autre chose que des biens comme dot, par exemple, travailler pour un temps pour la famille de la femme (</w:t>
      </w:r>
      <w:hyperlink r:id="rId9615">
        <w:r>
          <w:rPr>
            <w:color w:val="0000EE"/>
            <w:u w:val="single"/>
          </w:rPr>
          <w:t>Gn 29.15–30</w:t>
        </w:r>
      </w:hyperlink>
      <w:r>
        <w:t>) ou lui rendre un autre service (</w:t>
      </w:r>
      <w:hyperlink r:id="rId9616">
        <w:r>
          <w:rPr>
            <w:color w:val="0000EE"/>
            <w:u w:val="single"/>
          </w:rPr>
          <w:t>1S 18.25–27</w:t>
        </w:r>
      </w:hyperlink>
      <w:r>
        <w:t>). Un homme qui avait eu des relations sexuelles avec une vierge était obligé de payer une dot à son père. Dans le cas d'un viol d'une vierge non fiancée, le coupable pouvait être obligé de se marier avec elle et de payer des dommages à la famille (si le père de la jeune femme le permettait). Le prix était fixé à 50 sicles et était considéré comme une punition plutôt qu'une dot normale.</w:t>
      </w:r>
    </w:p>
    <w:p>
      <w:r/>
      <w:r>
        <w:t>Selon certaines traditions juives, la dot d'une vierge à fiancer était de 50 sicles durant la période du Second Temple. La dot d'une veuve ou d'une femme divorcée valait environ la moitié de cette somme.</w:t>
      </w:r>
      <w:r>
        <w:rPr>
          <w:b/>
          <w:i/>
        </w:rPr>
        <w:t xml:space="preserve"> </w:t>
      </w:r>
      <w:r>
        <w:t>Ces traditions affirment que le mariage avec une vierge se faisait en milieu de semaine, pour que son mari, s'il découvrait qu'elle n'était pas vierge, puisse avoir le temps d'en apporter la preuve au tribunal avant le sabbat. Une veuve ou une femme divorcée était mariée habituellement deux jours avant le Sabbat afin de pouvoir passer une journée complète avec son mari avant le sabbat.</w:t>
      </w:r>
    </w:p>
    <w:p>
      <w:r/>
      <w:r>
        <w:t>Le mariage était une alliance ou un pacte entre deux familles, unissant les deux familles, car le couple et leurs enfants faisaient partie des deux. L'alliance du mariage augmentait donc la taille de chaque famille. Ceci était important car dans cette société, les responsabilités envers la parenté étaient prises très au sérieux. Dans certains cas, le mariage produisait aussi une alliance politique, comme celui entre Salomon et la princesse égyptienne (</w:t>
      </w:r>
      <w:hyperlink r:id="rId5685">
        <w:r>
          <w:rPr>
            <w:color w:val="0000EE"/>
            <w:u w:val="single"/>
          </w:rPr>
          <w:t>1R 11.1</w:t>
        </w:r>
      </w:hyperlink>
      <w:r>
        <w:t>) ou Achab d'Israël et Jézabel de Tyr (</w:t>
      </w:r>
      <w:hyperlink r:id="rId9617">
        <w:r>
          <w:rPr>
            <w:color w:val="0000EE"/>
            <w:u w:val="single"/>
          </w:rPr>
          <w:t>16.31</w:t>
        </w:r>
      </w:hyperlink>
      <w:r>
        <w:t>).</w:t>
      </w:r>
    </w:p>
    <w:p>
      <w:r/>
      <w:r>
        <w:t>L'alliance pouvait s'accompagner de cadeaux qui démontrait la richesse et l'importance sociale du marié et de la mariée (</w:t>
      </w:r>
      <w:hyperlink r:id="rId9618">
        <w:r>
          <w:rPr>
            <w:color w:val="0000EE"/>
            <w:u w:val="single"/>
          </w:rPr>
          <w:t>Gn 34.12</w:t>
        </w:r>
      </w:hyperlink>
      <w:r>
        <w:t>). Dans le Proche-Orient ancien, offrir un cadeau pouvait être considéré comme donner une partie de soi-même. Le cadeau qui scellait l'alliance établissait également l'autorité du donateur sur la mariée.</w:t>
      </w:r>
    </w:p>
    <w:p>
      <w:r/>
      <w:r>
        <w:t xml:space="preserve">La prochaine étape de la procédure de mariage était les fiançailles. Le terme est mentionné pour la première fois dans </w:t>
      </w:r>
      <w:hyperlink r:id="rId4332">
        <w:r>
          <w:rPr>
            <w:color w:val="0000EE"/>
            <w:u w:val="single"/>
          </w:rPr>
          <w:t>Exode 22.16</w:t>
        </w:r>
      </w:hyperlink>
      <w:r>
        <w:t xml:space="preserve"> et est utilisé plusieurs fois dans Deutéronome (</w:t>
      </w:r>
      <w:hyperlink r:id="rId9619">
        <w:r>
          <w:rPr>
            <w:color w:val="0000EE"/>
            <w:u w:val="single"/>
          </w:rPr>
          <w:t>20.7</w:t>
        </w:r>
      </w:hyperlink>
      <w:r>
        <w:t xml:space="preserve"> ; </w:t>
      </w:r>
      <w:hyperlink r:id="rId4392">
        <w:r>
          <w:rPr>
            <w:color w:val="0000EE"/>
            <w:u w:val="single"/>
          </w:rPr>
          <w:t>22.23–24</w:t>
        </w:r>
      </w:hyperlink>
      <w:r>
        <w:t>). Les fiançailles avaient le statut légal d'un mariage (</w:t>
      </w:r>
      <w:hyperlink r:id="rId9620">
        <w:r>
          <w:rPr>
            <w:color w:val="0000EE"/>
            <w:u w:val="single"/>
          </w:rPr>
          <w:t>Dt 28.30</w:t>
        </w:r>
      </w:hyperlink>
      <w:r>
        <w:t xml:space="preserve"> ; </w:t>
      </w:r>
      <w:hyperlink r:id="rId8503">
        <w:r>
          <w:rPr>
            <w:color w:val="0000EE"/>
            <w:u w:val="single"/>
          </w:rPr>
          <w:t>2S 3.14</w:t>
        </w:r>
      </w:hyperlink>
      <w:r>
        <w:t>) et quiconque avait des relations sexuelles avec une vierge fiancée devait être lapidé, selon la loi du Deutéronome, pour avoir déshonoré la « femme » de son prochain (</w:t>
      </w:r>
      <w:hyperlink r:id="rId4392">
        <w:r>
          <w:rPr>
            <w:color w:val="0000EE"/>
            <w:u w:val="single"/>
          </w:rPr>
          <w:t>Dt 22.23–24</w:t>
        </w:r>
      </w:hyperlink>
      <w:r>
        <w:t>). Les fiançailles signifiaient prendre possession, de façon comparable à recevoir un tribut. Néanmoins, il était compris que se fiancer ne permettait pas encore de profiter des droits conjugaux (</w:t>
      </w:r>
      <w:hyperlink r:id="rId9619">
        <w:r>
          <w:rPr>
            <w:color w:val="0000EE"/>
            <w:u w:val="single"/>
          </w:rPr>
          <w:t>20.7</w:t>
        </w:r>
      </w:hyperlink>
      <w:r>
        <w:t>). Pendant la période de fiançailles, le futur marié était exempté de service dans l'armée. Les fiançailles étaient considérées comme un engagement formel à la relation permanente (</w:t>
      </w:r>
      <w:hyperlink r:id="rId8688">
        <w:r>
          <w:rPr>
            <w:color w:val="0000EE"/>
            <w:u w:val="single"/>
          </w:rPr>
          <w:t>Mt 1.18</w:t>
        </w:r>
      </w:hyperlink>
      <w:r>
        <w:t xml:space="preserve"> ; </w:t>
      </w:r>
      <w:hyperlink r:id="rId5952">
        <w:r>
          <w:rPr>
            <w:color w:val="0000EE"/>
            <w:u w:val="single"/>
          </w:rPr>
          <w:t>Lc 1.27</w:t>
        </w:r>
      </w:hyperlink>
      <w:r>
        <w:t xml:space="preserve"> ; </w:t>
      </w:r>
      <w:hyperlink r:id="rId9621">
        <w:r>
          <w:rPr>
            <w:color w:val="0000EE"/>
            <w:u w:val="single"/>
          </w:rPr>
          <w:t>2.5</w:t>
        </w:r>
      </w:hyperlink>
      <w:r>
        <w:t>).</w:t>
      </w:r>
    </w:p>
    <w:p>
      <w:r/>
      <w:r>
        <w:t>Celui qui devait épouser la fille d'un homme était considéré son gendre dès qu'il lui était fiancé (</w:t>
      </w:r>
      <w:hyperlink r:id="rId9622">
        <w:r>
          <w:rPr>
            <w:color w:val="0000EE"/>
            <w:u w:val="single"/>
          </w:rPr>
          <w:t>Gn 19.14</w:t>
        </w:r>
      </w:hyperlink>
      <w:r>
        <w:t>). Puisque Marie était fiancée à Joseph, elle était en fait considérée par la société comme sa femme, même s'ils n'habitaient pas encore ensemble et n'ont pas eu de relations sexuelles jusque après la naissance de Jésus.</w:t>
      </w:r>
    </w:p>
    <w:p>
      <w:r/>
      <w:r>
        <w:t>Le premier récit biblique d'un mariage célébré par un festin est celui de Jacob et de Léa (</w:t>
      </w:r>
      <w:hyperlink r:id="rId1619">
        <w:r>
          <w:rPr>
            <w:color w:val="0000EE"/>
            <w:u w:val="single"/>
          </w:rPr>
          <w:t>Gn 29.22</w:t>
        </w:r>
      </w:hyperlink>
      <w:r>
        <w:t>). Le premier contrat de mariage est mentionné le livre de Tobit (</w:t>
      </w:r>
      <w:hyperlink r:id="rId7274">
        <w:r>
          <w:rPr>
            <w:color w:val="0000EE"/>
            <w:u w:val="single"/>
          </w:rPr>
          <w:t>Tobit 7.12</w:t>
        </w:r>
      </w:hyperlink>
      <w:r>
        <w:t>). Ce contrat n'était pas considéré comme valide tant que le couple n'avait pas cohabité pendant une semaine (</w:t>
      </w:r>
      <w:hyperlink r:id="rId9623">
        <w:r>
          <w:rPr>
            <w:color w:val="0000EE"/>
            <w:u w:val="single"/>
          </w:rPr>
          <w:t>Gn 29.27</w:t>
        </w:r>
      </w:hyperlink>
      <w:r>
        <w:t xml:space="preserve"> ; </w:t>
      </w:r>
      <w:hyperlink r:id="rId9624">
        <w:r>
          <w:rPr>
            <w:color w:val="0000EE"/>
            <w:u w:val="single"/>
          </w:rPr>
          <w:t>Jg 14.12, 18</w:t>
        </w:r>
      </w:hyperlink>
      <w:r>
        <w:t>). Lorsque Samson quitte sa femme avant la fin de la période de sept jours, les parents considèrent le mariage annulé et la donnent à un autre homme (</w:t>
      </w:r>
      <w:hyperlink r:id="rId9625">
        <w:r>
          <w:rPr>
            <w:color w:val="0000EE"/>
            <w:u w:val="single"/>
          </w:rPr>
          <w:t>Jg 14.20</w:t>
        </w:r>
      </w:hyperlink>
      <w:r>
        <w:t>).</w:t>
      </w:r>
    </w:p>
    <w:p>
      <w:r/>
      <w:r>
        <w:t>Le mariage était l'occasion de grande réjouissance familiale. Certains passages bibliques mentionnent les beaux vêtements que la mariée et le marié portaient pour l'occasion (</w:t>
      </w:r>
      <w:hyperlink r:id="rId9626">
        <w:r>
          <w:rPr>
            <w:color w:val="0000EE"/>
            <w:u w:val="single"/>
          </w:rPr>
          <w:t>Es 61.10</w:t>
        </w:r>
      </w:hyperlink>
      <w:r>
        <w:t xml:space="preserve"> ; </w:t>
      </w:r>
      <w:hyperlink r:id="rId5391">
        <w:r>
          <w:rPr>
            <w:color w:val="0000EE"/>
            <w:u w:val="single"/>
          </w:rPr>
          <w:t>Ez 16.9–13</w:t>
        </w:r>
      </w:hyperlink>
      <w:r>
        <w:t>). La mariée pouvait porter des habits brodés, des bijoux (</w:t>
      </w:r>
      <w:hyperlink r:id="rId9627">
        <w:r>
          <w:rPr>
            <w:color w:val="0000EE"/>
            <w:u w:val="single"/>
          </w:rPr>
          <w:t>Ps 45.14–15</w:t>
        </w:r>
      </w:hyperlink>
      <w:r>
        <w:t xml:space="preserve"> ; </w:t>
      </w:r>
      <w:hyperlink r:id="rId9626">
        <w:r>
          <w:rPr>
            <w:color w:val="0000EE"/>
            <w:u w:val="single"/>
          </w:rPr>
          <w:t>Es 61.10</w:t>
        </w:r>
      </w:hyperlink>
      <w:r>
        <w:t>) et d'autres ornements. Le marié pouvait porter un diadème (</w:t>
      </w:r>
      <w:hyperlink r:id="rId9628">
        <w:r>
          <w:rPr>
            <w:color w:val="0000EE"/>
            <w:u w:val="single"/>
          </w:rPr>
          <w:t>Ct 3.11</w:t>
        </w:r>
      </w:hyperlink>
      <w:r>
        <w:t xml:space="preserve"> ; </w:t>
      </w:r>
      <w:hyperlink r:id="rId9626">
        <w:r>
          <w:rPr>
            <w:color w:val="0000EE"/>
            <w:u w:val="single"/>
          </w:rPr>
          <w:t>Es 61.10</w:t>
        </w:r>
      </w:hyperlink>
      <w:r>
        <w:t>). La mariée portait un voile (</w:t>
      </w:r>
      <w:hyperlink r:id="rId9629">
        <w:r>
          <w:rPr>
            <w:color w:val="0000EE"/>
            <w:u w:val="single"/>
          </w:rPr>
          <w:t>Gn 24.65</w:t>
        </w:r>
      </w:hyperlink>
      <w:r>
        <w:t xml:space="preserve"> ; </w:t>
      </w:r>
      <w:hyperlink r:id="rId3422">
        <w:r>
          <w:rPr>
            <w:color w:val="0000EE"/>
            <w:u w:val="single"/>
          </w:rPr>
          <w:t>Ct 4.3</w:t>
        </w:r>
      </w:hyperlink>
      <w:r>
        <w:t>) qui était retiré dans la chambre nuptiale. Cela expliquerait pourquoi Rebecca a mis son voile en présence d'Isaac, son fiancé (</w:t>
      </w:r>
      <w:hyperlink r:id="rId9629">
        <w:r>
          <w:rPr>
            <w:color w:val="0000EE"/>
            <w:u w:val="single"/>
          </w:rPr>
          <w:t>Gn 24.65</w:t>
        </w:r>
      </w:hyperlink>
      <w:r>
        <w:t>), et comment Laban a pu faire passer Léa pour Rachel lors de la nuit de noces de Jacob (</w:t>
      </w:r>
      <w:hyperlink r:id="rId9630">
        <w:r>
          <w:rPr>
            <w:color w:val="0000EE"/>
            <w:u w:val="single"/>
          </w:rPr>
          <w:t>Gn 29.23–25</w:t>
        </w:r>
      </w:hyperlink>
      <w:r>
        <w:t>).</w:t>
      </w:r>
    </w:p>
    <w:p>
      <w:r/>
      <w:r>
        <w:t>La demande de Ruth à Boaz qu'il étende le pan de son vêtement sur elle (LSG : « étends ton aile sur ta servante ») pourrait décrire une action symbolique lors de la cérémonie de fiançailles ou de mariage (</w:t>
      </w:r>
      <w:hyperlink r:id="rId9631">
        <w:r>
          <w:rPr>
            <w:color w:val="0000EE"/>
            <w:u w:val="single"/>
          </w:rPr>
          <w:t>Ru 3.9</w:t>
        </w:r>
      </w:hyperlink>
      <w:r>
        <w:t>). Le retrait de la ceinture de la mariée par le marié dans la chambre nuptiale (pièce ou tente spécialement préparée pour le couple nouvellement marié), était peut-être aussi cérémonial. Le mariage était scellé par relation sexuelle la première nuit (</w:t>
      </w:r>
      <w:hyperlink r:id="rId9632">
        <w:r>
          <w:rPr>
            <w:color w:val="0000EE"/>
            <w:u w:val="single"/>
          </w:rPr>
          <w:t>Gn 29.23</w:t>
        </w:r>
      </w:hyperlink>
      <w:r>
        <w:t xml:space="preserve"> ; </w:t>
      </w:r>
      <w:hyperlink r:id="rId9633">
        <w:r>
          <w:rPr>
            <w:color w:val="0000EE"/>
            <w:u w:val="single"/>
          </w:rPr>
          <w:t>Tobit 8.1</w:t>
        </w:r>
      </w:hyperlink>
      <w:r>
        <w:t>) et le linge taché par le sang de virginité servait de preuve que la mariée était vierge au moment du mariage.</w:t>
      </w:r>
    </w:p>
    <w:p>
      <w:r/>
      <w:r>
        <w:t>Le mariage était accompagné par un cortège élaboré et un festin, mais la procédure de divorce est décrite de façon très simple. L'homme écrivait un certificat de divorce, le donnait à sa femme et la renvoyait de chez lui (</w:t>
      </w:r>
      <w:hyperlink r:id="rId4272">
        <w:r>
          <w:rPr>
            <w:color w:val="0000EE"/>
            <w:u w:val="single"/>
          </w:rPr>
          <w:t>Dt 24.1</w:t>
        </w:r>
      </w:hyperlink>
      <w:r>
        <w:t>). Le verset indique que la raison du divorce devait être quelque chose de honteux d'ordre sexuel. Toutefois, certaines traditions juives affirment que le sens était simplement quelque chose de déplaîsant au mari. Au temps du NT, beaucoup de Juifs l'appliquaient ainsi (Mt 19.3), mais les rabbins du 11</w:t>
      </w:r>
      <w:r>
        <w:rPr>
          <w:vertAlign w:val="superscript"/>
        </w:rPr>
        <w:t>e</w:t>
      </w:r>
      <w:r>
        <w:t xml:space="preserve"> siècle </w:t>
      </w:r>
      <w:r>
        <w:t>apr. J.‑C.</w:t>
      </w:r>
      <w:r>
        <w:t xml:space="preserve"> ont annulé le droit de divorce du mari pour n'importe quelle raison. Dans tous les cas, le divorce était découragé avec une procédure qui est devenue de plus en plus complexe et accompagnée de mesures dissuasives.</w:t>
      </w:r>
    </w:p>
    <w:p>
      <w:r/>
      <w:r>
        <w:t>Avec la complication des lois concernant le divorce, la procédure est également devenue de plus en plus coûteuse. Plus tard, on recourait à un spécialiste de la loi ou parfois un rabbin, pour être guidé sur des questions telles que le retour de biens appartenant légitimement à la mariée ou à sa famille.</w:t>
      </w:r>
    </w:p>
    <w:p>
      <w:r/>
      <w:r>
        <w:t>Si une femme mariée avait commis un adultère, son mari avait le droit de divorcer. Dans la tradition juive, cela s'appliquait aussi en cas de soupçons d'infidélité. Il pouvait aussi divorcer de sa femme s'il estimait qu'elle avait enfreint une norme morale, était devenue apostate ou était considérée suffisamment incapable dans ses devoirs domestiques. Si une femme refusait à son mari ses droits conjugaux pendant au moins un an, il pouvait divorcer d'elle. D'autres motifs de divorce dans certaines traditions juives incluent un comportement de la femme que le mari ou ses proches trouvent insultant, le fait de contracter une maladie incurable ou le refus de déménager avec son mari dans une autre région.</w:t>
      </w:r>
    </w:p>
    <w:p>
      <w:r/>
      <w:r>
        <w:t>De telles pratiques donnait à l'épouse juive un statut familial assez bas, particulièrement au temps du NT. Même si elle donnait des conseils, s'occupait de la maison, éduquait les jeunes enfants et travaillait, le mari était le maître et elle devait lui obéir. Elle n'était guère plus qu'une servante, même si son statut était plus élevé que celui d'une esclave, car elle ne pouvait pas être vendue (même si elle pouvait être divorcée). Toutefois, la situation semble avoir été pire pour les femmes dans la période du judaïsme rabbinique qu'elle ne l'était au temps de l'AT. En effet, l'AT ne parle pas des épouses dans des termes dénigrants comme le font certains écrits juifs plus tard, et les règles abusives décrites ci-haut ne viennent pas de l'AT.</w:t>
      </w:r>
    </w:p>
    <w:p>
      <w:r/>
      <w:r>
        <w:t>En fait, l'AT utilise souvent le mariage comme image de la relation de Dieu avec Israël. Le peuple de Dieu est décrit comme la mariée qu'il aime et dont il s'occupe (</w:t>
      </w:r>
      <w:hyperlink r:id="rId9634">
        <w:r>
          <w:rPr>
            <w:color w:val="0000EE"/>
            <w:u w:val="single"/>
          </w:rPr>
          <w:t>Es 62.4–5</w:t>
        </w:r>
      </w:hyperlink>
      <w:r>
        <w:t xml:space="preserve"> ; </w:t>
      </w:r>
      <w:hyperlink r:id="rId9635">
        <w:r>
          <w:rPr>
            <w:color w:val="0000EE"/>
            <w:u w:val="single"/>
          </w:rPr>
          <w:t>Jr 2.2</w:t>
        </w:r>
      </w:hyperlink>
      <w:r>
        <w:t>). La désolation qui suivra les jugements annoncés par le prophète Jérémie est représentée comme la fin des réjouissances et des chants des mariés (</w:t>
      </w:r>
      <w:hyperlink r:id="rId9636">
        <w:r>
          <w:rPr>
            <w:color w:val="0000EE"/>
            <w:u w:val="single"/>
          </w:rPr>
          <w:t>Jr 7.34</w:t>
        </w:r>
      </w:hyperlink>
      <w:r>
        <w:t xml:space="preserve"> ; </w:t>
      </w:r>
      <w:hyperlink r:id="rId9637">
        <w:r>
          <w:rPr>
            <w:color w:val="0000EE"/>
            <w:u w:val="single"/>
          </w:rPr>
          <w:t>16.9</w:t>
        </w:r>
      </w:hyperlink>
      <w:r>
        <w:t xml:space="preserve"> ; </w:t>
      </w:r>
      <w:hyperlink r:id="rId9638">
        <w:r>
          <w:rPr>
            <w:color w:val="0000EE"/>
            <w:u w:val="single"/>
          </w:rPr>
          <w:t>25.10</w:t>
        </w:r>
      </w:hyperlink>
      <w:r>
        <w:t>). Dans Osée, Dieu rejette Israël comme une épouse infidèle (</w:t>
      </w:r>
      <w:hyperlink r:id="rId4282">
        <w:r>
          <w:rPr>
            <w:color w:val="0000EE"/>
            <w:u w:val="single"/>
          </w:rPr>
          <w:t>Os 2.2</w:t>
        </w:r>
      </w:hyperlink>
      <w:r>
        <w:t xml:space="preserve">), mais est prêt à être son fiancé pour toujours si elle revient à lui dans la fidélité (v. </w:t>
      </w:r>
      <w:hyperlink r:id="rId9639">
        <w:r>
          <w:rPr>
            <w:color w:val="0000EE"/>
            <w:u w:val="single"/>
          </w:rPr>
          <w:t>19–20</w:t>
        </w:r>
      </w:hyperlink>
      <w:r>
        <w:t>).</w:t>
      </w:r>
    </w:p>
    <w:p>
      <w:r/>
      <w:r>
        <w:t>Dans le NT, Jean le Baptiste compare sa joie à celle de l'ami d'un homme qui se marie (</w:t>
      </w:r>
      <w:hyperlink r:id="rId9640">
        <w:r>
          <w:rPr>
            <w:color w:val="0000EE"/>
            <w:u w:val="single"/>
          </w:rPr>
          <w:t>Jn 3.29</w:t>
        </w:r>
      </w:hyperlink>
      <w:r>
        <w:t>). Dans la parabole des vierges sages et folles, Jésus décrit l'attente de son retour par ses disciples comme les préparatifs pour l'arrivée de l'époux à la fête de mariage (</w:t>
      </w:r>
      <w:hyperlink r:id="rId9641">
        <w:r>
          <w:rPr>
            <w:color w:val="0000EE"/>
            <w:u w:val="single"/>
          </w:rPr>
          <w:t>Mt 25.1–12</w:t>
        </w:r>
      </w:hyperlink>
      <w:r>
        <w:t>). Dans la parabole des noces, Christ fait allusion à des habits de noces qui sont fournis aux invités pour de telles festivités (</w:t>
      </w:r>
      <w:hyperlink r:id="rId1632">
        <w:r>
          <w:rPr>
            <w:color w:val="0000EE"/>
            <w:u w:val="single"/>
          </w:rPr>
          <w:t>22.1–14</w:t>
        </w:r>
      </w:hyperlink>
      <w:r>
        <w:t>). L'Église est représentée comme l'épouse de Christ dans 2 Corinthiens, Éphésiens et Apocalypse. Cette relation est utilisée pour démontrer que le mari doit profondément aimer sa femme et bien prendre soin d'elle (</w:t>
      </w:r>
      <w:hyperlink r:id="rId4783">
        <w:r>
          <w:rPr>
            <w:color w:val="0000EE"/>
            <w:u w:val="single"/>
          </w:rPr>
          <w:t>Ep 5.22–33</w:t>
        </w:r>
      </w:hyperlink>
      <w:r>
        <w:t xml:space="preserve">). Ceci est une attitude bien différente envers les femmes que celle des traditions juives mentionnées plus tôt. </w:t>
      </w:r>
    </w:p>
    <w:p>
      <w:pPr>
        <w:pStyle w:val="Heading3"/>
      </w:pPr>
      <w:r>
        <w:t>Les enseignements de Jésus sur le mariage et l'adultère</w:t>
      </w:r>
    </w:p>
    <w:p>
      <w:r/>
      <w:r>
        <w:t>L'enseignement de Jésus sur le mariage et l'adultère est plus équilibré entre hommes et femmes que dans l'AT. Par exemple, les lois de l'AT décrivent le divorce et l'adultère principalement du point de vue du mari. Lorsque des Juifs demandent à Jésus si un homme peut divorcer pour n'importe quelle raison, il leur répond qu'à l'origine, quand Dieu a créé l'homme et la femme, il a déclaré qu'ils se marieraient et deviendraient un. C'est Dieu lui-même qui a décrété que les époux sont joints, et l'homme n'a pas le droit de séparer ce que Dieu a joint (</w:t>
      </w:r>
      <w:hyperlink r:id="rId3485">
        <w:r>
          <w:rPr>
            <w:color w:val="0000EE"/>
            <w:u w:val="single"/>
          </w:rPr>
          <w:t>Mc 10.2–9</w:t>
        </w:r>
      </w:hyperlink>
      <w:r>
        <w:t xml:space="preserve">). De plus, Jésus déclare que si un homme divorce de sa femme et se remarie, il « </w:t>
      </w:r>
      <w:r>
        <w:t>commet un adultère à son égard</w:t>
      </w:r>
      <w:r>
        <w:t xml:space="preserve"> » (v. </w:t>
      </w:r>
      <w:hyperlink r:id="rId9642">
        <w:r>
          <w:rPr>
            <w:color w:val="0000EE"/>
            <w:u w:val="single"/>
          </w:rPr>
          <w:t>11</w:t>
        </w:r>
      </w:hyperlink>
      <w:r>
        <w:t xml:space="preserve">). Ainsi, Jésus montre que l'homme et la femme sont égaux en ce qui concerne l'adultère. Un mari infidèle est tout aussi adultère qu'une femme infidèle. Cet enseignement tranchait avec les attitudes de beaucoup de Juifs de cette époque, et a surpris les disciples, qui l'ont trouvé particulièrement difficile (voir </w:t>
      </w:r>
      <w:hyperlink r:id="rId4275">
        <w:r>
          <w:rPr>
            <w:color w:val="0000EE"/>
            <w:u w:val="single"/>
          </w:rPr>
          <w:t>Mt 19.10</w:t>
        </w:r>
      </w:hyperlink>
      <w:r>
        <w:t>). Cependant, cela illustre ce que Jésus voulait dire lorsqu'il leur a enseigné que leur justice devait être supérieure à celle des pharisiens et des scribes (</w:t>
      </w:r>
      <w:hyperlink r:id="rId7020">
        <w:r>
          <w:rPr>
            <w:color w:val="0000EE"/>
            <w:u w:val="single"/>
          </w:rPr>
          <w:t>5.20</w:t>
        </w:r>
      </w:hyperlink>
      <w:r>
        <w:t>).</w:t>
      </w:r>
    </w:p>
    <w:p>
      <w:r/>
      <w:r>
        <w:t xml:space="preserve">Le récit parallèle dans Matthieu concernant l'enseignement de Jésus sur le divorce est légèrement différent de celui de Marc. Cela a conduit certains érudits à soutenir que Jésus n'était pas aussi strict que le résumé ci-dessus pourrait le suggérer. Selon </w:t>
      </w:r>
      <w:hyperlink r:id="rId351">
        <w:r>
          <w:rPr>
            <w:color w:val="0000EE"/>
            <w:u w:val="single"/>
          </w:rPr>
          <w:t>Matthieu 19.9</w:t>
        </w:r>
      </w:hyperlink>
      <w:r>
        <w:t>, un homme peut répudier (c'est-à-dire divorcer) sa femme en cas d'« infidélité ». Le mot grec que Jésus utilise désigne une inconduite sexuelle. Certains interprètent le fait que les disciples trouvaient cet enseignement difficile comme une indication que Jésus voulait dire que l'époux lésé pouvait divorcer, mais ne pouvait pas se remarier. Ils comprennent également ainsi le fait que Jésus a ensuite parlé de disciples choisissant de ne pas se marier pour le royaume des cieux (</w:t>
      </w:r>
      <w:hyperlink r:id="rId5143">
        <w:r>
          <w:rPr>
            <w:color w:val="0000EE"/>
            <w:u w:val="single"/>
          </w:rPr>
          <w:t>Mt 19.12</w:t>
        </w:r>
      </w:hyperlink>
      <w:r>
        <w:t xml:space="preserve">). C'est aussi la façon dont l'Église a interprété le passage pendant les cinq premiers siècles de notre ère. Il était permis aux chrétiens de se séparer, mais pas de se remarier (voir aussi </w:t>
      </w:r>
      <w:hyperlink r:id="rId9643">
        <w:r>
          <w:rPr>
            <w:color w:val="0000EE"/>
            <w:u w:val="single"/>
          </w:rPr>
          <w:t>1Co 7.11</w:t>
        </w:r>
      </w:hyperlink>
      <w:r>
        <w:t>).</w:t>
      </w:r>
    </w:p>
    <w:p>
      <w:r/>
      <w:r>
        <w:rPr>
          <w:i/>
        </w:rPr>
        <w:t>Voir aussi</w:t>
      </w:r>
      <w:r>
        <w:t xml:space="preserve"> </w:t>
      </w:r>
      <w:r>
        <w:t>adultère</w:t>
      </w:r>
      <w:r>
        <w:t xml:space="preserve"> ; </w:t>
      </w:r>
      <w:r>
        <w:t>droit civil et justice</w:t>
      </w:r>
      <w:r>
        <w:t xml:space="preserve"> ; </w:t>
      </w:r>
      <w:r>
        <w:t>concubinage, concubines</w:t>
      </w:r>
      <w:r>
        <w:t xml:space="preserve"> ; </w:t>
      </w:r>
      <w:r>
        <w:t>divorce</w:t>
      </w:r>
      <w:r>
        <w:t xml:space="preserve"> ; </w:t>
      </w:r>
      <w:r>
        <w:t>vie familiale, relations familiales</w:t>
      </w:r>
      <w:r>
        <w:t xml:space="preserve"> ; </w:t>
      </w:r>
      <w:r>
        <w:t>sexe, sexualité</w:t>
      </w:r>
      <w:r>
        <w:t xml:space="preserve"> ; </w:t>
      </w:r>
      <w:r>
        <w:t>vierge</w:t>
      </w:r>
      <w:r>
        <w:t>.</w:t>
      </w:r>
      <w:r/>
      <w:r/>
    </w:p>
    <w:p>
      <w:r/>
    </w:p>
    <w:p>
      <w:pPr>
        <w:pStyle w:val="Heading2"/>
      </w:pPr>
      <w:r>
        <w:t>Marie</w:t>
      </w:r>
      <w:r/>
    </w:p>
    <w:p>
      <w:r/>
      <w:r>
        <w:t>Nom populaire parmi les femmes juives au premier siècle. Le Nouveau Testament mentionne six ou sept femmes différentes portant le nom de Marie.</w:t>
      </w:r>
    </w:p>
    <w:p>
      <w:pPr>
        <w:pStyle w:val="ListNumber"/>
        <w:spacing w:line="240" w:lineRule="auto"/>
        <w:ind w:left="720"/>
      </w:pPr>
      <w:r/>
      <w:r>
        <w:t>Marie, la mère de Jésus. Selon les récits de la naissance de Jésus dans Matthieu et Luc, Marie était une jeune vierge juive. Elle était probablement de la tribu de Juda. Alors qu'elle était fiancée à Joseph (de descendance davidique de la tribu de Juda), elle fut découverte enceinte. Cela est dû au fait qu'elle s'est soumise au Saint-Esprit (</w:t>
      </w:r>
      <w:hyperlink r:id="rId5943">
        <w:r>
          <w:rPr>
            <w:color w:val="0000EE"/>
            <w:u w:val="single"/>
          </w:rPr>
          <w:t>Mt 1.18–25</w:t>
        </w:r>
      </w:hyperlink>
      <w:r>
        <w:t xml:space="preserve"> ; </w:t>
      </w:r>
      <w:hyperlink r:id="rId971">
        <w:r>
          <w:rPr>
            <w:color w:val="0000EE"/>
            <w:u w:val="single"/>
          </w:rPr>
          <w:t>Lc 1.26–38</w:t>
        </w:r>
      </w:hyperlink>
      <w:r>
        <w:t>). Le couple s'est marié et a d'abord vécu à Nazareth de Galilée. Ensuite, ils ont voyagé à Bethléhem (la ville natale de Joseph) pour un recensement. Jésus est né à Bethléhem (</w:t>
      </w:r>
      <w:hyperlink r:id="rId2578">
        <w:r>
          <w:rPr>
            <w:color w:val="0000EE"/>
            <w:u w:val="single"/>
          </w:rPr>
          <w:t>Mt 2.1</w:t>
        </w:r>
      </w:hyperlink>
      <w:r>
        <w:t xml:space="preserve"> ; </w:t>
      </w:r>
      <w:hyperlink r:id="rId2139">
        <w:r>
          <w:rPr>
            <w:color w:val="0000EE"/>
            <w:u w:val="single"/>
          </w:rPr>
          <w:t>Lc 1.5</w:t>
        </w:r>
      </w:hyperlink>
      <w:r>
        <w:t xml:space="preserve"> ; </w:t>
      </w:r>
      <w:hyperlink r:id="rId9644">
        <w:r>
          <w:rPr>
            <w:color w:val="0000EE"/>
            <w:u w:val="single"/>
          </w:rPr>
          <w:t>2.4–5</w:t>
        </w:r>
      </w:hyperlink>
      <w:r>
        <w:t>). Matthieu nous informe que peu après la naissance, la famille a dû se rendre en Égypte pour échapper à Hérode (</w:t>
      </w:r>
      <w:hyperlink r:id="rId9645">
        <w:r>
          <w:rPr>
            <w:color w:val="0000EE"/>
            <w:u w:val="single"/>
          </w:rPr>
          <w:t>Mt 2.13–14</w:t>
        </w:r>
      </w:hyperlink>
      <w:r>
        <w:t>). Plus tard, la famille résidera de nouveau à Nazareth (</w:t>
      </w:r>
      <w:hyperlink r:id="rId9646">
        <w:r>
          <w:rPr>
            <w:color w:val="0000EE"/>
            <w:u w:val="single"/>
          </w:rPr>
          <w:t>Mt 2.23</w:t>
        </w:r>
      </w:hyperlink>
      <w:r>
        <w:t xml:space="preserve"> ; </w:t>
      </w:r>
      <w:hyperlink r:id="rId9647">
        <w:r>
          <w:rPr>
            <w:color w:val="0000EE"/>
            <w:u w:val="single"/>
          </w:rPr>
          <w:t>Lc 2.39</w:t>
        </w:r>
      </w:hyperlink>
      <w:r>
        <w:t>).</w:t>
      </w:r>
    </w:p>
    <w:p>
      <w:r/>
      <w:r>
        <w:t xml:space="preserve">Nous avons peu d'autres informations sur Marie. Elle était certainement une mère préoccupée, ce qui se voyait dans ses paroles fortes à l'encontre de Jésus dans </w:t>
      </w:r>
      <w:hyperlink r:id="rId9648">
        <w:r>
          <w:rPr>
            <w:color w:val="0000EE"/>
            <w:u w:val="single"/>
          </w:rPr>
          <w:t>Luc 2.48</w:t>
        </w:r>
      </w:hyperlink>
      <w:r>
        <w:t>. Elle démontre ensuite une haute opinion de la capacité de Jésus lors du mariage à Cana (</w:t>
      </w:r>
      <w:hyperlink r:id="rId9649">
        <w:r>
          <w:rPr>
            <w:color w:val="0000EE"/>
            <w:u w:val="single"/>
          </w:rPr>
          <w:t>Jn 2.1–4</w:t>
        </w:r>
      </w:hyperlink>
      <w:r>
        <w:t xml:space="preserve">). Elle avait plusieurs autres fils et filles desquels s'occuper. Elle est apparue au pied de la croix. Jésus a demandé au « disciple </w:t>
      </w:r>
      <w:r>
        <w:t>qu’il aimait</w:t>
      </w:r>
      <w:r>
        <w:t xml:space="preserve"> » de prendre soin d'elle dans son chagrin (</w:t>
      </w:r>
      <w:hyperlink r:id="rId4197">
        <w:r>
          <w:rPr>
            <w:color w:val="0000EE"/>
            <w:u w:val="single"/>
          </w:rPr>
          <w:t>Jn 19.25–27</w:t>
        </w:r>
      </w:hyperlink>
      <w:r>
        <w:t>). Après la résurrection, elle et les frères de Jésus faisaient partie des disciples qui ont reçu l'Esprit à la Pentecôte (</w:t>
      </w:r>
      <w:hyperlink r:id="rId1975">
        <w:r>
          <w:rPr>
            <w:color w:val="0000EE"/>
            <w:u w:val="single"/>
          </w:rPr>
          <w:t>Ac 1.14</w:t>
        </w:r>
      </w:hyperlink>
      <w:r>
        <w:t>). Aucune autre mention n'est faite d'elle.</w:t>
      </w:r>
    </w:p>
    <w:p>
      <w:r/>
      <w:r>
        <w:t xml:space="preserve">Le cantique de louange de Marie dans </w:t>
      </w:r>
      <w:hyperlink r:id="rId9650">
        <w:r>
          <w:rPr>
            <w:color w:val="0000EE"/>
            <w:u w:val="single"/>
          </w:rPr>
          <w:t>Luc 1.46–55</w:t>
        </w:r>
      </w:hyperlink>
      <w:r>
        <w:t xml:space="preserve"> (appelé « Le Magnificat ») montre son humilité et sa confiance en la volonté de Dieu. Elle est véritablement bénie entre les femmes (</w:t>
      </w:r>
      <w:hyperlink r:id="rId9651">
        <w:r>
          <w:rPr>
            <w:color w:val="0000EE"/>
            <w:u w:val="single"/>
          </w:rPr>
          <w:t>Lc 1.42</w:t>
        </w:r>
      </w:hyperlink>
      <w:r>
        <w:t>).</w:t>
      </w:r>
    </w:p>
    <w:p>
      <w:pPr>
        <w:pStyle w:val="ListNumber"/>
        <w:spacing w:line="240" w:lineRule="auto"/>
        <w:ind w:left="720"/>
      </w:pPr>
      <w:r/>
      <w:r>
        <w:t xml:space="preserve">Marie, la mère de Jacques et de Joseph, est connue sous plusieurs noms. Dans chaque récit, elle apparaît parmi les fidèles disciples féminines de Jésus. Elle se tenait près de la croix et a été témoin du tombeau vide. Matthieu l'appelle « </w:t>
      </w:r>
      <w:r>
        <w:t>Marie, mère de Jacques et de Joseph</w:t>
      </w:r>
      <w:r>
        <w:t xml:space="preserve"> » ou simplement « l'autre Marie » (</w:t>
      </w:r>
      <w:hyperlink r:id="rId9652">
        <w:r>
          <w:rPr>
            <w:color w:val="0000EE"/>
            <w:u w:val="single"/>
          </w:rPr>
          <w:t>Mt 27.56, 61</w:t>
        </w:r>
      </w:hyperlink>
      <w:r>
        <w:t xml:space="preserve">; </w:t>
      </w:r>
      <w:hyperlink r:id="rId2584">
        <w:r>
          <w:rPr>
            <w:color w:val="0000EE"/>
            <w:u w:val="single"/>
          </w:rPr>
          <w:t>28.1</w:t>
        </w:r>
      </w:hyperlink>
      <w:r>
        <w:t xml:space="preserve">). Marc utilise plusieurs noms pour la désigner. D'abord, il l'appelle « </w:t>
      </w:r>
      <w:r>
        <w:t>Marie, mère de Jacques le mineur et de Joses</w:t>
      </w:r>
      <w:r>
        <w:t xml:space="preserve"> ». Ensuite, il l'appelle « </w:t>
      </w:r>
      <w:r>
        <w:t>Marie, mère de Joses</w:t>
      </w:r>
      <w:r>
        <w:t xml:space="preserve"> ». Troisièmement, Marc l'appelle « </w:t>
      </w:r>
      <w:r>
        <w:t>Marie, mère de Jacques</w:t>
      </w:r>
      <w:r>
        <w:t xml:space="preserve"> » (</w:t>
      </w:r>
      <w:hyperlink r:id="rId9653">
        <w:r>
          <w:rPr>
            <w:color w:val="0000EE"/>
            <w:u w:val="single"/>
          </w:rPr>
          <w:t>Mc 15.40, 47</w:t>
        </w:r>
      </w:hyperlink>
      <w:r>
        <w:t xml:space="preserve">; </w:t>
      </w:r>
      <w:hyperlink r:id="rId2585">
        <w:r>
          <w:rPr>
            <w:color w:val="0000EE"/>
            <w:u w:val="single"/>
          </w:rPr>
          <w:t>16.1</w:t>
        </w:r>
      </w:hyperlink>
      <w:r>
        <w:t>). Dans l'Évangile de Jean, elle est « Marie, femme de Clopas » (</w:t>
      </w:r>
      <w:hyperlink r:id="rId589">
        <w:r>
          <w:rPr>
            <w:color w:val="0000EE"/>
            <w:u w:val="single"/>
          </w:rPr>
          <w:t>Jn 19.25</w:t>
        </w:r>
      </w:hyperlink>
      <w:r>
        <w:t>). Il pourrait s'agir là d'une Marie distincte. La tradition veut que cette Marie soit la tante de Jésus, si Clopas était bien le frère de Joseph (</w:t>
      </w:r>
      <w:r>
        <w:rPr>
          <w:i/>
        </w:rPr>
        <w:t>Histoire ecclésiastique</w:t>
      </w:r>
      <w:r>
        <w:t xml:space="preserve"> d'Eusèbe 3.11).</w:t>
      </w:r>
    </w:p>
    <w:p>
      <w:pPr>
        <w:pStyle w:val="ListNumber"/>
        <w:spacing w:line="240" w:lineRule="auto"/>
        <w:ind w:left="720"/>
      </w:pPr>
      <w:r/>
      <w:r>
        <w:t>Marie de Magdala. Nous savons peu de choses sur cette femme. Son nom indique qu'elle était de Magdala en Galilée. Quelque part en Galilée, elle a rencontré Jésus, qui a chassé sept démons d'elle. Elle a ensuite rejoint le groupe de disciples et a suivi Jésus partout où il allait (</w:t>
      </w:r>
      <w:hyperlink r:id="rId9654">
        <w:r>
          <w:rPr>
            <w:color w:val="0000EE"/>
            <w:u w:val="single"/>
          </w:rPr>
          <w:t>Lc 8.2</w:t>
        </w:r>
      </w:hyperlink>
      <w:r>
        <w:t>). Elle l'a suivi à Jérusalem, au pied de la croix, lorsque tous les disciples masculins avaient fui (</w:t>
      </w:r>
      <w:hyperlink r:id="rId2741">
        <w:r>
          <w:rPr>
            <w:color w:val="0000EE"/>
            <w:u w:val="single"/>
          </w:rPr>
          <w:t>Mc 15.40</w:t>
        </w:r>
      </w:hyperlink>
      <w:r>
        <w:t xml:space="preserve"> ; </w:t>
      </w:r>
      <w:hyperlink r:id="rId589">
        <w:r>
          <w:rPr>
            <w:color w:val="0000EE"/>
            <w:u w:val="single"/>
          </w:rPr>
          <w:t>Jn 19.25</w:t>
        </w:r>
      </w:hyperlink>
      <w:r>
        <w:t>). Elle a observé l'enterrement de Jésus (</w:t>
      </w:r>
      <w:hyperlink r:id="rId9655">
        <w:r>
          <w:rPr>
            <w:color w:val="0000EE"/>
            <w:u w:val="single"/>
          </w:rPr>
          <w:t>Mc 15.47</w:t>
        </w:r>
      </w:hyperlink>
      <w:r>
        <w:t>). Elle a été témoin des événements entourant la résurrection.</w:t>
      </w:r>
    </w:p>
    <w:p>
      <w:r/>
      <w:hyperlink r:id="rId2584">
        <w:r>
          <w:rPr>
            <w:color w:val="0000EE"/>
            <w:u w:val="single"/>
          </w:rPr>
          <w:t>Matthieu 28.1</w:t>
        </w:r>
      </w:hyperlink>
      <w:r>
        <w:t xml:space="preserve">, </w:t>
      </w:r>
      <w:hyperlink r:id="rId2585">
        <w:r>
          <w:rPr>
            <w:color w:val="0000EE"/>
            <w:u w:val="single"/>
          </w:rPr>
          <w:t>Marc 16.1</w:t>
        </w:r>
      </w:hyperlink>
      <w:r>
        <w:t xml:space="preserve"> et </w:t>
      </w:r>
      <w:hyperlink r:id="rId9656">
        <w:r>
          <w:rPr>
            <w:color w:val="0000EE"/>
            <w:u w:val="single"/>
          </w:rPr>
          <w:t>Luc 24.10</w:t>
        </w:r>
      </w:hyperlink>
      <w:r>
        <w:t xml:space="preserve"> la regroupent avec les autres femmes qui sont allées au tombeau. Jean dit qu'elle a été la première parmi ces femmes à découvrir le tombeau vide, la première à le rapporter aux disciples et la première à voir Christ ressuscité alors qu'elle restait près du tombeau après que tous les autres soient partis (</w:t>
      </w:r>
      <w:hyperlink r:id="rId9657">
        <w:r>
          <w:rPr>
            <w:color w:val="0000EE"/>
            <w:u w:val="single"/>
          </w:rPr>
          <w:t>Jn 20.1–2, 11–18</w:t>
        </w:r>
      </w:hyperlink>
      <w:r>
        <w:t>). Cette disciple fidèle, cependant, n'a pas été autorisée à toucher son Seigneur (</w:t>
      </w:r>
      <w:hyperlink r:id="rId1329">
        <w:r>
          <w:rPr>
            <w:color w:val="0000EE"/>
            <w:u w:val="single"/>
          </w:rPr>
          <w:t>Jn 20.17</w:t>
        </w:r>
      </w:hyperlink>
      <w:r>
        <w:t>).</w:t>
      </w:r>
    </w:p>
    <w:p>
      <w:pPr>
        <w:pStyle w:val="ListNumber"/>
        <w:spacing w:line="240" w:lineRule="auto"/>
        <w:ind w:left="720"/>
      </w:pPr>
      <w:r/>
      <w:r>
        <w:t>Marie de Béthanie. Cette Marie judéenne était la sœur de Marthe et de Lazare. Nous savons trois choses à son sujet. Premièrement, elle était une disciple si dévouée de Jésus qu'elle négligeait ses tâches ménagères pour l'écouter (</w:t>
      </w:r>
      <w:hyperlink r:id="rId9658">
        <w:r>
          <w:rPr>
            <w:color w:val="0000EE"/>
            <w:u w:val="single"/>
          </w:rPr>
          <w:t>Lc 10.38–42</w:t>
        </w:r>
      </w:hyperlink>
      <w:r>
        <w:t>), ce que Jésus approuvera. Deuxièmement, elle était apparemment contrariée contre Jésus lorsqu'il n'est pas venu guérir son frère avant qu'il ne meure (</w:t>
      </w:r>
      <w:hyperlink r:id="rId9659">
        <w:r>
          <w:rPr>
            <w:color w:val="0000EE"/>
            <w:u w:val="single"/>
          </w:rPr>
          <w:t>Jn 11.20, 28–33</w:t>
        </w:r>
      </w:hyperlink>
      <w:r>
        <w:t>). Enfin, avant que Jésus ne meure, elle l'a oint avec un onguent coûteux pendant qu'il mangeait chez elle à Béthanie (</w:t>
      </w:r>
      <w:hyperlink r:id="rId1864">
        <w:r>
          <w:rPr>
            <w:color w:val="0000EE"/>
            <w:u w:val="single"/>
          </w:rPr>
          <w:t>Mt 26.6–13</w:t>
        </w:r>
      </w:hyperlink>
      <w:r>
        <w:t xml:space="preserve"> ; </w:t>
      </w:r>
      <w:hyperlink r:id="rId1865">
        <w:r>
          <w:rPr>
            <w:color w:val="0000EE"/>
            <w:u w:val="single"/>
          </w:rPr>
          <w:t>Mc 14.3–9</w:t>
        </w:r>
      </w:hyperlink>
      <w:r>
        <w:t xml:space="preserve"> ; </w:t>
      </w:r>
      <w:hyperlink r:id="rId9660">
        <w:r>
          <w:rPr>
            <w:color w:val="0000EE"/>
            <w:u w:val="single"/>
          </w:rPr>
          <w:t>Jn 12.1–8</w:t>
        </w:r>
      </w:hyperlink>
      <w:r>
        <w:t>).</w:t>
      </w:r>
    </w:p>
    <w:p>
      <w:pPr>
        <w:pStyle w:val="ListNumber"/>
        <w:spacing w:line="240" w:lineRule="auto"/>
        <w:ind w:left="720"/>
      </w:pPr>
      <w:r/>
      <w:r>
        <w:t>Marie, mère de Jean Marc. Cette femme apparaît une fois seulement dans les Écritures (</w:t>
      </w:r>
      <w:hyperlink r:id="rId7121">
        <w:r>
          <w:rPr>
            <w:color w:val="0000EE"/>
            <w:u w:val="single"/>
          </w:rPr>
          <w:t>Ac 12.12</w:t>
        </w:r>
      </w:hyperlink>
      <w:r>
        <w:t>). Sa maison était le lieu de réunion de l'Église. Comme cette demeure était apparemment grande et qu'elle avait des serviteurs, elle aurait donc été une femme riche. Elle était probablement veuve puisqu'aucun mari n'est mentionné. Dans sa maison, l'Église priait pour Pierre, et Pierre s'y es rendu après avoir été libéré de prison. Son fils Jean Marc a voyagé avec Paul et probablement avec Pierre aussi.</w:t>
      </w:r>
    </w:p>
    <w:p>
      <w:pPr>
        <w:pStyle w:val="ListNumber"/>
        <w:spacing w:line="240" w:lineRule="auto"/>
        <w:ind w:left="720"/>
      </w:pPr>
      <w:r/>
      <w:r>
        <w:t xml:space="preserve">Marie de Rome. Dans </w:t>
      </w:r>
      <w:hyperlink r:id="rId9661">
        <w:r>
          <w:rPr>
            <w:color w:val="0000EE"/>
            <w:u w:val="single"/>
          </w:rPr>
          <w:t>Romains 16.6</w:t>
        </w:r>
      </w:hyperlink>
      <w:r>
        <w:t>, Paul salue une femme à Rome nommée simplement « Marie, qui a travaillé dur parmi vous ». À un moment donné, elle avait été en Grèce ou en Asie Mineure, peut-être forcée de quitter Rome avec Aquilas et Priscille (</w:t>
      </w:r>
      <w:hyperlink r:id="rId1614">
        <w:r>
          <w:rPr>
            <w:color w:val="0000EE"/>
            <w:u w:val="single"/>
          </w:rPr>
          <w:t>Ac 18.2</w:t>
        </w:r>
      </w:hyperlink>
      <w:r>
        <w:t xml:space="preserve"> ; vers 49 apr. J.‑C.). C'est là-bas, elle avait rencontré Paul. Il est possible qu'elle soit devenue chrétienne grâce à lui. Elle a travaillé dur avec lui dans son œuvre d'évangélisation ou de soin de l'Église. Une date probable pour le livre des Romains est 56 apr. J.‑C. À cette date, elle était retournée à Rome. Elle a été honorée par les éloges que Paul lui a prodigués ainsi qu'à ses autres collaborateurs vivant à Rome.</w:t>
      </w:r>
      <w:r/>
      <w:r/>
    </w:p>
    <w:p>
      <w:r/>
    </w:p>
    <w:p>
      <w:pPr>
        <w:pStyle w:val="Heading2"/>
      </w:pPr>
      <w:r>
        <w:t>Marsena</w:t>
      </w:r>
      <w:r/>
    </w:p>
    <w:p>
      <w:r/>
      <w:r>
        <w:t>Un des sept princes de Perse et de Médie qui servaient le roi Assuérus. Ces fonctionnaires étaient les personnes les plus puissantes du royaume après le roi (</w:t>
      </w:r>
      <w:hyperlink r:id="rId334">
        <w:r>
          <w:rPr>
            <w:color w:val="0000EE"/>
            <w:u w:val="single"/>
          </w:rPr>
          <w:t>Est 1.14</w:t>
        </w:r>
      </w:hyperlink>
      <w:r>
        <w:t>).</w:t>
      </w:r>
      <w:r/>
      <w:r/>
    </w:p>
    <w:p>
      <w:r/>
    </w:p>
    <w:p>
      <w:pPr>
        <w:pStyle w:val="Heading2"/>
      </w:pPr>
      <w:r>
        <w:t>Masch</w:t>
      </w:r>
      <w:r/>
    </w:p>
    <w:p>
      <w:r/>
      <w:r>
        <w:t>Quatrième fils d'Aram (</w:t>
      </w:r>
      <w:hyperlink r:id="rId6163">
        <w:r>
          <w:rPr>
            <w:color w:val="0000EE"/>
            <w:u w:val="single"/>
          </w:rPr>
          <w:t>Gn 10.23</w:t>
        </w:r>
      </w:hyperlink>
      <w:r>
        <w:t xml:space="preserve">), un descendant de Sem. Il est appelé Méschec dans </w:t>
      </w:r>
      <w:hyperlink r:id="rId1100">
        <w:r>
          <w:rPr>
            <w:color w:val="0000EE"/>
            <w:u w:val="single"/>
          </w:rPr>
          <w:t>1 Chroniques 1.17</w:t>
        </w:r>
      </w:hyperlink>
      <w:r>
        <w:t xml:space="preserve">. </w:t>
      </w:r>
      <w:r>
        <w:rPr>
          <w:i/>
        </w:rPr>
        <w:t>Voir</w:t>
      </w:r>
      <w:r>
        <w:t xml:space="preserve"> </w:t>
      </w:r>
      <w:r>
        <w:t>Méschec n° 2</w:t>
      </w:r>
      <w:r>
        <w:t>.</w:t>
      </w:r>
      <w:r/>
      <w:r/>
    </w:p>
    <w:p>
      <w:r/>
    </w:p>
    <w:p>
      <w:pPr>
        <w:pStyle w:val="Heading2"/>
      </w:pPr>
      <w:r>
        <w:t>Masréka</w:t>
      </w:r>
      <w:r/>
    </w:p>
    <w:p>
      <w:r/>
      <w:r>
        <w:t>Domicile d'un roi édomite nommé Samla (</w:t>
      </w:r>
      <w:hyperlink r:id="rId9662">
        <w:r>
          <w:rPr>
            <w:color w:val="0000EE"/>
            <w:u w:val="single"/>
          </w:rPr>
          <w:t>Gn 36.36</w:t>
        </w:r>
      </w:hyperlink>
      <w:r>
        <w:t xml:space="preserve"> ; </w:t>
      </w:r>
      <w:hyperlink r:id="rId9663">
        <w:r>
          <w:rPr>
            <w:color w:val="0000EE"/>
            <w:u w:val="single"/>
          </w:rPr>
          <w:t>1Ch 1.47</w:t>
        </w:r>
      </w:hyperlink>
      <w:r>
        <w:t>).</w:t>
      </w:r>
      <w:r/>
      <w:r/>
    </w:p>
    <w:p>
      <w:r/>
    </w:p>
    <w:p>
      <w:pPr>
        <w:pStyle w:val="Heading2"/>
      </w:pPr>
      <w:r>
        <w:t>Massa</w:t>
      </w:r>
      <w:r/>
    </w:p>
    <w:p>
      <w:r/>
      <w:r>
        <w:t>Septième fils d'Ismaël et petit-fils d'Abraham (</w:t>
      </w:r>
      <w:hyperlink r:id="rId503">
        <w:r>
          <w:rPr>
            <w:color w:val="0000EE"/>
            <w:u w:val="single"/>
          </w:rPr>
          <w:t>Gn 25.14</w:t>
        </w:r>
      </w:hyperlink>
      <w:r>
        <w:t xml:space="preserve"> ; </w:t>
      </w:r>
      <w:hyperlink r:id="rId504">
        <w:r>
          <w:rPr>
            <w:color w:val="0000EE"/>
            <w:u w:val="single"/>
          </w:rPr>
          <w:t>1Ch 1.30</w:t>
        </w:r>
      </w:hyperlink>
      <w:r>
        <w:t xml:space="preserve">). Ses descendants habitaient le nord-ouest de l'Arabie. Tiglath-Piléser III mentionne ces peuples, ainsi que les habitants de Théma (voir </w:t>
      </w:r>
      <w:hyperlink r:id="rId6167">
        <w:r>
          <w:rPr>
            <w:color w:val="0000EE"/>
            <w:u w:val="single"/>
          </w:rPr>
          <w:t>Gn 25.15</w:t>
        </w:r>
      </w:hyperlink>
      <w:r>
        <w:t>) et d'autres qui étaient sous son règne et lui payaient le tribut. Les habitants de Théma étaient probablement des descendants du frère de Massa, Théma.</w:t>
      </w:r>
    </w:p>
    <w:p>
      <w:r/>
      <w:r>
        <w:t xml:space="preserve">Massa fait partie des titres de </w:t>
      </w:r>
      <w:hyperlink r:id="rId502">
        <w:r>
          <w:rPr>
            <w:color w:val="0000EE"/>
            <w:u w:val="single"/>
          </w:rPr>
          <w:t>Proverbes 30.1</w:t>
        </w:r>
      </w:hyperlink>
      <w:r>
        <w:t xml:space="preserve"> et </w:t>
      </w:r>
      <w:hyperlink r:id="rId9664">
        <w:r>
          <w:rPr>
            <w:color w:val="0000EE"/>
            <w:u w:val="single"/>
          </w:rPr>
          <w:t>31.1</w:t>
        </w:r>
      </w:hyperlink>
      <w:r>
        <w:t xml:space="preserve">. L'article défini le précède dans </w:t>
      </w:r>
      <w:hyperlink r:id="rId502">
        <w:r>
          <w:rPr>
            <w:color w:val="0000EE"/>
            <w:u w:val="single"/>
          </w:rPr>
          <w:t>30.1</w:t>
        </w:r>
      </w:hyperlink>
      <w:r>
        <w:t xml:space="preserve"> et peut être traduit par « le fardeau » ou « l'oracle ». Il est fréquemment utilisé dans les passages prophétiques dans le sens inquiétant du jugement imminent de Dieu (</w:t>
      </w:r>
      <w:hyperlink r:id="rId9665">
        <w:r>
          <w:rPr>
            <w:color w:val="0000EE"/>
            <w:u w:val="single"/>
          </w:rPr>
          <w:t>Es 13.1</w:t>
        </w:r>
      </w:hyperlink>
      <w:r>
        <w:t xml:space="preserve"> ; </w:t>
      </w:r>
      <w:hyperlink r:id="rId9666">
        <w:r>
          <w:rPr>
            <w:color w:val="0000EE"/>
            <w:u w:val="single"/>
          </w:rPr>
          <w:t>Na 1.1</w:t>
        </w:r>
      </w:hyperlink>
      <w:r>
        <w:t xml:space="preserve"> ; </w:t>
      </w:r>
      <w:hyperlink r:id="rId9667">
        <w:r>
          <w:rPr>
            <w:color w:val="0000EE"/>
            <w:u w:val="single"/>
          </w:rPr>
          <w:t>Ha 1.1</w:t>
        </w:r>
      </w:hyperlink>
      <w:r>
        <w:t>).</w:t>
      </w:r>
      <w:r/>
      <w:r/>
    </w:p>
    <w:p>
      <w:r/>
    </w:p>
    <w:p>
      <w:pPr>
        <w:pStyle w:val="Heading2"/>
      </w:pPr>
      <w:r>
        <w:t>Mathred</w:t>
      </w:r>
      <w:r/>
    </w:p>
    <w:p>
      <w:r/>
      <w:r>
        <w:t>Mère de Mehetabel, l'épouse du roi Hadad (Hadar) d'Édom (</w:t>
      </w:r>
      <w:hyperlink r:id="rId6170">
        <w:r>
          <w:rPr>
            <w:color w:val="0000EE"/>
            <w:u w:val="single"/>
          </w:rPr>
          <w:t>Gn 36.39</w:t>
        </w:r>
      </w:hyperlink>
      <w:r>
        <w:t xml:space="preserve"> ; </w:t>
      </w:r>
      <w:hyperlink r:id="rId9668">
        <w:r>
          <w:rPr>
            <w:color w:val="0000EE"/>
            <w:u w:val="single"/>
          </w:rPr>
          <w:t>1Ch 1.50</w:t>
        </w:r>
      </w:hyperlink>
      <w:r>
        <w:t>).</w:t>
      </w:r>
      <w:r/>
      <w:r/>
    </w:p>
    <w:p>
      <w:r/>
    </w:p>
    <w:p>
      <w:pPr>
        <w:pStyle w:val="Heading2"/>
      </w:pPr>
      <w:r>
        <w:t>Matthias</w:t>
      </w:r>
      <w:r/>
    </w:p>
    <w:p>
      <w:r/>
      <w:r>
        <w:t xml:space="preserve">Disciple de Jésus, mentionné par son nom uniquement dans </w:t>
      </w:r>
      <w:hyperlink r:id="rId9669">
        <w:r>
          <w:rPr>
            <w:color w:val="0000EE"/>
            <w:u w:val="single"/>
          </w:rPr>
          <w:t>Actes 1.23–26</w:t>
        </w:r>
      </w:hyperlink>
      <w:r>
        <w:t>, choisi pour prendre la place de Judas Iscariot.</w:t>
      </w:r>
    </w:p>
    <w:p>
      <w:r/>
      <w:r>
        <w:t>Peu après l'ascension de Jésus, Pierre exprimera le besoin de choisir un autre apôtre. Les conditions édictées étaient que le candidat devait avoir été un disciple de Jésus depuis son baptême jusqu'à son ascension et avoir été témoin de sa résurrection. L'assemblée proposera deux hommes qui répondaient à ces critères : Joseph appelé Barsabbas, surnommé Justus, et Matthias. Ils procédèront ensuite à un tirage au sort (certains experts pensent qu'ils ont voté). Quelle que soit la méthode, c'est Matthias fut sera. Plus tard, l'apostolat fut élargi pour inclure d'autres, comme Paul, Andronicus et Junias. Les Écritures ne mentionnent plus jamais Matthias, bien que la tradition dise qu'il prêchera en Judée et sera finalement lapidé à mort par les Juifs.</w:t>
      </w:r>
    </w:p>
    <w:p>
      <w:r/>
      <w:r>
        <w:rPr>
          <w:i/>
        </w:rPr>
        <w:t>Voir aussi</w:t>
      </w:r>
      <w:r>
        <w:t xml:space="preserve"> </w:t>
      </w:r>
      <w:r>
        <w:t>Apôtre, Apostolat</w:t>
      </w:r>
      <w:r>
        <w:t>.</w:t>
      </w:r>
      <w:r/>
      <w:r/>
    </w:p>
    <w:p>
      <w:r/>
    </w:p>
    <w:p>
      <w:pPr>
        <w:pStyle w:val="Heading2"/>
      </w:pPr>
      <w:r>
        <w:t>Matthieu (personne)</w:t>
      </w:r>
      <w:r/>
    </w:p>
    <w:p>
      <w:r/>
      <w:r>
        <w:t>Fils d'Alphée. Il est collecteur d'impôts de métier. (Ce métier est aussi appelé péager ou publicain.) Il est choisi par Jésus pour devenir l'un des 12 apôtres. Il est réputé être l'auteur de l'Évangile selon Matthieu.</w:t>
      </w:r>
    </w:p>
    <w:p>
      <w:r/>
      <w:r>
        <w:t>Matthieu est mentionné dans chacune des quatre listes des Douze (</w:t>
      </w:r>
      <w:hyperlink r:id="rId585">
        <w:r>
          <w:rPr>
            <w:color w:val="0000EE"/>
            <w:u w:val="single"/>
          </w:rPr>
          <w:t xml:space="preserve">Mt 10.3 </w:t>
        </w:r>
      </w:hyperlink>
      <w:r>
        <w:t xml:space="preserve">; </w:t>
      </w:r>
      <w:hyperlink r:id="rId586">
        <w:r>
          <w:rPr>
            <w:color w:val="0000EE"/>
            <w:u w:val="single"/>
          </w:rPr>
          <w:t xml:space="preserve">Mc 3.18 </w:t>
        </w:r>
      </w:hyperlink>
      <w:r>
        <w:t xml:space="preserve">; </w:t>
      </w:r>
      <w:hyperlink r:id="rId587">
        <w:r>
          <w:rPr>
            <w:color w:val="0000EE"/>
            <w:u w:val="single"/>
          </w:rPr>
          <w:t xml:space="preserve">Lc 6.15 </w:t>
        </w:r>
      </w:hyperlink>
      <w:r>
        <w:t xml:space="preserve">; </w:t>
      </w:r>
      <w:hyperlink r:id="rId588">
        <w:r>
          <w:rPr>
            <w:color w:val="0000EE"/>
            <w:u w:val="single"/>
          </w:rPr>
          <w:t>Ac 1.13</w:t>
        </w:r>
      </w:hyperlink>
      <w:r>
        <w:t>). En dehors de ces listes, Matthieu n'est mentionné que dans les récits de son appel (</w:t>
      </w:r>
      <w:hyperlink r:id="rId591">
        <w:r>
          <w:rPr>
            <w:color w:val="0000EE"/>
            <w:u w:val="single"/>
          </w:rPr>
          <w:t xml:space="preserve">Mt 9.9 </w:t>
        </w:r>
      </w:hyperlink>
      <w:r>
        <w:t xml:space="preserve">; </w:t>
      </w:r>
      <w:hyperlink r:id="rId9670">
        <w:r>
          <w:rPr>
            <w:color w:val="0000EE"/>
            <w:u w:val="single"/>
          </w:rPr>
          <w:t xml:space="preserve">Mc 2.13–14 </w:t>
        </w:r>
      </w:hyperlink>
      <w:r>
        <w:t xml:space="preserve">; </w:t>
      </w:r>
      <w:hyperlink r:id="rId9025">
        <w:r>
          <w:rPr>
            <w:color w:val="0000EE"/>
            <w:u w:val="single"/>
          </w:rPr>
          <w:t>Lc 5.27</w:t>
        </w:r>
      </w:hyperlink>
      <w:r>
        <w:t>). Avant son appel apostolique, les Évangiles désignent Matthieu par le nom de Lévi (</w:t>
      </w:r>
      <w:hyperlink r:id="rId590">
        <w:r>
          <w:rPr>
            <w:color w:val="0000EE"/>
            <w:u w:val="single"/>
          </w:rPr>
          <w:t xml:space="preserve">Mc 2.14 </w:t>
        </w:r>
      </w:hyperlink>
      <w:r>
        <w:t xml:space="preserve">; </w:t>
      </w:r>
      <w:hyperlink r:id="rId9025">
        <w:r>
          <w:rPr>
            <w:color w:val="0000EE"/>
            <w:u w:val="single"/>
          </w:rPr>
          <w:t xml:space="preserve">Lc 5.27 </w:t>
        </w:r>
      </w:hyperlink>
      <w:r>
        <w:t xml:space="preserve">; comp. avec </w:t>
      </w:r>
      <w:hyperlink r:id="rId591">
        <w:r>
          <w:rPr>
            <w:color w:val="0000EE"/>
            <w:u w:val="single"/>
          </w:rPr>
          <w:t>Mt 9.9</w:t>
        </w:r>
      </w:hyperlink>
      <w:r>
        <w:t>). Le fait que Lévi et Matthieu sont la même personne ne fait aucun doute. Il est improbable que Matthieu soit le frère de Jacques le Mineur dont le père s'appelait aussi Alphée (</w:t>
      </w:r>
      <w:hyperlink r:id="rId585">
        <w:r>
          <w:rPr>
            <w:color w:val="0000EE"/>
            <w:u w:val="single"/>
          </w:rPr>
          <w:t>Mt 10.3</w:t>
        </w:r>
      </w:hyperlink>
      <w:r>
        <w:t>). Cela aurait été indiqué dans les Écritures, comme dans le cas de Pierre et d'André, et dans le cas des fils de Zébédée.</w:t>
      </w:r>
    </w:p>
    <w:p>
      <w:r/>
      <w:r>
        <w:t>Matthieu est au service du roi Hérode Antipas à Capernaüm en Galilée. Il perçoit les taxes sur les marchandises qui sont transportées sur la route qui va de Damas à la mer Méditerranée. Pour faire ce métier, Matthieu doit être un homme instruit. Il doit connaître le grec et l'araméen. Il a donc les qualifications nécessaires pour écrire l'Évangile selon Matthieu. Comme il est collecteur d'impôts, c'est peut-être un homme riche. Mais ce métier le rend méprisable pour les autres Juifs. Les Juifs pensent que les collecteurs d'impôts sont parmi les pires personnes de la société. Les pharisiens associent souvent les collecteurs d'impôts aux pécheurs (</w:t>
      </w:r>
      <w:hyperlink r:id="rId2857">
        <w:r>
          <w:rPr>
            <w:color w:val="0000EE"/>
            <w:u w:val="single"/>
          </w:rPr>
          <w:t xml:space="preserve">Mt 11.19 </w:t>
        </w:r>
      </w:hyperlink>
      <w:r>
        <w:t xml:space="preserve">; </w:t>
      </w:r>
      <w:hyperlink r:id="rId9671">
        <w:r>
          <w:rPr>
            <w:color w:val="0000EE"/>
            <w:u w:val="single"/>
          </w:rPr>
          <w:t xml:space="preserve">Mc 2.16 </w:t>
        </w:r>
      </w:hyperlink>
      <w:r>
        <w:t xml:space="preserve">; </w:t>
      </w:r>
      <w:hyperlink r:id="rId3775">
        <w:r>
          <w:rPr>
            <w:color w:val="0000EE"/>
            <w:u w:val="single"/>
          </w:rPr>
          <w:t xml:space="preserve">Lc 7.34 </w:t>
        </w:r>
      </w:hyperlink>
      <w:r>
        <w:t xml:space="preserve">; </w:t>
      </w:r>
      <w:hyperlink r:id="rId9672">
        <w:r>
          <w:rPr>
            <w:color w:val="0000EE"/>
            <w:u w:val="single"/>
          </w:rPr>
          <w:t>15.1</w:t>
        </w:r>
      </w:hyperlink>
      <w:r>
        <w:t>).</w:t>
      </w:r>
    </w:p>
    <w:p>
      <w:r/>
      <w:r>
        <w:t>Matthieu reçoit son appel alors qu'il travaille à son bureau de collecteur d'impôts. Jésus passe sur cette route, le voit et lui dit : « Suis-moi » (</w:t>
      </w:r>
      <w:hyperlink r:id="rId590">
        <w:r>
          <w:rPr>
            <w:color w:val="0000EE"/>
            <w:u w:val="single"/>
          </w:rPr>
          <w:t>Mc 2.14</w:t>
        </w:r>
      </w:hyperlink>
      <w:r>
        <w:t>). Matthieu laisse tout, se lève et suit Jésus (</w:t>
      </w:r>
      <w:hyperlink r:id="rId9673">
        <w:r>
          <w:rPr>
            <w:color w:val="0000EE"/>
            <w:u w:val="single"/>
          </w:rPr>
          <w:t>Lc 5.28</w:t>
        </w:r>
      </w:hyperlink>
      <w:r>
        <w:t>). Immédiatement, il prépare un grand banquet chez lui en l'honneur de Jésus. De nombreux autres collecteurs de taxes et de nombreuses autres personnes sont présents. C'est à cette occasion que des pharisiens et les scribes font ce reproche aux disciples : « Pourquoi mangez-vous et buvez-vous avec les publicains et les gens de mauvaise vie ? » (</w:t>
      </w:r>
      <w:hyperlink r:id="rId2859">
        <w:r>
          <w:rPr>
            <w:color w:val="0000EE"/>
            <w:u w:val="single"/>
          </w:rPr>
          <w:t>Lc 5.30</w:t>
        </w:r>
      </w:hyperlink>
      <w:r>
        <w:t>). (Un publicain est un collecteur d'impôts).</w:t>
      </w:r>
    </w:p>
    <w:p>
      <w:r/>
      <w:r>
        <w:t>Il n'est pas clair à quel moment du ministère de Jésus Matthieu reçoit son appel. Il est probable que les six premiers disciples soient présents ce jour-là, puisque les pharisiens se plaignent à des disciples du Christ lors du banquet chez Matthieu. Contrairement aux tout premiers disciples que Jésus a appelés, Matthieu n'est pas à l'origine un disciple de Jean le Baptiste.</w:t>
      </w:r>
      <w:r/>
      <w:r/>
    </w:p>
    <w:p>
      <w:r/>
    </w:p>
    <w:p>
      <w:pPr>
        <w:pStyle w:val="Heading2"/>
      </w:pPr>
      <w:r>
        <w:t>Matthieu, Évangile de</w:t>
      </w:r>
      <w:r/>
    </w:p>
    <w:p>
      <w:r/>
      <w:r>
        <w:t>Premier Évangile et premier livre du Nouveau Testament (NT).</w:t>
      </w:r>
    </w:p>
    <w:p>
      <w:r/>
      <w:r>
        <w:t>Sommaire</w:t>
      </w:r>
    </w:p>
    <w:p>
      <w:r/>
      <w:r>
        <w:t>• Author</w:t>
      </w:r>
    </w:p>
    <w:p>
      <w:r/>
      <w:r>
        <w:t>• Date et provenance</w:t>
      </w:r>
    </w:p>
    <w:p>
      <w:r/>
      <w:r>
        <w:t>• Objectifs</w:t>
      </w:r>
    </w:p>
    <w:p>
      <w:r/>
      <w:r>
        <w:t>• Contenu</w:t>
      </w:r>
    </w:p>
    <w:p>
      <w:pPr>
        <w:pStyle w:val="Heading3"/>
      </w:pPr>
      <w:r>
        <w:t>Auteur</w:t>
      </w:r>
    </w:p>
    <w:p>
      <w:r/>
      <w:r>
        <w:t xml:space="preserve">Le texte de l'Évangile de Matthieu n'indique pas explicitement qui en est l'auteur. Cependant, comme l'Église des premiers siècles, nous pouvons l'attribuer à l'apôtre Matthieu. Il était également connu sous le nom de Lévi (voir </w:t>
      </w:r>
      <w:hyperlink r:id="rId590">
        <w:r>
          <w:rPr>
            <w:color w:val="0000EE"/>
            <w:u w:val="single"/>
          </w:rPr>
          <w:t xml:space="preserve">Mc 2.14 </w:t>
        </w:r>
      </w:hyperlink>
      <w:r>
        <w:t xml:space="preserve">; </w:t>
      </w:r>
      <w:hyperlink r:id="rId9674">
        <w:r>
          <w:rPr>
            <w:color w:val="0000EE"/>
            <w:u w:val="single"/>
          </w:rPr>
          <w:t>Lc 5.27, 29</w:t>
        </w:r>
      </w:hyperlink>
      <w:r>
        <w:t>). Avant l'appel de Jésus, il était collecteur d'impôts (</w:t>
      </w:r>
      <w:hyperlink r:id="rId9675">
        <w:r>
          <w:rPr>
            <w:color w:val="0000EE"/>
            <w:u w:val="single"/>
          </w:rPr>
          <w:t>Mt 9.9ss</w:t>
        </w:r>
      </w:hyperlink>
      <w:r>
        <w:t>). Seul Matthieu se désigne comme collecteur d'impôts ; aucun des autres Évangiles ne le font. Peut-être l'a-t-il fait pour rappeler à quel point le Seigneur l'a élevé de sa condition en faisant de lui un disciple. Les collecteurs d'impôts étaient méprisés et considérés comme le rebut de la société. De plus, l'Évangile de Matthieu porte l'empreinte d'un auteur qui s'y connaît en monnaies. Il désigne de façon spécifique la taxe des deux drachmes (</w:t>
      </w:r>
      <w:hyperlink r:id="rId2384">
        <w:r>
          <w:rPr>
            <w:color w:val="0000EE"/>
            <w:u w:val="single"/>
          </w:rPr>
          <w:t>Mt 17.24</w:t>
        </w:r>
      </w:hyperlink>
      <w:r>
        <w:t xml:space="preserve">), mentionne une pièce de quatre drachmes (v. </w:t>
      </w:r>
      <w:hyperlink r:id="rId9676">
        <w:r>
          <w:rPr>
            <w:color w:val="0000EE"/>
            <w:u w:val="single"/>
          </w:rPr>
          <w:t>27</w:t>
        </w:r>
      </w:hyperlink>
      <w:r>
        <w:t>), et parle plusieurs fois de talents (</w:t>
      </w:r>
      <w:hyperlink r:id="rId9677">
        <w:r>
          <w:rPr>
            <w:color w:val="0000EE"/>
            <w:u w:val="single"/>
          </w:rPr>
          <w:t xml:space="preserve">18.24 </w:t>
        </w:r>
      </w:hyperlink>
      <w:r>
        <w:t xml:space="preserve">; </w:t>
      </w:r>
      <w:hyperlink r:id="rId9678">
        <w:r>
          <w:rPr>
            <w:color w:val="0000EE"/>
            <w:u w:val="single"/>
          </w:rPr>
          <w:t>25.15ss</w:t>
        </w:r>
      </w:hyperlink>
      <w:r>
        <w:t>).</w:t>
      </w:r>
    </w:p>
    <w:p>
      <w:pPr>
        <w:pStyle w:val="Heading3"/>
      </w:pPr>
      <w:r>
        <w:t>Date et provenance</w:t>
      </w:r>
    </w:p>
    <w:p>
      <w:r/>
      <w:r>
        <w:t>Les érudits sont partagés sur la question de la date de la rédaction de Matthieu. C'est principalement parce qu'il y a encore débat sur quel Évangile, de Matthieu ou de Marc, a été écrit en premier. Celui qui a été écrit en deuxième est très redevable au premier pour une grande partie de son contenu. Ceux qui défendent la priorité de Évangile de Matthieu soulignent qu'il a été : (1) reconnu dans l'Église primitive comme le premier Évangile, (2) écrit pour ceux qui auraient eu besoin d'un récit écrit en premier (les Juifs) et (3) placé en premier dans le canon du NT. Qu'il ait précédé ou suivi Marc, la majorité des érudits sont certains qu'il a été écrit avant la destruction de Jérusalem (70 apr. J.-C.). En effet, il parle du Temple comme s'il était encore en activité (</w:t>
      </w:r>
      <w:hyperlink r:id="rId9679">
        <w:r>
          <w:rPr>
            <w:color w:val="0000EE"/>
            <w:u w:val="single"/>
          </w:rPr>
          <w:t>Mt 24.15</w:t>
        </w:r>
      </w:hyperlink>
      <w:r>
        <w:t>). Selon Irénée, Matthieu a écrit cet Évangile pendant que Pierre et Paul étaient à Rome. Cela voudrait dire qu'il a été rédigé dans les années 60 du premier siècle.</w:t>
      </w:r>
    </w:p>
    <w:p>
      <w:pPr>
        <w:pStyle w:val="Heading3"/>
      </w:pPr>
      <w:r>
        <w:t>Objectifs</w:t>
      </w:r>
    </w:p>
    <w:p>
      <w:pPr>
        <w:pStyle w:val="Heading4"/>
      </w:pPr>
      <w:r>
        <w:t>Apologétique</w:t>
      </w:r>
    </w:p>
    <w:p>
      <w:r/>
      <w:r>
        <w:t>Matthieu écrit à une communauté de chrétiens juifs parlant le grec et résidant dans un centre urbain tel qu'Antioche en Syrie. La communauté à laquelle il écrit vit parmi des Juifs hostiles aux revendications de Jésus et à la communauté chrétienne. Ces Juifs s'en prennent à eux. Matthieu écrit en tant que Juif pour les Juifs. Il souligne que Jésus de Nazareth est l'accomplissement de ce que l'Ancien Testament (AT) prédit et anticipe. Jésus est le Messie qu'Israël attendait. Dans le premier chapitre, Matthieu l'identifie comme « fils de David, fils d'Abraham » (</w:t>
      </w:r>
      <w:hyperlink r:id="rId573">
        <w:r>
          <w:rPr>
            <w:color w:val="0000EE"/>
            <w:u w:val="single"/>
          </w:rPr>
          <w:t>1.1</w:t>
        </w:r>
      </w:hyperlink>
      <w:r>
        <w:t xml:space="preserve">) qui est véritablement « Dieu avec nous » (v. </w:t>
      </w:r>
      <w:hyperlink r:id="rId9680">
        <w:r>
          <w:rPr>
            <w:color w:val="0000EE"/>
            <w:u w:val="single"/>
          </w:rPr>
          <w:t>23</w:t>
        </w:r>
      </w:hyperlink>
      <w:r>
        <w:t xml:space="preserve">). Dans les chapitres suivants, Matthieu révèle que Jésus est le Fils de l'homme prophétisé dans </w:t>
      </w:r>
      <w:hyperlink r:id="rId1858">
        <w:r>
          <w:rPr>
            <w:color w:val="0000EE"/>
            <w:u w:val="single"/>
          </w:rPr>
          <w:t>Daniel 7</w:t>
        </w:r>
      </w:hyperlink>
      <w:r>
        <w:t xml:space="preserve"> et le Serviteur souffrant annoncé dans </w:t>
      </w:r>
      <w:hyperlink r:id="rId5724">
        <w:r>
          <w:rPr>
            <w:color w:val="0000EE"/>
            <w:u w:val="single"/>
          </w:rPr>
          <w:t>Ésaïe 53</w:t>
        </w:r>
      </w:hyperlink>
      <w:r>
        <w:t>. Tout au long du livre (</w:t>
      </w:r>
      <w:hyperlink r:id="rId9681">
        <w:r>
          <w:rPr>
            <w:color w:val="0000EE"/>
            <w:u w:val="single"/>
          </w:rPr>
          <w:t>Mt 1.22–27.10</w:t>
        </w:r>
      </w:hyperlink>
      <w:r>
        <w:t>), il montre que les événements de la vie de Jésus sont l'« accomplissement » de prophéties de l'AT. Jésus vient apporter à Israël le salut du péché (</w:t>
      </w:r>
      <w:hyperlink r:id="rId3936">
        <w:r>
          <w:rPr>
            <w:color w:val="0000EE"/>
            <w:u w:val="single"/>
          </w:rPr>
          <w:t>1.21</w:t>
        </w:r>
      </w:hyperlink>
      <w:r>
        <w:t>). Néanmoins, les Juifs le rejettent comme Messie et se mettent ainsi dans une situation très périlleuse (</w:t>
      </w:r>
      <w:hyperlink r:id="rId4717">
        <w:r>
          <w:rPr>
            <w:color w:val="0000EE"/>
            <w:u w:val="single"/>
          </w:rPr>
          <w:t xml:space="preserve">11.20–24 </w:t>
        </w:r>
      </w:hyperlink>
      <w:r>
        <w:t xml:space="preserve">; </w:t>
      </w:r>
      <w:hyperlink r:id="rId9682">
        <w:r>
          <w:rPr>
            <w:color w:val="0000EE"/>
            <w:u w:val="single"/>
          </w:rPr>
          <w:t>21.33–46</w:t>
        </w:r>
      </w:hyperlink>
      <w:r>
        <w:t xml:space="preserve">). Une des explications du rejet de Jésus par Israël est que les dirigeants religieux juifs ont échoué à préparer le peuple à sa venue. Matthieu dénonce les enseignants de la loi et les pharisiens sans les ménager. Ils ont abandonné la Parole de Dieu pour leurs propres traditions (chap. </w:t>
      </w:r>
      <w:hyperlink r:id="rId9683">
        <w:r>
          <w:rPr>
            <w:color w:val="0000EE"/>
            <w:u w:val="single"/>
          </w:rPr>
          <w:t>15</w:t>
        </w:r>
      </w:hyperlink>
      <w:r>
        <w:t>).</w:t>
      </w:r>
    </w:p>
    <w:p>
      <w:pPr>
        <w:pStyle w:val="Heading4"/>
      </w:pPr>
      <w:r>
        <w:t>Enseignement pour l'Église</w:t>
      </w:r>
    </w:p>
    <w:p>
      <w:r/>
      <w:r>
        <w:t xml:space="preserve">Matthieu écrit aussi en tant que chrétien pour des chrétiens. Il présente Jésus comme le nouveau Moïse, qui est véritablement Yahvé incarné. Jésus prononce avec autorité la loi que doit suivre son peuple (chap. </w:t>
      </w:r>
      <w:hyperlink r:id="rId9684">
        <w:r>
          <w:rPr>
            <w:color w:val="0000EE"/>
            <w:u w:val="single"/>
          </w:rPr>
          <w:t>5</w:t>
        </w:r>
      </w:hyperlink>
      <w:r>
        <w:t>). Celui-ci doit maintenant se définir autour de la personne de Jésus sous la direction des apôtres (</w:t>
      </w:r>
      <w:hyperlink r:id="rId1699">
        <w:r>
          <w:rPr>
            <w:color w:val="0000EE"/>
            <w:u w:val="single"/>
          </w:rPr>
          <w:t xml:space="preserve">10.2–4 </w:t>
        </w:r>
      </w:hyperlink>
      <w:r>
        <w:t xml:space="preserve">; </w:t>
      </w:r>
      <w:hyperlink r:id="rId9685">
        <w:r>
          <w:rPr>
            <w:color w:val="0000EE"/>
            <w:u w:val="single"/>
          </w:rPr>
          <w:t xml:space="preserve">16.18–19 </w:t>
        </w:r>
      </w:hyperlink>
      <w:r>
        <w:t xml:space="preserve">; </w:t>
      </w:r>
      <w:hyperlink r:id="rId9686">
        <w:r>
          <w:rPr>
            <w:color w:val="0000EE"/>
            <w:u w:val="single"/>
          </w:rPr>
          <w:t>23.8–10</w:t>
        </w:r>
      </w:hyperlink>
      <w:r>
        <w:t xml:space="preserve">). Pour que l'Église chrétienne fonctionne correctement, elle doit accorder la plus haute importance à l'enseignement du Messie sur une multitude de questions morales et spirituelles (chap. </w:t>
      </w:r>
      <w:hyperlink r:id="rId9687">
        <w:r>
          <w:rPr>
            <w:color w:val="0000EE"/>
            <w:u w:val="single"/>
          </w:rPr>
          <w:t>5–7</w:t>
        </w:r>
      </w:hyperlink>
      <w:r>
        <w:t xml:space="preserve">, </w:t>
      </w:r>
      <w:hyperlink r:id="rId9688">
        <w:r>
          <w:rPr>
            <w:color w:val="0000EE"/>
            <w:u w:val="single"/>
          </w:rPr>
          <w:t>18</w:t>
        </w:r>
      </w:hyperlink>
      <w:r>
        <w:t xml:space="preserve">). Pour aider à réaliser cet objectif, l'Évangile de Matthieu est écrit sous forme de manuel théologique ou de guide pratique pour l'Église. Ce manuel théologique a pour but d'instruire le peuple de Dieu au sujet de la personne de Jésus et de son œuvre. </w:t>
      </w:r>
    </w:p>
    <w:p>
      <w:r/>
      <w:r>
        <w:t xml:space="preserve">Matthieu présente les enseignements de Jésus de manière bien organisée et mémorable pour qu'ils soient plus facilement et solidement compris. Il les organise en cinq grands discours insérés dans le récit pour faciliter leur apprentissage. Ces discours regroupent des enseignements du même type. Par exemple, le chapitre </w:t>
      </w:r>
      <w:hyperlink r:id="rId9689">
        <w:r>
          <w:rPr>
            <w:color w:val="0000EE"/>
            <w:u w:val="single"/>
          </w:rPr>
          <w:t>10</w:t>
        </w:r>
      </w:hyperlink>
      <w:r>
        <w:t xml:space="preserve"> contient les instructions pour la mission. Le chapitre 13, lui, regroupe une série de sept paraboles au sujet du royaume de Dieu. Les principaux thèmes théologiques de Matthieu sont Jésus en tant que </w:t>
      </w:r>
      <w:r>
        <w:rPr>
          <w:b/>
          <w:i/>
        </w:rPr>
        <w:t>Fils</w:t>
      </w:r>
      <w:r>
        <w:t xml:space="preserve"> de Dieu (Jésus est Yahvé incarné, « Dieu avec nous »), le </w:t>
      </w:r>
      <w:r>
        <w:rPr>
          <w:b/>
          <w:i/>
        </w:rPr>
        <w:t>royaume</w:t>
      </w:r>
      <w:r>
        <w:t xml:space="preserve"> de Dieu (en Jésus, Dieu a envahi l'histoire afin d'inaugurer son règne ultime), le </w:t>
      </w:r>
      <w:r>
        <w:rPr>
          <w:b/>
          <w:i/>
        </w:rPr>
        <w:t>salut</w:t>
      </w:r>
      <w:r>
        <w:t xml:space="preserve"> de Dieu (Jésus est venu « sauver son peuple de ses péchés » en tant que roi-serviteur, </w:t>
      </w:r>
      <w:hyperlink r:id="rId3936">
        <w:r>
          <w:rPr>
            <w:color w:val="0000EE"/>
            <w:u w:val="single"/>
          </w:rPr>
          <w:t>1.21</w:t>
        </w:r>
      </w:hyperlink>
      <w:r>
        <w:t xml:space="preserve">) et le </w:t>
      </w:r>
      <w:r>
        <w:rPr>
          <w:b/>
          <w:i/>
        </w:rPr>
        <w:t>peuple</w:t>
      </w:r>
      <w:r>
        <w:t xml:space="preserve"> de Dieu (Jésus est venu pour bâtir son Église, une communauté des rachetés qui inclut Juifs et Gentils).</w:t>
      </w:r>
    </w:p>
    <w:p>
      <w:pPr>
        <w:pStyle w:val="Heading3"/>
      </w:pPr>
      <w:r>
        <w:t>Contenu</w:t>
      </w:r>
    </w:p>
    <w:p>
      <w:pPr>
        <w:pStyle w:val="Heading4"/>
      </w:pPr>
      <w:r>
        <w:t>La venue du Sauveur (</w:t>
      </w:r>
      <w:hyperlink r:id="rId9690">
        <w:r>
          <w:rPr>
            <w:color w:val="0000EE"/>
            <w:u w:val="single"/>
          </w:rPr>
          <w:t>1.1–2.23</w:t>
        </w:r>
      </w:hyperlink>
      <w:r>
        <w:t>)</w:t>
      </w:r>
    </w:p>
    <w:p>
      <w:r/>
      <w:r>
        <w:t>Le nom de « Jésus » (</w:t>
      </w:r>
      <w:hyperlink r:id="rId573">
        <w:r>
          <w:rPr>
            <w:color w:val="0000EE"/>
            <w:u w:val="single"/>
          </w:rPr>
          <w:t>1.1</w:t>
        </w:r>
      </w:hyperlink>
      <w:r>
        <w:t>) révèle sa mission, car il signifie « Yahvé sauve ». Jésus est le « fils d’Abraham » qui vient accomplir les promesses que Dieu avaient faites aux Juifs et aux Gentils dès les temps anciens (</w:t>
      </w:r>
      <w:hyperlink r:id="rId86">
        <w:r>
          <w:rPr>
            <w:color w:val="0000EE"/>
            <w:u w:val="single"/>
          </w:rPr>
          <w:t>Gn 12.1–3</w:t>
        </w:r>
      </w:hyperlink>
      <w:r>
        <w:t>). Il est « Christ [ou Messie] », le fils de David (</w:t>
      </w:r>
      <w:hyperlink r:id="rId573">
        <w:r>
          <w:rPr>
            <w:color w:val="0000EE"/>
            <w:u w:val="single"/>
          </w:rPr>
          <w:t>Mt 1.1</w:t>
        </w:r>
      </w:hyperlink>
      <w:r>
        <w:t>), qui vient inaugurer le royaume de Dieu (</w:t>
      </w:r>
      <w:hyperlink r:id="rId9691">
        <w:r>
          <w:rPr>
            <w:color w:val="0000EE"/>
            <w:u w:val="single"/>
          </w:rPr>
          <w:t>4.17</w:t>
        </w:r>
      </w:hyperlink>
      <w:r>
        <w:t>). Plus que cela, comme en témoignent les prophéties (</w:t>
      </w:r>
      <w:hyperlink r:id="rId9692">
        <w:r>
          <w:rPr>
            <w:color w:val="0000EE"/>
            <w:u w:val="single"/>
          </w:rPr>
          <w:t>1.22–23</w:t>
        </w:r>
      </w:hyperlink>
      <w:r>
        <w:t xml:space="preserve">) et sa conception miraculeuse (v. </w:t>
      </w:r>
      <w:hyperlink r:id="rId9693">
        <w:r>
          <w:rPr>
            <w:color w:val="0000EE"/>
            <w:u w:val="single"/>
          </w:rPr>
          <w:t>18–20</w:t>
        </w:r>
      </w:hyperlink>
      <w:r>
        <w:t xml:space="preserve">), il est « Dieu avec nous », celui qui est maintenant venu et « </w:t>
      </w:r>
      <w:r>
        <w:t xml:space="preserve">qui sauvera son peuple de ses péchés </w:t>
      </w:r>
      <w:r>
        <w:t xml:space="preserve">» (v. </w:t>
      </w:r>
      <w:hyperlink r:id="rId3936">
        <w:r>
          <w:rPr>
            <w:color w:val="0000EE"/>
            <w:u w:val="single"/>
          </w:rPr>
          <w:t>21</w:t>
        </w:r>
      </w:hyperlink>
      <w:r>
        <w:t>). En tant que fils de David, et conformément aux prophéties, il naît à Bethléhem (</w:t>
      </w:r>
      <w:hyperlink r:id="rId9694">
        <w:r>
          <w:rPr>
            <w:color w:val="0000EE"/>
            <w:u w:val="single"/>
          </w:rPr>
          <w:t>2.1–6</w:t>
        </w:r>
      </w:hyperlink>
      <w:r>
        <w:t xml:space="preserve">). Attirés par l’étoile du Messie d’Israël (voir </w:t>
      </w:r>
      <w:hyperlink r:id="rId6894">
        <w:r>
          <w:rPr>
            <w:color w:val="0000EE"/>
            <w:u w:val="single"/>
          </w:rPr>
          <w:t>Nb 24.17</w:t>
        </w:r>
      </w:hyperlink>
      <w:r>
        <w:t>), des Gentils viennent l’adorer (</w:t>
      </w:r>
      <w:hyperlink r:id="rId9695">
        <w:r>
          <w:rPr>
            <w:color w:val="0000EE"/>
            <w:u w:val="single"/>
          </w:rPr>
          <w:t>Mt 2.1–12</w:t>
        </w:r>
      </w:hyperlink>
      <w:r>
        <w:t xml:space="preserve">). Lorsque Hérode cherche à le détruire, Jésus trouve refuge dans un pays de Gentils. L’appel de Dieu à son Fils hors d’Égypte marque le début d’une œuvre de salut puissante qui n'est rien de moins qu’un nouvel exode sous Jésus, le nouveau Moïse (v. </w:t>
      </w:r>
      <w:hyperlink r:id="rId9696">
        <w:r>
          <w:rPr>
            <w:color w:val="0000EE"/>
            <w:u w:val="single"/>
          </w:rPr>
          <w:t>13–20</w:t>
        </w:r>
      </w:hyperlink>
      <w:r>
        <w:t xml:space="preserve">). Né dans les circonstances les plus humbles, Jésus vit ensuite à Nazareth (v. </w:t>
      </w:r>
      <w:hyperlink r:id="rId9697">
        <w:r>
          <w:rPr>
            <w:color w:val="0000EE"/>
            <w:u w:val="single"/>
          </w:rPr>
          <w:t>21–23</w:t>
        </w:r>
      </w:hyperlink>
      <w:r>
        <w:t>).</w:t>
      </w:r>
    </w:p>
    <w:p>
      <w:pPr>
        <w:pStyle w:val="Heading4"/>
      </w:pPr>
      <w:r>
        <w:t>Début du ministère de Jésus (</w:t>
      </w:r>
      <w:hyperlink r:id="rId9698">
        <w:r>
          <w:rPr>
            <w:color w:val="0000EE"/>
            <w:u w:val="single"/>
          </w:rPr>
          <w:t>3.1–4.25</w:t>
        </w:r>
      </w:hyperlink>
      <w:r>
        <w:t>)</w:t>
      </w:r>
    </w:p>
    <w:p>
      <w:r/>
      <w:r>
        <w:t>Comme la venue de Jésus et du royaume de Dieu vont précipiter le jugement, Jean-Baptiste appelle Israël à se repentir (</w:t>
      </w:r>
      <w:hyperlink r:id="rId9699">
        <w:r>
          <w:rPr>
            <w:color w:val="0000EE"/>
            <w:u w:val="single"/>
          </w:rPr>
          <w:t>3.1–12</w:t>
        </w:r>
      </w:hyperlink>
      <w:r>
        <w:t xml:space="preserve">). Quand il se soumet au baptême de Jean et que la voix de Dieu se fait entendre du ciel, Jésus est révélé comme Roi qui sert ses sujets en prenant leurs péchés sur lui-même (v. </w:t>
      </w:r>
      <w:hyperlink r:id="rId9700">
        <w:r>
          <w:rPr>
            <w:color w:val="0000EE"/>
            <w:u w:val="single"/>
          </w:rPr>
          <w:t>13–17</w:t>
        </w:r>
      </w:hyperlink>
      <w:r>
        <w:t>). Tout comme Israël lors de l'exode, Jésus est conduit dans le désert pour y être mis à l'épreuve (</w:t>
      </w:r>
      <w:hyperlink r:id="rId9701">
        <w:r>
          <w:rPr>
            <w:color w:val="0000EE"/>
            <w:u w:val="single"/>
          </w:rPr>
          <w:t>4.1</w:t>
        </w:r>
      </w:hyperlink>
      <w:r>
        <w:t xml:space="preserve">). Lorsque le diable cherche à l'éloigner à la fois de Dieu et de sa mission, Jésus est victorieux car il se repose sur Dieu et sur sa Parole (v. </w:t>
      </w:r>
      <w:hyperlink r:id="rId9702">
        <w:r>
          <w:rPr>
            <w:color w:val="0000EE"/>
            <w:u w:val="single"/>
          </w:rPr>
          <w:t>1–11</w:t>
        </w:r>
      </w:hyperlink>
      <w:r>
        <w:t xml:space="preserve">). De retour en Galilée, Jésus s'installe délibérément dans une région peuplée de Juifs et de Gentils (v. </w:t>
      </w:r>
      <w:hyperlink r:id="rId9703">
        <w:r>
          <w:rPr>
            <w:color w:val="0000EE"/>
            <w:u w:val="single"/>
          </w:rPr>
          <w:t>12–16</w:t>
        </w:r>
      </w:hyperlink>
      <w:r>
        <w:t xml:space="preserve">) et commence son ministère en prêchant. Comme Jean, il appelle à la repentance, car le royaume de Dieu est imminent. Jésus enseigne également, appelant ses premiers disciples, et guérit (v. </w:t>
      </w:r>
      <w:hyperlink r:id="rId9704">
        <w:r>
          <w:rPr>
            <w:color w:val="0000EE"/>
            <w:u w:val="single"/>
          </w:rPr>
          <w:t>17–25</w:t>
        </w:r>
      </w:hyperlink>
      <w:r>
        <w:t>).</w:t>
      </w:r>
    </w:p>
    <w:p>
      <w:pPr>
        <w:pStyle w:val="Heading4"/>
      </w:pPr>
      <w:r>
        <w:t>Le Sermon sur la montagne (</w:t>
      </w:r>
      <w:hyperlink r:id="rId9687">
        <w:r>
          <w:rPr>
            <w:color w:val="0000EE"/>
            <w:u w:val="single"/>
          </w:rPr>
          <w:t>5.1–7.29</w:t>
        </w:r>
      </w:hyperlink>
      <w:r>
        <w:t>)</w:t>
      </w:r>
    </w:p>
    <w:p>
      <w:r/>
      <w:r>
        <w:t>Moïse était monté au Sinaï pour recevoir la loi de Dieu pour Israël. Jésus, le nouveau Moïse et Dieu incarné, monte aussi sur une montagne pour révéler ses enseignements aux citoyens du royaume de Dieu (</w:t>
      </w:r>
      <w:hyperlink r:id="rId9705">
        <w:r>
          <w:rPr>
            <w:color w:val="0000EE"/>
            <w:u w:val="single"/>
          </w:rPr>
          <w:t>5.1–2</w:t>
        </w:r>
      </w:hyperlink>
      <w:r>
        <w:t>). Il commence par l'</w:t>
      </w:r>
      <w:r>
        <w:rPr>
          <w:i/>
        </w:rPr>
        <w:t xml:space="preserve">Évangile </w:t>
      </w:r>
      <w:r>
        <w:t xml:space="preserve">(et non la loi), déclarant que Dieu fera entrer dans son royaume les humbles qui, malmenés par le mal, ont foi en Dieu, obéissent à ses commandements et veulent voir venir son juste règne dans le monde (v. </w:t>
      </w:r>
      <w:hyperlink r:id="rId8699">
        <w:r>
          <w:rPr>
            <w:color w:val="0000EE"/>
            <w:u w:val="single"/>
          </w:rPr>
          <w:t>3–12</w:t>
        </w:r>
      </w:hyperlink>
      <w:r>
        <w:t xml:space="preserve">). Dans ce but, les disciples doivent être des agents de conservation (le sel) et des témoins (la lumière) au milieu d'une société pécheresse (v. </w:t>
      </w:r>
      <w:hyperlink r:id="rId9706">
        <w:r>
          <w:rPr>
            <w:color w:val="0000EE"/>
            <w:u w:val="single"/>
          </w:rPr>
          <w:t>13–16</w:t>
        </w:r>
      </w:hyperlink>
      <w:r>
        <w:t xml:space="preserve">). Jésus est venu non pour abolir la loi et les Prophètes mais pour les accomplir, c’est-à-dire pour inaugurer la nouvelle ère prédite par l'AT (v. </w:t>
      </w:r>
      <w:hyperlink r:id="rId9707">
        <w:r>
          <w:rPr>
            <w:color w:val="0000EE"/>
            <w:u w:val="single"/>
          </w:rPr>
          <w:t>17</w:t>
        </w:r>
      </w:hyperlink>
      <w:r>
        <w:t xml:space="preserve">). Jésus appelle donc ses disciples à l'obéissance inébranlable à la loi de Dieu telle qu'elle est maintenant exposée par le Législateur lui-même (v. </w:t>
      </w:r>
      <w:hyperlink r:id="rId9708">
        <w:r>
          <w:rPr>
            <w:color w:val="0000EE"/>
            <w:u w:val="single"/>
          </w:rPr>
          <w:t>18–20</w:t>
        </w:r>
      </w:hyperlink>
      <w:r>
        <w:t xml:space="preserve">). </w:t>
      </w:r>
    </w:p>
    <w:p>
      <w:r/>
      <w:r>
        <w:t xml:space="preserve">Les commandements de Dieu portent autant sur les désirs intérieurs que sur les actions extérieures. Ils ne doivent pas être édulcorés ou rationalisés. Ils exigent une obéissance bien plus radicale qu'auparavant maintenant que la fin des temps est arrivée (v. </w:t>
      </w:r>
      <w:hyperlink r:id="rId9709">
        <w:r>
          <w:rPr>
            <w:color w:val="0000EE"/>
            <w:u w:val="single"/>
          </w:rPr>
          <w:t>21–48</w:t>
        </w:r>
      </w:hyperlink>
      <w:r>
        <w:t>). Par leurs dons, leurs prières et leurs jeûnes, les disciples doivent combattre l'hypocrisie en se centrant sur Dieu et en renonçant à eux-mêmes (</w:t>
      </w:r>
      <w:hyperlink r:id="rId9710">
        <w:r>
          <w:rPr>
            <w:color w:val="0000EE"/>
            <w:u w:val="single"/>
          </w:rPr>
          <w:t>6.1–18</w:t>
        </w:r>
      </w:hyperlink>
      <w:r>
        <w:t xml:space="preserve">). La prière du Seigneur (v. </w:t>
      </w:r>
      <w:hyperlink r:id="rId9711">
        <w:r>
          <w:rPr>
            <w:color w:val="0000EE"/>
            <w:u w:val="single"/>
          </w:rPr>
          <w:t>9–13</w:t>
        </w:r>
      </w:hyperlink>
      <w:r>
        <w:t xml:space="preserve">) demande à Dieu d'honorer son nom en établissant son règne sur la terre, et de pardonner, protéger et pourvoir aux besoins de ses enfants. Cette prière, et une vision de la réalité qui garde Dieu en son centre (v. </w:t>
      </w:r>
      <w:hyperlink r:id="rId9712">
        <w:r>
          <w:rPr>
            <w:color w:val="0000EE"/>
            <w:u w:val="single"/>
          </w:rPr>
          <w:t>19–24</w:t>
        </w:r>
      </w:hyperlink>
      <w:r>
        <w:t xml:space="preserve">), enseignent aux disciples de ne pas s'inquiéter (v. </w:t>
      </w:r>
      <w:hyperlink r:id="rId9713">
        <w:r>
          <w:rPr>
            <w:color w:val="0000EE"/>
            <w:u w:val="single"/>
          </w:rPr>
          <w:t>25–34</w:t>
        </w:r>
      </w:hyperlink>
      <w:r>
        <w:t>). Ils doivent discerner sans condamner (</w:t>
      </w:r>
      <w:hyperlink r:id="rId9714">
        <w:r>
          <w:rPr>
            <w:color w:val="0000EE"/>
            <w:u w:val="single"/>
          </w:rPr>
          <w:t>7.1–6</w:t>
        </w:r>
      </w:hyperlink>
      <w:r>
        <w:t>). Ils doivent aussi dépendre de Dieu pour obtenir la force nécessaire à l'amour du prochain (</w:t>
      </w:r>
      <w:hyperlink r:id="rId9715">
        <w:r>
          <w:rPr>
            <w:color w:val="0000EE"/>
            <w:u w:val="single"/>
          </w:rPr>
          <w:t>6.7–12</w:t>
        </w:r>
      </w:hyperlink>
      <w:r>
        <w:t>). Après son exposé de la loi (</w:t>
      </w:r>
      <w:hyperlink r:id="rId9716">
        <w:r>
          <w:rPr>
            <w:color w:val="0000EE"/>
            <w:u w:val="single"/>
          </w:rPr>
          <w:t>5.21–7.12</w:t>
        </w:r>
      </w:hyperlink>
      <w:r>
        <w:t>), Jésus appelle ceux qui veulent être ses disciples à le suivre (</w:t>
      </w:r>
      <w:hyperlink r:id="rId9717">
        <w:r>
          <w:rPr>
            <w:color w:val="0000EE"/>
            <w:u w:val="single"/>
          </w:rPr>
          <w:t>7.13–14</w:t>
        </w:r>
      </w:hyperlink>
      <w:r>
        <w:t xml:space="preserve">). Il les met en garde contre les faux enseignants (v. </w:t>
      </w:r>
      <w:hyperlink r:id="rId9718">
        <w:r>
          <w:rPr>
            <w:color w:val="0000EE"/>
            <w:u w:val="single"/>
          </w:rPr>
          <w:t>15–20</w:t>
        </w:r>
      </w:hyperlink>
      <w:r>
        <w:t xml:space="preserve">) et insiste sur le fait que ceux qui sont véritablement ses disciples font la volonté de Dieu (v. </w:t>
      </w:r>
      <w:hyperlink r:id="rId9719">
        <w:r>
          <w:rPr>
            <w:color w:val="0000EE"/>
            <w:u w:val="single"/>
          </w:rPr>
          <w:t>21–23</w:t>
        </w:r>
      </w:hyperlink>
      <w:r>
        <w:t>).</w:t>
      </w:r>
    </w:p>
    <w:p>
      <w:pPr>
        <w:pStyle w:val="Heading4"/>
      </w:pPr>
      <w:r>
        <w:t>L'autorité de Jésus (</w:t>
      </w:r>
      <w:hyperlink r:id="rId9720">
        <w:r>
          <w:rPr>
            <w:color w:val="0000EE"/>
            <w:u w:val="single"/>
          </w:rPr>
          <w:t>8.1–9.38</w:t>
        </w:r>
      </w:hyperlink>
      <w:r>
        <w:t>)</w:t>
      </w:r>
    </w:p>
    <w:p>
      <w:r/>
      <w:r>
        <w:t xml:space="preserve">Ayant exprimé son autorité par sa </w:t>
      </w:r>
      <w:r>
        <w:rPr>
          <w:i/>
        </w:rPr>
        <w:t>parole</w:t>
      </w:r>
      <w:r>
        <w:t xml:space="preserve"> dans son enseignement (</w:t>
      </w:r>
      <w:hyperlink r:id="rId9721">
        <w:r>
          <w:rPr>
            <w:color w:val="0000EE"/>
            <w:u w:val="single"/>
          </w:rPr>
          <w:t>7.28–29</w:t>
        </w:r>
      </w:hyperlink>
      <w:r>
        <w:t xml:space="preserve">), Jésus la manifeste maintenant dans ses </w:t>
      </w:r>
      <w:r>
        <w:rPr>
          <w:i/>
        </w:rPr>
        <w:t>actes</w:t>
      </w:r>
      <w:r>
        <w:t xml:space="preserve"> à travers une série de miracles de guérison. Il se révèle ainsi à nouveau comme le Serviteur annoncé par Ésaïe (</w:t>
      </w:r>
      <w:hyperlink r:id="rId9722">
        <w:r>
          <w:rPr>
            <w:color w:val="0000EE"/>
            <w:u w:val="single"/>
          </w:rPr>
          <w:t>8.17</w:t>
        </w:r>
      </w:hyperlink>
      <w:r>
        <w:t>). Par sa parole, Jésus guérit un lépreux, le serviteur d'un centurion et une femme souffrant d'une perte de sang (</w:t>
      </w:r>
      <w:hyperlink r:id="rId9723">
        <w:r>
          <w:rPr>
            <w:color w:val="0000EE"/>
            <w:u w:val="single"/>
          </w:rPr>
          <w:t xml:space="preserve">8.1–13 </w:t>
        </w:r>
      </w:hyperlink>
      <w:r>
        <w:t xml:space="preserve">; </w:t>
      </w:r>
      <w:hyperlink r:id="rId9724">
        <w:r>
          <w:rPr>
            <w:color w:val="0000EE"/>
            <w:u w:val="single"/>
          </w:rPr>
          <w:t>9.20–22</w:t>
        </w:r>
      </w:hyperlink>
      <w:r>
        <w:t>). Son toucher fait partir la fièvre et ressuscite une personne morte (</w:t>
      </w:r>
      <w:hyperlink r:id="rId9725">
        <w:r>
          <w:rPr>
            <w:color w:val="0000EE"/>
            <w:u w:val="single"/>
          </w:rPr>
          <w:t xml:space="preserve">8.14–15 </w:t>
        </w:r>
      </w:hyperlink>
      <w:r>
        <w:t xml:space="preserve">; </w:t>
      </w:r>
      <w:hyperlink r:id="rId9726">
        <w:r>
          <w:rPr>
            <w:color w:val="0000EE"/>
            <w:u w:val="single"/>
          </w:rPr>
          <w:t>9.23–25</w:t>
        </w:r>
      </w:hyperlink>
      <w:r>
        <w:t>). Par la parole et le toucher, il guérit des aveugles (</w:t>
      </w:r>
      <w:hyperlink r:id="rId9727">
        <w:r>
          <w:rPr>
            <w:color w:val="0000EE"/>
            <w:u w:val="single"/>
          </w:rPr>
          <w:t>9.27–31</w:t>
        </w:r>
      </w:hyperlink>
      <w:r>
        <w:t xml:space="preserve">). </w:t>
      </w:r>
    </w:p>
    <w:p>
      <w:r/>
      <w:r>
        <w:t>En tant que « Dieu avec nous », l'appel de Jésus exige une allégeance inconditionnelle (</w:t>
      </w:r>
      <w:hyperlink r:id="rId1014">
        <w:r>
          <w:rPr>
            <w:color w:val="0000EE"/>
            <w:u w:val="single"/>
          </w:rPr>
          <w:t>8.18–22</w:t>
        </w:r>
      </w:hyperlink>
      <w:r>
        <w:t xml:space="preserve">). Même si Jésus manque même du confort dont jouissent des animaux (v. </w:t>
      </w:r>
      <w:hyperlink r:id="rId5703">
        <w:r>
          <w:rPr>
            <w:color w:val="0000EE"/>
            <w:u w:val="single"/>
          </w:rPr>
          <w:t>20</w:t>
        </w:r>
      </w:hyperlink>
      <w:r>
        <w:t xml:space="preserve">), il est maître du monde naturel et le révèle, ainsi sa divinité, en calmant la tempête (v. </w:t>
      </w:r>
      <w:hyperlink r:id="rId9728">
        <w:r>
          <w:rPr>
            <w:color w:val="0000EE"/>
            <w:u w:val="single"/>
          </w:rPr>
          <w:t>23–27</w:t>
        </w:r>
      </w:hyperlink>
      <w:r>
        <w:t>). Il confronte directement les démons et démontre qu'il est plus puissant qu'eux (</w:t>
      </w:r>
      <w:hyperlink r:id="rId9729">
        <w:r>
          <w:rPr>
            <w:color w:val="0000EE"/>
            <w:u w:val="single"/>
          </w:rPr>
          <w:t xml:space="preserve">8.28–34 </w:t>
        </w:r>
      </w:hyperlink>
      <w:r>
        <w:t xml:space="preserve">; </w:t>
      </w:r>
      <w:hyperlink r:id="rId9730">
        <w:r>
          <w:rPr>
            <w:color w:val="0000EE"/>
            <w:u w:val="single"/>
          </w:rPr>
          <w:t>9.32–33</w:t>
        </w:r>
      </w:hyperlink>
      <w:r>
        <w:t>). Il exerce une autorité qui n'appartient qu'à Dieu en déclarant les péchés pardonnés (</w:t>
      </w:r>
      <w:hyperlink r:id="rId9731">
        <w:r>
          <w:rPr>
            <w:color w:val="0000EE"/>
            <w:u w:val="single"/>
          </w:rPr>
          <w:t>9.1–8</w:t>
        </w:r>
      </w:hyperlink>
      <w:r>
        <w:t xml:space="preserve">). Il appelle les pécheurs à se repentir et à devenir ses disciples (v. </w:t>
      </w:r>
      <w:hyperlink r:id="rId9732">
        <w:r>
          <w:rPr>
            <w:color w:val="0000EE"/>
            <w:u w:val="single"/>
          </w:rPr>
          <w:t>9–13</w:t>
        </w:r>
      </w:hyperlink>
      <w:r>
        <w:t xml:space="preserve">). La joie de l'inauguration du royaume s'accompagne d'une certaine hâte qu'il soit totalement accompli (v. </w:t>
      </w:r>
      <w:hyperlink r:id="rId9733">
        <w:r>
          <w:rPr>
            <w:color w:val="0000EE"/>
            <w:u w:val="single"/>
          </w:rPr>
          <w:t>14–17</w:t>
        </w:r>
      </w:hyperlink>
      <w:r>
        <w:t xml:space="preserve">). Le résumé de </w:t>
      </w:r>
      <w:hyperlink r:id="rId9734">
        <w:r>
          <w:rPr>
            <w:color w:val="0000EE"/>
            <w:u w:val="single"/>
          </w:rPr>
          <w:t>9.35–38</w:t>
        </w:r>
      </w:hyperlink>
      <w:r>
        <w:t xml:space="preserve"> fait écho à </w:t>
      </w:r>
      <w:hyperlink r:id="rId9735">
        <w:r>
          <w:rPr>
            <w:color w:val="0000EE"/>
            <w:u w:val="single"/>
          </w:rPr>
          <w:t>4.23–25</w:t>
        </w:r>
      </w:hyperlink>
      <w:r>
        <w:t xml:space="preserve">, rappelle les chapitres </w:t>
      </w:r>
      <w:hyperlink r:id="rId9687">
        <w:r>
          <w:rPr>
            <w:color w:val="0000EE"/>
            <w:u w:val="single"/>
          </w:rPr>
          <w:t>5–7</w:t>
        </w:r>
      </w:hyperlink>
      <w:r>
        <w:t xml:space="preserve"> et prépare au prochain grand discours de Jésus.</w:t>
      </w:r>
    </w:p>
    <w:p>
      <w:pPr>
        <w:pStyle w:val="Heading4"/>
      </w:pPr>
      <w:r>
        <w:t>La mission confiée par Jésus aux missionnaires (</w:t>
      </w:r>
      <w:hyperlink r:id="rId9689">
        <w:r>
          <w:rPr>
            <w:color w:val="0000EE"/>
            <w:u w:val="single"/>
          </w:rPr>
          <w:t>10.1–42</w:t>
        </w:r>
      </w:hyperlink>
      <w:r>
        <w:t>)</w:t>
      </w:r>
    </w:p>
    <w:p>
      <w:r/>
      <w:r>
        <w:t>En réponse aux prières qu'il a lui-même commandé de prier, le Christ investit 12 disciples de l'autorité apostolique et les envoie dans les champs de la moisson (</w:t>
      </w:r>
      <w:hyperlink r:id="rId9736">
        <w:r>
          <w:rPr>
            <w:color w:val="0000EE"/>
            <w:u w:val="single"/>
          </w:rPr>
          <w:t>9.37–10.4</w:t>
        </w:r>
      </w:hyperlink>
      <w:r>
        <w:t>). Son discours d'instructions s'applique à la fois à la mission des apôtres (</w:t>
      </w:r>
      <w:hyperlink r:id="rId9737">
        <w:r>
          <w:rPr>
            <w:color w:val="0000EE"/>
            <w:u w:val="single"/>
          </w:rPr>
          <w:t>10.5–15</w:t>
        </w:r>
      </w:hyperlink>
      <w:r>
        <w:t xml:space="preserve">) et à la mission plus large de l'Église qui suivra plus tard (v. </w:t>
      </w:r>
      <w:hyperlink r:id="rId9738">
        <w:r>
          <w:rPr>
            <w:color w:val="0000EE"/>
            <w:u w:val="single"/>
          </w:rPr>
          <w:t>16–42</w:t>
        </w:r>
      </w:hyperlink>
      <w:r>
        <w:t xml:space="preserve">). Les apôtres doivent se concentrer sur l'évangélisation des Juifs dans un premier temps (v. </w:t>
      </w:r>
      <w:hyperlink r:id="rId9739">
        <w:r>
          <w:rPr>
            <w:color w:val="0000EE"/>
            <w:u w:val="single"/>
          </w:rPr>
          <w:t>6</w:t>
        </w:r>
      </w:hyperlink>
      <w:r>
        <w:t>). Cela les préparera à la mission aux Gentils (</w:t>
      </w:r>
      <w:hyperlink r:id="rId4190">
        <w:r>
          <w:rPr>
            <w:color w:val="0000EE"/>
            <w:u w:val="single"/>
          </w:rPr>
          <w:t>28.19</w:t>
        </w:r>
      </w:hyperlink>
      <w:r>
        <w:t>). Ceux qui sont « dignes » sont ceux qui accueillent les apôtres et leur message. Ceux qui sont « indignes » sont ceux qui les rejettent (</w:t>
      </w:r>
      <w:hyperlink r:id="rId9740">
        <w:r>
          <w:rPr>
            <w:color w:val="0000EE"/>
            <w:u w:val="single"/>
          </w:rPr>
          <w:t>10.11–15</w:t>
        </w:r>
      </w:hyperlink>
      <w:r>
        <w:t xml:space="preserve">). Quand la mission s'étendra plus encore, il y aura assurément des persécutions (v. </w:t>
      </w:r>
      <w:hyperlink r:id="rId9741">
        <w:r>
          <w:rPr>
            <w:color w:val="0000EE"/>
            <w:u w:val="single"/>
          </w:rPr>
          <w:t>16–19, 24–25</w:t>
        </w:r>
      </w:hyperlink>
      <w:r>
        <w:t xml:space="preserve">), mais cela même permettra de témoigner (v. </w:t>
      </w:r>
      <w:hyperlink r:id="rId9742">
        <w:r>
          <w:rPr>
            <w:color w:val="0000EE"/>
            <w:u w:val="single"/>
          </w:rPr>
          <w:t>17–23</w:t>
        </w:r>
      </w:hyperlink>
      <w:r>
        <w:t xml:space="preserve">). Dieu sauvera ses missionnaires fidèles (v. </w:t>
      </w:r>
      <w:hyperlink r:id="rId9743">
        <w:r>
          <w:rPr>
            <w:color w:val="0000EE"/>
            <w:u w:val="single"/>
          </w:rPr>
          <w:t>19–23</w:t>
        </w:r>
      </w:hyperlink>
      <w:r>
        <w:t xml:space="preserve">) et jugera ceux qui les oppriment ou qui renient le Christ (v. </w:t>
      </w:r>
      <w:hyperlink r:id="rId9744">
        <w:r>
          <w:rPr>
            <w:color w:val="0000EE"/>
            <w:u w:val="single"/>
          </w:rPr>
          <w:t>26–39</w:t>
        </w:r>
      </w:hyperlink>
      <w:r>
        <w:t xml:space="preserve">). La récompense des messagers et de ceux qui reçoivent le message est assurée (v. </w:t>
      </w:r>
      <w:hyperlink r:id="rId9745">
        <w:r>
          <w:rPr>
            <w:color w:val="0000EE"/>
            <w:u w:val="single"/>
          </w:rPr>
          <w:t>37–42</w:t>
        </w:r>
      </w:hyperlink>
      <w:r>
        <w:t>).</w:t>
      </w:r>
    </w:p>
    <w:p>
      <w:pPr>
        <w:pStyle w:val="Heading4"/>
      </w:pPr>
      <w:r>
        <w:t>Christ le Seigneur (</w:t>
      </w:r>
      <w:hyperlink r:id="rId9746">
        <w:r>
          <w:rPr>
            <w:color w:val="0000EE"/>
            <w:u w:val="single"/>
          </w:rPr>
          <w:t>11.1–12.50</w:t>
        </w:r>
      </w:hyperlink>
      <w:r>
        <w:t>)</w:t>
      </w:r>
    </w:p>
    <w:p>
      <w:r/>
      <w:r>
        <w:t>Le jugement prédit par Jean a déjà commencé. En effet, la destinée de chacun lors du jugement dernier sera déterminée par sa réponse aux paroles et aux œuvres de Jésus (</w:t>
      </w:r>
      <w:hyperlink r:id="rId9747">
        <w:r>
          <w:rPr>
            <w:color w:val="0000EE"/>
            <w:u w:val="single"/>
          </w:rPr>
          <w:t>11.2–6</w:t>
        </w:r>
      </w:hyperlink>
      <w:r>
        <w:t xml:space="preserve">). Comme son précurseur, Jésus rencontre beaucoup d'hostilité et d'indifférence (v. </w:t>
      </w:r>
      <w:hyperlink r:id="rId9748">
        <w:r>
          <w:rPr>
            <w:color w:val="0000EE"/>
            <w:u w:val="single"/>
          </w:rPr>
          <w:t>7–19</w:t>
        </w:r>
      </w:hyperlink>
      <w:r>
        <w:t xml:space="preserve">). Le caractère ultime de la grâce qui accompagne son ministère fait que le jugement de ceux qui le rejettent sera d'autant plus sévère (v. </w:t>
      </w:r>
      <w:hyperlink r:id="rId4717">
        <w:r>
          <w:rPr>
            <w:color w:val="0000EE"/>
            <w:u w:val="single"/>
          </w:rPr>
          <w:t>20–24</w:t>
        </w:r>
      </w:hyperlink>
      <w:r>
        <w:t xml:space="preserve">). Pourtant, tous ne sont pas ainsi. Il y a les humbles, les accablés, ceux qui veulent être enseignés et qui apprennent ce que Dieu le Père et de Dieu le Fils leur révèlent. Ces personnes-là comprennent que le « Seigneur du ciel et de la terre » est aussi le Dieu « doux et humble » qui donne du repos à ceux qui se confient en lui (v. </w:t>
      </w:r>
      <w:hyperlink r:id="rId9749">
        <w:r>
          <w:rPr>
            <w:color w:val="0000EE"/>
            <w:u w:val="single"/>
          </w:rPr>
          <w:t>25–30</w:t>
        </w:r>
      </w:hyperlink>
      <w:r>
        <w:t>). Jésus est celui qui inaugure le nouvel âge (</w:t>
      </w:r>
      <w:hyperlink r:id="rId9750">
        <w:r>
          <w:rPr>
            <w:color w:val="0000EE"/>
            <w:u w:val="single"/>
          </w:rPr>
          <w:t>12.6</w:t>
        </w:r>
      </w:hyperlink>
      <w:r>
        <w:t xml:space="preserve">). Il se déclare aussi comme le Seigneur du sabbat (v. </w:t>
      </w:r>
      <w:hyperlink r:id="rId9751">
        <w:r>
          <w:rPr>
            <w:color w:val="0000EE"/>
            <w:u w:val="single"/>
          </w:rPr>
          <w:t>1–8</w:t>
        </w:r>
      </w:hyperlink>
      <w:r>
        <w:t>). Le repos véritable appartient à ceux qui viennent à lui (</w:t>
      </w:r>
      <w:hyperlink r:id="rId670">
        <w:r>
          <w:rPr>
            <w:color w:val="0000EE"/>
            <w:u w:val="single"/>
          </w:rPr>
          <w:t>11.29</w:t>
        </w:r>
      </w:hyperlink>
      <w:r>
        <w:t>).</w:t>
      </w:r>
    </w:p>
    <w:p>
      <w:r/>
      <w:r>
        <w:t>Cependant, les pharisiens le perçoivent comme quelqu'un qui détruit le sabbat, et attribuent ses pouvoirs miraculeux à Satan (</w:t>
      </w:r>
      <w:hyperlink r:id="rId9752">
        <w:r>
          <w:rPr>
            <w:color w:val="0000EE"/>
            <w:u w:val="single"/>
          </w:rPr>
          <w:t>12.22–24</w:t>
        </w:r>
      </w:hyperlink>
      <w:r>
        <w:t xml:space="preserve">). Jésus leur répond que le règne qu'il inaugure écrase au contraire l'empire de Satan (v. </w:t>
      </w:r>
      <w:hyperlink r:id="rId9753">
        <w:r>
          <w:rPr>
            <w:color w:val="0000EE"/>
            <w:u w:val="single"/>
          </w:rPr>
          <w:t>25–29</w:t>
        </w:r>
      </w:hyperlink>
      <w:r>
        <w:t xml:space="preserve">). Rejeter cette vérité en pleine conscience de ce que l'on fait, c'est commettre le péché impardonnable contre le Saint-Esprit (v. </w:t>
      </w:r>
      <w:hyperlink r:id="rId9754">
        <w:r>
          <w:rPr>
            <w:color w:val="0000EE"/>
            <w:u w:val="single"/>
          </w:rPr>
          <w:t>30–32</w:t>
        </w:r>
      </w:hyperlink>
      <w:r>
        <w:t xml:space="preserve">). Les paroles des accusateurs de Jésus trahissent le fait que ce sont des personnes destinées à la condamnation (v. </w:t>
      </w:r>
      <w:hyperlink r:id="rId2816">
        <w:r>
          <w:rPr>
            <w:color w:val="0000EE"/>
            <w:u w:val="single"/>
          </w:rPr>
          <w:t>33–37</w:t>
        </w:r>
      </w:hyperlink>
      <w:r>
        <w:t>). Le signe qu'ils demandent du ciel ne leur sera pas donné. La résurrection de Jésus est le seul signe dont ils ont besoin.</w:t>
      </w:r>
    </w:p>
    <w:p>
      <w:pPr>
        <w:pStyle w:val="Heading4"/>
      </w:pPr>
      <w:r>
        <w:t>Les paraboles du Royaume (</w:t>
      </w:r>
      <w:hyperlink r:id="rId8698">
        <w:r>
          <w:rPr>
            <w:color w:val="0000EE"/>
            <w:u w:val="single"/>
          </w:rPr>
          <w:t>13.1–58</w:t>
        </w:r>
      </w:hyperlink>
      <w:r>
        <w:t>)</w:t>
      </w:r>
    </w:p>
    <w:p>
      <w:r/>
      <w:r>
        <w:t>Le troisième des cinq grands discours de Matthieu contient sept paraboles. Dans la parabole du semeur, il y a quatre types de sol : dur, peu profond, encombré et fertile. Ces sols illustrent différentes façons de répondre au message de Jésus (</w:t>
      </w:r>
      <w:hyperlink r:id="rId9755">
        <w:r>
          <w:rPr>
            <w:color w:val="0000EE"/>
            <w:u w:val="single"/>
          </w:rPr>
          <w:t>13.3–9, 18–23</w:t>
        </w:r>
      </w:hyperlink>
      <w:r>
        <w:t>). Les disciples ayant accueilli la proclamation du royaume de Jésus (</w:t>
      </w:r>
      <w:hyperlink r:id="rId9691">
        <w:r>
          <w:rPr>
            <w:color w:val="0000EE"/>
            <w:u w:val="single"/>
          </w:rPr>
          <w:t>4.17</w:t>
        </w:r>
      </w:hyperlink>
      <w:r>
        <w:t>) reçoivent plus de lumière, mais les foules doivent accepter cette proclamation initiale avant que plus de lumière ne leur soit donnée (</w:t>
      </w:r>
      <w:hyperlink r:id="rId9756">
        <w:r>
          <w:rPr>
            <w:color w:val="0000EE"/>
            <w:u w:val="single"/>
          </w:rPr>
          <w:t>13.10–17, 34–35</w:t>
        </w:r>
      </w:hyperlink>
      <w:r>
        <w:t xml:space="preserve">). Dans la parabole de l'ivraie (v. </w:t>
      </w:r>
      <w:hyperlink r:id="rId9757">
        <w:r>
          <w:rPr>
            <w:color w:val="0000EE"/>
            <w:u w:val="single"/>
          </w:rPr>
          <w:t>24–30, 36–43</w:t>
        </w:r>
      </w:hyperlink>
      <w:r>
        <w:t xml:space="preserve">) et la parabole du filet (v. </w:t>
      </w:r>
      <w:hyperlink r:id="rId9758">
        <w:r>
          <w:rPr>
            <w:color w:val="0000EE"/>
            <w:u w:val="single"/>
          </w:rPr>
          <w:t>47–50</w:t>
        </w:r>
      </w:hyperlink>
      <w:r>
        <w:t xml:space="preserve">), Jésus assure à ses disciples que le jugement final séparera les vrais croyants des faux, et met en garde contre les jugements hâtifs et prématurés (voir </w:t>
      </w:r>
      <w:hyperlink r:id="rId9759">
        <w:r>
          <w:rPr>
            <w:color w:val="0000EE"/>
            <w:u w:val="single"/>
          </w:rPr>
          <w:t>7.1–5</w:t>
        </w:r>
      </w:hyperlink>
      <w:r>
        <w:t>). Les paraboles de la graine de moutarde et du levain (</w:t>
      </w:r>
      <w:hyperlink r:id="rId9760">
        <w:r>
          <w:rPr>
            <w:color w:val="0000EE"/>
            <w:u w:val="single"/>
          </w:rPr>
          <w:t>13.31–33</w:t>
        </w:r>
      </w:hyperlink>
      <w:r>
        <w:t xml:space="preserve">) établissent un contraste entre les petits débuts de l'inauguration du royaume et la future plénitude de son accomplissement. Les paraboles du trésor caché et de la perle (v. </w:t>
      </w:r>
      <w:hyperlink r:id="rId8383">
        <w:r>
          <w:rPr>
            <w:color w:val="0000EE"/>
            <w:u w:val="single"/>
          </w:rPr>
          <w:t>44–46</w:t>
        </w:r>
      </w:hyperlink>
      <w:r>
        <w:t xml:space="preserve">) enseignent que trouver le royaume de Dieu a plus de valeur que quoique ce soit d'autre (voir </w:t>
      </w:r>
      <w:hyperlink r:id="rId3781">
        <w:r>
          <w:rPr>
            <w:color w:val="0000EE"/>
            <w:u w:val="single"/>
          </w:rPr>
          <w:t>6.33</w:t>
        </w:r>
      </w:hyperlink>
      <w:r>
        <w:t>). Dans l'enseignement de Jésus, les disciples trouvent de nouveaux trésors qui s'ajoutent aux anciens (</w:t>
      </w:r>
      <w:hyperlink r:id="rId9761">
        <w:r>
          <w:rPr>
            <w:color w:val="0000EE"/>
            <w:u w:val="single"/>
          </w:rPr>
          <w:t>13.51–52</w:t>
        </w:r>
      </w:hyperlink>
      <w:r>
        <w:t xml:space="preserve">). Par contre, les habitants de Nazareth se font l'écho du manque de perception spirituelle des foules et de l'hostilité des pharisiens (v. </w:t>
      </w:r>
      <w:hyperlink r:id="rId9762">
        <w:r>
          <w:rPr>
            <w:color w:val="0000EE"/>
            <w:u w:val="single"/>
          </w:rPr>
          <w:t>53–58</w:t>
        </w:r>
      </w:hyperlink>
      <w:r>
        <w:t>).</w:t>
      </w:r>
    </w:p>
    <w:p>
      <w:pPr>
        <w:pStyle w:val="Heading4"/>
      </w:pPr>
      <w:r>
        <w:t>Conflit spirituel (</w:t>
      </w:r>
      <w:hyperlink r:id="rId9763">
        <w:r>
          <w:rPr>
            <w:color w:val="0000EE"/>
            <w:u w:val="single"/>
          </w:rPr>
          <w:t>14.1–16.12</w:t>
        </w:r>
      </w:hyperlink>
      <w:r>
        <w:t>)</w:t>
      </w:r>
    </w:p>
    <w:p>
      <w:r/>
      <w:r>
        <w:t xml:space="preserve">Dans </w:t>
      </w:r>
      <w:hyperlink r:id="rId9354">
        <w:r>
          <w:rPr>
            <w:color w:val="0000EE"/>
            <w:u w:val="single"/>
          </w:rPr>
          <w:t>14.1–12</w:t>
        </w:r>
      </w:hyperlink>
      <w:r>
        <w:t xml:space="preserve">, le message de Jean met la faiblesse d'Hérode au grand jour. La décapitation de Jean anticipe la crucifixion de Jésus (voir </w:t>
      </w:r>
      <w:hyperlink r:id="rId5713">
        <w:r>
          <w:rPr>
            <w:color w:val="0000EE"/>
            <w:u w:val="single"/>
          </w:rPr>
          <w:t>17.12</w:t>
        </w:r>
      </w:hyperlink>
      <w:r>
        <w:t>). Le vrai roi n'est pas Hérode, mais Jésus. Sa souveraineté s'étend même sur la nature (</w:t>
      </w:r>
      <w:hyperlink r:id="rId9764">
        <w:r>
          <w:rPr>
            <w:color w:val="0000EE"/>
            <w:u w:val="single"/>
          </w:rPr>
          <w:t>14.13–36</w:t>
        </w:r>
      </w:hyperlink>
      <w:r>
        <w:t xml:space="preserve">). Il est Dieu incarné, « Dieu avec nous », qui nourrit une multitude affamée dans le désert comme Dieu avait autrefois pourvu de la manne, et qui marche sur la mer et calme les vents impétueux (voir </w:t>
      </w:r>
      <w:hyperlink r:id="rId9765">
        <w:r>
          <w:rPr>
            <w:color w:val="0000EE"/>
            <w:u w:val="single"/>
          </w:rPr>
          <w:t>Ps 89.9</w:t>
        </w:r>
      </w:hyperlink>
      <w:r>
        <w:t>). Pierre est un exemple à la fois de foi, de peur et de la dépendance totale des chrétiens par rapport à Jésus (</w:t>
      </w:r>
      <w:hyperlink r:id="rId9766">
        <w:r>
          <w:rPr>
            <w:color w:val="0000EE"/>
            <w:u w:val="single"/>
          </w:rPr>
          <w:t>Mt 14.28–31</w:t>
        </w:r>
      </w:hyperlink>
      <w:r>
        <w:t xml:space="preserve">). Les pharisiens et les docteurs de la loi adorent Dieu en apparence mais sont en réalité dévoués à leurs propres traditions, qu'ils enseignent non pas comme compléments, mais comme </w:t>
      </w:r>
      <w:r>
        <w:rPr>
          <w:i/>
        </w:rPr>
        <w:t>substituts</w:t>
      </w:r>
      <w:r>
        <w:t xml:space="preserve"> à la Parole de Dieu (</w:t>
      </w:r>
      <w:hyperlink r:id="rId9767">
        <w:r>
          <w:rPr>
            <w:color w:val="0000EE"/>
            <w:u w:val="single"/>
          </w:rPr>
          <w:t>15.1–9</w:t>
        </w:r>
      </w:hyperlink>
      <w:r>
        <w:t xml:space="preserve">). Aux versets </w:t>
      </w:r>
      <w:hyperlink r:id="rId9768">
        <w:r>
          <w:rPr>
            <w:color w:val="0000EE"/>
            <w:u w:val="single"/>
          </w:rPr>
          <w:t>10 à 20</w:t>
        </w:r>
      </w:hyperlink>
      <w:r>
        <w:t>, Jésus enseigne que la loi cérémonielle, quand elle est séparée de la loi morale, devient un rituel vain. L'ancienne distinction entre aliments purs et impurs (</w:t>
      </w:r>
      <w:hyperlink r:id="rId9118">
        <w:r>
          <w:rPr>
            <w:color w:val="0000EE"/>
            <w:u w:val="single"/>
          </w:rPr>
          <w:t>Lv 11</w:t>
        </w:r>
      </w:hyperlink>
      <w:r>
        <w:t>) est désormais aussi obsolète que la distinction entre Juifs et Gentils. Pour souligner ce point, Jésus se rend en territoire païen, y guérit une Cananéenne (</w:t>
      </w:r>
      <w:hyperlink r:id="rId9769">
        <w:r>
          <w:rPr>
            <w:color w:val="0000EE"/>
            <w:u w:val="single"/>
          </w:rPr>
          <w:t>15.21–28</w:t>
        </w:r>
      </w:hyperlink>
      <w:r>
        <w:t xml:space="preserve">) et nourrit une multitude de Gentils (v. </w:t>
      </w:r>
      <w:hyperlink r:id="rId9770">
        <w:r>
          <w:rPr>
            <w:color w:val="0000EE"/>
            <w:u w:val="single"/>
          </w:rPr>
          <w:t>29–39</w:t>
        </w:r>
      </w:hyperlink>
      <w:r>
        <w:t>). Pharisiens et Sadducéens, malgré toutes leurs différences, s'unissent pour s'opposer à Jésus (</w:t>
      </w:r>
      <w:hyperlink r:id="rId9771">
        <w:r>
          <w:rPr>
            <w:color w:val="0000EE"/>
            <w:u w:val="single"/>
          </w:rPr>
          <w:t>16.1–12</w:t>
        </w:r>
      </w:hyperlink>
      <w:r>
        <w:t>).</w:t>
      </w:r>
    </w:p>
    <w:p>
      <w:pPr>
        <w:pStyle w:val="Heading4"/>
      </w:pPr>
      <w:r>
        <w:t>Le salut à venir (</w:t>
      </w:r>
      <w:hyperlink r:id="rId9772">
        <w:r>
          <w:rPr>
            <w:color w:val="0000EE"/>
            <w:u w:val="single"/>
          </w:rPr>
          <w:t>16.13–17.27</w:t>
        </w:r>
      </w:hyperlink>
      <w:r>
        <w:t>)</w:t>
      </w:r>
    </w:p>
    <w:p>
      <w:r/>
      <w:r>
        <w:t>Les foules ont certes du respect pour Jésus mais ne comprennent pas vraiment tout ce qu'il est. C'est Pierre qui déclare sa foi que Jésus est « le Christ, le Fils du Dieu vivant ». Cette capacité à reconnaitre la divinité de Jésus lui a été accordée par Dieu (</w:t>
      </w:r>
      <w:hyperlink r:id="rId9773">
        <w:r>
          <w:rPr>
            <w:color w:val="0000EE"/>
            <w:u w:val="single"/>
          </w:rPr>
          <w:t>16.13–17</w:t>
        </w:r>
      </w:hyperlink>
      <w:r>
        <w:t xml:space="preserve"> ; voir </w:t>
      </w:r>
      <w:hyperlink r:id="rId9774">
        <w:r>
          <w:rPr>
            <w:color w:val="0000EE"/>
            <w:u w:val="single"/>
          </w:rPr>
          <w:t>11.25–26</w:t>
        </w:r>
      </w:hyperlink>
      <w:r>
        <w:t>). Puisque c'est Dieu le Fils à qui appartient l'Église et qui la bâtit, Satan et la mort sont perdants plutôt que vainqueurs. Jésus bâtira son Église sur cette confession de Pierre que Jésus est le Christ, le Fils du Dieu vivant. L'interdiction et l'attribution dans l'Église (« lier » et « délier », respectivement) dépendent du ciel (c'est-à-dire de la révélation divine à travers l'enseignement apostolique). Face à la confession de Pierre et à la persistance de fausses idées sur ce que son rôle de Messie implique (</w:t>
      </w:r>
      <w:hyperlink r:id="rId9775">
        <w:r>
          <w:rPr>
            <w:color w:val="0000EE"/>
            <w:u w:val="single"/>
          </w:rPr>
          <w:t>16.20, 23</w:t>
        </w:r>
      </w:hyperlink>
      <w:r>
        <w:t xml:space="preserve">), Jésus prédit pour la première fois ses souffrances et sa gloire à venir (v. </w:t>
      </w:r>
      <w:hyperlink r:id="rId9776">
        <w:r>
          <w:rPr>
            <w:color w:val="0000EE"/>
            <w:u w:val="single"/>
          </w:rPr>
          <w:t>21–28</w:t>
        </w:r>
      </w:hyperlink>
      <w:r>
        <w:t>). Pour donner un avant-goût de cette gloire, il est transfiguré devant plusieurs de ses disciples. Moïse, Élie et Dieu le Père lui-même apportent leurs témoignages à la splendeur unique de Dieu le Fils (</w:t>
      </w:r>
      <w:hyperlink r:id="rId8623">
        <w:r>
          <w:rPr>
            <w:color w:val="0000EE"/>
            <w:u w:val="single"/>
          </w:rPr>
          <w:t>17.1–8</w:t>
        </w:r>
      </w:hyperlink>
      <w:r>
        <w:t xml:space="preserve">). Jésus démontre ensuite son pouvoir en combattant les puissances démoniaques (v. </w:t>
      </w:r>
      <w:hyperlink r:id="rId4851">
        <w:r>
          <w:rPr>
            <w:color w:val="0000EE"/>
            <w:u w:val="single"/>
          </w:rPr>
          <w:t>14–18</w:t>
        </w:r>
      </w:hyperlink>
      <w:r>
        <w:t xml:space="preserve">) et montre son autorité en choisissant de payer la taxe du Temple par un moyen miraculeux (v. </w:t>
      </w:r>
      <w:hyperlink r:id="rId9777">
        <w:r>
          <w:rPr>
            <w:color w:val="0000EE"/>
            <w:u w:val="single"/>
          </w:rPr>
          <w:t>24–27</w:t>
        </w:r>
      </w:hyperlink>
      <w:r>
        <w:t>).</w:t>
      </w:r>
    </w:p>
    <w:p>
      <w:pPr>
        <w:pStyle w:val="Heading4"/>
      </w:pPr>
      <w:r>
        <w:t>La grandeur dans le Royaume (</w:t>
      </w:r>
      <w:hyperlink r:id="rId9688">
        <w:r>
          <w:rPr>
            <w:color w:val="0000EE"/>
            <w:u w:val="single"/>
          </w:rPr>
          <w:t>18.1–35</w:t>
        </w:r>
      </w:hyperlink>
      <w:r>
        <w:t>)</w:t>
      </w:r>
    </w:p>
    <w:p>
      <w:r/>
      <w:r>
        <w:t xml:space="preserve">Dans ce quatrième des cinq grands discours de Jésus dans Matthieu, Jésus concentre son enseignement sur le caractère et les attitudes de ceux qui font partie de l'Église. Il appelle ses disciples à </w:t>
      </w:r>
      <w:r>
        <w:rPr>
          <w:i/>
        </w:rPr>
        <w:t>devenir</w:t>
      </w:r>
      <w:r>
        <w:t xml:space="preserve"> les plus humbles et à </w:t>
      </w:r>
      <w:r>
        <w:rPr>
          <w:i/>
        </w:rPr>
        <w:t>accueillir</w:t>
      </w:r>
      <w:r>
        <w:t xml:space="preserve"> ceux qui le sont (</w:t>
      </w:r>
      <w:hyperlink r:id="rId9778">
        <w:r>
          <w:rPr>
            <w:color w:val="0000EE"/>
            <w:u w:val="single"/>
          </w:rPr>
          <w:t>18.1–5</w:t>
        </w:r>
      </w:hyperlink>
      <w:r>
        <w:t xml:space="preserve">). Ceux qui dirigent sont particulièrement exhortés à être exigeants envers eux-mêmes mais indulgents avec ceux dont ils ont la charge (v. </w:t>
      </w:r>
      <w:hyperlink r:id="rId9779">
        <w:r>
          <w:rPr>
            <w:color w:val="0000EE"/>
            <w:u w:val="single"/>
          </w:rPr>
          <w:t>6–9</w:t>
        </w:r>
      </w:hyperlink>
      <w:r>
        <w:t xml:space="preserve">). Les chrétiens doivent se souvenir de l'amour du Père pour les pécheurs et faire tous les efforts possibles (tant par la prière que par l'initiative personnelle) pour relever les frères qui ont chuté. L'excommunication vient en dernier recours (v. </w:t>
      </w:r>
      <w:hyperlink r:id="rId9780">
        <w:r>
          <w:rPr>
            <w:color w:val="0000EE"/>
            <w:u w:val="single"/>
          </w:rPr>
          <w:t>10–20</w:t>
        </w:r>
      </w:hyperlink>
      <w:r>
        <w:t xml:space="preserve">). Les membres de l'Église qui comprennent vraiment la grâce incroyable du Père ne cesseront jamais d'offrir le pardon et faire preuve de compassion envers ceux qui leur font du tort (v. </w:t>
      </w:r>
      <w:hyperlink r:id="rId9781">
        <w:r>
          <w:rPr>
            <w:color w:val="0000EE"/>
            <w:u w:val="single"/>
          </w:rPr>
          <w:t>21–35</w:t>
        </w:r>
      </w:hyperlink>
      <w:r>
        <w:t>).</w:t>
      </w:r>
    </w:p>
    <w:p>
      <w:pPr>
        <w:pStyle w:val="Heading4"/>
      </w:pPr>
      <w:r>
        <w:t>Instructions en chemin pour Jérusalem (</w:t>
      </w:r>
      <w:hyperlink r:id="rId9782">
        <w:r>
          <w:rPr>
            <w:color w:val="0000EE"/>
            <w:u w:val="single"/>
          </w:rPr>
          <w:t>19.1–20.34</w:t>
        </w:r>
      </w:hyperlink>
      <w:r>
        <w:t>)</w:t>
      </w:r>
    </w:p>
    <w:p>
      <w:r/>
      <w:r>
        <w:t xml:space="preserve">L'enseignement de Jésus est que conformément aux ordonnances de Dieu lors de la création, le divorce est seulement </w:t>
      </w:r>
      <w:r>
        <w:rPr>
          <w:i/>
        </w:rPr>
        <w:t>permis</w:t>
      </w:r>
      <w:r>
        <w:t xml:space="preserve"> en cas de péché, c'est-à-dire lorsque le lien conjugal a déjà été rompu par l'infidélité (</w:t>
      </w:r>
      <w:hyperlink r:id="rId3052">
        <w:r>
          <w:rPr>
            <w:color w:val="0000EE"/>
            <w:u w:val="single"/>
          </w:rPr>
          <w:t>19.1–9</w:t>
        </w:r>
      </w:hyperlink>
      <w:r>
        <w:t xml:space="preserve">). Comme dans </w:t>
      </w:r>
      <w:hyperlink r:id="rId4246">
        <w:r>
          <w:rPr>
            <w:color w:val="0000EE"/>
            <w:u w:val="single"/>
          </w:rPr>
          <w:t>5.17–48</w:t>
        </w:r>
      </w:hyperlink>
      <w:r>
        <w:t>, Jésus appelle ses disciples à lui obéir radicalement (</w:t>
      </w:r>
      <w:hyperlink r:id="rId9783">
        <w:r>
          <w:rPr>
            <w:color w:val="0000EE"/>
            <w:u w:val="single"/>
          </w:rPr>
          <w:t>19.10–12</w:t>
        </w:r>
      </w:hyperlink>
      <w:r>
        <w:t>). En plus d'instruire les disciples à devenir comme des enfants (</w:t>
      </w:r>
      <w:hyperlink r:id="rId9784">
        <w:r>
          <w:rPr>
            <w:color w:val="0000EE"/>
            <w:u w:val="single"/>
          </w:rPr>
          <w:t>18.1–4</w:t>
        </w:r>
      </w:hyperlink>
      <w:r>
        <w:t>), Jésus lui-même accueille les enfants avec amour (</w:t>
      </w:r>
      <w:hyperlink r:id="rId9785">
        <w:r>
          <w:rPr>
            <w:color w:val="0000EE"/>
            <w:u w:val="single"/>
          </w:rPr>
          <w:t>19.13–15</w:t>
        </w:r>
      </w:hyperlink>
      <w:r>
        <w:t xml:space="preserve">). Il appelle aussi un jeune homme riche (v. </w:t>
      </w:r>
      <w:hyperlink r:id="rId9786">
        <w:r>
          <w:rPr>
            <w:color w:val="0000EE"/>
            <w:u w:val="single"/>
          </w:rPr>
          <w:t>16–22</w:t>
        </w:r>
      </w:hyperlink>
      <w:r>
        <w:t xml:space="preserve">) ; mais ce dernier, bien que fidèle aux commandements concernant l'amour du prochain, est trop attaché à ses richesses pour aimer Dieu sans réserve. Pourtant, ceux qui abandonnent tout pour suivre Jésus recevront une richesse incommensurable dans le royaume à venir (v. </w:t>
      </w:r>
      <w:hyperlink r:id="rId9787">
        <w:r>
          <w:rPr>
            <w:color w:val="0000EE"/>
            <w:u w:val="single"/>
          </w:rPr>
          <w:t>27–30</w:t>
        </w:r>
      </w:hyperlink>
      <w:r>
        <w:t>). Ces bénédictions ne reposent pas sur le mérite de chacun mais sont le fait de l'incroyable générosité et de la grâce de Dieu (</w:t>
      </w:r>
      <w:hyperlink r:id="rId8371">
        <w:r>
          <w:rPr>
            <w:color w:val="0000EE"/>
            <w:u w:val="single"/>
          </w:rPr>
          <w:t>20.1–16</w:t>
        </w:r>
      </w:hyperlink>
      <w:r>
        <w:t xml:space="preserve">). Personne, même le riche pour qui il est tant difficile d'entrer dans le royaume de Dieu, est au-delà du pouvoir de sa grâce. Mais Dieu rend le salut gratuit à grand prix pour lui-même (v. </w:t>
      </w:r>
      <w:hyperlink r:id="rId9788">
        <w:r>
          <w:rPr>
            <w:color w:val="0000EE"/>
            <w:u w:val="single"/>
          </w:rPr>
          <w:t>17–19</w:t>
        </w:r>
      </w:hyperlink>
      <w:r>
        <w:t xml:space="preserve">). Jésus reprend ses disciples pour leur esprit de compétition et d'ambition personnelle et leur enseigne que la véritable grandeur n'est pas de dominer les autres mais de les servir (v. </w:t>
      </w:r>
      <w:hyperlink r:id="rId9789">
        <w:r>
          <w:rPr>
            <w:color w:val="0000EE"/>
            <w:u w:val="single"/>
          </w:rPr>
          <w:t>20–34</w:t>
        </w:r>
      </w:hyperlink>
      <w:r>
        <w:t xml:space="preserve">). Il en fera la plus grande démonstration en donnant sa propre vie comme « rançon pour beaucoup » (v. </w:t>
      </w:r>
      <w:hyperlink r:id="rId653">
        <w:r>
          <w:rPr>
            <w:color w:val="0000EE"/>
            <w:u w:val="single"/>
          </w:rPr>
          <w:t>28</w:t>
        </w:r>
      </w:hyperlink>
      <w:r>
        <w:t>, Segond 21).</w:t>
      </w:r>
    </w:p>
    <w:p>
      <w:pPr>
        <w:pStyle w:val="Heading4"/>
      </w:pPr>
      <w:r>
        <w:t>Confrontations à Jérusalem (</w:t>
      </w:r>
      <w:hyperlink r:id="rId9790">
        <w:r>
          <w:rPr>
            <w:color w:val="0000EE"/>
            <w:u w:val="single"/>
          </w:rPr>
          <w:t>21.1–22.46</w:t>
        </w:r>
      </w:hyperlink>
      <w:r>
        <w:t>)</w:t>
      </w:r>
    </w:p>
    <w:p>
      <w:r/>
      <w:r>
        <w:t xml:space="preserve">Jésus entre à Jérusalem comme roi-serviteur (voir </w:t>
      </w:r>
      <w:hyperlink r:id="rId9791">
        <w:r>
          <w:rPr>
            <w:color w:val="0000EE"/>
            <w:u w:val="single"/>
          </w:rPr>
          <w:t>3.17</w:t>
        </w:r>
      </w:hyperlink>
      <w:r>
        <w:t xml:space="preserve">) et Messie destiné à souffrir (voir </w:t>
      </w:r>
      <w:hyperlink r:id="rId9792">
        <w:r>
          <w:rPr>
            <w:color w:val="0000EE"/>
            <w:u w:val="single"/>
          </w:rPr>
          <w:t xml:space="preserve">16.16–21 </w:t>
        </w:r>
      </w:hyperlink>
      <w:r>
        <w:t xml:space="preserve">; </w:t>
      </w:r>
      <w:hyperlink r:id="rId653">
        <w:r>
          <w:rPr>
            <w:color w:val="0000EE"/>
            <w:u w:val="single"/>
          </w:rPr>
          <w:t>20.28</w:t>
        </w:r>
      </w:hyperlink>
      <w:r>
        <w:t>). Il ne monte pas un cheval de guerre mais le petit d'une ânesse, car il ne vient pas déclarer la guerre à ses ennemis mais se livrer à eux et ainsi triompher par ce qui pourrait paraître une défaite (</w:t>
      </w:r>
      <w:hyperlink r:id="rId9793">
        <w:r>
          <w:rPr>
            <w:color w:val="0000EE"/>
            <w:u w:val="single"/>
          </w:rPr>
          <w:t>21.1–11</w:t>
        </w:r>
      </w:hyperlink>
      <w:r>
        <w:t>). Puisqu'il est le Seigneur du Temple, il exige que tout commerce y cesse et qu'il redevienne, comme Dieu l'a ordonné, un lieu de culte pour tous, y compris les malades, les enfants et les étrangers (</w:t>
      </w:r>
      <w:hyperlink r:id="rId9794">
        <w:r>
          <w:rPr>
            <w:color w:val="0000EE"/>
            <w:u w:val="single"/>
          </w:rPr>
          <w:t xml:space="preserve">21.12–17 </w:t>
        </w:r>
      </w:hyperlink>
      <w:r>
        <w:t xml:space="preserve">; voir </w:t>
      </w:r>
      <w:hyperlink r:id="rId9466">
        <w:r>
          <w:rPr>
            <w:color w:val="0000EE"/>
            <w:u w:val="single"/>
          </w:rPr>
          <w:t>Mc 11.17</w:t>
        </w:r>
      </w:hyperlink>
      <w:r>
        <w:t>). Il déroute ceux qui refusent de reconnaître l'origine céleste de son autorité et de celle de Jean (</w:t>
      </w:r>
      <w:hyperlink r:id="rId9795">
        <w:r>
          <w:rPr>
            <w:color w:val="0000EE"/>
            <w:u w:val="single"/>
          </w:rPr>
          <w:t>Mt 21.23–27</w:t>
        </w:r>
      </w:hyperlink>
      <w:r>
        <w:t xml:space="preserve">). Jésus prononce un jugement sur les Juifs qui refusent de le reconnaître comme Messie et Fils de Dieu par des actions et des paroles dramatiques et accablantes. En effet, il maudit tout d'abord le figuier (v. </w:t>
      </w:r>
      <w:hyperlink r:id="rId9796">
        <w:r>
          <w:rPr>
            <w:color w:val="0000EE"/>
            <w:u w:val="single"/>
          </w:rPr>
          <w:t>18–22</w:t>
        </w:r>
      </w:hyperlink>
      <w:r>
        <w:t>) puis prononce trois paraboles contre ceux qui le rejettent (</w:t>
      </w:r>
      <w:hyperlink r:id="rId9797">
        <w:r>
          <w:rPr>
            <w:color w:val="0000EE"/>
            <w:u w:val="single"/>
          </w:rPr>
          <w:t>21.28–22.14</w:t>
        </w:r>
      </w:hyperlink>
      <w:r>
        <w:t xml:space="preserve">). </w:t>
      </w:r>
    </w:p>
    <w:p>
      <w:r/>
      <w:r>
        <w:t>Désormais, le véritable peuple de Dieu est celui qui croit en Jésus, que ce peuple soit juif ou gentil. Jésus appelle son peuple à prêter son allégeance suprême à Dieu. À la résurrection, ce qui comptera le plus sera la relation de chacun à Dieu (</w:t>
      </w:r>
      <w:hyperlink r:id="rId9798">
        <w:r>
          <w:rPr>
            <w:color w:val="0000EE"/>
            <w:u w:val="single"/>
          </w:rPr>
          <w:t>22.23–33</w:t>
        </w:r>
      </w:hyperlink>
      <w:r>
        <w:t xml:space="preserve">). En effet, celui qui aime Dieu de tout son être et son prochain comme lui-même a respecté les deux commandements fondamentaux de l'AT (v. </w:t>
      </w:r>
      <w:hyperlink r:id="rId9799">
        <w:r>
          <w:rPr>
            <w:color w:val="0000EE"/>
            <w:u w:val="single"/>
          </w:rPr>
          <w:t>34–40</w:t>
        </w:r>
      </w:hyperlink>
      <w:r>
        <w:t>). Désormais, nul ne peut être obéissant à Dieu qui ne veut pas croire en Jésus et reconnaître qui il est véritablement. Il est certes le fils de David (</w:t>
      </w:r>
      <w:hyperlink r:id="rId573">
        <w:r>
          <w:rPr>
            <w:color w:val="0000EE"/>
            <w:u w:val="single"/>
          </w:rPr>
          <w:t>Mt 1.1</w:t>
        </w:r>
      </w:hyperlink>
      <w:r>
        <w:t>), mais plus encore, il est le Seigneur de David, le Fils exalté de Dieu (</w:t>
      </w:r>
      <w:hyperlink r:id="rId9800">
        <w:r>
          <w:rPr>
            <w:color w:val="0000EE"/>
            <w:u w:val="single"/>
          </w:rPr>
          <w:t xml:space="preserve">22.41–46 </w:t>
        </w:r>
      </w:hyperlink>
      <w:r>
        <w:t xml:space="preserve">; voir </w:t>
      </w:r>
      <w:hyperlink r:id="rId2513">
        <w:r>
          <w:rPr>
            <w:color w:val="0000EE"/>
            <w:u w:val="single"/>
          </w:rPr>
          <w:t>16.16</w:t>
        </w:r>
      </w:hyperlink>
      <w:r>
        <w:t>).</w:t>
      </w:r>
    </w:p>
    <w:p>
      <w:pPr>
        <w:pStyle w:val="Heading4"/>
      </w:pPr>
      <w:r>
        <w:t>Malheurs aux scribes et aux pharisiens (</w:t>
      </w:r>
      <w:hyperlink r:id="rId9801">
        <w:r>
          <w:rPr>
            <w:color w:val="0000EE"/>
            <w:u w:val="single"/>
          </w:rPr>
          <w:t>23.1–39</w:t>
        </w:r>
      </w:hyperlink>
      <w:r>
        <w:t>)</w:t>
      </w:r>
    </w:p>
    <w:p>
      <w:r/>
      <w:r>
        <w:t>Dans cette section, Jésus dénonce les chefs religieux juifs pour cinq raisons. La première est que ce sont des hypocrites : leurs actions sont contraires à ce qu'ils enseignent (</w:t>
      </w:r>
      <w:hyperlink r:id="rId9802">
        <w:r>
          <w:rPr>
            <w:color w:val="0000EE"/>
            <w:u w:val="single"/>
          </w:rPr>
          <w:t>23.1–4</w:t>
        </w:r>
      </w:hyperlink>
      <w:r>
        <w:t xml:space="preserve">). Leur pureté extérieure masque leur pourriture intérieure (v. </w:t>
      </w:r>
      <w:hyperlink r:id="rId8890">
        <w:r>
          <w:rPr>
            <w:color w:val="0000EE"/>
            <w:u w:val="single"/>
          </w:rPr>
          <w:t>25–28</w:t>
        </w:r>
      </w:hyperlink>
      <w:r>
        <w:t xml:space="preserve">). Ils affectent d'être les défenseurs de la cause de Dieu mais en réalité se montrent ennemis des serviteurs de Dieu (v. </w:t>
      </w:r>
      <w:hyperlink r:id="rId8896">
        <w:r>
          <w:rPr>
            <w:color w:val="0000EE"/>
            <w:u w:val="single"/>
          </w:rPr>
          <w:t>29–36</w:t>
        </w:r>
      </w:hyperlink>
      <w:r>
        <w:t>). La deuxième raison est l'orgueil qui motive leur hypocrisie (</w:t>
      </w:r>
      <w:hyperlink r:id="rId5663">
        <w:r>
          <w:rPr>
            <w:color w:val="0000EE"/>
            <w:u w:val="single"/>
          </w:rPr>
          <w:t>23.5–12</w:t>
        </w:r>
      </w:hyperlink>
      <w:r>
        <w:t xml:space="preserve">). La troisième raison est qu'ils exploitent et ont un impact néfaste sur ceux qui sont sous leur responsabilité (v. </w:t>
      </w:r>
      <w:hyperlink r:id="rId9803">
        <w:r>
          <w:rPr>
            <w:color w:val="0000EE"/>
            <w:u w:val="single"/>
          </w:rPr>
          <w:t>13–15</w:t>
        </w:r>
      </w:hyperlink>
      <w:r>
        <w:t xml:space="preserve">). La quatrième raison est qu'ils se préoccupent de détails minutieux dans l'observation de certaines lois mais négligent les objectifs les plus importants de la loi (v. </w:t>
      </w:r>
      <w:hyperlink r:id="rId9804">
        <w:r>
          <w:rPr>
            <w:color w:val="0000EE"/>
            <w:u w:val="single"/>
          </w:rPr>
          <w:t>16–24</w:t>
        </w:r>
      </w:hyperlink>
      <w:r>
        <w:t xml:space="preserve">). La cinquième raison est que c'est en grande partie à cause d'eux que toute la nation va subir un terrible jugement (v. </w:t>
      </w:r>
      <w:hyperlink r:id="rId9805">
        <w:r>
          <w:rPr>
            <w:color w:val="0000EE"/>
            <w:u w:val="single"/>
          </w:rPr>
          <w:t>33–39</w:t>
        </w:r>
      </w:hyperlink>
      <w:r>
        <w:t>).</w:t>
      </w:r>
    </w:p>
    <w:p>
      <w:pPr>
        <w:pStyle w:val="Heading4"/>
      </w:pPr>
      <w:r>
        <w:t>L'arrivée de la fin (</w:t>
      </w:r>
      <w:hyperlink r:id="rId4877">
        <w:r>
          <w:rPr>
            <w:color w:val="0000EE"/>
            <w:u w:val="single"/>
          </w:rPr>
          <w:t>24.1–25.46</w:t>
        </w:r>
      </w:hyperlink>
      <w:r>
        <w:t>)</w:t>
      </w:r>
    </w:p>
    <w:p>
      <w:r/>
      <w:r>
        <w:t>L'introduction de ce cinquième et dernier grand discours dans Matthieu montre clairement que pour Jésus et ses disciples, la destruction imminente de Jérusalem et la fin des temps sont étroitement liés (</w:t>
      </w:r>
      <w:hyperlink r:id="rId9806">
        <w:r>
          <w:rPr>
            <w:color w:val="0000EE"/>
            <w:u w:val="single"/>
          </w:rPr>
          <w:t>24.1–3</w:t>
        </w:r>
      </w:hyperlink>
      <w:r>
        <w:t xml:space="preserve">). Jésus commence par décrire la période entre sa première venue et son retour : il y aura des catastrophes naturelles, des guerres internationales, l'émergence de prétendus messies, la persécution du peuple de Dieu mais aussi la proclamation universelle de l'Évangile du royaume (v. </w:t>
      </w:r>
      <w:hyperlink r:id="rId9807">
        <w:r>
          <w:rPr>
            <w:color w:val="0000EE"/>
            <w:u w:val="single"/>
          </w:rPr>
          <w:t>4–14</w:t>
        </w:r>
      </w:hyperlink>
      <w:r>
        <w:t xml:space="preserve">). Jésus donne ensuite des détails sur la catastrophe qui allait bientôt frapper la nation juive en particulier, telle qu'il l'avait déjà prédite dans </w:t>
      </w:r>
      <w:hyperlink r:id="rId9808">
        <w:r>
          <w:rPr>
            <w:color w:val="0000EE"/>
            <w:u w:val="single"/>
          </w:rPr>
          <w:t xml:space="preserve">22.7 </w:t>
        </w:r>
      </w:hyperlink>
      <w:r>
        <w:t xml:space="preserve">; </w:t>
      </w:r>
      <w:hyperlink r:id="rId9809">
        <w:r>
          <w:rPr>
            <w:color w:val="0000EE"/>
            <w:u w:val="single"/>
          </w:rPr>
          <w:t>23.38</w:t>
        </w:r>
      </w:hyperlink>
      <w:r>
        <w:t>. Cette catastrophe culminerait avec la destruction de Jérusalem et de son Temple en 70 apr. J.-C. (</w:t>
      </w:r>
      <w:hyperlink r:id="rId9810">
        <w:r>
          <w:rPr>
            <w:color w:val="0000EE"/>
            <w:u w:val="single"/>
          </w:rPr>
          <w:t>24.15–25</w:t>
        </w:r>
      </w:hyperlink>
      <w:r>
        <w:t xml:space="preserve">). </w:t>
      </w:r>
    </w:p>
    <w:p>
      <w:r/>
      <w:r>
        <w:t xml:space="preserve">Après cela, le Fils de l'homme reviendra dans une grande gloire, au milieu de signes apocalyptiques, pour rassembler son peuple (v. </w:t>
      </w:r>
      <w:hyperlink r:id="rId9811">
        <w:r>
          <w:rPr>
            <w:color w:val="0000EE"/>
            <w:u w:val="single"/>
          </w:rPr>
          <w:t>26–31</w:t>
        </w:r>
      </w:hyperlink>
      <w:r>
        <w:t xml:space="preserve">). Cependant, la durée de cet intervalle est connue seulement de Dieu le Père (v. </w:t>
      </w:r>
      <w:hyperlink r:id="rId942">
        <w:r>
          <w:rPr>
            <w:color w:val="0000EE"/>
            <w:u w:val="single"/>
          </w:rPr>
          <w:t>36</w:t>
        </w:r>
      </w:hyperlink>
      <w:r>
        <w:t xml:space="preserve">). Jésus annonce que la génération actuelle ne passera pas avant que le jugement ne tombe sur Israël (v. </w:t>
      </w:r>
      <w:hyperlink r:id="rId9810">
        <w:r>
          <w:rPr>
            <w:color w:val="0000EE"/>
            <w:u w:val="single"/>
          </w:rPr>
          <w:t>15–25</w:t>
        </w:r>
      </w:hyperlink>
      <w:r>
        <w:t xml:space="preserve">). C'est pourquoi ses auditeurs doivent prendre garde (v. </w:t>
      </w:r>
      <w:hyperlink r:id="rId9812">
        <w:r>
          <w:rPr>
            <w:color w:val="0000EE"/>
            <w:u w:val="single"/>
          </w:rPr>
          <w:t>32–35</w:t>
        </w:r>
      </w:hyperlink>
      <w:r>
        <w:t xml:space="preserve">). Le même avertissement s'applique au sujet du retour plus lointain du Fils de l'homme (v. </w:t>
      </w:r>
      <w:hyperlink r:id="rId9813">
        <w:r>
          <w:rPr>
            <w:color w:val="0000EE"/>
            <w:u w:val="single"/>
          </w:rPr>
          <w:t>36–51</w:t>
        </w:r>
      </w:hyperlink>
      <w:r>
        <w:t>). La certitude que cela arrivera et l'incertitude de quand cela se produira appellent à la vigilance et à la fidélité dans l'attente, car avec son retour viendront à la fois le salut et le jugement. Pour mieux faire comprendre cette leçon, Jésus raconte plusieurs paraboles : celle des vierges sages et insensées (</w:t>
      </w:r>
      <w:hyperlink r:id="rId6537">
        <w:r>
          <w:rPr>
            <w:color w:val="0000EE"/>
            <w:u w:val="single"/>
          </w:rPr>
          <w:t>25.1–13</w:t>
        </w:r>
      </w:hyperlink>
      <w:r>
        <w:t xml:space="preserve">) et celle des talents (v. </w:t>
      </w:r>
      <w:hyperlink r:id="rId9814">
        <w:r>
          <w:rPr>
            <w:color w:val="0000EE"/>
            <w:u w:val="single"/>
          </w:rPr>
          <w:t>14–30</w:t>
        </w:r>
      </w:hyperlink>
      <w:r>
        <w:t xml:space="preserve">). La dernière parabole, celle des brebis et des boucs (v. </w:t>
      </w:r>
      <w:hyperlink r:id="rId7838">
        <w:r>
          <w:rPr>
            <w:color w:val="0000EE"/>
            <w:u w:val="single"/>
          </w:rPr>
          <w:t>31–46</w:t>
        </w:r>
      </w:hyperlink>
      <w:r>
        <w:t xml:space="preserve">) souligne l'importance de bien répondre aux besoins des « frères », c'est-à-dire des messagers du Christ. Ceux qui nourrissent, habillent et prennent soin d'eux démontrent ainsi qu'ils ont bien reçu le message des apôtres et de leur Seigneur (voir </w:t>
      </w:r>
      <w:hyperlink r:id="rId9815">
        <w:r>
          <w:rPr>
            <w:color w:val="0000EE"/>
            <w:u w:val="single"/>
          </w:rPr>
          <w:t>10.40–42</w:t>
        </w:r>
      </w:hyperlink>
      <w:r>
        <w:t>).</w:t>
      </w:r>
    </w:p>
    <w:p>
      <w:pPr>
        <w:pStyle w:val="Heading4"/>
      </w:pPr>
      <w:r>
        <w:t>Vers Golgotha (</w:t>
      </w:r>
      <w:hyperlink r:id="rId9816">
        <w:r>
          <w:rPr>
            <w:color w:val="0000EE"/>
            <w:u w:val="single"/>
          </w:rPr>
          <w:t>26.1–27.26</w:t>
        </w:r>
      </w:hyperlink>
      <w:r>
        <w:t>)</w:t>
      </w:r>
    </w:p>
    <w:p>
      <w:r/>
      <w:r>
        <w:t>Presque comme s'ils réagissaient à ce que Jésus avait prédit qu'ils feraient, les principaux sacrificateurs et les anciens échafaudent un complot meurtrier à son égard (</w:t>
      </w:r>
      <w:hyperlink r:id="rId9817">
        <w:r>
          <w:rPr>
            <w:color w:val="0000EE"/>
            <w:u w:val="single"/>
          </w:rPr>
          <w:t>26.1–5</w:t>
        </w:r>
      </w:hyperlink>
      <w:r>
        <w:t xml:space="preserve">). Judas leur prête assistance peu après (v. </w:t>
      </w:r>
      <w:hyperlink r:id="rId9818">
        <w:r>
          <w:rPr>
            <w:color w:val="0000EE"/>
            <w:u w:val="single"/>
          </w:rPr>
          <w:t>14–16</w:t>
        </w:r>
      </w:hyperlink>
      <w:r>
        <w:t xml:space="preserve">). L'onction de Jésus à Béthanie démontre un amour extravagant et annonce sa mort imminente (v. </w:t>
      </w:r>
      <w:hyperlink r:id="rId1864">
        <w:r>
          <w:rPr>
            <w:color w:val="0000EE"/>
            <w:u w:val="single"/>
          </w:rPr>
          <w:t>6–13</w:t>
        </w:r>
      </w:hyperlink>
      <w:r>
        <w:t xml:space="preserve">). </w:t>
      </w:r>
    </w:p>
    <w:p>
      <w:r/>
      <w:r>
        <w:t xml:space="preserve">Pendant le repas de la Pâque (v. </w:t>
      </w:r>
      <w:hyperlink r:id="rId9819">
        <w:r>
          <w:rPr>
            <w:color w:val="0000EE"/>
            <w:u w:val="single"/>
          </w:rPr>
          <w:t>17–30</w:t>
        </w:r>
      </w:hyperlink>
      <w:r>
        <w:t xml:space="preserve">), Jésus révèle par quel sacrifice le nouvel exode se produira (voir </w:t>
      </w:r>
      <w:hyperlink r:id="rId9820">
        <w:r>
          <w:rPr>
            <w:color w:val="0000EE"/>
            <w:u w:val="single"/>
          </w:rPr>
          <w:t>2.15</w:t>
        </w:r>
      </w:hyperlink>
      <w:r>
        <w:t>). Il explique que sa mort imminente est le sacrifice expiatoire pour le pardon des péchés (</w:t>
      </w:r>
      <w:hyperlink r:id="rId9821">
        <w:r>
          <w:rPr>
            <w:color w:val="0000EE"/>
            <w:u w:val="single"/>
          </w:rPr>
          <w:t xml:space="preserve">26.26–28 </w:t>
        </w:r>
      </w:hyperlink>
      <w:r>
        <w:t xml:space="preserve">; voir </w:t>
      </w:r>
      <w:hyperlink r:id="rId3936">
        <w:r>
          <w:rPr>
            <w:color w:val="0000EE"/>
            <w:u w:val="single"/>
          </w:rPr>
          <w:t>1.21</w:t>
        </w:r>
      </w:hyperlink>
      <w:r>
        <w:t>) et parle du jour de l'ultime victoire sur le péché et sur la mort quand le royaume de Dieu sera établi dans sa plénitude (</w:t>
      </w:r>
      <w:hyperlink r:id="rId9822">
        <w:r>
          <w:rPr>
            <w:color w:val="0000EE"/>
            <w:u w:val="single"/>
          </w:rPr>
          <w:t>26.29</w:t>
        </w:r>
      </w:hyperlink>
      <w:r>
        <w:t xml:space="preserve">). </w:t>
      </w:r>
    </w:p>
    <w:p>
      <w:r/>
      <w:r>
        <w:t xml:space="preserve">L'agonie de Jésus à Gethsémané montre à quel point prendre sur lui les péchés de son peuple lui a coûté (v. </w:t>
      </w:r>
      <w:hyperlink r:id="rId9823">
        <w:r>
          <w:rPr>
            <w:color w:val="0000EE"/>
            <w:u w:val="single"/>
          </w:rPr>
          <w:t>36–46</w:t>
        </w:r>
      </w:hyperlink>
      <w:r>
        <w:t>). Son obéissance filiale extraordinaire le conduit à soumettre sa volonté au Père, afin que les Écritures soient accomplies (</w:t>
      </w:r>
      <w:hyperlink r:id="rId9824">
        <w:r>
          <w:rPr>
            <w:color w:val="0000EE"/>
            <w:u w:val="single"/>
          </w:rPr>
          <w:t xml:space="preserve">26.54 </w:t>
        </w:r>
      </w:hyperlink>
      <w:r>
        <w:t xml:space="preserve">; voir </w:t>
      </w:r>
      <w:hyperlink r:id="rId5724">
        <w:r>
          <w:rPr>
            <w:color w:val="0000EE"/>
            <w:u w:val="single"/>
          </w:rPr>
          <w:t>Es 53</w:t>
        </w:r>
      </w:hyperlink>
      <w:r>
        <w:t xml:space="preserve">). </w:t>
      </w:r>
    </w:p>
    <w:p>
      <w:r/>
      <w:r>
        <w:t>Jésus résiste aux tentatives de contrecarrer son arrestation, car il est le serviteur de Dieu qui doit souffrir (</w:t>
      </w:r>
      <w:hyperlink r:id="rId9825">
        <w:r>
          <w:rPr>
            <w:color w:val="0000EE"/>
            <w:u w:val="single"/>
          </w:rPr>
          <w:t>26.47–56</w:t>
        </w:r>
      </w:hyperlink>
      <w:r>
        <w:t>). La cour suprême des Juifs (le sanhédrin) et leur plus haut chef religieux (le souverain sacrificateur) condamnent Jésus en l'accusant de blasphème parce qu'il ose dire qu'il est « le Christ, le Fils de Dieu » (</w:t>
      </w:r>
      <w:hyperlink r:id="rId2116">
        <w:r>
          <w:rPr>
            <w:color w:val="0000EE"/>
            <w:u w:val="single"/>
          </w:rPr>
          <w:t xml:space="preserve">26.57–68 </w:t>
        </w:r>
      </w:hyperlink>
      <w:r>
        <w:t xml:space="preserve">; voir </w:t>
      </w:r>
      <w:hyperlink r:id="rId2513">
        <w:r>
          <w:rPr>
            <w:color w:val="0000EE"/>
            <w:u w:val="single"/>
          </w:rPr>
          <w:t>16.16</w:t>
        </w:r>
      </w:hyperlink>
      <w:r>
        <w:t xml:space="preserve">). </w:t>
      </w:r>
    </w:p>
    <w:p>
      <w:r/>
      <w:r>
        <w:t xml:space="preserve">En parallèle au rejet de Jésus par le sanhédrin, Pierre nie connaître Jésus (v. </w:t>
      </w:r>
      <w:hyperlink r:id="rId9826">
        <w:r>
          <w:rPr>
            <w:color w:val="0000EE"/>
            <w:u w:val="single"/>
          </w:rPr>
          <w:t>69–75</w:t>
        </w:r>
      </w:hyperlink>
      <w:r>
        <w:t>) et accomplit ainsi lui aussi une des prophéties de ce dernier (</w:t>
      </w:r>
      <w:hyperlink r:id="rId9827">
        <w:r>
          <w:rPr>
            <w:color w:val="0000EE"/>
            <w:u w:val="single"/>
          </w:rPr>
          <w:t>26.31–35</w:t>
        </w:r>
      </w:hyperlink>
      <w:r>
        <w:t>). La désillusion de Judas le mène au suicide (</w:t>
      </w:r>
      <w:hyperlink r:id="rId7814">
        <w:r>
          <w:rPr>
            <w:color w:val="0000EE"/>
            <w:u w:val="single"/>
          </w:rPr>
          <w:t>27.3–10</w:t>
        </w:r>
      </w:hyperlink>
      <w:r>
        <w:t xml:space="preserve">). Les Juifs livrent Jésus à Pilate, le gouverneur romain (v. </w:t>
      </w:r>
      <w:hyperlink r:id="rId9828">
        <w:r>
          <w:rPr>
            <w:color w:val="0000EE"/>
            <w:u w:val="single"/>
          </w:rPr>
          <w:t>1–2</w:t>
        </w:r>
      </w:hyperlink>
      <w:r>
        <w:t xml:space="preserve">), car lui seul a l'autorité de prononcer la peine de mort. Sachant que l'accusation de blasphème n'aurait aucun poids auprès de Pilate, les Juifs accusent Jésus de sédition contre César. </w:t>
      </w:r>
    </w:p>
    <w:p>
      <w:r/>
      <w:r>
        <w:t xml:space="preserve">Finalement, le verdict de Pilate ne repose pas sur des accusations spécifiques ou des preuves, mais sur la pression de la foule et la crainte d'une émeute (v. </w:t>
      </w:r>
      <w:hyperlink r:id="rId9829">
        <w:r>
          <w:rPr>
            <w:color w:val="0000EE"/>
            <w:u w:val="single"/>
          </w:rPr>
          <w:t>11–25</w:t>
        </w:r>
      </w:hyperlink>
      <w:r>
        <w:t xml:space="preserve">). Il libère Barabbas et livre Jésus pour qu'il soit crucifié (v. </w:t>
      </w:r>
      <w:hyperlink r:id="rId9830">
        <w:r>
          <w:rPr>
            <w:color w:val="0000EE"/>
            <w:u w:val="single"/>
          </w:rPr>
          <w:t>26</w:t>
        </w:r>
      </w:hyperlink>
      <w:r>
        <w:t>).</w:t>
      </w:r>
    </w:p>
    <w:p>
      <w:pPr>
        <w:pStyle w:val="Heading4"/>
      </w:pPr>
      <w:r>
        <w:t>La mort de Jésus (</w:t>
      </w:r>
      <w:hyperlink r:id="rId9831">
        <w:r>
          <w:rPr>
            <w:color w:val="0000EE"/>
            <w:u w:val="single"/>
          </w:rPr>
          <w:t>27.27–66</w:t>
        </w:r>
      </w:hyperlink>
      <w:r>
        <w:t>)</w:t>
      </w:r>
    </w:p>
    <w:p>
      <w:r/>
      <w:r>
        <w:t>Jésus est maltraité et humilié par les soldats romains. Il est ensuite conduit au lieu de son exécution. Affaibli par les coups, il a besoin d'aide pour porter sa croix (</w:t>
      </w:r>
      <w:hyperlink r:id="rId9832">
        <w:r>
          <w:rPr>
            <w:color w:val="0000EE"/>
            <w:u w:val="single"/>
          </w:rPr>
          <w:t>27.27–32</w:t>
        </w:r>
      </w:hyperlink>
      <w:r>
        <w:t xml:space="preserve">). Il refuse le narcotique qui lui est proposé afin de rester lucide (v. </w:t>
      </w:r>
      <w:hyperlink r:id="rId9833">
        <w:r>
          <w:rPr>
            <w:color w:val="0000EE"/>
            <w:u w:val="single"/>
          </w:rPr>
          <w:t>34</w:t>
        </w:r>
      </w:hyperlink>
      <w:r>
        <w:t xml:space="preserve">). Le fait qu'il est crucifié avec des malfaiteurs (v. </w:t>
      </w:r>
      <w:hyperlink r:id="rId9834">
        <w:r>
          <w:rPr>
            <w:color w:val="0000EE"/>
            <w:u w:val="single"/>
          </w:rPr>
          <w:t>38</w:t>
        </w:r>
      </w:hyperlink>
      <w:r>
        <w:t xml:space="preserve">) rend témoignage au but de son sacrifice (voir </w:t>
      </w:r>
      <w:hyperlink r:id="rId3936">
        <w:r>
          <w:rPr>
            <w:color w:val="0000EE"/>
            <w:u w:val="single"/>
          </w:rPr>
          <w:t>1.21</w:t>
        </w:r>
      </w:hyperlink>
      <w:r>
        <w:t xml:space="preserve">). Il reçoit de nombreuses insultes qui démontrent un mépris blasphématoire pour la vérité dont l'écritoire de condamnation témoigne pourtant : « </w:t>
      </w:r>
      <w:r>
        <w:t xml:space="preserve">Celui-ci est Jésus, le roi des Juifs </w:t>
      </w:r>
      <w:r>
        <w:t>» (</w:t>
      </w:r>
      <w:hyperlink r:id="rId9835">
        <w:r>
          <w:rPr>
            <w:color w:val="0000EE"/>
            <w:u w:val="single"/>
          </w:rPr>
          <w:t>27.37–44</w:t>
        </w:r>
      </w:hyperlink>
      <w:r>
        <w:t xml:space="preserve">). Dans les ténèbres, Jésus pousse le cri qui révèle toute l'horreur qu'il avait anticipée et tant redoutée à Gethsémané : l'agonie suprême du porteur des péchés du monde, l'abandon du Fils bien-aimé par le Père (v. </w:t>
      </w:r>
      <w:hyperlink r:id="rId9836">
        <w:r>
          <w:rPr>
            <w:color w:val="0000EE"/>
            <w:u w:val="single"/>
          </w:rPr>
          <w:t>45–49</w:t>
        </w:r>
      </w:hyperlink>
      <w:r>
        <w:t xml:space="preserve">). Après avoir crié d'une voix forte (voir </w:t>
      </w:r>
      <w:hyperlink r:id="rId4916">
        <w:r>
          <w:rPr>
            <w:color w:val="0000EE"/>
            <w:u w:val="single"/>
          </w:rPr>
          <w:t>Jn 19.30</w:t>
        </w:r>
      </w:hyperlink>
      <w:r>
        <w:t>), Jésus meurt (</w:t>
      </w:r>
      <w:hyperlink r:id="rId9837">
        <w:r>
          <w:rPr>
            <w:color w:val="0000EE"/>
            <w:u w:val="single"/>
          </w:rPr>
          <w:t>27.50</w:t>
        </w:r>
      </w:hyperlink>
      <w:r>
        <w:t xml:space="preserve">). Immédiatement, les effets de sa mort pour le salut se manifestent (v. </w:t>
      </w:r>
      <w:hyperlink r:id="rId9838">
        <w:r>
          <w:rPr>
            <w:color w:val="0000EE"/>
            <w:u w:val="single"/>
          </w:rPr>
          <w:t>51–53</w:t>
        </w:r>
      </w:hyperlink>
      <w:r>
        <w:t>) : les pécheurs, désormais pardonnés, ont accès au Dieu saint (le voile du Temple est déchiré), et il y a maintenant l'espérance de la résurrection pour ceux qui sont morts. Comme au début de son ministère (</w:t>
      </w:r>
      <w:hyperlink r:id="rId9695">
        <w:r>
          <w:rPr>
            <w:color w:val="0000EE"/>
            <w:u w:val="single"/>
          </w:rPr>
          <w:t>2.1–12</w:t>
        </w:r>
      </w:hyperlink>
      <w:r>
        <w:t>), ce sont des Gentils et non des Juifs qui rendent témoignage à Jésus (</w:t>
      </w:r>
      <w:hyperlink r:id="rId9839">
        <w:r>
          <w:rPr>
            <w:color w:val="0000EE"/>
            <w:u w:val="single"/>
          </w:rPr>
          <w:t xml:space="preserve">27.54 </w:t>
        </w:r>
      </w:hyperlink>
      <w:r>
        <w:t xml:space="preserve">; voir </w:t>
      </w:r>
      <w:hyperlink r:id="rId9840">
        <w:r>
          <w:rPr>
            <w:color w:val="0000EE"/>
            <w:u w:val="single"/>
          </w:rPr>
          <w:t>26.63–65</w:t>
        </w:r>
      </w:hyperlink>
      <w:r>
        <w:t>). L'attention minutieuse de Joseph à faire enterrer Jésus dignement offre un fort contraste avec l'attitude des principaux sacrificateurs qui continuent de résister à son pouvoir (</w:t>
      </w:r>
      <w:hyperlink r:id="rId9841">
        <w:r>
          <w:rPr>
            <w:color w:val="0000EE"/>
            <w:u w:val="single"/>
          </w:rPr>
          <w:t>27.57–66</w:t>
        </w:r>
      </w:hyperlink>
      <w:r>
        <w:t>).</w:t>
      </w:r>
    </w:p>
    <w:p>
      <w:pPr>
        <w:pStyle w:val="Heading4"/>
      </w:pPr>
      <w:r>
        <w:t>Le triomphe du Sauveur (</w:t>
      </w:r>
      <w:hyperlink r:id="rId1047">
        <w:r>
          <w:rPr>
            <w:color w:val="0000EE"/>
            <w:u w:val="single"/>
          </w:rPr>
          <w:t>28.1–20</w:t>
        </w:r>
      </w:hyperlink>
      <w:r>
        <w:t>)</w:t>
      </w:r>
    </w:p>
    <w:p>
      <w:r/>
      <w:r>
        <w:t>Gloire, puissance et joie accompagnent l'annonce et le témoignage de la victoire du Sauveur sur la mort (</w:t>
      </w:r>
      <w:hyperlink r:id="rId9842">
        <w:r>
          <w:rPr>
            <w:color w:val="0000EE"/>
            <w:u w:val="single"/>
          </w:rPr>
          <w:t>28.1–7</w:t>
        </w:r>
      </w:hyperlink>
      <w:r>
        <w:t>). Jésus ressuscité apparaît d'abord aux femmes qui étaient restées avec lui lors de sa crucifixion (</w:t>
      </w:r>
      <w:hyperlink r:id="rId9843">
        <w:r>
          <w:rPr>
            <w:color w:val="0000EE"/>
            <w:u w:val="single"/>
          </w:rPr>
          <w:t xml:space="preserve">28.8–10 </w:t>
        </w:r>
      </w:hyperlink>
      <w:r>
        <w:t xml:space="preserve">; voir </w:t>
      </w:r>
      <w:hyperlink r:id="rId9844">
        <w:r>
          <w:rPr>
            <w:color w:val="0000EE"/>
            <w:u w:val="single"/>
          </w:rPr>
          <w:t xml:space="preserve">27.61 </w:t>
        </w:r>
      </w:hyperlink>
      <w:r>
        <w:t xml:space="preserve">; </w:t>
      </w:r>
      <w:hyperlink r:id="rId2584">
        <w:r>
          <w:rPr>
            <w:color w:val="0000EE"/>
            <w:u w:val="single"/>
          </w:rPr>
          <w:t>28.1</w:t>
        </w:r>
      </w:hyperlink>
      <w:r>
        <w:t>). La réaction des Juifs au rapport des gardes montre leur désespoir croissant face à une réalité à laquelle rien ne peut résister (</w:t>
      </w:r>
      <w:hyperlink r:id="rId9845">
        <w:r>
          <w:rPr>
            <w:color w:val="0000EE"/>
            <w:u w:val="single"/>
          </w:rPr>
          <w:t>28.11–15</w:t>
        </w:r>
      </w:hyperlink>
      <w:r>
        <w:t xml:space="preserve">). Quand Jésus rencontre les onze disciples sur une montagne en Galilée (v. </w:t>
      </w:r>
      <w:hyperlink r:id="rId4187">
        <w:r>
          <w:rPr>
            <w:color w:val="0000EE"/>
            <w:u w:val="single"/>
          </w:rPr>
          <w:t>16–20</w:t>
        </w:r>
      </w:hyperlink>
      <w:r>
        <w:t>), lui, qui est le nouveau Moïse, continue de les instruire. Il révèle maintenant le but missionnaire pour lequel Matthieu a préparé ses lecteurs dès le début de son Évangile. Les apôtres doivent faire des disciples parmi tous les peuples, les baptisant au nom du Dieu trinitaire et leur enseignant à obéir à tout ce que Jésus a commandé. Les apôtres se mettent à la tâche avec l'assurance que Jésus, le Seigneur, veille sur eux, et que lui qui est Emmanuel est avec eux jusqu'à la fin des temps.</w:t>
      </w:r>
    </w:p>
    <w:p>
      <w:r/>
      <w:r>
        <w:rPr>
          <w:i/>
        </w:rPr>
        <w:t>Voir aussi</w:t>
      </w:r>
      <w:r>
        <w:t xml:space="preserve"> </w:t>
      </w:r>
      <w:r>
        <w:t xml:space="preserve">Jésus-Christ (vie et enseignements) </w:t>
      </w:r>
      <w:r>
        <w:t xml:space="preserve">; </w:t>
      </w:r>
      <w:r>
        <w:t xml:space="preserve">Luc (Évangile) </w:t>
      </w:r>
      <w:r>
        <w:t xml:space="preserve">; </w:t>
      </w:r>
      <w:r>
        <w:t xml:space="preserve">Marc (Évangile) </w:t>
      </w:r>
      <w:r>
        <w:t xml:space="preserve">; </w:t>
      </w:r>
      <w:r>
        <w:t xml:space="preserve">Matthieu (personne) </w:t>
      </w:r>
      <w:r>
        <w:t xml:space="preserve">; </w:t>
      </w:r>
      <w:r>
        <w:t>Évangiles synoptiques</w:t>
      </w:r>
      <w:r>
        <w:t>.</w:t>
      </w:r>
      <w:r/>
      <w:r/>
    </w:p>
    <w:p>
      <w:r/>
    </w:p>
    <w:p>
      <w:pPr>
        <w:pStyle w:val="Heading2"/>
      </w:pPr>
      <w:r>
        <w:t>Medan</w:t>
      </w:r>
      <w:r/>
    </w:p>
    <w:p>
      <w:r/>
      <w:r>
        <w:t>Troisième fils d'Abraham par sa deuxième épouse, Ketura (</w:t>
      </w:r>
      <w:hyperlink r:id="rId7246">
        <w:r>
          <w:rPr>
            <w:color w:val="0000EE"/>
            <w:u w:val="single"/>
          </w:rPr>
          <w:t>Gn 25.2</w:t>
        </w:r>
      </w:hyperlink>
      <w:r>
        <w:t xml:space="preserve"> ; </w:t>
      </w:r>
      <w:hyperlink r:id="rId3038">
        <w:r>
          <w:rPr>
            <w:color w:val="0000EE"/>
            <w:u w:val="single"/>
          </w:rPr>
          <w:t>1Ch 1.32</w:t>
        </w:r>
      </w:hyperlink>
      <w:r>
        <w:t>).</w:t>
      </w:r>
      <w:r/>
      <w:r/>
    </w:p>
    <w:p>
      <w:r/>
    </w:p>
    <w:p>
      <w:pPr>
        <w:pStyle w:val="Heading2"/>
      </w:pPr>
      <w:r>
        <w:t>Médecin</w:t>
      </w:r>
      <w:r/>
    </w:p>
    <w:p>
      <w:r/>
      <w:r>
        <w:t>Personne formée en médecine. Le médecin soigne et raccommode les blessures et administre des traitements aux malades. Dans l'Israël antique, les fonctions officielles du sacrificateur incluent le diagnostic de certaines maladies. De nombreuses autres personnes en dehors du sacerdoce donnent des soins dans les villes et les villages. Le roi Asa en consulte pour sa maladie des pieds (</w:t>
      </w:r>
      <w:hyperlink r:id="rId9846">
        <w:r>
          <w:rPr>
            <w:color w:val="0000EE"/>
            <w:u w:val="single"/>
          </w:rPr>
          <w:t>2Ch 16.12</w:t>
        </w:r>
      </w:hyperlink>
      <w:r>
        <w:t>). Le prophète Jérémie pose des questions à propos des médecins en Galaad (</w:t>
      </w:r>
      <w:hyperlink r:id="rId5860">
        <w:r>
          <w:rPr>
            <w:color w:val="0000EE"/>
            <w:u w:val="single"/>
          </w:rPr>
          <w:t>Jr 8.22</w:t>
        </w:r>
      </w:hyperlink>
      <w:r>
        <w:t>). Job se plaint que ses amis ne sont que des médecins inutiles (</w:t>
      </w:r>
      <w:hyperlink r:id="rId9847">
        <w:r>
          <w:rPr>
            <w:color w:val="0000EE"/>
            <w:u w:val="single"/>
          </w:rPr>
          <w:t>Jb 13.4</w:t>
        </w:r>
      </w:hyperlink>
      <w:r>
        <w:t xml:space="preserve">). </w:t>
      </w:r>
    </w:p>
    <w:p>
      <w:r/>
      <w:r>
        <w:t xml:space="preserve">La médecine scientifique et la formation rigoureuse de médecins ne commence qu'avec la croissance de la médecine grecque. À l'époque du Nouveau Testament (NT), des écoles de médecine sont établies dans différents pays du monde gréco-romain. De remarquables collections d'instruments chirurgicaux ont été retrouvées dans les fouilles archéologiques de lieux comme Pompéi. </w:t>
      </w:r>
    </w:p>
    <w:p>
      <w:r/>
      <w:r>
        <w:t>Le NT mentionne un certain nombre de maladies, et il est question de « médecin » plusieurs fois dans les Évangiles (</w:t>
      </w:r>
      <w:hyperlink r:id="rId9848">
        <w:r>
          <w:rPr>
            <w:color w:val="0000EE"/>
            <w:u w:val="single"/>
          </w:rPr>
          <w:t xml:space="preserve">Mt 9.12 </w:t>
        </w:r>
      </w:hyperlink>
      <w:r>
        <w:t xml:space="preserve">; </w:t>
      </w:r>
      <w:hyperlink r:id="rId9849">
        <w:r>
          <w:rPr>
            <w:color w:val="0000EE"/>
            <w:u w:val="single"/>
          </w:rPr>
          <w:t xml:space="preserve">Mc 2.17 </w:t>
        </w:r>
      </w:hyperlink>
      <w:r>
        <w:t xml:space="preserve">; </w:t>
      </w:r>
      <w:hyperlink r:id="rId9850">
        <w:r>
          <w:rPr>
            <w:color w:val="0000EE"/>
            <w:u w:val="single"/>
          </w:rPr>
          <w:t xml:space="preserve">5.26 </w:t>
        </w:r>
      </w:hyperlink>
      <w:r>
        <w:t xml:space="preserve">; </w:t>
      </w:r>
      <w:hyperlink r:id="rId9851">
        <w:r>
          <w:rPr>
            <w:color w:val="0000EE"/>
            <w:u w:val="single"/>
          </w:rPr>
          <w:t xml:space="preserve">Lc 4.23 </w:t>
        </w:r>
      </w:hyperlink>
      <w:r>
        <w:t xml:space="preserve">; </w:t>
      </w:r>
      <w:hyperlink r:id="rId9852">
        <w:r>
          <w:rPr>
            <w:color w:val="0000EE"/>
            <w:u w:val="single"/>
          </w:rPr>
          <w:t xml:space="preserve">5.31 </w:t>
        </w:r>
      </w:hyperlink>
      <w:r>
        <w:t xml:space="preserve">; </w:t>
      </w:r>
      <w:hyperlink r:id="rId9211">
        <w:r>
          <w:rPr>
            <w:color w:val="0000EE"/>
            <w:u w:val="single"/>
          </w:rPr>
          <w:t>8.43</w:t>
        </w:r>
      </w:hyperlink>
      <w:r>
        <w:t>). Luc est appelé « le médecin bien-aimé » (</w:t>
      </w:r>
      <w:hyperlink r:id="rId126">
        <w:r>
          <w:rPr>
            <w:color w:val="0000EE"/>
            <w:u w:val="single"/>
          </w:rPr>
          <w:t>Col 4.14</w:t>
        </w:r>
      </w:hyperlink>
      <w:r>
        <w:t>). Les médecins ne réussissent pas toujours à guérir (</w:t>
      </w:r>
      <w:hyperlink r:id="rId9850">
        <w:r>
          <w:rPr>
            <w:color w:val="0000EE"/>
            <w:u w:val="single"/>
          </w:rPr>
          <w:t xml:space="preserve">Mc 5.26 </w:t>
        </w:r>
      </w:hyperlink>
      <w:r>
        <w:t xml:space="preserve">; </w:t>
      </w:r>
      <w:hyperlink r:id="rId9211">
        <w:r>
          <w:rPr>
            <w:color w:val="0000EE"/>
            <w:u w:val="single"/>
          </w:rPr>
          <w:t>Lc 8.43</w:t>
        </w:r>
      </w:hyperlink>
      <w:r>
        <w:t>), mais Jésus le guérisseur réussit là où les autres échouent.</w:t>
      </w:r>
    </w:p>
    <w:p>
      <w:r/>
      <w:r>
        <w:rPr>
          <w:i/>
        </w:rPr>
        <w:t>Voir aussi</w:t>
      </w:r>
      <w:r>
        <w:t xml:space="preserve"> </w:t>
      </w:r>
      <w:r>
        <w:t>médecine et pratiques médicales</w:t>
      </w:r>
      <w:r>
        <w:t>.</w:t>
      </w:r>
      <w:r/>
      <w:r/>
    </w:p>
    <w:p>
      <w:r/>
    </w:p>
    <w:p>
      <w:pPr>
        <w:pStyle w:val="Heading2"/>
      </w:pPr>
      <w:r>
        <w:t>Médecine et pratique médicale</w:t>
      </w:r>
      <w:r/>
    </w:p>
    <w:p>
      <w:r/>
      <w:r>
        <w:t>La médecine est le domaine d'étude qui s'occupe de découvrir ce qui rend les gens malades, de les aider à guérir et de prévenir les maladies. Elle inclut également les éléments utilisés pour accomplir ces tâches.</w:t>
      </w:r>
    </w:p>
    <w:p>
      <w:pPr>
        <w:pStyle w:val="Heading3"/>
      </w:pPr>
      <w:r>
        <w:t>Pratiques médicales du Proche-Orient Ancien</w:t>
      </w:r>
    </w:p>
    <w:p>
      <w:r/>
      <w:r>
        <w:t xml:space="preserve">À l'époque de l'Ancien Testament, les Israélites ne se concentraient pas beaucoup sur la médecine. Cependant, le savoir médical était important dans les cultures voisines de Mésopotamie et d'Égypte. Le roi assyrien Assurbanipal possédait huit cents tablettes sur la médecine dans sa bibliothèque. Ces écrits démontrent que la médecine mélangeait alors religion, divination et croyance aux démons. Leurs textes médicaux étaient longs et utilisaient des outils comme les excréments de chien et l'urine humaine. Certains médecins pratiquaient des procédures chirurgicales. Une méthode pour diagnostiquer quelqu'un à Babylone consistait à comparer le foie d'un animal frais avec un modèle en argile d'un foie sain. Les différences entre les deux permettaient de diagnostiquer l'état du patient. </w:t>
      </w:r>
      <w:hyperlink r:id="rId9853">
        <w:r>
          <w:rPr>
            <w:color w:val="0000EE"/>
            <w:u w:val="single"/>
          </w:rPr>
          <w:t xml:space="preserve">Ézéchiel 21.21 </w:t>
        </w:r>
      </w:hyperlink>
      <w:r>
        <w:t>mentionne cette pratique, ainsi que la divination.</w:t>
      </w:r>
    </w:p>
    <w:p>
      <w:r/>
      <w:r>
        <w:t>La médecine égyptienne ressemblait davantage à la médecine moderne et utilisait la logique et l'observation. Le papyrus Edwin-Smith, le plus ancien document chirurgical, décrit les traitements pour les problèmes suivants :</w:t>
      </w:r>
    </w:p>
    <w:p>
      <w:pPr>
        <w:pStyle w:val="ListBullet"/>
        <w:spacing w:line="240" w:lineRule="auto"/>
        <w:ind w:left="720"/>
      </w:pPr>
      <w:r/>
      <w:r>
        <w:t>fractures</w:t>
      </w:r>
    </w:p>
    <w:p>
      <w:pPr>
        <w:pStyle w:val="ListBullet"/>
        <w:spacing w:line="240" w:lineRule="auto"/>
        <w:ind w:left="720"/>
      </w:pPr>
      <w:r/>
      <w:r>
        <w:t>dislocations</w:t>
      </w:r>
    </w:p>
    <w:p>
      <w:pPr>
        <w:pStyle w:val="ListBullet"/>
        <w:spacing w:line="240" w:lineRule="auto"/>
        <w:ind w:left="720"/>
      </w:pPr>
      <w:r/>
      <w:r>
        <w:t>blessures</w:t>
      </w:r>
    </w:p>
    <w:p>
      <w:pPr>
        <w:pStyle w:val="ListBullet"/>
        <w:spacing w:line="240" w:lineRule="auto"/>
        <w:ind w:left="720"/>
      </w:pPr>
      <w:r/>
      <w:r>
        <w:t>tumeurs</w:t>
      </w:r>
    </w:p>
    <w:p>
      <w:pPr>
        <w:pStyle w:val="ListBullet"/>
        <w:spacing w:line="240" w:lineRule="auto"/>
        <w:ind w:left="720"/>
      </w:pPr>
      <w:r/>
      <w:r>
        <w:t>ulcères</w:t>
      </w:r>
    </w:p>
    <w:p>
      <w:r/>
      <w:r>
        <w:t>Ils utilisaient également certains outils pour traiter les patients, tels que :</w:t>
      </w:r>
    </w:p>
    <w:p>
      <w:pPr>
        <w:pStyle w:val="ListBullet"/>
        <w:spacing w:line="240" w:lineRule="auto"/>
        <w:ind w:left="720"/>
      </w:pPr>
      <w:r/>
      <w:r>
        <w:t>le plâtre adhésif (pansements adhésifs utilisés pour couvrir les plaies)</w:t>
      </w:r>
    </w:p>
    <w:p>
      <w:pPr>
        <w:pStyle w:val="ListBullet"/>
        <w:spacing w:line="240" w:lineRule="auto"/>
        <w:ind w:left="720"/>
      </w:pPr>
      <w:r/>
      <w:r>
        <w:t>les sutures chirurgicales (utilisation de points de suture pour maintenir les bords d'une plaie ensemble)</w:t>
      </w:r>
    </w:p>
    <w:p>
      <w:pPr>
        <w:pStyle w:val="ListBullet"/>
        <w:spacing w:line="240" w:lineRule="auto"/>
        <w:ind w:left="720"/>
      </w:pPr>
      <w:r/>
      <w:r>
        <w:t>la cautérisation (brûler une partie du corps pour fermer une plaie)</w:t>
      </w:r>
    </w:p>
    <w:p>
      <w:r/>
      <w:r>
        <w:t>Les Égyptiens savaient que le cœur était le centre du système circulatoire et ils mesuraient le pouls d'un patient.</w:t>
      </w:r>
    </w:p>
    <w:p>
      <w:r/>
      <w:r>
        <w:t>Le papyrus Ebers traite de la manière de soigner les problèmes internes et des médicaments possibles, tels que les lavements. Ils utilisaient de nombreuses substances en médecine, comme :</w:t>
      </w:r>
    </w:p>
    <w:p>
      <w:pPr>
        <w:pStyle w:val="ListBullet"/>
        <w:spacing w:line="240" w:lineRule="auto"/>
        <w:ind w:left="720"/>
      </w:pPr>
      <w:r/>
      <w:r>
        <w:t>l'huile de ricin</w:t>
      </w:r>
    </w:p>
    <w:p>
      <w:pPr>
        <w:pStyle w:val="ListBullet"/>
        <w:spacing w:line="240" w:lineRule="auto"/>
        <w:ind w:left="720"/>
      </w:pPr>
      <w:r/>
      <w:r>
        <w:t>la graisse animale</w:t>
      </w:r>
    </w:p>
    <w:p>
      <w:pPr>
        <w:pStyle w:val="ListBullet"/>
        <w:spacing w:line="240" w:lineRule="auto"/>
        <w:ind w:left="720"/>
      </w:pPr>
      <w:r/>
      <w:r>
        <w:t>le sable chaud</w:t>
      </w:r>
    </w:p>
    <w:p>
      <w:r/>
      <w:r>
        <w:t>D'autres papyrus (documents égyptiens anciens écrits sur un matériau fabriqué à partir de la plante de papyrus) traitent des problèmes reproductifs et contiennent un mélange de médecine et d'incantations magiques pour les résoudre. Les Égyptiens excellaient dans l'art de la momification. Des produits chimiques spéciaux étaient utilisés pour traiter les corps morts (connus sous le nom d'embaumement), puis les corps étaient enveloppés étroitement avec du tissu. Même Joseph a fait embaumer son père Jacob (</w:t>
      </w:r>
      <w:hyperlink r:id="rId9854">
        <w:r>
          <w:rPr>
            <w:color w:val="0000EE"/>
            <w:u w:val="single"/>
          </w:rPr>
          <w:t>Gn 50.2</w:t>
        </w:r>
      </w:hyperlink>
      <w:r>
        <w:t>).</w:t>
      </w:r>
    </w:p>
    <w:p>
      <w:pPr>
        <w:pStyle w:val="Heading3"/>
      </w:pPr>
      <w:r>
        <w:t>Pratiques médicales en Israël</w:t>
      </w:r>
    </w:p>
    <w:p>
      <w:r/>
      <w:r>
        <w:t>Les Israélites à l'époque de l'Ancien Testament comprenaient la maladie différemment de leurs voisins. Ils partageaient certaines superstitions, ce qui fait qu'ils n'ont pas développé de connaissances médicales comme les Égyptiens et les Babyloniens. Les Israélites croyaient que la maladie était un jugement de Dieu (</w:t>
      </w:r>
      <w:hyperlink r:id="rId4002">
        <w:r>
          <w:rPr>
            <w:color w:val="0000EE"/>
            <w:u w:val="single"/>
          </w:rPr>
          <w:t>Ex 15.26</w:t>
        </w:r>
      </w:hyperlink>
      <w:r>
        <w:t xml:space="preserve"> ; </w:t>
      </w:r>
      <w:hyperlink r:id="rId9855">
        <w:r>
          <w:rPr>
            <w:color w:val="0000EE"/>
            <w:u w:val="single"/>
          </w:rPr>
          <w:t>Dt 28.22, 35, 60</w:t>
        </w:r>
      </w:hyperlink>
      <w:r>
        <w:t>–</w:t>
      </w:r>
      <w:hyperlink r:id="rId9855">
        <w:r>
          <w:rPr>
            <w:color w:val="0000EE"/>
            <w:u w:val="single"/>
          </w:rPr>
          <w:t>61</w:t>
        </w:r>
      </w:hyperlink>
      <w:r>
        <w:t xml:space="preserve"> ; </w:t>
      </w:r>
      <w:hyperlink r:id="rId9856">
        <w:r>
          <w:rPr>
            <w:color w:val="0000EE"/>
            <w:u w:val="single"/>
          </w:rPr>
          <w:t>Jn 9.2</w:t>
        </w:r>
      </w:hyperlink>
      <w:r>
        <w:t>). En conséquence, la guérison était aussi une œuvre de Dieu (</w:t>
      </w:r>
      <w:hyperlink r:id="rId4002">
        <w:r>
          <w:rPr>
            <w:color w:val="0000EE"/>
            <w:u w:val="single"/>
          </w:rPr>
          <w:t>Ex 15.26</w:t>
        </w:r>
      </w:hyperlink>
      <w:r>
        <w:t xml:space="preserve"> ; </w:t>
      </w:r>
      <w:hyperlink r:id="rId4003">
        <w:r>
          <w:rPr>
            <w:color w:val="0000EE"/>
            <w:u w:val="single"/>
          </w:rPr>
          <w:t>Ps 103.3</w:t>
        </w:r>
      </w:hyperlink>
      <w:r>
        <w:t>). À cause de cela, le roi Asa a été jugé pour s'être fié aux médecins plutôt qu'à Dieu (</w:t>
      </w:r>
      <w:hyperlink r:id="rId9846">
        <w:r>
          <w:rPr>
            <w:color w:val="0000EE"/>
            <w:u w:val="single"/>
          </w:rPr>
          <w:t>2Ch 16.12</w:t>
        </w:r>
      </w:hyperlink>
      <w:r>
        <w:t>). Ainsi, leurs connaissances médicales étaient moins développées que celles de leurs voisins.</w:t>
      </w:r>
    </w:p>
    <w:p>
      <w:r/>
      <w:r>
        <w:t xml:space="preserve">Cependant, leur plus grande contribution sera les mesures d'hygiène dans la Loi, en particulier </w:t>
      </w:r>
      <w:hyperlink r:id="rId9857">
        <w:r>
          <w:rPr>
            <w:color w:val="0000EE"/>
            <w:u w:val="single"/>
          </w:rPr>
          <w:t>Lévitique 11–15</w:t>
        </w:r>
      </w:hyperlink>
      <w:r>
        <w:t>. Ces règles sont principalement religieuses, mais elles ont amélioré la santé et le bien-être physique des gens. Le prêtre n'était pas un prêtre-médecin, comme dans d'autres cultures. Cependant, le prêtre israélite identifiait les conditions physiques qui rendaient une personne cérémoniellement impure. Toutefois, il n'y a aucune preuve que les prêtres traitaient les maladies.</w:t>
      </w:r>
    </w:p>
    <w:p>
      <w:pPr>
        <w:pStyle w:val="Heading3"/>
      </w:pPr>
      <w:r>
        <w:t>Procédures chirurgicales dans les Écritures</w:t>
      </w:r>
    </w:p>
    <w:p>
      <w:r/>
      <w:r>
        <w:t>La seule chirurgie mentionnée dans les Écritures est la circoncision, une procédure où le prépuce de l'organe reproducteur masculin est retiré. Une fois de plus, il s'agissait d'une pratique religieuse plutôt que médicale. La circoncision n'était pas réalisée par un médecin mais par le chef de la maison (</w:t>
      </w:r>
      <w:hyperlink r:id="rId8514">
        <w:r>
          <w:rPr>
            <w:color w:val="0000EE"/>
            <w:u w:val="single"/>
          </w:rPr>
          <w:t>Ex 4.25</w:t>
        </w:r>
      </w:hyperlink>
      <w:r>
        <w:t xml:space="preserve">). </w:t>
      </w:r>
      <w:hyperlink r:id="rId9858">
        <w:r>
          <w:rPr>
            <w:color w:val="0000EE"/>
            <w:u w:val="single"/>
          </w:rPr>
          <w:t>Ézéchiel 30.21</w:t>
        </w:r>
      </w:hyperlink>
      <w:r>
        <w:t xml:space="preserve"> mentionne le traitement d'un bras cassé avec une attelle.</w:t>
      </w:r>
    </w:p>
    <w:p>
      <w:r/>
      <w:r>
        <w:t>Les sages-femmes offraient des soins lors de l'accouchement (</w:t>
      </w:r>
      <w:hyperlink r:id="rId9859">
        <w:r>
          <w:rPr>
            <w:color w:val="0000EE"/>
            <w:u w:val="single"/>
          </w:rPr>
          <w:t>Gn 35.17</w:t>
        </w:r>
      </w:hyperlink>
      <w:r>
        <w:t xml:space="preserve">). Dans </w:t>
      </w:r>
      <w:hyperlink r:id="rId9860">
        <w:r>
          <w:rPr>
            <w:color w:val="0000EE"/>
            <w:u w:val="single"/>
          </w:rPr>
          <w:t>Genèse 38.27</w:t>
        </w:r>
      </w:hyperlink>
      <w:r>
        <w:t>–</w:t>
      </w:r>
      <w:hyperlink r:id="rId9860">
        <w:r>
          <w:rPr>
            <w:color w:val="0000EE"/>
            <w:u w:val="single"/>
          </w:rPr>
          <w:t>30,</w:t>
        </w:r>
      </w:hyperlink>
      <w:r>
        <w:t xml:space="preserve"> une sage-femme assiste à la naissance de jumeaux lors d'un accouchement compliqué. Même le médecin le plus expérimenté aurait des difficultés avec cet accouchement. La sage-femme était donc très compétente, et la mère ainsi que les deux bébés ont survécu. </w:t>
      </w:r>
      <w:hyperlink r:id="rId9861">
        <w:r>
          <w:rPr>
            <w:color w:val="0000EE"/>
            <w:u w:val="single"/>
          </w:rPr>
          <w:t>Exode 1.15</w:t>
        </w:r>
      </w:hyperlink>
      <w:r>
        <w:t>–</w:t>
      </w:r>
      <w:hyperlink r:id="rId9861">
        <w:r>
          <w:rPr>
            <w:color w:val="0000EE"/>
            <w:u w:val="single"/>
          </w:rPr>
          <w:t>21</w:t>
        </w:r>
      </w:hyperlink>
      <w:r>
        <w:t xml:space="preserve"> mentionne l'utilisation de tabourets d'accouchement. Il s'agit d'un outil pour faciliter l'accouchement.</w:t>
      </w:r>
    </w:p>
    <w:p>
      <w:pPr>
        <w:pStyle w:val="Heading3"/>
      </w:pPr>
      <w:r>
        <w:t>Influence grecque sur la médecine à l'époque du Nouveau Testament</w:t>
      </w:r>
    </w:p>
    <w:p>
      <w:r/>
      <w:r>
        <w:t xml:space="preserve">À l'époque du Nouveau Testament, la médecine grecque exerçait une influence dans le monde méditerranéen. Hippocrate et d'autres médecins grecs ont établi les fondements de la médecine moderne en fournissant une base rationnelle pour le traitement médical. </w:t>
      </w:r>
      <w:hyperlink r:id="rId9850">
        <w:r>
          <w:rPr>
            <w:color w:val="0000EE"/>
            <w:u w:val="single"/>
          </w:rPr>
          <w:t>Marc 5.26</w:t>
        </w:r>
      </w:hyperlink>
      <w:r>
        <w:t xml:space="preserve"> montre que des médecins existaient en Israël. Les rabbins ordonnaient que chaque ville ait un médecin, et certains rabbins étaient eux-mêmes médecins.</w:t>
      </w:r>
    </w:p>
    <w:p>
      <w:pPr>
        <w:pStyle w:val="Heading3"/>
      </w:pPr>
      <w:r>
        <w:t>Remèdes et traitements bibliques spécifiques</w:t>
      </w:r>
    </w:p>
    <w:p>
      <w:r/>
      <w:r>
        <w:t>La Bible mentionne parfois des remèdes médicaux spécifiques.</w:t>
      </w:r>
    </w:p>
    <w:p>
      <w:pPr>
        <w:pStyle w:val="ListBullet"/>
        <w:spacing w:line="240" w:lineRule="auto"/>
        <w:ind w:left="720"/>
      </w:pPr>
      <w:r/>
      <w:r>
        <w:t>On utilisait des mandragores pour accroître le désir ou l'excitation sexuelle (</w:t>
      </w:r>
      <w:hyperlink r:id="rId9862">
        <w:r>
          <w:rPr>
            <w:color w:val="0000EE"/>
            <w:u w:val="single"/>
          </w:rPr>
          <w:t>Gn 30.14</w:t>
        </w:r>
      </w:hyperlink>
      <w:r>
        <w:t xml:space="preserve"> ; </w:t>
      </w:r>
      <w:hyperlink r:id="rId9550">
        <w:r>
          <w:rPr>
            <w:color w:val="0000EE"/>
            <w:u w:val="single"/>
          </w:rPr>
          <w:t>Ct 7.13</w:t>
        </w:r>
      </w:hyperlink>
      <w:r>
        <w:t>).</w:t>
      </w:r>
    </w:p>
    <w:p>
      <w:pPr>
        <w:pStyle w:val="ListBullet"/>
        <w:spacing w:line="240" w:lineRule="auto"/>
        <w:ind w:left="720"/>
      </w:pPr>
      <w:r/>
      <w:r>
        <w:t>On utilisait des cendres pour aider avec les furoncles en séchant la peau (</w:t>
      </w:r>
      <w:hyperlink r:id="rId9863">
        <w:r>
          <w:rPr>
            <w:color w:val="0000EE"/>
            <w:u w:val="single"/>
          </w:rPr>
          <w:t>Jb 2.7</w:t>
        </w:r>
      </w:hyperlink>
      <w:r>
        <w:t>–</w:t>
      </w:r>
      <w:hyperlink r:id="rId9863">
        <w:r>
          <w:rPr>
            <w:color w:val="0000EE"/>
            <w:u w:val="single"/>
          </w:rPr>
          <w:t>8</w:t>
        </w:r>
      </w:hyperlink>
      <w:r>
        <w:t>).</w:t>
      </w:r>
    </w:p>
    <w:p>
      <w:pPr>
        <w:pStyle w:val="ListBullet"/>
        <w:spacing w:line="240" w:lineRule="auto"/>
        <w:ind w:left="720"/>
      </w:pPr>
      <w:r/>
      <w:r>
        <w:t>On utilisait du baume, bien qu'il ne soit pas clair comment ceux-ci étaient l'utilisés (</w:t>
      </w:r>
      <w:hyperlink r:id="rId5860">
        <w:r>
          <w:rPr>
            <w:color w:val="0000EE"/>
            <w:u w:val="single"/>
          </w:rPr>
          <w:t>Jr 8.22</w:t>
        </w:r>
      </w:hyperlink>
      <w:r>
        <w:t xml:space="preserve"> ; </w:t>
      </w:r>
      <w:hyperlink r:id="rId5861">
        <w:r>
          <w:rPr>
            <w:color w:val="0000EE"/>
            <w:u w:val="single"/>
          </w:rPr>
          <w:t>46.11</w:t>
        </w:r>
      </w:hyperlink>
      <w:r>
        <w:t>).</w:t>
      </w:r>
    </w:p>
    <w:p>
      <w:r/>
      <w:r>
        <w:t>Il existe certains traitements moins efficaces qui sont répertoriés :</w:t>
      </w:r>
    </w:p>
    <w:p>
      <w:pPr>
        <w:pStyle w:val="ListBullet"/>
        <w:spacing w:line="240" w:lineRule="auto"/>
        <w:ind w:left="720"/>
      </w:pPr>
      <w:r/>
      <w:r>
        <w:t>Ésaïe instruit Ézéchias de mettre une masse de figues sur ses furoncles (</w:t>
      </w:r>
      <w:hyperlink r:id="rId9864">
        <w:r>
          <w:rPr>
            <w:color w:val="0000EE"/>
            <w:u w:val="single"/>
          </w:rPr>
          <w:t>2R 20.7</w:t>
        </w:r>
      </w:hyperlink>
      <w:r>
        <w:t>).</w:t>
      </w:r>
    </w:p>
    <w:p>
      <w:pPr>
        <w:pStyle w:val="ListBullet"/>
        <w:spacing w:line="240" w:lineRule="auto"/>
        <w:ind w:left="720"/>
      </w:pPr>
      <w:r/>
      <w:r>
        <w:t>Naaman guérit de sa lèpre en se plongeant sept fois dans le Jourdain.</w:t>
      </w:r>
    </w:p>
    <w:p>
      <w:pPr>
        <w:pStyle w:val="ListBullet"/>
        <w:spacing w:line="240" w:lineRule="auto"/>
        <w:ind w:left="720"/>
      </w:pPr>
      <w:r/>
      <w:r>
        <w:t>Jésus guérit la cécité en appliquant de la boue sur les yeux.</w:t>
      </w:r>
    </w:p>
    <w:p>
      <w:pPr>
        <w:pStyle w:val="Heading3"/>
      </w:pPr>
      <w:r>
        <w:t>Santé spirituelle et physique</w:t>
      </w:r>
    </w:p>
    <w:p>
      <w:r/>
      <w:hyperlink r:id="rId9865">
        <w:r>
          <w:rPr>
            <w:color w:val="0000EE"/>
            <w:u w:val="single"/>
          </w:rPr>
          <w:t>Proverbes 17.22</w:t>
        </w:r>
      </w:hyperlink>
      <w:r>
        <w:t xml:space="preserve"> montre l'effet positif de la gaieté sur la santé mentale.</w:t>
      </w:r>
    </w:p>
    <w:p>
      <w:r/>
      <w:r>
        <w:t>Le vin est employé comme médicament à plusieurs reprises dans les Écritures :</w:t>
      </w:r>
    </w:p>
    <w:p>
      <w:pPr>
        <w:pStyle w:val="ListBullet"/>
        <w:spacing w:line="240" w:lineRule="auto"/>
        <w:ind w:left="720"/>
      </w:pPr>
      <w:r/>
      <w:hyperlink r:id="rId9866">
        <w:r>
          <w:rPr>
            <w:color w:val="0000EE"/>
            <w:u w:val="single"/>
          </w:rPr>
          <w:t xml:space="preserve">Proverbes 31.6 </w:t>
        </w:r>
      </w:hyperlink>
      <w:r>
        <w:t>parle positivement de sa capacité à remonter le moral.</w:t>
      </w:r>
    </w:p>
    <w:p>
      <w:pPr>
        <w:pStyle w:val="ListBullet"/>
        <w:spacing w:line="240" w:lineRule="auto"/>
        <w:ind w:left="720"/>
      </w:pPr>
      <w:r/>
      <w:r>
        <w:t>Du vin aigre sera offert à Jésus sur la croix pour apaiser sa douleur (</w:t>
      </w:r>
      <w:hyperlink r:id="rId9867">
        <w:r>
          <w:rPr>
            <w:color w:val="0000EE"/>
            <w:u w:val="single"/>
          </w:rPr>
          <w:t>Jn 19.29</w:t>
        </w:r>
      </w:hyperlink>
      <w:r>
        <w:t>).</w:t>
      </w:r>
    </w:p>
    <w:p>
      <w:pPr>
        <w:pStyle w:val="ListBullet"/>
        <w:spacing w:line="240" w:lineRule="auto"/>
        <w:ind w:left="720"/>
      </w:pPr>
      <w:r/>
      <w:r>
        <w:t>Paul suggère à Timothée de boire du vin pour soulager sa douleur à l'estomac (</w:t>
      </w:r>
      <w:hyperlink r:id="rId9868">
        <w:r>
          <w:rPr>
            <w:color w:val="0000EE"/>
            <w:u w:val="single"/>
          </w:rPr>
          <w:t>1Tm 5.23</w:t>
        </w:r>
      </w:hyperlink>
      <w:r>
        <w:t>). Les experts médicaux d'aujourd'hui s'accordent à dire que le vin, consommé avec modération, peut aider à la digestion et à la circulation sanguine. Cependant, en consommer en excès est malsain à bien des égards.</w:t>
      </w:r>
    </w:p>
    <w:p>
      <w:pPr>
        <w:pStyle w:val="ListBullet"/>
        <w:spacing w:line="240" w:lineRule="auto"/>
        <w:ind w:left="720"/>
      </w:pPr>
      <w:r/>
      <w:r>
        <w:t>Le bon Samaritain utilise de l'huile et du vin pour traiter les blessures de l'homme blessé (</w:t>
      </w:r>
      <w:hyperlink r:id="rId6535">
        <w:r>
          <w:rPr>
            <w:color w:val="0000EE"/>
            <w:u w:val="single"/>
          </w:rPr>
          <w:t>Lc 10.34</w:t>
        </w:r>
      </w:hyperlink>
      <w:r>
        <w:t>). L'alcool dans le vin aurait nettoyé la plaie, mais il permettrait également aux bactéries de se propager sous la surface de la plaie. L'huile limiterait cette propagation et soulagerait la douleur. Un pansement est mis sur la plaie, et le patient est emmené se reposer.</w:t>
      </w:r>
    </w:p>
    <w:p>
      <w:r/>
      <w:r>
        <w:t xml:space="preserve">Dans </w:t>
      </w:r>
      <w:hyperlink r:id="rId9869">
        <w:r>
          <w:rPr>
            <w:color w:val="0000EE"/>
            <w:u w:val="single"/>
          </w:rPr>
          <w:t>Apocalypse 3.18,</w:t>
        </w:r>
      </w:hyperlink>
      <w:r>
        <w:t xml:space="preserve"> l'Église de Laodicée est invitée à utiliser un collyre. Laodicée était célèbre pour son remède local contre les yeux faibles. Ainsi, il s'agissait d'une métaphore appropriée pour avertir l'Église de l'affaiblissement de sa vision spirituelle.</w:t>
      </w:r>
    </w:p>
    <w:p>
      <w:r/>
      <w:r>
        <w:rPr>
          <w:i/>
        </w:rPr>
        <w:t>Voir aussi</w:t>
      </w:r>
      <w:r>
        <w:t xml:space="preserve"> </w:t>
      </w:r>
      <w:r>
        <w:t>Maladie</w:t>
      </w:r>
      <w:r>
        <w:t xml:space="preserve"> ; </w:t>
      </w:r>
      <w:r>
        <w:t>Médecin</w:t>
      </w:r>
      <w:r>
        <w:t xml:space="preserve"> ; </w:t>
      </w:r>
      <w:r>
        <w:t>Peste</w:t>
      </w:r>
      <w:r>
        <w:t>.</w:t>
      </w:r>
      <w:r/>
      <w:r/>
    </w:p>
    <w:p>
      <w:r/>
    </w:p>
    <w:p>
      <w:pPr>
        <w:pStyle w:val="Heading2"/>
      </w:pPr>
      <w:r>
        <w:t>Mèdes, Médie</w:t>
      </w:r>
      <w:r/>
    </w:p>
    <w:p>
      <w:r/>
      <w:r>
        <w:t>Peuple parlant une langue indo-européenne vivait dans les hautes terres d'un ancien pays appelé la Médie, maintenant partie de l'Iran. Ils étaient étroitement liés aux Perses. Les écrivains anciens confondaient souvent les deux, les appelant « Mèdes ».</w:t>
      </w:r>
    </w:p>
    <w:p>
      <w:r/>
      <w:r>
        <w:t>Les Mèdes avaient une patrie spécifique dans les montagnes du Zagros, à une altitude de 914 à 1 524 mètres. Leur capitale était Achmetha (l'actuelle Hamadan). Elle se trouvait sur une grande route commerciale depuis la Mésopotamie. Le climat estival frais d'Achmetha en faisait un refuge pour les rois perses.</w:t>
      </w:r>
    </w:p>
    <w:p>
      <w:pPr>
        <w:pStyle w:val="Heading3"/>
      </w:pPr>
      <w:r>
        <w:t>Que savons-nous des Mèdes ?</w:t>
      </w:r>
    </w:p>
    <w:p>
      <w:r/>
      <w:r>
        <w:t>Nous ne disposons pas de documents écrits des Mèdes eux-mêmes concernant leur histoire et leur culture. Ce que nous savons d'eux nous vient plutôt de ce que d'autres peuples anciens ont écrit. Les Grecs, les Néo-Babyloniens et les Assyriens ont tous écrit sur les Mèdes. Les écrits néo-babyloniens mentionnent particulièrement les Mèdes, car ces derniers, ainsi que les Chaldéens, ont aidé à détruire l'Empire assyrien. Nous pouvons également en apprendre davantage sur eux grâce à un historien grec nommé Hérodote. Il pourrait y avoir plus d'informations dans des tablettes d'argile anciennes avec une écriture en forme de coin (appelée cunéiforme).</w:t>
      </w:r>
    </w:p>
    <w:p>
      <w:pPr>
        <w:pStyle w:val="Heading3"/>
      </w:pPr>
      <w:r>
        <w:t>Raids et conquêtes assyriennes</w:t>
      </w:r>
    </w:p>
    <w:p>
      <w:r/>
      <w:r>
        <w:t>Un souverain assyrien nommé Salmanasar III a écrit au sujet des Mèdes vivant près d'un endroit appelé Achmetha au IXe siècle av. J.‑C. Cependant, les historiens ne savent pas exactement quand les Mèdes se sont installés pour la première fois dans cette région.</w:t>
      </w:r>
    </w:p>
    <w:p>
      <w:r/>
      <w:r>
        <w:t>Salmanasar a mené un raid dans les terres des Mèdes pour capturer leurs chevaux prisés. Ces chevaux étaient avaient la réputation d'être parmi les meilleurs du monde antique. Pendant de nombreuses années, les rois assyriens ont poursuivi ces raids. Ils avaient deux raisons principales : obtenir davantage de ces excellents chevaux et sécuriser les routes commerciales pour les marchands.</w:t>
      </w:r>
    </w:p>
    <w:p>
      <w:r/>
      <w:r>
        <w:t>Au cours du VIIIe siècle av. J.‑C., plusieurs rois assyriens, dont Adad-nirari, Tiglath-Piléser III et Sargon II, ont tous affirmé avoir conquis les terres des Mèdes. L'Ancien Testament mentionne que pendant les campagnes militaires de Sargon, il a déplacé des groupes de personnes, y compris certains Israélites, vers ces régions (</w:t>
      </w:r>
      <w:hyperlink r:id="rId5393">
        <w:r>
          <w:rPr>
            <w:color w:val="0000EE"/>
            <w:u w:val="single"/>
          </w:rPr>
          <w:t>2R 17.6</w:t>
        </w:r>
      </w:hyperlink>
      <w:r>
        <w:t xml:space="preserve"> ; </w:t>
      </w:r>
      <w:hyperlink r:id="rId9870">
        <w:r>
          <w:rPr>
            <w:color w:val="0000EE"/>
            <w:u w:val="single"/>
          </w:rPr>
          <w:t>18.11</w:t>
        </w:r>
      </w:hyperlink>
      <w:r>
        <w:t>).</w:t>
      </w:r>
    </w:p>
    <w:p>
      <w:pPr>
        <w:pStyle w:val="Heading3"/>
      </w:pPr>
      <w:r>
        <w:t>Les Mèdes et la chute de l'Assyrie</w:t>
      </w:r>
    </w:p>
    <w:p>
      <w:r/>
      <w:r>
        <w:t>Lors du règne d'Ésar-Haddon sur l'Assyrie (681–669 av. J.‑C.), il s'attendait à ce que les Mèdes lui versent un tribut conformément à leur traité. Cependant, les Mèdes ont constaté que l'Assyrie s'affaiblissait. En 631 av. J.‑C., ils ont décidé d'agir. Ils se sont alliés aux Scythes et aux Cimmériens pour défier le pouvoir assyrien.</w:t>
      </w:r>
    </w:p>
    <w:p>
      <w:r/>
      <w:r>
        <w:t>L'Empire assyrien a continué de s'affaiblir sous des attaques répétées. Phraortès a mené une série de batailles qui ont finalement conduit à des victoires majeures. En 612 av. J.‑C., les Mèdes ont capturé l'importante ville de Ninive. Deux ans plus tard, en 610 av. J.‑C., ils ont également pris la ville d'Haran.</w:t>
      </w:r>
    </w:p>
    <w:p>
      <w:pPr>
        <w:pStyle w:val="Heading3"/>
      </w:pPr>
      <w:r>
        <w:t>Cyaxare renforce les Mèdes</w:t>
      </w:r>
    </w:p>
    <w:p>
      <w:r/>
      <w:r>
        <w:t>Cyaxare, le chef des forces mèdes, a construit une armée forte et bien organisée. Avec leurs alliés, ils ont capturé des villes clés et étendu leur influence à travers le nord de l'Assyrie. En 585 av. J.‑C., ils ont même conclu la paix avec la Lydie, montrant ainsi leur pouvoir croissant dans la région.</w:t>
      </w:r>
    </w:p>
    <w:p>
      <w:pPr>
        <w:pStyle w:val="Heading3"/>
      </w:pPr>
      <w:r>
        <w:t>Cyrus unit les Mèdes et les Perses</w:t>
      </w:r>
    </w:p>
    <w:p>
      <w:r/>
      <w:r>
        <w:t>Les Élamites ont joué un rôle important dans les dynamiques de pouvoir changeantes du Moyen-Orient Ancien. En 550 av. J.‑C., Cyrus d'Anshan a vaincu Astyage et a pris le contrôle de la région. Cyrus était unique, ayant des origines familiales à la fois perses et mèdes. Il a capturé Achmetha, la capitale de la Médie, et a pris le titre de « roi des Mèdes ».</w:t>
      </w:r>
    </w:p>
    <w:p>
      <w:r/>
      <w:r>
        <w:t>Cyrus a rapproché les Mèdes et les Perses (</w:t>
      </w:r>
      <w:hyperlink r:id="rId9871">
        <w:r>
          <w:rPr>
            <w:color w:val="0000EE"/>
            <w:u w:val="single"/>
          </w:rPr>
          <w:t>Dn 6.8, 15</w:t>
        </w:r>
      </w:hyperlink>
      <w:r>
        <w:t>). Il a combiné leurs lois et traditions et a donné aux Mèdes des postes importants dans le gouvernement. Les gens utilisaient même souvent les mots « Mèdes » et « Perses » presque de manière interchangeable (</w:t>
      </w:r>
      <w:hyperlink r:id="rId4969">
        <w:r>
          <w:rPr>
            <w:color w:val="0000EE"/>
            <w:u w:val="single"/>
          </w:rPr>
          <w:t>Est 1.19</w:t>
        </w:r>
      </w:hyperlink>
      <w:r>
        <w:t xml:space="preserve">; </w:t>
      </w:r>
      <w:hyperlink r:id="rId9872">
        <w:r>
          <w:rPr>
            <w:color w:val="0000EE"/>
            <w:u w:val="single"/>
          </w:rPr>
          <w:t>Dn 8.20</w:t>
        </w:r>
      </w:hyperlink>
      <w:r>
        <w:t>). Ensemble, ils ont joué un rôle clé dans la capture de la ville de Babylone (</w:t>
      </w:r>
      <w:hyperlink r:id="rId9873">
        <w:r>
          <w:rPr>
            <w:color w:val="0000EE"/>
            <w:u w:val="single"/>
          </w:rPr>
          <w:t>Es 13.17</w:t>
        </w:r>
      </w:hyperlink>
      <w:r>
        <w:t xml:space="preserve">; </w:t>
      </w:r>
      <w:hyperlink r:id="rId9874">
        <w:r>
          <w:rPr>
            <w:color w:val="0000EE"/>
            <w:u w:val="single"/>
          </w:rPr>
          <w:t>Jr 51.11, 28</w:t>
        </w:r>
      </w:hyperlink>
      <w:r>
        <w:t xml:space="preserve">; </w:t>
      </w:r>
      <w:hyperlink r:id="rId9875">
        <w:r>
          <w:rPr>
            <w:color w:val="0000EE"/>
            <w:u w:val="single"/>
          </w:rPr>
          <w:t>Dn 5.28</w:t>
        </w:r>
      </w:hyperlink>
      <w:r>
        <w:t>).</w:t>
      </w:r>
    </w:p>
    <w:p>
      <w:pPr>
        <w:pStyle w:val="Heading3"/>
      </w:pPr>
      <w:r>
        <w:t>Les Mèdes dans la Bible</w:t>
      </w:r>
    </w:p>
    <w:p>
      <w:r/>
      <w:r>
        <w:t>Darius était issu d'une famille mède (</w:t>
      </w:r>
      <w:hyperlink r:id="rId1414">
        <w:r>
          <w:rPr>
            <w:color w:val="0000EE"/>
            <w:u w:val="single"/>
          </w:rPr>
          <w:t>Dn 9.1</w:t>
        </w:r>
      </w:hyperlink>
      <w:r>
        <w:t>). Lorsqu'il devient souverain de Babylone, les gens l'appelleront souvent « le Mède » en raison de son ascendance mède (</w:t>
      </w:r>
      <w:hyperlink r:id="rId9876">
        <w:r>
          <w:rPr>
            <w:color w:val="0000EE"/>
            <w:u w:val="single"/>
          </w:rPr>
          <w:t>Dn 11.1</w:t>
        </w:r>
      </w:hyperlink>
      <w:r>
        <w:t>) dès le moment où il prend le pouvoir à Babylone. Pendant son règne, et plus tard sous le règne de Darius II (409 av. J.‑C.), il y aura de nombreuses rébellions et des périodes de troubles.</w:t>
      </w:r>
    </w:p>
    <w:p>
      <w:r/>
      <w:hyperlink r:id="rId9877">
        <w:r>
          <w:rPr>
            <w:color w:val="0000EE"/>
            <w:u w:val="single"/>
          </w:rPr>
          <w:t>Esther 1.3–7</w:t>
        </w:r>
      </w:hyperlink>
      <w:r>
        <w:t xml:space="preserve"> décrit les grands festins et les somptueuses salles du palais qui appartenaient à la royauté mède. Après que les Mèdes ont perdu leur pouvoir, ils ont été gouvernés par les Syriens (Séleucides) puis par les Parthes. Dans une partie du Nouveau Testament, les Parthes, les Mèdes et les Élamites sont mentionnés ensemble (</w:t>
      </w:r>
      <w:hyperlink r:id="rId4597">
        <w:r>
          <w:rPr>
            <w:color w:val="0000EE"/>
            <w:u w:val="single"/>
          </w:rPr>
          <w:t>Ac 2.9</w:t>
        </w:r>
      </w:hyperlink>
      <w:r>
        <w:t>). Après cela, « Médie » est devenu un terme purement géographique. Le peuple n'apparaitra plus dans l'histoire comme un groupe distinct.</w:t>
      </w:r>
      <w:r/>
      <w:r/>
    </w:p>
    <w:p>
      <w:r/>
    </w:p>
    <w:p>
      <w:pPr>
        <w:pStyle w:val="Heading2"/>
      </w:pPr>
      <w:r>
        <w:t>médiateur</w:t>
      </w:r>
      <w:r/>
    </w:p>
    <w:p>
      <w:r/>
      <w:r>
        <w:t>Dans la Bible, le mot « médiateur » n'est pas utilisé pour décrire une personne qui négocie un accord ou un compromis, mais uniquement pour désigner une personne qui sert d'intermédiaire entre Dieu et les hommes. Cette personne peut ainsi transmettre connaissance et assurance avec l'autorité divine.</w:t>
      </w:r>
    </w:p>
    <w:p>
      <w:pPr>
        <w:pStyle w:val="Heading3"/>
      </w:pPr>
      <w:r>
        <w:t>Ancien Testament</w:t>
      </w:r>
    </w:p>
    <w:p>
      <w:r/>
      <w:r>
        <w:t>Job désire pouvoir avoir recours à un tel médiateur (texte de la Septante de Giguet) : « Car vous n’êtes point comme moi un homme, avec qui je puisse contester et comparaître en justice. Que n’existe-t-il entre nous un médiateur, un censeur, qui écoute la cause entre vous et moi ! Détournez de moi votre verge ; que l’effroi qu’elle m’inspire ne me trouble plus. Et je ne craindrai plus, mais je parlerai ; car je ne sais plus où j’en suis ! » (</w:t>
      </w:r>
      <w:hyperlink r:id="rId9878">
        <w:r>
          <w:rPr>
            <w:color w:val="0000EE"/>
            <w:u w:val="single"/>
          </w:rPr>
          <w:t>Jb 9.32–35</w:t>
        </w:r>
      </w:hyperlink>
      <w:r>
        <w:t>; la LSG traduit « arbitre »).</w:t>
      </w:r>
    </w:p>
    <w:p>
      <w:r/>
      <w:r>
        <w:t>Le rôle biblique de médiateur est cependant mieux connu comme servant à relayer la connaissance de Dieu et de sa volonté. L'alliance de Dieu avec Israël est mise en place par l'intermédiaire d'anges et de Moïse (</w:t>
      </w:r>
      <w:hyperlink r:id="rId9879">
        <w:r>
          <w:rPr>
            <w:color w:val="0000EE"/>
            <w:u w:val="single"/>
          </w:rPr>
          <w:t>Ex 20.18–21</w:t>
        </w:r>
      </w:hyperlink>
      <w:r>
        <w:t xml:space="preserve"> ; </w:t>
      </w:r>
      <w:hyperlink r:id="rId7908">
        <w:r>
          <w:rPr>
            <w:color w:val="0000EE"/>
            <w:u w:val="single"/>
          </w:rPr>
          <w:t>Dt 33.2</w:t>
        </w:r>
      </w:hyperlink>
      <w:r>
        <w:t xml:space="preserve"> ; </w:t>
      </w:r>
      <w:hyperlink r:id="rId9880">
        <w:r>
          <w:rPr>
            <w:color w:val="0000EE"/>
            <w:u w:val="single"/>
          </w:rPr>
          <w:t>Ac 7.53</w:t>
        </w:r>
      </w:hyperlink>
      <w:r>
        <w:t xml:space="preserve"> ; </w:t>
      </w:r>
      <w:hyperlink r:id="rId917">
        <w:r>
          <w:rPr>
            <w:color w:val="0000EE"/>
            <w:u w:val="single"/>
          </w:rPr>
          <w:t>Ga 3.19</w:t>
        </w:r>
      </w:hyperlink>
      <w:r>
        <w:t xml:space="preserve"> ). Ceci est à comparer avec l'alliance avec Abraham où Dieu, agissant seul, sert pour ainsi dire également de « médiateur » en se portant lui-même garant par serment (</w:t>
      </w:r>
      <w:hyperlink r:id="rId9881">
        <w:r>
          <w:rPr>
            <w:color w:val="0000EE"/>
            <w:u w:val="single"/>
          </w:rPr>
          <w:t>Hé 6.13–17</w:t>
        </w:r>
      </w:hyperlink>
      <w:r>
        <w:t xml:space="preserve">). </w:t>
      </w:r>
    </w:p>
    <w:p>
      <w:r/>
      <w:r>
        <w:t xml:space="preserve">Les prophètes, ayant un accès privilégié à Dieu, exposaient la loi de l'alliance, tandis que les sacrificateurs communiquaient ses réponses par les </w:t>
      </w:r>
      <w:r>
        <w:rPr>
          <w:i/>
        </w:rPr>
        <w:t>thummim</w:t>
      </w:r>
      <w:r>
        <w:t xml:space="preserve"> et les </w:t>
      </w:r>
      <w:r>
        <w:rPr>
          <w:i/>
        </w:rPr>
        <w:t>urim</w:t>
      </w:r>
      <w:r>
        <w:t xml:space="preserve"> et bénissaient en son nom (</w:t>
      </w:r>
      <w:hyperlink r:id="rId9882">
        <w:r>
          <w:rPr>
            <w:color w:val="0000EE"/>
            <w:u w:val="single"/>
          </w:rPr>
          <w:t>Dt 10.8</w:t>
        </w:r>
      </w:hyperlink>
      <w:r>
        <w:t xml:space="preserve"> ; </w:t>
      </w:r>
      <w:hyperlink r:id="rId9883">
        <w:r>
          <w:rPr>
            <w:color w:val="0000EE"/>
            <w:u w:val="single"/>
          </w:rPr>
          <w:t>33.8–10</w:t>
        </w:r>
      </w:hyperlink>
      <w:r>
        <w:t xml:space="preserve"> ; </w:t>
      </w:r>
      <w:hyperlink r:id="rId9884">
        <w:r>
          <w:rPr>
            <w:color w:val="0000EE"/>
            <w:u w:val="single"/>
          </w:rPr>
          <w:t>2Ch 15.3</w:t>
        </w:r>
      </w:hyperlink>
      <w:r>
        <w:t xml:space="preserve"> ; </w:t>
      </w:r>
      <w:hyperlink r:id="rId9885">
        <w:r>
          <w:rPr>
            <w:color w:val="0000EE"/>
            <w:u w:val="single"/>
          </w:rPr>
          <w:t>Jr 23.10–11, 18–22, 31–34</w:t>
        </w:r>
      </w:hyperlink>
      <w:r>
        <w:t xml:space="preserve"> ; </w:t>
      </w:r>
      <w:hyperlink r:id="rId9886">
        <w:r>
          <w:rPr>
            <w:color w:val="0000EE"/>
            <w:u w:val="single"/>
          </w:rPr>
          <w:t>Mi 3.11</w:t>
        </w:r>
      </w:hyperlink>
      <w:r>
        <w:t xml:space="preserve"> ; </w:t>
      </w:r>
      <w:hyperlink r:id="rId9887">
        <w:r>
          <w:rPr>
            <w:color w:val="0000EE"/>
            <w:u w:val="single"/>
          </w:rPr>
          <w:t>Ml 2.7</w:t>
        </w:r>
      </w:hyperlink>
      <w:r>
        <w:t>). La médiation liturgique du sacrificateur est un type de médiation biblique important. Ce rôle a parfois été assumé par Moïse (</w:t>
      </w:r>
      <w:hyperlink r:id="rId9888">
        <w:r>
          <w:rPr>
            <w:color w:val="0000EE"/>
            <w:u w:val="single"/>
          </w:rPr>
          <w:t>Ex 24.4–8</w:t>
        </w:r>
      </w:hyperlink>
      <w:r>
        <w:t>) ou par une personne désignée et formée aux rituels du culte (</w:t>
      </w:r>
      <w:hyperlink r:id="rId9889">
        <w:r>
          <w:rPr>
            <w:color w:val="0000EE"/>
            <w:u w:val="single"/>
          </w:rPr>
          <w:t>28.1</w:t>
        </w:r>
      </w:hyperlink>
      <w:r>
        <w:t xml:space="preserve">). En vertu de l'alliance avec le Dieu saint, il était essentiel de pourvoir un moyen de purifier et pardonner Israël de ses péchés. C'était un aspect important du ministère des sacrificateurs qui agissaient ainsi comme médiateurs. Ils servaient d'intermédiaire pour le peuple devant Dieu, présentant la pénitence, les confessions et les prières du peuple, tout en portant les noms des tribus d'Israël gravés sur le pectoral en sa présence. Ils servaient aussi d'intermédiaires pour Dieu devant le peuple en leur communiquant son pardon et sa bénédiction (voir </w:t>
      </w:r>
      <w:hyperlink r:id="rId9890">
        <w:r>
          <w:rPr>
            <w:color w:val="0000EE"/>
            <w:u w:val="single"/>
          </w:rPr>
          <w:t>Hé 5.1–4</w:t>
        </w:r>
      </w:hyperlink>
      <w:r>
        <w:t xml:space="preserve"> ; </w:t>
      </w:r>
      <w:hyperlink r:id="rId9891">
        <w:r>
          <w:rPr>
            <w:color w:val="0000EE"/>
            <w:u w:val="single"/>
          </w:rPr>
          <w:t>7.27–10.11</w:t>
        </w:r>
      </w:hyperlink>
      <w:r>
        <w:t>).</w:t>
      </w:r>
    </w:p>
    <w:p>
      <w:pPr>
        <w:pStyle w:val="Heading3"/>
      </w:pPr>
      <w:r>
        <w:t>Nouveau Testament</w:t>
      </w:r>
    </w:p>
    <w:p>
      <w:r/>
      <w:r>
        <w:t>Il n'est pas surprenant que la mission de Jésus ait été décrite en termes de médiation. En premier lieu, il était prophète, parlant pour Dieu aux humains et le faisant connaître (</w:t>
      </w:r>
      <w:hyperlink r:id="rId9892">
        <w:r>
          <w:rPr>
            <w:color w:val="0000EE"/>
            <w:u w:val="single"/>
          </w:rPr>
          <w:t>Mc 6.15</w:t>
        </w:r>
      </w:hyperlink>
      <w:r>
        <w:t xml:space="preserve"> ; </w:t>
      </w:r>
      <w:hyperlink r:id="rId9893">
        <w:r>
          <w:rPr>
            <w:color w:val="0000EE"/>
            <w:u w:val="single"/>
          </w:rPr>
          <w:t>8.28</w:t>
        </w:r>
      </w:hyperlink>
      <w:r>
        <w:t>). Cependant, le titre de « médiateur » est donné à Jésus spécifiquement pour décrire son rôle dans l'institution de la nouvelle alliance. Cette nouvelle alliance établit une nouvelle relation entre Dieu et l'humanité (</w:t>
      </w:r>
      <w:hyperlink r:id="rId9894">
        <w:r>
          <w:rPr>
            <w:color w:val="0000EE"/>
            <w:u w:val="single"/>
          </w:rPr>
          <w:t>Hé 8.6</w:t>
        </w:r>
      </w:hyperlink>
      <w:r>
        <w:t xml:space="preserve"> ; </w:t>
      </w:r>
      <w:hyperlink r:id="rId9895">
        <w:r>
          <w:rPr>
            <w:color w:val="0000EE"/>
            <w:u w:val="single"/>
          </w:rPr>
          <w:t>9.15</w:t>
        </w:r>
      </w:hyperlink>
      <w:r>
        <w:t xml:space="preserve"> ; </w:t>
      </w:r>
      <w:hyperlink r:id="rId9896">
        <w:r>
          <w:rPr>
            <w:color w:val="0000EE"/>
            <w:u w:val="single"/>
          </w:rPr>
          <w:t>12.24</w:t>
        </w:r>
      </w:hyperlink>
      <w:r>
        <w:t xml:space="preserve">). Il est aussi ainsi décrit dans </w:t>
      </w:r>
      <w:hyperlink r:id="rId9897">
        <w:r>
          <w:rPr>
            <w:color w:val="0000EE"/>
            <w:u w:val="single"/>
          </w:rPr>
          <w:t>1 Timothée 2.5</w:t>
        </w:r>
      </w:hyperlink>
      <w:r>
        <w:t>, où le rapport est établi entre le Dieu unique et un médiateur unique et sans rival, le Christ.</w:t>
      </w:r>
    </w:p>
    <w:p>
      <w:r/>
      <w:r>
        <w:t xml:space="preserve">Ce passage mentionne aussi que Jésus « s’est donné lui-même en rançon pour tous ». Cette médiation correspond au rôle du sacrificateur qui offre les sacrifices pour le péché et constitue l'un des thèmes centraux de l'épître aux Hébreux. Seul Christ, en tant que Fils de Dieu, choisi par Dieu, sans péché, souffrant, tenté, compatissant et obéissant, est ainsi qualifié pour être le souverain sacrificateur du peuple de Dieu sous la nouvelle alliance. En tant que sacrificateur, il offre un sacrifice parfait. En tant qu'intercesseur, il vit éternellement pour intercéder pour ceux qui s'approchent de Dieu à travers lui. Jésus exerce ce ministère de médiation à « la droite de Dieu ». Son intercession pour les siens est également mentionnée dans </w:t>
      </w:r>
      <w:hyperlink r:id="rId9451">
        <w:r>
          <w:rPr>
            <w:color w:val="0000EE"/>
            <w:u w:val="single"/>
          </w:rPr>
          <w:t>Romains 8.34</w:t>
        </w:r>
      </w:hyperlink>
      <w:r>
        <w:t xml:space="preserve"> et probablement décrite aussi dans </w:t>
      </w:r>
      <w:hyperlink r:id="rId1351">
        <w:r>
          <w:rPr>
            <w:color w:val="0000EE"/>
            <w:u w:val="single"/>
          </w:rPr>
          <w:t>1 Jean 2.1</w:t>
        </w:r>
      </w:hyperlink>
      <w:r>
        <w:t>. C'est ainsi que les anciens commentaires et d'autres autorités comprennent sa description comme « avocat auprès du Père ». Son sacrifice, qu'il présente en tant que représentant et médiateur pour l'humanité, est mentionné dans Matthieu (</w:t>
      </w:r>
      <w:hyperlink r:id="rId1933">
        <w:r>
          <w:rPr>
            <w:color w:val="0000EE"/>
            <w:u w:val="single"/>
          </w:rPr>
          <w:t>Mt 26.28</w:t>
        </w:r>
      </w:hyperlink>
      <w:r>
        <w:t>), Jean (</w:t>
      </w:r>
      <w:hyperlink r:id="rId5635">
        <w:r>
          <w:rPr>
            <w:color w:val="0000EE"/>
            <w:u w:val="single"/>
          </w:rPr>
          <w:t>Jn 1.29</w:t>
        </w:r>
      </w:hyperlink>
      <w:r>
        <w:t>), Romains (</w:t>
      </w:r>
      <w:hyperlink r:id="rId8454">
        <w:r>
          <w:rPr>
            <w:color w:val="0000EE"/>
            <w:u w:val="single"/>
          </w:rPr>
          <w:t>Rm 3.25</w:t>
        </w:r>
      </w:hyperlink>
      <w:r>
        <w:t>) et 1 Jean (</w:t>
      </w:r>
      <w:hyperlink r:id="rId3004">
        <w:r>
          <w:rPr>
            <w:color w:val="0000EE"/>
            <w:u w:val="single"/>
          </w:rPr>
          <w:t xml:space="preserve">1Jn 1.7 </w:t>
        </w:r>
      </w:hyperlink>
      <w:r>
        <w:t xml:space="preserve">; </w:t>
      </w:r>
      <w:hyperlink r:id="rId9898">
        <w:r>
          <w:rPr>
            <w:color w:val="0000EE"/>
            <w:u w:val="single"/>
          </w:rPr>
          <w:t xml:space="preserve">2.2 </w:t>
        </w:r>
      </w:hyperlink>
      <w:r>
        <w:t xml:space="preserve">; </w:t>
      </w:r>
      <w:hyperlink r:id="rId9899">
        <w:r>
          <w:rPr>
            <w:color w:val="0000EE"/>
            <w:u w:val="single"/>
          </w:rPr>
          <w:t>4.10</w:t>
        </w:r>
      </w:hyperlink>
      <w:r>
        <w:t>).</w:t>
      </w:r>
    </w:p>
    <w:p>
      <w:r/>
      <w:r>
        <w:t>Le NT met tout autant en avant le fait que la connaissance ultime de Dieu, du salut et de l'espérance de son peuple est venue par Christ seul. S'étant fait pauvre pour nous, il est mort et ressuscité pour nous. Notre paix, notre accès à Dieu, notre réconciliation, l'expiation du péché, la grâce, la vérité, la prière et toutes les bénédictions spirituelles sont « par lui », « en lui », « par son sang » et « en son nom ». Le dessein de Dieu est centré sur lui. Il a été médiateur à la création et à la rédemption (</w:t>
      </w:r>
      <w:hyperlink r:id="rId9900">
        <w:r>
          <w:rPr>
            <w:color w:val="0000EE"/>
            <w:u w:val="single"/>
          </w:rPr>
          <w:t>Col 1.15, 22</w:t>
        </w:r>
      </w:hyperlink>
      <w:r>
        <w:t>). En lui habite toute la plénitude de Dieu et le visage du Christ révèle la gloire de Dieu. Personne ne connaît le Père si ce n'est le Fils et ceux à qui le Fils le révèle. Personne ne vient au Père que par lui. Il n'y a de salut en aucun autre.</w:t>
      </w:r>
    </w:p>
    <w:p>
      <w:r/>
      <w:r>
        <w:t>La médiation de Christ est l'accomplissement et la fin de toute autre médiation entre Dieu et l'humanité. L'épître aux Hébreux débute en déclarant que Christ est supérieur à tous les autres médiateurs : les anges, Moïse et les sacrificateurs de l'ordre d'Aaron. Son sacerdoce est sans fin, comme celui de Melchisédek. Son sacrifice est « une fois pour toutes » et par celui-ci, nous avons été consacrés à Dieu « pour toujours ». L'alliance qu'il a établie entre Dieu et les hommes est meilleure de tous points de vue, car elle repose sur un meilleur sacrifice et un meilleur sanctuaire, de meilleures promesses et une meilleure espérance (</w:t>
      </w:r>
      <w:hyperlink r:id="rId9901">
        <w:r>
          <w:rPr>
            <w:color w:val="0000EE"/>
            <w:u w:val="single"/>
          </w:rPr>
          <w:t>Hé 7.19</w:t>
        </w:r>
      </w:hyperlink>
      <w:r>
        <w:t xml:space="preserve"> ; </w:t>
      </w:r>
      <w:hyperlink r:id="rId9894">
        <w:r>
          <w:rPr>
            <w:color w:val="0000EE"/>
            <w:u w:val="single"/>
          </w:rPr>
          <w:t>8.6</w:t>
        </w:r>
      </w:hyperlink>
      <w:r>
        <w:t xml:space="preserve"> ; </w:t>
      </w:r>
      <w:hyperlink r:id="rId9902">
        <w:r>
          <w:rPr>
            <w:color w:val="0000EE"/>
            <w:u w:val="single"/>
          </w:rPr>
          <w:t>9.1, 11–15</w:t>
        </w:r>
      </w:hyperlink>
      <w:r>
        <w:t xml:space="preserve">). La médiation du Christ surpasse tellement toutes les autres qu'elle ne pourra jamais être surpassée et remplacée. Il est sacrificateur sans rival et pour toujours (voir aussi </w:t>
      </w:r>
      <w:hyperlink r:id="rId9897">
        <w:r>
          <w:rPr>
            <w:color w:val="0000EE"/>
            <w:u w:val="single"/>
          </w:rPr>
          <w:t>1Tm 2.5</w:t>
        </w:r>
      </w:hyperlink>
      <w:r>
        <w:t>).</w:t>
      </w:r>
    </w:p>
    <w:p>
      <w:r/>
      <w:r>
        <w:t xml:space="preserve">Sans faire de comparaison explicite au rôle de sacrificateur, Jean souligne la même vérité. Le fossé qui sépare les humains de leur Dieu a été comblé, de façon décisive et définitive, par l'Incarnation. Au lieu de se tenir entre Dieu et l'homme, le Christ unit les deux en lui-même en étant devenu homme. Médiateur au commencement lors de la création, le Christ est lui-même la Parole (appelé le Verbe dans certaines traductions). Près du Père, il envoie l'Esprit de Dieu, incarne le message de Dieu et transmet sa puissance. Personne n'a jamais vu Dieu, mais en tant que Fils unique et divin, Jésus « </w:t>
      </w:r>
      <w:r>
        <w:t>fait connaître</w:t>
      </w:r>
      <w:r>
        <w:t xml:space="preserve"> » Dieu (</w:t>
      </w:r>
      <w:hyperlink r:id="rId5734">
        <w:r>
          <w:rPr>
            <w:color w:val="0000EE"/>
            <w:u w:val="single"/>
          </w:rPr>
          <w:t>Jn 1.18</w:t>
        </w:r>
      </w:hyperlink>
      <w:r>
        <w:t xml:space="preserve">). Comme représentant de l'humanité, Jésus prie pour ses disciples (ch. </w:t>
      </w:r>
      <w:hyperlink r:id="rId9903">
        <w:r>
          <w:rPr>
            <w:color w:val="0000EE"/>
            <w:u w:val="single"/>
          </w:rPr>
          <w:t>17</w:t>
        </w:r>
      </w:hyperlink>
      <w:r>
        <w:t>), obéit parfaitement au Père, donne sa vie pour son troupeau et s'offre comme le sacrifice sans tache qui ôte le péché du monde.</w:t>
      </w:r>
    </w:p>
    <w:p>
      <w:r/>
      <w:r>
        <w:rPr>
          <w:i/>
        </w:rPr>
        <w:t>Voir aussi</w:t>
      </w:r>
      <w:r>
        <w:t xml:space="preserve"> </w:t>
      </w:r>
      <w:r>
        <w:t>réconciliation</w:t>
      </w:r>
      <w:r>
        <w:t>.</w:t>
      </w:r>
      <w:r/>
      <w:r/>
    </w:p>
    <w:p>
      <w:r/>
    </w:p>
    <w:p>
      <w:pPr>
        <w:pStyle w:val="Heading2"/>
      </w:pPr>
      <w:r>
        <w:t>Mehéthabeel</w:t>
      </w:r>
      <w:r/>
    </w:p>
    <w:p>
      <w:pPr>
        <w:pStyle w:val="ListNumber"/>
        <w:spacing w:line="240" w:lineRule="auto"/>
        <w:ind w:left="720"/>
      </w:pPr>
      <w:r/>
      <w:r>
        <w:t>Fille de Mathred et épouse du roi Hadar d'Édom à l'époque pré-israélite (</w:t>
      </w:r>
      <w:hyperlink r:id="rId6170">
        <w:r>
          <w:rPr>
            <w:color w:val="0000EE"/>
            <w:u w:val="single"/>
          </w:rPr>
          <w:t>Gn 36.39</w:t>
        </w:r>
      </w:hyperlink>
      <w:r>
        <w:t xml:space="preserve"> ; </w:t>
      </w:r>
      <w:hyperlink r:id="rId9668">
        <w:r>
          <w:rPr>
            <w:color w:val="0000EE"/>
            <w:u w:val="single"/>
          </w:rPr>
          <w:t>1Ch 1.50</w:t>
        </w:r>
      </w:hyperlink>
      <w:r>
        <w:t>).</w:t>
      </w:r>
    </w:p>
    <w:p>
      <w:pPr>
        <w:pStyle w:val="ListNumber"/>
        <w:spacing w:line="240" w:lineRule="auto"/>
        <w:ind w:left="720"/>
      </w:pPr>
      <w:r/>
      <w:r>
        <w:t xml:space="preserve">Grand-père de </w:t>
      </w:r>
      <w:r>
        <w:t>Schemaeja</w:t>
      </w:r>
      <w:r>
        <w:t xml:space="preserve">. Tobija et Sanballat engageront </w:t>
      </w:r>
      <w:r>
        <w:t>Schemaeja</w:t>
      </w:r>
      <w:r>
        <w:t xml:space="preserve"> pour discréditer Néhémie en l'effrayant afin qu'il s'enfuie dans le temple (</w:t>
      </w:r>
      <w:hyperlink r:id="rId9904">
        <w:r>
          <w:rPr>
            <w:color w:val="0000EE"/>
            <w:u w:val="single"/>
          </w:rPr>
          <w:t>Né 6.10</w:t>
        </w:r>
      </w:hyperlink>
      <w:r>
        <w:t>).</w:t>
      </w:r>
      <w:r/>
      <w:r/>
    </w:p>
    <w:p>
      <w:r/>
    </w:p>
    <w:p>
      <w:pPr>
        <w:pStyle w:val="Heading2"/>
      </w:pPr>
      <w:r>
        <w:t>Mehujaël</w:t>
      </w:r>
      <w:r/>
    </w:p>
    <w:p>
      <w:r/>
      <w:r>
        <w:t>Fils d'Irad et père de Metuschaël, dans la lignée familiale de Caïn (</w:t>
      </w:r>
      <w:hyperlink r:id="rId6818">
        <w:r>
          <w:rPr>
            <w:color w:val="0000EE"/>
            <w:u w:val="single"/>
          </w:rPr>
          <w:t>Gn 4.18</w:t>
        </w:r>
      </w:hyperlink>
      <w:r>
        <w:t>).</w:t>
      </w:r>
      <w:r/>
      <w:r/>
    </w:p>
    <w:p>
      <w:r/>
    </w:p>
    <w:p>
      <w:pPr>
        <w:pStyle w:val="Heading2"/>
      </w:pPr>
      <w:r>
        <w:t>Mehuman</w:t>
      </w:r>
      <w:r/>
    </w:p>
    <w:p>
      <w:r/>
      <w:r>
        <w:t>L'un des sept officiers que le roi Assuérus a envoyé chercher la reine Vasthi au banquet royal (</w:t>
      </w:r>
      <w:hyperlink r:id="rId15">
        <w:r>
          <w:rPr>
            <w:color w:val="0000EE"/>
            <w:u w:val="single"/>
          </w:rPr>
          <w:t>Est 1.10</w:t>
        </w:r>
      </w:hyperlink>
      <w:r>
        <w:t>).</w:t>
      </w:r>
      <w:r/>
      <w:r/>
    </w:p>
    <w:p>
      <w:r/>
    </w:p>
    <w:p>
      <w:pPr>
        <w:pStyle w:val="Heading2"/>
      </w:pPr>
      <w:r>
        <w:t>Melchisédek</w:t>
      </w:r>
      <w:r/>
    </w:p>
    <w:p>
      <w:r/>
      <w:r>
        <w:t xml:space="preserve">Personnage biblique mystérieux dont le nom signifie « roi de justice ». Melchisédek était à la fois sacrificateur et roi. Il est mentionné pour la première fois dans </w:t>
      </w:r>
      <w:hyperlink r:id="rId6322">
        <w:r>
          <w:rPr>
            <w:color w:val="0000EE"/>
            <w:u w:val="single"/>
          </w:rPr>
          <w:t>Genèse 14.18–20</w:t>
        </w:r>
      </w:hyperlink>
      <w:r>
        <w:t xml:space="preserve">. Il est également question de lui dans le </w:t>
      </w:r>
      <w:hyperlink r:id="rId6312">
        <w:r>
          <w:rPr>
            <w:color w:val="0000EE"/>
            <w:u w:val="single"/>
          </w:rPr>
          <w:t>Psaume 110.4</w:t>
        </w:r>
      </w:hyperlink>
      <w:r>
        <w:t xml:space="preserve"> et dans </w:t>
      </w:r>
      <w:hyperlink r:id="rId6316">
        <w:r>
          <w:rPr>
            <w:color w:val="0000EE"/>
            <w:u w:val="single"/>
          </w:rPr>
          <w:t>Hébreux 5.10</w:t>
        </w:r>
      </w:hyperlink>
      <w:r>
        <w:t xml:space="preserve"> ; </w:t>
      </w:r>
      <w:hyperlink r:id="rId1346">
        <w:r>
          <w:rPr>
            <w:color w:val="0000EE"/>
            <w:u w:val="single"/>
          </w:rPr>
          <w:t>6.20</w:t>
        </w:r>
      </w:hyperlink>
      <w:r>
        <w:t xml:space="preserve"> ; </w:t>
      </w:r>
      <w:hyperlink r:id="rId9905">
        <w:r>
          <w:rPr>
            <w:color w:val="0000EE"/>
            <w:u w:val="single"/>
          </w:rPr>
          <w:t>7.1–17</w:t>
        </w:r>
      </w:hyperlink>
      <w:r>
        <w:t>.</w:t>
      </w:r>
    </w:p>
    <w:p>
      <w:pPr>
        <w:pStyle w:val="Heading3"/>
      </w:pPr>
      <w:r>
        <w:t xml:space="preserve">Melchisédek dans </w:t>
      </w:r>
      <w:hyperlink r:id="rId6322">
        <w:r>
          <w:rPr>
            <w:color w:val="0000EE"/>
            <w:u w:val="single"/>
          </w:rPr>
          <w:t>Genèse 14.18–20</w:t>
        </w:r>
      </w:hyperlink>
    </w:p>
    <w:p>
      <w:r/>
      <w:r>
        <w:t>Le roi Kedorlaomer et trois autres rois Mésopotamiens avaient attaqué cinq villes près de la mer Morte. Ayant vaincu ces villes, ils en avaient capturé les habitants, dont Lot, le neveu d'Abraham, ainsi que sa famille. Ils avaient également pris toutes les richesses de ces villes comme butin (</w:t>
      </w:r>
      <w:hyperlink r:id="rId9906">
        <w:r>
          <w:rPr>
            <w:color w:val="0000EE"/>
            <w:u w:val="single"/>
          </w:rPr>
          <w:t>Gn 14.1–12</w:t>
        </w:r>
      </w:hyperlink>
      <w:r>
        <w:t>). Quand Abraham apprend ce qui s'était passé, il rassemble ses hommes et se lance à la poursuite des rois vainqueurs. Abraham et sa troupe gagne contre eux et sauve Lot et sa famille. Ils ramènent également le butin que ces rois avaient emmené (</w:t>
      </w:r>
      <w:hyperlink r:id="rId6067">
        <w:r>
          <w:rPr>
            <w:color w:val="0000EE"/>
            <w:u w:val="single"/>
          </w:rPr>
          <w:t>Gn 14.13–16</w:t>
        </w:r>
      </w:hyperlink>
      <w:r>
        <w:t>).</w:t>
      </w:r>
    </w:p>
    <w:p>
      <w:r/>
      <w:r>
        <w:t xml:space="preserve">Quand Abraham revient, les rois des villes qui avaient été vaincues viennent le remercier. Melchisédek, le roi de Salem (ancien nom de Jérusalem, voir </w:t>
      </w:r>
      <w:hyperlink r:id="rId9907">
        <w:r>
          <w:rPr>
            <w:color w:val="0000EE"/>
            <w:u w:val="single"/>
          </w:rPr>
          <w:t>Ps 76.3</w:t>
        </w:r>
      </w:hyperlink>
      <w:r>
        <w:t>), vient aussi à sa rencontre. Melchisédek, qui est sacrificateur du « Dieu Très-Haut », apporte du pain et du vin et bénit Abraham (</w:t>
      </w:r>
      <w:hyperlink r:id="rId4624">
        <w:r>
          <w:rPr>
            <w:color w:val="0000EE"/>
            <w:u w:val="single"/>
          </w:rPr>
          <w:t>Gn 14.18</w:t>
        </w:r>
      </w:hyperlink>
      <w:r>
        <w:t>).</w:t>
      </w:r>
    </w:p>
    <w:p>
      <w:r/>
      <w:r>
        <w:t>Le nom « Dieu Très-Haut » (</w:t>
      </w:r>
      <w:r>
        <w:rPr>
          <w:i/>
        </w:rPr>
        <w:t>’El ‘Elyon</w:t>
      </w:r>
      <w:r>
        <w:t xml:space="preserve"> en hébreu) n'est pas la divinité du même nom que les cananéens adoraient. En effet, le Dieu Très Haut biblique est l'Éternel, qui a créé les cieux et la terre (voir </w:t>
      </w:r>
      <w:hyperlink r:id="rId9418">
        <w:r>
          <w:rPr>
            <w:color w:val="0000EE"/>
            <w:u w:val="single"/>
          </w:rPr>
          <w:t xml:space="preserve">Gn 14.22 </w:t>
        </w:r>
      </w:hyperlink>
      <w:r>
        <w:t xml:space="preserve">; </w:t>
      </w:r>
      <w:hyperlink r:id="rId9908">
        <w:r>
          <w:rPr>
            <w:color w:val="0000EE"/>
            <w:u w:val="single"/>
          </w:rPr>
          <w:t xml:space="preserve">Ps 7.18 </w:t>
        </w:r>
      </w:hyperlink>
      <w:r>
        <w:t xml:space="preserve">; </w:t>
      </w:r>
      <w:hyperlink r:id="rId9909">
        <w:r>
          <w:rPr>
            <w:color w:val="0000EE"/>
            <w:u w:val="single"/>
          </w:rPr>
          <w:t xml:space="preserve">47.3 </w:t>
        </w:r>
      </w:hyperlink>
      <w:r>
        <w:t xml:space="preserve">; </w:t>
      </w:r>
      <w:hyperlink r:id="rId3945">
        <w:r>
          <w:rPr>
            <w:color w:val="0000EE"/>
            <w:u w:val="single"/>
          </w:rPr>
          <w:t xml:space="preserve">57.3 </w:t>
        </w:r>
      </w:hyperlink>
      <w:r>
        <w:t xml:space="preserve">; </w:t>
      </w:r>
      <w:hyperlink r:id="rId3946">
        <w:r>
          <w:rPr>
            <w:color w:val="0000EE"/>
            <w:u w:val="single"/>
          </w:rPr>
          <w:t>78.56</w:t>
        </w:r>
      </w:hyperlink>
      <w:r>
        <w:t>). Il est clair dans ce récit que Melchisédek et Abraham parlent du même Dieu et qu'il s'agit de l'Éternel (</w:t>
      </w:r>
      <w:hyperlink r:id="rId9418">
        <w:r>
          <w:rPr>
            <w:color w:val="0000EE"/>
            <w:u w:val="single"/>
          </w:rPr>
          <w:t>Gn 14.22</w:t>
        </w:r>
      </w:hyperlink>
      <w:r>
        <w:t>).</w:t>
      </w:r>
    </w:p>
    <w:p>
      <w:r/>
      <w:r>
        <w:t>Melchisédek loue Dieu d'avoir aidé Abraham à remporter la victoire. Les actions d'Abraham montrent qu'il reconnaissait que Melchisédek était véritablement un sacrificateur de Dieu. Premièrement, Abraham accepte le pain et le vin de Melchisédek, ainsi que sa bénédiction. Deuxièmement, il lui donne un dixième de tout le butin qu'il a récupéré. Par contre, Abraham refuse d'accepter les biens que le roi de Sodome lui propose, car il ne le considère pas en règle avec Dieu. Il est très probable que le roi de Sodome et les autres qui avaient été vaincus adoraient tous des idoles, c'est à dire des faux dieux, plutôt que l'Éternel.</w:t>
      </w:r>
    </w:p>
    <w:p>
      <w:r/>
      <w:r>
        <w:t xml:space="preserve">Nous ne savons pas exactement comment Melchisédek a connu le vrai Dieu. Il a peut-être appris qui il était à travers des histoires à son sujet qui se sont transmises depuis l'époque du déluge de Noé. Dieu peut aussi s'être révélé directement à lui comme il l'a fait avec Abraham. </w:t>
      </w:r>
      <w:hyperlink r:id="rId6324">
        <w:r>
          <w:rPr>
            <w:color w:val="0000EE"/>
            <w:u w:val="single"/>
          </w:rPr>
          <w:t>Hébreux 7.3</w:t>
        </w:r>
      </w:hyperlink>
      <w:r>
        <w:t xml:space="preserve"> explique que Melchisédek n'a pas hérité du rôle de sacrificateur par son père. Il est clair qu'il a reçu ce rôle directement, même si la Bible n'explique pas comment.</w:t>
      </w:r>
    </w:p>
    <w:p>
      <w:pPr>
        <w:pStyle w:val="Heading3"/>
      </w:pPr>
      <w:r>
        <w:t xml:space="preserve">Melchisédek dans le </w:t>
      </w:r>
      <w:hyperlink r:id="rId6312">
        <w:r>
          <w:rPr>
            <w:color w:val="0000EE"/>
            <w:u w:val="single"/>
          </w:rPr>
          <w:t>Psaume 110.4</w:t>
        </w:r>
      </w:hyperlink>
    </w:p>
    <w:p>
      <w:r/>
      <w:r>
        <w:t>Dans ce psaume, le roi David écrit à propos de quelqu'un plus de important que lui-même et qu'il appelle « Seigneur » (</w:t>
      </w:r>
      <w:hyperlink r:id="rId1333">
        <w:r>
          <w:rPr>
            <w:color w:val="0000EE"/>
            <w:u w:val="single"/>
          </w:rPr>
          <w:t>Ps 11.1</w:t>
        </w:r>
      </w:hyperlink>
      <w:r>
        <w:t xml:space="preserve"> ; voir aussi </w:t>
      </w:r>
      <w:hyperlink r:id="rId3639">
        <w:r>
          <w:rPr>
            <w:color w:val="0000EE"/>
            <w:u w:val="single"/>
          </w:rPr>
          <w:t>Mc 12.35</w:t>
        </w:r>
      </w:hyperlink>
      <w:r>
        <w:t>–</w:t>
      </w:r>
      <w:hyperlink r:id="rId3639">
        <w:r>
          <w:rPr>
            <w:color w:val="0000EE"/>
            <w:u w:val="single"/>
          </w:rPr>
          <w:t>37</w:t>
        </w:r>
      </w:hyperlink>
      <w:r>
        <w:t>). Comme l'enseignement de Jésus sur ce passage le montre, David ne parlait pas de lui-même ni d'aucun autre roi de son temps. Il parlait du Messie qui viendrait dans le futur. Ce Messie serait à la fois le Fils de Dieu et un descendant de David.</w:t>
      </w:r>
    </w:p>
    <w:p>
      <w:r/>
      <w:r>
        <w:t xml:space="preserve">Dans </w:t>
      </w:r>
      <w:hyperlink r:id="rId6312">
        <w:r>
          <w:rPr>
            <w:color w:val="0000EE"/>
            <w:u w:val="single"/>
          </w:rPr>
          <w:t>Psaume 110.4</w:t>
        </w:r>
      </w:hyperlink>
      <w:r>
        <w:t xml:space="preserve">, David dit au Messie : « </w:t>
      </w:r>
      <w:r>
        <w:t>Tu es sacrificateur pour toujours, À la manière de Melchisédek</w:t>
      </w:r>
      <w:r>
        <w:t xml:space="preserve"> ». La signification de cette promesse est expliquée plus tard dans l'épître aux Hébreux.</w:t>
      </w:r>
    </w:p>
    <w:p>
      <w:pPr>
        <w:pStyle w:val="Heading3"/>
      </w:pPr>
      <w:r>
        <w:t xml:space="preserve">Melchisédek dans </w:t>
      </w:r>
      <w:hyperlink r:id="rId9910">
        <w:r>
          <w:rPr>
            <w:color w:val="0000EE"/>
            <w:u w:val="single"/>
          </w:rPr>
          <w:t>Hébreux 5.6–11</w:t>
        </w:r>
      </w:hyperlink>
      <w:r>
        <w:t xml:space="preserve"> ; </w:t>
      </w:r>
      <w:hyperlink r:id="rId9911">
        <w:r>
          <w:rPr>
            <w:color w:val="0000EE"/>
            <w:u w:val="single"/>
          </w:rPr>
          <w:t>6.20–7.28</w:t>
        </w:r>
      </w:hyperlink>
    </w:p>
    <w:p>
      <w:r/>
      <w:r>
        <w:t>Hébreux explique que le ministère de sacrificateur de Jésus est supérieur à celui des sacrificateurs issus de la famille d'Aaron (les sacrificateurs selon la loi de Moïse). Il compare le rôle de sacrificateur de Jésus à celui de Melchisédek pour le démontrer. Ils sont semblables en trois points :</w:t>
      </w:r>
    </w:p>
    <w:p>
      <w:pPr>
        <w:pStyle w:val="ListNumber"/>
        <w:spacing w:line="240" w:lineRule="auto"/>
        <w:ind w:left="720"/>
      </w:pPr>
      <w:r/>
      <w:r>
        <w:t>Jésus et Melchisédek sont tous les deux des « rois de justice » et des « rois de paix » (</w:t>
      </w:r>
      <w:hyperlink r:id="rId9912">
        <w:r>
          <w:rPr>
            <w:color w:val="0000EE"/>
            <w:u w:val="single"/>
          </w:rPr>
          <w:t>Hé 7.1–2</w:t>
        </w:r>
      </w:hyperlink>
      <w:r>
        <w:t>).</w:t>
      </w:r>
    </w:p>
    <w:p>
      <w:pPr>
        <w:pStyle w:val="ListNumber"/>
        <w:spacing w:line="240" w:lineRule="auto"/>
        <w:ind w:left="720"/>
      </w:pPr>
      <w:r/>
      <w:r>
        <w:t>Les deux sont devenus sacrificateurs directement, pas parce qu'ils sont nés dans une famille de sacrificateurs (</w:t>
      </w:r>
      <w:hyperlink r:id="rId6324">
        <w:r>
          <w:rPr>
            <w:color w:val="0000EE"/>
            <w:u w:val="single"/>
          </w:rPr>
          <w:t>Hé 7.3</w:t>
        </w:r>
      </w:hyperlink>
      <w:r>
        <w:t>).</w:t>
      </w:r>
    </w:p>
    <w:p>
      <w:pPr>
        <w:pStyle w:val="ListNumber"/>
        <w:spacing w:line="240" w:lineRule="auto"/>
        <w:ind w:left="720"/>
      </w:pPr>
      <w:r/>
      <w:r>
        <w:t>Les deux demeurent sacrificateurs pour toujours (</w:t>
      </w:r>
      <w:hyperlink r:id="rId6324">
        <w:r>
          <w:rPr>
            <w:color w:val="0000EE"/>
            <w:u w:val="single"/>
          </w:rPr>
          <w:t>Hé 7.3</w:t>
        </w:r>
      </w:hyperlink>
      <w:r>
        <w:t>).</w:t>
      </w:r>
    </w:p>
    <w:p>
      <w:r/>
      <w:r>
        <w:t>Melchisédek était au-dessus d'Abraham, l'ancêtre des Lévites dont viennent les sacrificateurs selon la loi de Moïse. En effet, Melchisédek a béni Abraham et Abraham lui a payé une dîme (</w:t>
      </w:r>
      <w:hyperlink r:id="rId9913">
        <w:r>
          <w:rPr>
            <w:color w:val="0000EE"/>
            <w:u w:val="single"/>
          </w:rPr>
          <w:t>Hé 7.4–10</w:t>
        </w:r>
      </w:hyperlink>
      <w:r>
        <w:t>). Le roi David avait écrit qu'un sacrificateur comme Melchisédek viendrait, ce qui démontre que les sacrificateurs comme Aaron n'étaient pas suffisants pour accomplir le plan de Dieu pour son peuple (</w:t>
      </w:r>
      <w:hyperlink r:id="rId9914">
        <w:r>
          <w:rPr>
            <w:color w:val="0000EE"/>
            <w:u w:val="single"/>
          </w:rPr>
          <w:t>Hé 7.11</w:t>
        </w:r>
      </w:hyperlink>
      <w:r>
        <w:t>–</w:t>
      </w:r>
      <w:hyperlink r:id="rId9914">
        <w:r>
          <w:rPr>
            <w:color w:val="0000EE"/>
            <w:u w:val="single"/>
          </w:rPr>
          <w:t>19</w:t>
        </w:r>
      </w:hyperlink>
      <w:r>
        <w:t>). C'est par une promesse exceptionnelle de Dieu que Jésus est devenu sacrificateur comme Melchisédek, alors que ce n'est pas le cas pour les sacrificateurs comme Aaron, qui le deviennent de père en fils (</w:t>
      </w:r>
      <w:hyperlink r:id="rId9915">
        <w:r>
          <w:rPr>
            <w:color w:val="0000EE"/>
            <w:u w:val="single"/>
          </w:rPr>
          <w:t>Hé 7.20</w:t>
        </w:r>
      </w:hyperlink>
      <w:r>
        <w:t>–</w:t>
      </w:r>
      <w:hyperlink r:id="rId9915">
        <w:r>
          <w:rPr>
            <w:color w:val="0000EE"/>
            <w:u w:val="single"/>
          </w:rPr>
          <w:t>22</w:t>
        </w:r>
      </w:hyperlink>
      <w:r>
        <w:t>). En plus, les sacrificateurs comme Aaron mouraient et devaient être remplacés, mais Jésus est sacrificateur pour toujours (</w:t>
      </w:r>
      <w:hyperlink r:id="rId9916">
        <w:r>
          <w:rPr>
            <w:color w:val="0000EE"/>
            <w:u w:val="single"/>
          </w:rPr>
          <w:t>Hé 7.23</w:t>
        </w:r>
      </w:hyperlink>
      <w:r>
        <w:t>–</w:t>
      </w:r>
      <w:hyperlink r:id="rId9916">
        <w:r>
          <w:rPr>
            <w:color w:val="0000EE"/>
            <w:u w:val="single"/>
          </w:rPr>
          <w:t>25</w:t>
        </w:r>
      </w:hyperlink>
      <w:r>
        <w:t>).</w:t>
      </w:r>
    </w:p>
    <w:p>
      <w:r/>
      <w:r>
        <w:t xml:space="preserve">Certains érudits ont proposé que Melchisédek était peut-être une « christophanie » : Jésus serait apparu sous forme humaine du temps de l'Ancien Testament. Ces apparitions se seraient produites avant qu'il ne vienne dans le monde comme être humain en naissant de Marie. Ils proposent cela parce que dans </w:t>
      </w:r>
      <w:hyperlink r:id="rId6324">
        <w:r>
          <w:rPr>
            <w:color w:val="0000EE"/>
            <w:u w:val="single"/>
          </w:rPr>
          <w:t>Hébreux 7.3</w:t>
        </w:r>
      </w:hyperlink>
      <w:r>
        <w:t>, il est souligné qu'il n'y a pas de trace des parents, des ancêtres, de la naissance ou de la mort de Melchisédek.</w:t>
      </w:r>
    </w:p>
    <w:p>
      <w:r/>
      <w:r>
        <w:t xml:space="preserve">Cependant, il est préférable de comprendre ce verset comme une façon d'exprimer que Melchisédek était un sacrificateur d'un type exceptionnel. Il illustre quel type de sacrificateur Jésus allait être. En fait, </w:t>
      </w:r>
      <w:hyperlink r:id="rId6324">
        <w:r>
          <w:rPr>
            <w:color w:val="0000EE"/>
            <w:u w:val="single"/>
          </w:rPr>
          <w:t>Hébreux 7.3</w:t>
        </w:r>
      </w:hyperlink>
      <w:r>
        <w:t xml:space="preserve"> dit bien que Melchisédek a été rendu « semblable » au Fils de Dieu. Ceci indique qu'il y avait une ressemblance entre son rôle de sacrificateur et celui de Jésus, mais qu'il n'était pas Jésus lui-même.</w:t>
      </w:r>
    </w:p>
    <w:p>
      <w:r/>
      <w:r>
        <w:rPr>
          <w:i/>
        </w:rPr>
        <w:t>Voir aussi</w:t>
      </w:r>
      <w:r>
        <w:t xml:space="preserve"> </w:t>
      </w:r>
      <w:r>
        <w:t>Hébreux (épître)</w:t>
      </w:r>
      <w:r>
        <w:t xml:space="preserve"> ; </w:t>
      </w:r>
      <w:r>
        <w:t>sacrificateurs et lévites</w:t>
      </w:r>
      <w:r>
        <w:t>.</w:t>
      </w:r>
      <w:r/>
      <w:r/>
    </w:p>
    <w:p>
      <w:r/>
    </w:p>
    <w:p>
      <w:pPr>
        <w:pStyle w:val="Heading2"/>
      </w:pPr>
      <w:r>
        <w:t>Memucan</w:t>
      </w:r>
      <w:r/>
    </w:p>
    <w:p>
      <w:r/>
      <w:r>
        <w:t>Un des sept princes de Perse et de Médie sous le roi Assuérus (</w:t>
      </w:r>
      <w:hyperlink r:id="rId9917">
        <w:r>
          <w:rPr>
            <w:color w:val="0000EE"/>
            <w:u w:val="single"/>
          </w:rPr>
          <w:t>Est 1.14–21</w:t>
        </w:r>
      </w:hyperlink>
      <w:r>
        <w:t>). Il a accusé Vasthi, la reine perse, d'avoir refusé de se présenter comme le roi l'avait ordonné (</w:t>
      </w:r>
      <w:hyperlink r:id="rId9918">
        <w:r>
          <w:rPr>
            <w:color w:val="0000EE"/>
            <w:u w:val="single"/>
          </w:rPr>
          <w:t>Est 1.16</w:t>
        </w:r>
      </w:hyperlink>
      <w:r>
        <w:t>). Memucan a proposé de la destituer et de nommer une autre reine. Le roi a suivi le conseil de Memucan et a émis un décret pour trouver une nouvelle reine (</w:t>
      </w:r>
      <w:hyperlink r:id="rId9919">
        <w:r>
          <w:rPr>
            <w:color w:val="0000EE"/>
            <w:u w:val="single"/>
          </w:rPr>
          <w:t>Est 1.21</w:t>
        </w:r>
      </w:hyperlink>
      <w:r>
        <w:t>). Esther a été choisie comme reine de Médie et de Perse.</w:t>
      </w:r>
      <w:r/>
      <w:r/>
    </w:p>
    <w:p>
      <w:r/>
    </w:p>
    <w:p>
      <w:pPr>
        <w:pStyle w:val="Heading2"/>
      </w:pPr>
      <w:r>
        <w:t>mendiant</w:t>
      </w:r>
      <w:r/>
    </w:p>
    <w:p>
      <w:r/>
      <w:r>
        <w:t xml:space="preserve">Personne qui demande la charité aux passants pour sa propre subsistance, habituellement de l'argent ou de la nourriture, dans un lieu public. </w:t>
      </w:r>
    </w:p>
    <w:p>
      <w:r/>
      <w:r>
        <w:t>La Bible n'utilise pas souvent le mot « mendiant ». Dans l'Ancien Testament (AT), des expressions différentes sont utilisées à propos de personnes pauvres ou dans le besoin, comme « chercher » ou « demander » son pain. Dans le Nouveau Testament (NT), plusieurs mots liés au verbe « demander » servent aussi à décrire les mendiants et l'action de mendier.</w:t>
      </w:r>
    </w:p>
    <w:p>
      <w:r/>
      <w:r>
        <w:t>Il est probable que l'époque de Moïse est la seule pendant laquelle il n'y a pas eu de mendiants en Israël. En effet, dans le désert, Dieu a pourvu de la nourriture pour tout le peuple. Quand il donnait de la manne comme nourriture quotidienne au peuple, « celui qui avait ramassé plus n’avait rien de trop, et celui qui avait ramassé moins n’en manquait pas. Chacun ramassait ce qu’il fallait pour sa nourriture » (</w:t>
      </w:r>
      <w:hyperlink r:id="rId9920">
        <w:r>
          <w:rPr>
            <w:color w:val="0000EE"/>
            <w:u w:val="single"/>
          </w:rPr>
          <w:t>Ex 16.18</w:t>
        </w:r>
      </w:hyperlink>
      <w:r>
        <w:t>).</w:t>
      </w:r>
    </w:p>
    <w:p>
      <w:r/>
      <w:r>
        <w:t>Il n'y a pas de commandement qui mentionne spécifiquement les mendiants dans la loi de Moïse. Toutefois, la loi organisait la société Israélite de sorte à protéger les pauvres (</w:t>
      </w:r>
      <w:hyperlink r:id="rId9422">
        <w:r>
          <w:rPr>
            <w:color w:val="0000EE"/>
            <w:u w:val="single"/>
          </w:rPr>
          <w:t>Dt 15.11</w:t>
        </w:r>
      </w:hyperlink>
      <w:r>
        <w:t>) :</w:t>
      </w:r>
    </w:p>
    <w:p>
      <w:pPr>
        <w:pStyle w:val="ListBullet"/>
        <w:spacing w:line="240" w:lineRule="auto"/>
        <w:ind w:left="720"/>
      </w:pPr>
      <w:r/>
      <w:r>
        <w:t>Pendant l'année sabbatique (tous les sept ans), la production de la terre était laissée aux pauvres et toutes les dettes étaient annulées (</w:t>
      </w:r>
      <w:hyperlink r:id="rId951">
        <w:r>
          <w:rPr>
            <w:color w:val="0000EE"/>
            <w:u w:val="single"/>
          </w:rPr>
          <w:t>Lv 25</w:t>
        </w:r>
      </w:hyperlink>
      <w:hyperlink r:id="rId1854">
        <w:r>
          <w:rPr>
            <w:color w:val="0000EE"/>
            <w:u w:val="single"/>
          </w:rPr>
          <w:t xml:space="preserve">, Ex 23.11, </w:t>
        </w:r>
      </w:hyperlink>
      <w:hyperlink r:id="rId9921">
        <w:r>
          <w:rPr>
            <w:color w:val="0000EE"/>
            <w:u w:val="single"/>
          </w:rPr>
          <w:t>Dt 15.1</w:t>
        </w:r>
      </w:hyperlink>
      <w:r>
        <w:t>).</w:t>
      </w:r>
    </w:p>
    <w:p>
      <w:pPr>
        <w:pStyle w:val="ListBullet"/>
        <w:spacing w:line="240" w:lineRule="auto"/>
        <w:ind w:left="720"/>
      </w:pPr>
      <w:r/>
      <w:r>
        <w:t>Il était du devoir de tout Israélite qui le pouvait d'être généreux envers les pauvres et de leur prêter ce dont ils avaient besoin (</w:t>
      </w:r>
      <w:hyperlink r:id="rId9922">
        <w:r>
          <w:rPr>
            <w:color w:val="0000EE"/>
            <w:u w:val="single"/>
          </w:rPr>
          <w:t>Dt 15.7–11</w:t>
        </w:r>
      </w:hyperlink>
      <w:r>
        <w:t>).</w:t>
      </w:r>
    </w:p>
    <w:p>
      <w:pPr>
        <w:pStyle w:val="ListBullet"/>
        <w:spacing w:line="240" w:lineRule="auto"/>
        <w:ind w:left="720"/>
      </w:pPr>
      <w:r/>
      <w:r>
        <w:t>Les pauvres qui louaient leurs services comme ouvriers devaient être payés quotidiennement, car c'était leur subsistance (</w:t>
      </w:r>
      <w:hyperlink r:id="rId9923">
        <w:r>
          <w:rPr>
            <w:color w:val="0000EE"/>
            <w:u w:val="single"/>
          </w:rPr>
          <w:t>Dt 24.14–15</w:t>
        </w:r>
      </w:hyperlink>
      <w:r>
        <w:t>).</w:t>
      </w:r>
    </w:p>
    <w:p>
      <w:r/>
      <w:r>
        <w:t>Lorsque les Israélites ont pris le pays en possession, les terres ont été partagées entre les tribus, les clans et les familles. Il est raisonnable d'assumer qu'au début, tous les Israélites ont eu des opportunités de subsistance comparables à celles des autres. Si Israël obéissait complètement à l'Éternel, sa bénédiction serait telle qu'il n'y aurait pas pauvres parmi eux (</w:t>
      </w:r>
      <w:hyperlink r:id="rId9924">
        <w:r>
          <w:rPr>
            <w:color w:val="0000EE"/>
            <w:u w:val="single"/>
          </w:rPr>
          <w:t>Dt 15.4</w:t>
        </w:r>
      </w:hyperlink>
      <w:r>
        <w:t xml:space="preserve">). Toutefois, </w:t>
      </w:r>
      <w:hyperlink r:id="rId9422">
        <w:r>
          <w:rPr>
            <w:color w:val="0000EE"/>
            <w:u w:val="single"/>
          </w:rPr>
          <w:t xml:space="preserve">Deutéronome 15.11 </w:t>
        </w:r>
      </w:hyperlink>
      <w:r>
        <w:t xml:space="preserve">et d'autres passages anticipent que l'idéal n'a le plus souvent pas été la réalité. </w:t>
      </w:r>
    </w:p>
    <w:p>
      <w:r/>
      <w:r>
        <w:t xml:space="preserve">La condition pour qu'il n'y ait pas de pauvres parmi les Israélites était leur obéissance aux commandements de Dieu. Cependant, dès le début, ils s'en sont régulièrement détournés. Il était donc inévitable qu'il y ait des pauvres. Même si les pauvres étaient les victimes des gens injustes, les commandements de la loi montraient aux justes comment les aider. </w:t>
      </w:r>
    </w:p>
    <w:p>
      <w:r/>
      <w:r>
        <w:t>Les fouilles à Thirtsa près de Naplouse montrent que la taille des maisons au 10</w:t>
      </w:r>
      <w:r>
        <w:t>ᵉ</w:t>
      </w:r>
      <w:r>
        <w:t xml:space="preserve"> siècle </w:t>
      </w:r>
      <w:r>
        <w:t>av. J.‑C.</w:t>
      </w:r>
      <w:r>
        <w:t xml:space="preserve"> est uniforme (c'est-à-dire qu'elle était assez similaire pour tous). Cependant, au 8</w:t>
      </w:r>
      <w:r>
        <w:t xml:space="preserve">ᵉ </w:t>
      </w:r>
      <w:r>
        <w:t xml:space="preserve">siècle </w:t>
      </w:r>
      <w:r>
        <w:t>av. J.‑C.</w:t>
      </w:r>
      <w:r>
        <w:t xml:space="preserve">, un grand changement se produit. Il y a désormais des quartiers de maisons de riches et des quartiers de maisons de pauvres dans la ville. Ce changement social se produit lorsqu'Israël devient une monarchie. Il semblerait que cette nouvelle situation ait donné l'occasion aux fonctionnaires de s'enrichir. Les prophètes ont particulièrement dénoncé l'accumulation de richesses injustes (p. ex. </w:t>
      </w:r>
      <w:hyperlink r:id="rId9925">
        <w:r>
          <w:rPr>
            <w:color w:val="0000EE"/>
            <w:u w:val="single"/>
          </w:rPr>
          <w:t>Es 5.8</w:t>
        </w:r>
      </w:hyperlink>
      <w:r>
        <w:t xml:space="preserve"> ; </w:t>
      </w:r>
      <w:hyperlink r:id="rId9926">
        <w:r>
          <w:rPr>
            <w:color w:val="0000EE"/>
            <w:u w:val="single"/>
          </w:rPr>
          <w:t>Os 12.8</w:t>
        </w:r>
      </w:hyperlink>
      <w:r>
        <w:t xml:space="preserve"> ; </w:t>
      </w:r>
      <w:hyperlink r:id="rId9927">
        <w:r>
          <w:rPr>
            <w:color w:val="0000EE"/>
            <w:u w:val="single"/>
          </w:rPr>
          <w:t>Am 8.4–7</w:t>
        </w:r>
      </w:hyperlink>
      <w:r>
        <w:t xml:space="preserve"> ; </w:t>
      </w:r>
      <w:hyperlink r:id="rId3085">
        <w:r>
          <w:rPr>
            <w:color w:val="0000EE"/>
            <w:u w:val="single"/>
          </w:rPr>
          <w:t>Mi 2.2</w:t>
        </w:r>
      </w:hyperlink>
      <w:r>
        <w:t>). Le prophète Amos condamne ceux qui profitent des pauvres (</w:t>
      </w:r>
      <w:hyperlink r:id="rId9928">
        <w:r>
          <w:rPr>
            <w:color w:val="0000EE"/>
            <w:u w:val="single"/>
          </w:rPr>
          <w:t>Am 2.6–8</w:t>
        </w:r>
      </w:hyperlink>
      <w:r>
        <w:t xml:space="preserve"> ; </w:t>
      </w:r>
      <w:hyperlink r:id="rId9929">
        <w:r>
          <w:rPr>
            <w:color w:val="0000EE"/>
            <w:u w:val="single"/>
          </w:rPr>
          <w:t>8.6</w:t>
        </w:r>
      </w:hyperlink>
      <w:r>
        <w:t>). Malgré cela, presque rien n'est dit à propos de mendiants dans l'AT. Les reproches d'Amos semblent indiquer qu'au lieu de mendier, les pauvres devenaient des esclaves.</w:t>
      </w:r>
    </w:p>
    <w:p>
      <w:r/>
      <w:r>
        <w:t xml:space="preserve">Cependant, la situation économique d'Israël et du peuple Juif évolue beaucoup entre les deux Testaments. Les écrits juifs de cette période parlent de donner l'aumône aux pauvres (p. ex. Tb 4.7) et en font un devoir religieux important (p. ex. Si 3.30 ; 7.10). </w:t>
      </w:r>
    </w:p>
    <w:p>
      <w:r/>
      <w:r>
        <w:t>Dans le NT, la présence de mendiants semble être devenue fréquente et ils sont mentionnés un certain nombre de fois. Jésus guérit un mendiant aveugle à Jérusalem (</w:t>
      </w:r>
      <w:hyperlink r:id="rId9930">
        <w:r>
          <w:rPr>
            <w:color w:val="0000EE"/>
            <w:u w:val="single"/>
          </w:rPr>
          <w:t>Jn 9.8–9</w:t>
        </w:r>
      </w:hyperlink>
      <w:r>
        <w:t>) et un autre, Bartimée, à Jéricho (</w:t>
      </w:r>
      <w:hyperlink r:id="rId1511">
        <w:r>
          <w:rPr>
            <w:color w:val="0000EE"/>
            <w:u w:val="single"/>
          </w:rPr>
          <w:t>Mc 10.46–52</w:t>
        </w:r>
      </w:hyperlink>
      <w:r>
        <w:t>). Dans la parabole du mauvais riche, le pauvre Lazare mendie à sa porte (</w:t>
      </w:r>
      <w:hyperlink r:id="rId5002">
        <w:r>
          <w:rPr>
            <w:color w:val="0000EE"/>
            <w:u w:val="single"/>
          </w:rPr>
          <w:t>Lc 16.19–31</w:t>
        </w:r>
      </w:hyperlink>
      <w:r>
        <w:t>). Pierre et Jean guérissent un mendiant boiteux de naissance à la Belle Porte à Jérusalem (</w:t>
      </w:r>
      <w:hyperlink r:id="rId9931">
        <w:r>
          <w:rPr>
            <w:color w:val="0000EE"/>
            <w:u w:val="single"/>
          </w:rPr>
          <w:t>Ac 3.1–11</w:t>
        </w:r>
      </w:hyperlink>
      <w:r>
        <w:t>).</w:t>
      </w:r>
    </w:p>
    <w:p>
      <w:r/>
      <w:r>
        <w:t>Jésus dénonce le fait de donner l'aumône pour être vu et admiré par les autres (</w:t>
      </w:r>
      <w:hyperlink r:id="rId9932">
        <w:r>
          <w:rPr>
            <w:color w:val="0000EE"/>
            <w:u w:val="single"/>
          </w:rPr>
          <w:t>Mt 6.1–4</w:t>
        </w:r>
      </w:hyperlink>
      <w:r>
        <w:t>). Il faut donner pour les bonnes raisons, particulièrement à ceux qui ne peuvent pas ou ne veulent pas rendre la pareille (</w:t>
      </w:r>
      <w:hyperlink r:id="rId9933">
        <w:r>
          <w:rPr>
            <w:color w:val="0000EE"/>
            <w:u w:val="single"/>
          </w:rPr>
          <w:t>Mt 5.42–48</w:t>
        </w:r>
      </w:hyperlink>
      <w:r>
        <w:t>). À l'époque de Jésus, beaucoup de mendiants vivaient à Jérusalem, probablement parce que donner aux pauvres dans la ville sainte était considéré un acte de piété important. Les mendiants étaient souvent aux abords de lieux religieux importants. Le bassin de Béthesda, par exemple, était un lieu où se produisait des guérisons miraculeuses. Les malades et les handicapés y venaient dans l'espoir d'être guéris et probablement aussi pour mendier (</w:t>
      </w:r>
      <w:hyperlink r:id="rId9934">
        <w:r>
          <w:rPr>
            <w:color w:val="0000EE"/>
            <w:u w:val="single"/>
          </w:rPr>
          <w:t>Jn 5.2–9</w:t>
        </w:r>
      </w:hyperlink>
      <w:r>
        <w:t>).</w:t>
      </w:r>
    </w:p>
    <w:p>
      <w:r/>
      <w:r>
        <w:t>Dans l'Église de Jérusalem, des responsables sont choisis pour distribuer de l'aide aux chrétiens pauvres (</w:t>
      </w:r>
      <w:hyperlink r:id="rId2991">
        <w:r>
          <w:rPr>
            <w:color w:val="0000EE"/>
            <w:u w:val="single"/>
          </w:rPr>
          <w:t>Ac 4.32–35</w:t>
        </w:r>
      </w:hyperlink>
      <w:r>
        <w:t xml:space="preserve"> ; </w:t>
      </w:r>
      <w:hyperlink r:id="rId6398">
        <w:r>
          <w:rPr>
            <w:color w:val="0000EE"/>
            <w:u w:val="single"/>
          </w:rPr>
          <w:t>6.1–6</w:t>
        </w:r>
      </w:hyperlink>
      <w:r>
        <w:t>). Des collectes d'argent sont organisées pour aider les Églises dans le besoin (</w:t>
      </w:r>
      <w:hyperlink r:id="rId3161">
        <w:r>
          <w:rPr>
            <w:color w:val="0000EE"/>
            <w:u w:val="single"/>
          </w:rPr>
          <w:t>Ac 11.27–30</w:t>
        </w:r>
      </w:hyperlink>
      <w:r>
        <w:t xml:space="preserve"> ; </w:t>
      </w:r>
      <w:hyperlink r:id="rId9935">
        <w:r>
          <w:rPr>
            <w:color w:val="0000EE"/>
            <w:u w:val="single"/>
          </w:rPr>
          <w:t>Rm 15.25–27</w:t>
        </w:r>
      </w:hyperlink>
      <w:r>
        <w:t xml:space="preserve"> ; </w:t>
      </w:r>
      <w:hyperlink r:id="rId3127">
        <w:r>
          <w:rPr>
            <w:color w:val="0000EE"/>
            <w:u w:val="single"/>
          </w:rPr>
          <w:t>1Co 16.1–4</w:t>
        </w:r>
      </w:hyperlink>
      <w:r>
        <w:t>). La pauvreté pouvait être aggravée par les taxes imposées par Rome. Les Évangiles mentionnent souvent les collecteurs d'impôts.</w:t>
      </w:r>
    </w:p>
    <w:p>
      <w:r/>
      <w:r>
        <w:t xml:space="preserve">Certains pensent que le mouvement révolutionnaire des Zélotes, qui combattait le pouvoir romain, a été provoqué par un sentiment de révolte contre la pauvreté. L'historien juif Flavius Josèphe affirme qu'il y avait de nombreux pauvres parmi les Zélotes. En 66 </w:t>
      </w:r>
      <w:r>
        <w:t>apr. J.‑C.</w:t>
      </w:r>
      <w:r>
        <w:t>, les Zélotes ont brûlé des archives à Jérusalem, probablement pour détruire les registres de leurs dettes. Josèphe mentionne également qu'avant la destruction de Jérusalem par Rome, des bandes de mendiants terrorisaient la ville.</w:t>
      </w:r>
    </w:p>
    <w:p>
      <w:r/>
      <w:r>
        <w:rPr>
          <w:i/>
        </w:rPr>
        <w:t>Voir</w:t>
      </w:r>
      <w:r>
        <w:t xml:space="preserve"> </w:t>
      </w:r>
      <w:r>
        <w:t>aumônes</w:t>
      </w:r>
      <w:r>
        <w:t xml:space="preserve"> ; </w:t>
      </w:r>
      <w:r>
        <w:t>pauvres</w:t>
      </w:r>
      <w:r>
        <w:t>.</w:t>
      </w:r>
      <w:r/>
      <w:r/>
    </w:p>
    <w:p>
      <w:r/>
    </w:p>
    <w:p>
      <w:pPr>
        <w:pStyle w:val="Heading2"/>
      </w:pPr>
      <w:r>
        <w:t>Mer</w:t>
      </w:r>
      <w:r/>
    </w:p>
    <w:p>
      <w:r/>
      <w:r>
        <w:t>Les mers sont de grandes étendues d'eau salée qui recouvrent la plus grande partie de la surface de la Terre.</w:t>
      </w:r>
    </w:p>
    <w:p>
      <w:r/>
      <w:r>
        <w:t xml:space="preserve">Les mers sont mentionnées dès le début de la Bible. Dans </w:t>
      </w:r>
      <w:hyperlink r:id="rId9936">
        <w:r>
          <w:rPr>
            <w:color w:val="0000EE"/>
            <w:u w:val="single"/>
          </w:rPr>
          <w:t>Genèse 1.1–2</w:t>
        </w:r>
      </w:hyperlink>
      <w:r>
        <w:t xml:space="preserve">, nous lisons qu'au commencement tout était informe, vide et sombre et que « </w:t>
      </w:r>
      <w:r>
        <w:t>l'esprit de Dieu se mouvait au-dessus des eaux</w:t>
      </w:r>
      <w:r>
        <w:t xml:space="preserve"> ». Puis Dieu parle, et du chaos naît l'ordre. Ainsi, la voix du Seigneur exerce sa puissance sur toutes les eaux du chaos. Le </w:t>
      </w:r>
      <w:hyperlink r:id="rId9937">
        <w:r>
          <w:rPr>
            <w:color w:val="0000EE"/>
            <w:u w:val="single"/>
          </w:rPr>
          <w:t>Psaume 29</w:t>
        </w:r>
      </w:hyperlink>
      <w:r>
        <w:t xml:space="preserve"> célèbre cela. Deux faits importants au sujet de la mer ressortent de l'histoire de la Création dans </w:t>
      </w:r>
      <w:hyperlink r:id="rId2644">
        <w:r>
          <w:rPr>
            <w:color w:val="0000EE"/>
            <w:u w:val="single"/>
          </w:rPr>
          <w:t>Genèse 1</w:t>
        </w:r>
      </w:hyperlink>
      <w:r>
        <w:t xml:space="preserve"> : (1) la mer, comme tout le reste sur terre et au ciel, a été créée par Dieu et (2) par la parole de Dieu, les mers ont été séparées de la terre. Ces deux faits sont amplifiés dans la Bible de plusieurs manières. </w:t>
      </w:r>
      <w:hyperlink r:id="rId47">
        <w:r>
          <w:rPr>
            <w:color w:val="0000EE"/>
            <w:u w:val="single"/>
          </w:rPr>
          <w:t>Psaume 33.7</w:t>
        </w:r>
      </w:hyperlink>
      <w:r>
        <w:t xml:space="preserve"> déclare que Dieu « </w:t>
      </w:r>
      <w:r>
        <w:t>amoncelle en un tas les eaux de la mer, Il met dans des réservoirs les abîmes</w:t>
      </w:r>
      <w:r>
        <w:t xml:space="preserve"> ». Le décret de Dieu qui a placé les limites des mers et de la terre est décrit dans les paroles du Seigneur à Job : « Qui a fermé la mer avec des portes, Quand elle s'élança du sein maternel ; Quand je fis de la nuée son vêtement, Et de l'obscurité ses langes ; Quand je lui imposai ma loi, Et que je lui mis des barrières et des portes ; Quand je dis : Tu viendras jusqu'ici, tu n'iras pas au delà ; Ici s'arrêtera l'orgueil de tes flots ? » (</w:t>
      </w:r>
      <w:hyperlink r:id="rId9938">
        <w:r>
          <w:rPr>
            <w:color w:val="0000EE"/>
            <w:u w:val="single"/>
          </w:rPr>
          <w:t>Jb 38.8–11</w:t>
        </w:r>
      </w:hyperlink>
      <w:r>
        <w:t>).</w:t>
      </w:r>
    </w:p>
    <w:p>
      <w:r/>
      <w:r>
        <w:t xml:space="preserve">Dieu exerce sa puissance quand : « </w:t>
      </w:r>
      <w:r>
        <w:t>Il marche sur les hauteurs de la mer</w:t>
      </w:r>
      <w:r>
        <w:t xml:space="preserve"> » (</w:t>
      </w:r>
      <w:hyperlink r:id="rId9939">
        <w:r>
          <w:rPr>
            <w:color w:val="0000EE"/>
            <w:u w:val="single"/>
          </w:rPr>
          <w:t>Jb 9.8</w:t>
        </w:r>
      </w:hyperlink>
      <w:r>
        <w:t>). De la même façon, dans sa vie terrestre, Jésus, le Dieu-homme, a marché sur la mer (</w:t>
      </w:r>
      <w:hyperlink r:id="rId9940">
        <w:r>
          <w:rPr>
            <w:color w:val="0000EE"/>
            <w:u w:val="single"/>
          </w:rPr>
          <w:t>Mc 6.48</w:t>
        </w:r>
      </w:hyperlink>
      <w:r>
        <w:t>). Il a également apaisé la tempête, si bien que les disciples, dans l'émerveillement et la stupeur, ont demandé : « Quel est donc celui-ci, à qui obéissent même le vent et la mer ? » (</w:t>
      </w:r>
      <w:hyperlink r:id="rId9941">
        <w:r>
          <w:rPr>
            <w:color w:val="0000EE"/>
            <w:u w:val="single"/>
          </w:rPr>
          <w:t>Mc 4.41</w:t>
        </w:r>
      </w:hyperlink>
      <w:r>
        <w:t>).</w:t>
      </w:r>
    </w:p>
    <w:p>
      <w:r/>
      <w:r>
        <w:t>Le peuple hébreu avait un respect sain pour la mer et sa puissance. Ce n'était pas un peuple marin comme les Phéniciens. Peut-être que c'était parce que les Hébreux n'avaient pas de bons ports naturels et qu'ils n'ont pas eu le contrôle du littoral (la côte) pendant une grande partie de leur histoire. Ce n'est qu'à l'époque de Salomon que nous lisons qu'ils avaient leur propre flotte (</w:t>
      </w:r>
      <w:hyperlink r:id="rId4496">
        <w:r>
          <w:rPr>
            <w:color w:val="0000EE"/>
            <w:u w:val="single"/>
          </w:rPr>
          <w:t>1R 9.26</w:t>
        </w:r>
      </w:hyperlink>
      <w:r>
        <w:t xml:space="preserve">). </w:t>
      </w:r>
    </w:p>
    <w:p>
      <w:r/>
      <w:r>
        <w:t>Les méchants sont comparés à la mer agitée (</w:t>
      </w:r>
      <w:hyperlink r:id="rId9942">
        <w:r>
          <w:rPr>
            <w:color w:val="0000EE"/>
            <w:u w:val="single"/>
          </w:rPr>
          <w:t>Es 57.20</w:t>
        </w:r>
      </w:hyperlink>
      <w:r>
        <w:t>). Les grondements des grandes eaux (</w:t>
      </w:r>
      <w:hyperlink r:id="rId9943">
        <w:r>
          <w:rPr>
            <w:color w:val="0000EE"/>
            <w:u w:val="single"/>
          </w:rPr>
          <w:t>Es 17.13</w:t>
        </w:r>
      </w:hyperlink>
      <w:r>
        <w:t>) et le mugissement de la mer (</w:t>
      </w:r>
      <w:hyperlink r:id="rId9944">
        <w:r>
          <w:rPr>
            <w:color w:val="0000EE"/>
            <w:u w:val="single"/>
          </w:rPr>
          <w:t>5.30</w:t>
        </w:r>
      </w:hyperlink>
      <w:r>
        <w:t xml:space="preserve">) faisaient penser les Hébreux à des forces capables de causer un mal incalculable aux hommes. Dans </w:t>
      </w:r>
      <w:hyperlink r:id="rId9945">
        <w:r>
          <w:rPr>
            <w:color w:val="0000EE"/>
            <w:u w:val="single"/>
          </w:rPr>
          <w:t>Daniel 7.3</w:t>
        </w:r>
      </w:hyperlink>
      <w:r>
        <w:t xml:space="preserve"> et </w:t>
      </w:r>
      <w:hyperlink r:id="rId9946">
        <w:r>
          <w:rPr>
            <w:color w:val="0000EE"/>
            <w:u w:val="single"/>
          </w:rPr>
          <w:t>Apocalypse 13.1</w:t>
        </w:r>
      </w:hyperlink>
      <w:r>
        <w:t>, des puissances hostiles à Dieu sont représentées comme des bêtes qui sortent de la mer.</w:t>
      </w:r>
    </w:p>
    <w:p>
      <w:r/>
      <w:r>
        <w:t>Pourtant, comme nous l'avons vu, Dieu tient les mers sous sa puissance. Il est capable de sauver « des grandes eaux » ceux qui se confient en lui (</w:t>
      </w:r>
      <w:hyperlink r:id="rId9947">
        <w:r>
          <w:rPr>
            <w:color w:val="0000EE"/>
            <w:u w:val="single"/>
          </w:rPr>
          <w:t>Ps 18.16</w:t>
        </w:r>
      </w:hyperlink>
      <w:r>
        <w:t>). Il peut protéger ceux qui s'aventurent en mer (</w:t>
      </w:r>
      <w:hyperlink r:id="rId9948">
        <w:r>
          <w:rPr>
            <w:color w:val="0000EE"/>
            <w:u w:val="single"/>
          </w:rPr>
          <w:t>107.23–31</w:t>
        </w:r>
      </w:hyperlink>
      <w:r>
        <w:t>). La Bible rappelle souvent que Dieu avait ouvert un chemin dans la mer pour que son peuple la traverse à sa sortie d'Égypte (</w:t>
      </w:r>
      <w:hyperlink r:id="rId9949">
        <w:r>
          <w:rPr>
            <w:color w:val="0000EE"/>
            <w:u w:val="single"/>
          </w:rPr>
          <w:t>Ex 15.19</w:t>
        </w:r>
      </w:hyperlink>
      <w:r>
        <w:t>). Ceci est souvent mentionné par les auteurs de psaumes (</w:t>
      </w:r>
      <w:hyperlink r:id="rId9950">
        <w:r>
          <w:rPr>
            <w:color w:val="0000EE"/>
            <w:u w:val="single"/>
          </w:rPr>
          <w:t xml:space="preserve">Ps 74.13 </w:t>
        </w:r>
      </w:hyperlink>
      <w:r>
        <w:t xml:space="preserve">; </w:t>
      </w:r>
      <w:hyperlink r:id="rId48">
        <w:r>
          <w:rPr>
            <w:color w:val="0000EE"/>
            <w:u w:val="single"/>
          </w:rPr>
          <w:t xml:space="preserve">77.16 </w:t>
        </w:r>
      </w:hyperlink>
      <w:r>
        <w:t xml:space="preserve">; </w:t>
      </w:r>
      <w:hyperlink r:id="rId9951">
        <w:r>
          <w:rPr>
            <w:color w:val="0000EE"/>
            <w:u w:val="single"/>
          </w:rPr>
          <w:t xml:space="preserve">78.13 </w:t>
        </w:r>
      </w:hyperlink>
      <w:r>
        <w:t xml:space="preserve">; </w:t>
      </w:r>
      <w:hyperlink r:id="rId9952">
        <w:r>
          <w:rPr>
            <w:color w:val="0000EE"/>
            <w:u w:val="single"/>
          </w:rPr>
          <w:t>106.9</w:t>
        </w:r>
      </w:hyperlink>
      <w:r>
        <w:t>) et par les prophètes (</w:t>
      </w:r>
      <w:hyperlink r:id="rId9953">
        <w:r>
          <w:rPr>
            <w:color w:val="0000EE"/>
            <w:u w:val="single"/>
          </w:rPr>
          <w:t>Es 43.16–17</w:t>
        </w:r>
      </w:hyperlink>
      <w:r>
        <w:t xml:space="preserve">). </w:t>
      </w:r>
      <w:r>
        <w:rPr>
          <w:i/>
        </w:rPr>
        <w:t>Voir</w:t>
      </w:r>
      <w:r>
        <w:t xml:space="preserve"> </w:t>
      </w:r>
      <w:r>
        <w:t xml:space="preserve">mer Morte </w:t>
      </w:r>
      <w:r>
        <w:t xml:space="preserve">; </w:t>
      </w:r>
      <w:r>
        <w:t xml:space="preserve">mer Méditerranée </w:t>
      </w:r>
      <w:r>
        <w:t xml:space="preserve">; </w:t>
      </w:r>
      <w:r>
        <w:t xml:space="preserve">mer Rouge </w:t>
      </w:r>
      <w:r>
        <w:t xml:space="preserve">; </w:t>
      </w:r>
      <w:r>
        <w:t>mer de Galilée</w:t>
      </w:r>
      <w:r>
        <w:t>.</w:t>
      </w:r>
      <w:r/>
      <w:r/>
    </w:p>
    <w:p>
      <w:r/>
    </w:p>
    <w:p>
      <w:pPr>
        <w:pStyle w:val="Heading2"/>
      </w:pPr>
      <w:r>
        <w:t>Mer Morte</w:t>
      </w:r>
      <w:r/>
    </w:p>
    <w:p>
      <w:r/>
      <w:r>
        <w:t>Grand lac d'eau salée où se jette le Jourdain. Dans la culture occidentale, le lac est appelé « Mer Morte » depuis la période grecque. Dans l'Ancien Testament, il est souvent appelé la « mer Salée » (</w:t>
      </w:r>
      <w:hyperlink r:id="rId6065">
        <w:r>
          <w:rPr>
            <w:color w:val="0000EE"/>
            <w:u w:val="single"/>
          </w:rPr>
          <w:t>Gn 14.3</w:t>
        </w:r>
      </w:hyperlink>
      <w:r>
        <w:t xml:space="preserve"> ; </w:t>
      </w:r>
      <w:hyperlink r:id="rId9954">
        <w:r>
          <w:rPr>
            <w:color w:val="0000EE"/>
            <w:u w:val="single"/>
          </w:rPr>
          <w:t>Nb 34.3, 12</w:t>
        </w:r>
      </w:hyperlink>
      <w:r>
        <w:t xml:space="preserve"> ; </w:t>
      </w:r>
      <w:hyperlink r:id="rId9955">
        <w:r>
          <w:rPr>
            <w:color w:val="0000EE"/>
            <w:u w:val="single"/>
          </w:rPr>
          <w:t>Dt 3.17</w:t>
        </w:r>
      </w:hyperlink>
      <w:r>
        <w:t xml:space="preserve"> ; </w:t>
      </w:r>
      <w:hyperlink r:id="rId9956">
        <w:r>
          <w:rPr>
            <w:color w:val="0000EE"/>
            <w:u w:val="single"/>
          </w:rPr>
          <w:t>Jos 3.16</w:t>
        </w:r>
      </w:hyperlink>
      <w:r>
        <w:t xml:space="preserve"> ; </w:t>
      </w:r>
      <w:hyperlink r:id="rId9957">
        <w:r>
          <w:rPr>
            <w:color w:val="0000EE"/>
            <w:u w:val="single"/>
          </w:rPr>
          <w:t>12.3</w:t>
        </w:r>
      </w:hyperlink>
      <w:r>
        <w:t xml:space="preserve"> ; </w:t>
      </w:r>
      <w:hyperlink r:id="rId9958">
        <w:r>
          <w:rPr>
            <w:color w:val="0000EE"/>
            <w:u w:val="single"/>
          </w:rPr>
          <w:t>15.2, 5</w:t>
        </w:r>
      </w:hyperlink>
      <w:r>
        <w:t xml:space="preserve"> ; </w:t>
      </w:r>
      <w:hyperlink r:id="rId9959">
        <w:r>
          <w:rPr>
            <w:color w:val="0000EE"/>
            <w:u w:val="single"/>
          </w:rPr>
          <w:t>18.19</w:t>
        </w:r>
      </w:hyperlink>
      <w:r>
        <w:t>). Le lac contient une grande quantité de sel, une ressource précieuse dans les temps anciens. La Bible appelle également la Mer Morte :</w:t>
      </w:r>
    </w:p>
    <w:p>
      <w:pPr>
        <w:pStyle w:val="ListBullet"/>
        <w:spacing w:line="240" w:lineRule="auto"/>
        <w:ind w:left="720"/>
      </w:pPr>
      <w:r/>
      <w:r>
        <w:t>La mer de la plaine (</w:t>
      </w:r>
      <w:hyperlink r:id="rId9955">
        <w:r>
          <w:rPr>
            <w:color w:val="0000EE"/>
            <w:u w:val="single"/>
          </w:rPr>
          <w:t>Dt 3.17</w:t>
        </w:r>
      </w:hyperlink>
      <w:r>
        <w:t xml:space="preserve"> ; </w:t>
      </w:r>
      <w:hyperlink r:id="rId9960">
        <w:r>
          <w:rPr>
            <w:color w:val="0000EE"/>
            <w:u w:val="single"/>
          </w:rPr>
          <w:t>4.49</w:t>
        </w:r>
      </w:hyperlink>
      <w:r>
        <w:t xml:space="preserve"> ; </w:t>
      </w:r>
      <w:hyperlink r:id="rId9956">
        <w:r>
          <w:rPr>
            <w:color w:val="0000EE"/>
            <w:u w:val="single"/>
          </w:rPr>
          <w:t>Jos 3.16</w:t>
        </w:r>
      </w:hyperlink>
      <w:r>
        <w:t xml:space="preserve"> ; </w:t>
      </w:r>
      <w:hyperlink r:id="rId9957">
        <w:r>
          <w:rPr>
            <w:color w:val="0000EE"/>
            <w:u w:val="single"/>
          </w:rPr>
          <w:t>12.3</w:t>
        </w:r>
      </w:hyperlink>
      <w:r>
        <w:t xml:space="preserve"> ; </w:t>
      </w:r>
      <w:hyperlink r:id="rId7203">
        <w:r>
          <w:rPr>
            <w:color w:val="0000EE"/>
            <w:u w:val="single"/>
          </w:rPr>
          <w:t>2R 14.25</w:t>
        </w:r>
      </w:hyperlink>
      <w:r>
        <w:t>)</w:t>
      </w:r>
    </w:p>
    <w:p>
      <w:pPr>
        <w:pStyle w:val="ListBullet"/>
        <w:spacing w:line="240" w:lineRule="auto"/>
        <w:ind w:left="720"/>
      </w:pPr>
      <w:r/>
      <w:r>
        <w:t>La mer orientale (</w:t>
      </w:r>
      <w:hyperlink r:id="rId9961">
        <w:r>
          <w:rPr>
            <w:color w:val="0000EE"/>
            <w:u w:val="single"/>
          </w:rPr>
          <w:t>Ez 47.18</w:t>
        </w:r>
      </w:hyperlink>
      <w:r>
        <w:t xml:space="preserve"> ; </w:t>
      </w:r>
      <w:hyperlink r:id="rId9962">
        <w:r>
          <w:rPr>
            <w:color w:val="0000EE"/>
            <w:u w:val="single"/>
          </w:rPr>
          <w:t>Jl 2.20</w:t>
        </w:r>
      </w:hyperlink>
      <w:r>
        <w:t xml:space="preserve"> ; </w:t>
      </w:r>
      <w:hyperlink r:id="rId9963">
        <w:r>
          <w:rPr>
            <w:color w:val="0000EE"/>
            <w:u w:val="single"/>
          </w:rPr>
          <w:t>Za 14.8</w:t>
        </w:r>
      </w:hyperlink>
      <w:r>
        <w:t>)</w:t>
      </w:r>
    </w:p>
    <w:p>
      <w:r/>
      <w:r>
        <w:t>D'autres auteurs anciens appellent la mer Morte :</w:t>
      </w:r>
    </w:p>
    <w:p>
      <w:pPr>
        <w:pStyle w:val="ListBullet"/>
        <w:spacing w:line="240" w:lineRule="auto"/>
        <w:ind w:left="720"/>
      </w:pPr>
      <w:r/>
      <w:r>
        <w:t>La mer de Sodome</w:t>
      </w:r>
    </w:p>
    <w:p>
      <w:pPr>
        <w:pStyle w:val="ListBullet"/>
        <w:spacing w:line="240" w:lineRule="auto"/>
        <w:ind w:left="720"/>
      </w:pPr>
      <w:r/>
      <w:r>
        <w:t>La mer d’asphalte</w:t>
      </w:r>
    </w:p>
    <w:p>
      <w:pPr>
        <w:pStyle w:val="ListBullet"/>
        <w:spacing w:line="240" w:lineRule="auto"/>
        <w:ind w:left="720"/>
      </w:pPr>
      <w:r/>
      <w:r>
        <w:t>La mer de Lot</w:t>
      </w:r>
    </w:p>
    <w:p>
      <w:r/>
      <w:r>
        <w:t>Le Nouveau Testament ne mentionne pas la mer.</w:t>
      </w:r>
    </w:p>
    <w:p>
      <w:pPr>
        <w:pStyle w:val="Heading3"/>
      </w:pPr>
      <w:r>
        <w:t>Où se situe la mer Morte ?</w:t>
      </w:r>
    </w:p>
    <w:p>
      <w:r/>
      <w:r>
        <w:t>La mer Morte se trouve dans une vallée profonde appelée la vallée du Jourdain. Cette vallée est également connue sous le nom de vallée du Grand Rift car elle se situe dans une longue fissure à la surface de la Terre. Cette fissure est la plus longue et la plus profonde en son genre dans le monde. Elle commence dans les montagnes du Taurus, au sud de la Turquie, et traverse plusieurs pays : la Syrie, le Liban et la Palestine. Elle s'étend ensuite à travers le golfe d'Aqaba et la mer Rouge, pour atteindre le Mozambique en Afrique de l'Est.</w:t>
      </w:r>
    </w:p>
    <w:p>
      <w:r/>
      <w:r>
        <w:t>La vallée varie en largeur de 3 à 25 km. À son point le plus profond, près de la rive de la mer Morte, la vallée descend à 400 m en dessous du niveau de la mer. Cela en fait l'endroit le plus bas sur terre qui n'est pas recouvert d'eau.</w:t>
      </w:r>
    </w:p>
    <w:p>
      <w:pPr>
        <w:pStyle w:val="Heading3"/>
      </w:pPr>
      <w:r>
        <w:t>Quelle est la superficie de la mer Morte ?</w:t>
      </w:r>
    </w:p>
    <w:p>
      <w:r/>
      <w:r>
        <w:t>La mer Morte a une forme rectangulaire. Du nord au sud, elle s'étend sur environ 85 km depuis l'endroit où entre le Jourdain jusqu'aux sebkhas salées au sud. Elle mesure environ 15 km de large. Des falaises escarpées et rocheuses s'élèvent de chaque côté de la mer.</w:t>
      </w:r>
    </w:p>
    <w:p>
      <w:r/>
      <w:r>
        <w:t>Une parcelle de terre appelée la péninsule de Lisan divise la mer Morte en deux parties. Cette péninsule s'étend sur environ 13,5 km depuis la rive est. La partie nord est plus grande et plus profonde. Son point le plus profond se trouve dans la zone nord-est, atteignant environ 400 m de profondeur. La partie sud est moins profonde, avec de l'eau entre 1 et 10 m.</w:t>
      </w:r>
    </w:p>
    <w:p>
      <w:pPr>
        <w:pStyle w:val="Heading3"/>
      </w:pPr>
      <w:r>
        <w:t>D'où la mer Morte tire-t-elle son eau ?</w:t>
      </w:r>
    </w:p>
    <w:p>
      <w:r/>
      <w:r>
        <w:t>La mer Morte reçoit son eau de plusieurs sources, dont le Jourdain en est la principale. L'eau provient également de quatre ou cinq ruisseaux qui coulent toute l'année et de nombreux ruisseaux saisonniers (appelés oueds). Environ 7 millions de tonnes d'eau se déversent chaque jour dans la mer Morte. Cependant, cette eau ne peut s'échapper que par évaporation, car la mer n'a pas de débouchés.</w:t>
      </w:r>
    </w:p>
    <w:p>
      <w:r/>
      <w:r>
        <w:t>La région autour de la mer Morte est très sèche. Elle ne reçoit que 5 à 13 cm de pluie chaque année. Le climat est extrêmement chaud, surtout en été lorsque les températures peuvent atteindre 52°C. Cette chaleur provoque l'évaporation d'une grande partie de l'eau, créant souvent une épaisse brume difficile à traverser.</w:t>
      </w:r>
    </w:p>
    <w:p>
      <w:pPr>
        <w:pStyle w:val="Heading3"/>
      </w:pPr>
      <w:r>
        <w:t>Pourquoi la mer Morte est-elle si salée ?</w:t>
      </w:r>
    </w:p>
    <w:p>
      <w:r/>
      <w:r>
        <w:t>L'eau qui s'écoule dans la mer Morte est déjà très salée. Ces ruisseaux traversent un sol contenant des minéraux tels que l'azote et le soufre. Des sources souterraines sous la mer ajoutent davantage de minéraux à l'eau, y compris le brome, le magnésium et le calcium. Les rives possèdent de grands dépôts de soufre et des sources de pétrole.</w:t>
      </w:r>
    </w:p>
    <w:p>
      <w:r/>
      <w:r>
        <w:t>Dans la partie sud-est de la mer se trouve un énorme dépôt de sel gemme. La partie visible a une épaisseur de 90 m, mais il ne s'agit que du sommet d'une formation saline beaucoup plus grande. L'ensemble de la formation a une profondeur d'environ 1 370 m et s'étend sur environ 8 km. Le fond marin contient également des cristaux de sel.</w:t>
      </w:r>
    </w:p>
    <w:p>
      <w:r/>
      <w:r>
        <w:t>Tous ces facteurs rendent la mer Morte extrêmement salée. Son eau contient environ 26 % de sel, tandis que l'eau de mer normale n'en contient que 3,5 %. Cela fait de la mer Morte le plus grand corps d'eau salé sur Terre. L'eau y est si salée qu'aucun poisson ni aucune plante ne peut y vivre, et sa teneur en sel continue d'augmenter.</w:t>
      </w:r>
    </w:p>
    <w:p>
      <w:r/>
      <w:r>
        <w:t>Dans les temps anciens, on appréciait la mer Morte pour deux raisons principales : son sel et une substance spéciale appelée bitume. Le bitume est une substance noire naturelle, semblable au goudron, qui se forme lorsque le pétrole durcit après avoir été exposé à l'air. On l'utilisait pour étanchéifier les objets.</w:t>
      </w:r>
    </w:p>
    <w:p>
      <w:r/>
      <w:r>
        <w:t>À l'époque du Nouveau Testament, un groupe de personnes appelé les Nabatéens contrôlait le commerce du bitume de la mer Morte. Ils le vendaient à l'Égypte, où il était utilisé pour conserver les corps morts (un processus appelé momification). Certains historiens pensent que la reine Cléopâtre d'Égypte souhaitait contrôler la région de la mer Morte afin de maîtriser ce commerce important du bitume.</w:t>
      </w:r>
    </w:p>
    <w:p>
      <w:pPr>
        <w:pStyle w:val="Heading3"/>
      </w:pPr>
      <w:r>
        <w:t>La Mer Morte dans la Bible</w:t>
      </w:r>
    </w:p>
    <w:p>
      <w:pPr>
        <w:pStyle w:val="Heading4"/>
      </w:pPr>
      <w:r>
        <w:t>Sodome et Gomorrhe</w:t>
      </w:r>
    </w:p>
    <w:p>
      <w:r/>
      <w:r>
        <w:t xml:space="preserve">Aujourd'hui, la région de la mer Morte semble vide et sans vie. Cela correspond à ce que nous savons de son histoire. Selon </w:t>
      </w:r>
      <w:hyperlink r:id="rId96">
        <w:r>
          <w:rPr>
            <w:color w:val="0000EE"/>
            <w:u w:val="single"/>
          </w:rPr>
          <w:t>Genèse 19</w:t>
        </w:r>
      </w:hyperlink>
      <w:r>
        <w:t>, c'est ici que les anciennes villes de Sodome et Gomorrhe ont été détruites. Le mont Sedom, la grande montagne de sel à l'angle sud-est de la mer, tire son nom de la ville de Sodome.</w:t>
      </w:r>
    </w:p>
    <w:p>
      <w:r/>
      <w:r>
        <w:t>Un archéologue nommé Nelson Glueck a trouvé des preuves qu'il y a environ 5 000 ans (vers 3 000 av. J.‑C.), jusqu'à 70 villes existaient dans la région autour du mont Sedom. Les chercheurs ont différentes idées sur la manière dont Sodome et Gomorrhe ont été détruites. Certains pensent que cela a été causé par l'éruption d'un volcan. D'autres croient que des poches de sol riche en pétrole sous le sol ont explosé spontanément.</w:t>
      </w:r>
    </w:p>
    <w:p>
      <w:r/>
      <w:r>
        <w:t>Dans cette région se trouvent de nombreux hauts piliers faits de sel. Les gens appellent souvent ces piliers « la femme de Lot » en raison de l'histoire biblique où la femme de Lot s'est transformée en une colonne de sel.</w:t>
      </w:r>
    </w:p>
    <w:p>
      <w:pPr>
        <w:pStyle w:val="Heading4"/>
      </w:pPr>
      <w:r>
        <w:t>La Mer Morte comme refuge</w:t>
      </w:r>
    </w:p>
    <w:p>
      <w:r/>
      <w:r>
        <w:t>Le désert vide autour de la mer Morte servira de refuge pour de nombreuses personnes tout au long de l'histoire. David, qui deviendra plus tard roi d'Israël, s'y est caché de ses ennemis (</w:t>
      </w:r>
      <w:hyperlink r:id="rId9964">
        <w:r>
          <w:rPr>
            <w:color w:val="0000EE"/>
            <w:u w:val="single"/>
          </w:rPr>
          <w:t>1S 23.29–24.22</w:t>
        </w:r>
      </w:hyperlink>
      <w:r>
        <w:t>). Plus tard, un groupe religieux appelé les Esséniens a vécu à Qumrân près de la mer pour étudier et prier en paix. Pendant la deuxième rébellion juive contre Rome, les combattants juifs utiliseront également cette région pour se cacher.</w:t>
      </w:r>
    </w:p>
    <w:p>
      <w:pPr>
        <w:pStyle w:val="Heading4"/>
      </w:pPr>
      <w:r>
        <w:t>La Mer Morte et la prophétie</w:t>
      </w:r>
    </w:p>
    <w:p>
      <w:r/>
      <w:r>
        <w:t>Le prophète Ézéchiel a annoncé un temps futur où la mer Morte changerait (</w:t>
      </w:r>
      <w:hyperlink r:id="rId9965">
        <w:r>
          <w:rPr>
            <w:color w:val="0000EE"/>
            <w:u w:val="single"/>
          </w:rPr>
          <w:t>Ez 47.1–12</w:t>
        </w:r>
      </w:hyperlink>
      <w:r>
        <w:t xml:space="preserve"> ; voir </w:t>
      </w:r>
      <w:hyperlink r:id="rId9963">
        <w:r>
          <w:rPr>
            <w:color w:val="0000EE"/>
            <w:u w:val="single"/>
          </w:rPr>
          <w:t>Za 14.8</w:t>
        </w:r>
      </w:hyperlink>
      <w:r>
        <w:t>). Il a dit qu'un jour, les eaux salées deviendraient douces, et la mer qui ne peut pas soutenir la vie serait pleine d'êtres vivants.</w:t>
      </w:r>
      <w:r/>
      <w:r/>
    </w:p>
    <w:p>
      <w:r/>
    </w:p>
    <w:p>
      <w:pPr>
        <w:pStyle w:val="Heading2"/>
      </w:pPr>
      <w:r>
        <w:t>Mer Rouge</w:t>
      </w:r>
      <w:r/>
    </w:p>
    <w:p>
      <w:r/>
      <w:r>
        <w:t>La mer Rouge est un étroit bras de mer qui relie l'océan Indien à la mer Méditerranée. Elle mesure environ 2 200 km de long et 300 km de large. La mer Rouge se situe entre l'Afrique et l'Asie avec la péninsule Arabique à l'est et l'Égypte, le Soudan, l'Érythrée et l'Éthiopie à l'ouest.</w:t>
      </w:r>
    </w:p>
    <w:p>
      <w:r/>
      <w:r>
        <w:t>À l'extrémité nord-ouest, la péninsule du Sinaï s'avance dans la mer, créant le golfe de Suez à l'ouest et le golfe d'Aqaba à l'est. La ville de Suez est située à l'extrémité nord-ouest du golfe de Suez. Le canal de Suez relie la mer Rouge à la mer Méditerranée. À l'extrémité nord du golfe d'Aqaba se trouvent les ports d'Eilat (en Israël) et d'Aqaba (en Jordanie). La mer Rouge regorge de poissons et d'autres créatures marines qui pourraient fournir de la nourriture aux habitants de cette région. Cependant, il y a peu de villes, de routes ou de terres cultivables le long de ses rives.</w:t>
      </w:r>
    </w:p>
    <w:p>
      <w:pPr>
        <w:pStyle w:val="Heading3"/>
      </w:pPr>
      <w:r>
        <w:t>Noms bibliques et références</w:t>
      </w:r>
    </w:p>
    <w:p>
      <w:r/>
      <w:r>
        <w:t>L'Ancien Testament hébreu se réfère à la mer Rouge comme la « mer des Roseaux » ou « mer des Joncs ». La plupart des traductions françaises utilisent « mer Rouge », suivant la Septante (la traduction en grec ancien de l'Ancien Testament). Le plan d'eau mentionné dans la Bible pourrait être différent de ce qui est connu aujourd'hui comme la mer Rouge. Le Nouveau Testament mentionne la mer Rouge uniquement dans le discours d'Étienne devant le conseil juif (</w:t>
      </w:r>
      <w:hyperlink r:id="rId3410">
        <w:r>
          <w:rPr>
            <w:color w:val="0000EE"/>
            <w:u w:val="single"/>
          </w:rPr>
          <w:t>Ac 7.36</w:t>
        </w:r>
      </w:hyperlink>
      <w:r>
        <w:t>) et dans le chapitre concernant les « héros de la foi » (</w:t>
      </w:r>
      <w:hyperlink r:id="rId3411">
        <w:r>
          <w:rPr>
            <w:color w:val="0000EE"/>
            <w:u w:val="single"/>
          </w:rPr>
          <w:t>Hé 11.29</w:t>
        </w:r>
      </w:hyperlink>
      <w:r>
        <w:t>).</w:t>
      </w:r>
    </w:p>
    <w:p>
      <w:pPr>
        <w:pStyle w:val="Heading3"/>
      </w:pPr>
      <w:r>
        <w:t>La Traversée de la mer Rouge</w:t>
      </w:r>
    </w:p>
    <w:p>
      <w:r/>
      <w:r>
        <w:t>L'un des événements les plus célébrés de l'histoire juive est la traversée de la mer Rouge lors de l'Exode d'Égypte. Le peuple juif s'en souvient encore aujourd'hui. L'emplacement exact de la traversée est débattu par les chercheurs. Ce qui est clair est que l'eau était trop profonde pour être traversée à pied et trop large pour être traversée à la nage. Elle était suffisamment profonde pour submerger et noyer toute l'armée égyptienne.</w:t>
      </w:r>
    </w:p>
    <w:p>
      <w:r/>
      <w:r>
        <w:t>Lorsque les Israélites ont atteint la mer, ils se sont trouvés piégés entre l'eau et l'armée égyptienne (la force militaire la plus puissante de cette époque) qui les poursuivait. Dieu sauvera les Israélites en utilisant un vent fort de l'orient pour créer un chemin sec à travers la mer (</w:t>
      </w:r>
      <w:hyperlink r:id="rId9966">
        <w:r>
          <w:rPr>
            <w:color w:val="0000EE"/>
            <w:u w:val="single"/>
          </w:rPr>
          <w:t>Ex 14.10–31</w:t>
        </w:r>
      </w:hyperlink>
      <w:r>
        <w:t>). Les Égyptiens possédaient la meilleure armée du monde à cette époque.</w:t>
      </w:r>
    </w:p>
    <w:p>
      <w:r/>
      <w:r>
        <w:t>Quand Dieu refermera les eaux sur les forces égyptiennes, les Israélites seront complètement libérés du contrôle égyptien. Les Israélites ont célébré cette victoire avec des chants (</w:t>
      </w:r>
      <w:hyperlink r:id="rId5295">
        <w:r>
          <w:rPr>
            <w:color w:val="0000EE"/>
            <w:u w:val="single"/>
          </w:rPr>
          <w:t>Ex 15.1–21</w:t>
        </w:r>
      </w:hyperlink>
      <w:r>
        <w:t xml:space="preserve">). Cet événement était souvent rappelé lorsque l'on parlait de l'aide de Dieu pour Israël (voir </w:t>
      </w:r>
      <w:hyperlink r:id="rId9967">
        <w:r>
          <w:rPr>
            <w:color w:val="0000EE"/>
            <w:u w:val="single"/>
          </w:rPr>
          <w:t>Jos 4.23</w:t>
        </w:r>
      </w:hyperlink>
      <w:r>
        <w:t xml:space="preserve"> ; </w:t>
      </w:r>
      <w:hyperlink r:id="rId9968">
        <w:r>
          <w:rPr>
            <w:color w:val="0000EE"/>
            <w:u w:val="single"/>
          </w:rPr>
          <w:t>24.6–7</w:t>
        </w:r>
      </w:hyperlink>
      <w:r>
        <w:t xml:space="preserve"> ; </w:t>
      </w:r>
      <w:hyperlink r:id="rId9969">
        <w:r>
          <w:rPr>
            <w:color w:val="0000EE"/>
            <w:u w:val="single"/>
          </w:rPr>
          <w:t>Ps 106.7–9</w:t>
        </w:r>
      </w:hyperlink>
      <w:r>
        <w:t xml:space="preserve"> ; </w:t>
      </w:r>
      <w:hyperlink r:id="rId9970">
        <w:r>
          <w:rPr>
            <w:color w:val="0000EE"/>
            <w:u w:val="single"/>
          </w:rPr>
          <w:t>136.13–15</w:t>
        </w:r>
      </w:hyperlink>
      <w:r>
        <w:t>). Même les habitants de Jéricho ont entendu ce que Dieu a fait à la mer Rouge et ont été pris de peur (</w:t>
      </w:r>
      <w:hyperlink r:id="rId9971">
        <w:r>
          <w:rPr>
            <w:color w:val="0000EE"/>
            <w:u w:val="single"/>
          </w:rPr>
          <w:t>Jos 2.9–10</w:t>
        </w:r>
      </w:hyperlink>
      <w:r>
        <w:t>).</w:t>
      </w:r>
    </w:p>
    <w:p>
      <w:pPr>
        <w:pStyle w:val="Heading3"/>
      </w:pPr>
      <w:r>
        <w:t>Le Voyage à travers le désert</w:t>
      </w:r>
    </w:p>
    <w:p>
      <w:r/>
      <w:r>
        <w:t>Après avoir quitté l'Égypte, les Israélites ont voyagé le long de la rive est du golfe de Suez sur une certaine distance. Après avoir quitté Élim, ils ont campé au bord de la mer (</w:t>
      </w:r>
      <w:hyperlink r:id="rId9972">
        <w:r>
          <w:rPr>
            <w:color w:val="0000EE"/>
            <w:u w:val="single"/>
          </w:rPr>
          <w:t>Nb 33.9–11</w:t>
        </w:r>
      </w:hyperlink>
      <w:r>
        <w:t>). Puis ils se sont dirigés vers l'intérieur des terres en direction de la montagne du Sinaï.</w:t>
      </w:r>
    </w:p>
    <w:p>
      <w:r/>
      <w:r>
        <w:t>Depuis le Sinaï, ils ont voyagé vers le nord-est, suivant le golfe d'Aqaba aussi près que possible. Ils ont probablement atteint la mer Rouge à Étsjon-Guéber (</w:t>
      </w:r>
      <w:hyperlink r:id="rId9973">
        <w:r>
          <w:rPr>
            <w:color w:val="0000EE"/>
            <w:u w:val="single"/>
          </w:rPr>
          <w:t>Nb 33.35</w:t>
        </w:r>
      </w:hyperlink>
      <w:r>
        <w:t xml:space="preserve">). Ils n'ont pas réussi à entrer en Canaan depuis Kadès-Barnéa et ont été vaincus à Horma. Après cela, ils se sont dirigés vers le sud jusqu'à l'endroit où la montagne de Séir s'approche du golfe d'Aqaba (voir </w:t>
      </w:r>
      <w:hyperlink r:id="rId4621">
        <w:r>
          <w:rPr>
            <w:color w:val="0000EE"/>
            <w:u w:val="single"/>
          </w:rPr>
          <w:t>Dt 2.8</w:t>
        </w:r>
      </w:hyperlink>
      <w:r>
        <w:t>).</w:t>
      </w:r>
    </w:p>
    <w:p>
      <w:pPr>
        <w:pStyle w:val="Heading3"/>
      </w:pPr>
      <w:r>
        <w:rPr>
          <w:b/>
        </w:rPr>
        <w:t>La Mer Rouge dans l'histoire d'Israël</w:t>
      </w:r>
    </w:p>
    <w:p>
      <w:r/>
      <w:r>
        <w:t>La mer Rouge est à la frontière sud de la terre promise (</w:t>
      </w:r>
      <w:hyperlink r:id="rId9974">
        <w:r>
          <w:rPr>
            <w:color w:val="0000EE"/>
            <w:u w:val="single"/>
          </w:rPr>
          <w:t>Ex 23.31</w:t>
        </w:r>
      </w:hyperlink>
      <w:r>
        <w:t>). Le royaume de Salomon s'étendait jusqu'au golfe d'Aqaba, où il fera construire une flotte de navires à Étsjon-Guéber près d'Éloth. Ces navires naviguaient vers Ophir, rapportant de l'or et d'autres trésors (</w:t>
      </w:r>
      <w:hyperlink r:id="rId1088">
        <w:r>
          <w:rPr>
            <w:color w:val="0000EE"/>
            <w:u w:val="single"/>
          </w:rPr>
          <w:t>1R 9.26–28</w:t>
        </w:r>
      </w:hyperlink>
      <w:r>
        <w:t xml:space="preserve"> ; voir </w:t>
      </w:r>
      <w:hyperlink r:id="rId9975">
        <w:r>
          <w:rPr>
            <w:color w:val="0000EE"/>
            <w:u w:val="single"/>
          </w:rPr>
          <w:t>2Ch 8.17–18</w:t>
        </w:r>
      </w:hyperlink>
      <w:r>
        <w:t>). Plus tard, Josaphat tentera d'en faire de même, mais ses navires seront détruits à Étsjon-Guéber (</w:t>
      </w:r>
      <w:hyperlink r:id="rId1090">
        <w:r>
          <w:rPr>
            <w:color w:val="0000EE"/>
            <w:u w:val="single"/>
          </w:rPr>
          <w:t>1R 22.48</w:t>
        </w:r>
      </w:hyperlink>
      <w:r>
        <w:t xml:space="preserve"> ; </w:t>
      </w:r>
      <w:hyperlink r:id="rId4497">
        <w:r>
          <w:rPr>
            <w:color w:val="0000EE"/>
            <w:u w:val="single"/>
          </w:rPr>
          <w:t>2Ch 20.36–37</w:t>
        </w:r>
      </w:hyperlink>
      <w:r>
        <w:t>).</w:t>
      </w:r>
    </w:p>
    <w:p>
      <w:r/>
      <w:r>
        <w:rPr>
          <w:i/>
        </w:rPr>
        <w:t>Voir aussi</w:t>
      </w:r>
      <w:r>
        <w:t xml:space="preserve"> </w:t>
      </w:r>
      <w:r>
        <w:t>Exode</w:t>
      </w:r>
      <w:r>
        <w:t xml:space="preserve"> ; </w:t>
      </w:r>
      <w:r>
        <w:t>Exode, Livre de l'</w:t>
      </w:r>
      <w:r>
        <w:t>.</w:t>
      </w:r>
      <w:r/>
      <w:r/>
    </w:p>
    <w:p>
      <w:r/>
    </w:p>
    <w:p>
      <w:pPr>
        <w:pStyle w:val="Heading2"/>
      </w:pPr>
      <w:r>
        <w:t>Merari, Merarite</w:t>
      </w:r>
      <w:r/>
    </w:p>
    <w:p>
      <w:r/>
      <w:r>
        <w:t xml:space="preserve">En hébreu, arabe et akkadien, le mot </w:t>
      </w:r>
      <w:r>
        <w:rPr>
          <w:i/>
        </w:rPr>
        <w:t>Merari</w:t>
      </w:r>
      <w:r>
        <w:t xml:space="preserve"> signifie « amer », « boisson amère » ou « être amer ». En ougaritique, il signifie « renforcer, bénir ». La plupart des gens ont compris que le nom signifie « fiel » ou « amertume » en se basant sur sa signification hébraïque. Cependant, la signification ougaritique « renforcer, bénir » s'accorde également avec la pensée hébraïque. Lorsqu'il est utilisé comme prénom, il signifie probablement « force » ou « bénédiction ». Cette signification a plus de sens dans de nombreuses références bibliques.</w:t>
      </w:r>
    </w:p>
    <w:p>
      <w:r/>
      <w:r>
        <w:t>Pour Merari, le troisième fils de Lévi, le sens « force » ou « bénédiction » semble plus approprié en raison de son importance et du rôle de sa famille. Il serait étrange que le plus jeune fils ait un nom signifiant « fiel » ou « amertume » alors qu'il avait la plus grande responsabilité et a reçu la plus grande récompense pour son service.</w:t>
      </w:r>
    </w:p>
    <w:p>
      <w:r/>
      <w:r>
        <w:t>La Bible mentionne Merari, le fils de Lévi, à de nombreuses reprises. Il était le plus jeune des trois fils de Lévi (</w:t>
      </w:r>
      <w:hyperlink r:id="rId6129">
        <w:r>
          <w:rPr>
            <w:color w:val="0000EE"/>
            <w:u w:val="single"/>
          </w:rPr>
          <w:t>Gn 46.11</w:t>
        </w:r>
      </w:hyperlink>
      <w:r>
        <w:t xml:space="preserve"> ; </w:t>
      </w:r>
      <w:hyperlink r:id="rId9976">
        <w:r>
          <w:rPr>
            <w:color w:val="0000EE"/>
            <w:u w:val="single"/>
          </w:rPr>
          <w:t>Ex 6.16–19</w:t>
        </w:r>
      </w:hyperlink>
      <w:r>
        <w:t xml:space="preserve"> ; </w:t>
      </w:r>
      <w:hyperlink r:id="rId9977">
        <w:r>
          <w:rPr>
            <w:color w:val="0000EE"/>
            <w:u w:val="single"/>
          </w:rPr>
          <w:t>Nb 3.17–20, 33</w:t>
        </w:r>
      </w:hyperlink>
      <w:r>
        <w:t xml:space="preserve"> ; </w:t>
      </w:r>
      <w:hyperlink r:id="rId6131">
        <w:r>
          <w:rPr>
            <w:color w:val="0000EE"/>
            <w:u w:val="single"/>
          </w:rPr>
          <w:t>1Ch 6.1</w:t>
        </w:r>
      </w:hyperlink>
      <w:r>
        <w:t>). Il était le père de deux fils, Machli et Muschi (</w:t>
      </w:r>
      <w:hyperlink r:id="rId9978">
        <w:r>
          <w:rPr>
            <w:color w:val="0000EE"/>
            <w:u w:val="single"/>
          </w:rPr>
          <w:t>Ex 6.19</w:t>
        </w:r>
      </w:hyperlink>
      <w:r>
        <w:t xml:space="preserve"> ; </w:t>
      </w:r>
      <w:hyperlink r:id="rId9979">
        <w:r>
          <w:rPr>
            <w:color w:val="0000EE"/>
            <w:u w:val="single"/>
          </w:rPr>
          <w:t>Nb 3.20</w:t>
        </w:r>
      </w:hyperlink>
      <w:r>
        <w:t>). Les fils de Merari étaient chargés de la tâche importante de transporter les planches, les barres, les colonnes, les bases, les vases et les ustensiles du tabernacle (</w:t>
      </w:r>
      <w:hyperlink r:id="rId9980">
        <w:r>
          <w:rPr>
            <w:color w:val="0000EE"/>
            <w:u w:val="single"/>
          </w:rPr>
          <w:t>Nb 3.36–37</w:t>
        </w:r>
      </w:hyperlink>
      <w:r>
        <w:t xml:space="preserve"> ; </w:t>
      </w:r>
      <w:hyperlink r:id="rId9981">
        <w:r>
          <w:rPr>
            <w:color w:val="0000EE"/>
            <w:u w:val="single"/>
          </w:rPr>
          <w:t>4.31–33</w:t>
        </w:r>
      </w:hyperlink>
      <w:r>
        <w:t xml:space="preserve"> ; </w:t>
      </w:r>
      <w:hyperlink r:id="rId9982">
        <w:r>
          <w:rPr>
            <w:color w:val="0000EE"/>
            <w:u w:val="single"/>
          </w:rPr>
          <w:t>7.8</w:t>
        </w:r>
      </w:hyperlink>
      <w:r>
        <w:t xml:space="preserve"> ; </w:t>
      </w:r>
      <w:hyperlink r:id="rId9983">
        <w:r>
          <w:rPr>
            <w:color w:val="0000EE"/>
            <w:u w:val="single"/>
          </w:rPr>
          <w:t>10.17</w:t>
        </w:r>
      </w:hyperlink>
      <w:r>
        <w:t xml:space="preserve"> ; </w:t>
      </w:r>
      <w:hyperlink r:id="rId9984">
        <w:r>
          <w:rPr>
            <w:color w:val="0000EE"/>
            <w:u w:val="single"/>
          </w:rPr>
          <w:t>Jos 21.7, 34, 40</w:t>
        </w:r>
      </w:hyperlink>
      <w:r>
        <w:t>). Ses descendants sont connus sous le nom de Merarites. Chroniques mentionne souvent la famille de Merari, montrant leur importance (</w:t>
      </w:r>
      <w:hyperlink r:id="rId9985">
        <w:r>
          <w:rPr>
            <w:color w:val="0000EE"/>
            <w:u w:val="single"/>
          </w:rPr>
          <w:t>1Ch 6</w:t>
        </w:r>
      </w:hyperlink>
      <w:r>
        <w:t xml:space="preserve"> ; </w:t>
      </w:r>
      <w:hyperlink r:id="rId9986">
        <w:r>
          <w:rPr>
            <w:color w:val="0000EE"/>
            <w:u w:val="single"/>
          </w:rPr>
          <w:t>9</w:t>
        </w:r>
      </w:hyperlink>
      <w:r>
        <w:t xml:space="preserve"> ; </w:t>
      </w:r>
      <w:hyperlink r:id="rId9987">
        <w:r>
          <w:rPr>
            <w:color w:val="0000EE"/>
            <w:u w:val="single"/>
          </w:rPr>
          <w:t>15</w:t>
        </w:r>
      </w:hyperlink>
      <w:r>
        <w:t xml:space="preserve"> ; </w:t>
      </w:r>
      <w:hyperlink r:id="rId9988">
        <w:r>
          <w:rPr>
            <w:color w:val="0000EE"/>
            <w:u w:val="single"/>
          </w:rPr>
          <w:t>23</w:t>
        </w:r>
      </w:hyperlink>
      <w:r>
        <w:t xml:space="preserve"> ; </w:t>
      </w:r>
      <w:hyperlink r:id="rId9989">
        <w:r>
          <w:rPr>
            <w:color w:val="0000EE"/>
            <w:u w:val="single"/>
          </w:rPr>
          <w:t>26</w:t>
        </w:r>
      </w:hyperlink>
      <w:r>
        <w:t xml:space="preserve"> ; </w:t>
      </w:r>
      <w:hyperlink r:id="rId9990">
        <w:r>
          <w:rPr>
            <w:color w:val="0000EE"/>
            <w:u w:val="single"/>
          </w:rPr>
          <w:t>2Ch 29</w:t>
        </w:r>
      </w:hyperlink>
      <w:r>
        <w:t xml:space="preserve"> ; </w:t>
      </w:r>
      <w:hyperlink r:id="rId8092">
        <w:r>
          <w:rPr>
            <w:color w:val="0000EE"/>
            <w:u w:val="single"/>
          </w:rPr>
          <w:t>34</w:t>
        </w:r>
      </w:hyperlink>
      <w:r>
        <w:t>).</w:t>
      </w:r>
    </w:p>
    <w:p>
      <w:r/>
      <w:r>
        <w:rPr>
          <w:i/>
        </w:rPr>
        <w:t>Voir aussi</w:t>
      </w:r>
      <w:r>
        <w:t xml:space="preserve"> </w:t>
      </w:r>
      <w:r>
        <w:t>Prêtres et Lévites</w:t>
      </w:r>
      <w:r>
        <w:t xml:space="preserve"> ; </w:t>
      </w:r>
      <w:r>
        <w:t>Lévi, Tribu de</w:t>
      </w:r>
      <w:r>
        <w:t>.</w:t>
      </w:r>
      <w:r/>
      <w:r/>
    </w:p>
    <w:p>
      <w:r/>
    </w:p>
    <w:p>
      <w:pPr>
        <w:pStyle w:val="Heading2"/>
      </w:pPr>
      <w:r>
        <w:t>Mérès</w:t>
      </w:r>
      <w:r/>
    </w:p>
    <w:p>
      <w:r/>
      <w:r>
        <w:t>Un des sept princes de Perse et de Médie qui était conseiller personnel du roi Assuérus (</w:t>
      </w:r>
      <w:hyperlink r:id="rId334">
        <w:r>
          <w:rPr>
            <w:color w:val="0000EE"/>
            <w:u w:val="single"/>
          </w:rPr>
          <w:t>Est 1.14</w:t>
        </w:r>
      </w:hyperlink>
      <w:r>
        <w:t>).</w:t>
      </w:r>
      <w:r/>
      <w:r/>
    </w:p>
    <w:p>
      <w:r/>
    </w:p>
    <w:p>
      <w:pPr>
        <w:pStyle w:val="Heading2"/>
      </w:pPr>
      <w:r>
        <w:t>Méscha (Lieu)</w:t>
      </w:r>
      <w:r/>
    </w:p>
    <w:p>
      <w:r/>
      <w:r>
        <w:t>Lieu dans le sud de l'Arabie qui déterminait la frontière occidentale du territoire où se sont installés les descendants de Jokthan (</w:t>
      </w:r>
      <w:hyperlink r:id="rId6211">
        <w:r>
          <w:rPr>
            <w:color w:val="0000EE"/>
            <w:u w:val="single"/>
          </w:rPr>
          <w:t>Gn 10.30</w:t>
        </w:r>
      </w:hyperlink>
      <w:r>
        <w:t>). Sa localisation est inconnue. Certains suggèrent que Méscha était une ville portuaire située le long des côtes orientales de la mer Rouge, à proximité de ce qui est aujourd'hui le Yémen ; d'autres la placent le long des rives nord-ouest du golfe Persique, près de la région de Mésène.</w:t>
      </w:r>
      <w:r/>
      <w:r/>
    </w:p>
    <w:p>
      <w:r/>
    </w:p>
    <w:p>
      <w:pPr>
        <w:pStyle w:val="Heading2"/>
      </w:pPr>
      <w:r>
        <w:t>Méschec</w:t>
      </w:r>
      <w:r/>
    </w:p>
    <w:p>
      <w:r/>
      <w:r>
        <w:t>1. Fils de Japhet et petit-fils de Noé (</w:t>
      </w:r>
      <w:hyperlink r:id="rId6069">
        <w:r>
          <w:rPr>
            <w:color w:val="0000EE"/>
            <w:u w:val="single"/>
          </w:rPr>
          <w:t>Gn 10.2</w:t>
        </w:r>
      </w:hyperlink>
      <w:r>
        <w:t>). Ses descendants sont généralement mentionnés en relation avec Tubal, Gog ou Magog (</w:t>
      </w:r>
      <w:hyperlink r:id="rId8059">
        <w:r>
          <w:rPr>
            <w:color w:val="0000EE"/>
            <w:u w:val="single"/>
          </w:rPr>
          <w:t>Ps 120.5</w:t>
        </w:r>
      </w:hyperlink>
      <w:r>
        <w:t xml:space="preserve"> ; </w:t>
      </w:r>
      <w:hyperlink r:id="rId6097">
        <w:r>
          <w:rPr>
            <w:color w:val="0000EE"/>
            <w:u w:val="single"/>
          </w:rPr>
          <w:t>Ez 27.13</w:t>
        </w:r>
      </w:hyperlink>
      <w:r>
        <w:t xml:space="preserve"> ; </w:t>
      </w:r>
      <w:hyperlink r:id="rId9991">
        <w:r>
          <w:rPr>
            <w:color w:val="0000EE"/>
            <w:u w:val="single"/>
          </w:rPr>
          <w:t>32.26</w:t>
        </w:r>
      </w:hyperlink>
      <w:r>
        <w:t xml:space="preserve"> ; </w:t>
      </w:r>
      <w:hyperlink r:id="rId9992">
        <w:r>
          <w:rPr>
            <w:color w:val="0000EE"/>
            <w:u w:val="single"/>
          </w:rPr>
          <w:t>38.2–3</w:t>
        </w:r>
      </w:hyperlink>
      <w:r>
        <w:t xml:space="preserve"> ; </w:t>
      </w:r>
      <w:hyperlink r:id="rId9993">
        <w:r>
          <w:rPr>
            <w:color w:val="0000EE"/>
            <w:u w:val="single"/>
          </w:rPr>
          <w:t>39.1</w:t>
        </w:r>
      </w:hyperlink>
      <w:r>
        <w:t>). Ils sont appelés Muski dans les archives assyriennes et habitaient les montagnes au nord de l'Assyrie pendant les règnes de Tiglath-Piléser 1er (1115–1102 av. J.‑C.), Salmanasar III (859–824 av. J.‑C.) et Sargon (722–705 av. J.‑C.). Le peuple de Méschec est décrit comme agressif et païen, commerçant de bronze et d'esclaves avec Tyr.</w:t>
      </w:r>
    </w:p>
    <w:p>
      <w:r/>
      <w:r>
        <w:t xml:space="preserve">2. Fils de Sem selon </w:t>
      </w:r>
      <w:hyperlink r:id="rId1100">
        <w:r>
          <w:rPr>
            <w:color w:val="0000EE"/>
            <w:u w:val="single"/>
          </w:rPr>
          <w:t>1 Chroniques 1.17</w:t>
        </w:r>
      </w:hyperlink>
      <w:r>
        <w:t xml:space="preserve">, mais nommé Masch dans le passage parallèle de </w:t>
      </w:r>
      <w:hyperlink r:id="rId6163">
        <w:r>
          <w:rPr>
            <w:color w:val="0000EE"/>
            <w:u w:val="single"/>
          </w:rPr>
          <w:t>Genèse 10.23</w:t>
        </w:r>
      </w:hyperlink>
      <w:r>
        <w:t>. Ce dernier nom est généralement accepté.</w:t>
      </w:r>
      <w:r/>
      <w:r/>
    </w:p>
    <w:p>
      <w:r/>
    </w:p>
    <w:p>
      <w:pPr>
        <w:pStyle w:val="Heading2"/>
      </w:pPr>
      <w:r>
        <w:t>Mésopotamie</w:t>
      </w:r>
      <w:r/>
    </w:p>
    <w:p>
      <w:r/>
      <w:r>
        <w:t>Nom grec donné à la terre entre les deux fleuves de l'Hiddékel (Tigre) et de l'Euphrate. Aujourd'hui, la région est appelée al-Jazira, « l'île », par les Arabes.</w:t>
      </w:r>
    </w:p>
    <w:p>
      <w:r/>
      <w:r>
        <w:t>Mésopotamie, qui signifie « entre les fleuves », désigne la terre située près du Hiddékel et de l'Euphrate jusqu'au golfe Persique. La majeure partie se trouve en Irak, mais certaines régions se trouvent en Syrie et en Turquie.</w:t>
      </w:r>
    </w:p>
    <w:p>
      <w:r/>
      <w:r>
        <w:t xml:space="preserve">La Mésopotamie était importante pour l'histoire de l'Ancien Testament. Beaucoup de récits dans </w:t>
      </w:r>
      <w:hyperlink r:id="rId2538">
        <w:r>
          <w:rPr>
            <w:color w:val="0000EE"/>
            <w:u w:val="single"/>
          </w:rPr>
          <w:t>Genèse 1–11</w:t>
        </w:r>
      </w:hyperlink>
      <w:r>
        <w:t xml:space="preserve"> s'y déroulent. Le jardin d'Éden était en Mésopotamie parce que </w:t>
      </w:r>
      <w:hyperlink r:id="rId5986">
        <w:r>
          <w:rPr>
            <w:color w:val="0000EE"/>
            <w:u w:val="single"/>
          </w:rPr>
          <w:t>Genèse 2.10</w:t>
        </w:r>
      </w:hyperlink>
      <w:r>
        <w:t>–</w:t>
      </w:r>
      <w:hyperlink r:id="rId5986">
        <w:r>
          <w:rPr>
            <w:color w:val="0000EE"/>
            <w:u w:val="single"/>
          </w:rPr>
          <w:t>14</w:t>
        </w:r>
      </w:hyperlink>
      <w:r>
        <w:t xml:space="preserve"> nomme deux fleuves près d'Éden : l'Euphrate et le Hiddékel.</w:t>
      </w:r>
    </w:p>
    <w:p>
      <w:pPr>
        <w:pStyle w:val="Heading3"/>
      </w:pPr>
      <w:r>
        <w:t>Qui vivait en Mésopotamie ?</w:t>
      </w:r>
    </w:p>
    <w:p>
      <w:r/>
      <w:r>
        <w:t>Nous ne savons pas grand-chose sur les cultures préhistoriques de Mésopotamie. Les périodes historiques sont nommées d'après les villes les plus importantes (comme Ur et Isin-Larsa) ou selon les dynasties régnantes (comme Ur III).</w:t>
      </w:r>
    </w:p>
    <w:p>
      <w:r/>
      <w:r>
        <w:t>Le sud de la Mésopotamie est connu sous le nom de Sumer. Les Sumériens possédaient une culture unique et parlaient une langue très différente du reste de la Mésopotamie. Le sumérien s'écrivait avec une série de signes en forme de coin (appelés cunéiformes), tout comme les autres langues de la Mésopotamie.</w:t>
      </w:r>
    </w:p>
    <w:p>
      <w:r/>
      <w:r>
        <w:t>Plus au nord se trouvait le district appelé Akkad (également connu sous le nom d'Agade). Les Akkadiens étaient aussi des Sémites. Plus au nord, le long du Hiddékel, se trouvait le territoire d'Assyrie. À l'extrême ouest se trouvait la Syrie (également connue sous le nom d'Aram). Entre l'Assyrie et la Syrie se trouvait le Mitanni.</w:t>
      </w:r>
    </w:p>
    <w:p>
      <w:r/>
      <w:r>
        <w:t>Différentes régions de la Mésopotamie ont gagné en puissance à diverses époques. La Mésopotamie a fait partie de plusieurs empires, tels que :</w:t>
      </w:r>
    </w:p>
    <w:p>
      <w:pPr>
        <w:pStyle w:val="ListBullet"/>
        <w:spacing w:line="240" w:lineRule="auto"/>
        <w:ind w:left="720"/>
      </w:pPr>
      <w:r/>
      <w:r>
        <w:t>Hittite</w:t>
      </w:r>
    </w:p>
    <w:p>
      <w:pPr>
        <w:pStyle w:val="ListBullet"/>
        <w:spacing w:line="240" w:lineRule="auto"/>
        <w:ind w:left="720"/>
      </w:pPr>
      <w:r/>
      <w:r>
        <w:t>Assyrien</w:t>
      </w:r>
    </w:p>
    <w:p>
      <w:pPr>
        <w:pStyle w:val="ListBullet"/>
        <w:spacing w:line="240" w:lineRule="auto"/>
        <w:ind w:left="720"/>
      </w:pPr>
      <w:r/>
      <w:r>
        <w:t>Babylonien</w:t>
      </w:r>
    </w:p>
    <w:p>
      <w:pPr>
        <w:pStyle w:val="ListBullet"/>
        <w:spacing w:line="240" w:lineRule="auto"/>
        <w:ind w:left="720"/>
      </w:pPr>
      <w:r/>
      <w:r>
        <w:t>Perse</w:t>
      </w:r>
    </w:p>
    <w:p>
      <w:pPr>
        <w:pStyle w:val="ListBullet"/>
        <w:spacing w:line="240" w:lineRule="auto"/>
        <w:ind w:left="720"/>
      </w:pPr>
      <w:r/>
      <w:r>
        <w:t>Grec (également connu sous le nom d'hellénistique)</w:t>
      </w:r>
    </w:p>
    <w:p>
      <w:pPr>
        <w:pStyle w:val="ListBullet"/>
        <w:spacing w:line="240" w:lineRule="auto"/>
        <w:ind w:left="720"/>
      </w:pPr>
      <w:r/>
      <w:r>
        <w:t>Romain</w:t>
      </w:r>
    </w:p>
    <w:p>
      <w:pPr>
        <w:pStyle w:val="Heading3"/>
      </w:pPr>
      <w:r>
        <w:t>La Mésopotamie dans la Bible</w:t>
      </w:r>
    </w:p>
    <w:p>
      <w:r/>
      <w:r>
        <w:t xml:space="preserve">En hébreu, l'Ancien Testament appelle la Mésopotamie </w:t>
      </w:r>
      <w:r>
        <w:rPr>
          <w:i/>
        </w:rPr>
        <w:t>Aram-naharaïm</w:t>
      </w:r>
      <w:r>
        <w:t xml:space="preserve">, signifiant « </w:t>
      </w:r>
      <w:r>
        <w:t>l'Aram-des-deux-Fleuves</w:t>
      </w:r>
      <w:r>
        <w:t xml:space="preserve"> » (voir TOB2010). Abraham a envoyé son serviteur à Aram-naharaim pour trouver une épouse pour Isaac (</w:t>
      </w:r>
      <w:hyperlink r:id="rId2403">
        <w:r>
          <w:rPr>
            <w:color w:val="0000EE"/>
            <w:u w:val="single"/>
          </w:rPr>
          <w:t>Gn 24.10</w:t>
        </w:r>
      </w:hyperlink>
      <w:r>
        <w:t xml:space="preserve">). Certains suggèrent que les « deux fleuves » étaient l'Euphrate et une branche de l'Euphrate appelée Khabour. Les récits sur Jacob n'utilisent pas le terme </w:t>
      </w:r>
      <w:r>
        <w:rPr>
          <w:i/>
        </w:rPr>
        <w:t>Aram-naharaïm</w:t>
      </w:r>
      <w:r>
        <w:t xml:space="preserve"> mais appellent la région « Paddan-Aram », « le champ [ou jardin] d'Aram » (</w:t>
      </w:r>
      <w:hyperlink r:id="rId8820">
        <w:r>
          <w:rPr>
            <w:color w:val="0000EE"/>
            <w:u w:val="single"/>
          </w:rPr>
          <w:t>Gn 28.2</w:t>
        </w:r>
      </w:hyperlink>
      <w:r>
        <w:t>).</w:t>
      </w:r>
    </w:p>
    <w:p>
      <w:r/>
      <w:r>
        <w:t>Balaam, le fils de Beor, était de Pethor en Mésopotamie (</w:t>
      </w:r>
      <w:hyperlink r:id="rId1119">
        <w:r>
          <w:rPr>
            <w:color w:val="0000EE"/>
            <w:u w:val="single"/>
          </w:rPr>
          <w:t>Dt 23.4</w:t>
        </w:r>
      </w:hyperlink>
      <w:r>
        <w:t xml:space="preserve">). Pendant la période des juges, </w:t>
      </w:r>
      <w:r>
        <w:t>Cuschan-Rischeathaïm</w:t>
      </w:r>
      <w:r>
        <w:t>, le roi de Mésopotamie, a opprimé Israël pendant huit ans jusqu'à ce que Dieu les sauve par Othniel (</w:t>
      </w:r>
      <w:hyperlink r:id="rId3675">
        <w:r>
          <w:rPr>
            <w:color w:val="0000EE"/>
            <w:u w:val="single"/>
          </w:rPr>
          <w:t>Jg 3.8</w:t>
        </w:r>
      </w:hyperlink>
      <w:r>
        <w:t>–</w:t>
      </w:r>
      <w:hyperlink r:id="rId3675">
        <w:r>
          <w:rPr>
            <w:color w:val="0000EE"/>
            <w:u w:val="single"/>
          </w:rPr>
          <w:t>10</w:t>
        </w:r>
      </w:hyperlink>
      <w:r>
        <w:t>).</w:t>
      </w:r>
    </w:p>
    <w:p>
      <w:r/>
      <w:r>
        <w:t>Lorsque les Ammonites pensaient que David envahirait leur terre parce qu'ils avaient insulté ses ambassadeurs, ils ont engagé des chars de Mésopotamie pour renforcer leurs défenses (</w:t>
      </w:r>
      <w:hyperlink r:id="rId1124">
        <w:r>
          <w:rPr>
            <w:color w:val="0000EE"/>
            <w:u w:val="single"/>
          </w:rPr>
          <w:t>1Ch 19.6</w:t>
        </w:r>
      </w:hyperlink>
      <w:r>
        <w:t>).</w:t>
      </w:r>
    </w:p>
    <w:p>
      <w:r/>
      <w:r>
        <w:t>Dans le Nouveau Testament, la Mésopotamie n'est mentionnée que deux fois. Des gens de Mésopotamie étaient présents le jour de la Pentecôte (</w:t>
      </w:r>
      <w:hyperlink r:id="rId4597">
        <w:r>
          <w:rPr>
            <w:color w:val="0000EE"/>
            <w:u w:val="single"/>
          </w:rPr>
          <w:t>Ac 2.9</w:t>
        </w:r>
      </w:hyperlink>
      <w:r>
        <w:t xml:space="preserve">). Étienne, dans sa défense devant le Sanhédrin, déclare qu'Abraham a vécu en Mésopotamie avant de déménager à </w:t>
      </w:r>
      <w:r>
        <w:t>Charran</w:t>
      </w:r>
      <w:r>
        <w:t xml:space="preserve"> (</w:t>
      </w:r>
      <w:hyperlink r:id="rId5795">
        <w:r>
          <w:rPr>
            <w:color w:val="0000EE"/>
            <w:u w:val="single"/>
          </w:rPr>
          <w:t>Ac 7.2</w:t>
        </w:r>
      </w:hyperlink>
      <w:r>
        <w:t xml:space="preserve"> ; voir </w:t>
      </w:r>
      <w:hyperlink r:id="rId84">
        <w:r>
          <w:rPr>
            <w:color w:val="0000EE"/>
            <w:u w:val="single"/>
          </w:rPr>
          <w:t>Gn 11.31</w:t>
        </w:r>
      </w:hyperlink>
      <w:r>
        <w:t>).</w:t>
      </w:r>
      <w:r/>
      <w:r/>
    </w:p>
    <w:p>
      <w:r/>
    </w:p>
    <w:p>
      <w:pPr>
        <w:pStyle w:val="Heading2"/>
      </w:pPr>
      <w:r>
        <w:t>Metuschaël</w:t>
      </w:r>
      <w:r/>
    </w:p>
    <w:p>
      <w:r/>
      <w:r>
        <w:t>Fils de Mehujaël et père de Lémec dans la lignée de Caïn (</w:t>
      </w:r>
      <w:hyperlink r:id="rId6818">
        <w:r>
          <w:rPr>
            <w:color w:val="0000EE"/>
            <w:u w:val="single"/>
          </w:rPr>
          <w:t>Gn 4.18</w:t>
        </w:r>
      </w:hyperlink>
      <w:r>
        <w:t>).</w:t>
      </w:r>
      <w:r/>
      <w:r/>
    </w:p>
    <w:p>
      <w:r/>
    </w:p>
    <w:p>
      <w:pPr>
        <w:pStyle w:val="Heading2"/>
      </w:pPr>
      <w:r>
        <w:t>Metuschélah</w:t>
      </w:r>
      <w:r/>
    </w:p>
    <w:p>
      <w:r/>
      <w:r>
        <w:t>Fils d'Hénoc, père de Lémec et grand-père de Noé par la lignée de Seth (</w:t>
      </w:r>
      <w:hyperlink r:id="rId9994">
        <w:r>
          <w:rPr>
            <w:color w:val="0000EE"/>
            <w:u w:val="single"/>
          </w:rPr>
          <w:t>Gn 5.21–27</w:t>
        </w:r>
      </w:hyperlink>
      <w:r>
        <w:t xml:space="preserve"> ; </w:t>
      </w:r>
      <w:hyperlink r:id="rId6415">
        <w:r>
          <w:rPr>
            <w:color w:val="0000EE"/>
            <w:u w:val="single"/>
          </w:rPr>
          <w:t>1Ch 1.3</w:t>
        </w:r>
      </w:hyperlink>
      <w:r>
        <w:t xml:space="preserve">). </w:t>
      </w:r>
      <w:r>
        <w:t>Metuschélah</w:t>
      </w:r>
      <w:r>
        <w:t xml:space="preserve"> a vécu 969 ans. Il est la personne la plus âgée enregistrée dans la Bible. Son ascendance est incluse dans le rapport des ancêtres de Jésus dans l'Évangile selon Luc (</w:t>
      </w:r>
      <w:hyperlink r:id="rId7146">
        <w:r>
          <w:rPr>
            <w:color w:val="0000EE"/>
            <w:u w:val="single"/>
          </w:rPr>
          <w:t>Lc 3.37</w:t>
        </w:r>
      </w:hyperlink>
      <w:r>
        <w:t>).</w:t>
      </w:r>
    </w:p>
    <w:p>
      <w:r/>
      <w:r>
        <w:rPr>
          <w:i/>
        </w:rPr>
        <w:t>Voir aussi</w:t>
      </w:r>
      <w:r>
        <w:t xml:space="preserve"> </w:t>
      </w:r>
      <w:r>
        <w:t>Généalogie de Jésus-Christ</w:t>
      </w:r>
      <w:r>
        <w:t>.</w:t>
      </w:r>
      <w:r/>
      <w:r/>
    </w:p>
    <w:p>
      <w:r/>
    </w:p>
    <w:p>
      <w:pPr>
        <w:pStyle w:val="Heading2"/>
      </w:pPr>
      <w:r>
        <w:t>Meubles</w:t>
      </w:r>
      <w:r/>
    </w:p>
    <w:p>
      <w:r/>
      <w:r>
        <w:t>Grands objets mobiles servant à ranger, s'assoir, se coucher ou travailler dans les maisons, les palais et les temples. (Les meubles peuvent aussi avoir d'autres fonctions cultuelles.) Israël avait des contacts culturels importants avec les nations voisines. Les études historiques montrent des ressemblances entre le mobilier d'Israël et celui d'autres peuples et pays.</w:t>
      </w:r>
    </w:p>
    <w:p>
      <w:pPr>
        <w:pStyle w:val="Heading3"/>
      </w:pPr>
      <w:r>
        <w:t>La région de la Palestine à l'époque de l'Ancien Testament</w:t>
      </w:r>
    </w:p>
    <w:p>
      <w:r/>
      <w:r>
        <w:t>L'Ancien Testament (AT) est la source principale d'information sur le mobilier utilisé en Palestine durant l'Antiquité. D'autres informations importantes proviennent de découvertes archéologiques. Il y a de nombreuses références à des lits dans l'AT, pour lesquels il y a au moins trois noms différents en hébreu. Jacob est assis sur un lit quand Joseph lui rend visite (</w:t>
      </w:r>
      <w:hyperlink r:id="rId9995">
        <w:r>
          <w:rPr>
            <w:color w:val="0000EE"/>
            <w:u w:val="single"/>
          </w:rPr>
          <w:t>Gn 48.2</w:t>
        </w:r>
      </w:hyperlink>
      <w:r>
        <w:t>) et meurt dans ce lit (</w:t>
      </w:r>
      <w:hyperlink r:id="rId9996">
        <w:r>
          <w:rPr>
            <w:color w:val="0000EE"/>
            <w:u w:val="single"/>
          </w:rPr>
          <w:t>49.33</w:t>
        </w:r>
      </w:hyperlink>
      <w:r>
        <w:t>). Moïse menace que des grenouilles envahissent la chambre et le lit du pharaon égyptien (</w:t>
      </w:r>
      <w:hyperlink r:id="rId9997">
        <w:r>
          <w:rPr>
            <w:color w:val="0000EE"/>
            <w:u w:val="single"/>
          </w:rPr>
          <w:t>Ex 8.3</w:t>
        </w:r>
      </w:hyperlink>
      <w:r>
        <w:t>). Mical, femme de David et fille de Saül, place une effigie dans le lit de David pour tromper les messagers envoyés pour le capturer (</w:t>
      </w:r>
      <w:hyperlink r:id="rId9998">
        <w:r>
          <w:rPr>
            <w:color w:val="0000EE"/>
            <w:u w:val="single"/>
          </w:rPr>
          <w:t>1S 19.11–17</w:t>
        </w:r>
      </w:hyperlink>
      <w:r>
        <w:t>). Le roi David trouve honteux l'assassinat d'une personne endormie sans défense dans son lit (</w:t>
      </w:r>
      <w:hyperlink r:id="rId9999">
        <w:r>
          <w:rPr>
            <w:color w:val="0000EE"/>
            <w:u w:val="single"/>
          </w:rPr>
          <w:t>2S 4.7, 11</w:t>
        </w:r>
      </w:hyperlink>
      <w:r>
        <w:t>). Le prophète Élie met le corps d'un petit garçon mort sur son propre lit avant de le ressusciter (</w:t>
      </w:r>
      <w:hyperlink r:id="rId1257">
        <w:r>
          <w:rPr>
            <w:color w:val="0000EE"/>
            <w:u w:val="single"/>
          </w:rPr>
          <w:t>1R 17.19</w:t>
        </w:r>
      </w:hyperlink>
      <w:r>
        <w:t>).</w:t>
      </w:r>
    </w:p>
    <w:p>
      <w:r/>
      <w:r>
        <w:t>Le roi Achab boude sur son lit (</w:t>
      </w:r>
      <w:hyperlink r:id="rId10000">
        <w:r>
          <w:rPr>
            <w:color w:val="0000EE"/>
            <w:u w:val="single"/>
          </w:rPr>
          <w:t>1R 21.4</w:t>
        </w:r>
      </w:hyperlink>
      <w:r>
        <w:t>), et le roi Achazia est allongé sur son lit de malade (</w:t>
      </w:r>
      <w:hyperlink r:id="rId10001">
        <w:r>
          <w:rPr>
            <w:color w:val="0000EE"/>
            <w:u w:val="single"/>
          </w:rPr>
          <w:t>2R 1.4–6, 16</w:t>
        </w:r>
      </w:hyperlink>
      <w:r>
        <w:t>). Le prophète Amos critique les riches qui reposent sur des lits d'ivoire et s'étendent sur leurs couches (</w:t>
      </w:r>
      <w:hyperlink r:id="rId802">
        <w:r>
          <w:rPr>
            <w:color w:val="0000EE"/>
            <w:u w:val="single"/>
          </w:rPr>
          <w:t>Am 6.4</w:t>
        </w:r>
      </w:hyperlink>
      <w:r>
        <w:t>). Le prophète Ézéchiel compare Jérusalem désobéissante à une prostituée assise sur un lit magnifique près d'une table où elle a mis l'encens et l'huile du Seigneur (</w:t>
      </w:r>
      <w:hyperlink r:id="rId1540">
        <w:r>
          <w:rPr>
            <w:color w:val="0000EE"/>
            <w:u w:val="single"/>
          </w:rPr>
          <w:t>Ez 23.41</w:t>
        </w:r>
      </w:hyperlink>
      <w:r>
        <w:t>). Ésaïe décrit la bénédiction des justes comme de pouvoir se reposer sur leurs couches (</w:t>
      </w:r>
      <w:hyperlink r:id="rId10002">
        <w:r>
          <w:rPr>
            <w:color w:val="0000EE"/>
            <w:u w:val="single"/>
          </w:rPr>
          <w:t>Es 57.2</w:t>
        </w:r>
      </w:hyperlink>
      <w:r>
        <w:t xml:space="preserve">). Il dit que les injustes mettent leurs couches là où l'idolâtrie est pratiquée (v. </w:t>
      </w:r>
      <w:hyperlink r:id="rId10003">
        <w:r>
          <w:rPr>
            <w:color w:val="0000EE"/>
            <w:u w:val="single"/>
          </w:rPr>
          <w:t>7–8</w:t>
        </w:r>
      </w:hyperlink>
      <w:r>
        <w:t>). Le psalmiste se plaint qu'il inonde son lit de larmes chaque nuit (</w:t>
      </w:r>
      <w:hyperlink r:id="rId10004">
        <w:r>
          <w:rPr>
            <w:color w:val="0000EE"/>
            <w:u w:val="single"/>
          </w:rPr>
          <w:t>Ps 6.6</w:t>
        </w:r>
      </w:hyperlink>
      <w:r>
        <w:t>), et les Proverbes mentionnent le paresseux qui se retourne dans son lit (</w:t>
      </w:r>
      <w:hyperlink r:id="rId10005">
        <w:r>
          <w:rPr>
            <w:color w:val="0000EE"/>
            <w:u w:val="single"/>
          </w:rPr>
          <w:t>Pr 26.14</w:t>
        </w:r>
      </w:hyperlink>
      <w:r>
        <w:t>).</w:t>
      </w:r>
    </w:p>
    <w:p>
      <w:r/>
      <w:r>
        <w:t>Dans l'AT, il est question de la table qui sert à poser les pains de proposition (ou les pains de la Présence), ainsi que de tables utilisées dans les maisons et les palais pour les repas et les banquets. Le roi Adoni-Bézek force 70 anciens rois captifs à ramasser des miettes sous sa table (</w:t>
      </w:r>
      <w:hyperlink r:id="rId10006">
        <w:r>
          <w:rPr>
            <w:color w:val="0000EE"/>
            <w:u w:val="single"/>
          </w:rPr>
          <w:t>Jg 1.7</w:t>
        </w:r>
      </w:hyperlink>
      <w:r>
        <w:t>). David accueille Mephiboscheth, le fils handicapé de Jonathan, à sa table (</w:t>
      </w:r>
      <w:hyperlink r:id="rId10007">
        <w:r>
          <w:rPr>
            <w:color w:val="0000EE"/>
            <w:u w:val="single"/>
          </w:rPr>
          <w:t xml:space="preserve">2S 9.7, 10–13 </w:t>
        </w:r>
      </w:hyperlink>
      <w:r>
        <w:t xml:space="preserve">; </w:t>
      </w:r>
      <w:hyperlink r:id="rId10008">
        <w:r>
          <w:rPr>
            <w:color w:val="0000EE"/>
            <w:u w:val="single"/>
          </w:rPr>
          <w:t>19.28</w:t>
        </w:r>
      </w:hyperlink>
      <w:r>
        <w:t>). Plusieurs descriptions sont données de l'abondance de nourriture servie à la table de Salomon (</w:t>
      </w:r>
      <w:hyperlink r:id="rId10009">
        <w:r>
          <w:rPr>
            <w:color w:val="0000EE"/>
            <w:u w:val="single"/>
          </w:rPr>
          <w:t xml:space="preserve">1R 2.7 </w:t>
        </w:r>
      </w:hyperlink>
      <w:r>
        <w:t xml:space="preserve">; </w:t>
      </w:r>
      <w:hyperlink r:id="rId10010">
        <w:r>
          <w:rPr>
            <w:color w:val="0000EE"/>
            <w:u w:val="single"/>
          </w:rPr>
          <w:t>4.27</w:t>
        </w:r>
      </w:hyperlink>
      <w:r>
        <w:t>). La reine de Séba est particulièrement impressionnée par la nourriture servie à la table de Salomon (</w:t>
      </w:r>
      <w:hyperlink r:id="rId4463">
        <w:r>
          <w:rPr>
            <w:color w:val="0000EE"/>
            <w:u w:val="single"/>
          </w:rPr>
          <w:t>10.5</w:t>
        </w:r>
      </w:hyperlink>
      <w:r>
        <w:t>). Les prophètes mentionnent souvent des tables (</w:t>
      </w:r>
      <w:hyperlink r:id="rId3526">
        <w:r>
          <w:rPr>
            <w:color w:val="0000EE"/>
            <w:u w:val="single"/>
          </w:rPr>
          <w:t xml:space="preserve">Es 21.5 </w:t>
        </w:r>
      </w:hyperlink>
      <w:r>
        <w:t xml:space="preserve">; </w:t>
      </w:r>
      <w:hyperlink r:id="rId10011">
        <w:r>
          <w:rPr>
            <w:color w:val="0000EE"/>
            <w:u w:val="single"/>
          </w:rPr>
          <w:t xml:space="preserve">28.8 </w:t>
        </w:r>
      </w:hyperlink>
      <w:r>
        <w:t xml:space="preserve">; </w:t>
      </w:r>
      <w:hyperlink r:id="rId3782">
        <w:r>
          <w:rPr>
            <w:color w:val="0000EE"/>
            <w:u w:val="single"/>
          </w:rPr>
          <w:t xml:space="preserve">65.11 </w:t>
        </w:r>
      </w:hyperlink>
      <w:r>
        <w:t xml:space="preserve">; </w:t>
      </w:r>
      <w:hyperlink r:id="rId10012">
        <w:r>
          <w:rPr>
            <w:color w:val="0000EE"/>
            <w:u w:val="single"/>
          </w:rPr>
          <w:t>Ez 40.39–43</w:t>
        </w:r>
      </w:hyperlink>
      <w:r>
        <w:t>). Il est rarement question de chaises ordinaires dans l'AT. On parle plus souvent de personnes allongées sur des couches pour manger (</w:t>
      </w:r>
      <w:hyperlink r:id="rId802">
        <w:r>
          <w:rPr>
            <w:color w:val="0000EE"/>
            <w:u w:val="single"/>
          </w:rPr>
          <w:t>Am 6.4</w:t>
        </w:r>
      </w:hyperlink>
      <w:r>
        <w:t>).</w:t>
      </w:r>
    </w:p>
    <w:p>
      <w:r/>
      <w:r>
        <w:t>Par contre, il y a de nombreuses mentions de trônes : ceux de pharaon (</w:t>
      </w:r>
      <w:hyperlink r:id="rId10013">
        <w:r>
          <w:rPr>
            <w:color w:val="0000EE"/>
            <w:u w:val="single"/>
          </w:rPr>
          <w:t xml:space="preserve">Gn 41.40 </w:t>
        </w:r>
      </w:hyperlink>
      <w:r>
        <w:t xml:space="preserve">; </w:t>
      </w:r>
      <w:hyperlink r:id="rId10014">
        <w:r>
          <w:rPr>
            <w:color w:val="0000EE"/>
            <w:u w:val="single"/>
          </w:rPr>
          <w:t>Ex 11.5</w:t>
        </w:r>
      </w:hyperlink>
      <w:r>
        <w:t>), de David (</w:t>
      </w:r>
      <w:hyperlink r:id="rId10015">
        <w:r>
          <w:rPr>
            <w:color w:val="0000EE"/>
            <w:u w:val="single"/>
          </w:rPr>
          <w:t xml:space="preserve">2S 3.10 </w:t>
        </w:r>
      </w:hyperlink>
      <w:r>
        <w:t xml:space="preserve">; </w:t>
      </w:r>
      <w:hyperlink r:id="rId7762">
        <w:r>
          <w:rPr>
            <w:color w:val="0000EE"/>
            <w:u w:val="single"/>
          </w:rPr>
          <w:t>7.13</w:t>
        </w:r>
      </w:hyperlink>
      <w:r>
        <w:t>), de Salomon (</w:t>
      </w:r>
      <w:hyperlink r:id="rId10016">
        <w:r>
          <w:rPr>
            <w:color w:val="0000EE"/>
            <w:u w:val="single"/>
          </w:rPr>
          <w:t>1R 10.18</w:t>
        </w:r>
      </w:hyperlink>
      <w:r>
        <w:t>), des rois d'Israël et de Juda (</w:t>
      </w:r>
      <w:hyperlink r:id="rId10017">
        <w:r>
          <w:rPr>
            <w:color w:val="0000EE"/>
            <w:u w:val="single"/>
          </w:rPr>
          <w:t>1R 22.10</w:t>
        </w:r>
      </w:hyperlink>
      <w:r>
        <w:t>), et celui de Dieu (</w:t>
      </w:r>
      <w:hyperlink r:id="rId5196">
        <w:r>
          <w:rPr>
            <w:color w:val="0000EE"/>
            <w:u w:val="single"/>
          </w:rPr>
          <w:t xml:space="preserve">1R 22.19 </w:t>
        </w:r>
      </w:hyperlink>
      <w:r>
        <w:t xml:space="preserve">; </w:t>
      </w:r>
      <w:hyperlink r:id="rId10018">
        <w:r>
          <w:rPr>
            <w:color w:val="0000EE"/>
            <w:u w:val="single"/>
          </w:rPr>
          <w:t xml:space="preserve">Ps 9.4, 7 </w:t>
        </w:r>
      </w:hyperlink>
      <w:r>
        <w:t xml:space="preserve">; </w:t>
      </w:r>
      <w:hyperlink r:id="rId273">
        <w:r>
          <w:rPr>
            <w:color w:val="0000EE"/>
            <w:u w:val="single"/>
          </w:rPr>
          <w:t xml:space="preserve">11.4 </w:t>
        </w:r>
      </w:hyperlink>
      <w:r>
        <w:t xml:space="preserve">; </w:t>
      </w:r>
      <w:hyperlink r:id="rId10019">
        <w:r>
          <w:rPr>
            <w:color w:val="0000EE"/>
            <w:u w:val="single"/>
          </w:rPr>
          <w:t>93.2</w:t>
        </w:r>
      </w:hyperlink>
      <w:r>
        <w:t>). Les auteurs de l'AT mentionnent parfois des trônes décorés d'ivoire (</w:t>
      </w:r>
      <w:hyperlink r:id="rId10016">
        <w:r>
          <w:rPr>
            <w:color w:val="0000EE"/>
            <w:u w:val="single"/>
          </w:rPr>
          <w:t>1R 10.18</w:t>
        </w:r>
      </w:hyperlink>
      <w:r>
        <w:t>).</w:t>
      </w:r>
    </w:p>
    <w:p>
      <w:r/>
      <w:r>
        <w:t xml:space="preserve">Il n'y a pas beaucoup d'informations disponibles sur l'apparence ou l'agencement des meubles en Palestine. Les représentations dans les bas-reliefs et les peintures murales sont plus communes dans les pays voisins d'Israël. Les fouilles à Jéricho ont cependant révélé quelques détails utiles. Des tables, des tabourets et des boîtes tous raisonnablement bien conservés ont été trouvés dans des tombes datant de l'âge du bronze moyen. Cela permet l'étude des méthodes de menuiserie de l'époque. </w:t>
      </w:r>
    </w:p>
    <w:p>
      <w:r/>
      <w:r>
        <w:t>Divers petits coffres à bibelots semblent avoir été sertis d'incrustations faites d'os et d'incisions décoratives. De grandes planches de bois étaient peut-être des lits. Bien que ces objets soient principalement de styles cananéens, ce mobilier montre des types de meubles domestiques utilisés en Israël dans les siècles qui ont suivi.</w:t>
      </w:r>
    </w:p>
    <w:p>
      <w:pPr>
        <w:pStyle w:val="Heading3"/>
      </w:pPr>
      <w:r>
        <w:t>Les meubles grecs dans l'Antiquité</w:t>
      </w:r>
    </w:p>
    <w:p>
      <w:r/>
      <w:r>
        <w:t>Une abondance de vases décorés, de bas-reliefs, de statuettes en bronze et en terre cuite, et de descriptions littéraires permet d'obtenir un riche portrait du mobilier grec dans l'Antiquité. Ces données archéologiques indiquent que le mobilier grec a été influencé par les civilisations précédentes. Le tableau qui en ressort est généralement celui d'un mobilier relativement simple qui tranche avec celui des pièces encombrées et surchargées des civilisations qui ont suivi.</w:t>
      </w:r>
    </w:p>
    <w:p>
      <w:r/>
      <w:r>
        <w:t>Les Grecs produisent plusieurs types de sièges : (1) le trône, qui a souvent un dossier, des pieds de diverses formes et des accoudoirs, (2) la chaise, plus légère, avec un dossier recourbé ainsi que des supports pour les bras, (3) le tabouret à quatre pieds, (4) le tabouret pliant avec des pieds croisés, dont les origines remontent à des modèles égyptiens et (5) le banc. Les représentations fréquentes sur les monuments datant du huitième au 2</w:t>
      </w:r>
      <w:r>
        <w:t>ᵉ</w:t>
      </w:r>
      <w:r>
        <w:t xml:space="preserve"> siècle av. J.-C. démontrent que les chaises grecques ont des liens avec des prototypes égyptiens et assyriens.</w:t>
      </w:r>
    </w:p>
    <w:p>
      <w:r/>
      <w:r>
        <w:t>Les Grecs utilisent des lits pour dormir et pour s'allonger lors des repas. Des repose-pieds sont utilisés pour poser les pieds ou comme marches pour monter sur des lits surélevés. Les pieds de lit, comme ceux des chaises, utilisent des styles divers. Certains sont sculptés en forme de pattes d'animaux, d'autres sont incurvés et d'autres encore rectangulaires. À partir du 6</w:t>
      </w:r>
      <w:r>
        <w:t>ᵉ</w:t>
      </w:r>
      <w:r>
        <w:t xml:space="preserve"> siècle av. J.-C., les pieds dépassent le haut du cadre de lit. Ces dépassements deviennent ensuite des têtes et des pieds de lit. À l'époque hellénistique, ces appuie-têtes et repose-pieds sont sculptés et ornés de médaillons de bronze en haut relief. Ils représentent des enfants, des satyres et des animaux. Les pieds incurvés remplacent les pieds rectangulaires. Les lits sont habituellement en bois, mais il y a aussi des lits de bronze ou de marbre.</w:t>
      </w:r>
    </w:p>
    <w:p>
      <w:r/>
      <w:r>
        <w:t>Les tables sont utilisées pendant les repas pour y déposer les plats et la nourriture, puis elles sont retirées une fois le repas terminé. Elles sont en bois, en bronze ou en marbre et ont habituellement quatre pieds. On trouve parfois aussi des tables à trois pieds. De grands et petits coffres servent à ranger vêtements, bijoux et objets divers. Ils sont habituellement en bois et certains sont en bronze.</w:t>
      </w:r>
    </w:p>
    <w:p>
      <w:pPr>
        <w:pStyle w:val="Heading3"/>
      </w:pPr>
      <w:r>
        <w:t>Les meubles romains dans l'Antiquité</w:t>
      </w:r>
    </w:p>
    <w:p>
      <w:r/>
      <w:r>
        <w:t xml:space="preserve">Les Romains continuent à utiliser de nombreux modèles de meubles grecs. Certains de ces meubles ont été conservés dans la lave de l'éruption du Vésuve de 79 apr. J.-C. </w:t>
      </w:r>
    </w:p>
    <w:p>
      <w:r/>
      <w:r>
        <w:t>Les chaises à dossiers, communément utilisées, sont plus lourdes que les modèles grecs. Il y a plusieurs types de tabourets : le tabouret pliant, le plus souvent en bois ou parfois en métal, et un nouveau type de tabouret décoratif souvent en bronze, soutenu par quatre pieds courbés ornés de volutes.</w:t>
      </w:r>
    </w:p>
    <w:p>
      <w:r/>
      <w:r>
        <w:t>Divers sortes de canapés sont utilisés. Certains reproduisent des modèles grecs, mais d'autres sont d'invention romaine. De très bons exemplaires de cadres de lits en bronze ont été conservés. Des bandes entrelacées de cuir ou des cordes sont probablement tendues entre les côtés du cadre. Des décorations en or, en argent, en écaille de tortue, en os ou en ivoire sont utilisées ainsi que des placages de bois rare. Les canapés en Italie et dans d'autres pays ont par la suite des dossiers et des rebords élevés. Selon toute apparence, les Romains utilisent plus les tables que les Grecs avant eux. Il est plus fréquent d'en trouver servant simplement de surface où placer des vases ou d'autres objets. Les tables sont habituellement rectangulaires, avec quatre pieds. Certaines n'en ont que trois ou même juste un seul support. Les tables rondes avec des pieds d'animaux deviennent populaires à partir du 4</w:t>
      </w:r>
      <w:r>
        <w:t>ᵉ</w:t>
      </w:r>
      <w:r>
        <w:t xml:space="preserve"> siècle av. J.-C. Des tables et bancs en bois plus simple et sans décorations sont utilisés dans les cuisines et les ateliers. Les tables d'extérieur sont généralement en marbre, avec des pieds d'animaux sculptés ou des décorations en forme d'animaux ou de monstres.</w:t>
      </w:r>
    </w:p>
    <w:p>
      <w:r/>
      <w:r>
        <w:t>Diverses sortes de coffres et de boîtes entrent dans l'usage quotidien. Les étagères et les placards sont beaucoup plus populaires qu'à l'époque grecque.</w:t>
      </w:r>
    </w:p>
    <w:p>
      <w:pPr>
        <w:pStyle w:val="Heading3"/>
      </w:pPr>
      <w:r>
        <w:t>Le mobilier en Palestine à l'époque du Nouveau Testament</w:t>
      </w:r>
    </w:p>
    <w:p>
      <w:r/>
      <w:r>
        <w:t>Le type de mobilier qui apparaît dans le Nouveau Testament (NT) est probablement comparable aux modèles romains contemporains. Le NT mentionne des lits dans plusieurs passages. Des gens amènent un paralytique couché sur un lit à Jésus (</w:t>
      </w:r>
      <w:hyperlink r:id="rId10020">
        <w:r>
          <w:rPr>
            <w:color w:val="0000EE"/>
            <w:u w:val="single"/>
          </w:rPr>
          <w:t xml:space="preserve">Mt 9.2, 6 </w:t>
        </w:r>
      </w:hyperlink>
      <w:r>
        <w:t xml:space="preserve">; </w:t>
      </w:r>
      <w:hyperlink r:id="rId10021">
        <w:r>
          <w:rPr>
            <w:color w:val="0000EE"/>
            <w:u w:val="single"/>
          </w:rPr>
          <w:t>Lc 5.18</w:t>
        </w:r>
      </w:hyperlink>
      <w:r>
        <w:t>). Lorsque les apôtres vont au portique de Salomon, des gens leur amènent des malades sur des lits (</w:t>
      </w:r>
      <w:hyperlink r:id="rId10022">
        <w:r>
          <w:rPr>
            <w:color w:val="0000EE"/>
            <w:u w:val="single"/>
          </w:rPr>
          <w:t>Ac 5.15</w:t>
        </w:r>
      </w:hyperlink>
      <w:r>
        <w:t>). L'enfant malade d'une femme syro-phénicienne est couchée sur un lit (</w:t>
      </w:r>
      <w:hyperlink r:id="rId10023">
        <w:r>
          <w:rPr>
            <w:color w:val="0000EE"/>
            <w:u w:val="single"/>
          </w:rPr>
          <w:t>Mc 7.30</w:t>
        </w:r>
      </w:hyperlink>
      <w:r>
        <w:t>). Jésus dit qu'il faut placer une lampe en évidence plutôt que de la mettre sous un lit (</w:t>
      </w:r>
      <w:hyperlink r:id="rId2022">
        <w:r>
          <w:rPr>
            <w:color w:val="0000EE"/>
            <w:u w:val="single"/>
          </w:rPr>
          <w:t xml:space="preserve">Mc 4.21 </w:t>
        </w:r>
      </w:hyperlink>
      <w:r>
        <w:t xml:space="preserve">; </w:t>
      </w:r>
      <w:hyperlink r:id="rId10024">
        <w:r>
          <w:rPr>
            <w:color w:val="0000EE"/>
            <w:u w:val="single"/>
          </w:rPr>
          <w:t>Lc 8.16</w:t>
        </w:r>
      </w:hyperlink>
      <w:r>
        <w:t>). Il décrit ce qui arrivera à des personnes couchées au lit au moment où le Jour du Seigneur viendra (</w:t>
      </w:r>
      <w:hyperlink r:id="rId10025">
        <w:r>
          <w:rPr>
            <w:color w:val="0000EE"/>
            <w:u w:val="single"/>
          </w:rPr>
          <w:t>Lc 17.34</w:t>
        </w:r>
      </w:hyperlink>
      <w:r>
        <w:t>). Dans une autre parabole, Jésus décrit une personne qui demande du pain à minuit à un ami qui est déjà au lit ainsi que sa famille (</w:t>
      </w:r>
      <w:hyperlink r:id="rId10026">
        <w:r>
          <w:rPr>
            <w:color w:val="0000EE"/>
            <w:u w:val="single"/>
          </w:rPr>
          <w:t>Lc 11.7</w:t>
        </w:r>
      </w:hyperlink>
      <w:r>
        <w:t>). Les lits des pauvres et des malades sont probablement juste des paillasses ou des matelas (</w:t>
      </w:r>
      <w:hyperlink r:id="rId10027">
        <w:r>
          <w:rPr>
            <w:color w:val="0000EE"/>
            <w:u w:val="single"/>
          </w:rPr>
          <w:t xml:space="preserve">Mc 6.55 </w:t>
        </w:r>
      </w:hyperlink>
      <w:r>
        <w:t xml:space="preserve">; </w:t>
      </w:r>
      <w:hyperlink r:id="rId10028">
        <w:r>
          <w:rPr>
            <w:color w:val="0000EE"/>
            <w:u w:val="single"/>
          </w:rPr>
          <w:t>Jn 5.8</w:t>
        </w:r>
      </w:hyperlink>
      <w:r>
        <w:t>). Lorsque les gens s'allongent pour les repas, ils sont sans doute allongés sur des divans (</w:t>
      </w:r>
      <w:hyperlink r:id="rId10029">
        <w:r>
          <w:rPr>
            <w:color w:val="0000EE"/>
            <w:u w:val="single"/>
          </w:rPr>
          <w:t>Jn 13.23</w:t>
        </w:r>
      </w:hyperlink>
      <w:r>
        <w:t>).</w:t>
      </w:r>
    </w:p>
    <w:p>
      <w:r/>
      <w:r>
        <w:t>Il est relativement souvent question de tables dans le NT. Jésus évoque des miettes tombant de la table d’un homme riche (</w:t>
      </w:r>
      <w:hyperlink r:id="rId10030">
        <w:r>
          <w:rPr>
            <w:color w:val="0000EE"/>
            <w:u w:val="single"/>
          </w:rPr>
          <w:t xml:space="preserve">Mt 15.27 </w:t>
        </w:r>
      </w:hyperlink>
      <w:r>
        <w:t xml:space="preserve">; </w:t>
      </w:r>
      <w:hyperlink r:id="rId10031">
        <w:r>
          <w:rPr>
            <w:color w:val="0000EE"/>
            <w:u w:val="single"/>
          </w:rPr>
          <w:t xml:space="preserve">Mc 7.28 </w:t>
        </w:r>
      </w:hyperlink>
      <w:r>
        <w:t xml:space="preserve">; </w:t>
      </w:r>
      <w:hyperlink r:id="rId10032">
        <w:r>
          <w:rPr>
            <w:color w:val="0000EE"/>
            <w:u w:val="single"/>
          </w:rPr>
          <w:t>Lc 16.21</w:t>
        </w:r>
      </w:hyperlink>
      <w:r>
        <w:t>). Jésus renverse aussi les tables des changeurs (de monnaie) dans le Temple (</w:t>
      </w:r>
      <w:hyperlink r:id="rId2385">
        <w:r>
          <w:rPr>
            <w:color w:val="0000EE"/>
            <w:u w:val="single"/>
          </w:rPr>
          <w:t xml:space="preserve">Mt 21.12 </w:t>
        </w:r>
      </w:hyperlink>
      <w:r>
        <w:t xml:space="preserve">; </w:t>
      </w:r>
      <w:hyperlink r:id="rId2387">
        <w:r>
          <w:rPr>
            <w:color w:val="0000EE"/>
            <w:u w:val="single"/>
          </w:rPr>
          <w:t>Mc 11.15</w:t>
        </w:r>
      </w:hyperlink>
      <w:r>
        <w:t>). Jésus est assis à table avec ses disciples pour le repas de la Pâque (</w:t>
      </w:r>
      <w:hyperlink r:id="rId10033">
        <w:r>
          <w:rPr>
            <w:color w:val="0000EE"/>
            <w:u w:val="single"/>
          </w:rPr>
          <w:t>Lc 22.21</w:t>
        </w:r>
      </w:hyperlink>
      <w:r>
        <w:t>) et promet à ses disciples qu'ils seront assis à sa table dans le royaume de Dieu. Les diacres déchargent les apôtres du service des tables pour que ces derniers puissent se consacrer à la prédication (</w:t>
      </w:r>
      <w:hyperlink r:id="rId8771">
        <w:r>
          <w:rPr>
            <w:color w:val="0000EE"/>
            <w:u w:val="single"/>
          </w:rPr>
          <w:t>Ac 6.2</w:t>
        </w:r>
      </w:hyperlink>
      <w:r>
        <w:t>).</w:t>
      </w:r>
    </w:p>
    <w:p>
      <w:r/>
      <w:r>
        <w:t>On trouve plusieurs mentions de lampes de maison (</w:t>
      </w:r>
      <w:hyperlink r:id="rId10034">
        <w:r>
          <w:rPr>
            <w:color w:val="0000EE"/>
            <w:u w:val="single"/>
          </w:rPr>
          <w:t xml:space="preserve">Mt 25.1 </w:t>
        </w:r>
      </w:hyperlink>
      <w:r>
        <w:t xml:space="preserve">; </w:t>
      </w:r>
      <w:hyperlink r:id="rId2022">
        <w:r>
          <w:rPr>
            <w:color w:val="0000EE"/>
            <w:u w:val="single"/>
          </w:rPr>
          <w:t>Mc 4.21</w:t>
        </w:r>
      </w:hyperlink>
      <w:r>
        <w:t>). De nombreuses lampes domestiques en terre cuite ont été trouvées lors de fouilles.</w:t>
      </w:r>
      <w:r/>
      <w:r/>
    </w:p>
    <w:p>
      <w:r/>
    </w:p>
    <w:p>
      <w:pPr>
        <w:pStyle w:val="Heading2"/>
      </w:pPr>
      <w:r>
        <w:t>Mézahab</w:t>
      </w:r>
      <w:r/>
    </w:p>
    <w:p>
      <w:r/>
      <w:r>
        <w:t xml:space="preserve">Père de Mathred et grand-père de </w:t>
      </w:r>
      <w:r>
        <w:t>Mehéthabeel</w:t>
      </w:r>
      <w:r>
        <w:t>, l'épouse du roi édomite Hadar (ou Hadad) (</w:t>
      </w:r>
      <w:hyperlink r:id="rId6170">
        <w:r>
          <w:rPr>
            <w:color w:val="0000EE"/>
            <w:u w:val="single"/>
          </w:rPr>
          <w:t>Gn 36.39</w:t>
        </w:r>
      </w:hyperlink>
      <w:r>
        <w:t xml:space="preserve"> ; </w:t>
      </w:r>
      <w:hyperlink r:id="rId9668">
        <w:r>
          <w:rPr>
            <w:color w:val="0000EE"/>
            <w:u w:val="single"/>
          </w:rPr>
          <w:t>1Ch 1.50</w:t>
        </w:r>
      </w:hyperlink>
      <w:r>
        <w:t>).</w:t>
      </w:r>
      <w:r/>
      <w:r/>
    </w:p>
    <w:p>
      <w:r/>
    </w:p>
    <w:p>
      <w:pPr>
        <w:pStyle w:val="Heading2"/>
      </w:pPr>
      <w:r>
        <w:t>Mibsam</w:t>
      </w:r>
      <w:r/>
    </w:p>
    <w:p>
      <w:r/>
      <w:r>
        <w:t>1. L'un des fils d'Ismaël et le fondateur d'une tribu portant son nom (</w:t>
      </w:r>
      <w:hyperlink r:id="rId8053">
        <w:r>
          <w:rPr>
            <w:color w:val="0000EE"/>
            <w:u w:val="single"/>
          </w:rPr>
          <w:t>Gn 25.13</w:t>
        </w:r>
      </w:hyperlink>
      <w:r>
        <w:t xml:space="preserve"> ; </w:t>
      </w:r>
      <w:hyperlink r:id="rId1270">
        <w:r>
          <w:rPr>
            <w:color w:val="0000EE"/>
            <w:u w:val="single"/>
          </w:rPr>
          <w:t>1Ch 1.29</w:t>
        </w:r>
      </w:hyperlink>
      <w:r>
        <w:t>).</w:t>
      </w:r>
    </w:p>
    <w:p>
      <w:r/>
      <w:r>
        <w:t>2. Fils de Schallum et père de Mischma (</w:t>
      </w:r>
      <w:hyperlink r:id="rId10035">
        <w:r>
          <w:rPr>
            <w:color w:val="0000EE"/>
            <w:u w:val="single"/>
          </w:rPr>
          <w:t>1Ch 4.25</w:t>
        </w:r>
      </w:hyperlink>
      <w:r>
        <w:t>).</w:t>
      </w:r>
      <w:r/>
      <w:r/>
    </w:p>
    <w:p>
      <w:r/>
    </w:p>
    <w:p>
      <w:pPr>
        <w:pStyle w:val="Heading2"/>
      </w:pPr>
      <w:r>
        <w:t>Mibtsar</w:t>
      </w:r>
      <w:r/>
    </w:p>
    <w:p>
      <w:r/>
      <w:r>
        <w:t>Chef d'Édom (</w:t>
      </w:r>
      <w:hyperlink r:id="rId10036">
        <w:r>
          <w:rPr>
            <w:color w:val="0000EE"/>
            <w:u w:val="single"/>
          </w:rPr>
          <w:t>Gn 36.42</w:t>
        </w:r>
      </w:hyperlink>
      <w:r>
        <w:t xml:space="preserve"> ; </w:t>
      </w:r>
      <w:hyperlink r:id="rId10037">
        <w:r>
          <w:rPr>
            <w:color w:val="0000EE"/>
            <w:u w:val="single"/>
          </w:rPr>
          <w:t>1Ch 1.53</w:t>
        </w:r>
      </w:hyperlink>
      <w:r>
        <w:t>). Le nom signifie « forteresse ». Eusèbe relie Mibtsar à Mibsara, une grande ville en Édom.</w:t>
      </w:r>
      <w:r/>
      <w:r/>
    </w:p>
    <w:p>
      <w:r/>
    </w:p>
    <w:p>
      <w:pPr>
        <w:pStyle w:val="Heading2"/>
      </w:pPr>
      <w:r>
        <w:t>Milca</w:t>
      </w:r>
      <w:r/>
    </w:p>
    <w:p>
      <w:r/>
      <w:r>
        <w:t>1. Fille de Haran et demi-sœur de Nachor, elle deviendra l'épouse de Nachor (</w:t>
      </w:r>
      <w:hyperlink r:id="rId7286">
        <w:r>
          <w:rPr>
            <w:color w:val="0000EE"/>
            <w:u w:val="single"/>
          </w:rPr>
          <w:t>Gn 11.29</w:t>
        </w:r>
      </w:hyperlink>
      <w:r>
        <w:t>). Elle donnera à Nachor huit fils (</w:t>
      </w:r>
      <w:hyperlink r:id="rId10038">
        <w:r>
          <w:rPr>
            <w:color w:val="0000EE"/>
            <w:u w:val="single"/>
          </w:rPr>
          <w:t>Gn 22.20–23</w:t>
        </w:r>
      </w:hyperlink>
      <w:r>
        <w:t>). Elle était la grand-mère de Rebecca par son fils Bethuel (</w:t>
      </w:r>
      <w:hyperlink r:id="rId10039">
        <w:r>
          <w:rPr>
            <w:color w:val="0000EE"/>
            <w:u w:val="single"/>
          </w:rPr>
          <w:t>Gn 24.15–47</w:t>
        </w:r>
      </w:hyperlink>
      <w:r>
        <w:t>).</w:t>
      </w:r>
    </w:p>
    <w:p>
      <w:r/>
      <w:r>
        <w:t>2. L'une des cinq filles de Tselophchad. Comme Tselophchad n'avait pas de fils, ses filles ont demandé à Moïse de leur permettre de recevoir l'héritage de leur père à l'ouest de Manassé après la mort de celui-ci (</w:t>
      </w:r>
      <w:hyperlink r:id="rId10040">
        <w:r>
          <w:rPr>
            <w:color w:val="0000EE"/>
            <w:u w:val="single"/>
          </w:rPr>
          <w:t>Nb 26.33</w:t>
        </w:r>
      </w:hyperlink>
      <w:r>
        <w:t xml:space="preserve"> ; </w:t>
      </w:r>
      <w:hyperlink r:id="rId5950">
        <w:r>
          <w:rPr>
            <w:color w:val="0000EE"/>
            <w:u w:val="single"/>
          </w:rPr>
          <w:t>27.1–11</w:t>
        </w:r>
      </w:hyperlink>
      <w:r>
        <w:t xml:space="preserve"> ; </w:t>
      </w:r>
      <w:hyperlink r:id="rId10041">
        <w:r>
          <w:rPr>
            <w:color w:val="0000EE"/>
            <w:u w:val="single"/>
          </w:rPr>
          <w:t>36.5–13</w:t>
        </w:r>
      </w:hyperlink>
      <w:r>
        <w:t xml:space="preserve"> ; </w:t>
      </w:r>
      <w:hyperlink r:id="rId10042">
        <w:r>
          <w:rPr>
            <w:color w:val="0000EE"/>
            <w:u w:val="single"/>
          </w:rPr>
          <w:t>Jos 17.3–4</w:t>
        </w:r>
      </w:hyperlink>
      <w:r>
        <w:t>).</w:t>
      </w:r>
      <w:r/>
      <w:r/>
    </w:p>
    <w:p>
      <w:r/>
    </w:p>
    <w:p>
      <w:pPr>
        <w:pStyle w:val="Heading2"/>
      </w:pPr>
      <w:r>
        <w:t>Milet, Miletum</w:t>
      </w:r>
      <w:r/>
    </w:p>
    <w:p>
      <w:r/>
      <w:r>
        <w:t>Grande ville de la Grèce antique située à la confluence du fleuve Méandre et de la mer (dans le sud-ouest de l'Asie Mineure).</w:t>
      </w:r>
    </w:p>
    <w:p>
      <w:pPr>
        <w:pStyle w:val="Heading3"/>
      </w:pPr>
      <w:r>
        <w:t>Histoire antique</w:t>
      </w:r>
    </w:p>
    <w:p>
      <w:r/>
      <w:r>
        <w:t>Les habitants de Crète ont d'abord construit cette ville entre 1 339 et 1 288 av. J.‑C. La ville est devenue partie de l'Empire hittite. Les découvertes archéologiques montrent qu'après avoir été détruite par le feu, les habitants ont construit un mur protecteur autour de Milet au 13e siècle av. J.‑C.</w:t>
      </w:r>
    </w:p>
    <w:p>
      <w:r/>
      <w:r>
        <w:t>Vers 650 av. J.‑C., le royaume de Lydie attaquera Milet. Un chef militaire nommé roi Gygès prendra alors le contrôle de la ville. Même sous son règne, les habitants de Milet construiront de nouvelles villes ailleurs. L'une de ces nouvelles villes était Abydos, qu'ils construiront près d'une partie étroite de la mer appelée les Dardanelles. Les habitants de Milet ont fondé plus de soixante-dix nouvelles colonies le long de la mer Noire. La plus importante de ces nouvelles villes s'appelait Sinope. Grâce à toutes ces connexions, Milet deviendra un centre commercial majeur. Ses commerçants voyageront vers de nombreux ports étrangers, vendant des meubles et des tissus en laine.</w:t>
      </w:r>
    </w:p>
    <w:p>
      <w:pPr>
        <w:pStyle w:val="Heading3"/>
      </w:pPr>
      <w:r>
        <w:t>Culture</w:t>
      </w:r>
    </w:p>
    <w:p>
      <w:r/>
      <w:r>
        <w:t>Comme beaucoup d'autres centres grecs, la ville avait son propre poète qui était célèbre de son vivant. Seuls quelques vers de sa poésie subsistent aujourd'hui. Phocylide a écrit : « Une petite ville sur un rocher, avec de l'ordre, vaut mieux que la folie à Ninive. » Il a également dit : « Toute vertu se résume à la justice. »</w:t>
      </w:r>
    </w:p>
    <w:p>
      <w:r/>
      <w:r>
        <w:t>Milet était également le berceau de la philosophie et de l'investigation scientifique. Le philosophe Thalès a prédit une éclipse en 585 av. J.‑C. Son disciple, Anaximandre, a suggéré que les êtres humains avaient évolué à partir de créatures marines. Cependant, la ville a rencontré de nombreux problèmes car deux groupes de personnes (les riches et les travailleurs) se battaient souvent entre eux. Vers 495 av. J.‑C., l'Empire perse a capturé et détruit une grande partie de la ville. Même après qu'Alexandre le Grand a pris le contrôle de Milet plus tard, la ville n'est jamais redevenue aussi importante qu'elle l'était autrefois.</w:t>
      </w:r>
    </w:p>
    <w:p>
      <w:pPr>
        <w:pStyle w:val="Heading3"/>
      </w:pPr>
      <w:r>
        <w:t>Milet dans la Bible</w:t>
      </w:r>
    </w:p>
    <w:p>
      <w:r/>
      <w:r>
        <w:t>À l'époque du Nouveau Testament, Milet était connu mais n'était pas un centre majeur pour les premiers chrétiens. L'apôtre Paul s'y est arrêté lors de son dernier voyage missionnaire (</w:t>
      </w:r>
      <w:hyperlink r:id="rId10043">
        <w:r>
          <w:rPr>
            <w:color w:val="0000EE"/>
            <w:u w:val="single"/>
          </w:rPr>
          <w:t>Ac 20.15–17</w:t>
        </w:r>
      </w:hyperlink>
      <w:r>
        <w:t xml:space="preserve">). Lors de son séjour à Milet, Paul demandera aux dirigeants de l'Église d'Éphèse de l'y rencontrer. Il les a encouragés à bien prendre soin des croyants dans leurs Églises (v. </w:t>
      </w:r>
      <w:hyperlink r:id="rId10044">
        <w:r>
          <w:rPr>
            <w:color w:val="0000EE"/>
            <w:u w:val="single"/>
          </w:rPr>
          <w:t>28–35</w:t>
        </w:r>
      </w:hyperlink>
      <w:r>
        <w:t>). Après cela, Paul naviguera vers Tyr. Plus tard, Paul laissera son ami malade Trophime à Milet (</w:t>
      </w:r>
      <w:hyperlink r:id="rId4862">
        <w:r>
          <w:rPr>
            <w:color w:val="0000EE"/>
            <w:u w:val="single"/>
          </w:rPr>
          <w:t>2Tm 4.20</w:t>
        </w:r>
      </w:hyperlink>
      <w:r>
        <w:t>).</w:t>
      </w:r>
      <w:r/>
      <w:r/>
    </w:p>
    <w:p>
      <w:r/>
    </w:p>
    <w:p>
      <w:pPr>
        <w:pStyle w:val="Heading2"/>
      </w:pPr>
      <w:r>
        <w:t>Millenium</w:t>
      </w:r>
      <w:r/>
    </w:p>
    <w:p>
      <w:r/>
      <w:r>
        <w:t>Terme biblique signifiant « mille ans ». Il provient d'un ancien mot latin. Dans la Bible, le millénium fait référence à une période où Christ régnera pendant mille ans.</w:t>
      </w:r>
    </w:p>
    <w:p>
      <w:r/>
      <w:r>
        <w:t xml:space="preserve">L'enseignement principal sur le millénium apparaît dans </w:t>
      </w:r>
      <w:hyperlink r:id="rId10045">
        <w:r>
          <w:rPr>
            <w:color w:val="0000EE"/>
            <w:u w:val="single"/>
          </w:rPr>
          <w:t xml:space="preserve">Apocalypse 20.1–6. </w:t>
        </w:r>
      </w:hyperlink>
      <w:r>
        <w:t>Dans ce passage, le mot grec pour mille est utilisé à cinq reprises. L'idée d'un règne de mille ans peut également être soutenue par des passages tels qu'</w:t>
      </w:r>
      <w:hyperlink r:id="rId10046">
        <w:r>
          <w:rPr>
            <w:color w:val="0000EE"/>
            <w:u w:val="single"/>
          </w:rPr>
          <w:t>Actes 3.19–21</w:t>
        </w:r>
      </w:hyperlink>
      <w:r>
        <w:t xml:space="preserve"> et </w:t>
      </w:r>
      <w:hyperlink r:id="rId10047">
        <w:r>
          <w:rPr>
            <w:color w:val="0000EE"/>
            <w:u w:val="single"/>
          </w:rPr>
          <w:t>1 Corinthiens 15.23–26.</w:t>
        </w:r>
      </w:hyperlink>
      <w:r>
        <w:t xml:space="preserve"> Ces passages évoquent un temps futur où Christ régnera et restaurera toutes choses. Cette doctrine est enseignée directement uniquement dans le livre de l'Apocalypse. Les gens ont différentes idées sur ce que signifie cette notion ainsi que son importance. Il y a trois principales interprétations : amillénarisme, postmillénarisme et prémillénarisme.</w:t>
      </w:r>
    </w:p>
    <w:p>
      <w:pPr>
        <w:pStyle w:val="Heading3"/>
      </w:pPr>
      <w:r>
        <w:t>Amillénarisme</w:t>
      </w:r>
    </w:p>
    <w:p>
      <w:r/>
      <w:r>
        <w:t>La première manière de comprendre le millénium est la vision amillénariste. Le préfixe « a- » signifie « non ». Ainsi, amillénariste signifie qu'il n'y a pas de période littérale de mille ans pendant laquelle Christ régnera sur terre. Au lieu de cela, cette vision considère le millénium comme symbolique. Les personnes qui adhèrent à cette vision croient que :</w:t>
      </w:r>
    </w:p>
    <w:p>
      <w:pPr>
        <w:pStyle w:val="ListBullet"/>
        <w:spacing w:line="240" w:lineRule="auto"/>
        <w:ind w:left="720"/>
      </w:pPr>
      <w:r/>
      <w:r>
        <w:t>Le millénium se déroule actuellement, à notre époque.</w:t>
      </w:r>
    </w:p>
    <w:p>
      <w:pPr>
        <w:pStyle w:val="ListBullet"/>
        <w:spacing w:line="240" w:lineRule="auto"/>
        <w:ind w:left="720"/>
      </w:pPr>
      <w:r/>
      <w:r>
        <w:t>Le pouvoir de Satan est déjà limité (c'est ce que signifie « lié » dans l'Apocalypse)</w:t>
      </w:r>
    </w:p>
    <w:p>
      <w:pPr>
        <w:pStyle w:val="ListBullet"/>
        <w:spacing w:line="240" w:lineRule="auto"/>
        <w:ind w:left="720"/>
      </w:pPr>
      <w:r/>
      <w:r>
        <w:t>L'Église vit actuellement le millénium de façon spirituelle</w:t>
      </w:r>
    </w:p>
    <w:p>
      <w:r/>
      <w:r>
        <w:t xml:space="preserve">Cependant, cette perspective présente quelques problèmes. Un problème majeur réside dans la façon dont elle explique les deux résurrections mentionnées dans </w:t>
      </w:r>
      <w:hyperlink r:id="rId4881">
        <w:r>
          <w:rPr>
            <w:color w:val="0000EE"/>
            <w:u w:val="single"/>
          </w:rPr>
          <w:t>Apocalypse 20</w:t>
        </w:r>
      </w:hyperlink>
      <w:r>
        <w:t>. Le même mot grec est utilisé pour « résurrection » à deux reprises :</w:t>
      </w:r>
    </w:p>
    <w:p>
      <w:pPr>
        <w:pStyle w:val="ListBullet"/>
        <w:spacing w:line="240" w:lineRule="auto"/>
        <w:ind w:left="720"/>
      </w:pPr>
      <w:r/>
      <w:r>
        <w:t>Le premier au v.</w:t>
      </w:r>
      <w:hyperlink r:id="rId699">
        <w:r>
          <w:rPr>
            <w:color w:val="0000EE"/>
            <w:u w:val="single"/>
          </w:rPr>
          <w:t xml:space="preserve"> 4</w:t>
        </w:r>
      </w:hyperlink>
      <w:r>
        <w:t xml:space="preserve"> est interprété comme une résurrection spirituelle.</w:t>
      </w:r>
    </w:p>
    <w:p>
      <w:pPr>
        <w:pStyle w:val="ListBullet"/>
        <w:spacing w:line="240" w:lineRule="auto"/>
        <w:ind w:left="720"/>
      </w:pPr>
      <w:r/>
      <w:r>
        <w:t>Le second au v.</w:t>
      </w:r>
      <w:hyperlink r:id="rId10048">
        <w:r>
          <w:rPr>
            <w:color w:val="0000EE"/>
            <w:u w:val="single"/>
          </w:rPr>
          <w:t xml:space="preserve"> 5</w:t>
        </w:r>
      </w:hyperlink>
      <w:r>
        <w:t xml:space="preserve"> est interprété comme une résurrection physique</w:t>
      </w:r>
    </w:p>
    <w:p>
      <w:r/>
      <w:r>
        <w:t>Le passage lui-même n'indique pas que l'auteur avait l'intention d'une différence de sens. Par conséquent, la position amillénariste est souvent accusée de donner un sens spirituel de manière inappropriée à la Bible.</w:t>
      </w:r>
    </w:p>
    <w:p>
      <w:r/>
      <w:r>
        <w:t xml:space="preserve">Une autre perspective sur la position </w:t>
      </w:r>
      <w:r>
        <w:rPr>
          <w:i/>
        </w:rPr>
        <w:t>a</w:t>
      </w:r>
      <w:r>
        <w:t>millénariste est que le règne de mille ans de Christ est une expression symbolique de la domination illimitée de Christ. Cela s'oppose à un règne effectif de mille ans.</w:t>
      </w:r>
    </w:p>
    <w:p>
      <w:pPr>
        <w:pStyle w:val="Heading3"/>
      </w:pPr>
      <w:r>
        <w:t>Postmillénarisme</w:t>
      </w:r>
    </w:p>
    <w:p>
      <w:r/>
      <w:r>
        <w:t xml:space="preserve">La deuxième perspective est le </w:t>
      </w:r>
      <w:r>
        <w:rPr>
          <w:i/>
        </w:rPr>
        <w:t>post</w:t>
      </w:r>
      <w:r>
        <w:t>millénarisme. Le préfixe « post- » signifie « après ». Postmillénariste signifie donc que Christ reviendra après la période de mille ans. Les personnes qui adhèrent à cette vision croient que :</w:t>
      </w:r>
    </w:p>
    <w:p>
      <w:pPr>
        <w:pStyle w:val="ListBullet"/>
        <w:spacing w:line="240" w:lineRule="auto"/>
        <w:ind w:left="720"/>
      </w:pPr>
      <w:r/>
      <w:r>
        <w:t>La diffusion du christianisme engendrera le millénium</w:t>
      </w:r>
    </w:p>
    <w:p>
      <w:pPr>
        <w:pStyle w:val="ListBullet"/>
        <w:spacing w:line="240" w:lineRule="auto"/>
        <w:ind w:left="720"/>
      </w:pPr>
      <w:r/>
      <w:r>
        <w:t>À mesure que de plus en plus de personnes deviennent chrétiennes, le monde deviendra progressivement plus paisible.</w:t>
      </w:r>
    </w:p>
    <w:p>
      <w:pPr>
        <w:pStyle w:val="ListBullet"/>
        <w:spacing w:line="240" w:lineRule="auto"/>
        <w:ind w:left="720"/>
      </w:pPr>
      <w:r/>
      <w:r>
        <w:t>Ce moment paisible pourrait être :</w:t>
      </w:r>
    </w:p>
    <w:p>
      <w:pPr>
        <w:pStyle w:val="ListBullet"/>
        <w:spacing w:line="240" w:lineRule="auto"/>
        <w:ind w:left="1440"/>
      </w:pPr>
      <w:r/>
      <w:r>
        <w:t>Quelque chose qui se produira à l'avenir, ou</w:t>
      </w:r>
    </w:p>
    <w:p>
      <w:pPr>
        <w:pStyle w:val="ListBullet"/>
        <w:spacing w:line="240" w:lineRule="auto"/>
        <w:ind w:left="1440"/>
      </w:pPr>
      <w:r/>
      <w:r>
        <w:t>Quelque chose qui a commencé lorsque Jésus est venu pour la première fois et qui continue encore aujourd'hui</w:t>
      </w:r>
    </w:p>
    <w:p>
      <w:r/>
      <w:r>
        <w:t>L'idée principale est que la majorité des gens dans le monde deviendront chrétiens avant le retour de Christ. Toutes les versions de ce point de vue s'accordent sur un point essentiel : Christ ne revient qu'</w:t>
      </w:r>
      <w:r>
        <w:rPr>
          <w:i/>
        </w:rPr>
        <w:t>après</w:t>
      </w:r>
      <w:r>
        <w:t xml:space="preserve"> la fin des mille ans. Ce n'est pas la seconde venue de Christ et sa présence visible qui initient le millénium. Au contraire, c'est la propagation du christianisme qui crée cette période de paix.</w:t>
      </w:r>
    </w:p>
    <w:p>
      <w:pPr>
        <w:pStyle w:val="Heading3"/>
      </w:pPr>
      <w:r>
        <w:t>Prémillénariste</w:t>
      </w:r>
    </w:p>
    <w:p>
      <w:r/>
      <w:r>
        <w:t>La troisième façon de comprendre le millénium est appelée la vision prémillénariste. Le préfixe « pré- » signifie « avant ». Prémillénariste signifie donc que Christ reviendra avant le début de la période de mille ans. Les personnes qui soutiennent cette vision croient que :</w:t>
      </w:r>
    </w:p>
    <w:p>
      <w:pPr>
        <w:pStyle w:val="ListBullet"/>
        <w:spacing w:line="240" w:lineRule="auto"/>
        <w:ind w:left="720"/>
      </w:pPr>
      <w:r/>
      <w:r>
        <w:t>Christ reviendra d'abord sur la terre</w:t>
      </w:r>
    </w:p>
    <w:p>
      <w:pPr>
        <w:pStyle w:val="ListBullet"/>
        <w:spacing w:line="240" w:lineRule="auto"/>
        <w:ind w:left="720"/>
      </w:pPr>
      <w:r/>
      <w:r>
        <w:t>Ensuite, il commencera son règne de mille ans.</w:t>
      </w:r>
    </w:p>
    <w:p>
      <w:pPr>
        <w:pStyle w:val="ListBullet"/>
        <w:spacing w:line="240" w:lineRule="auto"/>
        <w:ind w:left="720"/>
      </w:pPr>
      <w:r/>
      <w:r>
        <w:t>Les gens pourront le voir ainsi que son pouvoir.</w:t>
      </w:r>
    </w:p>
    <w:p>
      <w:pPr>
        <w:pStyle w:val="ListBullet"/>
        <w:spacing w:line="240" w:lineRule="auto"/>
        <w:ind w:left="720"/>
      </w:pPr>
      <w:r/>
      <w:r>
        <w:t>Il apportera la paix sur la Terre pendant cette période.</w:t>
      </w:r>
    </w:p>
    <w:p>
      <w:r/>
      <w:r>
        <w:t xml:space="preserve">Le prémillénarisme interprète les visions du livre de l'Apocalypse dans l'ordre, l'une après l'autre. D'abord, le retour de Christ au chapitre </w:t>
      </w:r>
      <w:hyperlink r:id="rId10049">
        <w:r>
          <w:rPr>
            <w:color w:val="0000EE"/>
            <w:u w:val="single"/>
          </w:rPr>
          <w:t>19</w:t>
        </w:r>
      </w:hyperlink>
      <w:r>
        <w:t>. Cela est suivi par l'enchaînement de Satan pour mille ans et la première résurrection des saints pour régner avec Christ pendant mille ans (</w:t>
      </w:r>
      <w:hyperlink r:id="rId10045">
        <w:r>
          <w:rPr>
            <w:color w:val="0000EE"/>
            <w:u w:val="single"/>
          </w:rPr>
          <w:t>20.1–6</w:t>
        </w:r>
      </w:hyperlink>
      <w:r>
        <w:t xml:space="preserve">). Ensuite, il y a la libération de Satan et la bataille de ceux qui sont trompés contre Christ et son peuple, ainsi que la destruction finale du diable (v. </w:t>
      </w:r>
      <w:hyperlink r:id="rId10050">
        <w:r>
          <w:rPr>
            <w:color w:val="0000EE"/>
            <w:u w:val="single"/>
          </w:rPr>
          <w:t>7–10</w:t>
        </w:r>
      </w:hyperlink>
      <w:r>
        <w:t xml:space="preserve">). Ceux qui ont été trompés sont appelés « Gog et Magog ». Ensuite vient le récit du jugement final et de la dernière résurrection (v. </w:t>
      </w:r>
      <w:hyperlink r:id="rId4681">
        <w:r>
          <w:rPr>
            <w:color w:val="0000EE"/>
            <w:u w:val="single"/>
          </w:rPr>
          <w:t>11–15</w:t>
        </w:r>
      </w:hyperlink>
      <w:r>
        <w:t xml:space="preserve">). Cela est suivi par le nouveau ciel et la nouvelle terre (chap. </w:t>
      </w:r>
      <w:hyperlink r:id="rId10051">
        <w:r>
          <w:rPr>
            <w:color w:val="0000EE"/>
            <w:u w:val="single"/>
          </w:rPr>
          <w:t>21</w:t>
        </w:r>
      </w:hyperlink>
      <w:r>
        <w:t>).</w:t>
      </w:r>
    </w:p>
    <w:p>
      <w:r/>
      <w:r>
        <w:t>Le prémillénarisme affirme fermement que cet ordre d'événements signifie que le règne millénaire de Christ est un événement réel et futur suivant le retour de Christ. Les prémillénaristes ne croient en aucune des variations de l'amillénarisme ou du postmillénarisme, qui voient le millénium dans l'âge actuel de l'Église avant le retour de Christ ou même dans le futur avant que Christ ne revienne. Les prémillénaristes soutiennent que ces points de vue n'expliquent pas correctement l'ordre des événements dans l'Apocalypse.</w:t>
      </w:r>
    </w:p>
    <w:p>
      <w:r/>
      <w:r>
        <w:t>En plus de l'argument littéraire, il y a le point théologique selon lequel la position prémillénariste place le véritable triomphe de Christ dans l'histoire. Autrement dit, la victoire que l'Église croit avoir été accomplie par la mort de Christ sur la croix sera rendue visible au monde et aux forces du mal lors du retour et du règne de Christ sur terre. Ce n'est pas une foi en un triomphe simplement spirituel ou céleste, mais la foi que Dieu interviendra véritablement dans le cours du monde pour apporter justice et paix.</w:t>
      </w:r>
    </w:p>
    <w:p>
      <w:r/>
      <w:r>
        <w:t>Cependant, la perspective prémillénariste présente un problème majeur. La Bible ne répond pas à certaines questions importantes, telles que :</w:t>
      </w:r>
    </w:p>
    <w:p>
      <w:pPr>
        <w:pStyle w:val="ListBullet"/>
        <w:spacing w:line="240" w:lineRule="auto"/>
        <w:ind w:left="720"/>
      </w:pPr>
      <w:r/>
      <w:r>
        <w:t>Comment Christ et ses disciples ressuscités d'entre les morts gouverneront-ils la Terre ?</w:t>
      </w:r>
    </w:p>
    <w:p>
      <w:pPr>
        <w:pStyle w:val="ListBullet"/>
        <w:spacing w:line="240" w:lineRule="auto"/>
        <w:ind w:left="720"/>
      </w:pPr>
      <w:r/>
      <w:r>
        <w:t>Comment interagiront-ils avec les gens ordinaires qui mènent encore une vie humaine normale ?</w:t>
      </w:r>
    </w:p>
    <w:p>
      <w:pPr>
        <w:pStyle w:val="ListBullet"/>
        <w:spacing w:line="240" w:lineRule="auto"/>
        <w:ind w:left="720"/>
      </w:pPr>
      <w:r/>
      <w:r>
        <w:t>Comment cela peut-il se produire avant que Dieu ne crée le nouveau ciel et la nouvelle terre ?</w:t>
      </w:r>
    </w:p>
    <w:p>
      <w:r/>
      <w:r>
        <w:t xml:space="preserve">Comme ces questions restent sans réponse, de nombreux experts de la Bible préfèrent comprendre </w:t>
      </w:r>
      <w:hyperlink r:id="rId4881">
        <w:r>
          <w:rPr>
            <w:color w:val="0000EE"/>
            <w:u w:val="single"/>
          </w:rPr>
          <w:t>Apocalypse 20</w:t>
        </w:r>
      </w:hyperlink>
      <w:r>
        <w:t xml:space="preserve"> en adoptant soit la perspective amillénariste, soit la perspective postmillénariste.</w:t>
      </w:r>
    </w:p>
    <w:p>
      <w:r/>
      <w:r>
        <w:rPr>
          <w:i/>
        </w:rPr>
        <w:t>Voir aussi</w:t>
      </w:r>
      <w:r>
        <w:t xml:space="preserve"> </w:t>
      </w:r>
      <w:r>
        <w:t>Eschatologie</w:t>
      </w:r>
      <w:r>
        <w:t xml:space="preserve"> ; </w:t>
      </w:r>
      <w:r>
        <w:t>Jugement</w:t>
      </w:r>
      <w:r>
        <w:t xml:space="preserve"> ; </w:t>
      </w:r>
      <w:r>
        <w:t>Résurrection</w:t>
      </w:r>
      <w:r>
        <w:t xml:space="preserve"> ; </w:t>
      </w:r>
      <w:r>
        <w:t>Apocalypse, livre de l'</w:t>
      </w:r>
      <w:r>
        <w:t xml:space="preserve"> ; </w:t>
      </w:r>
      <w:r>
        <w:t>Seconde venue de Christ</w:t>
      </w:r>
      <w:r>
        <w:t>.</w:t>
      </w:r>
      <w:r/>
      <w:r/>
    </w:p>
    <w:p>
      <w:r/>
    </w:p>
    <w:p>
      <w:pPr>
        <w:pStyle w:val="Heading2"/>
      </w:pPr>
      <w:r>
        <w:t>Minéraux et Métaux</w:t>
      </w:r>
      <w:r/>
    </w:p>
    <w:p>
      <w:r/>
      <w:r>
        <w:t>Un « minéral » est une substance présente naturellement, généralement un minerai qui doit être extrait et traité avant que le métal puisse être obtenu. Un « métal » est un élément chimique tel que le fer ou le cuivre, exempt de contamination par d'autres matériaux. Les métaux à l'état pur ne se trouvent généralement pas dans la nature, bien qu'il existe des exceptions.</w:t>
      </w:r>
    </w:p>
    <w:p>
      <w:r/>
      <w:r>
        <w:t>En Palestine, l'exploitation minière et la métallurgie sont des arts anciens, pratiqués bien avant l'arrivée des Israélites. L'extraction de pierres appropriées, comme le silex, pour la fabrication d'outils remonte à l'âge de pierre ; l'extraction de pierre pour la construction est également un art ancien. En particulier, les métaux, l'or natif, le cuivre et le fer météoritique étaient connus et utilisés au Moyen-Orient avant l'an 4000 av. J.‑C. De 4000 à 3000 av. J.‑C., l'argent natif est devenu connu ainsi que les minerais de cuivre et de plomb. L'art de la métallurgie a probablement été découvert presque par accident, entraînant la production d'alliages comme le bronze. Puis la réduction du fer oxydé a été découverte. De 3000 à 2000 av. J.‑C., des avancées importantes ont été réalisées. Les sulfures de cuivre et les oxydes d'étain ont été réduits en métal, et l'étain métallique et le cuivre sont devenus des articles importants du commerce.</w:t>
      </w:r>
    </w:p>
    <w:p>
      <w:r/>
      <w:r>
        <w:t>Entre les années 2000 et 1000 avant J.‑C., les soufflets ont été utilisés pour les fours, et le fer a été extrait de ses minerais et forgé. L'art de fabriquer du laiton à partir de cuivre et de zinc a été découvert vers 1500 avant J.‑C., mais n'est devenu significatif que quelque temps plus tard. Le bronze, connu depuis de nombreux siècles, était parfois fabriqué avec une teneur élevée en étain pour former du speculum pour les miroirs. À cette époque, les Israélites étaient installés dans le pays et le royaume était établi. De 1000 avant J.‑C. jusqu'au début de l'ère chrétienne, la production de métaux, en particulier le fer, s'est considérablement développée. Une forme d'acier a été fabriquée et utilisée pour les armes et les outils.</w:t>
      </w:r>
    </w:p>
    <w:p>
      <w:r/>
      <w:r>
        <w:t>À l'époque de David et Salomon, les Israélites avaient acquis de nombreuses compétences dans la préparation et le travail des métaux. Sous David, Édom, avec ses riches gisements de cuivre et de fer, fut conquis (</w:t>
      </w:r>
      <w:hyperlink r:id="rId10052">
        <w:r>
          <w:rPr>
            <w:color w:val="0000EE"/>
            <w:u w:val="single"/>
          </w:rPr>
          <w:t>2S 8.13–14</w:t>
        </w:r>
      </w:hyperlink>
      <w:r>
        <w:t>) et il y avait beaucoup d'activité dans la fonte des métaux dans la vallée du Jourdain (</w:t>
      </w:r>
      <w:hyperlink r:id="rId10053">
        <w:r>
          <w:rPr>
            <w:color w:val="0000EE"/>
            <w:u w:val="single"/>
          </w:rPr>
          <w:t>1R 7.13–14, 45–46</w:t>
        </w:r>
      </w:hyperlink>
      <w:r>
        <w:t>). Dans cette activité, Salomon bénéficiera de l'assistance de Hiram, un artisan phénicien. La tradition israélite associait les origines de la métallurgie à Tubal-Caïn (</w:t>
      </w:r>
      <w:hyperlink r:id="rId1317">
        <w:r>
          <w:rPr>
            <w:color w:val="0000EE"/>
            <w:u w:val="single"/>
          </w:rPr>
          <w:t>Gn 4.22</w:t>
        </w:r>
      </w:hyperlink>
      <w:r>
        <w:t xml:space="preserve">), qui aurait forgé toutes sortes d'outils en bronze et en fer. </w:t>
      </w:r>
      <w:hyperlink r:id="rId10054">
        <w:r>
          <w:rPr>
            <w:color w:val="0000EE"/>
            <w:u w:val="single"/>
          </w:rPr>
          <w:t>Deutéronome 8.9</w:t>
        </w:r>
      </w:hyperlink>
      <w:r>
        <w:t xml:space="preserve"> fait référence à la présence de fer et de cuivre dans le pays vers lequel Israël se dirigeait.</w:t>
      </w:r>
    </w:p>
    <w:p>
      <w:r/>
      <w:r>
        <w:t xml:space="preserve">Bien que les Israélites aient finalement entrepris leurs propres processus de métallurgie, il est évident d'après </w:t>
      </w:r>
      <w:hyperlink r:id="rId10055">
        <w:r>
          <w:rPr>
            <w:color w:val="0000EE"/>
            <w:u w:val="single"/>
          </w:rPr>
          <w:t>1 Samuel 13.19–22</w:t>
        </w:r>
      </w:hyperlink>
      <w:r>
        <w:t xml:space="preserve"> qu'à au moins une occasion, à l'époque de la domination philistine, ils ont été obligés de faire fabriquer leurs outils agricoles par leurs ennemis. De même, la fabrication des vases cultuels pour le temple de Salomon a été supervisée par des artisans phéniciens (</w:t>
      </w:r>
      <w:hyperlink r:id="rId10056">
        <w:r>
          <w:rPr>
            <w:color w:val="0000EE"/>
            <w:u w:val="single"/>
          </w:rPr>
          <w:t>1R 7.13–50</w:t>
        </w:r>
      </w:hyperlink>
      <w:r>
        <w:t>).</w:t>
      </w:r>
    </w:p>
    <w:p>
      <w:r/>
      <w:r>
        <w:t>Les minéraux, les métaux et les pierres précieuses étaient également des articles importants du commerce. Israël n'a jamais été une terre riche en ces produits et était obligé d'en importer une grande variété. La visite de la reine de Séba était en partie diplomatique et en partie pour le commerce (</w:t>
      </w:r>
      <w:hyperlink r:id="rId10057">
        <w:r>
          <w:rPr>
            <w:color w:val="0000EE"/>
            <w:u w:val="single"/>
          </w:rPr>
          <w:t>1R 10.2, 10–11</w:t>
        </w:r>
      </w:hyperlink>
      <w:r>
        <w:t>).</w:t>
      </w:r>
    </w:p>
    <w:p>
      <w:r/>
      <w:r>
        <w:t>Les métaux et les pierres précieuses faisaient également partie du butin emporté par les envahisseurs, notamment, mais pas uniquement, par les Égyptiens et les Assyriens. Ces articles étaient constamment demandés car ils étaient nécessaires à l'agriculture, à la fabrication d'armes de guerre, ainsi qu'à la création de bijoux et d'articles de parure personnelle.</w:t>
      </w:r>
    </w:p>
    <w:p>
      <w:pPr>
        <w:pStyle w:val="Heading3"/>
      </w:pPr>
      <w:r>
        <w:t>Minéraux</w:t>
      </w:r>
    </w:p>
    <w:p>
      <w:r/>
      <w:r>
        <w:t>Un minéral est une substance inorganique avec une composition chimique et une structure définies, se trouvant parfois seule ou parfois combinée avec d'autres. Le terme « minerai » désigne tout minéral ou agrégat minéral contenant des composés chimiques de métaux en quantité et qualité suffisantes pour rendre l'extraction du métal commercialement rentable. L'élément essentiel, le métal, se trouve dans la nature sous forme de composé chimique, tel qu'un sulfure, un oxyde, un carbonate ou un autre composé, bien que les sulfures et les oxydes soient les plus courants. Les minéraux présentent une variété de propriétés, telles que la couleur, l'éclat, la forme cristalline, le clivage, la fracture, la dureté et la densité, qui aident à leur identification et influencent les utilisations commerciales et industrielles du minéral particulier.</w:t>
      </w:r>
    </w:p>
    <w:p>
      <w:pPr>
        <w:pStyle w:val="Heading3"/>
      </w:pPr>
      <w:r>
        <w:t>Métaux</w:t>
      </w:r>
    </w:p>
    <w:p>
      <w:r/>
      <w:r>
        <w:t>Un métal sous sa forme pure est un élément chimiquement pur avec ses propres propriétés physiques définies, telles que la densité, la résistance à la traction, la structure cristalline, le point de fusion, la ductilité, la conductivité, etc. Les métaux forment des alliages avec d'autres métaux, mais ce processus altère leur pureté. Tant dans le monde antique que dans le monde moderne, l'alliage est extrêmement important.</w:t>
      </w:r>
    </w:p>
    <w:p>
      <w:r/>
      <w:r>
        <w:t>Pour obtenir un métal pur, le minerai contenant le métal doit être fondu, un processus connu sous le nom de métallurgie. Dans l'Israël ancien, les métaux purs étaient largement utilisés : parmi eux figuraient l'or, l'argent, le fer et le plomb. Pourtant, les alliages tels que le bronze et le laiton étaient encore plus largement utilisés.</w:t>
      </w:r>
    </w:p>
    <w:p>
      <w:pPr>
        <w:pStyle w:val="Heading4"/>
      </w:pPr>
      <w:r>
        <w:t>Métallurgie et extraction des métaux</w:t>
      </w:r>
    </w:p>
    <w:p>
      <w:r/>
      <w:r>
        <w:t>La méthode de production du fer forgé dur a été découverte par les Hittites d'Asie Mineure vers 1300 av. J.‑C. et a été adoptée par les Philistins (</w:t>
      </w:r>
      <w:hyperlink r:id="rId10058">
        <w:r>
          <w:rPr>
            <w:color w:val="0000EE"/>
            <w:u w:val="single"/>
          </w:rPr>
          <w:t>1S 13.19–20</w:t>
        </w:r>
      </w:hyperlink>
      <w:r>
        <w:t>). Au début, le fer obtenu à partir de fours simples était extrait et martelé pour éliminer les scories (</w:t>
      </w:r>
      <w:hyperlink r:id="rId5765">
        <w:r>
          <w:rPr>
            <w:color w:val="0000EE"/>
            <w:u w:val="single"/>
          </w:rPr>
          <w:t>Dt 4.20</w:t>
        </w:r>
      </w:hyperlink>
      <w:r>
        <w:t xml:space="preserve"> ; </w:t>
      </w:r>
      <w:hyperlink r:id="rId5766">
        <w:r>
          <w:rPr>
            <w:color w:val="0000EE"/>
            <w:u w:val="single"/>
          </w:rPr>
          <w:t>1R 8.51</w:t>
        </w:r>
      </w:hyperlink>
      <w:r>
        <w:t xml:space="preserve"> ; </w:t>
      </w:r>
      <w:hyperlink r:id="rId5770">
        <w:r>
          <w:rPr>
            <w:color w:val="0000EE"/>
            <w:u w:val="single"/>
          </w:rPr>
          <w:t>Jr 11.4</w:t>
        </w:r>
      </w:hyperlink>
      <w:r>
        <w:t>). Plus tard, l'ajout de carbone a produit une forme précoce d'acier.</w:t>
      </w:r>
    </w:p>
    <w:p>
      <w:r/>
      <w:r>
        <w:t>Le minerai de sulfure de plomb est chauffé avec de la chaux dans un flux d'air. Un laitier contenant des particules de roche se forme. L'air est ensuite coupé et la température est augmentée. Enfin, le plomb s'écoule librement.</w:t>
      </w:r>
    </w:p>
    <w:p>
      <w:r/>
      <w:r>
        <w:t>L'Ancien Testament (AT) fait référence à l'extraction de l'argent (</w:t>
      </w:r>
      <w:hyperlink r:id="rId10059">
        <w:r>
          <w:rPr>
            <w:color w:val="0000EE"/>
            <w:u w:val="single"/>
          </w:rPr>
          <w:t>Jb 28.1</w:t>
        </w:r>
      </w:hyperlink>
      <w:r>
        <w:t>), au raffinage du métal (</w:t>
      </w:r>
      <w:hyperlink r:id="rId10060">
        <w:r>
          <w:rPr>
            <w:color w:val="0000EE"/>
            <w:u w:val="single"/>
          </w:rPr>
          <w:t>Za 13.9</w:t>
        </w:r>
      </w:hyperlink>
      <w:r>
        <w:t xml:space="preserve"> ; </w:t>
      </w:r>
      <w:hyperlink r:id="rId10061">
        <w:r>
          <w:rPr>
            <w:color w:val="0000EE"/>
            <w:u w:val="single"/>
          </w:rPr>
          <w:t>Ml 3.3</w:t>
        </w:r>
      </w:hyperlink>
      <w:r>
        <w:t>), à la fonte des métaux de récupération ou des restes de bijoutiers (</w:t>
      </w:r>
      <w:hyperlink r:id="rId10062">
        <w:r>
          <w:rPr>
            <w:color w:val="0000EE"/>
            <w:u w:val="single"/>
          </w:rPr>
          <w:t>Ez 22.20–22</w:t>
        </w:r>
      </w:hyperlink>
      <w:r>
        <w:t>), et à de multiples raffinages dans un creuset (</w:t>
      </w:r>
      <w:hyperlink r:id="rId5767">
        <w:r>
          <w:rPr>
            <w:color w:val="0000EE"/>
            <w:u w:val="single"/>
          </w:rPr>
          <w:t>Pr 17.3</w:t>
        </w:r>
      </w:hyperlink>
      <w:r>
        <w:t xml:space="preserve"> ; </w:t>
      </w:r>
      <w:hyperlink r:id="rId5768">
        <w:r>
          <w:rPr>
            <w:color w:val="0000EE"/>
            <w:u w:val="single"/>
          </w:rPr>
          <w:t>27.21</w:t>
        </w:r>
      </w:hyperlink>
      <w:r>
        <w:t>) pour produire de l'argent raffiné (</w:t>
      </w:r>
      <w:hyperlink r:id="rId10063">
        <w:r>
          <w:rPr>
            <w:color w:val="0000EE"/>
            <w:u w:val="single"/>
          </w:rPr>
          <w:t>1Ch 29.4</w:t>
        </w:r>
      </w:hyperlink>
      <w:r>
        <w:t xml:space="preserve"> ; </w:t>
      </w:r>
      <w:hyperlink r:id="rId10064">
        <w:r>
          <w:rPr>
            <w:color w:val="0000EE"/>
            <w:u w:val="single"/>
          </w:rPr>
          <w:t>Ps 12.6</w:t>
        </w:r>
      </w:hyperlink>
      <w:r>
        <w:t xml:space="preserve"> ; </w:t>
      </w:r>
      <w:hyperlink r:id="rId10065">
        <w:r>
          <w:rPr>
            <w:color w:val="0000EE"/>
            <w:u w:val="single"/>
          </w:rPr>
          <w:t>Pr 10.20</w:t>
        </w:r>
      </w:hyperlink>
      <w:r>
        <w:t>).</w:t>
      </w:r>
    </w:p>
    <w:p>
      <w:pPr>
        <w:pStyle w:val="Heading4"/>
      </w:pPr>
      <w:r>
        <w:t>Métaux spécifiques</w:t>
      </w:r>
    </w:p>
    <w:p>
      <w:r/>
      <w:r>
        <w:t>Bien que plusieurs passages de l'AT suggèrent que la science de la métallurgie était connue à l'époque biblique, relativement peu de preuves archéologiques sont disponibles. Les usines de traitement étaient petites et servaient au traitement du cuivre et du fer. Le dossier archéologique est loin d'être complet, mais l'impression générale est que les minerais métalliques étaient relativement rares en Palestine ; les importations ont dû être considérables. Cependant, de nombreux moules pour la coulée d'outils agricoles et militaires ont été découverts lors de fouilles. De toute évidence, certains métaux raffinés étaient disponibles localement, mais peut-être que la plupart étaient importés. Le métal était ensuite chauffé et versé dans le moule en terre cuite ou en poterie approprié.</w:t>
      </w:r>
    </w:p>
    <w:p>
      <w:r/>
      <w:r>
        <w:t>La Bible contient de nombreuses références aux métaux, notamment l'or, l'argent, le fer et le plomb. Bien que le cuivre ait été largement utilisé, il se présentait généralement sous forme de ses alliages, le bronze et le laiton. Il y a relativement peu de références à l'étain en tant que tel, bien qu'il ait été utilisé dans la fabrication du bronze. De même, le zinc, bien qu'employé dans la fabrication du laiton, n'est pas mentionné dans la Bible.</w:t>
      </w:r>
    </w:p>
    <w:p>
      <w:r/>
      <w:r>
        <w:t>L'or est mentionné des centaines de fois dans l'AT et le Nouveau Testament (NT), plus fréquemment que tout autre métal. Il est souvent mentionné avec l'argent, et dans la majorité des cas, l'argent est mentionné en premier, reflétant une époque où l'or avait moins de valeur.</w:t>
      </w:r>
    </w:p>
    <w:p>
      <w:r/>
      <w:r>
        <w:t>L'or était utilisé dans la fabrication d'ornements pour un usage personnel (</w:t>
      </w:r>
      <w:hyperlink r:id="rId8723">
        <w:r>
          <w:rPr>
            <w:color w:val="0000EE"/>
            <w:u w:val="single"/>
          </w:rPr>
          <w:t>Gn 24.53</w:t>
        </w:r>
      </w:hyperlink>
      <w:r>
        <w:t xml:space="preserve"> ; </w:t>
      </w:r>
      <w:hyperlink r:id="rId464">
        <w:r>
          <w:rPr>
            <w:color w:val="0000EE"/>
            <w:u w:val="single"/>
          </w:rPr>
          <w:t>41.42</w:t>
        </w:r>
      </w:hyperlink>
      <w:r>
        <w:t xml:space="preserve"> ; </w:t>
      </w:r>
      <w:hyperlink r:id="rId10066">
        <w:r>
          <w:rPr>
            <w:color w:val="0000EE"/>
            <w:u w:val="single"/>
          </w:rPr>
          <w:t>Ex 3.22</w:t>
        </w:r>
      </w:hyperlink>
      <w:r>
        <w:t xml:space="preserve"> ; </w:t>
      </w:r>
      <w:hyperlink r:id="rId1988">
        <w:r>
          <w:rPr>
            <w:color w:val="0000EE"/>
            <w:u w:val="single"/>
          </w:rPr>
          <w:t>11.2</w:t>
        </w:r>
      </w:hyperlink>
      <w:r>
        <w:t xml:space="preserve"> ; </w:t>
      </w:r>
      <w:hyperlink r:id="rId10067">
        <w:r>
          <w:rPr>
            <w:color w:val="0000EE"/>
            <w:u w:val="single"/>
          </w:rPr>
          <w:t>12.35</w:t>
        </w:r>
      </w:hyperlink>
      <w:r>
        <w:t>). L'or avait une importance dans le culte, tant en Israël que chez les non-Israélites. Les références aux dieux païens apparaissent dans plusieurs passages (</w:t>
      </w:r>
      <w:hyperlink r:id="rId10068">
        <w:r>
          <w:rPr>
            <w:color w:val="0000EE"/>
            <w:u w:val="single"/>
          </w:rPr>
          <w:t>Ex 20.23</w:t>
        </w:r>
      </w:hyperlink>
      <w:r>
        <w:t xml:space="preserve"> ; </w:t>
      </w:r>
      <w:hyperlink r:id="rId10069">
        <w:r>
          <w:rPr>
            <w:color w:val="0000EE"/>
            <w:u w:val="single"/>
          </w:rPr>
          <w:t>32.2–4</w:t>
        </w:r>
      </w:hyperlink>
      <w:r>
        <w:t xml:space="preserve"> ; </w:t>
      </w:r>
      <w:hyperlink r:id="rId10070">
        <w:r>
          <w:rPr>
            <w:color w:val="0000EE"/>
            <w:u w:val="single"/>
          </w:rPr>
          <w:t>Ps 115.4</w:t>
        </w:r>
      </w:hyperlink>
      <w:r>
        <w:t xml:space="preserve"> ; </w:t>
      </w:r>
      <w:hyperlink r:id="rId10071">
        <w:r>
          <w:rPr>
            <w:color w:val="0000EE"/>
            <w:u w:val="single"/>
          </w:rPr>
          <w:t>Es 2.20</w:t>
        </w:r>
      </w:hyperlink>
      <w:r>
        <w:t xml:space="preserve"> ; </w:t>
      </w:r>
      <w:hyperlink r:id="rId10072">
        <w:r>
          <w:rPr>
            <w:color w:val="0000EE"/>
            <w:u w:val="single"/>
          </w:rPr>
          <w:t>30.22</w:t>
        </w:r>
      </w:hyperlink>
      <w:r>
        <w:t xml:space="preserve"> ; </w:t>
      </w:r>
      <w:hyperlink r:id="rId10073">
        <w:r>
          <w:rPr>
            <w:color w:val="0000EE"/>
            <w:u w:val="single"/>
          </w:rPr>
          <w:t>31.7</w:t>
        </w:r>
      </w:hyperlink>
      <w:r>
        <w:t xml:space="preserve"> ; </w:t>
      </w:r>
      <w:hyperlink r:id="rId6637">
        <w:r>
          <w:rPr>
            <w:color w:val="0000EE"/>
            <w:u w:val="single"/>
          </w:rPr>
          <w:t>40.19</w:t>
        </w:r>
      </w:hyperlink>
      <w:r>
        <w:t xml:space="preserve"> ; </w:t>
      </w:r>
      <w:hyperlink r:id="rId2048">
        <w:r>
          <w:rPr>
            <w:color w:val="0000EE"/>
            <w:u w:val="single"/>
          </w:rPr>
          <w:t>46.6</w:t>
        </w:r>
      </w:hyperlink>
      <w:r>
        <w:t xml:space="preserve"> ; </w:t>
      </w:r>
      <w:hyperlink r:id="rId10074">
        <w:r>
          <w:rPr>
            <w:color w:val="0000EE"/>
            <w:u w:val="single"/>
          </w:rPr>
          <w:t>Os 8.4</w:t>
        </w:r>
      </w:hyperlink>
      <w:r>
        <w:t>). Il semble que l'or était fondu puis gravé, permettant aux répliques d'être appelées à la fois des images fondues (</w:t>
      </w:r>
      <w:hyperlink r:id="rId10075">
        <w:r>
          <w:rPr>
            <w:color w:val="0000EE"/>
            <w:u w:val="single"/>
          </w:rPr>
          <w:t>Ex 32.24</w:t>
        </w:r>
      </w:hyperlink>
      <w:r>
        <w:t>) et des images taillées. Le tabernacle et le temple utilisaient beaucoup d'or. L'arche en bois était recouverte d'or à l'intérieur et à l'extérieur (</w:t>
      </w:r>
      <w:hyperlink r:id="rId10076">
        <w:r>
          <w:rPr>
            <w:color w:val="0000EE"/>
            <w:u w:val="single"/>
          </w:rPr>
          <w:t>25.11</w:t>
        </w:r>
      </w:hyperlink>
      <w:r>
        <w:t>). D'autres pièces en bois étaient plaquées d'or (</w:t>
      </w:r>
      <w:hyperlink r:id="rId10076">
        <w:r>
          <w:rPr>
            <w:color w:val="0000EE"/>
            <w:u w:val="single"/>
          </w:rPr>
          <w:t>25.11</w:t>
        </w:r>
      </w:hyperlink>
      <w:r>
        <w:t xml:space="preserve"> ; </w:t>
      </w:r>
      <w:hyperlink r:id="rId10077">
        <w:r>
          <w:rPr>
            <w:color w:val="0000EE"/>
            <w:u w:val="single"/>
          </w:rPr>
          <w:t>1R 6.20–22, 30</w:t>
        </w:r>
      </w:hyperlink>
      <w:r>
        <w:t>).</w:t>
      </w:r>
    </w:p>
    <w:p>
      <w:r/>
      <w:r>
        <w:t>Les vaisseaux et ustensiles utilisés dans le tabernacle et le temple étaient faits d'« or pur » : les chérubins (</w:t>
      </w:r>
      <w:hyperlink r:id="rId10078">
        <w:r>
          <w:rPr>
            <w:color w:val="0000EE"/>
            <w:u w:val="single"/>
          </w:rPr>
          <w:t>Ex 25.18</w:t>
        </w:r>
      </w:hyperlink>
      <w:r>
        <w:t xml:space="preserve">; </w:t>
      </w:r>
      <w:hyperlink r:id="rId10079">
        <w:r>
          <w:rPr>
            <w:color w:val="0000EE"/>
            <w:u w:val="single"/>
          </w:rPr>
          <w:t>37.7</w:t>
        </w:r>
      </w:hyperlink>
      <w:r>
        <w:t>), le propitiatoire (</w:t>
      </w:r>
      <w:hyperlink r:id="rId1170">
        <w:r>
          <w:rPr>
            <w:color w:val="0000EE"/>
            <w:u w:val="single"/>
          </w:rPr>
          <w:t>25.17</w:t>
        </w:r>
      </w:hyperlink>
      <w:r>
        <w:t xml:space="preserve">; </w:t>
      </w:r>
      <w:hyperlink r:id="rId10080">
        <w:r>
          <w:rPr>
            <w:color w:val="0000EE"/>
            <w:u w:val="single"/>
          </w:rPr>
          <w:t>37.6</w:t>
        </w:r>
      </w:hyperlink>
      <w:r>
        <w:t>), le chandelier (</w:t>
      </w:r>
      <w:hyperlink r:id="rId10081">
        <w:r>
          <w:rPr>
            <w:color w:val="0000EE"/>
            <w:u w:val="single"/>
          </w:rPr>
          <w:t>Ex 25.31</w:t>
        </w:r>
      </w:hyperlink>
      <w:r>
        <w:t xml:space="preserve">; </w:t>
      </w:r>
      <w:hyperlink r:id="rId10082">
        <w:r>
          <w:rPr>
            <w:color w:val="0000EE"/>
            <w:u w:val="single"/>
          </w:rPr>
          <w:t>Za 4.2</w:t>
        </w:r>
      </w:hyperlink>
      <w:r>
        <w:t>), divers contenants (</w:t>
      </w:r>
      <w:hyperlink r:id="rId10083">
        <w:r>
          <w:rPr>
            <w:color w:val="0000EE"/>
            <w:u w:val="single"/>
          </w:rPr>
          <w:t>Ex 25.38</w:t>
        </w:r>
      </w:hyperlink>
      <w:r>
        <w:t xml:space="preserve">; </w:t>
      </w:r>
      <w:hyperlink r:id="rId10084">
        <w:r>
          <w:rPr>
            <w:color w:val="0000EE"/>
            <w:u w:val="single"/>
          </w:rPr>
          <w:t>2R 24.13</w:t>
        </w:r>
      </w:hyperlink>
      <w:r>
        <w:t>), des chaînes pour porter l'éphod (</w:t>
      </w:r>
      <w:hyperlink r:id="rId10085">
        <w:r>
          <w:rPr>
            <w:color w:val="0000EE"/>
            <w:u w:val="single"/>
          </w:rPr>
          <w:t>Ex 28.14</w:t>
        </w:r>
      </w:hyperlink>
      <w:r>
        <w:t>), et les clochettes sur la robe du grand prêtre. La couronne, l'éphod et le pectoral du grand prêtre étaient également en or (</w:t>
      </w:r>
      <w:hyperlink r:id="rId10086">
        <w:r>
          <w:rPr>
            <w:color w:val="0000EE"/>
            <w:u w:val="single"/>
          </w:rPr>
          <w:t>39.2–30</w:t>
        </w:r>
      </w:hyperlink>
      <w:r>
        <w:t>). Les offrandes collectées pour la fabrication de tels articles dans le désert incluaient des plats en or pesant cent vingt sicles (</w:t>
      </w:r>
      <w:hyperlink r:id="rId10087">
        <w:r>
          <w:rPr>
            <w:color w:val="0000EE"/>
            <w:u w:val="single"/>
          </w:rPr>
          <w:t>Nb 7.86</w:t>
        </w:r>
      </w:hyperlink>
      <w:r>
        <w:t>). Le temple, plus richement orné, semble avoir utilisé plus d'or que le tabernacle (</w:t>
      </w:r>
      <w:hyperlink r:id="rId10088">
        <w:r>
          <w:rPr>
            <w:color w:val="0000EE"/>
            <w:u w:val="single"/>
          </w:rPr>
          <w:t>1R 6.20–28</w:t>
        </w:r>
      </w:hyperlink>
      <w:r>
        <w:t xml:space="preserve">; </w:t>
      </w:r>
      <w:hyperlink r:id="rId10089">
        <w:r>
          <w:rPr>
            <w:color w:val="0000EE"/>
            <w:u w:val="single"/>
          </w:rPr>
          <w:t>1Ch 29.2–7</w:t>
        </w:r>
      </w:hyperlink>
      <w:r>
        <w:t xml:space="preserve">; </w:t>
      </w:r>
      <w:hyperlink r:id="rId10090">
        <w:r>
          <w:rPr>
            <w:color w:val="0000EE"/>
            <w:u w:val="single"/>
          </w:rPr>
          <w:t>2Ch 3.4–4.22</w:t>
        </w:r>
      </w:hyperlink>
      <w:r>
        <w:t>). Le nombre de références spécifiques à l'or dans le tabernacle et le temple est bien trop grand pour toutes les mentionner ici. La grande quantité d'or utilisée dans le temple était attrayante pour les envahisseurs, qui dépouillaient le temple de son or et l'emportaient comme butin (</w:t>
      </w:r>
      <w:hyperlink r:id="rId10091">
        <w:r>
          <w:rPr>
            <w:color w:val="0000EE"/>
            <w:u w:val="single"/>
          </w:rPr>
          <w:t>1R 14.26</w:t>
        </w:r>
      </w:hyperlink>
      <w:r>
        <w:t xml:space="preserve">; </w:t>
      </w:r>
      <w:hyperlink r:id="rId10092">
        <w:r>
          <w:rPr>
            <w:color w:val="0000EE"/>
            <w:u w:val="single"/>
          </w:rPr>
          <w:t>2R 16.8</w:t>
        </w:r>
      </w:hyperlink>
      <w:r>
        <w:t xml:space="preserve">; </w:t>
      </w:r>
      <w:hyperlink r:id="rId10093">
        <w:r>
          <w:rPr>
            <w:color w:val="0000EE"/>
            <w:u w:val="single"/>
          </w:rPr>
          <w:t>18.14</w:t>
        </w:r>
      </w:hyperlink>
      <w:r>
        <w:t xml:space="preserve">; </w:t>
      </w:r>
      <w:hyperlink r:id="rId10084">
        <w:r>
          <w:rPr>
            <w:color w:val="0000EE"/>
            <w:u w:val="single"/>
          </w:rPr>
          <w:t>24.13</w:t>
        </w:r>
      </w:hyperlink>
      <w:r>
        <w:t xml:space="preserve">; </w:t>
      </w:r>
      <w:hyperlink r:id="rId10094">
        <w:r>
          <w:rPr>
            <w:color w:val="0000EE"/>
            <w:u w:val="single"/>
          </w:rPr>
          <w:t>25.15</w:t>
        </w:r>
      </w:hyperlink>
      <w:r>
        <w:t xml:space="preserve">; </w:t>
      </w:r>
      <w:hyperlink r:id="rId3924">
        <w:r>
          <w:rPr>
            <w:color w:val="0000EE"/>
            <w:u w:val="single"/>
          </w:rPr>
          <w:t>2Ch 12.9</w:t>
        </w:r>
      </w:hyperlink>
      <w:r>
        <w:t>).</w:t>
      </w:r>
    </w:p>
    <w:p>
      <w:r/>
      <w:r>
        <w:t>L'or avait une valeur commerciale. Il était importé à l'époque de Salomon, et jusqu'à 666 talents étaient apportés en Israël chaque année (</w:t>
      </w:r>
      <w:hyperlink r:id="rId10095">
        <w:r>
          <w:rPr>
            <w:color w:val="0000EE"/>
            <w:u w:val="single"/>
          </w:rPr>
          <w:t>1R 10.14</w:t>
        </w:r>
      </w:hyperlink>
      <w:r>
        <w:t>). Hiram de Tyr donnera à Salomon cent vingt talents d'or (</w:t>
      </w:r>
      <w:hyperlink r:id="rId10096">
        <w:r>
          <w:rPr>
            <w:color w:val="0000EE"/>
            <w:u w:val="single"/>
          </w:rPr>
          <w:t>9.14</w:t>
        </w:r>
      </w:hyperlink>
      <w:r>
        <w:t>), possiblement comme prêt. Salomon a certainement utilisé beaucoup d'or dans le temple (</w:t>
      </w:r>
      <w:hyperlink r:id="rId10097">
        <w:r>
          <w:rPr>
            <w:color w:val="0000EE"/>
            <w:u w:val="single"/>
          </w:rPr>
          <w:t>10.16–17</w:t>
        </w:r>
      </w:hyperlink>
      <w:r>
        <w:t>). L'or était également utile pour acheter la paix avec un ennemi (</w:t>
      </w:r>
      <w:hyperlink r:id="rId10092">
        <w:r>
          <w:rPr>
            <w:color w:val="0000EE"/>
            <w:u w:val="single"/>
          </w:rPr>
          <w:t>2R 16.8</w:t>
        </w:r>
      </w:hyperlink>
      <w:r>
        <w:t>) ou simplement comme tribut (</w:t>
      </w:r>
      <w:hyperlink r:id="rId10093">
        <w:r>
          <w:rPr>
            <w:color w:val="0000EE"/>
            <w:u w:val="single"/>
          </w:rPr>
          <w:t>18.14</w:t>
        </w:r>
      </w:hyperlink>
      <w:r>
        <w:t>). Des preuves de cela proviennent également des annales assyriennes, où le tribut prélevé sur divers pays incluait souvent de l'or.</w:t>
      </w:r>
    </w:p>
    <w:p>
      <w:r/>
      <w:r>
        <w:t>La possession d'or n'était pas en soi une mauvaise chose, mais la préoccupation de son accumulation était condamnée (</w:t>
      </w:r>
      <w:hyperlink r:id="rId10098">
        <w:r>
          <w:rPr>
            <w:color w:val="0000EE"/>
            <w:u w:val="single"/>
          </w:rPr>
          <w:t>Jb 28.15–17</w:t>
        </w:r>
      </w:hyperlink>
      <w:r>
        <w:t xml:space="preserve"> ; </w:t>
      </w:r>
      <w:hyperlink r:id="rId10099">
        <w:r>
          <w:rPr>
            <w:color w:val="0000EE"/>
            <w:u w:val="single"/>
          </w:rPr>
          <w:t>Pr 3.14</w:t>
        </w:r>
      </w:hyperlink>
      <w:r>
        <w:t xml:space="preserve"> ; </w:t>
      </w:r>
      <w:hyperlink r:id="rId10100">
        <w:r>
          <w:rPr>
            <w:color w:val="0000EE"/>
            <w:u w:val="single"/>
          </w:rPr>
          <w:t>8.10, 19</w:t>
        </w:r>
      </w:hyperlink>
      <w:r>
        <w:t xml:space="preserve"> ; </w:t>
      </w:r>
      <w:hyperlink r:id="rId10101">
        <w:r>
          <w:rPr>
            <w:color w:val="0000EE"/>
            <w:u w:val="single"/>
          </w:rPr>
          <w:t>16.16</w:t>
        </w:r>
      </w:hyperlink>
      <w:r>
        <w:t>). La possession de la sagesse et la connaissance de Dieu avaient plus de valeur que la possession de beaucoup d'or (</w:t>
      </w:r>
      <w:hyperlink r:id="rId10102">
        <w:r>
          <w:rPr>
            <w:color w:val="0000EE"/>
            <w:u w:val="single"/>
          </w:rPr>
          <w:t>Ps 19.10</w:t>
        </w:r>
      </w:hyperlink>
      <w:r>
        <w:t xml:space="preserve"> ; </w:t>
      </w:r>
      <w:hyperlink r:id="rId10103">
        <w:r>
          <w:rPr>
            <w:color w:val="0000EE"/>
            <w:u w:val="single"/>
          </w:rPr>
          <w:t>119.72, 127</w:t>
        </w:r>
      </w:hyperlink>
      <w:r>
        <w:t xml:space="preserve"> ; </w:t>
      </w:r>
      <w:hyperlink r:id="rId10104">
        <w:r>
          <w:rPr>
            <w:color w:val="0000EE"/>
            <w:u w:val="single"/>
          </w:rPr>
          <w:t>Pr 20.15</w:t>
        </w:r>
      </w:hyperlink>
      <w:r>
        <w:t>). Job a rejeté la confiance dans l'or (</w:t>
      </w:r>
      <w:hyperlink r:id="rId10105">
        <w:r>
          <w:rPr>
            <w:color w:val="0000EE"/>
            <w:u w:val="single"/>
          </w:rPr>
          <w:t>Jb 31.24</w:t>
        </w:r>
      </w:hyperlink>
      <w:r>
        <w:t>). L'or ne sauverait pas un homme au jour du jugement (</w:t>
      </w:r>
      <w:hyperlink r:id="rId10106">
        <w:r>
          <w:rPr>
            <w:color w:val="0000EE"/>
            <w:u w:val="single"/>
          </w:rPr>
          <w:t>So 1.18</w:t>
        </w:r>
      </w:hyperlink>
      <w:r>
        <w:t>).</w:t>
      </w:r>
    </w:p>
    <w:p>
      <w:r/>
      <w:r>
        <w:t>Dans le NT, l'or était considéré comme périssable (</w:t>
      </w:r>
      <w:hyperlink r:id="rId10107">
        <w:r>
          <w:rPr>
            <w:color w:val="0000EE"/>
            <w:u w:val="single"/>
          </w:rPr>
          <w:t>Jc 5.3</w:t>
        </w:r>
      </w:hyperlink>
      <w:r>
        <w:t xml:space="preserve"> ; </w:t>
      </w:r>
      <w:hyperlink r:id="rId10108">
        <w:r>
          <w:rPr>
            <w:color w:val="0000EE"/>
            <w:u w:val="single"/>
          </w:rPr>
          <w:t>1P 1.18</w:t>
        </w:r>
      </w:hyperlink>
      <w:r>
        <w:t>) et comme un fardeau inutile à porter (</w:t>
      </w:r>
      <w:hyperlink r:id="rId2055">
        <w:r>
          <w:rPr>
            <w:color w:val="0000EE"/>
            <w:u w:val="single"/>
          </w:rPr>
          <w:t>Mt 10.9</w:t>
        </w:r>
      </w:hyperlink>
      <w:r>
        <w:t xml:space="preserve"> ; </w:t>
      </w:r>
      <w:hyperlink r:id="rId10109">
        <w:r>
          <w:rPr>
            <w:color w:val="0000EE"/>
            <w:u w:val="single"/>
          </w:rPr>
          <w:t>Ac 3.6</w:t>
        </w:r>
      </w:hyperlink>
      <w:r>
        <w:t>). Porter une bague en or ne prouvait en rien la valeur d'un homme (</w:t>
      </w:r>
      <w:hyperlink r:id="rId7023">
        <w:r>
          <w:rPr>
            <w:color w:val="0000EE"/>
            <w:u w:val="single"/>
          </w:rPr>
          <w:t>Jc 2.2</w:t>
        </w:r>
      </w:hyperlink>
      <w:r>
        <w:t>) ; en effet, Paul et Pierre l'interdisaient tous deux (</w:t>
      </w:r>
      <w:hyperlink r:id="rId10110">
        <w:r>
          <w:rPr>
            <w:color w:val="0000EE"/>
            <w:u w:val="single"/>
          </w:rPr>
          <w:t>1Tm 2.9</w:t>
        </w:r>
      </w:hyperlink>
      <w:r>
        <w:t xml:space="preserve"> ; </w:t>
      </w:r>
      <w:hyperlink r:id="rId2848">
        <w:r>
          <w:rPr>
            <w:color w:val="0000EE"/>
            <w:u w:val="single"/>
          </w:rPr>
          <w:t>1P 3.3</w:t>
        </w:r>
      </w:hyperlink>
      <w:r>
        <w:t>).</w:t>
      </w:r>
    </w:p>
    <w:p>
      <w:r/>
      <w:r>
        <w:t>L'utilisation de l'or en soi n'était pas une preuve de piété. Les anciens d'</w:t>
      </w:r>
      <w:hyperlink r:id="rId3343">
        <w:r>
          <w:rPr>
            <w:color w:val="0000EE"/>
            <w:u w:val="single"/>
          </w:rPr>
          <w:t>Apocalypse 4.4</w:t>
        </w:r>
      </w:hyperlink>
      <w:r>
        <w:t xml:space="preserve"> portaient des couronnes d'or, mais la grande prostituée aussi était « parée d'or » (</w:t>
      </w:r>
      <w:hyperlink r:id="rId3395">
        <w:r>
          <w:rPr>
            <w:color w:val="0000EE"/>
            <w:u w:val="single"/>
          </w:rPr>
          <w:t>Ap 17.4</w:t>
        </w:r>
      </w:hyperlink>
      <w:r>
        <w:t>), tout comme la ville prostituée Babylone (</w:t>
      </w:r>
      <w:hyperlink r:id="rId3429">
        <w:r>
          <w:rPr>
            <w:color w:val="0000EE"/>
            <w:u w:val="single"/>
          </w:rPr>
          <w:t>18.16</w:t>
        </w:r>
      </w:hyperlink>
      <w:r>
        <w:t>). En revanche, il y a quelques déclarations positives dans le NT concernant la valeur de l'or (</w:t>
      </w:r>
      <w:hyperlink r:id="rId9869">
        <w:r>
          <w:rPr>
            <w:color w:val="0000EE"/>
            <w:u w:val="single"/>
          </w:rPr>
          <w:t>3.18</w:t>
        </w:r>
      </w:hyperlink>
      <w:r>
        <w:t>). Les mages ont apporté de l'or à l'enfant Jésus comme symbole de son caractère royal (</w:t>
      </w:r>
      <w:hyperlink r:id="rId10111">
        <w:r>
          <w:rPr>
            <w:color w:val="0000EE"/>
            <w:u w:val="single"/>
          </w:rPr>
          <w:t>Mt 2.11</w:t>
        </w:r>
      </w:hyperlink>
      <w:r>
        <w:t>), et la Ville sainte, la Nouvelle Jérusalem, était une ville faite d'or, claire comme du verre (</w:t>
      </w:r>
      <w:hyperlink r:id="rId10112">
        <w:r>
          <w:rPr>
            <w:color w:val="0000EE"/>
            <w:u w:val="single"/>
          </w:rPr>
          <w:t>Ap 21.18</w:t>
        </w:r>
      </w:hyperlink>
      <w:r>
        <w:t>).</w:t>
      </w:r>
    </w:p>
    <w:p>
      <w:r/>
      <w:r>
        <w:t>Dans l'AT, l'argent est mentionné dans plusieurs contextes. Étant un métal précieux, autrefois considéré plus précieux que l'or, il était régulièrement utilisé dans le commerce pour le paiement des dettes. De petits morceaux d'argent étaient pesés sur une balance contre un poids étalon. Abraham a acheté la grotte de Macpéla comme lieu de sépulture pour Sara pour quatre cents sicles d'argent et a pesé l'« argent » selon la valeur actuelle du poids avec le marchand (</w:t>
      </w:r>
      <w:hyperlink r:id="rId1281">
        <w:r>
          <w:rPr>
            <w:color w:val="0000EE"/>
            <w:u w:val="single"/>
          </w:rPr>
          <w:t>Gn 23.15–16</w:t>
        </w:r>
      </w:hyperlink>
      <w:r>
        <w:t>). Les frères de Joseph ont reçu vingt pièces d'argent en paiement pour Joseph (</w:t>
      </w:r>
      <w:hyperlink r:id="rId1283">
        <w:r>
          <w:rPr>
            <w:color w:val="0000EE"/>
            <w:u w:val="single"/>
          </w:rPr>
          <w:t>Gn 37.28</w:t>
        </w:r>
      </w:hyperlink>
      <w:r>
        <w:t>), et Benjamin a reçu un cadeau en argent de la part de Joseph en pièces d'argent (</w:t>
      </w:r>
      <w:hyperlink r:id="rId10113">
        <w:r>
          <w:rPr>
            <w:color w:val="0000EE"/>
            <w:u w:val="single"/>
          </w:rPr>
          <w:t>Gn 45.22</w:t>
        </w:r>
      </w:hyperlink>
      <w:r>
        <w:t>).</w:t>
      </w:r>
    </w:p>
    <w:p>
      <w:r/>
      <w:r>
        <w:t>Il existe d'autres exemples de paiement en argent pour des marchandises ou des services (</w:t>
      </w:r>
      <w:hyperlink r:id="rId10114">
        <w:r>
          <w:rPr>
            <w:color w:val="0000EE"/>
            <w:u w:val="single"/>
          </w:rPr>
          <w:t>Gn 20.16</w:t>
        </w:r>
      </w:hyperlink>
      <w:r>
        <w:t xml:space="preserve">; </w:t>
      </w:r>
      <w:hyperlink r:id="rId10115">
        <w:r>
          <w:rPr>
            <w:color w:val="0000EE"/>
            <w:u w:val="single"/>
          </w:rPr>
          <w:t>Ex 21.32</w:t>
        </w:r>
      </w:hyperlink>
      <w:r>
        <w:t xml:space="preserve">; </w:t>
      </w:r>
      <w:hyperlink r:id="rId1291">
        <w:r>
          <w:rPr>
            <w:color w:val="0000EE"/>
            <w:u w:val="single"/>
          </w:rPr>
          <w:t>Lv 27.16</w:t>
        </w:r>
      </w:hyperlink>
      <w:r>
        <w:t xml:space="preserve">; </w:t>
      </w:r>
      <w:hyperlink r:id="rId1285">
        <w:r>
          <w:rPr>
            <w:color w:val="0000EE"/>
            <w:u w:val="single"/>
          </w:rPr>
          <w:t>Jos 24.32</w:t>
        </w:r>
      </w:hyperlink>
      <w:r>
        <w:t xml:space="preserve">; </w:t>
      </w:r>
      <w:hyperlink r:id="rId10116">
        <w:r>
          <w:rPr>
            <w:color w:val="0000EE"/>
            <w:u w:val="single"/>
          </w:rPr>
          <w:t>Jg 17.10</w:t>
        </w:r>
      </w:hyperlink>
      <w:r>
        <w:t xml:space="preserve">; </w:t>
      </w:r>
      <w:hyperlink r:id="rId1134">
        <w:r>
          <w:rPr>
            <w:color w:val="0000EE"/>
            <w:u w:val="single"/>
          </w:rPr>
          <w:t>2S 24.24</w:t>
        </w:r>
      </w:hyperlink>
      <w:r>
        <w:t xml:space="preserve">; </w:t>
      </w:r>
      <w:hyperlink r:id="rId10117">
        <w:r>
          <w:rPr>
            <w:color w:val="0000EE"/>
            <w:u w:val="single"/>
          </w:rPr>
          <w:t>Né 7.72</w:t>
        </w:r>
      </w:hyperlink>
      <w:r>
        <w:t xml:space="preserve">; </w:t>
      </w:r>
      <w:hyperlink r:id="rId10118">
        <w:r>
          <w:rPr>
            <w:color w:val="0000EE"/>
            <w:u w:val="single"/>
          </w:rPr>
          <w:t>Jb 28.15</w:t>
        </w:r>
      </w:hyperlink>
      <w:r>
        <w:t xml:space="preserve">; </w:t>
      </w:r>
      <w:hyperlink r:id="rId10119">
        <w:r>
          <w:rPr>
            <w:color w:val="0000EE"/>
            <w:u w:val="single"/>
          </w:rPr>
          <w:t>Es 7.23</w:t>
        </w:r>
      </w:hyperlink>
      <w:r>
        <w:t xml:space="preserve">; </w:t>
      </w:r>
      <w:hyperlink r:id="rId2048">
        <w:r>
          <w:rPr>
            <w:color w:val="0000EE"/>
            <w:u w:val="single"/>
          </w:rPr>
          <w:t>46.6</w:t>
        </w:r>
      </w:hyperlink>
      <w:r>
        <w:t xml:space="preserve">; </w:t>
      </w:r>
      <w:hyperlink r:id="rId822">
        <w:r>
          <w:rPr>
            <w:color w:val="0000EE"/>
            <w:u w:val="single"/>
          </w:rPr>
          <w:t>Am 2.6</w:t>
        </w:r>
      </w:hyperlink>
      <w:r>
        <w:t xml:space="preserve">; </w:t>
      </w:r>
      <w:hyperlink r:id="rId9929">
        <w:r>
          <w:rPr>
            <w:color w:val="0000EE"/>
            <w:u w:val="single"/>
          </w:rPr>
          <w:t>8.6</w:t>
        </w:r>
      </w:hyperlink>
      <w:r>
        <w:t>). L'argent était la preuve de la richesse d'un homme (</w:t>
      </w:r>
      <w:hyperlink r:id="rId1275">
        <w:r>
          <w:rPr>
            <w:color w:val="0000EE"/>
            <w:u w:val="single"/>
          </w:rPr>
          <w:t>Gn 13.2</w:t>
        </w:r>
      </w:hyperlink>
      <w:r>
        <w:t xml:space="preserve">; </w:t>
      </w:r>
      <w:hyperlink r:id="rId10120">
        <w:r>
          <w:rPr>
            <w:color w:val="0000EE"/>
            <w:u w:val="single"/>
          </w:rPr>
          <w:t>24.35</w:t>
        </w:r>
      </w:hyperlink>
      <w:r>
        <w:t xml:space="preserve">; </w:t>
      </w:r>
      <w:hyperlink r:id="rId10121">
        <w:r>
          <w:rPr>
            <w:color w:val="0000EE"/>
            <w:u w:val="single"/>
          </w:rPr>
          <w:t>Ex 25.3</w:t>
        </w:r>
      </w:hyperlink>
      <w:r>
        <w:t xml:space="preserve">; </w:t>
      </w:r>
      <w:hyperlink r:id="rId1583">
        <w:r>
          <w:rPr>
            <w:color w:val="0000EE"/>
            <w:u w:val="single"/>
          </w:rPr>
          <w:t>Nb 22.18</w:t>
        </w:r>
      </w:hyperlink>
      <w:r>
        <w:t xml:space="preserve">; </w:t>
      </w:r>
      <w:hyperlink r:id="rId10122">
        <w:r>
          <w:rPr>
            <w:color w:val="0000EE"/>
            <w:u w:val="single"/>
          </w:rPr>
          <w:t>Dt 7.25</w:t>
        </w:r>
      </w:hyperlink>
      <w:r>
        <w:t xml:space="preserve">; </w:t>
      </w:r>
      <w:hyperlink r:id="rId10106">
        <w:r>
          <w:rPr>
            <w:color w:val="0000EE"/>
            <w:u w:val="single"/>
          </w:rPr>
          <w:t>So 1.18</w:t>
        </w:r>
      </w:hyperlink>
      <w:r>
        <w:t xml:space="preserve">; </w:t>
      </w:r>
      <w:hyperlink r:id="rId446">
        <w:r>
          <w:rPr>
            <w:color w:val="0000EE"/>
            <w:u w:val="single"/>
          </w:rPr>
          <w:t>Ag 2.8</w:t>
        </w:r>
      </w:hyperlink>
      <w:r>
        <w:t xml:space="preserve">; </w:t>
      </w:r>
      <w:hyperlink r:id="rId10123">
        <w:r>
          <w:rPr>
            <w:color w:val="0000EE"/>
            <w:u w:val="single"/>
          </w:rPr>
          <w:t>Za 6.11</w:t>
        </w:r>
      </w:hyperlink>
      <w:r>
        <w:t xml:space="preserve">). Un commentaire inhabituel dans </w:t>
      </w:r>
      <w:hyperlink r:id="rId7665">
        <w:r>
          <w:rPr>
            <w:color w:val="0000EE"/>
            <w:u w:val="single"/>
          </w:rPr>
          <w:t>1 Rois 10.21</w:t>
        </w:r>
      </w:hyperlink>
      <w:r>
        <w:t xml:space="preserve"> note qu'au temps de Salomon, « </w:t>
      </w:r>
      <w:r>
        <w:t>on [ne] faisait aucun cas</w:t>
      </w:r>
      <w:r>
        <w:t xml:space="preserve"> » de l'argent, apparemment parce qu'il était si abondant. Il était régulièrement pris comme butin (</w:t>
      </w:r>
      <w:hyperlink r:id="rId10124">
        <w:r>
          <w:rPr>
            <w:color w:val="0000EE"/>
            <w:u w:val="single"/>
          </w:rPr>
          <w:t>Jos 6.19</w:t>
        </w:r>
      </w:hyperlink>
      <w:r>
        <w:t xml:space="preserve">; </w:t>
      </w:r>
      <w:hyperlink r:id="rId2086">
        <w:r>
          <w:rPr>
            <w:color w:val="0000EE"/>
            <w:u w:val="single"/>
          </w:rPr>
          <w:t>7.21</w:t>
        </w:r>
      </w:hyperlink>
      <w:r>
        <w:t xml:space="preserve">; </w:t>
      </w:r>
      <w:hyperlink r:id="rId10125">
        <w:r>
          <w:rPr>
            <w:color w:val="0000EE"/>
            <w:u w:val="single"/>
          </w:rPr>
          <w:t>1R 15.18</w:t>
        </w:r>
      </w:hyperlink>
      <w:r>
        <w:t>). Parfois, la coupe à boire d'un homme important était faite en argent (</w:t>
      </w:r>
      <w:hyperlink r:id="rId10126">
        <w:r>
          <w:rPr>
            <w:color w:val="0000EE"/>
            <w:u w:val="single"/>
          </w:rPr>
          <w:t>Gn 44.2</w:t>
        </w:r>
      </w:hyperlink>
      <w:r>
        <w:t>). Parfois aussi, une couronne royale était faite d'or et d'argent (</w:t>
      </w:r>
      <w:hyperlink r:id="rId10123">
        <w:r>
          <w:rPr>
            <w:color w:val="0000EE"/>
            <w:u w:val="single"/>
          </w:rPr>
          <w:t>Za 6.11</w:t>
        </w:r>
      </w:hyperlink>
      <w:r>
        <w:t>). Il était important dans la fabrication d'ornements personnels (</w:t>
      </w:r>
      <w:hyperlink r:id="rId8723">
        <w:r>
          <w:rPr>
            <w:color w:val="0000EE"/>
            <w:u w:val="single"/>
          </w:rPr>
          <w:t>Gn 24.53</w:t>
        </w:r>
      </w:hyperlink>
      <w:r>
        <w:t xml:space="preserve">; </w:t>
      </w:r>
      <w:hyperlink r:id="rId10066">
        <w:r>
          <w:rPr>
            <w:color w:val="0000EE"/>
            <w:u w:val="single"/>
          </w:rPr>
          <w:t>Ex 3.22</w:t>
        </w:r>
      </w:hyperlink>
      <w:r>
        <w:t xml:space="preserve">; </w:t>
      </w:r>
      <w:hyperlink r:id="rId10067">
        <w:r>
          <w:rPr>
            <w:color w:val="0000EE"/>
            <w:u w:val="single"/>
          </w:rPr>
          <w:t>12.35</w:t>
        </w:r>
      </w:hyperlink>
      <w:r>
        <w:t>), et un exemple est donné d'ornements en or incrustés d'argent (</w:t>
      </w:r>
      <w:hyperlink r:id="rId10127">
        <w:r>
          <w:rPr>
            <w:color w:val="0000EE"/>
            <w:u w:val="single"/>
          </w:rPr>
          <w:t>Ct 1.11</w:t>
        </w:r>
      </w:hyperlink>
      <w:r>
        <w:t>).</w:t>
      </w:r>
    </w:p>
    <w:p>
      <w:r/>
      <w:r>
        <w:t>Le processus de raffinage de l'argent était utilisé comme une métaphore pour l'épreuve des cœurs des gens (</w:t>
      </w:r>
      <w:hyperlink r:id="rId10128">
        <w:r>
          <w:rPr>
            <w:color w:val="0000EE"/>
            <w:u w:val="single"/>
          </w:rPr>
          <w:t>Ps 66.10</w:t>
        </w:r>
      </w:hyperlink>
      <w:r>
        <w:t xml:space="preserve"> ; </w:t>
      </w:r>
      <w:hyperlink r:id="rId5769">
        <w:r>
          <w:rPr>
            <w:color w:val="0000EE"/>
            <w:u w:val="single"/>
          </w:rPr>
          <w:t>Es 48.10</w:t>
        </w:r>
      </w:hyperlink>
      <w:r>
        <w:t>), et le ternissement et la détérioration de l'argent étaient une image de la désintégration du caractère d'une personne (</w:t>
      </w:r>
      <w:hyperlink r:id="rId10129">
        <w:r>
          <w:rPr>
            <w:color w:val="0000EE"/>
            <w:u w:val="single"/>
          </w:rPr>
          <w:t>Es 1.22</w:t>
        </w:r>
      </w:hyperlink>
      <w:r>
        <w:t xml:space="preserve"> ; </w:t>
      </w:r>
      <w:hyperlink r:id="rId10130">
        <w:r>
          <w:rPr>
            <w:color w:val="0000EE"/>
            <w:u w:val="single"/>
          </w:rPr>
          <w:t>Jr 6.30</w:t>
        </w:r>
      </w:hyperlink>
      <w:r>
        <w:t>). La Parole de Dieu est représentée comme de l'argent « pur » raffiné et purifié dans un fourneau. Malgré la grande valeur de l'argent, la sagesse la surpasse (</w:t>
      </w:r>
      <w:hyperlink r:id="rId10118">
        <w:r>
          <w:rPr>
            <w:color w:val="0000EE"/>
            <w:u w:val="single"/>
          </w:rPr>
          <w:t>Jb 28.15</w:t>
        </w:r>
      </w:hyperlink>
      <w:r>
        <w:t xml:space="preserve"> ; </w:t>
      </w:r>
      <w:hyperlink r:id="rId10099">
        <w:r>
          <w:rPr>
            <w:color w:val="0000EE"/>
            <w:u w:val="single"/>
          </w:rPr>
          <w:t>Pr 3.14</w:t>
        </w:r>
      </w:hyperlink>
      <w:r>
        <w:t xml:space="preserve"> ; </w:t>
      </w:r>
      <w:hyperlink r:id="rId10131">
        <w:r>
          <w:rPr>
            <w:color w:val="0000EE"/>
            <w:u w:val="single"/>
          </w:rPr>
          <w:t>8.19</w:t>
        </w:r>
      </w:hyperlink>
      <w:r>
        <w:t xml:space="preserve"> ; </w:t>
      </w:r>
      <w:hyperlink r:id="rId10065">
        <w:r>
          <w:rPr>
            <w:color w:val="0000EE"/>
            <w:u w:val="single"/>
          </w:rPr>
          <w:t>10.20</w:t>
        </w:r>
      </w:hyperlink>
      <w:r>
        <w:t xml:space="preserve"> ; </w:t>
      </w:r>
      <w:hyperlink r:id="rId10101">
        <w:r>
          <w:rPr>
            <w:color w:val="0000EE"/>
            <w:u w:val="single"/>
          </w:rPr>
          <w:t>16.16</w:t>
        </w:r>
      </w:hyperlink>
      <w:r>
        <w:t xml:space="preserve"> ; </w:t>
      </w:r>
      <w:hyperlink r:id="rId10132">
        <w:r>
          <w:rPr>
            <w:color w:val="0000EE"/>
            <w:u w:val="single"/>
          </w:rPr>
          <w:t>22.1</w:t>
        </w:r>
      </w:hyperlink>
      <w:r>
        <w:t xml:space="preserve"> ; </w:t>
      </w:r>
      <w:hyperlink r:id="rId10133">
        <w:r>
          <w:rPr>
            <w:color w:val="0000EE"/>
            <w:u w:val="single"/>
          </w:rPr>
          <w:t>25.11</w:t>
        </w:r>
      </w:hyperlink>
      <w:r>
        <w:t>).</w:t>
      </w:r>
    </w:p>
    <w:p>
      <w:r/>
      <w:r>
        <w:t xml:space="preserve">Le cuivre natif est mentionné dans </w:t>
      </w:r>
      <w:hyperlink r:id="rId10054">
        <w:r>
          <w:rPr>
            <w:color w:val="0000EE"/>
            <w:u w:val="single"/>
          </w:rPr>
          <w:t>Deutéronome 8.9</w:t>
        </w:r>
      </w:hyperlink>
      <w:r>
        <w:t>, bien que la référence puisse être à l'un de ses minerais. Plus communément, les références bibliques concernent l'airain, un alliage de cuivre et de zinc. Cependant, l'analyse chimique des outils et instruments à base de cuivre pendant les âges du bronze moyen et tardif (vers 2 000–1 200 av. J.‑C.) montre que ce matériau était en réalité du bronze. Les références à l'airain dans la version Louis Segond se réfèrent donc au bronze.</w:t>
      </w:r>
    </w:p>
    <w:p>
      <w:r/>
      <w:r>
        <w:t xml:space="preserve">À l'époque du NT, le cuivre sous forme d'alliages (bronze, laiton, airain) était largement utilisé. La monnaie en bronze était bien connue et il peut s'agir là du sens de </w:t>
      </w:r>
      <w:hyperlink r:id="rId2055">
        <w:r>
          <w:rPr>
            <w:color w:val="0000EE"/>
            <w:u w:val="single"/>
          </w:rPr>
          <w:t>Matthieu 10.9</w:t>
        </w:r>
      </w:hyperlink>
      <w:r>
        <w:t>. La pièce de la veuve était une petite pièce en bronze, le lepton. Les ustensiles et récipients en bronze étaient bien connus (</w:t>
      </w:r>
      <w:hyperlink r:id="rId10134">
        <w:r>
          <w:rPr>
            <w:color w:val="0000EE"/>
            <w:u w:val="single"/>
          </w:rPr>
          <w:t>Ap 9.20</w:t>
        </w:r>
      </w:hyperlink>
      <w:r>
        <w:t xml:space="preserve"> ; </w:t>
      </w:r>
      <w:hyperlink r:id="rId3415">
        <w:r>
          <w:rPr>
            <w:color w:val="0000EE"/>
            <w:u w:val="single"/>
          </w:rPr>
          <w:t>18.12</w:t>
        </w:r>
      </w:hyperlink>
      <w:r>
        <w:t xml:space="preserve">). La référence à l'« </w:t>
      </w:r>
      <w:r>
        <w:t>airain qui résonne</w:t>
      </w:r>
      <w:r>
        <w:t xml:space="preserve"> » dans </w:t>
      </w:r>
      <w:hyperlink r:id="rId10135">
        <w:r>
          <w:rPr>
            <w:color w:val="0000EE"/>
            <w:u w:val="single"/>
          </w:rPr>
          <w:t>1 Corinthiens 13.1</w:t>
        </w:r>
      </w:hyperlink>
      <w:r>
        <w:t xml:space="preserve"> peut en fait être une référence au laiton, qui était un alliage brillant et éclatant qui était utilisé dans les instruments de musique. Dans la vision de Jean dans l'Apocalypse (</w:t>
      </w:r>
      <w:hyperlink r:id="rId5776">
        <w:r>
          <w:rPr>
            <w:color w:val="0000EE"/>
            <w:u w:val="single"/>
          </w:rPr>
          <w:t>Ap 1.15</w:t>
        </w:r>
      </w:hyperlink>
      <w:r>
        <w:t xml:space="preserve"> ; </w:t>
      </w:r>
      <w:hyperlink r:id="rId10136">
        <w:r>
          <w:rPr>
            <w:color w:val="0000EE"/>
            <w:u w:val="single"/>
          </w:rPr>
          <w:t>2.18</w:t>
        </w:r>
      </w:hyperlink>
      <w:r>
        <w:t>), le Fils de l'Homme avait des pieds d'</w:t>
      </w:r>
      <w:r>
        <w:t>airain ardent</w:t>
      </w:r>
      <w:r>
        <w:t xml:space="preserve"> (ou « bronze » dans NFC, NBS ou TOB2010 par ex.).</w:t>
      </w:r>
    </w:p>
    <w:p>
      <w:r/>
      <w:r>
        <w:t>L'âge du fer a commencé en Palestine vers 1 200 av. J.‑C., c'est-à-dire à l'époque des juges, bien que le fer natif ait été connu en Égypte pendant la période prédynastique. Les preuves archéologiques suggèrent que la fonte du minerai de fer a été découverte par les Hittites vers 1 400 av. J.‑C. Les Philistins semblent avoir introduit le fer en Palestine vers 1 300 av. J.‑C. À l'époque de Moïse, une rencontre avec les Madianites a produit un grand tribut, parmi lequel le fer est mentionné (</w:t>
      </w:r>
      <w:hyperlink r:id="rId10137">
        <w:r>
          <w:rPr>
            <w:color w:val="0000EE"/>
            <w:u w:val="single"/>
          </w:rPr>
          <w:t>Nb 31.22</w:t>
        </w:r>
      </w:hyperlink>
      <w:r>
        <w:t>). Lorsqu'Israël a capturé Jéricho, le butin comprenait du fer (</w:t>
      </w:r>
      <w:hyperlink r:id="rId7523">
        <w:r>
          <w:rPr>
            <w:color w:val="0000EE"/>
            <w:u w:val="single"/>
          </w:rPr>
          <w:t>Jos 6.24</w:t>
        </w:r>
      </w:hyperlink>
      <w:r>
        <w:t>). La demi-tribu de Manassé a également pris du butin incluant du fer (</w:t>
      </w:r>
      <w:hyperlink r:id="rId10138">
        <w:r>
          <w:rPr>
            <w:color w:val="0000EE"/>
            <w:u w:val="single"/>
          </w:rPr>
          <w:t>22.8</w:t>
        </w:r>
      </w:hyperlink>
      <w:r>
        <w:t>). À l'époque des Juges, les Cananéens étaient équipés de chars de fer (</w:t>
      </w:r>
      <w:hyperlink r:id="rId10139">
        <w:r>
          <w:rPr>
            <w:color w:val="0000EE"/>
            <w:u w:val="single"/>
          </w:rPr>
          <w:t>Jos 17.16–18</w:t>
        </w:r>
      </w:hyperlink>
      <w:r>
        <w:t xml:space="preserve"> ; </w:t>
      </w:r>
      <w:hyperlink r:id="rId5752">
        <w:r>
          <w:rPr>
            <w:color w:val="0000EE"/>
            <w:u w:val="single"/>
          </w:rPr>
          <w:t>Jg 1.19</w:t>
        </w:r>
      </w:hyperlink>
      <w:r>
        <w:t xml:space="preserve"> ; </w:t>
      </w:r>
      <w:hyperlink r:id="rId7898">
        <w:r>
          <w:rPr>
            <w:color w:val="0000EE"/>
            <w:u w:val="single"/>
          </w:rPr>
          <w:t>4.3</w:t>
        </w:r>
      </w:hyperlink>
      <w:r>
        <w:t>).</w:t>
      </w:r>
    </w:p>
    <w:p>
      <w:r/>
      <w:r>
        <w:t>Ces premières références indiquent l'arrivée du fer au début de l'âge du fer. Les Philistins jouissaient d'un monopole local dans son utilisation (</w:t>
      </w:r>
      <w:hyperlink r:id="rId3600">
        <w:r>
          <w:rPr>
            <w:color w:val="0000EE"/>
            <w:u w:val="single"/>
          </w:rPr>
          <w:t>1S 13.19–21</w:t>
        </w:r>
      </w:hyperlink>
      <w:r>
        <w:t>), et leur puissant guerrier Goliath était armé d'une lance en fer (</w:t>
      </w:r>
      <w:hyperlink r:id="rId10140">
        <w:r>
          <w:rPr>
            <w:color w:val="0000EE"/>
            <w:u w:val="single"/>
          </w:rPr>
          <w:t>17.7</w:t>
        </w:r>
      </w:hyperlink>
      <w:r>
        <w:t>). Cependant, il ne faudra pas longtemps avant qu'Israël n'apprenne à utiliser le fer (</w:t>
      </w:r>
      <w:hyperlink r:id="rId731">
        <w:r>
          <w:rPr>
            <w:color w:val="0000EE"/>
            <w:u w:val="single"/>
          </w:rPr>
          <w:t>2S 12.31</w:t>
        </w:r>
      </w:hyperlink>
      <w:r>
        <w:t xml:space="preserve">; </w:t>
      </w:r>
      <w:hyperlink r:id="rId10141">
        <w:r>
          <w:rPr>
            <w:color w:val="0000EE"/>
            <w:u w:val="single"/>
          </w:rPr>
          <w:t>23.7</w:t>
        </w:r>
      </w:hyperlink>
      <w:r>
        <w:t>). De toute évidence, à l'époque de Salomon, le fer était largement utilisé, car les constructeurs du temple avaient l'interdiction d'utiliser des outils en fer (</w:t>
      </w:r>
      <w:hyperlink r:id="rId10142">
        <w:r>
          <w:rPr>
            <w:color w:val="0000EE"/>
            <w:u w:val="single"/>
          </w:rPr>
          <w:t>1R 6.7</w:t>
        </w:r>
      </w:hyperlink>
      <w:r>
        <w:t>). Le faux prophète Sédécias à l'époque d'Achab utilisait des cornes de fer pour se diriger vers la Syrie alors qu'il parlait de leur défaite (</w:t>
      </w:r>
      <w:hyperlink r:id="rId10143">
        <w:r>
          <w:rPr>
            <w:color w:val="0000EE"/>
            <w:u w:val="single"/>
          </w:rPr>
          <w:t>22.11</w:t>
        </w:r>
      </w:hyperlink>
      <w:r>
        <w:t>).</w:t>
      </w:r>
    </w:p>
    <w:p>
      <w:r/>
      <w:r>
        <w:t>Le prophète Ésaïe, au VIIe siècle av. J.‑C., fera référence au fer (</w:t>
      </w:r>
      <w:hyperlink r:id="rId9054">
        <w:r>
          <w:rPr>
            <w:color w:val="0000EE"/>
            <w:u w:val="single"/>
          </w:rPr>
          <w:t>Es 10.34</w:t>
        </w:r>
      </w:hyperlink>
      <w:r>
        <w:t>), et Jérémie parlera ensuite de ce métal à plusieurs reprises (</w:t>
      </w:r>
      <w:hyperlink r:id="rId10144">
        <w:r>
          <w:rPr>
            <w:color w:val="0000EE"/>
            <w:u w:val="single"/>
          </w:rPr>
          <w:t>Jr 1.18</w:t>
        </w:r>
      </w:hyperlink>
      <w:r>
        <w:t xml:space="preserve">; </w:t>
      </w:r>
      <w:hyperlink r:id="rId10145">
        <w:r>
          <w:rPr>
            <w:color w:val="0000EE"/>
            <w:u w:val="single"/>
          </w:rPr>
          <w:t>6.28</w:t>
        </w:r>
      </w:hyperlink>
      <w:r>
        <w:t xml:space="preserve">; </w:t>
      </w:r>
      <w:hyperlink r:id="rId5770">
        <w:r>
          <w:rPr>
            <w:color w:val="0000EE"/>
            <w:u w:val="single"/>
          </w:rPr>
          <w:t>11.4</w:t>
        </w:r>
      </w:hyperlink>
      <w:r>
        <w:t xml:space="preserve">; </w:t>
      </w:r>
      <w:hyperlink r:id="rId10146">
        <w:r>
          <w:rPr>
            <w:color w:val="0000EE"/>
            <w:u w:val="single"/>
          </w:rPr>
          <w:t>15.12</w:t>
        </w:r>
      </w:hyperlink>
      <w:r>
        <w:t xml:space="preserve">; </w:t>
      </w:r>
      <w:hyperlink r:id="rId10147">
        <w:r>
          <w:rPr>
            <w:color w:val="0000EE"/>
            <w:u w:val="single"/>
          </w:rPr>
          <w:t>17.1</w:t>
        </w:r>
      </w:hyperlink>
      <w:r>
        <w:t xml:space="preserve">; </w:t>
      </w:r>
      <w:hyperlink r:id="rId10148">
        <w:r>
          <w:rPr>
            <w:color w:val="0000EE"/>
            <w:u w:val="single"/>
          </w:rPr>
          <w:t>28.13–14</w:t>
        </w:r>
      </w:hyperlink>
      <w:r>
        <w:t>). Ézéchiel utilise une plaque de fer dans l'une de ses actions symboliques (</w:t>
      </w:r>
      <w:hyperlink r:id="rId10149">
        <w:r>
          <w:rPr>
            <w:color w:val="0000EE"/>
            <w:u w:val="single"/>
          </w:rPr>
          <w:t>Ez 4.3</w:t>
        </w:r>
      </w:hyperlink>
      <w:r>
        <w:t>), mentionne le fer dans sa description de la fonte (</w:t>
      </w:r>
      <w:hyperlink r:id="rId10150">
        <w:r>
          <w:rPr>
            <w:color w:val="0000EE"/>
            <w:u w:val="single"/>
          </w:rPr>
          <w:t>22.18, 20</w:t>
        </w:r>
      </w:hyperlink>
      <w:r>
        <w:t>), et la liste comme une marchandise pour le commerce (</w:t>
      </w:r>
      <w:hyperlink r:id="rId10151">
        <w:r>
          <w:rPr>
            <w:color w:val="0000EE"/>
            <w:u w:val="single"/>
          </w:rPr>
          <w:t>27.12, 19</w:t>
        </w:r>
      </w:hyperlink>
      <w:r>
        <w:t>). Le prophète Amos parle d'instruments de battage en fer (</w:t>
      </w:r>
      <w:hyperlink r:id="rId812">
        <w:r>
          <w:rPr>
            <w:color w:val="0000EE"/>
            <w:u w:val="single"/>
          </w:rPr>
          <w:t>Am 1.3</w:t>
        </w:r>
      </w:hyperlink>
      <w:r>
        <w:t>). Michée utilisera le fer comme symbole de puissance militaire (</w:t>
      </w:r>
      <w:hyperlink r:id="rId10152">
        <w:r>
          <w:rPr>
            <w:color w:val="0000EE"/>
            <w:u w:val="single"/>
          </w:rPr>
          <w:t>Mi 4.13</w:t>
        </w:r>
      </w:hyperlink>
      <w:r>
        <w:t>). Le livre de Daniel y fait plusieurs références (</w:t>
      </w:r>
      <w:hyperlink r:id="rId10153">
        <w:r>
          <w:rPr>
            <w:color w:val="0000EE"/>
            <w:u w:val="single"/>
          </w:rPr>
          <w:t>Dn 2.33–35, 40–45</w:t>
        </w:r>
      </w:hyperlink>
      <w:r>
        <w:t xml:space="preserve">; </w:t>
      </w:r>
      <w:hyperlink r:id="rId10154">
        <w:r>
          <w:rPr>
            <w:color w:val="0000EE"/>
            <w:u w:val="single"/>
          </w:rPr>
          <w:t>4.15, 23</w:t>
        </w:r>
      </w:hyperlink>
      <w:r>
        <w:t xml:space="preserve">; </w:t>
      </w:r>
      <w:hyperlink r:id="rId10155">
        <w:r>
          <w:rPr>
            <w:color w:val="0000EE"/>
            <w:u w:val="single"/>
          </w:rPr>
          <w:t>7.7, 19</w:t>
        </w:r>
      </w:hyperlink>
      <w:r>
        <w:t>).</w:t>
      </w:r>
    </w:p>
    <w:p>
      <w:r/>
      <w:r>
        <w:t>À l'époque romaine, les armes en fer étaient les instruments de guerre habituels. Des portes en fer étaient utilisées pour fermer les prisons (</w:t>
      </w:r>
      <w:hyperlink r:id="rId10156">
        <w:r>
          <w:rPr>
            <w:color w:val="0000EE"/>
            <w:u w:val="single"/>
          </w:rPr>
          <w:t>Ac 12.10</w:t>
        </w:r>
      </w:hyperlink>
      <w:r>
        <w:t>), et dans un usage symbolique, on disait que des dirigeants puissants régnaient avec une verge de fer (</w:t>
      </w:r>
      <w:hyperlink r:id="rId10157">
        <w:r>
          <w:rPr>
            <w:color w:val="0000EE"/>
            <w:u w:val="single"/>
          </w:rPr>
          <w:t>Ap 2.27</w:t>
        </w:r>
      </w:hyperlink>
      <w:r>
        <w:t xml:space="preserve"> ; </w:t>
      </w:r>
      <w:hyperlink r:id="rId10158">
        <w:r>
          <w:rPr>
            <w:color w:val="0000EE"/>
            <w:u w:val="single"/>
          </w:rPr>
          <w:t>9.9</w:t>
        </w:r>
      </w:hyperlink>
      <w:r>
        <w:t xml:space="preserve"> ; </w:t>
      </w:r>
      <w:hyperlink r:id="rId10159">
        <w:r>
          <w:rPr>
            <w:color w:val="0000EE"/>
            <w:u w:val="single"/>
          </w:rPr>
          <w:t>12.5</w:t>
        </w:r>
      </w:hyperlink>
      <w:r>
        <w:t xml:space="preserve"> ; </w:t>
      </w:r>
      <w:hyperlink r:id="rId10160">
        <w:r>
          <w:rPr>
            <w:color w:val="0000EE"/>
            <w:u w:val="single"/>
          </w:rPr>
          <w:t>19.15</w:t>
        </w:r>
      </w:hyperlink>
      <w:r>
        <w:t>). Le terme « fer » était également utilisé dans certaines expressions métaphoriques. La fonte du fer était un symbole de mise à l'épreuve et de souffrance (</w:t>
      </w:r>
      <w:hyperlink r:id="rId5765">
        <w:r>
          <w:rPr>
            <w:color w:val="0000EE"/>
            <w:u w:val="single"/>
          </w:rPr>
          <w:t>Dt 4.20</w:t>
        </w:r>
      </w:hyperlink>
      <w:r>
        <w:t xml:space="preserve"> ; </w:t>
      </w:r>
      <w:hyperlink r:id="rId5766">
        <w:r>
          <w:rPr>
            <w:color w:val="0000EE"/>
            <w:u w:val="single"/>
          </w:rPr>
          <w:t>1R 8.51</w:t>
        </w:r>
      </w:hyperlink>
      <w:r>
        <w:t xml:space="preserve"> ; </w:t>
      </w:r>
      <w:hyperlink r:id="rId5770">
        <w:r>
          <w:rPr>
            <w:color w:val="0000EE"/>
            <w:u w:val="single"/>
          </w:rPr>
          <w:t>Jr 11.4</w:t>
        </w:r>
      </w:hyperlink>
      <w:r>
        <w:t xml:space="preserve"> ; </w:t>
      </w:r>
      <w:hyperlink r:id="rId10161">
        <w:r>
          <w:rPr>
            <w:color w:val="0000EE"/>
            <w:u w:val="single"/>
          </w:rPr>
          <w:t>Ez 22.18</w:t>
        </w:r>
      </w:hyperlink>
      <w:r>
        <w:t>), une colonne de fer était symbole de force (</w:t>
      </w:r>
      <w:hyperlink r:id="rId10144">
        <w:r>
          <w:rPr>
            <w:color w:val="0000EE"/>
            <w:u w:val="single"/>
          </w:rPr>
          <w:t>Jr 1.18</w:t>
        </w:r>
      </w:hyperlink>
      <w:r>
        <w:t>), et une verge de fer symbolisait un règne sévère (</w:t>
      </w:r>
      <w:hyperlink r:id="rId10162">
        <w:r>
          <w:rPr>
            <w:color w:val="0000EE"/>
            <w:u w:val="single"/>
          </w:rPr>
          <w:t>Ps 2.9</w:t>
        </w:r>
      </w:hyperlink>
      <w:r>
        <w:t xml:space="preserve"> ; </w:t>
      </w:r>
      <w:hyperlink r:id="rId10157">
        <w:r>
          <w:rPr>
            <w:color w:val="0000EE"/>
            <w:u w:val="single"/>
          </w:rPr>
          <w:t>Ap 2.27</w:t>
        </w:r>
      </w:hyperlink>
      <w:r>
        <w:t xml:space="preserve"> ; </w:t>
      </w:r>
      <w:hyperlink r:id="rId10159">
        <w:r>
          <w:rPr>
            <w:color w:val="0000EE"/>
            <w:u w:val="single"/>
          </w:rPr>
          <w:t>12.5</w:t>
        </w:r>
      </w:hyperlink>
      <w:r>
        <w:t xml:space="preserve"> ; </w:t>
      </w:r>
      <w:hyperlink r:id="rId10160">
        <w:r>
          <w:rPr>
            <w:color w:val="0000EE"/>
            <w:u w:val="single"/>
          </w:rPr>
          <w:t>19.15</w:t>
        </w:r>
      </w:hyperlink>
      <w:r>
        <w:t>).</w:t>
      </w:r>
    </w:p>
    <w:p>
      <w:r/>
      <w:r>
        <w:rPr>
          <w:i/>
        </w:rPr>
        <w:t>Voir aussi</w:t>
      </w:r>
      <w:r>
        <w:t xml:space="preserve"> </w:t>
      </w:r>
      <w:r>
        <w:t>Couvreur</w:t>
      </w:r>
      <w:r>
        <w:t xml:space="preserve"> ; </w:t>
      </w:r>
      <w:r>
        <w:t>Orfèvre</w:t>
      </w:r>
      <w:r>
        <w:t xml:space="preserve"> ; </w:t>
      </w:r>
      <w:r>
        <w:t>Forgeron</w:t>
      </w:r>
      <w:r>
        <w:t xml:space="preserve"> ; </w:t>
      </w:r>
      <w:r>
        <w:t>Maçon, maçonnerie</w:t>
      </w:r>
      <w:r>
        <w:t xml:space="preserve"> ; </w:t>
      </w:r>
      <w:r>
        <w:t>Argenteur</w:t>
      </w:r>
      <w:r>
        <w:t xml:space="preserve"> ; </w:t>
      </w:r>
      <w:r>
        <w:t>Pierres précieuses</w:t>
      </w:r>
      <w:r>
        <w:t>.</w:t>
      </w:r>
      <w:r/>
      <w:r/>
    </w:p>
    <w:p>
      <w:r/>
    </w:p>
    <w:p>
      <w:pPr>
        <w:pStyle w:val="Heading2"/>
      </w:pPr>
      <w:r>
        <w:t>Mischma</w:t>
      </w:r>
      <w:r/>
    </w:p>
    <w:p>
      <w:r/>
      <w:r>
        <w:t>1. Fils d'Ismaël, petit-fils d'Abraham, et père d'une tribu arabe (</w:t>
      </w:r>
      <w:hyperlink r:id="rId503">
        <w:r>
          <w:rPr>
            <w:color w:val="0000EE"/>
            <w:u w:val="single"/>
          </w:rPr>
          <w:t>Gn 25.14</w:t>
        </w:r>
      </w:hyperlink>
      <w:r>
        <w:t xml:space="preserve"> ; </w:t>
      </w:r>
      <w:hyperlink r:id="rId504">
        <w:r>
          <w:rPr>
            <w:color w:val="0000EE"/>
            <w:u w:val="single"/>
          </w:rPr>
          <w:t>1Ch 1.30</w:t>
        </w:r>
      </w:hyperlink>
      <w:r>
        <w:t>).</w:t>
      </w:r>
    </w:p>
    <w:p>
      <w:r/>
      <w:r>
        <w:t>2. Le fils de Mibsam de la tribu de Siméon (</w:t>
      </w:r>
      <w:hyperlink r:id="rId10163">
        <w:r>
          <w:rPr>
            <w:color w:val="0000EE"/>
            <w:u w:val="single"/>
          </w:rPr>
          <w:t>1Ch 4.25–26</w:t>
        </w:r>
      </w:hyperlink>
      <w:r>
        <w:t xml:space="preserve">). Son omission dans </w:t>
      </w:r>
      <w:hyperlink r:id="rId6016">
        <w:r>
          <w:rPr>
            <w:color w:val="0000EE"/>
            <w:u w:val="single"/>
          </w:rPr>
          <w:t>Genèse 25</w:t>
        </w:r>
      </w:hyperlink>
      <w:r>
        <w:t xml:space="preserve"> et son inclusion dans la généalogie de 1 Chroniques pourraient indiquer soit qu'il est né après que Jacob ait déplacé sa famille en Égypte, ou encore qu'il représentait une tribu arabe qui s'est affiliée à Siméon lorsque la tribu de ce dernier s'est étendue vers le sud (</w:t>
      </w:r>
      <w:hyperlink r:id="rId10164">
        <w:r>
          <w:rPr>
            <w:color w:val="0000EE"/>
            <w:u w:val="single"/>
          </w:rPr>
          <w:t>1Ch 4.38–43</w:t>
        </w:r>
      </w:hyperlink>
      <w:r>
        <w:t>).</w:t>
      </w:r>
      <w:r/>
      <w:r/>
    </w:p>
    <w:p>
      <w:r/>
    </w:p>
    <w:p>
      <w:pPr>
        <w:pStyle w:val="Heading2"/>
      </w:pPr>
      <w:r>
        <w:t>Mitspa</w:t>
      </w:r>
      <w:r/>
    </w:p>
    <w:p>
      <w:r/>
      <w:r>
        <w:t>Nom hébreu signifiant « tour de guet » (également orthographié « Mitspé »). Mitspa désigne au moins six lieux différents mentionnés dans l'Ancien Testament et les Apocryphes (un ensemble de textes anciens non inclus dans la Bible hébraïque mais acceptés par certains groupes chrétiens).</w:t>
      </w:r>
    </w:p>
    <w:p>
      <w:pPr>
        <w:pStyle w:val="ListNumber"/>
        <w:spacing w:line="240" w:lineRule="auto"/>
        <w:ind w:left="720"/>
      </w:pPr>
      <w:r/>
      <w:r>
        <w:t>Un lieu en Galaad où Jacob et Laban ont conclu une alliance (</w:t>
      </w:r>
      <w:hyperlink r:id="rId10165">
        <w:r>
          <w:rPr>
            <w:color w:val="0000EE"/>
            <w:u w:val="single"/>
          </w:rPr>
          <w:t>Gn 31.49</w:t>
        </w:r>
      </w:hyperlink>
      <w:r>
        <w:t>). Ils érigeront un tas de pierres pour marquer les frontières entre leurs territoires.</w:t>
      </w:r>
    </w:p>
    <w:p>
      <w:pPr>
        <w:pStyle w:val="ListNumber"/>
        <w:spacing w:line="240" w:lineRule="auto"/>
        <w:ind w:left="720"/>
      </w:pPr>
      <w:r/>
      <w:r>
        <w:t>Un lieu appelé « le pays de Mitspa » (</w:t>
      </w:r>
      <w:hyperlink r:id="rId6448">
        <w:r>
          <w:rPr>
            <w:color w:val="0000EE"/>
            <w:u w:val="single"/>
          </w:rPr>
          <w:t>Jos 11.3</w:t>
        </w:r>
      </w:hyperlink>
      <w:r>
        <w:t>) ou la « vallée de Mitspa » (</w:t>
      </w:r>
      <w:hyperlink r:id="rId7452">
        <w:r>
          <w:rPr>
            <w:color w:val="0000EE"/>
            <w:u w:val="single"/>
          </w:rPr>
          <w:t>Jos 11.8</w:t>
        </w:r>
      </w:hyperlink>
      <w:r>
        <w:t>), situé près du mont Hermon. Les Héviens l'habitaient.</w:t>
      </w:r>
    </w:p>
    <w:p>
      <w:pPr>
        <w:pStyle w:val="ListNumber"/>
        <w:spacing w:line="240" w:lineRule="auto"/>
        <w:ind w:left="720"/>
      </w:pPr>
      <w:r/>
      <w:r>
        <w:t xml:space="preserve">Une ville en Juda près de Lakis mentionnée dans </w:t>
      </w:r>
      <w:hyperlink r:id="rId10166">
        <w:r>
          <w:rPr>
            <w:color w:val="0000EE"/>
            <w:u w:val="single"/>
          </w:rPr>
          <w:t>Josué 15.38</w:t>
        </w:r>
      </w:hyperlink>
      <w:r>
        <w:t>.</w:t>
      </w:r>
    </w:p>
    <w:p>
      <w:pPr>
        <w:pStyle w:val="ListNumber"/>
        <w:spacing w:line="240" w:lineRule="auto"/>
        <w:ind w:left="720"/>
      </w:pPr>
      <w:r/>
      <w:r>
        <w:t>Un lieu dans la région tribale de Benjamin (</w:t>
      </w:r>
      <w:hyperlink r:id="rId10167">
        <w:r>
          <w:rPr>
            <w:color w:val="0000EE"/>
            <w:u w:val="single"/>
          </w:rPr>
          <w:t>Jos 18.26</w:t>
        </w:r>
      </w:hyperlink>
      <w:r>
        <w:t>). Les Israélites s'y rassembleront pour faire la guerre contre la tribu de Benjamin (</w:t>
      </w:r>
      <w:hyperlink r:id="rId5857">
        <w:r>
          <w:rPr>
            <w:color w:val="0000EE"/>
            <w:u w:val="single"/>
          </w:rPr>
          <w:t>Jg 20.1</w:t>
        </w:r>
      </w:hyperlink>
      <w:r>
        <w:t xml:space="preserve"> ; </w:t>
      </w:r>
      <w:hyperlink r:id="rId10168">
        <w:r>
          <w:rPr>
            <w:color w:val="0000EE"/>
            <w:u w:val="single"/>
          </w:rPr>
          <w:t>21.1</w:t>
        </w:r>
      </w:hyperlink>
      <w:r>
        <w:t>). Cela se produira après que les hommes de Guibea aient abusé et tué la concubine d'un Lévite en visite. C'est ici que Samuel appellera tout Israël à prier pour la victoire sur les Philistins (</w:t>
      </w:r>
      <w:hyperlink r:id="rId10169">
        <w:r>
          <w:rPr>
            <w:color w:val="0000EE"/>
            <w:u w:val="single"/>
          </w:rPr>
          <w:t>1S 7.5–8</w:t>
        </w:r>
      </w:hyperlink>
      <w:r>
        <w:t>). Plus tard, Samuel convoquera une assemblée à Mitspa pour déclarer Saül comme roi devant le peuple. Il y a également instruit le peuple et le roi concernant les voies du royaume (</w:t>
      </w:r>
      <w:hyperlink r:id="rId10170">
        <w:r>
          <w:rPr>
            <w:color w:val="0000EE"/>
            <w:u w:val="single"/>
          </w:rPr>
          <w:t>10.17–25</w:t>
        </w:r>
      </w:hyperlink>
      <w:r>
        <w:t>).</w:t>
      </w:r>
    </w:p>
    <w:p>
      <w:r/>
      <w:r>
        <w:t>À l'époque du roi Asa, Mitspa était une ville fortifiée à la frontière entre Israël et Juda (</w:t>
      </w:r>
      <w:hyperlink r:id="rId10171">
        <w:r>
          <w:rPr>
            <w:color w:val="0000EE"/>
            <w:u w:val="single"/>
          </w:rPr>
          <w:t>1R 15.22</w:t>
        </w:r>
      </w:hyperlink>
      <w:r>
        <w:t>). Après la destruction de Jérusalem en 586 av. J.‑C., Mitspa devient la résidence de Guedalia, le gouverneur (</w:t>
      </w:r>
      <w:hyperlink r:id="rId10172">
        <w:r>
          <w:rPr>
            <w:color w:val="0000EE"/>
            <w:u w:val="single"/>
          </w:rPr>
          <w:t>2R 25.23–24</w:t>
        </w:r>
      </w:hyperlink>
      <w:r>
        <w:t xml:space="preserve"> ; </w:t>
      </w:r>
      <w:hyperlink r:id="rId10173">
        <w:r>
          <w:rPr>
            <w:color w:val="0000EE"/>
            <w:u w:val="single"/>
          </w:rPr>
          <w:t>Jr 40.10</w:t>
        </w:r>
      </w:hyperlink>
      <w:r>
        <w:t>). Ismaël de la « lignée royale » y tuera Guedalia (</w:t>
      </w:r>
      <w:hyperlink r:id="rId10174">
        <w:r>
          <w:rPr>
            <w:color w:val="0000EE"/>
            <w:u w:val="single"/>
          </w:rPr>
          <w:t>Jr 41.3</w:t>
        </w:r>
      </w:hyperlink>
      <w:r>
        <w:t>). Deux jours plus tard, Ismaël assassinera un groupe de voyageurs qui se rendaient à Jérusalem. Ces personnes apportaient leurs offrandes au temple en ruines. Il jettera leurs corps dans une citerne qu'Asa avait construite des siècles plus tôt.</w:t>
      </w:r>
    </w:p>
    <w:p>
      <w:r/>
      <w:r>
        <w:t>Dans la période entre l'Ancien et le Nouveau Testaments, Mitspa continuera d'être un centre religieux important. Judas Maccabée rassemblera le peuple à Mitspa, « parce qu'Israël avait autrefois un lieu de prière à Mitspa » (</w:t>
      </w:r>
      <w:hyperlink r:id="rId10175">
        <w:r>
          <w:rPr>
            <w:color w:val="0000EE"/>
            <w:u w:val="single"/>
          </w:rPr>
          <w:t>1</w:t>
        </w:r>
      </w:hyperlink>
      <w:r>
        <w:t xml:space="preserve"> </w:t>
      </w:r>
      <w:hyperlink r:id="rId10175">
        <w:r>
          <w:rPr>
            <w:color w:val="0000EE"/>
            <w:u w:val="single"/>
          </w:rPr>
          <w:t>M 3.46</w:t>
        </w:r>
      </w:hyperlink>
      <w:r>
        <w:t>).</w:t>
      </w:r>
    </w:p>
    <w:p>
      <w:pPr>
        <w:pStyle w:val="ListNumber"/>
        <w:spacing w:line="240" w:lineRule="auto"/>
        <w:ind w:left="720"/>
      </w:pPr>
      <w:r/>
      <w:r>
        <w:t>La maison de Jephté. Il conduira les Israélites en bataille contre les Ammonites depuis Mitspé. Il y reviendra pour accomplir son vœu (</w:t>
      </w:r>
      <w:hyperlink r:id="rId5867">
        <w:r>
          <w:rPr>
            <w:color w:val="0000EE"/>
            <w:u w:val="single"/>
          </w:rPr>
          <w:t>Jg 10–11</w:t>
        </w:r>
      </w:hyperlink>
      <w:r>
        <w:t xml:space="preserve">). Il est possible qu'il s'agisse du même endroit que le </w:t>
      </w:r>
      <w:r>
        <w:t>Ramath-Mitspé</w:t>
      </w:r>
      <w:r>
        <w:t xml:space="preserve"> de </w:t>
      </w:r>
      <w:hyperlink r:id="rId10176">
        <w:r>
          <w:rPr>
            <w:color w:val="0000EE"/>
            <w:u w:val="single"/>
          </w:rPr>
          <w:t>Josué 13.26</w:t>
        </w:r>
      </w:hyperlink>
      <w:r>
        <w:t>. Beaucoup l'identifient avec Khirbat Jal’ad, au sud du Jabbok.</w:t>
      </w:r>
    </w:p>
    <w:p>
      <w:pPr>
        <w:pStyle w:val="ListNumber"/>
        <w:spacing w:line="240" w:lineRule="auto"/>
        <w:ind w:left="720"/>
      </w:pPr>
      <w:r/>
      <w:r>
        <w:t>Une ville de Moab vers laquelle David fuira devant Saül (</w:t>
      </w:r>
      <w:hyperlink r:id="rId10177">
        <w:r>
          <w:rPr>
            <w:color w:val="0000EE"/>
            <w:u w:val="single"/>
          </w:rPr>
          <w:t>1S 22.3</w:t>
        </w:r>
      </w:hyperlink>
      <w:r>
        <w:t>).</w:t>
      </w:r>
      <w:r/>
      <w:r/>
    </w:p>
    <w:p>
      <w:r/>
    </w:p>
    <w:p>
      <w:pPr>
        <w:pStyle w:val="Heading2"/>
      </w:pPr>
      <w:r>
        <w:t>Mitsraïm</w:t>
      </w:r>
      <w:r/>
    </w:p>
    <w:p>
      <w:r/>
      <w:r>
        <w:t xml:space="preserve">Mot hébreu désignant le pays d'Égypte et/ou son peuple. Cependant, certains chercheurs suggèrent que </w:t>
      </w:r>
      <w:r>
        <w:t>Mitsraïm</w:t>
      </w:r>
      <w:r>
        <w:t xml:space="preserve"> se réfère à un site soit à la frontière édomite, soit dans le nord de la Syrie.</w:t>
      </w:r>
    </w:p>
    <w:p>
      <w:r/>
      <w:hyperlink r:id="rId2367">
        <w:r>
          <w:rPr>
            <w:color w:val="0000EE"/>
            <w:u w:val="single"/>
          </w:rPr>
          <w:t>Genèse 10.6</w:t>
        </w:r>
      </w:hyperlink>
      <w:r>
        <w:t xml:space="preserve"> identifie </w:t>
      </w:r>
      <w:r>
        <w:t>Mitsraïm</w:t>
      </w:r>
      <w:r>
        <w:t xml:space="preserve"> (Égypte) comme l'un des fils de Cham qui s'est installé au sud de Canaan. </w:t>
      </w:r>
      <w:hyperlink r:id="rId2179">
        <w:r>
          <w:rPr>
            <w:color w:val="0000EE"/>
            <w:u w:val="single"/>
          </w:rPr>
          <w:t>Genèse 10.14</w:t>
        </w:r>
      </w:hyperlink>
      <w:r>
        <w:t xml:space="preserve"> et </w:t>
      </w:r>
      <w:hyperlink r:id="rId4598">
        <w:r>
          <w:rPr>
            <w:color w:val="0000EE"/>
            <w:u w:val="single"/>
          </w:rPr>
          <w:t>Ésaïe 11.11</w:t>
        </w:r>
      </w:hyperlink>
      <w:r>
        <w:t xml:space="preserve"> distinguent </w:t>
      </w:r>
      <w:r>
        <w:t>Mitsraïm</w:t>
      </w:r>
      <w:r>
        <w:t xml:space="preserve"> de Pathrushim (Haute-Égypte). La Haute-Égypte est la moitié sud du Royaume unifié d'Égypte. Il y a presque sept cents références connues à </w:t>
      </w:r>
      <w:r>
        <w:t>Mitsraïm</w:t>
      </w:r>
      <w:r>
        <w:t>. Cependant, dans la majorité des références, il n'y a pas de distinction entre les deux parties du royaume. Le terme se réfère au territoire égyptien.</w:t>
      </w:r>
    </w:p>
    <w:p>
      <w:r/>
      <w:r>
        <w:rPr>
          <w:i/>
        </w:rPr>
        <w:t>Voir aussi</w:t>
      </w:r>
      <w:r>
        <w:t xml:space="preserve"> </w:t>
      </w:r>
      <w:r>
        <w:t>Égypte, Égyptien</w:t>
      </w:r>
      <w:r>
        <w:t>.</w:t>
      </w:r>
      <w:r/>
      <w:r/>
    </w:p>
    <w:p>
      <w:r/>
    </w:p>
    <w:p>
      <w:pPr>
        <w:pStyle w:val="Heading2"/>
      </w:pPr>
      <w:r>
        <w:t>Mizza</w:t>
      </w:r>
      <w:r/>
    </w:p>
    <w:p>
      <w:r/>
      <w:r>
        <w:t>Fils de Réuel et chef d'un clan édomite (</w:t>
      </w:r>
      <w:hyperlink r:id="rId10178">
        <w:r>
          <w:rPr>
            <w:color w:val="0000EE"/>
            <w:u w:val="single"/>
          </w:rPr>
          <w:t>Gn 36.13, 17</w:t>
        </w:r>
      </w:hyperlink>
      <w:r>
        <w:t xml:space="preserve"> ; </w:t>
      </w:r>
      <w:hyperlink r:id="rId10179">
        <w:r>
          <w:rPr>
            <w:color w:val="0000EE"/>
            <w:u w:val="single"/>
          </w:rPr>
          <w:t>1Ch 1.37</w:t>
        </w:r>
      </w:hyperlink>
      <w:r>
        <w:t>).</w:t>
      </w:r>
      <w:r/>
      <w:r/>
    </w:p>
    <w:p>
      <w:r/>
    </w:p>
    <w:p>
      <w:pPr>
        <w:pStyle w:val="Heading2"/>
      </w:pPr>
      <w:r>
        <w:t>Mnason</w:t>
      </w:r>
      <w:r/>
    </w:p>
    <w:p>
      <w:r/>
      <w:r>
        <w:t>Homme chrétien qui vivait à Jérusalem (</w:t>
      </w:r>
      <w:hyperlink r:id="rId10180">
        <w:r>
          <w:rPr>
            <w:color w:val="0000EE"/>
            <w:u w:val="single"/>
          </w:rPr>
          <w:t>Ac 21.16</w:t>
        </w:r>
      </w:hyperlink>
      <w:r>
        <w:t>). Il est né sur l'île de Chypre et était un disciple de Jésus depuis de nombreuses années. Lorsque Paul et les personnes qui voyageaient avec lui sont arrivés à Jérusalem, Mnason les a accueillis pour qu'ils puissent séjourner chez lui.</w:t>
      </w:r>
      <w:r/>
      <w:r/>
    </w:p>
    <w:p>
      <w:r/>
    </w:p>
    <w:p>
      <w:pPr>
        <w:pStyle w:val="Heading2"/>
      </w:pPr>
      <w:r>
        <w:t>Moab, Moabites</w:t>
      </w:r>
      <w:r/>
    </w:p>
    <w:p>
      <w:r/>
      <w:r>
        <w:t>Moab était un petit royaume situé au centre de la Transjordanie (à l'est du Jourdain). Les habitants de Moab s'appellaient les Moabites. La terre de Moab se trouvait sur un haut plateau. La falaise abrupte de la vallée du Jourdain formait une frontière naturelle entre Moab et Juda à l'ouest.</w:t>
      </w:r>
    </w:p>
    <w:p>
      <w:r/>
      <w:r>
        <w:t>La frontière nord de Moab variait en fonction de la puissance du royaume à différentes époques. Lorsque Moab était puissant, son territoire s'étendait au nord jusqu'à la région autour de Hesbon. Lorsque Moab était affaibli, c'est la rivière Arnon (actuel Wadi el-Mojib) qui servait de frontière nord.</w:t>
      </w:r>
    </w:p>
    <w:p>
      <w:r/>
      <w:r>
        <w:t>La frontière orientale du royaume était délimitée par le bord du désert syrien. Cela s'expliquait par le fait que cette frontière démarquait la limite des terres cultivables. Au sud, la rivière Zéred (actuel Wadi el-Hesa) séparait Moab du royaume voisin d'Édom.</w:t>
      </w:r>
    </w:p>
    <w:p>
      <w:r/>
      <w:r>
        <w:t>Même à sa taille maximale, l'ancien pays de Moab était un territoire relativement petit. Il mesurait seulement environ 100 km du nord au sud et environ 32 km d'est en ouest.</w:t>
      </w:r>
    </w:p>
    <w:p>
      <w:pPr>
        <w:pStyle w:val="Heading3"/>
      </w:pPr>
      <w:r>
        <w:t>Caractéristiques géographiques de Moab</w:t>
      </w:r>
    </w:p>
    <w:p>
      <w:r/>
      <w:r>
        <w:t>Moab était principalement un plateau doux et onduleux divisé par de nombreux ravins. La Route du Roi, une ancienne voie importante, traversait le centre de Moab. Cet itinéraire était sans doute important pour les mouvements militaires et le commerce tout au long de l'histoire de la région (</w:t>
      </w:r>
      <w:hyperlink r:id="rId7468">
        <w:r>
          <w:rPr>
            <w:color w:val="0000EE"/>
            <w:u w:val="single"/>
          </w:rPr>
          <w:t>Nb 21.21–22</w:t>
        </w:r>
      </w:hyperlink>
      <w:r>
        <w:t xml:space="preserve"> ; </w:t>
      </w:r>
      <w:hyperlink r:id="rId10181">
        <w:r>
          <w:rPr>
            <w:color w:val="0000EE"/>
            <w:u w:val="single"/>
          </w:rPr>
          <w:t>Jg 11.17</w:t>
        </w:r>
      </w:hyperlink>
      <w:r>
        <w:t>).</w:t>
      </w:r>
    </w:p>
    <w:p>
      <w:r/>
      <w:r>
        <w:t>Le haut plateau de Moab a toujours été connu pour ses excellents pâturages pour les animaux (</w:t>
      </w:r>
      <w:hyperlink r:id="rId1277">
        <w:r>
          <w:rPr>
            <w:color w:val="0000EE"/>
            <w:u w:val="single"/>
          </w:rPr>
          <w:t>2R 3.4</w:t>
        </w:r>
      </w:hyperlink>
      <w:r>
        <w:t>). Le sol et le climat à Moab sont également très propices à la culture de céréales comme le blé et l'orge.</w:t>
      </w:r>
    </w:p>
    <w:p>
      <w:pPr>
        <w:pStyle w:val="Heading3"/>
      </w:pPr>
      <w:r>
        <w:t>Origines de Moab</w:t>
      </w:r>
    </w:p>
    <w:p>
      <w:r/>
      <w:r>
        <w:t xml:space="preserve">Selon </w:t>
      </w:r>
      <w:hyperlink r:id="rId10182">
        <w:r>
          <w:rPr>
            <w:color w:val="0000EE"/>
            <w:u w:val="single"/>
          </w:rPr>
          <w:t>Genèse 19.37</w:t>
        </w:r>
      </w:hyperlink>
      <w:r>
        <w:t xml:space="preserve">, les Moabites descendaient de Moab. Moab était le fils de Lot et de sa fille aînée. </w:t>
      </w:r>
      <w:hyperlink r:id="rId4653">
        <w:r>
          <w:rPr>
            <w:color w:val="0000EE"/>
            <w:u w:val="single"/>
          </w:rPr>
          <w:t>Deutéronome 2.10–11</w:t>
        </w:r>
      </w:hyperlink>
      <w:r>
        <w:t xml:space="preserve"> nous dit qu'avant que les Moabites ne vivent dans cette région, c'est un peuple appelé les Emim qui y habitait. Cette information se rapporte à l'époque où le peuple hébreu se préparait à entrer dans le pays. La Bible n'explique cependant pas les liens entre les descendants de Lot, les Emim et les personnes vivant à Moab au moment de l'invasion hébraïque.</w:t>
      </w:r>
    </w:p>
    <w:p>
      <w:r/>
      <w:r>
        <w:t>Jusqu'à présent, les historiens n'ont pas trouvé d'informations spécifiques sur la genèse du royaume moabite. Le royaume a existé d'environ 1 300 av. J.‑C. à 600 av. J.‑C. Ce que nous savons de l'histoire et de la culture moabites pendant cette période provient de découvertes archéologiques et de textes anciens, y compris des écrits d'Égypte, d'Assyrie et de l'Ancien Testament.</w:t>
      </w:r>
    </w:p>
    <w:p>
      <w:pPr>
        <w:pStyle w:val="Heading3"/>
      </w:pPr>
      <w:r>
        <w:t>Relations initiales avec Israël</w:t>
      </w:r>
    </w:p>
    <w:p>
      <w:r/>
      <w:r>
        <w:t>Avant que les Israélites ne traversent le pays à l'est du Jourdain, les Moabites avaient perdu le contrôle de leur territoire au nord de la rivière Arnon. Cette région était gouvernée par Sihon, un roi amoréen qui régnait depuis Hesbon (</w:t>
      </w:r>
      <w:hyperlink r:id="rId10183">
        <w:r>
          <w:rPr>
            <w:color w:val="0000EE"/>
            <w:u w:val="single"/>
          </w:rPr>
          <w:t>Nb 21.13, 26</w:t>
        </w:r>
      </w:hyperlink>
      <w:r>
        <w:t>).</w:t>
      </w:r>
    </w:p>
    <w:p>
      <w:r/>
      <w:r>
        <w:t>Les Israélites demanderont la permission de traverser Édom et Moab le long de la Route Royale, mais ils se verront refuser le passage. Ils combattront ensuite contre Sihon et remporteront l'une de leurs batailles les plus célèbres. Le roi Balak de Moab avait peur qu'Israël conquiert son pays. Il ira en guerre contre les Israélites (</w:t>
      </w:r>
      <w:hyperlink r:id="rId10184">
        <w:r>
          <w:rPr>
            <w:color w:val="0000EE"/>
            <w:u w:val="single"/>
          </w:rPr>
          <w:t>Nb 22.6</w:t>
        </w:r>
      </w:hyperlink>
      <w:r>
        <w:t xml:space="preserve"> ; </w:t>
      </w:r>
      <w:hyperlink r:id="rId10185">
        <w:r>
          <w:rPr>
            <w:color w:val="0000EE"/>
            <w:u w:val="single"/>
          </w:rPr>
          <w:t>Jos 24.9</w:t>
        </w:r>
      </w:hyperlink>
      <w:r>
        <w:t>), engageant le devin mésopotamien Balaam pour prononcer une malédiction sur ses ennemis (</w:t>
      </w:r>
      <w:hyperlink r:id="rId711">
        <w:r>
          <w:rPr>
            <w:color w:val="0000EE"/>
            <w:u w:val="single"/>
          </w:rPr>
          <w:t>Nb 22–24</w:t>
        </w:r>
      </w:hyperlink>
      <w:r>
        <w:t>).</w:t>
      </w:r>
    </w:p>
    <w:p>
      <w:r/>
      <w:r>
        <w:t xml:space="preserve">Les tribus de Ruben et de Gad s'installeront sur le territoire de Sihon. Le fleuve Arnon formait la frontière entre Israël et Moab (chap. </w:t>
      </w:r>
      <w:hyperlink r:id="rId714">
        <w:r>
          <w:rPr>
            <w:color w:val="0000EE"/>
            <w:u w:val="single"/>
          </w:rPr>
          <w:t>32</w:t>
        </w:r>
      </w:hyperlink>
      <w:r>
        <w:t xml:space="preserve">). La terre au nord du fleuve Arnon était autrefois contrôlée par Moab. Cette région deviendra une source de conflit après que les Israélites la prennent au roi Sihon. Plus tard, ce territoire sera impliqué dans des pratiques d'idolâtrie dans un lieu appelé Sittim (chap. </w:t>
      </w:r>
      <w:hyperlink r:id="rId1593">
        <w:r>
          <w:rPr>
            <w:color w:val="0000EE"/>
            <w:u w:val="single"/>
          </w:rPr>
          <w:t>25</w:t>
        </w:r>
      </w:hyperlink>
      <w:r>
        <w:t>).</w:t>
      </w:r>
    </w:p>
    <w:p>
      <w:pPr>
        <w:pStyle w:val="Heading3"/>
      </w:pPr>
      <w:r>
        <w:t>Période des Juges et de Ruth</w:t>
      </w:r>
    </w:p>
    <w:p>
      <w:r/>
      <w:r>
        <w:t>Pendant un certain temps, Églon, le roi de Moab, règnera sur les tribus hébraïques des deux côtés du Jourdain jusqu'à ce qu'il soit tué par Éhud (</w:t>
      </w:r>
      <w:hyperlink r:id="rId7893">
        <w:r>
          <w:rPr>
            <w:color w:val="0000EE"/>
            <w:u w:val="single"/>
          </w:rPr>
          <w:t>Jg 3.12–30</w:t>
        </w:r>
      </w:hyperlink>
      <w:r>
        <w:t>). À l'époque de Jephté, les Israélites reprennent le contrôle du nord de Moab (</w:t>
      </w:r>
      <w:hyperlink r:id="rId2552">
        <w:r>
          <w:rPr>
            <w:color w:val="0000EE"/>
            <w:u w:val="single"/>
          </w:rPr>
          <w:t>11.26</w:t>
        </w:r>
      </w:hyperlink>
      <w:r>
        <w:t>). Le livre de Ruth montre qu'il y a également eu des périodes où Moab et Israël vivaient paisiblement côte à côte.</w:t>
      </w:r>
    </w:p>
    <w:p>
      <w:pPr>
        <w:pStyle w:val="Heading3"/>
      </w:pPr>
      <w:r>
        <w:t>Période du Royaume jusqu'à la Conquête babylonienne</w:t>
      </w:r>
    </w:p>
    <w:p>
      <w:r/>
      <w:r>
        <w:t>Pendant les règnes de Saül et de David, de la fin du 9e siècle jusqu'au milieu du 10e siècle av. J.‑C., Moab et Israël étaient en guerre. Israël avait généralement la main haute dans ces conflits (</w:t>
      </w:r>
      <w:hyperlink r:id="rId3545">
        <w:r>
          <w:rPr>
            <w:color w:val="0000EE"/>
            <w:u w:val="single"/>
          </w:rPr>
          <w:t>1S 14.47</w:t>
        </w:r>
      </w:hyperlink>
      <w:r>
        <w:t xml:space="preserve"> ; </w:t>
      </w:r>
      <w:hyperlink r:id="rId10186">
        <w:r>
          <w:rPr>
            <w:color w:val="0000EE"/>
            <w:u w:val="single"/>
          </w:rPr>
          <w:t>2S 8.2</w:t>
        </w:r>
      </w:hyperlink>
      <w:r>
        <w:t>). Le roi Salomon avait des femmes moabites dans son harem. Il a également construit un haut lieu (un lieu de culte) pour Kemosch, la principale divinité des Moabites (</w:t>
      </w:r>
      <w:hyperlink r:id="rId10187">
        <w:r>
          <w:rPr>
            <w:color w:val="0000EE"/>
            <w:u w:val="single"/>
          </w:rPr>
          <w:t>1R 11.1, 7</w:t>
        </w:r>
      </w:hyperlink>
      <w:r>
        <w:t>).</w:t>
      </w:r>
    </w:p>
    <w:p>
      <w:r/>
      <w:r>
        <w:t>Après la scission du royaume d'Israël en 930 av. J.‑C., Moab connaîtra une brève période d'indépendance. Celle-ci prendra fin lorsque les rois israélites Omri et Achab prennent le contrôle de Moab et de son roi, Méscha, au cours du 9e siècle av. J.‑C. La célèbre Stèle de Méscha décrit le conflit entre Méscha et la dynastie d'Omri. Cette stèle et d'autres textes plus courts montrent que la langue moabite était très similaire à l'hébreu de l'Ancien Testament.</w:t>
      </w:r>
    </w:p>
    <w:p>
      <w:r/>
      <w:r>
        <w:t>Moab continuera à avoir une relation conflictuelle avec ses voisins (Israël, Juda, Édom, et surtout, l'Assyrie). Les combats perdureront jusqu'à ce que le roi babylonien Nebucadnetsar détruise le royaume moabite au début du 6e siècle av. J.‑C. (</w:t>
      </w:r>
      <w:hyperlink r:id="rId10188">
        <w:r>
          <w:rPr>
            <w:color w:val="0000EE"/>
            <w:u w:val="single"/>
          </w:rPr>
          <w:t>Ez 25.8–11</w:t>
        </w:r>
      </w:hyperlink>
      <w:r>
        <w:t>). Ces conflits sont consignés dans les écrits assyriens, qui nous indiquent que Moab est devenu un État vassal de l'Assyrie à la fin du 8e siècle av. J.‑C. Les conflits sont également mentionnés dans l'Ancien Testament (</w:t>
      </w:r>
      <w:hyperlink r:id="rId10189">
        <w:r>
          <w:rPr>
            <w:color w:val="0000EE"/>
            <w:u w:val="single"/>
          </w:rPr>
          <w:t>2R 3</w:t>
        </w:r>
      </w:hyperlink>
      <w:r>
        <w:t xml:space="preserve"> ; </w:t>
      </w:r>
      <w:hyperlink r:id="rId809">
        <w:r>
          <w:rPr>
            <w:color w:val="0000EE"/>
            <w:u w:val="single"/>
          </w:rPr>
          <w:t>10.32–33</w:t>
        </w:r>
      </w:hyperlink>
      <w:r>
        <w:t xml:space="preserve"> ; </w:t>
      </w:r>
      <w:hyperlink r:id="rId10190">
        <w:r>
          <w:rPr>
            <w:color w:val="0000EE"/>
            <w:u w:val="single"/>
          </w:rPr>
          <w:t>13.20</w:t>
        </w:r>
      </w:hyperlink>
      <w:r>
        <w:t xml:space="preserve"> ; </w:t>
      </w:r>
      <w:hyperlink r:id="rId10191">
        <w:r>
          <w:rPr>
            <w:color w:val="0000EE"/>
            <w:u w:val="single"/>
          </w:rPr>
          <w:t>24.2</w:t>
        </w:r>
      </w:hyperlink>
      <w:r>
        <w:t>).</w:t>
      </w:r>
    </w:p>
    <w:p>
      <w:r/>
      <w:r>
        <w:t>La haine entre Moab, Israël et Juda est particulièrement claire dans plusieurs prophéties contre les Moabites (</w:t>
      </w:r>
      <w:hyperlink r:id="rId10192">
        <w:r>
          <w:rPr>
            <w:color w:val="0000EE"/>
            <w:u w:val="single"/>
          </w:rPr>
          <w:t>Es 15–16</w:t>
        </w:r>
      </w:hyperlink>
      <w:r>
        <w:t xml:space="preserve"> ; </w:t>
      </w:r>
      <w:hyperlink r:id="rId8495">
        <w:r>
          <w:rPr>
            <w:color w:val="0000EE"/>
            <w:u w:val="single"/>
          </w:rPr>
          <w:t>Jr 9.25–26</w:t>
        </w:r>
      </w:hyperlink>
      <w:r>
        <w:t xml:space="preserve"> ; </w:t>
      </w:r>
      <w:hyperlink r:id="rId10193">
        <w:r>
          <w:rPr>
            <w:color w:val="0000EE"/>
            <w:u w:val="single"/>
          </w:rPr>
          <w:t>48</w:t>
        </w:r>
      </w:hyperlink>
      <w:r>
        <w:t xml:space="preserve"> ; </w:t>
      </w:r>
      <w:hyperlink r:id="rId820">
        <w:r>
          <w:rPr>
            <w:color w:val="0000EE"/>
            <w:u w:val="single"/>
          </w:rPr>
          <w:t>Am 2.1–3</w:t>
        </w:r>
      </w:hyperlink>
      <w:r>
        <w:t xml:space="preserve"> ; </w:t>
      </w:r>
      <w:hyperlink r:id="rId10194">
        <w:r>
          <w:rPr>
            <w:color w:val="0000EE"/>
            <w:u w:val="single"/>
          </w:rPr>
          <w:t>So 2.8–11</w:t>
        </w:r>
      </w:hyperlink>
      <w:r>
        <w:t>). Ces passages mentionnent certaines des principales villes du Moab antique (Nebo, Médeba, Hesbon, Dibon, Ar, Kir et Choronaïm).</w:t>
      </w:r>
    </w:p>
    <w:p>
      <w:pPr>
        <w:pStyle w:val="Heading3"/>
      </w:pPr>
      <w:r>
        <w:t>Histoire ultérieure de Moab</w:t>
      </w:r>
    </w:p>
    <w:p>
      <w:r/>
      <w:r>
        <w:t>Après la conquête babylonienne, les Perses prendront le contrôle de la région de Moab. Divers peuples arabes s'installeront dans la région, notamment les Nabatéens. Bien que le royaume moabite ne sera jamais rétabli, les personnes d'ascendance moabite étaient encore reconnues à l'époque de l'Ancien Testament (</w:t>
      </w:r>
      <w:hyperlink r:id="rId6454">
        <w:r>
          <w:rPr>
            <w:color w:val="0000EE"/>
            <w:u w:val="single"/>
          </w:rPr>
          <w:t>Esd 9.1</w:t>
        </w:r>
      </w:hyperlink>
      <w:r>
        <w:t xml:space="preserve"> ; </w:t>
      </w:r>
      <w:hyperlink r:id="rId10195">
        <w:r>
          <w:rPr>
            <w:color w:val="0000EE"/>
            <w:u w:val="single"/>
          </w:rPr>
          <w:t>Né 13.1, 23</w:t>
        </w:r>
      </w:hyperlink>
      <w:r>
        <w:t xml:space="preserve">). La communauté juive revenue d'exil était préoccupée par le respect de la loi écrite dans </w:t>
      </w:r>
      <w:hyperlink r:id="rId10196">
        <w:r>
          <w:rPr>
            <w:color w:val="0000EE"/>
            <w:u w:val="single"/>
          </w:rPr>
          <w:t>Deutéronome 23.3–6</w:t>
        </w:r>
      </w:hyperlink>
      <w:r>
        <w:t>, qui restreignait l'accès des Moabites à l'assemblée de Dieu.</w:t>
      </w:r>
    </w:p>
    <w:p>
      <w:r/>
      <w:r>
        <w:t>En 106 apr. J.‑C., la région de Moab deviendra une partie de la province romaine d'Arabie. La recherche archéologique a considérablement enrichi nos connaissances sur l'histoire et la culture moabites, depuis les temps préhistoriques jusqu'à la période ottomane.</w:t>
      </w:r>
    </w:p>
    <w:p>
      <w:pPr>
        <w:pStyle w:val="Heading3"/>
      </w:pPr>
      <w:r>
        <w:t>Religion à Moab</w:t>
      </w:r>
    </w:p>
    <w:p>
      <w:r/>
      <w:r>
        <w:t>Au cours du 3e et du 2e millénaire av. J.‑C., la religion de Moab était probablement similaire à celle pratiquée par les Cananéens. Cependant, avec le temps, la religion moabite a évolué pour devenir un système distinct.</w:t>
      </w:r>
    </w:p>
    <w:p>
      <w:r/>
      <w:r>
        <w:t>Bien que les Moabites aient adoré d'autres dieux, Kemosch était leur principale divinité nationale. L'Ancien Testament se réfère aux Moabites comme le « peuple de Kemosch » (</w:t>
      </w:r>
      <w:hyperlink r:id="rId4067">
        <w:r>
          <w:rPr>
            <w:color w:val="0000EE"/>
            <w:u w:val="single"/>
          </w:rPr>
          <w:t>Nb 21.29</w:t>
        </w:r>
      </w:hyperlink>
      <w:r>
        <w:t xml:space="preserve"> ; </w:t>
      </w:r>
      <w:hyperlink r:id="rId10197">
        <w:r>
          <w:rPr>
            <w:color w:val="0000EE"/>
            <w:u w:val="single"/>
          </w:rPr>
          <w:t>Jr 48.46</w:t>
        </w:r>
      </w:hyperlink>
      <w:r>
        <w:t>). La présence fréquente de « Kemosch » dans les noms communs moabites montre l'importance de ce dieu pour eux. La Stèle de Méscha mentionne Kemosch environ douze fois. Ces références le décrivent généralement comme un dieu de la guerre qui mène son peuple au combat contre leurs ennemis.</w:t>
      </w:r>
    </w:p>
    <w:p>
      <w:r/>
      <w:r>
        <w:t xml:space="preserve">Ils cherchaient la direction divine et la faveur de leurs dieux. Le peuple respectait les devins (personnes capables de prédire l'avenir) et les oracles (messages des dieux ; voir </w:t>
      </w:r>
      <w:hyperlink r:id="rId711">
        <w:r>
          <w:rPr>
            <w:color w:val="0000EE"/>
            <w:u w:val="single"/>
          </w:rPr>
          <w:t>Nb 22–24</w:t>
        </w:r>
      </w:hyperlink>
      <w:r>
        <w:t>). La religion moabite comprenait un sacerdoce et un système de sacrifices (</w:t>
      </w:r>
      <w:hyperlink r:id="rId10198">
        <w:r>
          <w:rPr>
            <w:color w:val="0000EE"/>
            <w:u w:val="single"/>
          </w:rPr>
          <w:t>Jr 48.7</w:t>
        </w:r>
      </w:hyperlink>
      <w:r>
        <w:t xml:space="preserve"> ; </w:t>
      </w:r>
      <w:hyperlink r:id="rId10199">
        <w:r>
          <w:rPr>
            <w:color w:val="0000EE"/>
            <w:u w:val="single"/>
          </w:rPr>
          <w:t>Nb 22.40–23.30</w:t>
        </w:r>
      </w:hyperlink>
      <w:r>
        <w:t xml:space="preserve"> ; </w:t>
      </w:r>
      <w:hyperlink r:id="rId10200">
        <w:r>
          <w:rPr>
            <w:color w:val="0000EE"/>
            <w:u w:val="single"/>
          </w:rPr>
          <w:t>25.1–5</w:t>
        </w:r>
      </w:hyperlink>
      <w:r>
        <w:t xml:space="preserve"> ; </w:t>
      </w:r>
      <w:hyperlink r:id="rId10201">
        <w:r>
          <w:rPr>
            <w:color w:val="0000EE"/>
            <w:u w:val="single"/>
          </w:rPr>
          <w:t>2R 3.27</w:t>
        </w:r>
      </w:hyperlink>
      <w:r>
        <w:t xml:space="preserve"> ; </w:t>
      </w:r>
      <w:hyperlink r:id="rId10202">
        <w:r>
          <w:rPr>
            <w:color w:val="0000EE"/>
            <w:u w:val="single"/>
          </w:rPr>
          <w:t>Jr 48.35</w:t>
        </w:r>
      </w:hyperlink>
      <w:r>
        <w:t>).</w:t>
      </w:r>
    </w:p>
    <w:p>
      <w:r/>
      <w:r>
        <w:t>Personne n'a découvert de sanctuaire moabite. Cependant, la Stèle de Méscha et l'Ancien Testament mentionnent leur existence (</w:t>
      </w:r>
      <w:hyperlink r:id="rId7177">
        <w:r>
          <w:rPr>
            <w:color w:val="0000EE"/>
            <w:u w:val="single"/>
          </w:rPr>
          <w:t>1R 11.7</w:t>
        </w:r>
      </w:hyperlink>
      <w:r>
        <w:t xml:space="preserve"> ; </w:t>
      </w:r>
      <w:hyperlink r:id="rId4066">
        <w:r>
          <w:rPr>
            <w:color w:val="0000EE"/>
            <w:u w:val="single"/>
          </w:rPr>
          <w:t>2R 23.13</w:t>
        </w:r>
      </w:hyperlink>
      <w:r>
        <w:t>). Les tombes trouvées à Dibon étaient remplies d'objets soigneusement disposés, ce qui suggère que les Moabites croyaient en une vie après la mort.</w:t>
      </w:r>
    </w:p>
    <w:p>
      <w:r/>
      <w:r>
        <w:rPr>
          <w:i/>
        </w:rPr>
        <w:t>Voir aussi</w:t>
      </w:r>
      <w:r>
        <w:t xml:space="preserve"> </w:t>
      </w:r>
      <w:r>
        <w:t>Divinités et religion cananéennes</w:t>
      </w:r>
      <w:r>
        <w:t xml:space="preserve"> ; </w:t>
      </w:r>
      <w:r>
        <w:t>Stèle de Méscha</w:t>
      </w:r>
      <w:r>
        <w:t>.</w:t>
      </w:r>
      <w:r/>
      <w:r/>
    </w:p>
    <w:p>
      <w:r/>
    </w:p>
    <w:p>
      <w:pPr>
        <w:pStyle w:val="Heading2"/>
      </w:pPr>
      <w:r>
        <w:t>Moïse</w:t>
      </w:r>
      <w:r/>
    </w:p>
    <w:p>
      <w:r/>
      <w:r>
        <w:t>L'une des plus importantes personnes de l'histoire du peuple hébreu. Il conduit les Israélites hors d'Égypte, où ils sont esclaves, pour les emmener à la Terre promise en Canaan. Au mont Sinaï, il leur donne la loi qui va devenir le pilier de leur foi pendant des siècles. Moïse exerce un certain nombre de rôles et de fonctions dont ceux de :</w:t>
      </w:r>
    </w:p>
    <w:p>
      <w:pPr>
        <w:pStyle w:val="ListBullet"/>
        <w:spacing w:line="240" w:lineRule="auto"/>
        <w:ind w:left="720"/>
      </w:pPr>
      <w:r/>
      <w:r>
        <w:t>Prophète</w:t>
      </w:r>
    </w:p>
    <w:p>
      <w:pPr>
        <w:pStyle w:val="ListBullet"/>
        <w:spacing w:line="240" w:lineRule="auto"/>
        <w:ind w:left="720"/>
      </w:pPr>
      <w:r/>
      <w:r>
        <w:t>Sacrificateur</w:t>
      </w:r>
    </w:p>
    <w:p>
      <w:pPr>
        <w:pStyle w:val="ListBullet"/>
        <w:spacing w:line="240" w:lineRule="auto"/>
        <w:ind w:left="720"/>
      </w:pPr>
      <w:r/>
      <w:r>
        <w:t>Législateur</w:t>
      </w:r>
    </w:p>
    <w:p>
      <w:pPr>
        <w:pStyle w:val="ListBullet"/>
        <w:spacing w:line="240" w:lineRule="auto"/>
        <w:ind w:left="720"/>
      </w:pPr>
      <w:r/>
      <w:r>
        <w:t>Juge</w:t>
      </w:r>
    </w:p>
    <w:p>
      <w:pPr>
        <w:pStyle w:val="ListBullet"/>
        <w:spacing w:line="240" w:lineRule="auto"/>
        <w:ind w:left="720"/>
      </w:pPr>
      <w:r/>
      <w:r>
        <w:t>Intercesseur</w:t>
      </w:r>
    </w:p>
    <w:p>
      <w:pPr>
        <w:pStyle w:val="ListBullet"/>
        <w:spacing w:line="240" w:lineRule="auto"/>
        <w:ind w:left="720"/>
      </w:pPr>
      <w:r/>
      <w:r>
        <w:t>Berger</w:t>
      </w:r>
    </w:p>
    <w:p>
      <w:pPr>
        <w:pStyle w:val="ListBullet"/>
        <w:spacing w:line="240" w:lineRule="auto"/>
        <w:ind w:left="720"/>
      </w:pPr>
      <w:r/>
      <w:r>
        <w:t>Faiseur de miracles</w:t>
      </w:r>
    </w:p>
    <w:p>
      <w:pPr>
        <w:pStyle w:val="ListBullet"/>
        <w:spacing w:line="240" w:lineRule="auto"/>
        <w:ind w:left="720"/>
      </w:pPr>
      <w:r/>
      <w:r>
        <w:t>Fondateur de la nation</w:t>
      </w:r>
    </w:p>
    <w:p>
      <w:r/>
      <w:r>
        <w:t>La signification de son nom est incertaine. Il provient peut-être d'un mot hébreu qui signifie « retirer » (</w:t>
      </w:r>
      <w:hyperlink r:id="rId10203">
        <w:r>
          <w:rPr>
            <w:color w:val="0000EE"/>
            <w:u w:val="single"/>
          </w:rPr>
          <w:t>Ex 2.10</w:t>
        </w:r>
      </w:hyperlink>
      <w:r>
        <w:t xml:space="preserve"> ; voir </w:t>
      </w:r>
      <w:hyperlink r:id="rId10204">
        <w:r>
          <w:rPr>
            <w:color w:val="0000EE"/>
            <w:u w:val="single"/>
          </w:rPr>
          <w:t>2S 22.17</w:t>
        </w:r>
      </w:hyperlink>
      <w:r>
        <w:t xml:space="preserve"> ; </w:t>
      </w:r>
      <w:hyperlink r:id="rId9947">
        <w:r>
          <w:rPr>
            <w:color w:val="0000EE"/>
            <w:u w:val="single"/>
          </w:rPr>
          <w:t>Ps 18.16</w:t>
        </w:r>
      </w:hyperlink>
      <w:r>
        <w:t>). Si son nom lui a été donné par la fille de pharaon qui l'avait adopté et est égyptien d'origine, Moïse pourrait signifier « fils », comme c'est le cas dans d'autres noms égyptiens tels qu'Ahmôsis, Thoutmôsis et Ramsès. Personne d'autre dans l'Ancien Testament (AT) ne porte ce nom.</w:t>
      </w:r>
    </w:p>
    <w:p>
      <w:r/>
      <w:r>
        <w:t>Moïse est le personnage le plus important de l'AT. Son nom y est mentionné 767 fois. Son influence se ressent aussi dans le Nouveau Testament (NT) où il est mentionné 79 fois. Les quarante premières années de sa vie se passent en Égypte, avec la famille de pharaon (</w:t>
      </w:r>
      <w:hyperlink r:id="rId10205">
        <w:r>
          <w:rPr>
            <w:color w:val="0000EE"/>
            <w:u w:val="single"/>
          </w:rPr>
          <w:t>Ac 7.23</w:t>
        </w:r>
      </w:hyperlink>
      <w:r>
        <w:t>). Il y apprend toute la sagesse des Égyptiens.</w:t>
      </w:r>
    </w:p>
    <w:p>
      <w:r/>
      <w:r>
        <w:t>Pendant les 40 années suivantes, il vit à Madian, où il s'enfuit après avoir tué un Égyptien maltraitant un Hébreu. Les 40 dernières années de sa vie sont consacrées à conduire les Israélites depuis l'Égypte jusqu'au pays promis par Dieu à Abraham et à ses descendants (</w:t>
      </w:r>
      <w:hyperlink r:id="rId86">
        <w:r>
          <w:rPr>
            <w:color w:val="0000EE"/>
            <w:u w:val="single"/>
          </w:rPr>
          <w:t>Gn 12.1–3</w:t>
        </w:r>
      </w:hyperlink>
      <w:r>
        <w:t>). Moïse meurt à l'âge de 120 ans, après avoir dirigé les Israélites pendant leurs 40 années d'errance dans le désert. Il les amène jusqu'aux abords de la Terre promise, juste à l'est du Jourdain (</w:t>
      </w:r>
      <w:hyperlink r:id="rId10206">
        <w:r>
          <w:rPr>
            <w:color w:val="0000EE"/>
            <w:u w:val="single"/>
          </w:rPr>
          <w:t>Dt 34.7</w:t>
        </w:r>
      </w:hyperlink>
      <w:r>
        <w:t xml:space="preserve">). </w:t>
      </w:r>
    </w:p>
    <w:p>
      <w:r/>
      <w:r>
        <w:t>Moïse est l'une des personnalités les plus célèbres de l'Histoire, car il a transformé un groupe d'esclaves en une nation qui a eu une grande influence sur le cours de l'Histoire.</w:t>
      </w:r>
    </w:p>
    <w:p>
      <w:pPr>
        <w:pStyle w:val="Heading3"/>
      </w:pPr>
      <w:r>
        <w:t>Sommaire</w:t>
      </w:r>
    </w:p>
    <w:p>
      <w:r/>
      <w:r>
        <w:t>• Arrière-plan</w:t>
      </w:r>
    </w:p>
    <w:p>
      <w:r/>
      <w:r>
        <w:t>• Les quarante premières années : en Égypte</w:t>
      </w:r>
    </w:p>
    <w:p>
      <w:r/>
      <w:r>
        <w:t>• Les quarante années intermédiaires : à Madian</w:t>
      </w:r>
    </w:p>
    <w:p>
      <w:r/>
      <w:r>
        <w:t>• Les quarante dernières années : d'Égypte en Canaan</w:t>
      </w:r>
    </w:p>
    <w:p>
      <w:r/>
      <w:r>
        <w:t>• Moïse dans le Nouveau Testament</w:t>
      </w:r>
    </w:p>
    <w:p>
      <w:pPr>
        <w:pStyle w:val="Heading3"/>
      </w:pPr>
      <w:r>
        <w:t>Arrière-plan</w:t>
      </w:r>
    </w:p>
    <w:p>
      <w:r/>
      <w:r>
        <w:t>Les détails de la vie de Moïse ne sont connus qu'au travers de la Bible. Des découvertes archéologiques ont confirmé des événements qui se sont passés du temps de Moïse, mais ne documentent ni son existence ni ses actes. Son histoire commence avec l'arrivée de Jacob, de ses fils et de leurs familles en Égypte pour échapper à la famine qu'il y a alors en Canaan. Après avoir été invitée par Joseph et accueillie par pharaon, la famille de Jacob s'installe à Gosen, dans le nord-est de l'Égypte. Les Israélites y vivent pendant 430 ans (</w:t>
      </w:r>
      <w:hyperlink r:id="rId2541">
        <w:r>
          <w:rPr>
            <w:color w:val="0000EE"/>
            <w:u w:val="single"/>
          </w:rPr>
          <w:t>Ex 12.40</w:t>
        </w:r>
      </w:hyperlink>
      <w:r>
        <w:t>). Le temps passant, leur nombre augmente considérablement, au point de remplir le pays (</w:t>
      </w:r>
      <w:hyperlink r:id="rId10207">
        <w:r>
          <w:rPr>
            <w:color w:val="0000EE"/>
            <w:u w:val="single"/>
          </w:rPr>
          <w:t>Ex 1.7</w:t>
        </w:r>
      </w:hyperlink>
      <w:r>
        <w:t>). Un nouveau roi vient alors au pouvoir en Égypte qui n'a pas connu Joseph. La Bible ne précise pas le nom de ce pharaon et son identité est discutée. Les identifications les plus fréquemment proposées sont :</w:t>
      </w:r>
    </w:p>
    <w:p>
      <w:pPr>
        <w:pStyle w:val="ListBullet"/>
        <w:spacing w:line="240" w:lineRule="auto"/>
        <w:ind w:left="720"/>
      </w:pPr>
      <w:r/>
      <w:r>
        <w:t>Thoutmôsis III, qui a régné de 1 504 à 1 451 av. J.‑C.,</w:t>
      </w:r>
    </w:p>
    <w:p>
      <w:pPr>
        <w:pStyle w:val="ListBullet"/>
        <w:spacing w:line="240" w:lineRule="auto"/>
        <w:ind w:left="720"/>
      </w:pPr>
      <w:r/>
      <w:r>
        <w:t>Séthi I</w:t>
      </w:r>
      <w:r>
        <w:rPr>
          <w:vertAlign w:val="superscript"/>
        </w:rPr>
        <w:t>er</w:t>
      </w:r>
      <w:r>
        <w:t xml:space="preserve">, qui a régné de 1304 à 1290 av. J.‑C., </w:t>
      </w:r>
    </w:p>
    <w:p>
      <w:pPr>
        <w:pStyle w:val="ListBullet"/>
        <w:spacing w:line="240" w:lineRule="auto"/>
        <w:ind w:left="720"/>
      </w:pPr>
      <w:r/>
      <w:r>
        <w:t>Ramsès II, qui a régné de 1 290 à 1 224 av. J.‑C.</w:t>
      </w:r>
    </w:p>
    <w:p>
      <w:r/>
      <w:r>
        <w:t>Ce pharaon craint que les Israélites ne deviennent trop nombreux et ne deviennent donc une menace. Il tente de réduire leur population. Il les soumet à des travaux forcés pour construire les villes-entrepôts de Pithom et de Ramsès. Cette servitude cruelle ne réussit pas à faire diminuer leur nombre. Il commande ensuite aux sages-femmes de tuer tous les nouveaux-nés mâles hébreux, mais celles-ci désobéissent à ses ordres. Il ordonne alors à son propre peuple de noyer les nourrissons hébreux mâles dans le Nil. C'est au cours de cette persécution juive, la première que documente l'histoire, que Moïse naît.</w:t>
      </w:r>
    </w:p>
    <w:p>
      <w:pPr>
        <w:pStyle w:val="Heading3"/>
      </w:pPr>
      <w:r>
        <w:t>Les quarante premières années : en Égypte</w:t>
      </w:r>
    </w:p>
    <w:p>
      <w:pPr>
        <w:pStyle w:val="Heading4"/>
      </w:pPr>
      <w:r>
        <w:t>Naissance et jeunesse</w:t>
      </w:r>
    </w:p>
    <w:p>
      <w:r/>
      <w:r>
        <w:t>Amram, un homme de la tribu de Lévi, épouse Jokébed, la sœur de son père (</w:t>
      </w:r>
      <w:hyperlink r:id="rId9603">
        <w:r>
          <w:rPr>
            <w:color w:val="0000EE"/>
            <w:u w:val="single"/>
          </w:rPr>
          <w:t>Ex 6.20</w:t>
        </w:r>
      </w:hyperlink>
      <w:r>
        <w:t xml:space="preserve"> , voir </w:t>
      </w:r>
      <w:hyperlink r:id="rId10208">
        <w:r>
          <w:rPr>
            <w:color w:val="0000EE"/>
            <w:u w:val="single"/>
          </w:rPr>
          <w:t>2.1</w:t>
        </w:r>
      </w:hyperlink>
      <w:r>
        <w:t>). Aaron, leur premier fils, naît trois ans avant Moïse et l'ordre de noyer les bébés hébreux. Sa vie n'est donc pas menacée. Cependant, l'ordre cruel du pharaon est en vigueur au moment de la naissance de Moïse. Après trois mois, sa mère ne peut plus le cacher. Elle prend donc un panier fait de joncs et l'enduit de bitume et de poix pour le rendre étanche. Elle met le bébé à l'intérieur et dépose le panier parmi les roseaux le long de la rive. Miriam, la sœur aînée de Moïse, reste à proximité pour voir ce qui va lui arriver.</w:t>
      </w:r>
    </w:p>
    <w:p>
      <w:r/>
      <w:r>
        <w:t xml:space="preserve">C'est alors que la fille de pharaon vient au fleuve pour s'y baigner comme de coutume. (Selon Flavius Josèphe, elle se nomme Thermuthis. D'autres l'identifient à Hatchepsout, mais sa véritable identité reste incertaine). Elle découvre le bébé, réalise qu'il s'agit d'un enfant hébreu et décide de l'élever comme son propre enfant. Miriam s'approche alors et propose de lui trouver une femme de parmi les Hébreux pour allaiter l'enfant. La princesse accepte et Miriam ramène le bébé à sa mère, qui l'allaite pendant peut-être deux ou trois ans (voir </w:t>
      </w:r>
      <w:hyperlink r:id="rId10209">
        <w:r>
          <w:rPr>
            <w:color w:val="0000EE"/>
            <w:u w:val="single"/>
          </w:rPr>
          <w:t>1S 1.19–24</w:t>
        </w:r>
      </w:hyperlink>
      <w:r>
        <w:t>).</w:t>
      </w:r>
    </w:p>
    <w:p>
      <w:r/>
      <w:r>
        <w:t>Le récit ne dit rien de plus sur ces premières années. On ignore si la mère continue de voir l'enfant alors qu'il grandit et qu'il devient un jeune homme, si elle lui révèle qui il est et lui enseigne la foi hébraïque. Moïse est instruit dans toute la sagesse des Égyptiens, comme il convient à un membre de la maison royale, et devient puissant en paroles et en actes (</w:t>
      </w:r>
      <w:hyperlink r:id="rId5222">
        <w:r>
          <w:rPr>
            <w:color w:val="0000EE"/>
            <w:u w:val="single"/>
          </w:rPr>
          <w:t>Ac 7.22</w:t>
        </w:r>
      </w:hyperlink>
      <w:r>
        <w:t>).</w:t>
      </w:r>
    </w:p>
    <w:p>
      <w:pPr>
        <w:pStyle w:val="Heading4"/>
      </w:pPr>
      <w:r>
        <w:t>Identification avec son propre peuple</w:t>
      </w:r>
    </w:p>
    <w:p>
      <w:r/>
      <w:r>
        <w:t>Le moment précis où Moïse découvre qu'il est hébreu plutôt qu'égyptien ne nous est pas connu, mais à l'âge de 40 ans, il le sait. Il va rendre visite à son peuple et voit comment les Israélites sont traités. Les mesures cruelles prises contre eux à l'époque de sa naissance sont toujours en vigueur. Lorsqu'il voit un Égyptien battre un Hébreu, Moïse se met en colère et tue l'Égyptien, puis l'enterre. Il pense que personne n'avait rien vu, mais ce n'est manifestement pas le cas. Le lendemain, lorsqu'il essaie d'empêcher deux Hébreux de se battre, l'un d'entre eux se retourne contre lui et mentionne son meurtre : « Qui t'a établi chef et juge sur nous? Penses-tu me tuer, comme tu as tué l'Égyptien ? » (</w:t>
      </w:r>
      <w:hyperlink r:id="rId10210">
        <w:r>
          <w:rPr>
            <w:color w:val="0000EE"/>
            <w:u w:val="single"/>
          </w:rPr>
          <w:t>Ex 2.14</w:t>
        </w:r>
      </w:hyperlink>
      <w:r>
        <w:t xml:space="preserve">). </w:t>
      </w:r>
      <w:hyperlink r:id="rId10211">
        <w:r>
          <w:rPr>
            <w:color w:val="0000EE"/>
            <w:u w:val="single"/>
          </w:rPr>
          <w:t>Actes 7.25</w:t>
        </w:r>
      </w:hyperlink>
      <w:r>
        <w:t xml:space="preserve"> ajoute qu'il « </w:t>
      </w:r>
      <w:r>
        <w:t>pensait que ses frères comprendraient que Dieu leur accordait la délivrance par sa main ; mais ils ne comprirent pas</w:t>
      </w:r>
      <w:r>
        <w:t xml:space="preserve"> ». Réalisant que son geste est connu et que de faire partie de la maison de pharaon ne le protégera pas, Moïse s'enfuit à Madian.</w:t>
      </w:r>
    </w:p>
    <w:p>
      <w:pPr>
        <w:pStyle w:val="Heading3"/>
      </w:pPr>
      <w:r>
        <w:t>Les quarante années intermédiaires : à Madian</w:t>
      </w:r>
    </w:p>
    <w:p>
      <w:pPr>
        <w:pStyle w:val="Heading4"/>
      </w:pPr>
      <w:r>
        <w:t>Mariage avec la fille de Jéthro</w:t>
      </w:r>
    </w:p>
    <w:p>
      <w:r/>
      <w:r>
        <w:t>Après être arrivé à Madian, Moïse s'assied près d'un puits. Là, il voit les sept filles du prêtre de Madian puiser de l'eau pour le troupeau de leur père. Alors que des bergers tentent de les chasser, Moïse intervient et abreuve les animaux des jeunes filles. Jéthro invite Moïse à séjourner parmi les siens et lui donne sa fille Séphora pour épouse (</w:t>
      </w:r>
      <w:hyperlink r:id="rId5275">
        <w:r>
          <w:rPr>
            <w:color w:val="0000EE"/>
            <w:u w:val="single"/>
          </w:rPr>
          <w:t>Ex 3.1</w:t>
        </w:r>
      </w:hyperlink>
      <w:r>
        <w:t xml:space="preserve"> ; Jéthro est aussi appelé Réuel dans </w:t>
      </w:r>
      <w:hyperlink r:id="rId7252">
        <w:r>
          <w:rPr>
            <w:color w:val="0000EE"/>
            <w:u w:val="single"/>
          </w:rPr>
          <w:t xml:space="preserve">Ex 2.18 </w:t>
        </w:r>
      </w:hyperlink>
      <w:r>
        <w:t xml:space="preserve">et possiblement Hobab dans </w:t>
      </w:r>
      <w:hyperlink r:id="rId7251">
        <w:r>
          <w:rPr>
            <w:color w:val="0000EE"/>
            <w:u w:val="single"/>
          </w:rPr>
          <w:t>Nb 10.29</w:t>
        </w:r>
      </w:hyperlink>
      <w:r>
        <w:t xml:space="preserve">). Il y a désaccord parmi les experts sur l'identité de Hobab dans </w:t>
      </w:r>
      <w:hyperlink r:id="rId7251">
        <w:r>
          <w:rPr>
            <w:color w:val="0000EE"/>
            <w:u w:val="single"/>
          </w:rPr>
          <w:t>Nombres 10.29.</w:t>
        </w:r>
      </w:hyperlink>
      <w:r>
        <w:t xml:space="preserve"> Le verset peut être compris comme indiquant qu'Hobab était le beau-père de Moïse ou bien son beau-frère.</w:t>
      </w:r>
    </w:p>
    <w:p>
      <w:r/>
      <w:r>
        <w:rPr>
          <w:i/>
        </w:rPr>
        <w:t>Voir aussi</w:t>
      </w:r>
      <w:r>
        <w:t xml:space="preserve"> </w:t>
      </w:r>
      <w:r>
        <w:t>Hobab</w:t>
      </w:r>
    </w:p>
    <w:p>
      <w:r/>
      <w:r>
        <w:t xml:space="preserve">À Madian, Moïse et Séphora ont deux fils, </w:t>
      </w:r>
      <w:r>
        <w:t>Guerschom</w:t>
      </w:r>
      <w:r>
        <w:t xml:space="preserve"> et Éliézer (</w:t>
      </w:r>
      <w:hyperlink r:id="rId5081">
        <w:r>
          <w:rPr>
            <w:color w:val="0000EE"/>
            <w:u w:val="single"/>
          </w:rPr>
          <w:t xml:space="preserve">Ex 2.22 </w:t>
        </w:r>
      </w:hyperlink>
      <w:r>
        <w:t xml:space="preserve">; </w:t>
      </w:r>
      <w:hyperlink r:id="rId4625">
        <w:r>
          <w:rPr>
            <w:color w:val="0000EE"/>
            <w:u w:val="single"/>
          </w:rPr>
          <w:t>18.4</w:t>
        </w:r>
      </w:hyperlink>
      <w:r>
        <w:t>). Pendant les 40 années qu'il a passées à Madian, Moïse a probablement mis derrière lui son ancienne vie en Égypte. Il n'aurait pas pu prévoir que Dieu l'appellerait à retourner en Égypte pour affronter le nouveau pharaon et exiger la libération du peuple hébreu de l'esclavage. Dieu n'a pas oublié son peuple et est maintenant prêt à les délivrer.</w:t>
      </w:r>
    </w:p>
    <w:p>
      <w:pPr>
        <w:pStyle w:val="Heading4"/>
      </w:pPr>
      <w:r>
        <w:t>Rencontre avec Dieu au buisson ardent</w:t>
      </w:r>
    </w:p>
    <w:p>
      <w:r/>
      <w:r>
        <w:t>Un jour, alors que Moïse s'occupe des troupeaux de son beau-père, il les amène au mont Horeb (également connu sous le nom de mont Sinaï). Dieu lui apparaît dans une flamme de feu au milieu d'un buisson qui brûle sans se consumer. Moïse s'approche alors pour observer de plus près cette vision étrange, et entend Dieu lui parler depuis le buisson :</w:t>
      </w:r>
    </w:p>
    <w:p>
      <w:r/>
      <w:r>
        <w:t>« Moïse ! Moïse ! Et il répondit : Me voici ! Dieu dit : N'approche pas d'ici, ôte tes souliers de tes pieds, car le lieu sur lequel tu te tiens est une terre sainte » (</w:t>
      </w:r>
      <w:hyperlink r:id="rId10212">
        <w:r>
          <w:rPr>
            <w:color w:val="0000EE"/>
            <w:u w:val="single"/>
          </w:rPr>
          <w:t>Ex 3.4–5</w:t>
        </w:r>
      </w:hyperlink>
      <w:r>
        <w:t>).</w:t>
      </w:r>
    </w:p>
    <w:p>
      <w:r/>
      <w:r>
        <w:t>Dieu se présente comme le Dieu d'Abraham, d'Isaac et de Jacob. Il explique à Moïse qu'il a entendu les cris de son peuple et qu'il connaît leurs souffrances. Dieu révèle alors son plan d'envoyer Moïse en Égypte pour délivrer son peuple de l'esclavage.</w:t>
      </w:r>
    </w:p>
    <w:p>
      <w:r/>
      <w:r>
        <w:t>Moïse, se sentant incapable d'accomplir cette mission, commence à trouver des excuses. Toutefois, Dieu promet à Moïse qu'il sera avec lui (</w:t>
      </w:r>
      <w:hyperlink r:id="rId10213">
        <w:r>
          <w:rPr>
            <w:color w:val="0000EE"/>
            <w:u w:val="single"/>
          </w:rPr>
          <w:t>Ex 3.11–12</w:t>
        </w:r>
      </w:hyperlink>
      <w:r>
        <w:t>). Quand Moïse demande ce qu'il devrait dire si le peuple lui demande le nom de Dieu, le Seigneur lui répond mystérieusement : « Je suis celui qui suis</w:t>
      </w:r>
      <w:r>
        <w:t>... C'est ainsi que tu répondras aux enfants d'Israël</w:t>
      </w:r>
      <w:r>
        <w:t xml:space="preserve"> </w:t>
      </w:r>
      <w:r>
        <w:t>: Celui qui s'appelle “</w:t>
      </w:r>
      <w:r>
        <w:t xml:space="preserve"> </w:t>
      </w:r>
      <w:r>
        <w:t>je suis</w:t>
      </w:r>
      <w:r>
        <w:t xml:space="preserve"> </w:t>
      </w:r>
      <w:r>
        <w:t>” m’a envoyé vers vous</w:t>
      </w:r>
      <w:r>
        <w:t xml:space="preserve"> » (</w:t>
      </w:r>
      <w:hyperlink r:id="rId10214">
        <w:r>
          <w:rPr>
            <w:color w:val="0000EE"/>
            <w:u w:val="single"/>
          </w:rPr>
          <w:t>Ex 3.13–14</w:t>
        </w:r>
      </w:hyperlink>
      <w:r>
        <w:t>). Les experts proposent plusieurs interprétations possibles à la signification de ce nom. Ce qui est certain, c'est que ce nom indique que Dieu existe de par sa propre puissance et se suffit à lui-même.</w:t>
      </w:r>
    </w:p>
    <w:p>
      <w:r/>
      <w:r>
        <w:t>Comme Moïse craint que le peuple ne le croie pas, Dieu lui donne trois signes à leur montrer :</w:t>
      </w:r>
    </w:p>
    <w:p>
      <w:pPr>
        <w:pStyle w:val="ListNumber"/>
        <w:spacing w:line="240" w:lineRule="auto"/>
        <w:ind w:left="720"/>
      </w:pPr>
      <w:r/>
      <w:r>
        <w:t>La transformation de son bâton en serpent.</w:t>
      </w:r>
    </w:p>
    <w:p>
      <w:pPr>
        <w:pStyle w:val="ListNumber"/>
        <w:spacing w:line="240" w:lineRule="auto"/>
        <w:ind w:left="720"/>
      </w:pPr>
      <w:r/>
      <w:r>
        <w:t>L'apparition puis la guérison instantanée de lèpre sur sa main.</w:t>
      </w:r>
    </w:p>
    <w:p>
      <w:pPr>
        <w:pStyle w:val="ListNumber"/>
        <w:spacing w:line="240" w:lineRule="auto"/>
        <w:ind w:left="720"/>
      </w:pPr>
      <w:r/>
      <w:r>
        <w:t>La transformation d'eau du Nil en sang (</w:t>
      </w:r>
      <w:hyperlink r:id="rId10215">
        <w:r>
          <w:rPr>
            <w:color w:val="0000EE"/>
            <w:u w:val="single"/>
          </w:rPr>
          <w:t>Ex 4.1–9</w:t>
        </w:r>
      </w:hyperlink>
      <w:r>
        <w:t>).</w:t>
      </w:r>
    </w:p>
    <w:p>
      <w:r/>
      <w:r>
        <w:t xml:space="preserve">Malgré le pouvoir de produire ces signes miraculeux, Moïse continue à hésiter : « </w:t>
      </w:r>
      <w:r>
        <w:t>Ah</w:t>
      </w:r>
      <w:r>
        <w:t xml:space="preserve"> </w:t>
      </w:r>
      <w:r>
        <w:t>! Seigneur, je ne suis pas un homme qui ait la parole facile, et ce n'est ni d'hier ni d'avant-hier, ni même depuis que tu parles à ton serviteur</w:t>
      </w:r>
      <w:r>
        <w:t xml:space="preserve"> </w:t>
      </w:r>
      <w:r>
        <w:t>; car j'ai la bouche et la langue embarrassées</w:t>
      </w:r>
      <w:r>
        <w:t xml:space="preserve"> » (</w:t>
      </w:r>
      <w:hyperlink r:id="rId10216">
        <w:r>
          <w:rPr>
            <w:color w:val="0000EE"/>
            <w:u w:val="single"/>
          </w:rPr>
          <w:t>Ex 4.10</w:t>
        </w:r>
      </w:hyperlink>
      <w:r>
        <w:t>). Dieu lui promet alors de lui indiquer ce qu'il doit dire. Toutefois, Moïse demande quand même à Dieu de choisir quelqu'un d'autre pour cette mission. Dieu accepte de laisser Aaron, le frère de Moïse, être son porte-parole. Dieu donnera ses instructions à Moïse, et Aaron les transmettra au peuple.</w:t>
      </w:r>
    </w:p>
    <w:p>
      <w:pPr>
        <w:pStyle w:val="Heading4"/>
      </w:pPr>
      <w:r>
        <w:t>Retour en Égypte</w:t>
      </w:r>
    </w:p>
    <w:p>
      <w:r/>
      <w:r>
        <w:t>Moïse prend alors sa femme et ses fils et repart pour l'Égypte après avoir dit à son beau-père qu'il veut aller voir comment va son peuple (</w:t>
      </w:r>
      <w:hyperlink r:id="rId10217">
        <w:r>
          <w:rPr>
            <w:color w:val="0000EE"/>
            <w:u w:val="single"/>
          </w:rPr>
          <w:t>Ex 4.18</w:t>
        </w:r>
      </w:hyperlink>
      <w:r>
        <w:t>). Selon le récit biblique, il met sa femme et ses fils à dos d'âne pour le voyage (</w:t>
      </w:r>
      <w:hyperlink r:id="rId7244">
        <w:r>
          <w:rPr>
            <w:color w:val="0000EE"/>
            <w:u w:val="single"/>
          </w:rPr>
          <w:t>Ex 4.20</w:t>
        </w:r>
      </w:hyperlink>
      <w:r>
        <w:t>). Cela montre que les deux enfants sont encore petits et ne sont pas nés pendant les premières années du mariage de Moïse et de Séphora.</w:t>
      </w:r>
    </w:p>
    <w:p>
      <w:r/>
      <w:r>
        <w:t>Lors d'une halte pendant le voyage, un événement étrange se produit. Le Seigneur confronte Moïse et veut le faire mourir parce qu'il n'a pas circoncis son fils avant de partir de Madian (</w:t>
      </w:r>
      <w:hyperlink r:id="rId1451">
        <w:r>
          <w:rPr>
            <w:color w:val="0000EE"/>
            <w:u w:val="single"/>
          </w:rPr>
          <w:t>Ex 4.24</w:t>
        </w:r>
      </w:hyperlink>
      <w:r>
        <w:t>). Quand Séphora réalise que la vie de Moïse est en danger, elle circoncit elle-même son fils. Elle dit ensuite à son mari : « Tu es pour moi un époux de sang » (</w:t>
      </w:r>
      <w:hyperlink r:id="rId8514">
        <w:r>
          <w:rPr>
            <w:color w:val="0000EE"/>
            <w:u w:val="single"/>
          </w:rPr>
          <w:t>Ex 4.25</w:t>
        </w:r>
      </w:hyperlink>
      <w:r>
        <w:t>). Cet épisode un peu particulier rappelle au futur chef du peuple de l'alliance que lui aussi doit obéir à celle-ci (</w:t>
      </w:r>
      <w:hyperlink r:id="rId6824">
        <w:r>
          <w:rPr>
            <w:color w:val="0000EE"/>
            <w:u w:val="single"/>
          </w:rPr>
          <w:t>Gn 17.10–14</w:t>
        </w:r>
      </w:hyperlink>
      <w:r>
        <w:t>). En effet, la circoncision est le signe de l'alliance que Dieu a conclue avec Israël en tant que descendance d'Abraham.</w:t>
      </w:r>
    </w:p>
    <w:p>
      <w:r/>
      <w:r>
        <w:t>Dieu envoie Aaron, encore en Égypte, retrouver son frère à la montagne où Moïse a rencontré Dieu au buisson ardent. Moïse raconte à Aaron tout ce qui s'est passé, et c'est ensemble qu'ils retournent en Égypte. Une fois arrivés, ils convoquent les anciens et les informent des paroles de Dieu. Lorsque Moïse et Aaron réalisent les signes miraculeux devant le peuple, celui-ci est convaincu et croit que Dieu les a envoyés pour le sauver (</w:t>
      </w:r>
      <w:hyperlink r:id="rId10218">
        <w:r>
          <w:rPr>
            <w:color w:val="0000EE"/>
            <w:u w:val="single"/>
          </w:rPr>
          <w:t>Ex 4.30–31</w:t>
        </w:r>
      </w:hyperlink>
      <w:r>
        <w:t>).</w:t>
      </w:r>
    </w:p>
    <w:p>
      <w:pPr>
        <w:pStyle w:val="Heading3"/>
      </w:pPr>
      <w:r>
        <w:t>Les quarante dernières années : d'Égypte en Canaan</w:t>
      </w:r>
    </w:p>
    <w:p>
      <w:pPr>
        <w:pStyle w:val="Heading4"/>
      </w:pPr>
      <w:r>
        <w:t>Confrontations avec pharaon</w:t>
      </w:r>
    </w:p>
    <w:p>
      <w:r/>
      <w:r>
        <w:t xml:space="preserve">Peu après leur retour en Égypte, Moïse et Aaron paraissent devant pharaon. Moïse lui répète ce que commande le Seigneur : « </w:t>
      </w:r>
      <w:r>
        <w:t>Laisse aller mon peuple, pour qu'il célèbre au désert une fête en mon honneur</w:t>
      </w:r>
      <w:r>
        <w:t xml:space="preserve"> » (</w:t>
      </w:r>
      <w:hyperlink r:id="rId10219">
        <w:r>
          <w:rPr>
            <w:color w:val="0000EE"/>
            <w:u w:val="single"/>
          </w:rPr>
          <w:t>Ex 5.1</w:t>
        </w:r>
      </w:hyperlink>
      <w:r>
        <w:t>). Mais pharaon refuse et dit qu'il n'a jamais entendu parler de ce Dieu. Comme les rois égyptiens se considéraient eux-mêmes comme des dieux, cet ordre est probablement perçu comme insultant pour pharaon. En plus de refuser la demande présentée par Moïse, pharaon donne des ordres pour rendre le travail des Hébreux encore plus difficile. Ils doivent maintenant ramasser eux-mêmes la paille à mélanger à de la terre pour fabriquer des briques, mais doivent toujours produire le même nombre de briques qu'auparavant.</w:t>
      </w:r>
    </w:p>
    <w:p>
      <w:r/>
      <w:r>
        <w:t>Les Israélites sont frustrés et reprochent à Moïse ce qui leur arrive. Moïse, confus et troublé, se plaint à Dieu. Mais Dieu lui confirme sa promesse qu'il libérera le peuple de leur esclavage et les conduira au pays qu'il a promis à Abraham, Isaac et Jacob. Il commande à Moïse de retourner voir pharaon, de lui répéter ce qu'il exige, et de l'avertir qu'il y aura de graves conséquences s'il refuse.</w:t>
      </w:r>
    </w:p>
    <w:p>
      <w:r/>
      <w:r>
        <w:t>Lorsque Moïse et Aaron retournent chez pharaon, Moïse lui répète la demande de laisser partir les Israélites. Il montre un signe miraculeux à pharaon en transformant son bâton en serpent. Cependant, les sages d'Égypte en font de même grâce à leur magie et pharaon refuse une fois de plus. Dieu inflige ensuite dix plaies à l'Égypte par l'intermédiaire de Moïse pour montrer la puissance de Dieu et forcer pharaon à obéir. Les neuf premières plaies sont :</w:t>
      </w:r>
    </w:p>
    <w:p>
      <w:pPr>
        <w:pStyle w:val="ListNumber"/>
        <w:spacing w:line="240" w:lineRule="auto"/>
        <w:ind w:left="720"/>
      </w:pPr>
      <w:r/>
      <w:r>
        <w:t>Transformation de l'eau du Nil en sang</w:t>
      </w:r>
    </w:p>
    <w:p>
      <w:pPr>
        <w:pStyle w:val="ListNumber"/>
        <w:spacing w:line="240" w:lineRule="auto"/>
        <w:ind w:left="720"/>
      </w:pPr>
      <w:r/>
      <w:r>
        <w:t>Infestation de grenouilles</w:t>
      </w:r>
    </w:p>
    <w:p>
      <w:pPr>
        <w:pStyle w:val="ListNumber"/>
        <w:spacing w:line="240" w:lineRule="auto"/>
        <w:ind w:left="720"/>
      </w:pPr>
      <w:r/>
      <w:r>
        <w:t>Infestation de poux</w:t>
      </w:r>
    </w:p>
    <w:p>
      <w:pPr>
        <w:pStyle w:val="ListNumber"/>
        <w:spacing w:line="240" w:lineRule="auto"/>
        <w:ind w:left="720"/>
      </w:pPr>
      <w:r/>
      <w:r>
        <w:t>Infestation de mouches venimeuses</w:t>
      </w:r>
    </w:p>
    <w:p>
      <w:pPr>
        <w:pStyle w:val="ListNumber"/>
        <w:spacing w:line="240" w:lineRule="auto"/>
        <w:ind w:left="720"/>
      </w:pPr>
      <w:r/>
      <w:r>
        <w:t>Maladie du bétail</w:t>
      </w:r>
    </w:p>
    <w:p>
      <w:pPr>
        <w:pStyle w:val="ListNumber"/>
        <w:spacing w:line="240" w:lineRule="auto"/>
        <w:ind w:left="720"/>
      </w:pPr>
      <w:r/>
      <w:r>
        <w:t>Les Égyptiens couverts d'ulcères</w:t>
      </w:r>
    </w:p>
    <w:p>
      <w:pPr>
        <w:pStyle w:val="ListNumber"/>
        <w:spacing w:line="240" w:lineRule="auto"/>
        <w:ind w:left="720"/>
      </w:pPr>
      <w:r/>
      <w:r>
        <w:t>Dévastation par la grêle</w:t>
      </w:r>
    </w:p>
    <w:p>
      <w:pPr>
        <w:pStyle w:val="ListNumber"/>
        <w:spacing w:line="240" w:lineRule="auto"/>
        <w:ind w:left="720"/>
      </w:pPr>
      <w:r/>
      <w:r>
        <w:t>Dévastation par des sauterelles</w:t>
      </w:r>
    </w:p>
    <w:p>
      <w:pPr>
        <w:pStyle w:val="ListNumber"/>
        <w:spacing w:line="240" w:lineRule="auto"/>
        <w:ind w:left="720"/>
      </w:pPr>
      <w:r/>
      <w:r>
        <w:t>Ténèbres couvrant le pays</w:t>
      </w:r>
    </w:p>
    <w:p>
      <w:r/>
      <w:r>
        <w:t>Plusieurs fois, pharaon promet de laisser partir les Israélites si la plaie s'arrête, mais une fois celle-ci arrêtée, il revient sur sa parole et continue de refuser de laisser partir le peuple d'Israël. Malgré les souffrances et les dégâts terribles causés par les neuf premières plaies aux Égyptiens et à l'Égypte, les Israélites ne sont toujours pas libérés. Il reste une dernière plaie à venir, la pire de toutes.</w:t>
      </w:r>
    </w:p>
    <w:p>
      <w:pPr>
        <w:pStyle w:val="Heading4"/>
      </w:pPr>
      <w:r>
        <w:t>La première Pâque</w:t>
      </w:r>
    </w:p>
    <w:p>
      <w:r/>
      <w:r>
        <w:t xml:space="preserve">Dieu explique à Moïse quelle sera la dernière plaie qui va frapper l'Égypte : « </w:t>
      </w:r>
      <w:r>
        <w:t>tous les premiers-nés mourront dans le pays d'Égypte, depuis le premier-né de Pharaon assis sur son trône, jusqu'au premier-né de la servante qui est derrière la meule, et jusqu'à tous les premiers-nés des animaux</w:t>
      </w:r>
      <w:r>
        <w:t xml:space="preserve"> » (</w:t>
      </w:r>
      <w:hyperlink r:id="rId10014">
        <w:r>
          <w:rPr>
            <w:color w:val="0000EE"/>
            <w:u w:val="single"/>
          </w:rPr>
          <w:t>Ex 11.5</w:t>
        </w:r>
      </w:hyperlink>
      <w:r>
        <w:t xml:space="preserve">). Il promet à Moïse que la plaie ne fera aucun mal aux Israélites : « </w:t>
      </w:r>
      <w:r>
        <w:t>afin que vous sachiez quelle différence l'Éternel fait entre l'Égypte et Israël</w:t>
      </w:r>
      <w:r>
        <w:t xml:space="preserve"> » (</w:t>
      </w:r>
      <w:hyperlink r:id="rId10220">
        <w:r>
          <w:rPr>
            <w:color w:val="0000EE"/>
            <w:u w:val="single"/>
          </w:rPr>
          <w:t>Ex 11.7</w:t>
        </w:r>
      </w:hyperlink>
      <w:r>
        <w:t>).</w:t>
      </w:r>
    </w:p>
    <w:p>
      <w:r/>
      <w:r>
        <w:t>Par l'intermédiaire de Moïse et d'Aaron, Dieu ordonne au peuple de se préparer à partir d'Égypte rapidement. Ils doivent demander aux Égyptiens des vases en argent et en or (</w:t>
      </w:r>
      <w:hyperlink r:id="rId10221">
        <w:r>
          <w:rPr>
            <w:color w:val="0000EE"/>
            <w:u w:val="single"/>
          </w:rPr>
          <w:t>Ex 11.2–3</w:t>
        </w:r>
      </w:hyperlink>
      <w:r>
        <w:t>). Les Égyptiens acceptent, probablement par peur, et peut-être dans l'espoir que cela fera s'arrêter les plaies. Les Israélites doivent également préparer un agneau pour chaque famille pour leur dernier repas en Égypte. Ils doivent enduire les montants et les linteaux des portes de leurs maisons avec le sang des agneaux et manger le repas de la Pâque dans leurs maisons cette nuit-là. Ceux qui seront à l'intérieur d'une maison dont la porte est enduite de sang d'agneau seront épargnés par la plaie qui frappera pendant la nuit. Ils doivent également préparer du pain sans levain. Ce rituel servira plus tard de modèle aux célébrations annuelles de la Pâque juive.</w:t>
      </w:r>
    </w:p>
    <w:p>
      <w:r/>
      <w:r>
        <w:t>À minuit, un ange du Seigneur fait mourir tous les premiers-nés d'Égypte, du premier-né de pharaon à ceux des prisonniers et des serviteurs. Aucune famille, à part celles des Israélites, n'est épargnée. Quand pharaon voit cela, il ordonne à Moïse et aux Israélites de partir immédiatement (</w:t>
      </w:r>
      <w:hyperlink r:id="rId10222">
        <w:r>
          <w:rPr>
            <w:color w:val="0000EE"/>
            <w:u w:val="single"/>
          </w:rPr>
          <w:t>Ex 12.31–32</w:t>
        </w:r>
      </w:hyperlink>
      <w:r>
        <w:t>). La Bible dit qu'il y a alors environ 600 000 hommes israélites parmi le peuple qui part l'Égypte. En incluant les femmes et les enfants, il y aurait eu plus de 2 millions de personnes au total.</w:t>
      </w:r>
    </w:p>
    <w:p>
      <w:pPr>
        <w:pStyle w:val="Heading4"/>
      </w:pPr>
      <w:r>
        <w:t>L'Exode d'Égypte</w:t>
      </w:r>
    </w:p>
    <w:p>
      <w:r/>
      <w:r>
        <w:t>L'Exode est l'événement central de l'AT qui donne naissance à Israël en tant que nation. Pour les Juifs, l'exode reste la plus grande démonstration du salut de Dieu pour son peuple, tout comme la croix l'est pour les chrétiens.</w:t>
      </w:r>
    </w:p>
    <w:p>
      <w:r/>
      <w:r>
        <w:t>Malgré les nombreuses propositions qui ont été faites à ce sujet, il est impossible de déterminer avec certitude l'itinéraire précis que suivent les Israélites en sortant d'Égypte. Ils ne prennent pas le chemin le plus court vers le pays de Canaan. Cela aurait représenté un voyage d'environ dix jours le long de la côte méditerranéenne. Au lieu de cela, ils se dirigent vers le mont Sinaï, où Dieu a auparavant parlé à Moïse depuis le buisson ardent. Dieu avait dit à Moïse qu'il amènerait le peuple à cet endroit même, et que cela servirait de signe à Moïse que Dieu l'avait envoyé pour délivrer son peuple (</w:t>
      </w:r>
      <w:hyperlink r:id="rId5235">
        <w:r>
          <w:rPr>
            <w:color w:val="0000EE"/>
            <w:u w:val="single"/>
          </w:rPr>
          <w:t>Ex 3.12</w:t>
        </w:r>
      </w:hyperlink>
      <w:r>
        <w:t>). Les Israélites n'oublient pas d'emporter les os de Joseph avec eux en repartant pour à la Terre promise, comme il le leur avait demandé (</w:t>
      </w:r>
      <w:hyperlink r:id="rId6043">
        <w:r>
          <w:rPr>
            <w:color w:val="0000EE"/>
            <w:u w:val="single"/>
          </w:rPr>
          <w:t>Gn 50.25</w:t>
        </w:r>
      </w:hyperlink>
      <w:r>
        <w:t xml:space="preserve"> ; </w:t>
      </w:r>
      <w:hyperlink r:id="rId6044">
        <w:r>
          <w:rPr>
            <w:color w:val="0000EE"/>
            <w:u w:val="single"/>
          </w:rPr>
          <w:t>Ex 13.19</w:t>
        </w:r>
      </w:hyperlink>
      <w:r>
        <w:t>).</w:t>
      </w:r>
    </w:p>
    <w:p>
      <w:r/>
      <w:r>
        <w:t>Pendant le voyage, le peuple est guidé par une colonne de nuée pendant le jour et une colonne de feu pendant la nuit. Ces colonnes représentent la présence de Dieu et leur servent de guides pendant tout leur voyage.</w:t>
      </w:r>
    </w:p>
    <w:p>
      <w:r/>
      <w:r>
        <w:t>Cependant, pharaon regrette d'avoir laissé partir les Israélites et décide alors de se lancer à leur poursuite avec son armée. Lorsque les Hébreux voient l'armée égyptienne approcher, ils sont terrifiés. La mer est devant eux et les Égyptiens derrière. Il ne semble pas y avoir de moyen de s'échapper. Les Israélitse se mettent à reprocher à Moïse de les avoir fait sortir d'Égypte. Toutefois, Dieu leur fait savoir par Moïse de ne pas avoir peur, ni de faire quoi que ce soit pour se défendre. Il leur promet de combattre pour eux et de leur donner la victoire (</w:t>
      </w:r>
      <w:hyperlink r:id="rId10223">
        <w:r>
          <w:rPr>
            <w:color w:val="0000EE"/>
            <w:u w:val="single"/>
          </w:rPr>
          <w:t>Ex 14.14</w:t>
        </w:r>
      </w:hyperlink>
      <w:r>
        <w:t>).</w:t>
      </w:r>
    </w:p>
    <w:p>
      <w:r/>
      <w:r>
        <w:t>Le Seigneur divise les eaux de la mer des Roseaux (souvent appelée à tort la mer Rouge) avec un fort vent d'est et permet ainsi aux Israélites de traverser à sec. Les Égyptiens se lancent à leur poursuite sur ce chemin entre les eaux de la mer. Cependant Dieu ramène les eaux, qui s'abattent sur l'armée égyptienne et la détruit. Les Israélites arrivent en sécurité de l'autre côté. Le peuple se met à célébrer son salut avec des chants (</w:t>
      </w:r>
      <w:hyperlink r:id="rId3938">
        <w:r>
          <w:rPr>
            <w:color w:val="0000EE"/>
            <w:u w:val="single"/>
          </w:rPr>
          <w:t>Ex 15</w:t>
        </w:r>
      </w:hyperlink>
      <w:r>
        <w:t>) et poursuit son voyage. Le récit qui suit décrit les difficultés qui mettent les Israélites en péril dans le désert :</w:t>
      </w:r>
    </w:p>
    <w:p>
      <w:pPr>
        <w:pStyle w:val="ListBullet"/>
        <w:spacing w:line="240" w:lineRule="auto"/>
        <w:ind w:left="720"/>
      </w:pPr>
      <w:r/>
      <w:r>
        <w:t>Des épreuves en rapport avec la nourriture et l'eau</w:t>
      </w:r>
    </w:p>
    <w:p>
      <w:pPr>
        <w:pStyle w:val="ListBullet"/>
        <w:spacing w:line="240" w:lineRule="auto"/>
        <w:ind w:left="720"/>
      </w:pPr>
      <w:r/>
      <w:r>
        <w:t>Des divisions par des querelles</w:t>
      </w:r>
    </w:p>
    <w:p>
      <w:pPr>
        <w:pStyle w:val="ListBullet"/>
        <w:spacing w:line="240" w:lineRule="auto"/>
        <w:ind w:left="720"/>
      </w:pPr>
      <w:r/>
      <w:r>
        <w:t>Des rebellions contre Moïse</w:t>
      </w:r>
    </w:p>
    <w:p>
      <w:pPr>
        <w:pStyle w:val="ListBullet"/>
        <w:spacing w:line="240" w:lineRule="auto"/>
        <w:ind w:left="720"/>
      </w:pPr>
      <w:r/>
      <w:r>
        <w:t>Des batailles contre leurs ennemis</w:t>
      </w:r>
    </w:p>
    <w:p>
      <w:r/>
      <w:r>
        <w:t>Dans toutes ces épreuves, Moïse est le grand chef spirituel du peuple qui aide Israël à rester uni.</w:t>
      </w:r>
    </w:p>
    <w:p>
      <w:r/>
      <w:r>
        <w:t>Même s'ils ont vu comment Dieu les a délivrés de façon spectaculaire, la foi des Israélites est faible. Trois jours plus tard, ils trouvent de l'eau imbuvable et commencent à se plaindre à Moïse. Le Seigneur montre à Moïse comment purifier l'eau et satisfait ainsi les besoins du peuple (</w:t>
      </w:r>
      <w:hyperlink r:id="rId5296">
        <w:r>
          <w:rPr>
            <w:color w:val="0000EE"/>
            <w:u w:val="single"/>
          </w:rPr>
          <w:t>Ex 15.22–25</w:t>
        </w:r>
      </w:hyperlink>
      <w:r>
        <w:t>). Lorsqu'ils arrivent au désert de Sin, ils se plaignent à nouveau, cette fois qu'il n'y a pas assez de nourriture. Dieu pourvoit de la manne, une substance qui ressemble à du pain, pour leur donner de la nourriture jusqu'à leur arrivée à Canaan (</w:t>
      </w:r>
      <w:hyperlink r:id="rId10224">
        <w:r>
          <w:rPr>
            <w:color w:val="0000EE"/>
            <w:u w:val="single"/>
          </w:rPr>
          <w:t>Ex 16.1–21</w:t>
        </w:r>
      </w:hyperlink>
      <w:r>
        <w:t>). Plus tard, alors qu'ils campent à Rephidim, les Israélites se plaignent encore qu'il n'y a pas d'eau. Cette fois-ci, Dieu fait sortir de l'eau d'un rocher à Horeb (</w:t>
      </w:r>
      <w:hyperlink r:id="rId5273">
        <w:r>
          <w:rPr>
            <w:color w:val="0000EE"/>
            <w:u w:val="single"/>
          </w:rPr>
          <w:t>Ex 17.1–7</w:t>
        </w:r>
      </w:hyperlink>
      <w:r>
        <w:t>). Après cela, les Amalécites les attaquent, mais Dieu donne aux Israélites une grande victoire (</w:t>
      </w:r>
      <w:hyperlink r:id="rId10225">
        <w:r>
          <w:rPr>
            <w:color w:val="0000EE"/>
            <w:u w:val="single"/>
          </w:rPr>
          <w:t>Ex 18.8–13</w:t>
        </w:r>
      </w:hyperlink>
      <w:r>
        <w:t>).</w:t>
      </w:r>
    </w:p>
    <w:p>
      <w:r/>
      <w:r>
        <w:t>Moïse et le peuple arrivent au Sinaï et y campent. Jéthro, beau-père de Moïse, vient lui rendre visite, amenant la femme et les fils de Moïse avec lui. Séphora avait apparemment décidé de rester avec son père plutôt que d'aller en Égypte avec Moïse. Ce sont de joyeuses retrouvailles et Jéthro offre un holocauste et d'autres sacrifices à Dieu. Comme Moïse n'est pas capable de régler toutes les disputes des Israélites tout seul, Jéthro lui conseille de déléguer certaines tâches à des hommes responsables parmi le peuple. Moïse suit son conseil, puis Jéthro retourne dans son pays. Il est déjà parti quand Dieu fait alliance avec Israël au Sinaï (</w:t>
      </w:r>
      <w:hyperlink r:id="rId7247">
        <w:r>
          <w:rPr>
            <w:color w:val="0000EE"/>
            <w:u w:val="single"/>
          </w:rPr>
          <w:t>Ex 18.13–27</w:t>
        </w:r>
      </w:hyperlink>
      <w:r>
        <w:t>).</w:t>
      </w:r>
    </w:p>
    <w:p>
      <w:pPr>
        <w:pStyle w:val="Heading4"/>
      </w:pPr>
      <w:r>
        <w:t>La loi donnée au mont Sinaï</w:t>
      </w:r>
    </w:p>
    <w:p>
      <w:r/>
      <w:r>
        <w:t>Dieu a tenu sa promesse à Moïse. Il a délivré Israël de l'esclavage et a amené le peuple au mont Sinaï, où il a fait de Moïse son serviteur au tout début. C'est là que Dieu fait alliance avec Israël. Il descend sur le mont Sinaï et appelle Moïse au sommet de la montagne. Des manifestations spectaculaires d'éclairs, de tonnerre, d'épais nuages, de feu, de fumée et un tremblement de terre se font voir et entendre. Moïse reste sur la montagne 40 jours pour y recevoir la loi sur laquelle repose l'alliance.</w:t>
      </w:r>
    </w:p>
    <w:p>
      <w:r/>
      <w:r>
        <w:t>Au Sinaï, le Seigneur se révèle comme le Dieu qui exige que son peuple l'honore dans tous domaines de la vie et qui veut être comme un père pour eux et qu'eux soient comme des fils et des filles pour lui.</w:t>
      </w:r>
    </w:p>
    <w:p>
      <w:pPr>
        <w:pStyle w:val="Heading4"/>
      </w:pPr>
      <w:r>
        <w:t>L'apostasie du peuple</w:t>
      </w:r>
    </w:p>
    <w:p>
      <w:r/>
      <w:r>
        <w:t xml:space="preserve">Comme Moïse reste sur la montagne du Sinaï pendant longtemps, le peuple commence à s'impatienter et à douter de son retour. Ils demandent à Aaron de créer une idole pour être leur dieu. Aaron demande au peuple de rassembler des boucles d'oreilles en or, les fait fondre et en fait un veau. Le peuple s'exclame : « </w:t>
      </w:r>
      <w:r>
        <w:t>Israël ! voici ton dieu, qui t'a fait sortir du pays d'Égypte</w:t>
      </w:r>
      <w:r>
        <w:t xml:space="preserve"> » (</w:t>
      </w:r>
      <w:hyperlink r:id="rId5288">
        <w:r>
          <w:rPr>
            <w:color w:val="0000EE"/>
            <w:u w:val="single"/>
          </w:rPr>
          <w:t>Ex 32.4</w:t>
        </w:r>
      </w:hyperlink>
      <w:r>
        <w:t>).</w:t>
      </w:r>
    </w:p>
    <w:p>
      <w:r/>
      <w:r>
        <w:t xml:space="preserve">Le lendemain, ils adorent l'idole avec des sacrifices et des célébrations. Dieu dit à Moïse ce que le peuple est en train de faire en bas de la montagne et veut les détruire. Il propose de faire une grande nation à partir des descendants de Moïse. Mais celui-ci intercède pour le peuple et la colère de Dieu diminue.détruire. Moïse descend alors de la montagne avec les tables de pierre sur lesquelles Dieu a écrit la loi. En voyant l'idolâtrie du peuple, Moïse se met en colère et brise les tables de pierre. Il fait réduire le veau d'or en poudre, le mélange avec de l'eau et oblige le peuple à boire cette eau. Moïse confronte Aaron et lui demande une explication, mais celui-ci minimise son propre rôle et répond : « </w:t>
      </w:r>
      <w:r>
        <w:t xml:space="preserve">je l'ai </w:t>
      </w:r>
      <w:r>
        <w:t xml:space="preserve">[l'or] </w:t>
      </w:r>
      <w:r>
        <w:t xml:space="preserve">jeté au feu, et il en est sorti ce veau </w:t>
      </w:r>
      <w:r>
        <w:t>» (</w:t>
      </w:r>
      <w:hyperlink r:id="rId10075">
        <w:r>
          <w:rPr>
            <w:color w:val="0000EE"/>
            <w:u w:val="single"/>
          </w:rPr>
          <w:t>Ex 32.24</w:t>
        </w:r>
      </w:hyperlink>
      <w:r>
        <w:t>).</w:t>
      </w:r>
    </w:p>
    <w:p>
      <w:r/>
      <w:r>
        <w:t>Moïse demande au peuple qui, parmi eux, est prêt à aider à exécuter le jugement de Dieu sur le peuple. Les Lévites se présentent et mettent à mort environ 3 000 hommes. Les Lévites seront félicités et récompensés pour leur dévotion à Dieu ce jour-là (</w:t>
      </w:r>
      <w:hyperlink r:id="rId10226">
        <w:r>
          <w:rPr>
            <w:color w:val="0000EE"/>
            <w:u w:val="single"/>
          </w:rPr>
          <w:t>Dt 33.9–10</w:t>
        </w:r>
      </w:hyperlink>
      <w:r>
        <w:t>). Moïse intercède de nouveau pour le peuple. Il dit que lui-même devrait aussi être détruit par Dieu si celui-ci ne veut pas accorder son pardon au peuple. Dieu écoute Moïse et accorde que son ange les accompagne jusqu'en Terre promise (</w:t>
      </w:r>
      <w:hyperlink r:id="rId10227">
        <w:r>
          <w:rPr>
            <w:color w:val="0000EE"/>
            <w:u w:val="single"/>
          </w:rPr>
          <w:t>Ex 32.34</w:t>
        </w:r>
      </w:hyperlink>
      <w:r>
        <w:t>).</w:t>
      </w:r>
    </w:p>
    <w:p>
      <w:r/>
      <w:r>
        <w:t xml:space="preserve">Moïse demande à Dieu de lui montrer sa gloire. Dieu lui commande de tailler deux autres tables de pierre et de revenir sur la montagne. Là, Dieu proclame son nom : « </w:t>
      </w:r>
      <w:r>
        <w:t>L'Éternel, l'Éternel, Dieu miséricordieux et compatissant, lent à la colère, riche en bonté et en fidélité</w:t>
      </w:r>
      <w:r>
        <w:t xml:space="preserve"> » (</w:t>
      </w:r>
      <w:hyperlink r:id="rId8646">
        <w:r>
          <w:rPr>
            <w:color w:val="0000EE"/>
            <w:u w:val="single"/>
          </w:rPr>
          <w:t>Ex 34.6</w:t>
        </w:r>
      </w:hyperlink>
      <w:r>
        <w:t>). Moïse passe 40 jours de plus sur la montagne. Dieu donne des avertissements contre l'idolâtrie, des lois à suivre et une autre copie des dix commandements.</w:t>
      </w:r>
      <w:r>
        <w:rPr>
          <w:b/>
          <w:i/>
        </w:rPr>
        <w:t xml:space="preserve"> </w:t>
      </w:r>
      <w:r>
        <w:t>Quand Moïse redescend de la montage après avoir parlé avec Dieu, son visage rayonne. Cela fait peur au peuple et Moïse met alors un voile pour masquer son visage. Il l'enlève quand il parle avec Dieu. Plus tard, l'apôtre Paul expliquera que ce voile empêchait le peuple de fixer leur regards sur ce qui était passager (</w:t>
      </w:r>
      <w:hyperlink r:id="rId10228">
        <w:r>
          <w:rPr>
            <w:color w:val="0000EE"/>
            <w:u w:val="single"/>
          </w:rPr>
          <w:t>2Co 3.13</w:t>
        </w:r>
      </w:hyperlink>
      <w:r>
        <w:t>).</w:t>
      </w:r>
    </w:p>
    <w:p>
      <w:pPr>
        <w:pStyle w:val="Heading4"/>
      </w:pPr>
      <w:r>
        <w:t>Construction du tabernacle et établissement du sacerdoce</w:t>
      </w:r>
    </w:p>
    <w:p>
      <w:r/>
      <w:r>
        <w:t xml:space="preserve">Lorsque Moïse monte sur la montagne la première fois pour y recevoir la loi, Dieu lui dit de prendre une offrande du peuple en matériaux qui serviront à construire un tabernacle. Le tabernacle est un sanctuaire portable utilisé pour l'adoration et les sacrifices. Les matériaux utilisés pour sa construction incluent (voir </w:t>
      </w:r>
      <w:hyperlink r:id="rId10229">
        <w:r>
          <w:rPr>
            <w:color w:val="0000EE"/>
            <w:u w:val="single"/>
          </w:rPr>
          <w:t>Ex 25.3–7</w:t>
        </w:r>
      </w:hyperlink>
      <w:r>
        <w:t>) :</w:t>
      </w:r>
    </w:p>
    <w:p>
      <w:pPr>
        <w:pStyle w:val="ListBullet"/>
        <w:spacing w:line="240" w:lineRule="auto"/>
        <w:ind w:left="720"/>
      </w:pPr>
      <w:r/>
      <w:r>
        <w:t>de l'or</w:t>
      </w:r>
    </w:p>
    <w:p>
      <w:pPr>
        <w:pStyle w:val="ListBullet"/>
        <w:spacing w:line="240" w:lineRule="auto"/>
        <w:ind w:left="720"/>
      </w:pPr>
      <w:r/>
      <w:r>
        <w:t>de l'argent</w:t>
      </w:r>
    </w:p>
    <w:p>
      <w:pPr>
        <w:pStyle w:val="ListBullet"/>
        <w:spacing w:line="240" w:lineRule="auto"/>
        <w:ind w:left="720"/>
      </w:pPr>
      <w:r/>
      <w:r>
        <w:t>du bronze</w:t>
      </w:r>
    </w:p>
    <w:p>
      <w:pPr>
        <w:pStyle w:val="ListBullet"/>
        <w:spacing w:line="240" w:lineRule="auto"/>
        <w:ind w:left="720"/>
      </w:pPr>
      <w:r/>
      <w:r>
        <w:t>des tissus de couleurs différentes</w:t>
      </w:r>
    </w:p>
    <w:p>
      <w:pPr>
        <w:pStyle w:val="ListBullet"/>
        <w:spacing w:line="240" w:lineRule="auto"/>
        <w:ind w:left="720"/>
      </w:pPr>
      <w:r/>
      <w:r>
        <w:t>du fin lin</w:t>
      </w:r>
    </w:p>
    <w:p>
      <w:pPr>
        <w:pStyle w:val="ListBullet"/>
        <w:spacing w:line="240" w:lineRule="auto"/>
        <w:ind w:left="720"/>
      </w:pPr>
      <w:r/>
      <w:r>
        <w:t>du poil de chèvre</w:t>
      </w:r>
    </w:p>
    <w:p>
      <w:pPr>
        <w:pStyle w:val="ListBullet"/>
        <w:spacing w:line="240" w:lineRule="auto"/>
        <w:ind w:left="720"/>
      </w:pPr>
      <w:r/>
      <w:r>
        <w:t>des peaux tannées</w:t>
      </w:r>
    </w:p>
    <w:p>
      <w:pPr>
        <w:pStyle w:val="ListBullet"/>
        <w:spacing w:line="240" w:lineRule="auto"/>
        <w:ind w:left="720"/>
      </w:pPr>
      <w:r/>
      <w:r>
        <w:t>du bois d'acacia</w:t>
      </w:r>
    </w:p>
    <w:p>
      <w:pPr>
        <w:pStyle w:val="ListBullet"/>
        <w:spacing w:line="240" w:lineRule="auto"/>
        <w:ind w:left="720"/>
      </w:pPr>
      <w:r/>
      <w:r>
        <w:t>de l'huile pour les lampes</w:t>
      </w:r>
    </w:p>
    <w:p>
      <w:pPr>
        <w:pStyle w:val="ListBullet"/>
        <w:spacing w:line="240" w:lineRule="auto"/>
        <w:ind w:left="720"/>
      </w:pPr>
      <w:r/>
      <w:r>
        <w:t>des épices pour l'huile d'onction et l'encens</w:t>
      </w:r>
    </w:p>
    <w:p>
      <w:pPr>
        <w:pStyle w:val="ListBullet"/>
        <w:spacing w:line="240" w:lineRule="auto"/>
        <w:ind w:left="720"/>
      </w:pPr>
      <w:r/>
      <w:r>
        <w:t>des pierres précieuses</w:t>
      </w:r>
    </w:p>
    <w:p>
      <w:r/>
      <w:r>
        <w:t>Dieu donne des instructions spécifiques pour la construction du tabernacle et la consécration des sacrificateurs. Betsaleel est désigné pour superviser la construction du tabernacle, avec Oholiab pour assistant (</w:t>
      </w:r>
      <w:hyperlink r:id="rId10230">
        <w:r>
          <w:rPr>
            <w:color w:val="0000EE"/>
            <w:u w:val="single"/>
          </w:rPr>
          <w:t>Ex 31.1–6</w:t>
        </w:r>
      </w:hyperlink>
      <w:r>
        <w:t>). Le tabernacle est portable, comme une tente. Ceci permet de le démonter et de le déplacer quand le peuple reprend sa marche vers le pays de Canaan.</w:t>
      </w:r>
    </w:p>
    <w:p>
      <w:r/>
      <w:r>
        <w:t>Dieu donne également à Moïse des instructions sur les holocaustes, les offrandes végétales et d'actions de grâces, ainsi que sur les sacrifices d'expiation et de culpabilité (</w:t>
      </w:r>
      <w:hyperlink r:id="rId10231">
        <w:r>
          <w:rPr>
            <w:color w:val="0000EE"/>
            <w:u w:val="single"/>
          </w:rPr>
          <w:t>Lv 1–7</w:t>
        </w:r>
      </w:hyperlink>
      <w:r>
        <w:t>).</w:t>
      </w:r>
    </w:p>
    <w:p>
      <w:r/>
      <w:r>
        <w:t>Une cérémonie solennelle est organisée suivant les instructions de Dieu, pendant laquelle Moïse consacre Aaron et ses fils comme sacrificateurs pour qu'ils puissent commencer leurs ministères (</w:t>
      </w:r>
      <w:hyperlink r:id="rId10232">
        <w:r>
          <w:rPr>
            <w:color w:val="0000EE"/>
            <w:u w:val="single"/>
          </w:rPr>
          <w:t>Lv 8–9</w:t>
        </w:r>
      </w:hyperlink>
      <w:r>
        <w:t>).</w:t>
      </w:r>
    </w:p>
    <w:p>
      <w:r/>
      <w:r>
        <w:t>Pendant le temps de leur consécration, deux des fils d'Aaron, Nadab et Abihu, amènent devant Dieu des brasiers avec du parfum que Dieu n'a pas commandé. Dieu envoie un feu qui consume les deux d'entre eux. Moïse empêche Aaron et ses fils restants de porter le deuil à ce moment-là pour éviter d'interrompre leur propre consécration très solennelle et risquer eux aussi le jugement de Dieu (</w:t>
      </w:r>
      <w:hyperlink r:id="rId10233">
        <w:r>
          <w:rPr>
            <w:color w:val="0000EE"/>
            <w:u w:val="single"/>
          </w:rPr>
          <w:t>Lv 10.1–7</w:t>
        </w:r>
      </w:hyperlink>
      <w:r>
        <w:t>). Cet épisode montre à quel point la sainteté est importante aux yeux de Dieu. Le reste du Lévitique est principalement consacré à enseigner des lois sur la sainteté.</w:t>
      </w:r>
    </w:p>
    <w:p>
      <w:pPr>
        <w:pStyle w:val="Heading4"/>
      </w:pPr>
      <w:r>
        <w:t>Du Sinaï à Kadès</w:t>
      </w:r>
    </w:p>
    <w:p>
      <w:r/>
      <w:r>
        <w:t>Un an après avoir quitté l'Égypte, Dieu commande un recensement des Israélites (</w:t>
      </w:r>
      <w:hyperlink r:id="rId10234">
        <w:r>
          <w:rPr>
            <w:color w:val="0000EE"/>
            <w:u w:val="single"/>
          </w:rPr>
          <w:t>Nb 9.1</w:t>
        </w:r>
      </w:hyperlink>
      <w:r>
        <w:t>). Il leur rappelle d'observer la Pâque. Un mois plus tard, ils partent du Sinaï. Ils se plaignent du manque de variété de leur régime alimentaire de manne et convoitent les aliments qu'il disent avoir eu en Égypte, y compris du poisson, des concombres, des melons, des poireaux, des oignons et de l'ail (</w:t>
      </w:r>
      <w:hyperlink r:id="rId10235">
        <w:r>
          <w:rPr>
            <w:color w:val="0000EE"/>
            <w:u w:val="single"/>
          </w:rPr>
          <w:t>Nb 11.4–6</w:t>
        </w:r>
      </w:hyperlink>
      <w:r>
        <w:t>).</w:t>
      </w:r>
    </w:p>
    <w:p>
      <w:r/>
      <w:r>
        <w:t>Dieu leur envoie des cailles à manger, mais est en colère, et beaucoup d'Israélites meurent frappés par une grande plaie pendant qu'ils mangent la viande.</w:t>
      </w:r>
    </w:p>
    <w:p>
      <w:r/>
      <w:r>
        <w:t>Miriam et Aaron parlent aussi contre Moïse au sujet de sa femme éthiopienne. (</w:t>
      </w:r>
      <w:hyperlink r:id="rId10236">
        <w:r>
          <w:rPr>
            <w:color w:val="0000EE"/>
            <w:u w:val="single"/>
          </w:rPr>
          <w:t>Nb 12.1–2</w:t>
        </w:r>
      </w:hyperlink>
      <w:r>
        <w:t>). Cette femme était peut-être cushite ou éthiopienne, ou il s'agit peut-être de Séphora, mais ce n'est pas clair. Si Moïse s'est marié une deuxième fois, ce n'est pas mentionné ailleurs dans l'AT. Moïse reste silencieux et Dieu prend sa défense en frappant Miriam de lèpre. Aaron reconnaît leur péché, et l'intercession de Moïse conduit à la guérison de Miriam après sept jours.</w:t>
      </w:r>
    </w:p>
    <w:p>
      <w:r/>
      <w:r>
        <w:t xml:space="preserve">Alors que le peuple campe à Kadès (également appelé Kadès-Barnéa dans </w:t>
      </w:r>
      <w:hyperlink r:id="rId10237">
        <w:r>
          <w:rPr>
            <w:color w:val="0000EE"/>
            <w:u w:val="single"/>
          </w:rPr>
          <w:t>Nb 32.8</w:t>
        </w:r>
      </w:hyperlink>
      <w:r>
        <w:t>), Moïse envoie douze hommes, un de chaque tribu, pour explorer le pays de Canaan afin d'aider Israël à se préparer à y entrer. Quarante jours plus tard, les espions reviennent. Ils s'accordent à dire que le pays est fertile et accueillant, mais dix d'entre eux insistent que les Cananéens qui y habitent sont redoutables. Ils découragent le peuple d'y monter. Seuls Josué et Caleb encouragent les Israélites à faire confiance à Dieu et à aller conquérir le pays que Dieu leur a promis. Ces deux hommes se montrent ainsi exceptionnellement courageux et fidèles.</w:t>
      </w:r>
    </w:p>
    <w:p>
      <w:r/>
      <w:r>
        <w:t>Malgré ces encouragements, la peur et le manque de foi des Israélites sont plus forts. Ils parlent de retourner en Égypte et de nommer un nouveau chef. Ils se rebellent au point de menacer de lapider Moïse et Aaron. Dieu intervient. Il est irrité par leurs désobéissances répétées et est prêt à détruire le peuple. Une fois de plus, Moïse intercède pour le peuple (</w:t>
      </w:r>
      <w:hyperlink r:id="rId10238">
        <w:r>
          <w:rPr>
            <w:color w:val="0000EE"/>
            <w:u w:val="single"/>
          </w:rPr>
          <w:t>Nb 13.1–14.19</w:t>
        </w:r>
      </w:hyperlink>
      <w:r>
        <w:t>). Il dit à Dieu que s'il n'amène pas le peuple dans la Terre promise, les autres nations diront qu'il n'a pas été capable d'accomplir ce qu'il a dit qu'il ferait.</w:t>
      </w:r>
    </w:p>
    <w:p>
      <w:r/>
      <w:r>
        <w:t>Dieu répond encore favorablement à la prière de Moïse et ne détruit pas le peuple. Mais il annonce qu'aucun des hommes âgés de 20 ans ou plus et qui s'étaient plaints n'entrerait dans la Terre promise. Au lieu d'entrer dans le pays, le peuple devra errer dans le désert pendant 40 ans jusqu'à la mort de cette génération. Ce sont leurs enfants qui prendront possession de Canaan (</w:t>
      </w:r>
      <w:hyperlink r:id="rId10239">
        <w:r>
          <w:rPr>
            <w:color w:val="0000EE"/>
            <w:u w:val="single"/>
          </w:rPr>
          <w:t>Nb 14.29–33</w:t>
        </w:r>
      </w:hyperlink>
      <w:r>
        <w:t>). En entendant ce jugement, les Israélites veulent essayer de forcer un changement et désobéissent encore, en décidant d'entrer immédiatement dans le pays. Cependant, comme leur décision n'a pas la bénédiction de Dieu, ceux qui montent subissent une grande défaite contre les Amalécites et les Cananéens qui les repoussent.</w:t>
      </w:r>
    </w:p>
    <w:p>
      <w:pPr>
        <w:pStyle w:val="Heading4"/>
      </w:pPr>
      <w:r>
        <w:t>Les quarante années dans le désert</w:t>
      </w:r>
    </w:p>
    <w:p>
      <w:r/>
      <w:r>
        <w:t>Peu de détails sont donnés sur les événements de ces quarante années d'errance dans le désert. Malgré les signes et les jugements qu'ils reçoivent, les Israélites montrent encore à plusieurs reprises leur manque de foi et leur désobéissance. Un lévite du nom de Koré est responsable d'une autre rébellion contre l'autorité de Moïse et d'Aaron. Moïse et Aaron intercèdent pour que Dieu ne détruise pas toute l'assemblée (</w:t>
      </w:r>
      <w:hyperlink r:id="rId10240">
        <w:r>
          <w:rPr>
            <w:color w:val="0000EE"/>
            <w:u w:val="single"/>
          </w:rPr>
          <w:t>Nb 16.22–24</w:t>
        </w:r>
      </w:hyperlink>
      <w:r>
        <w:t>) à la suite de cet incident. Dieu commande au peuple de se séparer des meneurs de la rébellion. Pendant que le peuple regarde, le sol s'ouvre et engloutit les rebelles ainsi que leurs familles et leurs biens. Malgré ce jugement, les Israélites se plaignent encore contre Moïse et Aaron. Cette fois-ci, Dieu envoie une plaie qui provoque la mort de 14 700 personnes avant que l'intervention de Moïse et d'Aaron l'arrête.</w:t>
      </w:r>
    </w:p>
    <w:p>
      <w:r/>
      <w:r>
        <w:t>Pour confirmer qu'Aaron est bien celui qu'il a choisi comme souverain sacrificateur, Dieu commande à Moïse que chaque tribu donne un bâton et de les placer dans la tente d'assignation (la tente au milieu de la cour du tabernacle). Le lendemain, le bâton donné par Aaron a bourgeonné, fleuri et produit des amandes, montrant ainsi que c'est lui que Dieu a choisi. Mais cela ne met pas fin à toutes les plaintes du peuple.</w:t>
      </w:r>
    </w:p>
    <w:p>
      <w:r/>
      <w:r>
        <w:t>Vers la fin du temps d'errance des Israélites au désert, Miriam meurt et est enterrée à Kadès (</w:t>
      </w:r>
      <w:hyperlink r:id="rId8042">
        <w:r>
          <w:rPr>
            <w:color w:val="0000EE"/>
            <w:u w:val="single"/>
          </w:rPr>
          <w:t>Nb 20.1</w:t>
        </w:r>
      </w:hyperlink>
      <w:r>
        <w:t xml:space="preserve">). Peu après, le peuple se plaint du manque d'eau. Dieu dit à Moïse de parler à un rocher pour faire jaillir de l'eau, mais Moïse, frustré envers le peuple, se met en colère et frappe le rocher deux fois avec son bâton. Dieu fait couler de l'eau du rocher, mais il réprimande Moïse et Aaron : « </w:t>
      </w:r>
      <w:r>
        <w:t>Parce que vous n'avez pas cru en moi, pour me sanctifier aux yeux des enfants d'Israël, vous ne ferez point entrer cette assemblée dans le pays que je lui donne</w:t>
      </w:r>
      <w:r>
        <w:t xml:space="preserve"> » (</w:t>
      </w:r>
      <w:hyperlink r:id="rId10241">
        <w:r>
          <w:rPr>
            <w:color w:val="0000EE"/>
            <w:u w:val="single"/>
          </w:rPr>
          <w:t>Nb 20.12</w:t>
        </w:r>
      </w:hyperlink>
      <w:r>
        <w:t xml:space="preserve">). La nature de leur péché est incertaine, mais Moïse et Aaron ont apparemment manqué de foi et n'ont pas honoré Dieu comme ils auraient dû en tant que chefs du peuple. Par conséquent, Dieu leur permet pas de conduire les Israélites en Terre promise. Cette punition peut sembler sévère, mais elle montre que les rôles très importants que Dieu a accordés à Moïse et à Aaron leur donnaient aussi de plus grands devoirs et responsabilités. </w:t>
      </w:r>
    </w:p>
    <w:p>
      <w:r/>
      <w:r>
        <w:t>Les Israélites partent de Kadès et se rendent jusqu'à la montagne de Hor. Aaron meurt à cet endroit. Ses habits de souverain sacrificateur sont remis à son fils Éléazar, qui prend sa place (</w:t>
      </w:r>
      <w:hyperlink r:id="rId10242">
        <w:r>
          <w:rPr>
            <w:color w:val="0000EE"/>
            <w:u w:val="single"/>
          </w:rPr>
          <w:t>Nb 20.28</w:t>
        </w:r>
      </w:hyperlink>
      <w:r>
        <w:t>).</w:t>
      </w:r>
    </w:p>
    <w:p>
      <w:r/>
      <w:r>
        <w:t>Alors que le peuple continue son voyage vers Canaan, il rencontre de l'opposition. Ils remportent une victoire sur le roi d'Arad à Horma (</w:t>
      </w:r>
      <w:hyperlink r:id="rId10243">
        <w:r>
          <w:rPr>
            <w:color w:val="0000EE"/>
            <w:u w:val="single"/>
          </w:rPr>
          <w:t>Nb 21.1–3</w:t>
        </w:r>
      </w:hyperlink>
      <w:r>
        <w:t>). Cependant, pendant qu'ils contournent Édom, le peuple se plaint à nouveau quand ils ne trouvent pas de nourriture et d'eau. Cette fois, Dieu envoie des serpents venimeux parmi eux. Beaucoup d'entre eux meurent des morsures de ces serpents. Les autres vont voir Moïse, reconnaissent qu'ils ont péché et demandent qu'il prie pour que les serpents soient enlevés. Dieu ordonne à Moïse de fabriquer un serpent en bronze et de le placer sur un poteau. Toute personne mordue par un serpent pouvait regarder le serpent en bronze et ne mourait pas.</w:t>
      </w:r>
    </w:p>
    <w:p>
      <w:r/>
      <w:r>
        <w:t>Arrivant aux abords du territoire de Sihon, le roi des Amoréens, les Israélites demandent à pouvoir le traverser en paix, mais reçoivent une réponse hostile. Dans la bataille qui suit, Sihon est vaincu et les Israélites capturent son territoire et ses villes. Puis ils continuent d'avancer vers la Terre promise (</w:t>
      </w:r>
      <w:hyperlink r:id="rId1580">
        <w:r>
          <w:rPr>
            <w:color w:val="0000EE"/>
            <w:u w:val="single"/>
          </w:rPr>
          <w:t>Nb 21.21–25</w:t>
        </w:r>
      </w:hyperlink>
      <w:r>
        <w:t>).</w:t>
      </w:r>
    </w:p>
    <w:p>
      <w:pPr>
        <w:pStyle w:val="Heading4"/>
      </w:pPr>
      <w:r>
        <w:t>Arrivée au Jourdain</w:t>
      </w:r>
    </w:p>
    <w:p>
      <w:r/>
      <w:r>
        <w:t>Après la défaite de Sihon, les Israélites campent dans les plaines de Moab, en face de Jéricho. De cet endroit, ils peuvent voir la Terre promise. Les Moabites craignent les Israélites à cause de leurs récentes victoires. Leur roi, Balak, engage le devin Balaam pour les maudire. Cependant, Dieu change chacune des trois tentatives de Balaam de maudire les Israélites en bénédictions (</w:t>
      </w:r>
      <w:hyperlink r:id="rId711">
        <w:r>
          <w:rPr>
            <w:color w:val="0000EE"/>
            <w:u w:val="single"/>
          </w:rPr>
          <w:t>Nb 22–24</w:t>
        </w:r>
      </w:hyperlink>
      <w:r>
        <w:t>).</w:t>
      </w:r>
    </w:p>
    <w:p>
      <w:r/>
      <w:r>
        <w:t>Même si Balaam ne peut pas maudire Israël, il leur cause un tort considérable : il conseille aux Moabites de tenter les Israélites pour qu'ils se comportent de façon immorale et qu'ils adorent de faux dieux (</w:t>
      </w:r>
      <w:hyperlink r:id="rId10244">
        <w:r>
          <w:rPr>
            <w:color w:val="0000EE"/>
            <w:u w:val="single"/>
          </w:rPr>
          <w:t>Nb 25.1–3</w:t>
        </w:r>
      </w:hyperlink>
      <w:r>
        <w:t xml:space="preserve"> ; </w:t>
      </w:r>
      <w:hyperlink r:id="rId10245">
        <w:r>
          <w:rPr>
            <w:color w:val="0000EE"/>
            <w:u w:val="single"/>
          </w:rPr>
          <w:t>31.16</w:t>
        </w:r>
      </w:hyperlink>
      <w:r>
        <w:t xml:space="preserve"> ; </w:t>
      </w:r>
      <w:hyperlink r:id="rId1795">
        <w:r>
          <w:rPr>
            <w:color w:val="0000EE"/>
            <w:u w:val="single"/>
          </w:rPr>
          <w:t>2P 2.15</w:t>
        </w:r>
      </w:hyperlink>
      <w:r>
        <w:t xml:space="preserve"> ; </w:t>
      </w:r>
      <w:hyperlink r:id="rId10246">
        <w:r>
          <w:rPr>
            <w:color w:val="0000EE"/>
            <w:u w:val="single"/>
          </w:rPr>
          <w:t>Ap 2.14</w:t>
        </w:r>
      </w:hyperlink>
      <w:r>
        <w:t>). Les Israélites tombent dans le piège. Ils se font séduire par des femmes qui les entraînent à sacrifier à leurs dieux. La colère de Dieu éclate contre les Israélites qui se rendent coupable de ce péché. Dieu envoie une plaie qui fait mourir 24 000 Israélites (</w:t>
      </w:r>
      <w:hyperlink r:id="rId10247">
        <w:r>
          <w:rPr>
            <w:color w:val="0000EE"/>
            <w:u w:val="single"/>
          </w:rPr>
          <w:t>Nb 25.9</w:t>
        </w:r>
      </w:hyperlink>
      <w:r>
        <w:t xml:space="preserve">). Cet épisode relate le premier incident où les Israélites se font tenter par ceux qui seront leurs voisins une fois en Terre promise. Ce problème continuera une fois en Canaan et finira par causer leur chute. </w:t>
      </w:r>
    </w:p>
    <w:p>
      <w:r/>
      <w:r>
        <w:t>Après cette plaie, Dieu ordonne à Moïse et à Éléazar de faire un nouveau recensement du peuple, comme celui effectué 40 ans plus tôt. Une génération entière est morte dans le désert, mais une nouvelle génération a pris sa place. La taille de la population est restée presque pareille. 601 730 hommes âgés de 20 ans et plus, aptes à la guerre, sont recensés (</w:t>
      </w:r>
      <w:hyperlink r:id="rId3712">
        <w:r>
          <w:rPr>
            <w:color w:val="0000EE"/>
            <w:u w:val="single"/>
          </w:rPr>
          <w:t>Nb 26.51</w:t>
        </w:r>
      </w:hyperlink>
      <w:r>
        <w:t>). Tous les hommes qui ont été comptés lors du premier recensement sont morts, à part Caleb et Josué.</w:t>
      </w:r>
    </w:p>
    <w:p>
      <w:r/>
      <w:r>
        <w:t>Dieu ordonne alors à Moïse de désigner Josué comme son successeur lors d'une cérémonie publique en présence d'Éléazar, le souverain sacrificateur, et de l'assemblée (</w:t>
      </w:r>
      <w:hyperlink r:id="rId9436">
        <w:r>
          <w:rPr>
            <w:color w:val="0000EE"/>
            <w:u w:val="single"/>
          </w:rPr>
          <w:t>Nb 27.12–23</w:t>
        </w:r>
      </w:hyperlink>
      <w:r>
        <w:t>). Moïse reçoit également d'autres instructions concernant les fêtes, les offrandes et les vœux (</w:t>
      </w:r>
      <w:hyperlink r:id="rId10248">
        <w:r>
          <w:rPr>
            <w:color w:val="0000EE"/>
            <w:u w:val="single"/>
          </w:rPr>
          <w:t>Nb 28–30</w:t>
        </w:r>
      </w:hyperlink>
      <w:r>
        <w:t>). Le dernier acte de dirigeant de Moïse est d'exécuter l'ordre de Dieu de venger Israël des Madianites qui ont conspiré avec les Moabites pour tenter Israël. Dans cette bataille, les Israélites remportent une victoire décisive et tuent les rois madianites ainsi que Balaam.</w:t>
      </w:r>
    </w:p>
    <w:p>
      <w:r/>
      <w:r>
        <w:t>Le Seigneur donne à Moïse des instructions détaillées concernant les frontières de la Terre promise et nomme les chefs qui seront responsables de la division du pays entre les tribus (</w:t>
      </w:r>
      <w:hyperlink r:id="rId10249">
        <w:r>
          <w:rPr>
            <w:color w:val="0000EE"/>
            <w:u w:val="single"/>
          </w:rPr>
          <w:t>Nb 34</w:t>
        </w:r>
      </w:hyperlink>
      <w:r>
        <w:t>). Dieu accorde aux Lévites 48 villes, dont six villes de refuge. Ces villes devaient servir de refuge aux personnes qui tuent quelqu'un par accident. S'y réfugier permettrait à ces personnes de bénéficier d'un procès équitable plutôt que d'être exécutés par vengeance (</w:t>
      </w:r>
      <w:hyperlink r:id="rId10250">
        <w:r>
          <w:rPr>
            <w:color w:val="0000EE"/>
            <w:u w:val="single"/>
          </w:rPr>
          <w:t>Nb 35</w:t>
        </w:r>
      </w:hyperlink>
      <w:r>
        <w:t>).</w:t>
      </w:r>
    </w:p>
    <w:p>
      <w:pPr>
        <w:pStyle w:val="Heading4"/>
      </w:pPr>
      <w:r>
        <w:t>Mort de Moïse</w:t>
      </w:r>
    </w:p>
    <w:p>
      <w:r/>
      <w:r>
        <w:t>Le livre du Deutéronome est le dernier grand discours de Moïse aux Israélites. Il présente ses dernières instructions et réflexions avant sa mort. Excepté les instructions du Seigneur tout à la fin, Moïse est le seul orateur dans le livre, s'adressant à la congrégation rassemblée et racontant leur voyage depuis le départ du mont Sinaï. Il passe en revue leurs échecs passés, y compris leur refus d'entrer dans la terre promise 38 ans plus tôt (</w:t>
      </w:r>
      <w:hyperlink r:id="rId6486">
        <w:r>
          <w:rPr>
            <w:color w:val="0000EE"/>
            <w:u w:val="single"/>
          </w:rPr>
          <w:t>Dt 2.14</w:t>
        </w:r>
      </w:hyperlink>
      <w:r>
        <w:t>). Il leur rappelle sa demande à Dieu de pouvoir traverser le Jourdain et de voir le pays. Mais Dieu accorde seulement à Moïse de voir le pays à distance depuis le sommet du mont Pisga et ne lui permet d'y entrer.</w:t>
      </w:r>
    </w:p>
    <w:p>
      <w:r/>
      <w:r>
        <w:t>Moïse exhorte le peuple à suivre les lois et les commandements de Dieu, en soulignant que leur obéissance conduira à des bénédictions dans le pays dans lequel ils s'apprêtent à entrer.</w:t>
      </w:r>
    </w:p>
    <w:p>
      <w:r/>
      <w:r>
        <w:t>Alors que Moïse va bientôt mourir, Dieu lui ordonne, ainsi qu'à Josué, de se rendre à la tente d'assignation où Josué est officiellement nommé nouveau chef d'Israël (</w:t>
      </w:r>
      <w:hyperlink r:id="rId10251">
        <w:r>
          <w:rPr>
            <w:color w:val="0000EE"/>
            <w:u w:val="single"/>
          </w:rPr>
          <w:t>Dt 31.14–23</w:t>
        </w:r>
      </w:hyperlink>
      <w:r>
        <w:t>). Avant sa mort, Moïse bénit les Israélites (</w:t>
      </w:r>
      <w:hyperlink r:id="rId3894">
        <w:r>
          <w:rPr>
            <w:color w:val="0000EE"/>
            <w:u w:val="single"/>
          </w:rPr>
          <w:t>Dt 33</w:t>
        </w:r>
      </w:hyperlink>
      <w:r>
        <w:t>).</w:t>
      </w:r>
    </w:p>
    <w:p>
      <w:r/>
      <w:r>
        <w:t>Moïse monte ensuite au sommet de Pisga sur le mont Nebo, d'où Dieu lui montre la Terre promise. C'est à cet endroit que meurt Moïse. Dieu Lui-même l'enterre dans une vallée en Moab, en face de Beth-Peor (</w:t>
      </w:r>
      <w:hyperlink r:id="rId10252">
        <w:r>
          <w:rPr>
            <w:color w:val="0000EE"/>
            <w:u w:val="single"/>
          </w:rPr>
          <w:t>Dt 34.6</w:t>
        </w:r>
      </w:hyperlink>
      <w:r>
        <w:t>).</w:t>
      </w:r>
    </w:p>
    <w:p>
      <w:r/>
      <w:r>
        <w:t xml:space="preserve">Moïse a 120 ans au moment de sa mort. Les Israélites le pleurent pendant 30 jours. Le dernier hommage à Moïse dans Deutéronome 34.10 montre à quel point sa relation avec Dieu était exceptionnelle : « </w:t>
      </w:r>
      <w:r>
        <w:t>Il n'a plus paru en Israël de prophète semblable à Moïse, que l'Éternel connaissait face à face</w:t>
      </w:r>
      <w:r>
        <w:t xml:space="preserve"> » (</w:t>
      </w:r>
      <w:hyperlink r:id="rId10253">
        <w:r>
          <w:rPr>
            <w:color w:val="0000EE"/>
            <w:u w:val="single"/>
          </w:rPr>
          <w:t>Dt 34.10</w:t>
        </w:r>
      </w:hyperlink>
      <w:r>
        <w:t>).</w:t>
      </w:r>
    </w:p>
    <w:p>
      <w:pPr>
        <w:pStyle w:val="Heading3"/>
      </w:pPr>
      <w:r>
        <w:t>Moïse dans le Nouveau Testament</w:t>
      </w:r>
    </w:p>
    <w:p>
      <w:r/>
      <w:r>
        <w:t>Les juifs et les chrétiens à l'époque du NT considéraient Moïse comme l'auteur du Pentateuque. Certaines expressions montrent que son nom était souvent utilisé pour désigner les livres qui lui étaient attribués :</w:t>
      </w:r>
    </w:p>
    <w:p>
      <w:pPr>
        <w:pStyle w:val="ListBullet"/>
        <w:spacing w:line="240" w:lineRule="auto"/>
        <w:ind w:left="720"/>
      </w:pPr>
      <w:r/>
      <w:r>
        <w:t>« La loi de Moïse » (</w:t>
      </w:r>
      <w:hyperlink r:id="rId10254">
        <w:r>
          <w:rPr>
            <w:color w:val="0000EE"/>
            <w:u w:val="single"/>
          </w:rPr>
          <w:t>Lc 2.22</w:t>
        </w:r>
      </w:hyperlink>
      <w:r>
        <w:t>)</w:t>
      </w:r>
    </w:p>
    <w:p>
      <w:pPr>
        <w:pStyle w:val="ListBullet"/>
        <w:spacing w:line="240" w:lineRule="auto"/>
        <w:ind w:left="720"/>
      </w:pPr>
      <w:r/>
      <w:r>
        <w:t>« Pourquoi... Moïse a-t-il prescrit » (</w:t>
      </w:r>
      <w:hyperlink r:id="rId4280">
        <w:r>
          <w:rPr>
            <w:color w:val="0000EE"/>
            <w:u w:val="single"/>
          </w:rPr>
          <w:t>Mt 19.7</w:t>
        </w:r>
      </w:hyperlink>
      <w:r>
        <w:t>)</w:t>
      </w:r>
    </w:p>
    <w:p>
      <w:pPr>
        <w:pStyle w:val="ListBullet"/>
        <w:spacing w:line="240" w:lineRule="auto"/>
        <w:ind w:left="720"/>
      </w:pPr>
      <w:r/>
      <w:r>
        <w:t>« Moïse a dit » (</w:t>
      </w:r>
      <w:hyperlink r:id="rId5217">
        <w:r>
          <w:rPr>
            <w:color w:val="0000EE"/>
            <w:u w:val="single"/>
          </w:rPr>
          <w:t>Mc 7.10</w:t>
        </w:r>
      </w:hyperlink>
      <w:r>
        <w:t>)</w:t>
      </w:r>
    </w:p>
    <w:p>
      <w:pPr>
        <w:pStyle w:val="ListBullet"/>
        <w:spacing w:line="240" w:lineRule="auto"/>
        <w:ind w:left="720"/>
      </w:pPr>
      <w:r/>
      <w:r>
        <w:t xml:space="preserve">« </w:t>
      </w:r>
      <w:r>
        <w:t>Moïse nous a prescrit</w:t>
      </w:r>
      <w:r>
        <w:t xml:space="preserve"> » (</w:t>
      </w:r>
      <w:hyperlink r:id="rId6428">
        <w:r>
          <w:rPr>
            <w:color w:val="0000EE"/>
            <w:u w:val="single"/>
          </w:rPr>
          <w:t>Mc 12.19</w:t>
        </w:r>
      </w:hyperlink>
      <w:r>
        <w:t>)</w:t>
      </w:r>
    </w:p>
    <w:p>
      <w:r/>
      <w:r>
        <w:t>Moïse est mentionné 79 fois dans le NT, c'est-à-dire plus que toute autre personne de l'AT. Il est principalement présenté comme celui par qui Dieu a donné la loi (</w:t>
      </w:r>
      <w:hyperlink r:id="rId5965">
        <w:r>
          <w:rPr>
            <w:color w:val="0000EE"/>
            <w:u w:val="single"/>
          </w:rPr>
          <w:t>Mt 8.4</w:t>
        </w:r>
      </w:hyperlink>
      <w:r>
        <w:t xml:space="preserve"> ; </w:t>
      </w:r>
      <w:hyperlink r:id="rId5217">
        <w:r>
          <w:rPr>
            <w:color w:val="0000EE"/>
            <w:u w:val="single"/>
          </w:rPr>
          <w:t>Mc 7.10</w:t>
        </w:r>
      </w:hyperlink>
      <w:r>
        <w:t xml:space="preserve"> ; </w:t>
      </w:r>
      <w:hyperlink r:id="rId10255">
        <w:r>
          <w:rPr>
            <w:color w:val="0000EE"/>
            <w:u w:val="single"/>
          </w:rPr>
          <w:t>Jn 1.17</w:t>
        </w:r>
      </w:hyperlink>
      <w:r>
        <w:t xml:space="preserve"> ; </w:t>
      </w:r>
      <w:hyperlink r:id="rId7776">
        <w:r>
          <w:rPr>
            <w:color w:val="0000EE"/>
            <w:u w:val="single"/>
          </w:rPr>
          <w:t>Ac 15.1</w:t>
        </w:r>
      </w:hyperlink>
      <w:r>
        <w:t>). Il apparaît à la transfiguration de Jésus comme représentant de la loi de l'AT. Élie est à ses côtés comme représentant des prophètes de l'AT (</w:t>
      </w:r>
      <w:hyperlink r:id="rId10256">
        <w:r>
          <w:rPr>
            <w:color w:val="0000EE"/>
            <w:u w:val="single"/>
          </w:rPr>
          <w:t>Mt 17.1–3</w:t>
        </w:r>
      </w:hyperlink>
      <w:r>
        <w:t>).</w:t>
      </w:r>
    </w:p>
    <w:p>
      <w:r/>
      <w:r>
        <w:t>Moïse est également présenté comme prophète dans le NT. En tant que prophète, il parle de la venue du Messie et la loi montre pourquoi le Messie devait mourir en sacrifice (</w:t>
      </w:r>
      <w:hyperlink r:id="rId10257">
        <w:r>
          <w:rPr>
            <w:color w:val="0000EE"/>
            <w:u w:val="single"/>
          </w:rPr>
          <w:t>Lc 24.25–27</w:t>
        </w:r>
      </w:hyperlink>
      <w:r>
        <w:t xml:space="preserve"> ; </w:t>
      </w:r>
      <w:hyperlink r:id="rId10258">
        <w:r>
          <w:rPr>
            <w:color w:val="0000EE"/>
            <w:u w:val="single"/>
          </w:rPr>
          <w:t>Ac 3.22</w:t>
        </w:r>
      </w:hyperlink>
      <w:r>
        <w:t>). Le NT connecte Moïse et Jésus pour illustrer les modèles de vie sous la nouvelle alliance. Par exemple :</w:t>
      </w:r>
    </w:p>
    <w:p>
      <w:pPr>
        <w:pStyle w:val="ListBullet"/>
        <w:spacing w:line="240" w:lineRule="auto"/>
        <w:ind w:left="720"/>
      </w:pPr>
      <w:r/>
      <w:r>
        <w:t>L'histoire de la nativité de Jésus rappelle celle de Moïse, car tous les deux, étant appelés à délivrer le peuple de Dieu, sont menacés de mort en tant qu'enfants et échappent aux plans meurtriers de souverains terrestres (</w:t>
      </w:r>
      <w:hyperlink r:id="rId10259">
        <w:r>
          <w:rPr>
            <w:color w:val="0000EE"/>
            <w:u w:val="single"/>
          </w:rPr>
          <w:t>Mt 2.13–18</w:t>
        </w:r>
      </w:hyperlink>
      <w:r>
        <w:t>).</w:t>
      </w:r>
    </w:p>
    <w:p>
      <w:pPr>
        <w:pStyle w:val="ListBullet"/>
        <w:spacing w:line="240" w:lineRule="auto"/>
        <w:ind w:left="720"/>
      </w:pPr>
      <w:r/>
      <w:r>
        <w:t>Le Sermon sur la Montagne de Jésus rappelle le don de la loi au Sinaï et présente le Christ comme l'interprète ultime de la volonté de Dieu (</w:t>
      </w:r>
      <w:hyperlink r:id="rId9687">
        <w:r>
          <w:rPr>
            <w:color w:val="0000EE"/>
            <w:u w:val="single"/>
          </w:rPr>
          <w:t>Mt 5–7</w:t>
        </w:r>
      </w:hyperlink>
      <w:r>
        <w:t>).</w:t>
      </w:r>
    </w:p>
    <w:p>
      <w:pPr>
        <w:pStyle w:val="ListBullet"/>
        <w:spacing w:line="240" w:lineRule="auto"/>
        <w:ind w:left="720"/>
      </w:pPr>
      <w:r/>
      <w:r>
        <w:t>Dans Galates, l'apôtre Paul établit un contraste entre la loi ancienne et la nouvelle relation avec Dieu. La loi donnée par Moïse a préparé la voie pour la foi en Christ qui justifie maintenant les croyants (</w:t>
      </w:r>
      <w:hyperlink r:id="rId10260">
        <w:r>
          <w:rPr>
            <w:color w:val="0000EE"/>
            <w:u w:val="single"/>
          </w:rPr>
          <w:t xml:space="preserve">Hé 3.5–6 </w:t>
        </w:r>
      </w:hyperlink>
      <w:r>
        <w:t xml:space="preserve">; </w:t>
      </w:r>
      <w:hyperlink r:id="rId10261">
        <w:r>
          <w:rPr>
            <w:color w:val="0000EE"/>
            <w:u w:val="single"/>
          </w:rPr>
          <w:t>9.11–22</w:t>
        </w:r>
      </w:hyperlink>
      <w:r>
        <w:t>).</w:t>
      </w:r>
    </w:p>
    <w:p>
      <w:pPr>
        <w:pStyle w:val="ListBullet"/>
        <w:spacing w:line="240" w:lineRule="auto"/>
        <w:ind w:left="720"/>
      </w:pPr>
      <w:r/>
      <w:r>
        <w:t>L'Évangile de Jean présente la loi comme donnée par Moïse, mais la grâce et la vérité comme venues par Jésus-Christ (</w:t>
      </w:r>
      <w:hyperlink r:id="rId10255">
        <w:r>
          <w:rPr>
            <w:color w:val="0000EE"/>
            <w:u w:val="single"/>
          </w:rPr>
          <w:t>Jn 1.17</w:t>
        </w:r>
      </w:hyperlink>
      <w:r>
        <w:t>).</w:t>
      </w:r>
    </w:p>
    <w:p>
      <w:pPr>
        <w:pStyle w:val="ListBullet"/>
        <w:spacing w:line="240" w:lineRule="auto"/>
        <w:ind w:left="720"/>
      </w:pPr>
      <w:r/>
      <w:r>
        <w:t>Jean fait aussi une comparaison entre le don de la manne aux Israélites dans le désert et Jésus, qui est « le pain de vie » (</w:t>
      </w:r>
      <w:hyperlink r:id="rId10262">
        <w:r>
          <w:rPr>
            <w:color w:val="0000EE"/>
            <w:u w:val="single"/>
          </w:rPr>
          <w:t>Jn 6.30–35</w:t>
        </w:r>
      </w:hyperlink>
      <w:r>
        <w:t>).</w:t>
      </w:r>
    </w:p>
    <w:p>
      <w:r/>
      <w:r>
        <w:t>Moïse et des événements qui lui sont associés sont aussi mentionnés dans d'autres passages dont :</w:t>
      </w:r>
    </w:p>
    <w:p>
      <w:pPr>
        <w:pStyle w:val="ListBullet"/>
        <w:spacing w:line="240" w:lineRule="auto"/>
        <w:ind w:left="720"/>
      </w:pPr>
      <w:r/>
      <w:r>
        <w:t>Sa naissance (</w:t>
      </w:r>
      <w:hyperlink r:id="rId10263">
        <w:r>
          <w:rPr>
            <w:color w:val="0000EE"/>
            <w:u w:val="single"/>
          </w:rPr>
          <w:t>Ac 7.20</w:t>
        </w:r>
      </w:hyperlink>
      <w:r>
        <w:t xml:space="preserve"> ; </w:t>
      </w:r>
      <w:hyperlink r:id="rId10264">
        <w:r>
          <w:rPr>
            <w:color w:val="0000EE"/>
            <w:u w:val="single"/>
          </w:rPr>
          <w:t>Hé 11.23</w:t>
        </w:r>
      </w:hyperlink>
      <w:r>
        <w:t>)</w:t>
      </w:r>
    </w:p>
    <w:p>
      <w:pPr>
        <w:pStyle w:val="ListBullet"/>
        <w:spacing w:line="240" w:lineRule="auto"/>
        <w:ind w:left="720"/>
      </w:pPr>
      <w:r/>
      <w:r>
        <w:t>Le buisson ardent (</w:t>
      </w:r>
      <w:hyperlink r:id="rId2088">
        <w:r>
          <w:rPr>
            <w:color w:val="0000EE"/>
            <w:u w:val="single"/>
          </w:rPr>
          <w:t>Lc 20.37</w:t>
        </w:r>
      </w:hyperlink>
      <w:r>
        <w:t>)</w:t>
      </w:r>
    </w:p>
    <w:p>
      <w:pPr>
        <w:pStyle w:val="ListBullet"/>
        <w:spacing w:line="240" w:lineRule="auto"/>
        <w:ind w:left="720"/>
      </w:pPr>
      <w:r/>
      <w:r>
        <w:t>Les magiciens d'Égypte (</w:t>
      </w:r>
      <w:hyperlink r:id="rId10265">
        <w:r>
          <w:rPr>
            <w:color w:val="0000EE"/>
            <w:u w:val="single"/>
          </w:rPr>
          <w:t>2Tm 3.8</w:t>
        </w:r>
      </w:hyperlink>
      <w:r>
        <w:t>)</w:t>
      </w:r>
    </w:p>
    <w:p>
      <w:pPr>
        <w:pStyle w:val="ListBullet"/>
        <w:spacing w:line="240" w:lineRule="auto"/>
        <w:ind w:left="720"/>
      </w:pPr>
      <w:r/>
      <w:r>
        <w:t>La Pâque (</w:t>
      </w:r>
      <w:hyperlink r:id="rId10266">
        <w:r>
          <w:rPr>
            <w:color w:val="0000EE"/>
            <w:u w:val="single"/>
          </w:rPr>
          <w:t>Hé 11.28</w:t>
        </w:r>
      </w:hyperlink>
      <w:r>
        <w:t>)</w:t>
      </w:r>
    </w:p>
    <w:p>
      <w:pPr>
        <w:pStyle w:val="ListBullet"/>
        <w:spacing w:line="240" w:lineRule="auto"/>
        <w:ind w:left="720"/>
      </w:pPr>
      <w:r/>
      <w:r>
        <w:t>L'exode (</w:t>
      </w:r>
      <w:hyperlink r:id="rId10267">
        <w:r>
          <w:rPr>
            <w:color w:val="0000EE"/>
            <w:u w:val="single"/>
          </w:rPr>
          <w:t>Hé 3.16</w:t>
        </w:r>
      </w:hyperlink>
      <w:r>
        <w:t>)</w:t>
      </w:r>
    </w:p>
    <w:p>
      <w:pPr>
        <w:pStyle w:val="ListBullet"/>
        <w:spacing w:line="240" w:lineRule="auto"/>
        <w:ind w:left="720"/>
      </w:pPr>
      <w:r/>
      <w:r>
        <w:t>La traversée de la mer des Roseaux ou mer Rouge (</w:t>
      </w:r>
      <w:hyperlink r:id="rId10268">
        <w:r>
          <w:rPr>
            <w:color w:val="0000EE"/>
            <w:u w:val="single"/>
          </w:rPr>
          <w:t>1Co 10.2</w:t>
        </w:r>
      </w:hyperlink>
      <w:r>
        <w:t>)</w:t>
      </w:r>
    </w:p>
    <w:p>
      <w:pPr>
        <w:pStyle w:val="ListBullet"/>
        <w:spacing w:line="240" w:lineRule="auto"/>
        <w:ind w:left="720"/>
      </w:pPr>
      <w:r/>
      <w:r>
        <w:t>Le sacrifice de l'alliance au mont Sinaï (</w:t>
      </w:r>
      <w:hyperlink r:id="rId1933">
        <w:r>
          <w:rPr>
            <w:color w:val="0000EE"/>
            <w:u w:val="single"/>
          </w:rPr>
          <w:t>Mt 26.28</w:t>
        </w:r>
      </w:hyperlink>
      <w:r>
        <w:t>)</w:t>
      </w:r>
    </w:p>
    <w:p>
      <w:pPr>
        <w:pStyle w:val="ListBullet"/>
        <w:spacing w:line="240" w:lineRule="auto"/>
        <w:ind w:left="720"/>
      </w:pPr>
      <w:r/>
      <w:r>
        <w:t>La manne (</w:t>
      </w:r>
      <w:hyperlink r:id="rId10269">
        <w:r>
          <w:rPr>
            <w:color w:val="0000EE"/>
            <w:u w:val="single"/>
          </w:rPr>
          <w:t>1Co 10.3</w:t>
        </w:r>
      </w:hyperlink>
      <w:r>
        <w:t>)</w:t>
      </w:r>
    </w:p>
    <w:p>
      <w:pPr>
        <w:pStyle w:val="ListBullet"/>
        <w:spacing w:line="240" w:lineRule="auto"/>
        <w:ind w:left="720"/>
      </w:pPr>
      <w:r/>
      <w:r>
        <w:t>La gloire sur le visage de Moïse (</w:t>
      </w:r>
      <w:hyperlink r:id="rId8604">
        <w:r>
          <w:rPr>
            <w:color w:val="0000EE"/>
            <w:u w:val="single"/>
          </w:rPr>
          <w:t>2 Co 3.7–18</w:t>
        </w:r>
      </w:hyperlink>
      <w:r>
        <w:t>)</w:t>
      </w:r>
    </w:p>
    <w:p>
      <w:pPr>
        <w:pStyle w:val="ListBullet"/>
        <w:spacing w:line="240" w:lineRule="auto"/>
        <w:ind w:left="720"/>
      </w:pPr>
      <w:r/>
      <w:r>
        <w:t>L'eau du rocher (</w:t>
      </w:r>
      <w:hyperlink r:id="rId10270">
        <w:r>
          <w:rPr>
            <w:color w:val="0000EE"/>
            <w:u w:val="single"/>
          </w:rPr>
          <w:t>1Co 10.4</w:t>
        </w:r>
      </w:hyperlink>
      <w:r>
        <w:t>)</w:t>
      </w:r>
    </w:p>
    <w:p>
      <w:pPr>
        <w:pStyle w:val="ListBullet"/>
        <w:spacing w:line="240" w:lineRule="auto"/>
        <w:ind w:left="720"/>
      </w:pPr>
      <w:r/>
      <w:r>
        <w:t>Le serpent d'airain (</w:t>
      </w:r>
      <w:hyperlink r:id="rId5170">
        <w:r>
          <w:rPr>
            <w:color w:val="0000EE"/>
            <w:u w:val="single"/>
          </w:rPr>
          <w:t>Jn 3.14</w:t>
        </w:r>
      </w:hyperlink>
      <w:r>
        <w:t>)</w:t>
      </w:r>
    </w:p>
    <w:p>
      <w:pPr>
        <w:pStyle w:val="ListBullet"/>
        <w:spacing w:line="240" w:lineRule="auto"/>
        <w:ind w:left="720"/>
      </w:pPr>
      <w:r/>
      <w:r>
        <w:t>Le cantique de Moïse (</w:t>
      </w:r>
      <w:hyperlink r:id="rId10271">
        <w:r>
          <w:rPr>
            <w:color w:val="0000EE"/>
            <w:u w:val="single"/>
          </w:rPr>
          <w:t>Ap 15.3</w:t>
        </w:r>
      </w:hyperlink>
      <w:r>
        <w:t>)</w:t>
      </w:r>
    </w:p>
    <w:p>
      <w:r/>
      <w:r>
        <w:rPr>
          <w:i/>
        </w:rPr>
        <w:t>Voir aussi</w:t>
      </w:r>
      <w:r>
        <w:t xml:space="preserve"> </w:t>
      </w:r>
      <w:r>
        <w:t>Égypte, Égyptien</w:t>
      </w:r>
      <w:r>
        <w:t xml:space="preserve"> ; </w:t>
      </w:r>
      <w:r>
        <w:t>exode</w:t>
      </w:r>
      <w:r>
        <w:t xml:space="preserve"> ; </w:t>
      </w:r>
      <w:r>
        <w:t>Israël (histoire)</w:t>
      </w:r>
      <w:r>
        <w:t xml:space="preserve"> ; </w:t>
      </w:r>
      <w:r>
        <w:t>plaies contre l'Égypte</w:t>
      </w:r>
      <w:r>
        <w:t xml:space="preserve"> ; </w:t>
      </w:r>
      <w:r>
        <w:t>sacrificateurs et lévites</w:t>
      </w:r>
      <w:r>
        <w:t xml:space="preserve"> ; </w:t>
      </w:r>
      <w:r>
        <w:t>tabernacle</w:t>
      </w:r>
      <w:r>
        <w:t xml:space="preserve"> ; </w:t>
      </w:r>
      <w:r>
        <w:t>Temple</w:t>
      </w:r>
      <w:r>
        <w:t xml:space="preserve"> ; </w:t>
      </w:r>
      <w:r>
        <w:t>commandements (les dix)</w:t>
      </w:r>
      <w:r>
        <w:t xml:space="preserve"> ; </w:t>
      </w:r>
      <w:r>
        <w:t>désert (errances d'Israël)</w:t>
      </w:r>
      <w:r>
        <w:t>.</w:t>
      </w:r>
      <w:r/>
      <w:r/>
    </w:p>
    <w:p>
      <w:r/>
    </w:p>
    <w:p>
      <w:pPr>
        <w:pStyle w:val="Heading2"/>
      </w:pPr>
      <w:r>
        <w:t>Moloch</w:t>
      </w:r>
      <w:r/>
    </w:p>
    <w:p>
      <w:r/>
      <w:r>
        <w:t>Une autre orthographe de Moloc, un dieu ammonite (</w:t>
      </w:r>
      <w:hyperlink r:id="rId4060">
        <w:r>
          <w:rPr>
            <w:color w:val="0000EE"/>
            <w:u w:val="single"/>
          </w:rPr>
          <w:t>Ac 7.43</w:t>
        </w:r>
      </w:hyperlink>
      <w:r>
        <w:t>).</w:t>
      </w:r>
    </w:p>
    <w:p>
      <w:r/>
      <w:r>
        <w:rPr>
          <w:i/>
        </w:rPr>
        <w:t>Voir</w:t>
      </w:r>
      <w:r>
        <w:t xml:space="preserve"> </w:t>
      </w:r>
      <w:r>
        <w:t>Milcom</w:t>
      </w:r>
      <w:r>
        <w:t>.</w:t>
      </w:r>
      <w:r/>
      <w:r/>
    </w:p>
    <w:p>
      <w:r/>
    </w:p>
    <w:p>
      <w:pPr>
        <w:pStyle w:val="Heading2"/>
      </w:pPr>
      <w:r>
        <w:t>Monde</w:t>
      </w:r>
      <w:r/>
    </w:p>
    <w:p>
      <w:r/>
      <w:r>
        <w:t xml:space="preserve">Terme important dans le Nouveau Testament, provenant du mot grec </w:t>
      </w:r>
      <w:r>
        <w:rPr>
          <w:i/>
        </w:rPr>
        <w:t>kosmos</w:t>
      </w:r>
      <w:r>
        <w:t xml:space="preserve"> (ce qui est ordonné ou arrangé). Il a cinq significations différentes :</w:t>
      </w:r>
    </w:p>
    <w:p>
      <w:r/>
      <w:r>
        <w:t xml:space="preserve">1. L'univers créé par Dieu avec dessein et ordre (voir par exemple </w:t>
      </w:r>
      <w:hyperlink r:id="rId10272">
        <w:r>
          <w:rPr>
            <w:color w:val="0000EE"/>
            <w:u w:val="single"/>
          </w:rPr>
          <w:t>Mt 13.35</w:t>
        </w:r>
      </w:hyperlink>
      <w:r>
        <w:t xml:space="preserve"> ; </w:t>
      </w:r>
      <w:hyperlink r:id="rId10273">
        <w:r>
          <w:rPr>
            <w:color w:val="0000EE"/>
            <w:u w:val="single"/>
          </w:rPr>
          <w:t>Jn 17.24</w:t>
        </w:r>
      </w:hyperlink>
      <w:r>
        <w:t xml:space="preserve"> ; </w:t>
      </w:r>
      <w:hyperlink r:id="rId8240">
        <w:r>
          <w:rPr>
            <w:color w:val="0000EE"/>
            <w:u w:val="single"/>
          </w:rPr>
          <w:t>Ac 17.24</w:t>
        </w:r>
      </w:hyperlink>
      <w:r>
        <w:t>).</w:t>
      </w:r>
    </w:p>
    <w:p>
      <w:r/>
      <w:r>
        <w:t xml:space="preserve">2. La planète Terre (voir par exemple </w:t>
      </w:r>
      <w:hyperlink r:id="rId7669">
        <w:r>
          <w:rPr>
            <w:color w:val="0000EE"/>
            <w:u w:val="single"/>
          </w:rPr>
          <w:t>Jn 11.9</w:t>
        </w:r>
      </w:hyperlink>
      <w:r>
        <w:t>). Cela inclut l'idée de la Terre comme lieu de résidence des êtres humains (</w:t>
      </w:r>
      <w:hyperlink r:id="rId10274">
        <w:r>
          <w:rPr>
            <w:color w:val="0000EE"/>
            <w:u w:val="single"/>
          </w:rPr>
          <w:t>16.21</w:t>
        </w:r>
      </w:hyperlink>
      <w:r>
        <w:t>) et de la Terre en contraste avec le ciel (</w:t>
      </w:r>
      <w:hyperlink r:id="rId10275">
        <w:r>
          <w:rPr>
            <w:color w:val="0000EE"/>
            <w:u w:val="single"/>
          </w:rPr>
          <w:t>6.14</w:t>
        </w:r>
      </w:hyperlink>
      <w:r>
        <w:t xml:space="preserve"> ; </w:t>
      </w:r>
      <w:hyperlink r:id="rId9294">
        <w:r>
          <w:rPr>
            <w:color w:val="0000EE"/>
            <w:u w:val="single"/>
          </w:rPr>
          <w:t>12.46</w:t>
        </w:r>
      </w:hyperlink>
      <w:r>
        <w:t>).</w:t>
      </w:r>
    </w:p>
    <w:p>
      <w:r/>
      <w:r>
        <w:t>3. L'humanité dans sa totalité (</w:t>
      </w:r>
      <w:hyperlink r:id="rId9309">
        <w:r>
          <w:rPr>
            <w:color w:val="0000EE"/>
            <w:u w:val="single"/>
          </w:rPr>
          <w:t>Mt 5.14</w:t>
        </w:r>
      </w:hyperlink>
      <w:r>
        <w:t xml:space="preserve"> ; </w:t>
      </w:r>
      <w:hyperlink r:id="rId5733">
        <w:r>
          <w:rPr>
            <w:color w:val="0000EE"/>
            <w:u w:val="single"/>
          </w:rPr>
          <w:t>Jn 3.16</w:t>
        </w:r>
      </w:hyperlink>
      <w:r>
        <w:t xml:space="preserve"> ; </w:t>
      </w:r>
      <w:hyperlink r:id="rId10276">
        <w:r>
          <w:rPr>
            <w:color w:val="0000EE"/>
            <w:u w:val="single"/>
          </w:rPr>
          <w:t>1Co 4.13</w:t>
        </w:r>
      </w:hyperlink>
      <w:r>
        <w:t>).</w:t>
      </w:r>
    </w:p>
    <w:p>
      <w:r/>
      <w:r>
        <w:t>4. L'ensemble de l'existence humaine dans cette vie présente, avec toutes ses expériences et possessions (</w:t>
      </w:r>
      <w:hyperlink r:id="rId10277">
        <w:r>
          <w:rPr>
            <w:color w:val="0000EE"/>
            <w:u w:val="single"/>
          </w:rPr>
          <w:t>Mt 16.26</w:t>
        </w:r>
      </w:hyperlink>
      <w:r>
        <w:t xml:space="preserve"> ; </w:t>
      </w:r>
      <w:hyperlink r:id="rId10278">
        <w:r>
          <w:rPr>
            <w:color w:val="0000EE"/>
            <w:u w:val="single"/>
          </w:rPr>
          <w:t>1Co 7.33</w:t>
        </w:r>
      </w:hyperlink>
      <w:r>
        <w:t>).</w:t>
      </w:r>
    </w:p>
    <w:p>
      <w:r/>
      <w:r>
        <w:t>5. L'ordre mondial, aliéné de Dieu, en rébellion contre lui, et condamné pour son impiété. Il s'agit de « ce monde », par opposition à « celui qui est à venir » (</w:t>
      </w:r>
      <w:hyperlink r:id="rId10279">
        <w:r>
          <w:rPr>
            <w:color w:val="0000EE"/>
            <w:u w:val="single"/>
          </w:rPr>
          <w:t>Jn 8.23</w:t>
        </w:r>
      </w:hyperlink>
      <w:r>
        <w:t xml:space="preserve"> ; </w:t>
      </w:r>
      <w:hyperlink r:id="rId8704">
        <w:r>
          <w:rPr>
            <w:color w:val="0000EE"/>
            <w:u w:val="single"/>
          </w:rPr>
          <w:t>12.25</w:t>
        </w:r>
      </w:hyperlink>
      <w:r>
        <w:t xml:space="preserve"> ; </w:t>
      </w:r>
      <w:hyperlink r:id="rId10280">
        <w:r>
          <w:rPr>
            <w:color w:val="0000EE"/>
            <w:u w:val="single"/>
          </w:rPr>
          <w:t>1Co 3.19</w:t>
        </w:r>
      </w:hyperlink>
      <w:r>
        <w:t>). Le dirigeant de ce monde est le diable (</w:t>
      </w:r>
      <w:hyperlink r:id="rId4157">
        <w:r>
          <w:rPr>
            <w:color w:val="0000EE"/>
            <w:u w:val="single"/>
          </w:rPr>
          <w:t>Jn 12.31</w:t>
        </w:r>
      </w:hyperlink>
      <w:r>
        <w:t xml:space="preserve"> ; </w:t>
      </w:r>
      <w:hyperlink r:id="rId10281">
        <w:r>
          <w:rPr>
            <w:color w:val="0000EE"/>
            <w:u w:val="single"/>
          </w:rPr>
          <w:t>14.30</w:t>
        </w:r>
      </w:hyperlink>
      <w:r>
        <w:t xml:space="preserve"> ; </w:t>
      </w:r>
      <w:hyperlink r:id="rId10282">
        <w:r>
          <w:rPr>
            <w:color w:val="0000EE"/>
            <w:u w:val="single"/>
          </w:rPr>
          <w:t>16.11</w:t>
        </w:r>
      </w:hyperlink>
      <w:r>
        <w:t xml:space="preserve"> ; </w:t>
      </w:r>
      <w:hyperlink r:id="rId10283">
        <w:r>
          <w:rPr>
            <w:color w:val="0000EE"/>
            <w:u w:val="single"/>
          </w:rPr>
          <w:t>1Co 5.10</w:t>
        </w:r>
      </w:hyperlink>
      <w:r>
        <w:t xml:space="preserve">). Comme l'a dit Jean, « </w:t>
      </w:r>
      <w:r>
        <w:t>le monde entier est sous la puissance du malin</w:t>
      </w:r>
      <w:r>
        <w:t xml:space="preserve"> » (</w:t>
      </w:r>
      <w:hyperlink r:id="rId10284">
        <w:r>
          <w:rPr>
            <w:color w:val="0000EE"/>
            <w:u w:val="single"/>
          </w:rPr>
          <w:t>1Jn 5.19</w:t>
        </w:r>
      </w:hyperlink>
      <w:r>
        <w:t>). Le chrétien n'est pas de ce monde (</w:t>
      </w:r>
      <w:hyperlink r:id="rId10285">
        <w:r>
          <w:rPr>
            <w:color w:val="0000EE"/>
            <w:u w:val="single"/>
          </w:rPr>
          <w:t>Jn 15.19</w:t>
        </w:r>
      </w:hyperlink>
      <w:r>
        <w:t xml:space="preserve"> ; </w:t>
      </w:r>
      <w:hyperlink r:id="rId10286">
        <w:r>
          <w:rPr>
            <w:color w:val="0000EE"/>
            <w:u w:val="single"/>
          </w:rPr>
          <w:t>17.16</w:t>
        </w:r>
      </w:hyperlink>
      <w:r>
        <w:t>), même s'il vivt dans le monde et participe à ses activités (</w:t>
      </w:r>
      <w:hyperlink r:id="rId10287">
        <w:r>
          <w:rPr>
            <w:color w:val="0000EE"/>
            <w:u w:val="single"/>
          </w:rPr>
          <w:t>17.11</w:t>
        </w:r>
      </w:hyperlink>
      <w:r>
        <w:t>). Le croyant est considéré comme mort au monde (</w:t>
      </w:r>
      <w:hyperlink r:id="rId10288">
        <w:r>
          <w:rPr>
            <w:color w:val="0000EE"/>
            <w:u w:val="single"/>
          </w:rPr>
          <w:t>Ga 6.14</w:t>
        </w:r>
      </w:hyperlink>
      <w:r>
        <w:t xml:space="preserve"> ; voir </w:t>
      </w:r>
      <w:hyperlink r:id="rId2914">
        <w:r>
          <w:rPr>
            <w:color w:val="0000EE"/>
            <w:u w:val="single"/>
          </w:rPr>
          <w:t>Col 3.2–3</w:t>
        </w:r>
      </w:hyperlink>
      <w:r>
        <w:t>). Le chrétien doit être séparé du monde (</w:t>
      </w:r>
      <w:hyperlink r:id="rId10289">
        <w:r>
          <w:rPr>
            <w:color w:val="0000EE"/>
            <w:u w:val="single"/>
          </w:rPr>
          <w:t>Jc 1.27</w:t>
        </w:r>
      </w:hyperlink>
      <w:r>
        <w:t>).</w:t>
      </w:r>
    </w:p>
    <w:p>
      <w:r/>
      <w:r>
        <w:t>La relation d'une personne avec le monde est un indicateur de sa relation avec Dieu. Celui qui aime le monde est dépourvu d'amour pour Dieu le Père (</w:t>
      </w:r>
      <w:hyperlink r:id="rId10290">
        <w:r>
          <w:rPr>
            <w:color w:val="0000EE"/>
            <w:u w:val="single"/>
          </w:rPr>
          <w:t>1Jn 2.15</w:t>
        </w:r>
      </w:hyperlink>
      <w:r>
        <w:t xml:space="preserve">). L'Écriture souligne que « </w:t>
      </w:r>
      <w:r>
        <w:t>tout ce qui est dans le monde, la convoitise de la chair, la convoitise des yeux, et l’orgueil de la vie, ne vient point du Père, mais vient du monde</w:t>
      </w:r>
      <w:r>
        <w:t xml:space="preserve"> » (v. </w:t>
      </w:r>
      <w:hyperlink r:id="rId5989">
        <w:r>
          <w:rPr>
            <w:color w:val="0000EE"/>
            <w:u w:val="single"/>
          </w:rPr>
          <w:t>16</w:t>
        </w:r>
      </w:hyperlink>
      <w:r>
        <w:t>). Le monde et ses désirs ou convoitises sont transitoires, ils passent, mais celui qui accomplit la parole de Dieu demeure pour toujours (</w:t>
      </w:r>
      <w:hyperlink r:id="rId3100">
        <w:r>
          <w:rPr>
            <w:color w:val="0000EE"/>
            <w:u w:val="single"/>
          </w:rPr>
          <w:t>1Jn 2.17</w:t>
        </w:r>
      </w:hyperlink>
      <w:r>
        <w:t xml:space="preserve">; voir </w:t>
      </w:r>
      <w:hyperlink r:id="rId10291">
        <w:r>
          <w:rPr>
            <w:color w:val="0000EE"/>
            <w:u w:val="single"/>
          </w:rPr>
          <w:t>2Co 4.18</w:t>
        </w:r>
      </w:hyperlink>
      <w:r>
        <w:t>). L'amitié avec le monde est inimitié envers Dieu (</w:t>
      </w:r>
      <w:hyperlink r:id="rId378">
        <w:r>
          <w:rPr>
            <w:color w:val="0000EE"/>
            <w:u w:val="single"/>
          </w:rPr>
          <w:t>Jc 4.4</w:t>
        </w:r>
      </w:hyperlink>
      <w:r>
        <w:t>).</w:t>
      </w:r>
    </w:p>
    <w:p>
      <w:r/>
      <w:r>
        <w:t>Le discours de Jésus la nuit avant sa crucifixion contient beaucoup d'enseignements sur le monde. Le monde ne peut pas recevoir l'Esprit de vérité (</w:t>
      </w:r>
      <w:hyperlink r:id="rId10292">
        <w:r>
          <w:rPr>
            <w:color w:val="0000EE"/>
            <w:u w:val="single"/>
          </w:rPr>
          <w:t>Jn 14.17</w:t>
        </w:r>
      </w:hyperlink>
      <w:r>
        <w:t xml:space="preserve">). Christ donne une paix que le monde ne peut pas offrir (v. </w:t>
      </w:r>
      <w:hyperlink r:id="rId10293">
        <w:r>
          <w:rPr>
            <w:color w:val="0000EE"/>
            <w:u w:val="single"/>
          </w:rPr>
          <w:t>27</w:t>
        </w:r>
      </w:hyperlink>
      <w:r>
        <w:t>). Jésus offre l'amour, tandis que le monde donne la haine et la persécution (</w:t>
      </w:r>
      <w:hyperlink r:id="rId10294">
        <w:r>
          <w:rPr>
            <w:color w:val="0000EE"/>
            <w:u w:val="single"/>
          </w:rPr>
          <w:t>15.19–20</w:t>
        </w:r>
      </w:hyperlink>
      <w:r>
        <w:t xml:space="preserve">). La haine du monde envers Dieu est également dirigée contre les disciples de Christ (v. </w:t>
      </w:r>
      <w:hyperlink r:id="rId10295">
        <w:r>
          <w:rPr>
            <w:color w:val="0000EE"/>
            <w:u w:val="single"/>
          </w:rPr>
          <w:t>18–21</w:t>
        </w:r>
      </w:hyperlink>
      <w:r>
        <w:t>). Bien que les disciples de Jésus connaissent des tribulations « dans le monde », ils peuvent faire contre mauvaise fortune bon cœur, car Jésus a vaincu le monde (</w:t>
      </w:r>
      <w:hyperlink r:id="rId10296">
        <w:r>
          <w:rPr>
            <w:color w:val="0000EE"/>
            <w:u w:val="single"/>
          </w:rPr>
          <w:t>16.33</w:t>
        </w:r>
      </w:hyperlink>
      <w:r>
        <w:t>).</w:t>
      </w:r>
    </w:p>
    <w:p>
      <w:r/>
      <w:r>
        <w:t xml:space="preserve">Un autre mot grec parfois traduit par « monde » est </w:t>
      </w:r>
      <w:r>
        <w:rPr>
          <w:i/>
        </w:rPr>
        <w:t>aion.</w:t>
      </w:r>
      <w:r>
        <w:t xml:space="preserve"> Ce mot met l'accent sur l'aspect temporel du monde. Il est utilisé pour le temps sans fin, l'éternité (voir par exemple </w:t>
      </w:r>
      <w:hyperlink r:id="rId10297">
        <w:r>
          <w:rPr>
            <w:color w:val="0000EE"/>
            <w:u w:val="single"/>
          </w:rPr>
          <w:t>Rm 1.25</w:t>
        </w:r>
      </w:hyperlink>
      <w:r>
        <w:t xml:space="preserve"> ; </w:t>
      </w:r>
      <w:hyperlink r:id="rId10298">
        <w:r>
          <w:rPr>
            <w:color w:val="0000EE"/>
            <w:u w:val="single"/>
          </w:rPr>
          <w:t>2Co 11.31</w:t>
        </w:r>
      </w:hyperlink>
      <w:r>
        <w:t xml:space="preserve"> ; </w:t>
      </w:r>
      <w:hyperlink r:id="rId10299">
        <w:r>
          <w:rPr>
            <w:color w:val="0000EE"/>
            <w:u w:val="single"/>
          </w:rPr>
          <w:t>Ph 4.20</w:t>
        </w:r>
      </w:hyperlink>
      <w:r>
        <w:t xml:space="preserve">). </w:t>
      </w:r>
      <w:r>
        <w:rPr>
          <w:i/>
        </w:rPr>
        <w:t>Voir</w:t>
      </w:r>
      <w:r>
        <w:t xml:space="preserve"> </w:t>
      </w:r>
      <w:r>
        <w:t>Âge</w:t>
      </w:r>
      <w:r>
        <w:t>.</w:t>
      </w:r>
      <w:r/>
      <w:r/>
    </w:p>
    <w:p>
      <w:r/>
    </w:p>
    <w:p>
      <w:pPr>
        <w:pStyle w:val="Heading2"/>
      </w:pPr>
      <w:r>
        <w:t>Monothéisme</w:t>
      </w:r>
      <w:r/>
    </w:p>
    <w:p>
      <w:r/>
      <w:r>
        <w:t>La croyance qu'il n'y a qu'un seul Dieu. Elle se distingue :</w:t>
      </w:r>
    </w:p>
    <w:p>
      <w:pPr>
        <w:pStyle w:val="ListBullet"/>
        <w:spacing w:line="240" w:lineRule="auto"/>
        <w:ind w:left="720"/>
      </w:pPr>
      <w:r/>
      <w:r>
        <w:t>Du polythéisme (la croyance en plusieurs dieux)</w:t>
      </w:r>
    </w:p>
    <w:p>
      <w:pPr>
        <w:pStyle w:val="ListBullet"/>
        <w:spacing w:line="240" w:lineRule="auto"/>
        <w:ind w:left="720"/>
      </w:pPr>
      <w:r/>
      <w:r>
        <w:t>De l'hénothéisme (le culte d'un dieu parmi plusieurs)</w:t>
      </w:r>
    </w:p>
    <w:p>
      <w:pPr>
        <w:pStyle w:val="ListBullet"/>
        <w:spacing w:line="240" w:lineRule="auto"/>
        <w:ind w:left="720"/>
      </w:pPr>
      <w:r/>
      <w:r>
        <w:t>De l'athéisme (le refus de toute divinité)</w:t>
      </w:r>
    </w:p>
    <w:p>
      <w:r/>
      <w:r>
        <w:t>Les principales religions monothéistes sont le judaïsme, le christianisme et l’islam.</w:t>
      </w:r>
    </w:p>
    <w:p>
      <w:pPr>
        <w:pStyle w:val="Heading3"/>
      </w:pPr>
      <w:r>
        <w:t>Que dit le monothéisme au sujet de Dieu ?</w:t>
      </w:r>
    </w:p>
    <w:p>
      <w:r/>
      <w:r>
        <w:t>S'il n'y a qu'un seul Dieu, ce Dieu doit être personnel, souverain, infini, éternel, parfait et tout-puissant. Les Écritures décrivent Dieu de cette manière. La révélation biblique est le seul moyen par lequel nous pouvons clairement savoir qui est Dieu et quel il est.</w:t>
      </w:r>
    </w:p>
    <w:p>
      <w:pPr>
        <w:pStyle w:val="ListNumber"/>
        <w:spacing w:line="240" w:lineRule="auto"/>
        <w:ind w:left="720"/>
      </w:pPr>
      <w:r/>
      <w:r>
        <w:t xml:space="preserve">Dieu est </w:t>
      </w:r>
      <w:r>
        <w:rPr>
          <w:b/>
        </w:rPr>
        <w:t>distinct</w:t>
      </w:r>
      <w:r>
        <w:t xml:space="preserve"> du monde (contrairement au panthéisme, la croyance selon laquelle Dieu est l'univers). Il est le seul Créateur et le soutien de l'univers.</w:t>
      </w:r>
    </w:p>
    <w:p>
      <w:pPr>
        <w:pStyle w:val="ListNumber"/>
        <w:spacing w:line="240" w:lineRule="auto"/>
        <w:ind w:left="720"/>
      </w:pPr>
      <w:r/>
      <w:r>
        <w:t>Il est au-delà de sa création (</w:t>
      </w:r>
      <w:r>
        <w:rPr>
          <w:b/>
        </w:rPr>
        <w:t>transcendant</w:t>
      </w:r>
      <w:r>
        <w:t>).</w:t>
      </w:r>
    </w:p>
    <w:p>
      <w:pPr>
        <w:pStyle w:val="ListNumber"/>
        <w:spacing w:line="240" w:lineRule="auto"/>
        <w:ind w:left="720"/>
      </w:pPr>
      <w:r/>
      <w:r>
        <w:t>Il entre dans le temps et les affaires humaines (</w:t>
      </w:r>
      <w:r>
        <w:rPr>
          <w:b/>
        </w:rPr>
        <w:t>immanent</w:t>
      </w:r>
      <w:r>
        <w:t>).</w:t>
      </w:r>
    </w:p>
    <w:p>
      <w:r/>
      <w:r>
        <w:t>Le monothéisme est connu à travers :</w:t>
      </w:r>
    </w:p>
    <w:p>
      <w:pPr>
        <w:pStyle w:val="ListBullet"/>
        <w:spacing w:line="240" w:lineRule="auto"/>
        <w:ind w:left="720"/>
      </w:pPr>
      <w:r/>
      <w:r>
        <w:t>Les événements historiques : « Le Dieu qui agit » influence l'histoire pour sauver l'humanité.</w:t>
      </w:r>
    </w:p>
    <w:p>
      <w:pPr>
        <w:pStyle w:val="ListBullet"/>
        <w:spacing w:line="240" w:lineRule="auto"/>
        <w:ind w:left="720"/>
      </w:pPr>
      <w:r/>
      <w:r>
        <w:t>La communication verbale : « Le Dieu qui parle » communique par l'intermédiaire des prophètes pour instruire et aider ceux qui marchent avec lui.</w:t>
      </w:r>
    </w:p>
    <w:p>
      <w:r/>
      <w:r>
        <w:t>Le monothéisme permet une relation directe entre Dieu et les êtres humains. Le Nouveau Testament montre que c'est grâce à Jésus-Christ que cela a pu avoir lieu.</w:t>
      </w:r>
    </w:p>
    <w:p>
      <w:pPr>
        <w:pStyle w:val="Heading3"/>
      </w:pPr>
      <w:r>
        <w:t>Que dit la Bible sur le monothéisme ?</w:t>
      </w:r>
    </w:p>
    <w:p>
      <w:r/>
      <w:r>
        <w:t xml:space="preserve">La Bible enseigne que les êtres humains étaient à l'origine monothéistes, selon </w:t>
      </w:r>
      <w:hyperlink r:id="rId10300">
        <w:r>
          <w:rPr>
            <w:color w:val="0000EE"/>
            <w:u w:val="single"/>
          </w:rPr>
          <w:t>Genèse 1–3</w:t>
        </w:r>
      </w:hyperlink>
      <w:r>
        <w:t>. Le polythéisme est donc une conséquence du péché. Le polythéisme existait à l'époque d'Abraham. Dieu a appelé Abraham à quitter Ur en Chaldée pour se rendre en Canaan, le pays que Dieu lui avait promis et à ses enfants. Ceci a entraîné un rejet du polythéisme hérité de sa famille (</w:t>
      </w:r>
      <w:hyperlink r:id="rId10301">
        <w:r>
          <w:rPr>
            <w:color w:val="0000EE"/>
            <w:u w:val="single"/>
          </w:rPr>
          <w:t>Gn 11.31–12.9</w:t>
        </w:r>
      </w:hyperlink>
      <w:r>
        <w:t>).</w:t>
      </w:r>
    </w:p>
    <w:p>
      <w:r/>
      <w:r>
        <w:t>Quand Abraham est arrivé en Canaan, les habitants du pays étaient polythéistes. Chaque culture en Palestine avait de nombreux dieux (</w:t>
      </w:r>
      <w:hyperlink r:id="rId10302">
        <w:r>
          <w:rPr>
            <w:color w:val="0000EE"/>
            <w:u w:val="single"/>
          </w:rPr>
          <w:t>Gn 31.3</w:t>
        </w:r>
      </w:hyperlink>
      <w:r>
        <w:t>–</w:t>
      </w:r>
      <w:hyperlink r:id="rId10302">
        <w:r>
          <w:rPr>
            <w:color w:val="0000EE"/>
            <w:u w:val="single"/>
          </w:rPr>
          <w:t>35</w:t>
        </w:r>
      </w:hyperlink>
      <w:r>
        <w:t xml:space="preserve"> ; </w:t>
      </w:r>
      <w:hyperlink r:id="rId10303">
        <w:r>
          <w:rPr>
            <w:color w:val="0000EE"/>
            <w:u w:val="single"/>
          </w:rPr>
          <w:t>Jg 11.24</w:t>
        </w:r>
      </w:hyperlink>
      <w:r>
        <w:t xml:space="preserve"> ; </w:t>
      </w:r>
      <w:hyperlink r:id="rId10304">
        <w:r>
          <w:rPr>
            <w:color w:val="0000EE"/>
            <w:u w:val="single"/>
          </w:rPr>
          <w:t>1S 5.2</w:t>
        </w:r>
      </w:hyperlink>
      <w:r>
        <w:t>–</w:t>
      </w:r>
      <w:hyperlink r:id="rId10304">
        <w:r>
          <w:rPr>
            <w:color w:val="0000EE"/>
            <w:u w:val="single"/>
          </w:rPr>
          <w:t>5</w:t>
        </w:r>
      </w:hyperlink>
      <w:r>
        <w:t xml:space="preserve"> ; </w:t>
      </w:r>
      <w:hyperlink r:id="rId7176">
        <w:r>
          <w:rPr>
            <w:color w:val="0000EE"/>
            <w:u w:val="single"/>
          </w:rPr>
          <w:t>1R 11.33</w:t>
        </w:r>
      </w:hyperlink>
      <w:r>
        <w:t>). Les descendants d'Abraham se sont souvent éloignés de Dieu pour adorer les dieux des Cananéens. Ils mélangeaient également les pratiques païennes avec le culte de leur Dieu (</w:t>
      </w:r>
      <w:hyperlink r:id="rId10305">
        <w:r>
          <w:rPr>
            <w:color w:val="0000EE"/>
            <w:u w:val="single"/>
          </w:rPr>
          <w:t>Gn 35.2</w:t>
        </w:r>
      </w:hyperlink>
      <w:r>
        <w:t>–</w:t>
      </w:r>
      <w:hyperlink r:id="rId10305">
        <w:r>
          <w:rPr>
            <w:color w:val="0000EE"/>
            <w:u w:val="single"/>
          </w:rPr>
          <w:t>4</w:t>
        </w:r>
      </w:hyperlink>
      <w:r>
        <w:t xml:space="preserve"> ; voir </w:t>
      </w:r>
      <w:hyperlink r:id="rId6611">
        <w:r>
          <w:rPr>
            <w:color w:val="0000EE"/>
            <w:u w:val="single"/>
          </w:rPr>
          <w:t>Jos 24.2</w:t>
        </w:r>
      </w:hyperlink>
      <w:r>
        <w:t xml:space="preserve"> ; </w:t>
      </w:r>
      <w:hyperlink r:id="rId1028">
        <w:r>
          <w:rPr>
            <w:color w:val="0000EE"/>
            <w:u w:val="single"/>
          </w:rPr>
          <w:t>1R 16.30</w:t>
        </w:r>
      </w:hyperlink>
      <w:r>
        <w:t>–</w:t>
      </w:r>
      <w:hyperlink r:id="rId1028">
        <w:r>
          <w:rPr>
            <w:color w:val="0000EE"/>
            <w:u w:val="single"/>
          </w:rPr>
          <w:t>33</w:t>
        </w:r>
      </w:hyperlink>
      <w:r>
        <w:t>).</w:t>
      </w:r>
    </w:p>
    <w:p>
      <w:r/>
      <w:r>
        <w:t>Le rôle des prophètes était d'appeler les Israélites à revenir au monothéisme, en adorant « le Dieu d'Abraham, le Dieu d'Isaac et le Dieu de Jacob » (</w:t>
      </w:r>
      <w:hyperlink r:id="rId10306">
        <w:r>
          <w:rPr>
            <w:color w:val="0000EE"/>
            <w:u w:val="single"/>
          </w:rPr>
          <w:t>Ex 3.6, 15</w:t>
        </w:r>
      </w:hyperlink>
      <w:r>
        <w:t>–</w:t>
      </w:r>
      <w:hyperlink r:id="rId10306">
        <w:r>
          <w:rPr>
            <w:color w:val="0000EE"/>
            <w:u w:val="single"/>
          </w:rPr>
          <w:t>16</w:t>
        </w:r>
      </w:hyperlink>
      <w:r>
        <w:t xml:space="preserve"> ; voir </w:t>
      </w:r>
      <w:hyperlink r:id="rId10307">
        <w:r>
          <w:rPr>
            <w:color w:val="0000EE"/>
            <w:u w:val="single"/>
          </w:rPr>
          <w:t>1R 18.17</w:t>
        </w:r>
      </w:hyperlink>
      <w:r>
        <w:t>–</w:t>
      </w:r>
      <w:hyperlink r:id="rId10307">
        <w:r>
          <w:rPr>
            <w:color w:val="0000EE"/>
            <w:u w:val="single"/>
          </w:rPr>
          <w:t>18</w:t>
        </w:r>
      </w:hyperlink>
      <w:r>
        <w:t>). Les Israélites avaient besoin qu'on leur rappelle leur monothéisme à cause des croyances polythéistes des nations voisines. Même David avait besoin de ces rappels (</w:t>
      </w:r>
      <w:hyperlink r:id="rId10308">
        <w:r>
          <w:rPr>
            <w:color w:val="0000EE"/>
            <w:u w:val="single"/>
          </w:rPr>
          <w:t>1S 26.19</w:t>
        </w:r>
      </w:hyperlink>
      <w:r>
        <w:t>), tout comme Salomon (</w:t>
      </w:r>
      <w:hyperlink r:id="rId10309">
        <w:r>
          <w:rPr>
            <w:color w:val="0000EE"/>
            <w:u w:val="single"/>
          </w:rPr>
          <w:t>1R 11.1</w:t>
        </w:r>
      </w:hyperlink>
      <w:r>
        <w:t>–</w:t>
      </w:r>
      <w:hyperlink r:id="rId10309">
        <w:r>
          <w:rPr>
            <w:color w:val="0000EE"/>
            <w:u w:val="single"/>
          </w:rPr>
          <w:t>7</w:t>
        </w:r>
      </w:hyperlink>
      <w:r>
        <w:t>) et les rois suivants (</w:t>
      </w:r>
      <w:hyperlink r:id="rId10310">
        <w:r>
          <w:rPr>
            <w:color w:val="0000EE"/>
            <w:u w:val="single"/>
          </w:rPr>
          <w:t>12.28–32</w:t>
        </w:r>
      </w:hyperlink>
      <w:r>
        <w:t xml:space="preserve"> ; </w:t>
      </w:r>
      <w:hyperlink r:id="rId3910">
        <w:r>
          <w:rPr>
            <w:color w:val="0000EE"/>
            <w:u w:val="single"/>
          </w:rPr>
          <w:t>2R 10.31</w:t>
        </w:r>
      </w:hyperlink>
      <w:r>
        <w:t xml:space="preserve"> ; </w:t>
      </w:r>
      <w:hyperlink r:id="rId4111">
        <w:r>
          <w:rPr>
            <w:color w:val="0000EE"/>
            <w:u w:val="single"/>
          </w:rPr>
          <w:t>22.17</w:t>
        </w:r>
      </w:hyperlink>
      <w:r>
        <w:t>).</w:t>
      </w:r>
    </w:p>
    <w:p>
      <w:r/>
      <w:r>
        <w:t>Les premiers prophètes n'ont pas offert d'arguments pour le monothéisme. Ils ont plutôt, simplement, rejeté les dieux païens (</w:t>
      </w:r>
      <w:hyperlink r:id="rId10311">
        <w:r>
          <w:rPr>
            <w:color w:val="0000EE"/>
            <w:u w:val="single"/>
          </w:rPr>
          <w:t>1R 18.24</w:t>
        </w:r>
      </w:hyperlink>
      <w:r>
        <w:t>). Les prophètes du 8e siècle av. J.‑C. ont affirmé l'importance du monothéisme en réponse au polythéisme persistant. L'exil a guéri les Israélites de leur tentation vers le polythéisme. Leurs ennemis ont détruit leurs idoles et ont montré qu'elles étaient impuissantes (</w:t>
      </w:r>
      <w:hyperlink r:id="rId10312">
        <w:r>
          <w:rPr>
            <w:color w:val="0000EE"/>
            <w:u w:val="single"/>
          </w:rPr>
          <w:t>Ps 115</w:t>
        </w:r>
      </w:hyperlink>
      <w:r>
        <w:t xml:space="preserve"> ; </w:t>
      </w:r>
      <w:hyperlink r:id="rId10313">
        <w:r>
          <w:rPr>
            <w:color w:val="0000EE"/>
            <w:u w:val="single"/>
          </w:rPr>
          <w:t>Es 46</w:t>
        </w:r>
      </w:hyperlink>
      <w:r>
        <w:t>). Israël a ensuite appris que seul Dieu pouvait les aider lorsqu'ils avaient besoin de lui. Il est le vrai Dieu vivant qui peut sauver son peuple lorsqu'il se repent pour lui obéir.</w:t>
      </w:r>
    </w:p>
    <w:p>
      <w:r/>
      <w:r>
        <w:rPr>
          <w:i/>
        </w:rPr>
        <w:t>Voir aussi</w:t>
      </w:r>
      <w:r>
        <w:t xml:space="preserve"> </w:t>
      </w:r>
      <w:r>
        <w:t>Dieu, Être et attributs de</w:t>
      </w:r>
      <w:r>
        <w:t>.</w:t>
      </w:r>
      <w:r/>
      <w:r/>
    </w:p>
    <w:p>
      <w:r/>
    </w:p>
    <w:p>
      <w:pPr>
        <w:pStyle w:val="Heading2"/>
      </w:pPr>
      <w:r>
        <w:t>mont des Oliviers</w:t>
      </w:r>
      <w:r/>
    </w:p>
    <w:p>
      <w:r/>
      <w:r>
        <w:t xml:space="preserve">Le mont des Oliviers est une grande crête dans les montagnes de Judée. Elle est orientée nord - sud et se trouve directement à l'est de Jérusalem et de la vallée du Cédron. La montagne des Oliviers a trois sommets séparés par deux vallées. Le sommet au nord est le mont Scopus. Au sud du mont Scopus se trouve un petit col où passait l'ancienne route romaine qui allait à Jéricho. Le sommet central correspond à la montagne des Oliviers traditionnelle. Ce sommet atteint 818,1 mètres et fait face à l'esplanade du Temple (le </w:t>
      </w:r>
      <w:r>
        <w:rPr>
          <w:i/>
        </w:rPr>
        <w:t>Haram esh-Sherif</w:t>
      </w:r>
      <w:r>
        <w:t>).</w:t>
      </w:r>
    </w:p>
    <w:p>
      <w:pPr>
        <w:pStyle w:val="Heading3"/>
      </w:pPr>
      <w:r>
        <w:t>Sites et caractéristiques</w:t>
      </w:r>
    </w:p>
    <w:p>
      <w:r/>
      <w:r>
        <w:t xml:space="preserve">L'empereur Constantin fait construire une grande Église sur le pic principal vers 325 </w:t>
      </w:r>
      <w:r>
        <w:t>apr. J.‑C.</w:t>
      </w:r>
      <w:r>
        <w:t xml:space="preserve"> Il dédie cette Église, appelée Église de l'Ascension, à sa mère Hélène. Au sud de ce site se trouve a un contrebas où passe aujourd'hui la route qui va vers Béthanie.</w:t>
      </w:r>
    </w:p>
    <w:p>
      <w:r/>
      <w:r>
        <w:t>Le sommet sud surplombe la partie la plus ancienne de Jérusalem, autrefois appelée la Cité de David. Ce sommet porte un nom particulier : « le mont de Corruption ». Il a reçu ce nom parce que le roi Salomon y avait fait construire des temples pour les divinités qu'adoraient ses épouses étrangères, désobéissant ainsi à la loi de Dieu. Ce sommet surplombe un village arabe appelé Silwan. C'est là que se rejoignent la vallée du Cédron et la vallée de Hinnom.</w:t>
      </w:r>
    </w:p>
    <w:p>
      <w:r/>
      <w:r>
        <w:t>La montagne des Oliviers tire son nom des oliveraies bien connues et importantes qui y poussaient (</w:t>
      </w:r>
      <w:hyperlink r:id="rId10314">
        <w:r>
          <w:rPr>
            <w:color w:val="0000EE"/>
            <w:u w:val="single"/>
          </w:rPr>
          <w:t>Za 14.4</w:t>
        </w:r>
      </w:hyperlink>
      <w:r>
        <w:t xml:space="preserve"> ; </w:t>
      </w:r>
      <w:hyperlink r:id="rId1867">
        <w:r>
          <w:rPr>
            <w:color w:val="0000EE"/>
            <w:u w:val="single"/>
          </w:rPr>
          <w:t>Mc 11.1</w:t>
        </w:r>
      </w:hyperlink>
      <w:r>
        <w:t>). Le côté ouest de la montagne est exposé aux pluies qui viennent de la mer Méditerranée. Ces pluies arrosent un sol riche de roches décomposées, produisant un terrain propice à la croissance de nombreux arbres fruitiers.</w:t>
      </w:r>
    </w:p>
    <w:p>
      <w:r/>
      <w:r>
        <w:t>Le désert de Judée commence à l'est de la montagne. Béthanie et Bethphagé sont deux villages mentionnés dans le Nouveau Testament (NT) construits sur les pentes orientales de la montagne.</w:t>
      </w:r>
    </w:p>
    <w:p>
      <w:pPr>
        <w:pStyle w:val="Heading3"/>
      </w:pPr>
      <w:r>
        <w:t>Le mont des Oliviers dans l'Ancien Testament</w:t>
      </w:r>
    </w:p>
    <w:p>
      <w:r/>
      <w:r>
        <w:t>La montagne des Oliviers est mentionnée dans l'Ancien Testament (AT) pour la première fois dans le récit de la fuite de David de Jérusalem lors de la conspiration d'Absalom. David s'enfuit vers l'est, gravissant la « colline des Oliviers » pour aller vers la vallée du Jourdain (</w:t>
      </w:r>
      <w:hyperlink r:id="rId3796">
        <w:r>
          <w:rPr>
            <w:color w:val="0000EE"/>
            <w:u w:val="single"/>
          </w:rPr>
          <w:t>2S 15.30</w:t>
        </w:r>
      </w:hyperlink>
      <w:r>
        <w:t>).</w:t>
      </w:r>
    </w:p>
    <w:p>
      <w:r/>
      <w:r>
        <w:t>Plus tard, le roi Salomon fait construire des « hauts lieux » sur cette montagne pour servir de lieux de culte à des divinités étrangères : celles des Sidoniens, des Moabites et des Ammonites (</w:t>
      </w:r>
      <w:hyperlink r:id="rId7177">
        <w:r>
          <w:rPr>
            <w:color w:val="0000EE"/>
            <w:u w:val="single"/>
          </w:rPr>
          <w:t>1R 11.7</w:t>
        </w:r>
      </w:hyperlink>
      <w:r>
        <w:t>). De nombreuses années plus tard, le roi Josias détruira ces lieux de culte contraires à la loi de Dieu (</w:t>
      </w:r>
      <w:hyperlink r:id="rId4066">
        <w:r>
          <w:rPr>
            <w:color w:val="0000EE"/>
            <w:u w:val="single"/>
          </w:rPr>
          <w:t>2R 23.13</w:t>
        </w:r>
      </w:hyperlink>
      <w:r>
        <w:t>).</w:t>
      </w:r>
    </w:p>
    <w:p>
      <w:r/>
      <w:r>
        <w:t>Dans une des prophéties d'Ézéchiel, le prophète voit la gloire de l'Éternel partir du temple de Jérusalem et se placer sur la montagne des Oliviers (</w:t>
      </w:r>
      <w:hyperlink r:id="rId5368">
        <w:r>
          <w:rPr>
            <w:color w:val="0000EE"/>
            <w:u w:val="single"/>
          </w:rPr>
          <w:t>Ez 11.23</w:t>
        </w:r>
      </w:hyperlink>
      <w:r>
        <w:t>). Le prophète Zacharie prophétise que l'Éternel viendra un jour en guerrier à la montagne des Oliviers :</w:t>
      </w:r>
    </w:p>
    <w:p>
      <w:r/>
      <w:r>
        <w:t xml:space="preserve">« Ses pieds se poseront en ce jour sur la montagne des oliviers, Qui est vis-à-vis de Jérusalem, du côté de l’orient ; La montagne des oliviers se fendra par le milieu, à l’orient et à l’occident, Et il se formera une très grande vallée : Une moitié de la montagne reculera vers le septentrion, Et une moitié vers le midi. » (voir </w:t>
      </w:r>
      <w:hyperlink r:id="rId10315">
        <w:r>
          <w:rPr>
            <w:color w:val="0000EE"/>
            <w:u w:val="single"/>
          </w:rPr>
          <w:t>Za 14.1–5</w:t>
        </w:r>
      </w:hyperlink>
      <w:r>
        <w:t xml:space="preserve">, particulièrement v. </w:t>
      </w:r>
      <w:hyperlink r:id="rId10314">
        <w:r>
          <w:rPr>
            <w:color w:val="0000EE"/>
            <w:u w:val="single"/>
          </w:rPr>
          <w:t>4</w:t>
        </w:r>
      </w:hyperlink>
      <w:r>
        <w:t>).</w:t>
      </w:r>
    </w:p>
    <w:p>
      <w:pPr>
        <w:pStyle w:val="Heading3"/>
      </w:pPr>
      <w:r>
        <w:t>La montagne des Oliviers dans le Nouveau Testament</w:t>
      </w:r>
    </w:p>
    <w:p>
      <w:r/>
      <w:r>
        <w:t>Dans le NT, les déplacements de Jésus au mont des Oliviers sont mentionnés un certain nombre de fois, surtout pendant la dernière semaine de sa vie terrestre (la semaine Sainte). Deux récits qui se déroulent avant cela prennent place à Béthanie, un village sur la montagne : la visite de Jésus à Marie et à Marthe (</w:t>
      </w:r>
      <w:hyperlink r:id="rId9658">
        <w:r>
          <w:rPr>
            <w:color w:val="0000EE"/>
            <w:u w:val="single"/>
          </w:rPr>
          <w:t>Lc 10.38–42</w:t>
        </w:r>
      </w:hyperlink>
      <w:r>
        <w:t>), et la fois où il s'y rend pour ramener Lazare à la vie (</w:t>
      </w:r>
      <w:hyperlink r:id="rId10316">
        <w:r>
          <w:rPr>
            <w:color w:val="0000EE"/>
            <w:u w:val="single"/>
          </w:rPr>
          <w:t>Jn 11.17–44</w:t>
        </w:r>
      </w:hyperlink>
      <w:hyperlink r:id="rId10317">
        <w:r>
          <w:rPr>
            <w:color w:val="0000EE"/>
            <w:u w:val="single"/>
          </w:rPr>
          <w:t xml:space="preserve">). </w:t>
        </w:r>
      </w:hyperlink>
    </w:p>
    <w:p>
      <w:r/>
      <w:r>
        <w:t>Quand Jésus se rend à Jérusalem pour la dernière fois, il arrive de Jéricho. Il lui faut gravir la montagne des Oliviers du côté est, puis redescendre dans la vallée de Cédron (</w:t>
      </w:r>
      <w:hyperlink r:id="rId10317">
        <w:r>
          <w:rPr>
            <w:color w:val="0000EE"/>
            <w:u w:val="single"/>
          </w:rPr>
          <w:t>Mc 11.1–10)</w:t>
        </w:r>
      </w:hyperlink>
      <w:r>
        <w:t>. Ceci se produit le jour de son entrée triomphale. La foule l'accueille comme roi, en étendant des branches de palmier sur son chemin.</w:t>
      </w:r>
    </w:p>
    <w:p>
      <w:r/>
      <w:r>
        <w:t>Alors que Jésus descend de la montagne en vue de Jérusalem, il s'arrête et pleure sur elle, car il sait les choses terribles qui vont lui arriver dans la ville sainte (</w:t>
      </w:r>
      <w:hyperlink r:id="rId10318">
        <w:r>
          <w:rPr>
            <w:color w:val="0000EE"/>
            <w:u w:val="single"/>
          </w:rPr>
          <w:t>Lc 19.41–44</w:t>
        </w:r>
      </w:hyperlink>
      <w:r>
        <w:t>).</w:t>
      </w:r>
    </w:p>
    <w:p>
      <w:r/>
      <w:r>
        <w:t>Au cours de sa dernière semaine de vie terrestre, Jésus passe beaucoup de temps sur le mont des Oliviers. Il y enseigne pendant la journée (</w:t>
      </w:r>
      <w:hyperlink r:id="rId10319">
        <w:r>
          <w:rPr>
            <w:color w:val="0000EE"/>
            <w:u w:val="single"/>
          </w:rPr>
          <w:t>Mc 13</w:t>
        </w:r>
      </w:hyperlink>
      <w:r>
        <w:t xml:space="preserve">). Il passe probablement la nuit sur cette montagne ou dans le village voisin de Béthanie. (Il est possible que la nuit passée « </w:t>
      </w:r>
      <w:r>
        <w:t xml:space="preserve">à la montagne » dans </w:t>
      </w:r>
      <w:hyperlink r:id="rId10320">
        <w:r>
          <w:rPr>
            <w:color w:val="0000EE"/>
            <w:u w:val="single"/>
          </w:rPr>
          <w:t>Luc 21.37</w:t>
        </w:r>
      </w:hyperlink>
      <w:r>
        <w:t xml:space="preserve"> a en fait été passée à Béthanie.)</w:t>
      </w:r>
    </w:p>
    <w:p>
      <w:r/>
      <w:r>
        <w:t>Après la Cène, Jésus se rend à la montagne des Oliviers pour prier (</w:t>
      </w:r>
      <w:hyperlink r:id="rId6180">
        <w:r>
          <w:rPr>
            <w:color w:val="0000EE"/>
            <w:u w:val="single"/>
          </w:rPr>
          <w:t>Mc 14.26</w:t>
        </w:r>
      </w:hyperlink>
      <w:r>
        <w:t xml:space="preserve">). Il est arrêté dans le jardin de Gethsémané, près d'un pressoir à huile d'olives (v. </w:t>
      </w:r>
      <w:hyperlink r:id="rId10321">
        <w:r>
          <w:rPr>
            <w:color w:val="0000EE"/>
            <w:u w:val="single"/>
          </w:rPr>
          <w:t>32</w:t>
        </w:r>
      </w:hyperlink>
      <w:r>
        <w:t xml:space="preserve">). Après sa résurrection d'entre les morts, Jésus rencontre ses disciples une dernière fois sur la montagne des Oliviers. C'est de cet endroit que l'ascension a lieu (le moment où Jésus est enlevé au ciel sous le regard des disciples, </w:t>
      </w:r>
      <w:hyperlink r:id="rId1327">
        <w:r>
          <w:rPr>
            <w:color w:val="0000EE"/>
            <w:u w:val="single"/>
          </w:rPr>
          <w:t>Ac 1.12</w:t>
        </w:r>
      </w:hyperlink>
      <w:r>
        <w:t>).</w:t>
      </w:r>
      <w:r/>
      <w:r/>
    </w:p>
    <w:p>
      <w:r/>
    </w:p>
    <w:p>
      <w:pPr>
        <w:pStyle w:val="Heading2"/>
      </w:pPr>
      <w:r>
        <w:t>Mont Ébal</w:t>
      </w:r>
      <w:r/>
    </w:p>
    <w:p>
      <w:r/>
      <w:r>
        <w:t>Le mont Ébal est une montagne située dans la région centrale des collines d'Israël. Il s'élève à une hauteur de 1000 m environ.</w:t>
      </w:r>
    </w:p>
    <w:p>
      <w:r/>
      <w:r>
        <w:t xml:space="preserve">Dans la Bible, le mont Ébal est souvent mentionné avec </w:t>
      </w:r>
      <w:r>
        <w:t>la montagne de</w:t>
      </w:r>
      <w:r>
        <w:t xml:space="preserve"> Garizim (</w:t>
      </w:r>
      <w:hyperlink r:id="rId7536">
        <w:r>
          <w:rPr>
            <w:color w:val="0000EE"/>
            <w:u w:val="single"/>
          </w:rPr>
          <w:t>Dt 11.29</w:t>
        </w:r>
      </w:hyperlink>
      <w:r>
        <w:t xml:space="preserve"> ; </w:t>
      </w:r>
      <w:hyperlink r:id="rId10322">
        <w:r>
          <w:rPr>
            <w:color w:val="0000EE"/>
            <w:u w:val="single"/>
          </w:rPr>
          <w:t>27.13</w:t>
        </w:r>
      </w:hyperlink>
      <w:r>
        <w:t xml:space="preserve"> ; </w:t>
      </w:r>
      <w:hyperlink r:id="rId1191">
        <w:r>
          <w:rPr>
            <w:color w:val="0000EE"/>
            <w:u w:val="single"/>
          </w:rPr>
          <w:t>Jos 8.33</w:t>
        </w:r>
      </w:hyperlink>
      <w:r>
        <w:t>). La signification de son nom est incertaine. Il est peu probable qu'il se réfère à un fils de Schobal, même si l'orthographe de son nom et celle de la montagne sont identiques (</w:t>
      </w:r>
      <w:hyperlink r:id="rId594">
        <w:r>
          <w:rPr>
            <w:color w:val="0000EE"/>
            <w:u w:val="single"/>
          </w:rPr>
          <w:t>Gn 36.23</w:t>
        </w:r>
      </w:hyperlink>
      <w:r>
        <w:t xml:space="preserve"> ; </w:t>
      </w:r>
      <w:hyperlink r:id="rId595">
        <w:r>
          <w:rPr>
            <w:color w:val="0000EE"/>
            <w:u w:val="single"/>
          </w:rPr>
          <w:t>1Ch 1.40</w:t>
        </w:r>
      </w:hyperlink>
      <w:r>
        <w:t xml:space="preserve">). Voir </w:t>
      </w:r>
      <w:hyperlink r:id="rId45">
        <w:r>
          <w:rPr>
            <w:color w:val="0000EE"/>
            <w:u w:val="single"/>
          </w:rPr>
          <w:t>1 Chroniques 1.22</w:t>
        </w:r>
      </w:hyperlink>
      <w:r>
        <w:t>, où « Ébal » est une variante de l'orthographe « Obal » (</w:t>
      </w:r>
      <w:hyperlink r:id="rId44">
        <w:r>
          <w:rPr>
            <w:color w:val="0000EE"/>
            <w:u w:val="single"/>
          </w:rPr>
          <w:t>Gn 10.28</w:t>
        </w:r>
      </w:hyperlink>
      <w:r>
        <w:t>).</w:t>
      </w:r>
    </w:p>
    <w:p>
      <w:r/>
      <w:r>
        <w:t xml:space="preserve">Avant d'entrer en terre promise, Dieu avait dit à Moïse que les tribus d'Israël devaient se rassembler aux montagnes jumelles Ébal et Garizim. Sur ces deux montagnes, le peuple récitera les malédictions et les bénédictions de </w:t>
      </w:r>
      <w:hyperlink r:id="rId10323">
        <w:r>
          <w:rPr>
            <w:color w:val="0000EE"/>
            <w:u w:val="single"/>
          </w:rPr>
          <w:t>Deutéronome 27–28</w:t>
        </w:r>
      </w:hyperlink>
      <w:r>
        <w:t xml:space="preserve">. Selon </w:t>
      </w:r>
      <w:hyperlink r:id="rId10324">
        <w:r>
          <w:rPr>
            <w:color w:val="0000EE"/>
            <w:u w:val="single"/>
          </w:rPr>
          <w:t>Deutéronome 27.12</w:t>
        </w:r>
      </w:hyperlink>
      <w:r>
        <w:t>, six tribus d'Israël devaient se tenir sur Garizim et crier les bénédictions. Ces tribus étaient Siméon, Lévi, Juda, Issacar, Joseph et Benjamin. « Joseph » ici désigne les tribus d'Éphraïm et de Manassé. Ces deux montagnes se trouvaient sur leur territoire. Les six autres tribus étaient Ruben, Gad, Aser, Zabulon, Dan et Nephthali. Elles devaient prononcer les malédictions depuis le mont Ébal. Le mont Ébal est situé du côté nord de la vallée qui s'étend entre ces deux montagnes. Il est notable que les tribus qui se tenaient sur le mont Ébal venaient principalement des régions nord d'Israël.</w:t>
      </w:r>
    </w:p>
    <w:p>
      <w:r/>
      <w:r>
        <w:t>Josué suivra les instructions de Dieu de deux manières au mont Ébal. Il y rassemblera les tribus pour prononcer les bénédictions et les malédictions (</w:t>
      </w:r>
      <w:hyperlink r:id="rId1191">
        <w:r>
          <w:rPr>
            <w:color w:val="0000EE"/>
            <w:u w:val="single"/>
          </w:rPr>
          <w:t>Jos 8.33</w:t>
        </w:r>
      </w:hyperlink>
      <w:r>
        <w:t>). Il y construira également un autel là-bas en utilisant des pierres non taillées (</w:t>
      </w:r>
      <w:hyperlink r:id="rId10325">
        <w:r>
          <w:rPr>
            <w:color w:val="0000EE"/>
            <w:u w:val="single"/>
          </w:rPr>
          <w:t>Jos 8.30</w:t>
        </w:r>
      </w:hyperlink>
      <w:r>
        <w:t>), comme Moïse avait ordonné au peuple de le faire (</w:t>
      </w:r>
      <w:hyperlink r:id="rId10326">
        <w:r>
          <w:rPr>
            <w:color w:val="0000EE"/>
            <w:u w:val="single"/>
          </w:rPr>
          <w:t>Dt 27.4</w:t>
        </w:r>
      </w:hyperlink>
      <w:r>
        <w:t>).</w:t>
      </w:r>
      <w:r/>
      <w:r/>
    </w:p>
    <w:p>
      <w:r/>
    </w:p>
    <w:p>
      <w:pPr>
        <w:pStyle w:val="Heading2"/>
      </w:pPr>
      <w:r>
        <w:t>Mont Garizim</w:t>
      </w:r>
      <w:r/>
    </w:p>
    <w:p>
      <w:r/>
      <w:r>
        <w:t>La montagne (Jebel et-Tor aujourd'hui) d'où devaient être prononcées les bénédictions, de la même manière que les malédictions devaient venir du mont Ébal (</w:t>
      </w:r>
      <w:hyperlink r:id="rId7536">
        <w:r>
          <w:rPr>
            <w:color w:val="0000EE"/>
            <w:u w:val="single"/>
          </w:rPr>
          <w:t>Dt 11.29</w:t>
        </w:r>
      </w:hyperlink>
      <w:r>
        <w:t>). Les deux montagnes désignées par Dieu étaient opposées l'une à l'autre, et le cadre était mémorable avec six tribus positionnées sur le mont Garizim et six sur le mont Ébal, les Lévites se tenant dans la vallée entre les deux, récitant les bénédictions et les malédictions (</w:t>
      </w:r>
      <w:hyperlink r:id="rId10327">
        <w:r>
          <w:rPr>
            <w:color w:val="0000EE"/>
            <w:u w:val="single"/>
          </w:rPr>
          <w:t>Dt 27.11–28.68</w:t>
        </w:r>
      </w:hyperlink>
      <w:r>
        <w:t xml:space="preserve"> ; </w:t>
      </w:r>
      <w:hyperlink r:id="rId7539">
        <w:r>
          <w:rPr>
            <w:color w:val="0000EE"/>
            <w:u w:val="single"/>
          </w:rPr>
          <w:t>Jos 8.33–35</w:t>
        </w:r>
      </w:hyperlink>
      <w:r>
        <w:t xml:space="preserve">). La montagne est près de Sichem, à environ 15 km au sud-est de la ville de Samarie, et elle est mentionnée par la femme samaritaine dans </w:t>
      </w:r>
      <w:hyperlink r:id="rId10328">
        <w:r>
          <w:rPr>
            <w:color w:val="0000EE"/>
            <w:u w:val="single"/>
          </w:rPr>
          <w:t>Jean 4.20–23</w:t>
        </w:r>
      </w:hyperlink>
      <w:r>
        <w:t xml:space="preserve"> comme la montagne où « Nos pères ont adoré ». Abraham, en effet, avait construit un autel dans cette région (</w:t>
      </w:r>
      <w:hyperlink r:id="rId10329">
        <w:r>
          <w:rPr>
            <w:color w:val="0000EE"/>
            <w:u w:val="single"/>
          </w:rPr>
          <w:t>Gn 12.6–7</w:t>
        </w:r>
      </w:hyperlink>
      <w:r>
        <w:t xml:space="preserve"> ; </w:t>
      </w:r>
      <w:hyperlink r:id="rId7425">
        <w:r>
          <w:rPr>
            <w:color w:val="0000EE"/>
            <w:u w:val="single"/>
          </w:rPr>
          <w:t>33.18–20</w:t>
        </w:r>
      </w:hyperlink>
      <w:r>
        <w:t>), et elle avait été un site vénéré pour le culte samaritain pendant des siècles. Jésus répond à la femme en soulignant que le lieu physique du culte (que ce soit Garizim ou Jérusalem) n'est pas important : c'est la réalité spirituelle qui l'est. Il faut adorer en esprit et en vérité.</w:t>
      </w:r>
    </w:p>
    <w:p>
      <w:r/>
      <w:r>
        <w:t>C'est dans cette région que les os de Joseph seront enterrés (</w:t>
      </w:r>
      <w:hyperlink r:id="rId1285">
        <w:r>
          <w:rPr>
            <w:color w:val="0000EE"/>
            <w:u w:val="single"/>
          </w:rPr>
          <w:t>Jos 24.32</w:t>
        </w:r>
      </w:hyperlink>
      <w:r>
        <w:t xml:space="preserve">) et que Josué appellera le peuple à renouveler son allégeance au Dieu de leurs pères (v. </w:t>
      </w:r>
      <w:hyperlink r:id="rId7651">
        <w:r>
          <w:rPr>
            <w:color w:val="0000EE"/>
            <w:u w:val="single"/>
          </w:rPr>
          <w:t>25–27</w:t>
        </w:r>
      </w:hyperlink>
      <w:r>
        <w:t xml:space="preserve">). Josèphe rapporte dans ses </w:t>
      </w:r>
      <w:r>
        <w:rPr>
          <w:i/>
        </w:rPr>
        <w:t>Antiquités</w:t>
      </w:r>
      <w:r>
        <w:t xml:space="preserve"> (11.8.2–4) la promesse de Sanballat à Manassé de lui préserver l'honneur du sacerdoce et de construire un temple sur le mont Garizim semblable à celui de Jérusalem. Il sera détruit plus tard par les forces maccabéennes sous Jean Hyrcan, semble-t-il (</w:t>
      </w:r>
      <w:r>
        <w:rPr>
          <w:i/>
        </w:rPr>
        <w:t>Antiquités</w:t>
      </w:r>
      <w:r>
        <w:t xml:space="preserve"> 13.9.1). Les Samaritains adorent encore à Naplouse, qui se trouve au pied du mont Garizim, mais ils forment une communauté en diminution maintenue de manière précaire.</w:t>
      </w:r>
      <w:r/>
      <w:r/>
    </w:p>
    <w:p>
      <w:r/>
    </w:p>
    <w:p>
      <w:pPr>
        <w:pStyle w:val="Heading2"/>
      </w:pPr>
      <w:r>
        <w:t>Mont Thabor</w:t>
      </w:r>
      <w:r/>
    </w:p>
    <w:p>
      <w:r/>
      <w:r>
        <w:t>Colline imposante située dans la basse Galilée, au nord-est de la vallée de Jizreel. Le mont Thabor se trouve à environ 10 kilomètres à l'est de Nazareth et s'élève rapidement au-dessus de la vallée en contrebas. Même si ce mont n'est pas très élevé (son sommet atteint 588 mètres), il est très visible. Pour cette raison, le mont Thabor constitue un point de repère important dans l'Antiquité.</w:t>
      </w:r>
    </w:p>
    <w:p>
      <w:r/>
      <w:r>
        <w:t>Le mont Thabor se trouvait à la frontière ouest de la tribu d'Issacar (</w:t>
      </w:r>
      <w:hyperlink r:id="rId10330">
        <w:r>
          <w:rPr>
            <w:color w:val="0000EE"/>
            <w:u w:val="single"/>
          </w:rPr>
          <w:t>Jos 19.22</w:t>
        </w:r>
      </w:hyperlink>
      <w:r>
        <w:t>). Il était très utile pour se repérer à partir de la route internationale qui longeait la côte, la Via Maris. Cette route importante traversait Meguiddo en Galilée en direction de Hatsor. Le mont Thabor était souvent comparé en termes d'importance au mont Hermon, bien plus au nord (</w:t>
      </w:r>
      <w:hyperlink r:id="rId10331">
        <w:r>
          <w:rPr>
            <w:color w:val="0000EE"/>
            <w:u w:val="single"/>
          </w:rPr>
          <w:t>Ps 89.12</w:t>
        </w:r>
      </w:hyperlink>
      <w:r>
        <w:t xml:space="preserve"> ; comp. avec </w:t>
      </w:r>
      <w:hyperlink r:id="rId10332">
        <w:r>
          <w:rPr>
            <w:color w:val="0000EE"/>
            <w:u w:val="single"/>
          </w:rPr>
          <w:t>Jr 46.18</w:t>
        </w:r>
      </w:hyperlink>
      <w:r>
        <w:t>).</w:t>
      </w:r>
    </w:p>
    <w:p>
      <w:pPr>
        <w:pStyle w:val="Heading3"/>
      </w:pPr>
      <w:r>
        <w:t>Le mont Thabor dans l'histoire biblique</w:t>
      </w:r>
    </w:p>
    <w:p>
      <w:r/>
      <w:r>
        <w:t>Dans l'Ancien Testament (AT), le mont Thabor est mentionné dans Juges alors que Débora et Barak combattent Sisera, dirigeant de l'armée cananéenne de Hatsor (</w:t>
      </w:r>
      <w:hyperlink r:id="rId3663">
        <w:r>
          <w:rPr>
            <w:color w:val="0000EE"/>
            <w:u w:val="single"/>
          </w:rPr>
          <w:t>Jg 4.1–24</w:t>
        </w:r>
      </w:hyperlink>
      <w:r>
        <w:t>). Les troupes de Barak, venant des tribus voisines (Nephthali et Zabulon), se réunissent sur le mont Thabor. Les Israélites combattent et réussissent à vaincre Sisera et son armée. Dans un autre récit biblique, les rois madianites Zébach et Tsalmunna tuent les frères de Gédéon au Mont Thabor. Gédéon les capture et les exécute ensuite (</w:t>
      </w:r>
      <w:hyperlink r:id="rId10333">
        <w:r>
          <w:rPr>
            <w:color w:val="0000EE"/>
            <w:u w:val="single"/>
          </w:rPr>
          <w:t>Jg 8.18</w:t>
        </w:r>
      </w:hyperlink>
      <w:r>
        <w:t>).</w:t>
      </w:r>
    </w:p>
    <w:p>
      <w:r/>
      <w:r>
        <w:t xml:space="preserve">Le sommet du mont Thabor, qui fait 1,3 kilomètre carré, est stratégiquement situé et facilement fortifiable. Il est possible que pendant la période monarchique de l'AT, il s'y soient trouvés des lieux de culte (voir </w:t>
      </w:r>
      <w:hyperlink r:id="rId10334">
        <w:r>
          <w:rPr>
            <w:color w:val="0000EE"/>
            <w:u w:val="single"/>
          </w:rPr>
          <w:t>Os 5.1</w:t>
        </w:r>
      </w:hyperlink>
      <w:r>
        <w:t xml:space="preserve">). Après la conquête d'Alexandre le Grand, l'endroit est utilisé comme fortification. La dynastie des Ptolémées la renforce, et à l'époque d'Antiochus III (218 </w:t>
      </w:r>
      <w:r>
        <w:t>av. J.‑C.</w:t>
      </w:r>
      <w:r>
        <w:t xml:space="preserve">), le Thabor devient peut-être le centre administratif de la vallée de Jizreel. Plusieurs conflits armés ont lieu sur le mont Thabor pendant l'ère romaine. Lors de la grande guerre juive de 66 </w:t>
      </w:r>
      <w:r>
        <w:t>apr. J.‑C.</w:t>
      </w:r>
      <w:r>
        <w:t>, Flavius Josèphe fortifie la colline avec un grand mur encore visible aujourd'hui.</w:t>
      </w:r>
    </w:p>
    <w:p>
      <w:pPr>
        <w:pStyle w:val="Heading4"/>
      </w:pPr>
      <w:r>
        <w:t>Le mont Thabor et la transfiguration de Jésus</w:t>
      </w:r>
    </w:p>
    <w:p>
      <w:r/>
      <w:r>
        <w:t>Depuis le 4</w:t>
      </w:r>
      <w:r>
        <w:t>ᵉ</w:t>
      </w:r>
      <w:r>
        <w:t xml:space="preserve"> siècle, certains affirment que le mont Thabor est la montagne sur laquelle Jésus a été transfiguré (</w:t>
      </w:r>
      <w:hyperlink r:id="rId10335">
        <w:r>
          <w:rPr>
            <w:color w:val="0000EE"/>
            <w:u w:val="single"/>
          </w:rPr>
          <w:t>Mc 9.2–13</w:t>
        </w:r>
      </w:hyperlink>
      <w:r>
        <w:t xml:space="preserve">). Ceci ne peut pas être prouvé avec certitude, car le NT ne mentionne jamais le mont Thabor par son nom. Hélène, mère de l'empereur Constantin, est convaincue que c'est là qu'a eu lieu la transfiguration. En 326 </w:t>
      </w:r>
      <w:r>
        <w:t>apr. J.‑C.</w:t>
      </w:r>
      <w:r>
        <w:t>, elle y fait construire une église. Des sanctuaires, monastères et églises sont construits sur la colline jusqu'au 12</w:t>
      </w:r>
      <w:r>
        <w:rPr>
          <w:vertAlign w:val="superscript"/>
        </w:rPr>
        <w:t>e</w:t>
      </w:r>
      <w:r>
        <w:t xml:space="preserve"> siècle. C'est alors que le conquérant arabe Saladin les détruit tous. Aujourd'hui, un monastère orthodoxe et une basilique latine datant du 19</w:t>
      </w:r>
      <w:r>
        <w:rPr>
          <w:vertAlign w:val="superscript"/>
        </w:rPr>
        <w:t>e</w:t>
      </w:r>
      <w:r>
        <w:t xml:space="preserve"> siècle sont situés sur la montagne.</w:t>
      </w:r>
      <w:r/>
      <w:r/>
    </w:p>
    <w:p>
      <w:r/>
    </w:p>
    <w:p>
      <w:pPr>
        <w:pStyle w:val="Heading2"/>
      </w:pPr>
      <w:r>
        <w:t>Moré, Chênes de</w:t>
      </w:r>
      <w:r/>
    </w:p>
    <w:p>
      <w:r/>
      <w:r>
        <w:t>Premier lieu d'arrêt d'Abraham lors de son entrée en Palestine après avoir quitté la Mésopotamie. Il y construisira un autel pour Dieu (</w:t>
      </w:r>
      <w:hyperlink r:id="rId10336">
        <w:r>
          <w:rPr>
            <w:color w:val="0000EE"/>
            <w:u w:val="single"/>
          </w:rPr>
          <w:t>Gn 12.6</w:t>
        </w:r>
      </w:hyperlink>
      <w:r>
        <w:t>). Plus tard, Moïse mentionnera ce lieu endroit comme point de repère géographique pour identifier l'emplacement du mont Garizim et du mont Ébal (</w:t>
      </w:r>
      <w:hyperlink r:id="rId10337">
        <w:r>
          <w:rPr>
            <w:color w:val="0000EE"/>
            <w:u w:val="single"/>
          </w:rPr>
          <w:t>Dt 11.30</w:t>
        </w:r>
      </w:hyperlink>
      <w:r>
        <w:t>). Les chênes de Moré étaient situés près de Sichem.</w:t>
      </w:r>
      <w:r/>
      <w:r/>
    </w:p>
    <w:p>
      <w:r/>
    </w:p>
    <w:p>
      <w:pPr>
        <w:pStyle w:val="Heading2"/>
      </w:pPr>
      <w:r>
        <w:t>Morija</w:t>
      </w:r>
      <w:r/>
    </w:p>
    <w:p>
      <w:r/>
      <w:r>
        <w:t>Morija est un nom qui apparaît à deux reprises dans l'Ancien Testament.</w:t>
      </w:r>
    </w:p>
    <w:p>
      <w:r/>
      <w:r>
        <w:t>La première mention se trouve dans l'histoire d'Abraham. Dieu envoie Abraham pour sacrifier son fils Isaac dans le « pays de Morija » (</w:t>
      </w:r>
      <w:hyperlink r:id="rId1139">
        <w:r>
          <w:rPr>
            <w:color w:val="0000EE"/>
            <w:u w:val="single"/>
          </w:rPr>
          <w:t>Gn 22.2</w:t>
        </w:r>
      </w:hyperlink>
      <w:r>
        <w:t xml:space="preserve">). Dieu y fournira un bélier pour prendre la place d'Isaac. L'histoire indique aussi que Dieu est « apparu » à Abraham là-bas. Certaines personnes pensent que le nom « Morija » pourrait être lié au mot hébreu </w:t>
      </w:r>
      <w:r>
        <w:rPr>
          <w:i/>
        </w:rPr>
        <w:t>ra’ah</w:t>
      </w:r>
      <w:r>
        <w:t>, qui peut signifier « voir », « fournir » ou « apparaître ». La terminaison -ja est une abréviation du nom du Seigneur et se retrouve dans de nombreux noms hébreux.</w:t>
      </w:r>
    </w:p>
    <w:p>
      <w:r/>
      <w:r>
        <w:t xml:space="preserve">La deuxième mention se trouve dans </w:t>
      </w:r>
      <w:hyperlink r:id="rId1138">
        <w:r>
          <w:rPr>
            <w:color w:val="0000EE"/>
            <w:u w:val="single"/>
          </w:rPr>
          <w:t>2 Chroniques 3.1</w:t>
        </w:r>
      </w:hyperlink>
      <w:r>
        <w:t>. Ce verset indique que Salomon a construit le temple sur la montagne de Morija. Il précise également que c'était l'endroit où le Seigneur est apparu à David. Il relie la montagne à l'aire de battage d'</w:t>
      </w:r>
      <w:r>
        <w:t>Ornan</w:t>
      </w:r>
      <w:r>
        <w:t xml:space="preserve"> le Jébusien (voir </w:t>
      </w:r>
      <w:hyperlink r:id="rId3610">
        <w:r>
          <w:rPr>
            <w:color w:val="0000EE"/>
            <w:u w:val="single"/>
          </w:rPr>
          <w:t>2S 24</w:t>
        </w:r>
      </w:hyperlink>
      <w:r>
        <w:t xml:space="preserve"> ; </w:t>
      </w:r>
      <w:hyperlink r:id="rId3611">
        <w:r>
          <w:rPr>
            <w:color w:val="0000EE"/>
            <w:u w:val="single"/>
          </w:rPr>
          <w:t>1Ch 21</w:t>
        </w:r>
      </w:hyperlink>
      <w:r>
        <w:t>). Cependant, la Bible ne dit pas directement qu'il s'agit du même endroit où Abraham est allé sacrifier Isaac.</w:t>
      </w:r>
    </w:p>
    <w:p>
      <w:r/>
      <w:r>
        <w:t>Certaines personnes croient que les deux histoires se sont déroulées au même endroit parce qu'elles racontent toutes deux l'apparition du Seigneur. L'historien juif Josèphe (</w:t>
      </w:r>
      <w:r>
        <w:rPr>
          <w:i/>
        </w:rPr>
        <w:t>Antiquités juives</w:t>
      </w:r>
      <w:r>
        <w:t xml:space="preserve"> 1.13.2 ; 7.13.4) a affirmé que le temple de Salomon se dressait à l'endroit même où Isaac a été offert. Le livre des </w:t>
      </w:r>
      <w:r>
        <w:rPr>
          <w:i/>
        </w:rPr>
        <w:t>Jubilés</w:t>
      </w:r>
      <w:r>
        <w:t xml:space="preserve"> (écrit dans les années 100 av. J.‑C.) relie également les deux événements (Jub 18.13).</w:t>
      </w:r>
    </w:p>
    <w:p>
      <w:r/>
      <w:r>
        <w:t>D'autres traditions ont des points de vue différents. La tradition samaritaine affirme que Morija était la montagne de Garizim. Dans la tradition musulmane, le Dôme du Rocher à Jérusalem marque l'endroit où Abraham a offert Isaac. Le grand rocher sous le dôme est considéré comme le site du sacrifice.</w:t>
      </w:r>
      <w:r/>
      <w:r/>
    </w:p>
    <w:p>
      <w:r/>
    </w:p>
    <w:p>
      <w:pPr>
        <w:pStyle w:val="Heading2"/>
      </w:pPr>
      <w:r>
        <w:t>mort</w:t>
      </w:r>
      <w:r/>
    </w:p>
    <w:p>
      <w:r/>
      <w:r>
        <w:t>Cessation de la vie (mort physique) ou séparation de Dieu (mort spirituelle).</w:t>
      </w:r>
    </w:p>
    <w:p>
      <w:pPr>
        <w:pStyle w:val="Heading3"/>
      </w:pPr>
      <w:r>
        <w:t>La mort dans l'Ancien Testament</w:t>
      </w:r>
    </w:p>
    <w:p>
      <w:r/>
      <w:r>
        <w:t xml:space="preserve">Dans l'Ancien Testament (AT), la mort naturelle était considérée comme la fin normale de la vie. Le souhait d'un Israélite était de vivre une vie longue et bien remplie, d'avoir de nombreux descendants et de mourir en paix, entouré de ses enfants et petits-enfants. Il n'est pas rare de trouver dans l'AT le récit de personnes qui protestent auprès de Dieu quand il leur semble que leur vie va finir de façon prématurée (p. ex. Ézéchias dans </w:t>
      </w:r>
      <w:hyperlink r:id="rId10338">
        <w:r>
          <w:rPr>
            <w:color w:val="0000EE"/>
            <w:u w:val="single"/>
          </w:rPr>
          <w:t>2R 20.1–11</w:t>
        </w:r>
      </w:hyperlink>
      <w:r>
        <w:t>). Une mort prématurée pouvait sembler être le résultat du jugement divin. C'est pour cette raison que Job veut défendre son intégrité avant de mourir (</w:t>
      </w:r>
      <w:hyperlink r:id="rId641">
        <w:r>
          <w:rPr>
            <w:color w:val="0000EE"/>
            <w:u w:val="single"/>
          </w:rPr>
          <w:t>Jb 19.25–26</w:t>
        </w:r>
      </w:hyperlink>
      <w:r>
        <w:t xml:space="preserve">). Cependant, ce n'est que dans </w:t>
      </w:r>
      <w:hyperlink r:id="rId10339">
        <w:r>
          <w:rPr>
            <w:color w:val="0000EE"/>
            <w:u w:val="single"/>
          </w:rPr>
          <w:t>Ecclésiaste 3.19–20</w:t>
        </w:r>
      </w:hyperlink>
      <w:r>
        <w:t xml:space="preserve"> que l'on trouve l'expression d'un pessimisme total face à la mort. Ce livre reflète probablement une influence non hébraïque.</w:t>
      </w:r>
    </w:p>
    <w:p>
      <w:r/>
      <w:r>
        <w:t>La mort, fin naturelle de la vie, n'était jamais considérée agréable. Il était considéré qu'elle séparait une personne de sa communauté humaine ainsi que de la présence de Dieu et de la possibilité de le servir. Pour les Israélites, Dieu pouvait donner du réconfort face à la mort (</w:t>
      </w:r>
      <w:hyperlink r:id="rId10340">
        <w:r>
          <w:rPr>
            <w:color w:val="0000EE"/>
            <w:u w:val="single"/>
          </w:rPr>
          <w:t>Ps 73.23–28</w:t>
        </w:r>
      </w:hyperlink>
      <w:r>
        <w:t>). Cependant, Dieu est rarement dépeint comme présent avec les morts. Quand c'est le cas, c'est seulement dans la littérature biblique plus tardive (</w:t>
      </w:r>
      <w:hyperlink r:id="rId10341">
        <w:r>
          <w:rPr>
            <w:color w:val="0000EE"/>
            <w:u w:val="single"/>
          </w:rPr>
          <w:t>Ps 139.8</w:t>
        </w:r>
      </w:hyperlink>
      <w:r>
        <w:t>). Pour cette raison, la mort n'était pas considérée comme un passage vers une vie meilleure.</w:t>
      </w:r>
    </w:p>
    <w:p>
      <w:r/>
      <w:r>
        <w:t>La relation entre le péché et la mort est illustrée par la peine capitale dans la loi de Moïse. Les péchés graves étaient généralement punis de mort. L'expression punitive « toute personne… sera retranchée » reflétait le fait que, bien que la nation continue de vivre, le criminel en était séparé par la mort. Les Israélites étaient avertis que de désobéir aux commandements et ainsi rompre la communion avec Dieu pouvait entraîner une mort prématurée (</w:t>
      </w:r>
      <w:hyperlink r:id="rId10342">
        <w:r>
          <w:rPr>
            <w:color w:val="0000EE"/>
            <w:u w:val="single"/>
          </w:rPr>
          <w:t>Dt 30.15–20</w:t>
        </w:r>
      </w:hyperlink>
      <w:r>
        <w:t xml:space="preserve"> ; </w:t>
      </w:r>
      <w:hyperlink r:id="rId10343">
        <w:r>
          <w:rPr>
            <w:color w:val="0000EE"/>
            <w:u w:val="single"/>
          </w:rPr>
          <w:t>Jr 21.8</w:t>
        </w:r>
      </w:hyperlink>
      <w:r>
        <w:t xml:space="preserve"> ; </w:t>
      </w:r>
      <w:hyperlink r:id="rId10344">
        <w:r>
          <w:rPr>
            <w:color w:val="0000EE"/>
            <w:u w:val="single"/>
          </w:rPr>
          <w:t>Ez 18.21–32</w:t>
        </w:r>
      </w:hyperlink>
      <w:r>
        <w:t>).</w:t>
      </w:r>
    </w:p>
    <w:p>
      <w:r/>
      <w:r>
        <w:t>Au cours de la période entre l'Ancien Testament et le Nouveau, les Juifs explorent les sujets de l'au-delà et la résurrection. Ceci s'accompagne de développements dans leur façon de considérer la mort. Le fait de mourir lui-même, et non seulement la mort prématurée, est considéré une triste conséquence du péché (</w:t>
      </w:r>
      <w:hyperlink r:id="rId10345">
        <w:r>
          <w:rPr>
            <w:color w:val="0000EE"/>
            <w:u w:val="single"/>
          </w:rPr>
          <w:t>4 Esd 3.7</w:t>
        </w:r>
      </w:hyperlink>
      <w:r>
        <w:t xml:space="preserve"> ; </w:t>
      </w:r>
      <w:hyperlink r:id="rId10346">
        <w:r>
          <w:rPr>
            <w:color w:val="0000EE"/>
            <w:u w:val="single"/>
          </w:rPr>
          <w:t>Si 25.24</w:t>
        </w:r>
      </w:hyperlink>
      <w:r>
        <w:t xml:space="preserve">). Parfois, la mort est décrite comme la conséquence du « premier péché » (la désobéissance d'Adam et Ève). D'autres fois, il est affirmé que chacun meurt à cause de son propre péché. Une résurrection des morts et un jugement ou une punition finale sont clairement mentionnés pour la première fois dans la Bible dans </w:t>
      </w:r>
      <w:hyperlink r:id="rId646">
        <w:r>
          <w:rPr>
            <w:color w:val="0000EE"/>
            <w:u w:val="single"/>
          </w:rPr>
          <w:t>Daniel 12.2</w:t>
        </w:r>
      </w:hyperlink>
      <w:r>
        <w:t>. Daniel est l'un des derniers livres de l'AT à avoir été écrit. Ce thème est repris tout au long de la période entre les deux Testaments (2 Esd 7.31–44). Pendant cette période, on croit désormais que l'âme survit à la mort sous forme immortelle (Sg 3.4 ; 4.1 ; 4 M 16.13 ; 17.12) ou dans l'attente de la résurrection (1 Hénoc 102). Certains de ces écrits extra-bibliques juifs incorporent des notions grecques selon lesquelles le corps est un fardeau dont il faut se débarrasser. Cette notion est normalement étrangère à la pensée hébraïque.</w:t>
      </w:r>
    </w:p>
    <w:p>
      <w:r/>
      <w:r>
        <w:t>Le concept de résurrection et d'une vie rachetée de la mort prépare cependant le terrain pour la révélation du Nouveau Testament (NT) qui est centrée sur la résurrection de Christ et sa conquête de la mort.</w:t>
      </w:r>
    </w:p>
    <w:p>
      <w:pPr>
        <w:pStyle w:val="Heading3"/>
      </w:pPr>
      <w:r>
        <w:t>La mort dans le Nouveau Testament</w:t>
      </w:r>
    </w:p>
    <w:p>
      <w:r/>
      <w:r>
        <w:t>Dans le NT, la mort est davantage considérée d'un point de vue théologique que d'un point de vue personnel. La mort ne concerne pas seulement la cessation de la vie physique. Elle affecte chaque aspect de la vie d'une personne. Dieu seul est immortel ; il est la source de toute vie dans le monde (</w:t>
      </w:r>
      <w:hyperlink r:id="rId10347">
        <w:r>
          <w:rPr>
            <w:color w:val="0000EE"/>
            <w:u w:val="single"/>
          </w:rPr>
          <w:t>Rm 4.17</w:t>
        </w:r>
      </w:hyperlink>
      <w:r>
        <w:t xml:space="preserve"> ; </w:t>
      </w:r>
      <w:hyperlink r:id="rId2100">
        <w:r>
          <w:rPr>
            <w:color w:val="0000EE"/>
            <w:u w:val="single"/>
          </w:rPr>
          <w:t>1Tm 6.16</w:t>
        </w:r>
      </w:hyperlink>
      <w:r>
        <w:t>). Ce n'est que lorsque l'homme marche avec Dieu qu'il peut triompher de la mort dans tous ses aspects. Cependant, depuis que le péché est entré dans le monde, il est contre nature pour l'homme d'être en communion avec Dieu (</w:t>
      </w:r>
      <w:hyperlink r:id="rId10348">
        <w:r>
          <w:rPr>
            <w:color w:val="0000EE"/>
            <w:u w:val="single"/>
          </w:rPr>
          <w:t>Rm 5.12, 17–18</w:t>
        </w:r>
      </w:hyperlink>
      <w:r>
        <w:t xml:space="preserve"> ; </w:t>
      </w:r>
      <w:hyperlink r:id="rId10349">
        <w:r>
          <w:rPr>
            <w:color w:val="0000EE"/>
            <w:u w:val="single"/>
          </w:rPr>
          <w:t>1Co 15.22</w:t>
        </w:r>
      </w:hyperlink>
      <w:r>
        <w:t>). Lorsque le premier homme, Adam, a été séparé de Dieu par l'effet de son péché, cette séparation a entraîné la mort. Tous les humains suivent les traces d'Adam (</w:t>
      </w:r>
      <w:hyperlink r:id="rId8576">
        <w:r>
          <w:rPr>
            <w:color w:val="0000EE"/>
            <w:u w:val="single"/>
          </w:rPr>
          <w:t>Rm 3.23</w:t>
        </w:r>
      </w:hyperlink>
      <w:r>
        <w:t xml:space="preserve"> ; </w:t>
      </w:r>
      <w:hyperlink r:id="rId4874">
        <w:r>
          <w:rPr>
            <w:color w:val="0000EE"/>
            <w:u w:val="single"/>
          </w:rPr>
          <w:t>5.12</w:t>
        </w:r>
      </w:hyperlink>
      <w:r>
        <w:t>). La mort est donc une conséquence inévitable du péché (</w:t>
      </w:r>
      <w:hyperlink r:id="rId10350">
        <w:r>
          <w:rPr>
            <w:color w:val="0000EE"/>
            <w:u w:val="single"/>
          </w:rPr>
          <w:t>Rm 6.23</w:t>
        </w:r>
      </w:hyperlink>
      <w:r>
        <w:t xml:space="preserve"> ; </w:t>
      </w:r>
      <w:hyperlink r:id="rId4872">
        <w:r>
          <w:rPr>
            <w:color w:val="0000EE"/>
            <w:u w:val="single"/>
          </w:rPr>
          <w:t>Hé 9.27</w:t>
        </w:r>
      </w:hyperlink>
      <w:r>
        <w:t>). Ceci signifie que la mort n'est pas simplement un événement naturel qui conclut la vie. C'est une force destructrice à l'œuvre dans tous ceux qui vivent sans être en communion avec Dieu.</w:t>
      </w:r>
    </w:p>
    <w:p>
      <w:r/>
      <w:r>
        <w:t>Le domaine sur lequel la mort règne est vaste. Elle affecte tous les aspects de la culture. Toute vie humaine se déroule dans l'ombre de la crainte de la mort (</w:t>
      </w:r>
      <w:hyperlink r:id="rId17">
        <w:r>
          <w:rPr>
            <w:color w:val="0000EE"/>
            <w:u w:val="single"/>
          </w:rPr>
          <w:t>Rm 8.15</w:t>
        </w:r>
      </w:hyperlink>
      <w:r>
        <w:t xml:space="preserve"> ; </w:t>
      </w:r>
      <w:hyperlink r:id="rId6293">
        <w:r>
          <w:rPr>
            <w:color w:val="0000EE"/>
            <w:u w:val="single"/>
          </w:rPr>
          <w:t>Hé 2.15</w:t>
        </w:r>
      </w:hyperlink>
      <w:r>
        <w:t>). Celle-ci règne sur tout ce qui est « de la chair » (</w:t>
      </w:r>
      <w:hyperlink r:id="rId2320">
        <w:r>
          <w:rPr>
            <w:color w:val="0000EE"/>
            <w:u w:val="single"/>
          </w:rPr>
          <w:t>Rm 8.6</w:t>
        </w:r>
      </w:hyperlink>
      <w:r>
        <w:t>). Quiconque ne vit pas en relation avec le Christ vit dans un état de mort (</w:t>
      </w:r>
      <w:hyperlink r:id="rId3744">
        <w:r>
          <w:rPr>
            <w:color w:val="0000EE"/>
            <w:u w:val="single"/>
          </w:rPr>
          <w:t>Jn 3.16–18</w:t>
        </w:r>
      </w:hyperlink>
      <w:r>
        <w:t xml:space="preserve"> ; </w:t>
      </w:r>
      <w:hyperlink r:id="rId10351">
        <w:r>
          <w:rPr>
            <w:color w:val="0000EE"/>
            <w:u w:val="single"/>
          </w:rPr>
          <w:t>1Jn 5.12</w:t>
        </w:r>
      </w:hyperlink>
      <w:r>
        <w:t>). La mort est la puissance du diable, qui règne sur le monde incroyant (</w:t>
      </w:r>
      <w:hyperlink r:id="rId5131">
        <w:r>
          <w:rPr>
            <w:color w:val="0000EE"/>
            <w:u w:val="single"/>
          </w:rPr>
          <w:t>Hé 2.14</w:t>
        </w:r>
      </w:hyperlink>
      <w:r>
        <w:t>). Elle est même parfois personnifiée comme une puissance démoniaque, présente dans le monde, mais finalement vaincue par le Christ lui-même, le seul qui a le pouvoir de la dominer (</w:t>
      </w:r>
      <w:hyperlink r:id="rId10352">
        <w:r>
          <w:rPr>
            <w:color w:val="0000EE"/>
            <w:u w:val="single"/>
          </w:rPr>
          <w:t>1Co 15.26–27</w:t>
        </w:r>
      </w:hyperlink>
      <w:r>
        <w:t xml:space="preserve"> ; </w:t>
      </w:r>
      <w:hyperlink r:id="rId10353">
        <w:r>
          <w:rPr>
            <w:color w:val="0000EE"/>
            <w:u w:val="single"/>
          </w:rPr>
          <w:t>Ap 6.8</w:t>
        </w:r>
      </w:hyperlink>
      <w:r>
        <w:t xml:space="preserve"> ; </w:t>
      </w:r>
      <w:hyperlink r:id="rId10354">
        <w:r>
          <w:rPr>
            <w:color w:val="0000EE"/>
            <w:u w:val="single"/>
          </w:rPr>
          <w:t>20.13–14</w:t>
        </w:r>
      </w:hyperlink>
      <w:r>
        <w:t>).</w:t>
      </w:r>
    </w:p>
    <w:p>
      <w:r/>
      <w:r>
        <w:t>Christ est mort, a été enseveli et est ressuscité le troisième jour (</w:t>
      </w:r>
      <w:hyperlink r:id="rId5185">
        <w:r>
          <w:rPr>
            <w:color w:val="0000EE"/>
            <w:u w:val="single"/>
          </w:rPr>
          <w:t>Rm 4.25</w:t>
        </w:r>
      </w:hyperlink>
      <w:r>
        <w:t xml:space="preserve"> ; </w:t>
      </w:r>
      <w:hyperlink r:id="rId10355">
        <w:r>
          <w:rPr>
            <w:color w:val="0000EE"/>
            <w:u w:val="single"/>
          </w:rPr>
          <w:t>1Co 15.3–4</w:t>
        </w:r>
      </w:hyperlink>
      <w:r>
        <w:t xml:space="preserve"> ; </w:t>
      </w:r>
      <w:hyperlink r:id="rId5007">
        <w:r>
          <w:rPr>
            <w:color w:val="0000EE"/>
            <w:u w:val="single"/>
          </w:rPr>
          <w:t>1Th 4.14</w:t>
        </w:r>
      </w:hyperlink>
      <w:r>
        <w:t>). Par cet événement historique, le pouvoir de la mort a été brisé. Le NT exprime de diverses manières que Christ a goûté à la mort afin de payer lui-même la pénalité due pour les péchés du monde. Il est devenu obéissant jusqu'à la mort (</w:t>
      </w:r>
      <w:hyperlink r:id="rId10356">
        <w:r>
          <w:rPr>
            <w:color w:val="0000EE"/>
            <w:u w:val="single"/>
          </w:rPr>
          <w:t>Ph 2.8</w:t>
        </w:r>
      </w:hyperlink>
      <w:r>
        <w:t>). Il est mort en sacrifice pour les péchés de tous (</w:t>
      </w:r>
      <w:hyperlink r:id="rId2595">
        <w:r>
          <w:rPr>
            <w:color w:val="0000EE"/>
            <w:u w:val="single"/>
          </w:rPr>
          <w:t>1Co 5.7</w:t>
        </w:r>
      </w:hyperlink>
      <w:r>
        <w:t xml:space="preserve"> ; </w:t>
      </w:r>
      <w:hyperlink r:id="rId10357">
        <w:r>
          <w:rPr>
            <w:color w:val="0000EE"/>
            <w:u w:val="single"/>
          </w:rPr>
          <w:t>2Co 5.15</w:t>
        </w:r>
      </w:hyperlink>
      <w:r>
        <w:t>). Il est ensuite descendu dans l'Hadès, le séjour des morts (</w:t>
      </w:r>
      <w:hyperlink r:id="rId10358">
        <w:r>
          <w:rPr>
            <w:color w:val="0000EE"/>
            <w:u w:val="single"/>
          </w:rPr>
          <w:t>1 Pt 3.18–19</w:t>
        </w:r>
      </w:hyperlink>
      <w:r>
        <w:t>). L'enseignement principal de tous ces passages est qu'il n'est pas resté mort mais a vaincu le diable, a pris le pouvoir (les clés) sur la mort et est remonté victorieux de cette dernière par sa résurrection (</w:t>
      </w:r>
      <w:hyperlink r:id="rId10359">
        <w:r>
          <w:rPr>
            <w:color w:val="0000EE"/>
            <w:u w:val="single"/>
          </w:rPr>
          <w:t>Hé 2.14–15</w:t>
        </w:r>
      </w:hyperlink>
      <w:r>
        <w:t xml:space="preserve"> ; </w:t>
      </w:r>
      <w:hyperlink r:id="rId10360">
        <w:r>
          <w:rPr>
            <w:color w:val="0000EE"/>
            <w:u w:val="single"/>
          </w:rPr>
          <w:t>Ap 1.17–18</w:t>
        </w:r>
      </w:hyperlink>
      <w:r>
        <w:t>). Jésus-Christ n'a pas fait cela pour son propre bénéfice mais pour celui de ceux qui le suivent (</w:t>
      </w:r>
      <w:hyperlink r:id="rId654">
        <w:r>
          <w:rPr>
            <w:color w:val="0000EE"/>
            <w:u w:val="single"/>
          </w:rPr>
          <w:t>Mc 10.45</w:t>
        </w:r>
      </w:hyperlink>
      <w:r>
        <w:t xml:space="preserve"> ; </w:t>
      </w:r>
      <w:hyperlink r:id="rId10361">
        <w:r>
          <w:rPr>
            <w:color w:val="0000EE"/>
            <w:u w:val="single"/>
          </w:rPr>
          <w:t>Rm 5.6–8</w:t>
        </w:r>
      </w:hyperlink>
      <w:r>
        <w:t xml:space="preserve"> ; </w:t>
      </w:r>
      <w:hyperlink r:id="rId10362">
        <w:r>
          <w:rPr>
            <w:color w:val="0000EE"/>
            <w:u w:val="single"/>
          </w:rPr>
          <w:t>1Th 5.9–10</w:t>
        </w:r>
      </w:hyperlink>
      <w:r>
        <w:t>). En acceptant une mort qu'il ne méritait pas, il a brisé le pouvoir de la mort pour ses disciples.</w:t>
      </w:r>
    </w:p>
    <w:p>
      <w:r/>
      <w:r>
        <w:t>Le chrétien est ainsi délivré « du corps de cette mort » par la puissance de Christ (</w:t>
      </w:r>
      <w:hyperlink r:id="rId10363">
        <w:r>
          <w:rPr>
            <w:color w:val="0000EE"/>
            <w:u w:val="single"/>
          </w:rPr>
          <w:t>Rm 7.24</w:t>
        </w:r>
      </w:hyperlink>
      <w:r>
        <w:t>). Le salut vient en étant baptisé dans la mort de Christ (</w:t>
      </w:r>
      <w:hyperlink r:id="rId10364">
        <w:r>
          <w:rPr>
            <w:color w:val="0000EE"/>
            <w:u w:val="single"/>
          </w:rPr>
          <w:t>6.3–4</w:t>
        </w:r>
      </w:hyperlink>
      <w:r>
        <w:t>), et en mourant « avec Christ » au monde et à la loi (</w:t>
      </w:r>
      <w:hyperlink r:id="rId10365">
        <w:r>
          <w:rPr>
            <w:color w:val="0000EE"/>
            <w:u w:val="single"/>
          </w:rPr>
          <w:t>Rm 7.6</w:t>
        </w:r>
      </w:hyperlink>
      <w:r>
        <w:t xml:space="preserve"> ; </w:t>
      </w:r>
      <w:hyperlink r:id="rId10288">
        <w:r>
          <w:rPr>
            <w:color w:val="0000EE"/>
            <w:u w:val="single"/>
          </w:rPr>
          <w:t>Ga 6.14</w:t>
        </w:r>
      </w:hyperlink>
      <w:r>
        <w:t xml:space="preserve"> ; </w:t>
      </w:r>
      <w:hyperlink r:id="rId2915">
        <w:r>
          <w:rPr>
            <w:color w:val="0000EE"/>
            <w:u w:val="single"/>
          </w:rPr>
          <w:t>Col 2.20</w:t>
        </w:r>
      </w:hyperlink>
      <w:r>
        <w:t>). La mort de Christ est considérée par Dieu comme la mort du croyant. L'esclavage du péché (</w:t>
      </w:r>
      <w:hyperlink r:id="rId2336">
        <w:r>
          <w:rPr>
            <w:color w:val="0000EE"/>
            <w:u w:val="single"/>
          </w:rPr>
          <w:t>Rm 6.6</w:t>
        </w:r>
      </w:hyperlink>
      <w:r>
        <w:t>) et la vie pour soi-même, qui est une idolâtrie (</w:t>
      </w:r>
      <w:hyperlink r:id="rId10366">
        <w:r>
          <w:rPr>
            <w:color w:val="0000EE"/>
            <w:u w:val="single"/>
          </w:rPr>
          <w:t>2Co 5.14–15</w:t>
        </w:r>
      </w:hyperlink>
      <w:r>
        <w:t>), ne sont plus d'actualité. En participant par leurs souffrances à la mort de Jésus, les disciples participent également à sa résurrection (</w:t>
      </w:r>
      <w:hyperlink r:id="rId10367">
        <w:r>
          <w:rPr>
            <w:color w:val="0000EE"/>
            <w:u w:val="single"/>
          </w:rPr>
          <w:t>4.10</w:t>
        </w:r>
      </w:hyperlink>
      <w:r>
        <w:t>). Le résultat est que les croyants sont maintenant séparés du monde tout comme ils étaient autrefois séparés de Dieu. En ce qui concerne les choses de ce monde, ils sont morts et Christ est leur seule vie (</w:t>
      </w:r>
      <w:hyperlink r:id="rId10368">
        <w:r>
          <w:rPr>
            <w:color w:val="0000EE"/>
            <w:u w:val="single"/>
          </w:rPr>
          <w:t>Col 3.3</w:t>
        </w:r>
      </w:hyperlink>
      <w:r>
        <w:t>).</w:t>
      </w:r>
    </w:p>
    <w:p>
      <w:r/>
      <w:r>
        <w:t>L'apôtre Jean exprime ce thème un peu différemment. Jésus est venu dans le monde pour donner la vie aux morts (</w:t>
      </w:r>
      <w:hyperlink r:id="rId7826">
        <w:r>
          <w:rPr>
            <w:color w:val="0000EE"/>
            <w:u w:val="single"/>
          </w:rPr>
          <w:t>Jn 5.24</w:t>
        </w:r>
      </w:hyperlink>
      <w:r>
        <w:t>). Ce don de la vie ne se produira pas qu'à la résurrection : il est déjà là. Tous ceux qui s'engagent envers Jésus passent immédiatement de la mort à la vie. Ou, pour le dire autrement, ceux qui gardent (obéissent à) sa parole ne verront jamais la mort (</w:t>
      </w:r>
      <w:hyperlink r:id="rId10369">
        <w:r>
          <w:rPr>
            <w:color w:val="0000EE"/>
            <w:u w:val="single"/>
          </w:rPr>
          <w:t>Jn 8.51–52</w:t>
        </w:r>
      </w:hyperlink>
      <w:r>
        <w:t>). Ainsi, tous ceux qui sont en dehors de Christ sont déjà morts et ceux qui croient en lui jouissent déjà de la vie. La différence radicale entre le chrétien et le non-chrétien est une différence entre la vie et la mort.</w:t>
      </w:r>
    </w:p>
    <w:p>
      <w:r/>
      <w:r>
        <w:t>Naturellement, les auteurs du NT savaient bien que les chrétiens meurent physiquement aussi. Ils essayaient de communiquer que la mort ne représente pas la même réalité pour les chrétiens et pour les non-chrétiens. Les croyants qui meurent physiquement sont décrits comme « morts en Christ » (</w:t>
      </w:r>
      <w:hyperlink r:id="rId10370">
        <w:r>
          <w:rPr>
            <w:color w:val="0000EE"/>
            <w:u w:val="single"/>
          </w:rPr>
          <w:t>1Th 4.16</w:t>
        </w:r>
      </w:hyperlink>
      <w:r>
        <w:t>). Ils ne sont pas morts, mais pour ainsi dire « endormis » (</w:t>
      </w:r>
      <w:hyperlink r:id="rId10371">
        <w:r>
          <w:rPr>
            <w:color w:val="0000EE"/>
            <w:u w:val="single"/>
          </w:rPr>
          <w:t>1Co 15.6, 18, 20, 51</w:t>
        </w:r>
      </w:hyperlink>
      <w:r>
        <w:t xml:space="preserve"> ; </w:t>
      </w:r>
      <w:hyperlink r:id="rId10372">
        <w:r>
          <w:rPr>
            <w:color w:val="0000EE"/>
            <w:u w:val="single"/>
          </w:rPr>
          <w:t>1Th 4.13–15</w:t>
        </w:r>
      </w:hyperlink>
      <w:r>
        <w:t xml:space="preserve"> ; voir aussi les paroles de Jésus dans </w:t>
      </w:r>
      <w:hyperlink r:id="rId10373">
        <w:r>
          <w:rPr>
            <w:color w:val="0000EE"/>
            <w:u w:val="single"/>
          </w:rPr>
          <w:t>Jn 11.11–14</w:t>
        </w:r>
      </w:hyperlink>
      <w:r>
        <w:t>). Bien que leurs corps soient morts, ceux qui sont morts en Christ ne sont pas séparés de lui. Dans un sens, c'est comme s'ils n'étaient pas vraiment morts. La puissance de la mort et du séjour des morts ne peut pas séparer les croyants de Christ (</w:t>
      </w:r>
      <w:hyperlink r:id="rId3494">
        <w:r>
          <w:rPr>
            <w:color w:val="0000EE"/>
            <w:u w:val="single"/>
          </w:rPr>
          <w:t>Rm 8.38–39</w:t>
        </w:r>
      </w:hyperlink>
      <w:r>
        <w:t>). Pour eux, la mort n'est pas une perte, mais un gain, car elle les rapproche de Christ (</w:t>
      </w:r>
      <w:hyperlink r:id="rId1344">
        <w:r>
          <w:rPr>
            <w:color w:val="0000EE"/>
            <w:u w:val="single"/>
          </w:rPr>
          <w:t>2Co 5.1–10</w:t>
        </w:r>
      </w:hyperlink>
      <w:r>
        <w:t xml:space="preserve"> ; </w:t>
      </w:r>
      <w:hyperlink r:id="rId10374">
        <w:r>
          <w:rPr>
            <w:color w:val="0000EE"/>
            <w:u w:val="single"/>
          </w:rPr>
          <w:t>Ph 1.20–21</w:t>
        </w:r>
      </w:hyperlink>
      <w:r>
        <w:t>). De plus, les croyants prendront également part à la victoire de Christ sur la mort physique. Parce qu'il est les « prémices » de ceux qui ressuscitent d'entre les morts (</w:t>
      </w:r>
      <w:hyperlink r:id="rId10375">
        <w:r>
          <w:rPr>
            <w:color w:val="0000EE"/>
            <w:u w:val="single"/>
          </w:rPr>
          <w:t>1Co 15.20</w:t>
        </w:r>
      </w:hyperlink>
      <w:r>
        <w:t xml:space="preserve"> ; </w:t>
      </w:r>
      <w:hyperlink r:id="rId313">
        <w:r>
          <w:rPr>
            <w:color w:val="0000EE"/>
            <w:u w:val="single"/>
          </w:rPr>
          <w:t>Col 1.18</w:t>
        </w:r>
      </w:hyperlink>
      <w:r>
        <w:t>), ceux qui sont « en Christ » ressusciteront « au dernier jour » pour être avec lui. Ils seront accomplis en lui et dans la plénitude.</w:t>
      </w:r>
    </w:p>
    <w:p>
      <w:r/>
      <w:r>
        <w:t>Par contre, pour ceux qui n'appartiennent pas à Christ, il y aura une séparation finale et totale de Dieu. Au jugement dernier, tous ceux dont les noms ne sont pas « écrits dans le livre de vie » seront jetés dans l'étang de feu, en compagnie de la mort elle-même et du séjour des morts. Cette séparation ultime de Dieu est la « seconde mort » (</w:t>
      </w:r>
      <w:hyperlink r:id="rId10376">
        <w:r>
          <w:rPr>
            <w:color w:val="0000EE"/>
            <w:u w:val="single"/>
          </w:rPr>
          <w:t>Ap 20.14</w:t>
        </w:r>
      </w:hyperlink>
      <w:r>
        <w:t>). Les chrétiens, cependant, ont été sauvés de la mort (</w:t>
      </w:r>
      <w:hyperlink r:id="rId693">
        <w:r>
          <w:rPr>
            <w:color w:val="0000EE"/>
            <w:u w:val="single"/>
          </w:rPr>
          <w:t>Jc 5.20</w:t>
        </w:r>
      </w:hyperlink>
      <w:r>
        <w:t xml:space="preserve"> ; </w:t>
      </w:r>
      <w:hyperlink r:id="rId10377">
        <w:r>
          <w:rPr>
            <w:color w:val="0000EE"/>
            <w:u w:val="single"/>
          </w:rPr>
          <w:t>1Jn 3.14</w:t>
        </w:r>
      </w:hyperlink>
      <w:r>
        <w:t>). La seconde mort n'a aucun pouvoir sur ceux qui sont fidèles à Christ (</w:t>
      </w:r>
      <w:hyperlink r:id="rId10378">
        <w:r>
          <w:rPr>
            <w:color w:val="0000EE"/>
            <w:u w:val="single"/>
          </w:rPr>
          <w:t>Ap 2.11</w:t>
        </w:r>
      </w:hyperlink>
      <w:r>
        <w:t xml:space="preserve"> ; </w:t>
      </w:r>
      <w:hyperlink r:id="rId10379">
        <w:r>
          <w:rPr>
            <w:color w:val="0000EE"/>
            <w:u w:val="single"/>
          </w:rPr>
          <w:t>20.6</w:t>
        </w:r>
      </w:hyperlink>
      <w:r>
        <w:t>). Au lieu de cela, ils vivront avec Dieu, en présence duquel il ne peut y avoir de mort, car il est lui-même l'auteur de la vie, le Dieu vivant (</w:t>
      </w:r>
      <w:hyperlink r:id="rId1643">
        <w:r>
          <w:rPr>
            <w:color w:val="0000EE"/>
            <w:u w:val="single"/>
          </w:rPr>
          <w:t>21.4</w:t>
        </w:r>
      </w:hyperlink>
      <w:r>
        <w:t>).</w:t>
      </w:r>
    </w:p>
    <w:p>
      <w:r/>
      <w:r>
        <w:rPr>
          <w:i/>
        </w:rPr>
        <w:t>Voir aussi</w:t>
      </w:r>
      <w:r>
        <w:t xml:space="preserve"> </w:t>
      </w:r>
      <w:r>
        <w:t>séjour des morts</w:t>
      </w:r>
      <w:r>
        <w:t xml:space="preserve"> ; </w:t>
      </w:r>
      <w:r>
        <w:t>état intermédiaire</w:t>
      </w:r>
      <w:r>
        <w:t xml:space="preserve"> ; </w:t>
      </w:r>
      <w:r>
        <w:t>colère de Dieu</w:t>
      </w:r>
      <w:r>
        <w:t>.</w:t>
      </w:r>
      <w:r/>
      <w:r/>
    </w:p>
    <w:p>
      <w:r/>
    </w:p>
    <w:p>
      <w:pPr>
        <w:pStyle w:val="Heading2"/>
      </w:pPr>
      <w:r>
        <w:t>Moulin, Meule</w:t>
      </w:r>
      <w:r/>
    </w:p>
    <w:p>
      <w:r/>
      <w:r>
        <w:t>Un moulin est composé de deux pierres circulaires (appelées meules) utilisées pour moudre le grain en farine. L'art ancien et les sites du Moyen-Orient montrent le broyage de grain avec des meules. Ceux-ci datent de la période néolithique (environ 8 300–4 500 av. J.‑C.). Les premiers moulins étaient des moulins à main. La technologie s'est améliorée au fil du temps, mais le principe de base est resté le même. Une pierre inférieure retenait le grain. Une pierre supérieure, déplacée sur la pierre inférieure, broyait le grain en farine. En hébreu, le mot pour « moulin » fait référence à ces deux parties essentielles.</w:t>
      </w:r>
    </w:p>
    <w:p>
      <w:pPr>
        <w:pStyle w:val="Heading4"/>
      </w:pPr>
      <w:r>
        <w:t>Types de moulins</w:t>
      </w:r>
    </w:p>
    <w:p>
      <w:pPr>
        <w:pStyle w:val="ListNumber"/>
        <w:spacing w:line="240" w:lineRule="auto"/>
        <w:ind w:left="720"/>
      </w:pPr>
      <w:r/>
      <w:r>
        <w:t xml:space="preserve">Le premier type de moulin était le </w:t>
      </w:r>
      <w:r>
        <w:rPr>
          <w:b/>
        </w:rPr>
        <w:t>moulin à main</w:t>
      </w:r>
      <w:r>
        <w:t>. Il se composait d'une pierre de base rugueuse, légèrement concave, et d'une pierre à frotter convexe. La pierre de base mesurait de 45 à 75 cm de large, avec une extrémité plus épaisse que l'autre. En hébreu, elle était appelée la « partie inférieure » ou « meule inférieure » (</w:t>
      </w:r>
      <w:hyperlink r:id="rId10380">
        <w:r>
          <w:rPr>
            <w:color w:val="0000EE"/>
            <w:u w:val="single"/>
          </w:rPr>
          <w:t>Jb 41.24</w:t>
        </w:r>
      </w:hyperlink>
      <w:r>
        <w:t>). La pierre supérieure, connue sous le nom de « partie cavalière » ou « meule supérieure » (</w:t>
      </w:r>
      <w:hyperlink r:id="rId10381">
        <w:r>
          <w:rPr>
            <w:color w:val="0000EE"/>
            <w:u w:val="single"/>
          </w:rPr>
          <w:t>Jg 9.53</w:t>
        </w:r>
      </w:hyperlink>
      <w:r>
        <w:t xml:space="preserve"> ; </w:t>
      </w:r>
      <w:hyperlink r:id="rId10382">
        <w:r>
          <w:rPr>
            <w:color w:val="0000EE"/>
            <w:u w:val="single"/>
          </w:rPr>
          <w:t>2S 11.21</w:t>
        </w:r>
      </w:hyperlink>
      <w:r>
        <w:t>), mesurait entre 15 et 40 cm de long. Elle était plate d'un côté et légèrement arrondie de l'autre, ce qui la rendait facile à tenir en main. Pour moudre le grain, les gens poussaient la pierre supérieure d'avant en arrière sur le grain sur la pierre inférieure. Seule une petite quantité de grain pouvait être moulue à la fois avec cette méthode (</w:t>
      </w:r>
      <w:hyperlink r:id="rId10383">
        <w:r>
          <w:rPr>
            <w:color w:val="0000EE"/>
            <w:u w:val="single"/>
          </w:rPr>
          <w:t>Gn 18.6</w:t>
        </w:r>
      </w:hyperlink>
      <w:r>
        <w:t>).</w:t>
      </w:r>
    </w:p>
    <w:p>
      <w:pPr>
        <w:pStyle w:val="ListNumber"/>
        <w:spacing w:line="240" w:lineRule="auto"/>
        <w:ind w:left="720"/>
      </w:pPr>
      <w:r/>
      <w:r>
        <w:t>Un type ultérieur de moulin à main utilisait deux pierres rondes. La pierre inférieure pouvait être arrondie soit vers l'intérieur, soit vers l'extérieur sur le dessus, tandis que la pierre supérieure était façonnée pour s'adapter par-dessus. Certains de ces moulins avaient un trou en forme d'entonnoir au centre de la pierre supérieure pour y verser le grain. Une cheville en bois sur le bord de la pierre supérieure permettait de la tourner, écrasant le grain, qui s'échappait ensuite le long des bords. On utilisait souvent le basalte noir car sa surface rugueuse et granuleuse offrait de bons bords tranchants. Ce type de moulin pouvait être actionné par une seule personne, bien que parfois deux personnes soient nécessaires (</w:t>
      </w:r>
      <w:hyperlink r:id="rId10384">
        <w:r>
          <w:rPr>
            <w:color w:val="0000EE"/>
            <w:u w:val="single"/>
          </w:rPr>
          <w:t>Mat 24.41</w:t>
        </w:r>
      </w:hyperlink>
      <w:r>
        <w:t>).</w:t>
      </w:r>
    </w:p>
    <w:p>
      <w:r/>
      <w:r>
        <w:t>Le moulin à main était si important pour la vie quotidienne qu'il était interdit par la loi de prendre la meule d'une personne en gage pour une dette. Cette loi protégeait les familles de la perte de leur moyen de fabrication de farine pour le pain (</w:t>
      </w:r>
      <w:hyperlink r:id="rId10385">
        <w:r>
          <w:rPr>
            <w:color w:val="0000EE"/>
            <w:u w:val="single"/>
          </w:rPr>
          <w:t>Dt 24.6</w:t>
        </w:r>
      </w:hyperlink>
      <w:r>
        <w:t>). Les pierres étaient assez lourdes pour tuer une personne si elles étaient jetées sur sa tête, comme dans le cas d'Abimélec (</w:t>
      </w:r>
      <w:hyperlink r:id="rId10381">
        <w:r>
          <w:rPr>
            <w:color w:val="0000EE"/>
            <w:u w:val="single"/>
          </w:rPr>
          <w:t>Jg 9.53</w:t>
        </w:r>
      </w:hyperlink>
      <w:r>
        <w:t xml:space="preserve"> ; voir </w:t>
      </w:r>
      <w:hyperlink r:id="rId10382">
        <w:r>
          <w:rPr>
            <w:color w:val="0000EE"/>
            <w:u w:val="single"/>
          </w:rPr>
          <w:t>2S 11.21</w:t>
        </w:r>
      </w:hyperlink>
      <w:r>
        <w:t>).</w:t>
      </w:r>
    </w:p>
    <w:p>
      <w:pPr>
        <w:pStyle w:val="Heading4"/>
      </w:pPr>
      <w:r>
        <w:t>Moudre le grain</w:t>
      </w:r>
    </w:p>
    <w:p>
      <w:r/>
      <w:r>
        <w:t>Moudre le grain était généralement le travail des serviteurs (</w:t>
      </w:r>
      <w:hyperlink r:id="rId10014">
        <w:r>
          <w:rPr>
            <w:color w:val="0000EE"/>
            <w:u w:val="single"/>
          </w:rPr>
          <w:t>Ex 11.5</w:t>
        </w:r>
      </w:hyperlink>
      <w:r>
        <w:t>) ou des femmes (</w:t>
      </w:r>
      <w:hyperlink r:id="rId10386">
        <w:r>
          <w:rPr>
            <w:color w:val="0000EE"/>
            <w:u w:val="single"/>
          </w:rPr>
          <w:t>Es 47.2</w:t>
        </w:r>
      </w:hyperlink>
      <w:r>
        <w:t>). Le bruit du moulin pouvait être entendu quotidiennement dans chaque village en Palestine. Si ce son s'arrêtait, cela signifiait que le village était déserté (</w:t>
      </w:r>
      <w:hyperlink r:id="rId9638">
        <w:r>
          <w:rPr>
            <w:color w:val="0000EE"/>
            <w:u w:val="single"/>
          </w:rPr>
          <w:t>Jr 25.10</w:t>
        </w:r>
      </w:hyperlink>
      <w:r>
        <w:t>).</w:t>
      </w:r>
    </w:p>
    <w:p>
      <w:pPr>
        <w:pStyle w:val="Heading4"/>
      </w:pPr>
      <w:r>
        <w:t>Moulins communautaires</w:t>
      </w:r>
    </w:p>
    <w:p>
      <w:r/>
      <w:r>
        <w:t>Les animaux alimentaient également de plus grands moulins communautaires. Une grande pierre lourde, mesurant probablement entre 120 et 150 cm de diamètre, était roulée sur son bord à l'aide d'un poteau passant par son centre. Le poteau tournait autour d'un montant vertical, de manière similaire à certains moulins dans les pays de l'Orient qui fonctionnent encore aujourd'hui. Samson a sans doute été contraint d'utiliser un moulin de ce type pour moudre le grain pour les Philistins (</w:t>
      </w:r>
      <w:hyperlink r:id="rId1502">
        <w:r>
          <w:rPr>
            <w:color w:val="0000EE"/>
            <w:u w:val="single"/>
          </w:rPr>
          <w:t>Jg 16.21</w:t>
        </w:r>
      </w:hyperlink>
      <w:r>
        <w:t>).</w:t>
      </w:r>
    </w:p>
    <w:p>
      <w:r/>
      <w:r>
        <w:rPr>
          <w:i/>
        </w:rPr>
        <w:t>Voir aussi</w:t>
      </w:r>
      <w:r>
        <w:t xml:space="preserve"> </w:t>
      </w:r>
      <w:r>
        <w:t>Alimentation et préparation des aliments</w:t>
      </w:r>
      <w:r>
        <w:t xml:space="preserve"> ; </w:t>
      </w:r>
      <w:r>
        <w:t>Pain</w:t>
      </w:r>
      <w:r>
        <w:t xml:space="preserve"> ; </w:t>
      </w:r>
      <w:r>
        <w:t>Agriculture</w:t>
      </w:r>
      <w:r>
        <w:t>.</w:t>
      </w:r>
      <w:r/>
      <w:r/>
    </w:p>
    <w:p>
      <w:r/>
    </w:p>
    <w:p>
      <w:pPr>
        <w:pStyle w:val="Heading2"/>
      </w:pPr>
      <w:r>
        <w:t>muet, mustime</w:t>
      </w:r>
      <w:r/>
    </w:p>
    <w:p>
      <w:r/>
      <w:r>
        <w:t xml:space="preserve">Incapacité de parler, appelée mutisme (ou </w:t>
      </w:r>
      <w:r>
        <w:rPr>
          <w:i/>
        </w:rPr>
        <w:t>aphasie</w:t>
      </w:r>
      <w:r>
        <w:t xml:space="preserve"> par les médecins). Cette incapacité de parler peut être temporaire ou permanente. Elle peut être causée par un handicap mental, des lésions cérébrales ou par l'incapacité d'entendre (la surdité).</w:t>
      </w:r>
    </w:p>
    <w:p>
      <w:r/>
      <w:r>
        <w:t>La Bible mentionne plusieurs exemples de mutisme. Zacharie est rendu muet par l'ange Gabriel parce qu'il ne croit pas qu'il deviendra père de façon miraculeuse (</w:t>
      </w:r>
      <w:hyperlink r:id="rId10387">
        <w:r>
          <w:rPr>
            <w:color w:val="0000EE"/>
            <w:u w:val="single"/>
          </w:rPr>
          <w:t>Lc 1.18–22</w:t>
        </w:r>
      </w:hyperlink>
      <w:r>
        <w:t>). Ce handicap a duré au moins neuf mois, jusqu'à ce que son fils, Jean le baptiste, naisse et reçoive son nom (</w:t>
      </w:r>
      <w:hyperlink r:id="rId10388">
        <w:r>
          <w:rPr>
            <w:color w:val="0000EE"/>
            <w:u w:val="single"/>
          </w:rPr>
          <w:t>Lc 1.62–64</w:t>
        </w:r>
      </w:hyperlink>
      <w:r>
        <w:t>).</w:t>
      </w:r>
    </w:p>
    <w:p>
      <w:r/>
      <w:r>
        <w:t>L'incapacité à parler est généralement liée à des maladies cérébrales ou à un problème de développement du cerveau. Jésus guérit des personnes qui ne peuvent pas parler et d'autres qui ne peuvent pas entendre (</w:t>
      </w:r>
      <w:hyperlink r:id="rId9730">
        <w:r>
          <w:rPr>
            <w:color w:val="0000EE"/>
            <w:u w:val="single"/>
          </w:rPr>
          <w:t>Mt 9.32–33</w:t>
        </w:r>
      </w:hyperlink>
      <w:r>
        <w:t xml:space="preserve"> ; </w:t>
      </w:r>
      <w:hyperlink r:id="rId10389">
        <w:r>
          <w:rPr>
            <w:color w:val="0000EE"/>
            <w:u w:val="single"/>
          </w:rPr>
          <w:t>12.22–23</w:t>
        </w:r>
      </w:hyperlink>
      <w:r>
        <w:t xml:space="preserve"> ; </w:t>
      </w:r>
      <w:hyperlink r:id="rId10390">
        <w:r>
          <w:rPr>
            <w:color w:val="0000EE"/>
            <w:u w:val="single"/>
          </w:rPr>
          <w:t>15.30–31</w:t>
        </w:r>
      </w:hyperlink>
      <w:r>
        <w:t xml:space="preserve"> ; </w:t>
      </w:r>
      <w:hyperlink r:id="rId10391">
        <w:r>
          <w:rPr>
            <w:color w:val="0000EE"/>
            <w:u w:val="single"/>
          </w:rPr>
          <w:t>Mc 7.32–37</w:t>
        </w:r>
      </w:hyperlink>
      <w:r>
        <w:t xml:space="preserve"> ; </w:t>
      </w:r>
      <w:hyperlink r:id="rId4852">
        <w:r>
          <w:rPr>
            <w:color w:val="0000EE"/>
            <w:u w:val="single"/>
          </w:rPr>
          <w:t>9.17–27</w:t>
        </w:r>
      </w:hyperlink>
      <w:r>
        <w:t xml:space="preserve"> ; </w:t>
      </w:r>
      <w:hyperlink r:id="rId10392">
        <w:r>
          <w:rPr>
            <w:color w:val="0000EE"/>
            <w:u w:val="single"/>
          </w:rPr>
          <w:t>Lc 11.14</w:t>
        </w:r>
      </w:hyperlink>
      <w:r>
        <w:t>). Les témoins de ces miracles en sont émerveillés.</w:t>
      </w:r>
    </w:p>
    <w:p>
      <w:r/>
      <w:r>
        <w:t>D'autres passages de la Bible mentionnent des personnes muettes (</w:t>
      </w:r>
      <w:hyperlink r:id="rId10393">
        <w:r>
          <w:rPr>
            <w:color w:val="0000EE"/>
            <w:u w:val="single"/>
          </w:rPr>
          <w:t>Pr 31.8</w:t>
        </w:r>
      </w:hyperlink>
      <w:r>
        <w:t xml:space="preserve"> ; </w:t>
      </w:r>
      <w:hyperlink r:id="rId10394">
        <w:r>
          <w:rPr>
            <w:color w:val="0000EE"/>
            <w:u w:val="single"/>
          </w:rPr>
          <w:t>Es 35.6</w:t>
        </w:r>
      </w:hyperlink>
      <w:r>
        <w:t>) et parfois des animaux muets (</w:t>
      </w:r>
      <w:hyperlink r:id="rId10395">
        <w:r>
          <w:rPr>
            <w:color w:val="0000EE"/>
            <w:u w:val="single"/>
          </w:rPr>
          <w:t>Es 56.10</w:t>
        </w:r>
      </w:hyperlink>
      <w:r>
        <w:t xml:space="preserve"> ; </w:t>
      </w:r>
      <w:hyperlink r:id="rId10396">
        <w:r>
          <w:rPr>
            <w:color w:val="0000EE"/>
            <w:u w:val="single"/>
          </w:rPr>
          <w:t>2P 2.16</w:t>
        </w:r>
      </w:hyperlink>
      <w:r>
        <w:t>). Les prophètes déclarent souvent que les faux dieux et les idoles sont incapables de parler (</w:t>
      </w:r>
      <w:hyperlink r:id="rId10397">
        <w:r>
          <w:rPr>
            <w:color w:val="0000EE"/>
            <w:u w:val="single"/>
          </w:rPr>
          <w:t>Hé 2.18–20</w:t>
        </w:r>
      </w:hyperlink>
      <w:r>
        <w:t xml:space="preserve"> ; </w:t>
      </w:r>
      <w:hyperlink r:id="rId6648">
        <w:r>
          <w:rPr>
            <w:color w:val="0000EE"/>
            <w:u w:val="single"/>
          </w:rPr>
          <w:t>1Co 12.2</w:t>
        </w:r>
      </w:hyperlink>
      <w:r>
        <w:t>). Par contre, soulignent-ils, le seul vrai Dieu, le Dieu d'Israël, est bien vivant et n'est pas muet.</w:t>
      </w:r>
    </w:p>
    <w:p>
      <w:r/>
      <w:r>
        <w:rPr>
          <w:i/>
        </w:rPr>
        <w:t>Voir aussi</w:t>
      </w:r>
      <w:r>
        <w:t xml:space="preserve"> </w:t>
      </w:r>
      <w:r>
        <w:t>médecine et pratiques médicales ou médicinales</w:t>
      </w:r>
      <w:r>
        <w:t>.</w:t>
      </w:r>
      <w:r/>
      <w:r/>
    </w:p>
    <w:p>
      <w:r/>
    </w:p>
    <w:p>
      <w:pPr>
        <w:pStyle w:val="Heading2"/>
      </w:pPr>
      <w:r>
        <w:t>Muppim</w:t>
      </w:r>
      <w:r/>
    </w:p>
    <w:p>
      <w:r/>
      <w:r>
        <w:t>Un des dix fils de Benjamin (</w:t>
      </w:r>
      <w:hyperlink r:id="rId123">
        <w:r>
          <w:rPr>
            <w:color w:val="0000EE"/>
            <w:u w:val="single"/>
          </w:rPr>
          <w:t>Gn 46.21</w:t>
        </w:r>
      </w:hyperlink>
      <w:r>
        <w:t xml:space="preserve">). Il est ailleurs appelé </w:t>
      </w:r>
      <w:r>
        <w:t>Schupham</w:t>
      </w:r>
      <w:r>
        <w:t xml:space="preserve"> (</w:t>
      </w:r>
      <w:hyperlink r:id="rId6584">
        <w:r>
          <w:rPr>
            <w:color w:val="0000EE"/>
            <w:u w:val="single"/>
          </w:rPr>
          <w:t>Nb 26.39</w:t>
        </w:r>
      </w:hyperlink>
      <w:r>
        <w:t xml:space="preserve">) et </w:t>
      </w:r>
      <w:r>
        <w:t>Schuppim</w:t>
      </w:r>
      <w:r>
        <w:t xml:space="preserve"> (</w:t>
      </w:r>
      <w:hyperlink r:id="rId124">
        <w:r>
          <w:rPr>
            <w:color w:val="0000EE"/>
            <w:u w:val="single"/>
          </w:rPr>
          <w:t>1Ch 7.12</w:t>
        </w:r>
      </w:hyperlink>
      <w:r>
        <w:t xml:space="preserve">). Il se peut qu'il s'agisse de la même personne que </w:t>
      </w:r>
      <w:r>
        <w:t>Schephuphan</w:t>
      </w:r>
      <w:r>
        <w:t xml:space="preserve"> (</w:t>
      </w:r>
      <w:hyperlink r:id="rId6586">
        <w:r>
          <w:rPr>
            <w:color w:val="0000EE"/>
            <w:u w:val="single"/>
          </w:rPr>
          <w:t>1Ch 8.5</w:t>
        </w:r>
      </w:hyperlink>
      <w:r>
        <w:t>).</w:t>
      </w:r>
    </w:p>
    <w:p>
      <w:r/>
      <w:r>
        <w:rPr>
          <w:i/>
        </w:rPr>
        <w:t>Voir</w:t>
      </w:r>
      <w:r>
        <w:t xml:space="preserve"> </w:t>
      </w:r>
      <w:r>
        <w:t>Schephuphan</w:t>
      </w:r>
      <w:r>
        <w:t>.</w:t>
      </w:r>
      <w:r/>
      <w:r/>
    </w:p>
    <w:p>
      <w:r/>
    </w:p>
    <w:p>
      <w:pPr>
        <w:pStyle w:val="Heading2"/>
      </w:pPr>
      <w:r>
        <w:t>Musique</w:t>
      </w:r>
      <w:r/>
    </w:p>
    <w:p>
      <w:r/>
      <w:r>
        <w:t>La musique est une expression humaine naturelle qui a probablement commencé avec le « chant parlé » et s'est développée en chansons. Les instruments de musique pour l'accompagnement ont suivi. La musique telle que nous la connaissons est devenue assez complexe, un luxe et un divertissement. Dans l'Antiquité, la musique était davantage une expression fonctionnelle de la vie quotidienne, du travail et du culte.</w:t>
      </w:r>
    </w:p>
    <w:p>
      <w:r/>
      <w:r>
        <w:t>L'expression « chantez au Seigneur », fréquente dans l'Ancien Testament (</w:t>
      </w:r>
      <w:hyperlink r:id="rId10398">
        <w:r>
          <w:rPr>
            <w:color w:val="0000EE"/>
            <w:u w:val="single"/>
          </w:rPr>
          <w:t>Ex 15.21</w:t>
        </w:r>
      </w:hyperlink>
      <w:r>
        <w:t xml:space="preserve"> ; </w:t>
      </w:r>
      <w:hyperlink r:id="rId10399">
        <w:r>
          <w:rPr>
            <w:color w:val="0000EE"/>
            <w:u w:val="single"/>
          </w:rPr>
          <w:t>1Ch 16.9</w:t>
        </w:r>
      </w:hyperlink>
      <w:r>
        <w:t xml:space="preserve"> ; </w:t>
      </w:r>
      <w:hyperlink r:id="rId10400">
        <w:r>
          <w:rPr>
            <w:color w:val="0000EE"/>
            <w:u w:val="single"/>
          </w:rPr>
          <w:t>Ps 68.32</w:t>
        </w:r>
      </w:hyperlink>
      <w:r>
        <w:t xml:space="preserve"> ; </w:t>
      </w:r>
      <w:hyperlink r:id="rId10401">
        <w:r>
          <w:rPr>
            <w:color w:val="0000EE"/>
            <w:u w:val="single"/>
          </w:rPr>
          <w:t>96.1–2</w:t>
        </w:r>
      </w:hyperlink>
      <w:r>
        <w:t xml:space="preserve"> ; </w:t>
      </w:r>
      <w:hyperlink r:id="rId10402">
        <w:r>
          <w:rPr>
            <w:color w:val="0000EE"/>
            <w:u w:val="single"/>
          </w:rPr>
          <w:t>Es 42.10</w:t>
        </w:r>
      </w:hyperlink>
      <w:r>
        <w:t xml:space="preserve"> ; </w:t>
      </w:r>
      <w:hyperlink r:id="rId10403">
        <w:r>
          <w:rPr>
            <w:color w:val="0000EE"/>
            <w:u w:val="single"/>
          </w:rPr>
          <w:t>Jr 20.13</w:t>
        </w:r>
      </w:hyperlink>
      <w:r>
        <w:t>), n'était pas unique à la nation juive. Toutes les religions s'appuient sur l'élan humain naturel vers la chanson. L'appel « chantez au Seigneur » était un signal pour que le peuple exprime sa louange par le chant.</w:t>
      </w:r>
    </w:p>
    <w:p>
      <w:r/>
      <w:r>
        <w:t>Ce que dit la Bible à propos de la musique dans l'Israël de l'Antiquité est limité. Il n'existait pas de notation musicale écrite. Le principal document historique en rapport avec la musique est une collection de textes, y compris les psaumes, et quelques instructions musicales. Les auteurs bibliques n'écrivaient pas une histoire de leur culture, mais plutôt une histoire de la relation de leur peuple avec Dieu. Les documents bibliques couvrent une longue période historique et sont regroupés par catégories plutôt que par ordre chronologique. Leurs commentaires sur la musique ne cherchent pas à en décrire la nature. Cela rend difficile de déterminer le développement musical israélite de façon précise. Enfin, il y a le problème de la compréhension des descriptions bibliques de la musique et de son interprétation. Ce n'est qu'au 20</w:t>
      </w:r>
      <w:r>
        <w:t>ᵉ</w:t>
      </w:r>
      <w:r>
        <w:t xml:space="preserve"> siècle que les chercheurs ont pu déchiffrer certaines des informations données dans la Bible en termes de systèmes musicaux orientaux.</w:t>
      </w:r>
    </w:p>
    <w:p>
      <w:pPr>
        <w:pStyle w:val="Heading3"/>
      </w:pPr>
      <w:r>
        <w:t>La musique dans l'Ancien Testament</w:t>
      </w:r>
    </w:p>
    <w:p>
      <w:r/>
      <w:r>
        <w:t xml:space="preserve">Le premier musicien mentionné dans la Bible est Jubal, « </w:t>
      </w:r>
      <w:r>
        <w:t>le père de tous ceux qui jouent de la harpe et du chalumeau</w:t>
      </w:r>
      <w:r>
        <w:t xml:space="preserve"> » (</w:t>
      </w:r>
      <w:hyperlink r:id="rId6797">
        <w:r>
          <w:rPr>
            <w:color w:val="0000EE"/>
            <w:u w:val="single"/>
          </w:rPr>
          <w:t>Gn 4.21</w:t>
        </w:r>
      </w:hyperlink>
      <w:r>
        <w:t xml:space="preserve">). La profession de Jubal est aussi importante que celles de ses frères Jabal, le berger, et Tubal-Caïn, le forgeron. La musique est parmi les premières professions des peuples nomades. On croit que le nom « Jubal » est dérivé du mot hébreu pour « bélier ». La corne de bélier </w:t>
      </w:r>
      <w:r>
        <w:rPr>
          <w:i/>
        </w:rPr>
        <w:t>(shophar)</w:t>
      </w:r>
      <w:r>
        <w:t xml:space="preserve"> était l'un des premiers instruments du peuple juif. Le shophar était et est utilisé pour signaler des événements importants.</w:t>
      </w:r>
    </w:p>
    <w:p>
      <w:r/>
      <w:r>
        <w:t>La fonction principale de la musique décrite dans l'histoire biblique ancienne était cultuelle. C'était devenu une partie importante de l'adoration au Temple. De nombreuses descriptions de la création musicale en Israël avant l'époque de David sont assez utilitaires. Il existe des récits de musique lors :</w:t>
      </w:r>
    </w:p>
    <w:p>
      <w:pPr>
        <w:pStyle w:val="ListBullet"/>
        <w:spacing w:line="240" w:lineRule="auto"/>
        <w:ind w:left="720"/>
      </w:pPr>
      <w:r/>
      <w:r>
        <w:t>d'adieux (</w:t>
      </w:r>
      <w:hyperlink r:id="rId10404">
        <w:r>
          <w:rPr>
            <w:color w:val="0000EE"/>
            <w:u w:val="single"/>
          </w:rPr>
          <w:t>Gn 31.27</w:t>
        </w:r>
      </w:hyperlink>
      <w:r>
        <w:t>),</w:t>
      </w:r>
    </w:p>
    <w:p>
      <w:pPr>
        <w:pStyle w:val="ListBullet"/>
        <w:spacing w:line="240" w:lineRule="auto"/>
        <w:ind w:left="720"/>
      </w:pPr>
      <w:r/>
      <w:r>
        <w:t>de réjouissances et de festins (</w:t>
      </w:r>
      <w:hyperlink r:id="rId10405">
        <w:r>
          <w:rPr>
            <w:color w:val="0000EE"/>
            <w:u w:val="single"/>
          </w:rPr>
          <w:t>Ex 32.17–18</w:t>
        </w:r>
      </w:hyperlink>
      <w:r>
        <w:t xml:space="preserve"> ; </w:t>
      </w:r>
      <w:hyperlink r:id="rId6775">
        <w:r>
          <w:rPr>
            <w:color w:val="0000EE"/>
            <w:u w:val="single"/>
          </w:rPr>
          <w:t>Es 5.12</w:t>
        </w:r>
      </w:hyperlink>
      <w:r>
        <w:t xml:space="preserve"> ; </w:t>
      </w:r>
      <w:hyperlink r:id="rId10406">
        <w:r>
          <w:rPr>
            <w:color w:val="0000EE"/>
            <w:u w:val="single"/>
          </w:rPr>
          <w:t>24.8–9</w:t>
        </w:r>
      </w:hyperlink>
      <w:r>
        <w:t>),</w:t>
      </w:r>
    </w:p>
    <w:p>
      <w:pPr>
        <w:pStyle w:val="ListBullet"/>
        <w:spacing w:line="240" w:lineRule="auto"/>
        <w:ind w:left="720"/>
      </w:pPr>
      <w:r/>
      <w:r>
        <w:t>de victoires militaires (</w:t>
      </w:r>
      <w:hyperlink r:id="rId10407">
        <w:r>
          <w:rPr>
            <w:color w:val="0000EE"/>
            <w:u w:val="single"/>
          </w:rPr>
          <w:t>2Ch 20.27–28</w:t>
        </w:r>
      </w:hyperlink>
      <w:r>
        <w:t>),</w:t>
      </w:r>
    </w:p>
    <w:p>
      <w:pPr>
        <w:pStyle w:val="ListBullet"/>
        <w:spacing w:line="240" w:lineRule="auto"/>
        <w:ind w:left="720"/>
      </w:pPr>
      <w:r/>
      <w:r>
        <w:t>de travail (</w:t>
      </w:r>
      <w:hyperlink r:id="rId10408">
        <w:r>
          <w:rPr>
            <w:color w:val="0000EE"/>
            <w:u w:val="single"/>
          </w:rPr>
          <w:t>Nb 21.17</w:t>
        </w:r>
      </w:hyperlink>
      <w:r>
        <w:t xml:space="preserve">, le chant des puisatiers [foreurs de puits] ; </w:t>
      </w:r>
      <w:hyperlink r:id="rId10409">
        <w:r>
          <w:rPr>
            <w:color w:val="0000EE"/>
            <w:u w:val="single"/>
          </w:rPr>
          <w:t>Es 16.10</w:t>
        </w:r>
      </w:hyperlink>
      <w:r>
        <w:t xml:space="preserve"> ; </w:t>
      </w:r>
      <w:hyperlink r:id="rId10410">
        <w:r>
          <w:rPr>
            <w:color w:val="0000EE"/>
            <w:u w:val="single"/>
          </w:rPr>
          <w:t>Jr 48.33</w:t>
        </w:r>
      </w:hyperlink>
      <w:r>
        <w:t>).</w:t>
      </w:r>
    </w:p>
    <w:p>
      <w:r/>
      <w:r>
        <w:t>L'utilisation de la musique pouvait être de nature assez grossière et primitive. La musique associée aux avancées militaires, par exemple, pouvait terrifier l'ennemi (</w:t>
      </w:r>
      <w:hyperlink r:id="rId10411">
        <w:r>
          <w:rPr>
            <w:color w:val="0000EE"/>
            <w:u w:val="single"/>
          </w:rPr>
          <w:t>Jg 7.17–20</w:t>
        </w:r>
      </w:hyperlink>
      <w:r>
        <w:t>). La musique et la danse qui accueillent Moïse dans le camp d'Israël alors qu'il descend de la montagne sont comparées à des cris de guerriers vainqueurs ou vaincus (</w:t>
      </w:r>
      <w:hyperlink r:id="rId10405">
        <w:r>
          <w:rPr>
            <w:color w:val="0000EE"/>
            <w:u w:val="single"/>
          </w:rPr>
          <w:t>Ex 32.17–18</w:t>
        </w:r>
      </w:hyperlink>
      <w:r>
        <w:t>).</w:t>
      </w:r>
    </w:p>
    <w:p>
      <w:r/>
      <w:r>
        <w:t>Dans l'histoire ancienne du peuple juif, les femmes jouaient un rôle important dans l'interprétation de la musique. L'image de femmes dansant et chantant de joie, accompagnées d'instruments à percussion, revient plusieurs fois :</w:t>
      </w:r>
    </w:p>
    <w:p>
      <w:pPr>
        <w:pStyle w:val="ListBullet"/>
        <w:spacing w:line="240" w:lineRule="auto"/>
        <w:ind w:left="720"/>
      </w:pPr>
      <w:r/>
      <w:r>
        <w:t>Miriam (ou Marie dans la LSG, la sœur de Moïse) conduit les femmes dans un hymne d'action de grâce après la délivrance de la mer Rouge (</w:t>
      </w:r>
      <w:hyperlink r:id="rId3938">
        <w:r>
          <w:rPr>
            <w:color w:val="0000EE"/>
            <w:u w:val="single"/>
          </w:rPr>
          <w:t>Ex 15</w:t>
        </w:r>
      </w:hyperlink>
      <w:r>
        <w:t>).</w:t>
      </w:r>
    </w:p>
    <w:p>
      <w:pPr>
        <w:pStyle w:val="ListBullet"/>
        <w:spacing w:line="240" w:lineRule="auto"/>
        <w:ind w:left="720"/>
      </w:pPr>
      <w:r/>
      <w:r>
        <w:t>La fille de Jephté accueille son père après sa victoire (</w:t>
      </w:r>
      <w:hyperlink r:id="rId10412">
        <w:r>
          <w:rPr>
            <w:color w:val="0000EE"/>
            <w:u w:val="single"/>
          </w:rPr>
          <w:t>Jg 11.34</w:t>
        </w:r>
      </w:hyperlink>
      <w:r>
        <w:t>).</w:t>
      </w:r>
    </w:p>
    <w:p>
      <w:pPr>
        <w:pStyle w:val="ListBullet"/>
        <w:spacing w:line="240" w:lineRule="auto"/>
        <w:ind w:left="720"/>
      </w:pPr>
      <w:r/>
      <w:r>
        <w:t>Débora se joint à Barak pour chanter un chant de victoire (</w:t>
      </w:r>
      <w:hyperlink r:id="rId3662">
        <w:r>
          <w:rPr>
            <w:color w:val="0000EE"/>
            <w:u w:val="single"/>
          </w:rPr>
          <w:t>Jg 5</w:t>
        </w:r>
      </w:hyperlink>
      <w:r>
        <w:t>).</w:t>
      </w:r>
    </w:p>
    <w:p>
      <w:pPr>
        <w:pStyle w:val="ListBullet"/>
        <w:spacing w:line="240" w:lineRule="auto"/>
        <w:ind w:left="720"/>
      </w:pPr>
      <w:r/>
      <w:r>
        <w:t>Les femmes acclament David après sa victoire contre les Philistins (</w:t>
      </w:r>
      <w:hyperlink r:id="rId10413">
        <w:r>
          <w:rPr>
            <w:color w:val="0000EE"/>
            <w:u w:val="single"/>
          </w:rPr>
          <w:t>1S 18.6–7</w:t>
        </w:r>
      </w:hyperlink>
      <w:r>
        <w:t>).</w:t>
      </w:r>
    </w:p>
    <w:p>
      <w:r/>
      <w:r>
        <w:t>Il y a peu de mentions de femmes musiciennes après l'établissement du Temple à Jérusalem. Il y a quelques allusions à une participation féminine dans le chant et la danse. Par exemple, des chantres et chanteuses sont mentionnés lorsque les Juifs reviennent d'exil à Babylone (</w:t>
      </w:r>
      <w:hyperlink r:id="rId10414">
        <w:r>
          <w:rPr>
            <w:color w:val="0000EE"/>
            <w:u w:val="single"/>
          </w:rPr>
          <w:t>Né 7.67</w:t>
        </w:r>
      </w:hyperlink>
      <w:r>
        <w:t>). Cela confirme la participation au moins occasionnelle de femmes au chant cultuel.</w:t>
      </w:r>
    </w:p>
    <w:p>
      <w:r/>
      <w:r>
        <w:t>Alors que Jérusalem est devenu le centre religieux du peuple hébreu entre 950 et 850 av. J.‑C., le rôle du musicien professionnel a pris de l'importance. Les chants des femmes sont devenus insignifiants par rapport au faste et à la cérémonie associés au Temple et à la cour royale. Les chantres lévitiques avaient la part la plus importante des responsabilités musicales au Temple. Cependant, le peuple participait aux réponses dans le chant des psaumes, surtout avec le développement du chant antiphonal (chant en alternance entre deux groupes, qui se « répondent »).</w:t>
      </w:r>
    </w:p>
    <w:p>
      <w:pPr>
        <w:pStyle w:val="Heading4"/>
      </w:pPr>
      <w:r>
        <w:t>Style musical et utilisation</w:t>
      </w:r>
    </w:p>
    <w:p>
      <w:r/>
      <w:r>
        <w:t xml:space="preserve">Le peuple juif semble avoir été particulièrement disposé à la musique. D'autres cultures anciennes étaient influentes, mais il existe des indications que les Juifs étaient recherchés comme musiciens par d'autres peuples. Un document assyrien parle du roi Ézéchias offrant de nombreux musiciens juifs, hommes et femmes, en tribut au roi Sanchérib. Les Babyloniens exigeaient que les Juifs captifs chantent et les divertissent (voir </w:t>
      </w:r>
      <w:hyperlink r:id="rId10415">
        <w:r>
          <w:rPr>
            <w:color w:val="0000EE"/>
            <w:u w:val="single"/>
          </w:rPr>
          <w:t>Ps 137.3</w:t>
        </w:r>
      </w:hyperlink>
      <w:r>
        <w:t>).</w:t>
      </w:r>
    </w:p>
    <w:p>
      <w:r/>
      <w:r>
        <w:t>Le but de l'Ancien Testament (AT) était de raconter la relation entre la nation juive et Dieu. Dans ce contexte, la plupart des références musicales touchent donc à la fonction de la musique dans le culte. Il existe des preuves qu'il existait également un vaste corpus de littérature musicale non-cultuelle. Il est possible qu'il y ait eu des guildes de poètes et de chantres au début de l'histoire juive.</w:t>
      </w:r>
    </w:p>
    <w:p>
      <w:r/>
      <w:r>
        <w:t>Les types de chansons dont il est question dans la première partie de l'AT représentent une poésie folklorique (populaire). Le chant d'action de grâce au Seigneur par Moïse et le peuple d'Israël après leur délivrance à la mer Rouge est un chant national émouvant. De nombreuses descriptions d'auteurs bibliques reflètent l'esprit du chant héroïque. Cela est logique, car ces histoires étaient destinées à être transmises à la prochaine génération. Les chants de marche (</w:t>
      </w:r>
      <w:hyperlink r:id="rId10407">
        <w:r>
          <w:rPr>
            <w:color w:val="0000EE"/>
            <w:u w:val="single"/>
          </w:rPr>
          <w:t>2Ch 20.27–28</w:t>
        </w:r>
      </w:hyperlink>
      <w:r>
        <w:t>) et de triomphe (</w:t>
      </w:r>
      <w:hyperlink r:id="rId3662">
        <w:r>
          <w:rPr>
            <w:color w:val="0000EE"/>
            <w:u w:val="single"/>
          </w:rPr>
          <w:t>Jg 5</w:t>
        </w:r>
      </w:hyperlink>
      <w:r>
        <w:t>) indiquent également un corpus musical non-cultuel.</w:t>
      </w:r>
    </w:p>
    <w:p>
      <w:pPr>
        <w:pStyle w:val="Heading4"/>
      </w:pPr>
      <w:r>
        <w:t>La musique cultuelle</w:t>
      </w:r>
    </w:p>
    <w:p>
      <w:r/>
      <w:r>
        <w:t xml:space="preserve">Les chantres et musiciens servant au culte du Temple étaient choisis parmi la tribu de Lévi. Le roi David a rassemblé les Lévites pour un recensement, et sur un total de 38 000 hommes de plus de 30 ans, 4 000 ont été choisis comme musiciens. Ces 4 000 ont ensuite reçu des tâches spécifiques. « </w:t>
      </w:r>
      <w:r>
        <w:t>David et les chefs de l'armée mirent à part pour le service ceux des fils d'Asaph, d'Héman et de Jeduthun qui prophétisaient en s'accompagnant de la harpe, du luth et des cymbales [</w:t>
      </w:r>
      <w:r>
        <w:t xml:space="preserve">…]. </w:t>
      </w:r>
      <w:r>
        <w:t>Ils étaient au nombre de deux cent quatre-vingt-huit, y compris leurs frères exercés au chant de l'Éternel, tous ceux qui étaient habiles</w:t>
      </w:r>
      <w:r>
        <w:t xml:space="preserve"> » (</w:t>
      </w:r>
      <w:hyperlink r:id="rId10416">
        <w:r>
          <w:rPr>
            <w:color w:val="0000EE"/>
            <w:u w:val="single"/>
          </w:rPr>
          <w:t>1Ch 25.1, 7</w:t>
        </w:r>
      </w:hyperlink>
      <w:r>
        <w:t>). Les chantres ont ensuite été divisés en 24 groupes de 12 chantres. Ces groupes travaillaient en alternance. C'est-à-dire qu'ils participaient à tour de rôle aux cultes de la semaine, du sabbat et des jours saints.</w:t>
      </w:r>
    </w:p>
    <w:p>
      <w:r/>
      <w:r>
        <w:t>Plus tard dans l'histoire d'Israël, une source indique qu'il y avait un nombre minimum (et parfois maximum) de chantres et de joueurs d'instrument pour chaque culte. Le nombre minimum de chantres était de douze, et le maximum était illimité. À chaque culte, devaient aussi être présents :</w:t>
      </w:r>
    </w:p>
    <w:p>
      <w:pPr>
        <w:pStyle w:val="ListBullet"/>
        <w:spacing w:line="240" w:lineRule="auto"/>
        <w:ind w:left="720"/>
      </w:pPr>
      <w:r/>
      <w:r>
        <w:t>au moins deux harpes, mais pas plus de six,</w:t>
      </w:r>
    </w:p>
    <w:p>
      <w:pPr>
        <w:pStyle w:val="ListBullet"/>
        <w:spacing w:line="240" w:lineRule="auto"/>
        <w:ind w:left="720"/>
      </w:pPr>
      <w:r/>
      <w:r>
        <w:t>au moins deux flûtes, mais pas plus de douze,</w:t>
      </w:r>
    </w:p>
    <w:p>
      <w:pPr>
        <w:pStyle w:val="ListBullet"/>
        <w:spacing w:line="240" w:lineRule="auto"/>
        <w:ind w:left="720"/>
      </w:pPr>
      <w:r/>
      <w:r>
        <w:t>au moins deux trompettes (sans maximum),</w:t>
      </w:r>
    </w:p>
    <w:p>
      <w:pPr>
        <w:pStyle w:val="ListBullet"/>
        <w:spacing w:line="240" w:lineRule="auto"/>
        <w:ind w:left="720"/>
      </w:pPr>
      <w:r/>
      <w:r>
        <w:t>au moins neuf lyres (sans maximum),</w:t>
      </w:r>
    </w:p>
    <w:p>
      <w:pPr>
        <w:pStyle w:val="ListBullet"/>
        <w:spacing w:line="240" w:lineRule="auto"/>
        <w:ind w:left="720"/>
      </w:pPr>
      <w:r/>
      <w:r>
        <w:t>un joueur de cymbales.</w:t>
      </w:r>
    </w:p>
    <w:p>
      <w:r/>
      <w:r>
        <w:t>Un chantre était admis dans la chorale lévitique à l'âge de trente ans après un apprentissage de cinq ans (</w:t>
      </w:r>
      <w:hyperlink r:id="rId3721">
        <w:r>
          <w:rPr>
            <w:color w:val="0000EE"/>
            <w:u w:val="single"/>
          </w:rPr>
          <w:t>1Ch 23.3</w:t>
        </w:r>
      </w:hyperlink>
      <w:r>
        <w:t>). Cinq ans est un temps relativement court compte tenu de la quantité de matériel que ces chantres devaient mémoriser (il n'existait pas de notation écrite). Ils devaient également mémoriser et maîtriser le rituel liturgique. Les chantres étaient peut-être été formés à un certain niveau depuis l'enfance.</w:t>
      </w:r>
    </w:p>
    <w:p>
      <w:r/>
      <w:r>
        <w:t>Les Lévites vivaient dans des villages en dehors des murs de la ville. Ils participaient peut-être activement à l'éducation musicale de leurs enfants (</w:t>
      </w:r>
      <w:hyperlink r:id="rId10417">
        <w:r>
          <w:rPr>
            <w:color w:val="0000EE"/>
            <w:u w:val="single"/>
          </w:rPr>
          <w:t>Né 12.29</w:t>
        </w:r>
      </w:hyperlink>
      <w:r>
        <w:t>). Ils avaient aussi d'autres tâches liées au culte. Les chantres n'avaient pas d'autres responsabilités car ils étaient déjà de service jour et nuit (</w:t>
      </w:r>
      <w:hyperlink r:id="rId10418">
        <w:r>
          <w:rPr>
            <w:color w:val="0000EE"/>
            <w:u w:val="single"/>
          </w:rPr>
          <w:t>1Ch 9.33</w:t>
        </w:r>
      </w:hyperlink>
      <w:r>
        <w:t>). Leurs compétences constituaient une partie importante du culte au Temple. Cela leur permettait de consacrer toute leur vie à développer leur capacité musicale. Un chantre servait dans la chorale pendant 20 ans, de 30 à 50 ans. La musique était de haute qualité grâce à une discipline stricte ainsi qu'à une pratique et une interprétation continues.</w:t>
      </w:r>
    </w:p>
    <w:p>
      <w:r/>
      <w:r>
        <w:t xml:space="preserve">Depuis le début du culte formel juif lié au tabernacle, la musique et le son ont toujours été importants. Les descriptions de la robe d'Aaron dans </w:t>
      </w:r>
      <w:hyperlink r:id="rId10419">
        <w:r>
          <w:rPr>
            <w:color w:val="0000EE"/>
            <w:u w:val="single"/>
          </w:rPr>
          <w:t>Exode 28.34–35</w:t>
        </w:r>
      </w:hyperlink>
      <w:r>
        <w:t xml:space="preserve"> incluent des clochettes attachées à l'ourlet inférieur, qui devaient sonner lorsqu'il entrait dans le lieu saint.</w:t>
      </w:r>
    </w:p>
    <w:p>
      <w:r/>
      <w:r>
        <w:t xml:space="preserve">La première musique liturgique mentionnée dans l'AT se trouve dans </w:t>
      </w:r>
      <w:hyperlink r:id="rId3596">
        <w:r>
          <w:rPr>
            <w:color w:val="0000EE"/>
            <w:u w:val="single"/>
          </w:rPr>
          <w:t>2 Samuel 6</w:t>
        </w:r>
      </w:hyperlink>
      <w:r>
        <w:t>, dans les descriptions du déplacement de l'arche. David et les Israélites chantaient, jouaient des instruments et dansaient à la gloire du Seigneur. Cette musique ressemblait sans doute peu à la cérémonie solennelle décrite plus tard dans le temple de Salomon.</w:t>
      </w:r>
    </w:p>
    <w:p>
      <w:r/>
      <w:r>
        <w:t xml:space="preserve">Dans </w:t>
      </w:r>
      <w:hyperlink r:id="rId3618">
        <w:r>
          <w:rPr>
            <w:color w:val="0000EE"/>
            <w:u w:val="single"/>
          </w:rPr>
          <w:t>2 Chroniques 7.6</w:t>
        </w:r>
      </w:hyperlink>
      <w:r>
        <w:t>, David est reconnu pour avoir inventé les instruments de musique utilisés au Temple. Après l'exil, les chantres lévitiques sont mentionnés comme les descendants d'Asaph, le « maître chantre » nommé par David (</w:t>
      </w:r>
      <w:hyperlink r:id="rId10420">
        <w:r>
          <w:rPr>
            <w:color w:val="0000EE"/>
            <w:u w:val="single"/>
          </w:rPr>
          <w:t>Esd 2.41</w:t>
        </w:r>
      </w:hyperlink>
      <w:r>
        <w:t xml:space="preserve"> ; </w:t>
      </w:r>
      <w:hyperlink r:id="rId10421">
        <w:r>
          <w:rPr>
            <w:color w:val="0000EE"/>
            <w:u w:val="single"/>
          </w:rPr>
          <w:t>Né 7.44</w:t>
        </w:r>
      </w:hyperlink>
      <w:r>
        <w:t xml:space="preserve"> ; </w:t>
      </w:r>
      <w:hyperlink r:id="rId10422">
        <w:r>
          <w:rPr>
            <w:color w:val="0000EE"/>
            <w:u w:val="single"/>
          </w:rPr>
          <w:t>11.22–23</w:t>
        </w:r>
      </w:hyperlink>
      <w:r>
        <w:t>). Des passages comme ceux-ci indiquent que la musique liturgique et son organisation proviennent de l'époque de David.</w:t>
      </w:r>
    </w:p>
    <w:p>
      <w:r/>
      <w:r>
        <w:t>Les cérémonies dans le Temple étaient centrées autour du sacrifice. Le chant faisait partie intégrante du culte sacrificiel et était essentiel pour valider l'action sacrificielle. Il existait des arrangements musicaux spécifiques pour chaque sacrifice. Les offrandes quotidiennes d'holocauste, expiatoire et de reconnaissance, ainsi que les libations, avaient chacune sa propre liturgie.</w:t>
      </w:r>
    </w:p>
    <w:p>
      <w:r/>
      <w:r>
        <w:t>Certains psaumes sont associés à certains sacrifices ainsi qu'à certains jours de la semaine. Le psaume du jour était chanté lorsque le souverain sacrificateur commençait à répandre la libation. Le psaume était divisé en trois sections, chacune signalée par un son de trompette. Au son de la trompette, le peuple se prosternait. C'était la seule fois où les trompettes étaient utilisées avec d'autres instruments de manière orchestrale lors d'occasions solennelles (</w:t>
      </w:r>
      <w:hyperlink r:id="rId10423">
        <w:r>
          <w:rPr>
            <w:color w:val="0000EE"/>
            <w:u w:val="single"/>
          </w:rPr>
          <w:t>2Ch 5.12–13</w:t>
        </w:r>
      </w:hyperlink>
      <w:r>
        <w:t>).</w:t>
      </w:r>
    </w:p>
    <w:p>
      <w:pPr>
        <w:pStyle w:val="Heading3"/>
      </w:pPr>
      <w:r>
        <w:t>La musique dans les Psaumes</w:t>
      </w:r>
    </w:p>
    <w:p>
      <w:pPr>
        <w:pStyle w:val="Heading4"/>
      </w:pPr>
      <w:r>
        <w:t>Titres musicaux dans les Psaumes</w:t>
      </w:r>
    </w:p>
    <w:p>
      <w:r/>
      <w:r>
        <w:t xml:space="preserve">La collection de 150 poèmes lyriques, connue sous le nom de livre des Psaumes ou Psautier, contient le plus d'informations sur la musique d'Israël dans l'Antiquité. Le Psautier comprend non seulement des chants religieux, mais aussi des chants dont les racines étaient des chansons populaires ou séculières (non cultuelles). Les chants de travail, les chansons d'amour et les chants de mariage ont pu influencer les Psaumes. </w:t>
      </w:r>
    </w:p>
    <w:p>
      <w:r/>
      <w:r>
        <w:t xml:space="preserve">La majorité des Psaumes sont des chants de louange, de reconnaissance, de prière et de repentance. Il y a aussi des odes historiques qui racontent de grands événements nationaux. </w:t>
      </w:r>
      <w:hyperlink r:id="rId10424">
        <w:r>
          <w:rPr>
            <w:color w:val="0000EE"/>
            <w:u w:val="single"/>
          </w:rPr>
          <w:t>Le Psaume 30</w:t>
        </w:r>
      </w:hyperlink>
      <w:r>
        <w:t xml:space="preserve"> est « </w:t>
      </w:r>
      <w:r>
        <w:t>Cantique pour la dédicace de la maison</w:t>
      </w:r>
      <w:r>
        <w:t xml:space="preserve"> » (c.-à-d. du Temple). </w:t>
      </w:r>
      <w:hyperlink r:id="rId10425">
        <w:r>
          <w:rPr>
            <w:color w:val="0000EE"/>
            <w:u w:val="single"/>
          </w:rPr>
          <w:t>Le Psaume 137</w:t>
        </w:r>
      </w:hyperlink>
      <w:r>
        <w:t xml:space="preserve"> dépeint les souffrances des Juifs en captivité.</w:t>
      </w:r>
    </w:p>
    <w:p>
      <w:r/>
      <w:r>
        <w:t>Les psaumes constituaient une partie importante de tous les cultes du Temple. Le Psautier est devenu le livre de cantiques liturgique des Israélites. Le culte comprenait un psaume pour chaque jour de la semaine :</w:t>
      </w:r>
    </w:p>
    <w:p>
      <w:pPr>
        <w:pStyle w:val="ListBullet"/>
        <w:spacing w:line="240" w:lineRule="auto"/>
        <w:ind w:left="720"/>
      </w:pPr>
      <w:r/>
      <w:r>
        <w:t xml:space="preserve">Le premier jour de la semaine, le </w:t>
      </w:r>
      <w:hyperlink r:id="rId8579">
        <w:r>
          <w:rPr>
            <w:color w:val="0000EE"/>
            <w:u w:val="single"/>
          </w:rPr>
          <w:t>Psaume 24</w:t>
        </w:r>
      </w:hyperlink>
      <w:r>
        <w:t xml:space="preserve"> était chanté en souvenir du premier jour de la création.</w:t>
      </w:r>
    </w:p>
    <w:p>
      <w:pPr>
        <w:pStyle w:val="ListBullet"/>
        <w:spacing w:line="240" w:lineRule="auto"/>
        <w:ind w:left="720"/>
      </w:pPr>
      <w:r/>
      <w:r>
        <w:t xml:space="preserve">Le deuxième jour de la semaine, le </w:t>
      </w:r>
      <w:hyperlink r:id="rId10426">
        <w:r>
          <w:rPr>
            <w:color w:val="0000EE"/>
            <w:u w:val="single"/>
          </w:rPr>
          <w:t>Psaume 48</w:t>
        </w:r>
      </w:hyperlink>
      <w:r>
        <w:t xml:space="preserve"> était chanté.</w:t>
      </w:r>
    </w:p>
    <w:p>
      <w:pPr>
        <w:pStyle w:val="ListBullet"/>
        <w:spacing w:line="240" w:lineRule="auto"/>
        <w:ind w:left="720"/>
      </w:pPr>
      <w:r/>
      <w:r>
        <w:t xml:space="preserve">Le troisième jour de la semaine, le </w:t>
      </w:r>
      <w:hyperlink r:id="rId6524">
        <w:r>
          <w:rPr>
            <w:color w:val="0000EE"/>
            <w:u w:val="single"/>
          </w:rPr>
          <w:t>Psaume 82</w:t>
        </w:r>
      </w:hyperlink>
      <w:r>
        <w:t xml:space="preserve"> était chanté.</w:t>
      </w:r>
    </w:p>
    <w:p>
      <w:pPr>
        <w:pStyle w:val="ListBullet"/>
        <w:spacing w:line="240" w:lineRule="auto"/>
        <w:ind w:left="720"/>
      </w:pPr>
      <w:r/>
      <w:r>
        <w:t xml:space="preserve">Le quatrième jour de la semaine, le </w:t>
      </w:r>
      <w:hyperlink r:id="rId10427">
        <w:r>
          <w:rPr>
            <w:color w:val="0000EE"/>
            <w:u w:val="single"/>
          </w:rPr>
          <w:t>Psaume 93</w:t>
        </w:r>
      </w:hyperlink>
      <w:r>
        <w:t xml:space="preserve"> était chanté.</w:t>
      </w:r>
    </w:p>
    <w:p>
      <w:pPr>
        <w:pStyle w:val="ListBullet"/>
        <w:spacing w:line="240" w:lineRule="auto"/>
        <w:ind w:left="720"/>
      </w:pPr>
      <w:r/>
      <w:r>
        <w:t xml:space="preserve">Le cinquième jour de la semaine, le </w:t>
      </w:r>
      <w:hyperlink r:id="rId10428">
        <w:r>
          <w:rPr>
            <w:color w:val="0000EE"/>
            <w:u w:val="single"/>
          </w:rPr>
          <w:t>Psaume 81</w:t>
        </w:r>
      </w:hyperlink>
      <w:r>
        <w:t xml:space="preserve"> était chanté.</w:t>
      </w:r>
    </w:p>
    <w:p>
      <w:pPr>
        <w:pStyle w:val="ListBullet"/>
        <w:spacing w:line="240" w:lineRule="auto"/>
        <w:ind w:left="720"/>
      </w:pPr>
      <w:r/>
      <w:r>
        <w:t xml:space="preserve">Le sixième jour de la semaine, le </w:t>
      </w:r>
      <w:hyperlink r:id="rId10429">
        <w:r>
          <w:rPr>
            <w:color w:val="0000EE"/>
            <w:u w:val="single"/>
          </w:rPr>
          <w:t>Psaume 93</w:t>
        </w:r>
      </w:hyperlink>
      <w:r>
        <w:t xml:space="preserve"> était chanté.</w:t>
      </w:r>
    </w:p>
    <w:p>
      <w:pPr>
        <w:pStyle w:val="ListBullet"/>
        <w:spacing w:line="240" w:lineRule="auto"/>
        <w:ind w:left="720"/>
      </w:pPr>
      <w:r/>
      <w:r>
        <w:t xml:space="preserve">Le septième jour de la semaine, le sabbat, le </w:t>
      </w:r>
      <w:hyperlink r:id="rId10430">
        <w:r>
          <w:rPr>
            <w:color w:val="0000EE"/>
            <w:u w:val="single"/>
          </w:rPr>
          <w:t>Psaume 92</w:t>
        </w:r>
      </w:hyperlink>
      <w:r>
        <w:t xml:space="preserve"> était chanté.</w:t>
      </w:r>
    </w:p>
    <w:p>
      <w:r/>
      <w:r>
        <w:t xml:space="preserve">Après les offrandes sacrificielles, </w:t>
      </w:r>
      <w:hyperlink r:id="rId10431">
        <w:r>
          <w:rPr>
            <w:color w:val="0000EE"/>
            <w:u w:val="single"/>
          </w:rPr>
          <w:t>Psaume 105.1–5</w:t>
        </w:r>
      </w:hyperlink>
      <w:r>
        <w:t xml:space="preserve"> était chanté pendant le culte du matin et le </w:t>
      </w:r>
      <w:hyperlink r:id="rId10432">
        <w:r>
          <w:rPr>
            <w:color w:val="0000EE"/>
            <w:u w:val="single"/>
          </w:rPr>
          <w:t>Psaume 96</w:t>
        </w:r>
      </w:hyperlink>
      <w:r>
        <w:t xml:space="preserve"> pendant le culte du soir. Les psaumes du Hallel (</w:t>
      </w:r>
      <w:hyperlink r:id="rId6176">
        <w:r>
          <w:rPr>
            <w:color w:val="0000EE"/>
            <w:u w:val="single"/>
          </w:rPr>
          <w:t>Ps 113–118</w:t>
        </w:r>
      </w:hyperlink>
      <w:r>
        <w:t xml:space="preserve">, </w:t>
      </w:r>
      <w:hyperlink r:id="rId6181">
        <w:r>
          <w:rPr>
            <w:color w:val="0000EE"/>
            <w:u w:val="single"/>
          </w:rPr>
          <w:t>120–136</w:t>
        </w:r>
      </w:hyperlink>
      <w:r>
        <w:t xml:space="preserve">, </w:t>
      </w:r>
      <w:hyperlink r:id="rId6182">
        <w:r>
          <w:rPr>
            <w:color w:val="0000EE"/>
            <w:u w:val="single"/>
          </w:rPr>
          <w:t>146–148</w:t>
        </w:r>
      </w:hyperlink>
      <w:r>
        <w:t>) étaient chantés pendant l'offrande de l'agneau de la Pâque lors de la fête du même nom.</w:t>
      </w:r>
    </w:p>
    <w:p>
      <w:r/>
      <w:r>
        <w:t>La musique liturgique était surtout la responsabilité des Lévites, mais certains Psaumes suggèrent une participation de la congrégation. Le texte poétique des Psaumes a servi de base tant aux formes synagogales qu'aux formes ecclésiastiques de chant.</w:t>
      </w:r>
    </w:p>
    <w:p>
      <w:r/>
      <w:r>
        <w:t>Il existe plusieurs types de psalmodie :</w:t>
      </w:r>
    </w:p>
    <w:p>
      <w:pPr>
        <w:pStyle w:val="ListBullet"/>
        <w:spacing w:line="240" w:lineRule="auto"/>
        <w:ind w:left="720"/>
      </w:pPr>
      <w:r/>
      <w:r>
        <w:t xml:space="preserve">La psalmodie simple est chantée par une personne (p. ex. </w:t>
      </w:r>
      <w:hyperlink r:id="rId10433">
        <w:r>
          <w:rPr>
            <w:color w:val="0000EE"/>
            <w:u w:val="single"/>
          </w:rPr>
          <w:t>Ps 3–5</w:t>
        </w:r>
      </w:hyperlink>
      <w:r>
        <w:t xml:space="preserve">, </w:t>
      </w:r>
      <w:hyperlink r:id="rId10434">
        <w:r>
          <w:rPr>
            <w:color w:val="0000EE"/>
            <w:u w:val="single"/>
          </w:rPr>
          <w:t>46</w:t>
        </w:r>
      </w:hyperlink>
      <w:r>
        <w:t>).</w:t>
      </w:r>
    </w:p>
    <w:p>
      <w:pPr>
        <w:pStyle w:val="ListBullet"/>
        <w:spacing w:line="240" w:lineRule="auto"/>
        <w:ind w:left="720"/>
      </w:pPr>
      <w:r/>
      <w:r>
        <w:t xml:space="preserve">La psalmodie responsoriale signifie que le chœur répond au soliste (p. ex. </w:t>
      </w:r>
      <w:hyperlink r:id="rId10435">
        <w:r>
          <w:rPr>
            <w:color w:val="0000EE"/>
            <w:u w:val="single"/>
          </w:rPr>
          <w:t>Ps 67.2–3</w:t>
        </w:r>
      </w:hyperlink>
      <w:r>
        <w:t xml:space="preserve"> : le soliste chantait le v. </w:t>
      </w:r>
      <w:hyperlink r:id="rId10436">
        <w:r>
          <w:rPr>
            <w:color w:val="0000EE"/>
            <w:u w:val="single"/>
          </w:rPr>
          <w:t>2</w:t>
        </w:r>
      </w:hyperlink>
      <w:r>
        <w:t xml:space="preserve"> et le chœur répondait avec le v. </w:t>
      </w:r>
      <w:hyperlink r:id="rId10437">
        <w:r>
          <w:rPr>
            <w:color w:val="0000EE"/>
            <w:u w:val="single"/>
          </w:rPr>
          <w:t>3</w:t>
        </w:r>
      </w:hyperlink>
      <w:r>
        <w:t>).</w:t>
      </w:r>
    </w:p>
    <w:p>
      <w:pPr>
        <w:pStyle w:val="ListBullet"/>
        <w:spacing w:line="240" w:lineRule="auto"/>
        <w:ind w:left="720"/>
      </w:pPr>
      <w:r/>
      <w:r>
        <w:t xml:space="preserve">La psalmodie antiphonale suppose deux groupes chantant tour à tour (p. ex. </w:t>
      </w:r>
      <w:hyperlink r:id="rId10438">
        <w:r>
          <w:rPr>
            <w:color w:val="0000EE"/>
            <w:u w:val="single"/>
          </w:rPr>
          <w:t>Ps 103.20–22</w:t>
        </w:r>
      </w:hyperlink>
      <w:r>
        <w:t xml:space="preserve">). La congrégation chantait un refrain tel que dans </w:t>
      </w:r>
      <w:hyperlink r:id="rId10439">
        <w:r>
          <w:rPr>
            <w:color w:val="0000EE"/>
            <w:u w:val="single"/>
          </w:rPr>
          <w:t>Psaumes 80</w:t>
        </w:r>
      </w:hyperlink>
      <w:r>
        <w:t xml:space="preserve"> : « </w:t>
      </w:r>
      <w:r>
        <w:t>O Dieu, relève-nous ! Fais briller ta face, et nous serons sauvés !</w:t>
      </w:r>
      <w:r>
        <w:t xml:space="preserve"> », qui apparaît souvent tout au long du psaume.</w:t>
      </w:r>
    </w:p>
    <w:p>
      <w:r/>
      <w:r>
        <w:t>Même si la synagogue n'avait pas d'autel pour les sacrifices, le chant des psaumes était important. Après la destruction du Temple par les Romains, le patrimoine cultuel des Juifs risquait d'être perdu. Adapter les coutumes cultuelles du Temple (comme la musique) au culte synagogal a permis de préserver ce patrimoine.</w:t>
      </w:r>
    </w:p>
    <w:p>
      <w:r/>
      <w:r>
        <w:t>La partie la plus mystérieuse des psaumes est celle des en-têtes qui ne font pas partie du texte poétique lui-même. La première question est de savoir si les en-têtes doivent même être considérés comme des suscriptions. (Les suscriptions sont des mentions écrites en haut d'un texte.) Le grec, le latin, l'hébreu et d'autres langues anciennes étaient écrits sans coupures de chapitre ou de paragraphe. La versification et même la division des psaumes eux-mêmes ont été partiellement réalisées par des copistes, principalement les Massorètes. Elles ont donc été rajoutées plus tard dans le texte biblique, et certaines questions se posent encore de nos jours concernant leur interprétation. La signification des en-têtes des psaumes font partie de ces questions.</w:t>
      </w:r>
    </w:p>
    <w:p>
      <w:r/>
      <w:r>
        <w:t>Une question supplémentaire se pose concernant les psaumes et ces mentions « extrapoétiques ». À quels psaumes appartiennent-elles réellement ? Elles pourraient en réalité être des souscriptions plutôt que des suscriptions. C'est à la fin du poème que la poésie sumérienne et babylonienne indiquait les informations telles que le nom de l'auteur, l'instrument de musique d'accompagnement, l'air, et l'usage prévu. Ainsi, certains de ces « titres » pourraient en fait être la conclusion du psaume précédent, ou des mentions écrites pertinentes au psaume précédent.</w:t>
      </w:r>
    </w:p>
    <w:p>
      <w:r/>
      <w:r>
        <w:t>Les indications au début d'un psaume se répartissent en trois catégories. Elles sont soit :</w:t>
      </w:r>
    </w:p>
    <w:p>
      <w:pPr>
        <w:pStyle w:val="ListBullet"/>
        <w:spacing w:line="240" w:lineRule="auto"/>
        <w:ind w:left="720"/>
      </w:pPr>
      <w:r/>
      <w:r>
        <w:t>Des termes musicaux fournissant des indications pour l'interprétation,</w:t>
      </w:r>
    </w:p>
    <w:p>
      <w:pPr>
        <w:pStyle w:val="ListBullet"/>
        <w:spacing w:line="240" w:lineRule="auto"/>
        <w:ind w:left="720"/>
      </w:pPr>
      <w:r/>
      <w:r>
        <w:t>Des indices musicaux indiquant l'air sur lequel le psaume était chanté,</w:t>
      </w:r>
    </w:p>
    <w:p>
      <w:pPr>
        <w:pStyle w:val="ListBullet"/>
        <w:spacing w:line="240" w:lineRule="auto"/>
        <w:ind w:left="720"/>
      </w:pPr>
      <w:r/>
      <w:r>
        <w:t>Des commentaires indiquant la fonction du psaume.</w:t>
      </w:r>
    </w:p>
    <w:p>
      <w:r/>
      <w:r>
        <w:t>Ces termes ont été compris de diverses manières.</w:t>
      </w:r>
    </w:p>
    <w:p>
      <w:r/>
      <w:r>
        <w:t>À l'origine, ce pouvait être des notes marginales pour les chefs de chœur. Constatant que ces termes n'étaient pas liés au texte du psaume, les premiers scribes bibliques n'ont peut-être pas été attentifs à leur placement dans le texte. Cela pourrait expliquer certaines différences entre les anciens manuscrits. Certains mots sont absents de certains manuscrits. Certains termes attribués à seulement quelques psaumes ont peut-être aussi été appliqués à un plus grand nombre d'entre eux.</w:t>
      </w:r>
    </w:p>
    <w:p>
      <w:r/>
      <w:r>
        <w:t xml:space="preserve">Tous les psaumes sauf 50 contiennent le nom d'une personne dans le titre. Il s'agit peut-être de leur auteur. Toutefois, certains commentateurs interprètent la préposition devant les noms comme signifiant « pour ». Les noms représenteraient alors une dédicace plutôt que l'auteur. Ainsi, le titre signifierait par exemple : « Un psaume </w:t>
      </w:r>
      <w:r>
        <w:rPr>
          <w:i/>
        </w:rPr>
        <w:t>pour</w:t>
      </w:r>
      <w:r>
        <w:t xml:space="preserve"> David », et non « Un psaume </w:t>
      </w:r>
      <w:r>
        <w:rPr>
          <w:i/>
        </w:rPr>
        <w:t>de</w:t>
      </w:r>
      <w:r>
        <w:t xml:space="preserve"> David ».</w:t>
      </w:r>
    </w:p>
    <w:p>
      <w:r/>
      <w:r>
        <w:t xml:space="preserve">Cela peut être le cas avec les noms suivants : Asaph, Héman, Éthan, et surtout les fils de Koré. Il serait plus logique que le psaume soit écrit </w:t>
      </w:r>
      <w:r>
        <w:rPr>
          <w:i/>
        </w:rPr>
        <w:t>pour</w:t>
      </w:r>
      <w:r>
        <w:t xml:space="preserve"> la famille en question plutôt que </w:t>
      </w:r>
      <w:r>
        <w:rPr>
          <w:i/>
        </w:rPr>
        <w:t>par</w:t>
      </w:r>
      <w:r>
        <w:t xml:space="preserve"> elle. Soixante-treize psaumes portent le nom de David dans le titre, d'où la référence courante au Psautier comme les Psaumes de David. Douze incluent le nom d'Asaph, onze celui des enfants de Koré, deux celui de Salomon, un celui de Moïse, un celui d'Héman et un celui d'Éthan.</w:t>
      </w:r>
    </w:p>
    <w:p>
      <w:pPr>
        <w:pStyle w:val="Heading4"/>
      </w:pPr>
      <w:r>
        <w:t>Termes musicaux dans les titres des Psaumes</w:t>
      </w:r>
    </w:p>
    <w:p>
      <w:r/>
      <w:r>
        <w:t>De nombreux termes musicaux apparaissent dans les suscriptions. Ils indiquent le type d'accompagnement instrumental, l'impression recherchée et le style d'interprétation du psaume.</w:t>
      </w:r>
    </w:p>
    <w:p>
      <w:r/>
      <w:r>
        <w:rPr>
          <w:b/>
          <w:i/>
        </w:rPr>
        <w:t>Alamoth</w:t>
      </w:r>
      <w:r>
        <w:rPr>
          <w:i/>
        </w:rPr>
        <w:t xml:space="preserve"> </w:t>
      </w:r>
      <w:r>
        <w:t xml:space="preserve">est l'un des termes les plus controversés trouvés dans les en-têtes des psaumes. Il apparaît au début du </w:t>
      </w:r>
      <w:hyperlink r:id="rId10434">
        <w:r>
          <w:rPr>
            <w:color w:val="0000EE"/>
            <w:u w:val="single"/>
          </w:rPr>
          <w:t>Psaume 46</w:t>
        </w:r>
      </w:hyperlink>
      <w:r>
        <w:t xml:space="preserve"> et aussi dans </w:t>
      </w:r>
      <w:hyperlink r:id="rId10440">
        <w:r>
          <w:rPr>
            <w:color w:val="0000EE"/>
            <w:u w:val="single"/>
          </w:rPr>
          <w:t>1 Chroniques 15.20</w:t>
        </w:r>
      </w:hyperlink>
      <w:r>
        <w:t xml:space="preserve">. Un sens du mot hébreu </w:t>
      </w:r>
      <w:r>
        <w:rPr>
          <w:i/>
        </w:rPr>
        <w:t>alamoth</w:t>
      </w:r>
      <w:r>
        <w:t xml:space="preserve"> est « jeunes filles ». Certains musicologues interprètent cela comme une instruction pour que le psaume doit chanté dans la gamme de voix féminine. La référence dans Chroniques concerne les harpes dans la gamme de voix féminine. Cependant, cette interprétation ne semble pas convenir au </w:t>
      </w:r>
      <w:hyperlink r:id="rId10434">
        <w:r>
          <w:rPr>
            <w:color w:val="0000EE"/>
            <w:u w:val="single"/>
          </w:rPr>
          <w:t xml:space="preserve">Psaume 46. </w:t>
        </w:r>
      </w:hyperlink>
      <w:r>
        <w:t xml:space="preserve">Elle devient toutefois plus logique si nous considérons le psaume précédent et comprenons le terme comme une souscription (mention portée au bas d'un document). Le </w:t>
      </w:r>
      <w:hyperlink r:id="rId10441">
        <w:r>
          <w:rPr>
            <w:color w:val="0000EE"/>
            <w:u w:val="single"/>
          </w:rPr>
          <w:t>Psaume 45</w:t>
        </w:r>
      </w:hyperlink>
      <w:r>
        <w:t xml:space="preserve"> est un chant d'amour, en fait une ode nuptiale. Il serait donc naturel que des femmes en chantent la seconde moitié (v. </w:t>
      </w:r>
      <w:hyperlink r:id="rId10442">
        <w:r>
          <w:rPr>
            <w:color w:val="0000EE"/>
            <w:u w:val="single"/>
          </w:rPr>
          <w:t>10–17</w:t>
        </w:r>
      </w:hyperlink>
      <w:r>
        <w:t>).</w:t>
      </w:r>
    </w:p>
    <w:p>
      <w:r/>
      <w:r>
        <w:t xml:space="preserve">Il y a peu de mentions de femmes chantant dans le Temple. Il est néanmoins possible que de jeunes garçons en formation aient chanté dans ces mêmes gammes aux côtés des chantres à part entière. Il est aussi possible que ce terme, qui n'apparaît qu'une seule fois dans le texte moderne, était à l'origine utilisé plus souvent. </w:t>
      </w:r>
    </w:p>
    <w:p>
      <w:r/>
      <w:r>
        <w:t xml:space="preserve">Une autre signification possible pour </w:t>
      </w:r>
      <w:r>
        <w:rPr>
          <w:i/>
        </w:rPr>
        <w:t>alamoth</w:t>
      </w:r>
      <w:r>
        <w:t xml:space="preserve"> est « flûtes ». Cette signification décrirait le type d'accompagnement musical pour l'interprétation du psaume plutôt que le type de voix.</w:t>
      </w:r>
    </w:p>
    <w:p>
      <w:r/>
      <w:r>
        <w:rPr>
          <w:b/>
          <w:i/>
        </w:rPr>
        <w:t>Guitthith</w:t>
      </w:r>
      <w:r>
        <w:t xml:space="preserve"> est un terme trouvé dans les suscriptions des </w:t>
      </w:r>
      <w:hyperlink r:id="rId2659">
        <w:r>
          <w:rPr>
            <w:color w:val="0000EE"/>
            <w:u w:val="single"/>
          </w:rPr>
          <w:t>Psaumes 8</w:t>
        </w:r>
      </w:hyperlink>
      <w:r>
        <w:t xml:space="preserve">, </w:t>
      </w:r>
      <w:hyperlink r:id="rId10428">
        <w:r>
          <w:rPr>
            <w:color w:val="0000EE"/>
            <w:u w:val="single"/>
          </w:rPr>
          <w:t>81</w:t>
        </w:r>
      </w:hyperlink>
      <w:r>
        <w:t xml:space="preserve"> et </w:t>
      </w:r>
      <w:hyperlink r:id="rId10443">
        <w:r>
          <w:rPr>
            <w:color w:val="0000EE"/>
            <w:u w:val="single"/>
          </w:rPr>
          <w:t>84</w:t>
        </w:r>
      </w:hyperlink>
      <w:r>
        <w:t>. Ce pourrait être une indication musicale précisant l'impression recherchée pour l'interprétation de ces psaumes. Cependant, une explication plus fréquente est qu'il s'agit d'un terme collectif pour les instruments à cordes d'accompagnement.</w:t>
      </w:r>
    </w:p>
    <w:p>
      <w:r/>
      <w:r>
        <w:rPr>
          <w:b/>
          <w:i/>
        </w:rPr>
        <w:t>Mahalath</w:t>
      </w:r>
      <w:r>
        <w:t xml:space="preserve"> se trouve dans les en-têtes des </w:t>
      </w:r>
      <w:hyperlink r:id="rId10444">
        <w:r>
          <w:rPr>
            <w:color w:val="0000EE"/>
            <w:u w:val="single"/>
          </w:rPr>
          <w:t>Psaumes 53</w:t>
        </w:r>
      </w:hyperlink>
      <w:r>
        <w:t xml:space="preserve"> et </w:t>
      </w:r>
      <w:hyperlink r:id="rId6402">
        <w:r>
          <w:rPr>
            <w:color w:val="0000EE"/>
            <w:u w:val="single"/>
          </w:rPr>
          <w:t>88</w:t>
        </w:r>
      </w:hyperlink>
      <w:r>
        <w:t xml:space="preserve">. Ce terme a été laissé dans sa forme hébraïque originale par certains des premiers traducteurs de la Bible (Lausanne). Il pourrait avoir des racines dans l'hébreu </w:t>
      </w:r>
      <w:r>
        <w:rPr>
          <w:i/>
        </w:rPr>
        <w:t>mahaleh</w:t>
      </w:r>
      <w:r>
        <w:t xml:space="preserve"> « maladie » ou </w:t>
      </w:r>
      <w:r>
        <w:rPr>
          <w:i/>
        </w:rPr>
        <w:t>mahot</w:t>
      </w:r>
      <w:r>
        <w:t xml:space="preserve"> « danse », bien qu'aucun de ces mots ne semble lié au texte de ces psaumes. Certaines Bibles comprennent cette suscription comme indiquant l'impression recherchée et la traduisent par « sur le mode mélacolique » (Français Courant). </w:t>
      </w:r>
    </w:p>
    <w:p>
      <w:r/>
      <w:r>
        <w:t xml:space="preserve">Une autre explication est musicale. </w:t>
      </w:r>
      <w:r>
        <w:rPr>
          <w:i/>
        </w:rPr>
        <w:t>Mahalath</w:t>
      </w:r>
      <w:r>
        <w:t xml:space="preserve"> pourrait provenir du mot </w:t>
      </w:r>
      <w:r>
        <w:rPr>
          <w:i/>
        </w:rPr>
        <w:t>halal</w:t>
      </w:r>
      <w:r>
        <w:t xml:space="preserve"> signifiant « percer ». Le psaume devait peut-être être accompagné de flûtes. C'est l'interprétation suivie par la Louis Segond (« </w:t>
      </w:r>
      <w:r>
        <w:t>Pour chanter sur la flûte ») et par la grande majorité des versions françaises.</w:t>
      </w:r>
    </w:p>
    <w:p>
      <w:r/>
      <w:r>
        <w:rPr>
          <w:b/>
          <w:i/>
        </w:rPr>
        <w:t>Maskil</w:t>
      </w:r>
      <w:r>
        <w:rPr>
          <w:i/>
        </w:rPr>
        <w:t xml:space="preserve"> </w:t>
      </w:r>
      <w:r>
        <w:t>apparaît dans les titres de 13 psaumes (</w:t>
      </w:r>
      <w:hyperlink r:id="rId3606">
        <w:r>
          <w:rPr>
            <w:color w:val="0000EE"/>
            <w:u w:val="single"/>
          </w:rPr>
          <w:t>Ps 32</w:t>
        </w:r>
      </w:hyperlink>
      <w:r>
        <w:t xml:space="preserve">, </w:t>
      </w:r>
      <w:hyperlink r:id="rId10445">
        <w:r>
          <w:rPr>
            <w:color w:val="0000EE"/>
            <w:u w:val="single"/>
          </w:rPr>
          <w:t>42</w:t>
        </w:r>
      </w:hyperlink>
      <w:r>
        <w:t xml:space="preserve">, </w:t>
      </w:r>
      <w:hyperlink r:id="rId10446">
        <w:r>
          <w:rPr>
            <w:color w:val="0000EE"/>
            <w:u w:val="single"/>
          </w:rPr>
          <w:t>44–45</w:t>
        </w:r>
      </w:hyperlink>
      <w:r>
        <w:t xml:space="preserve">, </w:t>
      </w:r>
      <w:hyperlink r:id="rId10447">
        <w:r>
          <w:rPr>
            <w:color w:val="0000EE"/>
            <w:u w:val="single"/>
          </w:rPr>
          <w:t>52–55</w:t>
        </w:r>
      </w:hyperlink>
      <w:r>
        <w:t xml:space="preserve">, </w:t>
      </w:r>
      <w:hyperlink r:id="rId10448">
        <w:r>
          <w:rPr>
            <w:color w:val="0000EE"/>
            <w:u w:val="single"/>
          </w:rPr>
          <w:t>74</w:t>
        </w:r>
      </w:hyperlink>
      <w:r>
        <w:t xml:space="preserve">, </w:t>
      </w:r>
      <w:hyperlink r:id="rId10449">
        <w:r>
          <w:rPr>
            <w:color w:val="0000EE"/>
            <w:u w:val="single"/>
          </w:rPr>
          <w:t>78</w:t>
        </w:r>
      </w:hyperlink>
      <w:r>
        <w:t xml:space="preserve">, </w:t>
      </w:r>
      <w:hyperlink r:id="rId10450">
        <w:r>
          <w:rPr>
            <w:color w:val="0000EE"/>
            <w:u w:val="single"/>
          </w:rPr>
          <w:t>88–89</w:t>
        </w:r>
      </w:hyperlink>
      <w:r>
        <w:t xml:space="preserve">, </w:t>
      </w:r>
      <w:hyperlink r:id="rId346">
        <w:r>
          <w:rPr>
            <w:color w:val="0000EE"/>
            <w:u w:val="single"/>
          </w:rPr>
          <w:t>142</w:t>
        </w:r>
      </w:hyperlink>
      <w:r>
        <w:t xml:space="preserve">, voir Ostervald). Le terme est probablement dérivé du verbe </w:t>
      </w:r>
      <w:r>
        <w:rPr>
          <w:i/>
        </w:rPr>
        <w:t>sakal,</w:t>
      </w:r>
      <w:r>
        <w:t xml:space="preserve"> « avoir de l'intelligence ou de la compréhension », mais les commentateurs ne sont pas d'accord à ce sujet. Les musicologues pensent que le terme représente un chant de louange à cause de la nature pédagogique et à cause de la structure des strophes et des refrains dans les psaumes eux-mêmes. Il était peut-être chanté par un soliste avec la participation d'un chœur.</w:t>
      </w:r>
    </w:p>
    <w:p>
      <w:r/>
      <w:r>
        <w:rPr>
          <w:b/>
          <w:i/>
        </w:rPr>
        <w:t>Menazzeah</w:t>
      </w:r>
      <w:r>
        <w:rPr>
          <w:i/>
        </w:rPr>
        <w:t xml:space="preserve"> </w:t>
      </w:r>
      <w:r>
        <w:t>apparaît dans le titre de 55 psaumes. Il apparaît 52 fois dans les trois premiers livres des Psaumes (</w:t>
      </w:r>
      <w:hyperlink r:id="rId10451">
        <w:r>
          <w:rPr>
            <w:color w:val="0000EE"/>
            <w:u w:val="single"/>
          </w:rPr>
          <w:t>Ps 1–89</w:t>
        </w:r>
      </w:hyperlink>
      <w:r>
        <w:t>), pas du tout dans le quatrième livre (</w:t>
      </w:r>
      <w:hyperlink r:id="rId3615">
        <w:r>
          <w:rPr>
            <w:color w:val="0000EE"/>
            <w:u w:val="single"/>
          </w:rPr>
          <w:t>Ps 90–106</w:t>
        </w:r>
      </w:hyperlink>
      <w:r>
        <w:t>), et trois fois dans le cinquième livre (</w:t>
      </w:r>
      <w:hyperlink r:id="rId10452">
        <w:r>
          <w:rPr>
            <w:color w:val="0000EE"/>
            <w:u w:val="single"/>
          </w:rPr>
          <w:t>Ps 107–150</w:t>
        </w:r>
      </w:hyperlink>
      <w:r>
        <w:t>).</w:t>
      </w:r>
    </w:p>
    <w:p>
      <w:r/>
      <w:r>
        <w:t>Les traductions les plus courantes sont :</w:t>
      </w:r>
    </w:p>
    <w:p>
      <w:pPr>
        <w:pStyle w:val="ListBullet"/>
        <w:spacing w:line="240" w:lineRule="auto"/>
        <w:ind w:left="720"/>
      </w:pPr>
      <w:r/>
      <w:r>
        <w:t>« Au chef des chantres » (LSG)</w:t>
      </w:r>
    </w:p>
    <w:p>
      <w:pPr>
        <w:pStyle w:val="ListBullet"/>
        <w:spacing w:line="240" w:lineRule="auto"/>
        <w:ind w:left="720"/>
      </w:pPr>
      <w:r/>
      <w:r>
        <w:t>« Au chef de chœur » (Segond 21, Colombe, Semeur, Parole Vivante)</w:t>
      </w:r>
    </w:p>
    <w:p>
      <w:pPr>
        <w:pStyle w:val="ListBullet"/>
        <w:spacing w:line="240" w:lineRule="auto"/>
        <w:ind w:left="720"/>
      </w:pPr>
      <w:r/>
      <w:r>
        <w:t>« Au chef de chorale » (Parole de vie, Français Courant)</w:t>
      </w:r>
    </w:p>
    <w:p>
      <w:r/>
      <w:r>
        <w:t xml:space="preserve">Le mot </w:t>
      </w:r>
      <w:r>
        <w:rPr>
          <w:i/>
        </w:rPr>
        <w:t xml:space="preserve">menazzeah </w:t>
      </w:r>
      <w:r>
        <w:t xml:space="preserve">est dérivé du verbe </w:t>
      </w:r>
      <w:r>
        <w:rPr>
          <w:i/>
        </w:rPr>
        <w:t>nazzah</w:t>
      </w:r>
      <w:r>
        <w:t xml:space="preserve">, qui apparaît dans </w:t>
      </w:r>
      <w:hyperlink r:id="rId10453">
        <w:r>
          <w:rPr>
            <w:color w:val="0000EE"/>
            <w:u w:val="single"/>
          </w:rPr>
          <w:t>1 Chroniques 23.4</w:t>
        </w:r>
      </w:hyperlink>
      <w:r>
        <w:t xml:space="preserve"> et </w:t>
      </w:r>
      <w:hyperlink r:id="rId10454">
        <w:r>
          <w:rPr>
            <w:color w:val="0000EE"/>
            <w:u w:val="single"/>
          </w:rPr>
          <w:t>Esdras 3.8–9</w:t>
        </w:r>
      </w:hyperlink>
      <w:r>
        <w:t xml:space="preserve"> dans le sens de « gérer ». Dans </w:t>
      </w:r>
      <w:hyperlink r:id="rId10455">
        <w:r>
          <w:rPr>
            <w:color w:val="0000EE"/>
            <w:u w:val="single"/>
          </w:rPr>
          <w:t>1 Chroniques 15.21</w:t>
        </w:r>
      </w:hyperlink>
      <w:r>
        <w:t xml:space="preserve">, le mot est utilisé en rapport avec la direction ou la conduite du chant dans le Temple. </w:t>
      </w:r>
      <w:r>
        <w:rPr>
          <w:i/>
        </w:rPr>
        <w:t>Menazzeah</w:t>
      </w:r>
      <w:r>
        <w:t xml:space="preserve"> se rapporte au chef de chœur et désigne le chantre choisi pour diriger la musique. Cette personne participait probablement aux répétitions et à l'instruction.</w:t>
      </w:r>
    </w:p>
    <w:p>
      <w:r/>
      <w:r>
        <w:t xml:space="preserve">On suppose maintenant que </w:t>
      </w:r>
      <w:r>
        <w:rPr>
          <w:i/>
        </w:rPr>
        <w:t xml:space="preserve">menazzeah </w:t>
      </w:r>
      <w:r>
        <w:t xml:space="preserve">indique que le psaume devait être chanté en partie ou entièrement par un soliste. Dans certains textes, cela correspond à un changement de personne, de « je » pour le soliste à « tu » pour le chœur ou la congrégation. </w:t>
      </w:r>
      <w:hyperlink r:id="rId10456">
        <w:r>
          <w:rPr>
            <w:color w:val="0000EE"/>
            <w:u w:val="single"/>
          </w:rPr>
          <w:t>Psaume 5</w:t>
        </w:r>
      </w:hyperlink>
      <w:r>
        <w:t xml:space="preserve"> est un exemple de texte divisé pour la partie du soliste et la partie de la chorale :</w:t>
      </w:r>
    </w:p>
    <w:p>
      <w:pPr>
        <w:pStyle w:val="ListBullet"/>
        <w:spacing w:line="240" w:lineRule="auto"/>
        <w:ind w:left="720"/>
      </w:pPr>
      <w:r/>
      <w:r>
        <w:t>Versets 2 à 4 : soliste</w:t>
      </w:r>
    </w:p>
    <w:p>
      <w:pPr>
        <w:pStyle w:val="ListBullet"/>
        <w:spacing w:line="240" w:lineRule="auto"/>
        <w:ind w:left="720"/>
      </w:pPr>
      <w:r/>
      <w:r>
        <w:t>Versets 5 à 7 : chorale</w:t>
      </w:r>
    </w:p>
    <w:p>
      <w:pPr>
        <w:pStyle w:val="ListBullet"/>
        <w:spacing w:line="240" w:lineRule="auto"/>
        <w:ind w:left="720"/>
      </w:pPr>
      <w:r/>
      <w:r>
        <w:t>Versets 8 à 9 : soliste</w:t>
      </w:r>
    </w:p>
    <w:p>
      <w:pPr>
        <w:pStyle w:val="ListBullet"/>
        <w:spacing w:line="240" w:lineRule="auto"/>
        <w:ind w:left="720"/>
      </w:pPr>
      <w:r/>
      <w:r>
        <w:t>Versets 10–11 : chorale</w:t>
      </w:r>
    </w:p>
    <w:p>
      <w:pPr>
        <w:pStyle w:val="ListBullet"/>
        <w:spacing w:line="240" w:lineRule="auto"/>
        <w:ind w:left="720"/>
      </w:pPr>
      <w:r/>
      <w:r>
        <w:t>Versets 12–13 : soliste et chorale réunis</w:t>
      </w:r>
    </w:p>
    <w:p>
      <w:r/>
      <w:r>
        <w:rPr>
          <w:b/>
          <w:i/>
        </w:rPr>
        <w:t>Miktam</w:t>
      </w:r>
      <w:r>
        <w:t xml:space="preserve"> est un autre terme dont la signification musicale n'est pas claire, principalement parce que son origine est inconnue. Il apparaît dans </w:t>
      </w:r>
      <w:hyperlink r:id="rId2979">
        <w:r>
          <w:rPr>
            <w:color w:val="0000EE"/>
            <w:u w:val="single"/>
          </w:rPr>
          <w:t>les Psaumes 16</w:t>
        </w:r>
      </w:hyperlink>
      <w:r>
        <w:t xml:space="preserve"> et </w:t>
      </w:r>
      <w:hyperlink r:id="rId10457">
        <w:r>
          <w:rPr>
            <w:color w:val="0000EE"/>
            <w:u w:val="single"/>
          </w:rPr>
          <w:t>56–60.</w:t>
        </w:r>
      </w:hyperlink>
      <w:r>
        <w:t xml:space="preserve"> La nature de ces psaumes est la lamentation ou la supplication. Dans un sens musical, cela veut probablement dire qu'une certaine mélodie bien connue devait être choisie comme celle du psaume.</w:t>
      </w:r>
    </w:p>
    <w:p>
      <w:r/>
      <w:r>
        <w:rPr>
          <w:b/>
          <w:i/>
        </w:rPr>
        <w:t>Mizmor</w:t>
      </w:r>
      <w:r>
        <w:rPr>
          <w:i/>
        </w:rPr>
        <w:t xml:space="preserve"> </w:t>
      </w:r>
      <w:r>
        <w:t xml:space="preserve">(un mot hébreu signifiant un chant accompagné d'instruments) ne se trouve nulle part ailleurs dans la Bible. Il est inclus dans les suscriptions de 57 psaumes. </w:t>
      </w:r>
      <w:r>
        <w:rPr>
          <w:i/>
        </w:rPr>
        <w:t xml:space="preserve">Mizmor </w:t>
      </w:r>
      <w:r>
        <w:t>indiquait probablement un chant accompagné d'instruments mélodiques, par opposition à un chant de danse accompagné d'instruments rythmiques.</w:t>
      </w:r>
    </w:p>
    <w:p>
      <w:r/>
      <w:r>
        <w:rPr>
          <w:b/>
          <w:i/>
        </w:rPr>
        <w:t>Neginah</w:t>
      </w:r>
      <w:r>
        <w:t xml:space="preserve"> apparaît dans les suscriptions des </w:t>
      </w:r>
      <w:hyperlink r:id="rId10458">
        <w:r>
          <w:rPr>
            <w:color w:val="0000EE"/>
            <w:u w:val="single"/>
          </w:rPr>
          <w:t>Psaumes 4</w:t>
        </w:r>
      </w:hyperlink>
      <w:r>
        <w:t xml:space="preserve">, </w:t>
      </w:r>
      <w:hyperlink r:id="rId10459">
        <w:r>
          <w:rPr>
            <w:color w:val="0000EE"/>
            <w:u w:val="single"/>
          </w:rPr>
          <w:t>6</w:t>
        </w:r>
      </w:hyperlink>
      <w:r>
        <w:t xml:space="preserve">, </w:t>
      </w:r>
      <w:hyperlink r:id="rId10460">
        <w:r>
          <w:rPr>
            <w:color w:val="0000EE"/>
            <w:u w:val="single"/>
          </w:rPr>
          <w:t>54–55</w:t>
        </w:r>
      </w:hyperlink>
      <w:r>
        <w:t xml:space="preserve">, </w:t>
      </w:r>
      <w:hyperlink r:id="rId10461">
        <w:r>
          <w:rPr>
            <w:color w:val="0000EE"/>
            <w:u w:val="single"/>
          </w:rPr>
          <w:t>61</w:t>
        </w:r>
      </w:hyperlink>
      <w:r>
        <w:t xml:space="preserve">, </w:t>
      </w:r>
      <w:hyperlink r:id="rId10462">
        <w:r>
          <w:rPr>
            <w:color w:val="0000EE"/>
            <w:u w:val="single"/>
          </w:rPr>
          <w:t>67</w:t>
        </w:r>
      </w:hyperlink>
      <w:r>
        <w:t xml:space="preserve"> et </w:t>
      </w:r>
      <w:hyperlink r:id="rId10463">
        <w:r>
          <w:rPr>
            <w:color w:val="0000EE"/>
            <w:u w:val="single"/>
          </w:rPr>
          <w:t>76</w:t>
        </w:r>
      </w:hyperlink>
      <w:r>
        <w:t xml:space="preserve">. Le terme </w:t>
      </w:r>
      <w:r>
        <w:rPr>
          <w:i/>
        </w:rPr>
        <w:t>neginah</w:t>
      </w:r>
      <w:r>
        <w:t xml:space="preserve"> et son pluriel </w:t>
      </w:r>
      <w:r>
        <w:rPr>
          <w:i/>
        </w:rPr>
        <w:t>neginoth</w:t>
      </w:r>
      <w:r>
        <w:t xml:space="preserve"> se trouvent dans les passages suivants : </w:t>
      </w:r>
      <w:hyperlink r:id="rId10464">
        <w:r>
          <w:rPr>
            <w:color w:val="0000EE"/>
            <w:u w:val="single"/>
          </w:rPr>
          <w:t>Psaume 77.7</w:t>
        </w:r>
      </w:hyperlink>
      <w:r>
        <w:t xml:space="preserve">, </w:t>
      </w:r>
      <w:hyperlink r:id="rId10465">
        <w:r>
          <w:rPr>
            <w:color w:val="0000EE"/>
            <w:u w:val="single"/>
          </w:rPr>
          <w:t>Lamentations 5.14</w:t>
        </w:r>
      </w:hyperlink>
      <w:r>
        <w:t xml:space="preserve">, </w:t>
      </w:r>
      <w:hyperlink r:id="rId10466">
        <w:r>
          <w:rPr>
            <w:color w:val="0000EE"/>
            <w:u w:val="single"/>
          </w:rPr>
          <w:t>Ésaïe 38.20</w:t>
        </w:r>
      </w:hyperlink>
      <w:r>
        <w:t xml:space="preserve"> et </w:t>
      </w:r>
      <w:hyperlink r:id="rId10467">
        <w:r>
          <w:rPr>
            <w:color w:val="0000EE"/>
            <w:u w:val="single"/>
          </w:rPr>
          <w:t>Habakuk 3.19</w:t>
        </w:r>
      </w:hyperlink>
      <w:r>
        <w:t xml:space="preserve">. </w:t>
      </w:r>
      <w:r>
        <w:rPr>
          <w:i/>
        </w:rPr>
        <w:t>Neginah</w:t>
      </w:r>
      <w:r>
        <w:t xml:space="preserve"> vient de la racine hébraïque </w:t>
      </w:r>
      <w:r>
        <w:rPr>
          <w:i/>
        </w:rPr>
        <w:t>naggen</w:t>
      </w:r>
      <w:r>
        <w:t>, « toucher les cordes ». Cette mention indique que des instruments à cordes devraient accompagner le chant.</w:t>
      </w:r>
    </w:p>
    <w:p>
      <w:r/>
      <w:r>
        <w:rPr>
          <w:b/>
          <w:i/>
        </w:rPr>
        <w:t>Nehiloth</w:t>
      </w:r>
      <w:r>
        <w:rPr>
          <w:i/>
        </w:rPr>
        <w:t xml:space="preserve"> </w:t>
      </w:r>
      <w:r>
        <w:t xml:space="preserve">se trouve uniquement dans l'introduction du </w:t>
      </w:r>
      <w:hyperlink r:id="rId10456">
        <w:r>
          <w:rPr>
            <w:color w:val="0000EE"/>
            <w:u w:val="single"/>
          </w:rPr>
          <w:t>Psaume 5</w:t>
        </w:r>
      </w:hyperlink>
      <w:r>
        <w:t xml:space="preserve">. L'origine du mot est débattue. Il pourrait provenir du verbe </w:t>
      </w:r>
      <w:r>
        <w:rPr>
          <w:i/>
        </w:rPr>
        <w:t>nahal,</w:t>
      </w:r>
      <w:r>
        <w:t xml:space="preserve"> « posséder ou hériter », ou plus probablement de </w:t>
      </w:r>
      <w:r>
        <w:rPr>
          <w:i/>
        </w:rPr>
        <w:t>halal,</w:t>
      </w:r>
      <w:r>
        <w:t xml:space="preserve"> « percer ». Cette seconde option indiquerait un instrument percé (la flûte ou le pipeau) à utiliser en accompagnement.</w:t>
      </w:r>
    </w:p>
    <w:p>
      <w:r/>
      <w:r>
        <w:rPr>
          <w:b/>
          <w:i/>
        </w:rPr>
        <w:t>Sheminith</w:t>
      </w:r>
      <w:r>
        <w:rPr>
          <w:i/>
        </w:rPr>
        <w:t xml:space="preserve"> </w:t>
      </w:r>
      <w:r>
        <w:t xml:space="preserve">apparaît dans </w:t>
      </w:r>
      <w:hyperlink r:id="rId10459">
        <w:r>
          <w:rPr>
            <w:color w:val="0000EE"/>
            <w:u w:val="single"/>
          </w:rPr>
          <w:t>Psaumes 6</w:t>
        </w:r>
      </w:hyperlink>
      <w:r>
        <w:t xml:space="preserve"> et </w:t>
      </w:r>
      <w:hyperlink r:id="rId10468">
        <w:r>
          <w:rPr>
            <w:color w:val="0000EE"/>
            <w:u w:val="single"/>
          </w:rPr>
          <w:t>12</w:t>
        </w:r>
      </w:hyperlink>
      <w:r>
        <w:t xml:space="preserve"> et aussi dans </w:t>
      </w:r>
      <w:hyperlink r:id="rId10455">
        <w:r>
          <w:rPr>
            <w:color w:val="0000EE"/>
            <w:u w:val="single"/>
          </w:rPr>
          <w:t>1 Chroniques 15.21</w:t>
        </w:r>
      </w:hyperlink>
      <w:r>
        <w:t>. Le mot hébreu signifie littéralement « au-dessus du huitième ». Certains spécialistes pensent qu'il y a un lien avec une octave. Cependant, il est incertain que le langage musical hébreu comprenait une unité musicale divisée en huit parties.</w:t>
      </w:r>
    </w:p>
    <w:p>
      <w:r/>
      <w:r>
        <w:t xml:space="preserve">D'autres spécialistes interprètent </w:t>
      </w:r>
      <w:r>
        <w:rPr>
          <w:i/>
        </w:rPr>
        <w:t>sheminith</w:t>
      </w:r>
      <w:r>
        <w:t xml:space="preserve"> comme signifiant un instrument à huit cordes. </w:t>
      </w:r>
    </w:p>
    <w:p>
      <w:r/>
      <w:r>
        <w:t xml:space="preserve">Une interprétation plus logique du sens de </w:t>
      </w:r>
      <w:r>
        <w:rPr>
          <w:i/>
        </w:rPr>
        <w:t xml:space="preserve">sheminith </w:t>
      </w:r>
      <w:r>
        <w:t xml:space="preserve">vient de l'examen de son utilisation dans 1 Chroniques. Dans </w:t>
      </w:r>
      <w:hyperlink r:id="rId10440">
        <w:r>
          <w:rPr>
            <w:color w:val="0000EE"/>
            <w:u w:val="single"/>
          </w:rPr>
          <w:t>1 Chroniques 5.20</w:t>
        </w:r>
      </w:hyperlink>
      <w:r>
        <w:t xml:space="preserve">, les instructions aux musiciens sont de jouer des harpes selon </w:t>
      </w:r>
      <w:r>
        <w:rPr>
          <w:i/>
        </w:rPr>
        <w:t>alamoth</w:t>
      </w:r>
      <w:r>
        <w:t xml:space="preserve"> et au verset </w:t>
      </w:r>
      <w:hyperlink r:id="rId10455">
        <w:r>
          <w:rPr>
            <w:color w:val="0000EE"/>
            <w:u w:val="single"/>
          </w:rPr>
          <w:t>21</w:t>
        </w:r>
      </w:hyperlink>
      <w:r>
        <w:t xml:space="preserve">, de jouer des lyres selon </w:t>
      </w:r>
      <w:r>
        <w:rPr>
          <w:i/>
        </w:rPr>
        <w:t>sheminith</w:t>
      </w:r>
      <w:r>
        <w:t xml:space="preserve">. Ici, les termes </w:t>
      </w:r>
      <w:r>
        <w:rPr>
          <w:i/>
        </w:rPr>
        <w:t>alamoth</w:t>
      </w:r>
      <w:r>
        <w:t xml:space="preserve"> et </w:t>
      </w:r>
      <w:r>
        <w:rPr>
          <w:i/>
        </w:rPr>
        <w:t>sheminith</w:t>
      </w:r>
      <w:r>
        <w:t xml:space="preserve"> semblent être utilisés en opposition. Si </w:t>
      </w:r>
      <w:r>
        <w:rPr>
          <w:i/>
        </w:rPr>
        <w:t>alamoth</w:t>
      </w:r>
      <w:r>
        <w:t xml:space="preserve"> implique un registre de voix féminine, alors </w:t>
      </w:r>
      <w:r>
        <w:rPr>
          <w:i/>
        </w:rPr>
        <w:t>sheminith</w:t>
      </w:r>
      <w:r>
        <w:t xml:space="preserve"> indiquerait un registre plus bas. Cela pourrait donc avoir été une instruction d'utiliser un instrument à tonalité plus basse pour l'accompagnement.</w:t>
      </w:r>
    </w:p>
    <w:p>
      <w:pPr>
        <w:pStyle w:val="Heading4"/>
      </w:pPr>
      <w:r>
        <w:t>Indications de différents types de psaumes dans les titres</w:t>
      </w:r>
    </w:p>
    <w:p>
      <w:r/>
      <w:r>
        <w:t>Certaines notes dans les en-têtes des psaumes indiquent le type du psaume.</w:t>
      </w:r>
    </w:p>
    <w:p>
      <w:r/>
      <w:r>
        <w:rPr>
          <w:b/>
          <w:i/>
        </w:rPr>
        <w:t>Hazkir</w:t>
      </w:r>
      <w:r>
        <w:t xml:space="preserve"> se trouve dans les titres des </w:t>
      </w:r>
      <w:hyperlink r:id="rId10469">
        <w:r>
          <w:rPr>
            <w:color w:val="0000EE"/>
            <w:u w:val="single"/>
          </w:rPr>
          <w:t>Psaumes 38</w:t>
        </w:r>
      </w:hyperlink>
      <w:r>
        <w:t xml:space="preserve"> et </w:t>
      </w:r>
      <w:hyperlink r:id="rId10470">
        <w:r>
          <w:rPr>
            <w:color w:val="0000EE"/>
            <w:u w:val="single"/>
          </w:rPr>
          <w:t>70</w:t>
        </w:r>
      </w:hyperlink>
      <w:r>
        <w:t xml:space="preserve">. Selon le Targum, cela indique que le psaume était chanté lors du rite sacrificiel appelé </w:t>
      </w:r>
      <w:r>
        <w:rPr>
          <w:i/>
        </w:rPr>
        <w:t>askara</w:t>
      </w:r>
      <w:r>
        <w:t>. Le mot est alors traduit par « pour une offrande commémorative ».</w:t>
      </w:r>
    </w:p>
    <w:p>
      <w:r/>
      <w:r>
        <w:rPr>
          <w:b/>
          <w:i/>
        </w:rPr>
        <w:t>Lammed</w:t>
      </w:r>
      <w:r>
        <w:rPr>
          <w:i/>
        </w:rPr>
        <w:t xml:space="preserve"> </w:t>
      </w:r>
      <w:r>
        <w:t xml:space="preserve">apparaît dans la suscription du </w:t>
      </w:r>
      <w:hyperlink r:id="rId10471">
        <w:r>
          <w:rPr>
            <w:color w:val="0000EE"/>
            <w:u w:val="single"/>
          </w:rPr>
          <w:t>Psaume 60</w:t>
        </w:r>
      </w:hyperlink>
      <w:r>
        <w:t xml:space="preserve"> dans la phrase </w:t>
      </w:r>
      <w:r>
        <w:rPr>
          <w:i/>
        </w:rPr>
        <w:t>le-lammed,</w:t>
      </w:r>
      <w:r>
        <w:t xml:space="preserve"> traduite par « pour enseigner ». Selon la tradition, c'était un psaume (sans doute pas le seul) qui était enseigné aux jeunes dans le cadre de leur éducation. </w:t>
      </w:r>
      <w:r>
        <w:rPr>
          <w:i/>
        </w:rPr>
        <w:t>Lammed</w:t>
      </w:r>
      <w:r>
        <w:t xml:space="preserve"> est un autre exemple d'un terme qui a pu être omis dans d'autres psaumes dans les versions plus tardives du Psautier.</w:t>
      </w:r>
    </w:p>
    <w:p>
      <w:r/>
      <w:r>
        <w:rPr>
          <w:b/>
          <w:i/>
        </w:rPr>
        <w:t>Shiggaion</w:t>
      </w:r>
      <w:r>
        <w:t xml:space="preserve"> apparaît dans le titre du </w:t>
      </w:r>
      <w:hyperlink r:id="rId1786">
        <w:r>
          <w:rPr>
            <w:color w:val="0000EE"/>
            <w:u w:val="single"/>
          </w:rPr>
          <w:t>Psaume 7</w:t>
        </w:r>
      </w:hyperlink>
      <w:r>
        <w:t xml:space="preserve"> et aussi dans </w:t>
      </w:r>
      <w:hyperlink r:id="rId10472">
        <w:r>
          <w:rPr>
            <w:color w:val="0000EE"/>
            <w:u w:val="single"/>
          </w:rPr>
          <w:t>Habakuk 3.1</w:t>
        </w:r>
      </w:hyperlink>
      <w:r>
        <w:t xml:space="preserve">. Le mot vient probablement du verbe hébreu </w:t>
      </w:r>
      <w:r>
        <w:rPr>
          <w:i/>
        </w:rPr>
        <w:t>shagah</w:t>
      </w:r>
      <w:r>
        <w:t xml:space="preserve">, signifiant « errer ». Il peut également être lié au terme liturgique assyrien </w:t>
      </w:r>
      <w:r>
        <w:rPr>
          <w:i/>
        </w:rPr>
        <w:t>shigu</w:t>
      </w:r>
      <w:r>
        <w:t xml:space="preserve">, qui désignait un chant plaintif en plusieurs strophes. Les spécialistes supposent que </w:t>
      </w:r>
      <w:r>
        <w:rPr>
          <w:i/>
        </w:rPr>
        <w:t>shiggaion</w:t>
      </w:r>
      <w:r>
        <w:t xml:space="preserve"> (pluriel </w:t>
      </w:r>
      <w:r>
        <w:rPr>
          <w:i/>
        </w:rPr>
        <w:t>shigionoth</w:t>
      </w:r>
      <w:r>
        <w:t>) était un chant de lamentation ou pénitentiel.</w:t>
      </w:r>
    </w:p>
    <w:p>
      <w:r/>
      <w:r>
        <w:rPr>
          <w:b/>
          <w:i/>
        </w:rPr>
        <w:t>Shir</w:t>
      </w:r>
      <w:r>
        <w:t xml:space="preserve"> est le mot le plus simple pour « chant ». Il a probablement été utilisé dans les titres tôt dans l'histoire du développement du Psautier ; il est généralement trouvé avec </w:t>
      </w:r>
      <w:r>
        <w:rPr>
          <w:i/>
        </w:rPr>
        <w:t>mizmor</w:t>
      </w:r>
      <w:r>
        <w:t xml:space="preserve"> (13 fois). Quinze psaumes portent ce titre. C'était probablement le terme d'un type spécifique de chant de louange, généralement interprété par le chœur.</w:t>
      </w:r>
    </w:p>
    <w:p>
      <w:r/>
      <w:r>
        <w:rPr>
          <w:b/>
          <w:i/>
        </w:rPr>
        <w:t>Shir hamaalot</w:t>
      </w:r>
      <w:r>
        <w:t xml:space="preserve"> et </w:t>
      </w:r>
      <w:r>
        <w:rPr>
          <w:b/>
          <w:i/>
        </w:rPr>
        <w:t>shir lamaalot</w:t>
      </w:r>
      <w:r>
        <w:t xml:space="preserve"> apparaissent dans les titres des </w:t>
      </w:r>
      <w:hyperlink r:id="rId10473">
        <w:r>
          <w:rPr>
            <w:color w:val="0000EE"/>
            <w:u w:val="single"/>
          </w:rPr>
          <w:t>Psaumes 120–134</w:t>
        </w:r>
      </w:hyperlink>
      <w:r>
        <w:t xml:space="preserve">, qui sont souvent appelés « cantiques des degrés ». La plupart des explications proposées se rapportent au fait que le Temple était situé en hauteur. Souvent, ces 15 psaumes sont associés aux 15 marches menant du parvis des femmes à celui d'Israël. </w:t>
      </w:r>
    </w:p>
    <w:p>
      <w:r/>
      <w:r>
        <w:t>Cependant, la plupart des spécialistes d'aujourd'hui pensent que l'idée de « monter » (« degrés ») fait allusion au voyage des pèlerins vers Jérusalem pour adorer au Temple. Ces psaumes sont courts et ont un attrait populaire, ce qui en fait des psaumes particulièrement adaptés au chant pendant le voyage.</w:t>
      </w:r>
    </w:p>
    <w:p>
      <w:r/>
      <w:r>
        <w:rPr>
          <w:b/>
          <w:i/>
        </w:rPr>
        <w:t>Shir Hanukkat Habayit</w:t>
      </w:r>
      <w:r>
        <w:rPr>
          <w:b/>
        </w:rPr>
        <w:t xml:space="preserve"> </w:t>
      </w:r>
      <w:r>
        <w:t xml:space="preserve">se trouve uniquement dans le titre du </w:t>
      </w:r>
      <w:hyperlink r:id="rId10424">
        <w:r>
          <w:rPr>
            <w:color w:val="0000EE"/>
            <w:u w:val="single"/>
          </w:rPr>
          <w:t>Psaume 30</w:t>
        </w:r>
      </w:hyperlink>
      <w:r>
        <w:t>. Cette phrase indique que le psaume devait être utilisé pour la dédicace ou la redédicace de la maison de Dieu.</w:t>
      </w:r>
    </w:p>
    <w:p>
      <w:r/>
      <w:r>
        <w:rPr>
          <w:b/>
          <w:i/>
        </w:rPr>
        <w:t>Shir-yedidot</w:t>
      </w:r>
      <w:r>
        <w:t xml:space="preserve"> apparaît uniquement dans </w:t>
      </w:r>
      <w:hyperlink r:id="rId10441">
        <w:r>
          <w:rPr>
            <w:color w:val="0000EE"/>
            <w:u w:val="single"/>
          </w:rPr>
          <w:t>le Psaume 45</w:t>
        </w:r>
      </w:hyperlink>
      <w:r>
        <w:t>. Il désigne à une chanson d'amour qui était probablement chantée lors des cérémonies de mariage.</w:t>
      </w:r>
    </w:p>
    <w:p>
      <w:r/>
      <w:r>
        <w:rPr>
          <w:b/>
          <w:i/>
        </w:rPr>
        <w:t>Tefillah</w:t>
      </w:r>
      <w:r>
        <w:t xml:space="preserve"> est un terme courant pour « prière » et apparaît dans les titres des </w:t>
      </w:r>
      <w:hyperlink r:id="rId10474">
        <w:r>
          <w:rPr>
            <w:color w:val="0000EE"/>
            <w:u w:val="single"/>
          </w:rPr>
          <w:t>Psaumes 17</w:t>
        </w:r>
      </w:hyperlink>
      <w:r>
        <w:t xml:space="preserve">, </w:t>
      </w:r>
      <w:hyperlink r:id="rId10475">
        <w:r>
          <w:rPr>
            <w:color w:val="0000EE"/>
            <w:u w:val="single"/>
          </w:rPr>
          <w:t>86</w:t>
        </w:r>
      </w:hyperlink>
      <w:r>
        <w:t xml:space="preserve">, </w:t>
      </w:r>
      <w:hyperlink r:id="rId2146">
        <w:r>
          <w:rPr>
            <w:color w:val="0000EE"/>
            <w:u w:val="single"/>
          </w:rPr>
          <w:t>90</w:t>
        </w:r>
      </w:hyperlink>
      <w:r>
        <w:t xml:space="preserve">, </w:t>
      </w:r>
      <w:hyperlink r:id="rId10476">
        <w:r>
          <w:rPr>
            <w:color w:val="0000EE"/>
            <w:u w:val="single"/>
          </w:rPr>
          <w:t>102</w:t>
        </w:r>
      </w:hyperlink>
      <w:r>
        <w:t xml:space="preserve"> et </w:t>
      </w:r>
      <w:hyperlink r:id="rId346">
        <w:r>
          <w:rPr>
            <w:color w:val="0000EE"/>
            <w:u w:val="single"/>
          </w:rPr>
          <w:t>142</w:t>
        </w:r>
      </w:hyperlink>
      <w:r>
        <w:t xml:space="preserve">, ainsi que dans </w:t>
      </w:r>
      <w:hyperlink r:id="rId10472">
        <w:r>
          <w:rPr>
            <w:color w:val="0000EE"/>
            <w:u w:val="single"/>
          </w:rPr>
          <w:t>Habakuk 3.1</w:t>
        </w:r>
      </w:hyperlink>
      <w:r>
        <w:t>. Le mot désigne probablement une forme spécifique de prière poétique.</w:t>
      </w:r>
    </w:p>
    <w:p>
      <w:r/>
      <w:r>
        <w:rPr>
          <w:b/>
          <w:i/>
        </w:rPr>
        <w:t>Sélah</w:t>
      </w:r>
      <w:r>
        <w:t xml:space="preserve"> est l'un des termes les plus fréquemment utilisés dans le livre des Psaumes, mais aussi l'un des plus énigmatiques. Il apparaît dans 39 psaumes, pour un total de 71 occurrences dans le Psautier. </w:t>
      </w:r>
      <w:r>
        <w:rPr>
          <w:i/>
        </w:rPr>
        <w:t>Sélah</w:t>
      </w:r>
      <w:r>
        <w:t xml:space="preserve"> apparaît 67 fois dans le texte et 4 fois à la fin d'un psaume. Il est le plus fréquent dans les trois premiers livres :</w:t>
      </w:r>
    </w:p>
    <w:p>
      <w:pPr>
        <w:pStyle w:val="ListBullet"/>
        <w:spacing w:line="240" w:lineRule="auto"/>
        <w:ind w:left="720"/>
      </w:pPr>
      <w:r/>
      <w:r>
        <w:t xml:space="preserve">Dans le premier livre, </w:t>
      </w:r>
      <w:r>
        <w:rPr>
          <w:i/>
        </w:rPr>
        <w:t>sélah</w:t>
      </w:r>
      <w:r>
        <w:t xml:space="preserve"> apparaît dans 9 psaumes.</w:t>
      </w:r>
    </w:p>
    <w:p>
      <w:pPr>
        <w:pStyle w:val="ListBullet"/>
        <w:spacing w:line="240" w:lineRule="auto"/>
        <w:ind w:left="720"/>
      </w:pPr>
      <w:r/>
      <w:r>
        <w:t xml:space="preserve">Dans le deuxième livre, </w:t>
      </w:r>
      <w:r>
        <w:rPr>
          <w:i/>
        </w:rPr>
        <w:t>sélah</w:t>
      </w:r>
      <w:r>
        <w:t xml:space="preserve"> apparaît dans 17 psaumes.</w:t>
      </w:r>
    </w:p>
    <w:p>
      <w:pPr>
        <w:pStyle w:val="ListBullet"/>
        <w:spacing w:line="240" w:lineRule="auto"/>
        <w:ind w:left="720"/>
      </w:pPr>
      <w:r/>
      <w:r>
        <w:t xml:space="preserve">Dans le troisième livre, </w:t>
      </w:r>
      <w:r>
        <w:rPr>
          <w:i/>
        </w:rPr>
        <w:t>sélah</w:t>
      </w:r>
      <w:r>
        <w:t xml:space="preserve"> apparaît dans 11 psaumes.</w:t>
      </w:r>
    </w:p>
    <w:p>
      <w:pPr>
        <w:pStyle w:val="ListBullet"/>
        <w:spacing w:line="240" w:lineRule="auto"/>
        <w:ind w:left="720"/>
      </w:pPr>
      <w:r/>
      <w:r>
        <w:t xml:space="preserve">Dans le quatrième livre, </w:t>
      </w:r>
      <w:r>
        <w:rPr>
          <w:i/>
        </w:rPr>
        <w:t>sélah</w:t>
      </w:r>
      <w:r>
        <w:t xml:space="preserve"> n'apparaît pas du tout.</w:t>
      </w:r>
    </w:p>
    <w:p>
      <w:pPr>
        <w:pStyle w:val="ListBullet"/>
        <w:spacing w:line="240" w:lineRule="auto"/>
        <w:ind w:left="720"/>
      </w:pPr>
      <w:r/>
      <w:r>
        <w:t xml:space="preserve">Dans le cinquième livre, </w:t>
      </w:r>
      <w:r>
        <w:rPr>
          <w:i/>
        </w:rPr>
        <w:t>sélah</w:t>
      </w:r>
      <w:r>
        <w:t xml:space="preserve"> apparaît seulement dans deux psaumes.</w:t>
      </w:r>
    </w:p>
    <w:p>
      <w:r/>
      <w:r>
        <w:t xml:space="preserve">Le terme </w:t>
      </w:r>
      <w:r>
        <w:rPr>
          <w:i/>
        </w:rPr>
        <w:t>menazzeah</w:t>
      </w:r>
      <w:r>
        <w:t xml:space="preserve"> apparaît aussi dans 31 des suscriptions de ces psaumes. Ils étaient donc chantés par un soliste et un chœur.</w:t>
      </w:r>
    </w:p>
    <w:p>
      <w:r/>
      <w:r>
        <w:t xml:space="preserve">Le plus souvent, le terme </w:t>
      </w:r>
      <w:r>
        <w:rPr>
          <w:i/>
        </w:rPr>
        <w:t>sélah</w:t>
      </w:r>
      <w:r>
        <w:t xml:space="preserve"> est interprété comme un signal pour faire une pause dans le chant et possiblement pour un interlude instrumental. Il n'apparaît jamais au début d'un psaume, seulement au milieu ou à la fin. La fréquence de son apparition dans un psaume donné est difficilement explicable. Dans seulement quelques cas, ces divisions partagent le psaume en sections égales.</w:t>
      </w:r>
    </w:p>
    <w:p>
      <w:r/>
      <w:r>
        <w:t xml:space="preserve">En raison du placement aléatoire du terme, certains spécialistes pensent que, tout comme les titres, </w:t>
      </w:r>
      <w:r>
        <w:rPr>
          <w:i/>
        </w:rPr>
        <w:t>sélah</w:t>
      </w:r>
      <w:r>
        <w:t xml:space="preserve"> n'a pas toujours été soigneusement copié dans le texte. Il pourrait s'agir d'une note apparaissant uniquement dans les textes des musiciens, ce qui expliquerait l'incohérence apparente de son utilisation.</w:t>
      </w:r>
    </w:p>
    <w:p>
      <w:r/>
      <w:r>
        <w:t xml:space="preserve">La tradition talmudique donne une explication de </w:t>
      </w:r>
      <w:r>
        <w:rPr>
          <w:i/>
        </w:rPr>
        <w:t>sélah</w:t>
      </w:r>
      <w:r>
        <w:t xml:space="preserve"> : « Ben Azra frappait les cymbales et les Lévites éclataient en chant. Lorsqu'ils atteignaient une pause dans le chant, ils sonnaient des trompettes et le peuple se prosternait. À chaque pause, la trompette retentissait et à chaque coup de trompette, le peuple se prosternait. C'était le rite de l'offrande quotidienne dans le service de la Maison de notre Dieu. » </w:t>
      </w:r>
      <w:r>
        <w:rPr>
          <w:i/>
        </w:rPr>
        <w:t>Sélah</w:t>
      </w:r>
      <w:r>
        <w:t xml:space="preserve"> serait donc une instruction pour les musiciens indiquant que le chant devait s'arrêter et que les instrumentistes devaient jouer.</w:t>
      </w:r>
    </w:p>
    <w:p>
      <w:r/>
      <w:r>
        <w:t xml:space="preserve">L'expression </w:t>
      </w:r>
      <w:r>
        <w:rPr>
          <w:i/>
        </w:rPr>
        <w:t>higgaion sélah</w:t>
      </w:r>
      <w:r>
        <w:t xml:space="preserve"> apparaît une fois, dans </w:t>
      </w:r>
      <w:hyperlink r:id="rId10477">
        <w:r>
          <w:rPr>
            <w:color w:val="0000EE"/>
            <w:u w:val="single"/>
          </w:rPr>
          <w:t>Psaume 9.16</w:t>
        </w:r>
      </w:hyperlink>
      <w:r>
        <w:t xml:space="preserve">. Le mot </w:t>
      </w:r>
      <w:r>
        <w:rPr>
          <w:i/>
        </w:rPr>
        <w:t>higgaion</w:t>
      </w:r>
      <w:r>
        <w:t xml:space="preserve"> vient de la racine </w:t>
      </w:r>
      <w:r>
        <w:rPr>
          <w:i/>
        </w:rPr>
        <w:t>hagah</w:t>
      </w:r>
      <w:r>
        <w:t xml:space="preserve">, « murmurer, grogner, produire un son grave ». Cela pourrait avoir été une instruction pour que l'interlude soit plus discret que </w:t>
      </w:r>
      <w:r>
        <w:rPr>
          <w:i/>
        </w:rPr>
        <w:t>sélah</w:t>
      </w:r>
      <w:r>
        <w:t xml:space="preserve"> l'était normalement.</w:t>
      </w:r>
    </w:p>
    <w:p>
      <w:pPr>
        <w:pStyle w:val="Heading4"/>
      </w:pPr>
      <w:r>
        <w:t>Mélodies anciennes dans les titres</w:t>
      </w:r>
    </w:p>
    <w:p>
      <w:r/>
      <w:r>
        <w:t xml:space="preserve">De nombreux psaumes ont des titres qui ne sont pas des références musicales directes. Ce sont des mots clés suggérant des airs bien connus. Ces références se rapportent probablement soit à des noms, soit aux premiers mots de chansons populaires séculières </w:t>
      </w:r>
      <w:r>
        <w:rPr>
          <w:i/>
        </w:rPr>
        <w:t>(makams)</w:t>
      </w:r>
      <w:r>
        <w:t xml:space="preserve"> dont les motifs mélodiques étaient utilisés pour chanter le psaume. Les spécialistes ont parfois tenté de trouver un sens caché à ces titres. La plupart des musicologues pensent qu'il s'agit simplement de références ou d'introductions à des mélodies.</w:t>
      </w:r>
    </w:p>
    <w:p>
      <w:pPr>
        <w:pStyle w:val="ListBullet"/>
        <w:spacing w:line="240" w:lineRule="auto"/>
        <w:ind w:left="720"/>
      </w:pPr>
      <w:r/>
      <w:r>
        <w:rPr>
          <w:i/>
        </w:rPr>
        <w:t>Aijeleth Shahar,</w:t>
      </w:r>
      <w:r>
        <w:t xml:space="preserve"> dans </w:t>
      </w:r>
      <w:hyperlink r:id="rId10478">
        <w:r>
          <w:rPr>
            <w:color w:val="0000EE"/>
            <w:u w:val="single"/>
          </w:rPr>
          <w:t>Psaume 22</w:t>
        </w:r>
      </w:hyperlink>
      <w:r>
        <w:t>, est traduit par « sur Biche de l'aurore » dans la plupart des versions françaises. Certaines d'entre elles précisent « sur l'air » ou « sur la mélodie ». Très peu gardent la mention sans la traduire (« Sur Aïéleth-haschakar », Bible de Lausanne).</w:t>
      </w:r>
    </w:p>
    <w:p>
      <w:pPr>
        <w:pStyle w:val="ListBullet"/>
        <w:spacing w:line="240" w:lineRule="auto"/>
        <w:ind w:left="720"/>
      </w:pPr>
      <w:r/>
      <w:r>
        <w:rPr>
          <w:i/>
        </w:rPr>
        <w:t>Al-taschith,</w:t>
      </w:r>
      <w:r>
        <w:t xml:space="preserve"> dans </w:t>
      </w:r>
      <w:hyperlink r:id="rId10479">
        <w:r>
          <w:rPr>
            <w:color w:val="0000EE"/>
            <w:u w:val="single"/>
          </w:rPr>
          <w:t>les Psaumes 57–59</w:t>
        </w:r>
      </w:hyperlink>
      <w:r>
        <w:t xml:space="preserve"> et </w:t>
      </w:r>
      <w:hyperlink r:id="rId10480">
        <w:r>
          <w:rPr>
            <w:color w:val="0000EE"/>
            <w:u w:val="single"/>
          </w:rPr>
          <w:t>75</w:t>
        </w:r>
      </w:hyperlink>
      <w:r>
        <w:t xml:space="preserve"> est traduit par « Sur “Ne détruis pas.” » Certaines versions précisent « sur l'air » ou « sur la mélodie ». Très peu gardent la mention sans la traduire (« Al-tasketh », Bible de Lausanne).</w:t>
      </w:r>
    </w:p>
    <w:p>
      <w:pPr>
        <w:pStyle w:val="ListBullet"/>
        <w:spacing w:line="240" w:lineRule="auto"/>
        <w:ind w:left="720"/>
      </w:pPr>
      <w:r/>
      <w:r>
        <w:rPr>
          <w:i/>
        </w:rPr>
        <w:t>Jonath-elem-rechokim,</w:t>
      </w:r>
      <w:r>
        <w:t xml:space="preserve"> dans </w:t>
      </w:r>
      <w:hyperlink r:id="rId10481">
        <w:r>
          <w:rPr>
            <w:color w:val="0000EE"/>
            <w:u w:val="single"/>
          </w:rPr>
          <w:t>Psaume 56</w:t>
        </w:r>
      </w:hyperlink>
      <w:r>
        <w:t>, est en général traduit par « sur Colombe des térébinthes lointains », ou « Sur "Colombe muette des pays lointains" » (Parole vivante, voir aussi Parole de vie, Français courant, Semeur). Certaines Bibles gardent la mention sans la traduire (« Sur Jonath-élem-rehokim », Bible de Lausanne).</w:t>
      </w:r>
    </w:p>
    <w:p>
      <w:pPr>
        <w:pStyle w:val="ListBullet"/>
        <w:spacing w:line="240" w:lineRule="auto"/>
        <w:ind w:left="720"/>
      </w:pPr>
      <w:r/>
      <w:r>
        <w:rPr>
          <w:i/>
        </w:rPr>
        <w:t>Mahalath Leannoth,</w:t>
      </w:r>
      <w:r>
        <w:t xml:space="preserve"> dans </w:t>
      </w:r>
      <w:hyperlink r:id="rId6402">
        <w:r>
          <w:rPr>
            <w:color w:val="0000EE"/>
            <w:u w:val="single"/>
          </w:rPr>
          <w:t>Psaume 88</w:t>
        </w:r>
      </w:hyperlink>
      <w:r>
        <w:t>, est traduit par « sur la flûte » (Segond 21, Nouvelle Édition de Genève, Parole Vivante, Semeur), « À chanter avec tristesse » (Parole de Vie, Bible Annotée) ou « À exécuter sur le mode mélancolique » (Français Courant). Plusieurs ne traduisent pas la mention (« Sur Makalath-leannoth », Bible de Lausanne).</w:t>
      </w:r>
    </w:p>
    <w:p>
      <w:pPr>
        <w:pStyle w:val="ListBullet"/>
        <w:spacing w:line="240" w:lineRule="auto"/>
        <w:ind w:left="720"/>
      </w:pPr>
      <w:r/>
      <w:r>
        <w:rPr>
          <w:i/>
        </w:rPr>
        <w:t>Muthlabben</w:t>
      </w:r>
      <w:r>
        <w:t xml:space="preserve">, dans </w:t>
      </w:r>
      <w:hyperlink r:id="rId10482">
        <w:r>
          <w:rPr>
            <w:color w:val="0000EE"/>
            <w:u w:val="single"/>
          </w:rPr>
          <w:t>Psaume 9</w:t>
        </w:r>
      </w:hyperlink>
      <w:r>
        <w:t>, est le plus souvent traduit par « Sur "Meurs pour le fils" ».</w:t>
      </w:r>
    </w:p>
    <w:p>
      <w:pPr>
        <w:pStyle w:val="ListBullet"/>
        <w:spacing w:line="240" w:lineRule="auto"/>
        <w:ind w:left="720"/>
      </w:pPr>
      <w:r/>
      <w:r>
        <w:rPr>
          <w:i/>
        </w:rPr>
        <w:t>Shoshannim,</w:t>
      </w:r>
      <w:r>
        <w:t xml:space="preserve"> dans </w:t>
      </w:r>
      <w:hyperlink r:id="rId10441">
        <w:r>
          <w:rPr>
            <w:color w:val="0000EE"/>
            <w:u w:val="single"/>
          </w:rPr>
          <w:t>Psaumes 45</w:t>
        </w:r>
      </w:hyperlink>
      <w:r>
        <w:t xml:space="preserve"> et </w:t>
      </w:r>
      <w:hyperlink r:id="rId10483">
        <w:r>
          <w:rPr>
            <w:color w:val="0000EE"/>
            <w:u w:val="single"/>
          </w:rPr>
          <w:t>69</w:t>
        </w:r>
      </w:hyperlink>
      <w:r>
        <w:t>, est traduit par « Sur les lis » dans la plupart des versions. Certaines ne traduisent pas cette suscription (« Sur Schoschanim », Bible de Lausanne).</w:t>
      </w:r>
    </w:p>
    <w:p>
      <w:pPr>
        <w:pStyle w:val="ListBullet"/>
        <w:spacing w:line="240" w:lineRule="auto"/>
        <w:ind w:left="720"/>
      </w:pPr>
      <w:r/>
      <w:r>
        <w:rPr>
          <w:i/>
        </w:rPr>
        <w:t>Shoshannim-Éduth,</w:t>
      </w:r>
      <w:r>
        <w:t xml:space="preserve"> dans </w:t>
      </w:r>
      <w:hyperlink r:id="rId10439">
        <w:r>
          <w:rPr>
            <w:color w:val="0000EE"/>
            <w:u w:val="single"/>
          </w:rPr>
          <w:t>Psaume 80</w:t>
        </w:r>
      </w:hyperlink>
      <w:r>
        <w:t xml:space="preserve"> est le plus souvent traduit par « Sur les lis lyriques » et parfois par « Les lis du témoignage » (Segond 21).</w:t>
      </w:r>
    </w:p>
    <w:p>
      <w:pPr>
        <w:pStyle w:val="ListBullet"/>
        <w:spacing w:line="240" w:lineRule="auto"/>
        <w:ind w:left="720"/>
      </w:pPr>
      <w:r/>
      <w:r>
        <w:rPr>
          <w:i/>
        </w:rPr>
        <w:t>Shushan-eduth,</w:t>
      </w:r>
      <w:r>
        <w:t xml:space="preserve"> dans </w:t>
      </w:r>
      <w:hyperlink r:id="rId10471">
        <w:r>
          <w:rPr>
            <w:color w:val="0000EE"/>
            <w:u w:val="single"/>
          </w:rPr>
          <w:t>le Psaume 60</w:t>
        </w:r>
      </w:hyperlink>
      <w:r>
        <w:t>, est également traduit par « Sur les lis lyriques » et « Les lis du témoignage ». Certaines versions ne traduisent pas cette partie de la suscription (« Sur Schouschan-édouth », Bible de Lausanne).</w:t>
      </w:r>
    </w:p>
    <w:p>
      <w:r/>
      <w:r>
        <w:t xml:space="preserve">Ces types de mélodies apparaissent uniquement dans les trois premiers livres du Psautier. Cela peut signifier que ces </w:t>
      </w:r>
      <w:r>
        <w:rPr>
          <w:i/>
        </w:rPr>
        <w:t>makams</w:t>
      </w:r>
      <w:r>
        <w:t xml:space="preserve"> populaires n'étaient plus utilisés au moment où les derniers livres du Psautier ont été écrits. D'autres types de </w:t>
      </w:r>
      <w:r>
        <w:rPr>
          <w:i/>
        </w:rPr>
        <w:t>makam</w:t>
      </w:r>
      <w:r>
        <w:t xml:space="preserve"> étaient probablement devenus populaires. Les auteurs, conscients de la durée de vie relativement courte d'une mélodie populaire, ne les ont pas inclus dans les en-têtes des Psaumes, laissant le choix à l'interprète.</w:t>
      </w:r>
    </w:p>
    <w:p>
      <w:pPr>
        <w:pStyle w:val="Heading3"/>
      </w:pPr>
      <w:r>
        <w:t>La musique dans le Nouveau Testament</w:t>
      </w:r>
    </w:p>
    <w:p>
      <w:pPr>
        <w:pStyle w:val="Heading4"/>
      </w:pPr>
      <w:r>
        <w:t>Influences du premier siècle : la synagogue</w:t>
      </w:r>
    </w:p>
    <w:p>
      <w:r/>
      <w:r>
        <w:t>À l'époque du Christ, la synagogue était devenue le principal lieu de culte pour le peuple juif. Elle avait commencé comme un lieu d'étude de la loi, mais était progressivement devenue le centre de culte pour les Juifs qui ne pouvaient pas se rendre au Temple.</w:t>
      </w:r>
    </w:p>
    <w:p>
      <w:r/>
      <w:r>
        <w:t>La liturgique du Temple ne pouvait pas être reproduite dans la synagogue, car il n'y avait pas de rite sacrificiel. La musique ne pouvait pas être exactement reproduite sans chantres lévitiques formés. Les chercheurs ne s'accordent pas sur le degré de continuité entre la musique du Temple et celle de la synagogue. Cependant, il existe des indications que certaines pratiques musicales sont restées constantes entre les deux lieux de culte.</w:t>
      </w:r>
    </w:p>
    <w:p>
      <w:r/>
      <w:r>
        <w:t>Les informations sur les coutumes et les rituels de la synagogue proviennent des écrits talmudiques. Les éléments musicaux du culte dans la synagogue incluaient le chant des Écritures, la psalmodie et les chants spirituels. Le chant de chorale du Temple a été remplacé par celui d'un seul chantre.</w:t>
      </w:r>
    </w:p>
    <w:p>
      <w:r/>
      <w:r>
        <w:t>Le chantre était un laïc qui, selon la tradition, devait avoir les qualifications suivantes : il devait être « bien éduqué, doté d'une voix douce, d'une personnalité humble, reconnu par la communauté ». Il devait aussi « avoir une bonne connaissance des Écritures et toutes les prières » et « ne pas être un homme riche, car ses prières [devaient] venir de son cœur. » Le travail le plus important d'un chantre était la cantillation des textes de la loi et des Prophètes. La cantillation était une série d'accents et de signes de ponctuation, une notation musicale ancienne, qui indiquait au chantre l'interprétation musicale correcte des Écritures.</w:t>
      </w:r>
    </w:p>
    <w:p>
      <w:r/>
      <w:r>
        <w:t>Le chant des psaumes a été progressivement transféré du Temple à la synagogue. Cette pratique a influencé l'Église chrétienne primitive. Les tons des chants de psaumes grégoriens trouvent leurs racines dans la psalmodie hébraïque.</w:t>
      </w:r>
    </w:p>
    <w:p>
      <w:pPr>
        <w:pStyle w:val="Heading4"/>
      </w:pPr>
      <w:r>
        <w:t>Influences du premier siècle : les cultures grecque et romaine</w:t>
      </w:r>
    </w:p>
    <w:p>
      <w:r/>
      <w:r>
        <w:t>Les premiers chrétiens connaissaient à la fois le Temple et la synagogue (</w:t>
      </w:r>
      <w:hyperlink r:id="rId10484">
        <w:r>
          <w:rPr>
            <w:color w:val="0000EE"/>
            <w:u w:val="single"/>
          </w:rPr>
          <w:t>Ac 2.46–47</w:t>
        </w:r>
      </w:hyperlink>
      <w:r>
        <w:t xml:space="preserve"> ; </w:t>
      </w:r>
      <w:hyperlink r:id="rId7769">
        <w:r>
          <w:rPr>
            <w:color w:val="0000EE"/>
            <w:u w:val="single"/>
          </w:rPr>
          <w:t>3.1</w:t>
        </w:r>
      </w:hyperlink>
      <w:r>
        <w:t xml:space="preserve"> ; </w:t>
      </w:r>
      <w:hyperlink r:id="rId8401">
        <w:r>
          <w:rPr>
            <w:color w:val="0000EE"/>
            <w:u w:val="single"/>
          </w:rPr>
          <w:t>5.42</w:t>
        </w:r>
      </w:hyperlink>
      <w:r>
        <w:t xml:space="preserve"> ; </w:t>
      </w:r>
      <w:hyperlink r:id="rId8185">
        <w:r>
          <w:rPr>
            <w:color w:val="0000EE"/>
            <w:u w:val="single"/>
          </w:rPr>
          <w:t>9.20</w:t>
        </w:r>
      </w:hyperlink>
      <w:r>
        <w:t xml:space="preserve"> ; </w:t>
      </w:r>
      <w:hyperlink r:id="rId3111">
        <w:r>
          <w:rPr>
            <w:color w:val="0000EE"/>
            <w:u w:val="single"/>
          </w:rPr>
          <w:t>18.4,</w:t>
        </w:r>
      </w:hyperlink>
      <w:r>
        <w:t xml:space="preserve"> etc.). Cependant, les cultures grecque et romaine ont également joué un rôle majeur dans la formation de l'Église naissante. Les influences hellénistiques à l'époque du Christ se faisaient ressentir depuis longtemps au Moyen-Orient. Certains dirigeants juifs s'opposaient fermement à cette influence, mais les arts grecs avaient tout de même imprégné la culture juive.</w:t>
      </w:r>
    </w:p>
    <w:p>
      <w:r/>
      <w:r>
        <w:t>Les philosophes grecs considéraient la musique comme une force cathartique, c'est-à-dire qui a une action purificatrice ou libératrice. Ils pensaient qu'elle pouvait conduire les humains à une connaissance métaphysique, c'est-à-dire qui dépasse les limites de la raison et se rapporte à ce qui est absolu. Cette compréhension a mené à la croyance grecque que la musique possédait une substance morale pouvant influencer les gens vers le bien ou le mal. Si cette philosophie avait été efficacement transmise dans la pensée judéo-chrétienne, Paul aurait certainement encouragé l'utilisation de la musique pour répandre l'Évangile. Le silence de Paul à ce sujet signifie que le monde judéo-chrétien de son époque avait rejeté l'idéal grec, du moins en partie.</w:t>
      </w:r>
    </w:p>
    <w:p>
      <w:r/>
      <w:r>
        <w:t>Les rabbins juifs considéraient la musique comme une forme d'art destinée à la louange de Dieu. Les philosophes grecs la percevaient comme une force morale puissante dans la création. Les Romains, eux, voyaient principalement la musique comme un divertissement. La musique des jeux romains n'était ni religieuse ni philosophique. Selon les récits des témoins, elle n'était pas exceptionnelle d'un point de vue technique. Dans l'Empire romain, les musiciens étaient d'un statut inférieur ; c'étaient de simples amuseurs. L'une des raisons pour lesquelles l'Église primitive n'incluait pas la musique instrumentale dans son culte était une réaction à l'utilisation séculière des instruments par les Romains.</w:t>
      </w:r>
    </w:p>
    <w:p>
      <w:pPr>
        <w:pStyle w:val="Heading4"/>
      </w:pPr>
      <w:r>
        <w:t>Dans les écrits du Nouveau Testament</w:t>
      </w:r>
    </w:p>
    <w:p>
      <w:r/>
      <w:r>
        <w:t>L'une des rares mentions d'instruments dans le Nouveau Testament (NT) est l'utilisation de flûtes lors d'une veillée funèbre (</w:t>
      </w:r>
      <w:hyperlink r:id="rId6782">
        <w:r>
          <w:rPr>
            <w:color w:val="0000EE"/>
            <w:u w:val="single"/>
          </w:rPr>
          <w:t>Mt 9.23</w:t>
        </w:r>
      </w:hyperlink>
      <w:r>
        <w:t xml:space="preserve">). Comme dans l'AT, la musique est associée aux festins et aux réjouissances (p. ex. le retour du fils prodigue, </w:t>
      </w:r>
      <w:hyperlink r:id="rId6796">
        <w:r>
          <w:rPr>
            <w:color w:val="0000EE"/>
            <w:u w:val="single"/>
          </w:rPr>
          <w:t>Lc 15.25</w:t>
        </w:r>
      </w:hyperlink>
      <w:r>
        <w:t>). Cinq passages mentionnent la musique de manière métaphorique (</w:t>
      </w:r>
      <w:hyperlink r:id="rId10485">
        <w:r>
          <w:rPr>
            <w:color w:val="0000EE"/>
            <w:u w:val="single"/>
          </w:rPr>
          <w:t>Mt 6.2</w:t>
        </w:r>
      </w:hyperlink>
      <w:r>
        <w:t xml:space="preserve"> ; </w:t>
      </w:r>
      <w:hyperlink r:id="rId10486">
        <w:r>
          <w:rPr>
            <w:color w:val="0000EE"/>
            <w:u w:val="single"/>
          </w:rPr>
          <w:t>11.17</w:t>
        </w:r>
      </w:hyperlink>
      <w:r>
        <w:t xml:space="preserve"> ; </w:t>
      </w:r>
      <w:hyperlink r:id="rId10487">
        <w:r>
          <w:rPr>
            <w:color w:val="0000EE"/>
            <w:u w:val="single"/>
          </w:rPr>
          <w:t>Lc 7.32</w:t>
        </w:r>
      </w:hyperlink>
      <w:r>
        <w:t xml:space="preserve"> ; </w:t>
      </w:r>
      <w:hyperlink r:id="rId10135">
        <w:r>
          <w:rPr>
            <w:color w:val="0000EE"/>
            <w:u w:val="single"/>
          </w:rPr>
          <w:t>1Co 13.1</w:t>
        </w:r>
      </w:hyperlink>
      <w:r>
        <w:t xml:space="preserve"> ; </w:t>
      </w:r>
      <w:hyperlink r:id="rId10488">
        <w:r>
          <w:rPr>
            <w:color w:val="0000EE"/>
            <w:u w:val="single"/>
          </w:rPr>
          <w:t>14.7–8</w:t>
        </w:r>
      </w:hyperlink>
      <w:r>
        <w:t xml:space="preserve">). Le plus connu d'entre eux est la célébration de l'amour par Paul dans </w:t>
      </w:r>
      <w:hyperlink r:id="rId3274">
        <w:r>
          <w:rPr>
            <w:color w:val="0000EE"/>
            <w:u w:val="single"/>
          </w:rPr>
          <w:t>1 Corinthiens 13</w:t>
        </w:r>
      </w:hyperlink>
      <w:r>
        <w:t>. La critique de l'airain ou du cuivre et des cymbales qui « résonnent » ou « retentissent » doit être comprise à la lumière de l'attitude des premiers chrétiens envers la musique des pharisiens en particulier. Ici, les instruments de signal du Temple sont utilisés pour représenter l'étalage pompeux du piétisme religieux.</w:t>
      </w:r>
    </w:p>
    <w:p>
      <w:r/>
      <w:r>
        <w:t xml:space="preserve">Dans le NT, la plupart des références à la musique se trouvent dans des visions eschatologiques et des passages prophétiques. Elles apparaissent ici et là dans le NT, le plus souvent dans le livre de l'Apocalypse (aussi </w:t>
      </w:r>
      <w:hyperlink r:id="rId10489">
        <w:r>
          <w:rPr>
            <w:color w:val="0000EE"/>
            <w:u w:val="single"/>
          </w:rPr>
          <w:t>Mt 24.31</w:t>
        </w:r>
      </w:hyperlink>
      <w:r>
        <w:t xml:space="preserve"> ; </w:t>
      </w:r>
      <w:hyperlink r:id="rId10490">
        <w:r>
          <w:rPr>
            <w:color w:val="0000EE"/>
            <w:u w:val="single"/>
          </w:rPr>
          <w:t>1Co 15.52</w:t>
        </w:r>
      </w:hyperlink>
      <w:r>
        <w:t xml:space="preserve"> ; </w:t>
      </w:r>
      <w:hyperlink r:id="rId10370">
        <w:r>
          <w:rPr>
            <w:color w:val="0000EE"/>
            <w:u w:val="single"/>
          </w:rPr>
          <w:t>1Th 4.16</w:t>
        </w:r>
      </w:hyperlink>
      <w:r>
        <w:t xml:space="preserve"> ; </w:t>
      </w:r>
      <w:hyperlink r:id="rId10491">
        <w:r>
          <w:rPr>
            <w:color w:val="0000EE"/>
            <w:u w:val="single"/>
          </w:rPr>
          <w:t>Hé 12.19</w:t>
        </w:r>
      </w:hyperlink>
      <w:r>
        <w:t xml:space="preserve">). Beaucoup de ces descriptions sont associées à des références musicales de l'AT (p. ex. l'utilisation de harpes et de trompettes et le chant de l'alléluia). Cependant, la valeur musicale de nombreux passages de l'Apocalypse provient de leur style littéraire. Ces passages doxologiques (à la gloire de Dieu), semblables à des psaumes, étaient probablement des « chants spirituels » spontanés composés par l'Église naissante (p. ex </w:t>
      </w:r>
      <w:hyperlink r:id="rId10492">
        <w:r>
          <w:rPr>
            <w:color w:val="0000EE"/>
            <w:u w:val="single"/>
          </w:rPr>
          <w:t>Ap 5.9–10</w:t>
        </w:r>
      </w:hyperlink>
      <w:r>
        <w:t>).</w:t>
      </w:r>
    </w:p>
    <w:p>
      <w:r/>
      <w:r>
        <w:t>Les passages qui mentionnent la musique religieuse ou liturgique sont souvent plus conceptuels que littéraux. Deux passages parallèles décrivant la Cène (</w:t>
      </w:r>
      <w:hyperlink r:id="rId6179">
        <w:r>
          <w:rPr>
            <w:color w:val="0000EE"/>
            <w:u w:val="single"/>
          </w:rPr>
          <w:t>Mt 26.30</w:t>
        </w:r>
      </w:hyperlink>
      <w:r>
        <w:t xml:space="preserve"> ; </w:t>
      </w:r>
      <w:hyperlink r:id="rId6180">
        <w:r>
          <w:rPr>
            <w:color w:val="0000EE"/>
            <w:u w:val="single"/>
          </w:rPr>
          <w:t>Mc 14.26</w:t>
        </w:r>
      </w:hyperlink>
      <w:r>
        <w:t>) mentionnent que Christ et ses disciples ont chanté un hymne. C'est le seul récit qui rapporte directement que Jésus a chanté. Il est probable que lorsqu'il lisait dans la synagogue, il le faisait dans le style vocal qui était la norme (</w:t>
      </w:r>
      <w:hyperlink r:id="rId10493">
        <w:r>
          <w:rPr>
            <w:color w:val="0000EE"/>
            <w:u w:val="single"/>
          </w:rPr>
          <w:t>Lc 4.16–20</w:t>
        </w:r>
      </w:hyperlink>
      <w:r>
        <w:t>). Malgré la controverse entourant les événements réels de la Cène, il est raisonnable de supposer que l'hymne chanté était un hymne juif traditionnel, probablement associé à la Pâque.</w:t>
      </w:r>
    </w:p>
    <w:p>
      <w:r/>
      <w:r>
        <w:t xml:space="preserve">D'après le récit dans </w:t>
      </w:r>
      <w:hyperlink r:id="rId9190">
        <w:r>
          <w:rPr>
            <w:color w:val="0000EE"/>
            <w:u w:val="single"/>
          </w:rPr>
          <w:t>Actes 16.25</w:t>
        </w:r>
      </w:hyperlink>
      <w:r>
        <w:t xml:space="preserve">, nous savons que Paul et Silas ont chanté des hymnes quand ils étaient en prison. Paul donne des instructions pour la musique dans </w:t>
      </w:r>
      <w:hyperlink r:id="rId10494">
        <w:r>
          <w:rPr>
            <w:color w:val="0000EE"/>
            <w:u w:val="single"/>
          </w:rPr>
          <w:t>1 Corinthiens 14.15, 26</w:t>
        </w:r>
      </w:hyperlink>
      <w:r>
        <w:t xml:space="preserve"> en termes d'équilibre entre rationalisme (raison) et émotion. De plus, comme pour tous les dons de l'Esprit, Paul enseigne que le chant doit avoir pour but l'édification.</w:t>
      </w:r>
    </w:p>
    <w:p>
      <w:r/>
      <w:r>
        <w:t>Dans deux passages similaires (</w:t>
      </w:r>
      <w:hyperlink r:id="rId9194">
        <w:r>
          <w:rPr>
            <w:color w:val="0000EE"/>
            <w:u w:val="single"/>
          </w:rPr>
          <w:t>Ep 5.19</w:t>
        </w:r>
      </w:hyperlink>
      <w:r>
        <w:t xml:space="preserve"> ; </w:t>
      </w:r>
      <w:hyperlink r:id="rId9193">
        <w:r>
          <w:rPr>
            <w:color w:val="0000EE"/>
            <w:u w:val="single"/>
          </w:rPr>
          <w:t>Col 3.16</w:t>
        </w:r>
      </w:hyperlink>
      <w:r>
        <w:t>), Paul regroupe trois termes musicaux :</w:t>
      </w:r>
    </w:p>
    <w:p>
      <w:pPr>
        <w:pStyle w:val="ListBullet"/>
        <w:spacing w:line="240" w:lineRule="auto"/>
        <w:ind w:left="720"/>
      </w:pPr>
      <w:r/>
      <w:r>
        <w:t>les psaumes</w:t>
      </w:r>
    </w:p>
    <w:p>
      <w:pPr>
        <w:pStyle w:val="ListBullet"/>
        <w:spacing w:line="240" w:lineRule="auto"/>
        <w:ind w:left="720"/>
      </w:pPr>
      <w:r/>
      <w:r>
        <w:t>les hymnes</w:t>
      </w:r>
    </w:p>
    <w:p>
      <w:pPr>
        <w:pStyle w:val="ListBullet"/>
        <w:spacing w:line="240" w:lineRule="auto"/>
        <w:ind w:left="720"/>
      </w:pPr>
      <w:r/>
      <w:r>
        <w:t>les cantiques ou chants spirituels</w:t>
      </w:r>
    </w:p>
    <w:p>
      <w:r/>
      <w:r>
        <w:t>Le chant des psaumes était un héritage évident de la synagogue. Chez les premiers chrétiens, le chant des psaumes suivait probablement le style juif.</w:t>
      </w:r>
    </w:p>
    <w:p>
      <w:r/>
      <w:r>
        <w:t>Le terme « hymnes » désigne probablement des textes poétiques. Ces chants étaient vraisemblablement inspirés des psaumes, mais en louange à Christ. Les « cantiques spirituels » peuvent désigner une forme spontanée et extatique de prière musicale, possiblement sans paroles (et peut-être liée à la glossolalie). Il existe une documentation indiquant que ce style était également populaire dans le judaïsme mystique. Ces élans de chant étaient probablement chantés sur un seul ton et sont peut-être les prédécesseurs du chant alléluia qui viendra plus tard.</w:t>
      </w:r>
    </w:p>
    <w:p>
      <w:pPr>
        <w:pStyle w:val="Heading4"/>
      </w:pPr>
      <w:r>
        <w:t>Hymnologie dans le Nouveau Testament</w:t>
      </w:r>
    </w:p>
    <w:p>
      <w:r/>
      <w:r>
        <w:t>On peut supposer que les premiers chrétiens ont composé des hymnes en l'honneur du Christ. La plupart des hymnes du NT sont basés sur les formes poétiques des psaumes hébraïques, mais une influence grecque et latine peut également être observée. Les hymnes de l'Évangile de Luc sont devenus des cantiques bien connus adoptés par l'Église :</w:t>
      </w:r>
    </w:p>
    <w:p>
      <w:pPr>
        <w:pStyle w:val="ListBullet"/>
        <w:spacing w:line="240" w:lineRule="auto"/>
        <w:ind w:left="720"/>
      </w:pPr>
      <w:r/>
      <w:r>
        <w:t xml:space="preserve">le </w:t>
      </w:r>
      <w:r>
        <w:rPr>
          <w:i/>
        </w:rPr>
        <w:t>Magnificat</w:t>
      </w:r>
      <w:r>
        <w:t xml:space="preserve"> (</w:t>
      </w:r>
      <w:hyperlink r:id="rId9650">
        <w:r>
          <w:rPr>
            <w:color w:val="0000EE"/>
            <w:u w:val="single"/>
          </w:rPr>
          <w:t>Lc 1.46–55</w:t>
        </w:r>
      </w:hyperlink>
      <w:r>
        <w:t>)</w:t>
      </w:r>
    </w:p>
    <w:p>
      <w:pPr>
        <w:pStyle w:val="ListBullet"/>
        <w:spacing w:line="240" w:lineRule="auto"/>
        <w:ind w:left="720"/>
      </w:pPr>
      <w:r/>
      <w:r>
        <w:t xml:space="preserve">le </w:t>
      </w:r>
      <w:r>
        <w:rPr>
          <w:i/>
        </w:rPr>
        <w:t>Benedictus</w:t>
      </w:r>
      <w:r>
        <w:t xml:space="preserve"> (</w:t>
      </w:r>
      <w:hyperlink r:id="rId10495">
        <w:r>
          <w:rPr>
            <w:color w:val="0000EE"/>
            <w:u w:val="single"/>
          </w:rPr>
          <w:t>Lc 1.68–79</w:t>
        </w:r>
      </w:hyperlink>
      <w:r>
        <w:t>)</w:t>
      </w:r>
    </w:p>
    <w:p>
      <w:pPr>
        <w:pStyle w:val="ListBullet"/>
        <w:spacing w:line="240" w:lineRule="auto"/>
        <w:ind w:left="720"/>
      </w:pPr>
      <w:r/>
      <w:r>
        <w:t xml:space="preserve">le </w:t>
      </w:r>
      <w:r>
        <w:rPr>
          <w:i/>
        </w:rPr>
        <w:t>Gloria</w:t>
      </w:r>
      <w:r>
        <w:t xml:space="preserve"> ou </w:t>
      </w:r>
      <w:r>
        <w:rPr>
          <w:i/>
        </w:rPr>
        <w:t>Gloire à Dieu</w:t>
      </w:r>
      <w:r>
        <w:t xml:space="preserve"> (</w:t>
      </w:r>
      <w:hyperlink r:id="rId9204">
        <w:r>
          <w:rPr>
            <w:color w:val="0000EE"/>
            <w:u w:val="single"/>
          </w:rPr>
          <w:t>Lc 2.14</w:t>
        </w:r>
      </w:hyperlink>
      <w:r>
        <w:t>)</w:t>
      </w:r>
    </w:p>
    <w:p>
      <w:pPr>
        <w:pStyle w:val="ListBullet"/>
        <w:spacing w:line="240" w:lineRule="auto"/>
        <w:ind w:left="720"/>
      </w:pPr>
      <w:r/>
      <w:r>
        <w:t xml:space="preserve">le </w:t>
      </w:r>
      <w:r>
        <w:rPr>
          <w:i/>
        </w:rPr>
        <w:t>Nunc Dimittis</w:t>
      </w:r>
      <w:r>
        <w:t xml:space="preserve"> (</w:t>
      </w:r>
      <w:hyperlink r:id="rId181">
        <w:r>
          <w:rPr>
            <w:color w:val="0000EE"/>
            <w:u w:val="single"/>
          </w:rPr>
          <w:t>Lc 2.29–32</w:t>
        </w:r>
      </w:hyperlink>
      <w:r>
        <w:t>).</w:t>
      </w:r>
    </w:p>
    <w:p>
      <w:r/>
      <w:r>
        <w:t xml:space="preserve">Inspirés des psaumes de l'AT, ces hymnes sont pleins de confiance dans le salut du Christ et dans son retour imminent. </w:t>
      </w:r>
    </w:p>
    <w:p>
      <w:r/>
      <w:r>
        <w:t xml:space="preserve">D'autres hymnes christologiques trouvés dans le NT incluent le prologue de l'Évangile de Jean, </w:t>
      </w:r>
      <w:hyperlink r:id="rId325">
        <w:r>
          <w:rPr>
            <w:color w:val="0000EE"/>
            <w:u w:val="single"/>
          </w:rPr>
          <w:t>Éphésiens 2.14–16</w:t>
        </w:r>
      </w:hyperlink>
      <w:r>
        <w:t xml:space="preserve">, </w:t>
      </w:r>
      <w:hyperlink r:id="rId2909">
        <w:r>
          <w:rPr>
            <w:color w:val="0000EE"/>
            <w:u w:val="single"/>
          </w:rPr>
          <w:t>Philippiens 2.6–11</w:t>
        </w:r>
      </w:hyperlink>
      <w:r>
        <w:t xml:space="preserve">, </w:t>
      </w:r>
      <w:hyperlink r:id="rId2907">
        <w:r>
          <w:rPr>
            <w:color w:val="0000EE"/>
            <w:u w:val="single"/>
          </w:rPr>
          <w:t>Colossiens 1.15–20</w:t>
        </w:r>
      </w:hyperlink>
      <w:r>
        <w:t xml:space="preserve">, </w:t>
      </w:r>
      <w:hyperlink r:id="rId1338">
        <w:r>
          <w:rPr>
            <w:color w:val="0000EE"/>
            <w:u w:val="single"/>
          </w:rPr>
          <w:t>1 Timothée 3.16</w:t>
        </w:r>
      </w:hyperlink>
      <w:r>
        <w:t xml:space="preserve">, </w:t>
      </w:r>
      <w:hyperlink r:id="rId1332">
        <w:r>
          <w:rPr>
            <w:color w:val="0000EE"/>
            <w:u w:val="single"/>
          </w:rPr>
          <w:t>Hébreux 1.3</w:t>
        </w:r>
      </w:hyperlink>
      <w:r>
        <w:t xml:space="preserve"> et </w:t>
      </w:r>
      <w:hyperlink r:id="rId8439">
        <w:r>
          <w:rPr>
            <w:color w:val="0000EE"/>
            <w:u w:val="single"/>
          </w:rPr>
          <w:t>1 Pierre 3.18–22</w:t>
        </w:r>
      </w:hyperlink>
      <w:r>
        <w:t>.</w:t>
      </w:r>
      <w:r/>
      <w:r/>
    </w:p>
    <w:p>
      <w:r/>
    </w:p>
    <w:p>
      <w:pPr>
        <w:pStyle w:val="Heading2"/>
      </w:pPr>
      <w:r>
        <w:t>Myra</w:t>
      </w:r>
      <w:r/>
    </w:p>
    <w:p>
      <w:r/>
      <w:r>
        <w:t xml:space="preserve">Ville portuaire sur la côte sud de l'Asie Mineure dans la province de Lycie, identifiée avec l'actuelle Demre en Turquie. Selon </w:t>
      </w:r>
      <w:hyperlink r:id="rId10496">
        <w:r>
          <w:rPr>
            <w:color w:val="0000EE"/>
            <w:u w:val="single"/>
          </w:rPr>
          <w:t>Actes 27.5–6</w:t>
        </w:r>
      </w:hyperlink>
      <w:r>
        <w:t>, Paul et son escorte militaire s'y sont arrêtés pour un court moment. C'est là qu'ils ont changé de navire lors de leur voyage vers Rome, où Paul allait être jugé devant César.</w:t>
      </w:r>
      <w:r/>
      <w:r/>
    </w:p>
    <w:p>
      <w:r/>
    </w:p>
    <w:p>
      <w:pPr>
        <w:pStyle w:val="Heading2"/>
      </w:pPr>
      <w:r>
        <w:t>Mysie</w:t>
      </w:r>
      <w:r/>
    </w:p>
    <w:p>
      <w:r/>
      <w:r>
        <w:t xml:space="preserve">Région située dans le nord-ouest de l'Asie Mineure (Turquie moderne). Cette région possède une longue histoire. En 133 av. J.‑C., la Mysie est devenue une partie de l'Empire romain dans la province d'Asie. Pendant environ cent cinquante ans avant de rejoindre l'Empire romain, la Mysie faisait partie du royaume de Pergame. Le récit de son voyage dans </w:t>
      </w:r>
      <w:hyperlink r:id="rId10497">
        <w:r>
          <w:rPr>
            <w:color w:val="0000EE"/>
            <w:u w:val="single"/>
          </w:rPr>
          <w:t>Actes 16.7–8</w:t>
        </w:r>
      </w:hyperlink>
      <w:r>
        <w:t xml:space="preserve"> indique que l'apôtre Paul a traversé cette région, lors de son deuxième voyage missionnaire. Il n'y a cependant pas prêché.</w:t>
      </w:r>
    </w:p>
    <w:p>
      <w:r/>
      <w:r>
        <w:rPr>
          <w:i/>
        </w:rPr>
        <w:t>Voir aussi</w:t>
      </w:r>
      <w:r>
        <w:t xml:space="preserve"> </w:t>
      </w:r>
      <w:r>
        <w:t>Pergame</w:t>
      </w:r>
      <w:r>
        <w:t>.</w:t>
      </w:r>
      <w:r/>
      <w:r/>
    </w:p>
    <w:p>
      <w:r/>
    </w:p>
    <w:p>
      <w:pPr>
        <w:pStyle w:val="Heading2"/>
      </w:pPr>
      <w:r>
        <w:t>Mystère</w:t>
      </w:r>
      <w:r/>
    </w:p>
    <w:p>
      <w:r/>
      <w:r>
        <w:t>Conseil, ou plan secret, que Dieu révèle uniquement à son peuple. Dans la majorité des passages bibliques pertinents, le mystère se rapporte aux sages desseins ou plans de Dieu. Ce sont ses plans qui guident l'Histoire vers sa destinée. Le concept de mystère s'applique le plus certainement et spécifiquement au plan de Dieu concernant la mort du Christ. Ce n'est pas un secret que Dieu refuse de révéler. Ce n'est pas quelque chose de tellement obscur qu'il n'est pas possible de le comprendre.</w:t>
      </w:r>
    </w:p>
    <w:p>
      <w:r/>
      <w:r>
        <w:t xml:space="preserve">Ce mot apparaît plus de 30 fois dans les Écritures. Les passages où le sens théologique du mot mystère est le plus transparent sont : </w:t>
      </w:r>
      <w:hyperlink r:id="rId10498">
        <w:r>
          <w:rPr>
            <w:color w:val="0000EE"/>
            <w:u w:val="single"/>
          </w:rPr>
          <w:t xml:space="preserve">Daniel 3.18–28 </w:t>
        </w:r>
      </w:hyperlink>
      <w:r>
        <w:t xml:space="preserve">; </w:t>
      </w:r>
      <w:hyperlink r:id="rId10499">
        <w:r>
          <w:rPr>
            <w:color w:val="0000EE"/>
            <w:u w:val="single"/>
          </w:rPr>
          <w:t>4.6</w:t>
        </w:r>
      </w:hyperlink>
      <w:r>
        <w:t xml:space="preserve"> (Septante) ; </w:t>
      </w:r>
      <w:hyperlink r:id="rId4785">
        <w:r>
          <w:rPr>
            <w:color w:val="0000EE"/>
            <w:u w:val="single"/>
          </w:rPr>
          <w:t xml:space="preserve">Matthieu 13.11 </w:t>
        </w:r>
      </w:hyperlink>
      <w:r>
        <w:t xml:space="preserve">; </w:t>
      </w:r>
      <w:hyperlink r:id="rId10500">
        <w:r>
          <w:rPr>
            <w:color w:val="0000EE"/>
            <w:u w:val="single"/>
          </w:rPr>
          <w:t xml:space="preserve">Marc 4.11 </w:t>
        </w:r>
      </w:hyperlink>
      <w:r>
        <w:t xml:space="preserve">; </w:t>
      </w:r>
      <w:hyperlink r:id="rId10501">
        <w:r>
          <w:rPr>
            <w:color w:val="0000EE"/>
            <w:u w:val="single"/>
          </w:rPr>
          <w:t xml:space="preserve">Luc 8.10 </w:t>
        </w:r>
      </w:hyperlink>
      <w:r>
        <w:t xml:space="preserve">; </w:t>
      </w:r>
      <w:hyperlink r:id="rId4787">
        <w:r>
          <w:rPr>
            <w:color w:val="0000EE"/>
            <w:u w:val="single"/>
          </w:rPr>
          <w:t xml:space="preserve">Romains 11.25 </w:t>
        </w:r>
      </w:hyperlink>
      <w:r>
        <w:t xml:space="preserve">; </w:t>
      </w:r>
      <w:hyperlink r:id="rId10502">
        <w:r>
          <w:rPr>
            <w:color w:val="0000EE"/>
            <w:u w:val="single"/>
          </w:rPr>
          <w:t xml:space="preserve">16.25 </w:t>
        </w:r>
      </w:hyperlink>
      <w:r>
        <w:t xml:space="preserve">; </w:t>
      </w:r>
      <w:hyperlink r:id="rId10503">
        <w:r>
          <w:rPr>
            <w:color w:val="0000EE"/>
            <w:u w:val="single"/>
          </w:rPr>
          <w:t xml:space="preserve">1 Corinthiens 2.7 </w:t>
        </w:r>
      </w:hyperlink>
      <w:r>
        <w:t xml:space="preserve">; </w:t>
      </w:r>
      <w:hyperlink r:id="rId10504">
        <w:r>
          <w:rPr>
            <w:color w:val="0000EE"/>
            <w:u w:val="single"/>
          </w:rPr>
          <w:t xml:space="preserve">4.1 </w:t>
        </w:r>
      </w:hyperlink>
      <w:r>
        <w:t xml:space="preserve">; </w:t>
      </w:r>
      <w:hyperlink r:id="rId10505">
        <w:r>
          <w:rPr>
            <w:color w:val="0000EE"/>
            <w:u w:val="single"/>
          </w:rPr>
          <w:t xml:space="preserve">15.51 </w:t>
        </w:r>
      </w:hyperlink>
      <w:r>
        <w:t xml:space="preserve">; </w:t>
      </w:r>
      <w:hyperlink r:id="rId5740">
        <w:r>
          <w:rPr>
            <w:color w:val="0000EE"/>
            <w:u w:val="single"/>
          </w:rPr>
          <w:t xml:space="preserve">Éphésiens 1.9 </w:t>
        </w:r>
      </w:hyperlink>
      <w:r>
        <w:t xml:space="preserve">; </w:t>
      </w:r>
      <w:hyperlink r:id="rId10506">
        <w:r>
          <w:rPr>
            <w:color w:val="0000EE"/>
            <w:u w:val="single"/>
          </w:rPr>
          <w:t xml:space="preserve">3.3–6, 9–12 </w:t>
        </w:r>
      </w:hyperlink>
      <w:r>
        <w:t xml:space="preserve">; </w:t>
      </w:r>
      <w:hyperlink r:id="rId10507">
        <w:r>
          <w:rPr>
            <w:color w:val="0000EE"/>
            <w:u w:val="single"/>
          </w:rPr>
          <w:t xml:space="preserve">Colossiens 1.26–29 </w:t>
        </w:r>
      </w:hyperlink>
      <w:r>
        <w:t xml:space="preserve">; </w:t>
      </w:r>
      <w:hyperlink r:id="rId10508">
        <w:r>
          <w:rPr>
            <w:color w:val="0000EE"/>
            <w:u w:val="single"/>
          </w:rPr>
          <w:t xml:space="preserve">2.2 </w:t>
        </w:r>
      </w:hyperlink>
      <w:r>
        <w:t xml:space="preserve">; </w:t>
      </w:r>
      <w:hyperlink r:id="rId10509">
        <w:r>
          <w:rPr>
            <w:color w:val="0000EE"/>
            <w:u w:val="single"/>
          </w:rPr>
          <w:t xml:space="preserve">2 Thessaloniciens 2.7 </w:t>
        </w:r>
      </w:hyperlink>
      <w:r>
        <w:t xml:space="preserve">; </w:t>
      </w:r>
      <w:hyperlink r:id="rId10510">
        <w:r>
          <w:rPr>
            <w:color w:val="0000EE"/>
            <w:u w:val="single"/>
          </w:rPr>
          <w:t>1 Timothée 3.9, 16</w:t>
        </w:r>
      </w:hyperlink>
      <w:r>
        <w:t xml:space="preserve"> et </w:t>
      </w:r>
      <w:hyperlink r:id="rId10511">
        <w:r>
          <w:rPr>
            <w:color w:val="0000EE"/>
            <w:u w:val="single"/>
          </w:rPr>
          <w:t xml:space="preserve">Apocalypse 1.20 </w:t>
        </w:r>
      </w:hyperlink>
      <w:r>
        <w:t xml:space="preserve">; </w:t>
      </w:r>
      <w:hyperlink r:id="rId10512">
        <w:r>
          <w:rPr>
            <w:color w:val="0000EE"/>
            <w:u w:val="single"/>
          </w:rPr>
          <w:t xml:space="preserve">10.7 </w:t>
        </w:r>
      </w:hyperlink>
      <w:r>
        <w:t xml:space="preserve">; </w:t>
      </w:r>
      <w:hyperlink r:id="rId10513">
        <w:r>
          <w:rPr>
            <w:color w:val="0000EE"/>
            <w:u w:val="single"/>
          </w:rPr>
          <w:t>17.5–18</w:t>
        </w:r>
      </w:hyperlink>
      <w:r>
        <w:t>.</w:t>
      </w:r>
    </w:p>
    <w:p>
      <w:r/>
      <w:r>
        <w:t>Dans le livre de Daniel, le terme décrit ce que Dieu révèle à Daniel à propos du contenu et de la signification du rêve (ou songe) du roi Nebucadnetsar. Ce rêve est à propos de ce que Dieu va faire dans l'avenir. Aucun sage, enchanteur, magicien ou devin ne peut l'expliquer, mais « il y a dans les cieux un Dieu qui révèle les mystères » (</w:t>
      </w:r>
      <w:hyperlink r:id="rId10514">
        <w:r>
          <w:rPr>
            <w:color w:val="0000EE"/>
            <w:u w:val="single"/>
          </w:rPr>
          <w:t>Dn 2.28</w:t>
        </w:r>
      </w:hyperlink>
      <w:r>
        <w:t>, Colombe).</w:t>
      </w:r>
    </w:p>
    <w:p>
      <w:r/>
      <w:r>
        <w:t>Des études récentes ont trouvé des thèmes similaires dans d'autres écrits juifs, y compris les manuscrits de la mer Morte. L'insistance est sur ce que Dieu a décidé pour l'avenir et particulièrement pour la fin des temps. Le monde trouve difficile de répondre à des questions telles que le problème de l'existence du mal. Pourquoi tant de souffrance en ce monde si Dieu est à la fois bon et tout-puissant ? Le croyant n'est pas étranger à ces questions, mais il sait que Dieu a un plan de salut et qu'un jour toutes ces choses seront claires. Dieu fera droit à ceux qui sont maltraités dans ce monde et jugera ceux qui font le mal. Comment Dieu fera cela fait partie du contenu du « mystère ». C'est l'un des thèmes importants des écrits juifs de l'époque du Christ. Ce qui se passe dans l'univers est sous le contrôle de Dieu. Les nations finiront par accomplir ses desseins.</w:t>
      </w:r>
    </w:p>
    <w:p>
      <w:r/>
      <w:hyperlink r:id="rId4785">
        <w:r>
          <w:rPr>
            <w:color w:val="0000EE"/>
            <w:u w:val="single"/>
          </w:rPr>
          <w:t>Matthieu 13.11</w:t>
        </w:r>
      </w:hyperlink>
      <w:r>
        <w:t xml:space="preserve">, </w:t>
      </w:r>
      <w:hyperlink r:id="rId10500">
        <w:r>
          <w:rPr>
            <w:color w:val="0000EE"/>
            <w:u w:val="single"/>
          </w:rPr>
          <w:t>Marc 4.11</w:t>
        </w:r>
      </w:hyperlink>
      <w:r>
        <w:t xml:space="preserve"> et </w:t>
      </w:r>
      <w:hyperlink r:id="rId10501">
        <w:r>
          <w:rPr>
            <w:color w:val="0000EE"/>
            <w:u w:val="single"/>
          </w:rPr>
          <w:t>Luc 8.10</w:t>
        </w:r>
      </w:hyperlink>
      <w:r>
        <w:t xml:space="preserve"> font partie de paraboles sur le royaume de Dieu. Le royaume est lui-même directement lié à comment Dieu accomplira pleinement son œuvre à travers et à la fin de l'Histoire. Ceci est exprimé par des métaphores comme celle de la moisson, qui symbolise le jugement futur. Le mot « mystère » convient particulièrement bien à ce qui est dit. Dans ces passages, Jésus explique pourquoi il utilise des paraboles. Elles illustrent la vérité de façon saisissante, mais elles la cachent à ceux qui ne veulent pas la recevoir. Le mot « mystère » (au pluriel dans Matthieu et dans Luc) décrit donc le sens caché de l'enseignement de Jésus sur le royaume. Ceux qui accueillent son message en connaîtront le sens. Mais ceux qui le rejettent non seulement ne le comprendront pas, mais apparemment perdront aussi l'occasion d'entendre et de répondre au message du salut (</w:t>
      </w:r>
      <w:hyperlink r:id="rId10515">
        <w:r>
          <w:rPr>
            <w:color w:val="0000EE"/>
            <w:u w:val="single"/>
          </w:rPr>
          <w:t>Mt 13.12–15</w:t>
        </w:r>
      </w:hyperlink>
      <w:r>
        <w:t>).</w:t>
      </w:r>
    </w:p>
    <w:p>
      <w:r/>
      <w:r>
        <w:t>Ces paraboles posent aussi indirectement la question : pourquoi le mal continue-t-il dans le monde maintenant que le Messie est venu ? Dans l'une de ces paraboles, les serviteurs veulent arracher les mauvaises herbes, qui symbolisent le mal ou ceux qui font le mal, mais on leur dit de les laisser pousser jusqu'au moment de la moisson, c'est-à-dire jusqu'au jugement (</w:t>
      </w:r>
      <w:hyperlink r:id="rId10516">
        <w:r>
          <w:rPr>
            <w:color w:val="0000EE"/>
            <w:u w:val="single"/>
          </w:rPr>
          <w:t>Mt 13.24–30</w:t>
        </w:r>
      </w:hyperlink>
      <w:r>
        <w:t>). La persistance du mal dans le monde et comment Dieu finira par régler ce problème est l'un des « mystères ».</w:t>
      </w:r>
    </w:p>
    <w:p>
      <w:r/>
      <w:hyperlink r:id="rId4787">
        <w:r>
          <w:rPr>
            <w:color w:val="0000EE"/>
            <w:u w:val="single"/>
          </w:rPr>
          <w:t>Romains 11.25</w:t>
        </w:r>
      </w:hyperlink>
      <w:r>
        <w:t xml:space="preserve"> fait partie d'une assez longue section de l'épître. Le peuple d'Israël et son avenir sont le sujet de cette section (chap. </w:t>
      </w:r>
      <w:hyperlink r:id="rId8951">
        <w:r>
          <w:rPr>
            <w:color w:val="0000EE"/>
            <w:u w:val="single"/>
          </w:rPr>
          <w:t>9–11</w:t>
        </w:r>
      </w:hyperlink>
      <w:r>
        <w:t>). Une fois de plus, la question examine un problème présent et comment il sera résolu dans le futur. Ici, c'est le problème de l'incrédulité d'Israël. Son endurcissement au temps présent est appelé un « mystère » (</w:t>
      </w:r>
      <w:hyperlink r:id="rId4787">
        <w:r>
          <w:rPr>
            <w:color w:val="0000EE"/>
            <w:u w:val="single"/>
          </w:rPr>
          <w:t>Rm 11.25</w:t>
        </w:r>
      </w:hyperlink>
      <w:r>
        <w:t xml:space="preserve">). Cependant, les desseins de Dieu s'accompliront tout autant « et ainsi tout Israël sera sauvé » (v. </w:t>
      </w:r>
      <w:hyperlink r:id="rId3685">
        <w:r>
          <w:rPr>
            <w:color w:val="0000EE"/>
            <w:u w:val="single"/>
          </w:rPr>
          <w:t>26</w:t>
        </w:r>
      </w:hyperlink>
      <w:r>
        <w:t>). Cet accent sur les desseins de Dieu est étroitement lié au concept du « mystère » et est un élément fondamental au passage entier.</w:t>
      </w:r>
    </w:p>
    <w:p>
      <w:r/>
      <w:hyperlink r:id="rId10502">
        <w:r>
          <w:rPr>
            <w:color w:val="0000EE"/>
            <w:u w:val="single"/>
          </w:rPr>
          <w:t>Romains 16.25</w:t>
        </w:r>
      </w:hyperlink>
      <w:r>
        <w:t xml:space="preserve"> ne pose pas de question aussi spécifique. Ce passage lie la « révélation du mystère caché pendant des siècles » avec l'« évangile et la prédication de Jésus-Christ » de Paul. Ici, le mot désigne particulièrement l'importance de la mort du Christ.</w:t>
      </w:r>
    </w:p>
    <w:p>
      <w:r/>
      <w:r>
        <w:t xml:space="preserve">Il est question de la sagesse « </w:t>
      </w:r>
      <w:r>
        <w:t xml:space="preserve">mystérieuse et cachée </w:t>
      </w:r>
      <w:r>
        <w:t xml:space="preserve">» de Dieu dans </w:t>
      </w:r>
      <w:hyperlink r:id="rId10503">
        <w:r>
          <w:rPr>
            <w:color w:val="0000EE"/>
            <w:u w:val="single"/>
          </w:rPr>
          <w:t>1 Corinthiens 2.7</w:t>
        </w:r>
      </w:hyperlink>
      <w:r>
        <w:t>. Le contexte est le message de la croix que Paul prêche. Ce message est une folie pour ceux qui se considèrent sages mais sont perdus. Mais c'est la « folie » de ce qui est prêché qui amène le salut aux croyants (</w:t>
      </w:r>
      <w:hyperlink r:id="rId10517">
        <w:r>
          <w:rPr>
            <w:color w:val="0000EE"/>
            <w:u w:val="single"/>
          </w:rPr>
          <w:t>1.18–25</w:t>
        </w:r>
      </w:hyperlink>
      <w:r>
        <w:t>). Paul ne veut pas proclamer la « sagesse » du monde, mais plutôt « la sagesse de Dieu » à ceux qui ont atteint la maturité spirituelle (</w:t>
      </w:r>
      <w:hyperlink r:id="rId10518">
        <w:r>
          <w:rPr>
            <w:color w:val="0000EE"/>
            <w:u w:val="single"/>
          </w:rPr>
          <w:t>2.6</w:t>
        </w:r>
      </w:hyperlink>
      <w:r>
        <w:t xml:space="preserve">). À ceux-ci, il communique la « sagesse cachée » (v. </w:t>
      </w:r>
      <w:hyperlink r:id="rId10503">
        <w:r>
          <w:rPr>
            <w:color w:val="0000EE"/>
            <w:u w:val="single"/>
          </w:rPr>
          <w:t>7</w:t>
        </w:r>
      </w:hyperlink>
      <w:r>
        <w:t xml:space="preserve">, Darby). Ce passage lie clairement le concept fondamental de « mystère » en tant que plan de Dieu avec la mort du Christ en tant que moyen de salut. Ce passage lie aussi le mystère au déroulement de l'Histoire (« les dirigeants de ce siècle ») et des desseins de Dieu depuis l'époque de l'Ancien Testament jusqu'à un futur qui est encore à venir. Le verset </w:t>
      </w:r>
      <w:hyperlink r:id="rId10519">
        <w:r>
          <w:rPr>
            <w:color w:val="0000EE"/>
            <w:u w:val="single"/>
          </w:rPr>
          <w:t>10</w:t>
        </w:r>
      </w:hyperlink>
      <w:r>
        <w:t xml:space="preserve"> souligne le fait que Dieu nous a effectivement révélé ces mystères.</w:t>
      </w:r>
    </w:p>
    <w:p>
      <w:r/>
      <w:r>
        <w:t xml:space="preserve">Dans </w:t>
      </w:r>
      <w:hyperlink r:id="rId10504">
        <w:r>
          <w:rPr>
            <w:color w:val="0000EE"/>
            <w:u w:val="single"/>
          </w:rPr>
          <w:t>1 Corinthiens 4.1</w:t>
        </w:r>
      </w:hyperlink>
      <w:r>
        <w:t>, le contexte est aussi celui du contraste entre la sagesse de Dieu et celle du monde (</w:t>
      </w:r>
      <w:hyperlink r:id="rId10520">
        <w:r>
          <w:rPr>
            <w:color w:val="0000EE"/>
            <w:u w:val="single"/>
          </w:rPr>
          <w:t>3.18–23</w:t>
        </w:r>
      </w:hyperlink>
      <w:r>
        <w:t xml:space="preserve">). Paul mentionne non seulement les choses secrètes ou mystères, mais introduit également l'idée d'en être dispensateur. Il a reçu la mission de révéler le mystère de Dieu et doit être fidèle dans ce ministère de proclamation. Ce thème se retrouve dans </w:t>
      </w:r>
      <w:hyperlink r:id="rId4781">
        <w:r>
          <w:rPr>
            <w:color w:val="0000EE"/>
            <w:u w:val="single"/>
          </w:rPr>
          <w:t>Éphésiens 3.2–6</w:t>
        </w:r>
      </w:hyperlink>
      <w:r>
        <w:t>.</w:t>
      </w:r>
    </w:p>
    <w:p>
      <w:r/>
      <w:r>
        <w:t xml:space="preserve">Paul revient sur le sujet de la relation entre le mystère et la fin des temps dans </w:t>
      </w:r>
      <w:hyperlink r:id="rId10505">
        <w:r>
          <w:rPr>
            <w:color w:val="0000EE"/>
            <w:u w:val="single"/>
          </w:rPr>
          <w:t>1 Corinthiens 15.51</w:t>
        </w:r>
      </w:hyperlink>
      <w:r>
        <w:t>. Un passage précédent (</w:t>
      </w:r>
      <w:hyperlink r:id="rId10521">
        <w:r>
          <w:rPr>
            <w:color w:val="0000EE"/>
            <w:u w:val="single"/>
          </w:rPr>
          <w:t>2.9–16</w:t>
        </w:r>
      </w:hyperlink>
      <w:r>
        <w:t>) montre que la connaissance humaine ne peut en aucun cas anticiper ce que Dieu a prévu de faire, mais que Dieu a révélé ce mystère aux croyants. Un aspect important du mystère révélé est comment les fidèles seront emmenés en présence de Dieu : « Voici, je vous dis un mystère : nous ne mourrons pas tous, mais nous serons tous changés, en un instant, en un clin d'œil, à la dernière trompette » (</w:t>
      </w:r>
      <w:hyperlink r:id="rId10522">
        <w:r>
          <w:rPr>
            <w:color w:val="0000EE"/>
            <w:u w:val="single"/>
          </w:rPr>
          <w:t>15.51–52</w:t>
        </w:r>
      </w:hyperlink>
      <w:r>
        <w:t xml:space="preserve">). Les autres références au mystère dans 1 Corinthiens apparaissent dans le contexte général des chapitres </w:t>
      </w:r>
      <w:hyperlink r:id="rId3268">
        <w:r>
          <w:rPr>
            <w:color w:val="0000EE"/>
            <w:u w:val="single"/>
          </w:rPr>
          <w:t>12–14</w:t>
        </w:r>
      </w:hyperlink>
      <w:r>
        <w:t xml:space="preserve">. Ces chapitres traitent des dons spirituels. Comme il est question de dons qui permettent de recevoir des révélations divines, l'utilisation du terme « mystères » dans </w:t>
      </w:r>
      <w:hyperlink r:id="rId8571">
        <w:r>
          <w:rPr>
            <w:color w:val="0000EE"/>
            <w:u w:val="single"/>
          </w:rPr>
          <w:t>13.2</w:t>
        </w:r>
      </w:hyperlink>
      <w:r>
        <w:t xml:space="preserve"> et </w:t>
      </w:r>
      <w:hyperlink r:id="rId10523">
        <w:r>
          <w:rPr>
            <w:color w:val="0000EE"/>
            <w:u w:val="single"/>
          </w:rPr>
          <w:t>14.2</w:t>
        </w:r>
      </w:hyperlink>
      <w:r>
        <w:t xml:space="preserve"> est intéressant.</w:t>
      </w:r>
    </w:p>
    <w:p>
      <w:r/>
      <w:r>
        <w:t>L'épître aux Éphésiens commence avec une série de déclarations à propos du dessein de Dieu pour l'Histoire, qui doit culminer par le règne universel du Christ (</w:t>
      </w:r>
      <w:hyperlink r:id="rId4777">
        <w:r>
          <w:rPr>
            <w:color w:val="0000EE"/>
            <w:u w:val="single"/>
          </w:rPr>
          <w:t>Ep 1.10</w:t>
        </w:r>
      </w:hyperlink>
      <w:r>
        <w:t xml:space="preserve">). Ces déclarations incluent des termes comme : « élus », « prédestinés », « volonté », « bon plaisir », « mettre à exécution » et « conseil ». Cela correspond très clairement aux idées habituellement liées au mot « mystère » dans les écrits juifs anciens. Ces idées aident à comprendre ce que Paul veut dire par ce résumé : « nous faisant connaître le mystère de sa volonté » (v. </w:t>
      </w:r>
      <w:hyperlink r:id="rId5740">
        <w:r>
          <w:rPr>
            <w:color w:val="0000EE"/>
            <w:u w:val="single"/>
          </w:rPr>
          <w:t>9).</w:t>
        </w:r>
      </w:hyperlink>
    </w:p>
    <w:p>
      <w:r/>
      <w:r>
        <w:t>Une partie du dessein de Dieu est de former un corps de croyants, qui, par la croix, sont réconciliés avec lui et entre eux (</w:t>
      </w:r>
      <w:hyperlink r:id="rId10524">
        <w:r>
          <w:rPr>
            <w:color w:val="0000EE"/>
            <w:u w:val="single"/>
          </w:rPr>
          <w:t>Ep 2.14–18</w:t>
        </w:r>
      </w:hyperlink>
      <w:r>
        <w:t>). Les croyants juifs et païens sont ainsi rendus membres d'un seul corps. Ils bénéficient tous de la promesse en Christ Jésus. Paul appelle cette nouvelle phase du plan révélé de Dieu un « mystère » (</w:t>
      </w:r>
      <w:hyperlink r:id="rId8954">
        <w:r>
          <w:rPr>
            <w:color w:val="0000EE"/>
            <w:u w:val="single"/>
          </w:rPr>
          <w:t>3.6</w:t>
        </w:r>
      </w:hyperlink>
      <w:r>
        <w:t>). Ici encore, la responsabilité a été confiée à Paul de transmettre fidèlement la vérité de ce « mystère » (</w:t>
      </w:r>
      <w:hyperlink r:id="rId10525">
        <w:r>
          <w:rPr>
            <w:color w:val="0000EE"/>
            <w:u w:val="single"/>
          </w:rPr>
          <w:t>3.2–5</w:t>
        </w:r>
      </w:hyperlink>
      <w:r>
        <w:t xml:space="preserve"> ; voir </w:t>
      </w:r>
      <w:hyperlink r:id="rId10526">
        <w:r>
          <w:rPr>
            <w:color w:val="0000EE"/>
            <w:u w:val="single"/>
          </w:rPr>
          <w:t>1Co 4.1–5</w:t>
        </w:r>
      </w:hyperlink>
      <w:r>
        <w:t>).</w:t>
      </w:r>
    </w:p>
    <w:p>
      <w:r/>
      <w:r>
        <w:t>Dans Colossiens, Paul dit à nouveau qu'il se sent responsable du « mystère » maintenant identifié à la « parole de Dieu » (</w:t>
      </w:r>
      <w:hyperlink r:id="rId10527">
        <w:r>
          <w:rPr>
            <w:color w:val="0000EE"/>
            <w:u w:val="single"/>
          </w:rPr>
          <w:t>Col 1.25–29</w:t>
        </w:r>
      </w:hyperlink>
      <w:r>
        <w:t xml:space="preserve">). Une fois de plus, il est question du mystère dans le contexte de l'Histoire, un mystère qui ne peut être connu que par révélation : « le mystère caché de tout temps et dans tous les âges, mais révélé maintenant à ses saints » (v. </w:t>
      </w:r>
      <w:hyperlink r:id="rId10528">
        <w:r>
          <w:rPr>
            <w:color w:val="0000EE"/>
            <w:u w:val="single"/>
          </w:rPr>
          <w:t>26</w:t>
        </w:r>
      </w:hyperlink>
      <w:r>
        <w:t xml:space="preserve">). Comme dans Éphésiens, c'est à travers l'Église que se réalise le mystère de Dieu, « Christ en vous, l'espérance de la gloire » (v. </w:t>
      </w:r>
      <w:hyperlink r:id="rId8636">
        <w:r>
          <w:rPr>
            <w:color w:val="0000EE"/>
            <w:u w:val="single"/>
          </w:rPr>
          <w:t>27</w:t>
        </w:r>
      </w:hyperlink>
      <w:r>
        <w:t xml:space="preserve">). Le Christ est proclamé en toute sagesse, afin que les croyants puissent devenir parfaits en lui (v. </w:t>
      </w:r>
      <w:hyperlink r:id="rId10529">
        <w:r>
          <w:rPr>
            <w:color w:val="0000EE"/>
            <w:u w:val="single"/>
          </w:rPr>
          <w:t>28</w:t>
        </w:r>
      </w:hyperlink>
      <w:r>
        <w:t>). Paul demande aux croyants de Colosses de prier pour lui qui prêche ce « mystère » (</w:t>
      </w:r>
      <w:hyperlink r:id="rId10530">
        <w:r>
          <w:rPr>
            <w:color w:val="0000EE"/>
            <w:u w:val="single"/>
          </w:rPr>
          <w:t>4.3</w:t>
        </w:r>
      </w:hyperlink>
      <w:r>
        <w:t>).</w:t>
      </w:r>
    </w:p>
    <w:p>
      <w:r/>
      <w:r>
        <w:t xml:space="preserve">Dans </w:t>
      </w:r>
      <w:hyperlink r:id="rId1338">
        <w:r>
          <w:rPr>
            <w:color w:val="0000EE"/>
            <w:u w:val="single"/>
          </w:rPr>
          <w:t>1 Timothée 3.16</w:t>
        </w:r>
      </w:hyperlink>
      <w:r>
        <w:t xml:space="preserve"> le « mystère de la piété » inclut clairement les éléments de base habituellement associés au concept de « mystère ». Ces éléments incluent sa manifestation dans le monde et la victoire ultime. Cependant, ce grand plan de Dieu n'avance pas sans opposition. Paul connecte à nouveau un mystère avec l'arrivée de la fin des temps. Cette fois, c'est un sombre mystère, qu'il appelle « le mystère de l'iniquité » (</w:t>
      </w:r>
      <w:hyperlink r:id="rId10509">
        <w:r>
          <w:rPr>
            <w:color w:val="0000EE"/>
            <w:u w:val="single"/>
          </w:rPr>
          <w:t>2Th 2.7</w:t>
        </w:r>
      </w:hyperlink>
      <w:r>
        <w:t>). Une force maléfique similaire, « Babylone la grande, la mère des impudiques », est également présentée dans le livre de l'Apocalypse comme « mystère » (</w:t>
      </w:r>
      <w:hyperlink r:id="rId10531">
        <w:r>
          <w:rPr>
            <w:color w:val="0000EE"/>
            <w:u w:val="single"/>
          </w:rPr>
          <w:t>Ap 17.5</w:t>
        </w:r>
      </w:hyperlink>
      <w:r>
        <w:t>). Le sens est peut-être que les actions de forces opposées à Dieu sont également impossibles à comprendre pour les êtres humains. Cependant la vérité et la puissance de Dieu triompheront de celles-ci, à travers la mise en œuvre de son propre mystère, son sage conseil, jusqu'à ce qu'il soit entièrement réalisé.</w:t>
      </w:r>
    </w:p>
    <w:p>
      <w:r/>
      <w:hyperlink r:id="rId4788">
        <w:r>
          <w:rPr>
            <w:color w:val="0000EE"/>
            <w:u w:val="single"/>
          </w:rPr>
          <w:t>Apocalypse 10.6–7</w:t>
        </w:r>
      </w:hyperlink>
      <w:r>
        <w:t xml:space="preserve"> proclame cet accomplissement. Les âges d'attente dans la perplexité, à supporter le mal, sont terminés. L'ange annonce « qu’il n’y aurait plus de délai » (Darby). Le moment est enfin venu pour l'accomplissement du mystère de Dieu. Il est important de souligner le caractère actif du mystère dans ce contexte. Ce n'est pas seulement une vérité fixe à déclarer, mais quelque chose qui s'accomplit. Cette culmination de l'Histoire s'accorde avec ce que Dieu a révélé précédemment « à ses serviteurs, les prophètes ». Il faut en conclure que le mystère est le conseil sage de Dieu, qui guide l'Histoire et qui se révèlera à son terme. Ce mystère exprime la réponse de Dieu au problème du mal et à l'opposition vaine des puissances du mal. Ce mystère proclame tout ce que signifie l'événement central de l'Histoire, c'est-à-dire la mort du Christ. Ce mystère révèle les effets de la résurrection par la transformation ultime de tous les croyants à la venue du Christ.</w:t>
      </w:r>
      <w:r/>
      <w:r/>
    </w:p>
    <w:p>
      <w:r/>
    </w:p>
    <w:p>
      <w:pPr>
        <w:pStyle w:val="Heading2"/>
      </w:pPr>
      <w:r>
        <w:t>Mythes de la création</w:t>
      </w:r>
      <w:r/>
    </w:p>
    <w:p>
      <w:r/>
      <w:r>
        <w:t>Récits religieux expliquant l'origine et l'ordre de l'univers. Certaines parties des mythes de création mésopotamiens ressemblent de près aux récits bibliques de la Création et des temps anciens.</w:t>
      </w:r>
    </w:p>
    <w:p>
      <w:r/>
      <w:r>
        <w:t>Les récits expliquant la création étaient connus dans tout le Proche-Orient Ancien. Beaucoup étaient basés sur des histoires originaires de Sumer, l'une des premières civilisations mésopotamiennes. Bien qu'ils soient maintenant généralement considérés comme des explications fantaisistes et même divertissantes sur la raison derrière l'ordre des choses, les mythes semblent avoir rempli une fonction sociale importante. Leur récitation lors des festivals religieux était censée avoir le pouvoir magique de revitaliser la nature et la société. Les récits de création assuraient aux fidèles que l'état initial d'ordre créé par les dieux continuerait à surmonter les forces du chaos qui menaçaient de maladie, de ruine, de stérilité et de mort.</w:t>
      </w:r>
    </w:p>
    <w:p>
      <w:r/>
      <w:r>
        <w:t>Survol</w:t>
      </w:r>
    </w:p>
    <w:p>
      <w:r/>
      <w:r>
        <w:t xml:space="preserve">• </w:t>
      </w:r>
      <w:r>
        <w:rPr>
          <w:b/>
          <w:u w:val="single"/>
        </w:rPr>
        <w:t>Mythes de la création sumériens</w:t>
      </w:r>
    </w:p>
    <w:p>
      <w:r/>
      <w:r>
        <w:t xml:space="preserve">• </w:t>
      </w:r>
      <w:r>
        <w:rPr>
          <w:b/>
          <w:u w:val="single"/>
        </w:rPr>
        <w:t>Mythes de la création akkadiens</w:t>
      </w:r>
    </w:p>
    <w:p>
      <w:r/>
      <w:r>
        <w:t xml:space="preserve">• </w:t>
      </w:r>
      <w:r>
        <w:rPr>
          <w:b/>
          <w:u w:val="single"/>
        </w:rPr>
        <w:t>Mythes de la création égyptiens</w:t>
      </w:r>
    </w:p>
    <w:p>
      <w:r/>
      <w:r>
        <w:t xml:space="preserve">• </w:t>
      </w:r>
      <w:r>
        <w:rPr>
          <w:b/>
          <w:u w:val="single"/>
        </w:rPr>
        <w:t>Mythes de la création et la Genèse</w:t>
      </w:r>
    </w:p>
    <w:p>
      <w:pPr>
        <w:pStyle w:val="Heading3"/>
      </w:pPr>
      <w:r>
        <w:t>Mythes de la création sumériens</w:t>
      </w:r>
    </w:p>
    <w:p>
      <w:r/>
      <w:r>
        <w:t>Les Sumériens ont prospéré dans le sud de la Mésopotamie entre 4 000 et 3 000 av. J.‑C. Ils n'étaient pas sémitiques, mais leur cosmologie a influencé les Sémites (divers peuples habitant la Palestine, la Phénicie, l'Assyrie et l'Arabie), qui ont fini par adopter les principales divinités sumériennes. Environ cinq mille tablettes et fragments inscrits avec un assortiment d'œuvres littéraires sumériennes ont été découverts. Bien que la plupart de ces tablettes aient été inscrites au début de la période post-sumérienne (vers 1 750 av. J.‑C.), les compositions appartiennent au moins à la seconde moitié du troisième millénaire (2 500–2 000) av. J.‑C. Jusqu'à présent, aucun récit sumérien traitant directement de l'origine de l'univers n'a été découvert. Ce que l'on sait de leurs notions de la création a été en partie tiré de brefs passages disséminés dans leur littérature, en particulier les introductions aux poèmes, dans lesquelles les scribes sumériens écrivaient souvent plusieurs lignes traitant de la création. De plus, neuf mythes ont survécu concernant les dieux qui ont organisé l'univers, créé les êtres humains et établi la civilisation.</w:t>
      </w:r>
    </w:p>
    <w:p>
      <w:r/>
      <w:r>
        <w:t>La religion sumérienne, comme celle de tous les peuples du Proche-Orient Ancien (à l'exception des Israélites) était un polythéisme naturaliste : ils adoraient comme des divinités les forces naturelles régissant la fertilité (pluie, vent, nuages, soleil, lune, rivières, mers, etc.). Par conséquent, on comprenait que l'origine de l'univers (cosmogonie) était liée aux origines des dieux (théogonie).</w:t>
      </w:r>
    </w:p>
    <w:p>
      <w:pPr>
        <w:pStyle w:val="Heading4"/>
      </w:pPr>
      <w:r>
        <w:t>Ciel et Terre</w:t>
      </w:r>
    </w:p>
    <w:p>
      <w:r/>
      <w:r>
        <w:t>Dans une tablette répertoriant les dieux sumériens, la déesse de la mer Nammu est décrite comme « la mère qui a donné naissance au ciel et à la terre ». Dans un autre texte, elle est décrite comme « la mère, l'ancêtre, qui a donné naissance à tous les dieux ». Il est évident que les Sumériens considéraient la mer primordiale comme la cause première et le moteur de toutes choses, croyant que « le ciel et la terre » avaient été engendrés à partir d'une manière issue de cette mer. De plus, selon eux, les principaux composants de l'univers étaient le ciel et la terre ; leur terme pour parler de l'univers était un mot composé signifiant « ciel-terre » (exactement comme dans le verset d'ouverture du livre de la Genèse, où « ciel et terre » désignent l'univers entier). Avant qu'Enlil, le dieu de l'air, ne les sépare, le ciel-terre était conçu comme une montagne dont la base était la terre et dont le sommet était le ciel.</w:t>
      </w:r>
    </w:p>
    <w:p>
      <w:r/>
      <w:r>
        <w:t>Enlil, appelé « le roi du ciel et de la terre » ou « le roi de toutes les terres », était le plus important des dieux sumériens. Ses actes de création, qui consistaient en l'organisation de la terre, est célébrée dans « La Création de la pioche », qui décrit la fabrication et la dédicace de cet instrument agricole précieux. En partie, il est écrit :</w:t>
      </w:r>
    </w:p>
    <w:p>
      <w:r/>
      <w:r>
        <w:t>Enlil, qui fait germer la semence de la terre,</w:t>
        <w:br/>
      </w:r>
      <w:r>
        <w:t>A pris soin d'éloigner le ciel de la terre,</w:t>
        <w:br/>
      </w:r>
      <w:r>
        <w:t>A pris soin d’éloigner la Terre du ciel.</w:t>
      </w:r>
    </w:p>
    <w:p>
      <w:r/>
      <w:r>
        <w:t>... Il fit apparaître la pioche, le « jour » se leva.</w:t>
        <w:br/>
      </w:r>
      <w:r>
        <w:t>Il a introduit le travail et décrété le destin.</w:t>
        <w:br/>
      </w:r>
      <w:r>
        <w:t>Sur la pioche et le panier, il dirige le « pouvoir ».</w:t>
      </w:r>
    </w:p>
    <w:p>
      <w:r/>
      <w:r>
        <w:t>Ainsi, Enlil a séparé le ciel de la terre, a fait germer la semence et a façonné la pioche pour l'agriculture.</w:t>
      </w:r>
    </w:p>
    <w:p>
      <w:pPr>
        <w:pStyle w:val="Heading4"/>
      </w:pPr>
      <w:r>
        <w:t>La Civilisation</w:t>
      </w:r>
    </w:p>
    <w:p>
      <w:r/>
      <w:r>
        <w:t>Le dieu de l'eau, Enki, était également le dieu de l'abîme et de la sagesse. Bien qu'Enlil ait élaboré les « plans » de l'univers, c'est Enki qui a réalisé la plupart des travaux pour les concrétiser. Ses efforts allaient au-delà de la création du monde naturel, initiant les aspects les plus importants de la culture et de la civilisation. Dans « Enki et l'ordre du monde », le dieu de l'eau se rend sur les rives du Tigre et de l'Euphrate, les deux fleuves qui irriguent la vallée sablonneuse de la Mésopotamie, et les remplit de pluies et de vents vivifiants. Ensuite, préparant la terre pour la culture, il « transforme le sol vallonné en champs, [...] dirige la charrue et [...] le joug, [...] ouvre les sillons sacrés, et fait pousser le grain dans le champ cultivé. » Ensuite, la divinité pose les fondations des maisons, des écuries et des bergeries, et les érige. Il fixe les « frontières » et installe des pierres de délimitation. Enfin, il invente le tissage, appelé « la tâche de la femme ». Ayant organisé la terre, Enki confie chaque lieu et chaque élément à une divinité spéciale.</w:t>
      </w:r>
    </w:p>
    <w:p>
      <w:pPr>
        <w:pStyle w:val="Heading4"/>
      </w:pPr>
      <w:r>
        <w:t>Éden sumérien</w:t>
      </w:r>
    </w:p>
    <w:p>
      <w:r/>
      <w:r>
        <w:t>Un autre mythe, « Enki et Ninhursag, Un Mythe du paradis », présente une ressemblance lointaine avec l'histoire biblique du jardin d'Éden. Le mythe semble se dérouler avant la création des animaux ou des humains à Dilmun, une terre à l'orient où résident les dieux. Elle est décrite comme « pure », « propre », « très lumineuse », et est probablement dénuée de maladie et de mort. Après avoir rempli cette terre de champs fertiles, Enki imprègne successivement trois déesses : Ninhursag, « la mère de la terre » ; Nimmu, sa fille issue de cette union ; et Ninkurra, sa petite-fille par Nimmu.</w:t>
      </w:r>
    </w:p>
    <w:p>
      <w:r/>
      <w:r>
        <w:t>Ninhursag semble utiliser la semence d'Enki pour créer huit nouvelles plantes. Ce sont, semble-t-il, des « fruits interdits », car lorsqu'Enki les mange, Ninhursag le maudit et quitte le jardin, ajoutant : « Jusqu'à ce qu'il soit mort, je ne le regarderai pas avec l'œil de la vie. » Sous la malédiction, le jardin dépérit et les dieux pleurent. Enlil, le roi des dieux, semble incapable de faire face à la situation. Enki est mourant. La renarde, déjà présente à Dilmun de toute évidence, sauve la situation en attirant Ninhursag de nouveau vers Dilmun, où elle guérit Enki et ravive le jardin.</w:t>
      </w:r>
    </w:p>
    <w:p>
      <w:pPr>
        <w:pStyle w:val="Heading4"/>
      </w:pPr>
      <w:r>
        <w:t>La Création des êtres humains</w:t>
      </w:r>
    </w:p>
    <w:p>
      <w:r/>
      <w:r>
        <w:t>Considérée comme la mère de tous les dieux, Ninhursag personnifie peut-être la Terre. Dans « La Création de l'homme », elle joue un rôle important aux côtés d'Enki.</w:t>
      </w:r>
    </w:p>
    <w:p>
      <w:r/>
      <w:r>
        <w:t>Étant venus à l'existence avant qu'il y ait de la viande ou du pain à manger, les dieux font face à un dilemme :</w:t>
      </w:r>
    </w:p>
    <w:p>
      <w:r/>
      <w:r>
        <w:t>Ils ne connaissaient pas la consommation de pain.</w:t>
        <w:br/>
      </w:r>
      <w:r>
        <w:t>Ne connaissait pas le port des vêtements,</w:t>
        <w:br/>
      </w:r>
      <w:r>
        <w:t>Mangeaient des plantes avec leur bouche comme des moutons,</w:t>
        <w:br/>
      </w:r>
      <w:r>
        <w:t>Buvaient de l'eau du fossé.</w:t>
      </w:r>
    </w:p>
    <w:p>
      <w:r/>
      <w:r>
        <w:t>Pour remédier à cette situation, Enlil et Enki façonnent une divinité du bétail et une déesse du grain. Le bétail et le grain abondent soudainement, mais les dieux sont incapables de les utiliser. Il manque encore quelque chose pour s'occuper des animaux et transformer le grain en pain. Les dieux se plaignent à Enki et lui ordonnent de créer des serviteurs pour répondre à leurs besoins.</w:t>
      </w:r>
    </w:p>
    <w:p>
      <w:r/>
      <w:r>
        <w:t>Pour leur venir en aide, Enki prend « l'argile qui est au-dessus de l'abîme » et, avec Ninhursag, supervise sa transformation en êtres humains qui sont mis au service des dieux, notamment pour leur faire du pain. Lors d'un festin ultérieur, Enki et Ninhursag se saoulent et créent maladroitement plusieurs types humains anormaux, y compris la femme stérile et l'eunuque. Mais, qu'ils soient entiers ou imparfaits, l'homme et la femme sont l'argile de l'abîme et sont liés au chaos dans leur nature même.</w:t>
      </w:r>
    </w:p>
    <w:p>
      <w:pPr>
        <w:pStyle w:val="Heading3"/>
      </w:pPr>
      <w:r>
        <w:t>Mythes de la création akkadiens</w:t>
      </w:r>
    </w:p>
    <w:p>
      <w:r/>
      <w:r>
        <w:t>Les cultures babylonienne et assyrienne, toutes deux sémitiques, partageaient la langue akkadienne, ce qui les distinguait des Sumériens, qui étaient non sémitiques et linguistiquement différents. De loin, le mythe de la création le plus connu du Proche-Orient Ancien est l'épopée babylonienne de la création, connue sous le nom d'</w:t>
      </w:r>
      <w:r>
        <w:rPr>
          <w:i/>
        </w:rPr>
        <w:t>Enuma Elish</w:t>
      </w:r>
      <w:r>
        <w:t xml:space="preserve"> (d'après les premiers mots du texte). Ce mythe traite explicitement de la création de l'univers et contient certains parallèles avec le récit biblique. Une version assyrienne ultérieure du mythe a judicieusement substitué la divinité nationale Assur à la divinité babylonienne Marduk.</w:t>
      </w:r>
    </w:p>
    <w:p>
      <w:r/>
      <w:r>
        <w:t xml:space="preserve">Dans </w:t>
      </w:r>
      <w:r>
        <w:rPr>
          <w:i/>
        </w:rPr>
        <w:t>Enuma Elish</w:t>
      </w:r>
      <w:r>
        <w:t>, la race humaine est créée à partir du sang de Kingu, chef d'une horde rebelle envers le dieu créateur Marduk. Par conséquent, dans le mythe babylonien, l'homme et la femme sont à nouveau liés au chaos. Dans un autre mythe conservé dans un ancien fragment babylonien, l'humanité est créée à partir du sang d'un dieu tué :</w:t>
      </w:r>
    </w:p>
    <w:p>
      <w:r/>
      <w:r>
        <w:t>Que l'homme apparaisse !</w:t>
        <w:br/>
      </w:r>
      <w:r>
        <w:t>Celui qui servira tous les dieux,</w:t>
        <w:br/>
      </w:r>
      <w:r>
        <w:t>Qu'il soit façonné d'argile,</w:t>
        <w:br/>
      </w:r>
      <w:r>
        <w:t>Animé de sang !</w:t>
      </w:r>
    </w:p>
    <w:p>
      <w:r/>
      <w:r>
        <w:t>Enki ouvrit la bouche,</w:t>
        <w:br/>
      </w:r>
      <w:r>
        <w:t>disant aux grands dieux : […]</w:t>
        <w:br/>
      </w:r>
      <w:r>
        <w:t>Qu'ils tuent un dieu.</w:t>
      </w:r>
    </w:p>
    <w:p>
      <w:r/>
      <w:r>
        <w:t>Avec sa chair et son sang [...]</w:t>
        <w:br/>
      </w:r>
      <w:r>
        <w:t>Que Ninhursag mélange de l'argile.</w:t>
      </w:r>
    </w:p>
    <w:p>
      <w:r/>
      <w:r>
        <w:t>Selon un autre mythe akkadien, les dieux ont créé l'homme comme un être pervers, lui présentant un discours biaisé, des mensonges et des contrevérités.</w:t>
      </w:r>
    </w:p>
    <w:p>
      <w:pPr>
        <w:pStyle w:val="Heading3"/>
      </w:pPr>
      <w:r>
        <w:t>Mythes de la création égyptiens</w:t>
      </w:r>
    </w:p>
    <w:p>
      <w:r/>
      <w:r>
        <w:t xml:space="preserve">Le mythe égyptien traditionnel de la création (trouvé, par exemple, dans le rituel de dédicace d'une pyramide royale ou dans le </w:t>
      </w:r>
      <w:r>
        <w:rPr>
          <w:i/>
        </w:rPr>
        <w:t>Livre des Morts</w:t>
      </w:r>
      <w:r>
        <w:t>) raconte qu'avant la création, il y avait un vide aqueux, accompagné de ténèbres, d'informité et d'invisibilité. Ce chaos aquatique portait le nom de Noun, « le grand dieu qui est venu à l'existence par lui-même [...], le Père des dieux ». Le vide se résorbe, laissant un monticule primordial de terre avec, dessus, le dieu créateur Atoum (« totalité »). Atoum fait naître le reste de l'univers et attribue des places et des fonctions à ses parties.</w:t>
      </w:r>
    </w:p>
    <w:p>
      <w:r/>
      <w:r>
        <w:t>Dans un détail similaire aux mythes mésopotamiens, le dieu de l'air Shu sépare le ciel et la terre en soulevant la déesse du ciel Nout du dieu de la terre Geb et en se plaçant entre eux.</w:t>
      </w:r>
    </w:p>
    <w:p>
      <w:r/>
      <w:r>
        <w:t>Le mythe de création égyptien le plus important est la soi-disant « Théologie memphite » (vers 2 700 av. J.‑C.), qui cherchait à déplacer la capitale égyptienne à Memphis en prétendant qu'elle était le site du monticule de création original. Plutôt que de décrire la création en termes purement physiques, ce mythe conçoit l'univers comme étant venu à l'existence par l'esprit (« cœur ») et la parole (« langue ») du dieu créateur. Selon ce mythe, une volonté intelligente contrôlait donc l'univers.</w:t>
      </w:r>
    </w:p>
    <w:p>
      <w:pPr>
        <w:pStyle w:val="Heading3"/>
      </w:pPr>
      <w:r>
        <w:t>Mythes de la création et la Genèse</w:t>
      </w:r>
    </w:p>
    <w:p>
      <w:r/>
      <w:r>
        <w:t>Le récit de la Création dans la Genèse diffère des mythes païens d'au moins deux manières. Premièrement, les récits diffèrent dans leur but. Les mythes païens servaient principalement à préserver la vie et la société par des récitations magiques. Bien que le récit biblique ait des implications pour la vie et la société, il sert principalement à enseigner la nature et le caractère de Dieu au peuple de son alliance ; par ailleurs le texte est dépourvu de toute prétention à un quelconque pouvoir occulte.</w:t>
      </w:r>
    </w:p>
    <w:p>
      <w:r/>
      <w:r>
        <w:t>Deuxièmement, les récits diffèrent par leur qualité. Le récit de la Création dans la Genèse présente une théologie simple, avec un minimum d'ornements. Raconté comme une histoire, il semble vrai même à une époque de découvertes scientifiques, où les gens sont habitués aux explorations mécanistes des phénomènes naturels. Une personne intelligente et bien informée peut accepter la Genèse comme une déclaration du sens et du but de la nature qui fait autorité, et fonder une vie de dévotion au Créateur divin sur ce récit. À l'inverse, les mythes de la création présentent une théologie dégradée et une moralité plus dégradée encore. Les mythes les plus anciens, qui peuvent séduire les praticiens modernes des « sciences occultes » pour diverses raisons, n'ont aucune crédibilité en tant que vérité religieuse. Les dieux des anciens mythes ont été enterrés dans les décombres de civilisations disparues depuis longtemps ou transmutés en dieux des religions polythéistes modernes ; le Dieu de la Bible, lui, perdure.</w:t>
      </w:r>
    </w:p>
    <w:p>
      <w:r/>
      <w:r>
        <w:t xml:space="preserve">La forme littéraire de </w:t>
      </w:r>
      <w:hyperlink r:id="rId10300">
        <w:r>
          <w:rPr>
            <w:color w:val="0000EE"/>
            <w:u w:val="single"/>
          </w:rPr>
          <w:t>Genèse 1–3</w:t>
        </w:r>
      </w:hyperlink>
      <w:r>
        <w:t xml:space="preserve"> montre qu'il ne s'agit pas de théologie ; elle n'est pas composée d'une série de déclarations analytiques sur Dieu. Cependant, elle présente une vision de Dieu distinctement différente des dieux des mythes païens. Dieu est présent « Au commencement ». Il est unique ; il crée avec une unité de but, sans être contesté. Les mythes païens, quant à eux, décrivent des origines impersonnelles et chaotiques. Le chaos évolue jusqu'à devenir cosmos, duquel les dieux émergent au gré du hasard. Le développement ultérieur du ciel et de la terre est perçu comme une lutte de pouvoir cosmique entre dieux rivaux. Le Créateur dans la Genèse se montre différent et plus grand que les cieux et la terre qu'il crée. Les dieux païens sont matériels et constitués de la même substance cosmique que le monde ; le monde est plus grand qu'eux.</w:t>
      </w:r>
    </w:p>
    <w:p>
      <w:r/>
      <w:r>
        <w:t>Les anthropologies bibliques et païennes diffèrent grandement. Dans la Genèse, l'homme et la femme sont des créatures distinctes du Créateur, bien qu'ils portent son « image ». Ils sont créés pour gouverner la terre en tant qu'agents de Dieu et se voient donc attribuer des responsabilités claires. Dans la mythologie païenne, les êtres humains proviennent de la même substance que les dieux, bien qu'ils soient plus étroitement liés au chaos qu'aux dieux qui les ont façonnés. Les dieux païens ont créé les humains comme esclaves pour s'occuper de leurs besoins matériels, traitant ainsi les humains soit avec mépris, soit avec indifférence. La vision du monde du Proche-Orient Ancien était non seulement pessimiste mais aussi fataliste. Les êtres humains, loin d'être responsables ou importants, se voyaient attribuer à la naissance un destin inexorable qu'ils ne pouvaient pas contrecarrer.</w:t>
      </w:r>
    </w:p>
    <w:p>
      <w:r/>
      <w:r>
        <w:t>La plupart des habitants du Proche-Orient Ancien espéraient au mieux mener une vie relativement prospère et stable avant leur fin inéluctable. Ils pensaient, pour cela, devoir manipuler leurs divinités par la récitation et la réinterprétation des anciens mythes. La Genèse, pour sa part, au sein de l'enseignement plus large de l'Ancien Testament, visait à établir une relation vivante, personnelle et d'alliance entre la communauté humaine et Dieu.</w:t>
      </w:r>
    </w:p>
    <w:p>
      <w:r/>
      <w:r>
        <w:rPr>
          <w:i/>
        </w:rPr>
        <w:t>Voir aussi</w:t>
      </w:r>
      <w:r>
        <w:t xml:space="preserve"> </w:t>
      </w:r>
      <w:r>
        <w:t>Création</w:t>
      </w:r>
      <w:r>
        <w:t>.</w:t>
      </w:r>
      <w:r/>
      <w:r/>
    </w:p>
    <w:p>
      <w:r/>
    </w:p>
    <w:p>
      <w:pPr>
        <w:pStyle w:val="Heading2"/>
      </w:pPr>
      <w:r>
        <w:t>Mytilène</w:t>
      </w:r>
      <w:r/>
    </w:p>
    <w:p>
      <w:r/>
      <w:r>
        <w:t>Mytilène est une ville principale située sur l'île de Lesbos, dans la mer Égée, près de la côte nord-ouest de l'Asie Mineure. C'était un port maritime doté de deux ports. À l'origine, elle a été construite sur une petite île séparée de Lesbos.</w:t>
      </w:r>
    </w:p>
    <w:p>
      <w:r/>
      <w:r>
        <w:t xml:space="preserve">À l'époque du Nouveau Testament, une chaussée surélevée traversait un étroit bras de mer, la reliant à l'île principale. </w:t>
      </w:r>
      <w:hyperlink r:id="rId10532">
        <w:r>
          <w:rPr>
            <w:color w:val="0000EE"/>
            <w:u w:val="single"/>
          </w:rPr>
          <w:t>Actes 20.14</w:t>
        </w:r>
      </w:hyperlink>
      <w:r>
        <w:t xml:space="preserve"> identifie Mytilène comme l'un des lieux où Paul et ses compagnons de voyage se sont arrêtés pour la nuit, alors qu'ils naviguaient vers Jérusalem.</w:t>
      </w:r>
      <w:r/>
      <w:r/>
    </w:p>
    <w:p>
      <w:r/>
    </w:p>
    <w:p>
      <w:pPr>
        <w:pStyle w:val="Heading2"/>
      </w:pPr>
      <w:r>
        <w:t>Naama (Personne)</w:t>
      </w:r>
      <w:r/>
    </w:p>
    <w:p>
      <w:pPr>
        <w:pStyle w:val="ListNumber"/>
        <w:spacing w:line="240" w:lineRule="auto"/>
        <w:ind w:left="720"/>
      </w:pPr>
      <w:r/>
      <w:r>
        <w:t>Fille de Tsilla et Lémec dans la liste des descendants de Caïn (</w:t>
      </w:r>
      <w:hyperlink r:id="rId1317">
        <w:r>
          <w:rPr>
            <w:color w:val="0000EE"/>
            <w:u w:val="single"/>
          </w:rPr>
          <w:t>Gn 4.22</w:t>
        </w:r>
      </w:hyperlink>
      <w:r>
        <w:t>).</w:t>
      </w:r>
    </w:p>
    <w:p>
      <w:pPr>
        <w:pStyle w:val="ListNumber"/>
        <w:spacing w:line="240" w:lineRule="auto"/>
        <w:ind w:left="720"/>
      </w:pPr>
      <w:r/>
      <w:r>
        <w:t>Une des épouses du roi Salomon. Elle était d'Ammon (</w:t>
      </w:r>
      <w:hyperlink r:id="rId10533">
        <w:r>
          <w:rPr>
            <w:color w:val="0000EE"/>
            <w:u w:val="single"/>
          </w:rPr>
          <w:t>1R 14.21, 31</w:t>
        </w:r>
      </w:hyperlink>
      <w:r>
        <w:t xml:space="preserve"> ; </w:t>
      </w:r>
      <w:hyperlink r:id="rId702">
        <w:r>
          <w:rPr>
            <w:color w:val="0000EE"/>
            <w:u w:val="single"/>
          </w:rPr>
          <w:t>2Ch 12.13</w:t>
        </w:r>
      </w:hyperlink>
      <w:r>
        <w:t>). Il est certain qu'elle avait une responsabilité partielle dans l'idolâtrie de Salomon. Son fils Roboam a régné sur Juda après la mort de Salomon (</w:t>
      </w:r>
      <w:hyperlink r:id="rId10534">
        <w:r>
          <w:rPr>
            <w:color w:val="0000EE"/>
            <w:u w:val="single"/>
          </w:rPr>
          <w:t>1R 14.21–24</w:t>
        </w:r>
      </w:hyperlink>
      <w:r>
        <w:t>).</w:t>
      </w:r>
      <w:r/>
      <w:r/>
    </w:p>
    <w:p>
      <w:r/>
    </w:p>
    <w:p>
      <w:pPr>
        <w:pStyle w:val="Heading2"/>
      </w:pPr>
      <w:r>
        <w:t>Naaman</w:t>
      </w:r>
      <w:r/>
    </w:p>
    <w:p>
      <w:pPr>
        <w:pStyle w:val="ListNumber"/>
        <w:spacing w:line="240" w:lineRule="auto"/>
        <w:ind w:left="720"/>
      </w:pPr>
      <w:r/>
      <w:r>
        <w:t>Petit-fils de Benjamin et fils de Béla, qui donnera son nom au clan Naamite (</w:t>
      </w:r>
      <w:hyperlink r:id="rId123">
        <w:r>
          <w:rPr>
            <w:color w:val="0000EE"/>
            <w:u w:val="single"/>
          </w:rPr>
          <w:t>Gn 46.21</w:t>
        </w:r>
      </w:hyperlink>
      <w:r>
        <w:t xml:space="preserve"> ; </w:t>
      </w:r>
      <w:hyperlink r:id="rId10535">
        <w:r>
          <w:rPr>
            <w:color w:val="0000EE"/>
            <w:u w:val="single"/>
          </w:rPr>
          <w:t>Nb 26.38–40</w:t>
        </w:r>
      </w:hyperlink>
      <w:r>
        <w:t xml:space="preserve"> ; </w:t>
      </w:r>
      <w:hyperlink r:id="rId10536">
        <w:r>
          <w:rPr>
            <w:color w:val="0000EE"/>
            <w:u w:val="single"/>
          </w:rPr>
          <w:t>1Ch 8.4, 7</w:t>
        </w:r>
      </w:hyperlink>
      <w:r>
        <w:t>).</w:t>
      </w:r>
    </w:p>
    <w:p>
      <w:pPr>
        <w:pStyle w:val="ListNumber"/>
        <w:spacing w:line="240" w:lineRule="auto"/>
        <w:ind w:left="720"/>
      </w:pPr>
      <w:r/>
      <w:r>
        <w:t>Général en chef de l'armée araméenne pendant le règne de Ben-Hadad, roi de Syrie (</w:t>
      </w:r>
      <w:hyperlink r:id="rId3544">
        <w:r>
          <w:rPr>
            <w:color w:val="0000EE"/>
            <w:u w:val="single"/>
          </w:rPr>
          <w:t>2R 5</w:t>
        </w:r>
      </w:hyperlink>
      <w:r>
        <w:t xml:space="preserve">). Le roi le respectait pour son caractère et ses succès militaires, bien qu'il soit atteint de lèpre. Cela ne l'excluait pas de la société, comme cela aurait été le cas en Israël (voir </w:t>
      </w:r>
      <w:hyperlink r:id="rId10537">
        <w:r>
          <w:rPr>
            <w:color w:val="0000EE"/>
            <w:u w:val="single"/>
          </w:rPr>
          <w:t>Lv 13–14</w:t>
        </w:r>
      </w:hyperlink>
      <w:r>
        <w:t>). Ben-Hadad lui permettra d'apporter des présents à la cour de son roi voisin très méfiant. Ce roi était probablement Joram.</w:t>
      </w:r>
    </w:p>
    <w:p>
      <w:r/>
      <w:r>
        <w:t xml:space="preserve">Le prophète Élisée interviendra et requierra une méthode de guérison improbable. Le réticent Naaman obéira. Ses serviteurs lui diront : « </w:t>
      </w:r>
      <w:r>
        <w:t>si le prophète t’eût demandé quelque chose de difficile, ne l’aurais-tu pas fait</w:t>
      </w:r>
      <w:r>
        <w:t xml:space="preserve"> ?» Naaman confessera alors que le seul vrai Dieu se trouve en Israël. Il rentrera chez lui avec deux charges de mulets (la quantité qu'un mulet peut porter) de terre, pensant qu'il ne pouvait adorer ce Dieu que sur son sol (voir </w:t>
      </w:r>
      <w:hyperlink r:id="rId10538">
        <w:r>
          <w:rPr>
            <w:color w:val="0000EE"/>
            <w:u w:val="single"/>
          </w:rPr>
          <w:t>Ex 20.24</w:t>
        </w:r>
      </w:hyperlink>
      <w:r>
        <w:t>).</w:t>
      </w:r>
    </w:p>
    <w:p>
      <w:r/>
      <w:r>
        <w:t xml:space="preserve">Dans </w:t>
      </w:r>
      <w:hyperlink r:id="rId8355">
        <w:r>
          <w:rPr>
            <w:color w:val="0000EE"/>
            <w:u w:val="single"/>
          </w:rPr>
          <w:t>Luc 4.27</w:t>
        </w:r>
      </w:hyperlink>
      <w:r>
        <w:t>, Jésus rappelle aux auditeurs de sa synagogue que Naaman, un non-Israélite, était le seul de son temps à être purifié de la lèpre.</w:t>
      </w:r>
      <w:r/>
      <w:r/>
    </w:p>
    <w:p>
      <w:r/>
    </w:p>
    <w:p>
      <w:pPr>
        <w:pStyle w:val="Heading2"/>
      </w:pPr>
      <w:r>
        <w:t>Nachor (Lieu)</w:t>
      </w:r>
      <w:r/>
    </w:p>
    <w:p>
      <w:r/>
      <w:r>
        <w:t>Ville du nord-ouest de la Mésopotamie ; domicile de Rébecca, l'épouse d'Isaac, et de Nachor, le frère d'Abraham (</w:t>
      </w:r>
      <w:hyperlink r:id="rId2403">
        <w:r>
          <w:rPr>
            <w:color w:val="0000EE"/>
            <w:u w:val="single"/>
          </w:rPr>
          <w:t>Gn 24.10</w:t>
        </w:r>
      </w:hyperlink>
      <w:r>
        <w:t>). Nachor est fréquemment mentionnée dans les documents de Mari (18e siècle av. J.‑C.) comme la ville de Nakhur, située près de Charan dans la vallée de la rivière Balikh. Cette ville était probablement le foyer de certains des anciens Habiru. Son emplacement est inconnu.</w:t>
      </w:r>
    </w:p>
    <w:p>
      <w:r/>
      <w:r>
        <w:rPr>
          <w:i/>
        </w:rPr>
        <w:t>Voir aussi</w:t>
      </w:r>
      <w:r>
        <w:t xml:space="preserve"> </w:t>
      </w:r>
      <w:r>
        <w:t>Nachor (personne) n° 2</w:t>
      </w:r>
      <w:r>
        <w:t>.</w:t>
      </w:r>
      <w:r/>
      <w:r/>
    </w:p>
    <w:p>
      <w:r/>
    </w:p>
    <w:p>
      <w:pPr>
        <w:pStyle w:val="Heading2"/>
      </w:pPr>
      <w:r>
        <w:t>Nachor (Personne)</w:t>
      </w:r>
      <w:r/>
    </w:p>
    <w:p>
      <w:pPr>
        <w:pStyle w:val="ListNumber"/>
        <w:spacing w:line="240" w:lineRule="auto"/>
        <w:ind w:left="720"/>
      </w:pPr>
      <w:r/>
      <w:r>
        <w:t>Grand-père d'Abraham (</w:t>
      </w:r>
      <w:hyperlink r:id="rId10539">
        <w:r>
          <w:rPr>
            <w:color w:val="0000EE"/>
            <w:u w:val="single"/>
          </w:rPr>
          <w:t>Gn 11.22–25</w:t>
        </w:r>
      </w:hyperlink>
      <w:r>
        <w:t xml:space="preserve"> ; </w:t>
      </w:r>
      <w:hyperlink r:id="rId10540">
        <w:r>
          <w:rPr>
            <w:color w:val="0000EE"/>
            <w:u w:val="single"/>
          </w:rPr>
          <w:t>1Ch 1.26</w:t>
        </w:r>
      </w:hyperlink>
      <w:r>
        <w:t xml:space="preserve">), et ancêtre de Jésus selon </w:t>
      </w:r>
      <w:hyperlink r:id="rId10541">
        <w:r>
          <w:rPr>
            <w:color w:val="0000EE"/>
            <w:u w:val="single"/>
          </w:rPr>
          <w:t>Luc 3.34</w:t>
        </w:r>
      </w:hyperlink>
      <w:r>
        <w:t>. Certaines traductions françaises utilisent l'orthographe « Nahor ». Les passages de Genèse et de 1 Chroniques montrent que Nachor est issu de la lignée de Sem. Par conséquent, Abraham et ses descendants font partie de la famille des nations sémitiques.</w:t>
      </w:r>
    </w:p>
    <w:p>
      <w:pPr>
        <w:pStyle w:val="ListNumber"/>
        <w:spacing w:line="240" w:lineRule="auto"/>
        <w:ind w:left="720"/>
      </w:pPr>
      <w:r/>
      <w:r>
        <w:t>Fils de Térach et frère d'Abraham (</w:t>
      </w:r>
      <w:hyperlink r:id="rId10542">
        <w:r>
          <w:rPr>
            <w:color w:val="0000EE"/>
            <w:u w:val="single"/>
          </w:rPr>
          <w:t>Gn 11.26–29</w:t>
        </w:r>
      </w:hyperlink>
      <w:r>
        <w:t xml:space="preserve"> ; </w:t>
      </w:r>
      <w:hyperlink r:id="rId6611">
        <w:r>
          <w:rPr>
            <w:color w:val="0000EE"/>
            <w:u w:val="single"/>
          </w:rPr>
          <w:t>Jos 24.2</w:t>
        </w:r>
      </w:hyperlink>
      <w:r>
        <w:t xml:space="preserve">). Il épousera Milca, la fille de Haran, et sa famille est mentionnée dans </w:t>
      </w:r>
      <w:hyperlink r:id="rId10038">
        <w:r>
          <w:rPr>
            <w:color w:val="0000EE"/>
            <w:u w:val="single"/>
          </w:rPr>
          <w:t>Genèse 22.20–23</w:t>
        </w:r>
      </w:hyperlink>
      <w:r>
        <w:t xml:space="preserve">. Abraham enverra son serviteur chercher une épouse pour Isaac à la résidence de Nachor en Mésopotamie (voir </w:t>
      </w:r>
      <w:hyperlink r:id="rId2403">
        <w:r>
          <w:rPr>
            <w:color w:val="0000EE"/>
            <w:u w:val="single"/>
          </w:rPr>
          <w:t>Gn 24.10</w:t>
        </w:r>
      </w:hyperlink>
      <w:r>
        <w:t>, ce qui suggère peut-être que la ville elle-même s'appelait Nachor). Il y trouvera Rebecca, la petite-fille de Nachor (</w:t>
      </w:r>
      <w:hyperlink r:id="rId10543">
        <w:r>
          <w:rPr>
            <w:color w:val="0000EE"/>
            <w:u w:val="single"/>
          </w:rPr>
          <w:t>Gn 24.1–51</w:t>
        </w:r>
      </w:hyperlink>
      <w:r>
        <w:t>).</w:t>
      </w:r>
    </w:p>
    <w:p>
      <w:r/>
      <w:r>
        <w:t>Nachor est également mentionné comme le père (peut-être grand-père) de Laban, chez qui Jacob s'est rendu lorsqu'il a fui son frère Ésaü (</w:t>
      </w:r>
      <w:hyperlink r:id="rId10544">
        <w:r>
          <w:rPr>
            <w:color w:val="0000EE"/>
            <w:u w:val="single"/>
          </w:rPr>
          <w:t>Gn 29.5</w:t>
        </w:r>
      </w:hyperlink>
      <w:r>
        <w:t xml:space="preserve">). Ces deux textes relient la famille d'Abraham à des peuples sémitiques apparentés. Dans </w:t>
      </w:r>
      <w:hyperlink r:id="rId10545">
        <w:r>
          <w:rPr>
            <w:color w:val="0000EE"/>
            <w:u w:val="single"/>
          </w:rPr>
          <w:t>Genèse 31.53</w:t>
        </w:r>
      </w:hyperlink>
      <w:r>
        <w:t xml:space="preserve">, Dieu est mentionné comme « </w:t>
      </w:r>
      <w:r>
        <w:t>le Dieu d’Abraham et de Nachor</w:t>
      </w:r>
      <w:r>
        <w:t xml:space="preserve"> ».</w:t>
      </w:r>
    </w:p>
    <w:p>
      <w:r/>
      <w:r>
        <w:rPr>
          <w:i/>
        </w:rPr>
        <w:t>Voir aussi</w:t>
      </w:r>
      <w:r>
        <w:t xml:space="preserve"> </w:t>
      </w:r>
      <w:r>
        <w:t>Nachor (lieu)</w:t>
      </w:r>
      <w:r>
        <w:t>.</w:t>
      </w:r>
      <w:r/>
      <w:r/>
    </w:p>
    <w:p>
      <w:r/>
    </w:p>
    <w:p>
      <w:pPr>
        <w:pStyle w:val="Heading2"/>
      </w:pPr>
      <w:r>
        <w:t>Nahath</w:t>
      </w:r>
      <w:r/>
    </w:p>
    <w:p>
      <w:r/>
      <w:r>
        <w:t>1. Chef d'un clan en Édom et premier-né de Réuel (</w:t>
      </w:r>
      <w:hyperlink r:id="rId10178">
        <w:r>
          <w:rPr>
            <w:color w:val="0000EE"/>
            <w:u w:val="single"/>
          </w:rPr>
          <w:t>Gn 36.13, 17</w:t>
        </w:r>
      </w:hyperlink>
      <w:r>
        <w:t xml:space="preserve"> ; </w:t>
      </w:r>
      <w:hyperlink r:id="rId10179">
        <w:r>
          <w:rPr>
            <w:color w:val="0000EE"/>
            <w:u w:val="single"/>
          </w:rPr>
          <w:t>1Ch 1.37</w:t>
        </w:r>
      </w:hyperlink>
      <w:r>
        <w:t>).</w:t>
      </w:r>
    </w:p>
    <w:p>
      <w:r/>
      <w:r>
        <w:t>2. Lévite de la famille de Kehath et petit-fils d'Elkana (</w:t>
      </w:r>
      <w:hyperlink r:id="rId10546">
        <w:r>
          <w:rPr>
            <w:color w:val="0000EE"/>
            <w:u w:val="single"/>
          </w:rPr>
          <w:t>1Ch 6.26</w:t>
        </w:r>
      </w:hyperlink>
      <w:r>
        <w:t>).</w:t>
      </w:r>
    </w:p>
    <w:p>
      <w:r/>
      <w:r>
        <w:t>3. Lévite qui supervisait le temple pendant le règne du roi Ézéchias (</w:t>
      </w:r>
      <w:hyperlink r:id="rId10547">
        <w:r>
          <w:rPr>
            <w:color w:val="0000EE"/>
            <w:u w:val="single"/>
          </w:rPr>
          <w:t>2Ch 31.13</w:t>
        </w:r>
      </w:hyperlink>
      <w:r>
        <w:t>).</w:t>
      </w:r>
      <w:r/>
      <w:r/>
    </w:p>
    <w:p>
      <w:r/>
    </w:p>
    <w:p>
      <w:pPr>
        <w:pStyle w:val="Heading2"/>
      </w:pPr>
      <w:r>
        <w:t>Naphisch</w:t>
      </w:r>
      <w:r/>
    </w:p>
    <w:p>
      <w:r/>
      <w:r>
        <w:t>Onzième des douze fils d'Ismaël (</w:t>
      </w:r>
      <w:hyperlink r:id="rId6167">
        <w:r>
          <w:rPr>
            <w:color w:val="0000EE"/>
            <w:u w:val="single"/>
          </w:rPr>
          <w:t>Gn 25.15</w:t>
        </w:r>
      </w:hyperlink>
      <w:r>
        <w:t xml:space="preserve"> ; </w:t>
      </w:r>
      <w:hyperlink r:id="rId7253">
        <w:r>
          <w:rPr>
            <w:color w:val="0000EE"/>
            <w:u w:val="single"/>
          </w:rPr>
          <w:t>1Ch 1.31</w:t>
        </w:r>
      </w:hyperlink>
      <w:r>
        <w:t>) et fondateur d'une tribu qui a ensuite fait la guerre contre les tribus d'Israël vivant à l'est du Jourdain (</w:t>
      </w:r>
      <w:hyperlink r:id="rId7254">
        <w:r>
          <w:rPr>
            <w:color w:val="0000EE"/>
            <w:u w:val="single"/>
          </w:rPr>
          <w:t>1Ch 5.19</w:t>
        </w:r>
      </w:hyperlink>
      <w:r>
        <w:t>).</w:t>
      </w:r>
      <w:r/>
      <w:r/>
    </w:p>
    <w:p>
      <w:r/>
    </w:p>
    <w:p>
      <w:pPr>
        <w:pStyle w:val="Heading2"/>
      </w:pPr>
      <w:r>
        <w:t>Naphtuhim, Naphtuhites</w:t>
      </w:r>
      <w:r/>
    </w:p>
    <w:p>
      <w:r/>
      <w:r>
        <w:t>Descendants égyptiens de Noé par la lignée de Cham (</w:t>
      </w:r>
      <w:hyperlink r:id="rId883">
        <w:r>
          <w:rPr>
            <w:color w:val="0000EE"/>
            <w:u w:val="single"/>
          </w:rPr>
          <w:t>Gn 10.13</w:t>
        </w:r>
      </w:hyperlink>
      <w:r>
        <w:t xml:space="preserve"> ; </w:t>
      </w:r>
      <w:hyperlink r:id="rId884">
        <w:r>
          <w:rPr>
            <w:color w:val="0000EE"/>
            <w:u w:val="single"/>
          </w:rPr>
          <w:t>1Ch 1.11</w:t>
        </w:r>
      </w:hyperlink>
      <w:r>
        <w:t>), répertoriés entre les tribus des Lehabim et des Pathrusim. Certains experts suggèrent que les Naphtuhim étaient les habitants de la Moyenne-Égypte, situés entre les Libyens de Basse-Égypte et les Pathrusim de Haute-Égypte. Cependant, l'emplacement exact de leurs anciens lieux de vie est incertain.</w:t>
      </w:r>
      <w:r/>
      <w:r/>
    </w:p>
    <w:p>
      <w:r/>
    </w:p>
    <w:p>
      <w:pPr>
        <w:pStyle w:val="Heading2"/>
      </w:pPr>
      <w:r>
        <w:t>Nathanaël</w:t>
      </w:r>
      <w:r/>
    </w:p>
    <w:p>
      <w:r/>
      <w:r>
        <w:t>Juif originaire de Cana en Galilée. Il est appelé par Jésus et devient son disciple (</w:t>
      </w:r>
      <w:hyperlink r:id="rId1702">
        <w:r>
          <w:rPr>
            <w:color w:val="0000EE"/>
            <w:u w:val="single"/>
          </w:rPr>
          <w:t xml:space="preserve">Jn 1.45–50 </w:t>
        </w:r>
      </w:hyperlink>
      <w:r>
        <w:t xml:space="preserve">; </w:t>
      </w:r>
      <w:hyperlink r:id="rId1703">
        <w:r>
          <w:rPr>
            <w:color w:val="0000EE"/>
            <w:u w:val="single"/>
          </w:rPr>
          <w:t>21.2</w:t>
        </w:r>
      </w:hyperlink>
      <w:r>
        <w:t>). Au début, Nathanaël a de grands doutes quand Philippe lui décrit Jésus comme celui que l'Ancien Testament avait annoncé (</w:t>
      </w:r>
      <w:hyperlink r:id="rId10548">
        <w:r>
          <w:rPr>
            <w:color w:val="0000EE"/>
            <w:u w:val="single"/>
          </w:rPr>
          <w:t>1.45–46</w:t>
        </w:r>
      </w:hyperlink>
      <w:r>
        <w:t xml:space="preserve">). Mais quand il découvre Jésus lui-même, Nathanaël est abasourdi et convaincu, et il proclame alors que Jésus est le Fils de Dieu et le Roi d'Israël (v. </w:t>
      </w:r>
      <w:hyperlink r:id="rId10549">
        <w:r>
          <w:rPr>
            <w:color w:val="0000EE"/>
            <w:u w:val="single"/>
          </w:rPr>
          <w:t>49</w:t>
        </w:r>
      </w:hyperlink>
      <w:r>
        <w:t>).</w:t>
      </w:r>
    </w:p>
    <w:p>
      <w:r/>
      <w:r>
        <w:t>Le fait que les seules références à Nathanaël dans le NT se trouvent dans l'Évangile de Jean a mené certains spécialistes à l'identifier à plusieurs personnes mentionnées dans les trois autres Évangiles (aussi appelés Évangiles synoptiques.) Puisque le récit de son appel suit immédiatement ceux d'André, de Pierre et de Philippe, certains proposent qu'il était peut-être l'un des Douze, possiblement Barthélemy. Trois arguments sont utilisés pour soutenir cette hypothèse : (1) Le nom de Barthélemy est en fait un nom de famille. Il veut littéralement dire « fils de Tolmaï » (ou Tolmai, Tolmay). Il est donc supposé qu'il devait avoir un autre nom qui lui était propre (comme un prénom). (2) Dans chacune des trois listes synoptiques des douze apôtres, le nom de Barthélemy vient juste après celui de Philippe (</w:t>
      </w:r>
      <w:hyperlink r:id="rId1699">
        <w:r>
          <w:rPr>
            <w:color w:val="0000EE"/>
            <w:u w:val="single"/>
          </w:rPr>
          <w:t xml:space="preserve">Mt 10.2–4 </w:t>
        </w:r>
      </w:hyperlink>
      <w:r>
        <w:t xml:space="preserve">; </w:t>
      </w:r>
      <w:hyperlink r:id="rId1700">
        <w:r>
          <w:rPr>
            <w:color w:val="0000EE"/>
            <w:u w:val="single"/>
          </w:rPr>
          <w:t xml:space="preserve">Mc 3.16–19 </w:t>
        </w:r>
      </w:hyperlink>
      <w:r>
        <w:t xml:space="preserve">; </w:t>
      </w:r>
      <w:hyperlink r:id="rId1701">
        <w:r>
          <w:rPr>
            <w:color w:val="0000EE"/>
            <w:u w:val="single"/>
          </w:rPr>
          <w:t>Lc 6.14–16</w:t>
        </w:r>
      </w:hyperlink>
      <w:r>
        <w:t>). Or, dans l'Évangile de Jean, l'appel de Nathanaël vient juste après celui de Philippe également. (3) Le nom de Barthélemy n'est jamais mentionné dans le quatrième Évangile. Ce serait normal si en fait Nathanaël et lui étaient la même personne.</w:t>
      </w:r>
    </w:p>
    <w:p>
      <w:r/>
      <w:r>
        <w:t xml:space="preserve">D'autres pensent que Nathanaël est en fait Jacques, le fils d'Alphée. Selon ce point de vue, la remarque de Jésus dans </w:t>
      </w:r>
      <w:hyperlink r:id="rId8013">
        <w:r>
          <w:rPr>
            <w:color w:val="0000EE"/>
            <w:u w:val="single"/>
          </w:rPr>
          <w:t>Jean 1.47</w:t>
        </w:r>
      </w:hyperlink>
      <w:r>
        <w:t xml:space="preserve"> devrait se lire « Voici, vraiment Israël [et non “un Israélite”] en qui il n'y a point de fraude ! » Israël est le nom que Dieu a donné à Jacob. Or l'équivalent de « Jacob » dans le Nouveau Testament est le nom « Jacques ». Jean aurait donné à Jacques, le fils d'Alphée, le nom de Nathanaël afin de le différencier des autres Jacques qui étaient devenus importants dans l'Église primitive.</w:t>
      </w:r>
    </w:p>
    <w:p>
      <w:r/>
      <w:r>
        <w:t>Deux identifications moins probables assimilent Nathanaël soit à Matthieu, soit à Simon le Cananéen. La première hypothèse repose de façon peu convaincante sur les étymologies similaires des noms de Matthieu (« don de Yahvé ») et de Nathanaël (« Yahweh a donné »). (L'étymologie est la science de l'origine des mots.) La seconde hypothèse identifie Nathanaël à Simon le Cananéen parce qu'ils sont tous les deux originaires de la ville de Cana.</w:t>
      </w:r>
    </w:p>
    <w:p>
      <w:r/>
      <w:r>
        <w:t>Somme toute, Nathanaël était très probablement un disciple qui ne faisait tout simplement pas partie des Douze et n'était connu que de Jean parmi les Évangélistes. Cette hypothèse est soutenue par des indications dans les écrits des premiers Pères de l'Église. Dans le quatrième Évangile, Nathanaël symbolise un Juif juste qui surmonte les doutes qu'il a au départ pour venir à la foi en Christ. Cela se confirme dans trois observations : (1) Les doutes qu'il a au début envers Jésus sont similaires à ceux d'autres Juifs qui croient en la loi et les Prophètes (</w:t>
      </w:r>
      <w:hyperlink r:id="rId10550">
        <w:r>
          <w:rPr>
            <w:color w:val="0000EE"/>
            <w:u w:val="single"/>
          </w:rPr>
          <w:t xml:space="preserve">Jn 7.15, 27, 41 </w:t>
        </w:r>
      </w:hyperlink>
      <w:r>
        <w:t xml:space="preserve">; </w:t>
      </w:r>
      <w:hyperlink r:id="rId10551">
        <w:r>
          <w:rPr>
            <w:color w:val="0000EE"/>
            <w:u w:val="single"/>
          </w:rPr>
          <w:t>9.41</w:t>
        </w:r>
      </w:hyperlink>
      <w:r>
        <w:t>). (2) Le fait que Jésus voit Nathanaël sous un figuier (</w:t>
      </w:r>
      <w:hyperlink r:id="rId10552">
        <w:r>
          <w:rPr>
            <w:color w:val="0000EE"/>
            <w:u w:val="single"/>
          </w:rPr>
          <w:t>1.48</w:t>
        </w:r>
      </w:hyperlink>
      <w:r>
        <w:t xml:space="preserve">) sert à démontrer qu'il était dévoué à la Torah. En effet, dans la littérature rabbinique, le lieu qui convient pour étudier la Torah est sous un figuier. (3) Jésus associe Nathanaël à Jacob, le père de la nation israélite. Dans </w:t>
      </w:r>
      <w:hyperlink r:id="rId10553">
        <w:r>
          <w:rPr>
            <w:color w:val="0000EE"/>
            <w:u w:val="single"/>
          </w:rPr>
          <w:t>Genèse 25–32</w:t>
        </w:r>
      </w:hyperlink>
      <w:r>
        <w:t xml:space="preserve">, Jacob est rusé et habile dans ses rapports avec Ésaü et Laban. </w:t>
      </w:r>
      <w:hyperlink r:id="rId5732">
        <w:r>
          <w:rPr>
            <w:color w:val="0000EE"/>
            <w:u w:val="single"/>
          </w:rPr>
          <w:t>Jean 1.51</w:t>
        </w:r>
      </w:hyperlink>
      <w:r>
        <w:t xml:space="preserve"> fait le lien entre Nathanaël et Jacob quand Jésus déclare que Nathanaël verra des anges monter et descendre, des paroles qui rappellent le rêve de Jacob. L'endroit où Jean situe cet épisode est en Galilée, pas loin de Béthel et du Jabbok, l'endroit où Jacob a eu son rêve. Nathanaël symbolise ainsi l'Israélite pieux pour lequel Christ est venu. Sa façon de s'ouvrir au message de Jésus illustre ce que Jean comprend comme la réaction qui convient aux vrais Israélites qui découvrent Jésus : le passage du doute à la foi (voir </w:t>
      </w:r>
      <w:hyperlink r:id="rId10554">
        <w:r>
          <w:rPr>
            <w:color w:val="0000EE"/>
            <w:u w:val="single"/>
          </w:rPr>
          <w:t>Rm 9.6</w:t>
        </w:r>
      </w:hyperlink>
      <w:r>
        <w:t>).</w:t>
      </w:r>
    </w:p>
    <w:p>
      <w:r/>
      <w:r>
        <w:rPr>
          <w:i/>
        </w:rPr>
        <w:t>Voir aussi</w:t>
      </w:r>
      <w:r>
        <w:t xml:space="preserve"> </w:t>
      </w:r>
      <w:r>
        <w:t>apôtre, apostolat</w:t>
      </w:r>
      <w:r>
        <w:t>.</w:t>
      </w:r>
      <w:r/>
      <w:r/>
    </w:p>
    <w:p>
      <w:r/>
    </w:p>
    <w:p>
      <w:pPr>
        <w:pStyle w:val="Heading2"/>
      </w:pPr>
      <w:r>
        <w:t>Nations</w:t>
      </w:r>
      <w:r/>
    </w:p>
    <w:p>
      <w:r/>
      <w:r>
        <w:t>Groupes qui ont été formés par intérêt politique ou social, ou par des liens de parenté. En général, le mot « nations » désigne les peuples du monde en dehors des Hébreux, mais parfois il inclut aussi les Juifs.</w:t>
      </w:r>
    </w:p>
    <w:p>
      <w:pPr>
        <w:pStyle w:val="Heading3"/>
      </w:pPr>
      <w:r>
        <w:t>Origines</w:t>
      </w:r>
    </w:p>
    <w:p>
      <w:r/>
      <w:r>
        <w:t>Le livre de la Genèse parle des « familles » ou groupes ethniques qui habitent les régions de la Méditerranée orientale (environ 70 au total). Ils viennent des trois fils de Noé (</w:t>
      </w:r>
      <w:hyperlink r:id="rId4483">
        <w:r>
          <w:rPr>
            <w:color w:val="0000EE"/>
            <w:u w:val="single"/>
          </w:rPr>
          <w:t>Gn 10</w:t>
        </w:r>
      </w:hyperlink>
      <w:r>
        <w:t xml:space="preserve">). Ce récit présuppose que chaque groupe a un territoire et une langue spécifique (v. </w:t>
      </w:r>
      <w:hyperlink r:id="rId10555">
        <w:r>
          <w:rPr>
            <w:color w:val="0000EE"/>
            <w:u w:val="single"/>
          </w:rPr>
          <w:t>5, 20, 31</w:t>
        </w:r>
      </w:hyperlink>
      <w:r>
        <w:t xml:space="preserve">). L'histoire de la tour (la ziggourat) de Babel qui a pour but d'atteindre le ciel (chap. </w:t>
      </w:r>
      <w:hyperlink r:id="rId82">
        <w:r>
          <w:rPr>
            <w:color w:val="0000EE"/>
            <w:u w:val="single"/>
          </w:rPr>
          <w:t>11</w:t>
        </w:r>
      </w:hyperlink>
      <w:r>
        <w:t>), explique la séparation de ces groupes ethniques. Ils sont séparés par des barrières de langue et sont dispersés géographiquement pour qu'ils ne puissent plus travailler ensemble à des entreprises orgueilleuses.</w:t>
      </w:r>
    </w:p>
    <w:p>
      <w:r/>
      <w:r>
        <w:t>Tout comme l'auteur de la Genèse, Paul présume dans son sermon à Athènes que les nations ont une origine commune. Il accepte que ces nations soient séparées par des frontières géographiques. Cela fait partie du plan de Dieu (</w:t>
      </w:r>
      <w:hyperlink r:id="rId10556">
        <w:r>
          <w:rPr>
            <w:color w:val="0000EE"/>
            <w:u w:val="single"/>
          </w:rPr>
          <w:t>Ac 17.26</w:t>
        </w:r>
      </w:hyperlink>
      <w:r>
        <w:t>). Le prophète Sophonie espère le jour où Dieu annulera cette situation et où toutes les nations seront à nouveau unies (</w:t>
      </w:r>
      <w:hyperlink r:id="rId10557">
        <w:r>
          <w:rPr>
            <w:color w:val="0000EE"/>
            <w:u w:val="single"/>
          </w:rPr>
          <w:t>So 3.9</w:t>
        </w:r>
      </w:hyperlink>
      <w:r>
        <w:t>). L'auteur de l'Apocalypse voit un nouveau ciel et une nouvelle terre dans laquelle ces frontières naturelles n'existent plus. Les nations se mélangent librement dans la nouvelle Jérusalem (</w:t>
      </w:r>
      <w:hyperlink r:id="rId10558">
        <w:r>
          <w:rPr>
            <w:color w:val="0000EE"/>
            <w:u w:val="single"/>
          </w:rPr>
          <w:t>Ap 21.22–26</w:t>
        </w:r>
      </w:hyperlink>
      <w:r>
        <w:t>).</w:t>
      </w:r>
    </w:p>
    <w:p>
      <w:r/>
      <w:r>
        <w:t>La distinction entre « Israël » et « les nations » n'est pas toujours claire. « Israël » a évolué à partir de plusieurs groupes ethniques. Plusieurs des « nations » attribuent leurs origines à des personnages importants de la communauté israélite. Abraham, le père de la nation juive, vit à Ur des Chaldéens dans la région du delta de la vallée du Tigre et de l'Euphrate. Avec son père, il part vers le nord jusqu'à Haran, puis vers le sud-ouest jusqu'au pays de Canaan (</w:t>
      </w:r>
      <w:hyperlink r:id="rId10301">
        <w:r>
          <w:rPr>
            <w:color w:val="0000EE"/>
            <w:u w:val="single"/>
          </w:rPr>
          <w:t>Gn 11.31–12.9</w:t>
        </w:r>
      </w:hyperlink>
      <w:r>
        <w:t xml:space="preserve">). </w:t>
      </w:r>
      <w:hyperlink r:id="rId10559">
        <w:r>
          <w:rPr>
            <w:color w:val="0000EE"/>
            <w:u w:val="single"/>
          </w:rPr>
          <w:t>Deutéronome 26.5</w:t>
        </w:r>
      </w:hyperlink>
      <w:r>
        <w:t xml:space="preserve"> décrit Abraham ainsi : « Mon père était un Araméen nomade ». Ceci indique qu'Abraham vient probablement d'Aram-Naharaïm, une région de Mésopotamie. Lorsque Dieu fait alliance avec Abraham, il lui donne la circoncision comme signe de la relation établie par cette alliance. Même les étrangers achetés comme esclaves doivent être circoncis. Cela leur permet d'entrer dans la communauté de l'alliance. Lorsque Moïse conduit les Israélites hors d'Égypte, une multitude de gens de peuples divers se joint à eux (</w:t>
      </w:r>
      <w:hyperlink r:id="rId10560">
        <w:r>
          <w:rPr>
            <w:color w:val="0000EE"/>
            <w:u w:val="single"/>
          </w:rPr>
          <w:t>Ex 12.38</w:t>
        </w:r>
      </w:hyperlink>
      <w:r>
        <w:t>). Cela indique probablement qu'une fois de plus, des étrangers se joignent au peuple d'Israël.</w:t>
      </w:r>
    </w:p>
    <w:p>
      <w:r/>
      <w:r>
        <w:t>La nation d'Israël n'inclut pas tous les descendants d'Abraham. La mère du premier fils d'Abraham (Ismaël), est égyptienne. Ismaël est l'ancêtre des Ismaélites, des bédouins de la région désertique du sud (</w:t>
      </w:r>
      <w:hyperlink r:id="rId388">
        <w:r>
          <w:rPr>
            <w:color w:val="0000EE"/>
            <w:u w:val="single"/>
          </w:rPr>
          <w:t>Gn 16</w:t>
        </w:r>
      </w:hyperlink>
      <w:r>
        <w:t>). Des fils jumeaux naissent à Isaac et Rebecca. Ésaü, leur premier-né, est le père des Édomites du sud-est. Ils seront très souvent ennemis d'Israël. Israël est le peuple qui descend de Jacob, le frère d'Ésaü (</w:t>
      </w:r>
      <w:hyperlink r:id="rId6931">
        <w:r>
          <w:rPr>
            <w:color w:val="0000EE"/>
            <w:u w:val="single"/>
          </w:rPr>
          <w:t xml:space="preserve">Gn 25.23 </w:t>
        </w:r>
      </w:hyperlink>
      <w:r>
        <w:t xml:space="preserve">; </w:t>
      </w:r>
      <w:hyperlink r:id="rId10561">
        <w:r>
          <w:rPr>
            <w:color w:val="0000EE"/>
            <w:u w:val="single"/>
          </w:rPr>
          <w:t>Nb 20.21</w:t>
        </w:r>
      </w:hyperlink>
      <w:r>
        <w:t>).</w:t>
      </w:r>
    </w:p>
    <w:p>
      <w:pPr>
        <w:pStyle w:val="Heading3"/>
      </w:pPr>
      <w:r>
        <w:t>Dieu et les nations</w:t>
      </w:r>
    </w:p>
    <w:p>
      <w:r/>
      <w:r>
        <w:t>Les Écritures présentent les nations parfois de façon négative, et parfois de façon positive. Les nations du territoire entre la vallée du Tigre-Euphrate et le Nil sont des nations impies. Dieu leur prend donc leurs terres pour les donner aux descendants d'Abraham (</w:t>
      </w:r>
      <w:hyperlink r:id="rId10562">
        <w:r>
          <w:rPr>
            <w:color w:val="0000EE"/>
            <w:u w:val="single"/>
          </w:rPr>
          <w:t>Gn 15.16–20</w:t>
        </w:r>
      </w:hyperlink>
      <w:r>
        <w:t>). Ces nations pratiquent l'inceste, l'adultère, l'homosexualité et les relations sexuelles entre hommes et animaux. Ce sont des choses que Dieu hait (</w:t>
      </w:r>
      <w:hyperlink r:id="rId1217">
        <w:r>
          <w:rPr>
            <w:color w:val="0000EE"/>
            <w:u w:val="single"/>
          </w:rPr>
          <w:t>Lv 18</w:t>
        </w:r>
      </w:hyperlink>
      <w:r>
        <w:t>). Elles pratiquent aussi le spiritisme, les augures, la sorcellerie et la nécromancie, pratiques interdites aux Hébreux (</w:t>
      </w:r>
      <w:hyperlink r:id="rId9138">
        <w:r>
          <w:rPr>
            <w:color w:val="0000EE"/>
            <w:u w:val="single"/>
          </w:rPr>
          <w:t xml:space="preserve">19.26 </w:t>
        </w:r>
      </w:hyperlink>
      <w:r>
        <w:t xml:space="preserve">; </w:t>
      </w:r>
      <w:hyperlink r:id="rId10563">
        <w:r>
          <w:rPr>
            <w:color w:val="0000EE"/>
            <w:u w:val="single"/>
          </w:rPr>
          <w:t>20.6</w:t>
        </w:r>
      </w:hyperlink>
      <w:r>
        <w:t>). Ces nations adorent de nombreux dieux et sacrifient des êtres humains, souvent des enfants. Ces rituels sont détestables devant Dieu (</w:t>
      </w:r>
      <w:hyperlink r:id="rId10564">
        <w:r>
          <w:rPr>
            <w:color w:val="0000EE"/>
            <w:u w:val="single"/>
          </w:rPr>
          <w:t xml:space="preserve">Lv 20.1–5 </w:t>
        </w:r>
      </w:hyperlink>
      <w:r>
        <w:t xml:space="preserve">; </w:t>
      </w:r>
      <w:hyperlink r:id="rId10565">
        <w:r>
          <w:rPr>
            <w:color w:val="0000EE"/>
            <w:u w:val="single"/>
          </w:rPr>
          <w:t>2R 17.29–34</w:t>
        </w:r>
      </w:hyperlink>
      <w:r>
        <w:t>). Le prophète Ésaïe critique fortement l'ouvrier qui utilise une partie de la branche d'un arbre pour faire du feu et l'autre partie pour fabriquer une idole taillée qu'il adore ensuite (</w:t>
      </w:r>
      <w:hyperlink r:id="rId10566">
        <w:r>
          <w:rPr>
            <w:color w:val="0000EE"/>
            <w:u w:val="single"/>
          </w:rPr>
          <w:t>Es 44.12–20</w:t>
        </w:r>
      </w:hyperlink>
      <w:r>
        <w:t>). Les Baals et les Astartés, dieux de fertilité des Cananéens, sont une source constante de tentation pour le peuple d'Israël. L'Écriture répète plusieurs fois que c'est pour cela que Dieu chasse ces nations et donne leurs territoires à Israël (</w:t>
      </w:r>
      <w:hyperlink r:id="rId10567">
        <w:r>
          <w:rPr>
            <w:color w:val="0000EE"/>
            <w:u w:val="single"/>
          </w:rPr>
          <w:t xml:space="preserve">Ex 34.24 </w:t>
        </w:r>
      </w:hyperlink>
      <w:r>
        <w:t xml:space="preserve">; </w:t>
      </w:r>
      <w:hyperlink r:id="rId10568">
        <w:r>
          <w:rPr>
            <w:color w:val="0000EE"/>
            <w:u w:val="single"/>
          </w:rPr>
          <w:t>Dt 12.29–31</w:t>
        </w:r>
      </w:hyperlink>
      <w:r>
        <w:t>). Des oracles prophétiques renforcent ce portrait négatif des nations (</w:t>
      </w:r>
      <w:hyperlink r:id="rId10569">
        <w:r>
          <w:rPr>
            <w:color w:val="0000EE"/>
            <w:u w:val="single"/>
          </w:rPr>
          <w:t xml:space="preserve">Jr 46–51 </w:t>
        </w:r>
      </w:hyperlink>
      <w:r>
        <w:t xml:space="preserve">; </w:t>
      </w:r>
      <w:hyperlink r:id="rId808">
        <w:r>
          <w:rPr>
            <w:color w:val="0000EE"/>
            <w:u w:val="single"/>
          </w:rPr>
          <w:t>Am 1.3–2.3</w:t>
        </w:r>
      </w:hyperlink>
      <w:r>
        <w:t>).</w:t>
      </w:r>
    </w:p>
    <w:p>
      <w:r/>
      <w:r>
        <w:t>Cependant, il y a aussi dans l'Écriture une vision plus positive des nations. Comme l'indiquent souvent les Psaumes, Dieu ne s'intéresse pas uniquement à Israël. Ses yeux veillent sur les nations, et toute la terre le loue et l'adore (</w:t>
      </w:r>
      <w:hyperlink r:id="rId10570">
        <w:r>
          <w:rPr>
            <w:color w:val="0000EE"/>
            <w:u w:val="single"/>
          </w:rPr>
          <w:t>Ps 66.1–8</w:t>
        </w:r>
      </w:hyperlink>
      <w:r>
        <w:t>). Le psalmiste prie pour que toutes les nations sachent que Dieu a le pouvoir de sauver. Il affirme que Dieu juge les peuples avec justice et guide les nations. Toutes les extrémités de la terre doivent le craindre (</w:t>
      </w:r>
      <w:hyperlink r:id="rId10571">
        <w:r>
          <w:rPr>
            <w:color w:val="0000EE"/>
            <w:u w:val="single"/>
          </w:rPr>
          <w:t>67.7</w:t>
        </w:r>
      </w:hyperlink>
      <w:r>
        <w:t>). Le prophète Ésaïe déclare aussi que le temple de Jérusalem doit être une maison de prière pour tous les peuples et que Dieu accueille l'étranger qui y amène des sacrifices et vient l'adorer (</w:t>
      </w:r>
      <w:hyperlink r:id="rId10572">
        <w:r>
          <w:rPr>
            <w:color w:val="0000EE"/>
            <w:u w:val="single"/>
          </w:rPr>
          <w:t>Es 56.6–8</w:t>
        </w:r>
      </w:hyperlink>
      <w:r>
        <w:t>). Ésaïe présente une vision de ce qui arrivera dans les derniers jours. Dans cette vision, des gens de toutes les nations viendront en foule à Jérusalem pour adorer le Seigneur et pour apprendre ses voies. Au lieu de faire la guerre entre elles, les nations vivront en paix, gouvernées par Dieu (</w:t>
      </w:r>
      <w:hyperlink r:id="rId10573">
        <w:r>
          <w:rPr>
            <w:color w:val="0000EE"/>
            <w:u w:val="single"/>
          </w:rPr>
          <w:t>2.2–4</w:t>
        </w:r>
      </w:hyperlink>
      <w:r>
        <w:t>).</w:t>
      </w:r>
    </w:p>
    <w:p>
      <w:pPr>
        <w:pStyle w:val="Heading3"/>
      </w:pPr>
      <w:r>
        <w:t>Les nations dans le Nouveau Testament</w:t>
      </w:r>
    </w:p>
    <w:p>
      <w:r/>
      <w:r>
        <w:t>Selon les Évangiles, Jésus a prêché non seulement aux Juifs mais aussi aux nations païennes (les Gentils) comme prédit dans l'Ancien Testament (</w:t>
      </w:r>
      <w:hyperlink r:id="rId10574">
        <w:r>
          <w:rPr>
            <w:color w:val="0000EE"/>
            <w:u w:val="single"/>
          </w:rPr>
          <w:t>Mt 4.15–16</w:t>
        </w:r>
      </w:hyperlink>
      <w:r>
        <w:t>). Le Nouveau Testament montre Jésus enseignant en Galilée, une région principalement non juive. Jésus se rend à Tyr et à Sidon (</w:t>
      </w:r>
      <w:hyperlink r:id="rId10575">
        <w:r>
          <w:rPr>
            <w:color w:val="0000EE"/>
            <w:u w:val="single"/>
          </w:rPr>
          <w:t>Mc 7.24</w:t>
        </w:r>
      </w:hyperlink>
      <w:r>
        <w:t xml:space="preserve">) et dans la région de la Décapole (v. </w:t>
      </w:r>
      <w:hyperlink r:id="rId1927">
        <w:r>
          <w:rPr>
            <w:color w:val="0000EE"/>
            <w:u w:val="single"/>
          </w:rPr>
          <w:t>31</w:t>
        </w:r>
      </w:hyperlink>
      <w:r>
        <w:t>). Il guérit le serviteur d'un centurion romain (</w:t>
      </w:r>
      <w:hyperlink r:id="rId10576">
        <w:r>
          <w:rPr>
            <w:color w:val="0000EE"/>
            <w:u w:val="single"/>
          </w:rPr>
          <w:t>Lc 7.1–10</w:t>
        </w:r>
      </w:hyperlink>
      <w:r>
        <w:t xml:space="preserve">), ressuscite le fils de la veuve de Naïn (v. </w:t>
      </w:r>
      <w:hyperlink r:id="rId10577">
        <w:r>
          <w:rPr>
            <w:color w:val="0000EE"/>
            <w:u w:val="single"/>
          </w:rPr>
          <w:t>11–17</w:t>
        </w:r>
      </w:hyperlink>
      <w:r>
        <w:t>) et chasse le démon de la fille d'une femme syro-phénicienne (</w:t>
      </w:r>
      <w:hyperlink r:id="rId6112">
        <w:r>
          <w:rPr>
            <w:color w:val="0000EE"/>
            <w:u w:val="single"/>
          </w:rPr>
          <w:t>Mc 7.26</w:t>
        </w:r>
      </w:hyperlink>
      <w:r>
        <w:t>). Des gens d'Idumée sont parmi ceux qui sont venus voir ses miracles (</w:t>
      </w:r>
      <w:hyperlink r:id="rId9041">
        <w:r>
          <w:rPr>
            <w:color w:val="0000EE"/>
            <w:u w:val="single"/>
          </w:rPr>
          <w:t>3.8</w:t>
        </w:r>
      </w:hyperlink>
      <w:r>
        <w:t>).</w:t>
      </w:r>
    </w:p>
    <w:p>
      <w:r/>
      <w:r>
        <w:t>L'enseignement de Jésus parle aussi des nations. Au jugement, toutes les nations seront assemblées devant le Fils de l'homme (</w:t>
      </w:r>
      <w:hyperlink r:id="rId7838">
        <w:r>
          <w:rPr>
            <w:color w:val="0000EE"/>
            <w:u w:val="single"/>
          </w:rPr>
          <w:t>Mt 25.31–46</w:t>
        </w:r>
      </w:hyperlink>
      <w:r>
        <w:t>). Jésus commande aux apôtres de faire « de toutes les nations des disciples » (</w:t>
      </w:r>
      <w:hyperlink r:id="rId4190">
        <w:r>
          <w:rPr>
            <w:color w:val="0000EE"/>
            <w:u w:val="single"/>
          </w:rPr>
          <w:t>Mt 28.19</w:t>
        </w:r>
      </w:hyperlink>
      <w:r>
        <w:t>). Il dit aussi que beaucoup viendront de nations non juives et « seront à table avec Abraham, Isaac et Jacob, dans le royaume des cieux ».</w:t>
      </w:r>
    </w:p>
    <w:p>
      <w:r/>
      <w:r>
        <w:t>Le livre des Actes ne minimise pas le rôle des nations dans la mort de Jésus (</w:t>
      </w:r>
      <w:hyperlink r:id="rId10578">
        <w:r>
          <w:rPr>
            <w:color w:val="0000EE"/>
            <w:u w:val="single"/>
          </w:rPr>
          <w:t>Ac 4.27</w:t>
        </w:r>
      </w:hyperlink>
      <w:r>
        <w:t>) ni leur opposition au ministère de Paul : « Je te délivrerai de ce peuple et des non-Juifs, vers qui, moi, je t’envoie » (</w:t>
      </w:r>
      <w:hyperlink r:id="rId1075">
        <w:r>
          <w:rPr>
            <w:color w:val="0000EE"/>
            <w:u w:val="single"/>
          </w:rPr>
          <w:t>26.17</w:t>
        </w:r>
      </w:hyperlink>
      <w:r>
        <w:t xml:space="preserve"> Nouvelle Bible Segond). Toutefois, le livre des Actes montre très clairement que l'Église accomplit sa mission de présenter l'Évangile aux peuples non juifs. Pierre proclame le message de Jésus à la famille de Corneille, un soldat romain de la cohorte italienne (chap. </w:t>
      </w:r>
      <w:hyperlink r:id="rId183">
        <w:r>
          <w:rPr>
            <w:color w:val="0000EE"/>
            <w:u w:val="single"/>
          </w:rPr>
          <w:t>10</w:t>
        </w:r>
      </w:hyperlink>
      <w:r>
        <w:t>). Au début, l'Église primitive a du mal à accepter que les peuples non juifs puissent librement recevoir le don de l'Esprit, mais elle finit par comprendre que Dieu est prêt à bénir tous les peuples (</w:t>
      </w:r>
      <w:hyperlink r:id="rId10579">
        <w:r>
          <w:rPr>
            <w:color w:val="0000EE"/>
            <w:u w:val="single"/>
          </w:rPr>
          <w:t xml:space="preserve">11.1–8 </w:t>
        </w:r>
      </w:hyperlink>
      <w:r>
        <w:t xml:space="preserve">; </w:t>
      </w:r>
      <w:hyperlink r:id="rId10580">
        <w:r>
          <w:rPr>
            <w:color w:val="0000EE"/>
            <w:u w:val="single"/>
          </w:rPr>
          <w:t>15.1–29</w:t>
        </w:r>
      </w:hyperlink>
      <w:r>
        <w:t>). Paul voyage à travers Chypre, l'Asie Mineure, la Grèce et l'Italie, fondant ou visitant des Églises qui sont principalement non-juives. Le livre des Actes prend fin de façon spectaculaire : Paul prêchant l'Évangile dans la ville de Rome, le cœur même de l'Empire romain.</w:t>
      </w:r>
      <w:r/>
      <w:r/>
    </w:p>
    <w:p>
      <w:r/>
    </w:p>
    <w:p>
      <w:pPr>
        <w:pStyle w:val="Heading2"/>
      </w:pPr>
      <w:r>
        <w:t>Nazaréens</w:t>
      </w:r>
      <w:r/>
    </w:p>
    <w:p>
      <w:r/>
      <w:r>
        <w:t>Nom donné à ceux qui suivaient Jésus de Nazareth. Puisque Jésus était conu sous le nom de « Jésus de Nazareth » ou « Jésus le Nazaréen », il était facile de transférer ce titre à ses disciples. Ils étaient « disciples du Nazaréen » ou « Nazaréens ».</w:t>
      </w:r>
    </w:p>
    <w:p>
      <w:r/>
      <w:r>
        <w:t xml:space="preserve">La première utilisation du terme se trouve dans </w:t>
      </w:r>
      <w:hyperlink r:id="rId6416">
        <w:r>
          <w:rPr>
            <w:color w:val="0000EE"/>
            <w:u w:val="single"/>
          </w:rPr>
          <w:t>Actes 24.5.</w:t>
        </w:r>
      </w:hyperlink>
      <w:r>
        <w:t xml:space="preserve"> Tertulle y accuse l'apôtre Paul d'être « </w:t>
      </w:r>
      <w:r>
        <w:t>chef de la secte des Nazaréens</w:t>
      </w:r>
      <w:r>
        <w:t xml:space="preserve"> », ce qui n'était pas censé être un compliment.</w:t>
      </w:r>
    </w:p>
    <w:p>
      <w:r/>
      <w:r>
        <w:t xml:space="preserve">Les premiers chrétiens n'ont probablement pas utilisé ce nom pour eux-mêmes. Cependant, plus tard, des groupes judéo-chrétiens et gnostiques (groupes religieux qui mettaient l'accent sur une connaissance secrète spéciale) se sont appelés Nazaréens. Un écrit ancien était même intitulé </w:t>
      </w:r>
      <w:r>
        <w:rPr>
          <w:i/>
        </w:rPr>
        <w:t>L'Évangile des Nazaréens</w:t>
      </w:r>
      <w:r>
        <w:t>.</w:t>
      </w:r>
      <w:r/>
      <w:r/>
    </w:p>
    <w:p>
      <w:r/>
    </w:p>
    <w:p>
      <w:pPr>
        <w:pStyle w:val="Heading2"/>
      </w:pPr>
      <w:r>
        <w:t>Naziréen, Naziréat</w:t>
      </w:r>
      <w:r/>
    </w:p>
    <w:p>
      <w:r/>
      <w:r>
        <w:t>Personne choisie ou consacrée à vie ou pour une période déterminée pour accomplir un vœu envers Dieu. Le naziréen (personne qui fait un vœu de naziréat) se consacrait à une discipline auto-imposée afin d'accomplir un service spécial (</w:t>
      </w:r>
      <w:hyperlink r:id="rId7963">
        <w:r>
          <w:rPr>
            <w:color w:val="0000EE"/>
            <w:u w:val="single"/>
          </w:rPr>
          <w:t>Nb 6.1–21</w:t>
        </w:r>
      </w:hyperlink>
      <w:r>
        <w:t>).</w:t>
      </w:r>
    </w:p>
    <w:p>
      <w:r/>
      <w:r>
        <w:t>La tradition israélite considérait le naziréen comme consacré à vie. Samson était l'ancien héros des naziréens. Il était « consacré à Dieu » par le vœu de sa mère (</w:t>
      </w:r>
      <w:hyperlink r:id="rId10581">
        <w:r>
          <w:rPr>
            <w:color w:val="0000EE"/>
            <w:u w:val="single"/>
          </w:rPr>
          <w:t>Jg 13.5</w:t>
        </w:r>
      </w:hyperlink>
      <w:r>
        <w:t xml:space="preserve"> ; </w:t>
      </w:r>
      <w:hyperlink r:id="rId10582">
        <w:r>
          <w:rPr>
            <w:color w:val="0000EE"/>
            <w:u w:val="single"/>
          </w:rPr>
          <w:t>16.17</w:t>
        </w:r>
      </w:hyperlink>
      <w:r>
        <w:t>) et est resté sous ce vœu jusqu'au « jour de sa mort » (</w:t>
      </w:r>
      <w:hyperlink r:id="rId7962">
        <w:r>
          <w:rPr>
            <w:color w:val="0000EE"/>
            <w:u w:val="single"/>
          </w:rPr>
          <w:t>13.7</w:t>
        </w:r>
      </w:hyperlink>
      <w:r>
        <w:t>). Tant que les cheveux de Samson n'étaient pas coupés, il pouvait recevoir l'Esprit du Seigneur et ainsi accomplir des exploits physiques étonnants.</w:t>
      </w:r>
    </w:p>
    <w:p>
      <w:r/>
      <w:r>
        <w:t>Les premiers vœux de naziréat ont peut-être été associés à des cérémonies de guerre sainte. Les combattants étaient consacrés à Dieu et portaient peut-être de longs cheveux (</w:t>
      </w:r>
      <w:hyperlink r:id="rId10581">
        <w:r>
          <w:rPr>
            <w:color w:val="0000EE"/>
            <w:u w:val="single"/>
          </w:rPr>
          <w:t>Jg 13.5</w:t>
        </w:r>
      </w:hyperlink>
      <w:r>
        <w:t>). Le prophète Samuel ne coupait pas ses cheveux à cause du vœu de sa mère selon lequel aucun rasoir ne toucherait sa tête (</w:t>
      </w:r>
      <w:hyperlink r:id="rId10583">
        <w:r>
          <w:rPr>
            <w:color w:val="0000EE"/>
            <w:u w:val="single"/>
          </w:rPr>
          <w:t>1S 1.11</w:t>
        </w:r>
      </w:hyperlink>
      <w:r>
        <w:t>) ; la Septante ajoute qu'il ne devait pas boire de vin. Le vœu de naziréat de ne pas couper ses cheveux était associé à la consécration au service de Dieu et était particulièrement courant pendant les jours charismatiques des premiers dirigeants d'Israël.</w:t>
      </w:r>
    </w:p>
    <w:p>
      <w:r/>
      <w:r>
        <w:t>Le naziritisme s'est développé en un rituel pour ceux qui cherchaient à se consacrer temporairement à Dieu. Lors de la période de consécration, le dévot s'abstenait de boire du vin, laissait pousser ses cheveux et évitait tout contact avec des cadavres.</w:t>
      </w:r>
    </w:p>
    <w:p>
      <w:r/>
      <w:r>
        <w:t>Les cheveux non coupés symbolisent la force et la vie. Peut-être est-ce le sens voulu de nazir lorsqu'il est utilisé pour décrire Joseph dans la bénédiction de Jacob (</w:t>
      </w:r>
      <w:hyperlink r:id="rId6492">
        <w:r>
          <w:rPr>
            <w:color w:val="0000EE"/>
            <w:u w:val="single"/>
          </w:rPr>
          <w:t>Gn 49.26</w:t>
        </w:r>
      </w:hyperlink>
      <w:r>
        <w:t>) et dans la bénédiction de Moïse (</w:t>
      </w:r>
      <w:hyperlink r:id="rId10584">
        <w:r>
          <w:rPr>
            <w:color w:val="0000EE"/>
            <w:u w:val="single"/>
          </w:rPr>
          <w:t>Dt 33.16</w:t>
        </w:r>
      </w:hyperlink>
      <w:r>
        <w:t>). Les vignobles qui n'étaient pas taillés pendant les années sabbatiques ou jubilaires étaient dits nazir</w:t>
      </w:r>
      <w:r>
        <w:rPr>
          <w:i/>
        </w:rPr>
        <w:t>.</w:t>
      </w:r>
    </w:p>
    <w:p>
      <w:r/>
      <w:r>
        <w:t>À des époques ultérieures, toucher ou s'approcher d'un cadavre était l'offense la plus grave contre le vœu. Si quelqu'un mourait en sa présence, un naziréen devenait impur. Un naziréen ainsi contaminé devait se raser la « tête souillée » le jour de la purification. Ensuite, il devait apporter deux jeunes pigeons au prêtre, qui en offrait un en sacrifice pour le péché. Enfin, il devait apporter un agneau mâle pour un sacrifice de culpabilité (</w:t>
      </w:r>
      <w:hyperlink r:id="rId10585">
        <w:r>
          <w:rPr>
            <w:color w:val="0000EE"/>
            <w:u w:val="single"/>
          </w:rPr>
          <w:t>Nb 6.9–12</w:t>
        </w:r>
      </w:hyperlink>
      <w:r>
        <w:t>). À cause de cette souillure, le naziréen devait recommencer ses jours de séparation.</w:t>
      </w:r>
    </w:p>
    <w:p>
      <w:r/>
      <w:r>
        <w:t>À la fin de sa période de séparation, il se « profanait » par une cérémonie : il offrait un sacrifice pour le péché et un sacrifice de communion, puis se rasait la tête et brûlait ses cheveux. Ensuite, le naziréen retournait à sa vie normale et pouvait de nouveau boire du vin (</w:t>
      </w:r>
      <w:hyperlink r:id="rId10586">
        <w:r>
          <w:rPr>
            <w:color w:val="0000EE"/>
            <w:u w:val="single"/>
          </w:rPr>
          <w:t>Nb 6.13–21</w:t>
        </w:r>
      </w:hyperlink>
      <w:r>
        <w:t>).</w:t>
      </w:r>
    </w:p>
    <w:p>
      <w:r/>
      <w:r>
        <w:t>Paul a accompli un vœu similaire à Cenchrées à l'époque du Nouveau Testament (</w:t>
      </w:r>
      <w:hyperlink r:id="rId2156">
        <w:r>
          <w:rPr>
            <w:color w:val="0000EE"/>
            <w:u w:val="single"/>
          </w:rPr>
          <w:t>Ac 18.18</w:t>
        </w:r>
      </w:hyperlink>
      <w:r>
        <w:t>) et, de nouveau, avec quatre autres Naziréens à Jérusalem (</w:t>
      </w:r>
      <w:hyperlink r:id="rId10587">
        <w:r>
          <w:rPr>
            <w:color w:val="0000EE"/>
            <w:u w:val="single"/>
          </w:rPr>
          <w:t>Ac 21.23–24</w:t>
        </w:r>
      </w:hyperlink>
      <w:r>
        <w:t>). Dans le Talmud, la période de consécration était généralement de trente jours. Il était d'usage pour les riches d'aider les pauvres Naziréens dans l'achat de leurs offrandes. Pendant la période maccabéenne, les Naziréens n'ont pas pu accomplir leurs rites parce que le temple était profané (</w:t>
      </w:r>
      <w:hyperlink r:id="rId10588">
        <w:r>
          <w:rPr>
            <w:color w:val="0000EE"/>
            <w:u w:val="single"/>
          </w:rPr>
          <w:t>1 M 3.49–51</w:t>
        </w:r>
      </w:hyperlink>
      <w:r>
        <w:t>).</w:t>
      </w:r>
      <w:r/>
      <w:r/>
    </w:p>
    <w:p>
      <w:r/>
    </w:p>
    <w:p>
      <w:pPr>
        <w:pStyle w:val="Heading2"/>
      </w:pPr>
      <w:r>
        <w:t>Néapolis</w:t>
      </w:r>
      <w:r/>
    </w:p>
    <w:p>
      <w:r/>
      <w:r>
        <w:t>Néapolis était une ville portuaire qui desservait la grande ville de Philippes. Aujourd'hui, cette ville antique est connue sous le nom de Kavalla. Le nom Néapolis vient d'un mot grec signifiant « nouvelle ville ». Néapolis existait dès le 5e siècle av. J.‑C. À l'époque de l'Empire romain, Néapolis dépendait de manière évidente de la ville voisine de Philippes.</w:t>
      </w:r>
    </w:p>
    <w:p>
      <w:r/>
      <w:r>
        <w:t>L'apôtre Paul a rêvé d'un homme de Macédoine demandant de l'aide. C'est après cela qu'il a quitté Troas et le continent d'Asie pour voyager vers le continent européen. Paul et ses compagnons ont navigué au-delà de l'île de Samothrace puis sont arrivés à Néapolis. Cela a fait de Néapolis la première ville européenne que Paul a visitée lors de ses voyages missionnaires (</w:t>
      </w:r>
      <w:hyperlink r:id="rId8229">
        <w:r>
          <w:rPr>
            <w:color w:val="0000EE"/>
            <w:u w:val="single"/>
          </w:rPr>
          <w:t>Ac 16.11</w:t>
        </w:r>
      </w:hyperlink>
      <w:r>
        <w:t>).</w:t>
      </w:r>
      <w:r/>
      <w:r/>
    </w:p>
    <w:p>
      <w:r/>
    </w:p>
    <w:p>
      <w:pPr>
        <w:pStyle w:val="Heading2"/>
      </w:pPr>
      <w:r>
        <w:t>Nebajoth</w:t>
      </w:r>
      <w:r/>
    </w:p>
    <w:p>
      <w:r/>
      <w:r>
        <w:t>Le premier-né des douze fils d'Ismaël (</w:t>
      </w:r>
      <w:hyperlink r:id="rId8053">
        <w:r>
          <w:rPr>
            <w:color w:val="0000EE"/>
            <w:u w:val="single"/>
          </w:rPr>
          <w:t>Gn 25.13</w:t>
        </w:r>
      </w:hyperlink>
      <w:r>
        <w:t xml:space="preserve"> ; </w:t>
      </w:r>
      <w:hyperlink r:id="rId1270">
        <w:r>
          <w:rPr>
            <w:color w:val="0000EE"/>
            <w:u w:val="single"/>
          </w:rPr>
          <w:t>1Ch 1.29</w:t>
        </w:r>
      </w:hyperlink>
      <w:r>
        <w:t xml:space="preserve">). Sa sœur était Mahalath, également appelée « Basmath » (voir </w:t>
      </w:r>
      <w:hyperlink r:id="rId1715">
        <w:r>
          <w:rPr>
            <w:color w:val="0000EE"/>
            <w:u w:val="single"/>
          </w:rPr>
          <w:t>Gn 36.3</w:t>
        </w:r>
      </w:hyperlink>
      <w:r>
        <w:t>). Elle épousera plus tard Ésaü (</w:t>
      </w:r>
      <w:hyperlink r:id="rId1717">
        <w:r>
          <w:rPr>
            <w:color w:val="0000EE"/>
            <w:u w:val="single"/>
          </w:rPr>
          <w:t>Gn 28.9</w:t>
        </w:r>
      </w:hyperlink>
      <w:r>
        <w:t>).</w:t>
      </w:r>
    </w:p>
    <w:p>
      <w:r/>
      <w:r>
        <w:t>L'identité des descendants de Nebajoth est incertaine. Ils pourraient être les ancêtres de la tribu arabe nabatéenne qui possédait la terre d'Édom et certaines parties de la région à l'est du Jourdain (Transjordanie) jusqu'au nord de Palmyre (ancienne Thadmor). Les descendants de Nebajoth et de Kédar sont connus pour leurs excellents troupeaux de moutons (</w:t>
      </w:r>
      <w:hyperlink r:id="rId1097">
        <w:r>
          <w:rPr>
            <w:color w:val="0000EE"/>
            <w:u w:val="single"/>
          </w:rPr>
          <w:t>Es 60.7</w:t>
        </w:r>
      </w:hyperlink>
      <w:r>
        <w:t xml:space="preserve">). Ils sont également mentionnés dans les écrits du roi assyrien </w:t>
      </w:r>
      <w:r>
        <w:t>Assurbanipal</w:t>
      </w:r>
      <w:r>
        <w:t>, qui a vécu au 7e siècle av. J.‑C.</w:t>
      </w:r>
      <w:r/>
      <w:r/>
    </w:p>
    <w:p>
      <w:r/>
    </w:p>
    <w:p>
      <w:pPr>
        <w:pStyle w:val="Heading2"/>
      </w:pPr>
      <w:r>
        <w:t>Néguev, Négueb</w:t>
      </w:r>
      <w:r/>
    </w:p>
    <w:p>
      <w:r/>
      <w:r>
        <w:t>Région la plus méridionale de la Palestine. Le nom vient de la racine « être sec, desséché », bien que sa signification de base soit « pays du sud, midi ». Il s'agit d'une zone sans limites géographiques précises. Du nord au sud, le Néguev recouvre la zone entre Beer-Schéba et Kadès-Barnéa. D'ouest en est, il s'étend de près de la Méditerranée à la plaine, sur une distance d'environ 110 km.</w:t>
      </w:r>
    </w:p>
    <w:p>
      <w:r/>
      <w:r>
        <w:t>Il s'agit d'une région aride, avec des précipitations rares et limitées. Avec des ressources en eau restreintes, il y avait peu d'opportunités pour l'agriculture, bien que dans la région nord, une petite agriculture céréalière ait été pratiquée à petite échelle, avec possiblement une récolte ratée tous les trois ans. Une économie pastorale existait, principalement basée sur l'élevage de moutons, de chèvres et de chameaux. Siméon recevra ce territoire, incluant les villes telles qu'Arad et Rehoboth, lors de la division tribale de la Terre Promise. Plus tard, Juda absorbera cette tribu. Pendant la monarchie, les Israélites pénétreront dans le Néguev. Sous les règnes de Salomon et Josaphat, il y avait un trafic commercial vers et depuis le port d'Étsjon-Guéber sur le golfe d'Aqaba. À l'époque gréco-romaine, les Nabatéens habitaient le Néguev. Grâce à une préservation soigneuse de l'eau de pluie, ils développeront une agriculture limitée et soutiendront un certain nombre de villes. À l'époque du Nouveau Testament, les Iduméens contrôlaient le Néguev.</w:t>
      </w:r>
    </w:p>
    <w:p>
      <w:r/>
      <w:r>
        <w:t>La version LSG n'utilise pas le terme Néguev mais le traduit généralement par « le midi ». En revanche, les versions NBS, TOB2010 et BDS utilisent régulièrement le nom pour désigner le territoire. Abraham était souvent associé au Néguev (</w:t>
      </w:r>
      <w:hyperlink r:id="rId10589">
        <w:r>
          <w:rPr>
            <w:color w:val="0000EE"/>
            <w:u w:val="single"/>
          </w:rPr>
          <w:t>Gn 12.9</w:t>
        </w:r>
      </w:hyperlink>
      <w:r>
        <w:t xml:space="preserve"> ; </w:t>
      </w:r>
      <w:hyperlink r:id="rId10590">
        <w:r>
          <w:rPr>
            <w:color w:val="0000EE"/>
            <w:u w:val="single"/>
          </w:rPr>
          <w:t>13.1–2</w:t>
        </w:r>
      </w:hyperlink>
      <w:r>
        <w:t xml:space="preserve"> ; </w:t>
      </w:r>
      <w:hyperlink r:id="rId10591">
        <w:r>
          <w:rPr>
            <w:color w:val="0000EE"/>
            <w:u w:val="single"/>
          </w:rPr>
          <w:t>20.1</w:t>
        </w:r>
      </w:hyperlink>
      <w:r>
        <w:t xml:space="preserve">). David dira à Akisch, roi de Gath, qu'il avait fait des incursions dans « </w:t>
      </w:r>
      <w:r>
        <w:t>le Néguev de Juda</w:t>
      </w:r>
      <w:r>
        <w:t xml:space="preserve"> », « </w:t>
      </w:r>
      <w:r>
        <w:t>le Néguev des Yerahméélites</w:t>
      </w:r>
      <w:r>
        <w:t xml:space="preserve"> » et « </w:t>
      </w:r>
      <w:r>
        <w:t>le Néguev des Caïnites [Kéniens]</w:t>
      </w:r>
      <w:r>
        <w:t xml:space="preserve"> » (</w:t>
      </w:r>
      <w:hyperlink r:id="rId8108">
        <w:r>
          <w:rPr>
            <w:color w:val="0000EE"/>
            <w:u w:val="single"/>
          </w:rPr>
          <w:t>1S 27.10</w:t>
        </w:r>
      </w:hyperlink>
      <w:r>
        <w:t xml:space="preserve">, NBS), tandis que l'Égyptien capturé par David déclarera que les Amalécites avaient fait des incursions contre « </w:t>
      </w:r>
      <w:r>
        <w:t>le Néguev des Kérétites</w:t>
      </w:r>
      <w:r>
        <w:t xml:space="preserve"> » et « </w:t>
      </w:r>
      <w:r>
        <w:t>le Néguev de Caleb</w:t>
      </w:r>
      <w:r>
        <w:t xml:space="preserve"> » (</w:t>
      </w:r>
      <w:hyperlink r:id="rId10592">
        <w:r>
          <w:rPr>
            <w:color w:val="0000EE"/>
            <w:u w:val="single"/>
          </w:rPr>
          <w:t>1S 30.14</w:t>
        </w:r>
      </w:hyperlink>
      <w:r>
        <w:t>).</w:t>
      </w:r>
      <w:r/>
      <w:r/>
    </w:p>
    <w:p>
      <w:r/>
    </w:p>
    <w:p>
      <w:pPr>
        <w:pStyle w:val="Heading2"/>
      </w:pPr>
      <w:r>
        <w:t>Nemuel</w:t>
      </w:r>
      <w:r/>
    </w:p>
    <w:p>
      <w:r/>
      <w:r>
        <w:t>1. Rubénite et fils d'Éliab (</w:t>
      </w:r>
      <w:hyperlink r:id="rId10593">
        <w:r>
          <w:rPr>
            <w:color w:val="0000EE"/>
            <w:u w:val="single"/>
          </w:rPr>
          <w:t>Nb 26.9</w:t>
        </w:r>
      </w:hyperlink>
      <w:r>
        <w:t>).</w:t>
      </w:r>
    </w:p>
    <w:p>
      <w:r/>
      <w:r>
        <w:t>2. Un des fils de Siméon (</w:t>
      </w:r>
      <w:hyperlink r:id="rId7093">
        <w:r>
          <w:rPr>
            <w:color w:val="0000EE"/>
            <w:u w:val="single"/>
          </w:rPr>
          <w:t>Nb 26.12</w:t>
        </w:r>
      </w:hyperlink>
      <w:r>
        <w:t xml:space="preserve"> ; </w:t>
      </w:r>
      <w:hyperlink r:id="rId7094">
        <w:r>
          <w:rPr>
            <w:color w:val="0000EE"/>
            <w:u w:val="single"/>
          </w:rPr>
          <w:t>1Ch 4.24</w:t>
        </w:r>
      </w:hyperlink>
      <w:r>
        <w:t>), également appelé Jemuel (</w:t>
      </w:r>
      <w:hyperlink r:id="rId7091">
        <w:r>
          <w:rPr>
            <w:color w:val="0000EE"/>
            <w:u w:val="single"/>
          </w:rPr>
          <w:t>Gn 46.10</w:t>
        </w:r>
      </w:hyperlink>
      <w:r>
        <w:t xml:space="preserve">). </w:t>
      </w:r>
      <w:r>
        <w:rPr>
          <w:i/>
        </w:rPr>
        <w:t>Voir</w:t>
      </w:r>
      <w:r>
        <w:t xml:space="preserve"> </w:t>
      </w:r>
      <w:r>
        <w:t>Jemuel</w:t>
      </w:r>
      <w:r>
        <w:t>.</w:t>
      </w:r>
      <w:r/>
      <w:r/>
    </w:p>
    <w:p>
      <w:r/>
    </w:p>
    <w:p>
      <w:pPr>
        <w:pStyle w:val="Heading2"/>
      </w:pPr>
      <w:r>
        <w:t>Nemuelite</w:t>
      </w:r>
      <w:r/>
    </w:p>
    <w:p>
      <w:r/>
      <w:r>
        <w:t>Membre de la famille de Nemuel de la tribu de Siméon (</w:t>
      </w:r>
      <w:hyperlink r:id="rId7093">
        <w:r>
          <w:rPr>
            <w:color w:val="0000EE"/>
            <w:u w:val="single"/>
          </w:rPr>
          <w:t>Nb 26.12</w:t>
        </w:r>
      </w:hyperlink>
      <w:r>
        <w:t xml:space="preserve"> ; également appelé Jemuel dans </w:t>
      </w:r>
      <w:hyperlink r:id="rId7091">
        <w:r>
          <w:rPr>
            <w:color w:val="0000EE"/>
            <w:u w:val="single"/>
          </w:rPr>
          <w:t>Gn 46.10</w:t>
        </w:r>
      </w:hyperlink>
      <w:r>
        <w:t xml:space="preserve">). </w:t>
      </w:r>
      <w:r>
        <w:rPr>
          <w:i/>
        </w:rPr>
        <w:t>Voir</w:t>
      </w:r>
      <w:r>
        <w:t xml:space="preserve"> </w:t>
      </w:r>
      <w:r>
        <w:t>Jemuel</w:t>
      </w:r>
      <w:r>
        <w:t>.</w:t>
      </w:r>
      <w:r/>
      <w:r/>
    </w:p>
    <w:p>
      <w:r/>
    </w:p>
    <w:p>
      <w:pPr>
        <w:pStyle w:val="Heading2"/>
      </w:pPr>
      <w:r>
        <w:t>Nephilim</w:t>
      </w:r>
      <w:r/>
    </w:p>
    <w:p>
      <w:r/>
      <w:r>
        <w:t>Groupe ancien de personnes mentionné à deux reprises seulement dans l'Ancien Testament (</w:t>
      </w:r>
      <w:hyperlink r:id="rId5909">
        <w:r>
          <w:rPr>
            <w:color w:val="0000EE"/>
            <w:u w:val="single"/>
          </w:rPr>
          <w:t>Gn 6.4</w:t>
        </w:r>
      </w:hyperlink>
      <w:r>
        <w:t xml:space="preserve"> ; </w:t>
      </w:r>
      <w:hyperlink r:id="rId5910">
        <w:r>
          <w:rPr>
            <w:color w:val="0000EE"/>
            <w:u w:val="single"/>
          </w:rPr>
          <w:t>Nb 13.33</w:t>
        </w:r>
      </w:hyperlink>
      <w:r>
        <w:t>). La traduction grecque des Écritures hébraïques (la Septante) a traduit « Nephilim » par « géants ». D'autres versions, comme la version Louis Segond, ont suivi cette manière de traduire. La plupart des traductions modernes les appellent Nephilim. Ils les associent aux Anakim (</w:t>
      </w:r>
      <w:hyperlink r:id="rId5910">
        <w:r>
          <w:rPr>
            <w:color w:val="0000EE"/>
            <w:u w:val="single"/>
          </w:rPr>
          <w:t>Nb 13.33</w:t>
        </w:r>
      </w:hyperlink>
      <w:r>
        <w:t xml:space="preserve"> ; </w:t>
      </w:r>
      <w:hyperlink r:id="rId10594">
        <w:r>
          <w:rPr>
            <w:color w:val="0000EE"/>
            <w:u w:val="single"/>
          </w:rPr>
          <w:t>Dt 2.21</w:t>
        </w:r>
      </w:hyperlink>
      <w:r>
        <w:t>) et aux Rephaïm (</w:t>
      </w:r>
      <w:hyperlink r:id="rId5911">
        <w:r>
          <w:rPr>
            <w:color w:val="0000EE"/>
            <w:u w:val="single"/>
          </w:rPr>
          <w:t>Dt 2.20</w:t>
        </w:r>
      </w:hyperlink>
      <w:r>
        <w:t>). Ces groupes étaient connus pour leur grande taille, c'est pourquoi ils étaient souvent appelés « géants ».</w:t>
      </w:r>
    </w:p>
    <w:p>
      <w:r/>
      <w:r>
        <w:t xml:space="preserve">L'origine des Nephilim est incertaine. Certains disent que le verbe hébreu </w:t>
      </w:r>
      <w:r>
        <w:rPr>
          <w:i/>
        </w:rPr>
        <w:t>naphal</w:t>
      </w:r>
      <w:r>
        <w:t>, signifiant « tomber », implique que les Nephilim étaient des « déchus ». Il s'agirait alors d'anges déchus qui ont ensuite eu des enfants avec des femmes humaines. Jésus a enseigné, cependant, que les anges n'ont pas de relations physiques (</w:t>
      </w:r>
      <w:hyperlink r:id="rId10595">
        <w:r>
          <w:rPr>
            <w:color w:val="0000EE"/>
            <w:u w:val="single"/>
          </w:rPr>
          <w:t>Lc 20.34–35</w:t>
        </w:r>
      </w:hyperlink>
      <w:r>
        <w:t xml:space="preserve">). Cette idée suppose que </w:t>
      </w:r>
      <w:hyperlink r:id="rId4948">
        <w:r>
          <w:rPr>
            <w:color w:val="0000EE"/>
            <w:u w:val="single"/>
          </w:rPr>
          <w:t>Genèse 6.1–4</w:t>
        </w:r>
      </w:hyperlink>
      <w:r>
        <w:t xml:space="preserve"> reflète les mythes grecs, où de telles unions se produisaient. Cependant, le passage dans la Genèse concerne l'histoire humaine, pas la mythologie.</w:t>
      </w:r>
    </w:p>
    <w:p>
      <w:r/>
      <w:r>
        <w:t>Les Nephilim n'étaient probablement pas les « fils de Dieu » dans la Bible. Ils semblent différents des « filles des hommes ». Pour les comprendre, pensez à un groupe de personnes anciennes, comme les Anakim et les Rephaïm, dont les origines sont inconnues.</w:t>
      </w:r>
    </w:p>
    <w:p>
      <w:r/>
      <w:r>
        <w:rPr>
          <w:i/>
        </w:rPr>
        <w:t>Voir aussi</w:t>
      </w:r>
      <w:r>
        <w:t xml:space="preserve"> </w:t>
      </w:r>
      <w:r>
        <w:t>Géants</w:t>
      </w:r>
      <w:r>
        <w:t>.</w:t>
      </w:r>
      <w:r/>
      <w:r/>
    </w:p>
    <w:p>
      <w:r/>
    </w:p>
    <w:p>
      <w:pPr>
        <w:pStyle w:val="Heading2"/>
      </w:pPr>
      <w:r>
        <w:t>Nephthali (Personne)</w:t>
      </w:r>
      <w:r/>
    </w:p>
    <w:p>
      <w:r/>
      <w:r>
        <w:t>Un des douze fils de Jacob (</w:t>
      </w:r>
      <w:hyperlink r:id="rId2007">
        <w:r>
          <w:rPr>
            <w:color w:val="0000EE"/>
            <w:u w:val="single"/>
          </w:rPr>
          <w:t>Gn 35.25</w:t>
        </w:r>
      </w:hyperlink>
      <w:r>
        <w:t xml:space="preserve"> ; </w:t>
      </w:r>
      <w:hyperlink r:id="rId5820">
        <w:r>
          <w:rPr>
            <w:color w:val="0000EE"/>
            <w:u w:val="single"/>
          </w:rPr>
          <w:t>1Ch 2.2</w:t>
        </w:r>
      </w:hyperlink>
      <w:r>
        <w:t xml:space="preserve">). Il était le deuxième des deux fils que Bilha, la servante de Rachel, a donné à Jacob. Ravie d'avoir donné un autre fils à Jacob, Rachel nommera le garçon Nephthali, signifiant « ma lutte ». Elle l'appellera Nephthali à cause de son conflit avec Léa : « </w:t>
      </w:r>
      <w:r>
        <w:t>J’ai lutté divinement contre ma sœur, et j’ai vaincu</w:t>
      </w:r>
      <w:r>
        <w:t xml:space="preserve"> » (</w:t>
      </w:r>
      <w:hyperlink r:id="rId10596">
        <w:r>
          <w:rPr>
            <w:color w:val="0000EE"/>
            <w:u w:val="single"/>
          </w:rPr>
          <w:t>Gn 30.8</w:t>
        </w:r>
      </w:hyperlink>
      <w:r>
        <w:t>). Nephthali déménagera sa famille avec Jacob en Égypte (</w:t>
      </w:r>
      <w:hyperlink r:id="rId6164">
        <w:r>
          <w:rPr>
            <w:color w:val="0000EE"/>
            <w:u w:val="single"/>
          </w:rPr>
          <w:t>Gn 46.24</w:t>
        </w:r>
      </w:hyperlink>
      <w:r>
        <w:t xml:space="preserve"> ; </w:t>
      </w:r>
      <w:hyperlink r:id="rId3562">
        <w:r>
          <w:rPr>
            <w:color w:val="0000EE"/>
            <w:u w:val="single"/>
          </w:rPr>
          <w:t>Ex 1.4</w:t>
        </w:r>
      </w:hyperlink>
      <w:r>
        <w:t>). Il avait quatre fils (</w:t>
      </w:r>
      <w:hyperlink r:id="rId10597">
        <w:r>
          <w:rPr>
            <w:color w:val="0000EE"/>
            <w:u w:val="single"/>
          </w:rPr>
          <w:t>Nb 26.50</w:t>
        </w:r>
      </w:hyperlink>
      <w:r>
        <w:t xml:space="preserve"> ; </w:t>
      </w:r>
      <w:hyperlink r:id="rId6165">
        <w:r>
          <w:rPr>
            <w:color w:val="0000EE"/>
            <w:u w:val="single"/>
          </w:rPr>
          <w:t>1Ch 7.13</w:t>
        </w:r>
      </w:hyperlink>
      <w:r>
        <w:t>). Ses descendants deviendront l'une des douze tribus d'Israël (</w:t>
      </w:r>
      <w:hyperlink r:id="rId10598">
        <w:r>
          <w:rPr>
            <w:color w:val="0000EE"/>
            <w:u w:val="single"/>
          </w:rPr>
          <w:t>Nb 1.43</w:t>
        </w:r>
      </w:hyperlink>
      <w:r>
        <w:t>).</w:t>
      </w:r>
    </w:p>
    <w:p>
      <w:r/>
      <w:r>
        <w:rPr>
          <w:i/>
        </w:rPr>
        <w:t>Voir aussi</w:t>
      </w:r>
      <w:r>
        <w:t xml:space="preserve"> </w:t>
      </w:r>
      <w:r>
        <w:t>Nephtali, Tribu de</w:t>
      </w:r>
      <w:r>
        <w:t>.</w:t>
      </w:r>
      <w:r/>
      <w:r/>
    </w:p>
    <w:p>
      <w:r/>
    </w:p>
    <w:p>
      <w:pPr>
        <w:pStyle w:val="Heading2"/>
      </w:pPr>
      <w:r>
        <w:t>Nicanor</w:t>
      </w:r>
      <w:r/>
    </w:p>
    <w:p>
      <w:r/>
      <w:r>
        <w:t>1. Fils de Patrocle, « l'un des principaux amis du roi » (</w:t>
      </w:r>
      <w:hyperlink r:id="rId10599">
        <w:r>
          <w:rPr>
            <w:color w:val="0000EE"/>
            <w:u w:val="single"/>
          </w:rPr>
          <w:t>2 M 8.9</w:t>
        </w:r>
      </w:hyperlink>
      <w:r>
        <w:t>), général syrien sous Antiochus IV Épiphane et Démétrius Soter. Ce général a peut-être été le commandant suprême de Ptolémée et Gorgias lors de la première campagne de Lysias contre Judas Maccabée (</w:t>
      </w:r>
      <w:hyperlink r:id="rId10600">
        <w:r>
          <w:rPr>
            <w:color w:val="0000EE"/>
            <w:u w:val="single"/>
          </w:rPr>
          <w:t>1 M 3.38ss</w:t>
        </w:r>
      </w:hyperlink>
      <w:r>
        <w:t>) pendant le règne d'Antiochus IV Épiphane. Il sera tué au combat à Adasa et Beth-horon (161 av. J.‑C.). Selon 2 Maccabées, Judas a suspendu la tête de Nicanor à la citadelle comme preuve claire de la victoire du Seigneur (</w:t>
      </w:r>
      <w:hyperlink r:id="rId10601">
        <w:r>
          <w:rPr>
            <w:color w:val="0000EE"/>
            <w:u w:val="single"/>
          </w:rPr>
          <w:t>15.35</w:t>
        </w:r>
      </w:hyperlink>
      <w:r>
        <w:t>).</w:t>
      </w:r>
    </w:p>
    <w:p>
      <w:r/>
      <w:r>
        <w:t>2. L'un des sept choisis par l'Église primitive pour superviser la distribution quotidienne aux saints pauvres à Jérusalem (</w:t>
      </w:r>
      <w:hyperlink r:id="rId996">
        <w:r>
          <w:rPr>
            <w:color w:val="0000EE"/>
            <w:u w:val="single"/>
          </w:rPr>
          <w:t>Ac 6.5</w:t>
        </w:r>
      </w:hyperlink>
      <w:r>
        <w:t>).</w:t>
      </w:r>
      <w:r/>
      <w:r/>
    </w:p>
    <w:p>
      <w:r/>
    </w:p>
    <w:p>
      <w:pPr>
        <w:pStyle w:val="Heading2"/>
      </w:pPr>
      <w:r>
        <w:t>Nicolaitans</w:t>
      </w:r>
      <w:r/>
    </w:p>
    <w:p>
      <w:r/>
      <w:r>
        <w:t>Secte hérétique dans l'Église primitive mentionnée deux fois par son nom dans le livre de l'Apocalypse. L'Église d'Éphèse a été félicitée pour avoir haï les œuvres des Nicolaïtes (</w:t>
      </w:r>
      <w:hyperlink r:id="rId10602">
        <w:r>
          <w:rPr>
            <w:color w:val="0000EE"/>
            <w:u w:val="single"/>
          </w:rPr>
          <w:t>Ap 2.6</w:t>
        </w:r>
      </w:hyperlink>
      <w:r>
        <w:t xml:space="preserve">), et l'Église de Pergame a été critiquée pour le fait que certains de ses membres suivaient leur doctrine (v. </w:t>
      </w:r>
      <w:hyperlink r:id="rId10603">
        <w:r>
          <w:rPr>
            <w:color w:val="0000EE"/>
            <w:u w:val="single"/>
          </w:rPr>
          <w:t>15</w:t>
        </w:r>
      </w:hyperlink>
      <w:r>
        <w:t>).</w:t>
      </w:r>
    </w:p>
    <w:p>
      <w:r/>
      <w:r>
        <w:t>Étant donné que les péchés spécifiques condamnés à Pergame (la consommation de nourriture sacrifiée aux idoles et la pratique de l'immoralité) étaient également présents à Thyatire (</w:t>
      </w:r>
      <w:hyperlink r:id="rId10604">
        <w:r>
          <w:rPr>
            <w:color w:val="0000EE"/>
            <w:u w:val="single"/>
          </w:rPr>
          <w:t>Ap 2.20</w:t>
        </w:r>
      </w:hyperlink>
      <w:r>
        <w:t>), il est couramment admis que la femme Jézabel était une dirigeante des Nicolaïtes dans cette Église. Dans la lettre à Pergame, leurs péchés sont assimilés à l'enseignement de Balaam (</w:t>
      </w:r>
      <w:hyperlink r:id="rId10246">
        <w:r>
          <w:rPr>
            <w:color w:val="0000EE"/>
            <w:u w:val="single"/>
          </w:rPr>
          <w:t>Ap 2.14</w:t>
        </w:r>
      </w:hyperlink>
      <w:r>
        <w:t xml:space="preserve"> ; cf. </w:t>
      </w:r>
      <w:hyperlink r:id="rId10605">
        <w:r>
          <w:rPr>
            <w:color w:val="0000EE"/>
            <w:u w:val="single"/>
          </w:rPr>
          <w:t>Nb 25.1–2</w:t>
        </w:r>
      </w:hyperlink>
      <w:r>
        <w:t xml:space="preserve"> ; </w:t>
      </w:r>
      <w:hyperlink r:id="rId10245">
        <w:r>
          <w:rPr>
            <w:color w:val="0000EE"/>
            <w:u w:val="single"/>
          </w:rPr>
          <w:t>31.16</w:t>
        </w:r>
      </w:hyperlink>
      <w:r>
        <w:t xml:space="preserve"> ; </w:t>
      </w:r>
      <w:hyperlink r:id="rId1795">
        <w:r>
          <w:rPr>
            <w:color w:val="0000EE"/>
            <w:u w:val="single"/>
          </w:rPr>
          <w:t>2P 2.15</w:t>
        </w:r>
      </w:hyperlink>
      <w:r>
        <w:t xml:space="preserve"> ; </w:t>
      </w:r>
      <w:hyperlink r:id="rId2105">
        <w:r>
          <w:rPr>
            <w:color w:val="0000EE"/>
            <w:u w:val="single"/>
          </w:rPr>
          <w:t>Jude 1.11</w:t>
        </w:r>
      </w:hyperlink>
      <w:r>
        <w:t>), qui avait conseillé à Balak, roi des Moabites, de provoquer la chute d'Israël en les invitant à adorer les dieux moabites et à s'engager dans des mariages mixtes et l'immoralité sexuelle liée aux pratiques religieuses moabites. Ainsi, les Juifs auraient été séparés de Dieu et de sa protection. Dans la pensée juive, Balaam était le symbole de tout ce qui conduisait les hommes à une conduite obscène et à l'abandon de Dieu. Les pratiques impies à Thyatire sont appelées les « profondeurs de Satan » (</w:t>
      </w:r>
      <w:hyperlink r:id="rId10606">
        <w:r>
          <w:rPr>
            <w:color w:val="0000EE"/>
            <w:u w:val="single"/>
          </w:rPr>
          <w:t>Ap 2.24</w:t>
        </w:r>
      </w:hyperlink>
      <w:r>
        <w:t>).</w:t>
      </w:r>
    </w:p>
    <w:p>
      <w:r/>
      <w:r>
        <w:t>L'Église primitive était également menacée par la combinaison d'idolâtrie et d'immoralité si répandue dans le monde. La nécessité d'avertissements fréquents dans le Nouveau Testament révèle la gravité du problème. Le Concile de Jérusalem (</w:t>
      </w:r>
      <w:hyperlink r:id="rId8913">
        <w:r>
          <w:rPr>
            <w:color w:val="0000EE"/>
            <w:u w:val="single"/>
          </w:rPr>
          <w:t>Ac 15.20</w:t>
        </w:r>
      </w:hyperlink>
      <w:r>
        <w:t>) demandera aux Gentils de s'abstenir de manger des aliments qui avaient été offerts aux idoles et de l'immoralité sexuelle. Paul appelle à éviter volontairement ce genre de nourriture pour le bien de ceux qui étaient faibles ou immatures dans la foi (</w:t>
      </w:r>
      <w:hyperlink r:id="rId3241">
        <w:r>
          <w:rPr>
            <w:color w:val="0000EE"/>
            <w:u w:val="single"/>
          </w:rPr>
          <w:t>1Co 8</w:t>
        </w:r>
      </w:hyperlink>
      <w:r>
        <w:t>). Il condamne fortement la participation aux festins d'idoles (</w:t>
      </w:r>
      <w:hyperlink r:id="rId3252">
        <w:r>
          <w:rPr>
            <w:color w:val="0000EE"/>
            <w:u w:val="single"/>
          </w:rPr>
          <w:t>1Co 10.14–22</w:t>
        </w:r>
      </w:hyperlink>
      <w:r>
        <w:t>) ainsi que la fornication en général et la prostitution dans les temples en particulier (</w:t>
      </w:r>
      <w:hyperlink r:id="rId3213">
        <w:r>
          <w:rPr>
            <w:color w:val="0000EE"/>
            <w:u w:val="single"/>
          </w:rPr>
          <w:t>6.12–20</w:t>
        </w:r>
      </w:hyperlink>
      <w:r>
        <w:t>).</w:t>
      </w:r>
    </w:p>
    <w:p>
      <w:r/>
      <w:r>
        <w:t xml:space="preserve">Il est plus difficile de déterminer qui étaient les Nicolaïtes. La tendance parmi les Pères de l'Église était de voir en eux des disciples de Nicolas d'Antioche (un converti gentil à la foi juive qui était devenu chrétien et avait été choisi pour être l'un des sept premiers diacres, </w:t>
      </w:r>
      <w:hyperlink r:id="rId996">
        <w:r>
          <w:rPr>
            <w:color w:val="0000EE"/>
            <w:u w:val="single"/>
          </w:rPr>
          <w:t>Ac 6.5</w:t>
        </w:r>
      </w:hyperlink>
      <w:r>
        <w:t>). Tant Irénée qu'Hippolyte affirment qu'il avait abandonné la foi. Clément avance que les Nicolaïtes hérétiques et immoraux n'étaient pas de véritables disciples de Nicolas mais prétendaient faussement qu'il était leur enseignant. Quoi qu'il en soit, il n'existe aucune preuve directe disponible.</w:t>
      </w:r>
    </w:p>
    <w:p>
      <w:r/>
      <w:r>
        <w:t>Depuis le XIXe siècle, il est courant de voir en ce nom une traduction en grec du nom hébreu Balaam. Cela colle avec la nature allégorique et symbolique du livre de l'Apocalypse et du lien apparent des deux noms dans la lettre à Pergame (</w:t>
      </w:r>
      <w:hyperlink r:id="rId10607">
        <w:r>
          <w:rPr>
            <w:color w:val="0000EE"/>
            <w:u w:val="single"/>
          </w:rPr>
          <w:t>Ap 2.14–15</w:t>
        </w:r>
      </w:hyperlink>
      <w:r>
        <w:t>).</w:t>
      </w:r>
      <w:r/>
      <w:r/>
    </w:p>
    <w:p>
      <w:r/>
    </w:p>
    <w:p>
      <w:pPr>
        <w:pStyle w:val="Heading2"/>
      </w:pPr>
      <w:r>
        <w:t>Nicolas</w:t>
      </w:r>
      <w:r/>
    </w:p>
    <w:p>
      <w:r/>
      <w:r>
        <w:t xml:space="preserve">Un des sept hommes mentionnés dans </w:t>
      </w:r>
      <w:hyperlink r:id="rId996">
        <w:r>
          <w:rPr>
            <w:color w:val="0000EE"/>
            <w:u w:val="single"/>
          </w:rPr>
          <w:t>Ac 6.5</w:t>
        </w:r>
      </w:hyperlink>
      <w:r>
        <w:t xml:space="preserve">, qui a été engagé pour le service dans l'Église de Jérusalem à ses débuts. Son devoir, tel que spécifié dans </w:t>
      </w:r>
      <w:hyperlink r:id="rId10608">
        <w:r>
          <w:rPr>
            <w:color w:val="0000EE"/>
            <w:u w:val="single"/>
          </w:rPr>
          <w:t>Actes 6.1–4</w:t>
        </w:r>
      </w:hyperlink>
      <w:r>
        <w:t xml:space="preserve">, était de diriger la distribution équitable et juste de la nourriture. En raison de l'utilisation de certains termes dans </w:t>
      </w:r>
      <w:hyperlink r:id="rId6103">
        <w:r>
          <w:rPr>
            <w:color w:val="0000EE"/>
            <w:u w:val="single"/>
          </w:rPr>
          <w:t>Actes 6.1</w:t>
        </w:r>
      </w:hyperlink>
      <w:r>
        <w:t xml:space="preserve"> (« distribution quotidienne » ou « service ») et </w:t>
      </w:r>
      <w:hyperlink r:id="rId8771">
        <w:r>
          <w:rPr>
            <w:color w:val="0000EE"/>
            <w:u w:val="single"/>
          </w:rPr>
          <w:t>6.2</w:t>
        </w:r>
      </w:hyperlink>
      <w:r>
        <w:t xml:space="preserve"> (« distribuer aux tables » ou « servir »), ces sept hommes ont traditionnellement été appelés « diacres » (ou « serviteurs »).</w:t>
      </w:r>
    </w:p>
    <w:p>
      <w:r/>
      <w:r>
        <w:t>Nicolas, le dernier nommé de la liste, est identifié comme un prosélyte. Ainsi, il était un converti gentil au judaïsme avant de devenir chrétien. Son nom est d'origine grecque, et il est mentionné qu'Antioche est sa ville d'origine. Les écrits du Nouveau Testament ne fournissent pas d'informations supplémentaires à son sujet.</w:t>
      </w:r>
    </w:p>
    <w:p>
      <w:r/>
      <w:r>
        <w:rPr>
          <w:i/>
        </w:rPr>
        <w:t>Voir aussi</w:t>
      </w:r>
      <w:r>
        <w:t xml:space="preserve"> </w:t>
      </w:r>
      <w:r>
        <w:t>Diacre, Diaconesse</w:t>
      </w:r>
      <w:r>
        <w:t>.</w:t>
      </w:r>
      <w:r/>
      <w:r/>
    </w:p>
    <w:p>
      <w:r/>
    </w:p>
    <w:p>
      <w:pPr>
        <w:pStyle w:val="Heading2"/>
      </w:pPr>
      <w:r>
        <w:t>Niger</w:t>
      </w:r>
      <w:r/>
    </w:p>
    <w:p>
      <w:r/>
      <w:r>
        <w:t>Nom de famille de Siméon, l'un des dirigeants de l'Église à Antioche (</w:t>
      </w:r>
      <w:hyperlink r:id="rId3034">
        <w:r>
          <w:rPr>
            <w:color w:val="0000EE"/>
            <w:u w:val="single"/>
          </w:rPr>
          <w:t>Ac 13.1</w:t>
        </w:r>
      </w:hyperlink>
      <w:r>
        <w:t>).</w:t>
      </w:r>
    </w:p>
    <w:p>
      <w:r/>
      <w:r>
        <w:rPr>
          <w:i/>
        </w:rPr>
        <w:t>Voir</w:t>
      </w:r>
      <w:r>
        <w:t xml:space="preserve"> </w:t>
      </w:r>
      <w:r>
        <w:t>Siméon (Personne) n° 4</w:t>
      </w:r>
      <w:r>
        <w:t>.</w:t>
      </w:r>
      <w:r/>
      <w:r/>
    </w:p>
    <w:p>
      <w:r/>
    </w:p>
    <w:p>
      <w:pPr>
        <w:pStyle w:val="Heading2"/>
      </w:pPr>
      <w:r>
        <w:t>Nimrod</w:t>
      </w:r>
      <w:r/>
    </w:p>
    <w:p>
      <w:r/>
      <w:r>
        <w:t>Fils de Cusch et petit-fils de Cham, le fils de Noé (</w:t>
      </w:r>
      <w:hyperlink r:id="rId3535">
        <w:r>
          <w:rPr>
            <w:color w:val="0000EE"/>
            <w:u w:val="single"/>
          </w:rPr>
          <w:t>Gn 10.8</w:t>
        </w:r>
      </w:hyperlink>
      <w:r>
        <w:t xml:space="preserve"> ; </w:t>
      </w:r>
      <w:hyperlink r:id="rId10609">
        <w:r>
          <w:rPr>
            <w:color w:val="0000EE"/>
            <w:u w:val="single"/>
          </w:rPr>
          <w:t>1Ch 1.10</w:t>
        </w:r>
      </w:hyperlink>
      <w:r>
        <w:t xml:space="preserve">). Il est décrit comme celui « </w:t>
      </w:r>
      <w:r>
        <w:t>qui commença à être puissant sur la terre</w:t>
      </w:r>
      <w:r>
        <w:t xml:space="preserve"> » et comme « </w:t>
      </w:r>
      <w:r>
        <w:t>un vaillant chasseur</w:t>
      </w:r>
      <w:r>
        <w:t xml:space="preserve"> » (</w:t>
      </w:r>
      <w:hyperlink r:id="rId10610">
        <w:r>
          <w:rPr>
            <w:color w:val="0000EE"/>
            <w:u w:val="single"/>
          </w:rPr>
          <w:t>Gn 10.8–9</w:t>
        </w:r>
      </w:hyperlink>
      <w:r>
        <w:t>). Nimrod sera le premier à établir un grand empire et était un chasseur bien connu. La tradition atteste de son règne sur Babylone et Akkad dans le sud de la Mésopotamie, et sur Ninive en Assyrie. L'expression « terre de Nimrod » semble être synonyme d'Assyrie (</w:t>
      </w:r>
      <w:hyperlink r:id="rId10611">
        <w:r>
          <w:rPr>
            <w:color w:val="0000EE"/>
            <w:u w:val="single"/>
          </w:rPr>
          <w:t>Mi 5.6</w:t>
        </w:r>
      </w:hyperlink>
      <w:r>
        <w:t>).</w:t>
      </w:r>
    </w:p>
    <w:p>
      <w:r/>
      <w:r>
        <w:t>Les références de l'Ancien Testament à Nimrod indiquent que, selon la tradition ancienne, il était un homme au caractère indomptable, doté de talents et de pouvoirs extraordinaires. Certains experts l'identifient à un roi mésopotamien qui aurait uni l'Assyrie et Babylone au 13e siècle av. J.‑C. Ceci dénoterait avec l'affirmation qu'il serait apparenté à Cusch, le fils de Cham, et avec la région du sud de l'Égypte où se trouvait Cusch (</w:t>
      </w:r>
      <w:hyperlink r:id="rId3535">
        <w:r>
          <w:rPr>
            <w:color w:val="0000EE"/>
            <w:u w:val="single"/>
          </w:rPr>
          <w:t>Gn 10.8</w:t>
        </w:r>
      </w:hyperlink>
      <w:r>
        <w:t>).</w:t>
      </w:r>
    </w:p>
    <w:p>
      <w:r/>
      <w:r>
        <w:t>Le nom et la renommée de Nimrod occupent une place importante dans le judaïsme talmudique et dans la tradition islamique. Dans ce premier, il incarne à la fois la rébellion contre Dieu et la puissance militaire sur terre. Dans la tradition rabbinique, la Tour de Babel (</w:t>
      </w:r>
      <w:hyperlink r:id="rId1525">
        <w:r>
          <w:rPr>
            <w:color w:val="0000EE"/>
            <w:u w:val="single"/>
          </w:rPr>
          <w:t>Gn 11.1–9</w:t>
        </w:r>
      </w:hyperlink>
      <w:r>
        <w:t>) est « la maison de Nimrod », où l'idolâtrie était pratiquée et un hommage divin était rendu à Nimrod. En Islam, Nimrod persécute Abraham et le fait jeter dans une fournaise ardente.</w:t>
      </w:r>
      <w:r/>
      <w:r/>
    </w:p>
    <w:p>
      <w:r/>
    </w:p>
    <w:p>
      <w:pPr>
        <w:pStyle w:val="Heading2"/>
      </w:pPr>
      <w:r>
        <w:t>Ninive, Ninivite</w:t>
      </w:r>
      <w:r/>
    </w:p>
    <w:p>
      <w:r/>
      <w:r>
        <w:t>Une des capitales de l'Empire assyrien et, à l'apogée de cet empire, l'une des grandes villes du monde. Ninive était située dans ce qui est aujourd'hui le nord de l'Irak et est représentée aujourd'hui par les monticules de Kouyunjik et Nebi Yunus à l'est du Tigre, en face de la partie principale de la ville de Mossoul.</w:t>
      </w:r>
    </w:p>
    <w:p>
      <w:r/>
      <w:r>
        <w:t>Le plus grand monticule, Kouyunjik, au nord-ouest (environ 1,5 km sur 600 m en surface et surélevé d'environ 30 m au-dessus de la plaine), est séparé de Nebi Yunus par la rivière Khosr. Un village, un cimetière et une mosquée supposée contenir le tombeau de Jonas occupent Nebi Yunus, empêchant des travaux archéologiques approfondis.</w:t>
      </w:r>
    </w:p>
    <w:p>
      <w:r/>
      <w:r>
        <w:t>Le mur de briques entourant Ninive, d'environ 13 km de long avec quinze portes (dont cinq ont été excavées), était gardé par les taureaux de pierre colossaux qui caractérisent l'architecture des villes assyriennes de cette période.</w:t>
      </w:r>
    </w:p>
    <w:p>
      <w:pPr>
        <w:pStyle w:val="Heading3"/>
      </w:pPr>
      <w:r>
        <w:t>Histoire</w:t>
      </w:r>
    </w:p>
    <w:p>
      <w:r/>
      <w:r>
        <w:t xml:space="preserve">L'occupation du site remonte à la préhistoire (vers 4 500 av. J.‑C.), en accord avec le récit de la fondation de la ville dans </w:t>
      </w:r>
      <w:hyperlink r:id="rId4483">
        <w:r>
          <w:rPr>
            <w:color w:val="0000EE"/>
            <w:u w:val="single"/>
          </w:rPr>
          <w:t>Genèse 10</w:t>
        </w:r>
      </w:hyperlink>
      <w:r>
        <w:t>. Des matériaux provenant des diverses cultures anciennes (Hassuna, Samarra, Halaf, Ubaid) ont été découverts à Ninive.</w:t>
      </w:r>
    </w:p>
    <w:p>
      <w:r/>
      <w:r>
        <w:t>Sargon d'Akkad (milieu du 24e siècle av. J.‑C.) connaissait Ninive, qui prospérait à son époque. Une chronique datant du règne d'un roi ultérieur, Shamsi-Adad 1er (vers 1800 av. J.‑C.), rapporte qu'un fils de Sargon, Manishtusu, aurait restauré le temple d'Ishtar à Ninive.</w:t>
      </w:r>
    </w:p>
    <w:p>
      <w:r/>
      <w:r>
        <w:t>Ishtar (Inanna), la déesse de l'amour et de la guerre, était une divinité appropriée pour les Assyriens rapaces et belliqueux. De nombreuses autres divinités étaient vénérées à Ninive, et les portes de la ville étaient nommées d'après celles-ci. Les Assyriens adoraient au temple de Nabu, le dieu de l'écriture, des arts et des sciences, ce qui reflète l'intérêt assyrien pour les archives, la littérature, ainsi que la sculpture en relief et en ronde-bosse.</w:t>
      </w:r>
    </w:p>
    <w:p>
      <w:r/>
      <w:r>
        <w:t>Shamsi-Adad 1er et Hammurabi ont également restauré le temple d'Ishtar à Ninive. Salmanasar 1er et Tukulti-Ninurta 1er ont agrandi et renforcé la ville, et d'autres dirigeants ont construit leurs palais ici, notamment Tiglath-Piléser 1er, Ashurnasirpal II (883–859 av. J.‑C.) et Sargon II (722–705 av. J.‑C.). Cependant, Sanchérib (705–681 av. J.‑C.) fera de Ninive la capitale et déploiera de grands efforts pour embellir la ville. En plus de son célèbre palais, il entreprendra de nombreux projets, reconstruisant les murs de la ville, créant des parcs, réalisant des collections botaniques et zoologiques, et construisant des aqueducs pour amener l'eau à la ville depuis 50 km de distance. À Ninive arrivait le tribut que les Assyriens conquérants exigeaient des nations, y compris Israël et Juda, qui succomberont à leurs armées redoutables.</w:t>
      </w:r>
    </w:p>
    <w:p>
      <w:r/>
      <w:r>
        <w:t>Après l'assassinat de Sanchérib, son fils et successeur, Assarhaddon (681–669 av. J.‑C.), reprendra Ninive des mains des rebelles. Il fera construire un palais à Ninive et en possédait un autre à Calach, où il passera la plupart de son temps.</w:t>
      </w:r>
    </w:p>
    <w:p>
      <w:r/>
      <w:r>
        <w:t>Le fils d'</w:t>
      </w:r>
      <w:r>
        <w:t>Assarhaddon</w:t>
      </w:r>
      <w:r>
        <w:t xml:space="preserve">, </w:t>
      </w:r>
      <w:r>
        <w:t>Assurbanipal [</w:t>
      </w:r>
      <w:r>
        <w:t>Osnappar, LSG] (669–633 av. J.‑C.), résidera à Ninive, y ayant été éduqué et formé aux sports et aux arts militaires. Il avait un âme d'antiquaire et maîtrisait la lecture de l'akkadien et du sumérien. Dans son palais se trouvait la célèbre bibliothèque dédiée à l'étude de l'assyriologie. Le temple de Nabu contenait une bibliothèque datant au moins de l'époque de Sargon II, mais la bibliothèque royale d'Assurbanipal la surpassait de loin en taille et en importance. Sargon et ses successeurs avaient collecté de nombreuses tablettes, mais Assurbanipal enverra des scribes dans toute l'Assyrie et la Babylonie pour rassembler et copier des tablettes, de sorte que des dizaines de milliers de tablettes s'y accumuleront. À l'instar de la bibliothèque de Nippur, la collection de Ninive couvrira une grande variété de matières : comptes commerciaux, lettres, archives royales, documents historiques, listes lexicographiques et textes bilingues, légendes, mythes, et divers autres types d'inscriptions religieuses, telles que des hymnes, des prières et des listes de divinités et de temples. Parmi les tablettes, sept d'entre eux conservaient une histoire de la création babylonienne et douze incluaient l'épopée de Gilgamesh, avec une version du Déluge. D'autres écrits parfois cités comme parallèles aux récits bibliques incluent l'histoire d'Adapa et son occasion perdue d'atteindre l'immortalité, ainsi que la légende d'Etana, un berger qui monte au ciel.</w:t>
      </w:r>
    </w:p>
    <w:p>
      <w:r/>
      <w:r>
        <w:t>Assurbanipal était également bien connu pour ses guerres et sa cruauté. Le relief du palais montrant une scène de banquet paisible affiche également la tête coupée d'un chef élamite suspendue à un arbre.</w:t>
      </w:r>
    </w:p>
    <w:p>
      <w:r/>
      <w:r>
        <w:t xml:space="preserve">Au cours des dernières années du règne du roi vieillissant, et après sa disparition, les royaumes vassaux se rebellèrent. Babylone devint indépendante et s'allia avec les Mèdes pour prendre Ashur et Calach en 614 av. J.‑C. Cyaxare le Mède, Nabopolassar de Babylone, et une force scythe assiégeront Ninive en 612 av. J.‑C. La ville tombera et le roi </w:t>
      </w:r>
      <w:r>
        <w:t>Sardanapale</w:t>
      </w:r>
      <w:r>
        <w:t xml:space="preserve"> périra dans les flammes.</w:t>
      </w:r>
    </w:p>
    <w:p>
      <w:r/>
      <w:r>
        <w:t>Bien qu'un reste de Ninivites sous Assur-uballit ait résisté à Harran jusqu'en 609 av. J.‑C., Ninive avait bien été détruite : les prédictions divines des prophètes hébreux s'étaient pleinement réalisées.</w:t>
      </w:r>
    </w:p>
    <w:p>
      <w:pPr>
        <w:pStyle w:val="Heading3"/>
      </w:pPr>
      <w:r>
        <w:t>Ninive dans la Bible</w:t>
      </w:r>
    </w:p>
    <w:p>
      <w:r/>
      <w:r>
        <w:t>Six livres de l'Ancien Testament font référence à la ville de Ninive. Dans la Genèse, la seule mention de Ninive apparaît dans la Table des nations (</w:t>
      </w:r>
      <w:hyperlink r:id="rId4483">
        <w:r>
          <w:rPr>
            <w:color w:val="0000EE"/>
            <w:u w:val="single"/>
          </w:rPr>
          <w:t>Gn 10</w:t>
        </w:r>
      </w:hyperlink>
      <w:r>
        <w:t xml:space="preserve">), qui indique que Nimrod est sorti du pays de Schinear vers l'Assyrie et qu'il a construit Ninive, Rehoboth Hir, Calach, et Résen entre Ninive et Calach (v. </w:t>
      </w:r>
      <w:hyperlink r:id="rId2121">
        <w:r>
          <w:rPr>
            <w:color w:val="0000EE"/>
            <w:u w:val="single"/>
          </w:rPr>
          <w:t>11–12</w:t>
        </w:r>
      </w:hyperlink>
      <w:r>
        <w:t xml:space="preserve"> ; la LSG attribue cette construction à Assur).</w:t>
      </w:r>
    </w:p>
    <w:p>
      <w:r/>
      <w:r>
        <w:t>Le tribut payé par Menahem (</w:t>
      </w:r>
      <w:hyperlink r:id="rId1423">
        <w:r>
          <w:rPr>
            <w:color w:val="0000EE"/>
            <w:u w:val="single"/>
          </w:rPr>
          <w:t>2R 15.19–20</w:t>
        </w:r>
      </w:hyperlink>
      <w:r>
        <w:t>) et le butin pris lors de la chute de la Samarie (</w:t>
      </w:r>
      <w:hyperlink r:id="rId3551">
        <w:r>
          <w:rPr>
            <w:color w:val="0000EE"/>
            <w:u w:val="single"/>
          </w:rPr>
          <w:t>Es 8.4</w:t>
        </w:r>
      </w:hyperlink>
      <w:r>
        <w:t>) seront apportés à Ninive. C'est également dans cette ville qu'est venu le tribut que Sanchérib a reçu d'Ézéchias (</w:t>
      </w:r>
      <w:hyperlink r:id="rId10612">
        <w:r>
          <w:rPr>
            <w:color w:val="0000EE"/>
            <w:u w:val="single"/>
          </w:rPr>
          <w:t>2R 14–16</w:t>
        </w:r>
      </w:hyperlink>
      <w:r>
        <w:t>).</w:t>
      </w:r>
    </w:p>
    <w:p>
      <w:r/>
      <w:r>
        <w:t xml:space="preserve">Parmi les scènes commémorées dans les reliefs trouvés dans le palais de Sanchérib à Ninive, on trouve la représentation du siège et de la capture de Lakis (voir </w:t>
      </w:r>
      <w:hyperlink r:id="rId10613">
        <w:r>
          <w:rPr>
            <w:color w:val="0000EE"/>
            <w:u w:val="single"/>
          </w:rPr>
          <w:t>2R 19.8</w:t>
        </w:r>
      </w:hyperlink>
      <w:r>
        <w:t>). Sanchérib y est représenté sur un trône, avec des captifs suppliants devant lui. Le siège lui-même est représenté comme étant en cours, avec des archers et des béliers à l'attaque, tandis que les défenseurs des murs utilisent des arcs, des flèches et des brandons pour repousser l'assaut. Des gens émergent d'une porte, des paquets sur le dos, donnant l'air de se rendre ou, à l'inverse, de fuir. En bas à droite, trois hommes nus sont empalés sur des poteaux.</w:t>
      </w:r>
    </w:p>
    <w:p>
      <w:r/>
      <w:r>
        <w:t>Sur le prisme à l'</w:t>
      </w:r>
      <w:r>
        <w:rPr>
          <w:i/>
        </w:rPr>
        <w:t>Oriental Institute</w:t>
      </w:r>
      <w:r>
        <w:t xml:space="preserve"> de l'Université de Chicago et sur le prisme de Taylor au </w:t>
      </w:r>
      <w:r>
        <w:rPr>
          <w:i/>
        </w:rPr>
        <w:t>British Museum</w:t>
      </w:r>
      <w:r>
        <w:t xml:space="preserve"> se trouve le récit de Sanchérib concernant l'invasion de Juda. Puisque les Assyriens n'ont pas pris Jérusalem, Sanchérib a dû se contenter de se vanter : « Quant à Ézéchias le Juif, il ne s'est pas soumis à mon joug. J'ai assiégé quarante-six de ses villes fortes, forteresses murées et les innombrables petits villages dans leur voisinage, et je les ai conquis. [...] Lui-même, je l'ai fait prisonnier à Jérusalem, sa résidence royale, comme un oiseau en cage. »</w:t>
      </w:r>
    </w:p>
    <w:p>
      <w:r/>
      <w:r>
        <w:t xml:space="preserve">Les rois assyriens associés à Ninive ont joué un rôle important dans l'histoire d'Israël, mais le nom de Ninive n'apparaît qu'une seule fois dans les livres historiques de la Bible. </w:t>
      </w:r>
      <w:hyperlink r:id="rId10614">
        <w:r>
          <w:rPr>
            <w:color w:val="0000EE"/>
            <w:u w:val="single"/>
          </w:rPr>
          <w:t>2 Rois 19.36</w:t>
        </w:r>
      </w:hyperlink>
      <w:r>
        <w:t xml:space="preserve"> indique qu'après la perte de 185 000 soldats par la main de l'ange du Seigneur, Sanchérib rentrera chez lui et restera à Ninive. I y sera assassiné par ses fils en 681 av. J.‑C. (voir </w:t>
      </w:r>
      <w:hyperlink r:id="rId1128">
        <w:r>
          <w:rPr>
            <w:color w:val="0000EE"/>
            <w:u w:val="single"/>
          </w:rPr>
          <w:t>2R 19.37</w:t>
        </w:r>
      </w:hyperlink>
      <w:r>
        <w:t xml:space="preserve">; </w:t>
      </w:r>
      <w:hyperlink r:id="rId10615">
        <w:r>
          <w:rPr>
            <w:color w:val="0000EE"/>
            <w:u w:val="single"/>
          </w:rPr>
          <w:t>2Ch 32.21</w:t>
        </w:r>
      </w:hyperlink>
      <w:r>
        <w:t xml:space="preserve">; </w:t>
      </w:r>
      <w:hyperlink r:id="rId1129">
        <w:r>
          <w:rPr>
            <w:color w:val="0000EE"/>
            <w:u w:val="single"/>
          </w:rPr>
          <w:t>Es 37.38</w:t>
        </w:r>
      </w:hyperlink>
      <w:r>
        <w:t>).</w:t>
      </w:r>
    </w:p>
    <w:p>
      <w:r/>
      <w:r>
        <w:t>Il y a de nombreuses références à Ninive dans le livre de Jonas, le prophète ayant été expressément envoyé dans cette ville pour l'avertir d'un jugement imminent. Ninive est appelée « la grande ville » (</w:t>
      </w:r>
      <w:hyperlink r:id="rId10616">
        <w:r>
          <w:rPr>
            <w:color w:val="0000EE"/>
            <w:u w:val="single"/>
          </w:rPr>
          <w:t>Jon 1.2</w:t>
        </w:r>
      </w:hyperlink>
      <w:r>
        <w:t xml:space="preserve"> ; </w:t>
      </w:r>
      <w:hyperlink r:id="rId10617">
        <w:r>
          <w:rPr>
            <w:color w:val="0000EE"/>
            <w:u w:val="single"/>
          </w:rPr>
          <w:t>3.2</w:t>
        </w:r>
      </w:hyperlink>
      <w:r>
        <w:t xml:space="preserve">) et elle y est décrite comme « </w:t>
      </w:r>
      <w:r>
        <w:t>une très grande ville, de trois jours de marche</w:t>
      </w:r>
      <w:r>
        <w:t xml:space="preserve"> » (</w:t>
      </w:r>
      <w:hyperlink r:id="rId10618">
        <w:r>
          <w:rPr>
            <w:color w:val="0000EE"/>
            <w:u w:val="single"/>
          </w:rPr>
          <w:t>3.3</w:t>
        </w:r>
      </w:hyperlink>
      <w:r>
        <w:t>). Ninive devait inclure plus que la zone représentée par les monticules de Kouyunjik et Nebi Yunus. Certains commentateurs estiment que Ninive englobait d'autres villes qui lui étaient associées, y compris le « triangle assyrien » (l'angle de terre entre les rivières du Tigre et du Grand Zab, s'étendant de Khorsabad au nord à Nimrud au sud).</w:t>
      </w:r>
    </w:p>
    <w:p>
      <w:r/>
      <w:r>
        <w:t xml:space="preserve">Le Seigneur évoque « </w:t>
      </w:r>
      <w:r>
        <w:t>la grande ville, dans laquelle se trouvent plus de cent vingt mille hommes qui ne savent pas distinguer leur droite de leur gauche</w:t>
      </w:r>
      <w:r>
        <w:t xml:space="preserve"> » (</w:t>
      </w:r>
      <w:hyperlink r:id="rId10619">
        <w:r>
          <w:rPr>
            <w:color w:val="0000EE"/>
            <w:u w:val="single"/>
          </w:rPr>
          <w:t>Jon 4.11</w:t>
        </w:r>
      </w:hyperlink>
      <w:r>
        <w:t>). Certains auteurs interprètent cette déclaration comme indiquant le nombre d'enfants innocents dans la ville et estiment donc une population totale d'environ 600 000 pour l'agglomération de Ninive. Il est toutefois plus raisonnable de conclure que l'ensemble de la population est visée par cette déclaration et que la clause descriptive se rapporte à l'obscurité spirituelle totale des Ninivites — comme cela est traduit dans la version BDS.</w:t>
      </w:r>
    </w:p>
    <w:p>
      <w:r/>
      <w:r>
        <w:t>Jonas prêchera un message de jugement et de destruction, mais la repentance de la ville entraînera sa délivrance (</w:t>
      </w:r>
      <w:hyperlink r:id="rId10620">
        <w:r>
          <w:rPr>
            <w:color w:val="0000EE"/>
            <w:u w:val="single"/>
          </w:rPr>
          <w:t>3.6–10</w:t>
        </w:r>
      </w:hyperlink>
      <w:r>
        <w:t>). Nahum déclarera la chute finale de la ville dans un langage vif et émouvant. Sophonie annoncera également la ruine de Ninive et prophétisera qu'elle deviendrait une désolation, un lieu où les troupeaux se reposeraient, comme pourrait le constater même un visiteur occasionnel du site (</w:t>
      </w:r>
      <w:hyperlink r:id="rId10621">
        <w:r>
          <w:rPr>
            <w:color w:val="0000EE"/>
            <w:u w:val="single"/>
          </w:rPr>
          <w:t>So 2.13–15</w:t>
        </w:r>
      </w:hyperlink>
      <w:r>
        <w:t>).</w:t>
      </w:r>
    </w:p>
    <w:p>
      <w:r/>
      <w:r>
        <w:t>Ninive sera détruite par une coalition de Babyloniens, de Mèdes et de Scythes. La dévastation de la ville sera écrasante et totale ; en quelques siècles, l'emplacement même de la ville sera oublié. Xénophon et les armées grecques se retireront au-delà du site en 401 av. J.‑C. sans s'en rendre compte. Au 2e siècle apr. J.‑C., le satiriste grec Lucien commentera : « Ninive est détruite de manière si exhaustive qu'il n'est plus possible de dire où elle se trouvait. Pas une trace d'elle ne subsiste. »</w:t>
      </w:r>
    </w:p>
    <w:p>
      <w:r/>
      <w:r>
        <w:t>Les seules références à Ninive dans les Évangiles du Nouveau Testament concernent également le jugement. Jésus affirmera, en réponse à une demande des scribes et des pharisiens, qu'une génération mauvaise cherche un signe ; tout comme Jonas avait été un signe pour les Ninivites, de même Jésus serait un signe pour sa génération (</w:t>
      </w:r>
      <w:hyperlink r:id="rId10622">
        <w:r>
          <w:rPr>
            <w:color w:val="0000EE"/>
            <w:u w:val="single"/>
          </w:rPr>
          <w:t>Mt 12.38–40</w:t>
        </w:r>
      </w:hyperlink>
      <w:r>
        <w:t xml:space="preserve"> ; </w:t>
      </w:r>
      <w:hyperlink r:id="rId10623">
        <w:r>
          <w:rPr>
            <w:color w:val="0000EE"/>
            <w:u w:val="single"/>
          </w:rPr>
          <w:t>Lc 11.29–31</w:t>
        </w:r>
      </w:hyperlink>
      <w:r>
        <w:t>). Il déclarera ensuite que le peuple de Ninive se lèverait au jugement avec sa génération et la condamnerait, car les Ninivites se sont repentis à la prédication de Jonas ; mais désormais, quelqu'un de plus grand que Jonas était venu (</w:t>
      </w:r>
      <w:hyperlink r:id="rId10624">
        <w:r>
          <w:rPr>
            <w:color w:val="0000EE"/>
            <w:u w:val="single"/>
          </w:rPr>
          <w:t>Mt 12.41</w:t>
        </w:r>
      </w:hyperlink>
      <w:r>
        <w:t xml:space="preserve"> ; </w:t>
      </w:r>
      <w:hyperlink r:id="rId10625">
        <w:r>
          <w:rPr>
            <w:color w:val="0000EE"/>
            <w:u w:val="single"/>
          </w:rPr>
          <w:t>Lc 11.32</w:t>
        </w:r>
      </w:hyperlink>
      <w:r>
        <w:t>).</w:t>
      </w:r>
    </w:p>
    <w:p>
      <w:r/>
      <w:r>
        <w:rPr>
          <w:i/>
        </w:rPr>
        <w:t>Voir aussi</w:t>
      </w:r>
      <w:r>
        <w:t xml:space="preserve"> </w:t>
      </w:r>
      <w:r>
        <w:t>Assyrie, Assyriens</w:t>
      </w:r>
      <w:r>
        <w:t xml:space="preserve"> ; </w:t>
      </w:r>
      <w:r>
        <w:t>Hammurabi, Code de loi d'</w:t>
      </w:r>
      <w:r>
        <w:t>.</w:t>
      </w:r>
      <w:r/>
      <w:r/>
    </w:p>
    <w:p>
      <w:r/>
    </w:p>
    <w:p>
      <w:pPr>
        <w:pStyle w:val="Heading2"/>
      </w:pPr>
      <w:r>
        <w:t>Nisan</w:t>
      </w:r>
      <w:r/>
    </w:p>
    <w:p>
      <w:r/>
      <w:r>
        <w:t>Nisan est l'un des mois du calendrier juif. Le nom vient de l'ancienne langue de Babylone (</w:t>
      </w:r>
      <w:hyperlink r:id="rId2130">
        <w:r>
          <w:rPr>
            <w:color w:val="0000EE"/>
            <w:u w:val="single"/>
          </w:rPr>
          <w:t>Né 2.1</w:t>
        </w:r>
      </w:hyperlink>
      <w:r>
        <w:t xml:space="preserve"> ; </w:t>
      </w:r>
      <w:hyperlink r:id="rId2131">
        <w:r>
          <w:rPr>
            <w:color w:val="0000EE"/>
            <w:u w:val="single"/>
          </w:rPr>
          <w:t>Est 3.7</w:t>
        </w:r>
      </w:hyperlink>
      <w:r>
        <w:t>). Selon notre calendrier moderne, Nisan se situe généralement pendant une partie de mars et d'avril.</w:t>
      </w:r>
    </w:p>
    <w:p>
      <w:r/>
      <w:r>
        <w:rPr>
          <w:i/>
        </w:rPr>
        <w:t>Voir</w:t>
      </w:r>
      <w:r>
        <w:t xml:space="preserve"> </w:t>
      </w:r>
      <w:r>
        <w:t>Calendriers, Anciens et modernes</w:t>
      </w:r>
      <w:r>
        <w:t>.</w:t>
      </w:r>
      <w:r/>
      <w:r/>
    </w:p>
    <w:p>
      <w:r/>
    </w:p>
    <w:p>
      <w:pPr>
        <w:pStyle w:val="Heading2"/>
      </w:pPr>
      <w:r>
        <w:t>Nob</w:t>
      </w:r>
      <w:r/>
    </w:p>
    <w:p>
      <w:r/>
      <w:r>
        <w:t>Ville située sur les pentes est du mont Scopus, en face du mont des Oliviers, au nord-est de Jérusalem. C'était un important centre religieux. À l'époque du roi Saül, quatre-vingt-six sacrificateurs vivaient à Nob et l'éphod s'y trouvait (</w:t>
      </w:r>
      <w:hyperlink r:id="rId10626">
        <w:r>
          <w:rPr>
            <w:color w:val="0000EE"/>
            <w:u w:val="single"/>
          </w:rPr>
          <w:t>1S 22.13–20</w:t>
        </w:r>
      </w:hyperlink>
      <w:r>
        <w:t>). Quand les Philistins ont détruit le sanctuaire à Silo, la ville de Nob est devenue le sanctuaire central pour les sacrificateurs qui se sont enfuis.</w:t>
      </w:r>
    </w:p>
    <w:p>
      <w:r/>
      <w:r>
        <w:t>Le récit du passage de David à Nob renseigne sur les coutumes anciennes en rapport à la table et aux pains de proposition (</w:t>
      </w:r>
      <w:hyperlink r:id="rId10627">
        <w:r>
          <w:rPr>
            <w:color w:val="0000EE"/>
            <w:u w:val="single"/>
          </w:rPr>
          <w:t>Ex 37.10–16</w:t>
        </w:r>
      </w:hyperlink>
      <w:r>
        <w:t xml:space="preserve"> ; </w:t>
      </w:r>
      <w:hyperlink r:id="rId10628">
        <w:r>
          <w:rPr>
            <w:color w:val="0000EE"/>
            <w:u w:val="single"/>
          </w:rPr>
          <w:t>1S 21.2–7</w:t>
        </w:r>
      </w:hyperlink>
      <w:r>
        <w:t>). Jésus donne pour exemple le fait que David était affamé comme bonne raison de rompre le sabbat (</w:t>
      </w:r>
      <w:hyperlink r:id="rId10629">
        <w:r>
          <w:rPr>
            <w:color w:val="0000EE"/>
            <w:u w:val="single"/>
          </w:rPr>
          <w:t>Mc 2.23–28</w:t>
        </w:r>
      </w:hyperlink>
      <w:r>
        <w:t>). David, qui fuit Saül et a besoin de nourriture, entre dans le sanctuaire à Nob et prend les pains disposés chaque sabbat comme offrande au Seigneur.</w:t>
      </w:r>
    </w:p>
    <w:p>
      <w:r/>
      <w:r>
        <w:t>Achimélec est l'un des descendants d'Éli, et le chef des sacrificateurs de Nob. Il donne le pain de proposition (ou pain de la présence) à David, ainsi que l'épée qui avait servi à tuer Goliath. Cela met Saül en colère au point d'ordonner l'exécution d'Achimélec et le massacre de tous les sacrificateurs et citoyens de Nob (</w:t>
      </w:r>
      <w:hyperlink r:id="rId3579">
        <w:r>
          <w:rPr>
            <w:color w:val="0000EE"/>
            <w:u w:val="single"/>
          </w:rPr>
          <w:t>1S 22.6–23</w:t>
        </w:r>
      </w:hyperlink>
      <w:r>
        <w:t>). Ces actions précèdent la chute du roi Saül et y contribuent.</w:t>
      </w:r>
    </w:p>
    <w:p>
      <w:r/>
      <w:r>
        <w:t>Abiathar, un sacrificateur qui avait échappé au massacre, joue un rôle important pendant le règne de David. Il est destitué plus tard par Salomon (</w:t>
      </w:r>
      <w:hyperlink r:id="rId29">
        <w:r>
          <w:rPr>
            <w:color w:val="0000EE"/>
            <w:u w:val="single"/>
          </w:rPr>
          <w:t>1R 2.26–27</w:t>
        </w:r>
      </w:hyperlink>
      <w:r>
        <w:t xml:space="preserve">). La colline décrite comme « </w:t>
      </w:r>
      <w:r>
        <w:t>où l’on adore Dieu</w:t>
      </w:r>
      <w:r>
        <w:t xml:space="preserve"> » désigne peut-être le sanctuaire de Nob (</w:t>
      </w:r>
      <w:hyperlink r:id="rId10630">
        <w:r>
          <w:rPr>
            <w:color w:val="0000EE"/>
            <w:u w:val="single"/>
          </w:rPr>
          <w:t>2S 15.32</w:t>
        </w:r>
      </w:hyperlink>
      <w:r>
        <w:t>, Semeur).</w:t>
      </w:r>
      <w:r/>
      <w:r/>
    </w:p>
    <w:p>
      <w:r/>
    </w:p>
    <w:p>
      <w:pPr>
        <w:pStyle w:val="Heading2"/>
      </w:pPr>
      <w:r>
        <w:t>Nod</w:t>
      </w:r>
      <w:r/>
    </w:p>
    <w:p>
      <w:r/>
      <w:r>
        <w:t>Pays à l'est d'Éden où Caïn est allé après avoir tué son frère Abel (</w:t>
      </w:r>
      <w:hyperlink r:id="rId10631">
        <w:r>
          <w:rPr>
            <w:color w:val="0000EE"/>
            <w:u w:val="single"/>
          </w:rPr>
          <w:t>Gn 4.16</w:t>
        </w:r>
      </w:hyperlink>
      <w:r>
        <w:t>).</w:t>
      </w:r>
      <w:r/>
      <w:r/>
    </w:p>
    <w:p>
      <w:r/>
    </w:p>
    <w:p>
      <w:pPr>
        <w:pStyle w:val="Heading2"/>
      </w:pPr>
      <w:r>
        <w:t>Nodab</w:t>
      </w:r>
      <w:r/>
    </w:p>
    <w:p>
      <w:r/>
      <w:r>
        <w:t xml:space="preserve">Ancêtre d'une tribu arabe qui s'est alliée aux </w:t>
      </w:r>
      <w:r>
        <w:t>Hagaréniens</w:t>
      </w:r>
      <w:r>
        <w:t xml:space="preserve"> pour combattre les tribus d'Israël vivant à l'est du Jourdain (</w:t>
      </w:r>
      <w:hyperlink r:id="rId7254">
        <w:r>
          <w:rPr>
            <w:color w:val="0000EE"/>
            <w:u w:val="single"/>
          </w:rPr>
          <w:t>1Ch 5.19</w:t>
        </w:r>
      </w:hyperlink>
      <w:r>
        <w:t xml:space="preserve">). Bien qu'il ne soit pas inclus dans la liste des fils d'Ismaël (voir </w:t>
      </w:r>
      <w:hyperlink r:id="rId10632">
        <w:r>
          <w:rPr>
            <w:color w:val="0000EE"/>
            <w:u w:val="single"/>
          </w:rPr>
          <w:t>Gn 25.13–15</w:t>
        </w:r>
      </w:hyperlink>
      <w:r>
        <w:t>), il était peut-être un parent éloigné.</w:t>
      </w:r>
      <w:r/>
      <w:r/>
    </w:p>
    <w:p>
      <w:r/>
    </w:p>
    <w:p>
      <w:pPr>
        <w:pStyle w:val="Heading2"/>
      </w:pPr>
      <w:r>
        <w:t>Noé, Noa</w:t>
      </w:r>
      <w:r/>
    </w:p>
    <w:p>
      <w:pPr>
        <w:pStyle w:val="ListNumber"/>
        <w:spacing w:line="240" w:lineRule="auto"/>
        <w:ind w:left="720"/>
      </w:pPr>
      <w:r/>
      <w:r>
        <w:t>Fils de Lémec et petit-fils de Mathusalem, descendant de Seth, troisième fils d'Adam (</w:t>
      </w:r>
      <w:hyperlink r:id="rId10633">
        <w:r>
          <w:rPr>
            <w:color w:val="0000EE"/>
            <w:u w:val="single"/>
          </w:rPr>
          <w:t>Gn 5.3–20</w:t>
        </w:r>
      </w:hyperlink>
      <w:r>
        <w:t xml:space="preserve">). Lémec a nommé son fils Noé, un nom qui ressemble à un terme hébreu pouvant signifier « soulagement » ou « réconfort ». Lorsque Lémec lui a donné ce nom, il a dit : « </w:t>
      </w:r>
      <w:r>
        <w:t>Celui-ci nous consolera de nos fatigues et du travail pénible de nos mains, provenant de cette terre que l’Éternel a maudite</w:t>
      </w:r>
      <w:r>
        <w:t xml:space="preserve"> » (</w:t>
      </w:r>
      <w:hyperlink r:id="rId3935">
        <w:r>
          <w:rPr>
            <w:color w:val="0000EE"/>
            <w:u w:val="single"/>
          </w:rPr>
          <w:t>Gn 5.29</w:t>
        </w:r>
      </w:hyperlink>
      <w:r>
        <w:t>).</w:t>
      </w:r>
    </w:p>
    <w:p>
      <w:r/>
      <w:r>
        <w:t xml:space="preserve">Déterminé à détruire la création à cause de la méchanceté constante de l'humanité (voir </w:t>
      </w:r>
      <w:hyperlink r:id="rId10634">
        <w:r>
          <w:rPr>
            <w:color w:val="0000EE"/>
            <w:u w:val="single"/>
          </w:rPr>
          <w:t>Mt 24.37–39</w:t>
        </w:r>
      </w:hyperlink>
      <w:r>
        <w:t xml:space="preserve"> ; </w:t>
      </w:r>
      <w:hyperlink r:id="rId10635">
        <w:r>
          <w:rPr>
            <w:color w:val="0000EE"/>
            <w:u w:val="single"/>
          </w:rPr>
          <w:t>Lc 17.26–27</w:t>
        </w:r>
      </w:hyperlink>
      <w:r>
        <w:t>), Dieu a fait une exception avec Noé, un homme juste aux yeux de Dieu et irréprochable devant les gens (</w:t>
      </w:r>
      <w:hyperlink r:id="rId10636">
        <w:r>
          <w:rPr>
            <w:color w:val="0000EE"/>
            <w:u w:val="single"/>
          </w:rPr>
          <w:t>Gn 6.3–9</w:t>
        </w:r>
      </w:hyperlink>
      <w:r>
        <w:t>). Noé a suivi les instructions précises de Dieu. Il a construit une arche. Seules huit personnes y sont entrées :</w:t>
      </w:r>
    </w:p>
    <w:p>
      <w:pPr>
        <w:pStyle w:val="ListBullet"/>
        <w:spacing w:line="240" w:lineRule="auto"/>
        <w:ind w:left="1440"/>
      </w:pPr>
      <w:r/>
      <w:r>
        <w:t>Noé</w:t>
      </w:r>
    </w:p>
    <w:p>
      <w:pPr>
        <w:pStyle w:val="ListBullet"/>
        <w:spacing w:line="240" w:lineRule="auto"/>
        <w:ind w:left="1440"/>
      </w:pPr>
      <w:r/>
      <w:r>
        <w:t>Son épouse</w:t>
      </w:r>
    </w:p>
    <w:p>
      <w:pPr>
        <w:pStyle w:val="ListBullet"/>
        <w:spacing w:line="240" w:lineRule="auto"/>
        <w:ind w:left="1440"/>
      </w:pPr>
      <w:r/>
      <w:r>
        <w:t>Ses trois fils</w:t>
      </w:r>
    </w:p>
    <w:p>
      <w:pPr>
        <w:pStyle w:val="ListBullet"/>
        <w:spacing w:line="240" w:lineRule="auto"/>
        <w:ind w:left="1440"/>
      </w:pPr>
      <w:r/>
      <w:r>
        <w:t>Leurs épouses</w:t>
      </w:r>
    </w:p>
    <w:p>
      <w:r/>
      <w:r>
        <w:t>Toutes sortes de créatures ont été amenées par paires. Elles ont ainsi été protégées du déluge qui a suivi, dans lequel tous les autres êtres vivants ont péri (</w:t>
      </w:r>
      <w:hyperlink r:id="rId10637">
        <w:r>
          <w:rPr>
            <w:color w:val="0000EE"/>
            <w:u w:val="single"/>
          </w:rPr>
          <w:t>Gn 6.14–8.19</w:t>
        </w:r>
      </w:hyperlink>
      <w:r>
        <w:t>). Après avoir quitté l'arche, Noé a construit un autel et a offert des holocaustes qui ont plu à Dieu. En réponse, Dieu a promis de ne jamais répéter le déluge ni perturber les saisons malgré le péché de l'homme (</w:t>
      </w:r>
      <w:hyperlink r:id="rId10638">
        <w:r>
          <w:rPr>
            <w:color w:val="0000EE"/>
            <w:u w:val="single"/>
          </w:rPr>
          <w:t>Gn 8.20–9.17</w:t>
        </w:r>
      </w:hyperlink>
      <w:r>
        <w:t>).</w:t>
      </w:r>
    </w:p>
    <w:p>
      <w:r/>
      <w:r>
        <w:t>Noé avait résisté à de puissantes tentations. Mais, que ce soit en raison de sa négligence ou de son âge avancé, il s'est enivré. Les réactions à cet incident ont varié parmi les membres de la famille, incitant à des évaluations individuelles. Sem et Japhet ont reçu des bénédictions. Cham ne recevra aucune bénédiction, et son fils Canaan sera maudit (</w:t>
      </w:r>
      <w:hyperlink r:id="rId10639">
        <w:r>
          <w:rPr>
            <w:color w:val="0000EE"/>
            <w:u w:val="single"/>
          </w:rPr>
          <w:t>Gn 9.20–27</w:t>
        </w:r>
      </w:hyperlink>
      <w:r>
        <w:t>). Noé avait 950 ans lorsqu'il est mort, 350 ans après le Déluge.</w:t>
      </w:r>
    </w:p>
    <w:p>
      <w:r/>
      <w:hyperlink r:id="rId10640">
        <w:r>
          <w:rPr>
            <w:color w:val="0000EE"/>
            <w:u w:val="single"/>
          </w:rPr>
          <w:t>Ézéchiel 14.12</w:t>
        </w:r>
      </w:hyperlink>
      <w:hyperlink r:id="rId10641">
        <w:r>
          <w:rPr>
            <w:color w:val="0000EE"/>
            <w:u w:val="single"/>
          </w:rPr>
          <w:t>–</w:t>
        </w:r>
      </w:hyperlink>
      <w:hyperlink r:id="rId10640">
        <w:r>
          <w:rPr>
            <w:color w:val="0000EE"/>
            <w:u w:val="single"/>
          </w:rPr>
          <w:t>14, 19</w:t>
        </w:r>
      </w:hyperlink>
      <w:hyperlink r:id="rId10641">
        <w:r>
          <w:rPr>
            <w:color w:val="0000EE"/>
            <w:u w:val="single"/>
          </w:rPr>
          <w:t>–</w:t>
        </w:r>
      </w:hyperlink>
      <w:hyperlink r:id="rId10640">
        <w:r>
          <w:rPr>
            <w:color w:val="0000EE"/>
            <w:u w:val="single"/>
          </w:rPr>
          <w:t xml:space="preserve">20 </w:t>
        </w:r>
      </w:hyperlink>
      <w:r>
        <w:t>cite Noé, Daniel et Job pour « leur justice ». La Lettre aux Hébreux loue Noé, qui, par la foi et la sainte crainte, a rejeté le monde pour devenir héritier de la justice (</w:t>
      </w:r>
      <w:hyperlink r:id="rId3692">
        <w:r>
          <w:rPr>
            <w:color w:val="0000EE"/>
            <w:u w:val="single"/>
          </w:rPr>
          <w:t>Hé 11.7</w:t>
        </w:r>
      </w:hyperlink>
      <w:r>
        <w:t xml:space="preserve">), et </w:t>
      </w:r>
      <w:hyperlink r:id="rId3690">
        <w:r>
          <w:rPr>
            <w:color w:val="0000EE"/>
            <w:u w:val="single"/>
          </w:rPr>
          <w:t>2 Pierre 2.5</w:t>
        </w:r>
      </w:hyperlink>
      <w:r>
        <w:t xml:space="preserve"> l'appelle un « prédicateur de la justice ».</w:t>
      </w:r>
    </w:p>
    <w:p>
      <w:r/>
      <w:r>
        <w:rPr>
          <w:i/>
        </w:rPr>
        <w:t>Voir aussi</w:t>
      </w:r>
      <w:r>
        <w:t xml:space="preserve"> </w:t>
      </w:r>
      <w:r>
        <w:t>Déluge</w:t>
      </w:r>
      <w:r>
        <w:t xml:space="preserve"> ; </w:t>
      </w:r>
      <w:r>
        <w:t>Épopée de Gilgamesh</w:t>
      </w:r>
      <w:r>
        <w:t>.</w:t>
      </w:r>
    </w:p>
    <w:p>
      <w:pPr>
        <w:pStyle w:val="ListNumber"/>
        <w:spacing w:line="240" w:lineRule="auto"/>
        <w:ind w:left="720"/>
      </w:pPr>
      <w:r/>
      <w:r>
        <w:t>Fille de Tselophchad de la tribu de Manassé (</w:t>
      </w:r>
      <w:hyperlink r:id="rId10040">
        <w:r>
          <w:rPr>
            <w:color w:val="0000EE"/>
            <w:u w:val="single"/>
          </w:rPr>
          <w:t>Nb 26.33</w:t>
        </w:r>
      </w:hyperlink>
      <w:r>
        <w:t>). Lorsque leur père est mort sans fils, elle et ses quatre sœurs ont demandé une loi pour protéger leurs droits d'héritage (</w:t>
      </w:r>
      <w:hyperlink r:id="rId5950">
        <w:r>
          <w:rPr>
            <w:color w:val="0000EE"/>
            <w:u w:val="single"/>
          </w:rPr>
          <w:t>Nb 27.1–11</w:t>
        </w:r>
      </w:hyperlink>
      <w:r>
        <w:t xml:space="preserve">; voir </w:t>
      </w:r>
      <w:hyperlink r:id="rId7604">
        <w:r>
          <w:rPr>
            <w:color w:val="0000EE"/>
            <w:u w:val="single"/>
          </w:rPr>
          <w:t>Jos 17.3–6</w:t>
        </w:r>
      </w:hyperlink>
      <w:r>
        <w:t>). Elles étaient cependant limitées à se marier au sein de leur propre tribu (</w:t>
      </w:r>
      <w:hyperlink r:id="rId5951">
        <w:r>
          <w:rPr>
            <w:color w:val="0000EE"/>
            <w:u w:val="single"/>
          </w:rPr>
          <w:t>Nb 36.1–12</w:t>
        </w:r>
      </w:hyperlink>
      <w:r>
        <w:t>).</w:t>
      </w:r>
      <w:r/>
      <w:r/>
    </w:p>
    <w:p>
      <w:r/>
    </w:p>
    <w:p>
      <w:pPr>
        <w:pStyle w:val="Heading2"/>
      </w:pPr>
      <w:r>
        <w:t>Nombres et numérologie</w:t>
      </w:r>
      <w:r/>
    </w:p>
    <w:p>
      <w:r/>
      <w:r>
        <w:t>Dans la Bible, les nombres ont souvent deux significations. Premièrement, ils indiquent la quantité réelle de quelque chose, (compter des personnes ou mesurer le temps par exemple). Deuxièmement, ils peuvent avoir une signification spéciale qui nous offre un enseignement sur Dieu ou son plan.</w:t>
      </w:r>
    </w:p>
    <w:p>
      <w:r/>
      <w:r>
        <w:t>Les livres de Daniel et de l'Apocalypse utilisent les nombres de manière particulière. Ces livres emploient souvent des nombres spécifiques pour transmettre des messages importants.</w:t>
      </w:r>
    </w:p>
    <w:p>
      <w:r/>
      <w:r>
        <w:t>Beaucoup de chrétiens sont prudents quant à la recherche de significations cachées dans les chiffres. Cela est dû au fait que certains groupes abusent de la numérologie. Ils essaient de trouver des significations spéciales dans chaque chiffre de l'Ancien Testament, même lorsque les chiffres peuvent simplement être d'ordre factuel. Cette vision provient à l'origine de groupes juifs mystiques préchrétiens et a été ensuite approfondie par les kabbalistes, qui attribuaient souvent des significations cachées aux chiffres.</w:t>
      </w:r>
    </w:p>
    <w:p>
      <w:pPr>
        <w:pStyle w:val="Heading3"/>
      </w:pPr>
      <w:r>
        <w:t>Survol</w:t>
      </w:r>
    </w:p>
    <w:p>
      <w:pPr>
        <w:pStyle w:val="ListBullet"/>
        <w:spacing w:line="240" w:lineRule="auto"/>
        <w:ind w:left="720"/>
      </w:pPr>
      <w:r/>
      <w:r>
        <w:rPr>
          <w:b/>
          <w:u w:val="single"/>
        </w:rPr>
        <w:t>Expression des nombres</w:t>
      </w:r>
    </w:p>
    <w:p>
      <w:pPr>
        <w:pStyle w:val="ListBullet"/>
        <w:spacing w:line="240" w:lineRule="auto"/>
        <w:ind w:left="720"/>
      </w:pPr>
      <w:r/>
      <w:r>
        <w:rPr>
          <w:b/>
          <w:u w:val="single"/>
        </w:rPr>
        <w:t>Manières d'écrire les nombres</w:t>
      </w:r>
    </w:p>
    <w:p>
      <w:pPr>
        <w:pStyle w:val="ListBullet"/>
        <w:spacing w:line="240" w:lineRule="auto"/>
        <w:ind w:left="720"/>
      </w:pPr>
      <w:r/>
      <w:r>
        <w:rPr>
          <w:b/>
          <w:u w:val="single"/>
        </w:rPr>
        <w:t>Problèmes liés aux grands nombres</w:t>
      </w:r>
    </w:p>
    <w:p>
      <w:pPr>
        <w:pStyle w:val="ListBullet"/>
        <w:spacing w:line="240" w:lineRule="auto"/>
        <w:ind w:left="720"/>
      </w:pPr>
      <w:r/>
      <w:r>
        <w:rPr>
          <w:b/>
          <w:u w:val="single"/>
        </w:rPr>
        <w:t>Compter par générations</w:t>
      </w:r>
    </w:p>
    <w:p>
      <w:pPr>
        <w:pStyle w:val="ListBullet"/>
        <w:spacing w:line="240" w:lineRule="auto"/>
        <w:ind w:left="720"/>
      </w:pPr>
      <w:r/>
      <w:r>
        <w:rPr>
          <w:b/>
          <w:u w:val="single"/>
        </w:rPr>
        <w:t>Utilisation approximative des nombres</w:t>
      </w:r>
    </w:p>
    <w:p>
      <w:pPr>
        <w:pStyle w:val="ListBullet"/>
        <w:spacing w:line="240" w:lineRule="auto"/>
        <w:ind w:left="720"/>
      </w:pPr>
      <w:r/>
      <w:r>
        <w:rPr>
          <w:b/>
          <w:u w:val="single"/>
        </w:rPr>
        <w:t>Utilisation symbolique des nombres</w:t>
      </w:r>
    </w:p>
    <w:p>
      <w:pPr>
        <w:pStyle w:val="ListBullet"/>
        <w:spacing w:line="240" w:lineRule="auto"/>
        <w:ind w:left="720"/>
      </w:pPr>
      <w:r/>
      <w:r>
        <w:rPr>
          <w:b/>
          <w:u w:val="single"/>
        </w:rPr>
        <w:t>Statistiques exactes</w:t>
      </w:r>
    </w:p>
    <w:p>
      <w:pPr>
        <w:pStyle w:val="ListBullet"/>
        <w:spacing w:line="240" w:lineRule="auto"/>
        <w:ind w:left="720"/>
      </w:pPr>
      <w:r/>
      <w:r>
        <w:rPr>
          <w:b/>
          <w:u w:val="single"/>
        </w:rPr>
        <w:t>Numérologie</w:t>
      </w:r>
    </w:p>
    <w:p>
      <w:pPr>
        <w:pStyle w:val="Heading3"/>
      </w:pPr>
      <w:r>
        <w:t>Expression des nombres</w:t>
      </w:r>
    </w:p>
    <w:p>
      <w:r/>
      <w:r>
        <w:t>L'hébreu, comme d'autres langues sémitiques, possède un système de numérotation simple mais fonctionnel. Le nombre un est un adjectif. Ensuite, les numéraux sont des noms. Ces noms existent sous des formes parallèles masculines et féminines. Le masculin est utilisé avec le nom féminin, et vice versa.</w:t>
      </w:r>
    </w:p>
    <w:p>
      <w:r/>
      <w:r>
        <w:t>Les nombres ordinaux (premier, deuxième, troisième) existent aux côtés des nombres cardinaux (un, deux, trois). Comme dans la plupart des langues, le deuxième ensemble peut être utilisé à la place du premier. Par exemple, « jour deux » peut être utilisé à la place de « deuxième jour ». De dix à dix-neuf, il y a une forme composite formée de la même manière qu'en anglais avec « thirteen » (« trois-dix »), mais « vingt » signifie littéralement « dizaines » ; le pluriel de « dix ». Trente, quarante, et ainsi de suite sont littéralement « trois », « quatre » au pluriel ; ainsi de suite jusqu'à cent, qui est un nouveau mot.</w:t>
      </w:r>
    </w:p>
    <w:p>
      <w:r/>
      <w:r>
        <w:t>Il existe également des mots distincts pour « mille » et pour « dix mille », comme en grec, en chinois et dans de nombreuses autres langues. Les nombres plus grands doivent être exprimés par des multiples de ceux-ci. « Dix mille fois dix mille » et « des milliers de milliers » suggèrent que les grands chiffres étaient exprimés approximativement. Ces grands chiffres étaient rarement nécessaires pour les petites populations et les petits royaumes.</w:t>
      </w:r>
    </w:p>
    <w:p>
      <w:r/>
      <w:r>
        <w:t>L'hébreu possède une forme singulière, plurielle ainsi qu'une forme duale pour exprimer deux de quelque chose (deux cents, deux mille). Les fractions (un demi, un tiers, un dixième) peuvent être exprimées. La multiplication, la division, l'addition et la soustraction étaient utilisées. Des exemples des quatre opérations se trouvent dans la Bible. Le système mathématique hébreu faisait essentiellement partie du plus grand système mathématique d'Asie occidentale. Nous en savons beaucoup sur ce système grâce à la Mésopotamie et à l'Égypte. Cependant, ces pays utilisaient un système mathématique plus développé qu'Israël.</w:t>
      </w:r>
    </w:p>
    <w:p>
      <w:pPr>
        <w:pStyle w:val="Heading3"/>
      </w:pPr>
      <w:r>
        <w:t>Manières d'écrire les chiffres</w:t>
      </w:r>
    </w:p>
    <w:p>
      <w:r/>
      <w:r>
        <w:t>Dans la Bible, les nombres sont toujours écrits en toutes lettres. Cela se voit également sur la célèbre Pierre Moabite et l'Inscription de Siloé. Chaque nation dans le monde antique pouvait aussi exprimer les nombres en utilisant des figures ou des codes de divers types (comme nos 1, 2, 3). En raison de ce risque d'erreur, à une époque ultérieure, les nombres étaient normalement écrits en toutes lettres. La confusion restait possible, mais elle était beaucoup moins probable.</w:t>
      </w:r>
    </w:p>
    <w:p>
      <w:r/>
      <w:r>
        <w:t xml:space="preserve">Une autre façon d'écrire les nombres en hébreu et en grec était d'utiliser des lettres consécutives de l'alphabet au lieu de chiffres consécutifs (comme utiliser A pour 1 et B pour 2). Ce système était employé de façon fréquente à l'époque du Nouveau Testament ; il s'agit également du système habituel en hébreu moderne. Il a l'avantage que les combinaisons numériques peuvent être prononcées en insérant des voyelles arbitraires, créant ainsi des mots artificiels. Par exemple, le nombre de la bête dans </w:t>
      </w:r>
      <w:hyperlink r:id="rId5935">
        <w:r>
          <w:rPr>
            <w:color w:val="0000EE"/>
            <w:u w:val="single"/>
          </w:rPr>
          <w:t>Apocalypse 13.18</w:t>
        </w:r>
      </w:hyperlink>
      <w:r>
        <w:t>, le 666, peut être exprimé en lettres alphabétiques, avec les consonnes de « Néron César ». D'autres noms sont possibles, surtout si la variante 616 est utilisée.</w:t>
      </w:r>
    </w:p>
    <w:p>
      <w:pPr>
        <w:pStyle w:val="Heading3"/>
      </w:pPr>
      <w:r>
        <w:t>Problèmes liés aux grands nombres</w:t>
      </w:r>
    </w:p>
    <w:p>
      <w:r/>
      <w:r>
        <w:t xml:space="preserve">Même en tenant compte de toutes ces possibilités, certains problèmes liés aux grands nombres subsistent, notamment dans l'Ancien Testament. Le plus évident est celui des dix patriarches à la vie particulièrement longue, dont les âges sont enregistrés dans </w:t>
      </w:r>
      <w:hyperlink r:id="rId2535">
        <w:r>
          <w:rPr>
            <w:color w:val="0000EE"/>
            <w:u w:val="single"/>
          </w:rPr>
          <w:t>Genèse 5</w:t>
        </w:r>
      </w:hyperlink>
      <w:r>
        <w:t>. Différents chiffres (variant de plusieurs siècles) sont enregistrés pour leurs âges dans le texte hébreu, le texte samaritain et la première traduction grecque (connue sous le nom de Septante). Tous ces âges sont très élevés.</w:t>
      </w:r>
    </w:p>
    <w:p>
      <w:r/>
      <w:r>
        <w:t>Certains interprètent ces chiffres littéralement. Ils soulignent qu'il y a une réduction constante des âges atteints par ces patriarches jusqu'aux cent-vingt ans plus modestes alloués à l'humanité à l'époque de Noé (</w:t>
      </w:r>
      <w:hyperlink r:id="rId2286">
        <w:r>
          <w:rPr>
            <w:color w:val="0000EE"/>
            <w:u w:val="single"/>
          </w:rPr>
          <w:t>Gn 6.3</w:t>
        </w:r>
      </w:hyperlink>
      <w:r>
        <w:t>). Cela est réduit aux soixante-dix ans acceptés plus tard comme la durée de vie humaine (</w:t>
      </w:r>
      <w:hyperlink r:id="rId401">
        <w:r>
          <w:rPr>
            <w:color w:val="0000EE"/>
            <w:u w:val="single"/>
          </w:rPr>
          <w:t>Ps 90.10</w:t>
        </w:r>
      </w:hyperlink>
      <w:r>
        <w:t>). Cela correspondrait à la détérioration spirituelle progressive de l'humanité après la chute, de l'état parfait d'Adam à la condition actuelle. Quelle que soit l'explication des chiffres, il ne fait aucun doute qu'il s'agit là de l'intention théologique de la Bible.</w:t>
      </w:r>
    </w:p>
    <w:p>
      <w:r/>
      <w:r>
        <w:t>Le grand nombre d'Israélites qui ont quitté l'Égypte pose également problème. S'il y avait réellement six-cent-mille hommes de combat (</w:t>
      </w:r>
      <w:hyperlink r:id="rId10642">
        <w:r>
          <w:rPr>
            <w:color w:val="0000EE"/>
            <w:u w:val="single"/>
          </w:rPr>
          <w:t>Nb 1.46</w:t>
        </w:r>
      </w:hyperlink>
      <w:r>
        <w:t>), cela correspondrait à une nation entière d'environ deux millions ou plus. Il est possible que le mot traduit par « mille » signifie « unités de clan ». Il s'agirait clairement là d'un total beaucoup plus petit, quelle que soit sa taille exacte. Bien entendu, Dieu aurait pu soutenir n'importe quel nombre de personnes dans le désert. Les preuves archéologiques concernant la population de Canaan, tant avant qu'après l'assaut israélite, semblent soutenir un nombre inférieur. Le même principe pourrait expliquer les grands nombres donnés pour les hommes de combat des diverses tribus israélites. Cela pourrait également s'appliquer aux totaux énormes pour la force militaire d'Israël et de Juda donnés à des époques ultérieures dans les livres historiques de l'Ancien Testament.</w:t>
      </w:r>
    </w:p>
    <w:p>
      <w:r/>
      <w:r>
        <w:t>Pour le lecteur ou l'auditeur ordinaire de la Bible, l'un des plus grands problèmes est peut-être les différents nombres enregistrés dans les Chroniques et les Rois. Les nombres diffèrent lorsque les mêmes incidents sont décrits. Des erreurs de manuscrit ou une confusion de nombres écrits par des signes ou des lettres uniques de l'alphabet peuvent expliquer de nombreuses incohérences individuelles, mais elles n'expliquent pas toutes les différences. Les chiffres dans les Chroniques sont systématiquement beaucoup plus grands. Ces très grands nombres ronds peuvent avoir une signification symbolique et ne sont peut-être pas destinés à être pris dans leur sens littéral. Les Juifs avaient devant eux le livre des Rois et le livre des Chroniques en même temps. Ils ne pouvaient guère avoir pris littéralement les deux ensembles de nombres eux-mêmes.</w:t>
      </w:r>
    </w:p>
    <w:p>
      <w:pPr>
        <w:pStyle w:val="Heading3"/>
      </w:pPr>
      <w:r>
        <w:t>Compter par générations</w:t>
      </w:r>
    </w:p>
    <w:p>
      <w:r/>
      <w:r>
        <w:t>L'un des problèmes de l'Ancien Testament est la datation des événements. Même avec un système numérique précis, il n'existe pas de point fixe absolu à partir duquel compter. Plus tard, les juifs et les chrétiens ont compté à partir de la date supposée de la création. Après l'époque de David et Salomon, des références internes et externes sont utilisées. Les références internes consistent en des dates comparatives des rois de Juda et d'Israël. Les références externes concernent les rois et reines en dehors d'Israël.</w:t>
      </w:r>
    </w:p>
    <w:p>
      <w:r/>
      <w:r>
        <w:t xml:space="preserve">Cette ouverture explique la période vague de « quarante ans ». Elle est souvent utilisée dans l'Ancien Testament (par exemple, le livre des Juges) pour toute période longue mais inconnue. Elle correspond presque certainement à une génération (hébreu, </w:t>
      </w:r>
      <w:r>
        <w:rPr>
          <w:i/>
        </w:rPr>
        <w:t>Dor</w:t>
      </w:r>
      <w:r>
        <w:t>). Compter par générations est spécifique à certains endroits dans la Bible et peut être implicite à d'autres. Par exemple, les descendants d'Abraham doivent retourner à Canaan « À la quatrième génération » (</w:t>
      </w:r>
      <w:hyperlink r:id="rId2549">
        <w:r>
          <w:rPr>
            <w:color w:val="0000EE"/>
            <w:u w:val="single"/>
          </w:rPr>
          <w:t>Gn 15.16</w:t>
        </w:r>
      </w:hyperlink>
      <w:r>
        <w:t>). La liste des ancêtres du Christ est soigneusement construite sur un modèle de trois groupes de quatorze générations (</w:t>
      </w:r>
      <w:hyperlink r:id="rId5939">
        <w:r>
          <w:rPr>
            <w:color w:val="0000EE"/>
            <w:u w:val="single"/>
          </w:rPr>
          <w:t>Mt 1.17</w:t>
        </w:r>
      </w:hyperlink>
      <w:r>
        <w:t>), plutôt que sur des périodes d'années.</w:t>
      </w:r>
    </w:p>
    <w:p>
      <w:r/>
      <w:r>
        <w:t>Partout où l'on utilise ou récite des listes d'ancêtres, un tel comptage par générations est naturel. Cependant, on dit que les descendants d'Abraham sont revenus à Canaan environ quatre siècles plus tard (</w:t>
      </w:r>
      <w:hyperlink r:id="rId10643">
        <w:r>
          <w:rPr>
            <w:color w:val="0000EE"/>
            <w:u w:val="single"/>
          </w:rPr>
          <w:t>Ga 3.17</w:t>
        </w:r>
      </w:hyperlink>
      <w:r>
        <w:t>). Le mot « génération » désigne parfois cent ans. Le mot hébreu pour « génération » peut signifier cent-vingt ans (</w:t>
      </w:r>
      <w:hyperlink r:id="rId2286">
        <w:r>
          <w:rPr>
            <w:color w:val="0000EE"/>
            <w:u w:val="single"/>
          </w:rPr>
          <w:t>Gn 6.3</w:t>
        </w:r>
      </w:hyperlink>
      <w:r>
        <w:t>). Habituellement, les anciens Hébreux utilisaient des expressions vagues comme « en ces jours-là », « après ces jours-là » ou « les jours viennent ». Ces expressions exprimaient le passé, le présent et le futur sans mention spécifique de nombre. En d'autres termes, les écrivains bibliques étaient plus préoccupés par la théologie que par les mathématiques.</w:t>
      </w:r>
    </w:p>
    <w:p>
      <w:pPr>
        <w:pStyle w:val="Heading3"/>
      </w:pPr>
      <w:r>
        <w:t>Utilisation approximative des nombres</w:t>
      </w:r>
    </w:p>
    <w:p>
      <w:r/>
      <w:r>
        <w:t>Dans l'Ancien Testament, les quarante ans d'Israël dans le désert sont un bon exemple de l'utilisation approximative des nombres (</w:t>
      </w:r>
      <w:hyperlink r:id="rId10644">
        <w:r>
          <w:rPr>
            <w:color w:val="0000EE"/>
            <w:u w:val="single"/>
          </w:rPr>
          <w:t>Nb 14.33</w:t>
        </w:r>
      </w:hyperlink>
      <w:r>
        <w:t>). Dans le Nouveau Testament, Jésus a passé quarante jours dans le désert pendant la tentation (</w:t>
      </w:r>
      <w:hyperlink r:id="rId7279">
        <w:r>
          <w:rPr>
            <w:color w:val="0000EE"/>
            <w:u w:val="single"/>
          </w:rPr>
          <w:t>Mt 4.2</w:t>
        </w:r>
      </w:hyperlink>
      <w:r>
        <w:t>). Il y a eu quarante jours entre sa résurrection et son ascension (</w:t>
      </w:r>
      <w:hyperlink r:id="rId2599">
        <w:r>
          <w:rPr>
            <w:color w:val="0000EE"/>
            <w:u w:val="single"/>
          </w:rPr>
          <w:t>Ac 1.3</w:t>
        </w:r>
      </w:hyperlink>
      <w:r>
        <w:t>).</w:t>
      </w:r>
    </w:p>
    <w:p>
      <w:r/>
      <w:r>
        <w:t>Moïse avait quarante ans lors de son appel (</w:t>
      </w:r>
      <w:hyperlink r:id="rId10205">
        <w:r>
          <w:rPr>
            <w:color w:val="0000EE"/>
            <w:u w:val="single"/>
          </w:rPr>
          <w:t>Ac 7.23</w:t>
        </w:r>
      </w:hyperlink>
      <w:r>
        <w:t>). Il a apparemment vécu quarante ans à Madian (</w:t>
      </w:r>
      <w:hyperlink r:id="rId10645">
        <w:r>
          <w:rPr>
            <w:color w:val="0000EE"/>
            <w:u w:val="single"/>
          </w:rPr>
          <w:t>Ex 7.7</w:t>
        </w:r>
      </w:hyperlink>
      <w:r>
        <w:t>). Il a passé quarante ans à conduire Israël hors d'Égypte et à travers le désert (</w:t>
      </w:r>
      <w:hyperlink r:id="rId10206">
        <w:r>
          <w:rPr>
            <w:color w:val="0000EE"/>
            <w:u w:val="single"/>
          </w:rPr>
          <w:t>Dt 34.7</w:t>
        </w:r>
      </w:hyperlink>
      <w:r>
        <w:t>). Par conséquent, on dit qu'il avait cent-vingt ans à sa mort. Cependant, deux générations de quarante ans constituent le maximum normal pour un homme en bonne santé (</w:t>
      </w:r>
      <w:hyperlink r:id="rId401">
        <w:r>
          <w:rPr>
            <w:color w:val="0000EE"/>
            <w:u w:val="single"/>
          </w:rPr>
          <w:t>Ps 90.10</w:t>
        </w:r>
      </w:hyperlink>
      <w:r>
        <w:t>). Cela est souvent réduit à soixante-dix ans par les difficultés de la vie. Soixante-dix est également utilisé parfois dans ce sens approximatif.</w:t>
      </w:r>
    </w:p>
    <w:p>
      <w:pPr>
        <w:pStyle w:val="Heading3"/>
      </w:pPr>
      <w:r>
        <w:t>Usage symbolique des nombres</w:t>
      </w:r>
    </w:p>
    <w:p>
      <w:r/>
      <w:r>
        <w:t>Dans les Écritures, sept symbolise la complétude ou la perfection. Le septième jour, Dieu se reposa de ses travaux et la création est achevée (</w:t>
      </w:r>
      <w:hyperlink r:id="rId5708">
        <w:r>
          <w:rPr>
            <w:color w:val="0000EE"/>
            <w:u w:val="single"/>
          </w:rPr>
          <w:t>Gn 2.2</w:t>
        </w:r>
      </w:hyperlink>
      <w:r>
        <w:t>). Pharaon, dans son rêve, voit sept bovins sortir du Nil (</w:t>
      </w:r>
      <w:hyperlink r:id="rId10646">
        <w:r>
          <w:rPr>
            <w:color w:val="0000EE"/>
            <w:u w:val="single"/>
          </w:rPr>
          <w:t>Gn 41.2</w:t>
        </w:r>
      </w:hyperlink>
      <w:r>
        <w:t>). Les cheveux sacrés du Naziréen Samson sont tressés en sept tresses (</w:t>
      </w:r>
      <w:hyperlink r:id="rId10647">
        <w:r>
          <w:rPr>
            <w:color w:val="0000EE"/>
            <w:u w:val="single"/>
          </w:rPr>
          <w:t>Jg 16.13</w:t>
        </w:r>
      </w:hyperlink>
      <w:r>
        <w:t>). Sept démons quittent Marie de Magdala, signifiant la totalité de sa possession antérieure par Satan (</w:t>
      </w:r>
      <w:hyperlink r:id="rId9654">
        <w:r>
          <w:rPr>
            <w:color w:val="0000EE"/>
            <w:u w:val="single"/>
          </w:rPr>
          <w:t>Lc 8.2</w:t>
        </w:r>
      </w:hyperlink>
      <w:r>
        <w:t>). « Sept autres esprits [...] méchants » entreront dans la vie purifiée mais vacante d'une personne (</w:t>
      </w:r>
      <w:hyperlink r:id="rId10648">
        <w:r>
          <w:rPr>
            <w:color w:val="0000EE"/>
            <w:u w:val="single"/>
          </w:rPr>
          <w:t>Mt 12.45</w:t>
        </w:r>
      </w:hyperlink>
      <w:r>
        <w:t>). Cependant, du côté positif, il y avait les sept esprits de Dieu (</w:t>
      </w:r>
      <w:hyperlink r:id="rId4917">
        <w:r>
          <w:rPr>
            <w:color w:val="0000EE"/>
            <w:u w:val="single"/>
          </w:rPr>
          <w:t>Ap 3.1</w:t>
        </w:r>
      </w:hyperlink>
      <w:r>
        <w:t>).</w:t>
      </w:r>
    </w:p>
    <w:p>
      <w:r/>
      <w:r>
        <w:t>La septième année, l'esclave hébreu devait être libéré (</w:t>
      </w:r>
      <w:hyperlink r:id="rId4898">
        <w:r>
          <w:rPr>
            <w:color w:val="0000EE"/>
            <w:u w:val="single"/>
          </w:rPr>
          <w:t>Ex 21.2</w:t>
        </w:r>
      </w:hyperlink>
      <w:r>
        <w:t>). La captivité et le service d'un esclave prenaient fin après sept ans. Chaque septième année était une année sabbatique (</w:t>
      </w:r>
      <w:hyperlink r:id="rId952">
        <w:r>
          <w:rPr>
            <w:color w:val="0000EE"/>
            <w:u w:val="single"/>
          </w:rPr>
          <w:t>Lv 25.4</w:t>
        </w:r>
      </w:hyperlink>
      <w:r>
        <w:t>). Sept fois sept réitère le sens de l'achèvement. L'Année du Jubilé avait lieu à l'achèvement de sept fois sept ans, soit la cinquantième année. Pendant l'Année du Jubilé, toutes les terres étaient libérées et retournaient aux propriétaires d'origine (</w:t>
      </w:r>
      <w:hyperlink r:id="rId962">
        <w:r>
          <w:rPr>
            <w:color w:val="0000EE"/>
            <w:u w:val="single"/>
          </w:rPr>
          <w:t>Lv 25.10</w:t>
        </w:r>
      </w:hyperlink>
      <w:r>
        <w:t>). La Pentecôte, ou Fête des Semaines, a lieu sept fois sept jours après la Pâque.</w:t>
      </w:r>
    </w:p>
    <w:p>
      <w:r/>
      <w:r>
        <w:t>« Soixante-dix » signifie littéralement « septs » en hébreu. « Soixante-dix » renforce le concept de perfection. Il y a soixante-dix anciens (</w:t>
      </w:r>
      <w:hyperlink r:id="rId10649">
        <w:r>
          <w:rPr>
            <w:color w:val="0000EE"/>
            <w:u w:val="single"/>
          </w:rPr>
          <w:t>Ex 24.1</w:t>
        </w:r>
      </w:hyperlink>
      <w:r>
        <w:t>) en Israël. Israël a été exilé à Babylone pendant soixante-dix ans pour compléter sa punition (</w:t>
      </w:r>
      <w:hyperlink r:id="rId10650">
        <w:r>
          <w:rPr>
            <w:color w:val="0000EE"/>
            <w:u w:val="single"/>
          </w:rPr>
          <w:t>Jr 25.12</w:t>
        </w:r>
      </w:hyperlink>
      <w:r>
        <w:t>). « Soixante-dix fois sept » (</w:t>
      </w:r>
      <w:hyperlink r:id="rId8836">
        <w:r>
          <w:rPr>
            <w:color w:val="0000EE"/>
            <w:u w:val="single"/>
          </w:rPr>
          <w:t>Mt 18.22</w:t>
        </w:r>
      </w:hyperlink>
      <w:r>
        <w:t>) réitère cela encore plus. Le Seigneur ne donnait pas à Pierre un nombre précis de fois qu'il devait pardonner à une autre personne. Jésus insistait sur le pardon illimité pour le péché d'un frère.</w:t>
      </w:r>
    </w:p>
    <w:p>
      <w:r/>
      <w:r>
        <w:t>« Trois » peut bien partager ce sens d'achèvement ou de perfection, bien que pas aussi fortement (</w:t>
      </w:r>
      <w:hyperlink r:id="rId10651">
        <w:r>
          <w:rPr>
            <w:color w:val="0000EE"/>
            <w:u w:val="single"/>
          </w:rPr>
          <w:t>2R 13.18</w:t>
        </w:r>
      </w:hyperlink>
      <w:r>
        <w:t>). Beaucoup de choses se passent « le troisième jour » (</w:t>
      </w:r>
      <w:hyperlink r:id="rId10652">
        <w:r>
          <w:rPr>
            <w:color w:val="0000EE"/>
            <w:u w:val="single"/>
          </w:rPr>
          <w:t>Os 6.2</w:t>
        </w:r>
      </w:hyperlink>
      <w:r>
        <w:t>). Jonas a passé trois jours dans le ventre du poisson (</w:t>
      </w:r>
      <w:hyperlink r:id="rId2747">
        <w:r>
          <w:rPr>
            <w:color w:val="0000EE"/>
            <w:u w:val="single"/>
          </w:rPr>
          <w:t>Matthieu 12.40</w:t>
        </w:r>
      </w:hyperlink>
      <w:r>
        <w:t>). Le Seigneur est ressuscité le troisième jour (</w:t>
      </w:r>
      <w:hyperlink r:id="rId2587">
        <w:r>
          <w:rPr>
            <w:color w:val="0000EE"/>
            <w:u w:val="single"/>
          </w:rPr>
          <w:t>1Co 15.4</w:t>
        </w:r>
      </w:hyperlink>
      <w:r>
        <w:t>). David s'est vu offrir un choix de punitions divines : trois ans, trois mois, trois jours (</w:t>
      </w:r>
      <w:hyperlink r:id="rId10653">
        <w:r>
          <w:rPr>
            <w:color w:val="0000EE"/>
            <w:u w:val="single"/>
          </w:rPr>
          <w:t>2S 24.13</w:t>
        </w:r>
      </w:hyperlink>
      <w:r>
        <w:t>).</w:t>
      </w:r>
    </w:p>
    <w:p>
      <w:r/>
      <w:r>
        <w:t>Pour le chrétien, « trois » revêt une signification bien plus profonde en tant que nombre de personnes de la Trinité. Les trois personnes sont clairement exprimées dans le Grand Mandat (</w:t>
      </w:r>
      <w:hyperlink r:id="rId4190">
        <w:r>
          <w:rPr>
            <w:color w:val="0000EE"/>
            <w:u w:val="single"/>
          </w:rPr>
          <w:t>Mt 28.19</w:t>
        </w:r>
      </w:hyperlink>
      <w:r>
        <w:t>). Elles se trouvent également dans la bénédiction paulinienne (</w:t>
      </w:r>
      <w:hyperlink r:id="rId10654">
        <w:r>
          <w:rPr>
            <w:color w:val="0000EE"/>
            <w:u w:val="single"/>
          </w:rPr>
          <w:t>2Co 13.13</w:t>
        </w:r>
      </w:hyperlink>
      <w:r>
        <w:t xml:space="preserve">). De nombreux exemples de cette expression triple se trouvent dans le Nouveau Testament, et de nombreuses anticipations de celle-ci sont présentes dans l'Ancien Testament. Le « Saint » répété trois fois dans </w:t>
      </w:r>
      <w:hyperlink r:id="rId6240">
        <w:r>
          <w:rPr>
            <w:color w:val="0000EE"/>
            <w:u w:val="single"/>
          </w:rPr>
          <w:t>Ésaïe 6.3</w:t>
        </w:r>
      </w:hyperlink>
      <w:r>
        <w:t xml:space="preserve"> en est l'exemple le plus célèbre.</w:t>
      </w:r>
    </w:p>
    <w:p>
      <w:r/>
      <w:r>
        <w:t xml:space="preserve">Certains experts considèrent que le chiffre quatre est un autre symbole de complétude. Par exemple, il y a quatre vents du ciel dans </w:t>
      </w:r>
      <w:hyperlink r:id="rId10655">
        <w:r>
          <w:rPr>
            <w:color w:val="0000EE"/>
            <w:u w:val="single"/>
          </w:rPr>
          <w:t>Daniel 7.2</w:t>
        </w:r>
      </w:hyperlink>
      <w:r>
        <w:t xml:space="preserve">, quatre cavaliers dans </w:t>
      </w:r>
      <w:hyperlink r:id="rId10656">
        <w:r>
          <w:rPr>
            <w:color w:val="0000EE"/>
            <w:u w:val="single"/>
          </w:rPr>
          <w:t>Apocalypse 6.1–7</w:t>
        </w:r>
      </w:hyperlink>
      <w:r>
        <w:t xml:space="preserve">, et quatre créatures vivantes autour du trône de Dieu dans </w:t>
      </w:r>
      <w:hyperlink r:id="rId10657">
        <w:r>
          <w:rPr>
            <w:color w:val="0000EE"/>
            <w:u w:val="single"/>
          </w:rPr>
          <w:t>Apocalypse 4.6</w:t>
        </w:r>
      </w:hyperlink>
      <w:r>
        <w:t>.</w:t>
      </w:r>
    </w:p>
    <w:p>
      <w:r/>
      <w:r>
        <w:t>Cinq est certainement utilisé dans un sens indéfini pour désigner un petit nombre (</w:t>
      </w:r>
      <w:hyperlink r:id="rId6235">
        <w:r>
          <w:rPr>
            <w:color w:val="0000EE"/>
            <w:u w:val="single"/>
          </w:rPr>
          <w:t>Es 19.18</w:t>
        </w:r>
      </w:hyperlink>
      <w:r>
        <w:t xml:space="preserve"> ; </w:t>
      </w:r>
      <w:hyperlink r:id="rId10658">
        <w:r>
          <w:rPr>
            <w:color w:val="0000EE"/>
            <w:u w:val="single"/>
          </w:rPr>
          <w:t>30.17</w:t>
        </w:r>
      </w:hyperlink>
      <w:r>
        <w:t xml:space="preserve">). Ni huit ni neuf ne semblent avoir de signification particulière. Comme d'autres nombres, ils peuvent être utilisés dans un sens factuel pour décrire n'importe quelle activité de Dieu (neuf plaies sur l'Égypte, </w:t>
      </w:r>
      <w:hyperlink r:id="rId10659">
        <w:r>
          <w:rPr>
            <w:color w:val="0000EE"/>
            <w:u w:val="single"/>
          </w:rPr>
          <w:t>Exode 7–10</w:t>
        </w:r>
      </w:hyperlink>
      <w:r>
        <w:t>).</w:t>
      </w:r>
    </w:p>
    <w:p>
      <w:r/>
      <w:r>
        <w:t>« Dix » a une signification en raison des Dix Commandements (</w:t>
      </w:r>
      <w:hyperlink r:id="rId1216">
        <w:r>
          <w:rPr>
            <w:color w:val="0000EE"/>
            <w:u w:val="single"/>
          </w:rPr>
          <w:t>Ex 20.1–17</w:t>
        </w:r>
      </w:hyperlink>
      <w:r>
        <w:t>). Il n'y avait pas de symbolisme particulier pour le nombre dix plus tôt dans la Bible. On pourrait dire que « dix » est utilisé ailleurs de manière vague. Laban change le salaire de Jacob dix fois (</w:t>
      </w:r>
      <w:hyperlink r:id="rId10660">
        <w:r>
          <w:rPr>
            <w:color w:val="0000EE"/>
            <w:u w:val="single"/>
          </w:rPr>
          <w:t>Gn 31.7</w:t>
        </w:r>
      </w:hyperlink>
      <w:r>
        <w:t>). Daniel et ses amis sont dix fois meilleurs que tous les autres étudiants (</w:t>
      </w:r>
      <w:hyperlink r:id="rId10661">
        <w:r>
          <w:rPr>
            <w:color w:val="0000EE"/>
            <w:u w:val="single"/>
          </w:rPr>
          <w:t>Dn 1.20</w:t>
        </w:r>
      </w:hyperlink>
      <w:r>
        <w:t>). Dix fois, les colons juifs seront avertis des attaques ennemies imminentes (</w:t>
      </w:r>
      <w:hyperlink r:id="rId10662">
        <w:r>
          <w:rPr>
            <w:color w:val="0000EE"/>
            <w:u w:val="single"/>
          </w:rPr>
          <w:t>Né 4.12</w:t>
        </w:r>
      </w:hyperlink>
      <w:r>
        <w:t>).</w:t>
      </w:r>
    </w:p>
    <w:p>
      <w:r/>
      <w:r>
        <w:t xml:space="preserve">Onze ne semble pas avoir de signification biblique particulière, ce qui n'est pas le cas de douze. La preuve la plus claire en est l'existence des douze tribus en Israël. Dans </w:t>
      </w:r>
      <w:hyperlink r:id="rId10663">
        <w:r>
          <w:rPr>
            <w:color w:val="0000EE"/>
            <w:u w:val="single"/>
          </w:rPr>
          <w:t>Apocalypse 7.4–8</w:t>
        </w:r>
      </w:hyperlink>
      <w:r>
        <w:t>, il est mathématiquement important que le nombre de tribus soit limité à douze. La tribu de Dan est complètement omise, probablement en raison du péché d'idolâtrie de Dan (</w:t>
      </w:r>
      <w:hyperlink r:id="rId10664">
        <w:r>
          <w:rPr>
            <w:color w:val="0000EE"/>
            <w:u w:val="single"/>
          </w:rPr>
          <w:t>Jg 18.14–20</w:t>
        </w:r>
      </w:hyperlink>
      <w:r>
        <w:t>). Les descendants d'Ismaël étaient également divisés en douze clans (</w:t>
      </w:r>
      <w:hyperlink r:id="rId8493">
        <w:r>
          <w:rPr>
            <w:color w:val="0000EE"/>
            <w:u w:val="single"/>
          </w:rPr>
          <w:t>Gn 17.20</w:t>
        </w:r>
      </w:hyperlink>
      <w:r>
        <w:t>).</w:t>
      </w:r>
    </w:p>
    <w:p>
      <w:r/>
      <w:r>
        <w:t>Le nombre douze était apparemment significatif en dehors d'Israël également. Dans le Nouveau Testament, Christ a choisi douze apôtres (</w:t>
      </w:r>
      <w:hyperlink r:id="rId1039">
        <w:r>
          <w:rPr>
            <w:color w:val="0000EE"/>
            <w:u w:val="single"/>
          </w:rPr>
          <w:t>Mt 10.1–4</w:t>
        </w:r>
      </w:hyperlink>
      <w:r>
        <w:t>). Le lien avec le nombre de tribus est rendu spécifique lorsque Christ dit aux apôtres qu'ils siégeront sur douze trônes, jugeant les douze tribus (</w:t>
      </w:r>
      <w:hyperlink r:id="rId5695">
        <w:r>
          <w:rPr>
            <w:color w:val="0000EE"/>
            <w:u w:val="single"/>
          </w:rPr>
          <w:t>Mt 19.28</w:t>
        </w:r>
      </w:hyperlink>
      <w:r>
        <w:t>). Un fait intéressant est qu'après l'élection et la nomination de Matthias (</w:t>
      </w:r>
      <w:hyperlink r:id="rId4185">
        <w:r>
          <w:rPr>
            <w:color w:val="0000EE"/>
            <w:u w:val="single"/>
          </w:rPr>
          <w:t>Ac 1.26</w:t>
        </w:r>
      </w:hyperlink>
      <w:r>
        <w:t>), l'Église chrétienne n'a fait aucun effort ultérieur pour maintenir le nombre d'apôtres. Comme « sept fois sept », « douze fois douze » augmente la force du nombre. Lorsque cela est encore multiplié par mille, le chiffre devient les cent quarante-quatre mille rachetés (</w:t>
      </w:r>
      <w:hyperlink r:id="rId10665">
        <w:r>
          <w:rPr>
            <w:color w:val="0000EE"/>
            <w:u w:val="single"/>
          </w:rPr>
          <w:t>Ap 7.4</w:t>
        </w:r>
      </w:hyperlink>
      <w:r>
        <w:t xml:space="preserve">). Les cent quarante-quatre mille ont été « </w:t>
      </w:r>
      <w:r>
        <w:t>marqués du sceau [...] de toutes les tribus des fils d’Israël</w:t>
      </w:r>
      <w:r>
        <w:t xml:space="preserve"> ».</w:t>
      </w:r>
    </w:p>
    <w:p>
      <w:pPr>
        <w:pStyle w:val="Heading3"/>
      </w:pPr>
      <w:r>
        <w:t>Statistiques exactes</w:t>
      </w:r>
    </w:p>
    <w:p>
      <w:r/>
      <w:r>
        <w:t>Certains nombres ont une utilisation métaphorique pour indiquer l'achèvement, de très grandes quantités, et d'autres concepts. D'autres nombres en hébreu étaient souvent utilisés pour fournir des décomptes ou des mesures exacts. Une telle utilisation nous est connue uniquement à partir de tablettes d'argile et d'ostraca (morceaux de poterie cassés gravés à l'encre, utilisés pour prendre des notes). Cependant, déterminer exactement quel était le texte dans sa forme la plus ancienne et ce que ce texte signifie est difficile.</w:t>
      </w:r>
    </w:p>
    <w:p>
      <w:r/>
      <w:r>
        <w:t xml:space="preserve">Un exemple est le nombre des habitants de </w:t>
      </w:r>
      <w:r>
        <w:t>Beth-Schémesch</w:t>
      </w:r>
      <w:r>
        <w:t>. Ils ont été frappés par le Seigneur parce qu'ils ne se sont pas réjouis avec les autres lorsque l'arche de Dieu est revenue en Israël du pays des Philistins (</w:t>
      </w:r>
      <w:hyperlink r:id="rId1180">
        <w:r>
          <w:rPr>
            <w:color w:val="0000EE"/>
            <w:u w:val="single"/>
          </w:rPr>
          <w:t>1S 6.19</w:t>
        </w:r>
      </w:hyperlink>
      <w:r>
        <w:t>). Le texte grec (Septante) indique « soixante-dix ». Les manuscrits hébreux ultérieurs ajoutent « cinquante mille ». Comme Beth-Schémesch elle-même n'était qu'une petite ville frontière le nombre plus petit semble être l'original de façon assez évidente. Le grand ajout est dû à une confusion ultérieure des manuscrits.</w:t>
      </w:r>
    </w:p>
    <w:p>
      <w:r/>
      <w:r>
        <w:t>Il existe plusieurs façons de décider si un nombre est réel ou métaphorique. Est-ce un petit nombre ? Est-ce un nombre inhabituel pour lequel il n'y a pas d'explication théologique évidente ? Les hommes d'Aï ont tué environ trente-six Israélites lors de la première attaque contre la ville (</w:t>
      </w:r>
      <w:hyperlink r:id="rId10666">
        <w:r>
          <w:rPr>
            <w:color w:val="0000EE"/>
            <w:u w:val="single"/>
          </w:rPr>
          <w:t>Jos 7.5</w:t>
        </w:r>
      </w:hyperlink>
      <w:r>
        <w:t xml:space="preserve">). La petitesse du nombre est l'indication qu'il s'agit d'un détail factuel vivement mémorisé. De même, les 318 hommes d'Abraham dans </w:t>
      </w:r>
      <w:hyperlink r:id="rId5932">
        <w:r>
          <w:rPr>
            <w:color w:val="0000EE"/>
            <w:u w:val="single"/>
          </w:rPr>
          <w:t>Gn 14.14</w:t>
        </w:r>
      </w:hyperlink>
      <w:r>
        <w:t xml:space="preserve"> et la prise de 153 poissons après la résurrection dans </w:t>
      </w:r>
      <w:hyperlink r:id="rId10667">
        <w:r>
          <w:rPr>
            <w:color w:val="0000EE"/>
            <w:u w:val="single"/>
          </w:rPr>
          <w:t>Jn 21.11</w:t>
        </w:r>
      </w:hyperlink>
      <w:r>
        <w:t xml:space="preserve"> sont de grands nombres qui sont des combinaisons inhabituelles. Ceux-ci sont évidemment destinés à être compris dans un sens littéral ou statistique. Les détails non pertinents comme celui-ci ont tendance à rester en mémoire. Ils sont la meilleure garantie de la fiabilité du récit.</w:t>
      </w:r>
    </w:p>
    <w:p>
      <w:pPr>
        <w:pStyle w:val="Heading3"/>
      </w:pPr>
      <w:r>
        <w:t>Numérologie</w:t>
      </w:r>
    </w:p>
    <w:p>
      <w:r/>
      <w:r>
        <w:t>On pourrait dire que la numérologie est une application étendue de la signification métaphorique des nombres (sept et quarante) déjà discutée. Dans la Bible, ce système de nombres est toujours associé à un fort sentiment de la souveraineté de Dieu, de son contrôle sur l'histoire humaine, et d'une croyance en son dessein continu et sa conclusion triomphante.</w:t>
      </w:r>
    </w:p>
    <w:p>
      <w:r/>
      <w:r>
        <w:t xml:space="preserve">Peut-être que le premier exemple clair de numérologie dans la Bible se trouve dans </w:t>
      </w:r>
      <w:hyperlink r:id="rId2539">
        <w:r>
          <w:rPr>
            <w:color w:val="0000EE"/>
            <w:u w:val="single"/>
          </w:rPr>
          <w:t>1 Rois 6.1</w:t>
        </w:r>
      </w:hyperlink>
      <w:r>
        <w:t>. Salomon a commencé à construire le temple 480 ans après l'Exode. Cela peut être calculé par cinq fois dix fois douze. On peut y parvenir par quatre fois cent-vingt, et cent-vingt la durée de vie idéale de l'homme dans les premiers jours (</w:t>
      </w:r>
      <w:hyperlink r:id="rId2286">
        <w:r>
          <w:rPr>
            <w:color w:val="0000EE"/>
            <w:u w:val="single"/>
          </w:rPr>
          <w:t>Gn 6.3</w:t>
        </w:r>
      </w:hyperlink>
      <w:r>
        <w:t>).</w:t>
      </w:r>
    </w:p>
    <w:p>
      <w:r/>
      <w:hyperlink r:id="rId2553">
        <w:r>
          <w:rPr>
            <w:color w:val="0000EE"/>
            <w:u w:val="single"/>
          </w:rPr>
          <w:t>1 Chroniques 6.3–8</w:t>
        </w:r>
      </w:hyperlink>
      <w:r>
        <w:t xml:space="preserve"> mentionne douze générations d'hommes, ce qui représente vraisemblablement quarante années chacune pour couvrir la même période. « Douze générations » est probablement la véritable base du calcul. Ceci est plus probable qu'une somme exacte. Un décompte aurait été impossible à l'époque des juges et peu probable avant que les rois ne règnent sur Israël.</w:t>
      </w:r>
    </w:p>
    <w:p>
      <w:r/>
      <w:r>
        <w:t>David sera le premier à établir un scribe ou un chroniqueur officiel pour tenir des archives quotidiennes en Israël (</w:t>
      </w:r>
      <w:hyperlink r:id="rId8842">
        <w:r>
          <w:rPr>
            <w:color w:val="0000EE"/>
            <w:u w:val="single"/>
          </w:rPr>
          <w:t>2S 8.16–17</w:t>
        </w:r>
      </w:hyperlink>
      <w:r>
        <w:t>). Il s'agissait d'une pratique courante dans les grands royaumes depuis des temps bien plus anciens. De telles annales israélites sont mentionnées plus tard comme sources des livres des Rois (</w:t>
      </w:r>
      <w:hyperlink r:id="rId10668">
        <w:r>
          <w:rPr>
            <w:color w:val="0000EE"/>
            <w:u w:val="single"/>
          </w:rPr>
          <w:t>2R 14.18</w:t>
        </w:r>
      </w:hyperlink>
      <w:r>
        <w:t>). Le nombre 480 est probablement une approximation grossière plutôt qu'exacte et désigne la fin de l'une des époques de Dieu.</w:t>
      </w:r>
    </w:p>
    <w:p>
      <w:r/>
      <w:r>
        <w:t>Jérémie prophétise un exil de soixante-dix ans pour Juda (</w:t>
      </w:r>
      <w:hyperlink r:id="rId7230">
        <w:r>
          <w:rPr>
            <w:color w:val="0000EE"/>
            <w:u w:val="single"/>
          </w:rPr>
          <w:t>Jr 25.11</w:t>
        </w:r>
      </w:hyperlink>
      <w:r>
        <w:t xml:space="preserve"> ; </w:t>
      </w:r>
      <w:hyperlink r:id="rId7231">
        <w:r>
          <w:rPr>
            <w:color w:val="0000EE"/>
            <w:u w:val="single"/>
          </w:rPr>
          <w:t>29.10</w:t>
        </w:r>
      </w:hyperlink>
      <w:r>
        <w:t xml:space="preserve">). Ce n'est pas seulement une prédiction historique qui s'est littéralement réalisée, mais aussi un symbole de complétude. La punition de Juda est complète (voir </w:t>
      </w:r>
      <w:hyperlink r:id="rId8311">
        <w:r>
          <w:rPr>
            <w:color w:val="0000EE"/>
            <w:u w:val="single"/>
          </w:rPr>
          <w:t>Es 40.2</w:t>
        </w:r>
      </w:hyperlink>
      <w:r>
        <w:t>). Ésaïe (</w:t>
      </w:r>
      <w:hyperlink r:id="rId10669">
        <w:r>
          <w:rPr>
            <w:color w:val="0000EE"/>
            <w:u w:val="single"/>
          </w:rPr>
          <w:t>Es 23.15</w:t>
        </w:r>
      </w:hyperlink>
      <w:r>
        <w:t>) a fait une prophétie similaire d'une punition de soixante-dix ans pour Tyr.</w:t>
      </w:r>
    </w:p>
    <w:p>
      <w:r/>
      <w:r>
        <w:t xml:space="preserve">Dans </w:t>
      </w:r>
      <w:hyperlink r:id="rId10670">
        <w:r>
          <w:rPr>
            <w:color w:val="0000EE"/>
            <w:u w:val="single"/>
          </w:rPr>
          <w:t>Ézéchiel 29.11–13</w:t>
        </w:r>
      </w:hyperlink>
      <w:r>
        <w:t>, le prophète prédit un « exil » de quarante ans pour l'Égypte. Ces soixante-dix années sont considérés comme des années sabbatiques. La terre doit rester en jachère pour compenser les sept fois soixante-dix ans de péché avant que la véritable numérologie ne commence (</w:t>
      </w:r>
      <w:hyperlink r:id="rId7232">
        <w:r>
          <w:rPr>
            <w:color w:val="0000EE"/>
            <w:u w:val="single"/>
          </w:rPr>
          <w:t>2Ch 36.21</w:t>
        </w:r>
      </w:hyperlink>
      <w:r>
        <w:t>). Ici, la numérologie est utilisée uniquement comme une explication du passé et du présent. Elle peut également être utilisée pour expliquer l'avenir, surtout dans le livre de Daniel.</w:t>
      </w:r>
    </w:p>
    <w:p>
      <w:r/>
      <w:hyperlink r:id="rId7233">
        <w:r>
          <w:rPr>
            <w:color w:val="0000EE"/>
            <w:u w:val="single"/>
          </w:rPr>
          <w:t>Daniel 9.2</w:t>
        </w:r>
      </w:hyperlink>
      <w:r>
        <w:t xml:space="preserve"> se réfère aux soixante-dix années littérales d'exil comme prédit par Jérémie. Dans </w:t>
      </w:r>
      <w:hyperlink r:id="rId10671">
        <w:r>
          <w:rPr>
            <w:color w:val="0000EE"/>
            <w:u w:val="single"/>
          </w:rPr>
          <w:t>Daniel 9.24</w:t>
        </w:r>
      </w:hyperlink>
      <w:r>
        <w:t xml:space="preserve">, cela est étendu à soixante-dix semaines d'années (490 ans) appliquées à un avenir lointain. </w:t>
      </w:r>
      <w:hyperlink r:id="rId10672">
        <w:r>
          <w:rPr>
            <w:color w:val="0000EE"/>
            <w:u w:val="single"/>
          </w:rPr>
          <w:t>Daniel 9.25</w:t>
        </w:r>
      </w:hyperlink>
      <w:r>
        <w:t xml:space="preserve"> considère que soixante-neuf de ces semaines (483 ans) passent avant que le Messie n'apparaisse. On présume donc que la dernière semaine des soixante-dix est considérée comme le temps de son activité.</w:t>
      </w:r>
    </w:p>
    <w:p>
      <w:r/>
      <w:r>
        <w:t xml:space="preserve">Cependant, peu importe comment cela peut être interprété en termes de dates réelles, cela doit être harmonisé avec </w:t>
      </w:r>
      <w:hyperlink r:id="rId10673">
        <w:r>
          <w:rPr>
            <w:color w:val="0000EE"/>
            <w:u w:val="single"/>
          </w:rPr>
          <w:t>9.26</w:t>
        </w:r>
      </w:hyperlink>
      <w:r>
        <w:t>, où le Messie est « retranché » après soixante-deux semaines d'années (434 ans). La difficulté réside dans l'établissement du point de départ pour cette longue période. C'est un exemple de numérologie élaborée. Il englobe des siècles d'histoire, tous finalement basés sur les soixante-dix ans de Jérémie. Selon les principes bibliques, cela peut avoir un accomplissement « immédiat » dans le retour d'exil. Cela peut avoir un accomplissement « prophétique » dans un avenir lointain en lien avec la venue de Christ.</w:t>
      </w:r>
    </w:p>
    <w:p>
      <w:r/>
      <w:r>
        <w:t xml:space="preserve">L'autre exemple majeur de numérologie étendue dans Daniel est en lien avec le « </w:t>
      </w:r>
      <w:r>
        <w:t>temps, des temps, et la moitié d’un temps</w:t>
      </w:r>
      <w:r>
        <w:t xml:space="preserve"> » (</w:t>
      </w:r>
      <w:hyperlink r:id="rId10674">
        <w:r>
          <w:rPr>
            <w:color w:val="0000EE"/>
            <w:u w:val="single"/>
          </w:rPr>
          <w:t>7.25</w:t>
        </w:r>
      </w:hyperlink>
      <w:r>
        <w:t xml:space="preserve">). Cela doit représenter trois « temps » et demi, c'est-à-dire la moitié de sept « temps ». Cela se réfère soit à trois ans et demi (la moitié d'une « semaine » d'années) ou trois « semaines » d'années et demi (comparer avec « sept temps » dans </w:t>
      </w:r>
      <w:hyperlink r:id="rId2814">
        <w:r>
          <w:rPr>
            <w:color w:val="0000EE"/>
            <w:u w:val="single"/>
          </w:rPr>
          <w:t>4.16</w:t>
        </w:r>
      </w:hyperlink>
      <w:r>
        <w:t>, où « sept ans » est clairement signifié).</w:t>
      </w:r>
    </w:p>
    <w:p>
      <w:r/>
      <w:r>
        <w:t xml:space="preserve">Quel que soit son accomplissement prophétique ultime en Christ, l'accomplissement « initial » ou « partiel » correspond aux trois ans et demi environ de persécution amère du peuple de Dieu par Antiochus Épiphane en 167–164 av. J.‑C. Cette période de trois ans et demi réapparaît dans </w:t>
      </w:r>
      <w:hyperlink r:id="rId10675">
        <w:r>
          <w:rPr>
            <w:color w:val="0000EE"/>
            <w:u w:val="single"/>
          </w:rPr>
          <w:t>Apocalypse 11.2</w:t>
        </w:r>
      </w:hyperlink>
      <w:r>
        <w:t xml:space="preserve"> (« quarante-deux mois ») et </w:t>
      </w:r>
      <w:hyperlink r:id="rId10676">
        <w:r>
          <w:rPr>
            <w:color w:val="0000EE"/>
            <w:u w:val="single"/>
          </w:rPr>
          <w:t>12.14</w:t>
        </w:r>
      </w:hyperlink>
      <w:r>
        <w:t xml:space="preserve"> (« </w:t>
      </w:r>
      <w:r>
        <w:t>un temps, des temps, et la moitié d’un temps</w:t>
      </w:r>
      <w:r>
        <w:t xml:space="preserve"> »), pour décrire la période de persécution de l'Église chrétienne par Rome. Ce chiffre était peut-être devenu un symbole de toute persécution amère mais limitée. Les « </w:t>
      </w:r>
      <w:r>
        <w:t>Deux mille trois cents soirs et matins</w:t>
      </w:r>
      <w:r>
        <w:t xml:space="preserve"> » de </w:t>
      </w:r>
      <w:hyperlink r:id="rId10677">
        <w:r>
          <w:rPr>
            <w:color w:val="0000EE"/>
            <w:u w:val="single"/>
          </w:rPr>
          <w:t>Daniel 8.14</w:t>
        </w:r>
      </w:hyperlink>
      <w:r>
        <w:t xml:space="preserve"> peuvent signifier 1 150 jours, ce qui est à peu près la même durée.</w:t>
      </w:r>
    </w:p>
    <w:p>
      <w:r/>
      <w:r>
        <w:t xml:space="preserve">Les trois ans et demi de </w:t>
      </w:r>
      <w:hyperlink r:id="rId10674">
        <w:r>
          <w:rPr>
            <w:color w:val="0000EE"/>
            <w:u w:val="single"/>
          </w:rPr>
          <w:t>Daniel 7.25</w:t>
        </w:r>
      </w:hyperlink>
      <w:r>
        <w:t xml:space="preserve"> réapparaissent dans </w:t>
      </w:r>
      <w:hyperlink r:id="rId10678">
        <w:r>
          <w:rPr>
            <w:color w:val="0000EE"/>
            <w:u w:val="single"/>
          </w:rPr>
          <w:t>Apocalypse 11</w:t>
        </w:r>
      </w:hyperlink>
      <w:r>
        <w:t xml:space="preserve"> sous la forme de « quarante-deux mois ». C'est le moment où les païens fouleront Jérusalem (</w:t>
      </w:r>
      <w:hyperlink r:id="rId10675">
        <w:r>
          <w:rPr>
            <w:color w:val="0000EE"/>
            <w:u w:val="single"/>
          </w:rPr>
          <w:t>Ap 11.2</w:t>
        </w:r>
      </w:hyperlink>
      <w:r>
        <w:t xml:space="preserve">). Les 1 290 jours de </w:t>
      </w:r>
      <w:hyperlink r:id="rId10679">
        <w:r>
          <w:rPr>
            <w:color w:val="0000EE"/>
            <w:u w:val="single"/>
          </w:rPr>
          <w:t>Daniel 12.11</w:t>
        </w:r>
      </w:hyperlink>
      <w:r>
        <w:t xml:space="preserve"> réapparaissent ici sous une forme légèrement différente de 1 260 jours : le temps pendant lequel les deux témoins de Dieu prophétiseront (</w:t>
      </w:r>
      <w:hyperlink r:id="rId10680">
        <w:r>
          <w:rPr>
            <w:color w:val="0000EE"/>
            <w:u w:val="single"/>
          </w:rPr>
          <w:t>Ap 11.3</w:t>
        </w:r>
      </w:hyperlink>
      <w:r>
        <w:t>).</w:t>
      </w:r>
    </w:p>
    <w:p>
      <w:r/>
      <w:r>
        <w:t xml:space="preserve">Les quarante-deux mois réapparaissent dans </w:t>
      </w:r>
      <w:hyperlink r:id="rId10681">
        <w:r>
          <w:rPr>
            <w:color w:val="0000EE"/>
            <w:u w:val="single"/>
          </w:rPr>
          <w:t>Apocalypse 13.5</w:t>
        </w:r>
      </w:hyperlink>
      <w:r>
        <w:t xml:space="preserve"> comme la période pendant laquelle la bête sauvage sera autorisée à blasphémer. Tandis que les « mille ans » de </w:t>
      </w:r>
      <w:hyperlink r:id="rId10379">
        <w:r>
          <w:rPr>
            <w:color w:val="0000EE"/>
            <w:u w:val="single"/>
          </w:rPr>
          <w:t>20.6</w:t>
        </w:r>
      </w:hyperlink>
      <w:r>
        <w:t xml:space="preserve"> ne sont pas du tout tirés de Daniel, l'utilisation métaphorique de « mille » est familière à l'Ancien Testament. Le parallèle direct le plus proche se trouve dans </w:t>
      </w:r>
      <w:hyperlink r:id="rId10682">
        <w:r>
          <w:rPr>
            <w:color w:val="0000EE"/>
            <w:u w:val="single"/>
          </w:rPr>
          <w:t>Deutéronome 7.9</w:t>
        </w:r>
      </w:hyperlink>
      <w:r>
        <w:t>, où l'alliance de Dieu sera maintenue jusqu'à la « millième générations » à venir.</w:t>
      </w:r>
      <w:r/>
      <w:r/>
    </w:p>
    <w:p>
      <w:r/>
    </w:p>
    <w:p>
      <w:pPr>
        <w:pStyle w:val="Heading2"/>
      </w:pPr>
      <w:r>
        <w:t>Nombres, Livre des</w:t>
      </w:r>
      <w:r/>
    </w:p>
    <w:p>
      <w:r/>
      <w:r>
        <w:t xml:space="preserve">Quatrième livre de la Bible française. Son titre est la traduction anglaise du titre latin de la Vulgate, </w:t>
      </w:r>
      <w:r>
        <w:rPr>
          <w:i/>
        </w:rPr>
        <w:t>Numeri.</w:t>
      </w:r>
      <w:r>
        <w:t xml:space="preserve"> Le livre porte ce nom en raison des nombreuses listes de divers types qui y sont enregistrées, notamment les deux recensements militaires dans les chapitres </w:t>
      </w:r>
      <w:hyperlink r:id="rId10683">
        <w:r>
          <w:rPr>
            <w:color w:val="0000EE"/>
            <w:u w:val="single"/>
          </w:rPr>
          <w:t>1</w:t>
        </w:r>
      </w:hyperlink>
      <w:r>
        <w:t xml:space="preserve"> et </w:t>
      </w:r>
      <w:hyperlink r:id="rId3711">
        <w:r>
          <w:rPr>
            <w:color w:val="0000EE"/>
            <w:u w:val="single"/>
          </w:rPr>
          <w:t>26</w:t>
        </w:r>
      </w:hyperlink>
      <w:r>
        <w:t xml:space="preserve">, les dispositions du camp et de la marche tribale dans le chapitre </w:t>
      </w:r>
      <w:hyperlink r:id="rId10684">
        <w:r>
          <w:rPr>
            <w:color w:val="0000EE"/>
            <w:u w:val="single"/>
          </w:rPr>
          <w:t>2</w:t>
        </w:r>
      </w:hyperlink>
      <w:r>
        <w:t xml:space="preserve">, et les recensements lévitiques dans les chapitres </w:t>
      </w:r>
      <w:hyperlink r:id="rId10685">
        <w:r>
          <w:rPr>
            <w:color w:val="0000EE"/>
            <w:u w:val="single"/>
          </w:rPr>
          <w:t>3</w:t>
        </w:r>
      </w:hyperlink>
      <w:r>
        <w:t xml:space="preserve"> et </w:t>
      </w:r>
      <w:hyperlink r:id="rId1186">
        <w:r>
          <w:rPr>
            <w:color w:val="0000EE"/>
            <w:u w:val="single"/>
          </w:rPr>
          <w:t>4</w:t>
        </w:r>
      </w:hyperlink>
      <w:r>
        <w:t>.</w:t>
      </w:r>
    </w:p>
    <w:p>
      <w:r/>
      <w:r>
        <w:t>Survol</w:t>
      </w:r>
    </w:p>
    <w:p>
      <w:r/>
      <w:r>
        <w:t xml:space="preserve">• </w:t>
      </w:r>
      <w:r>
        <w:rPr>
          <w:b/>
          <w:u w:val="single"/>
        </w:rPr>
        <w:t>Auteur</w:t>
      </w:r>
    </w:p>
    <w:p>
      <w:r/>
      <w:r>
        <w:t xml:space="preserve">• </w:t>
      </w:r>
      <w:r>
        <w:rPr>
          <w:b/>
          <w:u w:val="single"/>
        </w:rPr>
        <w:t>Contexte</w:t>
      </w:r>
    </w:p>
    <w:p>
      <w:r/>
      <w:r>
        <w:t xml:space="preserve">• </w:t>
      </w:r>
      <w:r>
        <w:rPr>
          <w:b/>
          <w:u w:val="single"/>
        </w:rPr>
        <w:t>Objectif</w:t>
      </w:r>
    </w:p>
    <w:p>
      <w:r/>
      <w:r>
        <w:t xml:space="preserve">• </w:t>
      </w:r>
      <w:r>
        <w:rPr>
          <w:b/>
          <w:u w:val="single"/>
        </w:rPr>
        <w:t>Contenu</w:t>
      </w:r>
    </w:p>
    <w:p>
      <w:r/>
      <w:r>
        <w:t xml:space="preserve">• </w:t>
      </w:r>
      <w:r>
        <w:rPr>
          <w:b/>
          <w:u w:val="single"/>
        </w:rPr>
        <w:t>Enseignement théologique</w:t>
      </w:r>
    </w:p>
    <w:p>
      <w:pPr>
        <w:pStyle w:val="Heading3"/>
      </w:pPr>
      <w:r>
        <w:t>Auteur</w:t>
      </w:r>
    </w:p>
    <w:p>
      <w:r/>
      <w:r>
        <w:t xml:space="preserve">La question de l'auteur de Nombres fait partie de la question plus large de l'auteur du Pentateuque. Jusqu'à l'apparition des théories documentaires critiques du 20e siècle, l'attribution mosaïque du Pentateuque était presque universellement acceptée tant par les Juifs que par les Chrétiens. Cette tradition séculaire est soutenue par le Pentateuque lui-même (voir </w:t>
      </w:r>
      <w:hyperlink r:id="rId5211">
        <w:r>
          <w:rPr>
            <w:color w:val="0000EE"/>
            <w:u w:val="single"/>
          </w:rPr>
          <w:t>Ex 17.14</w:t>
        </w:r>
      </w:hyperlink>
      <w:r>
        <w:t xml:space="preserve">; </w:t>
      </w:r>
      <w:hyperlink r:id="rId1470">
        <w:r>
          <w:rPr>
            <w:color w:val="0000EE"/>
            <w:u w:val="single"/>
          </w:rPr>
          <w:t>24.4</w:t>
        </w:r>
      </w:hyperlink>
      <w:r>
        <w:t xml:space="preserve">; </w:t>
      </w:r>
      <w:hyperlink r:id="rId5959">
        <w:r>
          <w:rPr>
            <w:color w:val="0000EE"/>
            <w:u w:val="single"/>
          </w:rPr>
          <w:t>34.27</w:t>
        </w:r>
      </w:hyperlink>
      <w:r>
        <w:t xml:space="preserve">; </w:t>
      </w:r>
      <w:hyperlink r:id="rId5960">
        <w:r>
          <w:rPr>
            <w:color w:val="0000EE"/>
            <w:u w:val="single"/>
          </w:rPr>
          <w:t>Nb 33.2</w:t>
        </w:r>
      </w:hyperlink>
      <w:r>
        <w:t xml:space="preserve">; </w:t>
      </w:r>
      <w:hyperlink r:id="rId5214">
        <w:r>
          <w:rPr>
            <w:color w:val="0000EE"/>
            <w:u w:val="single"/>
          </w:rPr>
          <w:t>Dt 31.9, 24</w:t>
        </w:r>
      </w:hyperlink>
      <w:r>
        <w:t xml:space="preserve">), le reste de l'Ancien Testament (voir </w:t>
      </w:r>
      <w:hyperlink r:id="rId7484">
        <w:r>
          <w:rPr>
            <w:color w:val="0000EE"/>
            <w:u w:val="single"/>
          </w:rPr>
          <w:t>Jos 23.6</w:t>
        </w:r>
      </w:hyperlink>
      <w:r>
        <w:t xml:space="preserve">; </w:t>
      </w:r>
      <w:hyperlink r:id="rId10686">
        <w:r>
          <w:rPr>
            <w:color w:val="0000EE"/>
            <w:u w:val="single"/>
          </w:rPr>
          <w:t>Jg 3.4</w:t>
        </w:r>
      </w:hyperlink>
      <w:r>
        <w:t xml:space="preserve">; </w:t>
      </w:r>
      <w:hyperlink r:id="rId5216">
        <w:r>
          <w:rPr>
            <w:color w:val="0000EE"/>
            <w:u w:val="single"/>
          </w:rPr>
          <w:t>Ml 4.4</w:t>
        </w:r>
      </w:hyperlink>
      <w:r>
        <w:t xml:space="preserve">), ainsi que l'enseignement de Jésus (voir </w:t>
      </w:r>
      <w:hyperlink r:id="rId10687">
        <w:r>
          <w:rPr>
            <w:color w:val="0000EE"/>
            <w:u w:val="single"/>
          </w:rPr>
          <w:t>Jn 5.46–47</w:t>
        </w:r>
      </w:hyperlink>
      <w:r>
        <w:t xml:space="preserve">), et le reste du Nouveau Testament (voir </w:t>
      </w:r>
      <w:hyperlink r:id="rId10688">
        <w:r>
          <w:rPr>
            <w:color w:val="0000EE"/>
            <w:u w:val="single"/>
          </w:rPr>
          <w:t>Ac 28.23</w:t>
        </w:r>
      </w:hyperlink>
      <w:r>
        <w:t xml:space="preserve">; </w:t>
      </w:r>
      <w:hyperlink r:id="rId10689">
        <w:r>
          <w:rPr>
            <w:color w:val="0000EE"/>
            <w:u w:val="single"/>
          </w:rPr>
          <w:t>Rm 10.19</w:t>
        </w:r>
      </w:hyperlink>
      <w:r>
        <w:t xml:space="preserve">; </w:t>
      </w:r>
      <w:hyperlink r:id="rId10690">
        <w:r>
          <w:rPr>
            <w:color w:val="0000EE"/>
            <w:u w:val="single"/>
          </w:rPr>
          <w:t>1Co 9.9</w:t>
        </w:r>
      </w:hyperlink>
      <w:r>
        <w:t>). Bien que l'absence d'harmonie dans certaines parties du Pentateuque aient été largement et ouvertement reconnues, néanmoins Moïse, le législateur du 15e siècle av. J.‑C., était affirmé comme le principal auteur de la littérature du Pentateuque.</w:t>
      </w:r>
    </w:p>
    <w:p>
      <w:pPr>
        <w:pStyle w:val="Heading3"/>
      </w:pPr>
      <w:r>
        <w:t>Contexte</w:t>
      </w:r>
    </w:p>
    <w:p>
      <w:pPr>
        <w:pStyle w:val="Heading4"/>
      </w:pPr>
      <w:r>
        <w:t>Péninsule du Sinaï</w:t>
      </w:r>
    </w:p>
    <w:p>
      <w:r/>
      <w:r>
        <w:t>Le contexte historique de Nombres commence principalement dans la région géographique de la péninsule du Sinaï au milieu du 2e millénaire av. J.‑C.</w:t>
      </w:r>
    </w:p>
    <w:p>
      <w:r/>
      <w:r>
        <w:t>La péninsule du Sinaï a la forme d'un triangle inversé avec la base au nord. Elle mesure environ 385 km de long du nord au sud et 280 km de large à la base nord, avec une superficie d'environ 60 000 km2). Elle est bordée au nord par la mer Méditerranée et la frontière sud de Canaan, à l'ouest par les Lacs Amers et le golfe de Suez, et à l'est par la plaine et le golfe d'Aqaba. En commençant au nord sur la côte méditerranéenne et en se déplaçant vers le sud, sur environ 25 km, le sol est sablonneux. Au sud de cette plaine côtière se trouve un haut plateau (Et-Tih) de gravier et de calcaire (environ 750 m au-dessus du niveau de la mer), s'étendant vers le sud dans la péninsule sur environ 250 km. S'élevant au-dessus du plateau à cet endroit se trouve une formation montagneuse de granit avec des sommets atteignant jusqu'à 2 500 m au-dessus du niveau de la mer. Dans cette région montagneuse au sommet du triangle péninsulaire, le Jebel Musa (2 250 m de haut), le site traditionnel où Israël a campé avant le mont Sinaï et où Moïse a reçu la loi, s'élève au-dessus de la plaine.</w:t>
      </w:r>
    </w:p>
    <w:p>
      <w:r/>
      <w:r>
        <w:t>La péninsule elle-même est composée de cinq zones sauvages. Au nord et immédiatement à l'est du pays de Gosen se trouve la région sauvage de Schur, large d'environ 65 km, qui s'étend au-delà du fleuve d'Égypte (Wadi el-Arish) jusqu'à la région de Kadès-Barnéa et au nord-est jusqu'à Beer-Schéba. À l'est de cette région se trouve le désert de Tsin, s'étendant à l'est de la région sauvage de Schur jusqu'à la pointe sud de la mer Morte. Kadès-Barnéa se trouve sur sa frontière sud (</w:t>
      </w:r>
      <w:hyperlink r:id="rId8042">
        <w:r>
          <w:rPr>
            <w:color w:val="0000EE"/>
            <w:u w:val="single"/>
          </w:rPr>
          <w:t>Nb 20.1</w:t>
        </w:r>
      </w:hyperlink>
      <w:r>
        <w:t xml:space="preserve"> ; </w:t>
      </w:r>
      <w:hyperlink r:id="rId10691">
        <w:r>
          <w:rPr>
            <w:color w:val="0000EE"/>
            <w:u w:val="single"/>
          </w:rPr>
          <w:t>33.36</w:t>
        </w:r>
      </w:hyperlink>
      <w:r>
        <w:t>). Au sud de la région sauvage de Schur se trouve la région sauvage d'Étham, et à l'est de cette région sauvage dans la région est-centrale du Sinaï se trouve la grande région sauvage de Paran (</w:t>
      </w:r>
      <w:hyperlink r:id="rId9368">
        <w:r>
          <w:rPr>
            <w:color w:val="0000EE"/>
            <w:u w:val="single"/>
          </w:rPr>
          <w:t>Dt 1.19</w:t>
        </w:r>
      </w:hyperlink>
      <w:r>
        <w:t>). Kadès-Barnéa est sur la frontière nord de ce territoire (</w:t>
      </w:r>
      <w:hyperlink r:id="rId473">
        <w:r>
          <w:rPr>
            <w:color w:val="0000EE"/>
            <w:u w:val="single"/>
          </w:rPr>
          <w:t>Nb 13.26</w:t>
        </w:r>
      </w:hyperlink>
      <w:r>
        <w:t>). Dans cette région, les Israélites ont passé trente-huit de leurs quarante années d'errance. Au sud-ouest de la région sauvage de Paran, sur les pentes occidentales de la péninsule, non loin des montagnes de granit se dressant dans l'apex sud du triangle, se trouve le désert de Sin.</w:t>
      </w:r>
    </w:p>
    <w:p>
      <w:r/>
      <w:r>
        <w:t>Bien que la région soit généralement désolée et aride, elle n'est pas impraticable ni incapable de soutenir les voyageurs. Des puits et des sources parsèment les frontières occidentales et orientales à des distances raisonnables les uns des autres. La nappe phréatique est assez proche du niveau du sol, ce qui rend possible la création de puits (</w:t>
      </w:r>
      <w:hyperlink r:id="rId10692">
        <w:r>
          <w:rPr>
            <w:color w:val="0000EE"/>
            <w:u w:val="single"/>
          </w:rPr>
          <w:t>Nb 20.17</w:t>
        </w:r>
      </w:hyperlink>
      <w:r>
        <w:t xml:space="preserve"> ; </w:t>
      </w:r>
      <w:hyperlink r:id="rId10693">
        <w:r>
          <w:rPr>
            <w:color w:val="0000EE"/>
            <w:u w:val="single"/>
          </w:rPr>
          <w:t>21.16–18</w:t>
        </w:r>
      </w:hyperlink>
      <w:r>
        <w:t>). Les roches calcaires sont également capables de retenir de grandes quantités d'eau (</w:t>
      </w:r>
      <w:hyperlink r:id="rId10694">
        <w:r>
          <w:rPr>
            <w:color w:val="0000EE"/>
            <w:u w:val="single"/>
          </w:rPr>
          <w:t>20.11</w:t>
        </w:r>
      </w:hyperlink>
      <w:r>
        <w:t>). La végétation est rare, sauf autour des cours d'eau plus permanents où prospèrent la végétation et les palmiers dattiers. La saison des pluies en hiver dure environ vingt jours. Il a été documenté que les cailles (</w:t>
      </w:r>
      <w:hyperlink r:id="rId10695">
        <w:r>
          <w:rPr>
            <w:color w:val="0000EE"/>
            <w:u w:val="single"/>
          </w:rPr>
          <w:t>11.31–32</w:t>
        </w:r>
      </w:hyperlink>
      <w:r>
        <w:t>) migrent à travers la péninsule vers l'Europe au printemps.</w:t>
      </w:r>
    </w:p>
    <w:p>
      <w:pPr>
        <w:pStyle w:val="Heading4"/>
      </w:pPr>
      <w:r>
        <w:t>Les peuples qu'Israël a confrontés</w:t>
      </w:r>
    </w:p>
    <w:p>
      <w:r/>
      <w:r>
        <w:t>Amalécites et Cananéens (</w:t>
      </w:r>
      <w:hyperlink r:id="rId10696">
        <w:r>
          <w:rPr>
            <w:color w:val="0000EE"/>
            <w:u w:val="single"/>
          </w:rPr>
          <w:t>14.25, 43–45</w:t>
        </w:r>
      </w:hyperlink>
      <w:r>
        <w:t xml:space="preserve"> ; </w:t>
      </w:r>
      <w:hyperlink r:id="rId602">
        <w:r>
          <w:rPr>
            <w:color w:val="0000EE"/>
            <w:u w:val="single"/>
          </w:rPr>
          <w:t>24.20</w:t>
        </w:r>
      </w:hyperlink>
      <w:r>
        <w:t>)</w:t>
      </w:r>
    </w:p>
    <w:p>
      <w:r/>
      <w:r>
        <w:t>Les Amalécites étaient des descendants d'Amalek, fils d'Éliphaz et petit-fils d'Ésaü (</w:t>
      </w:r>
      <w:hyperlink r:id="rId10697">
        <w:r>
          <w:rPr>
            <w:color w:val="0000EE"/>
            <w:u w:val="single"/>
          </w:rPr>
          <w:t>Gn 36.12, 16</w:t>
        </w:r>
      </w:hyperlink>
      <w:r>
        <w:t xml:space="preserve">). Ils étaient généralement un peuple nomade. Dans la péninsule du Sinaï, ils seront les premiers à faire la guerre contre Israël à Rephidim (voir </w:t>
      </w:r>
      <w:hyperlink r:id="rId602">
        <w:r>
          <w:rPr>
            <w:color w:val="0000EE"/>
            <w:u w:val="single"/>
          </w:rPr>
          <w:t>Nb 24.20</w:t>
        </w:r>
      </w:hyperlink>
      <w:r>
        <w:t>), qui correspond peut-être au Wadi Refayid dans le sud-ouest du Sinaï (</w:t>
      </w:r>
      <w:hyperlink r:id="rId598">
        <w:r>
          <w:rPr>
            <w:color w:val="0000EE"/>
            <w:u w:val="single"/>
          </w:rPr>
          <w:t>Ex 17.8–16</w:t>
        </w:r>
      </w:hyperlink>
      <w:r>
        <w:t>), avant qu'Israël n'atteigne Horeb. Un an plus tard, les Amalécites s'installeront dans les collines et vallées au nord de Kadès-Barnéa. En alliance avec les Cananéens, les habitants de la Palestine, ils bloqueront les tentatives d'invasion de la terre promise par Israël depuis le sud (</w:t>
      </w:r>
      <w:hyperlink r:id="rId7869">
        <w:r>
          <w:rPr>
            <w:color w:val="0000EE"/>
            <w:u w:val="single"/>
          </w:rPr>
          <w:t>Nb 14.45</w:t>
        </w:r>
      </w:hyperlink>
      <w:r>
        <w:t>). La volonté d'Israël de faire la guerre semble avoir été complètement brisée pour les années à venir.</w:t>
      </w:r>
    </w:p>
    <w:p>
      <w:r/>
      <w:r>
        <w:t>Édomites (</w:t>
      </w:r>
      <w:hyperlink r:id="rId707">
        <w:r>
          <w:rPr>
            <w:color w:val="0000EE"/>
            <w:u w:val="single"/>
          </w:rPr>
          <w:t>20.14–21</w:t>
        </w:r>
      </w:hyperlink>
      <w:r>
        <w:t xml:space="preserve"> ; </w:t>
      </w:r>
      <w:hyperlink r:id="rId10698">
        <w:r>
          <w:rPr>
            <w:color w:val="0000EE"/>
            <w:u w:val="single"/>
          </w:rPr>
          <w:t>21.4, 10–11</w:t>
        </w:r>
      </w:hyperlink>
      <w:r>
        <w:t>)</w:t>
      </w:r>
    </w:p>
    <w:p>
      <w:r/>
      <w:r>
        <w:t>Édom, ou Séir (</w:t>
      </w:r>
      <w:hyperlink r:id="rId4480">
        <w:r>
          <w:rPr>
            <w:color w:val="0000EE"/>
            <w:u w:val="single"/>
          </w:rPr>
          <w:t>24.18</w:t>
        </w:r>
      </w:hyperlink>
      <w:r>
        <w:t>), est le territoire au sud de la mer Morte occupé par les descendants d'Ésaü. S'étendant de sa frontière nord au Wadi Zered (</w:t>
      </w:r>
      <w:hyperlink r:id="rId10699">
        <w:r>
          <w:rPr>
            <w:color w:val="0000EE"/>
            <w:u w:val="single"/>
          </w:rPr>
          <w:t>21.12</w:t>
        </w:r>
      </w:hyperlink>
      <w:r>
        <w:t>), qui se jetait dans la mer Morte à son extrémité sud, à 160 km au sud jusqu'au golfe d'Aqaba, il occupait les deux côtés de la plaine, avec Kadès-Barnéa se tenant à la limite de sa frontière occidentale (</w:t>
      </w:r>
      <w:hyperlink r:id="rId10700">
        <w:r>
          <w:rPr>
            <w:color w:val="0000EE"/>
            <w:u w:val="single"/>
          </w:rPr>
          <w:t>20.16</w:t>
        </w:r>
      </w:hyperlink>
      <w:r>
        <w:t>), lui donnant une superficie d'environ 10 000 km2. C'est une région montagneuse accidentée avec des sommets atteignant plus de 1 000 m. La « route royale », une ancienne route commerciale de Damas à travers la Transjordanie jusqu'au golfe d'Aqaba, traversait son territoire et ses principales villes, Botsra et Leman. Bien qu'Édom ne soit pas fertile, il avait des zones cultivables (</w:t>
      </w:r>
      <w:hyperlink r:id="rId10701">
        <w:r>
          <w:rPr>
            <w:color w:val="0000EE"/>
            <w:u w:val="single"/>
          </w:rPr>
          <w:t>20.17–19</w:t>
        </w:r>
      </w:hyperlink>
      <w:r>
        <w:t>).</w:t>
      </w:r>
    </w:p>
    <w:p>
      <w:r/>
      <w:r>
        <w:t>Lors de la marche d'Israël vers la région transjordanienne, Édom refusera de laisser Israël voyager directement à l'est de Kadès à travers son territoire, et forcera plutôt Israël à se déplacer vers le sud-est à travers la plaine de l'Arabah (</w:t>
      </w:r>
      <w:hyperlink r:id="rId10702">
        <w:r>
          <w:rPr>
            <w:color w:val="0000EE"/>
            <w:u w:val="single"/>
          </w:rPr>
          <w:t>21.4, 11</w:t>
        </w:r>
      </w:hyperlink>
      <w:r>
        <w:t>). Malgré cette hostilité envers le peuple de Dieu, Israël avait l'interdiction d'attaquer (</w:t>
      </w:r>
      <w:hyperlink r:id="rId10703">
        <w:r>
          <w:rPr>
            <w:color w:val="0000EE"/>
            <w:u w:val="single"/>
          </w:rPr>
          <w:t>Dt 2.2–8</w:t>
        </w:r>
      </w:hyperlink>
      <w:r>
        <w:t>) ou de haïr les Édomites (</w:t>
      </w:r>
      <w:hyperlink r:id="rId10704">
        <w:r>
          <w:rPr>
            <w:color w:val="0000EE"/>
            <w:u w:val="single"/>
          </w:rPr>
          <w:t>23.7</w:t>
        </w:r>
      </w:hyperlink>
      <w:r>
        <w:t>), et ainsi Édom fut épargné de la destruction lors de la conquête du pays. La région sera conquise plus tard par David (</w:t>
      </w:r>
      <w:hyperlink r:id="rId10052">
        <w:r>
          <w:rPr>
            <w:color w:val="0000EE"/>
            <w:u w:val="single"/>
          </w:rPr>
          <w:t>2 Sm 8.13–14</w:t>
        </w:r>
      </w:hyperlink>
      <w:r>
        <w:t>) selon la prophétie de Balaam (</w:t>
      </w:r>
      <w:hyperlink r:id="rId4480">
        <w:r>
          <w:rPr>
            <w:color w:val="0000EE"/>
            <w:u w:val="single"/>
          </w:rPr>
          <w:t>Nb 24.18</w:t>
        </w:r>
      </w:hyperlink>
      <w:r>
        <w:t>).</w:t>
      </w:r>
    </w:p>
    <w:p>
      <w:r/>
      <w:r>
        <w:t>Arad (</w:t>
      </w:r>
      <w:hyperlink r:id="rId10243">
        <w:r>
          <w:rPr>
            <w:color w:val="0000EE"/>
            <w:u w:val="single"/>
          </w:rPr>
          <w:t>21.1–3</w:t>
        </w:r>
      </w:hyperlink>
      <w:r>
        <w:t>)</w:t>
      </w:r>
    </w:p>
    <w:p>
      <w:r/>
      <w:r>
        <w:t>Arad était une colonie cananéenne du sud dans le Néguev. Son roi, après avoir combattu contre Israël et pris des captifs, sera plus tard vaincu à Horma.</w:t>
      </w:r>
    </w:p>
    <w:p>
      <w:r/>
      <w:r>
        <w:t>Moabites (</w:t>
      </w:r>
      <w:hyperlink r:id="rId10705">
        <w:r>
          <w:rPr>
            <w:color w:val="0000EE"/>
            <w:u w:val="single"/>
          </w:rPr>
          <w:t>21.11–15</w:t>
        </w:r>
      </w:hyperlink>
      <w:r>
        <w:t xml:space="preserve"> ; </w:t>
      </w:r>
      <w:hyperlink r:id="rId711">
        <w:r>
          <w:rPr>
            <w:color w:val="0000EE"/>
            <w:u w:val="single"/>
          </w:rPr>
          <w:t>22.1–24.25</w:t>
        </w:r>
      </w:hyperlink>
      <w:r>
        <w:t>)</w:t>
      </w:r>
    </w:p>
    <w:p>
      <w:r/>
      <w:r>
        <w:t>Moab, occupé par les descendants de Lot (</w:t>
      </w:r>
      <w:hyperlink r:id="rId10182">
        <w:r>
          <w:rPr>
            <w:color w:val="0000EE"/>
            <w:u w:val="single"/>
          </w:rPr>
          <w:t>Gn 19.37</w:t>
        </w:r>
      </w:hyperlink>
      <w:r>
        <w:t>), est le territoire à l'est de la mer Morte s'étendant principalement entre le Wadi Arnon (</w:t>
      </w:r>
      <w:hyperlink r:id="rId750">
        <w:r>
          <w:rPr>
            <w:color w:val="0000EE"/>
            <w:u w:val="single"/>
          </w:rPr>
          <w:t>Nb 21.13</w:t>
        </w:r>
      </w:hyperlink>
      <w:r>
        <w:t>) et le Wadi Zered, avec une superficie d'environ 3 500 km2.</w:t>
      </w:r>
    </w:p>
    <w:p>
      <w:r/>
      <w:r>
        <w:t>À la fin de l'âge du bronze moyen, les Moabites avaient débordé leur plateau principal et s'étaient étendus bien au nord de l'Arnon jusqu'à l'extrémité nord de la mer Morte (</w:t>
      </w:r>
      <w:hyperlink r:id="rId10706">
        <w:r>
          <w:rPr>
            <w:color w:val="0000EE"/>
            <w:u w:val="single"/>
          </w:rPr>
          <w:t>21.20</w:t>
        </w:r>
      </w:hyperlink>
      <w:r>
        <w:t xml:space="preserve">). Au moment des événements rapportés dans Nombres, cependant, les Amoréens occupaient la région de l'Arnon jusqu'au nord vers le Wadi Jabbok (v. </w:t>
      </w:r>
      <w:hyperlink r:id="rId750">
        <w:r>
          <w:rPr>
            <w:color w:val="0000EE"/>
            <w:u w:val="single"/>
          </w:rPr>
          <w:t>13</w:t>
        </w:r>
      </w:hyperlink>
      <w:r>
        <w:t xml:space="preserve">, </w:t>
      </w:r>
      <w:hyperlink r:id="rId10707">
        <w:r>
          <w:rPr>
            <w:color w:val="0000EE"/>
            <w:u w:val="single"/>
          </w:rPr>
          <w:t>21–24</w:t>
        </w:r>
      </w:hyperlink>
      <w:r>
        <w:t xml:space="preserve">), ayant auparavant pris cette terre aux Moabites (v. </w:t>
      </w:r>
      <w:hyperlink r:id="rId9370">
        <w:r>
          <w:rPr>
            <w:color w:val="0000EE"/>
            <w:u w:val="single"/>
          </w:rPr>
          <w:t>26–30</w:t>
        </w:r>
      </w:hyperlink>
      <w:r>
        <w:t xml:space="preserve">). Le royaume moabite était hautement organisé, avec agriculture et élevages, bâtiments splendides, poterie distinctive, et grandes fortifications autour de ses frontières. Son dieu était Kemosch (v. </w:t>
      </w:r>
      <w:hyperlink r:id="rId4067">
        <w:r>
          <w:rPr>
            <w:color w:val="0000EE"/>
            <w:u w:val="single"/>
          </w:rPr>
          <w:t>29</w:t>
        </w:r>
      </w:hyperlink>
      <w:r>
        <w:t>).</w:t>
      </w:r>
    </w:p>
    <w:p>
      <w:r/>
      <w:r>
        <w:t xml:space="preserve">Balak, roi de Moab pendant la période de la conquête, en alliance avec Madian, engagera Balaam pour maudire Israël (chap. </w:t>
      </w:r>
      <w:hyperlink r:id="rId711">
        <w:r>
          <w:rPr>
            <w:color w:val="0000EE"/>
            <w:u w:val="single"/>
          </w:rPr>
          <w:t>22–24</w:t>
        </w:r>
      </w:hyperlink>
      <w:r>
        <w:t>). Lorsque cela échoue, les deux puissances païennes chercheront à neutraliser Israël en attirant le peuple de Dieu dans le culte de Kemosch et dans l'idolâtrie (</w:t>
      </w:r>
      <w:hyperlink r:id="rId10605">
        <w:r>
          <w:rPr>
            <w:color w:val="0000EE"/>
            <w:u w:val="single"/>
          </w:rPr>
          <w:t>25.1–2</w:t>
        </w:r>
      </w:hyperlink>
      <w:r>
        <w:t>). Dans la guerre qui s'ensuit, Israël conquerra Madian (</w:t>
      </w:r>
      <w:hyperlink r:id="rId10708">
        <w:r>
          <w:rPr>
            <w:color w:val="0000EE"/>
            <w:u w:val="single"/>
          </w:rPr>
          <w:t>31.1–18</w:t>
        </w:r>
      </w:hyperlink>
      <w:r>
        <w:t>), mais sur ordre exprès de Dieu (</w:t>
      </w:r>
      <w:hyperlink r:id="rId10709">
        <w:r>
          <w:rPr>
            <w:color w:val="0000EE"/>
            <w:u w:val="single"/>
          </w:rPr>
          <w:t>Dt 2.9–13</w:t>
        </w:r>
      </w:hyperlink>
      <w:r>
        <w:t>), épargnera Moab. Cependant, comme Balaam l'avait prophétisé plus tôt (</w:t>
      </w:r>
      <w:hyperlink r:id="rId6894">
        <w:r>
          <w:rPr>
            <w:color w:val="0000EE"/>
            <w:u w:val="single"/>
          </w:rPr>
          <w:t>Nb 24.17</w:t>
        </w:r>
      </w:hyperlink>
      <w:r>
        <w:t>), David au 11e siècle fera la guerre contre Moab et le vaincra (</w:t>
      </w:r>
      <w:hyperlink r:id="rId10710">
        <w:r>
          <w:rPr>
            <w:color w:val="0000EE"/>
            <w:u w:val="single"/>
          </w:rPr>
          <w:t>2S 8.2, 13–14</w:t>
        </w:r>
      </w:hyperlink>
      <w:r>
        <w:t>).</w:t>
      </w:r>
    </w:p>
    <w:p>
      <w:r/>
      <w:r>
        <w:t>Amoréens (</w:t>
      </w:r>
      <w:hyperlink r:id="rId10711">
        <w:r>
          <w:rPr>
            <w:color w:val="0000EE"/>
            <w:u w:val="single"/>
          </w:rPr>
          <w:t>21.21–35</w:t>
        </w:r>
      </w:hyperlink>
      <w:r>
        <w:t>)</w:t>
      </w:r>
    </w:p>
    <w:p>
      <w:r/>
      <w:r>
        <w:t>Les Amoréens, le peuple qui avait occupé le territoire nord des Moabites (</w:t>
      </w:r>
      <w:hyperlink r:id="rId10712">
        <w:r>
          <w:rPr>
            <w:color w:val="0000EE"/>
            <w:u w:val="single"/>
          </w:rPr>
          <w:t>Nb 21.25–30</w:t>
        </w:r>
      </w:hyperlink>
      <w:r>
        <w:t>), étaient des descendants de Canaan (</w:t>
      </w:r>
      <w:hyperlink r:id="rId742">
        <w:r>
          <w:rPr>
            <w:color w:val="0000EE"/>
            <w:u w:val="single"/>
          </w:rPr>
          <w:t>Gn 10.16</w:t>
        </w:r>
      </w:hyperlink>
      <w:r>
        <w:t>) qui s'étaient dispersés dans les régions montagneuses des deux côtés du Jourdain. Hesbon était leur capitale. Tant Sihon de Hesbon qu'Og de Basan étaient des rois amoréens (</w:t>
      </w:r>
      <w:hyperlink r:id="rId10713">
        <w:r>
          <w:rPr>
            <w:color w:val="0000EE"/>
            <w:u w:val="single"/>
          </w:rPr>
          <w:t>Dt 3.8</w:t>
        </w:r>
      </w:hyperlink>
      <w:r>
        <w:t>).</w:t>
      </w:r>
    </w:p>
    <w:p>
      <w:r/>
      <w:r>
        <w:t>Quant à Basan (</w:t>
      </w:r>
      <w:hyperlink r:id="rId1708">
        <w:r>
          <w:rPr>
            <w:color w:val="0000EE"/>
            <w:u w:val="single"/>
          </w:rPr>
          <w:t>Nb 21.33–35</w:t>
        </w:r>
      </w:hyperlink>
      <w:r>
        <w:t xml:space="preserve"> ; voir </w:t>
      </w:r>
      <w:hyperlink r:id="rId1359">
        <w:r>
          <w:rPr>
            <w:color w:val="0000EE"/>
            <w:u w:val="single"/>
          </w:rPr>
          <w:t>Dt 1.4</w:t>
        </w:r>
      </w:hyperlink>
      <w:r>
        <w:t xml:space="preserve"> ; </w:t>
      </w:r>
      <w:hyperlink r:id="rId10714">
        <w:r>
          <w:rPr>
            <w:color w:val="0000EE"/>
            <w:u w:val="single"/>
          </w:rPr>
          <w:t>3.1–12</w:t>
        </w:r>
      </w:hyperlink>
      <w:r>
        <w:t>), il s'agit de la région fertile de pâturage (</w:t>
      </w:r>
      <w:hyperlink r:id="rId10715">
        <w:r>
          <w:rPr>
            <w:color w:val="0000EE"/>
            <w:u w:val="single"/>
          </w:rPr>
          <w:t>Nb 32.1–5</w:t>
        </w:r>
      </w:hyperlink>
      <w:r>
        <w:t>) qui se situe à l'est de la mer de Kinnéreth (Galilée), dont la frontière nord s'étendait jusqu'au mont Hermon. Sa frontière sud est normalement le fleuve Yarmuk, mais il s'agissait plutôt du Wadi Jabbok à l'époque mosaïque (</w:t>
      </w:r>
      <w:hyperlink r:id="rId9326">
        <w:r>
          <w:rPr>
            <w:color w:val="0000EE"/>
            <w:u w:val="single"/>
          </w:rPr>
          <w:t>Jos 12.4–5</w:t>
        </w:r>
      </w:hyperlink>
      <w:r>
        <w:t>). Sa superficie couvrait environ 13 000 km2. Ses principales villes étaient Aschtaroth, Édréï et Golan. Après la conquête du pays, ce territoire échoira à la demi-tribu de Manassé, Gad occupant le sud de Galaad, et Ruben la région sud jusqu'au Wadi Arnon.</w:t>
      </w:r>
    </w:p>
    <w:p>
      <w:r/>
      <w:r>
        <w:t>Madianites (</w:t>
      </w:r>
      <w:hyperlink r:id="rId10716">
        <w:r>
          <w:rPr>
            <w:color w:val="0000EE"/>
            <w:u w:val="single"/>
          </w:rPr>
          <w:t>25.16–18</w:t>
        </w:r>
      </w:hyperlink>
      <w:r>
        <w:t xml:space="preserve"> ; </w:t>
      </w:r>
      <w:hyperlink r:id="rId10717">
        <w:r>
          <w:rPr>
            <w:color w:val="0000EE"/>
            <w:u w:val="single"/>
          </w:rPr>
          <w:t>31.1–54</w:t>
        </w:r>
      </w:hyperlink>
      <w:r>
        <w:t>)</w:t>
      </w:r>
    </w:p>
    <w:p>
      <w:r/>
      <w:r>
        <w:t>Les Madianites, descendants d'Abraham par la concubine Ketura (</w:t>
      </w:r>
      <w:hyperlink r:id="rId7246">
        <w:r>
          <w:rPr>
            <w:color w:val="0000EE"/>
            <w:u w:val="single"/>
          </w:rPr>
          <w:t>Gn 25.2</w:t>
        </w:r>
      </w:hyperlink>
      <w:r>
        <w:t>), étaient des habitants du désert en Transjordanie, de Moab à la région au sud d'Édom. Les anciens de Moab et de Madian ont coopéré pour engager Balaam afin de maudire Israël (</w:t>
      </w:r>
      <w:hyperlink r:id="rId10718">
        <w:r>
          <w:rPr>
            <w:color w:val="0000EE"/>
            <w:u w:val="single"/>
          </w:rPr>
          <w:t>Nb 22.4–7</w:t>
        </w:r>
      </w:hyperlink>
      <w:r>
        <w:t>). Plus tard, lorsque cet effort s'avèrera infructueux, les Madianites, travaillant de nouveau de concert avec Moab, conduiront Israël à l'idolâtrie et à l'immoralité (</w:t>
      </w:r>
      <w:hyperlink r:id="rId10719">
        <w:r>
          <w:rPr>
            <w:color w:val="0000EE"/>
            <w:u w:val="single"/>
          </w:rPr>
          <w:t>25.1–6, 14–15</w:t>
        </w:r>
      </w:hyperlink>
      <w:r>
        <w:t>). Cozbi, la femme madianite exécutée pour sa méchanceté (</w:t>
      </w:r>
      <w:hyperlink r:id="rId10720">
        <w:r>
          <w:rPr>
            <w:color w:val="0000EE"/>
            <w:u w:val="single"/>
          </w:rPr>
          <w:t>25.8</w:t>
        </w:r>
      </w:hyperlink>
      <w:r>
        <w:t>), était la fille de Tsur, l'un des cinq rois madianites alliés avec le roi amoréen Sihon (</w:t>
      </w:r>
      <w:hyperlink r:id="rId9374">
        <w:r>
          <w:rPr>
            <w:color w:val="0000EE"/>
            <w:u w:val="single"/>
          </w:rPr>
          <w:t>Jos 13.21</w:t>
        </w:r>
      </w:hyperlink>
      <w:r>
        <w:t>) qui ont été tués plus tard dans la guerre sainte d'Israël contre Madian (</w:t>
      </w:r>
      <w:hyperlink r:id="rId1595">
        <w:r>
          <w:rPr>
            <w:color w:val="0000EE"/>
            <w:u w:val="single"/>
          </w:rPr>
          <w:t>Nb 31.8</w:t>
        </w:r>
      </w:hyperlink>
      <w:r>
        <w:t xml:space="preserve">). Cette guerre avec Madian a semble-t-il brisé toute résistance amoréenne restante, car </w:t>
      </w:r>
      <w:hyperlink r:id="rId7579">
        <w:r>
          <w:rPr>
            <w:color w:val="0000EE"/>
            <w:u w:val="single"/>
          </w:rPr>
          <w:t>Josué 13.15–23</w:t>
        </w:r>
      </w:hyperlink>
      <w:r>
        <w:t xml:space="preserve"> indique clairement qu'en conséquence, la tribu de Ruben a occupé ce territoire.</w:t>
      </w:r>
    </w:p>
    <w:p>
      <w:pPr>
        <w:pStyle w:val="Heading3"/>
      </w:pPr>
      <w:r>
        <w:t>Objectif</w:t>
      </w:r>
    </w:p>
    <w:p>
      <w:r/>
      <w:r>
        <w:t xml:space="preserve">L'objectif du livre des Nombres est double. Premièrement, en tant que livre historique, il contient le récit des événements d'Israël depuis le mont Sinaï jusqu'aux plaines de Moab, à la veille de la conquête de Canaan, relatant cette période de près de quarante années passée dans le désert du Sinaï et en Transjordanie (1447–1407 av. J.‑C.). Tout en relatant les nombreux échecs d'Israël et les nombreux actes fidèles de Dieu, il dépeint Moïse, le chef d'Israël, dans toute sa grandeur et dans toute sa faiblesse. Les deux recensements militaires (chap </w:t>
      </w:r>
      <w:hyperlink r:id="rId10684">
        <w:r>
          <w:rPr>
            <w:color w:val="0000EE"/>
            <w:u w:val="single"/>
          </w:rPr>
          <w:t>2</w:t>
        </w:r>
      </w:hyperlink>
      <w:r>
        <w:t xml:space="preserve">, </w:t>
      </w:r>
      <w:hyperlink r:id="rId3711">
        <w:r>
          <w:rPr>
            <w:color w:val="0000EE"/>
            <w:u w:val="single"/>
          </w:rPr>
          <w:t>26</w:t>
        </w:r>
      </w:hyperlink>
      <w:r>
        <w:t>) introduisent les « actes » du drame principal de son histoire : le premier en préparation pour entrer dans le pays, qui a échoué en raison de l'incrédulité d'Israël ; le second, après la mort de toute la génération qui a quitté l'Égypte, en préparation de l'invasion réussie de Canaan sous la direction de Josué.</w:t>
      </w:r>
    </w:p>
    <w:p>
      <w:r/>
      <w:r>
        <w:t xml:space="preserve">Deuxièmement, conformément à la croyance de Paul selon laquelle « </w:t>
      </w:r>
      <w:r>
        <w:t>tout ce qui a été écrit d’avance l’a été pour notre instruction, afin que, par la patience, et par la consolation que donnent les Écritures, nous possédions l’espérance</w:t>
      </w:r>
      <w:r>
        <w:t xml:space="preserve"> » (</w:t>
      </w:r>
      <w:hyperlink r:id="rId10721">
        <w:r>
          <w:rPr>
            <w:color w:val="0000EE"/>
            <w:u w:val="single"/>
          </w:rPr>
          <w:t>Rm 15.4</w:t>
        </w:r>
      </w:hyperlink>
      <w:r>
        <w:t xml:space="preserve">), et en accord avec son enseignement spécifique selon lequel « </w:t>
      </w:r>
      <w:r>
        <w:t>Ces choses</w:t>
      </w:r>
      <w:r>
        <w:t xml:space="preserve"> [qui sont arrivées à Israël dans le désert] leur sont arrivées pour servir d’exemples, et elles ont été écrites pour notre instruction, à nous qui sommes parvenus à la fin des siècles » (</w:t>
      </w:r>
      <w:hyperlink r:id="rId4559">
        <w:r>
          <w:rPr>
            <w:color w:val="0000EE"/>
            <w:u w:val="single"/>
          </w:rPr>
          <w:t>1Co 10.11</w:t>
        </w:r>
      </w:hyperlink>
      <w:r>
        <w:t xml:space="preserve">), le livre des Nombres sert un but doctrinal, typologique et exhortatif (voir v. </w:t>
      </w:r>
      <w:hyperlink r:id="rId3250">
        <w:r>
          <w:rPr>
            <w:color w:val="0000EE"/>
            <w:u w:val="single"/>
          </w:rPr>
          <w:t>12</w:t>
        </w:r>
      </w:hyperlink>
      <w:r>
        <w:t>). Les événements historiques sont divinement investis de vérités spirituelles, devenant ainsi des leçons objectives pour le chrétien.</w:t>
      </w:r>
    </w:p>
    <w:p>
      <w:pPr>
        <w:pStyle w:val="Heading3"/>
      </w:pPr>
      <w:r>
        <w:t>Contenu</w:t>
      </w:r>
    </w:p>
    <w:p>
      <w:pPr>
        <w:pStyle w:val="Heading4"/>
      </w:pPr>
      <w:r>
        <w:t xml:space="preserve">Chapitre </w:t>
      </w:r>
      <w:hyperlink r:id="rId10683">
        <w:r>
          <w:rPr>
            <w:color w:val="0000EE"/>
            <w:u w:val="single"/>
          </w:rPr>
          <w:t>1</w:t>
        </w:r>
      </w:hyperlink>
    </w:p>
    <w:p>
      <w:r/>
      <w:r>
        <w:t>Le Seigneur ordonne à Moïse d'enregistrer (</w:t>
      </w:r>
      <w:hyperlink r:id="rId10722">
        <w:r>
          <w:rPr>
            <w:color w:val="0000EE"/>
            <w:u w:val="single"/>
          </w:rPr>
          <w:t>Nb 1.18</w:t>
        </w:r>
      </w:hyperlink>
      <w:r>
        <w:t xml:space="preserve">) les hommes capables de partir en guerre (v. </w:t>
      </w:r>
      <w:hyperlink r:id="rId10723">
        <w:r>
          <w:rPr>
            <w:color w:val="0000EE"/>
            <w:u w:val="single"/>
          </w:rPr>
          <w:t>2–3</w:t>
        </w:r>
      </w:hyperlink>
      <w:r>
        <w:t xml:space="preserve">). Le nombre total de soldats en Israël était de 603 550 (v. </w:t>
      </w:r>
      <w:hyperlink r:id="rId10642">
        <w:r>
          <w:rPr>
            <w:color w:val="0000EE"/>
            <w:u w:val="single"/>
          </w:rPr>
          <w:t>46</w:t>
        </w:r>
      </w:hyperlink>
      <w:r>
        <w:t xml:space="preserve">). Les Lévites ne sont pas comptés dans ce recensement (v. </w:t>
      </w:r>
      <w:hyperlink r:id="rId10724">
        <w:r>
          <w:rPr>
            <w:color w:val="0000EE"/>
            <w:u w:val="single"/>
          </w:rPr>
          <w:t>47–54</w:t>
        </w:r>
      </w:hyperlink>
      <w:r>
        <w:t>), car ils devront être mis à part pour un service spécial concernant le tabernacle.</w:t>
      </w:r>
    </w:p>
    <w:p>
      <w:pPr>
        <w:pStyle w:val="Heading4"/>
      </w:pPr>
      <w:r>
        <w:t xml:space="preserve">Chapitre </w:t>
      </w:r>
      <w:hyperlink r:id="rId10684">
        <w:r>
          <w:rPr>
            <w:color w:val="0000EE"/>
            <w:u w:val="single"/>
          </w:rPr>
          <w:t>2</w:t>
        </w:r>
      </w:hyperlink>
    </w:p>
    <w:p>
      <w:r/>
      <w:r>
        <w:t xml:space="preserve">Le Seigneur instruit Moïse concernant l'organisation des tribus pendant le campement et lors de la marche. Avec le tabernacle au centre du camp, Juda, Issacar et Zabulon, totalisant 186 400 hommes (v. </w:t>
      </w:r>
      <w:hyperlink r:id="rId10725">
        <w:r>
          <w:rPr>
            <w:color w:val="0000EE"/>
            <w:u w:val="single"/>
          </w:rPr>
          <w:t>9</w:t>
        </w:r>
      </w:hyperlink>
      <w:r>
        <w:t xml:space="preserve">), devront camper à l'orient ; Ruben, Siméon et Gad, totalisant 151 450 hommes (v. </w:t>
      </w:r>
      <w:hyperlink r:id="rId10726">
        <w:r>
          <w:rPr>
            <w:color w:val="0000EE"/>
            <w:u w:val="single"/>
          </w:rPr>
          <w:t>16</w:t>
        </w:r>
      </w:hyperlink>
      <w:r>
        <w:t xml:space="preserve">), devront camper au sud ; Éphraïm, Manassé et Benjamin, totalisant 108 100 hommes (v. </w:t>
      </w:r>
      <w:hyperlink r:id="rId10727">
        <w:r>
          <w:rPr>
            <w:color w:val="0000EE"/>
            <w:u w:val="single"/>
          </w:rPr>
          <w:t>24</w:t>
        </w:r>
      </w:hyperlink>
      <w:r>
        <w:t xml:space="preserve">), devront camper à l'ouest ; et Dan, Aser et Nephthali, totalisant 157 600 hommes (v. </w:t>
      </w:r>
      <w:hyperlink r:id="rId10728">
        <w:r>
          <w:rPr>
            <w:color w:val="0000EE"/>
            <w:u w:val="single"/>
          </w:rPr>
          <w:t>31</w:t>
        </w:r>
      </w:hyperlink>
      <w:r>
        <w:t>), devront camper au nord.</w:t>
      </w:r>
    </w:p>
    <w:p>
      <w:r/>
      <w:r>
        <w:t xml:space="preserve">Lors de la marche, le groupe de Juda à l'orient (v. </w:t>
      </w:r>
      <w:hyperlink r:id="rId10725">
        <w:r>
          <w:rPr>
            <w:color w:val="0000EE"/>
            <w:u w:val="single"/>
          </w:rPr>
          <w:t>9</w:t>
        </w:r>
      </w:hyperlink>
      <w:r>
        <w:t xml:space="preserve">) devait partir en premier, suivi par le groupe sud de Ruben (v. </w:t>
      </w:r>
      <w:hyperlink r:id="rId10726">
        <w:r>
          <w:rPr>
            <w:color w:val="0000EE"/>
            <w:u w:val="single"/>
          </w:rPr>
          <w:t>16</w:t>
        </w:r>
      </w:hyperlink>
      <w:r>
        <w:t xml:space="preserve">). Les Lévites avec le tabernacle devaient suivre (v. </w:t>
      </w:r>
      <w:hyperlink r:id="rId10729">
        <w:r>
          <w:rPr>
            <w:color w:val="0000EE"/>
            <w:u w:val="single"/>
          </w:rPr>
          <w:t>17</w:t>
        </w:r>
      </w:hyperlink>
      <w:r>
        <w:t xml:space="preserve">). Ensuite, le groupe occidental d'Éphraïm (v. </w:t>
      </w:r>
      <w:hyperlink r:id="rId10727">
        <w:r>
          <w:rPr>
            <w:color w:val="0000EE"/>
            <w:u w:val="single"/>
          </w:rPr>
          <w:t>24</w:t>
        </w:r>
      </w:hyperlink>
      <w:r>
        <w:t xml:space="preserve">) devait suivre les Lévites, le groupe septentrional de Dan (v. </w:t>
      </w:r>
      <w:hyperlink r:id="rId10728">
        <w:r>
          <w:rPr>
            <w:color w:val="0000EE"/>
            <w:u w:val="single"/>
          </w:rPr>
          <w:t>31</w:t>
        </w:r>
      </w:hyperlink>
      <w:r>
        <w:t>) fermant la marche. Cela signifie que les Lévites étaient flanqués par deux groupes, devant et derrière.</w:t>
      </w:r>
    </w:p>
    <w:p>
      <w:pPr>
        <w:pStyle w:val="Heading4"/>
      </w:pPr>
      <w:r>
        <w:t xml:space="preserve">Chapitre </w:t>
      </w:r>
      <w:hyperlink r:id="rId10685">
        <w:r>
          <w:rPr>
            <w:color w:val="0000EE"/>
            <w:u w:val="single"/>
          </w:rPr>
          <w:t>3</w:t>
        </w:r>
      </w:hyperlink>
    </w:p>
    <w:p>
      <w:r/>
      <w:r>
        <w:t>Aaron, l'arrière-petit-fils de Lévi par Kehath (</w:t>
      </w:r>
      <w:hyperlink r:id="rId874">
        <w:r>
          <w:rPr>
            <w:color w:val="0000EE"/>
            <w:u w:val="single"/>
          </w:rPr>
          <w:t>Ex 6.16–20</w:t>
        </w:r>
      </w:hyperlink>
      <w:r>
        <w:t>), ainsi que ses descendants, ont été désignés pour servir comme prêtres au tabernacle (</w:t>
      </w:r>
      <w:hyperlink r:id="rId10730">
        <w:r>
          <w:rPr>
            <w:color w:val="0000EE"/>
            <w:u w:val="single"/>
          </w:rPr>
          <w:t>Nb 3.2–3</w:t>
        </w:r>
      </w:hyperlink>
      <w:r>
        <w:t xml:space="preserve">). Les autres descendants de Lévi, des familles de Guerschon, Kehath et Merari, devaient servir la lignée aaronique au tabernacle (v. </w:t>
      </w:r>
      <w:hyperlink r:id="rId10731">
        <w:r>
          <w:rPr>
            <w:color w:val="0000EE"/>
            <w:u w:val="single"/>
          </w:rPr>
          <w:t>5–10</w:t>
        </w:r>
      </w:hyperlink>
      <w:r>
        <w:t xml:space="preserve">). Les Guershonites étaient responsables des couvertures, des tentures et des rideaux du tabernacle (v. </w:t>
      </w:r>
      <w:hyperlink r:id="rId6142">
        <w:r>
          <w:rPr>
            <w:color w:val="0000EE"/>
            <w:u w:val="single"/>
          </w:rPr>
          <w:t>25–26</w:t>
        </w:r>
      </w:hyperlink>
      <w:r>
        <w:t xml:space="preserve">) ; les Kehathites étaient responsables du « mobilier » dans le tabernacle (v. </w:t>
      </w:r>
      <w:hyperlink r:id="rId1175">
        <w:r>
          <w:rPr>
            <w:color w:val="0000EE"/>
            <w:u w:val="single"/>
          </w:rPr>
          <w:t>31</w:t>
        </w:r>
      </w:hyperlink>
      <w:r>
        <w:t xml:space="preserve">) ; et les Mérarites étaient responsables des cadres, des barres et des fondations pour le tabernacle (v. </w:t>
      </w:r>
      <w:hyperlink r:id="rId9980">
        <w:r>
          <w:rPr>
            <w:color w:val="0000EE"/>
            <w:u w:val="single"/>
          </w:rPr>
          <w:t>36–37</w:t>
        </w:r>
      </w:hyperlink>
      <w:r>
        <w:t>).</w:t>
      </w:r>
    </w:p>
    <w:p>
      <w:r/>
      <w:r>
        <w:t xml:space="preserve">Dieu ordonne à Moïse de dénombrer les trois familles lévitiques. Les descendants de Guerschon, totalisant 7 500 mâles (v. </w:t>
      </w:r>
      <w:hyperlink r:id="rId6140">
        <w:r>
          <w:rPr>
            <w:color w:val="0000EE"/>
            <w:u w:val="single"/>
          </w:rPr>
          <w:t>22</w:t>
        </w:r>
      </w:hyperlink>
      <w:r>
        <w:t xml:space="preserve">), devaient camper à l'ouest, entre le groupe occidental de tribus et le tabernacle. Les descendants de Kehath, totalisant 8 600 mâles (v. </w:t>
      </w:r>
      <w:hyperlink r:id="rId10732">
        <w:r>
          <w:rPr>
            <w:color w:val="0000EE"/>
            <w:u w:val="single"/>
          </w:rPr>
          <w:t>28</w:t>
        </w:r>
      </w:hyperlink>
      <w:r>
        <w:t xml:space="preserve">), devaient camper au sud, entre le groupe méridional de tribus et le tabernacle. Les descendants de Merari, totalisant 6 200 mâles (v. </w:t>
      </w:r>
      <w:hyperlink r:id="rId10733">
        <w:r>
          <w:rPr>
            <w:color w:val="0000EE"/>
            <w:u w:val="single"/>
          </w:rPr>
          <w:t>34</w:t>
        </w:r>
      </w:hyperlink>
      <w:r>
        <w:t xml:space="preserve">), devaient camper au nord, entre le groupe septentrional de tribus et le tabernacle. Moïse et la famille aaronique devaient camper à l'orient, entre le groupe oriental de tribus et le tabernacle (v. </w:t>
      </w:r>
      <w:hyperlink r:id="rId10734">
        <w:r>
          <w:rPr>
            <w:color w:val="0000EE"/>
            <w:u w:val="single"/>
          </w:rPr>
          <w:t>38</w:t>
        </w:r>
      </w:hyperlink>
      <w:r>
        <w:t>). Tant au camp que lors de la marche, le tabernacle se trouvait donc au milieu d'Israël.</w:t>
      </w:r>
    </w:p>
    <w:p>
      <w:r/>
      <w:r>
        <w:t xml:space="preserve">Le recensement des premiers-nés mâles d'Israël a révélé 273 bébés mâles de plus que de Lévites (v. </w:t>
      </w:r>
      <w:hyperlink r:id="rId10735">
        <w:r>
          <w:rPr>
            <w:color w:val="0000EE"/>
            <w:u w:val="single"/>
          </w:rPr>
          <w:t>40–46</w:t>
        </w:r>
      </w:hyperlink>
      <w:r>
        <w:t xml:space="preserve">), et puisque les Lévites servaient de rançon pour les mâles israélites sur une base individuelle, les 273 enfants mâles supplémentaires devaient être rachetés par un paiement d'expiation (v. </w:t>
      </w:r>
      <w:hyperlink r:id="rId10736">
        <w:r>
          <w:rPr>
            <w:color w:val="0000EE"/>
            <w:u w:val="single"/>
          </w:rPr>
          <w:t>46–51</w:t>
        </w:r>
      </w:hyperlink>
      <w:r>
        <w:t>).</w:t>
      </w:r>
    </w:p>
    <w:p>
      <w:pPr>
        <w:pStyle w:val="Heading4"/>
      </w:pPr>
      <w:r>
        <w:t xml:space="preserve">Chapitre </w:t>
      </w:r>
      <w:hyperlink r:id="rId1186">
        <w:r>
          <w:rPr>
            <w:color w:val="0000EE"/>
            <w:u w:val="single"/>
          </w:rPr>
          <w:t>4</w:t>
        </w:r>
      </w:hyperlink>
    </w:p>
    <w:p>
      <w:r/>
      <w:r>
        <w:t xml:space="preserve">Dieu instruit Moïse que seuls les Lévites âgés de 30 à 50 ans devaient servir au tabernacle. Un recensement a révélé qu'il y avait 2 750 Kehatites (v. </w:t>
      </w:r>
      <w:hyperlink r:id="rId10737">
        <w:r>
          <w:rPr>
            <w:color w:val="0000EE"/>
            <w:u w:val="single"/>
          </w:rPr>
          <w:t>36</w:t>
        </w:r>
      </w:hyperlink>
      <w:r>
        <w:t xml:space="preserve">), 2 630 Guershonites (v. </w:t>
      </w:r>
      <w:hyperlink r:id="rId10738">
        <w:r>
          <w:rPr>
            <w:color w:val="0000EE"/>
            <w:u w:val="single"/>
          </w:rPr>
          <w:t>40</w:t>
        </w:r>
      </w:hyperlink>
      <w:r>
        <w:t xml:space="preserve">), et 3 200 Merarites (v. </w:t>
      </w:r>
      <w:hyperlink r:id="rId10739">
        <w:r>
          <w:rPr>
            <w:color w:val="0000EE"/>
            <w:u w:val="single"/>
          </w:rPr>
          <w:t>44</w:t>
        </w:r>
      </w:hyperlink>
      <w:r>
        <w:t xml:space="preserve">), soit un total de 8 580 (v. </w:t>
      </w:r>
      <w:hyperlink r:id="rId10740">
        <w:r>
          <w:rPr>
            <w:color w:val="0000EE"/>
            <w:u w:val="single"/>
          </w:rPr>
          <w:t>48</w:t>
        </w:r>
      </w:hyperlink>
      <w:r>
        <w:t>) qui étaient éligibles pour servir les prêtres aaronites.</w:t>
      </w:r>
    </w:p>
    <w:p>
      <w:r/>
      <w:r>
        <w:t xml:space="preserve">Dieu ordonne en outre aux prêtres aaronites, lorsque le tabernacle était démonté pour la marche, de couvrir tous les « meubles » du tabernacle avant que les Kehatites ne les regardent (v. </w:t>
      </w:r>
      <w:hyperlink r:id="rId10741">
        <w:r>
          <w:rPr>
            <w:color w:val="0000EE"/>
            <w:u w:val="single"/>
          </w:rPr>
          <w:t>20</w:t>
        </w:r>
      </w:hyperlink>
      <w:r>
        <w:t xml:space="preserve">), de peur que les Kehatites, en les regardant ou en les touchant (v. </w:t>
      </w:r>
      <w:hyperlink r:id="rId10742">
        <w:r>
          <w:rPr>
            <w:color w:val="0000EE"/>
            <w:u w:val="single"/>
          </w:rPr>
          <w:t>15</w:t>
        </w:r>
      </w:hyperlink>
      <w:r>
        <w:t xml:space="preserve">), ne meurent (vv. </w:t>
      </w:r>
      <w:hyperlink r:id="rId10743">
        <w:r>
          <w:rPr>
            <w:color w:val="0000EE"/>
            <w:u w:val="single"/>
          </w:rPr>
          <w:t>15, 20</w:t>
        </w:r>
      </w:hyperlink>
      <w:r>
        <w:t>).</w:t>
      </w:r>
    </w:p>
    <w:p>
      <w:pPr>
        <w:pStyle w:val="Heading4"/>
      </w:pPr>
      <w:r>
        <w:t xml:space="preserve">Chapitre </w:t>
      </w:r>
      <w:hyperlink r:id="rId5532">
        <w:r>
          <w:rPr>
            <w:color w:val="0000EE"/>
            <w:u w:val="single"/>
          </w:rPr>
          <w:t>5</w:t>
        </w:r>
      </w:hyperlink>
    </w:p>
    <w:p>
      <w:r/>
      <w:r>
        <w:t>À des fins cérémonielles, Dieu exige que les lépreux, ceux ayant une décharge corporelle, et ceux qui avaient touché un mort soient mis hors du camp jusqu'à leur purification (</w:t>
      </w:r>
      <w:hyperlink r:id="rId10744">
        <w:r>
          <w:rPr>
            <w:color w:val="0000EE"/>
            <w:u w:val="single"/>
          </w:rPr>
          <w:t>Nb 5.1–4</w:t>
        </w:r>
      </w:hyperlink>
      <w:r>
        <w:t>). De plus, Dieu ordonne à ceux qui faisaient restitution pour un méfait, si la personne lésée n'était plus en vie, de donner le prix de la restitution à un prêtre (</w:t>
      </w:r>
      <w:hyperlink r:id="rId10745">
        <w:r>
          <w:rPr>
            <w:color w:val="0000EE"/>
            <w:u w:val="single"/>
          </w:rPr>
          <w:t>Nb 5.5–10</w:t>
        </w:r>
      </w:hyperlink>
      <w:r>
        <w:t>).</w:t>
      </w:r>
    </w:p>
    <w:p>
      <w:r/>
      <w:r>
        <w:t xml:space="preserve">Enfin, si une femme était soupçonnée par son mari d'infidélité mais qu'il n'y avait aucune preuve, elle devait subir une épreuve par l'eau pour dissiper les soupçons de l'homme. Le prêtre devait lui donner à boire de l'eau sainte contenant de la poussière du sol du tabernacle. Si elle était coupable, l'eau, par direction divine, lui causerait de la douleur, ferait gonfler son abdomen et sa cuisse se dessécherait (v. </w:t>
      </w:r>
      <w:hyperlink r:id="rId369">
        <w:r>
          <w:rPr>
            <w:color w:val="0000EE"/>
            <w:u w:val="single"/>
          </w:rPr>
          <w:t>11–31</w:t>
        </w:r>
      </w:hyperlink>
      <w:r>
        <w:t>).</w:t>
      </w:r>
    </w:p>
    <w:p>
      <w:pPr>
        <w:pStyle w:val="Heading4"/>
      </w:pPr>
      <w:r>
        <w:t xml:space="preserve">Chapitre </w:t>
      </w:r>
      <w:hyperlink r:id="rId10746">
        <w:r>
          <w:rPr>
            <w:color w:val="0000EE"/>
            <w:u w:val="single"/>
          </w:rPr>
          <w:t>6</w:t>
        </w:r>
      </w:hyperlink>
    </w:p>
    <w:p>
      <w:r/>
      <w:r>
        <w:t xml:space="preserve">Ce sont ensuite les lois concernant le Naziréat qui sont données. Un naziréen était une personne qui décidait de faire vœu de se consacrer entièrement au Seigneur. Pour symboliser cette séparation, le naziréen ne devait boire aucune boisson enivrante, laisser pousser ses cheveux longs et ne toucher aucun corps mort (v. </w:t>
      </w:r>
      <w:hyperlink r:id="rId10747">
        <w:r>
          <w:rPr>
            <w:color w:val="0000EE"/>
            <w:u w:val="single"/>
          </w:rPr>
          <w:t>3–6</w:t>
        </w:r>
      </w:hyperlink>
      <w:r>
        <w:t xml:space="preserve">). S'il devenait impur, il devait suivre les règles prescrites pour la purification cérémonielle (v. </w:t>
      </w:r>
      <w:hyperlink r:id="rId10585">
        <w:r>
          <w:rPr>
            <w:color w:val="0000EE"/>
            <w:u w:val="single"/>
          </w:rPr>
          <w:t>9–12</w:t>
        </w:r>
      </w:hyperlink>
      <w:r>
        <w:t xml:space="preserve">). Lorsque son vœu arrivait à son terme, il devait suivre les règles prescrites pour y mettre fin (v. </w:t>
      </w:r>
      <w:hyperlink r:id="rId10586">
        <w:r>
          <w:rPr>
            <w:color w:val="0000EE"/>
            <w:u w:val="single"/>
          </w:rPr>
          <w:t>13–21</w:t>
        </w:r>
      </w:hyperlink>
      <w:r>
        <w:t xml:space="preserve">). Enfin, Dieu instruit le sacerdoce aaronique concernant la bénédiction qu'ils devaient prononcer sur l'adorateur israélite (v. </w:t>
      </w:r>
      <w:hyperlink r:id="rId1749">
        <w:r>
          <w:rPr>
            <w:color w:val="0000EE"/>
            <w:u w:val="single"/>
          </w:rPr>
          <w:t>22–27</w:t>
        </w:r>
      </w:hyperlink>
      <w:r>
        <w:t>).</w:t>
      </w:r>
    </w:p>
    <w:p>
      <w:pPr>
        <w:pStyle w:val="Heading4"/>
      </w:pPr>
      <w:r>
        <w:t xml:space="preserve">Chapitre </w:t>
      </w:r>
      <w:hyperlink r:id="rId10748">
        <w:r>
          <w:rPr>
            <w:color w:val="0000EE"/>
            <w:u w:val="single"/>
          </w:rPr>
          <w:t>7</w:t>
        </w:r>
      </w:hyperlink>
    </w:p>
    <w:p>
      <w:r/>
      <w:r>
        <w:t>Les chefs en Israël apportent six chariots et douze bœufs pour le transfert du tabernacle (</w:t>
      </w:r>
      <w:hyperlink r:id="rId10749">
        <w:r>
          <w:rPr>
            <w:color w:val="0000EE"/>
            <w:u w:val="single"/>
          </w:rPr>
          <w:t>Nb 7.3</w:t>
        </w:r>
      </w:hyperlink>
      <w:r>
        <w:t xml:space="preserve">). Moïse donne deux chariots et quatre bœufs aux Guershonites (v. </w:t>
      </w:r>
      <w:hyperlink r:id="rId10750">
        <w:r>
          <w:rPr>
            <w:color w:val="0000EE"/>
            <w:u w:val="single"/>
          </w:rPr>
          <w:t>7</w:t>
        </w:r>
      </w:hyperlink>
      <w:r>
        <w:t xml:space="preserve">), et quatre chariots et huit bœufs aux Merarites (v. </w:t>
      </w:r>
      <w:hyperlink r:id="rId9982">
        <w:r>
          <w:rPr>
            <w:color w:val="0000EE"/>
            <w:u w:val="single"/>
          </w:rPr>
          <w:t>8</w:t>
        </w:r>
      </w:hyperlink>
      <w:r>
        <w:t xml:space="preserve">). Les Kehatites devaient porter le « mobilier » du tabernacle sur leurs épaules, v. </w:t>
      </w:r>
      <w:hyperlink r:id="rId8073">
        <w:r>
          <w:rPr>
            <w:color w:val="0000EE"/>
            <w:u w:val="single"/>
          </w:rPr>
          <w:t>9</w:t>
        </w:r>
      </w:hyperlink>
      <w:r>
        <w:t xml:space="preserve">. Pendant douze jours consécutifs, pour consacrer l'autel après qu'il a été oint (v. </w:t>
      </w:r>
      <w:hyperlink r:id="rId10751">
        <w:r>
          <w:rPr>
            <w:color w:val="0000EE"/>
            <w:u w:val="single"/>
          </w:rPr>
          <w:t>10, 88</w:t>
        </w:r>
      </w:hyperlink>
      <w:r>
        <w:t xml:space="preserve">), les chefs tribaux, dans l'ordre de marche (voir chap </w:t>
      </w:r>
      <w:hyperlink r:id="rId10684">
        <w:r>
          <w:rPr>
            <w:color w:val="0000EE"/>
            <w:u w:val="single"/>
          </w:rPr>
          <w:t>2</w:t>
        </w:r>
      </w:hyperlink>
      <w:r>
        <w:t xml:space="preserve">), ont apporté des offrandes similaires. Dieu a montré son plaisir pour ce geste en parlant à Moïse depuis le propitiatoire (v. </w:t>
      </w:r>
      <w:hyperlink r:id="rId1173">
        <w:r>
          <w:rPr>
            <w:color w:val="0000EE"/>
            <w:u w:val="single"/>
          </w:rPr>
          <w:t>89</w:t>
        </w:r>
      </w:hyperlink>
      <w:r>
        <w:t>).</w:t>
      </w:r>
    </w:p>
    <w:p>
      <w:pPr>
        <w:pStyle w:val="Heading4"/>
      </w:pPr>
      <w:r>
        <w:t xml:space="preserve">Chapitre </w:t>
      </w:r>
      <w:hyperlink r:id="rId10752">
        <w:r>
          <w:rPr>
            <w:color w:val="0000EE"/>
            <w:u w:val="single"/>
          </w:rPr>
          <w:t>8</w:t>
        </w:r>
      </w:hyperlink>
    </w:p>
    <w:p>
      <w:r/>
      <w:r>
        <w:t>Dieu accorde le privilège d'allumer le chandelier à sept branches aux prêtres aaronites (</w:t>
      </w:r>
      <w:hyperlink r:id="rId10753">
        <w:r>
          <w:rPr>
            <w:color w:val="0000EE"/>
            <w:u w:val="single"/>
          </w:rPr>
          <w:t>Nb 8.1–4</w:t>
        </w:r>
      </w:hyperlink>
      <w:r>
        <w:t xml:space="preserve">). Suivant les instructions divines, Moïse et Aaron consacrent les Lévites au service du tabernacle par le biais d'une cérémonie de purification (v. </w:t>
      </w:r>
      <w:hyperlink r:id="rId10754">
        <w:r>
          <w:rPr>
            <w:color w:val="0000EE"/>
            <w:u w:val="single"/>
          </w:rPr>
          <w:t>5–22</w:t>
        </w:r>
      </w:hyperlink>
      <w:r>
        <w:t>).</w:t>
      </w:r>
    </w:p>
    <w:p>
      <w:pPr>
        <w:pStyle w:val="Heading4"/>
      </w:pPr>
      <w:r>
        <w:t xml:space="preserve">Chapitres </w:t>
      </w:r>
      <w:hyperlink r:id="rId10755">
        <w:r>
          <w:rPr>
            <w:color w:val="0000EE"/>
            <w:u w:val="single"/>
          </w:rPr>
          <w:t>9.1–10.10</w:t>
        </w:r>
      </w:hyperlink>
    </w:p>
    <w:p>
      <w:r/>
      <w:r>
        <w:t xml:space="preserve">Pour le bénéfice de l'adorateur qui était rituellement impur ou en voyage au moment de la Pâque, Dieu accorde la permission d'observer la Pâque un mois plus tard (v. </w:t>
      </w:r>
      <w:hyperlink r:id="rId10756">
        <w:r>
          <w:rPr>
            <w:color w:val="0000EE"/>
            <w:u w:val="single"/>
          </w:rPr>
          <w:t>6–12</w:t>
        </w:r>
      </w:hyperlink>
      <w:r>
        <w:t xml:space="preserve"> ; voir aussi chap. </w:t>
      </w:r>
      <w:hyperlink r:id="rId10757">
        <w:r>
          <w:rPr>
            <w:color w:val="0000EE"/>
            <w:u w:val="single"/>
          </w:rPr>
          <w:t>27</w:t>
        </w:r>
      </w:hyperlink>
      <w:r>
        <w:t>).</w:t>
      </w:r>
    </w:p>
    <w:p>
      <w:r/>
      <w:r>
        <w:t>Dieu donne des instructions finales au peuple avant leur départ du Sinaï. Ils devront se préparer à marcher lorsqu'ils voient le nuage s'élever du tabernacle, et ils devront s'arrêter à l'endroit où le nuage se posait (</w:t>
      </w:r>
      <w:hyperlink r:id="rId10758">
        <w:r>
          <w:rPr>
            <w:color w:val="0000EE"/>
            <w:u w:val="single"/>
          </w:rPr>
          <w:t>9.15–23</w:t>
        </w:r>
      </w:hyperlink>
      <w:r>
        <w:t>). Le peuple devait se rassembler au tabernacle si deux trompettes d'argent étaient soufflées ; seuls les chefs devaient venir si une seule était soufflée ; et au son d'une alarme militaire, les différents groupes de tribus devaient se préparer pour une marche immédiate (</w:t>
      </w:r>
      <w:hyperlink r:id="rId10759">
        <w:r>
          <w:rPr>
            <w:color w:val="0000EE"/>
            <w:u w:val="single"/>
          </w:rPr>
          <w:t>10.1–10</w:t>
        </w:r>
      </w:hyperlink>
      <w:r>
        <w:t>).</w:t>
      </w:r>
    </w:p>
    <w:p>
      <w:pPr>
        <w:pStyle w:val="Heading4"/>
      </w:pPr>
      <w:r>
        <w:t xml:space="preserve">Chapitres </w:t>
      </w:r>
      <w:hyperlink r:id="rId10760">
        <w:r>
          <w:rPr>
            <w:color w:val="0000EE"/>
            <w:u w:val="single"/>
          </w:rPr>
          <w:t>10.11–14.45</w:t>
        </w:r>
      </w:hyperlink>
    </w:p>
    <w:p>
      <w:r/>
      <w:r>
        <w:t xml:space="preserve">La section suivante raconte la marche de Sinaï à Kadès-Barnéa, une période d'environ un mois et demi à deux mois (voir </w:t>
      </w:r>
      <w:hyperlink r:id="rId10761">
        <w:r>
          <w:rPr>
            <w:color w:val="0000EE"/>
            <w:u w:val="single"/>
          </w:rPr>
          <w:t>10.11</w:t>
        </w:r>
      </w:hyperlink>
      <w:r>
        <w:t xml:space="preserve"> ; </w:t>
      </w:r>
      <w:hyperlink r:id="rId10762">
        <w:r>
          <w:rPr>
            <w:color w:val="0000EE"/>
            <w:u w:val="single"/>
          </w:rPr>
          <w:t>13.20</w:t>
        </w:r>
      </w:hyperlink>
      <w:r>
        <w:t>). Presque immédiatement, le peuple commence à se plaindre en traversant le terrible désert de Paran (</w:t>
      </w:r>
      <w:hyperlink r:id="rId9368">
        <w:r>
          <w:rPr>
            <w:color w:val="0000EE"/>
            <w:u w:val="single"/>
          </w:rPr>
          <w:t>Dt 1.19</w:t>
        </w:r>
      </w:hyperlink>
      <w:r>
        <w:t>), provoquant la colère du Seigneur à Tabeéra (</w:t>
      </w:r>
      <w:hyperlink r:id="rId10763">
        <w:r>
          <w:rPr>
            <w:color w:val="0000EE"/>
            <w:u w:val="single"/>
          </w:rPr>
          <w:t>Nb 11.1–3</w:t>
        </w:r>
      </w:hyperlink>
      <w:r>
        <w:t>) et à Kibroth-Hattaava (</w:t>
      </w:r>
      <w:hyperlink r:id="rId10764">
        <w:r>
          <w:rPr>
            <w:color w:val="0000EE"/>
            <w:u w:val="single"/>
          </w:rPr>
          <w:t>Nb 11.4–35</w:t>
        </w:r>
      </w:hyperlink>
      <w:r>
        <w:t xml:space="preserve"> ; </w:t>
      </w:r>
      <w:hyperlink r:id="rId10765">
        <w:r>
          <w:rPr>
            <w:color w:val="0000EE"/>
            <w:u w:val="single"/>
          </w:rPr>
          <w:t>Ps 78.26–31</w:t>
        </w:r>
      </w:hyperlink>
      <w:r>
        <w:t xml:space="preserve"> ; </w:t>
      </w:r>
      <w:hyperlink r:id="rId10766">
        <w:r>
          <w:rPr>
            <w:color w:val="0000EE"/>
            <w:u w:val="single"/>
          </w:rPr>
          <w:t>106.13–15</w:t>
        </w:r>
      </w:hyperlink>
      <w:r>
        <w:t>). Miriam et Aaron ont contesté le droit exclusif de Moïse de parler pour Dieu au peuple, ce qui a entraîné une lèpre temporaire comme punition pour Miriam (sans doute l'instigatrice de la discorde). Grâce à l'intercession de Moïse, tous deux ont été pardonnés (</w:t>
      </w:r>
      <w:hyperlink r:id="rId5545">
        <w:r>
          <w:rPr>
            <w:color w:val="0000EE"/>
            <w:u w:val="single"/>
          </w:rPr>
          <w:t>Nb 12</w:t>
        </w:r>
      </w:hyperlink>
      <w:r>
        <w:t xml:space="preserve">). De cet événement est cependant venue la description remarquable de la relation de Moïse avec Dieu comme un moyen unique de révélation (v. </w:t>
      </w:r>
      <w:hyperlink r:id="rId10767">
        <w:r>
          <w:rPr>
            <w:color w:val="0000EE"/>
            <w:u w:val="single"/>
          </w:rPr>
          <w:t>6–8</w:t>
        </w:r>
      </w:hyperlink>
      <w:r>
        <w:t>).</w:t>
      </w:r>
    </w:p>
    <w:p>
      <w:r/>
      <w:r>
        <w:t xml:space="preserve">Depuis Paran (Kadès-Barnéa), Moïse enverra des espions pour explorer le pays (chap. </w:t>
      </w:r>
      <w:hyperlink r:id="rId10768">
        <w:r>
          <w:rPr>
            <w:color w:val="0000EE"/>
            <w:u w:val="single"/>
          </w:rPr>
          <w:t>13</w:t>
        </w:r>
      </w:hyperlink>
      <w:r>
        <w:t xml:space="preserve">). </w:t>
      </w:r>
      <w:hyperlink r:id="rId10769">
        <w:r>
          <w:rPr>
            <w:color w:val="0000EE"/>
            <w:u w:val="single"/>
          </w:rPr>
          <w:t>Deutéronome 1.22</w:t>
        </w:r>
      </w:hyperlink>
      <w:r>
        <w:t xml:space="preserve"> suggère que l'idée d'explorer le pays venait du peuple, Moïse acquiesçant (à la demande de Dieu). Au bout de quarante jours, ils reviennent. Seuls Caleb et Josué encouragent le peuple à avancer pour la conquête ; les dix autres espions parleront d'ennemis trop redoutables pour être vaincus. Le peuple, très découragé, tentera de lapider Caleb et Josué (</w:t>
      </w:r>
      <w:hyperlink r:id="rId2880">
        <w:r>
          <w:rPr>
            <w:color w:val="0000EE"/>
            <w:u w:val="single"/>
          </w:rPr>
          <w:t>Nb 14.10</w:t>
        </w:r>
      </w:hyperlink>
      <w:r>
        <w:t>), mais sera empêché de le faire uniquement par l'apparition soudaine de la nuée de gloire au tabernacle. Dieu jurera dans sa colère (</w:t>
      </w:r>
      <w:hyperlink r:id="rId10770">
        <w:r>
          <w:rPr>
            <w:color w:val="0000EE"/>
            <w:u w:val="single"/>
          </w:rPr>
          <w:t>Nb 14.21</w:t>
        </w:r>
      </w:hyperlink>
      <w:r>
        <w:t xml:space="preserve"> ; voir </w:t>
      </w:r>
      <w:hyperlink r:id="rId10771">
        <w:r>
          <w:rPr>
            <w:color w:val="0000EE"/>
            <w:u w:val="single"/>
          </w:rPr>
          <w:t>Hé 3.7–4.10</w:t>
        </w:r>
      </w:hyperlink>
      <w:r>
        <w:t>) qu'à l'exception de Caleb et Josué, aucun de cette génération n'entrerait dans le pays de la promesse (</w:t>
      </w:r>
      <w:hyperlink r:id="rId10772">
        <w:r>
          <w:rPr>
            <w:color w:val="0000EE"/>
            <w:u w:val="single"/>
          </w:rPr>
          <w:t>Nb 14.21–35</w:t>
        </w:r>
      </w:hyperlink>
      <w:r>
        <w:t xml:space="preserve">). Il frappera ensuite les dix espions incrédules (v. </w:t>
      </w:r>
      <w:hyperlink r:id="rId10773">
        <w:r>
          <w:rPr>
            <w:color w:val="0000EE"/>
            <w:u w:val="single"/>
          </w:rPr>
          <w:t>37</w:t>
        </w:r>
      </w:hyperlink>
      <w:r>
        <w:t>). Avec présomption, et malgré le commandement exprès de Dieu (</w:t>
      </w:r>
      <w:hyperlink r:id="rId10774">
        <w:r>
          <w:rPr>
            <w:color w:val="0000EE"/>
            <w:u w:val="single"/>
          </w:rPr>
          <w:t>Dt 1.42</w:t>
        </w:r>
      </w:hyperlink>
      <w:r>
        <w:t>), Israël tentera d'avancer sur le pays, laissant Moïse et l'arche de l'alliance dans le camp. Ils seront défiés par les Amalécites et les Cananéens.</w:t>
      </w:r>
    </w:p>
    <w:p>
      <w:r/>
      <w:r>
        <w:t>Israël restera dans cette région, des familles tribales se dispersant dans le désert et s'installant autour de sources et d'oasis (</w:t>
      </w:r>
      <w:hyperlink r:id="rId8041">
        <w:r>
          <w:rPr>
            <w:color w:val="0000EE"/>
            <w:u w:val="single"/>
          </w:rPr>
          <w:t>Dt 1.46</w:t>
        </w:r>
      </w:hyperlink>
      <w:r>
        <w:t xml:space="preserve">). </w:t>
      </w:r>
      <w:hyperlink r:id="rId10775">
        <w:r>
          <w:rPr>
            <w:color w:val="0000EE"/>
            <w:u w:val="single"/>
          </w:rPr>
          <w:t>Nombres 15.1–21.20</w:t>
        </w:r>
      </w:hyperlink>
      <w:r>
        <w:t xml:space="preserve"> relate le récit des trente-huit années d'errance dans le désert. Une grande partie de ce temps a probablement été passée autour de Kadès-Barnéa (</w:t>
      </w:r>
      <w:hyperlink r:id="rId8041">
        <w:r>
          <w:rPr>
            <w:color w:val="0000EE"/>
            <w:u w:val="single"/>
          </w:rPr>
          <w:t>Dt 1.46</w:t>
        </w:r>
      </w:hyperlink>
      <w:r>
        <w:t>).</w:t>
      </w:r>
    </w:p>
    <w:p>
      <w:pPr>
        <w:pStyle w:val="Heading4"/>
      </w:pPr>
      <w:r>
        <w:t xml:space="preserve">Chapitre </w:t>
      </w:r>
      <w:hyperlink r:id="rId10776">
        <w:r>
          <w:rPr>
            <w:color w:val="0000EE"/>
            <w:u w:val="single"/>
          </w:rPr>
          <w:t>15</w:t>
        </w:r>
      </w:hyperlink>
    </w:p>
    <w:p>
      <w:r/>
      <w:r>
        <w:t>Une législation sacerdotale supplémentaire est donnée (</w:t>
      </w:r>
      <w:hyperlink r:id="rId10777">
        <w:r>
          <w:rPr>
            <w:color w:val="0000EE"/>
            <w:u w:val="single"/>
          </w:rPr>
          <w:t>Nb 15.1–21</w:t>
        </w:r>
      </w:hyperlink>
      <w:r>
        <w:t xml:space="preserve">). De plus, la procédure à suivre lorsqu'un Israélite commettait un péché délibérément et avec défiance est précisée en termes d'excommunication : il n'y avait pas d'expiation pour une telle attitude (v. </w:t>
      </w:r>
      <w:hyperlink r:id="rId10778">
        <w:r>
          <w:rPr>
            <w:color w:val="0000EE"/>
            <w:u w:val="single"/>
          </w:rPr>
          <w:t>22–31</w:t>
        </w:r>
      </w:hyperlink>
      <w:r>
        <w:t xml:space="preserve">). Une personne qui enfreint le sabbat sera exécuté (v. </w:t>
      </w:r>
      <w:hyperlink r:id="rId4314">
        <w:r>
          <w:rPr>
            <w:color w:val="0000EE"/>
            <w:u w:val="single"/>
          </w:rPr>
          <w:t>32–36</w:t>
        </w:r>
      </w:hyperlink>
      <w:r>
        <w:t xml:space="preserve">), peut-être comme illustration de la législation précédente. Enfin, pour les aider à obéir aux lois de Dieu, les Israélites sont instruits d'attacher des franges bleues à leurs vêtements extérieurs comme rappels (v. </w:t>
      </w:r>
      <w:hyperlink r:id="rId7793">
        <w:r>
          <w:rPr>
            <w:color w:val="0000EE"/>
            <w:u w:val="single"/>
          </w:rPr>
          <w:t>37–41</w:t>
        </w:r>
      </w:hyperlink>
      <w:r>
        <w:t>).</w:t>
      </w:r>
    </w:p>
    <w:p>
      <w:pPr>
        <w:pStyle w:val="Heading4"/>
      </w:pPr>
      <w:r>
        <w:t xml:space="preserve">Chapitre </w:t>
      </w:r>
      <w:hyperlink r:id="rId10779">
        <w:r>
          <w:rPr>
            <w:color w:val="0000EE"/>
            <w:u w:val="single"/>
          </w:rPr>
          <w:t>16</w:t>
        </w:r>
      </w:hyperlink>
    </w:p>
    <w:p>
      <w:r/>
      <w:r>
        <w:t xml:space="preserve">Koré conteste le sacerdoce d'Aaron, et Dathan, Abiram et On contestent le leadership de Moïse (v. </w:t>
      </w:r>
      <w:hyperlink r:id="rId10780">
        <w:r>
          <w:rPr>
            <w:color w:val="0000EE"/>
            <w:u w:val="single"/>
          </w:rPr>
          <w:t>1–14</w:t>
        </w:r>
      </w:hyperlink>
      <w:r>
        <w:t>). Dieu, sur la parole de Moïse, ouvre la terre et engloutit les coupables (</w:t>
      </w:r>
      <w:hyperlink r:id="rId10781">
        <w:r>
          <w:rPr>
            <w:color w:val="0000EE"/>
            <w:u w:val="single"/>
          </w:rPr>
          <w:t>Nb 16.32</w:t>
        </w:r>
      </w:hyperlink>
      <w:r>
        <w:t xml:space="preserve"> ; voir </w:t>
      </w:r>
      <w:hyperlink r:id="rId10782">
        <w:r>
          <w:rPr>
            <w:color w:val="0000EE"/>
            <w:u w:val="single"/>
          </w:rPr>
          <w:t>Dt 9.6</w:t>
        </w:r>
      </w:hyperlink>
      <w:r>
        <w:t xml:space="preserve"> ; </w:t>
      </w:r>
      <w:hyperlink r:id="rId10783">
        <w:r>
          <w:rPr>
            <w:color w:val="0000EE"/>
            <w:u w:val="single"/>
          </w:rPr>
          <w:t>Ps 106.16–18</w:t>
        </w:r>
      </w:hyperlink>
      <w:r>
        <w:t>). Koré est considéré dans le Nouveau Testament (</w:t>
      </w:r>
      <w:hyperlink r:id="rId2105">
        <w:r>
          <w:rPr>
            <w:color w:val="0000EE"/>
            <w:u w:val="single"/>
          </w:rPr>
          <w:t>Jd 1.11</w:t>
        </w:r>
      </w:hyperlink>
      <w:r>
        <w:t>) comme un exemple classique d'un rebelle mécontent.</w:t>
      </w:r>
    </w:p>
    <w:p>
      <w:r/>
      <w:hyperlink r:id="rId8140">
        <w:r>
          <w:rPr>
            <w:color w:val="0000EE"/>
            <w:u w:val="single"/>
          </w:rPr>
          <w:t>Nombres 26.11</w:t>
        </w:r>
      </w:hyperlink>
      <w:r>
        <w:t xml:space="preserve"> indique que les jeunes enfants de Koré ne périront pas avec lui. Peut-être sont-ils devenus les ancêtres des « fils de Koré », les musiciens sacrés du temple qui ont composé les douze psaumes coréites (</w:t>
      </w:r>
      <w:hyperlink r:id="rId10784">
        <w:r>
          <w:rPr>
            <w:color w:val="0000EE"/>
            <w:u w:val="single"/>
          </w:rPr>
          <w:t>Ps 42–49</w:t>
        </w:r>
      </w:hyperlink>
      <w:r>
        <w:t xml:space="preserve">, </w:t>
      </w:r>
      <w:hyperlink r:id="rId10785">
        <w:r>
          <w:rPr>
            <w:color w:val="0000EE"/>
            <w:u w:val="single"/>
          </w:rPr>
          <w:t>84–85</w:t>
        </w:r>
      </w:hyperlink>
      <w:r>
        <w:t xml:space="preserve">, </w:t>
      </w:r>
      <w:hyperlink r:id="rId10786">
        <w:r>
          <w:rPr>
            <w:color w:val="0000EE"/>
            <w:u w:val="single"/>
          </w:rPr>
          <w:t>87–88</w:t>
        </w:r>
      </w:hyperlink>
      <w:r>
        <w:t>).</w:t>
      </w:r>
    </w:p>
    <w:p>
      <w:pPr>
        <w:pStyle w:val="Heading4"/>
      </w:pPr>
      <w:r>
        <w:t xml:space="preserve">Chapitre </w:t>
      </w:r>
      <w:hyperlink r:id="rId10787">
        <w:r>
          <w:rPr>
            <w:color w:val="0000EE"/>
            <w:u w:val="single"/>
          </w:rPr>
          <w:t>17</w:t>
        </w:r>
      </w:hyperlink>
    </w:p>
    <w:p>
      <w:r/>
      <w:r>
        <w:t>Dieu ordonne ensuite aux chefs de chaque tribu d'apporter des bâtons (douze au total), d'y inscrire les noms des tribus (avec le nom d'Aaron sur le bâton de Lévi), et de les déposer dans le tabernacle. Le lendemain, le bâton d'Aaron bourgeonne avec des fleurs et des amandes mûres, confirmant ainsi le statut spécial d'Aaron en tant que grand prêtre.</w:t>
      </w:r>
    </w:p>
    <w:p>
      <w:pPr>
        <w:pStyle w:val="Heading4"/>
      </w:pPr>
      <w:r>
        <w:t xml:space="preserve">Chapitres </w:t>
      </w:r>
      <w:hyperlink r:id="rId10788">
        <w:r>
          <w:rPr>
            <w:color w:val="0000EE"/>
            <w:u w:val="single"/>
          </w:rPr>
          <w:t>18–19</w:t>
        </w:r>
      </w:hyperlink>
    </w:p>
    <w:p>
      <w:r/>
      <w:r>
        <w:t xml:space="preserve">Des législations supplémentaires pour les prêtres sont données. Dans </w:t>
      </w:r>
      <w:hyperlink r:id="rId10789">
        <w:r>
          <w:rPr>
            <w:color w:val="0000EE"/>
            <w:u w:val="single"/>
          </w:rPr>
          <w:t>18.1–7</w:t>
        </w:r>
      </w:hyperlink>
      <w:r>
        <w:t xml:space="preserve">, la pleine responsabilité du service sacerdotal sera confiée aux prêtres aaronites, une conséquence très naturelle du chapitre précédent. Les Lévites devront assister l'ordre aaronite (v. </w:t>
      </w:r>
      <w:hyperlink r:id="rId10790">
        <w:r>
          <w:rPr>
            <w:color w:val="0000EE"/>
            <w:u w:val="single"/>
          </w:rPr>
          <w:t>6</w:t>
        </w:r>
      </w:hyperlink>
      <w:r>
        <w:t xml:space="preserve">). Puisque la tribu de Lévi ne recevait pas d'héritage foncier, elle devait être soutenue par les offrandes du peuple (v. </w:t>
      </w:r>
      <w:hyperlink r:id="rId10791">
        <w:r>
          <w:rPr>
            <w:color w:val="0000EE"/>
            <w:u w:val="single"/>
          </w:rPr>
          <w:t>8–20</w:t>
        </w:r>
      </w:hyperlink>
      <w:r>
        <w:t>).</w:t>
      </w:r>
    </w:p>
    <w:p>
      <w:r/>
      <w:r>
        <w:t xml:space="preserve">Dans </w:t>
      </w:r>
      <w:hyperlink r:id="rId10792">
        <w:r>
          <w:rPr>
            <w:color w:val="0000EE"/>
            <w:u w:val="single"/>
          </w:rPr>
          <w:t>19.1–22</w:t>
        </w:r>
      </w:hyperlink>
      <w:r>
        <w:t xml:space="preserve">, des instructions concernant l'impureté cérémonielle sont données. Lorsqu'un Israélite devenait cérémoniellement impur par contact avec la mort (v. </w:t>
      </w:r>
      <w:hyperlink r:id="rId10793">
        <w:r>
          <w:rPr>
            <w:color w:val="0000EE"/>
            <w:u w:val="single"/>
          </w:rPr>
          <w:t>11–16</w:t>
        </w:r>
      </w:hyperlink>
      <w:r>
        <w:t xml:space="preserve">), Dieu exigeait qu'il soit purifié de son péché (v. </w:t>
      </w:r>
      <w:hyperlink r:id="rId10794">
        <w:r>
          <w:rPr>
            <w:color w:val="0000EE"/>
            <w:u w:val="single"/>
          </w:rPr>
          <w:t>9, 17</w:t>
        </w:r>
      </w:hyperlink>
      <w:r>
        <w:t>) par l'aspersion d'une eau spécialement préparée sur lui.</w:t>
      </w:r>
    </w:p>
    <w:p>
      <w:pPr>
        <w:pStyle w:val="Heading4"/>
      </w:pPr>
      <w:r>
        <w:t xml:space="preserve">Chapitre </w:t>
      </w:r>
      <w:hyperlink r:id="rId10795">
        <w:r>
          <w:rPr>
            <w:color w:val="0000EE"/>
            <w:u w:val="single"/>
          </w:rPr>
          <w:t>20</w:t>
        </w:r>
      </w:hyperlink>
    </w:p>
    <w:p>
      <w:r/>
      <w:r>
        <w:t xml:space="preserve">Israël se trouvant de nouveau à Kadès, à la frontière sud du désert de Tsin, au premier mois de la quarantième année d'errance, Miriam meurt et sera enterrée (v. </w:t>
      </w:r>
      <w:hyperlink r:id="rId8042">
        <w:r>
          <w:rPr>
            <w:color w:val="0000EE"/>
            <w:u w:val="single"/>
          </w:rPr>
          <w:t>1</w:t>
        </w:r>
      </w:hyperlink>
      <w:r>
        <w:t xml:space="preserve">). Selon la liste des campements au chapitre </w:t>
      </w:r>
      <w:hyperlink r:id="rId10796">
        <w:r>
          <w:rPr>
            <w:color w:val="0000EE"/>
            <w:u w:val="single"/>
          </w:rPr>
          <w:t>33</w:t>
        </w:r>
      </w:hyperlink>
      <w:r>
        <w:t xml:space="preserve">, il y a pu y avoir dix-huit campements pour Israël depuis que la nation avait été pour la dernière fois à cet endroit (voir </w:t>
      </w:r>
      <w:hyperlink r:id="rId10797">
        <w:r>
          <w:rPr>
            <w:color w:val="0000EE"/>
            <w:u w:val="single"/>
          </w:rPr>
          <w:t>33.18–36</w:t>
        </w:r>
      </w:hyperlink>
      <w:r>
        <w:t>).</w:t>
      </w:r>
    </w:p>
    <w:p>
      <w:r/>
      <w:r>
        <w:t>La nation se plaignit alors de nouveau à cause du manque d'eau (</w:t>
      </w:r>
      <w:hyperlink r:id="rId10798">
        <w:r>
          <w:rPr>
            <w:color w:val="0000EE"/>
            <w:u w:val="single"/>
          </w:rPr>
          <w:t>20.2</w:t>
        </w:r>
      </w:hyperlink>
      <w:r>
        <w:t xml:space="preserve">). Moïse, sur l'instruction de Dieu, fait jaillir de l'eau d'un rocher (v. </w:t>
      </w:r>
      <w:hyperlink r:id="rId10799">
        <w:r>
          <w:rPr>
            <w:color w:val="0000EE"/>
            <w:u w:val="single"/>
          </w:rPr>
          <w:t>8–11</w:t>
        </w:r>
      </w:hyperlink>
      <w:r>
        <w:t xml:space="preserve">), mais en raison d'une grave infraction de Moïse et d'Aaron à cette occasion, Dieu annonce qu'ils ne seront pas autorisés à mener Israël dans la conquête du pays (v. </w:t>
      </w:r>
      <w:hyperlink r:id="rId10800">
        <w:r>
          <w:rPr>
            <w:color w:val="0000EE"/>
            <w:u w:val="single"/>
          </w:rPr>
          <w:t>12, 23–24</w:t>
        </w:r>
      </w:hyperlink>
      <w:r>
        <w:t>).</w:t>
      </w:r>
    </w:p>
    <w:p>
      <w:r/>
      <w:r>
        <w:t xml:space="preserve">Le chapitre se termine avec Édom qui refuse à Israël le passage à travers son territoire (v. </w:t>
      </w:r>
      <w:hyperlink r:id="rId707">
        <w:r>
          <w:rPr>
            <w:color w:val="0000EE"/>
            <w:u w:val="single"/>
          </w:rPr>
          <w:t>14–21</w:t>
        </w:r>
      </w:hyperlink>
      <w:r>
        <w:t xml:space="preserve">) et Aaron qui meurt sur le mont Hor à la frontière d'Édom (v. </w:t>
      </w:r>
      <w:hyperlink r:id="rId10801">
        <w:r>
          <w:rPr>
            <w:color w:val="0000EE"/>
            <w:u w:val="single"/>
          </w:rPr>
          <w:t>22–29</w:t>
        </w:r>
      </w:hyperlink>
      <w:r>
        <w:t>) au cinquième mois de la quarantième année (</w:t>
      </w:r>
      <w:hyperlink r:id="rId10802">
        <w:r>
          <w:rPr>
            <w:color w:val="0000EE"/>
            <w:u w:val="single"/>
          </w:rPr>
          <w:t>33.38</w:t>
        </w:r>
      </w:hyperlink>
      <w:r>
        <w:t>). Éléazar, le fils d'Aaron, endosse alors la fonction de grand prêtre.</w:t>
      </w:r>
    </w:p>
    <w:p>
      <w:pPr>
        <w:pStyle w:val="Heading4"/>
      </w:pPr>
      <w:r>
        <w:t xml:space="preserve">Chapitre </w:t>
      </w:r>
      <w:hyperlink r:id="rId10803">
        <w:r>
          <w:rPr>
            <w:color w:val="0000EE"/>
            <w:u w:val="single"/>
          </w:rPr>
          <w:t>21</w:t>
        </w:r>
      </w:hyperlink>
    </w:p>
    <w:p>
      <w:r/>
      <w:r>
        <w:t xml:space="preserve">Après une rapide victoire sur Arad (v. </w:t>
      </w:r>
      <w:hyperlink r:id="rId10243">
        <w:r>
          <w:rPr>
            <w:color w:val="0000EE"/>
            <w:u w:val="single"/>
          </w:rPr>
          <w:t>1–3</w:t>
        </w:r>
      </w:hyperlink>
      <w:r>
        <w:t xml:space="preserve">), Israël se dirige vers le sud pour contourner Édom. Devenant impatients envers Dieu et Moïse, les Israélites expriment leur dégoût pour la manne que Dieu leur fournissait. Le Seigneur envoie alors des serpents venimeux dans le camp, causant la mort d'un grand nombre d'entre eux. Sur l'ordre de Dieu, Moïse façonne un serpent en bronze et le place au sommet d'un étendard. Tous ceux qui regardaient le serpent en bronze survivent (v. </w:t>
      </w:r>
      <w:hyperlink r:id="rId10804">
        <w:r>
          <w:rPr>
            <w:color w:val="0000EE"/>
            <w:u w:val="single"/>
          </w:rPr>
          <w:t>4–10</w:t>
        </w:r>
      </w:hyperlink>
      <w:r>
        <w:t>). Le serpent de bronze sera conservé et plus tard détruit par Ézéchias, car le symbole était devenu une idole à son époque (</w:t>
      </w:r>
      <w:hyperlink r:id="rId6632">
        <w:r>
          <w:rPr>
            <w:color w:val="0000EE"/>
            <w:u w:val="single"/>
          </w:rPr>
          <w:t>2R 18.4</w:t>
        </w:r>
      </w:hyperlink>
      <w:r>
        <w:t>). Plus tard encore, Jésus fera une analogie entre ces pécheurs méchants qui regardaient le serpent en bronze et qui étaient délivrés, et les hommes qui le regardaient par la foi et étaient sauvés (</w:t>
      </w:r>
      <w:hyperlink r:id="rId10805">
        <w:r>
          <w:rPr>
            <w:color w:val="0000EE"/>
            <w:u w:val="single"/>
          </w:rPr>
          <w:t>Jn 3.14–15</w:t>
        </w:r>
      </w:hyperlink>
      <w:r>
        <w:t>).</w:t>
      </w:r>
    </w:p>
    <w:p>
      <w:r/>
      <w:r>
        <w:t>En quittant ce lieu fatidique, Israël voyagera dans et à travers la plaine, traversera le Wadi Zered en se dirigeant vers l'est autour de Moab, traversant finalement l'Arnon pour entrer en territoire amoréen. En voyageant vers le nord, ils camperont à Pisga (</w:t>
      </w:r>
      <w:hyperlink r:id="rId10806">
        <w:r>
          <w:rPr>
            <w:color w:val="0000EE"/>
            <w:u w:val="single"/>
          </w:rPr>
          <w:t>Nb 21.10–20</w:t>
        </w:r>
      </w:hyperlink>
      <w:r>
        <w:t>).</w:t>
      </w:r>
    </w:p>
    <w:p>
      <w:r/>
      <w:r>
        <w:t xml:space="preserve">C'est à ce stade que commence la conquête de la Transjordanie. Israël vaincra rapidement Sihon de Hesbon (v. </w:t>
      </w:r>
      <w:hyperlink r:id="rId10807">
        <w:r>
          <w:rPr>
            <w:color w:val="0000EE"/>
            <w:u w:val="single"/>
          </w:rPr>
          <w:t>21–31</w:t>
        </w:r>
      </w:hyperlink>
      <w:r>
        <w:t xml:space="preserve">) et Og de Basan (v. </w:t>
      </w:r>
      <w:hyperlink r:id="rId1708">
        <w:r>
          <w:rPr>
            <w:color w:val="0000EE"/>
            <w:u w:val="single"/>
          </w:rPr>
          <w:t>33–35</w:t>
        </w:r>
      </w:hyperlink>
      <w:r>
        <w:t>) et s'installera dans les plaines de Moab (</w:t>
      </w:r>
      <w:hyperlink r:id="rId7151">
        <w:r>
          <w:rPr>
            <w:color w:val="0000EE"/>
            <w:u w:val="single"/>
          </w:rPr>
          <w:t>22.1</w:t>
        </w:r>
      </w:hyperlink>
      <w:r>
        <w:t xml:space="preserve">). Ce campement sera le théâtre des activités restantes de Nombres, du Deutéronome et de </w:t>
      </w:r>
      <w:hyperlink r:id="rId10808">
        <w:r>
          <w:rPr>
            <w:color w:val="0000EE"/>
            <w:u w:val="single"/>
          </w:rPr>
          <w:t>Josué 1–3</w:t>
        </w:r>
      </w:hyperlink>
      <w:r>
        <w:t>. On peut dire que c'est à ce moment que les errances dans le désert étaient terminées.</w:t>
      </w:r>
    </w:p>
    <w:p>
      <w:r/>
      <w:r>
        <w:t xml:space="preserve">Il convient donc, ici, de résumer la condition spirituelle d'Israël à la veille de la conquête de Canaan. Nombres met en évidence le fait que toute la génération qui a quitté l'Égypte, à l'exception de Josué et Caleb, devait mourir dans le désert à cause de son apostasie (voir </w:t>
      </w:r>
      <w:hyperlink r:id="rId10809">
        <w:r>
          <w:rPr>
            <w:color w:val="0000EE"/>
            <w:u w:val="single"/>
          </w:rPr>
          <w:t>Am 5.25</w:t>
        </w:r>
      </w:hyperlink>
      <w:r>
        <w:t>), de son incrédulité et de son échec général dans le fait de garder son alliance avec Dieu. Aucun des enfants mâles nés dans le désert n'avait été circoncis (</w:t>
      </w:r>
      <w:hyperlink r:id="rId3873">
        <w:r>
          <w:rPr>
            <w:color w:val="0000EE"/>
            <w:u w:val="single"/>
          </w:rPr>
          <w:t>Jos 5.2–9</w:t>
        </w:r>
      </w:hyperlink>
      <w:r>
        <w:t xml:space="preserve">). </w:t>
      </w:r>
      <w:hyperlink r:id="rId2146">
        <w:r>
          <w:rPr>
            <w:color w:val="0000EE"/>
            <w:u w:val="single"/>
          </w:rPr>
          <w:t>Psaume 90</w:t>
        </w:r>
      </w:hyperlink>
      <w:r>
        <w:t xml:space="preserve"> souligne qu'Israël était le récipiendaire de la colère de Dieu dans le désert. C'est dans cette condition spirituelle pitoyable qu'Israël arrive sur les plaines de Moab.</w:t>
      </w:r>
    </w:p>
    <w:p>
      <w:pPr>
        <w:pStyle w:val="Heading4"/>
      </w:pPr>
      <w:r>
        <w:t xml:space="preserve">Chapitres </w:t>
      </w:r>
      <w:hyperlink r:id="rId711">
        <w:r>
          <w:rPr>
            <w:color w:val="0000EE"/>
            <w:u w:val="single"/>
          </w:rPr>
          <w:t>22–24</w:t>
        </w:r>
      </w:hyperlink>
    </w:p>
    <w:p>
      <w:r/>
      <w:r>
        <w:t>Balak, roi de Moab, effrayé par la présence d'Israël, s'est allié avec Madian pour engager Balaam, le faux prophète, afin de maudire Israël. Par appât du gain, Balaam acceptera (</w:t>
      </w:r>
      <w:hyperlink r:id="rId1795">
        <w:r>
          <w:rPr>
            <w:color w:val="0000EE"/>
            <w:u w:val="single"/>
          </w:rPr>
          <w:t>2P 2.15</w:t>
        </w:r>
      </w:hyperlink>
      <w:r>
        <w:t xml:space="preserve"> ; </w:t>
      </w:r>
      <w:hyperlink r:id="rId2105">
        <w:r>
          <w:rPr>
            <w:color w:val="0000EE"/>
            <w:u w:val="single"/>
          </w:rPr>
          <w:t>Jd 1.11</w:t>
        </w:r>
      </w:hyperlink>
      <w:r>
        <w:t>), mais Dieu l'en empêchera, le faisant plutôt bénir Israël dans ses quatre oracles (</w:t>
      </w:r>
      <w:hyperlink r:id="rId10810">
        <w:r>
          <w:rPr>
            <w:color w:val="0000EE"/>
            <w:u w:val="single"/>
          </w:rPr>
          <w:t>Nb 23.7–10, 18–24</w:t>
        </w:r>
      </w:hyperlink>
      <w:r>
        <w:t xml:space="preserve"> ; </w:t>
      </w:r>
      <w:hyperlink r:id="rId10811">
        <w:r>
          <w:rPr>
            <w:color w:val="0000EE"/>
            <w:u w:val="single"/>
          </w:rPr>
          <w:t>24.3–9, 15–19</w:t>
        </w:r>
      </w:hyperlink>
      <w:r>
        <w:t>) et prédire la destruction de Moab, Édom, Amalek (</w:t>
      </w:r>
      <w:hyperlink r:id="rId602">
        <w:r>
          <w:rPr>
            <w:color w:val="0000EE"/>
            <w:u w:val="single"/>
          </w:rPr>
          <w:t>24.20</w:t>
        </w:r>
      </w:hyperlink>
      <w:r>
        <w:t>), les Kéniens (</w:t>
      </w:r>
      <w:hyperlink r:id="rId10812">
        <w:r>
          <w:rPr>
            <w:color w:val="0000EE"/>
            <w:u w:val="single"/>
          </w:rPr>
          <w:t>24.21</w:t>
        </w:r>
      </w:hyperlink>
      <w:r>
        <w:t>) et Assur (</w:t>
      </w:r>
      <w:hyperlink r:id="rId2646">
        <w:r>
          <w:rPr>
            <w:color w:val="0000EE"/>
            <w:u w:val="single"/>
          </w:rPr>
          <w:t>24.24</w:t>
        </w:r>
      </w:hyperlink>
      <w:r>
        <w:t>). Après cela, Balak et Balaam se sépareront. Balaam, en collusion avec Madian, acceptera de conseiller à Israël de commettre l'idolâtrie et l'immoralité (</w:t>
      </w:r>
      <w:hyperlink r:id="rId10245">
        <w:r>
          <w:rPr>
            <w:color w:val="0000EE"/>
            <w:u w:val="single"/>
          </w:rPr>
          <w:t>31.16</w:t>
        </w:r>
      </w:hyperlink>
      <w:r>
        <w:t xml:space="preserve">). Ainsi, là où Balak échoue à tourner le Seigneur contre Israël, Balaam, lui, réussit (chap. </w:t>
      </w:r>
      <w:hyperlink r:id="rId1593">
        <w:r>
          <w:rPr>
            <w:color w:val="0000EE"/>
            <w:u w:val="single"/>
          </w:rPr>
          <w:t>25</w:t>
        </w:r>
      </w:hyperlink>
      <w:r>
        <w:t>).</w:t>
      </w:r>
    </w:p>
    <w:p>
      <w:pPr>
        <w:pStyle w:val="Heading4"/>
      </w:pPr>
      <w:r>
        <w:t xml:space="preserve">Chapitre </w:t>
      </w:r>
      <w:hyperlink r:id="rId1593">
        <w:r>
          <w:rPr>
            <w:color w:val="0000EE"/>
            <w:u w:val="single"/>
          </w:rPr>
          <w:t>25</w:t>
        </w:r>
      </w:hyperlink>
    </w:p>
    <w:p>
      <w:r/>
      <w:r>
        <w:t xml:space="preserve">Israël pèche contre Dieu par des actes idolâtres et immoraux avec le peuple de Moab (v. </w:t>
      </w:r>
      <w:hyperlink r:id="rId10244">
        <w:r>
          <w:rPr>
            <w:color w:val="0000EE"/>
            <w:u w:val="single"/>
          </w:rPr>
          <w:t>1–3</w:t>
        </w:r>
      </w:hyperlink>
      <w:r>
        <w:t xml:space="preserve">). En exécutant le commandement de Dieu de détruire les Israélites réprouvés, Phinées tue Zimri et Cozbi, cette dernière étant une fille de l'un des cinq rois de Madian (v. </w:t>
      </w:r>
      <w:hyperlink r:id="rId10813">
        <w:r>
          <w:rPr>
            <w:color w:val="0000EE"/>
            <w:u w:val="single"/>
          </w:rPr>
          <w:t>4–14</w:t>
        </w:r>
      </w:hyperlink>
      <w:r>
        <w:t xml:space="preserve">). Cet événement donne à Dieu l'occasion de déclarer une guerre sainte contre Madian (v. </w:t>
      </w:r>
      <w:hyperlink r:id="rId10716">
        <w:r>
          <w:rPr>
            <w:color w:val="0000EE"/>
            <w:u w:val="single"/>
          </w:rPr>
          <w:t>16–18</w:t>
        </w:r>
      </w:hyperlink>
      <w:r>
        <w:t xml:space="preserve"> ; voir chap. </w:t>
      </w:r>
      <w:hyperlink r:id="rId10717">
        <w:r>
          <w:rPr>
            <w:color w:val="0000EE"/>
            <w:u w:val="single"/>
          </w:rPr>
          <w:t>31</w:t>
        </w:r>
      </w:hyperlink>
      <w:r>
        <w:t>).</w:t>
      </w:r>
    </w:p>
    <w:p>
      <w:pPr>
        <w:pStyle w:val="Heading4"/>
      </w:pPr>
      <w:r>
        <w:t xml:space="preserve">Chapitre </w:t>
      </w:r>
      <w:hyperlink r:id="rId3711">
        <w:r>
          <w:rPr>
            <w:color w:val="0000EE"/>
            <w:u w:val="single"/>
          </w:rPr>
          <w:t>26</w:t>
        </w:r>
      </w:hyperlink>
    </w:p>
    <w:p>
      <w:r/>
      <w:r>
        <w:t>Le Seigneur ordonne à Moïse de faire le recensement des hommes de la deuxième génération capables de combattre contre les ennemis d'Israël. Le nombre total s'élève à 601 730 (</w:t>
      </w:r>
      <w:hyperlink r:id="rId3712">
        <w:r>
          <w:rPr>
            <w:color w:val="0000EE"/>
            <w:u w:val="single"/>
          </w:rPr>
          <w:t>Nb 26.51</w:t>
        </w:r>
      </w:hyperlink>
      <w:r>
        <w:t xml:space="preserve">), soit une réduction de 1 820 hommes par rapport au premier dénombrement. Avec une force plus petite que la première génération, Israël conquiert Canaan, indiquant clairement qu'Israël aurait pu s'épargner des années d'errance si seulement la nation avait obéi à Dieu trente-huit ans avant Kadès. Les Lévites totalisaient 23 000 mâles âgés d'un mois et plus (v. </w:t>
      </w:r>
      <w:hyperlink r:id="rId10814">
        <w:r>
          <w:rPr>
            <w:color w:val="0000EE"/>
            <w:u w:val="single"/>
          </w:rPr>
          <w:t>57–62</w:t>
        </w:r>
      </w:hyperlink>
      <w:r>
        <w:t>).</w:t>
      </w:r>
    </w:p>
    <w:p>
      <w:pPr>
        <w:pStyle w:val="Heading4"/>
      </w:pPr>
      <w:r>
        <w:t xml:space="preserve">Chapitre </w:t>
      </w:r>
      <w:hyperlink r:id="rId10757">
        <w:r>
          <w:rPr>
            <w:color w:val="0000EE"/>
            <w:u w:val="single"/>
          </w:rPr>
          <w:t>27</w:t>
        </w:r>
      </w:hyperlink>
    </w:p>
    <w:p>
      <w:r/>
      <w:r>
        <w:t xml:space="preserve">À la demande des filles de Tselophchad (voir </w:t>
      </w:r>
      <w:hyperlink r:id="rId10040">
        <w:r>
          <w:rPr>
            <w:color w:val="0000EE"/>
            <w:u w:val="single"/>
          </w:rPr>
          <w:t>26.33</w:t>
        </w:r>
      </w:hyperlink>
      <w:r>
        <w:t xml:space="preserve">), pour obtenir le droit d'hériter des biens de leur père puisqu'il n'avait pas de fils, le Seigneur accepte leur demande, profitant de l'occasion pour donner d'autres lois sur l'héritage (v. </w:t>
      </w:r>
      <w:hyperlink r:id="rId5950">
        <w:r>
          <w:rPr>
            <w:color w:val="0000EE"/>
            <w:u w:val="single"/>
          </w:rPr>
          <w:t>1–11</w:t>
        </w:r>
      </w:hyperlink>
      <w:r>
        <w:t>).</w:t>
      </w:r>
    </w:p>
    <w:p>
      <w:r/>
      <w:r>
        <w:t>Recevant le rappel qu'il mourrait bientôt à Abarim, Moïse demande à Dieu de nommer son successeur. Dieu choisit Josué, et Moïse le charge de cette mission (</w:t>
      </w:r>
      <w:hyperlink r:id="rId9436">
        <w:r>
          <w:rPr>
            <w:color w:val="0000EE"/>
            <w:u w:val="single"/>
          </w:rPr>
          <w:t>Nb 27.12–23</w:t>
        </w:r>
      </w:hyperlink>
      <w:r>
        <w:t>).</w:t>
      </w:r>
    </w:p>
    <w:p>
      <w:pPr>
        <w:pStyle w:val="Heading4"/>
      </w:pPr>
      <w:r>
        <w:t xml:space="preserve">Chapitres </w:t>
      </w:r>
      <w:hyperlink r:id="rId10248">
        <w:r>
          <w:rPr>
            <w:color w:val="0000EE"/>
            <w:u w:val="single"/>
          </w:rPr>
          <w:t>28–30</w:t>
        </w:r>
      </w:hyperlink>
    </w:p>
    <w:p>
      <w:r/>
      <w:r>
        <w:t>Des lois sacerdotales supplémentaires concernant les offrandes pour diverses occasions sont données. Dieu instruit également Moïse d'informer le peuple concernant les vœux. Lorsqu'un homme faisait un vœu, il était inviolable (</w:t>
      </w:r>
      <w:hyperlink r:id="rId10815">
        <w:r>
          <w:rPr>
            <w:color w:val="0000EE"/>
            <w:u w:val="single"/>
          </w:rPr>
          <w:t>30.2</w:t>
        </w:r>
      </w:hyperlink>
      <w:r>
        <w:t xml:space="preserve">), mais si une femme faisait un vœu, l'homme responsable d'elle (son père ou son mari) pouvait l'annuler s'il estimait qu'il était irréfléchi (v. </w:t>
      </w:r>
      <w:hyperlink r:id="rId5543">
        <w:r>
          <w:rPr>
            <w:color w:val="0000EE"/>
            <w:u w:val="single"/>
          </w:rPr>
          <w:t>1–16</w:t>
        </w:r>
      </w:hyperlink>
      <w:r>
        <w:t>).</w:t>
      </w:r>
    </w:p>
    <w:p>
      <w:pPr>
        <w:pStyle w:val="Heading4"/>
      </w:pPr>
      <w:r>
        <w:t xml:space="preserve">Chapitre </w:t>
      </w:r>
      <w:hyperlink r:id="rId10717">
        <w:r>
          <w:rPr>
            <w:color w:val="0000EE"/>
            <w:u w:val="single"/>
          </w:rPr>
          <w:t>31</w:t>
        </w:r>
      </w:hyperlink>
    </w:p>
    <w:p>
      <w:r/>
      <w:r>
        <w:t xml:space="preserve">Le récit de la guerre sainte déclarée contre Madian dans </w:t>
      </w:r>
      <w:hyperlink r:id="rId10716">
        <w:r>
          <w:rPr>
            <w:color w:val="0000EE"/>
            <w:u w:val="single"/>
          </w:rPr>
          <w:t>25.16–18</w:t>
        </w:r>
      </w:hyperlink>
      <w:r>
        <w:t xml:space="preserve"> est donné dans ce chapitre. Phinées accompagne 12 000 guerriers et Israël triomphe de Madian, tuant Balaam ainsi que les cinq rois et de nombreux hommes adultes de Madian (</w:t>
      </w:r>
      <w:hyperlink r:id="rId10816">
        <w:r>
          <w:rPr>
            <w:color w:val="0000EE"/>
            <w:u w:val="single"/>
          </w:rPr>
          <w:t>31.1–8</w:t>
        </w:r>
      </w:hyperlink>
      <w:r>
        <w:t xml:space="preserve">). Les femmes et les enfants madianites sont faits captifs, mais Moïse ordonne que tous les enfants mâles et les femmes non vierges soient tués (v. </w:t>
      </w:r>
      <w:hyperlink r:id="rId10817">
        <w:r>
          <w:rPr>
            <w:color w:val="0000EE"/>
            <w:u w:val="single"/>
          </w:rPr>
          <w:t>9–18</w:t>
        </w:r>
      </w:hyperlink>
      <w:r>
        <w:t>). On ne doit pas conclure que cette guerre signifiait la fin de Madian en tant que tel, car Madian s'est avéré plus tard un adversaire redoutable d'Israël à l'époque des juges (</w:t>
      </w:r>
      <w:hyperlink r:id="rId10818">
        <w:r>
          <w:rPr>
            <w:color w:val="0000EE"/>
            <w:u w:val="single"/>
          </w:rPr>
          <w:t>Jg 6</w:t>
        </w:r>
      </w:hyperlink>
      <w:r>
        <w:t>).</w:t>
      </w:r>
    </w:p>
    <w:p>
      <w:r/>
      <w:r>
        <w:t>Après la bataille, les guerriers reçoivent l'instruction de se purifier eux-mêmes, leurs vêtements et le butin de la guerre avant d'entrer dans le camp (</w:t>
      </w:r>
      <w:hyperlink r:id="rId10819">
        <w:r>
          <w:rPr>
            <w:color w:val="0000EE"/>
            <w:u w:val="single"/>
          </w:rPr>
          <w:t>Nb 31.19–24</w:t>
        </w:r>
      </w:hyperlink>
      <w:r>
        <w:t xml:space="preserve">). De plus, ils devront diviser le butin en deux et contribuer à hauteur d'un cinquième d'un pour cent de leur moitié au grand prêtre (« </w:t>
      </w:r>
      <w:r>
        <w:t>un tribut pour l’Éternel</w:t>
      </w:r>
      <w:r>
        <w:t xml:space="preserve"> »). L'autre moitié était partagée parmi les personnes restées au camp, après que les Lévites reçoivent une contribution de deux pour cent (v. </w:t>
      </w:r>
      <w:hyperlink r:id="rId10820">
        <w:r>
          <w:rPr>
            <w:color w:val="0000EE"/>
            <w:u w:val="single"/>
          </w:rPr>
          <w:t>25–31</w:t>
        </w:r>
      </w:hyperlink>
      <w:r>
        <w:t>).</w:t>
      </w:r>
    </w:p>
    <w:p>
      <w:r/>
      <w:r>
        <w:t xml:space="preserve">Les versets </w:t>
      </w:r>
      <w:hyperlink r:id="rId10821">
        <w:r>
          <w:rPr>
            <w:color w:val="0000EE"/>
            <w:u w:val="single"/>
          </w:rPr>
          <w:t>32–47</w:t>
        </w:r>
      </w:hyperlink>
      <w:r>
        <w:t xml:space="preserve"> présentent le décompte du butin après sa division en deux parts, ainsi que la quantité donnée de chaque part à Éléazar et aux Lévites. Certains estiment que le décompte est trop élevé pour être authentique, mais il n'existe aucune preuve remettant en cause les chiffres enregistrés.</w:t>
      </w:r>
    </w:p>
    <w:p>
      <w:r/>
      <w:r>
        <w:t xml:space="preserve">En action de grâce à Dieu du fait qu'aucun Israélite n'avait été tué dans la guerre (v. </w:t>
      </w:r>
      <w:hyperlink r:id="rId10822">
        <w:r>
          <w:rPr>
            <w:color w:val="0000EE"/>
            <w:u w:val="single"/>
          </w:rPr>
          <w:t>49</w:t>
        </w:r>
      </w:hyperlink>
      <w:r>
        <w:t xml:space="preserve">) et pour faire l'expiation pour eux-mêmes (v. </w:t>
      </w:r>
      <w:hyperlink r:id="rId1288">
        <w:r>
          <w:rPr>
            <w:color w:val="0000EE"/>
            <w:u w:val="single"/>
          </w:rPr>
          <w:t>50</w:t>
        </w:r>
      </w:hyperlink>
      <w:r>
        <w:t xml:space="preserve">), les officiers de l'armée ont apporté une offrande spéciale de bijoux en or à Moïse et Éléazar, qui a été placée dans le tabernacle comme mémorial (v. </w:t>
      </w:r>
      <w:hyperlink r:id="rId10823">
        <w:r>
          <w:rPr>
            <w:color w:val="0000EE"/>
            <w:u w:val="single"/>
          </w:rPr>
          <w:t>48–54</w:t>
        </w:r>
      </w:hyperlink>
      <w:r>
        <w:t>).</w:t>
      </w:r>
    </w:p>
    <w:p>
      <w:pPr>
        <w:pStyle w:val="Heading4"/>
      </w:pPr>
      <w:r>
        <w:t xml:space="preserve">Chapitre </w:t>
      </w:r>
      <w:hyperlink r:id="rId714">
        <w:r>
          <w:rPr>
            <w:color w:val="0000EE"/>
            <w:u w:val="single"/>
          </w:rPr>
          <w:t>32</w:t>
        </w:r>
      </w:hyperlink>
    </w:p>
    <w:p>
      <w:r/>
      <w:r>
        <w:t>À leur demande et à condition qu'ils aident les autres tribus dans la conquête de Canaan, Ruben, Gad et la demi-tribu de Manassé reçoivent la région de la Transjordanie. Moïse supplie ardemment le Seigneur de changer d'avis concernant son interdiction d'entrer dans le pays promis (</w:t>
      </w:r>
      <w:hyperlink r:id="rId10824">
        <w:r>
          <w:rPr>
            <w:color w:val="0000EE"/>
            <w:u w:val="single"/>
          </w:rPr>
          <w:t>Dt 3.23–27</w:t>
        </w:r>
      </w:hyperlink>
      <w:r>
        <w:t>). Mais Dieu ne le lui permet pas.</w:t>
      </w:r>
    </w:p>
    <w:p>
      <w:pPr>
        <w:pStyle w:val="Heading4"/>
      </w:pPr>
      <w:r>
        <w:t xml:space="preserve">Chapitres </w:t>
      </w:r>
      <w:hyperlink r:id="rId10825">
        <w:r>
          <w:rPr>
            <w:color w:val="0000EE"/>
            <w:u w:val="single"/>
          </w:rPr>
          <w:t>33–34</w:t>
        </w:r>
      </w:hyperlink>
    </w:p>
    <w:p>
      <w:r/>
      <w:r>
        <w:t>Sur l'ordre de Dieu, Moïse tient un registre écrit de l'itinéraire d'Israël, de l'Égypte aux plaines de Moab. Il s'agit là d'une des preuves bibliques de la paternité mosaïque du livre des Nombres.</w:t>
      </w:r>
    </w:p>
    <w:p>
      <w:r/>
      <w:r>
        <w:t>Les frontières de la Terre Promise se trouvant définies, la frontière sud s'étendra de la pointe sud de la mer Morte, au sud de Kadès-Barnéa jusqu'au fleuve d'Égypte (Wadi el-Arish), et jusqu'à la mer Méditerranée (</w:t>
      </w:r>
      <w:hyperlink r:id="rId10826">
        <w:r>
          <w:rPr>
            <w:color w:val="0000EE"/>
            <w:u w:val="single"/>
          </w:rPr>
          <w:t>34.3–5</w:t>
        </w:r>
      </w:hyperlink>
      <w:r>
        <w:t xml:space="preserve">). La frontière ouest sera le littoral de la mer Méditerranée elle-même (v. </w:t>
      </w:r>
      <w:hyperlink r:id="rId10827">
        <w:r>
          <w:rPr>
            <w:color w:val="0000EE"/>
            <w:u w:val="single"/>
          </w:rPr>
          <w:t>6</w:t>
        </w:r>
      </w:hyperlink>
      <w:r>
        <w:t>). La frontière nord, réalisée seulement à l'époque de David et Salomon (</w:t>
      </w:r>
      <w:hyperlink r:id="rId10828">
        <w:r>
          <w:rPr>
            <w:color w:val="0000EE"/>
            <w:u w:val="single"/>
          </w:rPr>
          <w:t>2S 8.3–12</w:t>
        </w:r>
      </w:hyperlink>
      <w:r>
        <w:t xml:space="preserve"> ; </w:t>
      </w:r>
      <w:hyperlink r:id="rId5556">
        <w:r>
          <w:rPr>
            <w:color w:val="0000EE"/>
            <w:u w:val="single"/>
          </w:rPr>
          <w:t>1R 8.65</w:t>
        </w:r>
      </w:hyperlink>
      <w:r>
        <w:t>), devra s'étendre de la mer Méditerranée vers l'orient jusqu'à Hamath, à la tête du fleuve Oronte (</w:t>
      </w:r>
      <w:hyperlink r:id="rId10829">
        <w:r>
          <w:rPr>
            <w:color w:val="0000EE"/>
            <w:u w:val="single"/>
          </w:rPr>
          <w:t>Nb 34.7–9</w:t>
        </w:r>
      </w:hyperlink>
      <w:r>
        <w:t xml:space="preserve">). La frontière est devra se trouver pratiquement sur une ligne verticale, avec la vallée du Jourdain s'étendant vers le nord jusqu'à la frontière nord (v. </w:t>
      </w:r>
      <w:hyperlink r:id="rId10830">
        <w:r>
          <w:rPr>
            <w:color w:val="0000EE"/>
            <w:u w:val="single"/>
          </w:rPr>
          <w:t>10–12</w:t>
        </w:r>
      </w:hyperlink>
      <w:r>
        <w:t xml:space="preserve">). Les neuf tribus et demie devront se partager cette région entre elles (v. </w:t>
      </w:r>
      <w:hyperlink r:id="rId10831">
        <w:r>
          <w:rPr>
            <w:color w:val="0000EE"/>
            <w:u w:val="single"/>
          </w:rPr>
          <w:t>13–15</w:t>
        </w:r>
      </w:hyperlink>
      <w:r>
        <w:t>).</w:t>
      </w:r>
    </w:p>
    <w:p>
      <w:r/>
      <w:r>
        <w:t xml:space="preserve">Le Seigneur choisit ensuite les hommes qui devront assumer la responsabilité de diviser la terre de Canaan parmi les tribus occidentales après la conquête (v. </w:t>
      </w:r>
      <w:hyperlink r:id="rId10832">
        <w:r>
          <w:rPr>
            <w:color w:val="0000EE"/>
            <w:u w:val="single"/>
          </w:rPr>
          <w:t>16–29</w:t>
        </w:r>
      </w:hyperlink>
      <w:r>
        <w:t>).</w:t>
      </w:r>
    </w:p>
    <w:p>
      <w:pPr>
        <w:pStyle w:val="Heading4"/>
      </w:pPr>
      <w:r>
        <w:t xml:space="preserve">Chapitre </w:t>
      </w:r>
      <w:hyperlink r:id="rId10250">
        <w:r>
          <w:rPr>
            <w:color w:val="0000EE"/>
            <w:u w:val="single"/>
          </w:rPr>
          <w:t>35</w:t>
        </w:r>
      </w:hyperlink>
    </w:p>
    <w:p>
      <w:r/>
      <w:r>
        <w:t xml:space="preserve">Dieu ordonne à Israël de donner quarante-huit villes à travers le pays des deux côtés du Jourdain aux Lévites comme possession permanente (v. </w:t>
      </w:r>
      <w:hyperlink r:id="rId7583">
        <w:r>
          <w:rPr>
            <w:color w:val="0000EE"/>
            <w:u w:val="single"/>
          </w:rPr>
          <w:t>1–8</w:t>
        </w:r>
      </w:hyperlink>
      <w:r>
        <w:t xml:space="preserve">), puisque cette tribu n'était pas incluse dans les attributions de terres aux autres tribus. Le nombre de villes que chaque tribu devait donner devait être déterminé par sa taille (v. </w:t>
      </w:r>
      <w:hyperlink r:id="rId10833">
        <w:r>
          <w:rPr>
            <w:color w:val="0000EE"/>
            <w:u w:val="single"/>
          </w:rPr>
          <w:t>8</w:t>
        </w:r>
      </w:hyperlink>
      <w:r>
        <w:t xml:space="preserve">). Six des villes lévitiques, trois de chaque côté du Jourdain, devaient être désignées comme « villes de refuge » pour les meurtriers (v. </w:t>
      </w:r>
      <w:hyperlink r:id="rId10834">
        <w:r>
          <w:rPr>
            <w:color w:val="0000EE"/>
            <w:u w:val="single"/>
          </w:rPr>
          <w:t>6</w:t>
        </w:r>
      </w:hyperlink>
      <w:r>
        <w:t xml:space="preserve"> ; voir </w:t>
      </w:r>
      <w:hyperlink r:id="rId7627">
        <w:r>
          <w:rPr>
            <w:color w:val="0000EE"/>
            <w:u w:val="single"/>
          </w:rPr>
          <w:t>Jos 20</w:t>
        </w:r>
      </w:hyperlink>
      <w:r>
        <w:t>).</w:t>
      </w:r>
    </w:p>
    <w:p>
      <w:r/>
      <w:r>
        <w:t xml:space="preserve">La législation concernant l'homicide involontaire est abordée (v. </w:t>
      </w:r>
      <w:hyperlink r:id="rId7624">
        <w:r>
          <w:rPr>
            <w:color w:val="0000EE"/>
            <w:u w:val="single"/>
          </w:rPr>
          <w:t>9–34</w:t>
        </w:r>
      </w:hyperlink>
      <w:r>
        <w:t xml:space="preserve">). Si l'homicide est un meurtre, le vengeur du sang a le droit de remplir son rôle d'exécuteur (v. </w:t>
      </w:r>
      <w:hyperlink r:id="rId10835">
        <w:r>
          <w:rPr>
            <w:color w:val="0000EE"/>
            <w:u w:val="single"/>
          </w:rPr>
          <w:t>16–21</w:t>
        </w:r>
      </w:hyperlink>
      <w:r>
        <w:t xml:space="preserve">). Cependant, si le meurtre est involontaire, l'auteur doit fuir vers la ville de refuge la plus proche pour un procès. S'il est reconnu innocent de meurtre, il doit rester dans la ville de refuge jusqu'à la mort du grand prêtre. S'il quitte la ville avant cela, le vengeur du sang est autorisé à l'exécuter (v. </w:t>
      </w:r>
      <w:hyperlink r:id="rId10836">
        <w:r>
          <w:rPr>
            <w:color w:val="0000EE"/>
            <w:u w:val="single"/>
          </w:rPr>
          <w:t>22–34</w:t>
        </w:r>
      </w:hyperlink>
      <w:r>
        <w:t>).</w:t>
      </w:r>
    </w:p>
    <w:p>
      <w:pPr>
        <w:pStyle w:val="Heading4"/>
      </w:pPr>
      <w:r>
        <w:t xml:space="preserve">Chapitre </w:t>
      </w:r>
      <w:hyperlink r:id="rId10837">
        <w:r>
          <w:rPr>
            <w:color w:val="0000EE"/>
            <w:u w:val="single"/>
          </w:rPr>
          <w:t>36</w:t>
        </w:r>
      </w:hyperlink>
    </w:p>
    <w:p>
      <w:r/>
      <w:r>
        <w:t xml:space="preserve">En se basant sur la loi antérieure établie au chapitre </w:t>
      </w:r>
      <w:hyperlink r:id="rId10757">
        <w:r>
          <w:rPr>
            <w:color w:val="0000EE"/>
            <w:u w:val="single"/>
          </w:rPr>
          <w:t>27</w:t>
        </w:r>
      </w:hyperlink>
      <w:r>
        <w:t xml:space="preserve">, les chefs de Manassé demandent si une héritière devait être autorisée à se marier en dehors de sa tribu, ce qui entraînerait le transfert de propriété d'une tribu à une autre. Dieu ordonne qu'une héritière se marie au sein de sa tribu (v. </w:t>
      </w:r>
      <w:hyperlink r:id="rId5951">
        <w:r>
          <w:rPr>
            <w:color w:val="0000EE"/>
            <w:u w:val="single"/>
          </w:rPr>
          <w:t>1–12</w:t>
        </w:r>
      </w:hyperlink>
      <w:r>
        <w:t>).</w:t>
      </w:r>
    </w:p>
    <w:p>
      <w:r/>
      <w:r>
        <w:t>Le dernier verset du livre se réfère à toutes les lois données dans les plaines de Moab (</w:t>
      </w:r>
      <w:hyperlink r:id="rId10838">
        <w:r>
          <w:rPr>
            <w:color w:val="0000EE"/>
            <w:u w:val="single"/>
          </w:rPr>
          <w:t>26.1–36.12</w:t>
        </w:r>
      </w:hyperlink>
      <w:r>
        <w:t xml:space="preserve"> ; voir </w:t>
      </w:r>
      <w:hyperlink r:id="rId10839">
        <w:r>
          <w:rPr>
            <w:color w:val="0000EE"/>
            <w:u w:val="single"/>
          </w:rPr>
          <w:t>Lv 27.34</w:t>
        </w:r>
      </w:hyperlink>
      <w:r>
        <w:t>).</w:t>
      </w:r>
    </w:p>
    <w:p>
      <w:pPr>
        <w:pStyle w:val="Heading3"/>
      </w:pPr>
      <w:r>
        <w:t>Enseignement théologique</w:t>
      </w:r>
    </w:p>
    <w:p>
      <w:r/>
      <w:r>
        <w:t>Dans le livre des Nombres, Dieu est révélé comme le Dieu de l'alliance invariablement fidèle (</w:t>
      </w:r>
      <w:hyperlink r:id="rId10840">
        <w:r>
          <w:rPr>
            <w:color w:val="0000EE"/>
            <w:u w:val="single"/>
          </w:rPr>
          <w:t>Nb 23.19</w:t>
        </w:r>
      </w:hyperlink>
      <w:r>
        <w:t>). Cette fidélité à son alliance exigeait qu'il guide et prenne soin de son peuple et punisse leurs péchés contre lui. Mais aucun obstacle n'était si grand que le dessein de Dieu de conduire son peuple vers la terre promise ne soit contrecarré (</w:t>
      </w:r>
      <w:hyperlink r:id="rId10841">
        <w:r>
          <w:rPr>
            <w:color w:val="0000EE"/>
            <w:u w:val="single"/>
          </w:rPr>
          <w:t>11.23</w:t>
        </w:r>
      </w:hyperlink>
      <w:r>
        <w:t>).</w:t>
      </w:r>
    </w:p>
    <w:p>
      <w:r/>
      <w:r>
        <w:t>Par sa réaction courroucée face au péché d'Israël et par les nombreuses lois sacerdotales, Dieu souligne sa sainteté impressionnante. La législation enseigne expressément que la personne qui s'approche de Dieu doit être pure. Même regarder avec des yeux impurs la sainteté de Dieu signifiait la mort (</w:t>
      </w:r>
      <w:hyperlink r:id="rId10741">
        <w:r>
          <w:rPr>
            <w:color w:val="0000EE"/>
            <w:u w:val="single"/>
          </w:rPr>
          <w:t>4.20</w:t>
        </w:r>
      </w:hyperlink>
      <w:r>
        <w:t>).</w:t>
      </w:r>
    </w:p>
    <w:p>
      <w:r/>
      <w:r>
        <w:t>Sa souveraineté sur toute la vie est évidente par l'attention qu'il porte même aux aspects les plus infimes de l'existence. L'expression « Et le Seigneur dit à Moïse » apparaît plus de cinquante fois, et les mots qui suivent dans chaque cas traitent de toutes sortes de sujets.</w:t>
      </w:r>
    </w:p>
    <w:p>
      <w:r/>
      <w:r>
        <w:t>En tant que Dieu de l'alliance, le caractère « christologique » de Dieu est également apparent. La bénédiction et la fidélité de Dieu reflètent le motif christologique. Enfin, le leadership prophétique de Moïse (</w:t>
      </w:r>
      <w:hyperlink r:id="rId10842">
        <w:r>
          <w:rPr>
            <w:color w:val="0000EE"/>
            <w:u w:val="single"/>
          </w:rPr>
          <w:t>Ac 7.37–38</w:t>
        </w:r>
      </w:hyperlink>
      <w:r>
        <w:t xml:space="preserve">) et son ministère d'intercession (voir </w:t>
      </w:r>
      <w:hyperlink r:id="rId10843">
        <w:r>
          <w:rPr>
            <w:color w:val="0000EE"/>
            <w:u w:val="single"/>
          </w:rPr>
          <w:t>Nb 11.2</w:t>
        </w:r>
      </w:hyperlink>
      <w:r>
        <w:t xml:space="preserve"> ; </w:t>
      </w:r>
      <w:hyperlink r:id="rId10844">
        <w:r>
          <w:rPr>
            <w:color w:val="0000EE"/>
            <w:u w:val="single"/>
          </w:rPr>
          <w:t>12.13</w:t>
        </w:r>
      </w:hyperlink>
      <w:r>
        <w:t xml:space="preserve"> ; </w:t>
      </w:r>
      <w:hyperlink r:id="rId10845">
        <w:r>
          <w:rPr>
            <w:color w:val="0000EE"/>
            <w:u w:val="single"/>
          </w:rPr>
          <w:t>14.19</w:t>
        </w:r>
      </w:hyperlink>
      <w:r>
        <w:t xml:space="preserve">), dans le sacerdoce aaronique (voir chap </w:t>
      </w:r>
      <w:hyperlink r:id="rId10779">
        <w:r>
          <w:rPr>
            <w:color w:val="0000EE"/>
            <w:u w:val="single"/>
          </w:rPr>
          <w:t>16</w:t>
        </w:r>
      </w:hyperlink>
      <w:r>
        <w:t xml:space="preserve">), dans les sacrifices d'animaux (voir </w:t>
      </w:r>
      <w:hyperlink r:id="rId10846">
        <w:r>
          <w:rPr>
            <w:color w:val="0000EE"/>
            <w:u w:val="single"/>
          </w:rPr>
          <w:t>19.9</w:t>
        </w:r>
      </w:hyperlink>
      <w:r>
        <w:t xml:space="preserve"> ; </w:t>
      </w:r>
      <w:hyperlink r:id="rId2197">
        <w:r>
          <w:rPr>
            <w:color w:val="0000EE"/>
            <w:u w:val="single"/>
          </w:rPr>
          <w:t>Hé 9.13</w:t>
        </w:r>
      </w:hyperlink>
      <w:r>
        <w:t>), et dans les symboles (la manne, l'eau, le serpent d'airain) préfigurent le Christ futur.</w:t>
      </w:r>
    </w:p>
    <w:p>
      <w:r/>
      <w:r>
        <w:t xml:space="preserve">Dans les réponses d'Israël à Dieu, le peuple illustre toute le péché et l'infidélité humaines. Les errances d'Israël montrent les conséquences de l'incrédulité. Les punitions d'Israël prouvent l'adage de </w:t>
      </w:r>
      <w:hyperlink r:id="rId10847">
        <w:r>
          <w:rPr>
            <w:color w:val="0000EE"/>
            <w:u w:val="single"/>
          </w:rPr>
          <w:t>Nombres 32.23</w:t>
        </w:r>
      </w:hyperlink>
      <w:r>
        <w:t xml:space="preserve"> : « </w:t>
      </w:r>
      <w:r>
        <w:t>Mais si vous ne faites pas ainsi, vous péchez contre l’Éternel; sachez que votre péché vous atteindra</w:t>
      </w:r>
      <w:r>
        <w:t xml:space="preserve"> ». Les Nombres enseignent avec force que la sécurité et la bénédiction ne se trouvent que dans la confiance en le Seigneur. Lui seul est capable de mener les hommes et les femmes au lieu de repos (</w:t>
      </w:r>
      <w:hyperlink r:id="rId6302">
        <w:r>
          <w:rPr>
            <w:color w:val="0000EE"/>
            <w:u w:val="single"/>
          </w:rPr>
          <w:t>Hé 4.9</w:t>
        </w:r>
      </w:hyperlink>
      <w:r>
        <w:t>).</w:t>
      </w:r>
    </w:p>
    <w:p>
      <w:r/>
      <w:r>
        <w:rPr>
          <w:i/>
        </w:rPr>
        <w:t>Voir aussi</w:t>
      </w:r>
      <w:r>
        <w:t xml:space="preserve"> </w:t>
      </w:r>
      <w:r>
        <w:t>Deutéronome, Livre du</w:t>
      </w:r>
      <w:r>
        <w:t xml:space="preserve"> ; </w:t>
      </w:r>
      <w:r>
        <w:t>Exode, Livre de l'</w:t>
      </w:r>
      <w:r>
        <w:t xml:space="preserve"> ; </w:t>
      </w:r>
      <w:r>
        <w:t>Genèse, Livre de la</w:t>
      </w:r>
      <w:r>
        <w:t xml:space="preserve"> ; </w:t>
      </w:r>
      <w:r>
        <w:t>Lévitique, Livre du</w:t>
      </w:r>
      <w:r>
        <w:t xml:space="preserve"> ; </w:t>
      </w:r>
      <w:r>
        <w:t>Moïse</w:t>
      </w:r>
      <w:r>
        <w:t xml:space="preserve"> ; </w:t>
      </w:r>
      <w:r>
        <w:t>Errances dans le désert</w:t>
      </w:r>
      <w:r>
        <w:t>.</w:t>
      </w:r>
      <w:r/>
      <w:r/>
    </w:p>
    <w:p>
      <w:r/>
    </w:p>
    <w:p>
      <w:pPr>
        <w:pStyle w:val="Heading2"/>
      </w:pPr>
      <w:r>
        <w:t>Nord-est</w:t>
      </w:r>
      <w:r/>
    </w:p>
    <w:p>
      <w:r/>
      <w:r>
        <w:t xml:space="preserve">Nom donné, dans certaines traductions, au vent tempétueux Euraquilon mentionné dans </w:t>
      </w:r>
      <w:hyperlink r:id="rId5154">
        <w:r>
          <w:rPr>
            <w:color w:val="0000EE"/>
            <w:u w:val="single"/>
          </w:rPr>
          <w:t>Actes 27.14</w:t>
        </w:r>
      </w:hyperlink>
      <w:r>
        <w:t>. Paul a rencontré ce vent lors de son voyage vers Rome. Contre l'avis de Paul, le navire quittera un port près de Lasée. Ils navigueront près de la côte de Crète alors qu'une brise légère les poussait. Probablement à moins de 15 km du rivage, une tempête violente et soudaine menacera leur petit bateau.</w:t>
      </w:r>
    </w:p>
    <w:p>
      <w:r/>
      <w:r>
        <w:t>Luc, qui a écrit le livre des Actes, appelle cette tempête un typhon (dans la version Louis Segond, il est dit un « vent impétueux »). Le nom de ce vent était Euraquilon, ce qui signifie « le vent du sud-ouest qui soulève les vagues ».</w:t>
      </w:r>
      <w:r/>
      <w:r/>
    </w:p>
    <w:p>
      <w:r/>
    </w:p>
    <w:p>
      <w:pPr>
        <w:pStyle w:val="Heading2"/>
      </w:pPr>
      <w:r>
        <w:t>Nourrice</w:t>
      </w:r>
      <w:r/>
    </w:p>
    <w:p>
      <w:r/>
      <w:r>
        <w:t>Une nourrice était une femme qui s'occupait d'un nourrisson qui n'était pas le sien, ou un homme qui s'occupait de jeunes enfants. Le travail se concentrait sur l'alimentation et les soins d'un nourrisson. La plupart des femmes s'occupaient de leurs propres enfants, comme Sara et Anne (</w:t>
      </w:r>
      <w:hyperlink r:id="rId10848">
        <w:r>
          <w:rPr>
            <w:color w:val="0000EE"/>
            <w:u w:val="single"/>
          </w:rPr>
          <w:t>Gn 21.7</w:t>
        </w:r>
      </w:hyperlink>
      <w:r>
        <w:t xml:space="preserve"> ; </w:t>
      </w:r>
      <w:hyperlink r:id="rId10849">
        <w:r>
          <w:rPr>
            <w:color w:val="0000EE"/>
            <w:u w:val="single"/>
          </w:rPr>
          <w:t>1S 1.23</w:t>
        </w:r>
      </w:hyperlink>
      <w:r>
        <w:t>).</w:t>
      </w:r>
    </w:p>
    <w:p>
      <w:r/>
      <w:r>
        <w:t xml:space="preserve">Une nourrice (femme qui allaite l'enfant d'une autre femme) devenait souvent membre de la famille et occupait une position spéciale. Rebecca avait une nourrice, et lorsque cette femme décédera, elle sera même mentionnée dans la Bible : « </w:t>
      </w:r>
      <w:r>
        <w:t>Débora, nourrice de Rebecca, mourut</w:t>
      </w:r>
      <w:r>
        <w:t xml:space="preserve"> </w:t>
      </w:r>
      <w:r>
        <w:t>; et elle fut enterrée au-dessous de Béthel, sous le chêne auquel on a donné le nom de chêne des pleurs</w:t>
      </w:r>
      <w:r>
        <w:t xml:space="preserve"> » (</w:t>
      </w:r>
      <w:hyperlink r:id="rId2458">
        <w:r>
          <w:rPr>
            <w:color w:val="0000EE"/>
            <w:u w:val="single"/>
          </w:rPr>
          <w:t>Gn 35.8</w:t>
        </w:r>
      </w:hyperlink>
      <w:r>
        <w:t>).</w:t>
      </w:r>
    </w:p>
    <w:p>
      <w:r/>
      <w:r>
        <w:t>La mère de Moïse deviendra sa nourrice lorsque la fille de Pharaon la paiera pour s'occuper de lui (</w:t>
      </w:r>
      <w:hyperlink r:id="rId10850">
        <w:r>
          <w:rPr>
            <w:color w:val="0000EE"/>
            <w:u w:val="single"/>
          </w:rPr>
          <w:t>Ex 2.7</w:t>
        </w:r>
      </w:hyperlink>
      <w:r>
        <w:t xml:space="preserve">). Les fils royaux étaient pris en charge par des nourrices, comme dans le cas de Joas. Sa tante </w:t>
      </w:r>
      <w:r>
        <w:t>Joschéba</w:t>
      </w:r>
      <w:r>
        <w:t xml:space="preserve"> l'a caché avec sa nourrice (</w:t>
      </w:r>
      <w:hyperlink r:id="rId10851">
        <w:r>
          <w:rPr>
            <w:color w:val="0000EE"/>
            <w:u w:val="single"/>
          </w:rPr>
          <w:t>2R 11.2</w:t>
        </w:r>
      </w:hyperlink>
      <w:r>
        <w:t>). Puisque Joas avait été caché pendant six ans et qu'il avait sept ans lorsqu'il est devenu roi, il avait environ un an lorsqu'il a été caché. Sa nourrice devait être une nourrice allaitante.</w:t>
      </w:r>
    </w:p>
    <w:p>
      <w:r/>
      <w:r>
        <w:t>Les fils royaux recevaient des soins spéciaux et étaient supervisés par une nourrice après avoir terminé l'allaitement. Les enfants étaient allaités jusqu'à environ trois ans, et lorsqu'ils étaient sevrés (arrêt de l'allaitement), il y avait un festin (</w:t>
      </w:r>
      <w:hyperlink r:id="rId1625">
        <w:r>
          <w:rPr>
            <w:color w:val="0000EE"/>
            <w:u w:val="single"/>
          </w:rPr>
          <w:t>Gn 21.8</w:t>
        </w:r>
      </w:hyperlink>
      <w:r>
        <w:t xml:space="preserve"> ; </w:t>
      </w:r>
      <w:hyperlink r:id="rId10852">
        <w:r>
          <w:rPr>
            <w:color w:val="0000EE"/>
            <w:u w:val="single"/>
          </w:rPr>
          <w:t>1S 1.23–24</w:t>
        </w:r>
      </w:hyperlink>
      <w:r>
        <w:t xml:space="preserve">). Après le sevrage, une nourrice-enseignante prenait en charge l'enfant. </w:t>
      </w:r>
      <w:r>
        <w:t>Mephiboscheth</w:t>
      </w:r>
      <w:r>
        <w:t xml:space="preserve"> avait cinq ans lorsque sa nourrice est tombée en le portant, l'empêchant de marcher correctement (</w:t>
      </w:r>
      <w:hyperlink r:id="rId10853">
        <w:r>
          <w:rPr>
            <w:color w:val="0000EE"/>
            <w:u w:val="single"/>
          </w:rPr>
          <w:t>2S 4.4</w:t>
        </w:r>
      </w:hyperlink>
      <w:r>
        <w:t>). Naomi s'occupait de son petit-fils en tant que nourrice (</w:t>
      </w:r>
      <w:hyperlink r:id="rId10854">
        <w:r>
          <w:rPr>
            <w:color w:val="0000EE"/>
            <w:u w:val="single"/>
          </w:rPr>
          <w:t>Rt 4.16</w:t>
        </w:r>
      </w:hyperlink>
      <w:r>
        <w:t>).</w:t>
      </w:r>
    </w:p>
    <w:p>
      <w:r/>
      <w:r>
        <w:t xml:space="preserve">Il est probable que des infirmiers masculins travaillaient comme enseignants pour les jeunes nobles. Par exemple, </w:t>
      </w:r>
      <w:hyperlink r:id="rId10855">
        <w:r>
          <w:rPr>
            <w:color w:val="0000EE"/>
            <w:u w:val="single"/>
          </w:rPr>
          <w:t>2 Rois 10.1</w:t>
        </w:r>
      </w:hyperlink>
      <w:r>
        <w:t xml:space="preserve"> dit que les enfants d'Achab avaient des tuteurs (voir </w:t>
      </w:r>
      <w:hyperlink r:id="rId10856">
        <w:r>
          <w:rPr>
            <w:color w:val="0000EE"/>
            <w:u w:val="single"/>
          </w:rPr>
          <w:t>2R 10.5</w:t>
        </w:r>
      </w:hyperlink>
      <w:r>
        <w:t xml:space="preserve">). C'est ainsi que nous devrions comprendre la référence de Moïse à lui-même en tant que « nourrice » : « </w:t>
      </w:r>
      <w:r>
        <w:t>Est-ce moi qui ai conçu ce peuple</w:t>
      </w:r>
      <w:r>
        <w:t xml:space="preserve"> </w:t>
      </w:r>
      <w:r>
        <w:t>? Est-ce moi qui l’ai enfanté, pour que tu me dises</w:t>
      </w:r>
      <w:r>
        <w:t xml:space="preserve"> </w:t>
      </w:r>
      <w:r>
        <w:t>: Porte-le sur ton sein, comme le nourricier porte un enfant, jusqu’au pays que tu as juré à ses pères de lui donner</w:t>
      </w:r>
      <w:r>
        <w:t xml:space="preserve"> </w:t>
      </w:r>
      <w:r>
        <w:t>?</w:t>
      </w:r>
      <w:r>
        <w:t xml:space="preserve"> » (</w:t>
      </w:r>
      <w:hyperlink r:id="rId10857">
        <w:r>
          <w:rPr>
            <w:color w:val="0000EE"/>
            <w:u w:val="single"/>
          </w:rPr>
          <w:t>Nb 11.12</w:t>
        </w:r>
      </w:hyperlink>
      <w:r>
        <w:t>). Paul se voyait également comme une « nourrice » pour l'Église (</w:t>
      </w:r>
      <w:hyperlink r:id="rId10858">
        <w:r>
          <w:rPr>
            <w:color w:val="0000EE"/>
            <w:u w:val="single"/>
          </w:rPr>
          <w:t>1Th 2.7</w:t>
        </w:r>
      </w:hyperlink>
      <w:r>
        <w:t>).</w:t>
      </w:r>
      <w:r/>
      <w:r/>
    </w:p>
    <w:p>
      <w:r/>
    </w:p>
    <w:p>
      <w:pPr>
        <w:pStyle w:val="Heading2"/>
      </w:pPr>
      <w:r>
        <w:t>Nouveaux Cieux et Nouvelle Terre</w:t>
      </w:r>
      <w:r/>
    </w:p>
    <w:p>
      <w:r/>
      <w:r>
        <w:t xml:space="preserve">Le concept d'un univers nouveau ou renouvelé se trouve d'abord dans le livre d'Ésaïe. Dieu déclare : « </w:t>
      </w:r>
      <w:r>
        <w:t>Car je vais créer de nouveaux cieux Et une nouvelle terre</w:t>
      </w:r>
      <w:r>
        <w:t xml:space="preserve"> </w:t>
      </w:r>
      <w:r>
        <w:t>; On ne se rappellera plus les choses passées, Elles ne reviendront plus à l’esprit [</w:t>
      </w:r>
      <w:r>
        <w:t xml:space="preserve">...]. </w:t>
      </w:r>
      <w:r>
        <w:t>Car, comme les nouveaux cieux Et la nouvelle terre que je vais créer Subsisteront devant moi [...], Ainsi subsisteront votre postérité et votre nom</w:t>
      </w:r>
      <w:r>
        <w:t xml:space="preserve"> » (</w:t>
      </w:r>
      <w:hyperlink r:id="rId10859">
        <w:r>
          <w:rPr>
            <w:color w:val="0000EE"/>
            <w:u w:val="single"/>
          </w:rPr>
          <w:t>Es 65.17</w:t>
        </w:r>
      </w:hyperlink>
      <w:r>
        <w:t xml:space="preserve"> ; </w:t>
      </w:r>
      <w:hyperlink r:id="rId10860">
        <w:r>
          <w:rPr>
            <w:color w:val="0000EE"/>
            <w:u w:val="single"/>
          </w:rPr>
          <w:t>66.22</w:t>
        </w:r>
      </w:hyperlink>
      <w:r>
        <w:t>).</w:t>
      </w:r>
    </w:p>
    <w:p>
      <w:r/>
      <w:r>
        <w:t>Certains experts pensent qu'avant l'époque d'Ésaïe, de nombreuses cultures croyaient que la fin de l'histoire serait semblable à son commencement, ce qui conduirait à une restauration universelle. La Bible décrit un renouvellement du monde surnaturel qui se produit dans un royaume supérieur et différent.</w:t>
      </w:r>
    </w:p>
    <w:p>
      <w:r/>
      <w:r>
        <w:t xml:space="preserve">La croyance que Dieu est le Créateur des cieux et de la terre est centrale à tous les enseignements bibliques. « </w:t>
      </w:r>
      <w:r>
        <w:t>Tu as anciennement fondé la terre, Et les cieux sont l’ouvrage de tes mains</w:t>
      </w:r>
      <w:r>
        <w:t xml:space="preserve"> » (</w:t>
      </w:r>
      <w:hyperlink r:id="rId10861">
        <w:r>
          <w:rPr>
            <w:color w:val="0000EE"/>
            <w:u w:val="single"/>
          </w:rPr>
          <w:t>Ps 102.25</w:t>
        </w:r>
      </w:hyperlink>
      <w:r>
        <w:t xml:space="preserve">). Puisque Dieu a créé les cieux et la terre, il est approprié qu'une fois qu'ils ont rempli leur but, Dieu puisse en faire ce qu'Il souhaite. « </w:t>
      </w:r>
      <w:r>
        <w:t>Ils périront, mais tu subsisteras</w:t>
      </w:r>
      <w:r>
        <w:t xml:space="preserve"> </w:t>
      </w:r>
      <w:r>
        <w:t>; Ils s’useront tous comme un vêtement</w:t>
      </w:r>
      <w:r>
        <w:t xml:space="preserve"> </w:t>
      </w:r>
      <w:r>
        <w:t>; Tu les changeras comme un habit, et ils seront changés</w:t>
      </w:r>
      <w:r>
        <w:t xml:space="preserve"> » (</w:t>
      </w:r>
      <w:hyperlink r:id="rId10862">
        <w:r>
          <w:rPr>
            <w:color w:val="0000EE"/>
            <w:u w:val="single"/>
          </w:rPr>
          <w:t>Ps 102.26</w:t>
        </w:r>
      </w:hyperlink>
      <w:r>
        <w:t xml:space="preserve">). La même métaphore se trouve dans </w:t>
      </w:r>
      <w:hyperlink r:id="rId10863">
        <w:r>
          <w:rPr>
            <w:color w:val="0000EE"/>
            <w:u w:val="single"/>
          </w:rPr>
          <w:t>Ésaïe 51.6</w:t>
        </w:r>
      </w:hyperlink>
      <w:r>
        <w:t>, où la terre est décrite comme s'usant comme un vêtement.</w:t>
      </w:r>
    </w:p>
    <w:p>
      <w:r/>
      <w:r>
        <w:t>La Bible parle de la fin de l'ancien ordre. Elle décrit un temps où le ciel et la terre disparaîtront (</w:t>
      </w:r>
      <w:hyperlink r:id="rId10864">
        <w:r>
          <w:rPr>
            <w:color w:val="0000EE"/>
            <w:u w:val="single"/>
          </w:rPr>
          <w:t>Es 34.4</w:t>
        </w:r>
      </w:hyperlink>
      <w:r>
        <w:t xml:space="preserve"> ; </w:t>
      </w:r>
      <w:hyperlink r:id="rId10863">
        <w:r>
          <w:rPr>
            <w:color w:val="0000EE"/>
            <w:u w:val="single"/>
          </w:rPr>
          <w:t>51.6</w:t>
        </w:r>
      </w:hyperlink>
      <w:r>
        <w:t xml:space="preserve"> ; </w:t>
      </w:r>
      <w:hyperlink r:id="rId10865">
        <w:r>
          <w:rPr>
            <w:color w:val="0000EE"/>
            <w:u w:val="single"/>
          </w:rPr>
          <w:t>Mt 24.35</w:t>
        </w:r>
      </w:hyperlink>
      <w:r>
        <w:t xml:space="preserve"> ; </w:t>
      </w:r>
      <w:hyperlink r:id="rId7702">
        <w:r>
          <w:rPr>
            <w:color w:val="0000EE"/>
            <w:u w:val="single"/>
          </w:rPr>
          <w:t>Ap 21.1</w:t>
        </w:r>
      </w:hyperlink>
      <w:r>
        <w:t>). Plusieurs expressions expriment cette idée :</w:t>
      </w:r>
    </w:p>
    <w:p>
      <w:pPr>
        <w:pStyle w:val="ListNumber"/>
        <w:spacing w:line="240" w:lineRule="auto"/>
        <w:ind w:left="720"/>
      </w:pPr>
      <w:r/>
      <w:r>
        <w:t>« Le monde passe » (</w:t>
      </w:r>
      <w:hyperlink r:id="rId3100">
        <w:r>
          <w:rPr>
            <w:color w:val="0000EE"/>
            <w:u w:val="single"/>
          </w:rPr>
          <w:t>1Jn 2.17</w:t>
        </w:r>
      </w:hyperlink>
      <w:r>
        <w:t>).</w:t>
      </w:r>
    </w:p>
    <w:p>
      <w:pPr>
        <w:pStyle w:val="ListNumber"/>
        <w:spacing w:line="240" w:lineRule="auto"/>
        <w:ind w:left="720"/>
      </w:pPr>
      <w:r/>
      <w:r>
        <w:t xml:space="preserve">« </w:t>
      </w:r>
      <w:r>
        <w:t>Ils vieilliront tous comme un vêtement</w:t>
      </w:r>
      <w:r>
        <w:t xml:space="preserve"> » (</w:t>
      </w:r>
      <w:hyperlink r:id="rId10866">
        <w:r>
          <w:rPr>
            <w:color w:val="0000EE"/>
            <w:u w:val="single"/>
          </w:rPr>
          <w:t>Hé 1.11</w:t>
        </w:r>
      </w:hyperlink>
      <w:r>
        <w:t xml:space="preserve"> ; voir </w:t>
      </w:r>
      <w:hyperlink r:id="rId10862">
        <w:r>
          <w:rPr>
            <w:color w:val="0000EE"/>
            <w:u w:val="single"/>
          </w:rPr>
          <w:t>Ps 102.26</w:t>
        </w:r>
      </w:hyperlink>
      <w:r>
        <w:t xml:space="preserve"> ; </w:t>
      </w:r>
      <w:hyperlink r:id="rId10863">
        <w:r>
          <w:rPr>
            <w:color w:val="0000EE"/>
            <w:u w:val="single"/>
          </w:rPr>
          <w:t>Es 51.6</w:t>
        </w:r>
      </w:hyperlink>
      <w:r>
        <w:t>).</w:t>
      </w:r>
    </w:p>
    <w:p>
      <w:pPr>
        <w:pStyle w:val="ListNumber"/>
        <w:spacing w:line="240" w:lineRule="auto"/>
        <w:ind w:left="720"/>
      </w:pPr>
      <w:r/>
      <w:r>
        <w:t xml:space="preserve">« </w:t>
      </w:r>
      <w:r>
        <w:t>Le jour du Seigneur viendra comme un voleur</w:t>
      </w:r>
      <w:r>
        <w:t xml:space="preserve"> </w:t>
      </w:r>
      <w:r>
        <w:t>; en ce jour, les cieux passeront avec fracas, les éléments embrasés se dissoudront, et la terre avec les œuvres qu’elle renferme sera consumée</w:t>
      </w:r>
      <w:r>
        <w:t xml:space="preserve"> » (</w:t>
      </w:r>
      <w:hyperlink r:id="rId10867">
        <w:r>
          <w:rPr>
            <w:color w:val="0000EE"/>
            <w:u w:val="single"/>
          </w:rPr>
          <w:t>2P 3.10</w:t>
        </w:r>
      </w:hyperlink>
      <w:r>
        <w:t>).</w:t>
      </w:r>
    </w:p>
    <w:p>
      <w:pPr>
        <w:pStyle w:val="ListNumber"/>
        <w:spacing w:line="240" w:lineRule="auto"/>
        <w:ind w:left="720"/>
      </w:pPr>
      <w:r/>
      <w:r>
        <w:t xml:space="preserve">Cette destruction par le feu se produira au moment du jugement final. Ce sera « </w:t>
      </w:r>
      <w:r>
        <w:t>jour de Dieu, à cause duquel les cieux enflammés se dissoudront et les éléments embrasés se fondront</w:t>
      </w:r>
      <w:r>
        <w:t xml:space="preserve"> » (</w:t>
      </w:r>
      <w:hyperlink r:id="rId10868">
        <w:r>
          <w:rPr>
            <w:color w:val="0000EE"/>
            <w:u w:val="single"/>
          </w:rPr>
          <w:t>2P 3.12</w:t>
        </w:r>
      </w:hyperlink>
      <w:r>
        <w:t>).</w:t>
      </w:r>
    </w:p>
    <w:p>
      <w:r/>
      <w:r>
        <w:t xml:space="preserve">Ce jugement, qui met fin à l'ancien ordre, prépare la voie pour de nouveaux cieux et une nouvelle terre. Pierre poursuit ainsi : « </w:t>
      </w:r>
      <w:r>
        <w:t>Mais nous attendons, selon sa promesse, de nouveaux cieux et une nouvelle terre, où la justice habitera</w:t>
      </w:r>
      <w:r>
        <w:t xml:space="preserve"> » (</w:t>
      </w:r>
      <w:hyperlink r:id="rId4432">
        <w:r>
          <w:rPr>
            <w:color w:val="0000EE"/>
            <w:u w:val="single"/>
          </w:rPr>
          <w:t>2P 3.13</w:t>
        </w:r>
      </w:hyperlink>
      <w:r>
        <w:t>). Ce sera si merveilleux que personne ne se souviendra même de l'ancien (</w:t>
      </w:r>
      <w:hyperlink r:id="rId10859">
        <w:r>
          <w:rPr>
            <w:color w:val="0000EE"/>
            <w:u w:val="single"/>
          </w:rPr>
          <w:t>Es 65.17</w:t>
        </w:r>
      </w:hyperlink>
      <w:r>
        <w:t>). Pierre, lors de sa prédication au portique de Salomon, dit que Jésus restera au ciel jusqu'à ce que le moment soit venu d'établir tout ce que Dieu a annoncé par ses saints prophètes (</w:t>
      </w:r>
      <w:hyperlink r:id="rId10869">
        <w:r>
          <w:rPr>
            <w:color w:val="0000EE"/>
            <w:u w:val="single"/>
          </w:rPr>
          <w:t>Ac 3.21</w:t>
        </w:r>
      </w:hyperlink>
      <w:r>
        <w:t xml:space="preserve">). L'ordre créé attend avec impatience cette réparation ou ce renouvellement. Paul écrit : « </w:t>
      </w:r>
      <w:r>
        <w:t>Aussi la création attend-elle avec un ardent désir la révélation des fils de Dieu</w:t>
      </w:r>
      <w:r>
        <w:t xml:space="preserve"> » (</w:t>
      </w:r>
      <w:hyperlink r:id="rId10870">
        <w:r>
          <w:rPr>
            <w:color w:val="0000EE"/>
            <w:u w:val="single"/>
          </w:rPr>
          <w:t>Rm 8.19</w:t>
        </w:r>
      </w:hyperlink>
      <w:r>
        <w:t>) car « [la création] aussi sera affranchie de la servitude de la corruption, pour avoir part à la liberté de la gloire des enfants de Dieu » (</w:t>
      </w:r>
      <w:hyperlink r:id="rId8643">
        <w:r>
          <w:rPr>
            <w:color w:val="0000EE"/>
            <w:u w:val="single"/>
          </w:rPr>
          <w:t>Rm 8.21</w:t>
        </w:r>
      </w:hyperlink>
      <w:r>
        <w:t>).</w:t>
      </w:r>
    </w:p>
    <w:p>
      <w:r/>
      <w:r>
        <w:t>Le ciel renouvelé n'est pas la présence de Dieu. Il s'agit plutôt de l'univers étoilé, le ciel de l'existence humaine. Le livre de l'Apocalypse dit que la nouvelle Jérusalem descend du ciel vers la terre (</w:t>
      </w:r>
      <w:hyperlink r:id="rId10871">
        <w:r>
          <w:rPr>
            <w:color w:val="0000EE"/>
            <w:u w:val="single"/>
          </w:rPr>
          <w:t>Ap 21.2, 10</w:t>
        </w:r>
      </w:hyperlink>
      <w:r>
        <w:t>). Il s'agit là de la demeure éternelle de Dieu et de son peuple. La nouvelle terre sera un lieu de justice parfaite (</w:t>
      </w:r>
      <w:hyperlink r:id="rId10863">
        <w:r>
          <w:rPr>
            <w:color w:val="0000EE"/>
            <w:u w:val="single"/>
          </w:rPr>
          <w:t>Es 51.6</w:t>
        </w:r>
      </w:hyperlink>
      <w:r>
        <w:t>), de bonté divine (</w:t>
      </w:r>
      <w:hyperlink r:id="rId10872">
        <w:r>
          <w:rPr>
            <w:color w:val="0000EE"/>
            <w:u w:val="single"/>
          </w:rPr>
          <w:t>Es 54.10</w:t>
        </w:r>
      </w:hyperlink>
      <w:r>
        <w:t>), de relation éternelle avec Dieu (</w:t>
      </w:r>
      <w:hyperlink r:id="rId10860">
        <w:r>
          <w:rPr>
            <w:color w:val="0000EE"/>
            <w:u w:val="single"/>
          </w:rPr>
          <w:t>Es 66.22</w:t>
        </w:r>
      </w:hyperlink>
      <w:r>
        <w:t>), et de liberté totale du péché (</w:t>
      </w:r>
      <w:hyperlink r:id="rId8643">
        <w:r>
          <w:rPr>
            <w:color w:val="0000EE"/>
            <w:u w:val="single"/>
          </w:rPr>
          <w:t>Rm 8.21</w:t>
        </w:r>
      </w:hyperlink>
      <w:r>
        <w:t>).</w:t>
      </w:r>
    </w:p>
    <w:p>
      <w:r/>
      <w:r>
        <w:rPr>
          <w:i/>
        </w:rPr>
        <w:t>Voir aussi</w:t>
      </w:r>
      <w:r>
        <w:t xml:space="preserve"> </w:t>
      </w:r>
      <w:r>
        <w:t>Eschatologie</w:t>
      </w:r>
      <w:r>
        <w:t xml:space="preserve"> ; </w:t>
      </w:r>
      <w:r>
        <w:t>Cieux</w:t>
      </w:r>
      <w:r>
        <w:t xml:space="preserve"> ; </w:t>
      </w:r>
      <w:r>
        <w:t>Royaume de Dieu, Royaume des cieux</w:t>
      </w:r>
      <w:r>
        <w:t xml:space="preserve"> ; </w:t>
      </w:r>
      <w:r>
        <w:t>Nouveau</w:t>
      </w:r>
      <w:r>
        <w:t xml:space="preserve"> ; </w:t>
      </w:r>
      <w:r>
        <w:t>Nouvelle création, Nouvelle créature</w:t>
      </w:r>
      <w:r>
        <w:t>.</w:t>
      </w:r>
      <w:r/>
      <w:r/>
    </w:p>
    <w:p>
      <w:r/>
    </w:p>
    <w:p>
      <w:pPr>
        <w:pStyle w:val="Heading2"/>
      </w:pPr>
      <w:r>
        <w:t>Nouvelle création, Nouvelle créature</w:t>
      </w:r>
      <w:r/>
    </w:p>
    <w:p>
      <w:r/>
      <w:r>
        <w:t>Le message de la rédemption se déploie à travers l'Ancien et le Nouveau Testament. Christ le parachèvera lors de son second avènement.</w:t>
      </w:r>
    </w:p>
    <w:p>
      <w:r/>
      <w:r>
        <w:t xml:space="preserve">La Bible dit que Dieu est le Créateur du ciel et de la terre. Il est au contrôle de tout (voir </w:t>
      </w:r>
      <w:hyperlink r:id="rId2644">
        <w:r>
          <w:rPr>
            <w:color w:val="0000EE"/>
            <w:u w:val="single"/>
          </w:rPr>
          <w:t>Gn 1</w:t>
        </w:r>
      </w:hyperlink>
      <w:r>
        <w:t xml:space="preserve"> ; </w:t>
      </w:r>
      <w:hyperlink r:id="rId10873">
        <w:r>
          <w:rPr>
            <w:color w:val="0000EE"/>
            <w:u w:val="single"/>
          </w:rPr>
          <w:t>Ps 33.6–11</w:t>
        </w:r>
      </w:hyperlink>
      <w:r>
        <w:t xml:space="preserve"> ; </w:t>
      </w:r>
      <w:hyperlink r:id="rId10874">
        <w:r>
          <w:rPr>
            <w:color w:val="0000EE"/>
            <w:u w:val="single"/>
          </w:rPr>
          <w:t>104</w:t>
        </w:r>
      </w:hyperlink>
      <w:r>
        <w:t xml:space="preserve"> ; </w:t>
      </w:r>
      <w:hyperlink r:id="rId10875">
        <w:r>
          <w:rPr>
            <w:color w:val="0000EE"/>
            <w:u w:val="single"/>
          </w:rPr>
          <w:t>Mt 6.25–32</w:t>
        </w:r>
      </w:hyperlink>
      <w:r>
        <w:t>). Les humains sont décrits comme des êtres faits à l'image de Dieu (</w:t>
      </w:r>
      <w:hyperlink r:id="rId5973">
        <w:r>
          <w:rPr>
            <w:color w:val="0000EE"/>
            <w:u w:val="single"/>
          </w:rPr>
          <w:t>Gn 1–2</w:t>
        </w:r>
      </w:hyperlink>
      <w:r>
        <w:t xml:space="preserve">). Comprendre Dieu comme Créateur est essentiel pour saisir le message de salut de la Bible. Le péché humain est grave. Il est dû aux personnes qui « ont </w:t>
      </w:r>
      <w:r>
        <w:t>adoré et servi la créature au lieu du Créateur</w:t>
      </w:r>
      <w:r>
        <w:t xml:space="preserve"> » (</w:t>
      </w:r>
      <w:hyperlink r:id="rId10297">
        <w:r>
          <w:rPr>
            <w:color w:val="0000EE"/>
            <w:u w:val="single"/>
          </w:rPr>
          <w:t>Rm 1.25</w:t>
        </w:r>
      </w:hyperlink>
      <w:r>
        <w:t>). Dieu est notre rédempteur parce qu'il est notre créateur. Il sauve ses créatures rebelles. Elles souffrent, avec toute la création, sous une malédiction de futilité et de décomposition (</w:t>
      </w:r>
      <w:hyperlink r:id="rId10876">
        <w:r>
          <w:rPr>
            <w:color w:val="0000EE"/>
            <w:u w:val="single"/>
          </w:rPr>
          <w:t>Gn 3.17–18</w:t>
        </w:r>
      </w:hyperlink>
      <w:r>
        <w:t xml:space="preserve"> ; </w:t>
      </w:r>
      <w:hyperlink r:id="rId10877">
        <w:r>
          <w:rPr>
            <w:color w:val="0000EE"/>
            <w:u w:val="single"/>
          </w:rPr>
          <w:t>Rm 8.20–21</w:t>
        </w:r>
      </w:hyperlink>
      <w:r>
        <w:t>).</w:t>
      </w:r>
    </w:p>
    <w:p>
      <w:pPr>
        <w:pStyle w:val="Heading3"/>
      </w:pPr>
      <w:r>
        <w:t>La Nouvelle création dans l'Ancien Testament</w:t>
      </w:r>
    </w:p>
    <w:p>
      <w:r/>
      <w:r>
        <w:t xml:space="preserve">Le livre d'Ésaïe, et les chapitres </w:t>
      </w:r>
      <w:hyperlink r:id="rId10878">
        <w:r>
          <w:rPr>
            <w:color w:val="0000EE"/>
            <w:u w:val="single"/>
          </w:rPr>
          <w:t>40–66</w:t>
        </w:r>
      </w:hyperlink>
      <w:r>
        <w:t xml:space="preserve"> en particulier, relie création et salut. Ici, le prophète parle de la rédemption ultime de Dieu pour Israël. Ce salut futur met souvent en avant Dieu en tant que Créateur du ciel, de la terre et d'Israël (voir </w:t>
      </w:r>
      <w:hyperlink r:id="rId10879">
        <w:r>
          <w:rPr>
            <w:color w:val="0000EE"/>
            <w:u w:val="single"/>
          </w:rPr>
          <w:t>Es 40.12–31</w:t>
        </w:r>
      </w:hyperlink>
      <w:r>
        <w:t xml:space="preserve"> ; </w:t>
      </w:r>
      <w:hyperlink r:id="rId10880">
        <w:r>
          <w:rPr>
            <w:color w:val="0000EE"/>
            <w:u w:val="single"/>
          </w:rPr>
          <w:t>44.24</w:t>
        </w:r>
      </w:hyperlink>
      <w:r>
        <w:t xml:space="preserve"> ; </w:t>
      </w:r>
      <w:hyperlink r:id="rId10881">
        <w:r>
          <w:rPr>
            <w:color w:val="0000EE"/>
            <w:u w:val="single"/>
          </w:rPr>
          <w:t>45.18</w:t>
        </w:r>
      </w:hyperlink>
      <w:r>
        <w:t xml:space="preserve"> ; </w:t>
      </w:r>
      <w:hyperlink r:id="rId10882">
        <w:r>
          <w:rPr>
            <w:color w:val="0000EE"/>
            <w:u w:val="single"/>
          </w:rPr>
          <w:t>48.13</w:t>
        </w:r>
      </w:hyperlink>
      <w:r>
        <w:t xml:space="preserve"> ; </w:t>
      </w:r>
      <w:hyperlink r:id="rId10883">
        <w:r>
          <w:rPr>
            <w:color w:val="0000EE"/>
            <w:u w:val="single"/>
          </w:rPr>
          <w:t>51.16</w:t>
        </w:r>
      </w:hyperlink>
      <w:r>
        <w:t xml:space="preserve"> ; </w:t>
      </w:r>
      <w:hyperlink r:id="rId4025">
        <w:r>
          <w:rPr>
            <w:color w:val="0000EE"/>
            <w:u w:val="single"/>
          </w:rPr>
          <w:t>64.8</w:t>
        </w:r>
      </w:hyperlink>
      <w:r>
        <w:t>).</w:t>
      </w:r>
    </w:p>
    <w:p>
      <w:r/>
      <w:r>
        <w:t xml:space="preserve">Ésaïe parle de « </w:t>
      </w:r>
      <w:r>
        <w:t>créer de nouveaux cieux Et une nouvelle terre</w:t>
      </w:r>
      <w:r>
        <w:t xml:space="preserve"> » (</w:t>
      </w:r>
      <w:hyperlink r:id="rId10859">
        <w:r>
          <w:rPr>
            <w:color w:val="0000EE"/>
            <w:u w:val="single"/>
          </w:rPr>
          <w:t>Es 65.17</w:t>
        </w:r>
      </w:hyperlink>
      <w:r>
        <w:t xml:space="preserve">; </w:t>
      </w:r>
      <w:hyperlink r:id="rId10860">
        <w:r>
          <w:rPr>
            <w:color w:val="0000EE"/>
            <w:u w:val="single"/>
          </w:rPr>
          <w:t>66.22</w:t>
        </w:r>
      </w:hyperlink>
      <w:r>
        <w:t>). Cette idée d'une nouvelle création montre que le salut promis par Dieu est destiné à tout le monde et pas seulement à Israël. L'œuvre de recréation et de restauration de Dieu à la fin de toutes choses est relié à son œuvre de création au commencement (</w:t>
      </w:r>
      <w:hyperlink r:id="rId10884">
        <w:r>
          <w:rPr>
            <w:color w:val="0000EE"/>
            <w:u w:val="single"/>
          </w:rPr>
          <w:t>Es 48.12</w:t>
        </w:r>
      </w:hyperlink>
      <w:r>
        <w:t>). Ce que Dieu fera à la fin pour toutes choses est aussi important que ce qu'il a fait lorsqu'il a tout créé à partir de rien. Ce nouvel ordre de la création conduira au bonheur éternel pour les fidèles. Les auteurs du Nouveau Testament continueront de développer ces thèmes.</w:t>
      </w:r>
    </w:p>
    <w:p>
      <w:pPr>
        <w:pStyle w:val="Heading3"/>
      </w:pPr>
      <w:r>
        <w:t>La Nouvelle création et Christ</w:t>
      </w:r>
    </w:p>
    <w:p>
      <w:r/>
      <w:r>
        <w:t>Le Nouveau Testament associe fortement la création et la rédemption. Divers auteurs relient l'œuvre salvatrice de Christ à son rôle dans la création (</w:t>
      </w:r>
      <w:hyperlink r:id="rId3478">
        <w:r>
          <w:rPr>
            <w:color w:val="0000EE"/>
            <w:u w:val="single"/>
          </w:rPr>
          <w:t>Jn 1.3</w:t>
        </w:r>
      </w:hyperlink>
      <w:r>
        <w:t xml:space="preserve"> ; </w:t>
      </w:r>
      <w:hyperlink r:id="rId10885">
        <w:r>
          <w:rPr>
            <w:color w:val="0000EE"/>
            <w:u w:val="single"/>
          </w:rPr>
          <w:t>Col 1.15–18</w:t>
        </w:r>
      </w:hyperlink>
      <w:r>
        <w:t xml:space="preserve"> ; </w:t>
      </w:r>
      <w:hyperlink r:id="rId10886">
        <w:r>
          <w:rPr>
            <w:color w:val="0000EE"/>
            <w:u w:val="single"/>
          </w:rPr>
          <w:t>Hé 1.2–3</w:t>
        </w:r>
      </w:hyperlink>
      <w:r>
        <w:t xml:space="preserve"> ; </w:t>
      </w:r>
      <w:hyperlink r:id="rId10887">
        <w:r>
          <w:rPr>
            <w:color w:val="0000EE"/>
            <w:u w:val="single"/>
          </w:rPr>
          <w:t>Ap 3.14</w:t>
        </w:r>
      </w:hyperlink>
      <w:r>
        <w:t xml:space="preserve">). Ils mettent en avant ce lien. Ils mentionnent l'œuvre de Christ qu'il a faite « </w:t>
      </w:r>
      <w:r>
        <w:t>lorsque les temps ont été accomplis</w:t>
      </w:r>
      <w:r>
        <w:t xml:space="preserve"> » (</w:t>
      </w:r>
      <w:hyperlink r:id="rId10888">
        <w:r>
          <w:rPr>
            <w:color w:val="0000EE"/>
            <w:u w:val="single"/>
          </w:rPr>
          <w:t>Ga 4.4</w:t>
        </w:r>
      </w:hyperlink>
      <w:r>
        <w:t xml:space="preserve"> ; </w:t>
      </w:r>
      <w:hyperlink r:id="rId4777">
        <w:r>
          <w:rPr>
            <w:color w:val="0000EE"/>
            <w:u w:val="single"/>
          </w:rPr>
          <w:t>Ep 1.10</w:t>
        </w:r>
      </w:hyperlink>
      <w:r>
        <w:t xml:space="preserve">) et « dans ces derniers </w:t>
      </w:r>
      <w:r>
        <w:t>temps</w:t>
      </w:r>
      <w:r>
        <w:t xml:space="preserve"> » (</w:t>
      </w:r>
      <w:hyperlink r:id="rId6280">
        <w:r>
          <w:rPr>
            <w:color w:val="0000EE"/>
            <w:u w:val="single"/>
          </w:rPr>
          <w:t>Hé 1.2</w:t>
        </w:r>
      </w:hyperlink>
      <w:r>
        <w:t>). Cette œuvre est reliée à ses actions au commencement. L'œuvre de rédemption de Christ est perçue comme une nouvelle création.</w:t>
      </w:r>
    </w:p>
    <w:p>
      <w:r/>
      <w:r>
        <w:t>Ce lien entre la nouvelle création et l'œuvre de Christ est clair. Paul appelle Christ le « dernier Adam » et « second homme » (</w:t>
      </w:r>
      <w:hyperlink r:id="rId10889">
        <w:r>
          <w:rPr>
            <w:color w:val="0000EE"/>
            <w:u w:val="single"/>
          </w:rPr>
          <w:t>1Co 15.45–47</w:t>
        </w:r>
      </w:hyperlink>
      <w:r>
        <w:t xml:space="preserve"> ; voir v. </w:t>
      </w:r>
      <w:hyperlink r:id="rId10349">
        <w:r>
          <w:rPr>
            <w:color w:val="0000EE"/>
            <w:u w:val="single"/>
          </w:rPr>
          <w:t>22</w:t>
        </w:r>
      </w:hyperlink>
      <w:r>
        <w:t xml:space="preserve"> ; </w:t>
      </w:r>
      <w:hyperlink r:id="rId257">
        <w:r>
          <w:rPr>
            <w:color w:val="0000EE"/>
            <w:u w:val="single"/>
          </w:rPr>
          <w:t>Rm 5.14</w:t>
        </w:r>
      </w:hyperlink>
      <w:r>
        <w:t>). Cette description est étroitement liée au titre de « Fils de l'Homme » que Jésus s'était attribué. Paul utilise le terme « dernier Adam » pour souligner le contraste entre Adam et Christ (</w:t>
      </w:r>
      <w:hyperlink r:id="rId10890">
        <w:r>
          <w:rPr>
            <w:color w:val="0000EE"/>
            <w:u w:val="single"/>
          </w:rPr>
          <w:t>Rm 1</w:t>
        </w:r>
      </w:hyperlink>
      <w:r>
        <w:t xml:space="preserve"> ; </w:t>
      </w:r>
      <w:hyperlink r:id="rId3287">
        <w:r>
          <w:rPr>
            <w:color w:val="0000EE"/>
            <w:u w:val="single"/>
          </w:rPr>
          <w:t>1Co 15</w:t>
        </w:r>
      </w:hyperlink>
      <w:r>
        <w:t>). Adam a été à l'origine de l'apparition du péché et de la mort parce qu'il était désobéissant. Mais Christ a été obéissant et a ainsi apporté le droit et le bien, ce qui conduit à la justification et à la vie.</w:t>
      </w:r>
    </w:p>
    <w:p>
      <w:r/>
      <w:r>
        <w:t xml:space="preserve">Paul explique toute l'étendue de ce contraste Adam/Christ dans </w:t>
      </w:r>
      <w:hyperlink r:id="rId10891">
        <w:r>
          <w:rPr>
            <w:color w:val="0000EE"/>
            <w:u w:val="single"/>
          </w:rPr>
          <w:t>1 Corinthiens 15.42–49</w:t>
        </w:r>
      </w:hyperlink>
      <w:r>
        <w:t>. Il compare le corps faible et mortel du croyant avec celui glorieux et puissant qu'il recevra lors de la résurrection. Il résume ce contraste en disant qu'un corps est « naturel » et l'autre est « spirituel ». Adam et Christ représentent ces deux types de corps : le naturel et le spirituel. Mais Paul présente également Adam et Christ comme des personnes à part entière, qui représentent d'autres personnes et mènent à deux ordres de vie différents. Adam, le premier homme, est le chef d'alliance du monde naturel. Il est désormais corrompu et mortel à cause du péché (</w:t>
      </w:r>
      <w:hyperlink r:id="rId308">
        <w:r>
          <w:rPr>
            <w:color w:val="0000EE"/>
            <w:u w:val="single"/>
          </w:rPr>
          <w:t>Rm 5.12–19</w:t>
        </w:r>
      </w:hyperlink>
      <w:r>
        <w:t>). Christ, le second et dernier Adam, est le chef d'alliance, le représentant, de l'ordre spirituel et céleste caractérisé par la vie, la puissance et la gloire. Le passage contraste deux ordres des choses : la création originale et son accomplissement dans une nouvelle création. Chacun commence avec un Adam.</w:t>
      </w:r>
    </w:p>
    <w:p>
      <w:r/>
      <w:r>
        <w:t>Deux autres points sont importants pour comprendre le message de la nouvelle création dans les écrits de Paul et le reste du Nouveau Testament.</w:t>
      </w:r>
    </w:p>
    <w:p>
      <w:pPr>
        <w:pStyle w:val="ListNumber"/>
        <w:spacing w:line="240" w:lineRule="auto"/>
        <w:ind w:left="720"/>
      </w:pPr>
      <w:r/>
      <w:r>
        <w:t>La résurrection de Christ constitue le fondement de la résurrection du croyant. En tant que dernier Adam, il est devenu un Esprit vivifiant par sa résurrection (</w:t>
      </w:r>
      <w:hyperlink r:id="rId4930">
        <w:r>
          <w:rPr>
            <w:color w:val="0000EE"/>
            <w:u w:val="single"/>
          </w:rPr>
          <w:t>1Co 15.45</w:t>
        </w:r>
      </w:hyperlink>
      <w:r>
        <w:t xml:space="preserve">). L'accent est mis sur l'unité entre la résurrection de Christ et celle des croyants (voir </w:t>
      </w:r>
      <w:hyperlink r:id="rId10892">
        <w:r>
          <w:rPr>
            <w:color w:val="0000EE"/>
            <w:u w:val="single"/>
          </w:rPr>
          <w:t>1Co 15.12–20</w:t>
        </w:r>
      </w:hyperlink>
      <w:r>
        <w:t xml:space="preserve"> ; </w:t>
      </w:r>
      <w:hyperlink r:id="rId313">
        <w:r>
          <w:rPr>
            <w:color w:val="0000EE"/>
            <w:u w:val="single"/>
          </w:rPr>
          <w:t>Col 1.18</w:t>
        </w:r>
      </w:hyperlink>
      <w:r>
        <w:t>). Selon le Nouveau Testament, la nouvelle création est une réalité présente qui a commencé avec la résurrection de Christ.</w:t>
      </w:r>
    </w:p>
    <w:p>
      <w:pPr>
        <w:pStyle w:val="ListNumber"/>
        <w:spacing w:line="240" w:lineRule="auto"/>
        <w:ind w:left="720"/>
      </w:pPr>
      <w:r/>
      <w:hyperlink r:id="rId4930">
        <w:r>
          <w:rPr>
            <w:color w:val="0000EE"/>
            <w:u w:val="single"/>
          </w:rPr>
          <w:t>1 Corinthiens 15.45</w:t>
        </w:r>
      </w:hyperlink>
      <w:r>
        <w:t xml:space="preserve"> montre l'unité du Christ ressuscité et du Saint-Esprit dans le don de la vie. Il est dit que le dernier Adam est devenu un Esprit vivifiant. Le Saint-Esprit est la puissance qui se trouve derrière la nouvelle création (voir </w:t>
      </w:r>
      <w:hyperlink r:id="rId5054">
        <w:r>
          <w:rPr>
            <w:color w:val="0000EE"/>
            <w:u w:val="single"/>
          </w:rPr>
          <w:t>Hé 6.5</w:t>
        </w:r>
      </w:hyperlink>
      <w:r>
        <w:t>). Partout où l'Esprit agit en tant que don du Christ glorifié, la nouvelle création est présente.</w:t>
      </w:r>
    </w:p>
    <w:p>
      <w:r/>
      <w:r>
        <w:t>La nouvelle création accomplit ce que l'Ancien Testament avait promis et anticipé. Elle a déjà commencé par l'œuvre de Christ (le dernier Adam), notamment par sa mort et sa résurrection. Elle sera parachevée à son retour. En attendant, nous vivons à une époque où les deux créations coexistent : la nouvelle a commencé, tandis que l'ancienne continue de disparaître (</w:t>
      </w:r>
      <w:hyperlink r:id="rId10893">
        <w:r>
          <w:rPr>
            <w:color w:val="0000EE"/>
            <w:u w:val="single"/>
          </w:rPr>
          <w:t>1Co 7.31</w:t>
        </w:r>
      </w:hyperlink>
      <w:r>
        <w:t>). Le concept de nouvelle création est lié au royaume de Dieu, un thème central dans les enseignements de Jésus dans les Évangiles synoptiques. Le Royaume, lié à l'œuvre de Jésus, est à la fois présent (</w:t>
      </w:r>
      <w:hyperlink r:id="rId10894">
        <w:r>
          <w:rPr>
            <w:color w:val="0000EE"/>
            <w:u w:val="single"/>
          </w:rPr>
          <w:t>Mt 12.28</w:t>
        </w:r>
      </w:hyperlink>
      <w:r>
        <w:t xml:space="preserve"> ; </w:t>
      </w:r>
      <w:hyperlink r:id="rId4785">
        <w:r>
          <w:rPr>
            <w:color w:val="0000EE"/>
            <w:u w:val="single"/>
          </w:rPr>
          <w:t>13.11, 16–17</w:t>
        </w:r>
      </w:hyperlink>
      <w:r>
        <w:t>) et futur (</w:t>
      </w:r>
      <w:hyperlink r:id="rId10895">
        <w:r>
          <w:rPr>
            <w:color w:val="0000EE"/>
            <w:u w:val="single"/>
          </w:rPr>
          <w:t>Mt 8.11</w:t>
        </w:r>
      </w:hyperlink>
      <w:r>
        <w:t xml:space="preserve"> ; </w:t>
      </w:r>
      <w:hyperlink r:id="rId7839">
        <w:r>
          <w:rPr>
            <w:color w:val="0000EE"/>
            <w:u w:val="single"/>
          </w:rPr>
          <w:t>25.34</w:t>
        </w:r>
      </w:hyperlink>
      <w:r>
        <w:t xml:space="preserve">). Le judaïsme, Jésus et l'Église primitive (voir </w:t>
      </w:r>
      <w:hyperlink r:id="rId4668">
        <w:r>
          <w:rPr>
            <w:color w:val="0000EE"/>
            <w:u w:val="single"/>
          </w:rPr>
          <w:t>Mt 12.32</w:t>
        </w:r>
      </w:hyperlink>
      <w:r>
        <w:t xml:space="preserve"> ; </w:t>
      </w:r>
      <w:hyperlink r:id="rId10896">
        <w:r>
          <w:rPr>
            <w:color w:val="0000EE"/>
            <w:u w:val="single"/>
          </w:rPr>
          <w:t>Ep 1.21</w:t>
        </w:r>
      </w:hyperlink>
      <w:r>
        <w:t>) parlaient de deux âges : l'âge présent et l'« âge à venir ». Ils voyaient dans l'« âge à venir » la nouvelle création. Le terme « nouvelle création » signifie une transformation complète. Il suggère que la rédemption signifie le renouvellement de toutes choses (</w:t>
      </w:r>
      <w:hyperlink r:id="rId6560">
        <w:r>
          <w:rPr>
            <w:color w:val="0000EE"/>
            <w:u w:val="single"/>
          </w:rPr>
          <w:t>Ap 21.5</w:t>
        </w:r>
      </w:hyperlink>
      <w:r>
        <w:t>).</w:t>
      </w:r>
    </w:p>
    <w:p>
      <w:r/>
      <w:r>
        <w:rPr>
          <w:b/>
        </w:rPr>
        <w:t>La Nouvelle Création et l’Église</w:t>
      </w:r>
    </w:p>
    <w:p>
      <w:r/>
      <w:r>
        <w:t>Dans le Nouveau Testament, les croyants s'unissent à Christ et bénéficient de son salut. Puisque Christ est mort et ressuscité, le rejoindre signifie faire partie de la nouvelle création (</w:t>
      </w:r>
      <w:hyperlink r:id="rId10357">
        <w:r>
          <w:rPr>
            <w:color w:val="0000EE"/>
            <w:u w:val="single"/>
          </w:rPr>
          <w:t>2Co 5.15</w:t>
        </w:r>
      </w:hyperlink>
      <w:r>
        <w:t>). Cette nouvelle création, vue dans le contexte de la réconciliation, est à la fois personnelle et cosmique (</w:t>
      </w:r>
      <w:hyperlink r:id="rId10897">
        <w:r>
          <w:rPr>
            <w:color w:val="0000EE"/>
            <w:u w:val="single"/>
          </w:rPr>
          <w:t>2Co 5.17–19</w:t>
        </w:r>
      </w:hyperlink>
      <w:r>
        <w:t>).</w:t>
      </w:r>
    </w:p>
    <w:p>
      <w:r/>
      <w:r>
        <w:t>Le contexte de la seule autre occurrence de l'expression « nouvelle création » dans le Nouveau Testament (</w:t>
      </w:r>
      <w:hyperlink r:id="rId321">
        <w:r>
          <w:rPr>
            <w:color w:val="0000EE"/>
            <w:u w:val="single"/>
          </w:rPr>
          <w:t>Ga 6.15</w:t>
        </w:r>
      </w:hyperlink>
      <w:r>
        <w:t>) est à la fois cosmique et personnel. Les croyants unis à Christ dans sa crucifixion appartiennent désormais à une nouvelle création. Ici, des distinctions comme la circoncision sont sans importance. La nouvelle création s'oppose au monde, et le croyant a été crucifié avec Christ (</w:t>
      </w:r>
      <w:hyperlink r:id="rId10288">
        <w:r>
          <w:rPr>
            <w:color w:val="0000EE"/>
            <w:u w:val="single"/>
          </w:rPr>
          <w:t>Ga 6.14</w:t>
        </w:r>
      </w:hyperlink>
      <w:r>
        <w:t xml:space="preserve">; comparer </w:t>
      </w:r>
      <w:hyperlink r:id="rId2915">
        <w:r>
          <w:rPr>
            <w:color w:val="0000EE"/>
            <w:u w:val="single"/>
          </w:rPr>
          <w:t>Col 2.20</w:t>
        </w:r>
      </w:hyperlink>
      <w:r>
        <w:t xml:space="preserve">). Ainsi, « </w:t>
      </w:r>
      <w:r>
        <w:t>Si quelqu’un est en Christ, il est une nouvelle créature. Les choses anciennes sont passées</w:t>
      </w:r>
      <w:r>
        <w:t xml:space="preserve"> </w:t>
      </w:r>
      <w:r>
        <w:t>; voici, toutes choses sont devenues nouvelles</w:t>
      </w:r>
      <w:r>
        <w:t xml:space="preserve"> » (</w:t>
      </w:r>
      <w:hyperlink r:id="rId320">
        <w:r>
          <w:rPr>
            <w:color w:val="0000EE"/>
            <w:u w:val="single"/>
          </w:rPr>
          <w:t>2Co 5.17</w:t>
        </w:r>
      </w:hyperlink>
      <w:r>
        <w:t>).</w:t>
      </w:r>
    </w:p>
    <w:p>
      <w:r/>
      <w:r>
        <w:t>La résurrection n'est pas seulement une espérance future pour les croyants, mais une réalité présente : ils ont déjà été ressuscités avec Christ (</w:t>
      </w:r>
      <w:hyperlink r:id="rId10898">
        <w:r>
          <w:rPr>
            <w:color w:val="0000EE"/>
            <w:u w:val="single"/>
          </w:rPr>
          <w:t>Ep 2.5–6</w:t>
        </w:r>
      </w:hyperlink>
      <w:r>
        <w:t xml:space="preserve"> ; voir </w:t>
      </w:r>
      <w:hyperlink r:id="rId2913">
        <w:r>
          <w:rPr>
            <w:color w:val="0000EE"/>
            <w:u w:val="single"/>
          </w:rPr>
          <w:t>Col 2.12–13</w:t>
        </w:r>
      </w:hyperlink>
      <w:r>
        <w:t xml:space="preserve"> ; </w:t>
      </w:r>
      <w:hyperlink r:id="rId2698">
        <w:r>
          <w:rPr>
            <w:color w:val="0000EE"/>
            <w:u w:val="single"/>
          </w:rPr>
          <w:t>3.1</w:t>
        </w:r>
      </w:hyperlink>
      <w:r>
        <w:t>). Les croyants sont « créés en Christ Jésus pour faire de bonnes œuvres » (</w:t>
      </w:r>
      <w:hyperlink r:id="rId10899">
        <w:r>
          <w:rPr>
            <w:color w:val="0000EE"/>
            <w:u w:val="single"/>
          </w:rPr>
          <w:t>Ep 2.10</w:t>
        </w:r>
      </w:hyperlink>
      <w:r>
        <w:t>). L'Église est la réalité de la nouvelle alliance, le « nouvel homme », composé à la fois de Juifs et de Gentils (</w:t>
      </w:r>
      <w:hyperlink r:id="rId317">
        <w:r>
          <w:rPr>
            <w:color w:val="0000EE"/>
            <w:u w:val="single"/>
          </w:rPr>
          <w:t>Ep 2.15</w:t>
        </w:r>
      </w:hyperlink>
      <w:r>
        <w:t>). Le Saint-Esprit renouvelle ses membres (</w:t>
      </w:r>
      <w:hyperlink r:id="rId10900">
        <w:r>
          <w:rPr>
            <w:color w:val="0000EE"/>
            <w:u w:val="single"/>
          </w:rPr>
          <w:t>2Co 4.16</w:t>
        </w:r>
      </w:hyperlink>
      <w:r>
        <w:t>). Ils commencent à refléter l'image de Christ (</w:t>
      </w:r>
      <w:hyperlink r:id="rId316">
        <w:r>
          <w:rPr>
            <w:color w:val="0000EE"/>
            <w:u w:val="single"/>
          </w:rPr>
          <w:t>2Co 3.18</w:t>
        </w:r>
      </w:hyperlink>
      <w:r>
        <w:t xml:space="preserve"> ; </w:t>
      </w:r>
      <w:hyperlink r:id="rId4945">
        <w:r>
          <w:rPr>
            <w:color w:val="0000EE"/>
            <w:u w:val="single"/>
          </w:rPr>
          <w:t>4.4–6</w:t>
        </w:r>
      </w:hyperlink>
      <w:r>
        <w:t xml:space="preserve"> ; voir </w:t>
      </w:r>
      <w:hyperlink r:id="rId314">
        <w:r>
          <w:rPr>
            <w:color w:val="0000EE"/>
            <w:u w:val="single"/>
          </w:rPr>
          <w:t>Rm 8.29</w:t>
        </w:r>
      </w:hyperlink>
      <w:r>
        <w:t xml:space="preserve"> ; </w:t>
      </w:r>
      <w:hyperlink r:id="rId318">
        <w:r>
          <w:rPr>
            <w:color w:val="0000EE"/>
            <w:u w:val="single"/>
          </w:rPr>
          <w:t>Ep 4.24</w:t>
        </w:r>
      </w:hyperlink>
      <w:r>
        <w:t xml:space="preserve"> ; </w:t>
      </w:r>
      <w:hyperlink r:id="rId6667">
        <w:r>
          <w:rPr>
            <w:color w:val="0000EE"/>
            <w:u w:val="single"/>
          </w:rPr>
          <w:t>Col 3.10</w:t>
        </w:r>
      </w:hyperlink>
      <w:r>
        <w:t>). Ce processus s'achèvera au retour de Christ (</w:t>
      </w:r>
      <w:hyperlink r:id="rId315">
        <w:r>
          <w:rPr>
            <w:color w:val="0000EE"/>
            <w:u w:val="single"/>
          </w:rPr>
          <w:t>1Co 15.49</w:t>
        </w:r>
      </w:hyperlink>
      <w:r>
        <w:t>). L'image de Christ prend forme complètement chez le croyant. L'éthique du Nouveau Testament découle de cette nouvelle création. Le croyant est exhorté à vivre selon sa nouvelle identité en Christ (</w:t>
      </w:r>
      <w:hyperlink r:id="rId4248">
        <w:r>
          <w:rPr>
            <w:color w:val="0000EE"/>
            <w:u w:val="single"/>
          </w:rPr>
          <w:t>Rm 12.2</w:t>
        </w:r>
      </w:hyperlink>
      <w:r>
        <w:t xml:space="preserve"> ; </w:t>
      </w:r>
      <w:hyperlink r:id="rId2915">
        <w:r>
          <w:rPr>
            <w:color w:val="0000EE"/>
            <w:u w:val="single"/>
          </w:rPr>
          <w:t>Col 2.20</w:t>
        </w:r>
      </w:hyperlink>
      <w:r>
        <w:t>).</w:t>
      </w:r>
    </w:p>
    <w:p>
      <w:r/>
      <w:r>
        <w:rPr>
          <w:b/>
        </w:rPr>
        <w:t>L'Avenir de la nouvelle création</w:t>
      </w:r>
    </w:p>
    <w:p>
      <w:r/>
      <w:r>
        <w:t>Bien que la nouvelle création soit une réalité présente, elle est aussi une espérance future. Le croyant vit « par la foi et non par la vue » (</w:t>
      </w:r>
      <w:hyperlink r:id="rId10901">
        <w:r>
          <w:rPr>
            <w:color w:val="0000EE"/>
            <w:u w:val="single"/>
          </w:rPr>
          <w:t>2Co 5.7</w:t>
        </w:r>
      </w:hyperlink>
      <w:r>
        <w:t xml:space="preserve">). Il attend avec impatience le retour de Christ et l'accomplissement de la prophétie d'Ésaïe de « </w:t>
      </w:r>
      <w:r>
        <w:t>nouveaux cieux et une nouvelle terre, où la justice habitera</w:t>
      </w:r>
      <w:r>
        <w:t xml:space="preserve"> » (</w:t>
      </w:r>
      <w:hyperlink r:id="rId4432">
        <w:r>
          <w:rPr>
            <w:color w:val="0000EE"/>
            <w:u w:val="single"/>
          </w:rPr>
          <w:t>2P 3.13</w:t>
        </w:r>
      </w:hyperlink>
      <w:r>
        <w:t xml:space="preserve"> ; </w:t>
      </w:r>
      <w:hyperlink r:id="rId10902">
        <w:r>
          <w:rPr>
            <w:color w:val="0000EE"/>
            <w:u w:val="single"/>
          </w:rPr>
          <w:t>Ap 21.1–4</w:t>
        </w:r>
      </w:hyperlink>
      <w:r>
        <w:t>). Dans cette nouvelle création, le péché et ses effets ne seront plus.</w:t>
      </w:r>
    </w:p>
    <w:p>
      <w:r/>
      <w:r>
        <w:t xml:space="preserve">Cette espérance soulève des questions sur le lien entre l'ordre final et la création originale. </w:t>
      </w:r>
      <w:hyperlink r:id="rId10903">
        <w:r>
          <w:rPr>
            <w:color w:val="0000EE"/>
            <w:u w:val="single"/>
          </w:rPr>
          <w:t>2 Pierre 3.10–12</w:t>
        </w:r>
      </w:hyperlink>
      <w:r>
        <w:t xml:space="preserve"> et </w:t>
      </w:r>
      <w:hyperlink r:id="rId10051">
        <w:r>
          <w:rPr>
            <w:color w:val="0000EE"/>
            <w:u w:val="single"/>
          </w:rPr>
          <w:t>Apocalypse 21</w:t>
        </w:r>
      </w:hyperlink>
      <w:r>
        <w:t xml:space="preserve"> et </w:t>
      </w:r>
      <w:hyperlink r:id="rId10904">
        <w:r>
          <w:rPr>
            <w:color w:val="0000EE"/>
            <w:u w:val="single"/>
          </w:rPr>
          <w:t>22</w:t>
        </w:r>
      </w:hyperlink>
      <w:r>
        <w:t xml:space="preserve"> décrivent une destruction par le feu. Ils suggèrent une fin complète, car il n'y a ni soleil, ni lune, ni nuit (voir </w:t>
      </w:r>
      <w:hyperlink r:id="rId10905">
        <w:r>
          <w:rPr>
            <w:color w:val="0000EE"/>
            <w:u w:val="single"/>
          </w:rPr>
          <w:t>Ap 6.12–14</w:t>
        </w:r>
      </w:hyperlink>
      <w:r>
        <w:t>). Certains, toutefois, interprètent cela de manière figurative. Les corps naturel et spirituel diffèrent avant et après la résurrection (</w:t>
      </w:r>
      <w:hyperlink r:id="rId5004">
        <w:r>
          <w:rPr>
            <w:color w:val="0000EE"/>
            <w:u w:val="single"/>
          </w:rPr>
          <w:t>1Co 15.44</w:t>
        </w:r>
      </w:hyperlink>
      <w:r>
        <w:t>). Ils restent toutefois liés. Le corps, désormais décomposé et faible, est enterré dans le déshonneur ; mais il ressuscitera, incorruptible, glorieux et puissant. Il en va de même pour la création. Toute la création aspire ardemment et gémit non pas pour la destruction, mais pour la liberté de la décomposition. Elle vise à partager la gloire des enfants de Dieu, révélée dans la résurrection (</w:t>
      </w:r>
      <w:hyperlink r:id="rId10906">
        <w:r>
          <w:rPr>
            <w:color w:val="0000EE"/>
            <w:u w:val="single"/>
          </w:rPr>
          <w:t>Rm 8.19–23</w:t>
        </w:r>
      </w:hyperlink>
      <w:r>
        <w:t>). La nouvelle création n'est pas un pur retour au passé. Elle est, plutôt, renouvellement ; l'apogée du plan de Dieu. Elle a été réalisée grâce à la rédemption du Christ, malgré le péché humain et ses effets.</w:t>
      </w:r>
    </w:p>
    <w:p>
      <w:r/>
      <w:r>
        <w:rPr>
          <w:i/>
        </w:rPr>
        <w:t>Voir</w:t>
      </w:r>
      <w:r>
        <w:t xml:space="preserve"> </w:t>
      </w:r>
      <w:r>
        <w:t>Adam (Personne)</w:t>
      </w:r>
      <w:r>
        <w:t xml:space="preserve"> ; </w:t>
      </w:r>
      <w:r>
        <w:t>Création</w:t>
      </w:r>
      <w:r>
        <w:t xml:space="preserve"> ; </w:t>
      </w:r>
      <w:r>
        <w:t>Vie éternelle</w:t>
      </w:r>
      <w:r>
        <w:t xml:space="preserve"> ; </w:t>
      </w:r>
      <w:r>
        <w:t>Homme, ancien et nouveau</w:t>
      </w:r>
      <w:r>
        <w:t xml:space="preserve"> ; </w:t>
      </w:r>
      <w:r>
        <w:t>Nouveau</w:t>
      </w:r>
      <w:r>
        <w:t xml:space="preserve"> ; </w:t>
      </w:r>
      <w:r>
        <w:t>Nouveaux cieux et nouvelle terre</w:t>
      </w:r>
      <w:r>
        <w:t>.</w:t>
      </w:r>
      <w:r/>
      <w:r/>
    </w:p>
    <w:p>
      <w:r/>
    </w:p>
    <w:p>
      <w:pPr>
        <w:pStyle w:val="Heading2"/>
      </w:pPr>
      <w:r>
        <w:t>Nuit</w:t>
      </w:r>
      <w:r/>
    </w:p>
    <w:p>
      <w:r/>
      <w:r>
        <w:t>Le nom que l'Écriture donne au temps d'obscurité entre le crépuscule et l'aube, lorsque aucune lumière du soleil n'est visible. Par exemple :</w:t>
      </w:r>
    </w:p>
    <w:p>
      <w:pPr>
        <w:pStyle w:val="ListBullet"/>
        <w:spacing w:line="240" w:lineRule="auto"/>
        <w:ind w:left="720"/>
      </w:pPr>
      <w:r/>
      <w:r>
        <w:t>Joseph prend Marie et Jésus pour aller en Égypte de nuit (</w:t>
      </w:r>
      <w:hyperlink r:id="rId10907">
        <w:r>
          <w:rPr>
            <w:color w:val="0000EE"/>
            <w:u w:val="single"/>
          </w:rPr>
          <w:t>Mt 2.14</w:t>
        </w:r>
      </w:hyperlink>
      <w:r>
        <w:t>).</w:t>
      </w:r>
    </w:p>
    <w:p>
      <w:pPr>
        <w:pStyle w:val="ListBullet"/>
        <w:spacing w:line="240" w:lineRule="auto"/>
        <w:ind w:left="720"/>
      </w:pPr>
      <w:r/>
      <w:r>
        <w:t>Les bergers veillent sur leurs troupeaux la nuit (</w:t>
      </w:r>
      <w:hyperlink r:id="rId10908">
        <w:r>
          <w:rPr>
            <w:color w:val="0000EE"/>
            <w:u w:val="single"/>
          </w:rPr>
          <w:t>Lc 2.8</w:t>
        </w:r>
      </w:hyperlink>
      <w:r>
        <w:t>).</w:t>
      </w:r>
    </w:p>
    <w:p>
      <w:pPr>
        <w:pStyle w:val="ListBullet"/>
        <w:spacing w:line="240" w:lineRule="auto"/>
        <w:ind w:left="720"/>
      </w:pPr>
      <w:r/>
      <w:r>
        <w:t>Nicodème vient voir Jésus la nuit (</w:t>
      </w:r>
      <w:hyperlink r:id="rId10909">
        <w:r>
          <w:rPr>
            <w:color w:val="0000EE"/>
            <w:u w:val="single"/>
          </w:rPr>
          <w:t>Jn 3.2</w:t>
        </w:r>
      </w:hyperlink>
      <w:r>
        <w:t>).</w:t>
      </w:r>
    </w:p>
    <w:p>
      <w:pPr>
        <w:pStyle w:val="ListBullet"/>
        <w:spacing w:line="240" w:lineRule="auto"/>
        <w:ind w:left="720"/>
      </w:pPr>
      <w:r/>
      <w:r>
        <w:t>Un ange du Seigneur ouvre les portes de la prison la nuit pour en faire sortir les disciples (</w:t>
      </w:r>
      <w:hyperlink r:id="rId925">
        <w:r>
          <w:rPr>
            <w:color w:val="0000EE"/>
            <w:u w:val="single"/>
          </w:rPr>
          <w:t>Ac 5.19</w:t>
        </w:r>
      </w:hyperlink>
      <w:r>
        <w:t>).</w:t>
      </w:r>
    </w:p>
    <w:p>
      <w:pPr>
        <w:pStyle w:val="Heading3"/>
      </w:pPr>
      <w:r>
        <w:t>Qu'est-ce que la nuit dans la Bible ?</w:t>
      </w:r>
    </w:p>
    <w:p>
      <w:r/>
      <w:r>
        <w:t xml:space="preserve">Selon </w:t>
      </w:r>
      <w:hyperlink r:id="rId2644">
        <w:r>
          <w:rPr>
            <w:color w:val="0000EE"/>
            <w:u w:val="single"/>
          </w:rPr>
          <w:t>Genèse 1</w:t>
        </w:r>
      </w:hyperlink>
      <w:r>
        <w:t>, Dieu a mis en place le cycle jour-nuit, et « nuit » est le nom donné à la période d'obscurité (</w:t>
      </w:r>
      <w:hyperlink r:id="rId10910">
        <w:r>
          <w:rPr>
            <w:color w:val="0000EE"/>
            <w:u w:val="single"/>
          </w:rPr>
          <w:t>Gn 1.5</w:t>
        </w:r>
      </w:hyperlink>
      <w:r>
        <w:t xml:space="preserve">). Dieu a placé les lumières dans les cieux, désignant le soleil pour présider au jour, et la lune à la nuit (v. </w:t>
      </w:r>
      <w:hyperlink r:id="rId10911">
        <w:r>
          <w:rPr>
            <w:color w:val="0000EE"/>
            <w:u w:val="single"/>
          </w:rPr>
          <w:t>16–18</w:t>
        </w:r>
      </w:hyperlink>
      <w:r>
        <w:t>). L'alliance (accord spécial) du Seigneur est la base de la régularité du cycle du jour et de la nuit.</w:t>
      </w:r>
    </w:p>
    <w:p>
      <w:pPr>
        <w:pStyle w:val="Heading3"/>
      </w:pPr>
      <w:r>
        <w:t>Comment la nuit était-elle mesurée ?</w:t>
      </w:r>
    </w:p>
    <w:p>
      <w:r/>
      <w:r>
        <w:t>La nuit dans l'Ancien Testament (AT) était divisée en trois périodes ou « veilles ». Le terme « veille » pourrait provenir de la pratique de changer le garde ou le veilleur à ces moments-là. Les 300 hommes de Gédéon font sonner leurs trompettes et brisent leurs cruches au début de la « veille du milieu » (</w:t>
      </w:r>
      <w:hyperlink r:id="rId10912">
        <w:r>
          <w:rPr>
            <w:color w:val="0000EE"/>
            <w:u w:val="single"/>
          </w:rPr>
          <w:t>Jg 7.19</w:t>
        </w:r>
      </w:hyperlink>
      <w:r>
        <w:t>). Bien qu'aucune référence dans l'AT ne donne les limites de ces trois périodes, la nuit était considérée comme commençant au coucher du soleil. Ainsi, les trois veilles ressemblaient probablement à ceci :</w:t>
      </w:r>
    </w:p>
    <w:p>
      <w:pPr>
        <w:pStyle w:val="ListBullet"/>
        <w:spacing w:line="240" w:lineRule="auto"/>
        <w:ind w:left="720"/>
      </w:pPr>
      <w:r/>
      <w:r>
        <w:t>18h00 à 22h00</w:t>
      </w:r>
    </w:p>
    <w:p>
      <w:pPr>
        <w:pStyle w:val="ListBullet"/>
        <w:spacing w:line="240" w:lineRule="auto"/>
        <w:ind w:left="720"/>
      </w:pPr>
      <w:r/>
      <w:r>
        <w:t>22h00 à 2h00</w:t>
      </w:r>
    </w:p>
    <w:p>
      <w:pPr>
        <w:pStyle w:val="ListBullet"/>
        <w:spacing w:line="240" w:lineRule="auto"/>
        <w:ind w:left="720"/>
      </w:pPr>
      <w:r/>
      <w:r>
        <w:t>2h00 à 6h00</w:t>
      </w:r>
    </w:p>
    <w:p>
      <w:r/>
      <w:r>
        <w:t>Plus tard, les calculs romains ont divisé la nuit en quatre veilles. Certains historiens pensent que les veilles commençaient à :</w:t>
      </w:r>
    </w:p>
    <w:p>
      <w:pPr>
        <w:pStyle w:val="ListBullet"/>
        <w:spacing w:line="240" w:lineRule="auto"/>
        <w:ind w:left="720"/>
      </w:pPr>
      <w:r/>
      <w:r>
        <w:t>21h30</w:t>
      </w:r>
    </w:p>
    <w:p>
      <w:pPr>
        <w:pStyle w:val="ListBullet"/>
        <w:spacing w:line="240" w:lineRule="auto"/>
        <w:ind w:left="720"/>
      </w:pPr>
      <w:r/>
      <w:r>
        <w:t>minuit</w:t>
      </w:r>
    </w:p>
    <w:p>
      <w:pPr>
        <w:pStyle w:val="ListBullet"/>
        <w:spacing w:line="240" w:lineRule="auto"/>
        <w:ind w:left="720"/>
      </w:pPr>
      <w:r/>
      <w:r>
        <w:t>2h30</w:t>
      </w:r>
    </w:p>
    <w:p>
      <w:pPr>
        <w:pStyle w:val="ListBullet"/>
        <w:spacing w:line="240" w:lineRule="auto"/>
        <w:ind w:left="720"/>
      </w:pPr>
      <w:r/>
      <w:r>
        <w:t>5h00</w:t>
      </w:r>
    </w:p>
    <w:p>
      <w:r/>
      <w:r>
        <w:t>D'autres pensent que la période nocturne entre 18h00 et 6h00 était divisée en quatre périodes égales :</w:t>
      </w:r>
    </w:p>
    <w:p>
      <w:pPr>
        <w:pStyle w:val="ListBullet"/>
        <w:spacing w:line="240" w:lineRule="auto"/>
        <w:ind w:left="720"/>
      </w:pPr>
      <w:r/>
      <w:r>
        <w:t>la première commençant à 18h00</w:t>
      </w:r>
    </w:p>
    <w:p>
      <w:pPr>
        <w:pStyle w:val="ListBullet"/>
        <w:spacing w:line="240" w:lineRule="auto"/>
        <w:ind w:left="720"/>
      </w:pPr>
      <w:r/>
      <w:r>
        <w:t>la deuxième à 21h00</w:t>
      </w:r>
    </w:p>
    <w:p>
      <w:pPr>
        <w:pStyle w:val="ListBullet"/>
        <w:spacing w:line="240" w:lineRule="auto"/>
        <w:ind w:left="720"/>
      </w:pPr>
      <w:r/>
      <w:r>
        <w:t>la troisième à minuit</w:t>
      </w:r>
    </w:p>
    <w:p>
      <w:pPr>
        <w:pStyle w:val="ListBullet"/>
        <w:spacing w:line="240" w:lineRule="auto"/>
        <w:ind w:left="720"/>
      </w:pPr>
      <w:r/>
      <w:r>
        <w:t>la quatrième à 3h00</w:t>
      </w:r>
    </w:p>
    <w:p>
      <w:r/>
      <w:hyperlink r:id="rId9490">
        <w:r>
          <w:rPr>
            <w:color w:val="0000EE"/>
            <w:u w:val="single"/>
          </w:rPr>
          <w:t>Marc 13.35</w:t>
        </w:r>
      </w:hyperlink>
      <w:r>
        <w:t xml:space="preserve"> donne les désignations populaires de ces quatre veilles :</w:t>
      </w:r>
    </w:p>
    <w:p>
      <w:pPr>
        <w:pStyle w:val="ListBullet"/>
        <w:spacing w:line="240" w:lineRule="auto"/>
        <w:ind w:left="720"/>
      </w:pPr>
      <w:r/>
      <w:r>
        <w:t>le soir (tard dans la journée, ou début de soirée)</w:t>
      </w:r>
    </w:p>
    <w:p>
      <w:pPr>
        <w:pStyle w:val="ListBullet"/>
        <w:spacing w:line="240" w:lineRule="auto"/>
        <w:ind w:left="720"/>
      </w:pPr>
      <w:r/>
      <w:r>
        <w:t>au milieu de la nuit (minuit)</w:t>
      </w:r>
    </w:p>
    <w:p>
      <w:pPr>
        <w:pStyle w:val="ListBullet"/>
        <w:spacing w:line="240" w:lineRule="auto"/>
        <w:ind w:left="720"/>
      </w:pPr>
      <w:r/>
      <w:r>
        <w:t>au chant du coq</w:t>
      </w:r>
    </w:p>
    <w:p>
      <w:pPr>
        <w:pStyle w:val="ListBullet"/>
        <w:spacing w:line="240" w:lineRule="auto"/>
        <w:ind w:left="720"/>
      </w:pPr>
      <w:r/>
      <w:r>
        <w:t>le matin (tôt dans la matinée)</w:t>
      </w:r>
    </w:p>
    <w:p>
      <w:r/>
      <w:r>
        <w:t xml:space="preserve">Apparemment, </w:t>
      </w:r>
      <w:hyperlink r:id="rId10913">
        <w:r>
          <w:rPr>
            <w:color w:val="0000EE"/>
            <w:u w:val="single"/>
          </w:rPr>
          <w:t>Matthieu 14.25</w:t>
        </w:r>
      </w:hyperlink>
      <w:r>
        <w:t xml:space="preserve"> et </w:t>
      </w:r>
      <w:hyperlink r:id="rId9940">
        <w:r>
          <w:rPr>
            <w:color w:val="0000EE"/>
            <w:u w:val="single"/>
          </w:rPr>
          <w:t>Marc 6.48</w:t>
        </w:r>
      </w:hyperlink>
      <w:r>
        <w:t xml:space="preserve"> suivent le calcul romain : la marche de Jésus sur l'eau est associée à la quatrième veille de la nuit.</w:t>
      </w:r>
    </w:p>
    <w:p>
      <w:pPr>
        <w:pStyle w:val="Heading3"/>
      </w:pPr>
      <w:r>
        <w:t>Autres utilisations de « nuit »</w:t>
      </w:r>
    </w:p>
    <w:p>
      <w:r/>
      <w:r>
        <w:t>Une utilisation spéciale des mots « nuit » et « jour » souligne une période d'activité continue. Par exemple, Marc dit que l'homme avec un esprit impur était dans les montagnes et dans les tombeaux « nuit et jour » (</w:t>
      </w:r>
      <w:hyperlink r:id="rId10914">
        <w:r>
          <w:rPr>
            <w:color w:val="0000EE"/>
            <w:u w:val="single"/>
          </w:rPr>
          <w:t>Mc 5.5</w:t>
        </w:r>
      </w:hyperlink>
      <w:r>
        <w:t>). Paul dit qu'il travaillait « nuit et jour » afin de ne pas être un fardeau pour l'Église (</w:t>
      </w:r>
      <w:hyperlink r:id="rId5523">
        <w:r>
          <w:rPr>
            <w:color w:val="0000EE"/>
            <w:u w:val="single"/>
          </w:rPr>
          <w:t>1Th 2.9</w:t>
        </w:r>
      </w:hyperlink>
      <w:r>
        <w:t>). Plus tard dans le même livre, il parle de la façon dont il prie « nuit et jour » (</w:t>
      </w:r>
      <w:hyperlink r:id="rId10915">
        <w:r>
          <w:rPr>
            <w:color w:val="0000EE"/>
            <w:u w:val="single"/>
          </w:rPr>
          <w:t>3.10</w:t>
        </w:r>
      </w:hyperlink>
      <w:r>
        <w:t>).</w:t>
      </w:r>
    </w:p>
    <w:p>
      <w:r/>
      <w:r>
        <w:t>En plus de cet usage littéral du mot « nuit », il existe aussi un usage figuré ou métaphorique. Dans certains passages, ce terme décrit le jugement divin (</w:t>
      </w:r>
      <w:hyperlink r:id="rId840">
        <w:r>
          <w:rPr>
            <w:color w:val="0000EE"/>
            <w:u w:val="single"/>
          </w:rPr>
          <w:t>Am 5.8–9 ;</w:t>
        </w:r>
      </w:hyperlink>
      <w:r>
        <w:t xml:space="preserve"> </w:t>
      </w:r>
      <w:hyperlink r:id="rId3376">
        <w:r>
          <w:rPr>
            <w:color w:val="0000EE"/>
            <w:u w:val="single"/>
          </w:rPr>
          <w:t>Mi 3.6</w:t>
        </w:r>
      </w:hyperlink>
      <w:r>
        <w:t>). Jésus utilise également « nuit » pour désigner la mort (</w:t>
      </w:r>
      <w:hyperlink r:id="rId7673">
        <w:r>
          <w:rPr>
            <w:color w:val="0000EE"/>
            <w:u w:val="single"/>
          </w:rPr>
          <w:t>Jn 9.4</w:t>
        </w:r>
      </w:hyperlink>
      <w:r>
        <w:t>). Une fois que la nuit (la mort) arrive, il n'est plus temps de travailler.</w:t>
      </w:r>
    </w:p>
    <w:p>
      <w:r/>
      <w:r>
        <w:t>Paul compare cet âge présent (qui arrive bientôt à sa fin) à la nuit qui est avancée ou presque finie (</w:t>
      </w:r>
      <w:hyperlink r:id="rId10916">
        <w:r>
          <w:rPr>
            <w:color w:val="0000EE"/>
            <w:u w:val="single"/>
          </w:rPr>
          <w:t>Rm 13.12</w:t>
        </w:r>
      </w:hyperlink>
      <w:r>
        <w:t>). Encore une fois, Paul parle de lui-même et de ses lecteurs comme des enfants de la lumière et du jour, et non de la nuit et des ténèbres (</w:t>
      </w:r>
      <w:hyperlink r:id="rId7674">
        <w:r>
          <w:rPr>
            <w:color w:val="0000EE"/>
            <w:u w:val="single"/>
          </w:rPr>
          <w:t>1Th 5.5</w:t>
        </w:r>
      </w:hyperlink>
      <w:r>
        <w:t>). Dans ce contexte, Paul associe la nuit à la séparation d'avec Dieu, au péché, au manque de maîtrise de soi et à une vie insouciante. La nuit est également liée à l'aveuglement spirituel et à l'ignorance, notamment concernant le retour du Seigneur.</w:t>
      </w:r>
    </w:p>
    <w:p>
      <w:r/>
      <w:r>
        <w:rPr>
          <w:i/>
        </w:rPr>
        <w:t>Voir aussi</w:t>
      </w:r>
      <w:r>
        <w:t xml:space="preserve"> </w:t>
      </w:r>
      <w:r>
        <w:t>jour</w:t>
      </w:r>
      <w:r>
        <w:t>.</w:t>
      </w:r>
      <w:r/>
      <w:r/>
    </w:p>
    <w:p>
      <w:r/>
    </w:p>
    <w:p>
      <w:pPr>
        <w:pStyle w:val="Heading2"/>
      </w:pPr>
      <w:r>
        <w:t>Nuzi, Tablettes de Nuzi</w:t>
      </w:r>
      <w:r/>
    </w:p>
    <w:p>
      <w:r/>
      <w:r>
        <w:t>Ville du nord-est de la Mésopotamie, située à environ 15 km au sud-ouest de l'actuelle Kirkouk. Elle était à l'origine appelée Gasur, mais est désormais connue sous le nom de Yorgan Tepe. Des fouilles archéologiques qui ont eu lieu de 1925 à 1931 ont révélé de nombreuses découvertes intéressantes. Yorgan Tepe est célèbre pour ses tablettes d'argile, qui traitent principalement de transactions commerciales.</w:t>
      </w:r>
    </w:p>
    <w:p>
      <w:r/>
      <w:r>
        <w:t xml:space="preserve">Au 3e millénaire av. J.‑C., Gasur était principalement habitée par des peuples sémitiques. Au milieu du 2e millénaire, les résidents étaient des Hourrites, et le nom de la ville changera pour Nuzi. Les Hourrites sont identifiés comme les Horites dans la Bible (voir </w:t>
      </w:r>
      <w:hyperlink r:id="rId4620">
        <w:r>
          <w:rPr>
            <w:color w:val="0000EE"/>
            <w:u w:val="single"/>
          </w:rPr>
          <w:t>Gn 14.6</w:t>
        </w:r>
      </w:hyperlink>
      <w:r>
        <w:t xml:space="preserve"> ; </w:t>
      </w:r>
      <w:hyperlink r:id="rId10917">
        <w:r>
          <w:rPr>
            <w:color w:val="0000EE"/>
            <w:u w:val="single"/>
          </w:rPr>
          <w:t>36.20</w:t>
        </w:r>
      </w:hyperlink>
      <w:r>
        <w:t>–</w:t>
      </w:r>
      <w:hyperlink r:id="rId10917">
        <w:r>
          <w:rPr>
            <w:color w:val="0000EE"/>
            <w:u w:val="single"/>
          </w:rPr>
          <w:t>21</w:t>
        </w:r>
      </w:hyperlink>
      <w:r>
        <w:t xml:space="preserve"> ; </w:t>
      </w:r>
      <w:hyperlink r:id="rId6495">
        <w:r>
          <w:rPr>
            <w:color w:val="0000EE"/>
            <w:u w:val="single"/>
          </w:rPr>
          <w:t>Dt 2.12, 22</w:t>
        </w:r>
      </w:hyperlink>
      <w:r>
        <w:t>).</w:t>
      </w:r>
    </w:p>
    <w:p>
      <w:r/>
      <w:r>
        <w:t>De nombreuses tablettes d'argile datant du 3e millénaire av. J.‑C. ont été trouvées, incluant la plus ancienne carte connue. Les archives montrent que l'achat d'articles par paiement échelonné y était déjà pratiqué.</w:t>
      </w:r>
    </w:p>
    <w:p>
      <w:r/>
      <w:r>
        <w:t>Aux 15e et 14e siècles av. J.‑C., les scribes hourrites écriront des milliers de tablettes d'argile, principalement en babylonien. Ces documents fournissent de nombreuses informations sur les coutumes et pratiques juridiques du Proche-Orient, éclairant la période patriarcale de la Bible.</w:t>
      </w:r>
    </w:p>
    <w:p>
      <w:r/>
      <w:r>
        <w:t>Voici quelques exemples de connexions possibles entre Nuzi et la Bible :</w:t>
      </w:r>
    </w:p>
    <w:p>
      <w:pPr>
        <w:pStyle w:val="ListBullet"/>
        <w:spacing w:line="240" w:lineRule="auto"/>
        <w:ind w:left="720"/>
      </w:pPr>
      <w:r/>
      <w:r>
        <w:t>À Nuzi, une épouse sans enfant pouvait donner sa servante à son mari pour avoir des enfants en son nom. Cette pratique sera suivie par Saraï, Rachel et Léa (</w:t>
      </w:r>
      <w:hyperlink r:id="rId348">
        <w:r>
          <w:rPr>
            <w:color w:val="0000EE"/>
            <w:u w:val="single"/>
          </w:rPr>
          <w:t>Gn 16.1</w:t>
        </w:r>
      </w:hyperlink>
      <w:r>
        <w:t>–</w:t>
      </w:r>
      <w:hyperlink r:id="rId348">
        <w:r>
          <w:rPr>
            <w:color w:val="0000EE"/>
            <w:u w:val="single"/>
          </w:rPr>
          <w:t>4</w:t>
        </w:r>
      </w:hyperlink>
      <w:r>
        <w:t xml:space="preserve"> ; </w:t>
      </w:r>
      <w:hyperlink r:id="rId6946">
        <w:r>
          <w:rPr>
            <w:color w:val="0000EE"/>
            <w:u w:val="single"/>
          </w:rPr>
          <w:t>Gn 30.1</w:t>
        </w:r>
      </w:hyperlink>
      <w:r>
        <w:t>–</w:t>
      </w:r>
      <w:hyperlink r:id="rId6946">
        <w:r>
          <w:rPr>
            <w:color w:val="0000EE"/>
            <w:u w:val="single"/>
          </w:rPr>
          <w:t>8</w:t>
        </w:r>
      </w:hyperlink>
      <w:r>
        <w:t xml:space="preserve"> ; </w:t>
      </w:r>
      <w:hyperlink r:id="rId10918">
        <w:r>
          <w:rPr>
            <w:color w:val="0000EE"/>
            <w:u w:val="single"/>
          </w:rPr>
          <w:t>Gn 30.9</w:t>
        </w:r>
      </w:hyperlink>
      <w:r>
        <w:t>–</w:t>
      </w:r>
      <w:hyperlink r:id="rId10918">
        <w:r>
          <w:rPr>
            <w:color w:val="0000EE"/>
            <w:u w:val="single"/>
          </w:rPr>
          <w:t>13</w:t>
        </w:r>
      </w:hyperlink>
      <w:r>
        <w:t>). Le père devait élever l'enfant comme la progéniture de son épouse légale, et l'épouse ne pouvait pas chasser l'enfant. Ainsi, Saraï n'avait pas le droit de chasser le fils d'Agar, Ismaël (</w:t>
      </w:r>
      <w:hyperlink r:id="rId10919">
        <w:r>
          <w:rPr>
            <w:color w:val="0000EE"/>
            <w:u w:val="single"/>
          </w:rPr>
          <w:t>Gn 16.4</w:t>
        </w:r>
      </w:hyperlink>
      <w:r>
        <w:t>–</w:t>
      </w:r>
      <w:hyperlink r:id="rId10919">
        <w:r>
          <w:rPr>
            <w:color w:val="0000EE"/>
            <w:u w:val="single"/>
          </w:rPr>
          <w:t>6</w:t>
        </w:r>
      </w:hyperlink>
      <w:r>
        <w:t>).</w:t>
      </w:r>
    </w:p>
    <w:p>
      <w:pPr>
        <w:pStyle w:val="ListBullet"/>
        <w:spacing w:line="240" w:lineRule="auto"/>
        <w:ind w:left="720"/>
      </w:pPr>
      <w:r/>
      <w:r>
        <w:t>À Nuzi, vendre des biens en dehors de sa famille était interdit. Pour contourner cela, les gens utilisaient l'adoption ou l'échange de biens. Pour les soins à vie et les frais d'enterrement, un riche propriétaire terrien pouvait être « adopté » par des paysans et recevoir leurs biens. Le même homme pouvait être adopté par trois-cents ou quatre-cents paysans. Un couple sans enfants pouvait adopter quelqu'un pour s'occuper d'eux et hériter de leurs biens, similaire à la relation entre Abram et son serviteur Éliézer (</w:t>
      </w:r>
      <w:hyperlink r:id="rId90">
        <w:r>
          <w:rPr>
            <w:color w:val="0000EE"/>
            <w:u w:val="single"/>
          </w:rPr>
          <w:t>Gn 15.2</w:t>
        </w:r>
      </w:hyperlink>
      <w:r>
        <w:t>). Des biens de peu de valeur pouvaient être échangés contre des biens de valeur, parfois avec de l'argent pour couvrir la différence. À Nuzi, un homme nommé Tehip-tilla a vendu ses droits d'héritage à son frère Kurpazah pour trois moutons, à l'instar d'Ésaü qui a vendu son droit d'aînesse à Jacob en échange d'un potage (</w:t>
      </w:r>
      <w:hyperlink r:id="rId6018">
        <w:r>
          <w:rPr>
            <w:color w:val="0000EE"/>
            <w:u w:val="single"/>
          </w:rPr>
          <w:t>Gn 25.27</w:t>
        </w:r>
      </w:hyperlink>
      <w:r>
        <w:t>–</w:t>
      </w:r>
      <w:hyperlink r:id="rId6018">
        <w:r>
          <w:rPr>
            <w:color w:val="0000EE"/>
            <w:u w:val="single"/>
          </w:rPr>
          <w:t>34</w:t>
        </w:r>
      </w:hyperlink>
      <w:r>
        <w:t>).</w:t>
      </w:r>
    </w:p>
    <w:p>
      <w:pPr>
        <w:pStyle w:val="ListBullet"/>
        <w:spacing w:line="240" w:lineRule="auto"/>
        <w:ind w:left="720"/>
      </w:pPr>
      <w:r/>
      <w:r>
        <w:t>À Nuzi, un testament oral ou une bénédiction donnée sur un lit de mort était juridiquement contraignant. Un dénommé Huya, sur son lit de mort, donnera à son fils Tarmiya une épouse, Sululi-Ishtar. Les deux frères de Tarmiya contesteront la question devant tribunal, mais le juge confirma les droits de Tarmiya. De même, Isaac se devra d'honorer la bénédiction qu'il avait donnée à Jacob, même si elle avait été obtenue par tromperie (</w:t>
      </w:r>
      <w:hyperlink r:id="rId6937">
        <w:r>
          <w:rPr>
            <w:color w:val="0000EE"/>
            <w:u w:val="single"/>
          </w:rPr>
          <w:t>Gn 27.33</w:t>
        </w:r>
      </w:hyperlink>
      <w:r>
        <w:t>).</w:t>
      </w:r>
    </w:p>
    <w:p>
      <w:pPr>
        <w:pStyle w:val="ListBullet"/>
        <w:spacing w:line="240" w:lineRule="auto"/>
        <w:ind w:left="720"/>
      </w:pPr>
      <w:r/>
      <w:r>
        <w:t>À Nuzi, la personne qui possédait les dieux domestiques (</w:t>
      </w:r>
      <w:r>
        <w:rPr>
          <w:i/>
        </w:rPr>
        <w:t>théraphim</w:t>
      </w:r>
      <w:r>
        <w:t xml:space="preserve">) héritait des biens du propriétaire. Voilà pourquoi Rachel a pris les </w:t>
      </w:r>
      <w:r>
        <w:rPr>
          <w:i/>
        </w:rPr>
        <w:t>théraphim</w:t>
      </w:r>
      <w:r>
        <w:t xml:space="preserve"> de son père Laban (</w:t>
      </w:r>
      <w:hyperlink r:id="rId10920">
        <w:r>
          <w:rPr>
            <w:color w:val="0000EE"/>
            <w:u w:val="single"/>
          </w:rPr>
          <w:t>Gn 31.19</w:t>
        </w:r>
      </w:hyperlink>
      <w:r>
        <w:t>). Laban était très contrarié par leur disparition (</w:t>
      </w:r>
      <w:hyperlink r:id="rId10921">
        <w:r>
          <w:rPr>
            <w:color w:val="0000EE"/>
            <w:u w:val="single"/>
          </w:rPr>
          <w:t>Gn 31.30</w:t>
        </w:r>
      </w:hyperlink>
      <w:r>
        <w:t>–</w:t>
      </w:r>
      <w:hyperlink r:id="rId10921">
        <w:r>
          <w:rPr>
            <w:color w:val="0000EE"/>
            <w:u w:val="single"/>
          </w:rPr>
          <w:t>35</w:t>
        </w:r>
      </w:hyperlink>
      <w:r>
        <w:t>).</w:t>
      </w:r>
    </w:p>
    <w:p>
      <w:pPr>
        <w:pStyle w:val="ListBullet"/>
        <w:spacing w:line="240" w:lineRule="auto"/>
        <w:ind w:left="720"/>
      </w:pPr>
      <w:r/>
      <w:r>
        <w:t>Un autre exemple d'adoption est similaire à un cas dans la Bible. Nashwi adoptera Wullu et donnera sa fille Nuhuya en mariage à celui-ci. Si Wullu épousait une autre femme, il perdrait la propriété de Nashwi. De même, Laban fera promettre à Jacob de ne pas prendre une autre femme en dehors de Léa et Rachel (</w:t>
      </w:r>
      <w:hyperlink r:id="rId10922">
        <w:r>
          <w:rPr>
            <w:color w:val="0000EE"/>
            <w:u w:val="single"/>
          </w:rPr>
          <w:t>Gn 31.50</w:t>
        </w:r>
      </w:hyperlink>
      <w:r>
        <w:t>).</w:t>
      </w:r>
    </w:p>
    <w:p>
      <w:r/>
      <w:r>
        <w:rPr>
          <w:i/>
        </w:rPr>
        <w:t>Voir aussi</w:t>
      </w:r>
      <w:r>
        <w:t xml:space="preserve"> </w:t>
      </w:r>
      <w:r>
        <w:t>Inscriptions</w:t>
      </w:r>
      <w:r>
        <w:t>.</w:t>
      </w:r>
      <w:r/>
      <w:r/>
    </w:p>
    <w:p>
      <w:r/>
    </w:p>
    <w:p>
      <w:pPr>
        <w:pStyle w:val="Heading2"/>
      </w:pPr>
      <w:r>
        <w:t>Obal</w:t>
      </w:r>
      <w:r/>
    </w:p>
    <w:p>
      <w:r/>
      <w:r>
        <w:t xml:space="preserve">Orthographe alternative d'Ébal, descendant de Jokthan, dans </w:t>
      </w:r>
      <w:hyperlink r:id="rId44">
        <w:r>
          <w:rPr>
            <w:color w:val="0000EE"/>
            <w:u w:val="single"/>
          </w:rPr>
          <w:t>Genèse 10.28</w:t>
        </w:r>
      </w:hyperlink>
      <w:r>
        <w:t xml:space="preserve">. </w:t>
      </w:r>
      <w:r>
        <w:rPr>
          <w:i/>
        </w:rPr>
        <w:t>Voir</w:t>
      </w:r>
      <w:r>
        <w:t xml:space="preserve"> </w:t>
      </w:r>
      <w:r>
        <w:t>Ébal n° 2</w:t>
      </w:r>
      <w:r>
        <w:t>.</w:t>
      </w:r>
      <w:r/>
      <w:r/>
    </w:p>
    <w:p>
      <w:r/>
    </w:p>
    <w:p>
      <w:pPr>
        <w:pStyle w:val="Heading2"/>
      </w:pPr>
      <w:r>
        <w:t>Obscurité</w:t>
      </w:r>
      <w:r/>
    </w:p>
    <w:p>
      <w:r/>
      <w:r>
        <w:t>Absence de lumière ou de clarté. Dans la Bible, le mot « obscurité » a généralement une signification symbolique plutôt qu'une simple description de lieux dénués de lumière.</w:t>
      </w:r>
    </w:p>
    <w:p>
      <w:pPr>
        <w:pStyle w:val="Heading3"/>
      </w:pPr>
      <w:r>
        <w:t>Obscurité littérale dans la Bible</w:t>
      </w:r>
    </w:p>
    <w:p>
      <w:r/>
      <w:r>
        <w:t>Dans le récit de la création, Dieu a d'abord créé le monde sans lumière. Puis, Dieu a ordonné à la lumière d'apparaître et a séparé la lumière des ténèbres. Il a appelé les ténèbres « nuit » (</w:t>
      </w:r>
      <w:hyperlink r:id="rId10923">
        <w:r>
          <w:rPr>
            <w:color w:val="0000EE"/>
            <w:u w:val="single"/>
          </w:rPr>
          <w:t>Gn 1.2, 4–5, 18</w:t>
        </w:r>
      </w:hyperlink>
      <w:r>
        <w:t>). Les ténèbres littérales sont également mentionnées lors des plaies en Égypte. La neuvième plaie était une obscurité qui pouvait être « ressentie » (</w:t>
      </w:r>
      <w:hyperlink r:id="rId10924">
        <w:r>
          <w:rPr>
            <w:color w:val="0000EE"/>
            <w:u w:val="single"/>
          </w:rPr>
          <w:t>Ex 10.21</w:t>
        </w:r>
      </w:hyperlink>
      <w:r>
        <w:t>–</w:t>
      </w:r>
      <w:hyperlink r:id="rId10924">
        <w:r>
          <w:rPr>
            <w:color w:val="0000EE"/>
            <w:u w:val="single"/>
          </w:rPr>
          <w:t>23</w:t>
        </w:r>
      </w:hyperlink>
      <w:r>
        <w:t>). Les ténèbres ont duré trois jours et n'ont affecté que les Égyptiens. Partout où se trouvaient les Égyptiens, il faisait sombre, mais là où se trouvaient les Israélites, il y avait de la lumière. Les Israélites ont quitté l'Égypte accompagnés d'un nuage qui rendait la lumière pour les Israélites mais sombre pour les Égyptiens (</w:t>
      </w:r>
      <w:hyperlink r:id="rId9261">
        <w:r>
          <w:rPr>
            <w:color w:val="0000EE"/>
            <w:u w:val="single"/>
          </w:rPr>
          <w:t>Ex 14.20</w:t>
        </w:r>
      </w:hyperlink>
      <w:r>
        <w:t>). La Bible dit que les voleurs et les adultères commettent leurs actes maléfiques dans l'obscurité ou la nuit (</w:t>
      </w:r>
      <w:hyperlink r:id="rId10925">
        <w:r>
          <w:rPr>
            <w:color w:val="0000EE"/>
            <w:u w:val="single"/>
          </w:rPr>
          <w:t>Jb 24.16–17</w:t>
        </w:r>
      </w:hyperlink>
      <w:r>
        <w:t>).</w:t>
      </w:r>
    </w:p>
    <w:p>
      <w:r/>
      <w:r>
        <w:t>Le Nouveau Testament mentionne l'obscurité littérale (pas l'obscurité symbolique) à deux reprises. La première fois fut lorsque Jésus est mort sur la croix. Pendant trois heures, de midi jusqu'à 15h00, le pays fut couvert d'obscurité (</w:t>
      </w:r>
      <w:hyperlink r:id="rId10926">
        <w:r>
          <w:rPr>
            <w:color w:val="0000EE"/>
            <w:u w:val="single"/>
          </w:rPr>
          <w:t>Mt 27.45</w:t>
        </w:r>
      </w:hyperlink>
      <w:r>
        <w:t xml:space="preserve"> ; </w:t>
      </w:r>
      <w:hyperlink r:id="rId10927">
        <w:r>
          <w:rPr>
            <w:color w:val="0000EE"/>
            <w:u w:val="single"/>
          </w:rPr>
          <w:t>Mc 15.33</w:t>
        </w:r>
      </w:hyperlink>
      <w:r>
        <w:t xml:space="preserve"> ; </w:t>
      </w:r>
      <w:hyperlink r:id="rId10928">
        <w:r>
          <w:rPr>
            <w:color w:val="0000EE"/>
            <w:u w:val="single"/>
          </w:rPr>
          <w:t>Lc 23.44</w:t>
        </w:r>
      </w:hyperlink>
      <w:r>
        <w:t>). Lors de la seconde venue du Christ, « le soleil s'obscurcira, la lune ne donnera plus sa lumière » (</w:t>
      </w:r>
      <w:hyperlink r:id="rId1437">
        <w:r>
          <w:rPr>
            <w:color w:val="0000EE"/>
            <w:u w:val="single"/>
          </w:rPr>
          <w:t>Mt 24.29</w:t>
        </w:r>
      </w:hyperlink>
      <w:r>
        <w:t>).</w:t>
      </w:r>
    </w:p>
    <w:p>
      <w:pPr>
        <w:pStyle w:val="Heading3"/>
      </w:pPr>
      <w:r>
        <w:t>Dieu contrôle la lumière et les ténèbres</w:t>
      </w:r>
    </w:p>
    <w:p>
      <w:r/>
      <w:r>
        <w:t>Plusieurs versets bibliques décrivent l'obscurité comme entourant Dieu. Cela commence par l'idée d'un simple manque de lumière, mais prend ensuite une signification plus profonde. Dieu parle à Moïse sur la montagne du Sinaï depuis un nuage épais et sombre (</w:t>
      </w:r>
      <w:hyperlink r:id="rId10929">
        <w:r>
          <w:rPr>
            <w:color w:val="0000EE"/>
            <w:u w:val="single"/>
          </w:rPr>
          <w:t>Ex 20.21</w:t>
        </w:r>
      </w:hyperlink>
      <w:r>
        <w:t xml:space="preserve"> ; </w:t>
      </w:r>
      <w:hyperlink r:id="rId10930">
        <w:r>
          <w:rPr>
            <w:color w:val="0000EE"/>
            <w:u w:val="single"/>
          </w:rPr>
          <w:t>Dt 4.11</w:t>
        </w:r>
      </w:hyperlink>
      <w:r>
        <w:t>). Ou encore, Dieu parle du milieu de l'obscurité (</w:t>
      </w:r>
      <w:hyperlink r:id="rId10931">
        <w:r>
          <w:rPr>
            <w:color w:val="0000EE"/>
            <w:u w:val="single"/>
          </w:rPr>
          <w:t>Dt 5.23</w:t>
        </w:r>
      </w:hyperlink>
      <w:r>
        <w:t>). L'obscurité est décrite comme l'abri ou le manteau de Dieu (</w:t>
      </w:r>
      <w:hyperlink r:id="rId10932">
        <w:r>
          <w:rPr>
            <w:color w:val="0000EE"/>
            <w:u w:val="single"/>
          </w:rPr>
          <w:t>2S 22.12</w:t>
        </w:r>
      </w:hyperlink>
      <w:r>
        <w:t xml:space="preserve"> ; </w:t>
      </w:r>
      <w:hyperlink r:id="rId10933">
        <w:r>
          <w:rPr>
            <w:color w:val="0000EE"/>
            <w:u w:val="single"/>
          </w:rPr>
          <w:t>Ps 18.11</w:t>
        </w:r>
      </w:hyperlink>
      <w:r>
        <w:t xml:space="preserve"> ; </w:t>
      </w:r>
      <w:hyperlink r:id="rId10934">
        <w:r>
          <w:rPr>
            <w:color w:val="0000EE"/>
            <w:u w:val="single"/>
          </w:rPr>
          <w:t>97.2</w:t>
        </w:r>
      </w:hyperlink>
      <w:r>
        <w:t>).</w:t>
      </w:r>
    </w:p>
    <w:p>
      <w:r/>
      <w:r>
        <w:t>Dieu a le pouvoir sur la lumière et l'obscurité :</w:t>
      </w:r>
    </w:p>
    <w:p>
      <w:pPr>
        <w:pStyle w:val="ListBullet"/>
        <w:spacing w:line="240" w:lineRule="auto"/>
        <w:ind w:left="720"/>
      </w:pPr>
      <w:r/>
      <w:r>
        <w:t>Dieu contrôle où vont la lumière et les ténèbres (</w:t>
      </w:r>
      <w:hyperlink r:id="rId10935">
        <w:r>
          <w:rPr>
            <w:color w:val="0000EE"/>
            <w:u w:val="single"/>
          </w:rPr>
          <w:t>Jb 26.10</w:t>
        </w:r>
      </w:hyperlink>
      <w:r>
        <w:t>).</w:t>
      </w:r>
    </w:p>
    <w:p>
      <w:pPr>
        <w:pStyle w:val="ListBullet"/>
        <w:spacing w:line="240" w:lineRule="auto"/>
        <w:ind w:left="720"/>
      </w:pPr>
      <w:r/>
      <w:r>
        <w:t>Dieu fait venir l'obscurité (</w:t>
      </w:r>
      <w:hyperlink r:id="rId10936">
        <w:r>
          <w:rPr>
            <w:color w:val="0000EE"/>
            <w:u w:val="single"/>
          </w:rPr>
          <w:t>Ps 104.20</w:t>
        </w:r>
      </w:hyperlink>
      <w:r>
        <w:t xml:space="preserve"> ; </w:t>
      </w:r>
      <w:hyperlink r:id="rId10937">
        <w:r>
          <w:rPr>
            <w:color w:val="0000EE"/>
            <w:u w:val="single"/>
          </w:rPr>
          <w:t>105.28</w:t>
        </w:r>
      </w:hyperlink>
      <w:r>
        <w:t>).</w:t>
      </w:r>
    </w:p>
    <w:p>
      <w:pPr>
        <w:pStyle w:val="ListBullet"/>
        <w:spacing w:line="240" w:lineRule="auto"/>
        <w:ind w:left="720"/>
      </w:pPr>
      <w:r/>
      <w:r>
        <w:t>Dieu crée la lumière et les ténèbres (</w:t>
      </w:r>
      <w:hyperlink r:id="rId10938">
        <w:r>
          <w:rPr>
            <w:color w:val="0000EE"/>
            <w:u w:val="single"/>
          </w:rPr>
          <w:t>Es 45.7</w:t>
        </w:r>
      </w:hyperlink>
      <w:r>
        <w:t>).</w:t>
      </w:r>
    </w:p>
    <w:p>
      <w:r/>
      <w:r>
        <w:t>La Bible dit également que Dieu habite dans une profonde obscurité (</w:t>
      </w:r>
      <w:hyperlink r:id="rId10939">
        <w:r>
          <w:rPr>
            <w:color w:val="0000EE"/>
            <w:u w:val="single"/>
          </w:rPr>
          <w:t>1R 8.12</w:t>
        </w:r>
      </w:hyperlink>
      <w:r>
        <w:t xml:space="preserve"> ; </w:t>
      </w:r>
      <w:hyperlink r:id="rId10940">
        <w:r>
          <w:rPr>
            <w:color w:val="0000EE"/>
            <w:u w:val="single"/>
          </w:rPr>
          <w:t>2Ch 6.1</w:t>
        </w:r>
      </w:hyperlink>
      <w:r>
        <w:t>). Une obscurité épaisse se trouve sous les pieds de Dieu (</w:t>
      </w:r>
      <w:hyperlink r:id="rId10941">
        <w:r>
          <w:rPr>
            <w:color w:val="0000EE"/>
            <w:u w:val="single"/>
          </w:rPr>
          <w:t>2S 22.10</w:t>
        </w:r>
      </w:hyperlink>
      <w:r>
        <w:t xml:space="preserve"> ; </w:t>
      </w:r>
      <w:hyperlink r:id="rId10942">
        <w:r>
          <w:rPr>
            <w:color w:val="0000EE"/>
            <w:u w:val="single"/>
          </w:rPr>
          <w:t>Ps 18.9</w:t>
        </w:r>
      </w:hyperlink>
      <w:r>
        <w:t>).</w:t>
      </w:r>
    </w:p>
    <w:p>
      <w:pPr>
        <w:pStyle w:val="Heading3"/>
      </w:pPr>
      <w:r>
        <w:t>L'obscurité comme symbole</w:t>
      </w:r>
    </w:p>
    <w:p>
      <w:r/>
      <w:r>
        <w:t>La Bible utilise souvent l'obscurité comme symbole, surtout dans les livres poétiques tels que Job, les Psaumes et Ésaïe. Quand la Bible emploie l'obscurité de cette manière, cela fait généralement référence au fait de ne pas connaître la volonté de Dieu. La Bible utilise la lumière et l'obscurité pour expliquer quelque chose d'important : connaître Dieu est comme bénéficier de la lumière. Ne pas connaître Dieu, c'est se trouver dans l'obscurité (</w:t>
      </w:r>
      <w:hyperlink r:id="rId10943">
        <w:r>
          <w:rPr>
            <w:color w:val="0000EE"/>
            <w:u w:val="single"/>
          </w:rPr>
          <w:t>Jb 12.24–25</w:t>
        </w:r>
      </w:hyperlink>
      <w:r>
        <w:t xml:space="preserve">; </w:t>
      </w:r>
      <w:hyperlink r:id="rId9298">
        <w:r>
          <w:rPr>
            <w:color w:val="0000EE"/>
            <w:u w:val="single"/>
          </w:rPr>
          <w:t>Mt 4.16</w:t>
        </w:r>
      </w:hyperlink>
      <w:r>
        <w:t xml:space="preserve">; </w:t>
      </w:r>
      <w:hyperlink r:id="rId9302">
        <w:r>
          <w:rPr>
            <w:color w:val="0000EE"/>
            <w:u w:val="single"/>
          </w:rPr>
          <w:t>Jn 1.5</w:t>
        </w:r>
      </w:hyperlink>
      <w:r>
        <w:t xml:space="preserve">; </w:t>
      </w:r>
      <w:hyperlink r:id="rId1980">
        <w:r>
          <w:rPr>
            <w:color w:val="0000EE"/>
            <w:u w:val="single"/>
          </w:rPr>
          <w:t>8.12</w:t>
        </w:r>
      </w:hyperlink>
      <w:r>
        <w:t xml:space="preserve">; </w:t>
      </w:r>
      <w:hyperlink r:id="rId10944">
        <w:r>
          <w:rPr>
            <w:color w:val="0000EE"/>
            <w:u w:val="single"/>
          </w:rPr>
          <w:t>12.35, 46</w:t>
        </w:r>
      </w:hyperlink>
      <w:r>
        <w:t xml:space="preserve">; </w:t>
      </w:r>
      <w:hyperlink r:id="rId9291">
        <w:r>
          <w:rPr>
            <w:color w:val="0000EE"/>
            <w:u w:val="single"/>
          </w:rPr>
          <w:t>1 Jn 1.5</w:t>
        </w:r>
      </w:hyperlink>
      <w:r>
        <w:t xml:space="preserve">; </w:t>
      </w:r>
      <w:hyperlink r:id="rId10945">
        <w:r>
          <w:rPr>
            <w:color w:val="0000EE"/>
            <w:u w:val="single"/>
          </w:rPr>
          <w:t>2.8–9, 11</w:t>
        </w:r>
      </w:hyperlink>
      <w:r>
        <w:t>).</w:t>
      </w:r>
    </w:p>
    <w:p>
      <w:r/>
      <w:r>
        <w:t>Dans le livre de Job, l'obscurité signifie parfois le vide complet (</w:t>
      </w:r>
      <w:hyperlink r:id="rId10946">
        <w:r>
          <w:rPr>
            <w:color w:val="0000EE"/>
            <w:u w:val="single"/>
          </w:rPr>
          <w:t>Jb 3.4–6</w:t>
        </w:r>
      </w:hyperlink>
      <w:r>
        <w:t>). La Bible utilise également l'obscurité pour parler de la mort. Elle décrit le lieu des morts comme une terre sombre sans lumière (</w:t>
      </w:r>
      <w:hyperlink r:id="rId10947">
        <w:r>
          <w:rPr>
            <w:color w:val="0000EE"/>
            <w:u w:val="single"/>
          </w:rPr>
          <w:t>Jb 10.21–22</w:t>
        </w:r>
      </w:hyperlink>
      <w:r>
        <w:t xml:space="preserve">; </w:t>
      </w:r>
      <w:hyperlink r:id="rId10948">
        <w:r>
          <w:rPr>
            <w:color w:val="0000EE"/>
            <w:u w:val="single"/>
          </w:rPr>
          <w:t>15.24</w:t>
        </w:r>
      </w:hyperlink>
      <w:r>
        <w:t xml:space="preserve">; </w:t>
      </w:r>
      <w:hyperlink r:id="rId10949">
        <w:r>
          <w:rPr>
            <w:color w:val="0000EE"/>
            <w:u w:val="single"/>
          </w:rPr>
          <w:t>17.12–13</w:t>
        </w:r>
      </w:hyperlink>
      <w:r>
        <w:t xml:space="preserve">; </w:t>
      </w:r>
      <w:hyperlink r:id="rId10950">
        <w:r>
          <w:rPr>
            <w:color w:val="0000EE"/>
            <w:u w:val="single"/>
          </w:rPr>
          <w:t>18.18</w:t>
        </w:r>
      </w:hyperlink>
      <w:r>
        <w:t xml:space="preserve">; </w:t>
      </w:r>
      <w:hyperlink r:id="rId10951">
        <w:r>
          <w:rPr>
            <w:color w:val="0000EE"/>
            <w:u w:val="single"/>
          </w:rPr>
          <w:t>Ec 6.4</w:t>
        </w:r>
      </w:hyperlink>
      <w:r>
        <w:t xml:space="preserve">; </w:t>
      </w:r>
      <w:hyperlink r:id="rId10952">
        <w:r>
          <w:rPr>
            <w:color w:val="0000EE"/>
            <w:u w:val="single"/>
          </w:rPr>
          <w:t>11.8</w:t>
        </w:r>
      </w:hyperlink>
      <w:r>
        <w:t>).</w:t>
      </w:r>
    </w:p>
    <w:p>
      <w:r/>
      <w:r>
        <w:t>Dans la Bible, l'obscurité représente souvent des sentiments négatifs tels que la peur et l'inquiétude. Elle peut également signifier les problèmes que rencontrent les pécheurs (</w:t>
      </w:r>
      <w:hyperlink r:id="rId10953">
        <w:r>
          <w:rPr>
            <w:color w:val="0000EE"/>
            <w:u w:val="single"/>
          </w:rPr>
          <w:t>Gn 15.12</w:t>
        </w:r>
      </w:hyperlink>
      <w:r>
        <w:t xml:space="preserve">; </w:t>
      </w:r>
      <w:hyperlink r:id="rId10954">
        <w:r>
          <w:rPr>
            <w:color w:val="0000EE"/>
            <w:u w:val="single"/>
          </w:rPr>
          <w:t>Jb 5.14</w:t>
        </w:r>
      </w:hyperlink>
      <w:r>
        <w:t xml:space="preserve">; </w:t>
      </w:r>
      <w:hyperlink r:id="rId9284">
        <w:r>
          <w:rPr>
            <w:color w:val="0000EE"/>
            <w:u w:val="single"/>
          </w:rPr>
          <w:t>12.25</w:t>
        </w:r>
      </w:hyperlink>
      <w:r>
        <w:t xml:space="preserve">; </w:t>
      </w:r>
      <w:hyperlink r:id="rId10955">
        <w:r>
          <w:rPr>
            <w:color w:val="0000EE"/>
            <w:u w:val="single"/>
          </w:rPr>
          <w:t>15.22, 30</w:t>
        </w:r>
      </w:hyperlink>
      <w:r>
        <w:t xml:space="preserve">; </w:t>
      </w:r>
      <w:hyperlink r:id="rId10956">
        <w:r>
          <w:rPr>
            <w:color w:val="0000EE"/>
            <w:u w:val="single"/>
          </w:rPr>
          <w:t>19.8</w:t>
        </w:r>
      </w:hyperlink>
      <w:r>
        <w:t xml:space="preserve">; </w:t>
      </w:r>
      <w:hyperlink r:id="rId10957">
        <w:r>
          <w:rPr>
            <w:color w:val="0000EE"/>
            <w:u w:val="single"/>
          </w:rPr>
          <w:t>22.11</w:t>
        </w:r>
      </w:hyperlink>
      <w:r>
        <w:t xml:space="preserve">; </w:t>
      </w:r>
      <w:hyperlink r:id="rId10958">
        <w:r>
          <w:rPr>
            <w:color w:val="0000EE"/>
            <w:u w:val="single"/>
          </w:rPr>
          <w:t>Ps 35.6</w:t>
        </w:r>
      </w:hyperlink>
      <w:r>
        <w:t xml:space="preserve">; </w:t>
      </w:r>
      <w:hyperlink r:id="rId10959">
        <w:r>
          <w:rPr>
            <w:color w:val="0000EE"/>
            <w:u w:val="single"/>
          </w:rPr>
          <w:t>107.10, 14</w:t>
        </w:r>
      </w:hyperlink>
      <w:r>
        <w:t xml:space="preserve">; </w:t>
      </w:r>
      <w:hyperlink r:id="rId10960">
        <w:r>
          <w:rPr>
            <w:color w:val="0000EE"/>
            <w:u w:val="single"/>
          </w:rPr>
          <w:t>Ec 5.17</w:t>
        </w:r>
      </w:hyperlink>
      <w:r>
        <w:t xml:space="preserve">; </w:t>
      </w:r>
      <w:hyperlink r:id="rId9944">
        <w:r>
          <w:rPr>
            <w:color w:val="0000EE"/>
            <w:u w:val="single"/>
          </w:rPr>
          <w:t>Es 5.30</w:t>
        </w:r>
      </w:hyperlink>
      <w:r>
        <w:t>). Parfois, la Bible utilise l'obscurité pour désigner un comportement mauvais (</w:t>
      </w:r>
      <w:hyperlink r:id="rId10961">
        <w:r>
          <w:rPr>
            <w:color w:val="0000EE"/>
            <w:u w:val="single"/>
          </w:rPr>
          <w:t>Pr 2.13</w:t>
        </w:r>
      </w:hyperlink>
      <w:r>
        <w:t xml:space="preserve">; </w:t>
      </w:r>
      <w:hyperlink r:id="rId10962">
        <w:r>
          <w:rPr>
            <w:color w:val="0000EE"/>
            <w:u w:val="single"/>
          </w:rPr>
          <w:t>4.19</w:t>
        </w:r>
      </w:hyperlink>
      <w:r>
        <w:t xml:space="preserve">; </w:t>
      </w:r>
      <w:hyperlink r:id="rId10963">
        <w:r>
          <w:rPr>
            <w:color w:val="0000EE"/>
            <w:u w:val="single"/>
          </w:rPr>
          <w:t>Es 5.20</w:t>
        </w:r>
      </w:hyperlink>
      <w:r>
        <w:t xml:space="preserve">; </w:t>
      </w:r>
      <w:hyperlink r:id="rId10964">
        <w:r>
          <w:rPr>
            <w:color w:val="0000EE"/>
            <w:u w:val="single"/>
          </w:rPr>
          <w:t>60.2</w:t>
        </w:r>
      </w:hyperlink>
      <w:r>
        <w:t>). Dans le Nouveau Testament, lorsque les auteurs parlent de l'obscurité, ils parlent généralement de deux choses : les personnes qui font des choses mauvaises et celles qui ne comprennent pas la vérité de Dieu (</w:t>
      </w:r>
      <w:hyperlink r:id="rId9298">
        <w:r>
          <w:rPr>
            <w:color w:val="0000EE"/>
            <w:u w:val="single"/>
          </w:rPr>
          <w:t>Mt 4.16</w:t>
        </w:r>
      </w:hyperlink>
      <w:r>
        <w:t xml:space="preserve">; </w:t>
      </w:r>
      <w:hyperlink r:id="rId9310">
        <w:r>
          <w:rPr>
            <w:color w:val="0000EE"/>
            <w:u w:val="single"/>
          </w:rPr>
          <w:t>6.23</w:t>
        </w:r>
      </w:hyperlink>
      <w:r>
        <w:t xml:space="preserve">; </w:t>
      </w:r>
      <w:hyperlink r:id="rId10965">
        <w:r>
          <w:rPr>
            <w:color w:val="0000EE"/>
            <w:u w:val="single"/>
          </w:rPr>
          <w:t>Lc 1.79</w:t>
        </w:r>
      </w:hyperlink>
      <w:r>
        <w:t xml:space="preserve">; </w:t>
      </w:r>
      <w:hyperlink r:id="rId9311">
        <w:r>
          <w:rPr>
            <w:color w:val="0000EE"/>
            <w:u w:val="single"/>
          </w:rPr>
          <w:t>11.35</w:t>
        </w:r>
      </w:hyperlink>
      <w:r>
        <w:t xml:space="preserve">; </w:t>
      </w:r>
      <w:hyperlink r:id="rId10966">
        <w:r>
          <w:rPr>
            <w:color w:val="0000EE"/>
            <w:u w:val="single"/>
          </w:rPr>
          <w:t>22.53</w:t>
        </w:r>
      </w:hyperlink>
      <w:r>
        <w:t xml:space="preserve">; </w:t>
      </w:r>
      <w:hyperlink r:id="rId10967">
        <w:r>
          <w:rPr>
            <w:color w:val="0000EE"/>
            <w:u w:val="single"/>
          </w:rPr>
          <w:t>Rm 2.19</w:t>
        </w:r>
      </w:hyperlink>
      <w:r>
        <w:t xml:space="preserve">; </w:t>
      </w:r>
      <w:hyperlink r:id="rId2944">
        <w:r>
          <w:rPr>
            <w:color w:val="0000EE"/>
            <w:u w:val="single"/>
          </w:rPr>
          <w:t>Col 1.13</w:t>
        </w:r>
      </w:hyperlink>
      <w:r>
        <w:t>).</w:t>
      </w:r>
    </w:p>
    <w:p>
      <w:r/>
      <w:r>
        <w:t>Les prophètes de l'Ancien Testament ont souvent mis par écrit une référence à un moment particulier qu'ils appelaient « le Jour du Seigneur ». Ils annonçaient que ce jour serait très sombre (</w:t>
      </w:r>
      <w:hyperlink r:id="rId10968">
        <w:r>
          <w:rPr>
            <w:color w:val="0000EE"/>
            <w:u w:val="single"/>
          </w:rPr>
          <w:t>Ez 32.8</w:t>
        </w:r>
      </w:hyperlink>
      <w:r>
        <w:t xml:space="preserve"> ; </w:t>
      </w:r>
      <w:hyperlink r:id="rId10969">
        <w:r>
          <w:rPr>
            <w:color w:val="0000EE"/>
            <w:u w:val="single"/>
          </w:rPr>
          <w:t>Jl 2.2, 31</w:t>
        </w:r>
      </w:hyperlink>
      <w:r>
        <w:t xml:space="preserve"> ; </w:t>
      </w:r>
      <w:hyperlink r:id="rId10970">
        <w:r>
          <w:rPr>
            <w:color w:val="0000EE"/>
            <w:u w:val="single"/>
          </w:rPr>
          <w:t>Am 5.18, 20</w:t>
        </w:r>
      </w:hyperlink>
      <w:r>
        <w:t xml:space="preserve"> ; </w:t>
      </w:r>
      <w:hyperlink r:id="rId10971">
        <w:r>
          <w:rPr>
            <w:color w:val="0000EE"/>
            <w:u w:val="single"/>
          </w:rPr>
          <w:t>So 1.15</w:t>
        </w:r>
      </w:hyperlink>
      <w:r>
        <w:t>). Le Nouveau Testament parle également d'obscurité lorsqu'il décrit le moment où Jésus reviendra pour juger le monde (</w:t>
      </w:r>
      <w:hyperlink r:id="rId4661">
        <w:r>
          <w:rPr>
            <w:color w:val="0000EE"/>
            <w:u w:val="single"/>
          </w:rPr>
          <w:t>Mt 8.12</w:t>
        </w:r>
      </w:hyperlink>
      <w:r>
        <w:t xml:space="preserve"> ; </w:t>
      </w:r>
      <w:hyperlink r:id="rId4989">
        <w:r>
          <w:rPr>
            <w:color w:val="0000EE"/>
            <w:u w:val="single"/>
          </w:rPr>
          <w:t>22.13</w:t>
        </w:r>
      </w:hyperlink>
      <w:r>
        <w:t xml:space="preserve"> ; </w:t>
      </w:r>
      <w:hyperlink r:id="rId4990">
        <w:r>
          <w:rPr>
            <w:color w:val="0000EE"/>
            <w:u w:val="single"/>
          </w:rPr>
          <w:t>25.30</w:t>
        </w:r>
      </w:hyperlink>
      <w:r>
        <w:t xml:space="preserve"> ; </w:t>
      </w:r>
      <w:hyperlink r:id="rId10972">
        <w:r>
          <w:rPr>
            <w:color w:val="0000EE"/>
            <w:u w:val="single"/>
          </w:rPr>
          <w:t>2 P 2.17</w:t>
        </w:r>
      </w:hyperlink>
      <w:r>
        <w:t xml:space="preserve"> ; </w:t>
      </w:r>
      <w:hyperlink r:id="rId10973">
        <w:r>
          <w:rPr>
            <w:color w:val="0000EE"/>
            <w:u w:val="single"/>
          </w:rPr>
          <w:t>Jd 1.6, 13</w:t>
        </w:r>
      </w:hyperlink>
      <w:r>
        <w:t>). La Bible dit que lorsque les gens viennent à connaître Dieu, c'est comme passer des ténèbres à la lumière (</w:t>
      </w:r>
      <w:hyperlink r:id="rId10974">
        <w:r>
          <w:rPr>
            <w:color w:val="0000EE"/>
            <w:u w:val="single"/>
          </w:rPr>
          <w:t>Es 9.2</w:t>
        </w:r>
      </w:hyperlink>
      <w:r>
        <w:t xml:space="preserve"> ; </w:t>
      </w:r>
      <w:hyperlink r:id="rId10975">
        <w:r>
          <w:rPr>
            <w:color w:val="0000EE"/>
            <w:u w:val="single"/>
          </w:rPr>
          <w:t>29.18</w:t>
        </w:r>
      </w:hyperlink>
      <w:r>
        <w:t xml:space="preserve"> ; </w:t>
      </w:r>
      <w:hyperlink r:id="rId10976">
        <w:r>
          <w:rPr>
            <w:color w:val="0000EE"/>
            <w:u w:val="single"/>
          </w:rPr>
          <w:t>42.7</w:t>
        </w:r>
      </w:hyperlink>
      <w:r>
        <w:t>). Les ténèbres ne peuvent pas être un refuge contre Dieu (</w:t>
      </w:r>
      <w:hyperlink r:id="rId10977">
        <w:r>
          <w:rPr>
            <w:color w:val="0000EE"/>
            <w:u w:val="single"/>
          </w:rPr>
          <w:t>Jb 34.22</w:t>
        </w:r>
      </w:hyperlink>
      <w:r>
        <w:t xml:space="preserve"> ; </w:t>
      </w:r>
      <w:hyperlink r:id="rId10978">
        <w:r>
          <w:rPr>
            <w:color w:val="0000EE"/>
            <w:u w:val="single"/>
          </w:rPr>
          <w:t>Ps 139.11–12</w:t>
        </w:r>
      </w:hyperlink>
      <w:r>
        <w:t xml:space="preserve"> ; </w:t>
      </w:r>
      <w:hyperlink r:id="rId10979">
        <w:r>
          <w:rPr>
            <w:color w:val="0000EE"/>
            <w:u w:val="single"/>
          </w:rPr>
          <w:t>Es 29.15</w:t>
        </w:r>
      </w:hyperlink>
      <w:r>
        <w:t>).</w:t>
      </w:r>
    </w:p>
    <w:p>
      <w:r/>
      <w:r>
        <w:rPr>
          <w:i/>
        </w:rPr>
        <w:t>Voir aussi</w:t>
      </w:r>
      <w:r>
        <w:t xml:space="preserve"> </w:t>
      </w:r>
      <w:r>
        <w:t>Lumière</w:t>
      </w:r>
      <w:r>
        <w:t>.</w:t>
      </w:r>
      <w:r/>
      <w:r/>
    </w:p>
    <w:p>
      <w:r/>
    </w:p>
    <w:p>
      <w:pPr>
        <w:pStyle w:val="Heading2"/>
      </w:pPr>
      <w:r>
        <w:t>Offenser, Offense</w:t>
      </w:r>
      <w:r/>
    </w:p>
    <w:p>
      <w:r/>
      <w:r>
        <w:t>Les mots « offenser » et « offense » sont utilisés de deux manières principales dans la Bible :</w:t>
      </w:r>
    </w:p>
    <w:p>
      <w:pPr>
        <w:pStyle w:val="ListNumber"/>
        <w:spacing w:line="240" w:lineRule="auto"/>
        <w:ind w:left="720"/>
      </w:pPr>
      <w:r/>
      <w:r>
        <w:t>Faire quelque chose de mal soi-même</w:t>
      </w:r>
    </w:p>
    <w:p>
      <w:pPr>
        <w:pStyle w:val="ListNumber"/>
        <w:spacing w:line="240" w:lineRule="auto"/>
        <w:ind w:left="720"/>
      </w:pPr>
      <w:r/>
      <w:r>
        <w:t>Amener quelqu'un d'autre à faire le mal ou à commettre une erreur dans sa foi</w:t>
      </w:r>
    </w:p>
    <w:p>
      <w:pPr>
        <w:pStyle w:val="Heading3"/>
      </w:pPr>
      <w:r>
        <w:t>Faire le mal</w:t>
      </w:r>
    </w:p>
    <w:p>
      <w:r/>
      <w:r>
        <w:t>Dans l'Ancien Testament hébreu comme dans le Nouveau Testament grec, il existe de nombreux mots pour désigner le péché ou la faute. Lorsque nous utilisons les mots « offenser » ou « offense », nous nous concentrons sur le péché contre une personne ou la loi, ce qui signifie une offense contre Dieu ou les gens.</w:t>
      </w:r>
    </w:p>
    <w:p>
      <w:r/>
      <w:r>
        <w:t>Le péché est principalement une offense contre Dieu. Par exemple, le peuple d'Édom a offensé Dieu en se vengeant de Juda et Dieu les a donc jugés (</w:t>
      </w:r>
      <w:hyperlink r:id="rId10980">
        <w:r>
          <w:rPr>
            <w:color w:val="0000EE"/>
            <w:u w:val="single"/>
          </w:rPr>
          <w:t>Ez 25.12–13</w:t>
        </w:r>
      </w:hyperlink>
      <w:r>
        <w:t>). Israël a offensé Dieu en adorant Baal (</w:t>
      </w:r>
      <w:hyperlink r:id="rId10981">
        <w:r>
          <w:rPr>
            <w:color w:val="0000EE"/>
            <w:u w:val="single"/>
          </w:rPr>
          <w:t>Os 13.1</w:t>
        </w:r>
      </w:hyperlink>
      <w:r>
        <w:t>). Enfreindre la loi de Dieu est appelé une offense commise (</w:t>
      </w:r>
      <w:hyperlink r:id="rId4322">
        <w:r>
          <w:rPr>
            <w:color w:val="0000EE"/>
            <w:u w:val="single"/>
          </w:rPr>
          <w:t>Dt 19.15</w:t>
        </w:r>
      </w:hyperlink>
      <w:r>
        <w:t xml:space="preserve"> ; comparer </w:t>
      </w:r>
      <w:hyperlink r:id="rId10982">
        <w:r>
          <w:rPr>
            <w:color w:val="0000EE"/>
            <w:u w:val="single"/>
          </w:rPr>
          <w:t>22.26</w:t>
        </w:r>
      </w:hyperlink>
      <w:r>
        <w:t xml:space="preserve"> ; </w:t>
      </w:r>
      <w:hyperlink r:id="rId10983">
        <w:r>
          <w:rPr>
            <w:color w:val="0000EE"/>
            <w:u w:val="single"/>
          </w:rPr>
          <w:t>25.2</w:t>
        </w:r>
      </w:hyperlink>
      <w:r>
        <w:t>). Dans le Nouveau Testament, Jacques parle des offenses contre Dieu et la loi de Dieu (</w:t>
      </w:r>
      <w:hyperlink r:id="rId7011">
        <w:r>
          <w:rPr>
            <w:color w:val="0000EE"/>
            <w:u w:val="single"/>
          </w:rPr>
          <w:t>Jc 2.10</w:t>
        </w:r>
      </w:hyperlink>
      <w:r>
        <w:t xml:space="preserve"> ; </w:t>
      </w:r>
      <w:hyperlink r:id="rId10984">
        <w:r>
          <w:rPr>
            <w:color w:val="0000EE"/>
            <w:u w:val="single"/>
          </w:rPr>
          <w:t>3.2</w:t>
        </w:r>
      </w:hyperlink>
      <w:r>
        <w:t>).</w:t>
      </w:r>
    </w:p>
    <w:p>
      <w:r/>
      <w:r>
        <w:t>La Bible parle aussi d'offenses entre personnes. Abraham, par exemple, a offensé Abimélec (</w:t>
      </w:r>
      <w:hyperlink r:id="rId10985">
        <w:r>
          <w:rPr>
            <w:color w:val="0000EE"/>
            <w:u w:val="single"/>
          </w:rPr>
          <w:t>Gn 20.9</w:t>
        </w:r>
      </w:hyperlink>
      <w:r>
        <w:t>). Le chef échanson et le boulanger de Pharaon ont offensé leur maître (</w:t>
      </w:r>
      <w:hyperlink r:id="rId10986">
        <w:r>
          <w:rPr>
            <w:color w:val="0000EE"/>
            <w:u w:val="single"/>
          </w:rPr>
          <w:t>Gn 40.1</w:t>
        </w:r>
      </w:hyperlink>
      <w:r>
        <w:t xml:space="preserve">). Parfois, il y a une accusation d'offense causée, alors qu'aucun tort réel n'a été fait (voir </w:t>
      </w:r>
      <w:hyperlink r:id="rId10987">
        <w:r>
          <w:rPr>
            <w:color w:val="0000EE"/>
            <w:u w:val="single"/>
          </w:rPr>
          <w:t>Gn 31.36</w:t>
        </w:r>
      </w:hyperlink>
      <w:r>
        <w:t xml:space="preserve"> ; </w:t>
      </w:r>
      <w:hyperlink r:id="rId10093">
        <w:r>
          <w:rPr>
            <w:color w:val="0000EE"/>
            <w:u w:val="single"/>
          </w:rPr>
          <w:t>2R 18.14</w:t>
        </w:r>
      </w:hyperlink>
      <w:r>
        <w:t xml:space="preserve"> ; </w:t>
      </w:r>
      <w:hyperlink r:id="rId10988">
        <w:r>
          <w:rPr>
            <w:color w:val="0000EE"/>
            <w:u w:val="single"/>
          </w:rPr>
          <w:t>Jr 37.18</w:t>
        </w:r>
      </w:hyperlink>
      <w:r>
        <w:t xml:space="preserve">). Paul, se défendant devant le gouverneur romain Festus, dit : « </w:t>
      </w:r>
      <w:r>
        <w:t>Je n’ai rien fait de coupable, ni contre la loi des Juifs, ni contre le temple, ni contre César</w:t>
      </w:r>
      <w:r>
        <w:t xml:space="preserve"> » (</w:t>
      </w:r>
      <w:hyperlink r:id="rId10989">
        <w:r>
          <w:rPr>
            <w:color w:val="0000EE"/>
            <w:u w:val="single"/>
          </w:rPr>
          <w:t>Ac 25.8</w:t>
        </w:r>
      </w:hyperlink>
      <w:r>
        <w:t>).</w:t>
      </w:r>
    </w:p>
    <w:p>
      <w:r/>
      <w:r>
        <w:t>La Bible enseigne également comment faire dans le cas de véritables offenses commises contre Dieu et les gens. Les offenses doivent être reconnues et confessées (</w:t>
      </w:r>
      <w:hyperlink r:id="rId10990">
        <w:r>
          <w:rPr>
            <w:color w:val="0000EE"/>
            <w:u w:val="single"/>
          </w:rPr>
          <w:t>Os 5.15</w:t>
        </w:r>
      </w:hyperlink>
      <w:r>
        <w:t>). Job nous montre une résolution appropriée devant Dieu : « Je n'offenserai plus » (</w:t>
      </w:r>
      <w:hyperlink r:id="rId10991">
        <w:r>
          <w:rPr>
            <w:color w:val="0000EE"/>
            <w:u w:val="single"/>
          </w:rPr>
          <w:t>Jb 34.31</w:t>
        </w:r>
      </w:hyperlink>
      <w:r>
        <w:t>). Nous avons la responsabilité de réparer les offenses et de pardonner les offenses des autres (</w:t>
      </w:r>
      <w:hyperlink r:id="rId4138">
        <w:r>
          <w:rPr>
            <w:color w:val="0000EE"/>
            <w:u w:val="single"/>
          </w:rPr>
          <w:t>Ec 10.4</w:t>
        </w:r>
      </w:hyperlink>
      <w:r>
        <w:t xml:space="preserve"> ; </w:t>
      </w:r>
      <w:hyperlink r:id="rId10992">
        <w:r>
          <w:rPr>
            <w:color w:val="0000EE"/>
            <w:u w:val="single"/>
          </w:rPr>
          <w:t>Pr 17.9</w:t>
        </w:r>
      </w:hyperlink>
      <w:r>
        <w:t xml:space="preserve"> ; </w:t>
      </w:r>
      <w:hyperlink r:id="rId10993">
        <w:r>
          <w:rPr>
            <w:color w:val="0000EE"/>
            <w:u w:val="single"/>
          </w:rPr>
          <w:t>19.11</w:t>
        </w:r>
      </w:hyperlink>
      <w:r>
        <w:t>). Jésus-Christ est mort pour nos offenses (</w:t>
      </w:r>
      <w:hyperlink r:id="rId5185">
        <w:r>
          <w:rPr>
            <w:color w:val="0000EE"/>
            <w:u w:val="single"/>
          </w:rPr>
          <w:t>Rm 4.25</w:t>
        </w:r>
      </w:hyperlink>
      <w:r>
        <w:t xml:space="preserve"> ; </w:t>
      </w:r>
      <w:hyperlink r:id="rId10994">
        <w:r>
          <w:rPr>
            <w:color w:val="0000EE"/>
            <w:u w:val="single"/>
          </w:rPr>
          <w:t>5.15–21</w:t>
        </w:r>
      </w:hyperlink>
      <w:r>
        <w:t>). En se tournant vers Jésus, le pardon est disponible pour tous les péchés.</w:t>
      </w:r>
    </w:p>
    <w:p>
      <w:pPr>
        <w:pStyle w:val="Heading3"/>
      </w:pPr>
      <w:r>
        <w:t>Faire tomber quelqu'un dans le péché</w:t>
      </w:r>
    </w:p>
    <w:p>
      <w:r/>
      <w:r>
        <w:t>Les mots « offense » et « offenser » signifient également faire trébucher quelqu'un d'autre ou le pousser à commettre une erreur. Cela peut se produire de trois manières :</w:t>
      </w:r>
    </w:p>
    <w:p>
      <w:pPr>
        <w:pStyle w:val="ListNumber"/>
        <w:spacing w:line="240" w:lineRule="auto"/>
        <w:ind w:left="720"/>
      </w:pPr>
      <w:r/>
      <w:r>
        <w:rPr>
          <w:b/>
        </w:rPr>
        <w:t>Cause personnelle</w:t>
      </w:r>
      <w:r>
        <w:t xml:space="preserve"> : Quelque chose à l'intérieur d'une personne pourrait la faire trébucher. Jésus a souligné la gravité de cela et a suggéré de prendre des mesures extrêmes pour l'éviter (</w:t>
      </w:r>
      <w:hyperlink r:id="rId10995">
        <w:r>
          <w:rPr>
            <w:color w:val="0000EE"/>
            <w:u w:val="single"/>
          </w:rPr>
          <w:t>Mt 5.29–30</w:t>
        </w:r>
      </w:hyperlink>
      <w:r>
        <w:t xml:space="preserve"> ; </w:t>
      </w:r>
      <w:hyperlink r:id="rId10996">
        <w:r>
          <w:rPr>
            <w:color w:val="0000EE"/>
            <w:u w:val="single"/>
          </w:rPr>
          <w:t>18.8–9</w:t>
        </w:r>
      </w:hyperlink>
      <w:r>
        <w:t>).</w:t>
      </w:r>
    </w:p>
    <w:p>
      <w:pPr>
        <w:pStyle w:val="ListNumber"/>
        <w:spacing w:line="240" w:lineRule="auto"/>
        <w:ind w:left="720"/>
      </w:pPr>
      <w:r/>
      <w:r>
        <w:rPr>
          <w:b/>
        </w:rPr>
        <w:t>Faire trébucher les autres</w:t>
      </w:r>
      <w:r>
        <w:t xml:space="preserve"> : Les actions d'une personne pourraient faire trébucher les autres. Jésus nous avertit : « </w:t>
      </w:r>
      <w:r>
        <w:t>Malheur au monde à cause des scandales</w:t>
      </w:r>
      <w:r>
        <w:t xml:space="preserve"> ! </w:t>
      </w:r>
      <w:r>
        <w:t>Car il est nécessaire qu’il arrive des scandales</w:t>
      </w:r>
      <w:r>
        <w:t xml:space="preserve"> ; </w:t>
      </w:r>
      <w:r>
        <w:t>mais malheur à l’homme par qui le scandale arrive</w:t>
      </w:r>
      <w:r>
        <w:t xml:space="preserve"> ! » (</w:t>
      </w:r>
      <w:hyperlink r:id="rId10997">
        <w:r>
          <w:rPr>
            <w:color w:val="0000EE"/>
            <w:u w:val="single"/>
          </w:rPr>
          <w:t>Mt 18.7</w:t>
        </w:r>
      </w:hyperlink>
      <w:r>
        <w:t>) Le Nouveau Testament enseigne que nous devrions vivre de manière à ne pas faire trébucher les autres (</w:t>
      </w:r>
      <w:hyperlink r:id="rId5791">
        <w:r>
          <w:rPr>
            <w:color w:val="0000EE"/>
            <w:u w:val="single"/>
          </w:rPr>
          <w:t>Rm 14.13</w:t>
        </w:r>
      </w:hyperlink>
      <w:r>
        <w:t>). L'apôtre Paul dit ceci : « Pour un aliment, ne détruis pas l’œuvre de Dieu. À la vérité toutes choses sont pures ; mais il est mal à l’homme, quand il mange, de devenir une pierre d’achoppement. Il est bien de ne pas manger de viande, de ne pas boire de vin, et de s’abstenir de ce qui peut être pour ton frère une occasion de chute, de scandale ou de faiblesse » (</w:t>
      </w:r>
      <w:hyperlink r:id="rId10998">
        <w:r>
          <w:rPr>
            <w:color w:val="0000EE"/>
            <w:u w:val="single"/>
          </w:rPr>
          <w:t>Rm 14.20–21</w:t>
        </w:r>
      </w:hyperlink>
      <w:r>
        <w:t xml:space="preserve"> ; voir </w:t>
      </w:r>
      <w:hyperlink r:id="rId3258">
        <w:r>
          <w:rPr>
            <w:color w:val="0000EE"/>
            <w:u w:val="single"/>
          </w:rPr>
          <w:t>1Co 10.32</w:t>
        </w:r>
      </w:hyperlink>
      <w:r>
        <w:t xml:space="preserve"> ; </w:t>
      </w:r>
      <w:hyperlink r:id="rId10999">
        <w:r>
          <w:rPr>
            <w:color w:val="0000EE"/>
            <w:u w:val="single"/>
          </w:rPr>
          <w:t>2Co 6.3</w:t>
        </w:r>
      </w:hyperlink>
      <w:r>
        <w:t>).</w:t>
      </w:r>
    </w:p>
    <w:p>
      <w:pPr>
        <w:pStyle w:val="ListNumber"/>
        <w:spacing w:line="240" w:lineRule="auto"/>
        <w:ind w:left="720"/>
      </w:pPr>
      <w:r/>
      <w:r>
        <w:rPr>
          <w:b/>
        </w:rPr>
        <w:t>Offense face à la Vérité</w:t>
      </w:r>
      <w:r>
        <w:t xml:space="preserve"> : Les gens peuvent être offensés par la vérité, même si la personne qui la présente n'est pas en faute. Ésaïe décrit Dieu comme « une pierre d'achoppement et un rocher de scandale » (</w:t>
      </w:r>
      <w:hyperlink r:id="rId11000">
        <w:r>
          <w:rPr>
            <w:color w:val="0000EE"/>
            <w:u w:val="single"/>
          </w:rPr>
          <w:t>Es 8.14</w:t>
        </w:r>
      </w:hyperlink>
      <w:r>
        <w:t>) parce que les gens n'acceptaient pas toujours ses exigences et la voie de la foi en lui. Le Nouveau Testament applique ces mots à l'offense de l'Évangile de Christ (</w:t>
      </w:r>
      <w:hyperlink r:id="rId11001">
        <w:r>
          <w:rPr>
            <w:color w:val="0000EE"/>
            <w:u w:val="single"/>
          </w:rPr>
          <w:t>Rm 9.32–33</w:t>
        </w:r>
      </w:hyperlink>
      <w:r>
        <w:t xml:space="preserve"> ; </w:t>
      </w:r>
      <w:hyperlink r:id="rId11002">
        <w:r>
          <w:rPr>
            <w:color w:val="0000EE"/>
            <w:u w:val="single"/>
          </w:rPr>
          <w:t>1P 2.8</w:t>
        </w:r>
      </w:hyperlink>
      <w:r>
        <w:t>). Pendant son ministère, les gens étaient offensés par Jésus : par sa naissance humble (</w:t>
      </w:r>
      <w:hyperlink r:id="rId5812">
        <w:r>
          <w:rPr>
            <w:color w:val="0000EE"/>
            <w:u w:val="single"/>
          </w:rPr>
          <w:t>Mt 13.57</w:t>
        </w:r>
      </w:hyperlink>
      <w:r>
        <w:t>), par ses paroles et ses actes (</w:t>
      </w:r>
      <w:hyperlink r:id="rId11003">
        <w:r>
          <w:rPr>
            <w:color w:val="0000EE"/>
            <w:u w:val="single"/>
          </w:rPr>
          <w:t>Mt 15.12</w:t>
        </w:r>
      </w:hyperlink>
      <w:r>
        <w:t>), ou à cause du coût encourru par le discipulat (</w:t>
      </w:r>
      <w:hyperlink r:id="rId11004">
        <w:r>
          <w:rPr>
            <w:color w:val="0000EE"/>
            <w:u w:val="single"/>
          </w:rPr>
          <w:t>Mt 13.21</w:t>
        </w:r>
      </w:hyperlink>
      <w:r>
        <w:t>). Même certains disciples étaient offensés et se détournaient (</w:t>
      </w:r>
      <w:hyperlink r:id="rId11005">
        <w:r>
          <w:rPr>
            <w:color w:val="0000EE"/>
            <w:u w:val="single"/>
          </w:rPr>
          <w:t>Jn 6.61</w:t>
        </w:r>
      </w:hyperlink>
      <w:r>
        <w:t>). Enfin, tous ont fini par être offensés et se sont enfuis loin de lui (</w:t>
      </w:r>
      <w:hyperlink r:id="rId11006">
        <w:r>
          <w:rPr>
            <w:color w:val="0000EE"/>
            <w:u w:val="single"/>
          </w:rPr>
          <w:t>Mt 26.31, 56</w:t>
        </w:r>
      </w:hyperlink>
      <w:r>
        <w:t>). Paul parle de l'offense dans la prédication de la croix de Christ. Il aurait pu éviter la persécution en prêchant un message qui n'offensait personne (</w:t>
      </w:r>
      <w:hyperlink r:id="rId8536">
        <w:r>
          <w:rPr>
            <w:color w:val="0000EE"/>
            <w:u w:val="single"/>
          </w:rPr>
          <w:t>Ga 5.11</w:t>
        </w:r>
      </w:hyperlink>
      <w:r>
        <w:t>). Il a choisi de prêcher la croix, même si c'était un obstacle pour les Juifs et une folie pour les Gentils (</w:t>
      </w:r>
      <w:hyperlink r:id="rId2520">
        <w:r>
          <w:rPr>
            <w:color w:val="0000EE"/>
            <w:u w:val="single"/>
          </w:rPr>
          <w:t>1Co 1.23</w:t>
        </w:r>
      </w:hyperlink>
      <w:r>
        <w:t>).</w:t>
      </w:r>
    </w:p>
    <w:p>
      <w:r/>
      <w:r>
        <w:rPr>
          <w:i/>
        </w:rPr>
        <w:t>Voir aussi</w:t>
      </w:r>
      <w:r>
        <w:t xml:space="preserve"> </w:t>
      </w:r>
      <w:r>
        <w:t>Péché</w:t>
      </w:r>
      <w:r>
        <w:t>.</w:t>
      </w:r>
      <w:r/>
      <w:r/>
    </w:p>
    <w:p>
      <w:r/>
    </w:p>
    <w:p>
      <w:pPr>
        <w:pStyle w:val="Heading2"/>
      </w:pPr>
      <w:r>
        <w:t>Offrandes et Sacrifices</w:t>
      </w:r>
      <w:r/>
    </w:p>
    <w:p>
      <w:r/>
      <w:r>
        <w:t>Expressions rituelles principales de la vie religieuse, incluant les rites qui les accompagnent, tels que les libations, les effusions et les repas sacrés. L'idéologie exprimée dans le complexe rituel d'Israël rendait sa religion unique dans le Proche-Orient Ancien. Les concepts du rituel de l'Ancien Testament sous-tendent également la théologie du Nouveau Testament en ce qui concerne le péché et la réconciliation avec Dieu par la mort expiatoire de Jésus-Christ.</w:t>
      </w:r>
    </w:p>
    <w:p>
      <w:pPr>
        <w:pStyle w:val="Heading3"/>
      </w:pPr>
      <w:r>
        <w:t>Réalisation et Ordre des Sacrifices</w:t>
      </w:r>
    </w:p>
    <w:p>
      <w:r/>
      <w:r>
        <w:t>La principale source pour une description correcte de l'exécution du rituel sacrificiel est la section d'ouverture du Lévitique (</w:t>
      </w:r>
      <w:hyperlink r:id="rId10231">
        <w:r>
          <w:rPr>
            <w:color w:val="0000EE"/>
            <w:u w:val="single"/>
          </w:rPr>
          <w:t>Lv 1–7</w:t>
        </w:r>
      </w:hyperlink>
      <w:r>
        <w:t>). Elle se compose de deux parties distinctes. La première (</w:t>
      </w:r>
      <w:hyperlink r:id="rId11007">
        <w:r>
          <w:rPr>
            <w:color w:val="0000EE"/>
            <w:u w:val="single"/>
          </w:rPr>
          <w:t>1.1–6.7</w:t>
        </w:r>
      </w:hyperlink>
      <w:r>
        <w:t xml:space="preserve">) est didactique, traitant de deux catégories de sacrifices : ceux d'une « </w:t>
      </w:r>
      <w:r>
        <w:t>agréable odeur</w:t>
      </w:r>
      <w:r>
        <w:t xml:space="preserve"> », à savoir l'holocauste (</w:t>
      </w:r>
      <w:hyperlink r:id="rId11008">
        <w:r>
          <w:rPr>
            <w:color w:val="0000EE"/>
            <w:u w:val="single"/>
          </w:rPr>
          <w:t>1.1–17</w:t>
        </w:r>
      </w:hyperlink>
      <w:r>
        <w:t>), l'offrande de céréales (</w:t>
      </w:r>
      <w:hyperlink r:id="rId11009">
        <w:r>
          <w:rPr>
            <w:color w:val="0000EE"/>
            <w:u w:val="single"/>
          </w:rPr>
          <w:t>2.1–16</w:t>
        </w:r>
      </w:hyperlink>
      <w:r>
        <w:t>) et les sacrifices d'action de grâce (</w:t>
      </w:r>
      <w:hyperlink r:id="rId11010">
        <w:r>
          <w:rPr>
            <w:color w:val="0000EE"/>
            <w:u w:val="single"/>
          </w:rPr>
          <w:t>3.1–17</w:t>
        </w:r>
      </w:hyperlink>
      <w:r>
        <w:t>) ; et les sacrifices expiatoires, à savoir le sacrifice pour le péché (</w:t>
      </w:r>
      <w:hyperlink r:id="rId11011">
        <w:r>
          <w:rPr>
            <w:color w:val="0000EE"/>
            <w:u w:val="single"/>
          </w:rPr>
          <w:t>4.1–5.13</w:t>
        </w:r>
      </w:hyperlink>
      <w:r>
        <w:t>) et les sacrifices de culpabilité (</w:t>
      </w:r>
      <w:hyperlink r:id="rId11012">
        <w:r>
          <w:rPr>
            <w:color w:val="0000EE"/>
            <w:u w:val="single"/>
          </w:rPr>
          <w:t>5.14–6.7</w:t>
        </w:r>
      </w:hyperlink>
      <w:r>
        <w:t>). Une attention méticuleuse est accordée aux moindres détails de chaque rituel, et ils sont regroupés selon leurs associations logiques ou conceptuelles.</w:t>
      </w:r>
    </w:p>
    <w:p>
      <w:r/>
      <w:r>
        <w:t>L'offrande de céréales (ou de grain) suit l'holocauste car elle l'accompagnait toujours dans la pratique réelle (</w:t>
      </w:r>
      <w:hyperlink r:id="rId10777">
        <w:r>
          <w:rPr>
            <w:color w:val="0000EE"/>
            <w:u w:val="single"/>
          </w:rPr>
          <w:t>Nb 15.1–21</w:t>
        </w:r>
      </w:hyperlink>
      <w:r>
        <w:t xml:space="preserve"> ; chap. </w:t>
      </w:r>
      <w:hyperlink r:id="rId11013">
        <w:r>
          <w:rPr>
            <w:color w:val="0000EE"/>
            <w:u w:val="single"/>
          </w:rPr>
          <w:t>28–29</w:t>
        </w:r>
      </w:hyperlink>
      <w:r>
        <w:t>) ; elle accompagnait également les sacrifice d'action de grâce (</w:t>
      </w:r>
      <w:hyperlink r:id="rId11014">
        <w:r>
          <w:rPr>
            <w:color w:val="0000EE"/>
            <w:u w:val="single"/>
          </w:rPr>
          <w:t>Lv 7.12–14</w:t>
        </w:r>
      </w:hyperlink>
      <w:r>
        <w:t xml:space="preserve"> ; </w:t>
      </w:r>
      <w:hyperlink r:id="rId11015">
        <w:r>
          <w:rPr>
            <w:color w:val="0000EE"/>
            <w:u w:val="single"/>
          </w:rPr>
          <w:t>Nb 15.3–4</w:t>
        </w:r>
      </w:hyperlink>
      <w:r>
        <w:t xml:space="preserve">). Un accent particulier est mis sur la combustion des parties internes d'un sacrifice sur l'autel pour créer une « </w:t>
      </w:r>
      <w:r>
        <w:t>agréable odeur à l’Éternel</w:t>
      </w:r>
      <w:r>
        <w:t xml:space="preserve"> » (</w:t>
      </w:r>
      <w:hyperlink r:id="rId11016">
        <w:r>
          <w:rPr>
            <w:color w:val="0000EE"/>
            <w:u w:val="single"/>
          </w:rPr>
          <w:t>Lv 1.9, 17</w:t>
        </w:r>
      </w:hyperlink>
      <w:r>
        <w:t xml:space="preserve"> ; </w:t>
      </w:r>
      <w:hyperlink r:id="rId11017">
        <w:r>
          <w:rPr>
            <w:color w:val="0000EE"/>
            <w:u w:val="single"/>
          </w:rPr>
          <w:t>2.2, 9, 12</w:t>
        </w:r>
      </w:hyperlink>
      <w:r>
        <w:t xml:space="preserve"> ; </w:t>
      </w:r>
      <w:hyperlink r:id="rId11018">
        <w:r>
          <w:rPr>
            <w:color w:val="0000EE"/>
            <w:u w:val="single"/>
          </w:rPr>
          <w:t>3.5, 11, 16</w:t>
        </w:r>
      </w:hyperlink>
      <w:r>
        <w:t>). Lorsque le Seigneur sentait l'odeur agréable (</w:t>
      </w:r>
      <w:hyperlink r:id="rId11019">
        <w:r>
          <w:rPr>
            <w:color w:val="0000EE"/>
            <w:u w:val="single"/>
          </w:rPr>
          <w:t>Gn 8.21</w:t>
        </w:r>
      </w:hyperlink>
      <w:r>
        <w:t>), c'était un signe de faveur divine ; le refus indiquait le mécontentement de Dieu (</w:t>
      </w:r>
      <w:hyperlink r:id="rId11020">
        <w:r>
          <w:rPr>
            <w:color w:val="0000EE"/>
            <w:u w:val="single"/>
          </w:rPr>
          <w:t>Lv 26.31</w:t>
        </w:r>
      </w:hyperlink>
      <w:r>
        <w:t>). Le prêtre officiant savait apparemment comment lire ces signes et pouvait dire à l'offrant si son sacrifice avait été accepté (</w:t>
      </w:r>
      <w:hyperlink r:id="rId10308">
        <w:r>
          <w:rPr>
            <w:color w:val="0000EE"/>
            <w:u w:val="single"/>
          </w:rPr>
          <w:t>1S 26.19</w:t>
        </w:r>
      </w:hyperlink>
      <w:r>
        <w:t xml:space="preserve"> ; voir </w:t>
      </w:r>
      <w:hyperlink r:id="rId11021">
        <w:r>
          <w:rPr>
            <w:color w:val="0000EE"/>
            <w:u w:val="single"/>
          </w:rPr>
          <w:t>Am 5.21–23</w:t>
        </w:r>
      </w:hyperlink>
      <w:r>
        <w:t>).</w:t>
      </w:r>
    </w:p>
    <w:p>
      <w:r/>
      <w:r>
        <w:t>Les sacrifices pour le péché et de culpabilité étaient expiatoires (</w:t>
      </w:r>
      <w:hyperlink r:id="rId11022">
        <w:r>
          <w:rPr>
            <w:color w:val="0000EE"/>
            <w:u w:val="single"/>
          </w:rPr>
          <w:t>Lv 4.1–6.7</w:t>
        </w:r>
      </w:hyperlink>
      <w:r>
        <w:t xml:space="preserve">, </w:t>
      </w:r>
      <w:hyperlink r:id="rId6727">
        <w:r>
          <w:rPr>
            <w:color w:val="0000EE"/>
            <w:u w:val="single"/>
          </w:rPr>
          <w:t>20</w:t>
        </w:r>
      </w:hyperlink>
      <w:r>
        <w:t>). Les situations nécessitant de telles offrandes sont énumérées, et une attention particulière est accordée à la manipulation du sang dans le rituel.</w:t>
      </w:r>
    </w:p>
    <w:p>
      <w:r/>
      <w:r>
        <w:t>La deuxième section majeure de ce passage (</w:t>
      </w:r>
      <w:hyperlink r:id="rId11023">
        <w:r>
          <w:rPr>
            <w:color w:val="0000EE"/>
            <w:u w:val="single"/>
          </w:rPr>
          <w:t>Lv 6.8–7.38</w:t>
        </w:r>
      </w:hyperlink>
      <w:r>
        <w:t>) met l'accent sur les détails administratifs des différentes offrandes. Cette section se compose d'une série d'« instructions » pour chaque type d'offrande concernant la distribution des matériaux sacrificiels. Certains allaient au(x) prêtre(s), d'autres à l'offrant, et d'autres étaient brûlés sur l'autel ou éliminés hors du camp. Les sacrifices désignés comme « très saints » devaient être consommés uniquement par les membres qualifiés du sacerdoce (</w:t>
      </w:r>
      <w:hyperlink r:id="rId11024">
        <w:r>
          <w:rPr>
            <w:color w:val="0000EE"/>
            <w:u w:val="single"/>
          </w:rPr>
          <w:t>Lv 2.3, 10</w:t>
        </w:r>
      </w:hyperlink>
      <w:r>
        <w:t xml:space="preserve"> ; </w:t>
      </w:r>
      <w:hyperlink r:id="rId11025">
        <w:r>
          <w:rPr>
            <w:color w:val="0000EE"/>
            <w:u w:val="single"/>
          </w:rPr>
          <w:t>10.12–17</w:t>
        </w:r>
      </w:hyperlink>
      <w:r>
        <w:t xml:space="preserve"> ; </w:t>
      </w:r>
      <w:hyperlink r:id="rId11026">
        <w:r>
          <w:rPr>
            <w:color w:val="0000EE"/>
            <w:u w:val="single"/>
          </w:rPr>
          <w:t>14.13</w:t>
        </w:r>
      </w:hyperlink>
      <w:r>
        <w:t xml:space="preserve"> ; </w:t>
      </w:r>
      <w:hyperlink r:id="rId11027">
        <w:r>
          <w:rPr>
            <w:color w:val="0000EE"/>
            <w:u w:val="single"/>
          </w:rPr>
          <w:t>Nb 18.9</w:t>
        </w:r>
      </w:hyperlink>
      <w:r>
        <w:t>).</w:t>
      </w:r>
    </w:p>
    <w:p>
      <w:r/>
      <w:r>
        <w:t>L'holocauste est abordé en premier car il était entièrement consumé sur l'autel (et n'était donc mangé par quiconque). Ensuite, suivent les sacrifices distribués aux officiants (</w:t>
      </w:r>
      <w:hyperlink r:id="rId11028">
        <w:r>
          <w:rPr>
            <w:color w:val="0000EE"/>
            <w:u w:val="single"/>
          </w:rPr>
          <w:t>Lv 6.17, 26, 29</w:t>
        </w:r>
      </w:hyperlink>
      <w:r>
        <w:t xml:space="preserve"> ; </w:t>
      </w:r>
      <w:hyperlink r:id="rId11029">
        <w:r>
          <w:rPr>
            <w:color w:val="0000EE"/>
            <w:u w:val="single"/>
          </w:rPr>
          <w:t>7.1, 6</w:t>
        </w:r>
      </w:hyperlink>
      <w:r>
        <w:t>), et enfin viennent les sacrifices d'action de grâce, dont une partie significative était retournée au contrevenant.</w:t>
      </w:r>
    </w:p>
    <w:p>
      <w:r/>
      <w:r>
        <w:t>L'ordre dans lequel les sacrifices sont traités dans ce passage correspond également à leur fréquence relative dans les rituels du calendrier sacré (</w:t>
      </w:r>
      <w:hyperlink r:id="rId11030">
        <w:r>
          <w:rPr>
            <w:color w:val="0000EE"/>
            <w:u w:val="single"/>
          </w:rPr>
          <w:t>Nb 28.19</w:t>
        </w:r>
      </w:hyperlink>
      <w:r>
        <w:t xml:space="preserve"> ; </w:t>
      </w:r>
      <w:hyperlink r:id="rId11031">
        <w:r>
          <w:rPr>
            <w:color w:val="0000EE"/>
            <w:u w:val="single"/>
          </w:rPr>
          <w:t>2Ch 31.3</w:t>
        </w:r>
      </w:hyperlink>
      <w:r>
        <w:t xml:space="preserve"> ; </w:t>
      </w:r>
      <w:hyperlink r:id="rId5577">
        <w:r>
          <w:rPr>
            <w:color w:val="0000EE"/>
            <w:u w:val="single"/>
          </w:rPr>
          <w:t>Ez 45.17</w:t>
        </w:r>
      </w:hyperlink>
      <w:r>
        <w:t>). Ceci était particulièrement important pour les prêtres et les Lévites en service au temple, car ils étaient responsables de la logistique du rituel sacrificiel quotidien, surtout lors des grandes fêtes ; la gestion de l'entrepôt du temple était une tâche redoutable (</w:t>
      </w:r>
      <w:hyperlink r:id="rId11032">
        <w:r>
          <w:rPr>
            <w:color w:val="0000EE"/>
            <w:u w:val="single"/>
          </w:rPr>
          <w:t>1Ch 23.28–32</w:t>
        </w:r>
      </w:hyperlink>
      <w:r>
        <w:t xml:space="preserve"> ; </w:t>
      </w:r>
      <w:hyperlink r:id="rId11033">
        <w:r>
          <w:rPr>
            <w:color w:val="0000EE"/>
            <w:u w:val="single"/>
          </w:rPr>
          <w:t>26.15, 20–22</w:t>
        </w:r>
      </w:hyperlink>
      <w:r>
        <w:t xml:space="preserve"> ; </w:t>
      </w:r>
      <w:hyperlink r:id="rId11034">
        <w:r>
          <w:rPr>
            <w:color w:val="0000EE"/>
            <w:u w:val="single"/>
          </w:rPr>
          <w:t>2Ch 13.10–11</w:t>
        </w:r>
      </w:hyperlink>
      <w:r>
        <w:t xml:space="preserve"> ; </w:t>
      </w:r>
      <w:hyperlink r:id="rId11035">
        <w:r>
          <w:rPr>
            <w:color w:val="0000EE"/>
            <w:u w:val="single"/>
          </w:rPr>
          <w:t>30.3–19</w:t>
        </w:r>
      </w:hyperlink>
      <w:r>
        <w:t xml:space="preserve"> ; </w:t>
      </w:r>
      <w:hyperlink r:id="rId11036">
        <w:r>
          <w:rPr>
            <w:color w:val="0000EE"/>
            <w:u w:val="single"/>
          </w:rPr>
          <w:t>34.9–11</w:t>
        </w:r>
      </w:hyperlink>
      <w:r>
        <w:t>).</w:t>
      </w:r>
    </w:p>
    <w:p>
      <w:r/>
      <w:r>
        <w:t>Chaque section concernant une offrande particulière se termine par les détails logistiques ou administratifs qui lui sont propres. Suit ensuite, un résumé des sujets traités jusque-là (</w:t>
      </w:r>
      <w:hyperlink r:id="rId11037">
        <w:r>
          <w:rPr>
            <w:color w:val="0000EE"/>
            <w:u w:val="single"/>
          </w:rPr>
          <w:t>Lv 7.7–10</w:t>
        </w:r>
      </w:hyperlink>
      <w:r>
        <w:t xml:space="preserve">), et la section se termine par un traitement des sacrifices d'action de grâce (v. </w:t>
      </w:r>
      <w:hyperlink r:id="rId11038">
        <w:r>
          <w:rPr>
            <w:color w:val="0000EE"/>
            <w:u w:val="single"/>
          </w:rPr>
          <w:t>11–36</w:t>
        </w:r>
      </w:hyperlink>
      <w:r>
        <w:t>). Ces derniers ne jouaient pas de rôle dans le calendrier sacré, sauf lors de la fête des semaines (</w:t>
      </w:r>
      <w:hyperlink r:id="rId11039">
        <w:r>
          <w:rPr>
            <w:color w:val="0000EE"/>
            <w:u w:val="single"/>
          </w:rPr>
          <w:t>23.19–20</w:t>
        </w:r>
      </w:hyperlink>
      <w:r>
        <w:t>) ; en toutes autres occasions, à l'exception de deux cas (le vœu de naziréat et l'installation du sacerdoce), les sacrifices d'action de grâce étaient des sacrifices purement volontaires et donc non soumis à une comptabilité fixe.</w:t>
      </w:r>
    </w:p>
    <w:p>
      <w:r/>
      <w:r>
        <w:t>Dans d'autres contextes bibliques, les sacrifices sont énumérés selon le même ordre « comptable » ou « administratif » : holocauste, offrande de céréales et libation ; péché (ou culpabilité) ; et parfois sacrifices d'action de grâce. Nous en trouvons un exemple dans la liste des dons faits par les chefs des tribus pour la dédicace de l'autel (</w:t>
      </w:r>
      <w:hyperlink r:id="rId10748">
        <w:r>
          <w:rPr>
            <w:color w:val="0000EE"/>
            <w:u w:val="single"/>
          </w:rPr>
          <w:t>Nb 7</w:t>
        </w:r>
      </w:hyperlink>
      <w:r>
        <w:t xml:space="preserve">). L'information est organisée comme un registre quotidien des réserves du temple ; le résumé classe les animaux en holocauste, offrande de céréales, péché et sacrifices d'action de grâce (v. </w:t>
      </w:r>
      <w:hyperlink r:id="rId11040">
        <w:r>
          <w:rPr>
            <w:color w:val="0000EE"/>
            <w:u w:val="single"/>
          </w:rPr>
          <w:t>87–88</w:t>
        </w:r>
      </w:hyperlink>
      <w:r>
        <w:t xml:space="preserve">) conformément aux entrées respectives de chaque donateur (v. </w:t>
      </w:r>
      <w:hyperlink r:id="rId11041">
        <w:r>
          <w:rPr>
            <w:color w:val="0000EE"/>
            <w:u w:val="single"/>
          </w:rPr>
          <w:t>15–17</w:t>
        </w:r>
      </w:hyperlink>
      <w:r>
        <w:t>). Le scribe lévitique avait deux objectifs dans la tenue d'un tel inventaire : créditer les offrants et enregistrer les trésors et les provisions alimentaires entrantes. Une grande partie des denrées alimentaires données en offrande était en fait attribuée aux prêtres officiants (</w:t>
      </w:r>
      <w:hyperlink r:id="rId11042">
        <w:r>
          <w:rPr>
            <w:color w:val="0000EE"/>
            <w:u w:val="single"/>
          </w:rPr>
          <w:t>Nb 18.8–11</w:t>
        </w:r>
      </w:hyperlink>
      <w:r>
        <w:t xml:space="preserve"> ; </w:t>
      </w:r>
      <w:hyperlink r:id="rId11043">
        <w:r>
          <w:rPr>
            <w:color w:val="0000EE"/>
            <w:u w:val="single"/>
          </w:rPr>
          <w:t>2Ch 31.4–19</w:t>
        </w:r>
      </w:hyperlink>
      <w:r>
        <w:t>).</w:t>
      </w:r>
    </w:p>
    <w:p>
      <w:r/>
      <w:r>
        <w:t xml:space="preserve">Lorsque des prescriptions étaient faites concernant le type et le nombre d'offrandes à apporter (voir par exemple </w:t>
      </w:r>
      <w:hyperlink r:id="rId11044">
        <w:r>
          <w:rPr>
            <w:color w:val="0000EE"/>
            <w:u w:val="single"/>
          </w:rPr>
          <w:t>Nb 15.24</w:t>
        </w:r>
      </w:hyperlink>
      <w:r>
        <w:t>), l'ordre « comptable » était généralement suivi. Ceci est vrai pour les sacrifices calendaires ; les offrandes brûlées et de céréales ainsi que les libations étaient listées, suivies d'une offrande pour le péché pour chacun des cas suivants : la nouvelle lune en début de mois (</w:t>
      </w:r>
      <w:hyperlink r:id="rId423">
        <w:r>
          <w:rPr>
            <w:color w:val="0000EE"/>
            <w:u w:val="single"/>
          </w:rPr>
          <w:t>Nb 28.11–15</w:t>
        </w:r>
      </w:hyperlink>
      <w:r>
        <w:t xml:space="preserve">), chaque jour de la Pâque (v. </w:t>
      </w:r>
      <w:hyperlink r:id="rId11045">
        <w:r>
          <w:rPr>
            <w:color w:val="0000EE"/>
            <w:u w:val="single"/>
          </w:rPr>
          <w:t>19–22</w:t>
        </w:r>
      </w:hyperlink>
      <w:r>
        <w:t>), la fête des semaines (</w:t>
      </w:r>
      <w:hyperlink r:id="rId11046">
        <w:r>
          <w:rPr>
            <w:color w:val="0000EE"/>
            <w:u w:val="single"/>
          </w:rPr>
          <w:t>Lv 23.18–19</w:t>
        </w:r>
      </w:hyperlink>
      <w:r>
        <w:t xml:space="preserve"> ; </w:t>
      </w:r>
      <w:hyperlink r:id="rId11047">
        <w:r>
          <w:rPr>
            <w:color w:val="0000EE"/>
            <w:u w:val="single"/>
          </w:rPr>
          <w:t>Nb 28.27–30</w:t>
        </w:r>
      </w:hyperlink>
      <w:r>
        <w:t>), les trompettes (</w:t>
      </w:r>
      <w:hyperlink r:id="rId11048">
        <w:r>
          <w:rPr>
            <w:color w:val="0000EE"/>
            <w:u w:val="single"/>
          </w:rPr>
          <w:t>Nb 29.2–5</w:t>
        </w:r>
      </w:hyperlink>
      <w:r>
        <w:t xml:space="preserve">), le Jour des Expiations (v. </w:t>
      </w:r>
      <w:hyperlink r:id="rId11049">
        <w:r>
          <w:rPr>
            <w:color w:val="0000EE"/>
            <w:u w:val="single"/>
          </w:rPr>
          <w:t>8–11</w:t>
        </w:r>
      </w:hyperlink>
      <w:r>
        <w:t xml:space="preserve">), et chaque jour de la fête des tabernacles (v. </w:t>
      </w:r>
      <w:hyperlink r:id="rId11050">
        <w:r>
          <w:rPr>
            <w:color w:val="0000EE"/>
            <w:u w:val="single"/>
          </w:rPr>
          <w:t>12–16</w:t>
        </w:r>
      </w:hyperlink>
      <w:r>
        <w:t>).</w:t>
      </w:r>
    </w:p>
    <w:p>
      <w:r/>
      <w:r>
        <w:t xml:space="preserve">Pour les sacrifices requis dans des cas spécifiques, les instructions sur les offrandes à apporter suivent cette séquence (par exemple, la purification d'une femme après l'accouchement, </w:t>
      </w:r>
      <w:hyperlink r:id="rId11051">
        <w:r>
          <w:rPr>
            <w:color w:val="0000EE"/>
            <w:u w:val="single"/>
          </w:rPr>
          <w:t>Lv 12.6–8</w:t>
        </w:r>
      </w:hyperlink>
      <w:r>
        <w:t xml:space="preserve">). Notez également les offrandes données à la fin réussie d'un vœu de naziréat : le naziréen apportait des offrandes d'holocauste, de péché et d'action de grâce (avec quelques offrandes de céréales spéciales, </w:t>
      </w:r>
      <w:hyperlink r:id="rId11052">
        <w:r>
          <w:rPr>
            <w:color w:val="0000EE"/>
            <w:u w:val="single"/>
          </w:rPr>
          <w:t>Nb 6.14–15</w:t>
        </w:r>
      </w:hyperlink>
      <w:r>
        <w:t xml:space="preserve">). Cependant, le prêtre effectuait le rituel réel selon un ordre différent : l'offrande pour le péché était faite en premier, suivie de l'offrande d'holocauste et enfin du sacrifice d'action de grâce (v. </w:t>
      </w:r>
      <w:hyperlink r:id="rId11053">
        <w:r>
          <w:rPr>
            <w:color w:val="0000EE"/>
            <w:u w:val="single"/>
          </w:rPr>
          <w:t>16–17</w:t>
        </w:r>
      </w:hyperlink>
      <w:r>
        <w:t xml:space="preserve">). Dans le cas d'un vœu incomplet, la première étape consistait à offrir une offrande pour le péché puis une offrande d'holocauste pour renouveler le vœu (v. </w:t>
      </w:r>
      <w:hyperlink r:id="rId11054">
        <w:r>
          <w:rPr>
            <w:color w:val="0000EE"/>
            <w:u w:val="single"/>
          </w:rPr>
          <w:t>11</w:t>
        </w:r>
      </w:hyperlink>
      <w:r>
        <w:t xml:space="preserve">). La reconsécration du naziréen nécessitait une offrande de culpabilité distincte ; un acte rituel distinct (v. </w:t>
      </w:r>
      <w:hyperlink r:id="rId11055">
        <w:r>
          <w:rPr>
            <w:color w:val="0000EE"/>
            <w:u w:val="single"/>
          </w:rPr>
          <w:t>12</w:t>
        </w:r>
      </w:hyperlink>
      <w:r>
        <w:t>).</w:t>
      </w:r>
    </w:p>
    <w:p>
      <w:r/>
      <w:r>
        <w:t>La description des offrandes faites par le prince d'Israël dans les derniers jours présente le même contraste entre les deux ordres de sacrifices. Lors des fêtes, le prince apportait des offrandes d'holocauste, de céréales et de boisson, mais il les offrait comme des offrandes pour le péché, de céréales, d'holocauste et d'action de grâce (</w:t>
      </w:r>
      <w:hyperlink r:id="rId5577">
        <w:r>
          <w:rPr>
            <w:color w:val="0000EE"/>
            <w:u w:val="single"/>
          </w:rPr>
          <w:t>Ez 45.17</w:t>
        </w:r>
      </w:hyperlink>
      <w:r>
        <w:t>). Cet ordre de sacrifices, dans lequel l'offrande pour le péché précède l'offrande d'holocauste, a également été suivi lors de la redédicace de l'autel (</w:t>
      </w:r>
      <w:hyperlink r:id="rId11056">
        <w:r>
          <w:rPr>
            <w:color w:val="0000EE"/>
            <w:u w:val="single"/>
          </w:rPr>
          <w:t>43.18–27</w:t>
        </w:r>
      </w:hyperlink>
      <w:r>
        <w:t>).</w:t>
      </w:r>
    </w:p>
    <w:p>
      <w:r/>
      <w:r>
        <w:t>La même séquence « procédurale » de sacrifices apparaît dans d'autres cas : la purification du lépreux : offrandes de culpabilité et de péché (</w:t>
      </w:r>
      <w:hyperlink r:id="rId11057">
        <w:r>
          <w:rPr>
            <w:color w:val="0000EE"/>
            <w:u w:val="single"/>
          </w:rPr>
          <w:t>Lv 14.19</w:t>
        </w:r>
      </w:hyperlink>
      <w:r>
        <w:t xml:space="preserve">), suivies d'une offrande d'holocauste (v. </w:t>
      </w:r>
      <w:hyperlink r:id="rId11058">
        <w:r>
          <w:rPr>
            <w:color w:val="0000EE"/>
            <w:u w:val="single"/>
          </w:rPr>
          <w:t>12–20</w:t>
        </w:r>
      </w:hyperlink>
      <w:r>
        <w:t>) ; l'homme avec un flux : offrandes de péché et d'holocauste (</w:t>
      </w:r>
      <w:hyperlink r:id="rId11059">
        <w:r>
          <w:rPr>
            <w:color w:val="0000EE"/>
            <w:u w:val="single"/>
          </w:rPr>
          <w:t>15.15</w:t>
        </w:r>
      </w:hyperlink>
      <w:r>
        <w:t xml:space="preserve">) ; de même pour la femme avec un flux (v. </w:t>
      </w:r>
      <w:hyperlink r:id="rId11060">
        <w:r>
          <w:rPr>
            <w:color w:val="0000EE"/>
            <w:u w:val="single"/>
          </w:rPr>
          <w:t>30</w:t>
        </w:r>
      </w:hyperlink>
      <w:r>
        <w:t>). Le même ordre est suivi pour les sacrifices lors du Jour des Expiations (</w:t>
      </w:r>
      <w:hyperlink r:id="rId11061">
        <w:r>
          <w:rPr>
            <w:color w:val="0000EE"/>
            <w:u w:val="single"/>
          </w:rPr>
          <w:t>16.3–6, 11, 15, 24</w:t>
        </w:r>
      </w:hyperlink>
      <w:r>
        <w:t>).</w:t>
      </w:r>
    </w:p>
    <w:p>
      <w:r/>
      <w:r>
        <w:t>Le livre du Lévitique fournit deux exemples de l'ordre approprié dans lequel les sacrifices étaient offerts. L'un est l'ordination d'Aaron et de ses fils. L'offrande pour le péché venait en premier, puis l'holocauste (</w:t>
      </w:r>
      <w:hyperlink r:id="rId11062">
        <w:r>
          <w:rPr>
            <w:color w:val="0000EE"/>
            <w:u w:val="single"/>
          </w:rPr>
          <w:t>Ex 29.10–18</w:t>
        </w:r>
      </w:hyperlink>
      <w:r>
        <w:t xml:space="preserve"> ; </w:t>
      </w:r>
      <w:hyperlink r:id="rId11063">
        <w:r>
          <w:rPr>
            <w:color w:val="0000EE"/>
            <w:u w:val="single"/>
          </w:rPr>
          <w:t>Lv 8.14–21</w:t>
        </w:r>
      </w:hyperlink>
      <w:r>
        <w:t>). Le point central de ce rituel était le sacrifice d'ordination, ou littéralement « installation », une forme spéciale de sacrifice d'action de grâce (</w:t>
      </w:r>
      <w:hyperlink r:id="rId11064">
        <w:r>
          <w:rPr>
            <w:color w:val="0000EE"/>
            <w:u w:val="single"/>
          </w:rPr>
          <w:t>Ex 29.19–34</w:t>
        </w:r>
      </w:hyperlink>
      <w:r>
        <w:t xml:space="preserve"> ; </w:t>
      </w:r>
      <w:hyperlink r:id="rId11065">
        <w:r>
          <w:rPr>
            <w:color w:val="0000EE"/>
            <w:u w:val="single"/>
          </w:rPr>
          <w:t>Lv 8.22–29</w:t>
        </w:r>
      </w:hyperlink>
      <w:r>
        <w:t>). Le deuxième passage est l'inauguration formelle du système sacrificiel au tabernacle (</w:t>
      </w:r>
      <w:hyperlink r:id="rId11066">
        <w:r>
          <w:rPr>
            <w:color w:val="0000EE"/>
            <w:u w:val="single"/>
          </w:rPr>
          <w:t>Lv 9</w:t>
        </w:r>
      </w:hyperlink>
      <w:r>
        <w:t>). Les sacrifices pour Aaron étaient des sacrifices pour le péché et des holocaustes, suivis de ceux pour le peuple : sacrifices pour le péché, holocaustes, offrandes de céréales et sacrifices d'action de grâce (</w:t>
      </w:r>
      <w:hyperlink r:id="rId11067">
        <w:r>
          <w:rPr>
            <w:color w:val="0000EE"/>
            <w:u w:val="single"/>
          </w:rPr>
          <w:t>9.7–22</w:t>
        </w:r>
      </w:hyperlink>
      <w:r>
        <w:t>).</w:t>
      </w:r>
    </w:p>
    <w:p>
      <w:r/>
      <w:r>
        <w:t>La même séquence est suivie lors de la purification et de la restauration du temple à Jérusalem menée par le roi Ézéchias (</w:t>
      </w:r>
      <w:hyperlink r:id="rId11068">
        <w:r>
          <w:rPr>
            <w:color w:val="0000EE"/>
            <w:u w:val="single"/>
          </w:rPr>
          <w:t>2Ch 29.20–36</w:t>
        </w:r>
      </w:hyperlink>
      <w:r>
        <w:t>). Un grand sacrifice pour le péché est offert en premier, suivi des holocaustes accompagnés de musique et de chant. Ensuite, le roi proclame que le peuple s'était engagé envers le Seigneur ; dans ce nouvel état de pureté, ils pouvaient désormais participer aux sacrifices de dévotion (holocaustes) et de remerciement (sacrifices d'action de grâce).</w:t>
      </w:r>
    </w:p>
    <w:p>
      <w:r/>
      <w:r>
        <w:t xml:space="preserve">L'ordre procédural des sacrifices incarne l'idéologie de l'Ancien Testament sur la manière d'approcher Dieu. D'abord, l'expiation du péché devait être réalisée, puis la consécration totale de soi ; ceux-ci sont symbolisés par les offrandes pour le péché et/ou la culpabilité et les offrandes brûlées et de céréales, respectivement. Lorsque ces conditions étaient remplies, l'offrant pouvait exprimer sa dévotion continue par davantage d'offrandes brûlées et également participer aux sacrifices de communion (sacrifices d'action de grâce) dans lesquels il recevait une grande partie de l'animal abattu (à partager avec ses amis et les pauvres de sa communauté ; </w:t>
      </w:r>
      <w:hyperlink r:id="rId11069">
        <w:r>
          <w:rPr>
            <w:color w:val="0000EE"/>
            <w:u w:val="single"/>
          </w:rPr>
          <w:t>Dt 12.17–19</w:t>
        </w:r>
      </w:hyperlink>
      <w:r>
        <w:t>).</w:t>
      </w:r>
    </w:p>
    <w:p>
      <w:pPr>
        <w:pStyle w:val="Heading3"/>
      </w:pPr>
      <w:r>
        <w:t>Description des sacrifices</w:t>
      </w:r>
    </w:p>
    <w:p>
      <w:r/>
      <w:r>
        <w:t>La description suivante des différents types de sacrifices les abordera selon l'ordre « procédural », c'est-à-dire comme des étapes symboliques dans le fait d'approcher Dieu.</w:t>
      </w:r>
    </w:p>
    <w:p>
      <w:pPr>
        <w:pStyle w:val="Heading4"/>
      </w:pPr>
      <w:r>
        <w:t>Expiation</w:t>
      </w:r>
    </w:p>
    <w:p>
      <w:r/>
      <w:r>
        <w:t>Ces deux offrandes étaient nécessaires pour expier les péchés et les transgressions :</w:t>
      </w:r>
    </w:p>
    <w:p>
      <w:r/>
      <w:r>
        <w:t>1. Sacrifice pour le péché (</w:t>
      </w:r>
      <w:hyperlink r:id="rId11011">
        <w:r>
          <w:rPr>
            <w:color w:val="0000EE"/>
            <w:u w:val="single"/>
          </w:rPr>
          <w:t>Lv 4.1–5.13</w:t>
        </w:r>
      </w:hyperlink>
      <w:r>
        <w:t xml:space="preserve"> ; </w:t>
      </w:r>
      <w:hyperlink r:id="rId11070">
        <w:r>
          <w:rPr>
            <w:color w:val="0000EE"/>
            <w:u w:val="single"/>
          </w:rPr>
          <w:t>6.24–30</w:t>
        </w:r>
      </w:hyperlink>
      <w:r>
        <w:t>). Différents animaux étaient spécifiés en fonction du rang de l'offrant. Un grand prêtre devait apporter un jeune taureau (</w:t>
      </w:r>
      <w:hyperlink r:id="rId3668">
        <w:r>
          <w:rPr>
            <w:color w:val="0000EE"/>
            <w:u w:val="single"/>
          </w:rPr>
          <w:t>4.3</w:t>
        </w:r>
      </w:hyperlink>
      <w:r>
        <w:t xml:space="preserve">), tout comme la congrégation dans son ensemble (v. </w:t>
      </w:r>
      <w:hyperlink r:id="rId11071">
        <w:r>
          <w:rPr>
            <w:color w:val="0000EE"/>
            <w:u w:val="single"/>
          </w:rPr>
          <w:t>14</w:t>
        </w:r>
      </w:hyperlink>
      <w:r>
        <w:t>), sauf lorsque l'affaire était une infraction rituelle (</w:t>
      </w:r>
      <w:hyperlink r:id="rId11044">
        <w:r>
          <w:rPr>
            <w:color w:val="0000EE"/>
            <w:u w:val="single"/>
          </w:rPr>
          <w:t>Nb 15.24</w:t>
        </w:r>
      </w:hyperlink>
      <w:r>
        <w:t>). Un dirigeant devait apporter un bouc (</w:t>
      </w:r>
      <w:hyperlink r:id="rId11072">
        <w:r>
          <w:rPr>
            <w:color w:val="0000EE"/>
            <w:u w:val="single"/>
          </w:rPr>
          <w:t>Lv 4.23</w:t>
        </w:r>
      </w:hyperlink>
      <w:r>
        <w:t xml:space="preserve">), mais un simple citoyen pouvait fournir une chèvre femelle (v. </w:t>
      </w:r>
      <w:hyperlink r:id="rId11073">
        <w:r>
          <w:rPr>
            <w:color w:val="0000EE"/>
            <w:u w:val="single"/>
          </w:rPr>
          <w:t>28</w:t>
        </w:r>
      </w:hyperlink>
      <w:r>
        <w:t xml:space="preserve"> ; </w:t>
      </w:r>
      <w:hyperlink r:id="rId11074">
        <w:r>
          <w:rPr>
            <w:color w:val="0000EE"/>
            <w:u w:val="single"/>
          </w:rPr>
          <w:t>Nb 15.27</w:t>
        </w:r>
      </w:hyperlink>
      <w:r>
        <w:t>) ou un agneau (</w:t>
      </w:r>
      <w:hyperlink r:id="rId11075">
        <w:r>
          <w:rPr>
            <w:color w:val="0000EE"/>
            <w:u w:val="single"/>
          </w:rPr>
          <w:t>Lv 4.32</w:t>
        </w:r>
      </w:hyperlink>
      <w:r>
        <w:t xml:space="preserve">). S'il était indigent, il pouvait offrir deux tourterelles ou deux jeunes pigeons (dont l'un serait une offrande brûlée ; </w:t>
      </w:r>
      <w:hyperlink r:id="rId11076">
        <w:r>
          <w:rPr>
            <w:color w:val="0000EE"/>
            <w:u w:val="single"/>
          </w:rPr>
          <w:t>5.7</w:t>
        </w:r>
      </w:hyperlink>
      <w:r>
        <w:t>), ou s'il était extrêmement pauvre, il pouvait même substituer un dixième d'un épha de fleur de farine (</w:t>
      </w:r>
      <w:hyperlink r:id="rId11077">
        <w:r>
          <w:rPr>
            <w:color w:val="0000EE"/>
            <w:u w:val="single"/>
          </w:rPr>
          <w:t>Lv 5.11–13</w:t>
        </w:r>
      </w:hyperlink>
      <w:r>
        <w:t xml:space="preserve"> ; voir </w:t>
      </w:r>
      <w:hyperlink r:id="rId6349">
        <w:r>
          <w:rPr>
            <w:color w:val="0000EE"/>
            <w:u w:val="single"/>
          </w:rPr>
          <w:t>Hé 9.22</w:t>
        </w:r>
      </w:hyperlink>
      <w:r>
        <w:t>).</w:t>
      </w:r>
    </w:p>
    <w:p>
      <w:r/>
      <w:r>
        <w:t>L'offrant amenait l'animal à l'entrée de la cour du temple et posait sa main sur lui (</w:t>
      </w:r>
      <w:hyperlink r:id="rId11078">
        <w:r>
          <w:rPr>
            <w:color w:val="0000EE"/>
            <w:u w:val="single"/>
          </w:rPr>
          <w:t>Lv 4.4</w:t>
        </w:r>
      </w:hyperlink>
      <w:r>
        <w:t xml:space="preserve">). Il ne confessait pas son péché dans cet acte, car l'animal n'était pas envoyé au loin (voir le bouc pour Azazel, </w:t>
      </w:r>
      <w:hyperlink r:id="rId11079">
        <w:r>
          <w:rPr>
            <w:color w:val="0000EE"/>
            <w:u w:val="single"/>
          </w:rPr>
          <w:t>16.21</w:t>
        </w:r>
      </w:hyperlink>
      <w:r>
        <w:t>) ; plutôt, il s'identifiait au sacrifice. L'offrant devait tuer l'animal du côté nord de l'autel (</w:t>
      </w:r>
      <w:hyperlink r:id="rId11080">
        <w:r>
          <w:rPr>
            <w:color w:val="0000EE"/>
            <w:u w:val="single"/>
          </w:rPr>
          <w:t>4.24, 29</w:t>
        </w:r>
      </w:hyperlink>
      <w:r>
        <w:t xml:space="preserve">). Les animaux n'étaient jamais abattus sur l'autel à proprement parler. Le prêtre officiant recueillait le sang ; lorsqu'il s'agissait d'un taureau pour lui-même ou pour la congrégation, il aspergeait une partie du sang devant le voile à l'intérieur de la tente d'assignation et en mettait sur les cornes de l'autel des parfums (v. </w:t>
      </w:r>
      <w:hyperlink r:id="rId11081">
        <w:r>
          <w:rPr>
            <w:color w:val="0000EE"/>
            <w:u w:val="single"/>
          </w:rPr>
          <w:t>5–7</w:t>
        </w:r>
      </w:hyperlink>
      <w:r>
        <w:t xml:space="preserve">, </w:t>
      </w:r>
      <w:hyperlink r:id="rId11082">
        <w:r>
          <w:rPr>
            <w:color w:val="0000EE"/>
            <w:u w:val="single"/>
          </w:rPr>
          <w:t>16–18</w:t>
        </w:r>
      </w:hyperlink>
      <w:r>
        <w:t>). Le Jour des Expiations, il apportait le sang sacrificiel pour lui-même et pour le peuple dans le Saint des Saints (</w:t>
      </w:r>
      <w:hyperlink r:id="rId11083">
        <w:r>
          <w:rPr>
            <w:color w:val="0000EE"/>
            <w:u w:val="single"/>
          </w:rPr>
          <w:t>16.14–15</w:t>
        </w:r>
      </w:hyperlink>
      <w:r>
        <w:t>). Pour tous les autres animaux, le sang était appliqué sur les cornes de l'autel des holocaustes (</w:t>
      </w:r>
      <w:hyperlink r:id="rId11084">
        <w:r>
          <w:rPr>
            <w:color w:val="0000EE"/>
            <w:u w:val="single"/>
          </w:rPr>
          <w:t>4.25, 30, 34</w:t>
        </w:r>
      </w:hyperlink>
      <w:r>
        <w:t>) ; le sang des oiseaux était aspergé sur le côté de l'autel (</w:t>
      </w:r>
      <w:hyperlink r:id="rId11085">
        <w:r>
          <w:rPr>
            <w:color w:val="0000EE"/>
            <w:u w:val="single"/>
          </w:rPr>
          <w:t>5.9</w:t>
        </w:r>
      </w:hyperlink>
      <w:r>
        <w:t>). Enfin, le sang restant de toute offrande était versé ou drainé à la base de l'autel (</w:t>
      </w:r>
      <w:hyperlink r:id="rId11086">
        <w:r>
          <w:rPr>
            <w:color w:val="0000EE"/>
            <w:u w:val="single"/>
          </w:rPr>
          <w:t>4.7</w:t>
        </w:r>
      </w:hyperlink>
      <w:r>
        <w:t>).</w:t>
      </w:r>
    </w:p>
    <w:p>
      <w:r/>
      <w:r>
        <w:t>Les meilleures parties des organes internes, à savoir le tissu adipeux sur et autour des entrailles, les deux reins et leur graisse, et l'appendice du foie, étaient tous offerts au Seigneur sur l'autel (</w:t>
      </w:r>
      <w:hyperlink r:id="rId11087">
        <w:r>
          <w:rPr>
            <w:color w:val="0000EE"/>
            <w:u w:val="single"/>
          </w:rPr>
          <w:t>Lv 4.8–10</w:t>
        </w:r>
      </w:hyperlink>
      <w:r>
        <w:t>). La carcasse et les autres entrailles étaient brûlées à l'extérieur du camp lorsqu'il s'agissait d'un taureau pour le prêtre ou pour le peuple. Ceci était vrai de la même manière pour le taureau destiné à l'ordination des prêtres (</w:t>
      </w:r>
      <w:hyperlink r:id="rId11088">
        <w:r>
          <w:rPr>
            <w:color w:val="0000EE"/>
            <w:u w:val="single"/>
          </w:rPr>
          <w:t>Ex 29.10–14</w:t>
        </w:r>
      </w:hyperlink>
      <w:r>
        <w:t xml:space="preserve"> ; </w:t>
      </w:r>
      <w:hyperlink r:id="rId11089">
        <w:r>
          <w:rPr>
            <w:color w:val="0000EE"/>
            <w:u w:val="single"/>
          </w:rPr>
          <w:t>Lv 8.14–17</w:t>
        </w:r>
      </w:hyperlink>
      <w:r>
        <w:t>). Sinon, le prêtre qui effectuait les rites recevait comme part qui lui revenait la chair comestible. Il devait la manger dans l'enceinte du temple, et sa préparation était régie par des règles strictes de pureté rituelle (</w:t>
      </w:r>
      <w:hyperlink r:id="rId11090">
        <w:r>
          <w:rPr>
            <w:color w:val="0000EE"/>
            <w:u w:val="single"/>
          </w:rPr>
          <w:t>Lv 6.25–30</w:t>
        </w:r>
      </w:hyperlink>
      <w:r>
        <w:t xml:space="preserve"> ; voir </w:t>
      </w:r>
      <w:hyperlink r:id="rId11091">
        <w:r>
          <w:rPr>
            <w:color w:val="0000EE"/>
            <w:u w:val="single"/>
          </w:rPr>
          <w:t>10.16–20</w:t>
        </w:r>
      </w:hyperlink>
      <w:r>
        <w:t>). Une offrande pour le péché d'un bouc mâle était présentée à chacune des fêtes sacrées : la nouvelle lune (</w:t>
      </w:r>
      <w:hyperlink r:id="rId11092">
        <w:r>
          <w:rPr>
            <w:color w:val="0000EE"/>
            <w:u w:val="single"/>
          </w:rPr>
          <w:t>Nm 28.15</w:t>
        </w:r>
      </w:hyperlink>
      <w:r>
        <w:t xml:space="preserve">), chaque jour de la Pâque (v. </w:t>
      </w:r>
      <w:hyperlink r:id="rId11093">
        <w:r>
          <w:rPr>
            <w:color w:val="0000EE"/>
            <w:u w:val="single"/>
          </w:rPr>
          <w:t>22–24</w:t>
        </w:r>
      </w:hyperlink>
      <w:r>
        <w:t xml:space="preserve">), la fête des semaines (v </w:t>
      </w:r>
      <w:hyperlink r:id="rId11094">
        <w:r>
          <w:rPr>
            <w:color w:val="0000EE"/>
            <w:u w:val="single"/>
          </w:rPr>
          <w:t>30</w:t>
        </w:r>
      </w:hyperlink>
      <w:r>
        <w:t>), la fête des trompettes (</w:t>
      </w:r>
      <w:hyperlink r:id="rId11095">
        <w:r>
          <w:rPr>
            <w:color w:val="0000EE"/>
            <w:u w:val="single"/>
          </w:rPr>
          <w:t>29.5</w:t>
        </w:r>
      </w:hyperlink>
      <w:r>
        <w:t xml:space="preserve">), le Jour des Expiations (v </w:t>
      </w:r>
      <w:hyperlink r:id="rId11096">
        <w:r>
          <w:rPr>
            <w:color w:val="0000EE"/>
            <w:u w:val="single"/>
          </w:rPr>
          <w:t>11</w:t>
        </w:r>
      </w:hyperlink>
      <w:r>
        <w:t xml:space="preserve">), et chaque jour de la fête des tabernacles (v. </w:t>
      </w:r>
      <w:hyperlink r:id="rId11097">
        <w:r>
          <w:rPr>
            <w:color w:val="0000EE"/>
            <w:u w:val="single"/>
          </w:rPr>
          <w:t>16, 19</w:t>
        </w:r>
      </w:hyperlink>
      <w:r>
        <w:t>). Le grand prêtre offrait également un taureau pour lui-même et sacrifiait ensuite l'un des deux boucs le Jour des Expiations. Certains rites de purification nécessitaient des sacrifices pour le péché moindres, à savoir des agneaux ou des oiseaux : la naissance d'un enfant (</w:t>
      </w:r>
      <w:hyperlink r:id="rId11051">
        <w:r>
          <w:rPr>
            <w:color w:val="0000EE"/>
            <w:u w:val="single"/>
          </w:rPr>
          <w:t>Lv 12.6–8</w:t>
        </w:r>
      </w:hyperlink>
      <w:r>
        <w:t>), la purification de la lèpre (</w:t>
      </w:r>
      <w:hyperlink r:id="rId11098">
        <w:r>
          <w:rPr>
            <w:color w:val="0000EE"/>
            <w:u w:val="single"/>
          </w:rPr>
          <w:t>14.12–14, 19–22</w:t>
        </w:r>
      </w:hyperlink>
      <w:r>
        <w:t>), et les abcès et hémorragies (</w:t>
      </w:r>
      <w:hyperlink r:id="rId11099">
        <w:r>
          <w:rPr>
            <w:color w:val="0000EE"/>
            <w:u w:val="single"/>
          </w:rPr>
          <w:t>15.14–15, 29–30</w:t>
        </w:r>
      </w:hyperlink>
      <w:r>
        <w:t>) ou après une souillure sous vœu (</w:t>
      </w:r>
      <w:hyperlink r:id="rId11100">
        <w:r>
          <w:rPr>
            <w:color w:val="0000EE"/>
            <w:u w:val="single"/>
          </w:rPr>
          <w:t>Nb 6.10–11</w:t>
        </w:r>
      </w:hyperlink>
      <w:r>
        <w:t>).</w:t>
      </w:r>
    </w:p>
    <w:p>
      <w:r/>
      <w:r>
        <w:t>2. Sacrifice de culpabilité (</w:t>
      </w:r>
      <w:hyperlink r:id="rId11012">
        <w:r>
          <w:rPr>
            <w:color w:val="0000EE"/>
            <w:u w:val="single"/>
          </w:rPr>
          <w:t>Lv 5.14–6.7</w:t>
        </w:r>
      </w:hyperlink>
      <w:r>
        <w:t xml:space="preserve"> ; </w:t>
      </w:r>
      <w:hyperlink r:id="rId11101">
        <w:r>
          <w:rPr>
            <w:color w:val="0000EE"/>
            <w:u w:val="single"/>
          </w:rPr>
          <w:t>7.1–7</w:t>
        </w:r>
      </w:hyperlink>
      <w:r>
        <w:t xml:space="preserve">). Le sacrifice de culpabilité était un type spécial de sacrifice pour le péché (voir </w:t>
      </w:r>
      <w:hyperlink r:id="rId11076">
        <w:r>
          <w:rPr>
            <w:color w:val="0000EE"/>
            <w:u w:val="single"/>
          </w:rPr>
          <w:t>5.7</w:t>
        </w:r>
      </w:hyperlink>
      <w:r>
        <w:t>) requise chaque fois que quelqu'un avait été privé de son dû légitime. Une réparation du montant estimé qui avait été soustiré devait être effectuée, en plus d'une amende d'un cinquième (</w:t>
      </w:r>
      <w:hyperlink r:id="rId11102">
        <w:r>
          <w:rPr>
            <w:color w:val="0000EE"/>
            <w:u w:val="single"/>
          </w:rPr>
          <w:t>5.16</w:t>
        </w:r>
      </w:hyperlink>
      <w:r>
        <w:t xml:space="preserve"> ; </w:t>
      </w:r>
      <w:hyperlink r:id="rId11103">
        <w:r>
          <w:rPr>
            <w:color w:val="0000EE"/>
            <w:u w:val="single"/>
          </w:rPr>
          <w:t>6.5</w:t>
        </w:r>
      </w:hyperlink>
      <w:r>
        <w:t>). L'animal était généralement un bélier (</w:t>
      </w:r>
      <w:hyperlink r:id="rId11104">
        <w:r>
          <w:rPr>
            <w:color w:val="0000EE"/>
            <w:u w:val="single"/>
          </w:rPr>
          <w:t>5.15, 18</w:t>
        </w:r>
      </w:hyperlink>
      <w:r>
        <w:t xml:space="preserve"> ; </w:t>
      </w:r>
      <w:hyperlink r:id="rId11105">
        <w:r>
          <w:rPr>
            <w:color w:val="0000EE"/>
            <w:u w:val="single"/>
          </w:rPr>
          <w:t>6.6</w:t>
        </w:r>
      </w:hyperlink>
      <w:r>
        <w:t>). Le lépreux purifié et le naziréen souillé devaient apporter un agneau mâle (</w:t>
      </w:r>
      <w:hyperlink r:id="rId11106">
        <w:r>
          <w:rPr>
            <w:color w:val="0000EE"/>
            <w:u w:val="single"/>
          </w:rPr>
          <w:t>Lv 14.12, 21</w:t>
        </w:r>
      </w:hyperlink>
      <w:r>
        <w:t xml:space="preserve"> ; </w:t>
      </w:r>
      <w:hyperlink r:id="rId11055">
        <w:r>
          <w:rPr>
            <w:color w:val="0000EE"/>
            <w:u w:val="single"/>
          </w:rPr>
          <w:t>Nb 6.12</w:t>
        </w:r>
      </w:hyperlink>
      <w:r>
        <w:t>). Celui qui offrait manipulait apparemment le sacrifice comme il le ferait pour un sacrifice pour le péché, mais le prêtre devait asperger le sang autour de l'autel (</w:t>
      </w:r>
      <w:hyperlink r:id="rId11107">
        <w:r>
          <w:rPr>
            <w:color w:val="0000EE"/>
            <w:u w:val="single"/>
          </w:rPr>
          <w:t>Lv 7.2</w:t>
        </w:r>
      </w:hyperlink>
      <w:r>
        <w:t xml:space="preserve">). Les viscères étaient brûlés sur l'autel comme à l'accoutumée (v. </w:t>
      </w:r>
      <w:hyperlink r:id="rId11108">
        <w:r>
          <w:rPr>
            <w:color w:val="0000EE"/>
            <w:u w:val="single"/>
          </w:rPr>
          <w:t>3–5</w:t>
        </w:r>
      </w:hyperlink>
      <w:r>
        <w:t>). Une partie du sang était ensuite appliquée sur le lobe de l'oreille droite du lépreux purifié, ainsi que sur son pouce droit et son gros orteil droit (</w:t>
      </w:r>
      <w:hyperlink r:id="rId11109">
        <w:r>
          <w:rPr>
            <w:color w:val="0000EE"/>
            <w:u w:val="single"/>
          </w:rPr>
          <w:t>14.14</w:t>
        </w:r>
      </w:hyperlink>
      <w:r>
        <w:t>). Une fois de plus, le prêtre recevait la majeure partie de la chair de l'animal pour s'en nourrir (</w:t>
      </w:r>
      <w:hyperlink r:id="rId11110">
        <w:r>
          <w:rPr>
            <w:color w:val="0000EE"/>
            <w:u w:val="single"/>
          </w:rPr>
          <w:t>7.6–7</w:t>
        </w:r>
      </w:hyperlink>
      <w:r>
        <w:t xml:space="preserve">; </w:t>
      </w:r>
      <w:hyperlink r:id="rId11026">
        <w:r>
          <w:rPr>
            <w:color w:val="0000EE"/>
            <w:u w:val="single"/>
          </w:rPr>
          <w:t>14.13</w:t>
        </w:r>
      </w:hyperlink>
      <w:r>
        <w:t>). Un sacrifice de culpabilité était requis chaque fois qu'une autre partie avait subi une perte. Les infractions rituelles, telles que manger les « choses saintes » sans autorisation appropriée (</w:t>
      </w:r>
      <w:hyperlink r:id="rId11111">
        <w:r>
          <w:rPr>
            <w:color w:val="0000EE"/>
            <w:u w:val="single"/>
          </w:rPr>
          <w:t>5.14–19</w:t>
        </w:r>
      </w:hyperlink>
      <w:r>
        <w:t xml:space="preserve">; </w:t>
      </w:r>
      <w:hyperlink r:id="rId11112">
        <w:r>
          <w:rPr>
            <w:color w:val="0000EE"/>
            <w:u w:val="single"/>
          </w:rPr>
          <w:t>22.14</w:t>
        </w:r>
      </w:hyperlink>
      <w:r>
        <w:t>), nécessitaient le paiement de la somme qui aurait dû aller au Seigneur en plus de l'amende d'un cinquième qui allait au prêtre (</w:t>
      </w:r>
      <w:hyperlink r:id="rId11102">
        <w:r>
          <w:rPr>
            <w:color w:val="0000EE"/>
            <w:u w:val="single"/>
          </w:rPr>
          <w:t>Lv 5.16</w:t>
        </w:r>
      </w:hyperlink>
      <w:r>
        <w:t xml:space="preserve">; </w:t>
      </w:r>
      <w:hyperlink r:id="rId11113">
        <w:r>
          <w:rPr>
            <w:color w:val="0000EE"/>
            <w:u w:val="single"/>
          </w:rPr>
          <w:t>2R 12.16</w:t>
        </w:r>
      </w:hyperlink>
      <w:r>
        <w:t>). Le lépreux appartient à cette catégorie, car lors de la période de son infection, il était incapable de rendre le culte à Dieu (</w:t>
      </w:r>
      <w:hyperlink r:id="rId11114">
        <w:r>
          <w:rPr>
            <w:color w:val="0000EE"/>
            <w:u w:val="single"/>
          </w:rPr>
          <w:t>Lv 14.12–18</w:t>
        </w:r>
      </w:hyperlink>
      <w:r>
        <w:t>). Il en va de même pour le naziréen qui avait subi une souillure alors qu'il était consacré à Dieu par le vœu ; ainsi, une offrande de culpabilité était requise (</w:t>
      </w:r>
      <w:hyperlink r:id="rId11055">
        <w:r>
          <w:rPr>
            <w:color w:val="0000EE"/>
            <w:u w:val="single"/>
          </w:rPr>
          <w:t>Nb 6.12</w:t>
        </w:r>
      </w:hyperlink>
      <w:r>
        <w:t>). La violation des droits de propriété d'une autre personne ne pouvait être expiée que par l'offrande de culpabilité et son cinquième supplémentaire. Ces questions incluaient la fraude sur les dépôts ou la sécurité, le vol ou l'oppression, le fait de ne pas signaler la découverte d'un bien perdu, ou le faux serment ou le fait de ne pas témoigner (</w:t>
      </w:r>
      <w:hyperlink r:id="rId11115">
        <w:r>
          <w:rPr>
            <w:color w:val="0000EE"/>
            <w:u w:val="single"/>
          </w:rPr>
          <w:t>Lv 6.1–5</w:t>
        </w:r>
      </w:hyperlink>
      <w:r>
        <w:t>). Les rapports sexuels avec une esclave fiancée étaient également une violation des droits de propriété (</w:t>
      </w:r>
      <w:hyperlink r:id="rId11116">
        <w:r>
          <w:rPr>
            <w:color w:val="0000EE"/>
            <w:u w:val="single"/>
          </w:rPr>
          <w:t>19.20–22</w:t>
        </w:r>
      </w:hyperlink>
      <w:r>
        <w:t>). Si la partie offensée n'était plus en vie et n'avait pas de parents survivants, le paiement allait au prêtre (</w:t>
      </w:r>
      <w:hyperlink r:id="rId10745">
        <w:r>
          <w:rPr>
            <w:color w:val="0000EE"/>
            <w:u w:val="single"/>
          </w:rPr>
          <w:t>Nb 5.5–10</w:t>
        </w:r>
      </w:hyperlink>
      <w:r>
        <w:t>).</w:t>
      </w:r>
    </w:p>
    <w:p>
      <w:pPr>
        <w:pStyle w:val="Heading4"/>
      </w:pPr>
      <w:r>
        <w:t>Offrandes de consécration</w:t>
      </w:r>
    </w:p>
    <w:p>
      <w:r/>
      <w:r>
        <w:t>Ce sont ces rituels qui viennent généralement à l'esprit lorsque l'on entend le mot « offrande ». Ils représentent des actes d'engagement personnel qui doivent accompagner la repentance exprimée dans les sacrifices pour le péché et la culpabilité. Ils étaient également une condition préalable aux sacrifices de communion ou communautaires qui pouvaient suivre.</w:t>
      </w:r>
    </w:p>
    <w:p>
      <w:r/>
      <w:r>
        <w:t>1. Holocauste (</w:t>
      </w:r>
      <w:hyperlink r:id="rId11117">
        <w:r>
          <w:rPr>
            <w:color w:val="0000EE"/>
            <w:u w:val="single"/>
          </w:rPr>
          <w:t>Lv 1.3–17</w:t>
        </w:r>
      </w:hyperlink>
      <w:r>
        <w:t xml:space="preserve"> ; </w:t>
      </w:r>
      <w:hyperlink r:id="rId11118">
        <w:r>
          <w:rPr>
            <w:color w:val="0000EE"/>
            <w:u w:val="single"/>
          </w:rPr>
          <w:t>6.8–13</w:t>
        </w:r>
      </w:hyperlink>
      <w:r>
        <w:t>). L'holocauste pouvait être un taureau, un mouton ou un oiseau. L'offrant présentait l'animal, posait sa main dessus et le tuait du côté nord de l'autel. L'oiseau était simplement donné au prêtre. Ce dernier recueillait le sang, le présentait devant Dieu, puis le répandait autour de l'autel. Lorsque l'offrande était un oiseau, il lui tordait le cou et vidait son sang sur le côté de l'autel. Bien que l'abattage et l'aspersion du sang relient l'holocauste aux sacrifices expiatoires de la section précédente, l'accent principal ici est mis sur le fait de tuer l'animal, de laver ses parties impures, puis de disposer soigneusement toutes les pièces sur l'autel. Tout cela était ensuite consumé sur l'autel comme une odeur agréable au Seigneur. Puisque les holocaustes étaient offerts matin et soir, un bon approvisionnement en bois près de l'autel était nécessaire. Le prêtre officiant, vêtu de vêtements appropriés, devait maintenir le feu allumé de façon continue (</w:t>
      </w:r>
      <w:hyperlink r:id="rId11118">
        <w:r>
          <w:rPr>
            <w:color w:val="0000EE"/>
            <w:u w:val="single"/>
          </w:rPr>
          <w:t>6.8–13</w:t>
        </w:r>
      </w:hyperlink>
      <w:r>
        <w:t>).</w:t>
      </w:r>
    </w:p>
    <w:p>
      <w:r/>
      <w:r>
        <w:t>Les holocaustes jouaient un rôle important dans les sacrifices du calendrier rituel. L'holocauste perpétuel était offert deux fois par jour, un agneau mâle matin et soir (</w:t>
      </w:r>
      <w:hyperlink r:id="rId11119">
        <w:r>
          <w:rPr>
            <w:color w:val="0000EE"/>
            <w:u w:val="single"/>
          </w:rPr>
          <w:t>Ex 29.38–42</w:t>
        </w:r>
      </w:hyperlink>
      <w:r>
        <w:t xml:space="preserve"> ; </w:t>
      </w:r>
      <w:hyperlink r:id="rId11120">
        <w:r>
          <w:rPr>
            <w:color w:val="0000EE"/>
            <w:u w:val="single"/>
          </w:rPr>
          <w:t>Nb 28.1–8</w:t>
        </w:r>
      </w:hyperlink>
      <w:r>
        <w:t>). Deux agneaux supplémentaires étaient sacrifiés chaque sabbat (</w:t>
      </w:r>
      <w:hyperlink r:id="rId5567">
        <w:r>
          <w:rPr>
            <w:color w:val="0000EE"/>
            <w:u w:val="single"/>
          </w:rPr>
          <w:t>Nb 28.9–10</w:t>
        </w:r>
      </w:hyperlink>
      <w:r>
        <w:t>).</w:t>
      </w:r>
    </w:p>
    <w:p>
      <w:r/>
      <w:r>
        <w:t>À l'exception de ces offrandes quotidiennes, une offrande pour le péché d'un bouc était généralement faite avec les holocaustes lors des fêtes suivantes : pour la nouvelle lune au début de chaque mois, deux jeunes taureaux, un bélier et sept agneaux mâles étaient offerts (</w:t>
      </w:r>
      <w:hyperlink r:id="rId11121">
        <w:r>
          <w:rPr>
            <w:color w:val="0000EE"/>
            <w:u w:val="single"/>
          </w:rPr>
          <w:t>Nb 28.11–14</w:t>
        </w:r>
      </w:hyperlink>
      <w:r>
        <w:t xml:space="preserve">). Le même sacrifice était requis pour chaque jour du festival de la Pâque (v. </w:t>
      </w:r>
      <w:hyperlink r:id="rId11122">
        <w:r>
          <w:rPr>
            <w:color w:val="0000EE"/>
            <w:u w:val="single"/>
          </w:rPr>
          <w:t>19–24</w:t>
        </w:r>
      </w:hyperlink>
      <w:r>
        <w:t xml:space="preserve">) et à nouveau lors de la fête des semaines (v. </w:t>
      </w:r>
      <w:hyperlink r:id="rId11123">
        <w:r>
          <w:rPr>
            <w:color w:val="0000EE"/>
            <w:u w:val="single"/>
          </w:rPr>
          <w:t>6–29</w:t>
        </w:r>
      </w:hyperlink>
      <w:r>
        <w:t>). Lors de la fête des trompettes et du Jour des Expiations, l'exigence était un taureau, un bélier et sept agneaux (</w:t>
      </w:r>
      <w:hyperlink r:id="rId11124">
        <w:r>
          <w:rPr>
            <w:color w:val="0000EE"/>
            <w:u w:val="single"/>
          </w:rPr>
          <w:t>29.2–4</w:t>
        </w:r>
      </w:hyperlink>
      <w:r>
        <w:t>).</w:t>
      </w:r>
    </w:p>
    <w:p>
      <w:r/>
      <w:r>
        <w:t>La grande fête des tabernacles se caractérisait par une série élaborée d'offrandes brûlées, plus un bouc par jour comme offrande pour le péché. Le premier jour, treize jeunes taureaux, deux béliers et quatorze agneaux mâles étaient offerts (</w:t>
      </w:r>
      <w:hyperlink r:id="rId11050">
        <w:r>
          <w:rPr>
            <w:color w:val="0000EE"/>
            <w:u w:val="single"/>
          </w:rPr>
          <w:t>Nb 29.12–16</w:t>
        </w:r>
      </w:hyperlink>
      <w:r>
        <w:t xml:space="preserve">). Chaque jour suivant, le nombre de taureaux diminuait d'un jusqu'à ce que le septième jour, il n'y en ait plus que sept (les béliers et les agneaux restaient les mêmes ; </w:t>
      </w:r>
      <w:hyperlink r:id="rId11125">
        <w:r>
          <w:rPr>
            <w:color w:val="0000EE"/>
            <w:u w:val="single"/>
          </w:rPr>
          <w:t>29.17–25</w:t>
        </w:r>
      </w:hyperlink>
      <w:r>
        <w:t>). Le huitième jour, les animaux requis pour les Trompettes et l'Expiation étaient offerts, à savoir un taureau, un bélier et sept agneaux.</w:t>
      </w:r>
    </w:p>
    <w:p>
      <w:r/>
      <w:r>
        <w:t>Certains rituels de purification nécessitaient également des holocaustes en plus des offrandes pour le péché : après un accouchement (</w:t>
      </w:r>
      <w:hyperlink r:id="rId11051">
        <w:r>
          <w:rPr>
            <w:color w:val="0000EE"/>
            <w:u w:val="single"/>
          </w:rPr>
          <w:t>Lv 12.6–8</w:t>
        </w:r>
      </w:hyperlink>
      <w:r>
        <w:t>), des ulcères (</w:t>
      </w:r>
      <w:hyperlink r:id="rId11126">
        <w:r>
          <w:rPr>
            <w:color w:val="0000EE"/>
            <w:u w:val="single"/>
          </w:rPr>
          <w:t>15.14–15</w:t>
        </w:r>
      </w:hyperlink>
      <w:r>
        <w:t xml:space="preserve">), et des flux (v. </w:t>
      </w:r>
      <w:hyperlink r:id="rId11127">
        <w:r>
          <w:rPr>
            <w:color w:val="0000EE"/>
            <w:u w:val="single"/>
          </w:rPr>
          <w:t>29–30</w:t>
        </w:r>
      </w:hyperlink>
      <w:r>
        <w:t>) ; ou après une souillure sous un vœu de naziréat (</w:t>
      </w:r>
      <w:hyperlink r:id="rId11100">
        <w:r>
          <w:rPr>
            <w:color w:val="0000EE"/>
            <w:u w:val="single"/>
          </w:rPr>
          <w:t>Nb 6.10–11</w:t>
        </w:r>
      </w:hyperlink>
      <w:r>
        <w:t>). Bien qu'il ne soit pas indiqué que des offrandes de céréales étaient requises dans ces cas, elles l'étaient certainement pour la purification de la lèpre (</w:t>
      </w:r>
      <w:hyperlink r:id="rId11128">
        <w:r>
          <w:rPr>
            <w:color w:val="0000EE"/>
            <w:u w:val="single"/>
          </w:rPr>
          <w:t>Lv 14.10, 19–22, 31</w:t>
        </w:r>
      </w:hyperlink>
      <w:r>
        <w:t>) et l'accomplissement du vœu de naziréat (</w:t>
      </w:r>
      <w:hyperlink r:id="rId11129">
        <w:r>
          <w:rPr>
            <w:color w:val="0000EE"/>
            <w:u w:val="single"/>
          </w:rPr>
          <w:t>Nb 6.14–16</w:t>
        </w:r>
      </w:hyperlink>
      <w:r>
        <w:t>).</w:t>
      </w:r>
    </w:p>
    <w:p>
      <w:r/>
      <w:r>
        <w:t>2. Offrande de céréales (ou de grain) (</w:t>
      </w:r>
      <w:hyperlink r:id="rId11009">
        <w:r>
          <w:rPr>
            <w:color w:val="0000EE"/>
            <w:u w:val="single"/>
          </w:rPr>
          <w:t>Lv 2</w:t>
        </w:r>
      </w:hyperlink>
      <w:r>
        <w:t xml:space="preserve"> ; </w:t>
      </w:r>
      <w:hyperlink r:id="rId11130">
        <w:r>
          <w:rPr>
            <w:color w:val="0000EE"/>
            <w:u w:val="single"/>
          </w:rPr>
          <w:t>6.14–23</w:t>
        </w:r>
      </w:hyperlink>
      <w:r>
        <w:t>). Le terme hébreu se référant à cette offrande particulière signifie « don » ou « offrande », y compris dans le cas d'animaux (</w:t>
      </w:r>
      <w:hyperlink r:id="rId11131">
        <w:r>
          <w:rPr>
            <w:color w:val="0000EE"/>
            <w:u w:val="single"/>
          </w:rPr>
          <w:t>Gn 4.3–5</w:t>
        </w:r>
      </w:hyperlink>
      <w:r>
        <w:t xml:space="preserve"> ; </w:t>
      </w:r>
      <w:hyperlink r:id="rId11132">
        <w:r>
          <w:rPr>
            <w:color w:val="0000EE"/>
            <w:u w:val="single"/>
          </w:rPr>
          <w:t>Jg 6.18</w:t>
        </w:r>
      </w:hyperlink>
      <w:r>
        <w:t xml:space="preserve"> ; </w:t>
      </w:r>
      <w:hyperlink r:id="rId11133">
        <w:r>
          <w:rPr>
            <w:color w:val="0000EE"/>
            <w:u w:val="single"/>
          </w:rPr>
          <w:t>1S 2.17</w:t>
        </w:r>
      </w:hyperlink>
      <w:r>
        <w:t>). Mais dans le contexte sacrificiel spécifique, il désigne une combinaison de farine fine, d'huile d'olive et d'encens qui pouvait être préparée sous forme de pains cuits, de galettes ou de morceaux. L'offrande des prémices devait être des épis écrasés de nouveau grain (</w:t>
      </w:r>
      <w:hyperlink r:id="rId11134">
        <w:r>
          <w:rPr>
            <w:color w:val="0000EE"/>
            <w:u w:val="single"/>
          </w:rPr>
          <w:t>Lv 2.14</w:t>
        </w:r>
      </w:hyperlink>
      <w:r>
        <w:t xml:space="preserve">). Aucun levain ou miel n'était permis sur les gâteaux, bien que ces mêmes produits puissent être acceptés comme offrande de prémices. Ils n'étaient pas destinés à l'autel mais étaient donnés au prêtre. L'offrant devait apporter les pains ou galettes préparés au temple. Le prêtre brûlait une poignée sur l'autel comme « souvenir » (v. </w:t>
      </w:r>
      <w:hyperlink r:id="rId11135">
        <w:r>
          <w:rPr>
            <w:color w:val="0000EE"/>
            <w:u w:val="single"/>
          </w:rPr>
          <w:t>2</w:t>
        </w:r>
      </w:hyperlink>
      <w:r>
        <w:t>), gardant le reste pour sa propre nourriture (</w:t>
      </w:r>
      <w:hyperlink r:id="rId11136">
        <w:r>
          <w:rPr>
            <w:color w:val="0000EE"/>
            <w:u w:val="single"/>
          </w:rPr>
          <w:t>6.16</w:t>
        </w:r>
      </w:hyperlink>
      <w:r>
        <w:t xml:space="preserve"> ; </w:t>
      </w:r>
      <w:hyperlink r:id="rId11137">
        <w:r>
          <w:rPr>
            <w:color w:val="0000EE"/>
            <w:u w:val="single"/>
          </w:rPr>
          <w:t>7.9</w:t>
        </w:r>
      </w:hyperlink>
      <w:r>
        <w:t>). Mais lorsque le prêtre faisait une offrande de céréales en son propre nom, il la brûlait entièrement sur l'autel (</w:t>
      </w:r>
      <w:hyperlink r:id="rId11138">
        <w:r>
          <w:rPr>
            <w:color w:val="0000EE"/>
            <w:u w:val="single"/>
          </w:rPr>
          <w:t>6.22–23</w:t>
        </w:r>
      </w:hyperlink>
      <w:r>
        <w:t>).</w:t>
      </w:r>
    </w:p>
    <w:p>
      <w:r/>
      <w:r>
        <w:t>Une offrande de céréales était généralement donnée avec chaque holocauste, en particulier ceux concernant le calendrier sacré (</w:t>
      </w:r>
      <w:hyperlink r:id="rId11013">
        <w:r>
          <w:rPr>
            <w:color w:val="0000EE"/>
            <w:u w:val="single"/>
          </w:rPr>
          <w:t>Nb 28–29</w:t>
        </w:r>
      </w:hyperlink>
      <w:r>
        <w:t>). Les quantités de farine et d'huile étaient fixées selon l'animal sacrifié : trois dixièmes d'un épha de farine et un demi-hin d'huile pour un taureau, deux dixièmes d'épha et un tiers de hin pour un bélier, et un dixième d'épha plus un quart de hin pour un agneau (</w:t>
      </w:r>
      <w:hyperlink r:id="rId11139">
        <w:r>
          <w:rPr>
            <w:color w:val="0000EE"/>
            <w:u w:val="single"/>
          </w:rPr>
          <w:t>15.2–10</w:t>
        </w:r>
      </w:hyperlink>
      <w:r>
        <w:t>). D'autres occasions propices pour une offrande de céréales incluaient la purification d'un lépreux (</w:t>
      </w:r>
      <w:hyperlink r:id="rId11140">
        <w:r>
          <w:rPr>
            <w:color w:val="0000EE"/>
            <w:u w:val="single"/>
          </w:rPr>
          <w:t>Lv 14.10, 20–21, 31</w:t>
        </w:r>
      </w:hyperlink>
      <w:r>
        <w:t xml:space="preserve"> ; quantité non spécifiée de céréales avec un oiseau) et la réussite de l'accomplissement d'un vœu de naziréat (</w:t>
      </w:r>
      <w:hyperlink r:id="rId11141">
        <w:r>
          <w:rPr>
            <w:color w:val="0000EE"/>
            <w:u w:val="single"/>
          </w:rPr>
          <w:t>Nb 6.13–15</w:t>
        </w:r>
      </w:hyperlink>
      <w:r>
        <w:t>).</w:t>
      </w:r>
    </w:p>
    <w:p>
      <w:r/>
      <w:r>
        <w:t>Les sacrifices d'action de grâce étaient invariablement suivies d'offrandes de céréales (</w:t>
      </w:r>
      <w:hyperlink r:id="rId11014">
        <w:r>
          <w:rPr>
            <w:color w:val="0000EE"/>
            <w:u w:val="single"/>
          </w:rPr>
          <w:t>Lv 7.12–14</w:t>
        </w:r>
      </w:hyperlink>
      <w:r>
        <w:t xml:space="preserve"> ; </w:t>
      </w:r>
      <w:hyperlink r:id="rId11142">
        <w:r>
          <w:rPr>
            <w:color w:val="0000EE"/>
            <w:u w:val="single"/>
          </w:rPr>
          <w:t>Nb 15.4</w:t>
        </w:r>
      </w:hyperlink>
      <w:r>
        <w:t>). Le prêtre recevait une de chaque paire de gâteaux ou de galettes. Le reste était rendu à l'offrant pour être consommé avec la chair de l'animal sacrificiel à l'endroit de son choix.</w:t>
      </w:r>
    </w:p>
    <w:p>
      <w:r/>
      <w:r>
        <w:t>Un cas particulier où une telle offrande était utilisée était le dixième d'un épha de farine d'orge requis dans le rituel de l'offrande de jalousie. Il ne devait contenir ni huile ni encens (</w:t>
      </w:r>
      <w:hyperlink r:id="rId11143">
        <w:r>
          <w:rPr>
            <w:color w:val="0000EE"/>
            <w:u w:val="single"/>
          </w:rPr>
          <w:t>Nb 5.15, 18, 25–26</w:t>
        </w:r>
      </w:hyperlink>
      <w:r>
        <w:t>). Une personne très pauvre était autorisée à apporter un dixième d'un épha de fleur de farine sans huile ni encens comme offrande pour le péché (</w:t>
      </w:r>
      <w:hyperlink r:id="rId11077">
        <w:r>
          <w:rPr>
            <w:color w:val="0000EE"/>
            <w:u w:val="single"/>
          </w:rPr>
          <w:t>Lv 5.11–13</w:t>
        </w:r>
      </w:hyperlink>
      <w:r>
        <w:t>).</w:t>
      </w:r>
    </w:p>
    <w:p>
      <w:r/>
      <w:r>
        <w:t>3. Libation (</w:t>
      </w:r>
      <w:hyperlink r:id="rId11144">
        <w:r>
          <w:rPr>
            <w:color w:val="0000EE"/>
            <w:u w:val="single"/>
          </w:rPr>
          <w:t>Nb 15.1–10</w:t>
        </w:r>
      </w:hyperlink>
      <w:r>
        <w:t>). La libation standard était d'un quart de hin de vin pour un agneau, d'un tiers pour un bélier, et d'une moitié pour un taureau. Le vin (</w:t>
      </w:r>
      <w:hyperlink r:id="rId6545">
        <w:r>
          <w:rPr>
            <w:color w:val="0000EE"/>
            <w:u w:val="single"/>
          </w:rPr>
          <w:t>Ex 29.40</w:t>
        </w:r>
      </w:hyperlink>
      <w:r>
        <w:t xml:space="preserve"> ; </w:t>
      </w:r>
      <w:hyperlink r:id="rId11145">
        <w:r>
          <w:rPr>
            <w:color w:val="0000EE"/>
            <w:u w:val="single"/>
          </w:rPr>
          <w:t>Nb 28.7</w:t>
        </w:r>
      </w:hyperlink>
      <w:r>
        <w:t>), est probablement un substitut intentionnel du sang utilisé par d'autres nations (</w:t>
      </w:r>
      <w:hyperlink r:id="rId11146">
        <w:r>
          <w:rPr>
            <w:color w:val="0000EE"/>
            <w:u w:val="single"/>
          </w:rPr>
          <w:t>Ps 16.4</w:t>
        </w:r>
      </w:hyperlink>
      <w:r>
        <w:t xml:space="preserve">). La libation était classée comme une offrande d'« </w:t>
      </w:r>
      <w:r>
        <w:t>agréable odeur</w:t>
      </w:r>
      <w:r>
        <w:t xml:space="preserve"> » (</w:t>
      </w:r>
      <w:hyperlink r:id="rId11147">
        <w:r>
          <w:rPr>
            <w:color w:val="0000EE"/>
            <w:u w:val="single"/>
          </w:rPr>
          <w:t>Nb 15.7</w:t>
        </w:r>
      </w:hyperlink>
      <w:r>
        <w:t>). Comme pour l'holocauste, la libation tout entière était consommée ; rien n'était donné au prêtre (</w:t>
      </w:r>
      <w:hyperlink r:id="rId11145">
        <w:r>
          <w:rPr>
            <w:color w:val="0000EE"/>
            <w:u w:val="single"/>
          </w:rPr>
          <w:t>28.7</w:t>
        </w:r>
      </w:hyperlink>
      <w:r>
        <w:t>).</w:t>
      </w:r>
    </w:p>
    <w:p>
      <w:r/>
      <w:r>
        <w:t>Les libations accompagnaient l'offrande quotidienne (</w:t>
      </w:r>
      <w:hyperlink r:id="rId11148">
        <w:r>
          <w:rPr>
            <w:color w:val="0000EE"/>
            <w:u w:val="single"/>
          </w:rPr>
          <w:t>Ex 29.40–41</w:t>
        </w:r>
      </w:hyperlink>
      <w:r>
        <w:t xml:space="preserve"> ; </w:t>
      </w:r>
      <w:hyperlink r:id="rId11145">
        <w:r>
          <w:rPr>
            <w:color w:val="0000EE"/>
            <w:u w:val="single"/>
          </w:rPr>
          <w:t>Nb 28.7</w:t>
        </w:r>
      </w:hyperlink>
      <w:r>
        <w:t>) et l'offrande du sabbat (</w:t>
      </w:r>
      <w:hyperlink r:id="rId11149">
        <w:r>
          <w:rPr>
            <w:color w:val="0000EE"/>
            <w:u w:val="single"/>
          </w:rPr>
          <w:t>Nb 28.9</w:t>
        </w:r>
      </w:hyperlink>
      <w:r>
        <w:t>), ainsi que le festival de la nouvelle lune. Il est également fait référence à elles en lien avec le deuxième jour et les jours suivants de la Fête des Tabernacles (</w:t>
      </w:r>
      <w:hyperlink r:id="rId11150">
        <w:r>
          <w:rPr>
            <w:color w:val="0000EE"/>
            <w:u w:val="single"/>
          </w:rPr>
          <w:t>Nb 29.18, 21</w:t>
        </w:r>
      </w:hyperlink>
      <w:r>
        <w:t>) ; pour le premier jour, leur absence est probablement involontaire. Il en va peut-être de même pour la Pâque, les Prémices et la Fête des Trompettes (</w:t>
      </w:r>
      <w:hyperlink r:id="rId11151">
        <w:r>
          <w:rPr>
            <w:color w:val="0000EE"/>
            <w:u w:val="single"/>
          </w:rPr>
          <w:t>Nb 28.16–29.11</w:t>
        </w:r>
      </w:hyperlink>
      <w:r>
        <w:t xml:space="preserve"> ; voir </w:t>
      </w:r>
      <w:hyperlink r:id="rId11152">
        <w:r>
          <w:rPr>
            <w:color w:val="0000EE"/>
            <w:u w:val="single"/>
          </w:rPr>
          <w:t>Ez 45.11</w:t>
        </w:r>
      </w:hyperlink>
      <w:r>
        <w:t>). Une libation était requise pour les rites concluant un vœu de naziréat (</w:t>
      </w:r>
      <w:hyperlink r:id="rId11153">
        <w:r>
          <w:rPr>
            <w:color w:val="0000EE"/>
            <w:u w:val="single"/>
          </w:rPr>
          <w:t>Nb 6.17</w:t>
        </w:r>
      </w:hyperlink>
      <w:r>
        <w:t>) mais pas pour la purification d'un lépreux (</w:t>
      </w:r>
      <w:hyperlink r:id="rId11154">
        <w:r>
          <w:rPr>
            <w:color w:val="0000EE"/>
            <w:u w:val="single"/>
          </w:rPr>
          <w:t>Lv 14.10–20</w:t>
        </w:r>
      </w:hyperlink>
      <w:r>
        <w:t>).</w:t>
      </w:r>
    </w:p>
    <w:p>
      <w:pPr>
        <w:pStyle w:val="Heading4"/>
      </w:pPr>
      <w:r>
        <w:t>Offrandes de communion</w:t>
      </w:r>
    </w:p>
    <w:p>
      <w:r/>
      <w:r>
        <w:t>Ces sacrifices étaient volontaires de la part de l'offrant et généralement non imposés par des règlements, sauf pour le Naziréen (</w:t>
      </w:r>
      <w:hyperlink r:id="rId11153">
        <w:r>
          <w:rPr>
            <w:color w:val="0000EE"/>
            <w:u w:val="single"/>
          </w:rPr>
          <w:t>Nb 6.17</w:t>
        </w:r>
      </w:hyperlink>
      <w:r>
        <w:t>) et la Fête des Semaines (</w:t>
      </w:r>
      <w:hyperlink r:id="rId11039">
        <w:r>
          <w:rPr>
            <w:color w:val="0000EE"/>
            <w:u w:val="single"/>
          </w:rPr>
          <w:t>Lv 23.19–20</w:t>
        </w:r>
      </w:hyperlink>
      <w:r>
        <w:t>). Un offrant qui avait déjà rempli les exigences rituelles pour l'expiation et la consécration personnelle était autorisé à faire une offrande de communion. Les holocaustes accompagnaient souvent les offrandes de communion comme une expression supplémentaire de dévotion.</w:t>
      </w:r>
    </w:p>
    <w:p>
      <w:r/>
      <w:r>
        <w:t>1. Sacrifice d'action de grâce (</w:t>
      </w:r>
      <w:hyperlink r:id="rId11010">
        <w:r>
          <w:rPr>
            <w:color w:val="0000EE"/>
            <w:u w:val="single"/>
          </w:rPr>
          <w:t>Lv 3</w:t>
        </w:r>
      </w:hyperlink>
      <w:r>
        <w:t xml:space="preserve"> ; </w:t>
      </w:r>
      <w:hyperlink r:id="rId11038">
        <w:r>
          <w:rPr>
            <w:color w:val="0000EE"/>
            <w:u w:val="single"/>
          </w:rPr>
          <w:t>7.11–36</w:t>
        </w:r>
      </w:hyperlink>
      <w:r>
        <w:t xml:space="preserve"> ; </w:t>
      </w:r>
      <w:hyperlink r:id="rId11155">
        <w:r>
          <w:rPr>
            <w:color w:val="0000EE"/>
            <w:u w:val="single"/>
          </w:rPr>
          <w:t>Am 5.22</w:t>
        </w:r>
      </w:hyperlink>
      <w:r>
        <w:t>). Catégorie de base de toutes les offrandes de communion ou communautaires ; les autres ne sont que des sous-catégories du sacrifice d'action de grâce. En termes de sainteté ou de restriction, elles n'étaient pas aussi strictement réglementées que les autres offrandes. Les animaux du troupeau ou du bétail, mâles ou femelles (</w:t>
      </w:r>
      <w:hyperlink r:id="rId11156">
        <w:r>
          <w:rPr>
            <w:color w:val="0000EE"/>
            <w:u w:val="single"/>
          </w:rPr>
          <w:t>Lv 3.1, 6, 12</w:t>
        </w:r>
      </w:hyperlink>
      <w:r>
        <w:t>), étaient autorisés. La stipulation habituelle de l'absence de défaut était en vigueur, sauf dans le cas de l'offrande volontaire, où l'animal pouvait avoir un membre plus long que l'autre (</w:t>
      </w:r>
      <w:hyperlink r:id="rId11157">
        <w:r>
          <w:rPr>
            <w:color w:val="0000EE"/>
            <w:u w:val="single"/>
          </w:rPr>
          <w:t>22.23</w:t>
        </w:r>
      </w:hyperlink>
      <w:r>
        <w:t>). Des gâteaux sans levain étaient également requis, dans le cas des offrandes de reconnaissance (</w:t>
      </w:r>
      <w:hyperlink r:id="rId11158">
        <w:r>
          <w:rPr>
            <w:color w:val="0000EE"/>
            <w:u w:val="single"/>
          </w:rPr>
          <w:t>7.12–13</w:t>
        </w:r>
      </w:hyperlink>
      <w:r>
        <w:t>) et de Naziréen (</w:t>
      </w:r>
      <w:hyperlink r:id="rId11159">
        <w:r>
          <w:rPr>
            <w:color w:val="0000EE"/>
            <w:u w:val="single"/>
          </w:rPr>
          <w:t>Nb 6.15–19</w:t>
        </w:r>
      </w:hyperlink>
      <w:r>
        <w:t>). Chacun de ces trois types de sacrifices d'action de grâce sera abordé ci-dessous, avec leurs caractéristiques spéciales.</w:t>
      </w:r>
    </w:p>
    <w:p>
      <w:r/>
      <w:r>
        <w:t>Les premières parties du rituel, la présentation et l'imposition de la main, étaient identiques à celles des autres sacrifices. Cependant, l'animal était abattu à la porte de la cour du sanctuaire et non du côté nord de l'autel (</w:t>
      </w:r>
      <w:hyperlink r:id="rId11160">
        <w:r>
          <w:rPr>
            <w:color w:val="0000EE"/>
            <w:u w:val="single"/>
          </w:rPr>
          <w:t>Lv 3.1–2, 7–8, 12–13</w:t>
        </w:r>
      </w:hyperlink>
      <w:r>
        <w:t xml:space="preserve"> ; </w:t>
      </w:r>
      <w:hyperlink r:id="rId11161">
        <w:r>
          <w:rPr>
            <w:color w:val="0000EE"/>
            <w:u w:val="single"/>
          </w:rPr>
          <w:t>7.29–30</w:t>
        </w:r>
      </w:hyperlink>
      <w:r>
        <w:t>). Le prêtre recueillait le sang et le jetait contre l'autel comme il le faisait avec l'holocauste (</w:t>
      </w:r>
      <w:hyperlink r:id="rId11162">
        <w:r>
          <w:rPr>
            <w:color w:val="0000EE"/>
            <w:u w:val="single"/>
          </w:rPr>
          <w:t>3.2, 8, 13</w:t>
        </w:r>
      </w:hyperlink>
      <w:r>
        <w:t xml:space="preserve">). Les viscères choisies étaient offertes en tant qu'« </w:t>
      </w:r>
      <w:r>
        <w:t>agréable odeur</w:t>
      </w:r>
      <w:r>
        <w:t xml:space="preserve"> » (</w:t>
      </w:r>
      <w:hyperlink r:id="rId11163">
        <w:r>
          <w:rPr>
            <w:color w:val="0000EE"/>
            <w:u w:val="single"/>
          </w:rPr>
          <w:t>3.3–5, 6–11, 14–16</w:t>
        </w:r>
      </w:hyperlink>
      <w:r>
        <w:t>).</w:t>
      </w:r>
    </w:p>
    <w:p>
      <w:r/>
      <w:r>
        <w:t>Le prêtre recevait également une certaine portion de l'offrande. Il était autorisé à la manger dans tout lieu rituellement pur et à la partager avec sa famille (</w:t>
      </w:r>
      <w:hyperlink r:id="rId11164">
        <w:r>
          <w:rPr>
            <w:color w:val="0000EE"/>
            <w:u w:val="single"/>
          </w:rPr>
          <w:t>Lv 7.14, 30–36</w:t>
        </w:r>
      </w:hyperlink>
      <w:r>
        <w:t xml:space="preserve"> ; </w:t>
      </w:r>
      <w:hyperlink r:id="rId11165">
        <w:r>
          <w:rPr>
            <w:color w:val="0000EE"/>
            <w:u w:val="single"/>
          </w:rPr>
          <w:t>Nb 6.20</w:t>
        </w:r>
      </w:hyperlink>
      <w:r>
        <w:t>), contrairement à sa portion d'autres sacrifices, qu'il devait manger quelque part dans l'enceinte du temple (</w:t>
      </w:r>
      <w:hyperlink r:id="rId11166">
        <w:r>
          <w:rPr>
            <w:color w:val="0000EE"/>
            <w:u w:val="single"/>
          </w:rPr>
          <w:t>Nb 18.10–11</w:t>
        </w:r>
      </w:hyperlink>
      <w:r>
        <w:t>). Il recevait l'un des gâteaux et la poitrine comme offrande « agitée » et la cuisse droite comme contribution pour l'offrant. Cette dernière est la soi-disant « offrande élevée » ; le terme technique s'est développé à partir d'une racine signifiant « être haut » et désignant « ce qui est levé ». L'offrande élevée ne représentait pas en soi un type spécial de cérémonie rituelle.</w:t>
      </w:r>
    </w:p>
    <w:p>
      <w:r/>
      <w:r>
        <w:t>L'acte rituel du sacrifice d'action de grâce culminait par un repas de communion. À l'exception des parties sur l'autel ou données au prêtre, le corps de l'animal était rendu à l'homme qui l'avait offert. Il devait le préparer comme un repas communautaire pour lui-même, pour sa famille, et pour le Lévite de sa communauté (</w:t>
      </w:r>
      <w:hyperlink r:id="rId11167">
        <w:r>
          <w:rPr>
            <w:color w:val="0000EE"/>
            <w:u w:val="single"/>
          </w:rPr>
          <w:t>Dt 12.12, 18–19</w:t>
        </w:r>
      </w:hyperlink>
      <w:r>
        <w:t>). Cela devait se faire au sanctuaire officiel (</w:t>
      </w:r>
      <w:hyperlink r:id="rId11168">
        <w:r>
          <w:rPr>
            <w:color w:val="0000EE"/>
            <w:u w:val="single"/>
          </w:rPr>
          <w:t>Dt 12.6–7, 11–12, 15–19</w:t>
        </w:r>
      </w:hyperlink>
      <w:r>
        <w:t xml:space="preserve"> ; voir </w:t>
      </w:r>
      <w:hyperlink r:id="rId11169">
        <w:r>
          <w:rPr>
            <w:color w:val="0000EE"/>
            <w:u w:val="single"/>
          </w:rPr>
          <w:t>1S 1.3–4</w:t>
        </w:r>
      </w:hyperlink>
      <w:r>
        <w:t>) et les participants devaient observer des règles strictes de pureté (</w:t>
      </w:r>
      <w:hyperlink r:id="rId11170">
        <w:r>
          <w:rPr>
            <w:color w:val="0000EE"/>
            <w:u w:val="single"/>
          </w:rPr>
          <w:t>Lv 7.19–21</w:t>
        </w:r>
      </w:hyperlink>
      <w:r>
        <w:t xml:space="preserve"> ; </w:t>
      </w:r>
      <w:hyperlink r:id="rId11171">
        <w:r>
          <w:rPr>
            <w:color w:val="0000EE"/>
            <w:u w:val="single"/>
          </w:rPr>
          <w:t>19.5–8</w:t>
        </w:r>
      </w:hyperlink>
      <w:r>
        <w:t>). Ceci peut être contrasté avec l'abattage rituel d'animaux pour un banquet qui était permis à tout autel local (</w:t>
      </w:r>
      <w:hyperlink r:id="rId11172">
        <w:r>
          <w:rPr>
            <w:color w:val="0000EE"/>
            <w:u w:val="single"/>
          </w:rPr>
          <w:t>Dt 12.16, 20–22</w:t>
        </w:r>
      </w:hyperlink>
      <w:r>
        <w:t>). La chair de l'offrande de reconnaissance devait être consommée le même jour que le sacrifice (</w:t>
      </w:r>
      <w:hyperlink r:id="rId11173">
        <w:r>
          <w:rPr>
            <w:color w:val="0000EE"/>
            <w:u w:val="single"/>
          </w:rPr>
          <w:t>Lv 7.15</w:t>
        </w:r>
      </w:hyperlink>
      <w:r>
        <w:t xml:space="preserve">), tandis que celle des offrandes votives ou volontaires pouvait être terminée le jour suivant (v. </w:t>
      </w:r>
      <w:hyperlink r:id="rId11174">
        <w:r>
          <w:rPr>
            <w:color w:val="0000EE"/>
            <w:u w:val="single"/>
          </w:rPr>
          <w:t>16–18</w:t>
        </w:r>
      </w:hyperlink>
      <w:r>
        <w:t>). Tout ce qui restait devait alors être brûlé avant l'expiration du délai.</w:t>
      </w:r>
    </w:p>
    <w:p>
      <w:r/>
      <w:r>
        <w:t>Il n'y a que trois fois où une demande spécifique pour un sacrifice d'action de grâce est faite : lors de la Fête des Semaines (</w:t>
      </w:r>
      <w:hyperlink r:id="rId11039">
        <w:r>
          <w:rPr>
            <w:color w:val="0000EE"/>
            <w:u w:val="single"/>
          </w:rPr>
          <w:t>Lv 23.19–20</w:t>
        </w:r>
      </w:hyperlink>
      <w:r>
        <w:t>), à l'achèvement d'un vœu de naziréat (</w:t>
      </w:r>
      <w:hyperlink r:id="rId11175">
        <w:r>
          <w:rPr>
            <w:color w:val="0000EE"/>
            <w:u w:val="single"/>
          </w:rPr>
          <w:t>Nb 6.17–20</w:t>
        </w:r>
      </w:hyperlink>
      <w:r>
        <w:t>), et lors de l'installation du sacerdoce (</w:t>
      </w:r>
      <w:hyperlink r:id="rId11176">
        <w:r>
          <w:rPr>
            <w:color w:val="0000EE"/>
            <w:u w:val="single"/>
          </w:rPr>
          <w:t>Ex 29.19–22, 28</w:t>
        </w:r>
      </w:hyperlink>
      <w:r>
        <w:t>). D'autres occasions rituelles publiques incluaient l'inauguration du temple (</w:t>
      </w:r>
      <w:hyperlink r:id="rId11177">
        <w:r>
          <w:rPr>
            <w:color w:val="0000EE"/>
            <w:u w:val="single"/>
          </w:rPr>
          <w:t>1R 8.63</w:t>
        </w:r>
      </w:hyperlink>
      <w:r>
        <w:t xml:space="preserve"> ; </w:t>
      </w:r>
      <w:hyperlink r:id="rId11178">
        <w:r>
          <w:rPr>
            <w:color w:val="0000EE"/>
            <w:u w:val="single"/>
          </w:rPr>
          <w:t>2Ch 7.5</w:t>
        </w:r>
      </w:hyperlink>
      <w:r>
        <w:t>). Les événements à l'échelle nationale qui suscitaient le sacrifice d'action de grâce étaient la conclusion réussie d'une campagne militaire (</w:t>
      </w:r>
      <w:hyperlink r:id="rId8145">
        <w:r>
          <w:rPr>
            <w:color w:val="0000EE"/>
            <w:u w:val="single"/>
          </w:rPr>
          <w:t>1S 11.15</w:t>
        </w:r>
      </w:hyperlink>
      <w:r>
        <w:t>), la fin d'une famine ou d'une peste (</w:t>
      </w:r>
      <w:hyperlink r:id="rId1479">
        <w:r>
          <w:rPr>
            <w:color w:val="0000EE"/>
            <w:u w:val="single"/>
          </w:rPr>
          <w:t>2S 24.25</w:t>
        </w:r>
      </w:hyperlink>
      <w:r>
        <w:t>), la confirmation d'un candidat au trône (</w:t>
      </w:r>
      <w:hyperlink r:id="rId11179">
        <w:r>
          <w:rPr>
            <w:color w:val="0000EE"/>
            <w:u w:val="single"/>
          </w:rPr>
          <w:t>1R 1.9, 19</w:t>
        </w:r>
      </w:hyperlink>
      <w:r>
        <w:t>), ou une période de renouveau religieux (</w:t>
      </w:r>
      <w:hyperlink r:id="rId11180">
        <w:r>
          <w:rPr>
            <w:color w:val="0000EE"/>
            <w:u w:val="single"/>
          </w:rPr>
          <w:t>2Ch 29.31–36</w:t>
        </w:r>
      </w:hyperlink>
      <w:r>
        <w:t>). Au niveau local, elles étaient offertes lors de la réunion familiale annuelle (</w:t>
      </w:r>
      <w:hyperlink r:id="rId11181">
        <w:r>
          <w:rPr>
            <w:color w:val="0000EE"/>
            <w:u w:val="single"/>
          </w:rPr>
          <w:t>1S 20.6</w:t>
        </w:r>
      </w:hyperlink>
      <w:r>
        <w:t>) ou d'autres occasions festives, telles que la récolte des premiers fruits (</w:t>
      </w:r>
      <w:hyperlink r:id="rId11182">
        <w:r>
          <w:rPr>
            <w:color w:val="0000EE"/>
            <w:u w:val="single"/>
          </w:rPr>
          <w:t>Ex 22.29–31</w:t>
        </w:r>
      </w:hyperlink>
      <w:r>
        <w:t xml:space="preserve"> ; </w:t>
      </w:r>
      <w:hyperlink r:id="rId11183">
        <w:r>
          <w:rPr>
            <w:color w:val="0000EE"/>
            <w:u w:val="single"/>
          </w:rPr>
          <w:t>1S 9.11–14, 22–24</w:t>
        </w:r>
      </w:hyperlink>
      <w:r>
        <w:t xml:space="preserve"> ; </w:t>
      </w:r>
      <w:hyperlink r:id="rId11184">
        <w:r>
          <w:rPr>
            <w:color w:val="0000EE"/>
            <w:u w:val="single"/>
          </w:rPr>
          <w:t>16.4–5</w:t>
        </w:r>
      </w:hyperlink>
      <w:r>
        <w:t>).</w:t>
      </w:r>
    </w:p>
    <w:p>
      <w:r/>
      <w:r>
        <w:t xml:space="preserve">2. Offrande agitée. La première portion du sacrifice d'action de grâce était « agitée » devant le Seigneur pour signifier que le prêtre la mangeait en tant que représentant de Dieu (le mouvement réel ressemblait apparemment à l'utilisation d'une scie ou d'un bâton, </w:t>
      </w:r>
      <w:hyperlink r:id="rId11185">
        <w:r>
          <w:rPr>
            <w:color w:val="0000EE"/>
            <w:u w:val="single"/>
          </w:rPr>
          <w:t>Es 10.15</w:t>
        </w:r>
      </w:hyperlink>
      <w:r>
        <w:t>). Le même terme technique, « offrande agitée », était également utilisé pour d'autres types d'offrandes : les métaux précieux donnés pour la fabrication des artefacts cultuels (</w:t>
      </w:r>
      <w:hyperlink r:id="rId2783">
        <w:r>
          <w:rPr>
            <w:color w:val="0000EE"/>
            <w:u w:val="single"/>
          </w:rPr>
          <w:t>Ex 35.22</w:t>
        </w:r>
      </w:hyperlink>
      <w:r>
        <w:t xml:space="preserve"> ; </w:t>
      </w:r>
      <w:hyperlink r:id="rId11186">
        <w:r>
          <w:rPr>
            <w:color w:val="0000EE"/>
            <w:u w:val="single"/>
          </w:rPr>
          <w:t>38.29</w:t>
        </w:r>
      </w:hyperlink>
      <w:r>
        <w:t>) et l'offrande de culpabilité du lépreux purifié (</w:t>
      </w:r>
      <w:hyperlink r:id="rId11187">
        <w:r>
          <w:rPr>
            <w:color w:val="0000EE"/>
            <w:u w:val="single"/>
          </w:rPr>
          <w:t>Lv 14.12</w:t>
        </w:r>
      </w:hyperlink>
      <w:r>
        <w:t>).</w:t>
      </w:r>
    </w:p>
    <w:p>
      <w:r/>
      <w:r>
        <w:t>3. Offrande volontaire. Ces dons, apportés aux saintes convocations qui avaient lieu trois fois par an (</w:t>
      </w:r>
      <w:hyperlink r:id="rId5607">
        <w:r>
          <w:rPr>
            <w:color w:val="0000EE"/>
            <w:u w:val="single"/>
          </w:rPr>
          <w:t>Ex 23.16</w:t>
        </w:r>
      </w:hyperlink>
      <w:r>
        <w:t xml:space="preserve"> ; </w:t>
      </w:r>
      <w:hyperlink r:id="rId11188">
        <w:r>
          <w:rPr>
            <w:color w:val="0000EE"/>
            <w:u w:val="single"/>
          </w:rPr>
          <w:t>34.20</w:t>
        </w:r>
      </w:hyperlink>
      <w:r>
        <w:t xml:space="preserve"> ; </w:t>
      </w:r>
      <w:hyperlink r:id="rId11189">
        <w:r>
          <w:rPr>
            <w:color w:val="0000EE"/>
            <w:u w:val="single"/>
          </w:rPr>
          <w:t>Dt 16.10, 16–17</w:t>
        </w:r>
      </w:hyperlink>
      <w:r>
        <w:t xml:space="preserve"> ; </w:t>
      </w:r>
      <w:hyperlink r:id="rId11190">
        <w:r>
          <w:rPr>
            <w:color w:val="0000EE"/>
            <w:u w:val="single"/>
          </w:rPr>
          <w:t>2Ch 35.8</w:t>
        </w:r>
      </w:hyperlink>
      <w:r>
        <w:t xml:space="preserve"> ; </w:t>
      </w:r>
      <w:hyperlink r:id="rId11191">
        <w:r>
          <w:rPr>
            <w:color w:val="0000EE"/>
            <w:u w:val="single"/>
          </w:rPr>
          <w:t>Esd 3.5</w:t>
        </w:r>
      </w:hyperlink>
      <w:r>
        <w:t>), étaient offertes librement (</w:t>
      </w:r>
      <w:hyperlink r:id="rId11192">
        <w:r>
          <w:rPr>
            <w:color w:val="0000EE"/>
            <w:u w:val="single"/>
          </w:rPr>
          <w:t>Lv 7.16</w:t>
        </w:r>
      </w:hyperlink>
      <w:r>
        <w:t xml:space="preserve"> ; </w:t>
      </w:r>
      <w:hyperlink r:id="rId11193">
        <w:r>
          <w:rPr>
            <w:color w:val="0000EE"/>
            <w:u w:val="single"/>
          </w:rPr>
          <w:t>22.18, 21–23</w:t>
        </w:r>
      </w:hyperlink>
      <w:r>
        <w:t xml:space="preserve"> ; </w:t>
      </w:r>
      <w:hyperlink r:id="rId11194">
        <w:r>
          <w:rPr>
            <w:color w:val="0000EE"/>
            <w:u w:val="single"/>
          </w:rPr>
          <w:t>23.28</w:t>
        </w:r>
      </w:hyperlink>
      <w:r>
        <w:t xml:space="preserve"> ; </w:t>
      </w:r>
      <w:hyperlink r:id="rId11195">
        <w:r>
          <w:rPr>
            <w:color w:val="0000EE"/>
            <w:u w:val="single"/>
          </w:rPr>
          <w:t>Nb 15.3</w:t>
        </w:r>
      </w:hyperlink>
      <w:r>
        <w:t xml:space="preserve"> ; </w:t>
      </w:r>
      <w:hyperlink r:id="rId11196">
        <w:r>
          <w:rPr>
            <w:color w:val="0000EE"/>
            <w:u w:val="single"/>
          </w:rPr>
          <w:t>29.39</w:t>
        </w:r>
      </w:hyperlink>
      <w:r>
        <w:t xml:space="preserve"> ; </w:t>
      </w:r>
      <w:hyperlink r:id="rId11197">
        <w:r>
          <w:rPr>
            <w:color w:val="0000EE"/>
            <w:u w:val="single"/>
          </w:rPr>
          <w:t>Dt 12.6, 17</w:t>
        </w:r>
      </w:hyperlink>
      <w:r>
        <w:t>). L'offrande volontaire pouvait être un holocauste plutôt qu'un sacrifice d'action de grâce (</w:t>
      </w:r>
      <w:hyperlink r:id="rId11198">
        <w:r>
          <w:rPr>
            <w:color w:val="0000EE"/>
            <w:u w:val="single"/>
          </w:rPr>
          <w:t>Lv 22.17–24</w:t>
        </w:r>
      </w:hyperlink>
      <w:r>
        <w:t xml:space="preserve"> ; </w:t>
      </w:r>
      <w:hyperlink r:id="rId11199">
        <w:r>
          <w:rPr>
            <w:color w:val="0000EE"/>
            <w:u w:val="single"/>
          </w:rPr>
          <w:t>Ez 46.12</w:t>
        </w:r>
      </w:hyperlink>
      <w:r>
        <w:t>). Dans le cas de ce dernier, la chair pouvait être consommée le deuxième jour mais devait être brûlée avant le troisième (</w:t>
      </w:r>
      <w:hyperlink r:id="rId11200">
        <w:r>
          <w:rPr>
            <w:color w:val="0000EE"/>
            <w:u w:val="single"/>
          </w:rPr>
          <w:t>Lv 7.16–17</w:t>
        </w:r>
      </w:hyperlink>
      <w:r>
        <w:t>). Contrairement à certains autres sacrifices d'action de grâce, l'animal sacrifié pouvait avoir un membre plus long que l'autre (</w:t>
      </w:r>
      <w:hyperlink r:id="rId11157">
        <w:r>
          <w:rPr>
            <w:color w:val="0000EE"/>
            <w:u w:val="single"/>
          </w:rPr>
          <w:t>22.23</w:t>
        </w:r>
      </w:hyperlink>
      <w:r>
        <w:t>).</w:t>
      </w:r>
    </w:p>
    <w:p>
      <w:r/>
      <w:r>
        <w:t xml:space="preserve">4. Offrande d'installation. Le terme hébreu se réfère aux montures de pierres précieuses (garnir, enchasser, voir </w:t>
      </w:r>
      <w:hyperlink r:id="rId11201">
        <w:r>
          <w:rPr>
            <w:color w:val="0000EE"/>
            <w:u w:val="single"/>
          </w:rPr>
          <w:t>Ex 25.7</w:t>
        </w:r>
      </w:hyperlink>
      <w:r>
        <w:t xml:space="preserve">; </w:t>
      </w:r>
      <w:hyperlink r:id="rId11202">
        <w:r>
          <w:rPr>
            <w:color w:val="0000EE"/>
            <w:u w:val="single"/>
          </w:rPr>
          <w:t>35.9, 27</w:t>
        </w:r>
      </w:hyperlink>
      <w:r>
        <w:t xml:space="preserve">; </w:t>
      </w:r>
      <w:hyperlink r:id="rId3316">
        <w:r>
          <w:rPr>
            <w:color w:val="0000EE"/>
            <w:u w:val="single"/>
          </w:rPr>
          <w:t>1Ch 29.2</w:t>
        </w:r>
      </w:hyperlink>
      <w:r>
        <w:t>), et « installation » semble donc une traduction appropriée. Il s'agissait de « remplir la main », un acte rituel qui consacrait quelqu'un au service de Dieu (</w:t>
      </w:r>
      <w:hyperlink r:id="rId11203">
        <w:r>
          <w:rPr>
            <w:color w:val="0000EE"/>
            <w:u w:val="single"/>
          </w:rPr>
          <w:t>Ex 28.41</w:t>
        </w:r>
      </w:hyperlink>
      <w:r>
        <w:t xml:space="preserve">; voir </w:t>
      </w:r>
      <w:hyperlink r:id="rId11204">
        <w:r>
          <w:rPr>
            <w:color w:val="0000EE"/>
            <w:u w:val="single"/>
          </w:rPr>
          <w:t>32.29</w:t>
        </w:r>
      </w:hyperlink>
      <w:r>
        <w:t>) et nécessitait une pureté rituelle et une dévotion spirituelle (</w:t>
      </w:r>
      <w:hyperlink r:id="rId11205">
        <w:r>
          <w:rPr>
            <w:color w:val="0000EE"/>
            <w:u w:val="single"/>
          </w:rPr>
          <w:t>2Ch 29.31</w:t>
        </w:r>
      </w:hyperlink>
      <w:r>
        <w:t>). Les détails de la cérémonie originale lors de l'installation du premier prêtre sont décrits dans deux passages (</w:t>
      </w:r>
      <w:hyperlink r:id="rId11064">
        <w:r>
          <w:rPr>
            <w:color w:val="0000EE"/>
            <w:u w:val="single"/>
          </w:rPr>
          <w:t>Ex 29.19–34</w:t>
        </w:r>
      </w:hyperlink>
      <w:r>
        <w:t xml:space="preserve">; </w:t>
      </w:r>
      <w:hyperlink r:id="rId11206">
        <w:r>
          <w:rPr>
            <w:color w:val="0000EE"/>
            <w:u w:val="single"/>
          </w:rPr>
          <w:t>Lv 8.22–32</w:t>
        </w:r>
      </w:hyperlink>
      <w:r>
        <w:t>).</w:t>
      </w:r>
    </w:p>
    <w:p>
      <w:r/>
      <w:r>
        <w:rPr>
          <w:i/>
        </w:rPr>
        <w:t>Voir aussi</w:t>
      </w:r>
      <w:r>
        <w:t xml:space="preserve"> </w:t>
      </w:r>
      <w:r>
        <w:t>Expiation</w:t>
      </w:r>
      <w:r>
        <w:t xml:space="preserve"> ; </w:t>
      </w:r>
      <w:r>
        <w:t>Pureté et impureté, Régulations concernant</w:t>
      </w:r>
      <w:r>
        <w:t xml:space="preserve"> ; </w:t>
      </w:r>
      <w:r>
        <w:t>Fêtes et festivals d'Israël</w:t>
      </w:r>
      <w:r>
        <w:t xml:space="preserve"> ; </w:t>
      </w:r>
      <w:r>
        <w:t>Tabernacle</w:t>
      </w:r>
      <w:r>
        <w:t xml:space="preserve"> ; </w:t>
      </w:r>
      <w:r>
        <w:t>Temple</w:t>
      </w:r>
      <w:r>
        <w:t>.</w:t>
      </w:r>
      <w:r/>
      <w:r/>
    </w:p>
    <w:p>
      <w:r/>
    </w:p>
    <w:p>
      <w:pPr>
        <w:pStyle w:val="Heading2"/>
      </w:pPr>
      <w:r>
        <w:t>oindre</w:t>
      </w:r>
      <w:r/>
    </w:p>
    <w:p>
      <w:r/>
      <w:r>
        <w:t>Verser de l'huile ou enduire avec une substance aromatique une personne ou un objet dans le cadre d'un rituel ou d'une cérémonie.</w:t>
      </w:r>
    </w:p>
    <w:p>
      <w:r/>
      <w:r>
        <w:t xml:space="preserve">Le mot hébreu qui signifie « oindre » est mentionné pour la première fois dans la Bible dans </w:t>
      </w:r>
      <w:hyperlink r:id="rId7186">
        <w:r>
          <w:rPr>
            <w:color w:val="0000EE"/>
            <w:u w:val="single"/>
          </w:rPr>
          <w:t>Genèse 31.13</w:t>
        </w:r>
      </w:hyperlink>
      <w:r>
        <w:t>. Le terme décrit ce que Jacob fait en versant de l'huile sur la pierre de Béthel pour en faire un monument (</w:t>
      </w:r>
      <w:hyperlink r:id="rId11207">
        <w:r>
          <w:rPr>
            <w:color w:val="0000EE"/>
            <w:u w:val="single"/>
          </w:rPr>
          <w:t>Gn 28.18–19</w:t>
        </w:r>
      </w:hyperlink>
      <w:r>
        <w:t>). Plus tard, Jacob accomplit encore un rite similaire (</w:t>
      </w:r>
      <w:hyperlink r:id="rId6025">
        <w:r>
          <w:rPr>
            <w:color w:val="0000EE"/>
            <w:u w:val="single"/>
          </w:rPr>
          <w:t>Gn 35.9–15</w:t>
        </w:r>
      </w:hyperlink>
      <w:r>
        <w:t>). Ce rite religieux fait de cet endroit un lieu sacré.</w:t>
      </w:r>
    </w:p>
    <w:p>
      <w:r/>
      <w:r>
        <w:t>Depuis le début de son histoire, le peuple hébreu a eu pour pratique de consacrer des personnes au service de Dieu en versant une huile spéciale sur leur tête. Ils faisaient de même pour consacrer des objets à Dieu.</w:t>
      </w:r>
    </w:p>
    <w:p>
      <w:r/>
      <w:r>
        <w:t>La Bible ne donne pas beaucoup de détails sur les cérémonies officielles d'onction. Jacob aurait simplement versé de l'huile sur une pierre et prononcé quelques mots. Lors de l'onction du premier roi d'Israël, Samuel (qui est prophète et juge) prend Saül à part pour lui donner des instructions (</w:t>
      </w:r>
      <w:hyperlink r:id="rId11208">
        <w:r>
          <w:rPr>
            <w:color w:val="0000EE"/>
            <w:u w:val="single"/>
          </w:rPr>
          <w:t>1S 9.25–27</w:t>
        </w:r>
      </w:hyperlink>
      <w:r>
        <w:t xml:space="preserve">). Puis « </w:t>
      </w:r>
      <w:r>
        <w:t>Samuel prit une fiole d'huile, qu'il répandit sur la tête de Saül. Il le baisa, et dit : L'Éternel ne t'a-t-il pas oint pour que tu sois le chef de son héritage</w:t>
      </w:r>
      <w:r>
        <w:t xml:space="preserve"> ? » (</w:t>
      </w:r>
      <w:hyperlink r:id="rId1569">
        <w:r>
          <w:rPr>
            <w:color w:val="0000EE"/>
            <w:u w:val="single"/>
          </w:rPr>
          <w:t>1S 10.1</w:t>
        </w:r>
      </w:hyperlink>
      <w:r>
        <w:t>).</w:t>
      </w:r>
    </w:p>
    <w:p>
      <w:r/>
      <w:r>
        <w:t>Des ingrédients et proportions spécifiques étaient utilisés pour préparer l'huile d'onction du tabernacle et des sacrificateurs. C'était l'œuvre de parfumeurs qualifiés et un mélange des meilleures épices (myrrhe, cannelle, roseau odorant, casse) avec de l'huile d'olive (</w:t>
      </w:r>
      <w:hyperlink r:id="rId11209">
        <w:r>
          <w:rPr>
            <w:color w:val="0000EE"/>
            <w:u w:val="single"/>
          </w:rPr>
          <w:t>Ex 30.22</w:t>
        </w:r>
      </w:hyperlink>
      <w:r>
        <w:t>–</w:t>
      </w:r>
      <w:hyperlink r:id="rId11209">
        <w:r>
          <w:rPr>
            <w:color w:val="0000EE"/>
            <w:u w:val="single"/>
          </w:rPr>
          <w:t>25</w:t>
        </w:r>
      </w:hyperlink>
      <w:r>
        <w:t>).</w:t>
      </w:r>
    </w:p>
    <w:p>
      <w:r/>
      <w:r>
        <w:t>Dans la loi, le Seigneur commande de consacrer par onction non seulement le tabernacle, mais aussi tous les objets sacrés qui en faisaient partie. Ceux-ci incluaient l'arche, la table des pains de proposition et ses ustensiles, la lampe du lieu saint et ses accessoires, l'autel des parfums, l'autel principal et le bassin de lavage. Aaron, le souverain sacrificateur, et ses fils, qui étaient sacrificateurs, devaient également être oints (</w:t>
      </w:r>
      <w:hyperlink r:id="rId11210">
        <w:r>
          <w:rPr>
            <w:color w:val="0000EE"/>
            <w:u w:val="single"/>
          </w:rPr>
          <w:t>Ex 30.26–32</w:t>
        </w:r>
      </w:hyperlink>
      <w:r>
        <w:t>). Ainsi tout le tabernacle, son contenu et ses serviteurs étaient sanctifiés, mis à part et sacrés pour le service de Dieu.</w:t>
      </w:r>
    </w:p>
    <w:p>
      <w:r/>
      <w:r>
        <w:t>L'onction était particulièrement utilisée pour désigner officiellement des personnes comme sacrificateurs, prophètes ou rois. Les prophètes recevaient parfois, mais pas toujours, leur appel de prophète par une onction officielle (</w:t>
      </w:r>
      <w:hyperlink r:id="rId11211">
        <w:r>
          <w:rPr>
            <w:color w:val="0000EE"/>
            <w:u w:val="single"/>
          </w:rPr>
          <w:t>1R 19.16</w:t>
        </w:r>
      </w:hyperlink>
      <w:r>
        <w:t>). Dieu les appelle parfois ses oints, c'est à dire, ceux qu'il a choisi comme serviteurs (</w:t>
      </w:r>
      <w:hyperlink r:id="rId11212">
        <w:r>
          <w:rPr>
            <w:color w:val="0000EE"/>
            <w:u w:val="single"/>
          </w:rPr>
          <w:t>1Ch 16.22</w:t>
        </w:r>
      </w:hyperlink>
      <w:r>
        <w:t xml:space="preserve"> ; </w:t>
      </w:r>
      <w:hyperlink r:id="rId11213">
        <w:r>
          <w:rPr>
            <w:color w:val="0000EE"/>
            <w:u w:val="single"/>
          </w:rPr>
          <w:t>Ps 105.15</w:t>
        </w:r>
      </w:hyperlink>
      <w:r>
        <w:t>). Tous les premiers sacrificateurs ont été oints pour commencer leurs ministères, y compris Aaron et ses fils (</w:t>
      </w:r>
      <w:hyperlink r:id="rId11214">
        <w:r>
          <w:rPr>
            <w:color w:val="0000EE"/>
            <w:u w:val="single"/>
          </w:rPr>
          <w:t>Ex 40.12–15</w:t>
        </w:r>
      </w:hyperlink>
      <w:r>
        <w:t xml:space="preserve"> ; </w:t>
      </w:r>
      <w:hyperlink r:id="rId11215">
        <w:r>
          <w:rPr>
            <w:color w:val="0000EE"/>
            <w:u w:val="single"/>
          </w:rPr>
          <w:t>Nb 3.3</w:t>
        </w:r>
      </w:hyperlink>
      <w:r>
        <w:t>). Plus tard, l'onction est seulement mentionnée concernant les souverains sacrificateurs, mais pas concernant les sacrificateurs ordinaires (</w:t>
      </w:r>
      <w:hyperlink r:id="rId11216">
        <w:r>
          <w:rPr>
            <w:color w:val="0000EE"/>
            <w:u w:val="single"/>
          </w:rPr>
          <w:t>Ex 29.29</w:t>
        </w:r>
      </w:hyperlink>
      <w:r>
        <w:t xml:space="preserve"> ; </w:t>
      </w:r>
      <w:hyperlink r:id="rId11217">
        <w:r>
          <w:rPr>
            <w:color w:val="0000EE"/>
            <w:u w:val="single"/>
          </w:rPr>
          <w:t>Lv 16.32</w:t>
        </w:r>
      </w:hyperlink>
      <w:r>
        <w:t>).</w:t>
      </w:r>
    </w:p>
    <w:p>
      <w:r/>
      <w:r>
        <w:t>Avant même que les Israélites n'aient leur propre roi, ils connaissaient déjà la pratique d'oindre une personne pour la désigner roi (</w:t>
      </w:r>
      <w:hyperlink r:id="rId11218">
        <w:r>
          <w:rPr>
            <w:color w:val="0000EE"/>
            <w:u w:val="single"/>
          </w:rPr>
          <w:t>Jg 9.8</w:t>
        </w:r>
      </w:hyperlink>
      <w:r>
        <w:t>,15). Cependant, l'onction devient un rite ordonné par Dieu utilisé pour inaugurer l'accession au trône de tous les rois de Juda et d'Israël (</w:t>
      </w:r>
      <w:hyperlink r:id="rId11219">
        <w:r>
          <w:rPr>
            <w:color w:val="0000EE"/>
            <w:u w:val="single"/>
          </w:rPr>
          <w:t xml:space="preserve">2R 9.1–6 </w:t>
        </w:r>
      </w:hyperlink>
      <w:r>
        <w:t xml:space="preserve">; </w:t>
      </w:r>
      <w:hyperlink r:id="rId9421">
        <w:r>
          <w:rPr>
            <w:color w:val="0000EE"/>
            <w:u w:val="single"/>
          </w:rPr>
          <w:t>11.12</w:t>
        </w:r>
      </w:hyperlink>
      <w:r>
        <w:t>). Saül a été le premier à être oint pour devenir roi (</w:t>
      </w:r>
      <w:hyperlink r:id="rId1569">
        <w:r>
          <w:rPr>
            <w:color w:val="0000EE"/>
            <w:u w:val="single"/>
          </w:rPr>
          <w:t xml:space="preserve">1S 10.1 </w:t>
        </w:r>
      </w:hyperlink>
      <w:r>
        <w:t xml:space="preserve">; </w:t>
      </w:r>
      <w:hyperlink r:id="rId6539">
        <w:r>
          <w:rPr>
            <w:color w:val="0000EE"/>
            <w:u w:val="single"/>
          </w:rPr>
          <w:t>1R 1.39</w:t>
        </w:r>
      </w:hyperlink>
      <w:r>
        <w:t>). David a été oint trois fois (</w:t>
      </w:r>
      <w:hyperlink r:id="rId11220">
        <w:r>
          <w:rPr>
            <w:color w:val="0000EE"/>
            <w:u w:val="single"/>
          </w:rPr>
          <w:t xml:space="preserve">1S 16.1, 13 </w:t>
        </w:r>
      </w:hyperlink>
      <w:r>
        <w:t xml:space="preserve">; </w:t>
      </w:r>
      <w:hyperlink r:id="rId11221">
        <w:r>
          <w:rPr>
            <w:color w:val="0000EE"/>
            <w:u w:val="single"/>
          </w:rPr>
          <w:t xml:space="preserve">2S 2.4 </w:t>
        </w:r>
      </w:hyperlink>
      <w:r>
        <w:t xml:space="preserve">; </w:t>
      </w:r>
      <w:hyperlink r:id="rId11222">
        <w:r>
          <w:rPr>
            <w:color w:val="0000EE"/>
            <w:u w:val="single"/>
          </w:rPr>
          <w:t>5.1–4</w:t>
        </w:r>
      </w:hyperlink>
      <w:r>
        <w:t>). « L'oint de l'Éternel » devient une façon courante de désigner les rois israélites (</w:t>
      </w:r>
      <w:hyperlink r:id="rId11223">
        <w:r>
          <w:rPr>
            <w:color w:val="0000EE"/>
            <w:u w:val="single"/>
          </w:rPr>
          <w:t xml:space="preserve">1S 12.3–5 </w:t>
        </w:r>
      </w:hyperlink>
      <w:r>
        <w:t xml:space="preserve">; </w:t>
      </w:r>
      <w:hyperlink r:id="rId11224">
        <w:r>
          <w:rPr>
            <w:color w:val="0000EE"/>
            <w:u w:val="single"/>
          </w:rPr>
          <w:t xml:space="preserve">2S 1.14–16 </w:t>
        </w:r>
      </w:hyperlink>
      <w:r>
        <w:t xml:space="preserve">; </w:t>
      </w:r>
      <w:hyperlink r:id="rId11225">
        <w:r>
          <w:rPr>
            <w:color w:val="0000EE"/>
            <w:u w:val="single"/>
          </w:rPr>
          <w:t xml:space="preserve">Ps 89.38, 51 </w:t>
        </w:r>
      </w:hyperlink>
      <w:r>
        <w:t xml:space="preserve">; </w:t>
      </w:r>
      <w:hyperlink r:id="rId11226">
        <w:r>
          <w:rPr>
            <w:color w:val="0000EE"/>
            <w:u w:val="single"/>
          </w:rPr>
          <w:t>Lm 4.20</w:t>
        </w:r>
      </w:hyperlink>
      <w:r>
        <w:t>).</w:t>
      </w:r>
    </w:p>
    <w:p>
      <w:r/>
      <w:r>
        <w:t>L'onction n'était pas utilisée seulement à des fins religieuses. Les Égyptiens et les Syriens utilisaient l'onction ou des onguents pour se soigner et comme produits cosmétiques. Les Israélites en faisaient autant (</w:t>
      </w:r>
      <w:hyperlink r:id="rId1539">
        <w:r>
          <w:rPr>
            <w:color w:val="0000EE"/>
            <w:u w:val="single"/>
          </w:rPr>
          <w:t>2S 12.20</w:t>
        </w:r>
      </w:hyperlink>
      <w:r>
        <w:t xml:space="preserve"> ; </w:t>
      </w:r>
      <w:hyperlink r:id="rId1538">
        <w:r>
          <w:rPr>
            <w:color w:val="0000EE"/>
            <w:u w:val="single"/>
          </w:rPr>
          <w:t>Rt 3.3</w:t>
        </w:r>
      </w:hyperlink>
      <w:r>
        <w:t xml:space="preserve"> ; </w:t>
      </w:r>
      <w:hyperlink r:id="rId11227">
        <w:r>
          <w:rPr>
            <w:color w:val="0000EE"/>
            <w:u w:val="single"/>
          </w:rPr>
          <w:t>Mi 6.15</w:t>
        </w:r>
      </w:hyperlink>
      <w:r>
        <w:t>). Une façon d'exprimer le deuil ou l'humiliation était de ne pas s'oindre (</w:t>
      </w:r>
      <w:hyperlink r:id="rId3814">
        <w:r>
          <w:rPr>
            <w:color w:val="0000EE"/>
            <w:u w:val="single"/>
          </w:rPr>
          <w:t>2S 14.2</w:t>
        </w:r>
      </w:hyperlink>
      <w:r>
        <w:t xml:space="preserve"> ; </w:t>
      </w:r>
      <w:hyperlink r:id="rId11228">
        <w:r>
          <w:rPr>
            <w:color w:val="0000EE"/>
            <w:u w:val="single"/>
          </w:rPr>
          <w:t>Dn 10.3</w:t>
        </w:r>
      </w:hyperlink>
      <w:r>
        <w:t>). Jésus a donc enseigné que quelqu'un pouvait se parfumer pour ne pas laisser savoir aux autres qu'il jeûnait (</w:t>
      </w:r>
      <w:hyperlink r:id="rId11229">
        <w:r>
          <w:rPr>
            <w:color w:val="0000EE"/>
            <w:u w:val="single"/>
          </w:rPr>
          <w:t>Mt 6.17</w:t>
        </w:r>
      </w:hyperlink>
      <w:r>
        <w:t>).</w:t>
      </w:r>
    </w:p>
    <w:p>
      <w:r/>
      <w:r>
        <w:t>Dans le Nouveau Testament, la Bible recommande d'oindre les malades avec de l'huile. C'était au malade de le demander aux anciens de son Église. Les anciens devaient oindre le malade et prier pour lui (</w:t>
      </w:r>
      <w:hyperlink r:id="rId11230">
        <w:r>
          <w:rPr>
            <w:color w:val="0000EE"/>
            <w:u w:val="single"/>
          </w:rPr>
          <w:t>Jc 5.14–16</w:t>
        </w:r>
      </w:hyperlink>
      <w:r>
        <w:t>). Les apôtres ont également oint les malades pour les guérir (</w:t>
      </w:r>
      <w:hyperlink r:id="rId11231">
        <w:r>
          <w:rPr>
            <w:color w:val="0000EE"/>
            <w:u w:val="single"/>
          </w:rPr>
          <w:t>Mc 6.12–13</w:t>
        </w:r>
      </w:hyperlink>
      <w:r>
        <w:t>).</w:t>
      </w:r>
      <w:r/>
      <w:r/>
    </w:p>
    <w:p>
      <w:r/>
    </w:p>
    <w:p>
      <w:pPr>
        <w:pStyle w:val="Heading2"/>
      </w:pPr>
      <w:r>
        <w:t>Oiseaux</w:t>
      </w:r>
      <w:r/>
    </w:p>
    <w:p>
      <w:r/>
      <w:r>
        <w:t>Vertébrés à plumes appartenant à la classe des Aves. Plus de huit mille espèces d'oiseaux sont connues. Environ quatre cents espèces se trouvent en Terre Sainte et environ quarante sont mentionnées dans les Écritures.</w:t>
      </w:r>
    </w:p>
    <w:p>
      <w:r/>
      <w:r>
        <w:t>Les scientifiques modernes classent les organismes sur la base de leur structure interne et externe, mais les auteurs bibliques classaient généralement les organismes selon leur habitat. Ainsi, dans la Bible, les chauves-souris sont répertoriées avec les oiseaux comme créatures de l'air (</w:t>
      </w:r>
      <w:hyperlink r:id="rId11232">
        <w:r>
          <w:rPr>
            <w:color w:val="0000EE"/>
            <w:u w:val="single"/>
          </w:rPr>
          <w:t>Lv 11.19</w:t>
        </w:r>
      </w:hyperlink>
      <w:r>
        <w:t xml:space="preserve"> ; </w:t>
      </w:r>
      <w:hyperlink r:id="rId11233">
        <w:r>
          <w:rPr>
            <w:color w:val="0000EE"/>
            <w:u w:val="single"/>
          </w:rPr>
          <w:t>Dt 14.18</w:t>
        </w:r>
      </w:hyperlink>
      <w:r>
        <w:t>).</w:t>
      </w:r>
    </w:p>
    <w:p>
      <w:r/>
      <w:r>
        <w:t>L'identification précise des oiseaux bibliques est souvent difficile, voire impossible. Les langues bibliques n'étaient pas des langues scientifiques hautement spécialisées. À l'époque biblique, les gens connaissaient généralement la différence entre des animaux similaires, aujourd'hui classés comme espèces distinctes. Cependant, pour les oiseaux, ils utilisaient fréquemment des termes poétiques et descriptifs. Les experts de la Bible tentent de surmonter les difficultés d'identification en comparant les mots hébreux avec des mots similaires dans des langues apparentées et en prêtant attention à l'habitat, aux habitudes et aux caractéristiques attribuées aux oiseaux dans les Écritures. Néanmoins, différents experts parviennent parfois à des identifications différentes.</w:t>
      </w:r>
    </w:p>
    <w:p>
      <w:pPr>
        <w:pStyle w:val="Heading3"/>
      </w:pPr>
      <w:r>
        <w:t>Références bibliques aux oiseaux</w:t>
      </w:r>
    </w:p>
    <w:p>
      <w:r/>
      <w:r>
        <w:t>La Bible fait référence aux oiseaux tant au sens littéral que figuré. Les auteurs bibliques étaient des observateurs attentifs de la nature, et leur connaissance des oiseaux et de la vie aviaire se reflète dans de nombreux passages. Ils affirmaient que Dieu connaît tous les oiseaux (</w:t>
      </w:r>
      <w:hyperlink r:id="rId11234">
        <w:r>
          <w:rPr>
            <w:color w:val="0000EE"/>
            <w:u w:val="single"/>
          </w:rPr>
          <w:t>Ps 50.11</w:t>
        </w:r>
      </w:hyperlink>
      <w:r>
        <w:t>) et prend soin d'eux (</w:t>
      </w:r>
      <w:hyperlink r:id="rId11235">
        <w:r>
          <w:rPr>
            <w:color w:val="0000EE"/>
            <w:u w:val="single"/>
          </w:rPr>
          <w:t>Mt 10.29</w:t>
        </w:r>
      </w:hyperlink>
      <w:r>
        <w:t>). Ils voyaient l'alliance de Dieu avec Noé après le déluge, sa promesse de ne plus jamais détruire la vie par un déluge, comme s'étendant même aux oiseaux et aux animaux (</w:t>
      </w:r>
      <w:hyperlink r:id="rId11236">
        <w:r>
          <w:rPr>
            <w:color w:val="0000EE"/>
            <w:u w:val="single"/>
          </w:rPr>
          <w:t>Gn 9.10</w:t>
        </w:r>
      </w:hyperlink>
      <w:r>
        <w:t>).</w:t>
      </w:r>
    </w:p>
    <w:p>
      <w:r/>
      <w:r>
        <w:t>La loi mosaïque déclarait de nombreux oiseaux « impurs », principalement des espèces qui étaient des charognards ou des prédateurs, ou qui habitaient des lieux désolés. Des siècles plus tard, les premiers chrétiens en vinrent à considérer les espèces impures comme pures par décret de Dieu, révélé dans la vision de l'apôtre Pierre (</w:t>
      </w:r>
      <w:hyperlink r:id="rId11237">
        <w:r>
          <w:rPr>
            <w:color w:val="0000EE"/>
            <w:u w:val="single"/>
          </w:rPr>
          <w:t>Ac 10.12</w:t>
        </w:r>
      </w:hyperlink>
      <w:r>
        <w:t>). D'autres oiseaux, comme la caille, soutenaient les Israélites dans leurs errances (</w:t>
      </w:r>
      <w:hyperlink r:id="rId11238">
        <w:r>
          <w:rPr>
            <w:color w:val="0000EE"/>
            <w:u w:val="single"/>
          </w:rPr>
          <w:t>Ex 16.13</w:t>
        </w:r>
      </w:hyperlink>
      <w:r>
        <w:t>). La Loi prescrivait des oiseaux comme sacrifices pour un enfant premier-né (</w:t>
      </w:r>
      <w:hyperlink r:id="rId11239">
        <w:r>
          <w:rPr>
            <w:color w:val="0000EE"/>
            <w:u w:val="single"/>
          </w:rPr>
          <w:t>Lc 2.24</w:t>
        </w:r>
      </w:hyperlink>
      <w:r>
        <w:t>), pour un vœu de naziréat (</w:t>
      </w:r>
      <w:hyperlink r:id="rId11240">
        <w:r>
          <w:rPr>
            <w:color w:val="0000EE"/>
            <w:u w:val="single"/>
          </w:rPr>
          <w:t>Nb 6.10</w:t>
        </w:r>
      </w:hyperlink>
      <w:r>
        <w:t>), pour la purification d'un lépreux (</w:t>
      </w:r>
      <w:hyperlink r:id="rId11241">
        <w:r>
          <w:rPr>
            <w:color w:val="0000EE"/>
            <w:u w:val="single"/>
          </w:rPr>
          <w:t>Lv 14.22</w:t>
        </w:r>
      </w:hyperlink>
      <w:r>
        <w:t>), et comme holocauste et sacrifice pour le péché (</w:t>
      </w:r>
      <w:hyperlink r:id="rId11242">
        <w:r>
          <w:rPr>
            <w:color w:val="0000EE"/>
            <w:u w:val="single"/>
          </w:rPr>
          <w:t>12.8</w:t>
        </w:r>
      </w:hyperlink>
      <w:r>
        <w:t>).</w:t>
      </w:r>
    </w:p>
    <w:p>
      <w:r/>
      <w:r>
        <w:t>Les oiseaux sont facilement sujets à l'extinction, surtout à cause de l'activité humaine. Dieu a demandé aux Israélites de pratiquer la conservation pour empêcher l'extinction des oiseaux en Terre Sainte, tant pour le bien des oiseaux que pour que les Israélites aient une source continue de nourriture. La Loi permettait aux Israélites en quête de nourriture de prendre des œufs ou des petits dans un nid d'oiseau, mais ils n'étaient pas autorisés à tuer à la fois une mère oiseau et ses petits (</w:t>
      </w:r>
      <w:hyperlink r:id="rId11243">
        <w:r>
          <w:rPr>
            <w:color w:val="0000EE"/>
            <w:u w:val="single"/>
          </w:rPr>
          <w:t>Dt 22.6</w:t>
        </w:r>
      </w:hyperlink>
      <w:r>
        <w:t>).</w:t>
      </w:r>
    </w:p>
    <w:p>
      <w:r/>
      <w:r>
        <w:t>Les auteurs bibliques se tournaient fréquemment vers la nature pour illustrer des principes divins ou des caractéristiques humaines. Les comparaisons des humains avec les oiseaux portent parfois un sens de bassesse, comme lorsque le roi Nebucadnetsar développera des griffes comme celles d'un oiseau dans sa folie (</w:t>
      </w:r>
      <w:hyperlink r:id="rId11244">
        <w:r>
          <w:rPr>
            <w:color w:val="0000EE"/>
            <w:u w:val="single"/>
          </w:rPr>
          <w:t>Dn 4.33</w:t>
        </w:r>
      </w:hyperlink>
      <w:r>
        <w:t>), ou lorsque Job remarquera que les oiseaux ne connaissaient pas la source de la sagesse (</w:t>
      </w:r>
      <w:hyperlink r:id="rId11245">
        <w:r>
          <w:rPr>
            <w:color w:val="0000EE"/>
            <w:u w:val="single"/>
          </w:rPr>
          <w:t>Jb 28.21</w:t>
        </w:r>
      </w:hyperlink>
      <w:r>
        <w:t>). Dans la parabole du semeur racontée par Jésus, les oiseaux qui ont mangé la semence dispersée au bord du chemin peuvent représenter l'indifférence et un manque de compréhension spirituelle (</w:t>
      </w:r>
      <w:hyperlink r:id="rId11246">
        <w:r>
          <w:rPr>
            <w:color w:val="0000EE"/>
            <w:u w:val="single"/>
          </w:rPr>
          <w:t>Mt 13.4</w:t>
        </w:r>
      </w:hyperlink>
      <w:r>
        <w:t>).</w:t>
      </w:r>
    </w:p>
    <w:p>
      <w:r/>
      <w:r>
        <w:t>L'Écriture contient également des images qu montraient une certaines empathie envers la situation des oiseaux. Un homme solitaire en prière était comparé à un oiseau solitaire sur un toit (</w:t>
      </w:r>
      <w:hyperlink r:id="rId11247">
        <w:r>
          <w:rPr>
            <w:color w:val="0000EE"/>
            <w:u w:val="single"/>
          </w:rPr>
          <w:t>Ps 102.7</w:t>
        </w:r>
      </w:hyperlink>
      <w:r>
        <w:t>). Si quelqu'un était injustement chassé par ses ennemis, il comprendrait la situation d'un oiseau pourchassé (</w:t>
      </w:r>
      <w:hyperlink r:id="rId11248">
        <w:r>
          <w:rPr>
            <w:color w:val="0000EE"/>
            <w:u w:val="single"/>
          </w:rPr>
          <w:t>Lm 3.52</w:t>
        </w:r>
      </w:hyperlink>
      <w:r>
        <w:t>). On disait que les oiseaux étaient affectés par les malédictions sur les malfaiteurs alors qu'ils fuyaient Jérusalem ou la surface de la terre (</w:t>
      </w:r>
      <w:hyperlink r:id="rId11249">
        <w:r>
          <w:rPr>
            <w:color w:val="0000EE"/>
            <w:u w:val="single"/>
          </w:rPr>
          <w:t>Jr 9.10</w:t>
        </w:r>
      </w:hyperlink>
      <w:r>
        <w:t xml:space="preserve"> ; </w:t>
      </w:r>
      <w:hyperlink r:id="rId1844">
        <w:r>
          <w:rPr>
            <w:color w:val="0000EE"/>
            <w:u w:val="single"/>
          </w:rPr>
          <w:t>Zep 1.3</w:t>
        </w:r>
      </w:hyperlink>
      <w:r>
        <w:t>).</w:t>
      </w:r>
    </w:p>
    <w:p>
      <w:r/>
      <w:r>
        <w:t>En dépit de tels malheurs infligés aux oiseaux, l'Écriture affirme que, comme les autres créatures, ils sont soignés et chéris par Dieu (</w:t>
      </w:r>
      <w:hyperlink r:id="rId11234">
        <w:r>
          <w:rPr>
            <w:color w:val="0000EE"/>
            <w:u w:val="single"/>
          </w:rPr>
          <w:t>Ps 50.11</w:t>
        </w:r>
      </w:hyperlink>
      <w:r>
        <w:t xml:space="preserve"> ; </w:t>
      </w:r>
      <w:hyperlink r:id="rId11250">
        <w:r>
          <w:rPr>
            <w:color w:val="0000EE"/>
            <w:u w:val="single"/>
          </w:rPr>
          <w:t>Mt 6.26</w:t>
        </w:r>
      </w:hyperlink>
      <w:r>
        <w:t xml:space="preserve"> ; </w:t>
      </w:r>
      <w:hyperlink r:id="rId11235">
        <w:r>
          <w:rPr>
            <w:color w:val="0000EE"/>
            <w:u w:val="single"/>
          </w:rPr>
          <w:t>10.29</w:t>
        </w:r>
      </w:hyperlink>
      <w:r>
        <w:t>). Tant Pharaon que Nebucadnetsar ont été comparés à un arbre qui offre un abri aux oiseaux (</w:t>
      </w:r>
      <w:hyperlink r:id="rId11251">
        <w:r>
          <w:rPr>
            <w:color w:val="0000EE"/>
            <w:u w:val="single"/>
          </w:rPr>
          <w:t>Ez 31.6</w:t>
        </w:r>
      </w:hyperlink>
      <w:r>
        <w:t xml:space="preserve"> ; </w:t>
      </w:r>
      <w:hyperlink r:id="rId2075">
        <w:r>
          <w:rPr>
            <w:color w:val="0000EE"/>
            <w:u w:val="single"/>
          </w:rPr>
          <w:t>Dn 4.12</w:t>
        </w:r>
      </w:hyperlink>
      <w:r>
        <w:t xml:space="preserve"> ; cf. </w:t>
      </w:r>
      <w:hyperlink r:id="rId11252">
        <w:r>
          <w:rPr>
            <w:color w:val="0000EE"/>
            <w:u w:val="single"/>
          </w:rPr>
          <w:t>2.38</w:t>
        </w:r>
      </w:hyperlink>
      <w:r>
        <w:t>). Le pouvoir humain, cependant, échoue finalement, comme lorsque l'arbre représentant Nabuchodonosor a été abattu, forçant les oiseaux à fuir (</w:t>
      </w:r>
      <w:hyperlink r:id="rId11253">
        <w:r>
          <w:rPr>
            <w:color w:val="0000EE"/>
            <w:u w:val="single"/>
          </w:rPr>
          <w:t>Dn 4.14</w:t>
        </w:r>
      </w:hyperlink>
      <w:r>
        <w:t>). La protection de Dieu, elle, est infaillible. Jésus a comparé le royaume de Dieu à une graine de moutarde, croissant pour devenir un abri pour les oiseaux (</w:t>
      </w:r>
      <w:hyperlink r:id="rId11254">
        <w:r>
          <w:rPr>
            <w:color w:val="0000EE"/>
            <w:u w:val="single"/>
          </w:rPr>
          <w:t>Mt 13.32</w:t>
        </w:r>
      </w:hyperlink>
      <w:r>
        <w:t>). Dieu fournit une habitation pour les oiseaux (</w:t>
      </w:r>
      <w:hyperlink r:id="rId11255">
        <w:r>
          <w:rPr>
            <w:color w:val="0000EE"/>
            <w:u w:val="single"/>
          </w:rPr>
          <w:t>Ps 104.12</w:t>
        </w:r>
      </w:hyperlink>
      <w:r>
        <w:t>), bien que Jésus, le Fils de l'Homme, n'ait nulle part où reposer sa tête (</w:t>
      </w:r>
      <w:hyperlink r:id="rId5703">
        <w:r>
          <w:rPr>
            <w:color w:val="0000EE"/>
            <w:u w:val="single"/>
          </w:rPr>
          <w:t>Mt 8.20</w:t>
        </w:r>
      </w:hyperlink>
      <w:r>
        <w:t>).</w:t>
      </w:r>
    </w:p>
    <w:p>
      <w:r/>
      <w:r>
        <w:t>Les oiseaux étaient considérés comme une preuve de l'œuvre de Dieu (</w:t>
      </w:r>
      <w:hyperlink r:id="rId1842">
        <w:r>
          <w:rPr>
            <w:color w:val="0000EE"/>
            <w:u w:val="single"/>
          </w:rPr>
          <w:t>Jb 12.7</w:t>
        </w:r>
      </w:hyperlink>
      <w:r>
        <w:t>). La sagesse reçue des oiseaux fournissait des exemples de bon sens en apprenant d'une erreur (</w:t>
      </w:r>
      <w:hyperlink r:id="rId11256">
        <w:r>
          <w:rPr>
            <w:color w:val="0000EE"/>
            <w:u w:val="single"/>
          </w:rPr>
          <w:t>Pr 1.17</w:t>
        </w:r>
      </w:hyperlink>
      <w:r>
        <w:t xml:space="preserve">; </w:t>
      </w:r>
      <w:hyperlink r:id="rId11257">
        <w:r>
          <w:rPr>
            <w:color w:val="0000EE"/>
            <w:u w:val="single"/>
          </w:rPr>
          <w:t>6.5</w:t>
        </w:r>
      </w:hyperlink>
      <w:r>
        <w:t>) et de mauvais jugement en ne parvenant pas à éviter les pièges de l'immoralité (</w:t>
      </w:r>
      <w:hyperlink r:id="rId11258">
        <w:r>
          <w:rPr>
            <w:color w:val="0000EE"/>
            <w:u w:val="single"/>
          </w:rPr>
          <w:t>7.23</w:t>
        </w:r>
      </w:hyperlink>
      <w:r>
        <w:t>). Les oiseaux et d'autres créatures pouvaient être apprivoisés, contrairement à la langue humaine méchante (</w:t>
      </w:r>
      <w:hyperlink r:id="rId11259">
        <w:r>
          <w:rPr>
            <w:color w:val="0000EE"/>
            <w:u w:val="single"/>
          </w:rPr>
          <w:t>Jc 3.7</w:t>
        </w:r>
      </w:hyperlink>
      <w:r>
        <w:t>). Les oiseaux qui volent sans se poser étaient une image d'une malédiction imméritée (</w:t>
      </w:r>
      <w:hyperlink r:id="rId11260">
        <w:r>
          <w:rPr>
            <w:color w:val="0000EE"/>
            <w:u w:val="single"/>
          </w:rPr>
          <w:t>Pr 26.2</w:t>
        </w:r>
      </w:hyperlink>
      <w:r>
        <w:t>). Sans confiance en Dieu, les gens pourraient être forcés par le mal à fuir comme un oiseau vers les montagnes (</w:t>
      </w:r>
      <w:hyperlink r:id="rId11261">
        <w:r>
          <w:rPr>
            <w:color w:val="0000EE"/>
            <w:u w:val="single"/>
          </w:rPr>
          <w:t>Ps 11.1</w:t>
        </w:r>
      </w:hyperlink>
      <w:r>
        <w:t>). Le chant des oiseaux était dit apporter de la joie (</w:t>
      </w:r>
      <w:hyperlink r:id="rId11262">
        <w:r>
          <w:rPr>
            <w:color w:val="0000EE"/>
            <w:u w:val="single"/>
          </w:rPr>
          <w:t>Ct 2.12</w:t>
        </w:r>
      </w:hyperlink>
      <w:r>
        <w:t>). Le retour du peuple de Dieu à la Terre Promise serait comme le retour des oiseaux (</w:t>
      </w:r>
      <w:hyperlink r:id="rId11263">
        <w:r>
          <w:rPr>
            <w:color w:val="0000EE"/>
            <w:u w:val="single"/>
          </w:rPr>
          <w:t>Os 11.11</w:t>
        </w:r>
      </w:hyperlink>
      <w:r>
        <w:t>). Jésus a exprimé son amour pour Jérusalem en disant qu'il désirait rassembler son peuple à lui comme une poule rassemble ses poussins sous son aile (</w:t>
      </w:r>
      <w:hyperlink r:id="rId11264">
        <w:r>
          <w:rPr>
            <w:color w:val="0000EE"/>
            <w:u w:val="single"/>
          </w:rPr>
          <w:t>Mt 23.37</w:t>
        </w:r>
      </w:hyperlink>
      <w:r>
        <w:t>).</w:t>
      </w:r>
    </w:p>
    <w:p>
      <w:r/>
      <w:r>
        <w:t>Enfin, les oiseaux étaient parfois considérés comme des signes de mauvais augure. Par exemple, le boulanger de Pharaon a appris sa mort imminente parce que dans un rêve, des oiseaux mangeaient la nourriture d'un panier sur sa tête (</w:t>
      </w:r>
      <w:hyperlink r:id="rId11265">
        <w:r>
          <w:rPr>
            <w:color w:val="0000EE"/>
            <w:u w:val="single"/>
          </w:rPr>
          <w:t>Gn 40.17</w:t>
        </w:r>
      </w:hyperlink>
      <w:r>
        <w:t xml:space="preserve">). Salomon a mis en garde contre le fait de maudire le roi, même en privé, car « </w:t>
      </w:r>
      <w:r>
        <w:t>l’animal ailé publierait tes paroles</w:t>
      </w:r>
      <w:r>
        <w:t xml:space="preserve"> » (</w:t>
      </w:r>
      <w:hyperlink r:id="rId11266">
        <w:r>
          <w:rPr>
            <w:color w:val="0000EE"/>
            <w:u w:val="single"/>
          </w:rPr>
          <w:t>Ec 10.20</w:t>
        </w:r>
      </w:hyperlink>
      <w:r>
        <w:t>). Une image biblique très vive est celle des oiseaux charognards, mangeurs de cadavres, consommant les corps des malfaiteurs. Pour les Israélites, une telle profanation de l'humanité était une image d'horreur ultime (</w:t>
      </w:r>
      <w:hyperlink r:id="rId1855">
        <w:r>
          <w:rPr>
            <w:color w:val="0000EE"/>
            <w:u w:val="single"/>
          </w:rPr>
          <w:t>Dt 28.26</w:t>
        </w:r>
      </w:hyperlink>
      <w:r>
        <w:t xml:space="preserve"> ; </w:t>
      </w:r>
      <w:hyperlink r:id="rId1856">
        <w:r>
          <w:rPr>
            <w:color w:val="0000EE"/>
            <w:u w:val="single"/>
          </w:rPr>
          <w:t>1S 17.44</w:t>
        </w:r>
      </w:hyperlink>
      <w:r>
        <w:t xml:space="preserve"> ; </w:t>
      </w:r>
      <w:hyperlink r:id="rId11267">
        <w:r>
          <w:rPr>
            <w:color w:val="0000EE"/>
            <w:u w:val="single"/>
          </w:rPr>
          <w:t>Es 46.11</w:t>
        </w:r>
      </w:hyperlink>
      <w:r>
        <w:t xml:space="preserve"> ; </w:t>
      </w:r>
      <w:hyperlink r:id="rId11268">
        <w:r>
          <w:rPr>
            <w:color w:val="0000EE"/>
            <w:u w:val="single"/>
          </w:rPr>
          <w:t>Jr 7.33</w:t>
        </w:r>
      </w:hyperlink>
      <w:r>
        <w:t xml:space="preserve"> ; </w:t>
      </w:r>
      <w:hyperlink r:id="rId11269">
        <w:r>
          <w:rPr>
            <w:color w:val="0000EE"/>
            <w:u w:val="single"/>
          </w:rPr>
          <w:t>12.9</w:t>
        </w:r>
      </w:hyperlink>
      <w:r>
        <w:t xml:space="preserve"> ; </w:t>
      </w:r>
      <w:hyperlink r:id="rId11270">
        <w:r>
          <w:rPr>
            <w:color w:val="0000EE"/>
            <w:u w:val="single"/>
          </w:rPr>
          <w:t>Ez 29.5</w:t>
        </w:r>
      </w:hyperlink>
      <w:r>
        <w:t xml:space="preserve"> ; </w:t>
      </w:r>
      <w:hyperlink r:id="rId11271">
        <w:r>
          <w:rPr>
            <w:color w:val="0000EE"/>
            <w:u w:val="single"/>
          </w:rPr>
          <w:t>39.4</w:t>
        </w:r>
      </w:hyperlink>
      <w:r>
        <w:t xml:space="preserve"> ; </w:t>
      </w:r>
      <w:hyperlink r:id="rId11272">
        <w:r>
          <w:rPr>
            <w:color w:val="0000EE"/>
            <w:u w:val="single"/>
          </w:rPr>
          <w:t>Ap 19.17, 21</w:t>
        </w:r>
      </w:hyperlink>
      <w:r>
        <w:t>).</w:t>
      </w:r>
    </w:p>
    <w:p>
      <w:pPr>
        <w:pStyle w:val="Heading3"/>
      </w:pPr>
      <w:r>
        <w:t>Espèces individuelles</w:t>
      </w:r>
    </w:p>
    <w:p>
      <w:pPr>
        <w:pStyle w:val="Heading4"/>
      </w:pPr>
      <w:r>
        <w:t>Aigle</w:t>
      </w:r>
    </w:p>
    <w:p>
      <w:r/>
      <w:r>
        <w:t xml:space="preserve">Grand oiseau de proie, du genre </w:t>
      </w:r>
      <w:r>
        <w:rPr>
          <w:i/>
        </w:rPr>
        <w:t>Aquilas.</w:t>
      </w:r>
      <w:r>
        <w:t xml:space="preserve"> Les vautours étaient souvent confondus avec les aigles, rendant l'identification des oiseaux bibliques difficile. Les têtes des aigles ne sont pas chauves comme celles des vautours, mais de loin, ils semblent similaires. Il est possible que le mot hébreu traduit par « aigle » (qui signifie littéralement « déchirer avec le bec ») ait pu se référer à tous les grands oiseaux de proie, aigles et vautours compris. Un certain nombre de références à l'aigle dans les Écritures sont en réalité des références au vautour fauve (par exemple, </w:t>
      </w:r>
      <w:hyperlink r:id="rId2968">
        <w:r>
          <w:rPr>
            <w:color w:val="0000EE"/>
            <w:u w:val="single"/>
          </w:rPr>
          <w:t>Os 8.1</w:t>
        </w:r>
      </w:hyperlink>
      <w:r>
        <w:t xml:space="preserve"> ; peut-être </w:t>
      </w:r>
      <w:hyperlink r:id="rId11273">
        <w:r>
          <w:rPr>
            <w:color w:val="0000EE"/>
            <w:u w:val="single"/>
          </w:rPr>
          <w:t>Mt 24.28</w:t>
        </w:r>
      </w:hyperlink>
      <w:r>
        <w:t>). Dans certains passages, cependant, le véritable aigle peut être désigné.</w:t>
      </w:r>
    </w:p>
    <w:p>
      <w:r/>
      <w:r>
        <w:t xml:space="preserve">La Terre Sainte abrite plusieurs variétés d'aigles, y compris l'aigle impérial </w:t>
      </w:r>
      <w:r>
        <w:rPr>
          <w:i/>
        </w:rPr>
        <w:t>(Aquila heliaca)</w:t>
      </w:r>
      <w:r>
        <w:t xml:space="preserve"> et l'aigle royal, moins commun </w:t>
      </w:r>
      <w:r>
        <w:rPr>
          <w:i/>
        </w:rPr>
        <w:t>(Aquila chrysaetos)</w:t>
      </w:r>
      <w:r>
        <w:t>. Ces oiseaux sont puissamment bâtis avec des ailes robustes ; leurs mouvements révèlent souplesse et force. Un bec crochu distinctif, qui rehausse l'apparence digne et quelque peu féroce de l'aigle, lui fournit un instrument efficace pour déchirer et tuer ses proies. Des jambes courtes et puissantes et des griffes préhensiles permettent à un aigle d'appliquer une prise presque incassable sur une victime en lutte. Les fortes serres ont des pointes et des bords tranchants. L'aigle chasse de jour.</w:t>
      </w:r>
    </w:p>
    <w:p>
      <w:r/>
      <w:r>
        <w:t xml:space="preserve">Pour Jérémie et d'autres prophètes, l'aigle représentait la rapidité. L'aigle royal, capable de parcourir entre 5 et7 km en dix minutes, a peut-être inspiré les comparaisons dans </w:t>
      </w:r>
      <w:hyperlink r:id="rId11274">
        <w:r>
          <w:rPr>
            <w:color w:val="0000EE"/>
            <w:u w:val="single"/>
          </w:rPr>
          <w:t>2 Samuel 1.23</w:t>
        </w:r>
      </w:hyperlink>
      <w:r>
        <w:t xml:space="preserve"> ; </w:t>
      </w:r>
      <w:hyperlink r:id="rId11275">
        <w:r>
          <w:rPr>
            <w:color w:val="0000EE"/>
            <w:u w:val="single"/>
          </w:rPr>
          <w:t>Jérémie 4.13</w:t>
        </w:r>
      </w:hyperlink>
      <w:r>
        <w:t xml:space="preserve"> ; </w:t>
      </w:r>
      <w:hyperlink r:id="rId11276">
        <w:r>
          <w:rPr>
            <w:color w:val="0000EE"/>
            <w:u w:val="single"/>
          </w:rPr>
          <w:t>49.22</w:t>
        </w:r>
      </w:hyperlink>
      <w:r>
        <w:t xml:space="preserve"> ; </w:t>
      </w:r>
      <w:hyperlink r:id="rId11277">
        <w:r>
          <w:rPr>
            <w:color w:val="0000EE"/>
            <w:u w:val="single"/>
          </w:rPr>
          <w:t>Lamentations 4.19</w:t>
        </w:r>
      </w:hyperlink>
      <w:r>
        <w:t xml:space="preserve">, et </w:t>
      </w:r>
      <w:hyperlink r:id="rId11278">
        <w:r>
          <w:rPr>
            <w:color w:val="0000EE"/>
            <w:u w:val="single"/>
          </w:rPr>
          <w:t>Habakuk 1.8</w:t>
        </w:r>
      </w:hyperlink>
      <w:r>
        <w:t>. Moïse a utilisé une comparaison similaire pour souligner la frappe soudaine d'un ennemi hostile (</w:t>
      </w:r>
      <w:hyperlink r:id="rId11279">
        <w:r>
          <w:rPr>
            <w:color w:val="0000EE"/>
            <w:u w:val="single"/>
          </w:rPr>
          <w:t>Dt 28.49</w:t>
        </w:r>
      </w:hyperlink>
      <w:r>
        <w:t>). L'auteur des Proverbes, observant la haute altitude à laquelle l'aigle s'élève, a appliqué cette image à la condition humaine (</w:t>
      </w:r>
      <w:hyperlink r:id="rId11280">
        <w:r>
          <w:rPr>
            <w:color w:val="0000EE"/>
            <w:u w:val="single"/>
          </w:rPr>
          <w:t>Pr 23.4–5</w:t>
        </w:r>
      </w:hyperlink>
      <w:r>
        <w:t xml:space="preserve"> ; voir </w:t>
      </w:r>
      <w:hyperlink r:id="rId10676">
        <w:r>
          <w:rPr>
            <w:color w:val="0000EE"/>
            <w:u w:val="single"/>
          </w:rPr>
          <w:t>Ap 12.14</w:t>
        </w:r>
      </w:hyperlink>
      <w:r>
        <w:t>).</w:t>
      </w:r>
    </w:p>
    <w:p>
      <w:r/>
      <w:r>
        <w:t>La force et l'invincibilité de l'aigle étaient souvent mentionnées en référence aux nations puissantes attaquant Israël. Le prophète Ézéchiel a décrit Nebucadnetsar comme un aigle (</w:t>
      </w:r>
      <w:hyperlink r:id="rId3315">
        <w:r>
          <w:rPr>
            <w:color w:val="0000EE"/>
            <w:u w:val="single"/>
          </w:rPr>
          <w:t>Ez 17.3</w:t>
        </w:r>
      </w:hyperlink>
      <w:r>
        <w:t>). Les Babyloniens et les Assyriens représentaient fréquemment l'aigle dans leur art, surtout comme une divinité avec un corps d'homme et une tête d'aigle. Nebucadnetsar a même vécu une expérience de folie temporaire où « ses cheveux crussent comme les plumes des aigles, et ses ongles comme ceux des oiseaux » (</w:t>
      </w:r>
      <w:hyperlink r:id="rId11244">
        <w:r>
          <w:rPr>
            <w:color w:val="0000EE"/>
            <w:u w:val="single"/>
          </w:rPr>
          <w:t>Dn 4.33</w:t>
        </w:r>
      </w:hyperlink>
      <w:r>
        <w:t>).</w:t>
      </w:r>
    </w:p>
    <w:p>
      <w:r/>
      <w:r>
        <w:t>L'aigle construit son nid sur des sommets de montagne inaccessibles ou au sommet des arbres les plus hauts, un fait noté par Jérémie (</w:t>
      </w:r>
      <w:hyperlink r:id="rId11281">
        <w:r>
          <w:rPr>
            <w:color w:val="0000EE"/>
            <w:u w:val="single"/>
          </w:rPr>
          <w:t>Jr 49.16</w:t>
        </w:r>
      </w:hyperlink>
      <w:r>
        <w:t xml:space="preserve"> ; voir </w:t>
      </w:r>
      <w:hyperlink r:id="rId11282">
        <w:r>
          <w:rPr>
            <w:color w:val="0000EE"/>
            <w:u w:val="single"/>
          </w:rPr>
          <w:t>Jb 39.27–28</w:t>
        </w:r>
      </w:hyperlink>
      <w:r>
        <w:t xml:space="preserve"> ; </w:t>
      </w:r>
      <w:hyperlink r:id="rId11283">
        <w:r>
          <w:rPr>
            <w:color w:val="0000EE"/>
            <w:u w:val="single"/>
          </w:rPr>
          <w:t>Abd 1.4</w:t>
        </w:r>
      </w:hyperlink>
      <w:r>
        <w:t xml:space="preserve">). La couvée se compose de deux ou parfois trois œufs. Seule la femelle couve le nid, mais les jeunes aiglons sont nourris par les deux parents. Les aigles sont dévoués à leur progéniture et les entraînent avec grand soin à l'art de voler. Certains commentateurs interprètent </w:t>
      </w:r>
      <w:hyperlink r:id="rId11284">
        <w:r>
          <w:rPr>
            <w:color w:val="0000EE"/>
            <w:u w:val="single"/>
          </w:rPr>
          <w:t>Exode 19.4</w:t>
        </w:r>
      </w:hyperlink>
      <w:r>
        <w:t xml:space="preserve"> et </w:t>
      </w:r>
      <w:hyperlink r:id="rId11285">
        <w:r>
          <w:rPr>
            <w:color w:val="0000EE"/>
            <w:u w:val="single"/>
          </w:rPr>
          <w:t>Deutéronome 32.11</w:t>
        </w:r>
      </w:hyperlink>
      <w:r>
        <w:t xml:space="preserve"> comme une preuve de la pratique de l'aigle de rattraper ses petits sur ses ailes. Cependant, il n'existe pratiquement aucune preuve d'observation qu'un aigle puisse accomplir un tel exploit. Dans certaines versions, le libellé évite une déclaration directe selon laquelle les aigles portent leurs petits sur leurs ailes.</w:t>
      </w:r>
    </w:p>
    <w:p>
      <w:r/>
      <w:r>
        <w:t>Certains aigles en captivité ont vécu jusqu'à plus de cent ans. Cette longévité remarquable a poussé le psalmiste à parler de l'aigle dont la jeunesse est renouvelée (</w:t>
      </w:r>
      <w:hyperlink r:id="rId11286">
        <w:r>
          <w:rPr>
            <w:color w:val="0000EE"/>
            <w:u w:val="single"/>
          </w:rPr>
          <w:t>Ps 103.5</w:t>
        </w:r>
      </w:hyperlink>
      <w:r>
        <w:t>). Confrontés à ses qualités impressionnantes, les auteurs bibliques ont observé l'aigle avec admiration et émerveillement (</w:t>
      </w:r>
      <w:hyperlink r:id="rId11287">
        <w:r>
          <w:rPr>
            <w:color w:val="0000EE"/>
            <w:u w:val="single"/>
          </w:rPr>
          <w:t>Jb 39.27–30</w:t>
        </w:r>
      </w:hyperlink>
      <w:r>
        <w:t xml:space="preserve"> ; </w:t>
      </w:r>
      <w:hyperlink r:id="rId11288">
        <w:r>
          <w:rPr>
            <w:color w:val="0000EE"/>
            <w:u w:val="single"/>
          </w:rPr>
          <w:t>Pr 30.18–19</w:t>
        </w:r>
      </w:hyperlink>
      <w:r>
        <w:t>). Ces qualités étonnantes ont également inspiré plusieurs visions prophétiques, y compris celle d'Ézéchiel qui a vu une créature avec un visage d'aigle (</w:t>
      </w:r>
      <w:hyperlink r:id="rId2464">
        <w:r>
          <w:rPr>
            <w:color w:val="0000EE"/>
            <w:u w:val="single"/>
          </w:rPr>
          <w:t>Ez 1.10</w:t>
        </w:r>
      </w:hyperlink>
      <w:r>
        <w:t>) et la vision de l'apôtre Jean d'une bête sacrée semblable à un aigle volant (</w:t>
      </w:r>
      <w:hyperlink r:id="rId11289">
        <w:r>
          <w:rPr>
            <w:color w:val="0000EE"/>
            <w:u w:val="single"/>
          </w:rPr>
          <w:t>Rv 4.7</w:t>
        </w:r>
      </w:hyperlink>
      <w:r>
        <w:t>).</w:t>
      </w:r>
    </w:p>
    <w:p>
      <w:r/>
      <w:r>
        <w:rPr>
          <w:i/>
        </w:rPr>
        <w:t>Voir aussi</w:t>
      </w:r>
      <w:r>
        <w:t xml:space="preserve"> </w:t>
      </w:r>
      <w:r>
        <w:rPr>
          <w:b/>
          <w:u w:val="single"/>
        </w:rPr>
        <w:t>vautour</w:t>
      </w:r>
      <w:r>
        <w:t xml:space="preserve"> (ci-dessous).</w:t>
      </w:r>
    </w:p>
    <w:p>
      <w:pPr>
        <w:pStyle w:val="Heading4"/>
      </w:pPr>
      <w:r>
        <w:t>Autruche</w:t>
      </w:r>
    </w:p>
    <w:p>
      <w:r/>
      <w:r>
        <w:t>Oiseau coureur, incapable de voler, à deux doigts (</w:t>
      </w:r>
      <w:r>
        <w:rPr>
          <w:i/>
        </w:rPr>
        <w:t>Struthio camelus</w:t>
      </w:r>
      <w:r>
        <w:t>), qui vit dans les déserts ou dans des zones couvertes de buissons rabougris.</w:t>
      </w:r>
    </w:p>
    <w:p>
      <w:r/>
      <w:r>
        <w:t>À l'époque biblique, les autruches s'étendaient jusqu'au nord de la Syrie et se trouvaient sur toute la terre désolée du désert du Néguev, mais elles y ont depuis disparu. Leur nom hébreu signifie « fille du désert ». C'est le plus grand de tous les oiseaux vivants, atteignant une hauteur d'environ 3 m et un poids de 80 kg, bien que certains mâles puissent peser jusqu'à 135 kg. La femelle est considérablement plus petite. De puissantes cuisses et de longues jambes permettent à l'autruche d'atteindre une grande vitesse, rapportée à 65 km/h.</w:t>
      </w:r>
    </w:p>
    <w:p>
      <w:r/>
      <w:r>
        <w:t>L'autruche est omnivore. Elle consomme de l'herbe, des fruits, de petits mammifères, des oiseaux, des serpents et des lézards, ainsi que de gros cailloux qui aident à la décomposition des aliments dans son gésier. L'autruche est chassée, mais ses œufs sont généralement plus prisés que l'oiseau lui-même. Les coquilles vides sont échangées dans toute la région méditerranéenne pour être utilisées comme ustensiles, ou lorsqu'elles sont brisées, comme matière première pour des perles. Les œufs (jusqu'à 25 dans une seule couvée) sont pondus dans un nid peu profond de sable, certains restant découverts. Ils peuvent sembler négligés pendant la journée, mais seulement parce qu'ils sont généralement incubés la nuit. Le mâle assure la plupart de l'incubation ; la femelle ne participe que pendant les jours froids. La coquille d'œuf épaisse et solide protège l'embryon de la chaleur du désert.</w:t>
      </w:r>
    </w:p>
    <w:p>
      <w:r/>
      <w:r>
        <w:t>Parfois, l'autruche est utilisée pour être montée ou même pour tirer de petits chariots. Les plumes d'autruche sont très prisées. Elles ornaient les cours royales anciennes en tant qu'éventails. Un éventail à manche en ivoire du Pharaon Toutânkhamon était orné de magnifiques plumes d'autruche. Les plumes sont blanches chez le mâle et gris brunâtre chez la femelle. La réputation de l'autruche pour sa stupidité vient de son comportement lorsqu'elle est chassée et acculée : elle ne prend pas de mesures d'évasion même lorsque cela pourrait la sauver. En pleine campagne, cependant, elle est très méfiante et court à grande vitesse pour s'échapper. Contrairement à la perdrix, une autruche s'enfuira de ses œufs et de ses poussins lorsqu'elle est poursuivie.</w:t>
      </w:r>
    </w:p>
    <w:p>
      <w:r/>
      <w:r>
        <w:t>La plupart des références bibliques aux autruches soulignent leurs caractéristiques négatives. Elles étaient considérées comme impures dans la loi juive (</w:t>
      </w:r>
      <w:hyperlink r:id="rId11290">
        <w:r>
          <w:rPr>
            <w:color w:val="0000EE"/>
            <w:u w:val="single"/>
          </w:rPr>
          <w:t>Lv 11.16</w:t>
        </w:r>
      </w:hyperlink>
      <w:r>
        <w:t xml:space="preserve"> ; </w:t>
      </w:r>
      <w:hyperlink r:id="rId11291">
        <w:r>
          <w:rPr>
            <w:color w:val="0000EE"/>
            <w:u w:val="single"/>
          </w:rPr>
          <w:t>Dt 14.15</w:t>
        </w:r>
      </w:hyperlink>
      <w:r>
        <w:t>). Plusieurs références associent les autruches à des images de désert et de désolation (</w:t>
      </w:r>
      <w:hyperlink r:id="rId11292">
        <w:r>
          <w:rPr>
            <w:color w:val="0000EE"/>
            <w:u w:val="single"/>
          </w:rPr>
          <w:t>Jb 30.29</w:t>
        </w:r>
      </w:hyperlink>
      <w:r>
        <w:t xml:space="preserve"> ; </w:t>
      </w:r>
      <w:hyperlink r:id="rId11293">
        <w:r>
          <w:rPr>
            <w:color w:val="0000EE"/>
            <w:u w:val="single"/>
          </w:rPr>
          <w:t>Es 13.21</w:t>
        </w:r>
      </w:hyperlink>
      <w:r>
        <w:t xml:space="preserve"> ; </w:t>
      </w:r>
      <w:hyperlink r:id="rId11294">
        <w:r>
          <w:rPr>
            <w:color w:val="0000EE"/>
            <w:u w:val="single"/>
          </w:rPr>
          <w:t>34.13</w:t>
        </w:r>
      </w:hyperlink>
      <w:r>
        <w:t xml:space="preserve"> ; </w:t>
      </w:r>
      <w:hyperlink r:id="rId11295">
        <w:r>
          <w:rPr>
            <w:color w:val="0000EE"/>
            <w:u w:val="single"/>
          </w:rPr>
          <w:t>43.20</w:t>
        </w:r>
      </w:hyperlink>
      <w:r>
        <w:t xml:space="preserve"> ; </w:t>
      </w:r>
      <w:hyperlink r:id="rId11296">
        <w:r>
          <w:rPr>
            <w:color w:val="0000EE"/>
            <w:u w:val="single"/>
          </w:rPr>
          <w:t>Jr 50.39</w:t>
        </w:r>
      </w:hyperlink>
      <w:r>
        <w:t xml:space="preserve">). Leur cri nocturne, qui a été comparé au beuglement douloureux d'un bœuf, est mentionné dans </w:t>
      </w:r>
      <w:hyperlink r:id="rId3797">
        <w:r>
          <w:rPr>
            <w:color w:val="0000EE"/>
            <w:u w:val="single"/>
          </w:rPr>
          <w:t>Michée 1.8</w:t>
        </w:r>
      </w:hyperlink>
      <w:r>
        <w:t>. Les écrivains bibliques ont également noté l'indifférence apparente de l'autruche envers sa progéniture (</w:t>
      </w:r>
      <w:hyperlink r:id="rId11297">
        <w:r>
          <w:rPr>
            <w:color w:val="0000EE"/>
            <w:u w:val="single"/>
          </w:rPr>
          <w:t>Jb 39.13–18</w:t>
        </w:r>
      </w:hyperlink>
      <w:r>
        <w:t xml:space="preserve"> ; </w:t>
      </w:r>
      <w:hyperlink r:id="rId11298">
        <w:r>
          <w:rPr>
            <w:color w:val="0000EE"/>
            <w:u w:val="single"/>
          </w:rPr>
          <w:t>Lm 4.3</w:t>
        </w:r>
      </w:hyperlink>
      <w:r>
        <w:t>).</w:t>
      </w:r>
    </w:p>
    <w:p>
      <w:pPr>
        <w:pStyle w:val="Heading4"/>
      </w:pPr>
      <w:r>
        <w:t>Buse</w:t>
      </w:r>
    </w:p>
    <w:p>
      <w:r/>
      <w:r>
        <w:t xml:space="preserve">Oiseau planant semblable à un faucon </w:t>
      </w:r>
      <w:r>
        <w:rPr>
          <w:i/>
        </w:rPr>
        <w:t>(Buteo vulgaris</w:t>
      </w:r>
      <w:r>
        <w:t xml:space="preserve"> ou </w:t>
      </w:r>
      <w:r>
        <w:rPr>
          <w:i/>
        </w:rPr>
        <w:t>Buteo ferox).</w:t>
      </w:r>
      <w:r>
        <w:t xml:space="preserve"> Il ressemble au milan, bien que sa queue soit droite et non fendue. Il est mentionné dans la liste des oiseaux impurs (</w:t>
      </w:r>
      <w:hyperlink r:id="rId11299">
        <w:r>
          <w:rPr>
            <w:color w:val="0000EE"/>
            <w:u w:val="single"/>
          </w:rPr>
          <w:t>Dt 14.13</w:t>
        </w:r>
      </w:hyperlink>
      <w:r>
        <w:t>). Cependant, d'autres traductions rendent le mot par « milan ». Ainsi, il est difficile de déterminer si la buse est réellement mentionnée dans la Bible, même s'il est un résident commun d'Israël.</w:t>
      </w:r>
    </w:p>
    <w:p>
      <w:r/>
      <w:r>
        <w:t xml:space="preserve">Comme d'autres grands oiseaux planants, la buse est connue pour sa vue perçante et pourrait être l'oiseau mentionné pour cette qualité dans </w:t>
      </w:r>
      <w:hyperlink r:id="rId11300">
        <w:r>
          <w:rPr>
            <w:color w:val="0000EE"/>
            <w:u w:val="single"/>
          </w:rPr>
          <w:t>Job 28.7</w:t>
        </w:r>
      </w:hyperlink>
      <w:r>
        <w:t xml:space="preserve"> (traduit diversement par « faucon », « aigle » ou « vautour »). Elle suit sa proie pendant des heures et a une capacité remarquable à repérer une carcasse sur laquelle elle descend pour se nourrir. Un peu plus grande que la buse commune, la buse à longues pattes se trouve en Israël, en Asie occidentale et en Syrie.</w:t>
      </w:r>
    </w:p>
    <w:p>
      <w:r/>
      <w:r>
        <w:rPr>
          <w:i/>
        </w:rPr>
        <w:t>Voir aussi</w:t>
      </w:r>
      <w:r>
        <w:t xml:space="preserve"> </w:t>
      </w:r>
      <w:r>
        <w:rPr>
          <w:b/>
          <w:u w:val="single"/>
        </w:rPr>
        <w:t>Crécerelle</w:t>
      </w:r>
      <w:r>
        <w:t xml:space="preserve"> ; </w:t>
      </w:r>
      <w:r>
        <w:rPr>
          <w:b/>
          <w:u w:val="single"/>
        </w:rPr>
        <w:t xml:space="preserve">Milan </w:t>
      </w:r>
      <w:r>
        <w:t xml:space="preserve">; </w:t>
      </w:r>
      <w:r>
        <w:rPr>
          <w:b/>
          <w:u w:val="single"/>
        </w:rPr>
        <w:t>Vautour</w:t>
      </w:r>
      <w:r>
        <w:t xml:space="preserve"> (ci-dessous).</w:t>
      </w:r>
    </w:p>
    <w:p>
      <w:pPr>
        <w:pStyle w:val="Heading4"/>
      </w:pPr>
      <w:r>
        <w:t>Butor</w:t>
      </w:r>
    </w:p>
    <w:p>
      <w:r/>
      <w:r>
        <w:t xml:space="preserve">Grand échassier </w:t>
      </w:r>
      <w:r>
        <w:rPr>
          <w:i/>
        </w:rPr>
        <w:t>(Botaurus stellaris)</w:t>
      </w:r>
      <w:r>
        <w:t xml:space="preserve"> similaire au héron, mais avec des pattes plus courtes et un corps plus petit et plus compact. Les butors habitent les marais, où il leur est facile de se cacher grâce à leur camouflage naturel. Le plumage tacheté du butor, composé de brun rayé et de noir, imite tellement la couleur et la forme de la végétation marécageuse qu'il semble parfois disparaître sous les yeux de l'observateur. Le cou est couvert de longues plumes douces, ce qui le fait paraître disproportionnellement lourd. Les butors sont méfiants et solitaires. Pendant la saison des amours, le larynx du butor est modifié pour produire un cri au son mystérieux. Le corps se tord de manière inhabituelle en harmonie avec les notes. Les butors nichent seuls dans les marais herbeux. Parce qu'ils sont timides, ils sont devenus des symboles de lieux de désolation et de solitude.</w:t>
      </w:r>
    </w:p>
    <w:p>
      <w:r/>
      <w:r>
        <w:t>Il y a une certaine question quant à savoir si le butor est réellement mentionné dans la Bible. La version LSG mentionne pas le « butor ». De nombreux érudits bibliques croient que le mot hébreu dans les trois versets où certaines traductions y voien tla présence du butor (</w:t>
      </w:r>
      <w:hyperlink r:id="rId11301">
        <w:r>
          <w:rPr>
            <w:color w:val="0000EE"/>
            <w:u w:val="single"/>
          </w:rPr>
          <w:t>Es 14.23</w:t>
        </w:r>
      </w:hyperlink>
      <w:r>
        <w:t xml:space="preserve"> ; </w:t>
      </w:r>
      <w:hyperlink r:id="rId11302">
        <w:r>
          <w:rPr>
            <w:color w:val="0000EE"/>
            <w:u w:val="single"/>
          </w:rPr>
          <w:t>34.11</w:t>
        </w:r>
      </w:hyperlink>
      <w:r>
        <w:t xml:space="preserve"> ; </w:t>
      </w:r>
      <w:hyperlink r:id="rId11303">
        <w:r>
          <w:rPr>
            <w:color w:val="0000EE"/>
            <w:u w:val="single"/>
          </w:rPr>
          <w:t>Zep 2.14</w:t>
        </w:r>
      </w:hyperlink>
      <w:r>
        <w:t xml:space="preserve">) ne se réfère pas à cet oiseau, mais au hérisson ou au porc-épic. Le mot hébreu est similaire à un mot arabe signifiant « porc-épic ». D'autres érudits soulignent que les références suggèrent un oiseau plutôt qu'un mammifère, surtout </w:t>
      </w:r>
      <w:hyperlink r:id="rId11303">
        <w:r>
          <w:rPr>
            <w:color w:val="0000EE"/>
            <w:u w:val="single"/>
          </w:rPr>
          <w:t>Sophonie 2.14</w:t>
        </w:r>
      </w:hyperlink>
      <w:r>
        <w:t>, qui parle de la créature faisant sa loge « parmi les chapiteaux » (c'est-à-dire, au-dessus des linteaux de Ninive). Les butors sont particulièrement abondants dans les marais de la rivière Hiddékel (près de Ninive). Les caractéristiques du butor peuvent mieux correspondre aux références dans les trois passages que celles du hérisson.</w:t>
      </w:r>
    </w:p>
    <w:p>
      <w:r/>
      <w:r>
        <w:rPr>
          <w:i/>
        </w:rPr>
        <w:t>Voir aussi</w:t>
      </w:r>
      <w:r>
        <w:t xml:space="preserve"> </w:t>
      </w:r>
      <w:r>
        <w:t>Hérisson</w:t>
      </w:r>
      <w:r>
        <w:t xml:space="preserve"> ; </w:t>
      </w:r>
      <w:r>
        <w:t>Animaux (Porc-épic)</w:t>
      </w:r>
      <w:r>
        <w:t>.</w:t>
      </w:r>
    </w:p>
    <w:p>
      <w:pPr>
        <w:pStyle w:val="Heading4"/>
      </w:pPr>
      <w:r>
        <w:t>Caille</w:t>
      </w:r>
    </w:p>
    <w:p>
      <w:r/>
      <w:r>
        <w:t xml:space="preserve">Oiseaux courts et trapus avec des becs et des pieds similaires à ceux des poulets, adaptés à manger des graines ou des insectes. Les cailles </w:t>
      </w:r>
      <w:r>
        <w:rPr>
          <w:i/>
        </w:rPr>
        <w:t>(Coturnix coturnix)</w:t>
      </w:r>
      <w:r>
        <w:t xml:space="preserve"> sont les plus petites de la sous-famille de la volaille, qui inclut également les faisans et les perdrix. Les cailles mesurent environ 25 cm de long et ont de petites ailes arrondies. Elles jaillissent de leurs cachettes dans l'herbe ou les buissons avec un bruit de vrombissement. Le ventre de la caille est blanc. Jusqu'à dix-huit œufs sont pondus, et si la mère meurt, le mâle est connu pour assumer le soin des jeunes. Les cailles de la région méditerranéenne passent l'hiver au Soudan et migrent vers le nord en vastes volées au printemps. Les cailles ne peuvent pas maintenir un vol soutenu de longue durée mais utilisent les courants de vent pour rester en l'air.</w:t>
      </w:r>
    </w:p>
    <w:p>
      <w:r/>
      <w:r>
        <w:t>D'énormes volées de cailles ont servi deux fois de nourriture aux Israélites dans le désert du Sinaï, lorsque les oiseaux ont été miraculeusement poussés dans le désert par les vents (</w:t>
      </w:r>
      <w:hyperlink r:id="rId11238">
        <w:r>
          <w:rPr>
            <w:color w:val="0000EE"/>
            <w:u w:val="single"/>
          </w:rPr>
          <w:t>Ex 16.13</w:t>
        </w:r>
      </w:hyperlink>
      <w:r>
        <w:t xml:space="preserve"> ; </w:t>
      </w:r>
      <w:hyperlink r:id="rId10695">
        <w:r>
          <w:rPr>
            <w:color w:val="0000EE"/>
            <w:u w:val="single"/>
          </w:rPr>
          <w:t>Nb 11.31–32</w:t>
        </w:r>
      </w:hyperlink>
      <w:r>
        <w:t xml:space="preserve"> ; </w:t>
      </w:r>
      <w:hyperlink r:id="rId11304">
        <w:r>
          <w:rPr>
            <w:color w:val="0000EE"/>
            <w:u w:val="single"/>
          </w:rPr>
          <w:t>Ps 105.40</w:t>
        </w:r>
      </w:hyperlink>
      <w:r>
        <w:t>). La deuxième fois, elles volaient probablement le long du golfe d'Aqaba et ont été déviées de leur trajectoire par le vent d'est (</w:t>
      </w:r>
      <w:hyperlink r:id="rId7725">
        <w:r>
          <w:rPr>
            <w:color w:val="0000EE"/>
            <w:u w:val="single"/>
          </w:rPr>
          <w:t>Nb 11.31</w:t>
        </w:r>
      </w:hyperlink>
      <w:r>
        <w:t xml:space="preserve"> ; </w:t>
      </w:r>
      <w:hyperlink r:id="rId11305">
        <w:r>
          <w:rPr>
            <w:color w:val="0000EE"/>
            <w:u w:val="single"/>
          </w:rPr>
          <w:t>Ps 78.26–28</w:t>
        </w:r>
      </w:hyperlink>
      <w:r>
        <w:t>). Leur incapacité à soutenir un vol prolongé peut expliquer leur niveau de vol bas (deux coudées, soit environ 1 m). Lorsqu'elles étaient épuisées, elles étaient facilement attrapées à la main (</w:t>
      </w:r>
      <w:hyperlink r:id="rId10695">
        <w:r>
          <w:rPr>
            <w:color w:val="0000EE"/>
            <w:u w:val="single"/>
          </w:rPr>
          <w:t>Nb 11.31–32</w:t>
        </w:r>
      </w:hyperlink>
      <w:r>
        <w:t>). Les cailles étaient considérées comme pures et la plus délicate des viandes de gibier, et elles étaient conservées en les séchant au soleil.</w:t>
      </w:r>
    </w:p>
    <w:p>
      <w:pPr>
        <w:pStyle w:val="Heading4"/>
      </w:pPr>
      <w:r>
        <w:t>Chevêche</w:t>
      </w:r>
    </w:p>
    <w:p>
      <w:r/>
      <w:r>
        <w:t xml:space="preserve">Le plus petit de tous les oiseaux de proie nocturnes. Principalement insectivore, le chevêche </w:t>
      </w:r>
      <w:r>
        <w:rPr>
          <w:i/>
        </w:rPr>
        <w:t>(Athene noctua glaux)</w:t>
      </w:r>
      <w:r>
        <w:t xml:space="preserve"> se nourrit aussi parfois de petits oiseaux. C'est le hibou la plus commune en Terre Sainte, habitant parmi les ruines, les pierres tombales, les rochers et les fourrés (peut-être le « chat-huant des ruines » de </w:t>
      </w:r>
      <w:hyperlink r:id="rId11306">
        <w:r>
          <w:rPr>
            <w:color w:val="0000EE"/>
            <w:u w:val="single"/>
          </w:rPr>
          <w:t>Ps 102.6</w:t>
        </w:r>
      </w:hyperlink>
      <w:r>
        <w:t xml:space="preserve">). Sa voix ressemble à celle d'une personne mourante. Elle peut parfois être observée perchée sur un rocher avec ses grands yeux fixés au loin, une pose que les anciens considéraient comme un signe de sagesse. Les Grecs associaient le chevêche à la déesse Athéna. Elle pourrait être visée par le mot traduit par « chat-huant » dans plusieurs traductions de </w:t>
      </w:r>
      <w:hyperlink r:id="rId11307">
        <w:r>
          <w:rPr>
            <w:color w:val="0000EE"/>
            <w:u w:val="single"/>
          </w:rPr>
          <w:t>Lévitique 11.17</w:t>
        </w:r>
      </w:hyperlink>
      <w:r>
        <w:t xml:space="preserve"> ; </w:t>
      </w:r>
      <w:hyperlink r:id="rId11308">
        <w:r>
          <w:rPr>
            <w:color w:val="0000EE"/>
            <w:u w:val="single"/>
          </w:rPr>
          <w:t>Deutéronome 14.16</w:t>
        </w:r>
      </w:hyperlink>
      <w:r>
        <w:t>.</w:t>
      </w:r>
    </w:p>
    <w:p>
      <w:r/>
      <w:r>
        <w:rPr>
          <w:i/>
        </w:rPr>
        <w:t>Voir aussi</w:t>
      </w:r>
      <w:r>
        <w:t xml:space="preserve"> Grand hibou (ci-dessous).</w:t>
      </w:r>
    </w:p>
    <w:p>
      <w:pPr>
        <w:pStyle w:val="Heading4"/>
      </w:pPr>
      <w:r>
        <w:t>Chouette</w:t>
      </w:r>
    </w:p>
    <w:p>
      <w:r/>
      <w:r>
        <w:t>Oiseaux nocturnes (ordre des Strigiformes) avec de grandes têtes et de grands yeux orientés vers l'avant. Leurs plumes d'ailes et de queue sont douces comme du velours, ce qui aide à rendre leur vol silencieux. Le corps de la chouette est petit et mince, de la taille d'un pigeon, mais il semble volumineux à cause de l'épais revêtement de plumes. Les chouettes ont été considérées comme des porteuses de malheur et des présages de désastre. Au Proche-Orient, les chouettes vivent maintenant dans les ruines de temples et les pyramides en Égypte, ainsi que dans des tombes taillées dans la roche, des ruines et des grottes des deux côtés du Jourdain en Israël. Elles s'approchent rarement des habitations.</w:t>
      </w:r>
    </w:p>
    <w:p>
      <w:r/>
      <w:r>
        <w:t>Les chouettes ont une excellente vision nocturne, qu'elles utilisent pour capturer des rongeurs ou d'autres animaux. Bien que leurs yeux soient inhabituellement grands, ceux des chouettes sont presque inutiles à la lumière du jour, car celle-ci les éblouit. La chouette est capable d'avaler sa proie entière grâce à son œsophage élastique. Les poils et os indigestes sont régurgités sous forme de pelotes. Le bec est court mais fortement crochu.</w:t>
      </w:r>
    </w:p>
    <w:p>
      <w:r/>
      <w:r>
        <w:t>Les chouettes peuvent pondre jusqu'à dix œufs. Les jeunes sont soignés au nid par les deux parents. Les adultes et les jeunes ont tendance à rester dans la région où ils sont nés. Huit espèces de chouette se trouvent en Terre Sainte, dont cinq sont abondantes. Il est cependant difficile d'identifier une espèce particulière avec l'un des quatre mots hébreux traduits par « chouette » dans les Écritures. Un cinquième mot traduit par « chouette » est plus correctement identifié avec l'autruche. Les hiboux apparaissent dans les listes d'oiseaux impurs (</w:t>
      </w:r>
      <w:hyperlink r:id="rId11307">
        <w:r>
          <w:rPr>
            <w:color w:val="0000EE"/>
            <w:u w:val="single"/>
          </w:rPr>
          <w:t>Lv 11.17</w:t>
        </w:r>
      </w:hyperlink>
      <w:r>
        <w:t xml:space="preserve"> ; </w:t>
      </w:r>
      <w:hyperlink r:id="rId11308">
        <w:r>
          <w:rPr>
            <w:color w:val="0000EE"/>
            <w:u w:val="single"/>
          </w:rPr>
          <w:t>Dt 14.16</w:t>
        </w:r>
      </w:hyperlink>
      <w:r>
        <w:t>), et bien que les traductions diffèrent, elles s'accordent à dire que toutes les espèces de hiboux, étant des prédateurs, sont impures.</w:t>
      </w:r>
    </w:p>
    <w:p>
      <w:r/>
      <w:r>
        <w:rPr>
          <w:i/>
        </w:rPr>
        <w:t>Voir aussi</w:t>
      </w:r>
      <w:r>
        <w:t xml:space="preserve"> </w:t>
      </w:r>
      <w:r>
        <w:rPr>
          <w:b/>
          <w:u w:val="single"/>
        </w:rPr>
        <w:t>Autruche</w:t>
      </w:r>
      <w:r>
        <w:t xml:space="preserve"> (ci-dessus) ; </w:t>
      </w:r>
      <w:r>
        <w:rPr>
          <w:b/>
          <w:u w:val="single"/>
        </w:rPr>
        <w:t>Chouette effraie ou blanche</w:t>
      </w:r>
      <w:r>
        <w:t xml:space="preserve"> ; </w:t>
      </w:r>
      <w:r>
        <w:rPr>
          <w:b/>
          <w:u w:val="single"/>
        </w:rPr>
        <w:t>Grand hibou ou Grand-duc</w:t>
      </w:r>
      <w:r>
        <w:t xml:space="preserve"> ; </w:t>
      </w:r>
      <w:r>
        <w:rPr>
          <w:b/>
          <w:u w:val="single"/>
        </w:rPr>
        <w:t>Petit hibou</w:t>
      </w:r>
      <w:r>
        <w:t xml:space="preserve"> ; </w:t>
      </w:r>
      <w:r>
        <w:rPr>
          <w:b/>
          <w:u w:val="single"/>
        </w:rPr>
        <w:t>Petit-duc</w:t>
      </w:r>
      <w:r>
        <w:t xml:space="preserve"> (ci-dessous).</w:t>
      </w:r>
    </w:p>
    <w:p>
      <w:pPr>
        <w:pStyle w:val="Heading4"/>
      </w:pPr>
      <w:r>
        <w:t>Chouette effraie ou blanche</w:t>
      </w:r>
    </w:p>
    <w:p>
      <w:r/>
      <w:r>
        <w:t xml:space="preserve">Grande chouette </w:t>
      </w:r>
      <w:r>
        <w:rPr>
          <w:i/>
        </w:rPr>
        <w:t>(Tyto alloa)</w:t>
      </w:r>
      <w:r>
        <w:t xml:space="preserve"> avec un visage distinct en forme de cœur. Son nom hébreu pourrait provenir d'un bruit de ronflement qu'elle émet en respirant dans le nid. En vol, elle pousse un cri effrayant et est donc parfois appelé la chouette hulotte ou chat-huant. Ses traits quelque peu sinistres (une grande tête et de grands yeux écarquillés) ont conduit certaines personnes à le considérer comme démoniaque. C'est un oiseau utile, cependant, car il dévore les rongeurs qui pillent les champs et endommagent les grains stockés. Comme les autres hiboux, il dort pendant la journée et chasse la nuit grâce à un sens de l'ouïe et de la vue bien développé. Sa couleur est jaune brunâtre clair avec un masque blanc autour des yeux et des joues. Toute la patte est couverte de plumes qui la protègent contre les morsures des victimes qui se débattent dans ses serres.</w:t>
      </w:r>
    </w:p>
    <w:p>
      <w:r/>
      <w:r>
        <w:t>Certaines traductions françaises mentionnent le chat-huant par son nom (</w:t>
      </w:r>
      <w:hyperlink r:id="rId11307">
        <w:r>
          <w:rPr>
            <w:color w:val="0000EE"/>
            <w:u w:val="single"/>
          </w:rPr>
          <w:t>Lv 11.17</w:t>
        </w:r>
      </w:hyperlink>
      <w:r>
        <w:t xml:space="preserve"> ; </w:t>
      </w:r>
      <w:hyperlink r:id="rId11308">
        <w:r>
          <w:rPr>
            <w:color w:val="0000EE"/>
            <w:u w:val="single"/>
          </w:rPr>
          <w:t>Dt 14.16</w:t>
        </w:r>
      </w:hyperlink>
      <w:r>
        <w:t>, LSG, COL78, NBS et TOB2010).</w:t>
      </w:r>
    </w:p>
    <w:p>
      <w:r/>
      <w:r>
        <w:rPr>
          <w:i/>
        </w:rPr>
        <w:t>Voir aussi</w:t>
      </w:r>
      <w:r>
        <w:t xml:space="preserve"> </w:t>
      </w:r>
      <w:r>
        <w:rPr>
          <w:b/>
          <w:u w:val="single"/>
        </w:rPr>
        <w:t>Hibou</w:t>
      </w:r>
      <w:r>
        <w:t xml:space="preserve">, </w:t>
      </w:r>
      <w:r>
        <w:rPr>
          <w:b/>
          <w:u w:val="single"/>
        </w:rPr>
        <w:t>Petit-duc</w:t>
      </w:r>
      <w:r>
        <w:t xml:space="preserve"> (ci-dessous).</w:t>
      </w:r>
    </w:p>
    <w:p>
      <w:pPr>
        <w:pStyle w:val="Heading4"/>
      </w:pPr>
      <w:r>
        <w:t>Cigogne</w:t>
      </w:r>
    </w:p>
    <w:p>
      <w:r/>
      <w:r>
        <w:t xml:space="preserve">Grand oiseau échassier blanc (genre </w:t>
      </w:r>
      <w:r>
        <w:rPr>
          <w:i/>
        </w:rPr>
        <w:t>Ciconia</w:t>
      </w:r>
      <w:r>
        <w:t>) avec de grandes ailes puissantes aux plumes primaires et secondaires noires et brillantes. Le battement de ses ailes produit un bruit fort et rapide. Les membranes entre les orteils empêchent l'oiseau de s'enfoncer dans la boue. Son bec rouge est pointu et long, servant à saisir et à soulever sa proie hors de l'eau. Les cigognes sont muettes, dépourvues de boîte vocale.</w:t>
      </w:r>
    </w:p>
    <w:p>
      <w:r/>
      <w:r>
        <w:t>Des vols de cigognes traversent la Terre Sainte lors de leur migration de septembre vers l'Afrique centrale et méridionale, et de même au printemps lors de leur vol de retour vers leurs foyers dans le nord d'Israël, en Syrie et en Europe. Les cigognes voyagent en grands groupes pendant la journée, se déployant dans le ciel.</w:t>
      </w:r>
    </w:p>
    <w:p>
      <w:r/>
      <w:r>
        <w:t>La fidélité de la cigogne à s'occuper de ses petits est bien connue, tout comme son habitude de revenir chaque année au même endroit pour nicher. Les cigognes ont l'habitude d'ajouter à leurs nids chaque année, et il est possible de trouver des nids qui ont 100 ans et une hauteur de plus d'un mètre.</w:t>
      </w:r>
    </w:p>
    <w:p>
      <w:r/>
      <w:r>
        <w:t xml:space="preserve">Deux espèces de cigognes fréquentent la Terre Sainte. La cigogne blanche </w:t>
      </w:r>
      <w:r>
        <w:rPr>
          <w:i/>
        </w:rPr>
        <w:t>(Ciconia alba)</w:t>
      </w:r>
      <w:r>
        <w:t xml:space="preserve"> mesure 1 m de hauteur, et son envergure est de près de 2 m, ce qui lui permet de se déplacer avec un vol lent et soutenu ou de planer. Dans le folklore, la cigogne blanche est parfois considérée comme un présage de bonne fortune.</w:t>
      </w:r>
    </w:p>
    <w:p>
      <w:r/>
      <w:r>
        <w:t xml:space="preserve">La cigogne noire </w:t>
      </w:r>
      <w:r>
        <w:rPr>
          <w:i/>
        </w:rPr>
        <w:t>(Ciconia nigra)</w:t>
      </w:r>
      <w:r>
        <w:t xml:space="preserve">, commune autour de la vallée de la mer Morte, niche dans les arbres ; elle pourrait donc être l'espèce arboricole mentionnée dans </w:t>
      </w:r>
      <w:hyperlink r:id="rId11309">
        <w:r>
          <w:rPr>
            <w:color w:val="0000EE"/>
            <w:u w:val="single"/>
          </w:rPr>
          <w:t>Psaume 104.17</w:t>
        </w:r>
      </w:hyperlink>
      <w:r>
        <w:t>. Le nom hébreu de « cigogne » signifie littéralement « la royale » ou « la loyale », une référence aux soins que l'oiseau prodigue à ses petits. Comme le héron, la cigogne était considérée comme cérémoniellement impure en raison de son régime alimentaire composé d'organismes aquatiques, de déchets, de petits animaux, d'oiseaux et de reptiles (</w:t>
      </w:r>
      <w:hyperlink r:id="rId11232">
        <w:r>
          <w:rPr>
            <w:color w:val="0000EE"/>
            <w:u w:val="single"/>
          </w:rPr>
          <w:t>Lv 11.19</w:t>
        </w:r>
      </w:hyperlink>
      <w:r>
        <w:t xml:space="preserve"> ; </w:t>
      </w:r>
      <w:hyperlink r:id="rId11233">
        <w:r>
          <w:rPr>
            <w:color w:val="0000EE"/>
            <w:u w:val="single"/>
          </w:rPr>
          <w:t>Dt 14.18</w:t>
        </w:r>
      </w:hyperlink>
      <w:r>
        <w:t>). Jérémie a mentionné la connaissance instinctive et étonnante de la cigogne concernant le moment de sa migration (</w:t>
      </w:r>
      <w:hyperlink r:id="rId11310">
        <w:r>
          <w:rPr>
            <w:color w:val="0000EE"/>
            <w:u w:val="single"/>
          </w:rPr>
          <w:t>Jr 8.7</w:t>
        </w:r>
      </w:hyperlink>
      <w:r>
        <w:t>). Ses ailes impressionnantes figuraient dans l'une des visions de Zacharie (</w:t>
      </w:r>
      <w:hyperlink r:id="rId11311">
        <w:r>
          <w:rPr>
            <w:color w:val="0000EE"/>
            <w:u w:val="single"/>
          </w:rPr>
          <w:t>Za 5.9</w:t>
        </w:r>
      </w:hyperlink>
      <w:r>
        <w:t>).</w:t>
      </w:r>
    </w:p>
    <w:p>
      <w:pPr>
        <w:pStyle w:val="Heading4"/>
      </w:pPr>
      <w:r>
        <w:t>Crécerelle ou faucon</w:t>
      </w:r>
    </w:p>
    <w:p>
      <w:r/>
      <w:r>
        <w:t>La crécerelle est un petit faucon (</w:t>
      </w:r>
      <w:r>
        <w:rPr>
          <w:i/>
        </w:rPr>
        <w:t>Falco tinnunculus</w:t>
      </w:r>
      <w:r>
        <w:t>), d'environ 30 cm de long. Elle a des plumes brunes, noires et jaunes sur sa poitrine. Elle était abondante en Terre Sainte, tant dans les villages qu'à la campagne, nichant sur les toits et parmi les rochers. Comme la plupart des faucons, la crécerelle est capable de planer et de flotter en plein air, puis de fondre sur sa proie, la saisissant avec des serres acérées en forme de crochet. Elle se nourrit principalement de souris, de petits reptiles et d'insectes.</w:t>
      </w:r>
    </w:p>
    <w:p>
      <w:r/>
      <w:r>
        <w:t>Des crécerelles embaumées ont été trouvées dans des tombes égyptiennes anciennes. Les Égyptiens ont également apprivoisé et dressé des crécerelles pour chasser les lapins et autres petits gibiers. La fauconnerie (chasse avec des faucons de diverses espèces) était bien connue des anciens et est encore pratiquée aujourd'hui. Les archives d'Osnappar démontrent que les Assyriens connaissaient la fauconnerie. Parce que la crécerelle est un prédateur, elle était cérémoniellement impure (</w:t>
      </w:r>
      <w:hyperlink r:id="rId11312">
        <w:r>
          <w:rPr>
            <w:color w:val="0000EE"/>
            <w:u w:val="single"/>
          </w:rPr>
          <w:t>Lv 11.14</w:t>
        </w:r>
      </w:hyperlink>
      <w:r>
        <w:t>). Certaines traductions (comme la LSG) rendent le mot par « milan », ce qui illustre la difficulté d'identifier précisément les oiseaux bibliques.</w:t>
      </w:r>
    </w:p>
    <w:p>
      <w:r/>
      <w:r>
        <w:rPr>
          <w:i/>
        </w:rPr>
        <w:t>Voir aussi</w:t>
      </w:r>
      <w:r>
        <w:t xml:space="preserve"> </w:t>
      </w:r>
      <w:r>
        <w:rPr>
          <w:b/>
          <w:u w:val="single"/>
        </w:rPr>
        <w:t>Milan</w:t>
      </w:r>
      <w:r>
        <w:t xml:space="preserve"> (ci-dessous).</w:t>
      </w:r>
    </w:p>
    <w:p>
      <w:pPr>
        <w:pStyle w:val="Heading4"/>
      </w:pPr>
      <w:r>
        <w:t>Corbeau</w:t>
      </w:r>
    </w:p>
    <w:p>
      <w:r/>
      <w:r>
        <w:t>Le mot hébreu pour « corbeau » signifie « noir ». Le corbeau (</w:t>
      </w:r>
      <w:r>
        <w:rPr>
          <w:i/>
        </w:rPr>
        <w:t>Corvus corax</w:t>
      </w:r>
      <w:r>
        <w:t>) pèse environ 1,5 kg et mesure de 55 à 65 centimètres de longueur. Sa queue est plus large au milieu qu'à chaque extrémité. Huit espèces se trouvent en Israël : trois corbeaux, deux choucas, une corneille, un freux et un crave. La corneille, d'environ 50 centimètres de long, est plus petite qu'un corbeau, et sa queue est d'une largeur uniforme. La caractéristique la plus remarquable du corbeau est son plumage noir brillant et iridescent.</w:t>
      </w:r>
    </w:p>
    <w:p>
      <w:r/>
      <w:r>
        <w:t>Les corbeaux et les corneilles ont survécu malgré l'antipathie que beaucoup d'humains éprouvent pour eux. Excellents volants, ils migrent de jour et se rassemblent en grands groupes pouvant atteindre plusieurs centaines de milliers. Pendant la saison de nidification, ils construisent des nids de brindilles dans lesquels deux à sept œufs sont pondus. Les corbeaux s'accouplent pour la vie. Équipés de fortes ailes, d'un bec puissant et de pieds robustes, les corbeaux peuvent vivre dans des endroits isolés d'où ils s'éloignent largement pour se nourrir. Le fait qu'il ne soit pas retourné à l'arche était un bon signe pour Noé, indiquant que le corbeau pouvait trouver de la nourriture et possiblement un endroit pour se reposer sur les sommets des montagnes sèches (</w:t>
      </w:r>
      <w:hyperlink r:id="rId11313">
        <w:r>
          <w:rPr>
            <w:color w:val="0000EE"/>
            <w:u w:val="single"/>
          </w:rPr>
          <w:t>Gn 8.7</w:t>
        </w:r>
      </w:hyperlink>
      <w:r>
        <w:t>).</w:t>
      </w:r>
    </w:p>
    <w:p>
      <w:r/>
      <w:r>
        <w:t>Le corbeau, principalement charognard, était considéré comme cérémoniellement impur (</w:t>
      </w:r>
      <w:hyperlink r:id="rId11314">
        <w:r>
          <w:rPr>
            <w:color w:val="0000EE"/>
            <w:u w:val="single"/>
          </w:rPr>
          <w:t>Lv 11.15</w:t>
        </w:r>
      </w:hyperlink>
      <w:r>
        <w:t xml:space="preserve"> ; </w:t>
      </w:r>
      <w:hyperlink r:id="rId11315">
        <w:r>
          <w:rPr>
            <w:color w:val="0000EE"/>
            <w:u w:val="single"/>
          </w:rPr>
          <w:t>Dt 14.14</w:t>
        </w:r>
      </w:hyperlink>
      <w:r>
        <w:t>). Pourtant, les corbeaux ont nourri Élie sur l'ordre de Dieu (</w:t>
      </w:r>
      <w:hyperlink r:id="rId11316">
        <w:r>
          <w:rPr>
            <w:color w:val="0000EE"/>
            <w:u w:val="single"/>
          </w:rPr>
          <w:t>1R 17.4–6</w:t>
        </w:r>
      </w:hyperlink>
      <w:r>
        <w:t>). On a dit à Job que Dieu donnait au corbeau sa nourriture (</w:t>
      </w:r>
      <w:hyperlink r:id="rId11317">
        <w:r>
          <w:rPr>
            <w:color w:val="0000EE"/>
            <w:u w:val="single"/>
          </w:rPr>
          <w:t>Jb 38.41</w:t>
        </w:r>
      </w:hyperlink>
      <w:r>
        <w:t>), comme le psalmiste et Jésus l'ont répété (</w:t>
      </w:r>
      <w:hyperlink r:id="rId11318">
        <w:r>
          <w:rPr>
            <w:color w:val="0000EE"/>
            <w:u w:val="single"/>
          </w:rPr>
          <w:t>Ps 147.9</w:t>
        </w:r>
      </w:hyperlink>
      <w:r>
        <w:t xml:space="preserve"> ; </w:t>
      </w:r>
      <w:hyperlink r:id="rId11319">
        <w:r>
          <w:rPr>
            <w:color w:val="0000EE"/>
            <w:u w:val="single"/>
          </w:rPr>
          <w:t>Lc 12.24</w:t>
        </w:r>
      </w:hyperlink>
      <w:r>
        <w:t>). Le plumage noir brillant du corbeau a inspiré la comparaison des cheveux de l'aimé de la mariée (</w:t>
      </w:r>
      <w:hyperlink r:id="rId3368">
        <w:r>
          <w:rPr>
            <w:color w:val="0000EE"/>
            <w:u w:val="single"/>
          </w:rPr>
          <w:t>Ct 5.11</w:t>
        </w:r>
      </w:hyperlink>
      <w:r>
        <w:t>). Ils préfèrent les zones désolées et inhabitées comme lieu de résidence (</w:t>
      </w:r>
      <w:hyperlink r:id="rId11302">
        <w:r>
          <w:rPr>
            <w:color w:val="0000EE"/>
            <w:u w:val="single"/>
          </w:rPr>
          <w:t>Es 34.11</w:t>
        </w:r>
      </w:hyperlink>
      <w:r>
        <w:t>). Les corbeaux sont des oiseaux rusés et actifs. Certains sont capables de parler, de résoudre des énigmes et d'accomplir des exercices de mémorisation. Audacieux et curieux, ils utilisent parfois leurs talents pour le vol.</w:t>
      </w:r>
    </w:p>
    <w:p>
      <w:pPr>
        <w:pStyle w:val="Heading4"/>
      </w:pPr>
      <w:r>
        <w:t>Cormoran</w:t>
      </w:r>
    </w:p>
    <w:p>
      <w:r/>
      <w:r>
        <w:t xml:space="preserve">Grand oiseau noir semblable à une oie </w:t>
      </w:r>
      <w:r>
        <w:rPr>
          <w:i/>
        </w:rPr>
        <w:t>(Phalacrocorax carbo)</w:t>
      </w:r>
      <w:r>
        <w:t>, souvent représenté dans l'art de l'Égypte et de la Terre Sainte. Sa longueur varie de 50 à 100 cm. Ses pieds ont des membranes entre les quatre orteils. Les pieds, attachés loin à l'arrière du corps, servent de propulseurs lorsque le cormoran plonge pour attraper son repas de poissons, crustacés ou amphibiens. Le long bec est courbé à la pointe, et sous le bec se trouve un sac dans lequel le cormoran garde les poissons capturés.</w:t>
      </w:r>
    </w:p>
    <w:p>
      <w:r/>
      <w:r>
        <w:t>Les cormorans vivent en grandes colonies, construisant des nids avec des bâtons et d'autres végétaux qu'ils transportent vers les arbres ou sur des corniches rocheuses près des côtes. Jusqu'à quatre œufs sont incubés, et les jeunes sont nourris par les deux parents.</w:t>
      </w:r>
    </w:p>
    <w:p>
      <w:r/>
      <w:r>
        <w:t>Le cormoran fréquente les marais autour de la mer de Galilée, le lac Huleh (les eaux de Mérom) et la côte méditerranéenne. Son nom hébreu désignait à l'origine le « lancer » de l'oiseau sur sa proie. Les cormorans plongent dans les eaux profondes et semblent parfois filer sous la surface à la recherche de poissons. La gourmandise du cormoran est proverbiale. Il était cérémoniellement impur pour les Israélites (</w:t>
      </w:r>
      <w:hyperlink r:id="rId11307">
        <w:r>
          <w:rPr>
            <w:color w:val="0000EE"/>
            <w:u w:val="single"/>
          </w:rPr>
          <w:t>Lv 11.17</w:t>
        </w:r>
      </w:hyperlink>
      <w:r>
        <w:t xml:space="preserve"> ; </w:t>
      </w:r>
      <w:hyperlink r:id="rId11320">
        <w:r>
          <w:rPr>
            <w:color w:val="0000EE"/>
            <w:u w:val="single"/>
          </w:rPr>
          <w:t>Dt 14.17</w:t>
        </w:r>
      </w:hyperlink>
      <w:r>
        <w:t>).</w:t>
      </w:r>
    </w:p>
    <w:p>
      <w:r/>
      <w:r>
        <w:rPr>
          <w:i/>
        </w:rPr>
        <w:t>Voir aussi</w:t>
      </w:r>
      <w:r>
        <w:t xml:space="preserve"> </w:t>
      </w:r>
      <w:r>
        <w:rPr>
          <w:b/>
          <w:u w:val="single"/>
        </w:rPr>
        <w:t>Pélican</w:t>
      </w:r>
      <w:r>
        <w:t xml:space="preserve"> (ci-dessous).</w:t>
      </w:r>
    </w:p>
    <w:p>
      <w:pPr>
        <w:pStyle w:val="Heading4"/>
      </w:pPr>
      <w:r>
        <w:t>Coucou</w:t>
      </w:r>
    </w:p>
    <w:p>
      <w:r/>
      <w:r>
        <w:t xml:space="preserve">Petit oiseau brun terne connu pour ses habitudes parasitaires. Potentiellement mentionné dans </w:t>
      </w:r>
      <w:hyperlink r:id="rId11290">
        <w:r>
          <w:rPr>
            <w:color w:val="0000EE"/>
            <w:u w:val="single"/>
          </w:rPr>
          <w:t>Lévitique 11.16</w:t>
        </w:r>
      </w:hyperlink>
      <w:r>
        <w:t xml:space="preserve"> et </w:t>
      </w:r>
      <w:hyperlink r:id="rId11291">
        <w:r>
          <w:rPr>
            <w:color w:val="0000EE"/>
            <w:u w:val="single"/>
          </w:rPr>
          <w:t>Deutéronome 14.15</w:t>
        </w:r>
      </w:hyperlink>
      <w:r>
        <w:t xml:space="preserve"> ; d'autres traductions traduisent par la mouette. L'oiseau agit comme un parasite de couvée, pondant ses œufs dans le nid d'une autre espèce après avoir expulsé l'un des œufs de l'espèce hôte. Le jeune coucou éclot avant les jeunes de l'espèce hôte et expulse les autres jeunes. Les parents adoptifs l'élèvent comme le leur.</w:t>
      </w:r>
    </w:p>
    <w:p>
      <w:r/>
      <w:r>
        <w:t>Le coucou, un insectivore, est considéré comme rituellement impur dans les Écritures, ce qui pourrait indiquer qu'il est un prédateur ou un charognard. C'est pour cette raison qu'il y a incertitude sur le mot hébreu, qui peut se référer au coucou, à la mouette ou encore au goéland. Les mouettes, sternes et pétrels sont tous communs sur le littoral et les lacs de la Terre Sainte.</w:t>
      </w:r>
    </w:p>
    <w:p>
      <w:r/>
      <w:r>
        <w:t>D'autres chercheurs pensent que le mot hébreu se réfère plutôt à l'une des chouettes, possiblement la chouette à longues oreilles.</w:t>
      </w:r>
    </w:p>
    <w:p>
      <w:r/>
      <w:r>
        <w:rPr>
          <w:i/>
        </w:rPr>
        <w:t>Voir aussi</w:t>
      </w:r>
      <w:r>
        <w:t xml:space="preserve"> </w:t>
      </w:r>
      <w:r>
        <w:rPr>
          <w:b/>
          <w:u w:val="single"/>
        </w:rPr>
        <w:t xml:space="preserve">Hibou </w:t>
      </w:r>
      <w:r>
        <w:t xml:space="preserve">; </w:t>
      </w:r>
      <w:r>
        <w:rPr>
          <w:b/>
          <w:u w:val="single"/>
        </w:rPr>
        <w:t>Mouette</w:t>
      </w:r>
      <w:r>
        <w:t xml:space="preserve"> (ci-dessous).</w:t>
      </w:r>
    </w:p>
    <w:p>
      <w:pPr>
        <w:pStyle w:val="Heading4"/>
      </w:pPr>
      <w:r>
        <w:t>Cygne</w:t>
      </w:r>
    </w:p>
    <w:p>
      <w:r/>
      <w:r>
        <w:t xml:space="preserve">Grands oiseaux aquatiques gracieux. Deux espèces de cygnes (genre </w:t>
      </w:r>
      <w:r>
        <w:rPr>
          <w:i/>
        </w:rPr>
        <w:t>Cygnus</w:t>
      </w:r>
      <w:r>
        <w:t>) se trouvent au Moyen-Orient en tant que migrateurs de passage (</w:t>
      </w:r>
      <w:r>
        <w:rPr>
          <w:i/>
        </w:rPr>
        <w:t>Cygnus olor</w:t>
      </w:r>
      <w:r>
        <w:t xml:space="preserve"> et </w:t>
      </w:r>
      <w:r>
        <w:rPr>
          <w:i/>
        </w:rPr>
        <w:t>Cygnus musicus</w:t>
      </w:r>
      <w:r>
        <w:t>). Les cygnes sont réputés pour être les meilleurs musiciens parmi les oiseaux et étaient considérés comme sacrés pour le dieu Apollon par les Grecs. Leurs voix ressemblent à celles des flûtes et des harpes.</w:t>
      </w:r>
    </w:p>
    <w:p>
      <w:r/>
      <w:r>
        <w:t xml:space="preserve">Les références dans </w:t>
      </w:r>
      <w:hyperlink r:id="rId11321">
        <w:r>
          <w:rPr>
            <w:color w:val="0000EE"/>
            <w:u w:val="single"/>
          </w:rPr>
          <w:t>Lévitique 11.18</w:t>
        </w:r>
      </w:hyperlink>
      <w:r>
        <w:t xml:space="preserve"> et </w:t>
      </w:r>
      <w:hyperlink r:id="rId11308">
        <w:r>
          <w:rPr>
            <w:color w:val="0000EE"/>
            <w:u w:val="single"/>
          </w:rPr>
          <w:t>Deutéronome 14.16</w:t>
        </w:r>
      </w:hyperlink>
      <w:r>
        <w:t xml:space="preserve"> ne concernent probablement pas le cygne, mais plutôt la poule d'eau ou la chouette effraie, car il semble y avoir peu de raisons de déclarer le cygne, qui est végétarien, comme un animal impur. </w:t>
      </w:r>
    </w:p>
    <w:p>
      <w:r/>
      <w:r>
        <w:rPr>
          <w:i/>
        </w:rPr>
        <w:t>Voir aussi</w:t>
      </w:r>
      <w:r>
        <w:t xml:space="preserve"> </w:t>
      </w:r>
      <w:r>
        <w:rPr>
          <w:b/>
          <w:u w:val="single"/>
        </w:rPr>
        <w:t>Chouette effraie ou blanche</w:t>
      </w:r>
      <w:r>
        <w:t xml:space="preserve"> (ci-dessus) ; </w:t>
      </w:r>
      <w:r>
        <w:rPr>
          <w:b/>
          <w:u w:val="single"/>
        </w:rPr>
        <w:t>Poule d'eau</w:t>
      </w:r>
      <w:r>
        <w:t xml:space="preserve"> (ci-dessous).</w:t>
      </w:r>
    </w:p>
    <w:p>
      <w:pPr>
        <w:pStyle w:val="Heading4"/>
      </w:pPr>
      <w:r>
        <w:t>Engoulevent</w:t>
      </w:r>
    </w:p>
    <w:p>
      <w:r/>
      <w:r>
        <w:t xml:space="preserve">Oiseau migrateur, sombre de couleur et aux pattes courtes. L'engoulevent (genre </w:t>
      </w:r>
      <w:r>
        <w:rPr>
          <w:i/>
        </w:rPr>
        <w:t>Caprimulgus</w:t>
      </w:r>
      <w:r>
        <w:t xml:space="preserve">) ressemble à un hibou avec une tête plate, de grands yeux, un plumage doux et un vol silencieux. Il chasse les insectes la nuit, les attrape en vol, et pendant la journée, il se repose sur les branches. Selon </w:t>
      </w:r>
      <w:hyperlink r:id="rId11290">
        <w:r>
          <w:rPr>
            <w:color w:val="0000EE"/>
            <w:u w:val="single"/>
          </w:rPr>
          <w:t>Lévitique 11.16</w:t>
        </w:r>
      </w:hyperlink>
      <w:r>
        <w:t xml:space="preserve"> et </w:t>
      </w:r>
      <w:hyperlink r:id="rId11291">
        <w:r>
          <w:rPr>
            <w:color w:val="0000EE"/>
            <w:u w:val="single"/>
          </w:rPr>
          <w:t>Deutéronome 14.15</w:t>
        </w:r>
      </w:hyperlink>
      <w:r>
        <w:t>, ils étaient rituellement impurs. Bien que certains érudits croient que c'est l'épervier qui est désigné par ce mot, il semble y avoir de bonnes raisons d'accepter la traduction d'« engoulevent ».</w:t>
      </w:r>
    </w:p>
    <w:p>
      <w:pPr>
        <w:pStyle w:val="Heading4"/>
      </w:pPr>
      <w:r>
        <w:t>Épervier</w:t>
      </w:r>
    </w:p>
    <w:p>
      <w:r/>
      <w:r>
        <w:t xml:space="preserve">Petits oiseaux de proie trouvés en Terre Sainte </w:t>
      </w:r>
      <w:r>
        <w:rPr>
          <w:i/>
        </w:rPr>
        <w:t>(Accipter nisus).</w:t>
      </w:r>
      <w:r>
        <w:t xml:space="preserve"> Cet oiseau est légèrement plus grand que le crécerelle, avec un dos gris-brun et un ventre blanc orné de barres noires et brunes. Il possède des plumes courtes, de longues serres courbées et de larges ailes, arrondies aux extrémités extérieures, qui lui permettent de planer sur les courants ascendants. La longue queue, agissant comme un gouvernail, aide l'oiseau à changer rapidement de direction en vol. Il est donc très maniable dans les airs lorsqu'il poursuit des fauvettes ou d'autres petits oiseaux. Contrairement au crécerelle, qui saisit sa proie au sol, il chasse et attaque les petits oiseaux en vol. Les éperviers chassent le jour, contrairement aux hiboux qui sont adaptés à la chasse nocturne. Avec leurs yeux situés sur le côté de la tête, ils ont une vue très perçante. Ils nichent généralement dans de grands arbres et leurs nids sont souvent occupés par le même couple année après année.</w:t>
      </w:r>
    </w:p>
    <w:p>
      <w:r/>
      <w:r>
        <w:t>Les Égyptiens embaumaient les éperviers et tenaient tous les faucons en haute estime. Le dieu Horus était représenté avec une tête de faucon, et l'épervier était rituellement impur pour les Israélites (</w:t>
      </w:r>
      <w:hyperlink r:id="rId11290">
        <w:r>
          <w:rPr>
            <w:color w:val="0000EE"/>
            <w:u w:val="single"/>
          </w:rPr>
          <w:t>Lv 11.16</w:t>
        </w:r>
      </w:hyperlink>
      <w:r>
        <w:t xml:space="preserve"> ; </w:t>
      </w:r>
      <w:hyperlink r:id="rId11291">
        <w:r>
          <w:rPr>
            <w:color w:val="0000EE"/>
            <w:u w:val="single"/>
          </w:rPr>
          <w:t>Dt 14.15</w:t>
        </w:r>
      </w:hyperlink>
      <w:r>
        <w:t xml:space="preserve">). Il n'était pas un résident permanent d'Israël mais s'arrêtait lors de sa migration du nord au sud. Sa migration vers le sud est mentionnée dans </w:t>
      </w:r>
      <w:hyperlink r:id="rId11322">
        <w:r>
          <w:rPr>
            <w:color w:val="0000EE"/>
            <w:u w:val="single"/>
          </w:rPr>
          <w:t>Jb 39.26</w:t>
        </w:r>
      </w:hyperlink>
      <w:r>
        <w:t xml:space="preserve">. Une référence dans </w:t>
      </w:r>
      <w:hyperlink r:id="rId11302">
        <w:r>
          <w:rPr>
            <w:color w:val="0000EE"/>
            <w:u w:val="single"/>
          </w:rPr>
          <w:t>Ésaïe 34.11</w:t>
        </w:r>
      </w:hyperlink>
      <w:r>
        <w:t xml:space="preserve"> au « faucon » (« pélican », LSG) est incertaine. </w:t>
      </w:r>
    </w:p>
    <w:p>
      <w:r/>
      <w:r>
        <w:rPr>
          <w:i/>
        </w:rPr>
        <w:t>Voir aussi</w:t>
      </w:r>
      <w:r>
        <w:t xml:space="preserve"> : </w:t>
      </w:r>
      <w:r>
        <w:rPr>
          <w:b/>
          <w:u w:val="single"/>
        </w:rPr>
        <w:t>Crécerelle ou Faucon</w:t>
      </w:r>
      <w:r>
        <w:t xml:space="preserve"> (ci-dessus) ; </w:t>
      </w:r>
      <w:r>
        <w:rPr>
          <w:b/>
          <w:u w:val="single"/>
        </w:rPr>
        <w:t>Milan</w:t>
      </w:r>
      <w:r>
        <w:t xml:space="preserve"> (ci-dessous).</w:t>
      </w:r>
    </w:p>
    <w:p>
      <w:pPr>
        <w:pStyle w:val="Heading4"/>
      </w:pPr>
      <w:r>
        <w:t>Grand hibou ou Grand-duc</w:t>
      </w:r>
    </w:p>
    <w:p>
      <w:r/>
      <w:r>
        <w:t xml:space="preserve">Hibou de grande taille, mesurant près de 60 cm de haut </w:t>
      </w:r>
      <w:r>
        <w:rPr>
          <w:i/>
        </w:rPr>
        <w:t>(Asio otus)</w:t>
      </w:r>
      <w:r>
        <w:t>. Sa couleur est grisée avec des taches gris-brun et des rayures noires. Il a des « oreilles » touffues et est parfois appelé le grand-duc d'Amérique. Il se nourrit de rongeurs, tels que les rats et les souris. Il hiverne en Israël parmi les ruines et dans les bosquets.</w:t>
      </w:r>
    </w:p>
    <w:p>
      <w:r/>
      <w:r>
        <w:t>Le grand hibou pourrait être le hibou mentionné dans la Bible parmi les oiseaux de désolation qui habiteront Édom dévasté (</w:t>
      </w:r>
      <w:hyperlink r:id="rId11302">
        <w:r>
          <w:rPr>
            <w:color w:val="0000EE"/>
            <w:u w:val="single"/>
          </w:rPr>
          <w:t>Es 34.11</w:t>
        </w:r>
      </w:hyperlink>
      <w:r>
        <w:t>, voir TOB2010 et PDV). Il pourrait également être mentionné dans les listes d'oiseaux rituellement impurs, mais la traduction est incertaine.</w:t>
      </w:r>
    </w:p>
    <w:p>
      <w:pPr>
        <w:pStyle w:val="Heading4"/>
      </w:pPr>
      <w:r>
        <w:t>Grue</w:t>
      </w:r>
    </w:p>
    <w:p>
      <w:r/>
      <w:r>
        <w:t xml:space="preserve">Grands oiseaux échassiers </w:t>
      </w:r>
      <w:r>
        <w:rPr>
          <w:i/>
        </w:rPr>
        <w:t>(Grus grus)</w:t>
      </w:r>
      <w:r>
        <w:t xml:space="preserve"> ressemblant aux cigognes et aux hérons, mais avec des serres plus courtes. Le plumage a un éclat argenté et les plumes de la queue sont ondulées. De grands vols de grues volant en formations en V passent au-dessus de la Terre Sainte pendant la journée chaque automne, en route vers l'Afrique depuis les pays du nord de l'Europe, et à nouveau au printemps lorsqu'elles retournent au nord pour se reproduire. Les vols migratoires peuvent compter jusqu'à deux mille oiseaux. </w:t>
      </w:r>
      <w:hyperlink r:id="rId11310">
        <w:r>
          <w:rPr>
            <w:color w:val="0000EE"/>
            <w:u w:val="single"/>
          </w:rPr>
          <w:t>Jérémie 8.7</w:t>
        </w:r>
      </w:hyperlink>
      <w:r>
        <w:t xml:space="preserve"> fait référence aux habitudes migratoires de la grue.</w:t>
      </w:r>
    </w:p>
    <w:p>
      <w:r/>
      <w:r>
        <w:t xml:space="preserve">L'appel habituel de la grue est mieux décrit comme un beuglement, mais pendant le vol migratoire, elles émettent un son de bavardage qui pourrait être évoqué dans </w:t>
      </w:r>
      <w:hyperlink r:id="rId11323">
        <w:r>
          <w:rPr>
            <w:color w:val="0000EE"/>
            <w:u w:val="single"/>
          </w:rPr>
          <w:t>Ésaïe 38.14</w:t>
        </w:r>
      </w:hyperlink>
      <w:r>
        <w:t>. Les grues ont des voix remarquablement puissantes, leurs appels semblant porter sur des kilomètres. Les groupes migrateurs ont généralement un chef de groupe qui fait les appels.</w:t>
      </w:r>
    </w:p>
    <w:p>
      <w:r/>
      <w:r>
        <w:t>La hauteur d'une grue peut atteindre de 100 à 150 cm. À l'exception de l'autruche, la grue est l'oiseau le plus grand à avoir jamais habité la Terre Sainte. L'envergure d'une grue peut dépasser 230 cm. La couleur générale est gris acier ; la tête et le cou sont noirs avec une bande blanche longitudinale. La grue se nourrit sur terre plutôt que dans les eaux peu profondes. Elle se nourrit principalement d'herbe et de grains, mais peut aussi dévorer des insectes, des serpents, de petits alligators, des grenouilles et des vers, utilisant son long et puissant bec comme un marteau tranchant pour tuer ces créatures.</w:t>
      </w:r>
    </w:p>
    <w:p>
      <w:r/>
      <w:r>
        <w:t>La grue niche généralement dans des endroits solitaires, souvent dans des eaux peu profondes ou à proximité. Son nid est constitué d'une masse de végétation, contenant deux ou trois œufs de couleur claire avec des taches plus foncées.</w:t>
      </w:r>
    </w:p>
    <w:p>
      <w:pPr>
        <w:pStyle w:val="Heading4"/>
      </w:pPr>
      <w:r>
        <w:t>Gypaète barbu</w:t>
      </w:r>
    </w:p>
    <w:p>
      <w:r/>
      <w:r>
        <w:t>Le plus grand des vautours ; moins commun que les autres membres de sa famille. Il est brun grisâtre avec des stries blanches et possède une touffe noire de poils raides sur la zone faciale, ce qui lui vaut le nom de « vautour barbu ». Un autre nom pour lui est « vautour des agneaux ».</w:t>
      </w:r>
    </w:p>
    <w:p>
      <w:r/>
      <w:r>
        <w:t xml:space="preserve">Le gypaète barbu </w:t>
      </w:r>
      <w:r>
        <w:rPr>
          <w:i/>
        </w:rPr>
        <w:t>(Gypaetus barbatus)</w:t>
      </w:r>
      <w:r>
        <w:t xml:space="preserve"> a une manière unique de tuer sa proie : comme son bec n'est pas particulièrement puissant, il emporte sa victime haut dans les airs, puis la laisse tomber sur des rochers.</w:t>
      </w:r>
    </w:p>
    <w:p>
      <w:r/>
      <w:r>
        <w:t>Le gypaète barbu est particulièrement friand de tortues et de moelle osseuse. Après que les chacals et les vautours plus petits ont réduit une carcasse à l'état d'os, le gypaète barbu écrase les os pour obtenir la moelle ou avale les morceaux intacts. C'est pourquoi il est également connu sous le nom d'ossifrage, un mot latin signifiant « casseur d'os ». Le gypaète barbu était impur selon la loi mosaïque (</w:t>
      </w:r>
      <w:hyperlink r:id="rId11324">
        <w:r>
          <w:rPr>
            <w:color w:val="0000EE"/>
            <w:u w:val="single"/>
          </w:rPr>
          <w:t>Lv 11.13</w:t>
        </w:r>
      </w:hyperlink>
      <w:r>
        <w:t xml:space="preserve"> [traduit par « orfraie » dans LSG] ; </w:t>
      </w:r>
      <w:hyperlink r:id="rId11299">
        <w:r>
          <w:rPr>
            <w:color w:val="0000EE"/>
            <w:u w:val="single"/>
          </w:rPr>
          <w:t>Dt 14.13</w:t>
        </w:r>
      </w:hyperlink>
      <w:r>
        <w:t xml:space="preserve"> [traduit par « autour » dans LSG]).</w:t>
      </w:r>
    </w:p>
    <w:p>
      <w:r/>
      <w:r>
        <w:rPr>
          <w:i/>
        </w:rPr>
        <w:t>Voir aussi</w:t>
      </w:r>
      <w:r>
        <w:t xml:space="preserve"> </w:t>
      </w:r>
      <w:r>
        <w:rPr>
          <w:b/>
          <w:u w:val="single"/>
        </w:rPr>
        <w:t>Vautour</w:t>
      </w:r>
      <w:r>
        <w:t xml:space="preserve"> (ci-dessous).</w:t>
      </w:r>
    </w:p>
    <w:p>
      <w:pPr>
        <w:pStyle w:val="Heading4"/>
      </w:pPr>
      <w:r>
        <w:t>Héron</w:t>
      </w:r>
    </w:p>
    <w:p>
      <w:r/>
      <w:r>
        <w:t xml:space="preserve">Oiseau échassier (du genre </w:t>
      </w:r>
      <w:r>
        <w:rPr>
          <w:i/>
        </w:rPr>
        <w:t>Ardea</w:t>
      </w:r>
      <w:r>
        <w:t>) avec un long cou mince et de longues pattes. Il possède une croissance caractéristique en forme de peigne sur le côté intérieur du troisième orteil.</w:t>
      </w:r>
    </w:p>
    <w:p>
      <w:r/>
      <w:r>
        <w:t>Les hérons sont généralement blancs, bleus, verts ou gris. Ils nichent ensemble dans des colonies, et les deux parents apportent de la nourriture aux jeunes. Les hérons se nourrissent de poissons, de petits reptiles et d'insectes, qu'ils avalent d'un seul coup. Les adultes et les jeunes migrent à la fin de l'automne vers des climats chauds du sud. Le héron blanc atteint une longueur de plus d'un mètre, tandis que le héron nain ne mesure qu'environ 50 cm de long.</w:t>
      </w:r>
    </w:p>
    <w:p>
      <w:r/>
      <w:r>
        <w:t>Au moins sept variétés de hérons sont recensées en Terre Sainte. L'ibis blanc, ou héron garde-bœufs (</w:t>
      </w:r>
      <w:r>
        <w:rPr>
          <w:i/>
        </w:rPr>
        <w:t>Buphus russatus</w:t>
      </w:r>
      <w:r>
        <w:t xml:space="preserve">), était probablement l'espèce la plus commune. Le héron pourpré </w:t>
      </w:r>
      <w:r>
        <w:rPr>
          <w:i/>
        </w:rPr>
        <w:t>(Ardea purpureus)</w:t>
      </w:r>
      <w:r>
        <w:t xml:space="preserve"> est un oiseau qui se reproduit en été et que l'on trouve dans toutes les régions de la Terre Sainte où il y a de l'eau stagnante.</w:t>
      </w:r>
    </w:p>
    <w:p>
      <w:r/>
      <w:r>
        <w:t>Le héron cendré (</w:t>
      </w:r>
      <w:r>
        <w:rPr>
          <w:i/>
        </w:rPr>
        <w:t>Ardea cinerea</w:t>
      </w:r>
      <w:r>
        <w:t>) passe l'hiver dans le sud de l'Europe et en Afrique du Nord, migrant vers le nord de l'Europe au début du printemps. En Israël, il construit son nid hivernal près de l'eau, dans les marécages et le long des rives, où il se nourrit de poissons et de grenouilles. Il reste patiemment dans l'eau pendant des heures, puis soudainement, son long bec pointu plonge avec une vitesse fulgurante pour attraper sa proie. Souvent, le héron cendré construit son nid dans un arbre élevé où il peut revenir année après année.</w:t>
      </w:r>
    </w:p>
    <w:p>
      <w:r/>
      <w:r>
        <w:t xml:space="preserve">Selon </w:t>
      </w:r>
      <w:hyperlink r:id="rId11232">
        <w:r>
          <w:rPr>
            <w:color w:val="0000EE"/>
            <w:u w:val="single"/>
          </w:rPr>
          <w:t>Lévitique 11.19</w:t>
        </w:r>
      </w:hyperlink>
      <w:r>
        <w:t xml:space="preserve"> et </w:t>
      </w:r>
      <w:hyperlink r:id="rId11233">
        <w:r>
          <w:rPr>
            <w:color w:val="0000EE"/>
            <w:u w:val="single"/>
          </w:rPr>
          <w:t>Deutéronome 14.18</w:t>
        </w:r>
      </w:hyperlink>
      <w:r>
        <w:t>, le héron était rituellement impur pour les Israélites. Certains experts pensent cependant que ces références concernent le cormoran, mais la plupart estiment qu'elles se réfèrent à l'un des hérons.</w:t>
      </w:r>
    </w:p>
    <w:p>
      <w:r/>
      <w:r>
        <w:rPr>
          <w:i/>
        </w:rPr>
        <w:t>Voir aussi</w:t>
      </w:r>
      <w:r>
        <w:t xml:space="preserve"> </w:t>
      </w:r>
      <w:r>
        <w:rPr>
          <w:b/>
          <w:u w:val="single"/>
        </w:rPr>
        <w:t>Cormoran</w:t>
      </w:r>
      <w:r>
        <w:t xml:space="preserve"> (ci-dessus).</w:t>
      </w:r>
    </w:p>
    <w:p>
      <w:pPr>
        <w:pStyle w:val="Heading4"/>
      </w:pPr>
      <w:r>
        <w:t>Hirondelle</w:t>
      </w:r>
    </w:p>
    <w:p>
      <w:r/>
      <w:r>
        <w:t xml:space="preserve">Petit oiseau presque noir à queue fourchue avec de longues ailes effilées, connu pour son vol gracieux </w:t>
      </w:r>
      <w:r>
        <w:rPr>
          <w:i/>
        </w:rPr>
        <w:t>(Hirundo rustica).</w:t>
      </w:r>
      <w:r>
        <w:t xml:space="preserve"> Les petits pieds faibles sont mal adaptés à la marche. Les hirondelles ressemblent aux martinets par leur forme et leurs habitudes de vie, mais elles sont légèrement plus petites.</w:t>
      </w:r>
    </w:p>
    <w:p>
      <w:r/>
      <w:r>
        <w:t>La grande bouche de l'hirondelle lui permet d'attraper des insectes en vol. Les couleurs varient du brun et bleu au blanc. Les hirondelles nichent souvent dans les bâtiments, une caractéristique remarquée par le psalmiste, qui a comparé la maison d'une hirondelle au temple (</w:t>
      </w:r>
      <w:hyperlink r:id="rId11325">
        <w:r>
          <w:rPr>
            <w:color w:val="0000EE"/>
            <w:u w:val="single"/>
          </w:rPr>
          <w:t>Ps 84.3</w:t>
        </w:r>
      </w:hyperlink>
      <w:r>
        <w:t>).</w:t>
      </w:r>
    </w:p>
    <w:p>
      <w:r/>
      <w:r>
        <w:t>Les hirondelles sont essentiellement résidentes en Israël, tandis que le martinet est un oiseau migrateur connu pour la régularité de son calendrier migratoire. L'« hirondelle » d’</w:t>
      </w:r>
      <w:hyperlink r:id="rId11323">
        <w:r>
          <w:rPr>
            <w:color w:val="0000EE"/>
            <w:u w:val="single"/>
          </w:rPr>
          <w:t>Ésaïe 38.14</w:t>
        </w:r>
      </w:hyperlink>
      <w:r>
        <w:t xml:space="preserve"> se réfère probablement à un martinet, tout comme </w:t>
      </w:r>
      <w:hyperlink r:id="rId11310">
        <w:r>
          <w:rPr>
            <w:color w:val="0000EE"/>
            <w:u w:val="single"/>
          </w:rPr>
          <w:t>Jérémie 8.7</w:t>
        </w:r>
      </w:hyperlink>
      <w:r>
        <w:t xml:space="preserve">, où la fiabilité de l'oiseau est contrastée avec l'irrégularité du peuple de Dieu. </w:t>
      </w:r>
      <w:hyperlink r:id="rId11260">
        <w:r>
          <w:rPr>
            <w:color w:val="0000EE"/>
            <w:u w:val="single"/>
          </w:rPr>
          <w:t>Proverbes 26.2</w:t>
        </w:r>
      </w:hyperlink>
      <w:r>
        <w:t xml:space="preserve"> peut faire référence soit à l'hirondelle, soit au martinet.</w:t>
      </w:r>
    </w:p>
    <w:p>
      <w:r/>
      <w:r>
        <w:rPr>
          <w:i/>
        </w:rPr>
        <w:t>Voir aussi</w:t>
      </w:r>
      <w:r>
        <w:t xml:space="preserve"> </w:t>
      </w:r>
      <w:r>
        <w:rPr>
          <w:b/>
          <w:u w:val="single"/>
        </w:rPr>
        <w:t>Martinet</w:t>
      </w:r>
      <w:r>
        <w:t xml:space="preserve"> (ci-dessous).</w:t>
      </w:r>
    </w:p>
    <w:p>
      <w:pPr>
        <w:pStyle w:val="Heading4"/>
      </w:pPr>
      <w:r>
        <w:t>Huppe fasciée</w:t>
      </w:r>
    </w:p>
    <w:p>
      <w:r/>
      <w:r>
        <w:t>L'un des plus beaux oiseaux de la Terre Sainte (</w:t>
      </w:r>
      <w:r>
        <w:rPr>
          <w:i/>
        </w:rPr>
        <w:t>Upupa epops</w:t>
      </w:r>
      <w:r>
        <w:t>). Il a un plumage aux couleurs vives, une belle crête en forme de couronne qui se dresse lorsque l'oiseau est alarmé, et un long bec mince et courbé. La huppe fasciée rose-brun mesure environ 30 cm de long, avec des bandes noires et blanches sur le dos, la queue et les ailes. Les huppes sont des oiseaux vivant principalement dans le désert.</w:t>
      </w:r>
    </w:p>
    <w:p>
      <w:r/>
      <w:r>
        <w:t>Le nom « huppe » est dérivé du son de l'appel de l'oiseau. Pour émettre ce son, les plumes du cou sont gonflées et la tête est claquée dans l'air. Lorsqu'il est au sol, l'oiseau martèle son bec dans la terre.</w:t>
      </w:r>
    </w:p>
    <w:p>
      <w:r/>
      <w:r>
        <w:t>La huppe arrive en Terre Sainte en février, se reproduit en été et part en septembre. Elle était tenue en haute estime religieuse par les Égyptiens. Elle était considérée comme rituellement impure (</w:t>
      </w:r>
      <w:hyperlink r:id="rId11232">
        <w:r>
          <w:rPr>
            <w:color w:val="0000EE"/>
            <w:u w:val="single"/>
          </w:rPr>
          <w:t>Lv 11.19</w:t>
        </w:r>
      </w:hyperlink>
      <w:r>
        <w:t xml:space="preserve"> ; </w:t>
      </w:r>
      <w:hyperlink r:id="rId11233">
        <w:r>
          <w:rPr>
            <w:color w:val="0000EE"/>
            <w:u w:val="single"/>
          </w:rPr>
          <w:t>Dt 14.18</w:t>
        </w:r>
      </w:hyperlink>
      <w:r>
        <w:t>), probablement parce qu'elle cherche des larves et de petits insectes dans des endroits aussi insalubres que les tas de fumier.</w:t>
      </w:r>
    </w:p>
    <w:p>
      <w:pPr>
        <w:pStyle w:val="Heading4"/>
      </w:pPr>
      <w:r>
        <w:t>Ibis</w:t>
      </w:r>
    </w:p>
    <w:p>
      <w:r/>
      <w:r>
        <w:t>Oiseau échassier (</w:t>
      </w:r>
      <w:r>
        <w:rPr>
          <w:i/>
        </w:rPr>
        <w:t>Threskiornis aethiopica</w:t>
      </w:r>
      <w:r>
        <w:t>) actuellement inconnu en Terre Sainte, mais peut-être présent à l'époque biblique. Il était bien connu dans l'Égypte ancienne, où il était consacré au dieu Thot. Aujourd'hui, il a pratiquement disparu avec la résorption des marais le long du Nil.</w:t>
      </w:r>
    </w:p>
    <w:p>
      <w:r/>
      <w:r>
        <w:t xml:space="preserve">Il y a une question quant à savoir si l'ibis est mentionné dans </w:t>
      </w:r>
      <w:hyperlink r:id="rId11307">
        <w:r>
          <w:rPr>
            <w:color w:val="0000EE"/>
            <w:u w:val="single"/>
          </w:rPr>
          <w:t>Lévitique 11.17</w:t>
        </w:r>
      </w:hyperlink>
      <w:r>
        <w:t xml:space="preserve">, où il est classé comme impur sur le plan cérémoniel. Le même mot hébreu dans </w:t>
      </w:r>
      <w:hyperlink r:id="rId11308">
        <w:r>
          <w:rPr>
            <w:color w:val="0000EE"/>
            <w:u w:val="single"/>
          </w:rPr>
          <w:t>Deutéronome 14.16</w:t>
        </w:r>
      </w:hyperlink>
      <w:r>
        <w:t xml:space="preserve"> et </w:t>
      </w:r>
      <w:hyperlink r:id="rId11302">
        <w:r>
          <w:rPr>
            <w:color w:val="0000EE"/>
            <w:u w:val="single"/>
          </w:rPr>
          <w:t>Ésaïe 34.11</w:t>
        </w:r>
      </w:hyperlink>
      <w:r>
        <w:t xml:space="preserve"> est traduit par « chouette », une traduction préférée par la plupart des experts.</w:t>
      </w:r>
    </w:p>
    <w:p>
      <w:r/>
      <w:r>
        <w:rPr>
          <w:i/>
        </w:rPr>
        <w:t>Voir aussi</w:t>
      </w:r>
      <w:r>
        <w:t xml:space="preserve"> </w:t>
      </w:r>
      <w:r>
        <w:rPr>
          <w:b/>
          <w:u w:val="single"/>
        </w:rPr>
        <w:t>Chouette</w:t>
      </w:r>
      <w:r>
        <w:t xml:space="preserve"> ; </w:t>
      </w:r>
      <w:r>
        <w:rPr>
          <w:b/>
          <w:u w:val="single"/>
        </w:rPr>
        <w:t>Grand Hibou</w:t>
      </w:r>
      <w:r>
        <w:t xml:space="preserve"> (ci-dessus).</w:t>
      </w:r>
    </w:p>
    <w:p>
      <w:pPr>
        <w:pStyle w:val="Heading4"/>
      </w:pPr>
      <w:r>
        <w:t>Martinet</w:t>
      </w:r>
    </w:p>
    <w:p>
      <w:r/>
      <w:r>
        <w:t xml:space="preserve">Petits oiseaux au vol puissant (genre </w:t>
      </w:r>
      <w:r>
        <w:rPr>
          <w:i/>
        </w:rPr>
        <w:t>Apus</w:t>
      </w:r>
      <w:r>
        <w:t>). Comme l'hirondelle, le martinet possède de longues ailes courbées et une queue fourchue, ce qui lui permet d'atteindre une grande vitesse en rasant le sol et en balayant l'air. Un martinet dévore un grand nombre d'insectes nuisibles, les attrapant dans sa bouche en vol. De nombreux martinets construisent leurs nids sur les toits et dans les recoins et fissures des murs de la ville. Leurs nids sont faits de plumes solides cimentées ensemble avec de la salive. D'autres martinets vivent dans des grottes et des fissures de rochers.</w:t>
      </w:r>
    </w:p>
    <w:p>
      <w:r/>
      <w:r>
        <w:t xml:space="preserve">Les martinets communs sont originaires d'Israël, et dans la vallée du Jourdain, ils évoluent en grands troupeaux. </w:t>
      </w:r>
      <w:hyperlink r:id="rId11323">
        <w:r>
          <w:rPr>
            <w:color w:val="0000EE"/>
            <w:u w:val="single"/>
          </w:rPr>
          <w:t>Ésaïe 38.14</w:t>
        </w:r>
      </w:hyperlink>
      <w:r>
        <w:t xml:space="preserve"> (qui parle d'hirondelles dans la version LSG) semble être une référence claire à l'appel plaintif du martinet, car le cri aigu de l'hirondelle n'est pas une comparaison frappante pour le cri d'un roi en détresse. Le martinet a une voix douce et délicate, et son cri pourrait facilement être interprété comme une lamentation mélodieuse.</w:t>
      </w:r>
    </w:p>
    <w:p>
      <w:r/>
      <w:r>
        <w:t xml:space="preserve">Les martinets migrateurs arrivent selon un calendrier précis en Terre Sainte à la fin de l'hiver, et d'immenses volées remplissent les villes de leurs cris. Ainsi, la référence dans </w:t>
      </w:r>
      <w:hyperlink r:id="rId11310">
        <w:r>
          <w:rPr>
            <w:color w:val="0000EE"/>
            <w:u w:val="single"/>
          </w:rPr>
          <w:t>Jérémie 8.7</w:t>
        </w:r>
      </w:hyperlink>
      <w:r>
        <w:t xml:space="preserve"> aux hirondelles, qui sont en grande partie des résidents permanents, désigne probablement les martinets en réalité.</w:t>
      </w:r>
    </w:p>
    <w:p>
      <w:r/>
      <w:r>
        <w:rPr>
          <w:i/>
        </w:rPr>
        <w:t>Voir aussi</w:t>
      </w:r>
      <w:r>
        <w:t xml:space="preserve"> </w:t>
      </w:r>
      <w:r>
        <w:rPr>
          <w:b/>
          <w:u w:val="single"/>
        </w:rPr>
        <w:t>hirondelle</w:t>
      </w:r>
      <w:r>
        <w:t xml:space="preserve"> (ci-dessus).</w:t>
      </w:r>
    </w:p>
    <w:p>
      <w:pPr>
        <w:pStyle w:val="Heading4"/>
      </w:pPr>
      <w:r>
        <w:t>Milan</w:t>
      </w:r>
    </w:p>
    <w:p>
      <w:r/>
      <w:r>
        <w:t>Grand oiseau de proie</w:t>
      </w:r>
      <w:r>
        <w:rPr>
          <w:i/>
        </w:rPr>
        <w:t>.</w:t>
      </w:r>
      <w:r>
        <w:t xml:space="preserve"> La longueur moyenne du milan est d'environ 50 cm. La partie supérieure est généralement sombre, mais le ventre est blanc. Les milans nichent en hauteur dans les arbres et construisent des nids de avec de la végétation, notamment des bâtons. Ils ont rarement plus de deux ou trois petits, qu'ils nourrissent de serpents, de sauterelles, etc. Parfois, les milans sont appelés faucons serpents.</w:t>
      </w:r>
    </w:p>
    <w:p>
      <w:r/>
      <w:r>
        <w:t>Le milan est un oiseau migrateur qui séjourne en Israël pendant l'été, notamment dans les montagnes du sud de la Judée, dans les déserts inaccessibles à l'ouest de la mer Morte et dans le désert de Beer-Schéba.</w:t>
      </w:r>
    </w:p>
    <w:p>
      <w:r/>
      <w:r>
        <w:t xml:space="preserve">Le milan royal </w:t>
      </w:r>
      <w:r>
        <w:rPr>
          <w:i/>
        </w:rPr>
        <w:t>(Milvus milvus)</w:t>
      </w:r>
      <w:r>
        <w:t xml:space="preserve"> est un oiseau de proie de taille moyenne. Les bords de la partie supérieure du bec chevauchent la partie inférieure, formant des ciseaux aiguisés. La queue est fourchue ou fendue, semblable à celle d'un poisson. Son cri puissant inclut souvent des notes sifflantes aiguës. D'autres espèces en Terre Sainte incluent le milan noir </w:t>
      </w:r>
      <w:r>
        <w:rPr>
          <w:i/>
        </w:rPr>
        <w:t>(Milvus migrans)</w:t>
      </w:r>
      <w:r>
        <w:t xml:space="preserve"> et le milan à ailes noires </w:t>
      </w:r>
      <w:r>
        <w:rPr>
          <w:i/>
        </w:rPr>
        <w:t>(Elanus caeruleus)</w:t>
      </w:r>
      <w:r>
        <w:t>.</w:t>
      </w:r>
    </w:p>
    <w:p>
      <w:r/>
      <w:r>
        <w:t>Le milan est répertorié parmi les oiseaux impurs dans la loi mosaïque (</w:t>
      </w:r>
      <w:hyperlink r:id="rId11312">
        <w:r>
          <w:rPr>
            <w:color w:val="0000EE"/>
            <w:u w:val="single"/>
          </w:rPr>
          <w:t>Lv 11.14</w:t>
        </w:r>
      </w:hyperlink>
      <w:r>
        <w:t xml:space="preserve"> ; </w:t>
      </w:r>
      <w:hyperlink r:id="rId11299">
        <w:r>
          <w:rPr>
            <w:color w:val="0000EE"/>
            <w:u w:val="single"/>
          </w:rPr>
          <w:t>Dt 14.13</w:t>
        </w:r>
      </w:hyperlink>
      <w:r>
        <w:t>), mais l'identification précise des oiseaux mentionnés est contestée par certains experts et traducteurs.</w:t>
      </w:r>
    </w:p>
    <w:p>
      <w:r/>
      <w:r>
        <w:rPr>
          <w:i/>
        </w:rPr>
        <w:t>Voir aussi</w:t>
      </w:r>
      <w:r>
        <w:t xml:space="preserve"> </w:t>
      </w:r>
      <w:r>
        <w:rPr>
          <w:b/>
          <w:u w:val="single"/>
        </w:rPr>
        <w:t>Buse</w:t>
      </w:r>
      <w:r>
        <w:t xml:space="preserve"> ; </w:t>
      </w:r>
      <w:r>
        <w:rPr>
          <w:b/>
          <w:u w:val="single"/>
        </w:rPr>
        <w:t>Crécerelle ou Faucon</w:t>
      </w:r>
      <w:r>
        <w:t xml:space="preserve"> (ci-dessus).</w:t>
      </w:r>
    </w:p>
    <w:p>
      <w:pPr>
        <w:pStyle w:val="Heading4"/>
      </w:pPr>
      <w:r>
        <w:t>Moineau</w:t>
      </w:r>
    </w:p>
    <w:p>
      <w:r/>
      <w:r>
        <w:t>Petit oiseau de la famille des fringillidés ou de la famille des tisserins (Ploceidae), considéré comme ayant peu de valeur. Le mot hébreu est un terme général pour « oiseau » et se réfère à tout petit oiseau tel qu'un moineau, un pinson, une grive ou un étourneau. En traduction, cependant, le mot se réfère parfois au moineau domestique commun, ou passereau (</w:t>
      </w:r>
      <w:r>
        <w:rPr>
          <w:i/>
        </w:rPr>
        <w:t>Passer domestica</w:t>
      </w:r>
      <w:r>
        <w:t xml:space="preserve"> ; </w:t>
      </w:r>
      <w:hyperlink r:id="rId11325">
        <w:r>
          <w:rPr>
            <w:color w:val="0000EE"/>
            <w:u w:val="single"/>
          </w:rPr>
          <w:t>Ps 84.3</w:t>
        </w:r>
      </w:hyperlink>
      <w:r>
        <w:t xml:space="preserve"> ; </w:t>
      </w:r>
      <w:hyperlink r:id="rId11260">
        <w:r>
          <w:rPr>
            <w:color w:val="0000EE"/>
            <w:u w:val="single"/>
          </w:rPr>
          <w:t>Pr 26.2</w:t>
        </w:r>
      </w:hyperlink>
      <w:r>
        <w:t>).</w:t>
      </w:r>
    </w:p>
    <w:p>
      <w:r/>
      <w:r>
        <w:t>Terne en couleur avec une gorge noire, le moineau domestique mâle est une créature bruyante et énergique. Le nid, lorsqu'il est construit dans des endroits ouverts, possède une ouverture sur le côté et est fait de presque tout matériau disponible. Les moineaux nichent également dans des endroits abrités, dans des habitations, des boîtes ou des trous dans les arbres. Ils pondent de quatre à sept œufs.</w:t>
      </w:r>
    </w:p>
    <w:p>
      <w:r/>
      <w:r>
        <w:t>Le moineau domestique était connu dans la Grèce antique et en Égypte. Là-bas, il avait la réputation d'envahir les champs en grandes nuées et de picorer les graines. C'est un résident permanent de la Terre sainte.</w:t>
      </w:r>
    </w:p>
    <w:p>
      <w:r/>
      <w:r>
        <w:t>Le moineau est prolifique et vit en étroite association avec les humains. Il était considéré comme rituellement pur. Les moineaux étaient vendus à bas prix dans les pays où ils étaient commercialisés (</w:t>
      </w:r>
      <w:hyperlink r:id="rId11235">
        <w:r>
          <w:rPr>
            <w:color w:val="0000EE"/>
            <w:u w:val="single"/>
          </w:rPr>
          <w:t>Mt 10.29</w:t>
        </w:r>
      </w:hyperlink>
      <w:r>
        <w:t xml:space="preserve"> ; </w:t>
      </w:r>
      <w:hyperlink r:id="rId11326">
        <w:r>
          <w:rPr>
            <w:color w:val="0000EE"/>
            <w:u w:val="single"/>
          </w:rPr>
          <w:t>Lc 12.6</w:t>
        </w:r>
      </w:hyperlink>
      <w:r>
        <w:t>). Aujourd'hui, dans les marchés du Proche-Orient, des garçons proposent des moineaux vivants à la vente. Attachés ensemble par groupes de quatre à six par des ficelles attachées à une patte, les oiseaux volent au-dessus des têtes des garçons. Il semblerait qu'un tel spectacle était également courant à l'époque du Nouveau Testament.</w:t>
      </w:r>
    </w:p>
    <w:p>
      <w:pPr>
        <w:pStyle w:val="Heading4"/>
      </w:pPr>
      <w:r>
        <w:t>Mouette</w:t>
      </w:r>
    </w:p>
    <w:p>
      <w:r/>
      <w:r>
        <w:t>Goélands robustes, principalement charognards (famille des Laridés), comprennent plusieurs espèces vivant le long de la côte de la Terre Sainte. Ils ont généralement le dos gris, la tête et le dessous blancs, ainsi que les extrémités des ailes noires. Leur bec élancé se termine par une courbe vers le bas.</w:t>
      </w:r>
    </w:p>
    <w:p>
      <w:r/>
      <w:r>
        <w:t>Les mouettes peuvent mesurer de 20 à 75 centimètres de long. De nombreuses espèces migrent, parcourant de longues distances grâce à leur remarquable capacité de vol. Les mouettes peuvent également nager facilement grâce à leurs pieds palmés. Leur voix ressemble à un hurlement ou un cri strident. Pendant la saison de nidification, beaucoup nichent ensemble dans n'importe quel endroit disponible, comme une falaise ou un arbre. Le mâle et la femelle incubent et s'occupent des jeunes.</w:t>
      </w:r>
    </w:p>
    <w:p>
      <w:r/>
      <w:r>
        <w:t>Parce que les mouettes mangent presque n'importe quoi, elles sont répertoriées comme des oiseaux rituellement impurs (</w:t>
      </w:r>
      <w:hyperlink r:id="rId11290">
        <w:r>
          <w:rPr>
            <w:color w:val="0000EE"/>
            <w:u w:val="single"/>
          </w:rPr>
          <w:t>Lv 11.16</w:t>
        </w:r>
      </w:hyperlink>
      <w:r>
        <w:t xml:space="preserve"> ; </w:t>
      </w:r>
      <w:hyperlink r:id="rId11291">
        <w:r>
          <w:rPr>
            <w:color w:val="0000EE"/>
            <w:u w:val="single"/>
          </w:rPr>
          <w:t>Dt 14.15</w:t>
        </w:r>
      </w:hyperlink>
      <w:r>
        <w:t>). Certains commentateurs pensent que ces passages se réfèrent à un hibou ou au coucou et non à la mouette.</w:t>
      </w:r>
    </w:p>
    <w:p>
      <w:r/>
      <w:r>
        <w:rPr>
          <w:i/>
        </w:rPr>
        <w:t>Voir aussi</w:t>
      </w:r>
      <w:r>
        <w:t xml:space="preserve"> </w:t>
      </w:r>
      <w:r>
        <w:rPr>
          <w:b/>
          <w:u w:val="single"/>
        </w:rPr>
        <w:t>Coucou</w:t>
      </w:r>
      <w:r>
        <w:t xml:space="preserve"> (ci-dessus).</w:t>
      </w:r>
    </w:p>
    <w:p>
      <w:pPr>
        <w:pStyle w:val="Heading4"/>
      </w:pPr>
      <w:r>
        <w:t>Oie</w:t>
      </w:r>
    </w:p>
    <w:p>
      <w:r/>
      <w:r>
        <w:t xml:space="preserve">Oiseaux aquatiques au long cou et aux pieds palmés, dotés de plumes imperméables (genre </w:t>
      </w:r>
      <w:r>
        <w:rPr>
          <w:i/>
        </w:rPr>
        <w:t>Anser</w:t>
      </w:r>
      <w:r>
        <w:t>). Les oies domestiques étaient connues des Grecs à l'époque d'Homère, puisqu'elles sont mentionnées dans l'</w:t>
      </w:r>
      <w:r>
        <w:rPr>
          <w:i/>
        </w:rPr>
        <w:t>Odyssée</w:t>
      </w:r>
      <w:r>
        <w:t>. Elles ont été domestiquées en Égypte peut-être dès l'Ancien Empire (vers 2 500 av. J.‑C.) et certainement à l'époque du Nouvel Empire (vers 1 500–1 100 av. J.‑C.). Elles étaient utilisées pour la nourriture et le sacrifice. L'élevage des oies était répandu en Canaan à l'époque biblique ; des sculptures en ivoire du 13e ou 12e siècle av. J.‑C. montrant des oies ont été trouvées lors de fouilles à Meguiddo en Israël.</w:t>
      </w:r>
    </w:p>
    <w:p>
      <w:r/>
      <w:r>
        <w:t>De nombreuses espèces d'oies passent la majeure partie de leur vie sur terre, même si ce sont des oiseaux aquatiques ; certaines construisent même leurs nids dans les arbres. Les oies sauvages ont tendance à habiter les plaines et les prairies plutôt que les terrains montagneux.</w:t>
      </w:r>
    </w:p>
    <w:p>
      <w:r/>
      <w:r>
        <w:t xml:space="preserve">Les oies ont peut-être orné la table du roi Salomon. Dans </w:t>
      </w:r>
      <w:hyperlink r:id="rId2417">
        <w:r>
          <w:rPr>
            <w:color w:val="0000EE"/>
            <w:u w:val="single"/>
          </w:rPr>
          <w:t>1</w:t>
        </w:r>
      </w:hyperlink>
      <w:r>
        <w:t xml:space="preserve"> </w:t>
      </w:r>
      <w:hyperlink r:id="rId2417">
        <w:r>
          <w:rPr>
            <w:color w:val="0000EE"/>
            <w:u w:val="single"/>
          </w:rPr>
          <w:t>Rois 4.23</w:t>
        </w:r>
      </w:hyperlink>
      <w:r>
        <w:t>, elles sont mentionnées comme des « volailles engraissées », un terme qui peut également se référer aux canards, cygnes, pintades, pigeons ou autres oiseaux domestiques comestibles.</w:t>
      </w:r>
    </w:p>
    <w:p>
      <w:pPr>
        <w:pStyle w:val="Heading4"/>
      </w:pPr>
      <w:r>
        <w:t>Paon</w:t>
      </w:r>
    </w:p>
    <w:p>
      <w:r/>
      <w:r>
        <w:t xml:space="preserve">Membre de la famille des cailles, des perdrix et des faisans, le paon </w:t>
      </w:r>
      <w:r>
        <w:rPr>
          <w:i/>
        </w:rPr>
        <w:t>(Pavo cristatus)</w:t>
      </w:r>
      <w:r>
        <w:t xml:space="preserve"> est en réalité le mâle de l'espèce. Sa compagne est correctement appelée la paonne. Le mâle attire l'attention grâce à une apparence majestueuse et luxueuse, rehaussée par des plumes magnifiques. Sa poitrine est d'un bleu métallique brillant, et chaque plume de la queue présente un œil brillant près de la pointe. Lorsqu'elles sont abaissées, les plumes de la queue exceptionnellement longues forment une trainée derrière le paon sur le sol, lui donnant une longueur totale pouvant atteindre près de 2 m. La trainée peut également être relevé pour former un immense éventail orné d'yeux multicolores. Lors de la parade nuptiale, les plumes sont relevées et vibrent de sorte à produire un bruit distinct de froissement. La paonne, plutôt terne, n'a pas la longue trainée.</w:t>
      </w:r>
    </w:p>
    <w:p>
      <w:r/>
      <w:r>
        <w:t xml:space="preserve">Parce que le paon n'est pas natif de la Terre Sainte, les espèces mentionnées dans </w:t>
      </w:r>
      <w:hyperlink r:id="rId11327">
        <w:r>
          <w:rPr>
            <w:color w:val="0000EE"/>
            <w:u w:val="single"/>
          </w:rPr>
          <w:t>1 Rois 10.22</w:t>
        </w:r>
      </w:hyperlink>
      <w:r>
        <w:t xml:space="preserve"> et </w:t>
      </w:r>
      <w:hyperlink r:id="rId11328">
        <w:r>
          <w:rPr>
            <w:color w:val="0000EE"/>
            <w:u w:val="single"/>
          </w:rPr>
          <w:t>2 Chroniques 9.21</w:t>
        </w:r>
      </w:hyperlink>
      <w:r>
        <w:t xml:space="preserve"> sont considérés par certains experts comme étant des singes du monde antique ou des babouins apportés de l'Afrique orientale, ou encore des pintades de la région du haut Nil. Il existe cependant des preuves que les Phéniciens ont introduit les paons au Pharaon égyptien, peut-être dès l'époque du roi Salomon. Il est possible que les expéditions commerciales de Salomon se soient étendues jusqu'en Inde, où le paon est natif. Le paon était également bien connu des Grecs et des Romains. Alexandre le Grand appréciait sa beauté et interdisait à ses soldats de tuer l'oiseau.</w:t>
      </w:r>
    </w:p>
    <w:p>
      <w:r/>
      <w:r>
        <w:t>Dans l'Église chrétienne primitive, le paon est devenu un symbole de l'immortalité promise par la résurrection du Christ. De plus, les yeux de sa queue en sont venus à représenter l'œil omniscient de Dieu.</w:t>
      </w:r>
    </w:p>
    <w:p>
      <w:pPr>
        <w:pStyle w:val="Heading4"/>
      </w:pPr>
      <w:r>
        <w:t>Pélican</w:t>
      </w:r>
    </w:p>
    <w:p>
      <w:r/>
      <w:r>
        <w:t xml:space="preserve">Le plus grand de tous les oiseaux aquatiques, considérablement plus grand même que le cygne. Le pélican </w:t>
      </w:r>
      <w:r>
        <w:rPr>
          <w:i/>
        </w:rPr>
        <w:t>(Pelecanus onocrotalus)</w:t>
      </w:r>
      <w:r>
        <w:t xml:space="preserve"> mesure généralement environ 130 cm de long avec un bec de 40 cm, dont la partie supérieure est recourbée vers le bas à l'extrémité, facilitant la capture des poissons. La partie inférieure du bec soutient une poche jaune s'étendant dans la gorge. La poche peut contenir jusqu'à 11 l de nourriture (des petits poissons) et d'eau. Les pieds palmés du pélican sont particuliers car ils ont des membranes entre les quatre orteils. Les pélicans sont des nageurs experts ainsi que des volants efficaces. Le corps massif du pélican, son long cou et sa tête relativement petite lui donnent des proportions qui rendent le décollage depuis l'eau difficile. Pour décoller, un pélican doit d'abord battre maladroitement à la surface, frappant l'eau avec ses pattes.</w:t>
      </w:r>
    </w:p>
    <w:p>
      <w:r/>
      <w:r>
        <w:t>Les pélicans volent et nichent en groupes. Les deux sexes s'occupent des jeunes qui éclosent d'un à quatre œufs. Alors que la plupart des oiseaux nourrissent leurs petits en plaçant de la nourriture dans leur bouche, le pélican inverse le processus : le jeune pélican enfonce sa tête et la majeure partie de son corps dans la gorge de sa mère et prélève de la nourriture partiellement digérée du jabot de celle-ci. La profonde pénétration du bec du jeune dans l'œsophage de la mère a conduit les anciens à croire que les jeunes se nourrissaient du sang du sein de la mère, donnant ainsi lieu à une large utilisation du pélican comme symbole de l'expiation du Christ et de la charité en général.</w:t>
      </w:r>
    </w:p>
    <w:p>
      <w:r/>
      <w:r>
        <w:t>Le pélican rosé est blanc, parfois avec une légère teinte rose, et a des plumes noires poussant de l'articulation de l'aile la plus éloignée du corps. Les jambes, la poche et la peau autour des yeux sont jaunes ; le crochet du bec est rouge. Cette espèce peut atteindre jusqu'à 2 m de long avec une envergure allant jusqu'à 2,5 m. Pendant la saison de reproduction, la coloration des zones exposées des jambes et du visage du pélican rosé passe du gris à l'orange vif ou même au rouge. En même temps, les plumes blanches acquièrent une belle teinte rose provenant d'une sécrétion de la glande à huile. L'huile est répartie sur le plumage par l'oiseau lorsqu'il lisse ses plumes.</w:t>
      </w:r>
    </w:p>
    <w:p>
      <w:r/>
      <w:r>
        <w:t>Certains experts se demandent si « pélican » est une traduction appropriée de l'hébreu dans plusieurs versets, croyant plutôt que le mot se réfère à l'un des hiboux, faucons ou vautours. La plupart des traductions incluent le pélican dans les listes d'oiseaux rituellement impurs (</w:t>
      </w:r>
      <w:hyperlink r:id="rId11321">
        <w:r>
          <w:rPr>
            <w:color w:val="0000EE"/>
            <w:u w:val="single"/>
          </w:rPr>
          <w:t>Lv 11.18</w:t>
        </w:r>
      </w:hyperlink>
      <w:r>
        <w:t xml:space="preserve"> ; </w:t>
      </w:r>
      <w:hyperlink r:id="rId11320">
        <w:r>
          <w:rPr>
            <w:color w:val="0000EE"/>
            <w:u w:val="single"/>
          </w:rPr>
          <w:t>Dt 14.17</w:t>
        </w:r>
      </w:hyperlink>
      <w:r>
        <w:t xml:space="preserve">). L'opinion sur les autres références est plus nettement divisée. Certains experts soutiennent que le contexte désertique des versets élimine la possibilité d'un oiseau aquatique comme le pélican (voir </w:t>
      </w:r>
      <w:hyperlink r:id="rId11306">
        <w:r>
          <w:rPr>
            <w:color w:val="0000EE"/>
            <w:u w:val="single"/>
          </w:rPr>
          <w:t>Ps 102.7</w:t>
        </w:r>
      </w:hyperlink>
      <w:r>
        <w:t xml:space="preserve">, « hibou », NFC ; </w:t>
      </w:r>
      <w:hyperlink r:id="rId11302">
        <w:r>
          <w:rPr>
            <w:color w:val="0000EE"/>
            <w:u w:val="single"/>
          </w:rPr>
          <w:t>Es 34.11</w:t>
        </w:r>
      </w:hyperlink>
      <w:r>
        <w:t xml:space="preserve">, « hibou », BDS ; </w:t>
      </w:r>
      <w:hyperlink r:id="rId11303">
        <w:r>
          <w:rPr>
            <w:color w:val="0000EE"/>
            <w:u w:val="single"/>
          </w:rPr>
          <w:t>So 2.14</w:t>
        </w:r>
      </w:hyperlink>
      <w:r>
        <w:t>, « corneille », TOB2010). D'autre part, le pélican rose fréquente les rivières, lacs et marais de la Terre Sainte. Après avoir volé jusqu'à 30 km en mer pour fondre sur les poissons près de la surface, le pélican revient souvent à l'intérieur des terres dans un endroit désert pour digérer son énorme repas. Ainsi, le pélican pourrait être l'oiseau solitaire du désert de ces passages.</w:t>
      </w:r>
    </w:p>
    <w:p>
      <w:pPr>
        <w:pStyle w:val="Heading4"/>
      </w:pPr>
      <w:r>
        <w:t>Perdrix</w:t>
      </w:r>
    </w:p>
    <w:p>
      <w:r/>
      <w:r>
        <w:t xml:space="preserve">L'oiseau de gibier le plus commun en Terre Sainte. Elle ressemble à un poulet dans son anatomie de base, mais elle a un corps moins trapu et une queue plus longue. Deux espèces de perdrix habitent la Terre Sainte : la perdrix des sables </w:t>
      </w:r>
      <w:r>
        <w:rPr>
          <w:i/>
        </w:rPr>
        <w:t>(Ammoperdix heyi)</w:t>
      </w:r>
      <w:r>
        <w:t xml:space="preserve">, trouvée près de la mer Morte, dans la vallée du Jourdain et dans le désert du Sinaï ; et la perdrix choukar </w:t>
      </w:r>
      <w:r>
        <w:rPr>
          <w:i/>
        </w:rPr>
        <w:t>(Alectoris graeca)</w:t>
      </w:r>
      <w:r>
        <w:t>. La perdrix des sables est un oiseau de taille moyenne avec des pattes jaunes. Le mâle a un plumage couleur sable, des plumes de la queue supérieure rayées et barrées de brun, et un dessous châtain et blanc. La femelle est d'un teint grisâtre. La perdrix choukar ressemble à la perdrix rouge commune d'Europe, avec un corps d'environ 40 cm de long. Elle est couverte de plumes aux couleurs belles et éclatantes.</w:t>
      </w:r>
    </w:p>
    <w:p>
      <w:r/>
      <w:r>
        <w:t>La référence biblique (</w:t>
      </w:r>
      <w:hyperlink r:id="rId2418">
        <w:r>
          <w:rPr>
            <w:color w:val="0000EE"/>
            <w:u w:val="single"/>
          </w:rPr>
          <w:t>1 S 26.20</w:t>
        </w:r>
      </w:hyperlink>
      <w:r>
        <w:t xml:space="preserve"> ; probablement la perdrix des sables en raison du contexte géographique) fait allusion à la méthode courante pour la capturer en la poursuivant. Elle était également chassée avec des pièges (voir </w:t>
      </w:r>
      <w:hyperlink r:id="rId2428">
        <w:r>
          <w:rPr>
            <w:color w:val="0000EE"/>
            <w:u w:val="single"/>
          </w:rPr>
          <w:t>Ps 91.3</w:t>
        </w:r>
      </w:hyperlink>
      <w:r>
        <w:t>) ou par des chasseurs se cachant dans un affût. La perdrix, qui court vite, s'épuise rapidement, ce qui permet aux chasseurs de la rattraper et de la tuer. Néanmoins, en courant et en sautant, elle peut gravir des falaises très abruptes. L'oiseau trouve refuge parmi les buissons dans lesquels ses plumes brun-vert se fondent de manière protectrice. Si elle n'était pas une reproductrice aussi prolifique, elle serait probablement en voie de disparition à force d'être chassée pour sa viande.</w:t>
      </w:r>
    </w:p>
    <w:p>
      <w:r/>
      <w:r>
        <w:t>La description biblique de la perdrix rassemblant une couvée qu'elle n'a pas éclose (</w:t>
      </w:r>
      <w:hyperlink r:id="rId11329">
        <w:r>
          <w:rPr>
            <w:color w:val="0000EE"/>
            <w:u w:val="single"/>
          </w:rPr>
          <w:t>Jr 17.11</w:t>
        </w:r>
      </w:hyperlink>
      <w:r>
        <w:t>) semble être basée sur le fait que la poule pond au moins deux couvées d'œufs, une pour elle-même et être couvée par le mâle.</w:t>
      </w:r>
    </w:p>
    <w:p>
      <w:pPr>
        <w:pStyle w:val="Heading4"/>
      </w:pPr>
      <w:r>
        <w:t>Petit-duc</w:t>
      </w:r>
    </w:p>
    <w:p>
      <w:r/>
      <w:r>
        <w:t xml:space="preserve">Le petit-duc </w:t>
      </w:r>
      <w:r>
        <w:rPr>
          <w:i/>
        </w:rPr>
        <w:t>(Otus scops)</w:t>
      </w:r>
      <w:r>
        <w:t xml:space="preserve"> se distingue par deux crêtes en forme de cornes de plumes ressemblant à des cheveux sur sa tête. Il se perche dans une posture inclinée et saute et danse comme une chèvre. Pendant la période de couvaison, le hululement du mâle ressemble à un gémissement. Le petit-duc se nourrit d'insectes, de rongeurs et d'oiseaux. Lors d'invasions de souris ou de criquets, ces hiboux apparaissent en grands groupes et aident à détruire les nuisibles. Ils sont connus pour attaquer les humains qui s'introduisent dans leurs nids. Ce sont des habitants bien connus de l'Eurasie et de l'Afrique.</w:t>
      </w:r>
    </w:p>
    <w:p>
      <w:r/>
      <w:r>
        <w:t xml:space="preserve">Certains experts suggèrent que le Petit-duc est ce à quoi il est référence dans </w:t>
      </w:r>
      <w:hyperlink r:id="rId11330">
        <w:r>
          <w:rPr>
            <w:color w:val="0000EE"/>
            <w:u w:val="single"/>
          </w:rPr>
          <w:t>Ésaïe 34.14</w:t>
        </w:r>
      </w:hyperlink>
      <w:r>
        <w:t>, lorsque le prophète parle du « spectre de la nuit », mais cette traduction fait l'objet d'un débat académique. Selon la mythologie juive traditionnelle, certaines traductions utilisent le mot hébreu (</w:t>
      </w:r>
      <w:r>
        <w:rPr>
          <w:i/>
        </w:rPr>
        <w:t>lilith</w:t>
      </w:r>
      <w:r>
        <w:t>) comme un nom propre. Dans la tradition juive, Lilith était une sorcière-démon qui, avant la création d'Ève, était l'épouse d'Adam. Elle est devenue la mère des démons et était censée attaquer les enfants pendant la nuit ; raison pour laquelle le nom « Lilith » est traduit par « spectre de la nuit » (LSG, COL78) ou encore « démon de la nuit » (NFC). La plupart des érudits favorisant l'interprétation mythique suggèrent cependant qu'Ésaïe utilisait une légende populaire pour évoquer un sentiment de désolation et ne croyait pas lui-même à l'existence de Lilith. D'autres traductions rendent le mot par « chouette nocturne » (BDS).</w:t>
      </w:r>
    </w:p>
    <w:p>
      <w:r/>
      <w:r>
        <w:rPr>
          <w:i/>
        </w:rPr>
        <w:t>Voir aussi</w:t>
      </w:r>
      <w:r>
        <w:t xml:space="preserve"> </w:t>
      </w:r>
      <w:r>
        <w:rPr>
          <w:b/>
          <w:u w:val="single"/>
        </w:rPr>
        <w:t>Chouette</w:t>
      </w:r>
      <w:r>
        <w:t xml:space="preserve"> ; </w:t>
      </w:r>
      <w:r>
        <w:rPr>
          <w:b/>
          <w:u w:val="single"/>
        </w:rPr>
        <w:t>Chouette effraie ou blanche</w:t>
      </w:r>
      <w:r>
        <w:t xml:space="preserve"> (ci-dessus).</w:t>
      </w:r>
    </w:p>
    <w:p>
      <w:pPr>
        <w:pStyle w:val="Heading4"/>
      </w:pPr>
      <w:r>
        <w:t>Pigeon ou colombe</w:t>
      </w:r>
    </w:p>
    <w:p>
      <w:r/>
      <w:r>
        <w:t>Espèces de la famille des pigeons (</w:t>
      </w:r>
      <w:r>
        <w:rPr>
          <w:i/>
        </w:rPr>
        <w:t>Columbidae</w:t>
      </w:r>
      <w:r>
        <w:t>). Dans l'usage courant, les noms « pigeon » et « colombe » sont pratiquement interchangeables. Le pigeon domestique commun, familier aux citadins du monde entier, par exemple, est en réalité un descendant de la colombe sauvage. Les deux noms sont utilisés dans les traductions françaises de la Bible pour traduire le même mot hébreu. Un deuxième mot hébreu est généralement traduit par « tourterelle ». Néanmoins, il semble clair que les anciens Hébreux reconnaissaient des différences entre les espèces de colombes.</w:t>
      </w:r>
    </w:p>
    <w:p>
      <w:r/>
      <w:r>
        <w:t xml:space="preserve">Au moins six espèces de pigeons ou de colombes résident dans l'Israël moderne : le pigeon biset, le pigeon ramier et le pigeon colombin (genre </w:t>
      </w:r>
      <w:r>
        <w:rPr>
          <w:i/>
        </w:rPr>
        <w:t>Columba</w:t>
      </w:r>
      <w:r>
        <w:t xml:space="preserve">), ainsi que la tourterelle, la tourterelle turque et la tourterelle des palmiers (genre </w:t>
      </w:r>
      <w:r>
        <w:rPr>
          <w:i/>
        </w:rPr>
        <w:t>Streptopelia</w:t>
      </w:r>
      <w:r>
        <w:t xml:space="preserve">). Parmi les six, le pigeon biset </w:t>
      </w:r>
      <w:r>
        <w:rPr>
          <w:i/>
        </w:rPr>
        <w:t>(Columba livia)</w:t>
      </w:r>
      <w:r>
        <w:t xml:space="preserve"> et la tourterelle </w:t>
      </w:r>
      <w:r>
        <w:rPr>
          <w:i/>
        </w:rPr>
        <w:t>(Streptopelia turtur)</w:t>
      </w:r>
      <w:r>
        <w:t xml:space="preserve"> semblent être les deux espèces les plus souvent mentionnées dans les Écritures.</w:t>
      </w:r>
    </w:p>
    <w:p>
      <w:r/>
      <w:r>
        <w:t xml:space="preserve">Les pigeons varient en taille de 15 à plus de 30 cm. L'espèce israélienne la plus colorée est le pigeon biset, qui peut être d'un beau gris argenté avec un plumage irisé gris-vert sur les ailes (noté par David, </w:t>
      </w:r>
      <w:hyperlink r:id="rId11331">
        <w:r>
          <w:rPr>
            <w:color w:val="0000EE"/>
            <w:u w:val="single"/>
          </w:rPr>
          <w:t>Ps 68.13</w:t>
        </w:r>
      </w:hyperlink>
      <w:r>
        <w:t xml:space="preserve">). Les petites tourterelles </w:t>
      </w:r>
      <w:r>
        <w:rPr>
          <w:i/>
        </w:rPr>
        <w:t>(Streptopelia)</w:t>
      </w:r>
      <w:r>
        <w:t xml:space="preserve"> sont moins colorées, principalement grises ou fauves avec un demi-collier noirâtre ou à carreaux à l'arrière du cou. Les pigeons ont des cous courts et de petites têtes, des corps dodus et des ailes courtes contrôlées par de puissants muscles qui leur permettent de voler sur de longues distances. Les petites tourterelles ont des queues plus longues.</w:t>
      </w:r>
    </w:p>
    <w:p>
      <w:r/>
      <w:r>
        <w:t>Actuellement, le pigeon biset sauvage se trouve principalement dans la région autour de la mer de Galilée et plus au sud, dans les nombreux ravins menant à la mer Morte. Les pigeons bisets sauvages préfèrent construire leurs nids sur les rochers et les falaises, un fait précisément décrit dans les Écritures (</w:t>
      </w:r>
      <w:hyperlink r:id="rId11332">
        <w:r>
          <w:rPr>
            <w:color w:val="0000EE"/>
            <w:u w:val="single"/>
          </w:rPr>
          <w:t>Ct 2.14</w:t>
        </w:r>
      </w:hyperlink>
      <w:r>
        <w:t xml:space="preserve"> ; </w:t>
      </w:r>
      <w:hyperlink r:id="rId11333">
        <w:r>
          <w:rPr>
            <w:color w:val="0000EE"/>
            <w:u w:val="single"/>
          </w:rPr>
          <w:t>Jr 48.28</w:t>
        </w:r>
      </w:hyperlink>
      <w:r>
        <w:t>). Tous les pigeons d'Israël construisent des nids fragiles avec des morceaux de végétation. Les œufs éclosent deux fois par an. Les pigeons pondent rarement plus de deux œufs. Les jeunes sont soignés dans le nid par les deux parents, qui parcourent les champs en mangeant des graines et des mauvaises herbes. Le jabot de l'adulte contient de la nourriture digérée dans un état laiteux, appelé lait de pigeon, qui peut être régurgité et nourri aux jeunes.</w:t>
      </w:r>
    </w:p>
    <w:p>
      <w:r/>
      <w:r>
        <w:t>Lors de la parade nuptiale, il y a beaucoup de rivalité parmi les mâles des colombes. La danse nuptiale de la tourterelle est une démonstration aérienne impressionnante. L'attention portée à la parade nuptiale, le soin conjoint des jeunes et la sollicitude des parents l'un pour l'autre, observés depuis les temps les plus anciens, ont fait de la colombe l'un des symboles les plus populaires de l'amour et de la paix (</w:t>
      </w:r>
      <w:hyperlink r:id="rId11334">
        <w:r>
          <w:rPr>
            <w:color w:val="0000EE"/>
            <w:u w:val="single"/>
          </w:rPr>
          <w:t>Ct 1.15</w:t>
        </w:r>
      </w:hyperlink>
      <w:r>
        <w:t xml:space="preserve"> ; </w:t>
      </w:r>
      <w:hyperlink r:id="rId11332">
        <w:r>
          <w:rPr>
            <w:color w:val="0000EE"/>
            <w:u w:val="single"/>
          </w:rPr>
          <w:t>2.14</w:t>
        </w:r>
      </w:hyperlink>
      <w:r>
        <w:t xml:space="preserve"> ; </w:t>
      </w:r>
      <w:hyperlink r:id="rId11335">
        <w:r>
          <w:rPr>
            <w:color w:val="0000EE"/>
            <w:u w:val="single"/>
          </w:rPr>
          <w:t>4.1</w:t>
        </w:r>
      </w:hyperlink>
      <w:r>
        <w:t xml:space="preserve"> ; </w:t>
      </w:r>
      <w:hyperlink r:id="rId11336">
        <w:r>
          <w:rPr>
            <w:color w:val="0000EE"/>
            <w:u w:val="single"/>
          </w:rPr>
          <w:t>5.2</w:t>
        </w:r>
      </w:hyperlink>
      <w:r>
        <w:t>).</w:t>
      </w:r>
    </w:p>
    <w:p>
      <w:r/>
      <w:r>
        <w:t>Une distinction majeure entre les pigeons et les tourterelles semble avoir été reconnue par les écrivains anciens. Les pigeons sont des résidents toute l'année et facilement apprivoisés, tandis que les tourterelles sont migratrices. Les tourterelles étaient confinées dans des cages seules ou par paires comme animaux de compagnie ou pour des sacrifices. Les pigeons ont probablement été les premiers oiseaux à être domestiqués, peut-être dès l'époque de Noé (</w:t>
      </w:r>
      <w:hyperlink r:id="rId11337">
        <w:r>
          <w:rPr>
            <w:color w:val="0000EE"/>
            <w:u w:val="single"/>
          </w:rPr>
          <w:t>Gn 8.8–12</w:t>
        </w:r>
      </w:hyperlink>
      <w:r>
        <w:t xml:space="preserve">). Ils étaient représentés sur les premiers monuments égyptiens, et leur comestibilité était mentionnée dans les premiers textes égyptiens. Peu de temps après, les pigeons domestiques étaient considérés comme une preuve de la prospérité d'un foyer. Dans les foyers plus prospères, ils nichaient dans des colombiers en argile moulée façonnés en structures en treillis (d'où les « fenêtres » de </w:t>
      </w:r>
      <w:hyperlink r:id="rId11338">
        <w:r>
          <w:rPr>
            <w:color w:val="0000EE"/>
            <w:u w:val="single"/>
          </w:rPr>
          <w:t>Es 60.8</w:t>
        </w:r>
      </w:hyperlink>
      <w:r>
        <w:t>, NBS).</w:t>
      </w:r>
    </w:p>
    <w:p>
      <w:r/>
      <w:r>
        <w:t>À l'époque du Nouveau Testament, il y avait de nombreux colombiers dans les parcs autour du palais d'Hérode le Grand à Jérusalem. La popularité de la colombe était due non seulement à sa docilité, mais aussi à son attrait en tant que nourriture et en tant que sacrifice acceptable et relativement peu coûteux. La tourterelle pouvait être considérée plus hautement comme un sacrifice en raison de son caractère farouche et de sa disponibilité moindre. Les deux références bibliques aux tourterelles hors d'un contexte sacrificiel se réfèrent à leurs habitudes migratoires et à leur arrivée en Israël au printemps (</w:t>
      </w:r>
      <w:hyperlink r:id="rId11262">
        <w:r>
          <w:rPr>
            <w:color w:val="0000EE"/>
            <w:u w:val="single"/>
          </w:rPr>
          <w:t>Ct 2.12</w:t>
        </w:r>
      </w:hyperlink>
      <w:r>
        <w:t xml:space="preserve"> ; </w:t>
      </w:r>
      <w:hyperlink r:id="rId11310">
        <w:r>
          <w:rPr>
            <w:color w:val="0000EE"/>
            <w:u w:val="single"/>
          </w:rPr>
          <w:t>Jr 8.7</w:t>
        </w:r>
      </w:hyperlink>
      <w:r>
        <w:t xml:space="preserve"> ; voir </w:t>
      </w:r>
      <w:hyperlink r:id="rId11263">
        <w:r>
          <w:rPr>
            <w:color w:val="0000EE"/>
            <w:u w:val="single"/>
          </w:rPr>
          <w:t>Os 11.11</w:t>
        </w:r>
      </w:hyperlink>
      <w:r>
        <w:t>).</w:t>
      </w:r>
    </w:p>
    <w:p>
      <w:r/>
      <w:r>
        <w:t>La plupart des références aux colombes et aux pigeons dans la Bible concernent des déclarations sur les procédures sacrificielles (</w:t>
      </w:r>
      <w:hyperlink r:id="rId11339">
        <w:r>
          <w:rPr>
            <w:color w:val="0000EE"/>
            <w:u w:val="single"/>
          </w:rPr>
          <w:t>Gn 15.7–10</w:t>
        </w:r>
      </w:hyperlink>
      <w:r>
        <w:t xml:space="preserve"> ; </w:t>
      </w:r>
      <w:hyperlink r:id="rId11340">
        <w:r>
          <w:rPr>
            <w:color w:val="0000EE"/>
            <w:u w:val="single"/>
          </w:rPr>
          <w:t>Lv 1.14</w:t>
        </w:r>
      </w:hyperlink>
      <w:r>
        <w:t xml:space="preserve"> ; </w:t>
      </w:r>
      <w:hyperlink r:id="rId11076">
        <w:r>
          <w:rPr>
            <w:color w:val="0000EE"/>
            <w:u w:val="single"/>
          </w:rPr>
          <w:t>5.7</w:t>
        </w:r>
      </w:hyperlink>
      <w:r>
        <w:t xml:space="preserve"> ; </w:t>
      </w:r>
      <w:hyperlink r:id="rId11341">
        <w:r>
          <w:rPr>
            <w:color w:val="0000EE"/>
            <w:u w:val="single"/>
          </w:rPr>
          <w:t>12.6</w:t>
        </w:r>
      </w:hyperlink>
      <w:r>
        <w:t xml:space="preserve"> ; </w:t>
      </w:r>
      <w:hyperlink r:id="rId11240">
        <w:r>
          <w:rPr>
            <w:color w:val="0000EE"/>
            <w:u w:val="single"/>
          </w:rPr>
          <w:t>Nm 6.10</w:t>
        </w:r>
      </w:hyperlink>
      <w:r>
        <w:t xml:space="preserve"> ; </w:t>
      </w:r>
      <w:hyperlink r:id="rId11239">
        <w:r>
          <w:rPr>
            <w:color w:val="0000EE"/>
            <w:u w:val="single"/>
          </w:rPr>
          <w:t>Lc 2.24</w:t>
        </w:r>
      </w:hyperlink>
      <w:r>
        <w:t>). D'autres références, cependant, incluent une variété d'observations et d'usages symboliques de la colombe. Son gémissement guttural était souvent noté (</w:t>
      </w:r>
      <w:hyperlink r:id="rId11323">
        <w:r>
          <w:rPr>
            <w:color w:val="0000EE"/>
            <w:u w:val="single"/>
          </w:rPr>
          <w:t>Es 38.14</w:t>
        </w:r>
      </w:hyperlink>
      <w:r>
        <w:t xml:space="preserve"> ; </w:t>
      </w:r>
      <w:hyperlink r:id="rId11342">
        <w:r>
          <w:rPr>
            <w:color w:val="0000EE"/>
            <w:u w:val="single"/>
          </w:rPr>
          <w:t>59.11</w:t>
        </w:r>
      </w:hyperlink>
      <w:r>
        <w:t xml:space="preserve"> ; </w:t>
      </w:r>
      <w:hyperlink r:id="rId11343">
        <w:r>
          <w:rPr>
            <w:color w:val="0000EE"/>
            <w:u w:val="single"/>
          </w:rPr>
          <w:t>Ez 7.16</w:t>
        </w:r>
      </w:hyperlink>
      <w:r>
        <w:t xml:space="preserve"> ; </w:t>
      </w:r>
      <w:hyperlink r:id="rId11344">
        <w:r>
          <w:rPr>
            <w:color w:val="0000EE"/>
            <w:u w:val="single"/>
          </w:rPr>
          <w:t>Na 2.7</w:t>
        </w:r>
      </w:hyperlink>
      <w:r>
        <w:t>). Sa capacité de vol était bien connue (</w:t>
      </w:r>
      <w:hyperlink r:id="rId11345">
        <w:r>
          <w:rPr>
            <w:color w:val="0000EE"/>
            <w:u w:val="single"/>
          </w:rPr>
          <w:t>Ps 55.6</w:t>
        </w:r>
      </w:hyperlink>
      <w:r>
        <w:t>), tout comme sa beauté (</w:t>
      </w:r>
      <w:hyperlink r:id="rId11334">
        <w:r>
          <w:rPr>
            <w:color w:val="0000EE"/>
            <w:u w:val="single"/>
          </w:rPr>
          <w:t>Ct 1.15</w:t>
        </w:r>
      </w:hyperlink>
      <w:r>
        <w:t xml:space="preserve"> ; </w:t>
      </w:r>
      <w:hyperlink r:id="rId11335">
        <w:r>
          <w:rPr>
            <w:color w:val="0000EE"/>
            <w:u w:val="single"/>
          </w:rPr>
          <w:t>4.1</w:t>
        </w:r>
      </w:hyperlink>
      <w:r>
        <w:t xml:space="preserve"> ; </w:t>
      </w:r>
      <w:hyperlink r:id="rId11346">
        <w:r>
          <w:rPr>
            <w:color w:val="0000EE"/>
            <w:u w:val="single"/>
          </w:rPr>
          <w:t>5.12</w:t>
        </w:r>
      </w:hyperlink>
      <w:r>
        <w:t>), sa douceur et sa fidélité à son partenaire (</w:t>
      </w:r>
      <w:hyperlink r:id="rId11332">
        <w:r>
          <w:rPr>
            <w:color w:val="0000EE"/>
            <w:u w:val="single"/>
          </w:rPr>
          <w:t>Ct 2.14</w:t>
        </w:r>
      </w:hyperlink>
      <w:r>
        <w:t xml:space="preserve"> ; </w:t>
      </w:r>
      <w:hyperlink r:id="rId11336">
        <w:r>
          <w:rPr>
            <w:color w:val="0000EE"/>
            <w:u w:val="single"/>
          </w:rPr>
          <w:t>5.2</w:t>
        </w:r>
      </w:hyperlink>
      <w:r>
        <w:t xml:space="preserve"> ; </w:t>
      </w:r>
      <w:hyperlink r:id="rId11347">
        <w:r>
          <w:rPr>
            <w:color w:val="0000EE"/>
            <w:u w:val="single"/>
          </w:rPr>
          <w:t>6.9</w:t>
        </w:r>
      </w:hyperlink>
      <w:r>
        <w:t>), son affection (</w:t>
      </w:r>
      <w:hyperlink r:id="rId11348">
        <w:r>
          <w:rPr>
            <w:color w:val="0000EE"/>
            <w:u w:val="single"/>
          </w:rPr>
          <w:t>Ps 74.19</w:t>
        </w:r>
      </w:hyperlink>
      <w:r>
        <w:t>) et son innocence (</w:t>
      </w:r>
      <w:hyperlink r:id="rId1823">
        <w:r>
          <w:rPr>
            <w:color w:val="0000EE"/>
            <w:u w:val="single"/>
          </w:rPr>
          <w:t>Mt 10.16</w:t>
        </w:r>
      </w:hyperlink>
      <w:r>
        <w:t xml:space="preserve">). La seule référence négative aux colombes se trouve dans </w:t>
      </w:r>
      <w:hyperlink r:id="rId11349">
        <w:r>
          <w:rPr>
            <w:color w:val="0000EE"/>
            <w:u w:val="single"/>
          </w:rPr>
          <w:t>Osée 7.11</w:t>
        </w:r>
      </w:hyperlink>
      <w:r>
        <w:t>, où elles sont qualifiées d'insensées et stupides, peut-être en raison de leur nature trop confiante.</w:t>
      </w:r>
    </w:p>
    <w:p>
      <w:r/>
      <w:r>
        <w:t>Parmi les références du Nouveau Testament, la plus significative est sans doute la description du Saint-Esprit lors du baptême de Christ comme une colombe descendant du ciel (</w:t>
      </w:r>
      <w:hyperlink r:id="rId8689">
        <w:r>
          <w:rPr>
            <w:color w:val="0000EE"/>
            <w:u w:val="single"/>
          </w:rPr>
          <w:t>Mt 3.16</w:t>
        </w:r>
      </w:hyperlink>
      <w:r>
        <w:t>). La nature aimante de la colombe a naturellement conduit les premiers chrétiens à associer l'image de la colombe au concept du Consolateur. Depuis lors, la colombe est restée le symbole le plus populaire du Saint-Esprit.</w:t>
      </w:r>
    </w:p>
    <w:p>
      <w:pPr>
        <w:pStyle w:val="Heading4"/>
      </w:pPr>
      <w:r>
        <w:t>Poule d’eau</w:t>
      </w:r>
    </w:p>
    <w:p>
      <w:r/>
      <w:r>
        <w:t>Petit oiseau aquatique de la famille des râles. La poule d'eau, répertoriée parmi les oiseaux impurs (</w:t>
      </w:r>
      <w:hyperlink r:id="rId11321">
        <w:r>
          <w:rPr>
            <w:color w:val="0000EE"/>
            <w:u w:val="single"/>
          </w:rPr>
          <w:t>Lv 11.18</w:t>
        </w:r>
      </w:hyperlink>
      <w:r>
        <w:t xml:space="preserve"> ; </w:t>
      </w:r>
      <w:hyperlink r:id="rId11308">
        <w:r>
          <w:rPr>
            <w:color w:val="0000EE"/>
            <w:u w:val="single"/>
          </w:rPr>
          <w:t>Dt 14.16</w:t>
        </w:r>
      </w:hyperlink>
      <w:r>
        <w:t>, traduit par cygne dans la version LSG), pourrait être l'oiseau biblique le plus difficile à identifier. Plusieurs alternatives ont été suggérées, y compris le cygne (LSG) ou l'une des chouettes (NFC, PDV, BDS). La plupart des spécialistes excluent le cygne, car c'est un oiseau végétarien et ne devrait donc pas être considéré comme impur. La chouette reste une possibilité.</w:t>
      </w:r>
    </w:p>
    <w:p>
      <w:r/>
      <w:r>
        <w:t xml:space="preserve">La poule d'eau est un râle, dont plusieurs espèces habitent Israël. L'une de ces espèces est la talève sultane </w:t>
      </w:r>
      <w:r>
        <w:rPr>
          <w:i/>
        </w:rPr>
        <w:t>(Porphyrio porphyrio).</w:t>
      </w:r>
      <w:r>
        <w:t xml:space="preserve"> Les râles sont des oiseaux très minces, variant de 15 à 50 cm de longueur. Ils vivent dans les marais, où ils consomment une grande variété de matières animales et végétales, ce qui les rend candidats à l'inclusion dans les listes mosaïques des animaux impurs.</w:t>
      </w:r>
    </w:p>
    <w:p>
      <w:pPr>
        <w:pStyle w:val="Heading4"/>
      </w:pPr>
      <w:r>
        <w:t>Vautour</w:t>
      </w:r>
    </w:p>
    <w:p>
      <w:r/>
      <w:r>
        <w:t>Sous-famille (Aegypiinae) de la famille des faucons (Accipitridae). Chacune des quatre espèces de vautours du monde antique se trouve en Terre Sainte : le vautour percnoptère, le vautour fauve, le vautour moine et le gypaète barbu. Ces oiseaux varient en taille, du vautour percnoptère de 60 cm au gigantesque gypaète barbu, le plus grand de tous les oiseaux volants en Terre Sainte.</w:t>
      </w:r>
    </w:p>
    <w:p>
      <w:r/>
      <w:r>
        <w:t>La plupart des vautours sont bruns ou noirs, avec un petit cou et un bec court et crochu qui leur permet de déchirer la chair des animaux morts qu'ils affectionnent. Tous les vautours, sauf le gypaète, ont la tête et le cou nus ou recouverts de duvet, ce qui leur permet de pénétrer profondément dans une carcasse sans abîmer leur plumage. Une excellente vue permet à un vautour de repérer une carcasse depuis une position élevée en vol plané. Compte tenu de l'état de décomposition de la plupart de leur nourriture, le mauvais odorat d'un vautour peut être une limitation chanceuse. Les vautours nichent dans n'importe quel endroit pratique ; les deux parents s'occupent des jeunes.</w:t>
      </w:r>
    </w:p>
    <w:p>
      <w:r/>
      <w:r>
        <w:t xml:space="preserve">Le mot hébreu habituellement traduit par « aigle » dans l'Ancien Testament pourrait avoir été un terme général pour désigner tous les grands oiseaux de proie, y compris les vautours. Ainsi, de nombreux passages concernant les aigles peuvent se référer soit à l'aigle, soit au vautour (voir </w:t>
      </w:r>
      <w:hyperlink r:id="rId11324">
        <w:r>
          <w:rPr>
            <w:color w:val="0000EE"/>
            <w:u w:val="single"/>
          </w:rPr>
          <w:t>Lv 11.13</w:t>
        </w:r>
      </w:hyperlink>
      <w:r>
        <w:t xml:space="preserve"> ; </w:t>
      </w:r>
      <w:hyperlink r:id="rId11350">
        <w:r>
          <w:rPr>
            <w:color w:val="0000EE"/>
            <w:u w:val="single"/>
          </w:rPr>
          <w:t>Dt 14.12</w:t>
        </w:r>
      </w:hyperlink>
      <w:r>
        <w:t>). Ces passages incluent des références aux habitudes de nidification (</w:t>
      </w:r>
      <w:hyperlink r:id="rId11282">
        <w:r>
          <w:rPr>
            <w:color w:val="0000EE"/>
            <w:u w:val="single"/>
          </w:rPr>
          <w:t>Jb 39.27–28</w:t>
        </w:r>
      </w:hyperlink>
      <w:r>
        <w:t xml:space="preserve"> ; </w:t>
      </w:r>
      <w:hyperlink r:id="rId11281">
        <w:r>
          <w:rPr>
            <w:color w:val="0000EE"/>
            <w:u w:val="single"/>
          </w:rPr>
          <w:t>Jr 49.16</w:t>
        </w:r>
      </w:hyperlink>
      <w:r>
        <w:t xml:space="preserve"> ; </w:t>
      </w:r>
      <w:hyperlink r:id="rId11283">
        <w:r>
          <w:rPr>
            <w:color w:val="0000EE"/>
            <w:u w:val="single"/>
          </w:rPr>
          <w:t>Ab 1.4</w:t>
        </w:r>
      </w:hyperlink>
      <w:r>
        <w:t>), au soin des oisillons (</w:t>
      </w:r>
      <w:hyperlink r:id="rId11285">
        <w:r>
          <w:rPr>
            <w:color w:val="0000EE"/>
            <w:u w:val="single"/>
          </w:rPr>
          <w:t>Dt 32.11</w:t>
        </w:r>
      </w:hyperlink>
      <w:r>
        <w:t>), à la capacité de vol (</w:t>
      </w:r>
      <w:hyperlink r:id="rId11284">
        <w:r>
          <w:rPr>
            <w:color w:val="0000EE"/>
            <w:u w:val="single"/>
          </w:rPr>
          <w:t>Ex 19.4</w:t>
        </w:r>
      </w:hyperlink>
      <w:r>
        <w:t xml:space="preserve"> ; </w:t>
      </w:r>
      <w:hyperlink r:id="rId11279">
        <w:r>
          <w:rPr>
            <w:color w:val="0000EE"/>
            <w:u w:val="single"/>
          </w:rPr>
          <w:t>Dt 28.49</w:t>
        </w:r>
      </w:hyperlink>
      <w:r>
        <w:t xml:space="preserve"> ; </w:t>
      </w:r>
      <w:hyperlink r:id="rId11351">
        <w:r>
          <w:rPr>
            <w:color w:val="0000EE"/>
            <w:u w:val="single"/>
          </w:rPr>
          <w:t>Jb 9.26</w:t>
        </w:r>
      </w:hyperlink>
      <w:r>
        <w:t xml:space="preserve"> ; </w:t>
      </w:r>
      <w:hyperlink r:id="rId11277">
        <w:r>
          <w:rPr>
            <w:color w:val="0000EE"/>
            <w:u w:val="single"/>
          </w:rPr>
          <w:t>Lm 4.19</w:t>
        </w:r>
      </w:hyperlink>
      <w:r>
        <w:t>), et à l'altitude de vol extrêmement élevée (</w:t>
      </w:r>
      <w:hyperlink r:id="rId11352">
        <w:r>
          <w:rPr>
            <w:color w:val="0000EE"/>
            <w:u w:val="single"/>
          </w:rPr>
          <w:t>Pr 23.5</w:t>
        </w:r>
      </w:hyperlink>
      <w:r>
        <w:t xml:space="preserve"> ; </w:t>
      </w:r>
      <w:hyperlink r:id="rId11353">
        <w:r>
          <w:rPr>
            <w:color w:val="0000EE"/>
            <w:u w:val="single"/>
          </w:rPr>
          <w:t>30.19</w:t>
        </w:r>
      </w:hyperlink>
      <w:r>
        <w:t xml:space="preserve"> ; </w:t>
      </w:r>
      <w:hyperlink r:id="rId11354">
        <w:r>
          <w:rPr>
            <w:color w:val="0000EE"/>
            <w:u w:val="single"/>
          </w:rPr>
          <w:t>Es 40.31</w:t>
        </w:r>
      </w:hyperlink>
      <w:r>
        <w:t>). Malgré les variations entre les traductions, le vautour appartient clairement à la liste des oiseaux impurs en raison de son régime alimentaire nauséabond (</w:t>
      </w:r>
      <w:hyperlink r:id="rId11355">
        <w:r>
          <w:rPr>
            <w:color w:val="0000EE"/>
            <w:u w:val="single"/>
          </w:rPr>
          <w:t>Lv 11.13, 18</w:t>
        </w:r>
      </w:hyperlink>
      <w:r>
        <w:t xml:space="preserve"> ; </w:t>
      </w:r>
      <w:hyperlink r:id="rId11356">
        <w:r>
          <w:rPr>
            <w:color w:val="0000EE"/>
            <w:u w:val="single"/>
          </w:rPr>
          <w:t>Dt 14.12, 17</w:t>
        </w:r>
      </w:hyperlink>
      <w:r>
        <w:t>).</w:t>
      </w:r>
    </w:p>
    <w:p>
      <w:r/>
      <w:r>
        <w:t>Plusieurs références à l'aigle dans la LSG ont été changées en « vautour » dans les traductions modernes. Le changement semble approprié dans les références au vautour comme signe de malheur présent ou imminent (</w:t>
      </w:r>
      <w:hyperlink r:id="rId11277">
        <w:r>
          <w:rPr>
            <w:color w:val="0000EE"/>
            <w:u w:val="single"/>
          </w:rPr>
          <w:t>Lm 4.19</w:t>
        </w:r>
      </w:hyperlink>
      <w:r>
        <w:t xml:space="preserve"> ; </w:t>
      </w:r>
      <w:hyperlink r:id="rId2968">
        <w:r>
          <w:rPr>
            <w:color w:val="0000EE"/>
            <w:u w:val="single"/>
          </w:rPr>
          <w:t>Os 8.1</w:t>
        </w:r>
      </w:hyperlink>
      <w:r>
        <w:t xml:space="preserve">). De même, l'oiseau qui crève les yeux de </w:t>
      </w:r>
      <w:hyperlink r:id="rId4352">
        <w:r>
          <w:rPr>
            <w:color w:val="0000EE"/>
            <w:u w:val="single"/>
          </w:rPr>
          <w:t>Proverbes 30.17</w:t>
        </w:r>
      </w:hyperlink>
      <w:r>
        <w:t xml:space="preserve"> est probablement un vautour. L'expression « chauve comme l'aigle » (</w:t>
      </w:r>
      <w:hyperlink r:id="rId2160">
        <w:r>
          <w:rPr>
            <w:color w:val="0000EE"/>
            <w:u w:val="single"/>
          </w:rPr>
          <w:t>Mi 1.16</w:t>
        </w:r>
      </w:hyperlink>
      <w:r>
        <w:t>) devrait clairement se lire « chauve comme le vautour », puisqu'il n'y a pas d'aigles chauves en Israël et que la plupart des vautours sont chauves. Puisque le vautour, comme l'aigle, était un symbole de souveraineté et de domination dans le Proche-Orient Ancien, certaines divinités étaient représentées comme des vautours. Ainsi, la comparaison d'Ézéchiel des rois de Babylone et d'Égypte à des aigles peut être conçue alternativement comme des comparaisons à des vautours (</w:t>
      </w:r>
      <w:hyperlink r:id="rId11357">
        <w:r>
          <w:rPr>
            <w:color w:val="0000EE"/>
            <w:u w:val="single"/>
          </w:rPr>
          <w:t>Ez 17.3, 7</w:t>
        </w:r>
      </w:hyperlink>
      <w:r>
        <w:t>). La référence de Jésus aux aigles qui se rassemblant autour des cadavres à la fin des temps (</w:t>
      </w:r>
      <w:hyperlink r:id="rId11273">
        <w:r>
          <w:rPr>
            <w:color w:val="0000EE"/>
            <w:u w:val="single"/>
          </w:rPr>
          <w:t>Mt 24.28</w:t>
        </w:r>
      </w:hyperlink>
      <w:r>
        <w:t>) devrait également être révisée en vautours, puisque les aigles sont généralement des mangeurs solitaires, tandis que les vautours se rassemblent généralement autour des charognes.</w:t>
      </w:r>
    </w:p>
    <w:p>
      <w:r/>
      <w:r>
        <w:t xml:space="preserve">Plusieurs références aux vautours sont généralement traduites par « milan » ou « faucon » dans les traductions française (voir les diverses versions de </w:t>
      </w:r>
      <w:hyperlink r:id="rId11312">
        <w:r>
          <w:rPr>
            <w:color w:val="0000EE"/>
            <w:u w:val="single"/>
          </w:rPr>
          <w:t>Lv 11.14</w:t>
        </w:r>
      </w:hyperlink>
      <w:r>
        <w:t xml:space="preserve"> ; </w:t>
      </w:r>
      <w:hyperlink r:id="rId11299">
        <w:r>
          <w:rPr>
            <w:color w:val="0000EE"/>
            <w:u w:val="single"/>
          </w:rPr>
          <w:t>Dt 14.13</w:t>
        </w:r>
      </w:hyperlink>
      <w:r>
        <w:t xml:space="preserve"> ; </w:t>
      </w:r>
      <w:hyperlink r:id="rId11300">
        <w:r>
          <w:rPr>
            <w:color w:val="0000EE"/>
            <w:u w:val="single"/>
          </w:rPr>
          <w:t>Jb 28.7</w:t>
        </w:r>
      </w:hyperlink>
      <w:r>
        <w:t xml:space="preserve"> ; </w:t>
      </w:r>
      <w:hyperlink r:id="rId11358">
        <w:r>
          <w:rPr>
            <w:color w:val="0000EE"/>
            <w:u w:val="single"/>
          </w:rPr>
          <w:t>Es 34.15</w:t>
        </w:r>
      </w:hyperlink>
      <w:r>
        <w:t>).</w:t>
      </w:r>
    </w:p>
    <w:p>
      <w:r/>
      <w:r>
        <w:rPr>
          <w:i/>
        </w:rPr>
        <w:t>Voir aussi</w:t>
      </w:r>
      <w:r>
        <w:t xml:space="preserve"> </w:t>
      </w:r>
      <w:r>
        <w:rPr>
          <w:b/>
          <w:u w:val="single"/>
        </w:rPr>
        <w:t>Aigle</w:t>
      </w:r>
      <w:r>
        <w:t xml:space="preserve"> ; </w:t>
      </w:r>
      <w:r>
        <w:rPr>
          <w:b/>
          <w:u w:val="single"/>
        </w:rPr>
        <w:t>Crécerelle</w:t>
      </w:r>
      <w:r>
        <w:t xml:space="preserve"> ; </w:t>
      </w:r>
      <w:r>
        <w:rPr>
          <w:b/>
          <w:u w:val="single"/>
        </w:rPr>
        <w:t>Milan</w:t>
      </w:r>
      <w:r>
        <w:t xml:space="preserve"> ; </w:t>
      </w:r>
      <w:r>
        <w:rPr>
          <w:b/>
          <w:u w:val="single"/>
        </w:rPr>
        <w:t>Gypaète barbu</w:t>
      </w:r>
      <w:r>
        <w:t xml:space="preserve"> ; </w:t>
      </w:r>
      <w:r>
        <w:rPr>
          <w:b/>
          <w:u w:val="single"/>
        </w:rPr>
        <w:t>Vautour noir ou balbuzard</w:t>
      </w:r>
      <w:r>
        <w:t xml:space="preserve"> ; </w:t>
      </w:r>
      <w:r>
        <w:rPr>
          <w:b/>
          <w:u w:val="single"/>
        </w:rPr>
        <w:t>Vautour égyptien</w:t>
      </w:r>
      <w:r>
        <w:t xml:space="preserve"> ; </w:t>
      </w:r>
      <w:r>
        <w:rPr>
          <w:b/>
          <w:u w:val="single"/>
        </w:rPr>
        <w:t>Vautour griffon</w:t>
      </w:r>
      <w:r>
        <w:t>.</w:t>
      </w:r>
    </w:p>
    <w:p>
      <w:pPr>
        <w:pStyle w:val="Heading4"/>
      </w:pPr>
      <w:r>
        <w:t>Vautour fauve ou griffon</w:t>
      </w:r>
    </w:p>
    <w:p>
      <w:r/>
      <w:r>
        <w:t xml:space="preserve">L'un des plus grands oiseaux volants de la Terre Sainte </w:t>
      </w:r>
      <w:r>
        <w:rPr>
          <w:i/>
        </w:rPr>
        <w:t>(Gyps fulvus)</w:t>
      </w:r>
      <w:r>
        <w:t>. Il y a une génération, le vautour fauve était l'un des oiseaux les plus communs de la Terre Sainte. Aujourd'hui, il est en voie de disparition. Beaucoup ont été tués en mangeant des appâts empoisonnés destinés aux renards et aux chacals. De plus, sa reproduction est limitée : la femelle ne pond qu'un ou deux œufs par an.</w:t>
      </w:r>
    </w:p>
    <w:p>
      <w:r/>
      <w:r>
        <w:t>Le vautour fauve mesure environ 1,20 m de longueur et jusqu'à 3 m d'envergure. Son bec est extrêmement fort, et ses orteils courts sont munis de serres émoussées. C'est un oiseau brun clair avec une tête et un cou jaune pâle presque nus, couverts seulement d'un duvet très fin.</w:t>
      </w:r>
    </w:p>
    <w:p>
      <w:r/>
      <w:r>
        <w:t>Le vautour fauve se nourrit principalement de charognes, mais aussi de criquets et de petites tortues. Il peut se passer de nourriture pendant plusieurs jours sans effets néfastes, mais lorsqu'il rompt son jeûne, il mange en très grande quantité. On le trouve surtout dans la région de la mer de Galilée. La plupart des références bibliques au vautour sont probablement liées au vautour fauve.</w:t>
      </w:r>
    </w:p>
    <w:p>
      <w:r/>
      <w:r>
        <w:rPr>
          <w:i/>
        </w:rPr>
        <w:t>Voir aussi</w:t>
      </w:r>
      <w:r>
        <w:t xml:space="preserve"> </w:t>
      </w:r>
      <w:r>
        <w:rPr>
          <w:b/>
          <w:u w:val="single"/>
        </w:rPr>
        <w:t>Aigle</w:t>
      </w:r>
      <w:r>
        <w:t xml:space="preserve"> ; </w:t>
      </w:r>
      <w:r>
        <w:rPr>
          <w:b/>
          <w:u w:val="single"/>
        </w:rPr>
        <w:t>Vautour</w:t>
      </w:r>
      <w:r>
        <w:t xml:space="preserve"> (ci-dessus).</w:t>
      </w:r>
    </w:p>
    <w:p>
      <w:pPr>
        <w:pStyle w:val="Heading4"/>
      </w:pPr>
      <w:r>
        <w:t>Vautour noir ou balbuzard</w:t>
      </w:r>
    </w:p>
    <w:p>
      <w:r/>
      <w:r>
        <w:t>Carnivore diurne, mesurant à peu près 1 m de long avec une envergure de près de 3 m. Les plumes du vautour noir ou vautour moine (</w:t>
      </w:r>
      <w:r>
        <w:rPr>
          <w:i/>
        </w:rPr>
        <w:t>Aegypius monachus</w:t>
      </w:r>
      <w:r>
        <w:t xml:space="preserve">) sont noires et la tête ainsi que la partie supérieure du cou sont chauves, comme celles des autres charognards. Il niche dans la vallée du Jourdain et semble avoir été abondant à l'époque biblique. Aujourd'hui, il est assez rare. Le vautour noir est probablement l'aigle des mers de </w:t>
      </w:r>
      <w:hyperlink r:id="rId11324">
        <w:r>
          <w:rPr>
            <w:color w:val="0000EE"/>
            <w:u w:val="single"/>
          </w:rPr>
          <w:t>Lévitique 11.13</w:t>
        </w:r>
      </w:hyperlink>
      <w:r>
        <w:t xml:space="preserve"> et </w:t>
      </w:r>
      <w:hyperlink r:id="rId11350">
        <w:r>
          <w:rPr>
            <w:color w:val="0000EE"/>
            <w:u w:val="single"/>
          </w:rPr>
          <w:t>Deutéronome 14.12</w:t>
        </w:r>
      </w:hyperlink>
      <w:r>
        <w:t xml:space="preserve"> (LSG).</w:t>
      </w:r>
    </w:p>
    <w:p>
      <w:r/>
      <w:r>
        <w:rPr>
          <w:i/>
        </w:rPr>
        <w:t>Voir aussi</w:t>
      </w:r>
      <w:r>
        <w:t xml:space="preserve"> </w:t>
      </w:r>
      <w:r>
        <w:rPr>
          <w:b/>
          <w:u w:val="single"/>
        </w:rPr>
        <w:t>Vautour</w:t>
      </w:r>
      <w:r>
        <w:t xml:space="preserve"> (ci-dessus).</w:t>
      </w:r>
    </w:p>
    <w:p>
      <w:pPr>
        <w:pStyle w:val="Heading4"/>
      </w:pPr>
      <w:r>
        <w:t xml:space="preserve">Vautour </w:t>
      </w:r>
      <w:r>
        <w:rPr>
          <w:b/>
        </w:rPr>
        <w:t>percnoptère</w:t>
      </w:r>
    </w:p>
    <w:p>
      <w:r/>
      <w:r>
        <w:t>Aussi connu sous le nom de vautour égyptien, le plumage du vautour percnoptère (</w:t>
      </w:r>
      <w:r>
        <w:rPr>
          <w:i/>
        </w:rPr>
        <w:t>Neophron percnopterus</w:t>
      </w:r>
      <w:r>
        <w:t>) est essentiellement blanc avec une tête nue et un cou jaune. Le vautour percnoptère casse les os laissés par d'autres vautours. Son vol est lent et aisé, et sa voix est un croassement. Mesurant environ 60 cm de longueur, c'est le plus petit de tous les oiseaux nécrophages trouvés en Terre Sainte. Il est possible qu'il soit mentionné dans la liste des oiseaux impurs (</w:t>
      </w:r>
      <w:hyperlink r:id="rId11321">
        <w:r>
          <w:rPr>
            <w:color w:val="0000EE"/>
            <w:u w:val="single"/>
          </w:rPr>
          <w:t>Lv 11.18</w:t>
        </w:r>
      </w:hyperlink>
      <w:r>
        <w:t xml:space="preserve"> ; </w:t>
      </w:r>
      <w:hyperlink r:id="rId11320">
        <w:r>
          <w:rPr>
            <w:color w:val="0000EE"/>
            <w:u w:val="single"/>
          </w:rPr>
          <w:t>Dt 14.17</w:t>
        </w:r>
      </w:hyperlink>
      <w:r>
        <w:t xml:space="preserve">, « cormoran », LSG). </w:t>
      </w:r>
    </w:p>
    <w:p>
      <w:r/>
      <w:r>
        <w:rPr>
          <w:i/>
        </w:rPr>
        <w:t>Voir</w:t>
      </w:r>
      <w:r>
        <w:t xml:space="preserve"> </w:t>
      </w:r>
      <w:r>
        <w:t>Vautour (ci-dessus)</w:t>
      </w:r>
      <w:r>
        <w:t>.</w:t>
      </w:r>
    </w:p>
    <w:p>
      <w:pPr>
        <w:pStyle w:val="Heading4"/>
      </w:pPr>
      <w:r>
        <w:t>Volaille domestique</w:t>
      </w:r>
    </w:p>
    <w:p>
      <w:r/>
      <w:r>
        <w:t xml:space="preserve">La volaille domestiquée </w:t>
      </w:r>
      <w:r>
        <w:rPr>
          <w:i/>
        </w:rPr>
        <w:t>(Gallus gallus domesticus)</w:t>
      </w:r>
      <w:r>
        <w:t xml:space="preserve"> est probablement dérivée du coq sauvage rouge d'Inde. Elle semble avoir été connue déjà à l'époque de l'Ancien Testament (</w:t>
      </w:r>
      <w:hyperlink r:id="rId11359">
        <w:r>
          <w:rPr>
            <w:color w:val="0000EE"/>
            <w:u w:val="single"/>
          </w:rPr>
          <w:t>Pr 30.31</w:t>
        </w:r>
      </w:hyperlink>
      <w:r>
        <w:t xml:space="preserve">, où la référence peut aussi être à un cheval, dépendant de la traduction). Un sceau de Jaazania (voir </w:t>
      </w:r>
      <w:hyperlink r:id="rId11360">
        <w:r>
          <w:rPr>
            <w:color w:val="0000EE"/>
            <w:u w:val="single"/>
          </w:rPr>
          <w:t>2R 25.23</w:t>
        </w:r>
      </w:hyperlink>
      <w:r>
        <w:t>), datant d'environ 600 av. J.‑C., porte l'image d'un coq de combat. Une référence aux volailles à la table de Néhémie, cependant, peut concerner le gibier plutôt que la volaille domestique (</w:t>
      </w:r>
      <w:hyperlink r:id="rId11361">
        <w:r>
          <w:rPr>
            <w:color w:val="0000EE"/>
            <w:u w:val="single"/>
          </w:rPr>
          <w:t>Né 5.18</w:t>
        </w:r>
      </w:hyperlink>
      <w:r>
        <w:t>).</w:t>
      </w:r>
    </w:p>
    <w:p>
      <w:r/>
      <w:r>
        <w:t>La volaille symbolisait la fertilité, et les Juifs portaient un coq et une poule devant les couples de mariés lors des mariages. Le souci maternel des poules rassemblant leurs couvées était familier aux auditeurs de Jésus (</w:t>
      </w:r>
      <w:hyperlink r:id="rId11264">
        <w:r>
          <w:rPr>
            <w:color w:val="0000EE"/>
            <w:u w:val="single"/>
          </w:rPr>
          <w:t>Mt 23.37</w:t>
        </w:r>
      </w:hyperlink>
      <w:r>
        <w:t xml:space="preserve"> ; </w:t>
      </w:r>
      <w:hyperlink r:id="rId11362">
        <w:r>
          <w:rPr>
            <w:color w:val="0000EE"/>
            <w:u w:val="single"/>
          </w:rPr>
          <w:t>Lc 13.34</w:t>
        </w:r>
      </w:hyperlink>
      <w:r>
        <w:t>).</w:t>
      </w:r>
    </w:p>
    <w:p>
      <w:r/>
      <w:r>
        <w:t>Comme les coqs chantent habituellement une heure ou deux avant l'aube, la troisième veille de la nuit, de minuit à 3h00, était connue sous le nom de chant du coq. Selon le Talmud (un commentaire sur la loi juive), il était interdit de garder des poules à Jérusalem à l'époque du Nouveau Testament pour éviter que les insectes et larves qui se développent dans les excréments de poule ne contaminent la chair sacrificielle. Pour cette raison, le coq que Pierre a entendu (</w:t>
      </w:r>
      <w:hyperlink r:id="rId11363">
        <w:r>
          <w:rPr>
            <w:color w:val="0000EE"/>
            <w:u w:val="single"/>
          </w:rPr>
          <w:t>Mt 26.34, 74</w:t>
        </w:r>
      </w:hyperlink>
      <w:r>
        <w:t xml:space="preserve">; </w:t>
      </w:r>
      <w:hyperlink r:id="rId11364">
        <w:r>
          <w:rPr>
            <w:color w:val="0000EE"/>
            <w:u w:val="single"/>
          </w:rPr>
          <w:t>Lc 22.34, 60–61</w:t>
        </w:r>
      </w:hyperlink>
      <w:r>
        <w:t>) appartenait probablement à des Romains vivant là-bas ou à des Juifs qui ne suivaient pas les règlements juifs.</w:t>
      </w:r>
    </w:p>
    <w:p>
      <w:r/>
      <w:r>
        <w:rPr>
          <w:i/>
        </w:rPr>
        <w:t>Voir aussi</w:t>
      </w:r>
      <w:r>
        <w:t xml:space="preserve"> </w:t>
      </w:r>
      <w:r>
        <w:t>Animaux</w:t>
      </w:r>
      <w:r>
        <w:t>.</w:t>
      </w:r>
      <w:r/>
      <w:r/>
    </w:p>
    <w:p>
      <w:r/>
    </w:p>
    <w:p>
      <w:pPr>
        <w:pStyle w:val="Heading2"/>
      </w:pPr>
      <w:r>
        <w:t>Onze, les</w:t>
      </w:r>
      <w:r/>
    </w:p>
    <w:p>
      <w:r/>
      <w:r>
        <w:t>Un nom utilisé pour les disciples de Jésus après la résurrection de Jésus d'entre les morts (</w:t>
      </w:r>
      <w:hyperlink r:id="rId4454">
        <w:r>
          <w:rPr>
            <w:color w:val="0000EE"/>
            <w:u w:val="single"/>
          </w:rPr>
          <w:t>Mc 16.14</w:t>
        </w:r>
      </w:hyperlink>
      <w:r>
        <w:t xml:space="preserve"> ; </w:t>
      </w:r>
      <w:hyperlink r:id="rId11365">
        <w:r>
          <w:rPr>
            <w:color w:val="0000EE"/>
            <w:u w:val="single"/>
          </w:rPr>
          <w:t>Lc 24.9, 33</w:t>
        </w:r>
      </w:hyperlink>
      <w:r>
        <w:t>) et lors de la fête juive de la Pentecôte (</w:t>
      </w:r>
      <w:hyperlink r:id="rId11366">
        <w:r>
          <w:rPr>
            <w:color w:val="0000EE"/>
            <w:u w:val="single"/>
          </w:rPr>
          <w:t>Ac 2.14</w:t>
        </w:r>
      </w:hyperlink>
      <w:r>
        <w:t>). Ce nom a été utilisé après le suicide de Judas Iscariot.</w:t>
      </w:r>
    </w:p>
    <w:p>
      <w:r/>
      <w:r>
        <w:rPr>
          <w:i/>
        </w:rPr>
        <w:t>Voir</w:t>
      </w:r>
      <w:r>
        <w:t xml:space="preserve"> </w:t>
      </w:r>
      <w:r>
        <w:t>Apôtre, apostolat</w:t>
      </w:r>
      <w:r>
        <w:t>.</w:t>
      </w:r>
      <w:r/>
      <w:r/>
    </w:p>
    <w:p>
      <w:r/>
    </w:p>
    <w:p>
      <w:pPr>
        <w:pStyle w:val="Heading2"/>
      </w:pPr>
      <w:r>
        <w:t>Ophir (Lieu)</w:t>
      </w:r>
      <w:r/>
    </w:p>
    <w:p>
      <w:r/>
      <w:r>
        <w:t>Lieu vers lequel Salomon a envoyé une flotte de navires marchands pour rapporter de l'or et toutes sortes de produits précieux et exotiques. La localisation d'Ophir n'est pas certaine ; la plupart des chercheurs le situent dans le sud-ouest de l'Arabie. Il peut y avoir un lien entre le lieu et l'homme nommé Ophir qui apparaît dans la Table des nations comme un des fils de Jokthan (</w:t>
      </w:r>
      <w:hyperlink r:id="rId6217">
        <w:r>
          <w:rPr>
            <w:color w:val="0000EE"/>
            <w:u w:val="single"/>
          </w:rPr>
          <w:t>Gn 10.29</w:t>
        </w:r>
      </w:hyperlink>
      <w:r>
        <w:t xml:space="preserve"> ; voir </w:t>
      </w:r>
      <w:hyperlink r:id="rId6218">
        <w:r>
          <w:rPr>
            <w:color w:val="0000EE"/>
            <w:u w:val="single"/>
          </w:rPr>
          <w:t>1Ch 1.23</w:t>
        </w:r>
      </w:hyperlink>
      <w:r>
        <w:t>), un descendant de Sem. Les noms de Jokthan et de ses fils sont liés aux parties sud et ouest de l'Arabie.</w:t>
      </w:r>
    </w:p>
    <w:p>
      <w:r/>
      <w:hyperlink r:id="rId1088">
        <w:r>
          <w:rPr>
            <w:color w:val="0000EE"/>
            <w:u w:val="single"/>
          </w:rPr>
          <w:t>1 Rois 9.26–28</w:t>
        </w:r>
      </w:hyperlink>
      <w:r>
        <w:t xml:space="preserve"> rapporte que Salomon a construit une flotte de navires marchands à Étsjon-Guéber, près d'Élath sur le golfe d'Aqaba. Hiram, roi de Tyr, fournira des marins pour accompagner ceux de Salomon. Cette expédition reviendra avec quatre-cent-vingt talents d'or pour Salomon. </w:t>
      </w:r>
      <w:hyperlink r:id="rId6742">
        <w:r>
          <w:rPr>
            <w:color w:val="0000EE"/>
            <w:u w:val="single"/>
          </w:rPr>
          <w:t>1 Rois 10.11</w:t>
        </w:r>
      </w:hyperlink>
      <w:r>
        <w:t xml:space="preserve"> ajoute que la flotte de Hiram a rapporté d'Ophir une grande quantité de bois de sandal et de pierres précieuses.</w:t>
      </w:r>
    </w:p>
    <w:p>
      <w:r/>
      <w:r>
        <w:t xml:space="preserve">Plus tard, Josaphat construira des « navires de Tarsis » pour aller à Ophir chercher de l'or, mais les navires seront détruits à Étsjon-Guéber. Ensuite, Achazia, le fils d'Achab d'Israël, proposera d'envoyer ses hommes avec les marins de Juda, mais Josaphat refusera (voir </w:t>
      </w:r>
      <w:hyperlink r:id="rId11367">
        <w:r>
          <w:rPr>
            <w:color w:val="0000EE"/>
            <w:u w:val="single"/>
          </w:rPr>
          <w:t>1R 22.48–49</w:t>
        </w:r>
      </w:hyperlink>
      <w:r>
        <w:t>).</w:t>
      </w:r>
    </w:p>
    <w:p>
      <w:r/>
      <w:r>
        <w:t>Le produit principal d'Ophir était l'or fin. Éliphaz le Thémanite commente que, plutôt que l'or d'Ophir, c'est le Tout-Puissant lui-même qui devrait être l'or de quelqu'un (</w:t>
      </w:r>
      <w:hyperlink r:id="rId11368">
        <w:r>
          <w:rPr>
            <w:color w:val="0000EE"/>
            <w:u w:val="single"/>
          </w:rPr>
          <w:t>Jb 22.24</w:t>
        </w:r>
      </w:hyperlink>
      <w:r>
        <w:t>). Job déclare à son tour que la sagesse est bien plus précieuse que tout l'or d'Ophir (</w:t>
      </w:r>
      <w:hyperlink r:id="rId11369">
        <w:r>
          <w:rPr>
            <w:color w:val="0000EE"/>
            <w:u w:val="single"/>
          </w:rPr>
          <w:t>28.16</w:t>
        </w:r>
      </w:hyperlink>
      <w:r>
        <w:t>). Dans sa description des gloires du roi, le psalmiste décrit sa reine à sa droite comme portant des bijoux fait de l'or le plus fin d'Ophir (</w:t>
      </w:r>
      <w:hyperlink r:id="rId11370">
        <w:r>
          <w:rPr>
            <w:color w:val="0000EE"/>
            <w:u w:val="single"/>
          </w:rPr>
          <w:t>Ps 45.9</w:t>
        </w:r>
      </w:hyperlink>
      <w:r>
        <w:t>).</w:t>
      </w:r>
    </w:p>
    <w:p>
      <w:r/>
      <w:r>
        <w:t xml:space="preserve">Certains suggèrent que les navires de Tarsis mentionnés dans </w:t>
      </w:r>
      <w:hyperlink r:id="rId11327">
        <w:r>
          <w:rPr>
            <w:color w:val="0000EE"/>
            <w:u w:val="single"/>
          </w:rPr>
          <w:t>1 Rois 10.22</w:t>
        </w:r>
      </w:hyperlink>
      <w:r>
        <w:t xml:space="preserve"> étaient ceux qui allaient à Ophir et revenaient tous les trois ans avec de l'or, de l'argent, de l'ivoire, des singes et des paons. Les commerçants apportaient leurs produits (certains venant d'aussi loin que l'Inde), aux ports d'Ophir, où les représentants de Salomon les achetaient.</w:t>
      </w:r>
      <w:r/>
      <w:r/>
    </w:p>
    <w:p>
      <w:r/>
    </w:p>
    <w:p>
      <w:pPr>
        <w:pStyle w:val="Heading2"/>
      </w:pPr>
      <w:r>
        <w:t>Ophir (Personne)</w:t>
      </w:r>
      <w:r/>
    </w:p>
    <w:p>
      <w:r/>
      <w:r>
        <w:t>Fils de Jokthan et descendant de Sem par la lignée d'Arpacschad (</w:t>
      </w:r>
      <w:hyperlink r:id="rId6217">
        <w:r>
          <w:rPr>
            <w:color w:val="0000EE"/>
            <w:u w:val="single"/>
          </w:rPr>
          <w:t>Gn 10.29</w:t>
        </w:r>
      </w:hyperlink>
      <w:r>
        <w:t xml:space="preserve"> ; </w:t>
      </w:r>
      <w:hyperlink r:id="rId6218">
        <w:r>
          <w:rPr>
            <w:color w:val="0000EE"/>
            <w:u w:val="single"/>
          </w:rPr>
          <w:t>1Ch 1.23</w:t>
        </w:r>
      </w:hyperlink>
      <w:r>
        <w:t>).</w:t>
      </w:r>
      <w:r/>
      <w:r/>
    </w:p>
    <w:p>
      <w:r/>
    </w:p>
    <w:p>
      <w:pPr>
        <w:pStyle w:val="Heading2"/>
      </w:pPr>
      <w:r>
        <w:t>Oracle</w:t>
      </w:r>
      <w:r/>
    </w:p>
    <w:p>
      <w:r/>
      <w:r>
        <w:t>Un oracle est un message divin de Dieu transmis par l'intermédiaire d'un porte-parole (comme un prophète, un prêtre ou un roi). Les oracles annoncent généralement des bénédictions, fournissent des instructions ou déclarent des jugements.</w:t>
      </w:r>
    </w:p>
    <w:p>
      <w:r/>
      <w:r>
        <w:t>Lorsque Balak a demandé à Balaam de prononcer une malédiction contre Israël, Balaam a plutôt prononcé un oracle de bénédiction (</w:t>
      </w:r>
      <w:hyperlink r:id="rId11371">
        <w:r>
          <w:rPr>
            <w:color w:val="0000EE"/>
            <w:u w:val="single"/>
          </w:rPr>
          <w:t>Nb 24.3–16</w:t>
        </w:r>
      </w:hyperlink>
      <w:r>
        <w:t xml:space="preserve">). Dieu a instruit Moïse par des « </w:t>
      </w:r>
      <w:r>
        <w:t>oracles vivants</w:t>
      </w:r>
      <w:r>
        <w:t xml:space="preserve"> » (</w:t>
      </w:r>
      <w:hyperlink r:id="rId916">
        <w:r>
          <w:rPr>
            <w:color w:val="0000EE"/>
            <w:u w:val="single"/>
          </w:rPr>
          <w:t>Ac 7.38</w:t>
        </w:r>
      </w:hyperlink>
      <w:r>
        <w:t>). Dieu a confié ces messages au peuple juif (</w:t>
      </w:r>
      <w:hyperlink r:id="rId11372">
        <w:r>
          <w:rPr>
            <w:color w:val="0000EE"/>
            <w:u w:val="single"/>
          </w:rPr>
          <w:t>Rm 3.2</w:t>
        </w:r>
      </w:hyperlink>
      <w:r>
        <w:t>).</w:t>
      </w:r>
    </w:p>
    <w:p>
      <w:r/>
      <w:r>
        <w:t>Le livre des Proverbes contient deux oracles de sagesse : l'un d'Agur, qui était le fils de Jaké (</w:t>
      </w:r>
      <w:hyperlink r:id="rId502">
        <w:r>
          <w:rPr>
            <w:color w:val="0000EE"/>
            <w:u w:val="single"/>
          </w:rPr>
          <w:t>Pr 30.1</w:t>
        </w:r>
      </w:hyperlink>
      <w:r>
        <w:t>), et un autre du roi Lemuel (</w:t>
      </w:r>
      <w:hyperlink r:id="rId9664">
        <w:r>
          <w:rPr>
            <w:color w:val="0000EE"/>
            <w:u w:val="single"/>
          </w:rPr>
          <w:t>Pr 31.1</w:t>
        </w:r>
      </w:hyperlink>
      <w:r>
        <w:t>).</w:t>
      </w:r>
    </w:p>
    <w:p>
      <w:r/>
      <w:r>
        <w:t>La Bible énumère des oracles de jugement prononcés contre les rois Joram d'Israël (</w:t>
      </w:r>
      <w:hyperlink r:id="rId11373">
        <w:r>
          <w:rPr>
            <w:color w:val="0000EE"/>
            <w:u w:val="single"/>
          </w:rPr>
          <w:t>2R 9.25</w:t>
        </w:r>
      </w:hyperlink>
      <w:r>
        <w:t>) et Joas de Juda (</w:t>
      </w:r>
      <w:hyperlink r:id="rId11374">
        <w:r>
          <w:rPr>
            <w:color w:val="0000EE"/>
            <w:u w:val="single"/>
          </w:rPr>
          <w:t>2Ch 24.27</w:t>
        </w:r>
      </w:hyperlink>
      <w:r>
        <w:t>). Les prophètes parlaient souvent d'oracles contre les nations qui faisaient le mal :</w:t>
      </w:r>
    </w:p>
    <w:p>
      <w:pPr>
        <w:pStyle w:val="ListBullet"/>
        <w:spacing w:line="240" w:lineRule="auto"/>
        <w:ind w:left="720"/>
      </w:pPr>
      <w:r/>
      <w:r>
        <w:t>Ésaïe a prononcé des oracles contre Babylone (</w:t>
      </w:r>
      <w:hyperlink r:id="rId9665">
        <w:r>
          <w:rPr>
            <w:color w:val="0000EE"/>
            <w:u w:val="single"/>
          </w:rPr>
          <w:t>Es 13.1</w:t>
        </w:r>
      </w:hyperlink>
      <w:r>
        <w:t xml:space="preserve"> ; </w:t>
      </w:r>
      <w:hyperlink r:id="rId11375">
        <w:r>
          <w:rPr>
            <w:color w:val="0000EE"/>
            <w:u w:val="single"/>
          </w:rPr>
          <w:t>21.1</w:t>
        </w:r>
      </w:hyperlink>
      <w:r>
        <w:t>)</w:t>
      </w:r>
    </w:p>
    <w:p>
      <w:pPr>
        <w:pStyle w:val="ListBullet"/>
        <w:spacing w:line="240" w:lineRule="auto"/>
        <w:ind w:left="720"/>
      </w:pPr>
      <w:r/>
      <w:r>
        <w:t>Ésaïe a prononcé des oracles contre Damas (</w:t>
      </w:r>
      <w:hyperlink r:id="rId3552">
        <w:r>
          <w:rPr>
            <w:color w:val="0000EE"/>
            <w:u w:val="single"/>
          </w:rPr>
          <w:t>17.1</w:t>
        </w:r>
      </w:hyperlink>
      <w:r>
        <w:t>)</w:t>
      </w:r>
    </w:p>
    <w:p>
      <w:pPr>
        <w:pStyle w:val="ListBullet"/>
        <w:spacing w:line="240" w:lineRule="auto"/>
        <w:ind w:left="720"/>
      </w:pPr>
      <w:r/>
      <w:r>
        <w:t>Ésaïe a prononcé des oracles contre l'Égypte (</w:t>
      </w:r>
      <w:hyperlink r:id="rId2482">
        <w:r>
          <w:rPr>
            <w:color w:val="0000EE"/>
            <w:u w:val="single"/>
          </w:rPr>
          <w:t>19.1</w:t>
        </w:r>
      </w:hyperlink>
      <w:r>
        <w:t>)</w:t>
      </w:r>
    </w:p>
    <w:p>
      <w:pPr>
        <w:pStyle w:val="ListBullet"/>
        <w:spacing w:line="240" w:lineRule="auto"/>
        <w:ind w:left="720"/>
      </w:pPr>
      <w:r/>
      <w:r>
        <w:t>Ésaïe a prononcé des oracles contre Jérusalem (</w:t>
      </w:r>
      <w:hyperlink r:id="rId11376">
        <w:r>
          <w:rPr>
            <w:color w:val="0000EE"/>
            <w:u w:val="single"/>
          </w:rPr>
          <w:t>22.1</w:t>
        </w:r>
      </w:hyperlink>
      <w:r>
        <w:t>)</w:t>
      </w:r>
    </w:p>
    <w:p>
      <w:pPr>
        <w:pStyle w:val="ListBullet"/>
        <w:spacing w:line="240" w:lineRule="auto"/>
        <w:ind w:left="720"/>
      </w:pPr>
      <w:r/>
      <w:r>
        <w:t>Ésaïe a prononcé des oracles contre Moab (</w:t>
      </w:r>
      <w:hyperlink r:id="rId11377">
        <w:r>
          <w:rPr>
            <w:color w:val="0000EE"/>
            <w:u w:val="single"/>
          </w:rPr>
          <w:t>15.1</w:t>
        </w:r>
      </w:hyperlink>
      <w:r>
        <w:t>)</w:t>
      </w:r>
    </w:p>
    <w:p>
      <w:pPr>
        <w:pStyle w:val="ListBullet"/>
        <w:spacing w:line="240" w:lineRule="auto"/>
        <w:ind w:left="720"/>
      </w:pPr>
      <w:r/>
      <w:r>
        <w:t>Ésaïe a prononcé des oracles contre la Philistie (</w:t>
      </w:r>
      <w:hyperlink r:id="rId11378">
        <w:r>
          <w:rPr>
            <w:color w:val="0000EE"/>
            <w:u w:val="single"/>
          </w:rPr>
          <w:t>14.28</w:t>
        </w:r>
      </w:hyperlink>
      <w:r>
        <w:t>)</w:t>
      </w:r>
    </w:p>
    <w:p>
      <w:pPr>
        <w:pStyle w:val="ListBullet"/>
        <w:spacing w:line="240" w:lineRule="auto"/>
        <w:ind w:left="720"/>
      </w:pPr>
      <w:r/>
      <w:r>
        <w:t>Ésaïe a prononcé des oracles contre Tyr (</w:t>
      </w:r>
      <w:hyperlink r:id="rId11379">
        <w:r>
          <w:rPr>
            <w:color w:val="0000EE"/>
            <w:u w:val="single"/>
          </w:rPr>
          <w:t>23.1</w:t>
        </w:r>
      </w:hyperlink>
      <w:r>
        <w:t>)</w:t>
      </w:r>
    </w:p>
    <w:p>
      <w:pPr>
        <w:pStyle w:val="ListBullet"/>
        <w:spacing w:line="240" w:lineRule="auto"/>
        <w:ind w:left="720"/>
      </w:pPr>
      <w:r/>
      <w:r>
        <w:t>Nahum a prononcé des oracles contre Ninive (</w:t>
      </w:r>
      <w:hyperlink r:id="rId9666">
        <w:r>
          <w:rPr>
            <w:color w:val="0000EE"/>
            <w:u w:val="single"/>
          </w:rPr>
          <w:t>Na 1.1</w:t>
        </w:r>
      </w:hyperlink>
      <w:r>
        <w:t>)</w:t>
      </w:r>
    </w:p>
    <w:p>
      <w:pPr>
        <w:pStyle w:val="ListBullet"/>
        <w:spacing w:line="240" w:lineRule="auto"/>
        <w:ind w:left="720"/>
      </w:pPr>
      <w:r/>
      <w:r>
        <w:t>Habacuc a prononcé des oracles contre Juda (</w:t>
      </w:r>
      <w:hyperlink r:id="rId9667">
        <w:r>
          <w:rPr>
            <w:color w:val="0000EE"/>
            <w:u w:val="single"/>
          </w:rPr>
          <w:t>Ha 1.1</w:t>
        </w:r>
      </w:hyperlink>
      <w:r>
        <w:t>)</w:t>
      </w:r>
    </w:p>
    <w:p>
      <w:pPr>
        <w:pStyle w:val="ListBullet"/>
        <w:spacing w:line="240" w:lineRule="auto"/>
        <w:ind w:left="720"/>
      </w:pPr>
      <w:r/>
      <w:r>
        <w:t>Malachie a prononcé des oracles contre Israël (</w:t>
      </w:r>
      <w:hyperlink r:id="rId11380">
        <w:r>
          <w:rPr>
            <w:color w:val="0000EE"/>
            <w:u w:val="single"/>
          </w:rPr>
          <w:t>Ml 1.1</w:t>
        </w:r>
      </w:hyperlink>
      <w:r>
        <w:t>)</w:t>
      </w:r>
    </w:p>
    <w:p>
      <w:r/>
      <w:r>
        <w:t>Parfois, de faux prophètes donnaient des oracles faux et trompeurs (</w:t>
      </w:r>
      <w:hyperlink r:id="rId11381">
        <w:r>
          <w:rPr>
            <w:color w:val="0000EE"/>
            <w:u w:val="single"/>
          </w:rPr>
          <w:t>Lm 2.14</w:t>
        </w:r>
      </w:hyperlink>
      <w:r>
        <w:t>).</w:t>
      </w:r>
    </w:p>
    <w:p>
      <w:r/>
      <w:r>
        <w:rPr>
          <w:i/>
        </w:rPr>
        <w:t>Voir aussi</w:t>
      </w:r>
      <w:r>
        <w:t xml:space="preserve"> </w:t>
      </w:r>
      <w:r>
        <w:t>Prophétie</w:t>
      </w:r>
      <w:r>
        <w:t>.</w:t>
      </w:r>
      <w:r/>
      <w:r/>
    </w:p>
    <w:p>
      <w:r/>
    </w:p>
    <w:p>
      <w:pPr>
        <w:pStyle w:val="Heading2"/>
      </w:pPr>
      <w:r>
        <w:t>Orfèvre, argentier</w:t>
      </w:r>
      <w:r/>
    </w:p>
    <w:p>
      <w:r/>
      <w:r>
        <w:t>Un orfèvre est une personne qui travaille l'argent pour fabriquer différents objets. Ces artisans qualifiés prennent du minerai d'argent brut, le nettoient pour éliminer les impuretés, puis le façonnent en de nombreux objets utiles.</w:t>
      </w:r>
    </w:p>
    <w:p>
      <w:r/>
      <w:r>
        <w:t>Dans la Bible, les orfèvres produisaient des instruments de musique comme des trompettes (</w:t>
      </w:r>
      <w:hyperlink r:id="rId6786">
        <w:r>
          <w:rPr>
            <w:color w:val="0000EE"/>
            <w:u w:val="single"/>
          </w:rPr>
          <w:t>Nb 10.2</w:t>
        </w:r>
      </w:hyperlink>
      <w:r>
        <w:t>). Ils fabriquaient également des bases qui soutenaient la structure du tabernacle (</w:t>
      </w:r>
      <w:hyperlink r:id="rId11382">
        <w:r>
          <w:rPr>
            <w:color w:val="0000EE"/>
            <w:u w:val="single"/>
          </w:rPr>
          <w:t>Ex 26.19–25</w:t>
        </w:r>
      </w:hyperlink>
      <w:r>
        <w:t>). Ils façonnaient des objets à utiliser dans le tabernacle et le temple (</w:t>
      </w:r>
      <w:hyperlink r:id="rId11383">
        <w:r>
          <w:rPr>
            <w:color w:val="0000EE"/>
            <w:u w:val="single"/>
          </w:rPr>
          <w:t>Nb 7.13–85</w:t>
        </w:r>
      </w:hyperlink>
      <w:r>
        <w:t>).</w:t>
      </w:r>
    </w:p>
    <w:p>
      <w:r/>
      <w:r>
        <w:t>Les orfèvres fabriquaient également des ornements pour un usage privé. Certains réalisaient aussi des statues religieuses pour les cultes de fausses divinités (</w:t>
      </w:r>
      <w:hyperlink r:id="rId10068">
        <w:r>
          <w:rPr>
            <w:color w:val="0000EE"/>
            <w:u w:val="single"/>
          </w:rPr>
          <w:t>Ex 20.23</w:t>
        </w:r>
      </w:hyperlink>
      <w:r>
        <w:t xml:space="preserve"> ; </w:t>
      </w:r>
      <w:hyperlink r:id="rId5754">
        <w:r>
          <w:rPr>
            <w:color w:val="0000EE"/>
            <w:u w:val="single"/>
          </w:rPr>
          <w:t>Jg 17.4</w:t>
        </w:r>
      </w:hyperlink>
      <w:r>
        <w:t xml:space="preserve">). Démétrius était un orfèvre à Éphèse. Il fabriquait des sanctuaires en argent pour la déesse Diane (également appelée Artémis, </w:t>
      </w:r>
      <w:hyperlink r:id="rId5755">
        <w:r>
          <w:rPr>
            <w:color w:val="0000EE"/>
            <w:u w:val="single"/>
          </w:rPr>
          <w:t>Ac 19.24</w:t>
        </w:r>
      </w:hyperlink>
      <w:r>
        <w:t>). Cette profession était bien attestée à l'époque du Nouveau Testament (</w:t>
      </w:r>
      <w:hyperlink r:id="rId11384">
        <w:r>
          <w:rPr>
            <w:color w:val="0000EE"/>
            <w:u w:val="single"/>
          </w:rPr>
          <w:t>2Tm 2.20</w:t>
        </w:r>
      </w:hyperlink>
      <w:r>
        <w:t xml:space="preserve"> ; </w:t>
      </w:r>
      <w:hyperlink r:id="rId10134">
        <w:r>
          <w:rPr>
            <w:color w:val="0000EE"/>
            <w:u w:val="single"/>
          </w:rPr>
          <w:t>Ap 9.20</w:t>
        </w:r>
      </w:hyperlink>
      <w:r>
        <w:t>).</w:t>
      </w:r>
      <w:r/>
      <w:r/>
    </w:p>
    <w:p>
      <w:r/>
    </w:p>
    <w:p>
      <w:pPr>
        <w:pStyle w:val="Heading2"/>
      </w:pPr>
      <w:r>
        <w:t>Os</w:t>
      </w:r>
      <w:r/>
    </w:p>
    <w:p>
      <w:r/>
      <w:r>
        <w:t>Les os sont les parties dures qui composent le squelette chez les humains et les animaux. Ils conservent leur forme originale longtemps après la mort d'une personne ou d'un animal, même après la décomposition des parties molles du corps. Pour cette raison, les gens associent souvent les os à la mort.</w:t>
      </w:r>
    </w:p>
    <w:p>
      <w:r/>
      <w:r>
        <w:t>Les anciens Israélites croyaient qu'il était très important de traiter les corps des défunts avec respect (</w:t>
      </w:r>
      <w:hyperlink r:id="rId6043">
        <w:r>
          <w:rPr>
            <w:color w:val="0000EE"/>
            <w:u w:val="single"/>
          </w:rPr>
          <w:t>Gn 50.25</w:t>
        </w:r>
      </w:hyperlink>
      <w:r>
        <w:t xml:space="preserve"> ; </w:t>
      </w:r>
      <w:hyperlink r:id="rId11385">
        <w:r>
          <w:rPr>
            <w:color w:val="0000EE"/>
            <w:u w:val="single"/>
          </w:rPr>
          <w:t>1S 31.11–13</w:t>
        </w:r>
      </w:hyperlink>
      <w:r>
        <w:t xml:space="preserve"> ; </w:t>
      </w:r>
      <w:hyperlink r:id="rId11386">
        <w:r>
          <w:rPr>
            <w:color w:val="0000EE"/>
            <w:u w:val="single"/>
          </w:rPr>
          <w:t>2R 23.14–18</w:t>
        </w:r>
      </w:hyperlink>
      <w:r>
        <w:t xml:space="preserve"> ; </w:t>
      </w:r>
      <w:hyperlink r:id="rId11387">
        <w:r>
          <w:rPr>
            <w:color w:val="0000EE"/>
            <w:u w:val="single"/>
          </w:rPr>
          <w:t>Ez 39.14–16</w:t>
        </w:r>
      </w:hyperlink>
      <w:r>
        <w:t xml:space="preserve"> ; </w:t>
      </w:r>
      <w:hyperlink r:id="rId11388">
        <w:r>
          <w:rPr>
            <w:color w:val="0000EE"/>
            <w:u w:val="single"/>
          </w:rPr>
          <w:t>Am 2.1</w:t>
        </w:r>
      </w:hyperlink>
      <w:r>
        <w:t>).</w:t>
      </w:r>
    </w:p>
    <w:p>
      <w:r/>
      <w:r>
        <w:t>Dans le livre d'Ézéchiel, Dieu montre au prophète une vallée remplie d'ossements vieux et desséchés. Ces os représentaient le peuple d'Israël qui avait perdu tout espoir. Mais Dieu promet d'envoyer son Esprit et de donner une nouvelle vie à son peuple, semblable au fait de redonner vie à des os morts (</w:t>
      </w:r>
      <w:hyperlink r:id="rId11389">
        <w:r>
          <w:rPr>
            <w:color w:val="0000EE"/>
            <w:u w:val="single"/>
          </w:rPr>
          <w:t>Ez 37.1–14</w:t>
        </w:r>
      </w:hyperlink>
      <w:r>
        <w:t>). Les os sont en réalité des tissus vivants dans un corps vivant. Ézéchiel parle de la manière d'aider un os fracturé à guérir (</w:t>
      </w:r>
      <w:hyperlink r:id="rId9858">
        <w:r>
          <w:rPr>
            <w:color w:val="0000EE"/>
            <w:u w:val="single"/>
          </w:rPr>
          <w:t>Ez 30.21</w:t>
        </w:r>
      </w:hyperlink>
      <w:r>
        <w:t>).</w:t>
      </w:r>
    </w:p>
    <w:p>
      <w:r/>
      <w:r>
        <w:t>Lorsque les Israélites célébraient la Pâque, ils devaient sacrifier un agneau parfait. L'une des exigences était qu'aucun des os de l'agneau ne devait être brisé (</w:t>
      </w:r>
      <w:hyperlink r:id="rId11390">
        <w:r>
          <w:rPr>
            <w:color w:val="0000EE"/>
            <w:u w:val="single"/>
          </w:rPr>
          <w:t>Ex 12.46</w:t>
        </w:r>
      </w:hyperlink>
      <w:r>
        <w:t xml:space="preserve"> ; </w:t>
      </w:r>
      <w:hyperlink r:id="rId11391">
        <w:r>
          <w:rPr>
            <w:color w:val="0000EE"/>
            <w:u w:val="single"/>
          </w:rPr>
          <w:t>Nb 9.11–12</w:t>
        </w:r>
      </w:hyperlink>
      <w:r>
        <w:t>). Cela devient important dans le Nouveau Testament. Les soldats romains brisaient généralement les jambes des personnes crucifiées pour les faire mourir plus vite. Quand Jésus est mort sur la croix, cependant, ils n'ont pas brisé ses jambes. Cela a accompli ce que l'Ancien Testament avait écrit à propos de Jésus, qui est appelé « l'Agneau de Dieu » (</w:t>
      </w:r>
      <w:hyperlink r:id="rId11392">
        <w:r>
          <w:rPr>
            <w:color w:val="0000EE"/>
            <w:u w:val="single"/>
          </w:rPr>
          <w:t>Ps 34.20</w:t>
        </w:r>
      </w:hyperlink>
      <w:r>
        <w:t xml:space="preserve"> ; </w:t>
      </w:r>
      <w:hyperlink r:id="rId11393">
        <w:r>
          <w:rPr>
            <w:color w:val="0000EE"/>
            <w:u w:val="single"/>
          </w:rPr>
          <w:t>Jn 1.36</w:t>
        </w:r>
      </w:hyperlink>
      <w:r>
        <w:t xml:space="preserve"> ; </w:t>
      </w:r>
      <w:hyperlink r:id="rId11394">
        <w:r>
          <w:rPr>
            <w:color w:val="0000EE"/>
            <w:u w:val="single"/>
          </w:rPr>
          <w:t>19.30–37</w:t>
        </w:r>
      </w:hyperlink>
      <w:r>
        <w:t>).</w:t>
      </w:r>
    </w:p>
    <w:p>
      <w:r/>
      <w:r>
        <w:t>Dans certaines parties de la Bible, les gens parlent des os pour décrire des sentiments forts (</w:t>
      </w:r>
      <w:hyperlink r:id="rId11395">
        <w:r>
          <w:rPr>
            <w:color w:val="0000EE"/>
            <w:u w:val="single"/>
          </w:rPr>
          <w:t>Jb 2.5</w:t>
        </w:r>
      </w:hyperlink>
      <w:r>
        <w:t xml:space="preserve"> ; </w:t>
      </w:r>
      <w:hyperlink r:id="rId6250">
        <w:r>
          <w:rPr>
            <w:color w:val="0000EE"/>
            <w:u w:val="single"/>
          </w:rPr>
          <w:t>19.20</w:t>
        </w:r>
      </w:hyperlink>
      <w:r>
        <w:t xml:space="preserve"> ; </w:t>
      </w:r>
      <w:hyperlink r:id="rId3369">
        <w:r>
          <w:rPr>
            <w:color w:val="0000EE"/>
            <w:u w:val="single"/>
          </w:rPr>
          <w:t>30.30</w:t>
        </w:r>
      </w:hyperlink>
      <w:r>
        <w:t xml:space="preserve">). La Bible utilise également l'expression « chair et os » pour montrer que les gens sont étroitement liés les uns aux autres. On disait que quelqu'un était « notre chair » et « nos os » pour dire qu'il fait partie de notre famille (voir </w:t>
      </w:r>
      <w:hyperlink r:id="rId5163">
        <w:r>
          <w:rPr>
            <w:color w:val="0000EE"/>
            <w:u w:val="single"/>
          </w:rPr>
          <w:t>Gn 2.23</w:t>
        </w:r>
      </w:hyperlink>
      <w:r>
        <w:t xml:space="preserve"> ; </w:t>
      </w:r>
      <w:hyperlink r:id="rId11396">
        <w:r>
          <w:rPr>
            <w:color w:val="0000EE"/>
            <w:u w:val="single"/>
          </w:rPr>
          <w:t>29.14</w:t>
        </w:r>
      </w:hyperlink>
      <w:r>
        <w:t xml:space="preserve"> ; </w:t>
      </w:r>
      <w:hyperlink r:id="rId2285">
        <w:r>
          <w:rPr>
            <w:color w:val="0000EE"/>
            <w:u w:val="single"/>
          </w:rPr>
          <w:t>Jg 9.2</w:t>
        </w:r>
      </w:hyperlink>
      <w:r>
        <w:t>).</w:t>
      </w:r>
      <w:r/>
      <w:r/>
    </w:p>
    <w:p>
      <w:r/>
    </w:p>
    <w:p>
      <w:pPr>
        <w:pStyle w:val="Heading2"/>
      </w:pPr>
      <w:r>
        <w:t>Osée, Livre d'</w:t>
      </w:r>
      <w:r/>
    </w:p>
    <w:p>
      <w:r/>
      <w:r>
        <w:t>Osée est le premier des douze petits prophètes dans l'ordre traditionnel des livres de l'Ancien Testament. Il a été écrit à la fin du 8e siècle av. J.‑C.</w:t>
      </w:r>
    </w:p>
    <w:p>
      <w:r/>
      <w:r>
        <w:t>Osée a prophétisé dans le royaume du Nord d'Israël pendant ses dernières années. Il était le seul prophète à avoir vécu et prêché dans ce royaume. Dieu a choisi Osée pour exposer l'abandon généralisé de la foi et la corruption qui y régnaient. Osée a exhorté ses concitoyens à se repentir (cesser de faire le mal) et à revenir à Dieu. À travers sa propre vie, il a montré l'amour fidèle et indéfectible que Dieu avait pour Israël.</w:t>
      </w:r>
    </w:p>
    <w:p>
      <w:pPr>
        <w:pStyle w:val="Heading3"/>
      </w:pPr>
      <w:r>
        <w:t>Survol</w:t>
      </w:r>
    </w:p>
    <w:p>
      <w:pPr>
        <w:pStyle w:val="ListBullet"/>
        <w:spacing w:line="240" w:lineRule="auto"/>
        <w:ind w:left="720"/>
      </w:pPr>
      <w:r/>
      <w:r>
        <w:t>Qui a écrit le livre d'Osée ?</w:t>
      </w:r>
    </w:p>
    <w:p>
      <w:pPr>
        <w:pStyle w:val="ListBullet"/>
        <w:spacing w:line="240" w:lineRule="auto"/>
        <w:ind w:left="720"/>
      </w:pPr>
      <w:r/>
      <w:r>
        <w:t>Le livre d'Osée est-il authentique ?</w:t>
      </w:r>
    </w:p>
    <w:p>
      <w:pPr>
        <w:pStyle w:val="ListBullet"/>
        <w:spacing w:line="240" w:lineRule="auto"/>
        <w:ind w:left="720"/>
      </w:pPr>
      <w:r/>
      <w:r>
        <w:t>Quelle est l'histoire du livre d'Osée ?</w:t>
      </w:r>
    </w:p>
    <w:p>
      <w:pPr>
        <w:pStyle w:val="ListBullet"/>
        <w:spacing w:line="240" w:lineRule="auto"/>
        <w:ind w:left="720"/>
      </w:pPr>
      <w:r/>
      <w:r>
        <w:t>Quand le livre d'Osée a-t-il été écrit ?</w:t>
      </w:r>
    </w:p>
    <w:p>
      <w:pPr>
        <w:pStyle w:val="ListBullet"/>
        <w:spacing w:line="240" w:lineRule="auto"/>
        <w:ind w:left="720"/>
      </w:pPr>
      <w:r/>
      <w:r>
        <w:t>Où le livre d'Osée a-t-il été écrit ? Pour qui a-t-il été écrit ?</w:t>
      </w:r>
    </w:p>
    <w:p>
      <w:pPr>
        <w:pStyle w:val="ListBullet"/>
        <w:spacing w:line="240" w:lineRule="auto"/>
        <w:ind w:left="720"/>
      </w:pPr>
      <w:r/>
      <w:r>
        <w:t>Pourquoi le livre d'Osée a-t-il été écrit ?</w:t>
      </w:r>
    </w:p>
    <w:p>
      <w:pPr>
        <w:pStyle w:val="ListBullet"/>
        <w:spacing w:line="240" w:lineRule="auto"/>
        <w:ind w:left="720"/>
      </w:pPr>
      <w:r/>
      <w:r>
        <w:t>De quoi parle le livre d'Osée ?</w:t>
      </w:r>
    </w:p>
    <w:p>
      <w:pPr>
        <w:pStyle w:val="ListBullet"/>
        <w:spacing w:line="240" w:lineRule="auto"/>
        <w:ind w:left="720"/>
      </w:pPr>
      <w:r/>
      <w:r>
        <w:t>Quel est le message du livre d'Osée ?</w:t>
      </w:r>
    </w:p>
    <w:p>
      <w:pPr>
        <w:pStyle w:val="Heading3"/>
      </w:pPr>
      <w:r>
        <w:t>Qui a écrit le livre d'Osée ?</w:t>
      </w:r>
    </w:p>
    <w:p>
      <w:r/>
      <w:r>
        <w:t>Le ministère d'Osée a duré au moins trente-huit ans, d'environ 753 à 715 av. J.‑C. Il semblait bien instruit, qu'il ait été paysan ou issu d'une classe aisée en Israël.</w:t>
      </w:r>
    </w:p>
    <w:p>
      <w:r/>
      <w:r>
        <w:t>Le mariage d'Osée avec la prostituée Gomer était sans doute controversé à son époque. Il a également suscité une grande controverse parmi les étudiants et commentateurs de la Bible. Il est préférable de comprendre que Gomer était une prostituée bien connue. Osée a reçu l'ordre de l'épouser comme symbole de l'infidélité d'Israël et de l'amour inébranlable de Dieu pour son alliance.</w:t>
      </w:r>
    </w:p>
    <w:p>
      <w:pPr>
        <w:pStyle w:val="Heading3"/>
      </w:pPr>
      <w:r>
        <w:t>Le Livre d'Osée est-il authentique ?</w:t>
      </w:r>
    </w:p>
    <w:p>
      <w:r/>
      <w:r>
        <w:t>La plupart des chercheurs s'accordent sur l'authenticité et l'unité d'Osée. Cependant, il existe deux domaines de controverse :</w:t>
      </w:r>
    </w:p>
    <w:p>
      <w:pPr>
        <w:pStyle w:val="ListNumber"/>
        <w:spacing w:line="240" w:lineRule="auto"/>
        <w:ind w:left="720"/>
      </w:pPr>
      <w:r/>
      <w:r>
        <w:t xml:space="preserve">Les passages qui mentionnent Juda (voir par exemple </w:t>
      </w:r>
      <w:hyperlink r:id="rId11397">
        <w:r>
          <w:rPr>
            <w:color w:val="0000EE"/>
            <w:u w:val="single"/>
          </w:rPr>
          <w:t>Os 1.1, 7, 11</w:t>
        </w:r>
      </w:hyperlink>
      <w:r>
        <w:t xml:space="preserve"> ; </w:t>
      </w:r>
      <w:hyperlink r:id="rId11398">
        <w:r>
          <w:rPr>
            <w:color w:val="0000EE"/>
            <w:u w:val="single"/>
          </w:rPr>
          <w:t>4.15</w:t>
        </w:r>
      </w:hyperlink>
      <w:r>
        <w:t xml:space="preserve"> ; </w:t>
      </w:r>
      <w:hyperlink r:id="rId11399">
        <w:r>
          <w:rPr>
            <w:color w:val="0000EE"/>
            <w:u w:val="single"/>
          </w:rPr>
          <w:t>5.5, 10–14</w:t>
        </w:r>
      </w:hyperlink>
      <w:r>
        <w:t xml:space="preserve"> ; </w:t>
      </w:r>
      <w:hyperlink r:id="rId11400">
        <w:r>
          <w:rPr>
            <w:color w:val="0000EE"/>
            <w:u w:val="single"/>
          </w:rPr>
          <w:t>6.4, 11</w:t>
        </w:r>
      </w:hyperlink>
      <w:r>
        <w:t xml:space="preserve"> ; </w:t>
      </w:r>
      <w:hyperlink r:id="rId11401">
        <w:r>
          <w:rPr>
            <w:color w:val="0000EE"/>
            <w:u w:val="single"/>
          </w:rPr>
          <w:t>8.14</w:t>
        </w:r>
      </w:hyperlink>
      <w:r>
        <w:t xml:space="preserve"> ; </w:t>
      </w:r>
      <w:hyperlink r:id="rId11402">
        <w:r>
          <w:rPr>
            <w:color w:val="0000EE"/>
            <w:u w:val="single"/>
          </w:rPr>
          <w:t>11.12</w:t>
        </w:r>
      </w:hyperlink>
      <w:r>
        <w:t xml:space="preserve"> ; </w:t>
      </w:r>
      <w:hyperlink r:id="rId11403">
        <w:r>
          <w:rPr>
            <w:color w:val="0000EE"/>
            <w:u w:val="single"/>
          </w:rPr>
          <w:t>12.2</w:t>
        </w:r>
      </w:hyperlink>
      <w:r>
        <w:t>)</w:t>
      </w:r>
    </w:p>
    <w:p>
      <w:pPr>
        <w:pStyle w:val="ListNumber"/>
        <w:spacing w:line="240" w:lineRule="auto"/>
        <w:ind w:left="720"/>
      </w:pPr>
      <w:r/>
      <w:r>
        <w:t xml:space="preserve">Les sections qui parlent des bénédictions futures ou de la délivrance nationale (voir par exemple </w:t>
      </w:r>
      <w:hyperlink r:id="rId11404">
        <w:r>
          <w:rPr>
            <w:color w:val="0000EE"/>
            <w:u w:val="single"/>
          </w:rPr>
          <w:t>Os 11.8–11</w:t>
        </w:r>
      </w:hyperlink>
      <w:r>
        <w:t xml:space="preserve"> ; </w:t>
      </w:r>
      <w:hyperlink r:id="rId11405">
        <w:r>
          <w:rPr>
            <w:color w:val="0000EE"/>
            <w:u w:val="single"/>
          </w:rPr>
          <w:t>14.2–9</w:t>
        </w:r>
      </w:hyperlink>
      <w:r>
        <w:t>)</w:t>
      </w:r>
    </w:p>
    <w:p>
      <w:r/>
      <w:r>
        <w:t>Les mentions de Juda dans Osée sont compréhensibles. Il était un homme de Dieu contrarié par la séparation d'Israël de la lignée davidique légitime. Le royaume du Nord, dirigé par des rois impies, a fait face au jugement de Dieu. Osée avait reçu une révélation divine concernant les projets de Dieu pour Juda et Israël.</w:t>
      </w:r>
    </w:p>
    <w:p>
      <w:r/>
      <w:r>
        <w:t>Les bénédictions futures et la délivrance d'Israël n'annulent pas la condamnation des péchés d'Israël, de la même manière que l'amour et la réconciliation d'Osée avec l'infidèle Gomer n'effacent pas ses torts. Restauration et pardon ne signifient pas ignorer la culpabilité.</w:t>
      </w:r>
    </w:p>
    <w:p>
      <w:pPr>
        <w:pStyle w:val="Heading3"/>
      </w:pPr>
      <w:r>
        <w:t>Quelle est l'histoire du livre d'Osée ?</w:t>
      </w:r>
    </w:p>
    <w:p>
      <w:r/>
      <w:r>
        <w:t>Osée a vécu durant la période prospère du royaume du nord d'Israël sous le règne du roi Jéroboam II, de 793 à 753 av. J.‑C. Il a également été témoin de sa défaite et de la déportation du peuple après l'invasion assyrienne en 722 av. J.‑C.</w:t>
      </w:r>
    </w:p>
    <w:p>
      <w:r/>
      <w:hyperlink r:id="rId1725">
        <w:r>
          <w:rPr>
            <w:color w:val="0000EE"/>
            <w:u w:val="single"/>
          </w:rPr>
          <w:t>Osée 1.1</w:t>
        </w:r>
      </w:hyperlink>
      <w:r>
        <w:t xml:space="preserve"> mentionne les rois de Juda suivants :</w:t>
      </w:r>
    </w:p>
    <w:p>
      <w:pPr>
        <w:pStyle w:val="ListBullet"/>
        <w:spacing w:line="240" w:lineRule="auto"/>
        <w:ind w:left="720"/>
      </w:pPr>
      <w:r/>
      <w:r>
        <w:t>Ozias</w:t>
      </w:r>
    </w:p>
    <w:p>
      <w:pPr>
        <w:pStyle w:val="ListBullet"/>
        <w:spacing w:line="240" w:lineRule="auto"/>
        <w:ind w:left="720"/>
      </w:pPr>
      <w:r/>
      <w:r>
        <w:t>Jotham</w:t>
      </w:r>
    </w:p>
    <w:p>
      <w:pPr>
        <w:pStyle w:val="ListBullet"/>
        <w:spacing w:line="240" w:lineRule="auto"/>
        <w:ind w:left="720"/>
      </w:pPr>
      <w:r/>
      <w:r>
        <w:t>Achaz</w:t>
      </w:r>
    </w:p>
    <w:p>
      <w:pPr>
        <w:pStyle w:val="ListBullet"/>
        <w:spacing w:line="240" w:lineRule="auto"/>
        <w:ind w:left="720"/>
      </w:pPr>
      <w:r/>
      <w:r>
        <w:t>Ézéchias</w:t>
      </w:r>
    </w:p>
    <w:p>
      <w:r/>
      <w:r>
        <w:t>Ce verset mentionne également deux rois d'Israël :</w:t>
      </w:r>
    </w:p>
    <w:p>
      <w:pPr>
        <w:pStyle w:val="ListBullet"/>
        <w:spacing w:line="240" w:lineRule="auto"/>
        <w:ind w:left="720"/>
      </w:pPr>
      <w:r/>
      <w:r>
        <w:t>Joas</w:t>
      </w:r>
    </w:p>
    <w:p>
      <w:pPr>
        <w:pStyle w:val="ListBullet"/>
        <w:spacing w:line="240" w:lineRule="auto"/>
        <w:ind w:left="720"/>
      </w:pPr>
      <w:r/>
      <w:r>
        <w:t>Jéroboam</w:t>
      </w:r>
    </w:p>
    <w:p>
      <w:r/>
      <w:r>
        <w:t>Ozias a régné en même temps que Joas et Jéroboam. Achaz était le roi de Juda lorsque l'Assyrie a capturé Israël. Ézéchias pourrait avoir régné aux côtés d'Achaz pendant la captivité assyrienne.</w:t>
      </w:r>
    </w:p>
    <w:p>
      <w:r/>
      <w:r>
        <w:t>Jéroboam a régné sur Israël pendant quarante-et-un ans, suivant les mauvaises voies de son père, Nebath (</w:t>
      </w:r>
      <w:hyperlink r:id="rId7199">
        <w:r>
          <w:rPr>
            <w:color w:val="0000EE"/>
            <w:u w:val="single"/>
          </w:rPr>
          <w:t>2R 14.23–24</w:t>
        </w:r>
      </w:hyperlink>
      <w:r>
        <w:t>). Bien qu'Israël ait prospéré sous le règne de Jéroboam, la corruption gouvernementale et le déclin spirituel ont préparé la voie pour de futurs troubles, ouvrant ainsi la voie à la chute d'Israël. Les riches propriétaires terriens, incluant le roi, ont opprimé les paysans, forçant les propriétaires terriens de la classe inférieure à quitter les fermes pour les villes. Ces problèmes sociaux ont rapidement conduit à une corruption généralisée en Israël. L'anarchie a résulté de ces temps (</w:t>
      </w:r>
      <w:hyperlink r:id="rId11406">
        <w:r>
          <w:rPr>
            <w:color w:val="0000EE"/>
            <w:u w:val="single"/>
          </w:rPr>
          <w:t>Os 4.1–2</w:t>
        </w:r>
      </w:hyperlink>
      <w:r>
        <w:t xml:space="preserve"> ; </w:t>
      </w:r>
      <w:hyperlink r:id="rId11407">
        <w:r>
          <w:rPr>
            <w:color w:val="0000EE"/>
            <w:u w:val="single"/>
          </w:rPr>
          <w:t>7.1–7</w:t>
        </w:r>
      </w:hyperlink>
      <w:r>
        <w:t xml:space="preserve"> ; </w:t>
      </w:r>
      <w:hyperlink r:id="rId11408">
        <w:r>
          <w:rPr>
            <w:color w:val="0000EE"/>
            <w:u w:val="single"/>
          </w:rPr>
          <w:t>8.3–4</w:t>
        </w:r>
      </w:hyperlink>
      <w:r>
        <w:t xml:space="preserve"> ; </w:t>
      </w:r>
      <w:hyperlink r:id="rId11409">
        <w:r>
          <w:rPr>
            <w:color w:val="0000EE"/>
            <w:u w:val="single"/>
          </w:rPr>
          <w:t>9.15</w:t>
        </w:r>
      </w:hyperlink>
      <w:r>
        <w:t>).</w:t>
      </w:r>
    </w:p>
    <w:p>
      <w:pPr>
        <w:pStyle w:val="Heading3"/>
      </w:pPr>
      <w:r>
        <w:t>Quand le livre d'Osée a-t-il été écrit ?</w:t>
      </w:r>
    </w:p>
    <w:p>
      <w:r/>
      <w:r>
        <w:t>Osée a commencé son travail en tant que messager de Dieu pendant le règne de Jéroboam II, de 793 à 753 av. J.‑C., et a continué jusqu'au règne d'Ézéchias de Juda, de 715 à 686 av. J.‑C.</w:t>
      </w:r>
    </w:p>
    <w:p>
      <w:r/>
      <w:r>
        <w:t>Plusieurs facteurs suggèrent qu'Osée a continué à prophétiser pendant le règne d'Osée d'Israël, de 732 à 722 av. J.‑C. :</w:t>
      </w:r>
    </w:p>
    <w:p>
      <w:pPr>
        <w:pStyle w:val="ListNumber"/>
        <w:spacing w:line="240" w:lineRule="auto"/>
        <w:ind w:left="720"/>
      </w:pPr>
      <w:r/>
      <w:r>
        <w:t>« Schalman » (</w:t>
      </w:r>
      <w:hyperlink r:id="rId11410">
        <w:r>
          <w:rPr>
            <w:color w:val="0000EE"/>
            <w:u w:val="single"/>
          </w:rPr>
          <w:t>Os 10.14</w:t>
        </w:r>
      </w:hyperlink>
      <w:r>
        <w:t xml:space="preserve">) pourrait être </w:t>
      </w:r>
      <w:r>
        <w:t>Salmanazar</w:t>
      </w:r>
      <w:r>
        <w:t xml:space="preserve"> d'Assyrie, qui a envahi Israël au début du règne d'Osée (</w:t>
      </w:r>
      <w:hyperlink r:id="rId11411">
        <w:r>
          <w:rPr>
            <w:color w:val="0000EE"/>
            <w:u w:val="single"/>
          </w:rPr>
          <w:t>2R 17.3</w:t>
        </w:r>
      </w:hyperlink>
      <w:r>
        <w:t>)</w:t>
      </w:r>
    </w:p>
    <w:p>
      <w:pPr>
        <w:pStyle w:val="ListNumber"/>
        <w:spacing w:line="240" w:lineRule="auto"/>
        <w:ind w:left="720"/>
      </w:pPr>
      <w:r/>
      <w:r>
        <w:t>« Jareb » (</w:t>
      </w:r>
      <w:hyperlink r:id="rId11412">
        <w:r>
          <w:rPr>
            <w:color w:val="0000EE"/>
            <w:u w:val="single"/>
          </w:rPr>
          <w:t>Os 5.13</w:t>
        </w:r>
      </w:hyperlink>
      <w:r>
        <w:t xml:space="preserve"> ; </w:t>
      </w:r>
      <w:hyperlink r:id="rId11413">
        <w:r>
          <w:rPr>
            <w:color w:val="0000EE"/>
            <w:u w:val="single"/>
          </w:rPr>
          <w:t>10.6</w:t>
        </w:r>
      </w:hyperlink>
      <w:r>
        <w:t>) pourrait se référer à Sargon II, qui a régné de 722 à 705 av. J.‑C.</w:t>
      </w:r>
    </w:p>
    <w:p>
      <w:pPr>
        <w:pStyle w:val="ListNumber"/>
        <w:spacing w:line="240" w:lineRule="auto"/>
        <w:ind w:left="720"/>
      </w:pPr>
      <w:r/>
      <w:r>
        <w:t>Les prédictions de l'invasion assyrienne semblent décrire un événement sur le point de se produire (</w:t>
      </w:r>
      <w:hyperlink r:id="rId11414">
        <w:r>
          <w:rPr>
            <w:color w:val="0000EE"/>
            <w:u w:val="single"/>
          </w:rPr>
          <w:t>Os 10.5–6</w:t>
        </w:r>
      </w:hyperlink>
      <w:r>
        <w:t xml:space="preserve"> ; </w:t>
      </w:r>
      <w:hyperlink r:id="rId11415">
        <w:r>
          <w:rPr>
            <w:color w:val="0000EE"/>
            <w:u w:val="single"/>
          </w:rPr>
          <w:t>13.15–16</w:t>
        </w:r>
      </w:hyperlink>
      <w:r>
        <w:t>).</w:t>
      </w:r>
    </w:p>
    <w:p>
      <w:pPr>
        <w:pStyle w:val="ListNumber"/>
        <w:spacing w:line="240" w:lineRule="auto"/>
        <w:ind w:left="720"/>
      </w:pPr>
      <w:r/>
      <w:r>
        <w:t>Les mentions de l'Égypte et de la dépendance d'Israël envers cette nation semblent correspondre au règne d'Osée (</w:t>
      </w:r>
      <w:hyperlink r:id="rId11349">
        <w:r>
          <w:rPr>
            <w:color w:val="0000EE"/>
            <w:u w:val="single"/>
          </w:rPr>
          <w:t>Os 7.11</w:t>
        </w:r>
      </w:hyperlink>
      <w:r>
        <w:t xml:space="preserve"> ; </w:t>
      </w:r>
      <w:hyperlink r:id="rId11263">
        <w:r>
          <w:rPr>
            <w:color w:val="0000EE"/>
            <w:u w:val="single"/>
          </w:rPr>
          <w:t>11.11</w:t>
        </w:r>
      </w:hyperlink>
      <w:r>
        <w:t>)</w:t>
      </w:r>
    </w:p>
    <w:p>
      <w:r/>
      <w:r>
        <w:t>Ces facteurs suggèrent que les messages du prophète Osée ont été rassemblés peu avant la chute d'Israël en 722 av. J.‑C.</w:t>
      </w:r>
    </w:p>
    <w:p>
      <w:pPr>
        <w:pStyle w:val="Heading3"/>
      </w:pPr>
      <w:r>
        <w:t>Où le livre d'Osée a-t-il été écrit ? Pour qui a-t-il été écrit ?</w:t>
      </w:r>
    </w:p>
    <w:p>
      <w:r/>
      <w:r>
        <w:t>Osée a prophétisé tout en vivant en Israël. Il appelle le roi de Samarie « notre roi » (</w:t>
      </w:r>
      <w:hyperlink r:id="rId11416">
        <w:r>
          <w:rPr>
            <w:color w:val="0000EE"/>
            <w:u w:val="single"/>
          </w:rPr>
          <w:t>Os 7.5</w:t>
        </w:r>
      </w:hyperlink>
      <w:r>
        <w:t>). Ses descriptions d'Israël montrent qu'il connaissait bien la géographie du royaume du nord. Osée mentionne Galaad comme s'il avait vu la région de ses propres yeux (</w:t>
      </w:r>
      <w:hyperlink r:id="rId5878">
        <w:r>
          <w:rPr>
            <w:color w:val="0000EE"/>
            <w:u w:val="single"/>
          </w:rPr>
          <w:t>Os 6.8</w:t>
        </w:r>
      </w:hyperlink>
      <w:r>
        <w:t xml:space="preserve"> ; </w:t>
      </w:r>
      <w:hyperlink r:id="rId11417">
        <w:r>
          <w:rPr>
            <w:color w:val="0000EE"/>
            <w:u w:val="single"/>
          </w:rPr>
          <w:t>12.11</w:t>
        </w:r>
      </w:hyperlink>
      <w:r>
        <w:t>). Osée était sans doute le seul prophète du royaume du nord à y avoir vécu pendant la totalité de son ministère.</w:t>
      </w:r>
    </w:p>
    <w:p>
      <w:pPr>
        <w:pStyle w:val="Heading3"/>
      </w:pPr>
      <w:r>
        <w:t>Pourquoi le livre d'Osée a-t-il été écrit ?</w:t>
      </w:r>
    </w:p>
    <w:p>
      <w:r/>
      <w:r>
        <w:t xml:space="preserve">Osée a dit à Israël de se repentir et de revenir à Dieu. Il a décrit le Dieu d'Israël comme patient et aimant, toujours fidèle à ses promesses. Cet accent est typique d'Osée (voir </w:t>
      </w:r>
      <w:hyperlink r:id="rId11418">
        <w:r>
          <w:rPr>
            <w:color w:val="0000EE"/>
            <w:u w:val="single"/>
          </w:rPr>
          <w:t>Os 2.19</w:t>
        </w:r>
      </w:hyperlink>
      <w:r>
        <w:t>).</w:t>
      </w:r>
    </w:p>
    <w:p>
      <w:r/>
      <w:r>
        <w:t>« Dévotion aimante » est l'expression qui représente le mieux l'amour fidèle de Yahvé. La vie de famille d'Osée était un symbole de cette dévotion aimante.</w:t>
      </w:r>
    </w:p>
    <w:p>
      <w:pPr>
        <w:pStyle w:val="Heading3"/>
      </w:pPr>
      <w:r>
        <w:t>De quoi parle le Livre d'Osée ?</w:t>
      </w:r>
    </w:p>
    <w:p>
      <w:r/>
      <w:r>
        <w:t>Les principales sections et sujets du livre d'Osée sont décrits comme suit :</w:t>
      </w:r>
    </w:p>
    <w:p>
      <w:pPr>
        <w:pStyle w:val="Heading4"/>
      </w:pPr>
      <w:r>
        <w:t>Chapitres 1–3</w:t>
      </w:r>
    </w:p>
    <w:p>
      <w:r/>
      <w:r>
        <w:t>Les trois premiers chapitres d'Osée se concentrent sur la vie d'Osée. Ils mettent en avant sa fidélité et son amour pour sa femme infidèle.</w:t>
      </w:r>
    </w:p>
    <w:p>
      <w:r/>
      <w:r>
        <w:t>Dieu dit à Osée d'épouser la prostituée Gomer et d'avoir des enfants avec elle (</w:t>
      </w:r>
      <w:hyperlink r:id="rId11419">
        <w:r>
          <w:rPr>
            <w:color w:val="0000EE"/>
            <w:u w:val="single"/>
          </w:rPr>
          <w:t>Os 1.2–3.5</w:t>
        </w:r>
      </w:hyperlink>
      <w:r>
        <w:t xml:space="preserve">). Ce commandement a intrigué certains commentateurs, car les prêtres et prophètes en Israël n'épousaient pas de prostituées. Les auteurs juifs médiévaux ont vu en cette histoire un récit symbolique mais non historique. Certains experts ultérieurs ont perçu une différence entre </w:t>
      </w:r>
      <w:hyperlink r:id="rId11420">
        <w:r>
          <w:rPr>
            <w:color w:val="0000EE"/>
            <w:u w:val="single"/>
          </w:rPr>
          <w:t>Osée 1</w:t>
        </w:r>
      </w:hyperlink>
      <w:r>
        <w:t xml:space="preserve"> et </w:t>
      </w:r>
      <w:hyperlink r:id="rId380">
        <w:r>
          <w:rPr>
            <w:color w:val="0000EE"/>
            <w:u w:val="single"/>
          </w:rPr>
          <w:t>3</w:t>
        </w:r>
      </w:hyperlink>
      <w:r>
        <w:t>, considérant ce dernier comme le récit personnel d'Osée concernant son mariage, tandis que le premier chapitre était vu comme des souvenirs généraux de ses débuts en tant que prophète. D'autres commentateurs ont affirmé que les deux chapitres traitaient de faits littéraux, tandis que certains experts estiment qu'</w:t>
      </w:r>
      <w:hyperlink r:id="rId11420">
        <w:r>
          <w:rPr>
            <w:color w:val="0000EE"/>
            <w:u w:val="single"/>
          </w:rPr>
          <w:t>Osée 1</w:t>
        </w:r>
      </w:hyperlink>
      <w:r>
        <w:t xml:space="preserve"> était historique et qu'</w:t>
      </w:r>
      <w:hyperlink r:id="rId380">
        <w:r>
          <w:rPr>
            <w:color w:val="0000EE"/>
            <w:u w:val="single"/>
          </w:rPr>
          <w:t>Osée 3</w:t>
        </w:r>
      </w:hyperlink>
      <w:r>
        <w:t xml:space="preserve"> était l'interprétation allégorique (non littérale) donnée par Osée de son mariage.</w:t>
      </w:r>
    </w:p>
    <w:p>
      <w:r/>
      <w:r>
        <w:t>Les activités sexuelles de Gomer ont été largement discutées. Deux points de vue principaux existent :</w:t>
      </w:r>
    </w:p>
    <w:p>
      <w:pPr>
        <w:pStyle w:val="ListNumber"/>
        <w:spacing w:line="240" w:lineRule="auto"/>
        <w:ind w:left="720"/>
      </w:pPr>
      <w:r/>
      <w:r>
        <w:t xml:space="preserve">Gomer était une épouse fidèle à Osée au début de leur mariage. L'expression « </w:t>
      </w:r>
      <w:r>
        <w:t>une femme prostituée</w:t>
      </w:r>
      <w:r>
        <w:t xml:space="preserve"> » (</w:t>
      </w:r>
      <w:hyperlink r:id="rId11421">
        <w:r>
          <w:rPr>
            <w:color w:val="0000EE"/>
            <w:u w:val="single"/>
          </w:rPr>
          <w:t>Os 1.2</w:t>
        </w:r>
      </w:hyperlink>
      <w:r>
        <w:t>) fait référence à sa nature pécheresse et rebelle. Dieu exposera ensuite cela pour montrer l'idolâtrie d'Israël.</w:t>
      </w:r>
    </w:p>
    <w:p>
      <w:pPr>
        <w:pStyle w:val="ListNumber"/>
        <w:spacing w:line="240" w:lineRule="auto"/>
        <w:ind w:left="720"/>
      </w:pPr>
      <w:r/>
      <w:r>
        <w:t>Gomer était une prostituée connue qu'Osée devait épouser pour illustrer l'idolâtrie d'Israël et l'amour fidèle de Dieu. Cette seconde interprétation séduit le plus les érudits évangéliques et est l'interprétation la plus simple dans un cadre biblique littéral, grammatical et historique.</w:t>
      </w:r>
    </w:p>
    <w:p>
      <w:r/>
      <w:r>
        <w:t>La raison pour laquelle Osée devait la racheter n'est pas claire. Il est également inconnu pourquoi le paiement était en partie en grain et en partie en argent. Cette transaction pourrait symboliser la délivrance future d'exil d'Israël par Dieu. Toutefois, les dix tribus du nord ne sont pas revenues de l'exil en Assyrie. Cette interprétation ne s'applique sans doute pas à Juda, puisque le message d'Osée n'était pas destiné au royaume du sud, bien que Juda ait reçu un avertissement (</w:t>
      </w:r>
      <w:hyperlink r:id="rId11422">
        <w:r>
          <w:rPr>
            <w:color w:val="0000EE"/>
            <w:u w:val="single"/>
          </w:rPr>
          <w:t>Os 6.11</w:t>
        </w:r>
      </w:hyperlink>
      <w:r>
        <w:t>).</w:t>
      </w:r>
    </w:p>
    <w:p>
      <w:r/>
      <w:r>
        <w:t>Les enfants nés d'Osée et de Gomer ont reçu des noms symboliques. Le premier enfant était un fils nommé Jizreel (</w:t>
      </w:r>
      <w:hyperlink r:id="rId11423">
        <w:r>
          <w:rPr>
            <w:color w:val="0000EE"/>
            <w:u w:val="single"/>
          </w:rPr>
          <w:t>Osée 1.4a</w:t>
        </w:r>
      </w:hyperlink>
      <w:r>
        <w:t>). Ce nom signifiait le jugement de Dieu sur la famille de Jéhu pour le meurtre par Jéhu de la famille d'Achab dans la vallée de Jizreel (</w:t>
      </w:r>
      <w:hyperlink r:id="rId11424">
        <w:r>
          <w:rPr>
            <w:color w:val="0000EE"/>
            <w:u w:val="single"/>
          </w:rPr>
          <w:t>2R 10.1–11, 30</w:t>
        </w:r>
      </w:hyperlink>
      <w:r>
        <w:t>).</w:t>
      </w:r>
    </w:p>
    <w:p>
      <w:r/>
      <w:r>
        <w:t>Le deuxième enfant s'appellera Lo-Ruchama (</w:t>
      </w:r>
      <w:hyperlink r:id="rId11425">
        <w:r>
          <w:rPr>
            <w:color w:val="0000EE"/>
            <w:u w:val="single"/>
          </w:rPr>
          <w:t>Os 1.6a</w:t>
        </w:r>
      </w:hyperlink>
      <w:r>
        <w:t>), son nom signifiant « pas de compassion ou de pitié ». Cela symbolisait le jugement d'Israël. La corruption spirituelle du royaume du Nord avait atteint son apogée, et il serait vaincu et emmené en captivité (</w:t>
      </w:r>
      <w:hyperlink r:id="rId11425">
        <w:r>
          <w:rPr>
            <w:color w:val="0000EE"/>
            <w:u w:val="single"/>
          </w:rPr>
          <w:t>Os 1.6b</w:t>
        </w:r>
      </w:hyperlink>
      <w:r>
        <w:t>).</w:t>
      </w:r>
    </w:p>
    <w:p>
      <w:r/>
      <w:r>
        <w:rPr>
          <w:i/>
        </w:rPr>
        <w:t>Lo-Ammi</w:t>
      </w:r>
      <w:r>
        <w:t xml:space="preserve"> sera le nom du troisième enfant, un deuxième fils. Ce prénom signifie « pas mon peuple » (</w:t>
      </w:r>
      <w:hyperlink r:id="rId11426">
        <w:r>
          <w:rPr>
            <w:color w:val="0000EE"/>
            <w:u w:val="single"/>
          </w:rPr>
          <w:t>Os 1.8–9</w:t>
        </w:r>
      </w:hyperlink>
      <w:r>
        <w:t>). Ce rejet d'Israël en tant que peuple choisi de Dieu était temporaire (</w:t>
      </w:r>
      <w:hyperlink r:id="rId11427">
        <w:r>
          <w:rPr>
            <w:color w:val="0000EE"/>
            <w:u w:val="single"/>
          </w:rPr>
          <w:t>Os 1.10–2.1</w:t>
        </w:r>
      </w:hyperlink>
      <w:r>
        <w:t>). Dieu accomplirait ses promesses à Abraham (</w:t>
      </w:r>
      <w:hyperlink r:id="rId3157">
        <w:r>
          <w:rPr>
            <w:color w:val="0000EE"/>
            <w:u w:val="single"/>
          </w:rPr>
          <w:t>Os 1.10</w:t>
        </w:r>
      </w:hyperlink>
      <w:r>
        <w:t xml:space="preserve"> ; </w:t>
      </w:r>
      <w:hyperlink r:id="rId11428">
        <w:r>
          <w:rPr>
            <w:color w:val="0000EE"/>
            <w:u w:val="single"/>
          </w:rPr>
          <w:t>Gn 22.17</w:t>
        </w:r>
      </w:hyperlink>
      <w:r>
        <w:t>) et à Moïse (</w:t>
      </w:r>
      <w:hyperlink r:id="rId11429">
        <w:r>
          <w:rPr>
            <w:color w:val="0000EE"/>
            <w:u w:val="single"/>
          </w:rPr>
          <w:t>Ex 19.1–7</w:t>
        </w:r>
      </w:hyperlink>
      <w:r>
        <w:t>) malgré la désobéissance d'une génération ou d'une autre.</w:t>
      </w:r>
    </w:p>
    <w:p>
      <w:r/>
      <w:r>
        <w:t>Gomer n'était pas heureuse dans son mariage et elle a donc cherché d'autres amants. De même, Israël cherchait sa propre satisfaction dans l'adoration de faux dieux. Ils attribuaient à tort les bonnes choses de leur Dieu miséricordieux à ces dieux païens (</w:t>
      </w:r>
      <w:hyperlink r:id="rId11430">
        <w:r>
          <w:rPr>
            <w:color w:val="0000EE"/>
            <w:u w:val="single"/>
          </w:rPr>
          <w:t>Os 2.8, 12</w:t>
        </w:r>
      </w:hyperlink>
      <w:r>
        <w:t>). Une fois qu'ils réalisaient que leurs péchés n'apportaient pas de bonheur durable, les Israélites repentants s'en retournaient à leur premier amour.</w:t>
      </w:r>
    </w:p>
    <w:p>
      <w:r/>
      <w:r>
        <w:t>La déclaration de divorce d'Osée envers Gomer en raison de son adultère symbolise le divorce de Yahvé d'Israël pour son infidélité (</w:t>
      </w:r>
      <w:hyperlink r:id="rId4282">
        <w:r>
          <w:rPr>
            <w:color w:val="0000EE"/>
            <w:u w:val="single"/>
          </w:rPr>
          <w:t>Os 2.2</w:t>
        </w:r>
      </w:hyperlink>
      <w:r>
        <w:t xml:space="preserve"> ; voir aussi </w:t>
      </w:r>
      <w:hyperlink r:id="rId11431">
        <w:r>
          <w:rPr>
            <w:color w:val="0000EE"/>
            <w:u w:val="single"/>
          </w:rPr>
          <w:t>Jr 3.1–4.2</w:t>
        </w:r>
      </w:hyperlink>
      <w:r>
        <w:t>). Leurs enfants représentent les membres individuels de la nation d'Israël à l'époque d'Osée (</w:t>
      </w:r>
      <w:hyperlink r:id="rId11432">
        <w:r>
          <w:rPr>
            <w:color w:val="0000EE"/>
            <w:u w:val="single"/>
          </w:rPr>
          <w:t>Os 2.2–5</w:t>
        </w:r>
      </w:hyperlink>
      <w:r>
        <w:t>).</w:t>
      </w:r>
    </w:p>
    <w:p>
      <w:r/>
      <w:hyperlink r:id="rId380">
        <w:r>
          <w:rPr>
            <w:color w:val="0000EE"/>
            <w:u w:val="single"/>
          </w:rPr>
          <w:t>Osée 3</w:t>
        </w:r>
      </w:hyperlink>
      <w:r>
        <w:t xml:space="preserve"> utilise la restauration pour résumer l'histoire d'Israël. L'esclavage d'Israël au péché et à Satan (voir </w:t>
      </w:r>
      <w:hyperlink r:id="rId10359">
        <w:r>
          <w:rPr>
            <w:color w:val="0000EE"/>
            <w:u w:val="single"/>
          </w:rPr>
          <w:t>Hé 2.14–15</w:t>
        </w:r>
      </w:hyperlink>
      <w:r>
        <w:t>) est illustré par le prix qu'Osée a payé pour Gomer (</w:t>
      </w:r>
      <w:hyperlink r:id="rId11433">
        <w:r>
          <w:rPr>
            <w:color w:val="0000EE"/>
            <w:u w:val="single"/>
          </w:rPr>
          <w:t>Os 3.2</w:t>
        </w:r>
      </w:hyperlink>
      <w:r>
        <w:t xml:space="preserve">). Ce prix était celui d'une esclave parce que Gomer était asservie par son adultère (voir </w:t>
      </w:r>
      <w:hyperlink r:id="rId10115">
        <w:r>
          <w:rPr>
            <w:color w:val="0000EE"/>
            <w:u w:val="single"/>
          </w:rPr>
          <w:t>Ex 21.32</w:t>
        </w:r>
      </w:hyperlink>
      <w:r>
        <w:t>). L'isolement de Gomer, tout comme l'exil d'Israël, était destiné à la purification (</w:t>
      </w:r>
      <w:hyperlink r:id="rId11434">
        <w:r>
          <w:rPr>
            <w:color w:val="0000EE"/>
            <w:u w:val="single"/>
          </w:rPr>
          <w:t>Os 3.3</w:t>
        </w:r>
      </w:hyperlink>
      <w:r>
        <w:t xml:space="preserve"> ; voir </w:t>
      </w:r>
      <w:hyperlink r:id="rId9581">
        <w:r>
          <w:rPr>
            <w:color w:val="0000EE"/>
            <w:u w:val="single"/>
          </w:rPr>
          <w:t>Dt 21.13</w:t>
        </w:r>
      </w:hyperlink>
      <w:r>
        <w:t xml:space="preserve"> ; </w:t>
      </w:r>
      <w:hyperlink r:id="rId11435">
        <w:r>
          <w:rPr>
            <w:color w:val="0000EE"/>
            <w:u w:val="single"/>
          </w:rPr>
          <w:t>30.2</w:t>
        </w:r>
      </w:hyperlink>
      <w:r>
        <w:t>).</w:t>
      </w:r>
    </w:p>
    <w:p>
      <w:r/>
      <w:r>
        <w:t xml:space="preserve">Après l'exil à Babylone (« Après cela », et « </w:t>
      </w:r>
      <w:r>
        <w:t>dans la suite des temps</w:t>
      </w:r>
      <w:r>
        <w:t xml:space="preserve"> »), Israël retournera vers son mari pour profiter des bénédictions de la relation renouvelée. En référence au Messie, « David, leur roi », sera ressuscité pour conduire Israël vers le Seigneur (</w:t>
      </w:r>
      <w:hyperlink r:id="rId3628">
        <w:r>
          <w:rPr>
            <w:color w:val="0000EE"/>
            <w:u w:val="single"/>
          </w:rPr>
          <w:t>Os 3.5</w:t>
        </w:r>
      </w:hyperlink>
      <w:r>
        <w:t>).</w:t>
      </w:r>
    </w:p>
    <w:p>
      <w:r/>
      <w:r>
        <w:t>La dernière section majeure d'Osée explique en détail ce qu'</w:t>
      </w:r>
      <w:hyperlink r:id="rId575">
        <w:r>
          <w:rPr>
            <w:color w:val="0000EE"/>
            <w:u w:val="single"/>
          </w:rPr>
          <w:t>Osée 1–3</w:t>
        </w:r>
      </w:hyperlink>
      <w:r>
        <w:t xml:space="preserve"> a montré et brièvement expliqué. Osée prophétise :</w:t>
      </w:r>
    </w:p>
    <w:p>
      <w:pPr>
        <w:pStyle w:val="ListBullet"/>
        <w:spacing w:line="240" w:lineRule="auto"/>
        <w:ind w:left="720"/>
      </w:pPr>
      <w:r/>
      <w:r>
        <w:t>L'abandon de la foi par Israël (</w:t>
      </w:r>
      <w:hyperlink r:id="rId11436">
        <w:r>
          <w:rPr>
            <w:color w:val="0000EE"/>
            <w:u w:val="single"/>
          </w:rPr>
          <w:t>Os 4.1–7.16</w:t>
        </w:r>
      </w:hyperlink>
      <w:r>
        <w:t>)</w:t>
      </w:r>
    </w:p>
    <w:p>
      <w:pPr>
        <w:pStyle w:val="ListBullet"/>
        <w:spacing w:line="240" w:lineRule="auto"/>
        <w:ind w:left="720"/>
      </w:pPr>
      <w:r/>
      <w:r>
        <w:t>Le châtiment (</w:t>
      </w:r>
      <w:hyperlink r:id="rId11437">
        <w:r>
          <w:rPr>
            <w:color w:val="0000EE"/>
            <w:u w:val="single"/>
          </w:rPr>
          <w:t>Os 8.1–10.15</w:t>
        </w:r>
      </w:hyperlink>
      <w:r>
        <w:t>)</w:t>
      </w:r>
    </w:p>
    <w:p>
      <w:pPr>
        <w:pStyle w:val="ListBullet"/>
        <w:spacing w:line="240" w:lineRule="auto"/>
        <w:ind w:left="720"/>
      </w:pPr>
      <w:r/>
      <w:r>
        <w:t>La restauration (</w:t>
      </w:r>
      <w:hyperlink r:id="rId11438">
        <w:r>
          <w:rPr>
            <w:color w:val="0000EE"/>
            <w:u w:val="single"/>
          </w:rPr>
          <w:t>Os 11.1–14.9</w:t>
        </w:r>
      </w:hyperlink>
      <w:r>
        <w:t>)</w:t>
      </w:r>
    </w:p>
    <w:p>
      <w:pPr>
        <w:pStyle w:val="Heading4"/>
      </w:pPr>
      <w:r>
        <w:t>Chapitre 4</w:t>
      </w:r>
    </w:p>
    <w:p>
      <w:r/>
      <w:r>
        <w:t>Israël était profondément impliqué dans des activités impies et s'était éloigné de Dieu (</w:t>
      </w:r>
      <w:hyperlink r:id="rId11406">
        <w:r>
          <w:rPr>
            <w:color w:val="0000EE"/>
            <w:u w:val="single"/>
          </w:rPr>
          <w:t>Os 4.1–2</w:t>
        </w:r>
      </w:hyperlink>
      <w:r>
        <w:t xml:space="preserve"> ; voir </w:t>
      </w:r>
      <w:hyperlink r:id="rId1216">
        <w:r>
          <w:rPr>
            <w:color w:val="0000EE"/>
            <w:u w:val="single"/>
          </w:rPr>
          <w:t>Ex 20.1–17</w:t>
        </w:r>
      </w:hyperlink>
      <w:r>
        <w:t>). Le peuple ignorait la parole de Dieu en raison de son indifférence et de la tromperie des prêtres (</w:t>
      </w:r>
      <w:hyperlink r:id="rId11439">
        <w:r>
          <w:rPr>
            <w:color w:val="0000EE"/>
            <w:u w:val="single"/>
          </w:rPr>
          <w:t>Os 4.6–9</w:t>
        </w:r>
      </w:hyperlink>
      <w:r>
        <w:t xml:space="preserve"> ; voir </w:t>
      </w:r>
      <w:hyperlink r:id="rId6241">
        <w:r>
          <w:rPr>
            <w:color w:val="0000EE"/>
            <w:u w:val="single"/>
          </w:rPr>
          <w:t>Es 5.13</w:t>
        </w:r>
      </w:hyperlink>
      <w:r>
        <w:t xml:space="preserve"> ; </w:t>
      </w:r>
      <w:hyperlink r:id="rId11440">
        <w:r>
          <w:rPr>
            <w:color w:val="0000EE"/>
            <w:u w:val="single"/>
          </w:rPr>
          <w:t>Am 8.11–12</w:t>
        </w:r>
      </w:hyperlink>
      <w:r>
        <w:t xml:space="preserve"> ; </w:t>
      </w:r>
      <w:hyperlink r:id="rId11441">
        <w:r>
          <w:rPr>
            <w:color w:val="0000EE"/>
            <w:u w:val="single"/>
          </w:rPr>
          <w:t>So 1.6</w:t>
        </w:r>
      </w:hyperlink>
      <w:r>
        <w:t>). Israël suivait des dirigeants spirituels corrompus tout comme leurs rois suivaient les voies corrompues des anciens dirigeants (</w:t>
      </w:r>
      <w:hyperlink r:id="rId11442">
        <w:r>
          <w:rPr>
            <w:color w:val="0000EE"/>
            <w:u w:val="single"/>
          </w:rPr>
          <w:t>Os 4.9</w:t>
        </w:r>
      </w:hyperlink>
      <w:r>
        <w:t>). Au lieu de la parole de Dieu, Israël cherchait conseil auprès des idoles et de la divination (</w:t>
      </w:r>
      <w:hyperlink r:id="rId11443">
        <w:r>
          <w:rPr>
            <w:color w:val="0000EE"/>
            <w:u w:val="single"/>
          </w:rPr>
          <w:t>Os 4.12–13</w:t>
        </w:r>
      </w:hyperlink>
      <w:r>
        <w:t>). Enfin, Israël a perdu son identité sacerdotale (</w:t>
      </w:r>
      <w:hyperlink r:id="rId11444">
        <w:r>
          <w:rPr>
            <w:color w:val="0000EE"/>
            <w:u w:val="single"/>
          </w:rPr>
          <w:t>Os 4.6</w:t>
        </w:r>
      </w:hyperlink>
      <w:r>
        <w:t xml:space="preserve"> ; voir </w:t>
      </w:r>
      <w:hyperlink r:id="rId562">
        <w:r>
          <w:rPr>
            <w:color w:val="0000EE"/>
            <w:u w:val="single"/>
          </w:rPr>
          <w:t>Ex 19.6</w:t>
        </w:r>
      </w:hyperlink>
      <w:r>
        <w:t>) car les prêtres étaient principalement responsables de l'éloignement de la nation de la foi (</w:t>
      </w:r>
      <w:hyperlink r:id="rId10334">
        <w:r>
          <w:rPr>
            <w:color w:val="0000EE"/>
            <w:u w:val="single"/>
          </w:rPr>
          <w:t>Os 5.1</w:t>
        </w:r>
      </w:hyperlink>
      <w:r>
        <w:t>).</w:t>
      </w:r>
    </w:p>
    <w:p>
      <w:pPr>
        <w:pStyle w:val="Heading4"/>
      </w:pPr>
      <w:r>
        <w:t>Chapitres 5–6</w:t>
      </w:r>
    </w:p>
    <w:p>
      <w:r/>
      <w:r>
        <w:t>Après avoir présenté son plaidoyer contre le royaume du Nord, Dieu donne un avertissement (</w:t>
      </w:r>
      <w:hyperlink r:id="rId11445">
        <w:r>
          <w:rPr>
            <w:color w:val="0000EE"/>
            <w:u w:val="single"/>
          </w:rPr>
          <w:t>Os 5.8–14</w:t>
        </w:r>
      </w:hyperlink>
      <w:r>
        <w:t>). La trompette sonnera dans les collines de Benjamin (</w:t>
      </w:r>
      <w:hyperlink r:id="rId6790">
        <w:r>
          <w:rPr>
            <w:color w:val="0000EE"/>
            <w:u w:val="single"/>
          </w:rPr>
          <w:t>Os 5.8</w:t>
        </w:r>
      </w:hyperlink>
      <w:r>
        <w:t>), la région entre Israël et Juda. L'alarme qui y retentira indiquera qu'Israël est envahi et que Juda est en danger (</w:t>
      </w:r>
      <w:hyperlink r:id="rId11446">
        <w:r>
          <w:rPr>
            <w:color w:val="0000EE"/>
            <w:u w:val="single"/>
          </w:rPr>
          <w:t>Os 5.9–12</w:t>
        </w:r>
      </w:hyperlink>
      <w:r>
        <w:t>). Le royaume du Nord s'appuyait sur des commandements humains, et non sur ceux de Dieu (</w:t>
      </w:r>
      <w:hyperlink r:id="rId11447">
        <w:r>
          <w:rPr>
            <w:color w:val="0000EE"/>
            <w:u w:val="single"/>
          </w:rPr>
          <w:t>Os 5.11</w:t>
        </w:r>
      </w:hyperlink>
      <w:r>
        <w:t>). Israël a cherché de l'aide auprès de l'Assyrie mais a fait face à la trahison et à la défaite (</w:t>
      </w:r>
      <w:hyperlink r:id="rId11412">
        <w:r>
          <w:rPr>
            <w:color w:val="0000EE"/>
            <w:u w:val="single"/>
          </w:rPr>
          <w:t>Os 5.13</w:t>
        </w:r>
      </w:hyperlink>
      <w:r>
        <w:t>). Dans cette prophétie concernant la chute d'Israël aux mains des Assyriens en 722 av. J.‑C., Osée dépeint Dieu comme le justicier ultime (</w:t>
      </w:r>
      <w:hyperlink r:id="rId11448">
        <w:r>
          <w:rPr>
            <w:color w:val="0000EE"/>
            <w:u w:val="single"/>
          </w:rPr>
          <w:t>Os 5.14</w:t>
        </w:r>
      </w:hyperlink>
      <w:r>
        <w:t>).</w:t>
      </w:r>
    </w:p>
    <w:p>
      <w:r/>
      <w:r>
        <w:t>Dieu appelle à la repentance juste après avoir révélé la punition (</w:t>
      </w:r>
      <w:hyperlink r:id="rId11449">
        <w:r>
          <w:rPr>
            <w:color w:val="0000EE"/>
            <w:u w:val="single"/>
          </w:rPr>
          <w:t>Os 5.15–6.3</w:t>
        </w:r>
      </w:hyperlink>
      <w:r>
        <w:t xml:space="preserve"> ; la division du chapitre ici n'est pas idéale car </w:t>
      </w:r>
      <w:hyperlink r:id="rId647">
        <w:r>
          <w:rPr>
            <w:color w:val="0000EE"/>
            <w:u w:val="single"/>
          </w:rPr>
          <w:t>Osée 6.1–3</w:t>
        </w:r>
      </w:hyperlink>
      <w:r>
        <w:t xml:space="preserve"> appartient avec </w:t>
      </w:r>
      <w:hyperlink r:id="rId10990">
        <w:r>
          <w:rPr>
            <w:color w:val="0000EE"/>
            <w:u w:val="single"/>
          </w:rPr>
          <w:t>5.15</w:t>
        </w:r>
      </w:hyperlink>
      <w:r>
        <w:t xml:space="preserve">). L'appel à revenir à Yahvé pourrait refléter la réponse personnelle d'Osée à la révélation. Cependant, il est préférable de voir </w:t>
      </w:r>
      <w:hyperlink r:id="rId647">
        <w:r>
          <w:rPr>
            <w:color w:val="0000EE"/>
            <w:u w:val="single"/>
          </w:rPr>
          <w:t>Osée 6.1–3</w:t>
        </w:r>
      </w:hyperlink>
      <w:r>
        <w:t xml:space="preserve"> comme les paroles du reste futur lors de son retour. L'Assyrie n'a pas offert de guérison, à l'instar des autres nations. Dieu, lui, guérira Israël spirituellement, politiquement et physiquement (</w:t>
      </w:r>
      <w:hyperlink r:id="rId11450">
        <w:r>
          <w:rPr>
            <w:color w:val="0000EE"/>
            <w:u w:val="single"/>
          </w:rPr>
          <w:t>Os 6.1</w:t>
        </w:r>
      </w:hyperlink>
      <w:r>
        <w:t xml:space="preserve"> ; voir aussi </w:t>
      </w:r>
      <w:hyperlink r:id="rId4002">
        <w:r>
          <w:rPr>
            <w:color w:val="0000EE"/>
            <w:u w:val="single"/>
          </w:rPr>
          <w:t>Ex 15.26</w:t>
        </w:r>
      </w:hyperlink>
      <w:r>
        <w:t xml:space="preserve"> ; </w:t>
      </w:r>
      <w:hyperlink r:id="rId11451">
        <w:r>
          <w:rPr>
            <w:color w:val="0000EE"/>
            <w:u w:val="single"/>
          </w:rPr>
          <w:t>Dt 32.39</w:t>
        </w:r>
      </w:hyperlink>
      <w:r>
        <w:t xml:space="preserve"> ; </w:t>
      </w:r>
      <w:hyperlink r:id="rId11452">
        <w:r>
          <w:rPr>
            <w:color w:val="0000EE"/>
            <w:u w:val="single"/>
          </w:rPr>
          <w:t>Es 53.5</w:t>
        </w:r>
      </w:hyperlink>
      <w:r>
        <w:t xml:space="preserve"> ; </w:t>
      </w:r>
      <w:hyperlink r:id="rId11389">
        <w:r>
          <w:rPr>
            <w:color w:val="0000EE"/>
            <w:u w:val="single"/>
          </w:rPr>
          <w:t>Ez 37.1–14</w:t>
        </w:r>
      </w:hyperlink>
      <w:r>
        <w:t xml:space="preserve"> ; </w:t>
      </w:r>
      <w:hyperlink r:id="rId2138">
        <w:r>
          <w:rPr>
            <w:color w:val="0000EE"/>
            <w:u w:val="single"/>
          </w:rPr>
          <w:t>Ml 4.2</w:t>
        </w:r>
      </w:hyperlink>
      <w:r>
        <w:t>).</w:t>
      </w:r>
    </w:p>
    <w:p>
      <w:r/>
      <w:r>
        <w:t>Après avoir appelé à la repentance, Dieu se concentre à nouveau sur Israël (</w:t>
      </w:r>
      <w:hyperlink r:id="rId11453">
        <w:r>
          <w:rPr>
            <w:color w:val="0000EE"/>
            <w:u w:val="single"/>
          </w:rPr>
          <w:t>Os 6.4–11</w:t>
        </w:r>
      </w:hyperlink>
      <w:r>
        <w:t xml:space="preserve"> ; voir aussi </w:t>
      </w:r>
      <w:hyperlink r:id="rId11398">
        <w:r>
          <w:rPr>
            <w:color w:val="0000EE"/>
            <w:u w:val="single"/>
          </w:rPr>
          <w:t>4.15</w:t>
        </w:r>
      </w:hyperlink>
      <w:r>
        <w:t>). Israël s'est détourné de son créateur et a désobéi à son message (</w:t>
      </w:r>
      <w:hyperlink r:id="rId255">
        <w:r>
          <w:rPr>
            <w:color w:val="0000EE"/>
            <w:u w:val="single"/>
          </w:rPr>
          <w:t>Os 6.7</w:t>
        </w:r>
      </w:hyperlink>
      <w:r>
        <w:t>). Galaad n'est qu'un exemple de la nature violente d'Israël (</w:t>
      </w:r>
      <w:hyperlink r:id="rId5878">
        <w:r>
          <w:rPr>
            <w:color w:val="0000EE"/>
            <w:u w:val="single"/>
          </w:rPr>
          <w:t>Os 6.8</w:t>
        </w:r>
      </w:hyperlink>
      <w:r>
        <w:t>). Même les prêtres sont connus pour leur violence (</w:t>
      </w:r>
      <w:hyperlink r:id="rId11454">
        <w:r>
          <w:rPr>
            <w:color w:val="0000EE"/>
            <w:u w:val="single"/>
          </w:rPr>
          <w:t>Os 6.9</w:t>
        </w:r>
      </w:hyperlink>
      <w:r>
        <w:t xml:space="preserve"> ; voir aussi </w:t>
      </w:r>
      <w:hyperlink r:id="rId11455">
        <w:r>
          <w:rPr>
            <w:color w:val="0000EE"/>
            <w:u w:val="single"/>
          </w:rPr>
          <w:t>1S 2.12–17</w:t>
        </w:r>
      </w:hyperlink>
      <w:r>
        <w:t xml:space="preserve"> ; </w:t>
      </w:r>
      <w:hyperlink r:id="rId11456">
        <w:r>
          <w:rPr>
            <w:color w:val="0000EE"/>
            <w:u w:val="single"/>
          </w:rPr>
          <w:t>Jr 5.31</w:t>
        </w:r>
      </w:hyperlink>
      <w:r>
        <w:t>). Le péché d'Israël est « horrible » (</w:t>
      </w:r>
      <w:hyperlink r:id="rId11457">
        <w:r>
          <w:rPr>
            <w:color w:val="0000EE"/>
            <w:u w:val="single"/>
          </w:rPr>
          <w:t>Os 6.10</w:t>
        </w:r>
      </w:hyperlink>
      <w:r>
        <w:t>).</w:t>
      </w:r>
    </w:p>
    <w:p>
      <w:pPr>
        <w:pStyle w:val="Heading4"/>
      </w:pPr>
      <w:r>
        <w:t>Chapitre 7</w:t>
      </w:r>
    </w:p>
    <w:p>
      <w:r/>
      <w:hyperlink r:id="rId11458">
        <w:r>
          <w:rPr>
            <w:color w:val="0000EE"/>
            <w:u w:val="single"/>
          </w:rPr>
          <w:t>Osée 7</w:t>
        </w:r>
      </w:hyperlink>
      <w:r>
        <w:t xml:space="preserve"> présente les réflexions finales de Dieu sur Israël. À chaque fois que Dieu cherche à amener Israël à la repentance, il ne fait que révéler davantage leur péché (</w:t>
      </w:r>
      <w:hyperlink r:id="rId11459">
        <w:r>
          <w:rPr>
            <w:color w:val="0000EE"/>
            <w:u w:val="single"/>
          </w:rPr>
          <w:t>Os 7.1</w:t>
        </w:r>
      </w:hyperlink>
      <w:r>
        <w:t>). Ils pensent pouvoir pécher sans que Dieu ne le remarque (</w:t>
      </w:r>
      <w:hyperlink r:id="rId11460">
        <w:r>
          <w:rPr>
            <w:color w:val="0000EE"/>
            <w:u w:val="single"/>
          </w:rPr>
          <w:t>Os 7.2</w:t>
        </w:r>
      </w:hyperlink>
      <w:r>
        <w:t xml:space="preserve"> ; voir aussi </w:t>
      </w:r>
      <w:hyperlink r:id="rId9279">
        <w:r>
          <w:rPr>
            <w:color w:val="0000EE"/>
            <w:u w:val="single"/>
          </w:rPr>
          <w:t>Ps 90.8</w:t>
        </w:r>
      </w:hyperlink>
      <w:r>
        <w:t xml:space="preserve"> ; </w:t>
      </w:r>
      <w:hyperlink r:id="rId11461">
        <w:r>
          <w:rPr>
            <w:color w:val="0000EE"/>
            <w:u w:val="single"/>
          </w:rPr>
          <w:t>Mt 12.36–37</w:t>
        </w:r>
      </w:hyperlink>
      <w:r>
        <w:t>). Leurs dirigeants se réjouissent que le peuple soit aussi méchant que le roi et les chefs (</w:t>
      </w:r>
      <w:hyperlink r:id="rId11462">
        <w:r>
          <w:rPr>
            <w:color w:val="0000EE"/>
            <w:u w:val="single"/>
          </w:rPr>
          <w:t>Os 7.3</w:t>
        </w:r>
      </w:hyperlink>
      <w:r>
        <w:t>). Tout Israël est connu pour son adultère constant (</w:t>
      </w:r>
      <w:hyperlink r:id="rId9008">
        <w:r>
          <w:rPr>
            <w:color w:val="0000EE"/>
            <w:u w:val="single"/>
          </w:rPr>
          <w:t>Os 7.4</w:t>
        </w:r>
      </w:hyperlink>
      <w:r>
        <w:t>). Israël ne s'est pas séparé des non-croyants (</w:t>
      </w:r>
      <w:hyperlink r:id="rId11463">
        <w:r>
          <w:rPr>
            <w:color w:val="0000EE"/>
            <w:u w:val="single"/>
          </w:rPr>
          <w:t>Os 7.8</w:t>
        </w:r>
      </w:hyperlink>
      <w:r>
        <w:t xml:space="preserve"> ; voir aussi </w:t>
      </w:r>
      <w:hyperlink r:id="rId7877">
        <w:r>
          <w:rPr>
            <w:color w:val="0000EE"/>
            <w:u w:val="single"/>
          </w:rPr>
          <w:t>Ex 34.12–16</w:t>
        </w:r>
      </w:hyperlink>
      <w:r>
        <w:t xml:space="preserve"> ; </w:t>
      </w:r>
      <w:hyperlink r:id="rId414">
        <w:r>
          <w:rPr>
            <w:color w:val="0000EE"/>
            <w:u w:val="single"/>
          </w:rPr>
          <w:t>2Co 6.14–7.1</w:t>
        </w:r>
      </w:hyperlink>
      <w:r>
        <w:t xml:space="preserve">). Comme un « gâteau </w:t>
      </w:r>
      <w:r>
        <w:t>qui n’a pas été retourné</w:t>
      </w:r>
      <w:r>
        <w:t xml:space="preserve"> » (</w:t>
      </w:r>
      <w:hyperlink r:id="rId11463">
        <w:r>
          <w:rPr>
            <w:color w:val="0000EE"/>
            <w:u w:val="single"/>
          </w:rPr>
          <w:t>Os 7.8</w:t>
        </w:r>
      </w:hyperlink>
      <w:r>
        <w:t>), Israël n'est équilibré ni spirituellement, ni politiquement, avec une face trop cuite et une autre trop crue.</w:t>
      </w:r>
    </w:p>
    <w:p>
      <w:r/>
      <w:r>
        <w:t xml:space="preserve">En ce qui concerne les affaires étrangères, Israël se déplaçait entre l'Égypte et l'Assyrie « </w:t>
      </w:r>
      <w:r>
        <w:t>comme une colombe stupide, sans intelligence</w:t>
      </w:r>
      <w:r>
        <w:t xml:space="preserve"> » sans comprendre (</w:t>
      </w:r>
      <w:hyperlink r:id="rId11349">
        <w:r>
          <w:rPr>
            <w:color w:val="0000EE"/>
            <w:u w:val="single"/>
          </w:rPr>
          <w:t>Os 7.11</w:t>
        </w:r>
      </w:hyperlink>
      <w:r>
        <w:t>). Ils ne cherchaient pas conseil auprès du Seigneur lorsque c'était nécessaire, mais comptaient sur les puissances du monde. Leur manque de foi en Yahvé et leur échec à se séparer du péché conduiront à la discipline de Dieu (</w:t>
      </w:r>
      <w:hyperlink r:id="rId11464">
        <w:r>
          <w:rPr>
            <w:color w:val="0000EE"/>
            <w:u w:val="single"/>
          </w:rPr>
          <w:t>Os 7.12</w:t>
        </w:r>
      </w:hyperlink>
      <w:r>
        <w:t xml:space="preserve"> ; voir aussi </w:t>
      </w:r>
      <w:hyperlink r:id="rId4239">
        <w:r>
          <w:rPr>
            <w:color w:val="0000EE"/>
            <w:u w:val="single"/>
          </w:rPr>
          <w:t>1Co 11.32</w:t>
        </w:r>
      </w:hyperlink>
      <w:r>
        <w:t xml:space="preserve"> ; </w:t>
      </w:r>
      <w:hyperlink r:id="rId11465">
        <w:r>
          <w:rPr>
            <w:color w:val="0000EE"/>
            <w:u w:val="single"/>
          </w:rPr>
          <w:t>Hé 12.5–15</w:t>
        </w:r>
      </w:hyperlink>
      <w:r>
        <w:t>).</w:t>
      </w:r>
    </w:p>
    <w:p>
      <w:pPr>
        <w:pStyle w:val="Heading4"/>
      </w:pPr>
      <w:r>
        <w:t>Chapitre 8</w:t>
      </w:r>
    </w:p>
    <w:p>
      <w:r/>
      <w:hyperlink r:id="rId11466">
        <w:r>
          <w:rPr>
            <w:color w:val="0000EE"/>
            <w:u w:val="single"/>
          </w:rPr>
          <w:t>Osée 8</w:t>
        </w:r>
      </w:hyperlink>
      <w:r>
        <w:t xml:space="preserve"> aborde le jugement d'Israël (voir </w:t>
      </w:r>
      <w:hyperlink r:id="rId11467">
        <w:r>
          <w:rPr>
            <w:color w:val="0000EE"/>
            <w:u w:val="single"/>
          </w:rPr>
          <w:t>Os 8.7</w:t>
        </w:r>
      </w:hyperlink>
      <w:r>
        <w:t>). Une alarme avertit le peuple de l'approche des Assyriens (</w:t>
      </w:r>
      <w:hyperlink r:id="rId2968">
        <w:r>
          <w:rPr>
            <w:color w:val="0000EE"/>
            <w:u w:val="single"/>
          </w:rPr>
          <w:t>Os 8.1</w:t>
        </w:r>
      </w:hyperlink>
      <w:r>
        <w:t xml:space="preserve"> ; voir aussi </w:t>
      </w:r>
      <w:hyperlink r:id="rId11468">
        <w:r>
          <w:rPr>
            <w:color w:val="0000EE"/>
            <w:u w:val="single"/>
          </w:rPr>
          <w:t>Ez 17.2–21</w:t>
        </w:r>
      </w:hyperlink>
      <w:r>
        <w:t>). Les Assyriens attaqueront Israël (</w:t>
      </w:r>
      <w:hyperlink r:id="rId2968">
        <w:r>
          <w:rPr>
            <w:color w:val="0000EE"/>
            <w:u w:val="single"/>
          </w:rPr>
          <w:t>Os 8.1</w:t>
        </w:r>
      </w:hyperlink>
      <w:r>
        <w:t xml:space="preserve">) parce qu'Israël a rompu l'alliance du Sinaï (voir </w:t>
      </w:r>
      <w:hyperlink r:id="rId11469">
        <w:r>
          <w:rPr>
            <w:color w:val="0000EE"/>
            <w:u w:val="single"/>
          </w:rPr>
          <w:t>Dt 27.9–29.29</w:t>
        </w:r>
      </w:hyperlink>
      <w:r>
        <w:t xml:space="preserve">) et a désobéi à la loi de Moïse. Israël crie faussement à Dieu pour obtenir de l'aide contre la punition (voir </w:t>
      </w:r>
      <w:hyperlink r:id="rId11470">
        <w:r>
          <w:rPr>
            <w:color w:val="0000EE"/>
            <w:u w:val="single"/>
          </w:rPr>
          <w:t>Es 10.5</w:t>
        </w:r>
      </w:hyperlink>
      <w:r>
        <w:t>), mais Dieu ne répond pas, et l'Assyrie continue de poursuivre les dix tribus (</w:t>
      </w:r>
      <w:hyperlink r:id="rId11471">
        <w:r>
          <w:rPr>
            <w:color w:val="0000EE"/>
            <w:u w:val="single"/>
          </w:rPr>
          <w:t>Os 8.2–3</w:t>
        </w:r>
      </w:hyperlink>
      <w:r>
        <w:t>). D'autres raisons du jugement de Dieu incluent la nomination de rois sans la conduite de Dieu (</w:t>
      </w:r>
      <w:hyperlink r:id="rId10074">
        <w:r>
          <w:rPr>
            <w:color w:val="0000EE"/>
            <w:u w:val="single"/>
          </w:rPr>
          <w:t>Os 8.4a</w:t>
        </w:r>
      </w:hyperlink>
      <w:r>
        <w:t>) et la pratique de l'idolâtrie (</w:t>
      </w:r>
      <w:hyperlink r:id="rId11472">
        <w:r>
          <w:rPr>
            <w:color w:val="0000EE"/>
            <w:u w:val="single"/>
          </w:rPr>
          <w:t>Os 4b–6</w:t>
        </w:r>
      </w:hyperlink>
      <w:r>
        <w:t xml:space="preserve">). Les sacrifices d'Israël étaient inacceptables en raison de la désobéissance de la nation (voir </w:t>
      </w:r>
      <w:hyperlink r:id="rId11473">
        <w:r>
          <w:rPr>
            <w:color w:val="0000EE"/>
            <w:u w:val="single"/>
          </w:rPr>
          <w:t>1S 15.22</w:t>
        </w:r>
      </w:hyperlink>
      <w:r>
        <w:t xml:space="preserve"> ; </w:t>
      </w:r>
      <w:hyperlink r:id="rId11474">
        <w:r>
          <w:rPr>
            <w:color w:val="0000EE"/>
            <w:u w:val="single"/>
          </w:rPr>
          <w:t>Es 1.11–15</w:t>
        </w:r>
      </w:hyperlink>
      <w:r>
        <w:t>). Par conséquent, ils iraient en exil, similaire à l'exil antérieur en Égypte (</w:t>
      </w:r>
      <w:hyperlink r:id="rId11475">
        <w:r>
          <w:rPr>
            <w:color w:val="0000EE"/>
            <w:u w:val="single"/>
          </w:rPr>
          <w:t>Os 8.13</w:t>
        </w:r>
      </w:hyperlink>
      <w:r>
        <w:t>).</w:t>
      </w:r>
    </w:p>
    <w:p>
      <w:pPr>
        <w:pStyle w:val="Heading4"/>
      </w:pPr>
      <w:r>
        <w:t>Chapitre 9</w:t>
      </w:r>
    </w:p>
    <w:p>
      <w:r/>
      <w:hyperlink r:id="rId11476">
        <w:r>
          <w:rPr>
            <w:color w:val="0000EE"/>
            <w:u w:val="single"/>
          </w:rPr>
          <w:t>Osée 9</w:t>
        </w:r>
      </w:hyperlink>
      <w:r>
        <w:t xml:space="preserve"> poursuit la même thématique de l'exil. Israël ne trouvera aucune joie (</w:t>
      </w:r>
      <w:hyperlink r:id="rId11477">
        <w:r>
          <w:rPr>
            <w:color w:val="0000EE"/>
            <w:u w:val="single"/>
          </w:rPr>
          <w:t>Os 9.1</w:t>
        </w:r>
      </w:hyperlink>
      <w:r>
        <w:t>). Les produits de la terre ne les soutiendront pas car ils n'y vivront plus (</w:t>
      </w:r>
      <w:hyperlink r:id="rId11478">
        <w:r>
          <w:rPr>
            <w:color w:val="0000EE"/>
            <w:u w:val="single"/>
          </w:rPr>
          <w:t>Os 9.2–3</w:t>
        </w:r>
      </w:hyperlink>
      <w:r>
        <w:t>). Certains Israélites fuiront vers l'Égypte, tandis que d'autres seront emmenés captifs en Assyrie. Tous les sacrifices cesseront, et ils consommeront les vins et viandes sacrificiels pour leurs propres besoins (</w:t>
      </w:r>
      <w:hyperlink r:id="rId11479">
        <w:r>
          <w:rPr>
            <w:color w:val="0000EE"/>
            <w:u w:val="single"/>
          </w:rPr>
          <w:t>Os 9.4–5</w:t>
        </w:r>
      </w:hyperlink>
      <w:r>
        <w:t>). Les Égyptiens tueront les Israélites qui fuient vers l'Égypte (</w:t>
      </w:r>
      <w:hyperlink r:id="rId11480">
        <w:r>
          <w:rPr>
            <w:color w:val="0000EE"/>
            <w:u w:val="single"/>
          </w:rPr>
          <w:t>Os 9.6</w:t>
        </w:r>
      </w:hyperlink>
      <w:r>
        <w:t>).</w:t>
      </w:r>
    </w:p>
    <w:p>
      <w:pPr>
        <w:pStyle w:val="Heading4"/>
      </w:pPr>
      <w:r>
        <w:t>Chapitre 10</w:t>
      </w:r>
    </w:p>
    <w:p>
      <w:r/>
      <w:hyperlink r:id="rId11481">
        <w:r>
          <w:rPr>
            <w:color w:val="0000EE"/>
            <w:u w:val="single"/>
          </w:rPr>
          <w:t>Osée 10</w:t>
        </w:r>
      </w:hyperlink>
      <w:r>
        <w:t xml:space="preserve"> décrit plus en détail les conséquences des méfaits d'Israël. Israël est comme une vigne luxuriante (</w:t>
      </w:r>
      <w:hyperlink r:id="rId11482">
        <w:r>
          <w:rPr>
            <w:color w:val="0000EE"/>
            <w:u w:val="single"/>
          </w:rPr>
          <w:t>Os 10.1</w:t>
        </w:r>
      </w:hyperlink>
      <w:r>
        <w:t>), mais son abondance est mal employée, étant utilisée pour des sacrifices sur des autels païens. Ils sont coupables devant Dieu, qui est sur le point de détruire leurs autels et de retirer leur roi (</w:t>
      </w:r>
      <w:hyperlink r:id="rId11483">
        <w:r>
          <w:rPr>
            <w:color w:val="0000EE"/>
            <w:u w:val="single"/>
          </w:rPr>
          <w:t>Os 10.2–3</w:t>
        </w:r>
      </w:hyperlink>
      <w:r>
        <w:t>). Guibea est mentionnée à nouveau (</w:t>
      </w:r>
      <w:hyperlink r:id="rId11484">
        <w:r>
          <w:rPr>
            <w:color w:val="0000EE"/>
            <w:u w:val="single"/>
          </w:rPr>
          <w:t>Os 9.9</w:t>
        </w:r>
      </w:hyperlink>
      <w:r>
        <w:t>), rappelant à Israël que se détourner de Dieu est à la fois contagieux et permanent (</w:t>
      </w:r>
      <w:hyperlink r:id="rId11485">
        <w:r>
          <w:rPr>
            <w:color w:val="0000EE"/>
            <w:u w:val="single"/>
          </w:rPr>
          <w:t>Os 10.9</w:t>
        </w:r>
      </w:hyperlink>
      <w:r>
        <w:t xml:space="preserve">). La « </w:t>
      </w:r>
      <w:r>
        <w:t>double iniquité</w:t>
      </w:r>
      <w:r>
        <w:t xml:space="preserve"> » dans </w:t>
      </w:r>
      <w:hyperlink r:id="rId11486">
        <w:r>
          <w:rPr>
            <w:color w:val="0000EE"/>
            <w:u w:val="single"/>
          </w:rPr>
          <w:t>Osée 10.10</w:t>
        </w:r>
      </w:hyperlink>
      <w:r>
        <w:t xml:space="preserve"> peut faire référence aux deux idoles de veau à Béthel et Dan, qui ont entraîné la punition de Dieu. La pénalité sera un dur labeur sous un lourd fardeau (</w:t>
      </w:r>
      <w:hyperlink r:id="rId11487">
        <w:r>
          <w:rPr>
            <w:color w:val="0000EE"/>
            <w:u w:val="single"/>
          </w:rPr>
          <w:t>Os 10.11</w:t>
        </w:r>
      </w:hyperlink>
      <w:r>
        <w:t>).</w:t>
      </w:r>
    </w:p>
    <w:p>
      <w:pPr>
        <w:pStyle w:val="Heading4"/>
      </w:pPr>
      <w:r>
        <w:t>Chapitres 11–14</w:t>
      </w:r>
    </w:p>
    <w:p>
      <w:r/>
      <w:r>
        <w:t>Les chapitres 11 à 14 concluent les prophéties d'Osée avec un message sur la future restauration d'Israël. L'amour indéfectible du Père est le fondement de cette restauration future (</w:t>
      </w:r>
      <w:hyperlink r:id="rId11488">
        <w:r>
          <w:rPr>
            <w:color w:val="0000EE"/>
            <w:u w:val="single"/>
          </w:rPr>
          <w:t>Os 11.1–12</w:t>
        </w:r>
      </w:hyperlink>
      <w:r>
        <w:t>). En tant que nation, Israël a été appelé hors d'Égypte comme fils de Yahvé (</w:t>
      </w:r>
      <w:hyperlink r:id="rId11489">
        <w:r>
          <w:rPr>
            <w:color w:val="0000EE"/>
            <w:u w:val="single"/>
          </w:rPr>
          <w:t>Os 11.1</w:t>
        </w:r>
      </w:hyperlink>
      <w:r>
        <w:t xml:space="preserve"> ; voir aussi </w:t>
      </w:r>
      <w:hyperlink r:id="rId5249">
        <w:r>
          <w:rPr>
            <w:color w:val="0000EE"/>
            <w:u w:val="single"/>
          </w:rPr>
          <w:t>Ex 4.22–23</w:t>
        </w:r>
      </w:hyperlink>
      <w:r>
        <w:t>). Cependant, Israël n'a pas rendu au Père l'amour qu'il avait prodigué et a cherché plutôt des alliances avec les païens (</w:t>
      </w:r>
      <w:hyperlink r:id="rId11490">
        <w:r>
          <w:rPr>
            <w:color w:val="0000EE"/>
            <w:u w:val="single"/>
          </w:rPr>
          <w:t>Os 11.5</w:t>
        </w:r>
      </w:hyperlink>
      <w:r>
        <w:t>), ce qui conduirait au jugement (</w:t>
      </w:r>
      <w:hyperlink r:id="rId11491">
        <w:r>
          <w:rPr>
            <w:color w:val="0000EE"/>
            <w:u w:val="single"/>
          </w:rPr>
          <w:t>Os 11.5–7</w:t>
        </w:r>
      </w:hyperlink>
      <w:r>
        <w:t>). Les paroles de Yahvé démontrent son jugement immuable en raison de sa sainteté et de sa justice parfaites (</w:t>
      </w:r>
      <w:hyperlink r:id="rId11492">
        <w:r>
          <w:rPr>
            <w:color w:val="0000EE"/>
            <w:u w:val="single"/>
          </w:rPr>
          <w:t>Os 12.1–13.16</w:t>
        </w:r>
      </w:hyperlink>
      <w:r>
        <w:t>). Les péchés d'Israël exigent une punition équitable (</w:t>
      </w:r>
      <w:hyperlink r:id="rId11493">
        <w:r>
          <w:rPr>
            <w:color w:val="0000EE"/>
            <w:u w:val="single"/>
          </w:rPr>
          <w:t>Os 12.1–2</w:t>
        </w:r>
      </w:hyperlink>
      <w:r>
        <w:t>). Israël est responsable de la destruction du royaume du nord. Malgré le péché d'Israël, Dieu peut encore être son aide (</w:t>
      </w:r>
      <w:hyperlink r:id="rId11494">
        <w:r>
          <w:rPr>
            <w:color w:val="0000EE"/>
            <w:u w:val="single"/>
          </w:rPr>
          <w:t>Os 13.9</w:t>
        </w:r>
      </w:hyperlink>
      <w:r>
        <w:t>).</w:t>
      </w:r>
    </w:p>
    <w:p>
      <w:r/>
      <w:r>
        <w:t>Israël aurait dû se repentir promptement, mais elle ne l'a pas fait (</w:t>
      </w:r>
      <w:hyperlink r:id="rId11495">
        <w:r>
          <w:rPr>
            <w:color w:val="0000EE"/>
            <w:u w:val="single"/>
          </w:rPr>
          <w:t>Os 13.13</w:t>
        </w:r>
      </w:hyperlink>
      <w:r>
        <w:t>). Toutefois, la miséricorde de Yahvé mettrait finalement fin à la mort elle-même, permettant à Israël de vivre spirituellement, politiquement, et peut-être physiquement (</w:t>
      </w:r>
      <w:hyperlink r:id="rId648">
        <w:r>
          <w:rPr>
            <w:color w:val="0000EE"/>
            <w:u w:val="single"/>
          </w:rPr>
          <w:t>Os 13.14</w:t>
        </w:r>
      </w:hyperlink>
      <w:r>
        <w:t xml:space="preserve"> ; voir aussi </w:t>
      </w:r>
      <w:hyperlink r:id="rId11389">
        <w:r>
          <w:rPr>
            <w:color w:val="0000EE"/>
            <w:u w:val="single"/>
          </w:rPr>
          <w:t>Ez 37.1–14</w:t>
        </w:r>
      </w:hyperlink>
      <w:r>
        <w:t xml:space="preserve"> ; </w:t>
      </w:r>
      <w:hyperlink r:id="rId11496">
        <w:r>
          <w:rPr>
            <w:color w:val="0000EE"/>
            <w:u w:val="single"/>
          </w:rPr>
          <w:t>Dn 12.1–2, 13</w:t>
        </w:r>
      </w:hyperlink>
      <w:r>
        <w:t>).</w:t>
      </w:r>
    </w:p>
    <w:p>
      <w:r/>
      <w:hyperlink r:id="rId11497">
        <w:r>
          <w:rPr>
            <w:color w:val="0000EE"/>
            <w:u w:val="single"/>
          </w:rPr>
          <w:t>Osée 14</w:t>
        </w:r>
      </w:hyperlink>
      <w:r>
        <w:t xml:space="preserve"> présente l'invitation aimante de Dieu lancée à Israël pour qu'elle se repente et retourne à lui par la confession, la prière et la louange (</w:t>
      </w:r>
      <w:hyperlink r:id="rId11498">
        <w:r>
          <w:rPr>
            <w:color w:val="0000EE"/>
            <w:u w:val="single"/>
          </w:rPr>
          <w:t>Os 14.2</w:t>
        </w:r>
      </w:hyperlink>
      <w:r>
        <w:t xml:space="preserve">). L'expression « </w:t>
      </w:r>
      <w:r>
        <w:t>l’hommage de nos lèvres</w:t>
      </w:r>
      <w:r>
        <w:t xml:space="preserve"> » (</w:t>
      </w:r>
      <w:hyperlink r:id="rId11498">
        <w:r>
          <w:rPr>
            <w:color w:val="0000EE"/>
            <w:u w:val="single"/>
          </w:rPr>
          <w:t>Os 14.2</w:t>
        </w:r>
      </w:hyperlink>
      <w:r>
        <w:t xml:space="preserve">) fait référence à une offrande </w:t>
      </w:r>
      <w:r>
        <w:t>d’actions de grâces</w:t>
      </w:r>
      <w:r>
        <w:t>, qui incluait généralement de jeunes taureaux (</w:t>
      </w:r>
      <w:hyperlink r:id="rId11499">
        <w:r>
          <w:rPr>
            <w:color w:val="0000EE"/>
            <w:u w:val="single"/>
          </w:rPr>
          <w:t>Ex 24.5</w:t>
        </w:r>
      </w:hyperlink>
      <w:r>
        <w:t xml:space="preserve"> ; </w:t>
      </w:r>
      <w:hyperlink r:id="rId11500">
        <w:r>
          <w:rPr>
            <w:color w:val="0000EE"/>
            <w:u w:val="single"/>
          </w:rPr>
          <w:t>Lv 7.11–15</w:t>
        </w:r>
      </w:hyperlink>
      <w:r>
        <w:t xml:space="preserve"> ; voir aussi </w:t>
      </w:r>
      <w:hyperlink r:id="rId11501">
        <w:r>
          <w:rPr>
            <w:color w:val="0000EE"/>
            <w:u w:val="single"/>
          </w:rPr>
          <w:t>Ps 51.17–19</w:t>
        </w:r>
      </w:hyperlink>
      <w:r>
        <w:t xml:space="preserve"> ; </w:t>
      </w:r>
      <w:hyperlink r:id="rId11502">
        <w:r>
          <w:rPr>
            <w:color w:val="0000EE"/>
            <w:u w:val="single"/>
          </w:rPr>
          <w:t>69.30–31</w:t>
        </w:r>
      </w:hyperlink>
      <w:r>
        <w:t xml:space="preserve"> ; </w:t>
      </w:r>
      <w:hyperlink r:id="rId11503">
        <w:r>
          <w:rPr>
            <w:color w:val="0000EE"/>
            <w:u w:val="single"/>
          </w:rPr>
          <w:t>Hé 13.15–16</w:t>
        </w:r>
      </w:hyperlink>
      <w:r>
        <w:t>). Une partie de la confession d'Israël impliquera de reconnaître que le salut ne vient pas d'Assyrie (dans les alliances politiques) ou des idoles (</w:t>
      </w:r>
      <w:hyperlink r:id="rId11504">
        <w:r>
          <w:rPr>
            <w:color w:val="0000EE"/>
            <w:u w:val="single"/>
          </w:rPr>
          <w:t>Os 14.3</w:t>
        </w:r>
      </w:hyperlink>
      <w:r>
        <w:t>).</w:t>
      </w:r>
    </w:p>
    <w:p>
      <w:r/>
      <w:r>
        <w:t xml:space="preserve">Dieu promet à plusieurs reprises des bénédictions à Israël lors de leur restauration (notez « Je réparerai [...], J’aurai [...] Je serai [...] », dans </w:t>
      </w:r>
      <w:hyperlink r:id="rId11505">
        <w:r>
          <w:rPr>
            <w:color w:val="0000EE"/>
            <w:u w:val="single"/>
          </w:rPr>
          <w:t>Os 14.4–5</w:t>
        </w:r>
      </w:hyperlink>
      <w:r>
        <w:t>). Yahvé guérira Israël spirituellement, les aimera librement, les aidera à prospérer pleinement et les protégera entièrement (</w:t>
      </w:r>
      <w:hyperlink r:id="rId11506">
        <w:r>
          <w:rPr>
            <w:color w:val="0000EE"/>
            <w:u w:val="single"/>
          </w:rPr>
          <w:t>Os 14.4–7</w:t>
        </w:r>
      </w:hyperlink>
      <w:r>
        <w:t>). Israël sera aussi beau que le lys, aussi fort que le cèdre, et aussi fructueux que l'olivier.</w:t>
      </w:r>
    </w:p>
    <w:p>
      <w:pPr>
        <w:pStyle w:val="Heading3"/>
      </w:pPr>
      <w:r>
        <w:t>Quel est le message du livre d'Osée ?</w:t>
      </w:r>
    </w:p>
    <w:p>
      <w:r/>
      <w:r>
        <w:t>Le principal objectif d'Osée se trouve dans le dernier verset (</w:t>
      </w:r>
      <w:hyperlink r:id="rId11507">
        <w:r>
          <w:rPr>
            <w:color w:val="0000EE"/>
            <w:u w:val="single"/>
          </w:rPr>
          <w:t>Os 14.9</w:t>
        </w:r>
      </w:hyperlink>
      <w:r>
        <w:t>). Les personnes sages mèneront des vies pieuses, tandis que les personnes insensées mèneront des vies impies. Ceux qui mènent des vies pieuses feront l'expérience de :</w:t>
      </w:r>
    </w:p>
    <w:p>
      <w:pPr>
        <w:pStyle w:val="ListBullet"/>
        <w:spacing w:line="240" w:lineRule="auto"/>
        <w:ind w:left="720"/>
      </w:pPr>
      <w:r/>
      <w:r>
        <w:t>La restauration,</w:t>
      </w:r>
    </w:p>
    <w:p>
      <w:pPr>
        <w:pStyle w:val="ListBullet"/>
        <w:spacing w:line="240" w:lineRule="auto"/>
        <w:ind w:left="720"/>
      </w:pPr>
      <w:r/>
      <w:r>
        <w:t>Le triomphe sur la mort (</w:t>
      </w:r>
      <w:hyperlink r:id="rId648">
        <w:r>
          <w:rPr>
            <w:color w:val="0000EE"/>
            <w:u w:val="single"/>
          </w:rPr>
          <w:t>Os 13.14</w:t>
        </w:r>
      </w:hyperlink>
      <w:r>
        <w:t>)</w:t>
      </w:r>
    </w:p>
    <w:p>
      <w:pPr>
        <w:pStyle w:val="ListBullet"/>
        <w:spacing w:line="240" w:lineRule="auto"/>
        <w:ind w:left="720"/>
      </w:pPr>
      <w:r/>
      <w:r>
        <w:t>Les bénédictions (</w:t>
      </w:r>
      <w:hyperlink r:id="rId11506">
        <w:r>
          <w:rPr>
            <w:color w:val="0000EE"/>
            <w:u w:val="single"/>
          </w:rPr>
          <w:t>Os 14.4–7</w:t>
        </w:r>
      </w:hyperlink>
      <w:r>
        <w:t>)</w:t>
      </w:r>
    </w:p>
    <w:p>
      <w:r/>
      <w:r>
        <w:t>L'idolâtrie est tout ce qui prend la place de Dieu dans le cœur humain. Israël n'a pas cherché Dieu pour :</w:t>
      </w:r>
    </w:p>
    <w:p>
      <w:pPr>
        <w:pStyle w:val="ListBullet"/>
        <w:spacing w:line="240" w:lineRule="auto"/>
        <w:ind w:left="720"/>
      </w:pPr>
      <w:r/>
      <w:r>
        <w:t>La direction</w:t>
      </w:r>
    </w:p>
    <w:p>
      <w:pPr>
        <w:pStyle w:val="ListBullet"/>
        <w:spacing w:line="240" w:lineRule="auto"/>
        <w:ind w:left="720"/>
      </w:pPr>
      <w:r/>
      <w:r>
        <w:t>L'aide</w:t>
      </w:r>
    </w:p>
    <w:p>
      <w:pPr>
        <w:pStyle w:val="ListBullet"/>
        <w:spacing w:line="240" w:lineRule="auto"/>
        <w:ind w:left="720"/>
      </w:pPr>
      <w:r/>
      <w:r>
        <w:t>La bénédiction</w:t>
      </w:r>
    </w:p>
    <w:p>
      <w:pPr>
        <w:pStyle w:val="ListBullet"/>
        <w:spacing w:line="240" w:lineRule="auto"/>
        <w:ind w:left="720"/>
      </w:pPr>
      <w:r/>
      <w:r>
        <w:t>Le salut</w:t>
      </w:r>
    </w:p>
    <w:p>
      <w:r/>
      <w:r>
        <w:t>Au lieu de cela, Israël s'est tourné vers :</w:t>
      </w:r>
    </w:p>
    <w:p>
      <w:pPr>
        <w:pStyle w:val="ListBullet"/>
        <w:spacing w:line="240" w:lineRule="auto"/>
        <w:ind w:left="720"/>
      </w:pPr>
      <w:r/>
      <w:r>
        <w:t>Des dieux étrangers (</w:t>
      </w:r>
      <w:hyperlink r:id="rId11508">
        <w:r>
          <w:rPr>
            <w:color w:val="0000EE"/>
            <w:u w:val="single"/>
          </w:rPr>
          <w:t>Os 4.12–19</w:t>
        </w:r>
      </w:hyperlink>
      <w:r>
        <w:t>)</w:t>
      </w:r>
    </w:p>
    <w:p>
      <w:pPr>
        <w:pStyle w:val="ListBullet"/>
        <w:spacing w:line="240" w:lineRule="auto"/>
        <w:ind w:left="720"/>
      </w:pPr>
      <w:r/>
      <w:r>
        <w:t>L'orgueil national (</w:t>
      </w:r>
      <w:hyperlink r:id="rId11509">
        <w:r>
          <w:rPr>
            <w:color w:val="0000EE"/>
            <w:u w:val="single"/>
          </w:rPr>
          <w:t>Os 5.5</w:t>
        </w:r>
      </w:hyperlink>
      <w:r>
        <w:t>)</w:t>
      </w:r>
    </w:p>
    <w:p>
      <w:pPr>
        <w:pStyle w:val="ListBullet"/>
        <w:spacing w:line="240" w:lineRule="auto"/>
        <w:ind w:left="720"/>
      </w:pPr>
      <w:r/>
      <w:r>
        <w:t>Les rituels religieux (</w:t>
      </w:r>
      <w:hyperlink r:id="rId11510">
        <w:r>
          <w:rPr>
            <w:color w:val="0000EE"/>
            <w:u w:val="single"/>
          </w:rPr>
          <w:t>Os 6.6</w:t>
        </w:r>
      </w:hyperlink>
      <w:r>
        <w:t>)</w:t>
      </w:r>
    </w:p>
    <w:p>
      <w:pPr>
        <w:pStyle w:val="ListBullet"/>
        <w:spacing w:line="240" w:lineRule="auto"/>
        <w:ind w:left="720"/>
      </w:pPr>
      <w:r/>
      <w:r>
        <w:t>La convenance politique (</w:t>
      </w:r>
      <w:hyperlink r:id="rId11462">
        <w:r>
          <w:rPr>
            <w:color w:val="0000EE"/>
            <w:u w:val="single"/>
          </w:rPr>
          <w:t>Os 7.3</w:t>
        </w:r>
      </w:hyperlink>
      <w:r>
        <w:t>)</w:t>
      </w:r>
    </w:p>
    <w:p>
      <w:pPr>
        <w:pStyle w:val="ListBullet"/>
        <w:spacing w:line="240" w:lineRule="auto"/>
        <w:ind w:left="720"/>
      </w:pPr>
      <w:r/>
      <w:r>
        <w:t>Les alliances politiques (</w:t>
      </w:r>
      <w:hyperlink r:id="rId11349">
        <w:r>
          <w:rPr>
            <w:color w:val="0000EE"/>
            <w:u w:val="single"/>
          </w:rPr>
          <w:t>Os 7.11</w:t>
        </w:r>
      </w:hyperlink>
      <w:r>
        <w:t>)</w:t>
      </w:r>
    </w:p>
    <w:p>
      <w:pPr>
        <w:pStyle w:val="ListBullet"/>
        <w:spacing w:line="240" w:lineRule="auto"/>
        <w:ind w:left="720"/>
      </w:pPr>
      <w:r/>
      <w:r>
        <w:t>Le gouvernement civil (</w:t>
      </w:r>
      <w:hyperlink r:id="rId10074">
        <w:r>
          <w:rPr>
            <w:color w:val="0000EE"/>
            <w:u w:val="single"/>
          </w:rPr>
          <w:t>Os 8.4</w:t>
        </w:r>
      </w:hyperlink>
      <w:r>
        <w:t>)</w:t>
      </w:r>
    </w:p>
    <w:p>
      <w:pPr>
        <w:pStyle w:val="ListBullet"/>
        <w:spacing w:line="240" w:lineRule="auto"/>
        <w:ind w:left="720"/>
      </w:pPr>
      <w:r/>
      <w:r>
        <w:t>Les projets de construction (</w:t>
      </w:r>
      <w:hyperlink r:id="rId11401">
        <w:r>
          <w:rPr>
            <w:color w:val="0000EE"/>
            <w:u w:val="single"/>
          </w:rPr>
          <w:t>Os 8.14</w:t>
        </w:r>
      </w:hyperlink>
      <w:r>
        <w:t>)</w:t>
      </w:r>
    </w:p>
    <w:p>
      <w:pPr>
        <w:pStyle w:val="ListBullet"/>
        <w:spacing w:line="240" w:lineRule="auto"/>
        <w:ind w:left="720"/>
      </w:pPr>
      <w:r/>
      <w:r>
        <w:t>La richesse égoïste (</w:t>
      </w:r>
      <w:hyperlink r:id="rId11482">
        <w:r>
          <w:rPr>
            <w:color w:val="0000EE"/>
            <w:u w:val="single"/>
          </w:rPr>
          <w:t>Os 10.1</w:t>
        </w:r>
      </w:hyperlink>
      <w:r>
        <w:t>)</w:t>
      </w:r>
    </w:p>
    <w:p>
      <w:pPr>
        <w:pStyle w:val="ListBullet"/>
        <w:spacing w:line="240" w:lineRule="auto"/>
        <w:ind w:left="720"/>
      </w:pPr>
      <w:r/>
      <w:r>
        <w:t>Le culte des idoles (</w:t>
      </w:r>
      <w:hyperlink r:id="rId1572">
        <w:r>
          <w:rPr>
            <w:color w:val="0000EE"/>
            <w:u w:val="single"/>
          </w:rPr>
          <w:t>Os 13.2</w:t>
        </w:r>
      </w:hyperlink>
      <w:r>
        <w:t>)</w:t>
      </w:r>
    </w:p>
    <w:p>
      <w:r/>
      <w:r>
        <w:t>Ils ne pouvaient trouver la véritable bénédiction et sécurité qu'en Dieu (</w:t>
      </w:r>
      <w:hyperlink r:id="rId11511">
        <w:r>
          <w:rPr>
            <w:color w:val="0000EE"/>
            <w:u w:val="single"/>
          </w:rPr>
          <w:t>Os 13.4, 9</w:t>
        </w:r>
      </w:hyperlink>
      <w:r>
        <w:t xml:space="preserve"> ; </w:t>
      </w:r>
      <w:hyperlink r:id="rId11506">
        <w:r>
          <w:rPr>
            <w:color w:val="0000EE"/>
            <w:u w:val="single"/>
          </w:rPr>
          <w:t>14.4–7</w:t>
        </w:r>
      </w:hyperlink>
      <w:r>
        <w:t>).</w:t>
      </w:r>
    </w:p>
    <w:p>
      <w:r/>
      <w:r>
        <w:t>Osée décrit l'apostasie (abandon de la foi) comme contagieuse. Elle peut commencer soit par les dirigeants spirituels, soit par le peuple, puis se propager (</w:t>
      </w:r>
      <w:hyperlink r:id="rId11442">
        <w:r>
          <w:rPr>
            <w:color w:val="0000EE"/>
            <w:u w:val="single"/>
          </w:rPr>
          <w:t>Os 4.9</w:t>
        </w:r>
      </w:hyperlink>
      <w:r>
        <w:t>). La punition pour l'apostasie dépend de la responsabilité de chacun (</w:t>
      </w:r>
      <w:hyperlink r:id="rId10334">
        <w:r>
          <w:rPr>
            <w:color w:val="0000EE"/>
            <w:u w:val="single"/>
          </w:rPr>
          <w:t>Os 5.1</w:t>
        </w:r>
      </w:hyperlink>
      <w:r>
        <w:t xml:space="preserve"> ; </w:t>
      </w:r>
      <w:hyperlink r:id="rId11494">
        <w:r>
          <w:rPr>
            <w:color w:val="0000EE"/>
            <w:u w:val="single"/>
          </w:rPr>
          <w:t>13.9</w:t>
        </w:r>
      </w:hyperlink>
      <w:r>
        <w:t xml:space="preserve"> ; </w:t>
      </w:r>
      <w:hyperlink r:id="rId11512">
        <w:r>
          <w:rPr>
            <w:color w:val="0000EE"/>
            <w:u w:val="single"/>
          </w:rPr>
          <w:t>14.4</w:t>
        </w:r>
      </w:hyperlink>
      <w:r>
        <w:t>).</w:t>
      </w:r>
    </w:p>
    <w:p>
      <w:r/>
      <w:r>
        <w:rPr>
          <w:i/>
        </w:rPr>
        <w:t>Voir aussi</w:t>
      </w:r>
      <w:r>
        <w:t xml:space="preserve"> </w:t>
      </w:r>
      <w:r>
        <w:t>Osée (Personne)</w:t>
      </w:r>
      <w:r>
        <w:t xml:space="preserve"> ; </w:t>
      </w:r>
      <w:r>
        <w:t>Israël, Histoire d’</w:t>
      </w:r>
      <w:r>
        <w:t xml:space="preserve"> ; </w:t>
      </w:r>
      <w:r>
        <w:t>Prophétie</w:t>
      </w:r>
      <w:r>
        <w:t xml:space="preserve"> ; </w:t>
      </w:r>
      <w:r>
        <w:t>Prophète, Prophétesse</w:t>
      </w:r>
      <w:r>
        <w:t>.</w:t>
      </w:r>
      <w:r/>
      <w:r/>
    </w:p>
    <w:p>
      <w:r/>
    </w:p>
    <w:p>
      <w:pPr>
        <w:pStyle w:val="Heading2"/>
      </w:pPr>
      <w:r>
        <w:t>Paddan, Paddan-Aram</w:t>
      </w:r>
      <w:r/>
    </w:p>
    <w:p>
      <w:r/>
      <w:r>
        <w:t xml:space="preserve">District de Mésopotamie du Nord-Ouest dont le nom signifie « Champ d'Aram », distinguant cette plaine des régions montagneuses au nord et à l'orient. Paddan-Aram est alternativement appelé Paddan dans </w:t>
      </w:r>
      <w:hyperlink r:id="rId1892">
        <w:r>
          <w:rPr>
            <w:color w:val="0000EE"/>
            <w:u w:val="single"/>
          </w:rPr>
          <w:t>Genèse 48.7</w:t>
        </w:r>
      </w:hyperlink>
      <w:r>
        <w:t xml:space="preserve">, le « pays d'Aram » dans </w:t>
      </w:r>
      <w:hyperlink r:id="rId11513">
        <w:r>
          <w:rPr>
            <w:color w:val="0000EE"/>
            <w:u w:val="single"/>
          </w:rPr>
          <w:t>Osée 12.12</w:t>
        </w:r>
      </w:hyperlink>
      <w:r>
        <w:t xml:space="preserve">, et </w:t>
      </w:r>
      <w:r>
        <w:rPr>
          <w:i/>
        </w:rPr>
        <w:t>Aram-Naharaïm</w:t>
      </w:r>
      <w:r>
        <w:t xml:space="preserve"> dans </w:t>
      </w:r>
      <w:hyperlink r:id="rId2403">
        <w:r>
          <w:rPr>
            <w:color w:val="0000EE"/>
            <w:u w:val="single"/>
          </w:rPr>
          <w:t>Genèse 24.10</w:t>
        </w:r>
      </w:hyperlink>
      <w:r>
        <w:t xml:space="preserve"> signifiant « </w:t>
      </w:r>
      <w:r>
        <w:t>Aram-des-deux-Fleuves</w:t>
      </w:r>
      <w:r>
        <w:t xml:space="preserve"> » (voir TOB2010). Les deux fleuves font probablement référence aux fleuves Euphrate et Balih, entre lesquels était située cette étendue de terre.</w:t>
      </w:r>
    </w:p>
    <w:p>
      <w:r/>
      <w:r>
        <w:rPr>
          <w:i/>
        </w:rPr>
        <w:t>Voir aussi</w:t>
      </w:r>
      <w:r>
        <w:t xml:space="preserve"> </w:t>
      </w:r>
      <w:r>
        <w:t>Aram-Naharaïm</w:t>
      </w:r>
      <w:r>
        <w:t>.</w:t>
      </w:r>
      <w:r/>
      <w:r/>
    </w:p>
    <w:p>
      <w:r/>
    </w:p>
    <w:p>
      <w:pPr>
        <w:pStyle w:val="Heading2"/>
      </w:pPr>
      <w:r>
        <w:t>païens, cour des</w:t>
      </w:r>
      <w:r/>
    </w:p>
    <w:p>
      <w:r/>
      <w:r>
        <w:t>Dans certaines traductions de la Bible et certains livres chrétiens, cette cour est parfois appelée « parvis des païens » ou « parvis des Gentils ». La cour des païens ou des Gentils désigne une cour du Temple où les non-Juifs avaient le droit d'entrer. Ils ne pouvaient pas entrer dans les autres parties du Temple.</w:t>
      </w:r>
    </w:p>
    <w:p>
      <w:r/>
      <w:r>
        <w:t>Dans le temple de Jérusalem que le roi Hérode avait agrandi, la cour des Gentils était la section la plus grande du Temple. Elle était située près des murs extérieurs, immédiatement en entrant dans le Temple, qui incluait plusieurs cours et bâtiments.</w:t>
      </w:r>
    </w:p>
    <w:p>
      <w:r/>
      <w:r>
        <w:t xml:space="preserve">La cour des païens était rectangulaire, mais pas de la même taille de tous les côtés. Elle était plus large à son extrémité nord qu'à son extrémité sud. Tant les Juifs que les non-Juifs avaient le droit d'entrer dans cette partie du Temple. Un mur de séparation et des panneaux sur ce mur de séparation interdisaient l'entrée des autres parties du Temple aux non-Juifs. </w:t>
      </w:r>
    </w:p>
    <w:p>
      <w:r/>
      <w:r>
        <w:t xml:space="preserve">Dans la cour des païens, des marchands vendaient des animaux à utiliser pour les sacrifices. Les changeurs permettaient à ceux qui venaient de loin d'échanger leurs pièces de monnaies étrangères contre de la monnaie juive. C'est de cette cour que Jésus chasse les marchands et les changeurs, leur disant : « </w:t>
      </w:r>
      <w:r>
        <w:t>N’est-il pas écrit : Ma maison sera appelée une maison de prière pour toutes les nations ? Mais vous, vous en avez fait une caverne de voleurs</w:t>
      </w:r>
      <w:r>
        <w:t xml:space="preserve"> (</w:t>
      </w:r>
      <w:hyperlink r:id="rId11514">
        <w:r>
          <w:rPr>
            <w:color w:val="0000EE"/>
            <w:u w:val="single"/>
          </w:rPr>
          <w:t>Mc 11.15–18</w:t>
        </w:r>
      </w:hyperlink>
      <w:r>
        <w:t xml:space="preserve"> ; </w:t>
      </w:r>
      <w:hyperlink r:id="rId11515">
        <w:r>
          <w:rPr>
            <w:color w:val="0000EE"/>
            <w:u w:val="single"/>
          </w:rPr>
          <w:t xml:space="preserve">Mt 21.12–13 </w:t>
        </w:r>
      </w:hyperlink>
      <w:r>
        <w:t xml:space="preserve">; </w:t>
      </w:r>
      <w:hyperlink r:id="rId11516">
        <w:r>
          <w:rPr>
            <w:color w:val="0000EE"/>
            <w:u w:val="single"/>
          </w:rPr>
          <w:t>Jn 2.14–16</w:t>
        </w:r>
      </w:hyperlink>
      <w:r>
        <w:t>).</w:t>
      </w:r>
    </w:p>
    <w:p>
      <w:r/>
      <w:r>
        <w:rPr>
          <w:i/>
        </w:rPr>
        <w:t>Voir aussi</w:t>
      </w:r>
      <w:r>
        <w:t xml:space="preserve"> </w:t>
      </w:r>
      <w:r>
        <w:t>Temple</w:t>
      </w:r>
      <w:r>
        <w:t>.</w:t>
      </w:r>
      <w:r/>
      <w:r/>
    </w:p>
    <w:p>
      <w:r/>
    </w:p>
    <w:p>
      <w:pPr>
        <w:pStyle w:val="Heading2"/>
      </w:pPr>
      <w:r>
        <w:t>Pain</w:t>
      </w:r>
      <w:r/>
    </w:p>
    <w:p>
      <w:r/>
      <w:r>
        <w:t xml:space="preserve">Aliment préparé principalement à partir de pâte de farine ou de semoule de céréales. Du levain peut être ajouté à la pâte pour la faire lever. La pâte est pétrie dans la forme désirée (probablement sous forme de galette ou de miche), puis cuite. Le pain était considéré comme l'aliment de base. Il est commun dans la Bible de parler de « pain » pour représenter la nourriture en général. </w:t>
      </w:r>
    </w:p>
    <w:p>
      <w:pPr>
        <w:pStyle w:val="Heading3"/>
      </w:pPr>
      <w:r>
        <w:t>Céréales et grains utilisées pour faire du pain</w:t>
      </w:r>
    </w:p>
    <w:p>
      <w:r/>
      <w:r>
        <w:t xml:space="preserve">Dans le monde de la Bible, le blé, l'épeautre, l'orge, les haricots, les lentilles, le millet et la manne sont tous utilisés pour faire du pain. Typiquement, ces céréales ou graines sont écrasées en utilisant une meule ou une pierre pour en faire la farine qui sera utilisée pour le pain. </w:t>
      </w:r>
    </w:p>
    <w:p>
      <w:pPr>
        <w:pStyle w:val="Heading4"/>
      </w:pPr>
      <w:r>
        <w:t>Le blé</w:t>
      </w:r>
    </w:p>
    <w:p>
      <w:r/>
      <w:r>
        <w:t xml:space="preserve">Le blé est fréquemment mentionné dans les Écritures (parfois sous le nom de « froment » dans les versions françaises). Le blé est mentionné 48 fois dans l'Ancien Testament (AT) et 14 fois dans le Nouveau Testament (NT). Quatre mots différents désignent le blé dans l'hébreu de l'AT et un mot dans le grec du NT. Le blé dur d'hiver </w:t>
      </w:r>
      <w:r>
        <w:rPr>
          <w:i/>
        </w:rPr>
        <w:t>(triticum aestivum)</w:t>
      </w:r>
      <w:r>
        <w:t xml:space="preserve"> est toujours la variété de blé la plus populaire parmi les agriculteurs de Palestine. Il est semé à l'automne et récolté l'été suivant. </w:t>
      </w:r>
    </w:p>
    <w:p>
      <w:pPr>
        <w:pStyle w:val="Heading4"/>
      </w:pPr>
      <w:r>
        <w:t>L'orge</w:t>
      </w:r>
    </w:p>
    <w:p>
      <w:r/>
      <w:r>
        <w:t>L'orge mûrit plus rapidement et produit plus que le blé. La plaie de la grêle a frappé la récolte d'orge en Égypte, car elle avait déjà commencé à mûrir, alors que ce n'était pas encore le cas pour le blé et l'épeautre (</w:t>
      </w:r>
      <w:hyperlink r:id="rId11517">
        <w:r>
          <w:rPr>
            <w:color w:val="0000EE"/>
            <w:u w:val="single"/>
          </w:rPr>
          <w:t>Ex 9.31–32</w:t>
        </w:r>
      </w:hyperlink>
      <w:r>
        <w:t xml:space="preserve">). </w:t>
      </w:r>
    </w:p>
    <w:p>
      <w:r/>
      <w:r>
        <w:t xml:space="preserve">L'orge est mentionnée 32 fois dans l'AT. L'orge pouvait parfois produire une récolte même lorsque d'autres récoltes faisaient défaut en temps de famine (voir </w:t>
      </w:r>
      <w:hyperlink r:id="rId11518">
        <w:r>
          <w:rPr>
            <w:color w:val="0000EE"/>
            <w:u w:val="single"/>
          </w:rPr>
          <w:t>Ru 1.22</w:t>
        </w:r>
      </w:hyperlink>
      <w:r>
        <w:t xml:space="preserve"> ; </w:t>
      </w:r>
      <w:hyperlink r:id="rId11519">
        <w:r>
          <w:rPr>
            <w:color w:val="0000EE"/>
            <w:u w:val="single"/>
          </w:rPr>
          <w:t>2.17, 23</w:t>
        </w:r>
      </w:hyperlink>
      <w:r>
        <w:t xml:space="preserve"> ; </w:t>
      </w:r>
      <w:hyperlink r:id="rId11520">
        <w:r>
          <w:rPr>
            <w:color w:val="0000EE"/>
            <w:u w:val="single"/>
          </w:rPr>
          <w:t>3.2, 15, 17</w:t>
        </w:r>
      </w:hyperlink>
      <w:r>
        <w:t>). L'orge se vendait moins cher que le blé (</w:t>
      </w:r>
      <w:hyperlink r:id="rId11521">
        <w:r>
          <w:rPr>
            <w:color w:val="0000EE"/>
            <w:u w:val="single"/>
          </w:rPr>
          <w:t>2R 7.1, 16</w:t>
        </w:r>
      </w:hyperlink>
      <w:r>
        <w:t>). Les personnes plus pauvres en dépendaient. Le pain que le garçon qui a offert son repas à Jésus pour nourrir 5 000 personnes était du pain d'orge (</w:t>
      </w:r>
      <w:hyperlink r:id="rId479">
        <w:r>
          <w:rPr>
            <w:color w:val="0000EE"/>
            <w:u w:val="single"/>
          </w:rPr>
          <w:t>Jn 6.9, 13</w:t>
        </w:r>
      </w:hyperlink>
      <w:r>
        <w:t>). En Palestine, le bétail était nourri avec de l'orge (</w:t>
      </w:r>
      <w:hyperlink r:id="rId11522">
        <w:r>
          <w:rPr>
            <w:color w:val="0000EE"/>
            <w:u w:val="single"/>
          </w:rPr>
          <w:t>1R 4.28</w:t>
        </w:r>
      </w:hyperlink>
      <w:r>
        <w:t>). L'orge sur tige porte une enveloppe plus grande que celle du blé et a un long poil raide (le nom hébreu de l'orge signifie « long poil »). Ceci rend la séparation du grain (avec lequel on fait la farine) de la balle (les débris) plus difficile. L'orge coûtait donc moins cher parce qu'il y avait plus de chances qu'elle contienne des impuretés et parce que son goût était moins apprécié que celui du blé.</w:t>
      </w:r>
    </w:p>
    <w:p>
      <w:pPr>
        <w:pStyle w:val="Heading4"/>
      </w:pPr>
      <w:r>
        <w:t>L'épeautre</w:t>
      </w:r>
    </w:p>
    <w:p>
      <w:r/>
      <w:r>
        <w:t>Il s'agit d'une herbe robuste capable de produire même dans un sol pauvre. Le pain d'épeautre était connu en Égypte (</w:t>
      </w:r>
      <w:hyperlink r:id="rId11523">
        <w:r>
          <w:rPr>
            <w:color w:val="0000EE"/>
            <w:u w:val="single"/>
          </w:rPr>
          <w:t>Ex 9.32</w:t>
        </w:r>
      </w:hyperlink>
      <w:r>
        <w:t xml:space="preserve">). </w:t>
      </w:r>
      <w:hyperlink r:id="rId11524">
        <w:r>
          <w:rPr>
            <w:color w:val="0000EE"/>
            <w:u w:val="single"/>
          </w:rPr>
          <w:t>Ésaïe 28.24–28</w:t>
        </w:r>
      </w:hyperlink>
      <w:r>
        <w:t xml:space="preserve"> présente un résumé du travail de culture et de battage de céréales, dont l'épeautre. Les Israélites en faisaient occasionnellement du pain (</w:t>
      </w:r>
      <w:hyperlink r:id="rId481">
        <w:r>
          <w:rPr>
            <w:color w:val="0000EE"/>
            <w:u w:val="single"/>
          </w:rPr>
          <w:t>Ez 4.9</w:t>
        </w:r>
      </w:hyperlink>
      <w:r>
        <w:t>), mais s'en servaient surtout pour nourrir le bétail.</w:t>
      </w:r>
    </w:p>
    <w:p>
      <w:pPr>
        <w:pStyle w:val="Heading4"/>
      </w:pPr>
      <w:r>
        <w:t>Autres graines</w:t>
      </w:r>
    </w:p>
    <w:p>
      <w:r/>
      <w:r>
        <w:t>Des haricots, des lentilles et le millet étaient moulus et mélangés avec du blé, de l'orge ou de l'épeautre pour faire du pain (</w:t>
      </w:r>
      <w:hyperlink r:id="rId481">
        <w:r>
          <w:rPr>
            <w:color w:val="0000EE"/>
            <w:u w:val="single"/>
          </w:rPr>
          <w:t>Ez 4.9</w:t>
        </w:r>
      </w:hyperlink>
      <w:r>
        <w:t>). Le prophète Ézéchiel a mangé un tel pain comme signe de pain impur que les Israélites devraient manger lors de leur captivité parmi les Gentils.</w:t>
      </w:r>
    </w:p>
    <w:p>
      <w:pPr>
        <w:pStyle w:val="Heading4"/>
      </w:pPr>
      <w:r>
        <w:t>La manne</w:t>
      </w:r>
    </w:p>
    <w:p>
      <w:r/>
      <w:hyperlink r:id="rId11525">
        <w:r>
          <w:rPr>
            <w:color w:val="0000EE"/>
            <w:u w:val="single"/>
          </w:rPr>
          <w:t>Nombres 11.8</w:t>
        </w:r>
      </w:hyperlink>
      <w:r>
        <w:t xml:space="preserve"> explique qu'au désert, les Israélites moulaient de la manne dans des moulins ou la pilaient dans un mortier. Ensuite, ils la faisaient cuire dans des pots ou poêles comme pains. Dans un sens plus général, la manne est appelée du pain, car elle servait de nourriture de base dans le désert (</w:t>
      </w:r>
      <w:hyperlink r:id="rId11526">
        <w:r>
          <w:rPr>
            <w:color w:val="0000EE"/>
            <w:u w:val="single"/>
          </w:rPr>
          <w:t>Ex 16.4–32</w:t>
        </w:r>
      </w:hyperlink>
      <w:r>
        <w:t>). Elle avait l'apparence de graines de coriandre (</w:t>
      </w:r>
      <w:hyperlink r:id="rId3325">
        <w:r>
          <w:rPr>
            <w:color w:val="0000EE"/>
            <w:u w:val="single"/>
          </w:rPr>
          <w:t>Ex 16.31</w:t>
        </w:r>
      </w:hyperlink>
      <w:r>
        <w:t xml:space="preserve"> ; </w:t>
      </w:r>
      <w:hyperlink r:id="rId1723">
        <w:r>
          <w:rPr>
            <w:color w:val="0000EE"/>
            <w:u w:val="single"/>
          </w:rPr>
          <w:t>Nb 11.7</w:t>
        </w:r>
      </w:hyperlink>
      <w:r>
        <w:t>), ce qui indique que ces grains blancs ternes étaient plus petits que ceux du blé. Les Israélites se plaignaient de devoir toujours manger de ce pain et de ne pas en avoir d'un autre type (</w:t>
      </w:r>
      <w:hyperlink r:id="rId11527">
        <w:r>
          <w:rPr>
            <w:color w:val="0000EE"/>
            <w:u w:val="single"/>
          </w:rPr>
          <w:t>Nb 21.5</w:t>
        </w:r>
      </w:hyperlink>
      <w:r>
        <w:t xml:space="preserve">). Dans le </w:t>
      </w:r>
      <w:hyperlink r:id="rId11528">
        <w:r>
          <w:rPr>
            <w:color w:val="0000EE"/>
            <w:u w:val="single"/>
          </w:rPr>
          <w:t>Psaume 78.25</w:t>
        </w:r>
      </w:hyperlink>
      <w:r>
        <w:t>, la manne est appelée « le pain des grands ».</w:t>
      </w:r>
    </w:p>
    <w:p>
      <w:pPr>
        <w:pStyle w:val="Heading3"/>
      </w:pPr>
      <w:r>
        <w:t>Équipement utilisé pour préparer du pain</w:t>
      </w:r>
    </w:p>
    <w:p>
      <w:r/>
      <w:r>
        <w:t xml:space="preserve">Les bas-reliefs dans les </w:t>
      </w:r>
      <w:r>
        <w:rPr>
          <w:i/>
        </w:rPr>
        <w:t>mastabas</w:t>
      </w:r>
      <w:r>
        <w:t xml:space="preserve"> égyptiens (constructions funéraires) contiennent des illustrations de la plupart des ustensiles qui pouvait être utilisés pour faire du pain au Proche-Orient ancien.</w:t>
      </w:r>
    </w:p>
    <w:p>
      <w:pPr>
        <w:pStyle w:val="Heading4"/>
      </w:pPr>
      <w:r>
        <w:t>Tamis</w:t>
      </w:r>
    </w:p>
    <w:p>
      <w:r/>
      <w:r>
        <w:t xml:space="preserve">Les tamis servaient à séparer les éléments plus grands des éléments les plus petits. Par exemple, les graines pouvaient être séparées de petits cailloux. Ils étaient fabriqués en osier et semblables à une passoire, c'est à dire faits pour avoir des trous qui laissaient passer les petits éléments mais bloquaient les plus grands, qui étaient jetés. </w:t>
      </w:r>
    </w:p>
    <w:p>
      <w:pPr>
        <w:pStyle w:val="Heading4"/>
      </w:pPr>
      <w:r>
        <w:t>Meules</w:t>
      </w:r>
    </w:p>
    <w:p>
      <w:r/>
      <w:r>
        <w:t>Deux pierres étaient utilisées pour écraser le grain et en faire de la farine. La pierre du dessus (la meule supérieure) tournait juste au-dessus de la pierre du dessous et le grain entre les deux était ainsi écrasé. L'AT montre que même les pauvres avaient des meules et qu'elles étaient considérées comme aussi importantes à la survie qu'un manteau dans lequel dormir (</w:t>
      </w:r>
      <w:hyperlink r:id="rId10385">
        <w:r>
          <w:rPr>
            <w:color w:val="0000EE"/>
            <w:u w:val="single"/>
          </w:rPr>
          <w:t>Dt 24.6</w:t>
        </w:r>
      </w:hyperlink>
      <w:r>
        <w:t xml:space="preserve">, voir aussi </w:t>
      </w:r>
      <w:hyperlink r:id="rId823">
        <w:r>
          <w:rPr>
            <w:color w:val="0000EE"/>
            <w:u w:val="single"/>
          </w:rPr>
          <w:t>Ex 22.26–27</w:t>
        </w:r>
      </w:hyperlink>
      <w:r>
        <w:t>). Ceci indique à quel point le pain était un aliment de base important.</w:t>
      </w:r>
    </w:p>
    <w:p>
      <w:pPr>
        <w:pStyle w:val="Heading4"/>
      </w:pPr>
      <w:r>
        <w:t>Cruches</w:t>
      </w:r>
    </w:p>
    <w:p>
      <w:r/>
      <w:r>
        <w:t>C'étaient des récipients faits en terre cuite dans lesquels il était possible de mettre de l'huile d'olive, de l'eau ou du levain liquide à mélanger avec la farine pour faire de la pâte (</w:t>
      </w:r>
      <w:hyperlink r:id="rId2043">
        <w:r>
          <w:rPr>
            <w:color w:val="0000EE"/>
            <w:u w:val="single"/>
          </w:rPr>
          <w:t>Lv 2.4</w:t>
        </w:r>
      </w:hyperlink>
      <w:r>
        <w:t xml:space="preserve"> ; </w:t>
      </w:r>
      <w:hyperlink r:id="rId6531">
        <w:r>
          <w:rPr>
            <w:color w:val="0000EE"/>
            <w:u w:val="single"/>
          </w:rPr>
          <w:t>1R 17.12–16</w:t>
        </w:r>
      </w:hyperlink>
      <w:r>
        <w:t>).</w:t>
      </w:r>
    </w:p>
    <w:p>
      <w:pPr>
        <w:pStyle w:val="Heading4"/>
      </w:pPr>
      <w:r>
        <w:t>Corbeilles</w:t>
      </w:r>
    </w:p>
    <w:p>
      <w:r/>
      <w:r>
        <w:t>La Bible mentionne plusieurs fois que la pâte à pain était pétrie (</w:t>
      </w:r>
      <w:hyperlink r:id="rId9997">
        <w:r>
          <w:rPr>
            <w:color w:val="0000EE"/>
            <w:u w:val="single"/>
          </w:rPr>
          <w:t>Ex 8.3</w:t>
        </w:r>
      </w:hyperlink>
      <w:r>
        <w:t xml:space="preserve"> ; </w:t>
      </w:r>
      <w:hyperlink r:id="rId11529">
        <w:r>
          <w:rPr>
            <w:color w:val="0000EE"/>
            <w:u w:val="single"/>
          </w:rPr>
          <w:t>12.34</w:t>
        </w:r>
      </w:hyperlink>
      <w:r>
        <w:t xml:space="preserve"> ; </w:t>
      </w:r>
      <w:hyperlink r:id="rId11530">
        <w:r>
          <w:rPr>
            <w:color w:val="0000EE"/>
            <w:u w:val="single"/>
          </w:rPr>
          <w:t>Dt 28.5, 17</w:t>
        </w:r>
      </w:hyperlink>
      <w:r>
        <w:t>). Les ingrédients liquides sont bien mélangés en se servant des mains et des doigts pour faire du tout une masse. Des récipients étaient parfois réservés à cet usage (pétrins, huches). Les paniers ou corbeilles pouvaient être utilisées comme grands bols. La pâte pouvait aussi être pétrie sur des planches ou des tables en bois.</w:t>
      </w:r>
    </w:p>
    <w:p>
      <w:pPr>
        <w:pStyle w:val="Heading4"/>
      </w:pPr>
      <w:r>
        <w:t>Ustensiles de cuisson</w:t>
      </w:r>
    </w:p>
    <w:p>
      <w:r/>
      <w:r>
        <w:t>Les pauvres utilisaient des pierres plates chauffées ou les parois intérieures de leurs fours comme plaques de cuisson. La majorité utilisaient des grils en fer, des plaques ou des poêles (</w:t>
      </w:r>
      <w:hyperlink r:id="rId11531">
        <w:r>
          <w:rPr>
            <w:color w:val="0000EE"/>
            <w:u w:val="single"/>
          </w:rPr>
          <w:t>Lv 2.5</w:t>
        </w:r>
      </w:hyperlink>
      <w:r>
        <w:t xml:space="preserve"> ; </w:t>
      </w:r>
      <w:hyperlink r:id="rId11532">
        <w:r>
          <w:rPr>
            <w:color w:val="0000EE"/>
            <w:u w:val="single"/>
          </w:rPr>
          <w:t>6.21</w:t>
        </w:r>
      </w:hyperlink>
      <w:r>
        <w:t xml:space="preserve"> ; </w:t>
      </w:r>
      <w:hyperlink r:id="rId11137">
        <w:r>
          <w:rPr>
            <w:color w:val="0000EE"/>
            <w:u w:val="single"/>
          </w:rPr>
          <w:t>7.9</w:t>
        </w:r>
      </w:hyperlink>
      <w:r>
        <w:t xml:space="preserve"> ; </w:t>
      </w:r>
      <w:hyperlink r:id="rId11525">
        <w:r>
          <w:rPr>
            <w:color w:val="0000EE"/>
            <w:u w:val="single"/>
          </w:rPr>
          <w:t>Nb 11.8</w:t>
        </w:r>
      </w:hyperlink>
      <w:r>
        <w:t xml:space="preserve"> ; </w:t>
      </w:r>
      <w:hyperlink r:id="rId11533">
        <w:r>
          <w:rPr>
            <w:color w:val="0000EE"/>
            <w:u w:val="single"/>
          </w:rPr>
          <w:t>1Ch 9.31</w:t>
        </w:r>
      </w:hyperlink>
      <w:r>
        <w:t xml:space="preserve"> ; </w:t>
      </w:r>
      <w:hyperlink r:id="rId11534">
        <w:r>
          <w:rPr>
            <w:color w:val="0000EE"/>
            <w:u w:val="single"/>
          </w:rPr>
          <w:t>23.29</w:t>
        </w:r>
      </w:hyperlink>
      <w:r>
        <w:t xml:space="preserve"> ; </w:t>
      </w:r>
      <w:hyperlink r:id="rId11535">
        <w:r>
          <w:rPr>
            <w:color w:val="0000EE"/>
            <w:u w:val="single"/>
          </w:rPr>
          <w:t>2Ch 35.13</w:t>
        </w:r>
      </w:hyperlink>
      <w:r>
        <w:t xml:space="preserve"> ; </w:t>
      </w:r>
      <w:hyperlink r:id="rId10149">
        <w:r>
          <w:rPr>
            <w:color w:val="0000EE"/>
            <w:u w:val="single"/>
          </w:rPr>
          <w:t>Ez 4.3</w:t>
        </w:r>
      </w:hyperlink>
      <w:r>
        <w:t>). Ceux-ci étaient souvent plats, avec des poignées pouvant atteindre jusqu'à 1,5 mètre de long. La pâte devait être prête à être cuite avant de commencer la cuisson.</w:t>
      </w:r>
    </w:p>
    <w:p>
      <w:pPr>
        <w:pStyle w:val="Heading4"/>
      </w:pPr>
      <w:r>
        <w:t>Fours</w:t>
      </w:r>
    </w:p>
    <w:p>
      <w:r/>
      <w:r>
        <w:t>Parfois, les fours contenaient un espace de cuisson séparé de là où était le feu, mais généralement ce n'était pas le cas. Un feu de bois, d'herbe séchée (</w:t>
      </w:r>
      <w:hyperlink r:id="rId11536">
        <w:r>
          <w:rPr>
            <w:color w:val="0000EE"/>
            <w:u w:val="single"/>
          </w:rPr>
          <w:t>Mt 6.30</w:t>
        </w:r>
      </w:hyperlink>
      <w:r>
        <w:t>), ou de bouse (</w:t>
      </w:r>
      <w:hyperlink r:id="rId11537">
        <w:r>
          <w:rPr>
            <w:color w:val="0000EE"/>
            <w:u w:val="single"/>
          </w:rPr>
          <w:t>Ez 4.12, 15</w:t>
        </w:r>
      </w:hyperlink>
      <w:r>
        <w:t>) servait à chauffer le four (</w:t>
      </w:r>
      <w:hyperlink r:id="rId2043">
        <w:r>
          <w:rPr>
            <w:color w:val="0000EE"/>
            <w:u w:val="single"/>
          </w:rPr>
          <w:t xml:space="preserve">Lv 2.4 </w:t>
        </w:r>
      </w:hyperlink>
      <w:r>
        <w:t xml:space="preserve">; </w:t>
      </w:r>
      <w:hyperlink r:id="rId11137">
        <w:r>
          <w:rPr>
            <w:color w:val="0000EE"/>
            <w:u w:val="single"/>
          </w:rPr>
          <w:t xml:space="preserve">7.9 </w:t>
        </w:r>
      </w:hyperlink>
      <w:r>
        <w:t xml:space="preserve">; </w:t>
      </w:r>
      <w:hyperlink r:id="rId11538">
        <w:r>
          <w:rPr>
            <w:color w:val="0000EE"/>
            <w:u w:val="single"/>
          </w:rPr>
          <w:t xml:space="preserve">11.35 </w:t>
        </w:r>
      </w:hyperlink>
      <w:r>
        <w:t xml:space="preserve">; </w:t>
      </w:r>
      <w:hyperlink r:id="rId2044">
        <w:r>
          <w:rPr>
            <w:color w:val="0000EE"/>
            <w:u w:val="single"/>
          </w:rPr>
          <w:t xml:space="preserve">26.26 </w:t>
        </w:r>
      </w:hyperlink>
      <w:r>
        <w:t xml:space="preserve">; </w:t>
      </w:r>
      <w:hyperlink r:id="rId11539">
        <w:r>
          <w:rPr>
            <w:color w:val="0000EE"/>
            <w:u w:val="single"/>
          </w:rPr>
          <w:t>Os 7.4–7</w:t>
        </w:r>
      </w:hyperlink>
      <w:r>
        <w:t>). Alors que les braises et les parois gardaient le four chaud, la plaque sur laquelle était le pain y était placée. Le pain cuisait en forme de galettes plates et dures (pain sans levain) ou de petits pains levés (</w:t>
      </w:r>
      <w:hyperlink r:id="rId11540">
        <w:r>
          <w:rPr>
            <w:color w:val="0000EE"/>
            <w:u w:val="single"/>
          </w:rPr>
          <w:t xml:space="preserve">Mt 14.17 </w:t>
        </w:r>
      </w:hyperlink>
      <w:r>
        <w:t xml:space="preserve">; </w:t>
      </w:r>
      <w:hyperlink r:id="rId11541">
        <w:r>
          <w:rPr>
            <w:color w:val="0000EE"/>
            <w:u w:val="single"/>
          </w:rPr>
          <w:t xml:space="preserve">Mc 6.38 </w:t>
        </w:r>
      </w:hyperlink>
      <w:r>
        <w:t xml:space="preserve">; </w:t>
      </w:r>
      <w:hyperlink r:id="rId11542">
        <w:r>
          <w:rPr>
            <w:color w:val="0000EE"/>
            <w:u w:val="single"/>
          </w:rPr>
          <w:t>Lc 9.13</w:t>
        </w:r>
      </w:hyperlink>
      <w:r>
        <w:t>). Ils étaient prêts en quelques minutes. De plus grands pains, d'un diamètre d'environ 30 centimètres, pouvaient gonfler jusqu'à plus de 8 centimètres d'épaisseur. Ces pains pouvaient peser presque un kilogramme. De tels pains (</w:t>
      </w:r>
      <w:hyperlink r:id="rId11543">
        <w:r>
          <w:rPr>
            <w:color w:val="0000EE"/>
            <w:u w:val="single"/>
          </w:rPr>
          <w:t xml:space="preserve">1S 17.17 </w:t>
        </w:r>
      </w:hyperlink>
      <w:r>
        <w:t xml:space="preserve">; </w:t>
      </w:r>
      <w:hyperlink r:id="rId11544">
        <w:r>
          <w:rPr>
            <w:color w:val="0000EE"/>
            <w:u w:val="single"/>
          </w:rPr>
          <w:t>2S 16.1</w:t>
        </w:r>
      </w:hyperlink>
      <w:r>
        <w:t>) pouvaient prendre environ 45 minutes à cuire.</w:t>
      </w:r>
    </w:p>
    <w:p>
      <w:pPr>
        <w:pStyle w:val="Heading4"/>
      </w:pPr>
      <w:r>
        <w:t>Symbolisme du pain</w:t>
      </w:r>
    </w:p>
    <w:p>
      <w:r/>
      <w:r>
        <w:t>Le pain était tellement important à la vie et à la survie qu'il n'est pas surprenant que la Bible en parle pour représenter des vérités spirituelles. Dans l'AT, les sacrificateurs devaient mettre des pains sur une table dans le lieu saint du tabernacle et plus tard du Temple (</w:t>
      </w:r>
      <w:hyperlink r:id="rId11545">
        <w:r>
          <w:rPr>
            <w:color w:val="0000EE"/>
            <w:u w:val="single"/>
          </w:rPr>
          <w:t>Ex 25.30</w:t>
        </w:r>
      </w:hyperlink>
      <w:r>
        <w:t>). Tant la loi de l'AT que Jésus soulignent que « l’homme ne vivra pas de pain seulement, mais de toute parole qui sort de la bouche de Dieu » (</w:t>
      </w:r>
      <w:hyperlink r:id="rId11546">
        <w:r>
          <w:rPr>
            <w:color w:val="0000EE"/>
            <w:u w:val="single"/>
          </w:rPr>
          <w:t>Mt 4.4</w:t>
        </w:r>
      </w:hyperlink>
      <w:r>
        <w:t xml:space="preserve"> ; </w:t>
      </w:r>
      <w:hyperlink r:id="rId282">
        <w:r>
          <w:rPr>
            <w:color w:val="0000EE"/>
            <w:u w:val="single"/>
          </w:rPr>
          <w:t>Dt 8.3</w:t>
        </w:r>
      </w:hyperlink>
      <w:r>
        <w:t>). Les quatre Évangiles racontent que Jésus a multiplié des pains pour nourrir de grande foules (</w:t>
      </w:r>
      <w:hyperlink r:id="rId11547">
        <w:r>
          <w:rPr>
            <w:color w:val="0000EE"/>
            <w:u w:val="single"/>
          </w:rPr>
          <w:t>Mt 14.13–21</w:t>
        </w:r>
      </w:hyperlink>
      <w:r>
        <w:t xml:space="preserve"> ; </w:t>
      </w:r>
      <w:hyperlink r:id="rId11548">
        <w:r>
          <w:rPr>
            <w:color w:val="0000EE"/>
            <w:u w:val="single"/>
          </w:rPr>
          <w:t>Mc 6.30–44</w:t>
        </w:r>
      </w:hyperlink>
      <w:r>
        <w:t xml:space="preserve"> ; </w:t>
      </w:r>
      <w:hyperlink r:id="rId1920">
        <w:r>
          <w:rPr>
            <w:color w:val="0000EE"/>
            <w:u w:val="single"/>
          </w:rPr>
          <w:t>Lu 9.10–17</w:t>
        </w:r>
      </w:hyperlink>
      <w:r>
        <w:t xml:space="preserve"> ; </w:t>
      </w:r>
      <w:hyperlink r:id="rId11549">
        <w:r>
          <w:rPr>
            <w:color w:val="0000EE"/>
            <w:u w:val="single"/>
          </w:rPr>
          <w:t>Jn 6.1–14</w:t>
        </w:r>
      </w:hyperlink>
      <w:r>
        <w:t>). À cette occasion, il a expliqué que le vrai « pain de vie » n'était pas la manne descendue du ciel, mais lui-même, qui donne la vie éternelle (</w:t>
      </w:r>
      <w:hyperlink r:id="rId11550">
        <w:r>
          <w:rPr>
            <w:color w:val="0000EE"/>
            <w:u w:val="single"/>
          </w:rPr>
          <w:t>Jn 6.28–35</w:t>
        </w:r>
      </w:hyperlink>
      <w:r>
        <w:t>). Avant sa mort, il a pris du pain et l'a distribué à ses disciples avec du vin. Il a présenté le pain comme symbole de son corps et le vin comme symbole de son sang, car sa mort allait être le sacrifice pour les péchés du monde. En mangeant ce pain et en buvant ce vin, les disciples acceptent le sacrifice de Jésus pour leurs péchés (</w:t>
      </w:r>
      <w:hyperlink r:id="rId11551">
        <w:r>
          <w:rPr>
            <w:color w:val="0000EE"/>
            <w:u w:val="single"/>
          </w:rPr>
          <w:t>Mt 26.26–29</w:t>
        </w:r>
      </w:hyperlink>
      <w:r>
        <w:t xml:space="preserve">). Dans </w:t>
      </w:r>
      <w:hyperlink r:id="rId3334">
        <w:r>
          <w:rPr>
            <w:color w:val="0000EE"/>
            <w:u w:val="single"/>
          </w:rPr>
          <w:t>Apocalypse 2.17</w:t>
        </w:r>
      </w:hyperlink>
      <w:r>
        <w:t xml:space="preserve"> Jésus fait cette mystérieuse promesse : « À celui qui vaincra je donnerai de la manne cachée ».</w:t>
      </w:r>
    </w:p>
    <w:p>
      <w:r/>
      <w:r>
        <w:rPr>
          <w:i/>
        </w:rPr>
        <w:t>Voir aussi</w:t>
      </w:r>
      <w:r>
        <w:t xml:space="preserve"> </w:t>
      </w:r>
      <w:r>
        <w:t>alimentation et préparation des aliments</w:t>
      </w:r>
      <w:r>
        <w:t xml:space="preserve"> ; </w:t>
      </w:r>
      <w:r>
        <w:t>repas, importance des</w:t>
      </w:r>
      <w:r>
        <w:t xml:space="preserve"> ; </w:t>
      </w:r>
      <w:r>
        <w:t>pains de proposition</w:t>
      </w:r>
      <w:r>
        <w:t xml:space="preserve"> ; </w:t>
      </w:r>
      <w:r>
        <w:t>levain</w:t>
      </w:r>
      <w:r>
        <w:t xml:space="preserve"> ; </w:t>
      </w:r>
      <w:r>
        <w:t>pain sans levain</w:t>
      </w:r>
      <w:r>
        <w:t xml:space="preserve"> ; </w:t>
      </w:r>
      <w:r>
        <w:t>Sainte Cène</w:t>
      </w:r>
      <w:r>
        <w:t>.</w:t>
      </w:r>
      <w:r/>
      <w:r/>
    </w:p>
    <w:p>
      <w:r/>
    </w:p>
    <w:p>
      <w:pPr>
        <w:pStyle w:val="Heading2"/>
      </w:pPr>
      <w:r>
        <w:t>Pains de proposition, pain de la Présence</w:t>
      </w:r>
      <w:r/>
    </w:p>
    <w:p>
      <w:r/>
      <w:r>
        <w:t>Pains placés sur une table particulière dans le sanctuaire (ou le lieu saint) du tabernacle et plus tard dans le Temple. Dans l'Ancien Testament, le « pain de la Présence » porte aussi le nom de « pains de proposition ». C'est le pain placé devant la face du Seigneur (</w:t>
      </w:r>
      <w:hyperlink r:id="rId11552">
        <w:r>
          <w:rPr>
            <w:color w:val="0000EE"/>
            <w:u w:val="single"/>
          </w:rPr>
          <w:t>Ex 25.23, 30</w:t>
        </w:r>
      </w:hyperlink>
      <w:r>
        <w:t xml:space="preserve"> ; </w:t>
      </w:r>
      <w:hyperlink r:id="rId11553">
        <w:r>
          <w:rPr>
            <w:color w:val="0000EE"/>
            <w:u w:val="single"/>
          </w:rPr>
          <w:t>35.13</w:t>
        </w:r>
      </w:hyperlink>
      <w:r>
        <w:t xml:space="preserve"> ; </w:t>
      </w:r>
      <w:hyperlink r:id="rId11554">
        <w:r>
          <w:rPr>
            <w:color w:val="0000EE"/>
            <w:u w:val="single"/>
          </w:rPr>
          <w:t>39.36</w:t>
        </w:r>
      </w:hyperlink>
      <w:r>
        <w:t xml:space="preserve"> ; </w:t>
      </w:r>
      <w:hyperlink r:id="rId11555">
        <w:r>
          <w:rPr>
            <w:color w:val="0000EE"/>
            <w:u w:val="single"/>
          </w:rPr>
          <w:t>1R 7.48</w:t>
        </w:r>
      </w:hyperlink>
      <w:r>
        <w:t xml:space="preserve"> ; </w:t>
      </w:r>
      <w:hyperlink r:id="rId11556">
        <w:r>
          <w:rPr>
            <w:color w:val="0000EE"/>
            <w:u w:val="single"/>
          </w:rPr>
          <w:t>2Ch 4.19</w:t>
        </w:r>
      </w:hyperlink>
      <w:r>
        <w:t>). L'expression « pains de proposition » fait allusion à l'arrangement des pains en rangées ou piles sur la table (</w:t>
      </w:r>
      <w:hyperlink r:id="rId8087">
        <w:r>
          <w:rPr>
            <w:color w:val="0000EE"/>
            <w:u w:val="single"/>
          </w:rPr>
          <w:t xml:space="preserve">1Ch 9.32 </w:t>
        </w:r>
      </w:hyperlink>
      <w:r>
        <w:t xml:space="preserve">; </w:t>
      </w:r>
      <w:hyperlink r:id="rId11534">
        <w:r>
          <w:rPr>
            <w:color w:val="0000EE"/>
            <w:u w:val="single"/>
          </w:rPr>
          <w:t>23.29</w:t>
        </w:r>
      </w:hyperlink>
      <w:r>
        <w:t xml:space="preserve"> ; </w:t>
      </w:r>
      <w:hyperlink r:id="rId11557">
        <w:r>
          <w:rPr>
            <w:color w:val="0000EE"/>
            <w:u w:val="single"/>
          </w:rPr>
          <w:t>28.16</w:t>
        </w:r>
      </w:hyperlink>
      <w:r>
        <w:t xml:space="preserve"> ; </w:t>
      </w:r>
      <w:hyperlink r:id="rId11558">
        <w:r>
          <w:rPr>
            <w:color w:val="0000EE"/>
            <w:u w:val="single"/>
          </w:rPr>
          <w:t>2Ch 2.4</w:t>
        </w:r>
      </w:hyperlink>
      <w:r>
        <w:t xml:space="preserve"> ; </w:t>
      </w:r>
      <w:hyperlink r:id="rId11559">
        <w:r>
          <w:rPr>
            <w:color w:val="0000EE"/>
            <w:u w:val="single"/>
          </w:rPr>
          <w:t>13.11</w:t>
        </w:r>
      </w:hyperlink>
      <w:r>
        <w:t xml:space="preserve"> ; </w:t>
      </w:r>
      <w:hyperlink r:id="rId1482">
        <w:r>
          <w:rPr>
            <w:color w:val="0000EE"/>
            <w:u w:val="single"/>
          </w:rPr>
          <w:t>29.18</w:t>
        </w:r>
      </w:hyperlink>
      <w:r>
        <w:t>).</w:t>
      </w:r>
    </w:p>
    <w:p>
      <w:r/>
      <w:r>
        <w:t>La table des pains de proposition, l'autel des parfums et le chandelier d'or ne se trouvaient pas dans le Saint des Saints (ou lieu très-saint). Ils étaient pourtant considérés comme étant en présence de Dieu. En tant qu'offrande placée devant la présence de Dieu, les pains étaient considérés comme saints. Ils ne pouvaient donc être consommés que par les prêtres (ou sacrificateurs). Plus tard dans l'histoire d'Israël, l'offrande des pains de proposition et d'autres services du Temple ont été financés par une taxe d'un tiers de sicle par année. Cette taxe était alors requise de tous les citoyens (</w:t>
      </w:r>
      <w:hyperlink r:id="rId11560">
        <w:r>
          <w:rPr>
            <w:color w:val="0000EE"/>
            <w:u w:val="single"/>
          </w:rPr>
          <w:t>Né 10.32–33</w:t>
        </w:r>
      </w:hyperlink>
      <w:r>
        <w:t>).</w:t>
      </w:r>
    </w:p>
    <w:p>
      <w:r/>
      <w:r>
        <w:t>Les pains de proposition étaient au nombre de douze. C'étaient de très grandes miches de pain, comme des gâteaux. Chaque pain était fait d'un cinquième d'épha de fleur de farine. Un épha correspond à un peu plus d'un boisseau. Deux boisseaux et demi (ou 30,3 litres) de blé finement moulu étaient nécessaires pour fabriquer les douze pains. Ils étaient saupoudrées d'encens, et disposés en deux piles de six pains, chacune sur la table des pains de proposition (</w:t>
      </w:r>
      <w:hyperlink r:id="rId11561">
        <w:r>
          <w:rPr>
            <w:color w:val="0000EE"/>
            <w:u w:val="single"/>
          </w:rPr>
          <w:t>Lv 24.5–9</w:t>
        </w:r>
      </w:hyperlink>
      <w:r>
        <w:t>). Disposé de cette manière, le pain devenait une « offrande de nourriture » pour le Seigneur. Les miches étaient changées chaque semaine, le jour du sabbat.</w:t>
      </w:r>
    </w:p>
    <w:p>
      <w:r/>
      <w:r>
        <w:t>Le pain de la Présence est mentionné dans un incident rappelé dans le NT. David fuit la présence du roi Saül et se rend à Nob, où se trouve le tabernacle. David est à la recherche de nourriture et va voir Achimélec, qui est prêtre, ou sacrificateur (</w:t>
      </w:r>
      <w:hyperlink r:id="rId11562">
        <w:r>
          <w:rPr>
            <w:color w:val="0000EE"/>
            <w:u w:val="single"/>
          </w:rPr>
          <w:t>1S 21.1–6</w:t>
        </w:r>
      </w:hyperlink>
      <w:r>
        <w:t>). Achimélec n'a que du pain de proposition. Il accepte de le partager avec David et ses hommes, à condition qu'ils n'aient pas eu de relations sexuelles pendant un certain temps avant de manger. Jésus fera plus tard allusion à cet incident comme un parallèle à son propre ministère de provision aux besoins de ceux qui le suivent (</w:t>
      </w:r>
      <w:hyperlink r:id="rId9751">
        <w:r>
          <w:rPr>
            <w:color w:val="0000EE"/>
            <w:u w:val="single"/>
          </w:rPr>
          <w:t>Mt 12.1–8</w:t>
        </w:r>
      </w:hyperlink>
      <w:r>
        <w:t xml:space="preserve"> ; </w:t>
      </w:r>
      <w:hyperlink r:id="rId11563">
        <w:r>
          <w:rPr>
            <w:color w:val="0000EE"/>
            <w:u w:val="single"/>
          </w:rPr>
          <w:t>Mc 2.25–26</w:t>
        </w:r>
      </w:hyperlink>
      <w:r>
        <w:t xml:space="preserve"> ; </w:t>
      </w:r>
      <w:hyperlink r:id="rId1019">
        <w:r>
          <w:rPr>
            <w:color w:val="0000EE"/>
            <w:u w:val="single"/>
          </w:rPr>
          <w:t>Lc 6.1–5</w:t>
        </w:r>
      </w:hyperlink>
      <w:r>
        <w:t>). En tant qu'oint de Dieu, David a été autorisé à manger le pain sacré avec ses hommes. De même, Jésus, l'oint de Dieu, pourvoit aux besoins des autres malgré les règlements du sabbat.</w:t>
      </w:r>
    </w:p>
    <w:p>
      <w:r/>
      <w:r>
        <w:rPr>
          <w:i/>
        </w:rPr>
        <w:t>Voir aussi</w:t>
      </w:r>
      <w:r>
        <w:t xml:space="preserve"> </w:t>
      </w:r>
      <w:r>
        <w:t>tabernacle</w:t>
      </w:r>
      <w:r>
        <w:t xml:space="preserve"> ; </w:t>
      </w:r>
      <w:r>
        <w:t>Temple</w:t>
      </w:r>
      <w:r>
        <w:t>.</w:t>
      </w:r>
      <w:r/>
      <w:r/>
    </w:p>
    <w:p>
      <w:r/>
    </w:p>
    <w:p>
      <w:pPr>
        <w:pStyle w:val="Heading2"/>
      </w:pPr>
      <w:r>
        <w:t>Paix</w:t>
      </w:r>
      <w:r/>
    </w:p>
    <w:p>
      <w:r/>
      <w:r>
        <w:t xml:space="preserve">Bien-être total, prospérité et sécurité, associés à la réalité de la présence de Dieu parmi son peuple. </w:t>
      </w:r>
    </w:p>
    <w:p>
      <w:r/>
      <w:r>
        <w:t>Dans l'Ancien Testament, la paix est liée à l'alliance, un accord spécial entre Dieu et les Israélites. La présence de la paix était conditionnelle : Israël devait obéir pour l'expérimenter. Dans les écrits prophétiques, la véritable paix fait partie de l'espérance eschatologique du salut de Dieu. Dans le Nouveau Testament, cette paix tant attendue est comprise comme venant en Christ et peut être vécue par les croyants.</w:t>
      </w:r>
    </w:p>
    <w:p>
      <w:pPr>
        <w:pStyle w:val="Heading3"/>
      </w:pPr>
      <w:r>
        <w:t>Dans l’Ancien Testament</w:t>
      </w:r>
    </w:p>
    <w:p>
      <w:r/>
      <w:r>
        <w:t xml:space="preserve">Le principal mot de l'Ancien Testament pour « paix » vient du mot hébreu </w:t>
      </w:r>
      <w:r>
        <w:rPr>
          <w:i/>
        </w:rPr>
        <w:t>shalom.</w:t>
      </w:r>
      <w:r>
        <w:t xml:space="preserve"> Ce mot signifiait de nombreuses choses :</w:t>
      </w:r>
    </w:p>
    <w:p>
      <w:pPr>
        <w:pStyle w:val="ListBullet"/>
        <w:spacing w:line="240" w:lineRule="auto"/>
        <w:ind w:left="720"/>
      </w:pPr>
      <w:r/>
      <w:r>
        <w:t>Plénitude</w:t>
      </w:r>
    </w:p>
    <w:p>
      <w:pPr>
        <w:pStyle w:val="ListBullet"/>
        <w:spacing w:line="240" w:lineRule="auto"/>
        <w:ind w:left="720"/>
      </w:pPr>
      <w:r/>
      <w:r>
        <w:t>Santé</w:t>
      </w:r>
    </w:p>
    <w:p>
      <w:pPr>
        <w:pStyle w:val="ListBullet"/>
        <w:spacing w:line="240" w:lineRule="auto"/>
        <w:ind w:left="720"/>
      </w:pPr>
      <w:r/>
      <w:r>
        <w:t>Sécurité</w:t>
      </w:r>
    </w:p>
    <w:p>
      <w:pPr>
        <w:pStyle w:val="ListBullet"/>
        <w:spacing w:line="240" w:lineRule="auto"/>
        <w:ind w:left="720"/>
      </w:pPr>
      <w:r/>
      <w:r>
        <w:t>Bien-être</w:t>
      </w:r>
    </w:p>
    <w:p>
      <w:pPr>
        <w:pStyle w:val="ListBullet"/>
        <w:spacing w:line="240" w:lineRule="auto"/>
        <w:ind w:left="720"/>
      </w:pPr>
      <w:r/>
      <w:r>
        <w:t>Salut</w:t>
      </w:r>
    </w:p>
    <w:p>
      <w:r/>
      <w:r>
        <w:t>Ce mot pourrait s'appliquer à une gamme tout aussi large de contextes :</w:t>
      </w:r>
    </w:p>
    <w:p>
      <w:pPr>
        <w:pStyle w:val="ListBullet"/>
        <w:spacing w:line="240" w:lineRule="auto"/>
        <w:ind w:left="720"/>
      </w:pPr>
      <w:r/>
      <w:r>
        <w:t>l'état de l'individu (</w:t>
      </w:r>
      <w:hyperlink r:id="rId11564">
        <w:r>
          <w:rPr>
            <w:color w:val="0000EE"/>
            <w:u w:val="single"/>
          </w:rPr>
          <w:t>Ps 37.37</w:t>
        </w:r>
      </w:hyperlink>
      <w:r>
        <w:t xml:space="preserve"> ; </w:t>
      </w:r>
      <w:hyperlink r:id="rId11565">
        <w:r>
          <w:rPr>
            <w:color w:val="0000EE"/>
            <w:u w:val="single"/>
          </w:rPr>
          <w:t>Pr 3.2</w:t>
        </w:r>
      </w:hyperlink>
      <w:r>
        <w:t xml:space="preserve"> ; </w:t>
      </w:r>
      <w:hyperlink r:id="rId11566">
        <w:r>
          <w:rPr>
            <w:color w:val="0000EE"/>
            <w:u w:val="single"/>
          </w:rPr>
          <w:t>Es 32.17</w:t>
        </w:r>
      </w:hyperlink>
      <w:r>
        <w:t>)</w:t>
      </w:r>
    </w:p>
    <w:p>
      <w:pPr>
        <w:pStyle w:val="ListBullet"/>
        <w:spacing w:line="240" w:lineRule="auto"/>
        <w:ind w:left="720"/>
      </w:pPr>
      <w:r/>
      <w:r>
        <w:t>les relations interpersonnelles (</w:t>
      </w:r>
      <w:hyperlink r:id="rId11567">
        <w:r>
          <w:rPr>
            <w:color w:val="0000EE"/>
            <w:u w:val="single"/>
          </w:rPr>
          <w:t>Gn 34.21</w:t>
        </w:r>
      </w:hyperlink>
      <w:r>
        <w:t xml:space="preserve"> ; </w:t>
      </w:r>
      <w:hyperlink r:id="rId11568">
        <w:r>
          <w:rPr>
            <w:color w:val="0000EE"/>
            <w:u w:val="single"/>
          </w:rPr>
          <w:t>Jos 9.15</w:t>
        </w:r>
      </w:hyperlink>
      <w:r>
        <w:t>)</w:t>
      </w:r>
    </w:p>
    <w:p>
      <w:pPr>
        <w:pStyle w:val="ListBullet"/>
        <w:spacing w:line="240" w:lineRule="auto"/>
        <w:ind w:left="720"/>
      </w:pPr>
      <w:r/>
      <w:r>
        <w:t>entre nations (par exemple, absence de conflit—</w:t>
      </w:r>
      <w:hyperlink r:id="rId11569">
        <w:r>
          <w:rPr>
            <w:color w:val="0000EE"/>
            <w:u w:val="single"/>
          </w:rPr>
          <w:t>Dt 2.26</w:t>
        </w:r>
      </w:hyperlink>
      <w:r>
        <w:t xml:space="preserve"> ; </w:t>
      </w:r>
      <w:hyperlink r:id="rId11570">
        <w:r>
          <w:rPr>
            <w:color w:val="0000EE"/>
            <w:u w:val="single"/>
          </w:rPr>
          <w:t>Jos 10.21</w:t>
        </w:r>
      </w:hyperlink>
      <w:r>
        <w:t xml:space="preserve"> ; </w:t>
      </w:r>
      <w:hyperlink r:id="rId541">
        <w:r>
          <w:rPr>
            <w:color w:val="0000EE"/>
            <w:u w:val="single"/>
          </w:rPr>
          <w:t>1R 5.12</w:t>
        </w:r>
      </w:hyperlink>
      <w:r>
        <w:t xml:space="preserve"> ; </w:t>
      </w:r>
      <w:hyperlink r:id="rId11571">
        <w:r>
          <w:rPr>
            <w:color w:val="0000EE"/>
            <w:u w:val="single"/>
          </w:rPr>
          <w:t>Ps 122.6–7</w:t>
        </w:r>
      </w:hyperlink>
      <w:r>
        <w:t>)</w:t>
      </w:r>
    </w:p>
    <w:p>
      <w:pPr>
        <w:pStyle w:val="ListBullet"/>
        <w:spacing w:line="240" w:lineRule="auto"/>
        <w:ind w:left="720"/>
      </w:pPr>
      <w:r/>
      <w:r>
        <w:t>la relation de Dieu avec les êtres humains (</w:t>
      </w:r>
      <w:hyperlink r:id="rId11572">
        <w:r>
          <w:rPr>
            <w:color w:val="0000EE"/>
            <w:u w:val="single"/>
          </w:rPr>
          <w:t>Ps 85.8</w:t>
        </w:r>
      </w:hyperlink>
      <w:r>
        <w:t xml:space="preserve"> ; </w:t>
      </w:r>
      <w:hyperlink r:id="rId11573">
        <w:r>
          <w:rPr>
            <w:color w:val="0000EE"/>
            <w:u w:val="single"/>
          </w:rPr>
          <w:t>Jr 16.5</w:t>
        </w:r>
      </w:hyperlink>
      <w:r>
        <w:t>).</w:t>
      </w:r>
    </w:p>
    <w:p>
      <w:r/>
      <w:r>
        <w:t>La présence du shalom dans l'un de ces contextes n'était pas considérée comme la conséquence de l'effort humain. C'était, plutôt, un don ou une bénédiction de Dieu (</w:t>
      </w:r>
      <w:hyperlink r:id="rId11574">
        <w:r>
          <w:rPr>
            <w:color w:val="0000EE"/>
            <w:u w:val="single"/>
          </w:rPr>
          <w:t>Lv 26.6</w:t>
        </w:r>
      </w:hyperlink>
      <w:r>
        <w:t xml:space="preserve"> ; </w:t>
      </w:r>
      <w:hyperlink r:id="rId11575">
        <w:r>
          <w:rPr>
            <w:color w:val="0000EE"/>
            <w:u w:val="single"/>
          </w:rPr>
          <w:t>1R 2.33</w:t>
        </w:r>
      </w:hyperlink>
      <w:r>
        <w:t xml:space="preserve"> ; </w:t>
      </w:r>
      <w:hyperlink r:id="rId11576">
        <w:r>
          <w:rPr>
            <w:color w:val="0000EE"/>
            <w:u w:val="single"/>
          </w:rPr>
          <w:t>Jb 25.2</w:t>
        </w:r>
      </w:hyperlink>
      <w:r>
        <w:t xml:space="preserve"> ; </w:t>
      </w:r>
      <w:hyperlink r:id="rId11577">
        <w:r>
          <w:rPr>
            <w:color w:val="0000EE"/>
            <w:u w:val="single"/>
          </w:rPr>
          <w:t>Ps 29.11</w:t>
        </w:r>
      </w:hyperlink>
      <w:r>
        <w:t xml:space="preserve"> ; </w:t>
      </w:r>
      <w:hyperlink r:id="rId11572">
        <w:r>
          <w:rPr>
            <w:color w:val="0000EE"/>
            <w:u w:val="single"/>
          </w:rPr>
          <w:t>85.8</w:t>
        </w:r>
      </w:hyperlink>
      <w:r>
        <w:t xml:space="preserve"> ; </w:t>
      </w:r>
      <w:hyperlink r:id="rId10938">
        <w:r>
          <w:rPr>
            <w:color w:val="0000EE"/>
            <w:u w:val="single"/>
          </w:rPr>
          <w:t>Es 45.7</w:t>
        </w:r>
      </w:hyperlink>
      <w:r>
        <w:t>). Il n'est donc pas surprenant de trouver que la « paix » est étroitement liée à la notion de l'alliance dans l'Ancien Testament.</w:t>
      </w:r>
    </w:p>
    <w:p>
      <w:r/>
      <w:r>
        <w:t>Le Shalom était l'état d'harmonie et de communion souhaité entre les deux partenaires de l'alliance : Dieu et son peuple (</w:t>
      </w:r>
      <w:hyperlink r:id="rId11578">
        <w:r>
          <w:rPr>
            <w:color w:val="0000EE"/>
            <w:u w:val="single"/>
          </w:rPr>
          <w:t>Nb 6.26</w:t>
        </w:r>
      </w:hyperlink>
      <w:r>
        <w:t xml:space="preserve"> ; voir </w:t>
      </w:r>
      <w:hyperlink r:id="rId10872">
        <w:r>
          <w:rPr>
            <w:color w:val="0000EE"/>
            <w:u w:val="single"/>
          </w:rPr>
          <w:t>Es 54.10</w:t>
        </w:r>
      </w:hyperlink>
      <w:r>
        <w:t>). La paix signifiait la bénédiction de Dieu dans le contexte de la relation d'alliance (</w:t>
      </w:r>
      <w:hyperlink r:id="rId11579">
        <w:r>
          <w:rPr>
            <w:color w:val="0000EE"/>
            <w:u w:val="single"/>
          </w:rPr>
          <w:t>Ml 2.5</w:t>
        </w:r>
      </w:hyperlink>
      <w:r>
        <w:t xml:space="preserve"> ; voir </w:t>
      </w:r>
      <w:hyperlink r:id="rId11580">
        <w:r>
          <w:rPr>
            <w:color w:val="0000EE"/>
            <w:u w:val="single"/>
          </w:rPr>
          <w:t>Nb 25.12</w:t>
        </w:r>
      </w:hyperlink>
      <w:r>
        <w:t>). Une absence de paix signifiait la rupture de cette relation en raison de la désobéissance et de l'injustice d'Israël (</w:t>
      </w:r>
      <w:hyperlink r:id="rId11581">
        <w:r>
          <w:rPr>
            <w:color w:val="0000EE"/>
            <w:u w:val="single"/>
          </w:rPr>
          <w:t>Jr 16.5, 10–13</w:t>
        </w:r>
      </w:hyperlink>
      <w:r>
        <w:t xml:space="preserve"> ; voir </w:t>
      </w:r>
      <w:hyperlink r:id="rId11582">
        <w:r>
          <w:rPr>
            <w:color w:val="0000EE"/>
            <w:u w:val="single"/>
          </w:rPr>
          <w:t>Ps 85.9–11</w:t>
        </w:r>
      </w:hyperlink>
      <w:r>
        <w:t xml:space="preserve"> ; </w:t>
      </w:r>
      <w:hyperlink r:id="rId11566">
        <w:r>
          <w:rPr>
            <w:color w:val="0000EE"/>
            <w:u w:val="single"/>
          </w:rPr>
          <w:t>Es 32.17</w:t>
        </w:r>
      </w:hyperlink>
      <w:r>
        <w:t>).</w:t>
      </w:r>
    </w:p>
    <w:p>
      <w:pPr>
        <w:pStyle w:val="Heading4"/>
      </w:pPr>
      <w:r>
        <w:t>La Paix dans les écrits prophétiques</w:t>
      </w:r>
    </w:p>
    <w:p>
      <w:r/>
      <w:r>
        <w:t>Shalom devient un mot clé dans les écrits prophétiques. Les « faux » prophètes négligeaient les conditions du bien-être au sein de la relation d'alliance. Dieu était loyal envers Israël (</w:t>
      </w:r>
      <w:hyperlink r:id="rId11583">
        <w:r>
          <w:rPr>
            <w:color w:val="0000EE"/>
            <w:u w:val="single"/>
          </w:rPr>
          <w:t>Ps 89</w:t>
        </w:r>
      </w:hyperlink>
      <w:r>
        <w:t>). Le peuple pensait que cela leur garantirait la paix politique pour toujours (</w:t>
      </w:r>
      <w:hyperlink r:id="rId4005">
        <w:r>
          <w:rPr>
            <w:color w:val="0000EE"/>
            <w:u w:val="single"/>
          </w:rPr>
          <w:t>Jr 6.14</w:t>
        </w:r>
      </w:hyperlink>
      <w:r>
        <w:t xml:space="preserve"> ; </w:t>
      </w:r>
      <w:hyperlink r:id="rId11584">
        <w:r>
          <w:rPr>
            <w:color w:val="0000EE"/>
            <w:u w:val="single"/>
          </w:rPr>
          <w:t>8.15</w:t>
        </w:r>
      </w:hyperlink>
      <w:r>
        <w:t xml:space="preserve"> ; </w:t>
      </w:r>
      <w:hyperlink r:id="rId11585">
        <w:r>
          <w:rPr>
            <w:color w:val="0000EE"/>
            <w:u w:val="single"/>
          </w:rPr>
          <w:t>Ez 13.10, 16</w:t>
        </w:r>
      </w:hyperlink>
      <w:r>
        <w:t xml:space="preserve"> ; </w:t>
      </w:r>
      <w:hyperlink r:id="rId11586">
        <w:r>
          <w:rPr>
            <w:color w:val="0000EE"/>
            <w:u w:val="single"/>
          </w:rPr>
          <w:t>Mi 3.5</w:t>
        </w:r>
      </w:hyperlink>
      <w:r>
        <w:t>). Dans le contexte de cette sécurité populaire mais fausse, les prophètes qui vivaient avant l'exil à Babylone proclamaient le jugement à venir comme une perte de shalom. Cette perte était attribuée à la désobéissance persistante et à l'injustice d'Israël (</w:t>
      </w:r>
      <w:hyperlink r:id="rId11587">
        <w:r>
          <w:rPr>
            <w:color w:val="0000EE"/>
            <w:u w:val="single"/>
          </w:rPr>
          <w:t>Es 48.18</w:t>
        </w:r>
      </w:hyperlink>
      <w:r>
        <w:t xml:space="preserve"> ; </w:t>
      </w:r>
      <w:hyperlink r:id="rId11588">
        <w:r>
          <w:rPr>
            <w:color w:val="0000EE"/>
            <w:u w:val="single"/>
          </w:rPr>
          <w:t>Jr 14.13–16</w:t>
        </w:r>
      </w:hyperlink>
      <w:r>
        <w:t xml:space="preserve"> ; </w:t>
      </w:r>
      <w:hyperlink r:id="rId11581">
        <w:r>
          <w:rPr>
            <w:color w:val="0000EE"/>
            <w:u w:val="single"/>
          </w:rPr>
          <w:t>16.5, 10–13</w:t>
        </w:r>
      </w:hyperlink>
      <w:r>
        <w:t xml:space="preserve"> ; </w:t>
      </w:r>
      <w:hyperlink r:id="rId11589">
        <w:r>
          <w:rPr>
            <w:color w:val="0000EE"/>
            <w:u w:val="single"/>
          </w:rPr>
          <w:t>28</w:t>
        </w:r>
      </w:hyperlink>
      <w:r>
        <w:t xml:space="preserve"> ; </w:t>
      </w:r>
      <w:hyperlink r:id="rId11590">
        <w:r>
          <w:rPr>
            <w:color w:val="0000EE"/>
            <w:u w:val="single"/>
          </w:rPr>
          <w:t>Mi 3.4, 9–12</w:t>
        </w:r>
      </w:hyperlink>
      <w:r>
        <w:t>).</w:t>
      </w:r>
    </w:p>
    <w:p>
      <w:r/>
      <w:r>
        <w:t>Les prophètes ont pointé du doigt un moment, au-delà des crises, où le shalom reviendrait, caractérisé par :</w:t>
      </w:r>
    </w:p>
    <w:p>
      <w:pPr>
        <w:pStyle w:val="ListBullet"/>
        <w:spacing w:line="240" w:lineRule="auto"/>
        <w:ind w:left="720"/>
      </w:pPr>
      <w:r/>
      <w:r>
        <w:t>La prospérité et le bien-être (</w:t>
      </w:r>
      <w:hyperlink r:id="rId10938">
        <w:r>
          <w:rPr>
            <w:color w:val="0000EE"/>
            <w:u w:val="single"/>
          </w:rPr>
          <w:t>Es 45.7</w:t>
        </w:r>
      </w:hyperlink>
      <w:r>
        <w:t xml:space="preserve"> ; </w:t>
      </w:r>
      <w:hyperlink r:id="rId11591">
        <w:r>
          <w:rPr>
            <w:color w:val="0000EE"/>
            <w:u w:val="single"/>
          </w:rPr>
          <w:t>Ez 34.25–26</w:t>
        </w:r>
      </w:hyperlink>
      <w:r>
        <w:t>)</w:t>
      </w:r>
    </w:p>
    <w:p>
      <w:pPr>
        <w:pStyle w:val="ListBullet"/>
        <w:spacing w:line="240" w:lineRule="auto"/>
        <w:ind w:left="720"/>
      </w:pPr>
      <w:r/>
      <w:r>
        <w:t>L'absence de conflit (</w:t>
      </w:r>
      <w:hyperlink r:id="rId10573">
        <w:r>
          <w:rPr>
            <w:color w:val="0000EE"/>
            <w:u w:val="single"/>
          </w:rPr>
          <w:t>Es 2.2–4</w:t>
        </w:r>
      </w:hyperlink>
      <w:r>
        <w:t xml:space="preserve"> ; </w:t>
      </w:r>
      <w:hyperlink r:id="rId11592">
        <w:r>
          <w:rPr>
            <w:color w:val="0000EE"/>
            <w:u w:val="single"/>
          </w:rPr>
          <w:t>32.15–20</w:t>
        </w:r>
      </w:hyperlink>
      <w:r>
        <w:t xml:space="preserve"> ; </w:t>
      </w:r>
      <w:hyperlink r:id="rId11593">
        <w:r>
          <w:rPr>
            <w:color w:val="0000EE"/>
            <w:u w:val="single"/>
          </w:rPr>
          <w:t>Ez 34.28–31</w:t>
        </w:r>
      </w:hyperlink>
      <w:r>
        <w:t>)</w:t>
      </w:r>
    </w:p>
    <w:p>
      <w:pPr>
        <w:pStyle w:val="ListBullet"/>
        <w:spacing w:line="240" w:lineRule="auto"/>
        <w:ind w:left="720"/>
      </w:pPr>
      <w:r/>
      <w:r>
        <w:t>Les bonnes relations (</w:t>
      </w:r>
      <w:hyperlink r:id="rId11594">
        <w:r>
          <w:rPr>
            <w:color w:val="0000EE"/>
            <w:u w:val="single"/>
          </w:rPr>
          <w:t>Es 11.1–5</w:t>
        </w:r>
      </w:hyperlink>
      <w:r>
        <w:t xml:space="preserve"> ; </w:t>
      </w:r>
      <w:hyperlink r:id="rId11595">
        <w:r>
          <w:rPr>
            <w:color w:val="0000EE"/>
            <w:u w:val="single"/>
          </w:rPr>
          <w:t>Mi 4.1–4</w:t>
        </w:r>
      </w:hyperlink>
      <w:r>
        <w:t xml:space="preserve"> ; </w:t>
      </w:r>
      <w:hyperlink r:id="rId11596">
        <w:r>
          <w:rPr>
            <w:color w:val="0000EE"/>
            <w:u w:val="single"/>
          </w:rPr>
          <w:t>Za 8.9–13</w:t>
        </w:r>
      </w:hyperlink>
      <w:r>
        <w:t>)</w:t>
      </w:r>
    </w:p>
    <w:p>
      <w:pPr>
        <w:pStyle w:val="ListBullet"/>
        <w:spacing w:line="240" w:lineRule="auto"/>
        <w:ind w:left="720"/>
      </w:pPr>
      <w:r/>
      <w:r>
        <w:t>La restauration de l'harmonie dans la nature (</w:t>
      </w:r>
      <w:hyperlink r:id="rId11597">
        <w:r>
          <w:rPr>
            <w:color w:val="0000EE"/>
            <w:u w:val="single"/>
          </w:rPr>
          <w:t>Es 11.6–9</w:t>
        </w:r>
      </w:hyperlink>
      <w:r>
        <w:t xml:space="preserve"> ; </w:t>
      </w:r>
      <w:hyperlink r:id="rId9965">
        <w:r>
          <w:rPr>
            <w:color w:val="0000EE"/>
            <w:u w:val="single"/>
          </w:rPr>
          <w:t>Ez 47.1–12</w:t>
        </w:r>
      </w:hyperlink>
      <w:r>
        <w:t>)</w:t>
      </w:r>
    </w:p>
    <w:p>
      <w:pPr>
        <w:pStyle w:val="ListBullet"/>
        <w:spacing w:line="240" w:lineRule="auto"/>
        <w:ind w:left="720"/>
      </w:pPr>
      <w:r/>
      <w:r>
        <w:t>Le salut (</w:t>
      </w:r>
      <w:hyperlink r:id="rId11598">
        <w:r>
          <w:rPr>
            <w:color w:val="0000EE"/>
            <w:u w:val="single"/>
          </w:rPr>
          <w:t>Es 52.7</w:t>
        </w:r>
      </w:hyperlink>
      <w:r>
        <w:t xml:space="preserve"> ; </w:t>
      </w:r>
      <w:hyperlink r:id="rId4418">
        <w:r>
          <w:rPr>
            <w:color w:val="0000EE"/>
            <w:u w:val="single"/>
          </w:rPr>
          <w:t>60.17</w:t>
        </w:r>
      </w:hyperlink>
      <w:r>
        <w:t xml:space="preserve"> ; </w:t>
      </w:r>
      <w:hyperlink r:id="rId11599">
        <w:r>
          <w:rPr>
            <w:color w:val="0000EE"/>
            <w:u w:val="single"/>
          </w:rPr>
          <w:t>Ez 34.30–31</w:t>
        </w:r>
      </w:hyperlink>
      <w:r>
        <w:t xml:space="preserve"> ; </w:t>
      </w:r>
      <w:hyperlink r:id="rId11600">
        <w:r>
          <w:rPr>
            <w:color w:val="0000EE"/>
            <w:u w:val="single"/>
          </w:rPr>
          <w:t>37.26–28</w:t>
        </w:r>
      </w:hyperlink>
      <w:r>
        <w:t>)</w:t>
      </w:r>
    </w:p>
    <w:p>
      <w:r/>
      <w:r>
        <w:t xml:space="preserve">Souvent, cette attente en ce qui concerne la paix dans l'Ancien Testament était associée à une figure messianique (le leader choisi par Dieu). </w:t>
      </w:r>
      <w:hyperlink r:id="rId3969">
        <w:r>
          <w:rPr>
            <w:color w:val="0000EE"/>
            <w:u w:val="single"/>
          </w:rPr>
          <w:t>Ésaïe 9.6</w:t>
        </w:r>
      </w:hyperlink>
      <w:r>
        <w:t xml:space="preserve"> identifie le futur Messie (le leader choisi par Dieu) comme le « Prince de la Paix ». De plus, son règne serait un règne de « paix » non seulement pour Israël mais sur toute la terre (</w:t>
      </w:r>
      <w:hyperlink r:id="rId11601">
        <w:r>
          <w:rPr>
            <w:color w:val="0000EE"/>
            <w:u w:val="single"/>
          </w:rPr>
          <w:t>Za 9.9–10</w:t>
        </w:r>
      </w:hyperlink>
      <w:r>
        <w:t>). L'Ancien Testament se termine sur cette note d'espérance, annonçant une paix non réalisée dans son plein sens en ce jour-là.</w:t>
      </w:r>
    </w:p>
    <w:p>
      <w:pPr>
        <w:pStyle w:val="Heading3"/>
      </w:pPr>
      <w:r>
        <w:t>Dans le Nouveau Testament</w:t>
      </w:r>
    </w:p>
    <w:p>
      <w:r/>
      <w:r>
        <w:t xml:space="preserve">Le terme grec majoritaire pour la « paix » dans le Nouveau Testament est </w:t>
      </w:r>
      <w:r>
        <w:rPr>
          <w:i/>
        </w:rPr>
        <w:t>eirènè.</w:t>
      </w:r>
      <w:r>
        <w:t xml:space="preserve"> Ce mot a pris un sens plus élargi que sa connotation grecque classique de « repos » pour inclure les connotations du concept hébraïque du shalom. Tout comme shalom, </w:t>
      </w:r>
      <w:r>
        <w:rPr>
          <w:i/>
        </w:rPr>
        <w:t>eirene</w:t>
      </w:r>
      <w:r>
        <w:t xml:space="preserve"> pouvait être utilisé comme salutation pour accueillir ou dire adieu. L'expression « La paix soit avec vous » est ce qui est désigné par les diverses formules dans </w:t>
      </w:r>
      <w:hyperlink r:id="rId9481">
        <w:r>
          <w:rPr>
            <w:color w:val="0000EE"/>
            <w:u w:val="single"/>
          </w:rPr>
          <w:t>Luc 10.5,</w:t>
        </w:r>
      </w:hyperlink>
      <w:r>
        <w:t xml:space="preserve"> </w:t>
      </w:r>
      <w:hyperlink r:id="rId11602">
        <w:r>
          <w:rPr>
            <w:color w:val="0000EE"/>
            <w:u w:val="single"/>
          </w:rPr>
          <w:t>Galates 6.16,</w:t>
        </w:r>
      </w:hyperlink>
      <w:r>
        <w:t xml:space="preserve"> et </w:t>
      </w:r>
      <w:hyperlink r:id="rId11603">
        <w:r>
          <w:rPr>
            <w:color w:val="0000EE"/>
            <w:u w:val="single"/>
          </w:rPr>
          <w:t>Jacques 2.16</w:t>
        </w:r>
      </w:hyperlink>
      <w:r>
        <w:t xml:space="preserve"> (voir </w:t>
      </w:r>
      <w:hyperlink r:id="rId11604">
        <w:r>
          <w:rPr>
            <w:color w:val="0000EE"/>
            <w:u w:val="single"/>
          </w:rPr>
          <w:t>Jn 20.19</w:t>
        </w:r>
      </w:hyperlink>
      <w:r>
        <w:t xml:space="preserve">). </w:t>
      </w:r>
      <w:r>
        <w:rPr>
          <w:i/>
        </w:rPr>
        <w:t>Eirene</w:t>
      </w:r>
      <w:r>
        <w:t xml:space="preserve"> pouvait également signifier une fin de conflit, à la fois entre nations (</w:t>
      </w:r>
      <w:hyperlink r:id="rId11605">
        <w:r>
          <w:rPr>
            <w:color w:val="0000EE"/>
            <w:u w:val="single"/>
          </w:rPr>
          <w:t>Lc 14.32</w:t>
        </w:r>
      </w:hyperlink>
      <w:r>
        <w:t xml:space="preserve"> ; </w:t>
      </w:r>
      <w:hyperlink r:id="rId2017">
        <w:r>
          <w:rPr>
            <w:color w:val="0000EE"/>
            <w:u w:val="single"/>
          </w:rPr>
          <w:t>Ac 12.20</w:t>
        </w:r>
      </w:hyperlink>
      <w:r>
        <w:t>) ou entre personnes (</w:t>
      </w:r>
      <w:hyperlink r:id="rId11606">
        <w:r>
          <w:rPr>
            <w:color w:val="0000EE"/>
            <w:u w:val="single"/>
          </w:rPr>
          <w:t>Rm 14.19</w:t>
        </w:r>
      </w:hyperlink>
      <w:r>
        <w:t xml:space="preserve"> ; </w:t>
      </w:r>
      <w:hyperlink r:id="rId5158">
        <w:r>
          <w:rPr>
            <w:color w:val="0000EE"/>
            <w:u w:val="single"/>
          </w:rPr>
          <w:t>Ep 4.3</w:t>
        </w:r>
      </w:hyperlink>
      <w:r>
        <w:t xml:space="preserve">). Ce terme pouvait également signifier la paix domestique (voir </w:t>
      </w:r>
      <w:hyperlink r:id="rId3232">
        <w:r>
          <w:rPr>
            <w:color w:val="0000EE"/>
            <w:u w:val="single"/>
          </w:rPr>
          <w:t>1Co 7.15</w:t>
        </w:r>
      </w:hyperlink>
      <w:r>
        <w:t>).</w:t>
      </w:r>
    </w:p>
    <w:p>
      <w:pPr>
        <w:pStyle w:val="Heading4"/>
      </w:pPr>
      <w:r>
        <w:t>Jésus offre la paix de Dieu</w:t>
      </w:r>
    </w:p>
    <w:p>
      <w:r/>
      <w:r>
        <w:t xml:space="preserve">Jésus intègre l'espérance de l'Ancien Testament concernant la paix de Dieu dans son ministère. Dans le « Benedictus » (cantique de louange) de Zacharie, la venue de Jésus en tant que Messie est attendue pour « </w:t>
      </w:r>
      <w:r>
        <w:t>diriger nos pas dans le chemin de la paix</w:t>
      </w:r>
      <w:r>
        <w:t xml:space="preserve"> » (</w:t>
      </w:r>
      <w:hyperlink r:id="rId11607">
        <w:r>
          <w:rPr>
            <w:color w:val="0000EE"/>
            <w:u w:val="single"/>
          </w:rPr>
          <w:t>Lc 1.67–79</w:t>
        </w:r>
      </w:hyperlink>
      <w:r>
        <w:t>). Le message des anges aux bergers proclame Jésus comme le porteur de la paix de Dieu aux hommes (</w:t>
      </w:r>
      <w:hyperlink r:id="rId9204">
        <w:r>
          <w:rPr>
            <w:color w:val="0000EE"/>
            <w:u w:val="single"/>
          </w:rPr>
          <w:t>2.14</w:t>
        </w:r>
      </w:hyperlink>
      <w:r>
        <w:t>). En d'autres termes, en tant que Messie, Jésus instaurerait le règne de paix de Dieu. L'Évangile de Jean montre que Jésus comprenait aussi son rôle de cette manière. Cette paix de Dieu tant attendue est le cadeau d'adieu de Jésus aux disciples (</w:t>
      </w:r>
      <w:hyperlink r:id="rId10293">
        <w:r>
          <w:rPr>
            <w:color w:val="0000EE"/>
            <w:u w:val="single"/>
          </w:rPr>
          <w:t>Jn 14.27</w:t>
        </w:r>
      </w:hyperlink>
      <w:r>
        <w:t>). La paix leur est donnée lorsqu'il insuffle son Esprit en eux (</w:t>
      </w:r>
      <w:hyperlink r:id="rId11608">
        <w:r>
          <w:rPr>
            <w:color w:val="0000EE"/>
            <w:u w:val="single"/>
          </w:rPr>
          <w:t>20.19–22</w:t>
        </w:r>
      </w:hyperlink>
      <w:r>
        <w:t>).</w:t>
      </w:r>
    </w:p>
    <w:p>
      <w:r/>
      <w:r>
        <w:t>La nature de ce don de paix apporté par Jésus peut être plus facile à expliquer en indiquant ce qu'il n'est pas. Il ne s'agit ni d'une fin d'une quelconque tension ni l'absence de guerre. Il ne s'agit pas de la tranquillité domestique ni quoi que ce soit de semblable à ce que le monde voit lorsqu'il parle de paix (</w:t>
      </w:r>
      <w:hyperlink r:id="rId11609">
        <w:r>
          <w:rPr>
            <w:color w:val="0000EE"/>
            <w:u w:val="single"/>
          </w:rPr>
          <w:t>Lc 12.51–53</w:t>
        </w:r>
      </w:hyperlink>
      <w:r>
        <w:t xml:space="preserve"> ; </w:t>
      </w:r>
      <w:hyperlink r:id="rId10293">
        <w:r>
          <w:rPr>
            <w:color w:val="0000EE"/>
            <w:u w:val="single"/>
          </w:rPr>
          <w:t>Jn 14.27</w:t>
        </w:r>
      </w:hyperlink>
      <w:r>
        <w:t xml:space="preserve"> ; </w:t>
      </w:r>
      <w:hyperlink r:id="rId11610">
        <w:r>
          <w:rPr>
            <w:color w:val="0000EE"/>
            <w:u w:val="single"/>
          </w:rPr>
          <w:t>16.32–33</w:t>
        </w:r>
      </w:hyperlink>
      <w:r>
        <w:t>). La présence de la paix peut même contrarier nos attentes en perturbant les relations existantes. Matthieu dit que la paix peut parfois être une « épée » de division dans les relations familiales (</w:t>
      </w:r>
      <w:hyperlink r:id="rId11611">
        <w:r>
          <w:rPr>
            <w:color w:val="0000EE"/>
            <w:u w:val="single"/>
          </w:rPr>
          <w:t>Mt 10.34–37</w:t>
        </w:r>
      </w:hyperlink>
      <w:r>
        <w:t>). Le don de paix de Jésus est, en réalité, le caractère et l'humeur de la nouvelle alliance dans son sang. Cette alliance réconcilie Dieu avec les êtres humains (</w:t>
      </w:r>
      <w:hyperlink r:id="rId322">
        <w:r>
          <w:rPr>
            <w:color w:val="0000EE"/>
            <w:u w:val="single"/>
          </w:rPr>
          <w:t>Rm 5.1</w:t>
        </w:r>
      </w:hyperlink>
      <w:r>
        <w:t xml:space="preserve"> ; </w:t>
      </w:r>
      <w:hyperlink r:id="rId2939">
        <w:r>
          <w:rPr>
            <w:color w:val="0000EE"/>
            <w:u w:val="single"/>
          </w:rPr>
          <w:t>Col 1.20</w:t>
        </w:r>
      </w:hyperlink>
      <w:r>
        <w:t>). Elle forme également une base de réconciliation entre des peuples divergents (</w:t>
      </w:r>
      <w:hyperlink r:id="rId11612">
        <w:r>
          <w:rPr>
            <w:color w:val="0000EE"/>
            <w:u w:val="single"/>
          </w:rPr>
          <w:t>Ep 2.14–22</w:t>
        </w:r>
      </w:hyperlink>
      <w:r>
        <w:t>).</w:t>
      </w:r>
    </w:p>
    <w:p>
      <w:pPr>
        <w:pStyle w:val="Heading4"/>
      </w:pPr>
      <w:r>
        <w:t>Comment l'Église primitive comprenait-elle la paix ?</w:t>
      </w:r>
    </w:p>
    <w:p>
      <w:r/>
      <w:r>
        <w:t xml:space="preserve">L'église primitive comprenait que la « paix » était le salut final et eschatologique de Dieu déjà accordé par Jésus-Christ (voir </w:t>
      </w:r>
      <w:hyperlink r:id="rId11613">
        <w:r>
          <w:rPr>
            <w:color w:val="0000EE"/>
            <w:u w:val="single"/>
          </w:rPr>
          <w:t>Ph 4.7–9</w:t>
        </w:r>
      </w:hyperlink>
      <w:r>
        <w:t>). Cette compréhension de la « paix » a modifié, au sein de la communauté chrétienne, le contenu de la salutation courante « allez en paix ». Paul utilisait couramment « grâce et paix » comme salutation dans ses lettres (</w:t>
      </w:r>
      <w:hyperlink r:id="rId11614">
        <w:r>
          <w:rPr>
            <w:color w:val="0000EE"/>
            <w:u w:val="single"/>
          </w:rPr>
          <w:t>1Co 1.3</w:t>
        </w:r>
      </w:hyperlink>
      <w:r>
        <w:t xml:space="preserve"> ; </w:t>
      </w:r>
      <w:hyperlink r:id="rId11615">
        <w:r>
          <w:rPr>
            <w:color w:val="0000EE"/>
            <w:u w:val="single"/>
          </w:rPr>
          <w:t>2Co 1.2</w:t>
        </w:r>
      </w:hyperlink>
      <w:r>
        <w:t xml:space="preserve"> ; </w:t>
      </w:r>
      <w:hyperlink r:id="rId11616">
        <w:r>
          <w:rPr>
            <w:color w:val="0000EE"/>
            <w:u w:val="single"/>
          </w:rPr>
          <w:t>Ga 1.3</w:t>
        </w:r>
      </w:hyperlink>
      <w:r>
        <w:t xml:space="preserve"> ; </w:t>
      </w:r>
      <w:hyperlink r:id="rId11617">
        <w:r>
          <w:rPr>
            <w:color w:val="0000EE"/>
            <w:u w:val="single"/>
          </w:rPr>
          <w:t>Ep 1.2</w:t>
        </w:r>
      </w:hyperlink>
      <w:r>
        <w:t xml:space="preserve">, etc. ; voir aussi </w:t>
      </w:r>
      <w:hyperlink r:id="rId11618">
        <w:r>
          <w:rPr>
            <w:color w:val="0000EE"/>
            <w:u w:val="single"/>
          </w:rPr>
          <w:t>1P 1.2</w:t>
        </w:r>
      </w:hyperlink>
      <w:r>
        <w:t xml:space="preserve"> ; </w:t>
      </w:r>
      <w:hyperlink r:id="rId11619">
        <w:r>
          <w:rPr>
            <w:color w:val="0000EE"/>
            <w:u w:val="single"/>
          </w:rPr>
          <w:t>2Jn 1.3</w:t>
        </w:r>
      </w:hyperlink>
      <w:r>
        <w:t xml:space="preserve"> ; </w:t>
      </w:r>
      <w:hyperlink r:id="rId11620">
        <w:r>
          <w:rPr>
            <w:color w:val="0000EE"/>
            <w:u w:val="single"/>
          </w:rPr>
          <w:t>Jd 1.2</w:t>
        </w:r>
      </w:hyperlink>
      <w:r>
        <w:t xml:space="preserve"> ; </w:t>
      </w:r>
      <w:hyperlink r:id="rId5053">
        <w:r>
          <w:rPr>
            <w:color w:val="0000EE"/>
            <w:u w:val="single"/>
          </w:rPr>
          <w:t>Ap 1.4</w:t>
        </w:r>
      </w:hyperlink>
      <w:r>
        <w:t>). Cette expression n'est pas seulement un désir de paix que Paul adresse à ses lecteurs. Elle est un rappel des dons messianiques mis à disposition de l'homme de foi, aujourd'hui, par Christ. De même, Jésus est décrit comme étant lui-même la « paix » (</w:t>
      </w:r>
      <w:hyperlink r:id="rId11621">
        <w:r>
          <w:rPr>
            <w:color w:val="0000EE"/>
            <w:u w:val="single"/>
          </w:rPr>
          <w:t>Ep 2.14</w:t>
        </w:r>
      </w:hyperlink>
      <w:r>
        <w:t>). Dieu, à son tour, en raison de son acte de réconciliation par le Christ, est reconnu comme le « Dieu de paix » (</w:t>
      </w:r>
      <w:hyperlink r:id="rId11622">
        <w:r>
          <w:rPr>
            <w:color w:val="0000EE"/>
            <w:u w:val="single"/>
          </w:rPr>
          <w:t>Ph 4.9</w:t>
        </w:r>
      </w:hyperlink>
      <w:r>
        <w:t xml:space="preserve"> ; </w:t>
      </w:r>
      <w:hyperlink r:id="rId11623">
        <w:r>
          <w:rPr>
            <w:color w:val="0000EE"/>
            <w:u w:val="single"/>
          </w:rPr>
          <w:t>Col 3.15</w:t>
        </w:r>
      </w:hyperlink>
      <w:r>
        <w:t>).</w:t>
      </w:r>
    </w:p>
    <w:p>
      <w:r/>
      <w:r>
        <w:t>Ce don de paix ou de réconciliation avec Dieu, rendu disponible par Christ, impose une exigence éthique au chrétien. Ce don appelle à l'exercice de la « paix » (c'est-à-dire la réconciliation entre les personnes) au sein de l'Église. La paix, en tant que fruit de l'Esprit (</w:t>
      </w:r>
      <w:hyperlink r:id="rId7371">
        <w:r>
          <w:rPr>
            <w:color w:val="0000EE"/>
            <w:u w:val="single"/>
          </w:rPr>
          <w:t>Ga 5.22</w:t>
        </w:r>
      </w:hyperlink>
      <w:r>
        <w:t>), doit être l'objectif des relations du chrétien avec les autres (</w:t>
      </w:r>
      <w:hyperlink r:id="rId11624">
        <w:r>
          <w:rPr>
            <w:color w:val="0000EE"/>
            <w:u w:val="single"/>
          </w:rPr>
          <w:t>Rm 12.18</w:t>
        </w:r>
      </w:hyperlink>
      <w:r>
        <w:t xml:space="preserve"> ; </w:t>
      </w:r>
      <w:hyperlink r:id="rId11606">
        <w:r>
          <w:rPr>
            <w:color w:val="0000EE"/>
            <w:u w:val="single"/>
          </w:rPr>
          <w:t>14.19</w:t>
        </w:r>
      </w:hyperlink>
      <w:r>
        <w:t xml:space="preserve"> ; </w:t>
      </w:r>
      <w:hyperlink r:id="rId11625">
        <w:r>
          <w:rPr>
            <w:color w:val="0000EE"/>
            <w:u w:val="single"/>
          </w:rPr>
          <w:t>Hé 12.14</w:t>
        </w:r>
      </w:hyperlink>
      <w:r>
        <w:t>).</w:t>
      </w:r>
      <w:r/>
      <w:r/>
    </w:p>
    <w:p>
      <w:r/>
    </w:p>
    <w:p>
      <w:pPr>
        <w:pStyle w:val="Heading2"/>
      </w:pPr>
      <w:r>
        <w:t>Palestine</w:t>
      </w:r>
      <w:r/>
    </w:p>
    <w:p>
      <w:r/>
      <w:r>
        <w:t>Pays situé sur la côte est de la mer Méditerranée, également connu sous les noms de Canaan et d'Israël.</w:t>
      </w:r>
    </w:p>
    <w:p>
      <w:r/>
      <w:r>
        <w:t>La Palestine se trouve à l'extrémité occidentale d'une bande courbée de terres agricoles riches appelée le « Croissant Fertile ». Cette terre fertile s'étendait du golfe Persique à travers la Mésopotamie et la Syrie, jusqu'en Égypte. Le sol ici était très propice à la culture des récoltes.</w:t>
      </w:r>
    </w:p>
    <w:p>
      <w:r/>
      <w:r>
        <w:t>La localisation de la Palestine la rendait très importante dans les temps anciens. Elle formait un pont terrestre naturel entre deux grands centres culturels anciens : la Mésopotamie et l'Égypte. Elle reliait également les continents de l'Asie, de l'Afrique et de l'Europe.</w:t>
      </w:r>
    </w:p>
    <w:p>
      <w:r/>
      <w:r>
        <w:t>De nombreuses routes commerciales traversaient la Palestine. Les marchands empruntaient ces routes pour transporter des marchandises depuis des lieux éloignés comme le nord de l'Europe, l'Inde et le sud de l'Égypte. Ces mêmes routes ont ensuite été utilisées par des armées qui voulaient prendre le contrôle de la région et de ses richesses.</w:t>
      </w:r>
    </w:p>
    <w:p>
      <w:r/>
      <w:r>
        <w:t>Cette terre a joué un rôle très important dans l'histoire religieuse. Selon la Bible, Dieu a promis cette terre à Abraham et à ses descendants. Elle est devenue la patrie du peuple juif, et de nombreux événements bibliques s'y sont déroulés. Aujourd'hui, la Palestine est sacrée pour trois grandes religions mondiales : le judaïsme, le christianisme et l'islam.</w:t>
      </w:r>
    </w:p>
    <w:p>
      <w:r/>
      <w:r>
        <w:t>La Palestine possède de nombreux types de terres et de climats dans une petite zone. À l'intérieur d'un territoire long de seulement 240 km, on trouve presque tous les types d'environnements sur Terre :</w:t>
      </w:r>
    </w:p>
    <w:p>
      <w:pPr>
        <w:pStyle w:val="ListBullet"/>
        <w:spacing w:line="240" w:lineRule="auto"/>
        <w:ind w:left="720"/>
      </w:pPr>
      <w:r/>
      <w:r>
        <w:t>Des plaines fertiles favorables à l'agriculture</w:t>
      </w:r>
    </w:p>
    <w:p>
      <w:pPr>
        <w:pStyle w:val="ListBullet"/>
        <w:spacing w:line="240" w:lineRule="auto"/>
        <w:ind w:left="720"/>
      </w:pPr>
      <w:r/>
      <w:r>
        <w:t>Des déserts de sable</w:t>
      </w:r>
    </w:p>
    <w:p>
      <w:pPr>
        <w:pStyle w:val="ListBullet"/>
        <w:spacing w:line="240" w:lineRule="auto"/>
        <w:ind w:left="720"/>
      </w:pPr>
      <w:r/>
      <w:r>
        <w:t>Des zones rocheuses</w:t>
      </w:r>
    </w:p>
    <w:p>
      <w:pPr>
        <w:pStyle w:val="ListBullet"/>
        <w:spacing w:line="240" w:lineRule="auto"/>
        <w:ind w:left="720"/>
      </w:pPr>
      <w:r/>
      <w:r>
        <w:t>Des forêts</w:t>
      </w:r>
    </w:p>
    <w:p>
      <w:pPr>
        <w:pStyle w:val="ListBullet"/>
        <w:spacing w:line="240" w:lineRule="auto"/>
        <w:ind w:left="720"/>
      </w:pPr>
      <w:r/>
      <w:r>
        <w:t>Des montagnes</w:t>
      </w:r>
    </w:p>
    <w:p>
      <w:pPr>
        <w:pStyle w:val="ListBullet"/>
        <w:spacing w:line="240" w:lineRule="auto"/>
        <w:ind w:left="720"/>
      </w:pPr>
      <w:r/>
      <w:r>
        <w:t>Des lacs</w:t>
      </w:r>
    </w:p>
    <w:p>
      <w:pPr>
        <w:pStyle w:val="ListBullet"/>
        <w:spacing w:line="240" w:lineRule="auto"/>
        <w:ind w:left="720"/>
      </w:pPr>
      <w:r/>
      <w:r>
        <w:t>Des rivières</w:t>
      </w:r>
    </w:p>
    <w:p>
      <w:r/>
      <w:r>
        <w:t>Ces différents environnements créent de forts contrastes. Au nord, le mont Hermon est si élevé (2 814 m) qu'il arbore des neiges éternelles à son sommet. À environ 160 km de là, la Mer Morte se trouve dans une vallée chaude, s'agissant du point le plus bas de la surface de la Terre.</w:t>
      </w:r>
    </w:p>
    <w:p>
      <w:pPr>
        <w:pStyle w:val="Heading3"/>
      </w:pPr>
      <w:r>
        <w:t>Survol</w:t>
      </w:r>
    </w:p>
    <w:p>
      <w:r/>
      <w:r>
        <w:t xml:space="preserve">• </w:t>
      </w:r>
      <w:r>
        <w:rPr>
          <w:b/>
          <w:u w:val="single"/>
        </w:rPr>
        <w:t>Nom</w:t>
      </w:r>
    </w:p>
    <w:p>
      <w:r/>
      <w:r>
        <w:t xml:space="preserve">• </w:t>
      </w:r>
      <w:r>
        <w:rPr>
          <w:b/>
          <w:u w:val="single"/>
        </w:rPr>
        <w:t>Territoire</w:t>
      </w:r>
    </w:p>
    <w:p>
      <w:r/>
      <w:r>
        <w:t xml:space="preserve">• </w:t>
      </w:r>
      <w:r>
        <w:rPr>
          <w:b/>
          <w:u w:val="single"/>
        </w:rPr>
        <w:t>Climat</w:t>
      </w:r>
    </w:p>
    <w:p>
      <w:r/>
      <w:r>
        <w:t xml:space="preserve">• </w:t>
      </w:r>
      <w:r>
        <w:rPr>
          <w:b/>
          <w:u w:val="single"/>
        </w:rPr>
        <w:t>Géographie</w:t>
      </w:r>
    </w:p>
    <w:p>
      <w:pPr>
        <w:pStyle w:val="Heading3"/>
      </w:pPr>
      <w:r>
        <w:t>Nom</w:t>
      </w:r>
    </w:p>
    <w:p>
      <w:r/>
      <w:r>
        <w:t>Ce territoire a connu de nombreux noms différents tout au long de son histoire. La plupart des commerçants étrangers ont d'abord découvert la région par sa zone côtière. Voilà sans doute pourquoi l'ensemble du territoire a d'abord été appelé Canaan, puis plus tard Palestine (nommée d'après une région appelée Philistie).</w:t>
      </w:r>
    </w:p>
    <w:p>
      <w:r/>
      <w:r>
        <w:t>Selon le récit biblique des peuples anciens (la Table des Nations), le pays de Canaan s'étendait de Sidon au nord jusqu'à Guérar et Gaza au sud, et à l'orient jusqu'aux Villes de la Plaine (</w:t>
      </w:r>
      <w:hyperlink r:id="rId330">
        <w:r>
          <w:rPr>
            <w:color w:val="0000EE"/>
            <w:u w:val="single"/>
          </w:rPr>
          <w:t>Gn 10.19</w:t>
        </w:r>
      </w:hyperlink>
      <w:r>
        <w:t xml:space="preserve">). C'est en </w:t>
      </w:r>
      <w:hyperlink r:id="rId84">
        <w:r>
          <w:rPr>
            <w:color w:val="0000EE"/>
            <w:u w:val="single"/>
          </w:rPr>
          <w:t xml:space="preserve">Genèse 11.31 </w:t>
        </w:r>
      </w:hyperlink>
      <w:r>
        <w:t>que la Bible utilise « Canaan » comme nom pour cette région pour la première fois.</w:t>
      </w:r>
    </w:p>
    <w:p>
      <w:r/>
      <w:r>
        <w:t>Après que les Israélites prennent le contrôle de Canaan, les gens commencent à l'appeler le pays d'Israël (</w:t>
      </w:r>
      <w:hyperlink r:id="rId5756">
        <w:r>
          <w:rPr>
            <w:color w:val="0000EE"/>
            <w:u w:val="single"/>
          </w:rPr>
          <w:t>1S 13.19</w:t>
        </w:r>
      </w:hyperlink>
      <w:r>
        <w:t xml:space="preserve"> ; </w:t>
      </w:r>
      <w:hyperlink r:id="rId11626">
        <w:r>
          <w:rPr>
            <w:color w:val="0000EE"/>
            <w:u w:val="single"/>
          </w:rPr>
          <w:t>1Ch 22.2</w:t>
        </w:r>
      </w:hyperlink>
      <w:r>
        <w:t>). Vers 930 av. J.‑C., sous le règne du roi Roboam, le pays sera divisé en deux royaumes :</w:t>
      </w:r>
    </w:p>
    <w:p>
      <w:pPr>
        <w:pStyle w:val="ListBullet"/>
        <w:spacing w:line="240" w:lineRule="auto"/>
        <w:ind w:left="720"/>
      </w:pPr>
      <w:r/>
      <w:r>
        <w:t>Le royaume du Nord, qui conservera le nom d'Israël.</w:t>
      </w:r>
    </w:p>
    <w:p>
      <w:pPr>
        <w:pStyle w:val="ListBullet"/>
        <w:spacing w:line="240" w:lineRule="auto"/>
        <w:ind w:left="720"/>
      </w:pPr>
      <w:r/>
      <w:r>
        <w:t>Le royaume du Sud, appelé Juda (plus tard connu sous le nom de Judée).</w:t>
      </w:r>
    </w:p>
    <w:p>
      <w:pPr>
        <w:pStyle w:val="Heading3"/>
      </w:pPr>
      <w:r>
        <w:t>Territoire</w:t>
      </w:r>
    </w:p>
    <w:p>
      <w:r/>
      <w:r>
        <w:t>La Bible décrit d'abord la taille de la Palestine dans la promesse de Dieu à Abraham et à ses descendants (</w:t>
      </w:r>
      <w:hyperlink r:id="rId2168">
        <w:r>
          <w:rPr>
            <w:color w:val="0000EE"/>
            <w:u w:val="single"/>
          </w:rPr>
          <w:t>Gn 15.18–21</w:t>
        </w:r>
      </w:hyperlink>
      <w:r>
        <w:t>). Les frontières s'étendaient du fleuve d'Égypte (Wadi el-Arish) au sud-ouest jusqu'à l'Euphrate au nord-est. Cette région abritait dix groupes de personnes :</w:t>
      </w:r>
    </w:p>
    <w:p>
      <w:pPr>
        <w:pStyle w:val="ListNumber"/>
        <w:spacing w:line="240" w:lineRule="auto"/>
        <w:ind w:left="720"/>
      </w:pPr>
      <w:r/>
      <w:r>
        <w:t>Les Kéniens</w:t>
      </w:r>
    </w:p>
    <w:p>
      <w:pPr>
        <w:pStyle w:val="ListNumber"/>
        <w:spacing w:line="240" w:lineRule="auto"/>
        <w:ind w:left="720"/>
      </w:pPr>
      <w:r/>
      <w:r>
        <w:t>Les Keniziens</w:t>
      </w:r>
    </w:p>
    <w:p>
      <w:pPr>
        <w:pStyle w:val="ListNumber"/>
        <w:spacing w:line="240" w:lineRule="auto"/>
        <w:ind w:left="720"/>
      </w:pPr>
      <w:r/>
      <w:r>
        <w:t>Les Kadmoniens</w:t>
      </w:r>
    </w:p>
    <w:p>
      <w:pPr>
        <w:pStyle w:val="ListNumber"/>
        <w:spacing w:line="240" w:lineRule="auto"/>
        <w:ind w:left="720"/>
      </w:pPr>
      <w:r/>
      <w:r>
        <w:t>Les Hétiens</w:t>
      </w:r>
    </w:p>
    <w:p>
      <w:pPr>
        <w:pStyle w:val="ListNumber"/>
        <w:spacing w:line="240" w:lineRule="auto"/>
        <w:ind w:left="720"/>
      </w:pPr>
      <w:r/>
      <w:r>
        <w:t>Les Phéréziens</w:t>
      </w:r>
    </w:p>
    <w:p>
      <w:pPr>
        <w:pStyle w:val="ListNumber"/>
        <w:spacing w:line="240" w:lineRule="auto"/>
        <w:ind w:left="720"/>
      </w:pPr>
      <w:r/>
      <w:r>
        <w:t>Les Rephaïm</w:t>
      </w:r>
    </w:p>
    <w:p>
      <w:pPr>
        <w:pStyle w:val="ListNumber"/>
        <w:spacing w:line="240" w:lineRule="auto"/>
        <w:ind w:left="720"/>
      </w:pPr>
      <w:r/>
      <w:r>
        <w:t>Les Amoréens</w:t>
      </w:r>
    </w:p>
    <w:p>
      <w:pPr>
        <w:pStyle w:val="ListNumber"/>
        <w:spacing w:line="240" w:lineRule="auto"/>
        <w:ind w:left="720"/>
      </w:pPr>
      <w:r/>
      <w:r>
        <w:t>Les Canaanéens</w:t>
      </w:r>
    </w:p>
    <w:p>
      <w:pPr>
        <w:pStyle w:val="ListNumber"/>
        <w:spacing w:line="240" w:lineRule="auto"/>
        <w:ind w:left="720"/>
      </w:pPr>
      <w:r/>
      <w:r>
        <w:t>Les Guirgasiens</w:t>
      </w:r>
    </w:p>
    <w:p>
      <w:pPr>
        <w:pStyle w:val="ListNumber"/>
        <w:spacing w:line="240" w:lineRule="auto"/>
        <w:ind w:left="720"/>
      </w:pPr>
      <w:r/>
      <w:r>
        <w:t>Les Jébusiens.</w:t>
      </w:r>
    </w:p>
    <w:p>
      <w:r/>
      <w:r>
        <w:t xml:space="preserve">Dans </w:t>
      </w:r>
      <w:hyperlink r:id="rId3053">
        <w:r>
          <w:rPr>
            <w:color w:val="0000EE"/>
            <w:u w:val="single"/>
          </w:rPr>
          <w:t>Genèse 17.8</w:t>
        </w:r>
      </w:hyperlink>
      <w:r>
        <w:t xml:space="preserve">, la région est simplement appelée « </w:t>
      </w:r>
      <w:r>
        <w:t>tout le pays de Canaan</w:t>
      </w:r>
      <w:r>
        <w:t xml:space="preserve"> ».</w:t>
      </w:r>
    </w:p>
    <w:p>
      <w:r/>
      <w:r>
        <w:t>Dieu donnera à Moïse des instructions plus précises concernant les frontières du pays dans lequel Israël vivrait (</w:t>
      </w:r>
      <w:hyperlink r:id="rId11627">
        <w:r>
          <w:rPr>
            <w:color w:val="0000EE"/>
            <w:u w:val="single"/>
          </w:rPr>
          <w:t>Nb 34.1–12</w:t>
        </w:r>
      </w:hyperlink>
      <w:r>
        <w:t>). La frontière sud s'étendrait depuis le fleuve d'Égypte, au sud de Kadès-Barnéa, et suivrait le désert de Tsin jusqu'à l'extrémité sud de la mer Morte. La frontière occidentale en serait la mer Méditerranée, la frontière nord étant près de l'entrée de Hamath, et le Jourdain ainsi que la mer Morte en marquant la frontière orientale.</w:t>
      </w:r>
    </w:p>
    <w:p>
      <w:r/>
      <w:r>
        <w:t xml:space="preserve">La plus grande superficie que la terre promise ait jamais occupée est décrite dans </w:t>
      </w:r>
      <w:hyperlink r:id="rId9974">
        <w:r>
          <w:rPr>
            <w:color w:val="0000EE"/>
            <w:u w:val="single"/>
          </w:rPr>
          <w:t>Exode 23.31</w:t>
        </w:r>
      </w:hyperlink>
      <w:r>
        <w:t>. Dieu a dit à Moïse qu'il établirait les frontières d'Israël de la mer Rouge à la mer Méditerranée et du désert à l'Euphrate.</w:t>
      </w:r>
    </w:p>
    <w:p>
      <w:r/>
      <w:r>
        <w:t>Au cours de la période initiale où les juges dirigeaient Israël, et plus tard lorsque Saül était roi, les Israélites ne contrôlaient pas toutes les terres qui avaient été attribuées à leurs tribus sous la direction de Josué. Cela changera à l'époque de deux rois ultérieurs, David et Salomon.</w:t>
      </w:r>
    </w:p>
    <w:p>
      <w:r/>
      <w:r>
        <w:t>Le roi David utilisera la puissance militaire pour étendre les frontières d'Israël. Il vaincra le roi Hadadézer de Tsoba, repoussant la frontière nord jusqu'à l'Euphrate. Il remportera des batailles contre la Syrie, Ammon, Moab, Édom et Amalek. David agrandira le royaume vers l'orient et le sud (</w:t>
      </w:r>
      <w:hyperlink r:id="rId11628">
        <w:r>
          <w:rPr>
            <w:color w:val="0000EE"/>
            <w:u w:val="single"/>
          </w:rPr>
          <w:t>2S 8.1–14</w:t>
        </w:r>
      </w:hyperlink>
      <w:r>
        <w:t xml:space="preserve"> ; </w:t>
      </w:r>
      <w:hyperlink r:id="rId11629">
        <w:r>
          <w:rPr>
            <w:color w:val="0000EE"/>
            <w:u w:val="single"/>
          </w:rPr>
          <w:t>1Ch 18.1–13</w:t>
        </w:r>
      </w:hyperlink>
      <w:r>
        <w:t>).</w:t>
      </w:r>
    </w:p>
    <w:p>
      <w:r/>
      <w:r>
        <w:t>Le roi Salomon utilisera la diplomatie pacifique pour maintenir et étendre le royaume. Il possédait des navires marchands à Étsjon-Guéber, sur le golfe d'Aqaba, et lancera des opérations d'extraction de cuivre dans cette région.</w:t>
      </w:r>
    </w:p>
    <w:p>
      <w:pPr>
        <w:pStyle w:val="Heading3"/>
      </w:pPr>
      <w:r>
        <w:t>Climat</w:t>
      </w:r>
    </w:p>
    <w:p>
      <w:r/>
      <w:r>
        <w:t>La Palestine présente de nombreux types de climats différents, contenus dans une petite zone. Elle possède plus de variétés climatiques que tout autre endroit de taille similaire dans le monde. Le climat est généralement doux, mais varie selon les régions du pays.</w:t>
      </w:r>
    </w:p>
    <w:p>
      <w:r/>
      <w:r>
        <w:t>À Jérusalem, les températures peuvent varier de -3 °C à 41 °C. La région connaît environ 50 cm de pluie chaque année. La plaine côtière est plus chaude et humide toute l'année. Dans la ville de Joppa, la température moyenne est de 20 °C. La vallée du Jourdain près de la mer Morte est subtropicale, avec des températures estivales atteignant jusqu'à 50 °C.</w:t>
      </w:r>
    </w:p>
    <w:p>
      <w:r/>
      <w:r>
        <w:t>Les précipitations sont saisonnières, la plupart des pluies tombant pendant les mois plus frais, d'octobre à avril. Le reste de l'année est généralement sec. Ce sont les vents humides soufflant de l'ouest qui sont la cause de ces spécificités en ce qui concerne les précipitations. Lorsque ces vents atteignent la terre plus fraîche, ils libèrent leur humidité sous forme de pluie. Les vents humides de l'ouest apportent de la pluie sur la terre plus froide, similaire à l'effet de « neige de lac » observé près des Grands Lacs aux États-Unis. La Bible mentionne deux périodes pluvieuses (</w:t>
      </w:r>
      <w:hyperlink r:id="rId11630">
        <w:r>
          <w:rPr>
            <w:color w:val="0000EE"/>
            <w:u w:val="single"/>
          </w:rPr>
          <w:t>Jr 5.24</w:t>
        </w:r>
      </w:hyperlink>
      <w:r>
        <w:t xml:space="preserve"> ; </w:t>
      </w:r>
      <w:hyperlink r:id="rId11631">
        <w:r>
          <w:rPr>
            <w:color w:val="0000EE"/>
            <w:u w:val="single"/>
          </w:rPr>
          <w:t>Jl 2.23</w:t>
        </w:r>
      </w:hyperlink>
      <w:r>
        <w:t>) :</w:t>
      </w:r>
    </w:p>
    <w:p>
      <w:pPr>
        <w:pStyle w:val="ListBullet"/>
        <w:spacing w:line="240" w:lineRule="auto"/>
        <w:ind w:left="720"/>
      </w:pPr>
      <w:r/>
      <w:r>
        <w:t>La « première pluie » en octobre et novembre</w:t>
      </w:r>
    </w:p>
    <w:p>
      <w:pPr>
        <w:pStyle w:val="ListBullet"/>
        <w:spacing w:line="240" w:lineRule="auto"/>
        <w:ind w:left="720"/>
      </w:pPr>
      <w:r/>
      <w:r>
        <w:t>La « pluie de l'arrière-saison » de mars à avril</w:t>
      </w:r>
    </w:p>
    <w:p>
      <w:r/>
      <w:r>
        <w:t>Différentes régions reçoivent des quantités variées de pluie chaque année. La zone côtière reçoit environ 70 cm de pluie par an. La moyenne nationale se situe entre 56 et 70 cm.</w:t>
      </w:r>
    </w:p>
    <w:p>
      <w:pPr>
        <w:pStyle w:val="Heading3"/>
      </w:pPr>
      <w:r>
        <w:t>Géographie</w:t>
      </w:r>
    </w:p>
    <w:p>
      <w:r/>
      <w:r>
        <w:t>La Palestine peut être divisée en cinq régions principales, allant du nord au sud :</w:t>
      </w:r>
    </w:p>
    <w:p>
      <w:pPr>
        <w:pStyle w:val="ListNumber"/>
        <w:spacing w:line="240" w:lineRule="auto"/>
        <w:ind w:left="720"/>
      </w:pPr>
      <w:r/>
      <w:r>
        <w:t>La plaine maritime ou côtière est le territoire situé le long de la mer Méditerranée.</w:t>
      </w:r>
    </w:p>
    <w:p>
      <w:pPr>
        <w:pStyle w:val="ListNumber"/>
        <w:spacing w:line="240" w:lineRule="auto"/>
        <w:ind w:left="720"/>
      </w:pPr>
      <w:r/>
      <w:r>
        <w:t>La Shéphélah, une région de collines basses.</w:t>
      </w:r>
    </w:p>
    <w:p>
      <w:pPr>
        <w:pStyle w:val="ListNumber"/>
        <w:spacing w:line="240" w:lineRule="auto"/>
        <w:ind w:left="720"/>
      </w:pPr>
      <w:r/>
      <w:r>
        <w:t>Le plateau occidental, ou pays des collines, est un haut plateau composé de montagnes et de collines.</w:t>
      </w:r>
    </w:p>
    <w:p>
      <w:pPr>
        <w:pStyle w:val="ListNumber"/>
        <w:spacing w:line="240" w:lineRule="auto"/>
        <w:ind w:left="720"/>
      </w:pPr>
      <w:r/>
      <w:r>
        <w:t>La vallée du Jourdain, une vallée profonde (également appelée la plaine).</w:t>
      </w:r>
    </w:p>
    <w:p>
      <w:pPr>
        <w:pStyle w:val="ListNumber"/>
        <w:spacing w:line="240" w:lineRule="auto"/>
        <w:ind w:left="720"/>
      </w:pPr>
      <w:r/>
      <w:r>
        <w:t>Le Plateau Oriental, la haute terre à l'est du Jourdain (également appelée Transjordanie).</w:t>
      </w:r>
    </w:p>
    <w:p>
      <w:pPr>
        <w:pStyle w:val="Heading4"/>
      </w:pPr>
      <w:r>
        <w:t>La Plaine maritime ou côtière</w:t>
      </w:r>
    </w:p>
    <w:p>
      <w:r/>
      <w:r>
        <w:t>La plaine côtière peut être divisée en trois zones du sud au nord : la plaine de Philistie, la plaine du Saron et la plaine d'Acre.</w:t>
      </w:r>
    </w:p>
    <w:p>
      <w:pPr>
        <w:pStyle w:val="ListNumber"/>
        <w:spacing w:line="240" w:lineRule="auto"/>
        <w:ind w:left="720"/>
      </w:pPr>
      <w:r/>
      <w:r>
        <w:t>La plaine de Philistie s'étend du Wadi el-Arish (également appelé le fleuve d'Égypte) au sud jusqu'à environ 8 km au nord de Joppé. Elle mesure environ 115 km de long et a le plus de largeur près de Gaza (près de 50 km). Cette plaine, principalement fertile, était idéale pour la culture des céréales.</w:t>
      </w:r>
    </w:p>
    <w:p>
      <w:pPr>
        <w:pStyle w:val="ListNumber"/>
        <w:spacing w:line="240" w:lineRule="auto"/>
        <w:ind w:left="720"/>
      </w:pPr>
      <w:r/>
      <w:r>
        <w:t xml:space="preserve">La plaine du Saron se situe au nord de la plaine philistine. Elle était probablement sous le contrôle des Philistins. L'Ancien Testament la reconnaît comme distincte des terres philistines (voir </w:t>
      </w:r>
      <w:hyperlink r:id="rId11632">
        <w:r>
          <w:rPr>
            <w:color w:val="0000EE"/>
            <w:u w:val="single"/>
          </w:rPr>
          <w:t>Ct 2.1</w:t>
        </w:r>
      </w:hyperlink>
      <w:r>
        <w:t xml:space="preserve"> ; </w:t>
      </w:r>
      <w:hyperlink r:id="rId11633">
        <w:r>
          <w:rPr>
            <w:color w:val="0000EE"/>
            <w:u w:val="single"/>
          </w:rPr>
          <w:t>Es 65.10</w:t>
        </w:r>
      </w:hyperlink>
      <w:r>
        <w:t>). Cette plaine s'étend au nord jusqu'au mont Carmel et inclut les villes de Dor et de Césarée.</w:t>
      </w:r>
    </w:p>
    <w:p>
      <w:pPr>
        <w:pStyle w:val="ListNumber"/>
        <w:spacing w:line="240" w:lineRule="auto"/>
        <w:ind w:left="720"/>
      </w:pPr>
      <w:r/>
      <w:r>
        <w:t xml:space="preserve">La plaine d'Acre commence au-delà du Mont Carmel, près de la ville de Ptolémaïs (également connue sous le nom d'Acco), mentionnée dans </w:t>
      </w:r>
      <w:hyperlink r:id="rId119">
        <w:r>
          <w:rPr>
            <w:color w:val="0000EE"/>
            <w:u w:val="single"/>
          </w:rPr>
          <w:t>Actes 21.7</w:t>
        </w:r>
      </w:hyperlink>
      <w:r>
        <w:t xml:space="preserve"> et </w:t>
      </w:r>
      <w:hyperlink r:id="rId117">
        <w:r>
          <w:rPr>
            <w:color w:val="0000EE"/>
            <w:u w:val="single"/>
          </w:rPr>
          <w:t>Juges 1.31</w:t>
        </w:r>
      </w:hyperlink>
      <w:r>
        <w:t>. Cette étroite plaine s'étend sur environ 30 km jusqu'à l'Échelle de Tyr (Ras en-Nakurah). Le fleuve Kison (</w:t>
      </w:r>
      <w:hyperlink r:id="rId11634">
        <w:r>
          <w:rPr>
            <w:color w:val="0000EE"/>
            <w:u w:val="single"/>
          </w:rPr>
          <w:t>Jg 4.7, 13</w:t>
        </w:r>
      </w:hyperlink>
      <w:r>
        <w:t xml:space="preserve"> ; </w:t>
      </w:r>
      <w:hyperlink r:id="rId11635">
        <w:r>
          <w:rPr>
            <w:color w:val="0000EE"/>
            <w:u w:val="single"/>
          </w:rPr>
          <w:t>1R 18.40</w:t>
        </w:r>
      </w:hyperlink>
      <w:r>
        <w:t>) traverse cette région.</w:t>
      </w:r>
    </w:p>
    <w:p>
      <w:pPr>
        <w:pStyle w:val="Heading4"/>
      </w:pPr>
      <w:r>
        <w:t>La Shéphélah</w:t>
      </w:r>
    </w:p>
    <w:p>
      <w:r/>
      <w:r>
        <w:t>La Shéphélah est une région située entre la basse plaine côtière et les hautes terres du plateau occidental. Son altitude varie d'environ 150 à 300 m, et elle n'est large que de quelques kilomètres. Elle s'étend de la vallée d'Ajalon à Beer-Schéba. Les vallées de la Shéphélah étaient propices à la culture des céréales, tandis que les collines étaient idéales pour les vignobles et les oliviers. Cette zone était stratégiquement importante car elle offrait un accès à Jérusalem.</w:t>
      </w:r>
    </w:p>
    <w:p>
      <w:pPr>
        <w:pStyle w:val="Heading4"/>
      </w:pPr>
      <w:r>
        <w:t>Le Plateau occidental ou pays des collines</w:t>
      </w:r>
    </w:p>
    <w:p>
      <w:r/>
      <w:r>
        <w:t>Le plateau occidental, ou pays des collines, s'élève à une altitude comprise entre 300 et 600 m. Il s'étend sur environ 240 km du Liban au nord jusqu'à Beer-Schéba au sud. Cette région peut être divisée en trois parties : la Galilée, la Samarie et la Judée.</w:t>
      </w:r>
    </w:p>
    <w:p>
      <w:pPr>
        <w:pStyle w:val="ListNumber"/>
        <w:spacing w:line="240" w:lineRule="auto"/>
        <w:ind w:left="720"/>
      </w:pPr>
      <w:r/>
      <w:r>
        <w:rPr>
          <w:b/>
        </w:rPr>
        <w:t>La Galilée</w:t>
      </w:r>
      <w:r>
        <w:t xml:space="preserve"> est divisée en </w:t>
      </w:r>
      <w:r>
        <w:rPr>
          <w:b/>
          <w:i/>
        </w:rPr>
        <w:t>Haute Galilée</w:t>
      </w:r>
      <w:r>
        <w:t xml:space="preserve">, avec des altitudes de 600 à 1 200 m, et </w:t>
      </w:r>
      <w:r>
        <w:rPr>
          <w:b/>
          <w:i/>
        </w:rPr>
        <w:t>Basse Galilée</w:t>
      </w:r>
      <w:r>
        <w:t xml:space="preserve">, en dessous de 600 m. Il s'agissait d'une région principalement utilisée pour l'agriculture et ouverte aux invasions. Sa situation géographique faisait de la Galilée une zone diverse et culturellement mixte, appelée, selon les traductions, « </w:t>
      </w:r>
      <w:r>
        <w:t>Galilée, région des étrangers</w:t>
      </w:r>
      <w:r>
        <w:t xml:space="preserve"> » (NFC) ou encore « </w:t>
      </w:r>
      <w:r>
        <w:t>le district des nations</w:t>
      </w:r>
      <w:r>
        <w:t xml:space="preserve"> » (TOB2010) dans </w:t>
      </w:r>
      <w:hyperlink r:id="rId11636">
        <w:r>
          <w:rPr>
            <w:color w:val="0000EE"/>
            <w:u w:val="single"/>
          </w:rPr>
          <w:t>Ésaïe 9.1 [8.23]</w:t>
        </w:r>
      </w:hyperlink>
      <w:r>
        <w:t>.</w:t>
      </w:r>
    </w:p>
    <w:p>
      <w:pPr>
        <w:pStyle w:val="ListNumber"/>
        <w:spacing w:line="240" w:lineRule="auto"/>
        <w:ind w:left="720"/>
      </w:pPr>
      <w:r/>
      <w:r>
        <w:rPr>
          <w:b/>
        </w:rPr>
        <w:t>La Samarie</w:t>
      </w:r>
      <w:r>
        <w:t xml:space="preserve"> était une autre région propice à la culture des récoltes et à l'élevage du bétail. Les frères de Joseph faisaient paître leurs brebis dans la plaine de Dothan lorsqu'ils ont devisé leur complot contre lui (</w:t>
      </w:r>
      <w:hyperlink r:id="rId11637">
        <w:r>
          <w:rPr>
            <w:color w:val="0000EE"/>
            <w:u w:val="single"/>
          </w:rPr>
          <w:t>Gn 37.17</w:t>
        </w:r>
      </w:hyperlink>
      <w:r>
        <w:t>).</w:t>
      </w:r>
    </w:p>
    <w:p>
      <w:pPr>
        <w:pStyle w:val="ListNumber"/>
        <w:spacing w:line="240" w:lineRule="auto"/>
        <w:ind w:left="720"/>
      </w:pPr>
      <w:r/>
      <w:r>
        <w:rPr>
          <w:b/>
        </w:rPr>
        <w:t>La Judée</w:t>
      </w:r>
      <w:r>
        <w:t xml:space="preserve"> se situe à environ 600 à 1 000 m au-dessus du niveau de la mer et s'étend sur environ 100 km de Béthel à Beer-Schéba. Jérusalem, située en Judée, se trouve à 800 m. Entourée de montagnes et de vallées, Jérusalem bénéficiait de défenses naturelles (</w:t>
      </w:r>
      <w:hyperlink r:id="rId11638">
        <w:r>
          <w:rPr>
            <w:color w:val="0000EE"/>
            <w:u w:val="single"/>
          </w:rPr>
          <w:t>Ps 125.2</w:t>
        </w:r>
      </w:hyperlink>
      <w:r>
        <w:t>). Jérusalem est devenue le centre religieux et la capitale d'Israël lorsque David y a déplacé l'arche de l'alliance. Comme prophétisé, Jérusalem est devenue le centre cultuel du pays lorsque Salomon y a construit le temple, l'un des bâtiments les plus impressionnants de l'époque.</w:t>
      </w:r>
    </w:p>
    <w:p>
      <w:pPr>
        <w:pStyle w:val="Heading4"/>
      </w:pPr>
      <w:r>
        <w:t>La Vallée du Jourdain ou la plaine d'Arabah</w:t>
      </w:r>
    </w:p>
    <w:p>
      <w:r/>
      <w:r>
        <w:t>La vallée du Jourdain (également appelée plaine d'Arabah) possède à la fois les points les plus hauts et les plus bas de Palestine. Le mont Hermon, culminant à 2 814 m, est le point le plus élevé. La surface de la mer Morte se situe à 400 m en dessous du niveau de la mer. Son point le plus profond descend 400 m plus bas encore.</w:t>
      </w:r>
    </w:p>
    <w:p>
      <w:pPr>
        <w:pStyle w:val="ListNumber"/>
        <w:spacing w:line="240" w:lineRule="auto"/>
        <w:ind w:left="720"/>
      </w:pPr>
      <w:r/>
      <w:r>
        <w:t>La vallée supérieure du Jourdain (ou plaine d'Arabah septentrionale) est l'endroit où le Jourdain prend sa source près du mont Hermon. Le fleuve a quatre sources différentes. Il traverse l'ancien lac de la Houlah (maintenant partiellement asséché et transformé en refuge faunique). Le Pont des Filles de Jacob, qui traverse le Jourdain sur la route de Damas, est situé à 3 km en aval de la Houlah. Le fleuve passe ensuite par une gorge de 360 m.</w:t>
      </w:r>
    </w:p>
    <w:p>
      <w:pPr>
        <w:pStyle w:val="ListNumber"/>
        <w:spacing w:line="240" w:lineRule="auto"/>
        <w:ind w:left="720"/>
      </w:pPr>
      <w:r/>
      <w:r>
        <w:t>La mer de Galilée est située à environ 15 km du lac de la Houlah. Elle se trouve à une altitude de -200 m. Elle s'étend sur 25 km de longueur et 13 km de largeur, avec une profondeur maximale de 230 m. Sa forme a inspiré son nom dans l'Ancien Testament, Kinnéreth, signifiant « harpe » (</w:t>
      </w:r>
      <w:hyperlink r:id="rId11639">
        <w:r>
          <w:rPr>
            <w:color w:val="0000EE"/>
            <w:u w:val="single"/>
          </w:rPr>
          <w:t>Nb 34.11</w:t>
        </w:r>
      </w:hyperlink>
      <w:r>
        <w:t xml:space="preserve"> ; </w:t>
      </w:r>
      <w:hyperlink r:id="rId11640">
        <w:r>
          <w:rPr>
            <w:color w:val="0000EE"/>
            <w:u w:val="single"/>
          </w:rPr>
          <w:t>Jos 13.27</w:t>
        </w:r>
      </w:hyperlink>
      <w:r>
        <w:t>). Dans le Nouveau Testament, elle était appelée le lac de Génésareth (</w:t>
      </w:r>
      <w:hyperlink r:id="rId5957">
        <w:r>
          <w:rPr>
            <w:color w:val="0000EE"/>
            <w:u w:val="single"/>
          </w:rPr>
          <w:t>Lc 5.1</w:t>
        </w:r>
      </w:hyperlink>
      <w:r>
        <w:t>) et la mer de Tibériade (</w:t>
      </w:r>
      <w:hyperlink r:id="rId11641">
        <w:r>
          <w:rPr>
            <w:color w:val="0000EE"/>
            <w:u w:val="single"/>
          </w:rPr>
          <w:t>Jn 6.1</w:t>
        </w:r>
      </w:hyperlink>
      <w:r>
        <w:t xml:space="preserve"> ; </w:t>
      </w:r>
      <w:hyperlink r:id="rId6995">
        <w:r>
          <w:rPr>
            <w:color w:val="0000EE"/>
            <w:u w:val="single"/>
          </w:rPr>
          <w:t>21.1</w:t>
        </w:r>
      </w:hyperlink>
      <w:r>
        <w:t>).</w:t>
      </w:r>
    </w:p>
    <w:p>
      <w:pPr>
        <w:pStyle w:val="ListNumber"/>
        <w:spacing w:line="240" w:lineRule="auto"/>
        <w:ind w:left="720"/>
      </w:pPr>
      <w:r/>
      <w:r>
        <w:t>La plaine centrale (ou Ghor) contient le Jourdain. Le nom Jourdain signifie « descendeur ». Le Jourdain couvre environ 100 km en ligne droite de la mer de Galilée à la mer Morte. Cette partie du cours du fleuve descend de plus de 180 m, s'écoulant en une série de virages serrés en zigzag. La longueur réelle du fleuve est de 320 km.</w:t>
      </w:r>
    </w:p>
    <w:p>
      <w:r/>
      <w:r>
        <w:t>Cette portion de la vallée du Jourdain est connue sous le nom de Rift ou Ghor. Le fleuve Yarmouk rejoint le Jourdain depuis l'est à 10 km en aval de la mer de Galilée. Quelques ruisseaux plus petits se jettent dans le Jourdain, mais le prochain fleuve important est le Jabbok (</w:t>
      </w:r>
      <w:hyperlink r:id="rId11642">
        <w:r>
          <w:rPr>
            <w:color w:val="0000EE"/>
            <w:u w:val="single"/>
          </w:rPr>
          <w:t>Gn 32.22</w:t>
        </w:r>
      </w:hyperlink>
      <w:r>
        <w:t>). Le Ghor, juste au sud de la mer de Galilée, a une largeur d'environ 6 km de large. Près de Beth-Schan, il atteint 11 km de large. Plus loin, sur environ 25 km, les montagnes sont proches du fleuve, donnant à la vallée une largeur de 3 à 5 km de large. Près de Jéricho, elle s'élargit à environ 20 km de large.</w:t>
      </w:r>
    </w:p>
    <w:p>
      <w:pPr>
        <w:pStyle w:val="ListNumber"/>
        <w:spacing w:line="240" w:lineRule="auto"/>
        <w:ind w:left="720"/>
      </w:pPr>
      <w:r/>
      <w:r>
        <w:t>La mer Morte est une région unique. Il s'agit du point le plus bas sur Terre. La mer Morte est également connue sous le nom de « mer Salée » (</w:t>
      </w:r>
      <w:hyperlink r:id="rId6065">
        <w:r>
          <w:rPr>
            <w:color w:val="0000EE"/>
            <w:u w:val="single"/>
          </w:rPr>
          <w:t>Gn 14.3</w:t>
        </w:r>
      </w:hyperlink>
      <w:r>
        <w:t xml:space="preserve"> ; </w:t>
      </w:r>
      <w:hyperlink r:id="rId11643">
        <w:r>
          <w:rPr>
            <w:color w:val="0000EE"/>
            <w:u w:val="single"/>
          </w:rPr>
          <w:t>Nb 34.12</w:t>
        </w:r>
      </w:hyperlink>
      <w:r>
        <w:t xml:space="preserve"> ; </w:t>
      </w:r>
      <w:hyperlink r:id="rId9957">
        <w:r>
          <w:rPr>
            <w:color w:val="0000EE"/>
            <w:u w:val="single"/>
          </w:rPr>
          <w:t>Jos 12.3</w:t>
        </w:r>
      </w:hyperlink>
      <w:r>
        <w:t>) ou « mer de la plaine » (</w:t>
      </w:r>
      <w:hyperlink r:id="rId9957">
        <w:r>
          <w:rPr>
            <w:color w:val="0000EE"/>
            <w:u w:val="single"/>
          </w:rPr>
          <w:t>Jos 12.3</w:t>
        </w:r>
      </w:hyperlink>
      <w:r>
        <w:t>). Josèphe l'appelle « Lac Asphaltitis ».</w:t>
      </w:r>
    </w:p>
    <w:p>
      <w:r/>
      <w:r>
        <w:t>Elle mesure 75 km de long, 15 km de large et 400 m de profondeur. Avec une teneur en minéraux d'environ 25 pour cent, il s'agit d'un dépôt chimique précieux. La mer Morte reçoit de l'eau du Jourdain et d'autres ruisseaux, comme la rivière Arnon à l'est. Une grande partie du ruissellement des pluies saisonnières se déverse également dans la mer Morte. Les températures estivales peuvent atteindre 50 °C, avec une humidité extrême. La mer connaît une évaporation quotidienne de 5,4 à 7,3 millions de tonnes métriques (6 à 8 millions de tonnes).</w:t>
      </w:r>
    </w:p>
    <w:p>
      <w:pPr>
        <w:pStyle w:val="ListNumber"/>
        <w:spacing w:line="240" w:lineRule="auto"/>
        <w:ind w:left="720"/>
      </w:pPr>
      <w:r/>
      <w:r>
        <w:t>La plaine méridionale est une région principalement aride. Elle s'étend de la mer Morte au golfe d'Aqaba, couvrant 250 km. La plaine s'élève de son point le plus bas, la mer Morte, à son point le plus haut, une ligne de partage des eaux juste à l'ouest de Petra. Des ports comme Élath (l'actuelle Eilat) et Etsjon-Guéber se trouvaient à son extrémité sud.</w:t>
      </w:r>
    </w:p>
    <w:p>
      <w:pPr>
        <w:pStyle w:val="Heading4"/>
      </w:pPr>
      <w:r>
        <w:t>Le Plateau oriental ou Transjordanie</w:t>
      </w:r>
    </w:p>
    <w:p>
      <w:r/>
      <w:r>
        <w:t>Le plateau oriental (ou Transjordanie) ne faisait pas partie de la terre promise. Les tribus de Ruben, Gad et la moitié de Manassé l'ont revendiqué. Il possédait de meilleures ressources en eau que le plateau occidental, avec des cours d'eau permanents tels que le Yarmouk, le Jabbok et l'Arnon. La route du Roi, un axe nord-sud clé, traversait cette région. Elle est mentionnée dans le voyage des Israélites lors de l'Exode (</w:t>
      </w:r>
      <w:hyperlink r:id="rId4482">
        <w:r>
          <w:rPr>
            <w:color w:val="0000EE"/>
            <w:u w:val="single"/>
          </w:rPr>
          <w:t>Nb 21.22</w:t>
        </w:r>
      </w:hyperlink>
      <w:r>
        <w:t xml:space="preserve">). Il s'agit probablement également de la route empruntée par les rois envahisseurs de </w:t>
      </w:r>
      <w:hyperlink r:id="rId6009">
        <w:r>
          <w:rPr>
            <w:color w:val="0000EE"/>
            <w:u w:val="single"/>
          </w:rPr>
          <w:t>Genèse 14</w:t>
        </w:r>
      </w:hyperlink>
      <w:r>
        <w:t>.</w:t>
      </w:r>
    </w:p>
    <w:p>
      <w:r/>
      <w:r>
        <w:t>La section nord de la Transjordanie était connue sous le nom de Basan. Elle était célèbre pour son bétail et ses chênes (</w:t>
      </w:r>
      <w:hyperlink r:id="rId11644">
        <w:r>
          <w:rPr>
            <w:color w:val="0000EE"/>
            <w:u w:val="single"/>
          </w:rPr>
          <w:t>Ps 22.12</w:t>
        </w:r>
      </w:hyperlink>
      <w:r>
        <w:t xml:space="preserve"> ; </w:t>
      </w:r>
      <w:hyperlink r:id="rId1706">
        <w:r>
          <w:rPr>
            <w:color w:val="0000EE"/>
            <w:u w:val="single"/>
          </w:rPr>
          <w:t>Ez 39.18</w:t>
        </w:r>
      </w:hyperlink>
      <w:r>
        <w:t xml:space="preserve"> ; </w:t>
      </w:r>
      <w:hyperlink r:id="rId9053">
        <w:r>
          <w:rPr>
            <w:color w:val="0000EE"/>
            <w:u w:val="single"/>
          </w:rPr>
          <w:t>Es 2.13</w:t>
        </w:r>
      </w:hyperlink>
      <w:r>
        <w:t xml:space="preserve"> ; </w:t>
      </w:r>
      <w:hyperlink r:id="rId11645">
        <w:r>
          <w:rPr>
            <w:color w:val="0000EE"/>
            <w:u w:val="single"/>
          </w:rPr>
          <w:t>Za 11.2</w:t>
        </w:r>
      </w:hyperlink>
      <w:r>
        <w:t>).</w:t>
      </w:r>
    </w:p>
    <w:p>
      <w:r/>
      <w:r>
        <w:t>Galaad était une région à l'est du Jourdain, bien connue dans les temps anciens pour la fabrication d'un médicament curatif appelé baume (</w:t>
      </w:r>
      <w:hyperlink r:id="rId5880">
        <w:r>
          <w:rPr>
            <w:color w:val="0000EE"/>
            <w:u w:val="single"/>
          </w:rPr>
          <w:t>Gn 37.25</w:t>
        </w:r>
      </w:hyperlink>
      <w:r>
        <w:t xml:space="preserve"> ; </w:t>
      </w:r>
      <w:hyperlink r:id="rId5860">
        <w:r>
          <w:rPr>
            <w:color w:val="0000EE"/>
            <w:u w:val="single"/>
          </w:rPr>
          <w:t>Jr 8.22</w:t>
        </w:r>
      </w:hyperlink>
      <w:r>
        <w:t xml:space="preserve">). La Bible mentionne Galaad de nombreuses fois (voir par exemple </w:t>
      </w:r>
      <w:hyperlink r:id="rId11646">
        <w:r>
          <w:rPr>
            <w:color w:val="0000EE"/>
            <w:u w:val="single"/>
          </w:rPr>
          <w:t>Dt 3.10–16</w:t>
        </w:r>
      </w:hyperlink>
      <w:r>
        <w:t xml:space="preserve"> et </w:t>
      </w:r>
      <w:hyperlink r:id="rId11647">
        <w:r>
          <w:rPr>
            <w:color w:val="0000EE"/>
            <w:u w:val="single"/>
          </w:rPr>
          <w:t>Jg 11</w:t>
        </w:r>
      </w:hyperlink>
      <w:r>
        <w:t>). La région de Galaad s'étendait de la rivière Yarmuk à Hesbon. À l'époque de David, elle était couverte de forêts épaisses (</w:t>
      </w:r>
      <w:hyperlink r:id="rId11648">
        <w:r>
          <w:rPr>
            <w:color w:val="0000EE"/>
            <w:u w:val="single"/>
          </w:rPr>
          <w:t>2S 18.8</w:t>
        </w:r>
      </w:hyperlink>
      <w:r>
        <w:t>).</w:t>
      </w:r>
    </w:p>
    <w:p>
      <w:r/>
      <w:r>
        <w:t>En Palestine proprement dite, deux zones sont particulièrement importantes :</w:t>
      </w:r>
    </w:p>
    <w:p>
      <w:pPr>
        <w:pStyle w:val="ListNumber"/>
        <w:spacing w:line="240" w:lineRule="auto"/>
        <w:ind w:left="720"/>
      </w:pPr>
      <w:r/>
      <w:r>
        <w:t>La plaine d'</w:t>
      </w:r>
      <w:r>
        <w:t>Esdraelon</w:t>
      </w:r>
      <w:r>
        <w:t xml:space="preserve"> était renommée pour ses terres fertiles et ses batailles historiques. Cette plaine se situe entre la Galilée et la Samarie. Elle est souvent associée à Harmaguédon et était protégée par des villes fortifiées comme Meguiddo, Jibleam et Taanac. Dans l'Ancien Testament, la vallée de Jizreel était considérée comme distincte d'</w:t>
      </w:r>
      <w:r>
        <w:t>Esdraelon</w:t>
      </w:r>
      <w:r>
        <w:t>. À l'extrémité est se trouvait la forteresse de Beth-Schan.</w:t>
      </w:r>
    </w:p>
    <w:p>
      <w:pPr>
        <w:pStyle w:val="ListNumber"/>
        <w:spacing w:line="240" w:lineRule="auto"/>
        <w:ind w:left="720"/>
      </w:pPr>
      <w:r/>
      <w:r>
        <w:t>Dans l'extrême sud de la Palestine se trouve une région désertique appelée le Néguev (également connue sous le nom de Pays du Sud ou simplement « le midi » [LSG]). Cette région s'étend de Beer-Schéba à Kadès-Barnéa. Il n'y pleut pas souvent, ce qui rend la culture des récoltes difficile. Cependant, la région a longtemps été principalement utilisée par des bergers nomades qui s'y déplacent avec leurs animaux.</w:t>
      </w:r>
    </w:p>
    <w:p>
      <w:r/>
      <w:r>
        <w:rPr>
          <w:i/>
        </w:rPr>
        <w:t>Voir</w:t>
      </w:r>
      <w:r>
        <w:t xml:space="preserve"> </w:t>
      </w:r>
      <w:r>
        <w:t>Araba (la Plaine)</w:t>
      </w:r>
      <w:r>
        <w:t xml:space="preserve"> ; </w:t>
      </w:r>
      <w:r>
        <w:t>Conquête et répartition de la Terre</w:t>
      </w:r>
      <w:r>
        <w:t xml:space="preserve"> ; </w:t>
      </w:r>
      <w:r>
        <w:t>Mer Morte</w:t>
      </w:r>
      <w:r>
        <w:t xml:space="preserve"> ; </w:t>
      </w:r>
      <w:r>
        <w:t>Décapole</w:t>
      </w:r>
      <w:r>
        <w:t xml:space="preserve"> ; </w:t>
      </w:r>
      <w:r>
        <w:t>Mer de Galilée</w:t>
      </w:r>
      <w:r>
        <w:t xml:space="preserve"> ; </w:t>
      </w:r>
      <w:r>
        <w:t>Jourdain</w:t>
      </w:r>
      <w:r>
        <w:t xml:space="preserve"> ; </w:t>
      </w:r>
      <w:r>
        <w:t>Néguev (le midi)</w:t>
      </w:r>
      <w:r>
        <w:t xml:space="preserve"> ; </w:t>
      </w:r>
      <w:r>
        <w:t>Shéphélah</w:t>
      </w:r>
      <w:r>
        <w:t xml:space="preserve"> ; </w:t>
      </w:r>
      <w:r>
        <w:t>Transjordanie</w:t>
      </w:r>
      <w:r>
        <w:t>.</w:t>
      </w:r>
      <w:r/>
      <w:r/>
    </w:p>
    <w:p>
      <w:r/>
    </w:p>
    <w:p>
      <w:pPr>
        <w:pStyle w:val="Heading2"/>
      </w:pPr>
      <w:r>
        <w:t>Pamphylie</w:t>
      </w:r>
      <w:r/>
    </w:p>
    <w:p>
      <w:r/>
      <w:r>
        <w:t>Région côtière sur la rive sud de l'Asie Mineure (Turquie) s'étendant sur 130 km de la Lycie à l'ouest à la Cilicie à l'est, et environ 30 km de large de la côte jusqu'aux Monts Taurus. N'étant guère plus qu'une étroite plaine côtière avec un climat désagréablement chaud et humide, cette province produisait peu de villes importantes. Combiné à son inaccessibilité générale, située comme elle l'était au nord profond de la baie d'Adalia et séparée du reste de l'intérieur de l'Asie par une chaîne de montagnes escarpées, la Pamphylie était devenue un refuge pour les pirates. En 102 av. J.‑C., le Sénat romain a établi des postes de patrouille sur les côtes de la Pamphylie et de la Cilicie occidentale pour surveiller la région, mais aucun contrôle efficace n'a été établi avant 67 av. J.‑C., lorsque Pompée s'est vu octroyer des ressources illimitées pour nettoyer la Méditerranée.</w:t>
      </w:r>
    </w:p>
    <w:p>
      <w:r/>
      <w:r>
        <w:t>Il y avait manifestement une population juive dans la province, car Luc mentionne la Pamphylie parmi les quinze pays d'où les Juifs sont venus à Jérusalem pour la fête de la Pentecôte (</w:t>
      </w:r>
      <w:hyperlink r:id="rId3539">
        <w:r>
          <w:rPr>
            <w:color w:val="0000EE"/>
            <w:u w:val="single"/>
          </w:rPr>
          <w:t>Ac 2.10</w:t>
        </w:r>
      </w:hyperlink>
      <w:r>
        <w:t xml:space="preserve">). Certains ont soutenu que la Pamphylie ne pouvait pas avoir eu un nombre significatif de chrétiens parce qu'elle et la Lycie ne sont pas mentionnées dans </w:t>
      </w:r>
      <w:hyperlink r:id="rId1404">
        <w:r>
          <w:rPr>
            <w:color w:val="0000EE"/>
            <w:u w:val="single"/>
          </w:rPr>
          <w:t>1 Pierre 1.1</w:t>
        </w:r>
      </w:hyperlink>
      <w:r>
        <w:t>, qui semble résumer l'ensemble de l'Asie Mineure. Cet argument n'est cependant pas convaincant, car la date de la rédaction de 1 Pierre n'est pas connue, et s'il a été écrit pendant la période de 43 à 74 apr. J.‑C., lorsque la Pamphylie était considérée comme une partie de la Galatie, la Pamphylie pourrait avoir été incluse dans cette désignation. Pierre a peut-être aussi inclus la Lycie dans la désignation large de la Galatie, car son introduction ne mentionne que les plus grandes divisions politiques de l'Asie Mineure. Néanmoins, il faut noter que Paul a apparemment eu peu de succès dans la ville pamphylienne de Perge, car il n'y a aucune mention d'opposition à lui là-bas ni de conversion. Il n'a pas revisité la province lors de son deuxième voyage, même si son plan initial était de retourner et de visiter les chrétiens dans chaque ville où ils avaient prêché (</w:t>
      </w:r>
      <w:hyperlink r:id="rId8224">
        <w:r>
          <w:rPr>
            <w:color w:val="0000EE"/>
            <w:u w:val="single"/>
          </w:rPr>
          <w:t>Ac 15.36</w:t>
        </w:r>
      </w:hyperlink>
      <w:r>
        <w:t xml:space="preserve">). Peut-être que la séparation de Paul avec Barnabas en était la raison, et il se peut que Barnabas et Jean Marc aient visité la Pamphylie après Chypre (v. </w:t>
      </w:r>
      <w:hyperlink r:id="rId11649">
        <w:r>
          <w:rPr>
            <w:color w:val="0000EE"/>
            <w:u w:val="single"/>
          </w:rPr>
          <w:t>37–41</w:t>
        </w:r>
      </w:hyperlink>
      <w:r>
        <w:t>).</w:t>
      </w:r>
    </w:p>
    <w:p>
      <w:r/>
      <w:r>
        <w:rPr>
          <w:i/>
        </w:rPr>
        <w:t>Voir aussi</w:t>
      </w:r>
      <w:r>
        <w:t xml:space="preserve"> </w:t>
      </w:r>
      <w:r>
        <w:t>Attalia</w:t>
      </w:r>
      <w:r>
        <w:t xml:space="preserve"> ; </w:t>
      </w:r>
      <w:r>
        <w:t>Perge</w:t>
      </w:r>
      <w:r>
        <w:t>.</w:t>
      </w:r>
      <w:r/>
      <w:r/>
    </w:p>
    <w:p>
      <w:r/>
    </w:p>
    <w:p>
      <w:pPr>
        <w:pStyle w:val="Heading2"/>
      </w:pPr>
      <w:r>
        <w:t>Paphos</w:t>
      </w:r>
      <w:r/>
    </w:p>
    <w:p>
      <w:r/>
      <w:r>
        <w:t>Paphos était une ville située dans le sud-ouest de Chypre. Elle était, au départ, une colonie phénicienne appelée « Vieux Paphos ». Plus tard, une colonie grecque nommée « Nouveau Paphos » a été construite à environ 15 km de la ville d'origine. Nouveau Paphos est devenu le principal centre administratif lorsque Chypre a été rajoutée à l'Empire romain en l'an 22 av. J.‑C.</w:t>
      </w:r>
    </w:p>
    <w:p>
      <w:r/>
      <w:r>
        <w:t>La ville combinée était célèbre pour son temple. Les habitants ont d'abord dédié le temple à la déesse syrienne Astarté. Selon l'historien romain Tacite, les gens adoraient Astarté à travers d'anciennes cérémonies phéniciennes. Ces cérémonies comprenaient l'application d'huile sur une pierre en forme de cône (possiblement une météorite). Les Grecs ont ensuite identifié Astarté avec leur déesse Aphrodite. Ils croyaient qu'Aphrodite était sortie de la mer.</w:t>
      </w:r>
    </w:p>
    <w:p>
      <w:r/>
      <w:r>
        <w:t>À Paphos, l'apôtre Paul a rencontré pour la première fois une forte opposition à la Bonne Nouvelle concernant Jésus. Cette opposition est venue d'un homme nommé Élymas. En réponse, Paul a accompli son premier miracle consigné dans la Bible. Paul a rendu Élymas aveugle, mais sa cécité n'était que temporaire, montrant ainsi la miséricorde de Paul (</w:t>
      </w:r>
      <w:hyperlink r:id="rId1518">
        <w:r>
          <w:rPr>
            <w:color w:val="0000EE"/>
            <w:u w:val="single"/>
          </w:rPr>
          <w:t>Ac 13.11</w:t>
        </w:r>
      </w:hyperlink>
      <w:r>
        <w:t>).</w:t>
      </w:r>
      <w:r/>
      <w:r/>
    </w:p>
    <w:p>
      <w:r/>
    </w:p>
    <w:p>
      <w:pPr>
        <w:pStyle w:val="Heading2"/>
      </w:pPr>
      <w:r>
        <w:t>Parabole</w:t>
      </w:r>
      <w:r/>
    </w:p>
    <w:p>
      <w:r/>
      <w:r>
        <w:t xml:space="preserve">Type d'histoire dont Jésus se sert pour enseigner dans les Évangiles. </w:t>
      </w:r>
    </w:p>
    <w:p>
      <w:r/>
      <w:r>
        <w:t>Sommaire</w:t>
      </w:r>
    </w:p>
    <w:p>
      <w:r/>
      <w:r>
        <w:t>• Introduction</w:t>
      </w:r>
    </w:p>
    <w:p>
      <w:r/>
      <w:r>
        <w:t>• Histoire d'interprétation</w:t>
      </w:r>
    </w:p>
    <w:p>
      <w:r/>
      <w:r>
        <w:t>• Signification du mot « parabole »</w:t>
      </w:r>
    </w:p>
    <w:p>
      <w:r/>
      <w:r>
        <w:t>• Fonction des paraboles</w:t>
      </w:r>
    </w:p>
    <w:p>
      <w:r/>
      <w:r>
        <w:t>• Pourquoi Jésus utilise des paraboles pour enseigner</w:t>
      </w:r>
    </w:p>
    <w:p>
      <w:pPr>
        <w:pStyle w:val="Heading3"/>
      </w:pPr>
      <w:r>
        <w:t>Introduction</w:t>
      </w:r>
    </w:p>
    <w:p>
      <w:r/>
      <w:r>
        <w:t>Il est essentiel de comprendre les paraboles pour comprendre l'enseignement de Jésus, car celles-ci représentent environ 35% de ses paroles écrites dans les Évangiles. Le dynamisme, l'applicabilité et la pertinence de son enseignement ne sont jamais aussi évidents que dans ses paraboles. Jésus n'est pas le seul à avoir utilisé des paraboles, mais il maîtrise sans aucun doute l'art de s'en servir pour enseigner. Les paraboles ne servent pas simplement à illustrer ce qu'il prêche : elles sont très souvent elles-mêmes le véhicule du message qu'il prêche. Ce ne sont pas non plus de simples histoires. Elles ont été très justement décrites comme étant à la fois des « œuvres d'art » et des « armes de guerre ». Interpréter les paraboles n'est pas tâche aussi facile qu'il peut sembler. La façon dont la nature des paraboles et l'essence du message de Jésus sont comprises déterminera la méthode d'interprétation de ses paraboles, et bien entendu, le résultat de cette interprétation.</w:t>
      </w:r>
    </w:p>
    <w:p>
      <w:pPr>
        <w:pStyle w:val="Heading3"/>
      </w:pPr>
      <w:r>
        <w:t>Histoire d'interprétation</w:t>
      </w:r>
    </w:p>
    <w:p>
      <w:r/>
      <w:r>
        <w:t>Nombre d'enseignements utiles peuvent être glanés en étudiant comment les paraboles ont été interprétées au cours de l'histoire. Il ne sera pas surprenant de découvrir qu'elles ont été l'objet de méthodes d'interprétation très différentes. Toutefois toutes ces méthodes posent essentiellement les mêmes questions : (1) Quelles parties de la parabole importent en fin de compte : un seul point ou l'ensemble de ses détails ? (2) Quel est le sens de la parabole dans le contexte de l'enseignement de Jésus ? (3) Quelle est la pertinence de la parabole pour l'interprète ?</w:t>
      </w:r>
    </w:p>
    <w:p>
      <w:pPr>
        <w:pStyle w:val="Heading4"/>
      </w:pPr>
      <w:r>
        <w:t>La méthode allégorique</w:t>
      </w:r>
    </w:p>
    <w:p>
      <w:r/>
      <w:r>
        <w:t>Depuis le 2</w:t>
      </w:r>
      <w:r>
        <w:t>ᵉ</w:t>
      </w:r>
      <w:r>
        <w:t xml:space="preserve"> siècle jusqu'à nos jours, nombreux sont ceux qui ont allégorisé les paraboles de Jésus. Ces personnes affirment que chaque détail du récit est important et que le sens et la pertinence d'une parabole servent à illustrer la théologie chrétienne. Cette méthode, souvent désignée comme l'école d'interprétation alexandrine, est on ne peut mieux illustrée par un exemple classique provenant d'Augustin (354–430 apr. J.-C.). Augustin était un érudit qui, malgré son allégorisation, était un théologien éminent. Selon son interprétation de la parabole du bon Samaritain, celui-ci représente Christ, l'huile représente le réconfort qui provient de la bonne espérance, l'animal représente la chair de l'Incarnation, l'auberge représente l'Église, et l'aubergiste représente l'apôtre Paul (sans parler des autres détails). À l'évidence, cette interprétation n'a rien en commun avec ce que Jésus voulait communiquer, mais insère dans l'histoire les idées préconçues de l'interprète. Une telle méthode peut produire un message théologique intéressant, mais empêche de percevoir ce que communique véritablement la Parole de Dieu. Les interprètes médiévaux vont encore plus loin et trouvent de multiples significations dans le texte. Habituellement, ils produisent quatre interprétations différentes : (1) le sens littéral, (2) un sens allégorique lié à la théologie chrétienne, (3) un sens moral servant de guide à la vie quotidienne et (4) un sens céleste indiquant quelque chose qui porte sur la vie future.</w:t>
      </w:r>
    </w:p>
    <w:p>
      <w:r/>
      <w:r>
        <w:t>Toute l'Église ne s'est pas toujours adonnée à de telles interprétations allégoriques. L'école d'Antioche préconisait une méthode d'interprétation du texte moins fantaisiste. Toutefois, elle a eu moins d'influence que l'école d'Alexandrie et, hormis quelques exceptions notables, la majorité des interprétations proposées au cours de l'histoire de l'Église ont eu recours à l'allégorisation.</w:t>
      </w:r>
    </w:p>
    <w:p>
      <w:pPr>
        <w:pStyle w:val="Heading4"/>
      </w:pPr>
      <w:r>
        <w:t>La méthode d'Adolph Julicher (1867–1938)</w:t>
      </w:r>
    </w:p>
    <w:p>
      <w:r/>
      <w:r>
        <w:t>Julicher est un érudit allemand auteur de deux volumes sur les paraboles vers la fin du 19</w:t>
      </w:r>
      <w:r>
        <w:rPr>
          <w:vertAlign w:val="superscript"/>
        </w:rPr>
        <w:t>e</w:t>
      </w:r>
      <w:r>
        <w:rPr>
          <w:b/>
          <w:vertAlign w:val="superscript"/>
        </w:rPr>
        <w:t xml:space="preserve"> </w:t>
      </w:r>
      <w:r>
        <w:t xml:space="preserve">siècle. La plus importante de ses contributions est le rejet total de l'allégorisation comme méthode d'interprétation des paraboles. En rejetant l'allégorisation, Julicher va à l'autre extrême et affirme qu'il n'y a qu'un point de contact entre l'histoire racontée et le fait représenté dans les paraboles de Jésus. Il soutient que seul ce point est important pour l'interprétation et qu'il s'agit habituellement d'une déclaration religieuse générale. Julicher va jusqu'à affirmer que non seulement l'allégorisation est une méthode erronée, mais que Jésus n'utilisait pas d'allégories du tout, car elles tendent plus à cacher qu'à révéler. Il affirme que toute allégorie qui paraît dans le NT provient des auteurs des Évangiles plutôt que de Jésus. </w:t>
      </w:r>
    </w:p>
    <w:p>
      <w:r/>
      <w:r>
        <w:t>Julicher a raison de rejeter l'allégorisation (c'est-à-dire faire une allégorie de ce qui n'est pas destiné à en être une), mais son rejet de l'allégorie elle-même comme méthode de communication que Jésus aurait utilisée est sans fondement.</w:t>
      </w:r>
    </w:p>
    <w:p>
      <w:pPr>
        <w:pStyle w:val="Heading4"/>
      </w:pPr>
      <w:r>
        <w:t>La méthode historique</w:t>
      </w:r>
    </w:p>
    <w:p>
      <w:r/>
      <w:r>
        <w:t>L'étude des paraboles au 19</w:t>
      </w:r>
      <w:r>
        <w:rPr>
          <w:vertAlign w:val="superscript"/>
        </w:rPr>
        <w:t>e</w:t>
      </w:r>
      <w:r>
        <w:t xml:space="preserve"> siècle, notamment les travaux de C. H. Dodd (1884–1973) et de Joachim Jeremias, a justement souligné l'importance du contexte historique d'origine qui informe le récit dans les paraboles. L'accent est mis sur les facteurs culturels qui aident à comprendre les détails des paraboles et sur le contexte d'origine du message de Jésus à propos du royaume de Dieu. En général, cette méthode présuppose que l'Église du premier siècle a modifié l'orientation originale de certaines paraboles pour répondre à ses propres besoins. En conséquence, divers procédés sont proposés pour reconstituer l'intention originale de Jésus. Il est vrai que les paraboles ont été façonnées, éditées et groupées par les auteurs des Évangiles (voir, p. ex. l'assortiment de huit paraboles de Matthieu dans </w:t>
      </w:r>
      <w:hyperlink r:id="rId11650">
        <w:r>
          <w:rPr>
            <w:color w:val="0000EE"/>
            <w:u w:val="single"/>
          </w:rPr>
          <w:t>Mt 13.1–52</w:t>
        </w:r>
      </w:hyperlink>
      <w:r>
        <w:t>). De plus, l'interprète se doit de comprendre les paraboles conformément à l'intention initiale de Jésus et à la façon dont ses auditeurs les auraient comprises. Cependant, essayer de reconstituer cela à partir des récits des Évangiles n'est pas tâche facile, et certaines des méthodes proposées à cet effet doivent être remises en question. Il faut prendre en compte la manière dont chacun des auteurs des Évangiles présente ces paraboles, mais la mesure dans laquelle on peut reconstruire leur première utilisation est limitée.</w:t>
      </w:r>
    </w:p>
    <w:p>
      <w:pPr>
        <w:pStyle w:val="Heading4"/>
      </w:pPr>
      <w:r>
        <w:t>Tendances modernes en recherche sur les paraboles</w:t>
      </w:r>
    </w:p>
    <w:p>
      <w:r/>
      <w:r>
        <w:t xml:space="preserve">Au cours des dernières décennies, plusieurs interprètes des paraboles ont proposé de nouvelles méthodes. Dans l'ensemble, ces nouvelles méthodes trouvent celles de Julicher et de la méthode historique inadéquates malgré leurs contributions utiles. En effet, toutes deux donnent peu d'importance à l'impact des paraboles sur le lecteur d'aujourd'hui. Julicher réduit l'enseignement de Jésus à des moralisations pieuses, et l'approche historique a tendance à se concentrer sur leur pertinence il y a 2 000 ans en faisant abstraction des aspects artistique et psychologique des paraboles. </w:t>
      </w:r>
    </w:p>
    <w:p>
      <w:r/>
      <w:r>
        <w:t>Par conséquent, de nombreux efforts ont été faits pour tenter de reproduire le même impact sur les auditeurs modernes que les paraboles auraient eu sur les auditeurs originaux. De moins en moins d'importance est accordée à la signification historique des paraboles et plus à leurs effets artistiques, existentiels et poétiques. Les paraboles de Jésus sont abordées comme des œuvres d'art dont le sens n'est pas fixe. Une parabole aurait donc une signification originale ainsi que le potentiel d'avoir toute une série de significations possibles supplémentaires. Le sens original guide la réinterprétation de la parabole, mais ces nouvelles interprétations ne sont pas conditionnées par l'intention de l'auteur original.</w:t>
      </w:r>
    </w:p>
    <w:p>
      <w:r/>
      <w:r>
        <w:t>Il y a beaucoup d'enseignements à tirer de ces méthodes modernes, notamment le souci d'assurer que l'interprétation des paraboles permette une communication dynamique comme à l'origine. Cependant, elles comportent aussi le danger de faire violence aux paraboles comme avec certaines des méthodes précédentes. Ceux qui allégorisaient les paraboles émancipaient leurs interprétations du sens que Jésus leur avait donné, et produisaient ainsi leurs propres sens. Les interprétations modernes peuvent aussi inventer leurs propres sens. Même si ces explications semblent convaincantes, comme l'étaient sans doute celles d'Augustin pour ses auditeurs, elles ne communiquent pas la Parole de Dieu. Si Dieu et ses voies ont été révélés par Jésus, alors nous faisons erreur si nous ne cherchons pas à entendre ses paraboles selon son intention à l'origine. Il y a certes une interaction dynamique entre le texte et l'interprète, mais la vérité a un impact plus efficace sur l'interprète lorsque l'Esprit lui parle par le message de la parabole tel que formulé par Jésus pour ses auditeurs.</w:t>
      </w:r>
    </w:p>
    <w:p>
      <w:pPr>
        <w:pStyle w:val="Heading3"/>
      </w:pPr>
      <w:r>
        <w:t>Signification du mot « parabole »</w:t>
      </w:r>
    </w:p>
    <w:p>
      <w:r/>
      <w:r>
        <w:t>La fréquente définition d'une parabole comme « une histoire terrestre dont le sens est céleste » n'aide pas vraiment à comprendre celles de Jésus. Les paraboles ne sont pas non plus simplement des comparaisons ou des illustrations de ce que Jésus veut dire. Le sens biblique du mot « parabole » est beaucoup plus complexe. En fait, il faut distinguer trois usages du mot « parabole » dans les sciences bibliques.</w:t>
      </w:r>
    </w:p>
    <w:p>
      <w:r/>
      <w:r>
        <w:t xml:space="preserve">En premier lieu, il faut noter que le mot grec qui signifie « parabole » et son équivalent hébreu sont tous deux des termes généraux qui peuvent désigner tout autant un proverbe, une allégorie complète, une énigme, une sentence voilée, une illustration, un contraste ou une histoire. Par exemple, dans </w:t>
      </w:r>
      <w:hyperlink r:id="rId9851">
        <w:r>
          <w:rPr>
            <w:color w:val="0000EE"/>
            <w:u w:val="single"/>
          </w:rPr>
          <w:t>Luc 4.23</w:t>
        </w:r>
      </w:hyperlink>
      <w:r>
        <w:t xml:space="preserve"> « Médecin, guéris-toi toi-même » est désigné par le mot grec « parabole ». La plupart des traductions choisissent de le traduire « proverbe » dans ce passage. Dans </w:t>
      </w:r>
      <w:hyperlink r:id="rId11651">
        <w:r>
          <w:rPr>
            <w:color w:val="0000EE"/>
            <w:u w:val="single"/>
          </w:rPr>
          <w:t>Marc 3.23</w:t>
        </w:r>
      </w:hyperlink>
      <w:r>
        <w:t xml:space="preserve">, ce sont les énigmes que Jésus pose aux scribes qui sont appelées des « paraboles », par exemple : « Comment Satan peut-il chasser Satan ? » Dans </w:t>
      </w:r>
      <w:hyperlink r:id="rId11652">
        <w:r>
          <w:rPr>
            <w:color w:val="0000EE"/>
            <w:u w:val="single"/>
          </w:rPr>
          <w:t>Marc 13.28</w:t>
        </w:r>
      </w:hyperlink>
      <w:r>
        <w:t xml:space="preserve"> le mot « parabole » désigne une simple illustration. Dans </w:t>
      </w:r>
      <w:hyperlink r:id="rId11653">
        <w:r>
          <w:rPr>
            <w:color w:val="0000EE"/>
            <w:u w:val="single"/>
          </w:rPr>
          <w:t>Luc 18.2–5</w:t>
        </w:r>
      </w:hyperlink>
      <w:r>
        <w:t xml:space="preserve">, la « parabole » est un récit qui </w:t>
      </w:r>
      <w:r>
        <w:rPr>
          <w:i/>
        </w:rPr>
        <w:t>établit</w:t>
      </w:r>
      <w:r>
        <w:t xml:space="preserve"> un contraste entre un juge injuste et Dieu, qui rend justice rapidement. Si on compare l'Ancien Testament hébreu avec la Septante (une ancienne traduction de l'Ancien Testament de l'hébreu vers le grec), le mot grec qui signifie parabole est le plus souvent utilisé pour désigner un proverbe ou une sentence voilée. Au sens large, le mot « parabole » peut donc désigner n'importe lequel de ces modes d'expression qui servent à stimuler la réflexion.</w:t>
      </w:r>
    </w:p>
    <w:p>
      <w:r/>
      <w:r>
        <w:t>Deuxièmement, le mot « parabole » peut désigner toute histoire qui a deux niveaux de signification (littéral et figuré) et qui fonctionne comme un discours religieux ou éthique.</w:t>
      </w:r>
    </w:p>
    <w:p>
      <w:r/>
      <w:r>
        <w:t xml:space="preserve">Troisièmement, le mot « parabole » est aussi utilisé dans un sens plus spécialisé dans les études modernes. Il sert à distinguer ce type d'histoire d'autres sortes d'histoire telles que les similitudes, les récits exemplaires et les allégories. Ainsi définie, la parabole est une histoire fictive qui raconte un épisode particulier et qui est habituellement racontée au passé (p. ex. la parabole du fils prodigue). </w:t>
      </w:r>
    </w:p>
    <w:p>
      <w:r/>
      <w:r>
        <w:t xml:space="preserve">Par opposition, la similitude est une comparaison qui raconte un épisode typique ou récurrent de la vie ; elle est généralement racontée au présent (p. ex. </w:t>
      </w:r>
      <w:hyperlink r:id="rId11654">
        <w:r>
          <w:rPr>
            <w:color w:val="0000EE"/>
            <w:u w:val="single"/>
          </w:rPr>
          <w:t>Mt 13.31–32</w:t>
        </w:r>
      </w:hyperlink>
      <w:r>
        <w:t>). Le récit exemplaire, quant à lui, n'est pas du tout une comparaison. Ce type de récit illustre des traits de caractère à imiter ou éviter, qui servent d'exemples positifs ou négatifs. Quatre histoires de Jésus sont communément considérées comme des récits exemplaires : le bon Samaritain (</w:t>
      </w:r>
      <w:hyperlink r:id="rId11655">
        <w:r>
          <w:rPr>
            <w:color w:val="0000EE"/>
            <w:u w:val="single"/>
          </w:rPr>
          <w:t>Lc 10.30–35</w:t>
        </w:r>
      </w:hyperlink>
      <w:r>
        <w:t>), le riche insensé (</w:t>
      </w:r>
      <w:hyperlink r:id="rId11656">
        <w:r>
          <w:rPr>
            <w:color w:val="0000EE"/>
            <w:u w:val="single"/>
          </w:rPr>
          <w:t>12.16–20</w:t>
        </w:r>
      </w:hyperlink>
      <w:r>
        <w:t>), le riche et Lazare (</w:t>
      </w:r>
      <w:hyperlink r:id="rId5002">
        <w:r>
          <w:rPr>
            <w:color w:val="0000EE"/>
            <w:u w:val="single"/>
          </w:rPr>
          <w:t>16.19–31</w:t>
        </w:r>
      </w:hyperlink>
      <w:r>
        <w:t>) et le pharisien et le collecteur d'impôts (</w:t>
      </w:r>
      <w:hyperlink r:id="rId11657">
        <w:r>
          <w:rPr>
            <w:color w:val="0000EE"/>
            <w:u w:val="single"/>
          </w:rPr>
          <w:t>18.10–13</w:t>
        </w:r>
      </w:hyperlink>
      <w:r>
        <w:t>).</w:t>
      </w:r>
    </w:p>
    <w:p>
      <w:r/>
      <w:r>
        <w:t xml:space="preserve">La définition d'une allégorie est plus difficile à cerner ; c'est une question très débattue. Habituellement, l'allégorie est définie comme « une série de métaphores connectées ». Une métaphore est une comparaison implicite car elle n'utilise pas de mots tels que « comme » ou « tel/telle » pour exprimer la comparaison. Cette définition de l'allégorie est fréquemment utilisée, mais ne convient pas entièrement. En effet, elle ne précise pas si l'opacité (caractère incompréhensible) fait partie de ce qui définit une allégorie. Pour certains, une allégorie doit être décodée et n'est compréhensible que pour peu de personnes. Cependant, si une allégorie utilise en fait des métaphores habituelles que tous peuvent comprendre, elle n'est pas opaque (incompréhensible). Cette définition ne précise pas non plus à quel point le récit doit être constitué de métaphores connectées : s'il n'y avait que deux ou trois métaphores, l'histoire correspondrait-elle quand même une allégorie ? À l'autre extrême, les petits détails dans l'histoire (comme les trois types de récolte dans la parabole du semeur) sont-ils importants pour comprendre l'allégorie ? La parabole du semeur serait un exemple d'allégorie. </w:t>
      </w:r>
    </w:p>
    <w:p>
      <w:r/>
      <w:r>
        <w:t xml:space="preserve">Ces considérations soulèvent une question importante et souvent débattue : quelle est la différence entre une parabole et une allégorie ? Selon les définitions une et deux mentionnées plus tôt, l'allégorie fait partie de la catégorie plus large de « parabole ». Mais selon la définition trois, les deux doivent être différenciées parce qu'une parabole n'est pas une série de métaphores connectées. Les détails de l'histoire du fils prodigue (les pourceaux, le pays éloigné, etc.) ne représentent pas autre chose, comme ce serait le cas dans une allégorie. Ils servent plutôt à communiquer de façon poignante à quel point le fils est tombé bas. Cependant, une parabole n'est </w:t>
      </w:r>
      <w:r>
        <w:rPr>
          <w:i/>
        </w:rPr>
        <w:t>pas</w:t>
      </w:r>
      <w:r>
        <w:t xml:space="preserve"> pour autant limitée à un seul point de comparaison entre l'histoire et le fait représenté. La parabole peut communiquer plusieurs choses simultanément. La parabole du fils prodigue souligne particulièrement la joie qui résulte de la repentance (voir la répétition de ce thème dans </w:t>
      </w:r>
      <w:hyperlink r:id="rId11658">
        <w:r>
          <w:rPr>
            <w:color w:val="0000EE"/>
            <w:u w:val="single"/>
          </w:rPr>
          <w:t>Lc 15.24, 32</w:t>
        </w:r>
      </w:hyperlink>
      <w:r>
        <w:t>). La volonté du père de restaurer son fils représente clairement la grâce de Dieu. De plus, les fils cadet et aîné représentent respectivement les pécheurs et les autorités religieuses. La distinction entre parabole et allégorie est floue et dépend des définitions attribuées à chacun de ces termes. Il sera observé que ce qui peut être dit à propos des paraboles s'applique fréquemment aux allégories également.</w:t>
      </w:r>
    </w:p>
    <w:p>
      <w:pPr>
        <w:pStyle w:val="Heading3"/>
      </w:pPr>
      <w:r>
        <w:t>Fonction des paraboles</w:t>
      </w:r>
    </w:p>
    <w:p>
      <w:r/>
      <w:r>
        <w:t xml:space="preserve">Pour mieux comprendre les paraboles, il est utile d'en définir la fonction et les caractéristiques. Globalement, les paraboles ont pour thème Dieu et son royaume. Elles révèlent ainsi qui il est en tant que Dieu, selon quels principes il agit et ses attentes envers l'humanité. Certaines paraboles mettent l'accent sur le royaume de Dieu en révélant de nombreux aspects de la mission de Jésus (p. ex. la parabole des vignerons dans </w:t>
      </w:r>
      <w:hyperlink r:id="rId11659">
        <w:r>
          <w:rPr>
            <w:color w:val="0000EE"/>
            <w:u w:val="single"/>
          </w:rPr>
          <w:t>Mt 21.33–41</w:t>
        </w:r>
      </w:hyperlink>
      <w:r>
        <w:t>).</w:t>
      </w:r>
    </w:p>
    <w:p>
      <w:r/>
      <w:r>
        <w:t>Les paraboles exhibent les caractéristiques suivantes : (1) Les paraboles sont généralement concises et symétriques. Le contenu est présenté en groupes de deux ou trois et en peu de mots. Les personnes, motifs et détails inutiles sont habituellement omis. (2) Les éléments de l'histoire sont tirés de la vie quotidienne, et les métaphores utilisées sont souvent suffisamment familières pour fournir un contexte qui aide à comprendre la parabole. Par exemple, en entendant parler d'un propriétaire et de sa vigne, les auditeurs originaux auraient naturellement pensé à Dieu et à son peuple, car c'est leur représentation habituelle dans l'AT. (3) Malgré le fait que les paraboles utilisent des images de la vie quotidienne, elles contiennent souvent des éléments de surprise ou d'hyperbole (une exagération utilisée comme figure de style). La parabole du bon Samaritain (</w:t>
      </w:r>
      <w:hyperlink r:id="rId11655">
        <w:r>
          <w:rPr>
            <w:color w:val="0000EE"/>
            <w:u w:val="single"/>
          </w:rPr>
          <w:t>Lc 10.30–35</w:t>
        </w:r>
      </w:hyperlink>
      <w:r>
        <w:t>) introduit un Samaritain dans l'histoire là où on attendrait probablement un Juif laïc. La parabole du serviteur impitoyable (</w:t>
      </w:r>
      <w:hyperlink r:id="rId11660">
        <w:r>
          <w:rPr>
            <w:color w:val="0000EE"/>
            <w:u w:val="single"/>
          </w:rPr>
          <w:t>Mt 18.23–34</w:t>
        </w:r>
      </w:hyperlink>
      <w:r>
        <w:t>) dépeint la dette du premier serviteur à 10 millions de dollars, une somme extraordinaire pour cette époque. (4) Les paraboles portent les auditeurs à prendre position sur ce qui arrive dans l'histoire et à réaliser ainsi qu'ils doivent tirer les mêmes conclusions sur leurs propres vies. Un exemple classique de cela se trouve dans la parabole de Nathan à David (</w:t>
      </w:r>
      <w:hyperlink r:id="rId11661">
        <w:r>
          <w:rPr>
            <w:color w:val="0000EE"/>
            <w:u w:val="single"/>
          </w:rPr>
          <w:t>2S 12.1–7</w:t>
        </w:r>
      </w:hyperlink>
      <w:r>
        <w:t>), où celui-ci estime que ce qu'a fait le riche dans l'histoire mérite la mort. C'est alors qu'il se fait dire qu'il est lui-même cet homme.</w:t>
      </w:r>
    </w:p>
    <w:p>
      <w:r/>
      <w:r>
        <w:t>Parce qu'elles obligent à se prononcer, à un moment de vérité, les paraboles forcent leurs auditeurs à vivre dans le présent sans se reposer sur les lauriers du passé ni attendre l'avenir. Les paraboles sont le résultat d'un esprit qui visualise la vérité au travers d'images concrètes plutôt qu'au travers d'abstractions. Elles enseignent cette vérité d'une manière si convaincante que l'auditeur ne peut y échapper.</w:t>
      </w:r>
    </w:p>
    <w:p>
      <w:pPr>
        <w:pStyle w:val="Heading3"/>
      </w:pPr>
      <w:r>
        <w:t>Pourquoi Jésus utilise des paraboles pour enseigner</w:t>
      </w:r>
    </w:p>
    <w:p>
      <w:r/>
      <w:r>
        <w:t xml:space="preserve">Il ne peut y avoir de doute qu'une des raisons qui motive l'usage de paraboles de Jésus est le fait qu'elles sont intéressantes et captivantes, et qu'elles constituent donc l'un des moyens de communication les plus efficaces. Cependant, </w:t>
      </w:r>
      <w:hyperlink r:id="rId11662">
        <w:r>
          <w:rPr>
            <w:color w:val="0000EE"/>
            <w:u w:val="single"/>
          </w:rPr>
          <w:t>Marc 4.10–12</w:t>
        </w:r>
      </w:hyperlink>
      <w:r>
        <w:t xml:space="preserve"> semble indiquer que Jésus enseigne en paraboles afin </w:t>
      </w:r>
      <w:r>
        <w:rPr>
          <w:i/>
        </w:rPr>
        <w:t>d'empêcher</w:t>
      </w:r>
      <w:r>
        <w:t xml:space="preserve"> les gens de comprendre, de se tourner vers Dieu et d'être pardonnés. Il semble également y avoir un mystère révélé au groupe </w:t>
      </w:r>
      <w:r>
        <w:rPr>
          <w:i/>
        </w:rPr>
        <w:t>dans le secret</w:t>
      </w:r>
      <w:r>
        <w:t xml:space="preserve"> et que ceux qui y sont </w:t>
      </w:r>
      <w:r>
        <w:rPr>
          <w:i/>
        </w:rPr>
        <w:t>extérieurs</w:t>
      </w:r>
      <w:r>
        <w:t xml:space="preserve"> ne peuvent apprendre. C'est ce que signifie le mot « mystère ». Il n'a pas le sens utilisé aujourd'hui de quelque chose qui n'est pas connu ou compris. Selon l'usage biblique, ce mot désigne habituellement ce qui a été révélé par Dieu et qui n'aurait pas été connu sans cette révélation. Le contenu de ce mystère n'est pas expliqué ici, mais il peut être déduit des enseignements de Jésus sur le royaume dans d'autres passages. Il s'agit probablement du fait que le royaume est déjà présent dans ses paroles et ses actes.</w:t>
      </w:r>
    </w:p>
    <w:p>
      <w:r/>
      <w:r>
        <w:t>L'autre facteur essentiel pour comprendre ce passage est que dans la Bible, le mot « parabole » a un sens général qui inclut tout discours frappant ou propos voilé destiné à stimuler la réflexion. Jésus ne nourrit pas ses auditeurs à la petite cuillère. Au contraire, il enseigne en sorte à provoquer une réponse, et là où il y a réponse, il enseigne plus encore. Il est donc clair que les paraboles ne peuvent pas être décrites simplement comme intéressantes, poétiques ou saisissantes (aussi importantes que soient ces caractéristiques). Bien plus, les paraboles stimulent la réflexion et provoquent une réponse là où la dureté de cœur ne l'empêche pas. C'est comme si Jésus disait : « Si vous ne voulez pas recevoir ce que je vous dis, je ne vous révélerai ma pensée qu'en paraboles. » Néanmoins, là où il y a une ouverture à cet enseignement initial, l'enseignement se poursuit.</w:t>
      </w:r>
      <w:r/>
      <w:r/>
    </w:p>
    <w:p>
      <w:r/>
    </w:p>
    <w:p>
      <w:pPr>
        <w:pStyle w:val="Heading2"/>
      </w:pPr>
      <w:r>
        <w:t>Paradis</w:t>
      </w:r>
      <w:r/>
    </w:p>
    <w:p>
      <w:r/>
      <w:r>
        <w:t>Terme emprunté à la langue persane qui signifie « jardin de Dieu ». Les Hébreux utilisaient un mot différent pour parler de jardins. Ils l'appliquaient à la fois aux jardins quotidiens et au jardin de Dieu en Éden (</w:t>
      </w:r>
      <w:hyperlink r:id="rId11663">
        <w:r>
          <w:rPr>
            <w:color w:val="0000EE"/>
            <w:u w:val="single"/>
          </w:rPr>
          <w:t>Gn 2–3</w:t>
        </w:r>
      </w:hyperlink>
      <w:r>
        <w:t xml:space="preserve"> ; </w:t>
      </w:r>
      <w:hyperlink r:id="rId11664">
        <w:r>
          <w:rPr>
            <w:color w:val="0000EE"/>
            <w:u w:val="single"/>
          </w:rPr>
          <w:t>Es 51.3</w:t>
        </w:r>
      </w:hyperlink>
      <w:r>
        <w:t xml:space="preserve"> ; </w:t>
      </w:r>
      <w:hyperlink r:id="rId5447">
        <w:r>
          <w:rPr>
            <w:color w:val="0000EE"/>
            <w:u w:val="single"/>
          </w:rPr>
          <w:t>Ez 28.13</w:t>
        </w:r>
      </w:hyperlink>
      <w:r>
        <w:t>). Plus tard dans leur histoire, ils emprunteront le mot persan qui a fini par devenir « paradis ». Ce mot apparaît à trois reprises dans l'Ancien Testament. Il se réfère à un parc ou un verger (</w:t>
      </w:r>
      <w:hyperlink r:id="rId9004">
        <w:r>
          <w:rPr>
            <w:color w:val="0000EE"/>
            <w:u w:val="single"/>
          </w:rPr>
          <w:t>Né 2.8</w:t>
        </w:r>
      </w:hyperlink>
      <w:r>
        <w:t xml:space="preserve"> ; </w:t>
      </w:r>
      <w:hyperlink r:id="rId11665">
        <w:r>
          <w:rPr>
            <w:color w:val="0000EE"/>
            <w:u w:val="single"/>
          </w:rPr>
          <w:t>Ec 2.5</w:t>
        </w:r>
      </w:hyperlink>
      <w:r>
        <w:t xml:space="preserve"> ; </w:t>
      </w:r>
      <w:hyperlink r:id="rId11666">
        <w:r>
          <w:rPr>
            <w:color w:val="0000EE"/>
            <w:u w:val="single"/>
          </w:rPr>
          <w:t>Ct 4.13</w:t>
        </w:r>
      </w:hyperlink>
      <w:r>
        <w:t xml:space="preserve">). Lorsque l'Ancien Testament a été traduit en grec, ils ont utilisé une forme grecque du même mot. Les Juifs de langue grecque utilisaient le mot </w:t>
      </w:r>
      <w:r>
        <w:rPr>
          <w:i/>
        </w:rPr>
        <w:t>paradeisos</w:t>
      </w:r>
      <w:r>
        <w:t xml:space="preserve"> pour se référer au jardin dans </w:t>
      </w:r>
      <w:hyperlink r:id="rId2645">
        <w:r>
          <w:rPr>
            <w:color w:val="0000EE"/>
            <w:u w:val="single"/>
          </w:rPr>
          <w:t>Genèse 2</w:t>
        </w:r>
      </w:hyperlink>
      <w:r>
        <w:t>.</w:t>
      </w:r>
    </w:p>
    <w:p>
      <w:pPr>
        <w:pStyle w:val="Heading3"/>
      </w:pPr>
      <w:r>
        <w:t>Le Paradis dans l'Ancien Testament</w:t>
      </w:r>
    </w:p>
    <w:p>
      <w:r/>
      <w:r>
        <w:t>Le mot persan original signifiait un jardin clos ou entouré de murs, en particulier les parcs royaux des rois perses. Les Grecs le comprenaient également de cette manière. Cela correspond à l'idée hébraïque d'un jardin où Dieu se promenait (</w:t>
      </w:r>
      <w:hyperlink r:id="rId241">
        <w:r>
          <w:rPr>
            <w:color w:val="0000EE"/>
            <w:u w:val="single"/>
          </w:rPr>
          <w:t>Genèse 3.8</w:t>
        </w:r>
      </w:hyperlink>
      <w:r>
        <w:t>) et d'où les gens pouvaient être exclus (</w:t>
      </w:r>
      <w:hyperlink r:id="rId896">
        <w:r>
          <w:rPr>
            <w:color w:val="0000EE"/>
            <w:u w:val="single"/>
          </w:rPr>
          <w:t>Genèse 3.24</w:t>
        </w:r>
      </w:hyperlink>
      <w:r>
        <w:t>). Les caractéristiques clés du paradis de la Genèse étaient ses arbres fruitiers et ses rivières.</w:t>
      </w:r>
    </w:p>
    <w:p>
      <w:pPr>
        <w:pStyle w:val="Heading3"/>
      </w:pPr>
      <w:r>
        <w:t>Le paradis dans le Nouveau Testament</w:t>
      </w:r>
    </w:p>
    <w:p>
      <w:r/>
      <w:r>
        <w:t>À l'époque du Nouveau Testament, les visions du jardin de Dieu avaient changé de plusieurs manières, tout comme de nombreux mythes dans diverses cultures. À l'instar de l'« âge d'or » dans les récits grecs et romains, le paradis était autrefois un passé lointain. Cependant, les Juifs ont commencé à croire qu'il existait encore quelque part d'inconnu, semblable aux « Champs Élysées ». C'était un lieu où vivaient les morts justes. Au fil du temps, ils ont décrit ses merveilles de plus en plus, croyant qu'il réapparaîtrait à la fin des temps.</w:t>
      </w:r>
    </w:p>
    <w:p>
      <w:r/>
      <w:r>
        <w:t>L'idée de paradis combine des mythes de diverses cultures. Ils décrivent un monde parfait en tout temps, où la mort et le mal n'existent plus. Le Nouveau Testament affirme la vérité derrière ces croyances. Le paradis est un lieu réel et surnaturel. Paul y a été mystérieusement « enlevé » pendant sa vie (</w:t>
      </w:r>
      <w:hyperlink r:id="rId11667">
        <w:r>
          <w:rPr>
            <w:color w:val="0000EE"/>
            <w:u w:val="single"/>
          </w:rPr>
          <w:t>2Co 12.4</w:t>
        </w:r>
      </w:hyperlink>
      <w:r>
        <w:t>). C'est aussi là où Jésus a promis que le voleur repentant sur la croix serait avec lui après sa mort (</w:t>
      </w:r>
      <w:hyperlink r:id="rId11668">
        <w:r>
          <w:rPr>
            <w:color w:val="0000EE"/>
            <w:u w:val="single"/>
          </w:rPr>
          <w:t>Lc 23.43</w:t>
        </w:r>
      </w:hyperlink>
      <w:r>
        <w:t>). La troisième et dernière référence du Nouveau Testament au paradis (</w:t>
      </w:r>
      <w:hyperlink r:id="rId1154">
        <w:r>
          <w:rPr>
            <w:color w:val="0000EE"/>
            <w:u w:val="single"/>
          </w:rPr>
          <w:t>Ap 2.7</w:t>
        </w:r>
      </w:hyperlink>
      <w:r>
        <w:t xml:space="preserve">) constitue une autre promesse qui nous dit que le paradis est l'endroit où pousse l'arbre de vie. Il relie le monde originel de </w:t>
      </w:r>
      <w:hyperlink r:id="rId2645">
        <w:r>
          <w:rPr>
            <w:color w:val="0000EE"/>
            <w:u w:val="single"/>
          </w:rPr>
          <w:t xml:space="preserve">Genèse 2 </w:t>
        </w:r>
      </w:hyperlink>
      <w:r>
        <w:t>et le monde futur d'</w:t>
      </w:r>
      <w:hyperlink r:id="rId10904">
        <w:r>
          <w:rPr>
            <w:color w:val="0000EE"/>
            <w:u w:val="single"/>
          </w:rPr>
          <w:t>Apocalypse 22</w:t>
        </w:r>
      </w:hyperlink>
      <w:r>
        <w:t>. Il comprend l'arbre vivifiant, un fleuve, un mur protecteur et la présence du Roi.</w:t>
      </w:r>
    </w:p>
    <w:p>
      <w:r/>
      <w:r>
        <w:rPr>
          <w:i/>
        </w:rPr>
        <w:t>Voir aussi</w:t>
      </w:r>
      <w:r>
        <w:t xml:space="preserve"> </w:t>
      </w:r>
      <w:r>
        <w:t>Cieux</w:t>
      </w:r>
      <w:r>
        <w:t xml:space="preserve"> ; </w:t>
      </w:r>
      <w:r>
        <w:t>Nouveaux Cieux et Nouvelle Terre</w:t>
      </w:r>
      <w:r>
        <w:t>.</w:t>
      </w:r>
      <w:r/>
      <w:r/>
    </w:p>
    <w:p>
      <w:r/>
    </w:p>
    <w:p>
      <w:pPr>
        <w:pStyle w:val="Heading2"/>
      </w:pPr>
      <w:r>
        <w:t>paradoxe</w:t>
      </w:r>
      <w:r/>
    </w:p>
    <w:p>
      <w:r/>
      <w:r>
        <w:t xml:space="preserve">Façon d'exprimer quelque chose qui semble à première vue contradictoire ou absurde, mais qui démontre une vérité importante. Le paradoxe est utilisé pour mener les auditeurs à réfléchir de façon plus approfondie. Parfois, le paradoxe ressemble à une hyperbole (une affirmation exagérée). Cependant, le paradoxe inclut un élément de contradiction. </w:t>
      </w:r>
    </w:p>
    <w:p>
      <w:pPr>
        <w:pStyle w:val="Heading3"/>
      </w:pPr>
      <w:r>
        <w:t>Le paradoxe dans les enseignements de Jésus</w:t>
      </w:r>
    </w:p>
    <w:p>
      <w:r/>
      <w:r>
        <w:t>Jésus utilisait des déclarations paradoxales pour enseigner. Par exemple, il dit à Nicodème, un adulte, qu'il doit naître de nouveau. Nicodème ne comprend pas tout de suite la signification de cet enseignement paradoxal, car il demande : « Comment un homme peut-il naître quand il est vieux ? Peut-il rentrer dans le sein de sa mère et naître ? » (</w:t>
      </w:r>
      <w:hyperlink r:id="rId11669">
        <w:r>
          <w:rPr>
            <w:color w:val="0000EE"/>
            <w:u w:val="single"/>
          </w:rPr>
          <w:t>Jn 3.4</w:t>
        </w:r>
      </w:hyperlink>
      <w:r>
        <w:t>). Jésus l'amène ainsi à réfléchir à des vérités spirituelles.</w:t>
      </w:r>
    </w:p>
    <w:p>
      <w:r/>
      <w:r>
        <w:t>Une autre fois, Jésus est en train d'enseigner qu'il est difficile pour les riches d'entrer dans le royaume de Dieu. Pour faire comprendre cela, il déclare qu'il est plus facile pour un chameau de passer par le trou d'une aiguille (une chose impossible) qu’à un riche d’entrer dans le royaume de Dieu (</w:t>
      </w:r>
      <w:hyperlink r:id="rId513">
        <w:r>
          <w:rPr>
            <w:color w:val="0000EE"/>
            <w:u w:val="single"/>
          </w:rPr>
          <w:t>Mc 10.25</w:t>
        </w:r>
      </w:hyperlink>
      <w:r>
        <w:t>). Bien sûr, de telles déclarations ne doivent pas être comprise au sens immédiat. Il faut comprendre ce qu'elles cherchent à communiquer. Cette déclaration devait frapper ceux qui l'entendaient. Ils devaient être surpris et amenés à réfléchir différemment à propos des risques spirituels de la richesse. C'est l'effet que Jésus a obtenu sur ceux à qui il avait dit ces paroles : « Les disciples furent encore plus étonnés, et ils se dirent les uns aux autres ; Et qui peut être sauvé ? » (v. 26).</w:t>
      </w:r>
    </w:p>
    <w:p>
      <w:r/>
      <w:r>
        <w:t>Jésus explique souvent comment le royaume de Dieu doit inverser les valeurs et la perspective des disciples par rapport à celles du monde. Il le fait souvent à travers des déclarations paradoxales :</w:t>
      </w:r>
    </w:p>
    <w:p>
      <w:pPr>
        <w:pStyle w:val="ListBullet"/>
        <w:spacing w:line="240" w:lineRule="auto"/>
        <w:ind w:left="720"/>
      </w:pPr>
      <w:r/>
      <w:r>
        <w:t>Quiconque perdra sa vie la trouvera (</w:t>
      </w:r>
      <w:hyperlink r:id="rId11670">
        <w:r>
          <w:rPr>
            <w:color w:val="0000EE"/>
            <w:u w:val="single"/>
          </w:rPr>
          <w:t>Mt 10.39</w:t>
        </w:r>
      </w:hyperlink>
      <w:r>
        <w:t>).</w:t>
      </w:r>
    </w:p>
    <w:p>
      <w:pPr>
        <w:pStyle w:val="ListBullet"/>
        <w:spacing w:line="240" w:lineRule="auto"/>
        <w:ind w:left="720"/>
      </w:pPr>
      <w:r/>
      <w:r>
        <w:t>Les derniers seront les premiers, et les premiers seront les derniers (</w:t>
      </w:r>
      <w:hyperlink r:id="rId11671">
        <w:r>
          <w:rPr>
            <w:color w:val="0000EE"/>
            <w:u w:val="single"/>
          </w:rPr>
          <w:t>Lc 13.30</w:t>
        </w:r>
      </w:hyperlink>
      <w:r>
        <w:t>).</w:t>
      </w:r>
    </w:p>
    <w:p>
      <w:pPr>
        <w:pStyle w:val="ListBullet"/>
        <w:spacing w:line="240" w:lineRule="auto"/>
        <w:ind w:left="720"/>
      </w:pPr>
      <w:r/>
      <w:r>
        <w:t>Quiconque veut être le plus grand de tous doit être le serviteur de tous (</w:t>
      </w:r>
      <w:hyperlink r:id="rId11672">
        <w:r>
          <w:rPr>
            <w:color w:val="0000EE"/>
            <w:u w:val="single"/>
          </w:rPr>
          <w:t>Mc 10.43</w:t>
        </w:r>
      </w:hyperlink>
      <w:r>
        <w:t xml:space="preserve"> ; </w:t>
      </w:r>
      <w:hyperlink r:id="rId11673">
        <w:r>
          <w:rPr>
            <w:color w:val="0000EE"/>
            <w:u w:val="single"/>
          </w:rPr>
          <w:t>Lc 22.26</w:t>
        </w:r>
      </w:hyperlink>
      <w:r>
        <w:t>).</w:t>
      </w:r>
    </w:p>
    <w:p>
      <w:r/>
      <w:r>
        <w:t>Jésus lui-même démontre cet inversement des valeurs du monde dans son propre ministère. Après avoir lavé les pieds des disciples, il leur déclare : « Vous m’appelez Maître et Seigneur ; et vous dites bien, car je le suis. Si donc je vous ai lavé les pieds, moi, le Seigneur et le Maître, vous devez aussi vous laver les pieds les uns aux autres » (</w:t>
      </w:r>
      <w:hyperlink r:id="rId5038">
        <w:r>
          <w:rPr>
            <w:color w:val="0000EE"/>
            <w:u w:val="single"/>
          </w:rPr>
          <w:t>Jn 13.13–14</w:t>
        </w:r>
      </w:hyperlink>
      <w:r>
        <w:t>).</w:t>
      </w:r>
    </w:p>
    <w:p>
      <w:pPr>
        <w:pStyle w:val="Heading3"/>
      </w:pPr>
      <w:r>
        <w:t>Le paradoxe dans les descriptions de Dieu</w:t>
      </w:r>
    </w:p>
    <w:p>
      <w:r/>
      <w:r>
        <w:t>En expliquant la nature de Dieu, qui est tellement différente de la nature humaine et de l'expérience du monde physique, la Bible utilise des déclarations qui peuvent sembler paradoxales. Ainsi, Dieu existe « dès avant tous les temps » (Jd 25). Il semble paradoxal de parler d'avant le temps, car le mot « avant » lui-même indique le temps. Le fait que Jésus est Dieu et est venu dans la chair est paradoxal également car cela semble impossible. Pourtant, c'est une vérité de la plus haute importance. Il est inévitable d'essayer de parler de Dieu dans des termes que nous pouvons comprendre et qui se comparent à ce que nous connaissons. Toutefois, Dieu n'est pas limité par l'expérience humaine, notre façon de penser ou les mots que nous connaissons. Le langage est donc un moyen limité d'exprimer la nature de Dieu qui lui, est illimité.</w:t>
      </w:r>
      <w:r/>
      <w:r/>
    </w:p>
    <w:p>
      <w:r/>
    </w:p>
    <w:p>
      <w:pPr>
        <w:pStyle w:val="Heading2"/>
      </w:pPr>
      <w:r>
        <w:t>Paralysie, paralytique, paralysé</w:t>
      </w:r>
      <w:r/>
    </w:p>
    <w:p>
      <w:r/>
      <w:r>
        <w:t>Symptôme d'une maladie du système nerveux central. Cette maladie provoque la perte temporaire ou permanente de sensations et/ou du contrôle volontaire de muscles. Il était généralement impossible de guérir de cette condition dégénérative. Quelques cas de paralysie sont mentionnés dans le NT, la plupart en rapport au ministère de guérison de Christ.</w:t>
      </w:r>
    </w:p>
    <w:p>
      <w:r/>
      <w:r>
        <w:t>Des paralytiques font partie du groupe de personnes malades cherchant à être guéries par Jésus en Galilée (</w:t>
      </w:r>
      <w:hyperlink r:id="rId11674">
        <w:r>
          <w:rPr>
            <w:color w:val="0000EE"/>
            <w:u w:val="single"/>
          </w:rPr>
          <w:t>Mt 4.24</w:t>
        </w:r>
      </w:hyperlink>
      <w:r>
        <w:t>). Ils comptent aussi parmi les malades présents à Bethesda à Jérusalem (</w:t>
      </w:r>
      <w:hyperlink r:id="rId11675">
        <w:r>
          <w:rPr>
            <w:color w:val="0000EE"/>
            <w:u w:val="single"/>
          </w:rPr>
          <w:t>Jn 5.3</w:t>
        </w:r>
      </w:hyperlink>
      <w:r>
        <w:t>) et ceux qui sont guéris par Philippe en Samarie (</w:t>
      </w:r>
      <w:hyperlink r:id="rId11676">
        <w:r>
          <w:rPr>
            <w:color w:val="0000EE"/>
            <w:u w:val="single"/>
          </w:rPr>
          <w:t>Ac 8.7</w:t>
        </w:r>
      </w:hyperlink>
      <w:r>
        <w:t>). Luc décrit le serviteur paralysé d'un centurion comme étant dans un état très grave et sur le point de mourir (</w:t>
      </w:r>
      <w:hyperlink r:id="rId11677">
        <w:r>
          <w:rPr>
            <w:color w:val="0000EE"/>
            <w:u w:val="single"/>
          </w:rPr>
          <w:t>Lc 7.2</w:t>
        </w:r>
      </w:hyperlink>
      <w:r>
        <w:t>). Cet homme était probablement victime d'un type de paralysie souvent mortel, qui commence dans les jambes et se propage rapidement vers le haut à travers le reste du corps. Le paralytique de Capernaüm est très probablement paraplégique, une paralysie affectant la moitié inférieure du corps (</w:t>
      </w:r>
      <w:hyperlink r:id="rId10020">
        <w:r>
          <w:rPr>
            <w:color w:val="0000EE"/>
            <w:u w:val="single"/>
          </w:rPr>
          <w:t xml:space="preserve">Mt 9.2, 6 </w:t>
        </w:r>
      </w:hyperlink>
      <w:r>
        <w:t xml:space="preserve">; </w:t>
      </w:r>
      <w:hyperlink r:id="rId11678">
        <w:r>
          <w:rPr>
            <w:color w:val="0000EE"/>
            <w:u w:val="single"/>
          </w:rPr>
          <w:t xml:space="preserve">Mc 2.3–10 </w:t>
        </w:r>
      </w:hyperlink>
      <w:r>
        <w:t xml:space="preserve">; </w:t>
      </w:r>
      <w:hyperlink r:id="rId11679">
        <w:r>
          <w:rPr>
            <w:color w:val="0000EE"/>
            <w:u w:val="single"/>
          </w:rPr>
          <w:t>Lc 5.18, 24</w:t>
        </w:r>
      </w:hyperlink>
      <w:r>
        <w:t>). Cette maladie pourrait provenir d'une blessure à la naissance ou de dommages à la moelle épinière. (La moelle épinière fait partie du système nerveux.) Il est possible qu'Énée, que Pierre guérit à Lydda, est également paraplégique (</w:t>
      </w:r>
      <w:hyperlink r:id="rId11680">
        <w:r>
          <w:rPr>
            <w:color w:val="0000EE"/>
            <w:u w:val="single"/>
          </w:rPr>
          <w:t>Ac 9.33</w:t>
        </w:r>
      </w:hyperlink>
      <w:r>
        <w:t>).</w:t>
      </w:r>
    </w:p>
    <w:p>
      <w:r/>
      <w:r>
        <w:rPr>
          <w:i/>
        </w:rPr>
        <w:t>Voir aussi</w:t>
      </w:r>
      <w:r>
        <w:t xml:space="preserve"> </w:t>
      </w:r>
      <w:r>
        <w:t>maladie</w:t>
      </w:r>
      <w:r>
        <w:t xml:space="preserve"> ; </w:t>
      </w:r>
      <w:r>
        <w:t>médecine et pratique médicale</w:t>
      </w:r>
      <w:r>
        <w:t>.</w:t>
      </w:r>
      <w:r/>
      <w:r/>
    </w:p>
    <w:p>
      <w:r/>
    </w:p>
    <w:p>
      <w:pPr>
        <w:pStyle w:val="Heading2"/>
      </w:pPr>
      <w:r>
        <w:t>Paran</w:t>
      </w:r>
      <w:r/>
    </w:p>
    <w:p>
      <w:r/>
      <w:r>
        <w:t>Région désertique située dans le nord-est de la péninsule du Sinaï, à l'ouest de la plaine (Araba). L'établissement de Kadès-Barnéa en constitue la limite la plus septentrionale. Certains chercheurs identifient le grand plateau d'Et-Tih, au centre du Sinaï, comme faisant partie de ce désert.</w:t>
      </w:r>
    </w:p>
    <w:p>
      <w:r/>
      <w:r>
        <w:t>Le désert de Paran est une vaste étendue sauvage et aride composée de plateaux, de montagnes, de gorges et d'oueds. Le manque d'eau et de végétation en faisait un lieu des plus inhospitaliers, en contraste frappant avec la terre ruisselante de lait et de miel promise à Israël.</w:t>
      </w:r>
    </w:p>
    <w:p>
      <w:r/>
      <w:r>
        <w:t>Ce désert est devenu la demeure d'Ismaël (</w:t>
      </w:r>
      <w:hyperlink r:id="rId6857">
        <w:r>
          <w:rPr>
            <w:color w:val="0000EE"/>
            <w:u w:val="single"/>
          </w:rPr>
          <w:t>Gn 21.20–21</w:t>
        </w:r>
      </w:hyperlink>
      <w:r>
        <w:t>). La nation d'Israël y a campé en route d'Égypte vers Canaan (</w:t>
      </w:r>
      <w:hyperlink r:id="rId11681">
        <w:r>
          <w:rPr>
            <w:color w:val="0000EE"/>
            <w:u w:val="single"/>
          </w:rPr>
          <w:t>Nb 10.12</w:t>
        </w:r>
      </w:hyperlink>
      <w:r>
        <w:t xml:space="preserve"> ; </w:t>
      </w:r>
      <w:hyperlink r:id="rId11682">
        <w:r>
          <w:rPr>
            <w:color w:val="0000EE"/>
            <w:u w:val="single"/>
          </w:rPr>
          <w:t>12.16</w:t>
        </w:r>
      </w:hyperlink>
      <w:r>
        <w:t>). Depuis Kadès-Barnéa, à l'extrémité nord du désert, Moïse a envoyé des espions pour reconnaître la Terre Promise (</w:t>
      </w:r>
      <w:hyperlink r:id="rId11683">
        <w:r>
          <w:rPr>
            <w:color w:val="0000EE"/>
            <w:u w:val="single"/>
          </w:rPr>
          <w:t>13.3, 26</w:t>
        </w:r>
      </w:hyperlink>
      <w:r>
        <w:t>). On dit que David a conduit sa bande d'hommes dans cette région après la mort de Samuel afin de s'éloigner du roi Saül (</w:t>
      </w:r>
      <w:hyperlink r:id="rId9473">
        <w:r>
          <w:rPr>
            <w:color w:val="0000EE"/>
            <w:u w:val="single"/>
          </w:rPr>
          <w:t>1S 25.1</w:t>
        </w:r>
      </w:hyperlink>
      <w:r>
        <w:t>).</w:t>
      </w:r>
    </w:p>
    <w:p>
      <w:r/>
      <w:r>
        <w:rPr>
          <w:i/>
        </w:rPr>
        <w:t>Voir aussi</w:t>
      </w:r>
      <w:r>
        <w:t xml:space="preserve"> </w:t>
      </w:r>
      <w:r>
        <w:t>Palestine</w:t>
      </w:r>
      <w:r>
        <w:t xml:space="preserve"> ; </w:t>
      </w:r>
      <w:r>
        <w:t>Sina, Sinaï</w:t>
      </w:r>
      <w:r>
        <w:t xml:space="preserve"> ; </w:t>
      </w:r>
      <w:r>
        <w:t>Errances dans le désert</w:t>
      </w:r>
      <w:r>
        <w:t>.</w:t>
      </w:r>
      <w:r/>
      <w:r/>
    </w:p>
    <w:p>
      <w:r/>
    </w:p>
    <w:p>
      <w:pPr>
        <w:pStyle w:val="Heading2"/>
      </w:pPr>
      <w:r>
        <w:t>Pardon</w:t>
      </w:r>
      <w:r/>
    </w:p>
    <w:p>
      <w:r/>
      <w:r>
        <w:t>Rémission ou remise de péchés impliquant que la relation qui en a souffert est restaurée. Le ressentiment (ou hostilité) pour les torts et les offenses est abandonné. Le pardon est tout d'abord une action de Dieu libérant les pécheurs du jugement et du châtiment divin de leur péché. Puisque seul Dieu est saint, seul Dieu peut pardonner le péché (</w:t>
      </w:r>
      <w:hyperlink r:id="rId8756">
        <w:r>
          <w:rPr>
            <w:color w:val="0000EE"/>
            <w:u w:val="single"/>
          </w:rPr>
          <w:t xml:space="preserve">Mc 2.7 </w:t>
        </w:r>
      </w:hyperlink>
      <w:r>
        <w:t xml:space="preserve">; </w:t>
      </w:r>
      <w:hyperlink r:id="rId11684">
        <w:r>
          <w:rPr>
            <w:color w:val="0000EE"/>
            <w:u w:val="single"/>
          </w:rPr>
          <w:t>Lc 5.21</w:t>
        </w:r>
      </w:hyperlink>
      <w:r>
        <w:t>). Le pardon doit aussi être pratiqué par les êtres humains envers leurs prochains. Le pardon est la conséquence de la prise de conscience et de l'appropriation du pardon de Dieu. Le pardon est donc une doctrine spécifiquement chrétienne.</w:t>
      </w:r>
    </w:p>
    <w:p>
      <w:r/>
      <w:r>
        <w:t>Dans d'autres religions, le pardon n'a pas la même portée. L'animisme n'inclut pas de conscience d'une relation personnelle avec Dieu. Selon l'hindouisme, tous doivent payer les conséquences inexorables du karma dans la roue des réincarnations. Le bouddhisme ne connaît pas non plus de Dieu qui pardonne. L'idée est présente dans l'islam, mais Dieu n'est pas Père et n'a pas de relation personnelle avec les êtres humains. Même dans le judaïsme, le pardon reste une expérience limitée, même si le pardon dans le Nouveau Testament (NT) est un développement de ce que l'Ancien Testament (AT) enseigne à ce sujet.</w:t>
      </w:r>
    </w:p>
    <w:p>
      <w:pPr>
        <w:pStyle w:val="Heading3"/>
      </w:pPr>
      <w:r>
        <w:t>Manifestations du pardon dans l'Ancien Testament</w:t>
      </w:r>
    </w:p>
    <w:p>
      <w:r/>
      <w:r>
        <w:t>Le concept du pardon est communiqué par diverses métaphores dans l'AT. L'envoi du bouc émissaire dans le désert est accompli en vue du pardon des péchés des Israélites. Leurs péchés ont été confessés par le souverain sacrificateur après avoir placé ses deux mains sur la tête de l'animal (</w:t>
      </w:r>
      <w:hyperlink r:id="rId11079">
        <w:r>
          <w:rPr>
            <w:color w:val="0000EE"/>
            <w:u w:val="single"/>
          </w:rPr>
          <w:t>Lv 16.21</w:t>
        </w:r>
      </w:hyperlink>
      <w:r>
        <w:t>). Le bouc émissaire emporte ainsi les péchés des Israélites au loin avec lui. L'AT en appelle aussi à la miséricorde de Dieu pour le pardon des péchés (</w:t>
      </w:r>
      <w:hyperlink r:id="rId11685">
        <w:r>
          <w:rPr>
            <w:color w:val="0000EE"/>
            <w:u w:val="single"/>
          </w:rPr>
          <w:t xml:space="preserve">Lv 4.20 </w:t>
        </w:r>
      </w:hyperlink>
      <w:r>
        <w:t xml:space="preserve">; </w:t>
      </w:r>
      <w:hyperlink r:id="rId11686">
        <w:r>
          <w:rPr>
            <w:color w:val="0000EE"/>
            <w:u w:val="single"/>
          </w:rPr>
          <w:t xml:space="preserve">1R 8.30, 34 </w:t>
        </w:r>
      </w:hyperlink>
      <w:r>
        <w:t xml:space="preserve">; </w:t>
      </w:r>
      <w:hyperlink r:id="rId11687">
        <w:r>
          <w:rPr>
            <w:color w:val="0000EE"/>
            <w:u w:val="single"/>
          </w:rPr>
          <w:t xml:space="preserve">Ps 86.5 </w:t>
        </w:r>
      </w:hyperlink>
      <w:r>
        <w:t xml:space="preserve">; </w:t>
      </w:r>
      <w:hyperlink r:id="rId4003">
        <w:r>
          <w:rPr>
            <w:color w:val="0000EE"/>
            <w:u w:val="single"/>
          </w:rPr>
          <w:t>103.3</w:t>
        </w:r>
      </w:hyperlink>
      <w:r>
        <w:t>).</w:t>
      </w:r>
    </w:p>
    <w:p>
      <w:r/>
      <w:r>
        <w:t xml:space="preserve">Le mot hébreu </w:t>
      </w:r>
      <w:r>
        <w:rPr>
          <w:i/>
        </w:rPr>
        <w:t>kapar</w:t>
      </w:r>
      <w:r>
        <w:t xml:space="preserve"> est couramment utilisé pour décrire l'expiation des péchés. Il a pour sens « couvrir », le sacrifice couvrant ce ne va pas avec l'adorateur (</w:t>
      </w:r>
      <w:hyperlink r:id="rId11688">
        <w:r>
          <w:rPr>
            <w:color w:val="0000EE"/>
            <w:u w:val="single"/>
          </w:rPr>
          <w:t xml:space="preserve">Ex 29.36 </w:t>
        </w:r>
      </w:hyperlink>
      <w:r>
        <w:t xml:space="preserve">; </w:t>
      </w:r>
      <w:hyperlink r:id="rId11689">
        <w:r>
          <w:rPr>
            <w:color w:val="0000EE"/>
            <w:u w:val="single"/>
          </w:rPr>
          <w:t xml:space="preserve">Dt 21.8 </w:t>
        </w:r>
      </w:hyperlink>
      <w:r>
        <w:t xml:space="preserve">; </w:t>
      </w:r>
      <w:hyperlink r:id="rId11690">
        <w:r>
          <w:rPr>
            <w:color w:val="0000EE"/>
            <w:u w:val="single"/>
          </w:rPr>
          <w:t xml:space="preserve">Jr 18.23 </w:t>
        </w:r>
      </w:hyperlink>
      <w:r>
        <w:t xml:space="preserve">; </w:t>
      </w:r>
      <w:hyperlink r:id="rId11691">
        <w:r>
          <w:rPr>
            <w:color w:val="0000EE"/>
            <w:u w:val="single"/>
          </w:rPr>
          <w:t xml:space="preserve">Ez 43.20 </w:t>
        </w:r>
      </w:hyperlink>
      <w:r>
        <w:t xml:space="preserve">; </w:t>
      </w:r>
      <w:hyperlink r:id="rId11692">
        <w:r>
          <w:rPr>
            <w:color w:val="0000EE"/>
            <w:u w:val="single"/>
          </w:rPr>
          <w:t>45.20</w:t>
        </w:r>
      </w:hyperlink>
      <w:r>
        <w:t xml:space="preserve">). Les mots de la famille du mot hébreu </w:t>
      </w:r>
      <w:r>
        <w:rPr>
          <w:i/>
        </w:rPr>
        <w:t>salah</w:t>
      </w:r>
      <w:r>
        <w:t xml:space="preserve"> sont toujours à propos du pardon que Dieu accorde (</w:t>
      </w:r>
      <w:hyperlink r:id="rId11693">
        <w:r>
          <w:rPr>
            <w:color w:val="0000EE"/>
            <w:u w:val="single"/>
          </w:rPr>
          <w:t xml:space="preserve">Nb 30.5, 8, 12 </w:t>
        </w:r>
      </w:hyperlink>
      <w:r>
        <w:t xml:space="preserve">; </w:t>
      </w:r>
      <w:hyperlink r:id="rId11687">
        <w:r>
          <w:rPr>
            <w:color w:val="0000EE"/>
            <w:u w:val="single"/>
          </w:rPr>
          <w:t xml:space="preserve">Ps 86.5 </w:t>
        </w:r>
      </w:hyperlink>
      <w:r>
        <w:t xml:space="preserve">; </w:t>
      </w:r>
      <w:hyperlink r:id="rId11694">
        <w:r>
          <w:rPr>
            <w:color w:val="0000EE"/>
            <w:u w:val="single"/>
          </w:rPr>
          <w:t xml:space="preserve">130.4 </w:t>
        </w:r>
      </w:hyperlink>
      <w:r>
        <w:t xml:space="preserve">; </w:t>
      </w:r>
      <w:hyperlink r:id="rId11695">
        <w:r>
          <w:rPr>
            <w:color w:val="0000EE"/>
            <w:u w:val="single"/>
          </w:rPr>
          <w:t>Dn 9.9</w:t>
        </w:r>
      </w:hyperlink>
      <w:r>
        <w:t xml:space="preserve">). Dieu décide de ne plus tenir compte de la transgression, comme s'il la retirait. Le mot </w:t>
      </w:r>
      <w:r>
        <w:rPr>
          <w:i/>
        </w:rPr>
        <w:t>maha est un</w:t>
      </w:r>
      <w:r>
        <w:t xml:space="preserve"> autre mot hébreu important qui signifie « effacer » (</w:t>
      </w:r>
      <w:hyperlink r:id="rId11696">
        <w:r>
          <w:rPr>
            <w:color w:val="0000EE"/>
            <w:u w:val="single"/>
          </w:rPr>
          <w:t>Ps 51.1, 7</w:t>
        </w:r>
      </w:hyperlink>
      <w:r>
        <w:t xml:space="preserve"> ; </w:t>
      </w:r>
      <w:hyperlink r:id="rId11697">
        <w:r>
          <w:rPr>
            <w:color w:val="0000EE"/>
            <w:u w:val="single"/>
          </w:rPr>
          <w:t>Es 43.25</w:t>
        </w:r>
      </w:hyperlink>
      <w:r>
        <w:t xml:space="preserve"> ; </w:t>
      </w:r>
      <w:hyperlink r:id="rId11698">
        <w:r>
          <w:rPr>
            <w:color w:val="0000EE"/>
            <w:u w:val="single"/>
          </w:rPr>
          <w:t>44.22</w:t>
        </w:r>
      </w:hyperlink>
      <w:r>
        <w:t>).</w:t>
      </w:r>
    </w:p>
    <w:p>
      <w:r/>
      <w:r>
        <w:t>L'AT enseigne que Dieu pardonne (</w:t>
      </w:r>
      <w:hyperlink r:id="rId5239">
        <w:r>
          <w:rPr>
            <w:color w:val="0000EE"/>
            <w:u w:val="single"/>
          </w:rPr>
          <w:t xml:space="preserve">Ex 34.6–7 </w:t>
        </w:r>
      </w:hyperlink>
      <w:r>
        <w:t xml:space="preserve">; </w:t>
      </w:r>
      <w:hyperlink r:id="rId4586">
        <w:r>
          <w:rPr>
            <w:color w:val="0000EE"/>
            <w:u w:val="single"/>
          </w:rPr>
          <w:t xml:space="preserve">Né 9.17 </w:t>
        </w:r>
      </w:hyperlink>
      <w:r>
        <w:t xml:space="preserve">; </w:t>
      </w:r>
      <w:hyperlink r:id="rId11695">
        <w:r>
          <w:rPr>
            <w:color w:val="0000EE"/>
            <w:u w:val="single"/>
          </w:rPr>
          <w:t>Dn 9.9</w:t>
        </w:r>
      </w:hyperlink>
      <w:r>
        <w:t>) ; pourtant il est juste et punit aussi le péché. De nombreuses histoires bibliques montrent que Dieu refuse de pardonner si certaines conditions ne sont pas remplies, ou quand certains péchés particulièrement graves on été commis (</w:t>
      </w:r>
      <w:hyperlink r:id="rId11699">
        <w:r>
          <w:rPr>
            <w:color w:val="0000EE"/>
            <w:u w:val="single"/>
          </w:rPr>
          <w:t xml:space="preserve">Dt 29.20 </w:t>
        </w:r>
      </w:hyperlink>
      <w:r>
        <w:t xml:space="preserve">; </w:t>
      </w:r>
      <w:hyperlink r:id="rId9521">
        <w:r>
          <w:rPr>
            <w:color w:val="0000EE"/>
            <w:u w:val="single"/>
          </w:rPr>
          <w:t xml:space="preserve">2R 24.4 </w:t>
        </w:r>
      </w:hyperlink>
      <w:r>
        <w:t xml:space="preserve">; </w:t>
      </w:r>
      <w:hyperlink r:id="rId4085">
        <w:r>
          <w:rPr>
            <w:color w:val="0000EE"/>
            <w:u w:val="single"/>
          </w:rPr>
          <w:t>Jr 5.7</w:t>
        </w:r>
      </w:hyperlink>
      <w:r>
        <w:t>). Le pardon est dans le caractère de Dieu, mais son pardon n'est jamais donné à la légère, car les pécheurs doivent se repentir. L'AT utilise des images saisissantes pour montrer la grandeur du pardon de Dieu. Le péché est jeté « au fond de la mer » (</w:t>
      </w:r>
      <w:hyperlink r:id="rId11700">
        <w:r>
          <w:rPr>
            <w:color w:val="0000EE"/>
            <w:u w:val="single"/>
          </w:rPr>
          <w:t>Mi 7.19</w:t>
        </w:r>
      </w:hyperlink>
      <w:r>
        <w:t>), loin de ceux qui reçoivent le pardon « autant l'orient est loin de l'occident » (</w:t>
      </w:r>
      <w:hyperlink r:id="rId11701">
        <w:r>
          <w:rPr>
            <w:color w:val="0000EE"/>
            <w:u w:val="single"/>
          </w:rPr>
          <w:t xml:space="preserve">Ps 103.12, </w:t>
        </w:r>
      </w:hyperlink>
      <w:r>
        <w:t>DBY). Le péché est jeté derrière Dieu (</w:t>
      </w:r>
      <w:hyperlink r:id="rId11702">
        <w:r>
          <w:rPr>
            <w:color w:val="0000EE"/>
            <w:u w:val="single"/>
          </w:rPr>
          <w:t>Es 38.17</w:t>
        </w:r>
      </w:hyperlink>
      <w:r>
        <w:t>), il ne s'en souviendra plus (</w:t>
      </w:r>
      <w:hyperlink r:id="rId579">
        <w:r>
          <w:rPr>
            <w:color w:val="0000EE"/>
            <w:u w:val="single"/>
          </w:rPr>
          <w:t>Jr 31.34</w:t>
        </w:r>
      </w:hyperlink>
      <w:r>
        <w:t>). La salissure et la souillure du péché sont remplacées par un blanc pur (</w:t>
      </w:r>
      <w:hyperlink r:id="rId3348">
        <w:r>
          <w:rPr>
            <w:color w:val="0000EE"/>
            <w:u w:val="single"/>
          </w:rPr>
          <w:t>Es 1.18</w:t>
        </w:r>
      </w:hyperlink>
      <w:r>
        <w:t>). Le péché, qui pèse comme un poids lourd, est pour toujours enlevé et annulé.</w:t>
      </w:r>
    </w:p>
    <w:p>
      <w:r/>
      <w:r>
        <w:t>Ainsi, dans l'AT, le pardon libère du passé. On ne dit pas que ce qui est arrivé dans le passé n'est jamais arrivé, mais ceux qui sont pardonnés ne restent pas esclaves de leur passé. Le pardon rend libre.</w:t>
      </w:r>
    </w:p>
    <w:p>
      <w:pPr>
        <w:pStyle w:val="Heading3"/>
      </w:pPr>
      <w:r>
        <w:t>Le pardon dans le Nouveau Testament</w:t>
      </w:r>
    </w:p>
    <w:p>
      <w:r/>
      <w:r>
        <w:t>Dans le NT, le fait que le pardon de Dieu n'est pas mérité est très clair. Dieu pardonne nos péchés parce que Christ est mort pour nous. Chaque être humain a une dette envers Dieu qu'il ne pourrait jamais rembourser (</w:t>
      </w:r>
      <w:hyperlink r:id="rId8372">
        <w:r>
          <w:rPr>
            <w:color w:val="0000EE"/>
            <w:u w:val="single"/>
          </w:rPr>
          <w:t>Mt 18.23–35</w:t>
        </w:r>
      </w:hyperlink>
      <w:r>
        <w:t>). Nous sommes tous pécheurs et incapables de nous sauver par nos propres moyens ou par notre obéissance à la loi de Dieu (</w:t>
      </w:r>
      <w:hyperlink r:id="rId11703">
        <w:r>
          <w:rPr>
            <w:color w:val="0000EE"/>
            <w:u w:val="single"/>
          </w:rPr>
          <w:t>Mc 10.26–27</w:t>
        </w:r>
      </w:hyperlink>
      <w:r>
        <w:t>). Le NT enseigne donc que c'est à travers Christ seulement que le pardon peut être trouvé. Lui seul a le pouvoir de pardonner les péchés (</w:t>
      </w:r>
      <w:hyperlink r:id="rId11704">
        <w:r>
          <w:rPr>
            <w:color w:val="0000EE"/>
            <w:u w:val="single"/>
          </w:rPr>
          <w:t>2.5–10</w:t>
        </w:r>
      </w:hyperlink>
      <w:r>
        <w:t>). C'est sa mort qui est la rançon qui permet d'être racheté pour Dieu (</w:t>
      </w:r>
      <w:hyperlink r:id="rId1933">
        <w:r>
          <w:rPr>
            <w:color w:val="0000EE"/>
            <w:u w:val="single"/>
          </w:rPr>
          <w:t xml:space="preserve">Mt 26.28 </w:t>
        </w:r>
      </w:hyperlink>
      <w:r>
        <w:t xml:space="preserve">; </w:t>
      </w:r>
      <w:hyperlink r:id="rId654">
        <w:r>
          <w:rPr>
            <w:color w:val="0000EE"/>
            <w:u w:val="single"/>
          </w:rPr>
          <w:t>Mc 10.45</w:t>
        </w:r>
      </w:hyperlink>
      <w:r>
        <w:t>). Son sang est la base de la nouvelle alliance (</w:t>
      </w:r>
      <w:hyperlink r:id="rId1934">
        <w:r>
          <w:rPr>
            <w:color w:val="0000EE"/>
            <w:u w:val="single"/>
          </w:rPr>
          <w:t>1Co 11.25</w:t>
        </w:r>
      </w:hyperlink>
      <w:r>
        <w:t>). C'est à travers lui que l'on peut vivre le pardon (</w:t>
      </w:r>
      <w:hyperlink r:id="rId11705">
        <w:r>
          <w:rPr>
            <w:color w:val="0000EE"/>
            <w:u w:val="single"/>
          </w:rPr>
          <w:t>Hé 9.15, 22</w:t>
        </w:r>
      </w:hyperlink>
      <w:r>
        <w:t>). Ainsi, le pardon est inséparable de la proclamation de la Bonne Nouvelle de Jésus-Christ (</w:t>
      </w:r>
      <w:hyperlink r:id="rId11706">
        <w:r>
          <w:rPr>
            <w:color w:val="0000EE"/>
            <w:u w:val="single"/>
          </w:rPr>
          <w:t xml:space="preserve">Ac 13.38 </w:t>
        </w:r>
      </w:hyperlink>
      <w:r>
        <w:t xml:space="preserve">; </w:t>
      </w:r>
      <w:hyperlink r:id="rId8432">
        <w:r>
          <w:rPr>
            <w:color w:val="0000EE"/>
            <w:u w:val="single"/>
          </w:rPr>
          <w:t xml:space="preserve">Ep 1.7 </w:t>
        </w:r>
      </w:hyperlink>
      <w:r>
        <w:t xml:space="preserve">; </w:t>
      </w:r>
      <w:hyperlink r:id="rId11707">
        <w:r>
          <w:rPr>
            <w:color w:val="0000EE"/>
            <w:u w:val="single"/>
          </w:rPr>
          <w:t xml:space="preserve">Col 1.14 </w:t>
        </w:r>
      </w:hyperlink>
      <w:r>
        <w:t xml:space="preserve">; </w:t>
      </w:r>
      <w:hyperlink r:id="rId11708">
        <w:r>
          <w:rPr>
            <w:color w:val="0000EE"/>
            <w:u w:val="single"/>
          </w:rPr>
          <w:t>1Jn 2.12</w:t>
        </w:r>
      </w:hyperlink>
      <w:r>
        <w:t>).</w:t>
      </w:r>
    </w:p>
    <w:p>
      <w:r/>
      <w:r>
        <w:t xml:space="preserve">Le pardon est aussi décrit dans le NT au travers de plusieurs autres mots importants. Le mot grec </w:t>
      </w:r>
      <w:r>
        <w:rPr>
          <w:i/>
        </w:rPr>
        <w:t>charizomai</w:t>
      </w:r>
      <w:r>
        <w:t xml:space="preserve"> signifie « pardonner ». Paul l'utilise particulièrement pour faire ressortir le fait que c'est par la grâce de Dieu que son pardon est accordé (</w:t>
      </w:r>
      <w:hyperlink r:id="rId11709">
        <w:r>
          <w:rPr>
            <w:color w:val="0000EE"/>
            <w:u w:val="single"/>
          </w:rPr>
          <w:t xml:space="preserve">2Co 2.7 </w:t>
        </w:r>
      </w:hyperlink>
      <w:r>
        <w:t xml:space="preserve">; </w:t>
      </w:r>
      <w:hyperlink r:id="rId11710">
        <w:r>
          <w:rPr>
            <w:color w:val="0000EE"/>
            <w:u w:val="single"/>
          </w:rPr>
          <w:t xml:space="preserve">12.13 </w:t>
        </w:r>
      </w:hyperlink>
      <w:r>
        <w:t xml:space="preserve">; </w:t>
      </w:r>
      <w:hyperlink r:id="rId11711">
        <w:r>
          <w:rPr>
            <w:color w:val="0000EE"/>
            <w:u w:val="single"/>
          </w:rPr>
          <w:t xml:space="preserve">Ep 4.32 </w:t>
        </w:r>
      </w:hyperlink>
      <w:r>
        <w:t xml:space="preserve">; </w:t>
      </w:r>
      <w:hyperlink r:id="rId8541">
        <w:r>
          <w:rPr>
            <w:color w:val="0000EE"/>
            <w:u w:val="single"/>
          </w:rPr>
          <w:t xml:space="preserve">Col 2.13 </w:t>
        </w:r>
      </w:hyperlink>
      <w:r>
        <w:t xml:space="preserve">; </w:t>
      </w:r>
      <w:hyperlink r:id="rId11712">
        <w:r>
          <w:rPr>
            <w:color w:val="0000EE"/>
            <w:u w:val="single"/>
          </w:rPr>
          <w:t>3.13</w:t>
        </w:r>
      </w:hyperlink>
      <w:r>
        <w:t xml:space="preserve">). Le péché est comparé à une dette. Or, le mot </w:t>
      </w:r>
      <w:r>
        <w:rPr>
          <w:i/>
        </w:rPr>
        <w:t>aphesis</w:t>
      </w:r>
      <w:r>
        <w:t xml:space="preserve"> peut signifier l'annulation ou l'absolution d'une dette (voir </w:t>
      </w:r>
      <w:hyperlink r:id="rId11713">
        <w:r>
          <w:rPr>
            <w:color w:val="0000EE"/>
            <w:u w:val="single"/>
          </w:rPr>
          <w:t>Lk 6:37</w:t>
        </w:r>
      </w:hyperlink>
      <w:r>
        <w:t xml:space="preserve">). Le mot </w:t>
      </w:r>
      <w:r>
        <w:rPr>
          <w:i/>
        </w:rPr>
        <w:t xml:space="preserve">paresis </w:t>
      </w:r>
      <w:r>
        <w:t>représente un concept proche : laisser les péchés impunis (« passer outre »). Dieu ne punit pas le péché comme il mériterait de l'être (</w:t>
      </w:r>
      <w:hyperlink r:id="rId11714">
        <w:r>
          <w:rPr>
            <w:color w:val="0000EE"/>
            <w:u w:val="single"/>
          </w:rPr>
          <w:t xml:space="preserve">Ac 14.16 </w:t>
        </w:r>
      </w:hyperlink>
      <w:r>
        <w:t xml:space="preserve">; </w:t>
      </w:r>
      <w:hyperlink r:id="rId3774">
        <w:r>
          <w:rPr>
            <w:color w:val="0000EE"/>
            <w:u w:val="single"/>
          </w:rPr>
          <w:t>17.30</w:t>
        </w:r>
      </w:hyperlink>
      <w:r>
        <w:t>), mais se montre patient et miséricordieux.</w:t>
      </w:r>
    </w:p>
    <w:p>
      <w:r/>
      <w:r>
        <w:t xml:space="preserve">Pourtant, le NT parle de limites au pardon de Dieu. Dans </w:t>
      </w:r>
      <w:hyperlink r:id="rId11715">
        <w:r>
          <w:rPr>
            <w:color w:val="0000EE"/>
            <w:u w:val="single"/>
          </w:rPr>
          <w:t xml:space="preserve">Matthieu 12.31–32 </w:t>
        </w:r>
      </w:hyperlink>
      <w:r>
        <w:t xml:space="preserve">; </w:t>
      </w:r>
      <w:hyperlink r:id="rId11716">
        <w:r>
          <w:rPr>
            <w:color w:val="0000EE"/>
            <w:u w:val="single"/>
          </w:rPr>
          <w:t xml:space="preserve">Marc 3.28–30 </w:t>
        </w:r>
      </w:hyperlink>
      <w:r>
        <w:t xml:space="preserve">et </w:t>
      </w:r>
      <w:hyperlink r:id="rId11717">
        <w:r>
          <w:rPr>
            <w:color w:val="0000EE"/>
            <w:u w:val="single"/>
          </w:rPr>
          <w:t>Luc 12.10</w:t>
        </w:r>
      </w:hyperlink>
      <w:r>
        <w:t xml:space="preserve">, il est question de péché impardonnable. Christ décrit ainsi le blasphème contre le Saint-Esprit, que les pharisiens commettent en attribuant à Satan l'origine de la puissance de Jésus. </w:t>
      </w:r>
    </w:p>
    <w:p>
      <w:r/>
      <w:r>
        <w:t xml:space="preserve">Dans </w:t>
      </w:r>
      <w:hyperlink r:id="rId11718">
        <w:r>
          <w:rPr>
            <w:color w:val="0000EE"/>
            <w:u w:val="single"/>
          </w:rPr>
          <w:t>Hébreux 6.1–8</w:t>
        </w:r>
      </w:hyperlink>
      <w:r>
        <w:t>, l'auteur met également en garde contre un grave danger. Il parle de personnes qui apprennent la vérité de Dieu, puis s'en détournent. Il dit qu'il est impossible de ramener ces personnes à Dieu. Ce sont des personnes qui ont connu sa bonté, mais qui l'ont rejetée.</w:t>
      </w:r>
    </w:p>
    <w:p>
      <w:r/>
      <w:r>
        <w:t xml:space="preserve">De même, </w:t>
      </w:r>
      <w:hyperlink r:id="rId11719">
        <w:r>
          <w:rPr>
            <w:color w:val="0000EE"/>
            <w:u w:val="single"/>
          </w:rPr>
          <w:t>Hébreux 10.26–29</w:t>
        </w:r>
      </w:hyperlink>
      <w:r>
        <w:t xml:space="preserve"> parle de personnes qui connaissent la vérité de Dieu, mais qui choisissent malgré tout de continuer à pécher. L'auteur avertit qu'il n'y a aucun moyen pour elles d'obtenir le pardon. L'auteur explique que lorsque les gens rejettent la bonté de Dieu et méprisent la mort de Jésus, les conséquences sont très graves. Ces gens ne peuvent que s'attendre au jugement de Dieu. </w:t>
      </w:r>
    </w:p>
    <w:p>
      <w:r/>
      <w:r>
        <w:t>L'éthique du pardon dans le NT met l'accent sur la repentance pour le pardon des péchés (</w:t>
      </w:r>
      <w:hyperlink r:id="rId11720">
        <w:r>
          <w:rPr>
            <w:color w:val="0000EE"/>
            <w:u w:val="single"/>
          </w:rPr>
          <w:t>2Co 7.10</w:t>
        </w:r>
      </w:hyperlink>
      <w:r>
        <w:t>) ainsi que sur la nécessité de pardonner aux autres (</w:t>
      </w:r>
      <w:hyperlink r:id="rId7010">
        <w:r>
          <w:rPr>
            <w:color w:val="0000EE"/>
            <w:u w:val="single"/>
          </w:rPr>
          <w:t>Mt 6.14–15</w:t>
        </w:r>
      </w:hyperlink>
      <w:r>
        <w:t>). Une personne qui reçoit le pardon mais ne pardonne pas aux autres ne s'est pas complètement repentie. Plusieurs des paraboles du Seigneur insistent sur le fait qu'être prêt à pardonner aux autres montre que quelqu'un s'est véritablement repenti (</w:t>
      </w:r>
      <w:hyperlink r:id="rId8372">
        <w:r>
          <w:rPr>
            <w:color w:val="0000EE"/>
            <w:u w:val="single"/>
          </w:rPr>
          <w:t>Mt 18.23–35</w:t>
        </w:r>
      </w:hyperlink>
      <w:r>
        <w:t xml:space="preserve"> ; </w:t>
      </w:r>
      <w:hyperlink r:id="rId11713">
        <w:r>
          <w:rPr>
            <w:color w:val="0000EE"/>
            <w:u w:val="single"/>
          </w:rPr>
          <w:t>Lc 6.37</w:t>
        </w:r>
      </w:hyperlink>
      <w:r>
        <w:t>). Ainsi, le Christ enseigne que pardonner est un devoir à accomplir sans réserve. Il doit être accordé complètement et autant de fois que nécessaire, même jusqu'à soixante-dix fois sept fois (</w:t>
      </w:r>
      <w:hyperlink r:id="rId11721">
        <w:r>
          <w:rPr>
            <w:color w:val="0000EE"/>
            <w:u w:val="single"/>
          </w:rPr>
          <w:t>Mt 18.21–22</w:t>
        </w:r>
      </w:hyperlink>
      <w:r>
        <w:t xml:space="preserve">). Le pardon fait donc partie de ce qui définit les relations entre croyants : puisque tous dépendent du pardon de Dieu, tous sont tenus de se pardonner les uns les autres. « </w:t>
      </w:r>
      <w:r>
        <w:t xml:space="preserve">De même que Christ vous a pardonné, pardonnez-vous aussi </w:t>
      </w:r>
      <w:r>
        <w:t>» (</w:t>
      </w:r>
      <w:hyperlink r:id="rId11712">
        <w:r>
          <w:rPr>
            <w:color w:val="0000EE"/>
            <w:u w:val="single"/>
          </w:rPr>
          <w:t>Col 3.13</w:t>
        </w:r>
      </w:hyperlink>
      <w:r>
        <w:t>).</w:t>
      </w:r>
    </w:p>
    <w:p>
      <w:r/>
      <w:r>
        <w:rPr>
          <w:i/>
        </w:rPr>
        <w:t>Voir aussi</w:t>
      </w:r>
      <w:r>
        <w:t xml:space="preserve"> </w:t>
      </w:r>
      <w:r>
        <w:t xml:space="preserve">confession </w:t>
      </w:r>
      <w:r>
        <w:t xml:space="preserve">; </w:t>
      </w:r>
      <w:r>
        <w:t>repentance</w:t>
      </w:r>
      <w:r>
        <w:t>.</w:t>
      </w:r>
      <w:r/>
      <w:r/>
    </w:p>
    <w:p>
      <w:r/>
    </w:p>
    <w:p>
      <w:pPr>
        <w:pStyle w:val="Heading2"/>
      </w:pPr>
      <w:r>
        <w:t>Parmaschtha</w:t>
      </w:r>
      <w:r/>
    </w:p>
    <w:p>
      <w:r/>
      <w:r>
        <w:t>Un des dix fils d'Haman tués par les Juifs (</w:t>
      </w:r>
      <w:hyperlink r:id="rId11722">
        <w:r>
          <w:rPr>
            <w:color w:val="0000EE"/>
            <w:u w:val="single"/>
          </w:rPr>
          <w:t>Est 9.9</w:t>
        </w:r>
      </w:hyperlink>
      <w:r>
        <w:t>).</w:t>
      </w:r>
      <w:r/>
      <w:r/>
    </w:p>
    <w:p>
      <w:r/>
    </w:p>
    <w:p>
      <w:pPr>
        <w:pStyle w:val="Heading2"/>
      </w:pPr>
      <w:r>
        <w:t>Parménas</w:t>
      </w:r>
      <w:r/>
    </w:p>
    <w:p>
      <w:r/>
      <w:r>
        <w:t>Un des sept hommes choisis par l'Église primitive à Jérusalem pour servir les veuves et gérer la distribution quotidienne de nourriture (</w:t>
      </w:r>
      <w:hyperlink r:id="rId996">
        <w:r>
          <w:rPr>
            <w:color w:val="0000EE"/>
            <w:u w:val="single"/>
          </w:rPr>
          <w:t>Ac 6.5</w:t>
        </w:r>
      </w:hyperlink>
      <w:r>
        <w:t>). Ces sept hommes ont été sélectionnés parce qu'ils étaient remplis du Saint-Esprit et de sagesse. Les six autres hommes étaient Étienne, Philippe, Prochore, Nicanor, Timon et Nicolas.</w:t>
      </w:r>
      <w:r/>
      <w:r/>
    </w:p>
    <w:p>
      <w:r/>
    </w:p>
    <w:p>
      <w:pPr>
        <w:pStyle w:val="Heading2"/>
      </w:pPr>
      <w:r>
        <w:t>Parschandatha</w:t>
      </w:r>
      <w:r/>
    </w:p>
    <w:p>
      <w:r/>
      <w:r>
        <w:t>Un des dix fils d'Haman tués par les Juifs (</w:t>
      </w:r>
      <w:hyperlink r:id="rId1410">
        <w:r>
          <w:rPr>
            <w:color w:val="0000EE"/>
            <w:u w:val="single"/>
          </w:rPr>
          <w:t>Est 9.7</w:t>
        </w:r>
      </w:hyperlink>
      <w:r>
        <w:t>).</w:t>
      </w:r>
      <w:r/>
      <w:r/>
    </w:p>
    <w:p>
      <w:r/>
    </w:p>
    <w:p>
      <w:pPr>
        <w:pStyle w:val="Heading2"/>
      </w:pPr>
      <w:r>
        <w:t>Parthie, Parthes</w:t>
      </w:r>
      <w:r/>
    </w:p>
    <w:p>
      <w:r/>
      <w:r>
        <w:t>Territoire (correspondant approximativement à l'Iran moderne) située au-delà des frontières orientales de l'Empire romain, et donc presque en dehors du monde du NT.</w:t>
      </w:r>
    </w:p>
    <w:p>
      <w:r/>
      <w:r>
        <w:t>Elle est cependant incluse dans les cartes de l'Ancien Testament, qui englobent généralement le territoire oriental. De nombreux Juifs déportés de Palestine après les invasions assyrienne et babylonienne vivront dans cette région lorsque, au VIe siècle av. J.‑C., elle deviendra partie de l'immense Empire perse de Cyrus, et des milliers y resteront malgré l'offre de rapatriement de Cyrus. Deux siècles plus tard, cet empire sera conquis par Alexandre le Grand. Mais cent ans après cela, plusieurs parties de celui-ci, y compris la Parthie, se libéreront du joug de ses successeurs pour devenir indépendantes.</w:t>
      </w:r>
    </w:p>
    <w:p>
      <w:r/>
      <w:r>
        <w:t>La Parthie est finalement devenue un grand empire, s'étendant de l'Euphrate à l'Indus. À l'époque du NT, même la puissante Rome la considérait comme une menace potentielle. La première confrontation entre les deux puissances a en fait abouti à une défaite pour les Romains (à Carrhae, l'Haran biblique, en 53 av. J.‑C.). Ce n'est qu'au IIe siècle apr. J.‑C. que l'équilibre a changé, et même alors, bien que deux fois annexée, la Parthie a retrouvé deux fois son indépendance. Elle est finalement tombée en 226 apr. J.‑C., non pas aux mains des Romains, mais à cause d'un coup d'État néo-perse à l'intérieur de ses propres frontières.</w:t>
      </w:r>
    </w:p>
    <w:p>
      <w:r/>
      <w:r>
        <w:t>Riches grâce à leur position stratégique sur les routes commerciales asiatiques et militairement puissants grâce à leurs célèbres archers montés à cheval, qui remportaient de nombreuses batailles en feignant de battre en retraite puis en tirant sur l'ennemi qui les poursuivait, les Parthes semblent également avoir été un peuple tolérant. Une grande communauté juive a continué à vivre parmi eux, et à l'époque de la Pentecôte (</w:t>
      </w:r>
      <w:hyperlink r:id="rId187">
        <w:r>
          <w:rPr>
            <w:color w:val="0000EE"/>
            <w:u w:val="single"/>
          </w:rPr>
          <w:t>Ac 2</w:t>
        </w:r>
      </w:hyperlink>
      <w:r>
        <w:t xml:space="preserve">), leur province de Babylonie avait, curieusement, un gouverneur juif. Plus important encore, des Juifs de Parthie, et peut-être aussi des convertis parthes au judaïsme (« prosélytes »), étaient à Jérusalem en ce jour clé dans l'histoire du salut (v. </w:t>
      </w:r>
      <w:hyperlink r:id="rId4597">
        <w:r>
          <w:rPr>
            <w:color w:val="0000EE"/>
            <w:u w:val="single"/>
          </w:rPr>
          <w:t>9</w:t>
        </w:r>
      </w:hyperlink>
      <w:r>
        <w:t>). Par eux, l'Évangile s'est peut-être répandu, quelques semaines après la résurrection, sur la route vers l'Inde.</w:t>
      </w:r>
      <w:r/>
      <w:r/>
    </w:p>
    <w:p>
      <w:r/>
    </w:p>
    <w:p>
      <w:pPr>
        <w:pStyle w:val="Heading2"/>
      </w:pPr>
      <w:r>
        <w:t>Passion</w:t>
      </w:r>
      <w:r/>
    </w:p>
    <w:p>
      <w:r/>
      <w:r>
        <w:t xml:space="preserve">Terme venant du latin qui signifie « souffrance ». Il est utilisé dans certaines traductions dans </w:t>
      </w:r>
      <w:hyperlink r:id="rId2599">
        <w:r>
          <w:rPr>
            <w:color w:val="0000EE"/>
            <w:u w:val="single"/>
          </w:rPr>
          <w:t>Ac 1.3</w:t>
        </w:r>
      </w:hyperlink>
      <w:r>
        <w:t xml:space="preserve"> (voir TOB2010) pour désigner les souffrances de Jésus. Tout au long de l'histoire, les chrétiens ont fait référence aux souffrances de Jésus comme sa Passion.</w:t>
      </w:r>
    </w:p>
    <w:p>
      <w:pPr>
        <w:pStyle w:val="Heading3"/>
      </w:pPr>
      <w:r>
        <w:t>Que s'est-il passé pendant la Passion de Jésus ?</w:t>
      </w:r>
    </w:p>
    <w:p>
      <w:r/>
      <w:r>
        <w:t>Chacun des quatre Évangiles contient ce qu'on appelle un récit de la Passion. Il s'agit de la section qui relate les souffrances de Jésus la nuit de son arrestation et le jour suivant, menant à sa mort.</w:t>
      </w:r>
    </w:p>
    <w:p>
      <w:pPr>
        <w:pStyle w:val="ListNumber"/>
        <w:spacing w:line="240" w:lineRule="auto"/>
        <w:ind w:left="720"/>
      </w:pPr>
      <w:r/>
      <w:r>
        <w:t xml:space="preserve">Matthieu l'inclut dans les chapitres </w:t>
      </w:r>
      <w:hyperlink r:id="rId11723">
        <w:r>
          <w:rPr>
            <w:color w:val="0000EE"/>
            <w:u w:val="single"/>
          </w:rPr>
          <w:t>26–27</w:t>
        </w:r>
      </w:hyperlink>
      <w:r>
        <w:t>.</w:t>
      </w:r>
    </w:p>
    <w:p>
      <w:pPr>
        <w:pStyle w:val="ListNumber"/>
        <w:spacing w:line="240" w:lineRule="auto"/>
        <w:ind w:left="720"/>
      </w:pPr>
      <w:r/>
      <w:r>
        <w:t xml:space="preserve">Marc l'inclut dans les chapitres </w:t>
      </w:r>
      <w:hyperlink r:id="rId11724">
        <w:r>
          <w:rPr>
            <w:color w:val="0000EE"/>
            <w:u w:val="single"/>
          </w:rPr>
          <w:t>14–15</w:t>
        </w:r>
      </w:hyperlink>
      <w:r>
        <w:t>.</w:t>
      </w:r>
    </w:p>
    <w:p>
      <w:pPr>
        <w:pStyle w:val="ListNumber"/>
        <w:spacing w:line="240" w:lineRule="auto"/>
        <w:ind w:left="720"/>
      </w:pPr>
      <w:r/>
      <w:r>
        <w:t xml:space="preserve">Luc l'inclut dans les chapitres </w:t>
      </w:r>
      <w:hyperlink r:id="rId11725">
        <w:r>
          <w:rPr>
            <w:color w:val="0000EE"/>
            <w:u w:val="single"/>
          </w:rPr>
          <w:t>22–23</w:t>
        </w:r>
      </w:hyperlink>
      <w:r>
        <w:t>.</w:t>
      </w:r>
    </w:p>
    <w:p>
      <w:pPr>
        <w:pStyle w:val="ListNumber"/>
        <w:spacing w:line="240" w:lineRule="auto"/>
        <w:ind w:left="720"/>
      </w:pPr>
      <w:r/>
      <w:r>
        <w:t xml:space="preserve">Jean l'inclut dans les chapitres </w:t>
      </w:r>
      <w:hyperlink r:id="rId11726">
        <w:r>
          <w:rPr>
            <w:color w:val="0000EE"/>
            <w:u w:val="single"/>
          </w:rPr>
          <w:t>18–19</w:t>
        </w:r>
      </w:hyperlink>
      <w:r>
        <w:t>.</w:t>
      </w:r>
    </w:p>
    <w:p>
      <w:pPr>
        <w:pStyle w:val="Heading4"/>
      </w:pPr>
      <w:r>
        <w:t>Arrestation et procès de Jésus</w:t>
      </w:r>
    </w:p>
    <w:p>
      <w:r/>
      <w:r>
        <w:t>Luc donne le récit le plus détaillé de la douleur physique que Jésus a ressentie en priant dans le Jardin de Gethsémané (</w:t>
      </w:r>
      <w:hyperlink r:id="rId11727">
        <w:r>
          <w:rPr>
            <w:color w:val="0000EE"/>
            <w:u w:val="single"/>
          </w:rPr>
          <w:t>Lc 22.41–44</w:t>
        </w:r>
      </w:hyperlink>
      <w:r>
        <w:t xml:space="preserve">). </w:t>
      </w:r>
      <w:hyperlink r:id="rId11728">
        <w:r>
          <w:rPr>
            <w:color w:val="0000EE"/>
            <w:u w:val="single"/>
          </w:rPr>
          <w:t>Jean 18.12</w:t>
        </w:r>
      </w:hyperlink>
      <w:r>
        <w:t xml:space="preserve"> nous dit que Jésus a ensuite été lié et conduit à la maison du grand prêtre, où il sera d'abord interrogé par Anne, le beau-père de Caïphe, qui était le titulaire de cette fonction à ce moment-là. Cet interrogatoire est consigné dans </w:t>
      </w:r>
      <w:hyperlink r:id="rId11729">
        <w:r>
          <w:rPr>
            <w:color w:val="0000EE"/>
            <w:u w:val="single"/>
          </w:rPr>
          <w:t>Jean 18.19–24</w:t>
        </w:r>
      </w:hyperlink>
      <w:r>
        <w:t>.</w:t>
      </w:r>
    </w:p>
    <w:p>
      <w:r/>
      <w:r>
        <w:t>Anne envoie Jésus chez Caïphe pour un examen plus approfondi (</w:t>
      </w:r>
      <w:hyperlink r:id="rId11730">
        <w:r>
          <w:rPr>
            <w:color w:val="0000EE"/>
            <w:u w:val="single"/>
          </w:rPr>
          <w:t>Jn 18.24</w:t>
        </w:r>
      </w:hyperlink>
      <w:r>
        <w:t>). À ce stade, les soldats qui gardaient Jésus se livrent à quelques mauvais traitements. Ils le battent et lui demandent, alors que ses yeux étaient couverts, de prophétiser qui l'avait frappé (</w:t>
      </w:r>
      <w:hyperlink r:id="rId11731">
        <w:r>
          <w:rPr>
            <w:color w:val="0000EE"/>
            <w:u w:val="single"/>
          </w:rPr>
          <w:t>Lc 22.63–65</w:t>
        </w:r>
      </w:hyperlink>
      <w:r>
        <w:t>). À l'aube, le Conseil juif (appelé le Sanhédrin) se réunira pour tenter de prouver que Jésus était coupable. Cependant, ils ne pourront obtenir de preuves suffisamment solides contre lui.</w:t>
      </w:r>
    </w:p>
    <w:p>
      <w:r/>
      <w:r>
        <w:t>Enfin, le grand prêtre lui posera une question qui le fera paraître coupable à leurs yeux. Ces méthodes allaient à l'encontre de ce qui était normalement décrit dans la loi juive (</w:t>
      </w:r>
      <w:hyperlink r:id="rId11732">
        <w:r>
          <w:rPr>
            <w:color w:val="0000EE"/>
            <w:u w:val="single"/>
          </w:rPr>
          <w:t>Mc 14.55–64</w:t>
        </w:r>
      </w:hyperlink>
      <w:r>
        <w:t>). En posant une question directe concernant le rôle de Jésus en tant que Messie, ils l'ont contraint à commettre ce qu'ils considéraient être un blasphème. Le blasphème est généralement compris comme le fait de parler faussement de Dieu. Ils avaient fermé leur esprit à la possibilité que Jésus puisse être le Messie.</w:t>
      </w:r>
    </w:p>
    <w:p>
      <w:pPr>
        <w:pStyle w:val="Heading4"/>
      </w:pPr>
      <w:r>
        <w:t>Souffrances physiques et mort de Jésus</w:t>
      </w:r>
    </w:p>
    <w:p>
      <w:r/>
      <w:hyperlink r:id="rId11733">
        <w:r>
          <w:rPr>
            <w:color w:val="0000EE"/>
            <w:u w:val="single"/>
          </w:rPr>
          <w:t>Matthieu 26.67–68</w:t>
        </w:r>
      </w:hyperlink>
      <w:r>
        <w:t xml:space="preserve"> et </w:t>
      </w:r>
      <w:hyperlink r:id="rId11734">
        <w:r>
          <w:rPr>
            <w:color w:val="0000EE"/>
            <w:u w:val="single"/>
          </w:rPr>
          <w:t>Marc 14.65</w:t>
        </w:r>
      </w:hyperlink>
      <w:r>
        <w:t xml:space="preserve"> suggèrent que c'est à ce moment-là que Jésus a été maltraité par ses gardes et possiblement par certains membres du conseil. Il a ensuite été arrêté et conduit à la résidence de Pilate à Jérusalem. Pilate vivait dans le Prétoire (le quartier général de la garnison). Pilate semble avoir mené un examen préliminaire de Jésus. Il découvre que sa ville natale était en Galilée. Il envoie ensuite Jésus à Hérode, comme étant sous l'autorité d'Hérode. Jésus refuse de répondre à l'une des questions d'Hérode, alors Hérode renvoie Jésus au gouverneur après l'avoir moqué (</w:t>
      </w:r>
      <w:hyperlink r:id="rId11735">
        <w:r>
          <w:rPr>
            <w:color w:val="0000EE"/>
            <w:u w:val="single"/>
          </w:rPr>
          <w:t>Lc 23.1–12</w:t>
        </w:r>
      </w:hyperlink>
      <w:r>
        <w:t>).</w:t>
      </w:r>
    </w:p>
    <w:p>
      <w:r/>
      <w:r>
        <w:t xml:space="preserve">Pilate semble alors vouloir susciter la sympathie de la foule pour Jésus et le fait donc fouetter, après quoi il sera vêtu d'une robe pourpre (peut-être celle qui lui a été donnée par Hérode, voir </w:t>
      </w:r>
      <w:hyperlink r:id="rId11736">
        <w:r>
          <w:rPr>
            <w:color w:val="0000EE"/>
            <w:u w:val="single"/>
          </w:rPr>
          <w:t>Lc 23.11</w:t>
        </w:r>
      </w:hyperlink>
      <w:r>
        <w:t>) et une couronne d'épines. Le fouet pourrait avoir été le prélude habituel à la crucifixion. Cela pourrait avoir été une tentative de suggérer qu'il avait suffisamment puni Jésus (</w:t>
      </w:r>
      <w:hyperlink r:id="rId11737">
        <w:r>
          <w:rPr>
            <w:color w:val="0000EE"/>
            <w:u w:val="single"/>
          </w:rPr>
          <w:t>23.16</w:t>
        </w:r>
      </w:hyperlink>
      <w:r>
        <w:t>). C'est avec un flagellum que Jésus a été fouetté, ses mains attachées à un pilier (</w:t>
      </w:r>
      <w:hyperlink r:id="rId11738">
        <w:r>
          <w:rPr>
            <w:color w:val="0000EE"/>
            <w:u w:val="single"/>
          </w:rPr>
          <w:t>Mc 15.15</w:t>
        </w:r>
      </w:hyperlink>
      <w:r>
        <w:t>). Un flagellum était un fouet en cuir dont les lanières étaient lestées de morceaux d'os et de plomb déchiquetés.</w:t>
      </w:r>
    </w:p>
    <w:p>
      <w:r/>
      <w:r>
        <w:t>Même après cela, Jésus fera face à d'autres attaques de la part des soldats (</w:t>
      </w:r>
      <w:hyperlink r:id="rId11739">
        <w:r>
          <w:rPr>
            <w:color w:val="0000EE"/>
            <w:u w:val="single"/>
          </w:rPr>
          <w:t>Mt 27.27–31</w:t>
        </w:r>
      </w:hyperlink>
      <w:r>
        <w:t xml:space="preserve">; </w:t>
      </w:r>
      <w:hyperlink r:id="rId11740">
        <w:r>
          <w:rPr>
            <w:color w:val="0000EE"/>
            <w:u w:val="single"/>
          </w:rPr>
          <w:t>Mc 15.16–20</w:t>
        </w:r>
      </w:hyperlink>
      <w:r>
        <w:t xml:space="preserve">; </w:t>
      </w:r>
      <w:hyperlink r:id="rId11741">
        <w:r>
          <w:rPr>
            <w:color w:val="0000EE"/>
            <w:u w:val="single"/>
          </w:rPr>
          <w:t>Jn 19.3</w:t>
        </w:r>
      </w:hyperlink>
      <w:r>
        <w:t>) et devra ensuite rester là pendant que Pilate essaie bien faiblement de négocier avec la foule, qui avait été excitée par ses opposants pour réclamer la mort de Jésus (</w:t>
      </w:r>
      <w:hyperlink r:id="rId11742">
        <w:r>
          <w:rPr>
            <w:color w:val="0000EE"/>
            <w:u w:val="single"/>
          </w:rPr>
          <w:t>Jn 19.1–16</w:t>
        </w:r>
      </w:hyperlink>
      <w:r>
        <w:t xml:space="preserve">; voir </w:t>
      </w:r>
      <w:hyperlink r:id="rId11743">
        <w:r>
          <w:rPr>
            <w:color w:val="0000EE"/>
            <w:u w:val="single"/>
          </w:rPr>
          <w:t>Mt 27.11–26</w:t>
        </w:r>
      </w:hyperlink>
      <w:r>
        <w:t xml:space="preserve">; </w:t>
      </w:r>
      <w:hyperlink r:id="rId11744">
        <w:r>
          <w:rPr>
            <w:color w:val="0000EE"/>
            <w:u w:val="single"/>
          </w:rPr>
          <w:t>Mc 15.1–15</w:t>
        </w:r>
      </w:hyperlink>
      <w:r>
        <w:t xml:space="preserve">; </w:t>
      </w:r>
      <w:hyperlink r:id="rId1668">
        <w:r>
          <w:rPr>
            <w:color w:val="0000EE"/>
            <w:u w:val="single"/>
          </w:rPr>
          <w:t>Lc 23.18–25</w:t>
        </w:r>
      </w:hyperlink>
      <w:r>
        <w:t>). Le plan de Pilate ne fonctionnera pas, et il livre Jésus entre les mains de l'escouade d'exécution.</w:t>
      </w:r>
    </w:p>
    <w:p>
      <w:r/>
      <w:r>
        <w:t xml:space="preserve">Il n'est pas surprenant qu'après tous ces mauvais traitements, Jésus ait semblé incapable de porter la croix jusqu'au Calvaire. Il devait soit porter seulement la poutre transversale, soit la croix entière incluant les deux poutres de bois. Simon de Cyrène sera contraint de la porter pour lui. Ceci est expliqué dans </w:t>
      </w:r>
      <w:hyperlink r:id="rId524">
        <w:r>
          <w:rPr>
            <w:color w:val="0000EE"/>
            <w:u w:val="single"/>
          </w:rPr>
          <w:t>Marc 15.21</w:t>
        </w:r>
      </w:hyperlink>
      <w:r>
        <w:t xml:space="preserve"> et les autres récits des Évangiles.</w:t>
      </w:r>
    </w:p>
    <w:p>
      <w:r/>
      <w:r>
        <w:t>Une fois arrivé au Calvaire, les soldats le cloueront rapidement à la croix. Traditionnellement, cela se faisait en enfonçant un clou dans chaque main et un clou plus long à travers les deux pieds ensemble. La croix était ensuite dressée dans une douille dans le sol. Dans certains cas, la poutre transversale transportée était connectée au poteau déjà dressé dans le sol. Jésus sera laissé à pendre là jusqu'à ce qu'il meure de perte de sang après le fouet, ou d'un cœur brisé causé par la tension sur les muscles du diaphragme. Parfois, les flagellations étaient mortelles à elles seules.</w:t>
      </w:r>
    </w:p>
    <w:p>
      <w:pPr>
        <w:pStyle w:val="Heading4"/>
      </w:pPr>
      <w:r>
        <w:t>La souffrance mentale et spirituelle de Jésus</w:t>
      </w:r>
    </w:p>
    <w:p>
      <w:r/>
      <w:r>
        <w:t>En dehors de l'aspect physique de la Passion, nous devons garder à l'esprit que c'est également une agonie mentale que Jésus a éprouvée.</w:t>
      </w:r>
    </w:p>
    <w:p>
      <w:pPr>
        <w:pStyle w:val="ListNumber"/>
        <w:spacing w:line="240" w:lineRule="auto"/>
        <w:ind w:left="720"/>
      </w:pPr>
      <w:r/>
      <w:r>
        <w:t>Ses amis le trahiront.</w:t>
      </w:r>
    </w:p>
    <w:p>
      <w:pPr>
        <w:pStyle w:val="ListNumber"/>
        <w:spacing w:line="240" w:lineRule="auto"/>
        <w:ind w:left="720"/>
      </w:pPr>
      <w:r/>
      <w:r>
        <w:t>Ses disciples l’abandonneront.</w:t>
      </w:r>
    </w:p>
    <w:p>
      <w:pPr>
        <w:pStyle w:val="ListNumber"/>
        <w:spacing w:line="240" w:lineRule="auto"/>
        <w:ind w:left="720"/>
      </w:pPr>
      <w:r/>
      <w:r>
        <w:t>Il connaîtra la souffrance supplémentaire de savoir que tout ce qu'il avait traversé était immérité. Il était complètement innocent de toutes les accusations portées contre lui.</w:t>
      </w:r>
    </w:p>
    <w:p>
      <w:r/>
      <w:r>
        <w:t>Le peuple juif était fier de la qualité de sa religion. Les Romains étaient fiers des normes de leur droit. D'une manière qui semble contraire à ce que l'on pourrait attendre, c'est la mauvaise compréhension de la religion juive et le mauvais usage du droit romain qui ont permis aux ennemis de Jésus de le faire tuer.</w:t>
      </w:r>
    </w:p>
    <w:p>
      <w:r/>
      <w:r>
        <w:t xml:space="preserve">Plus que tout, Jésus a souffert spirituellement en sachant que Dieu allait faire « </w:t>
      </w:r>
      <w:r>
        <w:t>devenir péché pour nous</w:t>
      </w:r>
      <w:r>
        <w:t xml:space="preserve"> » celui « </w:t>
      </w:r>
      <w:r>
        <w:t>qui n’a point connu le péché</w:t>
      </w:r>
      <w:r>
        <w:t xml:space="preserve"> » (</w:t>
      </w:r>
      <w:hyperlink r:id="rId6717">
        <w:r>
          <w:rPr>
            <w:color w:val="0000EE"/>
            <w:u w:val="single"/>
          </w:rPr>
          <w:t>2Co 5.21</w:t>
        </w:r>
      </w:hyperlink>
      <w:r>
        <w:t xml:space="preserve">). Cela signifiait qu'il serait séparé de Dieu. Alors que bien des personnes qui sont mortes pour leur foi ont ressenti fortement la présence de Dieu, Jésus a plutôt crié : « </w:t>
      </w:r>
      <w:r>
        <w:t>Mon Dieu, mon Dieu, pourquoi m’as-tu abandonné</w:t>
      </w:r>
      <w:r>
        <w:t xml:space="preserve"> ? » (</w:t>
      </w:r>
      <w:hyperlink r:id="rId4649">
        <w:r>
          <w:rPr>
            <w:color w:val="0000EE"/>
            <w:u w:val="single"/>
          </w:rPr>
          <w:t>Mc 15.34</w:t>
        </w:r>
      </w:hyperlink>
      <w:r>
        <w:t xml:space="preserve"> et passages parallèles).</w:t>
      </w:r>
    </w:p>
    <w:p>
      <w:pPr>
        <w:pStyle w:val="Heading3"/>
      </w:pPr>
      <w:r>
        <w:t>Pourquoi la Passion de Jésus est-elle importante pour les chrétiens ?</w:t>
      </w:r>
    </w:p>
    <w:p>
      <w:r/>
      <w:r>
        <w:t>Le Nouveau Testament nous révèle ce que les premiers chrétiens croyaient être la « Bonne Nouvelle ». Cette nouvelle a transformé le monde antique. La Bonne Nouvelle était que « Christ est mort pour nos péchés, selon les Écritures ; qu’il a été enseveli, et qu’il est ressuscité le troisième jour, selon les Écritures » (</w:t>
      </w:r>
      <w:hyperlink r:id="rId10355">
        <w:r>
          <w:rPr>
            <w:color w:val="0000EE"/>
            <w:u w:val="single"/>
          </w:rPr>
          <w:t>1Co 15.3–4</w:t>
        </w:r>
      </w:hyperlink>
      <w:r>
        <w:t>). Voilà le message fondamental enseigné par plusieurs auteurs du Nouveau Testament, comme par exemple :</w:t>
      </w:r>
    </w:p>
    <w:p>
      <w:pPr>
        <w:pStyle w:val="ListBullet"/>
        <w:spacing w:line="240" w:lineRule="auto"/>
        <w:ind w:left="720"/>
      </w:pPr>
      <w:r/>
      <w:r>
        <w:t xml:space="preserve">Pierre (voir </w:t>
      </w:r>
      <w:hyperlink r:id="rId3642">
        <w:r>
          <w:rPr>
            <w:color w:val="0000EE"/>
            <w:u w:val="single"/>
          </w:rPr>
          <w:t>Ac 2.22–36</w:t>
        </w:r>
      </w:hyperlink>
      <w:r>
        <w:t xml:space="preserve"> ; </w:t>
      </w:r>
      <w:hyperlink r:id="rId11745">
        <w:r>
          <w:rPr>
            <w:color w:val="0000EE"/>
            <w:u w:val="single"/>
          </w:rPr>
          <w:t>3.12–21</w:t>
        </w:r>
      </w:hyperlink>
      <w:r>
        <w:t xml:space="preserve"> ; </w:t>
      </w:r>
      <w:hyperlink r:id="rId8435">
        <w:r>
          <w:rPr>
            <w:color w:val="0000EE"/>
            <w:u w:val="single"/>
          </w:rPr>
          <w:t>10.36–43</w:t>
        </w:r>
      </w:hyperlink>
      <w:r>
        <w:t xml:space="preserve"> ; </w:t>
      </w:r>
      <w:hyperlink r:id="rId6718">
        <w:r>
          <w:rPr>
            <w:color w:val="0000EE"/>
            <w:u w:val="single"/>
          </w:rPr>
          <w:t>1P 2.24</w:t>
        </w:r>
      </w:hyperlink>
      <w:r>
        <w:t xml:space="preserve"> ; </w:t>
      </w:r>
      <w:hyperlink r:id="rId2306">
        <w:r>
          <w:rPr>
            <w:color w:val="0000EE"/>
            <w:u w:val="single"/>
          </w:rPr>
          <w:t>3.18</w:t>
        </w:r>
      </w:hyperlink>
      <w:r>
        <w:t>)</w:t>
      </w:r>
    </w:p>
    <w:p>
      <w:pPr>
        <w:pStyle w:val="ListBullet"/>
        <w:spacing w:line="240" w:lineRule="auto"/>
        <w:ind w:left="720"/>
      </w:pPr>
      <w:r/>
      <w:r>
        <w:t xml:space="preserve">Paul (voir </w:t>
      </w:r>
      <w:hyperlink r:id="rId3644">
        <w:r>
          <w:rPr>
            <w:color w:val="0000EE"/>
            <w:u w:val="single"/>
          </w:rPr>
          <w:t>Ac 13.26–39</w:t>
        </w:r>
      </w:hyperlink>
      <w:r>
        <w:t>)</w:t>
      </w:r>
    </w:p>
    <w:p>
      <w:pPr>
        <w:pStyle w:val="ListBullet"/>
        <w:spacing w:line="240" w:lineRule="auto"/>
        <w:ind w:left="720"/>
      </w:pPr>
      <w:r/>
      <w:r>
        <w:t xml:space="preserve">Jean (voir </w:t>
      </w:r>
      <w:hyperlink r:id="rId3004">
        <w:r>
          <w:rPr>
            <w:color w:val="0000EE"/>
            <w:u w:val="single"/>
          </w:rPr>
          <w:t>1Jn 1.7</w:t>
        </w:r>
      </w:hyperlink>
      <w:r>
        <w:t xml:space="preserve"> ; </w:t>
      </w:r>
      <w:hyperlink r:id="rId9898">
        <w:r>
          <w:rPr>
            <w:color w:val="0000EE"/>
            <w:u w:val="single"/>
          </w:rPr>
          <w:t>2.2</w:t>
        </w:r>
      </w:hyperlink>
      <w:r>
        <w:t xml:space="preserve"> ; </w:t>
      </w:r>
      <w:hyperlink r:id="rId9899">
        <w:r>
          <w:rPr>
            <w:color w:val="0000EE"/>
            <w:u w:val="single"/>
          </w:rPr>
          <w:t>4.10</w:t>
        </w:r>
      </w:hyperlink>
      <w:r>
        <w:t xml:space="preserve"> ; </w:t>
      </w:r>
      <w:hyperlink r:id="rId11746">
        <w:r>
          <w:rPr>
            <w:color w:val="0000EE"/>
            <w:u w:val="single"/>
          </w:rPr>
          <w:t>Ap 1.5</w:t>
        </w:r>
      </w:hyperlink>
      <w:r>
        <w:t xml:space="preserve"> ; </w:t>
      </w:r>
      <w:hyperlink r:id="rId11747">
        <w:r>
          <w:rPr>
            <w:color w:val="0000EE"/>
            <w:u w:val="single"/>
          </w:rPr>
          <w:t>5.9</w:t>
        </w:r>
      </w:hyperlink>
      <w:r>
        <w:t>)</w:t>
      </w:r>
    </w:p>
    <w:p>
      <w:pPr>
        <w:pStyle w:val="ListBullet"/>
        <w:spacing w:line="240" w:lineRule="auto"/>
        <w:ind w:left="720"/>
      </w:pPr>
      <w:r/>
      <w:r>
        <w:t>L'auteur de l'Épître aux Hébreux (</w:t>
      </w:r>
      <w:hyperlink r:id="rId11748">
        <w:r>
          <w:rPr>
            <w:color w:val="0000EE"/>
            <w:u w:val="single"/>
          </w:rPr>
          <w:t>Hé 2.9, 17</w:t>
        </w:r>
      </w:hyperlink>
      <w:r>
        <w:t xml:space="preserve">; </w:t>
      </w:r>
      <w:hyperlink r:id="rId5008">
        <w:r>
          <w:rPr>
            <w:color w:val="0000EE"/>
            <w:u w:val="single"/>
          </w:rPr>
          <w:t>9.28</w:t>
        </w:r>
      </w:hyperlink>
      <w:r>
        <w:t xml:space="preserve">; </w:t>
      </w:r>
      <w:hyperlink r:id="rId1349">
        <w:r>
          <w:rPr>
            <w:color w:val="0000EE"/>
            <w:u w:val="single"/>
          </w:rPr>
          <w:t>10.12</w:t>
        </w:r>
      </w:hyperlink>
      <w:r>
        <w:t>)</w:t>
      </w:r>
    </w:p>
    <w:p>
      <w:r/>
      <w:r>
        <w:t>Le fait que Jésus était sans péché le qualifie pour prendre sur lui les péchés du monde entier. Il a accompli ce qu'aucun être humain n'a jamais été capable de faire, ni ne sera jamais capable de faire. Il a pris sur lui les conséquences et la punition du péché humain.</w:t>
      </w:r>
      <w:r/>
      <w:r/>
    </w:p>
    <w:p>
      <w:r/>
    </w:p>
    <w:p>
      <w:pPr>
        <w:pStyle w:val="Heading2"/>
      </w:pPr>
      <w:r>
        <w:t>Patara</w:t>
      </w:r>
      <w:r/>
    </w:p>
    <w:p>
      <w:r/>
      <w:r>
        <w:t>Patara était un port maritime de l'ancienne région de Lycie, maintenant située dans la Turquie moderne. La ville antique était l'une des plus grandes et des plus prospères de la région, un véritable centre de commerce et d'affaires. Un temple dédié à Apollon se dressait à Patara. Des vestiges d'un théâtre et de bains y sont encore présents. Les vents réguliers faisaient de Patara un endroit idéal pour que les navires y débutent leurs voyages vers la Méditerranée orientale. L'apôtre Paul changera de navire à Patara lors de son dernier voyage vers Jérusalem (</w:t>
      </w:r>
      <w:hyperlink r:id="rId8277">
        <w:r>
          <w:rPr>
            <w:color w:val="0000EE"/>
            <w:u w:val="single"/>
          </w:rPr>
          <w:t>Ac 21.1–2</w:t>
        </w:r>
      </w:hyperlink>
      <w:r>
        <w:t>).</w:t>
      </w:r>
      <w:r/>
      <w:r/>
    </w:p>
    <w:p>
      <w:r/>
    </w:p>
    <w:p>
      <w:pPr>
        <w:pStyle w:val="Heading2"/>
      </w:pPr>
      <w:r>
        <w:t>Patriarches, Ère des</w:t>
      </w:r>
      <w:r/>
    </w:p>
    <w:p>
      <w:r/>
      <w:r>
        <w:t>Période pendant laquelle ont vécu les patriarches bibliques d'Israël. La Bible mentionne :</w:t>
      </w:r>
    </w:p>
    <w:p>
      <w:pPr>
        <w:pStyle w:val="ListBullet"/>
        <w:spacing w:line="240" w:lineRule="auto"/>
        <w:ind w:left="720"/>
      </w:pPr>
      <w:r/>
      <w:r>
        <w:t>Les patriarches qui ont vécu de longues vies avant le déluge (</w:t>
      </w:r>
      <w:hyperlink r:id="rId11749">
        <w:r>
          <w:rPr>
            <w:color w:val="0000EE"/>
            <w:u w:val="single"/>
          </w:rPr>
          <w:t>Gn 1–5</w:t>
        </w:r>
      </w:hyperlink>
      <w:r>
        <w:t>)</w:t>
      </w:r>
    </w:p>
    <w:p>
      <w:pPr>
        <w:pStyle w:val="ListBullet"/>
        <w:spacing w:line="240" w:lineRule="auto"/>
        <w:ind w:left="720"/>
      </w:pPr>
      <w:r/>
      <w:r>
        <w:t>Noé (</w:t>
      </w:r>
      <w:hyperlink r:id="rId2533">
        <w:r>
          <w:rPr>
            <w:color w:val="0000EE"/>
            <w:u w:val="single"/>
          </w:rPr>
          <w:t>Gn 6–9</w:t>
        </w:r>
      </w:hyperlink>
      <w:r>
        <w:t>)</w:t>
      </w:r>
    </w:p>
    <w:p>
      <w:pPr>
        <w:pStyle w:val="ListBullet"/>
        <w:spacing w:line="240" w:lineRule="auto"/>
        <w:ind w:left="720"/>
      </w:pPr>
      <w:r/>
      <w:r>
        <w:t>Une lignée de patriarches après le déluge (</w:t>
      </w:r>
      <w:hyperlink r:id="rId11750">
        <w:r>
          <w:rPr>
            <w:color w:val="0000EE"/>
            <w:u w:val="single"/>
          </w:rPr>
          <w:t>Gn 10–11</w:t>
        </w:r>
      </w:hyperlink>
      <w:r>
        <w:t>)</w:t>
      </w:r>
    </w:p>
    <w:p>
      <w:r/>
      <w:r>
        <w:t>Cependant, le mot se réfère généralement à Abraham, Isaac et Jacob (</w:t>
      </w:r>
      <w:hyperlink r:id="rId11751">
        <w:r>
          <w:rPr>
            <w:color w:val="0000EE"/>
            <w:u w:val="single"/>
          </w:rPr>
          <w:t>Gn 12–36</w:t>
        </w:r>
      </w:hyperlink>
      <w:r>
        <w:t>) et inclut également Joseph (</w:t>
      </w:r>
      <w:hyperlink r:id="rId6956">
        <w:r>
          <w:rPr>
            <w:color w:val="0000EE"/>
            <w:u w:val="single"/>
          </w:rPr>
          <w:t>Gn 37–50</w:t>
        </w:r>
      </w:hyperlink>
      <w:r>
        <w:t>).</w:t>
      </w:r>
    </w:p>
    <w:p>
      <w:pPr>
        <w:pStyle w:val="Heading3"/>
      </w:pPr>
      <w:r>
        <w:t>À quelle époque ont vécu les Patriarches ?</w:t>
      </w:r>
    </w:p>
    <w:p>
      <w:r/>
      <w:r>
        <w:t xml:space="preserve">Il est difficile de déterminer la date exacte des patriarches. Les rois mentionnés dans </w:t>
      </w:r>
      <w:hyperlink r:id="rId2346">
        <w:r>
          <w:rPr>
            <w:color w:val="0000EE"/>
            <w:u w:val="single"/>
          </w:rPr>
          <w:t>Genèse 14.1</w:t>
        </w:r>
      </w:hyperlink>
      <w:r>
        <w:t>–</w:t>
      </w:r>
      <w:hyperlink r:id="rId2346">
        <w:r>
          <w:rPr>
            <w:color w:val="0000EE"/>
            <w:u w:val="single"/>
          </w:rPr>
          <w:t>2</w:t>
        </w:r>
      </w:hyperlink>
      <w:r>
        <w:t xml:space="preserve"> constituent le seul point de référence pour identifier une date. Ce chapitre fait référence à des personnes et des lieux historiques, mais nous ne pouvons pas identifier les rois avec certitude. Des archéologues italiens à Tell Mardikh (anciennement Ebla) ont retrouvé des tablettes d'argile avec les noms des « Villes de la Plaine » de </w:t>
      </w:r>
      <w:hyperlink r:id="rId1733">
        <w:r>
          <w:rPr>
            <w:color w:val="0000EE"/>
            <w:u w:val="single"/>
          </w:rPr>
          <w:t>Genèse 14.2</w:t>
        </w:r>
      </w:hyperlink>
      <w:r>
        <w:t xml:space="preserve"> et le nom de l'un de leurs rois. Cependant, ces tablettes datent d'avant 2000 av. J.‑C. et avant l'époque d'Abraham. Elles ne font que montrer que les villes existaient avant Abraham.</w:t>
      </w:r>
    </w:p>
    <w:p>
      <w:r/>
      <w:r>
        <w:t>Les patriarches ont vécu au milieu de l'âge du bronze, probablement au début du deuxième millénaire avant J.‑C. C'était l'époque où les Amoréens se sont installés en Palestine depuis le nord-ouest. Les Amoréens se sont installés en Palestine en deux « vagues » :</w:t>
      </w:r>
    </w:p>
    <w:p>
      <w:pPr>
        <w:pStyle w:val="ListBullet"/>
        <w:spacing w:line="240" w:lineRule="auto"/>
        <w:ind w:left="720"/>
      </w:pPr>
      <w:r/>
      <w:r>
        <w:t xml:space="preserve">La première impliquait un groupe vivant dans des habitations temporaires (comme les amis d'Abraham, Aner, Eschcol et Mamré) (voir </w:t>
      </w:r>
      <w:hyperlink r:id="rId894">
        <w:r>
          <w:rPr>
            <w:color w:val="0000EE"/>
            <w:u w:val="single"/>
          </w:rPr>
          <w:t>Gn 14.13)</w:t>
        </w:r>
      </w:hyperlink>
    </w:p>
    <w:p>
      <w:pPr>
        <w:pStyle w:val="ListBullet"/>
        <w:spacing w:line="240" w:lineRule="auto"/>
        <w:ind w:left="720"/>
      </w:pPr>
      <w:r/>
      <w:r>
        <w:t>La deuxième vague venait de Syrie et impliquait des personnes qui se déplaçaient vers les villes (« les Amoréens ») (</w:t>
      </w:r>
      <w:hyperlink r:id="rId5231">
        <w:r>
          <w:rPr>
            <w:color w:val="0000EE"/>
            <w:u w:val="single"/>
          </w:rPr>
          <w:t>Ex 3.8</w:t>
        </w:r>
      </w:hyperlink>
      <w:r>
        <w:t>)</w:t>
      </w:r>
    </w:p>
    <w:p>
      <w:r/>
      <w:r>
        <w:t>La société des patriarches comportait deux types :</w:t>
      </w:r>
    </w:p>
    <w:p>
      <w:pPr>
        <w:pStyle w:val="ListBullet"/>
        <w:spacing w:line="240" w:lineRule="auto"/>
        <w:ind w:left="720"/>
      </w:pPr>
      <w:r/>
      <w:r>
        <w:t>Les communautés de la ville</w:t>
      </w:r>
    </w:p>
    <w:p>
      <w:pPr>
        <w:pStyle w:val="ListBullet"/>
        <w:spacing w:line="240" w:lineRule="auto"/>
        <w:ind w:left="720"/>
      </w:pPr>
      <w:r/>
      <w:r>
        <w:t>Les communautés rurales (ou tribus semi-nomades) qui se déplacent autour des villes</w:t>
      </w:r>
    </w:p>
    <w:p>
      <w:r/>
      <w:r>
        <w:t>Joseph vivait en Égypte, mais les Écritures ne nous fournissent pas le nom de ce Pharaon.</w:t>
      </w:r>
    </w:p>
    <w:p>
      <w:pPr>
        <w:pStyle w:val="Heading3"/>
      </w:pPr>
      <w:r>
        <w:t>Où vivaient les patriarches ?</w:t>
      </w:r>
    </w:p>
    <w:p>
      <w:r/>
      <w:r>
        <w:t xml:space="preserve">L'histoire patriarcale couvre une vaste zone géographique, s'étendant sur des centaines de kilomètres. Abraham vivait à Ur, une ancienne ville sumérienne près du golfe Persique. Il se déplacera ensuite à Haran au nord-ouest, entre les rivières Hiddékel (le Tigre) et l'Euphrate au nord. De là, il ira vers le sud-ouest en direction de la Palestine, mais retournera à Haran deux fois et se rendra deux fois en Égypte. Même en Palestine, les patriarches se déplaçaient toujours d'un endroit à l'autre. Ils voyageaient principalement du nord au sud le long des montagnes, mais se rendaient parfois à la côte et même au-delà du Jourdain (à l'est du Jourdain). Certains rejoignent les cultures urbaines (comme Lot dans </w:t>
      </w:r>
      <w:hyperlink r:id="rId11752">
        <w:r>
          <w:rPr>
            <w:color w:val="0000EE"/>
            <w:u w:val="single"/>
          </w:rPr>
          <w:t>Genèse 13.12</w:t>
        </w:r>
      </w:hyperlink>
      <w:r>
        <w:t xml:space="preserve">), tandis que d'autres se déplacent vers le désert (comme Ismaël dans </w:t>
      </w:r>
      <w:hyperlink r:id="rId11753">
        <w:r>
          <w:rPr>
            <w:color w:val="0000EE"/>
            <w:u w:val="single"/>
          </w:rPr>
          <w:t>Genèse 25.18</w:t>
        </w:r>
      </w:hyperlink>
      <w:r>
        <w:t xml:space="preserve"> ou Ésaü en </w:t>
      </w:r>
      <w:hyperlink r:id="rId1718">
        <w:r>
          <w:rPr>
            <w:color w:val="0000EE"/>
            <w:u w:val="single"/>
          </w:rPr>
          <w:t>36.6</w:t>
        </w:r>
      </w:hyperlink>
      <w:r>
        <w:t>–</w:t>
      </w:r>
      <w:hyperlink r:id="rId1718">
        <w:r>
          <w:rPr>
            <w:color w:val="0000EE"/>
            <w:u w:val="single"/>
          </w:rPr>
          <w:t>8</w:t>
        </w:r>
      </w:hyperlink>
      <w:r>
        <w:t>).</w:t>
      </w:r>
    </w:p>
    <w:p>
      <w:pPr>
        <w:pStyle w:val="Heading3"/>
      </w:pPr>
      <w:r>
        <w:t>Pourquoi les patriarches sont-ils importants ?</w:t>
      </w:r>
    </w:p>
    <w:p>
      <w:r/>
      <w:r>
        <w:t>Les patriarches sont très importants pour le plan de rédemption de Dieu. Le processus qui mène à la venue de Christ commence avec Abraham (</w:t>
      </w:r>
      <w:hyperlink r:id="rId11754">
        <w:r>
          <w:rPr>
            <w:color w:val="0000EE"/>
            <w:u w:val="single"/>
          </w:rPr>
          <w:t>Jn 8.56</w:t>
        </w:r>
      </w:hyperlink>
      <w:r>
        <w:t xml:space="preserve">). Bien entendu, le plan de salut de Dieu commence dès les premiers chapitres de la Genèse. Cependant, le plan de Dieu devient clair avec l'appel d'Abraham en </w:t>
      </w:r>
      <w:hyperlink r:id="rId86">
        <w:r>
          <w:rPr>
            <w:color w:val="0000EE"/>
            <w:u w:val="single"/>
          </w:rPr>
          <w:t>Genèse 12.1</w:t>
        </w:r>
      </w:hyperlink>
      <w:r>
        <w:t>–</w:t>
      </w:r>
      <w:hyperlink r:id="rId86">
        <w:r>
          <w:rPr>
            <w:color w:val="0000EE"/>
            <w:u w:val="single"/>
          </w:rPr>
          <w:t>3</w:t>
        </w:r>
      </w:hyperlink>
      <w:r>
        <w:t xml:space="preserve"> et continue à travers la vie de tous les patriarches. La Bible parle souvent de Dieu comme le Dieu d'Abraham, d'Isaac et de Jacob pour une raison. En effet, la révélation faite aux premiers patriarches est le fondement de tout ce qui suit. Dans le Nouveau Testament, les chrétiens appellent aussi Abraham leur « Père » (</w:t>
      </w:r>
      <w:hyperlink r:id="rId8650">
        <w:r>
          <w:rPr>
            <w:color w:val="0000EE"/>
            <w:u w:val="single"/>
          </w:rPr>
          <w:t>Rm 4.16</w:t>
        </w:r>
      </w:hyperlink>
      <w:r>
        <w:t>).</w:t>
      </w:r>
    </w:p>
    <w:p>
      <w:r/>
      <w:r>
        <w:rPr>
          <w:i/>
        </w:rPr>
        <w:t>Voir aussi</w:t>
      </w:r>
      <w:r>
        <w:t xml:space="preserve"> </w:t>
      </w:r>
      <w:r>
        <w:t>Abraham</w:t>
      </w:r>
      <w:r>
        <w:t xml:space="preserve"> ; </w:t>
      </w:r>
      <w:r>
        <w:t>Chronologie de la Bible (Ancien Testament)</w:t>
      </w:r>
      <w:r>
        <w:t xml:space="preserve"> ; </w:t>
      </w:r>
      <w:r>
        <w:t>Isaac</w:t>
      </w:r>
      <w:r>
        <w:t xml:space="preserve"> ; </w:t>
      </w:r>
      <w:r>
        <w:t>Israël, Histoire d'</w:t>
      </w:r>
      <w:r>
        <w:t xml:space="preserve"> ; </w:t>
      </w:r>
      <w:r>
        <w:t>Jacob n° 1</w:t>
      </w:r>
      <w:r>
        <w:t xml:space="preserve"> ; </w:t>
      </w:r>
      <w:r>
        <w:t>Joseph n° 1</w:t>
      </w:r>
      <w:r>
        <w:t>.</w:t>
      </w:r>
      <w:r/>
      <w:r/>
    </w:p>
    <w:p>
      <w:r/>
    </w:p>
    <w:p>
      <w:pPr>
        <w:pStyle w:val="Heading2"/>
      </w:pPr>
      <w:r>
        <w:t>Patrusim</w:t>
      </w:r>
      <w:r/>
    </w:p>
    <w:p>
      <w:r/>
      <w:r>
        <w:t>Habitants de Pathros, une région du sud de l'Égypte (</w:t>
      </w:r>
      <w:hyperlink r:id="rId2179">
        <w:r>
          <w:rPr>
            <w:color w:val="0000EE"/>
            <w:u w:val="single"/>
          </w:rPr>
          <w:t>Gn 10.14</w:t>
        </w:r>
      </w:hyperlink>
      <w:r>
        <w:t xml:space="preserve"> ; </w:t>
      </w:r>
      <w:hyperlink r:id="rId2177">
        <w:r>
          <w:rPr>
            <w:color w:val="0000EE"/>
            <w:u w:val="single"/>
          </w:rPr>
          <w:t>1Ch 1.12</w:t>
        </w:r>
      </w:hyperlink>
      <w:r>
        <w:t xml:space="preserve">). </w:t>
      </w:r>
      <w:r>
        <w:rPr>
          <w:i/>
        </w:rPr>
        <w:t>Voir</w:t>
      </w:r>
      <w:r>
        <w:t xml:space="preserve"> </w:t>
      </w:r>
      <w:r>
        <w:t>Pathros</w:t>
      </w:r>
      <w:r>
        <w:t>.</w:t>
      </w:r>
      <w:r/>
      <w:r/>
    </w:p>
    <w:p>
      <w:r/>
    </w:p>
    <w:p>
      <w:pPr>
        <w:pStyle w:val="Heading2"/>
      </w:pPr>
      <w:r>
        <w:t>pauvreté</w:t>
      </w:r>
      <w:r/>
    </w:p>
    <w:p>
      <w:r/>
      <w:r>
        <w:t>Le fait d'avoir peu ou pas assez de biens matériels.</w:t>
      </w:r>
    </w:p>
    <w:p>
      <w:pPr>
        <w:pStyle w:val="Heading3"/>
      </w:pPr>
      <w:r>
        <w:t>Le côté négatif de la pauvreté</w:t>
      </w:r>
    </w:p>
    <w:p>
      <w:r/>
      <w:r>
        <w:t>Parfois, la Bible donne une explication très simple de pourquoi les gens peuvent être riches ou pauvres. Si une personne prend son plaisir dans la loi du Seigneur, elle obtiendra richesse et prospérité. Une telle personne prospérera dans tout ce qu'elle entreprendra (</w:t>
      </w:r>
      <w:hyperlink r:id="rId1141">
        <w:r>
          <w:rPr>
            <w:color w:val="0000EE"/>
            <w:u w:val="single"/>
          </w:rPr>
          <w:t>Ps 1.3</w:t>
        </w:r>
      </w:hyperlink>
      <w:r>
        <w:t xml:space="preserve"> ; </w:t>
      </w:r>
      <w:hyperlink r:id="rId11755">
        <w:r>
          <w:rPr>
            <w:color w:val="0000EE"/>
            <w:u w:val="single"/>
          </w:rPr>
          <w:t>112.3</w:t>
        </w:r>
      </w:hyperlink>
      <w:r>
        <w:t>). En ce qui concerne Israël à l'époque de l'Ancien Testament (AT), il ne s'agissait pas d'un principe aussi simpliste qu'il pourrait sembler. En effet, il y avait un lien important entre le péché et la pauvreté. L'ensemble de la société israélite devait fonctionner selon la loi de Dieu. L'obéissance d'Israël lui obtiendrait la bénédiction, alors que sa désobéissance produirait la malédiction. Ainsi, l'existence de la pauvreté parmi les Israélites indiquait que d'une façon ou d'une autre, la loi de Dieu n'était pas observée.</w:t>
      </w:r>
    </w:p>
    <w:p>
      <w:r/>
      <w:r>
        <w:t xml:space="preserve">La pauvreté d'une personne pouvait être le résultat de son propre péché ou de celui d'autrui. Dans tous les cas, cette pauvreté était considérée dans l'AT comme un mal. La loi prévoyait de nombreuses dispositions pour y remédier (p. ex. </w:t>
      </w:r>
      <w:hyperlink r:id="rId4345">
        <w:r>
          <w:rPr>
            <w:color w:val="0000EE"/>
            <w:u w:val="single"/>
          </w:rPr>
          <w:t>Ex 22.21–27</w:t>
        </w:r>
      </w:hyperlink>
      <w:r>
        <w:t xml:space="preserve"> ; </w:t>
      </w:r>
      <w:hyperlink r:id="rId11756">
        <w:r>
          <w:rPr>
            <w:color w:val="0000EE"/>
            <w:u w:val="single"/>
          </w:rPr>
          <w:t>Lv 19.9–10</w:t>
        </w:r>
      </w:hyperlink>
      <w:r>
        <w:t xml:space="preserve"> ; </w:t>
      </w:r>
      <w:hyperlink r:id="rId11757">
        <w:r>
          <w:rPr>
            <w:color w:val="0000EE"/>
            <w:u w:val="single"/>
          </w:rPr>
          <w:t>Dt 15.1–15</w:t>
        </w:r>
      </w:hyperlink>
      <w:r>
        <w:t xml:space="preserve"> ; </w:t>
      </w:r>
      <w:hyperlink r:id="rId11758">
        <w:r>
          <w:rPr>
            <w:color w:val="0000EE"/>
            <w:u w:val="single"/>
          </w:rPr>
          <w:t>24.10–22</w:t>
        </w:r>
      </w:hyperlink>
      <w:r>
        <w:t>). Dieu se souciait des personnes dans le besoin et attendait de son peuple qu'il en fasse de même.</w:t>
      </w:r>
    </w:p>
    <w:p>
      <w:r/>
      <w:r>
        <w:t>Durant la période entre les deux Testaments, les communautés juives dispersées autour de la Méditerranée ont continué à pourvoir de l'aide aux pauvres. En temps voulu, l'Église s'est chargée d'en faire de même pour les disciples et les congrégations dans le besoin (</w:t>
      </w:r>
      <w:hyperlink r:id="rId11759">
        <w:r>
          <w:rPr>
            <w:color w:val="0000EE"/>
            <w:u w:val="single"/>
          </w:rPr>
          <w:t>Ac 11.29</w:t>
        </w:r>
      </w:hyperlink>
      <w:r>
        <w:t xml:space="preserve"> ; </w:t>
      </w:r>
      <w:hyperlink r:id="rId8282">
        <w:r>
          <w:rPr>
            <w:color w:val="0000EE"/>
            <w:u w:val="single"/>
          </w:rPr>
          <w:t>24.17</w:t>
        </w:r>
      </w:hyperlink>
      <w:r>
        <w:t xml:space="preserve"> ; </w:t>
      </w:r>
      <w:hyperlink r:id="rId2993">
        <w:r>
          <w:rPr>
            <w:color w:val="0000EE"/>
            <w:u w:val="single"/>
          </w:rPr>
          <w:t>Rm 15.26</w:t>
        </w:r>
      </w:hyperlink>
      <w:r>
        <w:t xml:space="preserve"> ; </w:t>
      </w:r>
      <w:hyperlink r:id="rId5882">
        <w:r>
          <w:rPr>
            <w:color w:val="0000EE"/>
            <w:u w:val="single"/>
          </w:rPr>
          <w:t>1Co 16.1</w:t>
        </w:r>
      </w:hyperlink>
      <w:r>
        <w:t xml:space="preserve"> ; </w:t>
      </w:r>
      <w:hyperlink r:id="rId2617">
        <w:r>
          <w:rPr>
            <w:color w:val="0000EE"/>
            <w:u w:val="single"/>
          </w:rPr>
          <w:t>Ga 2.10</w:t>
        </w:r>
      </w:hyperlink>
      <w:r>
        <w:t xml:space="preserve"> ; </w:t>
      </w:r>
      <w:hyperlink r:id="rId5790">
        <w:r>
          <w:rPr>
            <w:color w:val="0000EE"/>
            <w:u w:val="single"/>
          </w:rPr>
          <w:t>Jc 2.15–16</w:t>
        </w:r>
      </w:hyperlink>
      <w:r>
        <w:t xml:space="preserve"> ; </w:t>
      </w:r>
      <w:hyperlink r:id="rId11760">
        <w:r>
          <w:rPr>
            <w:color w:val="0000EE"/>
            <w:u w:val="single"/>
          </w:rPr>
          <w:t>1Jn 3.17</w:t>
        </w:r>
      </w:hyperlink>
      <w:r>
        <w:t>). L'enseignement du Seigneur prend pour acquis que ses disciples donneront aux pauvres (</w:t>
      </w:r>
      <w:hyperlink r:id="rId11761">
        <w:r>
          <w:rPr>
            <w:color w:val="0000EE"/>
            <w:u w:val="single"/>
          </w:rPr>
          <w:t>Mt 6.2–4</w:t>
        </w:r>
      </w:hyperlink>
      <w:r>
        <w:t xml:space="preserve"> ; </w:t>
      </w:r>
      <w:hyperlink r:id="rId2054">
        <w:r>
          <w:rPr>
            <w:color w:val="0000EE"/>
            <w:u w:val="single"/>
          </w:rPr>
          <w:t>Lc 12.33</w:t>
        </w:r>
      </w:hyperlink>
      <w:r>
        <w:t>). Le partage dans l'Église avec les nécessiteux n'était pas une forme de communisme primitif (une mise en commun de tous leurs biens). En effet, si tous avaient renoncé à avoir des possessions personnelles, personne n'aurait pu donner de l'argent ou des biens « selon les besoins de chacun » (</w:t>
      </w:r>
      <w:hyperlink r:id="rId11762">
        <w:r>
          <w:rPr>
            <w:color w:val="0000EE"/>
            <w:u w:val="single"/>
          </w:rPr>
          <w:t>Ac 2.45</w:t>
        </w:r>
      </w:hyperlink>
      <w:r>
        <w:t xml:space="preserve"> ; </w:t>
      </w:r>
      <w:hyperlink r:id="rId11763">
        <w:r>
          <w:rPr>
            <w:color w:val="0000EE"/>
            <w:u w:val="single"/>
          </w:rPr>
          <w:t>4.35</w:t>
        </w:r>
      </w:hyperlink>
      <w:r>
        <w:t>) comme cela a été le cas.</w:t>
      </w:r>
    </w:p>
    <w:p>
      <w:r/>
      <w:r>
        <w:t>Même si la pauvreté donne aux riches l'occasion d'exercer la générosité, elle-même reste un mal, tant dans l'Ancien Testament que dans le Nouveau.</w:t>
      </w:r>
    </w:p>
    <w:p>
      <w:pPr>
        <w:pStyle w:val="Heading3"/>
      </w:pPr>
      <w:r>
        <w:t xml:space="preserve">Le côté positif de la pauvreté </w:t>
      </w:r>
    </w:p>
    <w:p>
      <w:r/>
      <w:r>
        <w:t xml:space="preserve">Dans une certaine mesure, la droiture peut produire la prospérité, alors que le péché appauvrit. Cependant, la situation économique de chacun n'est pas déterminée aussi simplement que cela. Les </w:t>
      </w:r>
      <w:hyperlink r:id="rId11764">
        <w:r>
          <w:rPr>
            <w:color w:val="0000EE"/>
            <w:u w:val="single"/>
          </w:rPr>
          <w:t>Psaumes 1</w:t>
        </w:r>
      </w:hyperlink>
      <w:r>
        <w:t xml:space="preserve"> et </w:t>
      </w:r>
      <w:hyperlink r:id="rId11765">
        <w:r>
          <w:rPr>
            <w:color w:val="0000EE"/>
            <w:u w:val="single"/>
          </w:rPr>
          <w:t>112</w:t>
        </w:r>
      </w:hyperlink>
      <w:r>
        <w:t>, mentionnés plus tôt, ne mettent en avant qu'un côté de la question. Comment expliquer la prospérité des méchants (</w:t>
      </w:r>
      <w:hyperlink r:id="rId11766">
        <w:r>
          <w:rPr>
            <w:color w:val="0000EE"/>
            <w:u w:val="single"/>
          </w:rPr>
          <w:t>Ps 73.3</w:t>
        </w:r>
      </w:hyperlink>
      <w:r>
        <w:t xml:space="preserve">) et à l'opposé, le fait qu'un juste peut être pauvre ? La réponse générale de la Bible est que la richesse des méchants est un bienfait temporaire, alors que les justes qui sont pauvres en biens matériels possèdent des richesses spirituelles (voir p. ex. </w:t>
      </w:r>
      <w:hyperlink r:id="rId11767">
        <w:r>
          <w:rPr>
            <w:color w:val="0000EE"/>
            <w:u w:val="single"/>
          </w:rPr>
          <w:t>Jb 21</w:t>
        </w:r>
      </w:hyperlink>
      <w:r>
        <w:t xml:space="preserve"> ; </w:t>
      </w:r>
      <w:hyperlink r:id="rId11768">
        <w:r>
          <w:rPr>
            <w:color w:val="0000EE"/>
            <w:u w:val="single"/>
          </w:rPr>
          <w:t>Ps 37</w:t>
        </w:r>
      </w:hyperlink>
      <w:r>
        <w:t xml:space="preserve">, </w:t>
      </w:r>
      <w:hyperlink r:id="rId11769">
        <w:r>
          <w:rPr>
            <w:color w:val="0000EE"/>
            <w:u w:val="single"/>
          </w:rPr>
          <w:t>49</w:t>
        </w:r>
      </w:hyperlink>
      <w:r>
        <w:t xml:space="preserve">, </w:t>
      </w:r>
      <w:hyperlink r:id="rId11770">
        <w:r>
          <w:rPr>
            <w:color w:val="0000EE"/>
            <w:u w:val="single"/>
          </w:rPr>
          <w:t>73</w:t>
        </w:r>
      </w:hyperlink>
      <w:r>
        <w:t>).</w:t>
      </w:r>
    </w:p>
    <w:p>
      <w:r/>
      <w:r>
        <w:t>Le fait que le juste puisse être pauvre plutôt que prospère est parfois représenté à l'inverse. En effet, la Bible parle aussi souvent des pauvres comme de personnes justes. Bien entendu, cela ne signifie pas qu'être pauvre rend une personne juste (</w:t>
      </w:r>
      <w:hyperlink r:id="rId11771">
        <w:r>
          <w:rPr>
            <w:color w:val="0000EE"/>
            <w:u w:val="single"/>
          </w:rPr>
          <w:t>Pr 30.8–9</w:t>
        </w:r>
      </w:hyperlink>
      <w:r>
        <w:t xml:space="preserve">) ou que quelqu'un de pauvre sera nécessairement juste. Toutefois, ces références sont suffisamment fréquentes, surtout dans les Psaumes, pour mériter une attention particulière (p. ex. </w:t>
      </w:r>
      <w:hyperlink r:id="rId11772">
        <w:r>
          <w:rPr>
            <w:color w:val="0000EE"/>
            <w:u w:val="single"/>
          </w:rPr>
          <w:t>Ps 9.19</w:t>
        </w:r>
      </w:hyperlink>
      <w:r>
        <w:t xml:space="preserve">; </w:t>
      </w:r>
      <w:hyperlink r:id="rId11773">
        <w:r>
          <w:rPr>
            <w:color w:val="0000EE"/>
            <w:u w:val="single"/>
          </w:rPr>
          <w:t>10.14</w:t>
        </w:r>
      </w:hyperlink>
      <w:r>
        <w:t xml:space="preserve">; </w:t>
      </w:r>
      <w:hyperlink r:id="rId11774">
        <w:r>
          <w:rPr>
            <w:color w:val="0000EE"/>
            <w:u w:val="single"/>
          </w:rPr>
          <w:t>12.6</w:t>
        </w:r>
      </w:hyperlink>
      <w:r>
        <w:t xml:space="preserve">; </w:t>
      </w:r>
      <w:hyperlink r:id="rId11775">
        <w:r>
          <w:rPr>
            <w:color w:val="0000EE"/>
            <w:u w:val="single"/>
          </w:rPr>
          <w:t>34.7</w:t>
        </w:r>
      </w:hyperlink>
      <w:r>
        <w:t xml:space="preserve">; </w:t>
      </w:r>
      <w:hyperlink r:id="rId11776">
        <w:r>
          <w:rPr>
            <w:color w:val="0000EE"/>
            <w:u w:val="single"/>
          </w:rPr>
          <w:t>35.10</w:t>
        </w:r>
      </w:hyperlink>
      <w:r>
        <w:t xml:space="preserve">; </w:t>
      </w:r>
      <w:hyperlink r:id="rId11348">
        <w:r>
          <w:rPr>
            <w:color w:val="0000EE"/>
            <w:u w:val="single"/>
          </w:rPr>
          <w:t>74.19</w:t>
        </w:r>
      </w:hyperlink>
      <w:r>
        <w:t>). En fait, ce n'est pas si étrange que cela. Il y a une relation entre le fait que Dieu se soucie des pauvres et le fait que les pauvres sont proches de lui. La première raison, c'est que s'il y avait de la pauvreté en Israël, c'était parce que ceux qui étaient au pouvoir en abusaient. Par conséquent, les pauvres se tournaient vers Dieu en premier parce que c'est sa loi qui était bafouée. Ils l'appelaient à défendre son autorité. La deuxième raison est que plus généralement, la pauvreté tourne les gens vers Dieu parce que dans ces circonstances, il n'y a personne d'autre vers qui se tourner. Ainsi, le mot « pauvre » devient synonyme de « humble », et les humbles sont pieux (</w:t>
      </w:r>
      <w:hyperlink r:id="rId11777">
        <w:r>
          <w:rPr>
            <w:color w:val="0000EE"/>
            <w:u w:val="single"/>
          </w:rPr>
          <w:t>Ps 10.17</w:t>
        </w:r>
      </w:hyperlink>
      <w:r>
        <w:t xml:space="preserve">; </w:t>
      </w:r>
      <w:hyperlink r:id="rId11778">
        <w:r>
          <w:rPr>
            <w:color w:val="0000EE"/>
            <w:u w:val="single"/>
          </w:rPr>
          <w:t>14.5–6</w:t>
        </w:r>
      </w:hyperlink>
      <w:r>
        <w:t xml:space="preserve">; </w:t>
      </w:r>
      <w:hyperlink r:id="rId11779">
        <w:r>
          <w:rPr>
            <w:color w:val="0000EE"/>
            <w:u w:val="single"/>
          </w:rPr>
          <w:t>37.11</w:t>
        </w:r>
      </w:hyperlink>
      <w:r>
        <w:t xml:space="preserve">; </w:t>
      </w:r>
      <w:hyperlink r:id="rId11780">
        <w:r>
          <w:rPr>
            <w:color w:val="0000EE"/>
            <w:u w:val="single"/>
          </w:rPr>
          <w:t>So 3.12–13</w:t>
        </w:r>
      </w:hyperlink>
      <w:r>
        <w:t>). Tout comme la richesse peut mener à se dévouer à ses propres plaisirs, à placer sa confiance en soi-même, à l'orgueil, au mépris et à l'oppression de ses semblables, la pauvreté encourage l'inverse de toutes ces choses.</w:t>
      </w:r>
    </w:p>
    <w:p>
      <w:r/>
      <w:r>
        <w:t xml:space="preserve">Au lieu d'être un mal à éviter, la pauvreté devient presque ainsi un idéal à rechercher. Reflétant l'utilisation dans l'AT des termes « pauvre » et « pieux » de façon presque interchangeable, pendant la période entre les deux Testaments, de nombreux Juifs abandonnent toute propriété personnelle. Parmi eux la secte des Esséniens et la communauté apparentée qui a été établie à Qumrân près de la mer Morte. Ces derniers se surnommaient eux-mêmes « les pauvres ». Cette pratique a continué à l'époque du Nouveau Testament. Il est possible que « les pauvres » à Jérusalem désignent un groupe précis au sein de cette Église (ou même l'Église de Jérusalem dans son ensemble ; </w:t>
      </w:r>
      <w:hyperlink r:id="rId2993">
        <w:r>
          <w:rPr>
            <w:color w:val="0000EE"/>
            <w:u w:val="single"/>
          </w:rPr>
          <w:t>Rm 15.26</w:t>
        </w:r>
      </w:hyperlink>
      <w:r>
        <w:t xml:space="preserve"> ; </w:t>
      </w:r>
      <w:hyperlink r:id="rId2617">
        <w:r>
          <w:rPr>
            <w:color w:val="0000EE"/>
            <w:u w:val="single"/>
          </w:rPr>
          <w:t>Ga 2.10</w:t>
        </w:r>
      </w:hyperlink>
      <w:r>
        <w:t>). Une secte judéo-chrétienne s'est développée plus tard appelée les Ébionites (d'un mot hébreu signifiant « pauvre »).</w:t>
      </w:r>
    </w:p>
    <w:p>
      <w:r/>
      <w:r>
        <w:t>Bien entendu, le NT enseigne clairement que c'est l'attitude du cœur qui compte vraiment. Il est tout à fait possible d'être pauvre mais avide, ou riche mais généreux. Toutefois, dans les Évangiles, les riches sont souvent représentés de façon négative et les pauvres de façon positive. Les sadducéens étaient riches en biens matériels et les pharisiens en orgueil spirituel. Les riches peuvent être égoïstes, insensés et en grave danger spirituel (</w:t>
      </w:r>
      <w:hyperlink r:id="rId11781">
        <w:r>
          <w:rPr>
            <w:color w:val="0000EE"/>
            <w:u w:val="single"/>
          </w:rPr>
          <w:t>Mc 10.23</w:t>
        </w:r>
      </w:hyperlink>
      <w:r>
        <w:t xml:space="preserve"> ; </w:t>
      </w:r>
      <w:hyperlink r:id="rId11782">
        <w:r>
          <w:rPr>
            <w:color w:val="0000EE"/>
            <w:u w:val="single"/>
          </w:rPr>
          <w:t>Lc 12.13–21</w:t>
        </w:r>
      </w:hyperlink>
      <w:r>
        <w:t xml:space="preserve"> ; </w:t>
      </w:r>
      <w:hyperlink r:id="rId5002">
        <w:r>
          <w:rPr>
            <w:color w:val="0000EE"/>
            <w:u w:val="single"/>
          </w:rPr>
          <w:t>16.19–31</w:t>
        </w:r>
      </w:hyperlink>
      <w:r>
        <w:t>). D'autre part, les personnes pieuses sont généralement plus simples et humbles, comme les pauvres. Bien entendu, il y a des exceptions à cela.</w:t>
      </w:r>
    </w:p>
    <w:p>
      <w:r/>
      <w:r>
        <w:t>En vérité, les deux versions de la première béatitude (celle de Matthieu et celle de Luc) reviennent au même. Celle de Matthieu approfondit la définition du pauvre qui est béni : « Heureux les pauvres en esprit » (</w:t>
      </w:r>
      <w:hyperlink r:id="rId8363">
        <w:r>
          <w:rPr>
            <w:color w:val="0000EE"/>
            <w:u w:val="single"/>
          </w:rPr>
          <w:t>Mt 5.3</w:t>
        </w:r>
      </w:hyperlink>
      <w:r>
        <w:t>), mais celle de Luc la rend plus générale. En effet, quand Luc dit simplement : « Heureux, vous qui êtes pauvres » (</w:t>
      </w:r>
      <w:hyperlink r:id="rId7059">
        <w:r>
          <w:rPr>
            <w:color w:val="0000EE"/>
            <w:u w:val="single"/>
          </w:rPr>
          <w:t>Lc 6.20</w:t>
        </w:r>
      </w:hyperlink>
      <w:r>
        <w:t xml:space="preserve">), il désigne ceux qui, dans </w:t>
      </w:r>
      <w:r>
        <w:rPr>
          <w:i/>
        </w:rPr>
        <w:t>n'importe</w:t>
      </w:r>
      <w:r>
        <w:t xml:space="preserve"> quel type de besoin, se tournent vers le Seigneur. C'est pour apporter l'Évangile à de telles personnes que Christ est venu dans le monde (</w:t>
      </w:r>
      <w:hyperlink r:id="rId1507">
        <w:r>
          <w:rPr>
            <w:color w:val="0000EE"/>
            <w:u w:val="single"/>
          </w:rPr>
          <w:t>Mt 11.5</w:t>
        </w:r>
      </w:hyperlink>
      <w:r>
        <w:t xml:space="preserve"> ; </w:t>
      </w:r>
      <w:hyperlink r:id="rId1506">
        <w:r>
          <w:rPr>
            <w:color w:val="0000EE"/>
            <w:u w:val="single"/>
          </w:rPr>
          <w:t>Lc 4.18</w:t>
        </w:r>
      </w:hyperlink>
      <w:r>
        <w:t xml:space="preserve">). Jésus-Christ lui-même incarne le même idéal. Comme Paul l'a dit, « </w:t>
      </w:r>
      <w:r>
        <w:t>vous connaissez la grâce de notre Seigneur Jésus-Christ, qui pour vous s’est fait pauvre, de riche qu’il était, afin que par sa pauvreté vous fussiez enrichis</w:t>
      </w:r>
      <w:r>
        <w:t xml:space="preserve"> » (</w:t>
      </w:r>
      <w:hyperlink r:id="rId8458">
        <w:r>
          <w:rPr>
            <w:color w:val="0000EE"/>
            <w:u w:val="single"/>
          </w:rPr>
          <w:t>2Co 8.9</w:t>
        </w:r>
      </w:hyperlink>
      <w:r>
        <w:t>). Notre pauvreté impuissante est un mal dont Jésus est venu nous sauver. La pauvreté qu'il a délibérément choisie pour lui-même est le moyen glorieux par lequel il accomplit cela.</w:t>
      </w:r>
    </w:p>
    <w:p>
      <w:r/>
      <w:r>
        <w:rPr>
          <w:i/>
        </w:rPr>
        <w:t>Voir aussi</w:t>
      </w:r>
      <w:r>
        <w:t xml:space="preserve"> </w:t>
      </w:r>
      <w:r>
        <w:t>aumônes</w:t>
      </w:r>
      <w:r>
        <w:t xml:space="preserve"> ; </w:t>
      </w:r>
      <w:r>
        <w:t>possessions</w:t>
      </w:r>
      <w:r>
        <w:t xml:space="preserve">; </w:t>
      </w:r>
      <w:r>
        <w:t>justice</w:t>
      </w:r>
      <w:r>
        <w:t xml:space="preserve"> ; </w:t>
      </w:r>
      <w:r>
        <w:t>salaire</w:t>
      </w:r>
      <w:r>
        <w:t xml:space="preserve"> ; </w:t>
      </w:r>
      <w:r>
        <w:t>richesse</w:t>
      </w:r>
      <w:r>
        <w:t>.</w:t>
      </w:r>
      <w:r/>
      <w:r/>
    </w:p>
    <w:p>
      <w:r/>
    </w:p>
    <w:p>
      <w:pPr>
        <w:pStyle w:val="Heading2"/>
      </w:pPr>
      <w:r>
        <w:t>Péché</w:t>
      </w:r>
      <w:r/>
    </w:p>
    <w:p>
      <w:r/>
      <w:r>
        <w:t>Pécher est faire ce qui est mal non seulement envers l'humanité, la société, les autres ou soi-même, mais aussi envers Dieu. La nature de Dieu donne au péché un sens avec plusieurs aspects. Certaines divinités étaient représentées comme des êtres capricieux sans qualités. Elles avaient un pouvoir illimité, mais un comportement immoral. Ces divinités ne communiquaient pas un sens du péché comme le Dieu unique d'Israël, qui est saint, juste et parfaitement bon. Cette conception religieuse de faire ce qui est mal et les termes qui y sont associés sont utilisés aussi bien dans l'Ancien Testament que dans le Nouveau.</w:t>
      </w:r>
    </w:p>
    <w:p>
      <w:pPr>
        <w:pStyle w:val="Heading3"/>
      </w:pPr>
      <w:r>
        <w:t>Termes importants</w:t>
      </w:r>
    </w:p>
    <w:p>
      <w:r/>
      <w:r>
        <w:t xml:space="preserve">Le Dieu d'Israël définit l'idéal et les normes du comportement humain. Les mots bibliques les plus fréquents pour décrire le péché signifient transgresser cette norme d'une façon ou d'une autre. Le mot hébreu </w:t>
      </w:r>
      <w:r>
        <w:rPr>
          <w:i/>
        </w:rPr>
        <w:t>hata’</w:t>
      </w:r>
      <w:r>
        <w:t xml:space="preserve"> et le mot grec </w:t>
      </w:r>
      <w:r>
        <w:rPr>
          <w:i/>
        </w:rPr>
        <w:t>hamartia</w:t>
      </w:r>
      <w:r>
        <w:t xml:space="preserve"> signifient à l'origine rater une cible ou faillir à son devoir (</w:t>
      </w:r>
      <w:hyperlink r:id="rId8576">
        <w:r>
          <w:rPr>
            <w:color w:val="0000EE"/>
            <w:u w:val="single"/>
          </w:rPr>
          <w:t>Rm 3.23</w:t>
        </w:r>
      </w:hyperlink>
      <w:r>
        <w:t xml:space="preserve">). Puisque Dieu est l'auteur de la loi, il fixe les limites de la liberté individuelle. Un autre terme fréquent est celui de « transgression » (hébreu, </w:t>
      </w:r>
      <w:r>
        <w:rPr>
          <w:i/>
        </w:rPr>
        <w:t>‘abar</w:t>
      </w:r>
      <w:r>
        <w:t xml:space="preserve"> </w:t>
      </w:r>
      <w:r>
        <w:rPr>
          <w:i/>
        </w:rPr>
        <w:t>;</w:t>
      </w:r>
      <w:r>
        <w:t xml:space="preserve"> grec, </w:t>
      </w:r>
      <w:r>
        <w:rPr>
          <w:i/>
        </w:rPr>
        <w:t>parabasis</w:t>
      </w:r>
      <w:r>
        <w:t xml:space="preserve">). Il décrit le péché comme le fait de ne pas respecter limites fixées. Il y a d'autres termes clés avec des sens similaires, comme les mots hébreux </w:t>
      </w:r>
      <w:r>
        <w:rPr>
          <w:i/>
        </w:rPr>
        <w:t>pesha‘</w:t>
      </w:r>
      <w:r>
        <w:t xml:space="preserve"> et </w:t>
      </w:r>
      <w:r>
        <w:rPr>
          <w:i/>
        </w:rPr>
        <w:t>’asham.</w:t>
      </w:r>
      <w:r>
        <w:t xml:space="preserve"> Le mot </w:t>
      </w:r>
      <w:r>
        <w:rPr>
          <w:i/>
        </w:rPr>
        <w:t xml:space="preserve">pesha‘ </w:t>
      </w:r>
      <w:r>
        <w:t>signifie</w:t>
      </w:r>
      <w:r>
        <w:rPr>
          <w:i/>
        </w:rPr>
        <w:t xml:space="preserve"> </w:t>
      </w:r>
      <w:r>
        <w:t xml:space="preserve">rébellion ou transgression, tandis que le mot </w:t>
      </w:r>
      <w:r>
        <w:rPr>
          <w:i/>
        </w:rPr>
        <w:t xml:space="preserve">’asham </w:t>
      </w:r>
      <w:r>
        <w:t xml:space="preserve">désigne le fait de transgresser (ce que Dieu, qui est le roi de son peuple, a commandé) ou le fait de devenir coupable. Le mot grec </w:t>
      </w:r>
      <w:r>
        <w:rPr>
          <w:i/>
        </w:rPr>
        <w:t>paraptoma</w:t>
      </w:r>
      <w:r>
        <w:t xml:space="preserve"> signifie faire un pas qui écarte du chemin désigné ou entrer sur un terrain interdit. Le mot hébreu</w:t>
      </w:r>
      <w:r>
        <w:rPr>
          <w:i/>
        </w:rPr>
        <w:t xml:space="preserve"> ‘aon</w:t>
      </w:r>
      <w:r>
        <w:t xml:space="preserve"> est souvent traduit « iniquité » et signifie faire ce qui n'est pas juste ou faire le mal délibérement. L'équivalent le plus proche dans le NT sont les mots grecs </w:t>
      </w:r>
      <w:r>
        <w:rPr>
          <w:i/>
        </w:rPr>
        <w:t>anomia</w:t>
      </w:r>
      <w:r>
        <w:t xml:space="preserve"> (sans loi) ou </w:t>
      </w:r>
      <w:r>
        <w:rPr>
          <w:i/>
        </w:rPr>
        <w:t>paranomia</w:t>
      </w:r>
      <w:r>
        <w:t xml:space="preserve"> (désobéissant à la loi).</w:t>
      </w:r>
    </w:p>
    <w:p>
      <w:pPr>
        <w:pStyle w:val="Heading3"/>
      </w:pPr>
      <w:r>
        <w:t>Le péché dans l'Ancien Testament</w:t>
      </w:r>
    </w:p>
    <w:p>
      <w:r/>
      <w:r>
        <w:t>La Genèse attribue le péché à un choix délibéré de mal utiliser la liberté donnée par Dieu en désobéissant à la seule interdiction qui la limitait. Ézéchiel déclare très clairement que chaque individu est responsable de son propre péché et n'hérite pas simplement des péchés des autres (</w:t>
      </w:r>
      <w:hyperlink r:id="rId11783">
        <w:r>
          <w:rPr>
            <w:color w:val="0000EE"/>
            <w:u w:val="single"/>
          </w:rPr>
          <w:t>Ez 18</w:t>
        </w:r>
      </w:hyperlink>
      <w:r>
        <w:t>). Comme Jérémie, il souligne la nécessité d'une vie intérieure purifiée et renouvelée pour changer le comportement extérieur. La loi divine doit devenir une force qui motive l'individu de l'intérieur pour pouvoir surmonter le péché (</w:t>
      </w:r>
      <w:hyperlink r:id="rId11784">
        <w:r>
          <w:rPr>
            <w:color w:val="0000EE"/>
            <w:u w:val="single"/>
          </w:rPr>
          <w:t xml:space="preserve">Jr 31.29–34 </w:t>
        </w:r>
      </w:hyperlink>
      <w:r>
        <w:t xml:space="preserve">; </w:t>
      </w:r>
      <w:hyperlink r:id="rId11785">
        <w:r>
          <w:rPr>
            <w:color w:val="0000EE"/>
            <w:u w:val="single"/>
          </w:rPr>
          <w:t>Ez 36.24–29</w:t>
        </w:r>
      </w:hyperlink>
      <w:r>
        <w:t>).</w:t>
      </w:r>
    </w:p>
    <w:p>
      <w:r/>
      <w:r>
        <w:t xml:space="preserve">Le </w:t>
      </w:r>
      <w:hyperlink r:id="rId3607">
        <w:r>
          <w:rPr>
            <w:color w:val="0000EE"/>
            <w:u w:val="single"/>
          </w:rPr>
          <w:t>Psaume 51</w:t>
        </w:r>
      </w:hyperlink>
      <w:r>
        <w:t xml:space="preserve"> donne des explications qui éclairent le rapport entre le péché et ce qui le fait arriver. En affirmant « ma mère m’a conçu dans le péché », le psalmiste reconnaît qu'il est pécheur depuis le début de son existence. Tous son être a besoin d'être purifié car il est impur. Les sacrifices rituels n'offrent aucune solution. Seul un cœur brisé et contrit peut préparer le pécheur à être purifié par Dieu. Le seul espoir et les seules bases d'appel à Dieu sont son amour fidèle et l'abondance de sa miséricorde. Malgré sa sévérité envers le péché, l'AT parle aussi de l'assurance du pardon par la grâce (</w:t>
      </w:r>
      <w:hyperlink r:id="rId11786">
        <w:r>
          <w:rPr>
            <w:color w:val="0000EE"/>
            <w:u w:val="single"/>
          </w:rPr>
          <w:t xml:space="preserve">Ps 103.8–14 </w:t>
        </w:r>
      </w:hyperlink>
      <w:r>
        <w:t xml:space="preserve">; </w:t>
      </w:r>
      <w:hyperlink r:id="rId3348">
        <w:r>
          <w:rPr>
            <w:color w:val="0000EE"/>
            <w:u w:val="single"/>
          </w:rPr>
          <w:t>Es 1.18</w:t>
        </w:r>
      </w:hyperlink>
      <w:r>
        <w:t xml:space="preserve"> ; </w:t>
      </w:r>
      <w:hyperlink r:id="rId11787">
        <w:r>
          <w:rPr>
            <w:color w:val="0000EE"/>
            <w:u w:val="single"/>
          </w:rPr>
          <w:t>55.6–7</w:t>
        </w:r>
      </w:hyperlink>
      <w:r>
        <w:t>).</w:t>
      </w:r>
    </w:p>
    <w:p>
      <w:pPr>
        <w:pStyle w:val="Heading3"/>
      </w:pPr>
      <w:r>
        <w:t>Le péché dans les Évangiles synoptiques</w:t>
      </w:r>
    </w:p>
    <w:p>
      <w:r/>
      <w:r>
        <w:t xml:space="preserve">Les enseignements de Jésus au sujet du péché reprennent l'offre gracieuse de pardon divin et de renouveau. Jésus proclame à plusieurs avec autorité : « </w:t>
      </w:r>
      <w:r>
        <w:t>tes péchés te sont pardonnés</w:t>
      </w:r>
      <w:r>
        <w:t xml:space="preserve"> ». Il montre aussi, aux yeux de tous et par de nombreuses actions, sa compassion et le fait qu'il est devenu l'ami de pécheurs. Jésus les appelle à la repentance, et leur redonne espoir et dignité (</w:t>
      </w:r>
      <w:hyperlink r:id="rId11788">
        <w:r>
          <w:rPr>
            <w:color w:val="0000EE"/>
            <w:u w:val="single"/>
          </w:rPr>
          <w:t xml:space="preserve">Mt 9.1–13 </w:t>
        </w:r>
      </w:hyperlink>
      <w:r>
        <w:t xml:space="preserve">; </w:t>
      </w:r>
      <w:hyperlink r:id="rId2857">
        <w:r>
          <w:rPr>
            <w:color w:val="0000EE"/>
            <w:u w:val="single"/>
          </w:rPr>
          <w:t xml:space="preserve">11.19 </w:t>
        </w:r>
      </w:hyperlink>
      <w:r>
        <w:t xml:space="preserve">; </w:t>
      </w:r>
      <w:hyperlink r:id="rId8368">
        <w:r>
          <w:rPr>
            <w:color w:val="0000EE"/>
            <w:u w:val="single"/>
          </w:rPr>
          <w:t>Lc 15</w:t>
        </w:r>
      </w:hyperlink>
      <w:r>
        <w:t xml:space="preserve"> ; </w:t>
      </w:r>
      <w:hyperlink r:id="rId9240">
        <w:r>
          <w:rPr>
            <w:color w:val="0000EE"/>
            <w:u w:val="single"/>
          </w:rPr>
          <w:t>19.1–10</w:t>
        </w:r>
      </w:hyperlink>
      <w:r>
        <w:t>).</w:t>
      </w:r>
    </w:p>
    <w:p>
      <w:r/>
      <w:r>
        <w:t>Jésus dit peu de choses sur l'origine du péché, sauf qu'il vient du cœur et de la volonté de l'individu (</w:t>
      </w:r>
      <w:hyperlink r:id="rId11789">
        <w:r>
          <w:rPr>
            <w:color w:val="0000EE"/>
            <w:u w:val="single"/>
          </w:rPr>
          <w:t xml:space="preserve">Mt 6.22–23 </w:t>
        </w:r>
      </w:hyperlink>
      <w:r>
        <w:t xml:space="preserve">; </w:t>
      </w:r>
      <w:hyperlink r:id="rId11790">
        <w:r>
          <w:rPr>
            <w:color w:val="0000EE"/>
            <w:u w:val="single"/>
          </w:rPr>
          <w:t xml:space="preserve">7.17–19 </w:t>
        </w:r>
      </w:hyperlink>
      <w:r>
        <w:t xml:space="preserve">; </w:t>
      </w:r>
      <w:hyperlink r:id="rId10997">
        <w:r>
          <w:rPr>
            <w:color w:val="0000EE"/>
            <w:u w:val="single"/>
          </w:rPr>
          <w:t xml:space="preserve">18.7 </w:t>
        </w:r>
      </w:hyperlink>
      <w:r>
        <w:t xml:space="preserve">; </w:t>
      </w:r>
      <w:hyperlink r:id="rId11791">
        <w:r>
          <w:rPr>
            <w:color w:val="0000EE"/>
            <w:u w:val="single"/>
          </w:rPr>
          <w:t>Mc 7.20–23</w:t>
        </w:r>
      </w:hyperlink>
      <w:r>
        <w:t>). Toutefois, il redéfinit le péché de façon importante. La loi ne condamnait souvent que les actions extérieures des gens, mais Jésus montre que la colère, le mépris, la convoitise, la dureté de cœur et la tromperie sont également des péchés. Il parle aussi de péché comme de ne pas faire ce qui devrait être fait, d'un arbre sans fruit, d'un talent qui n'est pas utilisé, d'un sacrificateur qui se détourne de quelqu'un dans la détresse et du manque d'amour pratique (</w:t>
      </w:r>
      <w:hyperlink r:id="rId11792">
        <w:r>
          <w:rPr>
            <w:color w:val="0000EE"/>
            <w:u w:val="single"/>
          </w:rPr>
          <w:t>Mt 25.41–46</w:t>
        </w:r>
      </w:hyperlink>
      <w:r>
        <w:t>). Il condamne particulièrement les péchés de manque d'amour : l'absence de fraternité, l'hostilité impitoyable, l'égoïsme et l'insensibilité (</w:t>
      </w:r>
      <w:hyperlink r:id="rId11793">
        <w:r>
          <w:rPr>
            <w:color w:val="0000EE"/>
            <w:u w:val="single"/>
          </w:rPr>
          <w:t xml:space="preserve">Lc 12.16–21 </w:t>
        </w:r>
      </w:hyperlink>
      <w:r>
        <w:t xml:space="preserve">; </w:t>
      </w:r>
      <w:hyperlink r:id="rId5002">
        <w:r>
          <w:rPr>
            <w:color w:val="0000EE"/>
            <w:u w:val="single"/>
          </w:rPr>
          <w:t>16.19–31</w:t>
        </w:r>
      </w:hyperlink>
      <w:r>
        <w:t>). Il condamne le fait de se justifier soi-même et l'aveuglement spirituel (</w:t>
      </w:r>
      <w:hyperlink r:id="rId11794">
        <w:r>
          <w:rPr>
            <w:color w:val="0000EE"/>
            <w:u w:val="single"/>
          </w:rPr>
          <w:t xml:space="preserve">Mt 23.16–26 </w:t>
        </w:r>
      </w:hyperlink>
      <w:r>
        <w:t xml:space="preserve">; </w:t>
      </w:r>
      <w:hyperlink r:id="rId11795">
        <w:r>
          <w:rPr>
            <w:color w:val="0000EE"/>
            <w:u w:val="single"/>
          </w:rPr>
          <w:t>Mc 3.22–30</w:t>
        </w:r>
      </w:hyperlink>
      <w:r>
        <w:t>). Jésus parle du péché comme d'une maladie (</w:t>
      </w:r>
      <w:hyperlink r:id="rId9849">
        <w:r>
          <w:rPr>
            <w:color w:val="0000EE"/>
            <w:u w:val="single"/>
          </w:rPr>
          <w:t>Mc 2.17</w:t>
        </w:r>
      </w:hyperlink>
      <w:r>
        <w:t>) et parfois comme de la folie (</w:t>
      </w:r>
      <w:hyperlink r:id="rId11796">
        <w:r>
          <w:rPr>
            <w:color w:val="0000EE"/>
            <w:u w:val="single"/>
          </w:rPr>
          <w:t>Lc 12.20</w:t>
        </w:r>
      </w:hyperlink>
      <w:r>
        <w:t>). Néanmoins, il déclare qu'un pécheur peut être sauvé avec l'aide de Dieu (</w:t>
      </w:r>
      <w:hyperlink r:id="rId8033">
        <w:r>
          <w:rPr>
            <w:color w:val="0000EE"/>
            <w:u w:val="single"/>
          </w:rPr>
          <w:t>7.36–50</w:t>
        </w:r>
      </w:hyperlink>
      <w:r>
        <w:t>).</w:t>
      </w:r>
    </w:p>
    <w:p>
      <w:pPr>
        <w:pStyle w:val="Heading3"/>
      </w:pPr>
      <w:r>
        <w:t>Le péché dans les écrits de Jean</w:t>
      </w:r>
    </w:p>
    <w:p>
      <w:r/>
      <w:r>
        <w:t>L'Évangile de Jean suppose que l'humanité a besoin d'une solution au problème du péché, que le sacrifice de Christ (l'Agneau de Dieu) enlève le péché du monde et que Jésus offre la lumière et la vie. Le nouvel élément dans les écrits de Jean est l'enseignement à propos du refus d'accepter le salut offert en Christ. Ce salut est offert par Dieu, par amour pour le monde. Refuser de croire est refuser le salut. Ceux qui aiment les ténèbres, rejettent la lumière et refusent de croire en Christ le sauveur sont déjà jugés (</w:t>
      </w:r>
      <w:hyperlink r:id="rId11797">
        <w:r>
          <w:rPr>
            <w:color w:val="0000EE"/>
            <w:u w:val="single"/>
          </w:rPr>
          <w:t>Jn 3.16–21</w:t>
        </w:r>
      </w:hyperlink>
      <w:r>
        <w:t>).</w:t>
      </w:r>
    </w:p>
    <w:p>
      <w:r/>
      <w:r>
        <w:t>Selon les gnostiques, le péché n'a pas d'importance pour les chrétiens qui ont atteint un haut niveau. Cependant, l'épître de 1 Jean donne 15 raisons de ne pas tolérer le péché dans la vie chrétienne. Jean souligne à nouveau que le péché de quelqu'un qui ne marche pas dans la vérité et dans l'amour (</w:t>
      </w:r>
      <w:hyperlink r:id="rId11798">
        <w:r>
          <w:rPr>
            <w:color w:val="0000EE"/>
            <w:u w:val="single"/>
          </w:rPr>
          <w:t>1Jn 3.3–10</w:t>
        </w:r>
      </w:hyperlink>
      <w:r>
        <w:t>). Pourtant, Dieu pardonne à ceux qui confessent leurs péchés. Christ est le sacrifice pour leurs péchés et il intercède pour eux (</w:t>
      </w:r>
      <w:hyperlink r:id="rId11799">
        <w:r>
          <w:rPr>
            <w:color w:val="0000EE"/>
            <w:u w:val="single"/>
          </w:rPr>
          <w:t>1.7–2.2</w:t>
        </w:r>
      </w:hyperlink>
      <w:r>
        <w:t>).</w:t>
      </w:r>
    </w:p>
    <w:p>
      <w:pPr>
        <w:pStyle w:val="Heading3"/>
      </w:pPr>
      <w:r>
        <w:t>Le péché dans les écrits de Paul</w:t>
      </w:r>
    </w:p>
    <w:p>
      <w:r/>
      <w:r>
        <w:t>Paul soutient fermement que les Écritures et l'expérience commune démontrent clairement que tous ont péché (</w:t>
      </w:r>
      <w:hyperlink r:id="rId8949">
        <w:r>
          <w:rPr>
            <w:color w:val="0000EE"/>
            <w:u w:val="single"/>
          </w:rPr>
          <w:t>Rm 1–3</w:t>
        </w:r>
      </w:hyperlink>
      <w:r>
        <w:t>). Le péché est une force, une puissance et une « loi » qui règne à l'intérieur de chacun (</w:t>
      </w:r>
      <w:hyperlink r:id="rId11800">
        <w:r>
          <w:rPr>
            <w:color w:val="0000EE"/>
            <w:u w:val="single"/>
          </w:rPr>
          <w:t xml:space="preserve">Rm 5.21 </w:t>
        </w:r>
      </w:hyperlink>
      <w:r>
        <w:t xml:space="preserve">; </w:t>
      </w:r>
      <w:hyperlink r:id="rId11801">
        <w:r>
          <w:rPr>
            <w:color w:val="0000EE"/>
            <w:u w:val="single"/>
          </w:rPr>
          <w:t xml:space="preserve">7.23 </w:t>
        </w:r>
      </w:hyperlink>
      <w:r>
        <w:t xml:space="preserve">; </w:t>
      </w:r>
      <w:hyperlink r:id="rId2319">
        <w:r>
          <w:rPr>
            <w:color w:val="0000EE"/>
            <w:u w:val="single"/>
          </w:rPr>
          <w:t xml:space="preserve">8.2 </w:t>
        </w:r>
      </w:hyperlink>
      <w:r>
        <w:t xml:space="preserve">; </w:t>
      </w:r>
      <w:hyperlink r:id="rId11802">
        <w:r>
          <w:rPr>
            <w:color w:val="0000EE"/>
            <w:u w:val="single"/>
          </w:rPr>
          <w:t>1Co 15.56</w:t>
        </w:r>
      </w:hyperlink>
      <w:r>
        <w:t>). Le péché produit toutes sortes de mauvais comportements, l'endurcissement de la conscience (</w:t>
      </w:r>
      <w:hyperlink r:id="rId11803">
        <w:r>
          <w:rPr>
            <w:color w:val="0000EE"/>
            <w:u w:val="single"/>
          </w:rPr>
          <w:t>Rm 7.21–24</w:t>
        </w:r>
      </w:hyperlink>
      <w:r>
        <w:t>), la séparation de Dieu et la mort (</w:t>
      </w:r>
      <w:hyperlink r:id="rId8644">
        <w:r>
          <w:rPr>
            <w:color w:val="0000EE"/>
            <w:u w:val="single"/>
          </w:rPr>
          <w:t xml:space="preserve">Rm 5.10 </w:t>
        </w:r>
      </w:hyperlink>
      <w:r>
        <w:t xml:space="preserve">; </w:t>
      </w:r>
      <w:hyperlink r:id="rId10350">
        <w:r>
          <w:rPr>
            <w:color w:val="0000EE"/>
            <w:u w:val="single"/>
          </w:rPr>
          <w:t xml:space="preserve">6.23 </w:t>
        </w:r>
      </w:hyperlink>
      <w:r>
        <w:t xml:space="preserve">; </w:t>
      </w:r>
      <w:hyperlink r:id="rId11804">
        <w:r>
          <w:rPr>
            <w:color w:val="0000EE"/>
            <w:u w:val="single"/>
          </w:rPr>
          <w:t xml:space="preserve">Ep 2.1–5, 12 </w:t>
        </w:r>
      </w:hyperlink>
      <w:r>
        <w:t xml:space="preserve">; </w:t>
      </w:r>
      <w:hyperlink r:id="rId11805">
        <w:r>
          <w:rPr>
            <w:color w:val="0000EE"/>
            <w:u w:val="single"/>
          </w:rPr>
          <w:t>Col 1.21</w:t>
        </w:r>
      </w:hyperlink>
      <w:r>
        <w:t>). Personne n'est capable de vaincre le péché par ses propres moyens (</w:t>
      </w:r>
      <w:hyperlink r:id="rId10363">
        <w:r>
          <w:rPr>
            <w:color w:val="0000EE"/>
            <w:u w:val="single"/>
          </w:rPr>
          <w:t>Rm 7.24</w:t>
        </w:r>
      </w:hyperlink>
      <w:r>
        <w:t xml:space="preserve">). L'explication que Paul donne à cette situation désespérée et universelle est interprétée de différentes façons. Certains pensent que </w:t>
      </w:r>
      <w:hyperlink r:id="rId306">
        <w:r>
          <w:rPr>
            <w:color w:val="0000EE"/>
            <w:u w:val="single"/>
          </w:rPr>
          <w:t>Romains 5.12–21</w:t>
        </w:r>
      </w:hyperlink>
      <w:r>
        <w:t xml:space="preserve"> dit que le péché d'Adam est la source de tout péché. Pour d'autres, le péché de l'humanité est « comme » celui d'Adam. Dans tous les cas, il est clair que pour Paul, chaque personne a fait comme Adam et est donc responsable de son propre péché. Cela reste vrai même si la nature pécheresse humaine est héritée d'Adam.</w:t>
      </w:r>
    </w:p>
    <w:p>
      <w:r/>
      <w:r>
        <w:t>La solution au péché est que celui qui croit meure en Christ, c'est-à-dire, qu'il meure au péché, à soi-même et au monde. En même temps, l'Esprit entre dans le croyant pour vaincre le péché, et transformer le croyant de l'intérieur. Le chrétien devient donc une nouvelle création car son être intérieur est sanctifié à l'image de Christ (</w:t>
      </w:r>
      <w:hyperlink r:id="rId8030">
        <w:r>
          <w:rPr>
            <w:color w:val="0000EE"/>
            <w:u w:val="single"/>
          </w:rPr>
          <w:t xml:space="preserve">Rm 3.21–26 </w:t>
        </w:r>
      </w:hyperlink>
      <w:r>
        <w:t xml:space="preserve">; </w:t>
      </w:r>
      <w:hyperlink r:id="rId11806">
        <w:r>
          <w:rPr>
            <w:color w:val="0000EE"/>
            <w:u w:val="single"/>
          </w:rPr>
          <w:t xml:space="preserve">5.6–9 </w:t>
        </w:r>
      </w:hyperlink>
      <w:r>
        <w:t xml:space="preserve">; </w:t>
      </w:r>
      <w:hyperlink r:id="rId8957">
        <w:r>
          <w:rPr>
            <w:color w:val="0000EE"/>
            <w:u w:val="single"/>
          </w:rPr>
          <w:t xml:space="preserve">6 </w:t>
        </w:r>
      </w:hyperlink>
      <w:r>
        <w:t xml:space="preserve">; </w:t>
      </w:r>
      <w:hyperlink r:id="rId11807">
        <w:r>
          <w:rPr>
            <w:color w:val="0000EE"/>
            <w:u w:val="single"/>
          </w:rPr>
          <w:t xml:space="preserve">8.1–4, 28–29 </w:t>
        </w:r>
      </w:hyperlink>
      <w:r>
        <w:t xml:space="preserve">; </w:t>
      </w:r>
      <w:hyperlink r:id="rId8431">
        <w:r>
          <w:rPr>
            <w:color w:val="0000EE"/>
            <w:u w:val="single"/>
          </w:rPr>
          <w:t>2Co 5.14–21</w:t>
        </w:r>
      </w:hyperlink>
      <w:r>
        <w:t>).</w:t>
      </w:r>
    </w:p>
    <w:p>
      <w:r/>
      <w:r>
        <w:rPr>
          <w:i/>
        </w:rPr>
        <w:t>Voir aussi</w:t>
      </w:r>
      <w:r>
        <w:t xml:space="preserve"> </w:t>
      </w:r>
      <w:r>
        <w:t>chair</w:t>
      </w:r>
      <w:r>
        <w:t xml:space="preserve"> ; </w:t>
      </w:r>
      <w:r>
        <w:t>justification, justifié</w:t>
      </w:r>
      <w:r>
        <w:t xml:space="preserve"> ; </w:t>
      </w:r>
      <w:r>
        <w:t>sanctification</w:t>
      </w:r>
      <w:r>
        <w:t xml:space="preserve"> ; </w:t>
      </w:r>
      <w:r>
        <w:t>péché menant à la mort</w:t>
      </w:r>
      <w:r>
        <w:t xml:space="preserve"> ; </w:t>
      </w:r>
      <w:r>
        <w:t>péché impardonnable</w:t>
      </w:r>
      <w:r>
        <w:t>.</w:t>
      </w:r>
      <w:r/>
      <w:r/>
    </w:p>
    <w:p>
      <w:r/>
    </w:p>
    <w:p>
      <w:pPr>
        <w:pStyle w:val="Heading2"/>
      </w:pPr>
      <w:r>
        <w:t>Péché impardonnable</w:t>
      </w:r>
      <w:r/>
    </w:p>
    <w:p>
      <w:r/>
      <w:r>
        <w:t>Attribuer à Satan ce qui est en réalité l'œuvre du Saint-Esprit telle que démontrée par Jésus-Christ. Ce péché est un blasphème contre le Saint-Esprit.</w:t>
      </w:r>
    </w:p>
    <w:p>
      <w:r/>
      <w:r>
        <w:t xml:space="preserve">Le péché impardonnable doit être défini dans son contexte : l'incident que racontent </w:t>
      </w:r>
      <w:hyperlink r:id="rId11715">
        <w:r>
          <w:rPr>
            <w:color w:val="0000EE"/>
            <w:u w:val="single"/>
          </w:rPr>
          <w:t>Matthieu 12.31–32</w:t>
        </w:r>
      </w:hyperlink>
      <w:r>
        <w:t xml:space="preserve"> et </w:t>
      </w:r>
      <w:hyperlink r:id="rId11716">
        <w:r>
          <w:rPr>
            <w:color w:val="0000EE"/>
            <w:u w:val="single"/>
          </w:rPr>
          <w:t>Marc 3.28–30</w:t>
        </w:r>
      </w:hyperlink>
      <w:r>
        <w:t>. Jésus venait de chasser un démon d'un homme aveugle et muet. Une manifestation incontestable de la puissance de Dieu venait donc de se produire. Pourtant les pharisiens, s'obstinant dans leur refus de croire, ont attribué cette manifestation de la puissance de Dieu à Béelzébul, le diable (</w:t>
      </w:r>
      <w:hyperlink r:id="rId4072">
        <w:r>
          <w:rPr>
            <w:color w:val="0000EE"/>
            <w:u w:val="single"/>
          </w:rPr>
          <w:t>Mt 12.24</w:t>
        </w:r>
      </w:hyperlink>
      <w:r>
        <w:t>). Plusieurs autres passages montrent que des Juifs incrédules ont accusé Jésus à plusieurs occasions d'agir par la puissance de diable ou d'être possédé (</w:t>
      </w:r>
      <w:hyperlink r:id="rId11808">
        <w:r>
          <w:rPr>
            <w:color w:val="0000EE"/>
            <w:u w:val="single"/>
          </w:rPr>
          <w:t xml:space="preserve">Mt 9.34 </w:t>
        </w:r>
      </w:hyperlink>
      <w:r>
        <w:t xml:space="preserve">; </w:t>
      </w:r>
      <w:hyperlink r:id="rId11809">
        <w:r>
          <w:rPr>
            <w:color w:val="0000EE"/>
            <w:u w:val="single"/>
          </w:rPr>
          <w:t xml:space="preserve">11.14–20 </w:t>
        </w:r>
      </w:hyperlink>
      <w:r>
        <w:t xml:space="preserve">; </w:t>
      </w:r>
      <w:hyperlink r:id="rId11810">
        <w:r>
          <w:rPr>
            <w:color w:val="0000EE"/>
            <w:u w:val="single"/>
          </w:rPr>
          <w:t xml:space="preserve">Jn 7.20 </w:t>
        </w:r>
      </w:hyperlink>
      <w:r>
        <w:t xml:space="preserve">; </w:t>
      </w:r>
      <w:hyperlink r:id="rId11811">
        <w:r>
          <w:rPr>
            <w:color w:val="0000EE"/>
            <w:u w:val="single"/>
          </w:rPr>
          <w:t xml:space="preserve">8.48, 52 </w:t>
        </w:r>
      </w:hyperlink>
      <w:r>
        <w:t xml:space="preserve">; </w:t>
      </w:r>
      <w:hyperlink r:id="rId11812">
        <w:r>
          <w:rPr>
            <w:color w:val="0000EE"/>
            <w:u w:val="single"/>
          </w:rPr>
          <w:t>10.20</w:t>
        </w:r>
      </w:hyperlink>
      <w:r>
        <w:t xml:space="preserve">). </w:t>
      </w:r>
    </w:p>
    <w:p>
      <w:r/>
      <w:r>
        <w:t xml:space="preserve">Ainsi, un groupe de Juifs, principalement des pharisiens, s'est rendu coupable d'attribuer au diable ce qui était l'œuvre de l'Esprit manifestée par le Seigneur Jésus. Ils ont commis </w:t>
      </w:r>
      <w:r>
        <w:rPr>
          <w:i/>
        </w:rPr>
        <w:t>le</w:t>
      </w:r>
      <w:r>
        <w:t xml:space="preserve"> péché impardonnable en disant que les actions de Jésus, accomplies par la puissance du Saint-Esprit, provenaient de Béelzébul, le diable. En termes simples, ils ont péché gravement en osant accuser Jésus d'agir pour le diable. De nombreux Juifs ont perpétué cette accusation calomnieuse contre Jésus longtemps après sa mort. Ils ne niaient pas qu'il faisait des miracles : ils disaient qu'il faisait des miracles par la puissance du diable.</w:t>
      </w:r>
    </w:p>
    <w:p>
      <w:pPr>
        <w:pStyle w:val="Heading3"/>
      </w:pPr>
      <w:r>
        <w:t>Ce qui n'est pas le péché impardonnable</w:t>
      </w:r>
    </w:p>
    <w:p>
      <w:r/>
      <w:r>
        <w:t>Le péché impardonnable n'est pas la rébellion d'Israël contre Dieu, même si cette rébellion a entraîné le jugement éternel de milliers de personnes et une élimination temporaire de la bénédiction de Dieu. Le « péché qui mène à la mort » mentionné par Jean (</w:t>
      </w:r>
      <w:hyperlink r:id="rId11813">
        <w:r>
          <w:rPr>
            <w:color w:val="0000EE"/>
            <w:u w:val="single"/>
          </w:rPr>
          <w:t>1Jn 5.16–17</w:t>
        </w:r>
      </w:hyperlink>
      <w:r>
        <w:t>) n'est pas non plus le péché impardonnable. Il serait impossible pour une personne qui est racheté par christ et a reçu le pardon des péchés (</w:t>
      </w:r>
      <w:hyperlink r:id="rId8432">
        <w:r>
          <w:rPr>
            <w:color w:val="0000EE"/>
            <w:u w:val="single"/>
          </w:rPr>
          <w:t>Ep 1.7</w:t>
        </w:r>
      </w:hyperlink>
      <w:r>
        <w:t>), la purification pour les péchés présents et futurs (</w:t>
      </w:r>
      <w:hyperlink r:id="rId3004">
        <w:r>
          <w:rPr>
            <w:color w:val="0000EE"/>
            <w:u w:val="single"/>
          </w:rPr>
          <w:t>1Jn 1.7</w:t>
        </w:r>
      </w:hyperlink>
      <w:r>
        <w:t>) et la vie éternelle (</w:t>
      </w:r>
      <w:hyperlink r:id="rId5733">
        <w:r>
          <w:rPr>
            <w:color w:val="0000EE"/>
            <w:u w:val="single"/>
          </w:rPr>
          <w:t>Jn 3.16</w:t>
        </w:r>
      </w:hyperlink>
      <w:r>
        <w:t xml:space="preserve">) de commettre un péché impardonnable. Mais selon </w:t>
      </w:r>
      <w:hyperlink r:id="rId11814">
        <w:r>
          <w:rPr>
            <w:color w:val="0000EE"/>
            <w:u w:val="single"/>
          </w:rPr>
          <w:t>1 Jean 5.16</w:t>
        </w:r>
      </w:hyperlink>
      <w:r>
        <w:t>, la personne qui commet le « péché qui mène à la mort » est un « frère » en Christ.</w:t>
      </w:r>
    </w:p>
    <w:p>
      <w:r/>
      <w:r>
        <w:t xml:space="preserve">Le fait de rejeter le Seigneur Jésus n'est pas un péché impardonnable. Cependant, la personne qui rejette Jésus jusqu'au bout (c'est-à-dire jusqu'à sa mort) perd l'occasion de se faire pardonner. Ce péché ne sera pas pardonné pour l'éternité. Cependant, ce n'est pas le même péché que celui que Jésus a condamné par ces mots : « </w:t>
      </w:r>
      <w:r>
        <w:t xml:space="preserve">Quiconque parlera contre le Fils de l'homme, il lui sera pardonné ; mais quiconque parlera contre le Saint-Esprit, il ne lui sera pardonné ni dans ce siècle ni dans le siècle à venir </w:t>
      </w:r>
      <w:r>
        <w:t>» (</w:t>
      </w:r>
      <w:hyperlink r:id="rId4668">
        <w:r>
          <w:rPr>
            <w:color w:val="0000EE"/>
            <w:u w:val="single"/>
          </w:rPr>
          <w:t>Mt 12.32</w:t>
        </w:r>
      </w:hyperlink>
      <w:r>
        <w:t>). De nombreux passages répètent l'avertissement que le refus de croire en Christ le Sauveur entraînera la mort éternelle (</w:t>
      </w:r>
      <w:hyperlink r:id="rId11815">
        <w:r>
          <w:rPr>
            <w:color w:val="0000EE"/>
            <w:u w:val="single"/>
          </w:rPr>
          <w:t xml:space="preserve">Jn 3.18, 36 </w:t>
        </w:r>
      </w:hyperlink>
      <w:r>
        <w:t xml:space="preserve">; </w:t>
      </w:r>
      <w:hyperlink r:id="rId10351">
        <w:r>
          <w:rPr>
            <w:color w:val="0000EE"/>
            <w:u w:val="single"/>
          </w:rPr>
          <w:t xml:space="preserve">1Jn 5.12 </w:t>
        </w:r>
      </w:hyperlink>
      <w:r>
        <w:t xml:space="preserve">; </w:t>
      </w:r>
      <w:hyperlink r:id="rId11816">
        <w:r>
          <w:rPr>
            <w:color w:val="0000EE"/>
            <w:u w:val="single"/>
          </w:rPr>
          <w:t xml:space="preserve">Ap 20.15 </w:t>
        </w:r>
      </w:hyperlink>
      <w:r>
        <w:t xml:space="preserve">; </w:t>
      </w:r>
      <w:hyperlink r:id="rId4662">
        <w:r>
          <w:rPr>
            <w:color w:val="0000EE"/>
            <w:u w:val="single"/>
          </w:rPr>
          <w:t>21.8</w:t>
        </w:r>
      </w:hyperlink>
      <w:r>
        <w:t>), mais ces passages de l'Écriture ne parlent pas directement du péché impardonnable. Les paroles de Jésus concernant le péché impardonnable montrent qu'une personne peut refuser de croire et même dire de mauvaises choses sur lui sans être coupable du péché impardonnable.</w:t>
      </w:r>
    </w:p>
    <w:p>
      <w:r/>
      <w:r>
        <w:rPr>
          <w:i/>
        </w:rPr>
        <w:t>Voir aussi</w:t>
      </w:r>
      <w:r>
        <w:t xml:space="preserve"> </w:t>
      </w:r>
      <w:r>
        <w:t xml:space="preserve">justification, justifié </w:t>
      </w:r>
      <w:r>
        <w:t xml:space="preserve">; </w:t>
      </w:r>
      <w:r>
        <w:t>péché menant à la mort</w:t>
      </w:r>
      <w:r>
        <w:t>.</w:t>
      </w:r>
      <w:r/>
      <w:r/>
    </w:p>
    <w:p>
      <w:r/>
    </w:p>
    <w:p>
      <w:pPr>
        <w:pStyle w:val="Heading2"/>
      </w:pPr>
      <w:r>
        <w:t>Péleg</w:t>
      </w:r>
      <w:r/>
    </w:p>
    <w:p>
      <w:r/>
      <w:r>
        <w:t>Fils d'Éber et père de Rehu (</w:t>
      </w:r>
      <w:hyperlink r:id="rId11817">
        <w:r>
          <w:rPr>
            <w:color w:val="0000EE"/>
            <w:u w:val="single"/>
          </w:rPr>
          <w:t>Gn 10.25</w:t>
        </w:r>
      </w:hyperlink>
      <w:r>
        <w:t xml:space="preserve"> ; </w:t>
      </w:r>
      <w:hyperlink r:id="rId11818">
        <w:r>
          <w:rPr>
            <w:color w:val="0000EE"/>
            <w:u w:val="single"/>
          </w:rPr>
          <w:t>11.16–19</w:t>
        </w:r>
      </w:hyperlink>
      <w:r>
        <w:t xml:space="preserve"> ; </w:t>
      </w:r>
      <w:hyperlink r:id="rId11819">
        <w:r>
          <w:rPr>
            <w:color w:val="0000EE"/>
            <w:u w:val="single"/>
          </w:rPr>
          <w:t>1Ch 1.19, 25</w:t>
        </w:r>
      </w:hyperlink>
      <w:r>
        <w:t xml:space="preserve"> ; </w:t>
      </w:r>
      <w:hyperlink r:id="rId6229">
        <w:r>
          <w:rPr>
            <w:color w:val="0000EE"/>
            <w:u w:val="single"/>
          </w:rPr>
          <w:t>Lc 3.35</w:t>
        </w:r>
      </w:hyperlink>
      <w:r>
        <w:t>). Au cours de sa vie, la terre sera divisée (</w:t>
      </w:r>
      <w:r>
        <w:rPr>
          <w:i/>
        </w:rPr>
        <w:t>Péleg</w:t>
      </w:r>
      <w:r>
        <w:t xml:space="preserve"> signifie « division » ou « cours d'eau »). Il n'est pas clair à quoi cette division fait référence. Diverses suggestions incluent :</w:t>
      </w:r>
    </w:p>
    <w:p>
      <w:pPr>
        <w:pStyle w:val="ListNumber"/>
        <w:spacing w:line="240" w:lineRule="auto"/>
        <w:ind w:left="720"/>
      </w:pPr>
      <w:r/>
      <w:r>
        <w:t>La dispersion des langues après la Tour de Babel (</w:t>
      </w:r>
      <w:hyperlink r:id="rId1525">
        <w:r>
          <w:rPr>
            <w:color w:val="0000EE"/>
            <w:u w:val="single"/>
          </w:rPr>
          <w:t>Gn 11.1–9</w:t>
        </w:r>
      </w:hyperlink>
      <w:r>
        <w:t>)</w:t>
      </w:r>
    </w:p>
    <w:p>
      <w:pPr>
        <w:pStyle w:val="ListNumber"/>
        <w:spacing w:line="240" w:lineRule="auto"/>
        <w:ind w:left="720"/>
      </w:pPr>
      <w:r/>
      <w:r>
        <w:t>L'expansion de la descendance de Noé</w:t>
      </w:r>
    </w:p>
    <w:p>
      <w:pPr>
        <w:pStyle w:val="ListNumber"/>
        <w:spacing w:line="240" w:lineRule="auto"/>
        <w:ind w:left="720"/>
      </w:pPr>
      <w:r/>
      <w:r>
        <w:t>La séparation du peuple d'Arpacschad d'avec les Arabes Jokthanides (</w:t>
      </w:r>
      <w:hyperlink r:id="rId11820">
        <w:r>
          <w:rPr>
            <w:color w:val="0000EE"/>
            <w:u w:val="single"/>
          </w:rPr>
          <w:t>Gn 10.24–29</w:t>
        </w:r>
      </w:hyperlink>
      <w:r>
        <w:t>)</w:t>
      </w:r>
    </w:p>
    <w:p>
      <w:pPr>
        <w:pStyle w:val="ListNumber"/>
        <w:spacing w:line="240" w:lineRule="auto"/>
        <w:ind w:left="720"/>
      </w:pPr>
      <w:r/>
      <w:r>
        <w:t xml:space="preserve">La division des terres par des canaux (le terme est utilisé de cette manière dans </w:t>
      </w:r>
      <w:hyperlink r:id="rId11821">
        <w:r>
          <w:rPr>
            <w:color w:val="0000EE"/>
            <w:u w:val="single"/>
          </w:rPr>
          <w:t>Jb 29.6</w:t>
        </w:r>
      </w:hyperlink>
      <w:r>
        <w:t xml:space="preserve"> ; </w:t>
      </w:r>
      <w:hyperlink r:id="rId11822">
        <w:r>
          <w:rPr>
            <w:color w:val="0000EE"/>
            <w:u w:val="single"/>
          </w:rPr>
          <w:t>38.25</w:t>
        </w:r>
      </w:hyperlink>
      <w:r>
        <w:t xml:space="preserve"> ; </w:t>
      </w:r>
      <w:hyperlink r:id="rId11823">
        <w:r>
          <w:rPr>
            <w:color w:val="0000EE"/>
            <w:u w:val="single"/>
          </w:rPr>
          <w:t>Es 30.25</w:t>
        </w:r>
      </w:hyperlink>
      <w:r>
        <w:t xml:space="preserve"> ; </w:t>
      </w:r>
      <w:hyperlink r:id="rId11824">
        <w:r>
          <w:rPr>
            <w:color w:val="0000EE"/>
            <w:u w:val="single"/>
          </w:rPr>
          <w:t>32.2</w:t>
        </w:r>
      </w:hyperlink>
      <w:r>
        <w:t>)</w:t>
      </w:r>
    </w:p>
    <w:p>
      <w:r/>
      <w:r>
        <w:t>L'origine du nom est généralement attribuée à la ville de Phalga, située au nord de la jonction des rivières Euphrate et Khabur.</w:t>
      </w:r>
    </w:p>
    <w:p>
      <w:r/>
      <w:r>
        <w:rPr>
          <w:i/>
        </w:rPr>
        <w:t>Voir aussi</w:t>
      </w:r>
      <w:r>
        <w:t xml:space="preserve"> </w:t>
      </w:r>
      <w:r>
        <w:t>Généalogie de Jésus-Christ</w:t>
      </w:r>
      <w:r>
        <w:t>.</w:t>
      </w:r>
      <w:r/>
      <w:r/>
    </w:p>
    <w:p>
      <w:r/>
    </w:p>
    <w:p>
      <w:pPr>
        <w:pStyle w:val="Heading2"/>
      </w:pPr>
      <w:r>
        <w:t>pensée, intelligence, esprit, compréhension</w:t>
      </w:r>
      <w:r/>
    </w:p>
    <w:p>
      <w:r/>
      <w:r>
        <w:t>La pensée représente au sens propre l'activité intellectuelle d'une personne. Mais au sens élargi, elle peut aussi signifier ses dispositions et ses points de vue moraux. Dans la culture hébraïque biblique, il n'y a pas de terme qui désigne la pensée en tant que telle. Par contre, dans la culture grecque souvent représentée dans le Nouveau Testament (NT), la pensée représente une partie essentielle de l'être humain.</w:t>
      </w:r>
    </w:p>
    <w:p>
      <w:pPr>
        <w:pStyle w:val="Heading3"/>
      </w:pPr>
      <w:r>
        <w:t>Pensée dans l'Ancien Testament</w:t>
      </w:r>
    </w:p>
    <w:p>
      <w:r/>
      <w:r>
        <w:t xml:space="preserve">Même s'il n'y a pas de mot hébreu qui, dans l'Ancien Testament (AT), désigne la pensée en tant que telle, beaucoup de passages parlent de ce que nous appellerions aujourd'hui la pensée. Dans ces passages, d'autres mots sont souvent utilisés, comme : « âme », « esprit » ou « cœur ». </w:t>
      </w:r>
    </w:p>
    <w:p>
      <w:r/>
      <w:r>
        <w:t>Le manque de correspondance exacte entre la façon dont les Israélites pensaient à ces termes et la façon dont ils sont utilisés aujourd'hui rend parfois difficile de savoir comment les traduire. Dans l'AT, l'individu est une âme, avec un esprit et un cœur. Ainsi, l'idée moderne de la pensée comme le centre de la raison de l'homme et le cœur comme le centre des ses émotions, est une conception étrangère à l'AT.</w:t>
      </w:r>
    </w:p>
    <w:p>
      <w:r/>
      <w:r>
        <w:t xml:space="preserve">Par exemple, quand dans </w:t>
      </w:r>
      <w:hyperlink r:id="rId11825">
        <w:r>
          <w:rPr>
            <w:color w:val="0000EE"/>
            <w:u w:val="single"/>
          </w:rPr>
          <w:t xml:space="preserve">1 Samuel 2.35 </w:t>
        </w:r>
      </w:hyperlink>
      <w:r>
        <w:t xml:space="preserve">Dieu déclare qu'il s'établira un sacrificateur fidèle qui agira selon son « cœur », cela ne signifie pas quelqu'un qui ressentira les mêmes choses que lui, mais quelqu'un qui pensera comme lui. Dans </w:t>
      </w:r>
      <w:hyperlink r:id="rId4042">
        <w:r>
          <w:rPr>
            <w:color w:val="0000EE"/>
            <w:u w:val="single"/>
          </w:rPr>
          <w:t>Ézéchiel 11.5</w:t>
        </w:r>
      </w:hyperlink>
      <w:r>
        <w:t xml:space="preserve">, L'Éternel déclare qu'il sait ce qui monte à la pensée d'Israël et dans </w:t>
      </w:r>
      <w:hyperlink r:id="rId5421">
        <w:r>
          <w:rPr>
            <w:color w:val="0000EE"/>
            <w:u w:val="single"/>
          </w:rPr>
          <w:t>20.32</w:t>
        </w:r>
      </w:hyperlink>
      <w:r>
        <w:t xml:space="preserve">, ce qu'ils imaginent. Dans les deux passages, c'est le mot hébreu qui signifie « esprit » qui est utilisé. </w:t>
      </w:r>
    </w:p>
    <w:p>
      <w:r/>
      <w:r>
        <w:t xml:space="preserve">Dans l'AT, le cœur est souvent compris comme l'ensemble de ce qui dans une personne définit qui elle est. Cela inclut donc la pensée. Dans </w:t>
      </w:r>
      <w:hyperlink r:id="rId11826">
        <w:r>
          <w:rPr>
            <w:color w:val="0000EE"/>
            <w:u w:val="single"/>
          </w:rPr>
          <w:t xml:space="preserve">Ésaïe 46.8, </w:t>
        </w:r>
      </w:hyperlink>
      <w:r>
        <w:t xml:space="preserve">les pécheurs doivent rappeler leurs souvenirs en rentrant « en eux-mêmes » (hébreu : en leur cœur). De la même façon, </w:t>
      </w:r>
      <w:hyperlink r:id="rId10859">
        <w:r>
          <w:rPr>
            <w:color w:val="0000EE"/>
            <w:u w:val="single"/>
          </w:rPr>
          <w:t xml:space="preserve">Ésaïe 65.17 </w:t>
        </w:r>
      </w:hyperlink>
      <w:r>
        <w:t xml:space="preserve">dit que certaines choses ne reviendront plus à « l'esprit » (hébreu : elles ne reviendront plus au cœur). C'est aussi le mot cœur qui signifie « pensée » dans </w:t>
      </w:r>
      <w:hyperlink r:id="rId11827">
        <w:r>
          <w:rPr>
            <w:color w:val="0000EE"/>
            <w:u w:val="single"/>
          </w:rPr>
          <w:t>Jérémie 3.16</w:t>
        </w:r>
      </w:hyperlink>
      <w:r>
        <w:t>.</w:t>
      </w:r>
    </w:p>
    <w:p>
      <w:pPr>
        <w:pStyle w:val="Heading3"/>
      </w:pPr>
      <w:r>
        <w:t>Pensée dans le Nouveau Testament</w:t>
      </w:r>
    </w:p>
    <w:p>
      <w:r/>
      <w:r>
        <w:t xml:space="preserve">La conception hébraïque de la pensée est également reflétée dans les Évangiles. L'idée de la pensée n'apparaît que rarement en tant que telle. Lorsque des mots qui en grec désignent la pensée sont utilisés, ils sont généralement associés au cœur. Par exemple, </w:t>
      </w:r>
      <w:hyperlink r:id="rId2755">
        <w:r>
          <w:rPr>
            <w:color w:val="0000EE"/>
            <w:u w:val="single"/>
          </w:rPr>
          <w:t>Luc 1.51</w:t>
        </w:r>
      </w:hyperlink>
      <w:r>
        <w:t xml:space="preserve"> parle de ceux qui avaient « dans le cœur » des « pensées » orgueilleuses. </w:t>
      </w:r>
    </w:p>
    <w:p>
      <w:r/>
      <w:r>
        <w:t xml:space="preserve">La seule autre utilisation d'un terme qui désigne la pensée est dans le plus grand commandement : « Tu aimeras le Seigneur, ton Dieu, de tout ton cœur, de toute ton âme, et de toute ta pensée » (voir </w:t>
      </w:r>
      <w:hyperlink r:id="rId678">
        <w:r>
          <w:rPr>
            <w:color w:val="0000EE"/>
            <w:u w:val="single"/>
          </w:rPr>
          <w:t>Mt 22.37</w:t>
        </w:r>
      </w:hyperlink>
      <w:r>
        <w:t xml:space="preserve"> ; </w:t>
      </w:r>
      <w:hyperlink r:id="rId679">
        <w:r>
          <w:rPr>
            <w:color w:val="0000EE"/>
            <w:u w:val="single"/>
          </w:rPr>
          <w:t>Mc 12.30</w:t>
        </w:r>
      </w:hyperlink>
      <w:r>
        <w:t xml:space="preserve"> ; </w:t>
      </w:r>
      <w:hyperlink r:id="rId2839">
        <w:r>
          <w:rPr>
            <w:color w:val="0000EE"/>
            <w:u w:val="single"/>
          </w:rPr>
          <w:t>Lc 10.27</w:t>
        </w:r>
      </w:hyperlink>
      <w:r>
        <w:t xml:space="preserve">). Dans les trois Évangiles, « de toute ta pensée » est ajouté au commandement tel qu'il est donné dans </w:t>
      </w:r>
      <w:hyperlink r:id="rId680">
        <w:r>
          <w:rPr>
            <w:color w:val="0000EE"/>
            <w:u w:val="single"/>
          </w:rPr>
          <w:t>Deutéronome 6.5</w:t>
        </w:r>
      </w:hyperlink>
      <w:r>
        <w:t xml:space="preserve">. (Dans celui de Matthieu, les mots « de toute ta force » sont omis.) Il n'aurait pas été évident de traduire l'hébreu de l'AT dans le grec du NT pour faire comprendre non seulement les mots utilisés, mais aussi leur signification. </w:t>
      </w:r>
    </w:p>
    <w:p>
      <w:r/>
      <w:r>
        <w:t xml:space="preserve">Dans </w:t>
      </w:r>
      <w:hyperlink r:id="rId11828">
        <w:r>
          <w:rPr>
            <w:color w:val="0000EE"/>
            <w:u w:val="single"/>
          </w:rPr>
          <w:t>Marc 12.33</w:t>
        </w:r>
      </w:hyperlink>
      <w:r>
        <w:t>, le scribe qui demande quel est le plus grand commandement répète avec approbation la réponse de Jésus en remplaçant « pensée » par « compréhension ». Ces différences de choix de mots pourraient simplement indiquer différentes façons de faire comprendre ce que signifie le commandement en hébreu.</w:t>
      </w:r>
    </w:p>
    <w:p>
      <w:r/>
      <w:r>
        <w:t>Paul s'exprime en utilisant davantage d'idées grecques dans ses écrits. C'est normal, car il écrit principalement à des non-Juifs. Dans ses lettres, Paul fait une distinction entre la pensée (ou l'intelligence) et l'esprit de l'homme. L'intelligence sert à comprendre et à raisonner (</w:t>
      </w:r>
      <w:hyperlink r:id="rId11829">
        <w:r>
          <w:rPr>
            <w:color w:val="0000EE"/>
            <w:u w:val="single"/>
          </w:rPr>
          <w:t>1Co 14.14–19</w:t>
        </w:r>
      </w:hyperlink>
      <w:r>
        <w:t>). Ailleurs, le terme « intelligence » est utilisé dans un sens plus large qui inclut la réflexion et les décisions morales d'une personne (</w:t>
      </w:r>
      <w:hyperlink r:id="rId4248">
        <w:r>
          <w:rPr>
            <w:color w:val="0000EE"/>
            <w:u w:val="single"/>
          </w:rPr>
          <w:t>Rm 12.2</w:t>
        </w:r>
      </w:hyperlink>
      <w:r>
        <w:t xml:space="preserve"> ; </w:t>
      </w:r>
      <w:hyperlink r:id="rId11830">
        <w:r>
          <w:rPr>
            <w:color w:val="0000EE"/>
            <w:u w:val="single"/>
          </w:rPr>
          <w:t>Ep 4.23</w:t>
        </w:r>
      </w:hyperlink>
      <w:r>
        <w:t xml:space="preserve">). </w:t>
      </w:r>
    </w:p>
    <w:p>
      <w:r/>
      <w:r>
        <w:t>Ce que fait une personne reflète là où penchent les pensées de son « intelligence ». Ainsi, les penchants de l'intelligence sont au centre de ce qui fait qu'une personne est juste ou mauvaise. « Ceux qui sont selon la chair ont leurs pensées aux choses de la chair ; mais ceux qui sont selon l’Esprit, aux choses de l’Esprit » (</w:t>
      </w:r>
      <w:hyperlink r:id="rId11831">
        <w:r>
          <w:rPr>
            <w:color w:val="0000EE"/>
            <w:u w:val="single"/>
          </w:rPr>
          <w:t>Rm 8.6–7</w:t>
        </w:r>
      </w:hyperlink>
      <w:r>
        <w:t>, Darby).</w:t>
      </w:r>
    </w:p>
    <w:p>
      <w:r/>
      <w:r>
        <w:t xml:space="preserve">Dans </w:t>
      </w:r>
      <w:hyperlink r:id="rId6669">
        <w:r>
          <w:rPr>
            <w:color w:val="0000EE"/>
            <w:u w:val="single"/>
          </w:rPr>
          <w:t>2 Corinthiens 4.4</w:t>
        </w:r>
      </w:hyperlink>
      <w:r>
        <w:t>, l'intelligence d'une personne peut être aveuglée et contrôlée par le dieu de ce siècle. Ces personnes sont dures d'entendement et ne peuvent pas voir la vérité (</w:t>
      </w:r>
      <w:hyperlink r:id="rId11832">
        <w:r>
          <w:rPr>
            <w:color w:val="0000EE"/>
            <w:u w:val="single"/>
          </w:rPr>
          <w:t>3.14</w:t>
        </w:r>
      </w:hyperlink>
      <w:r>
        <w:t>). Elles ont comme un voile qui couvre leurs yeux et les empêche de comprendre. Mais le Seigneur peut enlever le voile et leur ouvrir l'esprit. C'est ce que Jésus fait quand il ouvre l'esprit des disciples qui marchent avec lui sur la route d'Émmaüs, pour qu'ils puissent comprendre les Écritures (</w:t>
      </w:r>
      <w:hyperlink r:id="rId11833">
        <w:r>
          <w:rPr>
            <w:color w:val="0000EE"/>
            <w:u w:val="single"/>
          </w:rPr>
          <w:t>Lc 24.45</w:t>
        </w:r>
      </w:hyperlink>
      <w:r>
        <w:t>).</w:t>
      </w:r>
    </w:p>
    <w:p>
      <w:r/>
      <w:r>
        <w:t>Pour Paul, la conversion inclut un « renouvellement de l'intelligence » (</w:t>
      </w:r>
      <w:hyperlink r:id="rId4248">
        <w:r>
          <w:rPr>
            <w:color w:val="0000EE"/>
            <w:u w:val="single"/>
          </w:rPr>
          <w:t>Rm 12.2</w:t>
        </w:r>
      </w:hyperlink>
      <w:r>
        <w:t xml:space="preserve"> ; </w:t>
      </w:r>
      <w:hyperlink r:id="rId11830">
        <w:r>
          <w:rPr>
            <w:color w:val="0000EE"/>
            <w:u w:val="single"/>
          </w:rPr>
          <w:t>Ep 4.23</w:t>
        </w:r>
      </w:hyperlink>
      <w:r>
        <w:t>). Dans les deux passages, l'Esprit de Dieu reprend le contrôle de l'esprit d'une personne pour guider ses pensées dans la volonté de Dieu et ce qui est juste. La personne ainsi transformée reçoit la capacité de juger et de comprendre ce qui est bon, agréable et parfait. Elle peut désormais connaître la pensée de Christ et comprendre des choses d'ordre spirituel (</w:t>
      </w:r>
      <w:hyperlink r:id="rId11834">
        <w:r>
          <w:rPr>
            <w:color w:val="0000EE"/>
            <w:u w:val="single"/>
          </w:rPr>
          <w:t>1Co 2.15–16</w:t>
        </w:r>
      </w:hyperlink>
      <w:r>
        <w:t>).</w:t>
      </w:r>
    </w:p>
    <w:p>
      <w:r/>
      <w:r>
        <w:rPr>
          <w:i/>
        </w:rPr>
        <w:t>Voir aussi</w:t>
      </w:r>
      <w:r>
        <w:t xml:space="preserve"> </w:t>
      </w:r>
      <w:r>
        <w:t>homme</w:t>
      </w:r>
      <w:r>
        <w:t xml:space="preserve"> ; </w:t>
      </w:r>
      <w:r>
        <w:t>cœur</w:t>
      </w:r>
      <w:r>
        <w:t xml:space="preserve"> ; </w:t>
      </w:r>
      <w:r>
        <w:t>âme</w:t>
      </w:r>
      <w:r>
        <w:t>.</w:t>
      </w:r>
      <w:r/>
      <w:r/>
    </w:p>
    <w:p>
      <w:r/>
    </w:p>
    <w:p>
      <w:pPr>
        <w:pStyle w:val="Heading2"/>
      </w:pPr>
      <w:r>
        <w:t>Pentecôte</w:t>
      </w:r>
      <w:r/>
    </w:p>
    <w:p>
      <w:r/>
      <w:r>
        <w:t xml:space="preserve">Mot dérivé du grec </w:t>
      </w:r>
      <w:r>
        <w:rPr>
          <w:i/>
        </w:rPr>
        <w:t>pentèkostè</w:t>
      </w:r>
      <w:r>
        <w:t xml:space="preserve"> (« cinquantième »), qui désignait la fête célébrée le cinquantième jour après la Pâque. Dans l'Ancien Testament, cette fête, appelée </w:t>
      </w:r>
      <w:r>
        <w:rPr>
          <w:i/>
        </w:rPr>
        <w:t>Shavou‘oth</w:t>
      </w:r>
      <w:r>
        <w:t xml:space="preserve"> (« semaines ») dans le judaïsme, est mentionnée comme la Fête des Semaines (</w:t>
      </w:r>
      <w:hyperlink r:id="rId2142">
        <w:r>
          <w:rPr>
            <w:color w:val="0000EE"/>
            <w:u w:val="single"/>
          </w:rPr>
          <w:t>Ex 34.22</w:t>
        </w:r>
      </w:hyperlink>
      <w:r>
        <w:t xml:space="preserve"> ; </w:t>
      </w:r>
      <w:hyperlink r:id="rId6677">
        <w:r>
          <w:rPr>
            <w:color w:val="0000EE"/>
            <w:u w:val="single"/>
          </w:rPr>
          <w:t>Dt 16.10</w:t>
        </w:r>
      </w:hyperlink>
      <w:r>
        <w:t>) car elle a lieu sept semaines après la Pâque. D'autres noms incluent la « fête de la moisson » (</w:t>
      </w:r>
      <w:hyperlink r:id="rId5607">
        <w:r>
          <w:rPr>
            <w:color w:val="0000EE"/>
            <w:u w:val="single"/>
          </w:rPr>
          <w:t>Ex 23.16</w:t>
        </w:r>
      </w:hyperlink>
      <w:r>
        <w:t>), en raison de sa relation avec la saison des récoltes, et le « jour des prémices » (</w:t>
      </w:r>
      <w:hyperlink r:id="rId5608">
        <w:r>
          <w:rPr>
            <w:color w:val="0000EE"/>
            <w:u w:val="single"/>
          </w:rPr>
          <w:t>Nm 28.26</w:t>
        </w:r>
      </w:hyperlink>
      <w:r>
        <w:t xml:space="preserve">), car deux pains de grain nouvellement moulu étaient présentés devant le Seigneur (ce dernier nom doit être distingué de l'offrande des prémices au début de la saison des récoltes, comme mentionné dans </w:t>
      </w:r>
      <w:hyperlink r:id="rId11835">
        <w:r>
          <w:rPr>
            <w:color w:val="0000EE"/>
            <w:u w:val="single"/>
          </w:rPr>
          <w:t>Lv 23.9–14</w:t>
        </w:r>
      </w:hyperlink>
      <w:r>
        <w:t>).</w:t>
      </w:r>
    </w:p>
    <w:p>
      <w:r/>
      <w:r>
        <w:t>La Fête des Semaines était l'une des trois fêtes de pèlerinage de l'Ancien Testament où les individus devaient se présenter devant le Seigneur avec des dons et des offrandes (</w:t>
      </w:r>
      <w:hyperlink r:id="rId5594">
        <w:r>
          <w:rPr>
            <w:color w:val="0000EE"/>
            <w:u w:val="single"/>
          </w:rPr>
          <w:t>Ex 23.14–17</w:t>
        </w:r>
      </w:hyperlink>
      <w:r>
        <w:t>). La fête était principalement une fête de la moisson et célébrait la fin de la récolte d'orge et le début de la récolte de blé. Traditionnellement, la récolte des grains s'étendait de la Pâque, lorsque le premier grain était coupé (</w:t>
      </w:r>
      <w:hyperlink r:id="rId5602">
        <w:r>
          <w:rPr>
            <w:color w:val="0000EE"/>
            <w:u w:val="single"/>
          </w:rPr>
          <w:t>Dt 16.9</w:t>
        </w:r>
      </w:hyperlink>
      <w:r>
        <w:t>) vers la mi-avril, à la Pentecôte, qui marquait sa conclusion à la mi-juin. La déclaration de Josèphe selon laquelle la Pentecôte était appelée « clôture » illustre cette compréhension (</w:t>
      </w:r>
      <w:r>
        <w:rPr>
          <w:i/>
        </w:rPr>
        <w:t>Antiquités</w:t>
      </w:r>
      <w:r>
        <w:t xml:space="preserve"> 3.10.6).</w:t>
      </w:r>
    </w:p>
    <w:p>
      <w:r/>
      <w:r>
        <w:t>Chaque année, le prêtre agitait une gerbe de grain nouvellement récolté devant le Seigneur le lendemain du sabbat pendant la Fête des Pains sans levain (la période de sept jours suivant la Pâque). Le peuple comptait alors cinquante jours à partir de l'offrande de cette première gerbe de grain jusqu'au lendemain du septième sabbat pour observer la Fête des Semaines (</w:t>
      </w:r>
      <w:hyperlink r:id="rId11836">
        <w:r>
          <w:rPr>
            <w:color w:val="0000EE"/>
            <w:u w:val="single"/>
          </w:rPr>
          <w:t>Lv 23.11</w:t>
        </w:r>
      </w:hyperlink>
      <w:r>
        <w:t xml:space="preserve">). Ce jour-là, deux pains, faits de deux dixièmes d'un épha de farine et cuits avec du levain, étaient agités devant le Seigneur (v. </w:t>
      </w:r>
      <w:hyperlink r:id="rId9017">
        <w:r>
          <w:rPr>
            <w:color w:val="0000EE"/>
            <w:u w:val="single"/>
          </w:rPr>
          <w:t>17</w:t>
        </w:r>
      </w:hyperlink>
      <w:r>
        <w:t>) et des offrandes volontaires étaient encouragées (</w:t>
      </w:r>
      <w:hyperlink r:id="rId6677">
        <w:r>
          <w:rPr>
            <w:color w:val="0000EE"/>
            <w:u w:val="single"/>
          </w:rPr>
          <w:t>Dt 16.10</w:t>
        </w:r>
      </w:hyperlink>
      <w:r>
        <w:t>). Cette fête de la moisson était un moment de grande réjouissance et une assemblée sainte où aucun travail ne devait être fait (</w:t>
      </w:r>
      <w:hyperlink r:id="rId11837">
        <w:r>
          <w:rPr>
            <w:color w:val="0000EE"/>
            <w:u w:val="single"/>
          </w:rPr>
          <w:t>Lv 23.21</w:t>
        </w:r>
      </w:hyperlink>
      <w:r>
        <w:t xml:space="preserve"> ; </w:t>
      </w:r>
      <w:hyperlink r:id="rId11838">
        <w:r>
          <w:rPr>
            <w:color w:val="0000EE"/>
            <w:u w:val="single"/>
          </w:rPr>
          <w:t>Dt 16.11</w:t>
        </w:r>
      </w:hyperlink>
      <w:r>
        <w:t>). L'observance de la Fête des Semaines à l'époque de Salomon (</w:t>
      </w:r>
      <w:hyperlink r:id="rId11839">
        <w:r>
          <w:rPr>
            <w:color w:val="0000EE"/>
            <w:u w:val="single"/>
          </w:rPr>
          <w:t>2Ch 8.13</w:t>
        </w:r>
      </w:hyperlink>
      <w:r>
        <w:t>) est la seule référence qui en est faite dans l'Ancien Testament en dehors du Pentateuque, car Ézéchiel n'en fait pas mention dans son calendrier pour les fêtes futures (</w:t>
      </w:r>
      <w:hyperlink r:id="rId11840">
        <w:r>
          <w:rPr>
            <w:color w:val="0000EE"/>
            <w:u w:val="single"/>
          </w:rPr>
          <w:t>Ez 45–46</w:t>
        </w:r>
      </w:hyperlink>
      <w:r>
        <w:t>).</w:t>
      </w:r>
    </w:p>
    <w:p>
      <w:r/>
      <w:r>
        <w:t>La Pentecôte est mentionnée pour la première fois dans le NT comme le moment de l'effusion du Saint-Esprit sur les disciples de Christ, un événement que de nombreux théologiens comprennent comme marquant le début de l'Église (</w:t>
      </w:r>
      <w:hyperlink r:id="rId2600">
        <w:r>
          <w:rPr>
            <w:color w:val="0000EE"/>
            <w:u w:val="single"/>
          </w:rPr>
          <w:t>Ac 2.1</w:t>
        </w:r>
      </w:hyperlink>
      <w:r>
        <w:t>). Puisqu'il s'agissait d'une fête obligatoire, les Juifs se rassemblaient depuis de grandes distances pour observer la Pentecôte à Jérusalem, en faisant un moment approprié pour l'action de Dieu. À deux reprises, Paul prend en considération la fête de la Pentecôte lorsqu'il prépare ses voyages. Dans le premier cas, il écrit aux Corinthiens qu'il devra retarder sa visite chez eux jusqu'après la Pentecôte (</w:t>
      </w:r>
      <w:hyperlink r:id="rId5624">
        <w:r>
          <w:rPr>
            <w:color w:val="0000EE"/>
            <w:u w:val="single"/>
          </w:rPr>
          <w:t>1Co 16.8</w:t>
        </w:r>
      </w:hyperlink>
      <w:r>
        <w:t>), tandis que plus tard, il dira désirer se rendre à Jérusalem pour y arriver à temps pour la Pentecôte (</w:t>
      </w:r>
      <w:hyperlink r:id="rId2632">
        <w:r>
          <w:rPr>
            <w:color w:val="0000EE"/>
            <w:u w:val="single"/>
          </w:rPr>
          <w:t>Ac 20.16</w:t>
        </w:r>
      </w:hyperlink>
      <w:r>
        <w:t>).</w:t>
      </w:r>
    </w:p>
    <w:p>
      <w:r/>
      <w:r>
        <w:rPr>
          <w:i/>
        </w:rPr>
        <w:t>Voir aussi</w:t>
      </w:r>
      <w:r>
        <w:t xml:space="preserve"> </w:t>
      </w:r>
      <w:r>
        <w:t>Fêtes et festivals d'Israël</w:t>
      </w:r>
      <w:r>
        <w:t>.</w:t>
      </w:r>
      <w:r/>
      <w:r/>
    </w:p>
    <w:p>
      <w:r/>
    </w:p>
    <w:p>
      <w:pPr>
        <w:pStyle w:val="Heading2"/>
      </w:pPr>
      <w:r>
        <w:t>Perée</w:t>
      </w:r>
      <w:r/>
    </w:p>
    <w:p>
      <w:r/>
      <w:r>
        <w:t>Nom d'une région qui n'est pas mentionnée explicitement dans le Nouveau Testament (NT) sauf dans les Codex Sinaiticus (manuscrit du 4</w:t>
      </w:r>
      <w:r>
        <w:t>ᵉ</w:t>
      </w:r>
      <w:r>
        <w:t xml:space="preserve"> siècle) et Washingtonianus (manuscrit du 5</w:t>
      </w:r>
      <w:r>
        <w:t>ᵉ</w:t>
      </w:r>
      <w:r>
        <w:t xml:space="preserve"> siècle). Dans ce dernier, le mot est utilisé dans </w:t>
      </w:r>
      <w:hyperlink r:id="rId9043">
        <w:r>
          <w:rPr>
            <w:color w:val="0000EE"/>
            <w:u w:val="single"/>
          </w:rPr>
          <w:t>Luc 6.17</w:t>
        </w:r>
      </w:hyperlink>
      <w:r>
        <w:t xml:space="preserve"> et est considéré comme une variante par la plupart des éditeurs du NT grec. Flavius Josèphe utilise le terme au premier siècle apr. J.-C. pour désigner la région « au-delà du Jourdain ». Selon Josèphe, le nom « Pérée » provient d'un mot grec qui signifie « au-delà ». La meilleure description de la localisation géographique de cette région se trouve dans la </w:t>
      </w:r>
      <w:r>
        <w:rPr>
          <w:i/>
        </w:rPr>
        <w:t>Guerre des Juifs</w:t>
      </w:r>
      <w:r>
        <w:t xml:space="preserve"> de Josèphe (3.3.3) : « La Pérée s’étend en longueur de Machérous à Pella, en largeur de Philadelphie jusqu’au Jourdain. Sa frontière nord est le territoire de Pella, dont nous venons de parler, sa frontière ouest le Jourdain ; au sud, elle confine au pays de Moab ; vers l’est, à l’Arabie, à l’Hesbonitide, aux territoires de Philadelphie et de Gerasa » (traduction de René Harmand). Gadara est appelée « capitale de la Pérée » par Josèphe parce que c'était une « ville forte » et parce que « Gadara comptait en effet un grand nombre de riches » (</w:t>
      </w:r>
      <w:r>
        <w:rPr>
          <w:i/>
        </w:rPr>
        <w:t>Guerre</w:t>
      </w:r>
      <w:r>
        <w:t xml:space="preserve"> 4.7.3). Cette Gadara ne doit pas être confondue avec la Gadara de la Décapole, l'actuelle Umm Qeis. La Gadara de Pérée correspond à Tell el-Jadur, qui se trouve à environ 24 kilomètres au nord-ouest de l'actuelle ville d'Amman en Jordanie.</w:t>
      </w:r>
    </w:p>
    <w:p>
      <w:r/>
      <w:r>
        <w:t xml:space="preserve">La Décapole est séparée de la Pérée dans </w:t>
      </w:r>
      <w:hyperlink r:id="rId1926">
        <w:r>
          <w:rPr>
            <w:color w:val="0000EE"/>
            <w:u w:val="single"/>
          </w:rPr>
          <w:t>Matthieu 4.25</w:t>
        </w:r>
      </w:hyperlink>
      <w:r>
        <w:t xml:space="preserve">. Elle y est mentionnée parmi les différentes régions de Palestine d'où des gens venaient pour entendre Jésus. La Pérée est ici appelée, comme dans </w:t>
      </w:r>
      <w:hyperlink r:id="rId9041">
        <w:r>
          <w:rPr>
            <w:color w:val="0000EE"/>
            <w:u w:val="single"/>
          </w:rPr>
          <w:t>Marc 3.8</w:t>
        </w:r>
      </w:hyperlink>
      <w:r>
        <w:t>, la région « au-delà du Jourdain ». Matthieu fait aussi allusion à la Pérée lorsqu'il mentionne « la région de Judée au-delà du Jourdain » (</w:t>
      </w:r>
      <w:hyperlink r:id="rId11841">
        <w:r>
          <w:rPr>
            <w:color w:val="0000EE"/>
            <w:u w:val="single"/>
          </w:rPr>
          <w:t>Mt 19.1</w:t>
        </w:r>
      </w:hyperlink>
      <w:r>
        <w:t xml:space="preserve">). Cette formulation est étonnante, car la Pérée n'a jamais fait partie du territoire politique de la Judée. En effet, elle ne faisait pas partie de la juridiction d'Archélaüs, mais de celle d'Hérode Antipas, qui contrôlait également la Galilée. Le passage parallèle dans </w:t>
      </w:r>
      <w:hyperlink r:id="rId11842">
        <w:r>
          <w:rPr>
            <w:color w:val="0000EE"/>
            <w:u w:val="single"/>
          </w:rPr>
          <w:t>Marc 10.1</w:t>
        </w:r>
      </w:hyperlink>
      <w:r>
        <w:t xml:space="preserve"> lit : « la région de Judée et au-delà du Jourdain ». Peut-être que Matthieu utilise cette expression pour désigner cette partie de la Pérée qui, bien que politiquement non rattachée à la Judée, avait une population juive. Dans son </w:t>
      </w:r>
      <w:r>
        <w:rPr>
          <w:i/>
        </w:rPr>
        <w:t>Histoire Naturelle</w:t>
      </w:r>
      <w:r>
        <w:t xml:space="preserve"> (77 apr. J.-C.), Pline parle de la Pérée comme étant « séparée par le Jourdain du reste de la Judée » (5.70, traduction d'Émile Littré). Il continue : « La Judée même est divisée en dix toparchies ». Chacune des dix toparchies ou régions avait son propre gouvernement local. Pline mentionne également que la mer Morte mesure « de long plus de 100 000 pas [74 kilomètres], dans la plus grande largeur 25 000 pas [18.5 kilomètres] » (</w:t>
      </w:r>
      <w:r>
        <w:rPr>
          <w:i/>
        </w:rPr>
        <w:t>Histoire Naturelle</w:t>
      </w:r>
      <w:r>
        <w:t xml:space="preserve"> 5.72, traduction d'Émile Littré). Ces chiffres sont très proches de ce que nous savons aujourd'hui : elle mesure 80,5 kilomètres de long et 17,7 kilomètres de large à l'endroit le plus large.</w:t>
      </w:r>
    </w:p>
    <w:p>
      <w:r/>
      <w:r>
        <w:t>La région était bien connue et est souvent désignée dans l'AT comme la région « au-delà du Jourdain » (</w:t>
      </w:r>
      <w:hyperlink r:id="rId7151">
        <w:r>
          <w:rPr>
            <w:color w:val="0000EE"/>
            <w:u w:val="single"/>
          </w:rPr>
          <w:t xml:space="preserve">Nb 22.1 </w:t>
        </w:r>
      </w:hyperlink>
      <w:r>
        <w:t xml:space="preserve">; </w:t>
      </w:r>
      <w:hyperlink r:id="rId11843">
        <w:r>
          <w:rPr>
            <w:color w:val="0000EE"/>
            <w:u w:val="single"/>
          </w:rPr>
          <w:t>Dt 1.1, 5</w:t>
        </w:r>
      </w:hyperlink>
      <w:r>
        <w:t>). Sa partie sud était partagée par les deux tribus israélites de Gad et de Ruben (</w:t>
      </w:r>
      <w:hyperlink r:id="rId11844">
        <w:r>
          <w:rPr>
            <w:color w:val="0000EE"/>
            <w:u w:val="single"/>
          </w:rPr>
          <w:t>Jos 1.12–14</w:t>
        </w:r>
      </w:hyperlink>
      <w:r>
        <w:t>). La Pérée, s'étendant depuis le ruisseau Kerith au nord et presque jusqu'à la rivière Arnon au sud, était pratiquement synonyme de Galaad dans l'AT (</w:t>
      </w:r>
      <w:hyperlink r:id="rId11845">
        <w:r>
          <w:rPr>
            <w:color w:val="0000EE"/>
            <w:u w:val="single"/>
          </w:rPr>
          <w:t xml:space="preserve">Jos 22.9 </w:t>
        </w:r>
      </w:hyperlink>
      <w:r>
        <w:t xml:space="preserve">; </w:t>
      </w:r>
      <w:hyperlink r:id="rId11846">
        <w:r>
          <w:rPr>
            <w:color w:val="0000EE"/>
            <w:u w:val="single"/>
          </w:rPr>
          <w:t>Jg 5.17</w:t>
        </w:r>
      </w:hyperlink>
      <w:r>
        <w:t>).</w:t>
      </w:r>
    </w:p>
    <w:p>
      <w:r/>
      <w:r>
        <w:t>La Pérée semble avoir été une région importante pendant les décennies précédant la naissance du Christ (la période hellénistique). Elle était alors sous le contrôle de dirigeants juifs maccabéens depuis environ 124 av. J.-C. Lorsqu'elle passe au pouvoir des Romains, elle est confiée à Hérode le Grand jusqu'à sa mort en 4 av. J.-C. Elle est alors léguée par testament à son fils Hérode Antipas, ainsi que la Galilée. La région était belle et productive et avait des arbres dont on obtenait un baume médicinal réputé (</w:t>
      </w:r>
      <w:hyperlink r:id="rId5860">
        <w:r>
          <w:rPr>
            <w:color w:val="0000EE"/>
            <w:u w:val="single"/>
          </w:rPr>
          <w:t xml:space="preserve">Jr 8.22 </w:t>
        </w:r>
      </w:hyperlink>
      <w:r>
        <w:t xml:space="preserve">; </w:t>
      </w:r>
      <w:hyperlink r:id="rId5861">
        <w:r>
          <w:rPr>
            <w:color w:val="0000EE"/>
            <w:u w:val="single"/>
          </w:rPr>
          <w:t>46.11</w:t>
        </w:r>
      </w:hyperlink>
      <w:r>
        <w:t xml:space="preserve">). Elle a donc toujours été bien peuplée. Elle abritait de nombreuses villes connues, dont Pella, Jabès en Galaad, Succoth, Peniel et Gérasa (l'actuelle Jerash). Hérode Antipas avait même un fort nommé Machéronte dans le sud de la Pérée. C'est là qu'il a emprisonné et fait exécuter Jean le Baptiste (voir les </w:t>
      </w:r>
      <w:r>
        <w:rPr>
          <w:i/>
        </w:rPr>
        <w:t>Antiquités</w:t>
      </w:r>
      <w:r>
        <w:t xml:space="preserve"> de Josèphe 18.5.2).</w:t>
      </w:r>
    </w:p>
    <w:p>
      <w:r/>
      <w:r>
        <w:t>Les Juifs qui voyageaient entre la Galilée et la Judée avaient pour habitude de traverser le Jourdain pour passer par la Pérée et ainsi éviter tout contact avec les Samaritains. Jean-Baptiste a baptisé à Béthanie au-delà du Jourdain. C'est là qu'il a annoncé que Jésus était l'Agneau de Dieu (</w:t>
      </w:r>
      <w:hyperlink r:id="rId11847">
        <w:r>
          <w:rPr>
            <w:color w:val="0000EE"/>
            <w:u w:val="single"/>
          </w:rPr>
          <w:t>Jn 1.28–29</w:t>
        </w:r>
      </w:hyperlink>
      <w:r>
        <w:t>). Jésus y est retourné une fois alors qu'on cherchait à l'arrêter à Jérusalem (</w:t>
      </w:r>
      <w:hyperlink r:id="rId11848">
        <w:r>
          <w:rPr>
            <w:color w:val="0000EE"/>
            <w:u w:val="single"/>
          </w:rPr>
          <w:t>10.40</w:t>
        </w:r>
      </w:hyperlink>
      <w:r>
        <w:t>).</w:t>
      </w:r>
      <w:r/>
      <w:r/>
    </w:p>
    <w:p>
      <w:r/>
    </w:p>
    <w:p>
      <w:pPr>
        <w:pStyle w:val="Heading2"/>
      </w:pPr>
      <w:r>
        <w:t>Perge</w:t>
      </w:r>
      <w:r/>
    </w:p>
    <w:p>
      <w:r/>
      <w:r>
        <w:t>Perge était une ville ancienne importante située en Pamphylie (une région qui se trouve dans le sud de la Turquie actuelle). Les Grecs ont probablement construit cette ville très tôt dans son histoire. Elle est devenue la ville religieuse la plus importante de la Pamphylie.</w:t>
      </w:r>
    </w:p>
    <w:p>
      <w:r/>
      <w:r>
        <w:t>Au 2e siècle av. J.‑C., les soldats romains ont vaincu et expulsé un groupe de soldats syriens qui contrôlaient la ville. Après cela, Perge a pu principalement se gouverner elle-même sans être contrôlée par d'autres nations.</w:t>
      </w:r>
    </w:p>
    <w:p>
      <w:pPr>
        <w:pStyle w:val="Heading3"/>
      </w:pPr>
      <w:r>
        <w:t>La Visite de Paul à Perge lors de ses voyages missionnaires</w:t>
      </w:r>
    </w:p>
    <w:p>
      <w:r/>
      <w:r>
        <w:t xml:space="preserve">Lors de leur premier voyage missionnaire, Paul et ses collègues ont traversé la ville en route vers Antioche de Pisidie. Le Livre des Actes ne rapporte aucune activité de prédication à cette occasion (il note seulement que Jean Marc a quitté ses compagnons à Perge et est retourné à Jérusalem, </w:t>
      </w:r>
      <w:hyperlink r:id="rId11849">
        <w:r>
          <w:rPr>
            <w:color w:val="0000EE"/>
            <w:u w:val="single"/>
          </w:rPr>
          <w:t>Ac 13.13–14</w:t>
        </w:r>
      </w:hyperlink>
      <w:r>
        <w:t xml:space="preserve">). Luc, l'auteur du livre des Actes, l'aurait probablement mentionné si c'était le cas. La raison pour laquelle il n'a pas prêché n'est pas précisée. Un célèbre temple de Diane, une déesse de la nature anatolienne, se trouvait près de Perge. Cependant, d'après ce que nous savons des actions de Paul ailleurs, cela ne l'aurait pas arrêté. En effet, cela aurait plutôt représenté un défi positif pour l'apôtre. Peut-être était-il malade. Certains commentateurs suggèrent un lien possible avec </w:t>
      </w:r>
      <w:hyperlink r:id="rId8910">
        <w:r>
          <w:rPr>
            <w:color w:val="0000EE"/>
            <w:u w:val="single"/>
          </w:rPr>
          <w:t>Galates 4.13.</w:t>
        </w:r>
      </w:hyperlink>
      <w:r>
        <w:t xml:space="preserve"> Cependant, dans ce cas, Barnabas aurait probablement prêché à la place de Paul. Le manque de prédication à Perge pourrait avoir coïncidé avec un désaccord dans le groupe concernant l'évangélisation et l'acceptation des Gentils. Dans ce cas, il se pourrait que Jean Marc ait quitté le groupe en raison de divergences avec Paul.</w:t>
      </w:r>
    </w:p>
    <w:p>
      <w:r/>
      <w:r>
        <w:t xml:space="preserve">Lors de leur trajet retour, cependant, Paul et Barnabas ont bien prêché l'Évangile à Perge (« [ils] </w:t>
      </w:r>
      <w:r>
        <w:t>annoncèrent la parole à Perge</w:t>
      </w:r>
      <w:r>
        <w:t xml:space="preserve"> »; </w:t>
      </w:r>
      <w:hyperlink r:id="rId11850">
        <w:r>
          <w:rPr>
            <w:color w:val="0000EE"/>
            <w:u w:val="single"/>
          </w:rPr>
          <w:t>Ac 14.25–26</w:t>
        </w:r>
      </w:hyperlink>
      <w:r>
        <w:t>). Ils quitteront ensuite ce lieu pour se rendre à Attalie, ville où ils ont pris un bateau pour Antioche de Syrie. Les retombées de cette prédication ne sont pas connues, mais il est évident que le christianisme n'a pas prospéré à Perge comme il l'a fait dans d'autres villes d'Asie Mineure.</w:t>
      </w:r>
      <w:r/>
      <w:r/>
    </w:p>
    <w:p>
      <w:r/>
    </w:p>
    <w:p>
      <w:pPr>
        <w:pStyle w:val="Heading2"/>
      </w:pPr>
      <w:r>
        <w:t>Persécution</w:t>
      </w:r>
      <w:r/>
    </w:p>
    <w:p>
      <w:r/>
      <w:r>
        <w:t xml:space="preserve">Souffrances, blessures ou mort infligées à autrui en raison de son identité ou de ses croyances. </w:t>
      </w:r>
    </w:p>
    <w:p>
      <w:r/>
      <w:r>
        <w:t>La Bible commence par un récit de la persécution des justes par les injustes (</w:t>
      </w:r>
      <w:hyperlink r:id="rId11851">
        <w:r>
          <w:rPr>
            <w:color w:val="0000EE"/>
            <w:u w:val="single"/>
          </w:rPr>
          <w:t>Gn 4.3–7</w:t>
        </w:r>
      </w:hyperlink>
      <w:r>
        <w:t xml:space="preserve">, « L'Éternel porta un regard favorable sur Abel » ; </w:t>
      </w:r>
      <w:hyperlink r:id="rId21">
        <w:r>
          <w:rPr>
            <w:color w:val="0000EE"/>
            <w:u w:val="single"/>
          </w:rPr>
          <w:t>Mt 23.35</w:t>
        </w:r>
      </w:hyperlink>
      <w:r>
        <w:t xml:space="preserve"> ; </w:t>
      </w:r>
      <w:hyperlink r:id="rId23">
        <w:r>
          <w:rPr>
            <w:color w:val="0000EE"/>
            <w:u w:val="single"/>
          </w:rPr>
          <w:t>Hé 11.4</w:t>
        </w:r>
      </w:hyperlink>
      <w:r>
        <w:t>). Le livre de la Sagesse de Salomon (</w:t>
      </w:r>
      <w:hyperlink r:id="rId11852">
        <w:r>
          <w:rPr>
            <w:color w:val="0000EE"/>
            <w:u w:val="single"/>
          </w:rPr>
          <w:t>Sg 2.12–20</w:t>
        </w:r>
      </w:hyperlink>
      <w:r>
        <w:t>) illustre de manière dramatique l'envie et la culpabilité qui incitent à de telles persécutions. L'expérience de Lot illustre aussi la souffrance qu'apporte le refus d'imiter le comportement populaire (</w:t>
      </w:r>
      <w:hyperlink r:id="rId11853">
        <w:r>
          <w:rPr>
            <w:color w:val="0000EE"/>
            <w:u w:val="single"/>
          </w:rPr>
          <w:t>Gn 19.9</w:t>
        </w:r>
      </w:hyperlink>
      <w:r>
        <w:t xml:space="preserve"> ; </w:t>
      </w:r>
      <w:hyperlink r:id="rId11854">
        <w:r>
          <w:rPr>
            <w:color w:val="0000EE"/>
            <w:u w:val="single"/>
          </w:rPr>
          <w:t>2P 2.7–8</w:t>
        </w:r>
      </w:hyperlink>
      <w:r>
        <w:t xml:space="preserve">). Les mauvais traitements subis par Israël en Égypte, comme son oppression plus tard par les Philistins, les Madianites et d'autres, avaient des motifs économiques et politiques. </w:t>
      </w:r>
    </w:p>
    <w:p>
      <w:r/>
      <w:r>
        <w:t>La politique royale incluait le syncrétisme (le mélange des cultes et religions), la tolérance officielle de l'injustice et l'immoralité païenne. Pour ceux qui refusaient tout cela, la persécution devient fréquente à partir de la période d'Élie (</w:t>
      </w:r>
      <w:hyperlink r:id="rId11855">
        <w:r>
          <w:rPr>
            <w:color w:val="0000EE"/>
            <w:u w:val="single"/>
          </w:rPr>
          <w:t>1R 19.10</w:t>
        </w:r>
      </w:hyperlink>
      <w:r>
        <w:t>). Les prophètes après Élie sont des porte-parole de la vérité inflexible et des revendications de la loi divine face au mal. Ils souffrent cruellement aux mains des dirigeants. La persécution en est devenue, aux yeux des Juifs, la marque du véritable prophète (</w:t>
      </w:r>
      <w:hyperlink r:id="rId11856">
        <w:r>
          <w:rPr>
            <w:color w:val="0000EE"/>
            <w:u w:val="single"/>
          </w:rPr>
          <w:t>2Ch 36.15–16</w:t>
        </w:r>
      </w:hyperlink>
      <w:r>
        <w:t xml:space="preserve"> ; </w:t>
      </w:r>
      <w:hyperlink r:id="rId2715">
        <w:r>
          <w:rPr>
            <w:color w:val="0000EE"/>
            <w:u w:val="single"/>
          </w:rPr>
          <w:t>Mt 5.12</w:t>
        </w:r>
      </w:hyperlink>
      <w:r>
        <w:t xml:space="preserve"> ; </w:t>
      </w:r>
      <w:hyperlink r:id="rId11857">
        <w:r>
          <w:rPr>
            <w:color w:val="0000EE"/>
            <w:u w:val="single"/>
          </w:rPr>
          <w:t>23.29–37</w:t>
        </w:r>
      </w:hyperlink>
      <w:r>
        <w:t xml:space="preserve"> ; </w:t>
      </w:r>
      <w:hyperlink r:id="rId11858">
        <w:r>
          <w:rPr>
            <w:color w:val="0000EE"/>
            <w:u w:val="single"/>
          </w:rPr>
          <w:t>Ac 7.52</w:t>
        </w:r>
      </w:hyperlink>
      <w:r>
        <w:t xml:space="preserve"> ; </w:t>
      </w:r>
      <w:hyperlink r:id="rId11859">
        <w:r>
          <w:rPr>
            <w:color w:val="0000EE"/>
            <w:u w:val="single"/>
          </w:rPr>
          <w:t>Hé 11.32–38</w:t>
        </w:r>
      </w:hyperlink>
      <w:r>
        <w:t>).</w:t>
      </w:r>
    </w:p>
    <w:p>
      <w:r/>
      <w:r>
        <w:t>Les histoires de Daniel illustrent la persécution pendant l'exil. De retour sous domination étrangère, les Juifs stricts ont cherché à préserver leur identité et leur religion face aux pressions étrangères et aux compromis des Juifs laxistes qui recherchaient le confort et la réussite (</w:t>
      </w:r>
      <w:hyperlink r:id="rId11860">
        <w:r>
          <w:rPr>
            <w:color w:val="0000EE"/>
            <w:u w:val="single"/>
          </w:rPr>
          <w:t>1 M 1.11–15</w:t>
        </w:r>
      </w:hyperlink>
      <w:r>
        <w:t xml:space="preserve"> ; </w:t>
      </w:r>
      <w:hyperlink r:id="rId11861">
        <w:r>
          <w:rPr>
            <w:color w:val="0000EE"/>
            <w:u w:val="single"/>
          </w:rPr>
          <w:t>2.42–48</w:t>
        </w:r>
      </w:hyperlink>
      <w:r>
        <w:t xml:space="preserve">). Le résultat a été l'oppression sociale et le harcèlement. Cela a conduit à des appels répétés à la justification et à l'intervention divine tels que les Psaumes </w:t>
      </w:r>
      <w:hyperlink r:id="rId11862">
        <w:r>
          <w:rPr>
            <w:color w:val="0000EE"/>
            <w:u w:val="single"/>
          </w:rPr>
          <w:t>10</w:t>
        </w:r>
      </w:hyperlink>
      <w:r>
        <w:t xml:space="preserve">, </w:t>
      </w:r>
      <w:hyperlink r:id="rId10483">
        <w:r>
          <w:rPr>
            <w:color w:val="0000EE"/>
            <w:u w:val="single"/>
          </w:rPr>
          <w:t>69</w:t>
        </w:r>
      </w:hyperlink>
      <w:r>
        <w:t xml:space="preserve">, </w:t>
      </w:r>
      <w:hyperlink r:id="rId11863">
        <w:r>
          <w:rPr>
            <w:color w:val="0000EE"/>
            <w:u w:val="single"/>
          </w:rPr>
          <w:t>140</w:t>
        </w:r>
      </w:hyperlink>
      <w:r>
        <w:t xml:space="preserve"> et </w:t>
      </w:r>
      <w:hyperlink r:id="rId11864">
        <w:r>
          <w:rPr>
            <w:color w:val="0000EE"/>
            <w:u w:val="single"/>
          </w:rPr>
          <w:t>149</w:t>
        </w:r>
      </w:hyperlink>
      <w:r>
        <w:t>. Ces psaumes sont devenus douloureusement d'actualité dans le culte post-exilique. Cette persécution a atteint un sommet horrifiant de cruauté à l'époque des Maccabées, provoquant une résistance armée (</w:t>
      </w:r>
      <w:hyperlink r:id="rId11865">
        <w:r>
          <w:rPr>
            <w:color w:val="0000EE"/>
            <w:u w:val="single"/>
          </w:rPr>
          <w:t>2 M 6–7</w:t>
        </w:r>
      </w:hyperlink>
      <w:r>
        <w:t xml:space="preserve"> ; </w:t>
      </w:r>
      <w:hyperlink r:id="rId11866">
        <w:r>
          <w:rPr>
            <w:color w:val="0000EE"/>
            <w:u w:val="single"/>
          </w:rPr>
          <w:t>Hé 11.35–38</w:t>
        </w:r>
      </w:hyperlink>
      <w:r>
        <w:t>).</w:t>
      </w:r>
    </w:p>
    <w:p>
      <w:r/>
      <w:r>
        <w:t>Ainsi, malgré sa confiance en la souveraineté de Dieu et en sa « protection », Israël a appris que le droit ne prospère pas toujours dans ce monde, que la fidélité à la vérité n'assure pas d'échapper à la souffrance, au sacrifice ou au martyre.</w:t>
      </w:r>
    </w:p>
    <w:p>
      <w:r/>
      <w:r>
        <w:t>Le christianisme hérite de cette acceptation du coût élevé de la droiture. Jésus critique le légalisme et le nationalisme des pharisiens, et les compromis des sadducéens pour protéger leurs propres privilèges (</w:t>
      </w:r>
      <w:hyperlink r:id="rId11867">
        <w:r>
          <w:rPr>
            <w:color w:val="0000EE"/>
            <w:u w:val="single"/>
          </w:rPr>
          <w:t>Jn 11.47–50</w:t>
        </w:r>
      </w:hyperlink>
      <w:r>
        <w:t>). Jésus avertit ses disciples à plusieurs reprises de la persécution, même au sein des foyers. Il exhorte à une préparation « armée » pour celle-ci et promet l'assistance de l'Esprit devant les cours de justice (</w:t>
      </w:r>
      <w:hyperlink r:id="rId7368">
        <w:r>
          <w:rPr>
            <w:color w:val="0000EE"/>
            <w:u w:val="single"/>
          </w:rPr>
          <w:t>Mt 5.11–12</w:t>
        </w:r>
      </w:hyperlink>
      <w:r>
        <w:t xml:space="preserve"> ; </w:t>
      </w:r>
      <w:hyperlink r:id="rId11868">
        <w:r>
          <w:rPr>
            <w:color w:val="0000EE"/>
            <w:u w:val="single"/>
          </w:rPr>
          <w:t>10.16–23, 34–36</w:t>
        </w:r>
      </w:hyperlink>
      <w:r>
        <w:t xml:space="preserve"> ; </w:t>
      </w:r>
      <w:hyperlink r:id="rId11869">
        <w:r>
          <w:rPr>
            <w:color w:val="0000EE"/>
            <w:u w:val="single"/>
          </w:rPr>
          <w:t>23.34</w:t>
        </w:r>
      </w:hyperlink>
      <w:r>
        <w:t xml:space="preserve"> ; </w:t>
      </w:r>
      <w:hyperlink r:id="rId11870">
        <w:r>
          <w:rPr>
            <w:color w:val="0000EE"/>
            <w:u w:val="single"/>
          </w:rPr>
          <w:t>Lc 6.26</w:t>
        </w:r>
      </w:hyperlink>
      <w:r>
        <w:t xml:space="preserve"> ; </w:t>
      </w:r>
      <w:hyperlink r:id="rId2053">
        <w:r>
          <w:rPr>
            <w:color w:val="0000EE"/>
            <w:u w:val="single"/>
          </w:rPr>
          <w:t>22.35–36</w:t>
        </w:r>
      </w:hyperlink>
      <w:r>
        <w:t>). Jésus est profondément indigné du meurtre de Jean le Baptiste par Hérode (</w:t>
      </w:r>
      <w:hyperlink r:id="rId11871">
        <w:r>
          <w:rPr>
            <w:color w:val="0000EE"/>
            <w:u w:val="single"/>
          </w:rPr>
          <w:t>Lc 23.9</w:t>
        </w:r>
      </w:hyperlink>
      <w:r>
        <w:t xml:space="preserve">). Il n'accomplit les actions militaires que le peuple espère voir le Messie réaliser. Pour ces raisons, il sait qu'il sera rejeté et il sait quel sort l'attend. </w:t>
      </w:r>
    </w:p>
    <w:p>
      <w:r/>
      <w:r>
        <w:t>Son appel au discipulat inclut des avertissements de danger, d'insultes, de calomnies, d'accusations, de flagellations, de comparution devant les tribunaux, de haine et de mort. Il invite franchement ses disciples à se préparer à sa crucifixion, comme le seul chemin vers la vie et le royaume (</w:t>
      </w:r>
      <w:hyperlink r:id="rId11872">
        <w:r>
          <w:rPr>
            <w:color w:val="0000EE"/>
            <w:u w:val="single"/>
          </w:rPr>
          <w:t>Mt 16.21–26</w:t>
        </w:r>
      </w:hyperlink>
      <w:r>
        <w:t xml:space="preserve"> ; </w:t>
      </w:r>
      <w:hyperlink r:id="rId11873">
        <w:r>
          <w:rPr>
            <w:color w:val="0000EE"/>
            <w:u w:val="single"/>
          </w:rPr>
          <w:t>20.17–22</w:t>
        </w:r>
      </w:hyperlink>
      <w:r>
        <w:t xml:space="preserve"> ; </w:t>
      </w:r>
      <w:hyperlink r:id="rId11874">
        <w:r>
          <w:rPr>
            <w:color w:val="0000EE"/>
            <w:u w:val="single"/>
          </w:rPr>
          <w:t>Mc 10.29–30</w:t>
        </w:r>
      </w:hyperlink>
      <w:r>
        <w:t xml:space="preserve"> ; </w:t>
      </w:r>
      <w:hyperlink r:id="rId11875">
        <w:r>
          <w:rPr>
            <w:color w:val="0000EE"/>
            <w:u w:val="single"/>
          </w:rPr>
          <w:t>Jn 15.18–25</w:t>
        </w:r>
      </w:hyperlink>
      <w:r>
        <w:t xml:space="preserve"> ; </w:t>
      </w:r>
      <w:hyperlink r:id="rId11876">
        <w:r>
          <w:rPr>
            <w:color w:val="0000EE"/>
            <w:u w:val="single"/>
          </w:rPr>
          <w:t>16.1–4</w:t>
        </w:r>
      </w:hyperlink>
      <w:r>
        <w:t>). Les accusateurs de Jésus prétendent qu'il est coupable des choses suivantes pour le faire tuer : pousser la nation à la révolte, empêcher de payer les impôts aux Romains et affirmer être roi (</w:t>
      </w:r>
      <w:hyperlink r:id="rId6700">
        <w:r>
          <w:rPr>
            <w:color w:val="0000EE"/>
            <w:u w:val="single"/>
          </w:rPr>
          <w:t>Lc 23.2</w:t>
        </w:r>
      </w:hyperlink>
      <w:r>
        <w:t>).</w:t>
      </w:r>
    </w:p>
    <w:p>
      <w:r/>
      <w:r>
        <w:t>La première persécution de l'Église par les autorités juives est principalement provoquée par les accusations de Pierre concernant le meurtre du Messie. À mesure que l'influence apostolique grandit, la punition en vient à inclure l'emprisonnement et les coups (</w:t>
      </w:r>
      <w:hyperlink r:id="rId11877">
        <w:r>
          <w:rPr>
            <w:color w:val="0000EE"/>
            <w:u w:val="single"/>
          </w:rPr>
          <w:t>Ac 5.17, 40</w:t>
        </w:r>
      </w:hyperlink>
      <w:r>
        <w:t>). La puissante défense de l'helléniste Étienne incite la foule juive à le lapider (</w:t>
      </w:r>
      <w:hyperlink r:id="rId6395">
        <w:r>
          <w:rPr>
            <w:color w:val="0000EE"/>
            <w:u w:val="single"/>
          </w:rPr>
          <w:t>Ac 6–7</w:t>
        </w:r>
      </w:hyperlink>
      <w:r>
        <w:t>). C'est là le signal d'une « grande persécution » qui disperse la plupart des chrétiens de Jérusalem. La conversion du persécuteur de l'Église par excellence, Saül de Tarse, marque une victoire retentissante face à l'opposition. La mort soudaine d'Hérode juste après avoir attaqué l'Église « pour plaire aux Juifs » va dans le même sens (</w:t>
      </w:r>
      <w:hyperlink r:id="rId11878">
        <w:r>
          <w:rPr>
            <w:color w:val="0000EE"/>
            <w:u w:val="single"/>
          </w:rPr>
          <w:t>Ac 12.1–3, 20–24</w:t>
        </w:r>
      </w:hyperlink>
      <w:r>
        <w:t>).</w:t>
      </w:r>
    </w:p>
    <w:p>
      <w:r/>
      <w:r>
        <w:t>Le christianisme se répand dans le monde des Gentils. Une nouvelle vague de persécution juive survient lorsque des troubles apparaissent dans les synagogues (</w:t>
      </w:r>
      <w:hyperlink r:id="rId11879">
        <w:r>
          <w:rPr>
            <w:color w:val="0000EE"/>
            <w:u w:val="single"/>
          </w:rPr>
          <w:t>Ac 13.44–45, 50</w:t>
        </w:r>
      </w:hyperlink>
      <w:r>
        <w:t xml:space="preserve"> ; </w:t>
      </w:r>
      <w:hyperlink r:id="rId11880">
        <w:r>
          <w:rPr>
            <w:color w:val="0000EE"/>
            <w:u w:val="single"/>
          </w:rPr>
          <w:t>14.1–6, 19</w:t>
        </w:r>
      </w:hyperlink>
      <w:r>
        <w:t xml:space="preserve"> ; </w:t>
      </w:r>
      <w:hyperlink r:id="rId11881">
        <w:r>
          <w:rPr>
            <w:color w:val="0000EE"/>
            <w:u w:val="single"/>
          </w:rPr>
          <w:t>17.1, 5, 13</w:t>
        </w:r>
      </w:hyperlink>
      <w:r>
        <w:t xml:space="preserve"> ; </w:t>
      </w:r>
      <w:hyperlink r:id="rId11882">
        <w:r>
          <w:rPr>
            <w:color w:val="0000EE"/>
            <w:u w:val="single"/>
          </w:rPr>
          <w:t>18.4–6, 12</w:t>
        </w:r>
      </w:hyperlink>
      <w:r>
        <w:t>). La guérison d'une esclave à Philippes mène à l'emprisonnement des disciples (</w:t>
      </w:r>
      <w:hyperlink r:id="rId11883">
        <w:r>
          <w:rPr>
            <w:color w:val="0000EE"/>
            <w:u w:val="single"/>
          </w:rPr>
          <w:t>16.19–24</w:t>
        </w:r>
      </w:hyperlink>
      <w:r>
        <w:t>). A Éphèse, l'impact de la prédication chrétienne sur le commerce des fabricants d'idoles provoque une menace dangereuse, que les autorités arrivent à éviter (</w:t>
      </w:r>
      <w:hyperlink r:id="rId527">
        <w:r>
          <w:rPr>
            <w:color w:val="0000EE"/>
            <w:u w:val="single"/>
          </w:rPr>
          <w:t>19.23–41</w:t>
        </w:r>
      </w:hyperlink>
      <w:r>
        <w:t>). Paul échappe au complot de plus de 40 hommes qui ont juré de le tuer dans une embuscade (</w:t>
      </w:r>
      <w:hyperlink r:id="rId11884">
        <w:r>
          <w:rPr>
            <w:color w:val="0000EE"/>
            <w:u w:val="single"/>
          </w:rPr>
          <w:t>21.4–36</w:t>
        </w:r>
      </w:hyperlink>
      <w:r>
        <w:t xml:space="preserve"> ; </w:t>
      </w:r>
      <w:hyperlink r:id="rId8292">
        <w:r>
          <w:rPr>
            <w:color w:val="0000EE"/>
            <w:u w:val="single"/>
          </w:rPr>
          <w:t>23.12–15</w:t>
        </w:r>
      </w:hyperlink>
      <w:r>
        <w:t>). Le livre des Actes se termine avec Paul qui attend son procès devant César (</w:t>
      </w:r>
      <w:hyperlink r:id="rId196">
        <w:r>
          <w:rPr>
            <w:color w:val="0000EE"/>
            <w:u w:val="single"/>
          </w:rPr>
          <w:t>28.30–31</w:t>
        </w:r>
      </w:hyperlink>
      <w:r>
        <w:t>).</w:t>
      </w:r>
    </w:p>
    <w:p>
      <w:r/>
      <w:r>
        <w:t>Durant cette période, la persécution des chrétiens est sporadique, locale et principalement d'origine juive. Elle semble provoquée par leur envie face au succès missionnaire de l'Église. Officiellement, le christianisme, en tant que secte juive (</w:t>
      </w:r>
      <w:hyperlink r:id="rId4951">
        <w:r>
          <w:rPr>
            <w:color w:val="0000EE"/>
            <w:u w:val="single"/>
          </w:rPr>
          <w:t>Ac 24.5, 14</w:t>
        </w:r>
      </w:hyperlink>
      <w:r>
        <w:t>), partage le statut légal du judaïsme. Ainsi, Paul reçoit la protection romaine à Paphos, Philippes, Corinthe, Éphèse et Jérusalem de la part des gouverneurs Félix et Festus, et d'Hérode Agrippa, qui les conseille. Il reçoit aussi la protection du centurion qui le conduit à Rome. Cela explique l'appel confiant de Paul à César ; un acquittement impérial aurait garanti au christianisme la protection contre toute persécution dans l'empire romain.</w:t>
      </w:r>
    </w:p>
    <w:p>
      <w:r/>
      <w:r>
        <w:t>L'attitude de Paul face à la persécution comprend du regret, car il avait lui-même persécuté l'Église (</w:t>
      </w:r>
      <w:hyperlink r:id="rId8164">
        <w:r>
          <w:rPr>
            <w:color w:val="0000EE"/>
            <w:u w:val="single"/>
          </w:rPr>
          <w:t>Ac 22.4</w:t>
        </w:r>
      </w:hyperlink>
      <w:r>
        <w:t xml:space="preserve">; </w:t>
      </w:r>
      <w:hyperlink r:id="rId11885">
        <w:r>
          <w:rPr>
            <w:color w:val="0000EE"/>
            <w:u w:val="single"/>
          </w:rPr>
          <w:t>26.9–11</w:t>
        </w:r>
      </w:hyperlink>
      <w:r>
        <w:t xml:space="preserve">; </w:t>
      </w:r>
      <w:hyperlink r:id="rId11886">
        <w:r>
          <w:rPr>
            <w:color w:val="0000EE"/>
            <w:u w:val="single"/>
          </w:rPr>
          <w:t>Ga 1.22–24</w:t>
        </w:r>
      </w:hyperlink>
      <w:r>
        <w:t>). Il accepte aussi volontairement les risques de l'obéissance à Christ (</w:t>
      </w:r>
      <w:hyperlink r:id="rId11887">
        <w:r>
          <w:rPr>
            <w:color w:val="0000EE"/>
            <w:u w:val="single"/>
          </w:rPr>
          <w:t>Ac 20.22–24</w:t>
        </w:r>
      </w:hyperlink>
      <w:r>
        <w:t xml:space="preserve">; </w:t>
      </w:r>
      <w:hyperlink r:id="rId11888">
        <w:r>
          <w:rPr>
            <w:color w:val="0000EE"/>
            <w:u w:val="single"/>
          </w:rPr>
          <w:t>21.13</w:t>
        </w:r>
      </w:hyperlink>
      <w:r>
        <w:t>). Il avertit constamment les croyants que la tribulation est inséparable du discipulat (</w:t>
      </w:r>
      <w:hyperlink r:id="rId11889">
        <w:r>
          <w:rPr>
            <w:color w:val="0000EE"/>
            <w:u w:val="single"/>
          </w:rPr>
          <w:t>Ac 14.22</w:t>
        </w:r>
      </w:hyperlink>
      <w:r>
        <w:t xml:space="preserve">; </w:t>
      </w:r>
      <w:hyperlink r:id="rId11890">
        <w:r>
          <w:rPr>
            <w:color w:val="0000EE"/>
            <w:u w:val="single"/>
          </w:rPr>
          <w:t>Rm 5.3</w:t>
        </w:r>
      </w:hyperlink>
      <w:r>
        <w:t xml:space="preserve">; </w:t>
      </w:r>
      <w:hyperlink r:id="rId11891">
        <w:r>
          <w:rPr>
            <w:color w:val="0000EE"/>
            <w:u w:val="single"/>
          </w:rPr>
          <w:t>12.12</w:t>
        </w:r>
      </w:hyperlink>
      <w:r>
        <w:t xml:space="preserve">; </w:t>
      </w:r>
      <w:hyperlink r:id="rId11892">
        <w:r>
          <w:rPr>
            <w:color w:val="0000EE"/>
            <w:u w:val="single"/>
          </w:rPr>
          <w:t>1Th 3.4</w:t>
        </w:r>
      </w:hyperlink>
      <w:r>
        <w:t>). Il les assure aussi que dans chaque forme de tribulation, les chrétiens sont plus que vainqueurs (</w:t>
      </w:r>
      <w:hyperlink r:id="rId11893">
        <w:r>
          <w:rPr>
            <w:color w:val="0000EE"/>
            <w:u w:val="single"/>
          </w:rPr>
          <w:t>Rm 8.35–37</w:t>
        </w:r>
      </w:hyperlink>
      <w:r>
        <w:t>).</w:t>
      </w:r>
    </w:p>
    <w:p>
      <w:r/>
      <w:r>
        <w:t xml:space="preserve">Il est presque certain que Paul a été décapité lors d'une cruelle persécution à Rome après l'incendie de la ville dont les chrétiens ont été accusés d'être responsables. Ils étaient souvent accusés d'être « athées » (ils rejetaient le polythéisme), d'attirer uniquement des d'esclaves, de faire des agapes « scandaleuses » et de se comporter de manière austère et peu sociable (voir </w:t>
      </w:r>
      <w:hyperlink r:id="rId10285">
        <w:r>
          <w:rPr>
            <w:color w:val="0000EE"/>
            <w:u w:val="single"/>
          </w:rPr>
          <w:t>Jn 15.19</w:t>
        </w:r>
      </w:hyperlink>
      <w:r>
        <w:t>). Tout cela faisait d'eux une cible populaire de choix.</w:t>
      </w:r>
    </w:p>
    <w:p>
      <w:r/>
      <w:r>
        <w:t>À cette époque, Pierre avertit les chrétiens de l'Orient du danger qui menace l'Église. Pendant un certain temps, « diverses épreuves » ne font que prouver l'authenticité de la foi (</w:t>
      </w:r>
      <w:hyperlink r:id="rId11894">
        <w:r>
          <w:rPr>
            <w:color w:val="0000EE"/>
            <w:u w:val="single"/>
          </w:rPr>
          <w:t>1P 1.6</w:t>
        </w:r>
      </w:hyperlink>
      <w:r>
        <w:t>). La calomnie doit être contrée par une vie irréprochable. L'honneur doit être rendu aux autorités. Souffrir pour la justice doit être accepté sans crainte. Des défenses respectueuses doivent être préparées, avec des consciences claires. Si les chrétiens souffrent pour avoir fait le bien, qu'ils se souviennent que le Christ a souffert aussi, et qu'il a souffert pour eux. Ainsi, ils doivent s'« armer » pour la souffrance (</w:t>
      </w:r>
      <w:hyperlink r:id="rId11895">
        <w:r>
          <w:rPr>
            <w:color w:val="0000EE"/>
            <w:u w:val="single"/>
          </w:rPr>
          <w:t>4.1</w:t>
        </w:r>
      </w:hyperlink>
      <w:r>
        <w:t xml:space="preserve">), et ne pas être surpris par la persécution comme par « une chose étrange » (v. </w:t>
      </w:r>
      <w:hyperlink r:id="rId2232">
        <w:r>
          <w:rPr>
            <w:color w:val="0000EE"/>
            <w:u w:val="single"/>
          </w:rPr>
          <w:t>12</w:t>
        </w:r>
      </w:hyperlink>
      <w:r>
        <w:t>). Ils partagent les souffrances du Christ. Son dernier encouragement à ses lecteurs est de « tenir bon ».</w:t>
      </w:r>
    </w:p>
    <w:p>
      <w:r/>
      <w:r>
        <w:t>On pense également que Marc a écrit son Évangile à cette époque pour le bénéfice de l'Église romaine souffrante. Son Évangile s'attarde sur le conflit du Christ, ses causes et ses formes, et dépeint de manière frappante la mort héroïque du Christ. Comme Pierre, Marc fait face à la persécution en se référant à la souffrance du Seigneur.</w:t>
      </w:r>
    </w:p>
    <w:p>
      <w:r/>
      <w:r>
        <w:t xml:space="preserve">Un peu plus tard, le christianisme est considéré comme une « religion illégale », n'étant plus une secte protégée par le statut du judaïsme. Ce changement s'opère par l'introduction dans les cultes de la synagogue d'une prière contre les « Nazaréens », à laquelle les chrétiens ne peuvent pas participer. Ainsi, l'Église devient la proie d'une répression officielle. </w:t>
      </w:r>
    </w:p>
    <w:p>
      <w:r/>
      <w:r>
        <w:t>Rome incorporait volontiers les anciennes religions nationales dans les rituels d'État pour l'unité impériale. Mais l'empire romain résistait aux nouveaux mouvements non conformistes, en particulier ceux qui avaient des réunions secrètes (c.-à-d. la Cène ou Eucharistie), car ils étaient jugés politiquement dangereux (</w:t>
      </w:r>
      <w:hyperlink r:id="rId11896">
        <w:r>
          <w:rPr>
            <w:color w:val="0000EE"/>
            <w:u w:val="single"/>
          </w:rPr>
          <w:t>Ac 17.6–7</w:t>
        </w:r>
      </w:hyperlink>
      <w:r>
        <w:t>).</w:t>
      </w:r>
    </w:p>
    <w:p>
      <w:r/>
      <w:r>
        <w:t>Vers la fin du siècle, face à une Église croissante et à des troubles politiques, l'État exige un « culte » public du « génie de Rome » en plus de tout autre rite religieux. Sous le règne de Domitien (81–96 apr. J.‑C.), ce culte devient un culte de l'empereur vivant, avec des temples élaborés et un sacerdoce officiel. Les chrétiens refusent d'y prendre part, car ils reconnaissent Jésus seul comme Seigneur divin. C'est alors qu'une dure politique officielle de persécution commence, de plus en plus barbare. Il est probable que l'Apocalypse reflète cette situation (</w:t>
      </w:r>
      <w:hyperlink r:id="rId1615">
        <w:r>
          <w:rPr>
            <w:color w:val="0000EE"/>
            <w:u w:val="single"/>
          </w:rPr>
          <w:t>Ap 1.9</w:t>
        </w:r>
      </w:hyperlink>
      <w:r>
        <w:t xml:space="preserve"> ; </w:t>
      </w:r>
      <w:hyperlink r:id="rId11897">
        <w:r>
          <w:rPr>
            <w:color w:val="0000EE"/>
            <w:u w:val="single"/>
          </w:rPr>
          <w:t>2.13</w:t>
        </w:r>
      </w:hyperlink>
      <w:r>
        <w:t xml:space="preserve"> ; </w:t>
      </w:r>
      <w:hyperlink r:id="rId698">
        <w:r>
          <w:rPr>
            <w:color w:val="0000EE"/>
            <w:u w:val="single"/>
          </w:rPr>
          <w:t>6.9</w:t>
        </w:r>
      </w:hyperlink>
      <w:r>
        <w:t xml:space="preserve"> ; </w:t>
      </w:r>
      <w:hyperlink r:id="rId11898">
        <w:r>
          <w:rPr>
            <w:color w:val="0000EE"/>
            <w:u w:val="single"/>
          </w:rPr>
          <w:t>13</w:t>
        </w:r>
      </w:hyperlink>
      <w:r>
        <w:t xml:space="preserve"> ; </w:t>
      </w:r>
      <w:hyperlink r:id="rId6711">
        <w:r>
          <w:rPr>
            <w:color w:val="0000EE"/>
            <w:u w:val="single"/>
          </w:rPr>
          <w:t>19.2</w:t>
        </w:r>
      </w:hyperlink>
      <w:r>
        <w:t>). Ainsi, la Bible se termine comme elle a commencé, avec le thème de la persécution du peuple de Dieu.</w:t>
      </w:r>
    </w:p>
    <w:p>
      <w:r/>
      <w:r>
        <w:rPr>
          <w:i/>
        </w:rPr>
        <w:t>Voir aussi</w:t>
      </w:r>
      <w:r>
        <w:t xml:space="preserve"> </w:t>
      </w:r>
      <w:r>
        <w:t>souffrance</w:t>
      </w:r>
      <w:r>
        <w:t xml:space="preserve"> ; </w:t>
      </w:r>
      <w:r>
        <w:t>tribulations</w:t>
      </w:r>
      <w:r>
        <w:t>.</w:t>
      </w:r>
      <w:r/>
      <w:r/>
    </w:p>
    <w:p>
      <w:r/>
    </w:p>
    <w:p>
      <w:pPr>
        <w:pStyle w:val="Heading2"/>
      </w:pPr>
      <w:r>
        <w:t>Persévérance</w:t>
      </w:r>
      <w:r/>
    </w:p>
    <w:p>
      <w:r/>
      <w:r>
        <w:t>La persévérance signifie continuer à faire quelque chose même quand c'est difficile.</w:t>
      </w:r>
    </w:p>
    <w:p>
      <w:pPr>
        <w:pStyle w:val="Heading3"/>
      </w:pPr>
      <w:r>
        <w:t>La persévérance dans l'Ancien Testament</w:t>
      </w:r>
    </w:p>
    <w:p>
      <w:r/>
      <w:r>
        <w:t>Dans l'Ancien Testament, le peuple d'Israël attend de nombreuses années avant de voir les promesses de Dieu se réaliser. Beaucoup de croyants meurent avant cela (</w:t>
      </w:r>
      <w:hyperlink r:id="rId11899">
        <w:r>
          <w:rPr>
            <w:color w:val="0000EE"/>
            <w:u w:val="single"/>
          </w:rPr>
          <w:t>Hé 11.1, 13, 21</w:t>
        </w:r>
      </w:hyperlink>
      <w:hyperlink r:id="rId8574">
        <w:r>
          <w:rPr>
            <w:color w:val="0000EE"/>
            <w:u w:val="single"/>
          </w:rPr>
          <w:t>–</w:t>
        </w:r>
      </w:hyperlink>
      <w:hyperlink r:id="rId11899">
        <w:r>
          <w:rPr>
            <w:color w:val="0000EE"/>
            <w:u w:val="single"/>
          </w:rPr>
          <w:t>22, 39</w:t>
        </w:r>
      </w:hyperlink>
      <w:r>
        <w:t>). La promesse de Dieu à Abraham donne de l'espoir à ses descendants pendant des centaines d'années avant de pouvoir enfin vivre dans le pays de Canaan. Les Israélites apprennent une leçon importante de leur errance dans le désert. Toute une génération n'a pas persévéré dans la foi du début et cela les a empêchés d'entrer dans la Terre promise. Le peuple d'Israël n'a jamais oublié cette leçon (</w:t>
      </w:r>
      <w:hyperlink r:id="rId11900">
        <w:r>
          <w:rPr>
            <w:color w:val="0000EE"/>
            <w:u w:val="single"/>
          </w:rPr>
          <w:t>Hé 3.16–19</w:t>
        </w:r>
      </w:hyperlink>
      <w:r>
        <w:t>). Les prophètes (les messagers de Dieu) ont toujours porté leurs regards plus loin que les échecs et les temps difficiles. Ils voyaient l'espérance à venir et aidaient les gens à tenir bon dans la foi (</w:t>
      </w:r>
      <w:hyperlink r:id="rId11901">
        <w:r>
          <w:rPr>
            <w:color w:val="0000EE"/>
            <w:u w:val="single"/>
          </w:rPr>
          <w:t xml:space="preserve">Jr 32.1–15 </w:t>
        </w:r>
      </w:hyperlink>
      <w:r>
        <w:t xml:space="preserve">; </w:t>
      </w:r>
      <w:hyperlink r:id="rId11902">
        <w:r>
          <w:rPr>
            <w:color w:val="0000EE"/>
            <w:u w:val="single"/>
          </w:rPr>
          <w:t xml:space="preserve">Os 3.4–5 </w:t>
        </w:r>
      </w:hyperlink>
      <w:r>
        <w:t xml:space="preserve">; </w:t>
      </w:r>
      <w:hyperlink r:id="rId5548">
        <w:r>
          <w:rPr>
            <w:color w:val="0000EE"/>
            <w:u w:val="single"/>
          </w:rPr>
          <w:t xml:space="preserve">Jl 2.28–29 </w:t>
        </w:r>
      </w:hyperlink>
      <w:r>
        <w:t xml:space="preserve">; </w:t>
      </w:r>
      <w:hyperlink r:id="rId11903">
        <w:r>
          <w:rPr>
            <w:color w:val="0000EE"/>
            <w:u w:val="single"/>
          </w:rPr>
          <w:t xml:space="preserve">Hé 2.1–3 </w:t>
        </w:r>
      </w:hyperlink>
      <w:r>
        <w:t xml:space="preserve">; </w:t>
      </w:r>
      <w:hyperlink r:id="rId11904">
        <w:r>
          <w:rPr>
            <w:color w:val="0000EE"/>
            <w:u w:val="single"/>
          </w:rPr>
          <w:t>Dn 12.11–13</w:t>
        </w:r>
      </w:hyperlink>
      <w:r>
        <w:t>).</w:t>
      </w:r>
    </w:p>
    <w:p>
      <w:pPr>
        <w:pStyle w:val="Heading3"/>
      </w:pPr>
      <w:r>
        <w:t>La persévérance dans le Nouveau Testament</w:t>
      </w:r>
    </w:p>
    <w:p>
      <w:r/>
      <w:r>
        <w:t xml:space="preserve">Le Nouveau Testament encourage également les croyants à persévérer. Le mot grec qui est souvent utilisé pour communiquer cette idée est </w:t>
      </w:r>
      <w:r>
        <w:rPr>
          <w:i/>
        </w:rPr>
        <w:t xml:space="preserve">proskartereo. </w:t>
      </w:r>
      <w:r>
        <w:t>Il signifie « s'affairer continuellement » ou « s'attacher fermement » (</w:t>
      </w:r>
      <w:hyperlink r:id="rId11905">
        <w:r>
          <w:rPr>
            <w:color w:val="0000EE"/>
            <w:u w:val="single"/>
          </w:rPr>
          <w:t xml:space="preserve">Mc 3.9 </w:t>
        </w:r>
      </w:hyperlink>
      <w:r>
        <w:t xml:space="preserve">; </w:t>
      </w:r>
      <w:hyperlink r:id="rId11906">
        <w:r>
          <w:rPr>
            <w:color w:val="0000EE"/>
            <w:u w:val="single"/>
          </w:rPr>
          <w:t xml:space="preserve">Ac 8.13 </w:t>
        </w:r>
      </w:hyperlink>
      <w:r>
        <w:t xml:space="preserve">; </w:t>
      </w:r>
      <w:hyperlink r:id="rId9488">
        <w:r>
          <w:rPr>
            <w:color w:val="0000EE"/>
            <w:u w:val="single"/>
          </w:rPr>
          <w:t xml:space="preserve">10.7 </w:t>
        </w:r>
      </w:hyperlink>
      <w:r>
        <w:t xml:space="preserve">; </w:t>
      </w:r>
      <w:hyperlink r:id="rId11907">
        <w:r>
          <w:rPr>
            <w:color w:val="0000EE"/>
            <w:u w:val="single"/>
          </w:rPr>
          <w:t>Rm 13.6</w:t>
        </w:r>
      </w:hyperlink>
      <w:r>
        <w:t>). Ce mot est souvent traduit par « être à disposition », « persévérer », « s'appliquer » et « s'attacher ».</w:t>
      </w:r>
    </w:p>
    <w:p>
      <w:pPr>
        <w:pStyle w:val="Heading3"/>
      </w:pPr>
      <w:r>
        <w:t>Persévérance dans la foi</w:t>
      </w:r>
    </w:p>
    <w:p>
      <w:r/>
      <w:r>
        <w:t>La Bible enseigne que nous devons persévérer et ne pas abandonner dans de multiples domaines de notre foi :</w:t>
      </w:r>
    </w:p>
    <w:p>
      <w:pPr>
        <w:pStyle w:val="ListBullet"/>
        <w:spacing w:line="240" w:lineRule="auto"/>
        <w:ind w:left="720"/>
      </w:pPr>
      <w:r/>
      <w:r>
        <w:t>la prière (</w:t>
      </w:r>
      <w:hyperlink r:id="rId11908">
        <w:r>
          <w:rPr>
            <w:color w:val="0000EE"/>
            <w:u w:val="single"/>
          </w:rPr>
          <w:t xml:space="preserve">Lc 18.1–8 </w:t>
        </w:r>
      </w:hyperlink>
      <w:r>
        <w:t xml:space="preserve">; </w:t>
      </w:r>
      <w:hyperlink r:id="rId3489">
        <w:r>
          <w:rPr>
            <w:color w:val="0000EE"/>
            <w:u w:val="single"/>
          </w:rPr>
          <w:t>Col 4.2</w:t>
        </w:r>
      </w:hyperlink>
      <w:r>
        <w:t>)</w:t>
      </w:r>
    </w:p>
    <w:p>
      <w:pPr>
        <w:pStyle w:val="ListBullet"/>
        <w:spacing w:line="240" w:lineRule="auto"/>
        <w:ind w:left="720"/>
      </w:pPr>
      <w:r/>
      <w:r>
        <w:t>la pratique du bien (</w:t>
      </w:r>
      <w:hyperlink r:id="rId11909">
        <w:r>
          <w:rPr>
            <w:color w:val="0000EE"/>
            <w:u w:val="single"/>
          </w:rPr>
          <w:t xml:space="preserve">Rm 2.7 </w:t>
        </w:r>
      </w:hyperlink>
      <w:r>
        <w:t xml:space="preserve">; </w:t>
      </w:r>
      <w:hyperlink r:id="rId11910">
        <w:r>
          <w:rPr>
            <w:color w:val="0000EE"/>
            <w:u w:val="single"/>
          </w:rPr>
          <w:t>Ga 6.9</w:t>
        </w:r>
      </w:hyperlink>
      <w:r>
        <w:t>)</w:t>
      </w:r>
    </w:p>
    <w:p>
      <w:pPr>
        <w:pStyle w:val="ListBullet"/>
        <w:spacing w:line="240" w:lineRule="auto"/>
        <w:ind w:left="720"/>
      </w:pPr>
      <w:r/>
      <w:r>
        <w:t>la croissance dans la foi (</w:t>
      </w:r>
      <w:hyperlink r:id="rId11911">
        <w:r>
          <w:rPr>
            <w:color w:val="0000EE"/>
            <w:u w:val="single"/>
          </w:rPr>
          <w:t xml:space="preserve">Ac 2.42 </w:t>
        </w:r>
      </w:hyperlink>
      <w:r>
        <w:t xml:space="preserve">; </w:t>
      </w:r>
      <w:hyperlink r:id="rId11912">
        <w:r>
          <w:rPr>
            <w:color w:val="0000EE"/>
            <w:u w:val="single"/>
          </w:rPr>
          <w:t>2Tm 3.14</w:t>
        </w:r>
      </w:hyperlink>
      <w:r>
        <w:t>)</w:t>
      </w:r>
    </w:p>
    <w:p>
      <w:pPr>
        <w:pStyle w:val="ListBullet"/>
        <w:spacing w:line="240" w:lineRule="auto"/>
        <w:ind w:left="720"/>
      </w:pPr>
      <w:r/>
      <w:r>
        <w:t>les épreuves (</w:t>
      </w:r>
      <w:hyperlink r:id="rId11913">
        <w:r>
          <w:rPr>
            <w:color w:val="0000EE"/>
            <w:u w:val="single"/>
          </w:rPr>
          <w:t>2Th 1.4</w:t>
        </w:r>
      </w:hyperlink>
      <w:r>
        <w:t>)</w:t>
      </w:r>
    </w:p>
    <w:p>
      <w:pPr>
        <w:pStyle w:val="ListBullet"/>
        <w:spacing w:line="240" w:lineRule="auto"/>
        <w:ind w:left="720"/>
      </w:pPr>
      <w:r/>
      <w:r>
        <w:t>la grâce (</w:t>
      </w:r>
      <w:hyperlink r:id="rId11914">
        <w:r>
          <w:rPr>
            <w:color w:val="0000EE"/>
            <w:u w:val="single"/>
          </w:rPr>
          <w:t xml:space="preserve">Ac 13.43 </w:t>
        </w:r>
      </w:hyperlink>
      <w:r>
        <w:t xml:space="preserve">; </w:t>
      </w:r>
      <w:hyperlink r:id="rId11915">
        <w:r>
          <w:rPr>
            <w:color w:val="0000EE"/>
            <w:u w:val="single"/>
          </w:rPr>
          <w:t>2Co 6.1</w:t>
        </w:r>
      </w:hyperlink>
      <w:r>
        <w:t>)</w:t>
      </w:r>
    </w:p>
    <w:p>
      <w:pPr>
        <w:pStyle w:val="ListBullet"/>
        <w:spacing w:line="240" w:lineRule="auto"/>
        <w:ind w:left="720"/>
      </w:pPr>
      <w:r/>
      <w:r>
        <w:t>la foi (</w:t>
      </w:r>
      <w:hyperlink r:id="rId11889">
        <w:r>
          <w:rPr>
            <w:color w:val="0000EE"/>
            <w:u w:val="single"/>
          </w:rPr>
          <w:t xml:space="preserve">Ac 14.22 </w:t>
        </w:r>
      </w:hyperlink>
      <w:r>
        <w:t xml:space="preserve">; </w:t>
      </w:r>
      <w:hyperlink r:id="rId8480">
        <w:r>
          <w:rPr>
            <w:color w:val="0000EE"/>
            <w:u w:val="single"/>
          </w:rPr>
          <w:t>Col 1.23</w:t>
        </w:r>
      </w:hyperlink>
      <w:r>
        <w:t>)</w:t>
      </w:r>
    </w:p>
    <w:p>
      <w:pPr>
        <w:pStyle w:val="ListBullet"/>
        <w:spacing w:line="240" w:lineRule="auto"/>
        <w:ind w:left="720"/>
      </w:pPr>
      <w:r/>
      <w:r>
        <w:t>l'amour de Dieu (</w:t>
      </w:r>
      <w:hyperlink r:id="rId11916">
        <w:r>
          <w:rPr>
            <w:color w:val="0000EE"/>
            <w:u w:val="single"/>
          </w:rPr>
          <w:t xml:space="preserve">Jn 15.9 </w:t>
        </w:r>
      </w:hyperlink>
      <w:r>
        <w:t xml:space="preserve">; </w:t>
      </w:r>
      <w:hyperlink r:id="rId11917">
        <w:r>
          <w:rPr>
            <w:color w:val="0000EE"/>
            <w:u w:val="single"/>
          </w:rPr>
          <w:t>Jd 1.21</w:t>
        </w:r>
      </w:hyperlink>
      <w:r>
        <w:t>)</w:t>
      </w:r>
    </w:p>
    <w:p>
      <w:pPr>
        <w:pStyle w:val="ListBullet"/>
        <w:spacing w:line="240" w:lineRule="auto"/>
        <w:ind w:left="720"/>
      </w:pPr>
      <w:r/>
      <w:r>
        <w:t>la fermeté dans la foi (</w:t>
      </w:r>
      <w:hyperlink r:id="rId11918">
        <w:r>
          <w:rPr>
            <w:color w:val="0000EE"/>
            <w:u w:val="single"/>
          </w:rPr>
          <w:t xml:space="preserve">1Co 16.13 </w:t>
        </w:r>
      </w:hyperlink>
      <w:r>
        <w:t xml:space="preserve">; </w:t>
      </w:r>
      <w:hyperlink r:id="rId11919">
        <w:r>
          <w:rPr>
            <w:color w:val="0000EE"/>
            <w:u w:val="single"/>
          </w:rPr>
          <w:t>2Th 2.15</w:t>
        </w:r>
      </w:hyperlink>
      <w:r>
        <w:t>)</w:t>
      </w:r>
    </w:p>
    <w:p>
      <w:pPr>
        <w:pStyle w:val="ListBullet"/>
        <w:spacing w:line="240" w:lineRule="auto"/>
        <w:ind w:left="720"/>
      </w:pPr>
      <w:r/>
      <w:r>
        <w:t>demeurer en Christ (</w:t>
      </w:r>
      <w:hyperlink r:id="rId11920">
        <w:r>
          <w:rPr>
            <w:color w:val="0000EE"/>
            <w:u w:val="single"/>
          </w:rPr>
          <w:t xml:space="preserve">Jn 15.4–10 </w:t>
        </w:r>
      </w:hyperlink>
      <w:r>
        <w:t xml:space="preserve">; </w:t>
      </w:r>
      <w:hyperlink r:id="rId3765">
        <w:r>
          <w:rPr>
            <w:color w:val="0000EE"/>
            <w:u w:val="single"/>
          </w:rPr>
          <w:t>1Jn 2.28</w:t>
        </w:r>
      </w:hyperlink>
      <w:r>
        <w:t>)</w:t>
      </w:r>
    </w:p>
    <w:p>
      <w:pPr>
        <w:pStyle w:val="ListBullet"/>
        <w:spacing w:line="240" w:lineRule="auto"/>
        <w:ind w:left="720"/>
      </w:pPr>
      <w:r/>
      <w:r>
        <w:t>la course de la foi (</w:t>
      </w:r>
      <w:hyperlink r:id="rId11921">
        <w:r>
          <w:rPr>
            <w:color w:val="0000EE"/>
            <w:u w:val="single"/>
          </w:rPr>
          <w:t xml:space="preserve">Hé 6.12 </w:t>
        </w:r>
      </w:hyperlink>
      <w:r>
        <w:t xml:space="preserve">; </w:t>
      </w:r>
      <w:hyperlink r:id="rId8575">
        <w:r>
          <w:rPr>
            <w:color w:val="0000EE"/>
            <w:u w:val="single"/>
          </w:rPr>
          <w:t>12.1</w:t>
        </w:r>
      </w:hyperlink>
      <w:r>
        <w:t>)</w:t>
      </w:r>
    </w:p>
    <w:p>
      <w:pPr>
        <w:pStyle w:val="ListBullet"/>
        <w:spacing w:line="240" w:lineRule="auto"/>
        <w:ind w:left="720"/>
      </w:pPr>
      <w:r/>
      <w:r>
        <w:t>résister aux tentations de se détourner de Dieu (</w:t>
      </w:r>
      <w:hyperlink r:id="rId11922">
        <w:r>
          <w:rPr>
            <w:color w:val="0000EE"/>
            <w:u w:val="single"/>
          </w:rPr>
          <w:t xml:space="preserve">Hé 3.12 </w:t>
        </w:r>
      </w:hyperlink>
      <w:r>
        <w:t xml:space="preserve">; </w:t>
      </w:r>
      <w:hyperlink r:id="rId11923">
        <w:r>
          <w:rPr>
            <w:color w:val="0000EE"/>
            <w:u w:val="single"/>
          </w:rPr>
          <w:t>4.1–10</w:t>
        </w:r>
      </w:hyperlink>
      <w:r>
        <w:t>)</w:t>
      </w:r>
    </w:p>
    <w:p>
      <w:pPr>
        <w:pStyle w:val="ListBullet"/>
        <w:spacing w:line="240" w:lineRule="auto"/>
        <w:ind w:left="720"/>
      </w:pPr>
      <w:r/>
      <w:r>
        <w:t>zèle pour affermir notre appel et notre élection (</w:t>
      </w:r>
      <w:hyperlink r:id="rId11924">
        <w:r>
          <w:rPr>
            <w:color w:val="0000EE"/>
            <w:u w:val="single"/>
          </w:rPr>
          <w:t>2P 1.10</w:t>
        </w:r>
      </w:hyperlink>
      <w:r>
        <w:t>)</w:t>
      </w:r>
    </w:p>
    <w:p>
      <w:pPr>
        <w:pStyle w:val="Heading3"/>
      </w:pPr>
      <w:r>
        <w:t>Exemples d'échecs à persévérer</w:t>
      </w:r>
    </w:p>
    <w:p>
      <w:r/>
      <w:r>
        <w:t>Certaines personnes n'ont pas persévéré, telles que :</w:t>
      </w:r>
    </w:p>
    <w:p>
      <w:pPr>
        <w:pStyle w:val="ListBullet"/>
        <w:spacing w:line="240" w:lineRule="auto"/>
        <w:ind w:left="720"/>
      </w:pPr>
      <w:r/>
      <w:r>
        <w:t>Judas (</w:t>
      </w:r>
      <w:hyperlink r:id="rId11925">
        <w:r>
          <w:rPr>
            <w:color w:val="0000EE"/>
            <w:u w:val="single"/>
          </w:rPr>
          <w:t>Jn 6.71</w:t>
        </w:r>
      </w:hyperlink>
      <w:r>
        <w:t>)</w:t>
      </w:r>
    </w:p>
    <w:p>
      <w:pPr>
        <w:pStyle w:val="ListBullet"/>
        <w:spacing w:line="240" w:lineRule="auto"/>
        <w:ind w:left="720"/>
      </w:pPr>
      <w:r/>
      <w:r>
        <w:t>Démas (</w:t>
      </w:r>
      <w:hyperlink r:id="rId5883">
        <w:r>
          <w:rPr>
            <w:color w:val="0000EE"/>
            <w:u w:val="single"/>
          </w:rPr>
          <w:t>2Tm 4.10</w:t>
        </w:r>
      </w:hyperlink>
      <w:r>
        <w:t>)</w:t>
      </w:r>
    </w:p>
    <w:p>
      <w:pPr>
        <w:pStyle w:val="ListBullet"/>
        <w:spacing w:line="240" w:lineRule="auto"/>
        <w:ind w:left="720"/>
      </w:pPr>
      <w:r/>
      <w:r>
        <w:t>Hyménée (</w:t>
      </w:r>
      <w:hyperlink r:id="rId11926">
        <w:r>
          <w:rPr>
            <w:color w:val="0000EE"/>
            <w:u w:val="single"/>
          </w:rPr>
          <w:t>2Tm 2.17</w:t>
        </w:r>
      </w:hyperlink>
      <w:r>
        <w:t>)</w:t>
      </w:r>
    </w:p>
    <w:p>
      <w:pPr>
        <w:pStyle w:val="Heading3"/>
      </w:pPr>
      <w:r>
        <w:t>Avertissements sur le manque de persévérance</w:t>
      </w:r>
    </w:p>
    <w:p>
      <w:r/>
      <w:r>
        <w:t>Nous devons prendre au sérieux les dangers de :</w:t>
      </w:r>
    </w:p>
    <w:p>
      <w:pPr>
        <w:pStyle w:val="ListBullet"/>
        <w:spacing w:line="240" w:lineRule="auto"/>
        <w:ind w:left="720"/>
      </w:pPr>
      <w:r/>
      <w:r>
        <w:t>« négliger un si grand salut » (</w:t>
      </w:r>
      <w:hyperlink r:id="rId5035">
        <w:r>
          <w:rPr>
            <w:color w:val="0000EE"/>
            <w:u w:val="single"/>
          </w:rPr>
          <w:t>Hé 2.3</w:t>
        </w:r>
      </w:hyperlink>
      <w:r>
        <w:t>)</w:t>
      </w:r>
    </w:p>
    <w:p>
      <w:pPr>
        <w:pStyle w:val="ListBullet"/>
        <w:spacing w:line="240" w:lineRule="auto"/>
        <w:ind w:left="720"/>
      </w:pPr>
      <w:r/>
      <w:r>
        <w:t>d'être « rejeté » (</w:t>
      </w:r>
      <w:hyperlink r:id="rId5309">
        <w:r>
          <w:rPr>
            <w:color w:val="0000EE"/>
            <w:u w:val="single"/>
          </w:rPr>
          <w:t>1Co 9.27</w:t>
        </w:r>
      </w:hyperlink>
      <w:r>
        <w:t>)</w:t>
      </w:r>
    </w:p>
    <w:p>
      <w:pPr>
        <w:pStyle w:val="ListBullet"/>
        <w:spacing w:line="240" w:lineRule="auto"/>
        <w:ind w:left="720"/>
      </w:pPr>
      <w:r/>
      <w:r>
        <w:t>de « tomber » alors que nous croyons être « debout » (</w:t>
      </w:r>
      <w:hyperlink r:id="rId3250">
        <w:r>
          <w:rPr>
            <w:color w:val="0000EE"/>
            <w:u w:val="single"/>
          </w:rPr>
          <w:t>1Co 10.12</w:t>
        </w:r>
      </w:hyperlink>
      <w:r>
        <w:t>)</w:t>
      </w:r>
    </w:p>
    <w:p>
      <w:pPr>
        <w:pStyle w:val="ListBullet"/>
        <w:spacing w:line="240" w:lineRule="auto"/>
        <w:ind w:left="720"/>
      </w:pPr>
      <w:r/>
      <w:r>
        <w:t>de se détourner complètement de Dieu (</w:t>
      </w:r>
      <w:hyperlink r:id="rId11718">
        <w:r>
          <w:rPr>
            <w:color w:val="0000EE"/>
            <w:u w:val="single"/>
          </w:rPr>
          <w:t>Hé 6.1–8</w:t>
        </w:r>
      </w:hyperlink>
      <w:r>
        <w:t>)</w:t>
      </w:r>
    </w:p>
    <w:p>
      <w:pPr>
        <w:pStyle w:val="Heading3"/>
      </w:pPr>
      <w:r>
        <w:t>Importance de la persévérance</w:t>
      </w:r>
    </w:p>
    <w:p>
      <w:r/>
      <w:r>
        <w:t xml:space="preserve">Jésus a bien dit que « </w:t>
      </w:r>
      <w:r>
        <w:t xml:space="preserve">celui qui persévérera jusqu'à la fin sera sauvé </w:t>
      </w:r>
      <w:r>
        <w:t>» (</w:t>
      </w:r>
      <w:hyperlink r:id="rId11927">
        <w:r>
          <w:rPr>
            <w:color w:val="0000EE"/>
            <w:u w:val="single"/>
          </w:rPr>
          <w:t xml:space="preserve">Mt 10.22 </w:t>
        </w:r>
      </w:hyperlink>
      <w:r>
        <w:t xml:space="preserve">; </w:t>
      </w:r>
      <w:hyperlink r:id="rId11928">
        <w:r>
          <w:rPr>
            <w:color w:val="0000EE"/>
            <w:u w:val="single"/>
          </w:rPr>
          <w:t>24.13</w:t>
        </w:r>
      </w:hyperlink>
      <w:r>
        <w:t>). L'insistance sur ce point est délibérée. Elle reflète la réalité des pressions de la société païenne, du danger de la persécution, de revers émotionnels après l'enthousiasme spirituel du début, et d'une incompréhension de ce que le salut implique dans la vie quotidienne dès la conversion. Les chrétiens doivent comprendre que l'endurance est cruciale pour hériter du salut éternel (</w:t>
      </w:r>
      <w:hyperlink r:id="rId11929">
        <w:r>
          <w:rPr>
            <w:color w:val="0000EE"/>
            <w:u w:val="single"/>
          </w:rPr>
          <w:t xml:space="preserve">Lc 21.19 </w:t>
        </w:r>
      </w:hyperlink>
      <w:r>
        <w:t xml:space="preserve">; </w:t>
      </w:r>
      <w:hyperlink r:id="rId11890">
        <w:r>
          <w:rPr>
            <w:color w:val="0000EE"/>
            <w:u w:val="single"/>
          </w:rPr>
          <w:t xml:space="preserve">Rm 5.3 </w:t>
        </w:r>
      </w:hyperlink>
      <w:r>
        <w:t xml:space="preserve">; </w:t>
      </w:r>
      <w:hyperlink r:id="rId11930">
        <w:r>
          <w:rPr>
            <w:color w:val="0000EE"/>
            <w:u w:val="single"/>
          </w:rPr>
          <w:t>Col 1.11</w:t>
        </w:r>
      </w:hyperlink>
      <w:r>
        <w:t>).</w:t>
      </w:r>
    </w:p>
    <w:p>
      <w:pPr>
        <w:pStyle w:val="Heading3"/>
      </w:pPr>
      <w:r>
        <w:t>Le rôle de Dieu dans la persévérance</w:t>
      </w:r>
    </w:p>
    <w:p>
      <w:r/>
      <w:r>
        <w:t>Cependant, la capacité à persévérer ne dépend pas uniquement de nos efforts. Dans l'Ancien Testament, le dessein rédempteur de Dieu est inébranlable, et son alliance reste ferme, bien qu'elle ait besoin d'être renouvelée (</w:t>
      </w:r>
      <w:hyperlink r:id="rId1936">
        <w:r>
          <w:rPr>
            <w:color w:val="0000EE"/>
            <w:u w:val="single"/>
          </w:rPr>
          <w:t>Jr 31.31–34</w:t>
        </w:r>
      </w:hyperlink>
      <w:r>
        <w:t>). L'amour divin (</w:t>
      </w:r>
      <w:r>
        <w:rPr>
          <w:i/>
        </w:rPr>
        <w:t>hesed</w:t>
      </w:r>
      <w:r>
        <w:t xml:space="preserve"> en hébreu) est démontré par une loyauté immuable. Dieu ne faillira jamais et n'abandonnera jamais son peuple pour l'amour de son propre nom.</w:t>
      </w:r>
    </w:p>
    <w:p>
      <w:r/>
      <w:r>
        <w:t>Le Nouveau Testament promet que le Christ ressuscitera ses disciples au dernier jour et que personne ne peut les arracher de sa main ou de celle du Père. Le Christ nous empêchera de tomber, et Dieu est fidèle, œuvrant en nous pour son bon dessein. Il ne permettra pas que nous soyons tentés au-delà de ce que nous pouvons supporter. Rien dans le ciel ou sur la terre ne peut nous séparer de l'amour de Dieu. Nous sommes déjà scellés par le Saint-Esprit comme promesse de salut éternel et protégés par la puissance de Dieu pour un salut qui sera révélé dans le futur.</w:t>
      </w:r>
    </w:p>
    <w:p>
      <w:r/>
      <w:r>
        <w:t>La Bible enseigne que les croyants doivent persévérer dans la foi tout en leur donnant l'assurance du salut. Cela peut sembler contradictoire et conduit à de nombreux débats. Cependant, cette tension est souvent mieux comprise à travers l'expérience spirituelle personnelle plutôt que par la simple réflexion.</w:t>
      </w:r>
    </w:p>
    <w:p>
      <w:r/>
      <w:r>
        <w:rPr>
          <w:i/>
        </w:rPr>
        <w:t>Voir aussi</w:t>
      </w:r>
      <w:r>
        <w:t xml:space="preserve"> </w:t>
      </w:r>
      <w:r>
        <w:t>assurance</w:t>
      </w:r>
      <w:r>
        <w:t xml:space="preserve"> ; </w:t>
      </w:r>
      <w:r>
        <w:t>apostasie</w:t>
      </w:r>
      <w:r>
        <w:t>.</w:t>
      </w:r>
      <w:r/>
      <w:r/>
    </w:p>
    <w:p>
      <w:r/>
    </w:p>
    <w:p>
      <w:pPr>
        <w:pStyle w:val="Heading2"/>
      </w:pPr>
      <w:r>
        <w:t>Peste</w:t>
      </w:r>
      <w:r/>
    </w:p>
    <w:p>
      <w:r/>
      <w:r>
        <w:t>Variation d'un mot hébreu qui désigne une peste mortelle qui se propage facilement. La peste n'est jamais décrite dans la Bible comme un événement aléatoire. Elle est toujours considérée comme un jugement ou une punition envoyée par Dieu.</w:t>
      </w:r>
    </w:p>
    <w:p>
      <w:pPr>
        <w:pStyle w:val="Heading3"/>
      </w:pPr>
      <w:r>
        <w:t>La Peste dans l'Ancien Testament</w:t>
      </w:r>
    </w:p>
    <w:p>
      <w:r/>
      <w:r>
        <w:t>La peste était une punition en conséquence du fait qu'Israël avait négligé l'alliance (</w:t>
      </w:r>
      <w:hyperlink r:id="rId11931">
        <w:r>
          <w:rPr>
            <w:color w:val="0000EE"/>
            <w:u w:val="single"/>
          </w:rPr>
          <w:t>Lv 26.25</w:t>
        </w:r>
      </w:hyperlink>
      <w:r>
        <w:t xml:space="preserve"> ; </w:t>
      </w:r>
      <w:hyperlink r:id="rId11932">
        <w:r>
          <w:rPr>
            <w:color w:val="0000EE"/>
            <w:u w:val="single"/>
          </w:rPr>
          <w:t>Dt 28.21</w:t>
        </w:r>
      </w:hyperlink>
      <w:r>
        <w:t xml:space="preserve">). Ainsi, Jérémie et Ézéchiel utilisent fréquemment ce mot. Ces prophètes intentaient le procès allianciel de Dieu contre son peuple. La sentence avait été déterminée, et les prophètes annonçaient que son exécution était imminente. Pour cette raison, la peste fait presque toujours partie d'une liste de fléaux, telle que la formule « </w:t>
      </w:r>
      <w:r>
        <w:t>l’épée, [...] la famine et [...] la peste</w:t>
      </w:r>
      <w:r>
        <w:t xml:space="preserve"> » utilisée tout au long de la prophétie de Jérémie dans certaines traductions (</w:t>
      </w:r>
      <w:hyperlink r:id="rId7267">
        <w:r>
          <w:rPr>
            <w:color w:val="0000EE"/>
            <w:u w:val="single"/>
          </w:rPr>
          <w:t>Jr 14.12</w:t>
        </w:r>
      </w:hyperlink>
      <w:r>
        <w:t xml:space="preserve"> et d'autres versets). La peste punit le péché. Ainsi, elle ne frappe pas tout le monde. Celui qui reste fidèle sera protégé de ses effets (</w:t>
      </w:r>
      <w:hyperlink r:id="rId11933">
        <w:r>
          <w:rPr>
            <w:color w:val="0000EE"/>
            <w:u w:val="single"/>
          </w:rPr>
          <w:t>Ps 91.1–3</w:t>
        </w:r>
      </w:hyperlink>
      <w:r>
        <w:t>). Les ennemis d'Israël pouvaient également être les objets de cette forme de jugement (</w:t>
      </w:r>
      <w:hyperlink r:id="rId11934">
        <w:r>
          <w:rPr>
            <w:color w:val="0000EE"/>
            <w:u w:val="single"/>
          </w:rPr>
          <w:t>Ps 78.50</w:t>
        </w:r>
      </w:hyperlink>
      <w:r>
        <w:t xml:space="preserve"> ; </w:t>
      </w:r>
      <w:hyperlink r:id="rId11935">
        <w:r>
          <w:rPr>
            <w:color w:val="0000EE"/>
            <w:u w:val="single"/>
          </w:rPr>
          <w:t>Ez 28.23</w:t>
        </w:r>
      </w:hyperlink>
      <w:r>
        <w:t xml:space="preserve"> ; </w:t>
      </w:r>
      <w:hyperlink r:id="rId11936">
        <w:r>
          <w:rPr>
            <w:color w:val="0000EE"/>
            <w:u w:val="single"/>
          </w:rPr>
          <w:t>38.22</w:t>
        </w:r>
      </w:hyperlink>
      <w:r>
        <w:t>).</w:t>
      </w:r>
    </w:p>
    <w:p>
      <w:pPr>
        <w:pStyle w:val="Heading4"/>
      </w:pPr>
      <w:r>
        <w:t>Différencier la peste et la plaie</w:t>
      </w:r>
    </w:p>
    <w:p>
      <w:r/>
      <w:r>
        <w:t>La peste n'est pas identique aux plaies mentionnées dans l'Ancien Testament. « Plaie » désigne le plus souvent des maladies telles que :</w:t>
      </w:r>
    </w:p>
    <w:p>
      <w:pPr>
        <w:pStyle w:val="ListBullet"/>
        <w:spacing w:line="240" w:lineRule="auto"/>
        <w:ind w:left="720"/>
      </w:pPr>
      <w:r/>
      <w:r>
        <w:t>La peste bubonique</w:t>
      </w:r>
    </w:p>
    <w:p>
      <w:pPr>
        <w:pStyle w:val="ListBullet"/>
        <w:spacing w:line="240" w:lineRule="auto"/>
        <w:ind w:left="720"/>
      </w:pPr>
      <w:r/>
      <w:r>
        <w:t>La rougeole</w:t>
      </w:r>
    </w:p>
    <w:p>
      <w:pPr>
        <w:pStyle w:val="ListBullet"/>
        <w:spacing w:line="240" w:lineRule="auto"/>
        <w:ind w:left="720"/>
      </w:pPr>
      <w:r/>
      <w:r>
        <w:t>La variole</w:t>
      </w:r>
    </w:p>
    <w:p>
      <w:r/>
      <w:r>
        <w:t>« Peste » peut se référer :</w:t>
      </w:r>
    </w:p>
    <w:p>
      <w:pPr>
        <w:pStyle w:val="ListBullet"/>
        <w:spacing w:line="240" w:lineRule="auto"/>
        <w:ind w:left="720"/>
      </w:pPr>
      <w:r/>
      <w:r>
        <w:t>Au choléra</w:t>
      </w:r>
    </w:p>
    <w:p>
      <w:pPr>
        <w:pStyle w:val="ListBullet"/>
        <w:spacing w:line="240" w:lineRule="auto"/>
        <w:ind w:left="720"/>
      </w:pPr>
      <w:r/>
      <w:r>
        <w:t>Au typhus</w:t>
      </w:r>
    </w:p>
    <w:p>
      <w:pPr>
        <w:pStyle w:val="ListBullet"/>
        <w:spacing w:line="240" w:lineRule="auto"/>
        <w:ind w:left="720"/>
      </w:pPr>
      <w:r/>
      <w:r>
        <w:t>À la fièvre typhoïde</w:t>
      </w:r>
    </w:p>
    <w:p>
      <w:pPr>
        <w:pStyle w:val="ListBullet"/>
        <w:spacing w:line="240" w:lineRule="auto"/>
        <w:ind w:left="720"/>
      </w:pPr>
      <w:r/>
      <w:r>
        <w:t>À la dysenterie</w:t>
      </w:r>
    </w:p>
    <w:p>
      <w:r/>
      <w:r>
        <w:t>Ces maladies affligeaient souvent une ville assiégée. Il existe cependant un certain chevauchement dans les termes. Soixante-dix mille Israélites sont morts après le recensement de David, ce qui montre la sévérité de la punition divine (</w:t>
      </w:r>
      <w:hyperlink r:id="rId11937">
        <w:r>
          <w:rPr>
            <w:color w:val="0000EE"/>
            <w:u w:val="single"/>
          </w:rPr>
          <w:t>2S 24.13–15</w:t>
        </w:r>
      </w:hyperlink>
      <w:r>
        <w:t>).</w:t>
      </w:r>
    </w:p>
    <w:p>
      <w:pPr>
        <w:pStyle w:val="Heading3"/>
      </w:pPr>
      <w:r>
        <w:t>La Peste dans le Nouveau Testament</w:t>
      </w:r>
    </w:p>
    <w:p>
      <w:r/>
      <w:r>
        <w:t xml:space="preserve">Le mot grec </w:t>
      </w:r>
      <w:r>
        <w:rPr>
          <w:i/>
        </w:rPr>
        <w:t>loimos</w:t>
      </w:r>
      <w:r>
        <w:t xml:space="preserve"> apparaît trois fois dans le Nouveau Testament. Dans </w:t>
      </w:r>
      <w:hyperlink r:id="rId6416">
        <w:r>
          <w:rPr>
            <w:color w:val="0000EE"/>
            <w:u w:val="single"/>
          </w:rPr>
          <w:t>Actes 24.5</w:t>
        </w:r>
      </w:hyperlink>
      <w:r>
        <w:t xml:space="preserve">, Tertulle utilise ce terme pour décrire Paul de façon offensante : « </w:t>
      </w:r>
      <w:r>
        <w:t>Nous avons trouvé cet homme, qui est une peste</w:t>
      </w:r>
      <w:r>
        <w:t xml:space="preserve"> ». Jésus a prédit que la destruction du temple serait précédée par plusieurs jugements, y compris la peste ou la maladie (</w:t>
      </w:r>
      <w:hyperlink r:id="rId11938">
        <w:r>
          <w:rPr>
            <w:color w:val="0000EE"/>
            <w:u w:val="single"/>
          </w:rPr>
          <w:t>Lc 21.11</w:t>
        </w:r>
      </w:hyperlink>
      <w:r>
        <w:t>).</w:t>
      </w:r>
    </w:p>
    <w:p>
      <w:r/>
      <w:r>
        <w:rPr>
          <w:i/>
        </w:rPr>
        <w:t>Voir aussi</w:t>
      </w:r>
      <w:r>
        <w:t xml:space="preserve"> </w:t>
      </w:r>
      <w:r>
        <w:t>Maladie</w:t>
      </w:r>
      <w:r>
        <w:t xml:space="preserve"> ; </w:t>
      </w:r>
      <w:r>
        <w:t>Plaie</w:t>
      </w:r>
      <w:r>
        <w:t>.</w:t>
      </w:r>
      <w:r/>
      <w:r/>
    </w:p>
    <w:p>
      <w:r/>
    </w:p>
    <w:p>
      <w:pPr>
        <w:pStyle w:val="Heading2"/>
      </w:pPr>
      <w:r>
        <w:t>Peur</w:t>
      </w:r>
      <w:r/>
    </w:p>
    <w:p>
      <w:r/>
      <w:r>
        <w:t>Sentiment émotionnel d'anxiété ou de crainte face à quelque chose de mauvais qui pourrait se produire à l'avenir. Certaines personnes pensent que la peur pousse les autres vers la religion, mais la véritable religion implique un désir de se rapprocher de Dieu et pas seulement la peur. Les gens ne veulent généralement pas se rapprocher de quelqu'un ou de quelque chose dont ils ont peur.</w:t>
      </w:r>
    </w:p>
    <w:p>
      <w:r/>
      <w:r>
        <w:t>Dans la Bible, la peur signifie plus que simplement se sentir effrayé ou terrifié. Bien que cela fasse partie du sens de ce mot, surtout lorsqu'il s'agit de la crainte de Dieu, cela inclut également un sentiment de révérence et de profond respect envers Dieu.</w:t>
      </w:r>
    </w:p>
    <w:p>
      <w:r/>
      <w:r>
        <w:t xml:space="preserve">Il y a une place pour la peur dans le sens d'être anxieux ou préoccupé, surtout en relation avec Dieu. La Bible dit : « </w:t>
      </w:r>
      <w:r>
        <w:t>C’est une chose terrible que de tomber entre les mains du Dieu vivant</w:t>
      </w:r>
      <w:r>
        <w:t xml:space="preserve"> » (</w:t>
      </w:r>
      <w:hyperlink r:id="rId6320">
        <w:r>
          <w:rPr>
            <w:color w:val="0000EE"/>
            <w:u w:val="single"/>
          </w:rPr>
          <w:t>Hé 10.31</w:t>
        </w:r>
      </w:hyperlink>
      <w:r>
        <w:t>). Jésus a enseigné que nous devrions craindre Dieu parce qu'il a le pouvoir de punir le péché et de détruire complètement les gens (</w:t>
      </w:r>
      <w:hyperlink r:id="rId11939">
        <w:r>
          <w:rPr>
            <w:color w:val="0000EE"/>
            <w:u w:val="single"/>
          </w:rPr>
          <w:t>Lc 12.4–5</w:t>
        </w:r>
      </w:hyperlink>
      <w:r>
        <w:t>).</w:t>
      </w:r>
    </w:p>
    <w:p>
      <w:r/>
      <w:r>
        <w:t xml:space="preserve">La peur peut aider les gens à comprendre à quel point leurs âmes sont profondément imparfaites et combien ils ont besoin du pardon de Dieu. Le premier exemple de ce type de peur se trouve dans </w:t>
      </w:r>
      <w:hyperlink r:id="rId1144">
        <w:r>
          <w:rPr>
            <w:color w:val="0000EE"/>
            <w:u w:val="single"/>
          </w:rPr>
          <w:t>Genèse 3</w:t>
        </w:r>
      </w:hyperlink>
      <w:r>
        <w:t>, où Adam et Ève se sont cachés de Dieu après Lui avoir désobéi. Leur peur était justifiée car ils savaient qu'ils méritaient le jugement pour ce qu'ils avaient fait. La peur vient naturellement comme résultat du péché (</w:t>
      </w:r>
      <w:hyperlink r:id="rId2248">
        <w:r>
          <w:rPr>
            <w:color w:val="0000EE"/>
            <w:u w:val="single"/>
          </w:rPr>
          <w:t>Gn 3.10</w:t>
        </w:r>
      </w:hyperlink>
      <w:r>
        <w:t xml:space="preserve"> ; </w:t>
      </w:r>
      <w:hyperlink r:id="rId11940">
        <w:r>
          <w:rPr>
            <w:color w:val="0000EE"/>
            <w:u w:val="single"/>
          </w:rPr>
          <w:t>4.13–14</w:t>
        </w:r>
      </w:hyperlink>
      <w:r>
        <w:t xml:space="preserve"> ; </w:t>
      </w:r>
      <w:hyperlink r:id="rId11941">
        <w:r>
          <w:rPr>
            <w:color w:val="0000EE"/>
            <w:u w:val="single"/>
          </w:rPr>
          <w:t>Pr 28.1</w:t>
        </w:r>
      </w:hyperlink>
      <w:r>
        <w:t>).</w:t>
      </w:r>
    </w:p>
    <w:p>
      <w:r/>
      <w:r>
        <w:t>La Bible donne de nombreux exemples de personnes profondément anxieuses, comme Caïn, Saül, Achaz et Pilate. La peur s'empare des méchants (</w:t>
      </w:r>
      <w:hyperlink r:id="rId10948">
        <w:r>
          <w:rPr>
            <w:color w:val="0000EE"/>
            <w:u w:val="single"/>
          </w:rPr>
          <w:t>Jb 15.24</w:t>
        </w:r>
      </w:hyperlink>
      <w:r>
        <w:t>), surprend les hypocrites (</w:t>
      </w:r>
      <w:hyperlink r:id="rId11942">
        <w:r>
          <w:rPr>
            <w:color w:val="0000EE"/>
            <w:u w:val="single"/>
          </w:rPr>
          <w:t>Es 33.14</w:t>
        </w:r>
      </w:hyperlink>
      <w:r>
        <w:t>) et submerge les malfaiteurs (</w:t>
      </w:r>
      <w:hyperlink r:id="rId11943">
        <w:r>
          <w:rPr>
            <w:color w:val="0000EE"/>
            <w:u w:val="single"/>
          </w:rPr>
          <w:t>Ps 73.19</w:t>
        </w:r>
      </w:hyperlink>
      <w:r>
        <w:t>). Leurs vies, dépourvues de foi, sont pleines de peur (</w:t>
      </w:r>
      <w:hyperlink r:id="rId4662">
        <w:r>
          <w:rPr>
            <w:color w:val="0000EE"/>
            <w:u w:val="single"/>
          </w:rPr>
          <w:t>Ap 21.8</w:t>
        </w:r>
      </w:hyperlink>
      <w:r>
        <w:t>). Lorsque Dieu s'est opposé à l'armée du Pharaon, ils ont été paralysés par la peur (</w:t>
      </w:r>
      <w:hyperlink r:id="rId5248">
        <w:r>
          <w:rPr>
            <w:color w:val="0000EE"/>
            <w:u w:val="single"/>
          </w:rPr>
          <w:t>Ex 15.16</w:t>
        </w:r>
      </w:hyperlink>
      <w:r>
        <w:t>). L'ami de Job, Bildad, a décrit les gens comme étant poussés à genoux par le jugement de Dieu (</w:t>
      </w:r>
      <w:hyperlink r:id="rId11944">
        <w:r>
          <w:rPr>
            <w:color w:val="0000EE"/>
            <w:u w:val="single"/>
          </w:rPr>
          <w:t>Jb 18.11</w:t>
        </w:r>
      </w:hyperlink>
      <w:r>
        <w:t>).</w:t>
      </w:r>
    </w:p>
    <w:p>
      <w:r/>
      <w:r>
        <w:t>La peur peut soit empêcher les gens d'agir, soit les amener à se comporter d'une manière qu'ils n'auraient pas adoptée autrement. Cela est particulièrement vrai pour les personnes qui ne sont pas pleinement engagées envers Dieu.</w:t>
      </w:r>
    </w:p>
    <w:p>
      <w:pPr>
        <w:pStyle w:val="ListBullet"/>
        <w:spacing w:line="240" w:lineRule="auto"/>
        <w:ind w:left="720"/>
      </w:pPr>
      <w:r/>
      <w:r>
        <w:t>Saül a désobéi à Dieu parce qu'il avait peur de ce que le peuple penserait (</w:t>
      </w:r>
      <w:hyperlink r:id="rId11945">
        <w:r>
          <w:rPr>
            <w:color w:val="0000EE"/>
            <w:u w:val="single"/>
          </w:rPr>
          <w:t>1S 15.24</w:t>
        </w:r>
      </w:hyperlink>
      <w:r>
        <w:t>)</w:t>
      </w:r>
    </w:p>
    <w:p>
      <w:pPr>
        <w:pStyle w:val="ListBullet"/>
        <w:spacing w:line="240" w:lineRule="auto"/>
        <w:ind w:left="720"/>
      </w:pPr>
      <w:r/>
      <w:r>
        <w:t>Les parents de l'aveugle que Jésus a guéri avaient peur de défendre Jésus, car ils craignaient les dirigeants juifs (</w:t>
      </w:r>
      <w:hyperlink r:id="rId8008">
        <w:r>
          <w:rPr>
            <w:color w:val="0000EE"/>
            <w:u w:val="single"/>
          </w:rPr>
          <w:t>Jn 9.22</w:t>
        </w:r>
      </w:hyperlink>
      <w:r>
        <w:t>).</w:t>
      </w:r>
    </w:p>
    <w:p>
      <w:pPr>
        <w:pStyle w:val="ListBullet"/>
        <w:spacing w:line="240" w:lineRule="auto"/>
        <w:ind w:left="720"/>
      </w:pPr>
      <w:r/>
      <w:r>
        <w:t>Dans la parabole des talents, la peur d'un homme l'a empêché de faire son devoir (</w:t>
      </w:r>
      <w:hyperlink r:id="rId11946">
        <w:r>
          <w:rPr>
            <w:color w:val="0000EE"/>
            <w:u w:val="single"/>
          </w:rPr>
          <w:t>Mt 25.25</w:t>
        </w:r>
      </w:hyperlink>
      <w:r>
        <w:t>)</w:t>
      </w:r>
    </w:p>
    <w:p>
      <w:r/>
      <w:r>
        <w:t>Jésus-Christ, par sa mort, sa résurrection et son œuvre continue pour les croyants au ciel, est celui qui libère les gens de la peur. L'apôtre Paul a dit aux Romains (</w:t>
      </w:r>
      <w:hyperlink r:id="rId17">
        <w:r>
          <w:rPr>
            <w:color w:val="0000EE"/>
            <w:u w:val="single"/>
          </w:rPr>
          <w:t>Rm 8.15</w:t>
        </w:r>
      </w:hyperlink>
      <w:r>
        <w:t>) que lorsqu'ils sont devenus chrétiens, ils ont reçu le Saint-Esprit, non pas comme un esprit de peur et d'esclavage, mais comme l'esprit d'adoption. Cela signifie qu'ils pouvaient désormais appeler Dieu « Abba » (un terme araméen utilisé par les enfants juifs pour s'adresser à leurs pères). Il s'agit du même mot que Jésus a utilisé pour parler à son Père. Les chrétiens, parce qu'ils font partie de la famille de Dieu, peuvent également utiliser ce mot lorsqu'ils parlent à Dieu (</w:t>
      </w:r>
      <w:hyperlink r:id="rId18">
        <w:r>
          <w:rPr>
            <w:color w:val="0000EE"/>
            <w:u w:val="single"/>
          </w:rPr>
          <w:t>Ga 4.6</w:t>
        </w:r>
      </w:hyperlink>
      <w:r>
        <w:t>). Ceux qui reçoivent l'amour de Dieu détiennent une force puissante pour chasser leurs peurs (</w:t>
      </w:r>
      <w:hyperlink r:id="rId11947">
        <w:r>
          <w:rPr>
            <w:color w:val="0000EE"/>
            <w:u w:val="single"/>
          </w:rPr>
          <w:t>1 Jn 4.18</w:t>
        </w:r>
      </w:hyperlink>
      <w:r>
        <w:t>).</w:t>
      </w:r>
    </w:p>
    <w:p>
      <w:r/>
      <w:r>
        <w:t>La peur absente de raisons réelles peut nuire à l'œuvre du peuple de Dieu. Dieu a averti Jérémie de ne pas avoir peur de ses adversaires (</w:t>
      </w:r>
      <w:hyperlink r:id="rId11948">
        <w:r>
          <w:rPr>
            <w:color w:val="0000EE"/>
            <w:u w:val="single"/>
          </w:rPr>
          <w:t>Jr 1.8</w:t>
        </w:r>
      </w:hyperlink>
      <w:r>
        <w:t>) car s'il cédait à la peur, Dieu permettrait que des ennuis lui arrivent (</w:t>
      </w:r>
      <w:hyperlink r:id="rId11949">
        <w:r>
          <w:rPr>
            <w:color w:val="0000EE"/>
            <w:u w:val="single"/>
          </w:rPr>
          <w:t>Jr 1.17</w:t>
        </w:r>
      </w:hyperlink>
      <w:r>
        <w:t>). Dieu a, similairement, ordonné le courage à Ézéchiel, qui vivait à la même époque que Jérémie, et à beaucoup d'autres (</w:t>
      </w:r>
      <w:hyperlink r:id="rId11950">
        <w:r>
          <w:rPr>
            <w:color w:val="0000EE"/>
            <w:u w:val="single"/>
          </w:rPr>
          <w:t>Jos 1.7–9</w:t>
        </w:r>
      </w:hyperlink>
      <w:r>
        <w:t xml:space="preserve"> ; </w:t>
      </w:r>
      <w:hyperlink r:id="rId11951">
        <w:r>
          <w:rPr>
            <w:color w:val="0000EE"/>
            <w:u w:val="single"/>
          </w:rPr>
          <w:t>Ez 2.6</w:t>
        </w:r>
      </w:hyperlink>
      <w:r>
        <w:t>). Même les personnes pieuses peuvent être tentées par la peur et peuvent parfois se sentir dépassées (</w:t>
      </w:r>
      <w:hyperlink r:id="rId11952">
        <w:r>
          <w:rPr>
            <w:color w:val="0000EE"/>
            <w:u w:val="single"/>
          </w:rPr>
          <w:t>Ps 55.5</w:t>
        </w:r>
      </w:hyperlink>
      <w:r>
        <w:t>). C'est pourquoi Dieu dit souvent à son peuple de ne pas céder à la peur (</w:t>
      </w:r>
      <w:hyperlink r:id="rId11953">
        <w:r>
          <w:rPr>
            <w:color w:val="0000EE"/>
            <w:u w:val="single"/>
          </w:rPr>
          <w:t>Es 8.12</w:t>
        </w:r>
      </w:hyperlink>
      <w:r>
        <w:t xml:space="preserve"> ; </w:t>
      </w:r>
      <w:hyperlink r:id="rId11954">
        <w:r>
          <w:rPr>
            <w:color w:val="0000EE"/>
            <w:u w:val="single"/>
          </w:rPr>
          <w:t>Jn 14.1, 27</w:t>
        </w:r>
      </w:hyperlink>
      <w:r>
        <w:t>). Au lieu de cela, ils sont encouragés à placer leurs inquiétudes entre les mains de leur rédempteur, qui se soucie profondément de son peuple (</w:t>
      </w:r>
      <w:hyperlink r:id="rId11955">
        <w:r>
          <w:rPr>
            <w:color w:val="0000EE"/>
            <w:u w:val="single"/>
          </w:rPr>
          <w:t>1P 5.7</w:t>
        </w:r>
      </w:hyperlink>
      <w:r>
        <w:t xml:space="preserve">). La foi est la clé pour surmonter la peur, comme le dit Ésaïe : « </w:t>
      </w:r>
      <w:r>
        <w:t>À celui qui est ferme dans ses sentiments Tu assures la paix, la paix, Parce qu’il se confie en toi</w:t>
      </w:r>
      <w:r>
        <w:t xml:space="preserve"> » (</w:t>
      </w:r>
      <w:hyperlink r:id="rId11956">
        <w:r>
          <w:rPr>
            <w:color w:val="0000EE"/>
            <w:u w:val="single"/>
          </w:rPr>
          <w:t>Es 26.3</w:t>
        </w:r>
      </w:hyperlink>
      <w:r>
        <w:t>). Les psalmistes soulignent également le rôle de la foi dans le fait de vaincre la peur (</w:t>
      </w:r>
      <w:hyperlink r:id="rId11957">
        <w:r>
          <w:rPr>
            <w:color w:val="0000EE"/>
            <w:u w:val="single"/>
          </w:rPr>
          <w:t>Ps 37.1</w:t>
        </w:r>
      </w:hyperlink>
      <w:r>
        <w:t xml:space="preserve"> ; </w:t>
      </w:r>
      <w:hyperlink r:id="rId11958">
        <w:r>
          <w:rPr>
            <w:color w:val="0000EE"/>
            <w:u w:val="single"/>
          </w:rPr>
          <w:t>46.2</w:t>
        </w:r>
      </w:hyperlink>
      <w:r>
        <w:t xml:space="preserve"> ; </w:t>
      </w:r>
      <w:hyperlink r:id="rId2767">
        <w:r>
          <w:rPr>
            <w:color w:val="0000EE"/>
            <w:u w:val="single"/>
          </w:rPr>
          <w:t>112.7</w:t>
        </w:r>
      </w:hyperlink>
      <w:r>
        <w:t>).</w:t>
      </w:r>
    </w:p>
    <w:p>
      <w:r/>
      <w:r>
        <w:t>La véritable foi implique un profond respect pour Dieu, connu sous le nom de « crainte de Dieu » dans la Bible. Comprendre la puissance de Dieu est essentiel pour une foi concrète (</w:t>
      </w:r>
      <w:hyperlink r:id="rId11959">
        <w:r>
          <w:rPr>
            <w:color w:val="0000EE"/>
            <w:u w:val="single"/>
          </w:rPr>
          <w:t>Ps 5.7</w:t>
        </w:r>
      </w:hyperlink>
      <w:r>
        <w:t xml:space="preserve"> ; </w:t>
      </w:r>
      <w:hyperlink r:id="rId11960">
        <w:r>
          <w:rPr>
            <w:color w:val="0000EE"/>
            <w:u w:val="single"/>
          </w:rPr>
          <w:t>89.7</w:t>
        </w:r>
      </w:hyperlink>
      <w:r>
        <w:t>). Les chrétiens sont libérés de la crainte par rapport :</w:t>
      </w:r>
    </w:p>
    <w:p>
      <w:pPr>
        <w:pStyle w:val="ListBullet"/>
        <w:spacing w:line="240" w:lineRule="auto"/>
        <w:ind w:left="720"/>
      </w:pPr>
      <w:r/>
      <w:r>
        <w:t>Aux personnes (</w:t>
      </w:r>
      <w:hyperlink r:id="rId11961">
        <w:r>
          <w:rPr>
            <w:color w:val="0000EE"/>
            <w:u w:val="single"/>
          </w:rPr>
          <w:t>Hé 13.6</w:t>
        </w:r>
      </w:hyperlink>
      <w:r>
        <w:t>)</w:t>
      </w:r>
    </w:p>
    <w:p>
      <w:pPr>
        <w:pStyle w:val="ListBullet"/>
        <w:spacing w:line="240" w:lineRule="auto"/>
        <w:ind w:left="720"/>
      </w:pPr>
      <w:r/>
      <w:r>
        <w:t>À la mort (</w:t>
      </w:r>
      <w:hyperlink r:id="rId6293">
        <w:r>
          <w:rPr>
            <w:color w:val="0000EE"/>
            <w:u w:val="single"/>
          </w:rPr>
          <w:t>Hé 2.15</w:t>
        </w:r>
      </w:hyperlink>
      <w:r>
        <w:t>)</w:t>
      </w:r>
    </w:p>
    <w:p>
      <w:pPr>
        <w:pStyle w:val="ListBullet"/>
        <w:spacing w:line="240" w:lineRule="auto"/>
        <w:ind w:left="720"/>
      </w:pPr>
      <w:r/>
      <w:r>
        <w:t>À la vie en général (</w:t>
      </w:r>
      <w:hyperlink r:id="rId11962">
        <w:r>
          <w:rPr>
            <w:color w:val="0000EE"/>
            <w:u w:val="single"/>
          </w:rPr>
          <w:t>2Tm 1.6–7</w:t>
        </w:r>
      </w:hyperlink>
      <w:r>
        <w:t>)</w:t>
      </w:r>
    </w:p>
    <w:p>
      <w:r/>
      <w:r>
        <w:t>Cependant, ils devraient toujours avoir des sentiments de profond respect envers Dieu. Ce respect apporte la sagesse (</w:t>
      </w:r>
      <w:hyperlink r:id="rId11963">
        <w:r>
          <w:rPr>
            <w:color w:val="0000EE"/>
            <w:u w:val="single"/>
          </w:rPr>
          <w:t>Ps 111.10</w:t>
        </w:r>
      </w:hyperlink>
      <w:r>
        <w:t>) et la guidance (</w:t>
      </w:r>
      <w:hyperlink r:id="rId4811">
        <w:r>
          <w:rPr>
            <w:color w:val="0000EE"/>
            <w:u w:val="single"/>
          </w:rPr>
          <w:t>Ep 5.21</w:t>
        </w:r>
      </w:hyperlink>
      <w:r>
        <w:t xml:space="preserve"> ; </w:t>
      </w:r>
      <w:hyperlink r:id="rId11964">
        <w:r>
          <w:rPr>
            <w:color w:val="0000EE"/>
            <w:u w:val="single"/>
          </w:rPr>
          <w:t>Ph 2.12</w:t>
        </w:r>
      </w:hyperlink>
      <w:r>
        <w:t>). Aimer Dieu conduit à cette crainte par l'étude des Écritures (</w:t>
      </w:r>
      <w:hyperlink r:id="rId11965">
        <w:r>
          <w:rPr>
            <w:color w:val="0000EE"/>
            <w:u w:val="single"/>
          </w:rPr>
          <w:t>Pr 2.3–5</w:t>
        </w:r>
      </w:hyperlink>
      <w:r>
        <w:t>).</w:t>
      </w:r>
    </w:p>
    <w:p>
      <w:r/>
      <w:r>
        <w:t>Les anciens Israélites montraient leur révérence en suivant les commandements de Dieu (</w:t>
      </w:r>
      <w:hyperlink r:id="rId11966">
        <w:r>
          <w:rPr>
            <w:color w:val="0000EE"/>
            <w:u w:val="single"/>
          </w:rPr>
          <w:t>Dt 6.2</w:t>
        </w:r>
      </w:hyperlink>
      <w:r>
        <w:t>). Corneille (et sa famille) « craignait Dieu », indiquant son respect envers le Seigneur (</w:t>
      </w:r>
      <w:hyperlink r:id="rId2247">
        <w:r>
          <w:rPr>
            <w:color w:val="0000EE"/>
            <w:u w:val="single"/>
          </w:rPr>
          <w:t>Ac 10.2</w:t>
        </w:r>
      </w:hyperlink>
      <w:r>
        <w:t>). La véritable révérence conduit à de bonnes actions et à une vie sainte (</w:t>
      </w:r>
      <w:hyperlink r:id="rId11967">
        <w:r>
          <w:rPr>
            <w:color w:val="0000EE"/>
            <w:u w:val="single"/>
          </w:rPr>
          <w:t>2Co 7.1</w:t>
        </w:r>
      </w:hyperlink>
      <w:r>
        <w:t>). Cette crainte apporte la joie (</w:t>
      </w:r>
      <w:hyperlink r:id="rId11968">
        <w:r>
          <w:rPr>
            <w:color w:val="0000EE"/>
            <w:u w:val="single"/>
          </w:rPr>
          <w:t>Ps 2.11</w:t>
        </w:r>
      </w:hyperlink>
      <w:r>
        <w:t>) et la vie (</w:t>
      </w:r>
      <w:hyperlink r:id="rId2238">
        <w:r>
          <w:rPr>
            <w:color w:val="0000EE"/>
            <w:u w:val="single"/>
          </w:rPr>
          <w:t>Pr 14.27</w:t>
        </w:r>
      </w:hyperlink>
      <w:r>
        <w:t>). Elle est plus précieuse que les richesses (</w:t>
      </w:r>
      <w:hyperlink r:id="rId11969">
        <w:r>
          <w:rPr>
            <w:color w:val="0000EE"/>
            <w:u w:val="single"/>
          </w:rPr>
          <w:t>Pr 15.16</w:t>
        </w:r>
      </w:hyperlink>
      <w:r>
        <w:t>). Dieu se réjouit de ceux qui le respectent (</w:t>
      </w:r>
      <w:hyperlink r:id="rId11970">
        <w:r>
          <w:rPr>
            <w:color w:val="0000EE"/>
            <w:u w:val="single"/>
          </w:rPr>
          <w:t>Ps 147.11</w:t>
        </w:r>
      </w:hyperlink>
      <w:r>
        <w:t>).</w:t>
      </w:r>
      <w:r/>
      <w:r/>
    </w:p>
    <w:p>
      <w:r/>
    </w:p>
    <w:p>
      <w:pPr>
        <w:pStyle w:val="Heading2"/>
      </w:pPr>
      <w:r>
        <w:t>Pharaon</w:t>
      </w:r>
      <w:r/>
    </w:p>
    <w:p>
      <w:r/>
      <w:r>
        <w:t>Un Pharaon était le souverain de l'Égypte, également connu sous le nom de « Roi de Haute et Basse Égypte ». Il vivait dans un palais appelé la « grande maison », qui était le symbole de son autorité. Le mot égyptien pour le palais a été appliqué aux rois eux-mêmes pendant le Nouvel Empire, une période d'environ 1 550 à 1 070 av. J.‑C. En tant que roi, le Pharaon représentait la domination des dieux sur l'Égypte. Pendant les 18e et 19e dynasties, on utilisait souvent le terme « Pharaon » sans donner le nom réel du souverain.</w:t>
      </w:r>
    </w:p>
    <w:p>
      <w:pPr>
        <w:pStyle w:val="Heading3"/>
      </w:pPr>
      <w:r>
        <w:t>Le Titre de Pharaon</w:t>
      </w:r>
    </w:p>
    <w:p>
      <w:r/>
      <w:r>
        <w:t>Le titre de Pharaon n'était pas un titre officiel. C'était, plutôt, une manière courante de se référer au roi. Dans l'Ancien Testament, ce titre était utilisé pour des souverains ayant vécu à différentes époques. Ils appartenaient à diverses familles royales appelées dynasties. Utiliser simplement le titre royal sans le nom suffisait pour les gens qui vivaient à cette époque ou qui connaissaient le Pharaon. Aujourd'hui, il est souvent difficile de savoir exactement quel Pharaon régnait à un moment précis.</w:t>
      </w:r>
    </w:p>
    <w:p>
      <w:r/>
      <w:r>
        <w:t>Dans l'Ancien Testament, le titre de Pharaon apparaît :</w:t>
      </w:r>
    </w:p>
    <w:p>
      <w:pPr>
        <w:pStyle w:val="ListBullet"/>
        <w:spacing w:line="240" w:lineRule="auto"/>
        <w:ind w:left="720"/>
      </w:pPr>
      <w:r/>
      <w:r>
        <w:t>Seul (</w:t>
      </w:r>
      <w:hyperlink r:id="rId11971">
        <w:r>
          <w:rPr>
            <w:color w:val="0000EE"/>
            <w:u w:val="single"/>
          </w:rPr>
          <w:t>Gn 12.15</w:t>
        </w:r>
      </w:hyperlink>
      <w:r>
        <w:t>),</w:t>
      </w:r>
    </w:p>
    <w:p>
      <w:pPr>
        <w:pStyle w:val="ListBullet"/>
        <w:spacing w:line="240" w:lineRule="auto"/>
        <w:ind w:left="720"/>
      </w:pPr>
      <w:r/>
      <w:r>
        <w:t>Accompagné de la description supplémentaire « roi d'Égypte » (</w:t>
      </w:r>
      <w:hyperlink r:id="rId11972">
        <w:r>
          <w:rPr>
            <w:color w:val="0000EE"/>
            <w:u w:val="single"/>
          </w:rPr>
          <w:t>Dt 7.8</w:t>
        </w:r>
      </w:hyperlink>
      <w:r>
        <w:t>), et</w:t>
      </w:r>
    </w:p>
    <w:p>
      <w:pPr>
        <w:pStyle w:val="ListBullet"/>
        <w:spacing w:line="240" w:lineRule="auto"/>
        <w:ind w:left="720"/>
      </w:pPr>
      <w:r/>
      <w:r>
        <w:t>Parfois avec le nom du Pharaon, tel que Néco (</w:t>
      </w:r>
      <w:hyperlink r:id="rId5323">
        <w:r>
          <w:rPr>
            <w:color w:val="0000EE"/>
            <w:u w:val="single"/>
          </w:rPr>
          <w:t>2R 23.29</w:t>
        </w:r>
      </w:hyperlink>
      <w:r>
        <w:t>).</w:t>
      </w:r>
    </w:p>
    <w:p>
      <w:pPr>
        <w:pStyle w:val="Heading3"/>
      </w:pPr>
      <w:r>
        <w:t>Le Rôle et l'autorité du pharaon</w:t>
      </w:r>
    </w:p>
    <w:p>
      <w:r/>
      <w:r>
        <w:t>Le Pharaon était considéré comme le représentant des dieux Râ et Amon sur terre. Ces dirigeants maintenaient l'ordre divin en Égypte et soutenaient les temples. La position du Pharaon en tant que chef civil et religieux lui conférait une autorité particulière. Contrairement aux rois des nations voisines, le pouvoir du roi égyptien n'était pas facilement menacé par la rébellion.</w:t>
      </w:r>
    </w:p>
    <w:p>
      <w:pPr>
        <w:pStyle w:val="Heading3"/>
      </w:pPr>
      <w:r>
        <w:t>Les Pharaons durant la période patriarcale et l'Exode</w:t>
      </w:r>
    </w:p>
    <w:p>
      <w:r/>
      <w:r>
        <w:t>Il est difficile d'identifier quels pharaons ont régné pendant l'époque des patriarches. Abraham et Joseph ont eu affaire aux pharaons du Moyen Empire et de la deuxième période intermédiaire. De plus, le nom du pharaon qui a opprimé les Israélites et a régné pendant l'exode n'est pas clair. Ceux qui favorisent une date d'exode précoce pensent que Thoutmôsis III est le pharaon qui a commencé l'oppression des Israélites en Égypte (</w:t>
      </w:r>
      <w:hyperlink r:id="rId5224">
        <w:r>
          <w:rPr>
            <w:color w:val="0000EE"/>
            <w:u w:val="single"/>
          </w:rPr>
          <w:t>Ex 1.8</w:t>
        </w:r>
      </w:hyperlink>
      <w:r>
        <w:t>). Dans cette perspective, Aménophis II, qui a régné après la mort de Thoutmôsis en 1440 av. J.‑C., est le pharaon de l'exode (</w:t>
      </w:r>
      <w:hyperlink r:id="rId11973">
        <w:r>
          <w:rPr>
            <w:color w:val="0000EE"/>
            <w:u w:val="single"/>
          </w:rPr>
          <w:t>Ex 2.23</w:t>
        </w:r>
      </w:hyperlink>
      <w:r>
        <w:t>).</w:t>
      </w:r>
    </w:p>
    <w:p>
      <w:r/>
      <w:r>
        <w:t>Un autre point de vue est que l'oppression a commencé sous la 18e dynastie et a duré jusqu'à la 19e dynastie. Dans cette perspective, Ramsès II est considéré comme le pharaon de l'Exode, ayant régné vers 1 290 av. J.‑C.</w:t>
      </w:r>
    </w:p>
    <w:p>
      <w:pPr>
        <w:pStyle w:val="Heading3"/>
      </w:pPr>
      <w:r>
        <w:t>Les Pharaons pendant la période du Royaume unifié d'Israël</w:t>
      </w:r>
    </w:p>
    <w:p>
      <w:r/>
      <w:r>
        <w:t>Pendant le royaume unifié d'Israël, la position d'Israël en tant que royaume puissant grandira. David soumettra les nations dans les zones frontalières d'Israël. À l'époque où Joab avait pris Édom, un prince édomite nommé Hadad s'était enfui en Égypte pour trouver protection à la cour du Pharaon. La 21e dynastie régnait sur l'Égypte à l'époque de David. Le Pharaon Siamun a peut-être accueilli Hadad comme une arme contre le pouvoir croissant d'Israël (</w:t>
      </w:r>
      <w:hyperlink r:id="rId11974">
        <w:r>
          <w:rPr>
            <w:color w:val="0000EE"/>
            <w:u w:val="single"/>
          </w:rPr>
          <w:t>1R 11.14–22</w:t>
        </w:r>
      </w:hyperlink>
      <w:r>
        <w:t>). Il se peut que ce soit le Pharaon Siamun qui ait envahi les Philistins. Il a conquis Guézer pour l'offrir à Salomon comme dot lors du mariage de sa fille avec lui (</w:t>
      </w:r>
      <w:hyperlink r:id="rId11975">
        <w:r>
          <w:rPr>
            <w:color w:val="0000EE"/>
            <w:u w:val="single"/>
          </w:rPr>
          <w:t>1R 3.1–2</w:t>
        </w:r>
      </w:hyperlink>
      <w:r>
        <w:t>). Lorsque l'unité d'Israël s'effondre, le Pharaon Schischak (Shishong 1er) de la 22e dynastie fera campagne contre Juda et Israël. Il emportera beaucoup de butin avec lui (</w:t>
      </w:r>
      <w:hyperlink r:id="rId3923">
        <w:r>
          <w:rPr>
            <w:color w:val="0000EE"/>
            <w:u w:val="single"/>
          </w:rPr>
          <w:t>1R 14.25–26</w:t>
        </w:r>
      </w:hyperlink>
      <w:r>
        <w:t>).</w:t>
      </w:r>
    </w:p>
    <w:p>
      <w:pPr>
        <w:pStyle w:val="Heading3"/>
      </w:pPr>
      <w:r>
        <w:t>Les Pharaons ultérieurs et les livres de prophétie</w:t>
      </w:r>
    </w:p>
    <w:p>
      <w:r/>
      <w:r>
        <w:t>Pharaon Néco vaincra les forces judéennes à Meguiddo, tuant le roi Josias au combat (</w:t>
      </w:r>
      <w:hyperlink r:id="rId5323">
        <w:r>
          <w:rPr>
            <w:color w:val="0000EE"/>
            <w:u w:val="single"/>
          </w:rPr>
          <w:t>2R 23.29</w:t>
        </w:r>
      </w:hyperlink>
      <w:r>
        <w:t xml:space="preserve">). Sédécias, le dernier roi de Juda, espérait que l'Égypte l'aiderait. C'est à ce moment que régnait Pharaon Hophra de la 26e dynastie. Le prophète Ézéchiel parlera sévèrement contre le roi d'Égypte : « </w:t>
      </w:r>
      <w:r>
        <w:t>Ainsi parle le Seigneur, l’Éternel</w:t>
      </w:r>
      <w:r>
        <w:t xml:space="preserve"> </w:t>
      </w:r>
      <w:r>
        <w:t>: Voici, j’en veux à toi, Pharaon, roi d’Égypte [</w:t>
      </w:r>
      <w:r>
        <w:t xml:space="preserve">…]. </w:t>
      </w:r>
      <w:r>
        <w:t>Ce sera le moindre des royaumes, Et il ne s’élèvera plus au-dessus des nations, Je les diminuerai, afin qu’ils ne dominent pas sur les nations</w:t>
      </w:r>
      <w:r>
        <w:t>. » (</w:t>
      </w:r>
      <w:hyperlink r:id="rId11976">
        <w:r>
          <w:rPr>
            <w:color w:val="0000EE"/>
            <w:u w:val="single"/>
          </w:rPr>
          <w:t>Ez 29.3, 15</w:t>
        </w:r>
      </w:hyperlink>
      <w:r>
        <w:t>). Sous la domination perse, le pouvoir des Pharaons s'affaiblira, accomplissant ce que les prophètes avaient dit.</w:t>
      </w:r>
    </w:p>
    <w:p>
      <w:r/>
      <w:r>
        <w:rPr>
          <w:i/>
        </w:rPr>
        <w:t>Voir aussi</w:t>
      </w:r>
      <w:r>
        <w:t xml:space="preserve"> </w:t>
      </w:r>
      <w:r>
        <w:t>Égypte, Égyptien</w:t>
      </w:r>
      <w:r>
        <w:t>.</w:t>
      </w:r>
      <w:r/>
      <w:r/>
    </w:p>
    <w:p>
      <w:r/>
    </w:p>
    <w:p>
      <w:pPr>
        <w:pStyle w:val="Heading2"/>
      </w:pPr>
      <w:r>
        <w:t>Pharisiens</w:t>
      </w:r>
      <w:r/>
    </w:p>
    <w:p>
      <w:r/>
      <w:r>
        <w:t>Groupe religieux en activité en Palestine pendant la période du Nouveau Testament (NT). Hormis de rares exceptions, les pharisiens sont dépeints dans les Évangiles comme s'opposant à Jésus. Il est souvent tenu que les pharisiens représentaient le judaïsme du début du premier siècle et qu'ils étaient moralement répréhensibles. En conséquence, beaucoup de dictionnaires bibliques et d'ouvrages de référence les décrivent comme avides, hypocrites, dépourvus de sens de la justice, mesquins en ce qui concerne la pratique de la loi et insensibles à la signification spirituelle de l'Ancien Testament. Qui plus est, le pharisaïsme ainsi décrit est perçu comme l'influence formatrice qui a donné le judaïsme.</w:t>
      </w:r>
    </w:p>
    <w:p>
      <w:r/>
      <w:r>
        <w:t>Cependant, cette caricature assez courante est problématique. Tout d'abord, les Évangiles eux-mêmes fournissent des éléments importants qui semblent ne pas correspondre à ce portrait. De plus, les textes principaux produits par le judaïsme rabbinique (tels que la Mishna, le Talmud et les Midrashim) offrent des éléments positifs et louables. Enfin, il est devenu de plus en plus clair, surtout depuis la découverte des Manuscrits de la mer Morte, qu'avant 70 apr. J.‑C., les pharisiens ne constituaient qu'un seul mouvement dans une société juive très diversifiée. Quelles qu'aient été leur popularité et leur influence, ils ne peuvent pas être véritablement considérés comme représentatifs du judaïsme en général.</w:t>
      </w:r>
    </w:p>
    <w:p>
      <w:pPr>
        <w:pStyle w:val="Heading3"/>
      </w:pPr>
      <w:r>
        <w:t>Origine</w:t>
      </w:r>
    </w:p>
    <w:p>
      <w:r/>
      <w:r>
        <w:t>Les origines des pharisiens sont obscures. Selon la tradition juive, le judaïsme pharisien (ou rabbinique) remonte à Esdras et aux débuts du mouvement scribal au 5</w:t>
      </w:r>
      <w:r>
        <w:t>ᵉ</w:t>
      </w:r>
      <w:r>
        <w:t xml:space="preserve"> siècle av. J.‑C. Cependant, certains chercheurs soutiennent que, puisqu'il n'y a pas de références explicites aux pharisiens dans les documents historiques qui précèdent le 2</w:t>
      </w:r>
      <w:r>
        <w:t>ᵉ</w:t>
      </w:r>
      <w:r>
        <w:t xml:space="preserve"> siècle av. J.‑C., le pharisaïsme a émergé et s'est développé rapidement après la révolte des Maccabées (167 av. J.‑C.). Cependant, de nombreux spécialistes estiment que, peut-être dès le 3</w:t>
      </w:r>
      <w:r>
        <w:t>ᵉ</w:t>
      </w:r>
      <w:r>
        <w:t xml:space="preserve"> siècle av. J.‑C., on peut trouver des indications des débuts du pharisaïsme (p. ex. dans le Siracide). De plus, il est tout à fait possible que les poursuites intellectuelles associées au travail des scribes aient contribué au développement des pharisiens. Il est également probable qu'avant la révolte des Maccabées, certaines préoccupations pharisiennes distinctives soient apparues en lien avec le développement des </w:t>
      </w:r>
      <w:r>
        <w:rPr>
          <w:i/>
        </w:rPr>
        <w:t>Hassidim</w:t>
      </w:r>
      <w:r>
        <w:t xml:space="preserve"> (« les fidèles », des traditionalistes qui s'opposaient à l'influence grecque sur la société juive).</w:t>
      </w:r>
    </w:p>
    <w:p>
      <w:r/>
      <w:r>
        <w:t xml:space="preserve">Selon une interprétation populaire et raisonnable, les </w:t>
      </w:r>
      <w:r>
        <w:rPr>
          <w:i/>
        </w:rPr>
        <w:t>Hassidim</w:t>
      </w:r>
      <w:r>
        <w:t xml:space="preserve"> étaient déçus par les dirigeants maccabéens dont la conduite violait les sensibilités juives à plusieurs égards. Certains des </w:t>
      </w:r>
      <w:r>
        <w:rPr>
          <w:i/>
        </w:rPr>
        <w:t>Hassidim</w:t>
      </w:r>
      <w:r>
        <w:t xml:space="preserve"> se sont séparés de la nation et ont constitué des groupes non conformistes, comme les Esséniens. Les autres ont opté d'essayer d'exercer leur influence au sein de la société juive et sont devenus les pharisiens.</w:t>
      </w:r>
    </w:p>
    <w:p>
      <w:r/>
      <w:r>
        <w:t>Les pharisiens ont bien probablement joué un rôle significatif dans les affaires juives au cours du siècle suivant, même s'ils avaient parfois peu d'influence politique. À l'époque du NT, ils étaient reconnus comme dirigeants religieux. Vers la fin du premier siècle apr. J.‑C., Flavius Josèphe, qui se disait pharisien, écrit qu'ils avaient « tant de crédit auprès du peuple que toutes les prières à Dieu et tous les sacrifices se règlent d’après leurs interprétations. Leurs grandes vertus ont été attestées par les villes, rendant hommage à leur effort vers le bien tant dans leur genre de vie que dans leurs doctrines. » (</w:t>
      </w:r>
      <w:r>
        <w:rPr>
          <w:i/>
        </w:rPr>
        <w:t>Antiquités</w:t>
      </w:r>
      <w:r>
        <w:t xml:space="preserve"> 18.15). Nous ne pouvons pas déterminer si cette description est applicable au pharisaïsme de la période avant 70 apr. J.‑C., mais certains des éléments que les Évangiles eux-mêmes fournissent confirment ce portrait dans une certaine mesure. Par exemple, la parabole du publicain et du pharisien (</w:t>
      </w:r>
      <w:hyperlink r:id="rId5667">
        <w:r>
          <w:rPr>
            <w:color w:val="0000EE"/>
            <w:u w:val="single"/>
          </w:rPr>
          <w:t>Lc 18.9–14</w:t>
        </w:r>
      </w:hyperlink>
      <w:r>
        <w:t>), bien que condamnant le pharisien, n'a de sens qu'en reconnaissant le renversement qu'elle introduit : le publicain impie, et non celui généralement considéré comme juste, rentre chez lui justifié.</w:t>
      </w:r>
    </w:p>
    <w:p>
      <w:pPr>
        <w:pStyle w:val="Heading3"/>
      </w:pPr>
      <w:r>
        <w:t>Caractéristiques générales</w:t>
      </w:r>
    </w:p>
    <w:p>
      <w:r/>
      <w:r>
        <w:t xml:space="preserve">Il est difficile de fournir une caractérisation précise des pharisiens car les chercheurs ne s'accordent pas sur leur identité distinctive fondamentale. Certains insistent sur la notion de « séparation », en partie sur la base de l'étymologie proposée pour le mot « pharisien », qui dériverait de l'hébreu </w:t>
      </w:r>
      <w:r>
        <w:rPr>
          <w:i/>
        </w:rPr>
        <w:t>parush</w:t>
      </w:r>
      <w:r>
        <w:t xml:space="preserve">. Toutefois, d'autres hypothèses ont été faites concernant l'origine du nom. Une autre position, plus nuancée, met en avant l'importance de la pureté rituelle pour les pharisiens (voir </w:t>
      </w:r>
      <w:hyperlink r:id="rId11977">
        <w:r>
          <w:rPr>
            <w:color w:val="0000EE"/>
            <w:u w:val="single"/>
          </w:rPr>
          <w:t>Mc 7.1–4</w:t>
        </w:r>
      </w:hyperlink>
      <w:r>
        <w:t>). Certains éléments indiquent que les pharisiens souhaitaient démocratiser certains rituels sacerdotaux (ce qui pourrait aider à expliquer la relative facilité avec laquelle les pharisiens se sont adaptés à la disparition du Temple et de ses sacrifices suivant sa destruction en 70 apr. J.‑C.). Une troisième position conçoit les pharisiens comme la classe érudite de la société juive. Le fait que les pharisiens étaient étroitement liés aux scribes (des experts de la loi) donne du poids à cette hypothèse. De plus, le mouvement rabbinique antérieur qui est né du pharisaïsme est un mouvement intellectuel caractérisé par des argumentations logiques et détaillées concernant la signification et l'application de la Torah.</w:t>
      </w:r>
    </w:p>
    <w:p>
      <w:r/>
      <w:r>
        <w:t xml:space="preserve">Ces propositions différentes ne sont pas forcément incompatibles entre elles. De plus, beaucoup s'accordent pour définir la conviction théologique fondamentale du pharisaïsme comme un engagement envers la notion d'une double loi : la Torah écrite (l'AT, principalement le Pentateuque) et la Torah orale (les traditions transmises à travers de nombreuses générations de rabbins). Il s'agit clairement d'une caractéristique qui les distingue des sadducéens (voir </w:t>
      </w:r>
      <w:r>
        <w:rPr>
          <w:i/>
        </w:rPr>
        <w:t>Antiquités</w:t>
      </w:r>
      <w:r>
        <w:t xml:space="preserve"> de Josèphe 13.297–98). Ces derniers n'acceptaient que l'autorité des livres de Moïse et soutenaient fermement que l'importance attachée par les pharisiens aux traditions orales était injustifiable. Ces traditions, qui cherchaient à réguler la vie religieuse quotidienne, sont devenues progressivement de plus en plus détaillées. Elles seront finalement compilées par écrit sous forme d'un texte unique, la Mishna (datée à environ 210 apr. J.‑C.). Cette phase de développement a vu l'émergence de la croyance que la loi orale avait elle-même été donnée à Moïse par Dieu et était elle aussi investie de l'autorité divine.</w:t>
      </w:r>
    </w:p>
    <w:p>
      <w:r/>
      <w:r>
        <w:t>Une étude consciencieuse du NT aide à comprendre que cette caractéristique explique plus que toute autre la nature du conflit entre le point de vue des pharisiens et le message de l'Évangile. L'apôtre Paul, par exemple, décrit la particularité de sa prédication apostolique en contraste avec « les traditions de ses pères », pour lesquelles il était auparavant zélé (</w:t>
      </w:r>
      <w:hyperlink r:id="rId8147">
        <w:r>
          <w:rPr>
            <w:color w:val="0000EE"/>
            <w:u w:val="single"/>
          </w:rPr>
          <w:t>Ga 1.14</w:t>
        </w:r>
      </w:hyperlink>
      <w:r>
        <w:t xml:space="preserve">). </w:t>
      </w:r>
      <w:hyperlink r:id="rId3107">
        <w:r>
          <w:rPr>
            <w:color w:val="0000EE"/>
            <w:u w:val="single"/>
          </w:rPr>
          <w:t>Marc 7</w:t>
        </w:r>
      </w:hyperlink>
      <w:r>
        <w:t xml:space="preserve"> est un passage clé particulièrement instructif à ce sujet, car les pharisiens se plaignent ainsi à Jésus : « Pourquoi tes disciples ne suivent-ils pas la tradition des anciens, mais prennent-ils leurs repas avec des mains impures ? » (v. </w:t>
      </w:r>
      <w:hyperlink r:id="rId8857">
        <w:r>
          <w:rPr>
            <w:color w:val="0000EE"/>
            <w:u w:val="single"/>
          </w:rPr>
          <w:t>5</w:t>
        </w:r>
      </w:hyperlink>
      <w:r>
        <w:t xml:space="preserve">). Christ leur répond par une sérieuse accusation : « Vous abandonnez le commandement de Dieu, et vous observez la tradition des hommes… annulant ainsi la parole de Dieu par votre tradition, que vous avez établie » (v. </w:t>
      </w:r>
      <w:hyperlink r:id="rId11978">
        <w:r>
          <w:rPr>
            <w:color w:val="0000EE"/>
            <w:u w:val="single"/>
          </w:rPr>
          <w:t>8</w:t>
        </w:r>
      </w:hyperlink>
      <w:r>
        <w:t xml:space="preserve">, </w:t>
      </w:r>
      <w:hyperlink r:id="rId11979">
        <w:r>
          <w:rPr>
            <w:color w:val="0000EE"/>
            <w:u w:val="single"/>
          </w:rPr>
          <w:t>13</w:t>
        </w:r>
      </w:hyperlink>
      <w:r>
        <w:t xml:space="preserve"> ; voir aussi </w:t>
      </w:r>
      <w:hyperlink r:id="rId11980">
        <w:r>
          <w:rPr>
            <w:color w:val="0000EE"/>
            <w:u w:val="single"/>
          </w:rPr>
          <w:t>Mt 15.1–6</w:t>
        </w:r>
      </w:hyperlink>
      <w:r>
        <w:t>).</w:t>
      </w:r>
    </w:p>
    <w:p>
      <w:r/>
      <w:r>
        <w:t xml:space="preserve">L'importance que les pharisiens attribuaient à leurs interprétations de la loi compromettait l'autorité de la révélation donnée par Dieu lui-même. L'exemple même utilisé par Jésus dans </w:t>
      </w:r>
      <w:hyperlink r:id="rId11981">
        <w:r>
          <w:rPr>
            <w:color w:val="0000EE"/>
            <w:u w:val="single"/>
          </w:rPr>
          <w:t>Marc 7.10–12</w:t>
        </w:r>
      </w:hyperlink>
      <w:r>
        <w:t xml:space="preserve"> indique qu'une règle rabbinique sur le corban permettait aux gens d'ignorer le cinquième commandement et de se sentir justifiés en le faisant.</w:t>
      </w:r>
    </w:p>
    <w:p>
      <w:r/>
      <w:r>
        <w:t xml:space="preserve">Les règles des pharisiens étaient nombreuses et pénibles, mais elles pouvaient être respectées. Ceux qui observaient scrupuleusement les traditions rabbiniques couraient le risque de conclure que leur conduite satisfaisait aux exigences de Dieu (voir la description de Paul de son propre état d'esprit avant sa conversion, </w:t>
      </w:r>
      <w:hyperlink r:id="rId11982">
        <w:r>
          <w:rPr>
            <w:color w:val="0000EE"/>
            <w:u w:val="single"/>
          </w:rPr>
          <w:t>Ph 3.6</w:t>
        </w:r>
      </w:hyperlink>
      <w:r>
        <w:t>). Un sens amenuisé de son propre péché va de pair avec un faux sentiment de sécurité spirituelle. Le besoin de dépendre de la miséricorde de Dieu ne semble plus crucial. C'est ce que communique la parabole du publicain et du pharisien (</w:t>
      </w:r>
      <w:hyperlink r:id="rId5667">
        <w:r>
          <w:rPr>
            <w:color w:val="0000EE"/>
            <w:u w:val="single"/>
          </w:rPr>
          <w:t>Lc 18.9–14</w:t>
        </w:r>
      </w:hyperlink>
      <w:r>
        <w:t>). En revanche, Jésus appelle à une justice bien plus élevée que celle des pharisiens : « Soyez donc parfaits, comme votre Père céleste est parfait » (</w:t>
      </w:r>
      <w:hyperlink r:id="rId7004">
        <w:r>
          <w:rPr>
            <w:color w:val="0000EE"/>
            <w:u w:val="single"/>
          </w:rPr>
          <w:t>Mt 5.48</w:t>
        </w:r>
      </w:hyperlink>
      <w:r>
        <w:t xml:space="preserve"> ; comp. avec </w:t>
      </w:r>
      <w:hyperlink r:id="rId7020">
        <w:r>
          <w:rPr>
            <w:color w:val="0000EE"/>
            <w:u w:val="single"/>
          </w:rPr>
          <w:t>20</w:t>
        </w:r>
      </w:hyperlink>
      <w:r>
        <w:t>).</w:t>
      </w:r>
    </w:p>
    <w:p>
      <w:r/>
      <w:r>
        <w:rPr>
          <w:i/>
        </w:rPr>
        <w:t>Voir aussi</w:t>
      </w:r>
      <w:r>
        <w:t xml:space="preserve"> </w:t>
      </w:r>
      <w:r>
        <w:t>Esséniens</w:t>
      </w:r>
      <w:r>
        <w:t xml:space="preserve"> ; </w:t>
      </w:r>
      <w:r>
        <w:t>Juif</w:t>
      </w:r>
      <w:r>
        <w:t xml:space="preserve"> ; </w:t>
      </w:r>
      <w:r>
        <w:t>judaïsme</w:t>
      </w:r>
      <w:r>
        <w:t xml:space="preserve"> ; </w:t>
      </w:r>
      <w:r>
        <w:t>sadducéens</w:t>
      </w:r>
      <w:r>
        <w:t xml:space="preserve"> ; </w:t>
      </w:r>
      <w:r>
        <w:t>Talmud</w:t>
      </w:r>
      <w:r>
        <w:t xml:space="preserve"> ; </w:t>
      </w:r>
      <w:r>
        <w:t>Torah</w:t>
      </w:r>
      <w:r>
        <w:t xml:space="preserve"> ; </w:t>
      </w:r>
      <w:r>
        <w:t>tradition</w:t>
      </w:r>
      <w:r>
        <w:t xml:space="preserve"> ; </w:t>
      </w:r>
      <w:r>
        <w:t>tradition orale</w:t>
      </w:r>
      <w:r>
        <w:t>.</w:t>
      </w:r>
      <w:r/>
      <w:r/>
    </w:p>
    <w:p>
      <w:r/>
    </w:p>
    <w:p>
      <w:pPr>
        <w:pStyle w:val="Heading2"/>
      </w:pPr>
      <w:r>
        <w:t>Phénicie, Phéniciens</w:t>
      </w:r>
      <w:r/>
    </w:p>
    <w:p>
      <w:r/>
      <w:r>
        <w:t>Groupe de cités-États (et leurs habitants) qui occupaient une bande de la plaine côtière syrienne au pied des montagnes du Liban. À une certaine époque, ces États s'étendaient de Carmel au sud à Arvad au nord, sur une distance de moins de 320 km. La plaine phénicienne ne dépasse pas 6 km de large. Dans ces plaines fertiles s'élevaient des cités-États indépendantes ; la Phénicie n'était donc ni une unité politique ni géographique.</w:t>
      </w:r>
    </w:p>
    <w:p>
      <w:r/>
      <w:r>
        <w:t>Dépourvus de bons ports naturels, les Phéniciens seront contraints de construire les leurs. Ils disposaient cependant de vastes réserves de magnifiques cèdres sur les pentes occidentales des montagnes du Liban, qu'ils contrôlaient. Ainsi, ils avaient à leur disposition du bon bois de construction pour les navires et une source de revenus importante dans une région du monde où le bois était rare. Au large, se trouvaient certaines des meilleures créatures productrices de teinture (escargots de mer) de la Méditerranée, permettant la fabrication de textiles et de colorants de qualité. Ces deux sources de revenus étaient complétées par une production industrielle supérieure en métal et en verrerie et par le transport des marchandises d'autres peuples dans des navires phéniciens. Avec le temps, des colonies phéniciennes se déveloperont le long de leurs routes commerciales. Parmi elles, Carthage était particulièrement notable.</w:t>
      </w:r>
    </w:p>
    <w:p>
      <w:r/>
      <w:r>
        <w:t>Vue d'ensemble</w:t>
      </w:r>
    </w:p>
    <w:p>
      <w:r/>
      <w:r>
        <w:t xml:space="preserve">• </w:t>
      </w:r>
      <w:r>
        <w:rPr>
          <w:b/>
          <w:u w:val="single"/>
        </w:rPr>
        <w:t>Histoire</w:t>
      </w:r>
    </w:p>
    <w:p>
      <w:r/>
      <w:r>
        <w:t xml:space="preserve">• </w:t>
      </w:r>
      <w:r>
        <w:rPr>
          <w:b/>
          <w:u w:val="single"/>
        </w:rPr>
        <w:t>Importance culturelle et historique</w:t>
      </w:r>
    </w:p>
    <w:p>
      <w:r/>
      <w:r>
        <w:t xml:space="preserve">• </w:t>
      </w:r>
      <w:r>
        <w:rPr>
          <w:b/>
          <w:u w:val="single"/>
        </w:rPr>
        <w:t>Religion</w:t>
      </w:r>
    </w:p>
    <w:p>
      <w:r/>
      <w:r>
        <w:t xml:space="preserve">• </w:t>
      </w:r>
      <w:r>
        <w:rPr>
          <w:b/>
          <w:u w:val="single"/>
        </w:rPr>
        <w:t>La Phénicie et la Bible</w:t>
      </w:r>
    </w:p>
    <w:p>
      <w:pPr>
        <w:pStyle w:val="Heading3"/>
      </w:pPr>
      <w:r>
        <w:t>Histoire</w:t>
      </w:r>
    </w:p>
    <w:p>
      <w:r/>
      <w:r>
        <w:t>Bien que des peuples d'origine méditerranéenne aient occupé le Liban vers 4000 av. J.‑C., il n'y a eu aucun développement politique ou culturel significatif dans la région avant 3000 av. J.‑C., lorsque les Cananéens s'y sont installés. La culture et l'ethnicité cananéennes (hamitique) ont été diluées par une invasion amoréenne (sémitique) de la Phénicie, de la Syrie et de la Palestine vers 2000 av. J.‑C. Par la suite, les Sémites sont devenus dominants dans la région.</w:t>
      </w:r>
    </w:p>
    <w:p>
      <w:r/>
      <w:r>
        <w:t>Bien avant l'arrivée des Sémites, les Égyptiens avaient établi des contacts commerciaux avec la Phénicie. Durant l'Ancien Empire (vers 2700–2200 av. J.‑C.), les Égyptiens semblent avoir pratiquement contrôlé Byblos, à environ 40 km au nord de Beyrouth. C'était le principal port par lequel le bois phénicien était acheminé vers l'Égypte et le papyrus égyptien ainsi que les influences entraient en Phénicie.</w:t>
      </w:r>
    </w:p>
    <w:p>
      <w:r/>
      <w:r>
        <w:t>Bien que l'influence égyptienne ait diminué pendant la Première Période Intermédiaire de l'Égypte (2 200–2 050 av. J.‑C.), elle a été pleinement restaurée pendant le Moyen Empire. Certains chercheurs préfèrent dire qu'une grande partie de la Phénicie était tombée sous le Moyen Empire égyptien à cette époque (2 050–1 800 av. J.‑C.), mais d'autres pensent que le contrôle exercé par l'Égypte était uniquement économique. Par la suite, les Hyksos ont dominé toute l'extrémité orientale de la Méditerranée.</w:t>
      </w:r>
    </w:p>
    <w:p>
      <w:r/>
      <w:r>
        <w:t>Durant la période de l'Empire égyptien (vers 1580–1100 av. J.‑C.), les Égyptiens contrôlent d'abord efficacement les villes de Phénicie, y stationnant même des garnisons. Cependant, durant la dernière partie de cette période, les Égyptiens et les Hittites se disputeront la maîtrise de la Phénicie. Vers 1100 av. J.‑C., les empires égyptien et hittite prennent fin et la Phénicie entrera dans une période d'indépendance.</w:t>
      </w:r>
    </w:p>
    <w:p>
      <w:r/>
      <w:r>
        <w:t>Au cours des deux siècles suivants, Tyr renforcera son pouvoir et établira une hégémonie sur les autres villes phéniciennes. Les efforts d'Hiram 1er ont été d'une importance particulière dans cette montée en puissance. Simultanément, la monarchie unie hébraïque se développait, et les deux puissances connaîtront des rapprochements grâce à des entreprises au bénéfice mutuel.</w:t>
      </w:r>
    </w:p>
    <w:p>
      <w:r/>
      <w:r>
        <w:t>Les conditions changeront au 9e siècle. En 868 av. J.‑C., Assurnasirpal d'Assyrie contraindra les États phéniciens à leur payer un tribut, et leur liberté sera de nouveau perdue. Cependant, sous les Assyriens, les Phéniciens prospéreront et fonderont de nombreuses colonies à l'ouest. À la fin du 8e siècle, Ésaïe pouvait s'exprimer éloquemment sur la prospérité de Tyr (</w:t>
      </w:r>
      <w:hyperlink r:id="rId11983">
        <w:r>
          <w:rPr>
            <w:color w:val="0000EE"/>
            <w:u w:val="single"/>
          </w:rPr>
          <w:t>Es 23.3–8</w:t>
        </w:r>
      </w:hyperlink>
      <w:r>
        <w:t>).</w:t>
      </w:r>
    </w:p>
    <w:p>
      <w:r/>
      <w:r>
        <w:t xml:space="preserve">Le temps passant, une certaine agitation naîtra chez les Phéniciens face à la restriction croissante des libertés imposée par les Assyriens. Vers 678 av. J.‑C., Sidon mènera une révolte contre </w:t>
      </w:r>
      <w:r>
        <w:t>Assarhaddon</w:t>
      </w:r>
      <w:r>
        <w:t xml:space="preserve"> d'Assyrie, qui s'avèrera être un échec total. Les Assyriens furieux tueront ou captureront la plupart des habitants et raseront la ville de Sidon, intimidant ainsi tous les Phéniciens. Cependant, le pouvoir assyrien diminuera par la suite, et Tyr deviendra indépendante vers 625 av. J.‑C. Sa grandeur resta largement intacte, et Ézéchiel écrira une description remarquable de ses réalisations (</w:t>
      </w:r>
      <w:hyperlink r:id="rId5442">
        <w:r>
          <w:rPr>
            <w:color w:val="0000EE"/>
            <w:u w:val="single"/>
          </w:rPr>
          <w:t>Ez 27</w:t>
        </w:r>
      </w:hyperlink>
      <w:r>
        <w:t>).</w:t>
      </w:r>
    </w:p>
    <w:p>
      <w:r/>
      <w:r>
        <w:t>Après la destruction de Jérusalem aux mains de Nebucadnetsar de Babylone en 586 av. J.‑C., ce dernier tournera son attention vers la Phénicie, conquérant facilement la Sidon reconstruite, mais nécessitant treize ans pour soumettre Tyr. Il ne prendra que la ville continentale de Tyr. Cependant, la ville insulaire se trouvait en sécurité parce que Nebucadnetsar n'avait pas de flotte. La grandeur de Tyr avait disparue ; la ville continentale ne sera jamais reconstruite.</w:t>
      </w:r>
    </w:p>
    <w:p>
      <w:r/>
      <w:r>
        <w:t>Lorsque Cyrus le Grand conquiert l'Empire babylonien en 539 av. J.‑C., les Phéniciens seront absorbés pacifiquement. Cependant, environ deux siècles plus tard, ils participèrent à une rébellion contre les Perses. Lorsque l'armée perse se présentera devant Sidon en 352 av. J.‑C. et que les habitants seront confrontés à la destruction de leurs maisons et à la perspective d'être vendus en esclavage, ils mettront le feu à leurs habitations et périront avec elles. On dit que 40 000 personnes sont mortes dans les flammes. Les autres villes phéniciennes n'auront pas le courage de poursuivre la rébellion.</w:t>
      </w:r>
    </w:p>
    <w:p>
      <w:r/>
      <w:r>
        <w:t>Lorsque Alexandre le Grand traverse la Phénicie en 332 av. J.‑C., la plupart des villes accueillent la libération du joug perse et lui ouvrent leurs portes. Tyr ne le fera cependant pas, et sera totalement détruite après un siège de sept mois. Lorsque la ville sera reconstruite, elle sera peuplée d'immigrants d'Asie Mineure qui n'avaient que peu de liens ethniques avec la période antérieure. La suprématie maritime phénicienne sera à jamais brisée.</w:t>
      </w:r>
    </w:p>
    <w:p>
      <w:r/>
      <w:r>
        <w:t xml:space="preserve">Par la suite, la Phénicie passera sous le contrôle des Ptolémées (286 av. J.‑C.), des Séleucides (198 av. J.‑C.) et des Romains (64 av. J.‑C.). Pendant la période romaine, la Phénicie faisait partie de la province de Syrie et a connu une nouvelle prospérité pendant la </w:t>
      </w:r>
      <w:r>
        <w:rPr>
          <w:i/>
        </w:rPr>
        <w:t>Pax Romana</w:t>
      </w:r>
      <w:r>
        <w:t xml:space="preserve"> (la paix romaine) des deux premiers siècles de l'ère chrétienne. À cette époque, elle était largement hellénisée et son caractère sémitique d'antan avait disparu.</w:t>
      </w:r>
    </w:p>
    <w:p>
      <w:pPr>
        <w:pStyle w:val="Heading3"/>
      </w:pPr>
      <w:r>
        <w:t>Importance culturelle et historique</w:t>
      </w:r>
    </w:p>
    <w:p>
      <w:r/>
      <w:r>
        <w:t>Meilleurs marins du monde antique, les Phéniciens domineront la Méditerranée pendant la première moitié du premier millénaire av. J.‑C., ainsi que la mer Égée pendant une grande partie de cette période. Navigateurs intrépides, ils transportaient non seulement des produits, mais transmettaient également des idées et des procédés et participaient à de nombreux échanges culturels.</w:t>
      </w:r>
    </w:p>
    <w:p>
      <w:r/>
      <w:r>
        <w:t>Bien qu'il n'existe aucune preuve que les Phéniciens aient inventé l'alphabet, ils l'ont diffusé si largement qu'il est devenu connu sous le nom d'alphabet phénicien. Leur transmission aux Grecs (au moins vers 750 av. J.‑C.) a été particulièrement importante, car ces derniers y ont ajouté des voyelles et l'ont transmis au monde occidental.</w:t>
      </w:r>
    </w:p>
    <w:p>
      <w:r/>
      <w:r>
        <w:t>Les Phéniciens ont également établi des colonies à de nombreux endroits dans la Méditerranée occidentale, notamment au cours du 8e siècle av. J.‑C. La plus puissante de ces colonies était Carthage, qui, à son apogée, contrôlait la partie occidentale de l'Afrique du Nord, une grande partie de l'Espagne et de nombreuses îles méditerranéennes, mettant presque Rome à genoux au cours du 3e siècle av. J.‑C.</w:t>
      </w:r>
    </w:p>
    <w:p>
      <w:r/>
      <w:r>
        <w:t>De plus, les Phéniciens ont développé des techniques avancées en métallurgie ; certains chercheurs pensent que les Égyptiens et peut-être même les peuples égéens ont dérivé certains de leurs procédés des Phéniciens. Bien qu'ils n'aient peut-être pas inventé la fabrication du verre, comme le prétendent de nombreux auteurs anciens, ils ont certainement contribué fortement à son développement et à la diffusion de sa renommée dans le monde antique. Les Phéniciens exportaient des quantités de teinture pourpre ou de tissu teint ainsi que leurs célèbres cèdres. Les cèdres du Liban ont été exportés non seulement vers la Palestine mais aussi vers l'Égypte, la Mésopotamie et l'Iran lointain.</w:t>
      </w:r>
    </w:p>
    <w:p>
      <w:r/>
      <w:r>
        <w:t>Parmi toutes les exportations phéniciennes, celle qui a été la plus sévèrement critiquée dans les Écritures était le culte de Baal, introduit dans le royaume d'Israël par le mariage de Jézabel avec Achab, et dans le royaume de Juda par le mariage de leur fille Athalie avec Joram.</w:t>
      </w:r>
    </w:p>
    <w:p>
      <w:pPr>
        <w:pStyle w:val="Heading3"/>
      </w:pPr>
      <w:r>
        <w:t>Religion</w:t>
      </w:r>
    </w:p>
    <w:p>
      <w:r/>
      <w:r>
        <w:t>On en sait moins sur la religion phénicienne que sur celle de la plupart des autres peuples de l'Antiquité, ce qui est principalement dû au fait que la littérature propre aux Phéniciens n'a pas été préservée. On ne peut pas être certain que les informations de l'ancienne Ougarit, en Syrie voisine, reflètent correctement les pratiques et croyances religieuses des villes phéniciennes. Il ne faut pas non plus supposer que la religion des colonies de Phénicie a été transportée sans modification depuis le pays d'origine. Malheureusement, ce que l'Ancien Testament dit sur la religion cananéenne ne différencie pas les croyances ou pratiques des villes phéniciennes individuelles. Les informations suivantes ont été recueillies presque exclusivement à partir de sources phéniciennes.</w:t>
      </w:r>
    </w:p>
    <w:p>
      <w:r/>
      <w:r>
        <w:t xml:space="preserve">Plusieurs noms généraux apparaissaient dans la religion phénicienne. El était à la fois le mot sémitique pour « dieu » et le nom d'une divinité spécifique qui était à la tête du panthéon. Baal signifie simplement « Seigneur », mais s'applique aussi au fils d'El. Baalat signifie « dame », mais désignait souvent une divinité spécifique comme la Baalat de Guebal ou Byblos. Le mot hébreu </w:t>
      </w:r>
      <w:r>
        <w:rPr>
          <w:i/>
        </w:rPr>
        <w:t>melek</w:t>
      </w:r>
      <w:r>
        <w:t xml:space="preserve"> signifiait « roi » ou « dirigeant », mais il pouvait faire partie du nom d'une divinité telle que Melkart (« dirigeant de la ville »), divinité principale de Tyr.</w:t>
      </w:r>
    </w:p>
    <w:p>
      <w:r/>
      <w:r>
        <w:t>Comme dans les cités-États grecques, les villes phéniciennes avaient des divinités tutélaires qui n'étaient pas nécessairement à la tête du panthéon. Du côté féminin, il n'y avait vraiment qu'une seule divinité vénérée dans toutes les villes : la déesse mère et de la fertilité Ashtart ou Astarté, l'Ishtar babylonienne. Elle était considérée comme la génitrice des dieux, des hommes et des plantes. La promiscuité caractérisait sa conduite, et la prostitution religieuse était pratiquée en son nom.</w:t>
      </w:r>
    </w:p>
    <w:p>
      <w:r/>
      <w:r>
        <w:t>Baalat Guebal, qui symbolisait la fertilité et correspondait donc à Astarté, était la divinité prééminente de Byblos, mais Adonis y était également très important. En tant que jeune divinité qui était mort puis ressuscité, il était associé à la mort et à la renaissance annuelles de la végétation.</w:t>
      </w:r>
    </w:p>
    <w:p>
      <w:r/>
      <w:r>
        <w:t>Astarté occupait également une place prédominante dans le panthéon de Sidon, comme le montrent de nombreuses inscriptions, les temples construits en son honneur, et le fait que les rois et reines se proclamaient ses prêtres. La divinité masculine la plus impliquée dans la vie sidonienne était Eshmun, considéré comme équivalent à Adonis dans sa fonction. Pour les Grecs, il était identifié à Asclépios, dieu de la guérison.</w:t>
      </w:r>
    </w:p>
    <w:p>
      <w:r/>
      <w:r>
        <w:t>La divinité principale de Tyr était Melkart, le Baal ou Seigneur de Tyr. Comme une fête annuelle de résurrection était célébrée en son honneur, il était assimilé à Eshmun de Sidon et Adonis de Byblos. Les Grecs identifiaient Melkart à Héraclès ou Hercule. Lorsque Tyr a assis sa domination sur les autres villes phéniciennes, Melkart a pris une place de premier plan dans leurs panthéons. Melkart aurait été le Baal introduit en Israël à l'époque d'Achab, qui a épousé Jézabel de Tyr. La principale déesse féminine de Tyr était Astarté. Hiram construira des temples pour Melkart et Astarté à Tyr, et Salomon introduira le culte d'Astarté à Jérusalem, lors de son règne (</w:t>
      </w:r>
      <w:hyperlink r:id="rId11984">
        <w:r>
          <w:rPr>
            <w:color w:val="0000EE"/>
            <w:u w:val="single"/>
          </w:rPr>
          <w:t>1R 11.5</w:t>
        </w:r>
      </w:hyperlink>
      <w:r>
        <w:t>). Son sanctuaire continuera à tourmenter les Juifs jusqu'à la réforme de Josias à la fin du 7e siècle av. J.‑C. (</w:t>
      </w:r>
      <w:hyperlink r:id="rId4066">
        <w:r>
          <w:rPr>
            <w:color w:val="0000EE"/>
            <w:u w:val="single"/>
          </w:rPr>
          <w:t>2R 23.13</w:t>
        </w:r>
      </w:hyperlink>
      <w:r>
        <w:t>).</w:t>
      </w:r>
    </w:p>
    <w:p>
      <w:r/>
      <w:r>
        <w:t>Les lieux de culte de Baal étaient soit des hauts lieux dans les collines (composés d'un autel, d'une colonne de pierre représentant Baal et d'un arbre ou d'un poteau représentant Astarté), soit des enceintes de pierre avec un autel, une colonne de pierre et un arbre. Il s'agissait parfois de temples couverts. Les sacrifices consistaient en animaux et légumes, et en temps de grande catastrophe, en êtres humains. De grandes fêtes religieuses étaient organisées pour marquer le lien de la divinité avec le rythme des saisons. Quand lui et la nature mouraient, il y avait des lamentations, des rites funéraires et peut-être des actes d'auto-torture. Le festival du printemps, qui célébrait sa résurrection et sa nouvelle vie dans la nature et qui visait à assurer la fertilité de la nature, était généralement accompagné de prostitution sacrée. L'idolâtrie, le sacrifice humain et la promiscuité sexuelle associés au culte de Baal ont attiré sur lui la condamnation spéciale de Dieu.</w:t>
      </w:r>
    </w:p>
    <w:p>
      <w:pPr>
        <w:pStyle w:val="Heading3"/>
      </w:pPr>
      <w:r>
        <w:t>La Phénicie et la Bible</w:t>
      </w:r>
    </w:p>
    <w:p>
      <w:r/>
      <w:r>
        <w:t xml:space="preserve">La Phénicie est d'abord entrée dans l'histoire biblique peu après 1000 av. J.‑C., lorsque David obtient d'Hiram 1er de Tyr certains des cèdres du Liban très convoités pour la construction de son palais. Salomon achetera également du cèdre à Hiram pour son palais et le temple. Il engagera des artisans phéniciens pour construire le temple, ériger des fortifications dans des centres stratégiques et créer une grande installation portuaire à Étsjon-Guéber sur le golfe d'Aqaba, un bras de la mer Rouge. Le design architectural phénicien sera utilisé dans divers projets de construction hébreux à l'époque de Salomon, et l'expertise phénicienne en construction navale rendra possible la marine marchande de Salomon. Les marins phéniciens manœuvreront les navires après leur inauguration (voir </w:t>
      </w:r>
      <w:hyperlink r:id="rId11985">
        <w:r>
          <w:rPr>
            <w:color w:val="0000EE"/>
            <w:u w:val="single"/>
          </w:rPr>
          <w:t>1R 9.10–28</w:t>
        </w:r>
      </w:hyperlink>
      <w:r>
        <w:t>).</w:t>
      </w:r>
    </w:p>
    <w:p>
      <w:r/>
      <w:r>
        <w:t xml:space="preserve">Au cours de la première moitié du 9e siècle av. J.‑C., l'influence phénicienne sur Israël était principalement religieuse. C'est à cette époque que Jézabel, une princesse de Tyr, épousera Achab et introduira le culte de Baal dans le royaume du nord. Plus d'un siècle plus tard, la Phénicie fera l'objet de condamnations prophétiques. Ésaïe (avant 700 av. J.‑C., voir </w:t>
      </w:r>
      <w:hyperlink r:id="rId11986">
        <w:r>
          <w:rPr>
            <w:color w:val="0000EE"/>
            <w:u w:val="single"/>
          </w:rPr>
          <w:t>Es 23</w:t>
        </w:r>
      </w:hyperlink>
      <w:r>
        <w:t xml:space="preserve">) et Ézéchiel (environ 600 av. J.‑C., voir </w:t>
      </w:r>
      <w:hyperlink r:id="rId11987">
        <w:r>
          <w:rPr>
            <w:color w:val="0000EE"/>
            <w:u w:val="single"/>
          </w:rPr>
          <w:t>Ez 26.2–19</w:t>
        </w:r>
      </w:hyperlink>
      <w:r>
        <w:t xml:space="preserve"> ; </w:t>
      </w:r>
      <w:hyperlink r:id="rId11988">
        <w:r>
          <w:rPr>
            <w:color w:val="0000EE"/>
            <w:u w:val="single"/>
          </w:rPr>
          <w:t>28.1–23</w:t>
        </w:r>
      </w:hyperlink>
      <w:r>
        <w:t>) lanceront des prédictions de souffrance et de destruction sur Tyr et Sidon.</w:t>
      </w:r>
    </w:p>
    <w:p>
      <w:r/>
      <w:r>
        <w:t>À l'époque du Nouveau Testament, l'apôtre Paul a passé une semaine à Tyr avec un groupe de chrétiens lors de son retour à Jérusalem à la fin de son troisième voyage missionnaire (</w:t>
      </w:r>
      <w:hyperlink r:id="rId11989">
        <w:r>
          <w:rPr>
            <w:color w:val="0000EE"/>
            <w:u w:val="single"/>
          </w:rPr>
          <w:t>Ac 21.2–7</w:t>
        </w:r>
      </w:hyperlink>
      <w:r>
        <w:t>).</w:t>
      </w:r>
    </w:p>
    <w:p>
      <w:r/>
      <w:r>
        <w:rPr>
          <w:i/>
        </w:rPr>
        <w:t>Voir aussi</w:t>
      </w:r>
      <w:r>
        <w:t xml:space="preserve"> </w:t>
      </w:r>
      <w:r>
        <w:t>Divinités et religion cananéennes</w:t>
      </w:r>
      <w:r>
        <w:t>.</w:t>
      </w:r>
      <w:r/>
      <w:r/>
    </w:p>
    <w:p>
      <w:r/>
    </w:p>
    <w:p>
      <w:pPr>
        <w:pStyle w:val="Heading2"/>
      </w:pPr>
      <w:r>
        <w:t>Phénix</w:t>
      </w:r>
      <w:r/>
    </w:p>
    <w:p>
      <w:r/>
      <w:r>
        <w:t>Ville portuaire sur la côte sud de la Crète, où Paul et ses compagnons de voyage espéraient passer l'hiver lors de leur voyage vers Rome (</w:t>
      </w:r>
      <w:hyperlink r:id="rId8546">
        <w:r>
          <w:rPr>
            <w:color w:val="0000EE"/>
            <w:u w:val="single"/>
          </w:rPr>
          <w:t>Ac 27.12</w:t>
        </w:r>
      </w:hyperlink>
      <w:r>
        <w:t xml:space="preserve">). Phénix était située à l'ouest de Beaux Ports près de l'île de Clauda. Contre l'avis de Paul, le navire avait reçu l'ordre de quitter la baie de Beaux Ports et de naviguer vers l'ouest jusqu'à Phénix. En route vers cette ville portuaire, le navire sera frappé par un puissant coup de vent du nord-est. Ce vent poussera le navire vers le sud-ouest au-delà de l'île de Clauda et menacera de le faire traverser la mer Méditerranée jusqu'aux dangereux bancs de Syrte Major en Afrique du Nord (v. </w:t>
      </w:r>
      <w:hyperlink r:id="rId11990">
        <w:r>
          <w:rPr>
            <w:color w:val="0000EE"/>
            <w:u w:val="single"/>
          </w:rPr>
          <w:t>9–17</w:t>
        </w:r>
      </w:hyperlink>
      <w:r>
        <w:t>).</w:t>
      </w:r>
    </w:p>
    <w:p>
      <w:r/>
      <w:r>
        <w:t>Luc décrit Phénix comme étant orienté au nord-ouest et au sud-ouest (</w:t>
      </w:r>
      <w:hyperlink r:id="rId8546">
        <w:r>
          <w:rPr>
            <w:color w:val="0000EE"/>
            <w:u w:val="single"/>
          </w:rPr>
          <w:t>Ac 27.12</w:t>
        </w:r>
      </w:hyperlink>
      <w:r>
        <w:t>), ce qui suggère que cet endroit était l'actuelle Phoinika, une ville à l'extrémité ouest du cap Mouros. Dans l'Antiquité, ce port profond était accessible aux navires, semble-t-il, et offrait une protection contre les vents d'hiver. Le nom Phénix est conservé dans la désignation Phoinika.</w:t>
      </w:r>
      <w:r/>
      <w:r/>
    </w:p>
    <w:p>
      <w:r/>
    </w:p>
    <w:p>
      <w:pPr>
        <w:pStyle w:val="Heading2"/>
      </w:pPr>
      <w:r>
        <w:t>Phérézien</w:t>
      </w:r>
      <w:r/>
    </w:p>
    <w:p>
      <w:r/>
      <w:r>
        <w:t>Les Phéréziens étaient l'un des nombreux groupes vivant dans le pays de Palestine avant et après que les Israélites l'ont conquis (</w:t>
      </w:r>
      <w:hyperlink r:id="rId11991">
        <w:r>
          <w:rPr>
            <w:color w:val="0000EE"/>
            <w:u w:val="single"/>
          </w:rPr>
          <w:t>Gn 15.20</w:t>
        </w:r>
      </w:hyperlink>
      <w:r>
        <w:t xml:space="preserve"> ; </w:t>
      </w:r>
      <w:hyperlink r:id="rId744">
        <w:r>
          <w:rPr>
            <w:color w:val="0000EE"/>
            <w:u w:val="single"/>
          </w:rPr>
          <w:t>Ex 3.8, 17</w:t>
        </w:r>
      </w:hyperlink>
      <w:r>
        <w:t xml:space="preserve"> ; </w:t>
      </w:r>
      <w:hyperlink r:id="rId746">
        <w:r>
          <w:rPr>
            <w:color w:val="0000EE"/>
            <w:u w:val="single"/>
          </w:rPr>
          <w:t>23.23</w:t>
        </w:r>
      </w:hyperlink>
      <w:r>
        <w:t xml:space="preserve"> ; </w:t>
      </w:r>
      <w:hyperlink r:id="rId747">
        <w:r>
          <w:rPr>
            <w:color w:val="0000EE"/>
            <w:u w:val="single"/>
          </w:rPr>
          <w:t>33.2</w:t>
        </w:r>
      </w:hyperlink>
      <w:r>
        <w:t xml:space="preserve"> ; </w:t>
      </w:r>
      <w:hyperlink r:id="rId7134">
        <w:r>
          <w:rPr>
            <w:color w:val="0000EE"/>
            <w:u w:val="single"/>
          </w:rPr>
          <w:t>34.11</w:t>
        </w:r>
      </w:hyperlink>
      <w:r>
        <w:t xml:space="preserve"> ; </w:t>
      </w:r>
      <w:hyperlink r:id="rId6059">
        <w:r>
          <w:rPr>
            <w:color w:val="0000EE"/>
            <w:u w:val="single"/>
          </w:rPr>
          <w:t>Dt 7.1</w:t>
        </w:r>
      </w:hyperlink>
      <w:r>
        <w:t xml:space="preserve"> ; </w:t>
      </w:r>
      <w:hyperlink r:id="rId6447">
        <w:r>
          <w:rPr>
            <w:color w:val="0000EE"/>
            <w:u w:val="single"/>
          </w:rPr>
          <w:t>20.17</w:t>
        </w:r>
      </w:hyperlink>
      <w:r>
        <w:t xml:space="preserve"> ; </w:t>
      </w:r>
      <w:hyperlink r:id="rId6060">
        <w:r>
          <w:rPr>
            <w:color w:val="0000EE"/>
            <w:u w:val="single"/>
          </w:rPr>
          <w:t>Jos 3.10</w:t>
        </w:r>
      </w:hyperlink>
      <w:r>
        <w:t xml:space="preserve"> ; </w:t>
      </w:r>
      <w:hyperlink r:id="rId11992">
        <w:r>
          <w:rPr>
            <w:color w:val="0000EE"/>
            <w:u w:val="single"/>
          </w:rPr>
          <w:t>9.1</w:t>
        </w:r>
      </w:hyperlink>
      <w:r>
        <w:t xml:space="preserve"> ; </w:t>
      </w:r>
      <w:hyperlink r:id="rId6448">
        <w:r>
          <w:rPr>
            <w:color w:val="0000EE"/>
            <w:u w:val="single"/>
          </w:rPr>
          <w:t>11.3</w:t>
        </w:r>
      </w:hyperlink>
      <w:r>
        <w:t xml:space="preserve"> ; </w:t>
      </w:r>
      <w:hyperlink r:id="rId6449">
        <w:r>
          <w:rPr>
            <w:color w:val="0000EE"/>
            <w:u w:val="single"/>
          </w:rPr>
          <w:t>12.8</w:t>
        </w:r>
      </w:hyperlink>
      <w:r>
        <w:t xml:space="preserve"> ; </w:t>
      </w:r>
      <w:hyperlink r:id="rId6061">
        <w:r>
          <w:rPr>
            <w:color w:val="0000EE"/>
            <w:u w:val="single"/>
          </w:rPr>
          <w:t>24.11</w:t>
        </w:r>
      </w:hyperlink>
      <w:r>
        <w:t xml:space="preserve"> ; </w:t>
      </w:r>
      <w:hyperlink r:id="rId6452">
        <w:r>
          <w:rPr>
            <w:color w:val="0000EE"/>
            <w:u w:val="single"/>
          </w:rPr>
          <w:t>1R 9.20</w:t>
        </w:r>
      </w:hyperlink>
      <w:r>
        <w:t xml:space="preserve"> ; </w:t>
      </w:r>
      <w:hyperlink r:id="rId6468">
        <w:r>
          <w:rPr>
            <w:color w:val="0000EE"/>
            <w:u w:val="single"/>
          </w:rPr>
          <w:t>2Ch 8.7</w:t>
        </w:r>
      </w:hyperlink>
      <w:r>
        <w:t xml:space="preserve"> ; </w:t>
      </w:r>
      <w:hyperlink r:id="rId6454">
        <w:r>
          <w:rPr>
            <w:color w:val="0000EE"/>
            <w:u w:val="single"/>
          </w:rPr>
          <w:t>Esd 9.1</w:t>
        </w:r>
      </w:hyperlink>
      <w:r>
        <w:t xml:space="preserve"> ; </w:t>
      </w:r>
      <w:hyperlink r:id="rId2787">
        <w:r>
          <w:rPr>
            <w:color w:val="0000EE"/>
            <w:u w:val="single"/>
          </w:rPr>
          <w:t>Né 9.8</w:t>
        </w:r>
      </w:hyperlink>
      <w:r>
        <w:t>). La Bible mentionne ces peuples pour diverses raisons, pas seulement pour des informations historiques ou géographiques.</w:t>
      </w:r>
    </w:p>
    <w:p>
      <w:r/>
      <w:r>
        <w:t>Parfois, la Bible les énumère pour montrer que Dieu vaincrait ces peuples quand le moment serait venu, peu importe leur nombre (</w:t>
      </w:r>
      <w:hyperlink r:id="rId11991">
        <w:r>
          <w:rPr>
            <w:color w:val="0000EE"/>
            <w:u w:val="single"/>
          </w:rPr>
          <w:t>Gn 15.20</w:t>
        </w:r>
      </w:hyperlink>
      <w:r>
        <w:t xml:space="preserve"> ; </w:t>
      </w:r>
      <w:hyperlink r:id="rId5231">
        <w:r>
          <w:rPr>
            <w:color w:val="0000EE"/>
            <w:u w:val="single"/>
          </w:rPr>
          <w:t>Ex 3.8</w:t>
        </w:r>
      </w:hyperlink>
      <w:r>
        <w:t>). À d'autres moments, ils sont mentionnés pour montrer que les ennemis de Dieu s'opposaient à Israël alors qu'ils entraient dans le pays que Dieu leur avait promis (</w:t>
      </w:r>
      <w:hyperlink r:id="rId11992">
        <w:r>
          <w:rPr>
            <w:color w:val="0000EE"/>
            <w:u w:val="single"/>
          </w:rPr>
          <w:t>Jos 9.1</w:t>
        </w:r>
      </w:hyperlink>
      <w:r>
        <w:t xml:space="preserve"> ; </w:t>
      </w:r>
      <w:hyperlink r:id="rId6448">
        <w:r>
          <w:rPr>
            <w:color w:val="0000EE"/>
            <w:u w:val="single"/>
          </w:rPr>
          <w:t>11.3</w:t>
        </w:r>
      </w:hyperlink>
      <w:r>
        <w:t xml:space="preserve"> ; </w:t>
      </w:r>
      <w:hyperlink r:id="rId6061">
        <w:r>
          <w:rPr>
            <w:color w:val="0000EE"/>
            <w:u w:val="single"/>
          </w:rPr>
          <w:t>24.11</w:t>
        </w:r>
      </w:hyperlink>
      <w:r>
        <w:t>). La Bible les décrit également comme des peuples conquis forcés de travailler pour les Israélites (</w:t>
      </w:r>
      <w:hyperlink r:id="rId6449">
        <w:r>
          <w:rPr>
            <w:color w:val="0000EE"/>
            <w:u w:val="single"/>
          </w:rPr>
          <w:t>Jos 12.8</w:t>
        </w:r>
      </w:hyperlink>
      <w:r>
        <w:t xml:space="preserve"> ; </w:t>
      </w:r>
      <w:hyperlink r:id="rId6452">
        <w:r>
          <w:rPr>
            <w:color w:val="0000EE"/>
            <w:u w:val="single"/>
          </w:rPr>
          <w:t>1R 9.20</w:t>
        </w:r>
      </w:hyperlink>
      <w:r>
        <w:t>). Après le retour d'exil des Israélites, les Phéréziens étaient toujours considérés comme une menace pour la pureté de la communauté qui venait de se réinstaller dans leur patrie (</w:t>
      </w:r>
      <w:hyperlink r:id="rId6454">
        <w:r>
          <w:rPr>
            <w:color w:val="0000EE"/>
            <w:u w:val="single"/>
          </w:rPr>
          <w:t>Esd 9.1</w:t>
        </w:r>
      </w:hyperlink>
      <w:r>
        <w:t>).</w:t>
      </w:r>
    </w:p>
    <w:p>
      <w:r/>
      <w:r>
        <w:t>Parfois, le mot « Phéréziens » apparaît avec « Cananéens » (</w:t>
      </w:r>
      <w:hyperlink r:id="rId11993">
        <w:r>
          <w:rPr>
            <w:color w:val="0000EE"/>
            <w:u w:val="single"/>
          </w:rPr>
          <w:t>Gn 13.7</w:t>
        </w:r>
      </w:hyperlink>
      <w:r>
        <w:t xml:space="preserve"> ; </w:t>
      </w:r>
      <w:hyperlink r:id="rId11994">
        <w:r>
          <w:rPr>
            <w:color w:val="0000EE"/>
            <w:u w:val="single"/>
          </w:rPr>
          <w:t>34.30</w:t>
        </w:r>
      </w:hyperlink>
      <w:r>
        <w:t xml:space="preserve"> ; </w:t>
      </w:r>
      <w:hyperlink r:id="rId11995">
        <w:r>
          <w:rPr>
            <w:color w:val="0000EE"/>
            <w:u w:val="single"/>
          </w:rPr>
          <w:t>Jug 1.4–5</w:t>
        </w:r>
      </w:hyperlink>
      <w:r>
        <w:t>). À une reprise, il apparaît avec « Rephaïm » (</w:t>
      </w:r>
      <w:hyperlink r:id="rId5916">
        <w:r>
          <w:rPr>
            <w:color w:val="0000EE"/>
            <w:u w:val="single"/>
          </w:rPr>
          <w:t>Jos 17.15</w:t>
        </w:r>
      </w:hyperlink>
      <w:r>
        <w:t>). Le nom « Pirizzi » apparaît également une fois dans les tablettes antiques d'El Amarna.</w:t>
      </w:r>
    </w:p>
    <w:p>
      <w:r/>
      <w:r>
        <w:t xml:space="preserve">Les chercheurs ne savent pas exactement qui étaient les Phéréziens. Dans les endroits où ils sont mentionnés avec les « Cananéens », ils semblent être l'un des principaux groupes vivant en Canaan. Certains chercheurs suggèrent que les Phéréziens vivaient en Canaan avant les Cananéens, étant donné qu'ils ne sont pas répertoriés dans </w:t>
      </w:r>
      <w:hyperlink r:id="rId4483">
        <w:r>
          <w:rPr>
            <w:color w:val="0000EE"/>
            <w:u w:val="single"/>
          </w:rPr>
          <w:t>Genèse 10</w:t>
        </w:r>
      </w:hyperlink>
      <w:r>
        <w:t>. Cependant, cela ne peut pas être prouvé.</w:t>
      </w:r>
    </w:p>
    <w:p>
      <w:r/>
      <w:r>
        <w:t xml:space="preserve">D'autres ont essayé de comprendre le nom comme signifiant « les gens qui vivent dans des villages sans murs ». Cette vue est soutenue par le mot hébreu, </w:t>
      </w:r>
      <w:r>
        <w:rPr>
          <w:i/>
        </w:rPr>
        <w:t>perazoth</w:t>
      </w:r>
      <w:r>
        <w:t>, qui signifie « villes sans murailles » (</w:t>
      </w:r>
      <w:hyperlink r:id="rId11996">
        <w:r>
          <w:rPr>
            <w:color w:val="0000EE"/>
            <w:u w:val="single"/>
          </w:rPr>
          <w:t>Est 9.19</w:t>
        </w:r>
      </w:hyperlink>
      <w:r>
        <w:t xml:space="preserve"> ; </w:t>
      </w:r>
      <w:hyperlink r:id="rId11997">
        <w:r>
          <w:rPr>
            <w:color w:val="0000EE"/>
            <w:u w:val="single"/>
          </w:rPr>
          <w:t>Ez 38.11</w:t>
        </w:r>
      </w:hyperlink>
      <w:r>
        <w:t xml:space="preserve"> ; </w:t>
      </w:r>
      <w:hyperlink r:id="rId11998">
        <w:r>
          <w:rPr>
            <w:color w:val="0000EE"/>
            <w:u w:val="single"/>
          </w:rPr>
          <w:t>Za 2.4</w:t>
        </w:r>
      </w:hyperlink>
      <w:r>
        <w:t xml:space="preserve"> ; voir aussi le mot </w:t>
      </w:r>
      <w:r>
        <w:rPr>
          <w:i/>
        </w:rPr>
        <w:t>perazi,</w:t>
      </w:r>
      <w:r>
        <w:t xml:space="preserve"> qui peut être traduit par « campagne ouverte », mais qui garde le sens de « ville sans murailles » dans la version LSG : </w:t>
      </w:r>
      <w:hyperlink r:id="rId11999">
        <w:r>
          <w:rPr>
            <w:color w:val="0000EE"/>
            <w:u w:val="single"/>
          </w:rPr>
          <w:t>Dt 3.5</w:t>
        </w:r>
      </w:hyperlink>
      <w:r>
        <w:t xml:space="preserve"> ; </w:t>
      </w:r>
      <w:hyperlink r:id="rId12000">
        <w:r>
          <w:rPr>
            <w:color w:val="0000EE"/>
            <w:u w:val="single"/>
          </w:rPr>
          <w:t>1Sa 6.18</w:t>
        </w:r>
      </w:hyperlink>
      <w:r>
        <w:t>). Cependant, puisque le nom apparaît si souvent parmi d'autres peuples dont nous connaissons l'identité, nous devrions être prudents avec cette approche.</w:t>
      </w:r>
    </w:p>
    <w:p>
      <w:r/>
      <w:r>
        <w:t>Certains chercheurs, au lieu de considérer les Phéréziens comme l'un des principaux groupes en Canaan, ont tenté de les localiser dans des zones spécifiques :</w:t>
      </w:r>
    </w:p>
    <w:p>
      <w:pPr>
        <w:pStyle w:val="ListBullet"/>
        <w:spacing w:line="240" w:lineRule="auto"/>
        <w:ind w:left="720"/>
      </w:pPr>
      <w:r/>
      <w:r>
        <w:t xml:space="preserve">Près de Béthel (voir </w:t>
      </w:r>
      <w:hyperlink r:id="rId11993">
        <w:r>
          <w:rPr>
            <w:color w:val="0000EE"/>
            <w:u w:val="single"/>
          </w:rPr>
          <w:t>Gn 13.7</w:t>
        </w:r>
      </w:hyperlink>
      <w:r>
        <w:t>).</w:t>
      </w:r>
    </w:p>
    <w:p>
      <w:pPr>
        <w:pStyle w:val="ListBullet"/>
        <w:spacing w:line="240" w:lineRule="auto"/>
        <w:ind w:left="720"/>
      </w:pPr>
      <w:r/>
      <w:r>
        <w:t>Près de Sichem (</w:t>
      </w:r>
      <w:hyperlink r:id="rId11994">
        <w:r>
          <w:rPr>
            <w:color w:val="0000EE"/>
            <w:u w:val="single"/>
          </w:rPr>
          <w:t>Gn 34.30</w:t>
        </w:r>
      </w:hyperlink>
      <w:r>
        <w:t>).</w:t>
      </w:r>
    </w:p>
    <w:p>
      <w:pPr>
        <w:pStyle w:val="ListBullet"/>
        <w:spacing w:line="240" w:lineRule="auto"/>
        <w:ind w:left="720"/>
      </w:pPr>
      <w:r/>
      <w:r>
        <w:t>Dans le territoire de Juda (</w:t>
      </w:r>
      <w:hyperlink r:id="rId11995">
        <w:r>
          <w:rPr>
            <w:color w:val="0000EE"/>
            <w:u w:val="single"/>
          </w:rPr>
          <w:t>Jg 1.4–5</w:t>
        </w:r>
      </w:hyperlink>
      <w:r>
        <w:t>).</w:t>
      </w:r>
    </w:p>
    <w:p>
      <w:r/>
      <w:r>
        <w:t xml:space="preserve">Toutefois, ces emplacements ne sont pas proches les uns des autres. La mention des Rephaïm dans </w:t>
      </w:r>
      <w:hyperlink r:id="rId5916">
        <w:r>
          <w:rPr>
            <w:color w:val="0000EE"/>
            <w:u w:val="single"/>
          </w:rPr>
          <w:t>Josué 17.15</w:t>
        </w:r>
      </w:hyperlink>
      <w:r>
        <w:t xml:space="preserve"> a conduit certains à suggérer que les Phéréziens venaient de la région à l'est du Jourdain (Transjordanie). Cependant, le contexte et l'utilisation de « Rephaïm » ailleurs ne soutiennent pas cette thèse.</w:t>
      </w:r>
    </w:p>
    <w:p>
      <w:r/>
      <w:r>
        <w:rPr>
          <w:i/>
        </w:rPr>
        <w:t>Voir aussi</w:t>
      </w:r>
      <w:r>
        <w:t xml:space="preserve"> </w:t>
      </w:r>
      <w:r>
        <w:t>Canaan, Cananéen</w:t>
      </w:r>
      <w:r>
        <w:t>.</w:t>
      </w:r>
      <w:r/>
      <w:r/>
    </w:p>
    <w:p>
      <w:r/>
    </w:p>
    <w:p>
      <w:pPr>
        <w:pStyle w:val="Heading2"/>
      </w:pPr>
      <w:r>
        <w:t>Philémon (Personne)</w:t>
      </w:r>
      <w:r/>
    </w:p>
    <w:p>
      <w:r/>
      <w:r>
        <w:t>Chrétien connu uniquement à travers la lettre que l'apôtre Paul lui a écrite. Le Nouveau Testament ne le mentionne nulle part ailleurs.</w:t>
      </w:r>
    </w:p>
    <w:p>
      <w:r/>
      <w:hyperlink r:id="rId12001">
        <w:r>
          <w:rPr>
            <w:color w:val="0000EE"/>
            <w:u w:val="single"/>
          </w:rPr>
          <w:t>Colossiens 4.17</w:t>
        </w:r>
      </w:hyperlink>
      <w:r>
        <w:t xml:space="preserve"> mentionne Archippe, un homme de Colosses, aux côtés de Philémon dans </w:t>
      </w:r>
      <w:hyperlink r:id="rId12002">
        <w:r>
          <w:rPr>
            <w:color w:val="0000EE"/>
            <w:u w:val="single"/>
          </w:rPr>
          <w:t>Philémon 1.2</w:t>
        </w:r>
      </w:hyperlink>
      <w:r>
        <w:t>. Archippe pourrait avoir été le fils de Philémon. Bien que Paul n'ait jamais visité Colosses, il est clair qu'il connaissait bien Philémon (</w:t>
      </w:r>
      <w:hyperlink r:id="rId12003">
        <w:r>
          <w:rPr>
            <w:color w:val="0000EE"/>
            <w:u w:val="single"/>
          </w:rPr>
          <w:t>Col 2.1</w:t>
        </w:r>
      </w:hyperlink>
      <w:r>
        <w:t xml:space="preserve">). Paul l'a appelé « </w:t>
      </w:r>
      <w:r>
        <w:t>notre bien-aimé et notre compagnon d’œuvre</w:t>
      </w:r>
      <w:r>
        <w:t xml:space="preserve"> » (</w:t>
      </w:r>
      <w:hyperlink r:id="rId12004">
        <w:r>
          <w:rPr>
            <w:color w:val="0000EE"/>
            <w:u w:val="single"/>
          </w:rPr>
          <w:t>Phm 1.1</w:t>
        </w:r>
      </w:hyperlink>
      <w:r>
        <w:t>). Il se peut que Philémon ait travaillé avec Paul pendant la mission de trois ans de Paul à Éphèse (</w:t>
      </w:r>
      <w:hyperlink r:id="rId12005">
        <w:r>
          <w:rPr>
            <w:color w:val="0000EE"/>
            <w:u w:val="single"/>
          </w:rPr>
          <w:t>Ac 19.8–10</w:t>
        </w:r>
      </w:hyperlink>
      <w:r>
        <w:t xml:space="preserve"> ; </w:t>
      </w:r>
      <w:hyperlink r:id="rId4766">
        <w:r>
          <w:rPr>
            <w:color w:val="0000EE"/>
            <w:u w:val="single"/>
          </w:rPr>
          <w:t>20.31</w:t>
        </w:r>
      </w:hyperlink>
      <w:r>
        <w:t>).</w:t>
      </w:r>
    </w:p>
    <w:p>
      <w:r/>
      <w:r>
        <w:t>Paul savait qu'il pouvait faire appel à Philémon pour le compte d'Onésime, l'esclave fugitif de Philémon. La lettre à Philémon se concentre sur la demande que fait Paul à Philémon pour qu'il accepte Onésime de nouveau, non plus seulement comme esclave, mais aussi comme un frère chrétien.</w:t>
      </w:r>
    </w:p>
    <w:p>
      <w:r/>
      <w:r>
        <w:rPr>
          <w:i/>
        </w:rPr>
        <w:t>Voir aussi</w:t>
      </w:r>
      <w:r>
        <w:t xml:space="preserve"> </w:t>
      </w:r>
      <w:r>
        <w:t>Philémon, Lettre à</w:t>
      </w:r>
      <w:r>
        <w:t>.</w:t>
      </w:r>
      <w:r/>
      <w:r/>
    </w:p>
    <w:p>
      <w:r/>
    </w:p>
    <w:p>
      <w:pPr>
        <w:pStyle w:val="Heading2"/>
      </w:pPr>
      <w:r>
        <w:t>Philippe</w:t>
      </w:r>
      <w:r/>
    </w:p>
    <w:p>
      <w:pPr>
        <w:pStyle w:val="ListNumber"/>
        <w:spacing w:line="240" w:lineRule="auto"/>
        <w:ind w:left="720"/>
      </w:pPr>
      <w:r/>
      <w:r>
        <w:t>Apôtre de Jésus. Son nom apparaît en cinquième position dans chacune des listes des douze, venant après les noms des deux paires de frères, Simon Pierre et André, et Jacques et Jean (</w:t>
      </w:r>
      <w:hyperlink r:id="rId585">
        <w:r>
          <w:rPr>
            <w:color w:val="0000EE"/>
            <w:u w:val="single"/>
          </w:rPr>
          <w:t xml:space="preserve">Mt 10.3 </w:t>
        </w:r>
      </w:hyperlink>
      <w:r>
        <w:t xml:space="preserve">; </w:t>
      </w:r>
      <w:hyperlink r:id="rId586">
        <w:r>
          <w:rPr>
            <w:color w:val="0000EE"/>
            <w:u w:val="single"/>
          </w:rPr>
          <w:t xml:space="preserve">Mc 3.18 </w:t>
        </w:r>
      </w:hyperlink>
      <w:r>
        <w:t xml:space="preserve">; </w:t>
      </w:r>
      <w:hyperlink r:id="rId12006">
        <w:r>
          <w:rPr>
            <w:color w:val="0000EE"/>
            <w:u w:val="single"/>
          </w:rPr>
          <w:t>Lc 6.14</w:t>
        </w:r>
      </w:hyperlink>
      <w:r>
        <w:t>). L'apôtre Jean écrit que lorsque Jean-Baptiste dit de Jésus « Voilà l'Agneau de Dieu. », deux de ses disciples à lui commencent à suivre Jésus. L'un des deux est André. Il déclare ensuite à son frère Simon Pierre : « Nous avons trouvé le Messie » et l'amène à Jésus. (L'autre disciple, qui n'est pas nommé, est très probablement Jean lui-même, l'auteur de ce récit.) Le lendemain, Jésus se rend en Galilée. Il y trouve Philippe et lui dit : « Suis-moi. » Jean précise que ce Philippe venait de Bethsaïda. Philippe va ensuite trouver Nathanaël et lui dit : « Nous avons trouvé celui de qui Moïse a écrit dans la loi et dont les prophètes ont parlé ». Philippe invite Nathanaël, qui doute que quelque chose de bon puisse venir de Nazareth, à venir voir par lui-même (</w:t>
      </w:r>
      <w:hyperlink r:id="rId12007">
        <w:r>
          <w:rPr>
            <w:color w:val="0000EE"/>
            <w:u w:val="single"/>
          </w:rPr>
          <w:t>Jn 1.35–51</w:t>
        </w:r>
      </w:hyperlink>
      <w:r>
        <w:t>). Cette histoire montre que Philippe est l'un des premiers à suivre Jésus et qu'il commence très vite à dire aux autres d'en faire de même.</w:t>
      </w:r>
    </w:p>
    <w:p>
      <w:r/>
      <w:r>
        <w:t>Comme les autres apôtres, Philippe a encore beaucoup à apprendre sur la personne et la puissance du Christ. Alors que Jésus s'apprête à nourrir 5 000 hommes, il pose une question à Philippe pour le tester : « Où achèterons-nous des pains, pour que ces gens aient à manger ? » Perplexe, Philippe répond que même 200 deniers (une grande somme, environ un demi-salaire annuel) ne suffiraient pas à acheter un peu de pain pour chaque personne (</w:t>
      </w:r>
      <w:hyperlink r:id="rId12008">
        <w:r>
          <w:rPr>
            <w:color w:val="0000EE"/>
            <w:u w:val="single"/>
          </w:rPr>
          <w:t>Jn 6.5–7</w:t>
        </w:r>
      </w:hyperlink>
      <w:r>
        <w:t>). Le miracle qui suit lui apprend que le Seigneur de toute la création est capable de nourrir une grande foule de personnes.</w:t>
      </w:r>
    </w:p>
    <w:p>
      <w:r/>
      <w:r>
        <w:t>La prochaine mention de Philippe est lorsque Jésus et ses disciples se trouvent à Jérusalem après l'entrée triomphale du Christ dans la ville. « Quelques Grecs » (des non-Juifs parlant le grec) abordent Philippe et lui demandent à voir Jésus. Philippe en parle à André, et ensemble, ils les amènent à Jésus (</w:t>
      </w:r>
      <w:hyperlink r:id="rId9495">
        <w:r>
          <w:rPr>
            <w:color w:val="0000EE"/>
            <w:u w:val="single"/>
          </w:rPr>
          <w:t>12.20–22</w:t>
        </w:r>
      </w:hyperlink>
      <w:r>
        <w:t>). Cet épisode révèle que Philippe est quelqu'un que les autres trouvent facile à aborder et qu'il parle le grec.</w:t>
      </w:r>
    </w:p>
    <w:p>
      <w:r/>
      <w:r>
        <w:t xml:space="preserve">La nuit de son arrestation, Jésus et les disciples sont réunis dans la chambre haute. Philippe dit à Jésus : « Seigneur, montre-nous le Père, et cela nous suffit. » Jésus profite de ce moment pour l'instruire davantage. Philippe est très dévoué à Dieu. Il espère peut-être que Jésus lui montrera quelque chose d'extraordinaire à propos de Dieu. Cette demande ressemble à quand Moïse demande à voir la gloire de Dieu dans </w:t>
      </w:r>
      <w:hyperlink r:id="rId12009">
        <w:r>
          <w:rPr>
            <w:color w:val="0000EE"/>
            <w:u w:val="single"/>
          </w:rPr>
          <w:t>Exode 33.18</w:t>
        </w:r>
      </w:hyperlink>
      <w:r>
        <w:t>. Mais Jésus enseigne à Philippe que lui-même, le Fils incarné, est la révélation tout-suffisante du Père à l'humanité (</w:t>
      </w:r>
      <w:hyperlink r:id="rId12010">
        <w:r>
          <w:rPr>
            <w:color w:val="0000EE"/>
            <w:u w:val="single"/>
          </w:rPr>
          <w:t>Jn 14.8–10</w:t>
        </w:r>
      </w:hyperlink>
      <w:r>
        <w:t>).</w:t>
      </w:r>
    </w:p>
    <w:p>
      <w:r/>
      <w:r>
        <w:t>Il y a une tendance à confondre l'apôtre Philippe avec l'évangéliste du même nom. Il est probable que le premier ait prêché dans diverses régions avant de s'installer à Hiérapolis, une ville de la province romaine d'Asie, jusqu'à sa mort. On ignore s'il est mort de causes naturelles ou comme martyr (tué pour sa foi).</w:t>
      </w:r>
    </w:p>
    <w:p>
      <w:r/>
      <w:r>
        <w:rPr>
          <w:i/>
        </w:rPr>
        <w:t>Voir aussi</w:t>
      </w:r>
      <w:r>
        <w:t xml:space="preserve"> </w:t>
      </w:r>
      <w:r>
        <w:t>Apôtre, apostolat</w:t>
      </w:r>
      <w:r>
        <w:t>.</w:t>
      </w:r>
    </w:p>
    <w:p>
      <w:pPr>
        <w:pStyle w:val="ListNumber"/>
        <w:spacing w:line="240" w:lineRule="auto"/>
        <w:ind w:left="720"/>
      </w:pPr>
      <w:r/>
      <w:r>
        <w:t>Juif hellénistique (parlant le grec et suivant les coutumes grecques) qui devient disciple du Christ. Philippe est l'un des sept hommes choisis pour superviser le ministère d'aide aux veuves pauvres de la communauté chrétienne de Jérusalem.</w:t>
      </w:r>
    </w:p>
    <w:p>
      <w:r/>
      <w:r>
        <w:t>Les sept hommes choisis ont des noms grecs. L'un d'eux, Nicolas, est un prosélyte : un non-Juif converti au judaïsme avant de devenir chrétien. Le récit ne nous permet pas d'être certains s'ils sont considérés ou non comme des diacres au sens que le mot « diacre » aura plus tard. Mais la plupart des spécialistes pensent que cet épisode marque la création d'un ministère de charité dans l'Église, et que les responsables de ce ministère seront désormais appelés des diacres (</w:t>
      </w:r>
      <w:hyperlink r:id="rId12011">
        <w:r>
          <w:rPr>
            <w:color w:val="0000EE"/>
            <w:u w:val="single"/>
          </w:rPr>
          <w:t>Ac 6.1–7</w:t>
        </w:r>
      </w:hyperlink>
      <w:r>
        <w:t xml:space="preserve">). Parmi les sept, Étienne et Philippe sont les seuls mentionnés ailleurs dans le NT. Ces sept hommes sont décrits comme étant de bonne réputation et remplis de l'Esprit Saint et de sagesse (v. </w:t>
      </w:r>
      <w:hyperlink r:id="rId8770">
        <w:r>
          <w:rPr>
            <w:color w:val="0000EE"/>
            <w:u w:val="single"/>
          </w:rPr>
          <w:t>3</w:t>
        </w:r>
      </w:hyperlink>
      <w:r>
        <w:t>).</w:t>
      </w:r>
    </w:p>
    <w:p>
      <w:r/>
      <w:hyperlink r:id="rId2215">
        <w:r>
          <w:rPr>
            <w:color w:val="0000EE"/>
            <w:u w:val="single"/>
          </w:rPr>
          <w:t xml:space="preserve">Actes 21.8 </w:t>
        </w:r>
      </w:hyperlink>
      <w:r>
        <w:t>dit clairement que Philippe est plus tard surnommé et connu sous le nom de « l'évangéliste ». Ce titre est bien mérité. Les chrétiens de Jérusalem se dispersent lorsque Saul de Tarse les persécutent. En ce temps-là, Philippe va en Samarie et y proclame l'Évangile avec une telle puissance qu'un grand nombre de personnes se convertissent à la foi en Christ dans la joie (</w:t>
      </w:r>
      <w:hyperlink r:id="rId1688">
        <w:r>
          <w:rPr>
            <w:color w:val="0000EE"/>
            <w:u w:val="single"/>
          </w:rPr>
          <w:t>Ac 8.1–8</w:t>
        </w:r>
      </w:hyperlink>
      <w:r>
        <w:t>).</w:t>
      </w:r>
    </w:p>
    <w:p>
      <w:r/>
      <w:r>
        <w:t>Après cela, Dieu commande à Philippe de partir de Samarie pour se rendre dans la partie désertique au sud du pays. Le ministère de Philippe est alors puissant et connaît beaucoup de succès. Il aurait donc pu sembler étrange et déraisonnable de partir pour se rendre ailleurs. Mais Philippe obéit à Dieu.</w:t>
      </w:r>
    </w:p>
    <w:p>
      <w:r/>
      <w:r>
        <w:t xml:space="preserve">Dans le désert, il n'y a pas de foule, mais un important fonctionnaire éthiopien qui revient de Jérusalem et repart maintenant en Afrique. Voilà pourquoi Dieu a envoyé Philippe à cet endroit : cet Éthiopien lit </w:t>
      </w:r>
      <w:hyperlink r:id="rId5724">
        <w:r>
          <w:rPr>
            <w:color w:val="0000EE"/>
            <w:u w:val="single"/>
          </w:rPr>
          <w:t>Ésaïe 53</w:t>
        </w:r>
      </w:hyperlink>
      <w:r>
        <w:t>, un chapitre clé de l'Ancien Testament qui prophétise à propos de Jésus.</w:t>
      </w:r>
    </w:p>
    <w:p>
      <w:r/>
      <w:r>
        <w:t xml:space="preserve">Philippe lui annonce la Bonne Nouvelle et lui explique que cette prophétie concerne Jésus-Christ. L'Éthiopien croit et se fait baptiser. Il poursuit son chemin dans la joie (v. </w:t>
      </w:r>
      <w:hyperlink r:id="rId12012">
        <w:r>
          <w:rPr>
            <w:color w:val="0000EE"/>
            <w:u w:val="single"/>
          </w:rPr>
          <w:t>25–40</w:t>
        </w:r>
      </w:hyperlink>
      <w:r>
        <w:t>). La conversion de cette personne signifie que Philippe est le premier à proclamer l'Évangile à un païen et que l'Évangile est emmenée sur le continent africain par cet Éthiopien.</w:t>
      </w:r>
    </w:p>
    <w:p>
      <w:r/>
      <w:r>
        <w:t xml:space="preserve">Les Juifs de cette époque se considéraient supérieurs aux autres peuples et méprisaient les Samaritains. Les Samaritains étaient un peuple dont les ancêtres étaient des Juifs qui s'étaient mariés avec des non-Juifs. Les Juifs pensaient que les Samaritains et les autres non-Juifs n'étaient pas rituellement purs et devaient être évités. Mais Philippe est différent. Il annonce la Bonne Nouvelle de Jésus avec joie aux Samaritains et à l'Éthiopien. Les actions de Philippe montrent que la Bonne Nouvelle de Jésus est destinée à tout le monde, peu importe d'où ils viennent ou de quel peuple ils font partie. La façon dont Dieu bénit le ministère de Philippe prouve que sa grâce est disponible à tous. </w:t>
      </w:r>
    </w:p>
    <w:p>
      <w:r/>
      <w:r>
        <w:t>Plus tard, Philippe s'établit à Césarée, sur la côte méditerranéenne. Il est l'hôte de Paul et de Luc qui voyagent vers Jérusalem à la fin du troisième voyage missionnaire de l'apôtre. Luc raconte que Philippe a quatre filles non mariées qui sont prophétesses (</w:t>
      </w:r>
      <w:hyperlink r:id="rId12013">
        <w:r>
          <w:rPr>
            <w:color w:val="0000EE"/>
            <w:u w:val="single"/>
          </w:rPr>
          <w:t>Ac 21.8–9</w:t>
        </w:r>
      </w:hyperlink>
      <w:r>
        <w:t>). Peu de temps après cela, Paul est emprisonné à Césarée pendant deux ans. Il a certainement pu compter sur le soutien et l'amitié de Philippe pendant ce temps (</w:t>
      </w:r>
      <w:hyperlink r:id="rId12014">
        <w:r>
          <w:rPr>
            <w:color w:val="0000EE"/>
            <w:u w:val="single"/>
          </w:rPr>
          <w:t xml:space="preserve">23.31–35 </w:t>
        </w:r>
      </w:hyperlink>
      <w:r>
        <w:t xml:space="preserve">; </w:t>
      </w:r>
      <w:hyperlink r:id="rId12015">
        <w:r>
          <w:rPr>
            <w:color w:val="0000EE"/>
            <w:u w:val="single"/>
          </w:rPr>
          <w:t>24.23, 27</w:t>
        </w:r>
      </w:hyperlink>
      <w:r>
        <w:t>).</w:t>
      </w:r>
    </w:p>
    <w:p>
      <w:pPr>
        <w:pStyle w:val="ListNumber"/>
        <w:spacing w:line="240" w:lineRule="auto"/>
        <w:ind w:left="720"/>
      </w:pPr>
      <w:r/>
      <w:r>
        <w:t xml:space="preserve">Fils d'Hérode le Grand et de Cléopâtre de Jérusalem. Il est demi-frère d'Antipas, dont la mère est Malthacé. Il est appelé Hérode dans </w:t>
      </w:r>
      <w:hyperlink r:id="rId2222">
        <w:r>
          <w:rPr>
            <w:color w:val="0000EE"/>
            <w:u w:val="single"/>
          </w:rPr>
          <w:t>Luc 3.1</w:t>
        </w:r>
      </w:hyperlink>
      <w:r>
        <w:t>. Antipas est tétrarque (gouverneur) de Pérée et de Galilée de 4 av. J.-C. à 39 apr. J.-C., tandis que Philippe est tétrarque d'Iturée et de Trachonitide (ainsi que d'autres territoires) au nord-est de la Galilée pendant 37 ans, de 4 av. J.-C. à 33 apr. J.-C. La femme de Philippe est sa nièce Salomé, celle qui danse pour Hérode Antipas en échange de la tête de Jean le Baptiste (</w:t>
      </w:r>
      <w:hyperlink r:id="rId6423">
        <w:r>
          <w:rPr>
            <w:color w:val="0000EE"/>
            <w:u w:val="single"/>
          </w:rPr>
          <w:t xml:space="preserve">Mt 14.3–12 </w:t>
        </w:r>
      </w:hyperlink>
      <w:r>
        <w:t xml:space="preserve">; </w:t>
      </w:r>
      <w:hyperlink r:id="rId6424">
        <w:r>
          <w:rPr>
            <w:color w:val="0000EE"/>
            <w:u w:val="single"/>
          </w:rPr>
          <w:t>Mc 6.17–29</w:t>
        </w:r>
      </w:hyperlink>
      <w:r>
        <w:t>). Ce Philippe est aujourd'hui appelé Hérode Philippe II par les historiens.</w:t>
      </w:r>
    </w:p>
    <w:p>
      <w:r/>
      <w:r>
        <w:rPr>
          <w:i/>
        </w:rPr>
        <w:t>Voir aussi</w:t>
      </w:r>
      <w:r>
        <w:t xml:space="preserve"> </w:t>
      </w:r>
      <w:r>
        <w:t>Hérode, famille hérodienne</w:t>
      </w:r>
      <w:r>
        <w:t>.</w:t>
      </w:r>
    </w:p>
    <w:p>
      <w:pPr>
        <w:pStyle w:val="ListNumber"/>
        <w:spacing w:line="240" w:lineRule="auto"/>
        <w:ind w:left="720"/>
      </w:pPr>
      <w:r/>
      <w:r>
        <w:t>Fils d'Hérode le Grand et de Mariamne. Ce Philippe est marié à Hérodiade, mère de Salomé. Hérodiade le quitte pour devenir la maîtresse de son demi-frère Hérode Antipas. C'est à cause de cette relation immorale que Jean-Baptiste réprimande Hérode et est ensuite emprisonné et décapité (</w:t>
      </w:r>
      <w:hyperlink r:id="rId6423">
        <w:r>
          <w:rPr>
            <w:color w:val="0000EE"/>
            <w:u w:val="single"/>
          </w:rPr>
          <w:t xml:space="preserve">Mt 14.3–12 </w:t>
        </w:r>
      </w:hyperlink>
      <w:r>
        <w:t xml:space="preserve">; </w:t>
      </w:r>
      <w:hyperlink r:id="rId6424">
        <w:r>
          <w:rPr>
            <w:color w:val="0000EE"/>
            <w:u w:val="single"/>
          </w:rPr>
          <w:t xml:space="preserve">Mc 6.17–29 </w:t>
        </w:r>
      </w:hyperlink>
      <w:r>
        <w:t xml:space="preserve">; </w:t>
      </w:r>
      <w:hyperlink r:id="rId6425">
        <w:r>
          <w:rPr>
            <w:color w:val="0000EE"/>
            <w:u w:val="single"/>
          </w:rPr>
          <w:t>Lc 3.19–20</w:t>
        </w:r>
      </w:hyperlink>
      <w:r>
        <w:t>). Ce Philippe est aujourd'hui appelé Hérode Philippe I</w:t>
      </w:r>
      <w:r>
        <w:rPr>
          <w:vertAlign w:val="superscript"/>
        </w:rPr>
        <w:t xml:space="preserve">er </w:t>
      </w:r>
      <w:r>
        <w:t>par les historiens.</w:t>
      </w:r>
    </w:p>
    <w:p>
      <w:r/>
      <w:r>
        <w:rPr>
          <w:i/>
        </w:rPr>
        <w:t>Voir aussi</w:t>
      </w:r>
      <w:r>
        <w:t xml:space="preserve"> </w:t>
      </w:r>
      <w:r>
        <w:t>Hérode, famille hérodienne</w:t>
      </w:r>
      <w:r>
        <w:t>.</w:t>
      </w:r>
      <w:r>
        <w:rPr>
          <w:vertAlign w:val="superscript"/>
        </w:rPr>
        <w:t xml:space="preserve"> </w:t>
      </w:r>
      <w:r/>
      <w:r/>
    </w:p>
    <w:p>
      <w:r/>
    </w:p>
    <w:p>
      <w:pPr>
        <w:pStyle w:val="Heading2"/>
      </w:pPr>
      <w:r>
        <w:t>Philippes</w:t>
      </w:r>
      <w:r/>
    </w:p>
    <w:p>
      <w:r/>
      <w:r>
        <w:t>Petit village de Thrace (connu dans l’Antiquité sous le nom de « Les sources ») jusqu’à environ l’an 357 av. J.-C., lorsque le père d’Alexandre le Grand, Philippe II de Macédoine, a conquis la ville et l’a reconstruite. Il lui a donné son nom « Ville de Philippe », l’a fortifiée pour en faire une forteresse militaire en soumettant la région et a exploité les mines d’or situées à proximité. Deux cents ans plus tard, à l’époque romaine, la ville est devenue le chef-lieu de l’un des quatre districts romains en lesquels la Macédoine était divisée. Toutefois, comme elle était située à environ 10 miles (16,1 kilomètres) du port de Néapolis, elle avait un développement limité. La ville voisine d’Amphipolis (sud-ouest) était la capitale de Rome.</w:t>
      </w:r>
    </w:p>
    <w:p>
      <w:r/>
      <w:r>
        <w:t>Philippes a acquis une renommée mondiale en 42 av. J.-C., en tant que camp où les armées impériales d’Antoine et d’Octave ont vaincu les généraux républicains Brutus et Cassius (les assassins de Jules César). Cette victoire a ouvert la voie à l’émergence de l’Empire romain sous le règne d’Octave (Auguste).</w:t>
      </w:r>
    </w:p>
    <w:p>
      <w:r/>
      <w:r>
        <w:t xml:space="preserve">Les vétérans de la guerre de 42 av. J.-C. et d’autres batailles se sont installés à Philippes. Lorsque Paul est arrivé dans la ville, celle-ci reflétait encore son héritage militaire latin. Cette ville est située sur la voie ignatienne constituant une étape sur cette grande route militaire reliant l’Adriatique à la mer Égée. Les habitants de cette ville étaient fiers d’être colonisés par Rome, car ils bénéficiaient de nombreux privilèges, tels que l’exemption d’impôts ainsi que la promotion du latin comme langue officielle et l’accueillir de nombreux citoyens romains. Son gouvernement s’inspirait de la constitution municipale de Rome (ses dirigeants portaient des titres romains) et ses habitants vivaient comme s’ils se trouvaient en Italie. Comme le rapporte Luc en </w:t>
      </w:r>
      <w:hyperlink r:id="rId12016">
        <w:r>
          <w:rPr>
            <w:color w:val="0000EE"/>
            <w:u w:val="single"/>
          </w:rPr>
          <w:t>Actes 16:21,</w:t>
        </w:r>
      </w:hyperlink>
      <w:r>
        <w:t>les habitants se considéraient comme des Romains.</w:t>
      </w:r>
    </w:p>
    <w:p>
      <w:r/>
      <w:r>
        <w:t>Paul a visité cette ville lors de son deuxième voyage missionnaire et, des années plus tard, il a écrit une lettre à l’église de Rome. Le récit des Actes met un accent particulier sur la visite de Paul. Ce récit fait souvent référence à l’héritage romain de la ville : non seulement Paul utilise avec succès sa citoyenneté romaine pour se défendre (</w:t>
      </w:r>
      <w:hyperlink r:id="rId2726">
        <w:r>
          <w:rPr>
            <w:color w:val="0000EE"/>
            <w:u w:val="single"/>
          </w:rPr>
          <w:t>Actes 16:37</w:t>
        </w:r>
      </w:hyperlink>
      <w:r>
        <w:t xml:space="preserve">), mais les magistrats de la ville portent le titre latin de </w:t>
      </w:r>
      <w:r>
        <w:rPr>
          <w:i/>
        </w:rPr>
        <w:t>préteur</w:t>
      </w:r>
      <w:r>
        <w:t xml:space="preserve"> (dans sa traduction grecque strategos-versets </w:t>
      </w:r>
      <w:hyperlink r:id="rId12017">
        <w:r>
          <w:rPr>
            <w:color w:val="0000EE"/>
            <w:u w:val="single"/>
          </w:rPr>
          <w:t>20–22, 38</w:t>
        </w:r>
      </w:hyperlink>
      <w:r>
        <w:t xml:space="preserve">-et que certaines versions bibliques françaises traduisent par « magistrats »). Il semble que réside ici une petite communauté juive. L’Église a commencé avec des femmes juives chrétiennes qui se réunissaient à l’extérieur de la ville parce qu’il n’y avait pas de synagogue. Plus tard, elles se sont réunies dans la maison d’une grande femme convertie nommée Lydie (versets </w:t>
      </w:r>
      <w:hyperlink r:id="rId12018">
        <w:r>
          <w:rPr>
            <w:color w:val="0000EE"/>
            <w:u w:val="single"/>
          </w:rPr>
          <w:t>14–15, 40</w:t>
        </w:r>
      </w:hyperlink>
      <w:r>
        <w:t>).</w:t>
      </w:r>
    </w:p>
    <w:p>
      <w:r/>
      <w:r>
        <w:t>Certains ont suggéré que Luc avait peut-être un intérêt particulier pour Philippes. Cette remarque se déduit, non seulement de l’attention qu’il porte à la ville, mais aussi de l’emploi du pronom « nous » dans le livre des Actes. La première partie d’usage de « nous », Luc rejoint Paul, commence et se termine à Philippes (</w:t>
      </w:r>
      <w:hyperlink r:id="rId12019">
        <w:r>
          <w:rPr>
            <w:color w:val="0000EE"/>
            <w:u w:val="single"/>
          </w:rPr>
          <w:t>Actes 16:10, 40</w:t>
        </w:r>
      </w:hyperlink>
      <w:r>
        <w:t>). Cet usage révèle que Luc est resté dans la ville après le départ de Paul. Lors de la troisième tournée, Luc rejoint à nouveau Paul lorsque ce dernier passe par Philippes (</w:t>
      </w:r>
      <w:hyperlink r:id="rId8274">
        <w:r>
          <w:rPr>
            <w:color w:val="0000EE"/>
            <w:u w:val="single"/>
          </w:rPr>
          <w:t>20:6</w:t>
        </w:r>
      </w:hyperlink>
      <w:r>
        <w:t>).</w:t>
      </w:r>
      <w:r/>
      <w:r/>
    </w:p>
    <w:p>
      <w:r/>
    </w:p>
    <w:p>
      <w:pPr>
        <w:pStyle w:val="Heading2"/>
      </w:pPr>
      <w:r>
        <w:t>Philippiens, Lettre aux</w:t>
      </w:r>
      <w:r/>
    </w:p>
    <w:p>
      <w:r/>
      <w:r>
        <w:t>Une des Épîtres de la captivité de Paul.</w:t>
      </w:r>
    </w:p>
    <w:p>
      <w:r/>
      <w:r>
        <w:t>Vue d'ensemble</w:t>
      </w:r>
    </w:p>
    <w:p>
      <w:r/>
      <w:r>
        <w:t xml:space="preserve">• </w:t>
      </w:r>
      <w:r>
        <w:rPr>
          <w:b/>
          <w:u w:val="single"/>
        </w:rPr>
        <w:t>Auteur</w:t>
      </w:r>
    </w:p>
    <w:p>
      <w:r/>
      <w:r>
        <w:t xml:space="preserve">• </w:t>
      </w:r>
      <w:r>
        <w:rPr>
          <w:b/>
          <w:u w:val="single"/>
        </w:rPr>
        <w:t>Date et origine</w:t>
      </w:r>
    </w:p>
    <w:p>
      <w:r/>
      <w:r>
        <w:t xml:space="preserve">• </w:t>
      </w:r>
      <w:r>
        <w:rPr>
          <w:b/>
          <w:u w:val="single"/>
        </w:rPr>
        <w:t>Contexte</w:t>
      </w:r>
    </w:p>
    <w:p>
      <w:r/>
      <w:r>
        <w:t xml:space="preserve">• </w:t>
      </w:r>
      <w:r>
        <w:rPr>
          <w:b/>
          <w:u w:val="single"/>
        </w:rPr>
        <w:t>Thèmes théologiques</w:t>
      </w:r>
    </w:p>
    <w:p>
      <w:r/>
      <w:r>
        <w:t xml:space="preserve">• </w:t>
      </w:r>
      <w:r>
        <w:rPr>
          <w:b/>
          <w:u w:val="single"/>
        </w:rPr>
        <w:t>Contenu</w:t>
      </w:r>
    </w:p>
    <w:p>
      <w:pPr>
        <w:pStyle w:val="Heading3"/>
      </w:pPr>
      <w:r>
        <w:t>Auteur</w:t>
      </w:r>
    </w:p>
    <w:p>
      <w:r/>
      <w:r>
        <w:t>Philippiens est semblable à 2 Corinthiens, Colossiens, 1 et 2 Thessaloniciens, et Philémon en ce sens que Paul en partage son statut d'auteur avec Timothée. L'apparition du nom de Timothée au début de ces lettres ne signifie probablement pas qu'il ait joué un rôle particulièrement important dans leur composition, si ce n'est peut-être celui de secrétaire pour Paul.</w:t>
      </w:r>
    </w:p>
    <w:p>
      <w:pPr>
        <w:pStyle w:val="Heading3"/>
      </w:pPr>
      <w:r>
        <w:t>Date et origine</w:t>
      </w:r>
    </w:p>
    <w:p>
      <w:r/>
      <w:r>
        <w:t>Bien qu'il soit clair que Paul écrivait depuis la prison (</w:t>
      </w:r>
      <w:hyperlink r:id="rId12020">
        <w:r>
          <w:rPr>
            <w:color w:val="0000EE"/>
            <w:u w:val="single"/>
          </w:rPr>
          <w:t>Ph 1.12–13</w:t>
        </w:r>
      </w:hyperlink>
      <w:r>
        <w:t xml:space="preserve">), son lieu d'emprisonnement n'est pas évident. La possibilité la plus probable est Rome, auquel cas la date de l'écriture de la lettre serait autour de 62 apr. J.‑C. Cependant, certains pensent que tous les voyages impliqués dans </w:t>
      </w:r>
      <w:hyperlink r:id="rId12021">
        <w:r>
          <w:rPr>
            <w:color w:val="0000EE"/>
            <w:u w:val="single"/>
          </w:rPr>
          <w:t>4.14</w:t>
        </w:r>
      </w:hyperlink>
      <w:r>
        <w:t xml:space="preserve"> et </w:t>
      </w:r>
      <w:hyperlink r:id="rId12022">
        <w:r>
          <w:rPr>
            <w:color w:val="0000EE"/>
            <w:u w:val="single"/>
          </w:rPr>
          <w:t>2.25–26</w:t>
        </w:r>
      </w:hyperlink>
      <w:r>
        <w:t xml:space="preserve"> rendent un endroit aussi éloigné peu probable (les Philippiens apprennent que Paul est en prison et envoient un cadeau par Épaphrodite ; Épaphrodite apprend à Rome que les Philippiens ont su qu'il a été malade). Ainsi, les alternatives d'Éphèse (vers 55 apr. J.‑C.) et de Césarée (vers 58 apr. J.‑C.) ont été proposées. Nous savons que Paul a été emprisonné à Césarée (</w:t>
      </w:r>
      <w:hyperlink r:id="rId12023">
        <w:r>
          <w:rPr>
            <w:color w:val="0000EE"/>
            <w:u w:val="single"/>
          </w:rPr>
          <w:t>Ac 23.33–35</w:t>
        </w:r>
      </w:hyperlink>
      <w:r>
        <w:t xml:space="preserve">), mais la salutation de la part de « ceux de la maison de César » est difficile à expliquer si elle a été écrite là-bas, malgré la coïncidence de noms. Éphèse est certainement assez proche de Philippes pour de nombreux échanges, mais aucun emprisonnement n'est enregistré dans le récit du ministère de Paul là-bas dans Actes. Nous devrions donc supposer que le récit de Luc dans </w:t>
      </w:r>
      <w:hyperlink r:id="rId1391">
        <w:r>
          <w:rPr>
            <w:color w:val="0000EE"/>
            <w:u w:val="single"/>
          </w:rPr>
          <w:t>Actes 19</w:t>
        </w:r>
      </w:hyperlink>
      <w:r>
        <w:t xml:space="preserve"> n'est pas complet et que Paul avait été placé en garde à vue protectrice au moment de l'émeute (voir en particulier </w:t>
      </w:r>
      <w:hyperlink r:id="rId12024">
        <w:r>
          <w:rPr>
            <w:color w:val="0000EE"/>
            <w:u w:val="single"/>
          </w:rPr>
          <w:t>19.30–31</w:t>
        </w:r>
      </w:hyperlink>
      <w:r>
        <w:t xml:space="preserve">). Cependant un tel emprisonnement aurait difficilement pu amener Paul à se demander si le temps pour lui « </w:t>
      </w:r>
      <w:r>
        <w:t>de [s]’en aller et d’être avec Christ</w:t>
      </w:r>
      <w:r>
        <w:t xml:space="preserve"> » était venu (</w:t>
      </w:r>
      <w:hyperlink r:id="rId3097">
        <w:r>
          <w:rPr>
            <w:color w:val="0000EE"/>
            <w:u w:val="single"/>
          </w:rPr>
          <w:t>Ph 1.23</w:t>
        </w:r>
      </w:hyperlink>
      <w:r>
        <w:t>). Au moment de l'écriture de la lettre, il faisait clairement face à une sentence capitale.</w:t>
      </w:r>
    </w:p>
    <w:p>
      <w:r/>
      <w:r>
        <w:t>Le lieu traditionnellement retenu (Rome) semble donc le plus satisfaisant, surtout lorsque l'on pense au fait que Paul y a été emprisonné pendant au moins deux ans (</w:t>
      </w:r>
      <w:hyperlink r:id="rId179">
        <w:r>
          <w:rPr>
            <w:color w:val="0000EE"/>
            <w:u w:val="single"/>
          </w:rPr>
          <w:t>Ac 28.30</w:t>
        </w:r>
      </w:hyperlink>
      <w:r>
        <w:t>), et qu'il fallait environ trois semaines pour voyager de Rome à Philippes.</w:t>
      </w:r>
    </w:p>
    <w:p>
      <w:pPr>
        <w:pStyle w:val="Heading3"/>
      </w:pPr>
      <w:r>
        <w:t>Contexte</w:t>
      </w:r>
    </w:p>
    <w:p>
      <w:r/>
      <w:r>
        <w:t>Philippes avait pour distinction d'être une colonie romaine (</w:t>
      </w:r>
      <w:hyperlink r:id="rId9342">
        <w:r>
          <w:rPr>
            <w:color w:val="0000EE"/>
            <w:u w:val="single"/>
          </w:rPr>
          <w:t>Ac 16.12</w:t>
        </w:r>
      </w:hyperlink>
      <w:r>
        <w:t xml:space="preserve">), un privilège accordé à seulement quelques villes en dehors de l'Italie. Environ quatre-vingt dix ans avant l'arrivée de l'Évangile là-bas (vers 50 apr. J.‑C.), la ville avait été considérablement agrandie par un grand nombre de soldats romains, qui y avaient été installés par leurs officiers commandants. En conséquence, la ville a acquis le statut convoité de colonie, ce qui signifiait que ses citoyens étaient traités comme s'ils vivaient en Italie, et que la ville jouissait d'une administration entièrement romaine. Paul fait allusion à ce statut dans </w:t>
      </w:r>
      <w:hyperlink r:id="rId8810">
        <w:r>
          <w:rPr>
            <w:color w:val="0000EE"/>
            <w:u w:val="single"/>
          </w:rPr>
          <w:t>Philippiens 3.20</w:t>
        </w:r>
      </w:hyperlink>
      <w:r>
        <w:t>, lorsqu'il enseigne que le chrétien est également citoyen d'une autre ville, céleste, tout en étant résident ailleurs. Philippes était un endroit riche et animé, l'un des principaux lieux de vie et de culture en Macédoine. Par conséquent, les adeptes de nombreuses religions différentes, tant de l'Orient que de l'Occident, y élisaient domicile. Une forte communauté juive y habitait, ainsi que des païens de toutes sortes.</w:t>
      </w:r>
    </w:p>
    <w:p>
      <w:pPr>
        <w:pStyle w:val="Heading3"/>
      </w:pPr>
      <w:r>
        <w:t>Thèmes théologiques</w:t>
      </w:r>
    </w:p>
    <w:p>
      <w:r/>
      <w:r>
        <w:t xml:space="preserve">En un sens, l'emprisonnement de Paul n'est pas qu'un élément de contexte, mais se trouve plutôt au cœur du message de la lettre. Dans son emprisonnement, il vivait l'abaissement qu'il mentionne en </w:t>
      </w:r>
      <w:hyperlink r:id="rId12025">
        <w:r>
          <w:rPr>
            <w:color w:val="0000EE"/>
            <w:u w:val="single"/>
          </w:rPr>
          <w:t>4.12</w:t>
        </w:r>
      </w:hyperlink>
      <w:r>
        <w:t xml:space="preserve">, utilisant le même mot trouvé en </w:t>
      </w:r>
      <w:hyperlink r:id="rId10356">
        <w:r>
          <w:rPr>
            <w:color w:val="0000EE"/>
            <w:u w:val="single"/>
          </w:rPr>
          <w:t>2.8</w:t>
        </w:r>
      </w:hyperlink>
      <w:r>
        <w:t xml:space="preserve"> pour décrire l'humiliation de Christ jusqu'à la mort. Le modèle du ministère de Jésus décrit dans le grand « hymne » de </w:t>
      </w:r>
      <w:hyperlink r:id="rId2909">
        <w:r>
          <w:rPr>
            <w:color w:val="0000EE"/>
            <w:u w:val="single"/>
          </w:rPr>
          <w:t>2.6–11</w:t>
        </w:r>
      </w:hyperlink>
      <w:r>
        <w:t xml:space="preserve"> (l'humiliation suivie de la glorification) devient le modèle de la vie de Paul et de la vision qu'il propose aux Philippiens. Ainsi, avec l'abaissement et la souffrance, la joie se trouve être l'autre grand thème de la lettre. Au sein de la souffrance et du don sacrificiel de soi, naît la vraie joie. En fait, Philippiens pourrait à juste titre être intitulée « L'Épître de la Joie ». D'autres thèmes importants incluent l'Évangile, le Jour du Seigneur, et en plus du célèbre « hymne » au chapitre </w:t>
      </w:r>
      <w:hyperlink r:id="rId12026">
        <w:r>
          <w:rPr>
            <w:color w:val="0000EE"/>
            <w:u w:val="single"/>
          </w:rPr>
          <w:t>2</w:t>
        </w:r>
      </w:hyperlink>
      <w:r>
        <w:t>, une comparaison du passé juif de Paul avec son expérience chrétienne actuelle (</w:t>
      </w:r>
      <w:hyperlink r:id="rId12027">
        <w:r>
          <w:rPr>
            <w:color w:val="0000EE"/>
            <w:u w:val="single"/>
          </w:rPr>
          <w:t>3.4–16</w:t>
        </w:r>
      </w:hyperlink>
      <w:r>
        <w:t>).</w:t>
      </w:r>
    </w:p>
    <w:p>
      <w:pPr>
        <w:pStyle w:val="Heading3"/>
      </w:pPr>
      <w:r>
        <w:t>Contenu</w:t>
      </w:r>
    </w:p>
    <w:p>
      <w:pPr>
        <w:pStyle w:val="Heading4"/>
      </w:pPr>
      <w:r>
        <w:t>Salutation et prière d'ouverture (</w:t>
      </w:r>
      <w:hyperlink r:id="rId12028">
        <w:r>
          <w:rPr>
            <w:color w:val="0000EE"/>
            <w:u w:val="single"/>
          </w:rPr>
          <w:t>1.1–11</w:t>
        </w:r>
      </w:hyperlink>
      <w:r>
        <w:t>)</w:t>
      </w:r>
    </w:p>
    <w:p>
      <w:r/>
      <w:r>
        <w:t xml:space="preserve">Dans le paragraphe d'ouverture de sa lettre, Paul présente les thèmes qui prédomineront dans son esprit tout au long. Sa chaleur personnelle envers les Philippiens est immédiatement frappante : « </w:t>
      </w:r>
      <w:r>
        <w:t>je vous porte dans mon cœur [</w:t>
      </w:r>
      <w:r>
        <w:t xml:space="preserve">...] </w:t>
      </w:r>
      <w:r>
        <w:t>je vous chéris tous</w:t>
      </w:r>
      <w:r>
        <w:t xml:space="preserve"> » (</w:t>
      </w:r>
      <w:hyperlink r:id="rId12029">
        <w:r>
          <w:rPr>
            <w:color w:val="0000EE"/>
            <w:u w:val="single"/>
          </w:rPr>
          <w:t>1.7–8</w:t>
        </w:r>
      </w:hyperlink>
      <w:r>
        <w:t>). C'est cette atmosphère d'amour expansif et souffrant sous-tend toute la lettre. Il est également notable que la lettre commence et se termine par les thèmes de la « grâce » et des « saints » (</w:t>
      </w:r>
      <w:hyperlink r:id="rId12030">
        <w:r>
          <w:rPr>
            <w:color w:val="0000EE"/>
            <w:u w:val="single"/>
          </w:rPr>
          <w:t>1.1–2</w:t>
        </w:r>
      </w:hyperlink>
      <w:r>
        <w:t xml:space="preserve"> ; </w:t>
      </w:r>
      <w:hyperlink r:id="rId12031">
        <w:r>
          <w:rPr>
            <w:color w:val="0000EE"/>
            <w:u w:val="single"/>
          </w:rPr>
          <w:t>4.21–23</w:t>
        </w:r>
      </w:hyperlink>
      <w:r>
        <w:t>). La grâce de Christ, qui s'adresse aux pécheurs et les transforme, les séparant du monde, occupe Paul tout au long. « Les saints » sont ceux qui, touchés par cette grâce, sont transformés dans leur cœur et leur esprit, de sorte que leur amour abonde de plus en plus en connaissance et en profondeur d'intelligence spirituelle (</w:t>
      </w:r>
      <w:hyperlink r:id="rId12032">
        <w:r>
          <w:rPr>
            <w:color w:val="0000EE"/>
            <w:u w:val="single"/>
          </w:rPr>
          <w:t>1.9</w:t>
        </w:r>
      </w:hyperlink>
      <w:r>
        <w:t>).</w:t>
      </w:r>
    </w:p>
    <w:p>
      <w:r/>
      <w:r>
        <w:t xml:space="preserve">Deux autres grands thèmes apparaissent ici. Le mot grec </w:t>
      </w:r>
      <w:r>
        <w:rPr>
          <w:i/>
        </w:rPr>
        <w:t>phroneô</w:t>
      </w:r>
      <w:r>
        <w:t xml:space="preserve">, « penser », est utilisé plus souvent dans Philippiens que dans toute autre lettre de Paul (pas moins de neuf fois, contre sept dans toute l'épître aux Romains). Malheureusement, il n'est souvent pas traduit de manière uniforme dans les versions françaises, et il est donc difficile pour le lecteur francophone de remarquer sa répétition et l'accent mis sur le bon usage de la pensée qui l'accompagne. Mais selon Paul, il s'agit de quelque chose de vital : notre vie de pensée se trouve au cœur de la vie chrétienne ; or, dans ces versets d'ouverture il précise que l'amour qu'il ressent pour les Philippiens est en réalité la manière adéquatement chrétienne de penser à eux (v. </w:t>
      </w:r>
      <w:hyperlink r:id="rId12033">
        <w:r>
          <w:rPr>
            <w:color w:val="0000EE"/>
            <w:u w:val="single"/>
          </w:rPr>
          <w:t>7</w:t>
        </w:r>
      </w:hyperlink>
      <w:r>
        <w:t xml:space="preserve"> : littéralement, « Il est juste pour moi de penser ainsi à vous »). Cela mène naturellement à la croissance (un autre accent de la lettre). En effet, « la pensée chrétienne » n'apparaît pas du jour au lendemain. Ainsi, Paul prie que cette façon de penser puisse croître, donnant aux Philippiens une capacité de discernement qui transformera leur caractère et les préparera pour « le jour de Christ » (v. </w:t>
      </w:r>
      <w:hyperlink r:id="rId12034">
        <w:r>
          <w:rPr>
            <w:color w:val="0000EE"/>
            <w:u w:val="single"/>
          </w:rPr>
          <w:t>10–11</w:t>
        </w:r>
      </w:hyperlink>
      <w:r>
        <w:t xml:space="preserve"> ; voir v. </w:t>
      </w:r>
      <w:hyperlink r:id="rId7671">
        <w:r>
          <w:rPr>
            <w:color w:val="0000EE"/>
            <w:u w:val="single"/>
          </w:rPr>
          <w:t>6</w:t>
        </w:r>
      </w:hyperlink>
      <w:r>
        <w:t>).</w:t>
      </w:r>
    </w:p>
    <w:p>
      <w:r/>
      <w:r>
        <w:t xml:space="preserve">Enfin, nous remarquons dans cette prière d'ouverture les deux accents sur l'Évangile et sur la communion, liés dans la prière de reconnaissance de Paul pour le partenariat dans l'Évangile qu'il connaît avec les Philippiens (v. </w:t>
      </w:r>
      <w:hyperlink r:id="rId2994">
        <w:r>
          <w:rPr>
            <w:color w:val="0000EE"/>
            <w:u w:val="single"/>
          </w:rPr>
          <w:t>5</w:t>
        </w:r>
      </w:hyperlink>
      <w:r>
        <w:t xml:space="preserve"> ; voir v. </w:t>
      </w:r>
      <w:hyperlink r:id="rId12033">
        <w:r>
          <w:rPr>
            <w:color w:val="0000EE"/>
            <w:u w:val="single"/>
          </w:rPr>
          <w:t>7</w:t>
        </w:r>
      </w:hyperlink>
      <w:r>
        <w:t xml:space="preserve">) ainsi que l'introduction du grand thème de la joie (v. </w:t>
      </w:r>
      <w:hyperlink r:id="rId12035">
        <w:r>
          <w:rPr>
            <w:color w:val="0000EE"/>
            <w:u w:val="single"/>
          </w:rPr>
          <w:t>4</w:t>
        </w:r>
      </w:hyperlink>
      <w:r>
        <w:t>). Ces trois éléments sont essentiels à l'ensemble de la lettre.</w:t>
      </w:r>
    </w:p>
    <w:p>
      <w:pPr>
        <w:pStyle w:val="Heading4"/>
      </w:pPr>
      <w:r>
        <w:t>Paul et son emprisonnement : Christ exalté (</w:t>
      </w:r>
      <w:hyperlink r:id="rId12036">
        <w:r>
          <w:rPr>
            <w:color w:val="0000EE"/>
            <w:u w:val="single"/>
          </w:rPr>
          <w:t>1.12–26</w:t>
        </w:r>
      </w:hyperlink>
      <w:r>
        <w:t>)</w:t>
      </w:r>
    </w:p>
    <w:p>
      <w:r/>
      <w:r>
        <w:t xml:space="preserve">Paul écrit à propos de sa propre situation pour présenter le cœur de son message. En effet, lorsqu'il écrit : « </w:t>
      </w:r>
      <w:r>
        <w:t>Christ est ma vie, et la mort m’est un gain</w:t>
      </w:r>
      <w:r>
        <w:t xml:space="preserve"> » (v. </w:t>
      </w:r>
      <w:hyperlink r:id="rId12037">
        <w:r>
          <w:rPr>
            <w:color w:val="0000EE"/>
            <w:u w:val="single"/>
          </w:rPr>
          <w:t>21</w:t>
        </w:r>
      </w:hyperlink>
      <w:r>
        <w:t xml:space="preserve">), il veut dire plus que le fait que le simple fait que chaque moment de veille est consacré à la communion avec son Seigneur et à son service. Il veut dire également que, dans sa propre personne et expérience, il « vit » Christ et le démontre. Plus tard, il dira : « </w:t>
      </w:r>
      <w:r>
        <w:t>Ce que vous avez appris, reçu et entendu de moi, et ce que vous avez vu en moi, pratiquez-le</w:t>
      </w:r>
      <w:r>
        <w:t xml:space="preserve"> » (</w:t>
      </w:r>
      <w:hyperlink r:id="rId11622">
        <w:r>
          <w:rPr>
            <w:color w:val="0000EE"/>
            <w:u w:val="single"/>
          </w:rPr>
          <w:t>4.9</w:t>
        </w:r>
      </w:hyperlink>
      <w:r>
        <w:t>). Peu de ministres chrétiens oseraient faire une telle affirmation aujourd'hui ! Cependant, Paul croyait qu'en tant qu'apôtre de Christ, c'était son privilège non seulement de parler au nom de Christ mais aussi de vivre la vie de Christ dans sa propre personne, même si cela signifiait souffrance et humiliation.</w:t>
      </w:r>
    </w:p>
    <w:p>
      <w:r/>
      <w:r>
        <w:t xml:space="preserve">Deux difficultés historiques se soulèvent en rapport avec le passage suivant. Premièrement, il est difficile de reconstruire la situation à laquelle se réfère Paul dans </w:t>
      </w:r>
      <w:hyperlink r:id="rId12038">
        <w:r>
          <w:rPr>
            <w:color w:val="0000EE"/>
            <w:u w:val="single"/>
          </w:rPr>
          <w:t>1.12–18</w:t>
        </w:r>
      </w:hyperlink>
      <w:r>
        <w:t xml:space="preserve">. L'Église à Rome (si c'est bien là qu'il se trouve) était clairement divisée à propos de son emprisonnement : certains croyants étaient en fait contents qu'il soit derrière les barreaux. Il semble qu'ils aient été incités par son emprisonnement à prêcher leur propre version de l'Évangile. Loin d'être contrarié par cela, Paul est ravi ! « Qu'importe ? » demande-t-il (v. </w:t>
      </w:r>
      <w:hyperlink r:id="rId12039">
        <w:r>
          <w:rPr>
            <w:color w:val="0000EE"/>
            <w:u w:val="single"/>
          </w:rPr>
          <w:t>18</w:t>
        </w:r>
      </w:hyperlink>
      <w:r>
        <w:t xml:space="preserve">). Que cela soit à travers un ami ou un ennemi, Christ est proclamé de manière nouvelle à la suite de son emprisonnement (v. </w:t>
      </w:r>
      <w:hyperlink r:id="rId12040">
        <w:r>
          <w:rPr>
            <w:color w:val="0000EE"/>
            <w:u w:val="single"/>
          </w:rPr>
          <w:t>14</w:t>
        </w:r>
      </w:hyperlink>
      <w:r>
        <w:t>). Il était normalement prompt à défendre la pureté de la Parole proclamée, et les rivaux de Paul ne pouvaient donc pas enseigner un message hérétique.</w:t>
      </w:r>
    </w:p>
    <w:p>
      <w:r/>
      <w:r>
        <w:t xml:space="preserve">L'autre difficulté historique concerne les versets </w:t>
      </w:r>
      <w:hyperlink r:id="rId12041">
        <w:r>
          <w:rPr>
            <w:color w:val="0000EE"/>
            <w:u w:val="single"/>
          </w:rPr>
          <w:t>19–26</w:t>
        </w:r>
      </w:hyperlink>
      <w:r>
        <w:t xml:space="preserve">. Paul semble ne pas savoir quel sera le résultat de l'emprisonnement (v. </w:t>
      </w:r>
      <w:hyperlink r:id="rId12042">
        <w:r>
          <w:rPr>
            <w:color w:val="0000EE"/>
            <w:u w:val="single"/>
          </w:rPr>
          <w:t>19–21</w:t>
        </w:r>
      </w:hyperlink>
      <w:r>
        <w:t xml:space="preserve">). Cependant, il suggère ensuite qu'il est en mesure de choisir de vivre ou de mourir (v. </w:t>
      </w:r>
      <w:hyperlink r:id="rId12043">
        <w:r>
          <w:rPr>
            <w:color w:val="0000EE"/>
            <w:u w:val="single"/>
          </w:rPr>
          <w:t>22</w:t>
        </w:r>
      </w:hyperlink>
      <w:r>
        <w:t xml:space="preserve">). Il dit, enfin, aux Philippiens qu'il est certain de rester en vie (v. </w:t>
      </w:r>
      <w:hyperlink r:id="rId12044">
        <w:r>
          <w:rPr>
            <w:color w:val="0000EE"/>
            <w:u w:val="single"/>
          </w:rPr>
          <w:t>25</w:t>
        </w:r>
      </w:hyperlink>
      <w:r>
        <w:t>). La meilleure explication pour concilier ces données est que Paul croyait avoir reçu une assurance personnelle du Saint-Esprit que son emprisonnement ne se terminerait pas par son exécution.</w:t>
      </w:r>
    </w:p>
    <w:p>
      <w:r/>
      <w:r>
        <w:t xml:space="preserve">Quoi qu'il en soit, son attitude face à sa propre mort est des plus émouvantes. Il attendait la délivrance, que cela soit par la vie ou par la mort (v. </w:t>
      </w:r>
      <w:hyperlink r:id="rId12045">
        <w:r>
          <w:rPr>
            <w:color w:val="0000EE"/>
            <w:u w:val="single"/>
          </w:rPr>
          <w:t>19–20</w:t>
        </w:r>
      </w:hyperlink>
      <w:r>
        <w:t xml:space="preserve">), et avait une confiance inébranlable que mourir est « </w:t>
      </w:r>
      <w:r>
        <w:t>de beaucoup est le meilleur</w:t>
      </w:r>
      <w:r>
        <w:t xml:space="preserve"> » (v. </w:t>
      </w:r>
      <w:hyperlink r:id="rId3097">
        <w:r>
          <w:rPr>
            <w:color w:val="0000EE"/>
            <w:u w:val="single"/>
          </w:rPr>
          <w:t>23</w:t>
        </w:r>
      </w:hyperlink>
      <w:r>
        <w:t>), car cela signifie être « avec Christ ». Cette section se termine sur une note de joie.</w:t>
      </w:r>
    </w:p>
    <w:p>
      <w:pPr>
        <w:pStyle w:val="Heading4"/>
      </w:pPr>
      <w:r>
        <w:t>La Vie digne de l'Évangile (</w:t>
      </w:r>
      <w:hyperlink r:id="rId12046">
        <w:r>
          <w:rPr>
            <w:color w:val="0000EE"/>
            <w:u w:val="single"/>
          </w:rPr>
          <w:t>1.27–2.18</w:t>
        </w:r>
      </w:hyperlink>
      <w:r>
        <w:t>)</w:t>
      </w:r>
    </w:p>
    <w:p>
      <w:r/>
      <w:r>
        <w:t xml:space="preserve">Cette section se termine par « joie », tout comme la précédente, et son message entier est résumé dans l'exhortation d'ouverture du verset </w:t>
      </w:r>
      <w:hyperlink r:id="rId683">
        <w:r>
          <w:rPr>
            <w:color w:val="0000EE"/>
            <w:u w:val="single"/>
          </w:rPr>
          <w:t>27</w:t>
        </w:r>
      </w:hyperlink>
      <w:r>
        <w:t xml:space="preserve">. Paul souhaitait que les Philippiens soient des personnes chez qui il n'y avait pas de décalage entre la profession de foi et la pratique, chez qui l'Évangile cru est identique à l'Évangile vécu. La section se divise en quatre parties, qui pourraient être intitulées comme suit : (1) </w:t>
      </w:r>
      <w:hyperlink r:id="rId12047">
        <w:r>
          <w:rPr>
            <w:color w:val="0000EE"/>
            <w:u w:val="single"/>
          </w:rPr>
          <w:t>1.27–30</w:t>
        </w:r>
      </w:hyperlink>
      <w:r>
        <w:t xml:space="preserve"> : une vie digne au sein d'un monde hostile ; (2) </w:t>
      </w:r>
      <w:hyperlink r:id="rId3001">
        <w:r>
          <w:rPr>
            <w:color w:val="0000EE"/>
            <w:u w:val="single"/>
          </w:rPr>
          <w:t>2.1–4</w:t>
        </w:r>
      </w:hyperlink>
      <w:r>
        <w:t xml:space="preserve"> : une vie digne au sein de la communion chrétienne ; (3) </w:t>
      </w:r>
      <w:hyperlink r:id="rId5704">
        <w:r>
          <w:rPr>
            <w:color w:val="0000EE"/>
            <w:u w:val="single"/>
          </w:rPr>
          <w:t>2.5–11</w:t>
        </w:r>
      </w:hyperlink>
      <w:r>
        <w:t xml:space="preserve"> : l'Évangile qui nous inspire ; (4) </w:t>
      </w:r>
      <w:hyperlink r:id="rId12048">
        <w:r>
          <w:rPr>
            <w:color w:val="0000EE"/>
            <w:u w:val="single"/>
          </w:rPr>
          <w:t>2.12–18</w:t>
        </w:r>
      </w:hyperlink>
      <w:r>
        <w:t xml:space="preserve"> : les priorités d'une vie digne de l'Évangile.</w:t>
      </w:r>
    </w:p>
    <w:p>
      <w:r/>
      <w:r>
        <w:t xml:space="preserve">Paul refuse de laisser les Philippiens penser qu'il se trouvait dans une situation pire qu'eux. Il écrit que les Philippiens vivent « </w:t>
      </w:r>
      <w:r>
        <w:t>en soutenant le même combat que vous m’avez vu soutenir, et que vous apprenez maintenant que je soutiens</w:t>
      </w:r>
      <w:r>
        <w:t xml:space="preserve"> » (</w:t>
      </w:r>
      <w:hyperlink r:id="rId12049">
        <w:r>
          <w:rPr>
            <w:color w:val="0000EE"/>
            <w:u w:val="single"/>
          </w:rPr>
          <w:t>1.30</w:t>
        </w:r>
      </w:hyperlink>
      <w:r>
        <w:t>). En effet, souffrir aux mains d'un monde hostile fait partie intégrante du discipulat chrétien. Si nous professons croire en un Évangile concernant celui qui, bien qu'égal à Dieu, a laissé de côté la gloire du ciel pour se soumettre non seulement à l'incarnation mais aussi à une mort horrible (</w:t>
      </w:r>
      <w:hyperlink r:id="rId2529">
        <w:r>
          <w:rPr>
            <w:color w:val="0000EE"/>
            <w:u w:val="single"/>
          </w:rPr>
          <w:t>2.6–8</w:t>
        </w:r>
      </w:hyperlink>
      <w:r>
        <w:t xml:space="preserve">), alors nous devons considérer la souffrance non pas comme une nécessité malheureuse mais comme un privilège ! « </w:t>
      </w:r>
      <w:r>
        <w:t>car il vous a été fait la grâce, par rapport à Christ, non seulement de croire en lui, mais encore de souffrir pour lui</w:t>
      </w:r>
      <w:r>
        <w:t xml:space="preserve"> » (</w:t>
      </w:r>
      <w:hyperlink r:id="rId12050">
        <w:r>
          <w:rPr>
            <w:color w:val="0000EE"/>
            <w:u w:val="single"/>
          </w:rPr>
          <w:t>1.29</w:t>
        </w:r>
      </w:hyperlink>
      <w:r>
        <w:t>).</w:t>
      </w:r>
    </w:p>
    <w:p>
      <w:r/>
      <w:r>
        <w:t xml:space="preserve">La qualité essentielle dont les croyants ont besoin pour faire face avec succès à l'hostilité du monde est l'unité. Ils doivent se tenir « </w:t>
      </w:r>
      <w:r>
        <w:t>dans un même esprit, combattant d’une même âme pour la foi de l’Évangile</w:t>
      </w:r>
      <w:r>
        <w:t xml:space="preserve"> » (</w:t>
      </w:r>
      <w:hyperlink r:id="rId683">
        <w:r>
          <w:rPr>
            <w:color w:val="0000EE"/>
            <w:u w:val="single"/>
          </w:rPr>
          <w:t>1.27</w:t>
        </w:r>
      </w:hyperlink>
      <w:r>
        <w:t xml:space="preserve">). Cette croyance en l'unique Évangile est d'ailleurs ce qui produira un front uni contre le monde (et pas un front purement défensif, mais offensif aussi). Le thème de l'unité se poursuit dans le chapitre </w:t>
      </w:r>
      <w:hyperlink r:id="rId12026">
        <w:r>
          <w:rPr>
            <w:color w:val="0000EE"/>
            <w:u w:val="single"/>
          </w:rPr>
          <w:t>2</w:t>
        </w:r>
      </w:hyperlink>
      <w:r>
        <w:t>, lorsque Paul se tourne vers la vie au sein de la communauté (</w:t>
      </w:r>
      <w:hyperlink r:id="rId3001">
        <w:r>
          <w:rPr>
            <w:color w:val="0000EE"/>
            <w:u w:val="single"/>
          </w:rPr>
          <w:t>2.1–4</w:t>
        </w:r>
      </w:hyperlink>
      <w:r>
        <w:t xml:space="preserve">), comme pour dire que l'unité extérieure devant le monde ne sera pas possible à moins que leurs cœurs et leurs esprits ne soient véritablement unis dans un même amour, un état d'esprit, un même objectif (v. </w:t>
      </w:r>
      <w:hyperlink r:id="rId12051">
        <w:r>
          <w:rPr>
            <w:color w:val="0000EE"/>
            <w:u w:val="single"/>
          </w:rPr>
          <w:t>2</w:t>
        </w:r>
      </w:hyperlink>
      <w:r>
        <w:t xml:space="preserve">), quelle que soit leur situation extérieure. Une telle unité ne viendra que si la tendresse et la compassion demeurent parmi eux (v. </w:t>
      </w:r>
      <w:hyperlink r:id="rId12052">
        <w:r>
          <w:rPr>
            <w:color w:val="0000EE"/>
            <w:u w:val="single"/>
          </w:rPr>
          <w:t>1</w:t>
        </w:r>
      </w:hyperlink>
      <w:r>
        <w:t xml:space="preserve">). Cette phrase est le point culminant de la belle progression du verset </w:t>
      </w:r>
      <w:hyperlink r:id="rId12052">
        <w:r>
          <w:rPr>
            <w:color w:val="0000EE"/>
            <w:u w:val="single"/>
          </w:rPr>
          <w:t>1</w:t>
        </w:r>
      </w:hyperlink>
      <w:r>
        <w:t xml:space="preserve"> et mène, à son tour, au célèbre « hymne » dans </w:t>
      </w:r>
      <w:hyperlink r:id="rId2909">
        <w:r>
          <w:rPr>
            <w:color w:val="0000EE"/>
            <w:u w:val="single"/>
          </w:rPr>
          <w:t>2.6–11</w:t>
        </w:r>
      </w:hyperlink>
      <w:r>
        <w:t>. Une telle tendresse ne trouvera pas sa place dans leurs cœurs à moins qu'ils ne croient en l'Évangile dont l'hymne parle.</w:t>
      </w:r>
    </w:p>
    <w:p>
      <w:r/>
      <w:r>
        <w:t xml:space="preserve">Il est impossible aujourd'hui de savoir avec certitude si </w:t>
      </w:r>
      <w:hyperlink r:id="rId2909">
        <w:r>
          <w:rPr>
            <w:color w:val="0000EE"/>
            <w:u w:val="single"/>
          </w:rPr>
          <w:t>2.6–11</w:t>
        </w:r>
      </w:hyperlink>
      <w:r>
        <w:t xml:space="preserve"> était un véritable hymne préexistant, chanté dans le contexte du culte chrétien primitif. Ce qui est cependant certain est que le langage de Paul prend bien ici une qualité hymnique, bien qu'il ne soit pas écrit sous forme poétique. De nombreux chercheurs ont pensé que Paul n'avait pas écrit ces versets lui-même, mais qu'il citait un morceau bien connu de la liturgie. Ce que l'on peut dire avec certitude est que son langage change de style et qu'il exprime ici des idées qui sont uniques dans ses écrits.</w:t>
      </w:r>
    </w:p>
    <w:p>
      <w:r/>
      <w:r>
        <w:t>L'hymne s'intègre magnifiquement dans son contexte et constitue en fait le cœur de toute la lettre. Nous voyons ici comment l'expérience de l'emprisonnement et de la délivrance, ainsi que de la souffrance et de la joie, nous fait entrer dans l'expérience de Jésus lui-même, lui qui est mort et ressuscité, a été humilié et glorifié.</w:t>
      </w:r>
    </w:p>
    <w:p>
      <w:pPr>
        <w:pStyle w:val="Heading4"/>
      </w:pPr>
      <w:r>
        <w:t>Deux exemples et amis dignes (</w:t>
      </w:r>
      <w:hyperlink r:id="rId12053">
        <w:r>
          <w:rPr>
            <w:color w:val="0000EE"/>
            <w:u w:val="single"/>
          </w:rPr>
          <w:t>2.19–30</w:t>
        </w:r>
      </w:hyperlink>
      <w:r>
        <w:t>)</w:t>
      </w:r>
    </w:p>
    <w:p>
      <w:r/>
      <w:r>
        <w:t xml:space="preserve">Paul écrit de nouveau sur sa propre situation et ses projets, mais comme auparavant, cette section ne concerne pas seulement les arrangements pratiques. En apparence, il expliquait simplement pourquoi il envoyait la lettre par la main d'Épaphrodite au lieu de Timothée. Mais en réalité, il les présentait comme des exemples pratiques de la vie vécue selon l'Évangile, dont il venait d'écrire. Timothée « </w:t>
      </w:r>
      <w:r>
        <w:t>prendre sincèrement à cœur [leur] situation</w:t>
      </w:r>
      <w:r>
        <w:t xml:space="preserve"> » (</w:t>
      </w:r>
      <w:hyperlink r:id="rId12054">
        <w:r>
          <w:rPr>
            <w:color w:val="0000EE"/>
            <w:u w:val="single"/>
          </w:rPr>
          <w:t>2.20</w:t>
        </w:r>
      </w:hyperlink>
      <w:r>
        <w:t xml:space="preserve">), car, contrairement à tout le monde, il ne cherchait pas ses propres intérêts mais ceux de Jésus-Christ (v. </w:t>
      </w:r>
      <w:hyperlink r:id="rId12055">
        <w:r>
          <w:rPr>
            <w:color w:val="0000EE"/>
            <w:u w:val="single"/>
          </w:rPr>
          <w:t>21</w:t>
        </w:r>
      </w:hyperlink>
      <w:r>
        <w:t xml:space="preserve">). Il vivait l'Évangile ! Il était engagé dans l'œuvre de l'Évangile (v. </w:t>
      </w:r>
      <w:hyperlink r:id="rId12056">
        <w:r>
          <w:rPr>
            <w:color w:val="0000EE"/>
            <w:u w:val="single"/>
          </w:rPr>
          <w:t>22</w:t>
        </w:r>
      </w:hyperlink>
      <w:r>
        <w:t xml:space="preserve">). Épaphrodite manifestait le même esprit, bien que d'une manière différente. Son union avec Jésus s'exprimait non pas tant dans son service désintéressé pour l'Évangile et ses compagnons saints, que dans la maladie qu'il a subie et les douleurs de la séparation qu'il a endurées. Comme Jésus, il a mis sa vie en jeu (v. </w:t>
      </w:r>
      <w:hyperlink r:id="rId652">
        <w:r>
          <w:rPr>
            <w:color w:val="0000EE"/>
            <w:u w:val="single"/>
          </w:rPr>
          <w:t>30</w:t>
        </w:r>
      </w:hyperlink>
      <w:r>
        <w:t xml:space="preserve">), et comme Jésus, il a connu la restauration de sa vie (v. </w:t>
      </w:r>
      <w:hyperlink r:id="rId12057">
        <w:r>
          <w:rPr>
            <w:color w:val="0000EE"/>
            <w:u w:val="single"/>
          </w:rPr>
          <w:t>27</w:t>
        </w:r>
      </w:hyperlink>
      <w:r>
        <w:t>). Il devait désormais être restauré auprès de ses bien-aimés Philippiens, et la joie qu'ils éprouveraient ensemble serait, elle aussi, une nouvelle manifestation de l'Évangile.</w:t>
      </w:r>
    </w:p>
    <w:p>
      <w:pPr>
        <w:pStyle w:val="Heading4"/>
      </w:pPr>
      <w:r>
        <w:t>Aller de l'avant et rester ferme (</w:t>
      </w:r>
      <w:hyperlink r:id="rId12058">
        <w:r>
          <w:rPr>
            <w:color w:val="0000EE"/>
            <w:u w:val="single"/>
          </w:rPr>
          <w:t>3.1–4.1</w:t>
        </w:r>
      </w:hyperlink>
      <w:r>
        <w:t>)</w:t>
      </w:r>
    </w:p>
    <w:p>
      <w:r/>
      <w:r>
        <w:t>Cette section commence et se termine également avec la mention explicite de la joie (</w:t>
      </w:r>
      <w:hyperlink r:id="rId12059">
        <w:r>
          <w:rPr>
            <w:color w:val="0000EE"/>
            <w:u w:val="single"/>
          </w:rPr>
          <w:t>3.1</w:t>
        </w:r>
      </w:hyperlink>
      <w:r>
        <w:t xml:space="preserve"> ; </w:t>
      </w:r>
      <w:hyperlink r:id="rId12060">
        <w:r>
          <w:rPr>
            <w:color w:val="0000EE"/>
            <w:u w:val="single"/>
          </w:rPr>
          <w:t>4.1</w:t>
        </w:r>
      </w:hyperlink>
      <w:r>
        <w:t xml:space="preserve">). Il ne s'agit pas d'un hasard. Le chemin de la croix que Paul décrit est aussi le chemin de la joie (voir </w:t>
      </w:r>
      <w:hyperlink r:id="rId1350">
        <w:r>
          <w:rPr>
            <w:color w:val="0000EE"/>
            <w:u w:val="single"/>
          </w:rPr>
          <w:t>Hé 12.2</w:t>
        </w:r>
      </w:hyperlink>
      <w:r>
        <w:t xml:space="preserve">). Elle commence et se termine également par une adresse fraternelle. Ceci non plus n'est pas accidentel, car une fois de plus dans ce passage, Paul écrit à propos de lui-même, et comme auparavant, la pensée sous-jacente est que son expérience est typique et que ses lecteurs devraient s'attendre à voir le même schéma dans leur vie et le rechercher. Il a écrit : « </w:t>
      </w:r>
      <w:r>
        <w:t>Soyez tous mes imitateurs, frères, et portez les regards sur ceux qui marchent selon le modèle que vous avez en nous</w:t>
      </w:r>
      <w:r>
        <w:t xml:space="preserve"> » (</w:t>
      </w:r>
      <w:hyperlink r:id="rId12061">
        <w:r>
          <w:rPr>
            <w:color w:val="0000EE"/>
            <w:u w:val="single"/>
          </w:rPr>
          <w:t>3.17</w:t>
        </w:r>
      </w:hyperlink>
      <w:r>
        <w:t xml:space="preserve">). Ayant mis en avant Timothée et Épaphrodite comme exemples dans </w:t>
      </w:r>
      <w:hyperlink r:id="rId12053">
        <w:r>
          <w:rPr>
            <w:color w:val="0000EE"/>
            <w:u w:val="single"/>
          </w:rPr>
          <w:t>2.19–30</w:t>
        </w:r>
      </w:hyperlink>
      <w:r>
        <w:t>, Paul en fait maintenant de même pour lui-même.</w:t>
      </w:r>
    </w:p>
    <w:p>
      <w:r/>
      <w:r>
        <w:t xml:space="preserve">Le ton semble changer radicalement en </w:t>
      </w:r>
      <w:hyperlink r:id="rId12062">
        <w:r>
          <w:rPr>
            <w:color w:val="0000EE"/>
            <w:u w:val="single"/>
          </w:rPr>
          <w:t>3.2</w:t>
        </w:r>
      </w:hyperlink>
      <w:r>
        <w:t xml:space="preserve">, lorsque Paul avertit les Philippiens contre les « chiens », qui sont probablement les mêmes qu'il appelle « les adversaires » en </w:t>
      </w:r>
      <w:hyperlink r:id="rId12063">
        <w:r>
          <w:rPr>
            <w:color w:val="0000EE"/>
            <w:u w:val="single"/>
          </w:rPr>
          <w:t>1.28</w:t>
        </w:r>
      </w:hyperlink>
      <w:r>
        <w:t>. Il était très préoccupé par la fondation intérieure de la résistance des Philippiens contre eux, donc il n'avait pas précisé, au départ, de qui il s'agissait. Mais ici il examine désormais leur mode de fonctionnement de plus près, afin de montrer aux Philippiens que la vie chrétienne implique une inversion complète des valeurs détenues par leurs adversaires.</w:t>
      </w:r>
    </w:p>
    <w:p>
      <w:r/>
      <w:r>
        <w:t xml:space="preserve">Il semble qu'il s'agissait de Juifs qui s'opposaient au ministère de Paul, d'un genre similaire à ceux qui sont mentionnés dans </w:t>
      </w:r>
      <w:hyperlink r:id="rId12064">
        <w:r>
          <w:rPr>
            <w:color w:val="0000EE"/>
            <w:u w:val="single"/>
          </w:rPr>
          <w:t>Actes 17.5</w:t>
        </w:r>
      </w:hyperlink>
      <w:r>
        <w:t>, dans la ville voisine de Thessalonique. Ils croyaient être la race élue de Dieu, mais Paul voyait dans cette croyance une manière de placer sa confiance dans la chair (</w:t>
      </w:r>
      <w:hyperlink r:id="rId12065">
        <w:r>
          <w:rPr>
            <w:color w:val="0000EE"/>
            <w:u w:val="single"/>
          </w:rPr>
          <w:t>Ph 3.4</w:t>
        </w:r>
      </w:hyperlink>
      <w:r>
        <w:t xml:space="preserve">). Ils pensaient connaître le chemin de la justice, par une obéissance rigoureuse et disciplinée à la loi de Dieu dans chaque détail de la vie. Paul, lui, y voyait une manière de chercher à se gargariser de leur propre justice (v. </w:t>
      </w:r>
      <w:hyperlink r:id="rId8461">
        <w:r>
          <w:rPr>
            <w:color w:val="0000EE"/>
            <w:u w:val="single"/>
          </w:rPr>
          <w:t>9</w:t>
        </w:r>
      </w:hyperlink>
      <w:r>
        <w:t xml:space="preserve">), celle-ci n'ayant rien à voir avec la justice que Dieu veut donner. La véritable manière d'être peuple de Dieu, insiste-t-il avec émotion, est la voie de l'abnégation, de sorte que tout ce qui faisait auparavant sa fierté en tant que Juif en est venu à être considéré comme des ordures (v. </w:t>
      </w:r>
      <w:hyperlink r:id="rId12066">
        <w:r>
          <w:rPr>
            <w:color w:val="0000EE"/>
            <w:u w:val="single"/>
          </w:rPr>
          <w:t>8</w:t>
        </w:r>
      </w:hyperlink>
      <w:r>
        <w:t xml:space="preserve">), comme une perte totale en ce qui concerne l'amour de Christ (v. </w:t>
      </w:r>
      <w:hyperlink r:id="rId12067">
        <w:r>
          <w:rPr>
            <w:color w:val="0000EE"/>
            <w:u w:val="single"/>
          </w:rPr>
          <w:t>7</w:t>
        </w:r>
      </w:hyperlink>
      <w:r>
        <w:t xml:space="preserve">). La seule manière d'atteindre la justice est par la foi en Christ (v. </w:t>
      </w:r>
      <w:hyperlink r:id="rId8461">
        <w:r>
          <w:rPr>
            <w:color w:val="0000EE"/>
            <w:u w:val="single"/>
          </w:rPr>
          <w:t>9</w:t>
        </w:r>
      </w:hyperlink>
      <w:r>
        <w:t xml:space="preserve">), car les chrétiens sont appelés à devenir comme lui dans sa mort s'ils veulent connaître la puissance de sa résurrection (v. </w:t>
      </w:r>
      <w:hyperlink r:id="rId12068">
        <w:r>
          <w:rPr>
            <w:color w:val="0000EE"/>
            <w:u w:val="single"/>
          </w:rPr>
          <w:t>10</w:t>
        </w:r>
      </w:hyperlink>
      <w:r>
        <w:t>). Pour Paul, mourir avec Christ signifiait non seulement souffrir l'emprisonnement et de nombreuses autres indignités par amour pour Christ, mais aussi renoncer à tous les biens précieux que son judaïsme lui avait donnés.</w:t>
      </w:r>
    </w:p>
    <w:p>
      <w:pPr>
        <w:pStyle w:val="Heading4"/>
      </w:pPr>
      <w:r>
        <w:t>Penser, se réjouir, partager (</w:t>
      </w:r>
      <w:hyperlink r:id="rId12069">
        <w:r>
          <w:rPr>
            <w:color w:val="0000EE"/>
            <w:u w:val="single"/>
          </w:rPr>
          <w:t>4.2–23</w:t>
        </w:r>
      </w:hyperlink>
      <w:r>
        <w:t>)</w:t>
      </w:r>
    </w:p>
    <w:p>
      <w:r/>
      <w:r>
        <w:t xml:space="preserve">Encore une fois, le ton change subitement (à la fois en </w:t>
      </w:r>
      <w:hyperlink r:id="rId12070">
        <w:r>
          <w:rPr>
            <w:color w:val="0000EE"/>
            <w:u w:val="single"/>
          </w:rPr>
          <w:t>4.2</w:t>
        </w:r>
      </w:hyperlink>
      <w:r>
        <w:t xml:space="preserve"> et en </w:t>
      </w:r>
      <w:hyperlink r:id="rId12071">
        <w:r>
          <w:rPr>
            <w:color w:val="0000EE"/>
            <w:u w:val="single"/>
          </w:rPr>
          <w:t>4.10</w:t>
        </w:r>
      </w:hyperlink>
      <w:r>
        <w:t xml:space="preserve">), à tel point que certains experts ont suggéré que Philippiens a été compilé par un éditeur utilisant plusieurs lettres différentes. Cependant, lorsque Paul décide (au v. </w:t>
      </w:r>
      <w:hyperlink r:id="rId12070">
        <w:r>
          <w:rPr>
            <w:color w:val="0000EE"/>
            <w:u w:val="single"/>
          </w:rPr>
          <w:t>2</w:t>
        </w:r>
      </w:hyperlink>
      <w:r>
        <w:t xml:space="preserve">) de s'adresser à Évodie et Syntyche, il ne changeait pas véritablement de sujet. Le lien avec la dernière section est le même que celui entre </w:t>
      </w:r>
      <w:hyperlink r:id="rId12047">
        <w:r>
          <w:rPr>
            <w:color w:val="0000EE"/>
            <w:u w:val="single"/>
          </w:rPr>
          <w:t>1.27–30</w:t>
        </w:r>
      </w:hyperlink>
      <w:r>
        <w:t xml:space="preserve"> et le premier paragraphe du chapitre </w:t>
      </w:r>
      <w:hyperlink r:id="rId12026">
        <w:r>
          <w:rPr>
            <w:color w:val="0000EE"/>
            <w:u w:val="single"/>
          </w:rPr>
          <w:t>2</w:t>
        </w:r>
      </w:hyperlink>
      <w:r>
        <w:t xml:space="preserve"> : comment les chrétiens peuvent-ils espérer tenir bon face à certains ennemis de la croix de Christ (</w:t>
      </w:r>
      <w:hyperlink r:id="rId12072">
        <w:r>
          <w:rPr>
            <w:color w:val="0000EE"/>
            <w:u w:val="single"/>
          </w:rPr>
          <w:t>3.18</w:t>
        </w:r>
      </w:hyperlink>
      <w:r>
        <w:t>) s'ils sont désunis et en désaccord les uns avec les autres ? En effet, s'il n'y a qu'un seul Évangile, la disharmonie entre chrétiens signifie que l'Évangile n'avait pas porté son plein effet. Ainsi, Évodie et Syntyche sont exhortées (si l'on traduit littéralement) à « penser la même chose dans le Seigneur » (</w:t>
      </w:r>
      <w:hyperlink r:id="rId12070">
        <w:r>
          <w:rPr>
            <w:color w:val="0000EE"/>
            <w:u w:val="single"/>
          </w:rPr>
          <w:t>4.2</w:t>
        </w:r>
      </w:hyperlink>
      <w:r>
        <w:t xml:space="preserve">), et on leur rappelle ensuite comment elles ont autrefois trouvé une merveilleuse unité en luttant côte à côte pour la cause de l'Évangile (v. </w:t>
      </w:r>
      <w:hyperlink r:id="rId12073">
        <w:r>
          <w:rPr>
            <w:color w:val="0000EE"/>
            <w:u w:val="single"/>
          </w:rPr>
          <w:t>3</w:t>
        </w:r>
      </w:hyperlink>
      <w:r>
        <w:t>).</w:t>
      </w:r>
    </w:p>
    <w:p>
      <w:r/>
      <w:r>
        <w:t xml:space="preserve">L'accord auquel Paul les exhorte à parvenir ne signifie pas une unicité complète d'opinions sur tous les sujets. Il est question plutôt d'une unité de cœur dans un amour commun pour Christ et l'Évangile. Dans le reste de la lettre, Paul explique ce que cette unité signifie en pratique : tant ce qu'elle devrait signifier que ce qu'elle a signifié pour les Philippiens. L'usage que l'on fait de sa pensée est essentielle, et dans les versets </w:t>
      </w:r>
      <w:hyperlink r:id="rId12074">
        <w:r>
          <w:rPr>
            <w:color w:val="0000EE"/>
            <w:u w:val="single"/>
          </w:rPr>
          <w:t>4–9</w:t>
        </w:r>
      </w:hyperlink>
      <w:r>
        <w:t xml:space="preserve">, Paul dépeint un tableau de la vie chrétienne dans lequel la prière attentive et intelligente (v. </w:t>
      </w:r>
      <w:hyperlink r:id="rId4850">
        <w:r>
          <w:rPr>
            <w:color w:val="0000EE"/>
            <w:u w:val="single"/>
          </w:rPr>
          <w:t>6–7</w:t>
        </w:r>
      </w:hyperlink>
      <w:r>
        <w:t xml:space="preserve">) et l'orientation délibérée de la pensée vers « </w:t>
      </w:r>
      <w:r>
        <w:t>tout ce qui est vrai, tout ce qui est honorable</w:t>
      </w:r>
      <w:r>
        <w:t xml:space="preserve"> » (v. </w:t>
      </w:r>
      <w:hyperlink r:id="rId12075">
        <w:r>
          <w:rPr>
            <w:color w:val="0000EE"/>
            <w:u w:val="single"/>
          </w:rPr>
          <w:t>8</w:t>
        </w:r>
      </w:hyperlink>
      <w:r>
        <w:t>) produiront une vie marquée par les deux qualités que sont la paix et la joie, quelles que soient les circonstances.</w:t>
      </w:r>
    </w:p>
    <w:p>
      <w:r/>
      <w:r>
        <w:t>Ceci mène, enfin, au dernier paragraphe, dans lequel Paul exprime sa gratitude. En effet, malgré la disharmonie évidente dans une partie de l'Église de Philippes, le peuple dans son ensemble a déjà manifesté cette véritable « pensée » chrétienne. En effet, ils ont montré leur unité avec Paul dans la cause de l'Évangile en lui envoyant un don par Épaphrodite. « V</w:t>
      </w:r>
      <w:r>
        <w:t>ous avez bien fait de prendre part à ma détresse</w:t>
      </w:r>
      <w:r>
        <w:t xml:space="preserve"> », écrit Paul (</w:t>
      </w:r>
      <w:hyperlink r:id="rId12021">
        <w:r>
          <w:rPr>
            <w:color w:val="0000EE"/>
            <w:u w:val="single"/>
          </w:rPr>
          <w:t>4.14</w:t>
        </w:r>
      </w:hyperlink>
      <w:r>
        <w:t xml:space="preserve">), et nous sommes rappelés une fois de plus à l'hymne de </w:t>
      </w:r>
      <w:hyperlink r:id="rId2909">
        <w:r>
          <w:rPr>
            <w:color w:val="0000EE"/>
            <w:u w:val="single"/>
          </w:rPr>
          <w:t>2.6–11</w:t>
        </w:r>
      </w:hyperlink>
      <w:r>
        <w:t xml:space="preserve">. De l'Évangile concernant celui qui est venu du ciel pour porter nos fardeaux vient ce partage mutuel ; et ainsi vient également l'attitude merveilleuse de Paul face à ses circonstances : « </w:t>
      </w:r>
      <w:r>
        <w:t>Je sais vivre dans l’humiliation</w:t>
      </w:r>
      <w:r>
        <w:t xml:space="preserve"> [le même mot que dans </w:t>
      </w:r>
      <w:hyperlink r:id="rId10356">
        <w:r>
          <w:rPr>
            <w:color w:val="0000EE"/>
            <w:u w:val="single"/>
          </w:rPr>
          <w:t>2.8</w:t>
        </w:r>
      </w:hyperlink>
      <w:r>
        <w:t xml:space="preserve">], </w:t>
      </w:r>
      <w:r>
        <w:t>et je sais vivre dans l’abondance</w:t>
      </w:r>
      <w:r>
        <w:t xml:space="preserve"> » (</w:t>
      </w:r>
      <w:hyperlink r:id="rId12025">
        <w:r>
          <w:rPr>
            <w:color w:val="0000EE"/>
            <w:u w:val="single"/>
          </w:rPr>
          <w:t>4.12</w:t>
        </w:r>
      </w:hyperlink>
      <w:r>
        <w:t xml:space="preserve">). Unis à Christ, nous ne cherchons pas anxieusement à pourvoir à nos propres besoins (v. </w:t>
      </w:r>
      <w:hyperlink r:id="rId12076">
        <w:r>
          <w:rPr>
            <w:color w:val="0000EE"/>
            <w:u w:val="single"/>
          </w:rPr>
          <w:t>17</w:t>
        </w:r>
      </w:hyperlink>
      <w:r>
        <w:t xml:space="preserve"> ; voir v. </w:t>
      </w:r>
      <w:hyperlink r:id="rId12077">
        <w:r>
          <w:rPr>
            <w:color w:val="0000EE"/>
            <w:u w:val="single"/>
          </w:rPr>
          <w:t>6</w:t>
        </w:r>
      </w:hyperlink>
      <w:r>
        <w:t xml:space="preserve">), mais partageons avec lui et avec les autres toute humiliation et exaltation qu'il envoie, confiants que Dieu pourvoira à tous nos besoins selon sa richesse glorieuse, qui nous a été donnée en Christ Jésus (voir </w:t>
      </w:r>
      <w:hyperlink r:id="rId12078">
        <w:r>
          <w:rPr>
            <w:color w:val="0000EE"/>
            <w:u w:val="single"/>
          </w:rPr>
          <w:t>4.19</w:t>
        </w:r>
      </w:hyperlink>
      <w:r>
        <w:t>).</w:t>
      </w:r>
    </w:p>
    <w:p>
      <w:r/>
      <w:r>
        <w:rPr>
          <w:i/>
        </w:rPr>
        <w:t>Voir aussi</w:t>
      </w:r>
      <w:r>
        <w:t xml:space="preserve"> </w:t>
      </w:r>
      <w:r>
        <w:t>Paul, L'Apôtre</w:t>
      </w:r>
      <w:r>
        <w:t xml:space="preserve"> ; </w:t>
      </w:r>
      <w:r>
        <w:t>Philippes</w:t>
      </w:r>
      <w:r>
        <w:t>.</w:t>
      </w:r>
      <w:r/>
      <w:r/>
    </w:p>
    <w:p>
      <w:r/>
    </w:p>
    <w:p>
      <w:pPr>
        <w:pStyle w:val="Heading2"/>
      </w:pPr>
      <w:r>
        <w:t>Philistie, Philistins</w:t>
      </w:r>
      <w:r/>
    </w:p>
    <w:p>
      <w:r/>
      <w:r>
        <w:t>Petit pays situé dans le sud-ouest de la Palestine, le long de la côte méditerranéenne ; peuple égéen qui s'était installé sur la plaine maritime de Canaan.</w:t>
      </w:r>
    </w:p>
    <w:p>
      <w:r/>
      <w:r>
        <w:t>Survol</w:t>
      </w:r>
    </w:p>
    <w:p>
      <w:r/>
      <w:r>
        <w:t xml:space="preserve">• </w:t>
      </w:r>
      <w:r>
        <w:rPr>
          <w:b/>
          <w:u w:val="single"/>
        </w:rPr>
        <w:t>Territoire</w:t>
      </w:r>
    </w:p>
    <w:p>
      <w:r/>
      <w:r>
        <w:t xml:space="preserve">• </w:t>
      </w:r>
      <w:r>
        <w:rPr>
          <w:b/>
          <w:u w:val="single"/>
        </w:rPr>
        <w:t>Peuple</w:t>
      </w:r>
    </w:p>
    <w:p>
      <w:r/>
      <w:r>
        <w:t xml:space="preserve">• </w:t>
      </w:r>
      <w:r>
        <w:rPr>
          <w:b/>
          <w:u w:val="single"/>
        </w:rPr>
        <w:t>Gouvernement</w:t>
      </w:r>
    </w:p>
    <w:p>
      <w:r/>
      <w:r>
        <w:t xml:space="preserve">• </w:t>
      </w:r>
      <w:r>
        <w:rPr>
          <w:b/>
          <w:u w:val="single"/>
        </w:rPr>
        <w:t>Religion et objets rituels</w:t>
      </w:r>
    </w:p>
    <w:p>
      <w:r/>
      <w:r>
        <w:t xml:space="preserve">• </w:t>
      </w:r>
      <w:r>
        <w:rPr>
          <w:b/>
          <w:u w:val="single"/>
        </w:rPr>
        <w:t>Les Philistins et Israël</w:t>
      </w:r>
    </w:p>
    <w:p>
      <w:pPr>
        <w:pStyle w:val="Heading3"/>
      </w:pPr>
      <w:r>
        <w:t>Territoire</w:t>
      </w:r>
    </w:p>
    <w:p>
      <w:r/>
      <w:r>
        <w:t xml:space="preserve">À proprement parler, la Philistie est la partie de la plaine maritime appelée la plaine de Philistie, s'étendant du Wadi el-Arish (Rivière d'Égypte) au sud sur environ 115 km vers le nord jusqu'au Nahr el-Aujah, 8 km au nord de Joppé. Près de Gaza, la plaine atteint sa plus grande largeur, environ 50 km. Ses dunes de sable se trouvent près du rivage, mais la majorité de la région est très fertile et produit une abondance de céréales (voir </w:t>
      </w:r>
      <w:hyperlink r:id="rId12079">
        <w:r>
          <w:rPr>
            <w:color w:val="0000EE"/>
            <w:u w:val="single"/>
          </w:rPr>
          <w:t>Jg 15.1–5</w:t>
        </w:r>
      </w:hyperlink>
      <w:r>
        <w:t>) et de fruits.</w:t>
      </w:r>
    </w:p>
    <w:p>
      <w:r/>
      <w:r>
        <w:t>La voie principale entre l'Orient et l'Égypte longeait la côte. Cela constituait un avantage commercial pour les Philistins, mais les exposait également aux invasions étrangères. Dieu n'a pas conduit Israël d'Égypte à Canaan par cette route plus courte à travers le pays des Philistins, car il ne voulait pas qu'ils aient à faire face à des combats acharnés face aux Philistins (ou peut-être d'une garnison égyptienne stationnée là) si tôt (</w:t>
      </w:r>
      <w:hyperlink r:id="rId5298">
        <w:r>
          <w:rPr>
            <w:color w:val="0000EE"/>
            <w:u w:val="single"/>
          </w:rPr>
          <w:t>Ex 13.17</w:t>
        </w:r>
      </w:hyperlink>
      <w:r>
        <w:t>). Il semblerait que les Philistins avaient peu à craindre des Égyptiens, car certains experts pensent que les Égyptiens ont même joué un rôle dans l'installation des Philistins en Palestine.</w:t>
      </w:r>
    </w:p>
    <w:p>
      <w:r/>
      <w:r>
        <w:t>Depuis cette zone restreinte, les Philistins ont rapidement ressenti la nécessité de s'étendre. Les passages qui traversaient la Shephelah offraient un accès naturel au pays montagneux d'Israël. Ils y ont établi des avant-postes sur le territoire israélite, et au moment de la bataille où Saül et ses fils ont été tués, les Philistins exerçaient le contrôle sur la ville de Beth-Schan (</w:t>
      </w:r>
      <w:hyperlink r:id="rId12080">
        <w:r>
          <w:rPr>
            <w:color w:val="0000EE"/>
            <w:u w:val="single"/>
          </w:rPr>
          <w:t>1S 31.10</w:t>
        </w:r>
      </w:hyperlink>
      <w:r>
        <w:t>).</w:t>
      </w:r>
    </w:p>
    <w:p>
      <w:pPr>
        <w:pStyle w:val="Heading3"/>
      </w:pPr>
      <w:r>
        <w:t>Peuple</w:t>
      </w:r>
    </w:p>
    <w:p>
      <w:r/>
      <w:r>
        <w:t>La Bible déclare que les Philistins venaient de Caphtor (</w:t>
      </w:r>
      <w:hyperlink r:id="rId2180">
        <w:r>
          <w:rPr>
            <w:color w:val="0000EE"/>
            <w:u w:val="single"/>
          </w:rPr>
          <w:t>Dt 2.23</w:t>
        </w:r>
      </w:hyperlink>
      <w:r>
        <w:t xml:space="preserve"> ; </w:t>
      </w:r>
      <w:hyperlink r:id="rId2178">
        <w:r>
          <w:rPr>
            <w:color w:val="0000EE"/>
            <w:u w:val="single"/>
          </w:rPr>
          <w:t>Jr 47.4</w:t>
        </w:r>
      </w:hyperlink>
      <w:r>
        <w:t xml:space="preserve"> ; </w:t>
      </w:r>
      <w:hyperlink r:id="rId813">
        <w:r>
          <w:rPr>
            <w:color w:val="0000EE"/>
            <w:u w:val="single"/>
          </w:rPr>
          <w:t>Am 9.7</w:t>
        </w:r>
      </w:hyperlink>
      <w:r>
        <w:t xml:space="preserve">), généralement considéré comme la Crète, bien que certains chercheurs le placent en Asie Mineure. La tenue des Philistins, telle qu'on la voit à Médinet Habou, ressemble à celle des Crétois, notamment la coiffe. Le nom des Kéréthiens a été assimilé à celui des Crétois, car les noms ont la même base consonantique : </w:t>
      </w:r>
      <w:r>
        <w:rPr>
          <w:i/>
        </w:rPr>
        <w:t>c, r,</w:t>
      </w:r>
      <w:r>
        <w:t xml:space="preserve"> et </w:t>
      </w:r>
      <w:r>
        <w:rPr>
          <w:i/>
        </w:rPr>
        <w:t>t.</w:t>
      </w:r>
      <w:r>
        <w:t xml:space="preserve"> Les Kéréthiens étaient apparemment un sous-groupe philistin qui vivait dans le Néguev non loin de Tsiklag, la demeure de David parmi les Philistins (voir </w:t>
      </w:r>
      <w:hyperlink r:id="rId10592">
        <w:r>
          <w:rPr>
            <w:color w:val="0000EE"/>
            <w:u w:val="single"/>
          </w:rPr>
          <w:t>1S 30.14</w:t>
        </w:r>
      </w:hyperlink>
      <w:r>
        <w:t xml:space="preserve">). Les Kéréthiens et les Péléthiens faisaient partie des gardes du corps de David, avec six-cents Gathiens (hommes de Gath) (voir </w:t>
      </w:r>
      <w:hyperlink r:id="rId12081">
        <w:r>
          <w:rPr>
            <w:color w:val="0000EE"/>
            <w:u w:val="single"/>
          </w:rPr>
          <w:t>2S 15.19</w:t>
        </w:r>
      </w:hyperlink>
      <w:r>
        <w:t xml:space="preserve"> ; </w:t>
      </w:r>
      <w:hyperlink r:id="rId12082">
        <w:r>
          <w:rPr>
            <w:color w:val="0000EE"/>
            <w:u w:val="single"/>
          </w:rPr>
          <w:t>20.7, 23</w:t>
        </w:r>
      </w:hyperlink>
      <w:r>
        <w:t xml:space="preserve"> ; </w:t>
      </w:r>
      <w:hyperlink r:id="rId12083">
        <w:r>
          <w:rPr>
            <w:color w:val="0000EE"/>
            <w:u w:val="single"/>
          </w:rPr>
          <w:t>1Ch 18.17</w:t>
        </w:r>
      </w:hyperlink>
      <w:r>
        <w:t>).</w:t>
      </w:r>
    </w:p>
    <w:p>
      <w:r/>
      <w:r>
        <w:t xml:space="preserve">Le nom « Philistin » est reconnaissable dans plusieurs langues. En hébreu, ils sont connus sous le nom de </w:t>
      </w:r>
      <w:r>
        <w:rPr>
          <w:i/>
        </w:rPr>
        <w:t>Pelishtim</w:t>
      </w:r>
      <w:r>
        <w:t xml:space="preserve">, traduit en français par Philistins. Dans les sources égyptiennes, ils sont répertoriés parmi les Peuples de la mer et sont appelés les </w:t>
      </w:r>
      <w:r>
        <w:rPr>
          <w:i/>
        </w:rPr>
        <w:t>Peleset</w:t>
      </w:r>
      <w:r>
        <w:t xml:space="preserve"> ou </w:t>
      </w:r>
      <w:r>
        <w:rPr>
          <w:i/>
        </w:rPr>
        <w:t>Peleste</w:t>
      </w:r>
      <w:r>
        <w:t>. Ils sont surtout connus pour leur rôle dans l'invasion de l'Égypte par les Peuples de la mer, qui ont été vaincus par Ramsès III lors d'une bataille terrestre et maritime dans le Delta. Des scènes détaillées de ce combat sont montrées en relief profond sur le mur extérieur nord du temple de Ramsès III à Médinet Habou, en face de Louxor. Ces représentations donnent une idée de la tenue et de l'armement des Philistins, qui sont facilement identifiables par leur coiffure, faite de plumes (ou de roseaux ?).</w:t>
      </w:r>
    </w:p>
    <w:p>
      <w:r/>
      <w:r>
        <w:t>Ces personnes se sont installées le long de la côte de la Palestine après leur défaite par Ramsès, mais il est possible que certains soient restés en Canaan en route vers l'Égypte. Une migration antérieure vers la Palestine a peut-être eu lieu, possiblement avant l'époque des patriarches.</w:t>
      </w:r>
    </w:p>
    <w:p>
      <w:pPr>
        <w:pStyle w:val="Heading3"/>
      </w:pPr>
      <w:r>
        <w:t>Gouvernement</w:t>
      </w:r>
    </w:p>
    <w:p>
      <w:r/>
      <w:r>
        <w:t xml:space="preserve">La Philistie n'avait pas de souverain unique sur l'ensemble de son territoire ; les villes étaient indépendantes, fonctionnant donc comme des cités-États. Les chefs de ces villes n'étaient pas appelés rois mais étaient mentionnés dans la Bible comme des « seigneurs » ou « dirigeants » (voir par exemple, </w:t>
      </w:r>
      <w:hyperlink r:id="rId12084">
        <w:r>
          <w:rPr>
            <w:color w:val="0000EE"/>
            <w:u w:val="single"/>
          </w:rPr>
          <w:t>1S 5.11</w:t>
        </w:r>
      </w:hyperlink>
      <w:r>
        <w:t xml:space="preserve"> ; </w:t>
      </w:r>
      <w:hyperlink r:id="rId12085">
        <w:r>
          <w:rPr>
            <w:color w:val="0000EE"/>
            <w:u w:val="single"/>
          </w:rPr>
          <w:t>6.12</w:t>
        </w:r>
      </w:hyperlink>
      <w:r>
        <w:t xml:space="preserve"> ; </w:t>
      </w:r>
      <w:hyperlink r:id="rId12086">
        <w:r>
          <w:rPr>
            <w:color w:val="0000EE"/>
            <w:u w:val="single"/>
          </w:rPr>
          <w:t>29.2</w:t>
        </w:r>
      </w:hyperlink>
      <w:r>
        <w:t>). Il y en avait cinq, correspondant aux cinq grandes villes qui composaient la Pentapole philistine : Gaza, Askalon, Asdod, Gath et Ékron (</w:t>
      </w:r>
      <w:hyperlink r:id="rId12087">
        <w:r>
          <w:rPr>
            <w:color w:val="0000EE"/>
            <w:u w:val="single"/>
          </w:rPr>
          <w:t>1S 6.17</w:t>
        </w:r>
      </w:hyperlink>
      <w:r>
        <w:t xml:space="preserve"> ; voir </w:t>
      </w:r>
      <w:hyperlink r:id="rId1376">
        <w:r>
          <w:rPr>
            <w:color w:val="0000EE"/>
            <w:u w:val="single"/>
          </w:rPr>
          <w:t>Jr 25.20</w:t>
        </w:r>
      </w:hyperlink>
      <w:r>
        <w:t xml:space="preserve">). Le peuple avait son mot à dire sur les questions qui les concernaient (comme par exemple le retour de l'arche de l'alliance, </w:t>
      </w:r>
      <w:hyperlink r:id="rId12088">
        <w:r>
          <w:rPr>
            <w:color w:val="0000EE"/>
            <w:u w:val="single"/>
          </w:rPr>
          <w:t>1S 5.6–12</w:t>
        </w:r>
      </w:hyperlink>
      <w:r>
        <w:t xml:space="preserve">). Cependant les grandes décisions étaient prises par vote majoritaire des cinq seigneurs. Alors que David et ses hommes vivaient à Tsiklag par exemple, les Philistins planifient une grande campagne militaire contre Israël. David était soumis à Akisch, roi de Gath, qui demandera à David de s'allier aux Philistins contre Israël. David acceptera, mais lorsque les seigneurs philistins découvrent la présence de David, ils s'en plaindront et voteront son exclusion (chap </w:t>
      </w:r>
      <w:hyperlink r:id="rId12089">
        <w:r>
          <w:rPr>
            <w:color w:val="0000EE"/>
            <w:u w:val="single"/>
          </w:rPr>
          <w:t>29</w:t>
        </w:r>
      </w:hyperlink>
      <w:r>
        <w:t>).</w:t>
      </w:r>
    </w:p>
    <w:p>
      <w:pPr>
        <w:pStyle w:val="Heading3"/>
      </w:pPr>
      <w:r>
        <w:t>Religion et objets rituels</w:t>
      </w:r>
    </w:p>
    <w:p>
      <w:r/>
      <w:r>
        <w:t>Quels que soient les dieux que les Philistins ont emmené avec eux, ceux-ci semblent avoir été abandonnés relativement tôt au profit des divinités cananéennes. Une divinité philistine majeure mentionnée dans la Bible est Dagon, un dieu du grain. Des temples dédiés à Dagon ont été découverts à Ras Shamra (Ougarit) et Mari. La Bible fait référence à un temple de Dagon à Gaza (</w:t>
      </w:r>
      <w:hyperlink r:id="rId12090">
        <w:r>
          <w:rPr>
            <w:color w:val="0000EE"/>
            <w:u w:val="single"/>
          </w:rPr>
          <w:t>Jg 16.23–30</w:t>
        </w:r>
      </w:hyperlink>
      <w:r>
        <w:t>) et un autre à Asdod (</w:t>
      </w:r>
      <w:hyperlink r:id="rId12091">
        <w:r>
          <w:rPr>
            <w:color w:val="0000EE"/>
            <w:u w:val="single"/>
          </w:rPr>
          <w:t>1S 5.1–5</w:t>
        </w:r>
      </w:hyperlink>
      <w:r>
        <w:t>).</w:t>
      </w:r>
    </w:p>
    <w:p>
      <w:pPr>
        <w:pStyle w:val="Heading3"/>
      </w:pPr>
      <w:r>
        <w:t>Les Philistins et Israël</w:t>
      </w:r>
    </w:p>
    <w:p>
      <w:r/>
      <w:r>
        <w:t xml:space="preserve">Les diverses formes de « Philistin » et « Philistin » apparaissent presque trois-cents fois dans l'Ancien Testament, principalement dans les livres des Juges et de Samuel. La première occurrence se trouve dans </w:t>
      </w:r>
      <w:hyperlink r:id="rId2179">
        <w:r>
          <w:rPr>
            <w:color w:val="0000EE"/>
            <w:u w:val="single"/>
          </w:rPr>
          <w:t>Genèse 10.14</w:t>
        </w:r>
      </w:hyperlink>
      <w:r>
        <w:t xml:space="preserve">, où il est dit que les Philistins viennent des Casluhim, un peuple non identifié lié aux Caphtorim (voir </w:t>
      </w:r>
      <w:hyperlink r:id="rId2177">
        <w:r>
          <w:rPr>
            <w:color w:val="0000EE"/>
            <w:u w:val="single"/>
          </w:rPr>
          <w:t>1Ch 1.12</w:t>
        </w:r>
      </w:hyperlink>
      <w:r>
        <w:t>).</w:t>
      </w:r>
    </w:p>
    <w:p>
      <w:r/>
      <w:r>
        <w:t>Autant Abraham qu'Isaac ont eu des contacts avec les Philistins à Guérar, dans des incidents similaires impliquant leurs épouses (</w:t>
      </w:r>
      <w:hyperlink r:id="rId67">
        <w:r>
          <w:rPr>
            <w:color w:val="0000EE"/>
            <w:u w:val="single"/>
          </w:rPr>
          <w:t>Gn 20</w:t>
        </w:r>
      </w:hyperlink>
      <w:r>
        <w:t xml:space="preserve"> ; </w:t>
      </w:r>
      <w:hyperlink r:id="rId12092">
        <w:r>
          <w:rPr>
            <w:color w:val="0000EE"/>
            <w:u w:val="single"/>
          </w:rPr>
          <w:t>26</w:t>
        </w:r>
      </w:hyperlink>
      <w:r>
        <w:t>). Ici, toutefois, les Philistins ne sont pas sur la côte mais à Guérar et jusqu'à l'est de Beer-Schéba (</w:t>
      </w:r>
      <w:hyperlink r:id="rId12093">
        <w:r>
          <w:rPr>
            <w:color w:val="0000EE"/>
            <w:u w:val="single"/>
          </w:rPr>
          <w:t>26.33</w:t>
        </w:r>
      </w:hyperlink>
      <w:r>
        <w:t>). Dans les deux références, le roi de Guérar est appelé Abimélec (un bon nom sémitique). Il a été suggéré que les Philistins de cette époque avaient auparavant migré depuis la Crète, mais cela n'a pas été démontré.</w:t>
      </w:r>
    </w:p>
    <w:p>
      <w:r/>
      <w:r>
        <w:t>Après la conquête de Canaan par les Israélites, les Philistins ont commencé à exercer leur domination sur eux. Peuple agressif et belliqueux, les Philistins avaient l'avantage d'armes supérieures, car ils utilisaient le fer et détenaient un monopole sur sa fabrication dans la région. Leur contrôle sur Israël leur permettait d'interdire la forge en Israël, obligeant les Israélites à se rendre chez les Philistins même pour aiguiser leurs outils (</w:t>
      </w:r>
      <w:hyperlink r:id="rId10055">
        <w:r>
          <w:rPr>
            <w:color w:val="0000EE"/>
            <w:u w:val="single"/>
          </w:rPr>
          <w:t>1S 13.19–22</w:t>
        </w:r>
      </w:hyperlink>
      <w:r>
        <w:t xml:space="preserve">). Les Israélites étaient si mal armés que seuls Saül et Jonathan possédaient une épée ou une lance (v. </w:t>
      </w:r>
      <w:hyperlink r:id="rId12094">
        <w:r>
          <w:rPr>
            <w:color w:val="0000EE"/>
            <w:u w:val="single"/>
          </w:rPr>
          <w:t>22</w:t>
        </w:r>
      </w:hyperlink>
      <w:r>
        <w:t>). Des installations pour la fonte du fer ont été trouvées à Asdod, Tell Qasile, Tell Jemmeh et Tel Mor.</w:t>
      </w:r>
    </w:p>
    <w:p>
      <w:r/>
      <w:r>
        <w:t>Les reliefs de Medinet Habu montrent les Philistins armés de lances et de longues épées droites, avec de grands boucliers ronds pour se protéger. Ils disposaient de chars à trois hommes avec des roues à six rayons, et ils transportaient des personnes au moyen de chariots solides à deux roues tirés par quatre bœufs. Leurs navires étaient équipés d'une voile carrée, comme ceux des Égyptiens, et avaient une proue en forme de canard, qui était peut-être utilisée pour éperonner les navires ennemis.</w:t>
      </w:r>
    </w:p>
    <w:p>
      <w:r/>
      <w:r>
        <w:t>L'apostasie est survenue tôt en Israël, et le Seigneur utilisera les Philistins pour châtier son peuple. Schamgar délivrera Israël en tuant 600 Philistins avec un aiguillon à bœufs (</w:t>
      </w:r>
      <w:hyperlink r:id="rId7894">
        <w:r>
          <w:rPr>
            <w:color w:val="0000EE"/>
            <w:u w:val="single"/>
          </w:rPr>
          <w:t>Jg 3.31</w:t>
        </w:r>
      </w:hyperlink>
      <w:r>
        <w:t>). Le récit de Samson contient de nombreux éléments de la vie philistine (</w:t>
      </w:r>
      <w:hyperlink r:id="rId7960">
        <w:r>
          <w:rPr>
            <w:color w:val="0000EE"/>
            <w:u w:val="single"/>
          </w:rPr>
          <w:t>13.1–16.31</w:t>
        </w:r>
      </w:hyperlink>
      <w:r>
        <w:t>). Ce récit démontre qu'il y avait des mariages mixtes entre Israélites et Philistins, contrairement à la loi de l'Ancien Testament.</w:t>
      </w:r>
    </w:p>
    <w:p>
      <w:r/>
      <w:r>
        <w:t xml:space="preserve">La guerre entre Israël et les Philistins est rapportée dans </w:t>
      </w:r>
      <w:hyperlink r:id="rId1003">
        <w:r>
          <w:rPr>
            <w:color w:val="0000EE"/>
            <w:u w:val="single"/>
          </w:rPr>
          <w:t>1 Samuel 4.1</w:t>
        </w:r>
      </w:hyperlink>
      <w:r>
        <w:t>, lorsque les Israélites étaient campés à Ében-Ézer et les Philistins à Aphek. Les Philistins ont remporté cette bataille et capturé l'arche de l'alliance (</w:t>
      </w:r>
      <w:hyperlink r:id="rId12095">
        <w:r>
          <w:rPr>
            <w:color w:val="0000EE"/>
            <w:u w:val="single"/>
          </w:rPr>
          <w:t>1S 4.17</w:t>
        </w:r>
      </w:hyperlink>
      <w:r>
        <w:t>), qu'ils ont rendue après sept mois parce que le Seigneur avait envoyé des fléaux sur eux (</w:t>
      </w:r>
      <w:hyperlink r:id="rId1196">
        <w:r>
          <w:rPr>
            <w:color w:val="0000EE"/>
            <w:u w:val="single"/>
          </w:rPr>
          <w:t>5.1–6.21</w:t>
        </w:r>
      </w:hyperlink>
      <w:r>
        <w:t xml:space="preserve">). Plus tard, lorsque Samuel était devenu chef, les Philistins attaqueront Israël à Mitspa, mais Dieu donnera la victoire à Israël. À cette occasion, Samuel érigera une pierre commémorative et la nommera Ében-Ézer (« Pierre de Secours », </w:t>
      </w:r>
      <w:hyperlink r:id="rId12096">
        <w:r>
          <w:rPr>
            <w:color w:val="0000EE"/>
            <w:u w:val="single"/>
          </w:rPr>
          <w:t>7.12</w:t>
        </w:r>
      </w:hyperlink>
      <w:r>
        <w:t xml:space="preserve">). Les Philistins n'ont pas envahi Israël à nouveau pendant la vie de Samuel, et Israël récupèrera des villes qui avaient été prises par les Philistins (v. </w:t>
      </w:r>
      <w:hyperlink r:id="rId776">
        <w:r>
          <w:rPr>
            <w:color w:val="0000EE"/>
            <w:u w:val="single"/>
          </w:rPr>
          <w:t>14</w:t>
        </w:r>
      </w:hyperlink>
      <w:r>
        <w:t>).</w:t>
      </w:r>
    </w:p>
    <w:p>
      <w:r/>
      <w:r>
        <w:t xml:space="preserve">La plus grande activité des Philistins sur le territoire israélite se produira pendant le règne de Saül, le premier roi d'Israël. Plus de quatre-vingts références aux Philistins sont liées à cette période. Les Philistins ont établi des avant-postes ou des garnisons dans diverses parties d'Israël (voir </w:t>
      </w:r>
      <w:hyperlink r:id="rId6774">
        <w:r>
          <w:rPr>
            <w:color w:val="0000EE"/>
            <w:u w:val="single"/>
          </w:rPr>
          <w:t>1S 10.5</w:t>
        </w:r>
      </w:hyperlink>
      <w:r>
        <w:t xml:space="preserve"> ; </w:t>
      </w:r>
      <w:hyperlink r:id="rId12097">
        <w:r>
          <w:rPr>
            <w:color w:val="0000EE"/>
            <w:u w:val="single"/>
          </w:rPr>
          <w:t>13.3</w:t>
        </w:r>
      </w:hyperlink>
      <w:r>
        <w:t>). Jonathan triomphera de la garnison à Guéba (</w:t>
      </w:r>
      <w:hyperlink r:id="rId12097">
        <w:r>
          <w:rPr>
            <w:color w:val="0000EE"/>
            <w:u w:val="single"/>
          </w:rPr>
          <w:t>13.3</w:t>
        </w:r>
      </w:hyperlink>
      <w:r>
        <w:t xml:space="preserve">) ; son exploit relaté dans </w:t>
      </w:r>
      <w:hyperlink r:id="rId12098">
        <w:r>
          <w:rPr>
            <w:color w:val="0000EE"/>
            <w:u w:val="single"/>
          </w:rPr>
          <w:t>1 Samuel 14.1–15</w:t>
        </w:r>
      </w:hyperlink>
      <w:r>
        <w:t xml:space="preserve"> conduira à mettre en déroute les Philistins.</w:t>
      </w:r>
    </w:p>
    <w:p>
      <w:r/>
      <w:r>
        <w:t>Une confrontation entre les armées philistines et israélites a eu lieu dans la vallée des térébinthes, où les Philistins ont défié Israël, la sommant de fournir un adversaire pour affronter leur champion, Goliath, en combat singulier (</w:t>
      </w:r>
      <w:hyperlink r:id="rId12099">
        <w:r>
          <w:rPr>
            <w:color w:val="0000EE"/>
            <w:u w:val="single"/>
          </w:rPr>
          <w:t>1S 17.1–11</w:t>
        </w:r>
      </w:hyperlink>
      <w:r>
        <w:t>). Le jeune berger David tuera Goliath. David deviendra un héros, mais la jalousie de Saül fera de David un homme traqué. Alors qu'il évitait l'armée de Saül, les hommes de David sauveront la ville de Keïla des Philistins (</w:t>
      </w:r>
      <w:hyperlink r:id="rId12100">
        <w:r>
          <w:rPr>
            <w:color w:val="0000EE"/>
            <w:u w:val="single"/>
          </w:rPr>
          <w:t>23.1–5</w:t>
        </w:r>
      </w:hyperlink>
      <w:r>
        <w:t xml:space="preserve">). David finira par chercher l'asile politique auprès d'Akisch, roi de Gath, qui lui donnera la ville de Tsiklag, d'où David effectuera des raids dans le Néguev (chap </w:t>
      </w:r>
      <w:hyperlink r:id="rId3584">
        <w:r>
          <w:rPr>
            <w:color w:val="0000EE"/>
            <w:u w:val="single"/>
          </w:rPr>
          <w:t>27</w:t>
        </w:r>
      </w:hyperlink>
      <w:r>
        <w:t>).</w:t>
      </w:r>
    </w:p>
    <w:p>
      <w:r/>
      <w:r>
        <w:t>Lorsque les Philistins se préparaient à la guerre contre Israël, Akisch demande à David de rejoindre les forces philistines, et David accepte. Les seigneurs des Philistins, toutefois, rejèteront cette participation, car ils craignaient que David ne se retourne contre eux (</w:t>
      </w:r>
      <w:hyperlink r:id="rId12101">
        <w:r>
          <w:rPr>
            <w:color w:val="0000EE"/>
            <w:u w:val="single"/>
          </w:rPr>
          <w:t>1S 28.1–2</w:t>
        </w:r>
      </w:hyperlink>
      <w:r>
        <w:t xml:space="preserve">; </w:t>
      </w:r>
      <w:hyperlink r:id="rId12089">
        <w:r>
          <w:rPr>
            <w:color w:val="0000EE"/>
            <w:u w:val="single"/>
          </w:rPr>
          <w:t>29</w:t>
        </w:r>
      </w:hyperlink>
      <w:r>
        <w:t>). Dans le combat qui s'ensuivra, Saül et ses fils seront tués sur le mont Gilboa par les Philistins (</w:t>
      </w:r>
      <w:hyperlink r:id="rId6898">
        <w:r>
          <w:rPr>
            <w:color w:val="0000EE"/>
            <w:u w:val="single"/>
          </w:rPr>
          <w:t>31.1–7</w:t>
        </w:r>
      </w:hyperlink>
      <w:r>
        <w:t xml:space="preserve">). Les Philistins couperont la tête de Saül, placeront son armure dans le temple d'Astarté à Beth-Schan, et pendront son corps au mur de cette ville (vv </w:t>
      </w:r>
      <w:hyperlink r:id="rId12102">
        <w:r>
          <w:rPr>
            <w:color w:val="0000EE"/>
            <w:u w:val="single"/>
          </w:rPr>
          <w:t>8–11</w:t>
        </w:r>
      </w:hyperlink>
      <w:r>
        <w:t>).</w:t>
      </w:r>
    </w:p>
    <w:p>
      <w:r/>
      <w:r>
        <w:t xml:space="preserve">Lorsque les Philistins apprennent que David était devenu roi, ils tenteront de le détruire, mais il les vaincra « </w:t>
      </w:r>
      <w:r>
        <w:t>depuis Guéba jusqu’à Guézer</w:t>
      </w:r>
      <w:r>
        <w:t xml:space="preserve"> » (</w:t>
      </w:r>
      <w:hyperlink r:id="rId12103">
        <w:r>
          <w:rPr>
            <w:color w:val="0000EE"/>
            <w:u w:val="single"/>
          </w:rPr>
          <w:t>2S 5.17–25</w:t>
        </w:r>
      </w:hyperlink>
      <w:r>
        <w:t>). David brisera le pouvoir des Philistins, et bien qu'ils aient de nouveau tenté de faire la guerre contre Israël, ils ne rencontreront aucun succès (</w:t>
      </w:r>
      <w:hyperlink r:id="rId12104">
        <w:r>
          <w:rPr>
            <w:color w:val="0000EE"/>
            <w:u w:val="single"/>
          </w:rPr>
          <w:t>21.15–21</w:t>
        </w:r>
      </w:hyperlink>
      <w:r>
        <w:t>).</w:t>
      </w:r>
    </w:p>
    <w:p>
      <w:r/>
      <w:r>
        <w:t>Ozias fera la guerre contre les Philistins ; il démolira les murs de Gath, Jabneh et Asdod et construira des villes en Philistie (</w:t>
      </w:r>
      <w:hyperlink r:id="rId12105">
        <w:r>
          <w:rPr>
            <w:color w:val="0000EE"/>
            <w:u w:val="single"/>
          </w:rPr>
          <w:t>2Ch 26.6–7</w:t>
        </w:r>
      </w:hyperlink>
      <w:r>
        <w:t>). Sous le règne d'Achaz, les Philistins envahiront la Shephelah et le Néguev et captureront plusieurs villes (</w:t>
      </w:r>
      <w:hyperlink r:id="rId12106">
        <w:r>
          <w:rPr>
            <w:color w:val="0000EE"/>
            <w:u w:val="single"/>
          </w:rPr>
          <w:t>28.18</w:t>
        </w:r>
      </w:hyperlink>
      <w:r>
        <w:t>). Ézéchias combattra les Philistins jusqu'à Gaza (</w:t>
      </w:r>
      <w:hyperlink r:id="rId5903">
        <w:r>
          <w:rPr>
            <w:color w:val="0000EE"/>
            <w:u w:val="single"/>
          </w:rPr>
          <w:t>2R 18.8</w:t>
        </w:r>
      </w:hyperlink>
      <w:r>
        <w:t>).</w:t>
      </w:r>
    </w:p>
    <w:p>
      <w:r/>
      <w:r>
        <w:t>Les références aux Philistins dans les Prophètes sont relativement rares, bien que Jérémie leur consacre un court chapitre (</w:t>
      </w:r>
      <w:hyperlink r:id="rId5904">
        <w:r>
          <w:rPr>
            <w:color w:val="0000EE"/>
            <w:u w:val="single"/>
          </w:rPr>
          <w:t>Jr 47</w:t>
        </w:r>
      </w:hyperlink>
      <w:r>
        <w:t>). Les Philistins seront progressivement assimilés à la culture cananéenne et dispaîtront des pages de la Bible et de l'histoire séculière, laissant le nom de Palestine comme un monument à leur présence.</w:t>
      </w:r>
      <w:r/>
      <w:r/>
    </w:p>
    <w:p>
      <w:r/>
    </w:p>
    <w:p>
      <w:pPr>
        <w:pStyle w:val="Heading2"/>
      </w:pPr>
      <w:r>
        <w:t>Philon d'Alexandrie</w:t>
      </w:r>
      <w:r/>
    </w:p>
    <w:p>
      <w:r/>
      <w:r>
        <w:t xml:space="preserve">Philon d'Alexandrie, ou </w:t>
      </w:r>
      <w:r>
        <w:rPr>
          <w:i/>
        </w:rPr>
        <w:t>Philo Judaeus</w:t>
      </w:r>
      <w:r>
        <w:t xml:space="preserve"> (</w:t>
      </w:r>
      <w:r>
        <w:t>« Philon le Juif »), en latin</w:t>
      </w:r>
      <w:r>
        <w:t>, était un philosophe juif qui a vécu d'environ 25 av. J.‑C. à 40 apr. J.‑C. Il est l'un des premiers à avoir tenté de combiner les croyances religieuses juives avec les modes de pensée grecs.</w:t>
      </w:r>
    </w:p>
    <w:p>
      <w:pPr>
        <w:pStyle w:val="Heading3"/>
      </w:pPr>
      <w:r>
        <w:t>Qui était Philon ?</w:t>
      </w:r>
    </w:p>
    <w:p>
      <w:r/>
      <w:r>
        <w:t>Philon venait d'une famille influente à Alexandrie. Il a été éduqué dans la foi juive et les idées grecques. Nous ne connaissons pas beaucoup de détails sur sa vie, mais nous savons qu'en 40 apr. J.‑C., il a dirigé un groupe de représentants juifs à Rome pour rencontrer l'empereur Caligula.</w:t>
      </w:r>
    </w:p>
    <w:p>
      <w:r/>
      <w:r>
        <w:t>À cette époque, une tension croissante existait entre les Grecs et les Juifs à Alexandrie. La communauté juive y devenait plus grande et connaissait davantage de succès dans les affaires, notamment dans la vente de blé. Cela suscitait de la colère et de la jalousie chez les Grecs. En 42 apr. J.‑C., les Grecs ont déclenché des émeutes et ont forcé les Juifs à quitter certaines parties de la ville.</w:t>
      </w:r>
    </w:p>
    <w:p>
      <w:r/>
      <w:r>
        <w:t xml:space="preserve">En raison de ces événements, Philon a écrit deux livres pour défendre le peuple juif. Le premier s'intitulait </w:t>
      </w:r>
      <w:r>
        <w:rPr>
          <w:i/>
        </w:rPr>
        <w:t>Contre Flaccus</w:t>
      </w:r>
      <w:r>
        <w:t xml:space="preserve"> (concernant le gouverneur d'Alexandrie) et l'autre </w:t>
      </w:r>
      <w:r>
        <w:rPr>
          <w:i/>
        </w:rPr>
        <w:t>Ambassade à Caligula</w:t>
      </w:r>
      <w:r>
        <w:t xml:space="preserve"> (concernant sa rencontre avec l'empereur à Rome).</w:t>
      </w:r>
    </w:p>
    <w:p>
      <w:pPr>
        <w:pStyle w:val="Heading3"/>
      </w:pPr>
      <w:r>
        <w:t>Comment Philon a-t-il harmonisé la pensée juive et grecque ?</w:t>
      </w:r>
    </w:p>
    <w:p>
      <w:r/>
      <w:r>
        <w:t>Le peuple juif à Alexandrie était fortement influencé par la culture grecque. Ils lisaient même leurs propres écrits sacrés en grec plutôt qu'en hébreu dans la traduction grecque appelée la Septante.</w:t>
      </w:r>
    </w:p>
    <w:p>
      <w:r/>
      <w:r>
        <w:t>Bien que ces Juifs vivaient parmi les Grecs et suivaient certaines coutumes grecques, ils conservaient leurs croyances juives traditionnelles. Philon suivait ce même modèle. Il respectait attentivement la loi de Dieu (trouvée dans les cinq premiers livres de la Bible) et croyait qu'il s'agissait du message parfait de Dieu. Il était de la conviction que cette loi était importante pour tout le monde, tant pour les Juifs que pour les non-Juifs.</w:t>
      </w:r>
    </w:p>
    <w:p>
      <w:r/>
      <w:r>
        <w:t xml:space="preserve">Ceci étant dit, la façon de penser de Philon était très grecque. Il ne connaissait probablement pas bien l'hébreu (la langue originale des Écritures juives). Au lieu de cela, il avait été éduqué auprès de professeurs grecs. </w:t>
      </w:r>
      <w:r>
        <w:t>Les livres sacrés de Philon étaient ceux de l'Ancien Testament. À ses yeux, les livres du Pentateuque avaient le plus d'autorité</w:t>
      </w:r>
      <w:r>
        <w:t>. Il les lisait en grec plutôt qu'en hébreu. Philon croyait que Dieu avait guidé la traduction de ces livres en grec, et qu'il n'avait donc pas besoin de consulter la version hébraïque.</w:t>
      </w:r>
    </w:p>
    <w:p>
      <w:r/>
      <w:r>
        <w:t>Pour comprendre le travail de Philon, il faut reconnaître qu'il y a deux raisons d'accepter la culture grecque :</w:t>
      </w:r>
    </w:p>
    <w:p>
      <w:pPr>
        <w:pStyle w:val="ListNumber"/>
        <w:spacing w:line="240" w:lineRule="auto"/>
        <w:ind w:left="720"/>
      </w:pPr>
      <w:r/>
      <w:r>
        <w:t>Les Juifs vivant dans les régions grecques devaient comprendre les modes de vie grecs pour pouvoir survivre.</w:t>
      </w:r>
    </w:p>
    <w:p>
      <w:pPr>
        <w:pStyle w:val="ListNumber"/>
        <w:spacing w:line="240" w:lineRule="auto"/>
        <w:ind w:left="720"/>
      </w:pPr>
      <w:r/>
      <w:r>
        <w:t>La foi juive était destinée à s'ouvrir aux autres. Les anciens prophètes juifs avaient dit qu'Israël devait être une lumière pour instruire les non-Juifs et leur présenter Dieu.</w:t>
      </w:r>
    </w:p>
    <w:p>
      <w:r/>
      <w:r>
        <w:t>Dans ses études, Philon a découvert de nombreuses idées vraies dans la philosophie grecque. Il souhaitait démontrer comment ces idées grecques pouvaient s'harmoniser avec la vérité qu'il trouvait dans la Bible, ce qui a représenté un grand défi pour lui. Il devait comprendre comment accepter de nouvelles idées tout en restant fidèle à sa foi. Cela ressemble à la manière dont certains chrétiens aujourd'hui tentent de comprendre comment la science moderne est compatible avec leurs croyances religieuses.</w:t>
      </w:r>
    </w:p>
    <w:p>
      <w:pPr>
        <w:pStyle w:val="Heading3"/>
      </w:pPr>
      <w:r>
        <w:t>Comment Philon a-t-il interprété les Écritures ?</w:t>
      </w:r>
    </w:p>
    <w:p>
      <w:r/>
      <w:r>
        <w:t>Philon avait une manière particulière de lire la Bible, appelée l'allégorie, qui l'aidait à connecter ses enseignements aux idées grecques. Dans une lecture allégorique, le lecteur cherche des significations plus profondes cachées dans les histoires. De nombreuses personnes avant Philon avaient utilisé cette méthode, et beaucoup d'autres l'ont utilisée après lui.</w:t>
      </w:r>
    </w:p>
    <w:p>
      <w:r/>
      <w:r>
        <w:t>En lisant les textes de manière allégorique, Philon a pu lire le livre de la Genèse d'une manière nouvelle. Au lieu de le considérer simplement comme de vieilles histoires sur des événements passés (ce qui est peut-être la manière dont les Grecs l'auraient perçu), il le voyait comme un ensemble de récits sur la manière dont chaque individu cherche Dieu et s'efforce de mener de meilleures vies.</w:t>
      </w:r>
    </w:p>
    <w:p>
      <w:r/>
      <w:r>
        <w:t>Philon croyait que Moïse avait écrit ces histoires d'une manière toute particulière. Il disait que c'est Dieu qui avait enseigné Moïse et que Moïse avait également appris les meilleures idées de la philosophie. Contrairement aux autres enseignants qui inventaient simplement des histoires, Moïse pouvait aider les gens à comprendre des idées importantes à travers ses écrits.</w:t>
      </w:r>
    </w:p>
    <w:p>
      <w:r/>
      <w:r>
        <w:t>Lorsque Philon lisait la Bible de cette manière, il découvrait des sens spirituels plus profonds derrière ses histoires et ses règles. Ces significations plus profondes correspondaient à de nombreuses vérités qu'il avait apprises des penseurs grecs.</w:t>
      </w:r>
    </w:p>
    <w:p>
      <w:r/>
      <w:r>
        <w:t>Lorsque Philon pensait à Dieu, il veillait à comparer les idées grecques avec les enseignements de la Bible. Si les idées grecques ne correspondaient pas à ces enseignements, il les rejetait.</w:t>
      </w:r>
    </w:p>
    <w:p>
      <w:r/>
      <w:r>
        <w:t>La Bible ne dit pas grand-chose sur la manière dont Dieu a créé le monde ni de quoi le monde est fait. En raison de cela, Philon s'est senti libre d'utiliser des idées des philosophes grecs pour aider à expliquer ces concepts. Philon croyait que les enseignements de la Bible et les vérités de la philosophie grecque provenaient de Dieu. Dans la philosophie grecque antique, le Logos faisait référence à un principe universel d'ordre, de logique et de connaissance qui maintient le monde unifié et intégré. L'esprit humain est créé à l'image du Logos divin, et possède donc une certaine capacité à recevoir et à découvrir des vérités sur des réalités qui transcendent ce que nous pouvons connaître par nos sens.</w:t>
      </w:r>
    </w:p>
    <w:p>
      <w:pPr>
        <w:pStyle w:val="Heading3"/>
      </w:pPr>
      <w:r>
        <w:t>Que disait Philon sur Dieu et la création du monde ?</w:t>
      </w:r>
    </w:p>
    <w:p>
      <w:r/>
      <w:r>
        <w:t>Philon considérait que les idées de Platon sur Dieu étaient les plus proches de la vérité, parmi tous les penseurs grecs. Il partageait l'avis de Platon sur plusieurs points :</w:t>
      </w:r>
    </w:p>
    <w:p>
      <w:r/>
      <w:r>
        <w:t>Dieu a existé de toute éternité avant de créer le monde. Même après la création du monde, Dieu reste séparé de celui-ci et le transcende. Le monde ne peut ni vivre ni se mouvoir de lui-même : il a besoin qui Dieu lui donne la vie et le maintienne en mouvement. Lorsque Dieu agit ainsi, le monde fonctionne parfaitement.</w:t>
      </w:r>
    </w:p>
    <w:p>
      <w:r/>
      <w:r>
        <w:t>Philon avait la conviction que Dieu prend soin de tout ce qu'il a créé. Les Grecs appelaient ce soin « providence », mais dans leur vision des choses cela signifiait simplement que Dieu maintient la nature en bon ordre de marche. Philon le voyait différemment. Il croyait que Dieu se soucie de chaque chose individuelle qu'il a faite. Il croyait que Dieu pouvait même changer la manière habituelle de fonctionner de la nature s'il le voulait.</w:t>
      </w:r>
    </w:p>
    <w:p>
      <w:r/>
      <w:r>
        <w:t>Dieu est Un, mais il a créé de multiples choses différentes. Dieu ne change jamais et n'a besoin de rien. Dieu n'a même pas besoin du monde qu'il a créé. Il a tout créé parce qu'il est bon et qu'il voulait partager sa bonté.</w:t>
      </w:r>
    </w:p>
    <w:p>
      <w:r/>
      <w:r>
        <w:t>Moïse a écrit que Dieu a créé le monde en six jours. Philon, quant à lui, croyait que Dieu avait en réalité tout créé simultanément. Il voyait l'histoire des six jours comme une aide pour comprendre que Dieu a tout créé de manière organisée.</w:t>
      </w:r>
    </w:p>
    <w:p>
      <w:r/>
      <w:r>
        <w:t>Philon enseignera que Dieu a créé le monde à partir de rien. Il n'y avait rien avant que Dieu ne crée. Il enseignait que Dieu a utilisé tout le matériau disponible lorsqu'il a fait le monde, et qu'il n'y a donc qu'un seul monde. Dieu a créé le monde parce qu'il le voulait, et Philon pensait que cela pourrait signifier que ce monde durera pour toujours.</w:t>
      </w:r>
    </w:p>
    <w:p>
      <w:r/>
      <w:r>
        <w:t>Philon remarquera que le philosophe grec Platon avait des idées similaires sur la manière dont Dieu avait créé le monde. Il pensait que Platon devait avoir appris ces idées des écrits de Moïse.</w:t>
      </w:r>
    </w:p>
    <w:p>
      <w:pPr>
        <w:pStyle w:val="Heading3"/>
      </w:pPr>
      <w:r>
        <w:t>Que disait Philon à propos du Logos ?</w:t>
      </w:r>
    </w:p>
    <w:p>
      <w:r/>
      <w:r>
        <w:t>Lorsque Philon a développé ses idées sur le Logos, il a à la fois utilisé et modifié certaines idées des philosophes grecs. Platon avait enseigné qu'il existait des idées parfaites qui avaient toujours existé. Il disait que lorsque Dieu a créé le monde, il avait regardé ces idées parfaites comme un modèle. Philon n'était pas d'accord avec une partie de cet enseignement. Il croyait que seul Dieu était éternel.</w:t>
      </w:r>
    </w:p>
    <w:p>
      <w:r/>
      <w:r>
        <w:t>Philon trouvera un moyen de combiner ces idées différentes. Il enseignera que les idées parfaites avaient toujours existé, mais uniquement en tant que pensées dans l'esprit de Dieu. Ces pensées ne sont devenues un modèle complet que lorsque Dieu a décidé de créer le monde physique que nous pouvons voir. Pour Philon, ces idées parfaites existaient uniquement dans l'esprit de Dieu, et Dieu les a utilisées comme modèle lors de la création de notre monde.</w:t>
      </w:r>
    </w:p>
    <w:p>
      <w:r/>
      <w:r>
        <w:t>Philon croyait que le Logos était extrêmement important. C'était plus qu'un simple outil utilisé par Dieu pour créer le monde visible. Il a essayé d'expliquer le Logos de plusieurs manières. Philon appelait le Logos « l'idée des idées ». Il le voyait comme le Fils premier-né du Père incréé et l'appelait même un « deuxième Dieu ». Il croyait que le Logos était le modèle parfait pour le fonctionnement de l'esprit humain.</w:t>
      </w:r>
    </w:p>
    <w:p>
      <w:r/>
      <w:r>
        <w:t>Selon Philon, le Logos avait un rôle particulier. C'était une puissance qui maintenait ensemble tout ce que Dieu avait créé. Il aidait les gens à comprendre les messages de Dieu, agissant comme un pont entre Dieu et le monde que Dieu avait créé. Tel un prêtre, il portait les prières des gens à Dieu. Philon croyait que le Logos était présent lorsque Dieu avait parlé à Moïse depuis le buisson ardent, et qu'il vivait à l'intérieur de Moïse pour le guider.</w:t>
      </w:r>
    </w:p>
    <w:p>
      <w:r/>
      <w:r>
        <w:t>Alors que certaines personnes se demandaient si le Logos était identique à Dieu, Philon disait qu'il s'agissait seulement d'une image ou d'une représentation de Dieu. Il ne considérait pas le Logos comme une personne. Aujourd'hui encore, il est difficile de comprendre exactement ce que Philon pensait du Logos ou comment il le voyait en relation avec Dieu.</w:t>
      </w:r>
    </w:p>
    <w:p>
      <w:r/>
      <w:r>
        <w:t xml:space="preserve">De nombreux auteurs chrétiens ont ensuite utilisé certaines des idées de Philon sur le Logos. L'auteur de l'Évangile de Jean s'est révélé particulièrement important à cet égard. </w:t>
      </w:r>
      <w:r>
        <w:t>Au début de son Évangile, Jean appelle Jésus le Logos et dit que toutes choses ont été créées par lui. Dans la plupart des versions françaises, ce titre est traduit « la Parole » (ou parfois « le Verbe »)</w:t>
      </w:r>
      <w:r>
        <w:t xml:space="preserve"> (voir </w:t>
      </w:r>
      <w:hyperlink r:id="rId12107">
        <w:r>
          <w:rPr>
            <w:color w:val="0000EE"/>
            <w:u w:val="single"/>
          </w:rPr>
          <w:t>Jn 1.1–4</w:t>
        </w:r>
      </w:hyperlink>
      <w:r>
        <w:t>).</w:t>
      </w:r>
    </w:p>
    <w:p>
      <w:r/>
      <w:r>
        <w:t>Nous ne savons pas grand-chose sur l'origine de ces idées concernant le Logos. Nous savons que d'autres Juifs vivant dans des régions grecques à l'époque de Philon parlaient également du Logos. Lorsque nous examinons comment Philon a utilisé cette idée, il semble qu'il ait été plus influencé par la philosophie grecque que par les enseignements bibliques.</w:t>
      </w:r>
    </w:p>
    <w:p>
      <w:pPr>
        <w:pStyle w:val="Heading3"/>
      </w:pPr>
      <w:r>
        <w:t>Quelles étaient les croyances de Philon concernant la création de l'humanité ?</w:t>
      </w:r>
    </w:p>
    <w:p>
      <w:r/>
      <w:r>
        <w:t>Philon avait d'autres idées intéressantes sur la manière dont Dieu a créé les choses. Il croyait que les étoiles et les planètes étaient des êtres vivants avec des esprits qui ne pouvaient jamais faire le mal. Il croyait, toutefois, que les êtres humains étaient différents. Ceux-ci pouvaient être à la fois bons et mauvais, sages et insensés.</w:t>
      </w:r>
    </w:p>
    <w:p>
      <w:r/>
      <w:r>
        <w:t>Philo croyait que Dieu avait créé toutes les bonnes choses par lui-même. Mais comme les humains pouvaient être à la fois bons et mauvais, il était de la croyance qu'ils devaient avoir été créés par des êtres divins inférieurs qui aidaient Dieu. Voilà pourquoi Moïse nous dit que Dieu a dit, « Faisons l'homme » (</w:t>
      </w:r>
      <w:hyperlink r:id="rId298">
        <w:r>
          <w:rPr>
            <w:color w:val="0000EE"/>
            <w:u w:val="single"/>
          </w:rPr>
          <w:t>Gn 1.26</w:t>
        </w:r>
      </w:hyperlink>
      <w:r>
        <w:t>). La première personne du pluriel était important pour Philo.</w:t>
      </w:r>
    </w:p>
    <w:p>
      <w:r/>
      <w:r>
        <w:t>Philon voyait deux étapes distinctes dans la création de l'humanité. Dans la première étape, Dieu crée une idée ou un modèle de ce que l'être humain devrait être. Ce modèle n'était pas physique. Il n'avait pas de corps et n'était ni masculin ni féminin. Il ne pouvait jamais être corrompu ou détruit (</w:t>
      </w:r>
      <w:hyperlink r:id="rId298">
        <w:r>
          <w:rPr>
            <w:color w:val="0000EE"/>
            <w:u w:val="single"/>
          </w:rPr>
          <w:t>Gn 1.26</w:t>
        </w:r>
      </w:hyperlink>
      <w:r>
        <w:t xml:space="preserve">). Lors de la deuxième étape, décrite dans </w:t>
      </w:r>
      <w:hyperlink r:id="rId233">
        <w:r>
          <w:rPr>
            <w:color w:val="0000EE"/>
            <w:u w:val="single"/>
          </w:rPr>
          <w:t>Genèse 2.7</w:t>
        </w:r>
      </w:hyperlink>
      <w:r>
        <w:t xml:space="preserve">, « </w:t>
      </w:r>
      <w:r>
        <w:t>L’Éternel Dieu forma l’homme de la poussière de la terre, il souffla dans ses narines un souffle de vie</w:t>
      </w:r>
      <w:r>
        <w:t xml:space="preserve"> ».</w:t>
      </w:r>
    </w:p>
    <w:p>
      <w:r/>
      <w:r>
        <w:t>Cet acte crée le premier être humain physique, doté d'un corps et d'une âme, susceptible de mourir. Les humains étaient désormais soit mâles, soit femelles. Philon croyait que lorsque le premier homme et la première femme se sont vus, ils ont ressenti du désir. Cela conduira au plaisir physique, que Philon considérait comme l'origine des actes mauvais et de la transgression des lois de Dieu.</w:t>
      </w:r>
    </w:p>
    <w:p>
      <w:r/>
      <w:r>
        <w:t>Philon ne croyait pas devoir prendre l'histoire du jardin d'Éden littéralement. Il ne croyait pas que les arbres de vie ou de la connaissance ait vraiment existé, ni que de tels arbres existeraient un jour. Au lieu de cela, il les voyait comme des symboles :</w:t>
      </w:r>
    </w:p>
    <w:p>
      <w:pPr>
        <w:pStyle w:val="ListBullet"/>
        <w:spacing w:line="240" w:lineRule="auto"/>
        <w:ind w:left="720"/>
      </w:pPr>
      <w:r/>
      <w:r>
        <w:t>L'Arbre de vie symbolise le respect et l'amour pour Dieu</w:t>
      </w:r>
    </w:p>
    <w:p>
      <w:pPr>
        <w:pStyle w:val="ListBullet"/>
        <w:spacing w:line="240" w:lineRule="auto"/>
        <w:ind w:left="720"/>
      </w:pPr>
      <w:r/>
      <w:r>
        <w:t>L'Arbre de la connaissance représente la compréhension du bien et du mal.</w:t>
      </w:r>
    </w:p>
    <w:p>
      <w:pPr>
        <w:pStyle w:val="Heading3"/>
      </w:pPr>
      <w:r>
        <w:t>Comment entrer en relation avec Dieu, selon Philon ?</w:t>
      </w:r>
    </w:p>
    <w:p>
      <w:r/>
      <w:r>
        <w:t>Les idées de Philon démontrent qu'il percevait le monde comme divisé en deux parties. Il croyait que les choses spirituelles étaient bonnes et que les choses physiques étaient mauvaises. Ces idées proviennent des concepts de Platon, une manière de penser appelée platonisme. Philon a tenté de retrouver ces idées dans l'Ancien Testament. En raison de cette façon de penser, Philon était en accord avec un autre groupe de penseurs grecs appelés les stoïciens. Ils enseignaient que seul importe ce qui est bon pour l'âme. Philon croyait que c'était pour un usage temporaire, plutôt que pour une possession éternelle, que Dieu nous avait donné le monde.</w:t>
      </w:r>
    </w:p>
    <w:p>
      <w:r/>
      <w:r>
        <w:t>Philon a enseigné que pour se rapprocher de Dieu, on devait cesser de prêter attention au monde physique qui nous entoure. Il pensait généralement que l'on devait se priver de plaisirs physiques pour se concentrer sur les choses spirituelles.</w:t>
      </w:r>
    </w:p>
    <w:p>
      <w:r/>
      <w:r>
        <w:t>Le seul temple digne de Dieu est une âme pure. Philon pensait que la véritable foi provient de ce que nous ressentons et pensons intérieurement, et non des activités religieuses que nous accomplissons extérieurement. L'âme est semblable à Abraham ou aux Israélites qui erraient dans le désert. Par l'autodiscipline spirituelle, l'âme finit par réaliser que le corps est un obstacle majeur à la perfection.</w:t>
      </w:r>
    </w:p>
    <w:p>
      <w:r/>
      <w:r>
        <w:t>L'objectif de cette spiritualité est de se rapprocher de Dieu, qui a attiré la pensée à lui. Dieu est connaissable par la pensée. Cependant, Dieu est inconnaissable en lui-même. Nous pouvons seulement savoir qu'il existe, mais pas ce qu'il est.</w:t>
      </w:r>
    </w:p>
    <w:p>
      <w:r/>
      <w:r>
        <w:t>Philon croyait qu'en essayant de s'améliorer, on finit par apprendre quelque chose d'important : on ne peut pas devenir parfait par soi-même. On comprend alors que la bonté est un don de Dieu. Lorsque l'on prend conscience de ses propres limites, on commence à vraiment connaître Dieu et à réaliser à quel point on a besoin de son aide.</w:t>
      </w:r>
    </w:p>
    <w:p>
      <w:pPr>
        <w:pStyle w:val="Heading3"/>
      </w:pPr>
      <w:r>
        <w:t>Quelle a été l'influence des idées de Philon sur les enseignants religieux ultérieurs ?</w:t>
      </w:r>
    </w:p>
    <w:p>
      <w:r/>
      <w:r>
        <w:t>L'historien juif Josèphe a intégré certaines des idées de Philon dans ses écrits. Cependant, Philon exercera sa plus grande influence sur les premiers auteurs et enseignants chrétiens. Au cours des deux cents années qui suivront, le type de pensée juive qui combinait les idées grecques et juives, que Philon représentait, a perdu en influence. À la place, les enseignements des rabbins juifs sont devenus la principale forme de judaïsme.</w:t>
      </w:r>
    </w:p>
    <w:p>
      <w:r/>
      <w:r>
        <w:t>Les chrétiens des années 100 à 300 apr. J.‑C. ont eux trouvé de nombreuses idées de Philon utiles. Ses écrits étaient si importants que des gens les ont traduits dans différentes langues, y compris le latin (la langue de Rome) et l'arménien. Plusieurs enseignants chrétiens importants de l'époque, appelés « pères de l'Église », ont utilisé les idées de Philon dans leur propre travail. Ceux-ci incluaient Clément et Origène, qui écrivaient en grec, et Ambroise, qui écrivait en latin.</w:t>
      </w:r>
      <w:r/>
      <w:r/>
    </w:p>
    <w:p>
      <w:r/>
    </w:p>
    <w:p>
      <w:pPr>
        <w:pStyle w:val="Heading2"/>
      </w:pPr>
      <w:r>
        <w:t>Philosophie</w:t>
      </w:r>
      <w:r/>
    </w:p>
    <w:p>
      <w:r/>
      <w:r>
        <w:t>Philosophie signifie « amour de la sagesse ». C'est une manière de réfléchir attentivement aux questions fondamentales de la vie. Les philosophes essaient de trouver la sagesse, de la comprendre et d'expliquer pourquoi elle est importante.</w:t>
      </w:r>
    </w:p>
    <w:p>
      <w:pPr>
        <w:pStyle w:val="Heading3"/>
      </w:pPr>
      <w:r>
        <w:t>La Philosophie dans la Bible</w:t>
      </w:r>
    </w:p>
    <w:p>
      <w:r/>
      <w:r>
        <w:t>Le mot « philosophie » apparaît seulement une fois dans la Bible. Cependant, dans le monde grec ancien, le judaïsme et le christianisme étaient considérés comme des types de philosophie. Les philosophes grecs qualifiaient les Juifs de peuple philosophique parce que la religion biblique, contrairement à la religion grecque, tente d'expliquer l'ensemble de la réalité et offre des conseils clairs sur la façon de vivre.</w:t>
      </w:r>
    </w:p>
    <w:p>
      <w:r/>
      <w:r>
        <w:t xml:space="preserve">Le mot « philosophie » apparaît seulement une fois dans la Bible, dans </w:t>
      </w:r>
      <w:hyperlink r:id="rId12108">
        <w:r>
          <w:rPr>
            <w:color w:val="0000EE"/>
            <w:u w:val="single"/>
          </w:rPr>
          <w:t>Colossiens 2.8–10</w:t>
        </w:r>
      </w:hyperlink>
      <w:r>
        <w:t xml:space="preserve">. Dans ce passage, Paul explique qu'il existe deux types différents de philosophie. Un type suit les enseignements du Christ, tandis que l'autre suit la tradition humaine, ou « les </w:t>
      </w:r>
      <w:r>
        <w:t>rudiments (ou</w:t>
      </w:r>
      <w:r>
        <w:t xml:space="preserve"> forces spirituelles)</w:t>
      </w:r>
      <w:r>
        <w:t xml:space="preserve"> du monde</w:t>
      </w:r>
      <w:r>
        <w:t xml:space="preserve"> ». Paul avertit les Colossiens de ne pas suivre les traditions humaines creuses ou les forces spirituelles fondamentales du monde.</w:t>
      </w:r>
    </w:p>
    <w:p>
      <w:r/>
      <w:r>
        <w:t xml:space="preserve">Au lieu de cela, il désire que l'on adopte la manière de penser du Christ, parce que c'est Christ, lui qui est pleinement Dieu sous forme humaine, qui offre la véritable sagesse. Contrairement aux forces spirituelles fondamentales que certaines personnes suivaient, Christ est « </w:t>
      </w:r>
      <w:r>
        <w:t>le chef de toute domination et de toute autorité</w:t>
      </w:r>
      <w:r>
        <w:t xml:space="preserve"> ». Paul ne dit pas que toute philosophie est mauvaise. Au contraire, il enseigne que la meilleure philosophie provient des enseignements de Christ, qui constituent le fondement de la sagesse et de la philosophie.</w:t>
      </w:r>
    </w:p>
    <w:p>
      <w:r/>
      <w:r>
        <w:t xml:space="preserve">En contraste avec les simples « esprits rudimentaires », Christ lui-même est « </w:t>
      </w:r>
      <w:r>
        <w:t>le chef de toute domination et de toute autorité</w:t>
      </w:r>
      <w:r>
        <w:t xml:space="preserve"> ». Il est la plus grande source de vérité et de justice. La discipline de la philosophie n'est pas condamnée, car l'alternative à la tromperie et à la tradition humaine est « la philosophie [qui s'appuie] sur Christ ».</w:t>
      </w:r>
    </w:p>
    <w:p>
      <w:r/>
      <w:r>
        <w:t>La philosophie, en tant que manière formelle de penser, a commencé en Grèce après la rédaction de l'Ancien Testament. C'est pourquoi nous ne trouvons pas le mot « philosophie » dans l'Ancien Testament. Cependant, certains livres de l'Ancien Testament sont similaires à des ouvrages de philosophie car ils aident à réfléchir aux grandes questions de la vie. Le livre des Proverbes, par exemple, offre des conseils et de la sagesse pour mener une bonne vie. Les livres de Job et de l'Ecclésiaste posent des questions importantes sur les raisons des événements et ce qui donne un sens à la vie.</w:t>
      </w:r>
    </w:p>
    <w:p>
      <w:pPr>
        <w:pStyle w:val="Heading3"/>
      </w:pPr>
      <w:r>
        <w:t>L'Influence de la pensée grecque</w:t>
      </w:r>
    </w:p>
    <w:p>
      <w:r/>
      <w:r>
        <w:t>La Bible et la philosophie païenne de son époque partageaient certains points communs. Un exemple de ceci est l'idée de modifier sa façon de vivre après avoir adopté de nouvelles croyances. À l'époque de la rédaction du Nouveau Testament, on comprenait qu'adopter de nouvelles croyances signifiait transformer complètement sa manière de vivre. On appelle ce type de changement « conversion ».</w:t>
      </w:r>
    </w:p>
    <w:p>
      <w:r/>
      <w:r>
        <w:t>Une autre similitude résidait dans la manière dont les enseignants partageaient leurs idées par le biais de lettres. Avant que le Nouveau Testament ne soit rédigé, des enseignants grecs comme Platon et Isocrate écrivaient des lettres pour expliquer leurs croyances et enseigner aux gens comment vivre. Plus tard, les auteurs du Nouveau Testament utiliseront également des lettres pour transmettre leur foi.</w:t>
      </w:r>
    </w:p>
    <w:p>
      <w:r/>
      <w:r>
        <w:t>À l'époque de la rédaction du Nouveau Testament, la philosophie était une discipline très pratique. Les gens étudiaient la philosophie pour apprendre à mener une bonne vie. Les philosophes consacraient également beaucoup de temps à réfléchir à Dieu, bien que différents philosophes aient eu des idées variées sur l'apparence de Dieu. À cette époque, bien des personnes cherchaient deux choses : elles voulaient savoir comment bien vivre et en apprendre davantage sur Dieu.</w:t>
      </w:r>
    </w:p>
    <w:p>
      <w:pPr>
        <w:pStyle w:val="Heading3"/>
      </w:pPr>
      <w:r>
        <w:t>Épicuriens et stoïciens</w:t>
      </w:r>
    </w:p>
    <w:p>
      <w:r/>
      <w:r>
        <w:t>Deux philosophies spécifiques sont mentionnées dans le Nouveau Testament : l'épicurisme et le stoïcisme (</w:t>
      </w:r>
      <w:hyperlink r:id="rId4847">
        <w:r>
          <w:rPr>
            <w:color w:val="0000EE"/>
            <w:u w:val="single"/>
          </w:rPr>
          <w:t>Ac 17.18</w:t>
        </w:r>
      </w:hyperlink>
      <w:r>
        <w:t>). Les épicuriens suivaient un enseignant nommé Épicure, qui a vécu à Athènes de 342 à 270 av. J.‑C. Épicure enseignait aux gens des moyens pratiques de vivre une vie heureuse en :</w:t>
      </w:r>
    </w:p>
    <w:p>
      <w:pPr>
        <w:pStyle w:val="ListBullet"/>
        <w:spacing w:line="240" w:lineRule="auto"/>
        <w:ind w:left="720"/>
      </w:pPr>
      <w:r/>
      <w:r>
        <w:t>Étant équilibré dans leur comportement.</w:t>
      </w:r>
    </w:p>
    <w:p>
      <w:pPr>
        <w:pStyle w:val="ListBullet"/>
        <w:spacing w:line="240" w:lineRule="auto"/>
        <w:ind w:left="720"/>
      </w:pPr>
      <w:r/>
      <w:r>
        <w:t>Établissant de bonnes relations avec autrui.</w:t>
      </w:r>
    </w:p>
    <w:p>
      <w:r/>
      <w:r>
        <w:t>Épicure pensait que tout, y compris les êtres humains, était composé de petites particules matérielles appelées atomes. Il croyait que ces atomes se rassemblaient par hasard et qu'il n'y avait aucun plan divin derrière cela.</w:t>
      </w:r>
    </w:p>
    <w:p>
      <w:r/>
      <w:r>
        <w:t>Les Stoïciens, tout comme les Épicuriens, enseignaient aux gens à mener des vies équilibrées. Cependant, ils avaient des croyances différentes concernant le monde. Ils pensaient que tout arrive pour une raison et que le monde a un but. Ils enseignaient que ce but provient de quelque chose qu'ils appelaient le Logos (ou « raison »). Ils croyaient que le Logos était omniprésent et contrôlait tout.</w:t>
      </w:r>
    </w:p>
    <w:p>
      <w:r/>
      <w:r>
        <w:t>Comme les Épicuriens, les Stoïciens croyaient que tout ce qui se trouve dans le monde est physique ou matériel, y compris les êtres humains, les dieux et même le Logos lui-même. Ils affirmaient même parfois que le Logos était Dieu.</w:t>
      </w:r>
    </w:p>
    <w:p>
      <w:r/>
      <w:r>
        <w:t>Lorsque Paul était à Athènes, il a probablement rencontré un autre groupe de philosophes appelés « sceptiques académiques ». Ces penseurs croyaient que les humains ne peuvent pas comprendre pleinement quoi que ce soit. Ils enseignaient que l'on devrait être prudent avant d'affirmer que quelque chose est définitivement vrai ou faux. Ils comprenaient toutefois que les êtres humains ont toujours besoin de faire des choix dans leur vie quotidienne. Ils étaient également très intéressés par l'apprentissage des croyances d'autrui.</w:t>
      </w:r>
    </w:p>
    <w:p>
      <w:r/>
      <w:r>
        <w:t>La Bible nous dit que tout le monde à Athènes à cette époque (tant les habitants que les visiteurs) aimait entendre et parler de nouvelles idées (</w:t>
      </w:r>
      <w:hyperlink r:id="rId12109">
        <w:r>
          <w:rPr>
            <w:color w:val="0000EE"/>
            <w:u w:val="single"/>
          </w:rPr>
          <w:t>Ac 17.21</w:t>
        </w:r>
      </w:hyperlink>
      <w:r>
        <w:t>). Cela faisait d'Athènes un lieu où les gens appréciaient d'avoir des discussions profondes sur différentes croyances.</w:t>
      </w:r>
    </w:p>
    <w:p>
      <w:pPr>
        <w:pStyle w:val="Heading3"/>
      </w:pPr>
      <w:r>
        <w:t>Discours de Paul à Athènes</w:t>
      </w:r>
    </w:p>
    <w:p>
      <w:r/>
      <w:r>
        <w:t>Étant donné que les habitants d'Athènes étaient très intéressés par les nouvelles idées, il était logique pour Paul de partager la Bonne Nouvelle concernant Jésus avec eux. Il a réussi à convaincre certaines personnes de devenir disciples de Jésus.</w:t>
      </w:r>
    </w:p>
    <w:p>
      <w:r/>
      <w:r>
        <w:t>Lorsque Paul a parlé aux Athéniens, il a commencé par trouver des points sur lesquels ils pouvaient s'entendre. Il citera deux de leurs propres philosophes :</w:t>
      </w:r>
    </w:p>
    <w:p>
      <w:pPr>
        <w:pStyle w:val="ListBullet"/>
        <w:spacing w:line="240" w:lineRule="auto"/>
        <w:ind w:left="720"/>
      </w:pPr>
      <w:r/>
      <w:r>
        <w:t>Épiménide, qui a vécu dans les années 500 av. J.‑C., a dit : « en lui nous avons la vie, le mouvement, et l'être ».</w:t>
      </w:r>
    </w:p>
    <w:p>
      <w:pPr>
        <w:pStyle w:val="ListBullet"/>
        <w:spacing w:line="240" w:lineRule="auto"/>
        <w:ind w:left="720"/>
      </w:pPr>
      <w:r/>
      <w:r>
        <w:t>Cleanthes, un stoïcien qui a vécu dans les années 200 av. J.‑C., a dit : « De lui nous sommes la race ».</w:t>
      </w:r>
    </w:p>
    <w:p>
      <w:r/>
      <w:r>
        <w:t>Cependant, la plupart des philosophes n'ont pas accepté le message de Paul. Ils étaient particulièrement troublés par deux aspects de l'enseignement de Paul :</w:t>
      </w:r>
    </w:p>
    <w:p>
      <w:pPr>
        <w:pStyle w:val="ListNumber"/>
        <w:spacing w:line="240" w:lineRule="auto"/>
        <w:ind w:left="720"/>
      </w:pPr>
      <w:r/>
      <w:r>
        <w:t>Le fait que Jésus était unique et au-dessus de tout autre.</w:t>
      </w:r>
    </w:p>
    <w:p>
      <w:pPr>
        <w:pStyle w:val="ListNumber"/>
        <w:spacing w:line="240" w:lineRule="auto"/>
        <w:ind w:left="720"/>
      </w:pPr>
      <w:r/>
      <w:r>
        <w:t>Le fait que Jésus était mort et revenu à la vie.</w:t>
      </w:r>
    </w:p>
    <w:p>
      <w:r/>
      <w:r>
        <w:t>Ces idées allaient à l'encontre de ce que croyaient les philosophes. Ils pensaient que lorsque la mort était la fin : il n'y avait pas de retour à la vie. Cela montre à quel point les croyances chrétiennes étaient différentes des autres philosophies de cette époque.</w:t>
      </w:r>
    </w:p>
    <w:p>
      <w:r/>
      <w:r>
        <w:rPr>
          <w:i/>
        </w:rPr>
        <w:t>Voir aussi</w:t>
      </w:r>
      <w:r>
        <w:t xml:space="preserve"> </w:t>
      </w:r>
      <w:r>
        <w:t>Épicuriens</w:t>
      </w:r>
      <w:r>
        <w:t xml:space="preserve"> ; </w:t>
      </w:r>
      <w:r>
        <w:t>Stoïcisme, Stoïciens</w:t>
      </w:r>
      <w:r>
        <w:t>.</w:t>
      </w:r>
      <w:r/>
      <w:r/>
    </w:p>
    <w:p>
      <w:r/>
    </w:p>
    <w:p>
      <w:pPr>
        <w:pStyle w:val="Heading2"/>
      </w:pPr>
      <w:r>
        <w:t>Phrygie</w:t>
      </w:r>
      <w:r/>
    </w:p>
    <w:p>
      <w:r/>
      <w:r>
        <w:t>Région de l'ouest de la Turquie sur le plateau anatolien, dont les limites ne peuvent être définies précisément. Les Phrygiens étaient à l'origine des Européens, appelés Phryges par les Grecs, qui ont traversé le détroit des Dardanelles (ou Hellespont) depuis la Macédoine et la Thrace pour s'y installer. Cette migration suivait le schéma général des invasions de l'Europe vers cette partie de l'Asie Mineure. Les Phrygiens ont formé une confédération puissante qui a prospéré entre la chute de l'Empire hittite et l'essor de l'Empire lydien, c'est-à-dire entre le VIIe et le XIIIe siècles av. Jésus-Christ.</w:t>
      </w:r>
    </w:p>
    <w:p>
      <w:r/>
      <w:r>
        <w:t>Leur capitale religieuse était à « Midas-ville » (appelée Gordion), l'actuelle Yazilikaya, à environ 250 km au sud-ouest d'Ankara. Cette « ville de Midas » se composait d'une acropole, défendue par un mur avec des tours, et d'une ville basse. Dans une grande grotte se trouvait une source, accessible par des marches taillées dans la roche, qui fournissait de l'eau pour les villes haute et basse. Le célèbre tombeau ou monument du roi Midas porte une inscription phrygienne qui mentionne la déesse « Mida », identifiée à Cybèle, la déesse mère, considérée comme la mère mythique du roi. Des archéologues français en 1948–49 ont découvert des vestiges indiquant que la ville a été détruite au VIe siècle av. J.‑C., reconstruite environ un siècle plus tard, et finalement détruite au IIIe siècle av. J.‑C.</w:t>
      </w:r>
    </w:p>
    <w:p>
      <w:r/>
      <w:r>
        <w:t xml:space="preserve">Leur déesse principale était Cybèle. Elle deviendra plus tard la déesse de la fertilité de toute l'Anatolie. Des rites orgiaques étaient accomplis en son honneur, menant à une sensualité destinée à faciliter la reproduction chez les humains, les animaux et les cultures. Lorsque les Ioniens et les Grecs s'installeront à Milet et Éphèse, Cybèle sera transformée en Diane, la déesse grecque de la fertilité, dont le temple à Éphèse était l'une des sept merveilles du monde. Son image était à l'origine une pierre météorite noire (voir </w:t>
      </w:r>
      <w:hyperlink r:id="rId3902">
        <w:r>
          <w:rPr>
            <w:color w:val="0000EE"/>
            <w:u w:val="single"/>
          </w:rPr>
          <w:t>Ac 19.35</w:t>
        </w:r>
      </w:hyperlink>
      <w:r>
        <w:t>). Elle devient la compagne d'Adonis, une divinité de la végétation, et leurs rites de fertilité étaient courants dans tout le Moyen-Orient. Cette déesse sera importée à Rome ; un temple en son honneur sera construit sur la colline du Capitole peu après l'organisation de l'empire.</w:t>
      </w:r>
    </w:p>
    <w:p>
      <w:r/>
      <w:r>
        <w:t>Les tribus gauloises envahiront la région environ trois siècles avant Paul, modifiant ainsi la situation démographique, de sorte que les divisions politiques, géographiques et ethniques ne coïncident pas toujours. Ce qui était autrefois la Phrygie a pris le nom courant de Galatie à cause de ses nouveaux habitants. Cependant, les anciens noms ont également persisté.</w:t>
      </w:r>
    </w:p>
    <w:p>
      <w:r/>
      <w:r>
        <w:t>Les Juifs seront encouragés à s'installer dans cette région par les rois syriens. Ils constitueront une frange importante de la société, et leurs synagogues se trouveront dans chaque grande ville. Paul traversera cette région lorsqu'il se rend de Lycaonie à Troas (</w:t>
      </w:r>
      <w:hyperlink r:id="rId5881">
        <w:r>
          <w:rPr>
            <w:color w:val="0000EE"/>
            <w:u w:val="single"/>
          </w:rPr>
          <w:t>Ac 16.6</w:t>
        </w:r>
      </w:hyperlink>
      <w:r>
        <w:t>) après avoir été interdit par le Saint-Esprit de prêcher la parole de Dieu en Asie. L'Évangile est probablement arrivé dans cette région grâce aux pèlerins qui se rendaient à Jérusalem qui ont entendu la prédication de Pierre. Non sans étonnement, ils entendront les premiers croyants proclamer les œuvres de Dieu dans leur propre langue maternelle (</w:t>
      </w:r>
      <w:hyperlink r:id="rId8730">
        <w:r>
          <w:rPr>
            <w:color w:val="0000EE"/>
            <w:u w:val="single"/>
          </w:rPr>
          <w:t>Ac 2.8–11</w:t>
        </w:r>
      </w:hyperlink>
      <w:r>
        <w:t>). Certains se convertiront et rentreront chez eux pour répandre la Bonne Nouvelle.</w:t>
      </w:r>
    </w:p>
    <w:p>
      <w:r/>
      <w:r>
        <w:t>Le fait que le christianisme ait fait des percées précoces et ait reçu un large soutien ici est illustré par le fait qu'au milieu du IIe siècle, Montanus, un responsable zélé au sein de l'Église, s'est lèvera et rappellera l'Église au dynamisme primitif qui caractérisait la Pentecôte. C'est ainsi qu'est née la secte du montanisme, dans laquelle le chef était parfois considéré comme l'incarnation du Saint-Esprit ou l'oracle de Dieu. Considéré avec un regard charitable, le mouvement semble avoir été une forme de retour au christianisme primitif et une protestation contre le formalisme croissant parmi les Églises. Au IIIe siècle, toute la région était presque entièrement chrétienne, selon Eusèbe.</w:t>
      </w:r>
      <w:r/>
      <w:r/>
    </w:p>
    <w:p>
      <w:r/>
    </w:p>
    <w:p>
      <w:pPr>
        <w:pStyle w:val="Heading2"/>
      </w:pPr>
      <w:r>
        <w:t>Picol</w:t>
      </w:r>
      <w:r/>
    </w:p>
    <w:p>
      <w:r/>
      <w:r>
        <w:t>Chef de l'armée d'Abimélec, présent lorsqu'Abimélec a conclu des accords de paix avec Abraham, puis plus tard avec Isaac (</w:t>
      </w:r>
      <w:hyperlink r:id="rId12110">
        <w:r>
          <w:rPr>
            <w:color w:val="0000EE"/>
            <w:u w:val="single"/>
          </w:rPr>
          <w:t>Gn 21.22, 32</w:t>
        </w:r>
      </w:hyperlink>
      <w:r>
        <w:t xml:space="preserve"> ; </w:t>
      </w:r>
      <w:hyperlink r:id="rId505">
        <w:r>
          <w:rPr>
            <w:color w:val="0000EE"/>
            <w:u w:val="single"/>
          </w:rPr>
          <w:t>26.26</w:t>
        </w:r>
      </w:hyperlink>
      <w:r>
        <w:t>). La présence d'un commandant d'armée indiquait sans doute qu'Abraham était vulnérable. Cependant, les ennemis ont reconnu la puissance supérieure du Dieu d'Abraham. Ainsi, ils ont cherché à vivre en paix avec lui.</w:t>
      </w:r>
      <w:r/>
      <w:r/>
    </w:p>
    <w:p>
      <w:r/>
    </w:p>
    <w:p>
      <w:pPr>
        <w:pStyle w:val="Heading2"/>
      </w:pPr>
      <w:r>
        <w:t>Pièces</w:t>
      </w:r>
      <w:r/>
    </w:p>
    <w:p>
      <w:r/>
      <w:r>
        <w:t>Pièces de métal utilisées et acceptées pour acheter ou vendre. Une pièce avait un poids spécifique et portait un certain type d'authentification qui la rendait facilement reconnaissable. Les premières pièces de monnaie ont peut-être été frappées à la fin du 8</w:t>
      </w:r>
      <w:r>
        <w:rPr>
          <w:vertAlign w:val="superscript"/>
        </w:rPr>
        <w:t>e</w:t>
      </w:r>
      <w:r>
        <w:t xml:space="preserve"> siècle av. J.‑C.</w:t>
      </w:r>
    </w:p>
    <w:p>
      <w:r/>
      <w:r>
        <w:t>Sommaire</w:t>
      </w:r>
    </w:p>
    <w:p>
      <w:r/>
      <w:r>
        <w:t>• Les premières pièces de monnaie utilisées en Palestine</w:t>
      </w:r>
    </w:p>
    <w:p>
      <w:r/>
      <w:r>
        <w:t>• Les pièces de monnaie depuis les Maccabées jusqu'à Hérode Agrippa I</w:t>
      </w:r>
      <w:r>
        <w:rPr>
          <w:vertAlign w:val="superscript"/>
        </w:rPr>
        <w:t>er</w:t>
      </w:r>
    </w:p>
    <w:p>
      <w:r/>
      <w:r>
        <w:t>• Les pièces de monnaie romaines à l'époque du Nouveau Testament</w:t>
      </w:r>
    </w:p>
    <w:p>
      <w:pPr>
        <w:pStyle w:val="Heading3"/>
      </w:pPr>
      <w:r>
        <w:t>Les premières pièces de monnaie utilisées en Palestine</w:t>
      </w:r>
    </w:p>
    <w:p>
      <w:r/>
      <w:r>
        <w:t>C'est seulement à l'époque de Darius le Grand (Darius I</w:t>
      </w:r>
      <w:r>
        <w:rPr>
          <w:vertAlign w:val="superscript"/>
        </w:rPr>
        <w:t>er</w:t>
      </w:r>
      <w:r>
        <w:t xml:space="preserve"> de Perse, 521–486 av. J.‑C.) qu'une monnaie officiellement produite par le gouvernement devient courante en Palestine. Ces premières pièces étaient des dariques en or de forme ovale, ainsi que quelques pièces en argent.</w:t>
      </w:r>
    </w:p>
    <w:p>
      <w:r/>
      <w:r>
        <w:t xml:space="preserve">Les dariques sont mentionnés dans </w:t>
      </w:r>
      <w:hyperlink r:id="rId1293">
        <w:r>
          <w:rPr>
            <w:color w:val="0000EE"/>
            <w:u w:val="single"/>
          </w:rPr>
          <w:t xml:space="preserve">1 Chroniques 29.7 </w:t>
        </w:r>
      </w:hyperlink>
      <w:r>
        <w:t xml:space="preserve">et possiblement </w:t>
      </w:r>
      <w:hyperlink r:id="rId12111">
        <w:r>
          <w:rPr>
            <w:color w:val="0000EE"/>
            <w:u w:val="single"/>
          </w:rPr>
          <w:t>Esdras 2.68–69</w:t>
        </w:r>
      </w:hyperlink>
      <w:r>
        <w:t>, où le mot hébreu est un peu différent. Dans Esdras, les chefs qui avaient été exilés en Perse viennent de revenir à Jérusalem avec Zorobabel. Ils font un don de 1 000 dariques pour la reconstruction du Temple. C'est une grosse somme, équivalente à plusieurs dizaines de milliers d'euros ou de dollars. Ces passages sont les premières mentions de pièces de monnaie dans la Bible.</w:t>
      </w:r>
    </w:p>
    <w:p>
      <w:r/>
      <w:r>
        <w:t>Presque en même temps que les pièces perses deviennent courantes en Palestine, les tétradrachmes d'argent (pièces de quatre drachmes) d'Athènes, très populaires, commencent à être utilisées dans les centres de commerce des côtes phénicienne, israélite et philistine. Les archéologues en ont découvert dans des trésors dans toute la région méditerranéenne orientale. Elles continuent à être utilisées pendant la période perse, qui prend fin quand Alexandre le Grand conquiert la Perse en 334–330 av. J.‑C. Cette pièce de monnaie était épaisse et lourde, mais étant faite d'argent de haute qualité, elle était très prisée pour le commerce international. Les commerçants grecs avaient probablement réalisé qu'ils pouvaient obtenir les produits d'importation d'Asie les plus désirables en échange de cette monnaie.</w:t>
      </w:r>
    </w:p>
    <w:p>
      <w:r/>
      <w:r>
        <w:t>Les didrachmes (valant deux drachmes) en argent et les demi-drachmes sont communément utilisées dans l'Empire grec à partir du 4</w:t>
      </w:r>
      <w:r>
        <w:rPr>
          <w:vertAlign w:val="superscript"/>
        </w:rPr>
        <w:t>e</w:t>
      </w:r>
      <w:r>
        <w:t xml:space="preserve"> siècle av. J.‑C. et jusqu'à l'époque romaine. Après les conquêtes d'Alexandre, la monnaie grecque a été utilisée dans tout l'Empire macédonien, des régions correspondant aujourd'hui à la Serbie et au Monténégro jusqu'au Pakistan. Il est très probable qu'elles ait également été utilisées en Judée pour le commerce.</w:t>
      </w:r>
    </w:p>
    <w:p>
      <w:r/>
      <w:r>
        <w:t>Les sicles étaient utilisés par Tyr et Sidon, les centres de commerce phéniciens. Les sicles ont eu un rôle important en tant que monnaie pendant la période perse. Ils ont continué à être une monnaie acceptée en Judée même après la conquête d'Alexandre. Le sicle typique de Sidon était en argent. Il portait une représentation des murs et fortifications du port de Sidon, avec un navire ancré et deux lions bondissants en arrière-plan. Le sicle typique de Tyr portait une représentation de la divinité Baal vêtu d'une robe et portant une tiare. Il chevauchait un cheval ailé avec une queue de poisson (ressemblant à un hippocampe) sur la mer. Il y avait un poisson ou un dauphin en dessous. Au revers de la pièce, se trouvait une chouette de type égyptien tournée vers la droite, ainsi qu'une houlette et un fléau, tous deux insignes royaux en Égypte. Le statère (ou tétradrachme) trouvé par le disciple Pierre dans la bouche d'un poisson et utilisé pour payer la taxe du Temple pour lui-même et pour Jésus était peut-être une pièce qui provenait de Tyr (</w:t>
      </w:r>
      <w:hyperlink r:id="rId9676">
        <w:r>
          <w:rPr>
            <w:color w:val="0000EE"/>
            <w:u w:val="single"/>
          </w:rPr>
          <w:t>Mt 17.27</w:t>
        </w:r>
      </w:hyperlink>
      <w:r>
        <w:t>).</w:t>
      </w:r>
    </w:p>
    <w:p>
      <w:r/>
      <w:r>
        <w:t>Le talent, qui représentait un certain poids d'or ou d'argent, était un moyen d'échange courant avant le développement de la monnaie. Pendant la période des Maccabées, Jean Hyrcan sauve la ville de Jérusalem de la destruction en 133 av. J.‑C. en payant une rançon à partir d'un trésor vieux de 900 ans conservé dans le sépulcre de David. Trois mille talents d'argent sont envoyés au roi séleucide Antiochos VII Sidêtês en échange de sa promesse de retirer ses troupes. Il est rapporté que le trésor pillé par les Romains au Temple en 66 apr. J.‑C. s'élevait à 17 talents. S'il s'agissait de talents d'or, cette somme représenterait l'équivalent du prix d'achat d'environ 15 grandes maisons dans une ville occidentale moderne.</w:t>
      </w:r>
    </w:p>
    <w:p>
      <w:pPr>
        <w:pStyle w:val="Heading3"/>
      </w:pPr>
      <w:r>
        <w:t>Les pièces de monnaie depuis les Maccabées jusqu'à Hérode Agrippa I</w:t>
      </w:r>
      <w:r>
        <w:rPr>
          <w:vertAlign w:val="superscript"/>
        </w:rPr>
        <w:t>er</w:t>
      </w:r>
    </w:p>
    <w:p>
      <w:r/>
      <w:r>
        <w:t>Même si une dynastie juive régnait en Terre sainte, il a fallu de nombreuses années avant qu'une monnaie d'origine juive ne soit frappée. Il est supposé que les habitants de Judée continuaient à utiliser les monnaies de Tyr, d'Égypte et de l'Empire séleucide pour leurs transactions commerciales. On pensait autrefois que les sicles d'argent portant des images d'un calice et d'une grappe de grenades provenaient du règne de Simon Maccabée (142–134 av. J.‑C.). Des découvertes archéologiques plus récentes prouvent que ces pièces datent de la première révolte juive (66–70 apr. J.‑C.).</w:t>
      </w:r>
    </w:p>
    <w:p>
      <w:r/>
      <w:r>
        <w:t xml:space="preserve">Lorsque le moment est venu de produire les premières pièces de monnaie juives, les graveurs se sont heurtés à plusieurs difficultés. Aucune installation de fabrication de pièces de monnaie n'était disponible et personne sur place n'était compétent en gravure de matrices et de représentations. À cette époque, les pièces de bonne qualité en circulation portaient l'effigie d'un roi ou d'une divinité. Pour les Juifs, s'inspirer de telles représentations aurait signifié enfreindre le deuxième commandement, « Tu </w:t>
      </w:r>
      <w:r>
        <w:t>ne te feras point d’image taillée</w:t>
      </w:r>
      <w:r>
        <w:t xml:space="preserve"> » (</w:t>
      </w:r>
      <w:hyperlink r:id="rId2674">
        <w:r>
          <w:rPr>
            <w:color w:val="0000EE"/>
            <w:u w:val="single"/>
          </w:rPr>
          <w:t>Ex 20.4</w:t>
        </w:r>
      </w:hyperlink>
      <w:r>
        <w:t>). Ce n'est que bien plus tard, à l'époque romaine, qu'une pièce a été frappée en Palestine qui portait l'effigie d'un empereur romain.</w:t>
      </w:r>
    </w:p>
    <w:p>
      <w:r/>
      <w:r>
        <w:t>La première monnaie de la dynastie hasmonéenne (le nom royal des Maccabées) était le petit lepton de bronze (pluriel : lepta) de Jean Hyrcan I (134–104 av. J.‑C.), fils de Simon Maccabée. Il y avait sur le dessus de la pièce deux cornes d'abondance et une grenade (le fruit du grenadier) entre elles. Cette image symbolisait la fertilité que Dieu avait accordée à la terre. Le revers de la pièce portait une inscription à l'intérieur d'une couronne de feuilles : « Jean le souverain sacrificateur et la communauté des Juifs ». Des lepta de bronze du règne d'Alexandre Jannée, fils d'Hyrcan I, ont été retrouvés en grand nombre. Ils étaient manifestement très utilisés pour les transactions au Temple, où les changeurs de monnaie convertissaient les pièces de monnaie païennes des adorateurs en visite en monnaie juive plus acceptable. Sans aucun doute, les lepta hasmonéens étaient les pièces dispersées par Jésus sur le pavé de la cour des Gentils lorsqu'il a renversé les tables des changeurs de monnaie (</w:t>
      </w:r>
      <w:hyperlink r:id="rId2385">
        <w:r>
          <w:rPr>
            <w:color w:val="0000EE"/>
            <w:u w:val="single"/>
          </w:rPr>
          <w:t>Mt 21.12</w:t>
        </w:r>
      </w:hyperlink>
      <w:r>
        <w:t xml:space="preserve"> ; </w:t>
      </w:r>
      <w:hyperlink r:id="rId12112">
        <w:r>
          <w:rPr>
            <w:color w:val="0000EE"/>
            <w:u w:val="single"/>
          </w:rPr>
          <w:t>Jn 2.15</w:t>
        </w:r>
      </w:hyperlink>
      <w:r>
        <w:t>). Le lepton en bronze ou en cuivre, qui valait 1/400 d'un sicle, est mentionné par Jésus à une autre occasion. En voyant une veuve donner deux lepta au trésor du Temple alors que des riches donnait beaucoup plus, Jésus déclare que la veuve a donné plus qu'eux, « car tous ont mis de leur superflu, mais elle a mis de son nécessaire, tout ce qu’elle possédait, tout ce qu’elle avait pour vivre » (</w:t>
      </w:r>
      <w:hyperlink r:id="rId12113">
        <w:r>
          <w:rPr>
            <w:color w:val="0000EE"/>
            <w:u w:val="single"/>
          </w:rPr>
          <w:t>Mc 12.44</w:t>
        </w:r>
      </w:hyperlink>
      <w:r>
        <w:t>).</w:t>
      </w:r>
    </w:p>
    <w:p>
      <w:r/>
      <w:r>
        <w:t xml:space="preserve">Hérode </w:t>
      </w:r>
      <w:r>
        <w:t>I</w:t>
      </w:r>
      <w:r>
        <w:rPr>
          <w:vertAlign w:val="superscript"/>
        </w:rPr>
        <w:t>er</w:t>
      </w:r>
      <w:r>
        <w:t xml:space="preserve"> (Hérode le Grand) arrive au pouvoir en Judée grâce au soutien de Marc Antoine. Il s'assure l'allégeance des Juifs pro-hasmonéens en épousant Mariamne, la petite-fille d'Hyrcan II, en 38 av. J.‑C. Hérode reçoit la permission de frapper ses propres pièces de monnaie en bronze. Même s'il a l'option d'innover, ses lepta suivent la tradition assez fidèlement. Ils portent une ancre et des lettres signifiant « du roi Hérode ». Sur le revers, il y a toujours les deux cornes d'abondance avec une grenade (ou un pavot) entre elles. Hérode frappe également de grandes pièces de bronze. Il y a ce qui semble être un casque macédonien sur le dessus de la pièce. Sur le revers, il y a un trépied élancé, accompagné d'une inscription du nom d'Hérode. Il utilise également des représentations de blé, d'aigles et de couronnes. Il n'émet aucune monnaie en argent. Il utilise plutôt des stocks de pièces d'argent en provenance de Tyr, de Syrie, d'Asie Mineure, de Grèce et de Rome.</w:t>
      </w:r>
    </w:p>
    <w:p>
      <w:r/>
      <w:r>
        <w:t>Après la mort d'Hérode en 4 av. J.‑C., son fils Hérode Archélaüs lui succède. Les lepta de cette période portent une grappe de raisins suspendue et une inscription grecque. Le revers porte un casque macédonien à deux plumes. Les raisins symbolisaient Israël en tant que vigne du Seigneur (</w:t>
      </w:r>
      <w:hyperlink r:id="rId12114">
        <w:r>
          <w:rPr>
            <w:color w:val="0000EE"/>
            <w:u w:val="single"/>
          </w:rPr>
          <w:t>Es 5</w:t>
        </w:r>
      </w:hyperlink>
      <w:r>
        <w:t>).</w:t>
      </w:r>
    </w:p>
    <w:p>
      <w:r/>
      <w:r>
        <w:t>Quand Hérode Antipas commence à régner, également en 4 av. J.‑C., il n'a aucune autorité en Judée ou en Samarie. Cette partie de l'ancien royaume juif est maintenant dirigée par des gouverneurs romains ou des procurateurs, nommés directement par l'empereur lui-même. Le procurateur romain de Judée le plus célèbre aujourd'hui est Ponce Pilate, qui a fait crucifier Jésus (26–36 apr. J.‑C.). Sa monnaie en bronze a ajouté des innovations osées. En effet, elles portaient des représentations d'objets religieux romains tels que la baguette de l'augure (ressemblant à une crosse de berger) et une sorte de louche qui était utilisée pour le bouillon préparé lors des sacrifices. Sur le revers, il y avait une couronne de feuilles qui entourait la date de règne de 30–31 apr. J.‑C. Les deux lepta mis dans le trésor du Temple (</w:t>
      </w:r>
      <w:hyperlink r:id="rId12115">
        <w:r>
          <w:rPr>
            <w:color w:val="0000EE"/>
            <w:u w:val="single"/>
          </w:rPr>
          <w:t>Lc 21.2</w:t>
        </w:r>
      </w:hyperlink>
      <w:r>
        <w:t>) pourraient avoir été des lepta frappés par Pilate ou par son prédécesseur. Il est cependant plus probable qu'il s'agissait de lepta hasmonéens d'Hyrcan ou de Jannée, qui n'étaient pas souillés par quelconque allusion au paganisme romain.</w:t>
      </w:r>
    </w:p>
    <w:p>
      <w:r/>
      <w:r>
        <w:t>Hérode Agrippa I</w:t>
      </w:r>
      <w:r>
        <w:rPr>
          <w:vertAlign w:val="superscript"/>
        </w:rPr>
        <w:t>er</w:t>
      </w:r>
      <w:r>
        <w:t xml:space="preserve"> (37–44 apr. J.‑C.), le petit-fils d'Hérode le Grand, a poursuivi la tradition familiale qui consistait à s'attirer les bonnes grâces du pouvoir romain. De nombreux lepta d'Hérode Agrippa ont été retrouvés. Le dessus de la pièce portait un parapluie conique à franges (qui symbolisait peut-être sa protection royale envers le peuple de Palestine) et une inscription grecque indiquant son règne. Il y avait au revers un bouquet de trois épis de blé liés et l'année de règne en légende.</w:t>
      </w:r>
    </w:p>
    <w:p>
      <w:pPr>
        <w:pStyle w:val="Heading3"/>
      </w:pPr>
      <w:r>
        <w:t>Les pièces de monnaie romaines à l'époque du Nouveau Testament</w:t>
      </w:r>
    </w:p>
    <w:p>
      <w:r/>
      <w:r>
        <w:t>L'as romain est entré en circulation vers 348 av. J.‑C. C'était une pièce de monnaie en bronze qui portait l'effigie d'un animal. Elle dérive son nom d'un poids standard qui pesait une livre romaine (324 grammes). À l'époque de la naissance du Christ, l'as romain destiné aux provinces asiatiques portait une effigie de l'empereur Auguste sur le dessus et une couronne de laurier au revers. Les romains utilisaient également le quadrant (ou quadrans), une pièce en bronze plus petite, qui valait un quart d'as (</w:t>
      </w:r>
      <w:hyperlink r:id="rId12116">
        <w:r>
          <w:rPr>
            <w:color w:val="0000EE"/>
            <w:u w:val="single"/>
          </w:rPr>
          <w:t>Mt 5.26</w:t>
        </w:r>
      </w:hyperlink>
      <w:r>
        <w:t>).</w:t>
      </w:r>
    </w:p>
    <w:p>
      <w:r/>
      <w:r>
        <w:t xml:space="preserve">Une autre nom de pièce de monnaie utilisée par les grecs était l'assarion. Cette pièce a été frappée pour la première fois au premier siècle av. J.‑C., mais était encore utilisée à l'époque chrétienne. L'une de ces pièces avait un sphinx ailé sur le dessus et une amphore au revers. La pièce décrite comme un « sou » dans la Louis Segond 1910 correspond à un assarion grec ou un as romain (voir </w:t>
      </w:r>
      <w:hyperlink r:id="rId11235">
        <w:r>
          <w:rPr>
            <w:color w:val="0000EE"/>
            <w:u w:val="single"/>
          </w:rPr>
          <w:t xml:space="preserve">Mt 10.29 ; </w:t>
        </w:r>
      </w:hyperlink>
      <w:hyperlink r:id="rId11326">
        <w:r>
          <w:rPr>
            <w:color w:val="0000EE"/>
            <w:u w:val="single"/>
          </w:rPr>
          <w:t>Lc 12.6</w:t>
        </w:r>
      </w:hyperlink>
      <w:r>
        <w:t xml:space="preserve">). Beaucoup de versions françaises ont traduit par « sou » car c'était une pièce de petite valeur traditionnellement en France, mais il ne fait aucun doute qu'il s'agit soit de l'as (voir Nouvelle Bible Segond) soit de l'assarion. En effet, assarion était le mot grec qui désignait l'as romain, mais il pouvait aussi désigner une version de l'as produite par les Grecs dont la valeur était légèrement inférieure. </w:t>
      </w:r>
    </w:p>
    <w:p>
      <w:r/>
      <w:r>
        <w:t>Le denier équivalait au salaire ordinaire d'une journée de travail d'ouvrier à l'époque du Nouveau Testament (NT). Dans la parabole des ouvriers, le maître accepte de payer à chaque homme un denier pour sa journée de travail (</w:t>
      </w:r>
      <w:hyperlink r:id="rId12117">
        <w:r>
          <w:rPr>
            <w:color w:val="0000EE"/>
            <w:u w:val="single"/>
          </w:rPr>
          <w:t>Mt 20.2</w:t>
        </w:r>
      </w:hyperlink>
      <w:r>
        <w:t>). Le bon Samaritain a payé deux deniers à l'aubergiste (</w:t>
      </w:r>
      <w:hyperlink r:id="rId12118">
        <w:r>
          <w:rPr>
            <w:color w:val="0000EE"/>
            <w:u w:val="single"/>
          </w:rPr>
          <w:t>Lc 10.35</w:t>
        </w:r>
      </w:hyperlink>
      <w:r>
        <w:t xml:space="preserve">). </w:t>
      </w:r>
    </w:p>
    <w:p>
      <w:r/>
      <w:r>
        <w:t>Le fait que le denier représentait le salaire d'une journée aide à mieux comprendre l'étonnement de Philippe lorsque, pour le tester, Jésus lui demande où ils pourraient acheter des pains pour nourrir 5 000 personnes. Philippe s'exclame que « deux cents deniers » ne suffiraient pas (</w:t>
      </w:r>
      <w:hyperlink r:id="rId12119">
        <w:r>
          <w:rPr>
            <w:color w:val="0000EE"/>
            <w:u w:val="single"/>
          </w:rPr>
          <w:t>Jn 6.7</w:t>
        </w:r>
      </w:hyperlink>
      <w:r>
        <w:t>). Cette somme représentait plus de six mois de travail.</w:t>
      </w:r>
    </w:p>
    <w:p>
      <w:r/>
      <w:r>
        <w:t>Bien entendu, la monnaie en argent et en or circulant en Palestine à l'époque de Christ et pour le reste du premier siècle apr. J.‑C. provenaient principalement de Rome. Cependant, les plus grandes pièces en argent, appelées tétradrachmes ou statères dans le NT, provenaient d'Égypte, de Phénicie et d'Antioche. La pièce en argent la plus fréquemment mentionnée dans le NT est le denier romain. Comme peu de drachmes ont été trouvées lors des fouilles datant du premier siècle, il est possible que le terme était le plus souvent utilisé en grec pour désigner le denier romain, qui était d'environ la même taille que la drachme grecque moyenne. En effet, peu de villes grecques étaient autorisées par leurs dirigeants romains à continuer à frapper des drachmes.</w:t>
      </w:r>
    </w:p>
    <w:p>
      <w:r/>
      <w:r>
        <w:t>César Auguste avait décrété que tous dans l'Empire romain devaient être recensés (</w:t>
      </w:r>
      <w:hyperlink r:id="rId2579">
        <w:r>
          <w:rPr>
            <w:color w:val="0000EE"/>
            <w:u w:val="single"/>
          </w:rPr>
          <w:t>Lc 2.1–2</w:t>
        </w:r>
      </w:hyperlink>
      <w:r>
        <w:t>). Ce recensement a eu lieu au temps de la naissance de Jésus (6 ou 5 av. J.‑C.). Pendant son long règne (27 av. J.‑C.–14 apr. J.‑C.), Auguste a autorisé la production d'une grande variété de deniers. Ils portaient généralement son effigie sur le dessus de la pièce et l'inscription « Auguste, fils du divin » (c'est-à-dire, fils de Jules César, qui avait été honoré comme divin par vote du Sénat romain).</w:t>
      </w:r>
    </w:p>
    <w:p>
      <w:r/>
      <w:r>
        <w:t xml:space="preserve">Dans </w:t>
      </w:r>
      <w:hyperlink r:id="rId12120">
        <w:r>
          <w:rPr>
            <w:color w:val="0000EE"/>
            <w:u w:val="single"/>
          </w:rPr>
          <w:t>Matthieu 22.19</w:t>
        </w:r>
      </w:hyperlink>
      <w:r>
        <w:t>, Jésus demande à ceux qui essaient de le piéger de lui montrer une pièce utilisée pour payer l'impôt aux autorités romaines. Ils lui donnent un denier portant le portrait et l'inscription de César (</w:t>
      </w:r>
      <w:hyperlink r:id="rId6697">
        <w:r>
          <w:rPr>
            <w:color w:val="0000EE"/>
            <w:u w:val="single"/>
          </w:rPr>
          <w:t>Mt 22.21</w:t>
        </w:r>
      </w:hyperlink>
      <w:r>
        <w:t>). Cette pièce était peut-être un denier d'Auguste, qui était mort environ seize ans auparavant, ou de Tibère (14–37 apr. J.‑C.), qui régnait alors. Le denier en argent de Tibère portait l'inscription « Tibère César Auguste, fils du divin Auguste ». Le revers montrait la grande prêtresse de l'ordre des vestales, torche flamboyante à la main, assise sur son trône et tournée vers la droite. Le titre « pontif(ex) maxim(us) » désignait Tibère plutôt que la prêtresse.</w:t>
      </w:r>
    </w:p>
    <w:p>
      <w:r/>
      <w:r>
        <w:rPr>
          <w:i/>
        </w:rPr>
        <w:t>Voir aussi</w:t>
      </w:r>
      <w:r>
        <w:t xml:space="preserve"> </w:t>
      </w:r>
      <w:r>
        <w:t>minéraux et métaux</w:t>
      </w:r>
      <w:r>
        <w:t xml:space="preserve"> ; </w:t>
      </w:r>
      <w:r>
        <w:t>argent</w:t>
      </w:r>
      <w:r>
        <w:t xml:space="preserve"> ; </w:t>
      </w:r>
      <w:r>
        <w:t>changeur de monnaie</w:t>
      </w:r>
      <w:r>
        <w:t>.</w:t>
      </w:r>
      <w:r/>
      <w:r/>
    </w:p>
    <w:p>
      <w:r/>
    </w:p>
    <w:p>
      <w:pPr>
        <w:pStyle w:val="Heading2"/>
      </w:pPr>
      <w:r>
        <w:t>PIERRE (Première Épître de)</w:t>
      </w:r>
      <w:r/>
    </w:p>
    <w:p>
      <w:r/>
      <w:r>
        <w:t>Première des deux épîtres générales écrites par l'apôtre Pierre.</w:t>
      </w:r>
    </w:p>
    <w:p>
      <w:r/>
      <w:r>
        <w:t>Sommaire</w:t>
      </w:r>
    </w:p>
    <w:p>
      <w:r/>
      <w:r>
        <w:t>• Auteur</w:t>
      </w:r>
    </w:p>
    <w:p>
      <w:r/>
      <w:r>
        <w:t>• Date de composition, origine et destinataires</w:t>
      </w:r>
    </w:p>
    <w:p>
      <w:r/>
      <w:r>
        <w:t>• Contexte</w:t>
      </w:r>
    </w:p>
    <w:p>
      <w:r/>
      <w:r>
        <w:t>• Objectif et enseignement théologique</w:t>
      </w:r>
    </w:p>
    <w:p>
      <w:r/>
      <w:r>
        <w:t>• Contenu</w:t>
      </w:r>
    </w:p>
    <w:p>
      <w:pPr>
        <w:pStyle w:val="Heading3"/>
      </w:pPr>
      <w:r>
        <w:t>Auteur</w:t>
      </w:r>
    </w:p>
    <w:p>
      <w:r/>
      <w:r>
        <w:t>L'auteur se présente comme l'apôtre Pierre (</w:t>
      </w:r>
      <w:hyperlink r:id="rId1404">
        <w:r>
          <w:rPr>
            <w:color w:val="0000EE"/>
            <w:u w:val="single"/>
          </w:rPr>
          <w:t>1P 1.1</w:t>
        </w:r>
      </w:hyperlink>
      <w:r>
        <w:t>) et l'un des témoins des souffrances du Christ (</w:t>
      </w:r>
      <w:hyperlink r:id="rId1971">
        <w:r>
          <w:rPr>
            <w:color w:val="0000EE"/>
            <w:u w:val="single"/>
          </w:rPr>
          <w:t>5.1</w:t>
        </w:r>
      </w:hyperlink>
      <w:r>
        <w:t>). C'est donc l'un des apôtres choisis à l'origine par Jésus, à qui il a donné l'autorité de parler en son nom (</w:t>
      </w:r>
      <w:hyperlink r:id="rId12121">
        <w:r>
          <w:rPr>
            <w:color w:val="0000EE"/>
            <w:u w:val="single"/>
          </w:rPr>
          <w:t>Mc 3.14–19</w:t>
        </w:r>
      </w:hyperlink>
      <w:r>
        <w:t>). Également appelé Simon et Céphas, Pierre a probablement vu et ressenti les dernières heures de souffrance de Jésus plus intensément que n'importe lequel des autres apôtres (</w:t>
      </w:r>
      <w:hyperlink r:id="rId12122">
        <w:r>
          <w:rPr>
            <w:color w:val="0000EE"/>
            <w:u w:val="single"/>
          </w:rPr>
          <w:t>14.54</w:t>
        </w:r>
      </w:hyperlink>
      <w:r>
        <w:t xml:space="preserve">) parce qu'il l'avait renié trois fois (v. </w:t>
      </w:r>
      <w:hyperlink r:id="rId12123">
        <w:r>
          <w:rPr>
            <w:color w:val="0000EE"/>
            <w:u w:val="single"/>
          </w:rPr>
          <w:t>66–72</w:t>
        </w:r>
      </w:hyperlink>
      <w:r>
        <w:t>). Dans 1 Pierre, les souffrances de Jésus sont mentionnées au moins quatre fois (</w:t>
      </w:r>
      <w:hyperlink r:id="rId4914">
        <w:r>
          <w:rPr>
            <w:color w:val="0000EE"/>
            <w:u w:val="single"/>
          </w:rPr>
          <w:t xml:space="preserve">1P 1.11 </w:t>
        </w:r>
      </w:hyperlink>
      <w:r>
        <w:t xml:space="preserve">; </w:t>
      </w:r>
      <w:hyperlink r:id="rId12124">
        <w:r>
          <w:rPr>
            <w:color w:val="0000EE"/>
            <w:u w:val="single"/>
          </w:rPr>
          <w:t xml:space="preserve">2.23 </w:t>
        </w:r>
      </w:hyperlink>
      <w:r>
        <w:t xml:space="preserve">; </w:t>
      </w:r>
      <w:hyperlink r:id="rId11895">
        <w:r>
          <w:rPr>
            <w:color w:val="0000EE"/>
            <w:u w:val="single"/>
          </w:rPr>
          <w:t xml:space="preserve">4.1 </w:t>
        </w:r>
      </w:hyperlink>
      <w:r>
        <w:t xml:space="preserve">; </w:t>
      </w:r>
      <w:hyperlink r:id="rId1971">
        <w:r>
          <w:rPr>
            <w:color w:val="0000EE"/>
            <w:u w:val="single"/>
          </w:rPr>
          <w:t>5.1</w:t>
        </w:r>
      </w:hyperlink>
      <w:r>
        <w:t>).</w:t>
      </w:r>
    </w:p>
    <w:p>
      <w:r/>
      <w:r>
        <w:t>Pierre était connu comme l'apôtre aux Juifs, tout comme Paul était l'apôtre aux Gentils (</w:t>
      </w:r>
      <w:hyperlink r:id="rId6738">
        <w:r>
          <w:rPr>
            <w:color w:val="0000EE"/>
            <w:u w:val="single"/>
          </w:rPr>
          <w:t>Ga 2.7</w:t>
        </w:r>
      </w:hyperlink>
      <w:r>
        <w:t>). Comme Pierre était un missionnaire itinérant (</w:t>
      </w:r>
      <w:hyperlink r:id="rId1011">
        <w:r>
          <w:rPr>
            <w:color w:val="0000EE"/>
            <w:u w:val="single"/>
          </w:rPr>
          <w:t xml:space="preserve">1Co 1.12 </w:t>
        </w:r>
      </w:hyperlink>
      <w:r>
        <w:t xml:space="preserve">; </w:t>
      </w:r>
      <w:hyperlink r:id="rId5817">
        <w:r>
          <w:rPr>
            <w:color w:val="0000EE"/>
            <w:u w:val="single"/>
          </w:rPr>
          <w:t>9.5</w:t>
        </w:r>
      </w:hyperlink>
      <w:r>
        <w:t>), il avait peut-être déjà rendu visite aux Églises d'Asie Mineure à qui il envoie cette lettre.</w:t>
      </w:r>
    </w:p>
    <w:p>
      <w:r/>
      <w:r>
        <w:t xml:space="preserve">Pierre a été avec Jésus pendant son ministère terrestre ; peut-être que cela peut expliquer la forte influence de l'enseignement du Christ dans cette lettre. À l'exception de Jacques, 1 Pierre reflète probablement plus les paroles de Jésus que toute autre lettre du NT. </w:t>
      </w:r>
    </w:p>
    <w:p>
      <w:r/>
      <w:r>
        <w:t>Certains érudits pensent que le grec de cette lettre est d'un trop bon niveau pour avoir été écrit par un ancien pêcheur dont la langue maternelle était l'araméen. Ils pensent aussi que la doctrine présentée dans la lettre ressemble trop à celle de Paul pour avoir été écrite par un apôtre dont la position était différente de celle de Paul. Ils en concluent donc que quelqu'un d'autre que Pierre a écrit cette lettre après sa mort et a utilisé son nom pour lui donner une autorité apostolique.</w:t>
      </w:r>
    </w:p>
    <w:p>
      <w:r/>
      <w:r>
        <w:t xml:space="preserve">D'autres érudits répondent que si l'auteur avait voulu donner de l'autorité à une lettre dont l'enseignement ressemble à celui de Paul, il aurait utilisé son nom plutôt que celui de Pierre. Ils répondent aussi que la plupart des Galiléens apprenaient probablement l'araméen </w:t>
      </w:r>
      <w:r>
        <w:rPr>
          <w:i/>
        </w:rPr>
        <w:t xml:space="preserve">et </w:t>
      </w:r>
      <w:r>
        <w:t>le grec dès leur plus jeune âge. Ils ajoutent qu'il n'y a aucune preuve de différence fondamentale entre les enseignements de Pierre et de Paul. Paul réprimande Pierre (</w:t>
      </w:r>
      <w:hyperlink r:id="rId8914">
        <w:r>
          <w:rPr>
            <w:color w:val="0000EE"/>
            <w:u w:val="single"/>
          </w:rPr>
          <w:t>Ga 2.11–14</w:t>
        </w:r>
      </w:hyperlink>
      <w:r>
        <w:t>) à cause d'un manquement temporaire dans sa conduite, pas à cause d'un désaccord doctrinal fondamental. De plus, certaines des doctrines clés de Paul sont absentes de 1 Pierre (p. ex. la justification). Les doctrines de 1 Pierre qui sont similaires à celles de Paul sont communes à toutes les premières Églises. Nous pouvons raisonnablement en conclure que l'apôtre Pierre a rédigé cette lettre. Cependant, il semble assez clair que Silas (appelé également Silvanus) l'a aidé à le faire (</w:t>
      </w:r>
      <w:hyperlink r:id="rId12125">
        <w:r>
          <w:rPr>
            <w:color w:val="0000EE"/>
            <w:u w:val="single"/>
          </w:rPr>
          <w:t>1P 5.12</w:t>
        </w:r>
      </w:hyperlink>
      <w:r>
        <w:t>). Ceci peut signifier que : (1) Silas a servi d'amanuensis (secrétaire) à Pierre et/ou (2) Silas a traduit la lettre que Pierre lui dictait en araméen vers le grec, ou (3) Silas a composé une lettre basée sur les pensées de Pierre.</w:t>
      </w:r>
    </w:p>
    <w:p>
      <w:pPr>
        <w:pStyle w:val="Heading3"/>
      </w:pPr>
      <w:r>
        <w:t>Date de composition, origine et destinataires</w:t>
      </w:r>
    </w:p>
    <w:p>
      <w:r/>
      <w:r>
        <w:t xml:space="preserve">Les personnes à qui la lettre de 1 Pierre est adressée vivaient </w:t>
      </w:r>
      <w:r>
        <w:t>dans le Pont, la Galatie, la Cappadoce, l'Asie et la Bithynie</w:t>
      </w:r>
      <w:r>
        <w:t>. Ces provinces romaines couvraient tout sauf la partie la plus au sud de l'Asie Mineure. Cela correspond à la majeure partie de la Turquie moderne.</w:t>
      </w:r>
    </w:p>
    <w:p>
      <w:r/>
      <w:r>
        <w:t xml:space="preserve">Le christianisme y avait peut-être été amené par des pèlerins juifs convertis à Jérusalem le jour de la Pentecôte (voir </w:t>
      </w:r>
      <w:hyperlink r:id="rId4597">
        <w:r>
          <w:rPr>
            <w:color w:val="0000EE"/>
            <w:u w:val="single"/>
          </w:rPr>
          <w:t>Ac 2.9</w:t>
        </w:r>
      </w:hyperlink>
      <w:r>
        <w:t>). Cependant, il est plus probable que ces Églises incluaient certaines des Églises fondées par Paul lors de ses premier et deuxième voyages missionnaires, ainsi que d'autres fondées par des missionnaires inconnus. Pierre ne s'inclut pas explicitement parmi « ceux qui vous ont prêché » (</w:t>
      </w:r>
      <w:hyperlink r:id="rId3096">
        <w:r>
          <w:rPr>
            <w:color w:val="0000EE"/>
            <w:u w:val="single"/>
          </w:rPr>
          <w:t>1P 1.12</w:t>
        </w:r>
      </w:hyperlink>
      <w:r>
        <w:t>).</w:t>
      </w:r>
    </w:p>
    <w:p>
      <w:r/>
      <w:r>
        <w:t xml:space="preserve">Il n'est pas clairement indiqué si les destinataires de la lettre étaient des chrétiens juifs ou des Gentils qui étaient païens avant de venir à la foi. </w:t>
      </w:r>
      <w:hyperlink r:id="rId1404">
        <w:r>
          <w:rPr>
            <w:color w:val="0000EE"/>
            <w:u w:val="single"/>
          </w:rPr>
          <w:t>1 Pierre 1.1</w:t>
        </w:r>
      </w:hyperlink>
      <w:r>
        <w:t xml:space="preserve"> les identifie ainsi : « </w:t>
      </w:r>
      <w:r>
        <w:t>à ceux qui sont étrangers et dispersés dans le Pont, la Galatie, la Cappadoce, l'Asie et la Bithynie »</w:t>
      </w:r>
      <w:r>
        <w:t xml:space="preserve">. Le verset </w:t>
      </w:r>
      <w:hyperlink r:id="rId12126">
        <w:r>
          <w:rPr>
            <w:color w:val="0000EE"/>
            <w:u w:val="single"/>
          </w:rPr>
          <w:t>1.17</w:t>
        </w:r>
      </w:hyperlink>
      <w:r>
        <w:t xml:space="preserve"> les décrit comme des </w:t>
      </w:r>
      <w:r>
        <w:t>pèlerins</w:t>
      </w:r>
      <w:r>
        <w:t xml:space="preserve"> et le verset </w:t>
      </w:r>
      <w:hyperlink r:id="rId5123">
        <w:r>
          <w:rPr>
            <w:color w:val="0000EE"/>
            <w:u w:val="single"/>
          </w:rPr>
          <w:t xml:space="preserve">2.11 </w:t>
        </w:r>
      </w:hyperlink>
      <w:r>
        <w:t xml:space="preserve">comme </w:t>
      </w:r>
      <w:r>
        <w:t>étrangers et voyageurs sur la terre. Cela indique que c'étaient dans un sens ou un autre</w:t>
      </w:r>
      <w:r>
        <w:t xml:space="preserve"> des exilés. C'étaient peut-être des Juifs littéralement exilés en dehors de la Palestine ou des exilés au sens spirituel comme le sont tous les croyants sur terre parce que leur véritable patrie est au ciel. Personne ne conteste qu'il y avait (et qu'il y a toujours) une dispersion juive (la Diaspora). Pierre considère peut-être l'Église comme le véritable Israël (voir </w:t>
      </w:r>
      <w:hyperlink r:id="rId3877">
        <w:r>
          <w:rPr>
            <w:color w:val="0000EE"/>
            <w:u w:val="single"/>
          </w:rPr>
          <w:t xml:space="preserve">Rm 2.29 </w:t>
        </w:r>
      </w:hyperlink>
      <w:r>
        <w:t xml:space="preserve">; </w:t>
      </w:r>
      <w:hyperlink r:id="rId11602">
        <w:r>
          <w:rPr>
            <w:color w:val="0000EE"/>
            <w:u w:val="single"/>
          </w:rPr>
          <w:t xml:space="preserve">Ga 6.16 </w:t>
        </w:r>
      </w:hyperlink>
      <w:r>
        <w:t xml:space="preserve">; </w:t>
      </w:r>
      <w:hyperlink r:id="rId2308">
        <w:r>
          <w:rPr>
            <w:color w:val="0000EE"/>
            <w:u w:val="single"/>
          </w:rPr>
          <w:t>Ph 3.3</w:t>
        </w:r>
      </w:hyperlink>
      <w:r>
        <w:t xml:space="preserve">) et transfère peut-être simplement le langage de l'exil de la nation d'Israël à l'Église. L'expression qui décrit les croyants dans </w:t>
      </w:r>
      <w:hyperlink r:id="rId5123">
        <w:r>
          <w:rPr>
            <w:color w:val="0000EE"/>
            <w:u w:val="single"/>
          </w:rPr>
          <w:t>1 Pierre 2.11</w:t>
        </w:r>
      </w:hyperlink>
      <w:r>
        <w:t xml:space="preserve"> est presque identique à celle que l'on trouve dans </w:t>
      </w:r>
      <w:hyperlink r:id="rId5122">
        <w:r>
          <w:rPr>
            <w:color w:val="0000EE"/>
            <w:u w:val="single"/>
          </w:rPr>
          <w:t>Hébreux 11.13</w:t>
        </w:r>
      </w:hyperlink>
      <w:r>
        <w:t xml:space="preserve"> (voir aussi </w:t>
      </w:r>
      <w:hyperlink r:id="rId5078">
        <w:r>
          <w:rPr>
            <w:color w:val="0000EE"/>
            <w:u w:val="single"/>
          </w:rPr>
          <w:t xml:space="preserve">Gn 23.4 </w:t>
        </w:r>
      </w:hyperlink>
      <w:r>
        <w:t xml:space="preserve">; </w:t>
      </w:r>
      <w:hyperlink r:id="rId5077">
        <w:r>
          <w:rPr>
            <w:color w:val="0000EE"/>
            <w:u w:val="single"/>
          </w:rPr>
          <w:t>Ps 39.12</w:t>
        </w:r>
      </w:hyperlink>
      <w:r>
        <w:t>).</w:t>
      </w:r>
    </w:p>
    <w:p>
      <w:r/>
      <w:r>
        <w:t xml:space="preserve">L'hypothèse a été proposée que la dispersion dont parle </w:t>
      </w:r>
      <w:hyperlink r:id="rId1404">
        <w:r>
          <w:rPr>
            <w:color w:val="0000EE"/>
            <w:u w:val="single"/>
          </w:rPr>
          <w:t>1 Pierre 1.1</w:t>
        </w:r>
      </w:hyperlink>
      <w:r>
        <w:t xml:space="preserve"> concerne des chrétiens (Juifs et Gentils), plutôt que des Juifs seulement. Un argument est avancé contre cette hypothèse : Pierre était spécifiquement l'apôtre aux Juifs (</w:t>
      </w:r>
      <w:hyperlink r:id="rId6738">
        <w:r>
          <w:rPr>
            <w:color w:val="0000EE"/>
            <w:u w:val="single"/>
          </w:rPr>
          <w:t>Ga 2.7</w:t>
        </w:r>
      </w:hyperlink>
      <w:r>
        <w:t>) et l'utilisation très fréquente de l'Ancien Testament dans cette épître exige des lecteurs juifs. Cependant, plusieurs passages démontrent que le ministère de Pierre n'était pas exclusivement limité aux Juifs (</w:t>
      </w:r>
      <w:hyperlink r:id="rId1011">
        <w:r>
          <w:rPr>
            <w:color w:val="0000EE"/>
            <w:u w:val="single"/>
          </w:rPr>
          <w:t xml:space="preserve">1Co 1.12 </w:t>
        </w:r>
      </w:hyperlink>
      <w:r>
        <w:t xml:space="preserve">; </w:t>
      </w:r>
      <w:hyperlink r:id="rId6999">
        <w:r>
          <w:rPr>
            <w:color w:val="0000EE"/>
            <w:u w:val="single"/>
          </w:rPr>
          <w:t>Ga 2.12</w:t>
        </w:r>
      </w:hyperlink>
      <w:r>
        <w:t xml:space="preserve">). De plus, l'utilisation de l'AT dans sa lettre ne devrait pas surprendre, même si les destinataires n'étaient pas des Juifs. En effet, beaucoup de Gentils s'étaient d'abord convertis au judaïsme (comme Corneille, </w:t>
      </w:r>
      <w:hyperlink r:id="rId2247">
        <w:r>
          <w:rPr>
            <w:color w:val="0000EE"/>
            <w:u w:val="single"/>
          </w:rPr>
          <w:t>Ac 10.2</w:t>
        </w:r>
      </w:hyperlink>
      <w:r>
        <w:t>) et connaissaient bien l'AT.</w:t>
      </w:r>
    </w:p>
    <w:p>
      <w:r/>
      <w:r>
        <w:t xml:space="preserve">La question de l'identité juive ou principalement non-juive des destinataires de 1 Pierre trouve sa réponse dans plusieurs passages de la lettre qui montrent leur arrière-plan païen. </w:t>
      </w:r>
      <w:hyperlink r:id="rId12127">
        <w:r>
          <w:rPr>
            <w:color w:val="0000EE"/>
            <w:u w:val="single"/>
          </w:rPr>
          <w:t>1 Pierre 2.10</w:t>
        </w:r>
      </w:hyperlink>
      <w:r>
        <w:t xml:space="preserve"> dit qu'autrefois, ils n'étaient « pas un peuple », une allusion à </w:t>
      </w:r>
      <w:hyperlink r:id="rId12128">
        <w:r>
          <w:rPr>
            <w:color w:val="0000EE"/>
            <w:u w:val="single"/>
          </w:rPr>
          <w:t>Osée 2.23</w:t>
        </w:r>
      </w:hyperlink>
      <w:r>
        <w:t xml:space="preserve"> (Lo-Ammi signifie « pas mon peuple », voir </w:t>
      </w:r>
      <w:hyperlink r:id="rId12129">
        <w:r>
          <w:rPr>
            <w:color w:val="0000EE"/>
            <w:u w:val="single"/>
          </w:rPr>
          <w:t>Rm 9.25</w:t>
        </w:r>
      </w:hyperlink>
      <w:r>
        <w:t xml:space="preserve">). </w:t>
      </w:r>
      <w:hyperlink r:id="rId12130">
        <w:r>
          <w:rPr>
            <w:color w:val="0000EE"/>
            <w:u w:val="single"/>
          </w:rPr>
          <w:t>1 Pierre 4.3</w:t>
        </w:r>
      </w:hyperlink>
      <w:r>
        <w:t xml:space="preserve"> décrit leur conduite passée comme marcher « </w:t>
      </w:r>
      <w:r>
        <w:t>dans la dissolution, les convoitises, l'ivrognerie, les excès du manger et du boire, et les idolâtries criminelles »</w:t>
      </w:r>
      <w:r>
        <w:t>. Cela ne décrirait pas des Juifs incroyants, dont les problèmes spirituels n'étaient pas l'immoralité, mais plutôt l'hypocrisie et le légalisme. La conclusion est que les destinataires de cette lettre devaient inclure de nombreux chrétiens gentils en Asie Mineure, que Pierre décrit comme des étrangers et des exilés dans le monde.</w:t>
      </w:r>
    </w:p>
    <w:p>
      <w:r/>
      <w:r>
        <w:t xml:space="preserve">La plupart des érudits pensent que cette épître a été écrite à Rome. Un indice en est donné dans </w:t>
      </w:r>
      <w:hyperlink r:id="rId7123">
        <w:r>
          <w:rPr>
            <w:color w:val="0000EE"/>
            <w:u w:val="single"/>
          </w:rPr>
          <w:t>5.13</w:t>
        </w:r>
      </w:hyperlink>
      <w:r>
        <w:t xml:space="preserve"> : « </w:t>
      </w:r>
      <w:r>
        <w:t>L'Église des élus qui est à Babylone vous salue »</w:t>
      </w:r>
      <w:r>
        <w:t xml:space="preserve">. Babylone était devenue le symbole d'une grande ville puissante et maléfique. Ce nom était donc utilisé comme une sorte de nom de code pour parler de Rome dans beaucoup d'écrits chrétiens anciens (p. ex. </w:t>
      </w:r>
      <w:hyperlink r:id="rId6708">
        <w:r>
          <w:rPr>
            <w:color w:val="0000EE"/>
            <w:u w:val="single"/>
          </w:rPr>
          <w:t xml:space="preserve">Ap 14.8 </w:t>
        </w:r>
      </w:hyperlink>
      <w:r>
        <w:t xml:space="preserve">; </w:t>
      </w:r>
      <w:hyperlink r:id="rId3461">
        <w:r>
          <w:rPr>
            <w:color w:val="0000EE"/>
            <w:u w:val="single"/>
          </w:rPr>
          <w:t xml:space="preserve">16.19 </w:t>
        </w:r>
      </w:hyperlink>
      <w:r>
        <w:t xml:space="preserve">; </w:t>
      </w:r>
      <w:hyperlink r:id="rId10531">
        <w:r>
          <w:rPr>
            <w:color w:val="0000EE"/>
            <w:u w:val="single"/>
          </w:rPr>
          <w:t xml:space="preserve">17.5 </w:t>
        </w:r>
      </w:hyperlink>
      <w:r>
        <w:t xml:space="preserve">; </w:t>
      </w:r>
      <w:hyperlink r:id="rId12131">
        <w:r>
          <w:rPr>
            <w:color w:val="0000EE"/>
            <w:u w:val="single"/>
          </w:rPr>
          <w:t xml:space="preserve">18.2, 10, 21 </w:t>
        </w:r>
      </w:hyperlink>
      <w:r>
        <w:t>; voir aussi Oracles sybillins 5.143, 159).</w:t>
      </w:r>
    </w:p>
    <w:p>
      <w:r/>
      <w:r>
        <w:t>1 Pierre a probablement été composée en 64 ou 65 apr. J.-C. (voir la section suivante).</w:t>
      </w:r>
    </w:p>
    <w:p>
      <w:pPr>
        <w:pStyle w:val="Heading3"/>
      </w:pPr>
      <w:r>
        <w:t>Contexte</w:t>
      </w:r>
    </w:p>
    <w:p>
      <w:r/>
      <w:r>
        <w:t>D'autres livres du NT abordent parfois le fait que chrétiens traversent des épreuves et souffrent, mais dans 1 Pierre, c'est le sujet principal. Il est souvent question de comment les chrétiens doivent se comporter lorsqu'ils sont maltraités (</w:t>
      </w:r>
      <w:hyperlink r:id="rId12132">
        <w:r>
          <w:rPr>
            <w:color w:val="0000EE"/>
            <w:u w:val="single"/>
          </w:rPr>
          <w:t xml:space="preserve">1P 1.3–7 </w:t>
        </w:r>
      </w:hyperlink>
      <w:r>
        <w:t xml:space="preserve">; </w:t>
      </w:r>
      <w:hyperlink r:id="rId12133">
        <w:r>
          <w:rPr>
            <w:color w:val="0000EE"/>
            <w:u w:val="single"/>
          </w:rPr>
          <w:t xml:space="preserve">2.12, 20–23 </w:t>
        </w:r>
      </w:hyperlink>
      <w:r>
        <w:t xml:space="preserve">; </w:t>
      </w:r>
      <w:hyperlink r:id="rId12134">
        <w:r>
          <w:rPr>
            <w:color w:val="0000EE"/>
            <w:u w:val="single"/>
          </w:rPr>
          <w:t xml:space="preserve">3.13–17 </w:t>
        </w:r>
      </w:hyperlink>
      <w:r>
        <w:t xml:space="preserve">; </w:t>
      </w:r>
      <w:hyperlink r:id="rId12135">
        <w:r>
          <w:rPr>
            <w:color w:val="0000EE"/>
            <w:u w:val="single"/>
          </w:rPr>
          <w:t xml:space="preserve">4.12–19 </w:t>
        </w:r>
      </w:hyperlink>
      <w:r>
        <w:t xml:space="preserve">; </w:t>
      </w:r>
      <w:hyperlink r:id="rId12136">
        <w:r>
          <w:rPr>
            <w:color w:val="0000EE"/>
            <w:u w:val="single"/>
          </w:rPr>
          <w:t>5.9–10</w:t>
        </w:r>
      </w:hyperlink>
      <w:r>
        <w:t>). Il n'est pas certain qu'ils étaient particulièrement victimes de persécution officielle de la part des autorités. Les abus contre les chrétiens semblaient être ordinaires partout (</w:t>
      </w:r>
      <w:hyperlink r:id="rId5788">
        <w:r>
          <w:rPr>
            <w:color w:val="0000EE"/>
            <w:u w:val="single"/>
          </w:rPr>
          <w:t>5.9</w:t>
        </w:r>
      </w:hyperlink>
      <w:r>
        <w:t>). Des maîtres cruels maltraitaient parfois leurs serviteurs chrétiens (</w:t>
      </w:r>
      <w:hyperlink r:id="rId12137">
        <w:r>
          <w:rPr>
            <w:color w:val="0000EE"/>
            <w:u w:val="single"/>
          </w:rPr>
          <w:t>2.18–20</w:t>
        </w:r>
      </w:hyperlink>
      <w:r>
        <w:t>). Des épouses chrétiennes devaient parfois endurer des maris durs et incroyants (</w:t>
      </w:r>
      <w:hyperlink r:id="rId12138">
        <w:r>
          <w:rPr>
            <w:color w:val="0000EE"/>
            <w:u w:val="single"/>
          </w:rPr>
          <w:t>3.1–6</w:t>
        </w:r>
      </w:hyperlink>
      <w:r>
        <w:t>). Souvent, certains essayaient de trouver des raisons d'accuser les chrétiens (à tort) d'être des malfaiteurs (</w:t>
      </w:r>
      <w:hyperlink r:id="rId12139">
        <w:r>
          <w:rPr>
            <w:color w:val="0000EE"/>
            <w:u w:val="single"/>
          </w:rPr>
          <w:t xml:space="preserve">2.12 </w:t>
        </w:r>
      </w:hyperlink>
      <w:r>
        <w:t xml:space="preserve">; </w:t>
      </w:r>
      <w:hyperlink r:id="rId12140">
        <w:r>
          <w:rPr>
            <w:color w:val="0000EE"/>
            <w:u w:val="single"/>
          </w:rPr>
          <w:t xml:space="preserve">3.9, 16 </w:t>
        </w:r>
      </w:hyperlink>
      <w:r>
        <w:t xml:space="preserve">; </w:t>
      </w:r>
      <w:hyperlink r:id="rId12141">
        <w:r>
          <w:rPr>
            <w:color w:val="0000EE"/>
            <w:u w:val="single"/>
          </w:rPr>
          <w:t>4.15–16</w:t>
        </w:r>
      </w:hyperlink>
      <w:r>
        <w:t>).</w:t>
      </w:r>
    </w:p>
    <w:p>
      <w:r/>
      <w:r>
        <w:t>Même si une persécution systématique de la part des autorités n'est pas la préoccupation de Pierre, la lettre semble indiquer que quelque chose de pire allait arriver (</w:t>
      </w:r>
      <w:hyperlink r:id="rId12135">
        <w:r>
          <w:rPr>
            <w:color w:val="0000EE"/>
            <w:u w:val="single"/>
          </w:rPr>
          <w:t>4.12–19</w:t>
        </w:r>
      </w:hyperlink>
      <w:r>
        <w:t>). L'apôtre redoute apparemment que la tension entre les croyants et la société n'empire.</w:t>
      </w:r>
    </w:p>
    <w:p>
      <w:r/>
      <w:r>
        <w:t xml:space="preserve">Selon la tradition de l'Église des premiers siècles, Pierre a été crucifié à Rome pendant la persécution de Néron. Il n'y a aucune bonne raison d'en douter. Cette épître a été écrite depuis Rome et que </w:t>
      </w:r>
      <w:hyperlink r:id="rId2232">
        <w:r>
          <w:rPr>
            <w:color w:val="0000EE"/>
            <w:u w:val="single"/>
          </w:rPr>
          <w:t>4.12</w:t>
        </w:r>
      </w:hyperlink>
      <w:r>
        <w:t xml:space="preserve"> et </w:t>
      </w:r>
      <w:hyperlink r:id="rId8478">
        <w:r>
          <w:rPr>
            <w:color w:val="0000EE"/>
            <w:u w:val="single"/>
          </w:rPr>
          <w:t>17</w:t>
        </w:r>
      </w:hyperlink>
      <w:r>
        <w:t xml:space="preserve"> impliquent une crise imminente comme celle des chrétiens à Rome en 65 apr. J.-C. Nous pouvons donc supposer qu'elle a été écrite peu de temps avant le début de la persécution des chrétiens par Néron à Rome. </w:t>
      </w:r>
    </w:p>
    <w:p>
      <w:r/>
      <w:r>
        <w:t xml:space="preserve">Selon l'historien Tacite, Néron a blâmé les chrétiens pour l'incendie de Rome pour étouffer la rumeur selon laquelle il l'aurait lui-même provoqué (avec pour objectif de pouvoir construire une plus grande ville). Sa persécution implacable des chrétiens n'avait pas encore commencé lorsque cette épître a été écrite (voir </w:t>
      </w:r>
      <w:hyperlink r:id="rId6094">
        <w:r>
          <w:rPr>
            <w:color w:val="0000EE"/>
            <w:u w:val="single"/>
          </w:rPr>
          <w:t xml:space="preserve">2.14 </w:t>
        </w:r>
      </w:hyperlink>
      <w:r>
        <w:t xml:space="preserve">; </w:t>
      </w:r>
      <w:hyperlink r:id="rId12142">
        <w:r>
          <w:rPr>
            <w:color w:val="0000EE"/>
            <w:u w:val="single"/>
          </w:rPr>
          <w:t>3.13</w:t>
        </w:r>
      </w:hyperlink>
      <w:r>
        <w:t>). Toutefois, Pierre avait peut-être anticipé cette persécution et voulait peut-être préparer les Églises en dehors de Rome, au cas où la persécution les atteindrait également. La persécution de Néron n'a apparemment pas affecté les chrétiens dans les provinces en dehors de Rome. Toutefois, cela ne diminue pas la valeur de la lettre de Pierre, car elle enseigne principalement la manière dont les chrétiens doivent se comporter dans la société et la bonne façon de réagir aux abus et à la souffrance.</w:t>
      </w:r>
    </w:p>
    <w:p>
      <w:r/>
      <w:r>
        <w:t>Si cette analyse du contexte de 1 Pierre est correcte, sa date de composition doit être au début ou au milieu des années 60. En effet, l'incendie de Rome a éclaté le 19 juillet 64 apr. J.-C., et la persécution a eu lieu plus tard cette année-là, ou au printemps 65.</w:t>
      </w:r>
    </w:p>
    <w:p>
      <w:pPr>
        <w:pStyle w:val="Heading3"/>
      </w:pPr>
      <w:r>
        <w:t>Objectif et enseignement théologique</w:t>
      </w:r>
    </w:p>
    <w:p>
      <w:r/>
      <w:r>
        <w:t>Le principal objectif de 1 Pierre est d'exhorter les chrétiens à bien se conduire entre eux (</w:t>
      </w:r>
      <w:hyperlink r:id="rId12143">
        <w:r>
          <w:rPr>
            <w:color w:val="0000EE"/>
            <w:u w:val="single"/>
          </w:rPr>
          <w:t xml:space="preserve">3.8 </w:t>
        </w:r>
      </w:hyperlink>
      <w:r>
        <w:t xml:space="preserve">; </w:t>
      </w:r>
      <w:hyperlink r:id="rId12144">
        <w:r>
          <w:rPr>
            <w:color w:val="0000EE"/>
            <w:u w:val="single"/>
          </w:rPr>
          <w:t>5.1–7</w:t>
        </w:r>
      </w:hyperlink>
      <w:r>
        <w:t>) mais surtout dans la société et envers les non-chrétiens (</w:t>
      </w:r>
      <w:hyperlink r:id="rId12139">
        <w:r>
          <w:rPr>
            <w:color w:val="0000EE"/>
            <w:u w:val="single"/>
          </w:rPr>
          <w:t>2.12</w:t>
        </w:r>
      </w:hyperlink>
      <w:r>
        <w:t>). Ils doivent ainsi rendre témoignage de leur espérance en Christ à la gloire de Dieu (</w:t>
      </w:r>
      <w:hyperlink r:id="rId12145">
        <w:r>
          <w:rPr>
            <w:color w:val="0000EE"/>
            <w:u w:val="single"/>
          </w:rPr>
          <w:t>3.1, 15</w:t>
        </w:r>
      </w:hyperlink>
      <w:r>
        <w:t>). La lettre vise à aider les chrétiens à comprendre et à endurer les abus qui sont fréquents dans les rapports avec les non-chrétiens (</w:t>
      </w:r>
      <w:hyperlink r:id="rId12146">
        <w:r>
          <w:rPr>
            <w:color w:val="0000EE"/>
            <w:u w:val="single"/>
          </w:rPr>
          <w:t xml:space="preserve">1.6–7 </w:t>
        </w:r>
      </w:hyperlink>
      <w:r>
        <w:t xml:space="preserve">; </w:t>
      </w:r>
      <w:hyperlink r:id="rId12147">
        <w:r>
          <w:rPr>
            <w:color w:val="0000EE"/>
            <w:u w:val="single"/>
          </w:rPr>
          <w:t xml:space="preserve">2.12, 18–25 </w:t>
        </w:r>
      </w:hyperlink>
      <w:r>
        <w:t xml:space="preserve">; </w:t>
      </w:r>
      <w:hyperlink r:id="rId12148">
        <w:r>
          <w:rPr>
            <w:color w:val="0000EE"/>
            <w:u w:val="single"/>
          </w:rPr>
          <w:t xml:space="preserve">3.9, 14–17 </w:t>
        </w:r>
      </w:hyperlink>
      <w:r>
        <w:t xml:space="preserve">; </w:t>
      </w:r>
      <w:hyperlink r:id="rId12149">
        <w:r>
          <w:rPr>
            <w:color w:val="0000EE"/>
            <w:u w:val="single"/>
          </w:rPr>
          <w:t xml:space="preserve">4.1–5, 12–19 </w:t>
        </w:r>
      </w:hyperlink>
      <w:r>
        <w:t xml:space="preserve">; </w:t>
      </w:r>
      <w:hyperlink r:id="rId12150">
        <w:r>
          <w:rPr>
            <w:color w:val="0000EE"/>
            <w:u w:val="single"/>
          </w:rPr>
          <w:t>5.8–10</w:t>
        </w:r>
      </w:hyperlink>
      <w:r>
        <w:t>).</w:t>
      </w:r>
    </w:p>
    <w:p>
      <w:r/>
      <w:r>
        <w:t>L'exhortation de Pierre se base sur la Bonne Nouvelle du salut de Dieu par la mort, la résurrection et le retour de Christ. Dieu est miséricordieux (</w:t>
      </w:r>
      <w:hyperlink r:id="rId5186">
        <w:r>
          <w:rPr>
            <w:color w:val="0000EE"/>
            <w:u w:val="single"/>
          </w:rPr>
          <w:t xml:space="preserve">1.3 </w:t>
        </w:r>
      </w:hyperlink>
      <w:r>
        <w:t xml:space="preserve">; </w:t>
      </w:r>
      <w:hyperlink r:id="rId12127">
        <w:r>
          <w:rPr>
            <w:color w:val="0000EE"/>
            <w:u w:val="single"/>
          </w:rPr>
          <w:t>2.10</w:t>
        </w:r>
      </w:hyperlink>
      <w:r>
        <w:t>) et « le Dieu de toute grâce » (</w:t>
      </w:r>
      <w:hyperlink r:id="rId12151">
        <w:r>
          <w:rPr>
            <w:color w:val="0000EE"/>
            <w:u w:val="single"/>
          </w:rPr>
          <w:t>5.10</w:t>
        </w:r>
      </w:hyperlink>
      <w:hyperlink r:id="rId12152">
        <w:r>
          <w:rPr>
            <w:color w:val="0000EE"/>
            <w:u w:val="single"/>
          </w:rPr>
          <w:t xml:space="preserve"> </w:t>
        </w:r>
      </w:hyperlink>
      <w:r>
        <w:t xml:space="preserve">; </w:t>
      </w:r>
      <w:hyperlink r:id="rId12125">
        <w:r>
          <w:rPr>
            <w:color w:val="0000EE"/>
            <w:u w:val="single"/>
          </w:rPr>
          <w:t>5.12</w:t>
        </w:r>
      </w:hyperlink>
      <w:r>
        <w:t>). L'espérance du chrétien est la manifestation ultime de la grâce au retour de Christ (</w:t>
      </w:r>
      <w:hyperlink r:id="rId12153">
        <w:r>
          <w:rPr>
            <w:color w:val="0000EE"/>
            <w:u w:val="single"/>
          </w:rPr>
          <w:t>1.13</w:t>
        </w:r>
      </w:hyperlink>
      <w:r>
        <w:t>). Dieu a connu d'avance et déterminé (</w:t>
      </w:r>
      <w:hyperlink r:id="rId12154">
        <w:r>
          <w:rPr>
            <w:color w:val="0000EE"/>
            <w:u w:val="single"/>
          </w:rPr>
          <w:t xml:space="preserve">1.2, 20 </w:t>
        </w:r>
      </w:hyperlink>
      <w:r>
        <w:t xml:space="preserve">; </w:t>
      </w:r>
      <w:hyperlink r:id="rId11002">
        <w:r>
          <w:rPr>
            <w:color w:val="0000EE"/>
            <w:u w:val="single"/>
          </w:rPr>
          <w:t>2.8</w:t>
        </w:r>
      </w:hyperlink>
      <w:r>
        <w:t>) un plan de rédemption pour créer un peuple saint qui lui appartienne (</w:t>
      </w:r>
      <w:hyperlink r:id="rId12155">
        <w:r>
          <w:rPr>
            <w:color w:val="0000EE"/>
            <w:u w:val="single"/>
          </w:rPr>
          <w:t>2.9–10</w:t>
        </w:r>
      </w:hyperlink>
      <w:r>
        <w:t>). Christ a donc été envoyé dans le monde pour réaliser cette rédemption pour le bien des élus de Dieu (</w:t>
      </w:r>
      <w:hyperlink r:id="rId12156">
        <w:r>
          <w:rPr>
            <w:color w:val="0000EE"/>
            <w:u w:val="single"/>
          </w:rPr>
          <w:t>1.20</w:t>
        </w:r>
      </w:hyperlink>
      <w:r>
        <w:t>). Il est la pierre maîtresse sur laquelle Dieu construit l'Église, « choisie et précieuse devant Dieu » mais « rejetée par les hommes » (</w:t>
      </w:r>
      <w:hyperlink r:id="rId12157">
        <w:r>
          <w:rPr>
            <w:color w:val="0000EE"/>
            <w:u w:val="single"/>
          </w:rPr>
          <w:t>2.4</w:t>
        </w:r>
      </w:hyperlink>
      <w:r>
        <w:t xml:space="preserve">) qui n'ont pas cru en lui (v. </w:t>
      </w:r>
      <w:hyperlink r:id="rId12158">
        <w:r>
          <w:rPr>
            <w:color w:val="0000EE"/>
            <w:u w:val="single"/>
          </w:rPr>
          <w:t>7</w:t>
        </w:r>
      </w:hyperlink>
      <w:r>
        <w:t>). Cependant, ses souffrances (</w:t>
      </w:r>
      <w:hyperlink r:id="rId4914">
        <w:r>
          <w:rPr>
            <w:color w:val="0000EE"/>
            <w:u w:val="single"/>
          </w:rPr>
          <w:t xml:space="preserve">1.11 </w:t>
        </w:r>
      </w:hyperlink>
      <w:r>
        <w:t xml:space="preserve">; </w:t>
      </w:r>
      <w:hyperlink r:id="rId12159">
        <w:r>
          <w:rPr>
            <w:color w:val="0000EE"/>
            <w:u w:val="single"/>
          </w:rPr>
          <w:t xml:space="preserve">4.1, 13 </w:t>
        </w:r>
      </w:hyperlink>
      <w:r>
        <w:t xml:space="preserve">; </w:t>
      </w:r>
      <w:hyperlink r:id="rId1971">
        <w:r>
          <w:rPr>
            <w:color w:val="0000EE"/>
            <w:u w:val="single"/>
          </w:rPr>
          <w:t>5.1</w:t>
        </w:r>
      </w:hyperlink>
      <w:r>
        <w:t>) n'ont pas été une tragédie dénuée de sens. Elles étaient pour le bien de son peuple (</w:t>
      </w:r>
      <w:hyperlink r:id="rId12160">
        <w:r>
          <w:rPr>
            <w:color w:val="0000EE"/>
            <w:u w:val="single"/>
          </w:rPr>
          <w:t xml:space="preserve">2.21, 24 </w:t>
        </w:r>
      </w:hyperlink>
      <w:r>
        <w:t xml:space="preserve">; </w:t>
      </w:r>
      <w:hyperlink r:id="rId2306">
        <w:r>
          <w:rPr>
            <w:color w:val="0000EE"/>
            <w:u w:val="single"/>
          </w:rPr>
          <w:t>3.18</w:t>
        </w:r>
      </w:hyperlink>
      <w:r>
        <w:t>), afin de les racheter par son sang précieux de leur vaine manière de vivre (</w:t>
      </w:r>
      <w:hyperlink r:id="rId8437">
        <w:r>
          <w:rPr>
            <w:color w:val="0000EE"/>
            <w:u w:val="single"/>
          </w:rPr>
          <w:t>1.18–19</w:t>
        </w:r>
      </w:hyperlink>
      <w:r>
        <w:t>).</w:t>
      </w:r>
    </w:p>
    <w:p>
      <w:r/>
      <w:r>
        <w:t>Mis à mort quant à la chair, il a été « rendu vivant quant à l'Esprit » (</w:t>
      </w:r>
      <w:hyperlink r:id="rId2306">
        <w:r>
          <w:rPr>
            <w:color w:val="0000EE"/>
            <w:u w:val="single"/>
          </w:rPr>
          <w:t>3.18</w:t>
        </w:r>
      </w:hyperlink>
      <w:r>
        <w:t>). Ressuscité des morts et glorifié (</w:t>
      </w:r>
      <w:hyperlink r:id="rId12161">
        <w:r>
          <w:rPr>
            <w:color w:val="0000EE"/>
            <w:u w:val="single"/>
          </w:rPr>
          <w:t xml:space="preserve">1.21 </w:t>
        </w:r>
      </w:hyperlink>
      <w:r>
        <w:t xml:space="preserve">; </w:t>
      </w:r>
      <w:hyperlink r:id="rId12158">
        <w:r>
          <w:rPr>
            <w:color w:val="0000EE"/>
            <w:u w:val="single"/>
          </w:rPr>
          <w:t>2.7</w:t>
        </w:r>
      </w:hyperlink>
      <w:r>
        <w:t>), il est assis à la droite de Dieu, la place où demeure l'autorité (</w:t>
      </w:r>
      <w:hyperlink r:id="rId1339">
        <w:r>
          <w:rPr>
            <w:color w:val="0000EE"/>
            <w:u w:val="single"/>
          </w:rPr>
          <w:t>3.22</w:t>
        </w:r>
      </w:hyperlink>
      <w:r>
        <w:t>). De plus, nous devons essayer d'expliquer le lien entre la Bonne Nouvelle du salut que Dieu a rendu disponible et notre bonne conduite. La Bonne Nouvelle doit être proclamée pour pouvoir changer la vie de ceux qui l'entendent. Cette proclamation se fait par la puissance du Saint-Esprit de Dieu (</w:t>
      </w:r>
      <w:hyperlink r:id="rId3096">
        <w:r>
          <w:rPr>
            <w:color w:val="0000EE"/>
            <w:u w:val="single"/>
          </w:rPr>
          <w:t>1.12</w:t>
        </w:r>
      </w:hyperlink>
      <w:r>
        <w:t>). Ce n'est pas simplement un « bulletin d'information » mais « la parole vivante et permanente de Dieu » (</w:t>
      </w:r>
      <w:hyperlink r:id="rId12162">
        <w:r>
          <w:rPr>
            <w:color w:val="0000EE"/>
            <w:u w:val="single"/>
          </w:rPr>
          <w:t xml:space="preserve">1.23 </w:t>
        </w:r>
      </w:hyperlink>
      <w:r>
        <w:t xml:space="preserve">; voir aussi </w:t>
      </w:r>
      <w:hyperlink r:id="rId12163">
        <w:r>
          <w:rPr>
            <w:color w:val="0000EE"/>
            <w:u w:val="single"/>
          </w:rPr>
          <w:t>4.11</w:t>
        </w:r>
      </w:hyperlink>
      <w:r>
        <w:t xml:space="preserve">). Par la Bonne Nouvelle, Dieu se créé un peuple en les appelant « </w:t>
      </w:r>
      <w:r>
        <w:t xml:space="preserve">des ténèbres à son admirable lumière </w:t>
      </w:r>
      <w:r>
        <w:t>» (</w:t>
      </w:r>
      <w:hyperlink r:id="rId3933">
        <w:r>
          <w:rPr>
            <w:color w:val="0000EE"/>
            <w:u w:val="single"/>
          </w:rPr>
          <w:t xml:space="preserve">2.9 </w:t>
        </w:r>
      </w:hyperlink>
      <w:r>
        <w:t xml:space="preserve">; voir aussi </w:t>
      </w:r>
      <w:hyperlink r:id="rId12164">
        <w:r>
          <w:rPr>
            <w:color w:val="0000EE"/>
            <w:u w:val="single"/>
          </w:rPr>
          <w:t>1.15</w:t>
        </w:r>
      </w:hyperlink>
      <w:r>
        <w:t xml:space="preserve">) et « </w:t>
      </w:r>
      <w:r>
        <w:t xml:space="preserve">en Jésus-Christ à sa gloire éternelle </w:t>
      </w:r>
      <w:r>
        <w:t>» (</w:t>
      </w:r>
      <w:hyperlink r:id="rId12151">
        <w:r>
          <w:rPr>
            <w:color w:val="0000EE"/>
            <w:u w:val="single"/>
          </w:rPr>
          <w:t>5.10</w:t>
        </w:r>
      </w:hyperlink>
      <w:r>
        <w:t>). Ce changement est décrit dans 1 Pierre comme une « vie nouvelle » (</w:t>
      </w:r>
      <w:hyperlink r:id="rId12165">
        <w:r>
          <w:rPr>
            <w:color w:val="0000EE"/>
            <w:u w:val="single"/>
          </w:rPr>
          <w:t>1.3, 23</w:t>
        </w:r>
      </w:hyperlink>
      <w:r>
        <w:t>, Semeur). Ceux qui sont nés de nouveau se distinguent par l'« espérance vivante » qu'ils ont en Christ (</w:t>
      </w:r>
      <w:hyperlink r:id="rId12166">
        <w:r>
          <w:rPr>
            <w:color w:val="0000EE"/>
            <w:u w:val="single"/>
          </w:rPr>
          <w:t>1.3, 13</w:t>
        </w:r>
      </w:hyperlink>
      <w:r>
        <w:t>).</w:t>
      </w:r>
    </w:p>
    <w:p>
      <w:r/>
      <w:r>
        <w:t>Cette espérance, qui repose sur la résurrection du Christ et la certitude de son retour, transforme le comportement (</w:t>
      </w:r>
      <w:hyperlink r:id="rId12167">
        <w:r>
          <w:rPr>
            <w:color w:val="0000EE"/>
            <w:u w:val="single"/>
          </w:rPr>
          <w:t>1.13–15</w:t>
        </w:r>
      </w:hyperlink>
      <w:r>
        <w:t>). Nous n'avons plus à chercher la satisfaction ou l'épanouissement par des moyens nuisibles et dénués amour. En remettant nos âmes au fidèle Créateur (</w:t>
      </w:r>
      <w:hyperlink r:id="rId697">
        <w:r>
          <w:rPr>
            <w:color w:val="0000EE"/>
            <w:u w:val="single"/>
          </w:rPr>
          <w:t xml:space="preserve">4.19 </w:t>
        </w:r>
      </w:hyperlink>
      <w:r>
        <w:t xml:space="preserve">; </w:t>
      </w:r>
      <w:hyperlink r:id="rId11955">
        <w:r>
          <w:rPr>
            <w:color w:val="0000EE"/>
            <w:u w:val="single"/>
          </w:rPr>
          <w:t>5.7</w:t>
        </w:r>
      </w:hyperlink>
      <w:r>
        <w:t>), nous pouvons endurer patiemment les souffrances injustes (</w:t>
      </w:r>
      <w:hyperlink r:id="rId12168">
        <w:r>
          <w:rPr>
            <w:color w:val="0000EE"/>
            <w:u w:val="single"/>
          </w:rPr>
          <w:t>2.20</w:t>
        </w:r>
      </w:hyperlink>
      <w:r>
        <w:t>), ne pas rendre le mal pour le mal (</w:t>
      </w:r>
      <w:hyperlink r:id="rId12169">
        <w:r>
          <w:rPr>
            <w:color w:val="0000EE"/>
            <w:u w:val="single"/>
          </w:rPr>
          <w:t>3.9</w:t>
        </w:r>
      </w:hyperlink>
      <w:r>
        <w:t>), et chercher à partager la miséricorde de Dieu avec les autres en leur faisant du bien (</w:t>
      </w:r>
      <w:hyperlink r:id="rId12170">
        <w:r>
          <w:rPr>
            <w:color w:val="0000EE"/>
            <w:u w:val="single"/>
          </w:rPr>
          <w:t xml:space="preserve">2.12, 15 </w:t>
        </w:r>
      </w:hyperlink>
      <w:r>
        <w:t xml:space="preserve">; </w:t>
      </w:r>
      <w:hyperlink r:id="rId12171">
        <w:r>
          <w:rPr>
            <w:color w:val="0000EE"/>
            <w:u w:val="single"/>
          </w:rPr>
          <w:t xml:space="preserve">3.11, 16 </w:t>
        </w:r>
      </w:hyperlink>
      <w:r>
        <w:t xml:space="preserve">; </w:t>
      </w:r>
      <w:hyperlink r:id="rId697">
        <w:r>
          <w:rPr>
            <w:color w:val="0000EE"/>
            <w:u w:val="single"/>
          </w:rPr>
          <w:t>4.19</w:t>
        </w:r>
      </w:hyperlink>
      <w:r>
        <w:t>).</w:t>
      </w:r>
    </w:p>
    <w:p>
      <w:r/>
      <w:r>
        <w:t xml:space="preserve">L'espérance vivante chrétienne ne nous conduit pas </w:t>
      </w:r>
      <w:r>
        <w:rPr>
          <w:i/>
        </w:rPr>
        <w:t>à sortir</w:t>
      </w:r>
      <w:r>
        <w:t xml:space="preserve"> de la société des non-chrétiens, mais à changer notre comportement envers eux. Les chrétiens sont décrits comme citoyens sous ceux qui les gouvernent (</w:t>
      </w:r>
      <w:hyperlink r:id="rId12172">
        <w:r>
          <w:rPr>
            <w:color w:val="0000EE"/>
            <w:u w:val="single"/>
          </w:rPr>
          <w:t>2.13–17</w:t>
        </w:r>
      </w:hyperlink>
      <w:r>
        <w:t xml:space="preserve">), comme esclaves de maîtres cruels (v. </w:t>
      </w:r>
      <w:hyperlink r:id="rId12173">
        <w:r>
          <w:rPr>
            <w:color w:val="0000EE"/>
            <w:u w:val="single"/>
          </w:rPr>
          <w:t>18–25</w:t>
        </w:r>
      </w:hyperlink>
      <w:r>
        <w:t>) et comme épouses de maris non croyants (</w:t>
      </w:r>
      <w:hyperlink r:id="rId12138">
        <w:r>
          <w:rPr>
            <w:color w:val="0000EE"/>
            <w:u w:val="single"/>
          </w:rPr>
          <w:t>3.1–6</w:t>
        </w:r>
      </w:hyperlink>
      <w:r>
        <w:t xml:space="preserve">). Quand nous vivons comme des personnes nouvelles et pleines d'espoir </w:t>
      </w:r>
      <w:r>
        <w:rPr>
          <w:i/>
        </w:rPr>
        <w:t>dans</w:t>
      </w:r>
      <w:r>
        <w:t xml:space="preserve"> la société, les autres peuvent voir nos bonnes oeuvres et rendre gloire à notre Père dans les cieux (</w:t>
      </w:r>
      <w:hyperlink r:id="rId12139">
        <w:r>
          <w:rPr>
            <w:color w:val="0000EE"/>
            <w:u w:val="single"/>
          </w:rPr>
          <w:t xml:space="preserve">2.12 </w:t>
        </w:r>
      </w:hyperlink>
      <w:r>
        <w:t xml:space="preserve">; voir aussi </w:t>
      </w:r>
      <w:hyperlink r:id="rId9167">
        <w:r>
          <w:rPr>
            <w:color w:val="0000EE"/>
            <w:u w:val="single"/>
          </w:rPr>
          <w:t>Mt 5.16</w:t>
        </w:r>
      </w:hyperlink>
      <w:r>
        <w:t>).</w:t>
      </w:r>
    </w:p>
    <w:p>
      <w:pPr>
        <w:pStyle w:val="Heading3"/>
      </w:pPr>
      <w:r>
        <w:t>Contenu</w:t>
      </w:r>
    </w:p>
    <w:p>
      <w:pPr>
        <w:pStyle w:val="Heading4"/>
      </w:pPr>
      <w:hyperlink r:id="rId12174">
        <w:r>
          <w:rPr>
            <w:color w:val="0000EE"/>
            <w:u w:val="single"/>
          </w:rPr>
          <w:t>1.1–2</w:t>
        </w:r>
      </w:hyperlink>
    </w:p>
    <w:p>
      <w:r/>
      <w:r>
        <w:t>Cette section décrit l'élection du peuple de Dieu dans trois propositions :</w:t>
      </w:r>
    </w:p>
    <w:p>
      <w:r/>
      <w:r>
        <w:t xml:space="preserve">Tout d'abord, elle est basée sur « la préconnaissance de Dieu » (Darby). Cela ne signifie pas seulement que Dieu savait à l'avance qui il élirait. Comme dans </w:t>
      </w:r>
      <w:hyperlink r:id="rId12156">
        <w:r>
          <w:rPr>
            <w:color w:val="0000EE"/>
            <w:u w:val="single"/>
          </w:rPr>
          <w:t>1.20</w:t>
        </w:r>
      </w:hyperlink>
      <w:r>
        <w:t xml:space="preserve"> (voir Darby) la préconnaissance inclut probablement aussi le dessein de Dieu (voir </w:t>
      </w:r>
      <w:hyperlink r:id="rId12175">
        <w:r>
          <w:rPr>
            <w:color w:val="0000EE"/>
            <w:u w:val="single"/>
          </w:rPr>
          <w:t xml:space="preserve">Am 3.2 </w:t>
        </w:r>
      </w:hyperlink>
      <w:r>
        <w:t xml:space="preserve">; </w:t>
      </w:r>
      <w:hyperlink r:id="rId12176">
        <w:r>
          <w:rPr>
            <w:color w:val="0000EE"/>
            <w:u w:val="single"/>
          </w:rPr>
          <w:t xml:space="preserve">Ac 2.23 </w:t>
        </w:r>
      </w:hyperlink>
      <w:r>
        <w:t xml:space="preserve">; </w:t>
      </w:r>
      <w:hyperlink r:id="rId12177">
        <w:r>
          <w:rPr>
            <w:color w:val="0000EE"/>
            <w:u w:val="single"/>
          </w:rPr>
          <w:t xml:space="preserve">Rm 8.28–30 </w:t>
        </w:r>
      </w:hyperlink>
      <w:r>
        <w:t xml:space="preserve">; </w:t>
      </w:r>
      <w:hyperlink r:id="rId12178">
        <w:r>
          <w:rPr>
            <w:color w:val="0000EE"/>
            <w:u w:val="single"/>
          </w:rPr>
          <w:t xml:space="preserve">11.2 </w:t>
        </w:r>
      </w:hyperlink>
      <w:r>
        <w:t xml:space="preserve">; </w:t>
      </w:r>
      <w:hyperlink r:id="rId12179">
        <w:r>
          <w:rPr>
            <w:color w:val="0000EE"/>
            <w:u w:val="single"/>
          </w:rPr>
          <w:t xml:space="preserve">1Co 8.3 </w:t>
        </w:r>
      </w:hyperlink>
      <w:r>
        <w:t xml:space="preserve">; </w:t>
      </w:r>
      <w:hyperlink r:id="rId12180">
        <w:r>
          <w:rPr>
            <w:color w:val="0000EE"/>
            <w:u w:val="single"/>
          </w:rPr>
          <w:t>Ga 4.9</w:t>
        </w:r>
      </w:hyperlink>
      <w:r>
        <w:t>).</w:t>
      </w:r>
    </w:p>
    <w:p>
      <w:r/>
      <w:r>
        <w:t xml:space="preserve">Deuxièmement, l'élection s'effectue « par la sanctification de l’Esprit ». L'élection implique l'œuvre efficace de l'Esprit qui amène une personne à l'obéissance de l'Évangile (voir </w:t>
      </w:r>
      <w:hyperlink r:id="rId8475">
        <w:r>
          <w:rPr>
            <w:color w:val="0000EE"/>
            <w:u w:val="single"/>
          </w:rPr>
          <w:t>Rm 1.5</w:t>
        </w:r>
      </w:hyperlink>
      <w:r>
        <w:t xml:space="preserve">). Dans </w:t>
      </w:r>
      <w:hyperlink r:id="rId4791">
        <w:r>
          <w:rPr>
            <w:color w:val="0000EE"/>
            <w:u w:val="single"/>
          </w:rPr>
          <w:t>Éphésiens 1.4</w:t>
        </w:r>
      </w:hyperlink>
      <w:r>
        <w:t>, l'élection remonte à « avant la fondation du monde ».</w:t>
      </w:r>
    </w:p>
    <w:p>
      <w:r/>
      <w:r>
        <w:t xml:space="preserve">Troisièmement, l'élection des chrétiens est « afin qu’ils deviennent obéissants, et qu’ils participent à l’aspersion du sang de Jésus-Christ ». L'aspersion désigne probablement ici l'effet de la mort du Christ qui purifie notre conscience et notre comportement quand nous mettons notre foi en lui (voir </w:t>
      </w:r>
      <w:hyperlink r:id="rId12181">
        <w:r>
          <w:rPr>
            <w:color w:val="0000EE"/>
            <w:u w:val="single"/>
          </w:rPr>
          <w:t>Hé 9.13–14</w:t>
        </w:r>
      </w:hyperlink>
      <w:r>
        <w:t>).</w:t>
      </w:r>
    </w:p>
    <w:p>
      <w:r/>
      <w:r>
        <w:t xml:space="preserve">Ainsi, le peuple élu de Dieu tire son origine de la préconnaissance et du dessein de Dieu. Il doit son appel et sa conversion à l'œuvre du Saint-Esprit, et l'obéissance à Dieu est son but au quotidien (voir </w:t>
      </w:r>
      <w:hyperlink r:id="rId12182">
        <w:r>
          <w:rPr>
            <w:color w:val="0000EE"/>
            <w:u w:val="single"/>
          </w:rPr>
          <w:t>1P 1.14</w:t>
        </w:r>
      </w:hyperlink>
      <w:r>
        <w:t>).</w:t>
      </w:r>
    </w:p>
    <w:p>
      <w:pPr>
        <w:pStyle w:val="Heading4"/>
      </w:pPr>
      <w:hyperlink r:id="rId12183">
        <w:r>
          <w:rPr>
            <w:color w:val="0000EE"/>
            <w:u w:val="single"/>
          </w:rPr>
          <w:t>1.3–12</w:t>
        </w:r>
      </w:hyperlink>
    </w:p>
    <w:p>
      <w:r/>
      <w:r>
        <w:t xml:space="preserve">Cette section décrit à quel point le salut est extrêmement précieux. C'est un riche héritage, qui est absolument parfait et ne diminue jamais en beauté ou en valeur (v. </w:t>
      </w:r>
      <w:hyperlink r:id="rId2720">
        <w:r>
          <w:rPr>
            <w:color w:val="0000EE"/>
            <w:u w:val="single"/>
          </w:rPr>
          <w:t>4</w:t>
        </w:r>
      </w:hyperlink>
      <w:r>
        <w:t xml:space="preserve">). C'est la récompense de notre foi (v. </w:t>
      </w:r>
      <w:hyperlink r:id="rId695">
        <w:r>
          <w:rPr>
            <w:color w:val="0000EE"/>
            <w:u w:val="single"/>
          </w:rPr>
          <w:t>9</w:t>
        </w:r>
      </w:hyperlink>
      <w:r>
        <w:t xml:space="preserve">) et la cause d'une joie inexprimable (v. </w:t>
      </w:r>
      <w:hyperlink r:id="rId12184">
        <w:r>
          <w:rPr>
            <w:color w:val="0000EE"/>
            <w:u w:val="single"/>
          </w:rPr>
          <w:t>6–8</w:t>
        </w:r>
      </w:hyperlink>
      <w:r>
        <w:t xml:space="preserve">). L'objet des recherches et du désir des saints prophètes d'autrefois, ce salut est tellement incroyable que même les anges désirent y plonger leurs regards (v. </w:t>
      </w:r>
      <w:hyperlink r:id="rId8651">
        <w:r>
          <w:rPr>
            <w:color w:val="0000EE"/>
            <w:u w:val="single"/>
          </w:rPr>
          <w:t>10–12</w:t>
        </w:r>
      </w:hyperlink>
      <w:r>
        <w:t>).</w:t>
      </w:r>
    </w:p>
    <w:p>
      <w:r/>
      <w:r>
        <w:t xml:space="preserve">Le salut provient de la grande miséricorde de Dieu et est devenu disponible grâce à la résurrection de Jésus d'entre les morts (v. </w:t>
      </w:r>
      <w:hyperlink r:id="rId5186">
        <w:r>
          <w:rPr>
            <w:color w:val="0000EE"/>
            <w:u w:val="single"/>
          </w:rPr>
          <w:t>3</w:t>
        </w:r>
      </w:hyperlink>
      <w:r>
        <w:t xml:space="preserve">). Même si un héritage </w:t>
      </w:r>
      <w:r>
        <w:rPr>
          <w:i/>
        </w:rPr>
        <w:t>futur</w:t>
      </w:r>
      <w:r>
        <w:t xml:space="preserve"> est prêt à être révélé à la fin des temps (v. </w:t>
      </w:r>
      <w:hyperlink r:id="rId12185">
        <w:r>
          <w:rPr>
            <w:color w:val="0000EE"/>
            <w:u w:val="single"/>
          </w:rPr>
          <w:t>5</w:t>
        </w:r>
      </w:hyperlink>
      <w:r>
        <w:t xml:space="preserve">), il y a déjà de nombreux avantages spirituels </w:t>
      </w:r>
      <w:r>
        <w:rPr>
          <w:i/>
        </w:rPr>
        <w:t>actuels</w:t>
      </w:r>
      <w:r>
        <w:t xml:space="preserve"> pour ceux qui sont en Christ. L'un d'eux est la promesse de la puissance de Dieu qui garde le croyant dans la foi (v. </w:t>
      </w:r>
      <w:hyperlink r:id="rId12185">
        <w:r>
          <w:rPr>
            <w:color w:val="0000EE"/>
            <w:u w:val="single"/>
          </w:rPr>
          <w:t>5</w:t>
        </w:r>
      </w:hyperlink>
      <w:r>
        <w:t xml:space="preserve">). Cela ne signifie pas que les chrétiens échappent aux difficultés. Parfois, il peut être nécessaire qu'ils souffrent (v. </w:t>
      </w:r>
      <w:hyperlink r:id="rId11894">
        <w:r>
          <w:rPr>
            <w:color w:val="0000EE"/>
            <w:u w:val="single"/>
          </w:rPr>
          <w:t>6</w:t>
        </w:r>
      </w:hyperlink>
      <w:r>
        <w:t xml:space="preserve">). Quand cela arrive, ils ne doivent pas se plaindre mais considérer la souffrance comme un feu purificateur qui est pour leur bien. En effet, l'épreuve de la foi la rend comme de l'or pur (v. </w:t>
      </w:r>
      <w:hyperlink r:id="rId5775">
        <w:r>
          <w:rPr>
            <w:color w:val="0000EE"/>
            <w:u w:val="single"/>
          </w:rPr>
          <w:t>7</w:t>
        </w:r>
      </w:hyperlink>
      <w:r>
        <w:t>). Ainsi, la souffrance peut servir à préparer le croyant à recevoir tout ce que le salut comporte, car la foi épurée aura pour résultat final la bénédiction.</w:t>
      </w:r>
    </w:p>
    <w:p>
      <w:r/>
      <w:r>
        <w:t xml:space="preserve">La foi fonctionne différemment de la vue. En effet, les croyants n'ont jamais vu Jésus. Pourtant ils croient en lui et l'aiment (v. </w:t>
      </w:r>
      <w:hyperlink r:id="rId12186">
        <w:r>
          <w:rPr>
            <w:color w:val="0000EE"/>
            <w:u w:val="single"/>
          </w:rPr>
          <w:t>8</w:t>
        </w:r>
      </w:hyperlink>
      <w:r>
        <w:t>). L'espérance repose sur des bases sûres (</w:t>
      </w:r>
      <w:hyperlink r:id="rId12187">
        <w:r>
          <w:rPr>
            <w:color w:val="0000EE"/>
            <w:u w:val="single"/>
          </w:rPr>
          <w:t>3.15</w:t>
        </w:r>
      </w:hyperlink>
      <w:r>
        <w:t>) car elle est fondée principalement sur la résurrection de Jésus (</w:t>
      </w:r>
      <w:hyperlink r:id="rId5186">
        <w:r>
          <w:rPr>
            <w:color w:val="0000EE"/>
            <w:u w:val="single"/>
          </w:rPr>
          <w:t>1.3</w:t>
        </w:r>
      </w:hyperlink>
      <w:r>
        <w:t>), un événement historique réel.</w:t>
      </w:r>
    </w:p>
    <w:p>
      <w:pPr>
        <w:pStyle w:val="Heading4"/>
      </w:pPr>
      <w:hyperlink r:id="rId12188">
        <w:r>
          <w:rPr>
            <w:color w:val="0000EE"/>
            <w:u w:val="single"/>
          </w:rPr>
          <w:t>1.13–25</w:t>
        </w:r>
      </w:hyperlink>
    </w:p>
    <w:p>
      <w:r/>
      <w:r>
        <w:t xml:space="preserve">Pierre donne maintenant un commandement : espérez pleinement dans la grâce qui sera à vous à la révélation de Christ (v. </w:t>
      </w:r>
      <w:hyperlink r:id="rId12153">
        <w:r>
          <w:rPr>
            <w:color w:val="0000EE"/>
            <w:u w:val="single"/>
          </w:rPr>
          <w:t>13</w:t>
        </w:r>
      </w:hyperlink>
      <w:r>
        <w:t xml:space="preserve">), et menez une nouvelle vie dans l'obéissance à Dieu (v. </w:t>
      </w:r>
      <w:hyperlink r:id="rId12189">
        <w:r>
          <w:rPr>
            <w:color w:val="0000EE"/>
            <w:u w:val="single"/>
          </w:rPr>
          <w:t>14–15</w:t>
        </w:r>
      </w:hyperlink>
      <w:r>
        <w:t xml:space="preserve">). L'espérance signifie ici un désir intense de quelque chose, et la confiance que cette chose va arriver. Ainsi, Pierre commande aux Églises de </w:t>
      </w:r>
      <w:r>
        <w:rPr>
          <w:i/>
        </w:rPr>
        <w:t>désirer</w:t>
      </w:r>
      <w:r>
        <w:t xml:space="preserve"> ardemment le retour de Christ et d'être assurées de sa gloire et de sa venue. Les croyants doivent utiliser leur intelligence et rester éveillés (sobres) à ce qui est vraiment précieux dans la vie (v. </w:t>
      </w:r>
      <w:hyperlink r:id="rId12153">
        <w:r>
          <w:rPr>
            <w:color w:val="0000EE"/>
            <w:u w:val="single"/>
          </w:rPr>
          <w:t>13</w:t>
        </w:r>
      </w:hyperlink>
      <w:r>
        <w:t xml:space="preserve">). L'espérance complète en Christ doit toujours conduire à une vie sainte. Si nous nous réjouissons d'être les enfants de Dieu (v. </w:t>
      </w:r>
      <w:hyperlink r:id="rId12182">
        <w:r>
          <w:rPr>
            <w:color w:val="0000EE"/>
            <w:u w:val="single"/>
          </w:rPr>
          <w:t>14</w:t>
        </w:r>
      </w:hyperlink>
      <w:r>
        <w:t xml:space="preserve">), nous imiterons certainement celui qui est notre Père (v. </w:t>
      </w:r>
      <w:hyperlink r:id="rId12190">
        <w:r>
          <w:rPr>
            <w:color w:val="0000EE"/>
            <w:u w:val="single"/>
          </w:rPr>
          <w:t xml:space="preserve">15–16 </w:t>
        </w:r>
      </w:hyperlink>
      <w:r>
        <w:t xml:space="preserve">; voir aussi </w:t>
      </w:r>
      <w:hyperlink r:id="rId8677">
        <w:r>
          <w:rPr>
            <w:color w:val="0000EE"/>
            <w:u w:val="single"/>
          </w:rPr>
          <w:t>Lv 19.2</w:t>
        </w:r>
      </w:hyperlink>
      <w:r>
        <w:t>).</w:t>
      </w:r>
    </w:p>
    <w:p>
      <w:r/>
      <w:r>
        <w:t>Mais il y a une autre motivation à la bonne conduite : la crainte de Dieu, qui juge chaque personne selon ses œuvres (</w:t>
      </w:r>
      <w:hyperlink r:id="rId12126">
        <w:r>
          <w:rPr>
            <w:color w:val="0000EE"/>
            <w:u w:val="single"/>
          </w:rPr>
          <w:t>1P 1.17</w:t>
        </w:r>
      </w:hyperlink>
      <w:r>
        <w:t xml:space="preserve">). Bien que Pierre utilise ici la crainte comme motivation, il nous assure également que nous avons été rachetés de notre vaine façon de vivre par le sang précieux du Christ (v. </w:t>
      </w:r>
      <w:hyperlink r:id="rId8437">
        <w:r>
          <w:rPr>
            <w:color w:val="0000EE"/>
            <w:u w:val="single"/>
          </w:rPr>
          <w:t>18–19</w:t>
        </w:r>
      </w:hyperlink>
      <w:r>
        <w:t>). Nous sommes sauvés par la foi et non par les œuvres. Pierre veut probablement que nous craignions le mécontentement de Dieu face à l'incrédulité. Lorsque la lettre dit qu'il jugera nos œuvres, cela signifie probablement qu'il cherchera des preuves d'une conduite obéissante et aimante, qui est le signe certain de l'espérance et de la foi. Si nous manquons de cela, la crainte de son jugement devrait nous ramener à sa miséricorde, où nous pourrons trouver la paix et la joie, qui à leur tour, mèneront à l'amour.</w:t>
      </w:r>
    </w:p>
    <w:p>
      <w:r/>
      <w:r>
        <w:t xml:space="preserve">Cet amour est commandé envers les croyants au verset </w:t>
      </w:r>
      <w:hyperlink r:id="rId2791">
        <w:r>
          <w:rPr>
            <w:color w:val="0000EE"/>
            <w:u w:val="single"/>
          </w:rPr>
          <w:t>22</w:t>
        </w:r>
      </w:hyperlink>
      <w:r>
        <w:t xml:space="preserve">. L'espérance n'est pas mentionnée dans les versets </w:t>
      </w:r>
      <w:hyperlink r:id="rId12191">
        <w:r>
          <w:rPr>
            <w:color w:val="0000EE"/>
            <w:u w:val="single"/>
          </w:rPr>
          <w:t>22–25</w:t>
        </w:r>
      </w:hyperlink>
      <w:r>
        <w:t xml:space="preserve">, mais elle est implicite lorsque Pierre dit que nous sommes nés de nouveau par la parole vivante et permanente de Dieu. Puisque « la parole du Seigneur demeure éternellement » (v. </w:t>
      </w:r>
      <w:hyperlink r:id="rId12192">
        <w:r>
          <w:rPr>
            <w:color w:val="0000EE"/>
            <w:u w:val="single"/>
          </w:rPr>
          <w:t>25</w:t>
        </w:r>
      </w:hyperlink>
      <w:r>
        <w:t xml:space="preserve"> = </w:t>
      </w:r>
      <w:hyperlink r:id="rId12193">
        <w:r>
          <w:rPr>
            <w:color w:val="0000EE"/>
            <w:u w:val="single"/>
          </w:rPr>
          <w:t>Is 40.6–8</w:t>
        </w:r>
      </w:hyperlink>
      <w:r>
        <w:t>), ceux dont la vie en dépend demeureront éternellement aussi.</w:t>
      </w:r>
    </w:p>
    <w:p>
      <w:pPr>
        <w:pStyle w:val="Heading4"/>
      </w:pPr>
      <w:hyperlink r:id="rId12194">
        <w:r>
          <w:rPr>
            <w:color w:val="0000EE"/>
            <w:u w:val="single"/>
          </w:rPr>
          <w:t>2.1–10</w:t>
        </w:r>
      </w:hyperlink>
    </w:p>
    <w:p>
      <w:r/>
      <w:r>
        <w:t xml:space="preserve">Les versets </w:t>
      </w:r>
      <w:hyperlink r:id="rId3933">
        <w:r>
          <w:rPr>
            <w:color w:val="0000EE"/>
            <w:u w:val="single"/>
          </w:rPr>
          <w:t>9</w:t>
        </w:r>
      </w:hyperlink>
      <w:r>
        <w:t xml:space="preserve"> et </w:t>
      </w:r>
      <w:hyperlink r:id="rId12127">
        <w:r>
          <w:rPr>
            <w:color w:val="0000EE"/>
            <w:u w:val="single"/>
          </w:rPr>
          <w:t>10</w:t>
        </w:r>
      </w:hyperlink>
      <w:r>
        <w:t xml:space="preserve"> indiquent que Pierre considère que l'Église chrétienne est un nouvel Israël. Il comprend probablement l'expérience de l'Église dans ce monde comme similaire à celle de l'</w:t>
      </w:r>
      <w:r>
        <w:rPr>
          <w:i/>
        </w:rPr>
        <w:t>exil</w:t>
      </w:r>
      <w:r>
        <w:t xml:space="preserve"> des Juifs à Babylone (</w:t>
      </w:r>
      <w:hyperlink r:id="rId12195">
        <w:r>
          <w:rPr>
            <w:color w:val="0000EE"/>
            <w:u w:val="single"/>
          </w:rPr>
          <w:t xml:space="preserve">1.1, 17 </w:t>
        </w:r>
      </w:hyperlink>
      <w:r>
        <w:t xml:space="preserve">; </w:t>
      </w:r>
      <w:hyperlink r:id="rId5123">
        <w:r>
          <w:rPr>
            <w:color w:val="0000EE"/>
            <w:u w:val="single"/>
          </w:rPr>
          <w:t>2.11</w:t>
        </w:r>
      </w:hyperlink>
      <w:r>
        <w:t>). La conversion est une sorte d'</w:t>
      </w:r>
      <w:r>
        <w:rPr>
          <w:i/>
        </w:rPr>
        <w:t>exode</w:t>
      </w:r>
      <w:r>
        <w:t xml:space="preserve"> hors des ténèbres, qui fait sortir de l'ancienne vie futile pour aller dans la lumière de Dieu, tout comme les Juifs étaient sortis d'Égypte pendant l'exode.</w:t>
      </w:r>
    </w:p>
    <w:p>
      <w:r/>
      <w:r>
        <w:t xml:space="preserve">Les versets </w:t>
      </w:r>
      <w:hyperlink r:id="rId12196">
        <w:r>
          <w:rPr>
            <w:color w:val="0000EE"/>
            <w:u w:val="single"/>
          </w:rPr>
          <w:t>6–8</w:t>
        </w:r>
      </w:hyperlink>
      <w:r>
        <w:t xml:space="preserve"> montrent que Jésus est une pierre précieuse pour certains mais une pierre qui fait chuter les incroyants. La prédestination insondable de Dieu opère en arrière-plan (v. </w:t>
      </w:r>
      <w:hyperlink r:id="rId11002">
        <w:r>
          <w:rPr>
            <w:color w:val="0000EE"/>
            <w:u w:val="single"/>
          </w:rPr>
          <w:t>8</w:t>
        </w:r>
      </w:hyperlink>
      <w:r>
        <w:t xml:space="preserve">). Ceux qui croient en lui sont choisis (v. </w:t>
      </w:r>
      <w:hyperlink r:id="rId3933">
        <w:r>
          <w:rPr>
            <w:color w:val="0000EE"/>
            <w:u w:val="single"/>
          </w:rPr>
          <w:t xml:space="preserve">9 </w:t>
        </w:r>
      </w:hyperlink>
      <w:r>
        <w:t xml:space="preserve">; voir </w:t>
      </w:r>
      <w:hyperlink r:id="rId1404">
        <w:r>
          <w:rPr>
            <w:color w:val="0000EE"/>
            <w:u w:val="single"/>
          </w:rPr>
          <w:t>1.1</w:t>
        </w:r>
      </w:hyperlink>
      <w:r>
        <w:t xml:space="preserve">) et deviennent un sacerdoce royal (voir ci-dessous sur </w:t>
      </w:r>
      <w:hyperlink r:id="rId6477">
        <w:r>
          <w:rPr>
            <w:color w:val="0000EE"/>
            <w:u w:val="single"/>
          </w:rPr>
          <w:t>2.5</w:t>
        </w:r>
      </w:hyperlink>
      <w:r>
        <w:t xml:space="preserve">), une nation qui a le caractère saint de Dieu lui-même (voir </w:t>
      </w:r>
      <w:hyperlink r:id="rId12189">
        <w:r>
          <w:rPr>
            <w:color w:val="0000EE"/>
            <w:u w:val="single"/>
          </w:rPr>
          <w:t>1.14–15</w:t>
        </w:r>
      </w:hyperlink>
      <w:r>
        <w:t xml:space="preserve">) et qui est un peuple bien-aimé qui lui appartient tout spécialement. Tout cela est dû non à notre mérite, mais à la miséricorde de Dieu (v. </w:t>
      </w:r>
      <w:hyperlink r:id="rId12127">
        <w:r>
          <w:rPr>
            <w:color w:val="0000EE"/>
            <w:u w:val="single"/>
          </w:rPr>
          <w:t>10</w:t>
        </w:r>
      </w:hyperlink>
      <w:r>
        <w:t>).</w:t>
      </w:r>
    </w:p>
    <w:p>
      <w:r/>
      <w:r>
        <w:t xml:space="preserve">Les versets </w:t>
      </w:r>
      <w:hyperlink r:id="rId12197">
        <w:r>
          <w:rPr>
            <w:color w:val="0000EE"/>
            <w:u w:val="single"/>
          </w:rPr>
          <w:t>1–3</w:t>
        </w:r>
      </w:hyperlink>
      <w:r>
        <w:t xml:space="preserve"> exhortent à désirer le lait de la Parole et ainsi grandir dans le salut maintenant que nous avons goûté à la bonté du Seigneur.</w:t>
      </w:r>
    </w:p>
    <w:p>
      <w:r/>
      <w:r>
        <w:t xml:space="preserve">Les </w:t>
      </w:r>
      <w:hyperlink r:id="rId12198">
        <w:r>
          <w:rPr>
            <w:color w:val="0000EE"/>
            <w:u w:val="single"/>
          </w:rPr>
          <w:t>versets 4–5</w:t>
        </w:r>
      </w:hyperlink>
      <w:r>
        <w:t xml:space="preserve"> représentent le Christ à travers une métaphore élaborée qui combine plusieurs images. Il est représenté comme une pierre vivante. L'Église est elle représentée comme une maison spirituelle faite de pierres et comme un sacerdoce. L'Église est là où Dieu réside (voir </w:t>
      </w:r>
      <w:hyperlink r:id="rId12199">
        <w:r>
          <w:rPr>
            <w:color w:val="0000EE"/>
            <w:u w:val="single"/>
          </w:rPr>
          <w:t xml:space="preserve">1Co 3.16 </w:t>
        </w:r>
      </w:hyperlink>
      <w:r>
        <w:t xml:space="preserve">; </w:t>
      </w:r>
      <w:hyperlink r:id="rId12200">
        <w:r>
          <w:rPr>
            <w:color w:val="0000EE"/>
            <w:u w:val="single"/>
          </w:rPr>
          <w:t>Ep 2.21–22</w:t>
        </w:r>
      </w:hyperlink>
      <w:r>
        <w:t xml:space="preserve">), et est un rassemblement de serviteurs qui présentent à Dieu des sacrifices d'obéissance dans sa maison (voir </w:t>
      </w:r>
      <w:hyperlink r:id="rId12201">
        <w:r>
          <w:rPr>
            <w:color w:val="0000EE"/>
            <w:u w:val="single"/>
          </w:rPr>
          <w:t>Rm 12.1–2</w:t>
        </w:r>
      </w:hyperlink>
      <w:r>
        <w:t>).</w:t>
      </w:r>
    </w:p>
    <w:p>
      <w:pPr>
        <w:pStyle w:val="Heading4"/>
      </w:pPr>
      <w:hyperlink r:id="rId12202">
        <w:r>
          <w:rPr>
            <w:color w:val="0000EE"/>
            <w:u w:val="single"/>
          </w:rPr>
          <w:t>2.11–12</w:t>
        </w:r>
      </w:hyperlink>
    </w:p>
    <w:p>
      <w:r/>
      <w:r>
        <w:t xml:space="preserve">Ce passage reflète la préoccupation centrale de Pierre dans cette lettre. Puisque les chrétiens sont des exilés dans ce monde, ils ne doivent pas avoir les mêmes désirs que les incroyants. De tels désirs charnels sont éphémères et détruisent ceux qui s'y consacrent. Au lieu de cela, le nouveau peuple de Dieu doit se consacrer à faire le bien, même s'il est calomnié, car cela finira par amener certains à glorifier Dieu. La séquence est donc : désirs changés, comportement changé, Dieu glorifié (voir </w:t>
      </w:r>
      <w:hyperlink r:id="rId9167">
        <w:r>
          <w:rPr>
            <w:color w:val="0000EE"/>
            <w:u w:val="single"/>
          </w:rPr>
          <w:t>Mt 5.16</w:t>
        </w:r>
      </w:hyperlink>
      <w:r>
        <w:t>).</w:t>
      </w:r>
    </w:p>
    <w:p>
      <w:pPr>
        <w:pStyle w:val="Heading4"/>
      </w:pPr>
      <w:hyperlink r:id="rId12172">
        <w:r>
          <w:rPr>
            <w:color w:val="0000EE"/>
            <w:u w:val="single"/>
          </w:rPr>
          <w:t>2.13–17</w:t>
        </w:r>
      </w:hyperlink>
    </w:p>
    <w:p>
      <w:r/>
      <w:r>
        <w:t xml:space="preserve">Les chrétiens doivent montrer le respect dû à chacun (v. </w:t>
      </w:r>
      <w:hyperlink r:id="rId12203">
        <w:r>
          <w:rPr>
            <w:color w:val="0000EE"/>
            <w:u w:val="single"/>
          </w:rPr>
          <w:t>13–14</w:t>
        </w:r>
      </w:hyperlink>
      <w:r>
        <w:t xml:space="preserve">). Le fait que le Christ est mort pour les pécheurs est une vérité qui appelle à l'humilité et interdit aux chrétiens d'être arrogants ou de penser qu'ils ne se doivent pas d'aimer les autres (voir </w:t>
      </w:r>
      <w:hyperlink r:id="rId6583">
        <w:r>
          <w:rPr>
            <w:color w:val="0000EE"/>
            <w:u w:val="single"/>
          </w:rPr>
          <w:t>Rm 13.8–10</w:t>
        </w:r>
      </w:hyperlink>
      <w:r>
        <w:t>). Au contraire, ils doivent regarder les autres comme étant au-dessus d'eux-mêmes (</w:t>
      </w:r>
      <w:hyperlink r:id="rId12204">
        <w:r>
          <w:rPr>
            <w:color w:val="0000EE"/>
            <w:u w:val="single"/>
          </w:rPr>
          <w:t xml:space="preserve">Mc 10.44 </w:t>
        </w:r>
      </w:hyperlink>
      <w:r>
        <w:t xml:space="preserve">; </w:t>
      </w:r>
      <w:hyperlink r:id="rId12205">
        <w:r>
          <w:rPr>
            <w:color w:val="0000EE"/>
            <w:u w:val="single"/>
          </w:rPr>
          <w:t>Ph 2.3</w:t>
        </w:r>
      </w:hyperlink>
      <w:r>
        <w:t>).</w:t>
      </w:r>
    </w:p>
    <w:p>
      <w:r/>
      <w:r>
        <w:t>Pierre déclare donc que les croyants doivent se soumettre au roi et aux autorités civiles qui sont sous lui. Ils doivent se consacrer à faire le bien afin que ceux qui disent que le christianisme ne fait aucune différence soient réduits au silence.</w:t>
      </w:r>
    </w:p>
    <w:p>
      <w:r/>
      <w:r>
        <w:t>Cependant, la soumission aux autorités n'est pas absolue, car les chrétiens sont avant tout des esclaves de Dieu. C'est dans la liberté qu'ils reconnaissent la légitimité d'une autorité instaurée par Dieu pour préserver l'ordre dans la société. Les chrétiens servent Dieu avant tout, et le roi n'est qu'une de ses créatures. La soumission au roi est donc une soumission pour l'amour du Seigneur, et non pour l'amour du roi.</w:t>
      </w:r>
    </w:p>
    <w:p>
      <w:pPr>
        <w:pStyle w:val="Heading4"/>
      </w:pPr>
      <w:hyperlink r:id="rId12173">
        <w:r>
          <w:rPr>
            <w:color w:val="0000EE"/>
            <w:u w:val="single"/>
          </w:rPr>
          <w:t>2.18–25</w:t>
        </w:r>
      </w:hyperlink>
    </w:p>
    <w:p>
      <w:r/>
      <w:r>
        <w:t xml:space="preserve">La conscience des esclaves chrétiens est tournée vers Dieu et façonnée par lui (v. </w:t>
      </w:r>
      <w:hyperlink r:id="rId2277">
        <w:r>
          <w:rPr>
            <w:color w:val="0000EE"/>
            <w:u w:val="single"/>
          </w:rPr>
          <w:t>19</w:t>
        </w:r>
      </w:hyperlink>
      <w:r>
        <w:t xml:space="preserve">). Ils ont connu sa grâce et sont exhortés ici à se reposer sur elle en endurant patiemment les mauvais traitements. Ils ne doivent pas riposter au mal : ils ont été appelés à vivre de cette manière parce que Jésus a souffert </w:t>
      </w:r>
      <w:r>
        <w:rPr>
          <w:i/>
        </w:rPr>
        <w:t>pour eux</w:t>
      </w:r>
      <w:r>
        <w:t xml:space="preserve"> et qu'il l'a fait </w:t>
      </w:r>
      <w:r>
        <w:rPr>
          <w:i/>
        </w:rPr>
        <w:t>en tant qu'exemple.</w:t>
      </w:r>
      <w:r>
        <w:t xml:space="preserve"> Les versets </w:t>
      </w:r>
      <w:hyperlink r:id="rId12206">
        <w:r>
          <w:rPr>
            <w:color w:val="0000EE"/>
            <w:u w:val="single"/>
          </w:rPr>
          <w:t>21–23</w:t>
        </w:r>
      </w:hyperlink>
      <w:r>
        <w:t xml:space="preserve"> décrivent cet exemple. Les versets </w:t>
      </w:r>
      <w:hyperlink r:id="rId12207">
        <w:r>
          <w:rPr>
            <w:color w:val="0000EE"/>
            <w:u w:val="single"/>
          </w:rPr>
          <w:t>24–25</w:t>
        </w:r>
      </w:hyperlink>
      <w:r>
        <w:t xml:space="preserve"> décrivent la rédemption du Christ et ses effets. Jésus n'a pas seulement montré par son exemple qu'il ne faut pas riposter, mais il a aussi permis à ses disciples de vivre de cette manière en mourant pour eux afin qu'ils puissent vivre pour la justice (v. </w:t>
      </w:r>
      <w:hyperlink r:id="rId6718">
        <w:r>
          <w:rPr>
            <w:color w:val="0000EE"/>
            <w:u w:val="single"/>
          </w:rPr>
          <w:t>24</w:t>
        </w:r>
      </w:hyperlink>
      <w:r>
        <w:t xml:space="preserve">). C'est lorsque les chrétiens trouvent leur sécurité et leur bonheur dans l'espérance que Christ a obtenue pour eux qu'ils peuvent avoir la liberté et le désir de suivre son exemple. Quand ils sont tentés de se venger, ils doivent se rappeler que même Jésus s'en est remis à Dieu, le juste juge (v. </w:t>
      </w:r>
      <w:hyperlink r:id="rId12124">
        <w:r>
          <w:rPr>
            <w:color w:val="0000EE"/>
            <w:u w:val="single"/>
          </w:rPr>
          <w:t xml:space="preserve">23 </w:t>
        </w:r>
      </w:hyperlink>
      <w:r>
        <w:t xml:space="preserve">; voir </w:t>
      </w:r>
      <w:hyperlink r:id="rId12208">
        <w:r>
          <w:rPr>
            <w:color w:val="0000EE"/>
            <w:u w:val="single"/>
          </w:rPr>
          <w:t>Rm 12.19–20</w:t>
        </w:r>
      </w:hyperlink>
      <w:r>
        <w:t>).</w:t>
      </w:r>
    </w:p>
    <w:p>
      <w:pPr>
        <w:pStyle w:val="Heading4"/>
      </w:pPr>
      <w:hyperlink r:id="rId4813">
        <w:r>
          <w:rPr>
            <w:color w:val="0000EE"/>
            <w:u w:val="single"/>
          </w:rPr>
          <w:t>3.1–7</w:t>
        </w:r>
      </w:hyperlink>
    </w:p>
    <w:p>
      <w:r/>
      <w:r>
        <w:t xml:space="preserve">Il y a ici six versets qui s'adressent aux épouses et un aux maris. Comment une épouse croyante peut-elle mener son mari non-croyant à croire en Christ (v. </w:t>
      </w:r>
      <w:hyperlink r:id="rId12209">
        <w:r>
          <w:rPr>
            <w:color w:val="0000EE"/>
            <w:u w:val="single"/>
          </w:rPr>
          <w:t>1</w:t>
        </w:r>
      </w:hyperlink>
      <w:r>
        <w:t xml:space="preserve">) ? Pierre met en garde contre la vanité des parures extérieures (v. </w:t>
      </w:r>
      <w:hyperlink r:id="rId2848">
        <w:r>
          <w:rPr>
            <w:color w:val="0000EE"/>
            <w:u w:val="single"/>
          </w:rPr>
          <w:t>3</w:t>
        </w:r>
      </w:hyperlink>
      <w:r>
        <w:t xml:space="preserve">). Au lieu de cela, il insiste sur la beauté du cœur et un esprit doux et tranquille (v. </w:t>
      </w:r>
      <w:hyperlink r:id="rId2808">
        <w:r>
          <w:rPr>
            <w:color w:val="0000EE"/>
            <w:u w:val="single"/>
          </w:rPr>
          <w:t>4</w:t>
        </w:r>
      </w:hyperlink>
      <w:r>
        <w:t xml:space="preserve">), accompagné d'une conduite pure et aimante (v. </w:t>
      </w:r>
      <w:hyperlink r:id="rId12210">
        <w:r>
          <w:rPr>
            <w:color w:val="0000EE"/>
            <w:u w:val="single"/>
          </w:rPr>
          <w:t>2</w:t>
        </w:r>
      </w:hyperlink>
      <w:r>
        <w:t xml:space="preserve">), qui témoigne au mari « sans paroles » (v. </w:t>
      </w:r>
      <w:hyperlink r:id="rId12209">
        <w:r>
          <w:rPr>
            <w:color w:val="0000EE"/>
            <w:u w:val="single"/>
          </w:rPr>
          <w:t>1</w:t>
        </w:r>
      </w:hyperlink>
      <w:r>
        <w:t xml:space="preserve">). Ce n'est pas un appel à une soumission aveugle mais à une attitude calme de service dans la liberté et l'assurance par amour. L'épouse peut combattre ses craintes (v. </w:t>
      </w:r>
      <w:hyperlink r:id="rId5027">
        <w:r>
          <w:rPr>
            <w:color w:val="0000EE"/>
            <w:u w:val="single"/>
          </w:rPr>
          <w:t>6</w:t>
        </w:r>
      </w:hyperlink>
      <w:r>
        <w:t xml:space="preserve">) en suivant l'exemple de Sara, qui espérait en Dieu (v. </w:t>
      </w:r>
      <w:hyperlink r:id="rId12211">
        <w:r>
          <w:rPr>
            <w:color w:val="0000EE"/>
            <w:u w:val="single"/>
          </w:rPr>
          <w:t>5</w:t>
        </w:r>
      </w:hyperlink>
      <w:r>
        <w:t>). Une fois de plus donc, l'espérance est source de transformation qui permet aux croyants de se soumettre aux autres. L'épouse est d'abord sous l'autorité du Seigneur et seulement en second lieu à son mari. Comme l'esclave, l'épouse chrétienne utilisera sa conscience tournée vers Dieu (</w:t>
      </w:r>
      <w:hyperlink r:id="rId9071">
        <w:r>
          <w:rPr>
            <w:color w:val="0000EE"/>
            <w:u w:val="single"/>
          </w:rPr>
          <w:t>2.16</w:t>
        </w:r>
      </w:hyperlink>
      <w:r>
        <w:t>) pour décider quand, pour l'amour du Christ, elle ne peut pas suivre la direction de son mari.</w:t>
      </w:r>
    </w:p>
    <w:p>
      <w:r/>
      <w:r>
        <w:t xml:space="preserve">Les maris sont exhortés au verset </w:t>
      </w:r>
      <w:hyperlink r:id="rId12212">
        <w:r>
          <w:rPr>
            <w:color w:val="0000EE"/>
            <w:u w:val="single"/>
          </w:rPr>
          <w:t>7</w:t>
        </w:r>
      </w:hyperlink>
      <w:r>
        <w:t xml:space="preserve"> à conformer leurs relations avec leurs épouses à la vérité naturelle et révélée. La vérité</w:t>
      </w:r>
      <w:r>
        <w:rPr>
          <w:i/>
        </w:rPr>
        <w:t xml:space="preserve"> naturelle</w:t>
      </w:r>
      <w:r>
        <w:t xml:space="preserve"> est que les femmes sont physiquement plus faibles. Cela ne signifie pas qu'elles sont inférieures mentalement ou émotionnellement. C'est une simple constatation de fait observé : les corps des femmes ne sont pas aussi forts que ceux des hommes. Dans une culture qui n'utilisait pas de machines, la force physique était beaucoup plus importante à la survie et au confort qu'elle ne l'est aujourd'hui. Ainsi, l'homme est exhorté à utiliser sa force supérieure pour le bien de sa femme. La vérité</w:t>
      </w:r>
      <w:r>
        <w:rPr>
          <w:i/>
        </w:rPr>
        <w:t xml:space="preserve"> révélée</w:t>
      </w:r>
      <w:r>
        <w:t xml:space="preserve"> est que l'épouse doit être honorée et respectée « comme devant aussi hériter avec vous de la grâce de la vie ».</w:t>
      </w:r>
    </w:p>
    <w:p>
      <w:pPr>
        <w:pStyle w:val="Heading4"/>
      </w:pPr>
      <w:hyperlink r:id="rId12213">
        <w:r>
          <w:rPr>
            <w:color w:val="0000EE"/>
            <w:u w:val="single"/>
          </w:rPr>
          <w:t>3.8–12</w:t>
        </w:r>
      </w:hyperlink>
    </w:p>
    <w:p>
      <w:r/>
      <w:r>
        <w:t xml:space="preserve">Ce passage conclut la section qui va de </w:t>
      </w:r>
      <w:hyperlink r:id="rId12214">
        <w:r>
          <w:rPr>
            <w:color w:val="0000EE"/>
            <w:u w:val="single"/>
          </w:rPr>
          <w:t xml:space="preserve">2.13 </w:t>
        </w:r>
      </w:hyperlink>
      <w:r>
        <w:t>à</w:t>
      </w:r>
      <w:hyperlink r:id="rId12214">
        <w:r>
          <w:rPr>
            <w:color w:val="0000EE"/>
            <w:u w:val="single"/>
          </w:rPr>
          <w:t xml:space="preserve"> 3.12</w:t>
        </w:r>
      </w:hyperlink>
      <w:r>
        <w:t>. Il exhorte toute l'Église à aimer en priorité la famille de Dieu (</w:t>
      </w:r>
      <w:hyperlink r:id="rId12143">
        <w:r>
          <w:rPr>
            <w:color w:val="0000EE"/>
            <w:u w:val="single"/>
          </w:rPr>
          <w:t>3.8</w:t>
        </w:r>
      </w:hyperlink>
      <w:r>
        <w:t xml:space="preserve">), puis à aimer ceux qui y sont extérieurs et qui lui sont hostiles (v. </w:t>
      </w:r>
      <w:hyperlink r:id="rId12215">
        <w:r>
          <w:rPr>
            <w:color w:val="0000EE"/>
            <w:u w:val="single"/>
          </w:rPr>
          <w:t>9–12</w:t>
        </w:r>
      </w:hyperlink>
      <w:r>
        <w:t xml:space="preserve">). Le verset </w:t>
      </w:r>
      <w:hyperlink r:id="rId12169">
        <w:r>
          <w:rPr>
            <w:color w:val="0000EE"/>
            <w:u w:val="single"/>
          </w:rPr>
          <w:t>9</w:t>
        </w:r>
      </w:hyperlink>
      <w:r>
        <w:t xml:space="preserve"> rappelle le comportement de Jésus et ses commandements (</w:t>
      </w:r>
      <w:hyperlink r:id="rId12216">
        <w:r>
          <w:rPr>
            <w:color w:val="0000EE"/>
            <w:u w:val="single"/>
          </w:rPr>
          <w:t>Lc 6.27–36</w:t>
        </w:r>
      </w:hyperlink>
      <w:r>
        <w:t>). Non seulement les chrétiens doivent endurer les mauvais traitements patiemment (</w:t>
      </w:r>
      <w:hyperlink r:id="rId12217">
        <w:r>
          <w:rPr>
            <w:color w:val="0000EE"/>
            <w:u w:val="single"/>
          </w:rPr>
          <w:t>1P 2.19–20</w:t>
        </w:r>
      </w:hyperlink>
      <w:r>
        <w:t>), mais ils doivent aussi réagir positivement et « bénir » ceux qui les insultent (</w:t>
      </w:r>
      <w:hyperlink r:id="rId12169">
        <w:r>
          <w:rPr>
            <w:color w:val="0000EE"/>
            <w:u w:val="single"/>
          </w:rPr>
          <w:t>3.9</w:t>
        </w:r>
      </w:hyperlink>
      <w:r>
        <w:t xml:space="preserve">). Les bénir signifie chercher leur bien et prier pour eux. Ce que les croyants doivent véritablement désirer pour leurs ennemis, c'est qu'ils se convertissent et reçoivent aussi les bénédictions dont les chrétiens hériteront (v. </w:t>
      </w:r>
      <w:hyperlink r:id="rId12218">
        <w:r>
          <w:rPr>
            <w:color w:val="0000EE"/>
            <w:u w:val="single"/>
          </w:rPr>
          <w:t>1, 9</w:t>
        </w:r>
      </w:hyperlink>
      <w:r>
        <w:t xml:space="preserve">). Le </w:t>
      </w:r>
      <w:hyperlink r:id="rId12219">
        <w:r>
          <w:rPr>
            <w:color w:val="0000EE"/>
            <w:u w:val="single"/>
          </w:rPr>
          <w:t>Psaume 34.12–16</w:t>
        </w:r>
      </w:hyperlink>
      <w:r>
        <w:t xml:space="preserve"> est cité pour démontrer et soutenir la logique du verset </w:t>
      </w:r>
      <w:hyperlink r:id="rId12169">
        <w:r>
          <w:rPr>
            <w:color w:val="0000EE"/>
            <w:u w:val="single"/>
          </w:rPr>
          <w:t>9</w:t>
        </w:r>
      </w:hyperlink>
      <w:r>
        <w:t>. Si les chrétiens veulent hériter de la bénédiction du salut (</w:t>
      </w:r>
      <w:hyperlink r:id="rId12220">
        <w:r>
          <w:rPr>
            <w:color w:val="0000EE"/>
            <w:u w:val="single"/>
          </w:rPr>
          <w:t xml:space="preserve">1.4–5 </w:t>
        </w:r>
      </w:hyperlink>
      <w:r>
        <w:t xml:space="preserve">; </w:t>
      </w:r>
      <w:hyperlink r:id="rId12169">
        <w:r>
          <w:rPr>
            <w:color w:val="0000EE"/>
            <w:u w:val="single"/>
          </w:rPr>
          <w:t>3.9</w:t>
        </w:r>
      </w:hyperlink>
      <w:r>
        <w:t xml:space="preserve">), ils doivent bénir ceux qui les insultent. Cela ne signifie pas qu'ils </w:t>
      </w:r>
      <w:r>
        <w:rPr>
          <w:i/>
        </w:rPr>
        <w:t>gagnent</w:t>
      </w:r>
      <w:r>
        <w:t xml:space="preserve"> leur salut, mais que le salut est le but de la foi (</w:t>
      </w:r>
      <w:hyperlink r:id="rId695">
        <w:r>
          <w:rPr>
            <w:color w:val="0000EE"/>
            <w:u w:val="single"/>
          </w:rPr>
          <w:t>1.9</w:t>
        </w:r>
      </w:hyperlink>
      <w:r>
        <w:t>) et que la vraie foi pousse toujours une personne à aimer.</w:t>
      </w:r>
    </w:p>
    <w:p>
      <w:pPr>
        <w:pStyle w:val="Heading4"/>
      </w:pPr>
      <w:hyperlink r:id="rId12134">
        <w:r>
          <w:rPr>
            <w:color w:val="0000EE"/>
            <w:u w:val="single"/>
          </w:rPr>
          <w:t>3.13–17</w:t>
        </w:r>
      </w:hyperlink>
    </w:p>
    <w:p>
      <w:r/>
      <w:r>
        <w:t xml:space="preserve">En général, quand les chrétiens font le bien, ils ne leur sera pas fait de mal à cause de cela (v. </w:t>
      </w:r>
      <w:hyperlink r:id="rId12142">
        <w:r>
          <w:rPr>
            <w:color w:val="0000EE"/>
            <w:u w:val="single"/>
          </w:rPr>
          <w:t>13</w:t>
        </w:r>
      </w:hyperlink>
      <w:r>
        <w:t xml:space="preserve">). Néanmoins, cela peut faire partie de la volonté de Dieu que les chrétiens souffrent parce qu'ils font le bien (v. </w:t>
      </w:r>
      <w:hyperlink r:id="rId12221">
        <w:r>
          <w:rPr>
            <w:color w:val="0000EE"/>
            <w:u w:val="single"/>
          </w:rPr>
          <w:t>17</w:t>
        </w:r>
      </w:hyperlink>
      <w:r>
        <w:t xml:space="preserve">). Cela vaut mieux que de souffrir pour avoir fait le mal. C'est vrai non seulement parce qu'ils ne devraient jamais faire le mal, mais aussi parce qu'ils sont « heureux » s'ils souffrent pour la justice (v. </w:t>
      </w:r>
      <w:hyperlink r:id="rId12222">
        <w:r>
          <w:rPr>
            <w:color w:val="0000EE"/>
            <w:u w:val="single"/>
          </w:rPr>
          <w:t xml:space="preserve">14 </w:t>
        </w:r>
      </w:hyperlink>
      <w:r>
        <w:t xml:space="preserve">; voir </w:t>
      </w:r>
      <w:hyperlink r:id="rId8633">
        <w:r>
          <w:rPr>
            <w:color w:val="0000EE"/>
            <w:u w:val="single"/>
          </w:rPr>
          <w:t xml:space="preserve">4.14 </w:t>
        </w:r>
      </w:hyperlink>
      <w:r>
        <w:t xml:space="preserve">; </w:t>
      </w:r>
      <w:hyperlink r:id="rId12223">
        <w:r>
          <w:rPr>
            <w:color w:val="0000EE"/>
            <w:u w:val="single"/>
          </w:rPr>
          <w:t>Mt 5.10–12</w:t>
        </w:r>
      </w:hyperlink>
      <w:r>
        <w:t xml:space="preserve">). Au lieu de craindre les gens, les chrétiens doivent plutôt s'assurer de plaire au Christ et de trouver la paix dans sa fidélité (voir </w:t>
      </w:r>
      <w:hyperlink r:id="rId12224">
        <w:r>
          <w:rPr>
            <w:color w:val="0000EE"/>
            <w:u w:val="single"/>
          </w:rPr>
          <w:t>1P 3.14–15</w:t>
        </w:r>
      </w:hyperlink>
      <w:r>
        <w:t xml:space="preserve"> avec </w:t>
      </w:r>
      <w:hyperlink r:id="rId12225">
        <w:r>
          <w:rPr>
            <w:color w:val="0000EE"/>
            <w:u w:val="single"/>
          </w:rPr>
          <w:t>Es 8.12–13</w:t>
        </w:r>
      </w:hyperlink>
      <w:r>
        <w:t xml:space="preserve">). Ainsi, ils n'auront rien sur la conscience et se sentiront libres. Lorsqu'ils expliqueront la raison de leur espérance, leur comportement même témoignera de sa vérité (voir </w:t>
      </w:r>
      <w:hyperlink r:id="rId12187">
        <w:r>
          <w:rPr>
            <w:color w:val="0000EE"/>
            <w:u w:val="single"/>
          </w:rPr>
          <w:t>1P 3.15</w:t>
        </w:r>
      </w:hyperlink>
      <w:r>
        <w:t xml:space="preserve"> avec </w:t>
      </w:r>
      <w:hyperlink r:id="rId5186">
        <w:r>
          <w:rPr>
            <w:color w:val="0000EE"/>
            <w:u w:val="single"/>
          </w:rPr>
          <w:t>1.3</w:t>
        </w:r>
      </w:hyperlink>
      <w:r>
        <w:t xml:space="preserve">). Ceux qui maltraitent les chrétiens pourraient ainsi être couverts de honte (v. </w:t>
      </w:r>
      <w:hyperlink r:id="rId12226">
        <w:r>
          <w:rPr>
            <w:color w:val="0000EE"/>
            <w:u w:val="single"/>
          </w:rPr>
          <w:t>16</w:t>
        </w:r>
      </w:hyperlink>
      <w:r>
        <w:t>) et conquis (</w:t>
      </w:r>
      <w:hyperlink r:id="rId12209">
        <w:r>
          <w:rPr>
            <w:color w:val="0000EE"/>
            <w:u w:val="single"/>
          </w:rPr>
          <w:t>3.1</w:t>
        </w:r>
      </w:hyperlink>
      <w:r>
        <w:t>), et ainsi en venir à glorifier Dieu (</w:t>
      </w:r>
      <w:hyperlink r:id="rId12139">
        <w:r>
          <w:rPr>
            <w:color w:val="0000EE"/>
            <w:u w:val="single"/>
          </w:rPr>
          <w:t>2.12</w:t>
        </w:r>
      </w:hyperlink>
      <w:r>
        <w:t>).</w:t>
      </w:r>
    </w:p>
    <w:p>
      <w:pPr>
        <w:pStyle w:val="Heading4"/>
      </w:pPr>
      <w:hyperlink r:id="rId8439">
        <w:r>
          <w:rPr>
            <w:color w:val="0000EE"/>
            <w:u w:val="single"/>
          </w:rPr>
          <w:t>3.18–22</w:t>
        </w:r>
      </w:hyperlink>
    </w:p>
    <w:p>
      <w:r/>
      <w:r>
        <w:t xml:space="preserve">Comme dans </w:t>
      </w:r>
      <w:hyperlink r:id="rId12227">
        <w:r>
          <w:rPr>
            <w:color w:val="0000EE"/>
            <w:u w:val="single"/>
          </w:rPr>
          <w:t>2.21–25</w:t>
        </w:r>
      </w:hyperlink>
      <w:r>
        <w:t xml:space="preserve"> et </w:t>
      </w:r>
      <w:hyperlink r:id="rId12228">
        <w:r>
          <w:rPr>
            <w:color w:val="0000EE"/>
            <w:u w:val="single"/>
          </w:rPr>
          <w:t>1.18–21</w:t>
        </w:r>
      </w:hyperlink>
      <w:r>
        <w:t>, ce passage souligne l'appel de Pierre à souffrir patiemment. Christ est mort une fois pour toutes pour les péchés de l'humanité. Il a ainsi rendu possible de ne plus être accablé par la culpabilité et de communier avec le Dieu de miséricorde. Les chrétiens devraient donc être capables de supporter la souffrance injuste avec humilité. Refuser de supporter des souffrances injustes est un signe de manque de foi envers le Créateur tout-puissant (</w:t>
      </w:r>
      <w:hyperlink r:id="rId697">
        <w:r>
          <w:rPr>
            <w:color w:val="0000EE"/>
            <w:u w:val="single"/>
          </w:rPr>
          <w:t>4.19</w:t>
        </w:r>
      </w:hyperlink>
      <w:r>
        <w:t>) qui prend soin de ses enfants et veut qu'ils se déchargent de leurs soucis sur lui (</w:t>
      </w:r>
      <w:hyperlink r:id="rId11955">
        <w:r>
          <w:rPr>
            <w:color w:val="0000EE"/>
            <w:u w:val="single"/>
          </w:rPr>
          <w:t>5.7</w:t>
        </w:r>
      </w:hyperlink>
      <w:r>
        <w:t>).</w:t>
      </w:r>
    </w:p>
    <w:p>
      <w:r/>
      <w:r>
        <w:t xml:space="preserve">Du temps de Noé, seuls quelques-uns avaient été sauvés (voir </w:t>
      </w:r>
      <w:hyperlink r:id="rId12229">
        <w:r>
          <w:rPr>
            <w:color w:val="0000EE"/>
            <w:u w:val="single"/>
          </w:rPr>
          <w:t xml:space="preserve">3.1, 20 </w:t>
        </w:r>
      </w:hyperlink>
      <w:r>
        <w:t xml:space="preserve">; </w:t>
      </w:r>
      <w:hyperlink r:id="rId8478">
        <w:r>
          <w:rPr>
            <w:color w:val="0000EE"/>
            <w:u w:val="single"/>
          </w:rPr>
          <w:t>4.17</w:t>
        </w:r>
      </w:hyperlink>
      <w:r>
        <w:t>). Pierre rappelle qu'il en était de même parmi leur génération hostile. Comme les rescapés du temps de Noé l'avaient été au travers du déluge, ceux qui sont désormais sauvés le sont au travers du baptême (</w:t>
      </w:r>
      <w:hyperlink r:id="rId12230">
        <w:r>
          <w:rPr>
            <w:color w:val="0000EE"/>
            <w:u w:val="single"/>
          </w:rPr>
          <w:t>3.18–21</w:t>
        </w:r>
      </w:hyperlink>
      <w:r>
        <w:t xml:space="preserve">). Pierre explique ce qu'il veut dire par cela : le salut ne vient pas du fait d'être purifié par l'eau du baptême, mais de la résurrection de Jésus-Christ et de l'engagement d'une bonne conscience envers Dieu (v. </w:t>
      </w:r>
      <w:hyperlink r:id="rId12231">
        <w:r>
          <w:rPr>
            <w:color w:val="0000EE"/>
            <w:u w:val="single"/>
          </w:rPr>
          <w:t>21</w:t>
        </w:r>
      </w:hyperlink>
      <w:r>
        <w:t>).</w:t>
      </w:r>
    </w:p>
    <w:p>
      <w:pPr>
        <w:pStyle w:val="Heading4"/>
      </w:pPr>
      <w:hyperlink r:id="rId12232">
        <w:r>
          <w:rPr>
            <w:color w:val="0000EE"/>
            <w:u w:val="single"/>
          </w:rPr>
          <w:t>4.1–6</w:t>
        </w:r>
      </w:hyperlink>
    </w:p>
    <w:p>
      <w:r/>
      <w:r>
        <w:t xml:space="preserve">Les chrétiens doivent vivre conformément à la volonté de Dieu (voir </w:t>
      </w:r>
      <w:hyperlink r:id="rId12182">
        <w:r>
          <w:rPr>
            <w:color w:val="0000EE"/>
            <w:u w:val="single"/>
          </w:rPr>
          <w:t xml:space="preserve">1.14 </w:t>
        </w:r>
      </w:hyperlink>
      <w:r>
        <w:t xml:space="preserve">; </w:t>
      </w:r>
      <w:hyperlink r:id="rId12233">
        <w:r>
          <w:rPr>
            <w:color w:val="0000EE"/>
            <w:u w:val="single"/>
          </w:rPr>
          <w:t>2.1–2, 11–12, 15</w:t>
        </w:r>
      </w:hyperlink>
      <w:r>
        <w:t>). Cela veut dire arrêter de se comporter comme leurs amis incroyants et entraînera probablement des calomnies (</w:t>
      </w:r>
      <w:hyperlink r:id="rId12234">
        <w:r>
          <w:rPr>
            <w:color w:val="0000EE"/>
            <w:u w:val="single"/>
          </w:rPr>
          <w:t>4.4</w:t>
        </w:r>
      </w:hyperlink>
      <w:r>
        <w:t xml:space="preserve">). Mais cela ne doit pas pousser le chrétien à chercher à se venger, car c'est Dieu qui appliquera la justice (v. </w:t>
      </w:r>
      <w:hyperlink r:id="rId12235">
        <w:r>
          <w:rPr>
            <w:color w:val="0000EE"/>
            <w:u w:val="single"/>
          </w:rPr>
          <w:t>5</w:t>
        </w:r>
      </w:hyperlink>
      <w:r>
        <w:t>).</w:t>
      </w:r>
    </w:p>
    <w:p>
      <w:r/>
      <w:r>
        <w:t xml:space="preserve">Pierre donne ce commandement : « </w:t>
      </w:r>
      <w:r>
        <w:t xml:space="preserve">Ainsi donc, Christ ayant souffert dans la chair, vous aussi armez-vous de la même pensée. Car celui qui a souffert dans la chair en a fini avec le péché </w:t>
      </w:r>
      <w:r>
        <w:t xml:space="preserve">» (v. </w:t>
      </w:r>
      <w:hyperlink r:id="rId11895">
        <w:r>
          <w:rPr>
            <w:color w:val="0000EE"/>
            <w:u w:val="single"/>
          </w:rPr>
          <w:t>1</w:t>
        </w:r>
      </w:hyperlink>
      <w:r>
        <w:t xml:space="preserve">). Certains interprètent ces mots comme signifiant qu'à travers la souffrance, nous sommes de plus en plus sanctifiés. Cependant, si souffrir signifie ici mourir (comme le suggèrent le parallèle avec </w:t>
      </w:r>
      <w:hyperlink r:id="rId2306">
        <w:r>
          <w:rPr>
            <w:color w:val="0000EE"/>
            <w:u w:val="single"/>
          </w:rPr>
          <w:t>3.18</w:t>
        </w:r>
      </w:hyperlink>
      <w:r>
        <w:t xml:space="preserve"> et le « donc » de </w:t>
      </w:r>
      <w:hyperlink r:id="rId11895">
        <w:r>
          <w:rPr>
            <w:color w:val="0000EE"/>
            <w:u w:val="single"/>
          </w:rPr>
          <w:t>4.1</w:t>
        </w:r>
      </w:hyperlink>
      <w:r>
        <w:t xml:space="preserve">), il est plus probable que le verset </w:t>
      </w:r>
      <w:hyperlink r:id="rId11895">
        <w:r>
          <w:rPr>
            <w:color w:val="0000EE"/>
            <w:u w:val="single"/>
          </w:rPr>
          <w:t>1</w:t>
        </w:r>
      </w:hyperlink>
      <w:r>
        <w:t xml:space="preserve"> doive être compris dans le sens de </w:t>
      </w:r>
      <w:hyperlink r:id="rId12236">
        <w:r>
          <w:rPr>
            <w:color w:val="0000EE"/>
            <w:u w:val="single"/>
          </w:rPr>
          <w:t>Romains 6.6, 10–11</w:t>
        </w:r>
      </w:hyperlink>
      <w:r>
        <w:t>.</w:t>
      </w:r>
    </w:p>
    <w:p>
      <w:r/>
      <w:r>
        <w:t xml:space="preserve">Le sens de </w:t>
      </w:r>
      <w:hyperlink r:id="rId54">
        <w:r>
          <w:rPr>
            <w:color w:val="0000EE"/>
            <w:u w:val="single"/>
          </w:rPr>
          <w:t>1 Pierre 4.6</w:t>
        </w:r>
      </w:hyperlink>
      <w:r>
        <w:t xml:space="preserve"> n'est pas facile à déterminer. Certains pensent qu'il s'agit de la même prédication que celle qui est mentionnée dans </w:t>
      </w:r>
      <w:hyperlink r:id="rId53">
        <w:r>
          <w:rPr>
            <w:color w:val="0000EE"/>
            <w:u w:val="single"/>
          </w:rPr>
          <w:t>3.19</w:t>
        </w:r>
      </w:hyperlink>
      <w:r>
        <w:t xml:space="preserve">. Une autre interprétation, peut-être préférable, est qu'il ne s'agit pas ici de prédication aux morts, mais plutôt de la prédication de l'Évangile à des personnes qui sont mortes plus tard. Le sens serait que ceux qui l'ont entendu et cru, et qui sont ensuite morts, ne l'ont pas entendu en vain. En effet, l'objectif du message de la prédication était que, même si d'un point de vue purement humain ces personnes ont été jugées quant à la chair (c'est-à-dire, sont mortes), du point de vue de Dieu, elles vivent quant à l'Esprit. L'intention du verset </w:t>
      </w:r>
      <w:hyperlink r:id="rId54">
        <w:r>
          <w:rPr>
            <w:color w:val="0000EE"/>
            <w:u w:val="single"/>
          </w:rPr>
          <w:t>6</w:t>
        </w:r>
      </w:hyperlink>
      <w:r>
        <w:t xml:space="preserve"> serait donc d'encourager à continuer de vivre conformément à la volonté de Dieu, même lorsque d'anciens amis méprisent l'espérance chrétienne en soulignant que même les chrétiens meurent.</w:t>
      </w:r>
    </w:p>
    <w:p>
      <w:pPr>
        <w:pStyle w:val="Heading4"/>
      </w:pPr>
      <w:hyperlink r:id="rId12237">
        <w:r>
          <w:rPr>
            <w:color w:val="0000EE"/>
            <w:u w:val="single"/>
          </w:rPr>
          <w:t>4.7–11</w:t>
        </w:r>
      </w:hyperlink>
    </w:p>
    <w:p>
      <w:r/>
      <w:r>
        <w:t xml:space="preserve">L'importance d'être actifs en tant que chrétiens est une fois de plus mise en avant. Pour Pierre, les événements de son temps signalaient déjà le début de la fin (v. </w:t>
      </w:r>
      <w:hyperlink r:id="rId12238">
        <w:r>
          <w:rPr>
            <w:color w:val="0000EE"/>
            <w:u w:val="single"/>
          </w:rPr>
          <w:t>7, 17</w:t>
        </w:r>
      </w:hyperlink>
      <w:r>
        <w:t>). Réaliser cela rend d'autant plus important le besoin pour les chrétiens d'être attentifs en esprit et assidus dans la prière.</w:t>
      </w:r>
    </w:p>
    <w:p>
      <w:r/>
      <w:r>
        <w:t xml:space="preserve">En se confiant constamment à Dieu par la prière, les chrétiens trouvent l'aide dont ils ont besoin pour s'aimer les uns les autres et faire preuve de miséricorde envers les péchés des autres (voir </w:t>
      </w:r>
      <w:hyperlink r:id="rId12239">
        <w:r>
          <w:rPr>
            <w:color w:val="0000EE"/>
            <w:u w:val="single"/>
          </w:rPr>
          <w:t>Ep 4.1–3</w:t>
        </w:r>
      </w:hyperlink>
      <w:r>
        <w:t>). Cet amour devrait se manifester par l'hospitalité dans la joie, particulièrement importante en temps de persécution (</w:t>
      </w:r>
      <w:hyperlink r:id="rId12240">
        <w:r>
          <w:rPr>
            <w:color w:val="0000EE"/>
            <w:u w:val="single"/>
          </w:rPr>
          <w:t>1P 4.9</w:t>
        </w:r>
      </w:hyperlink>
      <w:r>
        <w:t xml:space="preserve">). Cet amour devrait inciter les chrétiens à utiliser leurs divers dons et talents pour se fortifier mutuellement dans la foi (v. </w:t>
      </w:r>
      <w:hyperlink r:id="rId12152">
        <w:r>
          <w:rPr>
            <w:color w:val="0000EE"/>
            <w:u w:val="single"/>
          </w:rPr>
          <w:t>10</w:t>
        </w:r>
      </w:hyperlink>
      <w:r>
        <w:t xml:space="preserve">). Deux domaines sont donnés en exemple : la parole et le service (les ministères du prédicateur et du diacre). Le plus important dans la parole ou le service est de comprendre pourquoi ces dons ont été donnés et donc comment les utiliser. L'objectif est « </w:t>
      </w:r>
      <w:r>
        <w:t xml:space="preserve">qu'en toutes choses Dieu soit glorifié </w:t>
      </w:r>
      <w:r>
        <w:t xml:space="preserve">» (v. </w:t>
      </w:r>
      <w:hyperlink r:id="rId12163">
        <w:r>
          <w:rPr>
            <w:color w:val="0000EE"/>
            <w:u w:val="single"/>
          </w:rPr>
          <w:t>11</w:t>
        </w:r>
      </w:hyperlink>
      <w:r>
        <w:t>). Il peut être glorifié quand on est reconnaissant d'avoir reçu la force de servir ou des paroles d'édification.</w:t>
      </w:r>
    </w:p>
    <w:p>
      <w:pPr>
        <w:pStyle w:val="Heading4"/>
      </w:pPr>
      <w:hyperlink r:id="rId12135">
        <w:r>
          <w:rPr>
            <w:color w:val="0000EE"/>
            <w:u w:val="single"/>
          </w:rPr>
          <w:t>4.12–19</w:t>
        </w:r>
      </w:hyperlink>
    </w:p>
    <w:p>
      <w:r/>
      <w:r>
        <w:t xml:space="preserve">Une fois de plus, Pierre revient sur le thème de la souffrance et des calomnies dont les chrétiens pouvaient être victimes. Des épreuves difficiles, comparées au feu d'une « fournaise » (v. </w:t>
      </w:r>
      <w:hyperlink r:id="rId2232">
        <w:r>
          <w:rPr>
            <w:color w:val="0000EE"/>
            <w:u w:val="single"/>
          </w:rPr>
          <w:t>12</w:t>
        </w:r>
      </w:hyperlink>
      <w:r>
        <w:t xml:space="preserve">), étaient à l'horizon (voir </w:t>
      </w:r>
      <w:hyperlink r:id="rId12146">
        <w:r>
          <w:rPr>
            <w:color w:val="0000EE"/>
            <w:u w:val="single"/>
          </w:rPr>
          <w:t>1.6–7</w:t>
        </w:r>
      </w:hyperlink>
      <w:r>
        <w:t xml:space="preserve">). Ces souffrances proviendraient probablement de personnes proches et hostiles plutôt que d'une persécution officielle par les autorités. Pour Pierre, ces événements seraient un jugement de Dieu sur le monde commençant par l'Église (v. </w:t>
      </w:r>
      <w:hyperlink r:id="rId12241">
        <w:r>
          <w:rPr>
            <w:color w:val="0000EE"/>
            <w:u w:val="single"/>
          </w:rPr>
          <w:t xml:space="preserve">17–18 </w:t>
        </w:r>
      </w:hyperlink>
      <w:r>
        <w:t xml:space="preserve">; voir </w:t>
      </w:r>
      <w:hyperlink r:id="rId12242">
        <w:r>
          <w:rPr>
            <w:color w:val="0000EE"/>
            <w:u w:val="single"/>
          </w:rPr>
          <w:t>Pr 11.31</w:t>
        </w:r>
      </w:hyperlink>
      <w:r>
        <w:t>). Toutefois ce jugement de Dieu sur l'Église avait pour but de la purifier plutôt que de la punir (</w:t>
      </w:r>
      <w:hyperlink r:id="rId8633">
        <w:r>
          <w:rPr>
            <w:color w:val="0000EE"/>
            <w:u w:val="single"/>
          </w:rPr>
          <w:t xml:space="preserve">1P 4.14 </w:t>
        </w:r>
      </w:hyperlink>
      <w:r>
        <w:t xml:space="preserve">; voir </w:t>
      </w:r>
      <w:hyperlink r:id="rId12146">
        <w:r>
          <w:rPr>
            <w:color w:val="0000EE"/>
            <w:u w:val="single"/>
          </w:rPr>
          <w:t>1.6–7</w:t>
        </w:r>
      </w:hyperlink>
      <w:r>
        <w:t>).</w:t>
      </w:r>
    </w:p>
    <w:p>
      <w:r/>
      <w:r>
        <w:t xml:space="preserve">Pierre rappelle qu'il est normal pour le chrétien de connaître la souffrance (v. </w:t>
      </w:r>
      <w:hyperlink r:id="rId697">
        <w:r>
          <w:rPr>
            <w:color w:val="0000EE"/>
            <w:u w:val="single"/>
          </w:rPr>
          <w:t xml:space="preserve">19 </w:t>
        </w:r>
      </w:hyperlink>
      <w:r>
        <w:t xml:space="preserve">; voir </w:t>
      </w:r>
      <w:hyperlink r:id="rId12222">
        <w:r>
          <w:rPr>
            <w:color w:val="0000EE"/>
            <w:u w:val="single"/>
          </w:rPr>
          <w:t xml:space="preserve">3.14 </w:t>
        </w:r>
      </w:hyperlink>
      <w:r>
        <w:t xml:space="preserve">; </w:t>
      </w:r>
      <w:hyperlink r:id="rId11889">
        <w:r>
          <w:rPr>
            <w:color w:val="0000EE"/>
            <w:u w:val="single"/>
          </w:rPr>
          <w:t xml:space="preserve">Ac 14.22 </w:t>
        </w:r>
      </w:hyperlink>
      <w:r>
        <w:t xml:space="preserve">; </w:t>
      </w:r>
      <w:hyperlink r:id="rId12243">
        <w:r>
          <w:rPr>
            <w:color w:val="0000EE"/>
            <w:u w:val="single"/>
          </w:rPr>
          <w:t>1Th 3.3</w:t>
        </w:r>
      </w:hyperlink>
      <w:r>
        <w:t>) et que Christ lui-même a été ainsi maltraité (</w:t>
      </w:r>
      <w:hyperlink r:id="rId12227">
        <w:r>
          <w:rPr>
            <w:color w:val="0000EE"/>
            <w:u w:val="single"/>
          </w:rPr>
          <w:t xml:space="preserve">1P 2.21–25 </w:t>
        </w:r>
      </w:hyperlink>
      <w:r>
        <w:t xml:space="preserve">; </w:t>
      </w:r>
      <w:hyperlink r:id="rId12244">
        <w:r>
          <w:rPr>
            <w:color w:val="0000EE"/>
            <w:u w:val="single"/>
          </w:rPr>
          <w:t>Mt 10.25</w:t>
        </w:r>
      </w:hyperlink>
      <w:r>
        <w:t>). Ils encourage les disciples à confier leurs âmes à leur fidèle Créateur (</w:t>
      </w:r>
      <w:hyperlink r:id="rId697">
        <w:r>
          <w:rPr>
            <w:color w:val="0000EE"/>
            <w:u w:val="single"/>
          </w:rPr>
          <w:t>1P 4.19</w:t>
        </w:r>
      </w:hyperlink>
      <w:r>
        <w:t xml:space="preserve">), à se réjouir (v. </w:t>
      </w:r>
      <w:hyperlink r:id="rId12245">
        <w:r>
          <w:rPr>
            <w:color w:val="0000EE"/>
            <w:u w:val="single"/>
          </w:rPr>
          <w:t>13</w:t>
        </w:r>
      </w:hyperlink>
      <w:r>
        <w:t xml:space="preserve">) et à persévérer à faire le bien (v. </w:t>
      </w:r>
      <w:hyperlink r:id="rId697">
        <w:r>
          <w:rPr>
            <w:color w:val="0000EE"/>
            <w:u w:val="single"/>
          </w:rPr>
          <w:t>19</w:t>
        </w:r>
      </w:hyperlink>
      <w:r>
        <w:t xml:space="preserve">), glorifiant ainsi Dieu (v. </w:t>
      </w:r>
      <w:hyperlink r:id="rId2493">
        <w:r>
          <w:rPr>
            <w:color w:val="0000EE"/>
            <w:u w:val="single"/>
          </w:rPr>
          <w:t>16</w:t>
        </w:r>
      </w:hyperlink>
      <w:r>
        <w:t xml:space="preserve">). Lorsque les croyants se comportent ainsi dans la souffrance, ils sont heureux (v. </w:t>
      </w:r>
      <w:hyperlink r:id="rId8633">
        <w:r>
          <w:rPr>
            <w:color w:val="0000EE"/>
            <w:u w:val="single"/>
          </w:rPr>
          <w:t>14</w:t>
        </w:r>
      </w:hyperlink>
      <w:r>
        <w:t>), car Dieu se montre proche d'eux et les rassure.</w:t>
      </w:r>
    </w:p>
    <w:p>
      <w:pPr>
        <w:pStyle w:val="Heading4"/>
      </w:pPr>
      <w:hyperlink r:id="rId12144">
        <w:r>
          <w:rPr>
            <w:color w:val="0000EE"/>
            <w:u w:val="single"/>
          </w:rPr>
          <w:t>5.1–7</w:t>
        </w:r>
      </w:hyperlink>
    </w:p>
    <w:p>
      <w:r/>
      <w:r>
        <w:t xml:space="preserve">Ici encore, Pierre enseigne au sujet des relations au sein de l'Église (comme dans </w:t>
      </w:r>
      <w:hyperlink r:id="rId12143">
        <w:r>
          <w:rPr>
            <w:color w:val="0000EE"/>
            <w:u w:val="single"/>
          </w:rPr>
          <w:t xml:space="preserve">3.8 </w:t>
        </w:r>
      </w:hyperlink>
      <w:r>
        <w:t xml:space="preserve">; </w:t>
      </w:r>
      <w:hyperlink r:id="rId12237">
        <w:r>
          <w:rPr>
            <w:color w:val="0000EE"/>
            <w:u w:val="single"/>
          </w:rPr>
          <w:t>4.7–11</w:t>
        </w:r>
      </w:hyperlink>
      <w:r>
        <w:t>). Il dit aux anciens comment être de bons bergers (</w:t>
      </w:r>
      <w:hyperlink r:id="rId1827">
        <w:r>
          <w:rPr>
            <w:color w:val="0000EE"/>
            <w:u w:val="single"/>
          </w:rPr>
          <w:t>5.1–4</w:t>
        </w:r>
      </w:hyperlink>
      <w:r>
        <w:t xml:space="preserve">), aux jeunes comment traiter leurs anciens (v. </w:t>
      </w:r>
      <w:hyperlink r:id="rId5677">
        <w:r>
          <w:rPr>
            <w:color w:val="0000EE"/>
            <w:u w:val="single"/>
          </w:rPr>
          <w:t>5</w:t>
        </w:r>
      </w:hyperlink>
      <w:r>
        <w:t>), et à tout le monde comment être humble les uns envers les autres.</w:t>
      </w:r>
    </w:p>
    <w:p>
      <w:r/>
      <w:r>
        <w:t xml:space="preserve">Pierre rappelle aux croyants que Dieu s'oppose aux orgueilleux mais accorde sa grâce aux humbles (v. </w:t>
      </w:r>
      <w:hyperlink r:id="rId5677">
        <w:r>
          <w:rPr>
            <w:color w:val="0000EE"/>
            <w:u w:val="single"/>
          </w:rPr>
          <w:t xml:space="preserve">5 </w:t>
        </w:r>
      </w:hyperlink>
      <w:r>
        <w:t xml:space="preserve">; voir </w:t>
      </w:r>
      <w:hyperlink r:id="rId6574">
        <w:r>
          <w:rPr>
            <w:color w:val="0000EE"/>
            <w:u w:val="single"/>
          </w:rPr>
          <w:t xml:space="preserve">Mt 23.12 </w:t>
        </w:r>
      </w:hyperlink>
      <w:r>
        <w:t xml:space="preserve">; </w:t>
      </w:r>
      <w:hyperlink r:id="rId5676">
        <w:r>
          <w:rPr>
            <w:color w:val="0000EE"/>
            <w:u w:val="single"/>
          </w:rPr>
          <w:t>Jc 4.6</w:t>
        </w:r>
      </w:hyperlink>
      <w:r>
        <w:t>). Dieu élèvera dans l'âge à venir ceux qui se seront abaissés (</w:t>
      </w:r>
      <w:hyperlink r:id="rId12246">
        <w:r>
          <w:rPr>
            <w:color w:val="0000EE"/>
            <w:u w:val="single"/>
          </w:rPr>
          <w:t xml:space="preserve">1P 5.6 </w:t>
        </w:r>
      </w:hyperlink>
      <w:r>
        <w:t xml:space="preserve">; voir </w:t>
      </w:r>
      <w:hyperlink r:id="rId6573">
        <w:r>
          <w:rPr>
            <w:color w:val="0000EE"/>
            <w:u w:val="single"/>
          </w:rPr>
          <w:t xml:space="preserve">Lc 14.11 </w:t>
        </w:r>
      </w:hyperlink>
      <w:r>
        <w:t xml:space="preserve">; </w:t>
      </w:r>
      <w:hyperlink r:id="rId8032">
        <w:r>
          <w:rPr>
            <w:color w:val="0000EE"/>
            <w:u w:val="single"/>
          </w:rPr>
          <w:t xml:space="preserve">18.14 </w:t>
        </w:r>
      </w:hyperlink>
      <w:r>
        <w:t xml:space="preserve">; </w:t>
      </w:r>
      <w:hyperlink r:id="rId12247">
        <w:r>
          <w:rPr>
            <w:color w:val="0000EE"/>
            <w:u w:val="single"/>
          </w:rPr>
          <w:t>Jc 4.10</w:t>
        </w:r>
      </w:hyperlink>
      <w:r>
        <w:t>). Il est important pour le peuple de Dieu de se décharger de ses soucis sur lui, car lui-même prend soin de son peuple (</w:t>
      </w:r>
      <w:hyperlink r:id="rId11955">
        <w:r>
          <w:rPr>
            <w:color w:val="0000EE"/>
            <w:u w:val="single"/>
          </w:rPr>
          <w:t xml:space="preserve">1P 5.7 </w:t>
        </w:r>
      </w:hyperlink>
      <w:r>
        <w:t xml:space="preserve">; voir </w:t>
      </w:r>
      <w:hyperlink r:id="rId12248">
        <w:r>
          <w:rPr>
            <w:color w:val="0000EE"/>
            <w:u w:val="single"/>
          </w:rPr>
          <w:t xml:space="preserve">Ps 55.22 </w:t>
        </w:r>
      </w:hyperlink>
      <w:r>
        <w:t xml:space="preserve">; </w:t>
      </w:r>
      <w:hyperlink r:id="rId12249">
        <w:r>
          <w:rPr>
            <w:color w:val="0000EE"/>
            <w:u w:val="single"/>
          </w:rPr>
          <w:t>Mt 6.25–30</w:t>
        </w:r>
      </w:hyperlink>
      <w:r>
        <w:t>).</w:t>
      </w:r>
    </w:p>
    <w:p>
      <w:r/>
      <w:r>
        <w:t>Les jeunes gens ainsi rendus humbles se soumettront à leurs anciens et les respecteront (</w:t>
      </w:r>
      <w:hyperlink r:id="rId5677">
        <w:r>
          <w:rPr>
            <w:color w:val="0000EE"/>
            <w:u w:val="single"/>
          </w:rPr>
          <w:t>1P 5.5</w:t>
        </w:r>
      </w:hyperlink>
      <w:r>
        <w:t xml:space="preserve">). Les anciens ainsi rendus humbles ne domineront pas sur le troupeau que Dieu leur a confié (v. </w:t>
      </w:r>
      <w:hyperlink r:id="rId12250">
        <w:r>
          <w:rPr>
            <w:color w:val="0000EE"/>
            <w:u w:val="single"/>
          </w:rPr>
          <w:t>3</w:t>
        </w:r>
      </w:hyperlink>
      <w:r>
        <w:t xml:space="preserve">). Ils ne seront pas cupides et n'hésiteront pas à servir (v. </w:t>
      </w:r>
      <w:hyperlink r:id="rId12251">
        <w:r>
          <w:rPr>
            <w:color w:val="0000EE"/>
            <w:u w:val="single"/>
          </w:rPr>
          <w:t>2</w:t>
        </w:r>
      </w:hyperlink>
      <w:r>
        <w:t>), mais guideront le troupeau en lui donnant un exemple d'humilité.</w:t>
      </w:r>
    </w:p>
    <w:p>
      <w:pPr>
        <w:pStyle w:val="Heading4"/>
      </w:pPr>
      <w:hyperlink r:id="rId12252">
        <w:r>
          <w:rPr>
            <w:color w:val="0000EE"/>
            <w:u w:val="single"/>
          </w:rPr>
          <w:t>5.8–11</w:t>
        </w:r>
      </w:hyperlink>
    </w:p>
    <w:p>
      <w:r/>
      <w:r>
        <w:t xml:space="preserve">Pierre revient à nouveau sur le sujet de la souffrance. Elle est le lot universel des chrétiens (v. </w:t>
      </w:r>
      <w:hyperlink r:id="rId5788">
        <w:r>
          <w:rPr>
            <w:color w:val="0000EE"/>
            <w:u w:val="single"/>
          </w:rPr>
          <w:t xml:space="preserve">9 </w:t>
        </w:r>
      </w:hyperlink>
      <w:r>
        <w:t xml:space="preserve">; voir </w:t>
      </w:r>
      <w:hyperlink r:id="rId2232">
        <w:r>
          <w:rPr>
            <w:color w:val="0000EE"/>
            <w:u w:val="single"/>
          </w:rPr>
          <w:t>4.12</w:t>
        </w:r>
      </w:hyperlink>
      <w:r>
        <w:t>). Même si, d'une certaine façon, elle s'inscrit dans la volonté de Dieu (</w:t>
      </w:r>
      <w:hyperlink r:id="rId11894">
        <w:r>
          <w:rPr>
            <w:color w:val="0000EE"/>
            <w:u w:val="single"/>
          </w:rPr>
          <w:t xml:space="preserve">1.6 </w:t>
        </w:r>
      </w:hyperlink>
      <w:r>
        <w:t xml:space="preserve">; </w:t>
      </w:r>
      <w:hyperlink r:id="rId12221">
        <w:r>
          <w:rPr>
            <w:color w:val="0000EE"/>
            <w:u w:val="single"/>
          </w:rPr>
          <w:t xml:space="preserve">3.17 </w:t>
        </w:r>
      </w:hyperlink>
      <w:r>
        <w:t xml:space="preserve">; </w:t>
      </w:r>
      <w:hyperlink r:id="rId697">
        <w:r>
          <w:rPr>
            <w:color w:val="0000EE"/>
            <w:u w:val="single"/>
          </w:rPr>
          <w:t>4.19</w:t>
        </w:r>
      </w:hyperlink>
      <w:r>
        <w:t>), Satan essaye de l'utiliser pour détruire leur foi. Ainsi, Pierre fait appel à l'Église pour qu'elle reste vigilante et sobre (</w:t>
      </w:r>
      <w:hyperlink r:id="rId12253">
        <w:r>
          <w:rPr>
            <w:color w:val="0000EE"/>
            <w:u w:val="single"/>
          </w:rPr>
          <w:t xml:space="preserve">5.8 </w:t>
        </w:r>
      </w:hyperlink>
      <w:r>
        <w:t xml:space="preserve">; voir aussi </w:t>
      </w:r>
      <w:hyperlink r:id="rId12153">
        <w:r>
          <w:rPr>
            <w:color w:val="0000EE"/>
            <w:u w:val="single"/>
          </w:rPr>
          <w:t xml:space="preserve">1.13 </w:t>
        </w:r>
      </w:hyperlink>
      <w:r>
        <w:t xml:space="preserve">; </w:t>
      </w:r>
      <w:hyperlink r:id="rId12254">
        <w:r>
          <w:rPr>
            <w:color w:val="0000EE"/>
            <w:u w:val="single"/>
          </w:rPr>
          <w:t>4.7</w:t>
        </w:r>
      </w:hyperlink>
      <w:r>
        <w:t>), afin que les croyants puissent résister au lion par la foi.</w:t>
      </w:r>
    </w:p>
    <w:p>
      <w:pPr>
        <w:pStyle w:val="Heading4"/>
      </w:pPr>
      <w:hyperlink r:id="rId12255">
        <w:r>
          <w:rPr>
            <w:color w:val="0000EE"/>
            <w:u w:val="single"/>
          </w:rPr>
          <w:t>5.12–14</w:t>
        </w:r>
      </w:hyperlink>
    </w:p>
    <w:p>
      <w:r/>
      <w:r>
        <w:t>En conclusion, Pierre décrit sa lettre de « peu de mots » comme une exhortation et un témoignage concernant la véritable grâce de Dieu. Ainsi, la lettre n'est pas un appel à un dur labeur pour Dieu. Au contraire, elle appelle à reconnaître et apprécier le dur labeur de Dieu dans la grâce, et à vivre selon ce labeur. Comme mentionné plus tôt, la lettre a été écrite avec l'aide de Silas (en grec Silvanus</w:t>
      </w:r>
      <w:r>
        <w:rPr>
          <w:i/>
        </w:rPr>
        <w:t>,</w:t>
      </w:r>
      <w:r>
        <w:t xml:space="preserve"> probablement la même personne que dans </w:t>
      </w:r>
      <w:hyperlink r:id="rId9190">
        <w:r>
          <w:rPr>
            <w:color w:val="0000EE"/>
            <w:u w:val="single"/>
          </w:rPr>
          <w:t xml:space="preserve">Ac 16.25 </w:t>
        </w:r>
      </w:hyperlink>
      <w:r>
        <w:t xml:space="preserve">; </w:t>
      </w:r>
      <w:hyperlink r:id="rId4556">
        <w:r>
          <w:rPr>
            <w:color w:val="0000EE"/>
            <w:u w:val="single"/>
          </w:rPr>
          <w:t xml:space="preserve">1Th 1.1 </w:t>
        </w:r>
      </w:hyperlink>
      <w:r>
        <w:t xml:space="preserve">; </w:t>
      </w:r>
      <w:hyperlink r:id="rId12256">
        <w:r>
          <w:rPr>
            <w:color w:val="0000EE"/>
            <w:u w:val="single"/>
          </w:rPr>
          <w:t>2Th 1.1</w:t>
        </w:r>
      </w:hyperlink>
      <w:r>
        <w:t xml:space="preserve">). Elle a été écrite depuis Rome. Des salutations sont envoyées de la part de Marc (probablement l'auteur de l'Évangile et ancien compagnon missionnaire de Paul, voir </w:t>
      </w:r>
      <w:hyperlink r:id="rId1696">
        <w:r>
          <w:rPr>
            <w:color w:val="0000EE"/>
            <w:u w:val="single"/>
          </w:rPr>
          <w:t xml:space="preserve">Ac 13.13 </w:t>
        </w:r>
      </w:hyperlink>
      <w:r>
        <w:t xml:space="preserve">; </w:t>
      </w:r>
      <w:hyperlink r:id="rId12257">
        <w:r>
          <w:rPr>
            <w:color w:val="0000EE"/>
            <w:u w:val="single"/>
          </w:rPr>
          <w:t xml:space="preserve">15.37 </w:t>
        </w:r>
      </w:hyperlink>
      <w:r>
        <w:t xml:space="preserve">; </w:t>
      </w:r>
      <w:hyperlink r:id="rId128">
        <w:r>
          <w:rPr>
            <w:color w:val="0000EE"/>
            <w:u w:val="single"/>
          </w:rPr>
          <w:t>2Tm 4.11</w:t>
        </w:r>
      </w:hyperlink>
      <w:r>
        <w:t>) et de toute l'Église. Les derniers mots de Pierre invoquent la paix sur les Églises et exhorte ses destinataires à l'affection les uns envers les autres.</w:t>
      </w:r>
    </w:p>
    <w:p>
      <w:r/>
      <w:r>
        <w:rPr>
          <w:i/>
        </w:rPr>
        <w:t>Voir aussi</w:t>
      </w:r>
      <w:r>
        <w:t xml:space="preserve"> </w:t>
      </w:r>
      <w:r>
        <w:t xml:space="preserve">souffrance </w:t>
      </w:r>
      <w:r>
        <w:t xml:space="preserve">; </w:t>
      </w:r>
      <w:r>
        <w:t xml:space="preserve">Pierre (l'apôtre) </w:t>
      </w:r>
      <w:r>
        <w:t xml:space="preserve">; </w:t>
      </w:r>
      <w:r>
        <w:t>esprits en prison</w:t>
      </w:r>
      <w:r>
        <w:t>.</w:t>
      </w:r>
      <w:r/>
      <w:r/>
    </w:p>
    <w:p>
      <w:r/>
    </w:p>
    <w:p>
      <w:pPr>
        <w:pStyle w:val="Heading2"/>
      </w:pPr>
      <w:r>
        <w:t>Pierre angulaire</w:t>
      </w:r>
      <w:r/>
    </w:p>
    <w:p>
      <w:r/>
      <w:r>
        <w:t>La pierre angulaire est la pierre la plus importante dans la fondation d'un bâtiment. Dans le Nouveau Testament, Jésus est appelé la « pierre angulaire » (ou « pierre de l'angle ») pour souligner son rôle central dans le plan de Dieu.</w:t>
      </w:r>
    </w:p>
    <w:p>
      <w:pPr>
        <w:pStyle w:val="Heading3"/>
      </w:pPr>
      <w:r>
        <w:t>La pierre angulaire dans l'enseignement de Jésus</w:t>
      </w:r>
    </w:p>
    <w:p>
      <w:r/>
      <w:r>
        <w:t>Jésus parle de la pierre de l'angle dans la parabole des vignerons (</w:t>
      </w:r>
      <w:hyperlink r:id="rId12258">
        <w:r>
          <w:rPr>
            <w:color w:val="0000EE"/>
            <w:u w:val="single"/>
          </w:rPr>
          <w:t>Mt 21.42</w:t>
        </w:r>
      </w:hyperlink>
      <w:r>
        <w:t xml:space="preserve"> ; </w:t>
      </w:r>
      <w:hyperlink r:id="rId12259">
        <w:r>
          <w:rPr>
            <w:color w:val="0000EE"/>
            <w:u w:val="single"/>
          </w:rPr>
          <w:t>Mc 12.10</w:t>
        </w:r>
      </w:hyperlink>
      <w:r>
        <w:t xml:space="preserve"> ; </w:t>
      </w:r>
      <w:hyperlink r:id="rId12260">
        <w:r>
          <w:rPr>
            <w:color w:val="0000EE"/>
            <w:u w:val="single"/>
          </w:rPr>
          <w:t>Lc 20.17</w:t>
        </w:r>
      </w:hyperlink>
      <w:r>
        <w:t>). Il la raconte alors qu'il est à Jérusalem pour la dernière fois. Il vient de chasser les marchands du Temple. Les chefs religieux s'opposaient déjà constamment à lui et sont scandalisés par ce qu'il vient de faire. Cette parabole fait partie de la réponse que Jésus leur donne.</w:t>
      </w:r>
    </w:p>
    <w:p>
      <w:r/>
      <w:r>
        <w:t>Dans cette parabole, un vignoble (ou vigne) est confié à des ouvriers pour qu'ils le cultivent et s'en occupent. Le vignoble représente le peuple de Dieu. Le propriétaire du vignoble est Dieu lui-même. Les ouvriers sont les chefs religieux du peuple. La parabole raconte que quand le propriétaire envoie des serviteurs pour recevoir les récoltes, les ouvriers les maltraitent. Ils tuent aussi son fils. À la fin de l'histoire, tous ceux qui écoutent sont d'accord : le propriétaire va faire payer ces méchants ouvriers. Jésus utilise cette parabole pour dire que les chefs religieux ont persécuté les serviteurs de Dieu et vont rejeter et tuer Jésus lui-même, le Fils de Dieu.</w:t>
      </w:r>
    </w:p>
    <w:p>
      <w:r/>
      <w:r>
        <w:t xml:space="preserve">Jésus indique ainsi également qu'il va bientôt mourir. Il cite le </w:t>
      </w:r>
      <w:hyperlink r:id="rId12261">
        <w:r>
          <w:rPr>
            <w:color w:val="0000EE"/>
            <w:u w:val="single"/>
          </w:rPr>
          <w:t>Psaume 118.22–23</w:t>
        </w:r>
      </w:hyperlink>
      <w:r>
        <w:t xml:space="preserve"> et </w:t>
      </w:r>
      <w:hyperlink r:id="rId12262">
        <w:r>
          <w:rPr>
            <w:color w:val="0000EE"/>
            <w:u w:val="single"/>
          </w:rPr>
          <w:t>Ésaïe 28.16</w:t>
        </w:r>
      </w:hyperlink>
      <w:r>
        <w:t>. Ces passages parlent d'une pierre que les bâtisseurs ont rejetée, mais qui devient ensuite la pierre la plus importante de l'édifice. Ce que Jésus dit, c'est que les chefs religieux juifs vont le rejeter, mais que Dieu fera de lui la partie la plus importante de son plan.</w:t>
      </w:r>
    </w:p>
    <w:p>
      <w:pPr>
        <w:pStyle w:val="Heading3"/>
      </w:pPr>
      <w:r>
        <w:t>La pierre angulaire dans l'enseignement de Pierre</w:t>
      </w:r>
    </w:p>
    <w:p>
      <w:r/>
      <w:r>
        <w:t>Pierre parle aussi de Jésus comme la pierre angulaire alors qu'il prêche devant les chefs religieux juifs à Jérusalem (</w:t>
      </w:r>
      <w:hyperlink r:id="rId12263">
        <w:r>
          <w:rPr>
            <w:color w:val="0000EE"/>
            <w:u w:val="single"/>
          </w:rPr>
          <w:t>Ac 4.11</w:t>
        </w:r>
      </w:hyperlink>
      <w:r>
        <w:t>). Pierre explique comment un homme qui ne pouvait pas marcher a été guéri près de la porte du Temple par la puissance de Jésus de Nazareth. Dans son message aux chefs religieux, Pierre leur rappelle qu'ils ont tué Jésus, mais que Dieu l'a ramené à la vie (</w:t>
      </w:r>
      <w:hyperlink r:id="rId5179">
        <w:r>
          <w:rPr>
            <w:color w:val="0000EE"/>
            <w:u w:val="single"/>
          </w:rPr>
          <w:t>Ac 4.10</w:t>
        </w:r>
      </w:hyperlink>
      <w:r>
        <w:t>).</w:t>
      </w:r>
    </w:p>
    <w:p>
      <w:r/>
      <w:r>
        <w:t xml:space="preserve">Pierre cite ensuite le </w:t>
      </w:r>
      <w:hyperlink r:id="rId12264">
        <w:r>
          <w:rPr>
            <w:color w:val="0000EE"/>
            <w:u w:val="single"/>
          </w:rPr>
          <w:t>Psaume 118.22</w:t>
        </w:r>
      </w:hyperlink>
      <w:r>
        <w:t xml:space="preserve"> pour montrer que ces événements étaient décrits dans l'Ancien Testament (AT). Quand Pierre parle de la pierre qui est rejetée, il parle du fait que Jésus avait été mis à mort. Il explique que comme la pierre rejetée est devenue la plus importante dans le psaume, ainsi Dieu a ressuscité Jésus et lui a donné la plus haute autorité. C'est là le sens du titre « pierre angulaire » de Jésus : il occupe désormais la position la plus importante auprès de Dieu le Père.</w:t>
      </w:r>
    </w:p>
    <w:p>
      <w:r/>
      <w:r>
        <w:t xml:space="preserve">Pierre parle encore de Jésus comme la « pierre angulaire » dans </w:t>
      </w:r>
      <w:hyperlink r:id="rId12265">
        <w:r>
          <w:rPr>
            <w:color w:val="0000EE"/>
            <w:u w:val="single"/>
          </w:rPr>
          <w:t>1 Pierre 2.6–7</w:t>
        </w:r>
      </w:hyperlink>
      <w:r>
        <w:t xml:space="preserve">. Juste avant, au verset </w:t>
      </w:r>
      <w:hyperlink r:id="rId12157">
        <w:r>
          <w:rPr>
            <w:color w:val="0000EE"/>
            <w:u w:val="single"/>
          </w:rPr>
          <w:t>4</w:t>
        </w:r>
      </w:hyperlink>
      <w:r>
        <w:t xml:space="preserve">, Pierre associe l'enseignement concernant la pierre rejetée dans le </w:t>
      </w:r>
      <w:hyperlink r:id="rId12264">
        <w:r>
          <w:rPr>
            <w:color w:val="0000EE"/>
            <w:u w:val="single"/>
          </w:rPr>
          <w:t>Psaume 118.22</w:t>
        </w:r>
      </w:hyperlink>
      <w:r>
        <w:t xml:space="preserve"> avec celui de la pierre choisie et précieuse dans </w:t>
      </w:r>
      <w:hyperlink r:id="rId12262">
        <w:r>
          <w:rPr>
            <w:color w:val="0000EE"/>
            <w:u w:val="single"/>
          </w:rPr>
          <w:t>Ésaïe 28.16</w:t>
        </w:r>
      </w:hyperlink>
      <w:r>
        <w:t xml:space="preserve"> pour décrire Jésus. Pierre avait été témoin de sa résurrection. Il le décrit donc aussi comme une « pierre vivante ». Jésus est la « </w:t>
      </w:r>
      <w:r>
        <w:t>pierre vivante, rejetée par les hommes, mais choisie et précieuse devant Dieu ». Pierre appelle ses lecteurs à venir à Jésus, la pierre vivante. Ceux qui le font deviennent aussi des pierres que Dieu utilise pour construire une maison spirituelle dans laquelle il est adoré.</w:t>
      </w:r>
    </w:p>
    <w:p>
      <w:r/>
      <w:r>
        <w:t xml:space="preserve">Au verset </w:t>
      </w:r>
      <w:hyperlink r:id="rId12266">
        <w:r>
          <w:rPr>
            <w:color w:val="0000EE"/>
            <w:u w:val="single"/>
          </w:rPr>
          <w:t>6</w:t>
        </w:r>
      </w:hyperlink>
      <w:r>
        <w:t>, Pierre cite maintenant le texte d'</w:t>
      </w:r>
      <w:hyperlink r:id="rId12262">
        <w:r>
          <w:rPr>
            <w:color w:val="0000EE"/>
            <w:u w:val="single"/>
          </w:rPr>
          <w:t>Ésaïe 28.16</w:t>
        </w:r>
      </w:hyperlink>
      <w:r>
        <w:t xml:space="preserve">, le passage qui décrit la pierre angulaire choisie et précieuse. Il l'applique pour expliquer que ceux qui croient en elle (c'est-à-dire en Jésus) ne seront pas dans la honte et ne le regretteront pas. Par contre, aux versets </w:t>
      </w:r>
      <w:hyperlink r:id="rId12267">
        <w:r>
          <w:rPr>
            <w:color w:val="0000EE"/>
            <w:u w:val="single"/>
          </w:rPr>
          <w:t>7–8</w:t>
        </w:r>
      </w:hyperlink>
      <w:r>
        <w:t xml:space="preserve">, Pierre cite le </w:t>
      </w:r>
      <w:hyperlink r:id="rId12264">
        <w:r>
          <w:rPr>
            <w:color w:val="0000EE"/>
            <w:u w:val="single"/>
          </w:rPr>
          <w:t>Psaume 118.22</w:t>
        </w:r>
      </w:hyperlink>
      <w:r>
        <w:t>, qui parle du rejet de la pierre, ainsi qu'</w:t>
      </w:r>
      <w:hyperlink r:id="rId11000">
        <w:r>
          <w:rPr>
            <w:color w:val="0000EE"/>
            <w:u w:val="single"/>
          </w:rPr>
          <w:t>Ésaïe 8.14</w:t>
        </w:r>
      </w:hyperlink>
      <w:r>
        <w:t>, qui parle d'une pierre qui fait chuter les gens. Ils utilise ces passages pour montrer ce qui arrive à ceux qui rejettent Jésus. Ainsi, Pierre rappelle à ses lecteurs qu'ils ont été appelés par celui que des hommes ont rejeté, mais qui est exalté devant Dieu.</w:t>
      </w:r>
    </w:p>
    <w:p>
      <w:r/>
      <w:r>
        <w:t xml:space="preserve">Il est clair que le concept de la pierre angulaire de l'AT est appliqué à Jésus pour montrer son exaltation et encourager ceux qui le suivent. Dans </w:t>
      </w:r>
      <w:hyperlink r:id="rId8659">
        <w:r>
          <w:rPr>
            <w:color w:val="0000EE"/>
            <w:u w:val="single"/>
          </w:rPr>
          <w:t>Éphésiens 2.20</w:t>
        </w:r>
      </w:hyperlink>
      <w:r>
        <w:t>, Paul parle de Jésus comme la pierre angulaire sur laquelle toute son Église est construite.</w:t>
      </w:r>
      <w:r/>
      <w:r/>
    </w:p>
    <w:p>
      <w:r/>
    </w:p>
    <w:p>
      <w:pPr>
        <w:pStyle w:val="Heading2"/>
      </w:pPr>
      <w:r>
        <w:t>Pierre, Deuxième lettre de</w:t>
      </w:r>
      <w:r/>
    </w:p>
    <w:p>
      <w:r/>
      <w:r>
        <w:t>La deuxième épître générale écrite par Pierre.</w:t>
      </w:r>
    </w:p>
    <w:p>
      <w:r/>
      <w:r>
        <w:t>Aperçu</w:t>
      </w:r>
    </w:p>
    <w:p>
      <w:r/>
      <w:r>
        <w:t xml:space="preserve">• </w:t>
      </w:r>
      <w:r>
        <w:rPr>
          <w:b/>
          <w:u w:val="single"/>
        </w:rPr>
        <w:t>Auteur</w:t>
      </w:r>
    </w:p>
    <w:p>
      <w:r/>
      <w:r>
        <w:t xml:space="preserve">• </w:t>
      </w:r>
      <w:r>
        <w:rPr>
          <w:b/>
          <w:u w:val="single"/>
        </w:rPr>
        <w:t>Date, origine, destinataires</w:t>
      </w:r>
    </w:p>
    <w:p>
      <w:r/>
      <w:r>
        <w:t xml:space="preserve">• </w:t>
      </w:r>
      <w:r>
        <w:rPr>
          <w:b/>
          <w:u w:val="single"/>
        </w:rPr>
        <w:t>Contexte</w:t>
      </w:r>
    </w:p>
    <w:p>
      <w:r/>
      <w:r>
        <w:t xml:space="preserve">• </w:t>
      </w:r>
      <w:r>
        <w:rPr>
          <w:b/>
          <w:u w:val="single"/>
        </w:rPr>
        <w:t>Objectif et enseignement théologique</w:t>
      </w:r>
    </w:p>
    <w:p>
      <w:r/>
      <w:r>
        <w:t xml:space="preserve">• </w:t>
      </w:r>
      <w:r>
        <w:rPr>
          <w:b/>
          <w:u w:val="single"/>
        </w:rPr>
        <w:t>Contenu</w:t>
      </w:r>
    </w:p>
    <w:p>
      <w:pPr>
        <w:pStyle w:val="Heading3"/>
      </w:pPr>
      <w:r>
        <w:t>Auteur</w:t>
      </w:r>
    </w:p>
    <w:p>
      <w:r/>
      <w:r>
        <w:t xml:space="preserve">L'auteur est clairement identifié dans </w:t>
      </w:r>
      <w:hyperlink r:id="rId12268">
        <w:r>
          <w:rPr>
            <w:color w:val="0000EE"/>
            <w:u w:val="single"/>
          </w:rPr>
          <w:t>1.1</w:t>
        </w:r>
      </w:hyperlink>
      <w:r>
        <w:t xml:space="preserve"> comme Simon Pierre, l'un des douze apôtres choisis par Jésus. Cependant, deux points doivent être notés. Premièrement, son style diffère nettement de celui de 1 Pierre. Deuxièmement, parce que 2 Pierre est manifestement une œuvre plus tardive (voir Date ci-dessous) et intègre Jude en résumé, il est possible qu'un collaborateur de confiance (par exemple, Jean Marc) ait rassemblé les dernières préoccupations de Pierre, incorporant un résumé de l'épître de Jude après la mort de Pierre. Ainsi, 2 Pierre constitue les derniers mots de Pierre, une sorte de testament posthume dirigeant l'Église vers l'ère postapostolique. Il est également possible que Pierre ait été l'auteur derrière cette œuvre, mais pas le rédacteur, comme suggéré dans la section « Auteur » dans l'article sur la Première Épître. En tant que tel, l'épître pourrait avoir été préparée par quelqu'un d'autre que Silas (comme dans le cas de la première épître de Pierre) et expliquerait donc la différence de style entre les deux épîtres. De plus, le document écrit en tant que tel pourrait avoir été publié à titre posthume.</w:t>
      </w:r>
    </w:p>
    <w:p>
      <w:pPr>
        <w:pStyle w:val="Heading3"/>
      </w:pPr>
      <w:r>
        <w:t>Date, origine, destinataires</w:t>
      </w:r>
    </w:p>
    <w:p>
      <w:r/>
      <w:r>
        <w:t xml:space="preserve">La tradition nous dit que Pierre a été martyrisé vers l'an 64 apr. J.‑C. à Rome. Si tel est le cas, ce travail a probablement été écrit à Rome avant l'an 70 apr. J.‑C. (avant que son dernier enseignement ne soit oublié) et après l'an 60 apr. J.‑C. (la date la plus ancienne à laquelle Pierre aurait pu connaître les lettres de Paul). De plus, il a été écrit après Jude, car </w:t>
      </w:r>
      <w:hyperlink r:id="rId12269">
        <w:r>
          <w:rPr>
            <w:color w:val="0000EE"/>
            <w:u w:val="single"/>
          </w:rPr>
          <w:t>2 Pierre 2</w:t>
        </w:r>
      </w:hyperlink>
      <w:r>
        <w:t xml:space="preserve"> incorpore une version abrégée de Jude. L'origine romaine explique également la connaissance apparente de 2 Pierre qui transparaît dans 1 Clément (96 apr. J.‑C.), qui est la première utilisation de la lettre parmi les Pères de l'Église. Si </w:t>
      </w:r>
      <w:hyperlink r:id="rId12270">
        <w:r>
          <w:rPr>
            <w:color w:val="0000EE"/>
            <w:u w:val="single"/>
          </w:rPr>
          <w:t>3.1</w:t>
        </w:r>
      </w:hyperlink>
      <w:r>
        <w:t xml:space="preserve"> se réfère aux mêmes Églises mentionnées dans 1 Pierre, alors la lettre est destinée au nord-est de l'Asie Mineure. Le groupe d'Églises inclut certaines auxquelles Paul a écrit des lettres (</w:t>
      </w:r>
      <w:hyperlink r:id="rId12271">
        <w:r>
          <w:rPr>
            <w:color w:val="0000EE"/>
            <w:u w:val="single"/>
          </w:rPr>
          <w:t>3.15</w:t>
        </w:r>
      </w:hyperlink>
      <w:r>
        <w:t>). Mais les Églises pourraient tout aussi bien être toutes les Églises, auxquelles Pierre envoyait un message général.</w:t>
      </w:r>
    </w:p>
    <w:p>
      <w:pPr>
        <w:pStyle w:val="Heading3"/>
      </w:pPr>
      <w:r>
        <w:t>Contexte</w:t>
      </w:r>
    </w:p>
    <w:p>
      <w:r/>
      <w:r>
        <w:t xml:space="preserve">Dans un contexte où de nombreux cultes libertins exerçaient un pouvoir d'attraction, l'Église était constamment en danger à cause d'enseignants promouvant l'immoralité. Corinthe connaissait certainement des problèmes similaires, et </w:t>
      </w:r>
      <w:hyperlink r:id="rId8957">
        <w:r>
          <w:rPr>
            <w:color w:val="0000EE"/>
            <w:u w:val="single"/>
          </w:rPr>
          <w:t>Romains 6</w:t>
        </w:r>
      </w:hyperlink>
      <w:r>
        <w:t xml:space="preserve"> pourrait montrer que Paul était conscient d'un usage abusif similaire de son enseignement au sein de l'Église de Rome. La déclaration de Paul selon laquelle le chrétien est libre vis-à-vis de la loi (voir </w:t>
      </w:r>
      <w:hyperlink r:id="rId12272">
        <w:r>
          <w:rPr>
            <w:color w:val="0000EE"/>
            <w:u w:val="single"/>
          </w:rPr>
          <w:t>Ga 3–5</w:t>
        </w:r>
      </w:hyperlink>
      <w:r>
        <w:t>) comportait toujours le danger qu'au lieu de se soumettre à l'Esprit, certains cèdent à leurs désirs déchus, ignorant l'avertissement de Paul selon lequel ceux qui faisaient de telles choses n'hériteraient pas du royaume de Dieu. Cette tendance dans l'Église primitive semble se cacher derrière 2 Pierre.</w:t>
      </w:r>
    </w:p>
    <w:p>
      <w:pPr>
        <w:pStyle w:val="Heading3"/>
      </w:pPr>
      <w:r>
        <w:t>Objectif et enseignement théologique</w:t>
      </w:r>
    </w:p>
    <w:p>
      <w:r/>
      <w:r>
        <w:t xml:space="preserve">Comme montré clairement dans </w:t>
      </w:r>
      <w:hyperlink r:id="rId12273">
        <w:r>
          <w:rPr>
            <w:color w:val="0000EE"/>
            <w:u w:val="single"/>
          </w:rPr>
          <w:t>1.12–15</w:t>
        </w:r>
      </w:hyperlink>
      <w:r>
        <w:t>, la lettre est un testament, un dernier rappel de la vérité écrit face aux divisions causées par les faux enseignants, une ultime tentative pour stabiliser l'Église.</w:t>
      </w:r>
    </w:p>
    <w:p>
      <w:r/>
      <w:r>
        <w:t>Trois thèmes théologiques principaux se distinguent : (1) un appel à la vertu chrétienne, à la fidélité et à la tradition apostolique sur laquelle l'Église a été fondée ; (2) un fondement de cet appel sur le statut exalté de Jésus-Christ et son retour pour le jugement, rendant tous les autres objectifs de la vie insignifiants ; et (3) une dénonciation apocalyptique de ceux qui avaient fait compromis avec le monde et vivaient donc selon une éthique sub-chrétienne.</w:t>
      </w:r>
    </w:p>
    <w:p>
      <w:pPr>
        <w:pStyle w:val="Heading3"/>
      </w:pPr>
      <w:r>
        <w:t>Contenu</w:t>
      </w:r>
    </w:p>
    <w:p>
      <w:pPr>
        <w:pStyle w:val="Heading4"/>
      </w:pPr>
      <w:r>
        <w:t>Salutation (</w:t>
      </w:r>
      <w:hyperlink r:id="rId12274">
        <w:r>
          <w:rPr>
            <w:color w:val="0000EE"/>
            <w:u w:val="single"/>
          </w:rPr>
          <w:t>1.1–2</w:t>
        </w:r>
      </w:hyperlink>
      <w:r>
        <w:t>)</w:t>
      </w:r>
    </w:p>
    <w:p>
      <w:r/>
      <w:r>
        <w:t xml:space="preserve">La salutation met en avant l'autorité de Pierre ainsi que son enseignement en utilisant le titre « apôtre », et souligne la solidarité avec ses lecteurs en incluant le mot « serviteur » et en mentionnant qu'ils ont « </w:t>
      </w:r>
      <w:r>
        <w:t>une foi du même prix</w:t>
      </w:r>
      <w:r>
        <w:t xml:space="preserve"> » que lui.</w:t>
      </w:r>
    </w:p>
    <w:p>
      <w:pPr>
        <w:pStyle w:val="Heading4"/>
      </w:pPr>
      <w:r>
        <w:t>Appel à la vertu (</w:t>
      </w:r>
      <w:hyperlink r:id="rId12275">
        <w:r>
          <w:rPr>
            <w:color w:val="0000EE"/>
            <w:u w:val="single"/>
          </w:rPr>
          <w:t>1.3–21</w:t>
        </w:r>
      </w:hyperlink>
      <w:r>
        <w:t>)</w:t>
      </w:r>
    </w:p>
    <w:p>
      <w:r/>
      <w:r>
        <w:t xml:space="preserve">Dieu avait déjà agi pour appeler les chrétiens à lui. Par l'exercice de sa grâce souveraine, il leur a donné tout ce qui était nécessaire pour vivre véritablement de manière pieuse. Et il a placé devant eux des promesses formidables. Ils sont appelés à ne pas se laisser retomber dans le bourbier moral du monde, car le but de Dieu en les sauvant était de leur permettre d'échapper à ce piège. Au lieu de cela, ils sont appelés à devenir comme Christ (« </w:t>
      </w:r>
      <w:r>
        <w:t>participants de la nature divine</w:t>
      </w:r>
      <w:r>
        <w:t xml:space="preserve"> ») et doivent donc croître en vertu chrétienne. S'ils échouent dans cette croissance, ils passent à côté des promesses de Dieu, mais le zèle pour avancer confirmera leur élection et leur avenir au ciel (</w:t>
      </w:r>
      <w:hyperlink r:id="rId12276">
        <w:r>
          <w:rPr>
            <w:color w:val="0000EE"/>
            <w:u w:val="single"/>
          </w:rPr>
          <w:t>1.3–11</w:t>
        </w:r>
      </w:hyperlink>
      <w:r>
        <w:t>).</w:t>
      </w:r>
    </w:p>
    <w:p>
      <w:r/>
      <w:r>
        <w:t xml:space="preserve">Comme Pierre était sur le point de mourir, comme Jésus l'avait prédit (voir </w:t>
      </w:r>
      <w:hyperlink r:id="rId12277">
        <w:r>
          <w:rPr>
            <w:color w:val="0000EE"/>
            <w:u w:val="single"/>
          </w:rPr>
          <w:t>Jn 21.18–19</w:t>
        </w:r>
      </w:hyperlink>
      <w:r>
        <w:t>), il voulait donner à ses lecteurs une dernière parole d'encouragement. L'encouragement de Pierre était important pour deux raisons. Premièrement, il était véritablement un témoin oculaire de la gloire de Christ (c'est-à-dire la Transfiguration, un événement qui a dû profondément impressionner Pierre, mais qui est cité ici parce qu'il a révélé la gloire, la puissance et l'autorité de Jésus et a uni l'Ancien et le Nouveau Testaments). Contrairement aux faux enseignants, sa tradition est basée sur ce que Dieu a réellement fait, et non sur de simples spéculations. Deuxièmement, son expérience confirme la prophétie de l'Ancien Testament. Comme Pierre et ses disciples dans la tradition apostolique, les prophètes de l'Ancien Testament étaient inspirés par le Saint-Esprit. Ainsi, seul l'Esprit donne la véritable interprétation, et les interprétations innovantes des faux enseignants sont donc erronées (</w:t>
      </w:r>
      <w:hyperlink r:id="rId12278">
        <w:r>
          <w:rPr>
            <w:color w:val="0000EE"/>
            <w:u w:val="single"/>
          </w:rPr>
          <w:t>2P 1.12–21</w:t>
        </w:r>
      </w:hyperlink>
      <w:r>
        <w:t>).</w:t>
      </w:r>
    </w:p>
    <w:p>
      <w:pPr>
        <w:pStyle w:val="Heading4"/>
      </w:pPr>
      <w:r>
        <w:t>Dénonciation des faux enseignants (</w:t>
      </w:r>
      <w:hyperlink r:id="rId12269">
        <w:r>
          <w:rPr>
            <w:color w:val="0000EE"/>
            <w:u w:val="single"/>
          </w:rPr>
          <w:t>2.1–22</w:t>
        </w:r>
      </w:hyperlink>
      <w:r>
        <w:t>)</w:t>
      </w:r>
    </w:p>
    <w:p>
      <w:r/>
      <w:r>
        <w:t xml:space="preserve">Les chrétiens doivent être encouragés à rester fermes dans la vertu, car il y a toujours eu de faux enseignants dans l'Église qui déforment les Écritures de l'Ancien Testament pour justifier leur propre comportement. L'identité exacte de ces enseignants est incertaine, mais certaines de leurs actions sont claires. Tout d'abord, ils étaient libertins au niveau de leurs mœurs, déformant sans doute l'enseignement de Paul concernant la liberté par rapport à la loi pour justifier leurs actes (voir </w:t>
      </w:r>
      <w:hyperlink r:id="rId12271">
        <w:r>
          <w:rPr>
            <w:color w:val="0000EE"/>
            <w:u w:val="single"/>
          </w:rPr>
          <w:t>3.15</w:t>
        </w:r>
      </w:hyperlink>
      <w:r>
        <w:t xml:space="preserve"> ; </w:t>
      </w:r>
      <w:hyperlink r:id="rId3213">
        <w:r>
          <w:rPr>
            <w:color w:val="0000EE"/>
            <w:u w:val="single"/>
          </w:rPr>
          <w:t>1Co 6.12–20</w:t>
        </w:r>
      </w:hyperlink>
      <w:r>
        <w:t xml:space="preserve"> montre un problème similaire à Corinthe). Deuxièmement, ils formaient des groupes loyaux envers eux-mêmes, exploitant ces personnes et les entraînant dans le péché (cf. </w:t>
      </w:r>
      <w:hyperlink r:id="rId12279">
        <w:r>
          <w:rPr>
            <w:color w:val="0000EE"/>
            <w:u w:val="single"/>
          </w:rPr>
          <w:t>1Co 1–3</w:t>
        </w:r>
      </w:hyperlink>
      <w:r>
        <w:t xml:space="preserve"> pour un autre exemple de formation de groupes dissidents). Troisièmement, ils enseignaient sur les pouvoirs angéliques et démoniaques, maudissant certains d'entre eux, ce qui révélait un manque de respect général pour l'autorité (</w:t>
      </w:r>
      <w:hyperlink r:id="rId12280">
        <w:r>
          <w:rPr>
            <w:color w:val="0000EE"/>
            <w:u w:val="single"/>
          </w:rPr>
          <w:t>2P 2.10</w:t>
        </w:r>
      </w:hyperlink>
      <w:r>
        <w:t xml:space="preserve"> ; voir </w:t>
      </w:r>
      <w:hyperlink r:id="rId2920">
        <w:r>
          <w:rPr>
            <w:color w:val="0000EE"/>
            <w:u w:val="single"/>
          </w:rPr>
          <w:t>Col 2.8</w:t>
        </w:r>
      </w:hyperlink>
      <w:r>
        <w:t>). Quatrièmement, bien que sectaires en dernière analyse, ils célébraient encore le Repas du Seigneur (qui à cette époque était encore un repas commun, comme il le serait encore pour un siècle) avec l'Église et souillaient ainsi la célébration tout entière (</w:t>
      </w:r>
      <w:hyperlink r:id="rId12281">
        <w:r>
          <w:rPr>
            <w:color w:val="0000EE"/>
            <w:u w:val="single"/>
          </w:rPr>
          <w:t>2P 2.13</w:t>
        </w:r>
      </w:hyperlink>
      <w:r>
        <w:t>).</w:t>
      </w:r>
    </w:p>
    <w:p>
      <w:r/>
      <w:r>
        <w:t xml:space="preserve">La préoccupation majoritaire de Pierre est que ces personnes sont sectaires. (« </w:t>
      </w:r>
      <w:r>
        <w:t>sectes pernicieuses</w:t>
      </w:r>
      <w:r>
        <w:t xml:space="preserve"> » se réfère à des groupes séparés de l'Église, et non à des différences doctrinales, qui est le sens que le mot « secte » a parfois pris des siècles plus tard.) Ces enseignants formaient des groupes marqués par leur comportement immoral. Ils niaient l'autorité de Christ, même s'il les avait autrefois rachetés du péché. Ils reniaient Christ en rejetant son enseignement clair contre la cupidité et l'immoralité, et entraînaient d'autres dans leur sillage, discréditant ainsi toute la foi chrétienne aux yeux du monde. Leur motivation était la cupidité, et leur destin prédit était le jugement, bien que cela puisse ne pas être apparent pour ceux qui ne connaissent pas les Écritures.</w:t>
      </w:r>
    </w:p>
    <w:p>
      <w:r/>
      <w:r>
        <w:t>Ce jugement est certain, comme le montrent les exemples de l'Ancien Testament du jugement des personnes immorales (ainsi que le salut des justes) : par exemple, des anges (</w:t>
      </w:r>
      <w:hyperlink r:id="rId4948">
        <w:r>
          <w:rPr>
            <w:color w:val="0000EE"/>
            <w:u w:val="single"/>
          </w:rPr>
          <w:t>Gn 6.1–4</w:t>
        </w:r>
      </w:hyperlink>
      <w:r>
        <w:t xml:space="preserve">), du peuple du temps de Noé (v. </w:t>
      </w:r>
      <w:hyperlink r:id="rId12282">
        <w:r>
          <w:rPr>
            <w:color w:val="0000EE"/>
            <w:u w:val="single"/>
          </w:rPr>
          <w:t>5–22</w:t>
        </w:r>
      </w:hyperlink>
      <w:r>
        <w:t xml:space="preserve">), et de Sodome (chap. </w:t>
      </w:r>
      <w:hyperlink r:id="rId12283">
        <w:r>
          <w:rPr>
            <w:color w:val="0000EE"/>
            <w:u w:val="single"/>
          </w:rPr>
          <w:t>18–19</w:t>
        </w:r>
      </w:hyperlink>
      <w:r>
        <w:t>). Dans chaque cas, Dieu avait délivré les quelques individus justes, même s'il a sévèrement jugé la majorité maléfique ; encourageant ainsi les lecteurs à être justes à l'instar de Noé et de Lot. De plus, les lecteurs pourraient s'identifier à Lot dans leur propre détresse face à l'immoralité qui avait lieu dans leur Église (</w:t>
      </w:r>
      <w:hyperlink r:id="rId12284">
        <w:r>
          <w:rPr>
            <w:color w:val="0000EE"/>
            <w:u w:val="single"/>
          </w:rPr>
          <w:t>2P 2.4–10</w:t>
        </w:r>
      </w:hyperlink>
      <w:r>
        <w:t xml:space="preserve"> ; voir </w:t>
      </w:r>
      <w:hyperlink r:id="rId12285">
        <w:r>
          <w:rPr>
            <w:color w:val="0000EE"/>
            <w:u w:val="single"/>
          </w:rPr>
          <w:t>Jd 1.6–7</w:t>
        </w:r>
      </w:hyperlink>
      <w:r>
        <w:t>).</w:t>
      </w:r>
    </w:p>
    <w:p>
      <w:r/>
      <w:r>
        <w:t xml:space="preserve">Comme ceux qui étaient jugés dans l'Ancien Testament, ces faux enseignants étaient à la fois orgueilleux et ignorants, maudissant des puissances spirituelles qu'ils ne comprenaient pas vraiment (probablement des puissances démoniaques, car Pierre suivait Jude, qui s'inspirait d'une tradition de l'Assomption de Moïse). Même les anges, qui en savent bien plus que ces enseignants et sont plus puissants, ne sont pas aussi irrespectueux. Même Satan doit être mentionné avec respect, selon les Écritures. Les enseignants n'étaient pas seulement orgueilleux mais aussi immoraux et cupides, même à la Table du Seigneur (« </w:t>
      </w:r>
      <w:r>
        <w:t>se délectent dans leurs tromperies, en faisant bonne chère avec vous</w:t>
      </w:r>
      <w:r>
        <w:t xml:space="preserve"> », </w:t>
      </w:r>
      <w:hyperlink r:id="rId12281">
        <w:r>
          <w:rPr>
            <w:color w:val="0000EE"/>
            <w:u w:val="single"/>
          </w:rPr>
          <w:t>2P 2.13</w:t>
        </w:r>
      </w:hyperlink>
      <w:r>
        <w:t xml:space="preserve">). Ils prétendaient enseigner la liberté mais étaient eux-mêmes pris au piège du désir. Leurs paroles étaient donc vides. Leur enseignement semblait impressionnant, mais ne représentait en réalité que du vent. Comme ils étaient retournés au mal après avoir expérimenté la liberté du péché en Christ, ils se sont trouvés dans une pire situation que s'ils n'avaient jamais entendu l'Évangile. Ils étaient semblables à des chiens (voir </w:t>
      </w:r>
      <w:hyperlink r:id="rId12286">
        <w:r>
          <w:rPr>
            <w:color w:val="0000EE"/>
            <w:u w:val="single"/>
          </w:rPr>
          <w:t>Pr 26.11</w:t>
        </w:r>
      </w:hyperlink>
      <w:r>
        <w:t>) ou à des porcs (</w:t>
      </w:r>
      <w:hyperlink r:id="rId12287">
        <w:r>
          <w:rPr>
            <w:color w:val="0000EE"/>
            <w:u w:val="single"/>
          </w:rPr>
          <w:t>2.11–22</w:t>
        </w:r>
      </w:hyperlink>
      <w:r>
        <w:t xml:space="preserve"> ; voir </w:t>
      </w:r>
      <w:hyperlink r:id="rId12288">
        <w:r>
          <w:rPr>
            <w:color w:val="0000EE"/>
            <w:u w:val="single"/>
          </w:rPr>
          <w:t>Jd 1.8–13</w:t>
        </w:r>
      </w:hyperlink>
      <w:r>
        <w:t>).</w:t>
      </w:r>
    </w:p>
    <w:p>
      <w:pPr>
        <w:pStyle w:val="Heading4"/>
      </w:pPr>
      <w:r>
        <w:t>Avertissement de jugement à venir (</w:t>
      </w:r>
      <w:hyperlink r:id="rId12289">
        <w:r>
          <w:rPr>
            <w:color w:val="0000EE"/>
            <w:u w:val="single"/>
          </w:rPr>
          <w:t>3.1–16</w:t>
        </w:r>
      </w:hyperlink>
      <w:r>
        <w:t>)</w:t>
      </w:r>
    </w:p>
    <w:p>
      <w:r/>
      <w:r>
        <w:t xml:space="preserve">Tant l'Ancien Testament que Jésus lui-même parlent d'un jugement à venir. Les faux enseignants peuvent se rire de cette idée, mais l'histoire de Noé montre que Dieu finit par juger. Dieu a jugé le monde dans la Genèse par l'eau (la même eau dont il avait autrefois séparé la terre dans </w:t>
      </w:r>
      <w:hyperlink r:id="rId2644">
        <w:r>
          <w:rPr>
            <w:color w:val="0000EE"/>
            <w:u w:val="single"/>
          </w:rPr>
          <w:t>Gn 1</w:t>
        </w:r>
      </w:hyperlink>
      <w:r>
        <w:t>) ; il le jugera à nouveau, mais cette fois par le feu (</w:t>
      </w:r>
      <w:hyperlink r:id="rId12290">
        <w:r>
          <w:rPr>
            <w:color w:val="0000EE"/>
            <w:u w:val="single"/>
          </w:rPr>
          <w:t>2P 3.1–7</w:t>
        </w:r>
      </w:hyperlink>
      <w:r>
        <w:t>).</w:t>
      </w:r>
    </w:p>
    <w:p>
      <w:r/>
      <w:r>
        <w:t>Le jugement n'est pas encore tombé, car Dieu est merveilleusement patient ; le temps n'a pas la même signification pour lui que pour les humains. Les moqueries des faux enseignants révèlent simplement leur ignorance de Dieu. Ils ne connaissent pas non plus les motifs de Dieu pour son apparente attente, c'est-à-dire que Dieu veut pardonner et non condamner l'humanité. Il ne prend aucun plaisir à envoyer qui que ce soit en enfer mais souhaite que tout le monde soit sauvé ; cependant, tout le monde n'acceptera pas l'offre de Dieu, et son jugement viendra, l'univers entier étant brûlé. Ce qui est visible aujourd'hui est transitoire (</w:t>
      </w:r>
      <w:hyperlink r:id="rId12291">
        <w:r>
          <w:rPr>
            <w:color w:val="0000EE"/>
            <w:u w:val="single"/>
          </w:rPr>
          <w:t>3.8–10</w:t>
        </w:r>
      </w:hyperlink>
      <w:r>
        <w:t>).</w:t>
      </w:r>
    </w:p>
    <w:p>
      <w:r/>
      <w:r>
        <w:t>Ainsi, le chrétien doit mener une vie sainte, se préparant pour le monde nouveau et permanent que Dieu leur a promis, au lieu de se livrer aux désirs de ce monde temporaire et périssable comme le font les faux enseignants (</w:t>
      </w:r>
      <w:hyperlink r:id="rId12292">
        <w:r>
          <w:rPr>
            <w:color w:val="0000EE"/>
            <w:u w:val="single"/>
          </w:rPr>
          <w:t>3.11–16</w:t>
        </w:r>
      </w:hyperlink>
      <w:r>
        <w:t xml:space="preserve"> ; voir </w:t>
      </w:r>
      <w:hyperlink r:id="rId12293">
        <w:r>
          <w:rPr>
            <w:color w:val="0000EE"/>
            <w:u w:val="single"/>
          </w:rPr>
          <w:t>Jd 1.20–21</w:t>
        </w:r>
      </w:hyperlink>
      <w:r>
        <w:t>).</w:t>
      </w:r>
    </w:p>
    <w:p>
      <w:pPr>
        <w:pStyle w:val="Heading4"/>
      </w:pPr>
      <w:r>
        <w:t>Clôture (</w:t>
      </w:r>
      <w:hyperlink r:id="rId12294">
        <w:r>
          <w:rPr>
            <w:color w:val="0000EE"/>
            <w:u w:val="single"/>
          </w:rPr>
          <w:t>3.17–18</w:t>
        </w:r>
      </w:hyperlink>
      <w:r>
        <w:t>)</w:t>
      </w:r>
    </w:p>
    <w:p>
      <w:r/>
      <w:r>
        <w:t>En conclusion, Pierre exhorte les croyants à se méfier des faux enseignements. Au lieu de copier la vie des faux enseignants, ils doivent imiter la vie de Jésus. C'est par une doxologie à Christ que se conclut la lettre.</w:t>
      </w:r>
    </w:p>
    <w:p>
      <w:r/>
      <w:r>
        <w:rPr>
          <w:i/>
        </w:rPr>
        <w:t>Voir aussi</w:t>
      </w:r>
      <w:r>
        <w:t xml:space="preserve"> </w:t>
      </w:r>
      <w:r>
        <w:t>Pierre, L’Apôtre</w:t>
      </w:r>
      <w:r>
        <w:t>.</w:t>
      </w:r>
      <w:r/>
      <w:r/>
    </w:p>
    <w:p>
      <w:r/>
    </w:p>
    <w:p>
      <w:pPr>
        <w:pStyle w:val="Heading2"/>
      </w:pPr>
      <w:r>
        <w:t>Pigeon, Colombe</w:t>
      </w:r>
      <w:r/>
    </w:p>
    <w:p>
      <w:r/>
      <w:r>
        <w:t>Un pigeon ou une colombe est un oiseau de la famille des pigeons (</w:t>
      </w:r>
      <w:r>
        <w:rPr>
          <w:i/>
        </w:rPr>
        <w:t>Columbidae</w:t>
      </w:r>
      <w:r>
        <w:t>). On utilise souvent les deux noms de manière interchangeable. Par exemple, le pigeon des villes commun provient de la colombe sauvage. Dans la Bible, les traductions françaises utilisent les deux mots pour le même terme hébreu. Un deuxième terme hébreu est généralement traduit par « tourterelle ». Les Hébreux anciens semblaient savoir qu'il existait différents types de colombes.</w:t>
      </w:r>
    </w:p>
    <w:p>
      <w:r/>
      <w:r>
        <w:t>Aujourd'hui, au moins six types de pigeons ou de colombes vivent en Israël :</w:t>
      </w:r>
    </w:p>
    <w:p>
      <w:pPr>
        <w:pStyle w:val="ListBullet"/>
        <w:spacing w:line="240" w:lineRule="auto"/>
        <w:ind w:left="720"/>
      </w:pPr>
      <w:r/>
      <w:r>
        <w:t xml:space="preserve">Les pigeons biset, colombin et ramier (genre </w:t>
      </w:r>
      <w:r>
        <w:rPr>
          <w:i/>
        </w:rPr>
        <w:t>Columba</w:t>
      </w:r>
      <w:r>
        <w:t>), et</w:t>
      </w:r>
    </w:p>
    <w:p>
      <w:pPr>
        <w:pStyle w:val="ListBullet"/>
        <w:spacing w:line="240" w:lineRule="auto"/>
        <w:ind w:left="720"/>
      </w:pPr>
      <w:r/>
      <w:r>
        <w:t xml:space="preserve">Les tourterelles, les tourterelles turques et les tourterelles des palmiers (genre </w:t>
      </w:r>
      <w:r>
        <w:rPr>
          <w:i/>
        </w:rPr>
        <w:t>Streptopelia</w:t>
      </w:r>
      <w:r>
        <w:t>).</w:t>
      </w:r>
    </w:p>
    <w:p>
      <w:r/>
      <w:r>
        <w:t>Le pigeon biset (</w:t>
      </w:r>
      <w:r>
        <w:rPr>
          <w:i/>
        </w:rPr>
        <w:t>Columba livia</w:t>
      </w:r>
      <w:r>
        <w:t>) et la tourterelle (</w:t>
      </w:r>
      <w:r>
        <w:rPr>
          <w:i/>
        </w:rPr>
        <w:t>Streptopelia turtur</w:t>
      </w:r>
      <w:r>
        <w:t>) sont les oiseaux les plus souvent mentionnés dans la Bible.</w:t>
      </w:r>
    </w:p>
    <w:p>
      <w:r/>
      <w:r>
        <w:t>Les pigeons mesurent entre 15 et 30 cm de long. Le pigeon biset est le plus coloré en Israël. Il est souvent gris argenté, avec des ailes verdâtres qui brillent à la lumière (</w:t>
      </w:r>
      <w:hyperlink r:id="rId11331">
        <w:r>
          <w:rPr>
            <w:color w:val="0000EE"/>
            <w:u w:val="single"/>
          </w:rPr>
          <w:t>Ps 68.13</w:t>
        </w:r>
      </w:hyperlink>
      <w:r>
        <w:t>). Les petites colombes sont principalement grises ou brun clair, avec un demi-collier sombre à l'arrière du cou. Les pigeons ont des cous courts, de petites têtes, des corps ronds et des ailes courtes. Ces ailes sont fortes et les pigeons peuvent donc voler loin. Les petites colombes ont des queues plus longues.</w:t>
      </w:r>
    </w:p>
    <w:p>
      <w:r/>
      <w:r>
        <w:t>Les pigeons bisets sauvages vivent principalement près de la mer de Galilée et dans les ravins près de la mer Morte. Ils font leurs nids sur des falaises et des rochers (</w:t>
      </w:r>
      <w:hyperlink r:id="rId11332">
        <w:r>
          <w:rPr>
            <w:color w:val="0000EE"/>
            <w:u w:val="single"/>
          </w:rPr>
          <w:t>Ct 2.14</w:t>
        </w:r>
      </w:hyperlink>
      <w:r>
        <w:t xml:space="preserve"> ; </w:t>
      </w:r>
      <w:hyperlink r:id="rId11333">
        <w:r>
          <w:rPr>
            <w:color w:val="0000EE"/>
            <w:u w:val="single"/>
          </w:rPr>
          <w:t>Jr 48.28</w:t>
        </w:r>
      </w:hyperlink>
      <w:r>
        <w:t>). Tous les pigeons en Israël construisent des nids fragiles à partir de petits morceaux de plantes. Ils pondent généralement deux œufs, deux fois par an. Les deux parents nourrissent les jeunes. Ils se nourrissent de graines et de mauvaises herbes. Les parents produisent du « lait de pigeon » (nourriture molle, partiellement digérée) dans leur jabot et le donnent aux poussins.</w:t>
      </w:r>
    </w:p>
    <w:p>
      <w:r/>
      <w:r>
        <w:t>Les colombes mâles rivalisent souvent pour des partenaires. Le vol de parade nuptiale de la tourterelle est très beau. Les colombes prennent soin de leurs partenaires et de leurs petits. Pour cette raison, on a longtemps utilisé la colombe comme symbole de l'amour et de la paix (</w:t>
      </w:r>
      <w:hyperlink r:id="rId11334">
        <w:r>
          <w:rPr>
            <w:color w:val="0000EE"/>
            <w:u w:val="single"/>
          </w:rPr>
          <w:t>Ct 1.15</w:t>
        </w:r>
      </w:hyperlink>
      <w:r>
        <w:t xml:space="preserve"> ; </w:t>
      </w:r>
      <w:hyperlink r:id="rId11332">
        <w:r>
          <w:rPr>
            <w:color w:val="0000EE"/>
            <w:u w:val="single"/>
          </w:rPr>
          <w:t>2.14</w:t>
        </w:r>
      </w:hyperlink>
      <w:r>
        <w:t xml:space="preserve"> ; </w:t>
      </w:r>
      <w:hyperlink r:id="rId11335">
        <w:r>
          <w:rPr>
            <w:color w:val="0000EE"/>
            <w:u w:val="single"/>
          </w:rPr>
          <w:t>4.1</w:t>
        </w:r>
      </w:hyperlink>
      <w:r>
        <w:t xml:space="preserve"> ; </w:t>
      </w:r>
      <w:hyperlink r:id="rId11336">
        <w:r>
          <w:rPr>
            <w:color w:val="0000EE"/>
            <w:u w:val="single"/>
          </w:rPr>
          <w:t>5.2</w:t>
        </w:r>
      </w:hyperlink>
      <w:r>
        <w:t>).</w:t>
      </w:r>
    </w:p>
    <w:p>
      <w:r/>
      <w:r>
        <w:t>Les auteurs antiques savaient que les pigeons et les tourterelles étaient différents. Les pigeons vivent en Israël toute l'année et sont faciles à apprivoiser. Les tourterelles sont sauvages et ne rendent visite qu'au printemps (</w:t>
      </w:r>
      <w:hyperlink r:id="rId11262">
        <w:r>
          <w:rPr>
            <w:color w:val="0000EE"/>
            <w:u w:val="single"/>
          </w:rPr>
          <w:t>Ct 2.12</w:t>
        </w:r>
      </w:hyperlink>
      <w:r>
        <w:t xml:space="preserve"> ; </w:t>
      </w:r>
      <w:hyperlink r:id="rId11310">
        <w:r>
          <w:rPr>
            <w:color w:val="0000EE"/>
            <w:u w:val="single"/>
          </w:rPr>
          <w:t>Jr 8.7</w:t>
        </w:r>
      </w:hyperlink>
      <w:r>
        <w:t>). On gardait les tourterelles en cages comme animaux de compagnie ou pour les sacrifices. Les pigeons ont peut-être été les premiers oiseaux que les humains ont gardés, possiblement même à l'époque de Noé (</w:t>
      </w:r>
      <w:hyperlink r:id="rId11337">
        <w:r>
          <w:rPr>
            <w:color w:val="0000EE"/>
            <w:u w:val="single"/>
          </w:rPr>
          <w:t>Gn 8.8–12</w:t>
        </w:r>
      </w:hyperlink>
      <w:r>
        <w:t>). À l'époque du Nouveau Testament, de nombreux colombiers se trouvaient près du palais d'Hérode le Grand à Jérusalem.</w:t>
      </w:r>
    </w:p>
    <w:p>
      <w:pPr>
        <w:pStyle w:val="Heading3"/>
      </w:pPr>
      <w:r>
        <w:t>Les Pigeons à l'époque biblique</w:t>
      </w:r>
    </w:p>
    <w:p>
      <w:r/>
      <w:r>
        <w:t>Les colombes et les pigeons étaient appréciés, étant vus comme oiseaux doux. ON s'en servait également comme nourriture, et pour les sacrifices. Les tourterelles pouvaient être vues comme plus spéciales pour les sacrifices parce qu'elles étaient plus difficiles à obtenir. La Bible les mentionne souvent dans les offrandes (</w:t>
      </w:r>
      <w:hyperlink r:id="rId11339">
        <w:r>
          <w:rPr>
            <w:color w:val="0000EE"/>
            <w:u w:val="single"/>
          </w:rPr>
          <w:t>Gn 15.7–10</w:t>
        </w:r>
      </w:hyperlink>
      <w:r>
        <w:t xml:space="preserve"> ; </w:t>
      </w:r>
      <w:hyperlink r:id="rId11340">
        <w:r>
          <w:rPr>
            <w:color w:val="0000EE"/>
            <w:u w:val="single"/>
          </w:rPr>
          <w:t>Lv 1.14</w:t>
        </w:r>
      </w:hyperlink>
      <w:r>
        <w:t xml:space="preserve"> ; </w:t>
      </w:r>
      <w:hyperlink r:id="rId11076">
        <w:r>
          <w:rPr>
            <w:color w:val="0000EE"/>
            <w:u w:val="single"/>
          </w:rPr>
          <w:t>5.7</w:t>
        </w:r>
      </w:hyperlink>
      <w:r>
        <w:t xml:space="preserve"> ; </w:t>
      </w:r>
      <w:hyperlink r:id="rId11341">
        <w:r>
          <w:rPr>
            <w:color w:val="0000EE"/>
            <w:u w:val="single"/>
          </w:rPr>
          <w:t>12.6</w:t>
        </w:r>
      </w:hyperlink>
      <w:r>
        <w:t xml:space="preserve"> ; </w:t>
      </w:r>
      <w:hyperlink r:id="rId11240">
        <w:r>
          <w:rPr>
            <w:color w:val="0000EE"/>
            <w:u w:val="single"/>
          </w:rPr>
          <w:t>Nb 6.10</w:t>
        </w:r>
      </w:hyperlink>
      <w:r>
        <w:t xml:space="preserve"> ; </w:t>
      </w:r>
      <w:hyperlink r:id="rId11239">
        <w:r>
          <w:rPr>
            <w:color w:val="0000EE"/>
            <w:u w:val="single"/>
          </w:rPr>
          <w:t>Lc 2.24</w:t>
        </w:r>
      </w:hyperlink>
      <w:r>
        <w:t>). D'autres passages décrivent leur :</w:t>
      </w:r>
    </w:p>
    <w:p>
      <w:pPr>
        <w:pStyle w:val="ListBullet"/>
        <w:spacing w:line="240" w:lineRule="auto"/>
        <w:ind w:left="720"/>
      </w:pPr>
      <w:r/>
      <w:r>
        <w:t>Son gémissant (</w:t>
      </w:r>
      <w:hyperlink r:id="rId11323">
        <w:r>
          <w:rPr>
            <w:color w:val="0000EE"/>
            <w:u w:val="single"/>
          </w:rPr>
          <w:t>Es 38.14</w:t>
        </w:r>
      </w:hyperlink>
      <w:r>
        <w:t xml:space="preserve"> ; </w:t>
      </w:r>
      <w:hyperlink r:id="rId11342">
        <w:r>
          <w:rPr>
            <w:color w:val="0000EE"/>
            <w:u w:val="single"/>
          </w:rPr>
          <w:t>59.11</w:t>
        </w:r>
      </w:hyperlink>
      <w:r>
        <w:t xml:space="preserve"> ; </w:t>
      </w:r>
      <w:hyperlink r:id="rId11343">
        <w:r>
          <w:rPr>
            <w:color w:val="0000EE"/>
            <w:u w:val="single"/>
          </w:rPr>
          <w:t>Ez 7.16</w:t>
        </w:r>
      </w:hyperlink>
      <w:r>
        <w:t xml:space="preserve"> ; </w:t>
      </w:r>
      <w:hyperlink r:id="rId11344">
        <w:r>
          <w:rPr>
            <w:color w:val="0000EE"/>
            <w:u w:val="single"/>
          </w:rPr>
          <w:t>Na 2.7</w:t>
        </w:r>
      </w:hyperlink>
      <w:r>
        <w:t>),</w:t>
      </w:r>
    </w:p>
    <w:p>
      <w:pPr>
        <w:pStyle w:val="ListBullet"/>
        <w:spacing w:line="240" w:lineRule="auto"/>
        <w:ind w:left="720"/>
      </w:pPr>
      <w:r/>
      <w:r>
        <w:t>Vol (</w:t>
      </w:r>
      <w:hyperlink r:id="rId11345">
        <w:r>
          <w:rPr>
            <w:color w:val="0000EE"/>
            <w:u w:val="single"/>
          </w:rPr>
          <w:t>Ps 55.6</w:t>
        </w:r>
      </w:hyperlink>
      <w:r>
        <w:t>),</w:t>
      </w:r>
    </w:p>
    <w:p>
      <w:pPr>
        <w:pStyle w:val="ListBullet"/>
        <w:spacing w:line="240" w:lineRule="auto"/>
        <w:ind w:left="720"/>
      </w:pPr>
      <w:r/>
      <w:r>
        <w:t>Beauté (</w:t>
      </w:r>
      <w:hyperlink r:id="rId11334">
        <w:r>
          <w:rPr>
            <w:color w:val="0000EE"/>
            <w:u w:val="single"/>
          </w:rPr>
          <w:t>Ct 1.15</w:t>
        </w:r>
      </w:hyperlink>
      <w:r>
        <w:t xml:space="preserve"> ; </w:t>
      </w:r>
      <w:hyperlink r:id="rId11335">
        <w:r>
          <w:rPr>
            <w:color w:val="0000EE"/>
            <w:u w:val="single"/>
          </w:rPr>
          <w:t>4.1</w:t>
        </w:r>
      </w:hyperlink>
      <w:r>
        <w:t xml:space="preserve"> ; </w:t>
      </w:r>
      <w:hyperlink r:id="rId11346">
        <w:r>
          <w:rPr>
            <w:color w:val="0000EE"/>
            <w:u w:val="single"/>
          </w:rPr>
          <w:t>5.12</w:t>
        </w:r>
      </w:hyperlink>
      <w:r>
        <w:t>),</w:t>
      </w:r>
    </w:p>
    <w:p>
      <w:pPr>
        <w:pStyle w:val="ListBullet"/>
        <w:spacing w:line="240" w:lineRule="auto"/>
        <w:ind w:left="720"/>
      </w:pPr>
      <w:r/>
      <w:r>
        <w:t>Douceur (</w:t>
      </w:r>
      <w:hyperlink r:id="rId1823">
        <w:r>
          <w:rPr>
            <w:color w:val="0000EE"/>
            <w:u w:val="single"/>
          </w:rPr>
          <w:t>Mt 10.16</w:t>
        </w:r>
      </w:hyperlink>
      <w:r>
        <w:t>), et leur</w:t>
      </w:r>
    </w:p>
    <w:p>
      <w:pPr>
        <w:pStyle w:val="ListBullet"/>
        <w:spacing w:line="240" w:lineRule="auto"/>
        <w:ind w:left="720"/>
      </w:pPr>
      <w:r/>
      <w:r>
        <w:t>Fidélité (</w:t>
      </w:r>
      <w:hyperlink r:id="rId11347">
        <w:r>
          <w:rPr>
            <w:color w:val="0000EE"/>
            <w:u w:val="single"/>
          </w:rPr>
          <w:t>Ct 6.9</w:t>
        </w:r>
      </w:hyperlink>
      <w:r>
        <w:t>).</w:t>
      </w:r>
    </w:p>
    <w:p>
      <w:r/>
      <w:hyperlink r:id="rId11349">
        <w:r>
          <w:rPr>
            <w:color w:val="0000EE"/>
            <w:u w:val="single"/>
          </w:rPr>
          <w:t>Osée 7.11</w:t>
        </w:r>
      </w:hyperlink>
      <w:r>
        <w:t xml:space="preserve"> utilise la colombe comme une image de confiance excessive.</w:t>
      </w:r>
    </w:p>
    <w:p>
      <w:r/>
      <w:r>
        <w:t>Lors du baptême de Jésus, le Saint-Esprit descend sous la forme d'une colombe (</w:t>
      </w:r>
      <w:hyperlink r:id="rId8689">
        <w:r>
          <w:rPr>
            <w:color w:val="0000EE"/>
            <w:u w:val="single"/>
          </w:rPr>
          <w:t>Mt 3.16</w:t>
        </w:r>
      </w:hyperlink>
      <w:r>
        <w:t>). Les premiers chrétiens associaient la colombe au Saint-Esprit et au réconfort qu'apporte le Saint-Esprit. La colombe est encore aujourd'hui un signe courant de l'Esprit.</w:t>
      </w:r>
    </w:p>
    <w:p>
      <w:r/>
      <w:r>
        <w:rPr>
          <w:i/>
        </w:rPr>
        <w:t>Voir aussi</w:t>
      </w:r>
      <w:r>
        <w:t xml:space="preserve"> </w:t>
      </w:r>
      <w:r>
        <w:t>Oiseaux</w:t>
      </w:r>
      <w:r>
        <w:t>.</w:t>
      </w:r>
      <w:r/>
      <w:r/>
    </w:p>
    <w:p>
      <w:r/>
    </w:p>
    <w:p>
      <w:pPr>
        <w:pStyle w:val="Heading2"/>
      </w:pPr>
      <w:r>
        <w:t>Pilate, Ponce</w:t>
      </w:r>
      <w:r/>
    </w:p>
    <w:p>
      <w:r/>
      <w:r>
        <w:t>Tibère a nommé Ponce Pilate comme cinquième gouverneur (ou préfet) de Judée. Pilate a exercé cette fonction de l'an 26 à 36 apr. J.‑C. Il jouera un rôle important dans les récits du procès de Christ dans les Évangiles, en tant que gouverneur romain ayant autorisé la crucifixion de Jésus. Pilate est également mentionné dans d'autres sources historiques comme un dirigeant rationnel qui a maintenu l'autorité romaine en Judée.</w:t>
      </w:r>
    </w:p>
    <w:p>
      <w:pPr>
        <w:pStyle w:val="Heading3"/>
      </w:pPr>
      <w:r>
        <w:t>Rôle du gouverneur de la Judée</w:t>
      </w:r>
    </w:p>
    <w:p>
      <w:r/>
      <w:r>
        <w:t>Tacite (</w:t>
      </w:r>
      <w:r>
        <w:rPr>
          <w:i/>
        </w:rPr>
        <w:t>Annales</w:t>
      </w:r>
      <w:r>
        <w:t xml:space="preserve"> 15.44) mentionne Pilate en rapport avec la crucifixion de Jésus, mais il ajoute peu d'éléments au récit évangélique. Josèphe, en revanche, fournit trois récits.</w:t>
      </w:r>
    </w:p>
    <w:p>
      <w:pPr>
        <w:pStyle w:val="ListNumber"/>
        <w:spacing w:line="240" w:lineRule="auto"/>
        <w:ind w:left="720"/>
      </w:pPr>
      <w:r/>
      <w:r>
        <w:t>Il décrit tout d'abord l'arrivée de Pilate en tant que nouveau gouverneur (</w:t>
      </w:r>
      <w:r>
        <w:rPr>
          <w:i/>
        </w:rPr>
        <w:t>Guerre</w:t>
      </w:r>
      <w:r>
        <w:t xml:space="preserve"> 2.9.2 ; </w:t>
      </w:r>
      <w:r>
        <w:rPr>
          <w:i/>
        </w:rPr>
        <w:t>Antiquités</w:t>
      </w:r>
      <w:r>
        <w:t xml:space="preserve"> 18.3.1 ; voir </w:t>
      </w:r>
      <w:r>
        <w:rPr>
          <w:i/>
        </w:rPr>
        <w:t>Histoires</w:t>
      </w:r>
      <w:r>
        <w:t xml:space="preserve"> d'Eusèbe 2.6). En offense contre la loi juive, Pilate introduit des symboles romains à Jérusalem portant l'image de César. Une grande assemblée de Juifs viendra à Césarée pour protester, y jeûnant pendant cinq jours. Les Juifs ont montré qu'ils préféraient mourir plutôt que de permettre la présence des symboles romains. C'était la première expérience de Pilate avec la force des croyances religieuses des Juifs. Il a décidé de retirer les drapeaux.</w:t>
      </w:r>
    </w:p>
    <w:p>
      <w:pPr>
        <w:pStyle w:val="ListNumber"/>
        <w:spacing w:line="240" w:lineRule="auto"/>
        <w:ind w:left="720"/>
      </w:pPr>
      <w:r/>
      <w:r>
        <w:t>Lors d'un deuxième incident, Pilate détournera des fonds du temple pour construire un aqueduc de 56 km pour Jérusalem (</w:t>
      </w:r>
      <w:r>
        <w:rPr>
          <w:i/>
        </w:rPr>
        <w:t>Guerre</w:t>
      </w:r>
      <w:r>
        <w:t xml:space="preserve"> 2.9.4 ; </w:t>
      </w:r>
      <w:r>
        <w:rPr>
          <w:i/>
        </w:rPr>
        <w:t>Antiquités</w:t>
      </w:r>
      <w:r>
        <w:t xml:space="preserve"> 18.3.2). Une fois de plus, cela a provoquera une grande protestation. Pilate ordonnera à ses soldats de s'habiller en tuniques et d'infiltrer les foules déguisés. Sur son ordre, les troupes utiliseront des matraques pour frapper les contrevenants. De nombreux Juifs ont été tués. Josèphe rapporte l'horreur avec laquelle Jérusalem a perçu l'affaire.</w:t>
      </w:r>
    </w:p>
    <w:p>
      <w:pPr>
        <w:pStyle w:val="ListNumber"/>
        <w:spacing w:line="240" w:lineRule="auto"/>
        <w:ind w:left="720"/>
      </w:pPr>
      <w:r/>
      <w:r>
        <w:t>Enfin, Josèphe raconte l'histoire du renvoi de Pilate (</w:t>
      </w:r>
      <w:r>
        <w:rPr>
          <w:i/>
        </w:rPr>
        <w:t>Antiquités</w:t>
      </w:r>
      <w:r>
        <w:t xml:space="preserve"> 18.4.1–2). En l'an 36 apr. J.‑C., un faux prophète samaritain prétendait être le Taheb (le Messie samaritain). Il promettait de montrer à ses disciples des vases sacrés cachés par Moïse sur le Mont Garizim. Pilate envoie alors un groupe lourdement armé de fantassins et de cavaliers qui intercepteront les pèlerins et en massacreront la plupart. Les Samaritains se plaignent alors à Vitellius, le gouverneur de Syrie. Pilate reçoit l'ordre de se présenter à l'empereur Tibère et un autre gouverneur, Marcellus, sera alors envoyé par Rome pour remplacer Pilate.</w:t>
      </w:r>
    </w:p>
    <w:p>
      <w:r/>
      <w:r>
        <w:t>Philon raconte une autre histoire concernant Pilate (</w:t>
      </w:r>
      <w:r>
        <w:rPr>
          <w:i/>
        </w:rPr>
        <w:t>Légation à Caius</w:t>
      </w:r>
      <w:r>
        <w:t xml:space="preserve"> 299–305). Philon écrit que Tibère était généralement bienveillant envers le peuple juif. En revanche, il décrit Ponce Pilate comme un mauvais dirigeant qui ne respectait pas les coutumes juives. Le gouverneur avait installé des boucliers dorés avec le nom de l'empereur dessus. Il les avait placés dans l'ancien palais d'Hérode à Jérusalem. Refusant d'écouter les plaintes des Juifs, les fils d'Hérode feront appel à Tibère, qui ordonne à Pilate de transférer les boucliers au temple d'Auguste à Césarée. Les similitudes avec l'histoire parallèle chez Josèphe indiquent que Philon pourrait simplement raconter une autre version du même événement.</w:t>
      </w:r>
    </w:p>
    <w:p>
      <w:r/>
      <w:r>
        <w:t xml:space="preserve">Luc mentionne un incident mineur qui contribue à dresser ce même portrait. Dans </w:t>
      </w:r>
      <w:hyperlink r:id="rId6434">
        <w:r>
          <w:rPr>
            <w:color w:val="0000EE"/>
            <w:u w:val="single"/>
          </w:rPr>
          <w:t>Luc 13.1</w:t>
        </w:r>
      </w:hyperlink>
      <w:r>
        <w:t xml:space="preserve">, certains Juifs racontent à Jésus l'histoire des Galiléens dont Pilate avait mêlé le sang à leurs sacrifices. Cette histoire n'est corroborée par aucun autre témoin, mais elle correspond aux impressions du caractère de Pilate laissées par Philon et Josèphe. Luc ajoute même un autre détail intéressant dans son récit du procès. Dans </w:t>
      </w:r>
      <w:hyperlink r:id="rId12295">
        <w:r>
          <w:rPr>
            <w:color w:val="0000EE"/>
            <w:u w:val="single"/>
          </w:rPr>
          <w:t>Luc 23.12</w:t>
        </w:r>
      </w:hyperlink>
      <w:r>
        <w:t>, il dit qu'avant la crucifixion de Jésus, Hérode Antipas (en Galilée) et Pilate étaient en inimitié l'un avec l'autre. Cela pourrait provenir non seulement de l'hostilité habituelle de Pilate, mais particulièrement de l'événement en Galilée.</w:t>
      </w:r>
    </w:p>
    <w:p>
      <w:pPr>
        <w:pStyle w:val="Heading3"/>
      </w:pPr>
      <w:r>
        <w:t>Le rôle de Pilate dans le procès de Jésus</w:t>
      </w:r>
    </w:p>
    <w:p>
      <w:r/>
      <w:r>
        <w:t>Le rôle de Pilate dans la mort de Jésus est consigné dans chaque Évangile (</w:t>
      </w:r>
      <w:hyperlink r:id="rId12296">
        <w:r>
          <w:rPr>
            <w:color w:val="0000EE"/>
            <w:u w:val="single"/>
          </w:rPr>
          <w:t>Mt 27.2</w:t>
        </w:r>
      </w:hyperlink>
      <w:r>
        <w:t xml:space="preserve"> ; </w:t>
      </w:r>
      <w:hyperlink r:id="rId12297">
        <w:r>
          <w:rPr>
            <w:color w:val="0000EE"/>
            <w:u w:val="single"/>
          </w:rPr>
          <w:t>Mc 15.1</w:t>
        </w:r>
      </w:hyperlink>
      <w:r>
        <w:t xml:space="preserve"> ; </w:t>
      </w:r>
      <w:hyperlink r:id="rId12298">
        <w:r>
          <w:rPr>
            <w:color w:val="0000EE"/>
            <w:u w:val="single"/>
          </w:rPr>
          <w:t>Lc 23.1</w:t>
        </w:r>
      </w:hyperlink>
      <w:r>
        <w:t xml:space="preserve"> ; </w:t>
      </w:r>
      <w:hyperlink r:id="rId12299">
        <w:r>
          <w:rPr>
            <w:color w:val="0000EE"/>
            <w:u w:val="single"/>
          </w:rPr>
          <w:t>Jn 18.29</w:t>
        </w:r>
      </w:hyperlink>
      <w:r>
        <w:t>). Les apôtres mentionnent son implication comme un fait historique dans leurs récits (</w:t>
      </w:r>
      <w:hyperlink r:id="rId9061">
        <w:r>
          <w:rPr>
            <w:color w:val="0000EE"/>
            <w:u w:val="single"/>
          </w:rPr>
          <w:t>Ac 3.13</w:t>
        </w:r>
      </w:hyperlink>
      <w:r>
        <w:t xml:space="preserve"> ; </w:t>
      </w:r>
      <w:hyperlink r:id="rId10578">
        <w:r>
          <w:rPr>
            <w:color w:val="0000EE"/>
            <w:u w:val="single"/>
          </w:rPr>
          <w:t>4.27</w:t>
        </w:r>
      </w:hyperlink>
      <w:r>
        <w:t xml:space="preserve"> ; </w:t>
      </w:r>
      <w:hyperlink r:id="rId190">
        <w:r>
          <w:rPr>
            <w:color w:val="0000EE"/>
            <w:u w:val="single"/>
          </w:rPr>
          <w:t>13.28</w:t>
        </w:r>
      </w:hyperlink>
      <w:r>
        <w:t xml:space="preserve"> ; </w:t>
      </w:r>
      <w:hyperlink r:id="rId12300">
        <w:r>
          <w:rPr>
            <w:color w:val="0000EE"/>
            <w:u w:val="single"/>
          </w:rPr>
          <w:t>1Ti 6.13</w:t>
        </w:r>
      </w:hyperlink>
      <w:r>
        <w:t>). Pour obtenir la condamnation et la mort de Jésus, Caïphe et le Sanhédrin (le conseil juif) ont porté leurs accusations à Pilate. Les accusateurs ont présenté leurs revendications comme étant politiques pour attirer l'attention du gouverneur, mais il n'a toujours trouvé aucune raison de condamner Jésus. Enfin, Pilate satisfait de manière inattendue les dirigeants juifs et fait crucifier Jésus.</w:t>
      </w:r>
    </w:p>
    <w:p>
      <w:r/>
      <w:r>
        <w:t xml:space="preserve">Tous les Évangiles, en particulier celui de Jean, montrent le verdict répété de Pilate concernant l'innocence de Jésus. Selon </w:t>
      </w:r>
      <w:hyperlink r:id="rId1738">
        <w:r>
          <w:rPr>
            <w:color w:val="0000EE"/>
            <w:u w:val="single"/>
          </w:rPr>
          <w:t>Matthieu 27.19</w:t>
        </w:r>
      </w:hyperlink>
      <w:r>
        <w:t>, la femme de Pilate a fait un rêve inquiétant au sujet de la condamnation de Jésus et en a averti son mari. Pilate essaie alors de faire libérer Jésus, mais la foule réclamera Barabbas. Matthieu rapporte même que Pilate se lave les mains (</w:t>
      </w:r>
      <w:hyperlink r:id="rId12301">
        <w:r>
          <w:rPr>
            <w:color w:val="0000EE"/>
            <w:u w:val="single"/>
          </w:rPr>
          <w:t>27.24–25</w:t>
        </w:r>
      </w:hyperlink>
      <w:r>
        <w:t>), déclarant ainsi son innocence dans cette affaire. Enfin, Jean dit que Pilate refusera de modifier le titre au-dessus de la croix (</w:t>
      </w:r>
      <w:hyperlink r:id="rId12302">
        <w:r>
          <w:rPr>
            <w:color w:val="0000EE"/>
            <w:u w:val="single"/>
          </w:rPr>
          <w:t>Jn 19.19–22</w:t>
        </w:r>
      </w:hyperlink>
      <w:r>
        <w:t>). Ces récits retirent toute la responsabilité de la mort de Jésus à Pilate et la placent sur les dirigeants juifs du Sanhédrin, qui en sont finalement responsables.</w:t>
      </w:r>
    </w:p>
    <w:p>
      <w:r/>
      <w:r>
        <w:t>Mais pourquoi Pilate agirait-il en faveur du Sanhédrin ? Deux réponses sont possibles.</w:t>
      </w:r>
    </w:p>
    <w:p>
      <w:pPr>
        <w:pStyle w:val="ListNumber"/>
        <w:spacing w:line="240" w:lineRule="auto"/>
        <w:ind w:left="720"/>
      </w:pPr>
      <w:r/>
      <w:r>
        <w:t>Tout d'abord, il est possible qu'il y ait eu collusion entre Caïphe et Pilate en raison d'une relation de longue date. Dix des dix-huit années de pouvoir de Caïphe se sont déroulées sous Pilate, et lorsque le gouverneur a été démis de ses fonctions en 36 apr. J.‑C., Caïphe a été démis en même temps.</w:t>
      </w:r>
    </w:p>
    <w:p>
      <w:pPr>
        <w:pStyle w:val="ListNumber"/>
        <w:spacing w:line="240" w:lineRule="auto"/>
        <w:ind w:left="720"/>
      </w:pPr>
      <w:r/>
      <w:r>
        <w:t xml:space="preserve">Deuxièmement, si le procès de Jésus a eu lieu en 33 apr. J.‑C., Pilate était peut-être préoccupé par la possibilité d'être démis de ses fonctions. Il avait été initialement nommé par Séjan (gouverneur des gardes qui protégeaient l'empereur à Rome et qui avait nommé des hommes à des postes coloniaux sous Tibère). Séjan est mort à l'automne de l'an 31 apr. J.‑C., ce qui explique pourquoi une délégation juive a pu s'adresser directement à Tibère lors de l'incident du bouclier votif. Ainsi, l'accusation notée dans </w:t>
      </w:r>
      <w:hyperlink r:id="rId2228">
        <w:r>
          <w:rPr>
            <w:color w:val="0000EE"/>
            <w:u w:val="single"/>
          </w:rPr>
          <w:t>Jean 19.12</w:t>
        </w:r>
      </w:hyperlink>
      <w:r>
        <w:t xml:space="preserve"> (« </w:t>
      </w:r>
      <w:r>
        <w:t>Si tu le relâches, tu n’es pas ami de César</w:t>
      </w:r>
      <w:r>
        <w:t xml:space="preserve"> ») aurait eu un véritable effet sur Pilate. Ce dernier aurait bien perçu le danger et aurait été anxieux de pacifier les Juifs et de plaire à l'empereur.</w:t>
      </w:r>
    </w:p>
    <w:p>
      <w:r/>
      <w:r>
        <w:t>L'histoire de Pilate après sa destitution en 36 apr. J.‑C. est inconnue. Eusèbe rapporte que Pilate s'est finalement suicidé sous le règne de l'empereur Caligula allant de l'an 37 à 41 apr. J.‑C. (</w:t>
      </w:r>
      <w:r>
        <w:rPr>
          <w:i/>
        </w:rPr>
        <w:t>Hist.</w:t>
      </w:r>
      <w:r>
        <w:t xml:space="preserve"> 2.7).</w:t>
      </w:r>
      <w:r/>
      <w:r/>
    </w:p>
    <w:p>
      <w:r/>
    </w:p>
    <w:p>
      <w:pPr>
        <w:pStyle w:val="Heading2"/>
      </w:pPr>
      <w:r>
        <w:t>Pildasch</w:t>
      </w:r>
      <w:r/>
    </w:p>
    <w:p>
      <w:r/>
      <w:r>
        <w:t>Sixième fils de Nachor et Milca. Il était un neveu du patriarche Abraham (</w:t>
      </w:r>
      <w:hyperlink r:id="rId6219">
        <w:r>
          <w:rPr>
            <w:color w:val="0000EE"/>
            <w:u w:val="single"/>
          </w:rPr>
          <w:t>Gn 22.22</w:t>
        </w:r>
      </w:hyperlink>
      <w:r>
        <w:t>).</w:t>
      </w:r>
      <w:r/>
      <w:r/>
    </w:p>
    <w:p>
      <w:r/>
    </w:p>
    <w:p>
      <w:pPr>
        <w:pStyle w:val="Heading2"/>
      </w:pPr>
      <w:r>
        <w:t>Pischon</w:t>
      </w:r>
      <w:r/>
    </w:p>
    <w:p>
      <w:r/>
      <w:r>
        <w:t>Première des quatre divisions du fleuve qui sortait du jardin d'Éden (</w:t>
      </w:r>
      <w:hyperlink r:id="rId6741">
        <w:r>
          <w:rPr>
            <w:color w:val="0000EE"/>
            <w:u w:val="single"/>
          </w:rPr>
          <w:t>Gn 2.11</w:t>
        </w:r>
      </w:hyperlink>
      <w:r>
        <w:t>). Les suggestions pour son identité incluent le Rion, l'Indus, le Gange, un canal reliant le Tigre et l'Euphrate, ainsi qu'un symbole de la Voie lactée. Aucun consensus n'existe sur l'identité du Pishon.</w:t>
      </w:r>
      <w:r/>
      <w:r/>
    </w:p>
    <w:p>
      <w:r/>
    </w:p>
    <w:p>
      <w:pPr>
        <w:pStyle w:val="Heading2"/>
      </w:pPr>
      <w:r>
        <w:t>Pisidie</w:t>
      </w:r>
      <w:r/>
    </w:p>
    <w:p>
      <w:r/>
      <w:r>
        <w:t>Région de la province romaine de Galatie, à laquelle Paul et Barnabas ont rendu visite vers 48 apr. J.‑C.</w:t>
      </w:r>
    </w:p>
    <w:p>
      <w:r/>
      <w:r>
        <w:t>La Pisidie se trouve au nord des montagnes du Taurus, qui longent les côtes ciliciennes et pamphyliennes. Elle est située sur le plateau central de l'Anatolie, à 1 100 m au-dessus du niveau de la mer. Les montagnes la séparent des régions côtières. La région comprend les contreforts du Taurus et s'étend sur environ 650 km de long et 265 km de large. Elle borde la grande province d'Asie à l'ouest, la Galatie au nord et la Lycaonie à l'est. Les habitants de ces montagnes avaient la réputation d'être agressifs et difficiles à contrôler.</w:t>
      </w:r>
    </w:p>
    <w:p>
      <w:r/>
      <w:r>
        <w:t>Les Séleucides les ont d'abord maîtrisés au fil des années. Plus tard, les Romains feront fait de même. Séleucos 1er Nicator, qui a régné de 312 à 280 av. J.‑C., a fondé la ville d'Antioche pour aider à contrôler ces tribus. Amyntas de Galatie a également fortifié la ville vers l'an 26 av. J.‑C. pour accroître la sécurité. À sa mort en l'an 25 av. J.‑C., la Pisidie est devenue membre de la province de Galatie. L'empereur Auguste conclu l'effort pour apporter la paix dans la région en fondant cinq villes en plus d'Antioche :</w:t>
      </w:r>
    </w:p>
    <w:p>
      <w:pPr>
        <w:pStyle w:val="ListNumber"/>
        <w:spacing w:line="240" w:lineRule="auto"/>
        <w:ind w:left="720"/>
      </w:pPr>
      <w:r/>
      <w:r>
        <w:t>Cremna</w:t>
      </w:r>
    </w:p>
    <w:p>
      <w:pPr>
        <w:pStyle w:val="ListNumber"/>
        <w:spacing w:line="240" w:lineRule="auto"/>
        <w:ind w:left="720"/>
      </w:pPr>
      <w:r/>
      <w:r>
        <w:t>Comama</w:t>
      </w:r>
    </w:p>
    <w:p>
      <w:pPr>
        <w:pStyle w:val="ListNumber"/>
        <w:spacing w:line="240" w:lineRule="auto"/>
        <w:ind w:left="720"/>
      </w:pPr>
      <w:r/>
      <w:r>
        <w:t>Olbasa</w:t>
      </w:r>
    </w:p>
    <w:p>
      <w:pPr>
        <w:pStyle w:val="ListNumber"/>
        <w:spacing w:line="240" w:lineRule="auto"/>
        <w:ind w:left="720"/>
      </w:pPr>
      <w:r/>
      <w:r>
        <w:t>Parlais</w:t>
      </w:r>
    </w:p>
    <w:p>
      <w:pPr>
        <w:pStyle w:val="ListNumber"/>
        <w:spacing w:line="240" w:lineRule="auto"/>
        <w:ind w:left="720"/>
      </w:pPr>
      <w:r/>
      <w:r>
        <w:t>Lystre</w:t>
      </w:r>
    </w:p>
    <w:p>
      <w:r/>
      <w:r>
        <w:t xml:space="preserve">Des routes militaires reliaient toutes les villes à Antioche. Une inscription découverte en 1912 montre que Quirinius était gouverneur de la région sous Auguste (voir </w:t>
      </w:r>
      <w:hyperlink r:id="rId2580">
        <w:r>
          <w:rPr>
            <w:color w:val="0000EE"/>
            <w:u w:val="single"/>
          </w:rPr>
          <w:t>Lc 2.2</w:t>
        </w:r>
      </w:hyperlink>
      <w:r>
        <w:t>). Antioche était la capitale de la Pisidie. Cette ville se trouvait sur la route principale entre Éphèse à l'ouest et Derbe et Tarse à l'est. C'était principalement une colonie romaine (un établissement contrôlé par Rome), avec une grande communauté juive amenée par les Séleucides pour le commerce.</w:t>
      </w:r>
    </w:p>
    <w:p>
      <w:r/>
      <w:r>
        <w:t>Paul et Barnabas ont traversé la Pisidie au moins deux fois sur leur route entre Perge et Derbe (</w:t>
      </w:r>
      <w:hyperlink r:id="rId5620">
        <w:r>
          <w:rPr>
            <w:color w:val="0000EE"/>
            <w:u w:val="single"/>
          </w:rPr>
          <w:t>Ac 13.14</w:t>
        </w:r>
      </w:hyperlink>
      <w:r>
        <w:t xml:space="preserve">; </w:t>
      </w:r>
      <w:hyperlink r:id="rId12303">
        <w:r>
          <w:rPr>
            <w:color w:val="0000EE"/>
            <w:u w:val="single"/>
          </w:rPr>
          <w:t>14.24</w:t>
        </w:r>
      </w:hyperlink>
      <w:r>
        <w:t xml:space="preserve">). À Antioche de Pisidie, l'une des décisions les plus importantes de l'œuvre missionnaire chrétienne a été prise et annoncée. Après que la plupart du public juif a rejeté leur message, Paul et Barnabas ont commencé à se concentrer sur les non-Juifs. Ils diront : « </w:t>
      </w:r>
      <w:r>
        <w:t>mais, puisque vous la repoussez, et que vous vous jugez vous-mêmes indignes de la vie éternelle, voici, nous nous tournons vers les païens</w:t>
      </w:r>
      <w:r>
        <w:t xml:space="preserve"> » (</w:t>
      </w:r>
      <w:hyperlink r:id="rId12304">
        <w:r>
          <w:rPr>
            <w:color w:val="0000EE"/>
            <w:u w:val="single"/>
          </w:rPr>
          <w:t>Ac 13.46</w:t>
        </w:r>
      </w:hyperlink>
      <w:r>
        <w:t>). Désormais, Paul et ses amis se concentreront sur la diffusion de leur message aux non-Juifs. Cela a fait du christianisme une religion mondiale, plutôt qu'une secte juive comme tant d'autres.</w:t>
      </w:r>
      <w:r/>
      <w:r/>
    </w:p>
    <w:p>
      <w:r/>
    </w:p>
    <w:p>
      <w:pPr>
        <w:pStyle w:val="Heading2"/>
      </w:pPr>
      <w:r>
        <w:t>place publique, place du marché, marché</w:t>
      </w:r>
      <w:r/>
    </w:p>
    <w:p>
      <w:r/>
      <w:r>
        <w:rPr>
          <w:i/>
        </w:rPr>
        <w:t>Agora</w:t>
      </w:r>
      <w:r>
        <w:t xml:space="preserve"> est le terme grec qui est souvent traduit « place publique » et parfois « place du marché » ou « marché » dans les Bibles françaises. À l'époque du Nouveau Testament (NT), l'agora était un espace public qui pouvaient être utilisé de différentes façons selon les besoins communautaires. C'était l'endroit où était traitées des affaires civiles importantes et où se tenaient d'importants événements communautaires.</w:t>
      </w:r>
    </w:p>
    <w:p>
      <w:r/>
      <w:r>
        <w:t>Il était utilisé comme lieu de marché où les gens pouvaient acheter et vendre des biens. Dans l'Antiquité, les marchés étaient généralement des espaces extérieurs où les marchands exposaient leurs articles à vendre (</w:t>
      </w:r>
      <w:hyperlink r:id="rId12305">
        <w:r>
          <w:rPr>
            <w:color w:val="0000EE"/>
            <w:u w:val="single"/>
          </w:rPr>
          <w:t>Mc 7.4</w:t>
        </w:r>
      </w:hyperlink>
      <w:r>
        <w:t>). Aujourd'hui, il est encore possible de trouver des marchés extérieurs similaires dans de nombreuses villes à travers le Moyen-Orient et la région méditerranéenne. De nombreux autres pays ont aussi des marchés extérieurs.</w:t>
      </w:r>
    </w:p>
    <w:p>
      <w:r/>
      <w:r>
        <w:t xml:space="preserve">D'autres activités se déroulant dans l'agora sont mentionnées dans le NT. Dans </w:t>
      </w:r>
      <w:hyperlink r:id="rId12306">
        <w:r>
          <w:rPr>
            <w:color w:val="0000EE"/>
            <w:u w:val="single"/>
          </w:rPr>
          <w:t xml:space="preserve">Matthieu 11.16 </w:t>
        </w:r>
      </w:hyperlink>
      <w:r>
        <w:t xml:space="preserve">et </w:t>
      </w:r>
      <w:hyperlink r:id="rId10487">
        <w:r>
          <w:rPr>
            <w:color w:val="0000EE"/>
            <w:u w:val="single"/>
          </w:rPr>
          <w:t>Luc 7.32</w:t>
        </w:r>
      </w:hyperlink>
      <w:r>
        <w:t xml:space="preserve">, c'est un lieu où des enfants jouent d'instruments de musique et interpèlent d'autres enfants. Dans </w:t>
      </w:r>
      <w:hyperlink r:id="rId12307">
        <w:r>
          <w:rPr>
            <w:color w:val="0000EE"/>
            <w:u w:val="single"/>
          </w:rPr>
          <w:t>Matthieu 20.3</w:t>
        </w:r>
      </w:hyperlink>
      <w:r>
        <w:t>, Jésus parle de l'agora comme lieu où chercher des personnes à embaucher. Dans les villages et villes que Jésus traversait, on mettait les malades sur la place publique pour qu'il les guérisse (</w:t>
      </w:r>
      <w:hyperlink r:id="rId12308">
        <w:r>
          <w:rPr>
            <w:color w:val="0000EE"/>
            <w:u w:val="single"/>
          </w:rPr>
          <w:t>Mc 6.56</w:t>
        </w:r>
      </w:hyperlink>
      <w:r>
        <w:t>). Quand il était à Athènes, Paul se rendait à la place publique pour y discuter de Jésus avec ceux qu'il y rencontrait (</w:t>
      </w:r>
      <w:hyperlink r:id="rId12309">
        <w:r>
          <w:rPr>
            <w:color w:val="0000EE"/>
            <w:u w:val="single"/>
          </w:rPr>
          <w:t>Ac 17.17</w:t>
        </w:r>
      </w:hyperlink>
      <w:r>
        <w:t xml:space="preserve">). Dans </w:t>
      </w:r>
      <w:hyperlink r:id="rId4163">
        <w:r>
          <w:rPr>
            <w:color w:val="0000EE"/>
            <w:u w:val="single"/>
          </w:rPr>
          <w:t>Actes 16.19</w:t>
        </w:r>
      </w:hyperlink>
      <w:r>
        <w:t>, l'agora est l'endroit où Paul et Silas sont traînés devant les magistrats.</w:t>
      </w:r>
      <w:r/>
      <w:r/>
    </w:p>
    <w:p>
      <w:r/>
    </w:p>
    <w:p>
      <w:pPr>
        <w:pStyle w:val="Heading2"/>
      </w:pPr>
      <w:r>
        <w:t>Plat</w:t>
      </w:r>
      <w:r/>
    </w:p>
    <w:p>
      <w:r/>
      <w:r>
        <w:t>Récipient, généralement fait d'argile de terre cuite ou de métal. Les plats étaient utilisés dans la vie quotidienne et lors de cérémonies religieuses. Ils servaient à présenter ou à conserver la nourriture (</w:t>
      </w:r>
      <w:hyperlink r:id="rId12310">
        <w:r>
          <w:rPr>
            <w:color w:val="0000EE"/>
            <w:u w:val="single"/>
          </w:rPr>
          <w:t>Jg 5.25</w:t>
        </w:r>
      </w:hyperlink>
      <w:r>
        <w:t xml:space="preserve"> ; </w:t>
      </w:r>
      <w:hyperlink r:id="rId12311">
        <w:r>
          <w:rPr>
            <w:color w:val="0000EE"/>
            <w:u w:val="single"/>
          </w:rPr>
          <w:t>Mt 26.23</w:t>
        </w:r>
      </w:hyperlink>
      <w:r>
        <w:t xml:space="preserve"> ; </w:t>
      </w:r>
      <w:hyperlink r:id="rId12312">
        <w:r>
          <w:rPr>
            <w:color w:val="0000EE"/>
            <w:u w:val="single"/>
          </w:rPr>
          <w:t>Mc 14.20</w:t>
        </w:r>
      </w:hyperlink>
      <w:r>
        <w:t>). Ils devaient être essuyés et laissés à sécher (</w:t>
      </w:r>
      <w:hyperlink r:id="rId12313">
        <w:r>
          <w:rPr>
            <w:color w:val="0000EE"/>
            <w:u w:val="single"/>
          </w:rPr>
          <w:t>2R 21.13</w:t>
        </w:r>
      </w:hyperlink>
      <w:r>
        <w:t>). Plus tard, les pharisiens en ont fait l'objet d'un rituel de purification (</w:t>
      </w:r>
      <w:hyperlink r:id="rId12314">
        <w:r>
          <w:rPr>
            <w:color w:val="0000EE"/>
            <w:u w:val="single"/>
          </w:rPr>
          <w:t>Mt 23.25–26</w:t>
        </w:r>
      </w:hyperlink>
      <w:r>
        <w:t xml:space="preserve"> ; </w:t>
      </w:r>
      <w:hyperlink r:id="rId6600">
        <w:r>
          <w:rPr>
            <w:color w:val="0000EE"/>
            <w:u w:val="single"/>
          </w:rPr>
          <w:t>Lc 11.39</w:t>
        </w:r>
      </w:hyperlink>
      <w:r>
        <w:t>). Des plats étaient utilisés pour présenter des offrandes (</w:t>
      </w:r>
      <w:hyperlink r:id="rId12315">
        <w:r>
          <w:rPr>
            <w:color w:val="0000EE"/>
            <w:u w:val="single"/>
          </w:rPr>
          <w:t>Nb 7.13</w:t>
        </w:r>
      </w:hyperlink>
      <w:r>
        <w:t>). Dans l'Ancien Testament, des plats étaient également utilisés en relation à la table des pains de proposition pour le culte du tabernacle et du Temple (</w:t>
      </w:r>
      <w:hyperlink r:id="rId12316">
        <w:r>
          <w:rPr>
            <w:color w:val="0000EE"/>
            <w:u w:val="single"/>
          </w:rPr>
          <w:t>Ex 25.29</w:t>
        </w:r>
      </w:hyperlink>
      <w:r>
        <w:t xml:space="preserve"> ; </w:t>
      </w:r>
      <w:hyperlink r:id="rId12317">
        <w:r>
          <w:rPr>
            <w:color w:val="0000EE"/>
            <w:u w:val="single"/>
          </w:rPr>
          <w:t>37.16</w:t>
        </w:r>
      </w:hyperlink>
      <w:r>
        <w:t xml:space="preserve"> ; </w:t>
      </w:r>
      <w:hyperlink r:id="rId12318">
        <w:r>
          <w:rPr>
            <w:color w:val="0000EE"/>
            <w:u w:val="single"/>
          </w:rPr>
          <w:t>Nb 4.7</w:t>
        </w:r>
      </w:hyperlink>
      <w:r>
        <w:t>).</w:t>
      </w:r>
      <w:r/>
      <w:r/>
    </w:p>
    <w:p>
      <w:r/>
    </w:p>
    <w:p>
      <w:pPr>
        <w:pStyle w:val="Heading2"/>
      </w:pPr>
      <w:r>
        <w:t>Plénitude</w:t>
      </w:r>
      <w:r/>
    </w:p>
    <w:p>
      <w:r/>
      <w:r>
        <w:t xml:space="preserve">Traduction courante du terme grec </w:t>
      </w:r>
      <w:r>
        <w:rPr>
          <w:i/>
        </w:rPr>
        <w:t>pleroma.</w:t>
      </w:r>
      <w:r>
        <w:t xml:space="preserve"> Le sens du mot peut varier et doit être déterminé selon son utilisation dans chaque contexte.</w:t>
      </w:r>
    </w:p>
    <w:p>
      <w:pPr>
        <w:pStyle w:val="Heading3"/>
      </w:pPr>
      <w:r>
        <w:t>Utilisation générale</w:t>
      </w:r>
    </w:p>
    <w:p>
      <w:r/>
      <w:r>
        <w:t>En dehors du Nouveau Testament (NT), le mot signifie normalement « ce qui remplit ». Il est utilisé pour décrire une cargaison ou un équipage qui remplit un navire, des personnes qui composent une foule, et les années qui « remplissent » la vie d'une personne. Le philosophe Aristote a utilisé le mot pour désigner la population qui remplit une ville. Ce sens est utilisé dans les Évangiles de Matthieu et de Marc pour désigner un morceau de tissu utilisé pour réparer un trou dans un vieux vêtement (</w:t>
      </w:r>
      <w:hyperlink r:id="rId12319">
        <w:r>
          <w:rPr>
            <w:color w:val="0000EE"/>
            <w:u w:val="single"/>
          </w:rPr>
          <w:t xml:space="preserve">Mt 9.16 </w:t>
        </w:r>
      </w:hyperlink>
      <w:r>
        <w:t xml:space="preserve">; </w:t>
      </w:r>
      <w:hyperlink r:id="rId12320">
        <w:r>
          <w:rPr>
            <w:color w:val="0000EE"/>
            <w:u w:val="single"/>
          </w:rPr>
          <w:t>Mc 2.21</w:t>
        </w:r>
      </w:hyperlink>
      <w:r>
        <w:t>), et dans Marc pour décrire des morceaux de poisson remplissant des paniers (</w:t>
      </w:r>
      <w:hyperlink r:id="rId12321">
        <w:r>
          <w:rPr>
            <w:color w:val="0000EE"/>
            <w:u w:val="single"/>
          </w:rPr>
          <w:t xml:space="preserve">Mc 6.43 </w:t>
        </w:r>
      </w:hyperlink>
      <w:r>
        <w:t xml:space="preserve">; </w:t>
      </w:r>
      <w:hyperlink r:id="rId12322">
        <w:r>
          <w:rPr>
            <w:color w:val="0000EE"/>
            <w:u w:val="single"/>
          </w:rPr>
          <w:t>8.20</w:t>
        </w:r>
      </w:hyperlink>
      <w:r>
        <w:t>).</w:t>
      </w:r>
    </w:p>
    <w:p>
      <w:pPr>
        <w:pStyle w:val="Heading3"/>
      </w:pPr>
      <w:r>
        <w:t>Expressions avec la terre ou la mer</w:t>
      </w:r>
    </w:p>
    <w:p>
      <w:r/>
      <w:r>
        <w:t xml:space="preserve">Dans plusieurs passages, la Septante (traduction juive de l'AT en grec), utilise le mot </w:t>
      </w:r>
      <w:r>
        <w:rPr>
          <w:i/>
        </w:rPr>
        <w:t>pleroma</w:t>
      </w:r>
      <w:r>
        <w:t xml:space="preserve"> pour désigner « ce que contient » la terre (la LSG traduit « ce qu'elle renferme », </w:t>
      </w:r>
      <w:hyperlink r:id="rId12323">
        <w:r>
          <w:rPr>
            <w:color w:val="0000EE"/>
            <w:u w:val="single"/>
          </w:rPr>
          <w:t xml:space="preserve">Ps 24.1 </w:t>
        </w:r>
      </w:hyperlink>
      <w:r>
        <w:t xml:space="preserve">; </w:t>
      </w:r>
      <w:hyperlink r:id="rId12324">
        <w:r>
          <w:rPr>
            <w:color w:val="0000EE"/>
            <w:u w:val="single"/>
          </w:rPr>
          <w:t xml:space="preserve">50.12 </w:t>
        </w:r>
      </w:hyperlink>
      <w:r>
        <w:t xml:space="preserve">; </w:t>
      </w:r>
      <w:hyperlink r:id="rId12325">
        <w:r>
          <w:rPr>
            <w:color w:val="0000EE"/>
            <w:u w:val="single"/>
          </w:rPr>
          <w:t xml:space="preserve">89.11 </w:t>
        </w:r>
      </w:hyperlink>
      <w:r>
        <w:t xml:space="preserve">; </w:t>
      </w:r>
      <w:hyperlink r:id="rId12326">
        <w:r>
          <w:rPr>
            <w:color w:val="0000EE"/>
            <w:u w:val="single"/>
          </w:rPr>
          <w:t>1Co 10.26</w:t>
        </w:r>
      </w:hyperlink>
      <w:r>
        <w:t>) ou la mer « avec tout ce qu'elle contient » (</w:t>
      </w:r>
      <w:hyperlink r:id="rId12327">
        <w:r>
          <w:rPr>
            <w:color w:val="0000EE"/>
            <w:u w:val="single"/>
          </w:rPr>
          <w:t xml:space="preserve">1Ch 16.32 </w:t>
        </w:r>
      </w:hyperlink>
      <w:r>
        <w:t xml:space="preserve">; </w:t>
      </w:r>
      <w:hyperlink r:id="rId12328">
        <w:r>
          <w:rPr>
            <w:color w:val="0000EE"/>
            <w:u w:val="single"/>
          </w:rPr>
          <w:t>Ps 96.11–12</w:t>
        </w:r>
      </w:hyperlink>
      <w:r>
        <w:t>). Ce que la terre ou la mer renferme est exprimé comme quelque chose dont elles sont remplies avec l'effet d'un grand nombre. Ces expressions font peut-être aussi allusion à la qualité de ce que la terre et la mer contiennent comme étant bon et précieux. Dans la pensée des Hébreux, la création est un reflet du Créateur (</w:t>
      </w:r>
      <w:hyperlink r:id="rId12329">
        <w:r>
          <w:rPr>
            <w:color w:val="0000EE"/>
            <w:u w:val="single"/>
          </w:rPr>
          <w:t xml:space="preserve">Ps 8.5–6 </w:t>
        </w:r>
      </w:hyperlink>
      <w:r>
        <w:t xml:space="preserve">; </w:t>
      </w:r>
      <w:hyperlink r:id="rId2660">
        <w:r>
          <w:rPr>
            <w:color w:val="0000EE"/>
            <w:u w:val="single"/>
          </w:rPr>
          <w:t xml:space="preserve">19.1–6 </w:t>
        </w:r>
      </w:hyperlink>
      <w:r>
        <w:t xml:space="preserve">; </w:t>
      </w:r>
      <w:hyperlink r:id="rId12330">
        <w:r>
          <w:rPr>
            <w:color w:val="0000EE"/>
            <w:u w:val="single"/>
          </w:rPr>
          <w:t>Jr 23.24</w:t>
        </w:r>
      </w:hyperlink>
      <w:r>
        <w:t xml:space="preserve">). Ainsi, chaque fois qu'ils venaient en contact avec quelque chose que Dieu avait créé, que ce soit dans leur travail, leur nourriture ou leurs relations avec autrui, c'était venir en contact de façon objective avec le Dieu qui leur avait donné ces choses. Pour les Juifs, l'annonce prophétique de l'intention de Dieu de détruire « </w:t>
      </w:r>
      <w:r>
        <w:t>le pays et ce qu'il renferme</w:t>
      </w:r>
      <w:r>
        <w:t xml:space="preserve"> » était terrifiante (</w:t>
      </w:r>
      <w:hyperlink r:id="rId12331">
        <w:r>
          <w:rPr>
            <w:color w:val="0000EE"/>
            <w:u w:val="single"/>
          </w:rPr>
          <w:t xml:space="preserve">Jr 8.16 </w:t>
        </w:r>
      </w:hyperlink>
      <w:r>
        <w:t xml:space="preserve">; </w:t>
      </w:r>
      <w:hyperlink r:id="rId12332">
        <w:r>
          <w:rPr>
            <w:color w:val="0000EE"/>
            <w:u w:val="single"/>
          </w:rPr>
          <w:t xml:space="preserve">47.2 </w:t>
        </w:r>
      </w:hyperlink>
      <w:r>
        <w:t xml:space="preserve">; </w:t>
      </w:r>
      <w:hyperlink r:id="rId12333">
        <w:r>
          <w:rPr>
            <w:color w:val="0000EE"/>
            <w:u w:val="single"/>
          </w:rPr>
          <w:t xml:space="preserve">Ez 12.19 </w:t>
        </w:r>
      </w:hyperlink>
      <w:r>
        <w:t xml:space="preserve">; </w:t>
      </w:r>
      <w:hyperlink r:id="rId12334">
        <w:r>
          <w:rPr>
            <w:color w:val="0000EE"/>
            <w:u w:val="single"/>
          </w:rPr>
          <w:t xml:space="preserve">19.7 </w:t>
        </w:r>
      </w:hyperlink>
      <w:r>
        <w:t xml:space="preserve">; </w:t>
      </w:r>
      <w:hyperlink r:id="rId12335">
        <w:r>
          <w:rPr>
            <w:color w:val="0000EE"/>
            <w:u w:val="single"/>
          </w:rPr>
          <w:t>30.12</w:t>
        </w:r>
      </w:hyperlink>
      <w:r>
        <w:t>).</w:t>
      </w:r>
    </w:p>
    <w:p>
      <w:pPr>
        <w:pStyle w:val="Heading3"/>
      </w:pPr>
      <w:r>
        <w:t>Dans les écrits de l'apôtre Paul</w:t>
      </w:r>
    </w:p>
    <w:p>
      <w:r/>
      <w:r>
        <w:t>Il y a débat sur l'origine de la façon dont Paul comprend et utilise le mot « plénitude » en tant que terme théologique important. Certains soutiennent que le mot avait pour les gnostiques un sens particulier, connecté à un royaume d'êtres spirituels intermédiaires entre le Dieu véritable et une terre « maléfique ». Plus tard, de faux enseignants ont considéré que le Christ était l'une des nombreuses divinités vivant dans cette « plénitude ». Afin de corriger cette erreur, Paul aurait emprunté le terme à ses adversaires et l'aurait appliqué au Christ pour enseigner que Jésus n'est pas simplement l'un des êtres intermédiaires entre Dieu et l'humanité. Au contraire, tout (« la plénitude ») est en Christ, le médiateur unique entre Dieu et l'humanité (</w:t>
      </w:r>
      <w:hyperlink r:id="rId2907">
        <w:r>
          <w:rPr>
            <w:color w:val="0000EE"/>
            <w:u w:val="single"/>
          </w:rPr>
          <w:t>Col 1.15–20</w:t>
        </w:r>
      </w:hyperlink>
      <w:r>
        <w:t>).</w:t>
      </w:r>
    </w:p>
    <w:p>
      <w:r/>
      <w:r>
        <w:t>D'autres ne partagent pas ce point de vue. Ils soutiennent que Paul utilise ce terme dans plusieurs passages où cette interprétation ne convient pas (</w:t>
      </w:r>
      <w:hyperlink r:id="rId12336">
        <w:r>
          <w:rPr>
            <w:color w:val="0000EE"/>
            <w:u w:val="single"/>
          </w:rPr>
          <w:t xml:space="preserve">Rm 13.10 </w:t>
        </w:r>
      </w:hyperlink>
      <w:r>
        <w:t xml:space="preserve">; </w:t>
      </w:r>
      <w:hyperlink r:id="rId312">
        <w:r>
          <w:rPr>
            <w:color w:val="0000EE"/>
            <w:u w:val="single"/>
          </w:rPr>
          <w:t>Ep 1.22–23</w:t>
        </w:r>
      </w:hyperlink>
      <w:r>
        <w:t>). Ils soulignent aussi qu'il est plus probable que Paul, venant d'un milieu juif et pharisien, aurait compris le mot de la façon dont il est utilisé dans l'AT. Ainsi, il vaut mieux ne pas présupposer que Paul ait emprunté ce mot à ses adversaires.</w:t>
      </w:r>
    </w:p>
    <w:p>
      <w:r/>
      <w:r>
        <w:t xml:space="preserve">Paul utilise le terme quatre fois dans Romains. L'utilisation du terme est plus claire dans la traduction littérale de la Darby. Cette version sera donc citée ici et comparée à la Louis Segond pour mieux illustrer les possibilités d'interprétation. Dans </w:t>
      </w:r>
      <w:hyperlink r:id="rId12337">
        <w:r>
          <w:rPr>
            <w:color w:val="0000EE"/>
            <w:u w:val="single"/>
          </w:rPr>
          <w:t>Romains 11.12</w:t>
        </w:r>
      </w:hyperlink>
      <w:r>
        <w:t xml:space="preserve">, Paul déclare : « combien plus le sera leur plénitude [celle des Juifs] ! » (Louis Segond 1910 : « quand ils se convertiront tous »). Au verset </w:t>
      </w:r>
      <w:hyperlink r:id="rId4787">
        <w:r>
          <w:rPr>
            <w:color w:val="0000EE"/>
            <w:u w:val="single"/>
          </w:rPr>
          <w:t xml:space="preserve">25, </w:t>
        </w:r>
      </w:hyperlink>
      <w:r>
        <w:t xml:space="preserve">il parle de « la plénitude des nations » (Louis Segond 1910 : « la totalité des païens »). Comme l'indiquent les choix de traduction de la Louis Segond, le mot « plénitude » peut être compris ici comme l'inclusion de tous les Juifs. Cependant, au verset </w:t>
      </w:r>
      <w:hyperlink r:id="rId12337">
        <w:r>
          <w:rPr>
            <w:color w:val="0000EE"/>
            <w:u w:val="single"/>
          </w:rPr>
          <w:t>12</w:t>
        </w:r>
      </w:hyperlink>
      <w:r>
        <w:t xml:space="preserve">, le terme tranche avec l'échec et le péché du peuple juif, dont la majorité estimait que la justice était d'observer les pratiques juives plutôt que d'avoir la foi. Il est donc possible que « plénitude » signifie l'obéissance complète à la volonté de Dieu. Cela voudrait dire que selon Paul, si leur désobéissance a profité aux Gentils, leur obéissance sera encore plus une richesse pour les nations. C'est dans ce sens actif que le mot « plénitude » est utilisé dans </w:t>
      </w:r>
      <w:hyperlink r:id="rId12336">
        <w:r>
          <w:rPr>
            <w:color w:val="0000EE"/>
            <w:u w:val="single"/>
          </w:rPr>
          <w:t>Romains 13.10</w:t>
        </w:r>
      </w:hyperlink>
      <w:r>
        <w:t>, qui dit littéralement que l'amour est la « plénitude » de la loi (Darby : « somme », Louis Segond 1910 : « accomplissement »). L'amour accomplit l'objectif ultime de la loi. De la même façon, Paul veut aller vers eux « dans la plénitude de la bénédiction de Christ » (</w:t>
      </w:r>
      <w:hyperlink r:id="rId12338">
        <w:r>
          <w:rPr>
            <w:color w:val="0000EE"/>
            <w:u w:val="single"/>
          </w:rPr>
          <w:t>15.29</w:t>
        </w:r>
      </w:hyperlink>
      <w:r>
        <w:t>, Darby). Il désire donc que sa propre vie soit une pleine expression de l'Évangile du Christ.</w:t>
      </w:r>
    </w:p>
    <w:p>
      <w:r/>
      <w:r>
        <w:t>Dans la lettre aux Éphésiens, l'Église est décrite comme la plénitude du Christ (</w:t>
      </w:r>
      <w:hyperlink r:id="rId312">
        <w:r>
          <w:rPr>
            <w:color w:val="0000EE"/>
            <w:u w:val="single"/>
          </w:rPr>
          <w:t xml:space="preserve">Ep 1.22–23 </w:t>
        </w:r>
      </w:hyperlink>
      <w:r>
        <w:t xml:space="preserve">; voir aussi </w:t>
      </w:r>
      <w:hyperlink r:id="rId12339">
        <w:r>
          <w:rPr>
            <w:color w:val="0000EE"/>
            <w:u w:val="single"/>
          </w:rPr>
          <w:t>4.13</w:t>
        </w:r>
      </w:hyperlink>
      <w:r>
        <w:t>, Darby), et « la plénitude de Dieu » (</w:t>
      </w:r>
      <w:hyperlink r:id="rId12340">
        <w:r>
          <w:rPr>
            <w:color w:val="0000EE"/>
            <w:u w:val="single"/>
          </w:rPr>
          <w:t>3.19</w:t>
        </w:r>
      </w:hyperlink>
      <w:r>
        <w:t xml:space="preserve">). De multiples interprétations ont été proposées pour expliquer le sens de cette expression : l'Église est remplie, rendue complète ou entière par Christ ; l'Église possède les attributs du Christ ; l'Église est l'agent par lequel Christ accomplit tout son œuvre. L'Église est remplie de Christ en ce qu'elle est l'expression complète et continuelle de ses paroles et de ses œuvres (voir </w:t>
      </w:r>
      <w:hyperlink r:id="rId2929">
        <w:r>
          <w:rPr>
            <w:color w:val="0000EE"/>
            <w:u w:val="single"/>
          </w:rPr>
          <w:t>Col 2.10</w:t>
        </w:r>
      </w:hyperlink>
      <w:r>
        <w:t>). Dans Colossiens, Paul utilise le terme à propos de Christ : en lui habite la plénitude de Dieu (</w:t>
      </w:r>
      <w:hyperlink r:id="rId2927">
        <w:r>
          <w:rPr>
            <w:color w:val="0000EE"/>
            <w:u w:val="single"/>
          </w:rPr>
          <w:t xml:space="preserve">1.19 </w:t>
        </w:r>
      </w:hyperlink>
      <w:r>
        <w:t xml:space="preserve">; </w:t>
      </w:r>
      <w:hyperlink r:id="rId2928">
        <w:r>
          <w:rPr>
            <w:color w:val="0000EE"/>
            <w:u w:val="single"/>
          </w:rPr>
          <w:t>2.9</w:t>
        </w:r>
      </w:hyperlink>
      <w:r>
        <w:t>). Ces passages sont souvent interprétés comme une déclaration de la divinité du Christ : tous les attributs de Dieu sont en Christ ; tout ce que Dieu est, Christ l'est aussi.</w:t>
      </w:r>
    </w:p>
    <w:p>
      <w:pPr>
        <w:pStyle w:val="Heading3"/>
      </w:pPr>
      <w:r>
        <w:t>Dans les écrits de l'apôtre Jean</w:t>
      </w:r>
    </w:p>
    <w:p>
      <w:r/>
      <w:r>
        <w:t>Le prologue (introduction) de l'Évangile de Jean déclare que tous les disciples ont reçu la « plénitude » du Christ (</w:t>
      </w:r>
      <w:hyperlink r:id="rId12341">
        <w:r>
          <w:rPr>
            <w:color w:val="0000EE"/>
            <w:u w:val="single"/>
          </w:rPr>
          <w:t>1.16</w:t>
        </w:r>
      </w:hyperlink>
      <w:r>
        <w:t xml:space="preserve">). Cette plénitude est définie au verset </w:t>
      </w:r>
      <w:hyperlink r:id="rId1968">
        <w:r>
          <w:rPr>
            <w:color w:val="0000EE"/>
            <w:u w:val="single"/>
          </w:rPr>
          <w:t>14</w:t>
        </w:r>
      </w:hyperlink>
      <w:r>
        <w:t xml:space="preserve"> : « </w:t>
      </w:r>
      <w:r>
        <w:t>Et la parole a été faite chair, et elle a habité parmi nous, pleine de grâce et de vérité</w:t>
      </w:r>
      <w:r>
        <w:t xml:space="preserve"> ». Ici ce mot grec qui signifie « plénitude » indique le fait d'être rempli ou la totalité. Les gnostiques utilisaient ce mot pour décrire la totalité de toutes les divinités. Jean, comme Paul, utilise ce mot pour décrire le Christ qui est totalement Dieu, car toute la plénitude de la divinité habite corporellement en lui (voir </w:t>
      </w:r>
      <w:hyperlink r:id="rId2927">
        <w:r>
          <w:rPr>
            <w:color w:val="0000EE"/>
            <w:u w:val="single"/>
          </w:rPr>
          <w:t>Col 1.19</w:t>
        </w:r>
      </w:hyperlink>
      <w:r>
        <w:t xml:space="preserve"> ; </w:t>
      </w:r>
      <w:hyperlink r:id="rId2928">
        <w:r>
          <w:rPr>
            <w:color w:val="0000EE"/>
            <w:u w:val="single"/>
          </w:rPr>
          <w:t>2.9</w:t>
        </w:r>
      </w:hyperlink>
      <w:r>
        <w:t>).</w:t>
      </w:r>
    </w:p>
    <w:p>
      <w:r/>
      <w:r>
        <w:t>Puisque toute la plénitude de Dieu habite en Christ, tous les biens spirituels se trouvent en lui. En Christ, les disciples ne manquent de rien. Bien sûr, aucun disciple ne peut recevoir tout Christ : c'est l'Église, son corps, qui ensemble reçoit sa plénitude et qui l'exprime (</w:t>
      </w:r>
      <w:hyperlink r:id="rId12342">
        <w:r>
          <w:rPr>
            <w:color w:val="0000EE"/>
            <w:u w:val="single"/>
          </w:rPr>
          <w:t>Ep 1.23</w:t>
        </w:r>
      </w:hyperlink>
      <w:r>
        <w:t>). Néanmoins, chaque disciple reçoit la même mesure de cette plénitude. Christ n'a pas de quantité limitée à donner : il continue toujours de donner. Les croyants n'ont pas besoin de chercher ailleurs qu'en lui.</w:t>
      </w:r>
      <w:r/>
      <w:r/>
    </w:p>
    <w:p>
      <w:r/>
    </w:p>
    <w:p>
      <w:pPr>
        <w:pStyle w:val="Heading2"/>
      </w:pPr>
      <w:r>
        <w:t>Poésie biblique</w:t>
      </w:r>
      <w:r/>
    </w:p>
    <w:p>
      <w:r/>
      <w:r>
        <w:t>Langage poétique dans les Écritures.</w:t>
      </w:r>
    </w:p>
    <w:p>
      <w:pPr>
        <w:pStyle w:val="Heading3"/>
      </w:pPr>
      <w:r>
        <w:t>Dans l’Ancien Testament</w:t>
      </w:r>
    </w:p>
    <w:p>
      <w:r/>
      <w:r>
        <w:t>L'Ancien Testament (AT) contient tout ce que nous savons de la poésie d'Israël, et ce que nous avons occupe une place importante dans cette littérature. Elle était vraisemblablement bien connue dans tout le Proche-Orient Ancien, car sa renommée s'était même répandue jusqu'à Babylone (</w:t>
      </w:r>
      <w:hyperlink r:id="rId10415">
        <w:r>
          <w:rPr>
            <w:color w:val="0000EE"/>
            <w:u w:val="single"/>
          </w:rPr>
          <w:t>Ps 137.3</w:t>
        </w:r>
      </w:hyperlink>
      <w:r>
        <w:t>). Une grande partie de l'AT est poétique par son esprit et sa structure (une caractéristique des écrits prophétiques ainsi que de la littérature poétique). Dans ces premiers se trouvent des passages de haute poésie, parsemés de brillants joyaux d'imagerie. Le mouvement est rythmique, avec mètre, parallélisme et arrangement strophique, comme dans les recueils de poésie.</w:t>
      </w:r>
    </w:p>
    <w:p>
      <w:r/>
      <w:r>
        <w:t>Certaines versions françaises de la Bible rendent la poésie de l'AT en lignes parallèles. Là où cela n'est pas fait dans la littérature prophétique, la qualité poétique de ces livres est obscurcie. Notez qu'en plus des livres de l'AT reconnus comme poétiques (Psaumes, Job, Lamentations, Cantique des cantiques et Proverbes) l'Ecclésiaste et les Prophètes se composent tantôt de prose et tantôt de poésie. Les livres historiques contiennent également de beaux exemples de poésie.</w:t>
      </w:r>
    </w:p>
    <w:p>
      <w:r/>
      <w:r>
        <w:t>La langue hébraïque était un instrument idéal pour exprimer le discours poétique. Sa simplicité de forme combinait intensité de sentiment et pouvoir pictural, permettant la mise en œuvre de l'imagination de l'auteur. Les figures, métaphores et hyperboles y sont extrêmement courantes. Dans sa puissante imagerie, le génie de la poésie hébraïque trouve sa plus belle expression.</w:t>
      </w:r>
    </w:p>
    <w:p>
      <w:r/>
      <w:r>
        <w:t>L'unité normale du verset hébreu est le couplet de deux lignes parallèles. Cependant, ce n'est pas le seul groupement de lignes dans la poésie hébraïque. Des unités de trois (</w:t>
      </w:r>
      <w:hyperlink r:id="rId12343">
        <w:r>
          <w:rPr>
            <w:color w:val="0000EE"/>
            <w:u w:val="single"/>
          </w:rPr>
          <w:t>Ps 1.1</w:t>
        </w:r>
      </w:hyperlink>
      <w:r>
        <w:t xml:space="preserve"> ; </w:t>
      </w:r>
      <w:hyperlink r:id="rId12344">
        <w:r>
          <w:rPr>
            <w:color w:val="0000EE"/>
            <w:u w:val="single"/>
          </w:rPr>
          <w:t>5.11</w:t>
        </w:r>
      </w:hyperlink>
      <w:r>
        <w:t xml:space="preserve"> ; </w:t>
      </w:r>
      <w:hyperlink r:id="rId12345">
        <w:r>
          <w:rPr>
            <w:color w:val="0000EE"/>
            <w:u w:val="single"/>
          </w:rPr>
          <w:t>45.1–2</w:t>
        </w:r>
      </w:hyperlink>
      <w:r>
        <w:t>), quatre (</w:t>
      </w:r>
      <w:hyperlink r:id="rId1141">
        <w:r>
          <w:rPr>
            <w:color w:val="0000EE"/>
            <w:u w:val="single"/>
          </w:rPr>
          <w:t>Ps 1.3</w:t>
        </w:r>
      </w:hyperlink>
      <w:r>
        <w:t xml:space="preserve"> ; </w:t>
      </w:r>
      <w:hyperlink r:id="rId12346">
        <w:r>
          <w:rPr>
            <w:color w:val="0000EE"/>
            <w:u w:val="single"/>
          </w:rPr>
          <w:t>55.21</w:t>
        </w:r>
      </w:hyperlink>
      <w:r>
        <w:t xml:space="preserve"> ; </w:t>
      </w:r>
      <w:hyperlink r:id="rId12347">
        <w:r>
          <w:rPr>
            <w:color w:val="0000EE"/>
            <w:u w:val="single"/>
          </w:rPr>
          <w:t>Pr 27.15–16</w:t>
        </w:r>
      </w:hyperlink>
      <w:r>
        <w:t>), cinq (</w:t>
      </w:r>
      <w:hyperlink r:id="rId12348">
        <w:r>
          <w:rPr>
            <w:color w:val="0000EE"/>
            <w:u w:val="single"/>
          </w:rPr>
          <w:t>Ps 6.6–7</w:t>
        </w:r>
      </w:hyperlink>
      <w:r>
        <w:t xml:space="preserve"> ; </w:t>
      </w:r>
      <w:hyperlink r:id="rId12349">
        <w:r>
          <w:rPr>
            <w:color w:val="0000EE"/>
            <w:u w:val="single"/>
          </w:rPr>
          <w:t>Pr 24.23–25</w:t>
        </w:r>
      </w:hyperlink>
      <w:r>
        <w:t>), six (</w:t>
      </w:r>
      <w:hyperlink r:id="rId8674">
        <w:r>
          <w:rPr>
            <w:color w:val="0000EE"/>
            <w:u w:val="single"/>
          </w:rPr>
          <w:t>Ps 99.1–3</w:t>
        </w:r>
      </w:hyperlink>
      <w:r>
        <w:t xml:space="preserve"> ; </w:t>
      </w:r>
      <w:hyperlink r:id="rId12350">
        <w:r>
          <w:rPr>
            <w:color w:val="0000EE"/>
            <w:u w:val="single"/>
          </w:rPr>
          <w:t>Pr 30.21–23</w:t>
        </w:r>
      </w:hyperlink>
      <w:r>
        <w:t>), et même des combinaisons plus grandes de lignes parallèles peuvent être trouvées.</w:t>
      </w:r>
    </w:p>
    <w:p>
      <w:r/>
      <w:r>
        <w:t>Pour autant qu'on puisse le déterminer, le mètre est absent de la poésie biblique. Il y a, dans tous les cas, peu de souci porté au mètre soigné qui caractérise la poésie classique grecque et latine, ainsi qu'une grande partie de la poésie française. La seule exception se trouve dans les chants de lamentation ou les complaintes (</w:t>
      </w:r>
      <w:hyperlink r:id="rId12351">
        <w:r>
          <w:rPr>
            <w:color w:val="0000EE"/>
            <w:u w:val="single"/>
          </w:rPr>
          <w:t>Jr 9.18–20</w:t>
        </w:r>
      </w:hyperlink>
      <w:r>
        <w:t xml:space="preserve"> ; </w:t>
      </w:r>
      <w:hyperlink r:id="rId12352">
        <w:r>
          <w:rPr>
            <w:color w:val="0000EE"/>
            <w:u w:val="single"/>
          </w:rPr>
          <w:t>Lm 1–4</w:t>
        </w:r>
      </w:hyperlink>
      <w:r>
        <w:t>). On appelle cela le mètre de lamentation, le vers étant en deux parties. La rime est également si rare qu'elle est presque inexistante.</w:t>
      </w:r>
    </w:p>
    <w:p>
      <w:r/>
      <w:r>
        <w:t>D'autre part, la poésie hébraïque est rythmique, ce qui constitue l'une de ses caractéristiques distinctives. Son rythme se répète avec des syllabes accentuées et non accentuées en succession relativement régulière. Il y a généralement trois ou quatre accents ou temps par ligne, mais l'unité rythmique n'est pas uniforme. Cependant, le rythme dans la poésie hébraïque ne se limite pas à l'équilibre des accents ou des temps dans une ligne. Le sens des mots et leur position dans la ligne sont également significatifs, une caractéristique appelée parallélisme. Cette caractéristique distinctive a été clairement reconnue pour la première fois par le Dr Robert Lowth, qui, en 1753, a développé le principe du parallélisme.</w:t>
      </w:r>
    </w:p>
    <w:p>
      <w:r/>
      <w:r>
        <w:t xml:space="preserve">Il distingue trois types. Le premier est le </w:t>
      </w:r>
      <w:r>
        <w:rPr>
          <w:i/>
        </w:rPr>
        <w:t>parallélisme synonyme</w:t>
      </w:r>
      <w:r>
        <w:t>, où la pensée exprimée dans la première partie du verset est répétée dans la seconde partie, en termes différents mais équivalents (</w:t>
      </w:r>
      <w:hyperlink r:id="rId12353">
        <w:r>
          <w:rPr>
            <w:color w:val="0000EE"/>
            <w:u w:val="single"/>
          </w:rPr>
          <w:t>Ps 2.4</w:t>
        </w:r>
      </w:hyperlink>
      <w:r>
        <w:t xml:space="preserve"> ; </w:t>
      </w:r>
      <w:hyperlink r:id="rId3939">
        <w:r>
          <w:rPr>
            <w:color w:val="0000EE"/>
            <w:u w:val="single"/>
          </w:rPr>
          <w:t>19.1</w:t>
        </w:r>
      </w:hyperlink>
      <w:r>
        <w:t xml:space="preserve"> ; </w:t>
      </w:r>
      <w:hyperlink r:id="rId12354">
        <w:r>
          <w:rPr>
            <w:color w:val="0000EE"/>
            <w:u w:val="single"/>
          </w:rPr>
          <w:t>36.1–2</w:t>
        </w:r>
      </w:hyperlink>
      <w:r>
        <w:t xml:space="preserve"> ; </w:t>
      </w:r>
      <w:hyperlink r:id="rId12355">
        <w:r>
          <w:rPr>
            <w:color w:val="0000EE"/>
            <w:u w:val="single"/>
          </w:rPr>
          <w:t>103.11–12</w:t>
        </w:r>
      </w:hyperlink>
      <w:r>
        <w:t xml:space="preserve"> ; </w:t>
      </w:r>
      <w:hyperlink r:id="rId4849">
        <w:r>
          <w:rPr>
            <w:color w:val="0000EE"/>
            <w:u w:val="single"/>
          </w:rPr>
          <w:t>Pr 3.13–18</w:t>
        </w:r>
      </w:hyperlink>
      <w:r>
        <w:t xml:space="preserve">). Le second est le </w:t>
      </w:r>
      <w:r>
        <w:rPr>
          <w:i/>
        </w:rPr>
        <w:t>parallélisme antithétique</w:t>
      </w:r>
      <w:r>
        <w:t>, où la pensée dans la première partie du verset est contrastée avec son opposé dans la seconde (</w:t>
      </w:r>
      <w:hyperlink r:id="rId4398">
        <w:r>
          <w:rPr>
            <w:color w:val="0000EE"/>
            <w:u w:val="single"/>
          </w:rPr>
          <w:t>Ps 1.6</w:t>
        </w:r>
      </w:hyperlink>
      <w:r>
        <w:t xml:space="preserve"> ; </w:t>
      </w:r>
      <w:hyperlink r:id="rId12356">
        <w:r>
          <w:rPr>
            <w:color w:val="0000EE"/>
            <w:u w:val="single"/>
          </w:rPr>
          <w:t>Pr 10.1–4, 16–18</w:t>
        </w:r>
      </w:hyperlink>
      <w:r>
        <w:t xml:space="preserve"> ; </w:t>
      </w:r>
      <w:hyperlink r:id="rId12357">
        <w:r>
          <w:rPr>
            <w:color w:val="0000EE"/>
            <w:u w:val="single"/>
          </w:rPr>
          <w:t>13.9</w:t>
        </w:r>
      </w:hyperlink>
      <w:r>
        <w:t xml:space="preserve">). Le troisième est le </w:t>
      </w:r>
      <w:r>
        <w:rPr>
          <w:i/>
        </w:rPr>
        <w:t>parallélisme synthétique</w:t>
      </w:r>
      <w:r>
        <w:t>, où l'idée exprimée dans la première ligne d'un verset est développée et complétée dans les lignes suivantes (</w:t>
      </w:r>
      <w:hyperlink r:id="rId12343">
        <w:r>
          <w:rPr>
            <w:color w:val="0000EE"/>
            <w:u w:val="single"/>
          </w:rPr>
          <w:t>Ps 1.1</w:t>
        </w:r>
      </w:hyperlink>
      <w:r>
        <w:t xml:space="preserve"> ; </w:t>
      </w:r>
      <w:hyperlink r:id="rId12358">
        <w:r>
          <w:rPr>
            <w:color w:val="0000EE"/>
            <w:u w:val="single"/>
          </w:rPr>
          <w:t>3.5–6</w:t>
        </w:r>
      </w:hyperlink>
      <w:r>
        <w:t xml:space="preserve"> ; </w:t>
      </w:r>
      <w:hyperlink r:id="rId12359">
        <w:r>
          <w:rPr>
            <w:color w:val="0000EE"/>
            <w:u w:val="single"/>
          </w:rPr>
          <w:t>18.8–10</w:t>
        </w:r>
      </w:hyperlink>
      <w:r>
        <w:t xml:space="preserve"> ; </w:t>
      </w:r>
      <w:hyperlink r:id="rId4360">
        <w:r>
          <w:rPr>
            <w:color w:val="0000EE"/>
            <w:u w:val="single"/>
          </w:rPr>
          <w:t>Pr 26.3</w:t>
        </w:r>
      </w:hyperlink>
      <w:r>
        <w:t>). Il existe des formes plus compliquées de parallélisme, mais ces trois-là sont les plus courantes.</w:t>
      </w:r>
    </w:p>
    <w:p>
      <w:r/>
      <w:r>
        <w:t>Une autre caractéristique de la poésie biblique est l'utilisation des lettres de l'alphabet hébreu. Les psaumes dans lesquels les versets sont liés par le procédé des lettres de l'alphabet sont appelés acrostiches. Aujourd'hui, un acrostiche est formé en prenant un nom et en commençant les lignes successives du court poème par les lettres qui composent le nom. Les Hébreux utilisaient uniquement l'alphabet et arrangeaient les lignes du poème selon la succession des lettres.</w:t>
      </w:r>
    </w:p>
    <w:p>
      <w:r/>
      <w:r>
        <w:t xml:space="preserve">Chaque ligne d'un psaume peut commencer par une lettre différente, comme dans le </w:t>
      </w:r>
      <w:hyperlink r:id="rId12360">
        <w:r>
          <w:rPr>
            <w:color w:val="0000EE"/>
            <w:u w:val="single"/>
          </w:rPr>
          <w:t>Psaume 25</w:t>
        </w:r>
      </w:hyperlink>
      <w:r>
        <w:t xml:space="preserve">, ou il peut s'agir de la strophe qui commencera par la même lettre jusqu'à ce que les 22 lettres de l'alphabet soient épuisées, comme dans le </w:t>
      </w:r>
      <w:hyperlink r:id="rId12361">
        <w:r>
          <w:rPr>
            <w:color w:val="0000EE"/>
            <w:u w:val="single"/>
          </w:rPr>
          <w:t>Psaume 119</w:t>
        </w:r>
      </w:hyperlink>
      <w:r>
        <w:t xml:space="preserve">. Cependant, ce psaume, qui est l'exemple le plus remarquable d'un poème acrostiche hébreu, est assez complexe dans son agencement. Ce n'est pas seulement chaque strophe qui commence par une lettre, mais chacune des huit lignes de chaque strophe qui commence par la même lettre, de sorte que huit arrangements alphabétiques traversent le psaume en lignes parallèles. D'autres acrostiches élaborés sont les </w:t>
      </w:r>
      <w:hyperlink r:id="rId10482">
        <w:r>
          <w:rPr>
            <w:color w:val="0000EE"/>
            <w:u w:val="single"/>
          </w:rPr>
          <w:t>Psaumes 9</w:t>
        </w:r>
      </w:hyperlink>
      <w:r>
        <w:t xml:space="preserve">, </w:t>
      </w:r>
      <w:hyperlink r:id="rId11862">
        <w:r>
          <w:rPr>
            <w:color w:val="0000EE"/>
            <w:u w:val="single"/>
          </w:rPr>
          <w:t>10</w:t>
        </w:r>
      </w:hyperlink>
      <w:r>
        <w:t xml:space="preserve">, </w:t>
      </w:r>
      <w:hyperlink r:id="rId2980">
        <w:r>
          <w:rPr>
            <w:color w:val="0000EE"/>
            <w:u w:val="single"/>
          </w:rPr>
          <w:t>34</w:t>
        </w:r>
      </w:hyperlink>
      <w:r>
        <w:t xml:space="preserve">, </w:t>
      </w:r>
      <w:hyperlink r:id="rId11768">
        <w:r>
          <w:rPr>
            <w:color w:val="0000EE"/>
            <w:u w:val="single"/>
          </w:rPr>
          <w:t>37</w:t>
        </w:r>
      </w:hyperlink>
      <w:r>
        <w:t xml:space="preserve">, </w:t>
      </w:r>
      <w:hyperlink r:id="rId12362">
        <w:r>
          <w:rPr>
            <w:color w:val="0000EE"/>
            <w:u w:val="single"/>
          </w:rPr>
          <w:t>111</w:t>
        </w:r>
      </w:hyperlink>
      <w:r>
        <w:t xml:space="preserve">, </w:t>
      </w:r>
      <w:hyperlink r:id="rId11765">
        <w:r>
          <w:rPr>
            <w:color w:val="0000EE"/>
            <w:u w:val="single"/>
          </w:rPr>
          <w:t>112</w:t>
        </w:r>
      </w:hyperlink>
      <w:r>
        <w:t xml:space="preserve"> et </w:t>
      </w:r>
      <w:hyperlink r:id="rId12363">
        <w:r>
          <w:rPr>
            <w:color w:val="0000EE"/>
            <w:u w:val="single"/>
          </w:rPr>
          <w:t>145</w:t>
        </w:r>
      </w:hyperlink>
      <w:r>
        <w:t>.</w:t>
      </w:r>
    </w:p>
    <w:p>
      <w:r/>
      <w:r>
        <w:t xml:space="preserve">Les quatre premiers chapitres de Lamentations suivent également un arrangement en acrostiche. Cet exemple est moins perceptible pour le lecteur francophone, car les noms des lettres hébraïques ne marquent pas le début des strophes. Dans </w:t>
      </w:r>
      <w:hyperlink r:id="rId12364">
        <w:r>
          <w:rPr>
            <w:color w:val="0000EE"/>
            <w:u w:val="single"/>
          </w:rPr>
          <w:t>Lamentations 3</w:t>
        </w:r>
      </w:hyperlink>
      <w:r>
        <w:t xml:space="preserve">, chaque lettre de l'alphabet commence trois lignes successives numérotées comme des versets. Un autre acrostiche se trouve dans </w:t>
      </w:r>
      <w:hyperlink r:id="rId12365">
        <w:r>
          <w:rPr>
            <w:color w:val="0000EE"/>
            <w:u w:val="single"/>
          </w:rPr>
          <w:t>Proverbes 31.10–31</w:t>
        </w:r>
      </w:hyperlink>
      <w:r>
        <w:t xml:space="preserve"> et sa description alphabétique de la femme vertueuse.</w:t>
      </w:r>
    </w:p>
    <w:p>
      <w:r/>
      <w:r>
        <w:t>Un autre procédé poétique qui donne unité à un poème et marque ses divisions est le refrain. Le</w:t>
      </w:r>
      <w:hyperlink r:id="rId5305">
        <w:r>
          <w:rPr>
            <w:color w:val="0000EE"/>
            <w:u w:val="single"/>
          </w:rPr>
          <w:t xml:space="preserve"> Psaume 136</w:t>
        </w:r>
      </w:hyperlink>
      <w:r>
        <w:t xml:space="preserve"> est un exemple remarquable de cette disposition. Le refrain est « </w:t>
      </w:r>
      <w:r>
        <w:t>Car sa miséricorde dure à toujours</w:t>
      </w:r>
      <w:r>
        <w:t xml:space="preserve"> </w:t>
      </w:r>
      <w:r>
        <w:t>!</w:t>
      </w:r>
      <w:r>
        <w:t xml:space="preserve"> » et est utilisé pour conclure chaque verset.</w:t>
      </w:r>
    </w:p>
    <w:p>
      <w:r/>
      <w:r>
        <w:t>Le mètre de la poésie hébraïque dépend de l'accentuation ; l'unité est le couplet, dans lequel les membres peuvent être de longueur égale ou variable. Les couplets sont souvent organisés en strophes. La catégorie fondamentale de la poésie hébraïque est le chant ou la lyrique. Le chant était accompagné de musique (</w:t>
      </w:r>
      <w:hyperlink r:id="rId10404">
        <w:r>
          <w:rPr>
            <w:color w:val="0000EE"/>
            <w:u w:val="single"/>
          </w:rPr>
          <w:t>Gn 31.27</w:t>
        </w:r>
      </w:hyperlink>
      <w:r>
        <w:t xml:space="preserve"> ; </w:t>
      </w:r>
      <w:hyperlink r:id="rId3652">
        <w:r>
          <w:rPr>
            <w:color w:val="0000EE"/>
            <w:u w:val="single"/>
          </w:rPr>
          <w:t>Ex 15.20</w:t>
        </w:r>
      </w:hyperlink>
      <w:r>
        <w:t xml:space="preserve"> ; </w:t>
      </w:r>
      <w:hyperlink r:id="rId12366">
        <w:r>
          <w:rPr>
            <w:color w:val="0000EE"/>
            <w:u w:val="single"/>
          </w:rPr>
          <w:t>1Ch 25.6</w:t>
        </w:r>
      </w:hyperlink>
      <w:r>
        <w:t xml:space="preserve"> ; </w:t>
      </w:r>
      <w:hyperlink r:id="rId12367">
        <w:r>
          <w:rPr>
            <w:color w:val="0000EE"/>
            <w:u w:val="single"/>
          </w:rPr>
          <w:t>Es 23.16</w:t>
        </w:r>
      </w:hyperlink>
      <w:r>
        <w:t xml:space="preserve"> ; </w:t>
      </w:r>
      <w:hyperlink r:id="rId2759">
        <w:r>
          <w:rPr>
            <w:color w:val="0000EE"/>
            <w:u w:val="single"/>
          </w:rPr>
          <w:t>30.29</w:t>
        </w:r>
      </w:hyperlink>
      <w:r>
        <w:t xml:space="preserve"> ; </w:t>
      </w:r>
      <w:hyperlink r:id="rId12368">
        <w:r>
          <w:rPr>
            <w:color w:val="0000EE"/>
            <w:u w:val="single"/>
          </w:rPr>
          <w:t>Am 6.5</w:t>
        </w:r>
      </w:hyperlink>
      <w:r>
        <w:t>) et pouvait être associé à la danse (</w:t>
      </w:r>
      <w:hyperlink r:id="rId5544">
        <w:r>
          <w:rPr>
            <w:color w:val="0000EE"/>
            <w:u w:val="single"/>
          </w:rPr>
          <w:t>Ex 15.20–21</w:t>
        </w:r>
      </w:hyperlink>
      <w:r>
        <w:t>).</w:t>
      </w:r>
    </w:p>
    <w:p>
      <w:r/>
      <w:r>
        <w:t>Certains poèmes complets dans l'AT sont intégrés dans les livres narratifs et représentent divers types de poèmes hébreux. Le premier poème enregistré dans la Bible est un chant de bataille (</w:t>
      </w:r>
      <w:hyperlink r:id="rId8834">
        <w:r>
          <w:rPr>
            <w:color w:val="0000EE"/>
            <w:u w:val="single"/>
          </w:rPr>
          <w:t>Gn 4.23–24</w:t>
        </w:r>
      </w:hyperlink>
      <w:r>
        <w:t>). D'autres exemples célèbres de ce type sont le Chant de Moïse (</w:t>
      </w:r>
      <w:hyperlink r:id="rId12369">
        <w:r>
          <w:rPr>
            <w:color w:val="0000EE"/>
            <w:u w:val="single"/>
          </w:rPr>
          <w:t>Ex 15.1–18</w:t>
        </w:r>
      </w:hyperlink>
      <w:r>
        <w:t>) et le Chant de Débora (</w:t>
      </w:r>
      <w:hyperlink r:id="rId3662">
        <w:r>
          <w:rPr>
            <w:color w:val="0000EE"/>
            <w:u w:val="single"/>
          </w:rPr>
          <w:t>Jg 5.1–31</w:t>
        </w:r>
      </w:hyperlink>
      <w:r>
        <w:t>). Nous avons ensuite le Chant de Moquerie (</w:t>
      </w:r>
      <w:hyperlink r:id="rId756">
        <w:r>
          <w:rPr>
            <w:color w:val="0000EE"/>
            <w:u w:val="single"/>
          </w:rPr>
          <w:t>Nb 21.27–30</w:t>
        </w:r>
      </w:hyperlink>
      <w:r>
        <w:t xml:space="preserve">), le Chant du Puits (v. </w:t>
      </w:r>
      <w:hyperlink r:id="rId12370">
        <w:r>
          <w:rPr>
            <w:color w:val="0000EE"/>
            <w:u w:val="single"/>
          </w:rPr>
          <w:t>17–18</w:t>
        </w:r>
      </w:hyperlink>
      <w:r>
        <w:t>), et les chants de bénédiction. De ce dernier type, des exemples bien connus sont la Bénédiction de Jacob (</w:t>
      </w:r>
      <w:hyperlink r:id="rId12371">
        <w:r>
          <w:rPr>
            <w:color w:val="0000EE"/>
            <w:u w:val="single"/>
          </w:rPr>
          <w:t>Gn 49.1–27</w:t>
        </w:r>
      </w:hyperlink>
      <w:r>
        <w:t>), la Bénédiction de Moïse (</w:t>
      </w:r>
      <w:hyperlink r:id="rId12372">
        <w:r>
          <w:rPr>
            <w:color w:val="0000EE"/>
            <w:u w:val="single"/>
          </w:rPr>
          <w:t>Dt 33.2–29</w:t>
        </w:r>
      </w:hyperlink>
      <w:r>
        <w:t>), et les quatre Bénédictions de Balaam (</w:t>
      </w:r>
      <w:hyperlink r:id="rId12373">
        <w:r>
          <w:rPr>
            <w:color w:val="0000EE"/>
            <w:u w:val="single"/>
          </w:rPr>
          <w:t>Nb 23.7–10</w:t>
        </w:r>
      </w:hyperlink>
      <w:r>
        <w:t xml:space="preserve"> ; </w:t>
      </w:r>
      <w:hyperlink r:id="rId12374">
        <w:r>
          <w:rPr>
            <w:color w:val="0000EE"/>
            <w:u w:val="single"/>
          </w:rPr>
          <w:t>23.18–24</w:t>
        </w:r>
      </w:hyperlink>
      <w:r>
        <w:t xml:space="preserve"> ; </w:t>
      </w:r>
      <w:hyperlink r:id="rId12375">
        <w:r>
          <w:rPr>
            <w:color w:val="0000EE"/>
            <w:u w:val="single"/>
          </w:rPr>
          <w:t>24.3–9</w:t>
        </w:r>
      </w:hyperlink>
      <w:r>
        <w:t xml:space="preserve"> ; </w:t>
      </w:r>
      <w:hyperlink r:id="rId12376">
        <w:r>
          <w:rPr>
            <w:color w:val="0000EE"/>
            <w:u w:val="single"/>
          </w:rPr>
          <w:t>24.15–24</w:t>
        </w:r>
      </w:hyperlink>
      <w:r>
        <w:t>). Il y a également des lamentations pour les morts (</w:t>
      </w:r>
      <w:hyperlink r:id="rId12377">
        <w:r>
          <w:rPr>
            <w:color w:val="0000EE"/>
            <w:u w:val="single"/>
          </w:rPr>
          <w:t>2S 1.19–27</w:t>
        </w:r>
      </w:hyperlink>
      <w:r>
        <w:t>) et des poèmes didactiques qui mettent en garde contre l'imprévoyance (</w:t>
      </w:r>
      <w:hyperlink r:id="rId12378">
        <w:r>
          <w:rPr>
            <w:color w:val="0000EE"/>
            <w:u w:val="single"/>
          </w:rPr>
          <w:t>Pr 6.6–11</w:t>
        </w:r>
      </w:hyperlink>
      <w:r>
        <w:t>) et l'ivresse (</w:t>
      </w:r>
      <w:hyperlink r:id="rId12379">
        <w:r>
          <w:rPr>
            <w:color w:val="0000EE"/>
            <w:u w:val="single"/>
          </w:rPr>
          <w:t>23.29–35</w:t>
        </w:r>
      </w:hyperlink>
      <w:r>
        <w:t>). Commun à tous ces divers types de poèmes est l'émotion religieuse et la ferveur. Les chants de Moïse et Débora louent le Dieu qui donne la victoire.</w:t>
      </w:r>
    </w:p>
    <w:p>
      <w:r/>
      <w:r>
        <w:t>La plupart des poèmes d'une ferveur religieuse distinctive caractérisent l'adoration dans le sanctuaire. Les psaumes sont des poèmes religieux chantés avec accompagnement musical. Beaucoup sont des prières privées, tandis que d'autres ont été composés pour le culte public, en particulier des hymnes d'action de grâce chantés au tabernacle ou au temple. C'est dans le Psautier que l'esprit exalté de la poésie hébraïque atteint un niveau jamais égalé par les voisins païens d'Israël : les Hébreux adoraient Dieu en esprit et en vérité, et ce faisant, ils exprimaient une expérience personnelle du Dieu vivant dans leur âme.</w:t>
      </w:r>
    </w:p>
    <w:p>
      <w:r/>
      <w:r>
        <w:t>Les qualités internes de la poésie hébraïque sont en partie influencées par l'époque, les conditions sociales et l'environnement dans lesquels vivaient les auteurs. Bien que l'AT soit d'origine divine, il appartient également au domaine de la littérature et doit être apprécié en tant que tel. Même si le Saint-Esprit a inspiré le message des auteurs hébreux, leurs styles d'écriture individuels restent clairement visibles. Utilisant une diction simple et vivante, des figures de style et des dispositifs littéraires, chaque poète a exprimé une richesse de pensée religieuse, d'expérience et d'émotion : la comparaison, la métaphore, l'allégorie, l'hyperbole, la personnification, l'ironie et le jeu de mots ont tous, de manière variée, enrichi le schéma de pensée de chaque auteur. La poésie hébraïque est l'expression de l'esprit humain du poète, et constitue également une littérature de révélation : la Parole de Dieu à l'humanité.</w:t>
      </w:r>
    </w:p>
    <w:p>
      <w:pPr>
        <w:pStyle w:val="Heading3"/>
      </w:pPr>
      <w:r>
        <w:t>Dans le Nouveau Testament</w:t>
      </w:r>
    </w:p>
    <w:p>
      <w:r/>
      <w:r>
        <w:t>Le Nouveau Testament (NT) contient un nombre limité de passages poétiques. Il contient sans doute moins de poésie que l'AT (relativement parlant) parce que les premiers chrétiens trouvaient que le Psautier de l'AT (en hébreu et LXX) était adéquat pour leur dévotion. Tous les auteurs du NT étaient juifs, hormis Luc. Ce dernier nous a relaté certains poèmes mémorables : le Magnificat (</w:t>
      </w:r>
      <w:hyperlink r:id="rId9650">
        <w:r>
          <w:rPr>
            <w:color w:val="0000EE"/>
            <w:u w:val="single"/>
          </w:rPr>
          <w:t>Lc 1.46–55</w:t>
        </w:r>
      </w:hyperlink>
      <w:r>
        <w:t xml:space="preserve">), le Benedictus (v. </w:t>
      </w:r>
      <w:hyperlink r:id="rId10495">
        <w:r>
          <w:rPr>
            <w:color w:val="0000EE"/>
            <w:u w:val="single"/>
          </w:rPr>
          <w:t>68–79</w:t>
        </w:r>
      </w:hyperlink>
      <w:r>
        <w:t>), et le Nunc Dimittis (</w:t>
      </w:r>
      <w:hyperlink r:id="rId181">
        <w:r>
          <w:rPr>
            <w:color w:val="0000EE"/>
            <w:u w:val="single"/>
          </w:rPr>
          <w:t>2.29–32</w:t>
        </w:r>
      </w:hyperlink>
      <w:r>
        <w:t>). Fait intéressant, ces poèmes sont fortement hébraïques dans leur forme, leur caractère et leur contenu. Matthieu nous a offert les poétiques Béatitudes (</w:t>
      </w:r>
      <w:hyperlink r:id="rId8699">
        <w:r>
          <w:rPr>
            <w:color w:val="0000EE"/>
            <w:u w:val="single"/>
          </w:rPr>
          <w:t>Mt 5.3–12</w:t>
        </w:r>
      </w:hyperlink>
      <w:r>
        <w:t xml:space="preserve">). Ces Béatitudes présentent le parallélisme commun dans la poésie de l'AT ; spécifiquement, le parallélisme synthétique (où la deuxième ligne de chaque vers complète le sens de la première ligne). Il y a également une qualité rythmique définie dans </w:t>
      </w:r>
      <w:hyperlink r:id="rId8376">
        <w:r>
          <w:rPr>
            <w:color w:val="0000EE"/>
            <w:u w:val="single"/>
          </w:rPr>
          <w:t>Matthieu 11.28–30</w:t>
        </w:r>
      </w:hyperlink>
      <w:r>
        <w:t>. Le Prologue de l'Évangile de Jean (</w:t>
      </w:r>
      <w:hyperlink r:id="rId12380">
        <w:r>
          <w:rPr>
            <w:color w:val="0000EE"/>
            <w:u w:val="single"/>
          </w:rPr>
          <w:t>1.1–18</w:t>
        </w:r>
      </w:hyperlink>
      <w:r>
        <w:t>) est un bel exemple de poésie hellénistique.</w:t>
      </w:r>
    </w:p>
    <w:p>
      <w:r/>
      <w:r>
        <w:t xml:space="preserve">Les épîtres du NT contiennent un certain nombre de passages poétiques, notamment dans les doxologies (voir par exemple </w:t>
      </w:r>
      <w:hyperlink r:id="rId12381">
        <w:r>
          <w:rPr>
            <w:color w:val="0000EE"/>
            <w:u w:val="single"/>
          </w:rPr>
          <w:t>Rm 16.25–27</w:t>
        </w:r>
      </w:hyperlink>
      <w:r>
        <w:t xml:space="preserve"> ; </w:t>
      </w:r>
      <w:hyperlink r:id="rId8637">
        <w:r>
          <w:rPr>
            <w:color w:val="0000EE"/>
            <w:u w:val="single"/>
          </w:rPr>
          <w:t>Jd 1.24–25</w:t>
        </w:r>
      </w:hyperlink>
      <w:r>
        <w:t xml:space="preserve">). D'autres sections sont clairement de la poésie et/ou des hymnes chrétiens anciens. Celles-ci incluent </w:t>
      </w:r>
      <w:hyperlink r:id="rId2909">
        <w:r>
          <w:rPr>
            <w:color w:val="0000EE"/>
            <w:u w:val="single"/>
          </w:rPr>
          <w:t>Philippiens 2.6–11</w:t>
        </w:r>
      </w:hyperlink>
      <w:r>
        <w:t xml:space="preserve"> (l'hymne/poème de « L'Humilité du Christ ») ; </w:t>
      </w:r>
      <w:hyperlink r:id="rId2907">
        <w:r>
          <w:rPr>
            <w:color w:val="0000EE"/>
            <w:u w:val="single"/>
          </w:rPr>
          <w:t>Colossiens 1.15–20</w:t>
        </w:r>
      </w:hyperlink>
      <w:r>
        <w:t xml:space="preserve"> (l'hymne/poème de « La Prééminence du Christ ») ; et </w:t>
      </w:r>
      <w:hyperlink r:id="rId1338">
        <w:r>
          <w:rPr>
            <w:color w:val="0000EE"/>
            <w:u w:val="single"/>
          </w:rPr>
          <w:t>1 Timothée 3.16</w:t>
        </w:r>
      </w:hyperlink>
      <w:r>
        <w:t xml:space="preserve"> (l'hymne/poème de « L'Incarnation »). L'auteur de l'épître aux Hébreux a également produit un prologue poétique remarquable (</w:t>
      </w:r>
      <w:hyperlink r:id="rId12382">
        <w:r>
          <w:rPr>
            <w:color w:val="0000EE"/>
            <w:u w:val="single"/>
          </w:rPr>
          <w:t>1.1–3</w:t>
        </w:r>
      </w:hyperlink>
      <w:r>
        <w:t xml:space="preserve">). D'autres sections des écrits de Paul affichent un langage poétique, où le rythme et la diction exaltée prédominent (voir par exemple, </w:t>
      </w:r>
      <w:hyperlink r:id="rId3274">
        <w:r>
          <w:rPr>
            <w:color w:val="0000EE"/>
            <w:u w:val="single"/>
          </w:rPr>
          <w:t>1Co 13</w:t>
        </w:r>
      </w:hyperlink>
      <w:r>
        <w:t xml:space="preserve"> ; </w:t>
      </w:r>
      <w:hyperlink r:id="rId3296">
        <w:r>
          <w:rPr>
            <w:color w:val="0000EE"/>
            <w:u w:val="single"/>
          </w:rPr>
          <w:t>15.54–57</w:t>
        </w:r>
      </w:hyperlink>
      <w:r>
        <w:t>).</w:t>
      </w:r>
    </w:p>
    <w:p>
      <w:r/>
      <w:r>
        <w:t xml:space="preserve">Le livre de l'Apocalypse contient également un certain nombre de poèmes de louange ainsi que des hymnes (voir </w:t>
      </w:r>
      <w:hyperlink r:id="rId12383">
        <w:r>
          <w:rPr>
            <w:color w:val="0000EE"/>
            <w:u w:val="single"/>
          </w:rPr>
          <w:t>Ap 5.9–10, 12–13</w:t>
        </w:r>
      </w:hyperlink>
      <w:r>
        <w:t xml:space="preserve"> ; </w:t>
      </w:r>
      <w:hyperlink r:id="rId12384">
        <w:r>
          <w:rPr>
            <w:color w:val="0000EE"/>
            <w:u w:val="single"/>
          </w:rPr>
          <w:t>7.12</w:t>
        </w:r>
      </w:hyperlink>
      <w:r>
        <w:t xml:space="preserve"> ; </w:t>
      </w:r>
      <w:hyperlink r:id="rId12385">
        <w:r>
          <w:rPr>
            <w:color w:val="0000EE"/>
            <w:u w:val="single"/>
          </w:rPr>
          <w:t>11.17–18</w:t>
        </w:r>
      </w:hyperlink>
      <w:r>
        <w:t xml:space="preserve"> ; </w:t>
      </w:r>
      <w:hyperlink r:id="rId5253">
        <w:r>
          <w:rPr>
            <w:color w:val="0000EE"/>
            <w:u w:val="single"/>
          </w:rPr>
          <w:t>15.3–4</w:t>
        </w:r>
      </w:hyperlink>
      <w:r>
        <w:t>).</w:t>
      </w:r>
    </w:p>
    <w:p>
      <w:r/>
      <w:r>
        <w:rPr>
          <w:i/>
        </w:rPr>
        <w:t>Voir aussi</w:t>
      </w:r>
      <w:r>
        <w:t xml:space="preserve"> </w:t>
      </w:r>
      <w:r>
        <w:t>Ecclésiaste, Livre de l'</w:t>
      </w:r>
      <w:r>
        <w:t xml:space="preserve"> ; </w:t>
      </w:r>
      <w:r>
        <w:t>Job, Livre de</w:t>
      </w:r>
      <w:r>
        <w:t xml:space="preserve"> ; </w:t>
      </w:r>
      <w:r>
        <w:t>Lamentations, Livre des</w:t>
      </w:r>
      <w:r>
        <w:t xml:space="preserve"> ; </w:t>
      </w:r>
      <w:r>
        <w:t>Musique</w:t>
      </w:r>
      <w:r>
        <w:t xml:space="preserve"> ; </w:t>
      </w:r>
      <w:r>
        <w:t>Proverbes, Livre des</w:t>
      </w:r>
      <w:r>
        <w:t xml:space="preserve"> ; </w:t>
      </w:r>
      <w:r>
        <w:t>Psaumes, Livre des</w:t>
      </w:r>
      <w:r>
        <w:t xml:space="preserve"> ; </w:t>
      </w:r>
      <w:r>
        <w:t>Cantique des Cantique</w:t>
      </w:r>
      <w:r>
        <w:t xml:space="preserve"> ; </w:t>
      </w:r>
      <w:r>
        <w:t>Sagesse</w:t>
      </w:r>
      <w:r>
        <w:t xml:space="preserve"> ; </w:t>
      </w:r>
      <w:r>
        <w:t>Littérature de Sagesse</w:t>
      </w:r>
      <w:r>
        <w:t>.</w:t>
      </w:r>
      <w:r/>
      <w:r/>
    </w:p>
    <w:p>
      <w:r/>
    </w:p>
    <w:p>
      <w:pPr>
        <w:pStyle w:val="Heading2"/>
      </w:pPr>
      <w:r>
        <w:t>Poids et mesures</w:t>
      </w:r>
      <w:r/>
    </w:p>
    <w:p>
      <w:r/>
      <w:r>
        <w:t>Sommaire</w:t>
      </w:r>
    </w:p>
    <w:p>
      <w:r/>
      <w:r>
        <w:t>• Introduction</w:t>
      </w:r>
    </w:p>
    <w:p>
      <w:r/>
      <w:r>
        <w:t>• Mesures de poids</w:t>
      </w:r>
    </w:p>
    <w:p>
      <w:r/>
      <w:r>
        <w:t>• Mesures de longueur dans l'Ancien Testament</w:t>
      </w:r>
    </w:p>
    <w:p>
      <w:r/>
      <w:r>
        <w:t>• Mesures de longueur dans le Nouveau Testament</w:t>
      </w:r>
    </w:p>
    <w:p>
      <w:r/>
      <w:r>
        <w:t>• Mesures de capacité sèche dans l'Ancien Testament</w:t>
      </w:r>
    </w:p>
    <w:p>
      <w:r/>
      <w:r>
        <w:t>• Mesures de capacité sèche dans le Nouveau Testament</w:t>
      </w:r>
    </w:p>
    <w:p>
      <w:r/>
      <w:r>
        <w:t>• Mesures de capacité liquide dans l'Ancien Testament</w:t>
      </w:r>
    </w:p>
    <w:p>
      <w:r/>
      <w:r>
        <w:t>• Mesures de capacité liquide dans le Nouveau Testament</w:t>
      </w:r>
    </w:p>
    <w:p>
      <w:pPr>
        <w:pStyle w:val="Heading3"/>
      </w:pPr>
      <w:r>
        <w:t>Introduction</w:t>
      </w:r>
    </w:p>
    <w:p>
      <w:r/>
      <w:r>
        <w:t>Les unités de mesure dans le monde antique étaient principalement basées sur des standards pratiques : la longueur d'un bras, la distance d'une journée de voyage, la charge qu'un âne pouvait porter et ainsi de suite. Même si ce système était pratique, il avait le désavantage de ne pas être très précis. Certains bras étaient plus longs que d'autres, et certains ânes pouvaient porter une plus lourde charge que d'autres. L'histoire des poids et mesures devient donc l'histoire de l'effort vers la standardisation. Cela n'avait encore pas abouti au temps de l'Ancien Testament (AT), mais a commencé à se mettre en place sous l'influence grecque et romaine à l'époque du Nouveau Testament (NT).</w:t>
      </w:r>
    </w:p>
    <w:p>
      <w:r/>
      <w:r>
        <w:t>Les mesures utilisées dans l'AT sont fréquemment mentionnées dans les littératures mésopotamienne, égyptienne et cananéenne. Les Israélites n'avaient pas un système de mesures qui leur était unique. Bien que les mêmes noms de mesures étaient utilisés, il n'est pas rare de trouver qu'une mesure avait une valeur sensiblement différente en Israël par rapport à sa valeur dans l'une de ces autres cultures.</w:t>
      </w:r>
    </w:p>
    <w:p>
      <w:r/>
      <w:r>
        <w:t>À l'époque du NT, la situation devient plus compliquée. Les Israélites de cette période utilisaient encore de nombreuses mesures qui avaient été utilisées et développées tout au long de la période de l'AT. Mais à celles-ci se sont ajoutées les mesures grecques et romaines. Parfois, ces mesures étrangères étaient tout simplement adoptées. D'autres fois, les mesures de noms et d'origines hébraïques étaient adaptées aux normes gréco-romaines. D'autres fois encore, les termes romains étaient utilisés pour traiter avec le gouvernement, mais les termes hébreux étaient utilisés dans la vie quotidienne.</w:t>
      </w:r>
    </w:p>
    <w:p>
      <w:r/>
      <w:r>
        <w:t>Pour la plupart des types de mesure, l'unité de base (c'est-à-dire celle dont toutes les autres sont des fractions ou des multiples) est celle qui est la plus incertaine. Ainsi, les mesures exactes de la coudée (longueur), du sicle (poids), du homer (volume sec) et du bath (volume liquide) ne sont pas complètement certaines. Cela rend toutes les autres mesures basées sur elles tout aussi incertaines.</w:t>
      </w:r>
    </w:p>
    <w:p>
      <w:pPr>
        <w:pStyle w:val="Heading3"/>
      </w:pPr>
      <w:r>
        <w:t>Mesures de poids</w:t>
      </w:r>
    </w:p>
    <w:p>
      <w:r/>
      <w:r>
        <w:t>Les mesures de poids sont celles qui ont reçu le plus de confirmation au travers de découvertes archéologiques. Des poids en pierre ont été trouvés lors de fouilles qui portent parfois l'inscription de leur unité. Lorsque les pierres sont pesées, les mesures ne s'accordent qu'approximativement. Cependant, la comparaison de ces données avec celles fournies par les textes bibliques permettent des déterminations assez précises. L'échelle approximative de valeurs dans un lieu donné est plus importante que les valeurs précises des mesures.</w:t>
      </w:r>
    </w:p>
    <w:p>
      <w:r/>
      <w:r>
        <w:t>Il y avait des standards établis pour les mesures de poids, mais il était difficile de les appliquer avec précision. Le système israélite ressemblait à celui des Mésopotamiens et des Cananéens. Pendant la majeure partie de la période de l'AT, le système de poids servait aussi de système monétaire. La monnaie frappée est une invention des Perses. Jusqu'à cette époque, il fallait peser l'argent, l'or ou toute autre marchandise d'échange pour conclure une transaction ou une vente. Le système de mesure des poids était donc au cœur de l'économie antique. Cela explique pourquoi les Écritures dénoncent si fortement l'utilisation de faux poids (</w:t>
      </w:r>
      <w:hyperlink r:id="rId12386">
        <w:r>
          <w:rPr>
            <w:color w:val="0000EE"/>
            <w:u w:val="single"/>
          </w:rPr>
          <w:t xml:space="preserve">Lv 19.36 </w:t>
        </w:r>
      </w:hyperlink>
      <w:r>
        <w:t xml:space="preserve">; </w:t>
      </w:r>
      <w:hyperlink r:id="rId2046">
        <w:r>
          <w:rPr>
            <w:color w:val="0000EE"/>
            <w:u w:val="single"/>
          </w:rPr>
          <w:t xml:space="preserve">Dt 25.13 </w:t>
        </w:r>
      </w:hyperlink>
      <w:r>
        <w:t xml:space="preserve">; </w:t>
      </w:r>
      <w:hyperlink r:id="rId12387">
        <w:r>
          <w:rPr>
            <w:color w:val="0000EE"/>
            <w:u w:val="single"/>
          </w:rPr>
          <w:t xml:space="preserve">Pr 16.11 </w:t>
        </w:r>
      </w:hyperlink>
      <w:r>
        <w:t xml:space="preserve">; </w:t>
      </w:r>
      <w:hyperlink r:id="rId12388">
        <w:r>
          <w:rPr>
            <w:color w:val="0000EE"/>
            <w:u w:val="single"/>
          </w:rPr>
          <w:t xml:space="preserve">20.10, 23 </w:t>
        </w:r>
      </w:hyperlink>
      <w:r>
        <w:t xml:space="preserve">; </w:t>
      </w:r>
      <w:hyperlink r:id="rId2049">
        <w:r>
          <w:rPr>
            <w:color w:val="0000EE"/>
            <w:u w:val="single"/>
          </w:rPr>
          <w:t xml:space="preserve">Mi 6.11 </w:t>
        </w:r>
      </w:hyperlink>
      <w:r>
        <w:t xml:space="preserve">; </w:t>
      </w:r>
      <w:hyperlink r:id="rId12389">
        <w:r>
          <w:rPr>
            <w:color w:val="0000EE"/>
            <w:u w:val="single"/>
          </w:rPr>
          <w:t xml:space="preserve">Os 12.7 </w:t>
        </w:r>
      </w:hyperlink>
      <w:r>
        <w:t xml:space="preserve">; </w:t>
      </w:r>
      <w:hyperlink r:id="rId5573">
        <w:r>
          <w:rPr>
            <w:color w:val="0000EE"/>
            <w:u w:val="single"/>
          </w:rPr>
          <w:t>Am 8.5</w:t>
        </w:r>
      </w:hyperlink>
      <w:r>
        <w:t>).</w:t>
      </w:r>
    </w:p>
    <w:p>
      <w:r/>
      <w:r>
        <w:t>Des poids en pierre étaient placés sur des balances pour mener les affaires dans les marchés antiques. Les balances sont mentionnées une demi-douzaine de fois dans l'AT, mais aucune de ces mentions ne concerne un véritable récit de transaction (</w:t>
      </w:r>
      <w:hyperlink r:id="rId2262">
        <w:r>
          <w:rPr>
            <w:color w:val="0000EE"/>
            <w:u w:val="single"/>
          </w:rPr>
          <w:t xml:space="preserve">Jb 6.2 </w:t>
        </w:r>
      </w:hyperlink>
      <w:r>
        <w:t xml:space="preserve">; </w:t>
      </w:r>
      <w:hyperlink r:id="rId12390">
        <w:r>
          <w:rPr>
            <w:color w:val="0000EE"/>
            <w:u w:val="single"/>
          </w:rPr>
          <w:t xml:space="preserve">31.6 </w:t>
        </w:r>
      </w:hyperlink>
      <w:r>
        <w:t xml:space="preserve">; </w:t>
      </w:r>
      <w:hyperlink r:id="rId12391">
        <w:r>
          <w:rPr>
            <w:color w:val="0000EE"/>
            <w:u w:val="single"/>
          </w:rPr>
          <w:t xml:space="preserve">Ps 62.9 </w:t>
        </w:r>
      </w:hyperlink>
      <w:r>
        <w:t xml:space="preserve">; </w:t>
      </w:r>
      <w:hyperlink r:id="rId12392">
        <w:r>
          <w:rPr>
            <w:color w:val="0000EE"/>
            <w:u w:val="single"/>
          </w:rPr>
          <w:t xml:space="preserve">Es 40.12 </w:t>
        </w:r>
      </w:hyperlink>
      <w:r>
        <w:t xml:space="preserve">; </w:t>
      </w:r>
      <w:hyperlink r:id="rId12393">
        <w:r>
          <w:rPr>
            <w:color w:val="0000EE"/>
            <w:u w:val="single"/>
          </w:rPr>
          <w:t xml:space="preserve">Ez 5.1 </w:t>
        </w:r>
      </w:hyperlink>
      <w:r>
        <w:t xml:space="preserve">; </w:t>
      </w:r>
      <w:hyperlink r:id="rId12394">
        <w:r>
          <w:rPr>
            <w:color w:val="0000EE"/>
            <w:u w:val="single"/>
          </w:rPr>
          <w:t>Dn 5.27</w:t>
        </w:r>
      </w:hyperlink>
      <w:r>
        <w:t>). Les balances étaient généralement du type à fléau (une balance avec des plateaux de chaque côté).</w:t>
      </w:r>
    </w:p>
    <w:p>
      <w:pPr>
        <w:pStyle w:val="Heading4"/>
      </w:pPr>
      <w:r>
        <w:t>Le talent</w:t>
      </w:r>
    </w:p>
    <w:p>
      <w:r/>
      <w:r>
        <w:t xml:space="preserve">Selon </w:t>
      </w:r>
      <w:hyperlink r:id="rId12395">
        <w:r>
          <w:rPr>
            <w:color w:val="0000EE"/>
            <w:u w:val="single"/>
          </w:rPr>
          <w:t>Exode 38.25–26</w:t>
        </w:r>
      </w:hyperlink>
      <w:r>
        <w:t xml:space="preserve">, le talent devait être égal à 3 000 sicles. Cent talents correspondraient alors à 300 000 sicles. Si l'on y ajoute les 1 175 sicles du verset </w:t>
      </w:r>
      <w:hyperlink r:id="rId12396">
        <w:r>
          <w:rPr>
            <w:color w:val="0000EE"/>
            <w:u w:val="single"/>
          </w:rPr>
          <w:t>25</w:t>
        </w:r>
      </w:hyperlink>
      <w:r>
        <w:t xml:space="preserve">, le total est de 301 775. Cela correspond en effet à un demi-sicle pour chacun des 603 550 hommes, comme le mentionne le verset </w:t>
      </w:r>
      <w:hyperlink r:id="rId12397">
        <w:r>
          <w:rPr>
            <w:color w:val="0000EE"/>
            <w:u w:val="single"/>
          </w:rPr>
          <w:t>26</w:t>
        </w:r>
      </w:hyperlink>
      <w:r>
        <w:t xml:space="preserve">. Les talents retrouvés dans les fouilles pèsent de 29,5 à 36,3 kilogrammes. Dans l'AT, le talent est utilisé uniquement pour les métaux précieux, généralement l'argent ou l'or. Selon </w:t>
      </w:r>
      <w:hyperlink r:id="rId10095">
        <w:r>
          <w:rPr>
            <w:color w:val="0000EE"/>
            <w:u w:val="single"/>
          </w:rPr>
          <w:t>1 Rois 10.14</w:t>
        </w:r>
      </w:hyperlink>
      <w:r>
        <w:t>, le revenu annuel de tribut du royaume de Salomon était de 666 talents, ce qui était apparemment considéré comme une somme assez extraordinaire. David lègue 100 000 talents d'or et 1 000 000 talents d'argent à Salomon pour servir à la construction du temple (</w:t>
      </w:r>
      <w:hyperlink r:id="rId12398">
        <w:r>
          <w:rPr>
            <w:color w:val="0000EE"/>
            <w:u w:val="single"/>
          </w:rPr>
          <w:t>1Ch 22.14</w:t>
        </w:r>
      </w:hyperlink>
      <w:r>
        <w:t>).</w:t>
      </w:r>
    </w:p>
    <w:p>
      <w:pPr>
        <w:pStyle w:val="Heading4"/>
      </w:pPr>
      <w:r>
        <w:t>La mine</w:t>
      </w:r>
    </w:p>
    <w:p>
      <w:r/>
      <w:r>
        <w:t xml:space="preserve">Dans les sources d'origine cananéenne qui proviennent d'Ougarit, la mine vaut 50 sicles, tandis qu'à Babylone, elle en vaut 60. Dans </w:t>
      </w:r>
      <w:hyperlink r:id="rId12399">
        <w:r>
          <w:rPr>
            <w:color w:val="0000EE"/>
            <w:u w:val="single"/>
          </w:rPr>
          <w:t>Ézéchiel 45.12</w:t>
        </w:r>
      </w:hyperlink>
      <w:r>
        <w:t>, la mine vaut également 60 sicles, mais ce n'est pas clair si cela représente un changement par rapport aux normes précédentes.</w:t>
      </w:r>
    </w:p>
    <w:p>
      <w:pPr>
        <w:pStyle w:val="Heading4"/>
      </w:pPr>
      <w:r>
        <w:t>Le sicle</w:t>
      </w:r>
    </w:p>
    <w:p>
      <w:r/>
      <w:r>
        <w:t>Unité de base de mesure du poids. En plus du sicle régulier, il y avait un « sicle royal » (</w:t>
      </w:r>
      <w:hyperlink r:id="rId12400">
        <w:r>
          <w:rPr>
            <w:color w:val="0000EE"/>
            <w:u w:val="single"/>
          </w:rPr>
          <w:t>2S 14.26</w:t>
        </w:r>
      </w:hyperlink>
      <w:r>
        <w:t>). En calculant à partir de poids qui ont été retrouvés dans les fouilles et marqués comme « béka » (un demi-sicle), le sicle a été estimé à environ 11,4 grammes.</w:t>
      </w:r>
    </w:p>
    <w:p>
      <w:r/>
      <w:r>
        <w:t>Le sicle est utilisé dans les Écritures presque exclusivement pour indiquer des valeurs monétaires. Que ce soit de l'argent, de l'or, de l'orge ou de la farine, l'évaluation en sicles attribue à la marchandise une valeur relative dans l'économie. Les seules exceptions sont l'armure et la lance de Goliath (</w:t>
      </w:r>
      <w:hyperlink r:id="rId12401">
        <w:r>
          <w:rPr>
            <w:color w:val="0000EE"/>
            <w:u w:val="single"/>
          </w:rPr>
          <w:t>1S 17.5–7</w:t>
        </w:r>
      </w:hyperlink>
      <w:r>
        <w:t>) qui sont décrites selon leurs poids en sicles.</w:t>
      </w:r>
    </w:p>
    <w:p>
      <w:pPr>
        <w:pStyle w:val="Heading4"/>
      </w:pPr>
      <w:r>
        <w:t>Le pim</w:t>
      </w:r>
    </w:p>
    <w:p>
      <w:r/>
      <w:r>
        <w:t xml:space="preserve">La seule référence à cette unité se trouve dans </w:t>
      </w:r>
      <w:hyperlink r:id="rId12402">
        <w:r>
          <w:rPr>
            <w:color w:val="0000EE"/>
            <w:u w:val="single"/>
          </w:rPr>
          <w:t xml:space="preserve">1 Samuel 13.21 </w:t>
        </w:r>
      </w:hyperlink>
      <w:r>
        <w:t>(voir Nouvelle Bible Segond). C'était le prix exigé des Israélites par les Philistins pour aiguiser un soc de charrue. Les poids excavés varient de 7,1 à 8,5 grammes, soit environ deux tiers de sicle.</w:t>
      </w:r>
    </w:p>
    <w:p>
      <w:pPr>
        <w:pStyle w:val="Heading4"/>
      </w:pPr>
      <w:r>
        <w:t>Le béka (béqa)</w:t>
      </w:r>
    </w:p>
    <w:p>
      <w:r/>
      <w:r>
        <w:t xml:space="preserve">Les sept pierres qui portent cette inscription pèsent entre 5,7 à 6,5 grammes. Dans </w:t>
      </w:r>
      <w:hyperlink r:id="rId12397">
        <w:r>
          <w:rPr>
            <w:color w:val="0000EE"/>
            <w:u w:val="single"/>
          </w:rPr>
          <w:t>Exode 38.26</w:t>
        </w:r>
      </w:hyperlink>
      <w:r>
        <w:t>, c'est le montant prélevé pour chaque individu pour la taxe de recensement. Dans ce passage, le béka équivaut à un demi-sicle.</w:t>
      </w:r>
    </w:p>
    <w:p>
      <w:pPr>
        <w:pStyle w:val="Heading4"/>
      </w:pPr>
      <w:r>
        <w:t>Le guéra</w:t>
      </w:r>
    </w:p>
    <w:p>
      <w:r/>
      <w:r>
        <w:t>Égal à un vingtième de sicle, soit 0,6 gramme. Il est mentionné cinq fois (</w:t>
      </w:r>
      <w:hyperlink r:id="rId12403">
        <w:r>
          <w:rPr>
            <w:color w:val="0000EE"/>
            <w:u w:val="single"/>
          </w:rPr>
          <w:t xml:space="preserve">Ex 30.13 </w:t>
        </w:r>
      </w:hyperlink>
      <w:r>
        <w:t xml:space="preserve">; </w:t>
      </w:r>
      <w:hyperlink r:id="rId12404">
        <w:r>
          <w:rPr>
            <w:color w:val="0000EE"/>
            <w:u w:val="single"/>
          </w:rPr>
          <w:t xml:space="preserve">Lv 27.25 </w:t>
        </w:r>
      </w:hyperlink>
      <w:r>
        <w:t xml:space="preserve">; </w:t>
      </w:r>
      <w:hyperlink r:id="rId12405">
        <w:r>
          <w:rPr>
            <w:color w:val="0000EE"/>
            <w:u w:val="single"/>
          </w:rPr>
          <w:t xml:space="preserve">Nm 3.47 </w:t>
        </w:r>
      </w:hyperlink>
      <w:r>
        <w:t xml:space="preserve">; </w:t>
      </w:r>
      <w:hyperlink r:id="rId12406">
        <w:r>
          <w:rPr>
            <w:color w:val="0000EE"/>
            <w:u w:val="single"/>
          </w:rPr>
          <w:t xml:space="preserve">18.16 </w:t>
        </w:r>
      </w:hyperlink>
      <w:r>
        <w:t xml:space="preserve">; </w:t>
      </w:r>
      <w:hyperlink r:id="rId12399">
        <w:r>
          <w:rPr>
            <w:color w:val="0000EE"/>
            <w:u w:val="single"/>
          </w:rPr>
          <w:t>Ez 45.12</w:t>
        </w:r>
      </w:hyperlink>
      <w:r>
        <w:t>) et à chaque occasion, il est utilisé pour indiquer la valeur du sicle. Son utilisation est uniquement monétaire dans ces contextes.</w:t>
      </w:r>
    </w:p>
    <w:p>
      <w:pPr>
        <w:pStyle w:val="Heading4"/>
      </w:pPr>
      <w:r>
        <w:t>La livre (grec : litra)</w:t>
      </w:r>
    </w:p>
    <w:p>
      <w:r/>
      <w:r>
        <w:t xml:space="preserve">Le NT mentionne les mêmes poids qui ont déjà été décrits et qui étaient utilisés dans l'AT, notamment le sicle, la mine et le talent. Une autre unité de poids est mentionnée : la livre. Elle est utilisée pour estimer le poids d'épices dans </w:t>
      </w:r>
      <w:hyperlink r:id="rId12407">
        <w:r>
          <w:rPr>
            <w:color w:val="0000EE"/>
            <w:u w:val="single"/>
          </w:rPr>
          <w:t>Jean 12.3</w:t>
        </w:r>
      </w:hyperlink>
      <w:r>
        <w:t xml:space="preserve"> et </w:t>
      </w:r>
      <w:hyperlink r:id="rId12408">
        <w:r>
          <w:rPr>
            <w:color w:val="0000EE"/>
            <w:u w:val="single"/>
          </w:rPr>
          <w:t>19.39</w:t>
        </w:r>
      </w:hyperlink>
      <w:r>
        <w:t>. Selon la littérature grecque, une livre équivaut à environ 327 grammes.</w:t>
      </w:r>
    </w:p>
    <w:p>
      <w:pPr>
        <w:pStyle w:val="Heading3"/>
      </w:pPr>
      <w:r>
        <w:t>Mesures de longueur dans l'Ancien Testament</w:t>
      </w:r>
    </w:p>
    <w:p>
      <w:r/>
      <w:r>
        <w:t>Les mesures de longueur et de profondeur étaient généralement basées sur la taille d'un membre du corps, qui était utilisé pour effectuer la mesure. L'unité de base était la coudée, et la plupart des autres mesures y étaient connectées. Il n'y a pas de mesures précises de distances géographiques dans l'AT. Elles étaient le plus souvent exprimées par le nombre de jours nécessaires pour arriver à destination. Une journée de voyage équivalait très probablement à une distance de 32 à 40 kilomètres. Un « pas » était égal à environ un mètre (</w:t>
      </w:r>
      <w:hyperlink r:id="rId12409">
        <w:r>
          <w:rPr>
            <w:color w:val="0000EE"/>
            <w:u w:val="single"/>
          </w:rPr>
          <w:t>2S 6.13</w:t>
        </w:r>
      </w:hyperlink>
      <w:r>
        <w:t>).</w:t>
      </w:r>
    </w:p>
    <w:p>
      <w:pPr>
        <w:pStyle w:val="Heading4"/>
      </w:pPr>
      <w:r>
        <w:t>La coudée</w:t>
      </w:r>
    </w:p>
    <w:p>
      <w:r/>
      <w:r>
        <w:t xml:space="preserve">Longueur de la distance entre la pointe de l'index et le coude. Il existait une coudée longue et une coudée courte. Ces mesures étaient utilisées non seulement en Israël mais aussi en Mésopotamie et en Égypte. </w:t>
      </w:r>
      <w:hyperlink r:id="rId12410">
        <w:r>
          <w:rPr>
            <w:color w:val="0000EE"/>
            <w:u w:val="single"/>
          </w:rPr>
          <w:t xml:space="preserve">Ézéchiel 40.5 </w:t>
        </w:r>
      </w:hyperlink>
      <w:r>
        <w:t>indique que la mesure de la coudée longue équivalait à une coudée plus un palme (entre 50,8 et 53,3 centimètres). L'inscription retrouvée à l'intérieur du tunnel de Siloé construit par Ézéchias (715–686 av. J.-C.) indique sa longueur : 1 200 coudées. La longueur réelle du tunnel est de 533,1 mètres. Cela signifierait qu'une coudée mesurait 44,4 centimètres. Dans l'ensemble, 44,5 centimètres est une bonne estimation de la longueur de la coudée en Israël. Cela voudrait dire que la coudée longue mesurait environ 52 centimètres. La coudée était le plus souvent utilisée pour indiquer les dimensions de bâtiments ou d'objets (p. ex. rideaux, piliers, meubles, etc.). L'arche construite par Noé est la plus grande structure mesurée en coudées dans l'AT : 300 coudées en longueur (</w:t>
      </w:r>
      <w:hyperlink r:id="rId12411">
        <w:r>
          <w:rPr>
            <w:color w:val="0000EE"/>
            <w:u w:val="single"/>
          </w:rPr>
          <w:t>Gn 6.15</w:t>
        </w:r>
      </w:hyperlink>
      <w:r>
        <w:t>).</w:t>
      </w:r>
    </w:p>
    <w:p>
      <w:pPr>
        <w:pStyle w:val="Heading4"/>
      </w:pPr>
      <w:r>
        <w:t>L'empan</w:t>
      </w:r>
    </w:p>
    <w:p>
      <w:r/>
      <w:r>
        <w:t>Distance entre le bout du petit doigt et celui du pouce quand les doigts sont complètement écartés. Cela correspond à une demi-coudée (22,2 centimètres). Cette mesure n'est mentionnée que sept fois dans l'AT, dont quatre pour décrire les dimensions du pectoral du souverain sacrificateur (</w:t>
      </w:r>
      <w:hyperlink r:id="rId12412">
        <w:r>
          <w:rPr>
            <w:color w:val="0000EE"/>
            <w:u w:val="single"/>
          </w:rPr>
          <w:t xml:space="preserve">Ex 28.15–16 </w:t>
        </w:r>
      </w:hyperlink>
      <w:r>
        <w:t xml:space="preserve">; </w:t>
      </w:r>
      <w:hyperlink r:id="rId12413">
        <w:r>
          <w:rPr>
            <w:color w:val="0000EE"/>
            <w:u w:val="single"/>
          </w:rPr>
          <w:t>39.8–9</w:t>
        </w:r>
      </w:hyperlink>
      <w:r>
        <w:t>).</w:t>
      </w:r>
    </w:p>
    <w:p>
      <w:pPr>
        <w:pStyle w:val="Heading4"/>
      </w:pPr>
      <w:r>
        <w:t>Le palme</w:t>
      </w:r>
    </w:p>
    <w:p>
      <w:r/>
      <w:r>
        <w:t>Largeur de la base de la main, égale à un sixième de coudée, soit un tiers d'empan (7,6 centimètres). Le terme est utilisé seulement cinq fois dans l'AT. Il indique la largeur du rebord autour de la table des pains de proposition (</w:t>
      </w:r>
      <w:hyperlink r:id="rId12414">
        <w:r>
          <w:rPr>
            <w:color w:val="0000EE"/>
            <w:u w:val="single"/>
          </w:rPr>
          <w:t>Ex 25.25</w:t>
        </w:r>
      </w:hyperlink>
      <w:r>
        <w:t>) et autour de la mer en fonte de Salomon (</w:t>
      </w:r>
      <w:hyperlink r:id="rId12415">
        <w:r>
          <w:rPr>
            <w:color w:val="0000EE"/>
            <w:u w:val="single"/>
          </w:rPr>
          <w:t>1R 7.26</w:t>
        </w:r>
      </w:hyperlink>
      <w:r>
        <w:t>).</w:t>
      </w:r>
    </w:p>
    <w:p>
      <w:pPr>
        <w:pStyle w:val="Heading3"/>
      </w:pPr>
      <w:r>
        <w:t>Mesures de longueur dans le Nouveau Testament</w:t>
      </w:r>
    </w:p>
    <w:p>
      <w:r/>
      <w:r>
        <w:t>Dans le NT, certaines unités de longueur et de profondeur correspondent aux normes gréco-romaines, tandis que d'autres sont celles utilisées dans l'AT. Comme dans l'AT, des indicateurs de distance imprécis sont souvent utilisés dans le NT, comme un jet de pierre ou une journée de marche. Toutefois, des mesures plus précises, empruntées à la culture romaine, sont parfois utilisées.</w:t>
      </w:r>
    </w:p>
    <w:p>
      <w:pPr>
        <w:pStyle w:val="Heading4"/>
      </w:pPr>
      <w:r>
        <w:t>La coudée romaine</w:t>
      </w:r>
    </w:p>
    <w:p>
      <w:r/>
      <w:r>
        <w:t>La coudée romaine correspondait à une fois et demie un pied standard de 29,66 centimètres, soit 44,5 centimètres, tout comme la coudée de l'AT.</w:t>
      </w:r>
    </w:p>
    <w:p>
      <w:pPr>
        <w:pStyle w:val="Heading4"/>
      </w:pPr>
      <w:r>
        <w:t>La brasse</w:t>
      </w:r>
    </w:p>
    <w:p>
      <w:r/>
      <w:r>
        <w:t xml:space="preserve">Distance entre le bout des doigts de la main gauche et de la main droite lorsque les bras sont étendus. Elle n'est mentionnée que dans </w:t>
      </w:r>
      <w:hyperlink r:id="rId2079">
        <w:r>
          <w:rPr>
            <w:color w:val="0000EE"/>
            <w:u w:val="single"/>
          </w:rPr>
          <w:t>Actes 27.28</w:t>
        </w:r>
      </w:hyperlink>
      <w:r>
        <w:t xml:space="preserve"> et est estimée à environ 1,8 mètre.</w:t>
      </w:r>
    </w:p>
    <w:p>
      <w:pPr>
        <w:pStyle w:val="Heading4"/>
      </w:pPr>
      <w:r>
        <w:t>Le stade</w:t>
      </w:r>
    </w:p>
    <w:p>
      <w:r/>
      <w:r>
        <w:t xml:space="preserve">Ancienne longueur de champ de course grec, équivalant à un huitième de mille romain, soit environ 183 mètres. Cette mesure était généralement utilisée pour donner une distance approximative. Pourtant, dans </w:t>
      </w:r>
      <w:hyperlink r:id="rId12416">
        <w:r>
          <w:rPr>
            <w:color w:val="0000EE"/>
            <w:u w:val="single"/>
          </w:rPr>
          <w:t>Apocalypse 21.16</w:t>
        </w:r>
      </w:hyperlink>
      <w:r>
        <w:t>, elle sert à donner les dimensions de la Nouvelle Jérusalem et est mesurée avec une canne à mesurer.</w:t>
      </w:r>
    </w:p>
    <w:p>
      <w:pPr>
        <w:pStyle w:val="Heading4"/>
      </w:pPr>
      <w:r>
        <w:t>Le mille</w:t>
      </w:r>
    </w:p>
    <w:p>
      <w:r/>
      <w:r>
        <w:t xml:space="preserve">La seule mention de ce terme est dans </w:t>
      </w:r>
      <w:hyperlink r:id="rId12417">
        <w:r>
          <w:rPr>
            <w:color w:val="0000EE"/>
            <w:u w:val="single"/>
          </w:rPr>
          <w:t>Matthieu 5.41</w:t>
        </w:r>
      </w:hyperlink>
      <w:r>
        <w:t>. Il s'agit du mille romain qui correspond à neuf dixièmes d'un mille moderne, soit 1,4 kilomètre.</w:t>
      </w:r>
    </w:p>
    <w:p>
      <w:pPr>
        <w:pStyle w:val="Heading3"/>
      </w:pPr>
      <w:r>
        <w:t>Mesures de capacité sèche dans l'Ancien Testament</w:t>
      </w:r>
    </w:p>
    <w:p>
      <w:r/>
      <w:r>
        <w:t>Les mesures de produits solides servaient à des besoins très pragmatiques, comme de mesurer la charge normale d'un âne, la quantité de grain pouvant être semée en un jour, ou celle qu'il faut pour ensemencer un terrain d'une certaine taille. Comme dans le cas d'autres types de mesures, ces mesures ont ensuite été standardisées.</w:t>
      </w:r>
    </w:p>
    <w:p>
      <w:pPr>
        <w:pStyle w:val="Heading4"/>
      </w:pPr>
      <w:r>
        <w:t>L'homer et le cor</w:t>
      </w:r>
    </w:p>
    <w:p>
      <w:r/>
      <w:r>
        <w:t xml:space="preserve">L'homer est la mesure de capacité la plus courante pour les solides. Il équivaut à une charge d'âne. Les estimations de sa capacité standard varient considérablement (de 133,9 à 264,3 litres). En dehors des sept mentions dans </w:t>
      </w:r>
      <w:hyperlink r:id="rId12418">
        <w:r>
          <w:rPr>
            <w:color w:val="0000EE"/>
            <w:u w:val="single"/>
          </w:rPr>
          <w:t>Ézéchiel 45.11–14</w:t>
        </w:r>
      </w:hyperlink>
      <w:r>
        <w:t>, ce terme n'apparaît que quatre fois dans l'AT. Dans trois de ceux-ci, l'homer est utilisé pour mesurer une quantité de semences ou d'orge (</w:t>
      </w:r>
      <w:hyperlink r:id="rId1291">
        <w:r>
          <w:rPr>
            <w:color w:val="0000EE"/>
            <w:u w:val="single"/>
          </w:rPr>
          <w:t xml:space="preserve">Lv 27.16 </w:t>
        </w:r>
      </w:hyperlink>
      <w:r>
        <w:t xml:space="preserve">; </w:t>
      </w:r>
      <w:hyperlink r:id="rId12419">
        <w:r>
          <w:rPr>
            <w:color w:val="0000EE"/>
            <w:u w:val="single"/>
          </w:rPr>
          <w:t xml:space="preserve">Es 5.10 </w:t>
        </w:r>
      </w:hyperlink>
      <w:r>
        <w:t xml:space="preserve">; </w:t>
      </w:r>
      <w:hyperlink r:id="rId11433">
        <w:r>
          <w:rPr>
            <w:color w:val="0000EE"/>
            <w:u w:val="single"/>
          </w:rPr>
          <w:t>Os 3.2</w:t>
        </w:r>
      </w:hyperlink>
      <w:r>
        <w:t>). Dans le quatrième passage, il est utilisé par les Israélites pour mesurer la quantité de cailles ramassée dans le désert. Le cor ou kor est égal à l'homer. Il est mentionné neuf fois comme mesure de marchandises diverses (huile, farine, blé et orge), en multiples qui vont jusqu'à 20 000 (</w:t>
      </w:r>
      <w:hyperlink r:id="rId1279">
        <w:r>
          <w:rPr>
            <w:color w:val="0000EE"/>
            <w:u w:val="single"/>
          </w:rPr>
          <w:t>1R 5.11</w:t>
        </w:r>
      </w:hyperlink>
      <w:r>
        <w:t>).</w:t>
      </w:r>
    </w:p>
    <w:p>
      <w:pPr>
        <w:pStyle w:val="Heading4"/>
      </w:pPr>
      <w:r>
        <w:t>Le léthec</w:t>
      </w:r>
    </w:p>
    <w:p>
      <w:r/>
      <w:r>
        <w:t xml:space="preserve">Unité de mesure qui n'est mentionnée que dans </w:t>
      </w:r>
      <w:hyperlink r:id="rId11433">
        <w:r>
          <w:rPr>
            <w:color w:val="0000EE"/>
            <w:u w:val="single"/>
          </w:rPr>
          <w:t>Osée 3.2</w:t>
        </w:r>
      </w:hyperlink>
      <w:r>
        <w:t>. Il équivaut à la moitié d'un cor ou d'un homer.</w:t>
      </w:r>
    </w:p>
    <w:p>
      <w:pPr>
        <w:pStyle w:val="Heading4"/>
      </w:pPr>
      <w:r>
        <w:t>L'épha</w:t>
      </w:r>
    </w:p>
    <w:p>
      <w:r/>
      <w:r>
        <w:t>Dixième d'un homer (</w:t>
      </w:r>
      <w:hyperlink r:id="rId11152">
        <w:r>
          <w:rPr>
            <w:color w:val="0000EE"/>
            <w:u w:val="single"/>
          </w:rPr>
          <w:t>Ez 45.11</w:t>
        </w:r>
      </w:hyperlink>
      <w:r>
        <w:t xml:space="preserve">), soit environ 17,6 litres. Le terme est mentionné des dizaines de fois comme mesure pour produits agricoles divers. Il semble avoir été la mesure la plus utilisée pour le commerce et les ventes. Selon </w:t>
      </w:r>
      <w:hyperlink r:id="rId12420">
        <w:r>
          <w:rPr>
            <w:color w:val="0000EE"/>
            <w:u w:val="single"/>
          </w:rPr>
          <w:t>Zacharie 5.6–10</w:t>
        </w:r>
      </w:hyperlink>
      <w:r>
        <w:t>, l'épha est le nom d'un panier pour produits agricoles dont la capacité est d'un épha.</w:t>
      </w:r>
    </w:p>
    <w:p>
      <w:pPr>
        <w:pStyle w:val="Heading4"/>
      </w:pPr>
      <w:r>
        <w:t>Le séa</w:t>
      </w:r>
    </w:p>
    <w:p>
      <w:r/>
      <w:r>
        <w:t>Une fraction du homer dont la capacité varie beaucoup. Il sert à mesurer la farine, les semences, l'orge et d'autres grains. Il correspond à peu près à un tiers d'un épha (</w:t>
      </w:r>
      <w:hyperlink r:id="rId12421">
        <w:r>
          <w:rPr>
            <w:color w:val="0000EE"/>
            <w:u w:val="single"/>
          </w:rPr>
          <w:t>1S 25.18</w:t>
        </w:r>
      </w:hyperlink>
      <w:r>
        <w:t>, voir la note sur « mesures » dans la Colombe).</w:t>
      </w:r>
    </w:p>
    <w:p>
      <w:pPr>
        <w:pStyle w:val="Heading4"/>
      </w:pPr>
      <w:r>
        <w:t>L'omer et l'issaron</w:t>
      </w:r>
    </w:p>
    <w:p>
      <w:r/>
      <w:r>
        <w:t xml:space="preserve">L'omer, à ne pas confondre avec l'homer, n'est mentionné que dans </w:t>
      </w:r>
      <w:hyperlink r:id="rId12422">
        <w:r>
          <w:rPr>
            <w:color w:val="0000EE"/>
            <w:u w:val="single"/>
          </w:rPr>
          <w:t>Exode 16.22, où</w:t>
        </w:r>
      </w:hyperlink>
      <w:r>
        <w:t xml:space="preserve"> les Israélites ramassent de la manne dans le désert. Il représente une ration journalière de manne et est décrit comme le dixième d'un épha (</w:t>
      </w:r>
      <w:hyperlink r:id="rId12423">
        <w:r>
          <w:rPr>
            <w:color w:val="0000EE"/>
            <w:u w:val="single"/>
          </w:rPr>
          <w:t>Ex 16.36</w:t>
        </w:r>
      </w:hyperlink>
      <w:r>
        <w:t xml:space="preserve">). Le mot </w:t>
      </w:r>
      <w:r>
        <w:rPr>
          <w:i/>
        </w:rPr>
        <w:t>issaron</w:t>
      </w:r>
      <w:r>
        <w:t xml:space="preserve"> signifie « un dixième » et est habituellement traduit ainsi. Ses vingt-cinq mentions se trouvent toutes dans Exode, Lévitique et Nombres (principalement dans </w:t>
      </w:r>
      <w:hyperlink r:id="rId11013">
        <w:r>
          <w:rPr>
            <w:color w:val="0000EE"/>
            <w:u w:val="single"/>
          </w:rPr>
          <w:t>Nb 28–29</w:t>
        </w:r>
      </w:hyperlink>
      <w:r>
        <w:t>). Cette mesure n'est mentionnée qu'à propos de fleur de farine.</w:t>
      </w:r>
    </w:p>
    <w:p>
      <w:pPr>
        <w:pStyle w:val="Heading4"/>
      </w:pPr>
      <w:r>
        <w:t>Le kab</w:t>
      </w:r>
    </w:p>
    <w:p>
      <w:r/>
      <w:r>
        <w:t xml:space="preserve">Cette mesure n'est mentionnée que dans </w:t>
      </w:r>
      <w:hyperlink r:id="rId12424">
        <w:r>
          <w:rPr>
            <w:color w:val="0000EE"/>
            <w:u w:val="single"/>
          </w:rPr>
          <w:t>2 Rois 6.25</w:t>
        </w:r>
      </w:hyperlink>
      <w:r>
        <w:t>. L'estimation donnée par Flavius Josèphe est un dix-huitième d'un épha (ou environ la moitié d'un omer) et est généralement acceptée.</w:t>
      </w:r>
    </w:p>
    <w:p>
      <w:pPr>
        <w:pStyle w:val="Heading3"/>
      </w:pPr>
      <w:r>
        <w:t>Mesures de capacité sèche dans le Nouveau Testament</w:t>
      </w:r>
    </w:p>
    <w:p>
      <w:r/>
      <w:r>
        <w:t>Les mesures sèches suivantes sont utilisées dans le NT.</w:t>
      </w:r>
    </w:p>
    <w:p>
      <w:pPr>
        <w:pStyle w:val="Heading4"/>
      </w:pPr>
      <w:r>
        <w:t>La/le chénice (grec : choinix)</w:t>
      </w:r>
    </w:p>
    <w:p>
      <w:r/>
      <w:r>
        <w:t xml:space="preserve">Le terme n'est utilisé que dans </w:t>
      </w:r>
      <w:hyperlink r:id="rId12425">
        <w:r>
          <w:rPr>
            <w:color w:val="0000EE"/>
            <w:u w:val="single"/>
          </w:rPr>
          <w:t>Apocalypse 6.6</w:t>
        </w:r>
      </w:hyperlink>
      <w:r>
        <w:t>, mais n'est pas traditionnellement traduite par ce nom dans les bibles françaises. La chénice mesure un peu plus d'un litre (1,1 litre). Dans la littérature grecque, cette mesure était considérée comme la ration quotidienne de maïs qu'il fallait pour nourrir un homme.</w:t>
      </w:r>
    </w:p>
    <w:p>
      <w:pPr>
        <w:pStyle w:val="Heading4"/>
      </w:pPr>
      <w:r>
        <w:t>Le modius</w:t>
      </w:r>
    </w:p>
    <w:p>
      <w:r/>
      <w:r>
        <w:t>C'est le « boisseau » sous lequel il ne faut pas cacher sa lampe (</w:t>
      </w:r>
      <w:hyperlink r:id="rId2021">
        <w:r>
          <w:rPr>
            <w:color w:val="0000EE"/>
            <w:u w:val="single"/>
          </w:rPr>
          <w:t>Mt 5.15</w:t>
        </w:r>
      </w:hyperlink>
      <w:r>
        <w:t xml:space="preserve"> ; </w:t>
      </w:r>
      <w:hyperlink r:id="rId2022">
        <w:r>
          <w:rPr>
            <w:color w:val="0000EE"/>
            <w:u w:val="single"/>
          </w:rPr>
          <w:t>Mc 4.21</w:t>
        </w:r>
      </w:hyperlink>
      <w:r>
        <w:t xml:space="preserve"> ; </w:t>
      </w:r>
      <w:hyperlink r:id="rId2023">
        <w:r>
          <w:rPr>
            <w:color w:val="0000EE"/>
            <w:u w:val="single"/>
          </w:rPr>
          <w:t>Lc 11.33</w:t>
        </w:r>
      </w:hyperlink>
      <w:r>
        <w:t>). Il équivaut à 8,5 litres.</w:t>
      </w:r>
    </w:p>
    <w:p>
      <w:pPr>
        <w:pStyle w:val="Heading4"/>
      </w:pPr>
      <w:r>
        <w:t>Le saton</w:t>
      </w:r>
    </w:p>
    <w:p>
      <w:r/>
      <w:r>
        <w:t>Équivalent du séa de l'AT. Il n'est mentionné que deux fois dans le NT, dans la parabole du levain. Un tout petit peu de levain mis dans trois mesures (trois satons) de farine fait lever le tout et fait comprendre comment le royaume de Dieu grandit (</w:t>
      </w:r>
      <w:hyperlink r:id="rId9021">
        <w:r>
          <w:rPr>
            <w:color w:val="0000EE"/>
            <w:u w:val="single"/>
          </w:rPr>
          <w:t xml:space="preserve">Mt 13.33 </w:t>
        </w:r>
      </w:hyperlink>
      <w:r>
        <w:t xml:space="preserve">; </w:t>
      </w:r>
      <w:hyperlink r:id="rId12426">
        <w:r>
          <w:rPr>
            <w:color w:val="0000EE"/>
            <w:u w:val="single"/>
          </w:rPr>
          <w:t>Lc 13.21</w:t>
        </w:r>
      </w:hyperlink>
      <w:r>
        <w:t>).</w:t>
      </w:r>
    </w:p>
    <w:p>
      <w:pPr>
        <w:pStyle w:val="Heading3"/>
      </w:pPr>
      <w:r>
        <w:t>Mesures de capacité liquide dans l'Ancien Testament</w:t>
      </w:r>
    </w:p>
    <w:p>
      <w:r/>
      <w:r>
        <w:t>Trois unités de base sont utilisées pour mesurer la capacité liquide dans l'AT.</w:t>
      </w:r>
    </w:p>
    <w:p>
      <w:pPr>
        <w:pStyle w:val="Heading4"/>
      </w:pPr>
      <w:r>
        <w:t>Le bath</w:t>
      </w:r>
    </w:p>
    <w:p>
      <w:r/>
      <w:r>
        <w:t xml:space="preserve">Le bath est l'unité de base de mesure des liquides. Le bath est décrit comme l'équivalent liquide de l'épha (la mesure sèche, voir </w:t>
      </w:r>
      <w:hyperlink r:id="rId12418">
        <w:r>
          <w:rPr>
            <w:color w:val="0000EE"/>
            <w:u w:val="single"/>
          </w:rPr>
          <w:t>Ez 45.11–14</w:t>
        </w:r>
      </w:hyperlink>
      <w:r>
        <w:t xml:space="preserve">). Le bath correspond à un dixième de homer. Des découvertes archéologiques ont aidé à en déterminer la capacité. Des jarres avec l'inscription « bath du roi » ont été retrouvées à Lakis et à Tell en-Nasbeh, et des jarres avec l'inscription « bath » ont été trouvées à Tell Beit Mirsim. Ces jarres ne sont plus entières : leur capacité doit donc être calculée sur la base d'une reconstruction. Selon les informations ainsi obtenues, le bath était d'environ 20,8 litres. Cette estimation produit un résultat acceptable en comparaison aux informations qui se trouvent dans </w:t>
      </w:r>
      <w:hyperlink r:id="rId12427">
        <w:r>
          <w:rPr>
            <w:color w:val="0000EE"/>
            <w:u w:val="single"/>
          </w:rPr>
          <w:t>1 Rois 7.23–26</w:t>
        </w:r>
      </w:hyperlink>
      <w:r>
        <w:t>. En effet, la « mer de fonte » du temple de Salomon est décrite comme faisant 30 coudées de circonférence, 10 coudées de diamètre et 5 coudées de profondeur. Elle avait une capacité de 2 000 baths d'eau.</w:t>
      </w:r>
    </w:p>
    <w:p>
      <w:pPr>
        <w:pStyle w:val="Heading4"/>
      </w:pPr>
      <w:r>
        <w:t>Le hin</w:t>
      </w:r>
    </w:p>
    <w:p>
      <w:r/>
      <w:r>
        <w:t>Un sixième de hin d'eau était considéré comme le minimum quotidien requis pour une personne (</w:t>
      </w:r>
      <w:hyperlink r:id="rId12428">
        <w:r>
          <w:rPr>
            <w:color w:val="0000EE"/>
            <w:u w:val="single"/>
          </w:rPr>
          <w:t>Ez 4.11</w:t>
        </w:r>
      </w:hyperlink>
      <w:r>
        <w:t>). Le hin est égal à un sixième de bath, soit environ 3,8 litres. Le hin est utilisé pour mesurer des quantités d'huile, de vin et d'eau. Seules des fractions, toujours inférieures à un hin entier, sont mentionnées. Ces mentions ne se trouvent que dans Exode, Lévitique, Nombres et Ézéchiel, le plus souvent pour indiquer les quantités de vin offertes avec les sacrifices.</w:t>
      </w:r>
    </w:p>
    <w:p>
      <w:pPr>
        <w:pStyle w:val="Heading4"/>
      </w:pPr>
      <w:r>
        <w:t>Le log</w:t>
      </w:r>
    </w:p>
    <w:p>
      <w:r/>
      <w:r>
        <w:t xml:space="preserve">Cette mesure n'est mentionnée que dans </w:t>
      </w:r>
      <w:hyperlink r:id="rId12429">
        <w:r>
          <w:rPr>
            <w:color w:val="0000EE"/>
            <w:u w:val="single"/>
          </w:rPr>
          <w:t>Lévitique 14.10–24</w:t>
        </w:r>
      </w:hyperlink>
      <w:r>
        <w:t xml:space="preserve"> et équivaut à un douzième de hin, soit environ 0,3 litre.</w:t>
      </w:r>
    </w:p>
    <w:p>
      <w:pPr>
        <w:pStyle w:val="Heading3"/>
      </w:pPr>
      <w:r>
        <w:t>Mesures de capacité liquide dans le Nouveau Testament</w:t>
      </w:r>
    </w:p>
    <w:p>
      <w:r/>
      <w:r>
        <w:t>Les mesures liquides suivantes sont mentionnées dans le NT.</w:t>
      </w:r>
    </w:p>
    <w:p>
      <w:pPr>
        <w:pStyle w:val="Heading4"/>
      </w:pPr>
      <w:r>
        <w:t>Le bath</w:t>
      </w:r>
    </w:p>
    <w:p>
      <w:r/>
      <w:r>
        <w:t>Il n'est mentionné qu'une seule fois (</w:t>
      </w:r>
      <w:hyperlink r:id="rId12430">
        <w:r>
          <w:rPr>
            <w:color w:val="0000EE"/>
            <w:u w:val="single"/>
          </w:rPr>
          <w:t>Lc 16.6</w:t>
        </w:r>
      </w:hyperlink>
      <w:r>
        <w:t>) et est identique au bath de l'AT.</w:t>
      </w:r>
    </w:p>
    <w:p>
      <w:pPr>
        <w:pStyle w:val="Heading4"/>
      </w:pPr>
      <w:r>
        <w:t>Le métrète</w:t>
      </w:r>
    </w:p>
    <w:p>
      <w:r/>
      <w:r>
        <w:t xml:space="preserve">Il est mentionné uniquement dans </w:t>
      </w:r>
      <w:hyperlink r:id="rId12431">
        <w:r>
          <w:rPr>
            <w:color w:val="0000EE"/>
            <w:u w:val="single"/>
          </w:rPr>
          <w:t>Jean 2.6</w:t>
        </w:r>
      </w:hyperlink>
      <w:r>
        <w:t xml:space="preserve"> où il est souvent traduit « mesure ». Il est utilisé pour indiquer la capacité des vases remplis d'eau que Jésus change en vin. Selon Flavius Josèphe, il équivaut à un bath hébreu, mais selon l'usage grec, il équivaut à environ 37,9 litres.</w:t>
      </w:r>
    </w:p>
    <w:p>
      <w:pPr>
        <w:pStyle w:val="Heading4"/>
      </w:pPr>
      <w:r>
        <w:t>Le setier (nom romain : sextarius, nom grec : xestes)</w:t>
      </w:r>
    </w:p>
    <w:p>
      <w:r/>
      <w:r>
        <w:t xml:space="preserve">Mesure de capacité d'environ un litre et un sixième (552 millilitres). Ce mot peut aussi être traduit « cruche » (voir </w:t>
      </w:r>
      <w:hyperlink r:id="rId12305">
        <w:r>
          <w:rPr>
            <w:color w:val="0000EE"/>
            <w:u w:val="single"/>
          </w:rPr>
          <w:t>Mc 7.4</w:t>
        </w:r>
      </w:hyperlink>
      <w:r>
        <w:t>).</w:t>
      </w:r>
      <w:r/>
      <w:r/>
    </w:p>
    <w:p>
      <w:r/>
    </w:p>
    <w:p>
      <w:pPr>
        <w:pStyle w:val="Heading2"/>
      </w:pPr>
      <w:r>
        <w:t>Pollux</w:t>
      </w:r>
      <w:r/>
    </w:p>
    <w:p>
      <w:r/>
      <w:r>
        <w:t xml:space="preserve">Personnage de la mythologie grecque, fils de Zeus et frère jumeau de Castor. Ensemble, ils étaient connus sous le nom de Dioscures (« fils de Zeus »). Les Dioscures étaient considérés comme les protecteurs des marins et des navires. Dans </w:t>
      </w:r>
      <w:hyperlink r:id="rId532">
        <w:r>
          <w:rPr>
            <w:color w:val="0000EE"/>
            <w:u w:val="single"/>
          </w:rPr>
          <w:t>Actes 28.11</w:t>
        </w:r>
      </w:hyperlink>
      <w:r>
        <w:t>, Paul et ses compagnons ont navigué de Malte sur un navire venu d'Alexandrie. Ce dernier avait pour figure de proue les dieux jumeaux Castor et Pollux. De nombreux navires anciens avaient des figures de proue sculptées, souvent censées apporter chance et protection pendant un voyage.</w:t>
      </w:r>
    </w:p>
    <w:p>
      <w:r/>
      <w:r>
        <w:rPr>
          <w:i/>
        </w:rPr>
        <w:t>Voir</w:t>
      </w:r>
      <w:r>
        <w:t xml:space="preserve"> </w:t>
      </w:r>
      <w:r>
        <w:t>Dioscures</w:t>
      </w:r>
      <w:r>
        <w:t>.</w:t>
      </w:r>
      <w:r/>
      <w:r/>
    </w:p>
    <w:p>
      <w:r/>
    </w:p>
    <w:p>
      <w:pPr>
        <w:pStyle w:val="Heading2"/>
      </w:pPr>
      <w:r>
        <w:t>Pont (région)</w:t>
      </w:r>
      <w:r/>
    </w:p>
    <w:p>
      <w:r/>
      <w:r>
        <w:t>Province romaine située dans le nord-est de l'Asie Mineure, le long de la côte sud de la mer Noire. La Galatie, la Cappadoce et l'Arménie bordaient le Pont. Vers l'an 1 000 av. J.‑C., les premiers Grecs commencent à coloniser la côte sud-est de la mer Noire, fondant Sinope et Trabzon. C'est ici que Xénophon et ses hommes atteidront la mer après leur grande aventure orientale. C'est au célèbre géographe Strabon que l'on doit la connaissance de l'histoire ancienne du Pont. Celui-ci est né dans la ville d'Amasya, dans les terres. Mithridate IV « Eupator », roi d'Amasya, était, selon les Romains, l'ennemi le plus redoutable que la république ait jamais rencontré. Il mènera trois guerres contre les Romains jusqu'à sa défaite finale aux mains de Pompée vers l'an 60 av. J.‑C.</w:t>
      </w:r>
    </w:p>
    <w:p>
      <w:r/>
      <w:r>
        <w:t>Aquilas, le fabricant de tentes qui, avec sa femme Priscille, sera un collaborateur précieux de l'apôtre Paul, est né dans le Pont. Contrairement à Paul, cependant, il n'était pas citoyen romain ; par conséquent, il était soumis à l'édit de Claude et expulsé de Rome du fait de ses origines juives (</w:t>
      </w:r>
      <w:hyperlink r:id="rId1614">
        <w:r>
          <w:rPr>
            <w:color w:val="0000EE"/>
            <w:u w:val="single"/>
          </w:rPr>
          <w:t>Ac 18.2</w:t>
        </w:r>
      </w:hyperlink>
      <w:r>
        <w:t xml:space="preserve"> ; </w:t>
      </w:r>
      <w:hyperlink r:id="rId12432">
        <w:r>
          <w:rPr>
            <w:color w:val="0000EE"/>
            <w:u w:val="single"/>
          </w:rPr>
          <w:t>22.25–28</w:t>
        </w:r>
      </w:hyperlink>
      <w:r>
        <w:t>).</w:t>
      </w:r>
    </w:p>
    <w:p>
      <w:r/>
      <w:r>
        <w:t>Les chrétiens qui y résidaient à l'époque de Pierre (</w:t>
      </w:r>
      <w:hyperlink r:id="rId1404">
        <w:r>
          <w:rPr>
            <w:color w:val="0000EE"/>
            <w:u w:val="single"/>
          </w:rPr>
          <w:t>1P 1.1</w:t>
        </w:r>
      </w:hyperlink>
      <w:r>
        <w:t>) étaient probablement des convertis parmi ceux qui étaient revenus de Jérusalem après la première Pentecôte, lorsque Pierre a parlé (</w:t>
      </w:r>
      <w:hyperlink r:id="rId4597">
        <w:r>
          <w:rPr>
            <w:color w:val="0000EE"/>
            <w:u w:val="single"/>
          </w:rPr>
          <w:t>Ac 2.9</w:t>
        </w:r>
      </w:hyperlink>
      <w:r>
        <w:t>).</w:t>
      </w:r>
      <w:r/>
      <w:r/>
    </w:p>
    <w:p>
      <w:r/>
    </w:p>
    <w:p>
      <w:pPr>
        <w:pStyle w:val="Heading2"/>
      </w:pPr>
      <w:r>
        <w:t>Poratha</w:t>
      </w:r>
      <w:r/>
    </w:p>
    <w:p>
      <w:r/>
      <w:r>
        <w:t>Un des dix fils d'Haman tués par les Juifs (</w:t>
      </w:r>
      <w:hyperlink r:id="rId230">
        <w:r>
          <w:rPr>
            <w:color w:val="0000EE"/>
            <w:u w:val="single"/>
          </w:rPr>
          <w:t>Est 9.8</w:t>
        </w:r>
      </w:hyperlink>
      <w:r>
        <w:t>).</w:t>
      </w:r>
      <w:r/>
      <w:r/>
    </w:p>
    <w:p>
      <w:r/>
    </w:p>
    <w:p>
      <w:pPr>
        <w:pStyle w:val="Heading2"/>
      </w:pPr>
      <w:r>
        <w:t>Portique de Salomon</w:t>
      </w:r>
      <w:r/>
    </w:p>
    <w:p>
      <w:r/>
      <w:r>
        <w:t>Partie du parvis extérieur ou cour extérieure du temple d'Hérode (</w:t>
      </w:r>
      <w:hyperlink r:id="rId12433">
        <w:r>
          <w:rPr>
            <w:color w:val="0000EE"/>
            <w:u w:val="single"/>
          </w:rPr>
          <w:t>Jn 10.23</w:t>
        </w:r>
      </w:hyperlink>
      <w:r>
        <w:t xml:space="preserve"> ; </w:t>
      </w:r>
      <w:hyperlink r:id="rId12434">
        <w:r>
          <w:rPr>
            <w:color w:val="0000EE"/>
            <w:u w:val="single"/>
          </w:rPr>
          <w:t>Ac 3.11</w:t>
        </w:r>
      </w:hyperlink>
      <w:r>
        <w:t xml:space="preserve"> ; </w:t>
      </w:r>
      <w:hyperlink r:id="rId12435">
        <w:r>
          <w:rPr>
            <w:color w:val="0000EE"/>
            <w:u w:val="single"/>
          </w:rPr>
          <w:t>5.12</w:t>
        </w:r>
      </w:hyperlink>
      <w:r>
        <w:t>).</w:t>
      </w:r>
    </w:p>
    <w:p>
      <w:r/>
      <w:r>
        <w:rPr>
          <w:i/>
        </w:rPr>
        <w:t>Voir aussi</w:t>
      </w:r>
      <w:r>
        <w:t xml:space="preserve"> </w:t>
      </w:r>
      <w:r>
        <w:t>Temple</w:t>
      </w:r>
      <w:r>
        <w:t>.</w:t>
      </w:r>
      <w:r/>
      <w:r/>
    </w:p>
    <w:p>
      <w:r/>
    </w:p>
    <w:p>
      <w:pPr>
        <w:pStyle w:val="Heading2"/>
      </w:pPr>
      <w:r>
        <w:t>Portique, vestibule</w:t>
      </w:r>
      <w:r/>
    </w:p>
    <w:p>
      <w:r/>
      <w:r>
        <w:t xml:space="preserve">Le portique ou vestibule est une cour associée au Temple ou au palais. Le portique ou vestibule est mentionné plusieurs fois dans les descriptions du Temple dans </w:t>
      </w:r>
      <w:hyperlink r:id="rId12436">
        <w:r>
          <w:rPr>
            <w:color w:val="0000EE"/>
            <w:u w:val="single"/>
          </w:rPr>
          <w:t>1 Rois 7</w:t>
        </w:r>
      </w:hyperlink>
      <w:r>
        <w:t xml:space="preserve"> et </w:t>
      </w:r>
      <w:hyperlink r:id="rId12437">
        <w:r>
          <w:rPr>
            <w:color w:val="0000EE"/>
            <w:u w:val="single"/>
          </w:rPr>
          <w:t>Ézéchiel 40</w:t>
        </w:r>
      </w:hyperlink>
      <w:r>
        <w:t xml:space="preserve">. Le portique séparait le lieu saint du reste du monde. On arrivait au portique par plusieurs marches, car il était surélevé par rapport à la zone environnante. Les marches et la surélévation soulignaient tous les deux la séparation du Temple. De chaque côté de l'entrée du portique se trouvaient des colonnes de soutien. Ces colonnes avaient des noms : Jakin et Boaz. Dans le Nouveau Testament, le mot grec qui correspond au portique est </w:t>
      </w:r>
      <w:r>
        <w:rPr>
          <w:i/>
        </w:rPr>
        <w:t>stoa</w:t>
      </w:r>
      <w:r>
        <w:t xml:space="preserve">. C'était un portique couvert reposant sur des piliers. Le portique de Salomon était célèbre, avec des colonnades autour de la zone du Temple, et faisant face au Temple (comp. avec </w:t>
      </w:r>
      <w:hyperlink r:id="rId12433">
        <w:r>
          <w:rPr>
            <w:color w:val="0000EE"/>
            <w:u w:val="single"/>
          </w:rPr>
          <w:t>Jn 10.23</w:t>
        </w:r>
      </w:hyperlink>
      <w:r>
        <w:t xml:space="preserve"> ; </w:t>
      </w:r>
      <w:hyperlink r:id="rId12434">
        <w:r>
          <w:rPr>
            <w:color w:val="0000EE"/>
            <w:u w:val="single"/>
          </w:rPr>
          <w:t>Ac 3.11</w:t>
        </w:r>
      </w:hyperlink>
      <w:r>
        <w:t xml:space="preserve"> ; </w:t>
      </w:r>
      <w:hyperlink r:id="rId12435">
        <w:r>
          <w:rPr>
            <w:color w:val="0000EE"/>
            <w:u w:val="single"/>
          </w:rPr>
          <w:t>5.12</w:t>
        </w:r>
      </w:hyperlink>
      <w:r>
        <w:t>).</w:t>
      </w:r>
    </w:p>
    <w:p>
      <w:r/>
      <w:r>
        <w:rPr>
          <w:i/>
        </w:rPr>
        <w:t>Voir aussi</w:t>
      </w:r>
      <w:r>
        <w:t xml:space="preserve"> </w:t>
      </w:r>
      <w:r>
        <w:t>architecture</w:t>
      </w:r>
      <w:r>
        <w:t xml:space="preserve"> ; </w:t>
      </w:r>
      <w:r>
        <w:t>tabernacle</w:t>
      </w:r>
      <w:r>
        <w:t xml:space="preserve"> ; </w:t>
      </w:r>
      <w:r>
        <w:t>Temple</w:t>
      </w:r>
      <w:r>
        <w:t>.</w:t>
      </w:r>
      <w:r/>
      <w:r/>
    </w:p>
    <w:p>
      <w:r/>
    </w:p>
    <w:p>
      <w:pPr>
        <w:pStyle w:val="Heading2"/>
      </w:pPr>
      <w:r>
        <w:t>possessions, richesses</w:t>
      </w:r>
      <w:r/>
    </w:p>
    <w:p>
      <w:r/>
      <w:r>
        <w:t>Les richessses sont une abondance de biens matériels que quelqu'un possède en plus du nécessaire pour ses besoins physiques de base comme la nourriture, l'habit et le logement. Dans la Bible, les richesses incluent l'argent et les propriétés comme des terres, des bâtiments, du bétail et des esclaves (</w:t>
      </w:r>
      <w:hyperlink r:id="rId12438">
        <w:r>
          <w:rPr>
            <w:color w:val="0000EE"/>
            <w:u w:val="single"/>
          </w:rPr>
          <w:t>Es 5.8–10</w:t>
        </w:r>
      </w:hyperlink>
      <w:r>
        <w:t xml:space="preserve"> ; </w:t>
      </w:r>
      <w:hyperlink r:id="rId12439">
        <w:r>
          <w:rPr>
            <w:color w:val="0000EE"/>
            <w:u w:val="single"/>
          </w:rPr>
          <w:t>1S 25.2–3</w:t>
        </w:r>
      </w:hyperlink>
      <w:r>
        <w:t xml:space="preserve"> ; </w:t>
      </w:r>
      <w:hyperlink r:id="rId12440">
        <w:r>
          <w:rPr>
            <w:color w:val="0000EE"/>
            <w:u w:val="single"/>
          </w:rPr>
          <w:t>8.11–18</w:t>
        </w:r>
      </w:hyperlink>
      <w:r>
        <w:t>). De grandes richesses donnaient à leur possesseur de l'influence et du pouvoir. En fait, le mot hébreu biblique qui est le plus souvent utilisé pour signifier la richesse peut aussi signifier la puissance ou le pouvoir.</w:t>
      </w:r>
    </w:p>
    <w:p>
      <w:r/>
      <w:r>
        <w:t xml:space="preserve">Dans la Bible, la richesse est parfois présentée comme un bien et d'autres fois, comme un mal. La richesse matérielle peut être une manifestation de la bénédiction de Dieu (p. ex. </w:t>
      </w:r>
      <w:hyperlink r:id="rId10120">
        <w:r>
          <w:rPr>
            <w:color w:val="0000EE"/>
            <w:u w:val="single"/>
          </w:rPr>
          <w:t>Gn 24.35</w:t>
        </w:r>
      </w:hyperlink>
      <w:r>
        <w:t xml:space="preserve">). Pourtant, la richesse peut également être associée aux méchants qui la désirent et la recherchent en faisant ce qui est mal (p. ex. </w:t>
      </w:r>
      <w:hyperlink r:id="rId12441">
        <w:r>
          <w:rPr>
            <w:color w:val="0000EE"/>
            <w:u w:val="single"/>
          </w:rPr>
          <w:t>Ps 37.7, 16</w:t>
        </w:r>
      </w:hyperlink>
      <w:r>
        <w:t>). La Bible avertit donc que la richesse qui provient de l'injustice n'est pas une bénédiction de Dieu (</w:t>
      </w:r>
      <w:hyperlink r:id="rId12442">
        <w:r>
          <w:rPr>
            <w:color w:val="0000EE"/>
            <w:u w:val="single"/>
          </w:rPr>
          <w:t xml:space="preserve">Ha 2.9–11 </w:t>
        </w:r>
      </w:hyperlink>
      <w:r>
        <w:t xml:space="preserve">; </w:t>
      </w:r>
      <w:hyperlink r:id="rId12443">
        <w:r>
          <w:rPr>
            <w:color w:val="0000EE"/>
            <w:u w:val="single"/>
          </w:rPr>
          <w:t xml:space="preserve">Am 8.4–6 </w:t>
        </w:r>
      </w:hyperlink>
      <w:r>
        <w:t xml:space="preserve">; </w:t>
      </w:r>
      <w:hyperlink r:id="rId12444">
        <w:r>
          <w:rPr>
            <w:color w:val="0000EE"/>
            <w:u w:val="single"/>
          </w:rPr>
          <w:t>Jr 22.13</w:t>
        </w:r>
      </w:hyperlink>
      <w:r>
        <w:t>).</w:t>
      </w:r>
    </w:p>
    <w:p>
      <w:r/>
      <w:r>
        <w:t>Dieu donne avec abondance toutes choses pour le bien-être de son peuple (</w:t>
      </w:r>
      <w:hyperlink r:id="rId12445">
        <w:r>
          <w:rPr>
            <w:color w:val="0000EE"/>
            <w:u w:val="single"/>
          </w:rPr>
          <w:t>1Tm 6.17</w:t>
        </w:r>
      </w:hyperlink>
      <w:r>
        <w:t>). Quand la richesse est une bénédiction qui vient de Dieu, il ne faut pas qu'elle devienne un sujet d'orgueil, ni que l'on se confie en elle. Il faut plutôt être reconnaissant de l'avoir et l'utiliser pour le servir. Tous les biens matériels du monde viennent de la création de Dieu (</w:t>
      </w:r>
      <w:hyperlink r:id="rId12323">
        <w:r>
          <w:rPr>
            <w:color w:val="0000EE"/>
            <w:u w:val="single"/>
          </w:rPr>
          <w:t>Ps 24.1</w:t>
        </w:r>
      </w:hyperlink>
      <w:r>
        <w:t xml:space="preserve">). Quand le juste reçoit des richesses, c'est une bénédiction. David reconnaît que la richesse acquise dans la justice vient de Dieu : « </w:t>
      </w:r>
      <w:r>
        <w:t>C’est de toi que viennent la richesse et la gloire</w:t>
      </w:r>
      <w:r>
        <w:t xml:space="preserve"> » (</w:t>
      </w:r>
      <w:hyperlink r:id="rId12446">
        <w:r>
          <w:rPr>
            <w:color w:val="0000EE"/>
            <w:u w:val="single"/>
          </w:rPr>
          <w:t>1Ch 29.12</w:t>
        </w:r>
      </w:hyperlink>
      <w:r>
        <w:t>). Même si cette richesse est aussi le résultat de beaucoup de travail, l'enseignement biblique est que même les compétences et les ressources pour travailler sont des dons de Dieu. Cette vérité ressort aussi dans deux paraboles de Jésus : celle des talents (</w:t>
      </w:r>
      <w:hyperlink r:id="rId9814">
        <w:r>
          <w:rPr>
            <w:color w:val="0000EE"/>
            <w:u w:val="single"/>
          </w:rPr>
          <w:t>Mt 25.14–30</w:t>
        </w:r>
      </w:hyperlink>
      <w:r>
        <w:t>) et celle des mines (</w:t>
      </w:r>
      <w:hyperlink r:id="rId12447">
        <w:r>
          <w:rPr>
            <w:color w:val="0000EE"/>
            <w:u w:val="single"/>
          </w:rPr>
          <w:t>Luc 19.11–26</w:t>
        </w:r>
      </w:hyperlink>
      <w:r>
        <w:t>).</w:t>
      </w:r>
    </w:p>
    <w:p>
      <w:r/>
      <w:r>
        <w:t>La Bible ne dit pas que le simple fait de posséder des richesses est mal. Les dix commandements n'interdiraient pas le vol et la convoitise si les membres du peuple de Dieu n'avaient pas des choses qui peuvent être volées ou convoitées. Jésus ne dit pas non plus que c'est un péché d'être riche.</w:t>
      </w:r>
    </w:p>
    <w:p>
      <w:r/>
      <w:r>
        <w:t>Cependant, Jésus avertit « qu'il est difficile pour les riches d'entrer dans le royaume de Dieu » (</w:t>
      </w:r>
      <w:hyperlink r:id="rId11781">
        <w:r>
          <w:rPr>
            <w:color w:val="0000EE"/>
            <w:u w:val="single"/>
          </w:rPr>
          <w:t>Mc 10.23</w:t>
        </w:r>
      </w:hyperlink>
      <w:r>
        <w:t>). Il enseigne que l'accumulation de richesses peut être un manque de foi en Dieu, qui pourvoit aux besoins de ceux qui cherchent d'abord sa justice et son royaume (</w:t>
      </w:r>
      <w:hyperlink r:id="rId12448">
        <w:r>
          <w:rPr>
            <w:color w:val="0000EE"/>
            <w:u w:val="single"/>
          </w:rPr>
          <w:t>Mt 6.24–34</w:t>
        </w:r>
      </w:hyperlink>
      <w:r>
        <w:t>). Il condamne les riches qui vivent dans le luxe au lieu d'aider ceux qui sont dans le besoin (</w:t>
      </w:r>
      <w:hyperlink r:id="rId5002">
        <w:r>
          <w:rPr>
            <w:color w:val="0000EE"/>
            <w:u w:val="single"/>
          </w:rPr>
          <w:t>Lc 16.19–31</w:t>
        </w:r>
      </w:hyperlink>
      <w:r>
        <w:t>). L'amour des biens matériels rend très difficile d'entrer dans le royaume de Dieu (</w:t>
      </w:r>
      <w:hyperlink r:id="rId12449">
        <w:r>
          <w:rPr>
            <w:color w:val="0000EE"/>
            <w:u w:val="single"/>
          </w:rPr>
          <w:t>Mc 10.17–27</w:t>
        </w:r>
      </w:hyperlink>
      <w:r>
        <w:t>). Dans une autre parabole, Jésus décrit les riches, qui deviennent orgueilleux et ne sont pas riches pour Dieu, comme des insensés (</w:t>
      </w:r>
      <w:hyperlink r:id="rId11793">
        <w:r>
          <w:rPr>
            <w:color w:val="0000EE"/>
            <w:u w:val="single"/>
          </w:rPr>
          <w:t>Lc 12.16–21</w:t>
        </w:r>
      </w:hyperlink>
      <w:r>
        <w:t>).</w:t>
      </w:r>
    </w:p>
    <w:p>
      <w:r/>
      <w:r>
        <w:t>Jésus instruit ses disciples de ne pas accumuler des trésors sur terre (</w:t>
      </w:r>
      <w:hyperlink r:id="rId7017">
        <w:r>
          <w:rPr>
            <w:color w:val="0000EE"/>
            <w:u w:val="single"/>
          </w:rPr>
          <w:t>Mt 6.19</w:t>
        </w:r>
      </w:hyperlink>
      <w:r>
        <w:t>). Il a révélé que ceux qui renoncent à leurs biens pour servir Dieu recevront beaucoup plus et la vie éternelle (</w:t>
      </w:r>
      <w:hyperlink r:id="rId12450">
        <w:r>
          <w:rPr>
            <w:color w:val="0000EE"/>
            <w:u w:val="single"/>
          </w:rPr>
          <w:t>Mt 19.29</w:t>
        </w:r>
      </w:hyperlink>
      <w:r>
        <w:t>).</w:t>
      </w:r>
    </w:p>
    <w:p>
      <w:r/>
      <w:r>
        <w:t>Les avertissements de Jésus ne condamnent pas directement le fait d'avoir des biens matériels, mais plutôt les mauvaises attitudes et utilisations qui piègent souvent les riches. Le désir d'être riche, plutôt que la possession de richesses, est ce qui peut étouffer la croissance spirituelle (</w:t>
      </w:r>
      <w:hyperlink r:id="rId12451">
        <w:r>
          <w:rPr>
            <w:color w:val="0000EE"/>
            <w:u w:val="single"/>
          </w:rPr>
          <w:t>Mt 13.22</w:t>
        </w:r>
      </w:hyperlink>
      <w:r>
        <w:t>). L'amour de l'argent a conduit le serviteur impitoyable à refuser d'avoir pitié de son prochain (</w:t>
      </w:r>
      <w:hyperlink r:id="rId8372">
        <w:r>
          <w:rPr>
            <w:color w:val="0000EE"/>
            <w:u w:val="single"/>
          </w:rPr>
          <w:t>Mt 18.23–35</w:t>
        </w:r>
      </w:hyperlink>
      <w:r>
        <w:t>). Dans la parabole de l'homme riche et de Lazare, le problème est que le riche vivait dans le luxe alors que Lazare périssait à sa porte (</w:t>
      </w:r>
      <w:hyperlink r:id="rId12452">
        <w:r>
          <w:rPr>
            <w:color w:val="0000EE"/>
            <w:u w:val="single"/>
          </w:rPr>
          <w:t>Lc 16.19–26</w:t>
        </w:r>
      </w:hyperlink>
      <w:r>
        <w:t xml:space="preserve">). Paul le résume ainsi : « </w:t>
      </w:r>
      <w:r>
        <w:t>l’amour de l’argent est une racine de tous les maux</w:t>
      </w:r>
      <w:r>
        <w:t xml:space="preserve"> » (</w:t>
      </w:r>
      <w:hyperlink r:id="rId12453">
        <w:r>
          <w:rPr>
            <w:color w:val="0000EE"/>
            <w:u w:val="single"/>
          </w:rPr>
          <w:t>1Tm 6.10</w:t>
        </w:r>
      </w:hyperlink>
      <w:r>
        <w:t>).</w:t>
      </w:r>
    </w:p>
    <w:p>
      <w:r/>
      <w:r>
        <w:t xml:space="preserve">Le plus grand danger est d'être contrôlé par les richesses. Quand les richesses de ce monde empêchent de servir Dieu avec humilité, elles deviennent une idole (voir </w:t>
      </w:r>
      <w:hyperlink r:id="rId12454">
        <w:r>
          <w:rPr>
            <w:color w:val="0000EE"/>
            <w:u w:val="single"/>
          </w:rPr>
          <w:t>Dt 8.17–18</w:t>
        </w:r>
      </w:hyperlink>
      <w:r>
        <w:t xml:space="preserve"> ; </w:t>
      </w:r>
      <w:hyperlink r:id="rId1633">
        <w:r>
          <w:rPr>
            <w:color w:val="0000EE"/>
            <w:u w:val="single"/>
          </w:rPr>
          <w:t>Lc 14.15–24</w:t>
        </w:r>
      </w:hyperlink>
      <w:r>
        <w:t xml:space="preserve">). Quand Jésus avertit de ne pas accumuler des trésors sur la terre, il explique : « </w:t>
      </w:r>
      <w:r>
        <w:t xml:space="preserve">Nul ne peut servir deux maîtres… </w:t>
      </w:r>
      <w:r>
        <w:t>Vous ne pouvez servir Dieu et Mamon » (</w:t>
      </w:r>
      <w:hyperlink r:id="rId7013">
        <w:r>
          <w:rPr>
            <w:color w:val="0000EE"/>
            <w:u w:val="single"/>
          </w:rPr>
          <w:t>Mt 6.24</w:t>
        </w:r>
      </w:hyperlink>
      <w:r>
        <w:t xml:space="preserve">). </w:t>
      </w:r>
    </w:p>
    <w:p>
      <w:r/>
      <w:r>
        <w:t>Satan a tenté Jésus en lui proposant richesse et pouvoir au lieu de servir Dieu (</w:t>
      </w:r>
      <w:hyperlink r:id="rId12455">
        <w:r>
          <w:rPr>
            <w:color w:val="0000EE"/>
            <w:u w:val="single"/>
          </w:rPr>
          <w:t>Mt 4.8–9</w:t>
        </w:r>
      </w:hyperlink>
      <w:r>
        <w:t>). Pour tester l'attachement d'un jeune homme riche à Dieu, Jésus lui dit de vendre tous ses biens et de le suivre. Le jeune homme choisit de laisser Jésus plutôt que ses richesses, qui avaient pris le contrôle de sa vie (</w:t>
      </w:r>
      <w:hyperlink r:id="rId12456">
        <w:r>
          <w:rPr>
            <w:color w:val="0000EE"/>
            <w:u w:val="single"/>
          </w:rPr>
          <w:t>Mc 10.17–22</w:t>
        </w:r>
      </w:hyperlink>
      <w:r>
        <w:t>). Jésus voulait lui montrer qu'il était maintenant le prisonnier de ses propres richesses afin de lui donner une chance d'y échapper. La réaction du jeune homme montre à quel point les richesses peuvent exercer un contrôle puissant sur ceux qui les possèdent.</w:t>
      </w:r>
    </w:p>
    <w:p>
      <w:r/>
      <w:r>
        <w:t>Jésus n'avertit pas seulement à propos des dangers de la richesse : il enseigne aussi comment bien les utiliser. Ceux qui comprennent que les richesses leur ont été confiées par Dieu trouveront de nombreux moyens de les utiliser pour le servir (</w:t>
      </w:r>
      <w:hyperlink r:id="rId12457">
        <w:r>
          <w:rPr>
            <w:color w:val="0000EE"/>
            <w:u w:val="single"/>
          </w:rPr>
          <w:t>Lc 12.42–44</w:t>
        </w:r>
      </w:hyperlink>
      <w:r>
        <w:t>). Au lieu de vouloir garder leurs biens pour eux-mêmes, ils devraient les utiliser pour aimer les autres (</w:t>
      </w:r>
      <w:hyperlink r:id="rId12458">
        <w:r>
          <w:rPr>
            <w:color w:val="0000EE"/>
            <w:u w:val="single"/>
          </w:rPr>
          <w:t>2Co 8.2</w:t>
        </w:r>
      </w:hyperlink>
      <w:r>
        <w:t>). Plutôt que de se confier dans leurs richesses et s'inquiéter de ce qui peut leur arriver, ils devraient se confier en Dieu et s'appuyer sur lui (</w:t>
      </w:r>
      <w:hyperlink r:id="rId12459">
        <w:r>
          <w:rPr>
            <w:color w:val="0000EE"/>
            <w:u w:val="single"/>
          </w:rPr>
          <w:t>Lc 12.29–31</w:t>
        </w:r>
      </w:hyperlink>
      <w:r>
        <w:t xml:space="preserve"> ; </w:t>
      </w:r>
      <w:hyperlink r:id="rId12445">
        <w:r>
          <w:rPr>
            <w:color w:val="0000EE"/>
            <w:u w:val="single"/>
          </w:rPr>
          <w:t>1Tm 6.17</w:t>
        </w:r>
      </w:hyperlink>
      <w:r>
        <w:t>).</w:t>
      </w:r>
    </w:p>
    <w:p>
      <w:r/>
      <w:r>
        <w:t>Dans la Bible, ce qui détermine si la richesse est bonne ou mauvaise est d'où elle vient, et l'attitude de ceux qui la possèdent. Ceux qui font de la richesse matérielle leur objectif sont spirituellement pauvres (</w:t>
      </w:r>
      <w:hyperlink r:id="rId10277">
        <w:r>
          <w:rPr>
            <w:color w:val="0000EE"/>
            <w:u w:val="single"/>
          </w:rPr>
          <w:t>Mt 16.26</w:t>
        </w:r>
      </w:hyperlink>
      <w:r>
        <w:t xml:space="preserve"> ; </w:t>
      </w:r>
      <w:hyperlink r:id="rId12460">
        <w:r>
          <w:rPr>
            <w:color w:val="0000EE"/>
            <w:u w:val="single"/>
          </w:rPr>
          <w:t>Ap 3.17</w:t>
        </w:r>
      </w:hyperlink>
      <w:r>
        <w:t>). Le seul vrai trésor, pour lequel on devrait être prêt à renoncer à tout, est le royaume de Dieu dont Jésus est le roi (</w:t>
      </w:r>
      <w:hyperlink r:id="rId8383">
        <w:r>
          <w:rPr>
            <w:color w:val="0000EE"/>
            <w:u w:val="single"/>
          </w:rPr>
          <w:t>Mt 13.44–46</w:t>
        </w:r>
      </w:hyperlink>
      <w:r>
        <w:t>). Ceux qui sont vraiment riches sont ceux qui servent Dieu avec foi (</w:t>
      </w:r>
      <w:hyperlink r:id="rId12461">
        <w:r>
          <w:rPr>
            <w:color w:val="0000EE"/>
            <w:u w:val="single"/>
          </w:rPr>
          <w:t>1Tm 6.18</w:t>
        </w:r>
      </w:hyperlink>
      <w:r>
        <w:t xml:space="preserve"> ; </w:t>
      </w:r>
      <w:hyperlink r:id="rId7048">
        <w:r>
          <w:rPr>
            <w:color w:val="0000EE"/>
            <w:u w:val="single"/>
          </w:rPr>
          <w:t>Jc 2.5</w:t>
        </w:r>
      </w:hyperlink>
      <w:r>
        <w:t>). Ce trésor ne périra pas et ne peut pas être volé : « Car là où est ton trésor, là aussi sera ton cœur » (</w:t>
      </w:r>
      <w:hyperlink r:id="rId2785">
        <w:r>
          <w:rPr>
            <w:color w:val="0000EE"/>
            <w:u w:val="single"/>
          </w:rPr>
          <w:t>Mt 6.21</w:t>
        </w:r>
      </w:hyperlink>
      <w:r>
        <w:t>).</w:t>
      </w:r>
    </w:p>
    <w:p>
      <w:r/>
      <w:r>
        <w:rPr>
          <w:i/>
        </w:rPr>
        <w:t>Voir aussi</w:t>
      </w:r>
      <w:r>
        <w:t xml:space="preserve"> </w:t>
      </w:r>
      <w:r>
        <w:t>argent</w:t>
      </w:r>
      <w:r>
        <w:t xml:space="preserve"> ; </w:t>
      </w:r>
      <w:r>
        <w:t>pauvres</w:t>
      </w:r>
      <w:r>
        <w:t xml:space="preserve"> ; </w:t>
      </w:r>
      <w:r>
        <w:t>salaires</w:t>
      </w:r>
      <w:r>
        <w:t xml:space="preserve"> ; </w:t>
      </w:r>
      <w:r>
        <w:t>richesse</w:t>
      </w:r>
      <w:r>
        <w:t>.</w:t>
      </w:r>
      <w:r/>
      <w:r/>
    </w:p>
    <w:p>
      <w:r/>
    </w:p>
    <w:p>
      <w:pPr>
        <w:pStyle w:val="Heading2"/>
      </w:pPr>
      <w:r>
        <w:t>Potage</w:t>
      </w:r>
      <w:r/>
    </w:p>
    <w:p>
      <w:r/>
      <w:r>
        <w:t>Ragoût de légumes rouges souvent servi dans l'Ancien Testament (</w:t>
      </w:r>
      <w:hyperlink r:id="rId450">
        <w:r>
          <w:rPr>
            <w:color w:val="0000EE"/>
            <w:u w:val="single"/>
          </w:rPr>
          <w:t>Ag 2.12</w:t>
        </w:r>
      </w:hyperlink>
      <w:r>
        <w:t>). Le potage était fait de lentilles, d'herbes, d'oignons et parfois de viande. Son arôme s'est avéré suffisamment fort pour que le droit d'aînesse d'Ésaü soit transféré à Jacob (</w:t>
      </w:r>
      <w:hyperlink r:id="rId4866">
        <w:r>
          <w:rPr>
            <w:color w:val="0000EE"/>
            <w:u w:val="single"/>
          </w:rPr>
          <w:t>Gn 25.29–34</w:t>
        </w:r>
      </w:hyperlink>
      <w:r>
        <w:t>). Les disciples d'Élisée appréciaient ce plat (</w:t>
      </w:r>
      <w:hyperlink r:id="rId12462">
        <w:r>
          <w:rPr>
            <w:color w:val="0000EE"/>
            <w:u w:val="single"/>
          </w:rPr>
          <w:t>2R 4.38–41</w:t>
        </w:r>
      </w:hyperlink>
      <w:r>
        <w:t>).</w:t>
      </w:r>
      <w:r/>
      <w:r/>
    </w:p>
    <w:p>
      <w:r/>
    </w:p>
    <w:p>
      <w:pPr>
        <w:pStyle w:val="Heading2"/>
      </w:pPr>
      <w:r>
        <w:t>Poterie</w:t>
      </w:r>
      <w:r/>
    </w:p>
    <w:p>
      <w:r/>
      <w:r>
        <w:t>Fabrication d'articles en argile et en faïence.</w:t>
      </w:r>
    </w:p>
    <w:p>
      <w:pPr>
        <w:pStyle w:val="Heading3"/>
      </w:pPr>
      <w:r>
        <w:t>Histoire et développement</w:t>
      </w:r>
    </w:p>
    <w:p>
      <w:r/>
      <w:r>
        <w:t>La poterie primitive était façonnée à la main, moulée selon la forme désirée et séchée au soleil. Il n'existe pas de documents décrivant le travail du potier antique et sa place dans la société, bien que les murs des tombes et des palais en Égypte regorgent d'images de potiers au travail, permettant d'en apprendre beaucoup en observant les activités représentées. On estime que les premiers potiers étaient des femmes qui, par nécessité, produisaient des récipients pour la préparation des aliments, tandis que les hommes cherchaient à rapporter de la nourriture. Cela semble encore être le modèle dans des endroits comme l'Afrique, l'Anatolie, le Kurdistan et le sud-ouest des États-Unis. La fabrication de poterie a fini par devenir une profession, pratiquée, semble-t-il, par certaines personnes dans un grand village et souvent par des artisans itinérants se déplaçant de village en village pour fabriquer de la poterie afin de répondre à la demande, avant de passer à autre chose.</w:t>
      </w:r>
    </w:p>
    <w:p>
      <w:r/>
      <w:r>
        <w:t>La découverte qui a transformé la fabrication de poterie d'une activité occasionnelle d'une ménagère à celle d'une profession a été l'invention du tour de potier. La rapidité avec laquelle les récipients pouvaient alors être fabriqués a industrialisé l'artisanat, et il a fini par devenir une occupation masculine, bien qu'il y ait des preuves de personnes (sans doute des femmes) qui continuaient à fabriquer certains récipients à la maison. Jusqu'à la découverte du tour de potier, les techniques de fabrication de pots en posant des bobines d'argile, l'une sur l'autre, étaient la méthode prédominante utilisée, surtout pour les grands récipients. Le premier tour de potier trouvé lors de fouilles dans les terres de la Bible provient d'Ur en Sumer vers 3 500 à 3 000 av. J.‑C. Il a peut-être été développé dans des établissements urbains émergents en raison d'un plus grand marché pour la poterie. Jérémie parle d'un atelier de potier au 6e siècle av. J.‑C. : « Je descendis dans la maison du potier, Et voici, il travaillait sur un tour. Le vase qu’il faisait ne réussit pas, Comme il arrive à l’argile dans la main du potier; Il en refit un autre vase » (</w:t>
      </w:r>
      <w:hyperlink r:id="rId12463">
        <w:r>
          <w:rPr>
            <w:color w:val="0000EE"/>
            <w:u w:val="single"/>
          </w:rPr>
          <w:t>Jr 18.3–4</w:t>
        </w:r>
      </w:hyperlink>
      <w:r>
        <w:t>). Il existe des preuves en Grèce de grands ateliers à l'époque classique employant plus de cinquante ouvriers.</w:t>
      </w:r>
    </w:p>
    <w:p>
      <w:r/>
      <w:r>
        <w:t>L'argile doit être tournée à au moins cent tours par minute pour créer la force centrifuge nécessaire pour « lancer » le récipient. Les roues les plus anciennes étaient constituées de deux pierres, une inférieure avec un trou au centre et une supérieure avec une saillie qui s'insère dans le trou inférieur, permettant à la pierre supérieure de tourner. La pierre supérieure, avec une planche plus grande attachée sur laquelle reposait le récipient, était probablement tournée par un apprenti. À l'époque hellénistique, après 300 av. J.‑C., la roue à pied a été inventée.</w:t>
      </w:r>
    </w:p>
    <w:p>
      <w:r/>
      <w:r>
        <w:t>Une autre technique utilisée dans la fabrication de poteries anciennes était le moulage. Les moules étaient sculptés dans de la pierre tendre ou fabriqués en argile pour être utilisés dans la production en série du même type de récipient. Les moules de lampes sont assez courants dans les musées du Moyen-Orient de la période hellénistique et romaine. De petites lampes à huile étaient fabriquées en deux parties dans les moules, une moitié supérieure et une moitié inférieure, puis fusionnées avant la cuisson. Les lampes hérodiennes avaient également des becs spatulés qui étaient formés indépendamment des deux autres parties.</w:t>
      </w:r>
    </w:p>
    <w:p>
      <w:r/>
      <w:r>
        <w:t>La diversité en termes de taille et de forme de la poterie ancienne est remarquable. Une maison typique de l'époque contenait de grands récipients (amphores et pithoi) pour stocker des liquides tels que le vin ou l'eau. Ces récipients étaient pointus au fond et conçus à l'origine pour s'appuyer contre la pente de la coque d'un navire pendant le transport. Dans les maisons des gens du commun, ils étaient partiellement enterrés dans le sol et appuyés contre le mur. Dans les tavernes de Pompéi et Herculanum, ils étaient rangés sur des étagères en bois. De grands pots à large ouverture étaient partiellement enterrés dans le sol pour garder le liquide qu'ils contenaient au frais. De plus, des grains de diverses sortes pouvaient y être conservés, certains mesurant 1,2 m de hauteur et 1 m de largeur. Des carafes d'eau plus petites, contenant un litre ou plus, étaient couramment utilisées. Des cruches globulaires servaient à verser le vin, avec des becs empêchant de renverser le précieux liquide. Des cantines rondes, avec des poignées sur chaque épaule, étaient utilisées pour transporter de l'eau lors d'un voyage. Les bols et les plats étaient courants dans diverses tailles et profondeurs dans les maisons anciennes. Des plats à large ouverture, connus sous le nom de cratères, étaient utilisés pour boire. La cuisson se faisait dans des pots de taille moyenne (environ 4 L) avec des fonds arrondis qui s'asseyaient facilement dans le feu ou dans un endroit creusé dans le sol après avoir été retirés du feu. Ils avaient également deux poignées en boucle, ce qui permettait de les suspendre au-dessus du feu.</w:t>
      </w:r>
    </w:p>
    <w:p>
      <w:r/>
      <w:r>
        <w:t>Dans la Grèce classique, les vases étaient peints avec des descriptions vives de la religion, des rapports sexuels, de la guerre et de la vie communautaire. Les vases plus anciens des cultures minoenne et mycénienne présentent de magnifiques œuvres d'art sous forme de plantes, d'animaux, de vie marine ainsi que des motifs géométriques. Depuis les temps les plus anciens au Moyen-Orient, des variations de design ont été créées grâce à l'utilisation de nuances sombres et claires d'engobe peint ou versé aléatoirement sur les vases.</w:t>
      </w:r>
    </w:p>
    <w:p>
      <w:pPr>
        <w:pStyle w:val="Heading3"/>
      </w:pPr>
      <w:r>
        <w:t>La Poterie dans les Écritures</w:t>
      </w:r>
    </w:p>
    <w:p>
      <w:r/>
      <w:r>
        <w:t xml:space="preserve">Il y a de nombreuses références au potier et à son œuvre dans la Bible. Parmi les plus typiques, on trouve : « </w:t>
      </w:r>
      <w:r>
        <w:t>Ne puis-je pas agir envers vous comme ce potier, maison d’Israël</w:t>
      </w:r>
      <w:r>
        <w:t xml:space="preserve"> </w:t>
      </w:r>
      <w:r>
        <w:t>? Dit l’Éternel. Voici, comme l’argile est dans la main du potier, Ainsi vous êtes dans ma main, maison d’Israël</w:t>
      </w:r>
      <w:r>
        <w:t xml:space="preserve"> </w:t>
      </w:r>
      <w:r>
        <w:t>!</w:t>
      </w:r>
      <w:r>
        <w:t xml:space="preserve"> » (</w:t>
      </w:r>
      <w:hyperlink r:id="rId12464">
        <w:r>
          <w:rPr>
            <w:color w:val="0000EE"/>
            <w:u w:val="single"/>
          </w:rPr>
          <w:t>Jr 18.6</w:t>
        </w:r>
      </w:hyperlink>
      <w:r>
        <w:t xml:space="preserve">) ; « </w:t>
      </w:r>
      <w:r>
        <w:t>Cependant, ô Éternel, tu es notre père</w:t>
      </w:r>
      <w:r>
        <w:t xml:space="preserve"> </w:t>
      </w:r>
      <w:r>
        <w:t>; Nous sommes l’argile, et c’est toi qui nous as formés, Nous sommes tous l’ouvrage de tes mains</w:t>
      </w:r>
      <w:r>
        <w:t xml:space="preserve"> » (</w:t>
      </w:r>
      <w:hyperlink r:id="rId4025">
        <w:r>
          <w:rPr>
            <w:color w:val="0000EE"/>
            <w:u w:val="single"/>
          </w:rPr>
          <w:t>Es 64.8</w:t>
        </w:r>
      </w:hyperlink>
      <w:r>
        <w:t>). Dans le récit de la Création, Dieu est dépeint comme un potier façonnant l'homme à partir du sol (</w:t>
      </w:r>
      <w:hyperlink r:id="rId233">
        <w:r>
          <w:rPr>
            <w:color w:val="0000EE"/>
            <w:u w:val="single"/>
          </w:rPr>
          <w:t>Gn 2.7</w:t>
        </w:r>
      </w:hyperlink>
      <w:r>
        <w:t>). Sa souveraineté absolue dans l'élection d'Israël est soutenue par Paul (</w:t>
      </w:r>
      <w:hyperlink r:id="rId12465">
        <w:r>
          <w:rPr>
            <w:color w:val="0000EE"/>
            <w:u w:val="single"/>
          </w:rPr>
          <w:t>Rm 9.20–21</w:t>
        </w:r>
      </w:hyperlink>
      <w:r>
        <w:t>) à partir d'une illustration utilisée par Ésaïe (</w:t>
      </w:r>
      <w:hyperlink r:id="rId12466">
        <w:r>
          <w:rPr>
            <w:color w:val="0000EE"/>
            <w:u w:val="single"/>
          </w:rPr>
          <w:t>Es 45.9</w:t>
        </w:r>
      </w:hyperlink>
      <w:r>
        <w:t xml:space="preserve">) concernant un pot qui se dispute avec son potier : « </w:t>
      </w:r>
      <w:r>
        <w:t>Malheur à qui conteste avec son créateur</w:t>
      </w:r>
      <w:r>
        <w:t xml:space="preserve"> </w:t>
      </w:r>
      <w:r>
        <w:t>! Vase parmi des vases de terre</w:t>
      </w:r>
      <w:r>
        <w:t xml:space="preserve"> </w:t>
      </w:r>
      <w:r>
        <w:t>! L’argile dit-elle à celui qui la façonne</w:t>
      </w:r>
      <w:r>
        <w:t xml:space="preserve"> </w:t>
      </w:r>
      <w:r>
        <w:t>: Que fais-tu</w:t>
      </w:r>
      <w:r>
        <w:t xml:space="preserve"> </w:t>
      </w:r>
      <w:r>
        <w:t>? Et ton œuvre</w:t>
      </w:r>
      <w:r>
        <w:t xml:space="preserve"> </w:t>
      </w:r>
      <w:r>
        <w:t>: Il n’a point de mains</w:t>
      </w:r>
      <w:r>
        <w:t xml:space="preserve"> </w:t>
      </w:r>
      <w:r>
        <w:t>?</w:t>
      </w:r>
      <w:r>
        <w:t xml:space="preserve"> »</w:t>
      </w:r>
    </w:p>
    <w:p>
      <w:r/>
      <w:r>
        <w:t>Jérémie a prophétisé de manière frappante la destruction de Jérusalem en brisant une cruche de potier en tant de morceaux qu'elle ne pouvait pas être restaurée (</w:t>
      </w:r>
      <w:hyperlink r:id="rId12467">
        <w:r>
          <w:rPr>
            <w:color w:val="0000EE"/>
            <w:u w:val="single"/>
          </w:rPr>
          <w:t>Jr 19.11</w:t>
        </w:r>
      </w:hyperlink>
      <w:r>
        <w:t>). Les Juifs, au moment de la destruction, bien que précieux aux yeux de Dieu, étaient traités comme des « pots d'argile » (</w:t>
      </w:r>
      <w:hyperlink r:id="rId12468">
        <w:r>
          <w:rPr>
            <w:color w:val="0000EE"/>
            <w:u w:val="single"/>
          </w:rPr>
          <w:t>Lm 4.2</w:t>
        </w:r>
      </w:hyperlink>
      <w:r>
        <w:t>), une expression de leur fragilité humaine : ils pouvaient être facilement brisés et détruits.</w:t>
      </w:r>
    </w:p>
    <w:p>
      <w:r/>
      <w:r>
        <w:t>Dans le monde antique, un vase en poterie brisé était considéré comme si peu précieux que les morceaux étaient balayés ou jetés par la fenêtre, et un nouveau était fabriqué. L'art du potier était largement connu, et les vases étaient facilement disponibles à un prix abordable. Les gens ne transportaient généralement pas leurs vases lorsqu'ils déménageaient. Il était plus simple d'en fabriquer ou d'en acheter de nouveaux que d'essayer de les transporter, surtout les plus grands. Les morceaux cassés, cependant, n'étaient pas inutiles. Job raclait la sécrétion de ses plaies avec un tesson, qui est un morceau de poterie cassé (</w:t>
      </w:r>
      <w:hyperlink r:id="rId12469">
        <w:r>
          <w:rPr>
            <w:color w:val="0000EE"/>
            <w:u w:val="single"/>
          </w:rPr>
          <w:t>Jb 2.8</w:t>
        </w:r>
      </w:hyperlink>
      <w:r>
        <w:t>). À une époque bien plus tardive, les tessons étaient utilisés pour écrire des notes et étaient appelés ostraca. Le psalmiste parlait de sa force comme s'étant desséchée comme un tesson (</w:t>
      </w:r>
      <w:hyperlink r:id="rId12470">
        <w:r>
          <w:rPr>
            <w:color w:val="0000EE"/>
            <w:u w:val="single"/>
          </w:rPr>
          <w:t>Ps 22.15</w:t>
        </w:r>
      </w:hyperlink>
      <w:r>
        <w:t>), une référence au manque d'humidité dans un vase en poterie séché et cuit. La défaite éventuelle des nations païennes polythéistes et idolâtres est décrite comme des vases en poterie jetés au sol et brisés en morceaux par les justes (</w:t>
      </w:r>
      <w:hyperlink r:id="rId10162">
        <w:r>
          <w:rPr>
            <w:color w:val="0000EE"/>
            <w:u w:val="single"/>
          </w:rPr>
          <w:t>Ps 2.9</w:t>
        </w:r>
      </w:hyperlink>
      <w:r>
        <w:t xml:space="preserve"> ; </w:t>
      </w:r>
      <w:hyperlink r:id="rId10157">
        <w:r>
          <w:rPr>
            <w:color w:val="0000EE"/>
            <w:u w:val="single"/>
          </w:rPr>
          <w:t>Ap 2.27</w:t>
        </w:r>
      </w:hyperlink>
      <w:r>
        <w:t>).</w:t>
      </w:r>
    </w:p>
    <w:p>
      <w:r/>
      <w:r>
        <w:rPr>
          <w:i/>
        </w:rPr>
        <w:t>Voir aussi</w:t>
      </w:r>
      <w:r>
        <w:t xml:space="preserve"> </w:t>
      </w:r>
      <w:r>
        <w:t>Archéologie biblique</w:t>
      </w:r>
      <w:r>
        <w:t xml:space="preserve"> ; </w:t>
      </w:r>
      <w:r>
        <w:t>Brique, Four à briques</w:t>
      </w:r>
      <w:r>
        <w:t xml:space="preserve"> ; </w:t>
      </w:r>
      <w:r>
        <w:t>Inscriptions</w:t>
      </w:r>
      <w:r>
        <w:t>.</w:t>
      </w:r>
      <w:r/>
      <w:r/>
    </w:p>
    <w:p>
      <w:r/>
    </w:p>
    <w:p>
      <w:pPr>
        <w:pStyle w:val="Heading2"/>
      </w:pPr>
      <w:r>
        <w:t>Pouzzoles</w:t>
      </w:r>
      <w:r/>
    </w:p>
    <w:p>
      <w:r/>
      <w:r>
        <w:t>Ville portuaire italienne le long de la baie de Naples. Pouzzoles était une escale habituelle pour les personnes voyageant par mer ainsi que pour le fret à destination de Rome. Après le débarquement de l'apôtre Paul à Reggio, il restera avec des chrétiens à Pouzzoles. Il y demeurera sept jours avant qu'il ne soit emmené à Rome (</w:t>
      </w:r>
      <w:hyperlink r:id="rId12471">
        <w:r>
          <w:rPr>
            <w:color w:val="0000EE"/>
            <w:u w:val="single"/>
          </w:rPr>
          <w:t>Ac 28.13</w:t>
        </w:r>
      </w:hyperlink>
      <w:r>
        <w:t>). La ville s'appelle aujourd'hui Pozzuoli.</w:t>
      </w:r>
      <w:r/>
      <w:r/>
    </w:p>
    <w:p>
      <w:r/>
    </w:p>
    <w:p>
      <w:pPr>
        <w:pStyle w:val="Heading2"/>
      </w:pPr>
      <w:r>
        <w:t>Précurseur</w:t>
      </w:r>
      <w:r/>
    </w:p>
    <w:p>
      <w:r/>
      <w:r>
        <w:t>Éclaireur envoyé en avant des troupes, ou héraut précédant un haut fonctionnaire pour annoncer sa venue. Le terme est utilisé pour décrire l'homme qui courait devant Joseph lorsqu'il était vice-régent d'Égypte (</w:t>
      </w:r>
      <w:hyperlink r:id="rId12472">
        <w:r>
          <w:rPr>
            <w:color w:val="0000EE"/>
            <w:u w:val="single"/>
          </w:rPr>
          <w:t>Gn 41.43</w:t>
        </w:r>
      </w:hyperlink>
      <w:r>
        <w:t>), et pour désigner les premiers raisins de la saison dans le pays de Canaan (</w:t>
      </w:r>
      <w:hyperlink r:id="rId10762">
        <w:r>
          <w:rPr>
            <w:color w:val="0000EE"/>
            <w:u w:val="single"/>
          </w:rPr>
          <w:t>Nm 13.20</w:t>
        </w:r>
      </w:hyperlink>
      <w:r>
        <w:t>). Dans les Apocryphes, il est dit que des frelons sont envoyés comme précurseurs de l'armée israélite, qui devait apporter le jugement sur le peuple de Canaan (</w:t>
      </w:r>
      <w:hyperlink r:id="rId12473">
        <w:r>
          <w:rPr>
            <w:color w:val="0000EE"/>
            <w:u w:val="single"/>
          </w:rPr>
          <w:t>Sg 12.8</w:t>
        </w:r>
      </w:hyperlink>
      <w:r>
        <w:t>).</w:t>
      </w:r>
    </w:p>
    <w:p>
      <w:r/>
      <w:r>
        <w:t>Bien que Jean-Baptiste soit communément considéré comme le précurseur de Jésus-Christ, le terme n'est pas utilisé dans la Bible pour le désigner. Le mot n'apparaît qu'une seule fois dans le Nouveau Testament, où le Christ lui-même est décrit comme notre précurseur (</w:t>
      </w:r>
      <w:hyperlink r:id="rId1346">
        <w:r>
          <w:rPr>
            <w:color w:val="0000EE"/>
            <w:u w:val="single"/>
          </w:rPr>
          <w:t>Hé 6.20</w:t>
        </w:r>
      </w:hyperlink>
      <w:r>
        <w:t xml:space="preserve">). Sous l'ancienne alliance, le peuple n'accompagnait jamais le grand prêtre dans le lieu le plus sacré du temple. Le livre des Hébreux, en discutant de la nouvelle alliance, décrit Jésus comme un grand prêtre qui est entré au ciel (le Lieu Saint) en avance de ceux qui croient en lui (voir </w:t>
      </w:r>
      <w:hyperlink r:id="rId12474">
        <w:r>
          <w:rPr>
            <w:color w:val="0000EE"/>
            <w:u w:val="single"/>
          </w:rPr>
          <w:t>2.17–3.2</w:t>
        </w:r>
      </w:hyperlink>
      <w:r>
        <w:t xml:space="preserve"> ; </w:t>
      </w:r>
      <w:hyperlink r:id="rId12475">
        <w:r>
          <w:rPr>
            <w:color w:val="0000EE"/>
            <w:u w:val="single"/>
          </w:rPr>
          <w:t>5.1–9</w:t>
        </w:r>
      </w:hyperlink>
      <w:r>
        <w:t>).</w:t>
      </w:r>
      <w:r/>
      <w:r/>
    </w:p>
    <w:p>
      <w:r/>
    </w:p>
    <w:p>
      <w:pPr>
        <w:pStyle w:val="Heading2"/>
      </w:pPr>
      <w:r>
        <w:t>Prédestination</w:t>
      </w:r>
      <w:r/>
    </w:p>
    <w:p>
      <w:pPr>
        <w:pStyle w:val="Heading3"/>
      </w:pPr>
      <w:r>
        <w:t>Qu'est-ce que la prédestination ?</w:t>
      </w:r>
    </w:p>
    <w:p>
      <w:r/>
      <w:r>
        <w:t>L'activité de Dieu selon laquelle il décide des événements et de leurs conséquences avant qu'ils ne se produisent. Bien souvent, le terme « prédestination » (ou « élection ») se réfère spécifiquement à la destinée éternelle des personnes. Cependant, cet article élargit son sens pour le prendre dans la globalité de l'action providentielle de Dieu sur tout événement.</w:t>
      </w:r>
    </w:p>
    <w:p>
      <w:r/>
      <w:r>
        <w:t>De nombreux premiers Pères de l'Église ont écrit sur la prédestination. Augustin d'Hippone, qui a vécu de 354 à 430, a mis en avant ce thème dans ses enseignements. Augustin a grandement influencé les réformateurs protestants, en particulier Jean Calvin. Les théologiens réformés abordent leur étude de la prédestination en examinant la question du décret éternel de Dieu, comme le montrent des déclarations de foi telles que la Confession de foi de Westminster. Le décret de Dieu est unique, mais les gens parlent généralement de « décrets de Dieu » pour aider à l'expliquer. Martin Luther croyait en la prédestination, mais ne l'a pas autant soulignée que Calvin. Les enseignements de Luther ne disent pas grand-chose sur la prédestination au sens général, bien qu'il aborde la prédestination, ou l'élection, en vue du salut. La pensée luthérienne moderne met l'accent sur l'élection conditionnelle, plutôt que sur l'élection absolue. Cela signifie qu'ils croient que l'élection ou la prédestination est basée sur la foi que Dieu voit d'avance.</w:t>
      </w:r>
    </w:p>
    <w:p>
      <w:pPr>
        <w:pStyle w:val="Heading3"/>
      </w:pPr>
      <w:r>
        <w:t>La prédestination dans le plan de Dieu</w:t>
      </w:r>
    </w:p>
    <w:p>
      <w:r/>
      <w:r>
        <w:t>La prédestination est le fondement de tout le plan de Dieu : sa décision de créer l'univers, d'en prendre soin (sa providence) et d'en déterminer le destin « d'après le conseil de Sa volonté » (</w:t>
      </w:r>
      <w:hyperlink r:id="rId5739">
        <w:r>
          <w:rPr>
            <w:color w:val="0000EE"/>
            <w:u w:val="single"/>
          </w:rPr>
          <w:t>Ep 1.11</w:t>
        </w:r>
      </w:hyperlink>
      <w:r>
        <w:t>). Le Petit Catéchisme de Westminster explique que « Les décrets de Dieu sont sa décision éternelle, d’après le conseil de sa volonté, par laquelle, pour sa propre gloire, il a pré-ordonné tout ce qui se passe. » Ainsi, la prédestination est à la base de tout enseignement chrétien, car elle concerne l'histoire et la destinée du monde entier, de l'univers et de tout ce qu'il contient.</w:t>
      </w:r>
    </w:p>
    <w:p>
      <w:r/>
      <w:r>
        <w:t>L'apôtre Paul a parlé du plan de Dieu pour l'accomplissement de toute la création : « la création attend [...] avec un ardent désir la révélation des fils de Dieu. Car la création a été soumise à la vanité, non de son gré, mais à cause de celui qui l’y a soumise, avec l’espérance qu’elle aussi sera affranchie de la servitude de la corruption, pour avoir part à la liberté de la gloire des enfants de Dieu » (</w:t>
      </w:r>
      <w:hyperlink r:id="rId12476">
        <w:r>
          <w:rPr>
            <w:color w:val="0000EE"/>
            <w:u w:val="single"/>
          </w:rPr>
          <w:t>Rm 8.19–21</w:t>
        </w:r>
      </w:hyperlink>
      <w:r>
        <w:t xml:space="preserve">). L'Écriture décrit brièvement la rédemption de la création. Elle parle de « </w:t>
      </w:r>
      <w:r>
        <w:t>nouveaux cieux et [d'une] nouvelle terre, où la justice habitera</w:t>
      </w:r>
      <w:r>
        <w:t xml:space="preserve"> » (</w:t>
      </w:r>
      <w:hyperlink r:id="rId4432">
        <w:r>
          <w:rPr>
            <w:color w:val="0000EE"/>
            <w:u w:val="single"/>
          </w:rPr>
          <w:t>2P 3.13</w:t>
        </w:r>
      </w:hyperlink>
      <w:r>
        <w:t>). Les choses qui nuisent à la vie humaine et proviennent du péché humain (c'est-à-dire, la dépravation) prendront fin. Dieu fera « toutes choses nouvelles » ; ainsi Dieu contrôle la destinée de toutes choses (</w:t>
      </w:r>
      <w:hyperlink r:id="rId12477">
        <w:r>
          <w:rPr>
            <w:color w:val="0000EE"/>
            <w:u w:val="single"/>
          </w:rPr>
          <w:t>Ap 21.1–5</w:t>
        </w:r>
      </w:hyperlink>
      <w:r>
        <w:t>).</w:t>
      </w:r>
    </w:p>
    <w:p>
      <w:pPr>
        <w:pStyle w:val="Heading3"/>
      </w:pPr>
      <w:r>
        <w:t>Défis et débats</w:t>
      </w:r>
    </w:p>
    <w:p>
      <w:r/>
      <w:r>
        <w:t>La question de la prédestination soulève des problèmes pour la théologie et la pensée rationnelle. Cela est particulièrement vrai en ce qui concerne la liberté humaine et la responsabilité en matière de salut. Comment les gens peuvent-ils être tenus responsables de leurs actions et décisions si celles-ci sont déjà prédéterminées ? Certains nient la prédestination de Dieu concernant la liberté humaine, et éliminent ainsi cette difficulté. Certains soutiennent que Dieu a doté les humains du libre arbitre (c'est-à-dire la capacité de faire des choix qui ne sont déterminés par personne ni par rien d'autre), et qu'il a donc nécessairement limité son contrôle sur les événements qui « doivent » se produire, sans quoi l'activité humaine libre et responsable n'aurait pas de sens. Le calvinisme rejette cet argument, insistant sur le fait que l'activité libre est possible même si elle est prédestinée et connue avant qu'elle ne se produise.</w:t>
      </w:r>
    </w:p>
    <w:p>
      <w:r/>
      <w:r>
        <w:t>Refuser la prédestination implique de confesser que Dieu ne contrôle pas sa création. L'activité humaine serait alors déterminée soit par quelque chose au-dessus ou au-delà de Dieu, soit par des causes inconnues. La providence et le soin de Dieu, révélés dans la Bible et l'expérience humaine, rendent une telle vision difficile à défendre. La pensée chrétienne affirme généralement que Dieu prédestine et contrôle sa création, tout en permettant aux humains d'agir librement et de manière responsable dans ce cadre plus large. Cela semble contradictoire car la compréhension humaine est limitée.</w:t>
      </w:r>
    </w:p>
    <w:p>
      <w:pPr>
        <w:pStyle w:val="Heading3"/>
      </w:pPr>
      <w:r>
        <w:t>La Prédestination dans les Écritures</w:t>
      </w:r>
    </w:p>
    <w:p>
      <w:r/>
      <w:r>
        <w:t>La Bible mentionne souvent la prédestination (y compris l'élection) et la prescience. La prédestination est logiquement antérieure à la prescience, mais comme les deux sont éternels en Dieu, une telle priorité n'existe pas.</w:t>
      </w:r>
    </w:p>
    <w:p>
      <w:r/>
      <w:r>
        <w:t>Quand il a parlé du jugement de Babylone à venir, Dieu a dit : « Voilà la résolution prise contre toute la terre, Voilà la main étendue sur toutes les nations. L’Éternel des armées a pris cette résolution : qui s’y opposera ? Sa main est étendue : qui la détournera ? » (</w:t>
      </w:r>
      <w:hyperlink r:id="rId12478">
        <w:r>
          <w:rPr>
            <w:color w:val="0000EE"/>
            <w:u w:val="single"/>
          </w:rPr>
          <w:t>Es 14.26–27</w:t>
        </w:r>
      </w:hyperlink>
      <w:r>
        <w:t xml:space="preserve">) Dieu a également déclaré qu'il avait déjà déterminé la fin depuis le début. « </w:t>
      </w:r>
      <w:r>
        <w:t>Mes arrêts subsisteront, Et j’exécuterai toute ma volonté</w:t>
      </w:r>
      <w:r>
        <w:t xml:space="preserve"> » (</w:t>
      </w:r>
      <w:hyperlink r:id="rId12479">
        <w:r>
          <w:rPr>
            <w:color w:val="0000EE"/>
            <w:u w:val="single"/>
          </w:rPr>
          <w:t>Es 46.10</w:t>
        </w:r>
      </w:hyperlink>
      <w:r>
        <w:t xml:space="preserve">). Paul a affirmé que Dieu réalise ses desseins « </w:t>
      </w:r>
      <w:r>
        <w:t>d’après le conseil de sa volonté</w:t>
      </w:r>
      <w:r>
        <w:t xml:space="preserve"> » (</w:t>
      </w:r>
      <w:hyperlink r:id="rId5739">
        <w:r>
          <w:rPr>
            <w:color w:val="0000EE"/>
            <w:u w:val="single"/>
          </w:rPr>
          <w:t>Ep 1.11</w:t>
        </w:r>
      </w:hyperlink>
      <w:r>
        <w:t xml:space="preserve"> ; comparer avec </w:t>
      </w:r>
      <w:hyperlink r:id="rId12480">
        <w:r>
          <w:rPr>
            <w:color w:val="0000EE"/>
            <w:u w:val="single"/>
          </w:rPr>
          <w:t>Ps 119.89–91</w:t>
        </w:r>
      </w:hyperlink>
      <w:r>
        <w:t xml:space="preserve"> ; </w:t>
      </w:r>
      <w:hyperlink r:id="rId12481">
        <w:r>
          <w:rPr>
            <w:color w:val="0000EE"/>
            <w:u w:val="single"/>
          </w:rPr>
          <w:t>Dn 4.35</w:t>
        </w:r>
      </w:hyperlink>
      <w:r>
        <w:t>).</w:t>
      </w:r>
    </w:p>
    <w:p>
      <w:r/>
      <w:r>
        <w:t>La Bible dit aussi que :</w:t>
      </w:r>
    </w:p>
    <w:p>
      <w:pPr>
        <w:pStyle w:val="ListBullet"/>
        <w:spacing w:line="240" w:lineRule="auto"/>
        <w:ind w:left="720"/>
      </w:pPr>
      <w:r/>
      <w:r>
        <w:t>La durée de vie d'une personne est déterminée (</w:t>
      </w:r>
      <w:hyperlink r:id="rId12482">
        <w:r>
          <w:rPr>
            <w:color w:val="0000EE"/>
            <w:u w:val="single"/>
          </w:rPr>
          <w:t>Jb 14.5</w:t>
        </w:r>
      </w:hyperlink>
      <w:r>
        <w:t>)</w:t>
      </w:r>
    </w:p>
    <w:p>
      <w:pPr>
        <w:pStyle w:val="ListBullet"/>
        <w:spacing w:line="240" w:lineRule="auto"/>
        <w:ind w:left="720"/>
      </w:pPr>
      <w:r/>
      <w:r>
        <w:t>Le souci de Dieu s'étend à ses créatures (</w:t>
      </w:r>
      <w:hyperlink r:id="rId12483">
        <w:r>
          <w:rPr>
            <w:color w:val="0000EE"/>
            <w:u w:val="single"/>
          </w:rPr>
          <w:t>Ps 104.14–30</w:t>
        </w:r>
      </w:hyperlink>
      <w:r>
        <w:t xml:space="preserve"> ; </w:t>
      </w:r>
      <w:hyperlink r:id="rId11235">
        <w:r>
          <w:rPr>
            <w:color w:val="0000EE"/>
            <w:u w:val="single"/>
          </w:rPr>
          <w:t>Mt 10.29</w:t>
        </w:r>
      </w:hyperlink>
      <w:r>
        <w:t>)</w:t>
      </w:r>
    </w:p>
    <w:p>
      <w:pPr>
        <w:pStyle w:val="ListBullet"/>
        <w:spacing w:line="240" w:lineRule="auto"/>
        <w:ind w:left="720"/>
      </w:pPr>
      <w:r/>
      <w:r>
        <w:t>Les cheveux de nos têtes sont tous comptés (</w:t>
      </w:r>
      <w:hyperlink r:id="rId12484">
        <w:r>
          <w:rPr>
            <w:color w:val="0000EE"/>
            <w:u w:val="single"/>
          </w:rPr>
          <w:t>Mt 10.30</w:t>
        </w:r>
      </w:hyperlink>
      <w:r>
        <w:t>)</w:t>
      </w:r>
    </w:p>
    <w:p>
      <w:r/>
      <w:r>
        <w:t xml:space="preserve">De plus, le plan de Dieu s'étend aux peuples et aux nations, car « </w:t>
      </w:r>
      <w:r>
        <w:t>Il a fait que tous les hommes, sortis d’un seul sang, habitassent sur toute la surface de la terre, ayant déterminé la durée des temps et les bornes de leur demeure</w:t>
      </w:r>
      <w:r>
        <w:t xml:space="preserve"> » (</w:t>
      </w:r>
      <w:hyperlink r:id="rId10556">
        <w:r>
          <w:rPr>
            <w:color w:val="0000EE"/>
            <w:u w:val="single"/>
          </w:rPr>
          <w:t>Ac 17.26</w:t>
        </w:r>
      </w:hyperlink>
      <w:r>
        <w:t>).</w:t>
      </w:r>
    </w:p>
    <w:p>
      <w:r/>
      <w:r>
        <w:t xml:space="preserve">Dieu sait et utilise même les actes mauvais des gens pour ses desseins. Les frères de Joseph ont péché en le vendant comme esclave. Joseph a dit plus tard : « </w:t>
      </w:r>
      <w:r>
        <w:t>Vous avez voulu me faire du mal, Dieu a voulu en faire du bien : conserver la vie à un peuple nombreux comme cela se réalise aujourd'hui</w:t>
      </w:r>
      <w:r>
        <w:t xml:space="preserve"> » (</w:t>
      </w:r>
      <w:hyperlink r:id="rId6042">
        <w:r>
          <w:rPr>
            <w:color w:val="0000EE"/>
            <w:u w:val="single"/>
          </w:rPr>
          <w:t>Gn 50.20</w:t>
        </w:r>
      </w:hyperlink>
      <w:r>
        <w:t>, TOB2010).</w:t>
      </w:r>
    </w:p>
    <w:p>
      <w:r/>
      <w:r>
        <w:t xml:space="preserve">Judas Iscariot et sa trahison de Jésus constitue un autre exemple. Jésus a dit : « </w:t>
      </w:r>
      <w:r>
        <w:t>Le Fils de l’homme s’en va selon ce qui est déterminé. Mais malheur à l’homme par qui il est livré</w:t>
      </w:r>
      <w:r>
        <w:t xml:space="preserve"> </w:t>
      </w:r>
      <w:r>
        <w:t>!</w:t>
      </w:r>
      <w:r>
        <w:t xml:space="preserve"> » (</w:t>
      </w:r>
      <w:hyperlink r:id="rId12485">
        <w:r>
          <w:rPr>
            <w:color w:val="0000EE"/>
            <w:u w:val="single"/>
          </w:rPr>
          <w:t xml:space="preserve">Lc 22.22 ; </w:t>
        </w:r>
      </w:hyperlink>
      <w:r>
        <w:t>« Fils de l'Homme » est un titre que Jésus utilisait pour se référer à lui-même) Le jour de la Pentecôte, l'apôtre Pierre a dit : « cet homme [Jésus]</w:t>
      </w:r>
      <w:r>
        <w:t>, livré selon le dessein arrêté et selon la prescience de Dieu, vous l’avez crucifié, vous l’avez fait mourir par la main des impies</w:t>
      </w:r>
      <w:r>
        <w:t xml:space="preserve"> » (</w:t>
      </w:r>
      <w:hyperlink r:id="rId12176">
        <w:r>
          <w:rPr>
            <w:color w:val="0000EE"/>
            <w:u w:val="single"/>
          </w:rPr>
          <w:t>Ac 2.23</w:t>
        </w:r>
      </w:hyperlink>
      <w:r>
        <w:t xml:space="preserve"> ; voir aussi </w:t>
      </w:r>
      <w:hyperlink r:id="rId12486">
        <w:r>
          <w:rPr>
            <w:color w:val="0000EE"/>
            <w:u w:val="single"/>
          </w:rPr>
          <w:t>4.27–28</w:t>
        </w:r>
      </w:hyperlink>
      <w:r>
        <w:t>).</w:t>
      </w:r>
    </w:p>
    <w:p>
      <w:r/>
      <w:r>
        <w:t>Paul fait référence à l'autorité déterminante de Dieu sur les actes de Pharaon (</w:t>
      </w:r>
      <w:hyperlink r:id="rId12487">
        <w:r>
          <w:rPr>
            <w:color w:val="0000EE"/>
            <w:u w:val="single"/>
          </w:rPr>
          <w:t>Rm 9.17</w:t>
        </w:r>
      </w:hyperlink>
      <w:r>
        <w:t xml:space="preserve">). </w:t>
      </w:r>
      <w:hyperlink r:id="rId12488">
        <w:r>
          <w:rPr>
            <w:color w:val="0000EE"/>
            <w:u w:val="single"/>
          </w:rPr>
          <w:t>Apocalypse 17.17</w:t>
        </w:r>
      </w:hyperlink>
      <w:r>
        <w:t xml:space="preserve"> dit : « </w:t>
      </w:r>
      <w:r>
        <w:t>Dieu a mis dans leurs cœurs d’exécuter son dessein</w:t>
      </w:r>
      <w:r>
        <w:t xml:space="preserve"> ». Ainsi, Dieu prédestine l'histoire, et même les actes mauvais accomplissent ses desseins.</w:t>
      </w:r>
    </w:p>
    <w:p>
      <w:r/>
      <w:r>
        <w:t>L'élection des pécheurs au salut par Christ est incluse dans la prédestination de Dieu (</w:t>
      </w:r>
      <w:hyperlink r:id="rId12489">
        <w:r>
          <w:rPr>
            <w:color w:val="0000EE"/>
            <w:u w:val="single"/>
          </w:rPr>
          <w:t>Rm 8.28–39</w:t>
        </w:r>
      </w:hyperlink>
      <w:r>
        <w:t xml:space="preserve">; voir aussi </w:t>
      </w:r>
      <w:hyperlink r:id="rId12490">
        <w:r>
          <w:rPr>
            <w:color w:val="0000EE"/>
            <w:u w:val="single"/>
          </w:rPr>
          <w:t>Ac 13.48</w:t>
        </w:r>
      </w:hyperlink>
      <w:r>
        <w:t xml:space="preserve">; </w:t>
      </w:r>
      <w:hyperlink r:id="rId12491">
        <w:r>
          <w:rPr>
            <w:color w:val="0000EE"/>
            <w:u w:val="single"/>
          </w:rPr>
          <w:t>Ph 2.12–13</w:t>
        </w:r>
      </w:hyperlink>
      <w:r>
        <w:t xml:space="preserve">; </w:t>
      </w:r>
      <w:hyperlink r:id="rId3933">
        <w:r>
          <w:rPr>
            <w:color w:val="0000EE"/>
            <w:u w:val="single"/>
          </w:rPr>
          <w:t>1P 2.9</w:t>
        </w:r>
      </w:hyperlink>
      <w:r>
        <w:t>). Le plan de salut de Dieu est basé sur son amour éternel (</w:t>
      </w:r>
      <w:hyperlink r:id="rId12492">
        <w:r>
          <w:rPr>
            <w:color w:val="0000EE"/>
            <w:u w:val="single"/>
          </w:rPr>
          <w:t>Ep 1.3–14</w:t>
        </w:r>
      </w:hyperlink>
      <w:r>
        <w:t xml:space="preserve">; </w:t>
      </w:r>
      <w:hyperlink r:id="rId8430">
        <w:r>
          <w:rPr>
            <w:color w:val="0000EE"/>
            <w:u w:val="single"/>
          </w:rPr>
          <w:t>Rm 5.6–11</w:t>
        </w:r>
      </w:hyperlink>
      <w:r>
        <w:t>). Les chrétiens reçoivent la grâce de Dieu en connaissant Dieu et en étant connus (c'est-à-dire aimés) par Dieu (</w:t>
      </w:r>
      <w:hyperlink r:id="rId12180">
        <w:r>
          <w:rPr>
            <w:color w:val="0000EE"/>
            <w:u w:val="single"/>
          </w:rPr>
          <w:t>Ga 4.9</w:t>
        </w:r>
      </w:hyperlink>
      <w:r>
        <w:t>). Tant l'élection que la foi des croyants font partie du processus de salut.</w:t>
      </w:r>
    </w:p>
    <w:p>
      <w:pPr>
        <w:pStyle w:val="Heading3"/>
      </w:pPr>
      <w:r>
        <w:t>Prédestination et providence</w:t>
      </w:r>
    </w:p>
    <w:p>
      <w:r/>
      <w:r>
        <w:t>La prédestination est impliquée dans la providence ou le soin de Dieu. La providence est la réalisation du plan de Dieu pour le monde. Le soin et le contrôle de Dieu sur la création révèlent son plan de rédemption pour l'humanité créée à son image. Dieu contrôle l'histoire, mais il n'est pas responsable du péché. Il a créé les êtres humains capables de lui dire « oui » ou « non ». Cependant, le plan de Dieu ne peut être arrêté. Il se poursuit malgré l'opposition. Le plan ultime de Dieu se déroule à travers tous les événements de l'histoire humaine, qu'ils soient mauvais ou bons. Sa souveraineté n'est toutefois pas imposée sans raison ni équité. Dieu n'est pas un tyran, mais plutôt saint, aimant et juste. Son plan est exécuté selon sa nature, manifestée dans son soin et sa préoccupation pour la création et dans son amour constant pour les pécheurs.</w:t>
      </w:r>
    </w:p>
    <w:p>
      <w:r/>
      <w:r>
        <w:rPr>
          <w:i/>
        </w:rPr>
        <w:t>La loi naturelle</w:t>
      </w:r>
      <w:r>
        <w:t xml:space="preserve"> est l'ensemble des règles que Dieu a établies (prédestinées) pour régir l'univers. Qu'en est-il des forces destructrices de la nature, telles que les tremblements de terre, les tornades et les ouragans ? Pourquoi de tels maux apparents sont-ils nécessaires dans un monde créé par un Dieu aimant ? Cela n'implique pas que Dieu est incapable de contrôler la nature. Si le sens de la vie se trouvait dans le monde terrestre et physique, cela pourrait poser un problème. Mais le but ultime de Dieu dépasse la vie présente et inclut la plénitude du royaume rédempteur à venir (</w:t>
      </w:r>
      <w:hyperlink r:id="rId12493">
        <w:r>
          <w:rPr>
            <w:color w:val="0000EE"/>
            <w:u w:val="single"/>
          </w:rPr>
          <w:t>Ap 11.15</w:t>
        </w:r>
      </w:hyperlink>
      <w:r>
        <w:t xml:space="preserve"> ; </w:t>
      </w:r>
      <w:hyperlink r:id="rId10902">
        <w:r>
          <w:rPr>
            <w:color w:val="0000EE"/>
            <w:u w:val="single"/>
          </w:rPr>
          <w:t>21.1–4</w:t>
        </w:r>
      </w:hyperlink>
      <w:r>
        <w:t>). La prédestination est un grand mystère, mais elle devrait apporter joie et réconfort aux croyants dont le Seigneur aimant a révélé son grand plan.</w:t>
      </w:r>
    </w:p>
    <w:p>
      <w:r/>
      <w:r>
        <w:rPr>
          <w:i/>
        </w:rPr>
        <w:t>Voir aussi</w:t>
      </w:r>
      <w:r>
        <w:t xml:space="preserve"> </w:t>
      </w:r>
      <w:r>
        <w:t>Élus, Élection</w:t>
      </w:r>
      <w:r>
        <w:t xml:space="preserve"> ; </w:t>
      </w:r>
      <w:r>
        <w:t>Prescience</w:t>
      </w:r>
      <w:r>
        <w:t>.</w:t>
      </w:r>
      <w:r/>
      <w:r/>
    </w:p>
    <w:p>
      <w:r/>
    </w:p>
    <w:p>
      <w:pPr>
        <w:pStyle w:val="Heading2"/>
      </w:pPr>
      <w:r>
        <w:t>Premier-né</w:t>
      </w:r>
      <w:r/>
    </w:p>
    <w:p>
      <w:r/>
      <w:r>
        <w:t>Fils ou fille aîné(e) d'une famille (</w:t>
      </w:r>
      <w:hyperlink r:id="rId1101">
        <w:r>
          <w:rPr>
            <w:color w:val="0000EE"/>
            <w:u w:val="single"/>
          </w:rPr>
          <w:t>Gn 22.21</w:t>
        </w:r>
      </w:hyperlink>
      <w:r>
        <w:t xml:space="preserve"> ; </w:t>
      </w:r>
      <w:hyperlink r:id="rId8823">
        <w:r>
          <w:rPr>
            <w:color w:val="0000EE"/>
            <w:u w:val="single"/>
          </w:rPr>
          <w:t>29.26</w:t>
        </w:r>
      </w:hyperlink>
      <w:r>
        <w:t>).</w:t>
      </w:r>
    </w:p>
    <w:p>
      <w:r/>
      <w:r>
        <w:t>Israël est appelé le premier-né de Dieu en raison de la genèse miraculeuse de cette nation et de sa délivrance spéciale hors d'Égypte (</w:t>
      </w:r>
      <w:hyperlink r:id="rId12494">
        <w:r>
          <w:rPr>
            <w:color w:val="0000EE"/>
            <w:u w:val="single"/>
          </w:rPr>
          <w:t>Gn 17.5, 15</w:t>
        </w:r>
      </w:hyperlink>
      <w:hyperlink r:id="rId78">
        <w:r>
          <w:rPr>
            <w:color w:val="0000EE"/>
            <w:u w:val="single"/>
          </w:rPr>
          <w:t>–</w:t>
        </w:r>
      </w:hyperlink>
      <w:hyperlink r:id="rId12494">
        <w:r>
          <w:rPr>
            <w:color w:val="0000EE"/>
            <w:u w:val="single"/>
          </w:rPr>
          <w:t>16</w:t>
        </w:r>
      </w:hyperlink>
      <w:r>
        <w:t xml:space="preserve"> ; </w:t>
      </w:r>
      <w:hyperlink r:id="rId12495">
        <w:r>
          <w:rPr>
            <w:color w:val="0000EE"/>
            <w:u w:val="single"/>
          </w:rPr>
          <w:t>Ex 4.22</w:t>
        </w:r>
      </w:hyperlink>
      <w:r>
        <w:t>). En tant que premier-né de Dieu, Israël avait un statut spécial par rapport à toutes les autres nations. Les Gentils (personnes non juives) étaient « bénis » uniquement en relation avec leur bonté envers Israël (</w:t>
      </w:r>
      <w:hyperlink r:id="rId555">
        <w:r>
          <w:rPr>
            <w:color w:val="0000EE"/>
            <w:u w:val="single"/>
          </w:rPr>
          <w:t>Gn 12.3</w:t>
        </w:r>
      </w:hyperlink>
      <w:r>
        <w:t xml:space="preserve"> ; </w:t>
      </w:r>
      <w:hyperlink r:id="rId562">
        <w:r>
          <w:rPr>
            <w:color w:val="0000EE"/>
            <w:u w:val="single"/>
          </w:rPr>
          <w:t>Ex 19.6</w:t>
        </w:r>
      </w:hyperlink>
      <w:r>
        <w:t xml:space="preserve"> ; </w:t>
      </w:r>
      <w:hyperlink r:id="rId12496">
        <w:r>
          <w:rPr>
            <w:color w:val="0000EE"/>
            <w:u w:val="single"/>
          </w:rPr>
          <w:t>Dt 4.5–8</w:t>
        </w:r>
      </w:hyperlink>
      <w:r>
        <w:t>). Le prophète Ésaïe prédira un jour où Israël aurait une double part d'héritage (</w:t>
      </w:r>
      <w:hyperlink r:id="rId12497">
        <w:r>
          <w:rPr>
            <w:color w:val="0000EE"/>
            <w:u w:val="single"/>
          </w:rPr>
          <w:t>Es 61.7</w:t>
        </w:r>
      </w:hyperlink>
      <w:r>
        <w:t>). Ainsi, être premier-né implique priorité ou supériorité, en plus de l'héritage.</w:t>
      </w:r>
    </w:p>
    <w:p>
      <w:r/>
      <w:r>
        <w:t>L'expression « premier-né des pauvres », retrouvé dans l'hébreu littéral d'</w:t>
      </w:r>
      <w:hyperlink r:id="rId12498">
        <w:r>
          <w:rPr>
            <w:color w:val="0000EE"/>
            <w:u w:val="single"/>
          </w:rPr>
          <w:t>Ésaïe 14.30</w:t>
        </w:r>
      </w:hyperlink>
      <w:r>
        <w:t xml:space="preserve">, signifie celui qui est le plus pauvre, le plus démuni. L'expression « premier-né de la mort » dans </w:t>
      </w:r>
      <w:hyperlink r:id="rId12499">
        <w:r>
          <w:rPr>
            <w:color w:val="0000EE"/>
            <w:u w:val="single"/>
          </w:rPr>
          <w:t>Job 18.13</w:t>
        </w:r>
      </w:hyperlink>
      <w:r>
        <w:t xml:space="preserve"> suggère que la maladie de Job le conduirait à la mort.</w:t>
      </w:r>
    </w:p>
    <w:p>
      <w:r/>
      <w:r>
        <w:t>Parce que Dieu a sauvé les premiers-nés d'Israël de la mort en Égypte, il s'attendait à ce que tous les futurs premiers-nés soient consacrés à son service (</w:t>
      </w:r>
      <w:hyperlink r:id="rId12500">
        <w:r>
          <w:rPr>
            <w:color w:val="0000EE"/>
            <w:u w:val="single"/>
          </w:rPr>
          <w:t>Ex 11.4–7</w:t>
        </w:r>
      </w:hyperlink>
      <w:r>
        <w:t xml:space="preserve"> ; </w:t>
      </w:r>
      <w:hyperlink r:id="rId12501">
        <w:r>
          <w:rPr>
            <w:color w:val="0000EE"/>
            <w:u w:val="single"/>
          </w:rPr>
          <w:t>13.12</w:t>
        </w:r>
      </w:hyperlink>
      <w:r>
        <w:t>). Le premier enfant mâle était un représentant de la descendance dans son intégralité (</w:t>
      </w:r>
      <w:hyperlink r:id="rId12502">
        <w:r>
          <w:rPr>
            <w:color w:val="0000EE"/>
            <w:u w:val="single"/>
          </w:rPr>
          <w:t>Gn 49.3</w:t>
        </w:r>
      </w:hyperlink>
      <w:r>
        <w:t xml:space="preserve"> ; </w:t>
      </w:r>
      <w:hyperlink r:id="rId6540">
        <w:r>
          <w:rPr>
            <w:color w:val="0000EE"/>
            <w:u w:val="single"/>
          </w:rPr>
          <w:t>Ex 22.29</w:t>
        </w:r>
      </w:hyperlink>
      <w:r>
        <w:t xml:space="preserve"> ; </w:t>
      </w:r>
      <w:hyperlink r:id="rId1847">
        <w:r>
          <w:rPr>
            <w:color w:val="0000EE"/>
            <w:u w:val="single"/>
          </w:rPr>
          <w:t>Nb 3.13</w:t>
        </w:r>
      </w:hyperlink>
      <w:r>
        <w:t>). Dieu ordonnea que le premier-né de tous les animaux utilisés pour les offrandes lui soit consacré (</w:t>
      </w:r>
      <w:hyperlink r:id="rId12503">
        <w:r>
          <w:rPr>
            <w:color w:val="0000EE"/>
            <w:u w:val="single"/>
          </w:rPr>
          <w:t>Ex 13.2, 15</w:t>
        </w:r>
      </w:hyperlink>
      <w:r>
        <w:t>).</w:t>
      </w:r>
    </w:p>
    <w:p>
      <w:pPr>
        <w:pStyle w:val="Heading3"/>
      </w:pPr>
      <w:r>
        <w:t>Le Premier-né et la rédemption</w:t>
      </w:r>
    </w:p>
    <w:p>
      <w:r/>
      <w:r>
        <w:t>Chaque tribu devait racheter son premier-né, sauf celle de Lévi, en payant une somme ne dépassant pas cinq sicles (</w:t>
      </w:r>
      <w:hyperlink r:id="rId12504">
        <w:r>
          <w:rPr>
            <w:color w:val="0000EE"/>
            <w:u w:val="single"/>
          </w:rPr>
          <w:t>Nb 18.15–16</w:t>
        </w:r>
      </w:hyperlink>
      <w:r>
        <w:t>). Le rachat impliquait une servitude antérieure. Cela servait à rappeler à Israël leur libération d'Égypte (</w:t>
      </w:r>
      <w:hyperlink r:id="rId12505">
        <w:r>
          <w:rPr>
            <w:color w:val="0000EE"/>
            <w:u w:val="single"/>
          </w:rPr>
          <w:t>Ex 13.2–8</w:t>
        </w:r>
      </w:hyperlink>
      <w:r>
        <w:t>).</w:t>
      </w:r>
    </w:p>
    <w:p>
      <w:r/>
      <w:r>
        <w:t>Le premier-né des animaux rituellement purs était consacré au Seigneur. Il était amené au tabernacle (ou plus tard, au temple) dans l'année suivant le huitième jour après la naissance. L'animal était ensuite sacrifié et son sang aspergé sur l'autel. La viande de l'animal sacrifié était destinée aux prêtres (</w:t>
      </w:r>
      <w:hyperlink r:id="rId12506">
        <w:r>
          <w:rPr>
            <w:color w:val="0000EE"/>
            <w:u w:val="single"/>
          </w:rPr>
          <w:t>Ex 13.13</w:t>
        </w:r>
      </w:hyperlink>
      <w:r>
        <w:t xml:space="preserve"> ; </w:t>
      </w:r>
      <w:hyperlink r:id="rId12507">
        <w:r>
          <w:rPr>
            <w:color w:val="0000EE"/>
            <w:u w:val="single"/>
          </w:rPr>
          <w:t>22.30</w:t>
        </w:r>
      </w:hyperlink>
      <w:r>
        <w:t xml:space="preserve"> ; voir </w:t>
      </w:r>
      <w:hyperlink r:id="rId12508">
        <w:r>
          <w:rPr>
            <w:color w:val="0000EE"/>
            <w:u w:val="single"/>
          </w:rPr>
          <w:t>Nb 18.17</w:t>
        </w:r>
      </w:hyperlink>
      <w:r>
        <w:t>). Le premier-né des animaux impurs pouvait être racheté avec l'ajout d'un cinquième de la valeur déterminée par le prêtre. S'il n'était pas racheté, l'animal était vendu, échangé ou détruit par les prêtres (</w:t>
      </w:r>
      <w:hyperlink r:id="rId12509">
        <w:r>
          <w:rPr>
            <w:color w:val="0000EE"/>
            <w:u w:val="single"/>
          </w:rPr>
          <w:t>Lv 27.27</w:t>
        </w:r>
      </w:hyperlink>
      <w:r>
        <w:t>). Le poulain d'un âne devait être racheté avec un agneau (</w:t>
      </w:r>
      <w:hyperlink r:id="rId12506">
        <w:r>
          <w:rPr>
            <w:color w:val="0000EE"/>
            <w:u w:val="single"/>
          </w:rPr>
          <w:t>Ex 13.13</w:t>
        </w:r>
      </w:hyperlink>
      <w:r>
        <w:t>). S'il n'était pas racheté, il devait être tué. La viande des animaux impurs n'était pas consommée.</w:t>
      </w:r>
    </w:p>
    <w:p>
      <w:pPr>
        <w:pStyle w:val="Heading3"/>
      </w:pPr>
      <w:r>
        <w:t>Le Premier-né et le droit d’aînesse</w:t>
      </w:r>
    </w:p>
    <w:p>
      <w:r/>
      <w:r>
        <w:t>L'aîné agissait comme le prêtre de la famille si le père était absent ou décédé. Ésaü et Ruben en sont tous deux des exemples (</w:t>
      </w:r>
      <w:hyperlink r:id="rId12510">
        <w:r>
          <w:rPr>
            <w:color w:val="0000EE"/>
            <w:u w:val="single"/>
          </w:rPr>
          <w:t>Gn 27.19, 32</w:t>
        </w:r>
      </w:hyperlink>
      <w:r>
        <w:t xml:space="preserve"> ; </w:t>
      </w:r>
      <w:hyperlink r:id="rId4297">
        <w:r>
          <w:rPr>
            <w:color w:val="0000EE"/>
            <w:u w:val="single"/>
          </w:rPr>
          <w:t>1Ch 5.1–2</w:t>
        </w:r>
      </w:hyperlink>
      <w:r>
        <w:t>). Cette position de l'aîné prendra fin lorsque la prêtrise sera confiée à la tribu de Lévi (</w:t>
      </w:r>
      <w:hyperlink r:id="rId12511">
        <w:r>
          <w:rPr>
            <w:color w:val="0000EE"/>
            <w:u w:val="single"/>
          </w:rPr>
          <w:t>Nb 3.12–13</w:t>
        </w:r>
      </w:hyperlink>
      <w:r>
        <w:t>). Tous les premiers-nés des générations suivantes devront être rachetés. L'argent de la rédemption est devenu une partie du revenu annuel des Lévites (</w:t>
      </w:r>
      <w:hyperlink r:id="rId12512">
        <w:r>
          <w:rPr>
            <w:color w:val="0000EE"/>
            <w:u w:val="single"/>
          </w:rPr>
          <w:t>Nb 8.17</w:t>
        </w:r>
      </w:hyperlink>
      <w:r>
        <w:t xml:space="preserve"> ; </w:t>
      </w:r>
      <w:hyperlink r:id="rId12406">
        <w:r>
          <w:rPr>
            <w:color w:val="0000EE"/>
            <w:u w:val="single"/>
          </w:rPr>
          <w:t>18.16</w:t>
        </w:r>
      </w:hyperlink>
      <w:r>
        <w:t>).</w:t>
      </w:r>
    </w:p>
    <w:p>
      <w:r/>
      <w:r>
        <w:t>Le droit d'aînesse correspondait à une double portion de l'héritage familial. Cela protégeait l'aîné lorsqu'un homme avait plus d'une épouse. Le fils d'une épouse favorite ne pouvait pas prendre la place du premier fils né du foyer (</w:t>
      </w:r>
      <w:hyperlink r:id="rId6830">
        <w:r>
          <w:rPr>
            <w:color w:val="0000EE"/>
            <w:u w:val="single"/>
          </w:rPr>
          <w:t>Dt 21.17</w:t>
        </w:r>
      </w:hyperlink>
      <w:r>
        <w:t>).</w:t>
      </w:r>
    </w:p>
    <w:p>
      <w:r/>
      <w:r>
        <w:t>Le titre « premier-né » est appliqué à Jésus (</w:t>
      </w:r>
      <w:hyperlink r:id="rId1459">
        <w:r>
          <w:rPr>
            <w:color w:val="0000EE"/>
            <w:u w:val="single"/>
          </w:rPr>
          <w:t>Lc 2.7</w:t>
        </w:r>
      </w:hyperlink>
      <w:r>
        <w:t xml:space="preserve"> ; </w:t>
      </w:r>
      <w:hyperlink r:id="rId314">
        <w:r>
          <w:rPr>
            <w:color w:val="0000EE"/>
            <w:u w:val="single"/>
          </w:rPr>
          <w:t>Rm 8.29</w:t>
        </w:r>
      </w:hyperlink>
      <w:r>
        <w:t xml:space="preserve"> ; </w:t>
      </w:r>
      <w:hyperlink r:id="rId12513">
        <w:r>
          <w:rPr>
            <w:color w:val="0000EE"/>
            <w:u w:val="single"/>
          </w:rPr>
          <w:t>Col 1.15, 18</w:t>
        </w:r>
      </w:hyperlink>
      <w:r>
        <w:t xml:space="preserve"> ; </w:t>
      </w:r>
      <w:hyperlink r:id="rId6285">
        <w:r>
          <w:rPr>
            <w:color w:val="0000EE"/>
            <w:u w:val="single"/>
          </w:rPr>
          <w:t>Hé 1.6</w:t>
        </w:r>
      </w:hyperlink>
      <w:r>
        <w:t xml:space="preserve"> ; </w:t>
      </w:r>
      <w:hyperlink r:id="rId11746">
        <w:r>
          <w:rPr>
            <w:color w:val="0000EE"/>
            <w:u w:val="single"/>
          </w:rPr>
          <w:t>Ap 1.5</w:t>
        </w:r>
      </w:hyperlink>
      <w:r>
        <w:t>). Cela souligne la prééminence de Jésus sur tous, ayant été le premier à ressusciter des morts. En tant que premier-né, Jésus est :</w:t>
      </w:r>
    </w:p>
    <w:p>
      <w:pPr>
        <w:pStyle w:val="ListBullet"/>
        <w:spacing w:line="240" w:lineRule="auto"/>
        <w:ind w:left="720"/>
      </w:pPr>
      <w:r/>
      <w:r>
        <w:t>Héritier de toutes choses (</w:t>
      </w:r>
      <w:hyperlink r:id="rId6280">
        <w:r>
          <w:rPr>
            <w:color w:val="0000EE"/>
            <w:u w:val="single"/>
          </w:rPr>
          <w:t>Hé 1.2</w:t>
        </w:r>
      </w:hyperlink>
      <w:r>
        <w:t>)</w:t>
      </w:r>
    </w:p>
    <w:p>
      <w:pPr>
        <w:pStyle w:val="ListBullet"/>
        <w:spacing w:line="240" w:lineRule="auto"/>
        <w:ind w:left="720"/>
      </w:pPr>
      <w:r/>
      <w:r>
        <w:t>Le chef de l'Église (</w:t>
      </w:r>
      <w:hyperlink r:id="rId12514">
        <w:r>
          <w:rPr>
            <w:color w:val="0000EE"/>
            <w:u w:val="single"/>
          </w:rPr>
          <w:t>Ep 1.20–23</w:t>
        </w:r>
      </w:hyperlink>
      <w:r>
        <w:t xml:space="preserve"> ; </w:t>
      </w:r>
      <w:hyperlink r:id="rId2942">
        <w:r>
          <w:rPr>
            <w:color w:val="0000EE"/>
            <w:u w:val="single"/>
          </w:rPr>
          <w:t>Col 1.18, 24</w:t>
        </w:r>
      </w:hyperlink>
      <w:r>
        <w:t xml:space="preserve"> ; </w:t>
      </w:r>
      <w:hyperlink r:id="rId12515">
        <w:r>
          <w:rPr>
            <w:color w:val="0000EE"/>
            <w:u w:val="single"/>
          </w:rPr>
          <w:t>Hé 2.10–12</w:t>
        </w:r>
      </w:hyperlink>
      <w:r>
        <w:t>)</w:t>
      </w:r>
    </w:p>
    <w:p>
      <w:r/>
      <w:r>
        <w:rPr>
          <w:i/>
        </w:rPr>
        <w:t>Voir aussi</w:t>
      </w:r>
      <w:r>
        <w:t xml:space="preserve"> </w:t>
      </w:r>
      <w:r>
        <w:t>Droit d’aînesse</w:t>
      </w:r>
      <w:r>
        <w:t xml:space="preserve"> ; </w:t>
      </w:r>
      <w:r>
        <w:t>Héritier</w:t>
      </w:r>
      <w:r>
        <w:t xml:space="preserve"> ; </w:t>
      </w:r>
      <w:r>
        <w:t>Héritage</w:t>
      </w:r>
      <w:r>
        <w:t xml:space="preserve"> ; </w:t>
      </w:r>
      <w:r>
        <w:t>Primogéniture</w:t>
      </w:r>
      <w:r>
        <w:t>.</w:t>
      </w:r>
      <w:r/>
      <w:r/>
    </w:p>
    <w:p>
      <w:r/>
    </w:p>
    <w:p>
      <w:pPr>
        <w:pStyle w:val="Heading2"/>
      </w:pPr>
      <w:r>
        <w:t>Prescience</w:t>
      </w:r>
      <w:r/>
    </w:p>
    <w:p>
      <w:r/>
      <w:r>
        <w:t>La connaissance des événements ou des choses avant qu'ils ne se produisent.</w:t>
      </w:r>
    </w:p>
    <w:p>
      <w:r/>
      <w:r>
        <w:t>Dans le Nouveau Testament, le mot grec pour « prescience » n'apparaît que sept fois. Il décrit :</w:t>
      </w:r>
    </w:p>
    <w:p>
      <w:pPr>
        <w:pStyle w:val="ListNumber"/>
        <w:spacing w:line="240" w:lineRule="auto"/>
        <w:ind w:left="720"/>
      </w:pPr>
      <w:r/>
      <w:r>
        <w:t>Comment les chrétiens sont avertis des faux enseignants (</w:t>
      </w:r>
      <w:hyperlink r:id="rId12516">
        <w:r>
          <w:rPr>
            <w:color w:val="0000EE"/>
            <w:u w:val="single"/>
          </w:rPr>
          <w:t>2P 3.17</w:t>
        </w:r>
      </w:hyperlink>
      <w:r>
        <w:t>)</w:t>
      </w:r>
    </w:p>
    <w:p>
      <w:pPr>
        <w:pStyle w:val="ListNumber"/>
        <w:spacing w:line="240" w:lineRule="auto"/>
        <w:ind w:left="720"/>
      </w:pPr>
      <w:r/>
      <w:r>
        <w:t>La connaissance préalable des Juifs sur la vie antérieure de Paul (</w:t>
      </w:r>
      <w:hyperlink r:id="rId12517">
        <w:r>
          <w:rPr>
            <w:color w:val="0000EE"/>
            <w:u w:val="single"/>
          </w:rPr>
          <w:t>Ac 26.4–5</w:t>
        </w:r>
      </w:hyperlink>
      <w:r>
        <w:t>)</w:t>
      </w:r>
    </w:p>
    <w:p>
      <w:pPr>
        <w:pStyle w:val="ListNumber"/>
        <w:spacing w:line="240" w:lineRule="auto"/>
        <w:ind w:left="720"/>
      </w:pPr>
      <w:r/>
      <w:r>
        <w:t>La conscience de Dieu de la mort du Christ avant qu'elle ne se produise (</w:t>
      </w:r>
      <w:hyperlink r:id="rId12176">
        <w:r>
          <w:rPr>
            <w:color w:val="0000EE"/>
            <w:u w:val="single"/>
          </w:rPr>
          <w:t>Ac 2.23</w:t>
        </w:r>
      </w:hyperlink>
      <w:r>
        <w:t xml:space="preserve"> ; </w:t>
      </w:r>
      <w:hyperlink r:id="rId12518">
        <w:r>
          <w:rPr>
            <w:color w:val="0000EE"/>
            <w:u w:val="single"/>
          </w:rPr>
          <w:t>1P 1.18–20</w:t>
        </w:r>
      </w:hyperlink>
      <w:r>
        <w:t>)</w:t>
      </w:r>
    </w:p>
    <w:p>
      <w:pPr>
        <w:pStyle w:val="ListNumber"/>
        <w:spacing w:line="240" w:lineRule="auto"/>
        <w:ind w:left="720"/>
      </w:pPr>
      <w:r/>
      <w:r>
        <w:t>La connaissance de Dieu de son peuple (</w:t>
      </w:r>
      <w:hyperlink r:id="rId12178">
        <w:r>
          <w:rPr>
            <w:color w:val="0000EE"/>
            <w:u w:val="single"/>
          </w:rPr>
          <w:t>Rm 11.2</w:t>
        </w:r>
      </w:hyperlink>
      <w:r>
        <w:t>)</w:t>
      </w:r>
    </w:p>
    <w:p>
      <w:pPr>
        <w:pStyle w:val="ListNumber"/>
        <w:spacing w:line="240" w:lineRule="auto"/>
        <w:ind w:left="720"/>
      </w:pPr>
      <w:r/>
      <w:r>
        <w:t>La connaissance que Dieu a de son Église (</w:t>
      </w:r>
      <w:hyperlink r:id="rId12177">
        <w:r>
          <w:rPr>
            <w:color w:val="0000EE"/>
            <w:u w:val="single"/>
          </w:rPr>
          <w:t>Rm 8.28–30</w:t>
        </w:r>
      </w:hyperlink>
      <w:r>
        <w:t xml:space="preserve"> ; </w:t>
      </w:r>
      <w:hyperlink r:id="rId12174">
        <w:r>
          <w:rPr>
            <w:color w:val="0000EE"/>
            <w:u w:val="single"/>
          </w:rPr>
          <w:t>1P 1.1–2</w:t>
        </w:r>
      </w:hyperlink>
      <w:r>
        <w:t>)</w:t>
      </w:r>
    </w:p>
    <w:p>
      <w:r/>
      <w:r>
        <w:t>Bien que le terme « prescience » ne soit pas souvent utilisé, l'idée est présente tout au long de la Bible. Tout d'abord, la Bible enseigne clairement que Dieu sait tout. Sa compréhension est illimitée (</w:t>
      </w:r>
      <w:hyperlink r:id="rId12519">
        <w:r>
          <w:rPr>
            <w:color w:val="0000EE"/>
            <w:u w:val="single"/>
          </w:rPr>
          <w:t>Ps 147.5</w:t>
        </w:r>
      </w:hyperlink>
      <w:r>
        <w:t>). Il connaît chaque cœur et chaque pensée (</w:t>
      </w:r>
      <w:hyperlink r:id="rId12520">
        <w:r>
          <w:rPr>
            <w:color w:val="0000EE"/>
            <w:u w:val="single"/>
          </w:rPr>
          <w:t>1Ch 28.9</w:t>
        </w:r>
      </w:hyperlink>
      <w:r>
        <w:t xml:space="preserve">). </w:t>
      </w:r>
      <w:hyperlink r:id="rId12521">
        <w:r>
          <w:rPr>
            <w:color w:val="0000EE"/>
            <w:u w:val="single"/>
          </w:rPr>
          <w:t>Psaume 139</w:t>
        </w:r>
      </w:hyperlink>
      <w:r>
        <w:t xml:space="preserve"> décrit la connaissance que Dieu a de toutes les pensées, paroles et actions humaines. Cette connaissance s'étend même au vol d'un moineau et au nombre de cheveux sur la tête d'une personne (</w:t>
      </w:r>
      <w:hyperlink r:id="rId12522">
        <w:r>
          <w:rPr>
            <w:color w:val="0000EE"/>
            <w:u w:val="single"/>
          </w:rPr>
          <w:t>Mt 10.29–30</w:t>
        </w:r>
      </w:hyperlink>
      <w:r>
        <w:t>). De cette connaissance illimitée, nous pouvons déduire que Dieu connaît également les événements futurs de l'histoire humaine.</w:t>
      </w:r>
    </w:p>
    <w:p>
      <w:r/>
      <w:r>
        <w:t>La Bible déclare également directement que Dieu est conscient des événements avant qu'ils ne se produisent. Cette connaissance le distingue des idoles, qui ne peuvent pas prévoir l'avenir (</w:t>
      </w:r>
      <w:hyperlink r:id="rId12523">
        <w:r>
          <w:rPr>
            <w:color w:val="0000EE"/>
            <w:u w:val="single"/>
          </w:rPr>
          <w:t>Es 44.6–8</w:t>
        </w:r>
      </w:hyperlink>
      <w:r>
        <w:t xml:space="preserve"> ; </w:t>
      </w:r>
      <w:hyperlink r:id="rId12524">
        <w:r>
          <w:rPr>
            <w:color w:val="0000EE"/>
            <w:u w:val="single"/>
          </w:rPr>
          <w:t>45.21</w:t>
        </w:r>
      </w:hyperlink>
      <w:r>
        <w:t>). La prescience de Dieu est le fondement des prédictions des prophètes. Par exemple :</w:t>
      </w:r>
    </w:p>
    <w:p>
      <w:pPr>
        <w:pStyle w:val="ListBullet"/>
        <w:spacing w:line="240" w:lineRule="auto"/>
        <w:ind w:left="720"/>
      </w:pPr>
      <w:r/>
      <w:r>
        <w:t>Dieu a dit à Adam et Ève que la descendance de la femme vaincrait le serpent et sa descendance (</w:t>
      </w:r>
      <w:hyperlink r:id="rId250">
        <w:r>
          <w:rPr>
            <w:color w:val="0000EE"/>
            <w:u w:val="single"/>
          </w:rPr>
          <w:t>Gn 3.15</w:t>
        </w:r>
      </w:hyperlink>
      <w:r>
        <w:t>).</w:t>
      </w:r>
    </w:p>
    <w:p>
      <w:pPr>
        <w:pStyle w:val="ListBullet"/>
        <w:spacing w:line="240" w:lineRule="auto"/>
        <w:ind w:left="720"/>
      </w:pPr>
      <w:r/>
      <w:r>
        <w:t>Il a promis des bénédictions futures à Abraham (</w:t>
      </w:r>
      <w:hyperlink r:id="rId555">
        <w:r>
          <w:rPr>
            <w:color w:val="0000EE"/>
            <w:u w:val="single"/>
          </w:rPr>
          <w:t>Gn 12.3</w:t>
        </w:r>
      </w:hyperlink>
      <w:r>
        <w:t>).</w:t>
      </w:r>
    </w:p>
    <w:p>
      <w:pPr>
        <w:pStyle w:val="ListBullet"/>
        <w:spacing w:line="240" w:lineRule="auto"/>
        <w:ind w:left="720"/>
      </w:pPr>
      <w:r/>
      <w:r>
        <w:t xml:space="preserve">Dieu a également dit à Moïse : « </w:t>
      </w:r>
      <w:r>
        <w:t>Je sais que le roi d’Égypte ne vous laissera point aller</w:t>
      </w:r>
      <w:r>
        <w:t xml:space="preserve"> » (</w:t>
      </w:r>
      <w:hyperlink r:id="rId12525">
        <w:r>
          <w:rPr>
            <w:color w:val="0000EE"/>
            <w:u w:val="single"/>
          </w:rPr>
          <w:t>Ex 3.19</w:t>
        </w:r>
      </w:hyperlink>
      <w:r>
        <w:t>).</w:t>
      </w:r>
    </w:p>
    <w:p>
      <w:r/>
      <w:r>
        <w:t>Les prophètes de l'Ancien Testament ont parlé de la gloire à venir du Messie (</w:t>
      </w:r>
      <w:hyperlink r:id="rId12526">
        <w:r>
          <w:rPr>
            <w:color w:val="0000EE"/>
            <w:u w:val="single"/>
          </w:rPr>
          <w:t>Es 9.1–7</w:t>
        </w:r>
      </w:hyperlink>
      <w:r>
        <w:t xml:space="preserve"> ; </w:t>
      </w:r>
      <w:hyperlink r:id="rId12527">
        <w:r>
          <w:rPr>
            <w:color w:val="0000EE"/>
            <w:u w:val="single"/>
          </w:rPr>
          <w:t>Jr 23.5–6</w:t>
        </w:r>
      </w:hyperlink>
      <w:r>
        <w:t xml:space="preserve"> ; </w:t>
      </w:r>
      <w:hyperlink r:id="rId12528">
        <w:r>
          <w:rPr>
            <w:color w:val="0000EE"/>
            <w:u w:val="single"/>
          </w:rPr>
          <w:t>Ez 34.20–31</w:t>
        </w:r>
      </w:hyperlink>
      <w:r>
        <w:t xml:space="preserve"> ; </w:t>
      </w:r>
      <w:hyperlink r:id="rId11902">
        <w:r>
          <w:rPr>
            <w:color w:val="0000EE"/>
            <w:u w:val="single"/>
          </w:rPr>
          <w:t>Os 3.4–5</w:t>
        </w:r>
      </w:hyperlink>
      <w:r>
        <w:t xml:space="preserve">). Dans </w:t>
      </w:r>
      <w:hyperlink r:id="rId1858">
        <w:r>
          <w:rPr>
            <w:color w:val="0000EE"/>
            <w:u w:val="single"/>
          </w:rPr>
          <w:t>Daniel 7</w:t>
        </w:r>
      </w:hyperlink>
      <w:r>
        <w:t xml:space="preserve">, Dieu a révélé la montée et la chute des futurs empires mondiaux et l'établissement de son royaume (voir aussi </w:t>
      </w:r>
      <w:hyperlink r:id="rId12529">
        <w:r>
          <w:rPr>
            <w:color w:val="0000EE"/>
            <w:u w:val="single"/>
          </w:rPr>
          <w:t>Dn 2.31–45</w:t>
        </w:r>
      </w:hyperlink>
      <w:r>
        <w:t>). Le Nouveau Testament décrit souvent le ministère de Christ et l'Église comme accomplissant les prophéties de l'Ancien Testament (</w:t>
      </w:r>
      <w:hyperlink r:id="rId12530">
        <w:r>
          <w:rPr>
            <w:color w:val="0000EE"/>
            <w:u w:val="single"/>
          </w:rPr>
          <w:t>Mt 1.22</w:t>
        </w:r>
      </w:hyperlink>
      <w:r>
        <w:t xml:space="preserve"> ; </w:t>
      </w:r>
      <w:hyperlink r:id="rId12531">
        <w:r>
          <w:rPr>
            <w:color w:val="0000EE"/>
            <w:u w:val="single"/>
          </w:rPr>
          <w:t>4.14</w:t>
        </w:r>
      </w:hyperlink>
      <w:r>
        <w:t xml:space="preserve"> ; </w:t>
      </w:r>
      <w:hyperlink r:id="rId9722">
        <w:r>
          <w:rPr>
            <w:color w:val="0000EE"/>
            <w:u w:val="single"/>
          </w:rPr>
          <w:t>8.17</w:t>
        </w:r>
      </w:hyperlink>
      <w:r>
        <w:t xml:space="preserve"> ; </w:t>
      </w:r>
      <w:hyperlink r:id="rId12532">
        <w:r>
          <w:rPr>
            <w:color w:val="0000EE"/>
            <w:u w:val="single"/>
          </w:rPr>
          <w:t>Jn 12.38–41</w:t>
        </w:r>
      </w:hyperlink>
      <w:r>
        <w:t xml:space="preserve"> ; </w:t>
      </w:r>
      <w:hyperlink r:id="rId12533">
        <w:r>
          <w:rPr>
            <w:color w:val="0000EE"/>
            <w:u w:val="single"/>
          </w:rPr>
          <w:t>Ac 2.17–21</w:t>
        </w:r>
      </w:hyperlink>
      <w:r>
        <w:t xml:space="preserve"> ; </w:t>
      </w:r>
      <w:hyperlink r:id="rId12534">
        <w:r>
          <w:rPr>
            <w:color w:val="0000EE"/>
            <w:u w:val="single"/>
          </w:rPr>
          <w:t>3.22–25</w:t>
        </w:r>
      </w:hyperlink>
      <w:r>
        <w:t xml:space="preserve"> ; </w:t>
      </w:r>
      <w:hyperlink r:id="rId8326">
        <w:r>
          <w:rPr>
            <w:color w:val="0000EE"/>
            <w:u w:val="single"/>
          </w:rPr>
          <w:t>Ga 3.8</w:t>
        </w:r>
      </w:hyperlink>
      <w:r>
        <w:t xml:space="preserve"> ; </w:t>
      </w:r>
      <w:hyperlink r:id="rId6304">
        <w:r>
          <w:rPr>
            <w:color w:val="0000EE"/>
            <w:u w:val="single"/>
          </w:rPr>
          <w:t>Hé 5.6</w:t>
        </w:r>
      </w:hyperlink>
      <w:r>
        <w:t xml:space="preserve"> ; </w:t>
      </w:r>
      <w:hyperlink r:id="rId8651">
        <w:r>
          <w:rPr>
            <w:color w:val="0000EE"/>
            <w:u w:val="single"/>
          </w:rPr>
          <w:t>1P 1.10–12</w:t>
        </w:r>
      </w:hyperlink>
      <w:r>
        <w:t>).</w:t>
      </w:r>
    </w:p>
    <w:p>
      <w:r/>
      <w:r>
        <w:t>Les premiers philosophes grecs croyaient que le destin contrôlait tous les événements futurs, y compris l'histoire humaine et les destinées des dieux. Parfois, les dieux pouvaient connaître un événement futur et le révéler aux gens, mais de tels événements étaient considérés comme immuables. Cette perspective est très différente de la vision biblique d'un Créateur personnel qui connaît l'avenir et guide l'histoire selon son propre dessein.</w:t>
      </w:r>
    </w:p>
    <w:p>
      <w:r/>
      <w:r>
        <w:t>Pendant des siècles, les théologiens et les philosophes ont débattu de la prescience de Dieu et de la liberté humaine. Certains soutiennent que si Dieu sait ce qui se passera à l'avenir, alors cela doit se produire, ce qui rend les choix humains insignifiants.</w:t>
      </w:r>
    </w:p>
    <w:p>
      <w:r/>
      <w:r>
        <w:t>Les théologiens de l'Église primitive ont fermement nié que la prescience signifiait que les événements étaient prédéterminés. Justin Martyr, par exemple, a déclaré : « Si donc nous disons que l'avenir a été prédit, nous ne voulons pas dire par là que la loi fatale du destin domine tout. » En d'autres termes, ce n'est pas parce que Dieu sait ce qui va se passer qu'il le</w:t>
      </w:r>
      <w:r>
        <w:rPr>
          <w:i/>
        </w:rPr>
        <w:t xml:space="preserve"> cause</w:t>
      </w:r>
      <w:r>
        <w:t>.</w:t>
      </w:r>
    </w:p>
    <w:p>
      <w:r/>
      <w:r>
        <w:t>Certains théologiens craignent que la prescience puisse nuire à la liberté humaine. Ainsi, ils soutiennent que Dieu ne connaît pas les événements futurs avec certitude. La « théologie du process » moderne, par exemple, considère que Dieu se développe au gré du développement de la nature et de l'humanité. Cette vision suggère que Dieu ne peut connaître que les événements passés, laissant l'avenir incertain tant pour Dieu que pour les humains. Un théologien plus ancien, Adam Clarke, a suggéré que, bien que Dieu puisse connaître tous les événements futurs, il choisit de ne pas en connaître certains à l'avance.</w:t>
      </w:r>
    </w:p>
    <w:p>
      <w:r/>
      <w:r>
        <w:t>Augustin avait une perspective différente. Il a soutenu que Dieu vit dans l'éternité, où toutes les choses sont présentes en même temps. Pour Dieu, il n'y a ni passé ni futur. Ainsi, ce n'est pas que Dieu « saurait » les choses avant qu'elles ne se produisent, mais plutôt qu'il voit tous les événements depuis un « maintenant » éternel. Cependant, Augustin n'a pas nié la connaissance par Dieu de toutes choses, y compris les événements futurs.</w:t>
      </w:r>
    </w:p>
    <w:p>
      <w:r/>
      <w:r>
        <w:t>Les théologiens évangéliques, s'appuyant sur la Bible, croient que Dieu connaît tous les événements futurs. Cependant, il existe un certain désaccord. Ceux qui suivent Jean Calvin affirment que Dieu connaît tous les événements et détermine ce qui se passera dans l'histoire humaine, même dans les moindres détails. Selon cette perspective, la prescience est étroitement liée à, ou même identifiée à, la prédestination, assurant que les événements futurs se produisent. La plupart des théologiens calvinistes disent que les humains sont responsables de leurs choix et ne sont pas victimes d'un destin aveugle. Ils soutiennent également que Dieu n'est pas l'auteur du péché. Au contraire, le péché provient de la rébellion des anges et des humains contre un Dieu saint et juste.</w:t>
      </w:r>
    </w:p>
    <w:p>
      <w:r/>
      <w:r>
        <w:t>Les évangéliques arminiens, eux, distinguent la prescience de la prédestination des événements. Ils soutiennent que Dieu a prédéterminé l'histoire humaine et le salut du monde. Cependant, les réponses individuelles à Dieu ne sont pas prédéterminées. Par conséquent, Dieu peut avoir la prescience d'un événement sans en être la cause directe.</w:t>
      </w:r>
    </w:p>
    <w:p>
      <w:r/>
      <w:r>
        <w:t>Les chrétiens évangéliques peuvent ne pas être d'accord sur la manière dont la prescience de Dieu se rapporte à l'histoire. Cependant, la Bible enseigne à la fois la prescience de Dieu sur toutes choses et la responsabilité humaine pour leurs choix.</w:t>
      </w:r>
    </w:p>
    <w:p>
      <w:r/>
      <w:r>
        <w:rPr>
          <w:i/>
        </w:rPr>
        <w:t>Voir aussi</w:t>
      </w:r>
      <w:r>
        <w:t xml:space="preserve"> </w:t>
      </w:r>
      <w:r>
        <w:t>Élus, Élection</w:t>
      </w:r>
      <w:r>
        <w:t xml:space="preserve"> ; </w:t>
      </w:r>
      <w:r>
        <w:t>Prédestination</w:t>
      </w:r>
      <w:r>
        <w:t>.</w:t>
      </w:r>
      <w:r/>
      <w:r/>
    </w:p>
    <w:p>
      <w:r/>
    </w:p>
    <w:p>
      <w:pPr>
        <w:pStyle w:val="Heading2"/>
      </w:pPr>
      <w:r>
        <w:t>Présence de Dieu, la</w:t>
      </w:r>
      <w:r/>
    </w:p>
    <w:p>
      <w:r/>
      <w:r>
        <w:t>L'expression, par Dieu, de son être spirituel. Dieu se manifeste aux êtres humains de diverses manières. Même si Dieu est esprit et ne peut être vu, les croyants peuvent toujours ressentir sa présence. Dieu se révèle également à travers la nature. Cela se produit parfois par des événements naturels puissants comme le feu, la foudre et les tremblements de terre (</w:t>
      </w:r>
      <w:hyperlink r:id="rId12535">
        <w:r>
          <w:rPr>
            <w:color w:val="0000EE"/>
            <w:u w:val="single"/>
          </w:rPr>
          <w:t>1R 19.11–13</w:t>
        </w:r>
      </w:hyperlink>
      <w:r>
        <w:t>). À d'autres moments, Dieu apparaît sous la forme d'un humain (</w:t>
      </w:r>
      <w:hyperlink r:id="rId95">
        <w:r>
          <w:rPr>
            <w:color w:val="0000EE"/>
            <w:u w:val="single"/>
          </w:rPr>
          <w:t>Gn 18</w:t>
        </w:r>
      </w:hyperlink>
      <w:r>
        <w:t xml:space="preserve"> ; </w:t>
      </w:r>
      <w:hyperlink r:id="rId12536">
        <w:r>
          <w:rPr>
            <w:color w:val="0000EE"/>
            <w:u w:val="single"/>
          </w:rPr>
          <w:t>32.22–32</w:t>
        </w:r>
      </w:hyperlink>
      <w:r>
        <w:t>). Dieu aide ainsi les gens à savoir qu'il est réel et présent avec eux.</w:t>
      </w:r>
    </w:p>
    <w:p>
      <w:pPr>
        <w:pStyle w:val="Heading3"/>
      </w:pPr>
      <w:r>
        <w:t>La Présence de Dieu dans l'Ancien Testament</w:t>
      </w:r>
    </w:p>
    <w:p>
      <w:pPr>
        <w:pStyle w:val="Heading4"/>
      </w:pPr>
      <w:r>
        <w:t>L'Ange du Seigneur</w:t>
      </w:r>
    </w:p>
    <w:p>
      <w:r/>
      <w:r>
        <w:t>L'ange du Seigneur était le messager de Dieu et le protecteur spécial d'Israël. La Bible mentionne cet ange à plusieurs reprises, bien qu'il ne s'agisse pas toujours du même ange (</w:t>
      </w:r>
      <w:hyperlink r:id="rId913">
        <w:r>
          <w:rPr>
            <w:color w:val="0000EE"/>
            <w:u w:val="single"/>
          </w:rPr>
          <w:t>Ex 14.19</w:t>
        </w:r>
      </w:hyperlink>
      <w:r>
        <w:t xml:space="preserve"> ; </w:t>
      </w:r>
      <w:hyperlink r:id="rId12537">
        <w:r>
          <w:rPr>
            <w:color w:val="0000EE"/>
            <w:u w:val="single"/>
          </w:rPr>
          <w:t>23.20</w:t>
        </w:r>
      </w:hyperlink>
      <w:r>
        <w:t xml:space="preserve"> ; </w:t>
      </w:r>
      <w:hyperlink r:id="rId747">
        <w:r>
          <w:rPr>
            <w:color w:val="0000EE"/>
            <w:u w:val="single"/>
          </w:rPr>
          <w:t>33.2</w:t>
        </w:r>
      </w:hyperlink>
      <w:r>
        <w:t>).</w:t>
      </w:r>
    </w:p>
    <w:p>
      <w:r/>
      <w:r>
        <w:t>Dans plusieurs récits, cet ange semble être Dieu lui-même apparaissant sous la forme d'un ange. Lorsque l'ange disparaît après avoir parlé à Agar, elle dit qu'elle avait vu Dieu lui-même (</w:t>
      </w:r>
      <w:hyperlink r:id="rId3971">
        <w:r>
          <w:rPr>
            <w:color w:val="0000EE"/>
            <w:u w:val="single"/>
          </w:rPr>
          <w:t>Gn 16.13</w:t>
        </w:r>
      </w:hyperlink>
      <w:r>
        <w:t>). Quand l'ange parlera à Jacob, il parla comme s'il était Dieu (</w:t>
      </w:r>
      <w:hyperlink r:id="rId12538">
        <w:r>
          <w:rPr>
            <w:color w:val="0000EE"/>
            <w:u w:val="single"/>
          </w:rPr>
          <w:t>31.11–13</w:t>
        </w:r>
      </w:hyperlink>
      <w:r>
        <w:t xml:space="preserve">). Dans </w:t>
      </w:r>
      <w:hyperlink r:id="rId12539">
        <w:r>
          <w:rPr>
            <w:color w:val="0000EE"/>
            <w:u w:val="single"/>
          </w:rPr>
          <w:t>Genèse 21.18</w:t>
        </w:r>
      </w:hyperlink>
      <w:r>
        <w:t xml:space="preserve">, </w:t>
      </w:r>
      <w:hyperlink r:id="rId107">
        <w:r>
          <w:rPr>
            <w:color w:val="0000EE"/>
            <w:u w:val="single"/>
          </w:rPr>
          <w:t>22.11</w:t>
        </w:r>
      </w:hyperlink>
      <w:r>
        <w:t xml:space="preserve"> et </w:t>
      </w:r>
      <w:hyperlink r:id="rId12540">
        <w:r>
          <w:rPr>
            <w:color w:val="0000EE"/>
            <w:u w:val="single"/>
          </w:rPr>
          <w:t>Nombres 22.35</w:t>
        </w:r>
      </w:hyperlink>
      <w:r>
        <w:t>, l'ange utilise le « je » d'une manière qui démontre la présence de Dieu.</w:t>
      </w:r>
    </w:p>
    <w:p>
      <w:r/>
      <w:r>
        <w:t>Parfois, les récits passent de Dieu à un ange avant de revenir à Dieu (</w:t>
      </w:r>
      <w:hyperlink r:id="rId12541">
        <w:r>
          <w:rPr>
            <w:color w:val="0000EE"/>
            <w:u w:val="single"/>
          </w:rPr>
          <w:t>Ex 12.23</w:t>
        </w:r>
      </w:hyperlink>
      <w:r>
        <w:t xml:space="preserve"> ; </w:t>
      </w:r>
      <w:hyperlink r:id="rId12542">
        <w:r>
          <w:rPr>
            <w:color w:val="0000EE"/>
            <w:u w:val="single"/>
          </w:rPr>
          <w:t>Gn 48.15–16</w:t>
        </w:r>
      </w:hyperlink>
      <w:r>
        <w:t>). Dans ces récits, Dieu choisissait de se manifester sous forme angélique pour un temps. Cela aidait à montrer à son peuple qu'il était réellement présent avec eux.</w:t>
      </w:r>
    </w:p>
    <w:p>
      <w:pPr>
        <w:pStyle w:val="Heading4"/>
      </w:pPr>
      <w:r>
        <w:t>La Gloire de Dieu</w:t>
      </w:r>
    </w:p>
    <w:p>
      <w:r/>
      <w:r>
        <w:t>La gloire est ce que Dieu possède de plein droit. Il s'agit d'une extension visible de sa nature. Les cieux sont une forme visible de la présence de Dieu, car ils sont sa gloire (</w:t>
      </w:r>
      <w:hyperlink r:id="rId2659">
        <w:r>
          <w:rPr>
            <w:color w:val="0000EE"/>
            <w:u w:val="single"/>
          </w:rPr>
          <w:t>Ps 8</w:t>
        </w:r>
      </w:hyperlink>
      <w:r>
        <w:t xml:space="preserve"> ; </w:t>
      </w:r>
      <w:hyperlink r:id="rId2660">
        <w:r>
          <w:rPr>
            <w:color w:val="0000EE"/>
            <w:u w:val="single"/>
          </w:rPr>
          <w:t>19.1–6</w:t>
        </w:r>
      </w:hyperlink>
      <w:r>
        <w:t xml:space="preserve"> ; </w:t>
      </w:r>
      <w:hyperlink r:id="rId12543">
        <w:r>
          <w:rPr>
            <w:color w:val="0000EE"/>
            <w:u w:val="single"/>
          </w:rPr>
          <w:t>136.5</w:t>
        </w:r>
      </w:hyperlink>
      <w:r>
        <w:t>). La gloire qui est apparue à Israël comme un feu dévorant sur le Sinaï a également rempli le tabernacle (</w:t>
      </w:r>
      <w:hyperlink r:id="rId12544">
        <w:r>
          <w:rPr>
            <w:color w:val="0000EE"/>
            <w:u w:val="single"/>
          </w:rPr>
          <w:t>Ex 29.43</w:t>
        </w:r>
      </w:hyperlink>
      <w:r>
        <w:t xml:space="preserve"> ; </w:t>
      </w:r>
      <w:hyperlink r:id="rId2867">
        <w:r>
          <w:rPr>
            <w:color w:val="0000EE"/>
            <w:u w:val="single"/>
          </w:rPr>
          <w:t>40.34–38</w:t>
        </w:r>
      </w:hyperlink>
      <w:r>
        <w:t xml:space="preserve">). Par elle, Dieu a consacré le tabernacle comme le lieu de sa présence. Dans </w:t>
      </w:r>
      <w:hyperlink r:id="rId932">
        <w:r>
          <w:rPr>
            <w:color w:val="0000EE"/>
            <w:u w:val="single"/>
          </w:rPr>
          <w:t>Ésaïe 6</w:t>
        </w:r>
      </w:hyperlink>
      <w:r>
        <w:t>, la gloire apparaît comme l'expression normale de la présence divine. Dans Ézéchiel, la gloire est identique à Dieu (</w:t>
      </w:r>
      <w:hyperlink r:id="rId12545">
        <w:r>
          <w:rPr>
            <w:color w:val="0000EE"/>
            <w:u w:val="single"/>
          </w:rPr>
          <w:t>Ez 9.3–4</w:t>
        </w:r>
      </w:hyperlink>
      <w:r>
        <w:t>). Tout au long de l'Ancien Testament, la gloire de Dieu est le Dieu qui dépasse la compréhension humaine, rendant sa présence et sa proximité visibles à son propre peuple.</w:t>
      </w:r>
    </w:p>
    <w:p>
      <w:pPr>
        <w:pStyle w:val="Heading4"/>
      </w:pPr>
      <w:r>
        <w:t>La Face de Dieu</w:t>
      </w:r>
    </w:p>
    <w:p>
      <w:r/>
      <w:r>
        <w:t xml:space="preserve">Dans l'Ancien Testament, le terme « présence » est utilisé pour représenter le mot hébreu pour « face » ou « visage ». Lorsque « face » est utilisé avec une préposition, cela signifie « en présence de ». Dans </w:t>
      </w:r>
      <w:hyperlink r:id="rId6954">
        <w:r>
          <w:rPr>
            <w:color w:val="0000EE"/>
            <w:u w:val="single"/>
          </w:rPr>
          <w:t>Genèse 32.30,</w:t>
        </w:r>
      </w:hyperlink>
      <w:r>
        <w:t xml:space="preserve"> Jacob a vu Dieu « face à face ». La personnalité et le caractère d'un être humain sont rendus visibles sur son visage. Dans ce sens, le visage d'une personne est sa personne. Ainsi, « </w:t>
      </w:r>
      <w:r>
        <w:t>l’ange qui est devant sa face [ou en sa présence]</w:t>
      </w:r>
      <w:r>
        <w:t xml:space="preserve"> » dans </w:t>
      </w:r>
      <w:hyperlink r:id="rId12546">
        <w:r>
          <w:rPr>
            <w:color w:val="0000EE"/>
            <w:u w:val="single"/>
          </w:rPr>
          <w:t>Ésaïe 63.9</w:t>
        </w:r>
      </w:hyperlink>
      <w:r>
        <w:t xml:space="preserve"> peut signifier « l'ange qui est son visage ». Le prophète Ésaïe a peut-être cherché intentionnellement à mettre en lumière cette identification.</w:t>
      </w:r>
    </w:p>
    <w:p>
      <w:r/>
      <w:r>
        <w:t>La face de Dieu représente sa grâce. Ainsi, lorsqu'il « cache sa face », il retient sa grâce. Mais lorsqu'il fait luire sa face, il y a bénédiction (</w:t>
      </w:r>
      <w:hyperlink r:id="rId12547">
        <w:r>
          <w:rPr>
            <w:color w:val="0000EE"/>
            <w:u w:val="single"/>
          </w:rPr>
          <w:t>Ps 31.16</w:t>
        </w:r>
      </w:hyperlink>
      <w:r>
        <w:t xml:space="preserve"> ; </w:t>
      </w:r>
      <w:hyperlink r:id="rId9277">
        <w:r>
          <w:rPr>
            <w:color w:val="0000EE"/>
            <w:u w:val="single"/>
          </w:rPr>
          <w:t>44.3</w:t>
        </w:r>
      </w:hyperlink>
      <w:r>
        <w:t>). La face de Dieu est donc la présence de Dieu (</w:t>
      </w:r>
      <w:hyperlink r:id="rId12548">
        <w:r>
          <w:rPr>
            <w:color w:val="0000EE"/>
            <w:u w:val="single"/>
          </w:rPr>
          <w:t>Ex 33.14</w:t>
        </w:r>
      </w:hyperlink>
      <w:r>
        <w:t>). Prier Dieu dans un lieu saint était « chercher la face de Dieu », c'est-à-dire sa présence personnelle (</w:t>
      </w:r>
      <w:hyperlink r:id="rId12549">
        <w:r>
          <w:rPr>
            <w:color w:val="0000EE"/>
            <w:u w:val="single"/>
          </w:rPr>
          <w:t>Ps 24.6</w:t>
        </w:r>
      </w:hyperlink>
      <w:r>
        <w:t>). Cela décrit le culte au temple et la prière privée en Israël (</w:t>
      </w:r>
      <w:hyperlink r:id="rId12550">
        <w:r>
          <w:rPr>
            <w:color w:val="0000EE"/>
            <w:u w:val="single"/>
          </w:rPr>
          <w:t>63.1–3</w:t>
        </w:r>
      </w:hyperlink>
      <w:r>
        <w:t xml:space="preserve"> ; </w:t>
      </w:r>
      <w:hyperlink r:id="rId12551">
        <w:r>
          <w:rPr>
            <w:color w:val="0000EE"/>
            <w:u w:val="single"/>
          </w:rPr>
          <w:t>100.2</w:t>
        </w:r>
      </w:hyperlink>
      <w:r>
        <w:t>). Les gens étaient bénis lorsque Dieu leur montrait sa bonté, que la Bible décrit comme le visage de Dieu brillant sur eux (</w:t>
      </w:r>
      <w:hyperlink r:id="rId12552">
        <w:r>
          <w:rPr>
            <w:color w:val="0000EE"/>
            <w:u w:val="single"/>
          </w:rPr>
          <w:t>Nb 6.25</w:t>
        </w:r>
      </w:hyperlink>
      <w:r>
        <w:t xml:space="preserve"> ; </w:t>
      </w:r>
      <w:hyperlink r:id="rId12553">
        <w:r>
          <w:rPr>
            <w:color w:val="0000EE"/>
            <w:u w:val="single"/>
          </w:rPr>
          <w:t>Ps 80.3, 7, 19</w:t>
        </w:r>
      </w:hyperlink>
      <w:r>
        <w:t>).</w:t>
      </w:r>
    </w:p>
    <w:p>
      <w:pPr>
        <w:pStyle w:val="Heading4"/>
      </w:pPr>
      <w:r>
        <w:t>Le Nom de Dieu</w:t>
      </w:r>
    </w:p>
    <w:p>
      <w:r/>
      <w:r>
        <w:t>Parmi les personnes qui parlaient des langues sémitiques, telles que l'hébreu et l'arabe, l'équation du nom et de la personne était une idée courante. Le nom de Dieu était également un terme interchangeable pour Dieu lui-même. Il s'agissait d'un symbole de son activité révélatrice. Lorsque l'on adorait en utilisant le nom de Dieu, on ressentait sa puissance (</w:t>
      </w:r>
      <w:hyperlink r:id="rId12554">
        <w:r>
          <w:rPr>
            <w:color w:val="0000EE"/>
            <w:u w:val="single"/>
          </w:rPr>
          <w:t>Ps 44.5</w:t>
        </w:r>
      </w:hyperlink>
      <w:r>
        <w:t xml:space="preserve"> ; </w:t>
      </w:r>
      <w:hyperlink r:id="rId12555">
        <w:r>
          <w:rPr>
            <w:color w:val="0000EE"/>
            <w:u w:val="single"/>
          </w:rPr>
          <w:t>89.24</w:t>
        </w:r>
      </w:hyperlink>
      <w:r>
        <w:t xml:space="preserve"> ; </w:t>
      </w:r>
      <w:hyperlink r:id="rId12556">
        <w:r>
          <w:rPr>
            <w:color w:val="0000EE"/>
            <w:u w:val="single"/>
          </w:rPr>
          <w:t>Es 30.27</w:t>
        </w:r>
      </w:hyperlink>
      <w:r>
        <w:t>). C'était une façon de décrire la puissance de Dieu qui répand de l'aide et de l'énergie à tout le monde.</w:t>
      </w:r>
    </w:p>
    <w:p>
      <w:r/>
      <w:r>
        <w:t>Dieu pouvait agir par son nom. L'ange de l'autorité et de la puissance du Seigneur agissait parce que le nom de Dieu était en lui (</w:t>
      </w:r>
      <w:hyperlink r:id="rId12557">
        <w:r>
          <w:rPr>
            <w:color w:val="0000EE"/>
            <w:u w:val="single"/>
          </w:rPr>
          <w:t>Ex 23.20–21</w:t>
        </w:r>
      </w:hyperlink>
      <w:r>
        <w:t>). En tant que porteur du nom divin, l'ange rendait réelle la présence dissimulée de Dieu. Le temple était la demeure de son nom (</w:t>
      </w:r>
      <w:hyperlink r:id="rId12558">
        <w:r>
          <w:rPr>
            <w:color w:val="0000EE"/>
            <w:u w:val="single"/>
          </w:rPr>
          <w:t>1R 11.36</w:t>
        </w:r>
      </w:hyperlink>
      <w:r>
        <w:t>). On priait Dieu dans le temple, mais c'était plus qu'un simple lieu de prière : c'était le lieu où Dieu avait choisi de vivre parmi son peuple.</w:t>
      </w:r>
    </w:p>
    <w:p>
      <w:pPr>
        <w:pStyle w:val="Heading4"/>
      </w:pPr>
      <w:r>
        <w:t>L'Esprit de Dieu</w:t>
      </w:r>
    </w:p>
    <w:p>
      <w:r/>
      <w:r>
        <w:t>Le Saint-Esprit aide à ressentir la présence de Dieu. Même si Dieu dépasse la compréhension humaine, le Saint-Esprit contribue à le rapprocher de son peuple. La présence de Dieu devient réelle parmi son peuple grâce à l'Esprit (</w:t>
      </w:r>
      <w:hyperlink r:id="rId12559">
        <w:r>
          <w:rPr>
            <w:color w:val="0000EE"/>
            <w:u w:val="single"/>
          </w:rPr>
          <w:t>Es 63.11–14</w:t>
        </w:r>
      </w:hyperlink>
      <w:r>
        <w:t xml:space="preserve"> ; </w:t>
      </w:r>
      <w:hyperlink r:id="rId12560">
        <w:r>
          <w:rPr>
            <w:color w:val="0000EE"/>
            <w:u w:val="single"/>
          </w:rPr>
          <w:t>Za 7.12</w:t>
        </w:r>
      </w:hyperlink>
      <w:r>
        <w:t>). Par l'Esprit, les dons et la puissance de Dieu sont à l'œuvre parmi son peuple (</w:t>
      </w:r>
      <w:hyperlink r:id="rId4041">
        <w:r>
          <w:rPr>
            <w:color w:val="0000EE"/>
            <w:u w:val="single"/>
          </w:rPr>
          <w:t>2Ch 15.1</w:t>
        </w:r>
      </w:hyperlink>
      <w:r>
        <w:t xml:space="preserve"> ; </w:t>
      </w:r>
      <w:hyperlink r:id="rId12561">
        <w:r>
          <w:rPr>
            <w:color w:val="0000EE"/>
            <w:u w:val="single"/>
          </w:rPr>
          <w:t>20.14</w:t>
        </w:r>
      </w:hyperlink>
      <w:r>
        <w:t xml:space="preserve"> ; </w:t>
      </w:r>
      <w:hyperlink r:id="rId12562">
        <w:r>
          <w:rPr>
            <w:color w:val="0000EE"/>
            <w:u w:val="single"/>
          </w:rPr>
          <w:t>24.20</w:t>
        </w:r>
      </w:hyperlink>
      <w:r>
        <w:t xml:space="preserve"> ; </w:t>
      </w:r>
      <w:hyperlink r:id="rId12563">
        <w:r>
          <w:rPr>
            <w:color w:val="0000EE"/>
            <w:u w:val="single"/>
          </w:rPr>
          <w:t>Za 4.6</w:t>
        </w:r>
      </w:hyperlink>
      <w:r>
        <w:t xml:space="preserve"> ; </w:t>
      </w:r>
      <w:hyperlink r:id="rId12564">
        <w:r>
          <w:rPr>
            <w:color w:val="0000EE"/>
            <w:u w:val="single"/>
          </w:rPr>
          <w:t>6.1–8</w:t>
        </w:r>
      </w:hyperlink>
      <w:r>
        <w:t>).</w:t>
      </w:r>
    </w:p>
    <w:p>
      <w:r/>
      <w:r>
        <w:t>L'Esprit était la présence et la puissance de Dieu avec son peuple. Dieu lui-même agit par sa nature. Le pécheur ne peut être en présence de Dieu sans l'aide du Saint-Esprit de Dieu. Être sans le Saint-Esprit, c'est être sans la présence de Dieu (</w:t>
      </w:r>
      <w:hyperlink r:id="rId4037">
        <w:r>
          <w:rPr>
            <w:color w:val="0000EE"/>
            <w:u w:val="single"/>
          </w:rPr>
          <w:t>Ps 51.11</w:t>
        </w:r>
      </w:hyperlink>
      <w:r>
        <w:t>). Sans l'Esprit, la communion entre Dieu et l'humain n'est pas possible.</w:t>
      </w:r>
    </w:p>
    <w:p>
      <w:pPr>
        <w:pStyle w:val="Heading3"/>
      </w:pPr>
      <w:r>
        <w:t>La Présence de Dieu dans le Nouveau Testament</w:t>
      </w:r>
    </w:p>
    <w:p>
      <w:r/>
      <w:r>
        <w:t>Dans le Nouveau Testament, Dieu se manifeste à l'humanité d'une nouvelle manière à travers Jésus-Christ. Lorsque Jésus est venu vivre parmi les êtres humains, il leur a montré à quoi ressemblait réellement Dieu (</w:t>
      </w:r>
      <w:hyperlink r:id="rId12565">
        <w:r>
          <w:rPr>
            <w:color w:val="0000EE"/>
            <w:u w:val="single"/>
          </w:rPr>
          <w:t>Jn 1.14–18</w:t>
        </w:r>
      </w:hyperlink>
      <w:r>
        <w:t xml:space="preserve"> ; </w:t>
      </w:r>
      <w:hyperlink r:id="rId12566">
        <w:r>
          <w:rPr>
            <w:color w:val="0000EE"/>
            <w:u w:val="single"/>
          </w:rPr>
          <w:t>17.6, 26</w:t>
        </w:r>
      </w:hyperlink>
      <w:r>
        <w:t>). La mission de Jésus était de révéler Dieu à l'humanité. Il l'a fait à travers l'œuvre de toute sa vie et ses paroles.</w:t>
      </w:r>
    </w:p>
    <w:p>
      <w:r/>
      <w:r>
        <w:t>Le nom « Jésus » lui-même était important car il signifie « Le Seigneur sauve ». Ce nom montrait ce que fait Dieu : il sauve. Grâce à Jésus, on peut pleinement comprendre le sens du nom de Dieu.</w:t>
      </w:r>
    </w:p>
    <w:p>
      <w:r/>
      <w:r>
        <w:t>Autrefois, on rencontrait Dieu au temple. Désormais, Jésus est devenu comme un nouveau temple où l'on peut rencontrer Dieu (</w:t>
      </w:r>
      <w:hyperlink r:id="rId1968">
        <w:r>
          <w:rPr>
            <w:color w:val="0000EE"/>
            <w:u w:val="single"/>
          </w:rPr>
          <w:t>Jn 1.14</w:t>
        </w:r>
      </w:hyperlink>
      <w:r>
        <w:t xml:space="preserve"> ; </w:t>
      </w:r>
      <w:hyperlink r:id="rId5508">
        <w:r>
          <w:rPr>
            <w:color w:val="0000EE"/>
            <w:u w:val="single"/>
          </w:rPr>
          <w:t>2.21</w:t>
        </w:r>
      </w:hyperlink>
      <w:r>
        <w:t xml:space="preserve"> ; </w:t>
      </w:r>
      <w:hyperlink r:id="rId2928">
        <w:r>
          <w:rPr>
            <w:color w:val="0000EE"/>
            <w:u w:val="single"/>
          </w:rPr>
          <w:t>Col 2.9</w:t>
        </w:r>
      </w:hyperlink>
      <w:r>
        <w:t>). Dieu était pleinement présent en Jésus. Ce n'était que le début de la manière dont Dieu se montrerait aux gens de nouvelles manières.</w:t>
      </w:r>
    </w:p>
    <w:p>
      <w:r/>
      <w:r>
        <w:t>Dans le Nouveau Testament, l'Église devient le temple de Dieu d'une nouvelle manière. Le christianisme, en tant que religion, consiste à vivre dans la proximité de Dieu et à entretenir une relation avec lui. Le corps de Christ (c'est-à-dire l'Église) est comme un temple spirituel (</w:t>
      </w:r>
      <w:hyperlink r:id="rId12567">
        <w:r>
          <w:rPr>
            <w:color w:val="0000EE"/>
            <w:u w:val="single"/>
          </w:rPr>
          <w:t>Ep 2.22</w:t>
        </w:r>
      </w:hyperlink>
      <w:r>
        <w:t>). Il est constitué de « pierres vivantes » (</w:t>
      </w:r>
      <w:hyperlink r:id="rId6477">
        <w:r>
          <w:rPr>
            <w:color w:val="0000EE"/>
            <w:u w:val="single"/>
          </w:rPr>
          <w:t>1P 2.5</w:t>
        </w:r>
      </w:hyperlink>
      <w:r>
        <w:t>) et est la résidence de la présence du Dieu glorieux.</w:t>
      </w:r>
    </w:p>
    <w:p>
      <w:r/>
      <w:r>
        <w:t>Le chrétien individuel est désormais également un temple de Dieu (</w:t>
      </w:r>
      <w:hyperlink r:id="rId12568">
        <w:r>
          <w:rPr>
            <w:color w:val="0000EE"/>
            <w:u w:val="single"/>
          </w:rPr>
          <w:t>1Co 3.16–17</w:t>
        </w:r>
      </w:hyperlink>
      <w:r>
        <w:t xml:space="preserve"> ; </w:t>
      </w:r>
      <w:hyperlink r:id="rId2322">
        <w:r>
          <w:rPr>
            <w:color w:val="0000EE"/>
            <w:u w:val="single"/>
          </w:rPr>
          <w:t>6.19</w:t>
        </w:r>
      </w:hyperlink>
      <w:r>
        <w:t xml:space="preserve"> ; </w:t>
      </w:r>
      <w:hyperlink r:id="rId12569">
        <w:r>
          <w:rPr>
            <w:color w:val="0000EE"/>
            <w:u w:val="single"/>
          </w:rPr>
          <w:t>2Co 6.16</w:t>
        </w:r>
      </w:hyperlink>
      <w:r>
        <w:t xml:space="preserve">). Dieu est particulièrement présent dans l'esprit du chrétien. Dieu y règne, car là est son royaume. C'est là que Dieu est adoré. Dans le chrétien individuel, la gloire et la présence de Dieu ont consacré la personne intérieure pour en faire un temple (voir </w:t>
      </w:r>
      <w:hyperlink r:id="rId2983">
        <w:r>
          <w:rPr>
            <w:color w:val="0000EE"/>
            <w:u w:val="single"/>
          </w:rPr>
          <w:t>Jn 14.23</w:t>
        </w:r>
      </w:hyperlink>
      <w:r>
        <w:t>).</w:t>
      </w:r>
    </w:p>
    <w:p>
      <w:r/>
      <w:r>
        <w:rPr>
          <w:i/>
        </w:rPr>
        <w:t>Voir aussi</w:t>
      </w:r>
      <w:r>
        <w:t xml:space="preserve"> </w:t>
      </w:r>
      <w:r>
        <w:t>Dieu, Être et attributs de</w:t>
      </w:r>
      <w:r>
        <w:t>.</w:t>
      </w:r>
      <w:r/>
      <w:r/>
    </w:p>
    <w:p>
      <w:r/>
    </w:p>
    <w:p>
      <w:pPr>
        <w:pStyle w:val="Heading2"/>
      </w:pPr>
      <w:r>
        <w:t>Prière</w:t>
      </w:r>
      <w:r/>
    </w:p>
    <w:p>
      <w:r/>
      <w:r>
        <w:t>S'adresser à Dieu ; supplications offertes à Dieu. La prière à un dieu ou à des dieux est une caractéristique de nombreuses religions, sinon de toutes, mais ici l'attention sera limitée à l'enseignement biblique et à certaines de ses implications. Une définition classique de la prière chrétienne est « une offrande de nos désirs à Dieu, pour des choses conformes à sa volonté, au nom de Christ, avec la confession de nos péchés, et la reconnaissance pleine de gratitude de ses grâces. » (Petit Catéchisme de Westminster) La prière chrétienne est le résultat final d'un long processus de changement et de développement dans la relation de Dieu avec les humains, comme le montre un examen des données bibliques.</w:t>
      </w:r>
    </w:p>
    <w:p>
      <w:pPr>
        <w:pStyle w:val="Heading3"/>
      </w:pPr>
      <w:r>
        <w:t>La Prière dans l'Ancien Testament</w:t>
      </w:r>
    </w:p>
    <w:p>
      <w:r/>
      <w:r>
        <w:t>Les humains nouvellement créés, conçus pour la communion avec Dieu, vivaient en étroite communion avec lui. Le péché a rompu cette relation intime et directe. Néanmoins, lorsque le Seigneur a conclu son alliance avec Abraham (</w:t>
      </w:r>
      <w:hyperlink r:id="rId546">
        <w:r>
          <w:rPr>
            <w:color w:val="0000EE"/>
            <w:u w:val="single"/>
          </w:rPr>
          <w:t>Gn 15</w:t>
        </w:r>
      </w:hyperlink>
      <w:r>
        <w:t xml:space="preserve">), la relation entre les partenaires de l'alliance a été rétablie. La prière d'Abraham pour Sodome et Gomorrhe (chap. </w:t>
      </w:r>
      <w:hyperlink r:id="rId95">
        <w:r>
          <w:rPr>
            <w:color w:val="0000EE"/>
            <w:u w:val="single"/>
          </w:rPr>
          <w:t>18</w:t>
        </w:r>
      </w:hyperlink>
      <w:r>
        <w:t xml:space="preserve">) est une combinaison frappante d'audace et de persévérance, tout en reconnaissant sa propre petitesse et infériorité par rapport à Dieu. On pourrait en dire autant de la lutte de Jacob avec l'ange à Peniel (chap. </w:t>
      </w:r>
      <w:hyperlink r:id="rId6021">
        <w:r>
          <w:rPr>
            <w:color w:val="0000EE"/>
            <w:u w:val="single"/>
          </w:rPr>
          <w:t>32</w:t>
        </w:r>
      </w:hyperlink>
      <w:r>
        <w:t xml:space="preserve">). Cependant, l'audace et la franchise ne doivent pas être confondues avec la familiarité. La prière biblique est caractérisée par la réalité qu'il existe une distance entre le Créateur et la créature en raison du péché humain, comblée uniquement par la grâce de Dieu. Le fondement de l'approche d'une personne envers Dieu dans la prière n'est jamais simplement « la recherche de Dieu par l'homme », mais l'initiative gracieuse de Dieu, l'établissement de l'alliance, et la promesse de secours et de délivrance sur la base de cette alliance. C'est cette relation d'alliance qui offre la </w:t>
      </w:r>
      <w:r>
        <w:rPr>
          <w:i/>
        </w:rPr>
        <w:t>légitimité</w:t>
      </w:r>
      <w:r>
        <w:t xml:space="preserve"> de la prière. Ainsi, à l'époque patriarcale, la prière était conjointe au sacrifice et à l'obéissance.</w:t>
      </w:r>
    </w:p>
    <w:p>
      <w:r/>
      <w:r>
        <w:t>Le rétablissement de la conscience nationale d'Israël lors de leur délivrance d'Égypte marque une autre phase dans le développement biblique. Moïse n'était pas seulement le chef politique d'Israël, mais aussi leur médiateur et intercesseur divinement désigné auprès du Seigneur. À plusieurs reprises, il invoque le nom du Seigneur face aux incertitudes humaines du voyage dans le désert ainsi qu'à l'incrédulité et la désobéissance de son propre peuple. Invoquer le nom du Seigneur ne doit pas être considéré comme une incantation, mais comme un rappel à Dieu de qui il s'est révélé être (la révélation de Dieu à Moïse au buisson ardent est fondamentale pour comprendre cela). Dans cette révélation de lui-même, Dieu a fait des promesses à son peuple, et dans la prière, Moïse plaçait Dieu devant ces promesses pour qu'il les garde. Moïse n'était en aucun cas le seul intercesseur. Aaron, Samuel, Salomon et Ézéchias faisaient partie de ceux qui intercédaient pour le peuple.</w:t>
      </w:r>
    </w:p>
    <w:p>
      <w:r/>
      <w:r>
        <w:t xml:space="preserve">Avec la formation du sacerdoce et l'établissement du culte rituel du tabernacle et plus tard du temple, l'adoration de Dieu semble être caractérisée par la distance. Il y a peu d'indications que le peuple priait personnellement Dieu, et, à l'exception de </w:t>
      </w:r>
      <w:hyperlink r:id="rId12570">
        <w:r>
          <w:rPr>
            <w:color w:val="0000EE"/>
            <w:u w:val="single"/>
          </w:rPr>
          <w:t>Deutéronome 26.1–15</w:t>
        </w:r>
      </w:hyperlink>
      <w:r>
        <w:t>, il n'est rien dit concernant la prière dans toutes les instructions pour le culte données au peuple. Cependant, il y a bien une indication dans les psaumes que le sacrifice et la prière seraient associés (</w:t>
      </w:r>
      <w:hyperlink r:id="rId12571">
        <w:r>
          <w:rPr>
            <w:color w:val="0000EE"/>
            <w:u w:val="single"/>
          </w:rPr>
          <w:t>Ps 50.7–15</w:t>
        </w:r>
      </w:hyperlink>
      <w:r>
        <w:t xml:space="preserve"> ; </w:t>
      </w:r>
      <w:hyperlink r:id="rId12572">
        <w:r>
          <w:rPr>
            <w:color w:val="0000EE"/>
            <w:u w:val="single"/>
          </w:rPr>
          <w:t>55.14</w:t>
        </w:r>
      </w:hyperlink>
      <w:r>
        <w:t xml:space="preserve">). Beaucoup de psaumes sont remarquables par la manière dont les perplexités personnelles sont reconnues, menant à des « disputes avec Dieu » et à une résolution ultime du conflit (voir, par exemple, </w:t>
      </w:r>
      <w:hyperlink r:id="rId11770">
        <w:r>
          <w:rPr>
            <w:color w:val="0000EE"/>
            <w:u w:val="single"/>
          </w:rPr>
          <w:t>Ps 73</w:t>
        </w:r>
      </w:hyperlink>
      <w:r>
        <w:t>).</w:t>
      </w:r>
    </w:p>
    <w:p>
      <w:r/>
      <w:r>
        <w:t>Les prophètes étaient des hommes de prière, et il semble que la Parole de Dieu leur parvenait dans la prière (</w:t>
      </w:r>
      <w:hyperlink r:id="rId12573">
        <w:r>
          <w:rPr>
            <w:color w:val="0000EE"/>
            <w:u w:val="single"/>
          </w:rPr>
          <w:t>Es 6.5–13</w:t>
        </w:r>
      </w:hyperlink>
      <w:r>
        <w:t xml:space="preserve"> ; </w:t>
      </w:r>
      <w:hyperlink r:id="rId12574">
        <w:r>
          <w:rPr>
            <w:color w:val="0000EE"/>
            <w:u w:val="single"/>
          </w:rPr>
          <w:t>37.1–4</w:t>
        </w:r>
      </w:hyperlink>
      <w:r>
        <w:t xml:space="preserve"> ; </w:t>
      </w:r>
      <w:hyperlink r:id="rId12575">
        <w:r>
          <w:rPr>
            <w:color w:val="0000EE"/>
            <w:u w:val="single"/>
          </w:rPr>
          <w:t>Jr 11.20–23</w:t>
        </w:r>
      </w:hyperlink>
      <w:r>
        <w:t>). Le ministère de Jérémie se distinguait par des moments de conflit dans la prière (</w:t>
      </w:r>
      <w:hyperlink r:id="rId12576">
        <w:r>
          <w:rPr>
            <w:color w:val="0000EE"/>
            <w:u w:val="single"/>
          </w:rPr>
          <w:t>Jr 18.19–23</w:t>
        </w:r>
      </w:hyperlink>
      <w:r>
        <w:t xml:space="preserve"> ; </w:t>
      </w:r>
      <w:hyperlink r:id="rId12577">
        <w:r>
          <w:rPr>
            <w:color w:val="0000EE"/>
            <w:u w:val="single"/>
          </w:rPr>
          <w:t>20.7–18</w:t>
        </w:r>
      </w:hyperlink>
      <w:r>
        <w:t>) ainsi que par des moments plus paisibles de communion avec Dieu (</w:t>
      </w:r>
      <w:hyperlink r:id="rId12578">
        <w:r>
          <w:rPr>
            <w:color w:val="0000EE"/>
            <w:u w:val="single"/>
          </w:rPr>
          <w:t>10.23–25</w:t>
        </w:r>
      </w:hyperlink>
      <w:r>
        <w:t xml:space="preserve"> ; </w:t>
      </w:r>
      <w:hyperlink r:id="rId12579">
        <w:r>
          <w:rPr>
            <w:color w:val="0000EE"/>
            <w:u w:val="single"/>
          </w:rPr>
          <w:t>12.1–4</w:t>
        </w:r>
      </w:hyperlink>
      <w:r>
        <w:t xml:space="preserve"> ; </w:t>
      </w:r>
      <w:hyperlink r:id="rId12580">
        <w:r>
          <w:rPr>
            <w:color w:val="0000EE"/>
            <w:u w:val="single"/>
          </w:rPr>
          <w:t>14.7–9</w:t>
        </w:r>
      </w:hyperlink>
      <w:r>
        <w:t xml:space="preserve"> ; </w:t>
      </w:r>
      <w:hyperlink r:id="rId12581">
        <w:r>
          <w:rPr>
            <w:color w:val="0000EE"/>
            <w:u w:val="single"/>
          </w:rPr>
          <w:t>15.15–18</w:t>
        </w:r>
      </w:hyperlink>
      <w:r>
        <w:t>). Lors de l'exil, avec l'établissement de la synagogue, la prière collective est devenue un élément du culte juif. Après l'exil, l'accent a été mis sur la spontanéité dans la prière et sur la nécessité que la dévotion soit plus que mécanique et routinière (</w:t>
      </w:r>
      <w:hyperlink r:id="rId12582">
        <w:r>
          <w:rPr>
            <w:color w:val="0000EE"/>
            <w:u w:val="single"/>
          </w:rPr>
          <w:t>Né 2.4</w:t>
        </w:r>
      </w:hyperlink>
      <w:r>
        <w:t xml:space="preserve"> ; </w:t>
      </w:r>
      <w:hyperlink r:id="rId12583">
        <w:r>
          <w:rPr>
            <w:color w:val="0000EE"/>
            <w:u w:val="single"/>
          </w:rPr>
          <w:t>4.4, 9</w:t>
        </w:r>
      </w:hyperlink>
      <w:r>
        <w:t>).</w:t>
      </w:r>
    </w:p>
    <w:p>
      <w:pPr>
        <w:pStyle w:val="Heading3"/>
      </w:pPr>
      <w:r>
        <w:t>La Prière dans le Nouveau Testament</w:t>
      </w:r>
    </w:p>
    <w:p>
      <w:r/>
      <w:r>
        <w:t>L'enseignement du NT sur la prière est dominé par l'exemple et l'enseignement de Christ lui-même. Sa dépendance envers son Père dans son œuvre de médiation s'exprime par des prières répétées, avec comme point culminant sa prière sacerdotale (</w:t>
      </w:r>
      <w:hyperlink r:id="rId9903">
        <w:r>
          <w:rPr>
            <w:color w:val="0000EE"/>
            <w:u w:val="single"/>
          </w:rPr>
          <w:t>Jn 17</w:t>
        </w:r>
      </w:hyperlink>
      <w:r>
        <w:t>) et l'agonie de Gethsémané avec la prière depuis la Croix. Son enseignement sur la prière, en particulier dans le Sermon sur la Montagne, doit être compris comme contrastant avec les pratiques juives de l'époque, et non avec les idéaux de l'AT. La prière est l'expression d'un désir sincère. Elle n'est pas destinée à informer Dieu de choses dont il serait autrement ignorant, et la validité de la prière n'est pas affectée par sa longueur ou sa répétitivité. La prière privée doit être discrète et secrète (</w:t>
      </w:r>
      <w:hyperlink r:id="rId12584">
        <w:r>
          <w:rPr>
            <w:color w:val="0000EE"/>
            <w:u w:val="single"/>
          </w:rPr>
          <w:t>Mt 6.5–15</w:t>
        </w:r>
      </w:hyperlink>
      <w:r>
        <w:t>).</w:t>
      </w:r>
    </w:p>
    <w:p>
      <w:r/>
      <w:r>
        <w:t>Les paraboles sont une autre source importante de l'enseignement de Christ, mettant l'accent sur la persistance dans la prière (</w:t>
      </w:r>
      <w:hyperlink r:id="rId11908">
        <w:r>
          <w:rPr>
            <w:color w:val="0000EE"/>
            <w:u w:val="single"/>
          </w:rPr>
          <w:t>Lc 18.1–8</w:t>
        </w:r>
      </w:hyperlink>
      <w:r>
        <w:t>), la simplicité et l'humilité (v.</w:t>
      </w:r>
      <w:hyperlink r:id="rId12585">
        <w:r>
          <w:rPr>
            <w:color w:val="0000EE"/>
            <w:u w:val="single"/>
          </w:rPr>
          <w:t xml:space="preserve"> 10–14</w:t>
        </w:r>
      </w:hyperlink>
      <w:r>
        <w:t>), et la ténacité (</w:t>
      </w:r>
      <w:hyperlink r:id="rId12586">
        <w:r>
          <w:rPr>
            <w:color w:val="0000EE"/>
            <w:u w:val="single"/>
          </w:rPr>
          <w:t>11.5–8</w:t>
        </w:r>
      </w:hyperlink>
      <w:r>
        <w:t>). Une troisième source d'enseignement est le Notre Père. Une fois de plus, il y a un mélange de franchise (« Notre Père ») et de distance (« qui es aux cieux ! Que ton nom soit sanctifié »). Les demandes formulées dans le Notre Père concernent d'abord Dieu, son royaume et sa gloire, puis les besoins des disciples pour le pardon ainsi que pour le soutien et la délivrance quotidiens. Parfois, il semble, d'après l'enseignement de notre Seigneur, que tout ce qui est prié sera, sans restriction, accordé. Mais un tel enseignement doit être compris à la lumière de l'enseignement global de Christ sur la prière : « que ton règne vienne ; que ta volonté soit faite sur la terre comme au ciel. »</w:t>
      </w:r>
    </w:p>
    <w:p>
      <w:r/>
      <w:r>
        <w:t>Christ a déclaré que lorsque le Saint-Esprit, le Consolateur, viendrait, les disciples prieraient le Père au nom de Christ (</w:t>
      </w:r>
      <w:hyperlink r:id="rId12587">
        <w:r>
          <w:rPr>
            <w:color w:val="0000EE"/>
            <w:u w:val="single"/>
          </w:rPr>
          <w:t>Jn 16.23–25</w:t>
        </w:r>
      </w:hyperlink>
      <w:r>
        <w:t>). En conséquence, nous constatons qu'après la venue de l'Esprit le jour de la Pentecôte, l'Église primitive se caractérise par la prière (</w:t>
      </w:r>
      <w:hyperlink r:id="rId11911">
        <w:r>
          <w:rPr>
            <w:color w:val="0000EE"/>
            <w:u w:val="single"/>
          </w:rPr>
          <w:t>Ac 2.42</w:t>
        </w:r>
      </w:hyperlink>
      <w:r>
        <w:t>) sous la direction des apôtres (</w:t>
      </w:r>
      <w:hyperlink r:id="rId8772">
        <w:r>
          <w:rPr>
            <w:color w:val="0000EE"/>
            <w:u w:val="single"/>
          </w:rPr>
          <w:t>6.4</w:t>
        </w:r>
      </w:hyperlink>
      <w:r>
        <w:t>). L'Église loue Dieu pour le don de son Fils et de son Esprit, et adresse des prières à Dieu en temps de difficulté (</w:t>
      </w:r>
      <w:hyperlink r:id="rId4048">
        <w:r>
          <w:rPr>
            <w:color w:val="0000EE"/>
            <w:u w:val="single"/>
          </w:rPr>
          <w:t>4.24</w:t>
        </w:r>
      </w:hyperlink>
      <w:r>
        <w:t xml:space="preserve"> ; </w:t>
      </w:r>
      <w:hyperlink r:id="rId12588">
        <w:r>
          <w:rPr>
            <w:color w:val="0000EE"/>
            <w:u w:val="single"/>
          </w:rPr>
          <w:t>12.5, 12</w:t>
        </w:r>
      </w:hyperlink>
      <w:r>
        <w:t>).</w:t>
      </w:r>
    </w:p>
    <w:p>
      <w:r/>
      <w:r>
        <w:t>C'est dans les écrits de Paul que la théologie de la prière est le plus pleinement développée. Le croyant du Nouveau Testament est un fils, et pas seulement un serviteur. L'Esprit qui, à la suite du triomphe de Christ, est venu sur l'Église est l'Esprit d'adoption, permettant au chrétien de venir à Dieu comme son Père, avec tous ses besoins. Parmi ces besoins, dans l'esprit de l'apôtre, figurent un approfondissement de la foi en Christ, l'amour pour Dieu, et une appréciation croissante de l'amour de Dieu en retour (</w:t>
      </w:r>
      <w:hyperlink r:id="rId12589">
        <w:r>
          <w:rPr>
            <w:color w:val="0000EE"/>
            <w:u w:val="single"/>
          </w:rPr>
          <w:t>Ep 3.14–19</w:t>
        </w:r>
      </w:hyperlink>
      <w:r>
        <w:t>). La prière fait partie de l'armure du chrétien contre les attaques de Satan (</w:t>
      </w:r>
      <w:hyperlink r:id="rId3015">
        <w:r>
          <w:rPr>
            <w:color w:val="0000EE"/>
            <w:u w:val="single"/>
          </w:rPr>
          <w:t>6.18</w:t>
        </w:r>
      </w:hyperlink>
      <w:r>
        <w:t xml:space="preserve">), le ministère efficace de la Parole de Dieu dépend des prières du peuple de Dieu (v. </w:t>
      </w:r>
      <w:hyperlink r:id="rId12590">
        <w:r>
          <w:rPr>
            <w:color w:val="0000EE"/>
            <w:u w:val="single"/>
          </w:rPr>
          <w:t>18–19</w:t>
        </w:r>
      </w:hyperlink>
      <w:r>
        <w:t>), et le chrétien est encouragé à prier pour toutes sortes de choses, avec action de grâce (</w:t>
      </w:r>
      <w:hyperlink r:id="rId12077">
        <w:r>
          <w:rPr>
            <w:color w:val="0000EE"/>
            <w:u w:val="single"/>
          </w:rPr>
          <w:t>Ph 4.6</w:t>
        </w:r>
      </w:hyperlink>
      <w:r>
        <w:t>), et ainsi être libéré de l'anxiété. L'exemple personnel de Paul dans la prière est aussi instructif que l'enseignement qu'il donne.</w:t>
      </w:r>
    </w:p>
    <w:p>
      <w:r/>
      <w:r>
        <w:t>La prière du chrétien est enracinée, objectivement, dans l'intercession de Christ ; subjectivement, dans l'habilitation du Saint-Esprit. L'Église est un royaume de prêtres, offrant des sacrifices spirituels de louange et d'action de grâce (</w:t>
      </w:r>
      <w:hyperlink r:id="rId12591">
        <w:r>
          <w:rPr>
            <w:color w:val="0000EE"/>
            <w:u w:val="single"/>
          </w:rPr>
          <w:t>Hé 13.15</w:t>
        </w:r>
      </w:hyperlink>
      <w:r>
        <w:t xml:space="preserve"> ; </w:t>
      </w:r>
      <w:hyperlink r:id="rId6477">
        <w:r>
          <w:rPr>
            <w:color w:val="0000EE"/>
            <w:u w:val="single"/>
          </w:rPr>
          <w:t>1P 2.5</w:t>
        </w:r>
      </w:hyperlink>
      <w:r>
        <w:t>), mais Christ est le « grand souverain sacrificateur ». Cette pensée est pleinement développée dans l'épître aux Hébreux. En raison de la compassion de Christ pour nous par son humanité, de la puissance de son œuvre d'intercession (c'est-à-dire, le triomphe de son expiation), et de sa supériorité sur l'ancien sacerdoce aaronique, l'Église est encouragée à venir à Dieu avec assurance, pour trouver la grâce quand elle est nécessaire (</w:t>
      </w:r>
      <w:hyperlink r:id="rId1354">
        <w:r>
          <w:rPr>
            <w:color w:val="0000EE"/>
            <w:u w:val="single"/>
          </w:rPr>
          <w:t>Hé 4.14–16</w:t>
        </w:r>
      </w:hyperlink>
      <w:r>
        <w:t xml:space="preserve"> ; </w:t>
      </w:r>
      <w:hyperlink r:id="rId1347">
        <w:r>
          <w:rPr>
            <w:color w:val="0000EE"/>
            <w:u w:val="single"/>
          </w:rPr>
          <w:t>9.24</w:t>
        </w:r>
      </w:hyperlink>
      <w:r>
        <w:t xml:space="preserve"> ; </w:t>
      </w:r>
      <w:hyperlink r:id="rId12592">
        <w:r>
          <w:rPr>
            <w:color w:val="0000EE"/>
            <w:u w:val="single"/>
          </w:rPr>
          <w:t>10.19–23</w:t>
        </w:r>
      </w:hyperlink>
      <w:r>
        <w:t>). Nulle part dans l'AT ou le NT n'y a-t-il d'encouragement à prier des individus autres que Dieu. Nulle part dans les Écritures n'est-il suggéré qu'il y ait un autre médiateur entre Dieu et les hommes excepté Christ (</w:t>
      </w:r>
      <w:hyperlink r:id="rId9897">
        <w:r>
          <w:rPr>
            <w:color w:val="0000EE"/>
            <w:u w:val="single"/>
          </w:rPr>
          <w:t>1Tm 2.5</w:t>
        </w:r>
      </w:hyperlink>
      <w:r>
        <w:t>).</w:t>
      </w:r>
    </w:p>
    <w:p>
      <w:pPr>
        <w:pStyle w:val="Heading3"/>
      </w:pPr>
      <w:r>
        <w:t>Les Éléments de la prière</w:t>
      </w:r>
    </w:p>
    <w:p>
      <w:r/>
      <w:r>
        <w:t xml:space="preserve">Bien que la prière soit, en général, une activité décentrée de soi dans laquelle la personne qui prie se consacre à Dieu, il est possible de distinguer divers éléments dans la prière, comme le montrent les données bibliques. </w:t>
      </w:r>
      <w:r>
        <w:rPr>
          <w:i/>
        </w:rPr>
        <w:t>La louange</w:t>
      </w:r>
      <w:r>
        <w:t xml:space="preserve"> implique la reconnaissance de qui Dieu est et de ce qu'il fait. C'est « donner gloire à Dieu », non pas dans le sens d'ajouter à sa gloire, ce qui serait impossible, mais de reconnaître volontairement (et, le cas échéant, publiquement) Dieu comme Dieu. Des expressions typiques de louange se trouvent dans les psaumes (</w:t>
      </w:r>
      <w:hyperlink r:id="rId9171">
        <w:r>
          <w:rPr>
            <w:color w:val="0000EE"/>
            <w:u w:val="single"/>
          </w:rPr>
          <w:t>Ps 148</w:t>
        </w:r>
      </w:hyperlink>
      <w:r>
        <w:t xml:space="preserve">; </w:t>
      </w:r>
      <w:hyperlink r:id="rId6800">
        <w:r>
          <w:rPr>
            <w:color w:val="0000EE"/>
            <w:u w:val="single"/>
          </w:rPr>
          <w:t>150</w:t>
        </w:r>
      </w:hyperlink>
      <w:r>
        <w:t xml:space="preserve">). Lorsque la reconnaissance de la bonté de Dieu concerne ce qu'il a fait pour celui qui prie, ou pour d'autres, alors la prière est une </w:t>
      </w:r>
      <w:r>
        <w:rPr>
          <w:i/>
        </w:rPr>
        <w:t>action de grâce</w:t>
      </w:r>
      <w:r>
        <w:t xml:space="preserve">, pour la vie elle-même, pour la mise à disposition de et la beauté présente dans l'univers physique, pour le Christ et ses bienfaits (voir </w:t>
      </w:r>
      <w:hyperlink r:id="rId3169">
        <w:r>
          <w:rPr>
            <w:color w:val="0000EE"/>
            <w:u w:val="single"/>
          </w:rPr>
          <w:t>2Co 9.15</w:t>
        </w:r>
      </w:hyperlink>
      <w:r>
        <w:t xml:space="preserve">), et pour des réponses spécifiques à la prière. La </w:t>
      </w:r>
      <w:r>
        <w:rPr>
          <w:i/>
        </w:rPr>
        <w:t>confession</w:t>
      </w:r>
      <w:r>
        <w:t xml:space="preserve"> du péché reconnaît la sainteté de Dieu et son autorité morale suprême, ainsi que la responsabilité personnelle de celui qui fait la confession. La confession implique donc la justification de Dieu et une reconnaissance explicite et sans réserve du péché, tant dans ses motifs et dispositions pécheurs que dans son expression extérieure. Le</w:t>
      </w:r>
      <w:hyperlink r:id="rId3607">
        <w:r>
          <w:rPr>
            <w:color w:val="0000EE"/>
            <w:u w:val="single"/>
          </w:rPr>
          <w:t xml:space="preserve"> Psaume 51</w:t>
        </w:r>
      </w:hyperlink>
      <w:r>
        <w:t xml:space="preserve"> (la confession de péché de David concernant Bath-Schéba) est l'exemple biblique classique d'une prière de confession. La </w:t>
      </w:r>
      <w:r>
        <w:rPr>
          <w:i/>
        </w:rPr>
        <w:t>requête</w:t>
      </w:r>
      <w:r>
        <w:t xml:space="preserve"> peut concerner celui qui prie ainsi que les autres, lorsqu'il s'agit de l'</w:t>
      </w:r>
      <w:r>
        <w:rPr>
          <w:i/>
        </w:rPr>
        <w:t>intercession.</w:t>
      </w:r>
      <w:r>
        <w:t xml:space="preserve"> L'Écriture ne considère jamais la prière pour soi-même comme pécheresse ou éthiquement inappropriée, comme on peut le voir dans le modèle de prière donné dans le Notre Père. La prière pour les autres est une expression évidente de l'amour du prochain, qui est fondamental pour l'éthique biblique.</w:t>
      </w:r>
    </w:p>
    <w:p>
      <w:r/>
      <w:r>
        <w:rPr>
          <w:i/>
        </w:rPr>
        <w:t>Voir aussi</w:t>
      </w:r>
      <w:r>
        <w:t xml:space="preserve"> </w:t>
      </w:r>
      <w:r>
        <w:t>Notre Père, Le</w:t>
      </w:r>
      <w:r>
        <w:t xml:space="preserve"> ; </w:t>
      </w:r>
      <w:r>
        <w:t>Louange</w:t>
      </w:r>
      <w:r>
        <w:t xml:space="preserve"> ; </w:t>
      </w:r>
      <w:r>
        <w:t>Adoration</w:t>
      </w:r>
      <w:r>
        <w:t>.</w:t>
      </w:r>
      <w:r/>
      <w:r/>
    </w:p>
    <w:p>
      <w:r/>
    </w:p>
    <w:p>
      <w:pPr>
        <w:pStyle w:val="Heading2"/>
      </w:pPr>
      <w:r>
        <w:t>Prière de Manassé</w:t>
      </w:r>
      <w:r/>
    </w:p>
    <w:p>
      <w:r/>
      <w:r>
        <w:t>La prière de Manassé est une prière courte. Certains pensent qu'elle vient du roi Manassé de Juda. Cette prière est souvent vue comme l'une des plus belles œuvres de l'ensemble des apocryphes en anglais. Les apocryphes sont un ensemble de textes anciens qui ne font pas partie de la Bible hébraïque. Ils sont acceptés par certains groupes chrétiens. Pendant la Réforme, les protestants ont profondément apprécié l'expression de piété de la prière de Manassé. Pourtant, cette prière ne fait pas partie de la Bible pour les protestants, les catholiques romains ou l'Église orthodoxe orientale.</w:t>
      </w:r>
    </w:p>
    <w:p>
      <w:r/>
      <w:r>
        <w:t xml:space="preserve">Le titre plus ancien, </w:t>
      </w:r>
      <w:r>
        <w:rPr>
          <w:i/>
        </w:rPr>
        <w:t>Prière de Manassès, roi de Juda, dans le temps qu'il était captif à Babylone</w:t>
      </w:r>
      <w:r>
        <w:t xml:space="preserve">, est un meilleur titre que le titre moderne et le titre latin, </w:t>
      </w:r>
      <w:r>
        <w:rPr>
          <w:i/>
        </w:rPr>
        <w:t>Oratio Manassae</w:t>
      </w:r>
      <w:r>
        <w:t>. Le titre plus ancien dit que cette prière est liée au roi Manassé, qui règne en Juda de 696 à 642 av. J.-C. Manassé est emmené captif à Babylone. C'est là que, « dans la détresse, il implora l'Éternel, son Dieu, et il s'humilia profondément devant le Dieu de ses pères. Il lui adressa ses prières ; et l'Éternel [...] le ramena à Jérusalem dans son royaume (</w:t>
      </w:r>
      <w:hyperlink r:id="rId12593">
        <w:r>
          <w:rPr>
            <w:color w:val="0000EE"/>
            <w:u w:val="single"/>
          </w:rPr>
          <w:t xml:space="preserve">2Ch 33.12–13). </w:t>
        </w:r>
      </w:hyperlink>
      <w:r>
        <w:t xml:space="preserve">Sur l'historicité de ce récit, voir </w:t>
      </w:r>
      <w:r>
        <w:t>Manassé</w:t>
      </w:r>
      <w:r>
        <w:t xml:space="preserve"> n°3.</w:t>
      </w:r>
    </w:p>
    <w:p>
      <w:r/>
      <w:r>
        <w:t>L'auteur de 2 Chroniques dit que cette prière provient des archives nationales et d'une autre source (</w:t>
      </w:r>
      <w:hyperlink r:id="rId12594">
        <w:r>
          <w:rPr>
            <w:color w:val="0000EE"/>
            <w:u w:val="single"/>
          </w:rPr>
          <w:t>2Ch 33.18–19</w:t>
        </w:r>
      </w:hyperlink>
      <w:r>
        <w:t>). Un auteur anonyme a composé la prière, mais la date de composition est incertaine. Sur la base de preuves internes, les spécialistes pensent qu'elle a été composée entre 250 av. J.-C. et 50 apr. J.-C. Le plus ancien manuscrit biblique grec existant qui contient cette prière est le Codex Alexandrinus. Il date du 5</w:t>
      </w:r>
      <w:r>
        <w:t>ᵉ</w:t>
      </w:r>
      <w:r>
        <w:t xml:space="preserve"> siècle apr. J.-C. La première preuve de son existence se trouve dans un manuel syriaque de procédures ecclésiastiques appelé la </w:t>
      </w:r>
      <w:r>
        <w:rPr>
          <w:i/>
        </w:rPr>
        <w:t xml:space="preserve">Didascalie, </w:t>
      </w:r>
      <w:r>
        <w:t>du 3</w:t>
      </w:r>
      <w:r>
        <w:t>ᵉ</w:t>
      </w:r>
      <w:r>
        <w:t xml:space="preserve"> siècle apr. J.-C. Ce manuel a été révisé plus tard dans les </w:t>
      </w:r>
      <w:r>
        <w:rPr>
          <w:i/>
        </w:rPr>
        <w:t>Constitutions apostoliques,</w:t>
      </w:r>
      <w:r>
        <w:t xml:space="preserve"> en 380 apr. J.-C.</w:t>
      </w:r>
    </w:p>
    <w:p>
      <w:r/>
      <w:r>
        <w:t xml:space="preserve">La plupart des spécialistes pensent que la prière a été écrite en grec à l'origine. Cependant, il est difficile de déterminer la langue originale d'un texte aussi court. Il ne fait qu'environ 400 mots en anglais. La </w:t>
      </w:r>
      <w:r>
        <w:rPr>
          <w:i/>
        </w:rPr>
        <w:t>Prière de Manassé</w:t>
      </w:r>
      <w:r>
        <w:t xml:space="preserve"> existe en :</w:t>
      </w:r>
    </w:p>
    <w:p>
      <w:pPr>
        <w:pStyle w:val="ListBullet"/>
        <w:spacing w:line="240" w:lineRule="auto"/>
        <w:ind w:left="720"/>
      </w:pPr>
      <w:r/>
      <w:r>
        <w:t>Grec</w:t>
      </w:r>
    </w:p>
    <w:p>
      <w:pPr>
        <w:pStyle w:val="ListBullet"/>
        <w:spacing w:line="240" w:lineRule="auto"/>
        <w:ind w:left="720"/>
      </w:pPr>
      <w:r/>
      <w:r>
        <w:t>Syriaque</w:t>
      </w:r>
    </w:p>
    <w:p>
      <w:pPr>
        <w:pStyle w:val="ListBullet"/>
        <w:spacing w:line="240" w:lineRule="auto"/>
        <w:ind w:left="720"/>
      </w:pPr>
      <w:r/>
      <w:r>
        <w:t>Latin (deux versions)</w:t>
      </w:r>
    </w:p>
    <w:p>
      <w:pPr>
        <w:pStyle w:val="ListBullet"/>
        <w:spacing w:line="240" w:lineRule="auto"/>
        <w:ind w:left="720"/>
      </w:pPr>
      <w:r/>
      <w:r>
        <w:t>Éthiopien</w:t>
      </w:r>
    </w:p>
    <w:p>
      <w:pPr>
        <w:pStyle w:val="ListBullet"/>
        <w:spacing w:line="240" w:lineRule="auto"/>
        <w:ind w:left="720"/>
      </w:pPr>
      <w:r/>
      <w:r>
        <w:t>Arménien</w:t>
      </w:r>
    </w:p>
    <w:p>
      <w:pPr>
        <w:pStyle w:val="ListBullet"/>
        <w:spacing w:line="240" w:lineRule="auto"/>
        <w:ind w:left="720"/>
      </w:pPr>
      <w:r/>
      <w:r>
        <w:t>Vieux slave</w:t>
      </w:r>
    </w:p>
    <w:p>
      <w:r/>
      <w:r>
        <w:t>Sa popularité parmi les Juifs et les chrétiens au cours des trois premiers siècles de l'ère chrétienne est évidente.</w:t>
      </w:r>
    </w:p>
    <w:p>
      <w:r/>
      <w:r>
        <w:t xml:space="preserve">La </w:t>
      </w:r>
      <w:r>
        <w:rPr>
          <w:i/>
        </w:rPr>
        <w:t>Prière de Manassé</w:t>
      </w:r>
      <w:r>
        <w:t xml:space="preserve"> est la prière d'un pécheur qui reconnaît ses péchés et fait appel à un Dieu miséricordieux.</w:t>
      </w:r>
    </w:p>
    <w:p>
      <w:r/>
      <w:r>
        <w:t>La prière s'inspire des descriptions de Dieu dans l'Ancien Testament. Elle identifie Dieu comme :</w:t>
      </w:r>
    </w:p>
    <w:p>
      <w:pPr>
        <w:pStyle w:val="ListBullet"/>
        <w:spacing w:line="240" w:lineRule="auto"/>
        <w:ind w:left="720"/>
      </w:pPr>
      <w:r/>
      <w:r>
        <w:t xml:space="preserve">« Seigneur tout-puissant » (Prière de Manassé 1.1 ; voir </w:t>
      </w:r>
      <w:hyperlink r:id="rId4045">
        <w:r>
          <w:rPr>
            <w:color w:val="0000EE"/>
            <w:u w:val="single"/>
          </w:rPr>
          <w:t>2C 6.18</w:t>
        </w:r>
      </w:hyperlink>
      <w:r>
        <w:t>)</w:t>
      </w:r>
    </w:p>
    <w:p>
      <w:pPr>
        <w:pStyle w:val="ListBullet"/>
        <w:spacing w:line="240" w:lineRule="auto"/>
        <w:ind w:left="720"/>
      </w:pPr>
      <w:r/>
      <w:r>
        <w:t xml:space="preserve">« Dieu de mes pères » (Prière de Manassé 1.1 ; voir aussi </w:t>
      </w:r>
      <w:hyperlink r:id="rId12595">
        <w:r>
          <w:rPr>
            <w:color w:val="0000EE"/>
            <w:u w:val="single"/>
          </w:rPr>
          <w:t>2Ch 20.6</w:t>
        </w:r>
      </w:hyperlink>
      <w:r>
        <w:t xml:space="preserve"> ; </w:t>
      </w:r>
      <w:hyperlink r:id="rId12596">
        <w:r>
          <w:rPr>
            <w:color w:val="0000EE"/>
            <w:u w:val="single"/>
          </w:rPr>
          <w:t>33.12</w:t>
        </w:r>
      </w:hyperlink>
      <w:r>
        <w:t>)</w:t>
      </w:r>
    </w:p>
    <w:p>
      <w:pPr>
        <w:pStyle w:val="ListBullet"/>
        <w:spacing w:line="240" w:lineRule="auto"/>
        <w:ind w:left="720"/>
      </w:pPr>
      <w:r/>
      <w:r>
        <w:t>Le créateur, glorieux, puissant, plein de fureur, mais miséricordieux (Prière de Manassé 1.2–7a)</w:t>
      </w:r>
    </w:p>
    <w:p>
      <w:pPr>
        <w:pStyle w:val="ListBullet"/>
        <w:spacing w:line="240" w:lineRule="auto"/>
        <w:ind w:left="720"/>
      </w:pPr>
      <w:r/>
      <w:r>
        <w:t xml:space="preserve">Celui qui a «créé le ciel et la terre » (Prière de Manassé 1.2 ; voir aussi </w:t>
      </w:r>
      <w:hyperlink r:id="rId12597">
        <w:r>
          <w:rPr>
            <w:color w:val="0000EE"/>
            <w:u w:val="single"/>
          </w:rPr>
          <w:t>Ex 20.11</w:t>
        </w:r>
      </w:hyperlink>
      <w:r>
        <w:t xml:space="preserve"> ; </w:t>
      </w:r>
      <w:hyperlink r:id="rId6516">
        <w:r>
          <w:rPr>
            <w:color w:val="0000EE"/>
            <w:u w:val="single"/>
          </w:rPr>
          <w:t>Né 9.6</w:t>
        </w:r>
      </w:hyperlink>
      <w:r>
        <w:t xml:space="preserve"> ; </w:t>
      </w:r>
      <w:hyperlink r:id="rId12598">
        <w:r>
          <w:rPr>
            <w:color w:val="0000EE"/>
            <w:u w:val="single"/>
          </w:rPr>
          <w:t>Ps 146.6</w:t>
        </w:r>
      </w:hyperlink>
      <w:r>
        <w:t>)</w:t>
      </w:r>
    </w:p>
    <w:p>
      <w:pPr>
        <w:pStyle w:val="ListBullet"/>
        <w:spacing w:line="240" w:lineRule="auto"/>
        <w:ind w:left="720"/>
      </w:pPr>
      <w:r/>
      <w:r>
        <w:t>Celui qui a créé « tout ce qu'ils renferment » (Prière de Manassé 1.2)</w:t>
      </w:r>
    </w:p>
    <w:p>
      <w:pPr>
        <w:pStyle w:val="ListBullet"/>
        <w:spacing w:line="240" w:lineRule="auto"/>
        <w:ind w:left="720"/>
      </w:pPr>
      <w:r/>
      <w:r>
        <w:t xml:space="preserve">Celui qui a « donné des bornes à la mer » et a « fermé l'abîme » (Prière de Manassé 1.3 ; voir aussi </w:t>
      </w:r>
      <w:hyperlink r:id="rId9938">
        <w:r>
          <w:rPr>
            <w:color w:val="0000EE"/>
            <w:u w:val="single"/>
          </w:rPr>
          <w:t>Jb 38.8–11</w:t>
        </w:r>
      </w:hyperlink>
      <w:r>
        <w:t>)</w:t>
      </w:r>
    </w:p>
    <w:p>
      <w:pPr>
        <w:pStyle w:val="ListBullet"/>
        <w:spacing w:line="240" w:lineRule="auto"/>
        <w:ind w:left="720"/>
      </w:pPr>
      <w:r/>
      <w:r>
        <w:t xml:space="preserve">Celui dont rien ni personne ne peut soutenir l'éclat de la gloire (Prière de Manassé 1.4 ; comp. avec </w:t>
      </w:r>
      <w:hyperlink r:id="rId8624">
        <w:r>
          <w:rPr>
            <w:color w:val="0000EE"/>
            <w:u w:val="single"/>
          </w:rPr>
          <w:t>2P 1.16–17</w:t>
        </w:r>
      </w:hyperlink>
      <w:r>
        <w:t>)</w:t>
      </w:r>
    </w:p>
    <w:p>
      <w:pPr>
        <w:pStyle w:val="ListBullet"/>
        <w:spacing w:line="240" w:lineRule="auto"/>
        <w:ind w:left="720"/>
      </w:pPr>
      <w:r/>
      <w:r>
        <w:t>Celui dont la puissance fait trembler toutes les créatures (Prière de Manassé 1.4)</w:t>
      </w:r>
    </w:p>
    <w:p>
      <w:pPr>
        <w:pStyle w:val="ListBullet"/>
        <w:spacing w:line="240" w:lineRule="auto"/>
        <w:ind w:left="720"/>
      </w:pPr>
      <w:r/>
      <w:r>
        <w:t xml:space="preserve">Celui dont la bonté se manifeste dans la miséricorde et la délivrance (Prière de Manassé 1.7, 15 ; voir aussi </w:t>
      </w:r>
      <w:hyperlink r:id="rId8022">
        <w:r>
          <w:rPr>
            <w:color w:val="0000EE"/>
            <w:u w:val="single"/>
          </w:rPr>
          <w:t>Es 63.7</w:t>
        </w:r>
      </w:hyperlink>
      <w:r>
        <w:t xml:space="preserve"> et </w:t>
      </w:r>
      <w:hyperlink r:id="rId12599">
        <w:r>
          <w:rPr>
            <w:color w:val="0000EE"/>
            <w:u w:val="single"/>
          </w:rPr>
          <w:t>Rm 2.4</w:t>
        </w:r>
      </w:hyperlink>
      <w:r>
        <w:t>)</w:t>
      </w:r>
    </w:p>
    <w:p>
      <w:pPr>
        <w:pStyle w:val="ListBullet"/>
        <w:spacing w:line="240" w:lineRule="auto"/>
        <w:ind w:left="720"/>
      </w:pPr>
      <w:r/>
      <w:r>
        <w:t xml:space="preserve">Celui qui est « bon, patient » et dont la miséricorde est infinie (Prière de Manassé 1.6, 7, 18 ; voir aussi </w:t>
      </w:r>
      <w:hyperlink r:id="rId11687">
        <w:r>
          <w:rPr>
            <w:color w:val="0000EE"/>
            <w:u w:val="single"/>
          </w:rPr>
          <w:t>Ps 86.5, 15</w:t>
        </w:r>
      </w:hyperlink>
      <w:r>
        <w:t>)</w:t>
      </w:r>
    </w:p>
    <w:p>
      <w:pPr>
        <w:pStyle w:val="ListBullet"/>
        <w:spacing w:line="240" w:lineRule="auto"/>
        <w:ind w:left="720"/>
      </w:pPr>
      <w:r/>
      <w:r>
        <w:t xml:space="preserve">Celui qui est « le Seigneur, le Très-Haut » (Prière de Manassé 1.6 ; voir aussi </w:t>
      </w:r>
      <w:hyperlink r:id="rId9908">
        <w:r>
          <w:rPr>
            <w:color w:val="0000EE"/>
            <w:u w:val="single"/>
          </w:rPr>
          <w:t>Ps 7.17</w:t>
        </w:r>
      </w:hyperlink>
      <w:r>
        <w:t xml:space="preserve"> ; </w:t>
      </w:r>
      <w:hyperlink r:id="rId9909">
        <w:r>
          <w:rPr>
            <w:color w:val="0000EE"/>
            <w:u w:val="single"/>
          </w:rPr>
          <w:t>47.2</w:t>
        </w:r>
      </w:hyperlink>
      <w:r>
        <w:t>)</w:t>
      </w:r>
    </w:p>
    <w:p>
      <w:r/>
      <w:r>
        <w:t>Manassé dit aussi que :</w:t>
      </w:r>
    </w:p>
    <w:p>
      <w:pPr>
        <w:pStyle w:val="ListBullet"/>
        <w:spacing w:line="240" w:lineRule="auto"/>
        <w:ind w:left="720"/>
      </w:pPr>
      <w:r/>
      <w:r>
        <w:t>« Toutes les créatures tremblent » devant Dieu, « parce qu'elle ne peuvent soutenir [sa] colère [menaçante contre] les pécheurs » (Prière de Manassé 1.4).</w:t>
      </w:r>
    </w:p>
    <w:p>
      <w:pPr>
        <w:pStyle w:val="ListBullet"/>
        <w:spacing w:line="240" w:lineRule="auto"/>
        <w:ind w:left="720"/>
      </w:pPr>
      <w:r/>
      <w:r>
        <w:t>Son idolâtrie a toujours été détestable aux yeux de Dieu, même si lui-même vient juste de comprendre qu'il a « multiplié ses iniquités » (Prière de Manassé 1.10).</w:t>
      </w:r>
    </w:p>
    <w:p>
      <w:pPr>
        <w:pStyle w:val="ListBullet"/>
        <w:spacing w:line="240" w:lineRule="auto"/>
        <w:ind w:left="720"/>
      </w:pPr>
      <w:r/>
      <w:r>
        <w:t xml:space="preserve">Il est dans les chaînes et a été rejeté par Dieu parce que son idolâtrie l'a irrité (Prière de Manassé 1.9–11 ; voir aussi </w:t>
      </w:r>
      <w:hyperlink r:id="rId3898">
        <w:r>
          <w:rPr>
            <w:color w:val="0000EE"/>
            <w:u w:val="single"/>
          </w:rPr>
          <w:t>2Ch 33.6</w:t>
        </w:r>
      </w:hyperlink>
      <w:r>
        <w:t xml:space="preserve"> et </w:t>
      </w:r>
      <w:hyperlink r:id="rId12600">
        <w:r>
          <w:rPr>
            <w:color w:val="0000EE"/>
            <w:u w:val="single"/>
          </w:rPr>
          <w:t>Ps 107.10</w:t>
        </w:r>
      </w:hyperlink>
      <w:r>
        <w:t>).</w:t>
      </w:r>
    </w:p>
    <w:p>
      <w:r/>
      <w:r>
        <w:t>Manassé dit que la miséricorde et la bonté de Dieu sont son seul espoir. La miséricorde de Dieu est :</w:t>
      </w:r>
    </w:p>
    <w:p>
      <w:pPr>
        <w:pStyle w:val="ListBullet"/>
        <w:spacing w:line="240" w:lineRule="auto"/>
        <w:ind w:left="720"/>
      </w:pPr>
      <w:r/>
      <w:r>
        <w:t>Infinie (Prière de Manassé 1.5–7, 18)</w:t>
      </w:r>
    </w:p>
    <w:p>
      <w:pPr>
        <w:pStyle w:val="ListBullet"/>
        <w:spacing w:line="240" w:lineRule="auto"/>
        <w:ind w:left="720"/>
      </w:pPr>
      <w:r/>
      <w:r>
        <w:t>Incompréhensible (Prière de Manassé 1.5)</w:t>
      </w:r>
    </w:p>
    <w:p>
      <w:r/>
      <w:r>
        <w:t xml:space="preserve">La miséricorde de Dieu est disponible parce que le Seigneur lui-même a ordonné la repentance des pécheurs, afin de les sauver (Prière de Manassé 1.7 ; voir aussi </w:t>
      </w:r>
      <w:hyperlink r:id="rId8809">
        <w:r>
          <w:rPr>
            <w:color w:val="0000EE"/>
            <w:u w:val="single"/>
          </w:rPr>
          <w:t>Ac 5.31</w:t>
        </w:r>
      </w:hyperlink>
      <w:r>
        <w:t>). Cela inclut Manassé lui-même (Prière de Manassé 1.9, 18).</w:t>
      </w:r>
    </w:p>
    <w:p>
      <w:r/>
      <w:r>
        <w:t>Le cœur de la prière (Prière de Manassé 1.9–13a) inclut sa confession de péché et sa demande de pardon. Elle contient trois lignes mémorables :</w:t>
      </w:r>
    </w:p>
    <w:p>
      <w:pPr>
        <w:pStyle w:val="ListNumber"/>
        <w:spacing w:line="240" w:lineRule="auto"/>
        <w:ind w:left="720"/>
      </w:pPr>
      <w:r/>
      <w:r>
        <w:t xml:space="preserve">« </w:t>
      </w:r>
      <w:r>
        <w:rPr>
          <w:b/>
        </w:rPr>
        <w:t xml:space="preserve">J'ai péché, Seigneur, et je reconnais mes iniquités. C'est pourquoi, Seigneur, te [te] conjure par les prières les plus vivres de me les [pardonner] » </w:t>
      </w:r>
      <w:r>
        <w:t>(Prière de Manassé 1.16).</w:t>
      </w:r>
    </w:p>
    <w:p>
      <w:pPr>
        <w:pStyle w:val="ListNumber"/>
        <w:spacing w:line="240" w:lineRule="auto"/>
        <w:ind w:left="720"/>
      </w:pPr>
      <w:r/>
      <w:r>
        <w:rPr>
          <w:b/>
        </w:rPr>
        <w:t>« Mais à présent, je fléchis les genoux dans l'amertume de mon cœur, et j'implore [ta] bonté ».</w:t>
      </w:r>
      <w:r>
        <w:t xml:space="preserve"> Malgré son indignité (Prière de Manassé 1.10, 18), Manassé supplie Dieu de ne pas le détruire, de ne pas rester en colère contre lui pour toujours, ni de le condamner à mourir, car le Seigneur est le Dieu des pécheurs qui se repentent (Prière de Manassé 1.17).</w:t>
      </w:r>
    </w:p>
    <w:p>
      <w:pPr>
        <w:pStyle w:val="ListNumber"/>
        <w:spacing w:line="240" w:lineRule="auto"/>
        <w:ind w:left="720"/>
      </w:pPr>
      <w:r/>
      <w:r>
        <w:t xml:space="preserve">Manassé devient confiant que Dieu, dans sa bonté et sa miséricorde, le sauvera (Prière de Manassé 1.18). Il montre ensuite la réponse appropriée d'un pécheur pardonné : </w:t>
      </w:r>
      <w:r>
        <w:rPr>
          <w:b/>
        </w:rPr>
        <w:t>« Et je [te] louerai tous les jours de ma vie »</w:t>
      </w:r>
      <w:r>
        <w:t xml:space="preserve"> (Prière de Manassé 1.19).</w:t>
      </w:r>
    </w:p>
    <w:p>
      <w:r/>
      <w:r>
        <w:t>La prière se termine par une courte doxologie à la gloire éternelle de Dieu.</w:t>
      </w:r>
    </w:p>
    <w:p>
      <w:r/>
      <w:r>
        <w:t xml:space="preserve">Cette prière a de nombreuses et admirables qualités. Pourtant, elle diffère de l'enseignement chrétien d'une manière importante. L'auteur suppose à tort qu'il existe deux types de personnes. Il y a les justes, qui sont bons, et les pécheurs, qui sont mauvais. La prière présente Abraham, Isaac et Jacob comme des hommes justes qui n'ont pas péché et n'ont pas besoin de se repentir. Cela est incorrect, mais reflète bien la pensée juive avant le christianisme (voir </w:t>
      </w:r>
      <w:hyperlink r:id="rId12601">
        <w:r>
          <w:rPr>
            <w:color w:val="0000EE"/>
            <w:u w:val="single"/>
          </w:rPr>
          <w:t>Mt 9.13</w:t>
        </w:r>
      </w:hyperlink>
      <w:r>
        <w:t>). L'apôtre Paul dit que personne n'est juste par lui-même, que tout le monde a péché (</w:t>
      </w:r>
      <w:hyperlink r:id="rId12602">
        <w:r>
          <w:rPr>
            <w:color w:val="0000EE"/>
            <w:u w:val="single"/>
          </w:rPr>
          <w:t>Rm 3.10–12, 21–26</w:t>
        </w:r>
      </w:hyperlink>
      <w:r>
        <w:t>). Paul dit aussi que la justice d'Abraham ne venait pas de lui-même. La justice d'Abraham est venue par la foi (</w:t>
      </w:r>
      <w:hyperlink r:id="rId8544">
        <w:r>
          <w:rPr>
            <w:color w:val="0000EE"/>
            <w:u w:val="single"/>
          </w:rPr>
          <w:t>Rm 4.3</w:t>
        </w:r>
      </w:hyperlink>
      <w:r>
        <w:t xml:space="preserve"> ; comp. avec </w:t>
      </w:r>
      <w:hyperlink r:id="rId12603">
        <w:r>
          <w:rPr>
            <w:color w:val="0000EE"/>
            <w:u w:val="single"/>
          </w:rPr>
          <w:t>Ph 3.8–9</w:t>
        </w:r>
      </w:hyperlink>
      <w:r>
        <w:t>).</w:t>
      </w:r>
    </w:p>
    <w:p>
      <w:r/>
      <w:r>
        <w:rPr>
          <w:i/>
        </w:rPr>
        <w:t>Voir aussi</w:t>
      </w:r>
      <w:r>
        <w:t xml:space="preserve"> </w:t>
      </w:r>
      <w:r>
        <w:t>écrits apocryphes</w:t>
      </w:r>
      <w:r>
        <w:t>.</w:t>
      </w:r>
      <w:r/>
      <w:r/>
    </w:p>
    <w:p>
      <w:r/>
    </w:p>
    <w:p>
      <w:pPr>
        <w:pStyle w:val="Heading2"/>
      </w:pPr>
      <w:r>
        <w:t>Primogéniture</w:t>
      </w:r>
      <w:r/>
    </w:p>
    <w:p>
      <w:r/>
      <w:r>
        <w:t>Mot issu de la traduction grecque du terme hébreu pour « premier-né ». Il n'apparaît pas dans la Bible. Il s'agit d'un concept qui reflète le statut spécial et les droits d'héritage accordés au premier fils mâle.</w:t>
      </w:r>
    </w:p>
    <w:p>
      <w:r/>
      <w:r>
        <w:t xml:space="preserve">Si le premier-né mourait, le prochain mâle vivant, par ordre d'âge, ne recevait pas les droits du premier-né. Une femme première-née ne recevait pas non plus ces droits, pas plus que le premier-né s'il était né d'une concubine ou d'une esclave (voir par exemple </w:t>
      </w:r>
      <w:hyperlink r:id="rId12604">
        <w:r>
          <w:rPr>
            <w:color w:val="0000EE"/>
            <w:u w:val="single"/>
          </w:rPr>
          <w:t>Gn 21.10</w:t>
        </w:r>
      </w:hyperlink>
      <w:r>
        <w:t>).</w:t>
      </w:r>
    </w:p>
    <w:p>
      <w:r/>
      <w:r>
        <w:t>Les Écritures accordent beaucoup d'importance aux droits du premier-né, comme le montre la distinction entre le premier-né et les autres fils (</w:t>
      </w:r>
      <w:hyperlink r:id="rId6444">
        <w:r>
          <w:rPr>
            <w:color w:val="0000EE"/>
            <w:u w:val="single"/>
          </w:rPr>
          <w:t>Gn 10.15</w:t>
        </w:r>
      </w:hyperlink>
      <w:r>
        <w:t xml:space="preserve"> ; </w:t>
      </w:r>
      <w:hyperlink r:id="rId8053">
        <w:r>
          <w:rPr>
            <w:color w:val="0000EE"/>
            <w:u w:val="single"/>
          </w:rPr>
          <w:t>25.13</w:t>
        </w:r>
      </w:hyperlink>
      <w:r>
        <w:t xml:space="preserve"> ; </w:t>
      </w:r>
      <w:hyperlink r:id="rId12605">
        <w:r>
          <w:rPr>
            <w:color w:val="0000EE"/>
            <w:u w:val="single"/>
          </w:rPr>
          <w:t>36.15</w:t>
        </w:r>
      </w:hyperlink>
      <w:r>
        <w:t>), la double portion à donner au premier-né (</w:t>
      </w:r>
      <w:hyperlink r:id="rId6830">
        <w:r>
          <w:rPr>
            <w:color w:val="0000EE"/>
            <w:u w:val="single"/>
          </w:rPr>
          <w:t>Dt 21.17</w:t>
        </w:r>
      </w:hyperlink>
      <w:r>
        <w:t>), ainsi que la bénédiction spéciale que leurs pères leur ont donnée (</w:t>
      </w:r>
      <w:hyperlink r:id="rId12606">
        <w:r>
          <w:rPr>
            <w:color w:val="0000EE"/>
            <w:u w:val="single"/>
          </w:rPr>
          <w:t>Gn 21.1</w:t>
        </w:r>
      </w:hyperlink>
      <w:r>
        <w:t>–</w:t>
      </w:r>
      <w:hyperlink r:id="rId12606">
        <w:r>
          <w:rPr>
            <w:color w:val="0000EE"/>
            <w:u w:val="single"/>
          </w:rPr>
          <w:t>14</w:t>
        </w:r>
      </w:hyperlink>
      <w:r>
        <w:t xml:space="preserve"> ; </w:t>
      </w:r>
      <w:hyperlink r:id="rId12607">
        <w:r>
          <w:rPr>
            <w:color w:val="0000EE"/>
            <w:u w:val="single"/>
          </w:rPr>
          <w:t>27.1</w:t>
        </w:r>
      </w:hyperlink>
      <w:r>
        <w:t>–</w:t>
      </w:r>
      <w:hyperlink r:id="rId12607">
        <w:r>
          <w:rPr>
            <w:color w:val="0000EE"/>
            <w:u w:val="single"/>
          </w:rPr>
          <w:t>29</w:t>
        </w:r>
      </w:hyperlink>
      <w:r>
        <w:t xml:space="preserve"> ; </w:t>
      </w:r>
      <w:hyperlink r:id="rId12608">
        <w:r>
          <w:rPr>
            <w:color w:val="0000EE"/>
            <w:u w:val="single"/>
          </w:rPr>
          <w:t>48.18</w:t>
        </w:r>
      </w:hyperlink>
      <w:r>
        <w:t>).</w:t>
      </w:r>
    </w:p>
    <w:p>
      <w:r/>
      <w:r>
        <w:rPr>
          <w:i/>
        </w:rPr>
        <w:t>Voir aussi</w:t>
      </w:r>
      <w:r>
        <w:t xml:space="preserve"> </w:t>
      </w:r>
      <w:r>
        <w:t>Droit d’aînesse</w:t>
      </w:r>
      <w:r>
        <w:t xml:space="preserve"> ; </w:t>
      </w:r>
      <w:r>
        <w:t>Premier-né</w:t>
      </w:r>
      <w:r>
        <w:t>.</w:t>
      </w:r>
      <w:r/>
      <w:r/>
    </w:p>
    <w:p>
      <w:r/>
    </w:p>
    <w:p>
      <w:pPr>
        <w:pStyle w:val="Heading2"/>
      </w:pPr>
      <w:r>
        <w:t>Priscille et Aquilas</w:t>
      </w:r>
      <w:r/>
    </w:p>
    <w:p>
      <w:pPr>
        <w:pStyle w:val="Heading3"/>
      </w:pPr>
      <w:r>
        <w:t>Qui étaient Priscille et Aquilas ?</w:t>
      </w:r>
    </w:p>
    <w:p>
      <w:r/>
      <w:r>
        <w:t>Un couple chrétien, amis et possibles convertis de l'apôtre Paul. Luc les mentionne au cours du ministère de Paul à Corinthe (</w:t>
      </w:r>
      <w:hyperlink r:id="rId12609">
        <w:r>
          <w:rPr>
            <w:color w:val="0000EE"/>
            <w:u w:val="single"/>
          </w:rPr>
          <w:t>Ac 18.1–3</w:t>
        </w:r>
      </w:hyperlink>
      <w:r>
        <w:t>). Ils sont toujours listés ensemble dans le Nouveau Testament. Le nom de Priscille vient avant celui d'Aquilas dans quatre des six références (</w:t>
      </w:r>
      <w:hyperlink r:id="rId12610">
        <w:r>
          <w:rPr>
            <w:color w:val="0000EE"/>
            <w:u w:val="single"/>
          </w:rPr>
          <w:t>Ac 18.18</w:t>
        </w:r>
      </w:hyperlink>
      <w:r>
        <w:t xml:space="preserve"> ; </w:t>
      </w:r>
      <w:hyperlink r:id="rId4771">
        <w:r>
          <w:rPr>
            <w:color w:val="0000EE"/>
            <w:u w:val="single"/>
          </w:rPr>
          <w:t>Ac 18.26</w:t>
        </w:r>
      </w:hyperlink>
      <w:r>
        <w:t xml:space="preserve"> ; </w:t>
      </w:r>
      <w:hyperlink r:id="rId1081">
        <w:r>
          <w:rPr>
            <w:color w:val="0000EE"/>
            <w:u w:val="single"/>
          </w:rPr>
          <w:t>Rm 16.3</w:t>
        </w:r>
      </w:hyperlink>
      <w:r>
        <w:t xml:space="preserve"> ; </w:t>
      </w:r>
      <w:hyperlink r:id="rId1083">
        <w:r>
          <w:rPr>
            <w:color w:val="0000EE"/>
            <w:u w:val="single"/>
          </w:rPr>
          <w:t>2Tm 4.19</w:t>
        </w:r>
      </w:hyperlink>
      <w:r>
        <w:t>). Cela peut être dû à son caractère ou à son rôle de leader dans l'Église.</w:t>
      </w:r>
    </w:p>
    <w:p>
      <w:r/>
      <w:r>
        <w:t>Aquilas était un Juif et un natif du Pont en Asie Mineure. L'édit de l'an 49 de notre ère de l'empereur Claude le verra expulsé de Rome (</w:t>
      </w:r>
      <w:hyperlink r:id="rId1614">
        <w:r>
          <w:rPr>
            <w:color w:val="0000EE"/>
            <w:u w:val="single"/>
          </w:rPr>
          <w:t>Ac 18.2</w:t>
        </w:r>
      </w:hyperlink>
      <w:r>
        <w:t>). L'historien Suétone fait référence à cet édit : « Il bannit de Rome tous les Juifs, qui provoquaient continuellement des troubles à l'instigation d'un certain Chrestus ».</w:t>
      </w:r>
    </w:p>
    <w:p>
      <w:pPr>
        <w:pStyle w:val="Heading3"/>
      </w:pPr>
      <w:r>
        <w:t>Amis et collaborateurs de Paul</w:t>
      </w:r>
    </w:p>
    <w:p>
      <w:r/>
      <w:r>
        <w:t xml:space="preserve">Depuis Rome, Aquilas et Priscille se sont rendus à Corinthe. C'est là qu'ils rencontreront Paul lors du deuxième voyage missionnaire de ce dernier. Ils vivront ensemble et travailleront comme fabricants de tentes. Leur étroite association avec Paul leur sera bénéfique. Plus tard, ils instruiront même le savant et enseignant juif Apollos. Ensuite, « </w:t>
      </w:r>
      <w:r>
        <w:t>il [réfuta] vivement les Juifs en public, démontrant par les Écritures que Jésus est le Christ</w:t>
      </w:r>
      <w:r>
        <w:t xml:space="preserve"> » (</w:t>
      </w:r>
      <w:hyperlink r:id="rId165">
        <w:r>
          <w:rPr>
            <w:color w:val="0000EE"/>
            <w:u w:val="single"/>
          </w:rPr>
          <w:t>Ac 18.24–28</w:t>
        </w:r>
      </w:hyperlink>
      <w:r>
        <w:t>).</w:t>
      </w:r>
    </w:p>
    <w:p>
      <w:r/>
      <w:r>
        <w:t>Priscille et Aquilas étaient des amis loyaux et des collaborateurs de confiance de Paul (</w:t>
      </w:r>
      <w:hyperlink r:id="rId12611">
        <w:r>
          <w:rPr>
            <w:color w:val="0000EE"/>
            <w:u w:val="single"/>
          </w:rPr>
          <w:t>Rm 16.3–4</w:t>
        </w:r>
      </w:hyperlink>
      <w:r>
        <w:t>). Lorsque ce dernier quitte Corinthe, ils accompagneront. Ensuite, ils resteront à Éphèse après son retour en Syrie (</w:t>
      </w:r>
      <w:hyperlink r:id="rId4759">
        <w:r>
          <w:rPr>
            <w:color w:val="0000EE"/>
            <w:u w:val="single"/>
          </w:rPr>
          <w:t>Ac 18.18–19</w:t>
        </w:r>
      </w:hyperlink>
      <w:r>
        <w:t>). Quand Paul écrit la Première Lettre aux Corinthiens, eux se trouvaient encore à Éphèse. Leur maison est deviendra un lieu de rassemblement pour les chrétiens (</w:t>
      </w:r>
      <w:hyperlink r:id="rId1082">
        <w:r>
          <w:rPr>
            <w:color w:val="0000EE"/>
            <w:u w:val="single"/>
          </w:rPr>
          <w:t>1Co 16.19</w:t>
        </w:r>
      </w:hyperlink>
      <w:r>
        <w:t>). Une fois que décret de Claude avait pris fin, Priscille et Aquilas retourneront à Rome. C'est à ce moment-là que Paul écrira aux chrétiens romains (</w:t>
      </w:r>
      <w:hyperlink r:id="rId1081">
        <w:r>
          <w:rPr>
            <w:color w:val="0000EE"/>
            <w:u w:val="single"/>
          </w:rPr>
          <w:t>Rm 16.3</w:t>
        </w:r>
      </w:hyperlink>
      <w:r>
        <w:t>). Au moment de la rédaction de la Deuxième Lettre à Timothée, Priscille et Aquilas étaient revenus à Éphèse (</w:t>
      </w:r>
      <w:hyperlink r:id="rId1083">
        <w:r>
          <w:rPr>
            <w:color w:val="0000EE"/>
            <w:u w:val="single"/>
          </w:rPr>
          <w:t>2Tm 4.19</w:t>
        </w:r>
      </w:hyperlink>
      <w:r>
        <w:t>).</w:t>
      </w:r>
      <w:r/>
      <w:r/>
    </w:p>
    <w:p>
      <w:r/>
    </w:p>
    <w:p>
      <w:pPr>
        <w:pStyle w:val="Heading2"/>
      </w:pPr>
      <w:r>
        <w:t>prochain</w:t>
      </w:r>
      <w:r/>
    </w:p>
    <w:p>
      <w:r/>
      <w:r>
        <w:t>Dans l'Ancien Testament (AT) et le judaïsme tardif, « prochain » est un terme désignant un compatriote israélite ou un membre de l'alliance. Dans le Nouveau Testament (NT), le terme est élargi par Jésus pour inclure toute personne avec qui on est en contact.</w:t>
      </w:r>
    </w:p>
    <w:p>
      <w:pPr>
        <w:pStyle w:val="Heading3"/>
      </w:pPr>
      <w:r>
        <w:t>Le prochain dans l’Ancien Testament</w:t>
      </w:r>
    </w:p>
    <w:p>
      <w:r/>
      <w:r>
        <w:t xml:space="preserve">Bien que le terme « prochain » ne soit jamais clairement défini dans l'AT, son usage principal désigne un autre membre de la communauté de l'alliance, c'est-à-dire un autre Israélite (voir </w:t>
      </w:r>
      <w:hyperlink r:id="rId12612">
        <w:r>
          <w:rPr>
            <w:color w:val="0000EE"/>
            <w:u w:val="single"/>
          </w:rPr>
          <w:t xml:space="preserve">Lv 5.20–26 </w:t>
        </w:r>
      </w:hyperlink>
      <w:r>
        <w:t xml:space="preserve">; </w:t>
      </w:r>
      <w:hyperlink r:id="rId12613">
        <w:r>
          <w:rPr>
            <w:color w:val="0000EE"/>
            <w:u w:val="single"/>
          </w:rPr>
          <w:t xml:space="preserve">19 </w:t>
        </w:r>
      </w:hyperlink>
      <w:r>
        <w:t xml:space="preserve">; </w:t>
      </w:r>
      <w:hyperlink r:id="rId12614">
        <w:r>
          <w:rPr>
            <w:color w:val="0000EE"/>
            <w:u w:val="single"/>
          </w:rPr>
          <w:t>Dt 15.2–3</w:t>
        </w:r>
      </w:hyperlink>
      <w:r>
        <w:t xml:space="preserve">). </w:t>
      </w:r>
      <w:hyperlink r:id="rId3853">
        <w:r>
          <w:rPr>
            <w:color w:val="0000EE"/>
            <w:u w:val="single"/>
          </w:rPr>
          <w:t>Lévitique 19.18</w:t>
        </w:r>
      </w:hyperlink>
      <w:r>
        <w:t xml:space="preserve">, un passage souvent cité dans le NT, commande à l'Israélite d'aimer son prochain comme lui-même. </w:t>
      </w:r>
      <w:hyperlink r:id="rId5112">
        <w:r>
          <w:rPr>
            <w:color w:val="0000EE"/>
            <w:u w:val="single"/>
          </w:rPr>
          <w:t>Lévitique 19.34</w:t>
        </w:r>
      </w:hyperlink>
      <w:r>
        <w:t xml:space="preserve"> étend le devoir d'aimer son prochain à l'étranger (ou « résident temporaire ») en séjour dans le pays. Si le mot « prochain » (v. </w:t>
      </w:r>
      <w:hyperlink r:id="rId3853">
        <w:r>
          <w:rPr>
            <w:color w:val="0000EE"/>
            <w:u w:val="single"/>
          </w:rPr>
          <w:t>18</w:t>
        </w:r>
      </w:hyperlink>
      <w:r>
        <w:t xml:space="preserve">) comprenait l'idée plus générale d'« humanité » ou de « semblable », on pourrait supposer qu'il n'y aurait pas eu besoin de préciser que cela s'applique aussi à l'étranger au verset </w:t>
      </w:r>
      <w:hyperlink r:id="rId5112">
        <w:r>
          <w:rPr>
            <w:color w:val="0000EE"/>
            <w:u w:val="single"/>
          </w:rPr>
          <w:t>34</w:t>
        </w:r>
      </w:hyperlink>
      <w:r>
        <w:t xml:space="preserve">. Le terme </w:t>
      </w:r>
      <w:r>
        <w:rPr>
          <w:i/>
        </w:rPr>
        <w:t>prochain</w:t>
      </w:r>
      <w:r>
        <w:t xml:space="preserve"> était donc probablement compris comme une façon de désigner quelqu'un avec qui on avait un lien particulier de rapprochement, c'est-à-dire, un frère ou une sœur Israélite.</w:t>
      </w:r>
    </w:p>
    <w:p>
      <w:r/>
      <w:r>
        <w:t>Dans le contexte de la communauté de l'alliance, l'amour du prochain comprenait des responsabilités clairement énoncées dans la loi. Le prochain devait être traité équitablement (</w:t>
      </w:r>
      <w:hyperlink r:id="rId12615">
        <w:r>
          <w:rPr>
            <w:color w:val="0000EE"/>
            <w:u w:val="single"/>
          </w:rPr>
          <w:t xml:space="preserve">Ex 22.5–15 </w:t>
        </w:r>
      </w:hyperlink>
      <w:r>
        <w:t xml:space="preserve">; </w:t>
      </w:r>
      <w:hyperlink r:id="rId4337">
        <w:r>
          <w:rPr>
            <w:color w:val="0000EE"/>
            <w:u w:val="single"/>
          </w:rPr>
          <w:t xml:space="preserve">Lv 5.21–26 </w:t>
        </w:r>
      </w:hyperlink>
      <w:r>
        <w:t xml:space="preserve">; </w:t>
      </w:r>
      <w:hyperlink r:id="rId3878">
        <w:r>
          <w:rPr>
            <w:color w:val="0000EE"/>
            <w:u w:val="single"/>
          </w:rPr>
          <w:t>19.9–18</w:t>
        </w:r>
      </w:hyperlink>
      <w:r>
        <w:t>). Le respect était dû à sa personne (</w:t>
      </w:r>
      <w:hyperlink r:id="rId12616">
        <w:r>
          <w:rPr>
            <w:color w:val="0000EE"/>
            <w:u w:val="single"/>
          </w:rPr>
          <w:t>Ex 20.16</w:t>
        </w:r>
      </w:hyperlink>
      <w:r>
        <w:t>) et on devait également traiter avec égard ce qui lui appartenait (</w:t>
      </w:r>
      <w:hyperlink r:id="rId3084">
        <w:r>
          <w:rPr>
            <w:color w:val="0000EE"/>
            <w:u w:val="single"/>
          </w:rPr>
          <w:t>Ex 20.17</w:t>
        </w:r>
      </w:hyperlink>
      <w:r>
        <w:t>). Pour favoriser de telles relations justes et miséricordieuses au sein de la communauté de l'alliance, le prochain devait être considéré comme un « frère » (</w:t>
      </w:r>
      <w:hyperlink r:id="rId12617">
        <w:r>
          <w:rPr>
            <w:color w:val="0000EE"/>
            <w:u w:val="single"/>
          </w:rPr>
          <w:t xml:space="preserve">Lv 25.25 </w:t>
        </w:r>
      </w:hyperlink>
      <w:r>
        <w:t xml:space="preserve">; </w:t>
      </w:r>
      <w:hyperlink r:id="rId12618">
        <w:r>
          <w:rPr>
            <w:color w:val="0000EE"/>
            <w:u w:val="single"/>
          </w:rPr>
          <w:t>Dt 22.1–4</w:t>
        </w:r>
      </w:hyperlink>
      <w:r>
        <w:t>). La loi punissait les coupables de crimes contre leur prochain en leur rendant la pareille (</w:t>
      </w:r>
      <w:hyperlink r:id="rId12619">
        <w:r>
          <w:rPr>
            <w:color w:val="0000EE"/>
            <w:u w:val="single"/>
          </w:rPr>
          <w:t xml:space="preserve">Lv 24.19–23 </w:t>
        </w:r>
      </w:hyperlink>
      <w:r>
        <w:t xml:space="preserve">; </w:t>
      </w:r>
      <w:hyperlink r:id="rId12620">
        <w:r>
          <w:rPr>
            <w:color w:val="0000EE"/>
            <w:u w:val="single"/>
          </w:rPr>
          <w:t>Dt 19.11–19</w:t>
        </w:r>
      </w:hyperlink>
      <w:r>
        <w:t>).</w:t>
      </w:r>
    </w:p>
    <w:p>
      <w:r/>
      <w:r>
        <w:t>La façon dont on traite son prochain a une importance capitale dans la loi parce qu'elle est inséparable de la relation que chacun entretient avec Dieu. En effet, la façon dont l'Israélite traitait son prochain avait un impact direct sur sa relation avec Dieu (</w:t>
      </w:r>
      <w:hyperlink r:id="rId12612">
        <w:r>
          <w:rPr>
            <w:color w:val="0000EE"/>
            <w:u w:val="single"/>
          </w:rPr>
          <w:t>Lv 6.1–7</w:t>
        </w:r>
      </w:hyperlink>
      <w:r>
        <w:t xml:space="preserve"> ; </w:t>
      </w:r>
      <w:hyperlink r:id="rId12613">
        <w:r>
          <w:rPr>
            <w:color w:val="0000EE"/>
            <w:u w:val="single"/>
          </w:rPr>
          <w:t>19</w:t>
        </w:r>
      </w:hyperlink>
      <w:r>
        <w:t xml:space="preserve"> ; </w:t>
      </w:r>
      <w:hyperlink r:id="rId12621">
        <w:r>
          <w:rPr>
            <w:color w:val="0000EE"/>
            <w:u w:val="single"/>
          </w:rPr>
          <w:t>25.17</w:t>
        </w:r>
      </w:hyperlink>
      <w:r>
        <w:t xml:space="preserve"> ; </w:t>
      </w:r>
      <w:hyperlink r:id="rId12622">
        <w:r>
          <w:rPr>
            <w:color w:val="0000EE"/>
            <w:u w:val="single"/>
          </w:rPr>
          <w:t>Dt 24.10–13</w:t>
        </w:r>
      </w:hyperlink>
      <w:r>
        <w:t xml:space="preserve"> ; </w:t>
      </w:r>
      <w:hyperlink r:id="rId10468">
        <w:r>
          <w:rPr>
            <w:color w:val="0000EE"/>
            <w:u w:val="single"/>
          </w:rPr>
          <w:t>Ps 12</w:t>
        </w:r>
      </w:hyperlink>
      <w:r>
        <w:t>). Les Israélites devaient traiter leur prochain en se souvenant de comment Dieu les avait eux-mêmes traités dans son amour (</w:t>
      </w:r>
      <w:hyperlink r:id="rId5111">
        <w:r>
          <w:rPr>
            <w:color w:val="0000EE"/>
            <w:u w:val="single"/>
          </w:rPr>
          <w:t>Ex 22.21</w:t>
        </w:r>
      </w:hyperlink>
      <w:r>
        <w:t xml:space="preserve"> ; </w:t>
      </w:r>
      <w:hyperlink r:id="rId958">
        <w:r>
          <w:rPr>
            <w:color w:val="0000EE"/>
            <w:u w:val="single"/>
          </w:rPr>
          <w:t>Lv 25.35–38</w:t>
        </w:r>
      </w:hyperlink>
      <w:r>
        <w:t>).</w:t>
      </w:r>
    </w:p>
    <w:p>
      <w:r/>
      <w:r>
        <w:t>La désintégration sociale ou les troubles nationaux qui survenaient lorsque la responsabilité envers le prochain était mise de côté soulignaient son importance dans la communauté de l'alliance (</w:t>
      </w:r>
      <w:hyperlink r:id="rId12623">
        <w:r>
          <w:rPr>
            <w:color w:val="0000EE"/>
            <w:u w:val="single"/>
          </w:rPr>
          <w:t>Dt 28.15–68</w:t>
        </w:r>
      </w:hyperlink>
      <w:r>
        <w:t xml:space="preserve"> ; </w:t>
      </w:r>
      <w:hyperlink r:id="rId12624">
        <w:r>
          <w:rPr>
            <w:color w:val="0000EE"/>
            <w:u w:val="single"/>
          </w:rPr>
          <w:t>Os 4.1–3</w:t>
        </w:r>
      </w:hyperlink>
      <w:r>
        <w:t xml:space="preserve"> ; </w:t>
      </w:r>
      <w:hyperlink r:id="rId12625">
        <w:r>
          <w:rPr>
            <w:color w:val="0000EE"/>
            <w:u w:val="single"/>
          </w:rPr>
          <w:t>Am 2.6–7</w:t>
        </w:r>
      </w:hyperlink>
      <w:r>
        <w:t>). Les manquements des Israélites à aimer leurs prochains, particulièrement les pauvres, faisaient partie des raisons pour lesquelles Dieu les avait punis en les envoyant en exil (</w:t>
      </w:r>
      <w:hyperlink r:id="rId12626">
        <w:r>
          <w:rPr>
            <w:color w:val="0000EE"/>
            <w:u w:val="single"/>
          </w:rPr>
          <w:t>Jr 5.7–9</w:t>
        </w:r>
      </w:hyperlink>
      <w:r>
        <w:t xml:space="preserve"> ; </w:t>
      </w:r>
      <w:hyperlink r:id="rId12627">
        <w:r>
          <w:rPr>
            <w:color w:val="0000EE"/>
            <w:u w:val="single"/>
          </w:rPr>
          <w:t>7.1–15</w:t>
        </w:r>
      </w:hyperlink>
      <w:r>
        <w:t xml:space="preserve"> ; </w:t>
      </w:r>
      <w:hyperlink r:id="rId12628">
        <w:r>
          <w:rPr>
            <w:color w:val="0000EE"/>
            <w:u w:val="single"/>
          </w:rPr>
          <w:t>9.2–9</w:t>
        </w:r>
      </w:hyperlink>
      <w:r>
        <w:t xml:space="preserve"> ; </w:t>
      </w:r>
      <w:hyperlink r:id="rId12624">
        <w:r>
          <w:rPr>
            <w:color w:val="0000EE"/>
            <w:u w:val="single"/>
          </w:rPr>
          <w:t>Os 4.1–3</w:t>
        </w:r>
      </w:hyperlink>
      <w:r>
        <w:t xml:space="preserve"> ; </w:t>
      </w:r>
      <w:hyperlink r:id="rId12625">
        <w:r>
          <w:rPr>
            <w:color w:val="0000EE"/>
            <w:u w:val="single"/>
          </w:rPr>
          <w:t>Am 2.6–7</w:t>
        </w:r>
      </w:hyperlink>
      <w:r>
        <w:t xml:space="preserve"> ; </w:t>
      </w:r>
      <w:hyperlink r:id="rId841">
        <w:r>
          <w:rPr>
            <w:color w:val="0000EE"/>
            <w:u w:val="single"/>
          </w:rPr>
          <w:t>5.10–13</w:t>
        </w:r>
      </w:hyperlink>
      <w:r>
        <w:t xml:space="preserve"> ; </w:t>
      </w:r>
      <w:hyperlink r:id="rId12443">
        <w:r>
          <w:rPr>
            <w:color w:val="0000EE"/>
            <w:u w:val="single"/>
          </w:rPr>
          <w:t>8.4–6</w:t>
        </w:r>
      </w:hyperlink>
      <w:r>
        <w:t>). Le fait que la restauration de l'amour du prochain faisait partie de l'espérance de l'âge messianique à venir (</w:t>
      </w:r>
      <w:hyperlink r:id="rId579">
        <w:r>
          <w:rPr>
            <w:color w:val="0000EE"/>
            <w:u w:val="single"/>
          </w:rPr>
          <w:t>Jr 31.34</w:t>
        </w:r>
      </w:hyperlink>
      <w:r>
        <w:t xml:space="preserve"> ; </w:t>
      </w:r>
      <w:hyperlink r:id="rId12629">
        <w:r>
          <w:rPr>
            <w:color w:val="0000EE"/>
            <w:u w:val="single"/>
          </w:rPr>
          <w:t>Za 3.10</w:t>
        </w:r>
      </w:hyperlink>
      <w:r>
        <w:t>) indique que les Israélites avaient généralement failli à observer ce commandement pendant la période de l'AT.</w:t>
      </w:r>
    </w:p>
    <w:p>
      <w:pPr>
        <w:pStyle w:val="Heading3"/>
      </w:pPr>
      <w:r>
        <w:t>Le prochain dans le judaïsme tardif</w:t>
      </w:r>
    </w:p>
    <w:p>
      <w:r/>
      <w:r>
        <w:t>L'exil a aidé les Israélites a prendre plus au sérieux le fait que la bénédiction divine dépendait, en autres, de leur pratique de la justice et de leur amour les uns envers les autres (</w:t>
      </w:r>
      <w:hyperlink r:id="rId12630">
        <w:r>
          <w:rPr>
            <w:color w:val="0000EE"/>
            <w:u w:val="single"/>
          </w:rPr>
          <w:t>Za 8.14–17</w:t>
        </w:r>
      </w:hyperlink>
      <w:r>
        <w:t xml:space="preserve">). Toutefois, il y avait des débats sur qui exactement était un « prochain ». Il y a plusieurs indications qu'à cette époque, le prochain était compris comme n'incluant que les compatriotes israélites et les prosélytes (les non-Juifs convertis au judaïsme). Selon des écrits rabbiniques, les Samaritains et les non-Juifs résidant en Israël n'étaient pas considérés des « prochains » à qui le commandement d'aimer son prochain devait s'appliquer. Dans la communauté juive des Esséniens de Qumrân, seuls les membres de la communauté étaient considérés des prochains à respecter et à traiter équitablement. Quand Jésus déclare que : « Vous </w:t>
      </w:r>
      <w:r>
        <w:t>avez appris qu’il a été dit : Tu aimeras ton prochain, et tu haïras ton ennemi</w:t>
      </w:r>
      <w:r>
        <w:t xml:space="preserve"> » (</w:t>
      </w:r>
      <w:hyperlink r:id="rId12631">
        <w:r>
          <w:rPr>
            <w:color w:val="0000EE"/>
            <w:u w:val="single"/>
          </w:rPr>
          <w:t>Mt 5.43</w:t>
        </w:r>
      </w:hyperlink>
      <w:r>
        <w:t xml:space="preserve">), il ne cite que partiellement l'AT (« Tu aimeras ton prochain » dans </w:t>
      </w:r>
      <w:hyperlink r:id="rId3853">
        <w:r>
          <w:rPr>
            <w:color w:val="0000EE"/>
            <w:u w:val="single"/>
          </w:rPr>
          <w:t>Lv 19.18</w:t>
        </w:r>
      </w:hyperlink>
      <w:r>
        <w:t>). La partie « et tu haïras ton ennemi » reflète le sentiment de Juifs contemporains envers les étrangers. Ils affirmaient que Dieu n'exigeait pas d'amour envers ceux qu'ils considéraient comme des « ennemis », mais seulement envers leurs compatriotes.</w:t>
      </w:r>
    </w:p>
    <w:p>
      <w:pPr>
        <w:pStyle w:val="Heading3"/>
      </w:pPr>
      <w:r>
        <w:t>Le prochain dans le Nouveau Testament</w:t>
      </w:r>
    </w:p>
    <w:p>
      <w:r/>
      <w:r>
        <w:t>L'enseignement de Jésus se distance radicalement des attitudes de beaucoup de Juifs à cette époque. En effet, il rejette les restrictions qu'ils avaient imposées au commandement de l'amour du prochain. Par exemple, Jésus enseigne clairement qu'il faut aimer ses ennemis (</w:t>
      </w:r>
      <w:hyperlink r:id="rId12632">
        <w:r>
          <w:rPr>
            <w:color w:val="0000EE"/>
            <w:u w:val="single"/>
          </w:rPr>
          <w:t>Mt 5.43–48</w:t>
        </w:r>
      </w:hyperlink>
      <w:r>
        <w:t>). Il rejette ainsi complètement la distinction entre prochain et ennemi.</w:t>
      </w:r>
    </w:p>
    <w:p>
      <w:r/>
      <w:r>
        <w:t>À une autre occasion, un scribe demande d'abord à Jésus quel est le premier de tous les commandements (</w:t>
      </w:r>
      <w:hyperlink r:id="rId12633">
        <w:r>
          <w:rPr>
            <w:color w:val="0000EE"/>
            <w:u w:val="single"/>
          </w:rPr>
          <w:t>Mc 12.28–31</w:t>
        </w:r>
      </w:hyperlink>
      <w:r>
        <w:t xml:space="preserve">). En réponse, Jésus lui cite </w:t>
      </w:r>
      <w:hyperlink r:id="rId680">
        <w:r>
          <w:rPr>
            <w:color w:val="0000EE"/>
            <w:u w:val="single"/>
          </w:rPr>
          <w:t>Deutéronome 6.5</w:t>
        </w:r>
      </w:hyperlink>
      <w:r>
        <w:t xml:space="preserve">, qui commande à l'homme d'aimer Dieu de tout son être : cœur, âme et pensée. Il est important de noter que Jésus ne s'arrête pas à ce commandement, mais qu'il le lie à un deuxième commandement : « </w:t>
      </w:r>
      <w:r>
        <w:t>Tu aimeras ton prochain comme toi-même</w:t>
      </w:r>
      <w:r>
        <w:t xml:space="preserve"> » (</w:t>
      </w:r>
      <w:hyperlink r:id="rId3853">
        <w:r>
          <w:rPr>
            <w:color w:val="0000EE"/>
            <w:u w:val="single"/>
          </w:rPr>
          <w:t>Lv 19.18</w:t>
        </w:r>
      </w:hyperlink>
      <w:r>
        <w:t xml:space="preserve">). Certains experts pensent que Jésus est celui qui a, pour la première fois, exprimé ainsi la relation directe entre ces deux commandements, comme il le fait ici de façon saisissante (voir </w:t>
      </w:r>
      <w:hyperlink r:id="rId678">
        <w:r>
          <w:rPr>
            <w:color w:val="0000EE"/>
            <w:u w:val="single"/>
          </w:rPr>
          <w:t>Mt 22.37</w:t>
        </w:r>
      </w:hyperlink>
      <w:r>
        <w:t xml:space="preserve"> ; </w:t>
      </w:r>
      <w:hyperlink r:id="rId3880">
        <w:r>
          <w:rPr>
            <w:color w:val="0000EE"/>
            <w:u w:val="single"/>
          </w:rPr>
          <w:t>Mc 12.29–31</w:t>
        </w:r>
      </w:hyperlink>
      <w:r>
        <w:t>). Dans tous les cas, cela indique clairement comment le Seigneur considère la relation entre ces deux commandements. Ainsi, aimer son prochain découle d'aimer Dieu. Aimer Dieu comprend répondre dans l'amour aux besoins du prochain.</w:t>
      </w:r>
    </w:p>
    <w:p>
      <w:r/>
      <w:r>
        <w:t>Le débat à l'époque de Jésus ne portait pas sur comment aimer son prochain, mais plutôt sur qui était considéré un prochain. Un expert de la loi pose cette question à Jésus (</w:t>
      </w:r>
      <w:hyperlink r:id="rId12634">
        <w:r>
          <w:rPr>
            <w:color w:val="0000EE"/>
            <w:u w:val="single"/>
          </w:rPr>
          <w:t>Lc 10.29</w:t>
        </w:r>
      </w:hyperlink>
      <w:r>
        <w:t xml:space="preserve">). Jésus loue cet homme d'avoir bien compris ce qui est requis pour hériter de la vie éternelle : l'amour de Dieu et l'amour du prochain. Luc explique que cet expert de la loi demande à Jésus qui est son prochain pour se justifier. Cet homme voulait probablement justifier sa pratique de limiter son amour à certains seulement. Jésus lui répond par la célèbre parabole du Bon Samaritain (v. </w:t>
      </w:r>
      <w:hyperlink r:id="rId11655">
        <w:r>
          <w:rPr>
            <w:color w:val="0000EE"/>
            <w:u w:val="single"/>
          </w:rPr>
          <w:t>30–35</w:t>
        </w:r>
      </w:hyperlink>
      <w:r>
        <w:t>).</w:t>
      </w:r>
    </w:p>
    <w:p>
      <w:r/>
      <w:r>
        <w:t>Pour démontrer à cet homme à quel point sa question est tragiquement à côté de la vérité, Jésus raconte ce qui se produit alors qu'un homme voyage sur la route périlleuse allant de Jérusalem à Jéricho, une route particulièrement ciblée par les brigands. Le voyageur se fait attaquer. Ses affaires lui sont volées. Il est dépouillé, battu et laissé à moitié mort. Jusqu'à ce point dans l'histoire, l'expert de la loi suppose peut-être que Jésus va proposer ici un exemple de qui constitue un « prochain ». Il s'agit après tout d'un compatriote juif dans le besoin. Toutefois, Jésus continue l'histoire en introduisant deux personnages : un sacrificateur et un Lévite. Sans aucun doute, l'un et l'autre aurait été jugés compétents pour définir de façon académique qui est le prochain que Dieu commande d'aimer. L'expert de la loi aurait peut-être supposé que le sacrificateur et le Lévite, eux-mêmes connaisseurs de la loi, aideraient la victime. Cependant, dans l'histoire de Jésus, ces deux personnes voient l'homme dans le besoin, mais choisissent de passer de l'autre côté. Peut-être qu'étant incapables de déterminer si la victime est morte ou à peine vivante, ils ne veulent pas risquer de se rendre impurs en touchant un cadavre. Ils passent donc leur chemin et se détournent ainsi du commandement suprême sujet de la question de l'expert de la loi (</w:t>
      </w:r>
      <w:hyperlink r:id="rId3857">
        <w:r>
          <w:rPr>
            <w:color w:val="0000EE"/>
            <w:u w:val="single"/>
          </w:rPr>
          <w:t>10.25–28</w:t>
        </w:r>
      </w:hyperlink>
      <w:r>
        <w:t>).</w:t>
      </w:r>
    </w:p>
    <w:p>
      <w:r/>
      <w:r>
        <w:t xml:space="preserve">Arrive ensuite un Samaritain. Les Samaritains étaient méprisés par les Juifs. Ils étaient considérés comme des hérétiques par les autorités religieuses juives. Ils faisaient partie de ceux que les rabbins ne considéraient pas comme des prochains (et donc ne considéraient pas comme des personnes à qui le commandement d'amour s'appliquait). Pendant les siècles précédents, de nombreux Samaritains avaient été massacrés par des dirigeants juifs. Les deux peuples étaient hostiles l'un envers l'autre (voir </w:t>
      </w:r>
      <w:hyperlink r:id="rId7994">
        <w:r>
          <w:rPr>
            <w:color w:val="0000EE"/>
            <w:u w:val="single"/>
          </w:rPr>
          <w:t>Jn 4.9</w:t>
        </w:r>
      </w:hyperlink>
      <w:r>
        <w:t xml:space="preserve">). L'expert de la loi qui écoutait la parabole aurait présumé que le sacrificateur et le Lévite auraient agit de façon juste dans cette situation. Il aurait certainement été très surpris que ce soit un Samaritain qui montre de la compassion à la victime, accomplissant ainsi le grand commandement. </w:t>
      </w:r>
    </w:p>
    <w:p>
      <w:r/>
      <w:r>
        <w:t>Jésus détaille délibérément tout ce que le Samaritain fait pour aider la victime. Il panse les blessures de l'homme et le transporte à une auberge en le mettant sur sa propre monture. Ensuite, il paie pour qu'en son absence, on continue de soigner l'homme blessé (</w:t>
      </w:r>
      <w:hyperlink r:id="rId1457">
        <w:r>
          <w:rPr>
            <w:color w:val="0000EE"/>
            <w:u w:val="single"/>
          </w:rPr>
          <w:t>Lc 10.34–35</w:t>
        </w:r>
      </w:hyperlink>
      <w:r>
        <w:t xml:space="preserve">). L'expert de la loi ne peut pas échapper à la conclusion que ce Samaritain a démontré un véritable amour pour le blessé. L'ironie de l'histoire est que c'est précisément celui que beaucoup de Juifs n'auraient pas considéré digne d'être appelé leur « prochain » qui s'est comporté en « prochain » envers la victime (v. </w:t>
      </w:r>
      <w:hyperlink r:id="rId12635">
        <w:r>
          <w:rPr>
            <w:color w:val="0000EE"/>
            <w:u w:val="single"/>
          </w:rPr>
          <w:t>36–37</w:t>
        </w:r>
      </w:hyperlink>
      <w:r>
        <w:t>).</w:t>
      </w:r>
    </w:p>
    <w:p>
      <w:r/>
      <w:r>
        <w:t xml:space="preserve">Cette parabole, tout comme ce que Jésus déclare dans </w:t>
      </w:r>
      <w:hyperlink r:id="rId12632">
        <w:r>
          <w:rPr>
            <w:color w:val="0000EE"/>
            <w:u w:val="single"/>
          </w:rPr>
          <w:t>Matthieu 5.43–48</w:t>
        </w:r>
      </w:hyperlink>
      <w:r>
        <w:t>, montre comment le Seigneur définit le terme « prochain » et ce que l'amour du prochain exige. Jésus ne fixe aucune limite à qui peut être considéré comme le prochain que Dieu commande d'aimer.</w:t>
      </w:r>
    </w:p>
    <w:p>
      <w:r/>
      <w:r>
        <w:t>L'importance et la puissance des enseignements de Jésus sur l'amour du prochain en relation à l'amour pour Dieu se retrouvent dans le reste du NT. À deux reprises, Paul déclare que l'amour du prochain accompli toute la loi (</w:t>
      </w:r>
      <w:hyperlink r:id="rId6583">
        <w:r>
          <w:rPr>
            <w:color w:val="0000EE"/>
            <w:u w:val="single"/>
          </w:rPr>
          <w:t>Rm 13.8–10</w:t>
        </w:r>
      </w:hyperlink>
      <w:r>
        <w:t xml:space="preserve"> ; </w:t>
      </w:r>
      <w:hyperlink r:id="rId12636">
        <w:r>
          <w:rPr>
            <w:color w:val="0000EE"/>
            <w:u w:val="single"/>
          </w:rPr>
          <w:t>Ga 5.14</w:t>
        </w:r>
      </w:hyperlink>
      <w:r>
        <w:t>). Jacques appelle ce même commandement « la loi royale » (</w:t>
      </w:r>
      <w:hyperlink r:id="rId7001">
        <w:r>
          <w:rPr>
            <w:color w:val="0000EE"/>
            <w:u w:val="single"/>
          </w:rPr>
          <w:t>Jc 2.8</w:t>
        </w:r>
      </w:hyperlink>
      <w:r>
        <w:t>).</w:t>
      </w:r>
      <w:r/>
      <w:r/>
    </w:p>
    <w:p>
      <w:r/>
    </w:p>
    <w:p>
      <w:pPr>
        <w:pStyle w:val="Heading2"/>
      </w:pPr>
      <w:r>
        <w:t>Prochore, Procorus</w:t>
      </w:r>
      <w:r/>
    </w:p>
    <w:p>
      <w:r/>
      <w:r>
        <w:t>L'un des sept hommes choisis par l'Église primitive à Jérusalem pour servir les veuves et gérer la distribution quotidienne de nourriture (</w:t>
      </w:r>
      <w:hyperlink r:id="rId996">
        <w:r>
          <w:rPr>
            <w:color w:val="0000EE"/>
            <w:u w:val="single"/>
          </w:rPr>
          <w:t>Ac 6.5</w:t>
        </w:r>
      </w:hyperlink>
      <w:r>
        <w:t>). Ces sept hommes ont été sélectionnés parce qu'ils étaient remplis du Saint-Esprit et de sagesse. Les six autres hommes étaient Étienne, Philippe, Nicanor, Timon, Parménas et Nicolas.</w:t>
      </w:r>
    </w:p>
    <w:p>
      <w:r/>
      <w:r>
        <w:rPr>
          <w:i/>
        </w:rPr>
        <w:t>Voir aussi</w:t>
      </w:r>
      <w:r>
        <w:t xml:space="preserve"> </w:t>
      </w:r>
      <w:r>
        <w:t>Diacre, Diaconesse</w:t>
      </w:r>
      <w:r>
        <w:t>.</w:t>
      </w:r>
      <w:r/>
      <w:r/>
    </w:p>
    <w:p>
      <w:r/>
    </w:p>
    <w:p>
      <w:pPr>
        <w:pStyle w:val="Heading2"/>
      </w:pPr>
      <w:r>
        <w:t>Proconsul</w:t>
      </w:r>
      <w:r/>
    </w:p>
    <w:p>
      <w:r/>
      <w:r>
        <w:t>Gouverneur choisi par le Sénat de Rome pour diriger une province. À compter de l'époque de l'empereur Auguste, le Sénat romain choisira des gouverneurs pour administrer certaines provinces sénatoriales romaines. Ces provinces étaient considérées comme suffisamment sûres pour qu'une armée n'ait pas besoin d'y être stationnée.</w:t>
      </w:r>
    </w:p>
    <w:p>
      <w:r/>
      <w:r>
        <w:t xml:space="preserve">Les proconsuls servaient pendant un an. Ils exerçaient leurs fonctions entre le moment où ils étaient </w:t>
      </w:r>
      <w:r>
        <w:rPr>
          <w:i/>
        </w:rPr>
        <w:t>préteurs</w:t>
      </w:r>
      <w:r>
        <w:t xml:space="preserve"> (fonctionnaire de rang inférieur) et celui où ils devenaient consuls de Rome (une position plus élevée). Les proconsuls étaient différents des procurateurs, qui étaient choisis par l'empereur pour gouverner les provinces impériales sans durée déterminée.</w:t>
      </w:r>
    </w:p>
    <w:p>
      <w:r/>
      <w:r>
        <w:t>Deux proconsuls apparaissent dans le livre des Actes :</w:t>
      </w:r>
    </w:p>
    <w:p>
      <w:pPr>
        <w:pStyle w:val="ListBullet"/>
        <w:spacing w:line="240" w:lineRule="auto"/>
        <w:ind w:left="720"/>
      </w:pPr>
      <w:r/>
      <w:r>
        <w:t>Sergius Paulus de Chypre (</w:t>
      </w:r>
      <w:hyperlink r:id="rId191">
        <w:r>
          <w:rPr>
            <w:color w:val="0000EE"/>
            <w:u w:val="single"/>
          </w:rPr>
          <w:t>Ac 13.7–12</w:t>
        </w:r>
      </w:hyperlink>
      <w:r>
        <w:t>).</w:t>
      </w:r>
    </w:p>
    <w:p>
      <w:pPr>
        <w:pStyle w:val="ListBullet"/>
        <w:spacing w:line="240" w:lineRule="auto"/>
        <w:ind w:left="720"/>
      </w:pPr>
      <w:r/>
      <w:r>
        <w:t>Gallion d'Achaïe (</w:t>
      </w:r>
      <w:hyperlink r:id="rId163">
        <w:r>
          <w:rPr>
            <w:color w:val="0000EE"/>
            <w:u w:val="single"/>
          </w:rPr>
          <w:t>18.12–17</w:t>
        </w:r>
      </w:hyperlink>
      <w:r>
        <w:t>).</w:t>
      </w:r>
    </w:p>
    <w:p>
      <w:r/>
      <w:r>
        <w:rPr>
          <w:i/>
        </w:rPr>
        <w:t>Voir aussi</w:t>
      </w:r>
      <w:r>
        <w:t xml:space="preserve"> </w:t>
      </w:r>
      <w:r>
        <w:t>Gallion</w:t>
      </w:r>
      <w:r>
        <w:t xml:space="preserve"> ; </w:t>
      </w:r>
      <w:r>
        <w:t>Inscription de Gallion</w:t>
      </w:r>
      <w:r>
        <w:t xml:space="preserve"> ; </w:t>
      </w:r>
      <w:r>
        <w:t>Sergius Paulus</w:t>
      </w:r>
      <w:r>
        <w:t>.</w:t>
      </w:r>
      <w:r/>
      <w:r/>
    </w:p>
    <w:p>
      <w:r/>
    </w:p>
    <w:p>
      <w:pPr>
        <w:pStyle w:val="Heading2"/>
      </w:pPr>
      <w:r>
        <w:t>Procurateur</w:t>
      </w:r>
      <w:r/>
    </w:p>
    <w:p>
      <w:r/>
      <w:r>
        <w:t>Un procurateur était un officier financier de Rome. De nombreuses traductions modernes utilisent le terme « gouverneur ». Il était généralement issu du rang équestre (classe moyenne supérieure de la société romaine). Le travail du procurateur comprenait la supervision et la collecte des impôts impériaux dans une province assignée. En Judée et dans d'autres petites provinces de l'Empire romain, le procurateur agissait parfois comme gouverneur de cette région.</w:t>
      </w:r>
    </w:p>
    <w:p>
      <w:r/>
      <w:r>
        <w:t>Un procurateur ne gérait pas seulement les finances, mais avait également une autorité judiciaire et militaire. Sa principale responsabilité était de maintenir la paix dans sa juridiction. Le Nouveau Testament mentionne trois procurateurs romains :</w:t>
      </w:r>
    </w:p>
    <w:p>
      <w:pPr>
        <w:pStyle w:val="ListBullet"/>
        <w:spacing w:line="240" w:lineRule="auto"/>
        <w:ind w:left="720"/>
      </w:pPr>
      <w:r/>
      <w:r>
        <w:t xml:space="preserve">Ponce Pilate était procurateur de 26 à 36 apr. J.‑C. (voir </w:t>
      </w:r>
      <w:hyperlink r:id="rId12637">
        <w:r>
          <w:rPr>
            <w:color w:val="0000EE"/>
            <w:u w:val="single"/>
          </w:rPr>
          <w:t>Mt 27</w:t>
        </w:r>
      </w:hyperlink>
      <w:r>
        <w:t xml:space="preserve"> ; </w:t>
      </w:r>
      <w:hyperlink r:id="rId11726">
        <w:r>
          <w:rPr>
            <w:color w:val="0000EE"/>
            <w:u w:val="single"/>
          </w:rPr>
          <w:t>Jn 18–19</w:t>
        </w:r>
      </w:hyperlink>
      <w:r>
        <w:t>).</w:t>
      </w:r>
    </w:p>
    <w:p>
      <w:pPr>
        <w:pStyle w:val="ListBullet"/>
        <w:spacing w:line="240" w:lineRule="auto"/>
        <w:ind w:left="720"/>
      </w:pPr>
      <w:r/>
      <w:r>
        <w:t xml:space="preserve">Antonius Félix était procurateur de 52 à 59 apr. J.‑C. (voir </w:t>
      </w:r>
      <w:hyperlink r:id="rId12638">
        <w:r>
          <w:rPr>
            <w:color w:val="0000EE"/>
            <w:u w:val="single"/>
          </w:rPr>
          <w:t>Ac 23.24–25.14</w:t>
        </w:r>
      </w:hyperlink>
      <w:r>
        <w:t>).</w:t>
      </w:r>
    </w:p>
    <w:p>
      <w:pPr>
        <w:pStyle w:val="ListBullet"/>
        <w:spacing w:line="240" w:lineRule="auto"/>
        <w:ind w:left="720"/>
      </w:pPr>
      <w:r/>
      <w:r>
        <w:t xml:space="preserve">Porcius Festus fut procurateur de 59 à 62 apr. J.‑C. (voir </w:t>
      </w:r>
      <w:hyperlink r:id="rId12639">
        <w:r>
          <w:rPr>
            <w:color w:val="0000EE"/>
            <w:u w:val="single"/>
          </w:rPr>
          <w:t>Ac 24.27–26.32</w:t>
        </w:r>
      </w:hyperlink>
      <w:r>
        <w:t>).</w:t>
      </w:r>
    </w:p>
    <w:p>
      <w:r/>
      <w:r>
        <w:t>Ces administrateurs étaient subordonnés au gouverneur de la Syrie, à qui ils devaient rendre des comptes.</w:t>
      </w:r>
    </w:p>
    <w:p>
      <w:r/>
      <w:r>
        <w:rPr>
          <w:i/>
        </w:rPr>
        <w:t>Voir aussi</w:t>
      </w:r>
      <w:r>
        <w:t xml:space="preserve"> </w:t>
      </w:r>
      <w:r>
        <w:t>Félix, Antoine</w:t>
      </w:r>
      <w:r>
        <w:t xml:space="preserve"> ; </w:t>
      </w:r>
      <w:r>
        <w:t>Festus, Porcius</w:t>
      </w:r>
      <w:r>
        <w:t xml:space="preserve"> ; </w:t>
      </w:r>
      <w:r>
        <w:t>Pilate, Ponce</w:t>
      </w:r>
      <w:r>
        <w:t>.</w:t>
      </w:r>
      <w:r/>
      <w:r/>
    </w:p>
    <w:p>
      <w:r/>
    </w:p>
    <w:p>
      <w:pPr>
        <w:pStyle w:val="Heading2"/>
      </w:pPr>
      <w:r>
        <w:t>Promesse</w:t>
      </w:r>
      <w:r/>
    </w:p>
    <w:p>
      <w:r/>
      <w:r>
        <w:t>Déclaration d'une personne à une autre stipulant que quelque chose sera ou ne sera pas fait. Elle confère à l'autre personne le droit d'attendre l'action promise.</w:t>
      </w:r>
    </w:p>
    <w:p>
      <w:pPr>
        <w:pStyle w:val="Heading3"/>
      </w:pPr>
      <w:r>
        <w:t>Types de promesses</w:t>
      </w:r>
    </w:p>
    <w:p>
      <w:r/>
      <w:r>
        <w:t xml:space="preserve">Dans la Bible, il y a quelques exemples de promesses que les gens se font entre eux (par exemple, </w:t>
      </w:r>
      <w:hyperlink r:id="rId12640">
        <w:r>
          <w:rPr>
            <w:color w:val="0000EE"/>
            <w:u w:val="single"/>
          </w:rPr>
          <w:t>Nb 22.17</w:t>
        </w:r>
      </w:hyperlink>
      <w:r>
        <w:t xml:space="preserve"> ; </w:t>
      </w:r>
      <w:hyperlink r:id="rId12641">
        <w:r>
          <w:rPr>
            <w:color w:val="0000EE"/>
            <w:u w:val="single"/>
          </w:rPr>
          <w:t>Est 4.7</w:t>
        </w:r>
      </w:hyperlink>
      <w:r>
        <w:t xml:space="preserve">) et à Dieu (par exemple, </w:t>
      </w:r>
      <w:hyperlink r:id="rId12642">
        <w:r>
          <w:rPr>
            <w:color w:val="0000EE"/>
            <w:u w:val="single"/>
          </w:rPr>
          <w:t>Né 5.12</w:t>
        </w:r>
      </w:hyperlink>
      <w:r>
        <w:t>). Cependant, les promesses de Dieu à l'homme sont bien plus importantes. Ces promesses divines sont absolument dignes de confiance parce que celui qui les donne est totalement capable d'accomplir ce qu'il a promis (</w:t>
      </w:r>
      <w:hyperlink r:id="rId12643">
        <w:r>
          <w:rPr>
            <w:color w:val="0000EE"/>
            <w:u w:val="single"/>
          </w:rPr>
          <w:t>Rm 4.21</w:t>
        </w:r>
      </w:hyperlink>
      <w:r>
        <w:t>).</w:t>
      </w:r>
    </w:p>
    <w:p>
      <w:r/>
      <w:r>
        <w:t>Les promesses de Dieu dans les Écritures garantissent aux bénéficiaires de nombreux avantages. Ceux-ci incluent :</w:t>
      </w:r>
    </w:p>
    <w:p>
      <w:pPr>
        <w:pStyle w:val="ListBullet"/>
        <w:spacing w:line="240" w:lineRule="auto"/>
        <w:ind w:left="720"/>
      </w:pPr>
      <w:r/>
      <w:r>
        <w:t>La filiation (</w:t>
      </w:r>
      <w:hyperlink r:id="rId12644">
        <w:r>
          <w:rPr>
            <w:color w:val="0000EE"/>
            <w:u w:val="single"/>
          </w:rPr>
          <w:t>2Co 6.16–7.1</w:t>
        </w:r>
      </w:hyperlink>
      <w:r>
        <w:t>)</w:t>
      </w:r>
    </w:p>
    <w:p>
      <w:pPr>
        <w:pStyle w:val="ListBullet"/>
        <w:spacing w:line="240" w:lineRule="auto"/>
        <w:ind w:left="720"/>
      </w:pPr>
      <w:r/>
      <w:r>
        <w:t>Le pardon des péchés (</w:t>
      </w:r>
      <w:hyperlink r:id="rId12645">
        <w:r>
          <w:rPr>
            <w:color w:val="0000EE"/>
            <w:u w:val="single"/>
          </w:rPr>
          <w:t>1Jn 1.9</w:t>
        </w:r>
      </w:hyperlink>
      <w:r>
        <w:t>)</w:t>
      </w:r>
    </w:p>
    <w:p>
      <w:pPr>
        <w:pStyle w:val="ListBullet"/>
        <w:spacing w:line="240" w:lineRule="auto"/>
        <w:ind w:left="720"/>
      </w:pPr>
      <w:r/>
      <w:r>
        <w:t>La réponse à la prière (</w:t>
      </w:r>
      <w:hyperlink r:id="rId12646">
        <w:r>
          <w:rPr>
            <w:color w:val="0000EE"/>
            <w:u w:val="single"/>
          </w:rPr>
          <w:t>Lc 11.9</w:t>
        </w:r>
      </w:hyperlink>
      <w:r>
        <w:t>)</w:t>
      </w:r>
    </w:p>
    <w:p>
      <w:pPr>
        <w:pStyle w:val="ListBullet"/>
        <w:spacing w:line="240" w:lineRule="auto"/>
        <w:ind w:left="720"/>
      </w:pPr>
      <w:r/>
      <w:r>
        <w:t>La délivrance des tentations (</w:t>
      </w:r>
      <w:hyperlink r:id="rId3251">
        <w:r>
          <w:rPr>
            <w:color w:val="0000EE"/>
            <w:u w:val="single"/>
          </w:rPr>
          <w:t>1Co 10.13</w:t>
        </w:r>
      </w:hyperlink>
      <w:r>
        <w:t>)</w:t>
      </w:r>
    </w:p>
    <w:p>
      <w:pPr>
        <w:pStyle w:val="ListBullet"/>
        <w:spacing w:line="240" w:lineRule="auto"/>
        <w:ind w:left="720"/>
      </w:pPr>
      <w:r/>
      <w:r>
        <w:t>La grâce au milieu de temps difficiles (</w:t>
      </w:r>
      <w:hyperlink r:id="rId12647">
        <w:r>
          <w:rPr>
            <w:color w:val="0000EE"/>
            <w:u w:val="single"/>
          </w:rPr>
          <w:t>2Co 12.9</w:t>
        </w:r>
      </w:hyperlink>
      <w:r>
        <w:t>)</w:t>
      </w:r>
    </w:p>
    <w:p>
      <w:pPr>
        <w:pStyle w:val="ListBullet"/>
        <w:spacing w:line="240" w:lineRule="auto"/>
        <w:ind w:left="720"/>
      </w:pPr>
      <w:r/>
      <w:r>
        <w:t>La provision pour tous les besoins (</w:t>
      </w:r>
      <w:hyperlink r:id="rId12078">
        <w:r>
          <w:rPr>
            <w:color w:val="0000EE"/>
            <w:u w:val="single"/>
          </w:rPr>
          <w:t>Ph 4.19</w:t>
        </w:r>
      </w:hyperlink>
      <w:r>
        <w:t>)</w:t>
      </w:r>
    </w:p>
    <w:p>
      <w:pPr>
        <w:pStyle w:val="ListBullet"/>
        <w:spacing w:line="240" w:lineRule="auto"/>
        <w:ind w:left="720"/>
      </w:pPr>
      <w:r/>
      <w:r>
        <w:t>Les récompenses pour l'obéissance (</w:t>
      </w:r>
      <w:hyperlink r:id="rId2719">
        <w:r>
          <w:rPr>
            <w:color w:val="0000EE"/>
            <w:u w:val="single"/>
          </w:rPr>
          <w:t>Jc 1.12</w:t>
        </w:r>
      </w:hyperlink>
      <w:r>
        <w:t>)</w:t>
      </w:r>
    </w:p>
    <w:p>
      <w:pPr>
        <w:pStyle w:val="ListBullet"/>
        <w:spacing w:line="240" w:lineRule="auto"/>
        <w:ind w:left="720"/>
      </w:pPr>
      <w:r/>
      <w:r>
        <w:t>La vie éternelle (</w:t>
      </w:r>
      <w:hyperlink r:id="rId12648">
        <w:r>
          <w:rPr>
            <w:color w:val="0000EE"/>
            <w:u w:val="single"/>
          </w:rPr>
          <w:t>Lc 18.29–30</w:t>
        </w:r>
      </w:hyperlink>
      <w:r>
        <w:t xml:space="preserve"> ; </w:t>
      </w:r>
      <w:hyperlink r:id="rId5733">
        <w:r>
          <w:rPr>
            <w:color w:val="0000EE"/>
            <w:u w:val="single"/>
          </w:rPr>
          <w:t>Jn 3.16</w:t>
        </w:r>
      </w:hyperlink>
      <w:r>
        <w:t xml:space="preserve"> ; </w:t>
      </w:r>
      <w:hyperlink r:id="rId12649">
        <w:r>
          <w:rPr>
            <w:color w:val="0000EE"/>
            <w:u w:val="single"/>
          </w:rPr>
          <w:t>Rm 6.22–23</w:t>
        </w:r>
      </w:hyperlink>
      <w:r>
        <w:t>)</w:t>
      </w:r>
    </w:p>
    <w:p>
      <w:r/>
      <w:r>
        <w:t>Les promesses de Dieu sont certaines et sûres. Cependant, pour en partager les bénédictions, nous devons remplir certaines conditions. Les promesses divines ne sont pas toujours des garanties de bénédiction. En effet, il y a des promesses annonçant la certitude du jugement sur ceux qui refusent d'obéir à l'Évangile du Seigneur Jésus (</w:t>
      </w:r>
      <w:hyperlink r:id="rId12650">
        <w:r>
          <w:rPr>
            <w:color w:val="0000EE"/>
            <w:u w:val="single"/>
          </w:rPr>
          <w:t>2Th 1.8–9</w:t>
        </w:r>
      </w:hyperlink>
      <w:r>
        <w:t>).</w:t>
      </w:r>
    </w:p>
    <w:p>
      <w:r/>
      <w:r>
        <w:t>Outre les promesses de Dieu qui s'appliquent à de nombreuses personnes à différentes époques et en divers lieux, beaucoup d'entre elles concernent le déroulement de son plan de rédemption à travers une grande succession d'événements historiques. Ces promesses n'ont ni applications répétées ni nature conditionnelle. Dans de tels cas, la promesse est presque synonyme de prophétie. Ces promesses et leur accomplissement sont entrelacés dans l'histoire de la rédemption.</w:t>
      </w:r>
    </w:p>
    <w:p>
      <w:pPr>
        <w:pStyle w:val="Heading3"/>
      </w:pPr>
      <w:r>
        <w:t>Les Promesses dans l'Ancien Testament</w:t>
      </w:r>
    </w:p>
    <w:p>
      <w:r/>
      <w:r>
        <w:t>Le thème de la promesse dans l'Ancien Testament est parfaitement illustré dans la première annonce de l'Évangile (appelée le protévangile). Elle est donnée à Adam et Ève dans le jardin d'Éden après leur chute dans le péché (</w:t>
      </w:r>
      <w:hyperlink r:id="rId250">
        <w:r>
          <w:rPr>
            <w:color w:val="0000EE"/>
            <w:u w:val="single"/>
          </w:rPr>
          <w:t>Gn 3.15</w:t>
        </w:r>
      </w:hyperlink>
      <w:r>
        <w:t>). Les promesses ultérieures sont :</w:t>
      </w:r>
    </w:p>
    <w:p>
      <w:pPr>
        <w:pStyle w:val="ListBullet"/>
        <w:spacing w:line="240" w:lineRule="auto"/>
        <w:ind w:left="720"/>
      </w:pPr>
      <w:r/>
      <w:r>
        <w:t>L'alliance que Dieu a conclue avec Abraham (</w:t>
      </w:r>
      <w:hyperlink r:id="rId12651">
        <w:r>
          <w:rPr>
            <w:color w:val="0000EE"/>
            <w:u w:val="single"/>
          </w:rPr>
          <w:t>Gn 12</w:t>
        </w:r>
      </w:hyperlink>
      <w:r>
        <w:t xml:space="preserve"> ; </w:t>
      </w:r>
      <w:hyperlink r:id="rId546">
        <w:r>
          <w:rPr>
            <w:color w:val="0000EE"/>
            <w:u w:val="single"/>
          </w:rPr>
          <w:t>15</w:t>
        </w:r>
      </w:hyperlink>
      <w:r>
        <w:t xml:space="preserve"> ; </w:t>
      </w:r>
      <w:hyperlink r:id="rId92">
        <w:r>
          <w:rPr>
            <w:color w:val="0000EE"/>
            <w:u w:val="single"/>
          </w:rPr>
          <w:t>17</w:t>
        </w:r>
      </w:hyperlink>
      <w:r>
        <w:t>)</w:t>
      </w:r>
    </w:p>
    <w:p>
      <w:pPr>
        <w:pStyle w:val="ListBullet"/>
        <w:spacing w:line="240" w:lineRule="auto"/>
        <w:ind w:left="720"/>
      </w:pPr>
      <w:r/>
      <w:r>
        <w:t>L'alliance que Dieu a conclue avec David (</w:t>
      </w:r>
      <w:hyperlink r:id="rId3598">
        <w:r>
          <w:rPr>
            <w:color w:val="0000EE"/>
            <w:u w:val="single"/>
          </w:rPr>
          <w:t>2S 7</w:t>
        </w:r>
      </w:hyperlink>
      <w:r>
        <w:t>)</w:t>
      </w:r>
    </w:p>
    <w:p>
      <w:pPr>
        <w:pStyle w:val="ListBullet"/>
        <w:spacing w:line="240" w:lineRule="auto"/>
        <w:ind w:left="720"/>
      </w:pPr>
      <w:r/>
      <w:r>
        <w:t>La promesse d’une nouvelle alliance (</w:t>
      </w:r>
      <w:hyperlink r:id="rId12652">
        <w:r>
          <w:rPr>
            <w:color w:val="0000EE"/>
            <w:u w:val="single"/>
          </w:rPr>
          <w:t>Jr 31</w:t>
        </w:r>
      </w:hyperlink>
      <w:r>
        <w:t>)</w:t>
      </w:r>
    </w:p>
    <w:p>
      <w:pPr>
        <w:pStyle w:val="Heading4"/>
      </w:pPr>
      <w:r>
        <w:t>Le Protoévangile</w:t>
      </w:r>
    </w:p>
    <w:p>
      <w:r/>
      <w:hyperlink r:id="rId250">
        <w:r>
          <w:rPr>
            <w:color w:val="0000EE"/>
            <w:u w:val="single"/>
          </w:rPr>
          <w:t>Genèse 3.15b</w:t>
        </w:r>
      </w:hyperlink>
      <w:r>
        <w:t xml:space="preserve"> dit : « </w:t>
      </w:r>
      <w:r>
        <w:t>Je mettrai inimitié entre toi</w:t>
      </w:r>
      <w:r>
        <w:t xml:space="preserve"> [Satan] et la femme [Ève], </w:t>
      </w:r>
      <w:r>
        <w:t>entre ta postérité et sa postérité</w:t>
      </w:r>
      <w:r>
        <w:t xml:space="preserve"> </w:t>
      </w:r>
      <w:r>
        <w:t>: celle-ci t’écrasera la tête, et tu lui blesseras le talon</w:t>
      </w:r>
      <w:r>
        <w:t>. » Cette déclaration est une promesse qu'à un moment futur, la descendance de la femme écrasera Satan. La descendance de la femme est individualisée dans le « lui » de la dernière phrase. C'est « lui » qui écrasera ta [Satan] tête, bien que ce dernier infligera une blessure à la descendance de la femme. Voici la promesse. Elle donne à Adam, Ève, et leurs descendants une espérance. Ils s'attendent à ce que leur adversaire, Satan, soit détruit par leur descendance.</w:t>
      </w:r>
    </w:p>
    <w:p>
      <w:pPr>
        <w:pStyle w:val="Heading4"/>
      </w:pPr>
      <w:r>
        <w:t>La Promesse faite à Abraham</w:t>
      </w:r>
    </w:p>
    <w:p>
      <w:r/>
      <w:r>
        <w:t xml:space="preserve">Dans </w:t>
      </w:r>
      <w:hyperlink r:id="rId12653">
        <w:r>
          <w:rPr>
            <w:color w:val="0000EE"/>
            <w:u w:val="single"/>
          </w:rPr>
          <w:t>Genèse 12.1–7,</w:t>
        </w:r>
      </w:hyperlink>
      <w:r>
        <w:t xml:space="preserve"> Abraham reçoit l'ordre de quitter son peuple et son pays pour se rendre vers une terre que le Seigneur lui indiquera. En retour, Dieu lui promet que :</w:t>
      </w:r>
    </w:p>
    <w:p>
      <w:pPr>
        <w:pStyle w:val="ListNumber"/>
        <w:spacing w:line="240" w:lineRule="auto"/>
        <w:ind w:left="720"/>
      </w:pPr>
      <w:r/>
      <w:r>
        <w:t>Sa descendance deviendra une grande nation</w:t>
      </w:r>
    </w:p>
    <w:p>
      <w:pPr>
        <w:pStyle w:val="ListNumber"/>
        <w:spacing w:line="240" w:lineRule="auto"/>
        <w:ind w:left="720"/>
      </w:pPr>
      <w:r/>
      <w:r>
        <w:t>Il sera béni, et que son nom deviendra grand.</w:t>
      </w:r>
    </w:p>
    <w:p>
      <w:pPr>
        <w:pStyle w:val="ListNumber"/>
        <w:spacing w:line="240" w:lineRule="auto"/>
        <w:ind w:left="720"/>
      </w:pPr>
      <w:r/>
      <w:r>
        <w:t>À travers lui, d'autres nations seraient bénies.</w:t>
      </w:r>
    </w:p>
    <w:p>
      <w:pPr>
        <w:pStyle w:val="ListNumber"/>
        <w:spacing w:line="240" w:lineRule="auto"/>
        <w:ind w:left="720"/>
      </w:pPr>
      <w:r/>
      <w:r>
        <w:t>Le pays de Canaan serait donné à ses descendants.</w:t>
      </w:r>
    </w:p>
    <w:p>
      <w:r/>
      <w:r>
        <w:t>Parmi ces promesses faites à Abraham, la plus importante est celle-ci : il bénira de nombreuses nations par sa descendance. Cette promesse apparaît cinq fois dans la Genèse (</w:t>
      </w:r>
      <w:hyperlink r:id="rId555">
        <w:r>
          <w:rPr>
            <w:color w:val="0000EE"/>
            <w:u w:val="single"/>
          </w:rPr>
          <w:t>Gn 12.3</w:t>
        </w:r>
      </w:hyperlink>
      <w:r>
        <w:t xml:space="preserve"> ; </w:t>
      </w:r>
      <w:hyperlink r:id="rId12654">
        <w:r>
          <w:rPr>
            <w:color w:val="0000EE"/>
            <w:u w:val="single"/>
          </w:rPr>
          <w:t>18.18</w:t>
        </w:r>
      </w:hyperlink>
      <w:r>
        <w:t xml:space="preserve"> ; </w:t>
      </w:r>
      <w:hyperlink r:id="rId12655">
        <w:r>
          <w:rPr>
            <w:color w:val="0000EE"/>
            <w:u w:val="single"/>
          </w:rPr>
          <w:t>22.18</w:t>
        </w:r>
      </w:hyperlink>
      <w:r>
        <w:t xml:space="preserve"> ; </w:t>
      </w:r>
      <w:hyperlink r:id="rId3054">
        <w:r>
          <w:rPr>
            <w:color w:val="0000EE"/>
            <w:u w:val="single"/>
          </w:rPr>
          <w:t>26.4</w:t>
        </w:r>
      </w:hyperlink>
      <w:r>
        <w:t xml:space="preserve"> ; </w:t>
      </w:r>
      <w:hyperlink r:id="rId12656">
        <w:r>
          <w:rPr>
            <w:color w:val="0000EE"/>
            <w:u w:val="single"/>
          </w:rPr>
          <w:t>28.14</w:t>
        </w:r>
      </w:hyperlink>
      <w:r>
        <w:t xml:space="preserve">). Elle se réfère à </w:t>
      </w:r>
      <w:hyperlink r:id="rId250">
        <w:r>
          <w:rPr>
            <w:color w:val="0000EE"/>
            <w:u w:val="single"/>
          </w:rPr>
          <w:t>Gn 3.15</w:t>
        </w:r>
      </w:hyperlink>
      <w:r>
        <w:t xml:space="preserve"> et pointe vers Christ.</w:t>
      </w:r>
    </w:p>
    <w:p>
      <w:pPr>
        <w:pStyle w:val="Heading4"/>
      </w:pPr>
      <w:r>
        <w:t>La Promesse faite à David</w:t>
      </w:r>
    </w:p>
    <w:p>
      <w:r/>
      <w:r>
        <w:t xml:space="preserve">Dans </w:t>
      </w:r>
      <w:hyperlink r:id="rId3598">
        <w:r>
          <w:rPr>
            <w:color w:val="0000EE"/>
            <w:u w:val="single"/>
          </w:rPr>
          <w:t>2 Samuel 7</w:t>
        </w:r>
      </w:hyperlink>
      <w:r>
        <w:t>, Dieu a fait une promesse au roi David selon laquelle sa dynastie durera pour toujours (</w:t>
      </w:r>
      <w:hyperlink r:id="rId8828">
        <w:r>
          <w:rPr>
            <w:color w:val="0000EE"/>
            <w:u w:val="single"/>
          </w:rPr>
          <w:t>2S 7.16</w:t>
        </w:r>
      </w:hyperlink>
      <w:r>
        <w:t xml:space="preserve"> ; </w:t>
      </w:r>
      <w:hyperlink r:id="rId12657">
        <w:r>
          <w:rPr>
            <w:color w:val="0000EE"/>
            <w:u w:val="single"/>
          </w:rPr>
          <w:t>Ps 89.34–37</w:t>
        </w:r>
      </w:hyperlink>
      <w:r>
        <w:t>). Cette alliance davidique restreint la lignée promise à la lignée royale de David. Elle avait continué d'Adam à travers Seth, Sem, Abraham, Isaac, Jacob et Juda. David sera l'ancêtre du Roi-Messie à venir (</w:t>
      </w:r>
      <w:hyperlink r:id="rId12658">
        <w:r>
          <w:rPr>
            <w:color w:val="0000EE"/>
            <w:u w:val="single"/>
          </w:rPr>
          <w:t>Ps 89.3, 27–37</w:t>
        </w:r>
      </w:hyperlink>
      <w:r>
        <w:t>). David devient ainsi une figure centrale dans l'histoire du plan de Dieu pour racheter le monde. Jésus-Christ est désigné comme le fils de David, le fils d'Abraham (</w:t>
      </w:r>
      <w:hyperlink r:id="rId573">
        <w:r>
          <w:rPr>
            <w:color w:val="0000EE"/>
            <w:u w:val="single"/>
          </w:rPr>
          <w:t>Mt 1.1</w:t>
        </w:r>
      </w:hyperlink>
      <w:r>
        <w:t>).</w:t>
      </w:r>
    </w:p>
    <w:p>
      <w:pPr>
        <w:pStyle w:val="Heading4"/>
      </w:pPr>
      <w:r>
        <w:t>La Promesse d’une Nouvelle Alliance</w:t>
      </w:r>
    </w:p>
    <w:p>
      <w:r/>
      <w:hyperlink r:id="rId1219">
        <w:r>
          <w:rPr>
            <w:color w:val="0000EE"/>
            <w:u w:val="single"/>
          </w:rPr>
          <w:t>Jérémie 31.31–37</w:t>
        </w:r>
      </w:hyperlink>
      <w:r>
        <w:t xml:space="preserve"> promet qu'à l'avenir, le Seigneur fera une nouvelle alliance avec Israël et Juda. Cette nouvelle alliance réaffirme et étend l'ancienne : « </w:t>
      </w:r>
      <w:r>
        <w:t>Et je serai leur Dieu, Et ils seront mon peuple [</w:t>
      </w:r>
      <w:r>
        <w:t xml:space="preserve">...] </w:t>
      </w:r>
      <w:r>
        <w:t>Car je pardonnerai leur iniquité, Et je ne me souviendrai plus de leur péché</w:t>
      </w:r>
      <w:r>
        <w:t xml:space="preserve"> ». (</w:t>
      </w:r>
      <w:hyperlink r:id="rId12659">
        <w:r>
          <w:rPr>
            <w:color w:val="0000EE"/>
            <w:u w:val="single"/>
          </w:rPr>
          <w:t>Jr 31.33–34</w:t>
        </w:r>
      </w:hyperlink>
      <w:r>
        <w:t>). La « nouvelle alliance » de Jérémie est une reformulation des promesses des alliances abrahamique et davidique.</w:t>
      </w:r>
    </w:p>
    <w:p>
      <w:r/>
      <w:r>
        <w:t>La nouvelle alliance a commencé avec la premiere venue de Christ. Maintenant, ceux qui croient en lui recevront ses bénédictions par le Saint-Esprit (</w:t>
      </w:r>
      <w:hyperlink r:id="rId6336">
        <w:r>
          <w:rPr>
            <w:color w:val="0000EE"/>
            <w:u w:val="single"/>
          </w:rPr>
          <w:t>Hé 8.6–13</w:t>
        </w:r>
      </w:hyperlink>
      <w:r>
        <w:t>). Ces bénédictions seront pleinement réalisées au retour de Christ. Alors, son royaume sera pleinement établi. Nous profiterons de la vie dans les Nouveaux cieux et la Nouvelle terre. Le peuple de Dieu vit à une époque où certains avantages de l'âge à venir sont déjà réels, mais l'âge nouveau n'est pas encore là en plénitude.</w:t>
      </w:r>
    </w:p>
    <w:p>
      <w:pPr>
        <w:pStyle w:val="Heading3"/>
      </w:pPr>
      <w:r>
        <w:t>Le Thème de la promesse dans le Nouveau Testament</w:t>
      </w:r>
    </w:p>
    <w:p>
      <w:r/>
      <w:r>
        <w:t xml:space="preserve">Les auteurs du Nouveau Testament se réfèrent aux promesses de l'Ancien Testament. Ils ne considéraient pas ces promesses comme des affirmations distinctes. Au contraire, ils les voyaient comme diverses parties d'une seule promesse, accomplie en Christ (voir </w:t>
      </w:r>
      <w:hyperlink r:id="rId12660">
        <w:r>
          <w:rPr>
            <w:color w:val="0000EE"/>
            <w:u w:val="single"/>
          </w:rPr>
          <w:t>Lc 1.54–55, 69–73</w:t>
        </w:r>
      </w:hyperlink>
      <w:r>
        <w:t xml:space="preserve"> ; </w:t>
      </w:r>
      <w:hyperlink r:id="rId8803">
        <w:r>
          <w:rPr>
            <w:color w:val="0000EE"/>
            <w:u w:val="single"/>
          </w:rPr>
          <w:t>Ac 13.23, 32–33</w:t>
        </w:r>
      </w:hyperlink>
      <w:r>
        <w:t xml:space="preserve"> ; </w:t>
      </w:r>
      <w:hyperlink r:id="rId12661">
        <w:r>
          <w:rPr>
            <w:color w:val="0000EE"/>
            <w:u w:val="single"/>
          </w:rPr>
          <w:t>26.6–7</w:t>
        </w:r>
      </w:hyperlink>
      <w:r>
        <w:t xml:space="preserve"> ; </w:t>
      </w:r>
      <w:hyperlink r:id="rId12662">
        <w:r>
          <w:rPr>
            <w:color w:val="0000EE"/>
            <w:u w:val="single"/>
          </w:rPr>
          <w:t>2Co 1.20</w:t>
        </w:r>
      </w:hyperlink>
      <w:r>
        <w:t>). Jésus accomplit les promesses faites aux patriarches et à David. Ainsi, ces promesses devraient être considérées comme centrées sur lui.</w:t>
      </w:r>
    </w:p>
    <w:p>
      <w:r/>
      <w:r>
        <w:t xml:space="preserve">Dans Galates et Éphésiens, Paul développe cela. Il dit aux chrétiens d'origine païenne qu'ils sont « </w:t>
      </w:r>
      <w:r>
        <w:t>cohéritiers, forment un même corps, et participent à la même promesse en Jésus-Christ</w:t>
      </w:r>
      <w:r>
        <w:t xml:space="preserve"> » (</w:t>
      </w:r>
      <w:hyperlink r:id="rId8954">
        <w:r>
          <w:rPr>
            <w:color w:val="0000EE"/>
            <w:u w:val="single"/>
          </w:rPr>
          <w:t>Ep 3.6</w:t>
        </w:r>
      </w:hyperlink>
      <w:r>
        <w:t>). Paul affirme que les Gentils qui ont confiance en Christ sont héritiers de la promesse. Ils font désormais partie de la descendance d'Abraham (</w:t>
      </w:r>
      <w:hyperlink r:id="rId12663">
        <w:r>
          <w:rPr>
            <w:color w:val="0000EE"/>
            <w:u w:val="single"/>
          </w:rPr>
          <w:t>Ga 3.29</w:t>
        </w:r>
      </w:hyperlink>
      <w:r>
        <w:t xml:space="preserve">). Il va même jusqu'à assimiler l'Évangile à la promesse faite à Abraham. Il déclare : « </w:t>
      </w:r>
      <w:r>
        <w:t>Aussi l’Écriture, prévoyant que Dieu justifierait les païens par la foi, a d’avance annoncé cette bonne nouvelle à Abraham</w:t>
      </w:r>
      <w:r>
        <w:t xml:space="preserve"> </w:t>
      </w:r>
      <w:r>
        <w:t>: Toutes les nations seront bénies en toi</w:t>
      </w:r>
      <w:r>
        <w:t xml:space="preserve"> </w:t>
      </w:r>
      <w:r>
        <w:t>!</w:t>
      </w:r>
      <w:r>
        <w:t xml:space="preserve"> » (</w:t>
      </w:r>
      <w:hyperlink r:id="rId8326">
        <w:r>
          <w:rPr>
            <w:color w:val="0000EE"/>
            <w:u w:val="single"/>
          </w:rPr>
          <w:t>Ga 3.8</w:t>
        </w:r>
      </w:hyperlink>
      <w:r>
        <w:t>). Ces textes du Nouveau Testament et d'autres établissent le lien étroit entre la venue de Christ et l'accomplissement de la promesse. Les promesses de Dieu convergent en Christ. Elles reposent sur tout ce qu'il a accompli et accomplira pour son peuple.</w:t>
      </w:r>
    </w:p>
    <w:p>
      <w:r/>
      <w:r>
        <w:t xml:space="preserve">Un autre aspect de la promesse particulièrement souligné dans le Nouveau Testament concerne la venue du Saint-Esprit. Paul dit que les croyants sont « </w:t>
      </w:r>
      <w:r>
        <w:t>scellés du Saint-Esprit qui avait été promis</w:t>
      </w:r>
      <w:r>
        <w:t xml:space="preserve"> » (</w:t>
      </w:r>
      <w:hyperlink r:id="rId8446">
        <w:r>
          <w:rPr>
            <w:color w:val="0000EE"/>
            <w:u w:val="single"/>
          </w:rPr>
          <w:t>Ep 1.13</w:t>
        </w:r>
      </w:hyperlink>
      <w:r>
        <w:t xml:space="preserve">). Il dit aussi qu'ils reçoivent « </w:t>
      </w:r>
      <w:r>
        <w:t>par la foi l’Esprit qui avait été promis</w:t>
      </w:r>
      <w:r>
        <w:t xml:space="preserve"> » (</w:t>
      </w:r>
      <w:hyperlink r:id="rId12664">
        <w:r>
          <w:rPr>
            <w:color w:val="0000EE"/>
            <w:u w:val="single"/>
          </w:rPr>
          <w:t>Ga 3.14</w:t>
        </w:r>
      </w:hyperlink>
      <w:r>
        <w:t>). Le don du Saint-Esprit accomplit une promesse de l'Ancien Testament (</w:t>
      </w:r>
      <w:hyperlink r:id="rId12665">
        <w:r>
          <w:rPr>
            <w:color w:val="0000EE"/>
            <w:u w:val="single"/>
          </w:rPr>
          <w:t>Es 32.15</w:t>
        </w:r>
      </w:hyperlink>
      <w:r>
        <w:t xml:space="preserve"> ; </w:t>
      </w:r>
      <w:hyperlink r:id="rId12666">
        <w:r>
          <w:rPr>
            <w:color w:val="0000EE"/>
            <w:u w:val="single"/>
          </w:rPr>
          <w:t>Ez 36.27</w:t>
        </w:r>
      </w:hyperlink>
      <w:r>
        <w:t xml:space="preserve"> ; </w:t>
      </w:r>
      <w:hyperlink r:id="rId3750">
        <w:r>
          <w:rPr>
            <w:color w:val="0000EE"/>
            <w:u w:val="single"/>
          </w:rPr>
          <w:t>Jl 2.28</w:t>
        </w:r>
      </w:hyperlink>
      <w:r>
        <w:t>) et celle faite par Christ (</w:t>
      </w:r>
      <w:hyperlink r:id="rId12667">
        <w:r>
          <w:rPr>
            <w:color w:val="0000EE"/>
            <w:u w:val="single"/>
          </w:rPr>
          <w:t>Lc 24.49</w:t>
        </w:r>
      </w:hyperlink>
      <w:r>
        <w:t xml:space="preserve"> ; </w:t>
      </w:r>
      <w:hyperlink r:id="rId12668">
        <w:r>
          <w:rPr>
            <w:color w:val="0000EE"/>
            <w:u w:val="single"/>
          </w:rPr>
          <w:t>Jn 14.16, 20</w:t>
        </w:r>
      </w:hyperlink>
      <w:r>
        <w:t xml:space="preserve"> ; </w:t>
      </w:r>
      <w:hyperlink r:id="rId12669">
        <w:r>
          <w:rPr>
            <w:color w:val="0000EE"/>
            <w:u w:val="single"/>
          </w:rPr>
          <w:t>Ac 1.4</w:t>
        </w:r>
      </w:hyperlink>
      <w:r>
        <w:t>). Mais il s'agit également d'une promesse de quelque chose à venir. Paul parle de la présence du Saint-Esprit dans le croyant comme une garantie de notre héritage (</w:t>
      </w:r>
      <w:hyperlink r:id="rId2823">
        <w:r>
          <w:rPr>
            <w:color w:val="0000EE"/>
            <w:u w:val="single"/>
          </w:rPr>
          <w:t>2Co 1.22</w:t>
        </w:r>
      </w:hyperlink>
      <w:r>
        <w:t xml:space="preserve"> ; </w:t>
      </w:r>
      <w:hyperlink r:id="rId3771">
        <w:r>
          <w:rPr>
            <w:color w:val="0000EE"/>
            <w:u w:val="single"/>
          </w:rPr>
          <w:t>5.5</w:t>
        </w:r>
      </w:hyperlink>
      <w:r>
        <w:t xml:space="preserve"> ; </w:t>
      </w:r>
      <w:hyperlink r:id="rId3772">
        <w:r>
          <w:rPr>
            <w:color w:val="0000EE"/>
            <w:u w:val="single"/>
          </w:rPr>
          <w:t>Ep 1.14</w:t>
        </w:r>
      </w:hyperlink>
      <w:r>
        <w:t>). Le Saint-Esprit constitue les « prémices » de la gloire future (</w:t>
      </w:r>
      <w:hyperlink r:id="rId3770">
        <w:r>
          <w:rPr>
            <w:color w:val="0000EE"/>
            <w:u w:val="single"/>
          </w:rPr>
          <w:t>Rm 8.23</w:t>
        </w:r>
      </w:hyperlink>
      <w:r>
        <w:t>).</w:t>
      </w:r>
    </w:p>
    <w:p>
      <w:r/>
      <w:r>
        <w:t xml:space="preserve">Un dernier aspect du thème de la promesse dans le Nouveau Testament est l'assurance du retour de Christ et des Nouveaux cieux et de la Nouvelle terre (voir </w:t>
      </w:r>
      <w:hyperlink r:id="rId12670">
        <w:r>
          <w:rPr>
            <w:color w:val="0000EE"/>
            <w:u w:val="single"/>
          </w:rPr>
          <w:t>Jn 14.1–3</w:t>
        </w:r>
      </w:hyperlink>
      <w:r>
        <w:t xml:space="preserve"> ; </w:t>
      </w:r>
      <w:hyperlink r:id="rId12671">
        <w:r>
          <w:rPr>
            <w:color w:val="0000EE"/>
            <w:u w:val="single"/>
          </w:rPr>
          <w:t>2P 3.4, 9, 13</w:t>
        </w:r>
      </w:hyperlink>
      <w:r>
        <w:t>).</w:t>
      </w:r>
    </w:p>
    <w:p>
      <w:r/>
      <w:r>
        <w:rPr>
          <w:i/>
        </w:rPr>
        <w:t>Voir aussi</w:t>
      </w:r>
      <w:r>
        <w:t xml:space="preserve"> </w:t>
      </w:r>
      <w:r>
        <w:t>Alliance</w:t>
      </w:r>
      <w:r>
        <w:t xml:space="preserve"> ; </w:t>
      </w:r>
      <w:r>
        <w:t>Dieu, Être et attributs de</w:t>
      </w:r>
      <w:r>
        <w:t xml:space="preserve"> ; </w:t>
      </w:r>
      <w:r>
        <w:t>Espérance</w:t>
      </w:r>
      <w:r>
        <w:t xml:space="preserve"> ; </w:t>
      </w:r>
      <w:r>
        <w:t>Prophétie</w:t>
      </w:r>
      <w:r>
        <w:t xml:space="preserve"> ; </w:t>
      </w:r>
      <w:r>
        <w:t>Prophète, prophétesse</w:t>
      </w:r>
      <w:r>
        <w:t>.</w:t>
      </w:r>
      <w:r/>
      <w:r/>
    </w:p>
    <w:p>
      <w:r/>
    </w:p>
    <w:p>
      <w:pPr>
        <w:pStyle w:val="Heading2"/>
      </w:pPr>
      <w:r>
        <w:t>prophète, prophétesse</w:t>
      </w:r>
      <w:r/>
    </w:p>
    <w:p>
      <w:r/>
      <w:r>
        <w:t>Personne choisie par Dieu pour parler en son nom, parfois pour révéler des événements futurs du plan divin.</w:t>
      </w:r>
    </w:p>
    <w:p>
      <w:r/>
      <w:r>
        <w:t>Sommaire</w:t>
      </w:r>
    </w:p>
    <w:p>
      <w:r/>
      <w:r>
        <w:t>• Introduction</w:t>
      </w:r>
    </w:p>
    <w:p>
      <w:r/>
      <w:r>
        <w:t>• Les titres et l’histoire des prophètes</w:t>
      </w:r>
    </w:p>
    <w:p>
      <w:r/>
      <w:r>
        <w:t>• L'inspiration</w:t>
      </w:r>
    </w:p>
    <w:p>
      <w:r/>
      <w:r>
        <w:t>• Les vrais et les faux prophètes</w:t>
      </w:r>
    </w:p>
    <w:p>
      <w:r/>
      <w:r>
        <w:t>• Le rôle de prophète</w:t>
      </w:r>
    </w:p>
    <w:p>
      <w:r/>
      <w:r>
        <w:t>• Les méthodes de communication des prophètes</w:t>
      </w:r>
    </w:p>
    <w:p>
      <w:pPr>
        <w:pStyle w:val="Heading3"/>
      </w:pPr>
      <w:r>
        <w:t>Introduction</w:t>
      </w:r>
    </w:p>
    <w:p>
      <w:r/>
      <w:r>
        <w:t xml:space="preserve">Lorsque Jésus ressuscite le fils d'une veuve, les spectateurs s'exclament : « un grand prophète a paru parmi nous, </w:t>
      </w:r>
      <w:r>
        <w:t>et Dieu a visité son peuple</w:t>
      </w:r>
      <w:r>
        <w:t xml:space="preserve"> » (</w:t>
      </w:r>
      <w:hyperlink r:id="rId2522">
        <w:r>
          <w:rPr>
            <w:color w:val="0000EE"/>
            <w:u w:val="single"/>
          </w:rPr>
          <w:t>Lc 7.16</w:t>
        </w:r>
      </w:hyperlink>
      <w:r>
        <w:t xml:space="preserve"> ; voir </w:t>
      </w:r>
      <w:hyperlink r:id="rId9892">
        <w:r>
          <w:rPr>
            <w:color w:val="0000EE"/>
            <w:u w:val="single"/>
          </w:rPr>
          <w:t>Mc 6.15</w:t>
        </w:r>
      </w:hyperlink>
      <w:r>
        <w:t xml:space="preserve"> ; </w:t>
      </w:r>
      <w:hyperlink r:id="rId9893">
        <w:r>
          <w:rPr>
            <w:color w:val="0000EE"/>
            <w:u w:val="single"/>
          </w:rPr>
          <w:t>8.28</w:t>
        </w:r>
      </w:hyperlink>
      <w:r>
        <w:t>). Dans l'histoire biblique, les événements religieux les plus marquants et formateurs sont centrés sur l'appel et le ministère d'un prophète, par lequel Dieu communique sa parole à son peuple. Ces spectateurs, en décrivant Jésus comme prophète, ont encore plus raison qu'ils ne le réalisent, car en lui, Dieu a réellement visité son peuple. Jésus est en réalité bien plus qu'un prophète, c'est le prophète par excellence et l'apogée de l'ordre prophétique, celui dont la venue est prophétisée par Moïse (</w:t>
      </w:r>
      <w:hyperlink r:id="rId12672">
        <w:r>
          <w:rPr>
            <w:color w:val="0000EE"/>
            <w:u w:val="single"/>
          </w:rPr>
          <w:t>Dt 18.15–19</w:t>
        </w:r>
      </w:hyperlink>
      <w:r>
        <w:t>).</w:t>
      </w:r>
    </w:p>
    <w:p>
      <w:pPr>
        <w:pStyle w:val="Heading3"/>
      </w:pPr>
      <w:r>
        <w:t>Les titres et l’histoire des prophètes</w:t>
      </w:r>
    </w:p>
    <w:p>
      <w:r/>
      <w:r>
        <w:t>Plusieurs termes sont utilisés dans l'Ancien Testament (AT) pour désigner ces serviteurs et messagers de Dieu, dont les principaux sont : « prophète » (</w:t>
      </w:r>
      <w:hyperlink r:id="rId7880">
        <w:r>
          <w:rPr>
            <w:color w:val="0000EE"/>
            <w:u w:val="single"/>
          </w:rPr>
          <w:t>Jg 6.8</w:t>
        </w:r>
      </w:hyperlink>
      <w:r>
        <w:t>), « homme de Dieu » (</w:t>
      </w:r>
      <w:hyperlink r:id="rId8679">
        <w:r>
          <w:rPr>
            <w:color w:val="0000EE"/>
            <w:u w:val="single"/>
          </w:rPr>
          <w:t>2R 4.9</w:t>
        </w:r>
      </w:hyperlink>
      <w:r>
        <w:t>) et « voyant » (</w:t>
      </w:r>
      <w:hyperlink r:id="rId12673">
        <w:r>
          <w:rPr>
            <w:color w:val="0000EE"/>
            <w:u w:val="single"/>
          </w:rPr>
          <w:t>1S 9.9</w:t>
        </w:r>
      </w:hyperlink>
      <w:r>
        <w:t xml:space="preserve"> ; </w:t>
      </w:r>
      <w:hyperlink r:id="rId12674">
        <w:r>
          <w:rPr>
            <w:color w:val="0000EE"/>
            <w:u w:val="single"/>
          </w:rPr>
          <w:t>2S 24.11</w:t>
        </w:r>
      </w:hyperlink>
      <w:r>
        <w:t>).</w:t>
      </w:r>
    </w:p>
    <w:p>
      <w:r/>
      <w:r>
        <w:t xml:space="preserve">Le mot hébreu qui se traduit « prophète » semble avoir pour première emphase l'idée d'être « appelé » : Dieu prend l'initiative, choisit, convoque et envoie le prophète (p. ex. </w:t>
      </w:r>
      <w:hyperlink r:id="rId12675">
        <w:r>
          <w:rPr>
            <w:color w:val="0000EE"/>
            <w:u w:val="single"/>
          </w:rPr>
          <w:t>Jr 1.4–5</w:t>
        </w:r>
      </w:hyperlink>
      <w:r>
        <w:t xml:space="preserve"> ; </w:t>
      </w:r>
      <w:hyperlink r:id="rId12676">
        <w:r>
          <w:rPr>
            <w:color w:val="0000EE"/>
            <w:u w:val="single"/>
          </w:rPr>
          <w:t>7.25</w:t>
        </w:r>
      </w:hyperlink>
      <w:r>
        <w:t xml:space="preserve"> ; </w:t>
      </w:r>
      <w:hyperlink r:id="rId12677">
        <w:r>
          <w:rPr>
            <w:color w:val="0000EE"/>
            <w:u w:val="single"/>
          </w:rPr>
          <w:t>Am 7.14</w:t>
        </w:r>
      </w:hyperlink>
      <w:r>
        <w:t>). « Homme de Dieu » évoque la relation dans laquelle le prophète est amené par son appel : il devient désormais « l'homme de Dieu » et est reconnu comme lui appartenant (</w:t>
      </w:r>
      <w:hyperlink r:id="rId8679">
        <w:r>
          <w:rPr>
            <w:color w:val="0000EE"/>
            <w:u w:val="single"/>
          </w:rPr>
          <w:t>2R 4.9</w:t>
        </w:r>
      </w:hyperlink>
      <w:r>
        <w:t>). « Voyant » indique les remarquables pouvoirs de perception accordés au prophète. Il est question ici de la capacité spirituelle des prophètes de savoir certaines choses présentes ou futures, que Dieu leur révèle ou leur donne le pouvoir de percevoir, parfois littéralement par des visions.</w:t>
      </w:r>
    </w:p>
    <w:p>
      <w:r/>
      <w:r>
        <w:t>La lignée des grands prophètes, sur lesquels repose l'histoire de l'AT, commence avec Moïse, qui est décrit comme prophète par excellence (</w:t>
      </w:r>
      <w:hyperlink r:id="rId10253">
        <w:r>
          <w:rPr>
            <w:color w:val="0000EE"/>
            <w:u w:val="single"/>
          </w:rPr>
          <w:t>Dt 34.10</w:t>
        </w:r>
      </w:hyperlink>
      <w:r>
        <w:t xml:space="preserve">). En effet, Moïse incarne tous les traits distinctifs d'un prophète : </w:t>
      </w:r>
    </w:p>
    <w:p>
      <w:pPr>
        <w:pStyle w:val="ListBullet"/>
        <w:spacing w:line="240" w:lineRule="auto"/>
        <w:ind w:left="720"/>
      </w:pPr>
      <w:r/>
      <w:r>
        <w:t>appel (</w:t>
      </w:r>
      <w:hyperlink r:id="rId12678">
        <w:r>
          <w:rPr>
            <w:color w:val="0000EE"/>
            <w:u w:val="single"/>
          </w:rPr>
          <w:t>Ex 3.1–4.17</w:t>
        </w:r>
      </w:hyperlink>
      <w:r>
        <w:t xml:space="preserve"> ; voir aussi </w:t>
      </w:r>
      <w:hyperlink r:id="rId932">
        <w:r>
          <w:rPr>
            <w:color w:val="0000EE"/>
            <w:u w:val="single"/>
          </w:rPr>
          <w:t>Es 6</w:t>
        </w:r>
      </w:hyperlink>
      <w:r>
        <w:t xml:space="preserve"> ; </w:t>
      </w:r>
      <w:hyperlink r:id="rId12679">
        <w:r>
          <w:rPr>
            <w:color w:val="0000EE"/>
            <w:u w:val="single"/>
          </w:rPr>
          <w:t>Jr 1.4–19</w:t>
        </w:r>
      </w:hyperlink>
      <w:r>
        <w:t xml:space="preserve"> ; </w:t>
      </w:r>
      <w:hyperlink r:id="rId12680">
        <w:r>
          <w:rPr>
            <w:color w:val="0000EE"/>
            <w:u w:val="single"/>
          </w:rPr>
          <w:t>Ez 1–3</w:t>
        </w:r>
      </w:hyperlink>
      <w:r>
        <w:t xml:space="preserve"> ; </w:t>
      </w:r>
      <w:hyperlink r:id="rId11421">
        <w:r>
          <w:rPr>
            <w:color w:val="0000EE"/>
            <w:u w:val="single"/>
          </w:rPr>
          <w:t>Os 1.2</w:t>
        </w:r>
      </w:hyperlink>
      <w:r>
        <w:t xml:space="preserve"> ; </w:t>
      </w:r>
      <w:hyperlink r:id="rId12681">
        <w:r>
          <w:rPr>
            <w:color w:val="0000EE"/>
            <w:u w:val="single"/>
          </w:rPr>
          <w:t>Am 7.14–15</w:t>
        </w:r>
      </w:hyperlink>
      <w:r>
        <w:t>)</w:t>
      </w:r>
    </w:p>
    <w:p>
      <w:pPr>
        <w:pStyle w:val="ListBullet"/>
        <w:spacing w:line="240" w:lineRule="auto"/>
        <w:ind w:left="720"/>
      </w:pPr>
      <w:r/>
      <w:r>
        <w:t>conscience de l'importance d'événements historiques en tant qu'actes de Dieu par lesquels il confirme sa parole (</w:t>
      </w:r>
      <w:hyperlink r:id="rId5235">
        <w:r>
          <w:rPr>
            <w:color w:val="0000EE"/>
            <w:u w:val="single"/>
          </w:rPr>
          <w:t>Ex 3.12</w:t>
        </w:r>
      </w:hyperlink>
      <w:r>
        <w:t xml:space="preserve"> ; </w:t>
      </w:r>
      <w:hyperlink r:id="rId5246">
        <w:r>
          <w:rPr>
            <w:color w:val="0000EE"/>
            <w:u w:val="single"/>
          </w:rPr>
          <w:t>4.21–23</w:t>
        </w:r>
      </w:hyperlink>
      <w:r>
        <w:t>)</w:t>
      </w:r>
    </w:p>
    <w:p>
      <w:pPr>
        <w:pStyle w:val="ListBullet"/>
        <w:spacing w:line="240" w:lineRule="auto"/>
        <w:ind w:left="720"/>
      </w:pPr>
      <w:r/>
      <w:r>
        <w:t>préoccupation pour les questions d'éthique et de justice sociale (</w:t>
      </w:r>
      <w:hyperlink r:id="rId12682">
        <w:r>
          <w:rPr>
            <w:color w:val="0000EE"/>
            <w:u w:val="single"/>
          </w:rPr>
          <w:t>2.11–13</w:t>
        </w:r>
      </w:hyperlink>
      <w:r>
        <w:t>)</w:t>
      </w:r>
    </w:p>
    <w:p>
      <w:pPr>
        <w:pStyle w:val="ListBullet"/>
        <w:spacing w:line="240" w:lineRule="auto"/>
        <w:ind w:left="720"/>
      </w:pPr>
      <w:r/>
      <w:r>
        <w:t xml:space="preserve">protection des intérêts de ceux qui sont sans défense (v. </w:t>
      </w:r>
      <w:hyperlink r:id="rId12683">
        <w:r>
          <w:rPr>
            <w:color w:val="0000EE"/>
            <w:u w:val="single"/>
          </w:rPr>
          <w:t>17</w:t>
        </w:r>
      </w:hyperlink>
      <w:r>
        <w:t>)</w:t>
      </w:r>
    </w:p>
    <w:p>
      <w:r/>
      <w:r>
        <w:t xml:space="preserve">Toutefois, la louange de Moïse dans </w:t>
      </w:r>
      <w:hyperlink r:id="rId10253">
        <w:r>
          <w:rPr>
            <w:color w:val="0000EE"/>
            <w:u w:val="single"/>
          </w:rPr>
          <w:t>Deutéronome 34.10</w:t>
        </w:r>
      </w:hyperlink>
      <w:r>
        <w:t xml:space="preserve"> ne se contente pas de revenir sur sa grandeur en tant que prophète, mais anticipe également la venue d'un prophète comme lui. Il le prédit lui-même (</w:t>
      </w:r>
      <w:hyperlink r:id="rId12672">
        <w:r>
          <w:rPr>
            <w:color w:val="0000EE"/>
            <w:u w:val="single"/>
          </w:rPr>
          <w:t>Dt 18.15–19</w:t>
        </w:r>
      </w:hyperlink>
      <w:r>
        <w:t>). Sa prédiction désigne sans aucun doute un individu en particulier qui sera un grand prophète. Moïse compare ce prophète à venir à lui-même de façon saisissante : le prophète à venir jouera un rôle semblable à celui de Moïse au Mont Sinaï (</w:t>
      </w:r>
      <w:hyperlink r:id="rId12684">
        <w:r>
          <w:rPr>
            <w:color w:val="0000EE"/>
            <w:u w:val="single"/>
          </w:rPr>
          <w:t>Dt 18.16</w:t>
        </w:r>
      </w:hyperlink>
      <w:r>
        <w:t>). À cette occasion, Moïse a joué un rôle unique de médiateur, car c'est à Sinaï que Dieu a fait alliance avec Israël et lui a donné la loi. La prédiction de Moïse anticipe donc un autre médiateur d'alliance unique, Jésus-Christ lui-même.</w:t>
      </w:r>
    </w:p>
    <w:p>
      <w:r/>
      <w:r>
        <w:t>L'attente de ce grand prophète s'est maintenue alors que Dieu continuait d'envoyer des prophètes à son peuple. On peut imaginer que les véritables croyants qui voyaient arriver un grand prophète le comparaient à Moïse et pouvaient se demander si c'était enfin celui dont Moïse avait parlé. Dans tous les cas, ils se seraient réjouis de savoir que Dieu venait en aide à son peuple. Dans cette perspective, nous pouvons comprendre l'enthousiasme des gens qui ont vu Jésus ressusciter les morts (</w:t>
      </w:r>
      <w:hyperlink r:id="rId2522">
        <w:r>
          <w:rPr>
            <w:color w:val="0000EE"/>
            <w:u w:val="single"/>
          </w:rPr>
          <w:t>Lc 7.16</w:t>
        </w:r>
      </w:hyperlink>
      <w:r>
        <w:t>).</w:t>
      </w:r>
    </w:p>
    <w:p>
      <w:r/>
      <w:r>
        <w:t>L'AT mentionne l'existence de groupes de prophètes, que l'on appelle parfois aujourd'hui des « écoles » de prophètes. Élisée était à la tête d'un tel groupe (</w:t>
      </w:r>
      <w:hyperlink r:id="rId12685">
        <w:r>
          <w:rPr>
            <w:color w:val="0000EE"/>
            <w:u w:val="single"/>
          </w:rPr>
          <w:t>2R 6.1</w:t>
        </w:r>
      </w:hyperlink>
      <w:r>
        <w:t>). Les « fils des prophètes » (</w:t>
      </w:r>
      <w:hyperlink r:id="rId12686">
        <w:r>
          <w:rPr>
            <w:color w:val="0000EE"/>
            <w:u w:val="single"/>
          </w:rPr>
          <w:t>2R 2.3, 5</w:t>
        </w:r>
      </w:hyperlink>
      <w:r>
        <w:t xml:space="preserve"> ; </w:t>
      </w:r>
      <w:hyperlink r:id="rId12677">
        <w:r>
          <w:rPr>
            <w:color w:val="0000EE"/>
            <w:u w:val="single"/>
          </w:rPr>
          <w:t>Am 7.14</w:t>
        </w:r>
      </w:hyperlink>
      <w:r>
        <w:t xml:space="preserve">) étaient probablement des « prophètes en formation » sous la tutelle d'un maître prophète. Les groupes dans </w:t>
      </w:r>
      <w:hyperlink r:id="rId12687">
        <w:r>
          <w:rPr>
            <w:color w:val="0000EE"/>
            <w:u w:val="single"/>
          </w:rPr>
          <w:t>1 Samuel 10:5–11</w:t>
        </w:r>
      </w:hyperlink>
      <w:r>
        <w:t xml:space="preserve"> seraient mieux décrits comme des guildes de prophète. Ces groupes étaient caractérisés par une adoration enthousiaste et extatique du Seigneur, parmi lesquels l'Esprit de Dieu se manifestait particulièrement. Mais au cœur de leur dévotion se trouvait la « prophétie », c'est-à-dire, la proclamation de la vérité à propos de Dieu lui-même. Après cette période initiale, les groupes prophétiques semblent avoir perdu de leur importance (à en juger par la disparition de références claires similaires à celles de 1 Samuel). Il est possible qu'une progression d'un ministère extatique vers un ministère plus direct de la parole pourrait bien être ce à quoi </w:t>
      </w:r>
      <w:hyperlink r:id="rId12673">
        <w:r>
          <w:rPr>
            <w:color w:val="0000EE"/>
            <w:u w:val="single"/>
          </w:rPr>
          <w:t>1 Samuel 9.9</w:t>
        </w:r>
      </w:hyperlink>
      <w:r>
        <w:t xml:space="preserve"> fait allusion.</w:t>
      </w:r>
    </w:p>
    <w:p>
      <w:pPr>
        <w:pStyle w:val="Heading3"/>
      </w:pPr>
      <w:r>
        <w:t>L'inspiration</w:t>
      </w:r>
    </w:p>
    <w:p>
      <w:r/>
      <w:r>
        <w:t>L'Esprit du Seigneur, dont l'inspiration était à l'origine des activités des groupes extatiques (</w:t>
      </w:r>
      <w:hyperlink r:id="rId12688">
        <w:r>
          <w:rPr>
            <w:color w:val="0000EE"/>
            <w:u w:val="single"/>
          </w:rPr>
          <w:t>1S 10.6, 10</w:t>
        </w:r>
      </w:hyperlink>
      <w:r>
        <w:t xml:space="preserve"> ; </w:t>
      </w:r>
      <w:hyperlink r:id="rId12689">
        <w:r>
          <w:rPr>
            <w:color w:val="0000EE"/>
            <w:u w:val="single"/>
          </w:rPr>
          <w:t>19.20, 23</w:t>
        </w:r>
      </w:hyperlink>
      <w:r>
        <w:t xml:space="preserve">), était à l'œuvre dans tous les prophètes. L'inspiration par l'Esprit de Dieu est un thème qui paraît dans un certain nombre de passages de l'AT (p. ex. </w:t>
      </w:r>
      <w:hyperlink r:id="rId12690">
        <w:r>
          <w:rPr>
            <w:color w:val="0000EE"/>
            <w:u w:val="single"/>
          </w:rPr>
          <w:t>1R 22.24</w:t>
        </w:r>
      </w:hyperlink>
      <w:r>
        <w:t xml:space="preserve"> ; </w:t>
      </w:r>
      <w:hyperlink r:id="rId12691">
        <w:r>
          <w:rPr>
            <w:color w:val="0000EE"/>
            <w:u w:val="single"/>
          </w:rPr>
          <w:t>Né 9.30</w:t>
        </w:r>
      </w:hyperlink>
      <w:r>
        <w:t xml:space="preserve"> ; </w:t>
      </w:r>
      <w:hyperlink r:id="rId12692">
        <w:r>
          <w:rPr>
            <w:color w:val="0000EE"/>
            <w:u w:val="single"/>
          </w:rPr>
          <w:t>Os 9.7</w:t>
        </w:r>
      </w:hyperlink>
      <w:r>
        <w:t xml:space="preserve"> ; </w:t>
      </w:r>
      <w:hyperlink r:id="rId5548">
        <w:r>
          <w:rPr>
            <w:color w:val="0000EE"/>
            <w:u w:val="single"/>
          </w:rPr>
          <w:t>Jl 2.28–29</w:t>
        </w:r>
      </w:hyperlink>
      <w:r>
        <w:t xml:space="preserve"> ; </w:t>
      </w:r>
      <w:hyperlink r:id="rId12693">
        <w:r>
          <w:rPr>
            <w:color w:val="0000EE"/>
            <w:u w:val="single"/>
          </w:rPr>
          <w:t>Mi 3.8</w:t>
        </w:r>
      </w:hyperlink>
      <w:r>
        <w:t xml:space="preserve"> ; voir aussi </w:t>
      </w:r>
      <w:hyperlink r:id="rId12694">
        <w:r>
          <w:rPr>
            <w:color w:val="0000EE"/>
            <w:u w:val="single"/>
          </w:rPr>
          <w:t>1Ch 12.18</w:t>
        </w:r>
      </w:hyperlink>
      <w:r>
        <w:t xml:space="preserve"> ; </w:t>
      </w:r>
      <w:hyperlink r:id="rId4041">
        <w:r>
          <w:rPr>
            <w:color w:val="0000EE"/>
            <w:u w:val="single"/>
          </w:rPr>
          <w:t>2Ch 15.1</w:t>
        </w:r>
      </w:hyperlink>
      <w:r>
        <w:t xml:space="preserve"> ; </w:t>
      </w:r>
      <w:hyperlink r:id="rId12561">
        <w:r>
          <w:rPr>
            <w:color w:val="0000EE"/>
            <w:u w:val="single"/>
          </w:rPr>
          <w:t>20.14</w:t>
        </w:r>
      </w:hyperlink>
      <w:r>
        <w:t xml:space="preserve"> ; </w:t>
      </w:r>
      <w:hyperlink r:id="rId12562">
        <w:r>
          <w:rPr>
            <w:color w:val="0000EE"/>
            <w:u w:val="single"/>
          </w:rPr>
          <w:t>24.20</w:t>
        </w:r>
      </w:hyperlink>
      <w:r>
        <w:t xml:space="preserve">). L'Esprit inspirait des hommes et des femmes à communiquer les paroles de Dieu (voir </w:t>
      </w:r>
      <w:hyperlink r:id="rId5967">
        <w:r>
          <w:rPr>
            <w:color w:val="0000EE"/>
            <w:u w:val="single"/>
          </w:rPr>
          <w:t>2P 1.21</w:t>
        </w:r>
      </w:hyperlink>
      <w:r>
        <w:t>).</w:t>
      </w:r>
    </w:p>
    <w:p>
      <w:r/>
      <w:r>
        <w:t>Jérémie affirme que la main de Dieu a touché sa bouche, y mettant ses paroles (</w:t>
      </w:r>
      <w:hyperlink r:id="rId12695">
        <w:r>
          <w:rPr>
            <w:color w:val="0000EE"/>
            <w:u w:val="single"/>
          </w:rPr>
          <w:t>Jr 1.9</w:t>
        </w:r>
      </w:hyperlink>
      <w:r>
        <w:t>) ; Ézéchiel raconte que Dieu lui ordonne de manger un rouleau sur lequel sont écrites ses paroles afin qu'il les proclame ensuite (</w:t>
      </w:r>
      <w:hyperlink r:id="rId12696">
        <w:r>
          <w:rPr>
            <w:color w:val="0000EE"/>
            <w:u w:val="single"/>
          </w:rPr>
          <w:t>Ez 2.7–4.4</w:t>
        </w:r>
      </w:hyperlink>
      <w:r>
        <w:t>). Le miracle de l'inspiration est résumé au début d'Amos (</w:t>
      </w:r>
      <w:hyperlink r:id="rId12697">
        <w:r>
          <w:rPr>
            <w:color w:val="0000EE"/>
            <w:u w:val="single"/>
          </w:rPr>
          <w:t>1.1, 3</w:t>
        </w:r>
      </w:hyperlink>
      <w:r>
        <w:t>) : « paroles d'Amos… Ainsi parle le l'Éternel. » Bien que ces paroles sont vraiment celles d'Amos, elles sont aussi celles du Seigneur.</w:t>
      </w:r>
    </w:p>
    <w:p>
      <w:pPr>
        <w:pStyle w:val="Heading3"/>
      </w:pPr>
      <w:r>
        <w:t>Les vrais et les faux prophètes</w:t>
      </w:r>
    </w:p>
    <w:p>
      <w:r/>
      <w:r>
        <w:t xml:space="preserve">Les faux prophètes devaient être séparés des vrais prophètes au moyen de trois tests. Le premier test est doctrinal. Dans </w:t>
      </w:r>
      <w:hyperlink r:id="rId12698">
        <w:r>
          <w:rPr>
            <w:color w:val="0000EE"/>
            <w:u w:val="single"/>
          </w:rPr>
          <w:t>Deutéronome 13</w:t>
        </w:r>
      </w:hyperlink>
      <w:r>
        <w:t>, l'objectif du faux prophète est d'éloigner le peuple du Dieu qui s'est révélé lors de l'exode (</w:t>
      </w:r>
      <w:hyperlink r:id="rId12699">
        <w:r>
          <w:rPr>
            <w:color w:val="0000EE"/>
            <w:u w:val="single"/>
          </w:rPr>
          <w:t>Dt 13.2, 5–7, 10</w:t>
        </w:r>
      </w:hyperlink>
      <w:r>
        <w:t xml:space="preserve">). Même si les paroles du faux prophète sont accompagnées de signes et des prodiges apparents (v. </w:t>
      </w:r>
      <w:hyperlink r:id="rId12700">
        <w:r>
          <w:rPr>
            <w:color w:val="0000EE"/>
            <w:u w:val="single"/>
          </w:rPr>
          <w:t>1–2</w:t>
        </w:r>
      </w:hyperlink>
      <w:r>
        <w:t xml:space="preserve">), il ne faut pas l'écouter, pas simplement parce qu'elles introduisent une nouveauté (v. </w:t>
      </w:r>
      <w:hyperlink r:id="rId12701">
        <w:r>
          <w:rPr>
            <w:color w:val="0000EE"/>
            <w:u w:val="single"/>
          </w:rPr>
          <w:t>2, 6</w:t>
        </w:r>
      </w:hyperlink>
      <w:r>
        <w:t xml:space="preserve">), mais parce que cette nouveauté contredit ce que le Seigneur a déjà révélé (v. </w:t>
      </w:r>
      <w:hyperlink r:id="rId12702">
        <w:r>
          <w:rPr>
            <w:color w:val="0000EE"/>
            <w:u w:val="single"/>
          </w:rPr>
          <w:t>5, 10</w:t>
        </w:r>
      </w:hyperlink>
      <w:r>
        <w:t>). Le premier test est donc doctrinal et dicte que le peuple de Dieu doit connaître la vérité afin de pouvoir détecter mensonge ou erreur.</w:t>
      </w:r>
    </w:p>
    <w:p>
      <w:r/>
      <w:r>
        <w:t xml:space="preserve">Le deuxième test est pratique et demande de la patience. Il est indiqué dans </w:t>
      </w:r>
      <w:hyperlink r:id="rId12703">
        <w:r>
          <w:rPr>
            <w:color w:val="0000EE"/>
            <w:u w:val="single"/>
          </w:rPr>
          <w:t>Deutéronome 18.21–22</w:t>
        </w:r>
      </w:hyperlink>
      <w:r>
        <w:t xml:space="preserve"> que la parole du Seigneur s'accomplit toujours. Ce deuxième test exige de la patience car, comme l'indique </w:t>
      </w:r>
      <w:hyperlink r:id="rId12700">
        <w:r>
          <w:rPr>
            <w:color w:val="0000EE"/>
            <w:u w:val="single"/>
          </w:rPr>
          <w:t>Deutéronome 13.1–2</w:t>
        </w:r>
      </w:hyperlink>
      <w:r>
        <w:t xml:space="preserve">, une fausse prophétie peut être immédiatement accompagnée par une preuve spirituelle apparente. S'il y a un véritable doute sur la véracité ou la fausseté d'une parole prophétique, </w:t>
      </w:r>
      <w:hyperlink r:id="rId12703">
        <w:r>
          <w:rPr>
            <w:color w:val="0000EE"/>
            <w:u w:val="single"/>
          </w:rPr>
          <w:t xml:space="preserve">Deutéronome 18.21–22 </w:t>
        </w:r>
      </w:hyperlink>
      <w:r>
        <w:t>enseigne qu'il faut attendre de voir si la prophétie se réalise.</w:t>
      </w:r>
    </w:p>
    <w:p>
      <w:r/>
      <w:r>
        <w:t>Le troisième test est moral et exige un discernement vigilant. Parmi tous les prophètes, Jérémie est celui qui parle le plus du problème des faux prophètes (</w:t>
      </w:r>
      <w:hyperlink r:id="rId12704">
        <w:r>
          <w:rPr>
            <w:color w:val="0000EE"/>
            <w:u w:val="single"/>
          </w:rPr>
          <w:t>Jr 23.9–40</w:t>
        </w:r>
      </w:hyperlink>
      <w:r>
        <w:t xml:space="preserve">). Ce qu'il dit d'eux est frappant : il les décrit comme corrompus (v. </w:t>
      </w:r>
      <w:hyperlink r:id="rId357">
        <w:r>
          <w:rPr>
            <w:color w:val="0000EE"/>
            <w:u w:val="single"/>
          </w:rPr>
          <w:t>11–14</w:t>
        </w:r>
      </w:hyperlink>
      <w:r>
        <w:t xml:space="preserve">) et leur message comme de la flatterie plutôt que la dénonciation des péchés de leurs auditeurs (v. </w:t>
      </w:r>
      <w:hyperlink r:id="rId12705">
        <w:r>
          <w:rPr>
            <w:color w:val="0000EE"/>
            <w:u w:val="single"/>
          </w:rPr>
          <w:t>16–22</w:t>
        </w:r>
      </w:hyperlink>
      <w:r>
        <w:t>).</w:t>
      </w:r>
    </w:p>
    <w:p>
      <w:pPr>
        <w:pStyle w:val="Heading3"/>
      </w:pPr>
      <w:r>
        <w:t>Le rôle du prophète</w:t>
      </w:r>
    </w:p>
    <w:p>
      <w:r/>
      <w:r>
        <w:t xml:space="preserve">Il est parfois dit que le rôle des prophètes n'est pas tant de prédire l'avenir que de d'annoncer la parole de Dieu concernant le présent. Dans l'AT, les prophètes font les deux car ils proclament la vérité de Dieu et annoncent ce que Dieu va faire. Les prédictions ne sont pas juste des paroles en marge du rôle de prophète ; elles sont une partie essentielle de son activité. </w:t>
      </w:r>
      <w:hyperlink r:id="rId12706">
        <w:r>
          <w:rPr>
            <w:color w:val="0000EE"/>
            <w:u w:val="single"/>
          </w:rPr>
          <w:t>Deutéronome 18.9–15</w:t>
        </w:r>
      </w:hyperlink>
      <w:r>
        <w:t xml:space="preserve"> explique que les nations environnantes tentent de découvrir l'avenir avec des méthodes de divination (v. </w:t>
      </w:r>
      <w:hyperlink r:id="rId1585">
        <w:r>
          <w:rPr>
            <w:color w:val="0000EE"/>
            <w:u w:val="single"/>
          </w:rPr>
          <w:t>10–11</w:t>
        </w:r>
      </w:hyperlink>
      <w:r>
        <w:t xml:space="preserve">). Ces pratiques sont interdites à Israël car elles sont en abonmination à l'Éternel (v. </w:t>
      </w:r>
      <w:hyperlink r:id="rId12707">
        <w:r>
          <w:rPr>
            <w:color w:val="0000EE"/>
            <w:u w:val="single"/>
          </w:rPr>
          <w:t>12</w:t>
        </w:r>
      </w:hyperlink>
      <w:r>
        <w:t xml:space="preserve">). La séparation d'Israël est maintenue en ce que les l'Éternel lui donne un prophète, alors que les nations se fient en leurs astrologues et leurs devins (v. </w:t>
      </w:r>
      <w:hyperlink r:id="rId12708">
        <w:r>
          <w:rPr>
            <w:color w:val="0000EE"/>
            <w:u w:val="single"/>
          </w:rPr>
          <w:t>13–15</w:t>
        </w:r>
      </w:hyperlink>
      <w:r>
        <w:t>). Élisée est surpris lorsque la prescience (la capacité de savoir quelque chose à l'avance) ne lui est pas accordée à l'occasion de la visite de la femme sunamite (</w:t>
      </w:r>
      <w:hyperlink r:id="rId12709">
        <w:r>
          <w:rPr>
            <w:color w:val="0000EE"/>
            <w:u w:val="single"/>
          </w:rPr>
          <w:t>2R 4.27</w:t>
        </w:r>
      </w:hyperlink>
      <w:r>
        <w:t>). Amos enseigne que la prescience est un privilège des prophètes dans leur communion avec Dieu (</w:t>
      </w:r>
      <w:hyperlink r:id="rId12710">
        <w:r>
          <w:rPr>
            <w:color w:val="0000EE"/>
            <w:u w:val="single"/>
          </w:rPr>
          <w:t>Am 3.7</w:t>
        </w:r>
      </w:hyperlink>
      <w:r>
        <w:t>). Cependant, la prédiction en Israël était très différente de la divination pratiquée par les nations alentour. En aucun cas elle n'était motivée par une simple curiosité à propos de l'avenir.</w:t>
      </w:r>
    </w:p>
    <w:p>
      <w:r/>
      <w:r>
        <w:t xml:space="preserve">Premièrement, les prédictions bibliques répondaient aux besoins du présent. Dans </w:t>
      </w:r>
      <w:hyperlink r:id="rId12711">
        <w:r>
          <w:rPr>
            <w:color w:val="0000EE"/>
            <w:u w:val="single"/>
          </w:rPr>
          <w:t>Ésaïe 39</w:t>
        </w:r>
      </w:hyperlink>
      <w:r>
        <w:t>, c'est l'engagement infidèle du roi Ézéchias qui pousse Ésaïe à annoncer la future captivité babylonienne. En effet, Ézéchias préfère se fier à une entente militaire avec Babylone pour assurer la sécurité de Juda. Ésaïe ne tire pas le nom de Babylone de nulle part : il lui est donné dans la situation où il a été appelé à intervenir.</w:t>
      </w:r>
    </w:p>
    <w:p>
      <w:r/>
      <w:r>
        <w:t xml:space="preserve">Deuxièmement, la prédiction de l'avenir avait pour but de motiver la réforme morale dans le présent. Les exhortations morales des prophètes s'appuient sur l'annonce de ce que le Seigneur est sur le point de faire (p. ex. </w:t>
      </w:r>
      <w:hyperlink r:id="rId12712">
        <w:r>
          <w:rPr>
            <w:color w:val="0000EE"/>
            <w:u w:val="single"/>
          </w:rPr>
          <w:t>Es 31.6–7</w:t>
        </w:r>
      </w:hyperlink>
      <w:r>
        <w:t xml:space="preserve"> ; </w:t>
      </w:r>
      <w:hyperlink r:id="rId12713">
        <w:r>
          <w:rPr>
            <w:color w:val="0000EE"/>
            <w:u w:val="single"/>
          </w:rPr>
          <w:t>Am 5.6</w:t>
        </w:r>
      </w:hyperlink>
      <w:r>
        <w:t>).</w:t>
      </w:r>
    </w:p>
    <w:p>
      <w:r/>
      <w:r>
        <w:t>Troisièmement, l'annonce de ce que Dieu allait faire servait à fortifier la foi des véritables croyants en temps de crise. Par exemple, divers passages dans Ésaïe (</w:t>
      </w:r>
      <w:hyperlink r:id="rId12526">
        <w:r>
          <w:rPr>
            <w:color w:val="0000EE"/>
            <w:u w:val="single"/>
          </w:rPr>
          <w:t>Es 9.1–7</w:t>
        </w:r>
      </w:hyperlink>
      <w:r>
        <w:t xml:space="preserve"> ; </w:t>
      </w:r>
      <w:hyperlink r:id="rId12714">
        <w:r>
          <w:rPr>
            <w:color w:val="0000EE"/>
            <w:u w:val="single"/>
          </w:rPr>
          <w:t>11.1–16</w:t>
        </w:r>
      </w:hyperlink>
      <w:r>
        <w:t xml:space="preserve"> ; </w:t>
      </w:r>
      <w:hyperlink r:id="rId12715">
        <w:r>
          <w:rPr>
            <w:color w:val="0000EE"/>
            <w:u w:val="single"/>
          </w:rPr>
          <w:t>40.1–3</w:t>
        </w:r>
      </w:hyperlink>
      <w:r>
        <w:t>) ont pour effet de détourner le regard d'événements tragiques récents pour le tourner vers la gloire à venir.</w:t>
      </w:r>
    </w:p>
    <w:p>
      <w:pPr>
        <w:pStyle w:val="Heading3"/>
      </w:pPr>
      <w:r>
        <w:t>Les méthodes de communication des prophètes</w:t>
      </w:r>
    </w:p>
    <w:p>
      <w:r/>
      <w:r>
        <w:t xml:space="preserve">En prédisant, les prophètes annoncent et proclament les œuvres merveilleuses de Dieu (comp. avec </w:t>
      </w:r>
      <w:hyperlink r:id="rId12716">
        <w:r>
          <w:rPr>
            <w:color w:val="0000EE"/>
            <w:u w:val="single"/>
          </w:rPr>
          <w:t>Ac 2.11, 17</w:t>
        </w:r>
      </w:hyperlink>
      <w:r>
        <w:t>). Dans la majorité des cas, cette proclamation se fait à l'oral. Les prophètes sont des hommes de la parole. Les paroles qu'ils relaient sibt comme des messagers de Dieu (</w:t>
      </w:r>
      <w:hyperlink r:id="rId12717">
        <w:r>
          <w:rPr>
            <w:color w:val="0000EE"/>
            <w:u w:val="single"/>
          </w:rPr>
          <w:t>Es 55.11</w:t>
        </w:r>
      </w:hyperlink>
      <w:r>
        <w:t xml:space="preserve">), dotés de toute l'efficacité divine de la parole créatrice de </w:t>
      </w:r>
      <w:hyperlink r:id="rId6244">
        <w:r>
          <w:rPr>
            <w:color w:val="0000EE"/>
            <w:u w:val="single"/>
          </w:rPr>
          <w:t>Genèse 1.3</w:t>
        </w:r>
      </w:hyperlink>
      <w:r>
        <w:t xml:space="preserve"> (voir aussi </w:t>
      </w:r>
      <w:hyperlink r:id="rId3992">
        <w:r>
          <w:rPr>
            <w:color w:val="0000EE"/>
            <w:u w:val="single"/>
          </w:rPr>
          <w:t>Ps 33.6</w:t>
        </w:r>
      </w:hyperlink>
      <w:r>
        <w:t xml:space="preserve">). Parfois, l'efficacité de la parole est confirmée en l'accompagnant d'un signe ou d'une action symbolique (p. ex. </w:t>
      </w:r>
      <w:hyperlink r:id="rId12718">
        <w:r>
          <w:rPr>
            <w:color w:val="0000EE"/>
            <w:u w:val="single"/>
          </w:rPr>
          <w:t xml:space="preserve">Jr 13.1–11 </w:t>
        </w:r>
      </w:hyperlink>
      <w:r>
        <w:t xml:space="preserve">; </w:t>
      </w:r>
      <w:hyperlink r:id="rId12719">
        <w:r>
          <w:rPr>
            <w:color w:val="0000EE"/>
            <w:u w:val="single"/>
          </w:rPr>
          <w:t xml:space="preserve">19 </w:t>
        </w:r>
      </w:hyperlink>
      <w:r>
        <w:t xml:space="preserve">; </w:t>
      </w:r>
      <w:hyperlink r:id="rId5348">
        <w:r>
          <w:rPr>
            <w:color w:val="0000EE"/>
            <w:u w:val="single"/>
          </w:rPr>
          <w:t xml:space="preserve">Ez 4.1–17 </w:t>
        </w:r>
      </w:hyperlink>
      <w:r>
        <w:t xml:space="preserve">; </w:t>
      </w:r>
      <w:hyperlink r:id="rId12720">
        <w:r>
          <w:rPr>
            <w:color w:val="0000EE"/>
            <w:u w:val="single"/>
          </w:rPr>
          <w:t>24.15–24</w:t>
        </w:r>
      </w:hyperlink>
      <w:r>
        <w:t>). Dans certains cas, des personnes servent de signe (</w:t>
      </w:r>
      <w:hyperlink r:id="rId12721">
        <w:r>
          <w:rPr>
            <w:color w:val="0000EE"/>
            <w:u w:val="single"/>
          </w:rPr>
          <w:t xml:space="preserve">Es 7.3 </w:t>
        </w:r>
      </w:hyperlink>
      <w:r>
        <w:t xml:space="preserve">; </w:t>
      </w:r>
      <w:hyperlink r:id="rId12722">
        <w:r>
          <w:rPr>
            <w:color w:val="0000EE"/>
            <w:u w:val="single"/>
          </w:rPr>
          <w:t>8.1–4</w:t>
        </w:r>
      </w:hyperlink>
      <w:r>
        <w:t xml:space="preserve">). Ces signes soutiennent le message de façon visuelle et aident à rendre la parole plus claire pour les auditeurs. Parfois, l'intention de l'action symbolique n'est pas tant de faciliter la compréhension que de donner plus de pouvoir et d'effet à la parole. C'est la conclusion qui s'impose dans </w:t>
      </w:r>
      <w:hyperlink r:id="rId12723">
        <w:r>
          <w:rPr>
            <w:color w:val="0000EE"/>
            <w:u w:val="single"/>
          </w:rPr>
          <w:t>2 Rois 13.14–19</w:t>
        </w:r>
      </w:hyperlink>
      <w:r>
        <w:t xml:space="preserve">, où il y a relation directe entre jusqu'à quel point le roi a « incarné » la parole par ses actions symboliques et jusqu'à quel point la parole annoncée s'accomplit. </w:t>
      </w:r>
    </w:p>
    <w:p>
      <w:r/>
      <w:r>
        <w:t xml:space="preserve">Les paroles des prophètes ont finalement été préservés sous forme des livres des prophètes de la Bible. </w:t>
      </w:r>
      <w:hyperlink r:id="rId3528">
        <w:r>
          <w:rPr>
            <w:color w:val="0000EE"/>
            <w:u w:val="single"/>
          </w:rPr>
          <w:t>Jérémie 36</w:t>
        </w:r>
      </w:hyperlink>
      <w:r>
        <w:t xml:space="preserve"> peut être compris comme une leçon qui montre que les prophètes ont pris le temps et la peine de mettre leurs messages oraux par écrit. Le passage indique une dictée minutieuse du message oral (</w:t>
      </w:r>
      <w:hyperlink r:id="rId12724">
        <w:r>
          <w:rPr>
            <w:color w:val="0000EE"/>
            <w:u w:val="single"/>
          </w:rPr>
          <w:t>Jr 36.6, 17–18</w:t>
        </w:r>
      </w:hyperlink>
      <w:r>
        <w:t>). Mais la forme littéraire de ces messages indique le même soin. Les textes qui figurent dans les livres des prophètes ne sont à l'évidence pas juste les paroles telles que prononcées à l'oral, mais plutôt une formulation écrite soigneusement élaborée pour conserver et classer les sermons oraculaires. Il est logique que ceux qui étaient conscients de communiquer les paroles mêmes de Dieu veilleraient à ce que ces paroles soient préservées. Nous pouvons raisonnablement assumer que chaque prophète mettait par écrit ce qu'il avait dû faire et dire dans le cadre de son ministère. Nous n'avons cependant aucun moyen de déterminer, et il ne nous est pas dit, que chaque prophète dont un livre porte le nom a lui-même achevé la rédaction de ce livre. Toutefois, la meilleure explication à l'arrangement soigné des livres d'Ésaïe ou d'Amos, par exemple, est que les auteurs étaient aussi leurs propres éditeurs.</w:t>
      </w:r>
    </w:p>
    <w:p>
      <w:r/>
      <w:r>
        <w:rPr>
          <w:i/>
        </w:rPr>
        <w:t>Voir aussi</w:t>
      </w:r>
      <w:r>
        <w:t xml:space="preserve"> </w:t>
      </w:r>
      <w:r>
        <w:t>prophétie</w:t>
      </w:r>
      <w:r>
        <w:t xml:space="preserve"> ; </w:t>
      </w:r>
      <w:r>
        <w:t>faux prophètes</w:t>
      </w:r>
      <w:r>
        <w:t>.</w:t>
      </w:r>
      <w:r/>
      <w:r/>
    </w:p>
    <w:p>
      <w:r/>
    </w:p>
    <w:p>
      <w:pPr>
        <w:pStyle w:val="Heading2"/>
      </w:pPr>
      <w:r>
        <w:t>Prosélyte</w:t>
      </w:r>
      <w:r/>
    </w:p>
    <w:p>
      <w:r/>
      <w:r>
        <w:t>Gentil qui s'est converti au judaïsme en :</w:t>
      </w:r>
    </w:p>
    <w:p>
      <w:pPr>
        <w:pStyle w:val="ListNumber"/>
        <w:spacing w:line="240" w:lineRule="auto"/>
        <w:ind w:left="720"/>
      </w:pPr>
      <w:r/>
      <w:r>
        <w:t>Se faisant circoncire</w:t>
      </w:r>
    </w:p>
    <w:p>
      <w:pPr>
        <w:pStyle w:val="ListNumber"/>
        <w:spacing w:line="240" w:lineRule="auto"/>
        <w:ind w:left="720"/>
      </w:pPr>
      <w:r/>
      <w:r>
        <w:t>Se faisant baptiser</w:t>
      </w:r>
    </w:p>
    <w:p>
      <w:pPr>
        <w:pStyle w:val="ListNumber"/>
        <w:spacing w:line="240" w:lineRule="auto"/>
        <w:ind w:left="720"/>
      </w:pPr>
      <w:r/>
      <w:r>
        <w:t>Offrant un sacrifice au temple</w:t>
      </w:r>
    </w:p>
    <w:p>
      <w:r/>
      <w:r>
        <w:t>À l'époque de l'Ancien Testament, les étrangers en Palestine étaient encouragés à rejoindre la religion d'Israël. Ils devaient être circoncis (</w:t>
      </w:r>
      <w:hyperlink r:id="rId6732">
        <w:r>
          <w:rPr>
            <w:color w:val="0000EE"/>
            <w:u w:val="single"/>
          </w:rPr>
          <w:t>Ex 12.48</w:t>
        </w:r>
      </w:hyperlink>
      <w:r>
        <w:t>).</w:t>
      </w:r>
    </w:p>
    <w:p>
      <w:r/>
      <w:r>
        <w:t xml:space="preserve">Cependant, le « prosélytisme », ou la conversion de Gentils qui le désiraient, était plus courant dans les communautés juives en dehors de la Palestine. Les Juifs vivaient dans de nombreuses parties du monde parce qu'ils étaient exilés, ou en raison de services commerciaux ou militaires. Ils apportaient naturellement leurs croyances et pratiques religieuses avec eux. Le mode de vie juif attirait de nombreux Gentils. Habitués à adorer de nombreux dieux (polythéisme), ils admiraient la croyance du judaïsme en un seul Dieu (monothéisme) et ses hautes valeurs éthiques. De nombreux Gentils se connectaient à la foi juive à travers la vie synagogale (voir </w:t>
      </w:r>
      <w:hyperlink r:id="rId12725">
        <w:r>
          <w:rPr>
            <w:color w:val="0000EE"/>
            <w:u w:val="single"/>
          </w:rPr>
          <w:t>Es 56.1–8</w:t>
        </w:r>
      </w:hyperlink>
      <w:r>
        <w:t xml:space="preserve"> ; </w:t>
      </w:r>
      <w:hyperlink r:id="rId12726">
        <w:r>
          <w:rPr>
            <w:color w:val="0000EE"/>
            <w:u w:val="single"/>
          </w:rPr>
          <w:t>Ml 1.11</w:t>
        </w:r>
      </w:hyperlink>
      <w:r>
        <w:t xml:space="preserve">). Les Juifs cherchaient à convertir les Gentils avant la venue de Christ et au début de l'ère du Nouveau Testament. Tant les sources juives non bibliques, comme Philon et Josèphe, que les écrivains romains, tels qu'Horace, Sénèque et Tacite, le confirment. Cela a continué jusqu'à la vie de Christ (voir </w:t>
      </w:r>
      <w:hyperlink r:id="rId12727">
        <w:r>
          <w:rPr>
            <w:color w:val="0000EE"/>
            <w:u w:val="single"/>
          </w:rPr>
          <w:t>Mt 23.15</w:t>
        </w:r>
      </w:hyperlink>
      <w:r>
        <w:t>).</w:t>
      </w:r>
    </w:p>
    <w:p>
      <w:r/>
      <w:r>
        <w:t>Les personnes qui désiraient s'engager le plus fortement dans le judaïsme devenaient des Juifs à part entière par un rituel en trois étapes :</w:t>
      </w:r>
    </w:p>
    <w:p>
      <w:pPr>
        <w:pStyle w:val="ListNumber"/>
        <w:spacing w:line="240" w:lineRule="auto"/>
        <w:ind w:left="720"/>
      </w:pPr>
      <w:r/>
      <w:r>
        <w:rPr>
          <w:b/>
        </w:rPr>
        <w:t>La circoncision</w:t>
      </w:r>
      <w:r>
        <w:t xml:space="preserve"> (pour les hommes)</w:t>
      </w:r>
    </w:p>
    <w:p>
      <w:pPr>
        <w:pStyle w:val="ListNumber"/>
        <w:spacing w:line="240" w:lineRule="auto"/>
        <w:ind w:left="720"/>
      </w:pPr>
      <w:r/>
      <w:r>
        <w:rPr>
          <w:b/>
        </w:rPr>
        <w:t>Le baptême</w:t>
      </w:r>
      <w:r>
        <w:t xml:space="preserve"> pour rompre avec leur passé non-juif</w:t>
      </w:r>
    </w:p>
    <w:p>
      <w:pPr>
        <w:pStyle w:val="ListNumber"/>
        <w:spacing w:line="240" w:lineRule="auto"/>
        <w:ind w:left="720"/>
      </w:pPr>
      <w:r/>
      <w:r>
        <w:rPr>
          <w:b/>
        </w:rPr>
        <w:t>Un sacrifice</w:t>
      </w:r>
      <w:r>
        <w:t xml:space="preserve"> offert au temple de Jérusalem</w:t>
      </w:r>
    </w:p>
    <w:p>
      <w:r/>
      <w:r>
        <w:t>Ces convertis étaient appelés « prosélytes ». Ils étaient de véritables Juifs, pleinement obligés de suivre toutes les lois de l'Ancien Testament.</w:t>
      </w:r>
    </w:p>
    <w:p>
      <w:r/>
      <w:r>
        <w:t xml:space="preserve">Certains Gentils admiraient le monothéisme et la morale du judaïsme. Ils étaient attirés par la vie de la synagogue mais ne voulaient pas être circoncis. Ces personnes étaient connues sous le nom de « craignant Dieu » (voir </w:t>
      </w:r>
      <w:hyperlink r:id="rId8195">
        <w:r>
          <w:rPr>
            <w:color w:val="0000EE"/>
            <w:u w:val="single"/>
          </w:rPr>
          <w:t>Ac 10.22</w:t>
        </w:r>
      </w:hyperlink>
      <w:r>
        <w:t xml:space="preserve"> ; </w:t>
      </w:r>
      <w:hyperlink r:id="rId2246">
        <w:r>
          <w:rPr>
            <w:color w:val="0000EE"/>
            <w:u w:val="single"/>
          </w:rPr>
          <w:t>13.16, 26</w:t>
        </w:r>
      </w:hyperlink>
      <w:r>
        <w:t xml:space="preserve"> ; </w:t>
      </w:r>
      <w:hyperlink r:id="rId6113">
        <w:r>
          <w:rPr>
            <w:color w:val="0000EE"/>
            <w:u w:val="single"/>
          </w:rPr>
          <w:t>17.4, 17</w:t>
        </w:r>
      </w:hyperlink>
      <w:r>
        <w:t>) ou « pieux » (</w:t>
      </w:r>
      <w:hyperlink r:id="rId2247">
        <w:r>
          <w:rPr>
            <w:color w:val="0000EE"/>
            <w:u w:val="single"/>
          </w:rPr>
          <w:t>Ac 10.2</w:t>
        </w:r>
      </w:hyperlink>
      <w:r>
        <w:t>). Certains Juifs les voyaient favorablement, mais d'autres considéraient qu'ils n'étaient pas mieux que les autres Gentils.</w:t>
      </w:r>
    </w:p>
    <w:p>
      <w:r/>
      <w:r>
        <w:rPr>
          <w:i/>
        </w:rPr>
        <w:t>Voir aussi</w:t>
      </w:r>
      <w:r>
        <w:t xml:space="preserve"> </w:t>
      </w:r>
      <w:r>
        <w:t>Diaspora des Juifs</w:t>
      </w:r>
      <w:r>
        <w:t xml:space="preserve"> ; </w:t>
      </w:r>
      <w:r>
        <w:t>Craignant Dieu</w:t>
      </w:r>
      <w:r>
        <w:t xml:space="preserve"> ; </w:t>
      </w:r>
      <w:r>
        <w:t>Juif</w:t>
      </w:r>
      <w:r>
        <w:t>.</w:t>
      </w:r>
      <w:r/>
      <w:r/>
    </w:p>
    <w:p>
      <w:r/>
    </w:p>
    <w:p>
      <w:pPr>
        <w:pStyle w:val="Heading2"/>
      </w:pPr>
      <w:r>
        <w:t>Protévangile</w:t>
      </w:r>
      <w:r/>
    </w:p>
    <w:p>
      <w:r/>
      <w:r>
        <w:t xml:space="preserve">Mot qui signifie « premier Évangile », combinaison de deux mots grecs : </w:t>
      </w:r>
      <w:r>
        <w:rPr>
          <w:i/>
        </w:rPr>
        <w:t>protos</w:t>
      </w:r>
      <w:r>
        <w:t xml:space="preserve"> (signifiant « premier ») et </w:t>
      </w:r>
      <w:r>
        <w:rPr>
          <w:i/>
        </w:rPr>
        <w:t>euangelion</w:t>
      </w:r>
      <w:r>
        <w:t xml:space="preserve"> (signifiant « évangile » ou « bonne nouvelle »).</w:t>
      </w:r>
    </w:p>
    <w:p>
      <w:r/>
      <w:r>
        <w:t xml:space="preserve">Il se réfère au premier message de rédemption que Dieu a prononcé après la chute de l'homme (lorsque les humains ont péché pour la première fois). En s'adressant à Satan (incarné dans un serpent), Dieu dit : « </w:t>
      </w:r>
      <w:r>
        <w:t>Je mettrai inimitié entre toi et la femme, entre ta postérité et sa postérité</w:t>
      </w:r>
      <w:r>
        <w:t xml:space="preserve"> </w:t>
      </w:r>
      <w:r>
        <w:t>: celle-ci t’écrasera la tête, et tu lui blesseras le talon</w:t>
      </w:r>
      <w:r>
        <w:t xml:space="preserve"> » (</w:t>
      </w:r>
      <w:hyperlink r:id="rId250">
        <w:r>
          <w:rPr>
            <w:color w:val="0000EE"/>
            <w:u w:val="single"/>
          </w:rPr>
          <w:t>Gn 3.15</w:t>
        </w:r>
      </w:hyperlink>
      <w:r>
        <w:t>).</w:t>
      </w:r>
    </w:p>
    <w:p>
      <w:r/>
      <w:r>
        <w:t>Dans ce protévangile (ou premier Évangile), nous avons la première révélation à la fois de l'humanité (sa descendance) et de la divinité (écrasant la tête du serpent) du grand Libérateur. Dieu promet un Libérateur qui détruira Satan mais souffrira dans le processus. Cela fait référence à la mort de Jésus sur la croix. En souffrant cette mort, Jésus a vaincu le diable qui détenait le pouvoir de la mort (</w:t>
      </w:r>
      <w:hyperlink r:id="rId5131">
        <w:r>
          <w:rPr>
            <w:color w:val="0000EE"/>
            <w:u w:val="single"/>
          </w:rPr>
          <w:t>Hé 2.14</w:t>
        </w:r>
      </w:hyperlink>
      <w:r>
        <w:t>).</w:t>
      </w:r>
      <w:r/>
      <w:r/>
    </w:p>
    <w:p>
      <w:r/>
    </w:p>
    <w:p>
      <w:pPr>
        <w:pStyle w:val="Heading2"/>
      </w:pPr>
      <w:r>
        <w:t>Proverbes, Livre des</w:t>
      </w:r>
      <w:r/>
    </w:p>
    <w:p>
      <w:r/>
      <w:r>
        <w:t>Troisième livre poétique de l'Ancien Testament (AT). Une collection d'expressions frappantes et épigrammatiques concernant la sagesse pratique par l'exemple, l'avertissement ou le précepte.</w:t>
      </w:r>
    </w:p>
    <w:p>
      <w:r/>
      <w:r>
        <w:t>Survol</w:t>
      </w:r>
    </w:p>
    <w:p>
      <w:r/>
      <w:r>
        <w:t xml:space="preserve">• </w:t>
      </w:r>
      <w:r>
        <w:rPr>
          <w:b/>
          <w:u w:val="single"/>
        </w:rPr>
        <w:t>Auteurs</w:t>
      </w:r>
    </w:p>
    <w:p>
      <w:r/>
      <w:r>
        <w:t xml:space="preserve">• </w:t>
      </w:r>
      <w:r>
        <w:rPr>
          <w:b/>
          <w:u w:val="single"/>
        </w:rPr>
        <w:t>Datation</w:t>
      </w:r>
    </w:p>
    <w:p>
      <w:r/>
      <w:r>
        <w:t xml:space="preserve">• </w:t>
      </w:r>
      <w:r>
        <w:rPr>
          <w:b/>
          <w:u w:val="single"/>
        </w:rPr>
        <w:t>Contexte</w:t>
      </w:r>
    </w:p>
    <w:p>
      <w:r/>
      <w:r>
        <w:t xml:space="preserve">• </w:t>
      </w:r>
      <w:r>
        <w:rPr>
          <w:b/>
          <w:u w:val="single"/>
        </w:rPr>
        <w:t>Objectifs et théologie</w:t>
      </w:r>
    </w:p>
    <w:p>
      <w:r/>
      <w:r>
        <w:t xml:space="preserve">• </w:t>
      </w:r>
      <w:r>
        <w:rPr>
          <w:b/>
          <w:u w:val="single"/>
        </w:rPr>
        <w:t>Contenu</w:t>
      </w:r>
    </w:p>
    <w:p>
      <w:pPr>
        <w:pStyle w:val="Heading3"/>
      </w:pPr>
      <w:r>
        <w:t>Auteurs</w:t>
      </w:r>
    </w:p>
    <w:p>
      <w:r/>
      <w:r>
        <w:t>Bien qu'il y ait une unité de pensée sous-jacente dans le livre des Proverbes, il n'y a aucune présomption d'unité d'auteur, puisque les auteurs des sept (ou plus) sections dans lesquelles le livre est divisé sont, dans la plupart des cas, clairement identifiés.</w:t>
      </w:r>
    </w:p>
    <w:p>
      <w:pPr>
        <w:pStyle w:val="Heading4"/>
      </w:pPr>
      <w:hyperlink r:id="rId12728">
        <w:r>
          <w:rPr>
            <w:color w:val="0000EE"/>
            <w:u w:val="single"/>
          </w:rPr>
          <w:t>1.1–9.18</w:t>
        </w:r>
      </w:hyperlink>
    </w:p>
    <w:p>
      <w:r/>
      <w:r>
        <w:t>Il y a une divergence d'opinion quant à savoir si le verset d'ouverture se réfère à la paternité salomonienne de cette section ou s'il souligne simplement le nom du principal contributeur de l'ensemble du livre. Une objection est que l'homme qui a écrit avec tant de soin sur le danger des relations promiscues avec des femmes immorales (l'un des principaux thèmes de cette section) n'est probablement pas Salomon, qui a échoué de manière significative dans le domaine des mariages mixtes (</w:t>
      </w:r>
      <w:hyperlink r:id="rId6625">
        <w:r>
          <w:rPr>
            <w:color w:val="0000EE"/>
            <w:u w:val="single"/>
          </w:rPr>
          <w:t>1R 11.1–8</w:t>
        </w:r>
      </w:hyperlink>
      <w:r>
        <w:t xml:space="preserve">). Il y a des failles dans un tel argument. On peut être capable de donner d'excellents conseils sans nécessairement avoir la force de caractère pour les suivre soi-même, et il y a une distinction entre les prostituées ou adultères séduisantes de </w:t>
      </w:r>
      <w:hyperlink r:id="rId12729">
        <w:r>
          <w:rPr>
            <w:color w:val="0000EE"/>
            <w:u w:val="single"/>
          </w:rPr>
          <w:t>Proverbes 5.1–21, 6.20–35, 7.1–27</w:t>
        </w:r>
      </w:hyperlink>
      <w:r>
        <w:t xml:space="preserve"> et les relations polygames mais respectables de Salomon. Il vaut toutefois mieux laisser ouverte la question de la paternité salomonienne de cette section. Ceux qui la remettent en question considèrent que </w:t>
      </w:r>
      <w:hyperlink r:id="rId12730">
        <w:r>
          <w:rPr>
            <w:color w:val="0000EE"/>
            <w:u w:val="single"/>
          </w:rPr>
          <w:t>1.2–7</w:t>
        </w:r>
      </w:hyperlink>
      <w:r>
        <w:t xml:space="preserve"> sert à énoncer le but de l'ensemble du livre. </w:t>
      </w:r>
      <w:hyperlink r:id="rId12731">
        <w:r>
          <w:rPr>
            <w:color w:val="0000EE"/>
            <w:u w:val="single"/>
          </w:rPr>
          <w:t>Proverbes 1.8–9.18</w:t>
        </w:r>
      </w:hyperlink>
      <w:r>
        <w:t xml:space="preserve"> est une série de treize discours pratiques sur la sagesse, donnés avec amour et honnêteté comme par un père à un fils. Cela fournit une base indispensable pour l'enseignement de proverbes plus populaires dans le reste du livre.</w:t>
      </w:r>
    </w:p>
    <w:p>
      <w:pPr>
        <w:pStyle w:val="Heading4"/>
      </w:pPr>
      <w:hyperlink r:id="rId12732">
        <w:r>
          <w:rPr>
            <w:color w:val="0000EE"/>
            <w:u w:val="single"/>
          </w:rPr>
          <w:t>10.1–22.16</w:t>
        </w:r>
      </w:hyperlink>
    </w:p>
    <w:p>
      <w:r/>
      <w:r>
        <w:t>Salomon est spécifiquement identifié comme auteur ou compilateur de cette section, qui est la section principale du livre des Proverbes. La probabilité qu'il ait joué un rôle majeur dans la production du livre des Proverbes est fortement soutenue par les livres historiques. Peu après son couronnement, il a été doté d'un esprit de sagesse, en réponse à sa requête (</w:t>
      </w:r>
      <w:hyperlink r:id="rId12733">
        <w:r>
          <w:rPr>
            <w:color w:val="0000EE"/>
            <w:u w:val="single"/>
          </w:rPr>
          <w:t>1R 3.5–14</w:t>
        </w:r>
      </w:hyperlink>
      <w:r>
        <w:t xml:space="preserve">). L'incident concernant les deux prostituées (v. </w:t>
      </w:r>
      <w:hyperlink r:id="rId12734">
        <w:r>
          <w:rPr>
            <w:color w:val="0000EE"/>
            <w:u w:val="single"/>
          </w:rPr>
          <w:t>16–28</w:t>
        </w:r>
      </w:hyperlink>
      <w:r>
        <w:t xml:space="preserve">) en a fourni une preuve publique. Sa réputation universelle, notamment en lien avec la sagesse de ses proverbes, est attestée dans </w:t>
      </w:r>
      <w:hyperlink r:id="rId12735">
        <w:r>
          <w:rPr>
            <w:color w:val="0000EE"/>
            <w:u w:val="single"/>
          </w:rPr>
          <w:t>1 Rois 4.29–34</w:t>
        </w:r>
      </w:hyperlink>
      <w:r>
        <w:t xml:space="preserve"> et dans la visite de la reine de Séba (</w:t>
      </w:r>
      <w:hyperlink r:id="rId12736">
        <w:r>
          <w:rPr>
            <w:color w:val="0000EE"/>
            <w:u w:val="single"/>
          </w:rPr>
          <w:t>10.1–13</w:t>
        </w:r>
      </w:hyperlink>
      <w:r>
        <w:t>).</w:t>
      </w:r>
    </w:p>
    <w:p>
      <w:pPr>
        <w:pStyle w:val="Heading4"/>
      </w:pPr>
      <w:hyperlink r:id="rId12737">
        <w:r>
          <w:rPr>
            <w:color w:val="0000EE"/>
            <w:u w:val="single"/>
          </w:rPr>
          <w:t>22.17–24.34</w:t>
        </w:r>
      </w:hyperlink>
    </w:p>
    <w:p>
      <w:r/>
      <w:r>
        <w:t>Le titre « les paroles des sages » (</w:t>
      </w:r>
      <w:hyperlink r:id="rId12738">
        <w:r>
          <w:rPr>
            <w:color w:val="0000EE"/>
            <w:u w:val="single"/>
          </w:rPr>
          <w:t>Pr 22.17</w:t>
        </w:r>
      </w:hyperlink>
      <w:r>
        <w:t xml:space="preserve">) est incorporé dans le verset d'ouverture de cette section. L'indépendance de cette collection est fortement suggérée par une différence évidente de style, le proverbe simple d'un verset de longueur se voyant remplacé par une approche plus discursive qui traite d'un sujet sur plusieurs versets, ainsi que par le titre de la sous-section suivante (« </w:t>
      </w:r>
      <w:r>
        <w:t>Voici encore ce qui vient des sages</w:t>
      </w:r>
      <w:r>
        <w:t xml:space="preserve"> », </w:t>
      </w:r>
      <w:hyperlink r:id="rId12739">
        <w:r>
          <w:rPr>
            <w:color w:val="0000EE"/>
            <w:u w:val="single"/>
          </w:rPr>
          <w:t>24.23</w:t>
        </w:r>
      </w:hyperlink>
      <w:r>
        <w:t xml:space="preserve">). Le parallèle remarquablement étroit entre </w:t>
      </w:r>
      <w:hyperlink r:id="rId12740">
        <w:r>
          <w:rPr>
            <w:color w:val="0000EE"/>
            <w:u w:val="single"/>
          </w:rPr>
          <w:t>22.17–23.11</w:t>
        </w:r>
      </w:hyperlink>
      <w:r>
        <w:t xml:space="preserve"> et le livre égyptien d'Amenemope (qui a été daté de manière variable entre le 13e et le 7e siècle av. J.‑C.) est d'un grand intérêt. Les experts ont détecté jusqu'à trente liens entre les deux. La plupart pensent que cette section de Proverbes est une adaptation d'un original égyptien (une telle sélection et modification étant entièrement conforme à la doctrine de l'inspiration). Cependant, une minorité de chercheurs, y compris plusieurs égyptologues éminents, soutiennent de manière convaincante qu'au vu de sa structure grammaticale, Amenemope semble être dérivé d'un original hébreu.</w:t>
      </w:r>
    </w:p>
    <w:p>
      <w:pPr>
        <w:pStyle w:val="Heading4"/>
      </w:pPr>
      <w:hyperlink r:id="rId12741">
        <w:r>
          <w:rPr>
            <w:color w:val="0000EE"/>
            <w:u w:val="single"/>
          </w:rPr>
          <w:t>25.1–29.27</w:t>
        </w:r>
      </w:hyperlink>
    </w:p>
    <w:p>
      <w:r/>
      <w:r>
        <w:t xml:space="preserve">Une partie du contenu de Salomon a ici été édité et incorporé par « </w:t>
      </w:r>
      <w:r>
        <w:t>les gens d’Ézéchias, roi de Juda</w:t>
      </w:r>
      <w:r>
        <w:t xml:space="preserve"> » (</w:t>
      </w:r>
      <w:hyperlink r:id="rId12742">
        <w:r>
          <w:rPr>
            <w:color w:val="0000EE"/>
            <w:u w:val="single"/>
          </w:rPr>
          <w:t>25.1</w:t>
        </w:r>
      </w:hyperlink>
      <w:r>
        <w:t xml:space="preserve">). Dans cette section, la tendance est au regroupement de proverbes traitant de sujets précis : par exemple, la relation entre un roi et ses sujets (v. </w:t>
      </w:r>
      <w:hyperlink r:id="rId12743">
        <w:r>
          <w:rPr>
            <w:color w:val="0000EE"/>
            <w:u w:val="single"/>
          </w:rPr>
          <w:t>2–7</w:t>
        </w:r>
      </w:hyperlink>
      <w:r>
        <w:t>), l'homme paresseux (</w:t>
      </w:r>
      <w:hyperlink r:id="rId12744">
        <w:r>
          <w:rPr>
            <w:color w:val="0000EE"/>
            <w:u w:val="single"/>
          </w:rPr>
          <w:t>26.13–16</w:t>
        </w:r>
      </w:hyperlink>
      <w:r>
        <w:t xml:space="preserve">), et le fauteur de troubles (v. </w:t>
      </w:r>
      <w:hyperlink r:id="rId12745">
        <w:r>
          <w:rPr>
            <w:color w:val="0000EE"/>
            <w:u w:val="single"/>
          </w:rPr>
          <w:t>17–27</w:t>
        </w:r>
      </w:hyperlink>
      <w:r>
        <w:t xml:space="preserve">). Salomon et Ézéchias étaient fréquemment associés dans la pensée juive (voir par exemple </w:t>
      </w:r>
      <w:hyperlink r:id="rId12746">
        <w:r>
          <w:rPr>
            <w:color w:val="0000EE"/>
            <w:u w:val="single"/>
          </w:rPr>
          <w:t>2Ch 30.26</w:t>
        </w:r>
      </w:hyperlink>
      <w:r>
        <w:t>), et la tradition rabbinique attribuait à Ézéchias la production à la fois de Proverbes et de l'Ecclésiaste. Le prestige national durant les règnes des deux rois aurait été propice aux activités littéraires.</w:t>
      </w:r>
    </w:p>
    <w:p>
      <w:pPr>
        <w:pStyle w:val="Heading4"/>
      </w:pPr>
      <w:hyperlink r:id="rId501">
        <w:r>
          <w:rPr>
            <w:color w:val="0000EE"/>
            <w:u w:val="single"/>
          </w:rPr>
          <w:t>30.1–33</w:t>
        </w:r>
      </w:hyperlink>
    </w:p>
    <w:p>
      <w:r/>
      <w:r>
        <w:t xml:space="preserve">On ne sait rien d'Agur, de son père Jaké de Massa, ni des deux autres personnes mentionnées, Ithiel et Ucal. Selon </w:t>
      </w:r>
      <w:hyperlink r:id="rId503">
        <w:r>
          <w:rPr>
            <w:color w:val="0000EE"/>
            <w:u w:val="single"/>
          </w:rPr>
          <w:t>Genèse 25.14</w:t>
        </w:r>
      </w:hyperlink>
      <w:r>
        <w:t>, Massa était l'un des douze fils d'Ismaël, et il est probable qu'Agur venait du nord de l'Arabie, une région traditionnellement réputée pour sa sagesse.</w:t>
      </w:r>
    </w:p>
    <w:p>
      <w:pPr>
        <w:pStyle w:val="Heading4"/>
      </w:pPr>
      <w:hyperlink r:id="rId12747">
        <w:r>
          <w:rPr>
            <w:color w:val="0000EE"/>
            <w:u w:val="single"/>
          </w:rPr>
          <w:t>31.1–9</w:t>
        </w:r>
      </w:hyperlink>
    </w:p>
    <w:p>
      <w:r/>
      <w:r>
        <w:t>Lemuel, l'auteur de cette section, venait également de Massa, mais en dehors de cela, il est inconnu. L'inclusion de dictons de sagesse provenant de sources extérieures à Israël illustre les connexions internationales du mouvement de la sagesse durant la période de la monarchie.</w:t>
      </w:r>
    </w:p>
    <w:p>
      <w:pPr>
        <w:pStyle w:val="Heading4"/>
      </w:pPr>
      <w:hyperlink r:id="rId12365">
        <w:r>
          <w:rPr>
            <w:color w:val="0000EE"/>
            <w:u w:val="single"/>
          </w:rPr>
          <w:t>31.10–31</w:t>
        </w:r>
      </w:hyperlink>
    </w:p>
    <w:p>
      <w:r/>
      <w:r>
        <w:t>Il est possible ce superbe poème acrostiche sur l'épouse idéale soit également à attribuer à Lemuel ; son inspiration pourrait provenir de sa mère, à l'instar de la section précédente. Cependant, ce mode de vie s'intégrerait plus facilement dans le contexte d'une communauté agricole prospère en Palestine plutôt que dans une communauté nomade ou semi-nomade arabe. Pour cette raison, la plupart des chercheurs considèrent que le poème est anonyme.</w:t>
      </w:r>
    </w:p>
    <w:p>
      <w:pPr>
        <w:pStyle w:val="Heading3"/>
      </w:pPr>
      <w:r>
        <w:t>Datation</w:t>
      </w:r>
    </w:p>
    <w:p>
      <w:r/>
      <w:r>
        <w:t>La majeure partie du livre peut, avec assurance, être attribuée à Salomon (règne vers 970–930 av. J.‑C.). Cependant, la contribution significative d'Ézéchias et de ses hommes nous gardera de fixer l'achèvement du livre avant 700 av. J.‑C. L'inclusion de sections par des non-Israélites, comme Agur et Lemuel, est plus probable à l'époque préexilique, avec ses intérêts internationaux plus larges, qu'à l'atmosphère plus particulariste du judaïsme postexilique. Il est probable que le poème acrostiche final et sophistiqué ait été la dernière section à être incluse, mais rien dans le livre n'exige une date postérieure au début du 7e siècle av. J.‑C. Dans la tradition rabbinique, Proverbes était systématiquement regroupé avec les Psaumes et Job dans la troisième section du canon juif, les Écrits ou Livres Saints. Bien que le contenu des Écrits n'ait pas été finalisé de manière autoritaire avant la fin du 1er siècle apr. J.‑C., il est probable que Proverbes aient été reçu comme inspiré bien avant cela, comme en témoigne son inclusion dans la Septante, la principale traduction grecque. L'ordre dans nos versions françaises a peut-être été influencé par la tradition rabbinique qui associait les livres de Job, des Psaumes et des Proverbes à Moïse, David et Ézéchias, respectivement.</w:t>
      </w:r>
    </w:p>
    <w:p>
      <w:pPr>
        <w:pStyle w:val="Heading3"/>
      </w:pPr>
      <w:r>
        <w:t>Contexte</w:t>
      </w:r>
    </w:p>
    <w:p>
      <w:r/>
      <w:r>
        <w:t xml:space="preserve">Le livre des Proverbes fait partie du corpus de l'AT connu sous le nom de Littérature de Sagesse (ou littérature sapientiale). Ce corpus est également représenté dans les Écritures par les livres de Job, de l'Ecclésiaste et certains des Psaumes (par exemple </w:t>
      </w:r>
      <w:hyperlink r:id="rId11764">
        <w:r>
          <w:rPr>
            <w:color w:val="0000EE"/>
            <w:u w:val="single"/>
          </w:rPr>
          <w:t>Ps 1</w:t>
        </w:r>
      </w:hyperlink>
      <w:r>
        <w:t xml:space="preserve">, </w:t>
      </w:r>
      <w:hyperlink r:id="rId11768">
        <w:r>
          <w:rPr>
            <w:color w:val="0000EE"/>
            <w:u w:val="single"/>
          </w:rPr>
          <w:t>37</w:t>
        </w:r>
      </w:hyperlink>
      <w:r>
        <w:t xml:space="preserve">, </w:t>
      </w:r>
      <w:hyperlink r:id="rId11770">
        <w:r>
          <w:rPr>
            <w:color w:val="0000EE"/>
            <w:u w:val="single"/>
          </w:rPr>
          <w:t>73</w:t>
        </w:r>
      </w:hyperlink>
      <w:r>
        <w:t xml:space="preserve">, </w:t>
      </w:r>
      <w:hyperlink r:id="rId12361">
        <w:r>
          <w:rPr>
            <w:color w:val="0000EE"/>
            <w:u w:val="single"/>
          </w:rPr>
          <w:t>119</w:t>
        </w:r>
      </w:hyperlink>
      <w:r>
        <w:t>). Proverbes constitue une tranche majeure de cette catégorie littéraire. Les proverbes individuels offrent des applications pratiques et précises de la sagesse recouvrant de nombreux aspects de la vie. Job et l'Ecclésiaste se concentrent sur un problème majeur, ou un groupe de problèmes interconnectés, sous forme de monologue ou de dialogue.</w:t>
      </w:r>
    </w:p>
    <w:p>
      <w:r/>
      <w:r>
        <w:t>Au Proche-Orient Ancien, la sagesse était à l'origine liée à toutes les compétences, tant manuelles qu'intellectuelles, et était considérée comme un don des dieux. Elle acquerra graduellement une signification principalement intellectuelle, particulièrement dans un cadre cultuel, dans des arts magiques ou semi-magiques tels que l'exorcisme. Une large gamme de littérature de sagesse d'Égypte, de Canaan et de Mésopotamie, des deux types mentionnés dans le paragraphe précédent, a survécu, permettant de comprendre son homologue hébraïque au sein de ce contexte. Il n'y a toutefois aucune duplication, et l'esprit de la littérature de sagesse hébraïque est nettement supérieur à tout ce qui est comparable dans le monde ancien. Ceci est dû en grande partie à la puissante fondation religieuse en Israël, où le premier pas de la sagesse était de placer sa confiance en, et de révérer, le Seigneur (</w:t>
      </w:r>
      <w:hyperlink r:id="rId12748">
        <w:r>
          <w:rPr>
            <w:color w:val="0000EE"/>
            <w:u w:val="single"/>
          </w:rPr>
          <w:t>Pr 1.7</w:t>
        </w:r>
      </w:hyperlink>
      <w:r>
        <w:t>).</w:t>
      </w:r>
    </w:p>
    <w:p>
      <w:r/>
      <w:r>
        <w:t>Israël a émergé en tant que nation à l'époque de Moïse au sein d'un monde où des individus ou des groupes de « sages » existaient déjà. Israël partageait cet héritage, avec la participation d'hommes et de femmes, comme en témoignent les femmes sages de Tekoa et Abel-Beth-Maaca (</w:t>
      </w:r>
      <w:hyperlink r:id="rId3814">
        <w:r>
          <w:rPr>
            <w:color w:val="0000EE"/>
            <w:u w:val="single"/>
          </w:rPr>
          <w:t>2S 14.2</w:t>
        </w:r>
      </w:hyperlink>
      <w:r>
        <w:t xml:space="preserve"> ; </w:t>
      </w:r>
      <w:hyperlink r:id="rId12749">
        <w:r>
          <w:rPr>
            <w:color w:val="0000EE"/>
            <w:u w:val="single"/>
          </w:rPr>
          <w:t>20.16</w:t>
        </w:r>
      </w:hyperlink>
      <w:r>
        <w:t>) et les conseillers professionnels militaires ou civiques Achitophel et Huschaï (</w:t>
      </w:r>
      <w:hyperlink r:id="rId12750">
        <w:r>
          <w:rPr>
            <w:color w:val="0000EE"/>
            <w:u w:val="single"/>
          </w:rPr>
          <w:t>2S 15.1–2, 31</w:t>
        </w:r>
      </w:hyperlink>
      <w:r>
        <w:t xml:space="preserve"> ; </w:t>
      </w:r>
      <w:hyperlink r:id="rId12751">
        <w:r>
          <w:rPr>
            <w:color w:val="0000EE"/>
            <w:u w:val="single"/>
          </w:rPr>
          <w:t>16.15–19</w:t>
        </w:r>
      </w:hyperlink>
      <w:r>
        <w:t>). Proverbes est un exemple de la production de ces « sages » à leur meilleur ; la vie de droiture, de diligence, d'honnêteté et de maîtrise de soi qu'il prône établit une norme de moralité conforme à la loi sur laquelle elle était fondée. Mais il est probable que de nombreux proverbes précèdent l'émergence d'une classe de sages. La plupart des communautés développent leurs propres collections de dictons courts et spirituels qui expriment une sagesse pratique et forment un réservoir primitif de philosophie. Le rôle de Salomon dans la mise en forme définitive des proverbes d'Israël (</w:t>
      </w:r>
      <w:hyperlink r:id="rId12752">
        <w:r>
          <w:rPr>
            <w:color w:val="0000EE"/>
            <w:u w:val="single"/>
          </w:rPr>
          <w:t>1R 4.32</w:t>
        </w:r>
      </w:hyperlink>
      <w:r>
        <w:t xml:space="preserve">) a déjà été noté. La forme antithétique de la poésie hébraïque, où le parallélisme de la deuxième ligne permet soit un contraste net (comme c'est souvent le cas dans </w:t>
      </w:r>
      <w:hyperlink r:id="rId12753">
        <w:r>
          <w:rPr>
            <w:color w:val="0000EE"/>
            <w:u w:val="single"/>
          </w:rPr>
          <w:t>Pr 10–15</w:t>
        </w:r>
      </w:hyperlink>
      <w:r>
        <w:t xml:space="preserve">) soit un soutien supplémentaire (c'est-à-dire le parallélisme synonymique, comme dans chap. </w:t>
      </w:r>
      <w:hyperlink r:id="rId12754">
        <w:r>
          <w:rPr>
            <w:color w:val="0000EE"/>
            <w:u w:val="single"/>
          </w:rPr>
          <w:t>16–22</w:t>
        </w:r>
      </w:hyperlink>
      <w:r>
        <w:t>), est un procédé littéraire idéal pour le proverbe. Lorsque la classe des « sages » s'est développée, cette sagesse populaire rentrée dans leur domaine.</w:t>
      </w:r>
    </w:p>
    <w:p>
      <w:pPr>
        <w:pStyle w:val="Heading3"/>
      </w:pPr>
      <w:r>
        <w:t>Objectifs et Théologie</w:t>
      </w:r>
    </w:p>
    <w:p>
      <w:pPr>
        <w:pStyle w:val="Heading4"/>
      </w:pPr>
      <w:r>
        <w:t>Le Lien étroit entre religion et vie quotidienne</w:t>
      </w:r>
    </w:p>
    <w:p>
      <w:r/>
      <w:r>
        <w:t xml:space="preserve">Bien que le ton général de Proverbes soit principalement rationnel, l'importance de craindre (montrer de la révérence envers) </w:t>
      </w:r>
      <w:r>
        <w:t>l’Éternel</w:t>
      </w:r>
      <w:r>
        <w:t xml:space="preserve"> est soulignée tout au long du livre (</w:t>
      </w:r>
      <w:hyperlink r:id="rId12748">
        <w:r>
          <w:rPr>
            <w:color w:val="0000EE"/>
            <w:u w:val="single"/>
          </w:rPr>
          <w:t>1.7</w:t>
        </w:r>
      </w:hyperlink>
      <w:r>
        <w:t xml:space="preserve"> ; </w:t>
      </w:r>
      <w:hyperlink r:id="rId12755">
        <w:r>
          <w:rPr>
            <w:color w:val="0000EE"/>
            <w:u w:val="single"/>
          </w:rPr>
          <w:t>2.5</w:t>
        </w:r>
      </w:hyperlink>
      <w:r>
        <w:t xml:space="preserve"> ; </w:t>
      </w:r>
      <w:hyperlink r:id="rId12756">
        <w:r>
          <w:rPr>
            <w:color w:val="0000EE"/>
            <w:u w:val="single"/>
          </w:rPr>
          <w:t>3.7</w:t>
        </w:r>
      </w:hyperlink>
      <w:r>
        <w:t xml:space="preserve"> ; </w:t>
      </w:r>
      <w:hyperlink r:id="rId12757">
        <w:r>
          <w:rPr>
            <w:color w:val="0000EE"/>
            <w:u w:val="single"/>
          </w:rPr>
          <w:t>8.13</w:t>
        </w:r>
      </w:hyperlink>
      <w:r>
        <w:t xml:space="preserve"> ; etc.). Cette « </w:t>
      </w:r>
      <w:r>
        <w:t>crainte de l’Éternel</w:t>
      </w:r>
      <w:r>
        <w:t xml:space="preserve"> » est l'une des principales définitions de la religion dans l'AT, l'autre étant « la connaissance de Dieu » soulignée notamment par Osée et Jérémie (</w:t>
      </w:r>
      <w:hyperlink r:id="rId12758">
        <w:r>
          <w:rPr>
            <w:color w:val="0000EE"/>
            <w:u w:val="single"/>
          </w:rPr>
          <w:t>Jr 9.24</w:t>
        </w:r>
      </w:hyperlink>
      <w:r>
        <w:t xml:space="preserve"> ; </w:t>
      </w:r>
      <w:hyperlink r:id="rId12759">
        <w:r>
          <w:rPr>
            <w:color w:val="0000EE"/>
            <w:u w:val="single"/>
          </w:rPr>
          <w:t>Os 4.1</w:t>
        </w:r>
      </w:hyperlink>
      <w:r>
        <w:t xml:space="preserve">). Les deux se retrouvent en parallèle dans </w:t>
      </w:r>
      <w:hyperlink r:id="rId12755">
        <w:r>
          <w:rPr>
            <w:color w:val="0000EE"/>
            <w:u w:val="single"/>
          </w:rPr>
          <w:t>Proverbes 2.5</w:t>
        </w:r>
      </w:hyperlink>
      <w:r>
        <w:t xml:space="preserve"> et </w:t>
      </w:r>
      <w:hyperlink r:id="rId12760">
        <w:r>
          <w:rPr>
            <w:color w:val="0000EE"/>
            <w:u w:val="single"/>
          </w:rPr>
          <w:t>9.10</w:t>
        </w:r>
      </w:hyperlink>
      <w:r>
        <w:t>. Loin de croire en un fossé infranchissable entre la religion et le monde séculier, Proverbes montre ce qui résulte d'une vie tout entière placée sous le contrôle de Dieu : un caractère noble et des foyers harmonieux et heureux. Un danger existe lorsque les éléments moraux sont pris isolément de la fondation religieuse qui est présumée tout du long. Dans ce cas, la quête du bonheur ou du succès peut devenir égoïste, centrée sur soi-même, et finir par être autodestructrice.</w:t>
      </w:r>
    </w:p>
    <w:p>
      <w:pPr>
        <w:pStyle w:val="Heading4"/>
      </w:pPr>
      <w:r>
        <w:t>Proverbes et le mouvement prophétique</w:t>
      </w:r>
    </w:p>
    <w:p>
      <w:r/>
      <w:r>
        <w:t xml:space="preserve">Il existe de nombreuses similitudes entre Proverbes et les Prophètes, y compris pour ce qui concerne un réalisme terre-à-terre, une défense des pauvres et des groupes défavorisés (voir par exemple </w:t>
      </w:r>
      <w:hyperlink r:id="rId12761">
        <w:r>
          <w:rPr>
            <w:color w:val="0000EE"/>
            <w:u w:val="single"/>
          </w:rPr>
          <w:t>14.31</w:t>
        </w:r>
      </w:hyperlink>
      <w:r>
        <w:t>), une prise de conscience de l'inefficacité du sacrifice en dehors de la moralité (</w:t>
      </w:r>
      <w:hyperlink r:id="rId12762">
        <w:r>
          <w:rPr>
            <w:color w:val="0000EE"/>
            <w:u w:val="single"/>
          </w:rPr>
          <w:t>15.8</w:t>
        </w:r>
      </w:hyperlink>
      <w:r>
        <w:t xml:space="preserve"> ; </w:t>
      </w:r>
      <w:hyperlink r:id="rId12763">
        <w:r>
          <w:rPr>
            <w:color w:val="0000EE"/>
            <w:u w:val="single"/>
          </w:rPr>
          <w:t>21.27</w:t>
        </w:r>
      </w:hyperlink>
      <w:r>
        <w:t>), et un accent sur l'individu, qui était parfois négligé en raison du fort sentiment d'identité collective au sein de la communauté de l'alliance. Jérémie et Ézéchiel en particulier ont fortement réaffirmé le thème de la responsabilité individuelle (</w:t>
      </w:r>
      <w:hyperlink r:id="rId289">
        <w:r>
          <w:rPr>
            <w:color w:val="0000EE"/>
            <w:u w:val="single"/>
          </w:rPr>
          <w:t>Jr 31.29–30</w:t>
        </w:r>
      </w:hyperlink>
      <w:r>
        <w:t xml:space="preserve"> ; </w:t>
      </w:r>
      <w:hyperlink r:id="rId11783">
        <w:r>
          <w:rPr>
            <w:color w:val="0000EE"/>
            <w:u w:val="single"/>
          </w:rPr>
          <w:t>Ez 18</w:t>
        </w:r>
      </w:hyperlink>
      <w:r>
        <w:t>). Il y a toutefois une différence essentielle que Proverbes partage avec le reste de la littérature de sagesse biblique, à savoir l'absence de toute référence claire et historique à l'élection d'Israël et à sa relation d'alliance avec Dieu. Les grands prophètes préexiliques, eux, insistaient fortement sur ce point. De même, Jérusalem et sa théologie du temple ne sont pas mentionnées, bien que le mouvement de sagesse (en particulier dans sa manifestation à travers le livre des Proverbes) ait prospéré sous le patronage de la monarchie davidique. Même le nom Israël n'apparaît pas. Ceci renforce l'idée que Proverbes est le manuel le plus clair et le plus complet d'éthique pratique universelle qui existait dans le monde antique. Un Égyptien contemporain instruit aurait trouvé que Proverbes était facilement compréhensible et édifiant, et bien que cela n'ait pas été son objectif principal, le livre a toujours un fort attrait pour un non-chrétien moral.</w:t>
      </w:r>
    </w:p>
    <w:p>
      <w:pPr>
        <w:pStyle w:val="Heading4"/>
      </w:pPr>
      <w:r>
        <w:t>Proverbes et Deutéronome</w:t>
      </w:r>
    </w:p>
    <w:p>
      <w:r/>
      <w:r>
        <w:t>Le livre des Proverbes partage de nombreux points de recoupement avec le livre du Deutéronome, notamment leur accent sur la rétribution et la récompense (</w:t>
      </w:r>
      <w:hyperlink r:id="rId12764">
        <w:r>
          <w:rPr>
            <w:color w:val="0000EE"/>
            <w:u w:val="single"/>
          </w:rPr>
          <w:t>Pr 2.22</w:t>
        </w:r>
      </w:hyperlink>
      <w:r>
        <w:t xml:space="preserve"> ; </w:t>
      </w:r>
      <w:hyperlink r:id="rId12765">
        <w:r>
          <w:rPr>
            <w:color w:val="0000EE"/>
            <w:u w:val="single"/>
          </w:rPr>
          <w:t>3.9–10</w:t>
        </w:r>
      </w:hyperlink>
      <w:r>
        <w:t xml:space="preserve"> ; </w:t>
      </w:r>
      <w:hyperlink r:id="rId12766">
        <w:r>
          <w:rPr>
            <w:color w:val="0000EE"/>
            <w:u w:val="single"/>
          </w:rPr>
          <w:t>10.27–30</w:t>
        </w:r>
      </w:hyperlink>
      <w:r>
        <w:t xml:space="preserve"> ; voir </w:t>
      </w:r>
      <w:hyperlink r:id="rId3888">
        <w:r>
          <w:rPr>
            <w:color w:val="0000EE"/>
            <w:u w:val="single"/>
          </w:rPr>
          <w:t>Dt 28</w:t>
        </w:r>
      </w:hyperlink>
      <w:r>
        <w:t>). Cette doctrine pourrait être pervertie en une équation invariable, les justes étant toujours récompensés et les méchants toujours punis. Job (</w:t>
      </w:r>
      <w:hyperlink r:id="rId12767">
        <w:r>
          <w:rPr>
            <w:color w:val="0000EE"/>
            <w:u w:val="single"/>
          </w:rPr>
          <w:t>Jb 21.7–34</w:t>
        </w:r>
      </w:hyperlink>
      <w:r>
        <w:t>) et Jérémie (</w:t>
      </w:r>
      <w:hyperlink r:id="rId12579">
        <w:r>
          <w:rPr>
            <w:color w:val="0000EE"/>
            <w:u w:val="single"/>
          </w:rPr>
          <w:t>Jr 12.1–4</w:t>
        </w:r>
      </w:hyperlink>
      <w:r>
        <w:t xml:space="preserve">) ont protesté vigoureusement contre une telle perspective. Cela pourrait également aboutir à une approche hypocrite et intéressée : c'est parce que je désire les bénédictions promises (voir par exemple </w:t>
      </w:r>
      <w:hyperlink r:id="rId12765">
        <w:r>
          <w:rPr>
            <w:color w:val="0000EE"/>
            <w:u w:val="single"/>
          </w:rPr>
          <w:t>Pr 3.9–10</w:t>
        </w:r>
      </w:hyperlink>
      <w:r>
        <w:t>) que je vais « honorer » Dieu en matière de dîmes. Cette substitution d'une apparence extérieure à la dynamique intérieure de l'amour, de la gratitude et de la foi était souvent la malédiction de la religion formelle d'Israël. En revanche, le principe lui-même (que ceux qui honorent Dieu et vivent en coopération avec lui et ses lois sont généralement ceux qui sont bénis par Dieu, bien que pas nécessairement en termes matériels) est un principe scripturaire. Les auteurs des Proverbes ne doivent pas être blâmés pour les perversions qui ont surgi par la suite.</w:t>
      </w:r>
    </w:p>
    <w:p>
      <w:pPr>
        <w:pStyle w:val="Heading3"/>
      </w:pPr>
      <w:r>
        <w:t>Contenu</w:t>
      </w:r>
    </w:p>
    <w:p>
      <w:pPr>
        <w:pStyle w:val="Heading4"/>
      </w:pPr>
      <w:r>
        <w:t xml:space="preserve">Introduction : </w:t>
      </w:r>
      <w:hyperlink r:id="rId12768">
        <w:r>
          <w:rPr>
            <w:color w:val="0000EE"/>
            <w:u w:val="single"/>
          </w:rPr>
          <w:t>1.1–7</w:t>
        </w:r>
      </w:hyperlink>
    </w:p>
    <w:p>
      <w:r/>
      <w:hyperlink r:id="rId12768">
        <w:r>
          <w:rPr>
            <w:color w:val="0000EE"/>
            <w:u w:val="single"/>
          </w:rPr>
          <w:t>Proverbes 1.1–7</w:t>
        </w:r>
      </w:hyperlink>
      <w:r>
        <w:t xml:space="preserve"> établit le but du mouvement de la sagesse en Israël. Le sous-titre du livre dans son ensemble se trouve au verset </w:t>
      </w:r>
      <w:hyperlink r:id="rId12769">
        <w:r>
          <w:rPr>
            <w:color w:val="0000EE"/>
            <w:u w:val="single"/>
          </w:rPr>
          <w:t>2</w:t>
        </w:r>
      </w:hyperlink>
      <w:r>
        <w:t xml:space="preserve"> : le but de ces proverbes est « </w:t>
      </w:r>
      <w:r>
        <w:t xml:space="preserve">Pour connaître la sagesse et l’instruction, </w:t>
      </w:r>
      <w:r>
        <w:t>P</w:t>
      </w:r>
      <w:r>
        <w:t>our comprendre les paroles de l’intelligence</w:t>
      </w:r>
      <w:r>
        <w:t xml:space="preserve"> ». La question de la paternité de cette section a déjà été discutée, mais il n'y a certainement rien d'incongru à attribuer cette paternité à Salomon. Au début de son règne, Salomon démontrait un profond désir d'avoir la sagesse nécessaire pour gouverner son peuple correctement (</w:t>
      </w:r>
      <w:hyperlink r:id="rId12770">
        <w:r>
          <w:rPr>
            <w:color w:val="0000EE"/>
            <w:u w:val="single"/>
          </w:rPr>
          <w:t>1R 3.7–9</w:t>
        </w:r>
      </w:hyperlink>
      <w:r>
        <w:t xml:space="preserve">), et il y a ici le désir sincère que ses sujets puissent avoir une compréhension similaire. Les versets </w:t>
      </w:r>
      <w:hyperlink r:id="rId12771">
        <w:r>
          <w:rPr>
            <w:color w:val="0000EE"/>
            <w:u w:val="single"/>
          </w:rPr>
          <w:t>1–6</w:t>
        </w:r>
      </w:hyperlink>
      <w:r>
        <w:t xml:space="preserve"> forment une seule phrase en hébreu et incluent pas moins de onze aspects différents de la sagesse. Le premier d'entre eux, « sagesse », apparaît trente-sept fois dans Proverbes et indique une utilisation informée et habile de la connaissance. Ce n'est qu'en faisant le premier pas, qui est de placer sa confiance dans le Seigneur, qu'une personne peut entrer dans la sagesse. La moralité n'est pas situationnelle, ni un absolu en soi ; elle nécessite un point de référence immuable qui ne peut être trouvé qu'en Dieu.</w:t>
      </w:r>
    </w:p>
    <w:p>
      <w:pPr>
        <w:pStyle w:val="Heading4"/>
      </w:pPr>
      <w:r>
        <w:t xml:space="preserve">Leçons concernant la sagesse : </w:t>
      </w:r>
      <w:hyperlink r:id="rId12731">
        <w:r>
          <w:rPr>
            <w:color w:val="0000EE"/>
            <w:u w:val="single"/>
          </w:rPr>
          <w:t>1.8–9.18</w:t>
        </w:r>
      </w:hyperlink>
    </w:p>
    <w:p>
      <w:r/>
      <w:r>
        <w:t>Cette section est composée de treize leçons distinctes sur la sagesse, dont la plupart sont introduites par « Mon fils » ou une expression similaire. La leçon finale (</w:t>
      </w:r>
      <w:hyperlink r:id="rId12772">
        <w:r>
          <w:rPr>
            <w:color w:val="0000EE"/>
            <w:u w:val="single"/>
          </w:rPr>
          <w:t>8.1–9.18</w:t>
        </w:r>
      </w:hyperlink>
      <w:r>
        <w:t>) est donnée par la Sagesse elle-même. Cette méthode indique la relation chaleureuse et personnelle entre le professeur et ses élèves, qui, au Proche-Orient Ancien, seraient exclusivement masculins. Un style similaire se retrouve dans la littérature de sagesse égyptienne et mésopotamienne et aurait bien pu être adopté par Salomon, qui, dans l'humilité et la crainte de Dieu pour le bien-être national de ses premières années, aurait été un excellent enseignant.</w:t>
      </w:r>
    </w:p>
    <w:p>
      <w:r/>
      <w:r>
        <w:t>Leçon 1 : Éviter les mauvais compagnons (</w:t>
      </w:r>
      <w:hyperlink r:id="rId12773">
        <w:r>
          <w:rPr>
            <w:color w:val="0000EE"/>
            <w:u w:val="single"/>
          </w:rPr>
          <w:t>1.8–33</w:t>
        </w:r>
      </w:hyperlink>
      <w:r>
        <w:t>)</w:t>
      </w:r>
    </w:p>
    <w:p>
      <w:r/>
      <w:r>
        <w:t xml:space="preserve">Trois voix s'élèvent : 1) la voix spécieuse de ceux qui promettent des gains rapides par la violence (v. </w:t>
      </w:r>
      <w:hyperlink r:id="rId12774">
        <w:r>
          <w:rPr>
            <w:color w:val="0000EE"/>
            <w:u w:val="single"/>
          </w:rPr>
          <w:t>10–14</w:t>
        </w:r>
      </w:hyperlink>
      <w:r>
        <w:t xml:space="preserve">) ; 2) le sage lui-même (v. </w:t>
      </w:r>
      <w:hyperlink r:id="rId12775">
        <w:r>
          <w:rPr>
            <w:color w:val="0000EE"/>
            <w:u w:val="single"/>
          </w:rPr>
          <w:t>15–19</w:t>
        </w:r>
      </w:hyperlink>
      <w:r>
        <w:t xml:space="preserve">), qui renforce les conseils patiemment donnés par les parents au fil des années (v. </w:t>
      </w:r>
      <w:hyperlink r:id="rId12776">
        <w:r>
          <w:rPr>
            <w:color w:val="0000EE"/>
            <w:u w:val="single"/>
          </w:rPr>
          <w:t>8–9</w:t>
        </w:r>
      </w:hyperlink>
      <w:r>
        <w:t xml:space="preserve">) et qui préconise une rupture nette avec les hommes violents voués à une fin violente ; et 3) la Sagesse (v. </w:t>
      </w:r>
      <w:hyperlink r:id="rId12777">
        <w:r>
          <w:rPr>
            <w:color w:val="0000EE"/>
            <w:u w:val="single"/>
          </w:rPr>
          <w:t>20–33</w:t>
        </w:r>
      </w:hyperlink>
      <w:r>
        <w:t xml:space="preserve">), dont l'appel n'est pas furtif mais ouvert à tous et qui cherche à transmettre a autrui son propre esprit de sagesse (v. </w:t>
      </w:r>
      <w:hyperlink r:id="rId12778">
        <w:r>
          <w:rPr>
            <w:color w:val="0000EE"/>
            <w:u w:val="single"/>
          </w:rPr>
          <w:t>23</w:t>
        </w:r>
      </w:hyperlink>
      <w:r>
        <w:t xml:space="preserve">). Ceux qui rejettent la voix de la sagesse connaîtront le jugement (v. </w:t>
      </w:r>
      <w:hyperlink r:id="rId12779">
        <w:r>
          <w:rPr>
            <w:color w:val="0000EE"/>
            <w:u w:val="single"/>
          </w:rPr>
          <w:t>29–33</w:t>
        </w:r>
      </w:hyperlink>
      <w:r>
        <w:t>).</w:t>
      </w:r>
    </w:p>
    <w:p>
      <w:r/>
      <w:r>
        <w:t>Leçon 2 : Les Récompenses de la Sagesse (</w:t>
      </w:r>
      <w:hyperlink r:id="rId12780">
        <w:r>
          <w:rPr>
            <w:color w:val="0000EE"/>
            <w:u w:val="single"/>
          </w:rPr>
          <w:t>2.1–22</w:t>
        </w:r>
      </w:hyperlink>
      <w:r>
        <w:t>)</w:t>
      </w:r>
    </w:p>
    <w:p>
      <w:r/>
      <w:r>
        <w:t xml:space="preserve">Bien que la sagesse soit donnée par Dieu en fin de compte (v. </w:t>
      </w:r>
      <w:hyperlink r:id="rId7025">
        <w:r>
          <w:rPr>
            <w:color w:val="0000EE"/>
            <w:u w:val="single"/>
          </w:rPr>
          <w:t>6</w:t>
        </w:r>
      </w:hyperlink>
      <w:r>
        <w:t>), chacun est appelé à la chercher avec une intensité de désir qui caractérisait le psalmiste (</w:t>
      </w:r>
      <w:hyperlink r:id="rId12781">
        <w:r>
          <w:rPr>
            <w:color w:val="0000EE"/>
            <w:u w:val="single"/>
          </w:rPr>
          <w:t>Pr 2.2–4</w:t>
        </w:r>
      </w:hyperlink>
      <w:r>
        <w:t xml:space="preserve"> ; voir </w:t>
      </w:r>
      <w:hyperlink r:id="rId12782">
        <w:r>
          <w:rPr>
            <w:color w:val="0000EE"/>
            <w:u w:val="single"/>
          </w:rPr>
          <w:t>Ps 63.1</w:t>
        </w:r>
      </w:hyperlink>
      <w:r>
        <w:t>). Il n'y a pas de contradiction ici, mais un paradoxe qui souligne le fait que les dons de Dieu ne sont pas accordés à la légère, mais sont donnés à ceux qui, par leur attitude de cœur et de volonté, les méritent. Les avantages de la sagesse décrits ici (</w:t>
      </w:r>
      <w:hyperlink r:id="rId12783">
        <w:r>
          <w:rPr>
            <w:color w:val="0000EE"/>
            <w:u w:val="single"/>
          </w:rPr>
          <w:t>Pr 2.7–22</w:t>
        </w:r>
      </w:hyperlink>
      <w:r>
        <w:t xml:space="preserve">) comportent à la fois des éléments négatifs et positifs, tant matériels que spirituels. Le danger de s'associer avec des femmes immorales, si souvent mentionné dans Proverbes, est évoqué pour la première fois (v. </w:t>
      </w:r>
      <w:hyperlink r:id="rId12784">
        <w:r>
          <w:rPr>
            <w:color w:val="0000EE"/>
            <w:u w:val="single"/>
          </w:rPr>
          <w:t>16–19</w:t>
        </w:r>
      </w:hyperlink>
      <w:r>
        <w:t>).</w:t>
      </w:r>
    </w:p>
    <w:p>
      <w:r/>
      <w:r>
        <w:t>Leçon 3 : Les Récompenses de la confiance totale en Dieu (</w:t>
      </w:r>
      <w:hyperlink r:id="rId12785">
        <w:r>
          <w:rPr>
            <w:color w:val="0000EE"/>
            <w:u w:val="single"/>
          </w:rPr>
          <w:t>3.1–10</w:t>
        </w:r>
      </w:hyperlink>
      <w:r>
        <w:t>)</w:t>
      </w:r>
    </w:p>
    <w:p>
      <w:r/>
      <w:r>
        <w:t xml:space="preserve">Pour le Juif, la tentation d'essayer de s'assurer la bénédiction par une démonstration extérieure de religion guettait toujours, et les versets </w:t>
      </w:r>
      <w:hyperlink r:id="rId12765">
        <w:r>
          <w:rPr>
            <w:color w:val="0000EE"/>
            <w:u w:val="single"/>
          </w:rPr>
          <w:t>9–10</w:t>
        </w:r>
      </w:hyperlink>
      <w:r>
        <w:t xml:space="preserve"> pouvaient être mal interprétés. Mais le contexte souligne l'exigence de la loyauté de cœur et de l'obéissance (v. </w:t>
      </w:r>
      <w:hyperlink r:id="rId12786">
        <w:r>
          <w:rPr>
            <w:color w:val="0000EE"/>
            <w:u w:val="single"/>
          </w:rPr>
          <w:t>1–8</w:t>
        </w:r>
      </w:hyperlink>
      <w:r>
        <w:t xml:space="preserve">). « Dieu en premier » (v. </w:t>
      </w:r>
      <w:hyperlink r:id="rId12787">
        <w:r>
          <w:rPr>
            <w:color w:val="0000EE"/>
            <w:u w:val="single"/>
          </w:rPr>
          <w:t>6</w:t>
        </w:r>
      </w:hyperlink>
      <w:r>
        <w:t xml:space="preserve">) est le besoin fondamental ; sans cela, un individu ou une nation se trouve appauvri (voir </w:t>
      </w:r>
      <w:hyperlink r:id="rId12788">
        <w:r>
          <w:rPr>
            <w:color w:val="0000EE"/>
            <w:u w:val="single"/>
          </w:rPr>
          <w:t>Ag 1.1–11</w:t>
        </w:r>
      </w:hyperlink>
      <w:r>
        <w:t>).</w:t>
      </w:r>
    </w:p>
    <w:p>
      <w:r/>
      <w:r>
        <w:t>Leçon 4 : Le Besoin de discipline (</w:t>
      </w:r>
      <w:hyperlink r:id="rId12789">
        <w:r>
          <w:rPr>
            <w:color w:val="0000EE"/>
            <w:u w:val="single"/>
          </w:rPr>
          <w:t>3.11–20</w:t>
        </w:r>
      </w:hyperlink>
      <w:r>
        <w:t>)</w:t>
      </w:r>
    </w:p>
    <w:p>
      <w:r/>
      <w:r>
        <w:t>Un des thèmes majeurs dans Proverbes est la discipline, en particulier celle d'un père châtiant son fils (</w:t>
      </w:r>
      <w:hyperlink r:id="rId4231">
        <w:r>
          <w:rPr>
            <w:color w:val="0000EE"/>
            <w:u w:val="single"/>
          </w:rPr>
          <w:t>Pr 3.11–12</w:t>
        </w:r>
      </w:hyperlink>
      <w:r>
        <w:t xml:space="preserve"> ; voir </w:t>
      </w:r>
      <w:hyperlink r:id="rId4214">
        <w:r>
          <w:rPr>
            <w:color w:val="0000EE"/>
            <w:u w:val="single"/>
          </w:rPr>
          <w:t>Hé 12.5–11</w:t>
        </w:r>
      </w:hyperlink>
      <w:r>
        <w:t>). L'autre thème ici est l'éloge de la sagesse et les bienfaits qu'elle confère.</w:t>
      </w:r>
    </w:p>
    <w:p>
      <w:r/>
      <w:r>
        <w:t>Leçon 5 : Sagesse et bon sens (</w:t>
      </w:r>
      <w:hyperlink r:id="rId12790">
        <w:r>
          <w:rPr>
            <w:color w:val="0000EE"/>
            <w:u w:val="single"/>
          </w:rPr>
          <w:t>3.21–35</w:t>
        </w:r>
      </w:hyperlink>
      <w:r>
        <w:t>)</w:t>
      </w:r>
    </w:p>
    <w:p>
      <w:r/>
      <w:r>
        <w:t xml:space="preserve">La sagesse et le bon sens entraîneront la sécurité (v. </w:t>
      </w:r>
      <w:hyperlink r:id="rId12791">
        <w:r>
          <w:rPr>
            <w:color w:val="0000EE"/>
            <w:u w:val="single"/>
          </w:rPr>
          <w:t>23–26</w:t>
        </w:r>
      </w:hyperlink>
      <w:r>
        <w:t xml:space="preserve">) et protégeront contre les actes imprudents (v. </w:t>
      </w:r>
      <w:hyperlink r:id="rId12792">
        <w:r>
          <w:rPr>
            <w:color w:val="0000EE"/>
            <w:u w:val="single"/>
          </w:rPr>
          <w:t>27–32</w:t>
        </w:r>
      </w:hyperlink>
      <w:r>
        <w:t xml:space="preserve">). Cependant la sécurité fondamentale se trouve au verset </w:t>
      </w:r>
      <w:hyperlink r:id="rId12793">
        <w:r>
          <w:rPr>
            <w:color w:val="0000EE"/>
            <w:u w:val="single"/>
          </w:rPr>
          <w:t>26</w:t>
        </w:r>
      </w:hyperlink>
      <w:r>
        <w:t xml:space="preserve"> : c'est le Seigneur qui est notre sécurité.</w:t>
      </w:r>
    </w:p>
    <w:p>
      <w:r/>
      <w:r>
        <w:t>Leçon 6 : La Détermination (</w:t>
      </w:r>
      <w:hyperlink r:id="rId12794">
        <w:r>
          <w:rPr>
            <w:color w:val="0000EE"/>
            <w:u w:val="single"/>
          </w:rPr>
          <w:t>4.1–9</w:t>
        </w:r>
      </w:hyperlink>
      <w:r>
        <w:t>)</w:t>
      </w:r>
    </w:p>
    <w:p>
      <w:r/>
      <w:r>
        <w:t xml:space="preserve">Ici, l'enseignant partage son propre témoignage et montre qu'il puise dans la sagesse accumulée d'une génération antérieure (v. </w:t>
      </w:r>
      <w:hyperlink r:id="rId12795">
        <w:r>
          <w:rPr>
            <w:color w:val="0000EE"/>
            <w:u w:val="single"/>
          </w:rPr>
          <w:t>1–6</w:t>
        </w:r>
      </w:hyperlink>
      <w:r>
        <w:t xml:space="preserve">). Il y a un accent fort sur la détermination, la volonté étant résolument fixée pour acquérir la sagesse, comme le montrent les verbes dans les versets </w:t>
      </w:r>
      <w:hyperlink r:id="rId12796">
        <w:r>
          <w:rPr>
            <w:color w:val="0000EE"/>
            <w:u w:val="single"/>
          </w:rPr>
          <w:t>5–9</w:t>
        </w:r>
      </w:hyperlink>
      <w:r>
        <w:t>.</w:t>
      </w:r>
    </w:p>
    <w:p>
      <w:r/>
      <w:r>
        <w:t>Leçon 7 : Le Droit chemin (</w:t>
      </w:r>
      <w:hyperlink r:id="rId12797">
        <w:r>
          <w:rPr>
            <w:color w:val="0000EE"/>
            <w:u w:val="single"/>
          </w:rPr>
          <w:t>4.10–19</w:t>
        </w:r>
      </w:hyperlink>
      <w:r>
        <w:t>)</w:t>
      </w:r>
    </w:p>
    <w:p>
      <w:r/>
      <w:r>
        <w:t xml:space="preserve">Une détermination égale est nécessaire pour éviter les hommes mauvais et ce à quoi ils s'adonnent (v. </w:t>
      </w:r>
      <w:hyperlink r:id="rId12798">
        <w:r>
          <w:rPr>
            <w:color w:val="0000EE"/>
            <w:u w:val="single"/>
          </w:rPr>
          <w:t>14–17</w:t>
        </w:r>
      </w:hyperlink>
      <w:r>
        <w:t xml:space="preserve">). Notez la description graphique, à la fois belle et effrayante, des deux chemins (v. </w:t>
      </w:r>
      <w:hyperlink r:id="rId12799">
        <w:r>
          <w:rPr>
            <w:color w:val="0000EE"/>
            <w:u w:val="single"/>
          </w:rPr>
          <w:t>18–19</w:t>
        </w:r>
      </w:hyperlink>
      <w:r>
        <w:t>).</w:t>
      </w:r>
    </w:p>
    <w:p>
      <w:r/>
      <w:r>
        <w:t>Leçon 8 : Poursuivre la justice et éviter le mal (</w:t>
      </w:r>
      <w:hyperlink r:id="rId12800">
        <w:r>
          <w:rPr>
            <w:color w:val="0000EE"/>
            <w:u w:val="single"/>
          </w:rPr>
          <w:t>4.20–27</w:t>
        </w:r>
      </w:hyperlink>
      <w:r>
        <w:t>)</w:t>
      </w:r>
    </w:p>
    <w:p>
      <w:r/>
      <w:r>
        <w:t xml:space="preserve">La poursuite acharnée de la droiture et son corollaire, l'évitement de toute sorte de mal (voir </w:t>
      </w:r>
      <w:hyperlink r:id="rId12801">
        <w:r>
          <w:rPr>
            <w:color w:val="0000EE"/>
            <w:u w:val="single"/>
          </w:rPr>
          <w:t>1Th 5.22</w:t>
        </w:r>
      </w:hyperlink>
      <w:r>
        <w:t>), impliquent notre écoute (</w:t>
      </w:r>
      <w:hyperlink r:id="rId12802">
        <w:r>
          <w:rPr>
            <w:color w:val="0000EE"/>
            <w:u w:val="single"/>
          </w:rPr>
          <w:t>Pr 4.20</w:t>
        </w:r>
      </w:hyperlink>
      <w:r>
        <w:t xml:space="preserve">), nos souvenirs (v. </w:t>
      </w:r>
      <w:hyperlink r:id="rId12803">
        <w:r>
          <w:rPr>
            <w:color w:val="0000EE"/>
            <w:u w:val="single"/>
          </w:rPr>
          <w:t>21</w:t>
        </w:r>
      </w:hyperlink>
      <w:r>
        <w:t xml:space="preserve">), nos cœurs (v. </w:t>
      </w:r>
      <w:hyperlink r:id="rId12804">
        <w:r>
          <w:rPr>
            <w:color w:val="0000EE"/>
            <w:u w:val="single"/>
          </w:rPr>
          <w:t>21, 23</w:t>
        </w:r>
      </w:hyperlink>
      <w:r>
        <w:t xml:space="preserve">), notre vue (v. </w:t>
      </w:r>
      <w:hyperlink r:id="rId12805">
        <w:r>
          <w:rPr>
            <w:color w:val="0000EE"/>
            <w:u w:val="single"/>
          </w:rPr>
          <w:t>25</w:t>
        </w:r>
      </w:hyperlink>
      <w:r>
        <w:t xml:space="preserve">) et nos volontés (v. </w:t>
      </w:r>
      <w:hyperlink r:id="rId12806">
        <w:r>
          <w:rPr>
            <w:color w:val="0000EE"/>
            <w:u w:val="single"/>
          </w:rPr>
          <w:t>26–27</w:t>
        </w:r>
      </w:hyperlink>
      <w:r>
        <w:t>). Ceci demande un engagement total envers Dieu.</w:t>
      </w:r>
    </w:p>
    <w:p>
      <w:r/>
      <w:r>
        <w:t>Leçon 9 : La Pureté sexuelle (</w:t>
      </w:r>
      <w:hyperlink r:id="rId12807">
        <w:r>
          <w:rPr>
            <w:color w:val="0000EE"/>
            <w:u w:val="single"/>
          </w:rPr>
          <w:t>5.1–23</w:t>
        </w:r>
      </w:hyperlink>
      <w:r>
        <w:t>)</w:t>
      </w:r>
    </w:p>
    <w:p>
      <w:r/>
      <w:r>
        <w:t xml:space="preserve">Dans un langage direct qui ne peut être mal compris, les dangers de la prostitution sexuelle et la sagesse de la fidélité au sein du mariage sont soulignés. Dans les relations sexuelles, il ne peut y avoir de moralité purement privée : d'autres sont nécessairement impliqués, et Dieu est plus qu'un simple spectateur concerné (v </w:t>
      </w:r>
      <w:hyperlink r:id="rId12808">
        <w:r>
          <w:rPr>
            <w:color w:val="0000EE"/>
            <w:u w:val="single"/>
          </w:rPr>
          <w:t>21</w:t>
        </w:r>
      </w:hyperlink>
      <w:r>
        <w:t>).</w:t>
      </w:r>
    </w:p>
    <w:p>
      <w:r/>
      <w:r>
        <w:t>Leçon 10 : Les Choses que Dieu déteste (</w:t>
      </w:r>
      <w:hyperlink r:id="rId12809">
        <w:r>
          <w:rPr>
            <w:color w:val="0000EE"/>
            <w:u w:val="single"/>
          </w:rPr>
          <w:t>6.1–19</w:t>
        </w:r>
      </w:hyperlink>
      <w:r>
        <w:t>)</w:t>
      </w:r>
    </w:p>
    <w:p>
      <w:r/>
      <w:r>
        <w:t xml:space="preserve">La section débute (v. </w:t>
      </w:r>
      <w:hyperlink r:id="rId12810">
        <w:r>
          <w:rPr>
            <w:color w:val="0000EE"/>
            <w:u w:val="single"/>
          </w:rPr>
          <w:t>1–5</w:t>
        </w:r>
      </w:hyperlink>
      <w:r>
        <w:t xml:space="preserve">) avec un conseil simple sur la nécessité d'éviter les promesses irréfléchies. Si l'on est assez imprudent pour être déjà engagé, la chose sensée à faire est de ravaler sa fierté et de se dégager dès que possible. La deuxième leçon est d'imiter les fourmis dans leur préparation prévenante pour les besoins futurs (v. </w:t>
      </w:r>
      <w:hyperlink r:id="rId12378">
        <w:r>
          <w:rPr>
            <w:color w:val="0000EE"/>
            <w:u w:val="single"/>
          </w:rPr>
          <w:t>6–11</w:t>
        </w:r>
      </w:hyperlink>
      <w:r>
        <w:t>). Ceci anticipe l'attention contrastée accordée plus tard au paresseux (</w:t>
      </w:r>
      <w:hyperlink r:id="rId12811">
        <w:r>
          <w:rPr>
            <w:color w:val="0000EE"/>
            <w:u w:val="single"/>
          </w:rPr>
          <w:t>22.13</w:t>
        </w:r>
      </w:hyperlink>
      <w:r>
        <w:t xml:space="preserve"> ; </w:t>
      </w:r>
      <w:hyperlink r:id="rId12744">
        <w:r>
          <w:rPr>
            <w:color w:val="0000EE"/>
            <w:u w:val="single"/>
          </w:rPr>
          <w:t>26.13–16</w:t>
        </w:r>
      </w:hyperlink>
      <w:r>
        <w:t>). La troisième leçon décrit en détail l'« homme pervers », rusé et trompeur (</w:t>
      </w:r>
      <w:hyperlink r:id="rId12812">
        <w:r>
          <w:rPr>
            <w:color w:val="0000EE"/>
            <w:u w:val="single"/>
          </w:rPr>
          <w:t>6.12–19</w:t>
        </w:r>
      </w:hyperlink>
      <w:r>
        <w:t>). Il est à éviter.</w:t>
      </w:r>
    </w:p>
    <w:p>
      <w:r/>
      <w:r>
        <w:t>Leçon 11 : Les Relations sexuelles illicites (</w:t>
      </w:r>
      <w:hyperlink r:id="rId12813">
        <w:r>
          <w:rPr>
            <w:color w:val="0000EE"/>
            <w:u w:val="single"/>
          </w:rPr>
          <w:t>6.20–35</w:t>
        </w:r>
      </w:hyperlink>
      <w:r>
        <w:t>)</w:t>
      </w:r>
    </w:p>
    <w:p>
      <w:r/>
      <w:r>
        <w:t xml:space="preserve">Cette section poursuit le sujet des relations sexuelles illicites, montrant l'attitude de Dieu envers cette forme particulière de péché. Le mari blessé se révélera un adversaire redoutable s'il découvre l'infidélité (v. </w:t>
      </w:r>
      <w:hyperlink r:id="rId12814">
        <w:r>
          <w:rPr>
            <w:color w:val="0000EE"/>
            <w:u w:val="single"/>
          </w:rPr>
          <w:t>33–35</w:t>
        </w:r>
      </w:hyperlink>
      <w:r>
        <w:t xml:space="preserve">), et l'effet sur la personne adultère elle-même sera absolument désastreux (v. </w:t>
      </w:r>
      <w:hyperlink r:id="rId12815">
        <w:r>
          <w:rPr>
            <w:color w:val="0000EE"/>
            <w:u w:val="single"/>
          </w:rPr>
          <w:t>26–32</w:t>
        </w:r>
      </w:hyperlink>
      <w:r>
        <w:t>).</w:t>
      </w:r>
    </w:p>
    <w:p>
      <w:r/>
      <w:r>
        <w:t>Leçon 12 : Les Ruses de la prostituée (</w:t>
      </w:r>
      <w:hyperlink r:id="rId12816">
        <w:r>
          <w:rPr>
            <w:color w:val="0000EE"/>
            <w:u w:val="single"/>
          </w:rPr>
          <w:t>7.1–27</w:t>
        </w:r>
      </w:hyperlink>
      <w:r>
        <w:t>)</w:t>
      </w:r>
    </w:p>
    <w:p>
      <w:r/>
      <w:r>
        <w:t xml:space="preserve">Ce chapitre offre une illustration frappante des ruses d'une prostituée. Les plaisirs qu'elle propose paraissent séduisants, renforcés par l'élément de risque, mais en réalité, l'aventure de la nuit se révèle invariablement être le chemin vers l'enfer (v. </w:t>
      </w:r>
      <w:hyperlink r:id="rId12817">
        <w:r>
          <w:rPr>
            <w:color w:val="0000EE"/>
            <w:u w:val="single"/>
          </w:rPr>
          <w:t>27</w:t>
        </w:r>
      </w:hyperlink>
      <w:r>
        <w:t>).</w:t>
      </w:r>
    </w:p>
    <w:p>
      <w:r/>
      <w:r>
        <w:t>Leçon 13 : L'Appel de la sagesse (</w:t>
      </w:r>
      <w:hyperlink r:id="rId12772">
        <w:r>
          <w:rPr>
            <w:color w:val="0000EE"/>
            <w:u w:val="single"/>
          </w:rPr>
          <w:t>8.1–9.18</w:t>
        </w:r>
      </w:hyperlink>
      <w:r>
        <w:t>)</w:t>
      </w:r>
    </w:p>
    <w:p>
      <w:r/>
      <w:r>
        <w:t xml:space="preserve">En contraste avec la séductrice mortelle à la langue douce du chapitre </w:t>
      </w:r>
      <w:hyperlink r:id="rId12816">
        <w:r>
          <w:rPr>
            <w:color w:val="0000EE"/>
            <w:u w:val="single"/>
          </w:rPr>
          <w:t>7</w:t>
        </w:r>
      </w:hyperlink>
      <w:r>
        <w:t xml:space="preserve"> et la prostituée effrontée et bruyante de </w:t>
      </w:r>
      <w:hyperlink r:id="rId12818">
        <w:r>
          <w:rPr>
            <w:color w:val="0000EE"/>
            <w:u w:val="single"/>
          </w:rPr>
          <w:t>9.13–18</w:t>
        </w:r>
      </w:hyperlink>
      <w:r>
        <w:t xml:space="preserve">, il y a deux images complémentaires de la Sagesse. La première, dans </w:t>
      </w:r>
      <w:hyperlink r:id="rId5737">
        <w:r>
          <w:rPr>
            <w:color w:val="0000EE"/>
            <w:u w:val="single"/>
          </w:rPr>
          <w:t>8.1–36</w:t>
        </w:r>
      </w:hyperlink>
      <w:r>
        <w:t xml:space="preserve">, est l'un des exemples les plus remarquables de personnification dans l'AT. La Sagesse ne cherche pas la ruine d'un seul mais le bien-être de tous (v. </w:t>
      </w:r>
      <w:hyperlink r:id="rId12819">
        <w:r>
          <w:rPr>
            <w:color w:val="0000EE"/>
            <w:u w:val="single"/>
          </w:rPr>
          <w:t>1–5</w:t>
        </w:r>
      </w:hyperlink>
      <w:r>
        <w:t xml:space="preserve">). La sagesse et l'intégrité, la conduite juste et la franchise sont dépeintes comme des entités inséparables (v. </w:t>
      </w:r>
      <w:hyperlink r:id="rId12820">
        <w:r>
          <w:rPr>
            <w:color w:val="0000EE"/>
            <w:u w:val="single"/>
          </w:rPr>
          <w:t>6–13</w:t>
        </w:r>
      </w:hyperlink>
      <w:r>
        <w:t xml:space="preserve">). Cependant, il reste un accent sur les bénédictions qui résultent de la quête de la sagesse (v. </w:t>
      </w:r>
      <w:hyperlink r:id="rId12821">
        <w:r>
          <w:rPr>
            <w:color w:val="0000EE"/>
            <w:u w:val="single"/>
          </w:rPr>
          <w:t>14–21</w:t>
        </w:r>
      </w:hyperlink>
      <w:r>
        <w:t xml:space="preserve">). Les rois, les juges et les dirigeants dépendent d'elle, et le succès du genre le plus désirable est le don qu'elle offre à ses adeptes. Les versets </w:t>
      </w:r>
      <w:hyperlink r:id="rId12822">
        <w:r>
          <w:rPr>
            <w:color w:val="0000EE"/>
            <w:u w:val="single"/>
          </w:rPr>
          <w:t>22–31</w:t>
        </w:r>
      </w:hyperlink>
      <w:r>
        <w:t xml:space="preserve"> sont pratiquement une explication théologique de la prééminence de la Sagesse, montrant son association étroite avec l'activité créatrice de Dieu.</w:t>
      </w:r>
    </w:p>
    <w:p>
      <w:r/>
      <w:r>
        <w:t xml:space="preserve">Il est compréhensible que de nombreux chrétiens aient vu dans ces versets une anticipation du Christ lui-même. Le Nouveau Testament (NT) considère que Christ est la réponse à deux des questions religieuses les plus vitales : comment Dieu s'approche-t-il de l'humanité et comment a-t-il créé le monde ? Voici la réponse : par la Sagesse. La connexion peut être poursuivie dans la section suivante (v. </w:t>
      </w:r>
      <w:hyperlink r:id="rId12823">
        <w:r>
          <w:rPr>
            <w:color w:val="0000EE"/>
            <w:u w:val="single"/>
          </w:rPr>
          <w:t>33–36</w:t>
        </w:r>
      </w:hyperlink>
      <w:r>
        <w:t>), où la Sagesse, à l'instar de Christ dans le NT, est vue comme absolument essentielle et désirable.</w:t>
      </w:r>
    </w:p>
    <w:p>
      <w:r/>
      <w:r>
        <w:t>Dans la deuxième image de la Sagesse (</w:t>
      </w:r>
      <w:hyperlink r:id="rId12824">
        <w:r>
          <w:rPr>
            <w:color w:val="0000EE"/>
            <w:u w:val="single"/>
          </w:rPr>
          <w:t>9.1–6</w:t>
        </w:r>
      </w:hyperlink>
      <w:r>
        <w:t xml:space="preserve">), elle est présentée comme une hôtesse gracieuse et généreuse, offrant un banquet qui mène à la vie (voir la parabole de Jésus dans </w:t>
      </w:r>
      <w:hyperlink r:id="rId1633">
        <w:r>
          <w:rPr>
            <w:color w:val="0000EE"/>
            <w:u w:val="single"/>
          </w:rPr>
          <w:t>Lc 14.15–24</w:t>
        </w:r>
      </w:hyperlink>
      <w:r>
        <w:t xml:space="preserve">). Un autre contraste avec la femme immorale dans </w:t>
      </w:r>
      <w:hyperlink r:id="rId12818">
        <w:r>
          <w:rPr>
            <w:color w:val="0000EE"/>
            <w:u w:val="single"/>
          </w:rPr>
          <w:t>Proverbes 9.13–18</w:t>
        </w:r>
      </w:hyperlink>
      <w:r>
        <w:t xml:space="preserve"> souligne, de manière marquante, que les invités de cette dernière finissent en enfer. Une série de proverbes sur le contraste entre le sage et le fou (v. </w:t>
      </w:r>
      <w:hyperlink r:id="rId12825">
        <w:r>
          <w:rPr>
            <w:color w:val="0000EE"/>
            <w:u w:val="single"/>
          </w:rPr>
          <w:t>7–12</w:t>
        </w:r>
      </w:hyperlink>
      <w:r>
        <w:t xml:space="preserve">) se situe entre les deux images. Ils démontrent à quel point l'homme sage est réceptif à l'enseignement, par opposition au fou. Une fois de plus, le véritable fondement de la vie est clairement défini (v. </w:t>
      </w:r>
      <w:hyperlink r:id="rId12760">
        <w:r>
          <w:rPr>
            <w:color w:val="0000EE"/>
            <w:u w:val="single"/>
          </w:rPr>
          <w:t>10</w:t>
        </w:r>
      </w:hyperlink>
      <w:r>
        <w:t>).</w:t>
      </w:r>
    </w:p>
    <w:p>
      <w:pPr>
        <w:pStyle w:val="Heading4"/>
      </w:pPr>
      <w:r>
        <w:t xml:space="preserve">Les Proverbes collectés de Salomon : </w:t>
      </w:r>
      <w:hyperlink r:id="rId12732">
        <w:r>
          <w:rPr>
            <w:color w:val="0000EE"/>
            <w:u w:val="single"/>
          </w:rPr>
          <w:t>10.1–22.16</w:t>
        </w:r>
      </w:hyperlink>
    </w:p>
    <w:p>
      <w:r/>
      <w:r>
        <w:t>Les 375 proverbes de cette section ont probablement été sélectionnés parmi les trois mille attribués à Salomon (</w:t>
      </w:r>
      <w:hyperlink r:id="rId12752">
        <w:r>
          <w:rPr>
            <w:color w:val="0000EE"/>
            <w:u w:val="single"/>
          </w:rPr>
          <w:t>1R 4.32</w:t>
        </w:r>
      </w:hyperlink>
      <w:r>
        <w:t xml:space="preserve">). Chaque verset est une unité, avec un contraste ou une comparaison entre ses deux lignes. Il y a des répétitions compréhensibles (voir par exemple </w:t>
      </w:r>
      <w:hyperlink r:id="rId12826">
        <w:r>
          <w:rPr>
            <w:color w:val="0000EE"/>
            <w:u w:val="single"/>
          </w:rPr>
          <w:t>Pr 14.12</w:t>
        </w:r>
      </w:hyperlink>
      <w:r>
        <w:t xml:space="preserve"> ; </w:t>
      </w:r>
      <w:hyperlink r:id="rId12827">
        <w:r>
          <w:rPr>
            <w:color w:val="0000EE"/>
            <w:u w:val="single"/>
          </w:rPr>
          <w:t>16.25</w:t>
        </w:r>
      </w:hyperlink>
      <w:r>
        <w:t xml:space="preserve">), presque inévitables dans une grande collection de ce genre. Le bon sens des dictons proverbiaux, dont chacun a été prouvé par l'expérience, est évident, mais il faut tenir compte de niveaux variés ; certains paraissent plutôt banals et proches de la sagesse du monde. Cependant, pris dans leur ensemble, ils fournissent un guide pratique, sanctionné par Dieu, pour la vie quotidienne. Une fois de plus, il convient de souligner que la vie religieuse, basée sur la loi et la relation d'alliance, est présumée. Dieu est profondément concerné par les moindres détails de la vie, et les questions religieuses ne sont pas entièrement contournées (voir par exemple </w:t>
      </w:r>
      <w:hyperlink r:id="rId12828">
        <w:r>
          <w:rPr>
            <w:color w:val="0000EE"/>
            <w:u w:val="single"/>
          </w:rPr>
          <w:t>10.27–29</w:t>
        </w:r>
      </w:hyperlink>
      <w:r>
        <w:t xml:space="preserve"> ; </w:t>
      </w:r>
      <w:hyperlink r:id="rId2238">
        <w:r>
          <w:rPr>
            <w:color w:val="0000EE"/>
            <w:u w:val="single"/>
          </w:rPr>
          <w:t>14.27</w:t>
        </w:r>
      </w:hyperlink>
      <w:r>
        <w:t xml:space="preserve"> ; </w:t>
      </w:r>
      <w:hyperlink r:id="rId12829">
        <w:r>
          <w:rPr>
            <w:color w:val="0000EE"/>
            <w:u w:val="single"/>
          </w:rPr>
          <w:t>15.16, 33</w:t>
        </w:r>
      </w:hyperlink>
      <w:r>
        <w:t xml:space="preserve"> ; </w:t>
      </w:r>
      <w:hyperlink r:id="rId12830">
        <w:r>
          <w:rPr>
            <w:color w:val="0000EE"/>
            <w:u w:val="single"/>
          </w:rPr>
          <w:t>18.10</w:t>
        </w:r>
      </w:hyperlink>
      <w:r>
        <w:t>). Cette section de Proverbes ne peut pas être lue rapidement ; chaque verset exige une pause pour permettre à son message de pénétrer l'esprit. Puisqu'il n'y a pas d'arrangement systématique de ces proverbes, la manière la plus utile d'aborder cette section peut être par une considération des thèmes principaux. L'étudiant obtiendra un gain précieux à méditer bout à bout les références à chaque sujet :</w:t>
      </w:r>
    </w:p>
    <w:p>
      <w:r/>
      <w:r>
        <w:t>1. Les récompenses du juste et la fin de l'impie (</w:t>
      </w:r>
      <w:hyperlink r:id="rId12831">
        <w:r>
          <w:rPr>
            <w:color w:val="0000EE"/>
            <w:u w:val="single"/>
          </w:rPr>
          <w:t>10.2, 7, 16, 27–30</w:t>
        </w:r>
      </w:hyperlink>
      <w:r>
        <w:t xml:space="preserve"> ; </w:t>
      </w:r>
      <w:hyperlink r:id="rId12832">
        <w:r>
          <w:rPr>
            <w:color w:val="0000EE"/>
            <w:u w:val="single"/>
          </w:rPr>
          <w:t>11.3–9</w:t>
        </w:r>
      </w:hyperlink>
      <w:r>
        <w:t>).</w:t>
      </w:r>
    </w:p>
    <w:p>
      <w:r/>
      <w:r>
        <w:t>2. L'insensé. Les trois mots hébreux traduits par « insensé » peuvent tous signifier une rébellion obstinée ainsi qu'un manque d'intellect. « Rebelle » sera donc souvent une traduction appropriée. L'insensé cause du chagrin à ses parents et représente une menace pour la société. Son esprit est complètement fermé à la raison et ses paroles incontrôlées causent des dommages incalculables. Dans son cas, la correction est inutile ; il est sans espoir.</w:t>
      </w:r>
    </w:p>
    <w:p>
      <w:r/>
      <w:r>
        <w:t>3. Le simple. Ce thème s'adresse au grand groupe de personnes non engagées, ni insensées ni sages, mais qui sont ouverts à la douce persuasion des enseignants de sagesse. Les proverbes qui élaborent ce thème font appel à ce groupe plutôt qu'aux sages et aux prudents, qui ont déjà « décroché leur diplôme ».</w:t>
      </w:r>
    </w:p>
    <w:p>
      <w:r/>
      <w:r>
        <w:t xml:space="preserve">4. Le paresseux. Cette personne est souvent contrastée avec le travailleur (voir par exemple </w:t>
      </w:r>
      <w:hyperlink r:id="rId12833">
        <w:r>
          <w:rPr>
            <w:color w:val="0000EE"/>
            <w:u w:val="single"/>
          </w:rPr>
          <w:t>10.4–5</w:t>
        </w:r>
      </w:hyperlink>
      <w:r>
        <w:t>) et est impitoyablement satirisée pour son apathie et ses excuses pathétiques.</w:t>
      </w:r>
    </w:p>
    <w:p>
      <w:r/>
      <w:r>
        <w:t>5. Le pouvoir des mots. Ils peuvent blesser ou guérir (</w:t>
      </w:r>
      <w:hyperlink r:id="rId12834">
        <w:r>
          <w:rPr>
            <w:color w:val="0000EE"/>
            <w:u w:val="single"/>
          </w:rPr>
          <w:t>12.18</w:t>
        </w:r>
      </w:hyperlink>
      <w:r>
        <w:t xml:space="preserve">). L'accent mis sur le discours honnête, par opposition aux mots trompeurs et irréfléchis, est bien illustré tout au long de ce chapitre (voir par exemple </w:t>
      </w:r>
      <w:hyperlink r:id="rId12835">
        <w:r>
          <w:rPr>
            <w:color w:val="0000EE"/>
            <w:u w:val="single"/>
          </w:rPr>
          <w:t>12.6, 13–14, 17–19, 22</w:t>
        </w:r>
      </w:hyperlink>
      <w:r>
        <w:t>).</w:t>
      </w:r>
    </w:p>
    <w:p>
      <w:r/>
      <w:r>
        <w:t xml:space="preserve">6. La sagesse. Le chapitre </w:t>
      </w:r>
      <w:hyperlink r:id="rId12836">
        <w:r>
          <w:rPr>
            <w:color w:val="0000EE"/>
            <w:u w:val="single"/>
          </w:rPr>
          <w:t>13</w:t>
        </w:r>
      </w:hyperlink>
      <w:r>
        <w:t xml:space="preserve"> montre comment celle-ci peut être dérivée des parents (v. </w:t>
      </w:r>
      <w:hyperlink r:id="rId12837">
        <w:r>
          <w:rPr>
            <w:color w:val="0000EE"/>
            <w:u w:val="single"/>
          </w:rPr>
          <w:t>1</w:t>
        </w:r>
      </w:hyperlink>
      <w:r>
        <w:t xml:space="preserve">), des Écritures (v. </w:t>
      </w:r>
      <w:hyperlink r:id="rId12838">
        <w:r>
          <w:rPr>
            <w:color w:val="0000EE"/>
            <w:u w:val="single"/>
          </w:rPr>
          <w:t>13</w:t>
        </w:r>
      </w:hyperlink>
      <w:r>
        <w:t xml:space="preserve">), de la classe des sages (v. </w:t>
      </w:r>
      <w:hyperlink r:id="rId12839">
        <w:r>
          <w:rPr>
            <w:color w:val="0000EE"/>
            <w:u w:val="single"/>
          </w:rPr>
          <w:t>14</w:t>
        </w:r>
      </w:hyperlink>
      <w:r>
        <w:t xml:space="preserve">), et de la bonne compagnie (v. </w:t>
      </w:r>
      <w:hyperlink r:id="rId12840">
        <w:r>
          <w:rPr>
            <w:color w:val="0000EE"/>
            <w:u w:val="single"/>
          </w:rPr>
          <w:t>20</w:t>
        </w:r>
      </w:hyperlink>
      <w:r>
        <w:t>).</w:t>
      </w:r>
    </w:p>
    <w:p>
      <w:r/>
      <w:r>
        <w:t>7. La justice. L'accent mis sur la justice fait écho aux grands prophètes. La corruption en particulier est condamnée (</w:t>
      </w:r>
      <w:hyperlink r:id="rId12841">
        <w:r>
          <w:rPr>
            <w:color w:val="0000EE"/>
            <w:u w:val="single"/>
          </w:rPr>
          <w:t>17.8, 23</w:t>
        </w:r>
      </w:hyperlink>
      <w:r>
        <w:t xml:space="preserve"> ; </w:t>
      </w:r>
      <w:hyperlink r:id="rId12842">
        <w:r>
          <w:rPr>
            <w:color w:val="0000EE"/>
            <w:u w:val="single"/>
          </w:rPr>
          <w:t>18.16</w:t>
        </w:r>
      </w:hyperlink>
      <w:r>
        <w:t>), tout comme les faux témoins (</w:t>
      </w:r>
      <w:hyperlink r:id="rId12843">
        <w:r>
          <w:rPr>
            <w:color w:val="0000EE"/>
            <w:u w:val="single"/>
          </w:rPr>
          <w:t>19.5, 9, 28</w:t>
        </w:r>
      </w:hyperlink>
      <w:r>
        <w:t>), tandis que l'ouverture d'esprit est recommandée (</w:t>
      </w:r>
      <w:hyperlink r:id="rId12844">
        <w:r>
          <w:rPr>
            <w:color w:val="0000EE"/>
            <w:u w:val="single"/>
          </w:rPr>
          <w:t>18.17</w:t>
        </w:r>
      </w:hyperlink>
      <w:r>
        <w:t>).</w:t>
      </w:r>
    </w:p>
    <w:p>
      <w:r/>
      <w:r>
        <w:t xml:space="preserve">8. L'amitié. Les « amis » des beaux jours sont souvent mentionnés (voir par exemple </w:t>
      </w:r>
      <w:hyperlink r:id="rId12845">
        <w:r>
          <w:rPr>
            <w:color w:val="0000EE"/>
            <w:u w:val="single"/>
          </w:rPr>
          <w:t>19.4–7</w:t>
        </w:r>
      </w:hyperlink>
      <w:r>
        <w:t>) et contrastés avec le véritable ami (</w:t>
      </w:r>
      <w:hyperlink r:id="rId5781">
        <w:r>
          <w:rPr>
            <w:color w:val="0000EE"/>
            <w:u w:val="single"/>
          </w:rPr>
          <w:t>17.17</w:t>
        </w:r>
      </w:hyperlink>
      <w:r>
        <w:t xml:space="preserve"> ; </w:t>
      </w:r>
      <w:hyperlink r:id="rId12846">
        <w:r>
          <w:rPr>
            <w:color w:val="0000EE"/>
            <w:u w:val="single"/>
          </w:rPr>
          <w:t>18.24</w:t>
        </w:r>
      </w:hyperlink>
      <w:r>
        <w:t>).</w:t>
      </w:r>
    </w:p>
    <w:p>
      <w:r/>
      <w:r>
        <w:t xml:space="preserve">9. La richesse et la pauvreté. Ces conditions sont abordées de diverses manières, mais toujours avec un accent sur la prospérité morale et spirituelle plutôt que simplement matérielle (voir par exemple </w:t>
      </w:r>
      <w:hyperlink r:id="rId12847">
        <w:r>
          <w:rPr>
            <w:color w:val="0000EE"/>
            <w:u w:val="single"/>
          </w:rPr>
          <w:t>21.6</w:t>
        </w:r>
      </w:hyperlink>
      <w:r>
        <w:t xml:space="preserve"> ; </w:t>
      </w:r>
      <w:hyperlink r:id="rId12848">
        <w:r>
          <w:rPr>
            <w:color w:val="0000EE"/>
            <w:u w:val="single"/>
          </w:rPr>
          <w:t>22.1, 4</w:t>
        </w:r>
      </w:hyperlink>
      <w:r>
        <w:t>). Le soin des pauvres est fréquemment exigé (</w:t>
      </w:r>
      <w:hyperlink r:id="rId12849">
        <w:r>
          <w:rPr>
            <w:color w:val="0000EE"/>
            <w:u w:val="single"/>
          </w:rPr>
          <w:t>21.13</w:t>
        </w:r>
      </w:hyperlink>
      <w:r>
        <w:t>) et doit être accompagné des motivations les plus élevées (</w:t>
      </w:r>
      <w:hyperlink r:id="rId12850">
        <w:r>
          <w:rPr>
            <w:color w:val="0000EE"/>
            <w:u w:val="single"/>
          </w:rPr>
          <w:t>22.2</w:t>
        </w:r>
      </w:hyperlink>
      <w:r>
        <w:t>).</w:t>
      </w:r>
    </w:p>
    <w:p>
      <w:r/>
      <w:r>
        <w:t>10. La vie familiale. Il y a une image attrayante d'une famille idéale, avec un mari travailleur, une épouse compréhensive qui est une bénédiction pour lui (</w:t>
      </w:r>
      <w:hyperlink r:id="rId12851">
        <w:r>
          <w:rPr>
            <w:color w:val="0000EE"/>
            <w:u w:val="single"/>
          </w:rPr>
          <w:t>12.4</w:t>
        </w:r>
      </w:hyperlink>
      <w:r>
        <w:t xml:space="preserve"> ; </w:t>
      </w:r>
      <w:hyperlink r:id="rId12852">
        <w:r>
          <w:rPr>
            <w:color w:val="0000EE"/>
            <w:u w:val="single"/>
          </w:rPr>
          <w:t>14.1</w:t>
        </w:r>
      </w:hyperlink>
      <w:r>
        <w:t xml:space="preserve"> ; </w:t>
      </w:r>
      <w:hyperlink r:id="rId537">
        <w:r>
          <w:rPr>
            <w:color w:val="0000EE"/>
            <w:u w:val="single"/>
          </w:rPr>
          <w:t>18.22</w:t>
        </w:r>
      </w:hyperlink>
      <w:r>
        <w:t xml:space="preserve"> ; </w:t>
      </w:r>
      <w:hyperlink r:id="rId12853">
        <w:r>
          <w:rPr>
            <w:color w:val="0000EE"/>
            <w:u w:val="single"/>
          </w:rPr>
          <w:t>19.14</w:t>
        </w:r>
      </w:hyperlink>
      <w:r>
        <w:t>) et des enfants obéissants, disciplinés si nécessaire par la punition (</w:t>
      </w:r>
      <w:hyperlink r:id="rId4217">
        <w:r>
          <w:rPr>
            <w:color w:val="0000EE"/>
            <w:u w:val="single"/>
          </w:rPr>
          <w:t>13.24</w:t>
        </w:r>
      </w:hyperlink>
      <w:r>
        <w:t xml:space="preserve"> ; </w:t>
      </w:r>
      <w:hyperlink r:id="rId4218">
        <w:r>
          <w:rPr>
            <w:color w:val="0000EE"/>
            <w:u w:val="single"/>
          </w:rPr>
          <w:t>19.18</w:t>
        </w:r>
      </w:hyperlink>
      <w:r>
        <w:t xml:space="preserve"> ; </w:t>
      </w:r>
      <w:hyperlink r:id="rId12854">
        <w:r>
          <w:rPr>
            <w:color w:val="0000EE"/>
            <w:u w:val="single"/>
          </w:rPr>
          <w:t>23.13–14</w:t>
        </w:r>
      </w:hyperlink>
      <w:r>
        <w:t>).</w:t>
      </w:r>
    </w:p>
    <w:p>
      <w:pPr>
        <w:pStyle w:val="Heading4"/>
      </w:pPr>
      <w:r>
        <w:t xml:space="preserve">La Section finale : plus de sages Conseils : </w:t>
      </w:r>
      <w:hyperlink r:id="rId12855">
        <w:r>
          <w:rPr>
            <w:color w:val="0000EE"/>
            <w:u w:val="single"/>
          </w:rPr>
          <w:t>22.17–31.31</w:t>
        </w:r>
      </w:hyperlink>
    </w:p>
    <w:p>
      <w:r/>
      <w:r>
        <w:t>Bien que les sujets abordés et la perspective générale demeurent inchangés, les proverbes de cette section sont généralement plus longs et il y a une volonté évidente de regrouper les proverbes traitant de sujets particuliers, par exemple, les dangers de la boisson forte (</w:t>
      </w:r>
      <w:hyperlink r:id="rId12379">
        <w:r>
          <w:rPr>
            <w:color w:val="0000EE"/>
            <w:u w:val="single"/>
          </w:rPr>
          <w:t>23.29–35</w:t>
        </w:r>
      </w:hyperlink>
      <w:r>
        <w:t>). Le motif religieux de l'éditeur de cette section est évident : il écrit que l'on se doit de faire confiance au Seigneur (</w:t>
      </w:r>
      <w:hyperlink r:id="rId12856">
        <w:r>
          <w:rPr>
            <w:color w:val="0000EE"/>
            <w:u w:val="single"/>
          </w:rPr>
          <w:t>22.19</w:t>
        </w:r>
      </w:hyperlink>
      <w:r>
        <w:t>).</w:t>
      </w:r>
    </w:p>
    <w:p>
      <w:r/>
      <w:r>
        <w:t xml:space="preserve">Proverbes supplémentaires : </w:t>
      </w:r>
      <w:hyperlink r:id="rId12737">
        <w:r>
          <w:rPr>
            <w:color w:val="0000EE"/>
            <w:u w:val="single"/>
          </w:rPr>
          <w:t>22.17–24.34</w:t>
        </w:r>
      </w:hyperlink>
    </w:p>
    <w:p>
      <w:r/>
      <w:r>
        <w:t>Cette section peut être considérée comme un complément à la section précédente, qui traite plus en détail des sujets de la justice, de la politique commerciale avisée, de la calomnie et de la paresse. Le proverbe humoristique mais incisif sur le champ de l'homme paresseux est le plus long du livre.</w:t>
      </w:r>
    </w:p>
    <w:p>
      <w:r/>
      <w:r>
        <w:t xml:space="preserve">Proverbes supplémentaires de Salomon : </w:t>
      </w:r>
      <w:hyperlink r:id="rId12741">
        <w:r>
          <w:rPr>
            <w:color w:val="0000EE"/>
            <w:u w:val="single"/>
          </w:rPr>
          <w:t>25.1–29.27</w:t>
        </w:r>
      </w:hyperlink>
    </w:p>
    <w:p>
      <w:r/>
      <w:r>
        <w:t>Parmi les nombreux proverbes de Salomon non inclus dans la collection principale (</w:t>
      </w:r>
      <w:hyperlink r:id="rId12732">
        <w:r>
          <w:rPr>
            <w:color w:val="0000EE"/>
            <w:u w:val="single"/>
          </w:rPr>
          <w:t>10.1–22.16</w:t>
        </w:r>
      </w:hyperlink>
      <w:r>
        <w:t>), les adjoints d'Ézéchias ont sélectionné et édité un autre groupe de proverbes de Salomon. Encore une fois, il y a des preuves d'une volonté de regrouper des proverbes liés : par exemple, la place des rois (</w:t>
      </w:r>
      <w:hyperlink r:id="rId12743">
        <w:r>
          <w:rPr>
            <w:color w:val="0000EE"/>
            <w:u w:val="single"/>
          </w:rPr>
          <w:t>25.2–7</w:t>
        </w:r>
      </w:hyperlink>
      <w:r>
        <w:t xml:space="preserve">) ; les litiges imprudents (v. </w:t>
      </w:r>
      <w:hyperlink r:id="rId12857">
        <w:r>
          <w:rPr>
            <w:color w:val="0000EE"/>
            <w:u w:val="single"/>
          </w:rPr>
          <w:t>8–10</w:t>
        </w:r>
      </w:hyperlink>
      <w:r>
        <w:t>) ; le fou (</w:t>
      </w:r>
      <w:hyperlink r:id="rId12858">
        <w:r>
          <w:rPr>
            <w:color w:val="0000EE"/>
            <w:u w:val="single"/>
          </w:rPr>
          <w:t>26.1–12</w:t>
        </w:r>
      </w:hyperlink>
      <w:r>
        <w:t xml:space="preserve">) ; la paresse (v. </w:t>
      </w:r>
      <w:hyperlink r:id="rId12744">
        <w:r>
          <w:rPr>
            <w:color w:val="0000EE"/>
            <w:u w:val="single"/>
          </w:rPr>
          <w:t>13–16</w:t>
        </w:r>
      </w:hyperlink>
      <w:r>
        <w:t xml:space="preserve">) ; et le fauteur de troubles (v. </w:t>
      </w:r>
      <w:hyperlink r:id="rId12745">
        <w:r>
          <w:rPr>
            <w:color w:val="0000EE"/>
            <w:u w:val="single"/>
          </w:rPr>
          <w:t>17–27</w:t>
        </w:r>
      </w:hyperlink>
      <w:r>
        <w:t>).</w:t>
      </w:r>
    </w:p>
    <w:p>
      <w:r/>
      <w:r>
        <w:t xml:space="preserve">La sagesse d'Agur : </w:t>
      </w:r>
      <w:hyperlink r:id="rId501">
        <w:r>
          <w:rPr>
            <w:color w:val="0000EE"/>
            <w:u w:val="single"/>
          </w:rPr>
          <w:t>30.1–33</w:t>
        </w:r>
      </w:hyperlink>
    </w:p>
    <w:p>
      <w:r/>
      <w:r>
        <w:t xml:space="preserve">L'humilité du sage en présence d'un Dieu omniscient se manifeste clairement dans l'introduction d'Agur (v. </w:t>
      </w:r>
      <w:hyperlink r:id="rId12859">
        <w:r>
          <w:rPr>
            <w:color w:val="0000EE"/>
            <w:u w:val="single"/>
          </w:rPr>
          <w:t>1–4</w:t>
        </w:r>
      </w:hyperlink>
      <w:r>
        <w:t xml:space="preserve">), un passage parallèle à </w:t>
      </w:r>
      <w:hyperlink r:id="rId12860">
        <w:r>
          <w:rPr>
            <w:color w:val="0000EE"/>
            <w:u w:val="single"/>
          </w:rPr>
          <w:t>Job 38–39</w:t>
        </w:r>
      </w:hyperlink>
      <w:r>
        <w:t>. Sa méthode d'enseignement consistait apparemment à confronter ses élèves à un certain nombre d'exemples sur un point de débat, la méthode des « deux … trois … quatre », indiquant que le catalogue n'était pas complet et les encourageant à ajouter d'autres illustrations tirées de leur propre expérience. Agur avait manifestement une expérience personnelle et attentive de la vie à tous les niveaux.</w:t>
      </w:r>
    </w:p>
    <w:p>
      <w:r/>
      <w:r>
        <w:t xml:space="preserve">La sagesse de Lemuel : </w:t>
      </w:r>
      <w:hyperlink r:id="rId12747">
        <w:r>
          <w:rPr>
            <w:color w:val="0000EE"/>
            <w:u w:val="single"/>
          </w:rPr>
          <w:t>31.1–9</w:t>
        </w:r>
      </w:hyperlink>
    </w:p>
    <w:p>
      <w:r/>
      <w:r>
        <w:t>Cette section, inspirée par sa mère, aborde à nouveau les relations sexuelles, les dangers de l'alcool et la nécessité de défendre les pauvres et les opprimés. Le nom de Lemuel, signifiant « appartenant à Dieu », nous en dit probablement encore plus sur sa mère.</w:t>
      </w:r>
    </w:p>
    <w:p>
      <w:r/>
      <w:r>
        <w:t xml:space="preserve">La femme idéale : </w:t>
      </w:r>
      <w:hyperlink r:id="rId12365">
        <w:r>
          <w:rPr>
            <w:color w:val="0000EE"/>
            <w:u w:val="single"/>
          </w:rPr>
          <w:t>31.10–31</w:t>
        </w:r>
      </w:hyperlink>
    </w:p>
    <w:p>
      <w:r/>
      <w:r>
        <w:t xml:space="preserve">Chaque vers de ce poème, qui était peut-être anonyme, commence par une lettre successive de l'alphabet hébreu, un procédé qui signifiait souvent la complétude. À la fin de Proverbes (un livre qui ne manque pas de franchise au sujet de la femme immorale), nous avons, en antithèse, une image rafraîchissante d'une femme et mère douée dans tout ce qui touche à la vie domestique, cultivée et aisée. Il fournit de plus un aperçu éclairant de plusieurs facettes de la vie de l'époque. Comme ailleurs dans le livre, sa relation sous-jacente avec Dieu (v. </w:t>
      </w:r>
      <w:hyperlink r:id="rId12861">
        <w:r>
          <w:rPr>
            <w:color w:val="0000EE"/>
            <w:u w:val="single"/>
          </w:rPr>
          <w:t>30</w:t>
        </w:r>
      </w:hyperlink>
      <w:r>
        <w:t xml:space="preserve">) aboutit à des vertus désirables qui incluent la fiabilité (v. </w:t>
      </w:r>
      <w:hyperlink r:id="rId12862">
        <w:r>
          <w:rPr>
            <w:color w:val="0000EE"/>
            <w:u w:val="single"/>
          </w:rPr>
          <w:t>11</w:t>
        </w:r>
      </w:hyperlink>
      <w:r>
        <w:t xml:space="preserve">), une immense application (v. </w:t>
      </w:r>
      <w:hyperlink r:id="rId12863">
        <w:r>
          <w:rPr>
            <w:color w:val="0000EE"/>
            <w:u w:val="single"/>
          </w:rPr>
          <w:t>13–19, 24, 27</w:t>
        </w:r>
      </w:hyperlink>
      <w:r>
        <w:t xml:space="preserve">), la charité (v. </w:t>
      </w:r>
      <w:hyperlink r:id="rId12864">
        <w:r>
          <w:rPr>
            <w:color w:val="0000EE"/>
            <w:u w:val="single"/>
          </w:rPr>
          <w:t>19–20</w:t>
        </w:r>
      </w:hyperlink>
      <w:r>
        <w:t xml:space="preserve">), la prévenance (v. </w:t>
      </w:r>
      <w:hyperlink r:id="rId12865">
        <w:r>
          <w:rPr>
            <w:color w:val="0000EE"/>
            <w:u w:val="single"/>
          </w:rPr>
          <w:t>21, 25</w:t>
        </w:r>
      </w:hyperlink>
      <w:r>
        <w:t xml:space="preserve">), la sagesse et la bonté (v. </w:t>
      </w:r>
      <w:hyperlink r:id="rId12866">
        <w:r>
          <w:rPr>
            <w:color w:val="0000EE"/>
            <w:u w:val="single"/>
          </w:rPr>
          <w:t>26</w:t>
        </w:r>
      </w:hyperlink>
      <w:r>
        <w:t>).</w:t>
      </w:r>
    </w:p>
    <w:p>
      <w:r/>
      <w:r>
        <w:rPr>
          <w:i/>
        </w:rPr>
        <w:t>Voir aussi</w:t>
      </w:r>
      <w:r>
        <w:t xml:space="preserve"> </w:t>
      </w:r>
      <w:r>
        <w:t>Poésie biblique</w:t>
      </w:r>
      <w:r>
        <w:t xml:space="preserve"> ; </w:t>
      </w:r>
      <w:r>
        <w:t>Salomon (personne)</w:t>
      </w:r>
      <w:r>
        <w:t xml:space="preserve"> ; </w:t>
      </w:r>
      <w:r>
        <w:t>Sagesse</w:t>
      </w:r>
      <w:r>
        <w:t xml:space="preserve"> ; </w:t>
      </w:r>
      <w:r>
        <w:t>Littérature de sagesse</w:t>
      </w:r>
      <w:r>
        <w:t>.</w:t>
      </w:r>
      <w:r/>
      <w:r/>
    </w:p>
    <w:p>
      <w:r/>
    </w:p>
    <w:p>
      <w:pPr>
        <w:pStyle w:val="Heading2"/>
      </w:pPr>
      <w:r>
        <w:t>Providence</w:t>
      </w:r>
      <w:r/>
    </w:p>
    <w:p>
      <w:r/>
      <w:r>
        <w:t>La manière dont Dieu aide les êtres humains à travers l'histoire, en particulier ceux qui croient en lui.</w:t>
      </w:r>
    </w:p>
    <w:p>
      <w:pPr>
        <w:pStyle w:val="Heading3"/>
      </w:pPr>
      <w:r>
        <w:t>L'Importance de la Providence</w:t>
      </w:r>
    </w:p>
    <w:p>
      <w:r/>
      <w:r>
        <w:t>Tout au long de l'histoire, de nombreuses personnes ont trouvé du réconfort dans les soins de Dieu. Dieu ne délaisse pas la Terre au sein de l'univers et n'oublie jamais les humains. Il visite, communique, contrôle et intervient dans nos vies, répondant à nos besoins. La providence est une raison d'être reconnaissant.</w:t>
      </w:r>
    </w:p>
    <w:p>
      <w:pPr>
        <w:pStyle w:val="Heading3"/>
      </w:pPr>
      <w:r>
        <w:t>Idées erronées sur la Providence</w:t>
      </w:r>
    </w:p>
    <w:p>
      <w:r/>
      <w:r>
        <w:t>Il existe de nombreuses idées fausses sur la providence, ce qui montre que c'est une question importante. Les erreurs apparaissent dans les conceptions de la providence qui ne sont pas fondées sur les enseignements bibliques, notamment lorsque les gens nient le fait que Dieu est une personne. Tout ce qui reste est une force hostile qui nous domine et contrôle tout. Ces idées fausses contiennent de nombreuses contradictions, y compris :</w:t>
      </w:r>
    </w:p>
    <w:p>
      <w:pPr>
        <w:pStyle w:val="ListNumber"/>
        <w:spacing w:line="240" w:lineRule="auto"/>
        <w:ind w:left="720"/>
      </w:pPr>
      <w:r/>
      <w:r>
        <w:rPr>
          <w:b/>
        </w:rPr>
        <w:t>Le destin</w:t>
      </w:r>
      <w:r>
        <w:t xml:space="preserve"> : Certaines personnes croient que la vie est régie par un destin imprévisible, affirmant des choses telles que « Le destin en a voulu ainsi ».</w:t>
      </w:r>
    </w:p>
    <w:p>
      <w:pPr>
        <w:pStyle w:val="ListNumber"/>
        <w:spacing w:line="240" w:lineRule="auto"/>
        <w:ind w:left="720"/>
      </w:pPr>
      <w:r/>
      <w:r>
        <w:rPr>
          <w:b/>
        </w:rPr>
        <w:t>La chance</w:t>
      </w:r>
      <w:r>
        <w:t xml:space="preserve"> : D'autres parlent de « fortune » ou de « chance ». Mais comme la chance n'est pas une personne, les diseurs de bonne aventure tentent de la comprendre, et certains créent des concepts tels que « dame Chance » (l'idée de la chance comme une femme magique qui contrôle les événements).</w:t>
      </w:r>
    </w:p>
    <w:p>
      <w:pPr>
        <w:pStyle w:val="ListNumber"/>
        <w:spacing w:line="240" w:lineRule="auto"/>
        <w:ind w:left="720"/>
      </w:pPr>
      <w:r/>
      <w:r>
        <w:rPr>
          <w:b/>
        </w:rPr>
        <w:t>La sérendipité</w:t>
      </w:r>
      <w:r>
        <w:t xml:space="preserve"> : Prendre le crédit pour la découverte accidentelle de bonnes choses. Ceci ignore le rôle de Dieu et omet de rendre grâce.</w:t>
      </w:r>
    </w:p>
    <w:p>
      <w:pPr>
        <w:pStyle w:val="ListNumber"/>
        <w:spacing w:line="240" w:lineRule="auto"/>
        <w:ind w:left="720"/>
      </w:pPr>
      <w:r/>
      <w:r>
        <w:rPr>
          <w:b/>
        </w:rPr>
        <w:t>L'histoire</w:t>
      </w:r>
      <w:r>
        <w:t xml:space="preserve"> : Certains groupes ont cru que l'histoire soutenait leurs idées. Par exemple :</w:t>
      </w:r>
    </w:p>
    <w:p>
      <w:pPr>
        <w:pStyle w:val="ListBullet"/>
        <w:spacing w:line="240" w:lineRule="auto"/>
        <w:ind w:left="1440"/>
      </w:pPr>
      <w:r/>
      <w:r>
        <w:t>Les partisans du marxisme (adeptes des idées de Karl Marx) ont dit : « L'histoire est de notre côté ». Ils croyaient que les événements futurs mèneraient inévitablement à un monde gouverné par le communisme.</w:t>
      </w:r>
    </w:p>
    <w:p>
      <w:pPr>
        <w:pStyle w:val="ListBullet"/>
        <w:spacing w:line="240" w:lineRule="auto"/>
        <w:ind w:left="1440"/>
      </w:pPr>
      <w:r/>
      <w:r>
        <w:t>Certains dirigeants américains croyaient en la « destinée manifeste ». Cette idée affirmait que les États-Unis étaient destinés à devenir le pays le plus puissant de leur région, voire du monde.</w:t>
      </w:r>
    </w:p>
    <w:p>
      <w:pPr>
        <w:pStyle w:val="ListNumber"/>
        <w:spacing w:line="240" w:lineRule="auto"/>
        <w:ind w:left="720"/>
      </w:pPr>
      <w:r/>
      <w:r>
        <w:rPr>
          <w:b/>
        </w:rPr>
        <w:t>Le progrès</w:t>
      </w:r>
      <w:r>
        <w:t xml:space="preserve"> : Les avancées dans la science, la technologie, l'éducation et la société amènent certains à voir le progrès comme une grande force. D'une certaine manière, cela assimile la providence au progrès, mais cela retire la gloire à Dieu.</w:t>
      </w:r>
    </w:p>
    <w:p>
      <w:pPr>
        <w:pStyle w:val="ListNumber"/>
        <w:spacing w:line="240" w:lineRule="auto"/>
        <w:ind w:left="720"/>
      </w:pPr>
      <w:r/>
      <w:r>
        <w:rPr>
          <w:b/>
        </w:rPr>
        <w:t>La nature</w:t>
      </w:r>
      <w:r>
        <w:t xml:space="preserve"> : Certaines figures, comme Ralph Waldo Emerson et Henry David Thoreau, attribuaient la providence à la nature. Cependant, la nature est indifférente.</w:t>
      </w:r>
    </w:p>
    <w:p>
      <w:pPr>
        <w:pStyle w:val="ListNumber"/>
        <w:spacing w:line="240" w:lineRule="auto"/>
        <w:ind w:left="720"/>
      </w:pPr>
      <w:r/>
      <w:r>
        <w:rPr>
          <w:b/>
        </w:rPr>
        <w:t>La sélection naturelle</w:t>
      </w:r>
      <w:r>
        <w:t xml:space="preserve"> : Le classique de Charles Darwin sur l'évolution biologique, </w:t>
      </w:r>
      <w:r>
        <w:rPr>
          <w:i/>
        </w:rPr>
        <w:t>L'Origine des espèces</w:t>
      </w:r>
      <w:r>
        <w:t>, a popularisé l'idée de sélection naturelle. Pour beaucoup, la force derrière la « sélection naturelle » est devenue plus importante que la providence divine. L'idée que « les plus aptes survivent » rend la providence inutile.</w:t>
      </w:r>
    </w:p>
    <w:p>
      <w:r/>
      <w:r>
        <w:t>Ces points de vue ne peuvent pas tous être vrais. Ils ne satisfont pas non plus les personnes qui recherchent une providence répondant à leurs besoins uniques. Seule la doctrine chrétienne de la providence le permet.</w:t>
      </w:r>
    </w:p>
    <w:p>
      <w:pPr>
        <w:pStyle w:val="Heading3"/>
      </w:pPr>
      <w:r>
        <w:t>Le Sens biblique de la providence</w:t>
      </w:r>
    </w:p>
    <w:p>
      <w:r/>
      <w:r>
        <w:t>La providence est l'assistance que Dieu offre pour répondre aux besoins des gens.</w:t>
      </w:r>
    </w:p>
    <w:p>
      <w:r/>
      <w:r>
        <w:t xml:space="preserve">L'épreuve de foi d'Abraham en est un exemple classique. Dieu lui a demandé de sacrifier son fils (un présent qu'il ne pouvait se permettre). Abraham a eu du mal avec cette décision, ne voulant perdre ni son fils ni l'amitié de Dieu. Quand Isaac a posé une question à propos du sacrifice, Abraham a répondu : « </w:t>
      </w:r>
      <w:r>
        <w:t>Mon fils, Dieu se pourvoira lui-même de l’agneau pour l’holocauste</w:t>
      </w:r>
      <w:r>
        <w:t xml:space="preserve"> » (</w:t>
      </w:r>
      <w:hyperlink r:id="rId12867">
        <w:r>
          <w:rPr>
            <w:color w:val="0000EE"/>
            <w:u w:val="single"/>
          </w:rPr>
          <w:t>Gn 22.8</w:t>
        </w:r>
      </w:hyperlink>
      <w:r>
        <w:t xml:space="preserve">). Dieu a effectivement fourni un sacrifice approprié : « </w:t>
      </w:r>
      <w:r>
        <w:t>un bélier retenu dans un buisson par les cornes</w:t>
      </w:r>
      <w:r>
        <w:t xml:space="preserve"> » (</w:t>
      </w:r>
      <w:hyperlink r:id="rId12868">
        <w:r>
          <w:rPr>
            <w:color w:val="0000EE"/>
            <w:u w:val="single"/>
          </w:rPr>
          <w:t>Gn 22.13</w:t>
        </w:r>
      </w:hyperlink>
      <w:r>
        <w:t>).</w:t>
      </w:r>
    </w:p>
    <w:p>
      <w:r/>
      <w:r>
        <w:t>Le mot « providence » signifie « voir à l'avance » et agir en conséquence. Pour Abraham, il était clair que Dieu avait placé le bélier à l'endroit du sacrifice pour qu'il l'utilise. « Provision » et « providence » sont liés au mot « pourvoir ». Cependant, la providence a fini par signifier la provision de Dieu.</w:t>
      </w:r>
    </w:p>
    <w:p>
      <w:r/>
      <w:r>
        <w:t xml:space="preserve">Dans le Nouveau Testament, Paul a loué le soutien des Philippiens à son travail missionnaire. Il était convaincu que la providence de Dieu les soutiendrait : « </w:t>
      </w:r>
      <w:r>
        <w:t>Et mon Dieu pourvoira à tous vos besoins selon sa richesse, avec gloire, en Jésus-Christ</w:t>
      </w:r>
      <w:r>
        <w:t xml:space="preserve"> » (</w:t>
      </w:r>
      <w:hyperlink r:id="rId12078">
        <w:r>
          <w:rPr>
            <w:color w:val="0000EE"/>
            <w:u w:val="single"/>
          </w:rPr>
          <w:t>Ph 4.19</w:t>
        </w:r>
      </w:hyperlink>
      <w:r>
        <w:t>). Le sacrifice de Jésus confirme la providence de Dieu. Dieu a demandé le fils d'Abraham mais n'a pas accepté le sacrifice. Deux mille ans plus tard, il a donné son propre fils en sacrifice. C'est dans la nature de Dieu de prévoir les besoins humains et d'y pourvoir.</w:t>
      </w:r>
    </w:p>
    <w:p>
      <w:pPr>
        <w:pStyle w:val="Heading3"/>
      </w:pPr>
      <w:r>
        <w:t>La Providence et la nature de Dieu</w:t>
      </w:r>
    </w:p>
    <w:p>
      <w:r/>
      <w:r>
        <w:t xml:space="preserve">Suite à ses paroles aux Philippiens (« </w:t>
      </w:r>
      <w:r>
        <w:t>sa richesse, avec gloire</w:t>
      </w:r>
      <w:r>
        <w:t xml:space="preserve"> », </w:t>
      </w:r>
      <w:hyperlink r:id="rId12078">
        <w:r>
          <w:rPr>
            <w:color w:val="0000EE"/>
            <w:u w:val="single"/>
          </w:rPr>
          <w:t>Ph 4.19</w:t>
        </w:r>
      </w:hyperlink>
      <w:r>
        <w:t xml:space="preserve">), Paul a écrit une doxologie à « notre Dieu et Père » (v. </w:t>
      </w:r>
      <w:hyperlink r:id="rId10299">
        <w:r>
          <w:rPr>
            <w:color w:val="0000EE"/>
            <w:u w:val="single"/>
          </w:rPr>
          <w:t>20</w:t>
        </w:r>
      </w:hyperlink>
      <w:r>
        <w:t>). La providence est semblable à un Père qui pourvoit et guide. Dieu est notre Père, et sa providence en est l'expression. Les pères offrent à leurs enfants des opportunités sans leur enlever leur liberté. Ils guident leurs enfants en prenant soin d'eux. La providence découle naturellement de la nature paternelle de Dieu.</w:t>
      </w:r>
    </w:p>
    <w:p>
      <w:r/>
      <w:r>
        <w:rPr>
          <w:i/>
        </w:rPr>
        <w:t>Voir aussi</w:t>
      </w:r>
      <w:r>
        <w:t xml:space="preserve"> </w:t>
      </w:r>
      <w:r>
        <w:t>Prédestination</w:t>
      </w:r>
      <w:r>
        <w:t xml:space="preserve"> ; </w:t>
      </w:r>
      <w:r>
        <w:t>Dieu, Être et attributs de</w:t>
      </w:r>
      <w:r>
        <w:t>.</w:t>
      </w:r>
      <w:r/>
      <w:r/>
    </w:p>
    <w:p>
      <w:r/>
    </w:p>
    <w:p>
      <w:pPr>
        <w:pStyle w:val="Heading2"/>
      </w:pPr>
      <w:r>
        <w:t>Psaumes imprécatoires</w:t>
      </w:r>
      <w:r/>
    </w:p>
    <w:p>
      <w:r/>
      <w:r>
        <w:t>Psaumes qui contiennent des malédictions ou des souhaits de malheurs pour leurs ennemis. Ces éléments apparaissent dans 18 psaumes :</w:t>
      </w:r>
    </w:p>
    <w:p>
      <w:pPr>
        <w:pStyle w:val="ListBullet"/>
        <w:spacing w:line="240" w:lineRule="auto"/>
        <w:ind w:left="720"/>
      </w:pPr>
      <w:r/>
      <w:hyperlink r:id="rId10456">
        <w:r>
          <w:rPr>
            <w:color w:val="0000EE"/>
            <w:u w:val="single"/>
          </w:rPr>
          <w:t>Psaume 5</w:t>
        </w:r>
      </w:hyperlink>
    </w:p>
    <w:p>
      <w:pPr>
        <w:pStyle w:val="ListBullet"/>
        <w:spacing w:line="240" w:lineRule="auto"/>
        <w:ind w:left="720"/>
      </w:pPr>
      <w:r/>
      <w:hyperlink r:id="rId10474">
        <w:r>
          <w:rPr>
            <w:color w:val="0000EE"/>
            <w:u w:val="single"/>
          </w:rPr>
          <w:t>Psaume 17</w:t>
        </w:r>
      </w:hyperlink>
    </w:p>
    <w:p>
      <w:pPr>
        <w:pStyle w:val="ListBullet"/>
        <w:spacing w:line="240" w:lineRule="auto"/>
        <w:ind w:left="720"/>
      </w:pPr>
      <w:r/>
      <w:hyperlink r:id="rId12869">
        <w:r>
          <w:rPr>
            <w:color w:val="0000EE"/>
            <w:u w:val="single"/>
          </w:rPr>
          <w:t>Psaume 28</w:t>
        </w:r>
      </w:hyperlink>
    </w:p>
    <w:p>
      <w:pPr>
        <w:pStyle w:val="ListBullet"/>
        <w:spacing w:line="240" w:lineRule="auto"/>
        <w:ind w:left="720"/>
      </w:pPr>
      <w:r/>
      <w:hyperlink r:id="rId12870">
        <w:r>
          <w:rPr>
            <w:color w:val="0000EE"/>
            <w:u w:val="single"/>
          </w:rPr>
          <w:t>Psaume 35</w:t>
        </w:r>
      </w:hyperlink>
    </w:p>
    <w:p>
      <w:pPr>
        <w:pStyle w:val="ListBullet"/>
        <w:spacing w:line="240" w:lineRule="auto"/>
        <w:ind w:left="720"/>
      </w:pPr>
      <w:r/>
      <w:hyperlink r:id="rId2981">
        <w:r>
          <w:rPr>
            <w:color w:val="0000EE"/>
            <w:u w:val="single"/>
          </w:rPr>
          <w:t>Psaume 40</w:t>
        </w:r>
      </w:hyperlink>
    </w:p>
    <w:p>
      <w:pPr>
        <w:pStyle w:val="ListBullet"/>
        <w:spacing w:line="240" w:lineRule="auto"/>
        <w:ind w:left="720"/>
      </w:pPr>
      <w:r/>
      <w:hyperlink r:id="rId12871">
        <w:r>
          <w:rPr>
            <w:color w:val="0000EE"/>
            <w:u w:val="single"/>
          </w:rPr>
          <w:t>Psaume 55</w:t>
        </w:r>
      </w:hyperlink>
    </w:p>
    <w:p>
      <w:pPr>
        <w:pStyle w:val="ListBullet"/>
        <w:spacing w:line="240" w:lineRule="auto"/>
        <w:ind w:left="720"/>
      </w:pPr>
      <w:r/>
      <w:hyperlink r:id="rId12872">
        <w:r>
          <w:rPr>
            <w:color w:val="0000EE"/>
            <w:u w:val="single"/>
          </w:rPr>
          <w:t>Psaume 59</w:t>
        </w:r>
      </w:hyperlink>
    </w:p>
    <w:p>
      <w:pPr>
        <w:pStyle w:val="ListBullet"/>
        <w:spacing w:line="240" w:lineRule="auto"/>
        <w:ind w:left="720"/>
      </w:pPr>
      <w:r/>
      <w:hyperlink r:id="rId10470">
        <w:r>
          <w:rPr>
            <w:color w:val="0000EE"/>
            <w:u w:val="single"/>
          </w:rPr>
          <w:t>Psaume 70</w:t>
        </w:r>
      </w:hyperlink>
    </w:p>
    <w:p>
      <w:pPr>
        <w:pStyle w:val="ListBullet"/>
        <w:spacing w:line="240" w:lineRule="auto"/>
        <w:ind w:left="720"/>
      </w:pPr>
      <w:r/>
      <w:hyperlink r:id="rId12873">
        <w:r>
          <w:rPr>
            <w:color w:val="0000EE"/>
            <w:u w:val="single"/>
          </w:rPr>
          <w:t>Psaume 71</w:t>
        </w:r>
      </w:hyperlink>
    </w:p>
    <w:p>
      <w:pPr>
        <w:pStyle w:val="ListBullet"/>
        <w:spacing w:line="240" w:lineRule="auto"/>
        <w:ind w:left="720"/>
      </w:pPr>
      <w:r/>
      <w:hyperlink r:id="rId10448">
        <w:r>
          <w:rPr>
            <w:color w:val="0000EE"/>
            <w:u w:val="single"/>
          </w:rPr>
          <w:t>Psaume 74</w:t>
        </w:r>
      </w:hyperlink>
    </w:p>
    <w:p>
      <w:pPr>
        <w:pStyle w:val="ListBullet"/>
        <w:spacing w:line="240" w:lineRule="auto"/>
        <w:ind w:left="720"/>
      </w:pPr>
      <w:r/>
      <w:hyperlink r:id="rId12874">
        <w:r>
          <w:rPr>
            <w:color w:val="0000EE"/>
            <w:u w:val="single"/>
          </w:rPr>
          <w:t>Psaume 79</w:t>
        </w:r>
      </w:hyperlink>
    </w:p>
    <w:p>
      <w:pPr>
        <w:pStyle w:val="ListBullet"/>
        <w:spacing w:line="240" w:lineRule="auto"/>
        <w:ind w:left="720"/>
      </w:pPr>
      <w:r/>
      <w:hyperlink r:id="rId10439">
        <w:r>
          <w:rPr>
            <w:color w:val="0000EE"/>
            <w:u w:val="single"/>
          </w:rPr>
          <w:t>Psaume 80</w:t>
        </w:r>
      </w:hyperlink>
    </w:p>
    <w:p>
      <w:pPr>
        <w:pStyle w:val="ListBullet"/>
        <w:spacing w:line="240" w:lineRule="auto"/>
        <w:ind w:left="720"/>
      </w:pPr>
      <w:r/>
      <w:hyperlink r:id="rId10427">
        <w:r>
          <w:rPr>
            <w:color w:val="0000EE"/>
            <w:u w:val="single"/>
          </w:rPr>
          <w:t>Psaume 94</w:t>
        </w:r>
      </w:hyperlink>
    </w:p>
    <w:p>
      <w:pPr>
        <w:pStyle w:val="ListBullet"/>
        <w:spacing w:line="240" w:lineRule="auto"/>
        <w:ind w:left="720"/>
      </w:pPr>
      <w:r/>
      <w:hyperlink r:id="rId12875">
        <w:r>
          <w:rPr>
            <w:color w:val="0000EE"/>
            <w:u w:val="single"/>
          </w:rPr>
          <w:t>Psaume 109</w:t>
        </w:r>
      </w:hyperlink>
    </w:p>
    <w:p>
      <w:pPr>
        <w:pStyle w:val="ListBullet"/>
        <w:spacing w:line="240" w:lineRule="auto"/>
        <w:ind w:left="720"/>
      </w:pPr>
      <w:r/>
      <w:hyperlink r:id="rId12876">
        <w:r>
          <w:rPr>
            <w:color w:val="0000EE"/>
            <w:u w:val="single"/>
          </w:rPr>
          <w:t>Psaume 129</w:t>
        </w:r>
      </w:hyperlink>
    </w:p>
    <w:p>
      <w:pPr>
        <w:pStyle w:val="ListBullet"/>
        <w:spacing w:line="240" w:lineRule="auto"/>
        <w:ind w:left="720"/>
      </w:pPr>
      <w:r/>
      <w:hyperlink r:id="rId10425">
        <w:r>
          <w:rPr>
            <w:color w:val="0000EE"/>
            <w:u w:val="single"/>
          </w:rPr>
          <w:t>Psaume 137</w:t>
        </w:r>
      </w:hyperlink>
    </w:p>
    <w:p>
      <w:pPr>
        <w:pStyle w:val="ListBullet"/>
        <w:spacing w:line="240" w:lineRule="auto"/>
        <w:ind w:left="720"/>
      </w:pPr>
      <w:r/>
      <w:hyperlink r:id="rId12521">
        <w:r>
          <w:rPr>
            <w:color w:val="0000EE"/>
            <w:u w:val="single"/>
          </w:rPr>
          <w:t>Psaume 139</w:t>
        </w:r>
      </w:hyperlink>
    </w:p>
    <w:p>
      <w:pPr>
        <w:pStyle w:val="ListBullet"/>
        <w:spacing w:line="240" w:lineRule="auto"/>
        <w:ind w:left="720"/>
      </w:pPr>
      <w:r/>
      <w:hyperlink r:id="rId11863">
        <w:r>
          <w:rPr>
            <w:color w:val="0000EE"/>
            <w:u w:val="single"/>
          </w:rPr>
          <w:t>Psaume 140</w:t>
        </w:r>
      </w:hyperlink>
    </w:p>
    <w:p>
      <w:r/>
      <w:r>
        <w:t>Ces éléments sont généralement exprimés sous forme de prière ou de souhait pour que le jugement s'abatte sur leurs ennemis.</w:t>
      </w:r>
    </w:p>
    <w:p>
      <w:r/>
      <w:r>
        <w:t xml:space="preserve">Pour le lecteur non-averti, de tels souhaits pourraient sembler contredire le reste des Écritures, surtout l'enseignement de Jésus. </w:t>
      </w:r>
      <w:hyperlink r:id="rId12877">
        <w:r>
          <w:rPr>
            <w:color w:val="0000EE"/>
            <w:u w:val="single"/>
          </w:rPr>
          <w:t>Lévitique 19.17–18</w:t>
        </w:r>
      </w:hyperlink>
      <w:r>
        <w:t xml:space="preserve"> dit : « Tu ne haïras point ton frère dans ton cœur ; tu auras soin de reprendre ton prochain, mais tu ne te chargeras point d’un péché à cause de lui. Tu ne te vengeras point, et tu ne garderas point de rancune contre les enfants de ton peuple. Tu aimeras ton prochain comme toi-même. »</w:t>
      </w:r>
    </w:p>
    <w:p>
      <w:r/>
      <w:r>
        <w:t>Jésus soutient que « prochain » inclut tout le monde (</w:t>
      </w:r>
      <w:hyperlink r:id="rId12878">
        <w:r>
          <w:rPr>
            <w:color w:val="0000EE"/>
            <w:u w:val="single"/>
          </w:rPr>
          <w:t>Lc 10.29–37</w:t>
        </w:r>
      </w:hyperlink>
      <w:r>
        <w:t xml:space="preserve">). Dans le Sermon sur la Montagne, Jésus a dit : « </w:t>
      </w:r>
      <w:r>
        <w:t>Aimez vos ennemis [...] et priez pour ceux qui vous [...] persécutent</w:t>
      </w:r>
      <w:r>
        <w:t xml:space="preserve"> » (</w:t>
      </w:r>
      <w:hyperlink r:id="rId12879">
        <w:r>
          <w:rPr>
            <w:color w:val="0000EE"/>
            <w:u w:val="single"/>
          </w:rPr>
          <w:t>Mt 5.44</w:t>
        </w:r>
      </w:hyperlink>
      <w:r>
        <w:t xml:space="preserve"> ; voir aussi v. </w:t>
      </w:r>
      <w:hyperlink r:id="rId12880">
        <w:r>
          <w:rPr>
            <w:color w:val="0000EE"/>
            <w:u w:val="single"/>
          </w:rPr>
          <w:t>38–48</w:t>
        </w:r>
      </w:hyperlink>
      <w:r>
        <w:t>). Cette idée s'accorde avec l'Ancien Testament, qui nous enseigne à aider nos ennemis (</w:t>
      </w:r>
      <w:hyperlink r:id="rId12881">
        <w:r>
          <w:rPr>
            <w:color w:val="0000EE"/>
            <w:u w:val="single"/>
          </w:rPr>
          <w:t>Pr 25.21–22</w:t>
        </w:r>
      </w:hyperlink>
      <w:r>
        <w:t xml:space="preserve"> ; voir </w:t>
      </w:r>
      <w:hyperlink r:id="rId12882">
        <w:r>
          <w:rPr>
            <w:color w:val="0000EE"/>
            <w:u w:val="single"/>
          </w:rPr>
          <w:t>Rm 12.20</w:t>
        </w:r>
      </w:hyperlink>
      <w:r>
        <w:t>).</w:t>
      </w:r>
    </w:p>
    <w:p>
      <w:r/>
      <w:hyperlink r:id="rId12875">
        <w:r>
          <w:rPr>
            <w:color w:val="0000EE"/>
            <w:u w:val="single"/>
          </w:rPr>
          <w:t>Psaume 109</w:t>
        </w:r>
      </w:hyperlink>
      <w:r>
        <w:t xml:space="preserve"> semble contredire les enseignements de Jésus car il contient de nombreuses malédictions, parmi les plus sévères. Certaines personnes estiment que ce psaume est trop sévère pour figurer dans la Bible. Cependant, ce psaume a été considéré comme à la fois prophétique et messianique par des experts tels que Chrysostome, Jérôme, Augustin et d'autres.</w:t>
      </w:r>
    </w:p>
    <w:p>
      <w:r/>
      <w:r>
        <w:t xml:space="preserve">Thomas Horne écrit les temps passés de ce psaume comme des temps futurs, en en faisant un texte prophétique. Son inspiration était la citation de Pierre du </w:t>
      </w:r>
      <w:hyperlink r:id="rId12883">
        <w:r>
          <w:rPr>
            <w:color w:val="0000EE"/>
            <w:u w:val="single"/>
          </w:rPr>
          <w:t>Psaume 109.8</w:t>
        </w:r>
      </w:hyperlink>
      <w:r>
        <w:t xml:space="preserve"> lors du choix d'un successeur pour Judas (</w:t>
      </w:r>
      <w:hyperlink r:id="rId12884">
        <w:r>
          <w:rPr>
            <w:color w:val="0000EE"/>
            <w:u w:val="single"/>
          </w:rPr>
          <w:t>Ac 1.20</w:t>
        </w:r>
      </w:hyperlink>
      <w:r>
        <w:t>). Le psaume parle des épreuves de Jésus, ce qui le rend prédictif de Christ plutôt qu'imprécatoire.</w:t>
      </w:r>
    </w:p>
    <w:p>
      <w:r/>
      <w:r>
        <w:t xml:space="preserve">Un autre passage troublant est </w:t>
      </w:r>
      <w:hyperlink r:id="rId12885">
        <w:r>
          <w:rPr>
            <w:color w:val="0000EE"/>
            <w:u w:val="single"/>
          </w:rPr>
          <w:t>Psaume 137.8–9</w:t>
        </w:r>
      </w:hyperlink>
      <w:r>
        <w:t>, qui parle avec joie de la mort violente des enfants babyloniens. Horne croyait qu'il s'agissait d'une prédiction de l'invasion de Babylone en 539 av. J.‑C.</w:t>
      </w:r>
    </w:p>
    <w:p>
      <w:r/>
      <w:r>
        <w:t>Ces psaumes appelant à la justice ne sont pas en contradiction avec le reste de la Bible. Jérémie a prié pour la vengeance (</w:t>
      </w:r>
      <w:hyperlink r:id="rId12886">
        <w:r>
          <w:rPr>
            <w:color w:val="0000EE"/>
            <w:u w:val="single"/>
          </w:rPr>
          <w:t>Jr 11.20</w:t>
        </w:r>
      </w:hyperlink>
      <w:r>
        <w:t xml:space="preserve">). Il a été exaucé par le Seigneur (v. </w:t>
      </w:r>
      <w:hyperlink r:id="rId12887">
        <w:r>
          <w:rPr>
            <w:color w:val="0000EE"/>
            <w:u w:val="single"/>
          </w:rPr>
          <w:t>21–23</w:t>
        </w:r>
      </w:hyperlink>
      <w:r>
        <w:t>). Les justes qui recherchent la justice seront exaucés (</w:t>
      </w:r>
      <w:hyperlink r:id="rId11908">
        <w:r>
          <w:rPr>
            <w:color w:val="0000EE"/>
            <w:u w:val="single"/>
          </w:rPr>
          <w:t>Lc 18.1–8</w:t>
        </w:r>
      </w:hyperlink>
      <w:r>
        <w:t xml:space="preserve">). Dans l'Apocalypse, les martyrs s'écrient : « </w:t>
      </w:r>
      <w:r>
        <w:t>Jusques à quand, Maître saint et véritable, tardes-tu à juger, et à tirer vengeance de notre sang sur les habitants de la terre</w:t>
      </w:r>
      <w:r>
        <w:t xml:space="preserve"> ? » (</w:t>
      </w:r>
      <w:hyperlink r:id="rId4050">
        <w:r>
          <w:rPr>
            <w:color w:val="0000EE"/>
            <w:u w:val="single"/>
          </w:rPr>
          <w:t>Ap 6.10</w:t>
        </w:r>
      </w:hyperlink>
      <w:r>
        <w:t>). Leurs cris sont exaucés. David a vaincu ses ennemis, et il voyait ses ennemis comme les ennemis de Dieu. Les ennemis du psalmiste devraient être jugés. Les désirs de l'auteur étaient en accord avec le jugement de Dieu.</w:t>
      </w:r>
    </w:p>
    <w:p>
      <w:r/>
      <w:r>
        <w:rPr>
          <w:i/>
        </w:rPr>
        <w:t>Voir aussi</w:t>
      </w:r>
      <w:r>
        <w:t xml:space="preserve"> </w:t>
      </w:r>
      <w:r>
        <w:t>Jugement</w:t>
      </w:r>
      <w:r>
        <w:t xml:space="preserve"> ; </w:t>
      </w:r>
      <w:r>
        <w:t>Psaumes, Livre de</w:t>
      </w:r>
      <w:r>
        <w:t xml:space="preserve"> ; </w:t>
      </w:r>
      <w:r>
        <w:t>Colère de Dieu</w:t>
      </w:r>
      <w:r>
        <w:t>.</w:t>
      </w:r>
      <w:r/>
      <w:r/>
    </w:p>
    <w:p>
      <w:r/>
    </w:p>
    <w:p>
      <w:pPr>
        <w:pStyle w:val="Heading2"/>
      </w:pPr>
      <w:r>
        <w:t>Psaumes, Livre des</w:t>
      </w:r>
      <w:r/>
    </w:p>
    <w:p>
      <w:r/>
      <w:r>
        <w:t>Poèmes chantés avec un accompagnement musical (à l'origine à la harpe). Le titre alternatif de ce livre, le Psautier, fait référence à une collection de morceaux chantés accompagnés à la harpe. Le titre français, par conséquent, définit de façon large la forme de l'usage de ce livre, tandis que le titre hébreu du livre, « Louanges » ou « Livre des Louanges », en suggère le contenu.</w:t>
      </w:r>
    </w:p>
    <w:p>
      <w:r/>
      <w:r>
        <w:t>Survol</w:t>
      </w:r>
    </w:p>
    <w:p>
      <w:r/>
      <w:r>
        <w:t>•</w:t>
      </w:r>
      <w:r>
        <w:rPr>
          <w:b/>
          <w:u w:val="single"/>
        </w:rPr>
        <w:t xml:space="preserve"> Auteurs</w:t>
      </w:r>
    </w:p>
    <w:p>
      <w:r/>
      <w:r>
        <w:t xml:space="preserve">• </w:t>
      </w:r>
      <w:r>
        <w:rPr>
          <w:b/>
          <w:u w:val="single"/>
        </w:rPr>
        <w:t>Datation</w:t>
      </w:r>
    </w:p>
    <w:p>
      <w:r/>
      <w:r>
        <w:t xml:space="preserve">• </w:t>
      </w:r>
      <w:r>
        <w:rPr>
          <w:b/>
          <w:u w:val="single"/>
        </w:rPr>
        <w:t>Arrière-plan</w:t>
      </w:r>
    </w:p>
    <w:p>
      <w:r/>
      <w:r>
        <w:t xml:space="preserve">• </w:t>
      </w:r>
      <w:r>
        <w:rPr>
          <w:b/>
          <w:u w:val="single"/>
        </w:rPr>
        <w:t>Structure</w:t>
      </w:r>
    </w:p>
    <w:p>
      <w:r/>
      <w:r>
        <w:t xml:space="preserve">• </w:t>
      </w:r>
      <w:r>
        <w:rPr>
          <w:b/>
          <w:u w:val="single"/>
        </w:rPr>
        <w:t>Canonicité</w:t>
      </w:r>
    </w:p>
    <w:p>
      <w:r/>
      <w:r>
        <w:t xml:space="preserve">• </w:t>
      </w:r>
      <w:r>
        <w:rPr>
          <w:b/>
          <w:u w:val="single"/>
        </w:rPr>
        <w:t>Objectif et théologie</w:t>
      </w:r>
    </w:p>
    <w:p>
      <w:r/>
      <w:r>
        <w:t xml:space="preserve">• </w:t>
      </w:r>
      <w:r>
        <w:rPr>
          <w:b/>
          <w:u w:val="single"/>
        </w:rPr>
        <w:t>Contenu</w:t>
      </w:r>
    </w:p>
    <w:p>
      <w:pPr>
        <w:pStyle w:val="Heading3"/>
      </w:pPr>
      <w:r>
        <w:t>Auteurs</w:t>
      </w:r>
    </w:p>
    <w:p>
      <w:pPr>
        <w:pStyle w:val="Heading4"/>
      </w:pPr>
      <w:r>
        <w:t>Les Preuves des Titres</w:t>
      </w:r>
    </w:p>
    <w:p>
      <w:r/>
      <w:r>
        <w:t xml:space="preserve">La Bible hébraïque attribue à David 73 psaumes, contre 84 dans la Septante et 85 dans la Vulgate latine. Koré et Asaph, les chefs des groupes de chantres lévitiques, sont associés respectivement à onze et douze psaumes (bien que </w:t>
      </w:r>
      <w:hyperlink r:id="rId12888">
        <w:r>
          <w:rPr>
            <w:color w:val="0000EE"/>
            <w:u w:val="single"/>
          </w:rPr>
          <w:t>Ps 43</w:t>
        </w:r>
      </w:hyperlink>
      <w:r>
        <w:t xml:space="preserve"> soit presque certainement à attribuer également à Koré). Deux psaumes sont attribués à Salomon (</w:t>
      </w:r>
      <w:hyperlink r:id="rId12889">
        <w:r>
          <w:rPr>
            <w:color w:val="0000EE"/>
            <w:u w:val="single"/>
          </w:rPr>
          <w:t>Ps 72</w:t>
        </w:r>
      </w:hyperlink>
      <w:r>
        <w:t xml:space="preserve"> ; </w:t>
      </w:r>
      <w:hyperlink r:id="rId12890">
        <w:r>
          <w:rPr>
            <w:color w:val="0000EE"/>
            <w:u w:val="single"/>
          </w:rPr>
          <w:t>127</w:t>
        </w:r>
      </w:hyperlink>
      <w:r>
        <w:t>), un à Moïse (</w:t>
      </w:r>
      <w:hyperlink r:id="rId2146">
        <w:r>
          <w:rPr>
            <w:color w:val="0000EE"/>
            <w:u w:val="single"/>
          </w:rPr>
          <w:t>Ps 90</w:t>
        </w:r>
      </w:hyperlink>
      <w:r>
        <w:t>), et un à Éthan (</w:t>
      </w:r>
      <w:hyperlink r:id="rId11583">
        <w:r>
          <w:rPr>
            <w:color w:val="0000EE"/>
            <w:u w:val="single"/>
          </w:rPr>
          <w:t>Ps 89</w:t>
        </w:r>
      </w:hyperlink>
      <w:r>
        <w:t>), tandis qu'Héman partage avec les fils de Koré le crédit pour un psaume (</w:t>
      </w:r>
      <w:hyperlink r:id="rId6402">
        <w:r>
          <w:rPr>
            <w:color w:val="0000EE"/>
            <w:u w:val="single"/>
          </w:rPr>
          <w:t>Ps 88</w:t>
        </w:r>
      </w:hyperlink>
      <w:r>
        <w:t>). Les autres sont parfois appelés « psaumes orphelins » en raison de leur anonymat.</w:t>
      </w:r>
    </w:p>
    <w:p>
      <w:r/>
      <w:r>
        <w:t>La préposition « de » trouvée dans les titres (par exemple, « Psaume de David ») indique généralement l'auteur. Cependant, dans le cas de groupes, tels que les fils d'Asaph ou de Koré, elle peut simplement indiquer que les psaumes étaient inclus dans leur répertoire. Elle puisse également être interprétée comme « à l'usage de ». Par exemple, certains des « Psaumes de David » pourraient être « à l'usage du » roi davidique à certaines occasions. Cette compréhension du mot dans ce contexte est, cependant, peu plausible</w:t>
      </w:r>
    </w:p>
    <w:p>
      <w:pPr>
        <w:pStyle w:val="Heading4"/>
      </w:pPr>
      <w:r>
        <w:t>Références historiques dans les titres</w:t>
      </w:r>
    </w:p>
    <w:p>
      <w:r/>
      <w:r>
        <w:t xml:space="preserve">Beaucoup de titres se réfèrent à des événements spécifiques de la vie de David (par exemple, </w:t>
      </w:r>
      <w:hyperlink r:id="rId12891">
        <w:r>
          <w:rPr>
            <w:color w:val="0000EE"/>
            <w:u w:val="single"/>
          </w:rPr>
          <w:t>Ps 3</w:t>
        </w:r>
      </w:hyperlink>
      <w:r>
        <w:t xml:space="preserve"> ; </w:t>
      </w:r>
      <w:hyperlink r:id="rId1786">
        <w:r>
          <w:rPr>
            <w:color w:val="0000EE"/>
            <w:u w:val="single"/>
          </w:rPr>
          <w:t>7</w:t>
        </w:r>
      </w:hyperlink>
      <w:r>
        <w:t xml:space="preserve"> ; </w:t>
      </w:r>
      <w:hyperlink r:id="rId3604">
        <w:r>
          <w:rPr>
            <w:color w:val="0000EE"/>
            <w:u w:val="single"/>
          </w:rPr>
          <w:t>18</w:t>
        </w:r>
      </w:hyperlink>
      <w:r>
        <w:t xml:space="preserve"> ; </w:t>
      </w:r>
      <w:hyperlink r:id="rId10424">
        <w:r>
          <w:rPr>
            <w:color w:val="0000EE"/>
            <w:u w:val="single"/>
          </w:rPr>
          <w:t>30</w:t>
        </w:r>
      </w:hyperlink>
      <w:r>
        <w:t xml:space="preserve"> ; </w:t>
      </w:r>
      <w:hyperlink r:id="rId2980">
        <w:r>
          <w:rPr>
            <w:color w:val="0000EE"/>
            <w:u w:val="single"/>
          </w:rPr>
          <w:t>34</w:t>
        </w:r>
      </w:hyperlink>
      <w:r>
        <w:t xml:space="preserve"> ; </w:t>
      </w:r>
      <w:hyperlink r:id="rId3607">
        <w:r>
          <w:rPr>
            <w:color w:val="0000EE"/>
            <w:u w:val="single"/>
          </w:rPr>
          <w:t>51</w:t>
        </w:r>
      </w:hyperlink>
      <w:r>
        <w:t xml:space="preserve">). Il y a des preuves que ces titres ont été ajoutés à une date précoce. Lorsque les psaumes ont été traduits en grec, il semble qu'il y ait eu des difficultés à traduire les titres, peut-être en raison de leur ancienneté. Si les références historiques avaient été ajoutées tardivement, il n'y a aucune raison pour laquelle des contextes plausibles n'auraient pas pu être fournis pour tous les psaumes davidiques, au lieu de seulement quelques-uns. De plus, la disparité apparente entre le titre et le contenu réel de certains psaumes (par exemple, </w:t>
      </w:r>
      <w:hyperlink r:id="rId10424">
        <w:r>
          <w:rPr>
            <w:color w:val="0000EE"/>
            <w:u w:val="single"/>
          </w:rPr>
          <w:t>Ps 30</w:t>
        </w:r>
      </w:hyperlink>
      <w:r>
        <w:t xml:space="preserve">) indique que les titres ont été fournis par ceux qui connaissaient une connexion inconnue d'un éditeur ultérieur. Certes, il existe de légères divergences entre les titres et les références dans les livres historiques. Par exemple, dans le </w:t>
      </w:r>
      <w:hyperlink r:id="rId2980">
        <w:r>
          <w:rPr>
            <w:color w:val="0000EE"/>
            <w:u w:val="single"/>
          </w:rPr>
          <w:t>Psaume 34</w:t>
        </w:r>
      </w:hyperlink>
      <w:r>
        <w:t xml:space="preserve">, il est dit que David se comporte comme un fou devant Abimélec, alors que 1 Samuel dit que c'est devant Akisch que cet événement a eu lieu. Cependant, il est probable qu'Abimélec ait été un nom générique pour tous les rois philistins, comme Pharaon pour les rois d'Égypte (voir par exemple </w:t>
      </w:r>
      <w:hyperlink r:id="rId12892">
        <w:r>
          <w:rPr>
            <w:color w:val="0000EE"/>
            <w:u w:val="single"/>
          </w:rPr>
          <w:t>Gn 21.32</w:t>
        </w:r>
      </w:hyperlink>
      <w:r>
        <w:t xml:space="preserve"> ; </w:t>
      </w:r>
      <w:hyperlink r:id="rId505">
        <w:r>
          <w:rPr>
            <w:color w:val="0000EE"/>
            <w:u w:val="single"/>
          </w:rPr>
          <w:t>26.26</w:t>
        </w:r>
      </w:hyperlink>
      <w:r>
        <w:t>).</w:t>
      </w:r>
    </w:p>
    <w:p>
      <w:r/>
      <w:r>
        <w:t>Les auteurs et le contexte historique indiqués dans les titres peuvent donc être considérés comme un guide raisonnablement fiable, sur la base des preuves à notre disposition. Cependant, les difficultés internes, ainsi que la liberté exercée par les traducteurs successifs en grec, syriaque et latin, indiquent qu'ils n'étaient pas considérés comme inspirés.</w:t>
      </w:r>
    </w:p>
    <w:p>
      <w:pPr>
        <w:pStyle w:val="Heading4"/>
      </w:pPr>
      <w:r>
        <w:t>Le Plaidoyer en faveur de la paternité davidique</w:t>
      </w:r>
    </w:p>
    <w:p>
      <w:r/>
      <w:r>
        <w:t>Cinq arguments peuvent être avancés pour soutenir l'attribution de plusieurs psaumes à David :</w:t>
      </w:r>
    </w:p>
    <w:p>
      <w:r/>
      <w:r>
        <w:t>1. L'authenticité de la lamentation de David sur Saül et Jonathan (</w:t>
      </w:r>
      <w:hyperlink r:id="rId12377">
        <w:r>
          <w:rPr>
            <w:color w:val="0000EE"/>
            <w:u w:val="single"/>
          </w:rPr>
          <w:t>2 Sm 1.19–27</w:t>
        </w:r>
      </w:hyperlink>
      <w:r>
        <w:t>) est généralement acceptée. Cela indique un esprit profondément poétique et un tempérament généreux qui nous préparent à accepter comme tels les psaumes attribués à David qui témoignent de caractéristiques similaires. Les « dernières paroles de David » sont un autre poème davidique présent dans les livres historiques (</w:t>
      </w:r>
      <w:hyperlink r:id="rId12893">
        <w:r>
          <w:rPr>
            <w:color w:val="0000EE"/>
            <w:u w:val="single"/>
          </w:rPr>
          <w:t>2 Sm 23.1–7</w:t>
        </w:r>
      </w:hyperlink>
      <w:r>
        <w:t>).</w:t>
      </w:r>
    </w:p>
    <w:p>
      <w:r/>
      <w:r>
        <w:t>2. David avait la réputation d'être un musicien habile à la cour de Saül (</w:t>
      </w:r>
      <w:hyperlink r:id="rId12894">
        <w:r>
          <w:rPr>
            <w:color w:val="0000EE"/>
            <w:u w:val="single"/>
          </w:rPr>
          <w:t>1 Sm 16.16–18</w:t>
        </w:r>
      </w:hyperlink>
      <w:r>
        <w:t>). Amos commente son inventivité en tant que musicien (</w:t>
      </w:r>
      <w:hyperlink r:id="rId12368">
        <w:r>
          <w:rPr>
            <w:color w:val="0000EE"/>
            <w:u w:val="single"/>
          </w:rPr>
          <w:t>Am 6.5</w:t>
        </w:r>
      </w:hyperlink>
      <w:r>
        <w:t xml:space="preserve">), tandis que le Chroniqueur souligne à plusieurs reprises sa contribution à l'aspect musical du culte du temple (voir par exemple </w:t>
      </w:r>
      <w:hyperlink r:id="rId8086">
        <w:r>
          <w:rPr>
            <w:color w:val="0000EE"/>
            <w:u w:val="single"/>
          </w:rPr>
          <w:t>1Ch 6.31</w:t>
        </w:r>
      </w:hyperlink>
      <w:r>
        <w:t xml:space="preserve"> ; </w:t>
      </w:r>
      <w:hyperlink r:id="rId12895">
        <w:r>
          <w:rPr>
            <w:color w:val="0000EE"/>
            <w:u w:val="single"/>
          </w:rPr>
          <w:t>16.7</w:t>
        </w:r>
      </w:hyperlink>
      <w:r>
        <w:t xml:space="preserve"> ; </w:t>
      </w:r>
      <w:hyperlink r:id="rId6150">
        <w:r>
          <w:rPr>
            <w:color w:val="0000EE"/>
            <w:u w:val="single"/>
          </w:rPr>
          <w:t>Esd 3.10</w:t>
        </w:r>
      </w:hyperlink>
      <w:r>
        <w:t>). L'historien juif Josèphe a dit que David composait des chants et des hymnes à Dieu dans des mètres variés. Il est probable que David, en plus d'amasser des matériaux et de préparer les plans pour le temple de Salomon, ait également prêté attention à la louange du temple. Voilà la place qui lui est attribuée dans la tradition juive.</w:t>
      </w:r>
    </w:p>
    <w:p>
      <w:r/>
      <w:r>
        <w:t>3. La monarchie naissante, avec une indépendance fraîchement acquise, un prestige national et une prospérité nouvelle, serait très probablement une période de créativité artistique. David se trouvait au cœur de ce mouvement.</w:t>
      </w:r>
    </w:p>
    <w:p>
      <w:r/>
      <w:r>
        <w:t>4. Il existe une correspondance étroite entre la vie de David telle que décrite dans les livres historiques et certains psaumes, par exemple, son péché concernant Bath-Schéba et Urie (</w:t>
      </w:r>
      <w:hyperlink r:id="rId12896">
        <w:r>
          <w:rPr>
            <w:color w:val="0000EE"/>
            <w:u w:val="single"/>
          </w:rPr>
          <w:t>2S 11.2–12.25</w:t>
        </w:r>
      </w:hyperlink>
      <w:r>
        <w:t xml:space="preserve">) et le </w:t>
      </w:r>
      <w:hyperlink r:id="rId3607">
        <w:r>
          <w:rPr>
            <w:color w:val="0000EE"/>
            <w:u w:val="single"/>
          </w:rPr>
          <w:t>Psaume 51</w:t>
        </w:r>
      </w:hyperlink>
      <w:r>
        <w:t>, comme en témoigne le titre. Les écarts de David et sa repentance sincère, ainsi que les divers aspects de sa carrière (berger, fugitif, guerrier, etc.) s'expriment dans de nombreux psaumes qui lui sont attribués. La correspondance entre le David des psaumes et le David des livres historiques est étroite, notamment dans la démonstration d'une foi forte en Dieu.</w:t>
      </w:r>
    </w:p>
    <w:p>
      <w:r/>
      <w:r>
        <w:t xml:space="preserve">5. Bien que certains experts croient que lorsque « David » est mentionné dans le NT, il s'agit simplement d'une référence au livre des Psaumes et non d'une attribution d'auteur, une interprétation directe du texte du NT renforce l'argument en faveur de l'attribution davidique. David est spécifiquement nommé comme l'auteur de divers psaumes dans </w:t>
      </w:r>
      <w:hyperlink r:id="rId3638">
        <w:r>
          <w:rPr>
            <w:color w:val="0000EE"/>
            <w:u w:val="single"/>
          </w:rPr>
          <w:t>Matthieu 22.41–45</w:t>
        </w:r>
      </w:hyperlink>
      <w:r>
        <w:t xml:space="preserve"> ; </w:t>
      </w:r>
      <w:hyperlink r:id="rId3641">
        <w:r>
          <w:rPr>
            <w:color w:val="0000EE"/>
            <w:u w:val="single"/>
          </w:rPr>
          <w:t>Actes 1.16</w:t>
        </w:r>
      </w:hyperlink>
      <w:r>
        <w:t xml:space="preserve"> ; </w:t>
      </w:r>
      <w:hyperlink r:id="rId12897">
        <w:r>
          <w:rPr>
            <w:color w:val="0000EE"/>
            <w:u w:val="single"/>
          </w:rPr>
          <w:t>2.25, 34</w:t>
        </w:r>
      </w:hyperlink>
      <w:r>
        <w:t xml:space="preserve"> ; </w:t>
      </w:r>
      <w:hyperlink r:id="rId6726">
        <w:r>
          <w:rPr>
            <w:color w:val="0000EE"/>
            <w:u w:val="single"/>
          </w:rPr>
          <w:t>Romains 4.6</w:t>
        </w:r>
      </w:hyperlink>
      <w:r>
        <w:t xml:space="preserve"> ; </w:t>
      </w:r>
      <w:hyperlink r:id="rId12898">
        <w:r>
          <w:rPr>
            <w:color w:val="0000EE"/>
            <w:u w:val="single"/>
          </w:rPr>
          <w:t>11.9</w:t>
        </w:r>
      </w:hyperlink>
      <w:r>
        <w:t>.</w:t>
      </w:r>
    </w:p>
    <w:p>
      <w:r/>
      <w:r>
        <w:t xml:space="preserve">En conclusion, il y a un fort soutien en faveur du fait que le noyau substantiel du Psautier soit davidique. De plus, il est probable que certains des psaumes anonymes soient l'œuvre du « </w:t>
      </w:r>
      <w:r>
        <w:t>chantre agréable d’Israël</w:t>
      </w:r>
      <w:r>
        <w:t xml:space="preserve"> » (</w:t>
      </w:r>
      <w:hyperlink r:id="rId12899">
        <w:r>
          <w:rPr>
            <w:color w:val="0000EE"/>
            <w:u w:val="single"/>
          </w:rPr>
          <w:t>2S 23.1</w:t>
        </w:r>
      </w:hyperlink>
      <w:r>
        <w:t xml:space="preserve">). </w:t>
      </w:r>
      <w:hyperlink r:id="rId4453">
        <w:r>
          <w:rPr>
            <w:color w:val="0000EE"/>
            <w:u w:val="single"/>
          </w:rPr>
          <w:t>Hébreux 4.7</w:t>
        </w:r>
      </w:hyperlink>
      <w:r>
        <w:t xml:space="preserve"> attribue l'un d'eux, le </w:t>
      </w:r>
      <w:hyperlink r:id="rId12900">
        <w:r>
          <w:rPr>
            <w:color w:val="0000EE"/>
            <w:u w:val="single"/>
          </w:rPr>
          <w:t>Psaume 95</w:t>
        </w:r>
      </w:hyperlink>
      <w:r>
        <w:t xml:space="preserve">, à David (voir aussi </w:t>
      </w:r>
      <w:hyperlink r:id="rId3643">
        <w:r>
          <w:rPr>
            <w:color w:val="0000EE"/>
            <w:u w:val="single"/>
          </w:rPr>
          <w:t>Ac 4.25</w:t>
        </w:r>
      </w:hyperlink>
      <w:r>
        <w:t xml:space="preserve"> et </w:t>
      </w:r>
      <w:hyperlink r:id="rId4029">
        <w:r>
          <w:rPr>
            <w:color w:val="0000EE"/>
            <w:u w:val="single"/>
          </w:rPr>
          <w:t>Ps 2</w:t>
        </w:r>
      </w:hyperlink>
      <w:r>
        <w:t>).</w:t>
      </w:r>
    </w:p>
    <w:p>
      <w:pPr>
        <w:pStyle w:val="Heading3"/>
      </w:pPr>
      <w:r>
        <w:t>Datation</w:t>
      </w:r>
    </w:p>
    <w:p>
      <w:r/>
      <w:r>
        <w:t>Une fois que l'attribution de plusieurs psaumes à David est établie, il en découle que ces psaumes datent de l'époque de la vie de David. Ainsi, la plupart des psaumes ont constitué le recueil de cantiques d'Israël pendant la période de la monarchie. D'autres psaumes ont été écrits plus tard. Par exemple, le</w:t>
      </w:r>
      <w:hyperlink r:id="rId10425">
        <w:r>
          <w:rPr>
            <w:color w:val="0000EE"/>
            <w:u w:val="single"/>
          </w:rPr>
          <w:t xml:space="preserve"> Psaume 137</w:t>
        </w:r>
      </w:hyperlink>
      <w:r>
        <w:t xml:space="preserve"> est clairement exilique, et les</w:t>
      </w:r>
      <w:hyperlink r:id="rId12901">
        <w:r>
          <w:rPr>
            <w:color w:val="0000EE"/>
            <w:u w:val="single"/>
          </w:rPr>
          <w:t xml:space="preserve"> Psaumes 107.2–3</w:t>
        </w:r>
      </w:hyperlink>
      <w:r>
        <w:t xml:space="preserve"> et </w:t>
      </w:r>
      <w:hyperlink r:id="rId12902">
        <w:r>
          <w:rPr>
            <w:color w:val="0000EE"/>
            <w:u w:val="single"/>
          </w:rPr>
          <w:t>126.1</w:t>
        </w:r>
      </w:hyperlink>
      <w:r>
        <w:t xml:space="preserve"> font allusion au retour de captivité. Les</w:t>
      </w:r>
      <w:hyperlink r:id="rId12903">
        <w:r>
          <w:rPr>
            <w:color w:val="0000EE"/>
            <w:u w:val="single"/>
          </w:rPr>
          <w:t xml:space="preserve"> Psaumes 44</w:t>
        </w:r>
      </w:hyperlink>
      <w:r>
        <w:t xml:space="preserve"> et </w:t>
      </w:r>
      <w:hyperlink r:id="rId12874">
        <w:r>
          <w:rPr>
            <w:color w:val="0000EE"/>
            <w:u w:val="single"/>
          </w:rPr>
          <w:t>79</w:t>
        </w:r>
      </w:hyperlink>
      <w:r>
        <w:t xml:space="preserve"> sont probablement (mais pas de manière concluante) postexiliques.</w:t>
      </w:r>
    </w:p>
    <w:p>
      <w:r/>
      <w:r>
        <w:t>Le livre des Psaumes a probablement été le produit d'une période de croissance considérable. L'incidence des psaumes davidiques dans la première section indique qu'il a été complété tôt, possiblement vers la fin du règne de David. Le reste du processus de compilation est difficile à reconstruire, mais le fait que les titres, avec leurs allusions aux auteurs, événements et indications musicales, deviennent moins fréquents dans les deux dernières collections (</w:t>
      </w:r>
      <w:hyperlink r:id="rId12904">
        <w:r>
          <w:rPr>
            <w:color w:val="0000EE"/>
            <w:u w:val="single"/>
          </w:rPr>
          <w:t>Ps 90–150</w:t>
        </w:r>
      </w:hyperlink>
      <w:r>
        <w:t>) soutient la probabilité que les collections ont été combinées chronologiquement dans l'ordre où elles se trouvent aujourd'hui. On attribue traditionnellement à Esdras le regroupement final et l'édition du Psautier, une hypothèse qui semble raisonnable à la lumière de sa contribution essentielle à la réorganisation systématique de la vie religieuse nationale. Dans tous les cas, le processus a été complété avant la traduction du Psautier en grec (la Septante) à la fin du IIIe siècle av. J.‑C., puisque l'ordre traditionnel s'y trouve reflété. Un soutien général, mais incomplet, à cette thèse provient également des preuves présentes dans les Manuscrits de la mer Morte. À un certain moment, des dislocations mineures se sont produites. Les</w:t>
      </w:r>
      <w:hyperlink r:id="rId10482">
        <w:r>
          <w:rPr>
            <w:color w:val="0000EE"/>
            <w:u w:val="single"/>
          </w:rPr>
          <w:t xml:space="preserve"> Psaumes 9</w:t>
        </w:r>
      </w:hyperlink>
      <w:r>
        <w:t xml:space="preserve"> et </w:t>
      </w:r>
      <w:hyperlink r:id="rId11862">
        <w:r>
          <w:rPr>
            <w:color w:val="0000EE"/>
            <w:u w:val="single"/>
          </w:rPr>
          <w:t>10</w:t>
        </w:r>
      </w:hyperlink>
      <w:r>
        <w:t xml:space="preserve"> ont peut-être constitué à l'origine un seul psaume (comme dans la Septante), et il y a un argument solide pour combiner les</w:t>
      </w:r>
      <w:hyperlink r:id="rId10445">
        <w:r>
          <w:rPr>
            <w:color w:val="0000EE"/>
            <w:u w:val="single"/>
          </w:rPr>
          <w:t xml:space="preserve"> Psaumes 42</w:t>
        </w:r>
      </w:hyperlink>
      <w:r>
        <w:t xml:space="preserve"> et </w:t>
      </w:r>
      <w:hyperlink r:id="rId12888">
        <w:r>
          <w:rPr>
            <w:color w:val="0000EE"/>
            <w:u w:val="single"/>
          </w:rPr>
          <w:t>43</w:t>
        </w:r>
      </w:hyperlink>
      <w:r>
        <w:t>.</w:t>
      </w:r>
    </w:p>
    <w:p>
      <w:pPr>
        <w:pStyle w:val="Heading3"/>
      </w:pPr>
      <w:r>
        <w:t>Arrière-plan</w:t>
      </w:r>
    </w:p>
    <w:p>
      <w:r/>
      <w:r>
        <w:t>Tel que le livre des Psaumes se présente à nous, son association avec le culte du temple est évident. Cinquante-cinq psaumes sont adressés au chef de chœur, et comme nous l'avons noté, vingt-trois ou vingt-quatre d'entre eux sont liés aux deux principales guildes de chanres lévitiques, Asaph et Koré. Des instruments de musique, tels que les instruments à cordes (voir titre du</w:t>
      </w:r>
      <w:hyperlink r:id="rId12905">
        <w:r>
          <w:rPr>
            <w:color w:val="0000EE"/>
            <w:u w:val="single"/>
          </w:rPr>
          <w:t xml:space="preserve"> Ps 55</w:t>
        </w:r>
      </w:hyperlink>
      <w:r>
        <w:t>) et les flûtes (voir titre du</w:t>
      </w:r>
      <w:hyperlink r:id="rId12905">
        <w:r>
          <w:rPr>
            <w:color w:val="0000EE"/>
            <w:u w:val="single"/>
          </w:rPr>
          <w:t xml:space="preserve"> </w:t>
        </w:r>
      </w:hyperlink>
      <w:hyperlink r:id="rId12906">
        <w:r>
          <w:rPr>
            <w:color w:val="0000EE"/>
            <w:u w:val="single"/>
          </w:rPr>
          <w:t>Ps 5</w:t>
        </w:r>
      </w:hyperlink>
      <w:r>
        <w:t>) sont mentionnés. D'autres termes concernent probablement des indications musicales : Sélah, qui apparaît 71 fois, peut indiquer une pause ou un crescendo ; Higgaion (</w:t>
      </w:r>
      <w:hyperlink r:id="rId10477">
        <w:r>
          <w:rPr>
            <w:color w:val="0000EE"/>
            <w:u w:val="single"/>
          </w:rPr>
          <w:t>Ps 9.16</w:t>
        </w:r>
      </w:hyperlink>
      <w:r>
        <w:t>) peut recommander une attitude méditative. Des références apparemment obscures comme « La Biche de l'aurore » (voir titre du</w:t>
      </w:r>
      <w:hyperlink r:id="rId12907">
        <w:r>
          <w:rPr>
            <w:color w:val="0000EE"/>
            <w:u w:val="single"/>
          </w:rPr>
          <w:t xml:space="preserve"> Ps 22</w:t>
        </w:r>
      </w:hyperlink>
      <w:r>
        <w:t>), « Les lis » (voir titre des</w:t>
      </w:r>
      <w:hyperlink r:id="rId10441">
        <w:r>
          <w:rPr>
            <w:color w:val="0000EE"/>
            <w:u w:val="single"/>
          </w:rPr>
          <w:t xml:space="preserve"> Ps 45</w:t>
        </w:r>
      </w:hyperlink>
      <w:r>
        <w:t xml:space="preserve"> et 80) et « Colombe des térébinthes lointains » (voir titre du</w:t>
      </w:r>
      <w:hyperlink r:id="rId12908">
        <w:r>
          <w:rPr>
            <w:color w:val="0000EE"/>
            <w:u w:val="single"/>
          </w:rPr>
          <w:t xml:space="preserve"> Ps 56</w:t>
        </w:r>
      </w:hyperlink>
      <w:r>
        <w:t>) peuvent indiquer les mélodies sur lesquelles les psaumes devaient être chantés. La signification précise d'autres termes, tels que Shiggaion (voir titre du</w:t>
      </w:r>
      <w:hyperlink r:id="rId12909">
        <w:r>
          <w:rPr>
            <w:color w:val="0000EE"/>
            <w:u w:val="single"/>
          </w:rPr>
          <w:t xml:space="preserve"> Ps 7</w:t>
        </w:r>
      </w:hyperlink>
      <w:r>
        <w:t>) ou Alamoth (potentiellement un chœur féminin, voir titre du</w:t>
      </w:r>
      <w:hyperlink r:id="rId12910">
        <w:r>
          <w:rPr>
            <w:color w:val="0000EE"/>
            <w:u w:val="single"/>
          </w:rPr>
          <w:t xml:space="preserve"> Ps 46</w:t>
        </w:r>
      </w:hyperlink>
      <w:r>
        <w:t>), peut également relever du domaine des indications musicales.</w:t>
      </w:r>
    </w:p>
    <w:p>
      <w:pPr>
        <w:pStyle w:val="Heading3"/>
      </w:pPr>
      <w:r>
        <w:t>Structure</w:t>
      </w:r>
    </w:p>
    <w:p>
      <w:r/>
      <w:r>
        <w:t>Le Psautier, peut-être en imitation consciente des cinq livres de Moïse dans la Loi, est divisé en cinq sections (</w:t>
      </w:r>
      <w:hyperlink r:id="rId3614">
        <w:r>
          <w:rPr>
            <w:color w:val="0000EE"/>
            <w:u w:val="single"/>
          </w:rPr>
          <w:t>Ps 1–41</w:t>
        </w:r>
      </w:hyperlink>
      <w:r>
        <w:t xml:space="preserve"> ; </w:t>
      </w:r>
      <w:hyperlink r:id="rId3617">
        <w:r>
          <w:rPr>
            <w:color w:val="0000EE"/>
            <w:u w:val="single"/>
          </w:rPr>
          <w:t>42–72</w:t>
        </w:r>
      </w:hyperlink>
      <w:r>
        <w:t xml:space="preserve"> ; </w:t>
      </w:r>
      <w:hyperlink r:id="rId12911">
        <w:r>
          <w:rPr>
            <w:color w:val="0000EE"/>
            <w:u w:val="single"/>
          </w:rPr>
          <w:t>73–89</w:t>
        </w:r>
      </w:hyperlink>
      <w:r>
        <w:t xml:space="preserve"> ; </w:t>
      </w:r>
      <w:hyperlink r:id="rId3615">
        <w:r>
          <w:rPr>
            <w:color w:val="0000EE"/>
            <w:u w:val="single"/>
          </w:rPr>
          <w:t>90–106</w:t>
        </w:r>
      </w:hyperlink>
      <w:r>
        <w:t xml:space="preserve"> ; </w:t>
      </w:r>
      <w:hyperlink r:id="rId10452">
        <w:r>
          <w:rPr>
            <w:color w:val="0000EE"/>
            <w:u w:val="single"/>
          </w:rPr>
          <w:t>107–150</w:t>
        </w:r>
      </w:hyperlink>
      <w:r>
        <w:t>), séparées par quatre doxologies (</w:t>
      </w:r>
      <w:hyperlink r:id="rId12912">
        <w:r>
          <w:rPr>
            <w:color w:val="0000EE"/>
            <w:u w:val="single"/>
          </w:rPr>
          <w:t>41.13</w:t>
        </w:r>
      </w:hyperlink>
      <w:r>
        <w:t xml:space="preserve"> ; </w:t>
      </w:r>
      <w:hyperlink r:id="rId8588">
        <w:r>
          <w:rPr>
            <w:color w:val="0000EE"/>
            <w:u w:val="single"/>
          </w:rPr>
          <w:t>72.18–19</w:t>
        </w:r>
      </w:hyperlink>
      <w:r>
        <w:t xml:space="preserve"> ; </w:t>
      </w:r>
      <w:hyperlink r:id="rId12913">
        <w:r>
          <w:rPr>
            <w:color w:val="0000EE"/>
            <w:u w:val="single"/>
          </w:rPr>
          <w:t>89.52</w:t>
        </w:r>
      </w:hyperlink>
      <w:r>
        <w:t xml:space="preserve"> ; </w:t>
      </w:r>
      <w:hyperlink r:id="rId12914">
        <w:r>
          <w:rPr>
            <w:color w:val="0000EE"/>
            <w:u w:val="single"/>
          </w:rPr>
          <w:t>106.48</w:t>
        </w:r>
      </w:hyperlink>
      <w:r>
        <w:t xml:space="preserve">). Bien que le commentaire éditorial dans </w:t>
      </w:r>
      <w:hyperlink r:id="rId12915">
        <w:r>
          <w:rPr>
            <w:color w:val="0000EE"/>
            <w:u w:val="single"/>
          </w:rPr>
          <w:t>Psaumes 72.20</w:t>
        </w:r>
      </w:hyperlink>
      <w:r>
        <w:t xml:space="preserve"> note que les psaumes de David arrivent à leur fin, d'autres psaumes davidiques se trouvent plus tard dans le livre (</w:t>
      </w:r>
      <w:hyperlink r:id="rId10475">
        <w:r>
          <w:rPr>
            <w:color w:val="0000EE"/>
            <w:u w:val="single"/>
          </w:rPr>
          <w:t>Ps 86</w:t>
        </w:r>
      </w:hyperlink>
      <w:r>
        <w:t xml:space="preserve"> ; </w:t>
      </w:r>
      <w:hyperlink r:id="rId12916">
        <w:r>
          <w:rPr>
            <w:color w:val="0000EE"/>
            <w:u w:val="single"/>
          </w:rPr>
          <w:t>101</w:t>
        </w:r>
      </w:hyperlink>
      <w:r>
        <w:t xml:space="preserve"> ; </w:t>
      </w:r>
      <w:hyperlink r:id="rId12917">
        <w:r>
          <w:rPr>
            <w:color w:val="0000EE"/>
            <w:u w:val="single"/>
          </w:rPr>
          <w:t>103</w:t>
        </w:r>
      </w:hyperlink>
      <w:r>
        <w:t xml:space="preserve">), ce qui suggère qu'au moins certaines de ces sections circulaient indépendamment jusqu'à leur inclusion dans la collection finale. Cette indépendance est également indiquée par les duplicatas présents dans les différentes sections (voir par exemple </w:t>
      </w:r>
      <w:hyperlink r:id="rId12918">
        <w:r>
          <w:rPr>
            <w:color w:val="0000EE"/>
            <w:u w:val="single"/>
          </w:rPr>
          <w:t>Ps 14</w:t>
        </w:r>
      </w:hyperlink>
      <w:r>
        <w:t xml:space="preserve"> et </w:t>
      </w:r>
      <w:hyperlink r:id="rId10444">
        <w:r>
          <w:rPr>
            <w:color w:val="0000EE"/>
            <w:u w:val="single"/>
          </w:rPr>
          <w:t>53</w:t>
        </w:r>
      </w:hyperlink>
      <w:r>
        <w:t xml:space="preserve"> ; </w:t>
      </w:r>
      <w:hyperlink r:id="rId12919">
        <w:r>
          <w:rPr>
            <w:color w:val="0000EE"/>
            <w:u w:val="single"/>
          </w:rPr>
          <w:t>40.13–17</w:t>
        </w:r>
      </w:hyperlink>
      <w:r>
        <w:t xml:space="preserve"> et </w:t>
      </w:r>
      <w:hyperlink r:id="rId10470">
        <w:r>
          <w:rPr>
            <w:color w:val="0000EE"/>
            <w:u w:val="single"/>
          </w:rPr>
          <w:t>70</w:t>
        </w:r>
      </w:hyperlink>
      <w:r>
        <w:t>) et par l'utilisation de différents noms pour Dieu, qui est généralement appelé « l'Éternel » dans la première collection et « Dieu » dans la seconde.</w:t>
      </w:r>
    </w:p>
    <w:p>
      <w:pPr>
        <w:pStyle w:val="Heading3"/>
      </w:pPr>
      <w:r>
        <w:t>Canonicité</w:t>
      </w:r>
    </w:p>
    <w:p>
      <w:r/>
      <w:r>
        <w:t xml:space="preserve">Dans les diverses recensions de la troisième section du Canon hébreu, les Écrits (ou Livres Saints), le livre des Psaumes est presque toujours placé en premier. Il était clairement considéré comme le livre le plus important de cette section, et dans </w:t>
      </w:r>
      <w:hyperlink r:id="rId1932">
        <w:r>
          <w:rPr>
            <w:color w:val="0000EE"/>
            <w:u w:val="single"/>
          </w:rPr>
          <w:t>Luc 24.44</w:t>
        </w:r>
      </w:hyperlink>
      <w:r>
        <w:t>, « Psaumes » est synonyme de l'intitulé « Écrits ». Bien que la canonicité de tous les livres inclus dans les Écrits n'ait pas été finalisée avant la fin du premier siècle apr. J.‑C., il est probable que le livre des Psaumes ait été accepté comme inspiré bien avant cela, probablement vers 300 av. J.‑C.</w:t>
      </w:r>
    </w:p>
    <w:p>
      <w:r/>
      <w:r>
        <w:t>Il ne faut pas en conclure que tous les psaumes ont pris naissance dans la vie cultuelle de la communauté, mais le sanctuaire était le point central du culte d'Israël pendant la majeure partie de la période de l'Ancien Testament. La prière était possible ailleurs, mais chaque fois que cela était possible, il était habituel pour le fidèle de présenter ses requêtes dans le sanctuaire principal. L'expression de prières et de chants de reconnaissance dans l'Israël antique étaient presque toujours accompagnées d'un sacrifice d'actions de grâces, d'un sacrifice pour l'accomplissement d'un vœu ou d'une offrande volontaire. Les psaumes pouvaient avoir été composés par des individus, comme David, qui possédaient la compétence technique requise. Il faut comprendre que la poésie, un moyen artistique peu familier pour la plupart des civilisations occidentales, était la manière naturelle pour l'habitant du Proche-Orient Ancien d'exprimer ses émotions. Un individu pouvait également avoir engagé un membre des guildes lévitiques de musiciens pour formuler soit sa supplication, soit son action de grâce. Graduellement, une collection complète de psaumes serait disponible pour l'usage des individus, de l'assemblée, et même de la nation entière dans toute situation concevable. Une fois finalisée, cette collection a servi non seulement aux besoins ultérieurs d'Israël mais aussi aux exigences dévotionnelles des générations successives de chrétiens. Quelle que soit l'origine d'un psaume individuel, chacun a finalement été incorporé dans un cadre cultuel, et il peut être supposé que c'est ainsi que le meilleur de la psalmodie d'Israël a été préservé.</w:t>
      </w:r>
    </w:p>
    <w:p>
      <w:pPr>
        <w:pStyle w:val="Heading3"/>
      </w:pPr>
      <w:r>
        <w:t>Objectif et théologie</w:t>
      </w:r>
    </w:p>
    <w:p>
      <w:pPr>
        <w:pStyle w:val="Heading4"/>
      </w:pPr>
      <w:r>
        <w:t>La doctrine de Dieu</w:t>
      </w:r>
    </w:p>
    <w:p>
      <w:r/>
      <w:r>
        <w:t>Dans l'adversité comme dans la prospérité, les psalmistes démontrent une foi forte en Dieu et une compréhension claire de ses attributs. Il est compréhensible que les anthropomorphismes (attribuer des caractéristiques humaines à des choses non humaines) soient nombreux, avec des références à la voix, aux paroles, aux oreilles, aux yeux, au visage, ou aux mains et aux doigts de Dieu. Il n'est pas nécessaire de s'offusquer de cela. Les anthropomorphismes de ce type sont largement utilisés par les chrétiens d'aujourd'hui également. Leur grande valeur réside dans le fait qu'ils rendent Dieu réel pour le fidèle. Comment les humains pourraient-ils décrire Dieu, sinon dans les termes de leur propre compréhension ?</w:t>
      </w:r>
    </w:p>
    <w:p>
      <w:r/>
      <w:r>
        <w:t xml:space="preserve">Le monothéisme des psaumes émerge clairement dans </w:t>
      </w:r>
      <w:hyperlink r:id="rId12920">
        <w:r>
          <w:rPr>
            <w:color w:val="0000EE"/>
            <w:u w:val="single"/>
          </w:rPr>
          <w:t>Psaumes 115.3–8</w:t>
        </w:r>
      </w:hyperlink>
      <w:r>
        <w:t xml:space="preserve"> ; </w:t>
      </w:r>
      <w:hyperlink r:id="rId6644">
        <w:r>
          <w:rPr>
            <w:color w:val="0000EE"/>
            <w:u w:val="single"/>
          </w:rPr>
          <w:t>135.15–18</w:t>
        </w:r>
      </w:hyperlink>
      <w:r>
        <w:t xml:space="preserve"> ; </w:t>
      </w:r>
      <w:hyperlink r:id="rId12521">
        <w:r>
          <w:rPr>
            <w:color w:val="0000EE"/>
            <w:u w:val="single"/>
          </w:rPr>
          <w:t>139</w:t>
        </w:r>
      </w:hyperlink>
      <w:r>
        <w:t>. Dieu est vu comme le créateur (</w:t>
      </w:r>
      <w:hyperlink r:id="rId9198">
        <w:r>
          <w:rPr>
            <w:color w:val="0000EE"/>
            <w:u w:val="single"/>
          </w:rPr>
          <w:t>Ps 8.3</w:t>
        </w:r>
      </w:hyperlink>
      <w:r>
        <w:t xml:space="preserve"> ; </w:t>
      </w:r>
      <w:hyperlink r:id="rId12325">
        <w:r>
          <w:rPr>
            <w:color w:val="0000EE"/>
            <w:u w:val="single"/>
          </w:rPr>
          <w:t>89.11</w:t>
        </w:r>
      </w:hyperlink>
      <w:r>
        <w:t xml:space="preserve"> ; </w:t>
      </w:r>
      <w:hyperlink r:id="rId12921">
        <w:r>
          <w:rPr>
            <w:color w:val="0000EE"/>
            <w:u w:val="single"/>
          </w:rPr>
          <w:t>95.3–5</w:t>
        </w:r>
      </w:hyperlink>
      <w:r>
        <w:t xml:space="preserve">), avec des références à la mythologie de la création des nations environnantes (par exemple, </w:t>
      </w:r>
      <w:hyperlink r:id="rId12922">
        <w:r>
          <w:rPr>
            <w:color w:val="0000EE"/>
            <w:u w:val="single"/>
          </w:rPr>
          <w:t>Ps 89.10</w:t>
        </w:r>
      </w:hyperlink>
      <w:r>
        <w:t>) servant simplement d'illustrations de son pouvoir créateur tout-puissant. Il est proclamé comme Seigneur de l'histoire (</w:t>
      </w:r>
      <w:hyperlink r:id="rId12903">
        <w:r>
          <w:rPr>
            <w:color w:val="0000EE"/>
            <w:u w:val="single"/>
          </w:rPr>
          <w:t>Ps 44</w:t>
        </w:r>
      </w:hyperlink>
      <w:r>
        <w:t xml:space="preserve">, </w:t>
      </w:r>
      <w:hyperlink r:id="rId10449">
        <w:r>
          <w:rPr>
            <w:color w:val="0000EE"/>
            <w:u w:val="single"/>
          </w:rPr>
          <w:t>78</w:t>
        </w:r>
      </w:hyperlink>
      <w:r>
        <w:t xml:space="preserve">, </w:t>
      </w:r>
      <w:hyperlink r:id="rId10439">
        <w:r>
          <w:rPr>
            <w:color w:val="0000EE"/>
            <w:u w:val="single"/>
          </w:rPr>
          <w:t>80</w:t>
        </w:r>
      </w:hyperlink>
      <w:r>
        <w:t xml:space="preserve">, </w:t>
      </w:r>
      <w:hyperlink r:id="rId10428">
        <w:r>
          <w:rPr>
            <w:color w:val="0000EE"/>
            <w:u w:val="single"/>
          </w:rPr>
          <w:t>81</w:t>
        </w:r>
      </w:hyperlink>
      <w:r>
        <w:t xml:space="preserve">, </w:t>
      </w:r>
      <w:hyperlink r:id="rId5302">
        <w:r>
          <w:rPr>
            <w:color w:val="0000EE"/>
            <w:u w:val="single"/>
          </w:rPr>
          <w:t>105</w:t>
        </w:r>
      </w:hyperlink>
      <w:r>
        <w:t xml:space="preserve">, </w:t>
      </w:r>
      <w:hyperlink r:id="rId5303">
        <w:r>
          <w:rPr>
            <w:color w:val="0000EE"/>
            <w:u w:val="single"/>
          </w:rPr>
          <w:t>106</w:t>
        </w:r>
      </w:hyperlink>
      <w:r>
        <w:t>) et comme celui qui détient le contrôle souverain sur la nature (</w:t>
      </w:r>
      <w:hyperlink r:id="rId12923">
        <w:r>
          <w:rPr>
            <w:color w:val="0000EE"/>
            <w:u w:val="single"/>
          </w:rPr>
          <w:t>Ps 18.7</w:t>
        </w:r>
      </w:hyperlink>
      <w:r>
        <w:t xml:space="preserve"> ; </w:t>
      </w:r>
      <w:hyperlink r:id="rId2660">
        <w:r>
          <w:rPr>
            <w:color w:val="0000EE"/>
            <w:u w:val="single"/>
          </w:rPr>
          <w:t>19.1–6</w:t>
        </w:r>
      </w:hyperlink>
      <w:r>
        <w:t xml:space="preserve"> ; </w:t>
      </w:r>
      <w:hyperlink r:id="rId12924">
        <w:r>
          <w:rPr>
            <w:color w:val="0000EE"/>
            <w:u w:val="single"/>
          </w:rPr>
          <w:t>65.8–13</w:t>
        </w:r>
      </w:hyperlink>
      <w:r>
        <w:t xml:space="preserve"> ; </w:t>
      </w:r>
      <w:hyperlink r:id="rId12925">
        <w:r>
          <w:rPr>
            <w:color w:val="0000EE"/>
            <w:u w:val="single"/>
          </w:rPr>
          <w:t>105.26–42</w:t>
        </w:r>
      </w:hyperlink>
      <w:r>
        <w:t xml:space="preserve"> ; </w:t>
      </w:r>
      <w:hyperlink r:id="rId12926">
        <w:r>
          <w:rPr>
            <w:color w:val="0000EE"/>
            <w:u w:val="single"/>
          </w:rPr>
          <w:t>135.5–7</w:t>
        </w:r>
      </w:hyperlink>
      <w:r>
        <w:t>). Les psalmistes ne se lassaient jamais de célébrer la grandeur absolue de Dieu.</w:t>
      </w:r>
    </w:p>
    <w:p>
      <w:pPr>
        <w:pStyle w:val="Heading4"/>
      </w:pPr>
      <w:r>
        <w:t>La perspective humaine</w:t>
      </w:r>
    </w:p>
    <w:p>
      <w:r/>
      <w:r>
        <w:t>Le Psautier est un livre centré sur Dieu, mais l'humanité y occupe une place digne, malgré le vaste fossé entre elle et son créateur (</w:t>
      </w:r>
      <w:hyperlink r:id="rId12927">
        <w:r>
          <w:rPr>
            <w:color w:val="0000EE"/>
            <w:u w:val="single"/>
          </w:rPr>
          <w:t>Ps 8.3–4</w:t>
        </w:r>
      </w:hyperlink>
      <w:r>
        <w:t xml:space="preserve"> ; </w:t>
      </w:r>
      <w:hyperlink r:id="rId12928">
        <w:r>
          <w:rPr>
            <w:color w:val="0000EE"/>
            <w:u w:val="single"/>
          </w:rPr>
          <w:t>145.3–4</w:t>
        </w:r>
      </w:hyperlink>
      <w:r>
        <w:t>) et les limites de sa vie terrestre (</w:t>
      </w:r>
      <w:hyperlink r:id="rId12929">
        <w:r>
          <w:rPr>
            <w:color w:val="0000EE"/>
            <w:u w:val="single"/>
          </w:rPr>
          <w:t>Ps 90.9–10</w:t>
        </w:r>
      </w:hyperlink>
      <w:r>
        <w:t>). Par la volonté de Dieu, les humains occupent une position responsable et médiatrice entre Dieu et tous les autres êtres créés (</w:t>
      </w:r>
      <w:hyperlink r:id="rId12930">
        <w:r>
          <w:rPr>
            <w:color w:val="0000EE"/>
            <w:u w:val="single"/>
          </w:rPr>
          <w:t>Ps 8.5–8</w:t>
        </w:r>
      </w:hyperlink>
      <w:r>
        <w:t>). La relation avec un Dieu juste est mise en péril par le péché (</w:t>
      </w:r>
      <w:hyperlink r:id="rId5303">
        <w:r>
          <w:rPr>
            <w:color w:val="0000EE"/>
            <w:u w:val="single"/>
          </w:rPr>
          <w:t>Ps 106</w:t>
        </w:r>
      </w:hyperlink>
      <w:r>
        <w:t>), mais Dieu est plein de grâce et patient (</w:t>
      </w:r>
      <w:hyperlink r:id="rId12917">
        <w:r>
          <w:rPr>
            <w:color w:val="0000EE"/>
            <w:u w:val="single"/>
          </w:rPr>
          <w:t>Ps 103</w:t>
        </w:r>
      </w:hyperlink>
      <w:r>
        <w:t>), fidèle et prompt à pardonner (</w:t>
      </w:r>
      <w:hyperlink r:id="rId12931">
        <w:r>
          <w:rPr>
            <w:color w:val="0000EE"/>
            <w:u w:val="single"/>
          </w:rPr>
          <w:t>Ps 130</w:t>
        </w:r>
      </w:hyperlink>
      <w:r>
        <w:t>). Bien que les références au système sacrificiel soient présentes (</w:t>
      </w:r>
      <w:hyperlink r:id="rId12932">
        <w:r>
          <w:rPr>
            <w:color w:val="0000EE"/>
            <w:u w:val="single"/>
          </w:rPr>
          <w:t>Ps 20.3</w:t>
        </w:r>
      </w:hyperlink>
      <w:r>
        <w:t xml:space="preserve"> ; </w:t>
      </w:r>
      <w:hyperlink r:id="rId12933">
        <w:r>
          <w:rPr>
            <w:color w:val="0000EE"/>
            <w:u w:val="single"/>
          </w:rPr>
          <w:t>50.8–9</w:t>
        </w:r>
      </w:hyperlink>
      <w:r>
        <w:t>), l'accent est mis sur une piété personnelle qui exige obéissance et un cœur soumis (</w:t>
      </w:r>
      <w:hyperlink r:id="rId6356">
        <w:r>
          <w:rPr>
            <w:color w:val="0000EE"/>
            <w:u w:val="single"/>
          </w:rPr>
          <w:t>Ps 40.6–8</w:t>
        </w:r>
      </w:hyperlink>
      <w:r>
        <w:t>). Le</w:t>
      </w:r>
      <w:hyperlink r:id="rId3607">
        <w:r>
          <w:rPr>
            <w:color w:val="0000EE"/>
            <w:u w:val="single"/>
          </w:rPr>
          <w:t xml:space="preserve"> Psaume 51</w:t>
        </w:r>
      </w:hyperlink>
      <w:r>
        <w:t xml:space="preserve"> indique une profondeur de péché à laquelle le système sacrificiel ne pouvait pas adéquatement faire face ; le psalmiste ne pouvait que se jeter, dans une pénitence totale, sur la miséricorde de Dieu. Les obligations morales de l'homme (</w:t>
      </w:r>
      <w:hyperlink r:id="rId12934">
        <w:r>
          <w:rPr>
            <w:color w:val="0000EE"/>
            <w:u w:val="single"/>
          </w:rPr>
          <w:t>Ps 15</w:t>
        </w:r>
      </w:hyperlink>
      <w:r>
        <w:t xml:space="preserve"> ; </w:t>
      </w:r>
      <w:hyperlink r:id="rId12935">
        <w:r>
          <w:rPr>
            <w:color w:val="0000EE"/>
            <w:u w:val="single"/>
          </w:rPr>
          <w:t>24.3–5</w:t>
        </w:r>
      </w:hyperlink>
      <w:r>
        <w:t>) et la loyauté envers la loi (</w:t>
      </w:r>
      <w:hyperlink r:id="rId12936">
        <w:r>
          <w:rPr>
            <w:color w:val="0000EE"/>
            <w:u w:val="single"/>
          </w:rPr>
          <w:t>Ps 19.7–11</w:t>
        </w:r>
      </w:hyperlink>
      <w:r>
        <w:t xml:space="preserve"> ; </w:t>
      </w:r>
      <w:hyperlink r:id="rId12361">
        <w:r>
          <w:rPr>
            <w:color w:val="0000EE"/>
            <w:u w:val="single"/>
          </w:rPr>
          <w:t>119</w:t>
        </w:r>
      </w:hyperlink>
      <w:r>
        <w:t>) sont pleinement acceptées. Du début à la finse trouve la révélation d'une relation personnelle forte qui encourage la prière et la louange et invite à la confiance.</w:t>
      </w:r>
    </w:p>
    <w:p>
      <w:pPr>
        <w:pStyle w:val="Heading4"/>
      </w:pPr>
      <w:r>
        <w:t>L'Au-delà</w:t>
      </w:r>
    </w:p>
    <w:p>
      <w:r/>
      <w:r>
        <w:t>Les Psaumes conservent la vision hébraïque traditionnelle du séjour des morts comme le lieu des défunts, sans distinction entre les bons et les mauvais, où tout disparaît, sauf l'existence dans sa forme la plus simple. La principale plainte de l'homme pieux était que, dans le séjour des morts, toute relation significative avec Dieu cessait (</w:t>
      </w:r>
      <w:hyperlink r:id="rId4686">
        <w:r>
          <w:rPr>
            <w:color w:val="0000EE"/>
            <w:u w:val="single"/>
          </w:rPr>
          <w:t>Ps 6.5</w:t>
        </w:r>
      </w:hyperlink>
      <w:r>
        <w:t xml:space="preserve"> ; </w:t>
      </w:r>
      <w:hyperlink r:id="rId12937">
        <w:r>
          <w:rPr>
            <w:color w:val="0000EE"/>
            <w:u w:val="single"/>
          </w:rPr>
          <w:t>88.10–12</w:t>
        </w:r>
      </w:hyperlink>
      <w:r>
        <w:t>). Cependant, il était reconnu que, puisque Dieu était tout-puissant, même le séjour des morts n'était pas exempt de sa portée (</w:t>
      </w:r>
      <w:hyperlink r:id="rId10341">
        <w:r>
          <w:rPr>
            <w:color w:val="0000EE"/>
            <w:u w:val="single"/>
          </w:rPr>
          <w:t>Ps 139.8</w:t>
        </w:r>
      </w:hyperlink>
      <w:r>
        <w:t xml:space="preserve">). À cela s'ajoutait la préciosité et la force de la communion avec Dieu, qui ne pouvaient être interrompues même par la mort. </w:t>
      </w:r>
      <w:hyperlink r:id="rId12938">
        <w:r>
          <w:rPr>
            <w:color w:val="0000EE"/>
            <w:u w:val="single"/>
          </w:rPr>
          <w:t>Psaumes 16.9–11</w:t>
        </w:r>
      </w:hyperlink>
      <w:r>
        <w:t xml:space="preserve">, </w:t>
      </w:r>
      <w:hyperlink r:id="rId637">
        <w:r>
          <w:rPr>
            <w:color w:val="0000EE"/>
            <w:u w:val="single"/>
          </w:rPr>
          <w:t>49.15</w:t>
        </w:r>
      </w:hyperlink>
      <w:r>
        <w:t xml:space="preserve"> et </w:t>
      </w:r>
      <w:hyperlink r:id="rId12939">
        <w:r>
          <w:rPr>
            <w:color w:val="0000EE"/>
            <w:u w:val="single"/>
          </w:rPr>
          <w:t>73.23–26</w:t>
        </w:r>
      </w:hyperlink>
      <w:r>
        <w:t xml:space="preserve"> illustrent bien cette vision des choses. Le Psautier témoigne donc d'une phase de transition importante dans la croyance d'Israël.</w:t>
      </w:r>
    </w:p>
    <w:p>
      <w:pPr>
        <w:pStyle w:val="Heading4"/>
      </w:pPr>
      <w:r>
        <w:t>Reconnaissance universelle de Dieu</w:t>
      </w:r>
    </w:p>
    <w:p>
      <w:r/>
      <w:r>
        <w:t xml:space="preserve">Des passages comme </w:t>
      </w:r>
      <w:hyperlink r:id="rId12940">
        <w:r>
          <w:rPr>
            <w:color w:val="0000EE"/>
            <w:u w:val="single"/>
          </w:rPr>
          <w:t>Psaumes 9.11</w:t>
        </w:r>
      </w:hyperlink>
      <w:r>
        <w:t xml:space="preserve"> ; </w:t>
      </w:r>
      <w:hyperlink r:id="rId12941">
        <w:r>
          <w:rPr>
            <w:color w:val="0000EE"/>
            <w:u w:val="single"/>
          </w:rPr>
          <w:t>47.1–2, 7–9</w:t>
        </w:r>
      </w:hyperlink>
      <w:r>
        <w:t xml:space="preserve"> ; </w:t>
      </w:r>
      <w:hyperlink r:id="rId12942">
        <w:r>
          <w:rPr>
            <w:color w:val="0000EE"/>
            <w:u w:val="single"/>
          </w:rPr>
          <w:t>66.8</w:t>
        </w:r>
      </w:hyperlink>
      <w:r>
        <w:t xml:space="preserve"> ; </w:t>
      </w:r>
      <w:hyperlink r:id="rId10462">
        <w:r>
          <w:rPr>
            <w:color w:val="0000EE"/>
            <w:u w:val="single"/>
          </w:rPr>
          <w:t>67</w:t>
        </w:r>
      </w:hyperlink>
      <w:r>
        <w:t xml:space="preserve"> ; et </w:t>
      </w:r>
      <w:hyperlink r:id="rId12943">
        <w:r>
          <w:rPr>
            <w:color w:val="0000EE"/>
            <w:u w:val="single"/>
          </w:rPr>
          <w:t>117.1</w:t>
        </w:r>
      </w:hyperlink>
      <w:r>
        <w:t xml:space="preserve"> appellent toutes les nations à reconnaître et louer Dieu et démontrent une conscience de sa souveraineté sur toutes les nations. Cependant, cet universalisme ne semble pas impliquer un désir de convertir les nations païennes et il est également équilibré par de forts éléments particularistes. La relation d'alliance de Dieu avec son peuple et ses actes puissants en leur faveur sont les principaux éléments pour lesquels la louange de toutes les nations est convoquée (</w:t>
      </w:r>
      <w:hyperlink r:id="rId12944">
        <w:r>
          <w:rPr>
            <w:color w:val="0000EE"/>
            <w:u w:val="single"/>
          </w:rPr>
          <w:t>Ps 47.3–4</w:t>
        </w:r>
      </w:hyperlink>
      <w:r>
        <w:t xml:space="preserve"> ; </w:t>
      </w:r>
      <w:hyperlink r:id="rId12945">
        <w:r>
          <w:rPr>
            <w:color w:val="0000EE"/>
            <w:u w:val="single"/>
          </w:rPr>
          <w:t>66.8–9</w:t>
        </w:r>
      </w:hyperlink>
      <w:r>
        <w:t xml:space="preserve"> ; </w:t>
      </w:r>
      <w:hyperlink r:id="rId12946">
        <w:r>
          <w:rPr>
            <w:color w:val="0000EE"/>
            <w:u w:val="single"/>
          </w:rPr>
          <w:t>126.2</w:t>
        </w:r>
      </w:hyperlink>
      <w:r>
        <w:t>). Comme ailleurs dans l'AT, le rôle d'Israël est passif ; son existence continue témoigne de la fidélité de Dieu et lui rend gloire.</w:t>
      </w:r>
    </w:p>
    <w:p>
      <w:pPr>
        <w:pStyle w:val="Heading4"/>
      </w:pPr>
      <w:r>
        <w:t>Valeur pérenne</w:t>
      </w:r>
    </w:p>
    <w:p>
      <w:r/>
      <w:r>
        <w:t>Quelle que soit l'émotion des psalmistes, qu'il s'agisse de plainte amère, de lamentation angoissée ou d'exultation joyeuse, tous les psaumes reflètent divers aspects de la communion avec Dieu. Le lecteur peut plonger le regard « dans le cœur de tous les saints » (comme l'a dit Luther) alors qu'ils faisaient face aux expériences de la vie, conscients d'un Dieu omniscient, omniprésent et tout-puissant. La force de cette relation personnelle avec Dieu, qui caractérisait le culte de l'Ancien Testament à son apogée, est manifestée ici, et les nombreux échos des psaumes dans la littérature d'Israël montrent l'influence puissante de ces témoignages sur les fidèles. Le fait que, presque sans faille, peu de détails spécifiques soient donnés sur les conditions réelles des psalmistes a facilité la transformation du Psautier en livre de cantiques universel et en trésor dévotionnel du peuple de Dieu, tant dans le culte public que privé, jusqu'à nos jours. La vie moderne, matériellement, est très différente de celle de l'Israël ancien, mais Dieu demeure le même, tout comme les besoins fondamentaux du cœur humain. Le Saint-Esprit peut donc encore utiliser ce trésor spirituel comme moyen de révélation et de communication entre Dieu et l'homme. Peu de livres dans la Bible ont exercé une influence aussi profonde ou ont été aussi largement utilisés.</w:t>
      </w:r>
    </w:p>
    <w:p>
      <w:pPr>
        <w:pStyle w:val="Heading3"/>
      </w:pPr>
      <w:r>
        <w:t>Contenu</w:t>
      </w:r>
    </w:p>
    <w:p>
      <w:pPr>
        <w:pStyle w:val="Heading4"/>
      </w:pPr>
      <w:r>
        <w:t>Introduction</w:t>
      </w:r>
    </w:p>
    <w:p>
      <w:r/>
      <w:r>
        <w:t>Il est plus pertinent de décrire les psaumes par catégories que de les expliquer un par un dans l'ordre canonique. Les psaumes peuvent être classés ainsi :</w:t>
      </w:r>
    </w:p>
    <w:p>
      <w:r/>
      <w:r>
        <w:t>Psaumes de louange</w:t>
      </w:r>
    </w:p>
    <w:p>
      <w:r/>
      <w:r>
        <w:t>Psaumes royaux et messianiques</w:t>
      </w:r>
    </w:p>
    <w:p>
      <w:r/>
      <w:r>
        <w:t>Psaumes de la Passion</w:t>
      </w:r>
    </w:p>
    <w:p>
      <w:r/>
      <w:r>
        <w:t>Psaumes de Sion</w:t>
      </w:r>
    </w:p>
    <w:p>
      <w:r/>
      <w:r>
        <w:t>Psaumes de lamentation</w:t>
      </w:r>
    </w:p>
    <w:p>
      <w:r/>
      <w:r>
        <w:t>Psaumes d'imprécation</w:t>
      </w:r>
    </w:p>
    <w:p>
      <w:r/>
      <w:r>
        <w:t>Psaumes de repentance</w:t>
      </w:r>
    </w:p>
    <w:p>
      <w:r/>
      <w:r>
        <w:t>Psaumes de sagesse et psaumes historiques</w:t>
      </w:r>
    </w:p>
    <w:p>
      <w:r/>
      <w:r>
        <w:t>Psaumes de confiance</w:t>
      </w:r>
    </w:p>
    <w:p>
      <w:pPr>
        <w:pStyle w:val="Heading4"/>
      </w:pPr>
      <w:r>
        <w:t>Psaumes de louange</w:t>
      </w:r>
    </w:p>
    <w:p>
      <w:r/>
      <w:r>
        <w:t xml:space="preserve">Le titre hébreu de ce recueil, « Louanges », définit avec précision une grande partie du contenu du livre. Chacune des quatre premières sections se termine par une doxologie, tandis que la cinquième section se termine par cinq psaumes, dont chacun commence et se termine par un ou deux « Alléluia ». Le dernier de ceux-ci, le </w:t>
      </w:r>
      <w:hyperlink r:id="rId6800">
        <w:r>
          <w:rPr>
            <w:color w:val="0000EE"/>
            <w:u w:val="single"/>
          </w:rPr>
          <w:t>Psaume 150</w:t>
        </w:r>
      </w:hyperlink>
      <w:r>
        <w:t>, lance un appel à la louange totale. Dieu doit être loué pour son être, pour ses grands actes dans la création, la nature et l'histoire, tant au niveau individuel que communautaire.</w:t>
      </w:r>
    </w:p>
    <w:p>
      <w:r/>
      <w:r>
        <w:t xml:space="preserve">1. Louange individuelle. En comparaison avec le nombre de lamentations individuelles, il y a relativement peu de psaumes dans cette catégorie. Ceux que l'on inclut habituellement dans cette catégorie sont les </w:t>
      </w:r>
      <w:hyperlink r:id="rId10482">
        <w:r>
          <w:rPr>
            <w:color w:val="0000EE"/>
            <w:u w:val="single"/>
          </w:rPr>
          <w:t>Psaumes 9</w:t>
        </w:r>
      </w:hyperlink>
      <w:r>
        <w:t xml:space="preserve">, </w:t>
      </w:r>
      <w:hyperlink r:id="rId3604">
        <w:r>
          <w:rPr>
            <w:color w:val="0000EE"/>
            <w:u w:val="single"/>
          </w:rPr>
          <w:t>18</w:t>
        </w:r>
      </w:hyperlink>
      <w:r>
        <w:t xml:space="preserve">, </w:t>
      </w:r>
      <w:hyperlink r:id="rId3606">
        <w:r>
          <w:rPr>
            <w:color w:val="0000EE"/>
            <w:u w:val="single"/>
          </w:rPr>
          <w:t>32</w:t>
        </w:r>
      </w:hyperlink>
      <w:r>
        <w:t xml:space="preserve">, </w:t>
      </w:r>
      <w:hyperlink r:id="rId2980">
        <w:r>
          <w:rPr>
            <w:color w:val="0000EE"/>
            <w:u w:val="single"/>
          </w:rPr>
          <w:t>34</w:t>
        </w:r>
      </w:hyperlink>
      <w:r>
        <w:t xml:space="preserve">, </w:t>
      </w:r>
      <w:hyperlink r:id="rId12947">
        <w:r>
          <w:rPr>
            <w:color w:val="0000EE"/>
            <w:u w:val="single"/>
          </w:rPr>
          <w:t>116</w:t>
        </w:r>
      </w:hyperlink>
      <w:r>
        <w:t xml:space="preserve"> et </w:t>
      </w:r>
      <w:hyperlink r:id="rId12948">
        <w:r>
          <w:rPr>
            <w:color w:val="0000EE"/>
            <w:u w:val="single"/>
          </w:rPr>
          <w:t>138</w:t>
        </w:r>
      </w:hyperlink>
      <w:r>
        <w:t xml:space="preserve">. Cela peut, en partie, être dû à la tendance universelle à se plaindre plutôt qu'à exprimer de la reconnaissance. Cependant, un certain nombre de lamentations incluent, en réalité, une note de gratitude pour la délivrance anticipée, et le cycle normal de reconnaissance communautaire permettrait à l'individu d'exprimer sa louange personnelle. Cependant, il était coutumier dans le culte du temple de donner un acte verbal de reconnaissance à Dieu devant toute l'assemblée chaque fois qu'une offrande pour l'accomplissement d'un vœu ou une offrande d'actions de grâces était faite. Un tel témoignage public, et le repas communautaire associé à ce type de sacrifice, est indiqué dans </w:t>
      </w:r>
      <w:hyperlink r:id="rId12949">
        <w:r>
          <w:rPr>
            <w:color w:val="0000EE"/>
            <w:u w:val="single"/>
          </w:rPr>
          <w:t>Psaumes 22.22–26</w:t>
        </w:r>
      </w:hyperlink>
      <w:r>
        <w:t xml:space="preserve"> ; </w:t>
      </w:r>
      <w:hyperlink r:id="rId12950">
        <w:r>
          <w:rPr>
            <w:color w:val="0000EE"/>
            <w:u w:val="single"/>
          </w:rPr>
          <w:t>66.13–20</w:t>
        </w:r>
      </w:hyperlink>
      <w:r>
        <w:t xml:space="preserve"> ; </w:t>
      </w:r>
      <w:hyperlink r:id="rId12951">
        <w:r>
          <w:rPr>
            <w:color w:val="0000EE"/>
            <w:u w:val="single"/>
          </w:rPr>
          <w:t>116.17–19</w:t>
        </w:r>
      </w:hyperlink>
      <w:r>
        <w:t>. L'inclusion de telles opportunités pour la louange personnelle et le témoignage a dû ajouter de la chaleur et un sentiment d'importance au culte. Chaque acte de délivrance et chaque expérience de la miséricorde de Dieu devenaient partie de l'histoire du salut, qui était un concept cumulatif et continu, pas simplement un récit des actes de Dieu dans les siècles antérieurs.</w:t>
      </w:r>
    </w:p>
    <w:p>
      <w:r/>
      <w:r>
        <w:t>2. Louange communautaire générale. On apelle parfois ces psaumes de « hymnes » ou une « louange descriptive », sa caractéristique principale étant liée à un acte particulier de délivrance. Dieu est généralement mentionné à la troisième personne, pas directement. Le</w:t>
      </w:r>
      <w:hyperlink r:id="rId12917">
        <w:r>
          <w:rPr>
            <w:color w:val="0000EE"/>
            <w:u w:val="single"/>
          </w:rPr>
          <w:t xml:space="preserve"> Psaume 103</w:t>
        </w:r>
      </w:hyperlink>
      <w:r>
        <w:t xml:space="preserve"> peut être pris comme représentatif de ce groupe. Il commence et se termine par des références individuelles (v. </w:t>
      </w:r>
      <w:hyperlink r:id="rId12952">
        <w:r>
          <w:rPr>
            <w:color w:val="0000EE"/>
            <w:u w:val="single"/>
          </w:rPr>
          <w:t>1–5, 22b</w:t>
        </w:r>
      </w:hyperlink>
      <w:r>
        <w:t xml:space="preserve">), mais la section centrale (surtout v. </w:t>
      </w:r>
      <w:hyperlink r:id="rId12953">
        <w:r>
          <w:rPr>
            <w:color w:val="0000EE"/>
            <w:u w:val="single"/>
          </w:rPr>
          <w:t>6–14</w:t>
        </w:r>
      </w:hyperlink>
      <w:r>
        <w:t xml:space="preserve">) montre que le psalmiste faisait partie d'une communauté d'adoration. Il y a d'abord l'appel impératif à louer Dieu pour toute l'étendue de sa miséricorde envers chaque individu, y compris la délivrance physique et spirituelle et sa grâce soutenante et satisfaisante. Ensuite, l'accent se déplace vers ses grandes œuvres dans l'histoire (v. </w:t>
      </w:r>
      <w:hyperlink r:id="rId12954">
        <w:r>
          <w:rPr>
            <w:color w:val="0000EE"/>
            <w:u w:val="single"/>
          </w:rPr>
          <w:t>6–7</w:t>
        </w:r>
      </w:hyperlink>
      <w:r>
        <w:t xml:space="preserve">). C'est cela qui forme une base naturelle pour le récit de ces qualités gracieuses révélées de manière si constante au cours de l'histoire de la nation, en particulier son soin tendre et paternel (v. </w:t>
      </w:r>
      <w:hyperlink r:id="rId11786">
        <w:r>
          <w:rPr>
            <w:color w:val="0000EE"/>
            <w:u w:val="single"/>
          </w:rPr>
          <w:t>8–14</w:t>
        </w:r>
      </w:hyperlink>
      <w:r>
        <w:t xml:space="preserve">). La fragilité de l'humanité contraste avec la constance de Dieu (v. </w:t>
      </w:r>
      <w:hyperlink r:id="rId12955">
        <w:r>
          <w:rPr>
            <w:color w:val="0000EE"/>
            <w:u w:val="single"/>
          </w:rPr>
          <w:t>15–18</w:t>
        </w:r>
      </w:hyperlink>
      <w:r>
        <w:t xml:space="preserve">), et son règne, universel et absolu (v. </w:t>
      </w:r>
      <w:hyperlink r:id="rId12956">
        <w:r>
          <w:rPr>
            <w:color w:val="0000EE"/>
            <w:u w:val="single"/>
          </w:rPr>
          <w:t>19</w:t>
        </w:r>
      </w:hyperlink>
      <w:r>
        <w:t xml:space="preserve">), mérite la louange de toutes choses, vivantes et inanimées, au ciel et sur terre (v. </w:t>
      </w:r>
      <w:hyperlink r:id="rId12957">
        <w:r>
          <w:rPr>
            <w:color w:val="0000EE"/>
            <w:u w:val="single"/>
          </w:rPr>
          <w:t>19–22</w:t>
        </w:r>
      </w:hyperlink>
      <w:r>
        <w:t xml:space="preserve">). Il existe cependant un grand nombre de variations possibles dans la manière dont Dieu est célébré, comme l'illustrent </w:t>
      </w:r>
      <w:hyperlink r:id="rId12958">
        <w:r>
          <w:rPr>
            <w:color w:val="0000EE"/>
            <w:u w:val="single"/>
          </w:rPr>
          <w:t>les Psaumes 113</w:t>
        </w:r>
      </w:hyperlink>
      <w:r>
        <w:t xml:space="preserve"> et </w:t>
      </w:r>
      <w:hyperlink r:id="rId5305">
        <w:r>
          <w:rPr>
            <w:color w:val="0000EE"/>
            <w:u w:val="single"/>
          </w:rPr>
          <w:t>136</w:t>
        </w:r>
      </w:hyperlink>
      <w:r>
        <w:t xml:space="preserve"> (qui entrent dans cette catégorie).</w:t>
      </w:r>
    </w:p>
    <w:p>
      <w:r/>
      <w:r>
        <w:t xml:space="preserve">3. Louange communautaire spécifique. Parfois appelée « louange déclarative », ce type de psaume se rattache à une preuve particulière et remarquable de la miséricorde de Dieu et suivrait naturellement peu après l'événement lui-même. La délivrance d'un ennemi fournit le contexte préalable à la plupart des psaumes de cette catégorie (voir par exemple </w:t>
      </w:r>
      <w:hyperlink r:id="rId12959">
        <w:r>
          <w:rPr>
            <w:color w:val="0000EE"/>
            <w:u w:val="single"/>
          </w:rPr>
          <w:t>Ps 124</w:t>
        </w:r>
      </w:hyperlink>
      <w:r>
        <w:t xml:space="preserve">, </w:t>
      </w:r>
      <w:hyperlink r:id="rId12876">
        <w:r>
          <w:rPr>
            <w:color w:val="0000EE"/>
            <w:u w:val="single"/>
          </w:rPr>
          <w:t>129</w:t>
        </w:r>
      </w:hyperlink>
      <w:r>
        <w:t xml:space="preserve">). </w:t>
      </w:r>
      <w:hyperlink r:id="rId12960">
        <w:r>
          <w:rPr>
            <w:color w:val="0000EE"/>
            <w:u w:val="single"/>
          </w:rPr>
          <w:t>Psaumes 66.8–12</w:t>
        </w:r>
      </w:hyperlink>
      <w:r>
        <w:t xml:space="preserve">, maintenant le noyau d'un récit élargi de la bonté de Dieu, existait peut-être autrefois seul. </w:t>
      </w:r>
      <w:hyperlink r:id="rId12961">
        <w:r>
          <w:rPr>
            <w:color w:val="0000EE"/>
            <w:u w:val="single"/>
          </w:rPr>
          <w:t>Psaumes 46–48</w:t>
        </w:r>
      </w:hyperlink>
      <w:r>
        <w:t xml:space="preserve"> peuvent former une trilogie liée à la remarquable délivrance de Jérusalem des Assyriens de </w:t>
      </w:r>
      <w:r>
        <w:t>Sanchérib</w:t>
      </w:r>
      <w:r>
        <w:t xml:space="preserve"> en 701 av. J.‑C. (</w:t>
      </w:r>
      <w:hyperlink r:id="rId12962">
        <w:r>
          <w:rPr>
            <w:color w:val="0000EE"/>
            <w:u w:val="single"/>
          </w:rPr>
          <w:t>2R 18.17–19.37</w:t>
        </w:r>
      </w:hyperlink>
      <w:r>
        <w:t xml:space="preserve">). Le </w:t>
      </w:r>
      <w:hyperlink r:id="rId10462">
        <w:r>
          <w:rPr>
            <w:color w:val="0000EE"/>
            <w:u w:val="single"/>
          </w:rPr>
          <w:t>Psaume 67</w:t>
        </w:r>
      </w:hyperlink>
      <w:r>
        <w:t xml:space="preserve"> a probablement été composé en réponse à une récolte particulière. Il est facile de voir comment les psaumes de ce type pourraient, au fil du temps, acquérir un usage plus général.</w:t>
      </w:r>
    </w:p>
    <w:p>
      <w:r/>
      <w:r>
        <w:t xml:space="preserve">4. Louange pour le Dieu de la nature. La première partie du </w:t>
      </w:r>
      <w:hyperlink r:id="rId3480">
        <w:r>
          <w:rPr>
            <w:color w:val="0000EE"/>
            <w:u w:val="single"/>
          </w:rPr>
          <w:t>Psaume 19</w:t>
        </w:r>
      </w:hyperlink>
      <w:r>
        <w:t xml:space="preserve"> dépeint la louange de Dieu résonnant des cieux ; le </w:t>
      </w:r>
      <w:hyperlink r:id="rId9937">
        <w:r>
          <w:rPr>
            <w:color w:val="0000EE"/>
            <w:u w:val="single"/>
          </w:rPr>
          <w:t>Psaume 29</w:t>
        </w:r>
      </w:hyperlink>
      <w:r>
        <w:t xml:space="preserve"> le célèbre comme le Dieu de l'orage, qui, balayant depuis la Méditerranée près du Liban, poursuit son chemin impressionnant vers le sud dans le désert de Kadès, avec pour conséquence que « dans son temple » (le monde créé ?) tous louent la gloire de l'Éternel (v. </w:t>
      </w:r>
      <w:hyperlink r:id="rId12963">
        <w:r>
          <w:rPr>
            <w:color w:val="0000EE"/>
            <w:u w:val="single"/>
          </w:rPr>
          <w:t>9</w:t>
        </w:r>
      </w:hyperlink>
      <w:r>
        <w:t xml:space="preserve">). Sa souveraineté et son autosuffisance dans ce monde sont célébrées dans </w:t>
      </w:r>
      <w:hyperlink r:id="rId12964">
        <w:r>
          <w:rPr>
            <w:color w:val="0000EE"/>
            <w:u w:val="single"/>
          </w:rPr>
          <w:t>Psaumes 50.10–12</w:t>
        </w:r>
      </w:hyperlink>
      <w:r>
        <w:t xml:space="preserve"> ; il est le Dieu de la croissance et de la moisson (</w:t>
      </w:r>
      <w:hyperlink r:id="rId12965">
        <w:r>
          <w:rPr>
            <w:color w:val="0000EE"/>
            <w:u w:val="single"/>
          </w:rPr>
          <w:t>Ps 65.9–13</w:t>
        </w:r>
      </w:hyperlink>
      <w:r>
        <w:t xml:space="preserve">) ; dans le </w:t>
      </w:r>
      <w:hyperlink r:id="rId10874">
        <w:r>
          <w:rPr>
            <w:color w:val="0000EE"/>
            <w:u w:val="single"/>
          </w:rPr>
          <w:t>Psaume 104</w:t>
        </w:r>
      </w:hyperlink>
      <w:r>
        <w:t xml:space="preserve">, souvent appelé le « Hymne de la Création », il soutient et fournit tout sur la terre et dans les mers et est le Seigneur absolu de toute vie (v. </w:t>
      </w:r>
      <w:hyperlink r:id="rId12966">
        <w:r>
          <w:rPr>
            <w:color w:val="0000EE"/>
            <w:u w:val="single"/>
          </w:rPr>
          <w:t>29–30</w:t>
        </w:r>
      </w:hyperlink>
      <w:r>
        <w:t xml:space="preserve">). Il n'y a pas de confusion entre Dieu et sa création ; même le ciel et la terre apparemment permanents périront, mais « </w:t>
      </w:r>
      <w:r>
        <w:t>tu subsisteras</w:t>
      </w:r>
      <w:r>
        <w:t xml:space="preserve"> » (</w:t>
      </w:r>
      <w:hyperlink r:id="rId12967">
        <w:r>
          <w:rPr>
            <w:color w:val="0000EE"/>
            <w:u w:val="single"/>
          </w:rPr>
          <w:t>Ps 102.25–27</w:t>
        </w:r>
      </w:hyperlink>
      <w:r>
        <w:t>). Le rôle de la nature est de proclamer la gloire de Dieu (</w:t>
      </w:r>
      <w:hyperlink r:id="rId3939">
        <w:r>
          <w:rPr>
            <w:color w:val="0000EE"/>
            <w:u w:val="single"/>
          </w:rPr>
          <w:t>Ps 19.1</w:t>
        </w:r>
      </w:hyperlink>
      <w:r>
        <w:t>) et de le louer (</w:t>
      </w:r>
      <w:hyperlink r:id="rId9171">
        <w:r>
          <w:rPr>
            <w:color w:val="0000EE"/>
            <w:u w:val="single"/>
          </w:rPr>
          <w:t>Ps 148</w:t>
        </w:r>
      </w:hyperlink>
      <w:r>
        <w:t xml:space="preserve">). Les gens se voient comme insignifiants face à ces forces de la nature, qui sont elles-mêmes éclipsées par Dieu (d'où la conscience de l'écart immense entre Dieu et les gens que Dieu a comblé par sa grâce, voir </w:t>
      </w:r>
      <w:hyperlink r:id="rId2659">
        <w:r>
          <w:rPr>
            <w:color w:val="0000EE"/>
            <w:u w:val="single"/>
          </w:rPr>
          <w:t>Ps 8</w:t>
        </w:r>
      </w:hyperlink>
      <w:r>
        <w:t>).</w:t>
      </w:r>
    </w:p>
    <w:p>
      <w:r/>
      <w:r>
        <w:t>5. Louange pour la royauté de Dieu. Un groupe relativement restreint de psaumes (</w:t>
      </w:r>
      <w:hyperlink r:id="rId12968">
        <w:r>
          <w:rPr>
            <w:color w:val="0000EE"/>
            <w:u w:val="single"/>
          </w:rPr>
          <w:t>Ps 47</w:t>
        </w:r>
      </w:hyperlink>
      <w:r>
        <w:t xml:space="preserve">, </w:t>
      </w:r>
      <w:hyperlink r:id="rId10429">
        <w:r>
          <w:rPr>
            <w:color w:val="0000EE"/>
            <w:u w:val="single"/>
          </w:rPr>
          <w:t>93</w:t>
        </w:r>
      </w:hyperlink>
      <w:r>
        <w:t xml:space="preserve">, </w:t>
      </w:r>
      <w:hyperlink r:id="rId12969">
        <w:r>
          <w:rPr>
            <w:color w:val="0000EE"/>
            <w:u w:val="single"/>
          </w:rPr>
          <w:t>96–99</w:t>
        </w:r>
      </w:hyperlink>
      <w:r>
        <w:t>) célèbre la royauté de Dieu d'une manière qui dépasse l'attribution de louanges notée dans les groupes précédents. Ils sont marqués par l'acclamation, à la fois par des cris et des applaudissements lorsque Dieu « monte ». On fait vraisemblablement référence à son trône (</w:t>
      </w:r>
      <w:hyperlink r:id="rId12970">
        <w:r>
          <w:rPr>
            <w:color w:val="0000EE"/>
            <w:u w:val="single"/>
          </w:rPr>
          <w:t>Ps 47.1–5</w:t>
        </w:r>
      </w:hyperlink>
      <w:r>
        <w:t xml:space="preserve"> ; cf. </w:t>
      </w:r>
      <w:hyperlink r:id="rId12971">
        <w:r>
          <w:rPr>
            <w:color w:val="0000EE"/>
            <w:u w:val="single"/>
          </w:rPr>
          <w:t>99.1–2</w:t>
        </w:r>
      </w:hyperlink>
      <w:r>
        <w:t>). « Le Seigneur règne » (</w:t>
      </w:r>
      <w:hyperlink r:id="rId12972">
        <w:r>
          <w:rPr>
            <w:color w:val="0000EE"/>
            <w:u w:val="single"/>
          </w:rPr>
          <w:t>Ps 93.1</w:t>
        </w:r>
      </w:hyperlink>
      <w:r>
        <w:t xml:space="preserve"> ; </w:t>
      </w:r>
      <w:hyperlink r:id="rId12973">
        <w:r>
          <w:rPr>
            <w:color w:val="0000EE"/>
            <w:u w:val="single"/>
          </w:rPr>
          <w:t>97.1</w:t>
        </w:r>
      </w:hyperlink>
      <w:r>
        <w:t xml:space="preserve"> ; </w:t>
      </w:r>
      <w:hyperlink r:id="rId1172">
        <w:r>
          <w:rPr>
            <w:color w:val="0000EE"/>
            <w:u w:val="single"/>
          </w:rPr>
          <w:t>99.1</w:t>
        </w:r>
      </w:hyperlink>
      <w:r>
        <w:t>) est le cri fréquent, et la nature de son règne est exaltée (</w:t>
      </w:r>
      <w:hyperlink r:id="rId12974">
        <w:r>
          <w:rPr>
            <w:color w:val="0000EE"/>
            <w:u w:val="single"/>
          </w:rPr>
          <w:t>Ps 99.4–5</w:t>
        </w:r>
      </w:hyperlink>
      <w:r>
        <w:t>).</w:t>
      </w:r>
    </w:p>
    <w:p>
      <w:pPr>
        <w:pStyle w:val="Heading4"/>
      </w:pPr>
      <w:r>
        <w:t>Psaumes royaux et messianiques</w:t>
      </w:r>
    </w:p>
    <w:p>
      <w:r/>
      <w:hyperlink r:id="rId4029">
        <w:r>
          <w:rPr>
            <w:color w:val="0000EE"/>
            <w:u w:val="single"/>
          </w:rPr>
          <w:t>Psaumes 2</w:t>
        </w:r>
      </w:hyperlink>
      <w:r>
        <w:t xml:space="preserve">, </w:t>
      </w:r>
      <w:hyperlink r:id="rId3604">
        <w:r>
          <w:rPr>
            <w:color w:val="0000EE"/>
            <w:u w:val="single"/>
          </w:rPr>
          <w:t>18</w:t>
        </w:r>
      </w:hyperlink>
      <w:r>
        <w:t xml:space="preserve">, </w:t>
      </w:r>
      <w:hyperlink r:id="rId12975">
        <w:r>
          <w:rPr>
            <w:color w:val="0000EE"/>
            <w:u w:val="single"/>
          </w:rPr>
          <w:t>20</w:t>
        </w:r>
      </w:hyperlink>
      <w:r>
        <w:t xml:space="preserve">, </w:t>
      </w:r>
      <w:hyperlink r:id="rId12976">
        <w:r>
          <w:rPr>
            <w:color w:val="0000EE"/>
            <w:u w:val="single"/>
          </w:rPr>
          <w:t>21</w:t>
        </w:r>
      </w:hyperlink>
      <w:r>
        <w:t xml:space="preserve">, </w:t>
      </w:r>
      <w:hyperlink r:id="rId10441">
        <w:r>
          <w:rPr>
            <w:color w:val="0000EE"/>
            <w:u w:val="single"/>
          </w:rPr>
          <w:t>45</w:t>
        </w:r>
      </w:hyperlink>
      <w:r>
        <w:t xml:space="preserve">, </w:t>
      </w:r>
      <w:hyperlink r:id="rId10461">
        <w:r>
          <w:rPr>
            <w:color w:val="0000EE"/>
            <w:u w:val="single"/>
          </w:rPr>
          <w:t>61</w:t>
        </w:r>
      </w:hyperlink>
      <w:r>
        <w:t xml:space="preserve">, </w:t>
      </w:r>
      <w:hyperlink r:id="rId12889">
        <w:r>
          <w:rPr>
            <w:color w:val="0000EE"/>
            <w:u w:val="single"/>
          </w:rPr>
          <w:t>72</w:t>
        </w:r>
      </w:hyperlink>
      <w:r>
        <w:t xml:space="preserve">, </w:t>
      </w:r>
      <w:hyperlink r:id="rId11583">
        <w:r>
          <w:rPr>
            <w:color w:val="0000EE"/>
            <w:u w:val="single"/>
          </w:rPr>
          <w:t>89</w:t>
        </w:r>
      </w:hyperlink>
      <w:r>
        <w:t xml:space="preserve">, </w:t>
      </w:r>
      <w:hyperlink r:id="rId12916">
        <w:r>
          <w:rPr>
            <w:color w:val="0000EE"/>
            <w:u w:val="single"/>
          </w:rPr>
          <w:t>101</w:t>
        </w:r>
      </w:hyperlink>
      <w:r>
        <w:t xml:space="preserve">, </w:t>
      </w:r>
      <w:hyperlink r:id="rId12977">
        <w:r>
          <w:rPr>
            <w:color w:val="0000EE"/>
            <w:u w:val="single"/>
          </w:rPr>
          <w:t>110</w:t>
        </w:r>
      </w:hyperlink>
      <w:r>
        <w:t xml:space="preserve">, </w:t>
      </w:r>
      <w:hyperlink r:id="rId1200">
        <w:r>
          <w:rPr>
            <w:color w:val="0000EE"/>
            <w:u w:val="single"/>
          </w:rPr>
          <w:t>132</w:t>
        </w:r>
      </w:hyperlink>
      <w:r>
        <w:t xml:space="preserve"> et </w:t>
      </w:r>
      <w:hyperlink r:id="rId12978">
        <w:r>
          <w:rPr>
            <w:color w:val="0000EE"/>
            <w:u w:val="single"/>
          </w:rPr>
          <w:t>144</w:t>
        </w:r>
      </w:hyperlink>
      <w:r>
        <w:t xml:space="preserve"> sont généralement inclus comme les psaumes royaux. Ils ne forment pas une catégorie littéraire, puisque des psaumes de divers types sont inclus, mais ils incluent tous une référence au roi, à la nature de son règne et à sa relation avec Dieu. Puisque la monarchie davidique a pris fin en 586 av. J.‑C., ces psaumes ont presque certainement été composés avant cette date. Le langage dans ces psaumes montre souvent le roi comme vice-régent de Dieu. Par exemple, le </w:t>
      </w:r>
      <w:hyperlink r:id="rId10441">
        <w:r>
          <w:rPr>
            <w:color w:val="0000EE"/>
            <w:u w:val="single"/>
          </w:rPr>
          <w:t>Psaume 45</w:t>
        </w:r>
      </w:hyperlink>
      <w:r>
        <w:t>, un psaume de mariage royal, contient l'affirmation « Ton trône, ô Dieu, dure à jamais » (</w:t>
      </w:r>
      <w:hyperlink r:id="rId4031">
        <w:r>
          <w:rPr>
            <w:color w:val="0000EE"/>
            <w:u w:val="single"/>
          </w:rPr>
          <w:t>45.6</w:t>
        </w:r>
      </w:hyperlink>
      <w:r>
        <w:t xml:space="preserve">). Mais cela est mieux compris en termes du trône considéré comme celui du Seigneur, occupé par le roi en tant que représentant de ce premier. De même, l'invitation dans </w:t>
      </w:r>
      <w:hyperlink r:id="rId1333">
        <w:r>
          <w:rPr>
            <w:color w:val="0000EE"/>
            <w:u w:val="single"/>
          </w:rPr>
          <w:t>Psaumes 110.1</w:t>
        </w:r>
      </w:hyperlink>
      <w:r>
        <w:t>, « Assieds-toi à ma droite », indique les privilèges et prérogatives dont jouit le roi en tant que vice-régent de Dieu. L'ensemble des données de l'AT concernant le roi montre que la monarchie en Israël était qualifiée par la nature de la relation d'alliance de Dieu avec son peuple ; le roi ne jouissait pas de l'absolutisme revendiqué par la plupart des dirigeants des royaumes environnants.</w:t>
      </w:r>
    </w:p>
    <w:p>
      <w:r/>
      <w:r>
        <w:t>La plupart des psaumes royaux peuvent également être appelés psaumes messianiques. Ils ont été interprétés comme tels dans l'Église chrétienne primitive, comme en témoigne la déclaration générale de Jésus-Christ selon laquelle les psalmistes parlent en fait de lui (</w:t>
      </w:r>
      <w:hyperlink r:id="rId1932">
        <w:r>
          <w:rPr>
            <w:color w:val="0000EE"/>
            <w:u w:val="single"/>
          </w:rPr>
          <w:t>Lc 24.44</w:t>
        </w:r>
      </w:hyperlink>
      <w:r>
        <w:t>) et par des citations particulières du NT. Les principaux psaumes concernés, et les références du NT, sont les suivants :</w:t>
      </w:r>
    </w:p>
    <w:p>
      <w:r/>
      <w:r>
        <w:t xml:space="preserve">1. </w:t>
      </w:r>
      <w:hyperlink r:id="rId4029">
        <w:r>
          <w:rPr>
            <w:color w:val="0000EE"/>
            <w:u w:val="single"/>
          </w:rPr>
          <w:t>Psaume 2</w:t>
        </w:r>
      </w:hyperlink>
      <w:r>
        <w:t xml:space="preserve"> (</w:t>
      </w:r>
      <w:hyperlink r:id="rId2526">
        <w:r>
          <w:rPr>
            <w:color w:val="0000EE"/>
            <w:u w:val="single"/>
          </w:rPr>
          <w:t>Ac 13.33</w:t>
        </w:r>
      </w:hyperlink>
      <w:r>
        <w:t xml:space="preserve"> ; </w:t>
      </w:r>
      <w:hyperlink r:id="rId6284">
        <w:r>
          <w:rPr>
            <w:color w:val="0000EE"/>
            <w:u w:val="single"/>
          </w:rPr>
          <w:t>Hé 1.5</w:t>
        </w:r>
      </w:hyperlink>
      <w:r>
        <w:t xml:space="preserve"> ; </w:t>
      </w:r>
      <w:hyperlink r:id="rId2503">
        <w:r>
          <w:rPr>
            <w:color w:val="0000EE"/>
            <w:u w:val="single"/>
          </w:rPr>
          <w:t>5.5</w:t>
        </w:r>
      </w:hyperlink>
      <w:r>
        <w:t>), bien que lié au roi davidique, parle néanmoins d'une justification et d'une domination universelles, qui dépassaient de loin même le règne de David. De plus, l'image du roi davidique, oint pour régner sur la terre en tant que représentant de Dieu, qui est intronisé au ciel, suggère fortement le ministère médiateur et incarné de Christ.</w:t>
      </w:r>
    </w:p>
    <w:p>
      <w:r/>
      <w:r>
        <w:t xml:space="preserve">2. </w:t>
      </w:r>
      <w:hyperlink r:id="rId10441">
        <w:r>
          <w:rPr>
            <w:color w:val="0000EE"/>
            <w:u w:val="single"/>
          </w:rPr>
          <w:t>Psaume 45</w:t>
        </w:r>
      </w:hyperlink>
      <w:r>
        <w:t xml:space="preserve"> (</w:t>
      </w:r>
      <w:hyperlink r:id="rId12979">
        <w:r>
          <w:rPr>
            <w:color w:val="0000EE"/>
            <w:u w:val="single"/>
          </w:rPr>
          <w:t>Hé 1.8–9</w:t>
        </w:r>
      </w:hyperlink>
      <w:r>
        <w:t xml:space="preserve">), un psaume de mariage pour l'un des rois davidiques (possiblement Salomon), parle non seulement d'amour et de mariage, mais aussi de la permanence et de la qualité du règne. Dans la traduction la plus évidente du v. </w:t>
      </w:r>
      <w:hyperlink r:id="rId4031">
        <w:r>
          <w:rPr>
            <w:color w:val="0000EE"/>
            <w:u w:val="single"/>
          </w:rPr>
          <w:t>6</w:t>
        </w:r>
      </w:hyperlink>
      <w:r>
        <w:t xml:space="preserve">, l'auteur s'adresse à Dieu : « </w:t>
      </w:r>
      <w:r>
        <w:t>Ton trône, ô Dieu, est à toujours</w:t>
      </w:r>
      <w:r>
        <w:t xml:space="preserve"> ». L'auteur de l'épître aux Hébreux a clairement accepté cette interprétation (</w:t>
      </w:r>
      <w:hyperlink r:id="rId12979">
        <w:r>
          <w:rPr>
            <w:color w:val="0000EE"/>
            <w:u w:val="single"/>
          </w:rPr>
          <w:t>Hé 1.8–9</w:t>
        </w:r>
      </w:hyperlink>
      <w:r>
        <w:t>) et l'a utilisée en contraste avec le statut exalté même des anges, la renforçant avec deux autres citations des psaumes qui s'appliquaient à l'origine à Dieu (</w:t>
      </w:r>
      <w:hyperlink r:id="rId6641">
        <w:r>
          <w:rPr>
            <w:color w:val="0000EE"/>
            <w:u w:val="single"/>
          </w:rPr>
          <w:t>Ps 97.7</w:t>
        </w:r>
      </w:hyperlink>
      <w:r>
        <w:t xml:space="preserve"> ; </w:t>
      </w:r>
      <w:hyperlink r:id="rId12967">
        <w:r>
          <w:rPr>
            <w:color w:val="0000EE"/>
            <w:u w:val="single"/>
          </w:rPr>
          <w:t>102.25–27</w:t>
        </w:r>
      </w:hyperlink>
      <w:r>
        <w:t xml:space="preserve"> ; cf. </w:t>
      </w:r>
      <w:hyperlink r:id="rId12980">
        <w:r>
          <w:rPr>
            <w:color w:val="0000EE"/>
            <w:u w:val="single"/>
          </w:rPr>
          <w:t>Hé 1.6, 10–12</w:t>
        </w:r>
      </w:hyperlink>
      <w:r>
        <w:t>).</w:t>
      </w:r>
    </w:p>
    <w:p>
      <w:r/>
      <w:r>
        <w:t xml:space="preserve">3. </w:t>
      </w:r>
      <w:hyperlink r:id="rId12977">
        <w:r>
          <w:rPr>
            <w:color w:val="0000EE"/>
            <w:u w:val="single"/>
          </w:rPr>
          <w:t>Psaume 110</w:t>
        </w:r>
      </w:hyperlink>
      <w:r>
        <w:t xml:space="preserve"> est le psaume messianique le plus fréquemment cité (</w:t>
      </w:r>
      <w:hyperlink r:id="rId12981">
        <w:r>
          <w:rPr>
            <w:color w:val="0000EE"/>
            <w:u w:val="single"/>
          </w:rPr>
          <w:t>Mt 22.43–45</w:t>
        </w:r>
      </w:hyperlink>
      <w:r>
        <w:t xml:space="preserve"> ; </w:t>
      </w:r>
      <w:hyperlink r:id="rId12982">
        <w:r>
          <w:rPr>
            <w:color w:val="0000EE"/>
            <w:u w:val="single"/>
          </w:rPr>
          <w:t>Ac 2.34–35</w:t>
        </w:r>
      </w:hyperlink>
      <w:r>
        <w:t xml:space="preserve"> ; </w:t>
      </w:r>
      <w:hyperlink r:id="rId9575">
        <w:r>
          <w:rPr>
            <w:color w:val="0000EE"/>
            <w:u w:val="single"/>
          </w:rPr>
          <w:t>Hé 1.13</w:t>
        </w:r>
      </w:hyperlink>
      <w:r>
        <w:t xml:space="preserve"> ; </w:t>
      </w:r>
      <w:hyperlink r:id="rId12983">
        <w:r>
          <w:rPr>
            <w:color w:val="0000EE"/>
            <w:u w:val="single"/>
          </w:rPr>
          <w:t>5.5–10</w:t>
        </w:r>
      </w:hyperlink>
      <w:r>
        <w:t xml:space="preserve"> ; </w:t>
      </w:r>
      <w:hyperlink r:id="rId1346">
        <w:r>
          <w:rPr>
            <w:color w:val="0000EE"/>
            <w:u w:val="single"/>
          </w:rPr>
          <w:t>6.20</w:t>
        </w:r>
      </w:hyperlink>
      <w:r>
        <w:t xml:space="preserve"> ; </w:t>
      </w:r>
      <w:hyperlink r:id="rId12984">
        <w:r>
          <w:rPr>
            <w:color w:val="0000EE"/>
            <w:u w:val="single"/>
          </w:rPr>
          <w:t>7.21</w:t>
        </w:r>
      </w:hyperlink>
      <w:r>
        <w:t>). Le langage, évoquant les privilèges, la victoire universelle et le sacerdoce perpétuel de David et de ses successeurs, serait considéré comme hyperbolique et peut-être trompeur, si ce n'était que son accomplissement se trouve dans le « Très grand fils du grand roi David ». Contrairement aux anges, qui ont le privilège de se tenir en présence de Dieu (</w:t>
      </w:r>
      <w:hyperlink r:id="rId8331">
        <w:r>
          <w:rPr>
            <w:color w:val="0000EE"/>
            <w:u w:val="single"/>
          </w:rPr>
          <w:t>Lc 1.19</w:t>
        </w:r>
      </w:hyperlink>
      <w:r>
        <w:t>), Christ, le Fils, siège sur le trône du pouvoir et de l'autorité (</w:t>
      </w:r>
      <w:hyperlink r:id="rId9575">
        <w:r>
          <w:rPr>
            <w:color w:val="0000EE"/>
            <w:u w:val="single"/>
          </w:rPr>
          <w:t>Hé 1.13</w:t>
        </w:r>
      </w:hyperlink>
      <w:r>
        <w:t>).</w:t>
      </w:r>
    </w:p>
    <w:p>
      <w:r/>
      <w:r>
        <w:t xml:space="preserve">D'autres psaumes qui pourraient également être désignés comme messianiques mais qui ne sont pas spécifiquement inclus parmi les psaumes royaux sont les </w:t>
      </w:r>
      <w:hyperlink r:id="rId2659">
        <w:r>
          <w:rPr>
            <w:color w:val="0000EE"/>
            <w:u w:val="single"/>
          </w:rPr>
          <w:t>Psaumes 8</w:t>
        </w:r>
      </w:hyperlink>
      <w:r>
        <w:t xml:space="preserve"> (</w:t>
      </w:r>
      <w:hyperlink r:id="rId12985">
        <w:r>
          <w:rPr>
            <w:color w:val="0000EE"/>
            <w:u w:val="single"/>
          </w:rPr>
          <w:t>1Co 15.27</w:t>
        </w:r>
      </w:hyperlink>
      <w:r>
        <w:t xml:space="preserve">) ; </w:t>
      </w:r>
      <w:hyperlink r:id="rId2981">
        <w:r>
          <w:rPr>
            <w:color w:val="0000EE"/>
            <w:u w:val="single"/>
          </w:rPr>
          <w:t>40</w:t>
        </w:r>
      </w:hyperlink>
      <w:r>
        <w:t xml:space="preserve"> (</w:t>
      </w:r>
      <w:hyperlink r:id="rId6357">
        <w:r>
          <w:rPr>
            <w:color w:val="0000EE"/>
            <w:u w:val="single"/>
          </w:rPr>
          <w:t>Hé 10.5–10</w:t>
        </w:r>
      </w:hyperlink>
      <w:r>
        <w:t xml:space="preserve">) ; </w:t>
      </w:r>
      <w:hyperlink r:id="rId12889">
        <w:r>
          <w:rPr>
            <w:color w:val="0000EE"/>
            <w:u w:val="single"/>
          </w:rPr>
          <w:t>72</w:t>
        </w:r>
      </w:hyperlink>
      <w:r>
        <w:t xml:space="preserve"> (avec son image idéalisée de la nature, des conséquences et de l'étendue du règne du représentant de Dieu) ;</w:t>
      </w:r>
      <w:hyperlink r:id="rId12261">
        <w:r>
          <w:rPr>
            <w:color w:val="0000EE"/>
            <w:u w:val="single"/>
          </w:rPr>
          <w:t xml:space="preserve"> 118.22–23</w:t>
        </w:r>
      </w:hyperlink>
      <w:r>
        <w:t xml:space="preserve"> et </w:t>
      </w:r>
      <w:hyperlink r:id="rId1200">
        <w:r>
          <w:rPr>
            <w:color w:val="0000EE"/>
            <w:u w:val="single"/>
          </w:rPr>
          <w:t>132</w:t>
        </w:r>
      </w:hyperlink>
      <w:r>
        <w:t xml:space="preserve"> (</w:t>
      </w:r>
      <w:hyperlink r:id="rId12986">
        <w:r>
          <w:rPr>
            <w:color w:val="0000EE"/>
            <w:u w:val="single"/>
          </w:rPr>
          <w:t>Ac 2.30</w:t>
        </w:r>
      </w:hyperlink>
      <w:r>
        <w:t>).</w:t>
      </w:r>
    </w:p>
    <w:p>
      <w:pPr>
        <w:pStyle w:val="Heading4"/>
      </w:pPr>
      <w:r>
        <w:t>Psaumes de la Passion</w:t>
      </w:r>
    </w:p>
    <w:p>
      <w:r/>
      <w:r>
        <w:t>Les quatre psaumes de ce groupe (</w:t>
      </w:r>
      <w:hyperlink r:id="rId2979">
        <w:r>
          <w:rPr>
            <w:color w:val="0000EE"/>
            <w:u w:val="single"/>
          </w:rPr>
          <w:t>Ps 16</w:t>
        </w:r>
      </w:hyperlink>
      <w:r>
        <w:t xml:space="preserve"> ; </w:t>
      </w:r>
      <w:hyperlink r:id="rId10478">
        <w:r>
          <w:rPr>
            <w:color w:val="0000EE"/>
            <w:u w:val="single"/>
          </w:rPr>
          <w:t>22</w:t>
        </w:r>
      </w:hyperlink>
      <w:r>
        <w:t xml:space="preserve"> ; </w:t>
      </w:r>
      <w:hyperlink r:id="rId2981">
        <w:r>
          <w:rPr>
            <w:color w:val="0000EE"/>
            <w:u w:val="single"/>
          </w:rPr>
          <w:t>40</w:t>
        </w:r>
      </w:hyperlink>
      <w:r>
        <w:t xml:space="preserve"> ; </w:t>
      </w:r>
      <w:hyperlink r:id="rId10483">
        <w:r>
          <w:rPr>
            <w:color w:val="0000EE"/>
            <w:u w:val="single"/>
          </w:rPr>
          <w:t>69</w:t>
        </w:r>
      </w:hyperlink>
      <w:r>
        <w:t xml:space="preserve"> ; certains érudits incluraient également </w:t>
      </w:r>
      <w:hyperlink r:id="rId10476">
        <w:r>
          <w:rPr>
            <w:color w:val="0000EE"/>
            <w:u w:val="single"/>
          </w:rPr>
          <w:t>Ps 102</w:t>
        </w:r>
      </w:hyperlink>
      <w:r>
        <w:t xml:space="preserve"> ; </w:t>
      </w:r>
      <w:hyperlink r:id="rId12875">
        <w:r>
          <w:rPr>
            <w:color w:val="0000EE"/>
            <w:u w:val="single"/>
          </w:rPr>
          <w:t>109</w:t>
        </w:r>
      </w:hyperlink>
      <w:r>
        <w:t xml:space="preserve">) peuvent aussi être considérés comme messianiques. Ils se rattachent à cette lignée prophétique de l'Ancien Testament qui interprète le ministère du Messie en termes d'un Serviteur souffrant, particulièrement visible dans Ésaïe (voir par exemple </w:t>
      </w:r>
      <w:hyperlink r:id="rId12987">
        <w:r>
          <w:rPr>
            <w:color w:val="0000EE"/>
            <w:u w:val="single"/>
          </w:rPr>
          <w:t>Es 42.1–9</w:t>
        </w:r>
      </w:hyperlink>
      <w:r>
        <w:t xml:space="preserve"> ; </w:t>
      </w:r>
      <w:hyperlink r:id="rId12988">
        <w:r>
          <w:rPr>
            <w:color w:val="0000EE"/>
            <w:u w:val="single"/>
          </w:rPr>
          <w:t>52.13–53.12</w:t>
        </w:r>
      </w:hyperlink>
      <w:r>
        <w:t>). Parmi ces quatre psaumes, le</w:t>
      </w:r>
      <w:hyperlink r:id="rId10478">
        <w:r>
          <w:rPr>
            <w:color w:val="0000EE"/>
            <w:u w:val="single"/>
          </w:rPr>
          <w:t xml:space="preserve"> Psaume 22</w:t>
        </w:r>
      </w:hyperlink>
      <w:r>
        <w:t xml:space="preserve"> est le plus remarquable. Jésus en a récité une partie alors qu'il était sur la croix (</w:t>
      </w:r>
      <w:hyperlink r:id="rId12907">
        <w:r>
          <w:rPr>
            <w:color w:val="0000EE"/>
            <w:u w:val="single"/>
          </w:rPr>
          <w:t>Ps 22.1</w:t>
        </w:r>
      </w:hyperlink>
      <w:r>
        <w:t xml:space="preserve"> ; cf. </w:t>
      </w:r>
      <w:hyperlink r:id="rId6719">
        <w:r>
          <w:rPr>
            <w:color w:val="0000EE"/>
            <w:u w:val="single"/>
          </w:rPr>
          <w:t>Mt 27.46</w:t>
        </w:r>
      </w:hyperlink>
      <w:r>
        <w:t xml:space="preserve">), et d'autres liens avec la scène de la crucifixion sont notables (voir par exemple </w:t>
      </w:r>
      <w:hyperlink r:id="rId12989">
        <w:r>
          <w:rPr>
            <w:color w:val="0000EE"/>
            <w:u w:val="single"/>
          </w:rPr>
          <w:t>Ps 22.6–8, 14–18</w:t>
        </w:r>
      </w:hyperlink>
      <w:r>
        <w:t>). Certaines considérations supplémentaires sont encore plus significatives : il n'y a aucune suggestion de conscience du péché ; la souffrance du psalmiste semble complètement injustifiée ; il n'y a aucun élément imprécatoire, même face à une persécution amère. Cela dénote un Christ sans péché (</w:t>
      </w:r>
      <w:hyperlink r:id="rId6717">
        <w:r>
          <w:rPr>
            <w:color w:val="0000EE"/>
            <w:u w:val="single"/>
          </w:rPr>
          <w:t>2Co 5.21</w:t>
        </w:r>
      </w:hyperlink>
      <w:r>
        <w:t>), qui pouvait même prier pour ses bourreaux (</w:t>
      </w:r>
      <w:hyperlink r:id="rId12990">
        <w:r>
          <w:rPr>
            <w:color w:val="0000EE"/>
            <w:u w:val="single"/>
          </w:rPr>
          <w:t>Lc 23.34</w:t>
        </w:r>
      </w:hyperlink>
      <w:r>
        <w:t>). Le</w:t>
      </w:r>
      <w:hyperlink r:id="rId636">
        <w:r>
          <w:rPr>
            <w:color w:val="0000EE"/>
            <w:u w:val="single"/>
          </w:rPr>
          <w:t xml:space="preserve"> Psaume 16.10</w:t>
        </w:r>
      </w:hyperlink>
      <w:r>
        <w:t xml:space="preserve"> anticipe le triomphe du Christ incorruptible sur la tombe (voir </w:t>
      </w:r>
      <w:hyperlink r:id="rId12991">
        <w:r>
          <w:rPr>
            <w:color w:val="0000EE"/>
            <w:u w:val="single"/>
          </w:rPr>
          <w:t>Ac 2.24–31</w:t>
        </w:r>
      </w:hyperlink>
      <w:r>
        <w:t>).</w:t>
      </w:r>
      <w:hyperlink r:id="rId6356">
        <w:r>
          <w:rPr>
            <w:color w:val="0000EE"/>
            <w:u w:val="single"/>
          </w:rPr>
          <w:t xml:space="preserve"> Psaumes 40.6–8</w:t>
        </w:r>
      </w:hyperlink>
      <w:r>
        <w:t xml:space="preserve"> préfigure l'Incarnation et l'œuvre rédemptrice de Christ dans son sacrifice de soi (</w:t>
      </w:r>
      <w:hyperlink r:id="rId6357">
        <w:r>
          <w:rPr>
            <w:color w:val="0000EE"/>
            <w:u w:val="single"/>
          </w:rPr>
          <w:t>Hé 10.5–10</w:t>
        </w:r>
      </w:hyperlink>
      <w:r>
        <w:t>). Le</w:t>
      </w:r>
      <w:hyperlink r:id="rId10483">
        <w:r>
          <w:rPr>
            <w:color w:val="0000EE"/>
            <w:u w:val="single"/>
          </w:rPr>
          <w:t xml:space="preserve"> Psaume 69</w:t>
        </w:r>
      </w:hyperlink>
      <w:r>
        <w:t xml:space="preserve"> fait référence à l'isolement résultant d'un engagement envers la cause de Dieu (</w:t>
      </w:r>
      <w:hyperlink r:id="rId12992">
        <w:r>
          <w:rPr>
            <w:color w:val="0000EE"/>
            <w:u w:val="single"/>
          </w:rPr>
          <w:t>Ps 69.8–9</w:t>
        </w:r>
      </w:hyperlink>
      <w:r>
        <w:t>) et anticipe le rôle joué par Judas dans ce qui était fondamentalement l'œuvre de Dieu en Christ (</w:t>
      </w:r>
      <w:hyperlink r:id="rId12993">
        <w:r>
          <w:rPr>
            <w:color w:val="0000EE"/>
            <w:u w:val="single"/>
          </w:rPr>
          <w:t>Ps 69.25–26</w:t>
        </w:r>
      </w:hyperlink>
      <w:r>
        <w:t xml:space="preserve"> ; cf. </w:t>
      </w:r>
      <w:hyperlink r:id="rId12883">
        <w:r>
          <w:rPr>
            <w:color w:val="0000EE"/>
            <w:u w:val="single"/>
          </w:rPr>
          <w:t>Ps 109.8</w:t>
        </w:r>
      </w:hyperlink>
      <w:r>
        <w:t xml:space="preserve"> ; </w:t>
      </w:r>
      <w:hyperlink r:id="rId12994">
        <w:r>
          <w:rPr>
            <w:color w:val="0000EE"/>
            <w:u w:val="single"/>
          </w:rPr>
          <w:t>Es 53.10</w:t>
        </w:r>
      </w:hyperlink>
      <w:r>
        <w:t xml:space="preserve"> ; </w:t>
      </w:r>
      <w:hyperlink r:id="rId12884">
        <w:r>
          <w:rPr>
            <w:color w:val="0000EE"/>
            <w:u w:val="single"/>
          </w:rPr>
          <w:t>Ac 1.20</w:t>
        </w:r>
      </w:hyperlink>
      <w:r>
        <w:t>).</w:t>
      </w:r>
    </w:p>
    <w:p>
      <w:pPr>
        <w:pStyle w:val="Heading4"/>
      </w:pPr>
      <w:r>
        <w:t>Psaumes de Sion</w:t>
      </w:r>
    </w:p>
    <w:p>
      <w:r/>
      <w:r>
        <w:t>Ce groupe aurait pu être classé comme une sous-section de louange communautaire, mais en raison de la proche connexion historique entre le choix de Dieu de la maison de David et Jérusalem (</w:t>
      </w:r>
      <w:hyperlink r:id="rId12995">
        <w:r>
          <w:rPr>
            <w:color w:val="0000EE"/>
            <w:u w:val="single"/>
          </w:rPr>
          <w:t>Ps 78.68–72</w:t>
        </w:r>
      </w:hyperlink>
      <w:r>
        <w:t xml:space="preserve"> ; </w:t>
      </w:r>
      <w:hyperlink r:id="rId12996">
        <w:r>
          <w:rPr>
            <w:color w:val="0000EE"/>
            <w:u w:val="single"/>
          </w:rPr>
          <w:t>132.11–13</w:t>
        </w:r>
      </w:hyperlink>
      <w:r>
        <w:t xml:space="preserve">), et de leurs fortunes interconnectées ultérieures, nous les considérons ici, indépendamment. Il y avait une satire mordante dans la demande formulée par les Babyloniens aux réfugiés d'une ville brisée : « </w:t>
      </w:r>
      <w:r>
        <w:t>Chantez-nous quelques-uns des cantiques de Sion</w:t>
      </w:r>
      <w:r>
        <w:t xml:space="preserve"> </w:t>
      </w:r>
      <w:r>
        <w:t>!</w:t>
      </w:r>
      <w:r>
        <w:t xml:space="preserve"> » Cependant cela témoigne bien de l'existence d'une telle collection (</w:t>
      </w:r>
      <w:hyperlink r:id="rId10415">
        <w:r>
          <w:rPr>
            <w:color w:val="0000EE"/>
            <w:u w:val="single"/>
          </w:rPr>
          <w:t>Ps 137.3</w:t>
        </w:r>
      </w:hyperlink>
      <w:r>
        <w:t>). La louange de Sion était, en fait, presque synonyme de la louange du Seigneur qui y résidait. La survie continue de Jérusalem, malgré ses difficultés, était une démonstration « grandeur nature » de la majesté durable de Dieu (</w:t>
      </w:r>
      <w:hyperlink r:id="rId12997">
        <w:r>
          <w:rPr>
            <w:color w:val="0000EE"/>
            <w:u w:val="single"/>
          </w:rPr>
          <w:t>Ps 48.11–14</w:t>
        </w:r>
      </w:hyperlink>
      <w:r>
        <w:t>) et de son affection particulière pour la ville qui abritait son temple (</w:t>
      </w:r>
      <w:hyperlink r:id="rId12998">
        <w:r>
          <w:rPr>
            <w:color w:val="0000EE"/>
            <w:u w:val="single"/>
          </w:rPr>
          <w:t>Ps 87.1–3</w:t>
        </w:r>
      </w:hyperlink>
      <w:r>
        <w:t>). Les</w:t>
      </w:r>
      <w:hyperlink r:id="rId10426">
        <w:r>
          <w:rPr>
            <w:color w:val="0000EE"/>
            <w:u w:val="single"/>
          </w:rPr>
          <w:t xml:space="preserve"> Psaumes 48</w:t>
        </w:r>
      </w:hyperlink>
      <w:r>
        <w:t xml:space="preserve">, </w:t>
      </w:r>
      <w:hyperlink r:id="rId10463">
        <w:r>
          <w:rPr>
            <w:color w:val="0000EE"/>
            <w:u w:val="single"/>
          </w:rPr>
          <w:t>76</w:t>
        </w:r>
      </w:hyperlink>
      <w:r>
        <w:t xml:space="preserve">, </w:t>
      </w:r>
      <w:hyperlink r:id="rId10443">
        <w:r>
          <w:rPr>
            <w:color w:val="0000EE"/>
            <w:u w:val="single"/>
          </w:rPr>
          <w:t>84</w:t>
        </w:r>
      </w:hyperlink>
      <w:r>
        <w:t xml:space="preserve">, </w:t>
      </w:r>
      <w:hyperlink r:id="rId12999">
        <w:r>
          <w:rPr>
            <w:color w:val="0000EE"/>
            <w:u w:val="single"/>
          </w:rPr>
          <w:t>87</w:t>
        </w:r>
      </w:hyperlink>
      <w:r>
        <w:t xml:space="preserve"> et </w:t>
      </w:r>
      <w:hyperlink r:id="rId13000">
        <w:r>
          <w:rPr>
            <w:color w:val="0000EE"/>
            <w:u w:val="single"/>
          </w:rPr>
          <w:t>122</w:t>
        </w:r>
      </w:hyperlink>
      <w:r>
        <w:t xml:space="preserve"> sont les principaux psaumes de cette catégorie, mais le thème lui-même apparaît largement à travers les psaumes (par exemple, </w:t>
      </w:r>
      <w:hyperlink r:id="rId13001">
        <w:r>
          <w:rPr>
            <w:color w:val="0000EE"/>
            <w:u w:val="single"/>
          </w:rPr>
          <w:t>102.16</w:t>
        </w:r>
      </w:hyperlink>
      <w:r>
        <w:t xml:space="preserve"> ; </w:t>
      </w:r>
      <w:hyperlink r:id="rId13002">
        <w:r>
          <w:rPr>
            <w:color w:val="0000EE"/>
            <w:u w:val="single"/>
          </w:rPr>
          <w:t>125.1</w:t>
        </w:r>
      </w:hyperlink>
      <w:r>
        <w:t xml:space="preserve"> ; </w:t>
      </w:r>
      <w:hyperlink r:id="rId13003">
        <w:r>
          <w:rPr>
            <w:color w:val="0000EE"/>
            <w:u w:val="single"/>
          </w:rPr>
          <w:t>126.1–3</w:t>
        </w:r>
      </w:hyperlink>
      <w:r>
        <w:t xml:space="preserve"> ; </w:t>
      </w:r>
      <w:hyperlink r:id="rId13004">
        <w:r>
          <w:rPr>
            <w:color w:val="0000EE"/>
            <w:u w:val="single"/>
          </w:rPr>
          <w:t>133.3</w:t>
        </w:r>
      </w:hyperlink>
      <w:r>
        <w:t xml:space="preserve"> ; </w:t>
      </w:r>
      <w:hyperlink r:id="rId13005">
        <w:r>
          <w:rPr>
            <w:color w:val="0000EE"/>
            <w:u w:val="single"/>
          </w:rPr>
          <w:t>147.2</w:t>
        </w:r>
      </w:hyperlink>
      <w:r>
        <w:t xml:space="preserve">). La base du concept d'une Jérusalem céleste, la maison spirituelle des régénérés de toutes les nations, dans le NT, trouve son origine dans ce concept, en particulier dans le </w:t>
      </w:r>
      <w:hyperlink r:id="rId12999">
        <w:r>
          <w:rPr>
            <w:color w:val="0000EE"/>
            <w:u w:val="single"/>
          </w:rPr>
          <w:t>Psaume 87</w:t>
        </w:r>
      </w:hyperlink>
      <w:r>
        <w:t>.</w:t>
      </w:r>
    </w:p>
    <w:p>
      <w:pPr>
        <w:pStyle w:val="Heading4"/>
      </w:pPr>
      <w:r>
        <w:t>Psaumes de lamentation</w:t>
      </w:r>
    </w:p>
    <w:p>
      <w:r/>
      <w:r>
        <w:t>Ceux-ci sont associés à des occasions spécifiques de détresse et se classent en deux types :</w:t>
      </w:r>
    </w:p>
    <w:p>
      <w:r/>
      <w:r>
        <w:t xml:space="preserve">1. National. Les livres prophétiques et historiques fournissent plusieurs exemples de ce type d'occasion, tels que la sécheresse, l'infestation de criquets ou l'attaque ennemie, qui pourraient susciter des lamentations nationales, ainsi que les attitudes intérieures et extérieures qui les accompagnaient (voir par exemple </w:t>
      </w:r>
      <w:hyperlink r:id="rId13006">
        <w:r>
          <w:rPr>
            <w:color w:val="0000EE"/>
            <w:u w:val="single"/>
          </w:rPr>
          <w:t>Jg 20.23, 26</w:t>
        </w:r>
      </w:hyperlink>
      <w:r>
        <w:t xml:space="preserve"> ; </w:t>
      </w:r>
      <w:hyperlink r:id="rId13007">
        <w:r>
          <w:rPr>
            <w:color w:val="0000EE"/>
            <w:u w:val="single"/>
          </w:rPr>
          <w:t>Jr 14.1–12</w:t>
        </w:r>
      </w:hyperlink>
      <w:r>
        <w:t xml:space="preserve"> ; </w:t>
      </w:r>
      <w:hyperlink r:id="rId13008">
        <w:r>
          <w:rPr>
            <w:color w:val="0000EE"/>
            <w:u w:val="single"/>
          </w:rPr>
          <w:t>36.9</w:t>
        </w:r>
      </w:hyperlink>
      <w:r>
        <w:t xml:space="preserve"> ; </w:t>
      </w:r>
      <w:hyperlink r:id="rId13009">
        <w:r>
          <w:rPr>
            <w:color w:val="0000EE"/>
            <w:u w:val="single"/>
          </w:rPr>
          <w:t>Jl 1.13–14</w:t>
        </w:r>
      </w:hyperlink>
      <w:r>
        <w:t xml:space="preserve"> ; </w:t>
      </w:r>
      <w:hyperlink r:id="rId7335">
        <w:r>
          <w:rPr>
            <w:color w:val="0000EE"/>
            <w:u w:val="single"/>
          </w:rPr>
          <w:t>2.12–17</w:t>
        </w:r>
      </w:hyperlink>
      <w:r>
        <w:t xml:space="preserve"> ; </w:t>
      </w:r>
      <w:hyperlink r:id="rId13010">
        <w:r>
          <w:rPr>
            <w:color w:val="0000EE"/>
            <w:u w:val="single"/>
          </w:rPr>
          <w:t>Jon 3.5</w:t>
        </w:r>
      </w:hyperlink>
      <w:r>
        <w:t xml:space="preserve">). Il y a une structure régulière dans les psaumes de cette catégorie : la situation pénible est d'abord décrite ; Dieu est prié de venir en aide à son peuple, souvent avec le rappel de ses miséricordes passées pour Israël ; enfin, vient souvent une expression de confiance que Dieu écoutera leur cri. Les adversaires d'Israël sont clairement en vue dans </w:t>
      </w:r>
      <w:hyperlink r:id="rId12918">
        <w:r>
          <w:rPr>
            <w:color w:val="0000EE"/>
            <w:u w:val="single"/>
          </w:rPr>
          <w:t>Psaumes 14</w:t>
        </w:r>
      </w:hyperlink>
      <w:r>
        <w:t xml:space="preserve">, </w:t>
      </w:r>
      <w:hyperlink r:id="rId12903">
        <w:r>
          <w:rPr>
            <w:color w:val="0000EE"/>
            <w:u w:val="single"/>
          </w:rPr>
          <w:t>44</w:t>
        </w:r>
      </w:hyperlink>
      <w:r>
        <w:t xml:space="preserve">, </w:t>
      </w:r>
      <w:hyperlink r:id="rId10471">
        <w:r>
          <w:rPr>
            <w:color w:val="0000EE"/>
            <w:u w:val="single"/>
          </w:rPr>
          <w:t>60</w:t>
        </w:r>
      </w:hyperlink>
      <w:r>
        <w:t xml:space="preserve">, </w:t>
      </w:r>
      <w:hyperlink r:id="rId10448">
        <w:r>
          <w:rPr>
            <w:color w:val="0000EE"/>
            <w:u w:val="single"/>
          </w:rPr>
          <w:t>74</w:t>
        </w:r>
      </w:hyperlink>
      <w:r>
        <w:t xml:space="preserve">, </w:t>
      </w:r>
      <w:hyperlink r:id="rId10439">
        <w:r>
          <w:rPr>
            <w:color w:val="0000EE"/>
            <w:u w:val="single"/>
          </w:rPr>
          <w:t>80</w:t>
        </w:r>
      </w:hyperlink>
      <w:r>
        <w:t xml:space="preserve"> et </w:t>
      </w:r>
      <w:hyperlink r:id="rId13011">
        <w:r>
          <w:rPr>
            <w:color w:val="0000EE"/>
            <w:u w:val="single"/>
          </w:rPr>
          <w:t>83</w:t>
        </w:r>
      </w:hyperlink>
      <w:r>
        <w:t xml:space="preserve">, tandis que </w:t>
      </w:r>
      <w:hyperlink r:id="rId13012">
        <w:r>
          <w:rPr>
            <w:color w:val="0000EE"/>
            <w:u w:val="single"/>
          </w:rPr>
          <w:t>Psaumes 58</w:t>
        </w:r>
      </w:hyperlink>
      <w:r>
        <w:t xml:space="preserve">, </w:t>
      </w:r>
      <w:hyperlink r:id="rId5303">
        <w:r>
          <w:rPr>
            <w:color w:val="0000EE"/>
            <w:u w:val="single"/>
          </w:rPr>
          <w:t>106</w:t>
        </w:r>
      </w:hyperlink>
      <w:r>
        <w:t xml:space="preserve"> et </w:t>
      </w:r>
      <w:hyperlink r:id="rId13013">
        <w:r>
          <w:rPr>
            <w:color w:val="0000EE"/>
            <w:u w:val="single"/>
          </w:rPr>
          <w:t>125</w:t>
        </w:r>
      </w:hyperlink>
      <w:r>
        <w:t xml:space="preserve"> reflètent des situations moins critiques.</w:t>
      </w:r>
    </w:p>
    <w:p>
      <w:r/>
      <w:r>
        <w:t xml:space="preserve">2. Individuel. Il y en a tellement de ce type (environ cinquante) qu'ils sont souvent décrits comme la colonne vertébrale du Psautier. Leurs caractéristiques les plus évidentes sont la netteté de la plainte et l'amertume exprimée envers les responsables. Comme dans les lamentations nationales, il y a souvent une plainte contre Dieu, notamment pour son manque d'attention ou sa lenteur à intervenir. Les composants de base de ce type de psaume sont presque identiques à ceux des lamentations nationales, sauf qu'ils se terminent souvent par l'affirmation de la louange à Dieu en prévision de la délivrance (voir par exemple </w:t>
      </w:r>
      <w:hyperlink r:id="rId13014">
        <w:r>
          <w:rPr>
            <w:color w:val="0000EE"/>
            <w:u w:val="single"/>
          </w:rPr>
          <w:t>Ps 13.5–6</w:t>
        </w:r>
      </w:hyperlink>
      <w:r>
        <w:t xml:space="preserve">). Souvent, la lamentation est accompagnée d'actions de grâces pour la délivrance recherchée et vécue, comme illustré dans les deux sections de </w:t>
      </w:r>
      <w:hyperlink r:id="rId13015">
        <w:r>
          <w:rPr>
            <w:color w:val="0000EE"/>
            <w:u w:val="single"/>
          </w:rPr>
          <w:t>Psaumes 22.1–21</w:t>
        </w:r>
      </w:hyperlink>
      <w:r>
        <w:t xml:space="preserve"> et </w:t>
      </w:r>
      <w:hyperlink r:id="rId12869">
        <w:r>
          <w:rPr>
            <w:color w:val="0000EE"/>
            <w:u w:val="single"/>
          </w:rPr>
          <w:t>28.1–9</w:t>
        </w:r>
      </w:hyperlink>
      <w:r>
        <w:t>.</w:t>
      </w:r>
    </w:p>
    <w:p>
      <w:pPr>
        <w:pStyle w:val="Heading4"/>
      </w:pPr>
      <w:r>
        <w:t>Psaumes d'imprécation</w:t>
      </w:r>
    </w:p>
    <w:p>
      <w:r/>
      <w:r>
        <w:t>Environ vingt psaumes contiennent des supplications passionnées demandant le renversement des méchants, dans un langage souvent choquant. Toute condamnation immédiate de cette attitude doit cependant être tempérée par certaines considérations pertinentes :</w:t>
      </w:r>
    </w:p>
    <w:p>
      <w:r/>
      <w:r>
        <w:t xml:space="preserve">Le cri de vengeance n'était pas purement personnel ; on croyait fermement que l'honneur de Dieu était en jeu (voir par exemple </w:t>
      </w:r>
      <w:hyperlink r:id="rId13016">
        <w:r>
          <w:rPr>
            <w:color w:val="0000EE"/>
            <w:u w:val="single"/>
          </w:rPr>
          <w:t>Ps 109.21</w:t>
        </w:r>
      </w:hyperlink>
      <w:r>
        <w:t xml:space="preserve">). À une époque où la vision de la vie à venir était moins développée, il était évident que les récompenses et les punitions résultant de l'obéissance ou de la désobéissance à Dieu devaient être observables au cours de cette vie. Chaque fois que cela n'était pas apparent, il semblait qu'aucun Dieu juste n'existait, et que le nom de Dieu était donc déshonoré (voir par exemple </w:t>
      </w:r>
      <w:hyperlink r:id="rId13017">
        <w:r>
          <w:rPr>
            <w:color w:val="0000EE"/>
            <w:u w:val="single"/>
          </w:rPr>
          <w:t>Ps 74.10</w:t>
        </w:r>
      </w:hyperlink>
      <w:r>
        <w:t>). Ce désir ardent d'éradiquer le mal et les hommes mauvais provenait d'une conscience d'un Dieu moral et exigeait (ou presque) le triomphe de la vérité.</w:t>
      </w:r>
    </w:p>
    <w:p>
      <w:r/>
      <w:r>
        <w:t xml:space="preserve">Le langage poétique est également enclin à l'hyperbole (une caractéristique qui n'est pas confinée aux psaumes ; voir par exemple </w:t>
      </w:r>
      <w:hyperlink r:id="rId13018">
        <w:r>
          <w:rPr>
            <w:color w:val="0000EE"/>
            <w:u w:val="single"/>
          </w:rPr>
          <w:t>Né 4.4–5</w:t>
        </w:r>
      </w:hyperlink>
      <w:r>
        <w:t xml:space="preserve"> ; </w:t>
      </w:r>
      <w:hyperlink r:id="rId13019">
        <w:r>
          <w:rPr>
            <w:color w:val="0000EE"/>
            <w:u w:val="single"/>
          </w:rPr>
          <w:t>Jr 20.14–18</w:t>
        </w:r>
      </w:hyperlink>
      <w:r>
        <w:t xml:space="preserve"> ; </w:t>
      </w:r>
      <w:hyperlink r:id="rId13020">
        <w:r>
          <w:rPr>
            <w:color w:val="0000EE"/>
            <w:u w:val="single"/>
          </w:rPr>
          <w:t>Am 7.17</w:t>
        </w:r>
      </w:hyperlink>
      <w:r>
        <w:t>). Un tel langage est surprenant ; en effet, une partie de sa fonction était probablement de surprendre ; d'exprimer et de promouvoir un sentiment d'indignation.</w:t>
      </w:r>
    </w:p>
    <w:p>
      <w:r/>
      <w:r>
        <w:t>Dans la période préchrétienne, par conséquent, de tels emportements n'étaient pas complètement injustifiables. Mais à la lumière de la révélation plus complète dans le NT, une telle attitude ne peut être tolérée. Le chrétien doit aimer comme Christ a aimé (</w:t>
      </w:r>
      <w:hyperlink r:id="rId13021">
        <w:r>
          <w:rPr>
            <w:color w:val="0000EE"/>
            <w:u w:val="single"/>
          </w:rPr>
          <w:t>Jn 13.34</w:t>
        </w:r>
      </w:hyperlink>
      <w:r>
        <w:t>), prier pour ses ennemis et leur pardonner (</w:t>
      </w:r>
      <w:hyperlink r:id="rId12880">
        <w:r>
          <w:rPr>
            <w:color w:val="0000EE"/>
            <w:u w:val="single"/>
          </w:rPr>
          <w:t>Mt 5.38–48</w:t>
        </w:r>
      </w:hyperlink>
      <w:r>
        <w:t xml:space="preserve"> ; </w:t>
      </w:r>
      <w:hyperlink r:id="rId11712">
        <w:r>
          <w:rPr>
            <w:color w:val="0000EE"/>
            <w:u w:val="single"/>
          </w:rPr>
          <w:t>Col 3.13</w:t>
        </w:r>
      </w:hyperlink>
      <w:r>
        <w:t>). Le thème du jugement se poursuit dans le NT et y est même intensifié, puisque la venue de Christ a laissé les gens sans excuse pour vivre dans le péché (</w:t>
      </w:r>
      <w:hyperlink r:id="rId13022">
        <w:r>
          <w:rPr>
            <w:color w:val="0000EE"/>
            <w:u w:val="single"/>
          </w:rPr>
          <w:t>Jn 16.8–11</w:t>
        </w:r>
      </w:hyperlink>
      <w:r>
        <w:t>), mais il ne peut y avoir de place pour une vengeance purement privée.</w:t>
      </w:r>
    </w:p>
    <w:p>
      <w:pPr>
        <w:pStyle w:val="Heading4"/>
      </w:pPr>
      <w:r>
        <w:t>Psaumes de repentance</w:t>
      </w:r>
    </w:p>
    <w:p>
      <w:r/>
      <w:hyperlink r:id="rId3606">
        <w:r>
          <w:rPr>
            <w:color w:val="0000EE"/>
            <w:u w:val="single"/>
          </w:rPr>
          <w:t>Psaumes 32</w:t>
        </w:r>
      </w:hyperlink>
      <w:r>
        <w:t xml:space="preserve">, </w:t>
      </w:r>
      <w:hyperlink r:id="rId10469">
        <w:r>
          <w:rPr>
            <w:color w:val="0000EE"/>
            <w:u w:val="single"/>
          </w:rPr>
          <w:t>38</w:t>
        </w:r>
      </w:hyperlink>
      <w:r>
        <w:t xml:space="preserve">, </w:t>
      </w:r>
      <w:hyperlink r:id="rId3607">
        <w:r>
          <w:rPr>
            <w:color w:val="0000EE"/>
            <w:u w:val="single"/>
          </w:rPr>
          <w:t>51</w:t>
        </w:r>
      </w:hyperlink>
      <w:r>
        <w:t xml:space="preserve"> et </w:t>
      </w:r>
      <w:hyperlink r:id="rId12931">
        <w:r>
          <w:rPr>
            <w:color w:val="0000EE"/>
            <w:u w:val="single"/>
          </w:rPr>
          <w:t>130</w:t>
        </w:r>
      </w:hyperlink>
      <w:r>
        <w:t xml:space="preserve"> sont les exemples les plus clairs de psaumes de repentance, bien que traditionnellement l'Église ait également inclus les </w:t>
      </w:r>
      <w:hyperlink r:id="rId10459">
        <w:r>
          <w:rPr>
            <w:color w:val="0000EE"/>
            <w:u w:val="single"/>
          </w:rPr>
          <w:t>Psaumes 6</w:t>
        </w:r>
      </w:hyperlink>
      <w:r>
        <w:t xml:space="preserve">, </w:t>
      </w:r>
      <w:hyperlink r:id="rId10476">
        <w:r>
          <w:rPr>
            <w:color w:val="0000EE"/>
            <w:u w:val="single"/>
          </w:rPr>
          <w:t>102</w:t>
        </w:r>
      </w:hyperlink>
      <w:r>
        <w:t xml:space="preserve">, </w:t>
      </w:r>
      <w:hyperlink r:id="rId13023">
        <w:r>
          <w:rPr>
            <w:color w:val="0000EE"/>
            <w:u w:val="single"/>
          </w:rPr>
          <w:t>143</w:t>
        </w:r>
      </w:hyperlink>
      <w:r>
        <w:t xml:space="preserve">, où il n'y a pas de confession explicite du péché. À une époque où l'adversité sous ses diverses formes était perçue comme le jugement de Dieu pour les méfaits, admettre sa détresse équivalait à une confession de culpabilité. Dans les quatre principaux exemples, il y a une intensité de sentiment et une profonde conscience de l'énormité du péché aux yeux de Dieu, bien que, comme ailleurs, il n'y ait aucune indication de péché spécifique, même dans le </w:t>
      </w:r>
      <w:hyperlink r:id="rId3607">
        <w:r>
          <w:rPr>
            <w:color w:val="0000EE"/>
            <w:u w:val="single"/>
          </w:rPr>
          <w:t>Psaume 51</w:t>
        </w:r>
      </w:hyperlink>
      <w:r>
        <w:t>, qui est sûrement à relier au péché de David contre Bath-Schéba (</w:t>
      </w:r>
      <w:hyperlink r:id="rId6451">
        <w:r>
          <w:rPr>
            <w:color w:val="0000EE"/>
            <w:u w:val="single"/>
          </w:rPr>
          <w:t>2S 11–12</w:t>
        </w:r>
      </w:hyperlink>
      <w:r>
        <w:t>). De manière significative, David contourne le système sacrificiel, qui était totalement inefficace dans son cas, se jetant entièrement sur la miséricorde de Dieu (</w:t>
      </w:r>
      <w:hyperlink r:id="rId13024">
        <w:r>
          <w:rPr>
            <w:color w:val="0000EE"/>
            <w:u w:val="single"/>
          </w:rPr>
          <w:t>Ps 51.1, 16</w:t>
        </w:r>
      </w:hyperlink>
      <w:r>
        <w:t xml:space="preserve">). Le fardeau du péché non confessé est clairement révélé dans le </w:t>
      </w:r>
      <w:hyperlink r:id="rId3606">
        <w:r>
          <w:rPr>
            <w:color w:val="0000EE"/>
            <w:u w:val="single"/>
          </w:rPr>
          <w:t>Psaume 32</w:t>
        </w:r>
      </w:hyperlink>
      <w:r>
        <w:t xml:space="preserve">, et l'effet brûlant et corrupteur du péché dans le </w:t>
      </w:r>
      <w:hyperlink r:id="rId10469">
        <w:r>
          <w:rPr>
            <w:color w:val="0000EE"/>
            <w:u w:val="single"/>
          </w:rPr>
          <w:t>Psaume 38</w:t>
        </w:r>
      </w:hyperlink>
      <w:r>
        <w:t>.</w:t>
      </w:r>
    </w:p>
    <w:p>
      <w:pPr>
        <w:pStyle w:val="Heading4"/>
      </w:pPr>
      <w:r>
        <w:t>Psaumes de sagesse et psaumes historiques</w:t>
      </w:r>
    </w:p>
    <w:p>
      <w:r/>
      <w:r>
        <w:t>Bien qu'il soit admis que les prophètes, les prêtres et les sages aient tous exercé leurs fonctions dans les grands sanctuaires, un certain chevauchement dans leurs modes d'expression est à prévoir. Les formes proverbiales se retrouvent assez souvent dans les psaumes (</w:t>
      </w:r>
      <w:hyperlink r:id="rId13025">
        <w:r>
          <w:rPr>
            <w:color w:val="0000EE"/>
            <w:u w:val="single"/>
          </w:rPr>
          <w:t>Ps 37.5, 8, 16, 21–22</w:t>
        </w:r>
      </w:hyperlink>
      <w:r>
        <w:t xml:space="preserve"> ; </w:t>
      </w:r>
      <w:hyperlink r:id="rId11963">
        <w:r>
          <w:rPr>
            <w:color w:val="0000EE"/>
            <w:u w:val="single"/>
          </w:rPr>
          <w:t>111.10</w:t>
        </w:r>
      </w:hyperlink>
      <w:r>
        <w:t xml:space="preserve"> ; </w:t>
      </w:r>
      <w:hyperlink r:id="rId12890">
        <w:r>
          <w:rPr>
            <w:color w:val="0000EE"/>
            <w:u w:val="single"/>
          </w:rPr>
          <w:t>127.1–5</w:t>
        </w:r>
      </w:hyperlink>
      <w:r>
        <w:t>). Le</w:t>
      </w:r>
      <w:hyperlink r:id="rId11764">
        <w:r>
          <w:rPr>
            <w:color w:val="0000EE"/>
            <w:u w:val="single"/>
          </w:rPr>
          <w:t xml:space="preserve"> Psaume 1</w:t>
        </w:r>
      </w:hyperlink>
      <w:r>
        <w:t xml:space="preserve"> (probablement une introduction à l'ensemble du Psautier) contraste les chemins divergents des justes et des impies (voir </w:t>
      </w:r>
      <w:hyperlink r:id="rId11765">
        <w:r>
          <w:rPr>
            <w:color w:val="0000EE"/>
            <w:u w:val="single"/>
          </w:rPr>
          <w:t>Ps 112</w:t>
        </w:r>
      </w:hyperlink>
      <w:r>
        <w:t>), tandis que les</w:t>
      </w:r>
      <w:hyperlink r:id="rId12890">
        <w:r>
          <w:rPr>
            <w:color w:val="0000EE"/>
            <w:u w:val="single"/>
          </w:rPr>
          <w:t xml:space="preserve"> Psaumes 127</w:t>
        </w:r>
      </w:hyperlink>
      <w:r>
        <w:t xml:space="preserve"> et </w:t>
      </w:r>
      <w:hyperlink r:id="rId536">
        <w:r>
          <w:rPr>
            <w:color w:val="0000EE"/>
            <w:u w:val="single"/>
          </w:rPr>
          <w:t>128</w:t>
        </w:r>
      </w:hyperlink>
      <w:r>
        <w:t xml:space="preserve"> se concentrent sur les bénédictions accordées aux pieux. Le</w:t>
      </w:r>
      <w:hyperlink r:id="rId13026">
        <w:r>
          <w:rPr>
            <w:color w:val="0000EE"/>
            <w:u w:val="single"/>
          </w:rPr>
          <w:t xml:space="preserve"> Psaume 133</w:t>
        </w:r>
      </w:hyperlink>
      <w:r>
        <w:t xml:space="preserve"> est écrit pour vanter l'unité. Le problème d'expliquer les souffrances d'une personne juste et la prospérité apparente des méchants, traité dans la littérature de la sagesse dans le livre de Job ainsi que chez les prophètes (voir par exemple </w:t>
      </w:r>
      <w:hyperlink r:id="rId12579">
        <w:r>
          <w:rPr>
            <w:color w:val="0000EE"/>
            <w:u w:val="single"/>
          </w:rPr>
          <w:t>Jr 12.1–4</w:t>
        </w:r>
      </w:hyperlink>
      <w:r>
        <w:t>) est abordé dans les</w:t>
      </w:r>
      <w:hyperlink r:id="rId11768">
        <w:r>
          <w:rPr>
            <w:color w:val="0000EE"/>
            <w:u w:val="single"/>
          </w:rPr>
          <w:t xml:space="preserve"> Psaumes 37</w:t>
        </w:r>
      </w:hyperlink>
      <w:r>
        <w:t xml:space="preserve">, </w:t>
      </w:r>
      <w:hyperlink r:id="rId11769">
        <w:r>
          <w:rPr>
            <w:color w:val="0000EE"/>
            <w:u w:val="single"/>
          </w:rPr>
          <w:t>49</w:t>
        </w:r>
      </w:hyperlink>
      <w:r>
        <w:t xml:space="preserve"> et </w:t>
      </w:r>
      <w:hyperlink r:id="rId11770">
        <w:r>
          <w:rPr>
            <w:color w:val="0000EE"/>
            <w:u w:val="single"/>
          </w:rPr>
          <w:t>73</w:t>
        </w:r>
      </w:hyperlink>
      <w:r>
        <w:t>.</w:t>
      </w:r>
    </w:p>
    <w:p>
      <w:r/>
      <w:r>
        <w:t xml:space="preserve">Les psaumes historiques devraient également être inclus dans cette catégorie, car ils soulignent les leçons tirées de l'expérience souvent amère de la nation qui faisait l'objet de la faveur de Dieu. Il est évident qu'Israël se réjouissait du récit de l'histoire du salut. Les principaux psaumes et les périodes couvertes sont le </w:t>
      </w:r>
      <w:hyperlink r:id="rId10449">
        <w:r>
          <w:rPr>
            <w:color w:val="0000EE"/>
            <w:u w:val="single"/>
          </w:rPr>
          <w:t>Psaume 78</w:t>
        </w:r>
      </w:hyperlink>
      <w:r>
        <w:t xml:space="preserve">, de l'Exode à l'établissement de la monarchie davidique (notez l'intention déclarée d'enseigner dans les v. </w:t>
      </w:r>
      <w:hyperlink r:id="rId13027">
        <w:r>
          <w:rPr>
            <w:color w:val="0000EE"/>
            <w:u w:val="single"/>
          </w:rPr>
          <w:t>1–4</w:t>
        </w:r>
      </w:hyperlink>
      <w:r>
        <w:t xml:space="preserve">) ; le </w:t>
      </w:r>
      <w:hyperlink r:id="rId5302">
        <w:r>
          <w:rPr>
            <w:color w:val="0000EE"/>
            <w:u w:val="single"/>
          </w:rPr>
          <w:t>Psaume 105</w:t>
        </w:r>
      </w:hyperlink>
      <w:r>
        <w:t xml:space="preserve">, d'Abraham à la conquête de Canaan ; le </w:t>
      </w:r>
      <w:hyperlink r:id="rId5303">
        <w:r>
          <w:rPr>
            <w:color w:val="0000EE"/>
            <w:u w:val="single"/>
          </w:rPr>
          <w:t>Psaume 106</w:t>
        </w:r>
      </w:hyperlink>
      <w:r>
        <w:t xml:space="preserve">, de l'Égypte aux juges ; et le </w:t>
      </w:r>
      <w:hyperlink r:id="rId5305">
        <w:r>
          <w:rPr>
            <w:color w:val="0000EE"/>
            <w:u w:val="single"/>
          </w:rPr>
          <w:t>Psaume 136</w:t>
        </w:r>
      </w:hyperlink>
      <w:r>
        <w:t>, de la Création à la Terre Promise.</w:t>
      </w:r>
    </w:p>
    <w:p>
      <w:pPr>
        <w:pStyle w:val="Heading4"/>
      </w:pPr>
      <w:r>
        <w:t>Psaumes de confiance</w:t>
      </w:r>
    </w:p>
    <w:p>
      <w:r/>
      <w:r>
        <w:t>Bien que certains de ceux-ci puissent également être classés comme des psaumes de lamentation, la caractéristique dominante de ce groupe de cantiques est la confiance sereine en Dieu révélée, ce qui les rend particulièrement adaptés à un usage dévotionnel. Beaucoup de ces psaumes commencent par une affirmation de gratitude et d'affection envers Dieu. Les</w:t>
      </w:r>
      <w:hyperlink r:id="rId5469">
        <w:r>
          <w:rPr>
            <w:color w:val="0000EE"/>
            <w:u w:val="single"/>
          </w:rPr>
          <w:t xml:space="preserve"> Psaumes 23</w:t>
        </w:r>
      </w:hyperlink>
      <w:r>
        <w:t xml:space="preserve"> et </w:t>
      </w:r>
      <w:hyperlink r:id="rId13028">
        <w:r>
          <w:rPr>
            <w:color w:val="0000EE"/>
            <w:u w:val="single"/>
          </w:rPr>
          <w:t>27</w:t>
        </w:r>
      </w:hyperlink>
      <w:r>
        <w:t xml:space="preserve"> sont des exemples remarquables de ce type de psaume, qui pourraient également inclure les</w:t>
      </w:r>
      <w:hyperlink r:id="rId13029">
        <w:r>
          <w:rPr>
            <w:color w:val="0000EE"/>
            <w:u w:val="single"/>
          </w:rPr>
          <w:t xml:space="preserve"> Psaumes 11</w:t>
        </w:r>
      </w:hyperlink>
      <w:r>
        <w:t xml:space="preserve">, </w:t>
      </w:r>
      <w:hyperlink r:id="rId2979">
        <w:r>
          <w:rPr>
            <w:color w:val="0000EE"/>
            <w:u w:val="single"/>
          </w:rPr>
          <w:t>16</w:t>
        </w:r>
      </w:hyperlink>
      <w:r>
        <w:t xml:space="preserve">, </w:t>
      </w:r>
      <w:hyperlink r:id="rId13030">
        <w:r>
          <w:rPr>
            <w:color w:val="0000EE"/>
            <w:u w:val="single"/>
          </w:rPr>
          <w:t>62</w:t>
        </w:r>
      </w:hyperlink>
      <w:r>
        <w:t xml:space="preserve">, </w:t>
      </w:r>
      <w:hyperlink r:id="rId12947">
        <w:r>
          <w:rPr>
            <w:color w:val="0000EE"/>
            <w:u w:val="single"/>
          </w:rPr>
          <w:t>116</w:t>
        </w:r>
      </w:hyperlink>
      <w:r>
        <w:t xml:space="preserve">, </w:t>
      </w:r>
      <w:hyperlink r:id="rId13031">
        <w:r>
          <w:rPr>
            <w:color w:val="0000EE"/>
            <w:u w:val="single"/>
          </w:rPr>
          <w:t>131</w:t>
        </w:r>
      </w:hyperlink>
      <w:r>
        <w:t xml:space="preserve"> et </w:t>
      </w:r>
      <w:hyperlink r:id="rId12948">
        <w:r>
          <w:rPr>
            <w:color w:val="0000EE"/>
            <w:u w:val="single"/>
          </w:rPr>
          <w:t>138</w:t>
        </w:r>
      </w:hyperlink>
      <w:r>
        <w:t>.</w:t>
      </w:r>
    </w:p>
    <w:p>
      <w:pPr>
        <w:pStyle w:val="Heading3"/>
      </w:pPr>
      <w:r>
        <w:t>Conclusion</w:t>
      </w:r>
    </w:p>
    <w:p>
      <w:r/>
      <w:r>
        <w:t>Les difficultés liées à une catégorisation précise des psaumes sont évidentes ; beaucoup ne rentrent pas facilement dans un groupe ou un autre, d'où des chevauchements occasionnels. Ce qui est clairement manifeste reste néanmoins une vie dévotionnelle vibrante et vitale qui a trouvé son expression la plus claire dans le livre des Psaumes. Dire qu'il exprime le culte et la dévotion de la personne ordinaire serait trop simpliste : rois et prêtres, sages et prophètes ont tous contribué à cette collection remarquable. Cependant, il reste vrai qu'aux yeux de Dieu, toutes les personnes, indépendamment de leurs réalisations ou privilèges humains, sont « ordinaires », car tous sont pécheurs et tous ont besoin de la grâce et de la bonté de Dieu. Ainsi, la communauté d'adoration de l'Israël antique, et les saints de chaque génération à leur suite, dans l'immensité de leur diversité, ont trouvé l'expression de l'état de leur propre cœur, de leurs désirs et de leur dévotion dans ce trésor unique que sont les Psaumes.</w:t>
      </w:r>
    </w:p>
    <w:p>
      <w:r/>
      <w:r>
        <w:rPr>
          <w:i/>
        </w:rPr>
        <w:t>Voir aussi</w:t>
      </w:r>
      <w:r>
        <w:t xml:space="preserve"> </w:t>
      </w:r>
      <w:r>
        <w:t>David</w:t>
      </w:r>
      <w:r>
        <w:t xml:space="preserve"> ; </w:t>
      </w:r>
      <w:r>
        <w:t>Messie</w:t>
      </w:r>
      <w:r>
        <w:t xml:space="preserve"> ; </w:t>
      </w:r>
      <w:r>
        <w:t>Musique</w:t>
      </w:r>
      <w:r>
        <w:t xml:space="preserve"> ; </w:t>
      </w:r>
      <w:r>
        <w:t>Poésie biblique</w:t>
      </w:r>
      <w:r>
        <w:t xml:space="preserve"> ; </w:t>
      </w:r>
      <w:r>
        <w:t>Chantres</w:t>
      </w:r>
      <w:r>
        <w:t xml:space="preserve"> ; </w:t>
      </w:r>
      <w:r>
        <w:t>Tabernacle</w:t>
      </w:r>
      <w:r>
        <w:t xml:space="preserve"> ; </w:t>
      </w:r>
      <w:r>
        <w:t>Temple</w:t>
      </w:r>
      <w:r>
        <w:t xml:space="preserve"> ; </w:t>
      </w:r>
      <w:r>
        <w:t>Sagesse</w:t>
      </w:r>
      <w:r>
        <w:t xml:space="preserve"> ; </w:t>
      </w:r>
      <w:r>
        <w:t>Littérature de sagesse (sapientiale)</w:t>
      </w:r>
      <w:r>
        <w:t>.</w:t>
      </w:r>
      <w:r/>
      <w:r/>
    </w:p>
    <w:p>
      <w:r/>
    </w:p>
    <w:p>
      <w:pPr>
        <w:pStyle w:val="Heading2"/>
      </w:pPr>
      <w:r>
        <w:t>Ptolémaïs</w:t>
      </w:r>
      <w:r/>
    </w:p>
    <w:p>
      <w:r/>
      <w:r>
        <w:t>Nom alternatif pour Acco, une ville du nord de la Palestine (</w:t>
      </w:r>
      <w:hyperlink r:id="rId119">
        <w:r>
          <w:rPr>
            <w:color w:val="0000EE"/>
            <w:u w:val="single"/>
          </w:rPr>
          <w:t>Ac 21.7</w:t>
        </w:r>
      </w:hyperlink>
      <w:r>
        <w:t>).</w:t>
      </w:r>
    </w:p>
    <w:p>
      <w:r/>
      <w:r>
        <w:rPr>
          <w:i/>
        </w:rPr>
        <w:t>Voir</w:t>
      </w:r>
      <w:r>
        <w:t xml:space="preserve"> </w:t>
      </w:r>
      <w:r>
        <w:t>Acco</w:t>
      </w:r>
      <w:r>
        <w:t>.</w:t>
      </w:r>
      <w:r/>
      <w:r/>
    </w:p>
    <w:p>
      <w:r/>
    </w:p>
    <w:p>
      <w:pPr>
        <w:pStyle w:val="Heading2"/>
      </w:pPr>
      <w:r>
        <w:t>Publius</w:t>
      </w:r>
      <w:r/>
    </w:p>
    <w:p>
      <w:r/>
      <w:r>
        <w:t xml:space="preserve">Fonctionnaire important qui vivait sur l'île de Malte. La Bible le mentionne dans </w:t>
      </w:r>
      <w:hyperlink r:id="rId13032">
        <w:r>
          <w:rPr>
            <w:color w:val="0000EE"/>
            <w:u w:val="single"/>
          </w:rPr>
          <w:t>Actes 28.7–8</w:t>
        </w:r>
      </w:hyperlink>
      <w:r>
        <w:t>. Paul et ses compagnons ont fait naufrage sur Malte lors de leur voyage vers Rome. Publius les a accueillis et leur a offert un endroit où séjourner pour un court moment. Publius avait un père qui était très malade. Pendant la visite de Paul, celui-ci a guéri le père de Publius.</w:t>
      </w:r>
      <w:r/>
      <w:r/>
    </w:p>
    <w:p>
      <w:r/>
    </w:p>
    <w:p>
      <w:pPr>
        <w:pStyle w:val="Heading2"/>
      </w:pPr>
      <w:r>
        <w:t>Puissance</w:t>
      </w:r>
      <w:r/>
    </w:p>
    <w:p>
      <w:r/>
      <w:r>
        <w:t>La capacité de réaliser des actions grâce à la force, la compétence, les ressources ou l'autorisation.</w:t>
      </w:r>
    </w:p>
    <w:p>
      <w:r/>
      <w:r>
        <w:t>La Bible utilise plusieurs mots pour désigner la puissance en hébreu dans l'Ancien Testament et en grec dans le Nouveau Testament. Nous pouvons regrouper ce que la Bible dit sur la puissance en quatre grands domaines :</w:t>
      </w:r>
    </w:p>
    <w:p>
      <w:pPr>
        <w:pStyle w:val="ListNumber"/>
        <w:spacing w:line="240" w:lineRule="auto"/>
        <w:ind w:left="720"/>
      </w:pPr>
      <w:r/>
      <w:r>
        <w:t>La puissance illimitée de Dieu.</w:t>
      </w:r>
    </w:p>
    <w:p>
      <w:pPr>
        <w:pStyle w:val="ListNumber"/>
        <w:spacing w:line="240" w:lineRule="auto"/>
        <w:ind w:left="720"/>
      </w:pPr>
      <w:r/>
      <w:r>
        <w:t>La puissance limitée que Dieu accorde à sa création.</w:t>
      </w:r>
    </w:p>
    <w:p>
      <w:pPr>
        <w:pStyle w:val="ListNumber"/>
        <w:spacing w:line="240" w:lineRule="auto"/>
        <w:ind w:left="720"/>
      </w:pPr>
      <w:r/>
      <w:r>
        <w:t>La puissance de Dieu manifestée en Jésus-Christ.</w:t>
      </w:r>
    </w:p>
    <w:p>
      <w:pPr>
        <w:pStyle w:val="ListNumber"/>
        <w:spacing w:line="240" w:lineRule="auto"/>
        <w:ind w:left="720"/>
      </w:pPr>
      <w:r/>
      <w:r>
        <w:t>La puissance de Dieu (par le Saint-Esprit) dans la vie de son peuple.</w:t>
      </w:r>
    </w:p>
    <w:p>
      <w:pPr>
        <w:pStyle w:val="Heading3"/>
      </w:pPr>
      <w:r>
        <w:t>La puissance infinie de Dieu</w:t>
      </w:r>
    </w:p>
    <w:p>
      <w:r/>
      <w:r>
        <w:t xml:space="preserve">Dieu est tout-puissant. Tout autre pouvoir vient de lui et est sous son contrôle. Une grande partie de ce que dit la Bible est résumée dans les mots de </w:t>
      </w:r>
      <w:hyperlink r:id="rId13033">
        <w:r>
          <w:rPr>
            <w:color w:val="0000EE"/>
            <w:u w:val="single"/>
          </w:rPr>
          <w:t>1 Chroniques 29.11–12,</w:t>
        </w:r>
      </w:hyperlink>
      <w:r>
        <w:t xml:space="preserve"> adressés à Dieu en louange : « À toi, Éternel, la grandeur, la force et la magnificence, l’éternité et la gloire, car tout ce qui est au ciel et sur la terre t’appartient ; à toi, Éternel, le règne, car tu t’élèves souverainement au-dessus de tout ! C’est de toi que viennent la richesse et la gloire, c’est toi qui domines sur tout, c’est dans ta main que sont la force et la puissance, et c’est ta main qui a le pouvoir d’agrandir et d’affermir toutes choses. »</w:t>
      </w:r>
    </w:p>
    <w:p>
      <w:r/>
      <w:r>
        <w:t>La Bible décrit souvent la puissance de Dieu comme sa « main puissante » et son « bras étendu » (</w:t>
      </w:r>
      <w:hyperlink r:id="rId957">
        <w:r>
          <w:rPr>
            <w:color w:val="0000EE"/>
            <w:u w:val="single"/>
          </w:rPr>
          <w:t>Ex 6.6</w:t>
        </w:r>
      </w:hyperlink>
      <w:r>
        <w:t xml:space="preserve"> ; </w:t>
      </w:r>
      <w:hyperlink r:id="rId5244">
        <w:r>
          <w:rPr>
            <w:color w:val="0000EE"/>
            <w:u w:val="single"/>
          </w:rPr>
          <w:t>7.4</w:t>
        </w:r>
      </w:hyperlink>
      <w:r>
        <w:t xml:space="preserve"> ; </w:t>
      </w:r>
      <w:hyperlink r:id="rId13034">
        <w:r>
          <w:rPr>
            <w:color w:val="0000EE"/>
            <w:u w:val="single"/>
          </w:rPr>
          <w:t>Ps 44.2</w:t>
        </w:r>
      </w:hyperlink>
      <w:r>
        <w:t>–</w:t>
      </w:r>
      <w:hyperlink r:id="rId13034">
        <w:r>
          <w:rPr>
            <w:color w:val="0000EE"/>
            <w:u w:val="single"/>
          </w:rPr>
          <w:t>3</w:t>
        </w:r>
      </w:hyperlink>
      <w:r>
        <w:t>). Nous voyons la puissance de Dieu dans :</w:t>
      </w:r>
    </w:p>
    <w:p>
      <w:pPr>
        <w:pStyle w:val="ListBullet"/>
        <w:spacing w:line="240" w:lineRule="auto"/>
        <w:ind w:left="720"/>
      </w:pPr>
      <w:r/>
      <w:r>
        <w:t>Sa création (</w:t>
      </w:r>
      <w:hyperlink r:id="rId13035">
        <w:r>
          <w:rPr>
            <w:color w:val="0000EE"/>
            <w:u w:val="single"/>
          </w:rPr>
          <w:t>Ps 65.6</w:t>
        </w:r>
      </w:hyperlink>
      <w:r>
        <w:t xml:space="preserve"> ; </w:t>
      </w:r>
      <w:hyperlink r:id="rId5012">
        <w:r>
          <w:rPr>
            <w:color w:val="0000EE"/>
            <w:u w:val="single"/>
          </w:rPr>
          <w:t>Es 40.26</w:t>
        </w:r>
      </w:hyperlink>
      <w:r>
        <w:t xml:space="preserve"> ; </w:t>
      </w:r>
      <w:hyperlink r:id="rId13036">
        <w:r>
          <w:rPr>
            <w:color w:val="0000EE"/>
            <w:u w:val="single"/>
          </w:rPr>
          <w:t>Jr 10.12</w:t>
        </w:r>
      </w:hyperlink>
      <w:r>
        <w:t xml:space="preserve"> ; </w:t>
      </w:r>
      <w:hyperlink r:id="rId13037">
        <w:r>
          <w:rPr>
            <w:color w:val="0000EE"/>
            <w:u w:val="single"/>
          </w:rPr>
          <w:t>27.5</w:t>
        </w:r>
      </w:hyperlink>
      <w:r>
        <w:t>).</w:t>
      </w:r>
    </w:p>
    <w:p>
      <w:pPr>
        <w:pStyle w:val="ListBullet"/>
        <w:spacing w:line="240" w:lineRule="auto"/>
        <w:ind w:left="720"/>
      </w:pPr>
      <w:r/>
      <w:r>
        <w:t>Le rgne de Dieu sur le monde (</w:t>
      </w:r>
      <w:hyperlink r:id="rId12595">
        <w:r>
          <w:rPr>
            <w:color w:val="0000EE"/>
            <w:u w:val="single"/>
          </w:rPr>
          <w:t>2 Chroniques 20.6</w:t>
        </w:r>
      </w:hyperlink>
      <w:r>
        <w:t>).</w:t>
      </w:r>
    </w:p>
    <w:p>
      <w:pPr>
        <w:pStyle w:val="ListBullet"/>
        <w:spacing w:line="240" w:lineRule="auto"/>
        <w:ind w:left="720"/>
      </w:pPr>
      <w:r/>
      <w:r>
        <w:t>Les actes de salut et de jugement de Dieu (</w:t>
      </w:r>
      <w:hyperlink r:id="rId13038">
        <w:r>
          <w:rPr>
            <w:color w:val="0000EE"/>
            <w:u w:val="single"/>
          </w:rPr>
          <w:t>Ex 15.6</w:t>
        </w:r>
      </w:hyperlink>
      <w:r>
        <w:t xml:space="preserve"> ; </w:t>
      </w:r>
      <w:hyperlink r:id="rId13039">
        <w:r>
          <w:rPr>
            <w:color w:val="0000EE"/>
            <w:u w:val="single"/>
          </w:rPr>
          <w:t>Dt 26.8</w:t>
        </w:r>
      </w:hyperlink>
      <w:r>
        <w:t>).</w:t>
      </w:r>
    </w:p>
    <w:p>
      <w:pPr>
        <w:pStyle w:val="ListBullet"/>
        <w:spacing w:line="240" w:lineRule="auto"/>
        <w:ind w:left="720"/>
      </w:pPr>
      <w:r/>
      <w:r>
        <w:t>L'aide offerte à son peuple (</w:t>
      </w:r>
      <w:hyperlink r:id="rId13040">
        <w:r>
          <w:rPr>
            <w:color w:val="0000EE"/>
            <w:u w:val="single"/>
          </w:rPr>
          <w:t>Ps 111.6</w:t>
        </w:r>
      </w:hyperlink>
      <w:r>
        <w:t>).</w:t>
      </w:r>
    </w:p>
    <w:p>
      <w:r/>
      <w:r>
        <w:t xml:space="preserve">Le Nouveau Testament parle aussi de la puissance immense de Dieu. </w:t>
      </w:r>
      <w:hyperlink r:id="rId13041">
        <w:r>
          <w:rPr>
            <w:color w:val="0000EE"/>
            <w:u w:val="single"/>
          </w:rPr>
          <w:t>Éphésiens 1.19</w:t>
        </w:r>
      </w:hyperlink>
      <w:r>
        <w:t xml:space="preserve"> dit que sa puissance est illimitée. Dans </w:t>
      </w:r>
      <w:hyperlink r:id="rId5697">
        <w:r>
          <w:rPr>
            <w:color w:val="0000EE"/>
            <w:u w:val="single"/>
          </w:rPr>
          <w:t>Matthieu 26.64,</w:t>
        </w:r>
      </w:hyperlink>
      <w:r>
        <w:t xml:space="preserve"> Jésus utilise le mot « Puissance » comme un autre nom pour Dieu : « </w:t>
      </w:r>
      <w:r>
        <w:t>désormais vous verrez le Fils de l'homme assis à la droite de la Puissance</w:t>
      </w:r>
      <w:r>
        <w:t xml:space="preserve"> » (NBS).</w:t>
      </w:r>
    </w:p>
    <w:p>
      <w:pPr>
        <w:pStyle w:val="Heading3"/>
      </w:pPr>
      <w:r>
        <w:t>La Puissance limitée que Dieu accorde à ses créatures</w:t>
      </w:r>
    </w:p>
    <w:p>
      <w:r/>
      <w:r>
        <w:t>La création de Dieu possède une puissance qui lui est propre. Par exemple :</w:t>
      </w:r>
    </w:p>
    <w:p>
      <w:pPr>
        <w:pStyle w:val="ListBullet"/>
        <w:spacing w:line="240" w:lineRule="auto"/>
        <w:ind w:left="720"/>
      </w:pPr>
      <w:r/>
      <w:r>
        <w:t>Les animaux, tels que le buffle, le cheval et le lion (</w:t>
      </w:r>
      <w:hyperlink r:id="rId13042">
        <w:r>
          <w:rPr>
            <w:color w:val="0000EE"/>
            <w:u w:val="single"/>
          </w:rPr>
          <w:t>Jb 39.12, 19</w:t>
        </w:r>
      </w:hyperlink>
      <w:r>
        <w:t xml:space="preserve"> ; </w:t>
      </w:r>
      <w:hyperlink r:id="rId13043">
        <w:r>
          <w:rPr>
            <w:color w:val="0000EE"/>
            <w:u w:val="single"/>
          </w:rPr>
          <w:t>Pr 30.30</w:t>
        </w:r>
      </w:hyperlink>
      <w:r>
        <w:t>).</w:t>
      </w:r>
    </w:p>
    <w:p>
      <w:pPr>
        <w:pStyle w:val="ListBullet"/>
        <w:spacing w:line="240" w:lineRule="auto"/>
        <w:ind w:left="720"/>
      </w:pPr>
      <w:r/>
      <w:r>
        <w:t>Le vent, la tempête, le tonnerre et l'éclair.</w:t>
      </w:r>
    </w:p>
    <w:p>
      <w:r/>
      <w:r>
        <w:t>La puissance est donnée aux humains à travers :</w:t>
      </w:r>
    </w:p>
    <w:p>
      <w:pPr>
        <w:pStyle w:val="ListBullet"/>
        <w:spacing w:line="240" w:lineRule="auto"/>
        <w:ind w:left="720"/>
      </w:pPr>
      <w:r/>
      <w:r>
        <w:t>La force physique (</w:t>
      </w:r>
      <w:hyperlink r:id="rId13044">
        <w:r>
          <w:rPr>
            <w:color w:val="0000EE"/>
            <w:u w:val="single"/>
          </w:rPr>
          <w:t>Jg 16.5–6</w:t>
        </w:r>
      </w:hyperlink>
      <w:r>
        <w:t>).</w:t>
      </w:r>
    </w:p>
    <w:p>
      <w:pPr>
        <w:pStyle w:val="ListBullet"/>
        <w:spacing w:line="240" w:lineRule="auto"/>
        <w:ind w:left="720"/>
      </w:pPr>
      <w:r/>
      <w:r>
        <w:t>Le pouvoir de combattre (</w:t>
      </w:r>
      <w:hyperlink r:id="rId13045">
        <w:r>
          <w:rPr>
            <w:color w:val="0000EE"/>
            <w:u w:val="single"/>
          </w:rPr>
          <w:t>Jg 6.12</w:t>
        </w:r>
      </w:hyperlink>
      <w:r>
        <w:t>).</w:t>
      </w:r>
    </w:p>
    <w:p>
      <w:pPr>
        <w:pStyle w:val="ListBullet"/>
        <w:spacing w:line="240" w:lineRule="auto"/>
        <w:ind w:left="720"/>
      </w:pPr>
      <w:r/>
      <w:r>
        <w:t>Le pouvoir de faire le bien et le pouvoir de nuire (</w:t>
      </w:r>
      <w:hyperlink r:id="rId13046">
        <w:r>
          <w:rPr>
            <w:color w:val="0000EE"/>
            <w:u w:val="single"/>
          </w:rPr>
          <w:t>Gn 31.29</w:t>
        </w:r>
      </w:hyperlink>
      <w:r>
        <w:t xml:space="preserve"> ; </w:t>
      </w:r>
      <w:hyperlink r:id="rId13047">
        <w:r>
          <w:rPr>
            <w:color w:val="0000EE"/>
            <w:u w:val="single"/>
          </w:rPr>
          <w:t>Pr 3.27</w:t>
        </w:r>
      </w:hyperlink>
      <w:r>
        <w:t xml:space="preserve"> ; </w:t>
      </w:r>
      <w:hyperlink r:id="rId13048">
        <w:r>
          <w:rPr>
            <w:color w:val="0000EE"/>
            <w:u w:val="single"/>
          </w:rPr>
          <w:t>Mi 2.1</w:t>
        </w:r>
      </w:hyperlink>
      <w:r>
        <w:t>).</w:t>
      </w:r>
    </w:p>
    <w:p>
      <w:r/>
      <w:r>
        <w:t>Les dirigeants ont une puissance et une autorité données par Dieu (</w:t>
      </w:r>
      <w:hyperlink r:id="rId663">
        <w:r>
          <w:rPr>
            <w:color w:val="0000EE"/>
            <w:u w:val="single"/>
          </w:rPr>
          <w:t>Rm 13.1</w:t>
        </w:r>
      </w:hyperlink>
      <w:r>
        <w:t>).</w:t>
      </w:r>
    </w:p>
    <w:p>
      <w:r/>
      <w:r>
        <w:t>La Bible parle aussi du pouvoir des anges (</w:t>
      </w:r>
      <w:hyperlink r:id="rId944">
        <w:r>
          <w:rPr>
            <w:color w:val="0000EE"/>
            <w:u w:val="single"/>
          </w:rPr>
          <w:t>2P 2.11</w:t>
        </w:r>
      </w:hyperlink>
      <w:r>
        <w:t xml:space="preserve">) et des êtres spirituels appelés « dominations et autorités ». Satan a également du pouvoir (voir </w:t>
      </w:r>
      <w:hyperlink r:id="rId13049">
        <w:r>
          <w:rPr>
            <w:color w:val="0000EE"/>
            <w:u w:val="single"/>
          </w:rPr>
          <w:t>Jb 1.6–12</w:t>
        </w:r>
      </w:hyperlink>
      <w:r>
        <w:t xml:space="preserve"> ; </w:t>
      </w:r>
      <w:hyperlink r:id="rId13050">
        <w:r>
          <w:rPr>
            <w:color w:val="0000EE"/>
            <w:u w:val="single"/>
          </w:rPr>
          <w:t>2.1–6</w:t>
        </w:r>
      </w:hyperlink>
      <w:r>
        <w:t>). Le péché, le mal et la mort sont autorisés à avoir un certain pouvoir sur les hommes (</w:t>
      </w:r>
      <w:hyperlink r:id="rId648">
        <w:r>
          <w:rPr>
            <w:color w:val="0000EE"/>
            <w:u w:val="single"/>
          </w:rPr>
          <w:t>Os 13.14</w:t>
        </w:r>
      </w:hyperlink>
      <w:r>
        <w:t xml:space="preserve"> ; </w:t>
      </w:r>
      <w:hyperlink r:id="rId10966">
        <w:r>
          <w:rPr>
            <w:color w:val="0000EE"/>
            <w:u w:val="single"/>
          </w:rPr>
          <w:t>Lc 22.53</w:t>
        </w:r>
      </w:hyperlink>
      <w:r>
        <w:t xml:space="preserve"> ; </w:t>
      </w:r>
      <w:hyperlink r:id="rId13051">
        <w:r>
          <w:rPr>
            <w:color w:val="0000EE"/>
            <w:u w:val="single"/>
          </w:rPr>
          <w:t>Rm 3.9</w:t>
        </w:r>
      </w:hyperlink>
      <w:r>
        <w:t>).</w:t>
      </w:r>
    </w:p>
    <w:p>
      <w:r/>
      <w:r>
        <w:t>Tous ceux-ci ont un pouvoir limité, et Dieu donne à son peuple la force de conquérir toutes ces puissances. Il peut les protéger des animaux sauvages (</w:t>
      </w:r>
      <w:hyperlink r:id="rId13052">
        <w:r>
          <w:rPr>
            <w:color w:val="0000EE"/>
            <w:u w:val="single"/>
          </w:rPr>
          <w:t>Dn 6.27</w:t>
        </w:r>
      </w:hyperlink>
      <w:r>
        <w:t xml:space="preserve"> ; </w:t>
      </w:r>
      <w:hyperlink r:id="rId13053">
        <w:r>
          <w:rPr>
            <w:color w:val="0000EE"/>
            <w:u w:val="single"/>
          </w:rPr>
          <w:t>Lc 10.19</w:t>
        </w:r>
      </w:hyperlink>
      <w:r>
        <w:t xml:space="preserve">) et du contrôle des autres personnes. Jésus a dit à Pilate : « </w:t>
      </w:r>
      <w:r>
        <w:t>Tu n’aurais sur moi aucun pouvoir, s’il ne t’avait été donné d’en haut</w:t>
      </w:r>
      <w:r>
        <w:t xml:space="preserve"> » (</w:t>
      </w:r>
      <w:hyperlink r:id="rId13054">
        <w:r>
          <w:rPr>
            <w:color w:val="0000EE"/>
            <w:u w:val="single"/>
          </w:rPr>
          <w:t>Jn 19.11</w:t>
        </w:r>
      </w:hyperlink>
      <w:r>
        <w:t>). Dieu peut sauver les gens du péché, de la mort, de Satan et de toutes les forces spirituelles mauvaises (</w:t>
      </w:r>
      <w:hyperlink r:id="rId13055">
        <w:r>
          <w:rPr>
            <w:color w:val="0000EE"/>
            <w:u w:val="single"/>
          </w:rPr>
          <w:t>2Co 10.4</w:t>
        </w:r>
      </w:hyperlink>
      <w:r>
        <w:t xml:space="preserve"> ; </w:t>
      </w:r>
      <w:hyperlink r:id="rId13056">
        <w:r>
          <w:rPr>
            <w:color w:val="0000EE"/>
            <w:u w:val="single"/>
          </w:rPr>
          <w:t>Ep 6.10–18</w:t>
        </w:r>
      </w:hyperlink>
      <w:r>
        <w:t>). Le « prince du monde » n'a aucun pouvoir sur Christ (</w:t>
      </w:r>
      <w:hyperlink r:id="rId10281">
        <w:r>
          <w:rPr>
            <w:color w:val="0000EE"/>
            <w:u w:val="single"/>
          </w:rPr>
          <w:t>Jn 14.30</w:t>
        </w:r>
      </w:hyperlink>
      <w:r>
        <w:t>), donc il ne peut pas contrôler ceux qui ont confiance en lui.</w:t>
      </w:r>
    </w:p>
    <w:p>
      <w:pPr>
        <w:pStyle w:val="Heading3"/>
      </w:pPr>
      <w:r>
        <w:t>La Puissance de Dieu manifestée en Jésus-Christ</w:t>
      </w:r>
    </w:p>
    <w:p>
      <w:r/>
      <w:r>
        <w:t>Les Évangiles et le livre des Actes montrent souvent la puissance de Christ. Sa puissance se manifeste dans :</w:t>
      </w:r>
    </w:p>
    <w:p>
      <w:pPr>
        <w:pStyle w:val="ListBullet"/>
        <w:spacing w:line="240" w:lineRule="auto"/>
        <w:ind w:left="720"/>
      </w:pPr>
      <w:r/>
      <w:r>
        <w:t>Ses miracles (</w:t>
      </w:r>
      <w:hyperlink r:id="rId13057">
        <w:r>
          <w:rPr>
            <w:color w:val="0000EE"/>
            <w:u w:val="single"/>
          </w:rPr>
          <w:t>Mt 11.20</w:t>
        </w:r>
      </w:hyperlink>
      <w:r>
        <w:t xml:space="preserve"> ; </w:t>
      </w:r>
      <w:hyperlink r:id="rId13058">
        <w:r>
          <w:rPr>
            <w:color w:val="0000EE"/>
            <w:u w:val="single"/>
          </w:rPr>
          <w:t>Ac 2.22</w:t>
        </w:r>
      </w:hyperlink>
      <w:r>
        <w:t>)</w:t>
      </w:r>
    </w:p>
    <w:p>
      <w:pPr>
        <w:pStyle w:val="ListBullet"/>
        <w:spacing w:line="240" w:lineRule="auto"/>
        <w:ind w:left="720"/>
      </w:pPr>
      <w:r/>
      <w:r>
        <w:t>Ses guérisons</w:t>
      </w:r>
    </w:p>
    <w:p>
      <w:pPr>
        <w:pStyle w:val="ListBullet"/>
        <w:spacing w:line="240" w:lineRule="auto"/>
        <w:ind w:left="720"/>
      </w:pPr>
      <w:r/>
      <w:r>
        <w:t>Ses exorcismes (</w:t>
      </w:r>
      <w:hyperlink r:id="rId13059">
        <w:r>
          <w:rPr>
            <w:color w:val="0000EE"/>
            <w:u w:val="single"/>
          </w:rPr>
          <w:t>Lc 4.36</w:t>
        </w:r>
      </w:hyperlink>
      <w:r>
        <w:t xml:space="preserve"> ; </w:t>
      </w:r>
      <w:hyperlink r:id="rId4284">
        <w:r>
          <w:rPr>
            <w:color w:val="0000EE"/>
            <w:u w:val="single"/>
          </w:rPr>
          <w:t>5.17</w:t>
        </w:r>
      </w:hyperlink>
      <w:r>
        <w:t xml:space="preserve"> ; </w:t>
      </w:r>
      <w:hyperlink r:id="rId13060">
        <w:r>
          <w:rPr>
            <w:color w:val="0000EE"/>
            <w:u w:val="single"/>
          </w:rPr>
          <w:t>6.19</w:t>
        </w:r>
      </w:hyperlink>
      <w:r>
        <w:t xml:space="preserve"> ; </w:t>
      </w:r>
      <w:hyperlink r:id="rId13061">
        <w:r>
          <w:rPr>
            <w:color w:val="0000EE"/>
            <w:u w:val="single"/>
          </w:rPr>
          <w:t>Ac 10.38</w:t>
        </w:r>
      </w:hyperlink>
      <w:r>
        <w:t>)</w:t>
      </w:r>
    </w:p>
    <w:p>
      <w:r/>
      <w:r>
        <w:t>Sa résurrection démontre sa plus grande puissance. Jésus a parlé de sa capacité à donner sa vie et à la reprendre (</w:t>
      </w:r>
      <w:hyperlink r:id="rId13062">
        <w:r>
          <w:rPr>
            <w:color w:val="0000EE"/>
            <w:u w:val="single"/>
          </w:rPr>
          <w:t>Jn 10.18</w:t>
        </w:r>
      </w:hyperlink>
      <w:r>
        <w:t>), mais le Nouveau Testament mentionne souvent la puissance de Dieu le Père dans la résurrection d'entre les morts de son Fils (</w:t>
      </w:r>
      <w:hyperlink r:id="rId2496">
        <w:r>
          <w:rPr>
            <w:color w:val="0000EE"/>
            <w:u w:val="single"/>
          </w:rPr>
          <w:t>Rm 1.4</w:t>
        </w:r>
      </w:hyperlink>
      <w:r>
        <w:t xml:space="preserve"> ; </w:t>
      </w:r>
      <w:hyperlink r:id="rId5189">
        <w:r>
          <w:rPr>
            <w:color w:val="0000EE"/>
            <w:u w:val="single"/>
          </w:rPr>
          <w:t>Ep 1.19–20</w:t>
        </w:r>
      </w:hyperlink>
      <w:r>
        <w:t>). Il viendra avec puissance et grande gloire, à la fin de toutes choses (</w:t>
      </w:r>
      <w:hyperlink r:id="rId2891">
        <w:r>
          <w:rPr>
            <w:color w:val="0000EE"/>
            <w:u w:val="single"/>
          </w:rPr>
          <w:t>Mt 24.30</w:t>
        </w:r>
      </w:hyperlink>
      <w:r>
        <w:t>). Lors de sa vie terrestre, il a accompli ses œuvres puissantes par le Saint-Esprit (</w:t>
      </w:r>
      <w:hyperlink r:id="rId8690">
        <w:r>
          <w:rPr>
            <w:color w:val="0000EE"/>
            <w:u w:val="single"/>
          </w:rPr>
          <w:t>Lc 4.14</w:t>
        </w:r>
      </w:hyperlink>
      <w:r>
        <w:t xml:space="preserve"> ; </w:t>
      </w:r>
      <w:hyperlink r:id="rId13061">
        <w:r>
          <w:rPr>
            <w:color w:val="0000EE"/>
            <w:u w:val="single"/>
          </w:rPr>
          <w:t>Ac 10.38</w:t>
        </w:r>
      </w:hyperlink>
      <w:r>
        <w:t>).</w:t>
      </w:r>
    </w:p>
    <w:p>
      <w:pPr>
        <w:pStyle w:val="Heading3"/>
      </w:pPr>
      <w:r>
        <w:t>La Puissance de Dieu dans la vie de son peuple</w:t>
      </w:r>
    </w:p>
    <w:p>
      <w:r/>
      <w:r>
        <w:t>Dans l'Ancien Testament, Dieu rend souvent fort les faibles. Il donne de la puissance à ceux qui sont faibles (</w:t>
      </w:r>
      <w:hyperlink r:id="rId13063">
        <w:r>
          <w:rPr>
            <w:color w:val="0000EE"/>
            <w:u w:val="single"/>
          </w:rPr>
          <w:t>Es 40.29</w:t>
        </w:r>
      </w:hyperlink>
      <w:r>
        <w:t>) afin qu'ils puissent devenir plus forts (</w:t>
      </w:r>
      <w:hyperlink r:id="rId13064">
        <w:r>
          <w:rPr>
            <w:color w:val="0000EE"/>
            <w:u w:val="single"/>
          </w:rPr>
          <w:t>Ps 84.7</w:t>
        </w:r>
      </w:hyperlink>
      <w:r>
        <w:t xml:space="preserve">; voir </w:t>
      </w:r>
      <w:hyperlink r:id="rId13065">
        <w:r>
          <w:rPr>
            <w:color w:val="0000EE"/>
            <w:u w:val="single"/>
          </w:rPr>
          <w:t>Ps 68.35</w:t>
        </w:r>
      </w:hyperlink>
      <w:r>
        <w:t xml:space="preserve">; </w:t>
      </w:r>
      <w:hyperlink r:id="rId13066">
        <w:r>
          <w:rPr>
            <w:color w:val="0000EE"/>
            <w:u w:val="single"/>
          </w:rPr>
          <w:t>138.3</w:t>
        </w:r>
      </w:hyperlink>
      <w:r>
        <w:t>). Sa puissance est donnée aux prophètes (</w:t>
      </w:r>
      <w:hyperlink r:id="rId12693">
        <w:r>
          <w:rPr>
            <w:color w:val="0000EE"/>
            <w:u w:val="single"/>
          </w:rPr>
          <w:t>Mi 3.8</w:t>
        </w:r>
      </w:hyperlink>
      <w:r>
        <w:t>) et aux rois (</w:t>
      </w:r>
      <w:hyperlink r:id="rId2664">
        <w:r>
          <w:rPr>
            <w:color w:val="0000EE"/>
            <w:u w:val="single"/>
          </w:rPr>
          <w:t>1S 2.10</w:t>
        </w:r>
      </w:hyperlink>
      <w:r>
        <w:t xml:space="preserve">; </w:t>
      </w:r>
      <w:hyperlink r:id="rId13067">
        <w:r>
          <w:rPr>
            <w:color w:val="0000EE"/>
            <w:u w:val="single"/>
          </w:rPr>
          <w:t>Ps 21.1</w:t>
        </w:r>
      </w:hyperlink>
      <w:r>
        <w:t>). Sa puissance sera donnée d'une manière spéciale au Messie (</w:t>
      </w:r>
      <w:hyperlink r:id="rId3969">
        <w:r>
          <w:rPr>
            <w:color w:val="0000EE"/>
            <w:u w:val="single"/>
          </w:rPr>
          <w:t>Es 9.6</w:t>
        </w:r>
      </w:hyperlink>
      <w:r>
        <w:t xml:space="preserve">; </w:t>
      </w:r>
      <w:hyperlink r:id="rId13068">
        <w:r>
          <w:rPr>
            <w:color w:val="0000EE"/>
            <w:u w:val="single"/>
          </w:rPr>
          <w:t>11.2</w:t>
        </w:r>
      </w:hyperlink>
      <w:r>
        <w:t xml:space="preserve">; </w:t>
      </w:r>
      <w:hyperlink r:id="rId13069">
        <w:r>
          <w:rPr>
            <w:color w:val="0000EE"/>
            <w:u w:val="single"/>
          </w:rPr>
          <w:t>Mi 5.4</w:t>
        </w:r>
      </w:hyperlink>
      <w:r>
        <w:t>). Mais tout le peuple de Dieu reçoit la puissance nécessaire pour vivre pour lui et de le servir (</w:t>
      </w:r>
      <w:hyperlink r:id="rId13070">
        <w:r>
          <w:rPr>
            <w:color w:val="0000EE"/>
            <w:u w:val="single"/>
          </w:rPr>
          <w:t>Ésaïe 49.5</w:t>
        </w:r>
      </w:hyperlink>
      <w:r>
        <w:t>).</w:t>
      </w:r>
    </w:p>
    <w:p>
      <w:r/>
      <w:r>
        <w:t>Dans le Nouveau Testament, l'Évangile est décrit comme la puissance de Dieu pour sauver tous ceux qui croient (</w:t>
      </w:r>
      <w:hyperlink r:id="rId523">
        <w:r>
          <w:rPr>
            <w:color w:val="0000EE"/>
            <w:u w:val="single"/>
          </w:rPr>
          <w:t>Rm 1.16</w:t>
        </w:r>
      </w:hyperlink>
      <w:r>
        <w:t xml:space="preserve">). « </w:t>
      </w:r>
      <w:r>
        <w:t>Mais à tous ceux qui [ont reçu Christ], à ceux qui croient en son nom, elle a donné le pouvoir de devenir enfants de Dieu</w:t>
      </w:r>
      <w:r>
        <w:t xml:space="preserve"> » (</w:t>
      </w:r>
      <w:hyperlink r:id="rId5745">
        <w:r>
          <w:rPr>
            <w:color w:val="0000EE"/>
            <w:u w:val="single"/>
          </w:rPr>
          <w:t>Jn 1.12</w:t>
        </w:r>
      </w:hyperlink>
      <w:r>
        <w:t>).</w:t>
      </w:r>
    </w:p>
    <w:p>
      <w:r/>
      <w:r>
        <w:t>En tant qu'enfants de Dieu, ils reçoivent la puissance du Saint-Esprit (</w:t>
      </w:r>
      <w:hyperlink r:id="rId5068">
        <w:r>
          <w:rPr>
            <w:color w:val="0000EE"/>
            <w:u w:val="single"/>
          </w:rPr>
          <w:t>Ac 6.8</w:t>
        </w:r>
      </w:hyperlink>
      <w:r>
        <w:t>) :</w:t>
      </w:r>
    </w:p>
    <w:p>
      <w:pPr>
        <w:pStyle w:val="ListBullet"/>
        <w:spacing w:line="240" w:lineRule="auto"/>
        <w:ind w:left="720"/>
      </w:pPr>
      <w:r/>
      <w:r>
        <w:t>Puissance pour vivre à son service (</w:t>
      </w:r>
      <w:hyperlink r:id="rId13071">
        <w:r>
          <w:rPr>
            <w:color w:val="0000EE"/>
            <w:u w:val="single"/>
          </w:rPr>
          <w:t>Ep 3.16</w:t>
        </w:r>
      </w:hyperlink>
      <w:r>
        <w:t>)</w:t>
      </w:r>
    </w:p>
    <w:p>
      <w:pPr>
        <w:pStyle w:val="ListBullet"/>
        <w:spacing w:line="240" w:lineRule="auto"/>
        <w:ind w:left="720"/>
      </w:pPr>
      <w:r/>
      <w:r>
        <w:t>Puissance pour être ses témoins (</w:t>
      </w:r>
      <w:hyperlink r:id="rId12667">
        <w:r>
          <w:rPr>
            <w:color w:val="0000EE"/>
            <w:u w:val="single"/>
          </w:rPr>
          <w:t>Lc 24.49</w:t>
        </w:r>
      </w:hyperlink>
      <w:r>
        <w:t xml:space="preserve"> ; </w:t>
      </w:r>
      <w:hyperlink r:id="rId200">
        <w:r>
          <w:rPr>
            <w:color w:val="0000EE"/>
            <w:u w:val="single"/>
          </w:rPr>
          <w:t>Ac 1.8</w:t>
        </w:r>
      </w:hyperlink>
      <w:r>
        <w:t>)</w:t>
      </w:r>
    </w:p>
    <w:p>
      <w:pPr>
        <w:pStyle w:val="ListBullet"/>
        <w:spacing w:line="240" w:lineRule="auto"/>
        <w:ind w:left="720"/>
      </w:pPr>
      <w:r/>
      <w:r>
        <w:t>Puissance pour endurer la souffrance (</w:t>
      </w:r>
      <w:hyperlink r:id="rId13072">
        <w:r>
          <w:rPr>
            <w:color w:val="0000EE"/>
            <w:u w:val="single"/>
          </w:rPr>
          <w:t>2Tm 1.8</w:t>
        </w:r>
      </w:hyperlink>
      <w:r>
        <w:t>)</w:t>
      </w:r>
    </w:p>
    <w:p>
      <w:pPr>
        <w:pStyle w:val="ListBullet"/>
        <w:spacing w:line="240" w:lineRule="auto"/>
        <w:ind w:left="720"/>
      </w:pPr>
      <w:r/>
      <w:r>
        <w:t>Puissance pour le ministère (</w:t>
      </w:r>
      <w:hyperlink r:id="rId13073">
        <w:r>
          <w:rPr>
            <w:color w:val="0000EE"/>
            <w:u w:val="single"/>
          </w:rPr>
          <w:t>Ep 3.7</w:t>
        </w:r>
      </w:hyperlink>
      <w:r>
        <w:t>)</w:t>
      </w:r>
    </w:p>
    <w:p>
      <w:pPr>
        <w:pStyle w:val="ListBullet"/>
        <w:spacing w:line="240" w:lineRule="auto"/>
        <w:ind w:left="720"/>
      </w:pPr>
      <w:r/>
      <w:r>
        <w:t>Puissance dans la faiblesse (</w:t>
      </w:r>
      <w:hyperlink r:id="rId12647">
        <w:r>
          <w:rPr>
            <w:color w:val="0000EE"/>
            <w:u w:val="single"/>
          </w:rPr>
          <w:t>2Co 12.9</w:t>
        </w:r>
      </w:hyperlink>
      <w:r>
        <w:t>)</w:t>
      </w:r>
    </w:p>
    <w:p>
      <w:pPr>
        <w:pStyle w:val="ListBullet"/>
        <w:spacing w:line="240" w:lineRule="auto"/>
        <w:ind w:left="720"/>
      </w:pPr>
      <w:r/>
      <w:r>
        <w:t>La puissance par la prière (</w:t>
      </w:r>
      <w:hyperlink r:id="rId13074">
        <w:r>
          <w:rPr>
            <w:color w:val="0000EE"/>
            <w:u w:val="single"/>
          </w:rPr>
          <w:t>Jc 5.16</w:t>
        </w:r>
      </w:hyperlink>
      <w:r>
        <w:t>)</w:t>
      </w:r>
    </w:p>
    <w:p>
      <w:pPr>
        <w:pStyle w:val="ListBullet"/>
        <w:spacing w:line="240" w:lineRule="auto"/>
        <w:ind w:left="720"/>
      </w:pPr>
      <w:r/>
      <w:r>
        <w:t>Puissance pour être gardé du mal (</w:t>
      </w:r>
      <w:hyperlink r:id="rId12185">
        <w:r>
          <w:rPr>
            <w:color w:val="0000EE"/>
            <w:u w:val="single"/>
          </w:rPr>
          <w:t>1P 1.5</w:t>
        </w:r>
      </w:hyperlink>
      <w:r>
        <w:t>)</w:t>
      </w:r>
    </w:p>
    <w:p>
      <w:r/>
      <w:r>
        <w:t>Ceux qui accomplissent de grandes choses pour Christ ne le font pas par eux-mêmes (</w:t>
      </w:r>
      <w:hyperlink r:id="rId13075">
        <w:r>
          <w:rPr>
            <w:color w:val="0000EE"/>
            <w:u w:val="single"/>
          </w:rPr>
          <w:t>Ac 3.12</w:t>
        </w:r>
      </w:hyperlink>
      <w:r>
        <w:t>). Ils sont envoyés par lui, conscients que tout est sous son contrôle et qu'Il sera toujours avec eux (</w:t>
      </w:r>
      <w:hyperlink r:id="rId8395">
        <w:r>
          <w:rPr>
            <w:color w:val="0000EE"/>
            <w:u w:val="single"/>
          </w:rPr>
          <w:t>Mt 28.18–20</w:t>
        </w:r>
      </w:hyperlink>
      <w:r>
        <w:t>).</w:t>
      </w:r>
    </w:p>
    <w:p>
      <w:r/>
      <w:r>
        <w:rPr>
          <w:i/>
        </w:rPr>
        <w:t>Voir aussi</w:t>
      </w:r>
      <w:r>
        <w:t xml:space="preserve"> </w:t>
      </w:r>
      <w:r>
        <w:t>Dieu, Être et attributs de</w:t>
      </w:r>
      <w:r>
        <w:t xml:space="preserve"> ; </w:t>
      </w:r>
      <w:r>
        <w:t>Dominations et Autorités</w:t>
      </w:r>
      <w:r>
        <w:t>.</w:t>
      </w:r>
      <w:r/>
      <w:r/>
    </w:p>
    <w:p>
      <w:r/>
    </w:p>
    <w:p>
      <w:pPr>
        <w:pStyle w:val="Heading2"/>
      </w:pPr>
      <w:r>
        <w:t>Puits</w:t>
      </w:r>
      <w:r/>
    </w:p>
    <w:p>
      <w:r/>
      <w:r>
        <w:t>Réservoir artificiel alimenté soit par des sources souterraines, soit par l'eau de pluie. Comme la majorité du monde biblique varie de l'aride au semi-aride, les puits étaient une source d'eau essentielle pour les humains, le bétail et l'irrigation des cultures. Malheureusement, la plupart des puits n'offraient pas une source d'eau fiable, étant dépendants des rares précipitations ou des sources intermittentes (</w:t>
      </w:r>
      <w:hyperlink r:id="rId13076">
        <w:r>
          <w:rPr>
            <w:color w:val="0000EE"/>
            <w:u w:val="single"/>
          </w:rPr>
          <w:t>Pr 25.26</w:t>
        </w:r>
      </w:hyperlink>
      <w:r>
        <w:t>). La découverte d'une source d'eau fiable était donc la cause de beaucoup de réjouissances (</w:t>
      </w:r>
      <w:hyperlink r:id="rId12370">
        <w:r>
          <w:rPr>
            <w:color w:val="0000EE"/>
            <w:u w:val="single"/>
          </w:rPr>
          <w:t>Nb 21.17–18</w:t>
        </w:r>
      </w:hyperlink>
      <w:r>
        <w:t>) et de fréquents conflits (</w:t>
      </w:r>
      <w:hyperlink r:id="rId13077">
        <w:r>
          <w:rPr>
            <w:color w:val="0000EE"/>
            <w:u w:val="single"/>
          </w:rPr>
          <w:t>Gn 21.25–30</w:t>
        </w:r>
      </w:hyperlink>
      <w:r>
        <w:t xml:space="preserve"> ; </w:t>
      </w:r>
      <w:hyperlink r:id="rId13078">
        <w:r>
          <w:rPr>
            <w:color w:val="0000EE"/>
            <w:u w:val="single"/>
          </w:rPr>
          <w:t>26.19–22</w:t>
        </w:r>
      </w:hyperlink>
      <w:r>
        <w:t xml:space="preserve"> ; </w:t>
      </w:r>
      <w:hyperlink r:id="rId13079">
        <w:r>
          <w:rPr>
            <w:color w:val="0000EE"/>
            <w:u w:val="single"/>
          </w:rPr>
          <w:t>2R 3.19</w:t>
        </w:r>
      </w:hyperlink>
      <w:r>
        <w:t>). Creuser un puits avec succès et défendre ses droits sur l'eau servaient souvent de déterminant important des droits de propriété (</w:t>
      </w:r>
      <w:hyperlink r:id="rId13077">
        <w:r>
          <w:rPr>
            <w:color w:val="0000EE"/>
            <w:u w:val="single"/>
          </w:rPr>
          <w:t>Gn 21.25–30</w:t>
        </w:r>
      </w:hyperlink>
      <w:r>
        <w:t xml:space="preserve"> ; </w:t>
      </w:r>
      <w:hyperlink r:id="rId13080">
        <w:r>
          <w:rPr>
            <w:color w:val="0000EE"/>
            <w:u w:val="single"/>
          </w:rPr>
          <w:t>29.2–3</w:t>
        </w:r>
      </w:hyperlink>
      <w:r>
        <w:t>).</w:t>
      </w:r>
    </w:p>
    <w:p>
      <w:r/>
      <w:r>
        <w:t>Les bons puits étaient généralement considérés comme des signes de la providence de Dieu (</w:t>
      </w:r>
      <w:hyperlink r:id="rId1683">
        <w:r>
          <w:rPr>
            <w:color w:val="0000EE"/>
            <w:u w:val="single"/>
          </w:rPr>
          <w:t>Gn 16.14</w:t>
        </w:r>
      </w:hyperlink>
      <w:r>
        <w:t xml:space="preserve"> ; </w:t>
      </w:r>
      <w:hyperlink r:id="rId13081">
        <w:r>
          <w:rPr>
            <w:color w:val="0000EE"/>
            <w:u w:val="single"/>
          </w:rPr>
          <w:t>21.19</w:t>
        </w:r>
      </w:hyperlink>
      <w:r>
        <w:t xml:space="preserve"> ; </w:t>
      </w:r>
      <w:hyperlink r:id="rId10693">
        <w:r>
          <w:rPr>
            <w:color w:val="0000EE"/>
            <w:u w:val="single"/>
          </w:rPr>
          <w:t>Nb 21.16–18</w:t>
        </w:r>
      </w:hyperlink>
      <w:r>
        <w:t>). Les auteurs bibliques comparaient donc l'eau des puits alimentés par des sources à la provision de salut de Dieu pour son peuple (</w:t>
      </w:r>
      <w:hyperlink r:id="rId13082">
        <w:r>
          <w:rPr>
            <w:color w:val="0000EE"/>
            <w:u w:val="single"/>
          </w:rPr>
          <w:t>Es 12.3</w:t>
        </w:r>
      </w:hyperlink>
      <w:r>
        <w:t xml:space="preserve"> ; </w:t>
      </w:r>
      <w:hyperlink r:id="rId1978">
        <w:r>
          <w:rPr>
            <w:color w:val="0000EE"/>
            <w:u w:val="single"/>
          </w:rPr>
          <w:t>Jn 4.14</w:t>
        </w:r>
      </w:hyperlink>
      <w:r>
        <w:t>). La distinction entre la qualité relativement médiocre de l'eau dans les citernes qui captaient l'eau de pluie et la haute qualité de ces puits qui puisaient dans des sources d'eau « vive » (c'est-à-dire, courante) aide à clarifier le dialogue entre Jésus et la femme samaritaine lorsque Jésus lui offre de l'« eau vive » (</w:t>
      </w:r>
      <w:hyperlink r:id="rId13083">
        <w:r>
          <w:rPr>
            <w:color w:val="0000EE"/>
            <w:u w:val="single"/>
          </w:rPr>
          <w:t>Jn 4.10–15</w:t>
        </w:r>
      </w:hyperlink>
      <w:r>
        <w:t>).</w:t>
      </w:r>
    </w:p>
    <w:p>
      <w:r/>
      <w:r>
        <w:rPr>
          <w:i/>
        </w:rPr>
        <w:t>Voir aussi</w:t>
      </w:r>
      <w:r>
        <w:t xml:space="preserve"> </w:t>
      </w:r>
      <w:r>
        <w:t>Citerne</w:t>
      </w:r>
      <w:r>
        <w:t xml:space="preserve"> ; </w:t>
      </w:r>
      <w:r>
        <w:t>Puits de Jacob</w:t>
      </w:r>
      <w:r>
        <w:t>.</w:t>
      </w:r>
      <w:r/>
      <w:r/>
    </w:p>
    <w:p>
      <w:r/>
    </w:p>
    <w:p>
      <w:pPr>
        <w:pStyle w:val="Heading2"/>
      </w:pPr>
      <w:r>
        <w:t>Puits de Jacob</w:t>
      </w:r>
      <w:r/>
    </w:p>
    <w:p>
      <w:r/>
      <w:r>
        <w:t>Lieu mentionné uniquement dans l'Évangile de Jean (</w:t>
      </w:r>
      <w:hyperlink r:id="rId13084">
        <w:r>
          <w:rPr>
            <w:color w:val="0000EE"/>
            <w:u w:val="single"/>
          </w:rPr>
          <w:t>Jn 4.5–29</w:t>
        </w:r>
      </w:hyperlink>
      <w:r>
        <w:t>). C'est ici que Jésus s'est assis et a parlé avec la femme samaritaine (son nom nous est resté inconnu), qui a accepté volontiers les paroles de Jésus. Ce puits est situé sur un terrain acquis par le patriarche Jacob, à environ 300 m au sud-est du tombeau traditionnel de Joseph (</w:t>
      </w:r>
      <w:hyperlink r:id="rId1284">
        <w:r>
          <w:rPr>
            <w:color w:val="0000EE"/>
            <w:u w:val="single"/>
          </w:rPr>
          <w:t>Gn 33.19</w:t>
        </w:r>
      </w:hyperlink>
      <w:r>
        <w:t xml:space="preserve"> ; </w:t>
      </w:r>
      <w:hyperlink r:id="rId1285">
        <w:r>
          <w:rPr>
            <w:color w:val="0000EE"/>
            <w:u w:val="single"/>
          </w:rPr>
          <w:t>Jos 24.32</w:t>
        </w:r>
      </w:hyperlink>
      <w:r>
        <w:t xml:space="preserve"> ; </w:t>
      </w:r>
      <w:hyperlink r:id="rId13085">
        <w:r>
          <w:rPr>
            <w:color w:val="0000EE"/>
            <w:u w:val="single"/>
          </w:rPr>
          <w:t>Jn 4.5–6</w:t>
        </w:r>
      </w:hyperlink>
      <w:r>
        <w:t>). Le site se trouve à environ 3 km au sud-est de la ville moderne de Naplouse, à 500 m au sud-est du site de l'ancienne Sichem (Balata moderne), et à 1 km au sud de Sychar (Askar moderne). Dominant le site au nord-ouest se trouve le mont Ébal (au pied duquel se trouve Askar), et au sud-ouest le mont Garizim, montagnes de malédiction et de bénédiction, respectivement (</w:t>
      </w:r>
      <w:hyperlink r:id="rId13086">
        <w:r>
          <w:rPr>
            <w:color w:val="0000EE"/>
            <w:u w:val="single"/>
          </w:rPr>
          <w:t>Dt 27.12–13</w:t>
        </w:r>
      </w:hyperlink>
      <w:r>
        <w:t xml:space="preserve"> ; </w:t>
      </w:r>
      <w:hyperlink r:id="rId13087">
        <w:r>
          <w:rPr>
            <w:color w:val="0000EE"/>
            <w:u w:val="single"/>
          </w:rPr>
          <w:t>Jos 8.30–33</w:t>
        </w:r>
      </w:hyperlink>
      <w:r>
        <w:t>). Près d'ici, Abraham construit son premier autel, et Jacob son deuxième (</w:t>
      </w:r>
      <w:hyperlink r:id="rId10329">
        <w:r>
          <w:rPr>
            <w:color w:val="0000EE"/>
            <w:u w:val="single"/>
          </w:rPr>
          <w:t>Gn 12.6–7</w:t>
        </w:r>
      </w:hyperlink>
      <w:r>
        <w:t xml:space="preserve">; </w:t>
      </w:r>
      <w:hyperlink r:id="rId7425">
        <w:r>
          <w:rPr>
            <w:color w:val="0000EE"/>
            <w:u w:val="single"/>
          </w:rPr>
          <w:t>33.18–20</w:t>
        </w:r>
      </w:hyperlink>
      <w:r>
        <w:t>). Ainsi, le site est l'un des plus anciens et sacrés de la Terre Sainte.</w:t>
      </w:r>
    </w:p>
    <w:p>
      <w:r/>
      <w:r>
        <w:t>Le puits a une profondeur d'environ 30 m et un diamètre d'environ 1 m, taillé dans le calcaire. Alimentée par des ruisseaux souterrains provenant des pentes montagneuses adjacentes, l'eau est pure et abondante, et fait la fierté des villageois. Une Église existe sur le site depuis au moins 380 apr. J.‑C. L'Église orthodoxe grecque a acquis le site en 1885 et y a construit une structure. L'accès au puits se fait par des marches menant de chaque côté de l'autel de l'Église à la margelle du puits en contrebas.</w:t>
      </w:r>
      <w:r/>
      <w:r/>
    </w:p>
    <w:p>
      <w:r/>
    </w:p>
    <w:p>
      <w:pPr>
        <w:pStyle w:val="Heading2"/>
      </w:pPr>
      <w:r>
        <w:t>Pur</w:t>
      </w:r>
      <w:r/>
    </w:p>
    <w:p>
      <w:r/>
      <w:r>
        <w:t xml:space="preserve">Un mot hébreu qui signifie « lot » (utilisé dans le tirage au sort pour décider de quelque chose). Le nom de la fête juive de Pourim vient de ce mot. Haman, un ennemi des Juifs, a tiré le </w:t>
      </w:r>
      <w:r>
        <w:rPr>
          <w:i/>
        </w:rPr>
        <w:t>pur</w:t>
      </w:r>
      <w:r>
        <w:t xml:space="preserve"> (lot) pour choisir quel jour détruire le peuple juif. La fête de Purim célèbre le salut des Juifs face au plan d'Haman (</w:t>
      </w:r>
      <w:hyperlink r:id="rId2131">
        <w:r>
          <w:rPr>
            <w:color w:val="0000EE"/>
            <w:u w:val="single"/>
          </w:rPr>
          <w:t>Est 3.7</w:t>
        </w:r>
      </w:hyperlink>
      <w:r>
        <w:t xml:space="preserve"> ; </w:t>
      </w:r>
      <w:hyperlink r:id="rId5616">
        <w:r>
          <w:rPr>
            <w:color w:val="0000EE"/>
            <w:u w:val="single"/>
          </w:rPr>
          <w:t>9.24–26</w:t>
        </w:r>
      </w:hyperlink>
      <w:r>
        <w:t>).</w:t>
      </w:r>
    </w:p>
    <w:p>
      <w:r/>
      <w:r>
        <w:rPr>
          <w:i/>
        </w:rPr>
        <w:t>Voir</w:t>
      </w:r>
      <w:r>
        <w:t xml:space="preserve"> </w:t>
      </w:r>
      <w:r>
        <w:t>Fêtes et festivals d'Israël</w:t>
      </w:r>
      <w:r>
        <w:t>.</w:t>
      </w:r>
      <w:r/>
      <w:r/>
    </w:p>
    <w:p>
      <w:r/>
    </w:p>
    <w:p>
      <w:pPr>
        <w:pStyle w:val="Heading2"/>
      </w:pPr>
      <w:r>
        <w:t>Purim</w:t>
      </w:r>
      <w:r/>
    </w:p>
    <w:p>
      <w:r/>
      <w:r>
        <w:t>Nom hébreu pour la fête juive célébrant le salut du peuple juif des mains d'Haman (</w:t>
      </w:r>
      <w:hyperlink r:id="rId13088">
        <w:r>
          <w:rPr>
            <w:color w:val="0000EE"/>
            <w:u w:val="single"/>
          </w:rPr>
          <w:t>Est 9.26–32</w:t>
        </w:r>
      </w:hyperlink>
      <w:r>
        <w:t>). Purim signifie « lots », de petits objets utilisés pour prendre des décisions.</w:t>
      </w:r>
    </w:p>
    <w:p>
      <w:r/>
      <w:r>
        <w:rPr>
          <w:i/>
        </w:rPr>
        <w:t>Voir</w:t>
      </w:r>
      <w:r>
        <w:t xml:space="preserve"> </w:t>
      </w:r>
      <w:r>
        <w:t>Fêtes et festivals d'Israël</w:t>
      </w:r>
      <w:r>
        <w:t>.</w:t>
      </w:r>
      <w:r/>
      <w:r/>
    </w:p>
    <w:p>
      <w:r/>
    </w:p>
    <w:p>
      <w:pPr>
        <w:pStyle w:val="Heading2"/>
      </w:pPr>
      <w:r>
        <w:t>Puth (Lieu)</w:t>
      </w:r>
      <w:r/>
    </w:p>
    <w:p>
      <w:r/>
      <w:r>
        <w:t>Puth était une région de l'ancienne Afrique du Nord, probablement dans la zone de l'actuelle Libye. Certains experts pensent que Puth pourrait avoir été le pays de Pount, une région mentionnée dans les archives égyptiennes anciennes. Pount se situait probablement le long de la côte nord-est de l'Afrique, possiblement dans l'actuelle Somalie.</w:t>
      </w:r>
    </w:p>
    <w:p>
      <w:r/>
      <w:r>
        <w:t>Les habitants de Puth avaient des liens avec l'Égypte, Cusch (un autre nom pour l'Afrique du Nord-Est ancien) et Canaan. Cependant, la manière dont le nom « Puth » est utilisé dans l'Ancien Testament suggère qu'il se trouvait en Libye. Les Libyens dans l'Ancien Testament sont appelés « Lubim », qui est toujours au pluriel.</w:t>
      </w:r>
    </w:p>
    <w:p>
      <w:r/>
      <w:r>
        <w:t>Puth a d'abord été le nom d'une personne, puis est devenu celui de la nation issue de sa famille.</w:t>
      </w:r>
    </w:p>
    <w:p>
      <w:pPr>
        <w:pStyle w:val="Heading3"/>
      </w:pPr>
      <w:r>
        <w:t>Libye antique</w:t>
      </w:r>
    </w:p>
    <w:p>
      <w:r/>
      <w:r>
        <w:t>L'ancienne Libye se situait à l'ouest de l'Égypte, le long de la mer Méditerranée, dans la Libye actuelle. Les archives égyptiennes mentionnent trois principaux groupes de Libyens :</w:t>
      </w:r>
    </w:p>
    <w:p>
      <w:pPr>
        <w:pStyle w:val="ListBullet"/>
        <w:spacing w:line="240" w:lineRule="auto"/>
        <w:ind w:left="720"/>
      </w:pPr>
      <w:r/>
      <w:r>
        <w:t>Tjehenu : Ces personnes vivaient le long de la côte et étaient principalement des éleveurs. Elles étaient représentées dans l'art égyptien avec de longs cheveux et ne portaient qu'une ceinture et un tissu couvrant. Elles étaient répertoriées parmi les Neuf Arcs, un terme utilisé par les Égyptiens pour désigner leurs principaux ennemis.</w:t>
      </w:r>
    </w:p>
    <w:p>
      <w:pPr>
        <w:pStyle w:val="ListBullet"/>
        <w:spacing w:line="240" w:lineRule="auto"/>
        <w:ind w:left="720"/>
      </w:pPr>
      <w:r/>
      <w:r>
        <w:t>Tjemehu : nomades qui se déplaçaient d'un endroit à un autre. Elles avaient les cheveux clairs et les yeux bleus, ce qui les distinguait des autres groupes africains. Elles ont eu des interactions avec l'Égypte depuis l'époque de l'Ancien Empire (environ 2 700–2 200 av. J.‑C.). Elles ont parfois tenté de s'installer sur le territoire égyptien.</w:t>
      </w:r>
    </w:p>
    <w:p>
      <w:pPr>
        <w:pStyle w:val="ListBullet"/>
        <w:spacing w:line="240" w:lineRule="auto"/>
        <w:ind w:left="720"/>
      </w:pPr>
      <w:r/>
      <w:r>
        <w:t>Libu : Ce groupe a donné son nom à la Libye. De même que la tribu Meshwesh, ils étaient décrits comme ayant la peau claire, tatouée et portant des vêtements en cuir.</w:t>
      </w:r>
    </w:p>
    <w:p>
      <w:r/>
      <w:r>
        <w:t>L'Égypte et la Libye ont eu de nombreuses interactions tout au long de leur histoire, tant dans le commerce que dans la guerre. Le peuple libyen a souvent tenté de s'installer en Égypte depuis le nord-ouest. À partir du Moyen Empire, il y a l'histoire de Sinouhé (vers 2000 av. J.‑C.), qui commence par la mort d'Amenemhat 1er alors que son fils, Sésostris, combattait les Libyens dans le delta occidental.</w:t>
      </w:r>
    </w:p>
    <w:p>
      <w:r/>
      <w:r>
        <w:t>Au fil du temps, le peuple libyen s'est progressivement déplacé vers la région du delta du Nil. Deux rois égyptiens, Séthi 1er et Ramsès II, ont lutté pour garder le contrôle de cette région. Plus tard, le roi Mérenptah a consigné une victoire sur les Libyens sur un grand monument en pierre appelé la stèle de Mérenptah (vers 1224–1214 av. J.‑C.). Un autre roi égyptien, Ramsès III, a ensuite combattu contre les Libyens et les a repoussés de la région occidentale du Delta. Cela s'est produit à une époque où l'Égypte affrontait également un groupe appelé les Peuples de la mer, à la fois sur terre et en mer.</w:t>
      </w:r>
    </w:p>
    <w:p>
      <w:r/>
      <w:r>
        <w:t>Plus tard, les Libyens deviendront plus puissants et finiront par prendre le contrôle de l'Égypte elle-même. Ils gouverneront l'Égypte à travers deux familles royales (ou dynasties). La première était appelée la dynastie bubastite (env. 946–720 av. J.‑C.), et la seconde était la dynastie tanitique (env. 792–720 av. J.‑C.). Ces rois libyens avaient des noms différents des noms égyptiens traditionnels, tels que Sheshonk, Osorkon et Takelot. L'un de ces rois, Sheshonk, est mentionné dans l'Ancien Testament sous le nom de Schischak (</w:t>
      </w:r>
      <w:hyperlink r:id="rId6613">
        <w:r>
          <w:rPr>
            <w:color w:val="0000EE"/>
            <w:u w:val="single"/>
          </w:rPr>
          <w:t>1R 11.40</w:t>
        </w:r>
      </w:hyperlink>
      <w:r>
        <w:t xml:space="preserve"> ; </w:t>
      </w:r>
      <w:hyperlink r:id="rId13089">
        <w:r>
          <w:rPr>
            <w:color w:val="0000EE"/>
            <w:u w:val="single"/>
          </w:rPr>
          <w:t>14.25</w:t>
        </w:r>
      </w:hyperlink>
      <w:r>
        <w:t xml:space="preserve"> ; </w:t>
      </w:r>
      <w:hyperlink r:id="rId13090">
        <w:r>
          <w:rPr>
            <w:color w:val="0000EE"/>
            <w:u w:val="single"/>
          </w:rPr>
          <w:t>2Ch 12.2–9</w:t>
        </w:r>
      </w:hyperlink>
      <w:r>
        <w:t>).</w:t>
      </w:r>
    </w:p>
    <w:p>
      <w:pPr>
        <w:pStyle w:val="Heading3"/>
      </w:pPr>
      <w:r>
        <w:t>Puth dans la Bible</w:t>
      </w:r>
    </w:p>
    <w:p>
      <w:r/>
      <w:r>
        <w:t>La Bible mentionne d'abord Puth dans la Table des nations (</w:t>
      </w:r>
      <w:hyperlink r:id="rId4483">
        <w:r>
          <w:rPr>
            <w:color w:val="0000EE"/>
            <w:u w:val="single"/>
          </w:rPr>
          <w:t>Gn 10</w:t>
        </w:r>
      </w:hyperlink>
      <w:r>
        <w:t>). Puth est listé comme un fils de Cham, avec Cusch (Nubie, Éthiopie), Mitsraïm (Égypte) et Canaan (</w:t>
      </w:r>
      <w:hyperlink r:id="rId2367">
        <w:r>
          <w:rPr>
            <w:color w:val="0000EE"/>
            <w:u w:val="single"/>
          </w:rPr>
          <w:t>Gn 10.6</w:t>
        </w:r>
      </w:hyperlink>
      <w:r>
        <w:t xml:space="preserve"> ; voir </w:t>
      </w:r>
      <w:hyperlink r:id="rId2368">
        <w:r>
          <w:rPr>
            <w:color w:val="0000EE"/>
            <w:u w:val="single"/>
          </w:rPr>
          <w:t>1Ch 1.8</w:t>
        </w:r>
      </w:hyperlink>
      <w:r>
        <w:t>).</w:t>
      </w:r>
    </w:p>
    <w:p>
      <w:r/>
      <w:r>
        <w:t>Le prophète Jérémie décrit des soldats de Puth et de Cusch (ancienne Éthiopie) comme des guerriers habiles qui portaient des boucliers dans l'armée d'Égypte lors de la bataille de Carkemisch (</w:t>
      </w:r>
      <w:hyperlink r:id="rId9253">
        <w:r>
          <w:rPr>
            <w:color w:val="0000EE"/>
            <w:u w:val="single"/>
          </w:rPr>
          <w:t>Jr 46.9</w:t>
        </w:r>
      </w:hyperlink>
      <w:r>
        <w:t>). Le prophète Ézéchiel nous dit que les soldats de Puth ont également servi dans l'armée de la ville de Tyr, aux côtés de guerriers de Perse et de Lud (</w:t>
      </w:r>
      <w:hyperlink r:id="rId9254">
        <w:r>
          <w:rPr>
            <w:color w:val="0000EE"/>
            <w:u w:val="single"/>
          </w:rPr>
          <w:t>Ez 27.10</w:t>
        </w:r>
      </w:hyperlink>
      <w:r>
        <w:t>). Dans un autre récit, le prophète Nahum mentionne que Puth et les Libyens étaient alliés de la ville égyptienne de Thèbes, mais ils n'ont pas pu la protéger de la conquête par l'armée assyrienne (</w:t>
      </w:r>
      <w:hyperlink r:id="rId8831">
        <w:r>
          <w:rPr>
            <w:color w:val="0000EE"/>
            <w:u w:val="single"/>
          </w:rPr>
          <w:t>Na 3.9</w:t>
        </w:r>
      </w:hyperlink>
      <w:r>
        <w:t>). Le livre de Daniel inclut une prophétie qui dit qu'un futur dirigeant puissant prendra le contrôle de la Libye, de l'Égypte, de Cusch et d'autres terres (</w:t>
      </w:r>
      <w:hyperlink r:id="rId8830">
        <w:r>
          <w:rPr>
            <w:color w:val="0000EE"/>
            <w:u w:val="single"/>
          </w:rPr>
          <w:t>Dn 11.43</w:t>
        </w:r>
      </w:hyperlink>
      <w:r>
        <w:t>).</w:t>
      </w:r>
    </w:p>
    <w:p>
      <w:r/>
      <w:r>
        <w:t>Le livre d'Ésaïe mentionne un lieu appelé « Pul » dans le texte hébreu, mais la traduction grecque de l'Ancien Testament utilise « Puth » à la place (</w:t>
      </w:r>
      <w:hyperlink r:id="rId6096">
        <w:r>
          <w:rPr>
            <w:color w:val="0000EE"/>
            <w:u w:val="single"/>
          </w:rPr>
          <w:t>Es 66.19</w:t>
        </w:r>
      </w:hyperlink>
      <w:r>
        <w:t>). La plupart des traductions françaises suivent la version grecque. Dans ce passage, Puth apparaît dans une liste de nations entre Tarsis et Lud. Ces nations entendront parler de la gloire de Dieu.</w:t>
      </w:r>
    </w:p>
    <w:p>
      <w:r/>
      <w:r>
        <w:t>Dans le livre d'Ézéchiel, les experts ont des opinions divergentes sur les noms se référant à la Libye. Certains pensent que le mot « Puth » signifie Libye (</w:t>
      </w:r>
      <w:hyperlink r:id="rId9072">
        <w:r>
          <w:rPr>
            <w:color w:val="0000EE"/>
            <w:u w:val="single"/>
          </w:rPr>
          <w:t>Ez 30.5</w:t>
        </w:r>
      </w:hyperlink>
      <w:r>
        <w:t>). D'autres croient que c'est un autre mot dans le même verset, « Cub », qui se réfère à la Libye.</w:t>
      </w:r>
    </w:p>
    <w:p>
      <w:pPr>
        <w:pStyle w:val="Heading3"/>
      </w:pPr>
      <w:r>
        <w:t>Autres rapports historiques</w:t>
      </w:r>
    </w:p>
    <w:p>
      <w:r/>
      <w:r>
        <w:t>Des archives historiques extrabibliques mentionnent également la Libye. Des documents du roi Xerxès de Perse, qui a régné de 485 à 465 av. J.‑C., listent la Libye comme l'une des nations sous son contrôle.</w:t>
      </w:r>
      <w:r/>
      <w:r/>
    </w:p>
    <w:p>
      <w:r/>
    </w:p>
    <w:p>
      <w:pPr>
        <w:pStyle w:val="Heading2"/>
      </w:pPr>
      <w:r>
        <w:t>Puth (Personne)</w:t>
      </w:r>
      <w:r/>
    </w:p>
    <w:p>
      <w:r/>
      <w:r>
        <w:t>Troisième des quatre fils de Cham, qui s'est probablement installé en Afrique du Nord et est peut-être l'ancêtre des peuples d'Égypte et de Libye (</w:t>
      </w:r>
      <w:hyperlink r:id="rId2367">
        <w:r>
          <w:rPr>
            <w:color w:val="0000EE"/>
            <w:u w:val="single"/>
          </w:rPr>
          <w:t>Gn 10.6</w:t>
        </w:r>
      </w:hyperlink>
      <w:r>
        <w:t xml:space="preserve"> ; </w:t>
      </w:r>
      <w:hyperlink r:id="rId2368">
        <w:r>
          <w:rPr>
            <w:color w:val="0000EE"/>
            <w:u w:val="single"/>
          </w:rPr>
          <w:t>1Ch 1.8</w:t>
        </w:r>
      </w:hyperlink>
      <w:r>
        <w:t>).</w:t>
      </w:r>
    </w:p>
    <w:p>
      <w:r/>
      <w:r>
        <w:rPr>
          <w:i/>
        </w:rPr>
        <w:t>Voir aussi</w:t>
      </w:r>
      <w:r>
        <w:t xml:space="preserve"> </w:t>
      </w:r>
      <w:r>
        <w:t>Puth (Lieu)</w:t>
      </w:r>
      <w:r>
        <w:t>.</w:t>
      </w:r>
      <w:r/>
      <w:r/>
    </w:p>
    <w:p>
      <w:r/>
    </w:p>
    <w:p>
      <w:pPr>
        <w:pStyle w:val="Heading2"/>
      </w:pPr>
      <w:r>
        <w:t>Pyrrhus</w:t>
      </w:r>
      <w:r/>
    </w:p>
    <w:p>
      <w:r/>
      <w:r>
        <w:t>Père de Sopater de Bérée. Son fils Sopater était l'un des nombreux hommes qui voyageront avec l'apôtre Paul lors de son trajet retour à travers la Macédoine (</w:t>
      </w:r>
      <w:hyperlink r:id="rId1302">
        <w:r>
          <w:rPr>
            <w:color w:val="0000EE"/>
            <w:u w:val="single"/>
          </w:rPr>
          <w:t>Ac 20.4</w:t>
        </w:r>
      </w:hyperlink>
      <w:r>
        <w:t>).</w:t>
      </w:r>
      <w:r/>
      <w:r/>
    </w:p>
    <w:p>
      <w:r/>
    </w:p>
    <w:p>
      <w:pPr>
        <w:pStyle w:val="Heading2"/>
      </w:pPr>
      <w:r>
        <w:t>Quirinius</w:t>
      </w:r>
      <w:r/>
    </w:p>
    <w:p>
      <w:r/>
      <w:r>
        <w:t>Gouverneur romain de Syrie à l'époque de la naissance de Jésus (</w:t>
      </w:r>
      <w:hyperlink r:id="rId2580">
        <w:r>
          <w:rPr>
            <w:color w:val="0000EE"/>
            <w:u w:val="single"/>
          </w:rPr>
          <w:t>Lc 2.2</w:t>
        </w:r>
      </w:hyperlink>
      <w:r>
        <w:t>). Selon l'historien romain Tacite (</w:t>
      </w:r>
      <w:r>
        <w:rPr>
          <w:i/>
        </w:rPr>
        <w:t>Annales</w:t>
      </w:r>
      <w:r>
        <w:t xml:space="preserve"> 3.48), Publius Sulpicius Quirinius est élu consul de Syrie en 12 av. J.-C. Il est nommé vers 7 av. J.-C., avec Varus, légat (ou gouverneur) de Syrie. C'est Quirinius qui est responsable des affaires militaires et étrangères. Varus s'occupe des affaires civiles. Le premier mandat de Quirinius en tant que gouverneur dure plusieurs années. Il mène une expédition réussie contre les Homonades. Les Homonades sont un groupe rebelle de montagnards dans la province cilicienne d'Asie mineure. Il supervise également un recensement dans tout l'Empire romain sur ordre de César Auguste. Luc rapporte que la naissance de Jésus a lieu au moment de ce premier recensement « pendant que Quirinius était gouverneur de Syrie » (</w:t>
      </w:r>
      <w:hyperlink r:id="rId2580">
        <w:r>
          <w:rPr>
            <w:color w:val="0000EE"/>
            <w:u w:val="single"/>
          </w:rPr>
          <w:t>Lc 2.2</w:t>
        </w:r>
      </w:hyperlink>
      <w:r>
        <w:t>). Matthieu dit que la naissance a lieu pendant le règne du roi Hérode le Grand (</w:t>
      </w:r>
      <w:hyperlink r:id="rId2578">
        <w:r>
          <w:rPr>
            <w:color w:val="0000EE"/>
            <w:u w:val="single"/>
          </w:rPr>
          <w:t>Mt 2.1</w:t>
        </w:r>
      </w:hyperlink>
      <w:r>
        <w:t>), vraisemblablement en 4 av. J.-C.</w:t>
      </w:r>
    </w:p>
    <w:p>
      <w:r/>
      <w:r>
        <w:t>Quirinius devient recteur du jeune Caius César en 1 av. J.-C. Quirinius épouse Æmilia Ledipa en 2 apr. J.-C., mais divorce ensuite. En 6 apr. J.-C., il est reconduit comme légat de Syrie et sert peut-être à ce poste pendant quelques années. Lors de cette deuxième administration, Quirinius supervise de nouveau un recensement de la Judée. Ce deuxième recensement n'est pas fait selon la coutume juive, contrairement au premier. Le deuxième recensement exige un impôt des Juifs en tant que peuple subordonné à Rome. Cela provoque l'opposition et la rébellion des Juifs contre Rome. Il s'agit probablement du recensement dont parlent l'historien juif Josèphe (</w:t>
      </w:r>
      <w:r>
        <w:rPr>
          <w:i/>
        </w:rPr>
        <w:t>Antiquités</w:t>
      </w:r>
      <w:r>
        <w:t xml:space="preserve"> 17.13.5) et le docteur de la loi Gamaliel (</w:t>
      </w:r>
      <w:hyperlink r:id="rId2226">
        <w:r>
          <w:rPr>
            <w:color w:val="0000EE"/>
            <w:u w:val="single"/>
          </w:rPr>
          <w:t>Ac 5.37</w:t>
        </w:r>
      </w:hyperlink>
      <w:r>
        <w:t>).</w:t>
      </w:r>
    </w:p>
    <w:p>
      <w:r/>
      <w:r>
        <w:t>Le reste de la carrière de Quirinius se déroule probablement à Rome, où il meurt à un âge avancé en 21 apr. J.-C.</w:t>
      </w:r>
    </w:p>
    <w:p>
      <w:r/>
      <w:r>
        <w:rPr>
          <w:i/>
        </w:rPr>
        <w:t>Voir aussi</w:t>
      </w:r>
      <w:r>
        <w:t xml:space="preserve"> </w:t>
      </w:r>
      <w:r>
        <w:t>recensement</w:t>
      </w:r>
      <w:r>
        <w:t xml:space="preserve"> ; </w:t>
      </w:r>
      <w:r>
        <w:t>chronologie de la Bible (Nouveau Testament)</w:t>
      </w:r>
      <w:r>
        <w:t>.</w:t>
      </w:r>
      <w:r/>
      <w:r/>
    </w:p>
    <w:p>
      <w:r/>
    </w:p>
    <w:p>
      <w:pPr>
        <w:pStyle w:val="Heading2"/>
      </w:pPr>
      <w:r>
        <w:t>Rabbi</w:t>
      </w:r>
      <w:r/>
    </w:p>
    <w:p>
      <w:r/>
      <w:r>
        <w:t>Titre respectueux qui signifie « mon maître ». À l'époque du Nouveau Testament (NT), les Juifs appelaient ainsi les enseignants religieux respectés.</w:t>
      </w:r>
    </w:p>
    <w:p>
      <w:r/>
      <w:r>
        <w:t xml:space="preserve">Selon </w:t>
      </w:r>
      <w:hyperlink r:id="rId8866">
        <w:r>
          <w:rPr>
            <w:color w:val="0000EE"/>
            <w:u w:val="single"/>
          </w:rPr>
          <w:t>Matthieu 23.7</w:t>
        </w:r>
      </w:hyperlink>
      <w:r>
        <w:t>, les pharisiens et les scribes se faisaient souvent appeler « rabbi ». Cependant, dans le NT, ce terme apparaît le plus souvent comme titre respectueux que des personnes utilisaient pour s'adresser à Jésus. Il est appelé ainsi par Nathanaël (</w:t>
      </w:r>
      <w:hyperlink r:id="rId10549">
        <w:r>
          <w:rPr>
            <w:color w:val="0000EE"/>
            <w:u w:val="single"/>
          </w:rPr>
          <w:t>Jn 1.49</w:t>
        </w:r>
      </w:hyperlink>
      <w:r>
        <w:t>), Pierre et André (</w:t>
      </w:r>
      <w:hyperlink r:id="rId9489">
        <w:r>
          <w:rPr>
            <w:color w:val="0000EE"/>
            <w:u w:val="single"/>
          </w:rPr>
          <w:t>Jn 1.38</w:t>
        </w:r>
      </w:hyperlink>
      <w:r>
        <w:t>), Nicodème (</w:t>
      </w:r>
      <w:hyperlink r:id="rId10909">
        <w:r>
          <w:rPr>
            <w:color w:val="0000EE"/>
            <w:u w:val="single"/>
          </w:rPr>
          <w:t>Jn 3.2</w:t>
        </w:r>
      </w:hyperlink>
      <w:r>
        <w:t>), un groupe de disciples (</w:t>
      </w:r>
      <w:hyperlink r:id="rId9856">
        <w:r>
          <w:rPr>
            <w:color w:val="0000EE"/>
            <w:u w:val="single"/>
          </w:rPr>
          <w:t>Jn 9.2</w:t>
        </w:r>
      </w:hyperlink>
      <w:r>
        <w:t xml:space="preserve"> ; </w:t>
      </w:r>
      <w:hyperlink r:id="rId8006">
        <w:r>
          <w:rPr>
            <w:color w:val="0000EE"/>
            <w:u w:val="single"/>
          </w:rPr>
          <w:t>11.8</w:t>
        </w:r>
      </w:hyperlink>
      <w:r>
        <w:t>) et la foule (</w:t>
      </w:r>
      <w:hyperlink r:id="rId13091">
        <w:r>
          <w:rPr>
            <w:color w:val="0000EE"/>
            <w:u w:val="single"/>
          </w:rPr>
          <w:t>Jn 6.25</w:t>
        </w:r>
      </w:hyperlink>
      <w:r>
        <w:t xml:space="preserve">). </w:t>
      </w:r>
    </w:p>
    <w:p>
      <w:r/>
      <w:r>
        <w:t>Marie de Magdala et l'aveugle Bartimée utilisent tous deux « rabbouni » (</w:t>
      </w:r>
      <w:hyperlink r:id="rId13092">
        <w:r>
          <w:rPr>
            <w:color w:val="0000EE"/>
            <w:u w:val="single"/>
          </w:rPr>
          <w:t>Mc 10.51</w:t>
        </w:r>
      </w:hyperlink>
      <w:r>
        <w:t xml:space="preserve"> ; </w:t>
      </w:r>
      <w:hyperlink r:id="rId1114">
        <w:r>
          <w:rPr>
            <w:color w:val="0000EE"/>
            <w:u w:val="single"/>
          </w:rPr>
          <w:t>Jn 20.16</w:t>
        </w:r>
      </w:hyperlink>
      <w:r>
        <w:t xml:space="preserve">). Cette version plus longue de « rabbi » était un titre encore plus respectueux. Au moment où l'Évangile de Jean a été écrit, le titre « rabbi » désignait essentiellement un enseignant (ou maître religieux). Jean le déclare explicitement dans </w:t>
      </w:r>
      <w:hyperlink r:id="rId9489">
        <w:r>
          <w:rPr>
            <w:color w:val="0000EE"/>
            <w:u w:val="single"/>
          </w:rPr>
          <w:t>1.38</w:t>
        </w:r>
      </w:hyperlink>
      <w:r>
        <w:t xml:space="preserve"> (voir aussi </w:t>
      </w:r>
      <w:hyperlink r:id="rId10909">
        <w:r>
          <w:rPr>
            <w:color w:val="0000EE"/>
            <w:u w:val="single"/>
          </w:rPr>
          <w:t>3.2</w:t>
        </w:r>
      </w:hyperlink>
      <w:r>
        <w:t>).</w:t>
      </w:r>
    </w:p>
    <w:p>
      <w:r/>
      <w:r>
        <w:t>Jésus condamne la façon dont les scribes et les pharisiens se faisaient appeler « rabbi » dans les lieux publics, afin de se mettre en avant et de se faire glorifier par les hommes (</w:t>
      </w:r>
      <w:hyperlink r:id="rId13093">
        <w:r>
          <w:rPr>
            <w:color w:val="0000EE"/>
            <w:u w:val="single"/>
          </w:rPr>
          <w:t>Mt 23.7–8</w:t>
        </w:r>
      </w:hyperlink>
      <w:r>
        <w:t>). Pour cette raison, Jésus commande à ses disciples de ne pas les imiter. Cela ne veut peut-être pas dire qu'un vrai enseignant ne pouvait pas être appelé ainsi, mais plutôt qu'un disciple ne devait pas chercher à se faire appeler ainsi. Jésus lui-même acceptait de se faire appeler « rabbi », mais il ne se comportait pas comme les pharisiens et les scribes.</w:t>
      </w:r>
      <w:r/>
      <w:r/>
    </w:p>
    <w:p>
      <w:r/>
    </w:p>
    <w:p>
      <w:pPr>
        <w:pStyle w:val="Heading2"/>
      </w:pPr>
      <w:r>
        <w:t>Rabbouni</w:t>
      </w:r>
      <w:r/>
    </w:p>
    <w:p>
      <w:r/>
      <w:r>
        <w:t xml:space="preserve">Variante du titre honorifique « Rabbi » ce qui signifie « mon maître » et désigne un maître enseignant (voir </w:t>
      </w:r>
      <w:hyperlink r:id="rId9489">
        <w:r>
          <w:rPr>
            <w:color w:val="0000EE"/>
            <w:u w:val="single"/>
          </w:rPr>
          <w:t>Jn 1.38</w:t>
        </w:r>
      </w:hyperlink>
      <w:r>
        <w:t xml:space="preserve">). « Rabbouni » n'est utilisé que dans </w:t>
      </w:r>
      <w:hyperlink r:id="rId13092">
        <w:r>
          <w:rPr>
            <w:color w:val="0000EE"/>
            <w:u w:val="single"/>
          </w:rPr>
          <w:t>Marc 10.51</w:t>
        </w:r>
      </w:hyperlink>
      <w:r>
        <w:t xml:space="preserve"> et </w:t>
      </w:r>
      <w:hyperlink r:id="rId1114">
        <w:r>
          <w:rPr>
            <w:color w:val="0000EE"/>
            <w:u w:val="single"/>
          </w:rPr>
          <w:t>Jean 20.16</w:t>
        </w:r>
      </w:hyperlink>
      <w:r>
        <w:t xml:space="preserve">. </w:t>
      </w:r>
    </w:p>
    <w:p>
      <w:r/>
      <w:r>
        <w:rPr>
          <w:i/>
        </w:rPr>
        <w:t>Voir</w:t>
      </w:r>
      <w:r>
        <w:t xml:space="preserve"> </w:t>
      </w:r>
      <w:r>
        <w:t>rabbi</w:t>
      </w:r>
      <w:r>
        <w:t>.</w:t>
      </w:r>
      <w:r/>
      <w:r/>
    </w:p>
    <w:p>
      <w:r/>
    </w:p>
    <w:p>
      <w:pPr>
        <w:pStyle w:val="Heading2"/>
      </w:pPr>
      <w:r>
        <w:t>Raema</w:t>
      </w:r>
      <w:r/>
    </w:p>
    <w:p>
      <w:r/>
      <w:r>
        <w:t>Un des cinq fils de Cusch et descendant de la lignée de Cham. Il était le père de Sheba et Dedan (</w:t>
      </w:r>
      <w:hyperlink r:id="rId3665">
        <w:r>
          <w:rPr>
            <w:color w:val="0000EE"/>
            <w:u w:val="single"/>
          </w:rPr>
          <w:t>Gn 10.7</w:t>
        </w:r>
      </w:hyperlink>
      <w:r>
        <w:t xml:space="preserve"> ; </w:t>
      </w:r>
      <w:hyperlink r:id="rId3666">
        <w:r>
          <w:rPr>
            <w:color w:val="0000EE"/>
            <w:u w:val="single"/>
          </w:rPr>
          <w:t>1Ch 1.9</w:t>
        </w:r>
      </w:hyperlink>
      <w:r>
        <w:t xml:space="preserve">). </w:t>
      </w:r>
      <w:hyperlink r:id="rId13094">
        <w:r>
          <w:rPr>
            <w:color w:val="0000EE"/>
            <w:u w:val="single"/>
          </w:rPr>
          <w:t>Ézéchiel 27.22</w:t>
        </w:r>
      </w:hyperlink>
      <w:r>
        <w:t xml:space="preserve"> mentionne les gens de Sheba et Raema échangeant des épices et des pierres précieuses avec les marchands de Tyr. Le nom de Raema sera plus tard donné à une ville qui peut peut-être être identifiée avec Ma’in dans le sud-ouest de l'Arabie.</w:t>
      </w:r>
      <w:r/>
      <w:r/>
    </w:p>
    <w:p>
      <w:r/>
    </w:p>
    <w:p>
      <w:pPr>
        <w:pStyle w:val="Heading2"/>
      </w:pPr>
      <w:r>
        <w:t>Ram</w:t>
      </w:r>
      <w:r/>
    </w:p>
    <w:p>
      <w:r/>
      <w:r>
        <w:t>Un bélier est un mouton mâle adulte, généralement doté de grandes cornes courbées. Les béliers sont plus forts et plus grands que les brebis. À l'époque biblique, on gardait les béliers pour la reproduction, la viande et la laine. Les béliers étaient également offerts en sacrifices à Dieu (</w:t>
      </w:r>
      <w:hyperlink r:id="rId12868">
        <w:r>
          <w:rPr>
            <w:color w:val="0000EE"/>
            <w:u w:val="single"/>
          </w:rPr>
          <w:t>Gn 22.13</w:t>
        </w:r>
      </w:hyperlink>
      <w:r>
        <w:t xml:space="preserve"> ; </w:t>
      </w:r>
      <w:hyperlink r:id="rId13095">
        <w:r>
          <w:rPr>
            <w:color w:val="0000EE"/>
            <w:u w:val="single"/>
          </w:rPr>
          <w:t>Ex 29.15</w:t>
        </w:r>
      </w:hyperlink>
      <w:r>
        <w:t>).</w:t>
      </w:r>
    </w:p>
    <w:p>
      <w:r/>
      <w:r>
        <w:t>La corne d'un bélier, appelée corne de bélier ou shofar, était parfois utilisée comme trompette dans le culte et la guerre (</w:t>
      </w:r>
      <w:hyperlink r:id="rId13096">
        <w:r>
          <w:rPr>
            <w:color w:val="0000EE"/>
            <w:u w:val="single"/>
          </w:rPr>
          <w:t>Jos 6.4–5</w:t>
        </w:r>
      </w:hyperlink>
      <w:r>
        <w:t>).</w:t>
      </w:r>
    </w:p>
    <w:p>
      <w:r/>
      <w:r>
        <w:rPr>
          <w:i/>
        </w:rPr>
        <w:t xml:space="preserve">Voir </w:t>
      </w:r>
      <w:r>
        <w:t>Mouton, Brebis</w:t>
      </w:r>
      <w:r>
        <w:rPr>
          <w:i/>
        </w:rPr>
        <w:t xml:space="preserve"> ; voir aussi</w:t>
      </w:r>
      <w:r>
        <w:t xml:space="preserve"> </w:t>
      </w:r>
      <w:r>
        <w:t>Animaux</w:t>
      </w:r>
      <w:r>
        <w:t>.</w:t>
      </w:r>
      <w:r/>
      <w:r/>
    </w:p>
    <w:p>
      <w:r/>
    </w:p>
    <w:p>
      <w:pPr>
        <w:pStyle w:val="Heading2"/>
      </w:pPr>
      <w:r>
        <w:t>Rebecca, Rébecca</w:t>
      </w:r>
      <w:r/>
    </w:p>
    <w:p>
      <w:r/>
      <w:r>
        <w:t xml:space="preserve">Fille de Bethuel et épouse du patriarche Isaac. Son nom, qui signifie « bien nourrie » ou « choisie », apparaît trente-et-une fois dans la Genèse (principalement dans les chap. </w:t>
      </w:r>
      <w:hyperlink r:id="rId13097">
        <w:r>
          <w:rPr>
            <w:color w:val="0000EE"/>
            <w:u w:val="single"/>
          </w:rPr>
          <w:t>24–27</w:t>
        </w:r>
      </w:hyperlink>
      <w:r>
        <w:t xml:space="preserve">) et une fois dans </w:t>
      </w:r>
      <w:hyperlink r:id="rId13098">
        <w:r>
          <w:rPr>
            <w:color w:val="0000EE"/>
            <w:u w:val="single"/>
          </w:rPr>
          <w:t>Romains 9.10</w:t>
        </w:r>
      </w:hyperlink>
      <w:r>
        <w:t>.</w:t>
      </w:r>
    </w:p>
    <w:p>
      <w:r/>
      <w:r>
        <w:t>Le père de Rebecca était Bethuel, lui-même fils de Milca et de Nachor, le frère d'Abraham (</w:t>
      </w:r>
      <w:hyperlink r:id="rId10038">
        <w:r>
          <w:rPr>
            <w:color w:val="0000EE"/>
            <w:u w:val="single"/>
          </w:rPr>
          <w:t>Gn 22.20–23</w:t>
        </w:r>
      </w:hyperlink>
      <w:r>
        <w:t>). Abraham était son grand-oncle et, finira bien sûr par être son beau-père. Laban, le père de Léa et de Rachel, était son frère. Ainsi, son fils Jacob épousera ses deux cousines, qui étaient sœurs.</w:t>
      </w:r>
    </w:p>
    <w:p>
      <w:r/>
      <w:hyperlink r:id="rId6015">
        <w:r>
          <w:rPr>
            <w:color w:val="0000EE"/>
            <w:u w:val="single"/>
          </w:rPr>
          <w:t>Genèse 24</w:t>
        </w:r>
      </w:hyperlink>
      <w:r>
        <w:t xml:space="preserve"> raconte la recherche réussie par le serviteur d'Abraham d'une épouse pour Isaac. Il se rend à Aram-Naharaïm (nord-ouest de la Mésopotamie) en obéissance à Abraham, qui ne voulait pas que son fils épouse une Cananéenne locale. En réponse à la prière du serviteur, Rebecca donne non seulement à boire à l'homme, mais abreuve aussi ses chameaux. Après qu'une certaine hospitalité a été offerte et qu'un paiement a été effectué, Rebecca va volontiers rencontrer son nouveau mari.</w:t>
      </w:r>
    </w:p>
    <w:p>
      <w:r/>
      <w:r>
        <w:t>Rebecca donnera naissance à des jumeaux, Ésaü et Jacob (</w:t>
      </w:r>
      <w:hyperlink r:id="rId13099">
        <w:r>
          <w:rPr>
            <w:color w:val="0000EE"/>
            <w:u w:val="single"/>
          </w:rPr>
          <w:t>25.20–27</w:t>
        </w:r>
      </w:hyperlink>
      <w:r>
        <w:t>). Elle préférait Jacob, le plus jeune, à Ésaü et participera à une ruse contre son mari pour obtenir le droit d'aînesse pour Jacob. C'est elle qui a développé l'idée de déguiser Jacob pour qu'il ressemble à Ésaü (un homme des champs) au niveau de son apparence, son toucher et son l'odeur. Elle préparera également le plat préféré d'Isaac pour faciliter l'événement (</w:t>
      </w:r>
      <w:hyperlink r:id="rId13100">
        <w:r>
          <w:rPr>
            <w:color w:val="0000EE"/>
            <w:u w:val="single"/>
          </w:rPr>
          <w:t>27.5–17</w:t>
        </w:r>
      </w:hyperlink>
      <w:r>
        <w:t>).</w:t>
      </w:r>
    </w:p>
    <w:p>
      <w:r/>
      <w:r>
        <w:t>Les Écritures rapportent peu de choses sur sa vie, mais indiquent qu'elle a été enterrée à côté de son mari dans la grotte de Macpéla près de Mamré (</w:t>
      </w:r>
      <w:hyperlink r:id="rId13101">
        <w:r>
          <w:rPr>
            <w:color w:val="0000EE"/>
            <w:u w:val="single"/>
          </w:rPr>
          <w:t>49.31</w:t>
        </w:r>
      </w:hyperlink>
      <w:r>
        <w:t>).</w:t>
      </w:r>
    </w:p>
    <w:p>
      <w:r/>
      <w:r>
        <w:rPr>
          <w:i/>
        </w:rPr>
        <w:t>Voir aussi</w:t>
      </w:r>
      <w:r>
        <w:t xml:space="preserve"> </w:t>
      </w:r>
      <w:r>
        <w:t>Isaac</w:t>
      </w:r>
      <w:r>
        <w:t>.</w:t>
      </w:r>
      <w:r/>
      <w:r/>
    </w:p>
    <w:p>
      <w:r/>
    </w:p>
    <w:p>
      <w:pPr>
        <w:pStyle w:val="Heading2"/>
      </w:pPr>
      <w:r>
        <w:t>rédempteur, rédemption</w:t>
      </w:r>
      <w:r/>
    </w:p>
    <w:p>
      <w:r/>
      <w:r>
        <w:t>Les mots rédempteur et rédemption proviennent d'un terme latin qui a le sens général de « racheter ». Ceci peut signifier le rachat d'un objet, le paiement d'une rançon ou la libération d'un prisonnier ou d'un esclave. Le mot grec équivalent signifie racheter ou libérer. Il est utilisé pour désigner la libération de l'esclavage ou de prison, et la délivrance.</w:t>
      </w:r>
    </w:p>
    <w:p>
      <w:pPr>
        <w:pStyle w:val="Heading3"/>
      </w:pPr>
      <w:r>
        <w:t>Termes clés dans l’Ancien Testament et le Nouveau</w:t>
      </w:r>
    </w:p>
    <w:p>
      <w:r/>
      <w:r>
        <w:t>Pour bien comprendre le concept de rédemption, il est nécessaire d'examiner comment il est exprimé dans l'Ancien Testament (AT). Trois mots différents sont utilisés en hébreu pour exprimer l'idée de rédemption dans des contextes différents. Le sens de ces termes repose sur des pratiques légales, sociales et religieuses qui sont souvent étrangères aux cultures modernes. Il faut donc comprendre ce contexte culturel pour saisir le sens de ces termes et la façon dont ils sont utilisés.</w:t>
      </w:r>
    </w:p>
    <w:p>
      <w:r/>
      <w:r>
        <w:t xml:space="preserve">Le premier terme qui communique la rédemption est utilisé dans contexte légal. Le verbe </w:t>
      </w:r>
      <w:r>
        <w:rPr>
          <w:i/>
        </w:rPr>
        <w:t>padah</w:t>
      </w:r>
      <w:r>
        <w:t xml:space="preserve"> peut être employé lorsqu'un animal est sacrifié comme substitut (ou rachat) d'une personne ou d'un autre animal. Le nom qui dérive de la racine de ce mot désigne la rançon ou le prix compensatoire payé. Dans certaines situations où le rachat était une exigence de la loi de Moïse, il fallait soit substituer un autre animal ou payer le prix fixé. Sinon, l'animal était tué. Toutefois, la loi n'envisage pas de possibilité qu'une personne soit tuée dans ces situations. Elle doit absolument être rachetée (</w:t>
      </w:r>
      <w:hyperlink r:id="rId12506">
        <w:r>
          <w:rPr>
            <w:color w:val="0000EE"/>
            <w:u w:val="single"/>
          </w:rPr>
          <w:t>Ex 13.13</w:t>
        </w:r>
      </w:hyperlink>
      <w:r>
        <w:t xml:space="preserve"> ; </w:t>
      </w:r>
      <w:hyperlink r:id="rId11188">
        <w:r>
          <w:rPr>
            <w:color w:val="0000EE"/>
            <w:u w:val="single"/>
          </w:rPr>
          <w:t>34.20</w:t>
        </w:r>
      </w:hyperlink>
      <w:r>
        <w:t xml:space="preserve">). Le terme </w:t>
      </w:r>
      <w:r>
        <w:rPr>
          <w:i/>
        </w:rPr>
        <w:t>padah</w:t>
      </w:r>
      <w:r>
        <w:t xml:space="preserve"> est aussi parfois utilisé pour parler du rachat d'une esclave israélite par quelqu'un d'autre ou de façon plus générale du paiement d'une rançon pour sauver quelqu'un (</w:t>
      </w:r>
      <w:hyperlink r:id="rId13102">
        <w:r>
          <w:rPr>
            <w:color w:val="0000EE"/>
            <w:u w:val="single"/>
          </w:rPr>
          <w:t>Ex 21.8</w:t>
        </w:r>
      </w:hyperlink>
      <w:r>
        <w:t xml:space="preserve"> ; </w:t>
      </w:r>
      <w:hyperlink r:id="rId13103">
        <w:r>
          <w:rPr>
            <w:color w:val="0000EE"/>
            <w:u w:val="single"/>
          </w:rPr>
          <w:t>Jb 6.23</w:t>
        </w:r>
      </w:hyperlink>
      <w:r>
        <w:t>).</w:t>
      </w:r>
    </w:p>
    <w:p>
      <w:r/>
      <w:r>
        <w:t>Le concept de rédemption était particulièrement important pour les premiers-nés. En Israël, le premier-né mâle, humain ou animal, appartenait à Dieu. Les premiers-nés des animaux qui pouvaient être offerts en sacrifice (animaux purs) devaient être sacrifiés à Dieu. Certains animaux qui ne pouvaient pas être offerts en sacrifice (animaux impurs), comme l'âne, devait être rachetés ou tués. Les fils premiers-nés des Israélites étaient obligatoirement rachetés (</w:t>
      </w:r>
      <w:hyperlink r:id="rId12504">
        <w:r>
          <w:rPr>
            <w:color w:val="0000EE"/>
            <w:u w:val="single"/>
          </w:rPr>
          <w:t>Nb 18.15–16</w:t>
        </w:r>
      </w:hyperlink>
      <w:r>
        <w:t>).</w:t>
      </w:r>
    </w:p>
    <w:p>
      <w:r/>
      <w:r>
        <w:t xml:space="preserve">Le deuxième terme clé concernant la rédemption dans l'AT est la racine hébraïque </w:t>
      </w:r>
      <w:r>
        <w:rPr>
          <w:i/>
        </w:rPr>
        <w:t>ga’al.</w:t>
      </w:r>
      <w:r>
        <w:t xml:space="preserve"> Celle-ci est principalement utilisée dans le contexte de lois sur les propriétés familiales et les devoirs familiaux. Par exemple, si un bien était perdu par un membre de la famille, le plus proche parent avait à la fois le droit et le devoir de le racheter. Ce droit de rachat servait à protéger l'héritage familial. Le nom dérivé de cette racine équivaut à « rédemption » et la personne qui rachète le bien est le </w:t>
      </w:r>
      <w:r>
        <w:rPr>
          <w:i/>
        </w:rPr>
        <w:t>go’el</w:t>
      </w:r>
      <w:r>
        <w:t xml:space="preserve"> ou rédempteur.</w:t>
      </w:r>
    </w:p>
    <w:p>
      <w:r/>
      <w:r>
        <w:t>Un Israélite qui était contraint de se vendre en esclavage pour rembourser ses dettes pouvait être racheté par un proche parent ou se racheter lui-même (</w:t>
      </w:r>
      <w:hyperlink r:id="rId13104">
        <w:r>
          <w:rPr>
            <w:color w:val="0000EE"/>
            <w:u w:val="single"/>
          </w:rPr>
          <w:t>Lv 25.47–49</w:t>
        </w:r>
      </w:hyperlink>
      <w:r>
        <w:t>). Les terres pouvaient également être rachetées de la même manière (</w:t>
      </w:r>
      <w:hyperlink r:id="rId13105">
        <w:r>
          <w:rPr>
            <w:color w:val="0000EE"/>
            <w:u w:val="single"/>
          </w:rPr>
          <w:t>25.25–28</w:t>
        </w:r>
      </w:hyperlink>
      <w:r>
        <w:t xml:space="preserve"> ; </w:t>
      </w:r>
      <w:hyperlink r:id="rId13106">
        <w:r>
          <w:rPr>
            <w:color w:val="0000EE"/>
            <w:u w:val="single"/>
          </w:rPr>
          <w:t>Jr 32.6–9</w:t>
        </w:r>
      </w:hyperlink>
      <w:r>
        <w:t>).</w:t>
      </w:r>
    </w:p>
    <w:p>
      <w:r/>
      <w:r>
        <w:t>Le droit de rachat s'appliquait également aux personnes dans certaines circonstances particulières. Un frère avait le devoir d'épouser la veuve de son frère décédé sans enfant (</w:t>
      </w:r>
      <w:hyperlink r:id="rId5782">
        <w:r>
          <w:rPr>
            <w:color w:val="0000EE"/>
            <w:u w:val="single"/>
          </w:rPr>
          <w:t>Dt 25.5</w:t>
        </w:r>
      </w:hyperlink>
      <w:r>
        <w:t>). Dans le livre de Ruth, celui qui épouse la veuve est aussi appelé un rédempteur, même s'il ne s'agit pas du rachat de quelqu'un d'autre ou de payer de l'argent. Dans ce récit, Boaz devient le rédempteur de la propriété de son parent décédé, qu'il rachète, et de sa veuve Ruth, qu'il épouse (</w:t>
      </w:r>
      <w:hyperlink r:id="rId13107">
        <w:r>
          <w:rPr>
            <w:color w:val="0000EE"/>
            <w:u w:val="single"/>
          </w:rPr>
          <w:t>Ru 3.13</w:t>
        </w:r>
      </w:hyperlink>
      <w:r>
        <w:t xml:space="preserve"> ; </w:t>
      </w:r>
      <w:hyperlink r:id="rId13108">
        <w:r>
          <w:rPr>
            <w:color w:val="0000EE"/>
            <w:u w:val="single"/>
          </w:rPr>
          <w:t>4.1–6</w:t>
        </w:r>
      </w:hyperlink>
      <w:r>
        <w:t>).</w:t>
      </w:r>
    </w:p>
    <w:p>
      <w:r/>
      <w:r>
        <w:t xml:space="preserve">Le troisième terme clé concernant la rédemption dans l'AT est le verbe racine </w:t>
      </w:r>
      <w:r>
        <w:rPr>
          <w:i/>
        </w:rPr>
        <w:t>kaphar</w:t>
      </w:r>
      <w:r>
        <w:t xml:space="preserve">, qui signifie « couvrir ». De cette racine viennent les termes qui signifient couvrir le péché, faire réparation ou expier. Le nom dérivé, </w:t>
      </w:r>
      <w:r>
        <w:rPr>
          <w:i/>
        </w:rPr>
        <w:t>kopher</w:t>
      </w:r>
      <w:r>
        <w:t>, quand il est utilisé dans un sens religieux, désigne le prix payé pour couvrir le péché ou faire réparation.</w:t>
      </w:r>
    </w:p>
    <w:p>
      <w:r/>
      <w:r>
        <w:t>Le terme est utilisé pour désigner le paiement effectué pour toute vie qui devrait être perdue. Par exemple, il désigne le prix payé par le propriétaire d'un bœuf ayant encorné une personne à mort. Selon la loi, si le propriétaire savait que le bœuf était sujet à frapper, mais qu'il ne l'a pas fait surveiller, il est responsable et mérite la mort. Toutefois, il peut racheter sa vie en payant la rançon requise (</w:t>
      </w:r>
      <w:hyperlink r:id="rId4326">
        <w:r>
          <w:rPr>
            <w:color w:val="0000EE"/>
            <w:u w:val="single"/>
          </w:rPr>
          <w:t>Ex 21.28–32</w:t>
        </w:r>
      </w:hyperlink>
      <w:r>
        <w:t>).</w:t>
      </w:r>
    </w:p>
    <w:p>
      <w:r/>
      <w:r>
        <w:t xml:space="preserve">Les trois termes hébreux décrits ci-dessus sont traduits par le même verbe grec, </w:t>
      </w:r>
      <w:r>
        <w:rPr>
          <w:i/>
        </w:rPr>
        <w:t>lutroō</w:t>
      </w:r>
      <w:r>
        <w:t xml:space="preserve">, qui signifie racheter, délier ou délivrer. Le nom </w:t>
      </w:r>
      <w:r>
        <w:rPr>
          <w:i/>
        </w:rPr>
        <w:t>lutron</w:t>
      </w:r>
      <w:r>
        <w:t xml:space="preserve"> (rançon) est aussi occasionnellement utilisé pour traduire les trois termes hébreux. Ceci confirme que, bien que l'hébreu utilise des mots différents dans des contextes différents, le concept de rédemption est commun à ces trois mots. Le concept de rachat ou de délivrance est d'importance capitale dans l'AT.</w:t>
      </w:r>
    </w:p>
    <w:p>
      <w:pPr>
        <w:pStyle w:val="Heading3"/>
      </w:pPr>
      <w:r>
        <w:t>Dieu en tant que Rédempteur</w:t>
      </w:r>
    </w:p>
    <w:p>
      <w:r/>
      <w:r>
        <w:t>Dans l'AT, le peuple entier (ou la nation), plutôt que l'individu, est généralement l'objet de la rédemption de Dieu. Le concept de la rédemption d'Israël en tant que nation commence avec le récit de sa libération de l'esclavage en Égypte. Alors qu'ils sont dans la servitude, Dieu les affranchit et les rachète (</w:t>
      </w:r>
      <w:hyperlink r:id="rId957">
        <w:r>
          <w:rPr>
            <w:color w:val="0000EE"/>
            <w:u w:val="single"/>
          </w:rPr>
          <w:t>Ex 6.6</w:t>
        </w:r>
      </w:hyperlink>
      <w:r>
        <w:t xml:space="preserve"> ; </w:t>
      </w:r>
      <w:hyperlink r:id="rId13109">
        <w:r>
          <w:rPr>
            <w:color w:val="0000EE"/>
            <w:u w:val="single"/>
          </w:rPr>
          <w:t>Dt 15.15</w:t>
        </w:r>
      </w:hyperlink>
      <w:r>
        <w:t>).</w:t>
      </w:r>
    </w:p>
    <w:p>
      <w:r/>
      <w:r>
        <w:t>Comme l'indiquent les termes utilisés pour racheter ou payer une rançon, il fallait le plus souvent soit payer une valeur spécifique ou substituer une vie à une autre. Toutefois, quand Dieu a racheté Israël, il l'a fait sans payer de prix. Il a utilisé sa puissance pour délivrer son peuple de ceux qui les avaient asservis : « Je suis l’Éternel, je vous affranchirai des travaux dont vous chargent les Égyptiens, je vous délivrerai de leur servitude, et je vous sauverai à bras étendu et par de grands jugements » (</w:t>
      </w:r>
      <w:hyperlink r:id="rId957">
        <w:r>
          <w:rPr>
            <w:color w:val="0000EE"/>
            <w:u w:val="single"/>
          </w:rPr>
          <w:t>Ex 6.6</w:t>
        </w:r>
      </w:hyperlink>
      <w:r>
        <w:t xml:space="preserve"> ; voir aussi </w:t>
      </w:r>
      <w:hyperlink r:id="rId13109">
        <w:r>
          <w:rPr>
            <w:color w:val="0000EE"/>
            <w:u w:val="single"/>
          </w:rPr>
          <w:t>Dt 15.15</w:t>
        </w:r>
      </w:hyperlink>
      <w:r>
        <w:t xml:space="preserve">). Dieu délivre ainsi son peuple à d'autres moments de son histoire, comme au temps de l'exil. Dieu est le libérateur national (p. ex. </w:t>
      </w:r>
      <w:hyperlink r:id="rId13110">
        <w:r>
          <w:rPr>
            <w:color w:val="0000EE"/>
            <w:u w:val="single"/>
          </w:rPr>
          <w:t>Es 29.22</w:t>
        </w:r>
      </w:hyperlink>
      <w:r>
        <w:t xml:space="preserve"> ; </w:t>
      </w:r>
      <w:hyperlink r:id="rId13111">
        <w:r>
          <w:rPr>
            <w:color w:val="0000EE"/>
            <w:u w:val="single"/>
          </w:rPr>
          <w:t>35.10</w:t>
        </w:r>
      </w:hyperlink>
      <w:r>
        <w:t xml:space="preserve"> ; </w:t>
      </w:r>
      <w:hyperlink r:id="rId13112">
        <w:r>
          <w:rPr>
            <w:color w:val="0000EE"/>
            <w:u w:val="single"/>
          </w:rPr>
          <w:t>43.1</w:t>
        </w:r>
      </w:hyperlink>
      <w:r>
        <w:t xml:space="preserve"> ; </w:t>
      </w:r>
      <w:hyperlink r:id="rId11698">
        <w:r>
          <w:rPr>
            <w:color w:val="0000EE"/>
            <w:u w:val="single"/>
          </w:rPr>
          <w:t>44.22</w:t>
        </w:r>
      </w:hyperlink>
      <w:r>
        <w:t xml:space="preserve"> ; </w:t>
      </w:r>
      <w:hyperlink r:id="rId13113">
        <w:r>
          <w:rPr>
            <w:color w:val="0000EE"/>
            <w:u w:val="single"/>
          </w:rPr>
          <w:t>Jr 31.11</w:t>
        </w:r>
      </w:hyperlink>
      <w:r>
        <w:t>).</w:t>
      </w:r>
    </w:p>
    <w:p>
      <w:r/>
      <w:r>
        <w:t>Quand Dieu ramène son peuple de l'exil, il n'y a, cette fois non plus, aucune indication qu'il a dû payer un prix pour libérer son peuple. Dieu « rachète » par sa propre puissance : « Car ainsi parle l’Éternel : C’est gratuitement que vous avez été vendus, Et ce n’est pas à prix d’argent que vous serez rachetés » (</w:t>
      </w:r>
      <w:hyperlink r:id="rId13114">
        <w:r>
          <w:rPr>
            <w:color w:val="0000EE"/>
            <w:u w:val="single"/>
          </w:rPr>
          <w:t>Es 52.3</w:t>
        </w:r>
      </w:hyperlink>
      <w:r>
        <w:t>). Lorsque Cyrus libère les captifs du peuple, il n'y aucune rançon qui est payée, ni d'autre paiement qui est effectué (</w:t>
      </w:r>
      <w:hyperlink r:id="rId13115">
        <w:r>
          <w:rPr>
            <w:color w:val="0000EE"/>
            <w:u w:val="single"/>
          </w:rPr>
          <w:t>45.13</w:t>
        </w:r>
      </w:hyperlink>
      <w:r>
        <w:t>).</w:t>
      </w:r>
    </w:p>
    <w:p>
      <w:r/>
      <w:r>
        <w:t>Dans les premiers siècles de l'Église, certains chrétiens pensaient que la mort de Christ n'était pas juste un prix payé pour le pardon des péchés, mais une rançon. Ils enseignaient que le pécheur inconverti était retenu captif par Satan. La mort de Christ était considérée comme une rançon payée par Dieu à Satan pour libérer les pécheurs. Cet enseignement n'est pas conforme aux Écritures. Christ prend sur lui-même la punition des péchés. Il meurt à la place des pécheurs et les réconcilie ainsi à Dieu. Cela ne signifie pas que sa mort était un prix payé à Satan. Les Écritures ne représentent jamais Dieu comme s'engageant dans une telle transaction commerciale avec Satan. Toutefois, l'œuvre de rédemption de la croix reste un mystère divin.</w:t>
      </w:r>
    </w:p>
    <w:p>
      <w:pPr>
        <w:pStyle w:val="Heading3"/>
      </w:pPr>
      <w:r>
        <w:t>La rédemption et le Messie</w:t>
      </w:r>
    </w:p>
    <w:p>
      <w:r/>
      <w:r>
        <w:t>Dans l'AT, l'espérance d'une rédemption future est étroitement liée à celle de la venue du Messie. Depuis l'exode, Dieu s'est révélé comme libérateur de son peuple. Pendant la captivité à Babylone et en Perse, l'espoir est grand que Dieu viendra à nouveau délivrer son peuple. Ainsi, les prophètes parlent fréquemment de lui comme rédempteur ou libérateur. Cette espérance s'accomplira par l'intermédiaire du Messie (l'oint de Dieu), qui sera un descendant de David (</w:t>
      </w:r>
      <w:hyperlink r:id="rId13116">
        <w:r>
          <w:rPr>
            <w:color w:val="0000EE"/>
            <w:u w:val="single"/>
          </w:rPr>
          <w:t>Es 8.23–9.5</w:t>
        </w:r>
      </w:hyperlink>
      <w:r>
        <w:t xml:space="preserve"> ; </w:t>
      </w:r>
      <w:hyperlink r:id="rId4411">
        <w:r>
          <w:rPr>
            <w:color w:val="0000EE"/>
            <w:u w:val="single"/>
          </w:rPr>
          <w:t>11.1–9</w:t>
        </w:r>
      </w:hyperlink>
      <w:r>
        <w:t xml:space="preserve"> ; </w:t>
      </w:r>
      <w:hyperlink r:id="rId12527">
        <w:r>
          <w:rPr>
            <w:color w:val="0000EE"/>
            <w:u w:val="single"/>
          </w:rPr>
          <w:t>Jr 23.5–6</w:t>
        </w:r>
      </w:hyperlink>
      <w:r>
        <w:t>).</w:t>
      </w:r>
    </w:p>
    <w:p>
      <w:r/>
      <w:r>
        <w:t>L'espérance messianique s'est intensifiée pendant les périodes d'exil et de persécution. En fait, au cours de longs siècles de persécution, l'espérance d'un libérateur messianique est plus forte que jamais. Cette période, généralement appelée la période intertestamentaire, a duré environ quatre siècles. Elle commence avec le dernier des prophètes de l'AT et prend fin avec l'arrivée de Jean le Baptiste et de Jésus.</w:t>
      </w:r>
    </w:p>
    <w:p>
      <w:r/>
      <w:r>
        <w:t>Le Nouveau Testament (NT) présente Jésus le Christ (ou Messie) comme l'accomplissement ultime du concept de la rédemption de l'AT. Ce thème de rédemption en Christ est très évident dans les Évangiles. Jean le Baptiste décrit Jésus de Nazareth comme l'accomplissement du royaume qui doit amener la rédemption de Dieu (</w:t>
      </w:r>
      <w:hyperlink r:id="rId4666">
        <w:r>
          <w:rPr>
            <w:color w:val="0000EE"/>
            <w:u w:val="single"/>
          </w:rPr>
          <w:t>Mt 3.12</w:t>
        </w:r>
      </w:hyperlink>
      <w:r>
        <w:t>). Jésus est donc le Messie d'Israël qui a été prédit, et le Fils de l'homme qui est venu donner sa vie en rançon pour beaucoup (</w:t>
      </w:r>
      <w:hyperlink r:id="rId653">
        <w:r>
          <w:rPr>
            <w:color w:val="0000EE"/>
            <w:u w:val="single"/>
          </w:rPr>
          <w:t>Mt 20.28</w:t>
        </w:r>
      </w:hyperlink>
      <w:r>
        <w:t xml:space="preserve"> ; </w:t>
      </w:r>
      <w:hyperlink r:id="rId654">
        <w:r>
          <w:rPr>
            <w:color w:val="0000EE"/>
            <w:u w:val="single"/>
          </w:rPr>
          <w:t>Mc 10.45</w:t>
        </w:r>
      </w:hyperlink>
      <w:r>
        <w:t>). Le Messie se substitue aux pécheurs, en sorte de mourir à leur place et pour leur bénéfice.</w:t>
      </w:r>
    </w:p>
    <w:p>
      <w:r/>
      <w:r>
        <w:t>Paul représente également l'œuvre de Christ de cette façon dans ses écrits. Christ est une victime propitiatoire pour le péché devant le Père (</w:t>
      </w:r>
      <w:hyperlink r:id="rId8454">
        <w:r>
          <w:rPr>
            <w:color w:val="0000EE"/>
            <w:u w:val="single"/>
          </w:rPr>
          <w:t>Rm 3.25</w:t>
        </w:r>
      </w:hyperlink>
      <w:r>
        <w:t>). La rédemption s'accomplit au prix de son sang (</w:t>
      </w:r>
      <w:hyperlink r:id="rId4548">
        <w:r>
          <w:rPr>
            <w:color w:val="0000EE"/>
            <w:u w:val="single"/>
          </w:rPr>
          <w:t>Ac 20.28</w:t>
        </w:r>
      </w:hyperlink>
      <w:r>
        <w:t>) pour affranchir son peuple (</w:t>
      </w:r>
      <w:hyperlink r:id="rId13117">
        <w:r>
          <w:rPr>
            <w:color w:val="0000EE"/>
            <w:u w:val="single"/>
          </w:rPr>
          <w:t>1Co 7.22–24</w:t>
        </w:r>
      </w:hyperlink>
      <w:r>
        <w:t xml:space="preserve"> ; </w:t>
      </w:r>
      <w:hyperlink r:id="rId13118">
        <w:r>
          <w:rPr>
            <w:color w:val="0000EE"/>
            <w:u w:val="single"/>
          </w:rPr>
          <w:t xml:space="preserve">2Co 5.14–17, </w:t>
        </w:r>
      </w:hyperlink>
      <w:r>
        <w:t>voir aussi</w:t>
      </w:r>
      <w:r>
        <w:t xml:space="preserve"> </w:t>
      </w:r>
      <w:hyperlink r:id="rId3933">
        <w:r>
          <w:rPr>
            <w:color w:val="0000EE"/>
            <w:u w:val="single"/>
          </w:rPr>
          <w:t>1P 2.9</w:t>
        </w:r>
      </w:hyperlink>
      <w:r>
        <w:t>). Ces termes et ces expressions sont utilisés pour présenter l'idée centrale de rédemption ou d'expiation. Jésus-Christ est donc celui qui, en lui-même, est l'accomplissement ultime du concept de rédemption dans la Bible. Par son sacrifice, il a obtenu la rédemption des pécheurs.</w:t>
      </w:r>
    </w:p>
    <w:p>
      <w:r/>
      <w:r>
        <w:t>Le concept de rédemption a une importance profonde et essentielle pour le peuple de Dieu. Dans l'AT, il démontre le fait que Dieu est le Sauveur du peuple avec qui il a fait alliance. Même quand Israël tombe dans le péché en abandonnant la loi de Dieu, il ne les détruit pas mais les rétablit dans sa grâce quand ils se repentent.</w:t>
      </w:r>
    </w:p>
    <w:p>
      <w:r/>
      <w:r>
        <w:t>Dans les prophètes, en particulier, l'œuvre rédemptrice de Dieu devait être accomplie par le Messie et son sacrifice rédempteur. Les disciples de Jésus ont compris qu'il était le Messie apportant la rédemption au monde entier. La force motrice de l'amour divin sert de base à la restauration et à la rédemption (</w:t>
      </w:r>
      <w:hyperlink r:id="rId5733">
        <w:r>
          <w:rPr>
            <w:color w:val="0000EE"/>
            <w:u w:val="single"/>
          </w:rPr>
          <w:t>Jn 3.16</w:t>
        </w:r>
      </w:hyperlink>
      <w:r>
        <w:t>). Celui qui croit est libéré de l'esclavage au péché et retrouve la faveur du Dieu qui l'a racheté.</w:t>
      </w:r>
    </w:p>
    <w:p>
      <w:r/>
      <w:r>
        <w:rPr>
          <w:i/>
        </w:rPr>
        <w:t>Voir aussi</w:t>
      </w:r>
      <w:r>
        <w:t xml:space="preserve"> </w:t>
      </w:r>
      <w:r>
        <w:t>expiation</w:t>
      </w:r>
      <w:r>
        <w:t xml:space="preserve"> ; </w:t>
      </w:r>
      <w:r>
        <w:t>rançon</w:t>
      </w:r>
      <w:r>
        <w:t xml:space="preserve"> ; </w:t>
      </w:r>
      <w:r>
        <w:t>salut</w:t>
      </w:r>
      <w:r>
        <w:t>.</w:t>
      </w:r>
      <w:r/>
      <w:r/>
    </w:p>
    <w:p>
      <w:r/>
    </w:p>
    <w:p>
      <w:pPr>
        <w:pStyle w:val="Heading2"/>
      </w:pPr>
      <w:r>
        <w:t>Reggio</w:t>
      </w:r>
      <w:r/>
    </w:p>
    <w:p>
      <w:r/>
      <w:r>
        <w:t>Port italien important visité par Paul lors de son voyage à Rome (</w:t>
      </w:r>
      <w:hyperlink r:id="rId12471">
        <w:r>
          <w:rPr>
            <w:color w:val="0000EE"/>
            <w:u w:val="single"/>
          </w:rPr>
          <w:t>Ac 28.13</w:t>
        </w:r>
      </w:hyperlink>
      <w:r>
        <w:t>). Depuis Malte, le navire de Paul a voyagé vers le nord jusqu'à la capitale sicilienne, Syracuse. Ensuite, en l'absence de vent venant du sud, ils ont peut-être navigué dans le détroit de Messine, trouvant un bon port à Reggio. Un autre vent du sud les a portés de Reggio à Pouzzoles dans la baie de Naples, la destination finale du navire, puisque Pouzzoles était le principal port du sud de l'Italie, recevant les grands navires céréaliers alexandrins.</w:t>
      </w:r>
    </w:p>
    <w:p>
      <w:r/>
      <w:r>
        <w:t>Le détroit de Messine était bien connu de chaque navigateur romain. Le passage ici était nécessaire pour accéder à la côte ouest de l'Italie, mais il comportait de nombreux obstacles. Les obstructions, les bas-fonds et son étroitesse forçaient les navires à rester à Reggio jusqu'à ce qu'un vent du sud adéquat se lève.</w:t>
      </w:r>
    </w:p>
    <w:p>
      <w:r/>
      <w:r>
        <w:t>Le nom Reggio pourrait provenir d'un verbe grec signifiant « déchirer » ou « fendre ». La Sicile semblait avoir été « arrachée du continent » et Reggio en était le port italien le plus proche.</w:t>
      </w:r>
      <w:r/>
      <w:r/>
    </w:p>
    <w:p>
      <w:r/>
    </w:p>
    <w:p>
      <w:pPr>
        <w:pStyle w:val="Heading2"/>
      </w:pPr>
      <w:r>
        <w:t>Rehoboth</w:t>
      </w:r>
      <w:r/>
    </w:p>
    <w:p>
      <w:r/>
      <w:r>
        <w:t>1. Lieu du troisième puits creusé par Isaac (</w:t>
      </w:r>
      <w:hyperlink r:id="rId13119">
        <w:r>
          <w:rPr>
            <w:color w:val="0000EE"/>
            <w:u w:val="single"/>
          </w:rPr>
          <w:t>Gn 26.22</w:t>
        </w:r>
      </w:hyperlink>
      <w:r>
        <w:t>). Abimélec et les bergers de Guérar ne le revendiqueront pas, et Isaac nommera le puits « lieux spacieux » ou « espace ». Le puits était situé à environ 30 km au sud-ouest de Beer-Schéba.</w:t>
      </w:r>
    </w:p>
    <w:p>
      <w:r/>
      <w:r>
        <w:t>2. Domicile de Saül, un dirigeant édomite (</w:t>
      </w:r>
      <w:hyperlink r:id="rId13120">
        <w:r>
          <w:rPr>
            <w:color w:val="0000EE"/>
            <w:u w:val="single"/>
          </w:rPr>
          <w:t>Gn 36.37</w:t>
        </w:r>
      </w:hyperlink>
      <w:r>
        <w:t xml:space="preserve"> ; </w:t>
      </w:r>
      <w:hyperlink r:id="rId13121">
        <w:r>
          <w:rPr>
            <w:color w:val="0000EE"/>
            <w:u w:val="single"/>
          </w:rPr>
          <w:t>1Ch 1.48</w:t>
        </w:r>
      </w:hyperlink>
      <w:r>
        <w:t>). Le lieu est identifié comme étant « sur le fleuve », une référence biblique fréquente à l'Euphrate.</w:t>
      </w:r>
    </w:p>
    <w:p>
      <w:r/>
      <w:r>
        <w:rPr>
          <w:i/>
        </w:rPr>
        <w:t>Voir</w:t>
      </w:r>
      <w:r>
        <w:t xml:space="preserve"> </w:t>
      </w:r>
      <w:r>
        <w:t>Rehoboth Hir</w:t>
      </w:r>
      <w:r>
        <w:t>.</w:t>
      </w:r>
      <w:r/>
      <w:r/>
    </w:p>
    <w:p>
      <w:r/>
    </w:p>
    <w:p>
      <w:pPr>
        <w:pStyle w:val="Heading2"/>
      </w:pPr>
      <w:r>
        <w:t>Rehoboth Hir</w:t>
      </w:r>
      <w:r/>
    </w:p>
    <w:p>
      <w:r/>
      <w:r>
        <w:t>Nom signifiant « larges espaces de la ville ». C'était la deuxième ville construite par Nimrod le chasseur en Assyrie (</w:t>
      </w:r>
      <w:hyperlink r:id="rId1415">
        <w:r>
          <w:rPr>
            <w:color w:val="0000EE"/>
            <w:u w:val="single"/>
          </w:rPr>
          <w:t>Gn 10.11</w:t>
        </w:r>
      </w:hyperlink>
      <w:r>
        <w:t>). Les avis divergent quant à savoir s'il s'agissait d'une municipalité distincte (une banlieue de Ninive) ou, puisque le nom de la ville n'est pas mentionné dans la littérature assyrienne, de places ouvertes ou de larges rues à l'intérieur de Ninive elle-même.</w:t>
      </w:r>
      <w:r/>
      <w:r/>
    </w:p>
    <w:p>
      <w:r/>
    </w:p>
    <w:p>
      <w:pPr>
        <w:pStyle w:val="Heading2"/>
      </w:pPr>
      <w:r>
        <w:t>Réhu</w:t>
      </w:r>
      <w:r/>
    </w:p>
    <w:p>
      <w:r/>
      <w:r>
        <w:t>Fils de Péleg et père de Serug, descendant de Sem (</w:t>
      </w:r>
      <w:hyperlink r:id="rId13122">
        <w:r>
          <w:rPr>
            <w:color w:val="0000EE"/>
            <w:u w:val="single"/>
          </w:rPr>
          <w:t>Gn 11.18–21</w:t>
        </w:r>
      </w:hyperlink>
      <w:r>
        <w:t xml:space="preserve"> ; </w:t>
      </w:r>
      <w:hyperlink r:id="rId13123">
        <w:r>
          <w:rPr>
            <w:color w:val="0000EE"/>
            <w:u w:val="single"/>
          </w:rPr>
          <w:t>1Ch 1.25</w:t>
        </w:r>
      </w:hyperlink>
      <w:r>
        <w:t xml:space="preserve">). Il est mentionné comme l'un des ancêtres de Jésus dans </w:t>
      </w:r>
      <w:hyperlink r:id="rId6229">
        <w:r>
          <w:rPr>
            <w:color w:val="0000EE"/>
            <w:u w:val="single"/>
          </w:rPr>
          <w:t>Luc 3.35</w:t>
        </w:r>
      </w:hyperlink>
      <w:r>
        <w:t>.</w:t>
      </w:r>
    </w:p>
    <w:p>
      <w:r/>
      <w:r>
        <w:rPr>
          <w:i/>
        </w:rPr>
        <w:t>Consultez</w:t>
      </w:r>
      <w:r>
        <w:t xml:space="preserve"> </w:t>
      </w:r>
      <w:r>
        <w:t>Généalogie de Jésus-Christ</w:t>
      </w:r>
      <w:r>
        <w:t>.</w:t>
      </w:r>
      <w:r/>
      <w:r/>
    </w:p>
    <w:p>
      <w:r/>
    </w:p>
    <w:p>
      <w:pPr>
        <w:pStyle w:val="Heading2"/>
      </w:pPr>
      <w:r>
        <w:t>Reine</w:t>
      </w:r>
      <w:r/>
    </w:p>
    <w:p>
      <w:r/>
      <w:r>
        <w:t>Mot utilisé pour décrire une monarque régnante, une reine consort ou une reine mère.</w:t>
      </w:r>
    </w:p>
    <w:p>
      <w:r/>
      <w:r>
        <w:t>La reine de Séba était la femme la plus riche du monde. Elle l'est devenue après avoir visité la cour luxueuse du roi Salomon (</w:t>
      </w:r>
      <w:hyperlink r:id="rId13124">
        <w:r>
          <w:rPr>
            <w:color w:val="0000EE"/>
            <w:u w:val="single"/>
          </w:rPr>
          <w:t>1R 10.1</w:t>
        </w:r>
      </w:hyperlink>
      <w:r>
        <w:t xml:space="preserve"> ; </w:t>
      </w:r>
      <w:hyperlink r:id="rId13125">
        <w:r>
          <w:rPr>
            <w:color w:val="0000EE"/>
            <w:u w:val="single"/>
          </w:rPr>
          <w:t>Mt 12.42</w:t>
        </w:r>
      </w:hyperlink>
      <w:r>
        <w:t xml:space="preserve"> ; </w:t>
      </w:r>
      <w:hyperlink r:id="rId9234">
        <w:r>
          <w:rPr>
            <w:color w:val="0000EE"/>
            <w:u w:val="single"/>
          </w:rPr>
          <w:t>Lc 11.31</w:t>
        </w:r>
      </w:hyperlink>
      <w:r>
        <w:t xml:space="preserve">). Elle arrive avec un grand cortège et des chameaux portant de l'or, des bijoux et des épices. Candace, reine d'Éthiopie, est mentionnée dans </w:t>
      </w:r>
      <w:hyperlink r:id="rId2175">
        <w:r>
          <w:rPr>
            <w:color w:val="0000EE"/>
            <w:u w:val="single"/>
          </w:rPr>
          <w:t>Actes 8.27</w:t>
        </w:r>
      </w:hyperlink>
      <w:r>
        <w:t>. Un eunuque, haut-fonctionnaire de sa cour, sera converti par Philippe lors d'une visite à Jérusalem.</w:t>
      </w:r>
    </w:p>
    <w:p>
      <w:r/>
      <w:r>
        <w:t>Dans l'histoire juive, Athalie a régné pendant six ans. Elle pensait avoir tué tous les prétendants rivaux au trône dans la famille royale (</w:t>
      </w:r>
      <w:hyperlink r:id="rId13126">
        <w:r>
          <w:rPr>
            <w:color w:val="0000EE"/>
            <w:u w:val="single"/>
          </w:rPr>
          <w:t>2R 11.3</w:t>
        </w:r>
      </w:hyperlink>
      <w:r>
        <w:t>). De plus, Salomé Alexandra a succédé à son mari, Alexandre Jannée, en tant que dirigeante de 76 à 67 av. J.‑C. Une reine consort jouait généralement un rôle mineur. Deux exceptions sont Bath-Schéba (</w:t>
      </w:r>
      <w:hyperlink r:id="rId13127">
        <w:r>
          <w:rPr>
            <w:color w:val="0000EE"/>
            <w:u w:val="single"/>
          </w:rPr>
          <w:t>1R 1.15–31</w:t>
        </w:r>
      </w:hyperlink>
      <w:r>
        <w:t>) et Jézabel (</w:t>
      </w:r>
      <w:hyperlink r:id="rId1222">
        <w:r>
          <w:rPr>
            <w:color w:val="0000EE"/>
            <w:u w:val="single"/>
          </w:rPr>
          <w:t>1R 21.1–29</w:t>
        </w:r>
      </w:hyperlink>
      <w:r>
        <w:t>). Bath-Schéba voulait que son fils accède au trône. Jézabel a comploté une fausse accusation qui a conduit à la mort de Naboth.</w:t>
      </w:r>
    </w:p>
    <w:p>
      <w:r/>
      <w:r>
        <w:t xml:space="preserve">La reine mère jouait un rôle puissant. Elle ne se contentait pas de régner sur la maison royale, mais elle était également respectée à la fois par la cour et par le monarque (voir </w:t>
      </w:r>
      <w:hyperlink r:id="rId3108">
        <w:r>
          <w:rPr>
            <w:color w:val="0000EE"/>
            <w:u w:val="single"/>
          </w:rPr>
          <w:t>Ex 20.12</w:t>
        </w:r>
      </w:hyperlink>
      <w:r>
        <w:t>). Ses demandes étaient peu susceptibles d'être refusées (</w:t>
      </w:r>
      <w:hyperlink r:id="rId13128">
        <w:r>
          <w:rPr>
            <w:color w:val="0000EE"/>
            <w:u w:val="single"/>
          </w:rPr>
          <w:t>1R 2.20</w:t>
        </w:r>
      </w:hyperlink>
      <w:r>
        <w:t>). En tant que mère du roi, elle était unique. Ses épouses partageaient leur position avec d'autres. Maaca, reine mère d'Abijam, a même conservé son autorité pendant une grande partie du règne de son petit-fils (</w:t>
      </w:r>
      <w:hyperlink r:id="rId13129">
        <w:r>
          <w:rPr>
            <w:color w:val="0000EE"/>
            <w:u w:val="single"/>
          </w:rPr>
          <w:t>1R 15.2, 10, 13</w:t>
        </w:r>
      </w:hyperlink>
      <w:r>
        <w:t xml:space="preserve"> ; </w:t>
      </w:r>
      <w:hyperlink r:id="rId9335">
        <w:r>
          <w:rPr>
            <w:color w:val="0000EE"/>
            <w:u w:val="single"/>
          </w:rPr>
          <w:t>2Ch 15.16</w:t>
        </w:r>
      </w:hyperlink>
      <w:r>
        <w:t>). La reine mère était couronnée (</w:t>
      </w:r>
      <w:hyperlink r:id="rId13130">
        <w:r>
          <w:rPr>
            <w:color w:val="0000EE"/>
            <w:u w:val="single"/>
          </w:rPr>
          <w:t>Jr 13.18</w:t>
        </w:r>
      </w:hyperlink>
      <w:r>
        <w:t>). Bath-Schéba, désormais reine, était suffisamment puissante pour s'asseoir à la droite du roi Salomon (</w:t>
      </w:r>
      <w:hyperlink r:id="rId5199">
        <w:r>
          <w:rPr>
            <w:color w:val="0000EE"/>
            <w:u w:val="single"/>
          </w:rPr>
          <w:t>1R 2.19</w:t>
        </w:r>
      </w:hyperlink>
      <w:r>
        <w:t>).</w:t>
      </w:r>
      <w:r/>
      <w:r/>
    </w:p>
    <w:p>
      <w:r/>
    </w:p>
    <w:p>
      <w:pPr>
        <w:pStyle w:val="Heading2"/>
      </w:pPr>
      <w:r>
        <w:t>Reins, Entrailles</w:t>
      </w:r>
      <w:r/>
    </w:p>
    <w:p>
      <w:r/>
      <w:r>
        <w:t>Région du corps allant de la poitrine à la hanche inférieure.</w:t>
      </w:r>
    </w:p>
    <w:p>
      <w:r/>
      <w:r>
        <w:t>La version Louis Segond utilise l'expression « de ses reins » pour désigner les descendants de quelqu'un (</w:t>
      </w:r>
      <w:hyperlink r:id="rId3951">
        <w:r>
          <w:rPr>
            <w:color w:val="0000EE"/>
            <w:u w:val="single"/>
          </w:rPr>
          <w:t>Gn 35.11</w:t>
        </w:r>
      </w:hyperlink>
      <w:r>
        <w:t xml:space="preserve"> ; </w:t>
      </w:r>
      <w:hyperlink r:id="rId9470">
        <w:r>
          <w:rPr>
            <w:color w:val="0000EE"/>
            <w:u w:val="single"/>
          </w:rPr>
          <w:t>46.26</w:t>
        </w:r>
      </w:hyperlink>
      <w:r>
        <w:t xml:space="preserve"> ; </w:t>
      </w:r>
      <w:hyperlink r:id="rId629">
        <w:r>
          <w:rPr>
            <w:color w:val="0000EE"/>
            <w:u w:val="single"/>
          </w:rPr>
          <w:t>Ex 1.5</w:t>
        </w:r>
      </w:hyperlink>
      <w:r>
        <w:t xml:space="preserve"> ; </w:t>
      </w:r>
      <w:hyperlink r:id="rId13131">
        <w:r>
          <w:rPr>
            <w:color w:val="0000EE"/>
            <w:u w:val="single"/>
          </w:rPr>
          <w:t>1R 8.19</w:t>
        </w:r>
      </w:hyperlink>
      <w:r>
        <w:t xml:space="preserve">). Le terme « reins » dans ce contexte se réfère à la zone reproductive du corps masculin. Dans la plupart des cas, cela signifie des caractéristiques physiques. Parfois, le terme « reins » se réfère à l'émotion, au pouvoir ou à la force (voir </w:t>
      </w:r>
      <w:hyperlink r:id="rId13132">
        <w:r>
          <w:rPr>
            <w:color w:val="0000EE"/>
            <w:u w:val="single"/>
          </w:rPr>
          <w:t>Na 2.1</w:t>
        </w:r>
      </w:hyperlink>
      <w:r>
        <w:t>).</w:t>
      </w:r>
    </w:p>
    <w:p>
      <w:r/>
      <w:r>
        <w:t>Dans les temps anciens, les Hébreux et d'autres peuples du Moyen-Orient attachaient leurs longues robes autour de leur taille avant de marcher sur de longues distances (</w:t>
      </w:r>
      <w:hyperlink r:id="rId13133">
        <w:r>
          <w:rPr>
            <w:color w:val="0000EE"/>
            <w:u w:val="single"/>
          </w:rPr>
          <w:t>Ex 12.11</w:t>
        </w:r>
      </w:hyperlink>
      <w:r>
        <w:t xml:space="preserve"> ; </w:t>
      </w:r>
      <w:hyperlink r:id="rId13134">
        <w:r>
          <w:rPr>
            <w:color w:val="0000EE"/>
            <w:u w:val="single"/>
          </w:rPr>
          <w:t>1R 18.46</w:t>
        </w:r>
      </w:hyperlink>
      <w:r>
        <w:t xml:space="preserve"> ; </w:t>
      </w:r>
      <w:hyperlink r:id="rId13135">
        <w:r>
          <w:rPr>
            <w:color w:val="0000EE"/>
            <w:u w:val="single"/>
          </w:rPr>
          <w:t>2R 9.1</w:t>
        </w:r>
      </w:hyperlink>
      <w:r>
        <w:t>). Cela facilitait la marche ou la course. Dans le Nouveau Testament, lorsqu'une personne est décrite comme ayant ses vêtements attachés autour de la taille, cela signifie qu'elle était prête pour l'action ou la bataille (</w:t>
      </w:r>
      <w:hyperlink r:id="rId13136">
        <w:r>
          <w:rPr>
            <w:color w:val="0000EE"/>
            <w:u w:val="single"/>
          </w:rPr>
          <w:t>Lc 12.35</w:t>
        </w:r>
      </w:hyperlink>
      <w:r>
        <w:t>). La Bible utilise également cette image comme symbole. Lorsqu'elle parle de « ceindre les reins », cela signifie se tenir prêt et avoir de la maîtrise de soi (</w:t>
      </w:r>
      <w:hyperlink r:id="rId13137">
        <w:r>
          <w:rPr>
            <w:color w:val="0000EE"/>
            <w:u w:val="single"/>
          </w:rPr>
          <w:t>Ep 6.14</w:t>
        </w:r>
      </w:hyperlink>
      <w:r>
        <w:t xml:space="preserve"> ; </w:t>
      </w:r>
      <w:hyperlink r:id="rId12153">
        <w:r>
          <w:rPr>
            <w:color w:val="0000EE"/>
            <w:u w:val="single"/>
          </w:rPr>
          <w:t>1P 1.13</w:t>
        </w:r>
      </w:hyperlink>
      <w:r>
        <w:t>).</w:t>
      </w:r>
      <w:r/>
      <w:r/>
    </w:p>
    <w:p>
      <w:r/>
    </w:p>
    <w:p>
      <w:pPr>
        <w:pStyle w:val="Heading2"/>
      </w:pPr>
      <w:r>
        <w:t>Remphan</w:t>
      </w:r>
      <w:r/>
    </w:p>
    <w:p>
      <w:r/>
      <w:r>
        <w:t xml:space="preserve">Divinité païenne mentionnée par Étienne dans </w:t>
      </w:r>
      <w:hyperlink r:id="rId4060">
        <w:r>
          <w:rPr>
            <w:color w:val="0000EE"/>
            <w:u w:val="single"/>
          </w:rPr>
          <w:t>Actes 7.43</w:t>
        </w:r>
      </w:hyperlink>
      <w:r>
        <w:t xml:space="preserve"> (NBS « Raiphân »; TOB2010, NFC « Rephân »; BDS « Rompha »). Étienne a cité le texte d'</w:t>
      </w:r>
      <w:hyperlink r:id="rId4059">
        <w:r>
          <w:rPr>
            <w:color w:val="0000EE"/>
            <w:u w:val="single"/>
          </w:rPr>
          <w:t>Amon 5.26</w:t>
        </w:r>
      </w:hyperlink>
      <w:r>
        <w:t xml:space="preserve"> pour montrer comment les Israélites adoraient de faux dieux pendant leur séjour dans le désert.</w:t>
      </w:r>
    </w:p>
    <w:p>
      <w:r/>
      <w:r>
        <w:t xml:space="preserve">Étienne citait la Septante (la traduction grecque de l'Ancien Testament). Les traducteurs de la Septante ont compris le mot hébreu </w:t>
      </w:r>
      <w:r>
        <w:rPr>
          <w:i/>
        </w:rPr>
        <w:t>kaiwan</w:t>
      </w:r>
      <w:r>
        <w:t xml:space="preserve"> comme une référence au dieu assyrien de Saturne, ou possiblement au dieu égyptien saturnien, Repa.</w:t>
      </w:r>
    </w:p>
    <w:p>
      <w:r/>
      <w:r>
        <w:t>Certains experts soutiennent qu'</w:t>
      </w:r>
      <w:hyperlink r:id="rId4059">
        <w:r>
          <w:rPr>
            <w:color w:val="0000EE"/>
            <w:u w:val="single"/>
          </w:rPr>
          <w:t>Amos 5.26</w:t>
        </w:r>
      </w:hyperlink>
      <w:r>
        <w:t xml:space="preserve"> ne nomme pas du tout de divinités anciennes spécifiques, mais fait simplement une référence générale au faux culte pratiqué par les Israélites dans le désert.</w:t>
      </w:r>
      <w:r/>
      <w:r/>
    </w:p>
    <w:p>
      <w:r/>
    </w:p>
    <w:p>
      <w:pPr>
        <w:pStyle w:val="Heading2"/>
      </w:pPr>
      <w:r>
        <w:t>repas, importance des</w:t>
      </w:r>
      <w:r/>
    </w:p>
    <w:p>
      <w:r/>
      <w:r>
        <w:t>Dans la Bible, le repas était un élément important de la vie familiale, sociale et religieuse. Le repas du soir était le moment où tous les membres de la famille se réunissaient. C'était donc un moment important pendant lequel la famille passait du temps ensemble. Inviter des voyageurs de passage à prendre un repas était considéré comme un devoir social et religieux. Les visites d'amis qui venaient manger avec la famille et discuter des problèmes de la journée représentaient l'idéal d'une vie sociale simple. Les repas restent des occasions importantes aujourd'hui tant pour le judaïsme (p. ex. le repas de la Pâque) que pour le christianisme (p. ex. la Sainte Cène).</w:t>
      </w:r>
    </w:p>
    <w:p>
      <w:pPr>
        <w:pStyle w:val="Heading4"/>
      </w:pPr>
      <w:r>
        <w:t>Types de repas</w:t>
      </w:r>
    </w:p>
    <w:p>
      <w:r/>
      <w:r>
        <w:t>Au Proche-Orient ancien, on prenait ordinairement deux repas par jour. Le premier était à midi et était mangé dans les champs par les ouvriers. Il incluait des petites galettes, du pain plat, des figues, des olives et parfois du fromage de chèvre ou du fromage caillé. C'était un petit repas qui servait à se reposer de la chaleur et du travail (</w:t>
      </w:r>
      <w:hyperlink r:id="rId13138">
        <w:r>
          <w:rPr>
            <w:color w:val="0000EE"/>
            <w:u w:val="single"/>
          </w:rPr>
          <w:t>Ru 2.14</w:t>
        </w:r>
      </w:hyperlink>
      <w:r>
        <w:t>). À l'époque biblique, les gens ne prenaient en général pas le petit-déjeuner. Celui-ci est rarement mentionné dans la Bible (</w:t>
      </w:r>
      <w:hyperlink r:id="rId2744">
        <w:r>
          <w:rPr>
            <w:color w:val="0000EE"/>
            <w:u w:val="single"/>
          </w:rPr>
          <w:t>Jg 19.5</w:t>
        </w:r>
      </w:hyperlink>
      <w:r>
        <w:t xml:space="preserve"> ; </w:t>
      </w:r>
      <w:hyperlink r:id="rId13139">
        <w:r>
          <w:rPr>
            <w:color w:val="0000EE"/>
            <w:u w:val="single"/>
          </w:rPr>
          <w:t>Jn 21.12</w:t>
        </w:r>
      </w:hyperlink>
      <w:r>
        <w:t>).</w:t>
      </w:r>
    </w:p>
    <w:p>
      <w:r/>
      <w:r>
        <w:t>En Israël, le repas du soir était l'événement social le plus important de la journée. Les travailleurs rentraient chez eux pour se détendre et profiter du repas avec leur famille. Ce repas avait lieu au coucher du soleil, quand il faisait trop sombre pour travailler.</w:t>
      </w:r>
    </w:p>
    <w:p>
      <w:pPr>
        <w:pStyle w:val="Heading4"/>
      </w:pPr>
      <w:r>
        <w:t>Les aliments d'un repas ordinaire</w:t>
      </w:r>
    </w:p>
    <w:p>
      <w:r/>
      <w:r>
        <w:t>Un repas typique incluait du pain ou des galettes faits à partir de grains moulus à la main, du fromage de chèvre ou du fromage caillé, et des légumes tels que des haricots, des lentilles, des poireaux, des pois, des figues, des olives, des raisins secs et des dattes. Il était possible d'avoir de la viande, mais c'était un luxe pour la majorité des gens du peuple. La nourriture était cuite dans de l'huile d'olive et sucrée avec du miel.</w:t>
      </w:r>
    </w:p>
    <w:p>
      <w:pPr>
        <w:pStyle w:val="Heading4"/>
      </w:pPr>
      <w:r>
        <w:t>Le déroulement d'un repas ordinaire</w:t>
      </w:r>
    </w:p>
    <w:p>
      <w:r/>
      <w:r>
        <w:t>Les familles mangeaient ensemble. Elles étaient généralement assises par terre et se servaient d'un tapis à la place d'une table (</w:t>
      </w:r>
      <w:hyperlink r:id="rId5880">
        <w:r>
          <w:rPr>
            <w:color w:val="0000EE"/>
            <w:u w:val="single"/>
          </w:rPr>
          <w:t>Gn 37.25</w:t>
        </w:r>
      </w:hyperlink>
      <w:r>
        <w:t>). Plus tard, les familles israélites ont adopté des coutumes cananéennes et se sont mises à utiliser des chaises et de petites tables (</w:t>
      </w:r>
      <w:hyperlink r:id="rId13140">
        <w:r>
          <w:rPr>
            <w:color w:val="0000EE"/>
            <w:u w:val="single"/>
          </w:rPr>
          <w:t xml:space="preserve">1R 13.20 </w:t>
        </w:r>
      </w:hyperlink>
      <w:r>
        <w:t xml:space="preserve">; </w:t>
      </w:r>
      <w:hyperlink r:id="rId3463">
        <w:r>
          <w:rPr>
            <w:color w:val="0000EE"/>
            <w:u w:val="single"/>
          </w:rPr>
          <w:t xml:space="preserve">Ps 23.5 </w:t>
        </w:r>
      </w:hyperlink>
      <w:r>
        <w:t xml:space="preserve">; </w:t>
      </w:r>
      <w:hyperlink r:id="rId1540">
        <w:r>
          <w:rPr>
            <w:color w:val="0000EE"/>
            <w:u w:val="single"/>
          </w:rPr>
          <w:t>Ez 23.41</w:t>
        </w:r>
      </w:hyperlink>
      <w:r>
        <w:t>). La pratique égyptienne était de manger en position allongée. Elle est devenue populaire jusqu'à la période romaine. Pour les occasions spéciales, de la musique, de la danse et des énigmes étaient proposées à la famille et aux invités.</w:t>
      </w:r>
    </w:p>
    <w:p>
      <w:r/>
      <w:r>
        <w:t xml:space="preserve">À l'époque du Nouveau Testament (NT), il y avait parfois une salle à manger dans une pièce séparée à l'étage des maisons. Les invités s'allongeaient en s'appuyant sur leur coude gauche pour manger et discuter. L'ordre de placement à table était très important et rigoureusement observé lors de repas importants. La place d'honneur était du côté droit par rapport à la porte d'où entraient les serviteurs. La place la moins importance était à leur gauche (voir </w:t>
      </w:r>
      <w:hyperlink r:id="rId7419">
        <w:r>
          <w:rPr>
            <w:color w:val="0000EE"/>
            <w:u w:val="single"/>
          </w:rPr>
          <w:t>Gn 43.33</w:t>
        </w:r>
      </w:hyperlink>
      <w:r>
        <w:t xml:space="preserve"> ; </w:t>
      </w:r>
      <w:hyperlink r:id="rId13141">
        <w:r>
          <w:rPr>
            <w:color w:val="0000EE"/>
            <w:u w:val="single"/>
          </w:rPr>
          <w:t>1S 9.22</w:t>
        </w:r>
      </w:hyperlink>
      <w:r>
        <w:t xml:space="preserve"> ; </w:t>
      </w:r>
      <w:hyperlink r:id="rId5640">
        <w:r>
          <w:rPr>
            <w:color w:val="0000EE"/>
            <w:u w:val="single"/>
          </w:rPr>
          <w:t>Mt 23.6</w:t>
        </w:r>
      </w:hyperlink>
      <w:r>
        <w:t xml:space="preserve"> ; </w:t>
      </w:r>
      <w:hyperlink r:id="rId5641">
        <w:r>
          <w:rPr>
            <w:color w:val="0000EE"/>
            <w:u w:val="single"/>
          </w:rPr>
          <w:t>Mc 12.39</w:t>
        </w:r>
      </w:hyperlink>
      <w:r>
        <w:t xml:space="preserve"> ; </w:t>
      </w:r>
      <w:hyperlink r:id="rId13142">
        <w:r>
          <w:rPr>
            <w:color w:val="0000EE"/>
            <w:u w:val="single"/>
          </w:rPr>
          <w:t>Lc 14.8</w:t>
        </w:r>
      </w:hyperlink>
      <w:r>
        <w:t>).</w:t>
      </w:r>
    </w:p>
    <w:p>
      <w:r/>
      <w:r>
        <w:t>Les invités se lavaient les mains avant et après les repas. Ils mangeaient du ragoût dans un plat commun. Le ragoût pouvait contenir de la viande, des légumes ou les deux. On se servait de morceaux de pain comme d'une sorte de cuillère pour ramasser un peu de ragoût dans le plat. Ordinairement, il n'y avait qu'un seul plat principal à préparer. La personne qui faisait la cuisine pouvait donc manger en compagnie de ses invités.</w:t>
      </w:r>
    </w:p>
    <w:p>
      <w:pPr>
        <w:pStyle w:val="Heading4"/>
      </w:pPr>
      <w:r>
        <w:t>Les repas dans le Nouveau Testament</w:t>
      </w:r>
    </w:p>
    <w:p>
      <w:r/>
      <w:r>
        <w:t>Jésus prend souvent des repas avec ses disciples et d'autres personnes dans les Évangiles :</w:t>
      </w:r>
    </w:p>
    <w:p>
      <w:pPr>
        <w:pStyle w:val="ListBullet"/>
        <w:spacing w:line="240" w:lineRule="auto"/>
        <w:ind w:left="720"/>
      </w:pPr>
      <w:r/>
      <w:r>
        <w:t>Ses disciples et lui sont invités à un festin de mariage à Cana en Galilée (</w:t>
      </w:r>
      <w:hyperlink r:id="rId13143">
        <w:r>
          <w:rPr>
            <w:color w:val="0000EE"/>
            <w:u w:val="single"/>
          </w:rPr>
          <w:t>Jn 2.1–10</w:t>
        </w:r>
      </w:hyperlink>
      <w:r>
        <w:t xml:space="preserve">). </w:t>
      </w:r>
    </w:p>
    <w:p>
      <w:pPr>
        <w:pStyle w:val="ListBullet"/>
        <w:spacing w:line="240" w:lineRule="auto"/>
        <w:ind w:left="720"/>
      </w:pPr>
      <w:r/>
      <w:r>
        <w:t>Il participe à un repas chez Matthieu où des publicains et des gens de mauvaise vie viennent l'entendre (</w:t>
      </w:r>
      <w:hyperlink r:id="rId1636">
        <w:r>
          <w:rPr>
            <w:color w:val="0000EE"/>
            <w:u w:val="single"/>
          </w:rPr>
          <w:t>Mt 9.10</w:t>
        </w:r>
      </w:hyperlink>
      <w:r>
        <w:t xml:space="preserve">). </w:t>
      </w:r>
    </w:p>
    <w:p>
      <w:pPr>
        <w:pStyle w:val="ListBullet"/>
        <w:spacing w:line="240" w:lineRule="auto"/>
        <w:ind w:left="720"/>
      </w:pPr>
      <w:r/>
      <w:r>
        <w:t>Jésus est invité à manger par Simon, un pharisien (</w:t>
      </w:r>
      <w:hyperlink r:id="rId8033">
        <w:r>
          <w:rPr>
            <w:color w:val="0000EE"/>
            <w:u w:val="single"/>
          </w:rPr>
          <w:t>Lc 7.36–50</w:t>
        </w:r>
      </w:hyperlink>
      <w:r>
        <w:t xml:space="preserve">). </w:t>
      </w:r>
    </w:p>
    <w:p>
      <w:pPr>
        <w:pStyle w:val="ListBullet"/>
        <w:spacing w:line="240" w:lineRule="auto"/>
        <w:ind w:left="720"/>
      </w:pPr>
      <w:r/>
      <w:r>
        <w:t>Quand il voit Zachée perché dans un arbre pour le voir passer, Jésus lui dit : « hâte-toi de descendre ; car il faut que je demeure aujourd’hui dans ta maison » (</w:t>
      </w:r>
      <w:hyperlink r:id="rId13144">
        <w:r>
          <w:rPr>
            <w:color w:val="0000EE"/>
            <w:u w:val="single"/>
          </w:rPr>
          <w:t>Lc 19.6–7</w:t>
        </w:r>
      </w:hyperlink>
      <w:r>
        <w:t xml:space="preserve">). Comme Zachée le reçoit chez lui, Jésus a sans nul doute mangé avec lui. </w:t>
      </w:r>
    </w:p>
    <w:p>
      <w:pPr>
        <w:pStyle w:val="ListBullet"/>
        <w:spacing w:line="240" w:lineRule="auto"/>
        <w:ind w:left="720"/>
      </w:pPr>
      <w:r/>
      <w:r>
        <w:t>Jésus est aussi invité plus d'une fois chez Marthe, Marie et Lazare à Béthanie (</w:t>
      </w:r>
      <w:hyperlink r:id="rId9658">
        <w:r>
          <w:rPr>
            <w:color w:val="0000EE"/>
            <w:u w:val="single"/>
          </w:rPr>
          <w:t>Lc 10.38–42</w:t>
        </w:r>
      </w:hyperlink>
      <w:r>
        <w:t xml:space="preserve"> ; </w:t>
      </w:r>
      <w:hyperlink r:id="rId13145">
        <w:r>
          <w:rPr>
            <w:color w:val="0000EE"/>
            <w:u w:val="single"/>
          </w:rPr>
          <w:t>Jn 12.2</w:t>
        </w:r>
      </w:hyperlink>
      <w:r>
        <w:t xml:space="preserve">). </w:t>
      </w:r>
    </w:p>
    <w:p>
      <w:r/>
      <w:r>
        <w:t>Suivant les coutumes des petites villes et villages en Israël, les gens qui passaient devant la maison pouvaient s'arrêter pour saluer Jésus ou pour faire conversation avec lui ou d'autres invités.</w:t>
      </w:r>
    </w:p>
    <w:p>
      <w:pPr>
        <w:pStyle w:val="Heading4"/>
      </w:pPr>
      <w:r>
        <w:t>Les repas religieux de la Bible</w:t>
      </w:r>
    </w:p>
    <w:p>
      <w:r/>
      <w:r>
        <w:t>Deux repas sont particulièrement importants pour le peuple de Dieu dans la Bible. Le premier concerne l'ancienne alliance et l'autre la nouvelle alliance, et les deux célèbrent le salut de Dieu. Dans l'Ancien Testament, Dieu avait commandé aux Israélites d'observer la Pâque au moment du départ d'Égypte (</w:t>
      </w:r>
      <w:hyperlink r:id="rId13146">
        <w:r>
          <w:rPr>
            <w:color w:val="0000EE"/>
            <w:u w:val="single"/>
          </w:rPr>
          <w:t>Ex 12</w:t>
        </w:r>
      </w:hyperlink>
      <w:r>
        <w:t xml:space="preserve">). Ils devaient ensuite célébrer ce repas chaque année pour se rappeler ce que Dieu avait fait pour eux. Dans le NT, Jésus donne un nouveau sens au repas de la Pâque. Désormais, les chrétiens partagent du vin et du pain pour se rappeler le sacrifice de Jésus jusqu'à son retour. Ces deux repas sont expliqués plus en détail dans les articles consacrés à chacun d'eux. </w:t>
      </w:r>
    </w:p>
    <w:p>
      <w:r/>
      <w:r>
        <w:t>Dans la Bible, d'autres repas religieux avaient une grande importance.</w:t>
      </w:r>
      <w:hyperlink r:id="rId13147">
        <w:r>
          <w:rPr>
            <w:color w:val="0000EE"/>
            <w:u w:val="single"/>
          </w:rPr>
          <w:t xml:space="preserve"> </w:t>
        </w:r>
      </w:hyperlink>
      <w:r>
        <w:t>Par exemple, les Israélites mangeaient souvent des repas pour célébrer Dieu quand ils amenaient leurs offrandes (</w:t>
      </w:r>
      <w:hyperlink r:id="rId13147">
        <w:r>
          <w:rPr>
            <w:color w:val="0000EE"/>
            <w:u w:val="single"/>
          </w:rPr>
          <w:t>Dt 14.24–26)</w:t>
        </w:r>
      </w:hyperlink>
      <w:r>
        <w:t>. La Bible promet aussi qu'il y aura un grand festin dans le royaume de Dieu (</w:t>
      </w:r>
      <w:hyperlink r:id="rId1644">
        <w:r>
          <w:rPr>
            <w:color w:val="0000EE"/>
            <w:u w:val="single"/>
          </w:rPr>
          <w:t xml:space="preserve">Es 25.6 </w:t>
        </w:r>
      </w:hyperlink>
      <w:r>
        <w:t xml:space="preserve">; </w:t>
      </w:r>
      <w:hyperlink r:id="rId13148">
        <w:r>
          <w:rPr>
            <w:color w:val="0000EE"/>
            <w:u w:val="single"/>
          </w:rPr>
          <w:t xml:space="preserve">Lc 14.25 </w:t>
        </w:r>
      </w:hyperlink>
      <w:r>
        <w:t xml:space="preserve">; </w:t>
      </w:r>
      <w:hyperlink r:id="rId13149">
        <w:r>
          <w:rPr>
            <w:color w:val="0000EE"/>
            <w:u w:val="single"/>
          </w:rPr>
          <w:t>Ap 19.9</w:t>
        </w:r>
      </w:hyperlink>
      <w:r>
        <w:t xml:space="preserve">). </w:t>
      </w:r>
    </w:p>
    <w:p>
      <w:r/>
      <w:r>
        <w:rPr>
          <w:i/>
        </w:rPr>
        <w:t>Voir aussi</w:t>
      </w:r>
      <w:r>
        <w:t xml:space="preserve"> </w:t>
      </w:r>
      <w:r>
        <w:t>aliments et cuisine</w:t>
      </w:r>
      <w:r>
        <w:t xml:space="preserve"> ; </w:t>
      </w:r>
      <w:r>
        <w:t>fêtes d'Israël</w:t>
      </w:r>
      <w:r>
        <w:t xml:space="preserve"> ; </w:t>
      </w:r>
      <w:r>
        <w:t>Sainte Cène</w:t>
      </w:r>
      <w:r>
        <w:t xml:space="preserve"> ; </w:t>
      </w:r>
      <w:r>
        <w:t>Pâque</w:t>
      </w:r>
      <w:r>
        <w:t>.</w:t>
      </w:r>
      <w:r/>
      <w:r/>
    </w:p>
    <w:p>
      <w:r/>
    </w:p>
    <w:p>
      <w:pPr>
        <w:pStyle w:val="Heading2"/>
      </w:pPr>
      <w:r>
        <w:t>Rephaïm</w:t>
      </w:r>
      <w:r/>
    </w:p>
    <w:p>
      <w:pPr>
        <w:pStyle w:val="ListNumber"/>
        <w:spacing w:line="240" w:lineRule="auto"/>
        <w:ind w:left="720"/>
      </w:pPr>
      <w:r/>
      <w:r>
        <w:t xml:space="preserve">Dans plusieurs passages de l'Ancien Testament, </w:t>
      </w:r>
      <w:r>
        <w:rPr>
          <w:i/>
        </w:rPr>
        <w:t>Rephaïm</w:t>
      </w:r>
      <w:r>
        <w:t xml:space="preserve"> se réfère aux esprits des morts qui résident dans le séjour des morts, appelé </w:t>
      </w:r>
      <w:r>
        <w:rPr>
          <w:i/>
        </w:rPr>
        <w:t>Sheol</w:t>
      </w:r>
      <w:r>
        <w:t xml:space="preserve"> (</w:t>
      </w:r>
      <w:hyperlink r:id="rId13150">
        <w:r>
          <w:rPr>
            <w:color w:val="0000EE"/>
            <w:u w:val="single"/>
          </w:rPr>
          <w:t>Pr 2.18</w:t>
        </w:r>
      </w:hyperlink>
      <w:r>
        <w:t xml:space="preserve"> ; </w:t>
      </w:r>
      <w:hyperlink r:id="rId4688">
        <w:r>
          <w:rPr>
            <w:color w:val="0000EE"/>
            <w:u w:val="single"/>
          </w:rPr>
          <w:t>9.18</w:t>
        </w:r>
      </w:hyperlink>
      <w:r>
        <w:t xml:space="preserve"> ; </w:t>
      </w:r>
      <w:hyperlink r:id="rId13151">
        <w:r>
          <w:rPr>
            <w:color w:val="0000EE"/>
            <w:u w:val="single"/>
          </w:rPr>
          <w:t>21.16</w:t>
        </w:r>
      </w:hyperlink>
      <w:r>
        <w:t>). Les Rephaïm du monde souterrain souffraient (</w:t>
      </w:r>
      <w:hyperlink r:id="rId13152">
        <w:r>
          <w:rPr>
            <w:color w:val="0000EE"/>
            <w:u w:val="single"/>
          </w:rPr>
          <w:t>Jb 26.5</w:t>
        </w:r>
      </w:hyperlink>
      <w:r>
        <w:t>). Ils étaient séparés de Dieu (</w:t>
      </w:r>
      <w:hyperlink r:id="rId12937">
        <w:r>
          <w:rPr>
            <w:color w:val="0000EE"/>
            <w:u w:val="single"/>
          </w:rPr>
          <w:t>Ps 88.10–12</w:t>
        </w:r>
      </w:hyperlink>
      <w:r>
        <w:t>). Ils étaient également séparés de tous les vivants (</w:t>
      </w:r>
      <w:hyperlink r:id="rId13153">
        <w:r>
          <w:rPr>
            <w:color w:val="0000EE"/>
            <w:u w:val="single"/>
          </w:rPr>
          <w:t>Es 26.14</w:t>
        </w:r>
      </w:hyperlink>
      <w:r>
        <w:t>). Ils sont faibles et semblables à des ombres, pas forts comme les vivants (</w:t>
      </w:r>
      <w:hyperlink r:id="rId13154">
        <w:r>
          <w:rPr>
            <w:color w:val="0000EE"/>
            <w:u w:val="single"/>
          </w:rPr>
          <w:t>Es 14.9</w:t>
        </w:r>
      </w:hyperlink>
      <w:r>
        <w:t>).</w:t>
      </w:r>
    </w:p>
    <w:p>
      <w:pPr>
        <w:pStyle w:val="ListNumber"/>
        <w:spacing w:line="240" w:lineRule="auto"/>
        <w:ind w:left="720"/>
      </w:pPr>
      <w:r/>
      <w:r>
        <w:t xml:space="preserve">Le mot </w:t>
      </w:r>
      <w:r>
        <w:rPr>
          <w:i/>
        </w:rPr>
        <w:t>Rephaïm</w:t>
      </w:r>
      <w:r>
        <w:t xml:space="preserve"> désigne également un groupe de personnes très grandes et fortes qui vivaient dans le pays de Canaan à l'époque d'Abraham. Avec d'autres groupes anciens comme les Zuzim, les Emim et les Horites, ils ont été vaincus par Kedorlaomer et ses alliés (</w:t>
      </w:r>
      <w:hyperlink r:id="rId704">
        <w:r>
          <w:rPr>
            <w:color w:val="0000EE"/>
            <w:u w:val="single"/>
          </w:rPr>
          <w:t>Gn 14.5</w:t>
        </w:r>
      </w:hyperlink>
      <w:r>
        <w:t>). Ils faisaient partie des neuf nations vivant en Palestine à l'époque où l'Éternel promet de donner le pays aux descendants d'Abraham (</w:t>
      </w:r>
      <w:hyperlink r:id="rId11991">
        <w:r>
          <w:rPr>
            <w:color w:val="0000EE"/>
            <w:u w:val="single"/>
          </w:rPr>
          <w:t>Gn 15.20</w:t>
        </w:r>
      </w:hyperlink>
      <w:r>
        <w:t>).</w:t>
      </w:r>
    </w:p>
    <w:p>
      <w:r/>
      <w:r>
        <w:t>D'autres nations leur donnaient des noms différents. Les Moabites les appelaient les Emim, et les Ammonites les appelaient les Zamzummim. Ces groupes étaient aussi grands de taille que les Anakim, un autre groupe de géants (</w:t>
      </w:r>
      <w:hyperlink r:id="rId13155">
        <w:r>
          <w:rPr>
            <w:color w:val="0000EE"/>
            <w:u w:val="single"/>
          </w:rPr>
          <w:t>Dt 2.11, 20</w:t>
        </w:r>
      </w:hyperlink>
      <w:r>
        <w:t>).</w:t>
      </w:r>
    </w:p>
    <w:p>
      <w:r/>
      <w:r>
        <w:t>Og, roi de Basan, était le dernier roi Rephaïm connu. Les Israélites l'ont vaincu sous la direction de Moïse et ont pris son territoire (</w:t>
      </w:r>
      <w:hyperlink r:id="rId706">
        <w:r>
          <w:rPr>
            <w:color w:val="0000EE"/>
            <w:u w:val="single"/>
          </w:rPr>
          <w:t>Dt 3.11</w:t>
        </w:r>
      </w:hyperlink>
      <w:r>
        <w:t xml:space="preserve"> ; </w:t>
      </w:r>
      <w:hyperlink r:id="rId1361">
        <w:r>
          <w:rPr>
            <w:color w:val="0000EE"/>
            <w:u w:val="single"/>
          </w:rPr>
          <w:t>Jos 12.4</w:t>
        </w:r>
      </w:hyperlink>
      <w:r>
        <w:t xml:space="preserve"> ; </w:t>
      </w:r>
      <w:hyperlink r:id="rId5914">
        <w:r>
          <w:rPr>
            <w:color w:val="0000EE"/>
            <w:u w:val="single"/>
          </w:rPr>
          <w:t>13.12</w:t>
        </w:r>
      </w:hyperlink>
      <w:r>
        <w:t>). Certains des géants qui ont combattu avec les Philistins pourraient provenir des Rephaïm (</w:t>
      </w:r>
      <w:hyperlink r:id="rId13156">
        <w:r>
          <w:rPr>
            <w:color w:val="0000EE"/>
            <w:u w:val="single"/>
          </w:rPr>
          <w:t>2S 21</w:t>
        </w:r>
      </w:hyperlink>
      <w:r>
        <w:t xml:space="preserve"> ; </w:t>
      </w:r>
      <w:hyperlink r:id="rId13157">
        <w:r>
          <w:rPr>
            <w:color w:val="0000EE"/>
            <w:u w:val="single"/>
          </w:rPr>
          <w:t>1Ch 20</w:t>
        </w:r>
      </w:hyperlink>
      <w:r>
        <w:t>).</w:t>
      </w:r>
    </w:p>
    <w:p>
      <w:r/>
      <w:r>
        <w:rPr>
          <w:i/>
        </w:rPr>
        <w:t>Voir aussi</w:t>
      </w:r>
      <w:r>
        <w:t xml:space="preserve"> </w:t>
      </w:r>
      <w:r>
        <w:t>Géants</w:t>
      </w:r>
      <w:r>
        <w:t>.</w:t>
      </w:r>
      <w:r/>
      <w:r/>
    </w:p>
    <w:p>
      <w:r/>
    </w:p>
    <w:p>
      <w:pPr>
        <w:pStyle w:val="Heading2"/>
      </w:pPr>
      <w:r>
        <w:t>Réphan, Raiphân</w:t>
      </w:r>
      <w:r/>
    </w:p>
    <w:p>
      <w:r/>
      <w:r>
        <w:t>Orthographes diverses, dans certaines traductions françaises, de Remphan, une divinité païenne mentionnée dans (</w:t>
      </w:r>
      <w:hyperlink r:id="rId4060">
        <w:r>
          <w:rPr>
            <w:color w:val="0000EE"/>
            <w:u w:val="single"/>
          </w:rPr>
          <w:t>Ac 7.43</w:t>
        </w:r>
      </w:hyperlink>
      <w:r>
        <w:t>).</w:t>
      </w:r>
    </w:p>
    <w:p>
      <w:r/>
      <w:r>
        <w:rPr>
          <w:i/>
        </w:rPr>
        <w:t>Voir</w:t>
      </w:r>
      <w:r>
        <w:t xml:space="preserve"> </w:t>
      </w:r>
      <w:r>
        <w:t>Remphan</w:t>
      </w:r>
      <w:r>
        <w:t>.</w:t>
      </w:r>
      <w:r/>
      <w:r/>
    </w:p>
    <w:p>
      <w:r/>
    </w:p>
    <w:p>
      <w:pPr>
        <w:pStyle w:val="Heading2"/>
      </w:pPr>
      <w:r>
        <w:t>Repos</w:t>
      </w:r>
      <w:r/>
    </w:p>
    <w:p>
      <w:r/>
      <w:r>
        <w:t xml:space="preserve">Le repos signifie la liberté par rapport au travail ou à l'activité. La croyance chrétienne au repos vient du repos de Dieu lui-même. Après avoir achevé l'œuvre de la Création en six jours, Dieu « </w:t>
      </w:r>
      <w:r>
        <w:t>se reposa au septième jour de toute son œuvre, qu’il avait faite</w:t>
      </w:r>
      <w:r>
        <w:t xml:space="preserve"> » (</w:t>
      </w:r>
      <w:hyperlink r:id="rId5708">
        <w:r>
          <w:rPr>
            <w:color w:val="0000EE"/>
            <w:u w:val="single"/>
          </w:rPr>
          <w:t>Gn 2.2</w:t>
        </w:r>
      </w:hyperlink>
      <w:r>
        <w:t>). Cet événement constitue le fondement du sabbat hébreu, un jour de repos hebdomadaire. Le mot « sabbat » lui-même signifie repos en hébreu. L'idée de se reposer le septième jour est considérée comme faisant partie de l'ordre de la Création. Le quatrième commandement dit de garder le sabbat pour Dieu. Travaillez seulement six jours. Dieu a tout fait en six jours et s'est reposé le septième (</w:t>
      </w:r>
      <w:hyperlink r:id="rId558">
        <w:r>
          <w:rPr>
            <w:color w:val="0000EE"/>
            <w:u w:val="single"/>
          </w:rPr>
          <w:t>Ex 20.8–11</w:t>
        </w:r>
      </w:hyperlink>
      <w:r>
        <w:t>).</w:t>
      </w:r>
    </w:p>
    <w:p>
      <w:r/>
      <w:r>
        <w:t xml:space="preserve">L'idée biblique du repos ne concerne pas seulement le passé (la Création) et le présent (le repos hebdomadaire). Elle concerne aussi l'avenir. Ce repos futur est symbolisé par le voyage des Israélites sous la direction de Moïse, de l'esclavage en Égypte vers le « repos » de la Terre Promise. Ils atteindront ce repos sous Josué, qui les a conduits dans le pays et les y a installés (voir </w:t>
      </w:r>
      <w:hyperlink r:id="rId7642">
        <w:r>
          <w:rPr>
            <w:color w:val="0000EE"/>
            <w:u w:val="single"/>
          </w:rPr>
          <w:t>Jos 23–24</w:t>
        </w:r>
      </w:hyperlink>
      <w:r>
        <w:t>).</w:t>
      </w:r>
    </w:p>
    <w:p>
      <w:r/>
      <w:r>
        <w:t>Les quarante années d'errance dans le désert signifiaient que les adultes qui avaient quitté l'Égypte avec Moïse ne sont pas entrés dans la Terre Promise. Ils ont attiré ce jugement sur eux-mêmes en raison de leur ingratitude et de leur rébellion (</w:t>
      </w:r>
      <w:hyperlink r:id="rId13158">
        <w:r>
          <w:rPr>
            <w:color w:val="0000EE"/>
            <w:u w:val="single"/>
          </w:rPr>
          <w:t>Nb 14.26–35</w:t>
        </w:r>
      </w:hyperlink>
      <w:r>
        <w:t>). Des siècles plus tard, Dieu a averti leurs descendants, leur disant de ne pas avoir le cœur endurci, sans quoi ils pourraient passer à côté de son repos. « Si vous pouviez écouter aujourd’hui sa voix ! N’endurcissez pas votre cœur » (</w:t>
      </w:r>
      <w:hyperlink r:id="rId6296">
        <w:r>
          <w:rPr>
            <w:color w:val="0000EE"/>
            <w:u w:val="single"/>
          </w:rPr>
          <w:t>Ps 95.7–11</w:t>
        </w:r>
      </w:hyperlink>
      <w:r>
        <w:t>). L'auteur de l'Épître aux Hébreux cite ce passage (</w:t>
      </w:r>
      <w:hyperlink r:id="rId13159">
        <w:r>
          <w:rPr>
            <w:color w:val="0000EE"/>
            <w:u w:val="single"/>
          </w:rPr>
          <w:t>Hé 3.7–8</w:t>
        </w:r>
      </w:hyperlink>
      <w:r>
        <w:t xml:space="preserve"> ; </w:t>
      </w:r>
      <w:hyperlink r:id="rId4453">
        <w:r>
          <w:rPr>
            <w:color w:val="0000EE"/>
            <w:u w:val="single"/>
          </w:rPr>
          <w:t>4.7</w:t>
        </w:r>
      </w:hyperlink>
      <w:r>
        <w:t>) pour montrer que le repos de Dieu n'est pas seulement une partie de l'histoire. La promesse d'entrer dans son repos est toujours ouverte. Le mot « aujourd'hui » montre que le jour de la grâce est toujours là : « Car, si Josué leur eût donné le repos, il ne parlerait pas après cela d’un autre jour. Il y a donc un repos de sabbat réservé au peuple de Dieu » (</w:t>
      </w:r>
      <w:hyperlink r:id="rId13160">
        <w:r>
          <w:rPr>
            <w:color w:val="0000EE"/>
            <w:u w:val="single"/>
          </w:rPr>
          <w:t>Hé 4.8–9</w:t>
        </w:r>
      </w:hyperlink>
      <w:r>
        <w:t>).</w:t>
      </w:r>
    </w:p>
    <w:p>
      <w:r/>
      <w:r>
        <w:t>Tous sont invités à entrer dans le repos de Dieu. Le sabbat hebdomadaire est un rappel et un reflet de ce repos. Le repos que les Israélites ont trouvé dans la Terre Promise après leur errance est un symbole du repos éternel de Dieu. Son peuple y participera. Le repos que Christ offre à ceux qui viennent à lui (</w:t>
      </w:r>
      <w:hyperlink r:id="rId13161">
        <w:r>
          <w:rPr>
            <w:color w:val="0000EE"/>
            <w:u w:val="single"/>
          </w:rPr>
          <w:t>Mt 11.28</w:t>
        </w:r>
      </w:hyperlink>
      <w:r>
        <w:t xml:space="preserve">) est un avant-goût et une promesse du repos divin qui les attend. Le repos après la mort pour les croyants qui se sont « endormis en Christ » est une expérience approfondie de ce repos : « </w:t>
      </w:r>
      <w:r>
        <w:t>Heureux dès à présent les morts qui meurent dans le Seigneur [</w:t>
      </w:r>
      <w:r>
        <w:t xml:space="preserve">...] </w:t>
      </w:r>
      <w:r>
        <w:t>afin qu’ils se reposent de leurs travaux</w:t>
      </w:r>
      <w:r>
        <w:t xml:space="preserve"> » (</w:t>
      </w:r>
      <w:hyperlink r:id="rId13162">
        <w:r>
          <w:rPr>
            <w:color w:val="0000EE"/>
            <w:u w:val="single"/>
          </w:rPr>
          <w:t>Ap 14.13</w:t>
        </w:r>
      </w:hyperlink>
      <w:r>
        <w:t>). Mais l'accomplissement complet de ce repos se produira lorsque le Christ reviendra. C'est là que tous ceux qui lui appartiennent refléteront pleinement sa ressemblance (</w:t>
      </w:r>
      <w:hyperlink r:id="rId3763">
        <w:r>
          <w:rPr>
            <w:color w:val="0000EE"/>
            <w:u w:val="single"/>
          </w:rPr>
          <w:t>1Jn 3.2</w:t>
        </w:r>
      </w:hyperlink>
      <w:r>
        <w:t>). Le salut sera complet. Ils obtiendront des corps impérissables et glorifiés (</w:t>
      </w:r>
      <w:hyperlink r:id="rId13163">
        <w:r>
          <w:rPr>
            <w:color w:val="0000EE"/>
            <w:u w:val="single"/>
          </w:rPr>
          <w:t>2Co 5</w:t>
        </w:r>
      </w:hyperlink>
      <w:r>
        <w:t>). Une création renouvelée où habite la justice sera établie (</w:t>
      </w:r>
      <w:hyperlink r:id="rId4432">
        <w:r>
          <w:rPr>
            <w:color w:val="0000EE"/>
            <w:u w:val="single"/>
          </w:rPr>
          <w:t>2P 3.13</w:t>
        </w:r>
      </w:hyperlink>
      <w:r>
        <w:t>).</w:t>
      </w:r>
    </w:p>
    <w:p>
      <w:r/>
      <w:r>
        <w:t>Ce moment sera le point culminant de l'histoire et celui où le peuple de Dieu entrera pleinement dans son repos éternel. La rédemption de Christ, acquise sur la croix, sera achevée. Ceci apportera repos et liberté de tout péché et signifie également la liberté de toute tristesse, toute douleur et toute mort (</w:t>
      </w:r>
      <w:hyperlink r:id="rId13164">
        <w:r>
          <w:rPr>
            <w:color w:val="0000EE"/>
            <w:u w:val="single"/>
          </w:rPr>
          <w:t>Ap 7.9–17</w:t>
        </w:r>
      </w:hyperlink>
      <w:r>
        <w:t xml:space="preserve"> ; </w:t>
      </w:r>
      <w:hyperlink r:id="rId13165">
        <w:r>
          <w:rPr>
            <w:color w:val="0000EE"/>
            <w:u w:val="single"/>
          </w:rPr>
          <w:t>21.1–7</w:t>
        </w:r>
      </w:hyperlink>
      <w:r>
        <w:t xml:space="preserve">). De plus, l'humanité s'étendra à toute la création de Dieu. Elle sera perfectionnée comme initialement prévu (voir </w:t>
      </w:r>
      <w:hyperlink r:id="rId3762">
        <w:r>
          <w:rPr>
            <w:color w:val="0000EE"/>
            <w:u w:val="single"/>
          </w:rPr>
          <w:t>Rm 8.19–25</w:t>
        </w:r>
      </w:hyperlink>
      <w:r>
        <w:t>).</w:t>
      </w:r>
    </w:p>
    <w:p>
      <w:r/>
      <w:r>
        <w:t>Le repos ne signifie pas l'inactivité. Dieu s'est reposé de l'œuvre de la Création, mais il demeure actif. Il soutient tout ce qu'il a créé. Il exerce à la fois un jugement juste et un salut gracieux. Jésus-Christ, par sa vie, sa mort, sa résurrection et sa glorification, est Dieu en action (</w:t>
      </w:r>
      <w:hyperlink r:id="rId323">
        <w:r>
          <w:rPr>
            <w:color w:val="0000EE"/>
            <w:u w:val="single"/>
          </w:rPr>
          <w:t>2Co 5.19</w:t>
        </w:r>
      </w:hyperlink>
      <w:r>
        <w:t xml:space="preserve">). Comme l'a dit Jésus, « </w:t>
      </w:r>
      <w:r>
        <w:t>Mon Père agit jusqu’à présent</w:t>
      </w:r>
      <w:r>
        <w:t xml:space="preserve"> </w:t>
      </w:r>
      <w:r>
        <w:t>; moi aussi, j’agis</w:t>
      </w:r>
      <w:r>
        <w:t xml:space="preserve"> » (</w:t>
      </w:r>
      <w:hyperlink r:id="rId13166">
        <w:r>
          <w:rPr>
            <w:color w:val="0000EE"/>
            <w:u w:val="single"/>
          </w:rPr>
          <w:t>Jn 5.17</w:t>
        </w:r>
      </w:hyperlink>
      <w:r>
        <w:t>). Le chrétien se reposera de la lutte contre le mal et des souffrances de cette vie présente. Cependant, le repos dans lequel il entrera ne sera ni ennuyeux ni sans événement. Dieu lui-même est dynamique, non statique, et son repos l'est aussi.</w:t>
      </w:r>
    </w:p>
    <w:p>
      <w:r/>
      <w:r>
        <w:t xml:space="preserve">En conséquence, tout ce sur quoi un chrétien se repose lui permettra d'être joyeusement et continuellement actif dans le service de Dieu, le Créateur et Rédempteur. En parfaite harmonie avec toutes les œuvres de Dieu, le chrétien louera et servira joyeusement le Dieu trinitaire. Sa joie sera complète, sans aucun manque ni besoin d'amélioration (voir </w:t>
      </w:r>
      <w:hyperlink r:id="rId13167">
        <w:r>
          <w:rPr>
            <w:color w:val="0000EE"/>
            <w:u w:val="single"/>
          </w:rPr>
          <w:t>Ap 4.8–11</w:t>
        </w:r>
      </w:hyperlink>
      <w:r>
        <w:t xml:space="preserve"> ; </w:t>
      </w:r>
      <w:hyperlink r:id="rId13168">
        <w:r>
          <w:rPr>
            <w:color w:val="0000EE"/>
            <w:u w:val="single"/>
          </w:rPr>
          <w:t>5.8–14</w:t>
        </w:r>
      </w:hyperlink>
      <w:r>
        <w:t xml:space="preserve"> ; </w:t>
      </w:r>
      <w:hyperlink r:id="rId13169">
        <w:r>
          <w:rPr>
            <w:color w:val="0000EE"/>
            <w:u w:val="single"/>
          </w:rPr>
          <w:t>7.9–12</w:t>
        </w:r>
      </w:hyperlink>
      <w:r>
        <w:t xml:space="preserve">). Ce sera le repos sabbatique éternel qui a un commencement mais pas de fin : « </w:t>
      </w:r>
      <w:r>
        <w:t>Efforçons-nous donc d’entrer dans ce repos</w:t>
      </w:r>
      <w:r>
        <w:t xml:space="preserve"> » (</w:t>
      </w:r>
      <w:hyperlink r:id="rId13170">
        <w:r>
          <w:rPr>
            <w:color w:val="0000EE"/>
            <w:u w:val="single"/>
          </w:rPr>
          <w:t>Hé 4.11</w:t>
        </w:r>
      </w:hyperlink>
      <w:r>
        <w:t>).</w:t>
      </w:r>
    </w:p>
    <w:p>
      <w:r/>
      <w:r>
        <w:rPr>
          <w:i/>
        </w:rPr>
        <w:t>Voir aussi</w:t>
      </w:r>
      <w:r>
        <w:t xml:space="preserve"> </w:t>
      </w:r>
      <w:r>
        <w:t>Paradis</w:t>
      </w:r>
      <w:r>
        <w:t xml:space="preserve"> ; </w:t>
      </w:r>
      <w:r>
        <w:t>Jour du Seigneur, Le</w:t>
      </w:r>
      <w:r>
        <w:t xml:space="preserve"> ; </w:t>
      </w:r>
      <w:r>
        <w:t>Sabbat</w:t>
      </w:r>
      <w:r>
        <w:t>.</w:t>
      </w:r>
      <w:r/>
      <w:r/>
    </w:p>
    <w:p>
      <w:r/>
    </w:p>
    <w:p>
      <w:pPr>
        <w:pStyle w:val="Heading2"/>
      </w:pPr>
      <w:r>
        <w:t>Résen</w:t>
      </w:r>
      <w:r/>
    </w:p>
    <w:p>
      <w:r/>
      <w:r>
        <w:t>Ville construite par Nimrod entre Ninive et Calach (</w:t>
      </w:r>
      <w:hyperlink r:id="rId13171">
        <w:r>
          <w:rPr>
            <w:color w:val="0000EE"/>
            <w:u w:val="single"/>
          </w:rPr>
          <w:t>Gn 10.12</w:t>
        </w:r>
      </w:hyperlink>
      <w:r>
        <w:t>). Elle faisait partie du complexe connu sous le nom de « la grande ville » et il se peut qu'elle ait été une banlieue de Ninive. Certains interprètes suggèrent qu'il s'agissait d'un ouvrage hydraulique entre Ninive et Calach.</w:t>
      </w:r>
      <w:r/>
      <w:r/>
    </w:p>
    <w:p>
      <w:r/>
    </w:p>
    <w:p>
      <w:pPr>
        <w:pStyle w:val="Heading2"/>
      </w:pPr>
      <w:r>
        <w:t>Reste</w:t>
      </w:r>
      <w:r/>
    </w:p>
    <w:p>
      <w:r/>
      <w:r>
        <w:t>Groupe de personnes qui survit à une catastrophe provoquée par Dieu (généralement en jugement pour le péché). Ce groupe devient le noyau à travers lequel l'humanité ou du peuple de Dieu se trouve perpétué ; l'existence future du groupe plus large dépend de ce reste purifié et saint qui subit et survit au jugement de Dieu. Le concept de reste se retrouve à toutes les périodes de l'histoire rédemptrice où une catastrophe (qu'il s'agisse de catastrophe naturelle, de maladie, de guerre ou d'autres véhicules) menace la continuité des desseins de Dieu. Le concept est progressivement affiné, débutant dans le récit de la Création et se poursuivant jusqu'à la fin de l'Ancien Testament.</w:t>
      </w:r>
    </w:p>
    <w:p>
      <w:pPr>
        <w:pStyle w:val="Heading3"/>
      </w:pPr>
      <w:r>
        <w:t>Le Problème</w:t>
      </w:r>
    </w:p>
    <w:p>
      <w:r/>
      <w:r>
        <w:t>Le problème théologique abordé par le concept du reste est la tension entre la grâce et les promesses de Dieu face à sa sainteté et son jugement juste du péché. Cette tension entre la grâce de Dieu et son jugement met en évidence une distinction entre le vrai et le faux peuple de Dieu, ainsi qu'entre le peuple de Dieu présent et futur. Le peuple de Dieu, saint, pur et véritable, survivra à son jugement sur le péché en tant que reste fidèle et deviendra le noyau d'un peuple renouvelé et choisi. Les desseins de Dieu ne sont pas frustrés mais se réalisent parmi ce peuple véritable et renouvelé.</w:t>
      </w:r>
    </w:p>
    <w:p>
      <w:r/>
      <w:r>
        <w:t>Le concept a une double portée. D'une part, selon l'attente imminente de l'auteur biblique, il peut mettre l'accent sur le jugement, indiquant que Dieu est sur le point de détruire son peuple à cause de son péché ; le reste lui-même peut même être menacé parce que le jugement envisagé est si sévère. D'autre part, le fait qu'un reste survive souligne à la fois la grâce de Dieu (sa faveur démontrée à ceux qu'il a gardés en sécurité) et l'aube d'une nouvelle ère et d'une nouvelle communauté, qui hérite des promesses de Dieu en émergeant depuis ce reste.</w:t>
      </w:r>
    </w:p>
    <w:p>
      <w:pPr>
        <w:pStyle w:val="Heading3"/>
      </w:pPr>
      <w:r>
        <w:t>Dans l’Ancien Testament</w:t>
      </w:r>
    </w:p>
    <w:p>
      <w:pPr>
        <w:pStyle w:val="Heading4"/>
      </w:pPr>
      <w:r>
        <w:t>Avant la période patriarcale</w:t>
      </w:r>
    </w:p>
    <w:p>
      <w:r/>
      <w:r>
        <w:t>Le premier passage qui illustre le concept de reste est le récit de la Chute de l'humanité. Bien qu'il n'y ait pas de perte de vie immédiate ou de réduction numérique, le jugement de Dieu menace l'existence continue de l'humanité (</w:t>
      </w:r>
      <w:hyperlink r:id="rId13172">
        <w:r>
          <w:rPr>
            <w:color w:val="0000EE"/>
            <w:u w:val="single"/>
          </w:rPr>
          <w:t>Gn 3.15–19</w:t>
        </w:r>
      </w:hyperlink>
      <w:r>
        <w:t>). Le jugement est évité par la grâce de Dieu, et Adam et Ève deviennent le noyau de l'humanité ; les espoirs pour l'avenir se concentrent sur leur descendance (</w:t>
      </w:r>
      <w:hyperlink r:id="rId13173">
        <w:r>
          <w:rPr>
            <w:color w:val="0000EE"/>
            <w:u w:val="single"/>
          </w:rPr>
          <w:t>3.16, 20</w:t>
        </w:r>
      </w:hyperlink>
      <w:r>
        <w:t xml:space="preserve"> ; </w:t>
      </w:r>
      <w:hyperlink r:id="rId8712">
        <w:r>
          <w:rPr>
            <w:color w:val="0000EE"/>
            <w:u w:val="single"/>
          </w:rPr>
          <w:t>4.1</w:t>
        </w:r>
      </w:hyperlink>
      <w:r>
        <w:t>). Les desseins de Dieu pour l'humanité seront réalisés à travers la descendance de la femme.</w:t>
      </w:r>
    </w:p>
    <w:p>
      <w:r/>
      <w:r>
        <w:t>Le récit du Déluge est plus spécifique. En raison de la méchanceté de l'humanité, Dieu décidera d'effacer toute vie. Cependant, un homme juste, irréprochable devant Dieu, avec sa famille, reçoit la faveur de Dieu (</w:t>
      </w:r>
      <w:hyperlink r:id="rId5996">
        <w:r>
          <w:rPr>
            <w:color w:val="0000EE"/>
            <w:u w:val="single"/>
          </w:rPr>
          <w:t>Gn 6.8–9</w:t>
        </w:r>
      </w:hyperlink>
      <w:r>
        <w:t xml:space="preserve"> ; </w:t>
      </w:r>
      <w:hyperlink r:id="rId3692">
        <w:r>
          <w:rPr>
            <w:color w:val="0000EE"/>
            <w:u w:val="single"/>
          </w:rPr>
          <w:t>Hé 11.7</w:t>
        </w:r>
      </w:hyperlink>
      <w:r>
        <w:t>). Seuls Noé et ceux qui étaient avec lui dans l'arche ont survécu au jugement de Dieu (</w:t>
      </w:r>
      <w:hyperlink r:id="rId13174">
        <w:r>
          <w:rPr>
            <w:color w:val="0000EE"/>
            <w:u w:val="single"/>
          </w:rPr>
          <w:t>Gn 7.23</w:t>
        </w:r>
      </w:hyperlink>
      <w:r>
        <w:t>). La continuation de l'existence de l'humanité se concentre sur la fécondité et la multiplication du nombre de ses fils (</w:t>
      </w:r>
      <w:hyperlink r:id="rId13175">
        <w:r>
          <w:rPr>
            <w:color w:val="0000EE"/>
            <w:u w:val="single"/>
          </w:rPr>
          <w:t>9.1</w:t>
        </w:r>
      </w:hyperlink>
      <w:r>
        <w:t xml:space="preserve">), introduisant une nouvelle ère et une nouvelle alliance (v. </w:t>
      </w:r>
      <w:hyperlink r:id="rId1158">
        <w:r>
          <w:rPr>
            <w:color w:val="0000EE"/>
            <w:u w:val="single"/>
          </w:rPr>
          <w:t>8–17</w:t>
        </w:r>
      </w:hyperlink>
      <w:r>
        <w:t>). Les desseins de Dieu pour l'humanité se réaliseront dans la descendance de Noé.</w:t>
      </w:r>
    </w:p>
    <w:p>
      <w:pPr>
        <w:pStyle w:val="Heading4"/>
      </w:pPr>
      <w:r>
        <w:t>De la période patriarcale à la monarchie</w:t>
      </w:r>
    </w:p>
    <w:p>
      <w:r/>
      <w:r>
        <w:t>Les passages contribuant au développement du motif du reste n'impliquent pas tous la menace d'un jugement universel. Les péchés des villes jumelles de Sodome et Gomorrhe étaient si graves que Dieu a décidé de les détruire. Par amour pour son serviteur Abraham (</w:t>
      </w:r>
      <w:hyperlink r:id="rId13176">
        <w:r>
          <w:rPr>
            <w:color w:val="0000EE"/>
            <w:u w:val="single"/>
          </w:rPr>
          <w:t>Gn 18.16–19</w:t>
        </w:r>
      </w:hyperlink>
      <w:r>
        <w:t xml:space="preserve"> ; </w:t>
      </w:r>
      <w:hyperlink r:id="rId13177">
        <w:r>
          <w:rPr>
            <w:color w:val="0000EE"/>
            <w:u w:val="single"/>
          </w:rPr>
          <w:t>19.29</w:t>
        </w:r>
      </w:hyperlink>
      <w:r>
        <w:t>) et à cause de la droiture de Lot (</w:t>
      </w:r>
      <w:hyperlink r:id="rId13178">
        <w:r>
          <w:rPr>
            <w:color w:val="0000EE"/>
            <w:u w:val="single"/>
          </w:rPr>
          <w:t>2P 2.8</w:t>
        </w:r>
      </w:hyperlink>
      <w:r>
        <w:t>), Dieu a épargné Lot et ses deux filles. Les négociations d'Abraham avec Dieu pour épargner toute la ville si cinquante, et finalement même dix, personnes justes pouvaient y être trouvées (</w:t>
      </w:r>
      <w:hyperlink r:id="rId6010">
        <w:r>
          <w:rPr>
            <w:color w:val="0000EE"/>
            <w:u w:val="single"/>
          </w:rPr>
          <w:t>Gn 18.22–33</w:t>
        </w:r>
      </w:hyperlink>
      <w:r>
        <w:t>) soulignent à nouveau que les justes échappent au jugement. Dieu ne balaiera pas les justes avec les méchants ; il a été miséricordieux même envers ceux qui hésitaient, et les a conduits hors de la ville (</w:t>
      </w:r>
      <w:hyperlink r:id="rId13179">
        <w:r>
          <w:rPr>
            <w:color w:val="0000EE"/>
            <w:u w:val="single"/>
          </w:rPr>
          <w:t>19.16, 29</w:t>
        </w:r>
      </w:hyperlink>
      <w:r>
        <w:t>).</w:t>
      </w:r>
    </w:p>
    <w:p>
      <w:r/>
      <w:r>
        <w:t>L'histoire de Joseph est le pont littéraire entre les enfants de Jacob, une famille en Canaan (</w:t>
      </w:r>
      <w:hyperlink r:id="rId13180">
        <w:r>
          <w:rPr>
            <w:color w:val="0000EE"/>
            <w:u w:val="single"/>
          </w:rPr>
          <w:t>Gn 46.26–27</w:t>
        </w:r>
      </w:hyperlink>
      <w:r>
        <w:t>), et les milliers d'enfants d'Israël à l'époque de l'exode. Le motif théologique dominant dans ce récit est la préservation de la famille du patriarche face à la menace mortelle de la famine. Dieu a envoyé Joseph en Égypte pour sauver des vies et pour préserver pour sa famille un reste (</w:t>
      </w:r>
      <w:hyperlink r:id="rId13181">
        <w:r>
          <w:rPr>
            <w:color w:val="0000EE"/>
            <w:u w:val="single"/>
          </w:rPr>
          <w:t>45.6–7</w:t>
        </w:r>
      </w:hyperlink>
      <w:r>
        <w:t>). Les frères de Joseph avaient l'intention de lui faire du mal, mais Dieu a transformé cela en bien pour le salut de nombreuses vies (</w:t>
      </w:r>
      <w:hyperlink r:id="rId13182">
        <w:r>
          <w:rPr>
            <w:color w:val="0000EE"/>
            <w:u w:val="single"/>
          </w:rPr>
          <w:t>50.19–20</w:t>
        </w:r>
      </w:hyperlink>
      <w:r>
        <w:t>). Une fois de plus, les desseins de Dieu ne sont pas contrecarrés mais se réaliseront à travers ceux qui survivent à la menace d'extinction.</w:t>
      </w:r>
    </w:p>
    <w:p>
      <w:r/>
      <w:r>
        <w:t>L'obéissance aux commandements de Dieu et la confiance en ses promesses sont en jeu lorsque les espions reviennent de leur opération de reconnaissance de Canaan (</w:t>
      </w:r>
      <w:hyperlink r:id="rId13183">
        <w:r>
          <w:rPr>
            <w:color w:val="0000EE"/>
            <w:u w:val="single"/>
          </w:rPr>
          <w:t>Nb 13–14</w:t>
        </w:r>
      </w:hyperlink>
      <w:r>
        <w:t>). Des représentants de toutes les tribus avaient exploré le pays. Malgré leur accord sur ses qualités évidentes, tous, à l'exception de deux des espions, ont rapporté que le pays ne pouvait pas être conquis. À cause de leurs murmures, Dieu a annoncé son intention de les détruire tous et de recréer une nation plus grande à partir de son fidèle serviteur Moïse. Après que Moïse a intercédé en faveur du peuple, le Seigneur s'est ravisé. Plutôt que de tous les détruire, seuls Josué et Caleb entreraient dans l'héritage promis en raison de la fidélité démontrée par leur rapport. Le peuple devrait rester dans le désert pendant quarante ans jusqu'à ce que tous meurent, sauf ces deux-là. Les transgresseurs mourraient, mais le reste fidèle recevrait la promesse.</w:t>
      </w:r>
    </w:p>
    <w:p>
      <w:r/>
      <w:r>
        <w:t>La loi stipule également que la fidélité est nécessaire pour conserver la possession de la terre. La désobéissance entraînerait maladie, défaite sur le champ de bataille, sécheresse, mauvaises récoltes, attaques par des animaux sauvages, mort par l'épée et la famine, cannibalisme, destruction des villes et exil dans les terres ennemies (</w:t>
      </w:r>
      <w:hyperlink r:id="rId13184">
        <w:r>
          <w:rPr>
            <w:color w:val="0000EE"/>
            <w:u w:val="single"/>
          </w:rPr>
          <w:t>Lv 26.1–39</w:t>
        </w:r>
      </w:hyperlink>
      <w:r>
        <w:t>). Pour ceux qui survivraient, ceux qui confessent leurs péchés et se repentent (le reste) Dieu garderait son alliance avec eux, les restaurerait dans leur terre et réaliserait son dessein à travers eux.</w:t>
      </w:r>
    </w:p>
    <w:p>
      <w:pPr>
        <w:pStyle w:val="Heading4"/>
      </w:pPr>
      <w:r>
        <w:t>De la monarchie à l'exil</w:t>
      </w:r>
    </w:p>
    <w:p>
      <w:r/>
      <w:r>
        <w:t>Même dans le royaume apostat du nord, le Seigneur a gardé son reste fidèle. À la fin d'une sécheresse de trois ans en punition des péchés dans le royaume du nord (</w:t>
      </w:r>
      <w:hyperlink r:id="rId13185">
        <w:r>
          <w:rPr>
            <w:color w:val="0000EE"/>
            <w:u w:val="single"/>
          </w:rPr>
          <w:t>1R 17.1</w:t>
        </w:r>
      </w:hyperlink>
      <w:r>
        <w:t xml:space="preserve">; </w:t>
      </w:r>
      <w:hyperlink r:id="rId13186">
        <w:r>
          <w:rPr>
            <w:color w:val="0000EE"/>
            <w:u w:val="single"/>
          </w:rPr>
          <w:t>18.1</w:t>
        </w:r>
      </w:hyperlink>
      <w:r>
        <w:t xml:space="preserve">) et après la victoire sur les prêtres de Baal au Mont Carmel, Élie se rend au Mont Sinaï, fuyant Jézabel pour sauver sa vie (chap. </w:t>
      </w:r>
      <w:hyperlink r:id="rId13187">
        <w:r>
          <w:rPr>
            <w:color w:val="0000EE"/>
            <w:u w:val="single"/>
          </w:rPr>
          <w:t>19</w:t>
        </w:r>
      </w:hyperlink>
      <w:r>
        <w:t>). Il se lamentera qu'Israël s'était totalement donné à un faux culte et qu'il était le seul fidèle qui restait. Dieu lui répond en lui ordonnant d'oindre Jéhu comme roi et Élisée comme successeur en tant que prophète. Jéhu et Élisée détruiront les apostats, tandis que Dieu se réserve les sept mille qui n'avaient pas fléchi le genou devant Baal. Le reste fidèle serait épargné de la destruction.</w:t>
      </w:r>
    </w:p>
    <w:p>
      <w:r/>
      <w:r>
        <w:t>Les prophètes préexiliques ont souligné la petitesse du reste qui survivrait à la destruction sous l'Assyrie et Babylone. Amos a averti d'un grand jugement qui menacerait jusqu'au reste lui-même. Dieu détruirait le royaume pécheur, mais pas totalement. Ésaïe, lui aussi, parle de la petitesse du reste. Israël est laissé comme un abri dans une vigne, une cabane dans un champ de melons, évitant de justesse le sort de Sodome et Gomorrhe (</w:t>
      </w:r>
      <w:hyperlink r:id="rId13188">
        <w:r>
          <w:rPr>
            <w:color w:val="0000EE"/>
            <w:u w:val="single"/>
          </w:rPr>
          <w:t>Es 1.8–9</w:t>
        </w:r>
      </w:hyperlink>
      <w:r>
        <w:t>). Il est laissé comme un poteau sur une colline (</w:t>
      </w:r>
      <w:hyperlink r:id="rId10658">
        <w:r>
          <w:rPr>
            <w:color w:val="0000EE"/>
            <w:u w:val="single"/>
          </w:rPr>
          <w:t>30.17</w:t>
        </w:r>
      </w:hyperlink>
      <w:r>
        <w:t>), comme la souche d'un arbre abattu (</w:t>
      </w:r>
      <w:hyperlink r:id="rId6842">
        <w:r>
          <w:rPr>
            <w:color w:val="0000EE"/>
            <w:u w:val="single"/>
          </w:rPr>
          <w:t>6.13</w:t>
        </w:r>
      </w:hyperlink>
      <w:r>
        <w:t>). Lorsque le moissonneur rassemble sa récolte, Israël est le glanage qui reste, les quelques olives qui demeurent au sommet de l'arbre (</w:t>
      </w:r>
      <w:hyperlink r:id="rId13189">
        <w:r>
          <w:rPr>
            <w:color w:val="0000EE"/>
            <w:u w:val="single"/>
          </w:rPr>
          <w:t>17.4–6</w:t>
        </w:r>
      </w:hyperlink>
      <w:r>
        <w:t>). Mais de la souche de cet arbre abattu jaillira une vie nouvelle (</w:t>
      </w:r>
      <w:hyperlink r:id="rId13190">
        <w:r>
          <w:rPr>
            <w:color w:val="0000EE"/>
            <w:u w:val="single"/>
          </w:rPr>
          <w:t>6.11–13</w:t>
        </w:r>
      </w:hyperlink>
      <w:r>
        <w:t>). Ceux qui survivront à Jérusalem seront saints, et le Seigneur fera naître un nouveau rejeton de la souche d'Isaï, un serviteur juste (le Rameau) qui ramènera le reste du peuple de Dieu de nombreuses nations (</w:t>
      </w:r>
      <w:hyperlink r:id="rId13191">
        <w:r>
          <w:rPr>
            <w:color w:val="0000EE"/>
            <w:u w:val="single"/>
          </w:rPr>
          <w:t>4.2–3</w:t>
        </w:r>
      </w:hyperlink>
      <w:r>
        <w:t xml:space="preserve"> ; </w:t>
      </w:r>
      <w:hyperlink r:id="rId12714">
        <w:r>
          <w:rPr>
            <w:color w:val="0000EE"/>
            <w:u w:val="single"/>
          </w:rPr>
          <w:t>11.1–16</w:t>
        </w:r>
      </w:hyperlink>
      <w:r>
        <w:t>). Après que Dieu aura purgé l'iniquité du peuple, Jérusalem sera connue comme la ville de la justice (</w:t>
      </w:r>
      <w:hyperlink r:id="rId13192">
        <w:r>
          <w:rPr>
            <w:color w:val="0000EE"/>
            <w:u w:val="single"/>
          </w:rPr>
          <w:t>1.21–26</w:t>
        </w:r>
      </w:hyperlink>
      <w:r>
        <w:t>).</w:t>
      </w:r>
    </w:p>
    <w:p>
      <w:pPr>
        <w:pStyle w:val="Heading4"/>
      </w:pPr>
      <w:r>
        <w:t>Pendant l'exil</w:t>
      </w:r>
    </w:p>
    <w:p>
      <w:r/>
      <w:r>
        <w:t>Ézéchiel était préoccupé par le reste futur et les promesses de restauration, depuis sa vie parmi les exilés près du fleuve Kebar (</w:t>
      </w:r>
      <w:hyperlink r:id="rId5319">
        <w:r>
          <w:rPr>
            <w:color w:val="0000EE"/>
            <w:u w:val="single"/>
          </w:rPr>
          <w:t>Ez 1.1</w:t>
        </w:r>
      </w:hyperlink>
      <w:r>
        <w:t xml:space="preserve">). Dans une vision (chap. </w:t>
      </w:r>
      <w:hyperlink r:id="rId13193">
        <w:r>
          <w:rPr>
            <w:color w:val="0000EE"/>
            <w:u w:val="single"/>
          </w:rPr>
          <w:t>9</w:t>
        </w:r>
      </w:hyperlink>
      <w:r>
        <w:t xml:space="preserve">), il voit un scribe traverser la ville de Jérusalem en plaçant une marque sur le front de tous ceux qui pleuraient les péchés commis dans la ville. Derrière le scribe venait un groupe de guerriers tuant tous ceux qui n'avaient pas la marque sur leur front. Craignant la destruction de tout le peuple, Ézéchiel s'écriera : « </w:t>
      </w:r>
      <w:r>
        <w:t>Ah</w:t>
      </w:r>
      <w:r>
        <w:t xml:space="preserve"> </w:t>
      </w:r>
      <w:r>
        <w:t>! Seigneur Éternel, détruiras-tu tout ce qui reste d’Israël [...]</w:t>
      </w:r>
      <w:r>
        <w:t xml:space="preserve"> ?» Immédiatement après, il verra le nuage de gloire (la présence visible de Dieu au milieu de son peuple) s'élever et quitter le temple (chap. </w:t>
      </w:r>
      <w:hyperlink r:id="rId2474">
        <w:r>
          <w:rPr>
            <w:color w:val="0000EE"/>
            <w:u w:val="single"/>
          </w:rPr>
          <w:t>10</w:t>
        </w:r>
      </w:hyperlink>
      <w:r>
        <w:t xml:space="preserve">). Ézéchiel prophétisera le jugement sur les dirigeants d'Israël, et Pelathia (dont le nom signifie « échapper ») mourra, ce qui poussera Ézéchiel à demander à nouveau : « </w:t>
      </w:r>
      <w:r>
        <w:t>Ah</w:t>
      </w:r>
      <w:r>
        <w:t xml:space="preserve"> </w:t>
      </w:r>
      <w:r>
        <w:t>! Seigneur Éternel, anéantiras-tu ce qui reste d’Israël</w:t>
      </w:r>
      <w:r>
        <w:t xml:space="preserve"> ?» (</w:t>
      </w:r>
      <w:hyperlink r:id="rId13194">
        <w:r>
          <w:rPr>
            <w:color w:val="0000EE"/>
            <w:u w:val="single"/>
          </w:rPr>
          <w:t>11.13</w:t>
        </w:r>
      </w:hyperlink>
      <w:r>
        <w:t xml:space="preserve">). Le Seigneur rassemblera son peuple et le restaurera dans sa terre comme un peuple pur, libre d'idolâtrie. Bien que leurs péchés aient été grands, il y aurait encore miséricorde et restauration pour une nation purifiée. Le nuage de gloire qu'Ézéchiel a vu quitter le temple reviendra dans un nouveau temple (chap. </w:t>
      </w:r>
      <w:hyperlink r:id="rId2887">
        <w:r>
          <w:rPr>
            <w:color w:val="0000EE"/>
            <w:u w:val="single"/>
          </w:rPr>
          <w:t>43</w:t>
        </w:r>
      </w:hyperlink>
      <w:r>
        <w:t>). Le peuple ne s'éloignera plus de Dieu (</w:t>
      </w:r>
      <w:hyperlink r:id="rId13195">
        <w:r>
          <w:rPr>
            <w:color w:val="0000EE"/>
            <w:u w:val="single"/>
          </w:rPr>
          <w:t>14.11</w:t>
        </w:r>
      </w:hyperlink>
      <w:r>
        <w:t>) mais jouira d'une nouvelle alliance éternelle (</w:t>
      </w:r>
      <w:hyperlink r:id="rId13196">
        <w:r>
          <w:rPr>
            <w:color w:val="0000EE"/>
            <w:u w:val="single"/>
          </w:rPr>
          <w:t>16.60–62</w:t>
        </w:r>
      </w:hyperlink>
      <w:r>
        <w:t>). Ézéchiel a rappelé le motif du reste tel qu'il s'appliquait à la communauté du désert après l'exode : beaucoup quitteront la terre de servitude, et les rebelles mourront en chemin, n'entrant pas en Israël (</w:t>
      </w:r>
      <w:hyperlink r:id="rId13197">
        <w:r>
          <w:rPr>
            <w:color w:val="0000EE"/>
            <w:u w:val="single"/>
          </w:rPr>
          <w:t>20.35–38</w:t>
        </w:r>
      </w:hyperlink>
      <w:r>
        <w:t xml:space="preserve">). Dieu rassemblera son troupeau, et ils auront « </w:t>
      </w:r>
      <w:r>
        <w:t>un seul pasteur, qui les fera paître, mon serviteur David</w:t>
      </w:r>
      <w:r>
        <w:t xml:space="preserve"> » (</w:t>
      </w:r>
      <w:hyperlink r:id="rId13198">
        <w:r>
          <w:rPr>
            <w:color w:val="0000EE"/>
            <w:u w:val="single"/>
          </w:rPr>
          <w:t>34.20–24</w:t>
        </w:r>
      </w:hyperlink>
      <w:r>
        <w:t>). Dieu enlèvera leurs cœurs de pierre, leur donnera des cœurs de chair, et mettra son Esprit en eux (</w:t>
      </w:r>
      <w:hyperlink r:id="rId13199">
        <w:r>
          <w:rPr>
            <w:color w:val="0000EE"/>
            <w:u w:val="single"/>
          </w:rPr>
          <w:t>36.24–27</w:t>
        </w:r>
      </w:hyperlink>
      <w:r>
        <w:t>). Bien qu'Israël semble mort et incapable de revivre, Dieu parlera à ces ossements desséchés et les ramènera à la vie (</w:t>
      </w:r>
      <w:hyperlink r:id="rId11389">
        <w:r>
          <w:rPr>
            <w:color w:val="0000EE"/>
            <w:u w:val="single"/>
          </w:rPr>
          <w:t>37.1–14</w:t>
        </w:r>
      </w:hyperlink>
      <w:r>
        <w:t>).</w:t>
      </w:r>
      <w:r/>
      <w:r/>
    </w:p>
    <w:p>
      <w:r/>
    </w:p>
    <w:p>
      <w:pPr>
        <w:pStyle w:val="Heading2"/>
      </w:pPr>
      <w:r>
        <w:t>Réuma</w:t>
      </w:r>
      <w:r/>
    </w:p>
    <w:p>
      <w:r/>
      <w:r>
        <w:t>Concubine de Nachor (</w:t>
      </w:r>
      <w:hyperlink r:id="rId3035">
        <w:r>
          <w:rPr>
            <w:color w:val="0000EE"/>
            <w:u w:val="single"/>
          </w:rPr>
          <w:t>Gn 22.24</w:t>
        </w:r>
      </w:hyperlink>
      <w:r>
        <w:t>). Ses quatre fils sont devenus les ancêtres des tribus araméennes vivant au nord de Damas.</w:t>
      </w:r>
      <w:r/>
      <w:r/>
    </w:p>
    <w:p>
      <w:r/>
    </w:p>
    <w:p>
      <w:pPr>
        <w:pStyle w:val="Heading2"/>
      </w:pPr>
      <w:r>
        <w:t>Révélation</w:t>
      </w:r>
      <w:r/>
    </w:p>
    <w:p>
      <w:r/>
      <w:r>
        <w:t>Ce qui se produit lorsque quelque chose de caché devient connu ou est donné à voir à d'autres.</w:t>
      </w:r>
    </w:p>
    <w:p>
      <w:pPr>
        <w:pStyle w:val="Heading3"/>
      </w:pPr>
      <w:r>
        <w:t>Que signifie « Révélation » ?</w:t>
      </w:r>
    </w:p>
    <w:p>
      <w:r/>
      <w:r>
        <w:t xml:space="preserve">Le mot provient du latin </w:t>
      </w:r>
      <w:r>
        <w:rPr>
          <w:i/>
        </w:rPr>
        <w:t>revelatio.</w:t>
      </w:r>
      <w:r>
        <w:t xml:space="preserve"> Il a deux significations principales :</w:t>
      </w:r>
    </w:p>
    <w:p>
      <w:pPr>
        <w:pStyle w:val="ListNumber"/>
        <w:spacing w:line="240" w:lineRule="auto"/>
        <w:ind w:left="720"/>
      </w:pPr>
      <w:r/>
      <w:r>
        <w:t>L'action de révéler pour faire connaître quelque chose.</w:t>
      </w:r>
    </w:p>
    <w:p>
      <w:pPr>
        <w:pStyle w:val="ListNumber"/>
        <w:spacing w:line="240" w:lineRule="auto"/>
        <w:ind w:left="720"/>
      </w:pPr>
      <w:r/>
      <w:r>
        <w:t>La chose qui est révélée.</w:t>
      </w:r>
    </w:p>
    <w:p>
      <w:r/>
      <w:r>
        <w:t>En théologie, la révélation se réfère à la manière dont Dieu se fait connaître aux humains. Cela peut se produire de deux manières :</w:t>
      </w:r>
    </w:p>
    <w:p>
      <w:pPr>
        <w:pStyle w:val="ListBullet"/>
        <w:spacing w:line="240" w:lineRule="auto"/>
        <w:ind w:left="720"/>
      </w:pPr>
      <w:r/>
      <w:r>
        <w:t>Dieu se manifeste directement</w:t>
      </w:r>
    </w:p>
    <w:p>
      <w:pPr>
        <w:pStyle w:val="ListBullet"/>
        <w:spacing w:line="240" w:lineRule="auto"/>
        <w:ind w:left="720"/>
      </w:pPr>
      <w:r/>
      <w:r>
        <w:t>Le message de Dieu partagé par la parole ou l'écrit</w:t>
      </w:r>
    </w:p>
    <w:p>
      <w:r/>
      <w:r>
        <w:t>Dans le Nouveau Testament, le mot grec pour révélation (</w:t>
      </w:r>
      <w:r>
        <w:rPr>
          <w:i/>
        </w:rPr>
        <w:t>apokalupsis</w:t>
      </w:r>
      <w:r>
        <w:t xml:space="preserve">) signifie « découvrir » ou « faire connaître ». Un autre mot grec, </w:t>
      </w:r>
      <w:r>
        <w:rPr>
          <w:i/>
        </w:rPr>
        <w:t>phanerosis</w:t>
      </w:r>
      <w:r>
        <w:t>, a un sens quasi identique, mais souligne que quelque chose est montré clairement et est facile à comprendre.</w:t>
      </w:r>
    </w:p>
    <w:p>
      <w:pPr>
        <w:pStyle w:val="Heading3"/>
      </w:pPr>
      <w:r>
        <w:t>Différentes perspectives sur la manière dont nous apprenons à connaître Dieu</w:t>
      </w:r>
    </w:p>
    <w:p>
      <w:r/>
      <w:r>
        <w:t>La philosophie rationaliste, telle qu'enseignée par des penseurs comme René Descartes et Emmanuel Kant, soutient que la raison humaine est la seule véritable source de connaissance de Dieu. Cette vision n'accepte que la religion naturelle (les croyances issues de la raison humaine) et nie toute véritable révélation surnaturelle de Dieu. Les rationalistes peuvent parfois envisager l'idée d'une religion surnaturelle, mais ils ne croient pas que Dieu puisse intervenir directement dans le monde.</w:t>
      </w:r>
    </w:p>
    <w:p>
      <w:r/>
      <w:r>
        <w:t>La théologie chrétienne enseigne que la source de la véritable connaissance est la parole de Dieu, en particulier les Écritures. Cependant, la théologie critique moderne, parfois appelée « théologie scientifique », a remis en question la fiabilité des Écritures comme base solide pour comprendre Dieu. De nombreux chercheurs soutiennent désormais que la science naturelle offre des connaissances plus fiables et que les événements surnaturels sont peu probables. En conséquence, les Écritures ne sont plus considérées comme l'autorité finale.</w:t>
      </w:r>
    </w:p>
    <w:p>
      <w:r/>
      <w:r>
        <w:t>Selon ce point de vue, la Bible ne relate pas ce qui s'est réellement passé ni ce que Dieu a véritablement dit ou fait. Au lieu de cela, elle reflète les croyances de l'Église primitive sur ce qu'ils pensaient être arrivé. Par conséquent, la Bible est perçue non pas comme un message divin de Dieu, mais comme un produit unique des idées et expériences religieuses anciennes.</w:t>
      </w:r>
    </w:p>
    <w:p>
      <w:r/>
      <w:r>
        <w:t>La théologie chrétienne enseigne que la révélation divine (le message de Dieu à l'humanité) est la seule véritable source pour comprendre Dieu. Les gens connaissent Dieu parce que Dieu choisit de se révéler. Dieu agit en premier et est l'auteur de la révélation, tandis que les gens la reçoivent. À travers cette révélation, Dieu montre des choses qui resteraient autrement cachées (</w:t>
      </w:r>
      <w:hyperlink r:id="rId13200">
        <w:r>
          <w:rPr>
            <w:color w:val="0000EE"/>
            <w:u w:val="single"/>
          </w:rPr>
          <w:t>Dt 29.29</w:t>
        </w:r>
      </w:hyperlink>
      <w:r>
        <w:t xml:space="preserve"> ; </w:t>
      </w:r>
      <w:hyperlink r:id="rId1065">
        <w:r>
          <w:rPr>
            <w:color w:val="0000EE"/>
            <w:u w:val="single"/>
          </w:rPr>
          <w:t>Ga 1.12</w:t>
        </w:r>
      </w:hyperlink>
      <w:r>
        <w:t xml:space="preserve"> ; </w:t>
      </w:r>
      <w:hyperlink r:id="rId8170">
        <w:r>
          <w:rPr>
            <w:color w:val="0000EE"/>
            <w:u w:val="single"/>
          </w:rPr>
          <w:t>Ep 3.3</w:t>
        </w:r>
      </w:hyperlink>
      <w:r>
        <w:t>).</w:t>
      </w:r>
    </w:p>
    <w:p>
      <w:pPr>
        <w:pStyle w:val="Heading3"/>
      </w:pPr>
      <w:r>
        <w:t>Révélation générale</w:t>
      </w:r>
    </w:p>
    <w:p>
      <w:r/>
      <w:r>
        <w:t xml:space="preserve">Dieu se révèle à l'humanité de deux manières principales. Premièrement, il y a ce qu'on appelle la « révélation générale ». À travers la révélation générale, Dieu se fait connaître dans la nature, dans l'histoire et dans les personnes, qui sont faites à son image. Cette idée selon laquelle les gens ont un sens intérieur de l'existence de Dieu à travers le monde naturel est affirmée tout au long de la Bible, à la fois dans l'Ancien Testament (voir </w:t>
      </w:r>
      <w:hyperlink r:id="rId13201">
        <w:r>
          <w:rPr>
            <w:color w:val="0000EE"/>
            <w:u w:val="single"/>
          </w:rPr>
          <w:t>Ps 10.11</w:t>
        </w:r>
      </w:hyperlink>
      <w:r>
        <w:t xml:space="preserve"> ; </w:t>
      </w:r>
      <w:hyperlink r:id="rId13202">
        <w:r>
          <w:rPr>
            <w:color w:val="0000EE"/>
            <w:u w:val="single"/>
          </w:rPr>
          <w:t>14.1, 19.1</w:t>
        </w:r>
      </w:hyperlink>
      <w:r>
        <w:t xml:space="preserve">) et dans le Nouveau Testament (voir </w:t>
      </w:r>
      <w:hyperlink r:id="rId2746">
        <w:r>
          <w:rPr>
            <w:color w:val="0000EE"/>
            <w:u w:val="single"/>
          </w:rPr>
          <w:t>Ac 14.17</w:t>
        </w:r>
      </w:hyperlink>
      <w:r>
        <w:t xml:space="preserve"> ; </w:t>
      </w:r>
      <w:hyperlink r:id="rId13203">
        <w:r>
          <w:rPr>
            <w:color w:val="0000EE"/>
            <w:u w:val="single"/>
          </w:rPr>
          <w:t>17.22–29</w:t>
        </w:r>
      </w:hyperlink>
      <w:r>
        <w:t xml:space="preserve"> ; </w:t>
      </w:r>
      <w:hyperlink r:id="rId13204">
        <w:r>
          <w:rPr>
            <w:color w:val="0000EE"/>
            <w:u w:val="single"/>
          </w:rPr>
          <w:t>Rm 1.19–21</w:t>
        </w:r>
      </w:hyperlink>
      <w:r>
        <w:t>).</w:t>
      </w:r>
    </w:p>
    <w:p>
      <w:r/>
      <w:r>
        <w:t>Les gens peuvent reconnaître que Dieu existe, qu'il est le Créateur doté d'une grande puissance, et qu'il règne avec justice. Pour cette raison, même lorsque les gens nient l'existence de Dieu, comme le font les athées, ils luttent contre une conscience intérieure de lui. Lorsque Paul a parlé aux Athéniens, il leur a rappelé que c'est en Dieu, le seul vrai Dieu, que tous vivent, se meuvent et existent (</w:t>
      </w:r>
      <w:hyperlink r:id="rId1131">
        <w:r>
          <w:rPr>
            <w:color w:val="0000EE"/>
            <w:u w:val="single"/>
          </w:rPr>
          <w:t>Ac 17.28</w:t>
        </w:r>
      </w:hyperlink>
      <w:r>
        <w:t>). Cependant, connaître Dieu à travers la nature ne conclut pas la révélation. La révélation complète se produit lorsque les gens rencontrent Dieu personnellement.</w:t>
      </w:r>
    </w:p>
    <w:p>
      <w:pPr>
        <w:pStyle w:val="Heading3"/>
      </w:pPr>
      <w:r>
        <w:t>Révélation spéciale</w:t>
      </w:r>
    </w:p>
    <w:p>
      <w:r/>
      <w:r>
        <w:t>Connaître Dieu uniquement à travers la nature ne révèle pas son dessein aimant de sauver toute l'humanité. Le cœur de Dieu est gracieux et désire le salut pour chacun. Voilà pourquoi Dieu a choisi de se révéler d'une manière spéciale, afin que les gens puissent connaître ses plans. Sans cette révélation spéciale, les humains ne comprendraient pas le plan de salut de Dieu à travers Christ. Dans la Bible, Dieu a guidé les prophètes et les apôtres, remplissant leurs cœurs et leurs esprits pour qu'ils puissent transmettre son message (</w:t>
      </w:r>
      <w:hyperlink r:id="rId12679">
        <w:r>
          <w:rPr>
            <w:color w:val="0000EE"/>
            <w:u w:val="single"/>
          </w:rPr>
          <w:t>Jr 1.4–19</w:t>
        </w:r>
      </w:hyperlink>
      <w:r>
        <w:t xml:space="preserve"> ; </w:t>
      </w:r>
      <w:hyperlink r:id="rId1959">
        <w:r>
          <w:rPr>
            <w:color w:val="0000EE"/>
            <w:u w:val="single"/>
          </w:rPr>
          <w:t>1Co 2.13</w:t>
        </w:r>
      </w:hyperlink>
      <w:r>
        <w:t xml:space="preserve"> ; </w:t>
      </w:r>
      <w:hyperlink r:id="rId1945">
        <w:r>
          <w:rPr>
            <w:color w:val="0000EE"/>
            <w:u w:val="single"/>
          </w:rPr>
          <w:t>1Th 2.13</w:t>
        </w:r>
      </w:hyperlink>
      <w:r>
        <w:t xml:space="preserve"> ; </w:t>
      </w:r>
      <w:hyperlink r:id="rId13205">
        <w:r>
          <w:rPr>
            <w:color w:val="0000EE"/>
            <w:u w:val="single"/>
          </w:rPr>
          <w:t>2P 1.16–21</w:t>
        </w:r>
      </w:hyperlink>
      <w:r>
        <w:t>).</w:t>
      </w:r>
    </w:p>
    <w:p>
      <w:r/>
      <w:r>
        <w:t>Le point culminant de la révélation de Dieu se trouve dans la venue sous forme humaine de son Fils, Jésus-Christ, (</w:t>
      </w:r>
      <w:hyperlink r:id="rId12565">
        <w:r>
          <w:rPr>
            <w:color w:val="0000EE"/>
            <w:u w:val="single"/>
          </w:rPr>
          <w:t>Jn 1.14–18</w:t>
        </w:r>
      </w:hyperlink>
      <w:r>
        <w:t xml:space="preserve"> ; </w:t>
      </w:r>
      <w:hyperlink r:id="rId13206">
        <w:r>
          <w:rPr>
            <w:color w:val="0000EE"/>
            <w:u w:val="single"/>
          </w:rPr>
          <w:t>Ga 4.4–5</w:t>
        </w:r>
      </w:hyperlink>
      <w:r>
        <w:t xml:space="preserve"> ; </w:t>
      </w:r>
      <w:hyperlink r:id="rId3752">
        <w:r>
          <w:rPr>
            <w:color w:val="0000EE"/>
            <w:u w:val="single"/>
          </w:rPr>
          <w:t>Hé 1.1–2</w:t>
        </w:r>
      </w:hyperlink>
      <w:r>
        <w:t>). Jésus a révélé Dieu le Père directement et pleinement, montrant la volonté aimante de Dieu pour tous les peuples (</w:t>
      </w:r>
      <w:hyperlink r:id="rId13207">
        <w:r>
          <w:rPr>
            <w:color w:val="0000EE"/>
            <w:u w:val="single"/>
          </w:rPr>
          <w:t>Jn 14</w:t>
        </w:r>
      </w:hyperlink>
      <w:r>
        <w:t>).</w:t>
      </w:r>
    </w:p>
    <w:p>
      <w:r/>
      <w:r>
        <w:t>Dieu n'a pas seulement guidé les cœurs et les esprits de ses prophètes et apôtres pour qu'ils prononcent sa parole ; il les a également inspirés à écrire les messages, promesses et enseignements qu'il voulait préserver pour toujours. Ces écrits sacrés, rassemblés dans la Bible, forment un tout unifié qui révèle les pensées et les plans de Dieu pour l'humanité. À travers les Écritures, les prophètes et les apôtres ont partagé non seulement des événements historiques, mais aussi des vérités spécifiques que Dieu voulait que les gens connaissent. Le but principal de la Bible est de révéler Christ, et toutes les Écritures pointent vers lui (</w:t>
      </w:r>
      <w:hyperlink r:id="rId13208">
        <w:r>
          <w:rPr>
            <w:color w:val="0000EE"/>
            <w:u w:val="single"/>
          </w:rPr>
          <w:t>Jn 5.39</w:t>
        </w:r>
      </w:hyperlink>
      <w:r>
        <w:t xml:space="preserve"> ; </w:t>
      </w:r>
      <w:hyperlink r:id="rId1964">
        <w:r>
          <w:rPr>
            <w:color w:val="0000EE"/>
            <w:u w:val="single"/>
          </w:rPr>
          <w:t>10.35</w:t>
        </w:r>
      </w:hyperlink>
      <w:r>
        <w:t xml:space="preserve"> ; </w:t>
      </w:r>
      <w:hyperlink r:id="rId13209">
        <w:r>
          <w:rPr>
            <w:color w:val="0000EE"/>
            <w:u w:val="single"/>
          </w:rPr>
          <w:t>Ac 10.43</w:t>
        </w:r>
      </w:hyperlink>
      <w:r>
        <w:t xml:space="preserve"> ; </w:t>
      </w:r>
      <w:hyperlink r:id="rId13210">
        <w:r>
          <w:rPr>
            <w:color w:val="0000EE"/>
            <w:u w:val="single"/>
          </w:rPr>
          <w:t>18.28</w:t>
        </w:r>
      </w:hyperlink>
      <w:r>
        <w:t xml:space="preserve"> ; </w:t>
      </w:r>
      <w:hyperlink r:id="rId4396">
        <w:r>
          <w:rPr>
            <w:color w:val="0000EE"/>
            <w:u w:val="single"/>
          </w:rPr>
          <w:t>1Co 15.3</w:t>
        </w:r>
      </w:hyperlink>
      <w:r>
        <w:t>).</w:t>
      </w:r>
    </w:p>
    <w:p>
      <w:r/>
      <w:r>
        <w:rPr>
          <w:i/>
        </w:rPr>
        <w:t>Voir aussi</w:t>
      </w:r>
      <w:r>
        <w:t xml:space="preserve"> </w:t>
      </w:r>
      <w:r>
        <w:t>Bible, Inspiration de la</w:t>
      </w:r>
      <w:r>
        <w:t>.</w:t>
      </w:r>
      <w:r/>
      <w:r/>
    </w:p>
    <w:p>
      <w:r/>
    </w:p>
    <w:p>
      <w:pPr>
        <w:pStyle w:val="Heading2"/>
      </w:pPr>
      <w:r>
        <w:t>Rêves</w:t>
      </w:r>
      <w:r/>
    </w:p>
    <w:p>
      <w:r/>
      <w:r>
        <w:t>Les pensées, images ou émotions qui surviennent pendant le sommeil. Les rêves ont toujours fasciné : les événements vécus dans les rêves sont souvent trop vifs et réels pour être ignorés.</w:t>
      </w:r>
    </w:p>
    <w:p>
      <w:pPr>
        <w:pStyle w:val="Heading3"/>
      </w:pPr>
      <w:r>
        <w:t>Compréhension ancienne</w:t>
      </w:r>
    </w:p>
    <w:p>
      <w:r/>
      <w:r>
        <w:t>Depuis les temps les plus anciens, les rêves étaient vus comme un mystère, suscitant des spéculations sur une autre sphère d'existence réelle dans laquelle la personne vivait et agissait pendant que le corps dormait. Les rêves, en particulier ceux des empereurs et des rois, étaient vus comme des messages des dieux.</w:t>
      </w:r>
    </w:p>
    <w:p>
      <w:r/>
      <w:r>
        <w:t>Les rêves anciens enregistrés se concentraient sur trois domaines principaux : la religion, la politique et le destin personnel. Les rêves religieux appelaient à la piété et à la dévotion envers les dieux. Les rêves politiques étaient censés prédire l'issue des batailles et le destin futur des nations. Les rêves personnels guidaient les décisions familiales et présageaient de graves crises.</w:t>
      </w:r>
    </w:p>
    <w:p>
      <w:r/>
      <w:r>
        <w:t>Parfois, la divinité prenait l'initiative et avertissait la personne de quelque chose d'inattendu. Parfois, le dirigeant ou le général se rendait dans un temple païen ou un lieu sacré et y dormait, espérant provoquer un rêve qui l'aiderait à faire face à un problème sérieux. Dans certains rêves, le message était clair ; plus souvent, il devait être déchiffré par des individus spécialisés dans l'interprétation des rêves. Des archives étaient tenues concernant des rêves spécifiques et les événements qui s'ensuivaient.</w:t>
      </w:r>
    </w:p>
    <w:p>
      <w:pPr>
        <w:pStyle w:val="Heading3"/>
      </w:pPr>
      <w:r>
        <w:t>Usage dans l'Ancien Testament</w:t>
      </w:r>
    </w:p>
    <w:p>
      <w:r/>
      <w:r>
        <w:t>Les rêves ont joué un rôle important dans la vie du peuple de Dieu. Sur les près de cent vingt références aux rêves dans l'Ancien Testament, cinquante-deux se trouvent dans la Genèse pendant la période patriarcale primitive et vingt-neuf dans le livre de Daniel. En réalité, cependant, seuls quatorze rêves spécifiques sont relatés dans l'Ancien Testament. La plupart d'entre eux se trouvent dans la Genèse et reflètent la révélation directe de Dieu aux patriarches. Même Daniel ne mentionne que deux rêves de Nebucadnetsar : la grande statue anthropomorphe et l'arbre gigantesque abattu, ainsi que son propre rêve sur les quatre bêtes et l'Ancien des Jours.</w:t>
      </w:r>
    </w:p>
    <w:p>
      <w:r/>
      <w:r>
        <w:t>La compréhension des rêves dans l'Ancien Testament possédait plusieurs caractéristiques significatives. Comme le reste du monde antique, le peuple de Dieu croyait que Dieu communiquait dans les rêves. Cependant, dans les récits de l'Ancien Testament, il y a une réserve qui manque dans les scènes perverses et obscènes souvent décrites dans les archives de rêves païens. Une autre distinction est que Dieu en est l'initiateur : il donne les rêves de révélation quand, où et à qui il le veut, une vérité douloureusement apprise par Saül (</w:t>
      </w:r>
      <w:hyperlink r:id="rId13211">
        <w:r>
          <w:rPr>
            <w:color w:val="0000EE"/>
            <w:u w:val="single"/>
          </w:rPr>
          <w:t>1S 28.6, 15</w:t>
        </w:r>
      </w:hyperlink>
      <w:r>
        <w:t>). De façon plus importante, l'approche séculaire de l'interprétation a été spécifiquement rejetée. La compréhension des symboles des rêves ne venait pas par la recherche dans des livres de rêves ou par une capacité humaine naturelle. Lorsque Joseph interprète les rêves de ses deux compagnons de prison égyptiens et plus tard du Pharaon lui-même, il insiste pour en donner tout le crédit à Dieu (</w:t>
      </w:r>
      <w:hyperlink r:id="rId6806">
        <w:r>
          <w:rPr>
            <w:color w:val="0000EE"/>
            <w:u w:val="single"/>
          </w:rPr>
          <w:t>Gn 40.8</w:t>
        </w:r>
      </w:hyperlink>
      <w:r>
        <w:t xml:space="preserve"> ; </w:t>
      </w:r>
      <w:hyperlink r:id="rId13212">
        <w:r>
          <w:rPr>
            <w:color w:val="0000EE"/>
            <w:u w:val="single"/>
          </w:rPr>
          <w:t>41.7, 25, 28, 39</w:t>
        </w:r>
      </w:hyperlink>
      <w:r>
        <w:t xml:space="preserve">). De même, Daniel informera Nebucadnetsar que le Dieu du ciel, qui révèle les secrets, ferait connaître le rêve du roi et sa signification (une tâche dans laquelle les interprètes de rêves professionnels avaient échoué, </w:t>
      </w:r>
      <w:hyperlink r:id="rId13213">
        <w:r>
          <w:rPr>
            <w:color w:val="0000EE"/>
            <w:u w:val="single"/>
          </w:rPr>
          <w:t>Dn 2.27–28</w:t>
        </w:r>
      </w:hyperlink>
      <w:r>
        <w:t>).</w:t>
      </w:r>
    </w:p>
    <w:p>
      <w:r/>
      <w:r>
        <w:t xml:space="preserve">Contrairement à leurs voisins, les saints de l'Ancien Testament savaient que les rêves étaient des « </w:t>
      </w:r>
      <w:r>
        <w:t>visions nocturnes</w:t>
      </w:r>
      <w:r>
        <w:t xml:space="preserve"> » (</w:t>
      </w:r>
      <w:hyperlink r:id="rId13214">
        <w:r>
          <w:rPr>
            <w:color w:val="0000EE"/>
            <w:u w:val="single"/>
          </w:rPr>
          <w:t>Jb 33.15</w:t>
        </w:r>
      </w:hyperlink>
      <w:r>
        <w:t>), et représentaient figurativement le domaine spirituel (</w:t>
      </w:r>
      <w:hyperlink r:id="rId13215">
        <w:r>
          <w:rPr>
            <w:color w:val="0000EE"/>
            <w:u w:val="single"/>
          </w:rPr>
          <w:t>Jb 20.8</w:t>
        </w:r>
      </w:hyperlink>
      <w:r>
        <w:t xml:space="preserve"> ; </w:t>
      </w:r>
      <w:hyperlink r:id="rId13216">
        <w:r>
          <w:rPr>
            <w:color w:val="0000EE"/>
            <w:u w:val="single"/>
          </w:rPr>
          <w:t>Ps 73.20</w:t>
        </w:r>
      </w:hyperlink>
      <w:r>
        <w:t xml:space="preserve"> ; </w:t>
      </w:r>
      <w:hyperlink r:id="rId12902">
        <w:r>
          <w:rPr>
            <w:color w:val="0000EE"/>
            <w:u w:val="single"/>
          </w:rPr>
          <w:t>126.1</w:t>
        </w:r>
      </w:hyperlink>
      <w:r>
        <w:t xml:space="preserve"> ; </w:t>
      </w:r>
      <w:hyperlink r:id="rId13217">
        <w:r>
          <w:rPr>
            <w:color w:val="0000EE"/>
            <w:u w:val="single"/>
          </w:rPr>
          <w:t>Es 29.7–8</w:t>
        </w:r>
      </w:hyperlink>
      <w:r>
        <w:t>).</w:t>
      </w:r>
    </w:p>
    <w:p>
      <w:r/>
      <w:r>
        <w:t>Dieu utilisait les rêves à l'époque de l'Ancien Testament pour protéger ses serviteurs (</w:t>
      </w:r>
      <w:hyperlink r:id="rId67">
        <w:r>
          <w:rPr>
            <w:color w:val="0000EE"/>
            <w:u w:val="single"/>
          </w:rPr>
          <w:t>Gn 20</w:t>
        </w:r>
      </w:hyperlink>
      <w:r>
        <w:t>), pour se révéler aux gens d'une manière spéciale (</w:t>
      </w:r>
      <w:hyperlink r:id="rId929">
        <w:r>
          <w:rPr>
            <w:color w:val="0000EE"/>
            <w:u w:val="single"/>
          </w:rPr>
          <w:t>28.12</w:t>
        </w:r>
      </w:hyperlink>
      <w:r>
        <w:t>), pour fournir des conseils dans des circonstances précises (</w:t>
      </w:r>
      <w:hyperlink r:id="rId13218">
        <w:r>
          <w:rPr>
            <w:color w:val="0000EE"/>
            <w:u w:val="single"/>
          </w:rPr>
          <w:t>31.10–13</w:t>
        </w:r>
      </w:hyperlink>
      <w:r>
        <w:t>), et pour avertir des événements futurs personnels (</w:t>
      </w:r>
      <w:hyperlink r:id="rId13219">
        <w:r>
          <w:rPr>
            <w:color w:val="0000EE"/>
            <w:u w:val="single"/>
          </w:rPr>
          <w:t>37.5–20</w:t>
        </w:r>
      </w:hyperlink>
      <w:r>
        <w:t xml:space="preserve">). Les rêves étaient également utilisés pour prédire l'histoire des nations (chap. </w:t>
      </w:r>
      <w:hyperlink r:id="rId13220">
        <w:r>
          <w:rPr>
            <w:color w:val="0000EE"/>
            <w:u w:val="single"/>
          </w:rPr>
          <w:t>40–41</w:t>
        </w:r>
      </w:hyperlink>
      <w:r>
        <w:t>) et pour annoncer les quatre grands empires mondiaux successifs qui seraient remplacés par le royaume éternel de Dieu (</w:t>
      </w:r>
      <w:hyperlink r:id="rId13221">
        <w:r>
          <w:rPr>
            <w:color w:val="0000EE"/>
            <w:u w:val="single"/>
          </w:rPr>
          <w:t>Dn 4.19–27</w:t>
        </w:r>
      </w:hyperlink>
      <w:r>
        <w:t>).</w:t>
      </w:r>
    </w:p>
    <w:p>
      <w:r/>
      <w:r>
        <w:t>Au cours des mille ans environ entre Joseph et Daniel, seuls deux rêves sont notés. Dans l'un d'entre eux, Gédéon se voit assuré que Dieu vaincrait les Madianites (</w:t>
      </w:r>
      <w:hyperlink r:id="rId13222">
        <w:r>
          <w:rPr>
            <w:color w:val="0000EE"/>
            <w:u w:val="single"/>
          </w:rPr>
          <w:t>Jg 7.13–15</w:t>
        </w:r>
      </w:hyperlink>
      <w:r>
        <w:t>) ; l'autre concerne comment Salomon a acquis sa sagesse après sa demande humble et désintéressée de recevoir un « cœur intelligent » (</w:t>
      </w:r>
      <w:hyperlink r:id="rId13223">
        <w:r>
          <w:rPr>
            <w:color w:val="0000EE"/>
            <w:u w:val="single"/>
          </w:rPr>
          <w:t>1R 3.9, 15</w:t>
        </w:r>
      </w:hyperlink>
      <w:r>
        <w:t>) qui a pleinement satisfait Dieu.</w:t>
      </w:r>
    </w:p>
    <w:p>
      <w:r/>
      <w:r>
        <w:t>Dans les derniers rêves de l'Ancien Testament, Dieu donne à Nebucadnetsar un aperçu de l'histoire mondiale future (</w:t>
      </w:r>
      <w:hyperlink r:id="rId12529">
        <w:r>
          <w:rPr>
            <w:color w:val="0000EE"/>
            <w:u w:val="single"/>
          </w:rPr>
          <w:t>Dn 2.31–45</w:t>
        </w:r>
      </w:hyperlink>
      <w:r>
        <w:t>) et une prédiction de la folie temporaire du roi (</w:t>
      </w:r>
      <w:hyperlink r:id="rId13221">
        <w:r>
          <w:rPr>
            <w:color w:val="0000EE"/>
            <w:u w:val="single"/>
          </w:rPr>
          <w:t>4.19–27</w:t>
        </w:r>
      </w:hyperlink>
      <w:r>
        <w:t>). Le rêve de Daniel concernant les quatre bêtes était similaire aux premiers rêves du roi, mais avec des détails supplémentaires concernant les relations internationales futures (</w:t>
      </w:r>
      <w:hyperlink r:id="rId5693">
        <w:r>
          <w:rPr>
            <w:color w:val="0000EE"/>
            <w:u w:val="single"/>
          </w:rPr>
          <w:t>7.13–14</w:t>
        </w:r>
      </w:hyperlink>
      <w:r>
        <w:t>).</w:t>
      </w:r>
    </w:p>
    <w:p>
      <w:r/>
      <w:r>
        <w:t>Les rêves étaient vus comme un moyen par lequel Dieu parlait aux prophètes (</w:t>
      </w:r>
      <w:hyperlink r:id="rId13224">
        <w:r>
          <w:rPr>
            <w:color w:val="0000EE"/>
            <w:u w:val="single"/>
          </w:rPr>
          <w:t>Nb 12.6</w:t>
        </w:r>
      </w:hyperlink>
      <w:r>
        <w:t>). Mais comment le peuple de Dieu pouvait-il distinguer un vrai prophète d'un imposteur ? Dieu donne deux moyens pour éprouver ces choses : la capacité de prédire l'avenir immédiat (</w:t>
      </w:r>
      <w:hyperlink r:id="rId13225">
        <w:r>
          <w:rPr>
            <w:color w:val="0000EE"/>
            <w:u w:val="single"/>
          </w:rPr>
          <w:t>Dt 18.22</w:t>
        </w:r>
      </w:hyperlink>
      <w:r>
        <w:t>) et la cohérence du message avec la vérité déjà révélée (</w:t>
      </w:r>
      <w:hyperlink r:id="rId13226">
        <w:r>
          <w:rPr>
            <w:color w:val="0000EE"/>
            <w:u w:val="single"/>
          </w:rPr>
          <w:t>13.1–4</w:t>
        </w:r>
      </w:hyperlink>
      <w:r>
        <w:t xml:space="preserve">). Les faux prophètes étaient mis à mort (v. </w:t>
      </w:r>
      <w:hyperlink r:id="rId13227">
        <w:r>
          <w:rPr>
            <w:color w:val="0000EE"/>
            <w:u w:val="single"/>
          </w:rPr>
          <w:t>5</w:t>
        </w:r>
      </w:hyperlink>
      <w:r>
        <w:t>). La fausse prophétie était un problème sérieux à l'époque de Jérémie (</w:t>
      </w:r>
      <w:hyperlink r:id="rId13228">
        <w:r>
          <w:rPr>
            <w:color w:val="0000EE"/>
            <w:u w:val="single"/>
          </w:rPr>
          <w:t>Jr 23.25–32</w:t>
        </w:r>
      </w:hyperlink>
      <w:r>
        <w:t>) et de Zacharie (</w:t>
      </w:r>
      <w:hyperlink r:id="rId13229">
        <w:r>
          <w:rPr>
            <w:color w:val="0000EE"/>
            <w:u w:val="single"/>
          </w:rPr>
          <w:t>Za 10.2</w:t>
        </w:r>
      </w:hyperlink>
      <w:r>
        <w:t>). Malgré les avertissements répétés de Jérémie (</w:t>
      </w:r>
      <w:hyperlink r:id="rId13230">
        <w:r>
          <w:rPr>
            <w:color w:val="0000EE"/>
            <w:u w:val="single"/>
          </w:rPr>
          <w:t>Jr 23.32</w:t>
        </w:r>
      </w:hyperlink>
      <w:r>
        <w:t xml:space="preserve"> ; </w:t>
      </w:r>
      <w:hyperlink r:id="rId13231">
        <w:r>
          <w:rPr>
            <w:color w:val="0000EE"/>
            <w:u w:val="single"/>
          </w:rPr>
          <w:t>27.9–10</w:t>
        </w:r>
      </w:hyperlink>
      <w:r>
        <w:t xml:space="preserve"> ; </w:t>
      </w:r>
      <w:hyperlink r:id="rId13232">
        <w:r>
          <w:rPr>
            <w:color w:val="0000EE"/>
            <w:u w:val="single"/>
          </w:rPr>
          <w:t>29.8–9</w:t>
        </w:r>
      </w:hyperlink>
      <w:r>
        <w:t>), le peuple préférait écouter les faux prophètes avec leurs messages vides d'espoir. Les rêves faisaient également partie de l'espoir prophétique d'Israël (</w:t>
      </w:r>
      <w:hyperlink r:id="rId3750">
        <w:r>
          <w:rPr>
            <w:color w:val="0000EE"/>
            <w:u w:val="single"/>
          </w:rPr>
          <w:t>Jl 2.28</w:t>
        </w:r>
      </w:hyperlink>
      <w:r>
        <w:t>).</w:t>
      </w:r>
    </w:p>
    <w:p>
      <w:pPr>
        <w:pStyle w:val="Heading3"/>
      </w:pPr>
      <w:r>
        <w:t>Usage du Nouveau Testament</w:t>
      </w:r>
    </w:p>
    <w:p>
      <w:r/>
      <w:r>
        <w:t>Les quelques rêves relatés dans le Nouveau Testament sont tous dans l'Évangile selon Matthieu, dont cinq dans les deux premiers chapitres. Ils soulignent le soin et la protection divins de l'enfant Jésus. Il y avait d'abord la provision de Dieu, permettant à Jésus de grandir dans un foyer avec un père et une mère, évitant ainsi la cruauté et la honte d'être injustement appelé un enfant illégitime (</w:t>
      </w:r>
      <w:hyperlink r:id="rId13233">
        <w:r>
          <w:rPr>
            <w:color w:val="0000EE"/>
            <w:u w:val="single"/>
          </w:rPr>
          <w:t>Mt 1.19–23</w:t>
        </w:r>
      </w:hyperlink>
      <w:r>
        <w:t>). Ensuite, les mages se voient instruits dans un rêve de ne pas dire à Hérode où Jésus vivait (</w:t>
      </w:r>
      <w:hyperlink r:id="rId13234">
        <w:r>
          <w:rPr>
            <w:color w:val="0000EE"/>
            <w:u w:val="single"/>
          </w:rPr>
          <w:t>2.12</w:t>
        </w:r>
      </w:hyperlink>
      <w:r>
        <w:t xml:space="preserve">). Jésus est protégé du roi jaloux Hérode par le rêve qui a dit à Joseph de fuir en Égypte avec Marie et l'enfant (v. </w:t>
      </w:r>
      <w:hyperlink r:id="rId919">
        <w:r>
          <w:rPr>
            <w:color w:val="0000EE"/>
            <w:u w:val="single"/>
          </w:rPr>
          <w:t>13</w:t>
        </w:r>
      </w:hyperlink>
      <w:r>
        <w:t xml:space="preserve">). À la mort d'Hérode, Joseph est divinement conseillé dans un rêve de rentrer chez lui d'Égypte (v. </w:t>
      </w:r>
      <w:hyperlink r:id="rId13235">
        <w:r>
          <w:rPr>
            <w:color w:val="0000EE"/>
            <w:u w:val="single"/>
          </w:rPr>
          <w:t>20</w:t>
        </w:r>
      </w:hyperlink>
      <w:r>
        <w:t xml:space="preserve">). Enfin, Dieu avertit Joseph d'éviter la Judée, où régnait le fils maléfique d'Hérode, Archélaüs, et de s'installer en Galilée à la place (v. </w:t>
      </w:r>
      <w:hyperlink r:id="rId6422">
        <w:r>
          <w:rPr>
            <w:color w:val="0000EE"/>
            <w:u w:val="single"/>
          </w:rPr>
          <w:t>22</w:t>
        </w:r>
      </w:hyperlink>
      <w:r>
        <w:t>).</w:t>
      </w:r>
    </w:p>
    <w:p>
      <w:r/>
      <w:r>
        <w:t xml:space="preserve">Le seul autre rêve spécifique mentionné dans le Nouveau Testament pousse la femme de Pilate à avertir son mari : « </w:t>
      </w:r>
      <w:r>
        <w:t>Qu’il n’y ait rien entre toi et ce juste</w:t>
      </w:r>
      <w:r>
        <w:t xml:space="preserve"> » (</w:t>
      </w:r>
      <w:hyperlink r:id="rId1738">
        <w:r>
          <w:rPr>
            <w:color w:val="0000EE"/>
            <w:u w:val="single"/>
          </w:rPr>
          <w:t>Mt 27.19</w:t>
        </w:r>
      </w:hyperlink>
      <w:r>
        <w:t>).</w:t>
      </w:r>
    </w:p>
    <w:p>
      <w:r/>
      <w:r>
        <w:rPr>
          <w:i/>
        </w:rPr>
        <w:t>Voir aussi</w:t>
      </w:r>
      <w:r>
        <w:t xml:space="preserve"> </w:t>
      </w:r>
      <w:r>
        <w:t>Prophétie</w:t>
      </w:r>
      <w:r>
        <w:t xml:space="preserve"> ; </w:t>
      </w:r>
      <w:r>
        <w:t>Vision, Visions</w:t>
      </w:r>
      <w:r>
        <w:t>.</w:t>
      </w:r>
      <w:r/>
      <w:r/>
    </w:p>
    <w:p>
      <w:r/>
    </w:p>
    <w:p>
      <w:pPr>
        <w:pStyle w:val="Heading2"/>
      </w:pPr>
      <w:r>
        <w:t>Rhode</w:t>
      </w:r>
      <w:r/>
    </w:p>
    <w:p>
      <w:r/>
      <w:r>
        <w:t>Servante dans la maison de Marie (mère de Jean Marc) à Jérusalem. Rhode a rapporté à ceux qui se trouvaient dans la maison que Pierre se tenait devant la porte. Comme ils n'étaient pas au courant de sa libération de prison, les autres n'ont d'abord pas cru son rapport (</w:t>
      </w:r>
      <w:hyperlink r:id="rId13236">
        <w:r>
          <w:rPr>
            <w:color w:val="0000EE"/>
            <w:u w:val="single"/>
          </w:rPr>
          <w:t>Ac 12.13–15</w:t>
        </w:r>
      </w:hyperlink>
      <w:r>
        <w:t>).</w:t>
      </w:r>
      <w:r/>
      <w:r/>
    </w:p>
    <w:p>
      <w:r/>
    </w:p>
    <w:p>
      <w:pPr>
        <w:pStyle w:val="Heading2"/>
      </w:pPr>
      <w:r>
        <w:t>Rhodes</w:t>
      </w:r>
      <w:r/>
    </w:p>
    <w:p>
      <w:r/>
      <w:r>
        <w:t>Port d'escale lors du voyage de de Paul vers Jérusalem après son troisième voyage missionnaire (</w:t>
      </w:r>
      <w:hyperlink r:id="rId3305">
        <w:r>
          <w:rPr>
            <w:color w:val="0000EE"/>
            <w:u w:val="single"/>
          </w:rPr>
          <w:t>Ac 21.1</w:t>
        </w:r>
      </w:hyperlink>
      <w:r>
        <w:t xml:space="preserve">). La mention de Rhodes (Dodanim ou Dedan, LSG) dans </w:t>
      </w:r>
      <w:hyperlink r:id="rId4286">
        <w:r>
          <w:rPr>
            <w:color w:val="0000EE"/>
            <w:u w:val="single"/>
          </w:rPr>
          <w:t>Genèse 10.4</w:t>
        </w:r>
      </w:hyperlink>
      <w:r>
        <w:t xml:space="preserve">, </w:t>
      </w:r>
      <w:hyperlink r:id="rId6744">
        <w:r>
          <w:rPr>
            <w:color w:val="0000EE"/>
            <w:u w:val="single"/>
          </w:rPr>
          <w:t>Ézéchiel 27.15</w:t>
        </w:r>
      </w:hyperlink>
      <w:r>
        <w:t xml:space="preserve"> et </w:t>
      </w:r>
      <w:hyperlink r:id="rId4287">
        <w:r>
          <w:rPr>
            <w:color w:val="0000EE"/>
            <w:u w:val="single"/>
          </w:rPr>
          <w:t>1 Chroniques 1.7</w:t>
        </w:r>
      </w:hyperlink>
      <w:r>
        <w:t xml:space="preserve"> n'est pas basée sur le texte hébreu de l'Ancien Testament mais sur sa traduction grecque. L'île de Rhodes, d'une superficie de plus de 1 300 km2, est située près de la côte sud-est de la Turquie moderne.</w:t>
      </w:r>
    </w:p>
    <w:p>
      <w:r/>
      <w:r>
        <w:t>À l'époque de Paul, l'île était depuis longtemps un important centre de la culture grecque dorienne, détenant plusieurs villes. Rhodes, la capitale, se trouvait sur la route maritime antique la plus fréquentée entre les ports d'Italie et la province de l'Asie à l'ouest, et ceux de Syrie et d'Égypte à l'est. Elle se distinguait par son port naturel et ses ouvrages publics. Rhodes était un centre commercial de premier plan et fournissait la plupart des précédents pour le droit maritime romain. Le 2e siècle av. J.‑C. marquera l'apogée de son pouvoir politique, qui incluait le contrôle de la majeure partie de la Carie et de la Lycie sur le continent de l'Asie Mineure. La puissance romaine privera d'abord Rhodes de sa domination commerciale, et pendant les guerres civiles romaines du 1er siècle av. J.‑C., elle sera réduite, politiquement, à peu plus qu'une ville provinciale de l'Empire romain.</w:t>
      </w:r>
    </w:p>
    <w:p>
      <w:r/>
      <w:r>
        <w:t>Pour célébrer une victoire militaire en 280 av. J.‑C., la ville de Rhodes avait érigé une immense statue en bronze du dieu grec du soleil, haute de près de 35 m (environ la hauteur de la Statue de la Liberté). Sa réalisation avait pris douze ans, et peu après son achèvement, un tremblement de terre la brisera au niveau des genoux (224 av. J.‑C.). Cependant, les ruines fragmentées ont continué à susciter l'attention jusqu'à l'occupation arabe de l'île au 7e siècle. Ce Colosse de Rhodes sera inclus dans certaines listes anciennes des merveilles du monde.</w:t>
      </w:r>
      <w:r/>
      <w:r/>
    </w:p>
    <w:p>
      <w:r/>
    </w:p>
    <w:p>
      <w:pPr>
        <w:pStyle w:val="Heading2"/>
      </w:pPr>
      <w:r>
        <w:t>Richesse</w:t>
      </w:r>
      <w:r/>
    </w:p>
    <w:p>
      <w:r/>
      <w:r>
        <w:t xml:space="preserve">Abondance, généralement d'argent ou de biens matériels. La valeur de cet argent ou de ces biens est habituellement exprimée dans une unité conventionnelle, comme une monnaie nationale. La famille, les amis et même les qualités morales peuvent être considérés comme une richesse. </w:t>
      </w:r>
    </w:p>
    <w:p>
      <w:r/>
      <w:r>
        <w:t>Dans l'Ancien Testament, la richesse est un signe de la faveur de Dieu (</w:t>
      </w:r>
      <w:hyperlink r:id="rId11755">
        <w:r>
          <w:rPr>
            <w:color w:val="0000EE"/>
            <w:u w:val="single"/>
          </w:rPr>
          <w:t>Ps 112.3</w:t>
        </w:r>
      </w:hyperlink>
      <w:r>
        <w:t>). C'est lui qui donne le pouvoir d'acquérir des richesses (</w:t>
      </w:r>
      <w:hyperlink r:id="rId13237">
        <w:r>
          <w:rPr>
            <w:color w:val="0000EE"/>
            <w:u w:val="single"/>
          </w:rPr>
          <w:t>Dt 8.18</w:t>
        </w:r>
      </w:hyperlink>
      <w:r>
        <w:t>). La piété et la richesse de Job sont bien connues (</w:t>
      </w:r>
      <w:hyperlink r:id="rId13238">
        <w:r>
          <w:rPr>
            <w:color w:val="0000EE"/>
            <w:u w:val="single"/>
          </w:rPr>
          <w:t>Jb 1.1–3</w:t>
        </w:r>
      </w:hyperlink>
      <w:r>
        <w:t xml:space="preserve">). Salomon est peut-être l'homme le plus riche ayant jamais vécu. Dieu lui accorde « </w:t>
      </w:r>
      <w:r>
        <w:t>des richesses, des biens et de la gloire</w:t>
      </w:r>
      <w:r>
        <w:t xml:space="preserve"> » parce que Salomon lui demande de la sagesse et du discernement plutôt que des choses matérielles (</w:t>
      </w:r>
      <w:hyperlink r:id="rId13239">
        <w:r>
          <w:rPr>
            <w:color w:val="0000EE"/>
            <w:u w:val="single"/>
          </w:rPr>
          <w:t xml:space="preserve">1R 3.10–13 </w:t>
        </w:r>
      </w:hyperlink>
      <w:r>
        <w:t xml:space="preserve">; </w:t>
      </w:r>
      <w:hyperlink r:id="rId13240">
        <w:r>
          <w:rPr>
            <w:color w:val="0000EE"/>
            <w:u w:val="single"/>
          </w:rPr>
          <w:t>2Ch 1.11–12</w:t>
        </w:r>
      </w:hyperlink>
      <w:r>
        <w:t>). Cependant, la Bible précise que la vie d'une personne ne dépend pas de l'abondance de ses biens (</w:t>
      </w:r>
      <w:hyperlink r:id="rId3092">
        <w:r>
          <w:rPr>
            <w:color w:val="0000EE"/>
            <w:u w:val="single"/>
          </w:rPr>
          <w:t>Lc 12.15</w:t>
        </w:r>
      </w:hyperlink>
      <w:r>
        <w:t>).</w:t>
      </w:r>
    </w:p>
    <w:p>
      <w:r/>
      <w:r>
        <w:t>Dans le Nouveau Testament, les hommes riches sont souvent considérés comme impies. Ceci inclut le riche propriétaire qui projette de se faire construire des greniers (</w:t>
      </w:r>
      <w:hyperlink r:id="rId11793">
        <w:r>
          <w:rPr>
            <w:color w:val="0000EE"/>
            <w:u w:val="single"/>
          </w:rPr>
          <w:t>Lc 12.16–21</w:t>
        </w:r>
      </w:hyperlink>
      <w:r>
        <w:t>) et l'homme riche qui se détourne du mendiant Lazare (</w:t>
      </w:r>
      <w:hyperlink r:id="rId5002">
        <w:r>
          <w:rPr>
            <w:color w:val="0000EE"/>
            <w:u w:val="single"/>
          </w:rPr>
          <w:t>16.19–31</w:t>
        </w:r>
      </w:hyperlink>
      <w:r>
        <w:t>). Les riches sont condamnés parce qu'ils sont cupides et oppriment les pauvres (</w:t>
      </w:r>
      <w:hyperlink r:id="rId7062">
        <w:r>
          <w:rPr>
            <w:color w:val="0000EE"/>
            <w:u w:val="single"/>
          </w:rPr>
          <w:t>Jc 5.1–6</w:t>
        </w:r>
      </w:hyperlink>
      <w:r>
        <w:t xml:space="preserve">). « Malheur à vous, riches », proclame </w:t>
      </w:r>
      <w:hyperlink r:id="rId13241">
        <w:r>
          <w:rPr>
            <w:color w:val="0000EE"/>
            <w:u w:val="single"/>
          </w:rPr>
          <w:t>Luc 6.24. L</w:t>
        </w:r>
      </w:hyperlink>
      <w:r>
        <w:t>es trois Évangiles synoptiques parlent tous des dangers de la richesse (</w:t>
      </w:r>
      <w:hyperlink r:id="rId12451">
        <w:r>
          <w:rPr>
            <w:color w:val="0000EE"/>
            <w:u w:val="single"/>
          </w:rPr>
          <w:t xml:space="preserve">Mt 13.22 </w:t>
        </w:r>
      </w:hyperlink>
      <w:r>
        <w:t xml:space="preserve">; </w:t>
      </w:r>
      <w:hyperlink r:id="rId13242">
        <w:r>
          <w:rPr>
            <w:color w:val="0000EE"/>
            <w:u w:val="single"/>
          </w:rPr>
          <w:t xml:space="preserve">Mc 4.19 </w:t>
        </w:r>
      </w:hyperlink>
      <w:r>
        <w:t xml:space="preserve">; </w:t>
      </w:r>
      <w:hyperlink r:id="rId13243">
        <w:r>
          <w:rPr>
            <w:color w:val="0000EE"/>
            <w:u w:val="single"/>
          </w:rPr>
          <w:t>Lc 8.14</w:t>
        </w:r>
      </w:hyperlink>
      <w:r>
        <w:t>). Cependant, tous les hommes riches ne sont pas présentés comme mauvais. Jésus est enterré dans le tombeau d'un homme riche, Joseph d'Arimathée (</w:t>
      </w:r>
      <w:hyperlink r:id="rId1296">
        <w:r>
          <w:rPr>
            <w:color w:val="0000EE"/>
            <w:u w:val="single"/>
          </w:rPr>
          <w:t>Mt 27.57</w:t>
        </w:r>
      </w:hyperlink>
      <w:r>
        <w:t>). Nicodème dépense généreusement pour l'embaumement du corps de Jésus (</w:t>
      </w:r>
      <w:hyperlink r:id="rId12408">
        <w:r>
          <w:rPr>
            <w:color w:val="0000EE"/>
            <w:u w:val="single"/>
          </w:rPr>
          <w:t>Jn 19.39</w:t>
        </w:r>
      </w:hyperlink>
      <w:r>
        <w:t>). C'est « un chef des Juifs » (</w:t>
      </w:r>
      <w:hyperlink r:id="rId4155">
        <w:r>
          <w:rPr>
            <w:color w:val="0000EE"/>
            <w:u w:val="single"/>
          </w:rPr>
          <w:t>3.1</w:t>
        </w:r>
      </w:hyperlink>
      <w:r>
        <w:t>) ; il est donc probablement riche.</w:t>
      </w:r>
    </w:p>
    <w:p>
      <w:r/>
      <w:r>
        <w:rPr>
          <w:i/>
        </w:rPr>
        <w:t>Voir aussi</w:t>
      </w:r>
      <w:r>
        <w:t xml:space="preserve"> </w:t>
      </w:r>
      <w:r>
        <w:t xml:space="preserve">Mammon </w:t>
      </w:r>
      <w:r>
        <w:t xml:space="preserve">; </w:t>
      </w:r>
      <w:r>
        <w:t xml:space="preserve">argent </w:t>
      </w:r>
      <w:r>
        <w:t xml:space="preserve">; </w:t>
      </w:r>
      <w:r>
        <w:t xml:space="preserve">pauvres </w:t>
      </w:r>
      <w:r>
        <w:t xml:space="preserve">; </w:t>
      </w:r>
      <w:r>
        <w:t xml:space="preserve">richesses </w:t>
      </w:r>
      <w:r>
        <w:t xml:space="preserve">; </w:t>
      </w:r>
      <w:r>
        <w:t>salaire</w:t>
      </w:r>
      <w:r>
        <w:t>.</w:t>
      </w:r>
      <w:r/>
      <w:r/>
    </w:p>
    <w:p>
      <w:r/>
    </w:p>
    <w:p>
      <w:pPr>
        <w:pStyle w:val="Heading2"/>
      </w:pPr>
      <w:r>
        <w:t>Riphat</w:t>
      </w:r>
      <w:r/>
    </w:p>
    <w:p>
      <w:r/>
      <w:r>
        <w:t>Fils de Gomer et frère d'Aschkenaz et de Togarma, descendants non sémitiques de Noé par la lignée de Japhet (</w:t>
      </w:r>
      <w:hyperlink r:id="rId6071">
        <w:r>
          <w:rPr>
            <w:color w:val="0000EE"/>
            <w:u w:val="single"/>
          </w:rPr>
          <w:t>Gn 10.3</w:t>
        </w:r>
      </w:hyperlink>
      <w:r>
        <w:t xml:space="preserve">). </w:t>
      </w:r>
      <w:hyperlink r:id="rId1357">
        <w:r>
          <w:rPr>
            <w:color w:val="0000EE"/>
            <w:u w:val="single"/>
          </w:rPr>
          <w:t>1 Chroniques 1.6</w:t>
        </w:r>
      </w:hyperlink>
      <w:r>
        <w:t>, un passage parallèle, mentionne Diphat au lieu de Riphath, sans doute une faute d'orthographe d'un copiste ultérieur qui n'a jamais été corrigée.</w:t>
      </w:r>
      <w:r/>
      <w:r/>
    </w:p>
    <w:p>
      <w:r/>
    </w:p>
    <w:p>
      <w:pPr>
        <w:pStyle w:val="Heading2"/>
      </w:pPr>
      <w:r>
        <w:t>Rire</w:t>
      </w:r>
      <w:r/>
    </w:p>
    <w:p>
      <w:r/>
      <w:r>
        <w:t>Expression d'une variété d'émotions. Le rire peut exprimer une joie immense lorsque les circonstances s'améliorent, comme pour les Juifs revenant de l'exil (</w:t>
      </w:r>
      <w:hyperlink r:id="rId12946">
        <w:r>
          <w:rPr>
            <w:color w:val="0000EE"/>
            <w:u w:val="single"/>
          </w:rPr>
          <w:t>Ps 126.2</w:t>
        </w:r>
      </w:hyperlink>
      <w:r>
        <w:t>). Une telle joie est offerte avec sincérité mais un excès de légèreté à Job par l'un de ses consolateurs (</w:t>
      </w:r>
      <w:hyperlink r:id="rId13244">
        <w:r>
          <w:rPr>
            <w:color w:val="0000EE"/>
            <w:u w:val="single"/>
          </w:rPr>
          <w:t>Jb 8.21</w:t>
        </w:r>
      </w:hyperlink>
      <w:r>
        <w:t>). Le rire peut être de bonne humeur et amical, pour encourager les autres (</w:t>
      </w:r>
      <w:hyperlink r:id="rId9280">
        <w:r>
          <w:rPr>
            <w:color w:val="0000EE"/>
            <w:u w:val="single"/>
          </w:rPr>
          <w:t>29.24</w:t>
        </w:r>
      </w:hyperlink>
      <w:r>
        <w:t xml:space="preserve">). Il y a « </w:t>
      </w:r>
      <w:r>
        <w:t>un temps pour pleurer, et un temps pour rire</w:t>
      </w:r>
      <w:r>
        <w:t xml:space="preserve"> » (</w:t>
      </w:r>
      <w:hyperlink r:id="rId13245">
        <w:r>
          <w:rPr>
            <w:color w:val="0000EE"/>
            <w:u w:val="single"/>
          </w:rPr>
          <w:t>Ec 3.4</w:t>
        </w:r>
      </w:hyperlink>
      <w:r>
        <w:t>), mais l'Ecclésiaste avait ses doutes : la vie n'est pas une plaisanterie, et le chagrin peut être un meilleur enseignant (</w:t>
      </w:r>
      <w:hyperlink r:id="rId13246">
        <w:r>
          <w:rPr>
            <w:color w:val="0000EE"/>
            <w:u w:val="single"/>
          </w:rPr>
          <w:t>2.2</w:t>
        </w:r>
      </w:hyperlink>
      <w:r>
        <w:t xml:space="preserve"> ; </w:t>
      </w:r>
      <w:hyperlink r:id="rId13247">
        <w:r>
          <w:rPr>
            <w:color w:val="0000EE"/>
            <w:u w:val="single"/>
          </w:rPr>
          <w:t>7.3</w:t>
        </w:r>
      </w:hyperlink>
      <w:r>
        <w:t xml:space="preserve">). Cependant, il est bon de pouvoir ne pas prendre certaines choses au sérieux. La ménagère prévenante « </w:t>
      </w:r>
      <w:r>
        <w:t>se rit de l’avenir</w:t>
      </w:r>
      <w:r>
        <w:t xml:space="preserve"> » (</w:t>
      </w:r>
      <w:hyperlink r:id="rId13248">
        <w:r>
          <w:rPr>
            <w:color w:val="0000EE"/>
            <w:u w:val="single"/>
          </w:rPr>
          <w:t>Pr 31.25</w:t>
        </w:r>
      </w:hyperlink>
      <w:r>
        <w:t>). Il est promis à Job que la guerre et la famine ne seraient pas des sujets d'inquiétude (</w:t>
      </w:r>
      <w:hyperlink r:id="rId13249">
        <w:r>
          <w:rPr>
            <w:color w:val="0000EE"/>
            <w:u w:val="single"/>
          </w:rPr>
          <w:t>Jb 5.22</w:t>
        </w:r>
      </w:hyperlink>
      <w:r>
        <w:t xml:space="preserve"> ; voir </w:t>
      </w:r>
      <w:hyperlink r:id="rId13250">
        <w:r>
          <w:rPr>
            <w:color w:val="0000EE"/>
            <w:u w:val="single"/>
          </w:rPr>
          <w:t>Hé 1.9</w:t>
        </w:r>
      </w:hyperlink>
      <w:r>
        <w:t>).</w:t>
      </w:r>
    </w:p>
    <w:p>
      <w:r/>
      <w:r>
        <w:t>Le rire peut également être une chose négative et moqueuse. Nous pouvons rire des gens et les tourner en dérision. Cet élément est très présent dans l'Ancien Testament. Job et Jérémie se plaignent d'être des objets de risée (</w:t>
      </w:r>
      <w:hyperlink r:id="rId13251">
        <w:r>
          <w:rPr>
            <w:color w:val="0000EE"/>
            <w:u w:val="single"/>
          </w:rPr>
          <w:t>Jb 12.4</w:t>
        </w:r>
      </w:hyperlink>
      <w:r>
        <w:t xml:space="preserve"> ; </w:t>
      </w:r>
      <w:hyperlink r:id="rId13252">
        <w:r>
          <w:rPr>
            <w:color w:val="0000EE"/>
            <w:u w:val="single"/>
          </w:rPr>
          <w:t>Jr 20.7</w:t>
        </w:r>
      </w:hyperlink>
      <w:r>
        <w:t>). La nation se plaint que leurs ennemis rient de leur détresse (</w:t>
      </w:r>
      <w:hyperlink r:id="rId13253">
        <w:r>
          <w:rPr>
            <w:color w:val="0000EE"/>
            <w:u w:val="single"/>
          </w:rPr>
          <w:t>Ps 80.6</w:t>
        </w:r>
      </w:hyperlink>
      <w:r>
        <w:t xml:space="preserve"> ; voir </w:t>
      </w:r>
      <w:hyperlink r:id="rId13254">
        <w:r>
          <w:rPr>
            <w:color w:val="0000EE"/>
            <w:u w:val="single"/>
          </w:rPr>
          <w:t>2Ch 30.10</w:t>
        </w:r>
      </w:hyperlink>
      <w:r>
        <w:t xml:space="preserve">). Parfois, ceci est justifié. Dans </w:t>
      </w:r>
      <w:hyperlink r:id="rId13255">
        <w:r>
          <w:rPr>
            <w:color w:val="0000EE"/>
            <w:u w:val="single"/>
          </w:rPr>
          <w:t>Psaumes 52.6</w:t>
        </w:r>
      </w:hyperlink>
      <w:r>
        <w:t xml:space="preserve">, on promet aux justes que ce sont eux qui riront les derniers, aux dépens de l'incroyant méchant qui pense qu'il peut exclure Dieu de sa vie. Dans </w:t>
      </w:r>
      <w:hyperlink r:id="rId13256">
        <w:r>
          <w:rPr>
            <w:color w:val="0000EE"/>
            <w:u w:val="single"/>
          </w:rPr>
          <w:t>Proverbes 1.26</w:t>
        </w:r>
      </w:hyperlink>
      <w:r>
        <w:t>, la Sagesse personnifiée avertit qu'elle rira de la calamité de ceux qui refusent de suivre ses conseils : cela leur servira de leçon. Dans ce même sens, le rire est attribué à Dieu à trois reprises dans le Psautier. Il rit des nations qui complotent contre son roi oint (</w:t>
      </w:r>
      <w:hyperlink r:id="rId12353">
        <w:r>
          <w:rPr>
            <w:color w:val="0000EE"/>
            <w:u w:val="single"/>
          </w:rPr>
          <w:t>Ps 2.4</w:t>
        </w:r>
      </w:hyperlink>
      <w:r>
        <w:t>). Il rit des méchants, sachant qu'ils se dirigent vers le désastre (</w:t>
      </w:r>
      <w:hyperlink r:id="rId13257">
        <w:r>
          <w:rPr>
            <w:color w:val="0000EE"/>
            <w:u w:val="single"/>
          </w:rPr>
          <w:t>37.13</w:t>
        </w:r>
      </w:hyperlink>
      <w:r>
        <w:t>). Il est invité à rire des ennemis du psalmiste (</w:t>
      </w:r>
      <w:hyperlink r:id="rId13258">
        <w:r>
          <w:rPr>
            <w:color w:val="0000EE"/>
            <w:u w:val="single"/>
          </w:rPr>
          <w:t>59.8</w:t>
        </w:r>
      </w:hyperlink>
      <w:r>
        <w:t>). Ce rire divin est une manière d'exprimer que la vérité finira par avoir le dessus.</w:t>
      </w:r>
    </w:p>
    <w:p>
      <w:r/>
      <w:r>
        <w:t xml:space="preserve">Le rire occupe une place spéciale dans les récits d'Abraham. Il est utilisé en lien avec le nom de son fils Isaac, qui signifie « Il rit » ou « Que [Dieu] lui sourie ». Les histoires hébraïques aiment mettre en avant le sens des mots, et ainsi la réaction humaine à la naissance d'Isaac, le canal des promesses patriarcales de Dieu, est décrite en termes de rire. C'est important théologiquement car cela tend à être contrasté avec la foi. Dans </w:t>
      </w:r>
      <w:hyperlink r:id="rId81">
        <w:r>
          <w:rPr>
            <w:color w:val="0000EE"/>
            <w:u w:val="single"/>
          </w:rPr>
          <w:t>Genèse 17.17</w:t>
        </w:r>
      </w:hyperlink>
      <w:r>
        <w:t xml:space="preserve">, le rire est la réponse incrédule d'Abraham à la promesse irréaliste de Dieu d'un fils, compte tenu de la vieillesse de Sara. Dans </w:t>
      </w:r>
      <w:hyperlink r:id="rId6821">
        <w:r>
          <w:rPr>
            <w:color w:val="0000EE"/>
            <w:u w:val="single"/>
          </w:rPr>
          <w:t>Genèse 18.12</w:t>
        </w:r>
      </w:hyperlink>
      <w:r>
        <w:t xml:space="preserve">, Sara ne peut étouffer son rire en écoutant aux portes : cela semble si absurde qu'elle deviendra enceinte alors qu'elle a dépassé 90 ans d'âge. En fin de compte, dans </w:t>
      </w:r>
      <w:hyperlink r:id="rId105">
        <w:r>
          <w:rPr>
            <w:color w:val="0000EE"/>
            <w:u w:val="single"/>
          </w:rPr>
          <w:t>Genèse 21.6</w:t>
        </w:r>
      </w:hyperlink>
      <w:r>
        <w:t>, lorsque l'impossible devient vrai, le rire de Sara est une marque de joie donnée par Dieu.</w:t>
      </w:r>
      <w:r/>
      <w:r/>
    </w:p>
    <w:p>
      <w:r/>
    </w:p>
    <w:p>
      <w:pPr>
        <w:pStyle w:val="Heading2"/>
      </w:pPr>
      <w:r>
        <w:t>Rodanim</w:t>
      </w:r>
      <w:r/>
    </w:p>
    <w:p>
      <w:r/>
      <w:r>
        <w:t>Quatrième fils de Javan et descendant de Noé par la lignée de Japhet (</w:t>
      </w:r>
      <w:hyperlink r:id="rId4287">
        <w:r>
          <w:rPr>
            <w:color w:val="0000EE"/>
            <w:u w:val="single"/>
          </w:rPr>
          <w:t>1Ch 1.7</w:t>
        </w:r>
      </w:hyperlink>
      <w:r>
        <w:t xml:space="preserve">). Une orthographe alternative dans </w:t>
      </w:r>
      <w:hyperlink r:id="rId4286">
        <w:r>
          <w:rPr>
            <w:color w:val="0000EE"/>
            <w:u w:val="single"/>
          </w:rPr>
          <w:t>Genèse 10.4</w:t>
        </w:r>
      </w:hyperlink>
      <w:r>
        <w:t xml:space="preserve"> est Dodanim, probablement une erreur de copiste. Les deux mots se réfèrent probablement aux peuples grecs de Rhodes et de ses îles voisines dans la mer Égée.</w:t>
      </w:r>
      <w:r/>
      <w:r/>
    </w:p>
    <w:p>
      <w:r/>
    </w:p>
    <w:p>
      <w:pPr>
        <w:pStyle w:val="Heading2"/>
      </w:pPr>
      <w:r>
        <w:t>Roi</w:t>
      </w:r>
      <w:r/>
    </w:p>
    <w:p>
      <w:r/>
      <w:r>
        <w:t xml:space="preserve">Le mot </w:t>
      </w:r>
      <w:r>
        <w:rPr>
          <w:i/>
        </w:rPr>
        <w:t>melek</w:t>
      </w:r>
      <w:r>
        <w:t xml:space="preserve"> (roi) apparaît plus de deux mille fois dans l'Ancien Testament hébreu. Il peut se référer à Dieu (</w:t>
      </w:r>
      <w:hyperlink r:id="rId4093">
        <w:r>
          <w:rPr>
            <w:color w:val="0000EE"/>
            <w:u w:val="single"/>
          </w:rPr>
          <w:t>Ps 95.3</w:t>
        </w:r>
      </w:hyperlink>
      <w:r>
        <w:t xml:space="preserve">) ou à des dirigeants humains. En général, il désigne une personne investie de l'autorité et du pouvoir suprêmes sur ses sujets. Dans l'Ancien Testament, le mot melek désigne le chef d'une tribu (« les rois de Madian », </w:t>
      </w:r>
      <w:hyperlink r:id="rId1595">
        <w:r>
          <w:rPr>
            <w:color w:val="0000EE"/>
            <w:u w:val="single"/>
          </w:rPr>
          <w:t>Nb 31.8</w:t>
        </w:r>
      </w:hyperlink>
      <w:r>
        <w:t xml:space="preserve">), d'une ville (Jéricho, Aï ; voir </w:t>
      </w:r>
      <w:hyperlink r:id="rId13259">
        <w:r>
          <w:rPr>
            <w:color w:val="0000EE"/>
            <w:u w:val="single"/>
          </w:rPr>
          <w:t>Jos 12.9–24</w:t>
        </w:r>
      </w:hyperlink>
      <w:r>
        <w:t xml:space="preserve">, où trente-et-un rois de cités-États conquises par les Israélites sont listés), d'une nation (Israël, Juda, Ammon, Moab, Aram), ou d'une puissance internationale (comme l'Égypte, l'Assyrie, Babylone, ou la Perse). D'autres mots peuvent également se référer à la royauté. Les Philistins ont introduit le titre </w:t>
      </w:r>
      <w:r>
        <w:rPr>
          <w:i/>
        </w:rPr>
        <w:t>seren</w:t>
      </w:r>
      <w:r>
        <w:t xml:space="preserve"> (Seigneur) dans le vocabulaire hébreu. Les cinq villes philistines étaient dirigées par cinq seigneurs. Un autre mot pour un roi israélite est </w:t>
      </w:r>
      <w:r>
        <w:rPr>
          <w:i/>
        </w:rPr>
        <w:t>nagid</w:t>
      </w:r>
      <w:r>
        <w:t xml:space="preserve"> (dirigeant). Tant Saül que David ont été oints comme </w:t>
      </w:r>
      <w:r>
        <w:rPr>
          <w:i/>
        </w:rPr>
        <w:t>nagid</w:t>
      </w:r>
      <w:r>
        <w:t xml:space="preserve"> sur Israël (</w:t>
      </w:r>
      <w:hyperlink r:id="rId1569">
        <w:r>
          <w:rPr>
            <w:color w:val="0000EE"/>
            <w:u w:val="single"/>
          </w:rPr>
          <w:t>1S 10.1</w:t>
        </w:r>
      </w:hyperlink>
      <w:r>
        <w:t xml:space="preserve"> ; </w:t>
      </w:r>
      <w:hyperlink r:id="rId13260">
        <w:r>
          <w:rPr>
            <w:color w:val="0000EE"/>
            <w:u w:val="single"/>
          </w:rPr>
          <w:t>16.13</w:t>
        </w:r>
      </w:hyperlink>
      <w:r>
        <w:t xml:space="preserve">). Dans le Nouveau Testament et la Septante, la version grecque de l'Ancien Testament, le mot grec </w:t>
      </w:r>
      <w:r>
        <w:rPr>
          <w:i/>
        </w:rPr>
        <w:t>basileus</w:t>
      </w:r>
      <w:r>
        <w:t xml:space="preserve"> a une signification similaire à l'hébreu </w:t>
      </w:r>
      <w:r>
        <w:rPr>
          <w:i/>
        </w:rPr>
        <w:t>melek.</w:t>
      </w:r>
      <w:r>
        <w:t xml:space="preserve"> Le </w:t>
      </w:r>
      <w:r>
        <w:rPr>
          <w:i/>
        </w:rPr>
        <w:t>basileus</w:t>
      </w:r>
      <w:r>
        <w:t xml:space="preserve"> du Nouveau Testament se réfère aux dirigeants séculiers vivant au premier siècle, aux rois d'Israël, aux dirigeants du passé, et au Roi divin, Jésus-Christ.</w:t>
      </w:r>
    </w:p>
    <w:p>
      <w:r/>
      <w:r>
        <w:t>L'expression « Roi des rois », attribuée à Jésus (</w:t>
      </w:r>
      <w:hyperlink r:id="rId13261">
        <w:r>
          <w:rPr>
            <w:color w:val="0000EE"/>
            <w:u w:val="single"/>
          </w:rPr>
          <w:t>1Tm 6.15</w:t>
        </w:r>
      </w:hyperlink>
      <w:r>
        <w:t>), est une tournure hébraïque signifiant roi suprême ou plus grand des rois. Par exemple, dans la prédiction d'Ézéchiel sur la chute de Tyr, Nebucadnetsar est nommé le « roi des rois » (</w:t>
      </w:r>
      <w:hyperlink r:id="rId13262">
        <w:r>
          <w:rPr>
            <w:color w:val="0000EE"/>
            <w:u w:val="single"/>
          </w:rPr>
          <w:t>Ez 26.7</w:t>
        </w:r>
      </w:hyperlink>
      <w:r>
        <w:t xml:space="preserve">). Ce sont les grands dirigeants d'Assyrie et de Babylone qui ont introduit ce titre. Avant leur époque, les dirigeants étaient appelés soit « roi » soit « grand roi », comme dans </w:t>
      </w:r>
      <w:hyperlink r:id="rId13263">
        <w:r>
          <w:rPr>
            <w:color w:val="0000EE"/>
            <w:u w:val="single"/>
          </w:rPr>
          <w:t>2R 18.28</w:t>
        </w:r>
      </w:hyperlink>
      <w:r>
        <w:t xml:space="preserve"> : « </w:t>
      </w:r>
      <w:r>
        <w:t>Écoutez la parole du grand roi, du roi d’Assyrie</w:t>
      </w:r>
      <w:r>
        <w:t xml:space="preserve"> </w:t>
      </w:r>
      <w:r>
        <w:t>!</w:t>
      </w:r>
      <w:r>
        <w:t xml:space="preserve"> » Les dirigeants ultérieurs ont vu leurs titres ajustés pour suivre l'expansion de leurs empires.</w:t>
      </w:r>
    </w:p>
    <w:p>
      <w:pPr>
        <w:pStyle w:val="Heading3"/>
      </w:pPr>
      <w:r>
        <w:t>La royauté en Israël</w:t>
      </w:r>
    </w:p>
    <w:p>
      <w:r/>
      <w:r>
        <w:t>Dieu a choisi Abraham comme Père des nations ; à travers lui et ses descendants, le règne messianique serait établi sur terre. Dans ses promesses à Abraham, Dieu lui a assuré à plusieurs reprises qu'il deviendrait le Père d'une nation puissante, à qui Dieu donnerait le pays de Canaan, et que des rois surgiraient de ses descendants (</w:t>
      </w:r>
      <w:hyperlink r:id="rId13264">
        <w:r>
          <w:rPr>
            <w:color w:val="0000EE"/>
            <w:u w:val="single"/>
          </w:rPr>
          <w:t>Gn 17.6</w:t>
        </w:r>
      </w:hyperlink>
      <w:r>
        <w:t xml:space="preserve">). Abraham a montré qu'il acceptait le règne de Dieu sur sa famille en obéissant à l'ordre de Dieu d'être circoncis. C'est la circoncision qui distinguera le clan d'Abraham pour le service de Dieu (v. </w:t>
      </w:r>
      <w:hyperlink r:id="rId6824">
        <w:r>
          <w:rPr>
            <w:color w:val="0000EE"/>
            <w:u w:val="single"/>
          </w:rPr>
          <w:t>10–14</w:t>
        </w:r>
      </w:hyperlink>
      <w:r>
        <w:t xml:space="preserve">). Le but ultime de la relation de Dieu avec Abraham et ses descendants était que Dieu soit Roi sur Israël et que son peuple montre son acceptation de son règne par leur obéissance fidèle (v. </w:t>
      </w:r>
      <w:hyperlink r:id="rId13265">
        <w:r>
          <w:rPr>
            <w:color w:val="0000EE"/>
            <w:u w:val="single"/>
          </w:rPr>
          <w:t>9</w:t>
        </w:r>
      </w:hyperlink>
      <w:r>
        <w:t>).</w:t>
      </w:r>
    </w:p>
    <w:p>
      <w:r/>
      <w:r>
        <w:t>Au cœur de l'alliance se trouvait l'attente de Dieu que le peuple se montrerait loyal envers son règne. Dieu leur accorderait le règne sur les nations et Abraham et ses descendants devraient l'exercer en vivant en communion avec le grand Roi. C'est ainsi que le Seigneur rétablirait sa domination sur l'humanité. À travers Abraham et ses descendants, il élèverait une « nation royale » à qui les pleins privilèges de règne sur sa création seraient restaurés.</w:t>
      </w:r>
    </w:p>
    <w:p>
      <w:r/>
      <w:r>
        <w:t xml:space="preserve">Le Seigneur a également conclu une alliance avec Israël. Cette alliance était une administration souveraine de grâce et de promesse par laquelle le Seigneur se consacre le peuple à lui-même par les sanctions de la loi divine et par sa présence même. La nation, témoin des soins de Dieu envers elle, devait apprendre que par leur obéissance aux attentes de Dieu, le royaume théocratique pourrait devenir une réalité sur terre. Dans l'alliance sinaïtique, la théocratie (le règne de Dieu) a été établie. Israël a été chargé des commandements, afin qu'ils puissent se montrer être une nation théocratique, comme Dieu l'a révélé à Moïse : « </w:t>
      </w:r>
      <w:r>
        <w:t>Maintenant, si vous m’obéissez et si vous restez fidèles à mon alliance, vous serez pour moi un peuple précieux parmi tous les peuples, bien que toute la terre m’appartienne. Oui vous, vous serez pour moi un royaume de prêtres, une nation sainte</w:t>
      </w:r>
      <w:r>
        <w:t xml:space="preserve"> » (</w:t>
      </w:r>
      <w:hyperlink r:id="rId3783">
        <w:r>
          <w:rPr>
            <w:color w:val="0000EE"/>
            <w:u w:val="single"/>
          </w:rPr>
          <w:t>Ex 19.5–6</w:t>
        </w:r>
      </w:hyperlink>
      <w:r>
        <w:t>, BDS). Ils étaient donc les élus de Dieu pour le bien des nations ; par l'obéissance sacerdotale et l'intercession d'Israël, toute la terre pourrait connaître le Créateur-Rédempteur.</w:t>
      </w:r>
    </w:p>
    <w:p>
      <w:r/>
      <w:r>
        <w:t>Les qualités de la royauté de Dieu incluaient la puissance, la gloire, la fidélité, la sagesse, le soin, le service, la délégation de pouvoir à l'homme, la bénédiction et la protection, le règne juste, le jugement, la justification et la délivrance. La royauté d'Israël devait refléter celle de Dieu. Leurs lois variées et parfois complexes enseignaient à Israël à faire la distinction entre ce qui était sacré et ce qui était commun, entre le pur et l'impur, entre les voies de Dieu et celles des nations. Les voies de Dieu renforçaient l'amour, la fidélité, la justice, la paix, l'harmonie, le service, la préoccupation pour autrui, une vie sage, la défense des nécessiteux et le jugement des coupables. À l'inverse, les voies des royaumes du monde faisaient trop souvent le jeu de l'égoïsme, de l'anarchie, du despotisme et du mépris de la justice.</w:t>
      </w:r>
    </w:p>
    <w:p>
      <w:r/>
      <w:r>
        <w:t>Le Seigneur a également institué une structure organisationnelle conçue pour promouvoir ses objectifs théocratiques. Dans le désert, Moïse et les dirigeants choisis d'Israël (</w:t>
      </w:r>
      <w:hyperlink r:id="rId13266">
        <w:r>
          <w:rPr>
            <w:color w:val="0000EE"/>
            <w:u w:val="single"/>
          </w:rPr>
          <w:t>Ex 18.19–26</w:t>
        </w:r>
      </w:hyperlink>
      <w:r>
        <w:t xml:space="preserve"> ; </w:t>
      </w:r>
      <w:hyperlink r:id="rId13267">
        <w:r>
          <w:rPr>
            <w:color w:val="0000EE"/>
            <w:u w:val="single"/>
          </w:rPr>
          <w:t>Nb 11.24–25</w:t>
        </w:r>
      </w:hyperlink>
      <w:r>
        <w:t xml:space="preserve"> ; voir </w:t>
      </w:r>
      <w:hyperlink r:id="rId13268">
        <w:r>
          <w:rPr>
            <w:color w:val="0000EE"/>
            <w:u w:val="single"/>
          </w:rPr>
          <w:t>Dt 1.15–18</w:t>
        </w:r>
      </w:hyperlink>
      <w:r>
        <w:t>) étaient les instruments de Dieu pour maintenir sa royauté en Israël. À la mort de Moïse, Josué a pris le relais du règne théocratique. Le Seigneur était avec lui comme il l'avait été avec Moïse, et tout Israël a reconnu la continuité du règne de Dieu dans le leadership de Josué (</w:t>
      </w:r>
      <w:hyperlink r:id="rId7480">
        <w:r>
          <w:rPr>
            <w:color w:val="0000EE"/>
            <w:u w:val="single"/>
          </w:rPr>
          <w:t>Dt 34.9</w:t>
        </w:r>
      </w:hyperlink>
      <w:r>
        <w:t xml:space="preserve"> ; </w:t>
      </w:r>
      <w:hyperlink r:id="rId13269">
        <w:r>
          <w:rPr>
            <w:color w:val="0000EE"/>
            <w:u w:val="single"/>
          </w:rPr>
          <w:t>Jos 3.7</w:t>
        </w:r>
      </w:hyperlink>
      <w:r>
        <w:t xml:space="preserve"> ; </w:t>
      </w:r>
      <w:hyperlink r:id="rId7493">
        <w:r>
          <w:rPr>
            <w:color w:val="0000EE"/>
            <w:u w:val="single"/>
          </w:rPr>
          <w:t>4.14</w:t>
        </w:r>
      </w:hyperlink>
      <w:r>
        <w:t>). Comme Moïse l'avait fait avant sa mort, Josué a exhorté le leadership et Israël à persévérer dans la relation d'alliance de grâce (</w:t>
      </w:r>
      <w:hyperlink r:id="rId7642">
        <w:r>
          <w:rPr>
            <w:color w:val="0000EE"/>
            <w:u w:val="single"/>
          </w:rPr>
          <w:t>Jos 23–24</w:t>
        </w:r>
      </w:hyperlink>
      <w:r>
        <w:t>). Cependant, Israël a péri à cause de sa cupidité, de son immoralité, de ses conflits et de son idolâtrie. Pendant la période des juges, chacun faisait ce qui était juste à ses propres yeux (</w:t>
      </w:r>
      <w:hyperlink r:id="rId7847">
        <w:r>
          <w:rPr>
            <w:color w:val="0000EE"/>
            <w:u w:val="single"/>
          </w:rPr>
          <w:t>Jg 17.6</w:t>
        </w:r>
      </w:hyperlink>
      <w:r>
        <w:t xml:space="preserve"> ; </w:t>
      </w:r>
      <w:hyperlink r:id="rId7848">
        <w:r>
          <w:rPr>
            <w:color w:val="0000EE"/>
            <w:u w:val="single"/>
          </w:rPr>
          <w:t>18.1</w:t>
        </w:r>
      </w:hyperlink>
      <w:r>
        <w:t xml:space="preserve"> ; </w:t>
      </w:r>
      <w:hyperlink r:id="rId7849">
        <w:r>
          <w:rPr>
            <w:color w:val="0000EE"/>
            <w:u w:val="single"/>
          </w:rPr>
          <w:t>19.1</w:t>
        </w:r>
      </w:hyperlink>
      <w:r>
        <w:t xml:space="preserve"> ; </w:t>
      </w:r>
      <w:hyperlink r:id="rId7850">
        <w:r>
          <w:rPr>
            <w:color w:val="0000EE"/>
            <w:u w:val="single"/>
          </w:rPr>
          <w:t>21.25</w:t>
        </w:r>
      </w:hyperlink>
      <w:r>
        <w:t>). Il n'y avait pas de roi dans le pays à cette époque. Les juges étaient des chefs militaires que le Seigneur avait suscités pour délivrer son peuple de leurs oppresseurs étrangers. Mais Dieu restait Roi, malgré le fait qu'Israël vivait comme s'il ne l'était pas. La période des juges a démontré qu'Israël apostat, désobéissant à leur Roi, n'était pas capable de gérer les nations environnantes.</w:t>
      </w:r>
    </w:p>
    <w:p>
      <w:r/>
      <w:r>
        <w:t>La direction théocratique a été rétablie en Israël grâce au ministère de Samuel. Né dans une famille lévitique, il a servi le Seigneur au tabernacle de Silo. Il a été appelé à être prophète, une fonction qui n'avait pas été exercée depuis la mort de Moïse (</w:t>
      </w:r>
      <w:hyperlink r:id="rId13270">
        <w:r>
          <w:rPr>
            <w:color w:val="0000EE"/>
            <w:u w:val="single"/>
          </w:rPr>
          <w:t>1 Sm 3.20–21</w:t>
        </w:r>
      </w:hyperlink>
      <w:r>
        <w:t>). Il a été reconnu comme juge en Israël (</w:t>
      </w:r>
      <w:hyperlink r:id="rId13271">
        <w:r>
          <w:rPr>
            <w:color w:val="0000EE"/>
            <w:u w:val="single"/>
          </w:rPr>
          <w:t>7.15</w:t>
        </w:r>
      </w:hyperlink>
      <w:r>
        <w:t>). En Samuel, les fonctions de prêtre, prophète et roi étaient combinées. Il n'est jamais appelé roi, car son mode de vie était celui d'un prophète plutôt que celui d'un dirigeant. La demande soigneusement calculée du peuple pour un roi était un rejet du ministère de Samuel. Le peuple n'était pas satisfait de la direction spirituelle et charismatique de Samuel. Dans leur recherche d'un leader plus dynamique, ils ont trouvé dans les rois des nations environnantes des éléments attrayants : le pouvoir, la manifestation de la gloire et la stabilité. Jusqu'à présent, les tribus avaient connu plusieurs guerres civiles qui mettaient en danger l'unité d'Israël. On pensait qu'un roi remédierait à tous les problèmes sociaux et politiques. Bien que Dieu ait prévu les jours de la monarchie dans la loi (</w:t>
      </w:r>
      <w:hyperlink r:id="rId6895">
        <w:r>
          <w:rPr>
            <w:color w:val="0000EE"/>
            <w:u w:val="single"/>
          </w:rPr>
          <w:t>Dt 17.14–20</w:t>
        </w:r>
      </w:hyperlink>
      <w:r>
        <w:t xml:space="preserve">), ce sont des raisons séculières plutôt que religieuses qui ont motivé le peuple à introduire la royauté : « </w:t>
      </w:r>
      <w:r>
        <w:t>établis sur nous un roi [...] comme il y en a chez toutes les nations</w:t>
      </w:r>
      <w:r>
        <w:t xml:space="preserve"> » (</w:t>
      </w:r>
      <w:hyperlink r:id="rId13272">
        <w:r>
          <w:rPr>
            <w:color w:val="0000EE"/>
            <w:u w:val="single"/>
          </w:rPr>
          <w:t>1 Sm 8.5</w:t>
        </w:r>
      </w:hyperlink>
      <w:r>
        <w:t xml:space="preserve">) ; « </w:t>
      </w:r>
      <w:r>
        <w:t>Nous voulons, nous aussi, être dirigés comme tous les autres peuples. Notre roi rendra la justice parmi nous et prendra notre commandement pour nous mener au combat</w:t>
      </w:r>
      <w:r>
        <w:t xml:space="preserve"> » (v. </w:t>
      </w:r>
      <w:hyperlink r:id="rId13273">
        <w:r>
          <w:rPr>
            <w:color w:val="0000EE"/>
            <w:u w:val="single"/>
          </w:rPr>
          <w:t>20</w:t>
        </w:r>
      </w:hyperlink>
      <w:r>
        <w:t>, BDS). Samuel n'a jamais accepté l'idée de la royauté ; elle était étrangère à l'idéal théocratique.</w:t>
      </w:r>
    </w:p>
    <w:p>
      <w:r/>
      <w:r>
        <w:t>La différence cruciale entre la royauté en Israël et celle des territoires voisins résidait dans le fait que Dieu doterait le roi d'Israël de son Esprit pour établir son règne sur terre. Dieu régnait pour son peuple, et celui-ci bénéficiait de son règne : il était leur pourvoyeur, protecteur et guerrier divin.</w:t>
      </w:r>
    </w:p>
    <w:p>
      <w:r/>
      <w:r>
        <w:t>Samuel a joué un rôle clé dans l'onction de Saül (un triste exemple de royauté) et de David (un bon exemple de règne royal en soumission à Dieu). La royauté de Saül a révélé une attitude despotique, indifférente et d'autoglorification. Il était déterminé à établir sa dynastie, sans se soucier suffisamment du peuple de Dieu. Par conséquent, le Seigneur a rejeté sa royauté (</w:t>
      </w:r>
      <w:hyperlink r:id="rId3777">
        <w:r>
          <w:rPr>
            <w:color w:val="0000EE"/>
            <w:u w:val="single"/>
          </w:rPr>
          <w:t>1S 15.23</w:t>
        </w:r>
      </w:hyperlink>
      <w:r>
        <w:t>).</w:t>
      </w:r>
    </w:p>
    <w:p>
      <w:r/>
      <w:r>
        <w:t xml:space="preserve">La royauté de David, contrairement à celle de Saül, était en accord avec celle de Dieu car elle reflétait la gloire de la royauté de Yahvé. La vie et le règne de David sont abordés dans les deux livres de Samuel pour servir d'enseignement concernant les avantages et les inconvénients de la royauté. Positivement, David était un homme selon le cœur de Dieu, qui cherchait la volonté de Dieu, se repentait de son péché et cherchait la gloire de Dieu. Négativement, David a échoué dans sa vie personnelle et familiale à maintenir les normes élevées de la loi de Dieu. Pourtant, Dieu a choisi avec plaisir la dynastie de David comme la lignée par laquelle viendrait Jésus-Christ. Le prophète Nathan a assuré à David que sa dynastie durerait : « </w:t>
      </w:r>
      <w:r>
        <w:t>Ta maison et ton règne seront pour toujours assurés, ton trône sera pour toujours affermi</w:t>
      </w:r>
      <w:r>
        <w:t xml:space="preserve"> » (</w:t>
      </w:r>
      <w:hyperlink r:id="rId8828">
        <w:r>
          <w:rPr>
            <w:color w:val="0000EE"/>
            <w:u w:val="single"/>
          </w:rPr>
          <w:t>2S 7.16</w:t>
        </w:r>
      </w:hyperlink>
      <w:r>
        <w:t>). Mais le Seigneur n'a pas promis qu'elle serait à l'abri que Dieu lui soit à charge ou même la bannisse.</w:t>
      </w:r>
    </w:p>
    <w:p>
      <w:r/>
      <w:r>
        <w:t xml:space="preserve">Les qualités exceptionnelles de la royauté de David et de son fils Salomon reflètent la véritable intention théocratique : une préoccupation pour le Seigneur, pour un cœur de sagesse et d'intégrité, et pour le bien-être du peuple de Dieu. La préoccupation pour le Seigneur s'est exprimée dans la préparation et la construction du temple (voir </w:t>
      </w:r>
      <w:hyperlink r:id="rId1200">
        <w:r>
          <w:rPr>
            <w:color w:val="0000EE"/>
            <w:u w:val="single"/>
          </w:rPr>
          <w:t>Ps 132</w:t>
        </w:r>
      </w:hyperlink>
      <w:r>
        <w:t>). La préoccupation pour l'intégrité et la sagesse est clairement évidente, notamment dans la réponse de David à la réprimande de Nathan (</w:t>
      </w:r>
      <w:hyperlink r:id="rId13274">
        <w:r>
          <w:rPr>
            <w:color w:val="0000EE"/>
            <w:u w:val="single"/>
          </w:rPr>
          <w:t>2S 12</w:t>
        </w:r>
      </w:hyperlink>
      <w:r>
        <w:t>) et dans la demande de Salomon d'avoir un cœur de sagesse (</w:t>
      </w:r>
      <w:hyperlink r:id="rId13275">
        <w:r>
          <w:rPr>
            <w:color w:val="0000EE"/>
            <w:u w:val="single"/>
          </w:rPr>
          <w:t>1R 3</w:t>
        </w:r>
      </w:hyperlink>
      <w:r>
        <w:t>). La préoccupation pour le peuple s'exprime dans la sécurisation des frontières contre les ennemis, la réalisation de l'unification nationale et l'apport d'opportunités de croissance économique. L'ère de David et Salomon représentait un véritable reflet de la royauté de Dieu sur terre.</w:t>
      </w:r>
    </w:p>
    <w:p>
      <w:r/>
      <w:r>
        <w:t>Les récits dans les livres des Rois et des Chroniques décrivent l'histoire ultérieure de la royauté en Israël et Juda. Les bons rois suivaient les exemples donnés par David et Salomon en protégeant Jérusalem contre les envahisseurs étrangers, en pourvoyant aux besoins du temple, en instruisant le peuple de Dieu dans la parole de Dieu, et en modelant leur règne selon la loi de Moïse. Un bon roi davidique aimait le Seigneur, le temple, la loi et le peuple de Dieu. Il les servait comme un bon berger. Les mauvais rois étaient ceux qui rejetaient ce modèle de royauté au profit des modèles païens. Ainsi, Omri et Achab introduiront la culture phénicienne avec son baalisme, ignorant complètement l'héritage d'Israël.</w:t>
      </w:r>
    </w:p>
    <w:p>
      <w:r/>
      <w:r>
        <w:t xml:space="preserve">Le roi davidique était considéré comme un membre de la maison de Dieu, étant un « fils » du grand Roi (voir </w:t>
      </w:r>
      <w:hyperlink r:id="rId13276">
        <w:r>
          <w:rPr>
            <w:color w:val="0000EE"/>
            <w:u w:val="single"/>
          </w:rPr>
          <w:t>2S 7.14–16</w:t>
        </w:r>
      </w:hyperlink>
      <w:r>
        <w:t xml:space="preserve"> ; </w:t>
      </w:r>
      <w:hyperlink r:id="rId13277">
        <w:r>
          <w:rPr>
            <w:color w:val="0000EE"/>
            <w:u w:val="single"/>
          </w:rPr>
          <w:t>Ps 2.6–7</w:t>
        </w:r>
      </w:hyperlink>
      <w:r>
        <w:t>). Le roi davidique devait être loyal au grand roi, Yahvé. Il recevait ses ordres directement du Seigneur, comme Moïse et Josué ; mais contrairement à Moïse, la parole du Seigneur était transmise par les prophètes. On attendait de lui, comme de Moïse et Josué, qu'il serve son Dieu et son peuple.</w:t>
      </w:r>
    </w:p>
    <w:p>
      <w:pPr>
        <w:pStyle w:val="Heading3"/>
      </w:pPr>
      <w:r>
        <w:t>Le Roi-Messie</w:t>
      </w:r>
    </w:p>
    <w:p>
      <w:r/>
      <w:r>
        <w:t>Les descendants de David n'ont pas réussi à maintenir et à étendre la théocratie. Aux VIIIe et VIIe siècles av. J.‑C., il était évident que même les plus grands rois étaient éclipsés par la stature de David et Salomon. Les prophètes (</w:t>
      </w:r>
      <w:hyperlink r:id="rId13278">
        <w:r>
          <w:rPr>
            <w:color w:val="0000EE"/>
            <w:u w:val="single"/>
          </w:rPr>
          <w:t>Es 9.2–7</w:t>
        </w:r>
      </w:hyperlink>
      <w:r>
        <w:t xml:space="preserve">; </w:t>
      </w:r>
      <w:hyperlink r:id="rId4411">
        <w:r>
          <w:rPr>
            <w:color w:val="0000EE"/>
            <w:u w:val="single"/>
          </w:rPr>
          <w:t>11.1–9</w:t>
        </w:r>
      </w:hyperlink>
      <w:r>
        <w:t xml:space="preserve">; </w:t>
      </w:r>
      <w:hyperlink r:id="rId13279">
        <w:r>
          <w:rPr>
            <w:color w:val="0000EE"/>
            <w:u w:val="single"/>
          </w:rPr>
          <w:t>Jr 33.14–16</w:t>
        </w:r>
      </w:hyperlink>
      <w:r>
        <w:t xml:space="preserve">; </w:t>
      </w:r>
      <w:hyperlink r:id="rId13280">
        <w:r>
          <w:rPr>
            <w:color w:val="0000EE"/>
            <w:u w:val="single"/>
          </w:rPr>
          <w:t>Ez 34.22–31</w:t>
        </w:r>
      </w:hyperlink>
      <w:r>
        <w:t xml:space="preserve">; </w:t>
      </w:r>
      <w:hyperlink r:id="rId13281">
        <w:r>
          <w:rPr>
            <w:color w:val="0000EE"/>
            <w:u w:val="single"/>
          </w:rPr>
          <w:t>Mi 5.2–5</w:t>
        </w:r>
      </w:hyperlink>
      <w:r>
        <w:t>) parlaient d'un autre roi, le Messie, un descendant de David qui régnerait de manière permanente et par le règne duquel le règne de Dieu s'étendrait jusqu'aux extrémités de la terre. Il abattrait toute opposition au règne de Dieu, éliminerait tous les ennemis et inaugurerait une ère de paix et de justice universelles. Le Roi-Messie révélerait les perfections du règne divin, car l'Esprit de Dieu serait sur lui. Sa royauté serait marquée par le service au peuple de Dieu, afin qu'ils soient un troupeau bien gardé ; il les servirait comme leur berger.</w:t>
      </w:r>
    </w:p>
    <w:p>
      <w:r/>
      <w:r>
        <w:t xml:space="preserve">Avec la venue de Jésus, le royaume messianique est révélé de manière plus claire. Il est le Roi dont les anges ont dit : « </w:t>
      </w:r>
      <w:r>
        <w:t>Un Sauveur vous est né aujourd’hui dans la ville de David ; c’est lui le Messie, le Seigneur</w:t>
      </w:r>
      <w:r>
        <w:t xml:space="preserve"> » (</w:t>
      </w:r>
      <w:hyperlink r:id="rId8807">
        <w:r>
          <w:rPr>
            <w:color w:val="0000EE"/>
            <w:u w:val="single"/>
          </w:rPr>
          <w:t>Lc 2.11</w:t>
        </w:r>
      </w:hyperlink>
      <w:r>
        <w:t>, BDS). Ces mots magnifiques montrent la continuité avec la parole prophétique. Jésus est le Sauveur, dont le rôle inclut la délivrance du péché mais aussi la délivrance de toutes les causes d'adversité, du mal et des effets de la malédiction. Sa mission concerne à la fois le pardon et l'établissement de la paix sur terre (</w:t>
      </w:r>
      <w:hyperlink r:id="rId13282">
        <w:r>
          <w:rPr>
            <w:color w:val="0000EE"/>
            <w:u w:val="single"/>
          </w:rPr>
          <w:t>1.77–79</w:t>
        </w:r>
      </w:hyperlink>
      <w:r>
        <w:t>). C'est à la lumière de tout ceci que nous devons voir dans le ministère de Jésus (qui guérit, nourrit, s'oppose aux forces du mal, qui souffre et qui enseigne) l'établissement du royaume de Dieu sur terre. Il est le Roi qui sert, combat les puissances démoniaques et triomphe. La résurrection marque sa victoire, et il est couronné de gloire en étant assis à la droite du Père (</w:t>
      </w:r>
      <w:hyperlink r:id="rId1334">
        <w:r>
          <w:rPr>
            <w:color w:val="0000EE"/>
            <w:u w:val="single"/>
          </w:rPr>
          <w:t>Ac 2.33–36</w:t>
        </w:r>
      </w:hyperlink>
      <w:r>
        <w:t xml:space="preserve">; voir </w:t>
      </w:r>
      <w:hyperlink r:id="rId2523">
        <w:r>
          <w:rPr>
            <w:color w:val="0000EE"/>
            <w:u w:val="single"/>
          </w:rPr>
          <w:t>1Co 15.25</w:t>
        </w:r>
      </w:hyperlink>
      <w:r>
        <w:t>). Étant le Sauveur, il n'est autre que Christ le Seigneur. La prédication apostolique primitive proclamait que Jésus est le Messie de Dieu et le Seigneur. La seigneurie de Jésus est corrélative au fait qu'il est le Messie. Pour ceux qui l'invoquent, il est le Sauveur-Messie-Seigneur (</w:t>
      </w:r>
      <w:hyperlink r:id="rId13283">
        <w:r>
          <w:rPr>
            <w:color w:val="0000EE"/>
            <w:u w:val="single"/>
          </w:rPr>
          <w:t>Rm 10.9–15</w:t>
        </w:r>
      </w:hyperlink>
      <w:r>
        <w:t xml:space="preserve">), mais pour ceux qui le rejettent, il est le guerrier divin, devant qui tous les genoux fléchiront et qui introduira l'ère du jugement du Père (cf. </w:t>
      </w:r>
      <w:hyperlink r:id="rId13284">
        <w:r>
          <w:rPr>
            <w:color w:val="0000EE"/>
            <w:u w:val="single"/>
          </w:rPr>
          <w:t>Ap 1.12–16</w:t>
        </w:r>
      </w:hyperlink>
      <w:r>
        <w:t xml:space="preserve">; </w:t>
      </w:r>
      <w:hyperlink r:id="rId13285">
        <w:r>
          <w:rPr>
            <w:color w:val="0000EE"/>
            <w:u w:val="single"/>
          </w:rPr>
          <w:t>19.11–21</w:t>
        </w:r>
      </w:hyperlink>
      <w:r>
        <w:t>).</w:t>
      </w:r>
    </w:p>
    <w:p>
      <w:r/>
      <w:r>
        <w:t>Jésus a enseigné à ses disciples qu'à sa venue dans la gloire, il serait assis sur son trône et toute l'humanité lui rendrait hommage. Les ennemis de Dieu seront chassés de sa présence, et le peuple de Dieu héritera pleinement du royaume (</w:t>
      </w:r>
      <w:hyperlink r:id="rId7838">
        <w:r>
          <w:rPr>
            <w:color w:val="0000EE"/>
            <w:u w:val="single"/>
          </w:rPr>
          <w:t>Mt 25.31–46</w:t>
        </w:r>
      </w:hyperlink>
      <w:r>
        <w:t>). Conformément à l'enseignement de Jésus, les membres de son corps, l'Église, sont censés réaliser l'idéal théocratique dans leur vie, afin que par leurs œuvres et leur foi, ils puissent glorifier le Père et montrer qu'ils lui appartiennent (</w:t>
      </w:r>
      <w:hyperlink r:id="rId13286">
        <w:r>
          <w:rPr>
            <w:color w:val="0000EE"/>
            <w:u w:val="single"/>
          </w:rPr>
          <w:t>Jn 17.20–26</w:t>
        </w:r>
      </w:hyperlink>
      <w:r>
        <w:t xml:space="preserve"> ; voir </w:t>
      </w:r>
      <w:hyperlink r:id="rId13287">
        <w:r>
          <w:rPr>
            <w:color w:val="0000EE"/>
            <w:u w:val="single"/>
          </w:rPr>
          <w:t>Mt 25.33–40</w:t>
        </w:r>
      </w:hyperlink>
      <w:r>
        <w:t>). Voilà à quoi ressemble un témoignage véritablement biblique ; témoignage qu'Israël n'a pas réussi à donner et que l'Église a le privilège de donner, comme Paul l'a écrit à Timothée :</w:t>
      </w:r>
    </w:p>
    <w:p>
      <w:r/>
      <w:r>
        <w:t>« Je te recommande, devant Dieu qui donne la vie à toutes choses, et devant Jésus-Christ [...] de vivre sans tache, sans reproche, jusqu’à l’apparition de notre Seigneur Jésus-Christ, que manifestera en son temps le bienheureux et seul souverain, le roi des rois, et le Seigneur des seigneurs, qui seul possède l’immortalité, qui habite une lumière inaccessible, que nul homme n’a vu ni ne peut voir, à qui appartiennent l’honneur et la puissance éternelle. Amen ! » (</w:t>
      </w:r>
      <w:hyperlink r:id="rId13288">
        <w:r>
          <w:rPr>
            <w:color w:val="0000EE"/>
            <w:u w:val="single"/>
          </w:rPr>
          <w:t>1Tm 6.13–16</w:t>
        </w:r>
      </w:hyperlink>
      <w:r>
        <w:t>)</w:t>
      </w:r>
    </w:p>
    <w:p>
      <w:r/>
      <w:r>
        <w:t>Paul donnera ensuite plusieurs instructions sur la manière dont le peuple de Dieu doit démontrer son allégeance à Jésus. Tout au long du livre de l'Apocalypse, Jésus est considéré comme Roi sur l'Église (</w:t>
      </w:r>
      <w:hyperlink r:id="rId13289">
        <w:r>
          <w:rPr>
            <w:color w:val="0000EE"/>
            <w:u w:val="single"/>
          </w:rPr>
          <w:t>Ap 4.2, 9–11</w:t>
        </w:r>
      </w:hyperlink>
      <w:r>
        <w:t xml:space="preserve"> ; </w:t>
      </w:r>
      <w:hyperlink r:id="rId13290">
        <w:r>
          <w:rPr>
            <w:color w:val="0000EE"/>
            <w:u w:val="single"/>
          </w:rPr>
          <w:t>5.1, 9–13</w:t>
        </w:r>
      </w:hyperlink>
      <w:r>
        <w:t>). À son retour, sa royauté sera établie. À ce moment-là, les ennemis de la croix verront celui qu'ils ont rejeté et se prosterneront devant le Roi messianique (</w:t>
      </w:r>
      <w:hyperlink r:id="rId13291">
        <w:r>
          <w:rPr>
            <w:color w:val="0000EE"/>
            <w:u w:val="single"/>
          </w:rPr>
          <w:t>1Co 15.25–28</w:t>
        </w:r>
      </w:hyperlink>
      <w:r>
        <w:t xml:space="preserve">). « </w:t>
      </w:r>
      <w:r>
        <w:t>Ensuite viendra la fin, quand [Jésus] remettra le royaume à celui qui est Dieu et Père, après avoir détruit toute domination, toute autorité et toute puissance</w:t>
      </w:r>
      <w:r>
        <w:t xml:space="preserve"> » (v. </w:t>
      </w:r>
      <w:hyperlink r:id="rId13292">
        <w:r>
          <w:rPr>
            <w:color w:val="0000EE"/>
            <w:u w:val="single"/>
          </w:rPr>
          <w:t>24</w:t>
        </w:r>
      </w:hyperlink>
      <w:r>
        <w:t>).</w:t>
      </w:r>
    </w:p>
    <w:p>
      <w:r/>
      <w:r>
        <w:rPr>
          <w:i/>
        </w:rPr>
        <w:t>Voir aussi</w:t>
      </w:r>
      <w:r>
        <w:t xml:space="preserve"> </w:t>
      </w:r>
      <w:r>
        <w:t>Israël, Histoire d'</w:t>
      </w:r>
      <w:r>
        <w:t xml:space="preserve"> ; </w:t>
      </w:r>
      <w:r>
        <w:t>Royaume de Dieu, Royaume des cieux</w:t>
      </w:r>
      <w:r>
        <w:t>.</w:t>
      </w:r>
      <w:r/>
      <w:r/>
    </w:p>
    <w:p>
      <w:r/>
    </w:p>
    <w:p>
      <w:pPr>
        <w:pStyle w:val="Heading2"/>
      </w:pPr>
      <w:r>
        <w:t>Rome, ville de</w:t>
      </w:r>
      <w:r/>
    </w:p>
    <w:p>
      <w:r/>
      <w:r>
        <w:t>Ville d'Italie fondée, selon la tradition, en 753 av. J.-C. sur sept collines à environ 24 kilomètres de l'embouchure du fleuve Tibre. D'un point de vue biblique, elle ne présente aucun intérêt jusqu'à l'époque du Nouveau Testament (NT). Il y a neuf références explicites à la ville dans le NT (</w:t>
      </w:r>
      <w:hyperlink r:id="rId3539">
        <w:r>
          <w:rPr>
            <w:color w:val="0000EE"/>
            <w:u w:val="single"/>
          </w:rPr>
          <w:t xml:space="preserve">Ac 2.10 </w:t>
        </w:r>
      </w:hyperlink>
      <w:r>
        <w:t xml:space="preserve">; </w:t>
      </w:r>
      <w:hyperlink r:id="rId1614">
        <w:r>
          <w:rPr>
            <w:color w:val="0000EE"/>
            <w:u w:val="single"/>
          </w:rPr>
          <w:t xml:space="preserve">18.2 </w:t>
        </w:r>
      </w:hyperlink>
      <w:r>
        <w:t xml:space="preserve">; </w:t>
      </w:r>
      <w:hyperlink r:id="rId8264">
        <w:r>
          <w:rPr>
            <w:color w:val="0000EE"/>
            <w:u w:val="single"/>
          </w:rPr>
          <w:t xml:space="preserve">19.21 </w:t>
        </w:r>
      </w:hyperlink>
      <w:r>
        <w:t xml:space="preserve">; </w:t>
      </w:r>
      <w:hyperlink r:id="rId13293">
        <w:r>
          <w:rPr>
            <w:color w:val="0000EE"/>
            <w:u w:val="single"/>
          </w:rPr>
          <w:t xml:space="preserve">23.11 </w:t>
        </w:r>
      </w:hyperlink>
      <w:r>
        <w:t xml:space="preserve">; </w:t>
      </w:r>
      <w:hyperlink r:id="rId13294">
        <w:r>
          <w:rPr>
            <w:color w:val="0000EE"/>
            <w:u w:val="single"/>
          </w:rPr>
          <w:t xml:space="preserve">28.14, 16 </w:t>
        </w:r>
      </w:hyperlink>
      <w:r>
        <w:t xml:space="preserve">; </w:t>
      </w:r>
      <w:hyperlink r:id="rId13295">
        <w:r>
          <w:rPr>
            <w:color w:val="0000EE"/>
            <w:u w:val="single"/>
          </w:rPr>
          <w:t xml:space="preserve">Rm 1.7, 15 </w:t>
        </w:r>
      </w:hyperlink>
      <w:r>
        <w:t xml:space="preserve">; </w:t>
      </w:r>
      <w:hyperlink r:id="rId13296">
        <w:r>
          <w:rPr>
            <w:color w:val="0000EE"/>
            <w:u w:val="single"/>
          </w:rPr>
          <w:t>2Tm 1.17</w:t>
        </w:r>
      </w:hyperlink>
      <w:r>
        <w:t>), mais le séjour de Paul là-bas et sa lettre aux chrétiens romains, probablement écrite depuis Corinthe vers 57 / 58 apr. J.-C., rend la ville impériale très intéressante pour les lecteurs de la Bible.</w:t>
      </w:r>
    </w:p>
    <w:p>
      <w:pPr>
        <w:pStyle w:val="Heading3"/>
      </w:pPr>
      <w:r>
        <w:t>Histoire</w:t>
      </w:r>
    </w:p>
    <w:p>
      <w:r/>
      <w:r>
        <w:t>Au 2</w:t>
      </w:r>
      <w:r>
        <w:t>ᵉ</w:t>
      </w:r>
      <w:r>
        <w:t xml:space="preserve"> millénaire av. J.-C., des migrants indo-européens s'installent en Europe et s'établissent dans la péninsule italienne. (Une péninsule est un pays ou une grande région entourée par la mer de tous les côtés sauf un ; c'est une grande presqu'île.) Un groupe de ces migrants s'installe autour de l'embouchure du Tibre. Un autre groupe de ces migrants, vigoureux et plus cultivé, les Étrusques d'Asie Mineure, occupent le centre de l'Italie. </w:t>
      </w:r>
    </w:p>
    <w:p>
      <w:r/>
      <w:r>
        <w:t>À l'époque où Rome s'élève au 8</w:t>
      </w:r>
      <w:r>
        <w:t>ᵉ</w:t>
      </w:r>
      <w:r>
        <w:t xml:space="preserve"> siècle av. J.-C., la population de la péninsule italienne est mixte. Le groupe de langue latine, à l'embouchure du Tibre, est composée d'agriculteurs. Les différents groupes dispersés forment des ligues et des communautés pour se défendre contre les pillards. Ils construisent des palissades sur les collines pour protéger les familles et les troupeaux tout en repoussant les brigands. </w:t>
      </w:r>
    </w:p>
    <w:p>
      <w:r/>
      <w:r>
        <w:t>C'est de ces débuts que Rome s'élève comme un corps dominant dont le centre se trouve dans la région des sept collines (le Palatin, le Capitole, l'Aventin, le Caelius, l'Esquilin, le Viminal et le Quirinal). Les références traditionnelles à ces collines en parlent comme étant au nombre de sept. En réalité, il y en a plus, mais certaines sont simplement des avancées plates ou plateaux. Le fleuve Tibre serpente en une grande courbe en S entre les collines. Puis il se divise pour former une île où il est suffisamment peu profond pour être traversé à gué (sans perdre pied, sans avoir à nager). La ville qui s'y développe est reliée par des routes, au nord vers les Étrusques, au sud vers les villes commerciales grecques, à l'ouest vers la côte, et à l'intérieur des terres vers les zones tribales des hautes terres. La connaissance de la Rome antique dépend en grande partie des découvertes archéologiques de vestiges de simples forts et de nombreux sites funéraires de la région.</w:t>
      </w:r>
    </w:p>
    <w:p>
      <w:r/>
      <w:r>
        <w:t>Rome se développe politiquement de manière remarquable au cours des 1 000 années suivantes. L'association libre des premiers chefs, qui constituent le premier « sénat », cède la place à la domination des rois étrusques qui semblent avoir dressé le peuple à la discipline et à l'obéissance. Ils construisent de nombreuses œuvres et drainent la zone du forum. Ils en font un centre social, commercial, industriel et politique. Ils construisent un temple pour Jupiter, Junon et Minerve sur la colline du Capitole comme sanctuaire pour tout le peuple. Lorsque ces rois deviennent des dictateurs, la population latine se révolte et les expulse.</w:t>
      </w:r>
    </w:p>
    <w:p>
      <w:r/>
      <w:r>
        <w:t xml:space="preserve">La république est établie en 510 av. J.-C. C'est le début du développement remarquable de Rome en un empire d'envergure mondiale. La population, maintenant dispersée sur les collines et les vallées, malgré les différences tribales, s'unit et résout les problèmes politiques sans effusion de sang. À proprement parler, le terme « républicain » ne doit pourtant pas être compris dans un sens moderne comme indiquant une sorte de démocratie. Au contraire, les anciennes familles (familles puissantes ou nobles) dominent le sénat et constituent une oligarchie. (Une oligarchie est un système politique où un petit nombre de personnes privilégiées détient le pouvoir.) </w:t>
      </w:r>
    </w:p>
    <w:p>
      <w:r/>
      <w:r>
        <w:t>Cet arrangement est utile à Rome à cette époque-là. La petite cité-État dépasse rapidement son domaine restreint, vainc les Étrusques et domine les villes grecques au sud. Les Romains se tournent ensuite plus loin vers le monde extérieur. En 273 av. J.-C., ils concluent un traité avec les Ptolémées d'Égypte. Peu de temps après, ils s'étendent en Afrique du Nord, vainquent les Carthaginois, et progressent jusqu'en Espagne. Leur ambition est d'occuper le Moyen-Orient. Les nombreuses conquêtes de Rome lui apportent d'énormes richesses.</w:t>
      </w:r>
    </w:p>
    <w:p>
      <w:r/>
      <w:r>
        <w:t>Des changement sociaux suivent ce développement géographique. Au cours du 2</w:t>
      </w:r>
      <w:r>
        <w:t>ᵉ</w:t>
      </w:r>
      <w:r>
        <w:t xml:space="preserve"> siècle av. J.-C., les riches propriétaires terriens rachètent les terres des petits agriculteurs indépendants. Ceux-ci se tournent alors vers Rome, sans terre et sans emploi. D'énormes immeubles surpeuplés apparaissent, formant des zones mal aménagées où les gens vivent misérablement. À côté de cette détresse, certains vivent dans le luxe qui provient de la vaste richesse tirée des conquêtes de Rome dans des terres lointaines. Dans la capitale, de nombreux bâtiments magnifiques sont construits. Pompée, qui a soumis et organisé l'Orient, fait beaucoup pour embellir la capitale.</w:t>
      </w:r>
    </w:p>
    <w:p>
      <w:r/>
      <w:r>
        <w:t>La prochaine étape du développement politique de Rome survient lorsque le sénat, qui dirige la république, se montre incapable de contrôler ses membres les plus radicaux et les plus violents. Les dirigeants les plus ambitieux cherchent le soutien populaire en accordant des privilèges au peuple sans l'accord du sénat. Des conflits civils éclatent et affectent le dernier siècle de la république romaine. Les victoires militaires au-delà de Rome donnent du pouvoir aux généraux. Dans les guerres civiles qui suivent, les questions constitutionnelles sont tranchées par la force des armes. Marius, Sylla, Pompée, Crassus, Jules César, Antoine et Octavien sont les véritables forces politiques du pays.</w:t>
      </w:r>
    </w:p>
    <w:p>
      <w:r/>
      <w:r>
        <w:t>En 27 av. J.-C., Octavien triomphe et reçoit le titre d'Auguste. En théorie, le sénat et Auguste (l'empereur) gouvernent ensemble. Cependant, la faiblesse du sénat permet à l'empereur de devenir un dirigeant quasi-absolu. La paix romaine (</w:t>
      </w:r>
      <w:r>
        <w:rPr>
          <w:i/>
        </w:rPr>
        <w:t>Pax Romana</w:t>
      </w:r>
      <w:r>
        <w:t>) règne au pays et à l'étranger jusqu'à bien après le 2</w:t>
      </w:r>
      <w:r>
        <w:t>ᵉ</w:t>
      </w:r>
      <w:r>
        <w:t xml:space="preserve"> siècle apr. J.-C. Les empereurs du premier siècle apr. J.-C. couvrent la période de la vie de Jésus et de l'Église naissante, et plusieurs sont mentionnés dans le NT : Auguste (</w:t>
      </w:r>
      <w:hyperlink r:id="rId2221">
        <w:r>
          <w:rPr>
            <w:color w:val="0000EE"/>
            <w:u w:val="single"/>
          </w:rPr>
          <w:t>Lc 2.1</w:t>
        </w:r>
      </w:hyperlink>
      <w:r>
        <w:t>), Tibère (</w:t>
      </w:r>
      <w:hyperlink r:id="rId2222">
        <w:r>
          <w:rPr>
            <w:color w:val="0000EE"/>
            <w:u w:val="single"/>
          </w:rPr>
          <w:t>Lc 3.1</w:t>
        </w:r>
      </w:hyperlink>
      <w:r>
        <w:t>), Claude (</w:t>
      </w:r>
      <w:hyperlink r:id="rId156">
        <w:r>
          <w:rPr>
            <w:color w:val="0000EE"/>
            <w:u w:val="single"/>
          </w:rPr>
          <w:t xml:space="preserve">Ac 11.28 </w:t>
        </w:r>
      </w:hyperlink>
      <w:r>
        <w:t xml:space="preserve">; </w:t>
      </w:r>
      <w:hyperlink r:id="rId1614">
        <w:r>
          <w:rPr>
            <w:color w:val="0000EE"/>
            <w:u w:val="single"/>
          </w:rPr>
          <w:t>18.2</w:t>
        </w:r>
      </w:hyperlink>
      <w:r>
        <w:t>) et Néron, qui est mentionné sans être explicitement nommé (</w:t>
      </w:r>
      <w:hyperlink r:id="rId174">
        <w:r>
          <w:rPr>
            <w:color w:val="0000EE"/>
            <w:u w:val="single"/>
          </w:rPr>
          <w:t xml:space="preserve">Ac 25.10–12 </w:t>
        </w:r>
      </w:hyperlink>
      <w:r>
        <w:t xml:space="preserve">; </w:t>
      </w:r>
      <w:hyperlink r:id="rId2224">
        <w:r>
          <w:rPr>
            <w:color w:val="0000EE"/>
            <w:u w:val="single"/>
          </w:rPr>
          <w:t xml:space="preserve">27.24 </w:t>
        </w:r>
      </w:hyperlink>
      <w:r>
        <w:t xml:space="preserve">; </w:t>
      </w:r>
      <w:hyperlink r:id="rId13297">
        <w:r>
          <w:rPr>
            <w:color w:val="0000EE"/>
            <w:u w:val="single"/>
          </w:rPr>
          <w:t>2Tm 4.16–17</w:t>
        </w:r>
      </w:hyperlink>
      <w:r>
        <w:t>).</w:t>
      </w:r>
    </w:p>
    <w:p>
      <w:r/>
      <w:r>
        <w:t xml:space="preserve">La ville de Rome est la capitale de l'empire et la demeure de l'empereur, des sénateurs, des administrateurs, du personnel militaire et des prêtres. La direction d'Auguste et ses efforts diplomatiques font de lui le premier des empereurs à apporter la paix à Rome après deux guerres civiles et un siècle de conflits. Il se consacre alors à la restauration et à l'embellissement de la ville. Il se vante d'avoir trouvé Rome construite en brique et de l'avoir quittée construite en marbre. Ses efforts pour restaurer les anciennes religions de Rome mènent à la construction de nombreux temples. Sur la colline du Palatin, Auguste unit plusieurs maisons déjà présentes en un palais qu'il réserve à son usage personnel. Un nouveau et somptueux temple d'Apollon, entouré de colonnades où l'empereur abrite une grande bibliothèque, est construit près du palais. Le palais lui-même domine un groupe imposant de nouveaux bâtiments en marbre dans la vallée en contrebas : une basilique, une maison du sénat, un temple du « divin Jules », une tribune en marbre, deux nouveaux forums impressionnants, le forum de César et le forum d'Auguste. </w:t>
      </w:r>
    </w:p>
    <w:p>
      <w:r/>
      <w:r>
        <w:t>Les empereurs suivants ajoutent à cette splendeur. Au-delà de la zone centrale du forum, les palais de Tibère et de Caligula, divers bains, arcs et théâtres, le Cirque Maxime et le Cirque de Néron sont construits. Le tout est entouré d'un mur construit à l'extérieur de l'ancien rempart de Servius. Plusieurs aqueducs (canaux) apportent de l'eau dans la ville, et des routes importantes venant du nord, du sud, de l'est et de l'ouest se rencontrent vers la zone centrale de la ville.</w:t>
      </w:r>
    </w:p>
    <w:p>
      <w:pPr>
        <w:pStyle w:val="Heading3"/>
      </w:pPr>
      <w:r>
        <w:t>Présence militaire en Palestine</w:t>
      </w:r>
    </w:p>
    <w:p>
      <w:r/>
      <w:r>
        <w:t>Avec l'intervention militaire de Pompée dans les affaires internes de la Judée en 63 av. J.-C., Rome établit sa présence en Palestine. Le recensement ordonné par César Auguste, touchant les provinces orientales ainsi que le reste du monde romain (</w:t>
      </w:r>
      <w:hyperlink r:id="rId2579">
        <w:r>
          <w:rPr>
            <w:color w:val="0000EE"/>
            <w:u w:val="single"/>
          </w:rPr>
          <w:t>Lc 2.1–2</w:t>
        </w:r>
      </w:hyperlink>
      <w:r>
        <w:t xml:space="preserve">), en est un vif rappel. La présence militaire romaine est amplement méditée dans les pages des Évangiles et du livre des Actes (p. ex. </w:t>
      </w:r>
      <w:hyperlink r:id="rId13298">
        <w:r>
          <w:rPr>
            <w:color w:val="0000EE"/>
            <w:u w:val="single"/>
          </w:rPr>
          <w:t xml:space="preserve">Mc 15.16 </w:t>
        </w:r>
      </w:hyperlink>
      <w:r>
        <w:t xml:space="preserve">; </w:t>
      </w:r>
      <w:hyperlink r:id="rId13299">
        <w:r>
          <w:rPr>
            <w:color w:val="0000EE"/>
            <w:u w:val="single"/>
          </w:rPr>
          <w:t xml:space="preserve">Lc 3.14 </w:t>
        </w:r>
      </w:hyperlink>
      <w:r>
        <w:t xml:space="preserve">; </w:t>
      </w:r>
      <w:hyperlink r:id="rId13300">
        <w:r>
          <w:rPr>
            <w:color w:val="0000EE"/>
            <w:u w:val="single"/>
          </w:rPr>
          <w:t xml:space="preserve">7.1–8 </w:t>
        </w:r>
      </w:hyperlink>
      <w:r>
        <w:t xml:space="preserve">; </w:t>
      </w:r>
      <w:hyperlink r:id="rId2226">
        <w:r>
          <w:rPr>
            <w:color w:val="0000EE"/>
            <w:u w:val="single"/>
          </w:rPr>
          <w:t>Ac 5.37</w:t>
        </w:r>
      </w:hyperlink>
      <w:r>
        <w:t>).</w:t>
      </w:r>
    </w:p>
    <w:p>
      <w:r/>
      <w:r>
        <w:t>À l'époque du NT, le service dans les légions est ouvert à tous les citoyens romains. Une armée professionnelle de volontaires a remplacé une milice conscrite (c'est-à-dire enrôlée par obligation). L'armée permanente est composée de légions recrutées parmi les citoyens. Les légions sont commandées par des officiers expérimentés du rang de consul. Les forces auxiliaires sont levées en dehors de l'Italie, avec l'offre de la citoyenneté romaine pour un soldat et ses descendants après 25 ans de service.</w:t>
      </w:r>
    </w:p>
    <w:p>
      <w:r/>
      <w:r>
        <w:t>Dans les provinces, le commandement militaire suprême appartient au gouverneur ou préfet provincial. En Judée, à l'époque du ministère public de Jésus, Ponce Pilate est désigné « préfet de Judée » dans une inscription latine trouvée à Césarée en 1961. Une ou plusieurs légions en garnison sont à la disposition du gouverneur au centre officiel de l'administration de la Judée, Césarée maritime (</w:t>
      </w:r>
      <w:r>
        <w:rPr>
          <w:i/>
        </w:rPr>
        <w:t>Caesarea Maritima</w:t>
      </w:r>
      <w:r>
        <w:t xml:space="preserve">). Lors d'occasions spéciales, notamment lors des grandes fêtes juives, lorsque des émeutes et des désordres sont anticipés, le gouverneur provincial prend ses quartiers à Jérusalem, à environ 96,5 kilomètres au sud de Césarée maritime Il est accompagné d'un contingent important de troupes (voir </w:t>
      </w:r>
      <w:hyperlink r:id="rId6434">
        <w:r>
          <w:rPr>
            <w:color w:val="0000EE"/>
            <w:u w:val="single"/>
          </w:rPr>
          <w:t>Lc 13.1</w:t>
        </w:r>
      </w:hyperlink>
      <w:r>
        <w:t>).</w:t>
      </w:r>
    </w:p>
    <w:p>
      <w:r/>
      <w:r>
        <w:t>Auguste établit une armée permanente suffisamment grande pour défendre et pacifier l'empire. En 15 av. J.-C., il y a 28 légions, chacune composée d'environ 5 000 fantassins (soldats de pied) plus une garde montée (soldats à cheval) de 128 hommes. Après la destruction de trois légions lors de soulèvements par de féroces tribus germaniques en 9 apr. J.-C., son nombre ne dépasse pas 25 pendant un certain temps. Cela suggère tout de même une armée permanente d'environ 125 000 légionnaires au premier siècle.</w:t>
      </w:r>
    </w:p>
    <w:p>
      <w:r/>
      <w:r>
        <w:t>Auguste est également responsable de l'établissement d'une armée auxiliaire permanente, presque de la même taille que l'armée légionnaire. Les forces auxiliaires, recrutées parmi les provinciaux qui n'ont pas encore la citoyenneté romaine, comprend à la fois cavalerie et infanterie. La cavalerie est organisée en escadrons, et l'infanterie en cohortes de 1 000 sous le commandement d'un tribun militaire (</w:t>
      </w:r>
      <w:hyperlink r:id="rId13301">
        <w:r>
          <w:rPr>
            <w:color w:val="0000EE"/>
            <w:u w:val="single"/>
          </w:rPr>
          <w:t>Ac 21.31–33</w:t>
        </w:r>
      </w:hyperlink>
      <w:r>
        <w:t>). Lorsque l'apôtre Paul est à Jérusalem, le tribun s'appelle Claude Lysias. C'est un Grec qui a acheté la citoyenneté romaine, lui permettant d'accéder au rang de tribun, ou commandant d'une cohorte auxiliaire (</w:t>
      </w:r>
      <w:hyperlink r:id="rId2697">
        <w:r>
          <w:rPr>
            <w:color w:val="0000EE"/>
            <w:u w:val="single"/>
          </w:rPr>
          <w:t xml:space="preserve">22.28 </w:t>
        </w:r>
      </w:hyperlink>
      <w:r>
        <w:t xml:space="preserve">; </w:t>
      </w:r>
      <w:hyperlink r:id="rId137">
        <w:r>
          <w:rPr>
            <w:color w:val="0000EE"/>
            <w:u w:val="single"/>
          </w:rPr>
          <w:t>23.26</w:t>
        </w:r>
      </w:hyperlink>
      <w:r>
        <w:t>). Pour envoyer Paul de Jérusalem à Césarée, Claude peut envoyer une escorte militaire de 200 soldats commandés par deux centurions, plus 70 gardes montés (</w:t>
      </w:r>
      <w:hyperlink r:id="rId13302">
        <w:r>
          <w:rPr>
            <w:color w:val="0000EE"/>
            <w:u w:val="single"/>
          </w:rPr>
          <w:t>23.23</w:t>
        </w:r>
      </w:hyperlink>
      <w:r>
        <w:t>), sans pour autant dangereusement affaiblir la garnison de la forteresse.</w:t>
      </w:r>
    </w:p>
    <w:p>
      <w:r/>
      <w:r>
        <w:t>Une cohorte est composée de dix ou cinq « centuries ». Une centurie est une unité de 100 hommes sous le commandement d'un centurion dont les fonctions ressemblent à celles d'un capitaine de l'armée moderne. Corneille (</w:t>
      </w:r>
      <w:hyperlink r:id="rId2846">
        <w:r>
          <w:rPr>
            <w:color w:val="0000EE"/>
            <w:u w:val="single"/>
          </w:rPr>
          <w:t>Ac 10.1</w:t>
        </w:r>
      </w:hyperlink>
      <w:r>
        <w:t>) est un centurion romain nommé à l'une des cohortes auxiliaires en Judée. Une inscription a été trouvée qui confirme la présence de son unité, « la deuxième cohorte italienne de citoyens romains » en Syrie vers 69 apr. J.-C. Paul est envoyé à Rome sous la garde d'un autre centurion, Julius, qui appartient à la cohorte impériale ou cohorte Auguste (</w:t>
      </w:r>
      <w:hyperlink r:id="rId132">
        <w:r>
          <w:rPr>
            <w:color w:val="0000EE"/>
            <w:u w:val="single"/>
          </w:rPr>
          <w:t>27.1</w:t>
        </w:r>
      </w:hyperlink>
      <w:r>
        <w:t xml:space="preserve">). Le terme « Auguste » est un titre d'honneur parfois accordé aux troupes auxiliaires. Julius est de toute évidence un centurion légionnaire affecté au corps des officiers chargés de la communication entre l'empereur et ses armées provinciales. Il commande un détachement de soldats lors du voyage à Rome (v. </w:t>
      </w:r>
      <w:hyperlink r:id="rId8014">
        <w:r>
          <w:rPr>
            <w:color w:val="0000EE"/>
            <w:u w:val="single"/>
          </w:rPr>
          <w:t>3</w:t>
        </w:r>
      </w:hyperlink>
      <w:r>
        <w:t>). À son arrivée, son prisonnier est placé sous bonne garde (</w:t>
      </w:r>
      <w:hyperlink r:id="rId8017">
        <w:r>
          <w:rPr>
            <w:color w:val="0000EE"/>
            <w:u w:val="single"/>
          </w:rPr>
          <w:t>28.16</w:t>
        </w:r>
      </w:hyperlink>
      <w:r>
        <w:t>). Il est probable que tous les centurions romains mentionnés dans les Évangiles ou les Actes (</w:t>
      </w:r>
      <w:hyperlink r:id="rId13303">
        <w:r>
          <w:rPr>
            <w:color w:val="0000EE"/>
            <w:u w:val="single"/>
          </w:rPr>
          <w:t>Mt 8.5</w:t>
        </w:r>
      </w:hyperlink>
      <w:r>
        <w:t xml:space="preserve"> ; </w:t>
      </w:r>
      <w:hyperlink r:id="rId13304">
        <w:r>
          <w:rPr>
            <w:color w:val="0000EE"/>
            <w:u w:val="single"/>
          </w:rPr>
          <w:t>Mc 15.39</w:t>
        </w:r>
      </w:hyperlink>
      <w:r>
        <w:t xml:space="preserve"> ; </w:t>
      </w:r>
      <w:hyperlink r:id="rId11677">
        <w:r>
          <w:rPr>
            <w:color w:val="0000EE"/>
            <w:u w:val="single"/>
          </w:rPr>
          <w:t>Lc 7.2</w:t>
        </w:r>
      </w:hyperlink>
      <w:r>
        <w:t>) aient été des officiers affectés à une cohorte auxiliaire.</w:t>
      </w:r>
    </w:p>
    <w:p>
      <w:pPr>
        <w:pStyle w:val="Heading3"/>
      </w:pPr>
      <w:r>
        <w:t>Les chrétiens de Rome</w:t>
      </w:r>
    </w:p>
    <w:p>
      <w:r/>
      <w:r>
        <w:t xml:space="preserve">C'est dans cette ville magnifique que Paul arrive sous escorte en mars 59 apr. J.-C. Il y trouve une Église chrétienne déjà établie. Il avait déjà communiqué avec ces chrétiens dans une lettre (son épître aux Romains) au début de l'année 57. </w:t>
      </w:r>
    </w:p>
    <w:p>
      <w:r/>
      <w:r>
        <w:t xml:space="preserve">Il y a une importante communauté juive à Rome au premier siècle apr. J.-C. Il s'agit probablement des descendants du grand nombre d'esclaves juifs amenés à Rome par Pompée après la capture de Jérusalem en 63 av. J.-C. L'empereur Claude expulse les Juifs de Rome en 49 apr. J.-C., peut-être quand Jésus est annoncé comme Messie dans les synagogues. On ne sait pas qui sont les prédicateurs, mais il s'agit probablement de voyageurs et de commerçants chrétiens. </w:t>
      </w:r>
    </w:p>
    <w:p>
      <w:r/>
      <w:r>
        <w:t>La lettre de Paul aux Romains est son exposé aux Églises païennes qui sont apparues indépendamment de lui. Son premier contact connu avec les habitants de Rome est sa rencontre avec Aquilas et Priscille à Corinthe (</w:t>
      </w:r>
      <w:hyperlink r:id="rId1614">
        <w:r>
          <w:rPr>
            <w:color w:val="0000EE"/>
            <w:u w:val="single"/>
          </w:rPr>
          <w:t>Ac 18.2</w:t>
        </w:r>
      </w:hyperlink>
      <w:r>
        <w:t xml:space="preserve">). Ce couple a été expulsé de Rome à l'époque de Claude. </w:t>
      </w:r>
    </w:p>
    <w:p>
      <w:r/>
      <w:r>
        <w:t>Plus tard, Paul espère rendre visite à l'Église de Rome (</w:t>
      </w:r>
      <w:hyperlink r:id="rId8264">
        <w:r>
          <w:rPr>
            <w:color w:val="0000EE"/>
            <w:u w:val="single"/>
          </w:rPr>
          <w:t>Ac 19.21</w:t>
        </w:r>
      </w:hyperlink>
      <w:r>
        <w:t>) en route vers l'Espagne (</w:t>
      </w:r>
      <w:hyperlink r:id="rId13305">
        <w:r>
          <w:rPr>
            <w:color w:val="0000EE"/>
            <w:u w:val="single"/>
          </w:rPr>
          <w:t>Rm 15.24</w:t>
        </w:r>
      </w:hyperlink>
      <w:r>
        <w:t xml:space="preserve">). Dans sa salutation, il mentionne un grand nombre de chrétiens à Rome (chap. </w:t>
      </w:r>
      <w:hyperlink r:id="rId8267">
        <w:r>
          <w:rPr>
            <w:color w:val="0000EE"/>
            <w:u w:val="single"/>
          </w:rPr>
          <w:t>16</w:t>
        </w:r>
      </w:hyperlink>
      <w:r>
        <w:t xml:space="preserve">). Les références à plusieurs foyers (v. </w:t>
      </w:r>
      <w:hyperlink r:id="rId13306">
        <w:r>
          <w:rPr>
            <w:color w:val="0000EE"/>
            <w:u w:val="single"/>
          </w:rPr>
          <w:t>5, 10, 11, 14, 15</w:t>
        </w:r>
      </w:hyperlink>
      <w:r>
        <w:t xml:space="preserve">) suggèrent des Églises de maison au sein de l'Église chrétienne romaine. </w:t>
      </w:r>
    </w:p>
    <w:p>
      <w:r/>
      <w:r>
        <w:t>Pendant sa captivité, Paul est prisonnier des autorités romaines, mais il est autorisé à rencontrer les dirigeants juifs locaux. Il leur explique son expérience et leur expose l'Évangile en personne (</w:t>
      </w:r>
      <w:hyperlink r:id="rId146">
        <w:r>
          <w:rPr>
            <w:color w:val="0000EE"/>
            <w:u w:val="single"/>
          </w:rPr>
          <w:t>Ac 28.16–31</w:t>
        </w:r>
      </w:hyperlink>
      <w:r>
        <w:t>).</w:t>
      </w:r>
    </w:p>
    <w:p>
      <w:r/>
      <w:r>
        <w:t>Dans le livre de l'Apocalypse, le nom de Rome prend une signification sinistre. À la fin du premier siècle apr. J.-C., Rome a déjà bu le « sang des martyrs de Jésus » (</w:t>
      </w:r>
      <w:hyperlink r:id="rId13307">
        <w:r>
          <w:rPr>
            <w:color w:val="0000EE"/>
            <w:u w:val="single"/>
          </w:rPr>
          <w:t>Ap 17.6</w:t>
        </w:r>
      </w:hyperlink>
      <w:r>
        <w:t>), une référence aux premiers martyrs.</w:t>
      </w:r>
    </w:p>
    <w:p>
      <w:r/>
      <w:r>
        <w:rPr>
          <w:i/>
        </w:rPr>
        <w:t>Voir aussi</w:t>
      </w:r>
      <w:r>
        <w:t xml:space="preserve"> </w:t>
      </w:r>
      <w:r>
        <w:t>Césars, les</w:t>
      </w:r>
      <w:r>
        <w:t xml:space="preserve"> ; </w:t>
      </w:r>
      <w:r>
        <w:t>Romains, Lettre aux</w:t>
      </w:r>
      <w:r>
        <w:t>.</w:t>
      </w:r>
      <w:r/>
      <w:r/>
    </w:p>
    <w:p>
      <w:r/>
    </w:p>
    <w:p>
      <w:pPr>
        <w:pStyle w:val="Heading2"/>
      </w:pPr>
      <w:r>
        <w:t>Rosée</w:t>
      </w:r>
      <w:r/>
    </w:p>
    <w:p>
      <w:r/>
      <w:r>
        <w:t xml:space="preserve">La rosée est l'eau qui se forme sur les surfaces pendant la nuit lorsque l'air chaud se refroidit. On peut généralement voir la rosée sous forme de petites gouttes d'eau sur les plantes et d'autres surfaces tôt le matin. </w:t>
        <w:br/>
        <w:br/>
      </w:r>
      <w:r>
        <w:t>Au Proche-Orient Ancien, la rosée était très importante. Elle fournissait l'eau nécessaire dans les zones chaudes et sèches où la pluie était rare. Les plantes avaient besoin de rosée pour pousser, et les agriculteurs en dépendaient pour de bonnes récoltes (</w:t>
      </w:r>
      <w:hyperlink r:id="rId13308">
        <w:r>
          <w:rPr>
            <w:color w:val="0000EE"/>
            <w:u w:val="single"/>
          </w:rPr>
          <w:t>Ag 1.10</w:t>
        </w:r>
      </w:hyperlink>
      <w:r>
        <w:t>). La Bible mentionne souvent la rosée et la pluie ensemble comme des dons précieux de Dieu (</w:t>
      </w:r>
      <w:hyperlink r:id="rId13185">
        <w:r>
          <w:rPr>
            <w:color w:val="0000EE"/>
            <w:u w:val="single"/>
          </w:rPr>
          <w:t>1R 17.1</w:t>
        </w:r>
      </w:hyperlink>
      <w:r>
        <w:t>). La rosée a joué un rôle important lors de l'Exode, lorsque Dieu a conduit les Israélites hors d'Égypte. Elle a aidé à fournir de la nourriture pour le peuple dans le désert (</w:t>
      </w:r>
      <w:hyperlink r:id="rId13309">
        <w:r>
          <w:rPr>
            <w:color w:val="0000EE"/>
            <w:u w:val="single"/>
          </w:rPr>
          <w:t>Ex 16.13–21</w:t>
        </w:r>
      </w:hyperlink>
      <w:r>
        <w:t xml:space="preserve"> ; </w:t>
      </w:r>
      <w:hyperlink r:id="rId13310">
        <w:r>
          <w:rPr>
            <w:color w:val="0000EE"/>
            <w:u w:val="single"/>
          </w:rPr>
          <w:t>Nb 11.9</w:t>
        </w:r>
      </w:hyperlink>
      <w:r>
        <w:t>).</w:t>
      </w:r>
    </w:p>
    <w:p>
      <w:r/>
      <w:r>
        <w:t>La Bible utilise le mot « rosée » comme une image de plusieurs choses différentes :</w:t>
      </w:r>
    </w:p>
    <w:p>
      <w:pPr>
        <w:pStyle w:val="ListBullet"/>
        <w:spacing w:line="240" w:lineRule="auto"/>
        <w:ind w:left="720"/>
      </w:pPr>
      <w:r/>
      <w:r>
        <w:t>La rosée est parfois un symbole de bénédiction. Par exemple, Isaac a béni Jacob en demandant que « la rosée du ciel » lui soit donnée (</w:t>
      </w:r>
      <w:hyperlink r:id="rId13311">
        <w:r>
          <w:rPr>
            <w:color w:val="0000EE"/>
            <w:u w:val="single"/>
          </w:rPr>
          <w:t>Gn 27.28</w:t>
        </w:r>
      </w:hyperlink>
      <w:r>
        <w:t xml:space="preserve"> ; voir </w:t>
      </w:r>
      <w:hyperlink r:id="rId2665">
        <w:r>
          <w:rPr>
            <w:color w:val="0000EE"/>
            <w:u w:val="single"/>
          </w:rPr>
          <w:t>Dt 33.13</w:t>
        </w:r>
      </w:hyperlink>
      <w:r>
        <w:t xml:space="preserve"> ; </w:t>
      </w:r>
      <w:hyperlink r:id="rId13312">
        <w:r>
          <w:rPr>
            <w:color w:val="0000EE"/>
            <w:u w:val="single"/>
          </w:rPr>
          <w:t>Mi 5.7</w:t>
        </w:r>
      </w:hyperlink>
      <w:r>
        <w:t>).</w:t>
      </w:r>
    </w:p>
    <w:p>
      <w:pPr>
        <w:pStyle w:val="ListBullet"/>
        <w:spacing w:line="240" w:lineRule="auto"/>
        <w:ind w:left="720"/>
      </w:pPr>
      <w:r/>
      <w:r>
        <w:t>La rosée était également un symbole de rafraîchissement, de renouveau ou de prospérité (</w:t>
      </w:r>
      <w:hyperlink r:id="rId2074">
        <w:r>
          <w:rPr>
            <w:color w:val="0000EE"/>
            <w:u w:val="single"/>
          </w:rPr>
          <w:t>Jb 29.19</w:t>
        </w:r>
      </w:hyperlink>
      <w:r>
        <w:t xml:space="preserve"> ; </w:t>
      </w:r>
      <w:hyperlink r:id="rId13313">
        <w:r>
          <w:rPr>
            <w:color w:val="0000EE"/>
            <w:u w:val="single"/>
          </w:rPr>
          <w:t>Os 14.5</w:t>
        </w:r>
      </w:hyperlink>
      <w:r>
        <w:t>).</w:t>
      </w:r>
    </w:p>
    <w:p>
      <w:pPr>
        <w:pStyle w:val="ListBullet"/>
        <w:spacing w:line="240" w:lineRule="auto"/>
        <w:ind w:left="720"/>
      </w:pPr>
      <w:r/>
      <w:r>
        <w:t>La faveur d'un roi était comparée à la rosée sur l'herbe (</w:t>
      </w:r>
      <w:hyperlink r:id="rId13314">
        <w:r>
          <w:rPr>
            <w:color w:val="0000EE"/>
            <w:u w:val="single"/>
          </w:rPr>
          <w:t>Pr 19.12</w:t>
        </w:r>
      </w:hyperlink>
      <w:r>
        <w:t>).</w:t>
      </w:r>
    </w:p>
    <w:p>
      <w:pPr>
        <w:pStyle w:val="ListBullet"/>
        <w:spacing w:line="240" w:lineRule="auto"/>
        <w:ind w:left="720"/>
      </w:pPr>
      <w:r/>
      <w:r>
        <w:t>La rosée pourrait représenter quelque chose qui vient discrètement. Comme la rosée se forme silencieusement la nuit, elle était utilisée pour décrire des actions secrètes et silencieuses (</w:t>
      </w:r>
      <w:hyperlink r:id="rId13315">
        <w:r>
          <w:rPr>
            <w:color w:val="0000EE"/>
            <w:u w:val="single"/>
          </w:rPr>
          <w:t>2S 17.12</w:t>
        </w:r>
      </w:hyperlink>
      <w:r>
        <w:t>).</w:t>
      </w:r>
    </w:p>
    <w:p>
      <w:pPr>
        <w:pStyle w:val="ListBullet"/>
        <w:spacing w:line="240" w:lineRule="auto"/>
        <w:ind w:left="720"/>
      </w:pPr>
      <w:r/>
      <w:r>
        <w:t>La rosée est également un symbole de quelque chose qui disparaît rapidement. Puisque la rosée s'évapore rapidement au soleil du matin, elle était utilisée pour décrire des choses qui ne durent pas longtemps (</w:t>
      </w:r>
      <w:hyperlink r:id="rId13316">
        <w:r>
          <w:rPr>
            <w:color w:val="0000EE"/>
            <w:u w:val="single"/>
          </w:rPr>
          <w:t>Os 6.4</w:t>
        </w:r>
      </w:hyperlink>
      <w:r>
        <w:t>).</w:t>
      </w:r>
    </w:p>
    <w:p>
      <w:r/>
      <w:r>
        <w:t>Dans l'un des psaumes de David, il est écrit que Dieu donnerait de nouvelles forces comme la rosée du matin (</w:t>
      </w:r>
      <w:hyperlink r:id="rId13317">
        <w:r>
          <w:rPr>
            <w:color w:val="0000EE"/>
            <w:u w:val="single"/>
          </w:rPr>
          <w:t>Ps 110.3</w:t>
        </w:r>
      </w:hyperlink>
      <w:r>
        <w:t>).</w:t>
      </w:r>
      <w:r/>
      <w:r/>
    </w:p>
    <w:p>
      <w:r/>
    </w:p>
    <w:p>
      <w:pPr>
        <w:pStyle w:val="Heading2"/>
      </w:pPr>
      <w:r>
        <w:t>Route royale</w:t>
      </w:r>
      <w:r/>
    </w:p>
    <w:p>
      <w:r/>
      <w:r>
        <w:t>Route qui traverse le plateau transjordanien du nord au sud. Elle est mentionnée dans l'Ancien Testament à deux reprises seulement : lorsque les Israélites demandent à l'utiliser en passant par Édom (</w:t>
      </w:r>
      <w:hyperlink r:id="rId10692">
        <w:r>
          <w:rPr>
            <w:color w:val="0000EE"/>
            <w:u w:val="single"/>
          </w:rPr>
          <w:t>Nb 20.17</w:t>
        </w:r>
      </w:hyperlink>
      <w:r>
        <w:t>) et par le royaume amoréen de Hesbon (</w:t>
      </w:r>
      <w:hyperlink r:id="rId4482">
        <w:r>
          <w:rPr>
            <w:color w:val="0000EE"/>
            <w:u w:val="single"/>
          </w:rPr>
          <w:t>21.22</w:t>
        </w:r>
      </w:hyperlink>
      <w:r>
        <w:t>). L'itinéraire peut également être appelé simplement « la grande route » (</w:t>
      </w:r>
      <w:hyperlink r:id="rId13318">
        <w:r>
          <w:rPr>
            <w:color w:val="0000EE"/>
            <w:u w:val="single"/>
          </w:rPr>
          <w:t>20.19</w:t>
        </w:r>
      </w:hyperlink>
      <w:r>
        <w:t>). Le segment nord est appelé « le chemin de Basan » (</w:t>
      </w:r>
      <w:hyperlink r:id="rId13319">
        <w:r>
          <w:rPr>
            <w:color w:val="0000EE"/>
            <w:u w:val="single"/>
          </w:rPr>
          <w:t>Nb 21.33</w:t>
        </w:r>
      </w:hyperlink>
      <w:r>
        <w:t xml:space="preserve"> ; </w:t>
      </w:r>
      <w:hyperlink r:id="rId13320">
        <w:r>
          <w:rPr>
            <w:color w:val="0000EE"/>
            <w:u w:val="single"/>
          </w:rPr>
          <w:t>Dt 3.1</w:t>
        </w:r>
      </w:hyperlink>
      <w:r>
        <w:t>).</w:t>
      </w:r>
    </w:p>
    <w:p>
      <w:r/>
      <w:r>
        <w:t>Ce voie majeure reliait Damas à la route des caravanes traversant le Hijaz jusqu'au sud de l'Arabie et aux riches sources d'épices, de parfums et d'autres produits exotiques (</w:t>
      </w:r>
      <w:hyperlink r:id="rId2183">
        <w:r>
          <w:rPr>
            <w:color w:val="0000EE"/>
            <w:u w:val="single"/>
          </w:rPr>
          <w:t>1R 10.2</w:t>
        </w:r>
      </w:hyperlink>
      <w:r>
        <w:t xml:space="preserve"> ; </w:t>
      </w:r>
      <w:hyperlink r:id="rId13094">
        <w:r>
          <w:rPr>
            <w:color w:val="0000EE"/>
            <w:u w:val="single"/>
          </w:rPr>
          <w:t>Ez 27.22</w:t>
        </w:r>
      </w:hyperlink>
      <w:r>
        <w:t>). Le contrôle de cette route était un facteur clé dans la géopolitique d'Israël et de ses rivaux.</w:t>
      </w:r>
    </w:p>
    <w:p>
      <w:r/>
      <w:r>
        <w:t>La topographie locale limite les lignes de marche possibles à deux itinéraires parallèles. Un double bassin versant existe sur toute la longueur du plateau transjordanien. L'un est créé par les cours d'eau plus courts qui traversent les montagnes d'est en ouest ; ils laissent un bassin versant à environ 20 à 25 km à l'est de la vallée du Jourdain. Les cours d'eau plus grands, le Yarmouk, le Jabbok, l'Arnon et le Zered, commencent à environ 40 à 50 km à l'est, courant généralement vers le nord avant de s'incurver vers l'ouest. L'itinéraire qui les contourne à l'est doit suivre les franges du désert nord-arabique. Bien que ce dernier soit plus facile à suivre, il passe par moins de bonnes sources d'eau et de lieux d'habitation où des provisions pouvaient être obtenues. Le premier, sur le bassin versant occidental, avait suffisamment d'eau et était bordé de grandes villes. Cependant, les caravanes devaient négocier les canyons escarpés des quatre grands oueds.</w:t>
      </w:r>
    </w:p>
    <w:p>
      <w:r/>
      <w:r>
        <w:t xml:space="preserve">Le plus ancien récit mentionnant le tracé de cette route se trouve dans </w:t>
      </w:r>
      <w:hyperlink r:id="rId6009">
        <w:r>
          <w:rPr>
            <w:color w:val="0000EE"/>
            <w:u w:val="single"/>
          </w:rPr>
          <w:t>Genèse 14</w:t>
        </w:r>
      </w:hyperlink>
      <w:r>
        <w:t>. Les quatre rois partent d'Aschtaroth, la capitale de Basan, vers Cham dans le nord de Galaad, puis vers Shaveh-Kirjathaïm sur le plateau moabite, avant d'arriver au mont Séir et au chêne de Paran. Les patriarches passaient probablement toujours par ici lorsqu'ils voyageaient vers Canaan ; Jacob passera par Galaad (</w:t>
      </w:r>
      <w:hyperlink r:id="rId5864">
        <w:r>
          <w:rPr>
            <w:color w:val="0000EE"/>
            <w:u w:val="single"/>
          </w:rPr>
          <w:t>Gn 31.21</w:t>
        </w:r>
      </w:hyperlink>
      <w:r>
        <w:t>) et établira une base à Succoth avant de traverser le Jourdain vers Canaan (</w:t>
      </w:r>
      <w:hyperlink r:id="rId2101">
        <w:r>
          <w:rPr>
            <w:color w:val="0000EE"/>
            <w:u w:val="single"/>
          </w:rPr>
          <w:t>33.17</w:t>
        </w:r>
      </w:hyperlink>
      <w:r>
        <w:t>).</w:t>
      </w:r>
      <w:r/>
      <w:r/>
    </w:p>
    <w:p>
      <w:r/>
    </w:p>
    <w:p>
      <w:pPr>
        <w:pStyle w:val="Heading2"/>
      </w:pPr>
      <w:r>
        <w:t>Rufus</w:t>
      </w:r>
      <w:r/>
    </w:p>
    <w:p>
      <w:pPr>
        <w:pStyle w:val="ListNumber"/>
        <w:spacing w:line="240" w:lineRule="auto"/>
        <w:ind w:left="720"/>
      </w:pPr>
      <w:r/>
      <w:r>
        <w:t>Un des fils de Simon de Cyrène (</w:t>
      </w:r>
      <w:hyperlink r:id="rId524">
        <w:r>
          <w:rPr>
            <w:color w:val="0000EE"/>
            <w:u w:val="single"/>
          </w:rPr>
          <w:t>Mc 15.21</w:t>
        </w:r>
      </w:hyperlink>
      <w:r>
        <w:t>).</w:t>
      </w:r>
    </w:p>
    <w:p>
      <w:pPr>
        <w:pStyle w:val="ListNumber"/>
        <w:spacing w:line="240" w:lineRule="auto"/>
        <w:ind w:left="720"/>
      </w:pPr>
      <w:r/>
      <w:r>
        <w:t>Chrétien salué par Paul dans la lettre aux Romains. Paul exprime son affection pour la mère de celui-ci (</w:t>
      </w:r>
      <w:hyperlink r:id="rId13321">
        <w:r>
          <w:rPr>
            <w:color w:val="0000EE"/>
            <w:u w:val="single"/>
          </w:rPr>
          <w:t>Rm 16.13</w:t>
        </w:r>
      </w:hyperlink>
      <w:r>
        <w:t xml:space="preserve">). Il est possible que ce Rufus romain soit le même que le fils de Simon de Cyrène mentionné dans </w:t>
      </w:r>
      <w:hyperlink r:id="rId524">
        <w:r>
          <w:rPr>
            <w:color w:val="0000EE"/>
            <w:u w:val="single"/>
          </w:rPr>
          <w:t>Marc 15.21</w:t>
        </w:r>
      </w:hyperlink>
      <w:r>
        <w:t>.</w:t>
      </w:r>
      <w:r/>
      <w:r/>
    </w:p>
    <w:p>
      <w:r/>
    </w:p>
    <w:p>
      <w:pPr>
        <w:pStyle w:val="Heading2"/>
      </w:pPr>
      <w:r>
        <w:t>Ruth, Livre de</w:t>
      </w:r>
      <w:r/>
    </w:p>
    <w:p>
      <w:pPr>
        <w:pStyle w:val="Heading3"/>
      </w:pPr>
      <w:r>
        <w:t>Survol</w:t>
      </w:r>
    </w:p>
    <w:p>
      <w:r/>
      <w:r>
        <w:t>• Qui a écrit le Livre de Ruth ? Quand a-t-il été écrit ?</w:t>
      </w:r>
    </w:p>
    <w:p>
      <w:r/>
      <w:r>
        <w:t>• Pourquoi le Livre de Ruth a-t-il été écrit ?</w:t>
      </w:r>
    </w:p>
    <w:p>
      <w:r/>
      <w:r>
        <w:t>• De quoi parle le livre de Ruth ?</w:t>
      </w:r>
    </w:p>
    <w:p>
      <w:r/>
      <w:r>
        <w:t>• Quel est le message du livre de Ruth ?</w:t>
      </w:r>
    </w:p>
    <w:p>
      <w:pPr>
        <w:pStyle w:val="Heading3"/>
      </w:pPr>
      <w:r>
        <w:t>Qui a écrit le Livre de Ruth ? Quand a-t-il été écrit ?</w:t>
      </w:r>
    </w:p>
    <w:p>
      <w:r/>
      <w:r>
        <w:t>L'auteur du livre est inconnu. La question de savoir qui l'a écrit est liée à la période à laquelle il a été rédigé. Quelques éléments dans le texte peuvent nous aider à répondre à cette question.</w:t>
      </w:r>
    </w:p>
    <w:p>
      <w:r/>
      <w:hyperlink r:id="rId3568">
        <w:r>
          <w:rPr>
            <w:color w:val="0000EE"/>
            <w:u w:val="single"/>
          </w:rPr>
          <w:t xml:space="preserve">Ruth 4.18–22 </w:t>
        </w:r>
      </w:hyperlink>
      <w:r>
        <w:t>nous indique que Ruth était l'arrière-grand-mère du roi David. Cela soutient l'idée que le livre a probablement été écrit après le début du règne de David.</w:t>
      </w:r>
    </w:p>
    <w:p>
      <w:r/>
      <w:r>
        <w:t>Comme le livre de Ruth n'approuve pas des mariages étrangers, il est probable qu'il n'ait pas été écrit au moment où Salomon a commencé sa politique de mariages étrangers.</w:t>
      </w:r>
    </w:p>
    <w:p>
      <w:r/>
      <w:r>
        <w:t xml:space="preserve">De plus, l'amitié de David avec Moab pourrait avoir inspiré quelqu'un dans son royaume à écrire le livre, fournissant des raisons pour les actions de David (voir </w:t>
      </w:r>
      <w:hyperlink r:id="rId13322">
        <w:r>
          <w:rPr>
            <w:color w:val="0000EE"/>
            <w:u w:val="single"/>
          </w:rPr>
          <w:t>1S 22.3–5</w:t>
        </w:r>
      </w:hyperlink>
      <w:r>
        <w:t>). Par conséquent, l'auteur pourrait avoir été proche de David, possiblement Samuel, Nathan ou Abiathar.</w:t>
      </w:r>
    </w:p>
    <w:p>
      <w:r/>
      <w:r>
        <w:t>Le récit commence par la phrase : « Du temps des juges ». La période des juges a probablement duré environ 300 ans. Elle a commencé avec Othniel et s'est terminée avec Samson, bien que Samuel ait également servi comme juge.</w:t>
      </w:r>
    </w:p>
    <w:p>
      <w:r/>
      <w:r>
        <w:t xml:space="preserve">Si le registre familial dans </w:t>
      </w:r>
      <w:hyperlink r:id="rId3568">
        <w:r>
          <w:rPr>
            <w:color w:val="0000EE"/>
            <w:u w:val="single"/>
          </w:rPr>
          <w:t>Ruth 4.18–22</w:t>
        </w:r>
      </w:hyperlink>
      <w:r>
        <w:t xml:space="preserve"> est complet, ces événements se sont produits pendant la vie de l'arrière-grand-père de David et marquent la naissance de son grand-père. En supposant que chaque génération s'étend sur trente-cinq années, ces événements se sont probablement déroulés au début du 9e siècle av. J.‑C., soit environ cent ans avant la naissance de David.</w:t>
      </w:r>
    </w:p>
    <w:p>
      <w:pPr>
        <w:pStyle w:val="Heading3"/>
      </w:pPr>
      <w:r>
        <w:t>Pourquoi le livre de Ruth a-t-il été écrit ?</w:t>
      </w:r>
    </w:p>
    <w:p>
      <w:r/>
      <w:r>
        <w:t>Le but du livre dépend de la période à laquelle il a été écrit. Si le livre a été rédigé peu après la mort de David, il est probable qu'il vise à prouver que sa famille (la lignée davidique) était la famille royale choisie. Le livre peut également justifier l'inclusion de la pieuse femme moabite dans la nation d'Israël.</w:t>
      </w:r>
    </w:p>
    <w:p>
      <w:pPr>
        <w:pStyle w:val="Heading3"/>
      </w:pPr>
      <w:r>
        <w:t>De quoi parle le livre de Ruth ?</w:t>
      </w:r>
    </w:p>
    <w:p>
      <w:pPr>
        <w:pStyle w:val="Heading4"/>
      </w:pPr>
      <w:r>
        <w:t>Introduction (</w:t>
      </w:r>
      <w:hyperlink r:id="rId13323">
        <w:r>
          <w:rPr>
            <w:color w:val="0000EE"/>
            <w:u w:val="single"/>
          </w:rPr>
          <w:t>1.1–5</w:t>
        </w:r>
      </w:hyperlink>
      <w:r>
        <w:t>)</w:t>
      </w:r>
    </w:p>
    <w:p>
      <w:r/>
      <w:r>
        <w:t>En raison de la famine, Élimélec, sa femme Naomi et leurs deux fils, Machlon et Kiljon, traversent le Jourdain pour se rendre à Moab, où il la nourriture était disponible en quantité suffisante. Les deux fils épousent des femmes moabites mais meurent ensuite, ainsi que leur père. Naomi devient veuve avec deux belles-filles étrangères.</w:t>
      </w:r>
    </w:p>
    <w:p>
      <w:pPr>
        <w:pStyle w:val="Heading4"/>
      </w:pPr>
      <w:r>
        <w:t>Retour à Bethléhem (</w:t>
      </w:r>
      <w:hyperlink r:id="rId13324">
        <w:r>
          <w:rPr>
            <w:color w:val="0000EE"/>
            <w:u w:val="single"/>
          </w:rPr>
          <w:t>1.6–22</w:t>
        </w:r>
      </w:hyperlink>
      <w:r>
        <w:t>)</w:t>
      </w:r>
    </w:p>
    <w:p>
      <w:r/>
      <w:r>
        <w:t>Naomi apprend que la famine à Bethléhem est terminée et se prépare à y retourner. Ses belles-filles, Orpa et Ruth, l'accompagnent pour une partie du voyage. Naomi, préoccupée par les défis qu'elles pourraient rencontrer en tant qu'étrangères en Juda, les exhorte à rester dans leur pays natal. Les deux jeunes veuves refusent d'abord, mais Naomi explique la situation. Elle n'est pas enceinte et n'a donc pas de chance immédiate qu'un frère cadet remplisse le devoir léviratique (épouser la veuve d'un frère). Elle est également peu susceptible de se remarier ou d'avoir plus d'enfants. Même si ces conditions venaient à changer, attendre serait irréaliste. Orpa est convaincue et dit adieu à sa belle-mère avec un baiser.</w:t>
      </w:r>
    </w:p>
    <w:p>
      <w:r/>
      <w:r>
        <w:t>Mais Ruth « s'</w:t>
      </w:r>
      <w:r>
        <w:t>attacha</w:t>
      </w:r>
      <w:r>
        <w:t xml:space="preserve"> à elle » (</w:t>
      </w:r>
      <w:hyperlink r:id="rId13325">
        <w:r>
          <w:rPr>
            <w:color w:val="0000EE"/>
            <w:u w:val="single"/>
          </w:rPr>
          <w:t>Rt 1.14</w:t>
        </w:r>
      </w:hyperlink>
      <w:r>
        <w:t>). L'engagement fort de Ruth à rester avec Naomi est décrit en utilisant le même mot hébreu qui décrit comment un mari et une femme deviennent unis dans le mariage (</w:t>
      </w:r>
      <w:hyperlink r:id="rId2284">
        <w:r>
          <w:rPr>
            <w:color w:val="0000EE"/>
            <w:u w:val="single"/>
          </w:rPr>
          <w:t>Gn 2.24</w:t>
        </w:r>
      </w:hyperlink>
      <w:r>
        <w:t>), comme être collé ou lié à quelque chose, rendant difficile la séparation. Ruth a montré ses intentions sérieuses en prenant cinq engagements (</w:t>
      </w:r>
      <w:hyperlink r:id="rId13326">
        <w:r>
          <w:rPr>
            <w:color w:val="0000EE"/>
            <w:u w:val="single"/>
          </w:rPr>
          <w:t>Rt 1.16–17</w:t>
        </w:r>
      </w:hyperlink>
      <w:r>
        <w:t>). Elle abandonne son ancienne vie pour en gagner une qu'elle valorisait davantage. Elle choisit de suivre le Dieu d'Israël et ses lois. Lorsque Ruth fait appel au Dieu d'Israël, elle fait écho aux supplications de Naomi, et elles retournent ensemble.</w:t>
      </w:r>
    </w:p>
    <w:p>
      <w:r/>
      <w:r>
        <w:t>Le retour de Naomi à Bethléhem sera difficile. Lorsqu'elle avait quitté Bethléhem, elle avait un mari et deux fils. À son retour, ils étaient tous morts. Elle demande à ses amis de l'appeler « Mara », ce qui signifie amère. Cependant, elle revient à un bon moment : au début de la saison des récoltes.</w:t>
      </w:r>
    </w:p>
    <w:p>
      <w:pPr>
        <w:pStyle w:val="Heading4"/>
      </w:pPr>
      <w:r>
        <w:t>Récolte de grain dans les champs de Boaz (</w:t>
      </w:r>
      <w:hyperlink r:id="rId13327">
        <w:r>
          <w:rPr>
            <w:color w:val="0000EE"/>
            <w:u w:val="single"/>
          </w:rPr>
          <w:t>2.1–23</w:t>
        </w:r>
      </w:hyperlink>
      <w:r>
        <w:t>)</w:t>
      </w:r>
    </w:p>
    <w:p>
      <w:r/>
      <w:r>
        <w:t>Le premier verset du chapitre plante le décor en présentant Boaz, un riche parent d'Élimélec.</w:t>
      </w:r>
    </w:p>
    <w:p>
      <w:r/>
      <w:r>
        <w:t>Dans le deuxième verset, Ruth propose de ramasser les grains restants en suivant les ouvriers qui récoltaient le grain avec leurs outils (ces ouvriers étaient appelés « moissonneurs »). Les pauvres étaient autorisés à ramasser les grains laissés par les ouvriers (ces personnes étaient appelées « glaneurs »). Les glaneurs pouvaient également collecter du grain sur les bords des champs. C'était l'une des lois de Dieu pour aider les pauvres à obtenir suffisamment de nourriture pour manger (</w:t>
      </w:r>
      <w:hyperlink r:id="rId11756">
        <w:r>
          <w:rPr>
            <w:color w:val="0000EE"/>
            <w:u w:val="single"/>
          </w:rPr>
          <w:t>Lv 19.9–10</w:t>
        </w:r>
      </w:hyperlink>
      <w:r>
        <w:t>).</w:t>
      </w:r>
    </w:p>
    <w:p>
      <w:r/>
      <w:r>
        <w:t>Ruth s'est rendue au champ de Boaz. Lorsque Boaz s'y est rendu, il a remarqué Ruth, s'est renseigné sur elle et a appris qui elle était. Son surveillant lui a dit qu'elle avait travaillé dur dans les champs depuis tôt le matin. Boaz, impressionné par sa loyauté envers Naomi, lui a gentiment offert une aide supplémentaire. Elle était autorisée à ramasser du grain juste derrière le groupe principal de moissonneurs. De plus, les jeunes hommes puisaient de l'eau pour elle, ce qui était inhabituel.</w:t>
      </w:r>
    </w:p>
    <w:p>
      <w:r/>
      <w:r>
        <w:t xml:space="preserve">Ruth, faisant preuve d'une grande humilité et de respect, demandera à Boaz pourquoi elle, une étrangère, recevait une telle faveur. Boaz lui donne alors deux raisons : sa bonté envers sa belle-mère et sa perspicacité spirituelle, qui l'avait amenée à chercher le Dieu d'Israël, « </w:t>
      </w:r>
      <w:r>
        <w:t>sous les ailes duquel tu es venue te réfugier</w:t>
      </w:r>
      <w:r>
        <w:t xml:space="preserve"> » (</w:t>
      </w:r>
      <w:hyperlink r:id="rId13328">
        <w:r>
          <w:rPr>
            <w:color w:val="0000EE"/>
            <w:u w:val="single"/>
          </w:rPr>
          <w:t>Rt 2.12</w:t>
        </w:r>
      </w:hyperlink>
      <w:r>
        <w:t>). Cette phrase décrit la protection de Dieu, comme un oiseau protégeant ses petits.</w:t>
      </w:r>
    </w:p>
    <w:p>
      <w:r/>
      <w:r>
        <w:t>Elle a également obtenu une place à la table des moissonneurs. Suivant les ordres de Boaz, elle est retournée dans les champs pour ramasser les grains non récoltés. En fin de journée, elle est rentrée chez Naomi et lui a fait part des événements de la journée. Naomi apprendra à Ruth que Boaz avait le droit de rachat (voir ci-dessous). Ruth continuera à travailler dans ses champs jusqu'à la fin de la saison des récoltes.</w:t>
      </w:r>
    </w:p>
    <w:p>
      <w:pPr>
        <w:pStyle w:val="Heading4"/>
      </w:pPr>
      <w:r>
        <w:t>Compter sur le parent-rédempteur (</w:t>
      </w:r>
      <w:hyperlink r:id="rId13329">
        <w:r>
          <w:rPr>
            <w:color w:val="0000EE"/>
            <w:u w:val="single"/>
          </w:rPr>
          <w:t>3.1–18</w:t>
        </w:r>
      </w:hyperlink>
      <w:r>
        <w:t>)</w:t>
      </w:r>
    </w:p>
    <w:p>
      <w:r/>
      <w:r>
        <w:t xml:space="preserve">Naomi conseille à Ruth de s'approcher de Boaz en tant que </w:t>
      </w:r>
      <w:r>
        <w:rPr>
          <w:i/>
        </w:rPr>
        <w:t>go'el</w:t>
      </w:r>
      <w:r>
        <w:t>, ou parent-rédempteur. Le plan de Naomi peut sembler inhabituel, mais il y a des raisons à cela :</w:t>
      </w:r>
    </w:p>
    <w:p>
      <w:pPr>
        <w:pStyle w:val="ListNumber"/>
        <w:spacing w:line="240" w:lineRule="auto"/>
        <w:ind w:left="720"/>
      </w:pPr>
      <w:r/>
      <w:r>
        <w:t>Naomi pensait probablement que Boaz était son plus proche parent, ignorant qu'il y en avait un plus proche (</w:t>
      </w:r>
      <w:hyperlink r:id="rId13330">
        <w:r>
          <w:rPr>
            <w:color w:val="0000EE"/>
            <w:u w:val="single"/>
          </w:rPr>
          <w:t>Rt 3.12</w:t>
        </w:r>
      </w:hyperlink>
      <w:r>
        <w:t>). Selon la loi israélite (</w:t>
      </w:r>
      <w:hyperlink r:id="rId13331">
        <w:r>
          <w:rPr>
            <w:color w:val="0000EE"/>
            <w:u w:val="single"/>
          </w:rPr>
          <w:t>Dt 25.5–19</w:t>
        </w:r>
      </w:hyperlink>
      <w:r>
        <w:t>), Boaz devait épouser Ruth pour avoir des enfants, puisque son mari était décédé.</w:t>
      </w:r>
    </w:p>
    <w:p>
      <w:pPr>
        <w:pStyle w:val="ListNumber"/>
        <w:spacing w:line="240" w:lineRule="auto"/>
        <w:ind w:left="720"/>
      </w:pPr>
      <w:r/>
      <w:r>
        <w:t>Naomi est présentée comme une femme craignant Dieu dans ce livre. Bien que le plan puisse sembler étrange, il ne va pas à l'encontre de la loi de Dieu et ne choquera pas un homme vertueux comme Boaz. Sans cela, Naomi aurait échoué à obtenir ce qu'elle voulait.</w:t>
      </w:r>
    </w:p>
    <w:p>
      <w:r/>
      <w:r>
        <w:t>Boaz répond aux actions de Ruth avec bonté et sollicitude. Il lui dit qu'il n'était pas le parent le plus proche, mais promet de s'occuper de la question le lendemain. Pour protéger sa réputation, Boaz la renvoie chez elle avant l'aube. Naomi prédit que Boaz résoudra le problème ce jour-même.</w:t>
      </w:r>
    </w:p>
    <w:p>
      <w:pPr>
        <w:pStyle w:val="Heading4"/>
      </w:pPr>
      <w:r>
        <w:t>Rachat de l'héritage (</w:t>
      </w:r>
      <w:hyperlink r:id="rId13332">
        <w:r>
          <w:rPr>
            <w:color w:val="0000EE"/>
            <w:u w:val="single"/>
          </w:rPr>
          <w:t>4.1–22</w:t>
        </w:r>
      </w:hyperlink>
      <w:r>
        <w:t>)</w:t>
      </w:r>
    </w:p>
    <w:p>
      <w:r/>
      <w:r>
        <w:t>Boaz va à la porte de la ville, où étaient discutées les questions publiques. Il voulait traiter des affaires avec un parent plus proche. Dix anciens de la ville ont servi de témoins. Le premier sujet était la question de la propriété. Boaz demandera au parent plus proche s'il souhaitait acheter la propriété pour Naomi. Selon la tradition, acheter le terrain signifiait également épouser Ruth, la veuve moabite (</w:t>
      </w:r>
      <w:hyperlink r:id="rId13333">
        <w:r>
          <w:rPr>
            <w:color w:val="0000EE"/>
            <w:u w:val="single"/>
          </w:rPr>
          <w:t>Rt 4.5</w:t>
        </w:r>
      </w:hyperlink>
      <w:r>
        <w:t>). Le parent plus proche ne voulait pas épouser Ruth, car cela signifierait partager sa propriété avec tout fils qu'ils auraient. Il renoncera à ses droits en enlevant sa chaussure, un symbole de renonciation aux droits fonciers. Ainsi, Boaz devient de fait le parent-rédempteur. Le mariage de Boaz et Ruth aboutira à un fils, qui était considéré comme l'enfant et l'héritier de Naomi selon les lois d'Israël.</w:t>
      </w:r>
    </w:p>
    <w:p>
      <w:pPr>
        <w:pStyle w:val="Heading3"/>
      </w:pPr>
      <w:r>
        <w:t>Quel est le message du livre de Ruth ?</w:t>
      </w:r>
    </w:p>
    <w:p>
      <w:r/>
      <w:r>
        <w:t xml:space="preserve">Tout d'abord, le livre de Ruth montre que la lignée familiale de Ruth mène à David. Cette lignée se complète dans </w:t>
      </w:r>
      <w:hyperlink r:id="rId13334">
        <w:r>
          <w:rPr>
            <w:color w:val="0000EE"/>
            <w:u w:val="single"/>
          </w:rPr>
          <w:t>Matthieu 1</w:t>
        </w:r>
      </w:hyperlink>
      <w:r>
        <w:t xml:space="preserve"> et s'accomplit avec Jésus.</w:t>
      </w:r>
    </w:p>
    <w:p>
      <w:r/>
      <w:r>
        <w:t>Une deuxième leçon est la beauté de la grâce de Dieu. Cette histoire montre comment la bonté de Dieu inclut tout le monde, même ceux qui ne naissent pas Israélites. Un étranger, même quelqu'un de Moab, peut partager la bénédiction d'Israël.</w:t>
      </w:r>
    </w:p>
    <w:p>
      <w:r/>
      <w:r>
        <w:t>Théologiquement, l'idée d'un rédempteur-parent comme type de Messie (l'élu de Dieu) est claire. Il doit être un parent de sang, capable de racheter, prêt à acquérir l'héritage et disposé à épouser la veuve du parent décédé.</w:t>
      </w:r>
    </w:p>
    <w:p>
      <w:r/>
      <w:r>
        <w:t xml:space="preserve">Enfin, l'amour de Ruth pour Naomi montre un modèle de dévouement. Les femmes de Bethléhem diront à Naomi : « </w:t>
      </w:r>
      <w:r>
        <w:t>ta belle-fille, qui t’aime, l’a enfanté, elle qui vaut mieux pour toi que sept fils</w:t>
      </w:r>
      <w:r>
        <w:t xml:space="preserve"> » (</w:t>
      </w:r>
      <w:hyperlink r:id="rId13335">
        <w:r>
          <w:rPr>
            <w:color w:val="0000EE"/>
            <w:u w:val="single"/>
          </w:rPr>
          <w:t>Rt 4.15</w:t>
        </w:r>
      </w:hyperlink>
      <w:r>
        <w:t>). Dans leur culture, avoir sept fils était considéré comme une grande bénédiction. Les femmes disaient que l'amour et les soins de Ruth pour Naomi valaient encore plus que cela.</w:t>
      </w:r>
      <w:r/>
      <w:r/>
    </w:p>
    <w:p>
      <w:r/>
    </w:p>
    <w:p>
      <w:pPr>
        <w:pStyle w:val="Heading2"/>
      </w:pPr>
      <w:r>
        <w:t>Saba</w:t>
      </w:r>
      <w:r/>
    </w:p>
    <w:p>
      <w:r/>
      <w:r>
        <w:t>Peuple sémitique descendant de Cusch (</w:t>
      </w:r>
      <w:hyperlink r:id="rId3665">
        <w:r>
          <w:rPr>
            <w:color w:val="0000EE"/>
            <w:u w:val="single"/>
          </w:rPr>
          <w:t>Gn 10.7</w:t>
        </w:r>
      </w:hyperlink>
      <w:r>
        <w:t xml:space="preserve"> ; </w:t>
      </w:r>
      <w:hyperlink r:id="rId3666">
        <w:r>
          <w:rPr>
            <w:color w:val="0000EE"/>
            <w:u w:val="single"/>
          </w:rPr>
          <w:t>1Ch 1.9</w:t>
        </w:r>
      </w:hyperlink>
      <w:r>
        <w:t xml:space="preserve"> ; </w:t>
      </w:r>
      <w:hyperlink r:id="rId13336">
        <w:r>
          <w:rPr>
            <w:color w:val="0000EE"/>
            <w:u w:val="single"/>
          </w:rPr>
          <w:t>Es 43.3</w:t>
        </w:r>
      </w:hyperlink>
      <w:r>
        <w:t>). Les peuples sémitiques sont des groupes anciens du Moyen-Orient et d'Afrique du Nord, connus pour leurs langues partagées (comme l'hébreu, l'araméen ou l'arabe) et leurs traditions culturelles. Il est possible que Saba soit le même que le peuple de Séba.</w:t>
      </w:r>
    </w:p>
    <w:p>
      <w:r/>
      <w:r>
        <w:rPr>
          <w:i/>
        </w:rPr>
        <w:t>Voir</w:t>
      </w:r>
      <w:r>
        <w:t xml:space="preserve"> </w:t>
      </w:r>
      <w:r>
        <w:t>Séba (personne) n° 2</w:t>
      </w:r>
      <w:r>
        <w:t>.</w:t>
      </w:r>
      <w:r/>
      <w:r/>
    </w:p>
    <w:p>
      <w:r/>
    </w:p>
    <w:p>
      <w:pPr>
        <w:pStyle w:val="Heading2"/>
      </w:pPr>
      <w:r>
        <w:t>Sabachthani</w:t>
      </w:r>
      <w:r/>
    </w:p>
    <w:p>
      <w:r/>
      <w:r>
        <w:t>Un des derniers mots que Jésus a prononcés quand il était sur la croix (</w:t>
      </w:r>
      <w:hyperlink r:id="rId6719">
        <w:r>
          <w:rPr>
            <w:color w:val="0000EE"/>
            <w:u w:val="single"/>
          </w:rPr>
          <w:t>Mt 27.46</w:t>
        </w:r>
      </w:hyperlink>
      <w:r>
        <w:t xml:space="preserve"> ; </w:t>
      </w:r>
      <w:hyperlink r:id="rId4649">
        <w:r>
          <w:rPr>
            <w:color w:val="0000EE"/>
            <w:u w:val="single"/>
          </w:rPr>
          <w:t>Mc 15.34</w:t>
        </w:r>
      </w:hyperlink>
      <w:r>
        <w:t xml:space="preserve">). Il s'agit d'un mot araméen. Les mots « </w:t>
      </w:r>
      <w:r>
        <w:t>Éli, Éli, lama sabachthani</w:t>
      </w:r>
      <w:r>
        <w:t xml:space="preserve"> » se traduisent par « Mon Dieu, mon Dieu, pourquoi m'as-tu abandonné ? » Cette question correspond à l'introduction du Psaume 22.</w:t>
      </w:r>
    </w:p>
    <w:p>
      <w:r/>
      <w:r>
        <w:rPr>
          <w:i/>
        </w:rPr>
        <w:t>Voir</w:t>
      </w:r>
      <w:r>
        <w:t xml:space="preserve"> </w:t>
      </w:r>
      <w:r>
        <w:t>Éli, Éli, lama sabachthani</w:t>
      </w:r>
      <w:r>
        <w:t>.</w:t>
      </w:r>
      <w:r/>
      <w:r/>
    </w:p>
    <w:p>
      <w:r/>
    </w:p>
    <w:p>
      <w:pPr>
        <w:pStyle w:val="Heading2"/>
      </w:pPr>
      <w:r>
        <w:t>Sabta</w:t>
      </w:r>
      <w:r/>
    </w:p>
    <w:p>
      <w:r/>
      <w:r>
        <w:t>Un des cinq fils de Cusch et descendant de Noé par la lignée de Cham (</w:t>
      </w:r>
      <w:hyperlink r:id="rId3665">
        <w:r>
          <w:rPr>
            <w:color w:val="0000EE"/>
            <w:u w:val="single"/>
          </w:rPr>
          <w:t>Gn 10.7</w:t>
        </w:r>
      </w:hyperlink>
      <w:r>
        <w:t xml:space="preserve"> ; </w:t>
      </w:r>
      <w:hyperlink r:id="rId3666">
        <w:r>
          <w:rPr>
            <w:color w:val="0000EE"/>
            <w:u w:val="single"/>
          </w:rPr>
          <w:t>1Ch 1.9</w:t>
        </w:r>
      </w:hyperlink>
      <w:r>
        <w:t>). Sabta s'est vraisemblablement installé le long de la côte sud de l'Arabie, où plusieurs villes portent son nom.</w:t>
      </w:r>
      <w:r/>
      <w:r/>
    </w:p>
    <w:p>
      <w:r/>
    </w:p>
    <w:p>
      <w:pPr>
        <w:pStyle w:val="Heading2"/>
      </w:pPr>
      <w:r>
        <w:t>Sabteca</w:t>
      </w:r>
      <w:r/>
    </w:p>
    <w:p>
      <w:r/>
      <w:r>
        <w:t>Un des cinq fils de Cusch et descendant de Noé par la lignée de Cham (</w:t>
      </w:r>
      <w:hyperlink r:id="rId3665">
        <w:r>
          <w:rPr>
            <w:color w:val="0000EE"/>
            <w:u w:val="single"/>
          </w:rPr>
          <w:t>Gn 10.7</w:t>
        </w:r>
      </w:hyperlink>
      <w:r>
        <w:t xml:space="preserve"> ; </w:t>
      </w:r>
      <w:hyperlink r:id="rId3666">
        <w:r>
          <w:rPr>
            <w:color w:val="0000EE"/>
            <w:u w:val="single"/>
          </w:rPr>
          <w:t>1Ch 1.9</w:t>
        </w:r>
      </w:hyperlink>
      <w:r>
        <w:t>). Sabteca s'est installé en Arabie.</w:t>
      </w:r>
      <w:r/>
      <w:r/>
    </w:p>
    <w:p>
      <w:r/>
    </w:p>
    <w:p>
      <w:pPr>
        <w:pStyle w:val="Heading2"/>
      </w:pPr>
      <w:r>
        <w:t>Sacerdoce</w:t>
      </w:r>
      <w:r/>
    </w:p>
    <w:p>
      <w:r/>
      <w:r>
        <w:t>Un prêtre est une personne qui sert comme responsable religieux et accomplit des devoirs sacrés. Le mot « sacerdoce » se réfère à la fois au rôle de prêtre et au groupe de personnes qui servent comme prêtres.</w:t>
      </w:r>
    </w:p>
    <w:p>
      <w:r/>
      <w:r>
        <w:t>Dans les Églises qui s'organisent autour d'évêques (orthodoxe, catholique romain et anglican), ce terme décrit les membres du clergé. Il est également utilisé pour décrire l'ensemble de l'Église comme « un sacerdoce royal » (</w:t>
      </w:r>
      <w:hyperlink r:id="rId3933">
        <w:r>
          <w:rPr>
            <w:color w:val="0000EE"/>
            <w:u w:val="single"/>
          </w:rPr>
          <w:t>1P 2.9</w:t>
        </w:r>
      </w:hyperlink>
      <w:r>
        <w:t>).</w:t>
      </w:r>
    </w:p>
    <w:p>
      <w:r/>
      <w:r>
        <w:t>Pour comprendre pleinement ce que signifie le sacredoce, nous devons examiner comment la Bible parle des prêtres et du sacerdoce. Nous devons également étudier comment les enseignants et auteurs chrétiens ont expliqué le sacerdoce au fil du temps.</w:t>
      </w:r>
    </w:p>
    <w:p>
      <w:pPr>
        <w:pStyle w:val="Heading3"/>
      </w:pPr>
      <w:r>
        <w:t>Le Sacerdoce dans l'Ancien Testament</w:t>
      </w:r>
    </w:p>
    <w:p>
      <w:r/>
      <w:r>
        <w:t xml:space="preserve">Lorsque Dieu a conclu une alliance avec le peuple d'Israël, il les a appelés à être un « </w:t>
      </w:r>
      <w:r>
        <w:t>royaume de sacrificateurs</w:t>
      </w:r>
      <w:r>
        <w:t xml:space="preserve"> ». Ainsi, ils étaient un peuple mis à part pour Dieu (</w:t>
      </w:r>
      <w:hyperlink r:id="rId562">
        <w:r>
          <w:rPr>
            <w:color w:val="0000EE"/>
            <w:u w:val="single"/>
          </w:rPr>
          <w:t>Ex 19.6</w:t>
        </w:r>
      </w:hyperlink>
      <w:r>
        <w:t>). Il y avait trois ordres pour les activités sacerdotales : grand prêtre (souverain sacrificateur), prêtre et Lévite. Les « souverains sacrificateurs » et les « prêtres » étaient des descendants masculins d'Aaron, qui était un Lévite (</w:t>
      </w:r>
      <w:hyperlink r:id="rId13337">
        <w:r>
          <w:rPr>
            <w:color w:val="0000EE"/>
            <w:u w:val="single"/>
          </w:rPr>
          <w:t>Nb 3.10</w:t>
        </w:r>
      </w:hyperlink>
      <w:r>
        <w:t>). Les « Lévites » étaient d'autres membres masculins de la tribu de Lévi.</w:t>
      </w:r>
    </w:p>
    <w:p>
      <w:r/>
      <w:r>
        <w:t>Les principales fonctions du sacerdoce se déroulaient dans le temple. Les prêtres géraient les objets cérémoniels et effectuaient les sacrifices. Ils portaient des vêtements spéciaux et symboliques appelés ornements lorsqu'ils accomplissaient leurs devoirs. Ils étaient également des enseignants qui transmettaient les traditions sacrées de la nation. Ils instruisaient également le peuple sur des sujets tels que les informations médicales (</w:t>
      </w:r>
      <w:hyperlink r:id="rId13338">
        <w:r>
          <w:rPr>
            <w:color w:val="0000EE"/>
            <w:u w:val="single"/>
          </w:rPr>
          <w:t>Lv 13–15</w:t>
        </w:r>
      </w:hyperlink>
      <w:r>
        <w:t>).</w:t>
      </w:r>
    </w:p>
    <w:p>
      <w:r/>
      <w:r>
        <w:t>Le souverain sacrificateur était le chef spirituel d'Israël. Il avait des fonctions particulières, notamment l'entrée dans le Lieu Très Saint (également appelé le Sanctuaire ou Saint des Saints) le Jour des Expiations (</w:t>
      </w:r>
      <w:hyperlink r:id="rId2144">
        <w:r>
          <w:rPr>
            <w:color w:val="0000EE"/>
            <w:u w:val="single"/>
          </w:rPr>
          <w:t>Lv 16</w:t>
        </w:r>
      </w:hyperlink>
      <w:r>
        <w:t>). Les Lévites assistaient les prêtres et servaient l'assemblée dans le temple. Ils chantaient les psaumes et maintenaient propres les cours du temple. Ils aidaient à préparer certains sacrifices et offrandes, et exerçaient également le rôle d'enseignants.</w:t>
      </w:r>
    </w:p>
    <w:p>
      <w:r/>
      <w:r>
        <w:t>À travers ces trois groupes, les prêtres aidaient tout le peuple d'Israël à adorer Dieu. Ils priaient également Dieu pour eux-mêmes et pour les autres, et apprenaient la volonté de Dieu. Ce système ressemblait à la manière dont le chef de famille dirigeait le culte à la maison, mais à une plus grande échelle et avec des cérémonies plus formelles au temple.</w:t>
      </w:r>
    </w:p>
    <w:p>
      <w:pPr>
        <w:pStyle w:val="Heading3"/>
      </w:pPr>
      <w:r>
        <w:t>Le Sacerdoce dans le Nouveau Testament</w:t>
      </w:r>
    </w:p>
    <w:p>
      <w:r/>
      <w:r>
        <w:t>Il est notable que le terme « prêtre » ne soit pas utilisé pour décrire les dirigeants dans l'Église primitive. Le mot « prêtre » n'apparaît que lorsqu'on parle des prêtres juifs ou païens (</w:t>
      </w:r>
      <w:hyperlink r:id="rId13339">
        <w:r>
          <w:rPr>
            <w:color w:val="0000EE"/>
            <w:u w:val="single"/>
          </w:rPr>
          <w:t>Ac 4.1, 6</w:t>
        </w:r>
      </w:hyperlink>
      <w:r>
        <w:t xml:space="preserve"> ; </w:t>
      </w:r>
      <w:hyperlink r:id="rId9324">
        <w:r>
          <w:rPr>
            <w:color w:val="0000EE"/>
            <w:u w:val="single"/>
          </w:rPr>
          <w:t>14.13</w:t>
        </w:r>
      </w:hyperlink>
      <w:r>
        <w:t>). La lettre aux Hébreux explique que Jésus-Christ remplit parfaitement le rôle du sacerdoce de l'Ancien Testament de trois manières importantes :</w:t>
      </w:r>
    </w:p>
    <w:p>
      <w:pPr>
        <w:pStyle w:val="ListNumber"/>
        <w:spacing w:line="240" w:lineRule="auto"/>
        <w:ind w:left="720"/>
      </w:pPr>
      <w:r/>
      <w:r>
        <w:t>Dieu lui-même a choisi Jésus pour être souverain sacrificateur (</w:t>
      </w:r>
      <w:hyperlink r:id="rId13340">
        <w:r>
          <w:rPr>
            <w:color w:val="0000EE"/>
            <w:u w:val="single"/>
          </w:rPr>
          <w:t>Hé 5.4–6</w:t>
        </w:r>
      </w:hyperlink>
      <w:r>
        <w:t xml:space="preserve">). Le sacerdoce de Jésus est supérieur à celui d'Aaron (chap. </w:t>
      </w:r>
      <w:hyperlink r:id="rId4124">
        <w:r>
          <w:rPr>
            <w:color w:val="0000EE"/>
            <w:u w:val="single"/>
          </w:rPr>
          <w:t>7</w:t>
        </w:r>
      </w:hyperlink>
      <w:r>
        <w:t>).</w:t>
      </w:r>
    </w:p>
    <w:p>
      <w:pPr>
        <w:pStyle w:val="ListNumber"/>
        <w:spacing w:line="240" w:lineRule="auto"/>
        <w:ind w:left="720"/>
      </w:pPr>
      <w:r/>
      <w:r>
        <w:t>Jésus peut compatir aux faiblesses des personnes pécheresses. Il a été « tenté [...] en toutes choses » comme elles, mais sans commettre de péché (</w:t>
      </w:r>
      <w:hyperlink r:id="rId6306">
        <w:r>
          <w:rPr>
            <w:color w:val="0000EE"/>
            <w:u w:val="single"/>
          </w:rPr>
          <w:t>4.15</w:t>
        </w:r>
      </w:hyperlink>
      <w:r>
        <w:t xml:space="preserve"> ; </w:t>
      </w:r>
      <w:hyperlink r:id="rId6308">
        <w:r>
          <w:rPr>
            <w:color w:val="0000EE"/>
            <w:u w:val="single"/>
          </w:rPr>
          <w:t>7.26</w:t>
        </w:r>
      </w:hyperlink>
      <w:r>
        <w:t>).</w:t>
      </w:r>
    </w:p>
    <w:p>
      <w:pPr>
        <w:pStyle w:val="ListNumber"/>
        <w:spacing w:line="240" w:lineRule="auto"/>
        <w:ind w:left="720"/>
      </w:pPr>
      <w:r/>
      <w:r>
        <w:t>Au lieu d'offrir des sacrifices d'animaux pour enlever le péché, il s'offre lui-même. Il est le sacrifice sans péché qui enlève le péché. Ce sacrifice n'avait besoin d'avoir lieu qu'une seule fois (</w:t>
      </w:r>
      <w:hyperlink r:id="rId6307">
        <w:r>
          <w:rPr>
            <w:color w:val="0000EE"/>
            <w:u w:val="single"/>
          </w:rPr>
          <w:t>7.27</w:t>
        </w:r>
      </w:hyperlink>
      <w:r>
        <w:t xml:space="preserve"> ; </w:t>
      </w:r>
      <w:hyperlink r:id="rId6350">
        <w:r>
          <w:rPr>
            <w:color w:val="0000EE"/>
            <w:u w:val="single"/>
          </w:rPr>
          <w:t>9.24–28</w:t>
        </w:r>
      </w:hyperlink>
      <w:r>
        <w:t xml:space="preserve"> ; </w:t>
      </w:r>
      <w:hyperlink r:id="rId13341">
        <w:r>
          <w:rPr>
            <w:color w:val="0000EE"/>
            <w:u w:val="single"/>
          </w:rPr>
          <w:t>10.10–19</w:t>
        </w:r>
      </w:hyperlink>
      <w:r>
        <w:t>).</w:t>
      </w:r>
    </w:p>
    <w:p>
      <w:r/>
      <w:r>
        <w:t>Jésus accomplit le système sacrificiel de l'Ancien Testament. Le sacrifice unique, irrépétable et illimité de Jésus le complète également. Étant ressuscité des morts, il est prêtre pour toujours (</w:t>
      </w:r>
      <w:hyperlink r:id="rId13342">
        <w:r>
          <w:rPr>
            <w:color w:val="0000EE"/>
            <w:u w:val="single"/>
          </w:rPr>
          <w:t>Hé 7.17</w:t>
        </w:r>
      </w:hyperlink>
      <w:r>
        <w:t>). Il reste le même hier, aujourd'hui et pour toujours (</w:t>
      </w:r>
      <w:hyperlink r:id="rId6372">
        <w:r>
          <w:rPr>
            <w:color w:val="0000EE"/>
            <w:u w:val="single"/>
          </w:rPr>
          <w:t>13.8</w:t>
        </w:r>
      </w:hyperlink>
      <w:r>
        <w:t>). Une partie de son sacerdoce suprême est d'intercéder pour son peuple (</w:t>
      </w:r>
      <w:hyperlink r:id="rId2694">
        <w:r>
          <w:rPr>
            <w:color w:val="0000EE"/>
            <w:u w:val="single"/>
          </w:rPr>
          <w:t>7.25</w:t>
        </w:r>
      </w:hyperlink>
      <w:r>
        <w:t>). Il amène les gens à Dieu en tant que médiateur à travers une alliance nouvelle et meilleure (</w:t>
      </w:r>
      <w:hyperlink r:id="rId13343">
        <w:r>
          <w:rPr>
            <w:color w:val="0000EE"/>
            <w:u w:val="single"/>
          </w:rPr>
          <w:t>7.22</w:t>
        </w:r>
      </w:hyperlink>
      <w:r>
        <w:t xml:space="preserve"> ; </w:t>
      </w:r>
      <w:hyperlink r:id="rId9894">
        <w:r>
          <w:rPr>
            <w:color w:val="0000EE"/>
            <w:u w:val="single"/>
          </w:rPr>
          <w:t>8.6</w:t>
        </w:r>
      </w:hyperlink>
      <w:r>
        <w:t xml:space="preserve"> ; </w:t>
      </w:r>
      <w:hyperlink r:id="rId9895">
        <w:r>
          <w:rPr>
            <w:color w:val="0000EE"/>
            <w:u w:val="single"/>
          </w:rPr>
          <w:t>9.15</w:t>
        </w:r>
      </w:hyperlink>
      <w:r>
        <w:t>). Ce n'est qu'à travers Jésus que les êtres humains pécheurs peuvent entrer dans la sainte présence de Dieu. Ce n'est qu'à travers Jésus qu'ils sont acceptés comme enfants de Dieu (</w:t>
      </w:r>
      <w:hyperlink r:id="rId1982">
        <w:r>
          <w:rPr>
            <w:color w:val="0000EE"/>
            <w:u w:val="single"/>
          </w:rPr>
          <w:t>Jn 14.6</w:t>
        </w:r>
      </w:hyperlink>
      <w:r>
        <w:t xml:space="preserve"> ; </w:t>
      </w:r>
      <w:hyperlink r:id="rId13344">
        <w:r>
          <w:rPr>
            <w:color w:val="0000EE"/>
            <w:u w:val="single"/>
          </w:rPr>
          <w:t>2Co 5.18–20</w:t>
        </w:r>
      </w:hyperlink>
      <w:r>
        <w:t xml:space="preserve"> ; </w:t>
      </w:r>
      <w:hyperlink r:id="rId9897">
        <w:r>
          <w:rPr>
            <w:color w:val="0000EE"/>
            <w:u w:val="single"/>
          </w:rPr>
          <w:t>1Tm 2.5</w:t>
        </w:r>
      </w:hyperlink>
      <w:r>
        <w:t>). Ainsi, les chrétiens ont bien un sacerdoce, mais celui-ci existe seulement en et à travers Jésus-Christ, leur souverain sacrificaateur et médiateur.</w:t>
      </w:r>
    </w:p>
    <w:p>
      <w:pPr>
        <w:pStyle w:val="Heading4"/>
      </w:pPr>
      <w:r>
        <w:t>Le Sacerdoce de tous les croyants</w:t>
      </w:r>
    </w:p>
    <w:p>
      <w:r/>
      <w:r>
        <w:t xml:space="preserve">Le Nouveau Testament décrit ceux qui croient et suivent Jésus comme étant construits « </w:t>
      </w:r>
      <w:r>
        <w:t>pour former une maison spirituelle, un saint sacerdoce, afin d’offrir des victimes spirituelles, agréables à Dieu par Jésus-Christ</w:t>
      </w:r>
      <w:r>
        <w:t xml:space="preserve"> » (</w:t>
      </w:r>
      <w:hyperlink r:id="rId6477">
        <w:r>
          <w:rPr>
            <w:color w:val="0000EE"/>
            <w:u w:val="single"/>
          </w:rPr>
          <w:t>1P 2.5</w:t>
        </w:r>
      </w:hyperlink>
      <w:r>
        <w:t xml:space="preserve">). Ils sont « </w:t>
      </w:r>
      <w:r>
        <w:t>sacrificateurs pour Dieu</w:t>
      </w:r>
      <w:r>
        <w:t xml:space="preserve"> » le Père (</w:t>
      </w:r>
      <w:hyperlink r:id="rId13345">
        <w:r>
          <w:rPr>
            <w:color w:val="0000EE"/>
            <w:u w:val="single"/>
          </w:rPr>
          <w:t>Ap 1.6</w:t>
        </w:r>
      </w:hyperlink>
      <w:r>
        <w:t xml:space="preserve">). Ils sont « </w:t>
      </w:r>
      <w:r>
        <w:t>un royaume et des sacrificateurs pour notre Dieu</w:t>
      </w:r>
      <w:r>
        <w:t xml:space="preserve"> » (</w:t>
      </w:r>
      <w:hyperlink r:id="rId13346">
        <w:r>
          <w:rPr>
            <w:color w:val="0000EE"/>
            <w:u w:val="single"/>
          </w:rPr>
          <w:t>Ap 5.10</w:t>
        </w:r>
      </w:hyperlink>
      <w:r>
        <w:t xml:space="preserve">). Ils « </w:t>
      </w:r>
      <w:r>
        <w:t>seront sacrificateurs de Dieu et de Christ, et ils régneront avec lui pendant mille ans</w:t>
      </w:r>
      <w:r>
        <w:t xml:space="preserve"> » (</w:t>
      </w:r>
      <w:hyperlink r:id="rId10379">
        <w:r>
          <w:rPr>
            <w:color w:val="0000EE"/>
            <w:u w:val="single"/>
          </w:rPr>
          <w:t>Ap 20.4–6</w:t>
        </w:r>
      </w:hyperlink>
      <w:r>
        <w:t>).</w:t>
      </w:r>
    </w:p>
    <w:p>
      <w:r/>
      <w:r>
        <w:t>Ainsi, que signifie le « sacerdoce de tous les croyants » dans le Nouveau Testament ? Nous pouvons définir le souverain sacerdoce de Jésus de deux manières :</w:t>
      </w:r>
    </w:p>
    <w:p>
      <w:pPr>
        <w:pStyle w:val="ListNumber"/>
        <w:spacing w:line="240" w:lineRule="auto"/>
        <w:ind w:left="720"/>
      </w:pPr>
      <w:r/>
      <w:r>
        <w:t>Jésus a une dévotion et une obéissance complètes envers Dieu, son Père.</w:t>
      </w:r>
    </w:p>
    <w:p>
      <w:pPr>
        <w:pStyle w:val="ListNumber"/>
        <w:spacing w:line="240" w:lineRule="auto"/>
        <w:ind w:left="720"/>
      </w:pPr>
      <w:r/>
      <w:r>
        <w:t>Jésus éprouve une compassion infinie pour ses semblables.</w:t>
      </w:r>
    </w:p>
    <w:p>
      <w:r/>
      <w:r>
        <w:t>Sa mort sacrificielle sur la croix se trouve au cœur de son sacerdoce. Le sacerdoce de tous les croyants trouve son fondement dans cette mort sacrificielle et leur union avec lui. Ce sacerdoce se manifeste par leur obéissance sacrificielle à Dieu. Il implique le culte spirituel et l'amour pour Dieu. Il inclut également la compassion et la prière pour leurs semblables.</w:t>
      </w:r>
    </w:p>
    <w:p>
      <w:r/>
      <w:r>
        <w:t xml:space="preserve">Paul nous exhorte à « </w:t>
      </w:r>
      <w:r>
        <w:t>offrir [nos] corps comme un sacrifice vivant, saint, agréable à Dieu, ce qui sera de [notre] part un culte raisonnable</w:t>
      </w:r>
      <w:r>
        <w:t xml:space="preserve"> » (</w:t>
      </w:r>
      <w:hyperlink r:id="rId8994">
        <w:r>
          <w:rPr>
            <w:color w:val="0000EE"/>
            <w:u w:val="single"/>
          </w:rPr>
          <w:t>Rm 12.1</w:t>
        </w:r>
      </w:hyperlink>
      <w:r>
        <w:t>). Les chrétiens offrent leurs corps entiers à Jésus. Chaque Église locale s'offre entièrement à Jésus. Jésus offre son corps entier (l'Église) à Dieu le Père. Ainsi, Jésus nous montre à la fois ce que signifie être prêtre et comment servir comme prêtres sous lui en tant que souverain sacrificateur. Le Saint-Esprit aide les croyants à servir comme prêtres en :</w:t>
      </w:r>
    </w:p>
    <w:p>
      <w:pPr>
        <w:pStyle w:val="ListBullet"/>
        <w:spacing w:line="240" w:lineRule="auto"/>
        <w:ind w:left="720"/>
      </w:pPr>
      <w:r/>
      <w:r>
        <w:t>Vivant dans leurs cœurs,</w:t>
      </w:r>
    </w:p>
    <w:p>
      <w:pPr>
        <w:pStyle w:val="ListBullet"/>
        <w:spacing w:line="240" w:lineRule="auto"/>
        <w:ind w:left="720"/>
      </w:pPr>
      <w:r/>
      <w:r>
        <w:t>Leur donnant le pouvoir de servir Dieu de manière à lui plaire, et</w:t>
      </w:r>
    </w:p>
    <w:p>
      <w:pPr>
        <w:pStyle w:val="ListBullet"/>
        <w:spacing w:line="240" w:lineRule="auto"/>
        <w:ind w:left="720"/>
      </w:pPr>
      <w:r/>
      <w:r>
        <w:t>Les aider à adorer Dieu de manière appropriée.</w:t>
      </w:r>
    </w:p>
    <w:p>
      <w:r/>
      <w:r>
        <w:rPr>
          <w:i/>
        </w:rPr>
        <w:t>Voir aussi</w:t>
      </w:r>
      <w:r>
        <w:t xml:space="preserve"> </w:t>
      </w:r>
      <w:r>
        <w:t>Offrandes et sacrifices</w:t>
      </w:r>
      <w:r>
        <w:t xml:space="preserve"> ; </w:t>
      </w:r>
      <w:r>
        <w:t>Prêtres et lévites</w:t>
      </w:r>
      <w:r>
        <w:t xml:space="preserve"> ; </w:t>
      </w:r>
      <w:r>
        <w:t>Tabernacle</w:t>
      </w:r>
      <w:r>
        <w:t xml:space="preserve"> ; </w:t>
      </w:r>
      <w:r>
        <w:t>Temple</w:t>
      </w:r>
      <w:r>
        <w:t xml:space="preserve"> ; </w:t>
      </w:r>
      <w:r>
        <w:t>Louange</w:t>
      </w:r>
      <w:r>
        <w:t>.</w:t>
      </w:r>
      <w:r/>
      <w:r/>
    </w:p>
    <w:p>
      <w:r/>
    </w:p>
    <w:p>
      <w:pPr>
        <w:pStyle w:val="Heading2"/>
      </w:pPr>
      <w:r>
        <w:t>Sacrificateurs (prêtres) et lévites</w:t>
      </w:r>
      <w:r/>
    </w:p>
    <w:p>
      <w:r/>
      <w:r>
        <w:t>Serviteurs de Dieu dans l'Ancien Testament (AT). Trois catégories principales de rôles religieux étaient reconnues dans l'ancien Israël : les prophètes, les sages, ainsi que les sacrificateurs (ou prêtres) et lévites. Pour les prophètes au sens classique, il était question d'un ministère plutôt que d'un métier. Ils n'étaient pas rémunérés pour leurs fonctions et n'agissaient qu'en réponse à un appel spécifique de Dieu. Les sages contribuaient au gouvernement et à l'éducation. Certaines de leurs fonctions étaient séculières, mais ils s'acquittaient également d'éducation morale. Les sacrificateurs et les lévites avaient un certain nombre de responsabilités essentiellement religieuses qui en faisaient plus ou moins l'équivalent du clergé d'aujourd'hui. C'était leur occupation à temps plein et ils étaient rémunérés pour leur travail ministériel.</w:t>
      </w:r>
    </w:p>
    <w:p>
      <w:r/>
      <w:r>
        <w:t>Le rôle des sacrificateurs est défini le plus clairement dans le contexte de la religion israélite dans son ensemble. Le fait d'être en relation avec Dieu était au cœur de la religion israélite. Être un Israélite ou un Juif signifiait connaître le Dieu vivant et entretenir une relation continuelle avec lui. Cette relation était exprimée dans plusieurs contextes : l'alliance, le Temple, l'adoration et tous les aspects de la vie quotidienne. Ainsi, la religion comprise d'un point de vue relationnel avait deux facettes : la relation avec Dieu et la relation avec ses semblables. Elle s'exprimait aux niveaux individuel et communautaire. Les sacrificateurs étaient les gardiens et serviteurs de cette vie relationnelle. Toutes leurs fonctions doivent se comprendre dans le contexte de la relation entre Dieu et Israël. Les prophètes, eux aussi, étaient au service de la relation établie par l'alliance. Dans la religion israélite, c'étaient les sacrificateurs qui étaient normalement les serviteurs. Les prophètes agissaient en temps de crise pour rappeler le peuple errant à revenir vers Dieu.</w:t>
      </w:r>
    </w:p>
    <w:p>
      <w:r/>
      <w:r>
        <w:t xml:space="preserve">Dans l'AT, sacrificateurs et lévites sont souvent mentionnés. Cependant, dans un certain nombre de textes bibliques, la distinction entre les deux groupes n'est pas si claire (p. ex. </w:t>
      </w:r>
      <w:hyperlink r:id="rId13347">
        <w:r>
          <w:rPr>
            <w:color w:val="0000EE"/>
            <w:u w:val="single"/>
          </w:rPr>
          <w:t>Dt 18.1–8</w:t>
        </w:r>
      </w:hyperlink>
      <w:r>
        <w:t xml:space="preserve">). Dans la recherche de niveau académique, la relation précise entre sacrificateurs et lévites est une question qui n'a pas encore été complètement résolue. Dans l'ensemble, seuls les fils d'Aaron devaient assumer le rôle de sacrificateurs. Les autres lévites avaient des fonctions religieuses, mais ce n'étaient pas des sacrificateurs. Cette distinction est claire dans la plupart des textes bibliques, mais dans d'autres, elle n'est ni claire, ni certaine. Ce qui est clair, c'est que les </w:t>
      </w:r>
      <w:r>
        <w:rPr>
          <w:i/>
        </w:rPr>
        <w:t>sacrificateurs</w:t>
      </w:r>
      <w:r>
        <w:t xml:space="preserve"> (Lévites descendants d'Aaron) et les </w:t>
      </w:r>
      <w:r>
        <w:rPr>
          <w:i/>
        </w:rPr>
        <w:t>lévites</w:t>
      </w:r>
      <w:r>
        <w:t xml:space="preserve"> (Lévites autres que les descendants d'Aaron qui aidaient ces derniers) avaient tous pour métier des fonctions religieuses. La nature précise de ces fonctions a varié au cours de l'histoire d'Israël.</w:t>
      </w:r>
    </w:p>
    <w:p>
      <w:r/>
      <w:r>
        <w:t>Sommaire</w:t>
      </w:r>
    </w:p>
    <w:p>
      <w:r/>
      <w:r>
        <w:t>• Origines du sacerdoce (ou prêtrise)</w:t>
      </w:r>
    </w:p>
    <w:p>
      <w:r/>
      <w:r>
        <w:t>• Le souverain sacrificateur (ou grand-prêtre)</w:t>
      </w:r>
    </w:p>
    <w:p>
      <w:r/>
      <w:r>
        <w:t>• Les sacrificateurs (ou prêtres)</w:t>
      </w:r>
    </w:p>
    <w:p>
      <w:r/>
      <w:r>
        <w:t>• Les Lévites, les lévites</w:t>
      </w:r>
    </w:p>
    <w:p>
      <w:r/>
      <w:r>
        <w:t>• Histoire des rôles de sacrificateur et de lévite</w:t>
      </w:r>
    </w:p>
    <w:p>
      <w:r/>
      <w:r>
        <w:t>• Sacerdoce et haut sacerdoce à l'époque du Nouveau Testament</w:t>
      </w:r>
    </w:p>
    <w:p>
      <w:pPr>
        <w:pStyle w:val="Heading3"/>
      </w:pPr>
      <w:r>
        <w:t>Les origines du sacerdoce (ou prêtrise)</w:t>
      </w:r>
    </w:p>
    <w:p>
      <w:r/>
      <w:r>
        <w:t>Le sacerdoce (ou prêtrise) en Israël a débuté à l'époque de Moïse et d'Aaron. L'exode d'Égypte n'a pas seulement été la libération d'un groupe d'esclaves hébreux, mais aussi la naissance de la nation d'Israël. La nation née lors de l'exode a reçu sa constitution par les lois de l'alliance du Sinaï. La loi de cette alliance a établi les fondements et les origines du sacerdoce israélite. Elle a défini les rôles de souverain sacrificateur, de sacrificateur et de lévite.</w:t>
      </w:r>
    </w:p>
    <w:p>
      <w:pPr>
        <w:pStyle w:val="Heading3"/>
      </w:pPr>
      <w:r>
        <w:t>Le souverain sacrificateur (ou grand-prêtre)</w:t>
      </w:r>
    </w:p>
    <w:p>
      <w:r/>
      <w:r>
        <w:t>Toute grande organisation avec un certain niveau de complexité a besoin d'un chef ou dirigeant. Cela s'appliquait aussi au sacerdoce hébreu (même à ses débuts). L'alliance a été établie par l'intermédiaire de Moïse, le prophète, par qui Dieu communiquait les promesses et exigences de la relation fondée par l'alliance. La vie religieuse exprimant cette l'alliance devait être sous la responsabilité d'Aaron principalement, en tant que tout premier sacrificateur et sacrificateur en chef.</w:t>
      </w:r>
    </w:p>
    <w:p>
      <w:r/>
      <w:r>
        <w:t>Aux débuts du sacerdoce d'Israël, il est probable que la fonction de souverain sacrificateur était moins réglementée. C'était lui le chef des sacrificateurs. Ce rôle était important et comportait un rituel spécial de consécration, des habits consacrés et des responsabilités spécifiques. Même si les fonctions du souverain sacrificateur étaient similaires en principe à celles des autres sacrificateurs, certaines responsabilités lui étaient exclusivement réservées. Dans une certaine mesure, ses fonctions étaient administratives et concernaient tous les sacrificateurs dont il avait la charge. Mais son poste était plus important que celui d'un administrateur. Tous les sacrificateurs étaient au service de la relation d'alliance entre Dieu et le peuple. C'étaient les gardiens de cette relation. Toutefois, le souverain sacrificateur en était le principal serviteur et gardien. Il avait la responsabilité spirituelle de tout le peuple de Dieu, et c'est là ce qui faisait de son rôle à la fois un grand honneur et une grande charge.</w:t>
      </w:r>
    </w:p>
    <w:p>
      <w:r/>
      <w:r>
        <w:t>Cette importance spirituelle du souverain sacrificateur se manifestait le plus clairement dans certaines tâches qui lui étaient particulièrement réservés dans le culte du peuple d'Israël. L'exemple le plus clair concerne son rôle lors de la célébration annuelle du Jour des Expiations (Yom Kippour). Ce jour-là et seulement ce jour-là, le souverain sacrificateur entrait dans le Saint des saints et se tenait devant le « propitiatoire ». Il demandait le pardon et la miséricorde de Dieu pour toute la nation d'Israël (</w:t>
      </w:r>
      <w:hyperlink r:id="rId13348">
        <w:r>
          <w:rPr>
            <w:color w:val="0000EE"/>
            <w:u w:val="single"/>
          </w:rPr>
          <w:t>Lv 16.1–19</w:t>
        </w:r>
      </w:hyperlink>
      <w:r>
        <w:t>). C'était au travers de cette cérémonie que la foi d'Israël, centrée sur l'alliance, se manifestait le plus clairement. La religion d'Israël consistait en une relation avec un Dieu saint. Le péché y faisait obstacle. Tous les sacrifices et les cultes ordinaires avaient pour but d'entretenir cette relation. Le Jour des Expiations était le jour le plus solennel de l'année. Toute l'attention du peuple se concentrait sur le sens de leur existence. La vie n'avait de sens que si la relation avec Dieu pouvait être maintenue. Le souverain sacrificateur avait le grand honneur et le lourd fardeau de demander à Dieu de faire miséricorde à tout Israël.</w:t>
      </w:r>
    </w:p>
    <w:p>
      <w:r/>
      <w:r>
        <w:t>Les habits consacrés du souverain sacrificateur symbolisaient la nature et l'importance de son rôle. Même si tout le symbolisme de ses vêtements ne peut pas être déterminé avec certitude, le texte biblique en explique une partie. Ce symbolisme incluait trois éléments. Le premier était la beauté. Celle-ci était communiquée par la qualité et la conception de tous les articles qui faisaient partie de sa tenue, y compris les couleurs et l'utilisation de pierres précieuses. La beauté était particulièrement mise en évidence dans le pectoral. Le mot hébreu traduit approximativement par « pectoral » a pour sens de base « beauté » ou « excellence ». Les habits symbolisaient la beauté et la beauté décrivait le rôle. Les deux autres aspects mis en avant par le symbolisme soulignaient l'excellence du rôle.</w:t>
      </w:r>
    </w:p>
    <w:p>
      <w:r/>
      <w:r>
        <w:t xml:space="preserve">Le deuxième aspect de la fonction du souverain sacrificateur mis en avant par ses habits était son rôle en tant que représentant d'Israël devant Dieu. Cet élément fondamental du rôle de souverain sacrificateur était explicitement signifié par l'inscription des noms des tribus d'Israël sur les deux pierres d'onyx de l'éphod et sur les 12 pierres précieuses attachées au pectoral. Le souverain sacrificateur entrait en présence de Dieu. Il cherchait à détourner son jugement de son peuple (le pectoral était connecté au jugement, voir </w:t>
      </w:r>
      <w:hyperlink r:id="rId13349">
        <w:r>
          <w:rPr>
            <w:color w:val="0000EE"/>
            <w:u w:val="single"/>
          </w:rPr>
          <w:t>Ex 28.15</w:t>
        </w:r>
      </w:hyperlink>
      <w:r>
        <w:t xml:space="preserve">) et à garder celui-ci constamment au souvenir de Dieu (v. </w:t>
      </w:r>
      <w:hyperlink r:id="rId13350">
        <w:r>
          <w:rPr>
            <w:color w:val="0000EE"/>
            <w:u w:val="single"/>
          </w:rPr>
          <w:t>12</w:t>
        </w:r>
      </w:hyperlink>
      <w:r>
        <w:t xml:space="preserve">). C'était ce que symbolisaient les deux pierres d'onyx. Le troisième aspect du rôle du souverain sacrificateur mis en avant par ses habits était celui de représentant de Dieu auprès d'Israël. Cette partie de son rôle est représentée par les </w:t>
      </w:r>
      <w:r>
        <w:rPr>
          <w:i/>
        </w:rPr>
        <w:t>ourim</w:t>
      </w:r>
      <w:r>
        <w:t xml:space="preserve"> et les </w:t>
      </w:r>
      <w:r>
        <w:rPr>
          <w:i/>
        </w:rPr>
        <w:t>toummim</w:t>
      </w:r>
      <w:r>
        <w:t>, qui étaient placés dans le pectoral et par lesquels Dieu faisait connaître sa volonté à Israël. Le souverain sacrificateur Aaron, entièrement vêtu de ses habits sacerdotaux, était splendide, la splendeur de ses habits reflétant la magnificence de son rôle.</w:t>
      </w:r>
    </w:p>
    <w:p>
      <w:r/>
      <w:r>
        <w:t>Le haut sacerdoce (ou grande-prêtrise) devait être transmis dans la famille. Le souverain sacrificateur était censé être un homme marié. La transmission héréditaire du rôle n'a pas toujours été respectée plus tard. À la mort d'Aaron, c'est l'un de ses quatre fils, Éléazar, qui devient souverain sacrificateur à sa place.</w:t>
      </w:r>
    </w:p>
    <w:p>
      <w:pPr>
        <w:pStyle w:val="Heading3"/>
      </w:pPr>
      <w:r>
        <w:t>Les sacrificateurs (ou prêtres)</w:t>
      </w:r>
    </w:p>
    <w:p>
      <w:r/>
      <w:r>
        <w:t>Les sacrificateurs entraient en fonction non pas parce qu'ils se sentaient individuellement appelés à ce ministère, mais en vertu de leur ascendance sacerdotale. Ainsi, les premiers sacrificateurs sont les quatre fils d'Aaron : Nadab, Abihu, Éléazar et Ithamar. Ces quatre hommes sont consacrés comme sacrificateurs en même temps qu'Aaron est consacré comme souverain sacrificateur (</w:t>
      </w:r>
      <w:hyperlink r:id="rId9889">
        <w:r>
          <w:rPr>
            <w:color w:val="0000EE"/>
            <w:u w:val="single"/>
          </w:rPr>
          <w:t>Ex 28.1</w:t>
        </w:r>
      </w:hyperlink>
      <w:r>
        <w:t>). Comme lui, ils ont des habits sacerdotaux. Ceux-ci sont très similaires à ceux d'Aaron mais n'incluent pas les articles spécifiques au rôle du souverain sacrificateur (son type d'éphod, le pectoral et le diadème). Le sacerdoce devait ainsi se transmettre de père en fils.</w:t>
      </w:r>
    </w:p>
    <w:p>
      <w:r/>
      <w:r>
        <w:t>La sainteté du rôle de sacrificateur était telle qu'elle était protégée de la dégradation par des lois spécifiques. Un homme descendant d'Aaron devait être conforme à d'autres exigences pour pouvoir devenir sacrificateur. Il n'avait pas le droit d'épouser une femme divorcée ou une ancienne prostituée (</w:t>
      </w:r>
      <w:hyperlink r:id="rId13351">
        <w:r>
          <w:rPr>
            <w:color w:val="0000EE"/>
            <w:u w:val="single"/>
          </w:rPr>
          <w:t>Lv 21.7</w:t>
        </w:r>
      </w:hyperlink>
      <w:r>
        <w:t xml:space="preserve">). S'il était atteint de certaines maladies ou de défauts congénitaux, il ne pouvait être sacrificateur (p. ex. un homme aveugle, boiteux, mutilé, bossu ou nain, v. </w:t>
      </w:r>
      <w:hyperlink r:id="rId13352">
        <w:r>
          <w:rPr>
            <w:color w:val="0000EE"/>
            <w:u w:val="single"/>
          </w:rPr>
          <w:t>16–23</w:t>
        </w:r>
      </w:hyperlink>
      <w:r>
        <w:t>). Le principe était similaire à celui s'appliquant aux animaux utilisés comme sacrifices : seuls ceux exempts de tout défaut ou de toute imperfection convenaient au culte de Dieu.</w:t>
      </w:r>
    </w:p>
    <w:p>
      <w:r/>
      <w:r>
        <w:t>Le texte biblique donne quelques précisions sur les fonctions spécifiques des sacrificateurs alors que le rôle en est encore à ses débuts. Éléazar est responsable du tabernacle et de ses offrandes (</w:t>
      </w:r>
      <w:hyperlink r:id="rId13353">
        <w:r>
          <w:rPr>
            <w:color w:val="0000EE"/>
            <w:u w:val="single"/>
          </w:rPr>
          <w:t>Nb 4.16</w:t>
        </w:r>
      </w:hyperlink>
      <w:r>
        <w:t>). Il assiste Moïse dans certaines tâches, comme le dénombrement du peuple et le partage du pays entre les tribus (</w:t>
      </w:r>
      <w:hyperlink r:id="rId13354">
        <w:r>
          <w:rPr>
            <w:color w:val="0000EE"/>
            <w:u w:val="single"/>
          </w:rPr>
          <w:t xml:space="preserve">26.1–2 </w:t>
        </w:r>
      </w:hyperlink>
      <w:r>
        <w:t xml:space="preserve">; </w:t>
      </w:r>
      <w:hyperlink r:id="rId13355">
        <w:r>
          <w:rPr>
            <w:color w:val="0000EE"/>
            <w:u w:val="single"/>
          </w:rPr>
          <w:t>32.2</w:t>
        </w:r>
      </w:hyperlink>
      <w:r>
        <w:t>). Plus tard, il sert de conseiller à Josué. Ithamar est responsable de la construction du tabernacle (</w:t>
      </w:r>
      <w:hyperlink r:id="rId13356">
        <w:r>
          <w:rPr>
            <w:color w:val="0000EE"/>
            <w:u w:val="single"/>
          </w:rPr>
          <w:t>Ex 38.21</w:t>
        </w:r>
      </w:hyperlink>
      <w:r>
        <w:t>) et supervise les familles des Guerschonites et des Merarites (</w:t>
      </w:r>
      <w:hyperlink r:id="rId13357">
        <w:r>
          <w:rPr>
            <w:color w:val="0000EE"/>
            <w:u w:val="single"/>
          </w:rPr>
          <w:t>Nb 4.28–33</w:t>
        </w:r>
      </w:hyperlink>
      <w:r>
        <w:t>). Nadab et Abihu, cependant, meurent peu après leur consécration parce qu'ils commettent un péché grave pendant l'exercice de leurs fonctions sacerdotales (</w:t>
      </w:r>
      <w:hyperlink r:id="rId10233">
        <w:r>
          <w:rPr>
            <w:color w:val="0000EE"/>
            <w:u w:val="single"/>
          </w:rPr>
          <w:t>Lv 10.1–7</w:t>
        </w:r>
      </w:hyperlink>
      <w:r>
        <w:t xml:space="preserve">), peut-être en partie dû à l'ivresse (v. </w:t>
      </w:r>
      <w:hyperlink r:id="rId13358">
        <w:r>
          <w:rPr>
            <w:color w:val="0000EE"/>
            <w:u w:val="single"/>
          </w:rPr>
          <w:t>8–9</w:t>
        </w:r>
      </w:hyperlink>
      <w:r>
        <w:t>).</w:t>
      </w:r>
    </w:p>
    <w:p>
      <w:r/>
      <w:r>
        <w:t>Les fonctions des sacrificateurs concernaient principalement trois domaines (</w:t>
      </w:r>
      <w:hyperlink r:id="rId9883">
        <w:r>
          <w:rPr>
            <w:color w:val="0000EE"/>
            <w:u w:val="single"/>
          </w:rPr>
          <w:t>Dt 33.8–10</w:t>
        </w:r>
      </w:hyperlink>
      <w:r>
        <w:t xml:space="preserve">). Premièrement, les sacrificateurs avaient pour responsabilité, avec le souverain sacrificateur, de déclarer la volonté de Dieu au peuple. Deuxièmement, ils avaient des responsabilités d'éducation religieuse : ils devaient enseigner à Israël les ordonnances et la loi de Dieu (v. </w:t>
      </w:r>
      <w:hyperlink r:id="rId4524">
        <w:r>
          <w:rPr>
            <w:color w:val="0000EE"/>
            <w:u w:val="single"/>
          </w:rPr>
          <w:t>10</w:t>
        </w:r>
      </w:hyperlink>
      <w:r>
        <w:t>). Troisièmement, ils devaient servir au tabernacle et participer aux sacrifices et au culte d'Israël. Ils avaient d'autres responsabilités qui étaient partagées avec les lévites.</w:t>
      </w:r>
    </w:p>
    <w:p>
      <w:r/>
      <w:r>
        <w:t>Les sacrificateurs, ainsi que tous les autres lévites, ne possédaient pas de terres, contrairement aux autres tribus israélites. Ils devaient être entièrement consacrés au service de Dieu. Le fait de ne pas avoir pas de terres signifiait qu'ils ne pouvaient pas subvenir à leurs propres besoins. Par conséquent, la loi commandait que le peuple le fasse. Les sacrificateurs recevaient des portions prises sur les animaux sacrifiés au tabernacle, ainsi que du maïs, du vin, de l'huile et de la laine.</w:t>
      </w:r>
    </w:p>
    <w:p>
      <w:pPr>
        <w:pStyle w:val="Heading3"/>
      </w:pPr>
      <w:r>
        <w:t>Les Lévites, les lévites</w:t>
      </w:r>
    </w:p>
    <w:p>
      <w:r/>
      <w:r>
        <w:t>Le terme « Lévites » (avec majuscule) est utilisé pour désigner les membres de la tribu de Lévi en général. Ainsi, le terme « Lévites » peut inclure les sacrificateurs au sens large, les fils d'Aaron appartenant aussi à la tribu de Lévi. Le terme « lévites » (sans majuscule) est utilisé pour désigner les membres de la tribu de Lévi qui n'étaient pas sacrificateurs, mais qui servaient au tabernacle et plus tard au Temple. Le terme « Lévites » peut bien sûr désigner les « lévites » également. Les lévites étaient subordonnés aux sacrificateurs ; c'était leur métier de les assister. Les lévites étaient eux aussi payés en argent ou en biens. Il ne recevaient pas non plus de territoires tribaux. Cependant, un certain nombre de villes leur étaient réservées avec des pâturages tout autour pour leur bétail (</w:t>
      </w:r>
      <w:hyperlink r:id="rId7583">
        <w:r>
          <w:rPr>
            <w:color w:val="0000EE"/>
            <w:u w:val="single"/>
          </w:rPr>
          <w:t>Nb 35.1–8</w:t>
        </w:r>
      </w:hyperlink>
      <w:r>
        <w:t>).</w:t>
      </w:r>
    </w:p>
    <w:p>
      <w:r/>
      <w:r>
        <w:t>La tribu des Lévites était divisée en trois familles principales : les descendants de Kehath, de Guerschon et de Merari (</w:t>
      </w:r>
      <w:hyperlink r:id="rId1186">
        <w:r>
          <w:rPr>
            <w:color w:val="0000EE"/>
            <w:u w:val="single"/>
          </w:rPr>
          <w:t>Nb 4</w:t>
        </w:r>
      </w:hyperlink>
      <w:r>
        <w:t>). Chacune de ces familles avait la responsabilité de tâches spécifiques pour l'entretien et le transport du tabernacle. Les fils de Kehath transportaient le mobilier du tabernacle qui avait d'abord été recouvert par les sacrificateurs. Les fils de Guerschon s'occupaient des couvertures et des panneaux. Les fils de Merari transportaient et dressaient la structure du tabernacle. Les lévites servaient au tabernacle depuis l'âge de 25 ans jusqu'à l'âge de 50 ans (</w:t>
      </w:r>
      <w:hyperlink r:id="rId13359">
        <w:r>
          <w:rPr>
            <w:color w:val="0000EE"/>
            <w:u w:val="single"/>
          </w:rPr>
          <w:t>8.24–26</w:t>
        </w:r>
      </w:hyperlink>
      <w:r>
        <w:t xml:space="preserve">). De leur côté, les sacrificateurs avaient la responsabilité du transport de l'arche de l'alliance. </w:t>
      </w:r>
    </w:p>
    <w:p>
      <w:r/>
      <w:r>
        <w:t>Même si beaucoup de tâches des lévites étaient banales, ils avaient également un rôle religieux très important. Selon la loi, tous les premiers-nés des animaux et des israélites devaient être donnés à Dieu. Cela servait de rappel que Dieu avait frappé tous les premiers-nés égyptiens lors de l'exode, mais qu'il avait épargné les premiers-nés israélites. Les premiers-nés des animaux étaient offerts en sacrifice à Dieu. Cependant, les Lévites étaient consacrés au service de Dieu en remplacement des fils premiers-nés d'Israël (</w:t>
      </w:r>
      <w:hyperlink r:id="rId13360">
        <w:r>
          <w:rPr>
            <w:color w:val="0000EE"/>
            <w:u w:val="single"/>
          </w:rPr>
          <w:t>Nb 3.11–13</w:t>
        </w:r>
      </w:hyperlink>
      <w:r>
        <w:t xml:space="preserve">). Leur bétail était également accepté à la place des premiers-nés des animaux des Israélites. Lors du recensement effectué à l'époque de Moïse, le nombre des premiers-nés israélites dépassait celui des Lévites. Cinq sicles ont dû être donnés en offrande pour le rachat de chaque personne en trop (v. </w:t>
      </w:r>
      <w:hyperlink r:id="rId13361">
        <w:r>
          <w:rPr>
            <w:color w:val="0000EE"/>
            <w:u w:val="single"/>
          </w:rPr>
          <w:t>40–51</w:t>
        </w:r>
      </w:hyperlink>
      <w:r>
        <w:t>). Ainsi les Lévites (et par conséquent, les lévites) avaient aussi un rôle de représentants et de substituts dans la religion israélite. Comme les sacrificateurs, ils jouaient un rôle dans le ministère de médiation entre Dieu et Israël.</w:t>
      </w:r>
    </w:p>
    <w:p>
      <w:r/>
      <w:r>
        <w:t>Des lois du Deutéronome indiquent qu'un certain nombre de responsabilités pouvaient être accomplies par les sacrificateurs et les lévites. Cependant, ces passages ne sont pas très clairs. Ces responsabilités incluaient la participation à un tribunal en tant que juges, peut-être particulièrement pour les crimes de nature religieuse (</w:t>
      </w:r>
      <w:hyperlink r:id="rId13362">
        <w:r>
          <w:rPr>
            <w:color w:val="0000EE"/>
            <w:u w:val="single"/>
          </w:rPr>
          <w:t>Dt 17.8–9</w:t>
        </w:r>
      </w:hyperlink>
      <w:r>
        <w:t xml:space="preserve">). Le livre de la loi leur était confié (v. </w:t>
      </w:r>
      <w:hyperlink r:id="rId7538">
        <w:r>
          <w:rPr>
            <w:color w:val="0000EE"/>
            <w:u w:val="single"/>
          </w:rPr>
          <w:t>18</w:t>
        </w:r>
      </w:hyperlink>
      <w:r>
        <w:t>). Ils inspectaient l'état de santé des lépreux et décidaient de ce qui devait être fait (</w:t>
      </w:r>
      <w:hyperlink r:id="rId13363">
        <w:r>
          <w:rPr>
            <w:color w:val="0000EE"/>
            <w:u w:val="single"/>
          </w:rPr>
          <w:t>24.8</w:t>
        </w:r>
      </w:hyperlink>
      <w:r>
        <w:t>). Ils participaient directement aux cérémonies de renouvellement de l'alliance (</w:t>
      </w:r>
      <w:hyperlink r:id="rId13364">
        <w:r>
          <w:rPr>
            <w:color w:val="0000EE"/>
            <w:u w:val="single"/>
          </w:rPr>
          <w:t>27.9</w:t>
        </w:r>
      </w:hyperlink>
      <w:r>
        <w:t>).</w:t>
      </w:r>
    </w:p>
    <w:p>
      <w:pPr>
        <w:pStyle w:val="Heading3"/>
      </w:pPr>
      <w:r>
        <w:t>Histoire des rôles de sacrificateur et de lévite</w:t>
      </w:r>
    </w:p>
    <w:p>
      <w:r/>
      <w:r>
        <w:t>En théorie, la loi de l'alliance de Moïse a défini le rôle et le fonctionnement des ministères des sacrificateurs et des lévites pour Israël dans la suite. Cependant, dans la pratique, certaines situations historiques et le développement de la religion et de la culture d'Israël ont modifié le fonctionnement du sacerdoce et le rôle des lévites au fil du temps.</w:t>
      </w:r>
      <w:r>
        <w:rPr>
          <w:b/>
          <w:i/>
        </w:rPr>
        <w:t xml:space="preserve"> </w:t>
      </w:r>
      <w:r>
        <w:t>Bien plus encore, les individus qui ont occupé ces postes les ont influencés et ont eu un impact sur leur efficacité selon leur fidélité ou leur infidélité.</w:t>
      </w:r>
    </w:p>
    <w:p>
      <w:pPr>
        <w:pStyle w:val="Heading4"/>
      </w:pPr>
      <w:r>
        <w:t>Le sacerdoce avant la monarchie</w:t>
      </w:r>
    </w:p>
    <w:p>
      <w:r/>
      <w:r>
        <w:t xml:space="preserve">À l'époque de Josué, les sacrificateurs continuent de porter l'arche de l'alliance. Les lévites aident à faire le partage des terres nouvellement conquises et à les attribuer aux tribus israélites. </w:t>
      </w:r>
      <w:hyperlink r:id="rId8069">
        <w:r>
          <w:rPr>
            <w:color w:val="0000EE"/>
            <w:u w:val="single"/>
          </w:rPr>
          <w:t>Josué 21</w:t>
        </w:r>
      </w:hyperlink>
      <w:r>
        <w:t xml:space="preserve"> donne une liste détaillée des villes attribuées aux sacrificateurs et aux Lévites en suivant les instructions de la loi. À l'époque de la colonisation qui suit la conquête, il y a quelques indications que la tâche sacerdotale du transport de l'arche revient désormais aux lévites (</w:t>
      </w:r>
      <w:hyperlink r:id="rId13365">
        <w:r>
          <w:rPr>
            <w:color w:val="0000EE"/>
            <w:u w:val="single"/>
          </w:rPr>
          <w:t xml:space="preserve">1S 6.15 </w:t>
        </w:r>
      </w:hyperlink>
      <w:r>
        <w:t xml:space="preserve">; </w:t>
      </w:r>
      <w:hyperlink r:id="rId13366">
        <w:r>
          <w:rPr>
            <w:color w:val="0000EE"/>
            <w:u w:val="single"/>
          </w:rPr>
          <w:t>2S 15.24</w:t>
        </w:r>
      </w:hyperlink>
      <w:r>
        <w:t>).</w:t>
      </w:r>
    </w:p>
    <w:p>
      <w:r/>
      <w:r>
        <w:t>L'auteur du livre des Juges relate deux histoires qui concernent des Lévites. La première est l'histoire de Mica (</w:t>
      </w:r>
      <w:hyperlink r:id="rId6627">
        <w:r>
          <w:rPr>
            <w:color w:val="0000EE"/>
            <w:u w:val="single"/>
          </w:rPr>
          <w:t>Jg 17–18</w:t>
        </w:r>
      </w:hyperlink>
      <w:r>
        <w:t>). Elle décrit l'établissement d'un sanctuaire local pour lequel le fils de Mica est nommé sacrificateur alors qu'il n'est ni descendant d'Aaron, ni même Lévite. Plus tard, Mica engage un Lévite itinérant pour le servir comme sacrificateur à son sanctuaire. Ce Lévite est ensuite persuadé de se mettre au service de la tribu de Dan en tant que sacrificateur. Ce qui se passe dans cette histoire n'est pas conforme aux instructions de la loi concernant les sacrificateurs et des lévites. Mais ce récit illustre probablement l'état de confusion régnant sur la religion en Israël à cette époque. La particularité de cette histoire est que le rôle du lévite/sacrificateur est principalement de révéler la volonté de Dieu (</w:t>
      </w:r>
      <w:hyperlink r:id="rId13367">
        <w:r>
          <w:rPr>
            <w:color w:val="0000EE"/>
            <w:u w:val="single"/>
          </w:rPr>
          <w:t>18.5–6</w:t>
        </w:r>
      </w:hyperlink>
      <w:r>
        <w:t xml:space="preserve">). Le deuxième récit est l'horrible histoire d'un Lévite et de sa concubine (chap. </w:t>
      </w:r>
      <w:hyperlink r:id="rId3043">
        <w:r>
          <w:rPr>
            <w:color w:val="0000EE"/>
            <w:u w:val="single"/>
          </w:rPr>
          <w:t>19</w:t>
        </w:r>
      </w:hyperlink>
      <w:r>
        <w:t>). Ces événements illustrent la dégradation morale et le manque de loi et d'ordre en Israël à cette époque, mais sont peu informatifs concernant le rôle des lévites.</w:t>
      </w:r>
    </w:p>
    <w:p>
      <w:r/>
      <w:r>
        <w:t>Plus d'informations sur le sacerdoce proviennent du 11</w:t>
      </w:r>
      <w:r>
        <w:rPr>
          <w:vertAlign w:val="superscript"/>
        </w:rPr>
        <w:t>e</w:t>
      </w:r>
      <w:r>
        <w:t xml:space="preserve"> siècle av. J.-C., juste avant l'établissement de la monarchie. Le tabernacle, probablement une structure semi-permanente à cette époque-là, se trouve à Silo, ainsi que l'arche de l'alliance. Le sacrificateur responsable du sanctuaire à Silo est Éli, qui est peut-être un descendant d'Ithamar, le fils d'Aaron. Ses deux fils, Hophni et Phinées, sont également sacrificateurs. Ceci indique que le principe héréditaire de la transmission du sacerdoce est toujours en vigueur. Éli est un sacrificateur fidèle, mais ses deux fils profitent de leurs postes pour faire le mal.</w:t>
      </w:r>
    </w:p>
    <w:p>
      <w:r/>
      <w:r>
        <w:t xml:space="preserve">Le rôle précis de Samuel durant cette période est incertain. Il est principalement juge et prophète, mais il est difficile de déterminer s'il est également sacrificateur. Il n'est pas désigné comme sacrificateur dans l'histoire de son ministère, mais il est possible que le </w:t>
      </w:r>
      <w:hyperlink r:id="rId13368">
        <w:r>
          <w:rPr>
            <w:color w:val="0000EE"/>
            <w:u w:val="single"/>
          </w:rPr>
          <w:t>Psaume 99.6</w:t>
        </w:r>
      </w:hyperlink>
      <w:r>
        <w:t xml:space="preserve"> indique qu'il était considéré comme tel. Plusieurs passages indiquent qu'il agit comme s'il en était un. Il présente les sacrifices à Dieu (</w:t>
      </w:r>
      <w:hyperlink r:id="rId13369">
        <w:r>
          <w:rPr>
            <w:color w:val="0000EE"/>
            <w:u w:val="single"/>
          </w:rPr>
          <w:t>1S 7.9–10</w:t>
        </w:r>
      </w:hyperlink>
      <w:r>
        <w:t xml:space="preserve">). Jeune homme, il sert au sanctuaire de Silo et porte un éphod (chap. </w:t>
      </w:r>
      <w:hyperlink r:id="rId13370">
        <w:r>
          <w:rPr>
            <w:color w:val="0000EE"/>
            <w:u w:val="single"/>
          </w:rPr>
          <w:t>2</w:t>
        </w:r>
      </w:hyperlink>
      <w:r>
        <w:t>). De plus, l'une des généalogies bibliques indique son ascendance sacerdotale (</w:t>
      </w:r>
      <w:hyperlink r:id="rId13371">
        <w:r>
          <w:rPr>
            <w:color w:val="0000EE"/>
            <w:u w:val="single"/>
          </w:rPr>
          <w:t>1Ch 6.23–30</w:t>
        </w:r>
      </w:hyperlink>
      <w:r>
        <w:t>). Néanmoins, il n'est principalement pas décrit comme sacrificateur et l'introduction de son histoire le présente comme Éphraïmite, du côté de son père (</w:t>
      </w:r>
      <w:hyperlink r:id="rId1299">
        <w:r>
          <w:rPr>
            <w:color w:val="0000EE"/>
            <w:u w:val="single"/>
          </w:rPr>
          <w:t>1S 1.1</w:t>
        </w:r>
      </w:hyperlink>
      <w:r>
        <w:t xml:space="preserve">) et non comme Lévite. Si le sacrificateur est compris comme un serviteur permanent au sanctuaire, comme Éli, alors il est clair que Samuel n'en est pas un. Mais son ministère sacerdotal vient peut-être du fait que sa mère l'a « prêté » à Dieu dès son plus jeune âge (v. </w:t>
      </w:r>
      <w:hyperlink r:id="rId13372">
        <w:r>
          <w:rPr>
            <w:color w:val="0000EE"/>
            <w:u w:val="single"/>
          </w:rPr>
          <w:t>28</w:t>
        </w:r>
      </w:hyperlink>
      <w:r>
        <w:t>).</w:t>
      </w:r>
    </w:p>
    <w:p>
      <w:pPr>
        <w:pStyle w:val="Heading4"/>
      </w:pPr>
      <w:r>
        <w:t>Le sacerdoce à l'époque de David et de Salomon</w:t>
      </w:r>
    </w:p>
    <w:p>
      <w:r/>
      <w:r>
        <w:t>Plusieurs changements radicaux ont lieu pendant les règnes de David et de Salomon. Ceux-ci sont principalement le résultat de l'établissement d'un Temple permanent à Jérusalem dans lequel l'arche de l'alliance réside désormais. À l'époque de Saül, le premier roi d'Israël, la situation sociétaire est essentiellement la même qu'à l'époque des juges. Saül, en tant que roi, est un chef militaire, mais son rapport à la religion et au sacerdoce n'est pas clairement déterminé.</w:t>
      </w:r>
    </w:p>
    <w:p>
      <w:r/>
      <w:r>
        <w:t>David change cette situation de façon importante sur bien des plans. Après avoir capturé Jérusalem, il en fait la capitale politique et religieuse de la nation. La centralité religieuse de Jérusalem est assurée quand David y déplace l'arche de l'alliance ainsi que le tabernacle. Jérusalem devient désormais le lieu de résidence permanent de l'arche et ainsi le centre permanent de la religion. En parallèle, les sanctuaires régionaux qui s'étaient développés pendant la période pré-monarchique sont progressivement éliminés.</w:t>
      </w:r>
    </w:p>
    <w:p>
      <w:r/>
      <w:r>
        <w:t>Ces changements ont de nombreuses conséquences pour le sacerdoce et les lévites. Pendant le règne de David, il y a deux sacrificateurs principaux : Abiathar et Tsadok. Abiathar, auparavant sacrificateur à Nob, rejoint David avant son accession au pouvoir. Abiathar semble être un descendant d'Éli, et par lui, d'Ithamar, l'un des fils d'Aaron. Les origines de Tsadok sont moins claires, mais sa lignée semble remonter à l'autre fils d'Aaron, Éléazar. Ces deux sacrificateurs sont toujours nommés ensemble dans les textes du règne de David, et Tsadok est toujours mentionné avant Abiathar. Aucun des deux n'est explicitement désigné comme souverain sacrificateur dans les textes anciens, mais il y a des indications que c'est Abiathar qui l'était (</w:t>
      </w:r>
      <w:hyperlink r:id="rId13373">
        <w:r>
          <w:rPr>
            <w:color w:val="0000EE"/>
            <w:u w:val="single"/>
          </w:rPr>
          <w:t>1R 2.35</w:t>
        </w:r>
      </w:hyperlink>
      <w:r>
        <w:t>). Il est identifié comme tel dans le NT (</w:t>
      </w:r>
      <w:hyperlink r:id="rId34">
        <w:r>
          <w:rPr>
            <w:color w:val="0000EE"/>
            <w:u w:val="single"/>
          </w:rPr>
          <w:t>Mc 2.26</w:t>
        </w:r>
      </w:hyperlink>
      <w:r>
        <w:t>). Pendant le règne de David, Tsadok est peut-être particulièrement chargé de l'entretien de l'arche de l'alliance (</w:t>
      </w:r>
      <w:hyperlink r:id="rId13374">
        <w:r>
          <w:rPr>
            <w:color w:val="0000EE"/>
            <w:u w:val="single"/>
          </w:rPr>
          <w:t>2S 15.24–25</w:t>
        </w:r>
      </w:hyperlink>
      <w:r>
        <w:t>). Ces deux sacrificateurs ont des rôles importants pendant le règne de David. Ils se sont peut-être partagé la responsabilité de l'ensemble des sacrificateurs, dont la vie est désormais centrée autour du temple de Jérusalem.</w:t>
      </w:r>
    </w:p>
    <w:p>
      <w:r/>
      <w:r>
        <w:t xml:space="preserve">David consacre une grande partie de son règne à préparer la construction d'un temple permanent pour Dieu. Les lévites reçoivent de nouvelles responsabilités pendant ces préparatifs et aussi une fois la construction terminée pendant le règne de Salomon. Il n'y a plus besoin de transporter et d'entretenir le tabernacle. Un grand nombre de lévites sont employés comme ouvriers dans la construction même du Temple. D'autres servent désormais dans le culte de Dieu au tabernacle pendant le règne de David, puis dans le Temple une fois qu'il est terminé. </w:t>
      </w:r>
    </w:p>
    <w:p>
      <w:r/>
      <w:r>
        <w:t>Des lévites, notamment Héman, Asaph et Éthan, sont chargés de diriger la musique d'adoration. Ce ministère inclut la composition, le chant, et le jeu d'instrument en orchestre au Temple. Les lévites ont la responsabilité d'autres tâches, certaines d'entres elles nouvelles : garde des portes du Temple, assistance des sacrificateurs pour la préparation des sacrifices, sécurité du Temple, entretien et fonctions administratives et juridiques (</w:t>
      </w:r>
      <w:hyperlink r:id="rId9988">
        <w:r>
          <w:rPr>
            <w:color w:val="0000EE"/>
            <w:u w:val="single"/>
          </w:rPr>
          <w:t>1Ch 23.1–32</w:t>
        </w:r>
      </w:hyperlink>
      <w:r>
        <w:t>). D'autres lévites sont trésoriers, responsables du trésor du Temple (</w:t>
      </w:r>
      <w:hyperlink r:id="rId13375">
        <w:r>
          <w:rPr>
            <w:color w:val="0000EE"/>
            <w:u w:val="single"/>
          </w:rPr>
          <w:t>26.20–28</w:t>
        </w:r>
      </w:hyperlink>
      <w:r>
        <w:t>).</w:t>
      </w:r>
    </w:p>
    <w:p>
      <w:r/>
      <w:r>
        <w:t>À la fin du règne de David, il y a rivalité concernant la succession au trône. Salomon l'emporte et devient le nouveau roi. Pendant son règne, la construction du Temple est achevée et il devient l'endroit désigné pour le culte régulier de la nation. Abiathar avait donné son soutien à un rival de Salomon pour la succession au trône. Quand ce dernier l'emporte, Abiathar perd son poste important à la cour royale. Pendant le règne de Salomon, Tsadok devient chef des sacrificateurs.</w:t>
      </w:r>
    </w:p>
    <w:p>
      <w:pPr>
        <w:pStyle w:val="Heading4"/>
      </w:pPr>
      <w:r>
        <w:t>Le sacerdoce pendant la monarchie divisée</w:t>
      </w:r>
    </w:p>
    <w:p>
      <w:r/>
      <w:r>
        <w:t>Le grand empire établi par David et maintenu par Salomon, s'effondre après la mort de ce dernier. Deux nouveaux États relativement insignifiants y succèdent. Le royaume du Sud (Juda) garde Jérusalem comme capitale et le Temple comme centre religieux. Le royaume du Nord (Israël) établit sa première capitale à Sichem, avant de la déplacer ensuite à Thirtsa.</w:t>
      </w:r>
    </w:p>
    <w:p>
      <w:r/>
      <w:r>
        <w:t>Dans le royaume de Juda, sacrificateurs et lévites continuent à servir au temple de Jérusalem. Le titre et le rôle de souverain sacrificateur continue à être transmis héréditairement dans la famille de Tsadok. Cette ligne de succession au haut sacerdoce continue jusqu'à l'époque du second Temple. Elle est interrompue vers 171 av. J.-C. Malgré cette continuité à Jérusalem, des problèmes religieux surviennent en Juda pendant le règne de son premier roi, Roboam, et ceux de ses successeurs. Durant le règne de Roboam, la religion et le sacerdoce s'affaiblissent, concurrencés par des pratiques religieuses populaires d'origine étrangère (</w:t>
      </w:r>
      <w:hyperlink r:id="rId1027">
        <w:r>
          <w:rPr>
            <w:color w:val="0000EE"/>
            <w:u w:val="single"/>
          </w:rPr>
          <w:t>1R 14.22–24</w:t>
        </w:r>
      </w:hyperlink>
      <w:r>
        <w:t xml:space="preserve">). L'histoire du royaume du Sud est caractérisée par des périodes d'affaiblissement religieux suivies de réformes. Les réformes sont souvent dues à l'activité des prophètes. Le sacerdoce ne donne que trop rarement une direction spirituelle et les sacrificateurs sont eux-mêmes souvent l'objet de réprimandes de la part des prophètes (p. ex. </w:t>
      </w:r>
      <w:hyperlink r:id="rId13376">
        <w:r>
          <w:rPr>
            <w:color w:val="0000EE"/>
            <w:u w:val="single"/>
          </w:rPr>
          <w:t>Jr 2.8, 26</w:t>
        </w:r>
      </w:hyperlink>
      <w:r>
        <w:t>).</w:t>
      </w:r>
    </w:p>
    <w:p>
      <w:r/>
      <w:r>
        <w:t>Le royaume du Nord, dont Jéroboam I</w:t>
      </w:r>
      <w:r>
        <w:rPr>
          <w:vertAlign w:val="superscript"/>
        </w:rPr>
        <w:t>er</w:t>
      </w:r>
      <w:r>
        <w:t xml:space="preserve"> est le premier roi, s'estime obligé d'introduire des changements religieux radicaux. Jéroboam ne veut pas accorder son soutien au culte du temple de Jérusalem. En effet, le Temple se trouve en dehors de son territoire national et est associé à la lignée royale de David. Jéroboam se sent menacé et met donc en place deux sanctuaires principaux dans son territoire. Ils auront un rôle important pendant toute l'histoire relativement courte (200 ans) du royaume du Nord. Le premier est situé à Béthel, dans la partie sud du royaume, près de la frontière de Juda. Il est au nord de Jérusalem, à seulement 19,3 kilomètres de celle-ci. Le second sanctuaire est à Dan, à l'extrémité nord du royaume.</w:t>
      </w:r>
    </w:p>
    <w:p>
      <w:r/>
      <w:r>
        <w:t>Ces deux sanctuaires sont liés à des traditions hébraïques anciennes. Béthel est mentionné dès l'époque d'Abram (</w:t>
      </w:r>
      <w:hyperlink r:id="rId88">
        <w:r>
          <w:rPr>
            <w:color w:val="0000EE"/>
            <w:u w:val="single"/>
          </w:rPr>
          <w:t>Gn 12.8</w:t>
        </w:r>
      </w:hyperlink>
      <w:r>
        <w:t>), et le sanctuaire de Dan est connu depuis le temps des juges (</w:t>
      </w:r>
      <w:hyperlink r:id="rId7188">
        <w:r>
          <w:rPr>
            <w:color w:val="0000EE"/>
            <w:u w:val="single"/>
          </w:rPr>
          <w:t>Jg 18</w:t>
        </w:r>
      </w:hyperlink>
      <w:r>
        <w:t>). Il est possible qu'il y ait encore eu des sacrificateurs et des lévites (descendants des anciens serviteurs dans ces sanctuaires) vivant en ces deux lieux. Mais Jéroboam établit un sacerdoce non-lévitique dans ces sanctuaires et dans d'autres petits sanctuaires ou « hauts lieux », afin de se séparer encore plus radicalement de Jérusalem et du royaume de Sud. Le sanctuaire royal de Béthel, si proche du temple de Jérusalem, est peut-être délibérément placé là pour lui faire concurrence.</w:t>
      </w:r>
    </w:p>
    <w:p>
      <w:r/>
      <w:r>
        <w:t>L'histoire du sacerdoce dans le royaume du Nord n'est pas plus impressionnante qu'en Juda. Beaucoup de prophètes, y compris Amos, Osée et Jérémie, condamnent les sanctuaires du nord et leurs sacrificateurs. Osée utilise des mots forts pour les condamner : « La troupe des sacrificateurs est comme une bande en embuscade, Commettant des assassinats sur le chemin de Sichem ; Car ils se livrent au crime » (</w:t>
      </w:r>
      <w:hyperlink r:id="rId11454">
        <w:r>
          <w:rPr>
            <w:color w:val="0000EE"/>
            <w:u w:val="single"/>
          </w:rPr>
          <w:t>Os 6.9</w:t>
        </w:r>
      </w:hyperlink>
      <w:r>
        <w:t>). Ceux à qui la vie spirituelle du peuple élu a été confiée ne sont que rarement à la hauteur de leurs responsabilités.</w:t>
      </w:r>
    </w:p>
    <w:p>
      <w:pPr>
        <w:pStyle w:val="Heading4"/>
      </w:pPr>
      <w:r>
        <w:t>Les sacrificateurs et les lévites pendant et après l'exil</w:t>
      </w:r>
    </w:p>
    <w:p>
      <w:r/>
      <w:r>
        <w:t>Le royaume du Nord s'éteint en 722 av. J.-C., vaincu et conquis par l'Assyrie. La vie religieuse continue en Juda pendant un peu plus longtemps. Finalement, le royaume du Sud tombe également en 586 av. J.-C. La défaite par les Babyloniens s'accompagne de la destruction de Jérusalem et de son Temple (</w:t>
      </w:r>
      <w:hyperlink r:id="rId13377">
        <w:r>
          <w:rPr>
            <w:color w:val="0000EE"/>
            <w:u w:val="single"/>
          </w:rPr>
          <w:t>Lm 2.20</w:t>
        </w:r>
      </w:hyperlink>
      <w:r>
        <w:t>). Le commandant babylonien emmène Seraja, le souverain sacrificateur, et Sophonie, son assistant, à Ribla, où ils sont exécutés avec d'autres fonctionnaires de la cour (</w:t>
      </w:r>
      <w:hyperlink r:id="rId13378">
        <w:r>
          <w:rPr>
            <w:color w:val="0000EE"/>
            <w:u w:val="single"/>
          </w:rPr>
          <w:t>2R 25.18–21</w:t>
        </w:r>
      </w:hyperlink>
      <w:r>
        <w:t>). Après cela, Babylone applique sa politique d'exil : les personnes les plus importantes et influentes de Juda sont exilées à Babylone. Les autres sont autorisées à rester, car elles ne représentent que peu de risque de causer des problèmes. Parmi les exilés de Juda, il y a probablement beaucoup de sacrificateurs (</w:t>
      </w:r>
      <w:hyperlink r:id="rId13379">
        <w:r>
          <w:rPr>
            <w:color w:val="0000EE"/>
            <w:u w:val="single"/>
          </w:rPr>
          <w:t>Jr 29.1</w:t>
        </w:r>
      </w:hyperlink>
      <w:r>
        <w:t>), à cause de leur influence. Par contre, il est probable qu'un nombre bien moindre de lévites aient été exilés, à cause de l'infériorité de leur position sociale.</w:t>
      </w:r>
    </w:p>
    <w:p>
      <w:r/>
      <w:r>
        <w:t>À Jérusalem, il y a peu d'activité religieuse régulière pendant les années d'exil. L'autel des sacrifices est détruit et n'est restauré qu'après l'exil. Certaines activités continuent peut-être, mais à un niveau nettement moindre qu'avant l'exil. La plupart des sacrificateurs sont exilés à Babylone. Ils ne peuvent pas remplir leurs fonctions puisqu'il n'y a ni temple ni sanctuaire de Dieu là où ils sont. Ézéchiel laisse entendre que Dieu lui-même est le seul « sanctuaire » des exilés (</w:t>
      </w:r>
      <w:hyperlink r:id="rId13380">
        <w:r>
          <w:rPr>
            <w:color w:val="0000EE"/>
            <w:u w:val="single"/>
          </w:rPr>
          <w:t>Ez 11.16</w:t>
        </w:r>
      </w:hyperlink>
      <w:r>
        <w:t>, le mot « asile » peut être compris dans ce sens, voir Bibles Annotée, de Lausanne et Segond 21). Ce n'est qu'au retour de l'exil et à la restauration de Jérusalem et de son Temple que les sacrificateurs et les lévites reprennent leurs fonctions normales.</w:t>
      </w:r>
    </w:p>
    <w:p>
      <w:r/>
      <w:r>
        <w:t>Après la défaite de l'Empire babylonien, les nouveaux conquérants perses mettent en place une politique permettant aux exilés hébreux de retourner chez eux. Parmi ceux qui reviennent, 4 289 sacrificateurs et membres de familles sacerdotales sont comptés, pour seulement 341 lévites (</w:t>
      </w:r>
      <w:hyperlink r:id="rId13381">
        <w:r>
          <w:rPr>
            <w:color w:val="0000EE"/>
            <w:u w:val="single"/>
          </w:rPr>
          <w:t>Esd 2.36–42</w:t>
        </w:r>
      </w:hyperlink>
      <w:r>
        <w:t xml:space="preserve">). Cette différence s'explique probablement par la différence du nombre initial de ceux de chaque groupe ayant été exilés. </w:t>
      </w:r>
    </w:p>
    <w:p>
      <w:r/>
      <w:r>
        <w:t>Sous la direction du souverain sacrificateur Josué (aussi appelé Jéshua ou Yéchoua) et de Zorobabel, la restauration du Temple commence. Les sacrificateurs ont un rôle important dès la première année de retour dans la restauration de l'autel à Jérusalem. Le but est de pouvoir reprendre les sacrifices et le culte à Dieu. Une fois la restauration de l'autel achevée, le travail de restauration du Temple lui-même commence (la deuxième année après le retour). Sacrificateurs et lévites y participent. De nouvelles fondations sont posées pour le Temple. Quand elles sont terminées, les sacrificateurs, vêtus de leurs habits sacerdotaux, et les lévites, chanteurs et musiciens, participent à la cérémonie de dédicace (</w:t>
      </w:r>
      <w:hyperlink r:id="rId13382">
        <w:r>
          <w:rPr>
            <w:color w:val="0000EE"/>
            <w:u w:val="single"/>
          </w:rPr>
          <w:t>3.8–13</w:t>
        </w:r>
      </w:hyperlink>
      <w:r>
        <w:t>). La même chose se fait à la dédicace du Temple une fois sa reconstruction achevée (</w:t>
      </w:r>
      <w:hyperlink r:id="rId13383">
        <w:r>
          <w:rPr>
            <w:color w:val="0000EE"/>
            <w:u w:val="single"/>
          </w:rPr>
          <w:t>6.16–18</w:t>
        </w:r>
      </w:hyperlink>
      <w:r>
        <w:t>). La restauration ne concerne pas seulement les structures matérielles. C'est également un renouveau moral et religieux. Les sacrificateurs et les lévites qui y contribuent doivent s'y soumettre aussi. Beaucoup, par exemple, ont épousé des femmes étrangères (</w:t>
      </w:r>
      <w:hyperlink r:id="rId6454">
        <w:r>
          <w:rPr>
            <w:color w:val="0000EE"/>
            <w:u w:val="single"/>
          </w:rPr>
          <w:t>9.1</w:t>
        </w:r>
      </w:hyperlink>
      <w:r>
        <w:t>) et doivent se soumettre aux lois de réforme d'Esdras et les renvoyer.</w:t>
      </w:r>
    </w:p>
    <w:p>
      <w:r/>
      <w:r>
        <w:t>Les sacrificateurs et les lévites reprennent jusqu'à un certain point leurs fonctions religieuses régulières pendant la période post-exilique. Les sacrificateurs sont chargés de la conduite du culte au Temple. Les lévites les assistent en tant que serviteurs au Temple (</w:t>
      </w:r>
      <w:hyperlink r:id="rId13384">
        <w:r>
          <w:rPr>
            <w:color w:val="0000EE"/>
            <w:u w:val="single"/>
          </w:rPr>
          <w:t>Né 11.3</w:t>
        </w:r>
      </w:hyperlink>
      <w:r>
        <w:t>), trésoriers, collecteurs de dîmes (</w:t>
      </w:r>
      <w:hyperlink r:id="rId13385">
        <w:r>
          <w:rPr>
            <w:color w:val="0000EE"/>
            <w:u w:val="single"/>
          </w:rPr>
          <w:t>10.37–39</w:t>
        </w:r>
      </w:hyperlink>
      <w:r>
        <w:t>) et instructeurs ou enseignants de la loi de Dieu (</w:t>
      </w:r>
      <w:hyperlink r:id="rId13386">
        <w:r>
          <w:rPr>
            <w:color w:val="0000EE"/>
            <w:u w:val="single"/>
          </w:rPr>
          <w:t>8.7–9</w:t>
        </w:r>
      </w:hyperlink>
      <w:r>
        <w:t>). Cependant, l'histoire du sacerdoce après l'exil n'est pas sans défaut. Le prophète Malachie dénonce des abus du sacerdoce (</w:t>
      </w:r>
      <w:hyperlink r:id="rId13387">
        <w:r>
          <w:rPr>
            <w:color w:val="0000EE"/>
            <w:u w:val="single"/>
          </w:rPr>
          <w:t>Ml 1.6–2.9</w:t>
        </w:r>
      </w:hyperlink>
      <w:r>
        <w:t>). Le prophète dresse une liste des péchés sacerdotaux qui rappelle les sacrificateurs impies du temps de la monarchie.</w:t>
      </w:r>
    </w:p>
    <w:p>
      <w:r/>
      <w:r>
        <w:t>Le rôle de souverain sacrificateur continue d'être exercé après l'exil par les descendants de Tsadok, en commençant par Josué (</w:t>
      </w:r>
      <w:hyperlink r:id="rId404">
        <w:r>
          <w:rPr>
            <w:color w:val="0000EE"/>
            <w:u w:val="single"/>
          </w:rPr>
          <w:t>Ag 1.1</w:t>
        </w:r>
      </w:hyperlink>
      <w:r>
        <w:t>). La situation politique est différente et le rôle même de souverain sacrificateur en est affecté. En effet, du temps de la monarchie, le souverain sacrificateur était subordonné au roi. Or, après l'exil, il n'y a plus de roi au sens propre. D'un point de vue politique, les Juifs font désormais partie d'une province ou d'une colonie de l'Empire perse. Ils sont en fait une communauté fondée sur leur religion commune. Le souverain sacrificateur n'est plus soumis à l'autorité séculière d'un roi juif, et son autorité religieuse est considérable. A certains égards, ses fonctions sont similaires à celles d'un roi de l'époque pré-exilique.</w:t>
      </w:r>
    </w:p>
    <w:p>
      <w:pPr>
        <w:pStyle w:val="Heading4"/>
      </w:pPr>
      <w:r>
        <w:t>Le sacerdoce à l'époque des Maccabées</w:t>
      </w:r>
    </w:p>
    <w:p>
      <w:r/>
      <w:r>
        <w:t>Au cours du 2ᵉ siècle av. J.-C., le sacerdoce et le rôle de souverain sacrificateur en particulier changent à nouveau. Cela correspond à la fin de la période de l'AT et à l'arrière-plan de la période du Nouveau Testament (NT). Au 2ᵉ siècle av. J.-C., la Judée est gouvernée par les rois séleucides, qui ont hérité d'une partie de l'immense empire grec établi par Alexandre le Grand. Le pouvoir est exercé par le haut sacerdoce, qui reçoit son autorité des rois séleucides.</w:t>
      </w:r>
    </w:p>
    <w:p>
      <w:r/>
      <w:r>
        <w:t>Au cours des trois premières décennies du 2ᵉ siècle av. J.-C., ce sont des descendants de Tsadok qui occupent le poste de souverain sacrificateur. Les souverains sacrificateurs de la famille de Tsadok, appelés Oniades, sont Onias III (198–174 av. J.-C.), puis Jason, son frère (174–171 av. J.-C.). C'est pendant le haut sacerdoce de Jason que se produisent une série d'événements qui mettront fin au sacerdoce des descendants de Tsadok.</w:t>
      </w:r>
    </w:p>
    <w:p>
      <w:r/>
      <w:r>
        <w:t xml:space="preserve">Onias III s'oppose à la politique d'hellénisation d'Antiochus IV (Épiphane), qui menace la pratique de la foi juive. Antiochus le remplace par Jason, qui lui achète le droit d'exercer le haut sacerdoce. Cet achat représente un dangereux précédent. Jason est bien un descendant de Tsadok, mais cet acte implique que le poste </w:t>
      </w:r>
      <w:r>
        <w:rPr>
          <w:i/>
        </w:rPr>
        <w:t>peut</w:t>
      </w:r>
      <w:r>
        <w:t xml:space="preserve"> être acheté et que la filiation (c'est-à-dire qui sont les ancêtres de l'individu) n'est pas essentielle pour l'obtenir. Les Tobiades, qui s'opposent à Jason, réussissent à l'écarter et à faire nommer la personne de leur choix, Ménélas. Celui-ci, même s'il n'est pas descendant de Tsadok, devient souverain sacrificateur à la place de Jason. Cet événement entraîne une guerre civile entre les partisans de Jason et ceux de Ménélas. Cette guerre finit par entraîner des mesures répressives impitoyables de la part d'Antiochus Épiphane. Il y a des massacres à Jérusalem et le Temple est profané (167 av. J.-C.). La profanation du Temple conduit à la révolte des Maccabées. Cette révolte redonnera aux Juifs leur indépendance pour une courte période. Ménélas reste sacrificateur jusqu'en 161 av. J.-C. avant d'être remplacé par Alcime (161–159 av. J.-C.).</w:t>
      </w:r>
    </w:p>
    <w:p>
      <w:r/>
      <w:r>
        <w:t>Pendant les sept ans qui suivent, il n'y a pas de souverain sacrificateur. Cependant, le climat politique est tel qu'il est peu probable que la lignée des descendants de Tsadok puisse récupérer un jour le haut sacerdoce qui leur avait été attribué à l'époque du roi Salomon. Le Maccabée Jonathan prend alors le contrôle de Jérusalem. En 152 av. J.-C., il est officiellement revêtu des habits et de la fonction du haut sacerdoce avec l'approbation du roi séleucide. Il est remplacé en tant que souverain sacrificateur et dirigeant par son frère Simon en 143 av. J.-C., qui lui aussi occupe le poste avec l'approbation des Séleucides (Démétrius II). Pendant la troisième année de son règne (140 av. J.-C.), le haut sacerdoce de Simon reçoit l'approbation publique lors d'une grande assemblée religieuse, et l'hérédité des fonctions du haut sacerdoce est donnée à la famille de Simon pour toujours (</w:t>
      </w:r>
      <w:hyperlink r:id="rId13388">
        <w:r>
          <w:rPr>
            <w:color w:val="0000EE"/>
            <w:u w:val="single"/>
          </w:rPr>
          <w:t>1 M 14.41–47</w:t>
        </w:r>
      </w:hyperlink>
      <w:r>
        <w:t>). Cet événement met complètement fin à la lignée sacerdotale des descendants de Tsadok et voit naître la lignée hasmonéenne.</w:t>
      </w:r>
    </w:p>
    <w:p>
      <w:r/>
      <w:r>
        <w:t>L'occupation du poste de souverain sacrificateur par des personnes qui ne descendent pas de Tsadok est contestée. Une secte du judaïsme, aujourd'hui connue sous le nom d'Esséniens, naît probablement en réaction au haut sacerdoce de Simon. Les Esséniens (particulièrement connus pour avoir collectionné et écrit les manuscrits de la mer Morte) sont un groupe qui semble avoir été créé par un sacrificateur descendant de Tsadok rejetant la légitimité et l'autorité de Simon. Ainsi, les sacrificateurs descendants de Tsadok ne sont pas complètement éteints.</w:t>
      </w:r>
    </w:p>
    <w:p>
      <w:pPr>
        <w:pStyle w:val="Heading3"/>
      </w:pPr>
      <w:r>
        <w:t>Le sacerdoce et le haut sacerdoce à l'époque du Nouveau Testament</w:t>
      </w:r>
    </w:p>
    <w:p>
      <w:r/>
      <w:r>
        <w:t>Au début de la période du NT, les souverains sacrificateurs et les lévites continuent à exercer leurs fonctions dans le judaïsme. Zacharie, le père de Jean-Baptiste, est un sacrificateur appartenant à la division d'Abia (</w:t>
      </w:r>
      <w:hyperlink r:id="rId2139">
        <w:r>
          <w:rPr>
            <w:color w:val="0000EE"/>
            <w:u w:val="single"/>
          </w:rPr>
          <w:t>Lc 1.5</w:t>
        </w:r>
      </w:hyperlink>
      <w:r>
        <w:t>). Sa femme Élisabeth vient aussi d'une famille de sacrificateurs. Lorsque l'ange Gabriel apparaît à Zacharie, il est en train de faire son travail de sacrificateur à l'intérieur du temple de Jérusalem. Les classes de sacrificateurs avaient chacune une période de service au Temple. Quand ces sacrificateurs avaient fini leur tour, ils repartaient chez eux (</w:t>
      </w:r>
      <w:hyperlink r:id="rId7672">
        <w:r>
          <w:rPr>
            <w:color w:val="0000EE"/>
            <w:u w:val="single"/>
          </w:rPr>
          <w:t>v. 23</w:t>
        </w:r>
      </w:hyperlink>
      <w:r>
        <w:t>) et une autre classe prenait le relais. La distinction entre sacrificateurs et lévites est aussi toujours appliquée dans le NT (</w:t>
      </w:r>
      <w:hyperlink r:id="rId13389">
        <w:r>
          <w:rPr>
            <w:color w:val="0000EE"/>
            <w:u w:val="single"/>
          </w:rPr>
          <w:t>Jn 1.19</w:t>
        </w:r>
      </w:hyperlink>
      <w:r>
        <w:t>). Ainsi, un sacrificateur, puis un lévite, passent tous deux devant l'homme blessé dans la parabole du bon samaritain (</w:t>
      </w:r>
      <w:hyperlink r:id="rId13390">
        <w:r>
          <w:rPr>
            <w:color w:val="0000EE"/>
            <w:u w:val="single"/>
          </w:rPr>
          <w:t>Lc 10.31–32</w:t>
        </w:r>
      </w:hyperlink>
      <w:r>
        <w:t>). Il y a des sacrificateurs et des lévites parmi les premiers convertis au christianisme. Barnabas est un lévite originaire de Chypre (</w:t>
      </w:r>
      <w:hyperlink r:id="rId2651">
        <w:r>
          <w:rPr>
            <w:color w:val="0000EE"/>
            <w:u w:val="single"/>
          </w:rPr>
          <w:t>Ac 4.36</w:t>
        </w:r>
      </w:hyperlink>
      <w:r>
        <w:t>). De nombreux sacrificateurs croient au message de l'Évangile (</w:t>
      </w:r>
      <w:hyperlink r:id="rId13391">
        <w:r>
          <w:rPr>
            <w:color w:val="0000EE"/>
            <w:u w:val="single"/>
          </w:rPr>
          <w:t>6.7</w:t>
        </w:r>
      </w:hyperlink>
      <w:r>
        <w:t>).</w:t>
      </w:r>
    </w:p>
    <w:p>
      <w:r/>
      <w:r>
        <w:t>Le rôle de souverain sacrificateur est fréquemment mentionné dans le NT. Plusieurs souverains sacrificateurs sont nommés. De plus, plusieurs titulaires sont nommés en même temps parce que le poste est désormais attribué politiquement. La succession n'est plus simplement héréditaire comme au début. Les deux souverains sacrificateurs les plus importants dans le NT sont ceux qui ont occupé le poste pendant la vie de Jésus. Anne est souverain sacrificateur de 6 à 15 apr. J.-C. environ. Cependant, même quand il cesse de l'être officiellement, il continue à avoir une forte influence à travers son gendre, le souverain sacrificateur Caïphe (vers 18–36 apr. J.-C.). Tous les deux jouent un rôle important dans le procès de Jésus. Ananias de Nébédée est le souverain sacrificateur qui préside le sanhédrin quand Paul est traduit en justice (vers 47–58 apr. J.-C.).</w:t>
      </w:r>
    </w:p>
    <w:p>
      <w:r/>
      <w:r>
        <w:t>Le sacerdoce retient une autorité considérable à l'époque du NT. Le sanhédrin administre la plupart des affaires internes et religieuses dans la province romaine de Judée. Le sanhédrin fonctionne comme une sorte de gouvernement provincial, mais ses pouvoirs sont limités dans certains domaines par Rome. Ses membres incluent le souverain sacrificateur actuel, ainsi que l'ancien, et un grand nombre de sadducéens. Beaucoup de sadducéens appartiennent à des familles sacerdotales influentes. Cette influence considérable des familles de sacrificateurs au sein du sanhédrin montre que le Temple est très important dans la vie des Juifs au premier siècle apr. J.-C.</w:t>
      </w:r>
    </w:p>
    <w:p>
      <w:r/>
      <w:r>
        <w:t>Avec la destruction du temple de Jérusalem en 70 apr. J.-C., l'importance du rôle des sacrificateurs change radicalement pour le judaïsme. La fin du Temple signifie qu'il n'y a plus de raison d'avoir des sacrificateurs. Le sacerdoce continue d'une certaine manière jusqu'à la révolte de Bar-Kochba en 135 apr. J.-C., mais sa fin est désormais inévitable. Depuis la fin du premier siècle apr. J.-C., le judaïsme a évolué sans souverains sacrificateurs. Son développement jusqu'à nos jours a été dirigé par les rabbins, les descendants spirituels des pharisiens.</w:t>
      </w:r>
    </w:p>
    <w:p>
      <w:r/>
      <w:r>
        <w:rPr>
          <w:i/>
        </w:rPr>
        <w:t>Voir aussi</w:t>
      </w:r>
      <w:r>
        <w:t xml:space="preserve"> </w:t>
      </w:r>
      <w:r>
        <w:t>sacerdoce ou prêtrise</w:t>
      </w:r>
      <w:r>
        <w:t>.</w:t>
      </w:r>
      <w:r/>
      <w:r/>
    </w:p>
    <w:p>
      <w:r/>
    </w:p>
    <w:p>
      <w:pPr>
        <w:pStyle w:val="Heading2"/>
      </w:pPr>
      <w:r>
        <w:t>Sadducéens</w:t>
      </w:r>
      <w:r/>
    </w:p>
    <w:p>
      <w:r/>
      <w:r>
        <w:t>Secte juive citée 14 fois dans le Nouveau Testament (NT), non mentionnée dans l'Ancien Testament (AT).</w:t>
      </w:r>
    </w:p>
    <w:p>
      <w:pPr>
        <w:pStyle w:val="Heading3"/>
      </w:pPr>
      <w:r>
        <w:t>Leur histoire</w:t>
      </w:r>
    </w:p>
    <w:p>
      <w:r/>
      <w:r>
        <w:t xml:space="preserve">Un certain nombre de suggestions ont été faites quant à l'origine de leur nom. </w:t>
      </w:r>
    </w:p>
    <w:p>
      <w:r/>
      <w:r>
        <w:t xml:space="preserve">Premièrement, il a été relié au mot hébreu « juste » (saddik). Ce point de vue est difficile à défendre d'un point de vue étymologique (l'étude de l'origine des mots). En effet, il y aurait eu un changement de </w:t>
      </w:r>
      <w:r>
        <w:rPr>
          <w:i/>
        </w:rPr>
        <w:t>i</w:t>
      </w:r>
      <w:r>
        <w:t xml:space="preserve"> à </w:t>
      </w:r>
      <w:r>
        <w:rPr>
          <w:i/>
        </w:rPr>
        <w:t>u</w:t>
      </w:r>
      <w:r>
        <w:t xml:space="preserve"> dans le mot. Il n'y a pas non plus de raison de penser qu'ils prétendaient être « justes ». </w:t>
      </w:r>
    </w:p>
    <w:p>
      <w:r/>
      <w:r>
        <w:t>Deuxièmement, le nom a été relié à Tsadok (parfois écrit Saddouk en grec), un sacrificateur de l'époque de David (</w:t>
      </w:r>
      <w:hyperlink r:id="rId31">
        <w:r>
          <w:rPr>
            <w:color w:val="0000EE"/>
            <w:u w:val="single"/>
          </w:rPr>
          <w:t xml:space="preserve">2S 8.17 </w:t>
        </w:r>
      </w:hyperlink>
      <w:r>
        <w:t xml:space="preserve">; </w:t>
      </w:r>
      <w:hyperlink r:id="rId13392">
        <w:r>
          <w:rPr>
            <w:color w:val="0000EE"/>
            <w:u w:val="single"/>
          </w:rPr>
          <w:t>15.24–29</w:t>
        </w:r>
      </w:hyperlink>
      <w:r>
        <w:t>). C'est lui qui a oint Salomon (</w:t>
      </w:r>
      <w:hyperlink r:id="rId13393">
        <w:r>
          <w:rPr>
            <w:color w:val="0000EE"/>
            <w:u w:val="single"/>
          </w:rPr>
          <w:t>1R 1.32–39</w:t>
        </w:r>
      </w:hyperlink>
      <w:r>
        <w:t>) et qui, sous son règne, est devenu souverain sacrificateur (</w:t>
      </w:r>
      <w:hyperlink r:id="rId13373">
        <w:r>
          <w:rPr>
            <w:color w:val="0000EE"/>
            <w:u w:val="single"/>
          </w:rPr>
          <w:t>2.35</w:t>
        </w:r>
      </w:hyperlink>
      <w:r>
        <w:t>). Il est dit que c'était un descendant d'Éléazar, fils d'Aaron (</w:t>
      </w:r>
      <w:hyperlink r:id="rId2553">
        <w:r>
          <w:rPr>
            <w:color w:val="0000EE"/>
            <w:u w:val="single"/>
          </w:rPr>
          <w:t>1Ch 6.3–8</w:t>
        </w:r>
      </w:hyperlink>
      <w:r>
        <w:t>), et les sacrificateurs de sa lignée semblent avoir été responsables des fonctions sacerdotales dans le Temple jusqu'à l'exil. Dans les plans pour la restauration du culte du Temple (</w:t>
      </w:r>
      <w:hyperlink r:id="rId5512">
        <w:r>
          <w:rPr>
            <w:color w:val="0000EE"/>
            <w:u w:val="single"/>
          </w:rPr>
          <w:t>Ez 40–48</w:t>
        </w:r>
      </w:hyperlink>
      <w:r>
        <w:t>), c'est la lignée de Tsadok qui est de nouveau chargée du service en tant que « sacerdoce lévitique » (</w:t>
      </w:r>
      <w:hyperlink r:id="rId13394">
        <w:r>
          <w:rPr>
            <w:color w:val="0000EE"/>
            <w:u w:val="single"/>
          </w:rPr>
          <w:t xml:space="preserve">44.15–16 </w:t>
        </w:r>
      </w:hyperlink>
      <w:r>
        <w:t xml:space="preserve">; </w:t>
      </w:r>
      <w:hyperlink r:id="rId13395">
        <w:r>
          <w:rPr>
            <w:color w:val="0000EE"/>
            <w:u w:val="single"/>
          </w:rPr>
          <w:t>48.11–12</w:t>
        </w:r>
      </w:hyperlink>
      <w:r>
        <w:t>). Après l'exil, nous lisons que Josué, fils de Jotsadak est souverain sacrificateur (</w:t>
      </w:r>
      <w:hyperlink r:id="rId404">
        <w:r>
          <w:rPr>
            <w:color w:val="0000EE"/>
            <w:u w:val="single"/>
          </w:rPr>
          <w:t>Ag 1.1</w:t>
        </w:r>
      </w:hyperlink>
      <w:r>
        <w:t>). Sa lignée est retracée jusqu'à Tsadok (</w:t>
      </w:r>
      <w:hyperlink r:id="rId13396">
        <w:r>
          <w:rPr>
            <w:color w:val="0000EE"/>
            <w:u w:val="single"/>
          </w:rPr>
          <w:t>1Ch 6.8–15</w:t>
        </w:r>
      </w:hyperlink>
      <w:r>
        <w:t>). L'importance du sacerdoce de la lignée de Tsadok continue d'être soulignée dans les écrits du début du 2</w:t>
      </w:r>
      <w:r>
        <w:t>ᵉ</w:t>
      </w:r>
      <w:r>
        <w:t xml:space="preserve"> siècle av. J.-C. Pourtant, il n'est en aucun cas clair que les sadducéens aient pris position pour ce sacerdoce. On peut ajouter que le double </w:t>
      </w:r>
      <w:r>
        <w:rPr>
          <w:i/>
        </w:rPr>
        <w:t>d</w:t>
      </w:r>
      <w:r>
        <w:t xml:space="preserve"> dans le mot n'est pas facilement expliqué dans cette compréhension des origines sadducéennes.</w:t>
      </w:r>
    </w:p>
    <w:p>
      <w:r/>
      <w:r>
        <w:t>Troisièmement, une tradition rabbinique tardive affirme que les sadducéens tirent leur nom d'un autre Tsadok qui vivait au 2</w:t>
      </w:r>
      <w:r>
        <w:t>ᵉ</w:t>
      </w:r>
      <w:r>
        <w:t xml:space="preserve"> siècle av. J.-C. Il y a peu d'arguments en faveur de cette opinion.</w:t>
      </w:r>
    </w:p>
    <w:p>
      <w:r/>
      <w:r>
        <w:t xml:space="preserve">Enfin, T. W. Manson, un spécialiste britannique du NT, suggère que leur nom est à relier au mot grec </w:t>
      </w:r>
      <w:r>
        <w:rPr>
          <w:i/>
        </w:rPr>
        <w:t>sundikoi,</w:t>
      </w:r>
      <w:r>
        <w:t xml:space="preserve"> signifiant « membres du conseil », désignant ainsi les sadducéens comme des conseillers sous les dirigeants hasmonéens.</w:t>
      </w:r>
    </w:p>
    <w:p>
      <w:r/>
      <w:r>
        <w:t>La première mention historique des sadducéens remonte à l'époque de Jonathan Maccabée, dirigeant de la lutte juive contre les Séleucides de 160 à 143 av. J.-C. Josèphe (</w:t>
      </w:r>
      <w:r>
        <w:rPr>
          <w:i/>
        </w:rPr>
        <w:t>Antiquités</w:t>
      </w:r>
      <w:r>
        <w:t xml:space="preserve"> 13.5.9) dit qu'ils formaient un parti à cette époque, et que lorsque Jean Hyrcan était à la tête de l'État juif (135–104 av. J.-C.), des conflits existaient entre pharisiens et sadducéens (</w:t>
      </w:r>
      <w:r>
        <w:rPr>
          <w:i/>
        </w:rPr>
        <w:t>Antiquités</w:t>
      </w:r>
      <w:r>
        <w:t xml:space="preserve"> 13.10.6). Il est possible que les sadducéens aient représenté d'une certaine manière le sacerdoce de Tsadok. Il est aussi possible qu'il revendiquaient que le sacerdoce de Jérusalem de leur époque était celui de Tsadok, mais cela est loin d'être clair. Josèphe dit que les sadducéens avaient les riches de leur côté, tandis que les pharisiens avaient du soutien parmi le peuple. </w:t>
      </w:r>
    </w:p>
    <w:p>
      <w:r/>
      <w:r>
        <w:t>À l'époque de Salomé Alexandra (76–67 av. J.-C.), les pharisiens avaient la position dominante, mais lorsque la Judée est devenue une province romaine et que les gouverneurs romains ont commencé à destituer et installer les souverains sacrificateurs, il semble que la plupart d'entre eux étaient issus de familles sadducéennes de haute naissance. Ces familles sadducéennes avaient du pouvoir et de l'influence dans le pays, et ont put gagner du temps avec les Romains. Pourtant, à mesure que les hostilités se sont développées entre les Juifs et leurs suzerains romains, l'influence des sadducéens s'est affaiblie. Après la chute de Jérusalem aux mains des Romains en 70 apr. J.-C., les sadducéens disparaissent de l'Histoire.</w:t>
      </w:r>
    </w:p>
    <w:p>
      <w:pPr>
        <w:pStyle w:val="Heading3"/>
      </w:pPr>
      <w:r>
        <w:t>Dans le Nouveau Testament</w:t>
      </w:r>
    </w:p>
    <w:p>
      <w:r/>
      <w:r>
        <w:t>Dans les Évangiles, ils apparaissent d'abord, avec les pharisiens, au baptême de Jean. Il les appelle « races de vipères » et les met au défi de montrer du repentir dans leur vie (</w:t>
      </w:r>
      <w:hyperlink r:id="rId13397">
        <w:r>
          <w:rPr>
            <w:color w:val="0000EE"/>
            <w:u w:val="single"/>
          </w:rPr>
          <w:t>Mt 3.7–10</w:t>
        </w:r>
      </w:hyperlink>
      <w:r>
        <w:t>). Plus tard, les sadducéens viennent avec quelques pharisiens pour « éprouver » Jésus, lui demandant de leur montrer un signe du ciel (</w:t>
      </w:r>
      <w:hyperlink r:id="rId13398">
        <w:r>
          <w:rPr>
            <w:color w:val="0000EE"/>
            <w:u w:val="single"/>
          </w:rPr>
          <w:t>16.1</w:t>
        </w:r>
      </w:hyperlink>
      <w:r>
        <w:t xml:space="preserve">). Jésus dit à ses disciples de se méfier des sadducéens (v. </w:t>
      </w:r>
      <w:hyperlink r:id="rId9020">
        <w:r>
          <w:rPr>
            <w:color w:val="0000EE"/>
            <w:u w:val="single"/>
          </w:rPr>
          <w:t>6, 11–12</w:t>
        </w:r>
      </w:hyperlink>
      <w:r>
        <w:t>).</w:t>
      </w:r>
    </w:p>
    <w:p>
      <w:r/>
      <w:r>
        <w:t xml:space="preserve">Une grande différence commence à émerger entre les pharisiens et les sadducéens dans </w:t>
      </w:r>
      <w:hyperlink r:id="rId9798">
        <w:r>
          <w:rPr>
            <w:color w:val="0000EE"/>
            <w:u w:val="single"/>
          </w:rPr>
          <w:t>Matthieu 22.23–33</w:t>
        </w:r>
      </w:hyperlink>
      <w:r>
        <w:t xml:space="preserve"> (voir aussi </w:t>
      </w:r>
      <w:hyperlink r:id="rId13399">
        <w:r>
          <w:rPr>
            <w:color w:val="0000EE"/>
            <w:u w:val="single"/>
          </w:rPr>
          <w:t xml:space="preserve">Mc 12.18–27 </w:t>
        </w:r>
      </w:hyperlink>
      <w:r>
        <w:t xml:space="preserve">; </w:t>
      </w:r>
      <w:hyperlink r:id="rId2708">
        <w:r>
          <w:rPr>
            <w:color w:val="0000EE"/>
            <w:u w:val="single"/>
          </w:rPr>
          <w:t>Lc 20.27–38</w:t>
        </w:r>
      </w:hyperlink>
      <w:r>
        <w:t xml:space="preserve">). Les sadducéens, comme d'autres, veulent embarrasser Jésus avec leurs questions et viennent avec une question piège qui montre leurs doutes concernant la résurrection des morts. Les sadducéens sont décrits dans ce contexte comme ceux qui disent qu'il n'y a pas de résurrection après la mort. Ils citent le cas d'une femme qui a eu sept frères comme maris successifs : « </w:t>
      </w:r>
      <w:r>
        <w:t>À la résurrection, duquel des sept sera-t-elle donc la femme</w:t>
      </w:r>
      <w:r>
        <w:t xml:space="preserve"> ? » Leur question implique que pour de telles raisons, la résurrection ne peut pas être vraie. Jésus répond en parlant de l'erreur de leur raisonnement à cause de leur ignorance des Écritures et de la puissance de Dieu.</w:t>
      </w:r>
    </w:p>
    <w:p>
      <w:r/>
      <w:r>
        <w:t>Aux premiers jours de l'Église à Jérusalem, les sacrificateurs, le commandant des gardes du Temple et les sadducéens sont agacés parce que les disciples proclament la résurrection des morts (</w:t>
      </w:r>
      <w:hyperlink r:id="rId13400">
        <w:r>
          <w:rPr>
            <w:color w:val="0000EE"/>
            <w:u w:val="single"/>
          </w:rPr>
          <w:t>Ac 4.1–2</w:t>
        </w:r>
      </w:hyperlink>
      <w:r>
        <w:t>). Les sadducéens semblent avoir mené l'opposition aux apôtres et à leur prédication. Plus tard, le souverain sacrificateur et les sadducéens décident d'arrêter les apôtres et de les mettre en prison (</w:t>
      </w:r>
      <w:hyperlink r:id="rId4950">
        <w:r>
          <w:rPr>
            <w:color w:val="0000EE"/>
            <w:u w:val="single"/>
          </w:rPr>
          <w:t>5.17</w:t>
        </w:r>
      </w:hyperlink>
      <w:r>
        <w:t xml:space="preserve">). La seule autre référence à eux dans le NT se trouve dans </w:t>
      </w:r>
      <w:hyperlink r:id="rId13401">
        <w:r>
          <w:rPr>
            <w:color w:val="0000EE"/>
            <w:u w:val="single"/>
          </w:rPr>
          <w:t>Actes 23.6–8</w:t>
        </w:r>
      </w:hyperlink>
      <w:r>
        <w:t>, dans le récit du procès de Paul devant le sanhédrin juif. À cette occasion, Paul parle délibérément de sa croyance en la résurrection afin de provoquer une division entre pharisiens et sadducéens, puisque ces derniers n'y croient pas.</w:t>
      </w:r>
    </w:p>
    <w:p>
      <w:r/>
      <w:r>
        <w:t>Ainsi, à partir de ces passages du NT, on comprend une partie des principes fondamentaux des sadducéens, leur importance parmi les familles des souverains sacrificateurs, et certaines des différences entre eux et les pharisiens.</w:t>
      </w:r>
    </w:p>
    <w:p>
      <w:r/>
      <w:r>
        <w:t>Josèphe, l'historien juif qui a écrit à la fin du premier siècle apr. J.-C., ajoute des informations à celles que l'on tire du NT. Il dit que les sadducéens, contrairement aux pharisiens et aux Esséniens, ne croient pas à la providence souveraine de Dieu, mais pensent que tout ce qui arrive aux gens est le résultat du bien ou du mal qu'ils font (</w:t>
      </w:r>
      <w:r>
        <w:rPr>
          <w:i/>
        </w:rPr>
        <w:t>Antiquités</w:t>
      </w:r>
      <w:r>
        <w:t xml:space="preserve"> 13.5.9 ; </w:t>
      </w:r>
      <w:r>
        <w:rPr>
          <w:i/>
        </w:rPr>
        <w:t>Guerre</w:t>
      </w:r>
      <w:r>
        <w:t xml:space="preserve"> 2.8.14). Josèphe, d'une manière comparable au NT, dit des sadducéens : « </w:t>
      </w:r>
      <w:r>
        <w:t>Ils nient la persistance de l'âme après la mort, les châtiments et les récompenses de l'autre monde</w:t>
      </w:r>
      <w:r>
        <w:t xml:space="preserve"> » (</w:t>
      </w:r>
      <w:r>
        <w:rPr>
          <w:i/>
        </w:rPr>
        <w:t>Guerre</w:t>
      </w:r>
      <w:r>
        <w:t xml:space="preserve"> 2.8.14, trad. J. Buchon). Josèphe dit également : « La doctrine des sadducéens fait mourir les âmes en même temps que les corps » (</w:t>
      </w:r>
      <w:r>
        <w:rPr>
          <w:i/>
        </w:rPr>
        <w:t>Antiquités</w:t>
      </w:r>
      <w:r>
        <w:t xml:space="preserve"> 18.1.4, trad. Julien Weill). </w:t>
      </w:r>
    </w:p>
    <w:p>
      <w:r/>
      <w:r>
        <w:t>Les premiers auteurs chrétiens (Hippolyte, Origène et Jérôme) ont dit que les sadducéens n'acceptaient que le Pentateuque et non les autres livres de l'AT. Il semblerait pourtant qu'ils n'étaient pas opposés aux autres livres de l'AT dans leur ensemble, mais plutôt aux règlements légaux supplémentaires des pharisiens. Les sadducéens disaient donc que seule la loi de l'AT devait être considérée comme obligatoire. Ceci dit, il est douteux qu'ils aient accepté des livres comme Daniel, avec sa déclaration claire de la résurrection des morts. En cela, comme dans leur refus de croire aux anges et à la vie après la mort, ils se considéraient sûrement comme conservateurs, et les pharisiens comme des innovateurs.</w:t>
      </w:r>
    </w:p>
    <w:p>
      <w:r/>
      <w:r>
        <w:t>L'autre principale source d'information sur les sadducéens est la Mishna, la collection des enseignements des rabbins, mise par écrit au 2</w:t>
      </w:r>
      <w:r>
        <w:t>ᵉ</w:t>
      </w:r>
      <w:r>
        <w:t xml:space="preserve"> siècle apr. J.-C. Les sadducéens s'opposaient à de nombreuses réglementations détaillées que les pharisiens cherchaient à imposer au peuple (</w:t>
      </w:r>
      <w:r>
        <w:rPr>
          <w:i/>
        </w:rPr>
        <w:t>Para</w:t>
      </w:r>
      <w:r>
        <w:t xml:space="preserve"> 3.3,7). Cela indique également qu'ils avaient une plus grande tendance à accepter le compromis des coutumes non-juives que d'autres partis juifs (</w:t>
      </w:r>
      <w:r>
        <w:rPr>
          <w:i/>
        </w:rPr>
        <w:t>Niddah</w:t>
      </w:r>
      <w:r>
        <w:t xml:space="preserve"> 4.2).</w:t>
      </w:r>
    </w:p>
    <w:p>
      <w:r/>
      <w:r>
        <w:rPr>
          <w:i/>
        </w:rPr>
        <w:t>Voir</w:t>
      </w:r>
      <w:r>
        <w:t xml:space="preserve"> </w:t>
      </w:r>
      <w:r>
        <w:t>Esséniens</w:t>
      </w:r>
      <w:r>
        <w:t xml:space="preserve"> ; </w:t>
      </w:r>
      <w:r>
        <w:t>judaïsme</w:t>
      </w:r>
      <w:r>
        <w:t xml:space="preserve"> ; </w:t>
      </w:r>
      <w:r>
        <w:t>pharisiens</w:t>
      </w:r>
      <w:r>
        <w:t>.</w:t>
      </w:r>
      <w:r/>
      <w:r/>
    </w:p>
    <w:p>
      <w:r/>
    </w:p>
    <w:p>
      <w:pPr>
        <w:pStyle w:val="Heading2"/>
      </w:pPr>
      <w:r>
        <w:t>Sagesse</w:t>
      </w:r>
      <w:r/>
    </w:p>
    <w:p>
      <w:r/>
      <w:r>
        <w:t>La capacité de diriger son esprit vers une pleine compréhension de la vie humaine et vers son accomplissement moral. La sagesse est donc une capacité exceptionnelle, nécessaire à une vie humaine épanouie ; on peut l’acquérir par l’éducation et le fait de nourrir son esprit.</w:t>
      </w:r>
    </w:p>
    <w:p>
      <w:pPr>
        <w:pStyle w:val="Heading3"/>
      </w:pPr>
      <w:r>
        <w:t>La sagesse divine</w:t>
      </w:r>
    </w:p>
    <w:p>
      <w:r/>
      <w:r>
        <w:t>Bien que le terme « sagesse » soit principalement utilisé dans l’Ancien Testament pour faire référence aux êtres humains, toute sagesse est en fin de compte enracinée et fondée en Dieu. La sagesse fait partie intégrante de la nature de Dieu. Dieu a créé l’univers (</w:t>
      </w:r>
      <w:hyperlink r:id="rId13402">
        <w:r>
          <w:rPr>
            <w:color w:val="0000EE"/>
            <w:u w:val="single"/>
          </w:rPr>
          <w:t>Proverbes 3:19</w:t>
        </w:r>
      </w:hyperlink>
      <w:r>
        <w:t>) et les êtres humains par la sagesse (</w:t>
      </w:r>
      <w:hyperlink r:id="rId13403">
        <w:r>
          <w:rPr>
            <w:color w:val="0000EE"/>
            <w:u w:val="single"/>
          </w:rPr>
          <w:t>Psaume 104:24</w:t>
        </w:r>
      </w:hyperlink>
      <w:r>
        <w:t>). Ainsi, la sagesse, dans ses connotations positives, est inhérente à Dieu, qui se reflète dans la création et qui fait partie de la raison d’être de l’homme.</w:t>
      </w:r>
    </w:p>
    <w:p>
      <w:r/>
      <w:r>
        <w:t>La sagesse dans la création se reflète dans la forme et l’ordre issus du chaos primitif. La sagesse de Dieu exprimée dans la création de l’humanité signifie que la vie humaine peut également être marquée par la forme et l’ordre, et que le sens de la vie peut se trouver dans le monde créé, qui contient des traces de la sagesse divine. La sagesse de Dieu est créative, volontaire et bonne ; elle ne consiste pas simplement en l’activité intellectuelle de Dieu. Le potentiel de sagesse humaine est enraciné dans la création de l’humanité. Créés par la sagesse divine, les êtres humains ont en eux la capacité de sagesse donnée par Dieu. Il est donc impossible de comprendre la sagesse humaine sans d’abord saisir son antécédent nécessaire, la sagesse divine.</w:t>
      </w:r>
    </w:p>
    <w:p>
      <w:pPr>
        <w:pStyle w:val="Heading3"/>
      </w:pPr>
      <w:r>
        <w:t>La sagesse humaine</w:t>
      </w:r>
    </w:p>
    <w:p>
      <w:r/>
      <w:r>
        <w:t>Le terme « sagesse », pour faire référence aux êtres humains, est utilisé de différentes manières dans l’Ancien Testament. Ce terme est souvent utilisé comme synonyme du terme « connaissance », mais dans ses utilisations générales et séculières, il indique généralement des connaissances appliquées, des compétences ou même de la ruse. La sagesse peut être définie comme une « capacité mentale supérieure » ou une « compétence supérieure ». Ainsi, la sagesse est utilisée pour décrire à la fois la ruse du roi Salomon (</w:t>
      </w:r>
      <w:hyperlink r:id="rId13404">
        <w:r>
          <w:rPr>
            <w:color w:val="0000EE"/>
            <w:u w:val="single"/>
          </w:rPr>
          <w:t>1 Rois 2:1–6</w:t>
        </w:r>
      </w:hyperlink>
      <w:r>
        <w:t>) et l'habileté de l'artisan Betsaleel (</w:t>
      </w:r>
      <w:hyperlink r:id="rId13405">
        <w:r>
          <w:rPr>
            <w:color w:val="0000EE"/>
            <w:u w:val="single"/>
          </w:rPr>
          <w:t>Exode 35:33</w:t>
        </w:r>
      </w:hyperlink>
      <w:r>
        <w:t>). Cependant, la sagesse a également été utilisée pour décrire les capacités mentales et les compétences qui avaient une composante morale : la capacité de comprendre et de pratiquer le bien. Ainsi, lorsque Moïse a délégué une partie de son autorité à des juges nouvellement nommés, il a choisi des hommes sages, compréhensifs et expérimentés (</w:t>
      </w:r>
      <w:hyperlink r:id="rId13406">
        <w:r>
          <w:rPr>
            <w:color w:val="0000EE"/>
            <w:u w:val="single"/>
          </w:rPr>
          <w:t>Deutéronome 1:13</w:t>
        </w:r>
      </w:hyperlink>
      <w:r>
        <w:t>). Ces hommes étaient considérés comme des sages dans l’Israël antique. La sagesse humaine, dans ce sens particulier, n’était pas simplement un don de Dieu, inhérent à la naissance ; elle devait être développée consciemment au cours d’une vie menée en relation avec Dieu.</w:t>
      </w:r>
    </w:p>
    <w:p>
      <w:r/>
      <w:r>
        <w:t>Ainsi, cette forme positive et particulière de sagesse que possèdent les êtres humains ne peut être comprise en dehors de Dieu. Un thème récurrent de la littérature de sagesse dans l’Ancien Testament est que « la crainte de l’Éternel est le commencement de la sagesse » (</w:t>
      </w:r>
      <w:hyperlink r:id="rId12760">
        <w:r>
          <w:rPr>
            <w:color w:val="0000EE"/>
            <w:u w:val="single"/>
          </w:rPr>
          <w:t>Proverbes 9:10</w:t>
        </w:r>
      </w:hyperlink>
      <w:r>
        <w:t xml:space="preserve">; voir aussi </w:t>
      </w:r>
      <w:hyperlink r:id="rId13407">
        <w:r>
          <w:rPr>
            <w:color w:val="0000EE"/>
            <w:u w:val="single"/>
          </w:rPr>
          <w:t>Job 28:28</w:t>
        </w:r>
      </w:hyperlink>
      <w:r>
        <w:t xml:space="preserve">; </w:t>
      </w:r>
      <w:hyperlink r:id="rId11963">
        <w:r>
          <w:rPr>
            <w:color w:val="0000EE"/>
            <w:u w:val="single"/>
          </w:rPr>
          <w:t>Psaume 111:10</w:t>
        </w:r>
      </w:hyperlink>
      <w:r>
        <w:t xml:space="preserve">; </w:t>
      </w:r>
      <w:hyperlink r:id="rId12748">
        <w:r>
          <w:rPr>
            <w:color w:val="0000EE"/>
            <w:u w:val="single"/>
          </w:rPr>
          <w:t>Proverbes 1:7</w:t>
        </w:r>
      </w:hyperlink>
      <w:r>
        <w:t xml:space="preserve">; </w:t>
      </w:r>
      <w:hyperlink r:id="rId13408">
        <w:r>
          <w:rPr>
            <w:color w:val="0000EE"/>
            <w:u w:val="single"/>
          </w:rPr>
          <w:t>15:33</w:t>
        </w:r>
      </w:hyperlink>
      <w:r>
        <w:t>). À plusieurs égards, ce thème présente une perspective pour comprendre la véritable sagesse humaine.</w:t>
      </w:r>
    </w:p>
    <w:p>
      <w:r/>
      <w:r>
        <w:t>Premièrement, la sagesse humaine n’est possible qu’en raison de la sagesse divine présente dans la création ; le potentiel de sagesse n’existe que parce que Dieu l’a créé. Deuxièmement, pour que la sagesse se développe chez un être humain, le point de départ doit être Dieu, c’est-à-dire qu’il faut révérer ou craindre Dieu. Ce concept hébraïque de la sagesse est remarquablement différent de la conception grecque. Les philosophes ioniens, dotés d’un pouvoir remarquable, ont développé un système de pensée qui partait de l’hypothèse de l’existence d’une divinité. Ils ont tenté de développer la sagesse au moyen de la raison humaine uniquement. Toutefois, la sagesse hébraïque, bien qu’elle ait cherché à développer la raison et l’intellect comme le faisaient les Grecs, ne pouvait commencer qu’avec Dieu. L’esprit et ses capacités ont été donnés par Dieu ; ainsi, quelque séculière que puisse paraitre la sagesse des Hébreux, Dieu en était le point de départ. La révérence envers Dieu, c’est-à-dire la reconnaissance de l’existence, de la création et de l’importance de Dieu dans la vie humaine, est à l’origine de tous les développements de la sagesse hébraïque.</w:t>
      </w:r>
    </w:p>
    <w:p>
      <w:r/>
      <w:r>
        <w:t>Dans la conception hébraïque, la sagesse humaine renvoie au développement de la pensée, l’élargissement des connaissances et la compréhension du sens de la vie ainsi que du mode de vie. Elle est entièrement intellectuelle, mais elle a un puissant résultat moral. La sagesse n’était pas recherchée pour elle-même, mais toujours pour son application au sens de la vie, car la vie, comme la sagesse, est un don de Dieu. Cet accent mis sur la sagesse hébraïque signifie que les vertus de l’homme ou de la femme sage ne sont jamais décrites uniquement en termes intellectuels. Les sages ne sont pas l’intelligentsia de la société israélite, mais, comme le montre clairement le livre des Proverbes, ils sont ceux dont la vie est caractérisée par la compréhension, la patience, la diligence, la confiance, la maitrise de soi, la modestie et d’autres vertus similaires. En un mot, l’homme sage était l’homme qui craignait Dieu ; sa sagesse ne résidait pas seulement dans une attitude statique de révérence, mais plutôt dans le développement conscient de l’esprit vers la sagesse dans le contexte d’une vie pieuse.</w:t>
      </w:r>
    </w:p>
    <w:p>
      <w:r/>
      <w:r>
        <w:t>De cette conception générale de la sagesse est née dans l’Israël antique une catégorie particulière d’hommes, les sages. Bien que la sagesse ne leur soit pas réservée, ils étaient responsables de la croissance et de la communication de la sagesse en Israël. Les sages formaient l’une des trois catégories de personnel religieux. Tout d’abord, les sacrificateurs et les lévites remplissaient des responsabilités qui s’inscrivaient principalement dans le contexte de la religion établie. Ils étaient les serviteurs du temple et les responsables du culte et avaient également certaines responsabilités dans le domaine de l’éducation religieuse. Deuxièmement, les prophètes, les porte-parole de Dieu auprès du peuple de Dieu. Troisièmement, les sages. D’un certain point de vue, ils avaient la tâche la plus séculière des trois groupes. Ils intervenaient dans une variété de tâches, allant de l’administration gouvernementale à l’éducation morale et séculière. En tant qu’éducateurs moraux, ils enseignaient aux jeunes de leur époque, non pas comment gagner leur vie, mais comment vivre. Une partie de leur programme a survécu dans le livre des Proverbes. Les livres de Job et de l’Ecclésiaste reflètent également la pensée des sages.</w:t>
      </w:r>
    </w:p>
    <w:p>
      <w:pPr>
        <w:pStyle w:val="Heading3"/>
      </w:pPr>
      <w:r>
        <w:t>La sagesse dans le Nouveau Testament</w:t>
      </w:r>
    </w:p>
    <w:p>
      <w:r/>
      <w:r>
        <w:t>Le terme « sagesse » est utilisé dans le Nouveau Testament à la fois pour désigner la sagesse de Dieu et la sagesse des hommes. La tradition de sagesse de l’Ancien Testament se poursuit dans l’utilisation de ce terme dans le Nouveau Testament en rapport avec Dieu et dans les connotations positives du mot en relation avec les êtres humains. Toutefois, le Nouveau Testament parle également de manière négative de la sagesse humaine. Ainsi, Paul a décrit son message comme « ne reposant pas sur les discours persuasifs de la sagesse, mais sur une démonstration d’Esprit et de puissance » (</w:t>
      </w:r>
      <w:hyperlink r:id="rId3198">
        <w:r>
          <w:rPr>
            <w:color w:val="0000EE"/>
            <w:u w:val="single"/>
          </w:rPr>
          <w:t>1 Corinthiens 2:4</w:t>
        </w:r>
      </w:hyperlink>
      <w:r>
        <w:t>). La sagesse purement humaine n’a pas de mérite ultime en soi, et Paul cite l’Ancien Testament pour démontrer que Dieu détruirait la sagesse humaine (</w:t>
      </w:r>
      <w:hyperlink r:id="rId13409">
        <w:r>
          <w:rPr>
            <w:color w:val="0000EE"/>
            <w:u w:val="single"/>
          </w:rPr>
          <w:t>1 Corinthiens 1:19</w:t>
        </w:r>
      </w:hyperlink>
      <w:r>
        <w:t xml:space="preserve">; cf. </w:t>
      </w:r>
      <w:hyperlink r:id="rId13410">
        <w:r>
          <w:rPr>
            <w:color w:val="0000EE"/>
            <w:u w:val="single"/>
          </w:rPr>
          <w:t>Ésaïe 29:14</w:t>
        </w:r>
      </w:hyperlink>
      <w:r>
        <w:t>). La lettre de Jacques présente une distinction claire entre la bonne et la mauvaise sagesse (</w:t>
      </w:r>
      <w:hyperlink r:id="rId7075">
        <w:r>
          <w:rPr>
            <w:color w:val="0000EE"/>
            <w:u w:val="single"/>
          </w:rPr>
          <w:t>Jacques 3:13–18</w:t>
        </w:r>
      </w:hyperlink>
      <w:r>
        <w:t xml:space="preserve">). Une personne dont la vie reflète la jalousie et l’ambition égoïste n’a pas la vraie sagesse de Dieu, mais elle a un esprit terrestre et n’est pas spirituelle. Cependant, seul Dieu donne la vraie sagesse ; cette sagesse est « premièrement pure, ensuite pacifique, modérée, conciliante, pleine de miséricorde et de bons fruits, exempte de duplicité, d’hypocrisie » (verset </w:t>
      </w:r>
      <w:hyperlink r:id="rId13411">
        <w:r>
          <w:rPr>
            <w:color w:val="0000EE"/>
            <w:u w:val="single"/>
          </w:rPr>
          <w:t>17</w:t>
        </w:r>
      </w:hyperlink>
      <w:r>
        <w:t>).</w:t>
      </w:r>
    </w:p>
    <w:p>
      <w:r/>
      <w:r>
        <w:t>Comme la sagesse était la première possession de Dieu, elle s’est reflétée dans la vie et le ministère de Jésus. Pendant les années de sa croissance, Jésus a brillé dans sa vie par l’accroissement de la sagesse (</w:t>
      </w:r>
      <w:hyperlink r:id="rId13412">
        <w:r>
          <w:rPr>
            <w:color w:val="0000EE"/>
            <w:u w:val="single"/>
          </w:rPr>
          <w:t>Luc 2:40, 52</w:t>
        </w:r>
      </w:hyperlink>
      <w:r>
        <w:t>), et ses adversaires, ainsi que ses amis, ont reconnu la sagesse de son enseignement (</w:t>
      </w:r>
      <w:hyperlink r:id="rId13413">
        <w:r>
          <w:rPr>
            <w:color w:val="0000EE"/>
            <w:u w:val="single"/>
          </w:rPr>
          <w:t>Matthieu 13:54</w:t>
        </w:r>
      </w:hyperlink>
      <w:r>
        <w:t>).</w:t>
      </w:r>
    </w:p>
    <w:p>
      <w:r/>
      <w:r>
        <w:t>Puisque la sagesse est enracinée et fondée en Dieu, la sagesse véritable et spirituelle est un don de Dieu. On peut la voir dans la vie et les paroles des serviteurs de Dieu tels qu’Étienne (</w:t>
      </w:r>
      <w:hyperlink r:id="rId8156">
        <w:r>
          <w:rPr>
            <w:color w:val="0000EE"/>
            <w:u w:val="single"/>
          </w:rPr>
          <w:t>Actes 6:10</w:t>
        </w:r>
      </w:hyperlink>
      <w:r>
        <w:t>) et Paul (</w:t>
      </w:r>
      <w:hyperlink r:id="rId12271">
        <w:r>
          <w:rPr>
            <w:color w:val="0000EE"/>
            <w:u w:val="single"/>
          </w:rPr>
          <w:t>2 Pierre 3:15</w:t>
        </w:r>
      </w:hyperlink>
      <w:r>
        <w:t>). On devrait désirer pour soi-même la sagesse spirituelle et prier pour les autres en la demandant, cette sagesse qui donne la connaissance permettant à une personne de mener pleinement la vie donnée par Dieu (</w:t>
      </w:r>
      <w:hyperlink r:id="rId13414">
        <w:r>
          <w:rPr>
            <w:color w:val="0000EE"/>
            <w:u w:val="single"/>
          </w:rPr>
          <w:t>Colossiens 1:9</w:t>
        </w:r>
      </w:hyperlink>
      <w:r>
        <w:t>).</w:t>
      </w:r>
    </w:p>
    <w:p>
      <w:r/>
      <w:r>
        <w:t>L’aspect le plus central de la sagesse dans le Nouveau Testament est l’Évangile du Christ crucifié. Dans sa première lettre à l’Église de Corinthe, Paul oppose de manière frappante les sens positif et négatif de la sagesse en proclamant la mort de Jésus-Christ. Le monde n’a pas connu Dieu par sa propre sagesse (</w:t>
      </w:r>
      <w:hyperlink r:id="rId6480">
        <w:r>
          <w:rPr>
            <w:color w:val="0000EE"/>
            <w:u w:val="single"/>
          </w:rPr>
          <w:t>1 Corinthiens 1:21</w:t>
        </w:r>
      </w:hyperlink>
      <w:r>
        <w:t>). En d’autres termes, la véritable révélation de Dieu et sa rédemption de l’humanité n’ont pas été révélées à ceux qui recherchaient cette vérité par la seule sagesse, c’est-à-dire par l’approche grecque de la sagesse et de la philosophie. L’Évangile a été annoncé par la prédication, ce qui, d’un point de vue strictement philosophique ou de sagesse, était une sorte de folie. Pourtant, l’Évangile de Jésus-Christ était à la fois la puissance de Dieu et la sagesse de Dieu (</w:t>
      </w:r>
      <w:hyperlink r:id="rId13415">
        <w:r>
          <w:rPr>
            <w:color w:val="0000EE"/>
            <w:u w:val="single"/>
          </w:rPr>
          <w:t>1 Corinthiens 1:24</w:t>
        </w:r>
      </w:hyperlink>
      <w:r>
        <w:t>). Pour ceux qui ont cru, Jésus est devenu la source ultime de cette sagesse qui ne peut venir que de Dieu seul (</w:t>
      </w:r>
      <w:hyperlink r:id="rId8460">
        <w:r>
          <w:rPr>
            <w:color w:val="0000EE"/>
            <w:u w:val="single"/>
          </w:rPr>
          <w:t>1 Corinthiens 1:30</w:t>
        </w:r>
      </w:hyperlink>
      <w:r>
        <w:t>).</w:t>
      </w:r>
    </w:p>
    <w:p>
      <w:r/>
      <w:r>
        <w:rPr>
          <w:i/>
        </w:rPr>
        <w:t>Voir aussi</w:t>
      </w:r>
      <w:r>
        <w:t xml:space="preserve"> </w:t>
      </w:r>
      <w:r>
        <w:t>Littérature de sagesse</w:t>
      </w:r>
      <w:r>
        <w:t>.</w:t>
      </w:r>
      <w:r/>
      <w:r/>
    </w:p>
    <w:p>
      <w:r/>
    </w:p>
    <w:p>
      <w:pPr>
        <w:pStyle w:val="Heading2"/>
      </w:pPr>
      <w:r>
        <w:t>Sainte Cène, Cène, repas du Seigneur</w:t>
      </w:r>
      <w:r/>
    </w:p>
    <w:p>
      <w:r/>
      <w:r>
        <w:t xml:space="preserve">La Cène est le nom du dernier repas de Jésus avec ses disciples. Ce repas prend place quelques heures avant son arrestation, son procès et sa mort sur la croix. La Sainte Cène est la cérémonie de commémoration pendant laquelle les chrétiens mangent du pain et boivent du vin comme Jésus l'a prescrit lors de la Cène. </w:t>
      </w:r>
    </w:p>
    <w:p>
      <w:r/>
      <w:r>
        <w:t>La Sainte Cène est également appelée « repas du Seigneur » par les chrétiens (</w:t>
      </w:r>
      <w:hyperlink r:id="rId3265">
        <w:r>
          <w:rPr>
            <w:color w:val="0000EE"/>
            <w:u w:val="single"/>
          </w:rPr>
          <w:t>1Co 11.20</w:t>
        </w:r>
      </w:hyperlink>
      <w:r>
        <w:t>). Elle peut aussi être appelée fraction du pain (</w:t>
      </w:r>
      <w:hyperlink r:id="rId2989">
        <w:r>
          <w:rPr>
            <w:color w:val="0000EE"/>
            <w:u w:val="single"/>
          </w:rPr>
          <w:t>Ac 2.42, 46</w:t>
        </w:r>
      </w:hyperlink>
      <w:r>
        <w:t xml:space="preserve"> ; </w:t>
      </w:r>
      <w:hyperlink r:id="rId7719">
        <w:r>
          <w:rPr>
            <w:color w:val="0000EE"/>
            <w:u w:val="single"/>
          </w:rPr>
          <w:t>20.7</w:t>
        </w:r>
      </w:hyperlink>
      <w:r>
        <w:t xml:space="preserve">), Sainte Communion (sur la base de </w:t>
      </w:r>
      <w:hyperlink r:id="rId3462">
        <w:r>
          <w:rPr>
            <w:color w:val="0000EE"/>
            <w:u w:val="single"/>
          </w:rPr>
          <w:t>1Co 10.16</w:t>
        </w:r>
      </w:hyperlink>
      <w:r>
        <w:t xml:space="preserve">), Eucharistie (sur la base du mot grec signifiant « action de grâce », voir </w:t>
      </w:r>
      <w:hyperlink r:id="rId13416">
        <w:r>
          <w:rPr>
            <w:color w:val="0000EE"/>
            <w:u w:val="single"/>
          </w:rPr>
          <w:t>Mc 14.23</w:t>
        </w:r>
      </w:hyperlink>
      <w:r>
        <w:t xml:space="preserve">) ou messe. </w:t>
      </w:r>
    </w:p>
    <w:p>
      <w:r/>
      <w:r>
        <w:t>L'apôtre Paul écrit qu'il a enseigné ce qu'il a « reçu du Seigneur » concernant l'institution de ce repas « la nuit où il fut livré ». Comme dans Luc, Paul décrit le commandement du Seigneur à ses disciples : « faites ceci en mémoire de moi » (</w:t>
      </w:r>
      <w:hyperlink r:id="rId13417">
        <w:r>
          <w:rPr>
            <w:color w:val="0000EE"/>
            <w:u w:val="single"/>
          </w:rPr>
          <w:t>1Co 11.24–25</w:t>
        </w:r>
      </w:hyperlink>
      <w:r>
        <w:t xml:space="preserve">). Selon </w:t>
      </w:r>
      <w:hyperlink r:id="rId187">
        <w:r>
          <w:rPr>
            <w:color w:val="0000EE"/>
            <w:u w:val="single"/>
          </w:rPr>
          <w:t>Actes 2</w:t>
        </w:r>
      </w:hyperlink>
      <w:r>
        <w:t>, les premiers chrétiens commencent dès les débuts de l'Église à se réunir régulièrement pour « la fraction du pain ».</w:t>
      </w:r>
    </w:p>
    <w:p>
      <w:r/>
      <w:r>
        <w:t>Sommaire</w:t>
      </w:r>
    </w:p>
    <w:p>
      <w:r/>
      <w:r>
        <w:t>• Récits de l'institution de la Sainte Cène</w:t>
      </w:r>
    </w:p>
    <w:p>
      <w:r/>
      <w:r>
        <w:t>• Date de la Cène</w:t>
      </w:r>
    </w:p>
    <w:p>
      <w:r/>
      <w:r>
        <w:t>• Paroles et actions de Jésus lors de la Cène</w:t>
      </w:r>
    </w:p>
    <w:p>
      <w:r/>
      <w:r>
        <w:t>• Observance de l'Église primitive</w:t>
      </w:r>
    </w:p>
    <w:p>
      <w:r/>
      <w:r>
        <w:t>• Enseignement de Paul</w:t>
      </w:r>
    </w:p>
    <w:p>
      <w:pPr>
        <w:pStyle w:val="Heading3"/>
      </w:pPr>
      <w:r>
        <w:t>Récits de l'institution de la Sainte Cène</w:t>
      </w:r>
    </w:p>
    <w:p>
      <w:r/>
      <w:r>
        <w:t xml:space="preserve">L'institution de la Sainte Cène par le Seigneur est décrite dans </w:t>
      </w:r>
      <w:hyperlink r:id="rId13418">
        <w:r>
          <w:rPr>
            <w:color w:val="0000EE"/>
            <w:u w:val="single"/>
          </w:rPr>
          <w:t xml:space="preserve">Matthieu 26.26–30, </w:t>
        </w:r>
      </w:hyperlink>
      <w:hyperlink r:id="rId13419">
        <w:r>
          <w:rPr>
            <w:color w:val="0000EE"/>
            <w:u w:val="single"/>
          </w:rPr>
          <w:t>Marc 14.22–26</w:t>
        </w:r>
      </w:hyperlink>
      <w:r>
        <w:t xml:space="preserve"> et </w:t>
      </w:r>
      <w:hyperlink r:id="rId1645">
        <w:r>
          <w:rPr>
            <w:color w:val="0000EE"/>
            <w:u w:val="single"/>
          </w:rPr>
          <w:t>Luc 22.14–20</w:t>
        </w:r>
      </w:hyperlink>
      <w:r>
        <w:t xml:space="preserve">. L'Évangile de Jean raconte au chapitre </w:t>
      </w:r>
      <w:hyperlink r:id="rId13420">
        <w:r>
          <w:rPr>
            <w:color w:val="0000EE"/>
            <w:u w:val="single"/>
          </w:rPr>
          <w:t xml:space="preserve">13 </w:t>
        </w:r>
      </w:hyperlink>
      <w:r>
        <w:t xml:space="preserve">le dernier repas de Jésus avec ses disciples. Pendant ce repas, il leur lave les pieds et les enseigne à ce sujet. Mais le récit de Jean ne mentionne pas l'institution de la Sainte Cène. Beaucoup pensent que l'enseignement de </w:t>
      </w:r>
      <w:hyperlink r:id="rId4933">
        <w:r>
          <w:rPr>
            <w:color w:val="0000EE"/>
            <w:u w:val="single"/>
          </w:rPr>
          <w:t>Jean 6</w:t>
        </w:r>
      </w:hyperlink>
      <w:r>
        <w:t xml:space="preserve"> (à la suite du miracle de la multiplication des pains pour 5 000 hommes) et le discours de Jésus se présentant comme « le pain de vie » font allusion à la Sainte Cène. Cependant, cela est sujet à débat. Dans </w:t>
      </w:r>
      <w:hyperlink r:id="rId13421">
        <w:r>
          <w:rPr>
            <w:color w:val="0000EE"/>
            <w:u w:val="single"/>
          </w:rPr>
          <w:t>1 Corinthiens 11.23–26</w:t>
        </w:r>
      </w:hyperlink>
      <w:r>
        <w:t xml:space="preserve"> se trouve la version de Paul, qu'il décrit comme telle qu'il l'a reçue et enseignée.</w:t>
      </w:r>
    </w:p>
    <w:p>
      <w:r/>
      <w:r>
        <w:t xml:space="preserve">Dans </w:t>
      </w:r>
      <w:hyperlink r:id="rId13422">
        <w:r>
          <w:rPr>
            <w:color w:val="0000EE"/>
            <w:u w:val="single"/>
          </w:rPr>
          <w:t>Luc 22.17–18</w:t>
        </w:r>
      </w:hyperlink>
      <w:r>
        <w:t>, Jésus passe la coupe aux disciples et dit : « Prenez cette coupe, et distribuez-la entre vous » avant de prendre du pain et de le leur donner. Dans la plupart des manuscrits les plus anciens, il est question ensuite d'une seconde coupe après la distribution du pain. Plusieurs explications ont été proposées concernant cette différence dans le récit de Luc et celui des autres Évangiles et de Paul. Cependant, qu'il y ait eu deux coupes de vin lors du repas, ou que le pain et le vin aient été donnés dans un ordre différent n'affecte en rien le fait historique de l'institution de la Sainte Cène, ni ce qu'elle signifie.</w:t>
      </w:r>
    </w:p>
    <w:p>
      <w:pPr>
        <w:pStyle w:val="Heading3"/>
      </w:pPr>
      <w:r>
        <w:t>Date de la Cène</w:t>
      </w:r>
    </w:p>
    <w:p>
      <w:r/>
      <w:r>
        <w:t xml:space="preserve">Tous les récits (les trois Évangiles et 1 Corinthiens) mentionnent que la Cène, pendant laquelle la Sainte Cène a été instituée, a eu lieu quelques heures avant l'arrestation de Jésus. Les quatre Évangiles décrivent, dans ce contexte, les paroles de Jésus à ses disciples, la trahison de Judas et la révélation de Jésus à Pierre qu'il va bientôt renier son maître. </w:t>
      </w:r>
    </w:p>
    <w:p>
      <w:r/>
      <w:r>
        <w:t>Matthieu (</w:t>
      </w:r>
      <w:hyperlink r:id="rId13423">
        <w:r>
          <w:rPr>
            <w:color w:val="0000EE"/>
            <w:u w:val="single"/>
          </w:rPr>
          <w:t>Mt 26.17–20</w:t>
        </w:r>
      </w:hyperlink>
      <w:r>
        <w:t>), Marc (</w:t>
      </w:r>
      <w:hyperlink r:id="rId13424">
        <w:r>
          <w:rPr>
            <w:color w:val="0000EE"/>
            <w:u w:val="single"/>
          </w:rPr>
          <w:t>Mc 14.12–17</w:t>
        </w:r>
      </w:hyperlink>
      <w:r>
        <w:t>) et Luc (</w:t>
      </w:r>
      <w:hyperlink r:id="rId13425">
        <w:r>
          <w:rPr>
            <w:color w:val="0000EE"/>
            <w:u w:val="single"/>
          </w:rPr>
          <w:t>Lc 22.7–14</w:t>
        </w:r>
      </w:hyperlink>
      <w:r>
        <w:t>) indiquent tous clairement que la Cène a été préparée par les disciples et qu'elle était pour Jésus comme pour eux le repas de la Pâque. Cependant, Jean dit que le repas s'est déroulé « avant la fête de Pâque » et précise qu'au moment du procès de Jésus devant Pilate, les chefs juifs « n'entrèrent point eux-mêmes dans le prétoire, afin de ne pas se souiller, et de pouvoir manger la Pâque » (</w:t>
      </w:r>
      <w:hyperlink r:id="rId2592">
        <w:r>
          <w:rPr>
            <w:color w:val="0000EE"/>
            <w:u w:val="single"/>
          </w:rPr>
          <w:t>Jn 13.1</w:t>
        </w:r>
      </w:hyperlink>
      <w:r>
        <w:t xml:space="preserve"> ; </w:t>
      </w:r>
      <w:hyperlink r:id="rId13426">
        <w:r>
          <w:rPr>
            <w:color w:val="0000EE"/>
            <w:u w:val="single"/>
          </w:rPr>
          <w:t>18.28</w:t>
        </w:r>
      </w:hyperlink>
      <w:r>
        <w:t>).</w:t>
      </w:r>
    </w:p>
    <w:p>
      <w:r/>
      <w:r>
        <w:t xml:space="preserve">Différentes explications ont été proposées pour comprendre comment le récit de Jean se rapporte à ceux des autres Évangiles : </w:t>
      </w:r>
    </w:p>
    <w:p>
      <w:pPr>
        <w:pStyle w:val="ListNumber"/>
        <w:spacing w:line="240" w:lineRule="auto"/>
        <w:ind w:left="720"/>
      </w:pPr>
      <w:r/>
      <w:r>
        <w:t>Différents groupes de Juifs célébraient la Pâque à des moments différents.</w:t>
      </w:r>
    </w:p>
    <w:p>
      <w:pPr>
        <w:pStyle w:val="ListNumber"/>
        <w:spacing w:line="240" w:lineRule="auto"/>
        <w:ind w:left="720"/>
      </w:pPr>
      <w:r/>
      <w:r>
        <w:t>Le repas dans la chambre haute n'aurait pas véritablement été un repas de Pâque, mais un repas de communion pendant la saison de la Pâque.</w:t>
      </w:r>
    </w:p>
    <w:p>
      <w:pPr>
        <w:pStyle w:val="ListNumber"/>
        <w:spacing w:line="240" w:lineRule="auto"/>
        <w:ind w:left="720"/>
      </w:pPr>
      <w:r/>
      <w:r>
        <w:t xml:space="preserve">Jésus aurait délibérément choisi, pour ses propres raisons, de célébrer la Pâque à l'avance. </w:t>
      </w:r>
    </w:p>
    <w:p>
      <w:r/>
      <w:hyperlink r:id="rId2590">
        <w:r>
          <w:rPr>
            <w:color w:val="0000EE"/>
            <w:u w:val="single"/>
          </w:rPr>
          <w:t>Luc 22.15</w:t>
        </w:r>
      </w:hyperlink>
      <w:r>
        <w:t xml:space="preserve"> cite Jésus disant : « J'ai désiré vivement manger cette Pâque avec vous, avant de souffrir ». Cependant, quelle que soit l'explication juste de ces éléments dans les Évangiles et la date exacte du repas, il est clair que Cène représentait un repas de Pâque.</w:t>
      </w:r>
    </w:p>
    <w:p>
      <w:r/>
      <w:r>
        <w:t>En conséquence, il y a beaucoup de points en commun entre la célébration de la Pâque en tant que fête de l'ancienne alliance et la Sainte Cène en tant que fête de la nouvelle alliance. La première célébration regarde en direction du passé pour commémorer avec reconnaissance la rédemption et la libération du peuple d'Égypte par l'intervention de Dieu. Cette intervention divine est étroitement liée au sacrifice de l'agneau pascal. La seconde célébration porte aussi le regard vers le passé avec reconnaissance pour la rédemption de Dieu effectuée à travers le sacrifice du Christ. L'apôtre Paul explicite la connexion entre les deux : « Christ, notre Pâque, a été immolé » (</w:t>
      </w:r>
      <w:hyperlink r:id="rId2595">
        <w:r>
          <w:rPr>
            <w:color w:val="0000EE"/>
            <w:u w:val="single"/>
          </w:rPr>
          <w:t>1Co 5.7</w:t>
        </w:r>
      </w:hyperlink>
      <w:r>
        <w:t>).</w:t>
      </w:r>
    </w:p>
    <w:p>
      <w:pPr>
        <w:pStyle w:val="Heading3"/>
      </w:pPr>
      <w:r>
        <w:t>Paroles et actions de Jésus lors de la Cène</w:t>
      </w:r>
    </w:p>
    <w:p>
      <w:r/>
      <w:r>
        <w:t>Le lien étroit entre la Cène et la Pâque souligne l'importance du contexte de l'Ancien Testament pour comprendre ce que la Cène signifie. Ce contexte est tout aussi crucial pour saisir le sens des paroles et des actions de Jésus dans la chambre haute.</w:t>
      </w:r>
    </w:p>
    <w:p>
      <w:pPr>
        <w:pStyle w:val="Heading4"/>
      </w:pPr>
      <w:r>
        <w:t>« Ceci est mon corps »</w:t>
      </w:r>
    </w:p>
    <w:p>
      <w:r/>
      <w:r>
        <w:t>Les actions de Jésus en prenant le pain sont décrites de façon similaire dans Matthieu (</w:t>
      </w:r>
      <w:hyperlink r:id="rId13427">
        <w:r>
          <w:rPr>
            <w:color w:val="0000EE"/>
            <w:u w:val="single"/>
          </w:rPr>
          <w:t>Mt 26.26</w:t>
        </w:r>
      </w:hyperlink>
      <w:r>
        <w:t>), Marc (</w:t>
      </w:r>
      <w:hyperlink r:id="rId13428">
        <w:r>
          <w:rPr>
            <w:color w:val="0000EE"/>
            <w:u w:val="single"/>
          </w:rPr>
          <w:t>Mc 14.22</w:t>
        </w:r>
      </w:hyperlink>
      <w:r>
        <w:t>), Luc (</w:t>
      </w:r>
      <w:hyperlink r:id="rId13429">
        <w:r>
          <w:rPr>
            <w:color w:val="0000EE"/>
            <w:u w:val="single"/>
          </w:rPr>
          <w:t>Lc 22.19</w:t>
        </w:r>
      </w:hyperlink>
      <w:r>
        <w:t>) et 1 Corinthiens (</w:t>
      </w:r>
      <w:hyperlink r:id="rId13430">
        <w:r>
          <w:rPr>
            <w:color w:val="0000EE"/>
            <w:u w:val="single"/>
          </w:rPr>
          <w:t>1Co 11.23–24</w:t>
        </w:r>
      </w:hyperlink>
      <w:r>
        <w:t>). Jésus prend le pain, rend grâce à Dieu et le rompt. Ce sont les mêmes trois actions qui sont décrites dans les récits de la multiplication des 5 000 et des 4 000 (</w:t>
      </w:r>
      <w:hyperlink r:id="rId13431">
        <w:r>
          <w:rPr>
            <w:color w:val="0000EE"/>
            <w:u w:val="single"/>
          </w:rPr>
          <w:t>Mc 6.41</w:t>
        </w:r>
      </w:hyperlink>
      <w:r>
        <w:t xml:space="preserve"> ; </w:t>
      </w:r>
      <w:hyperlink r:id="rId13432">
        <w:r>
          <w:rPr>
            <w:color w:val="0000EE"/>
            <w:u w:val="single"/>
          </w:rPr>
          <w:t>8.6</w:t>
        </w:r>
      </w:hyperlink>
      <w:r>
        <w:t xml:space="preserve">). Selon les quatre récits de Cène, Jésus dit alors : « ceci est mon corps ». Les chrétiens des traditions catholique, orthodoxe et diverses traditions protestantes interprètent ces mots différemment. Ce qui est clair, c'est qu'en mangeant le pain, il y a appropriation du don de Jésus, son corps et sa vie offerts pour nous sur la croix pour que nous, en lui et à travers lui, puissions avoir la vie. Certains manuscrits anciens ajoutent aux paroles de </w:t>
      </w:r>
      <w:hyperlink r:id="rId13433">
        <w:r>
          <w:rPr>
            <w:color w:val="0000EE"/>
            <w:u w:val="single"/>
          </w:rPr>
          <w:t>1 Corinthiens 11.24</w:t>
        </w:r>
      </w:hyperlink>
      <w:r>
        <w:t xml:space="preserve"> (« Ceci est mon corps qui est pour vous », voir Bible Darby) les mots : « rompu pour vous » (Bible Segond).</w:t>
      </w:r>
    </w:p>
    <w:p>
      <w:pPr>
        <w:pStyle w:val="Heading4"/>
      </w:pPr>
      <w:r>
        <w:t>« Faites ceci en mémoire de moi »</w:t>
      </w:r>
    </w:p>
    <w:p>
      <w:r/>
      <w:r>
        <w:t xml:space="preserve">Cette instruction spécifique se trouve uniquement dans </w:t>
      </w:r>
      <w:hyperlink r:id="rId13429">
        <w:r>
          <w:rPr>
            <w:color w:val="0000EE"/>
            <w:u w:val="single"/>
          </w:rPr>
          <w:t>Luc 22.19</w:t>
        </w:r>
      </w:hyperlink>
      <w:r>
        <w:t xml:space="preserve"> et </w:t>
      </w:r>
      <w:hyperlink r:id="rId13433">
        <w:r>
          <w:rPr>
            <w:color w:val="0000EE"/>
            <w:u w:val="single"/>
          </w:rPr>
          <w:t>1 Corinthiens 11.24</w:t>
        </w:r>
      </w:hyperlink>
      <w:r>
        <w:t>. Certains ont soutenu que l'absence de ces paroles dans les autres récits évangéliques indique que ce n'était pas l'intention explicite du Seigneur que ses actions lors de la Cène devienne un sacrement chrétien. Pourtant, tous les Évangiles ont été écrits alors que la fraction du pain était observée régulièrement par l'Église primitive depuis des années. Il est donc possible que Matthieu et Marc n'ait tout simplement pas jugé nécessaire d'inclure ces paroles de Jésus exprimant son intention, les prenant pour acquises.</w:t>
      </w:r>
    </w:p>
    <w:p>
      <w:r/>
      <w:r>
        <w:t xml:space="preserve">Ces paroles sont interprétées différemment par diverses traditions chrétiennes. De nombreux chrétiens protestants les comprennent comme signifiant que, par la Sainte Cène, nous devons nous souvenir avec grande reconnaissance que le Christ nous a aimés et s'est donné en sacrifice pour nous. Dans l'Église catholique, « en mémoire de moi » est compris comme un mémorial devant Dieu, une représentation du sacrifice du Christ devant le Père. « Faites ceci » est interprété comme signifiant « offrez ceci », et au deuxième siècle, des auteurs chrétiens parlaient de l'Eucharistie comme d'un « sacrifice ». </w:t>
      </w:r>
    </w:p>
    <w:p>
      <w:r/>
      <w:r>
        <w:t xml:space="preserve">Pour la plupart des chrétiens protestants, cette façon de décrire la Sainte Cène est dangereuse. En effet, elle peut amenuiser, voire même contredire, le fait biblique que Christ est mort une fois pour toutes pour expier les péchés du monde (voir </w:t>
      </w:r>
      <w:hyperlink r:id="rId6307">
        <w:r>
          <w:rPr>
            <w:color w:val="0000EE"/>
            <w:u w:val="single"/>
          </w:rPr>
          <w:t>Hé 7.27</w:t>
        </w:r>
      </w:hyperlink>
      <w:r>
        <w:t xml:space="preserve"> ; </w:t>
      </w:r>
      <w:hyperlink r:id="rId1348">
        <w:r>
          <w:rPr>
            <w:color w:val="0000EE"/>
            <w:u w:val="single"/>
          </w:rPr>
          <w:t>9.12</w:t>
        </w:r>
      </w:hyperlink>
      <w:r>
        <w:t xml:space="preserve">). De nombreuses déclarations catholiques contemporaines soulignent que le sacrifice du Christ sur la croix est suffisant et complet. Par ailleurs, de nombreux érudits protestants, qui ne souhaitent pas représenter la Sainte Cène comme un sacrifice, soulignent que « mémoire » signifie plus que de simplement rappeler une action passée. Dans la pensée biblique, « mémoire » implique souvent une appropriation dans le présent de ce qui a été fait ou de ce qui s'est avéré vrai dans le passé (voir </w:t>
      </w:r>
      <w:hyperlink r:id="rId13434">
        <w:r>
          <w:rPr>
            <w:color w:val="0000EE"/>
            <w:u w:val="single"/>
          </w:rPr>
          <w:t>Ps 98.3</w:t>
        </w:r>
      </w:hyperlink>
      <w:r>
        <w:t xml:space="preserve"> ; </w:t>
      </w:r>
      <w:hyperlink r:id="rId13435">
        <w:r>
          <w:rPr>
            <w:color w:val="0000EE"/>
            <w:u w:val="single"/>
          </w:rPr>
          <w:t>106.45</w:t>
        </w:r>
      </w:hyperlink>
      <w:r>
        <w:t xml:space="preserve"> ; </w:t>
      </w:r>
      <w:hyperlink r:id="rId13436">
        <w:r>
          <w:rPr>
            <w:color w:val="0000EE"/>
            <w:u w:val="single"/>
          </w:rPr>
          <w:t>112.6</w:t>
        </w:r>
      </w:hyperlink>
      <w:r>
        <w:t xml:space="preserve"> ; </w:t>
      </w:r>
      <w:hyperlink r:id="rId13437">
        <w:r>
          <w:rPr>
            <w:color w:val="0000EE"/>
            <w:u w:val="single"/>
          </w:rPr>
          <w:t>Ec 12.1</w:t>
        </w:r>
      </w:hyperlink>
      <w:r>
        <w:t xml:space="preserve"> ; </w:t>
      </w:r>
      <w:hyperlink r:id="rId13438">
        <w:r>
          <w:rPr>
            <w:color w:val="0000EE"/>
            <w:u w:val="single"/>
          </w:rPr>
          <w:t>Es 57.11</w:t>
        </w:r>
      </w:hyperlink>
      <w:r>
        <w:t>).</w:t>
      </w:r>
    </w:p>
    <w:p>
      <w:pPr>
        <w:pStyle w:val="Heading4"/>
      </w:pPr>
      <w:r>
        <w:t>« Ceci est mon sang, le sang de l'alliance »</w:t>
      </w:r>
    </w:p>
    <w:p>
      <w:r/>
      <w:r>
        <w:t>Jésus prend la coupe de vin, rend grâce et la donne à ses disciples pour qu'ils en boivent tous. Essentiellement, les quatre récits s'accordent. Dans Matthieu (</w:t>
      </w:r>
      <w:hyperlink r:id="rId1933">
        <w:r>
          <w:rPr>
            <w:color w:val="0000EE"/>
            <w:u w:val="single"/>
          </w:rPr>
          <w:t>Mt 26.28</w:t>
        </w:r>
      </w:hyperlink>
      <w:r>
        <w:t>) et Marc (</w:t>
      </w:r>
      <w:hyperlink r:id="rId13439">
        <w:r>
          <w:rPr>
            <w:color w:val="0000EE"/>
            <w:u w:val="single"/>
          </w:rPr>
          <w:t>Mc 14.24</w:t>
        </w:r>
      </w:hyperlink>
      <w:r>
        <w:t xml:space="preserve">), les paroles de Jésus sont : « ceci est mon sang, le sang de l'alliance ». Dans </w:t>
      </w:r>
      <w:hyperlink r:id="rId580">
        <w:r>
          <w:rPr>
            <w:color w:val="0000EE"/>
            <w:u w:val="single"/>
          </w:rPr>
          <w:t>Lc 22.20 :</w:t>
        </w:r>
      </w:hyperlink>
      <w:r>
        <w:t xml:space="preserve"> « Cette coupe est la nouvelle alliance en mon sang, qui est répandu pour vous. », de même que dans </w:t>
      </w:r>
      <w:hyperlink r:id="rId1934">
        <w:r>
          <w:rPr>
            <w:color w:val="0000EE"/>
            <w:u w:val="single"/>
          </w:rPr>
          <w:t>1 Corinthiens 11.25</w:t>
        </w:r>
      </w:hyperlink>
      <w:r>
        <w:t>. Ces paroles rappellent le sacrifice qui accompagne l'institution d'une alliance, comme celle que Dieu établit avec Israël après l'exode (</w:t>
      </w:r>
      <w:hyperlink r:id="rId13440">
        <w:r>
          <w:rPr>
            <w:color w:val="0000EE"/>
            <w:u w:val="single"/>
          </w:rPr>
          <w:t>Ex 24.1–8</w:t>
        </w:r>
      </w:hyperlink>
      <w:r>
        <w:t xml:space="preserve">). Les mots « nouvelle alliance » font aussi allusion à l'accomplissement en Jésus de ce que promettait la prophétie de </w:t>
      </w:r>
      <w:hyperlink r:id="rId1936">
        <w:r>
          <w:rPr>
            <w:color w:val="0000EE"/>
            <w:u w:val="single"/>
          </w:rPr>
          <w:t>Jérémie 31.31–34</w:t>
        </w:r>
      </w:hyperlink>
      <w:r>
        <w:t xml:space="preserve">, comme l'explique </w:t>
      </w:r>
      <w:hyperlink r:id="rId13441">
        <w:r>
          <w:rPr>
            <w:color w:val="0000EE"/>
            <w:u w:val="single"/>
          </w:rPr>
          <w:t>Hébreux 8–9</w:t>
        </w:r>
      </w:hyperlink>
      <w:r>
        <w:t>.</w:t>
      </w:r>
    </w:p>
    <w:p>
      <w:pPr>
        <w:pStyle w:val="Heading4"/>
      </w:pPr>
      <w:r>
        <w:t xml:space="preserve">« Qui est répandu pour plusieurs, </w:t>
      </w:r>
      <w:r>
        <w:t>pour la rémission des péchés</w:t>
      </w:r>
      <w:r>
        <w:t xml:space="preserve"> »</w:t>
      </w:r>
    </w:p>
    <w:p>
      <w:r/>
      <w:r>
        <w:t>La signification de la mort de Jésus en tant que sacrifice est étroitement liée à l'arrière-plan de la Pâque et à l'institution de la nouvelle l'alliance. Elle est aussi liée à la prophétie d'</w:t>
      </w:r>
      <w:hyperlink r:id="rId5724">
        <w:r>
          <w:rPr>
            <w:color w:val="0000EE"/>
            <w:u w:val="single"/>
          </w:rPr>
          <w:t>Ésaïe 53</w:t>
        </w:r>
      </w:hyperlink>
      <w:r>
        <w:t xml:space="preserve"> concernant le Serviteur souffrant qui livre sa vie « en sacrifice pour le péché » (</w:t>
      </w:r>
      <w:hyperlink r:id="rId12994">
        <w:r>
          <w:rPr>
            <w:color w:val="0000EE"/>
            <w:u w:val="single"/>
          </w:rPr>
          <w:t>Es 53.10</w:t>
        </w:r>
      </w:hyperlink>
      <w:r>
        <w:t xml:space="preserve">). Parmi les paroles de Jésus dans la chambre haute que </w:t>
      </w:r>
      <w:hyperlink r:id="rId13442">
        <w:r>
          <w:rPr>
            <w:color w:val="0000EE"/>
            <w:u w:val="single"/>
          </w:rPr>
          <w:t>Luc 22.37</w:t>
        </w:r>
      </w:hyperlink>
      <w:r>
        <w:t xml:space="preserve"> rapporte se trouve la déclaration : « il faut que cette parole qui est écrite s'accomplisse en moi : Il a été mis au nombre des malfaiteurs ». </w:t>
      </w:r>
      <w:hyperlink r:id="rId13443">
        <w:r>
          <w:rPr>
            <w:color w:val="0000EE"/>
            <w:u w:val="single"/>
          </w:rPr>
          <w:t>Ésaïe 53.12</w:t>
        </w:r>
      </w:hyperlink>
      <w:r>
        <w:t xml:space="preserve"> dit aussi que le Serviteur souffrant « s'est livré lui-même à la mort » et « a porté les péchés de beaucoup d'hommes ». </w:t>
      </w:r>
      <w:hyperlink r:id="rId13439">
        <w:r>
          <w:rPr>
            <w:color w:val="0000EE"/>
            <w:u w:val="single"/>
          </w:rPr>
          <w:t>Marc 14.24</w:t>
        </w:r>
      </w:hyperlink>
      <w:r>
        <w:t xml:space="preserve"> fait probablement aussi allusion à ce passage quand Jésus dit que son sang est « répandu pour plusieurs » et </w:t>
      </w:r>
      <w:hyperlink r:id="rId1933">
        <w:r>
          <w:rPr>
            <w:color w:val="0000EE"/>
            <w:u w:val="single"/>
          </w:rPr>
          <w:t>Matthieu 26.28</w:t>
        </w:r>
      </w:hyperlink>
      <w:r>
        <w:t xml:space="preserve"> ajoute « pour la rémission des péchés ».</w:t>
      </w:r>
    </w:p>
    <w:p>
      <w:pPr>
        <w:pStyle w:val="Heading4"/>
      </w:pPr>
      <w:r>
        <w:t>L'espérance future</w:t>
      </w:r>
    </w:p>
    <w:p>
      <w:r/>
      <w:r>
        <w:t xml:space="preserve">Les quatre récits de la Cène incluent des paroles qui font allusion à l'espérance future qui fait partie de la signification de l'institution. Dans </w:t>
      </w:r>
      <w:hyperlink r:id="rId13444">
        <w:r>
          <w:rPr>
            <w:color w:val="0000EE"/>
            <w:u w:val="single"/>
          </w:rPr>
          <w:t>Marc 14.25</w:t>
        </w:r>
      </w:hyperlink>
      <w:r>
        <w:t xml:space="preserve">, Jésus dit aux disciples : « Je vous le dis en vérité, je ne boirai plus jamais du fruit de la vigne, jusqu'au jour où je le boirai nouveau dans le royaume de Dieu ». </w:t>
      </w:r>
      <w:hyperlink r:id="rId9822">
        <w:r>
          <w:rPr>
            <w:color w:val="0000EE"/>
            <w:u w:val="single"/>
          </w:rPr>
          <w:t>Matthieu 26.29</w:t>
        </w:r>
      </w:hyperlink>
      <w:r>
        <w:t xml:space="preserve"> ajoute la précision que Jésus dit qu'il ne boira à nouveau du fruit de la vigne qu'« avec vous dans le royaume de mon Père ». </w:t>
      </w:r>
      <w:hyperlink r:id="rId13445">
        <w:r>
          <w:rPr>
            <w:color w:val="0000EE"/>
            <w:u w:val="single"/>
          </w:rPr>
          <w:t>Luc 22.18</w:t>
        </w:r>
      </w:hyperlink>
      <w:r>
        <w:t xml:space="preserve"> inclut des paroles similaires, et deux versets plus tôt, Jésus parle de l'accomplissement de la Pâque « dans le royaume de Dieu ». Toutes ces paroles peuvent être comprises comme l'accomplissement ultime d'une autre espérance que les écrits apocalyptiques juifs de l'AT et les écrits ultérieurs ont mis en avant : le banquet messianique, le festin sur la montagne du Seigneur dont parle </w:t>
      </w:r>
      <w:hyperlink r:id="rId1644">
        <w:r>
          <w:rPr>
            <w:color w:val="0000EE"/>
            <w:u w:val="single"/>
          </w:rPr>
          <w:t>Ésaïe 25.6</w:t>
        </w:r>
      </w:hyperlink>
      <w:r>
        <w:t xml:space="preserve">. Dans </w:t>
      </w:r>
      <w:hyperlink r:id="rId13446">
        <w:r>
          <w:rPr>
            <w:color w:val="0000EE"/>
            <w:u w:val="single"/>
          </w:rPr>
          <w:t>1 Corinthiens 11.26</w:t>
        </w:r>
      </w:hyperlink>
      <w:r>
        <w:t>, cet espérance est exprimée explicitement comme étant celle de l'avènement (ou seconde venue) du Christ. Ainsi, le dit l'apôtre : « toutes les fois que vous mangez ce pain et que vous buvez cette coupe, vous annoncez la mort du Seigneur, jusqu'à ce qu'il vienne ».</w:t>
      </w:r>
    </w:p>
    <w:p>
      <w:pPr>
        <w:pStyle w:val="Heading3"/>
      </w:pPr>
      <w:r>
        <w:t>Observance de l'Église primitive</w:t>
      </w:r>
    </w:p>
    <w:p>
      <w:r/>
      <w:r>
        <w:t>Suite aux événements de la Pentecôte, Luc décrit ainsi les activités de la jeune Église : « Ils persévéraient dans l'enseignement des apôtres, dans la communion fraternelle, dans la fraction du pain, et dans les prières » (</w:t>
      </w:r>
      <w:hyperlink r:id="rId11911">
        <w:r>
          <w:rPr>
            <w:color w:val="0000EE"/>
            <w:u w:val="single"/>
          </w:rPr>
          <w:t>Ac 2.42</w:t>
        </w:r>
      </w:hyperlink>
      <w:r>
        <w:t>). Quelques versets plus tard, Luc ajoute : « Ils étaient chaque jour tous ensemble assidus au temple, ils rompaient le pain dans les maisons, et prenaient leur nourriture avec joie et simplicité de coeur » (</w:t>
      </w:r>
      <w:hyperlink r:id="rId2842">
        <w:r>
          <w:rPr>
            <w:color w:val="0000EE"/>
            <w:u w:val="single"/>
          </w:rPr>
          <w:t>Ac 2.46</w:t>
        </w:r>
      </w:hyperlink>
      <w:r>
        <w:t xml:space="preserve">). Ces versets soulèvent deux questions, l'une concernant ce qu'ils signifient et l'autre concernant la pratique qu'ils sous-entendent. </w:t>
      </w:r>
    </w:p>
    <w:p>
      <w:r/>
      <w:r>
        <w:t xml:space="preserve">Ces versets signifient-ils simplement que les chrétiens partageaient des repas ? </w:t>
      </w:r>
      <w:hyperlink r:id="rId2842">
        <w:r>
          <w:rPr>
            <w:color w:val="0000EE"/>
            <w:u w:val="single"/>
          </w:rPr>
          <w:t>Actes 2.46</w:t>
        </w:r>
      </w:hyperlink>
      <w:r>
        <w:t xml:space="preserve"> semble indiquer que rompre le pain et prendre de la nourriture étaient deux activités différentes. De plus, </w:t>
      </w:r>
      <w:hyperlink r:id="rId7719">
        <w:r>
          <w:rPr>
            <w:color w:val="0000EE"/>
            <w:u w:val="single"/>
          </w:rPr>
          <w:t>Actes 20.7</w:t>
        </w:r>
      </w:hyperlink>
      <w:r>
        <w:t xml:space="preserve"> indique que les chrétiens à Troas étaient réunis « le premier jour de la semaine… pour rompre le pain », ce qui semble décrire une réunion chrétienne, peut-être pour un culte, et non pas pour un simple repas. Sur la base de </w:t>
      </w:r>
      <w:hyperlink r:id="rId6655">
        <w:r>
          <w:rPr>
            <w:color w:val="0000EE"/>
            <w:u w:val="single"/>
          </w:rPr>
          <w:t>1 Corinthiens 10</w:t>
        </w:r>
      </w:hyperlink>
      <w:r>
        <w:t xml:space="preserve"> et </w:t>
      </w:r>
      <w:hyperlink r:id="rId13447">
        <w:r>
          <w:rPr>
            <w:color w:val="0000EE"/>
            <w:u w:val="single"/>
          </w:rPr>
          <w:t>Jude 12</w:t>
        </w:r>
      </w:hyperlink>
      <w:r>
        <w:t xml:space="preserve">, qui fait peut-être référence à des « agapes » (repas communautaires chrétiens), nous pouvons raisonnablement déduire que la célébration de la Sainte Cène était souvent accompagnée d'un repas communautaire. </w:t>
      </w:r>
    </w:p>
    <w:p>
      <w:r/>
      <w:r>
        <w:t>La seconde question est si la « fraction du pain », comme celle de l'Église de Jérusalem, était peut-être au début un rite différent de celui qui inclut pain et vin. Ce rite aurait commémoré la communion des disciples avec le Seigneur ressuscité, alors que le second aurait surtout rappelé sa mort sacrificielle. Il n'y a pas de preuve soutenant une telle hypothèse. Les récits de la Cène dans les Évangiles incluent la fraction du pain et le partage du vin en souvenir du sang du Christ « répandu pour plusieurs ». Nous pouvons également présupposer que la tradition reçue par l'apôtre Paul et qu'il a suivie et enseignée, remonte à ses premières années en tant que chrétien. Cette tradition comprenait la fraction du pain et le partage du vin en mémoire du Christ, proclamant ainsi la mort du Seigneur jusqu'à son retour.</w:t>
      </w:r>
    </w:p>
    <w:p>
      <w:pPr>
        <w:pStyle w:val="Heading3"/>
      </w:pPr>
      <w:r>
        <w:t>Enseignement de Paul</w:t>
      </w:r>
    </w:p>
    <w:p>
      <w:r/>
      <w:r>
        <w:t xml:space="preserve">Dans l'enseignement de Paul, comme dans les Évangiles, la Sainte Cène implique clairement un regard en arrière plein de reconnaissance. Ce regard porte sur le sacrifice du Christ offert une fois pour toutes pour les péchés du monde, le rappel de la présence du Seigneur avec son peuple dans le présent, et une espérance portée vers l'avenir. Toutefois, </w:t>
      </w:r>
      <w:hyperlink r:id="rId13448">
        <w:r>
          <w:rPr>
            <w:color w:val="0000EE"/>
            <w:u w:val="single"/>
          </w:rPr>
          <w:t xml:space="preserve">1 Corinthiens 10–11 </w:t>
        </w:r>
      </w:hyperlink>
      <w:r>
        <w:t>inclut d'autres enseignements concernant la célébration de la Sainte Cène. Ces enseignements portent sur des aspects pratiques de la situation dans l'Église de Corinthe : le besoin d'être conscient du danger de revenir d'une manière ou d'une autre au culte des idoles et le potentiel de divisions au sein de la communauté chrétienne, y compris entre riches et pauvres.</w:t>
      </w:r>
    </w:p>
    <w:p>
      <w:pPr>
        <w:pStyle w:val="Heading4"/>
      </w:pPr>
      <w:r>
        <w:t>Communion avec Christ</w:t>
      </w:r>
    </w:p>
    <w:p>
      <w:r/>
      <w:r>
        <w:t>Participer à la table et boire la coupe du Seigneur est décrit comme communion au Christ, tout comme partager des repas de viandes sacrifiées aux idoles signifie participer à « la table des démons » (</w:t>
      </w:r>
      <w:hyperlink r:id="rId3450">
        <w:r>
          <w:rPr>
            <w:color w:val="0000EE"/>
            <w:u w:val="single"/>
          </w:rPr>
          <w:t>1Co 10.21</w:t>
        </w:r>
      </w:hyperlink>
      <w:r>
        <w:t xml:space="preserve">). « La coupe de bénédiction que nous bénissons, n'est-elle pas la communion au sang de Christ ? Le pain que nous rompons, n'est-il pas la communion au corps de Christ ? » (v. </w:t>
      </w:r>
      <w:hyperlink r:id="rId3462">
        <w:r>
          <w:rPr>
            <w:color w:val="0000EE"/>
            <w:u w:val="single"/>
          </w:rPr>
          <w:t>16</w:t>
        </w:r>
      </w:hyperlink>
      <w:r>
        <w:t>). Lorsque la Sainte Cène était célébrée, il devait souvent y avoir un rappel non seulement de la Cène la nuit précédant la mort de Jésus, mais aussi de sa présence avec ses disciples le premier jour de Pâques et de sa révélation à eux par la fraction du pain (</w:t>
      </w:r>
      <w:hyperlink r:id="rId13449">
        <w:r>
          <w:rPr>
            <w:color w:val="0000EE"/>
            <w:u w:val="single"/>
          </w:rPr>
          <w:t>Lc 24.30–35</w:t>
        </w:r>
      </w:hyperlink>
      <w:r>
        <w:t>). Ils continuaient à vivre cette communion avec lui.</w:t>
      </w:r>
    </w:p>
    <w:p>
      <w:pPr>
        <w:pStyle w:val="Heading4"/>
      </w:pPr>
      <w:r>
        <w:t>Se nourrir de Christ</w:t>
      </w:r>
    </w:p>
    <w:p>
      <w:r/>
      <w:r>
        <w:t xml:space="preserve">Une différence importante entre les deux sacrements chrétiens est qu'on ne se fait baptiser qu'une seule fois, tandis que la Sainte Cène est célébrée régulièrement. Le Christ est mort sur la croix une fois pour toutes pour les péchés. Nous recevons la vie en nous tournant à lui, et c'est ce que le baptême signifie. Cependant, nous sommes également alimentés quotidiennement dans notre vie spirituelle en Christ. La Sainte Cène peut aussi servir à rappeler cela. </w:t>
      </w:r>
    </w:p>
    <w:p>
      <w:r/>
      <w:r>
        <w:t xml:space="preserve">Dans </w:t>
      </w:r>
      <w:hyperlink r:id="rId13450">
        <w:r>
          <w:rPr>
            <w:color w:val="0000EE"/>
            <w:u w:val="single"/>
          </w:rPr>
          <w:t>1 Corinthiens 10.3–4</w:t>
        </w:r>
      </w:hyperlink>
      <w:r>
        <w:t>, il est question « d'aliment spirituel » et de « breuvage spirituel ». Paul établit un rapport entre la provision de nourriture et de breuvage aux Israélites pendant l'Exode et Christ. Or Christ a aussi dit : « Je suis le pain de vie » et « ma chair est vraiment une nourriture, et mon sang est vraiment un breuvage » (</w:t>
      </w:r>
      <w:hyperlink r:id="rId13451">
        <w:r>
          <w:rPr>
            <w:color w:val="0000EE"/>
            <w:u w:val="single"/>
          </w:rPr>
          <w:t>Jn 6.35, 55</w:t>
        </w:r>
      </w:hyperlink>
      <w:r>
        <w:t>). Ces passages permettent de considérer la Sainte Cène comme une façon de se rappeler que la provision de Christ n'est pas simplement un événement passé et une espérance future, mais aussi une dépendance de lui au quotidien.</w:t>
      </w:r>
      <w:r/>
      <w:r/>
    </w:p>
    <w:p>
      <w:r/>
    </w:p>
    <w:p>
      <w:pPr>
        <w:pStyle w:val="Heading2"/>
      </w:pPr>
      <w:r>
        <w:t>Salamine</w:t>
      </w:r>
      <w:r/>
    </w:p>
    <w:p>
      <w:r/>
      <w:r>
        <w:t>Port sur la côte est de Chypre où Barnabas et Saul ont débarqué au début de leur premier voyage missionnaire. Ils y ont proclamé la parole de Dieu dans les synagogues des Juifs de cette ville (</w:t>
      </w:r>
      <w:hyperlink r:id="rId7124">
        <w:r>
          <w:rPr>
            <w:color w:val="0000EE"/>
            <w:u w:val="single"/>
          </w:rPr>
          <w:t>Ac 13.5</w:t>
        </w:r>
      </w:hyperlink>
      <w:r>
        <w:t>). La tradition affirme que la ville avait 1 000 ans lorsque les missionnaires sont arrivés, ayant été fondée par Teucer après son retour de la guerre de Troie.</w:t>
      </w:r>
    </w:p>
    <w:p>
      <w:r/>
      <w:r>
        <w:t>Pendant des siècles, il s'agissait d'un port maritime majeur, expédiant du cuivre, du bois, des céramiques et des produits agricoles vers l'Europe, l'Afrique et l'Asie. Les Ptolémées ont encouragé les Juifs à s'y installer. C'est pour cette raison que Barnabas et Saul y ont trouvé des synagogues juives. Le tombeau de Barnabas se trouve au monastère voisin d'Ali Barnaba (découvert en 477 apr. J.‑C.).</w:t>
      </w:r>
    </w:p>
    <w:p>
      <w:r/>
      <w:r>
        <w:t>Après la destruction partielle de la ville par Hadrien en 116 apr. J.‑C. et d'autres dommages causés par des tremblements de terre en 332 et 342 apr. J.‑C., elle sera reconstruite par l'empereur byzantin Constance II (336–361 apr. J.‑C.). Avant 332 apr. J.‑C., Salamine abritait la plus grande communauté juive de l'île. Par la suite, elle semble avoir eu la plus grande communauté chrétienne, car elle deviendra le siège métropolitain de l'île.</w:t>
      </w:r>
    </w:p>
    <w:p>
      <w:r/>
      <w:r>
        <w:t>Après la destruction de la ville par les Sarrasins en 647 apr. J.‑C., le port s'ensablera et le site sera abandonné. Durant les siècles de domination ottomane, le port sera remplacé par celui de Famagouste.</w:t>
      </w:r>
      <w:r/>
      <w:r/>
    </w:p>
    <w:p>
      <w:r/>
    </w:p>
    <w:p>
      <w:pPr>
        <w:pStyle w:val="Heading2"/>
      </w:pPr>
      <w:r>
        <w:t>Salem</w:t>
      </w:r>
      <w:r/>
    </w:p>
    <w:p>
      <w:r/>
      <w:r>
        <w:t>Ville d'où venait le prêtre-roi Melchisédek (</w:t>
      </w:r>
      <w:hyperlink r:id="rId4624">
        <w:r>
          <w:rPr>
            <w:color w:val="0000EE"/>
            <w:u w:val="single"/>
          </w:rPr>
          <w:t>Gn 14.18</w:t>
        </w:r>
      </w:hyperlink>
      <w:r>
        <w:t xml:space="preserve"> ; </w:t>
      </w:r>
      <w:hyperlink r:id="rId9907">
        <w:r>
          <w:rPr>
            <w:color w:val="0000EE"/>
            <w:u w:val="single"/>
          </w:rPr>
          <w:t>Ps 76.2</w:t>
        </w:r>
      </w:hyperlink>
      <w:r>
        <w:t xml:space="preserve"> ; </w:t>
      </w:r>
      <w:hyperlink r:id="rId9912">
        <w:r>
          <w:rPr>
            <w:color w:val="0000EE"/>
            <w:u w:val="single"/>
          </w:rPr>
          <w:t>Hé 7.1–2</w:t>
        </w:r>
      </w:hyperlink>
      <w:r>
        <w:t xml:space="preserve">). Salem est considéré comme un ancien nom de Jérusalem. </w:t>
      </w:r>
      <w:r>
        <w:rPr>
          <w:i/>
        </w:rPr>
        <w:t>Voir</w:t>
      </w:r>
      <w:r>
        <w:t xml:space="preserve"> </w:t>
      </w:r>
      <w:r>
        <w:t>Jérusalem</w:t>
      </w:r>
      <w:r>
        <w:t>.</w:t>
      </w:r>
      <w:r/>
      <w:r/>
    </w:p>
    <w:p>
      <w:r/>
    </w:p>
    <w:p>
      <w:pPr>
        <w:pStyle w:val="Heading2"/>
      </w:pPr>
      <w:r>
        <w:t>Salmone</w:t>
      </w:r>
      <w:r/>
    </w:p>
    <w:p>
      <w:r/>
      <w:r>
        <w:t>Promontoire (point élevé de terre s'étendant dans la mer) du côté oriental de la Crète. Le navire de l'apôtre Paul naviguera près de cet endroit lors de son voyage vers Rome (</w:t>
      </w:r>
      <w:hyperlink r:id="rId2742">
        <w:r>
          <w:rPr>
            <w:color w:val="0000EE"/>
            <w:u w:val="single"/>
          </w:rPr>
          <w:t>Ac 27.7</w:t>
        </w:r>
      </w:hyperlink>
      <w:r>
        <w:t>).</w:t>
      </w:r>
      <w:r/>
      <w:r/>
    </w:p>
    <w:p>
      <w:r/>
    </w:p>
    <w:p>
      <w:pPr>
        <w:pStyle w:val="Heading2"/>
      </w:pPr>
      <w:r>
        <w:t>Salomé</w:t>
      </w:r>
      <w:r/>
    </w:p>
    <w:p>
      <w:r/>
      <w:r>
        <w:t xml:space="preserve">Le nom Salomé est dérivé du mot hébreu </w:t>
      </w:r>
      <w:r>
        <w:rPr>
          <w:i/>
        </w:rPr>
        <w:t>shalom</w:t>
      </w:r>
      <w:r>
        <w:t>, qui signifie « paix ». L'ajout de la lettre finale « é » lui donne un style grec.</w:t>
      </w:r>
    </w:p>
    <w:p>
      <w:pPr>
        <w:pStyle w:val="ListNumber"/>
        <w:spacing w:line="240" w:lineRule="auto"/>
        <w:ind w:left="720"/>
      </w:pPr>
      <w:r/>
      <w:r>
        <w:t xml:space="preserve">Femme qui fait partie des disciples de Jésus. Salomé est peut-être la sœur de Marie et la mère de Jacques et de Jean. Dans </w:t>
      </w:r>
      <w:hyperlink r:id="rId2741">
        <w:r>
          <w:rPr>
            <w:color w:val="0000EE"/>
            <w:u w:val="single"/>
          </w:rPr>
          <w:t>Marc 15.40</w:t>
        </w:r>
      </w:hyperlink>
      <w:r>
        <w:t>, trois femmes se tenant au pied de la croix sont nommées : (a) Marie de Magdala, (b) Marie mère de Jacques le mineur et de Joses et (c) Salomé.</w:t>
      </w:r>
    </w:p>
    <w:p>
      <w:r/>
      <w:r>
        <w:t>Plus tard, Marc nomme encore les femmes qui se rendent au sépulcre de Jésus à l'aube. ll s'agit de : (a) Marie de Magdala, (b) Marie, mère de Jacques et (c) Salomé. Elles apportent avec elles des aromates pour embaumer le corps de Jésus (</w:t>
      </w:r>
      <w:hyperlink r:id="rId2585">
        <w:r>
          <w:rPr>
            <w:color w:val="0000EE"/>
            <w:u w:val="single"/>
          </w:rPr>
          <w:t>Mc 16.1</w:t>
        </w:r>
      </w:hyperlink>
      <w:r>
        <w:t>).</w:t>
      </w:r>
    </w:p>
    <w:p>
      <w:r/>
      <w:r>
        <w:t>Dans le récit parallèle de Matthieu, deux femmes sont nommées : Marie et de la mère des fils de Zébédée. Peut-être que cette dernière est celle qui est appelée Salomé dans Marc (</w:t>
      </w:r>
      <w:hyperlink r:id="rId2740">
        <w:r>
          <w:rPr>
            <w:color w:val="0000EE"/>
            <w:u w:val="single"/>
          </w:rPr>
          <w:t>Mt 27.56</w:t>
        </w:r>
      </w:hyperlink>
      <w:r>
        <w:t>).</w:t>
      </w:r>
    </w:p>
    <w:p>
      <w:r/>
      <w:r>
        <w:t xml:space="preserve">Le récit de Jean mentionne quatre femmes : (a) Marie, mère de Jésus ; (b) Marie, femme de Clopas ; (c) Marie de Magdala et (d) la sœur de Marie (dont le nom n'est pas donné dans </w:t>
      </w:r>
      <w:hyperlink r:id="rId589">
        <w:r>
          <w:rPr>
            <w:color w:val="0000EE"/>
            <w:u w:val="single"/>
          </w:rPr>
          <w:t>Jn 19.25</w:t>
        </w:r>
      </w:hyperlink>
      <w:r>
        <w:t>). Si cette sœur de Marie est bien Salomé, il est probable que c'est elle qui est la mère des fils de Zébédée. Ceci signifierait que Jacques et Jean, les fils de Zébédée, étaient des cousins de Jésus.</w:t>
      </w:r>
    </w:p>
    <w:p>
      <w:pPr>
        <w:pStyle w:val="ListNumber"/>
        <w:spacing w:line="240" w:lineRule="auto"/>
        <w:ind w:left="720"/>
      </w:pPr>
      <w:r/>
      <w:r>
        <w:t xml:space="preserve">Fille d'Hérodiade. C'est la fille d'Hérode Philippe, premier mari d'Hérodiade. Ni </w:t>
      </w:r>
      <w:hyperlink r:id="rId13452">
        <w:r>
          <w:rPr>
            <w:color w:val="0000EE"/>
            <w:u w:val="single"/>
          </w:rPr>
          <w:t>Matthieu 14.6</w:t>
        </w:r>
      </w:hyperlink>
      <w:r>
        <w:t xml:space="preserve"> ni </w:t>
      </w:r>
      <w:hyperlink r:id="rId13453">
        <w:r>
          <w:rPr>
            <w:color w:val="0000EE"/>
            <w:u w:val="single"/>
          </w:rPr>
          <w:t>Marc 6.22</w:t>
        </w:r>
      </w:hyperlink>
      <w:r>
        <w:t xml:space="preserve"> ne la désignent par son nom. Cependant, selon la tradition, Salomé est celle qui charme Hérode en dansant. Pour récompense, il lui promet sous serment tout ce qu'elle demandera, jusqu'à la moitié de son royaume. Poussée par sa mère, elle demande et obtient l'exécution de Jean le Baptiste, et sa tête sur un plateau.</w:t>
      </w:r>
      <w:r/>
      <w:r/>
    </w:p>
    <w:p>
      <w:r/>
    </w:p>
    <w:p>
      <w:pPr>
        <w:pStyle w:val="Heading2"/>
      </w:pPr>
      <w:r>
        <w:t>Samaritains</w:t>
      </w:r>
      <w:r/>
    </w:p>
    <w:p>
      <w:r/>
      <w:r>
        <w:t>Groupe schismatique issu des Juifs. Ce groupe résidait au nord de la Judée et au sud de la Galilée, en tension hostile avec ses voisins juifs. L'attitude de Jésus envers ce groupe méprisé contrastait radicalement avec le sentiment de l'époque à leur encontre.</w:t>
      </w:r>
    </w:p>
    <w:p>
      <w:r/>
      <w:r>
        <w:t>Survol</w:t>
      </w:r>
    </w:p>
    <w:p>
      <w:r/>
      <w:r>
        <w:t xml:space="preserve">• </w:t>
      </w:r>
      <w:r>
        <w:rPr>
          <w:b/>
          <w:u w:val="single"/>
        </w:rPr>
        <w:t>Origines de la secte</w:t>
      </w:r>
    </w:p>
    <w:p>
      <w:r/>
      <w:r>
        <w:t xml:space="preserve">• </w:t>
      </w:r>
      <w:r>
        <w:rPr>
          <w:b/>
          <w:u w:val="single"/>
        </w:rPr>
        <w:t>Relations entre Samaritains et Juifs</w:t>
      </w:r>
    </w:p>
    <w:p>
      <w:r/>
      <w:r>
        <w:t xml:space="preserve">• </w:t>
      </w:r>
      <w:r>
        <w:rPr>
          <w:b/>
          <w:u w:val="single"/>
        </w:rPr>
        <w:t>Croyances samaritaines</w:t>
      </w:r>
    </w:p>
    <w:p>
      <w:r/>
      <w:r>
        <w:t xml:space="preserve">• </w:t>
      </w:r>
      <w:r>
        <w:rPr>
          <w:b/>
          <w:u w:val="single"/>
        </w:rPr>
        <w:t>Jésus et les Samaritains</w:t>
      </w:r>
    </w:p>
    <w:p>
      <w:r/>
      <w:r>
        <w:t xml:space="preserve">• </w:t>
      </w:r>
      <w:r>
        <w:rPr>
          <w:b/>
          <w:u w:val="single"/>
        </w:rPr>
        <w:t>La Samarie dans la mission de l'Église primitive</w:t>
      </w:r>
    </w:p>
    <w:p>
      <w:pPr>
        <w:pStyle w:val="Heading3"/>
      </w:pPr>
      <w:r>
        <w:t>Origines de la secte</w:t>
      </w:r>
    </w:p>
    <w:p>
      <w:r/>
      <w:r>
        <w:t xml:space="preserve">Il est difficile de déterminer précisément quand la secte samaritaine est apparue et quand la rupture finale avec le judaïsme s'est produite. La conception de l'Ancien Testament de l'origine de la secte samaritaine est qu'ils proviennent de peuples étrangers repeuplés dont le culte de Dieu n'était qu'un vernis dissimulant une idolâtrie sous-jacente. Selon </w:t>
      </w:r>
      <w:hyperlink r:id="rId13454">
        <w:r>
          <w:rPr>
            <w:color w:val="0000EE"/>
            <w:u w:val="single"/>
          </w:rPr>
          <w:t>2 Rois 17</w:t>
        </w:r>
      </w:hyperlink>
      <w:r>
        <w:t>, la secte samaritaine est née de l'échange de peuples suite à la défaite d'Israël par l'Assyrie en 722 av. J.‑C. En retirant les Israélites de la terre, le roi d'Assyrie a repeuplé la région avec des peuples conquis de Babylone, de Cuthah et de diverses autres nations.</w:t>
      </w:r>
    </w:p>
    <w:p>
      <w:r/>
      <w:r>
        <w:t xml:space="preserve">Les Samaritains proposent une interprétation très différente de leur origine. Ils revendiquent leur descendance des tribus juives d'Éphraïm et de Manassé (voir </w:t>
      </w:r>
      <w:hyperlink r:id="rId13455">
        <w:r>
          <w:rPr>
            <w:color w:val="0000EE"/>
            <w:u w:val="single"/>
          </w:rPr>
          <w:t>Jn 4.12</w:t>
        </w:r>
      </w:hyperlink>
      <w:r>
        <w:t>) et soutiennent que l'exil des Israélites en 722 av. J.‑C. par l'Assyrie n'était ni total ni permanent. Pour expliquer l'hostilité mutuelle qui s'est développée entre leur groupe et les Juifs, la version samaritaine affirme que les Juifs étaient coupables d'apostasie, établissant des sanctuaires hérétiques à l'époque d'Éli, au lieu de rester fidèles au seul lieu saint sur le mont Garizim. Les Samaritains se considéraient donc comme les véritables Israélites autant au niveau de la descendance que du culte.</w:t>
      </w:r>
    </w:p>
    <w:p>
      <w:r/>
      <w:r>
        <w:t xml:space="preserve">D'après les archives assyriennes de cette période, un échange de population est bien affirmé pour le royaume du nord, mais il semblerait également qu'une déportation totale n'ait pas eu lieu (voir </w:t>
      </w:r>
      <w:hyperlink r:id="rId13456">
        <w:r>
          <w:rPr>
            <w:color w:val="0000EE"/>
            <w:u w:val="single"/>
          </w:rPr>
          <w:t>2Ch 34.9</w:t>
        </w:r>
      </w:hyperlink>
      <w:r>
        <w:t>). Cela suggérerait qu'il subsistait deux éléments dans le pays : d'abord, le reste israélite natif non exilé ; et ensuite, les exilés étrangers qui ont été progressivement convertis à la foi des résidents natifs, bien que le syncrétisme ait sans doute existé pendant la période initiale d'assimilation.</w:t>
      </w:r>
    </w:p>
    <w:p>
      <w:pPr>
        <w:pStyle w:val="Heading3"/>
      </w:pPr>
      <w:r>
        <w:t>Relations entre Samaritains et Juifs</w:t>
      </w:r>
    </w:p>
    <w:p>
      <w:r/>
      <w:r>
        <w:t>L'histoire des relations entre les Samaritains (situés au nord autour du mont Garizim [leur montagne sacrée], Sichem et Samarie) et les populations juives en Judée puis plus tard en Galilée est marquée par des tensions fluctuantes. La tension ancienne entre les royaumes du nord et du sud a été ravivée avec le retour des exilés à Jérusalem sous l'édit du souverain perse Cyrus (vers 538 av. J.‑C.). Toute la région sud était à l'époque gouvernée depuis Samarie au nord par Sanballat, un dirigeant natif de Palestine sous l'autorité perse. Le retour des exilés à Jérusalem, en particulier avec leurs intentions de reconstruire le temple de Jérusalem, représentait une menace politique évidente pour sa position gouvernante au nord (</w:t>
      </w:r>
      <w:hyperlink r:id="rId13457">
        <w:r>
          <w:rPr>
            <w:color w:val="0000EE"/>
            <w:u w:val="single"/>
          </w:rPr>
          <w:t>Esd 4.7–24</w:t>
        </w:r>
      </w:hyperlink>
      <w:r>
        <w:t xml:space="preserve"> ; </w:t>
      </w:r>
      <w:hyperlink r:id="rId13458">
        <w:r>
          <w:rPr>
            <w:color w:val="0000EE"/>
            <w:u w:val="single"/>
          </w:rPr>
          <w:t>Né 4.1–9</w:t>
        </w:r>
      </w:hyperlink>
      <w:r>
        <w:t>).</w:t>
      </w:r>
    </w:p>
    <w:p>
      <w:r/>
      <w:r>
        <w:t>L'opposition était d'abord motivée politiquement, mais elle est devenue religieuse lorsque, quelque temps plus tard, possiblement au 5e siècle avant J.‑C., un temple rival a été érigé sur le mont Garizim. Un exemple de l'hostilité juive envers les Samaritains à cette époque provient d'</w:t>
      </w:r>
      <w:hyperlink r:id="rId13459">
        <w:r>
          <w:rPr>
            <w:color w:val="0000EE"/>
            <w:u w:val="single"/>
          </w:rPr>
          <w:t>Ecclésiastique 50.25–26</w:t>
        </w:r>
      </w:hyperlink>
      <w:r>
        <w:t xml:space="preserve"> (écrit vers 200 av. J.‑C.), où les Samaritains sont placés en dessous des Édomites et des Philistins en estime et sont qualifiés de « peuple insensé » (voir le Testamet de Lévi 7.2).</w:t>
      </w:r>
    </w:p>
    <w:p>
      <w:r/>
      <w:r>
        <w:t>Le mépris juif pour les Samaritains a été accru par le manque de résistance de ce derniers à la campagne d'Antiochus Épiphane (vers 167 av. J.‑C.) visant à promouvoir le culte hellénistique dans la région. Alors qu'une partie de la communauté juive a résisté à la transformation du temple de Jérusalem en un temple pour Zeus (</w:t>
      </w:r>
      <w:hyperlink r:id="rId13460">
        <w:r>
          <w:rPr>
            <w:color w:val="0000EE"/>
            <w:u w:val="single"/>
          </w:rPr>
          <w:t>1 M 1.62–64</w:t>
        </w:r>
      </w:hyperlink>
      <w:r>
        <w:t>) et a fini par suivre les Maccabées dans la révolte (</w:t>
      </w:r>
      <w:hyperlink r:id="rId13461">
        <w:r>
          <w:rPr>
            <w:color w:val="0000EE"/>
            <w:u w:val="single"/>
          </w:rPr>
          <w:t>1 M 2.42–43</w:t>
        </w:r>
      </w:hyperlink>
      <w:r>
        <w:t xml:space="preserve">), les sources suggèrent que les Samaritains, eux, ne l'ont pas fait (voir </w:t>
      </w:r>
      <w:hyperlink r:id="rId13462">
        <w:r>
          <w:rPr>
            <w:color w:val="0000EE"/>
            <w:u w:val="single"/>
          </w:rPr>
          <w:t>1 M 6.2</w:t>
        </w:r>
      </w:hyperlink>
      <w:r>
        <w:t>).</w:t>
      </w:r>
    </w:p>
    <w:p>
      <w:r/>
      <w:r>
        <w:t>Les relations tendues ont atteint leur paroxysme pendant la brève période d'indépendance juive sous les Hasmonéens, lorsque le dirigeant juif, Jean Hyrcan, a marché contre Sichem, conquérant et détruisant le temple samaritain sur le mont Garizim (vers 128 av. J.‑C.).</w:t>
      </w:r>
    </w:p>
    <w:p>
      <w:r/>
      <w:r>
        <w:t>Sous Hérode le Grand, la fortune de la Samarie s'est améliorée, bien que l'animosité ait persisté entre Samaritains et Juifs en Judée et en Galilée. Considérant le temple de Jérusalem comme un faux centre cultuel et exclus des cours intérieures par les autorités de Jérusalem, un groupe de Samaritains a profané le temple de Jérusalem vers l'an 6 en répandant des ossements humains dans les porches et le sanctuaire du temple pendant la Pâque. L'hostilité envers les Juifs galiléens qui traversaient la Samarie en route vers Jérusalem pour diverses fêtes n'était pas non plus rare (</w:t>
      </w:r>
      <w:hyperlink r:id="rId13463">
        <w:r>
          <w:rPr>
            <w:color w:val="0000EE"/>
            <w:u w:val="single"/>
          </w:rPr>
          <w:t>Lc 9.51–53</w:t>
        </w:r>
      </w:hyperlink>
      <w:r>
        <w:t>).</w:t>
      </w:r>
    </w:p>
    <w:p>
      <w:r/>
      <w:r>
        <w:t>Cette animosité a perduré à l'époque de Jésus. Les deux groupes s'excluaient mutuellement de leurs centres cultuels respectifs, le temple de Jérusalem et le temple samaritain sur le mont Garizim. Les Samaritains, par exemple, étaient interdits d'accès aux cours intérieures du temple, et toute offrande qu'ils pouvaient apporter était considérée comme provenant d'un Gentil. Ainsi, bien que probablement plus précisément définis comme des « schismatiques », il semble que les Samaritains étaient en pratique traités comme des Gentils. Tout mariage entre les groupes était donc interdit, et les relations sociales étaient grandement restreintes (</w:t>
      </w:r>
      <w:hyperlink r:id="rId7994">
        <w:r>
          <w:rPr>
            <w:color w:val="0000EE"/>
            <w:u w:val="single"/>
          </w:rPr>
          <w:t>Jn 4.9</w:t>
        </w:r>
      </w:hyperlink>
      <w:r>
        <w:t>). Avec la prescription d'une telle séparation, il n'est pas surprenant que toute interaction entre les deux groupes soit tendue. Le simple mot Samaritain était un terme de mépris dans la bouche d'un Juif (</w:t>
      </w:r>
      <w:hyperlink r:id="rId13464">
        <w:r>
          <w:rPr>
            <w:color w:val="0000EE"/>
            <w:u w:val="single"/>
          </w:rPr>
          <w:t>8.48</w:t>
        </w:r>
      </w:hyperlink>
      <w:r>
        <w:t xml:space="preserve">), et parmi certains scribes il ne serait peut-être même pas prononcé (voir la circonlocution apparente dans </w:t>
      </w:r>
      <w:hyperlink r:id="rId13465">
        <w:r>
          <w:rPr>
            <w:color w:val="0000EE"/>
            <w:u w:val="single"/>
          </w:rPr>
          <w:t>Lc 10.37</w:t>
        </w:r>
      </w:hyperlink>
      <w:r>
        <w:t>). La réaction des disciples au refus d'hébergement par les Samaritains (</w:t>
      </w:r>
      <w:hyperlink r:id="rId13466">
        <w:r>
          <w:rPr>
            <w:color w:val="0000EE"/>
            <w:u w:val="single"/>
          </w:rPr>
          <w:t>9.51–55</w:t>
        </w:r>
      </w:hyperlink>
      <w:r>
        <w:t>) est un bon exemple de l'animosité ressentie par les Juifs envers les Samaritains à l'époque.</w:t>
      </w:r>
    </w:p>
    <w:p>
      <w:r/>
      <w:r>
        <w:t xml:space="preserve">Bien qu'il y ait moins de preuves d'attitudes similaires du côté samaritain, nous pouvons supposer qu'elles existaient. Il est donc possible de spéculer que le refus d'hospitalité des Samaritains dans </w:t>
      </w:r>
      <w:hyperlink r:id="rId13466">
        <w:r>
          <w:rPr>
            <w:color w:val="0000EE"/>
            <w:u w:val="single"/>
          </w:rPr>
          <w:t>Luc 9.51–55</w:t>
        </w:r>
      </w:hyperlink>
      <w:r>
        <w:t xml:space="preserve"> n'était pas rare envers d'autres Juifs résolus à se rendre à Jérusalem.</w:t>
      </w:r>
    </w:p>
    <w:p>
      <w:pPr>
        <w:pStyle w:val="Heading3"/>
      </w:pPr>
      <w:r>
        <w:t>Croyances samaritaines</w:t>
      </w:r>
    </w:p>
    <w:p>
      <w:r/>
      <w:r>
        <w:t>Les principales croyances des Samaritains montrent à la fois des affinités étroites avec le judaïsme traditionnel et des divergences évidentes. Ils partageaient avec le judaïsme une forte foi monothéiste au Dieu d'Abraham, d'Isaac et de Jacob. En revanche, ils considéraient le mont Garizim au nord comme le seul lieu saint pour le sacrifice, basé sur plusieurs passages divergents dans le Deutéronome et Exode dans le texte samaritain. Le mont Garizim a été identifié comme le site du premier autel d'Abel (</w:t>
      </w:r>
      <w:hyperlink r:id="rId13467">
        <w:r>
          <w:rPr>
            <w:color w:val="0000EE"/>
            <w:u w:val="single"/>
          </w:rPr>
          <w:t>Gn 4.4</w:t>
        </w:r>
      </w:hyperlink>
      <w:r>
        <w:t>), le site du sacrifice de Noé après le Déluge (</w:t>
      </w:r>
      <w:hyperlink r:id="rId1464">
        <w:r>
          <w:rPr>
            <w:color w:val="0000EE"/>
            <w:u w:val="single"/>
          </w:rPr>
          <w:t>8.20</w:t>
        </w:r>
      </w:hyperlink>
      <w:r>
        <w:t>), le lieu de rencontre d'Abraham et de Melchisédek (</w:t>
      </w:r>
      <w:hyperlink r:id="rId4624">
        <w:r>
          <w:rPr>
            <w:color w:val="0000EE"/>
            <w:u w:val="single"/>
          </w:rPr>
          <w:t>14.18</w:t>
        </w:r>
      </w:hyperlink>
      <w:r>
        <w:t xml:space="preserve">), le site du sacrifice prévu d'Isaac (chap. </w:t>
      </w:r>
      <w:hyperlink r:id="rId106">
        <w:r>
          <w:rPr>
            <w:color w:val="0000EE"/>
            <w:u w:val="single"/>
          </w:rPr>
          <w:t>22</w:t>
        </w:r>
      </w:hyperlink>
      <w:r>
        <w:t>), et de nombreuses autres associations.</w:t>
      </w:r>
    </w:p>
    <w:p>
      <w:r/>
      <w:r>
        <w:t xml:space="preserve">Les Samaritains ne considéraient que les cinq premiers livres bibliques (Pentateuque) comme inspirés et fondaient leur dogme et leur pratique exclusivement sur ces livres. Un canon aussi restreint déterminait non seulement la direction de la théologie samaritaine, mais les séparait davantage de la pensée juive contemporaine. Moïse, par exemple, était plus hautement exalté par les Samaritains que par les Juifs. Il était considéré non seulement comme le principal prophète, mais aussi, dans la pensée ultérieure, décrit comme le plus grand des hommes, préexistant depuis la Création, intercédant auprès de Dieu pour Israël, et étant pour l'homme « la lumière du monde ». L'espérance messianique de la théologie samaritaine reflète également ce canon restreint. Un Messie de la maison de David ne pouvait être anticipé, car aucune preuve de cela ne pouvait être trouvée dans le Pentateuque. Au contraire, les Samaritains attendaient un « prophète comme [Moïse] » sur la base de </w:t>
      </w:r>
      <w:hyperlink r:id="rId13468">
        <w:r>
          <w:rPr>
            <w:color w:val="0000EE"/>
            <w:u w:val="single"/>
          </w:rPr>
          <w:t>Deutéronome 18.15–18</w:t>
        </w:r>
      </w:hyperlink>
      <w:r>
        <w:t>. Ce prophète attendu était également désigné comme le « Taheb », le Restaurateur, car il restaurerait dans les derniers jours l'adoration cultuelle appropriée sur le mont Garizim et y amènerait également le culte des païens.</w:t>
      </w:r>
    </w:p>
    <w:p>
      <w:r/>
      <w:r>
        <w:t>Il est donc clair que c'était principalement la revendication de la suprématie pour le mont Garizim qui séparait ce groupe, tant sur le plan théologique que culturel, de leurs voisins juifs.</w:t>
      </w:r>
    </w:p>
    <w:p>
      <w:pPr>
        <w:pStyle w:val="Heading3"/>
      </w:pPr>
      <w:r>
        <w:t>Jésus et les Samaritains</w:t>
      </w:r>
    </w:p>
    <w:p>
      <w:r/>
      <w:r>
        <w:t>La perspective juive commune sur les Samaritains, considérés presque comme des Gentils, était manifestement partagée dans une certaine mesure par Jésus également. Jésus se réfère au lépreux samaritain comme à « cet étranger » (</w:t>
      </w:r>
      <w:hyperlink r:id="rId13469">
        <w:r>
          <w:rPr>
            <w:color w:val="0000EE"/>
            <w:u w:val="single"/>
          </w:rPr>
          <w:t>Lc 17.18</w:t>
        </w:r>
      </w:hyperlink>
      <w:r>
        <w:t>) et interdit à ses disciples, lors de leur mission, de porter le message du royaume aux Samaritains ou aux Gentils (</w:t>
      </w:r>
      <w:hyperlink r:id="rId13470">
        <w:r>
          <w:rPr>
            <w:color w:val="0000EE"/>
            <w:u w:val="single"/>
          </w:rPr>
          <w:t>Mt 10.5</w:t>
        </w:r>
      </w:hyperlink>
      <w:r>
        <w:t>).</w:t>
      </w:r>
    </w:p>
    <w:p>
      <w:r/>
      <w:r>
        <w:t>Pourtant, les données claires dans les Évangiles montrent que l'attitude de Jésus envers les Samaritains différait radicalement de celle de ses contemporains juifs. Lorsque ses disciples manifestent l'animosité juive habituelle en demandant que le « feu » du jugement s'abatte sur les Samaritains inhospitaliers, Jésus « les réprimanda » (</w:t>
      </w:r>
      <w:hyperlink r:id="rId13471">
        <w:r>
          <w:rPr>
            <w:color w:val="0000EE"/>
            <w:u w:val="single"/>
          </w:rPr>
          <w:t>Lc 9.55</w:t>
        </w:r>
      </w:hyperlink>
      <w:r>
        <w:t>). De plus, il n'a pas refusé de guérir le lépreux Samaritain mais l'a honoré comme le seul des dix à s'être souvenu de rendre gloire à Dieu (</w:t>
      </w:r>
      <w:hyperlink r:id="rId9233">
        <w:r>
          <w:rPr>
            <w:color w:val="0000EE"/>
            <w:u w:val="single"/>
          </w:rPr>
          <w:t>Lc 17.11–19</w:t>
        </w:r>
      </w:hyperlink>
      <w:r>
        <w:t>). De même, dans la parabole du Bon Samaritain (</w:t>
      </w:r>
      <w:hyperlink r:id="rId7171">
        <w:r>
          <w:rPr>
            <w:color w:val="0000EE"/>
            <w:u w:val="single"/>
          </w:rPr>
          <w:t>Lc 10.30–37</w:t>
        </w:r>
      </w:hyperlink>
      <w:r>
        <w:t>), Jésus brise clairement les préjugés traditionnels en dépeignant le Samaritain méprisé, et non le prêtre juif respecté ou le Lévite, comme le véritable prochain de l'homme dans le besoin. Ici comme ailleurs, Jésus, en confrontant son auditoire aux exigences de Dieu, brise les définitions traditionnelles de « juste » et de « paria ».</w:t>
      </w:r>
    </w:p>
    <w:p>
      <w:r/>
      <w:hyperlink r:id="rId13472">
        <w:r>
          <w:rPr>
            <w:color w:val="0000EE"/>
            <w:u w:val="single"/>
          </w:rPr>
          <w:t>Jean 4.4–43</w:t>
        </w:r>
      </w:hyperlink>
      <w:r>
        <w:t xml:space="preserve"> relate non seulement l'échange fascinant entre Jésus et la femme samaritaine, mais aussi le séjour de deux jours de Jésus dans la ville de Sychar, une cité samaritaine. Ici, nous voyons Jésus non seulement risquer l'impureté rituelle par le contact avec la femme samaritaine au puits (v. </w:t>
      </w:r>
      <w:hyperlink r:id="rId13473">
        <w:r>
          <w:rPr>
            <w:color w:val="0000EE"/>
            <w:u w:val="single"/>
          </w:rPr>
          <w:t>7–9</w:t>
        </w:r>
      </w:hyperlink>
      <w:r>
        <w:t xml:space="preserve">), mais lui offrir aussi le don du salut (v. </w:t>
      </w:r>
      <w:hyperlink r:id="rId13474">
        <w:r>
          <w:rPr>
            <w:color w:val="0000EE"/>
            <w:u w:val="single"/>
          </w:rPr>
          <w:t>10</w:t>
        </w:r>
      </w:hyperlink>
      <w:r>
        <w:t xml:space="preserve">) ainsi qu'à toute la ville samaritaine (v. </w:t>
      </w:r>
      <w:hyperlink r:id="rId13475">
        <w:r>
          <w:rPr>
            <w:color w:val="0000EE"/>
            <w:u w:val="single"/>
          </w:rPr>
          <w:t>39–41</w:t>
        </w:r>
      </w:hyperlink>
      <w:r>
        <w:t xml:space="preserve">). Grâce à la connaissance que démontre Jésus de sa vie conjugale (v. </w:t>
      </w:r>
      <w:hyperlink r:id="rId13476">
        <w:r>
          <w:rPr>
            <w:color w:val="0000EE"/>
            <w:u w:val="single"/>
          </w:rPr>
          <w:t>16–18</w:t>
        </w:r>
      </w:hyperlink>
      <w:r>
        <w:t xml:space="preserve">), la femme conclut qu'il doit être un « prophète ». Si l'on se souvient que les Samaritains attendaient un « prophète comme Moïse » dans les derniers jours, il est possible que la femme se soit demandé si Jésus était leur Messie prophétique tant attendu (v. </w:t>
      </w:r>
      <w:hyperlink r:id="rId13477">
        <w:r>
          <w:rPr>
            <w:color w:val="0000EE"/>
            <w:u w:val="single"/>
          </w:rPr>
          <w:t>19, 25–26</w:t>
        </w:r>
      </w:hyperlink>
      <w:r>
        <w:t xml:space="preserve">). Jésus non seulement brise l'animosité rigide des Juifs envers les Samaritains en faisant l'impensable en demeurant avec ce peuple méprisé, mais il accepte aussi leur foi en lui comme « Messie » (v. </w:t>
      </w:r>
      <w:hyperlink r:id="rId13478">
        <w:r>
          <w:rPr>
            <w:color w:val="0000EE"/>
            <w:u w:val="single"/>
          </w:rPr>
          <w:t>26</w:t>
        </w:r>
      </w:hyperlink>
      <w:r>
        <w:t xml:space="preserve">) et « Sauveur du monde » (v. </w:t>
      </w:r>
      <w:hyperlink r:id="rId8808">
        <w:r>
          <w:rPr>
            <w:color w:val="0000EE"/>
            <w:u w:val="single"/>
          </w:rPr>
          <w:t>42</w:t>
        </w:r>
      </w:hyperlink>
      <w:r>
        <w:t>). Ici, tout comme avec son association avec les parias de la société juive, Jésus redéfinit la justice non selon la descendance ou la pratique religieuse, mais selon la foi en lui-même. Ce faisant, il brise les distinctions raciales et culturelles de son époque et pose les bases de la propagation ultérieure de l'Évangile à l'ensemble du monde païen.</w:t>
      </w:r>
    </w:p>
    <w:p>
      <w:pPr>
        <w:pStyle w:val="Heading3"/>
      </w:pPr>
      <w:r>
        <w:t>La Samarie dans la mission de l'Église primitive</w:t>
      </w:r>
    </w:p>
    <w:p>
      <w:r/>
      <w:r>
        <w:t>Dans le Grand Mandat donnée avant l'Ascension, Jésus a dit à ses disciples de porter l'Évangile en Samarie (</w:t>
      </w:r>
      <w:hyperlink r:id="rId200">
        <w:r>
          <w:rPr>
            <w:color w:val="0000EE"/>
            <w:u w:val="single"/>
          </w:rPr>
          <w:t>Ac 1.8</w:t>
        </w:r>
      </w:hyperlink>
      <w:r>
        <w:t>). L'activité missionnaire de l'Église primitive a bien inclus cette région. Après le martyre d'Étienne, de nombreux chrétiens ont été forcés de quitter Jérusalem (</w:t>
      </w:r>
      <w:hyperlink r:id="rId4554">
        <w:r>
          <w:rPr>
            <w:color w:val="0000EE"/>
            <w:u w:val="single"/>
          </w:rPr>
          <w:t>8.1</w:t>
        </w:r>
      </w:hyperlink>
      <w:r>
        <w:t xml:space="preserve">), et l'un d'eux, Philippe, a répandu l'Évangile dans la ville de Samarie (v. </w:t>
      </w:r>
      <w:hyperlink r:id="rId13479">
        <w:r>
          <w:rPr>
            <w:color w:val="0000EE"/>
            <w:u w:val="single"/>
          </w:rPr>
          <w:t>5</w:t>
        </w:r>
      </w:hyperlink>
      <w:r>
        <w:t>). La réponse aux miracles accomplis a été si grande que Pierre et Jean (représentant les apôtres à Jérusalem) ont été envoyés pour enquêter et confirmer la présence du Saint-Esprit parmi eux. Les données du 2e siècle apr. J.‑C. que nous avons à notre disposition suggèrent cependant que le christianisme n'a pas pris un fort ancrage parmi les Samaritains. Pour la plupart, les Samaritains ont conservé leur propre religion. Un petit reste de la secte samaritaine continue d'exister à ce jour, vivant près du mont Garizim (Sichem) et dans diverses villes en Israël.</w:t>
      </w:r>
    </w:p>
    <w:p>
      <w:r/>
      <w:r>
        <w:rPr>
          <w:i/>
        </w:rPr>
        <w:t>Voir aussi</w:t>
      </w:r>
      <w:r>
        <w:t xml:space="preserve"> </w:t>
      </w:r>
      <w:r>
        <w:t>Bible, Manuscrits et texte de l'Ancien Testament</w:t>
      </w:r>
      <w:r>
        <w:t xml:space="preserve"> ; </w:t>
      </w:r>
      <w:r>
        <w:t>Samarie</w:t>
      </w:r>
      <w:r>
        <w:t>.</w:t>
      </w:r>
      <w:r/>
      <w:r/>
    </w:p>
    <w:p>
      <w:r/>
    </w:p>
    <w:p>
      <w:pPr>
        <w:pStyle w:val="Heading2"/>
      </w:pPr>
      <w:r>
        <w:t>Samos</w:t>
      </w:r>
      <w:r/>
    </w:p>
    <w:p>
      <w:r/>
      <w:r>
        <w:t>Samos est une petite île grecque située dans la mer Égée. Elle est proche de la côte de l'Asie Mineure (la Turquie moderne), près d'une terre appelée Trogyllium. L'île se trouve au sud-ouest de la ville d'Éphèse et au nord-ouest de la ville de Milet. À l'époque où vivait l'apôtre Paul, Samos était un centre commercial prospère. L'Empire romain permettait à Samos de se gouverner elle-même plutôt que de la contrôler directement.</w:t>
      </w:r>
    </w:p>
    <w:p>
      <w:r/>
      <w:r>
        <w:t>Lorsque Paul voudra éviter d'aller à Éphèse, il arrêtera son navire près de Samos lors de son voyage vers Jérusalem à la fin de son troisième voyage missionnaire. La Bible mentionne l'escale de Paul à Samos entre ses visites à Kios et Milet (</w:t>
      </w:r>
      <w:hyperlink r:id="rId13480">
        <w:r>
          <w:rPr>
            <w:color w:val="0000EE"/>
            <w:u w:val="single"/>
          </w:rPr>
          <w:t>Ac 20.15</w:t>
        </w:r>
      </w:hyperlink>
      <w:r>
        <w:t>).</w:t>
      </w:r>
      <w:r/>
      <w:r/>
    </w:p>
    <w:p>
      <w:r/>
    </w:p>
    <w:p>
      <w:pPr>
        <w:pStyle w:val="Heading2"/>
      </w:pPr>
      <w:r>
        <w:t>Samothrace</w:t>
      </w:r>
      <w:r/>
    </w:p>
    <w:p>
      <w:r/>
      <w:r>
        <w:t xml:space="preserve">Île située dans la partie nord-est de la mer Égée, au large de la côte de la province romaine de Thrace. Elle était nommée Samothrace, ou « Samos de Thrace », pour la distinguer de l'autre Samos (voir </w:t>
      </w:r>
      <w:hyperlink r:id="rId13480">
        <w:r>
          <w:rPr>
            <w:color w:val="0000EE"/>
            <w:u w:val="single"/>
          </w:rPr>
          <w:t>Ac 20.15</w:t>
        </w:r>
      </w:hyperlink>
      <w:r>
        <w:t>), qui se trouvait également dans la mer Égée mais un peu au sud-ouest d'Éphèse. Samothrace était à mi-chemin entre Troas et Néapolis, le port de Philippes.</w:t>
      </w:r>
    </w:p>
    <w:p>
      <w:r/>
      <w:r>
        <w:t>Cette île servira d'escale à l'apôtre Paul sur son chemin de Troas à Néapolis lors de son deuxième voyage missionnaire (</w:t>
      </w:r>
      <w:hyperlink r:id="rId8229">
        <w:r>
          <w:rPr>
            <w:color w:val="0000EE"/>
            <w:u w:val="single"/>
          </w:rPr>
          <w:t>Ac 16.11</w:t>
        </w:r>
      </w:hyperlink>
      <w:r>
        <w:t xml:space="preserve">). On ne sait pas si Paul a débarqué sur l'île ou si son bateau a seulement jeté l'ancre au large de ses côtes avant de naviguer vers Néapolis le lendemain. L'ancrage habituel se faisait du côté nord de l'île, car les bateaux étaient ainsi protégés du vent du sud-est. Le voyage de Paul de Troas à Néapolis via Samothrace semble avoir connu un vent favorable derrière le bateau, car il n'a pris que deux jours (contre cinq jours au retour, voir </w:t>
      </w:r>
      <w:hyperlink r:id="rId8274">
        <w:r>
          <w:rPr>
            <w:color w:val="0000EE"/>
            <w:u w:val="single"/>
          </w:rPr>
          <w:t>Ac 20.6</w:t>
        </w:r>
      </w:hyperlink>
      <w:r>
        <w:t>).</w:t>
      </w:r>
    </w:p>
    <w:p>
      <w:r/>
      <w:r>
        <w:t>Samothrace est une île montagneuse, dont le sommet central est le point le plus élevé dans la partie nord de la Mer Égée, après le mont Athos, qui se trouve sur le continent. Par temps clair, l'île a toujours été un ancien repère pour les marins naviguant entre Troas et Néapolis. Elle mesure environ 32 km de circonférence.</w:t>
      </w:r>
      <w:r/>
      <w:r/>
    </w:p>
    <w:p>
      <w:r/>
    </w:p>
    <w:p>
      <w:pPr>
        <w:pStyle w:val="Heading2"/>
      </w:pPr>
      <w:r>
        <w:t>Samuel (Personne)</w:t>
      </w:r>
      <w:r/>
    </w:p>
    <w:p>
      <w:r/>
      <w:r>
        <w:t xml:space="preserve">Dernier des juges, son nom signifie « nom de Dieu » ou « son nom est El » (El est le nom du Dieu de force et de puissance). Le jeu de mots dans </w:t>
      </w:r>
      <w:hyperlink r:id="rId9587">
        <w:r>
          <w:rPr>
            <w:color w:val="0000EE"/>
            <w:u w:val="single"/>
          </w:rPr>
          <w:t>1 Samuel 1.20</w:t>
        </w:r>
      </w:hyperlink>
      <w:r>
        <w:t xml:space="preserve"> (voir </w:t>
      </w:r>
      <w:hyperlink r:id="rId10203">
        <w:r>
          <w:rPr>
            <w:color w:val="0000EE"/>
            <w:u w:val="single"/>
          </w:rPr>
          <w:t>Ex 2.10</w:t>
        </w:r>
      </w:hyperlink>
      <w:r>
        <w:t>) n'a pas pour but d'expliquer la signification du nom de Samuel ; les paroles d'Anne rappellent seulement sa prière et les circonstances entourant la naissance de son fils.</w:t>
      </w:r>
    </w:p>
    <w:p>
      <w:pPr>
        <w:pStyle w:val="Heading3"/>
      </w:pPr>
      <w:r>
        <w:t>Histoire personnelle</w:t>
      </w:r>
    </w:p>
    <w:p>
      <w:r/>
      <w:r>
        <w:t>Les parents de Samuel étaient un couple dévoué à Dieu qui se rendait chaque année au sanctuaire de Silo (</w:t>
      </w:r>
      <w:hyperlink r:id="rId3993">
        <w:r>
          <w:rPr>
            <w:color w:val="0000EE"/>
            <w:u w:val="single"/>
          </w:rPr>
          <w:t>1S 1.3</w:t>
        </w:r>
      </w:hyperlink>
      <w:r>
        <w:t>). Son père, Elkana, était un Lévite (</w:t>
      </w:r>
      <w:hyperlink r:id="rId10546">
        <w:r>
          <w:rPr>
            <w:color w:val="0000EE"/>
            <w:u w:val="single"/>
          </w:rPr>
          <w:t>1Ch 6.26</w:t>
        </w:r>
      </w:hyperlink>
      <w:r>
        <w:t>) et résidait à Rama, dans le territoire d'Éphraïm. Sa mère, Anne, ne pouvait pas avoir d'enfants au début de leur mariage. Elkana avait une seconde épouse, Peninna.</w:t>
      </w:r>
    </w:p>
    <w:p>
      <w:r/>
      <w:r>
        <w:t>Lors d'une visite à Silo, Anne prie dans le sanctuaire (</w:t>
      </w:r>
      <w:hyperlink r:id="rId13481">
        <w:r>
          <w:rPr>
            <w:color w:val="0000EE"/>
            <w:u w:val="single"/>
          </w:rPr>
          <w:t>1S 1.6–11</w:t>
        </w:r>
      </w:hyperlink>
      <w:r>
        <w:t>), promettant que, si le Seigneur lui donnait un fils, elle le consacrerait comme naziréen (</w:t>
      </w:r>
      <w:hyperlink r:id="rId7963">
        <w:r>
          <w:rPr>
            <w:color w:val="0000EE"/>
            <w:u w:val="single"/>
          </w:rPr>
          <w:t>Nb 6.1–21</w:t>
        </w:r>
      </w:hyperlink>
      <w:r>
        <w:t>) au service de Dieu pour la vie. Le Seigneur entendra la prière d'Anne et exaucera sa demande. Elle n'aura pas d'autres enfants avant la consécration de Samuel.</w:t>
      </w:r>
    </w:p>
    <w:p>
      <w:r/>
      <w:r>
        <w:t>Quand Samuel sera présenté à Éli et commencera son service dans le sanctuaire, il s'incline devant le Seigneur en marque d'adoration (</w:t>
      </w:r>
      <w:hyperlink r:id="rId13372">
        <w:r>
          <w:rPr>
            <w:color w:val="0000EE"/>
            <w:u w:val="single"/>
          </w:rPr>
          <w:t>1S 1.28</w:t>
        </w:r>
      </w:hyperlink>
      <w:r>
        <w:t xml:space="preserve">). Trois éléments (1° un sentiment de valeur, 2° la connaissance de l'amour de ses parents (cf. </w:t>
      </w:r>
      <w:hyperlink r:id="rId13482">
        <w:r>
          <w:rPr>
            <w:color w:val="0000EE"/>
            <w:u w:val="single"/>
          </w:rPr>
          <w:t>2.19</w:t>
        </w:r>
      </w:hyperlink>
      <w:r>
        <w:t>), et 3° un objectif clairement ressenti) ont posé les fondements de sa personnalité et de ses futurs accomplissements.</w:t>
      </w:r>
    </w:p>
    <w:p>
      <w:r/>
      <w:r>
        <w:t xml:space="preserve">Une preuve supplémentaire de la précieuse formation précoce de Samuel est mise en évidence dans </w:t>
      </w:r>
      <w:hyperlink r:id="rId13370">
        <w:r>
          <w:rPr>
            <w:color w:val="0000EE"/>
            <w:u w:val="single"/>
          </w:rPr>
          <w:t>1 Samuel 2</w:t>
        </w:r>
      </w:hyperlink>
      <w:r>
        <w:t>. Les fils d'Éli avaient suivi les pratiques licencieuses des religions païennes autour d'eux. Éli était vieux, excessivement indulgent et impuissant à les retenir. Samuel n'a ni développé d'irrévérence pour Éli ni suivi ses fils sur le chemin du mal. Dieu a décidé de juger Éli et sa maison pour leurs péchés. Lorsque Dieu a annoncé son intention à Samuel, celui-ci a répondu avec révérence et respect. Sa croissance personnelle et spirituelle indiquait qu'il avait été désigné comme un futur prophète du Seigneur.</w:t>
      </w:r>
    </w:p>
    <w:p>
      <w:r/>
      <w:r>
        <w:t xml:space="preserve">À une époque où chacun faisait ce qui lui semblait bon (voir </w:t>
      </w:r>
      <w:hyperlink r:id="rId7847">
        <w:r>
          <w:rPr>
            <w:color w:val="0000EE"/>
            <w:u w:val="single"/>
          </w:rPr>
          <w:t>Jg 17.6</w:t>
        </w:r>
      </w:hyperlink>
      <w:r>
        <w:t xml:space="preserve"> ; </w:t>
      </w:r>
      <w:hyperlink r:id="rId7850">
        <w:r>
          <w:rPr>
            <w:color w:val="0000EE"/>
            <w:u w:val="single"/>
          </w:rPr>
          <w:t>21.25</w:t>
        </w:r>
      </w:hyperlink>
      <w:r>
        <w:t>), Dieu permettait à une nation voisine de servir d'instrument pour châtier son peuple, jusqu'à ce qu'un juge se lève pour les délivrer. Lorsque les Philistins envahissent de nouveau le pays (</w:t>
      </w:r>
      <w:hyperlink r:id="rId13483">
        <w:r>
          <w:rPr>
            <w:color w:val="0000EE"/>
            <w:u w:val="single"/>
          </w:rPr>
          <w:t>1S 4–6</w:t>
        </w:r>
      </w:hyperlink>
      <w:r>
        <w:t>), les Israélites rassemblent leur armée à Ében-Ézer, mais ils seront vaincus. Croyant que l'arche de l'alliance garantirait leur succès, ils envoyerront chercher celle-ci à Silo. Le lendemain, les Israélites seront de nouveau vaincus et l'arche sera capturée. Lorsque cette nouvelle parvient à Éli, il tombera de son siège et mourra.</w:t>
      </w:r>
    </w:p>
    <w:p>
      <w:r/>
      <w:r>
        <w:t>Vingt ans s'écouleront avant que le nom de Samuel ne soit mentionné à nouveau (</w:t>
      </w:r>
      <w:hyperlink r:id="rId13484">
        <w:r>
          <w:rPr>
            <w:color w:val="0000EE"/>
            <w:u w:val="single"/>
          </w:rPr>
          <w:t>1S 7.2–3</w:t>
        </w:r>
      </w:hyperlink>
      <w:r>
        <w:t xml:space="preserve">). Il semble qu'après la destruction de Silo (voir </w:t>
      </w:r>
      <w:hyperlink r:id="rId13485">
        <w:r>
          <w:rPr>
            <w:color w:val="0000EE"/>
            <w:u w:val="single"/>
          </w:rPr>
          <w:t>Jr 7.12–14</w:t>
        </w:r>
      </w:hyperlink>
      <w:r>
        <w:t xml:space="preserve"> ; </w:t>
      </w:r>
      <w:hyperlink r:id="rId13486">
        <w:r>
          <w:rPr>
            <w:color w:val="0000EE"/>
            <w:u w:val="single"/>
          </w:rPr>
          <w:t>26.6, 9</w:t>
        </w:r>
      </w:hyperlink>
      <w:r>
        <w:t xml:space="preserve"> ; </w:t>
      </w:r>
      <w:hyperlink r:id="rId13487">
        <w:r>
          <w:rPr>
            <w:color w:val="0000EE"/>
            <w:u w:val="single"/>
          </w:rPr>
          <w:t>Ps 78.60</w:t>
        </w:r>
      </w:hyperlink>
      <w:r>
        <w:t xml:space="preserve">), il a vécu à Rama et y a entrepris des missions de prédication annuelles qui incluaient Béthel, Guilgal et Mitspa, « jugeant » le peuple dans ces lieux (voir </w:t>
      </w:r>
      <w:hyperlink r:id="rId13488">
        <w:r>
          <w:rPr>
            <w:color w:val="0000EE"/>
            <w:u w:val="single"/>
          </w:rPr>
          <w:t>Dt 16.18–22</w:t>
        </w:r>
      </w:hyperlink>
      <w:r>
        <w:t xml:space="preserve"> ; </w:t>
      </w:r>
      <w:hyperlink r:id="rId13489">
        <w:r>
          <w:rPr>
            <w:color w:val="0000EE"/>
            <w:u w:val="single"/>
          </w:rPr>
          <w:t>17.8–13</w:t>
        </w:r>
      </w:hyperlink>
      <w:r>
        <w:t>). Samuel a probablement aussi fondé des « écoles de prophètes » durant cette période. Des écoles seront établies à Béthel (</w:t>
      </w:r>
      <w:hyperlink r:id="rId6774">
        <w:r>
          <w:rPr>
            <w:color w:val="0000EE"/>
            <w:u w:val="single"/>
          </w:rPr>
          <w:t>1S 10.5</w:t>
        </w:r>
      </w:hyperlink>
      <w:r>
        <w:t xml:space="preserve"> ; </w:t>
      </w:r>
      <w:hyperlink r:id="rId13490">
        <w:r>
          <w:rPr>
            <w:color w:val="0000EE"/>
            <w:u w:val="single"/>
          </w:rPr>
          <w:t>2R 2.3</w:t>
        </w:r>
      </w:hyperlink>
      <w:r>
        <w:t>), Guilgal (</w:t>
      </w:r>
      <w:hyperlink r:id="rId13491">
        <w:r>
          <w:rPr>
            <w:color w:val="0000EE"/>
            <w:u w:val="single"/>
          </w:rPr>
          <w:t>2R 4.38</w:t>
        </w:r>
      </w:hyperlink>
      <w:r>
        <w:t>), Rama (</w:t>
      </w:r>
      <w:hyperlink r:id="rId13492">
        <w:r>
          <w:rPr>
            <w:color w:val="0000EE"/>
            <w:u w:val="single"/>
          </w:rPr>
          <w:t>1S 19.20</w:t>
        </w:r>
      </w:hyperlink>
      <w:r>
        <w:t>), et ailleurs (</w:t>
      </w:r>
      <w:hyperlink r:id="rId7160">
        <w:r>
          <w:rPr>
            <w:color w:val="0000EE"/>
            <w:u w:val="single"/>
          </w:rPr>
          <w:t>2R 2.5</w:t>
        </w:r>
      </w:hyperlink>
      <w:r>
        <w:t>), peut-être comme un prolongement naturel du ministère de Samuel.</w:t>
      </w:r>
    </w:p>
    <w:p>
      <w:r/>
      <w:r>
        <w:t>Après un ministère long de vingt ans, Samuel jugera opportun de se diriger vers une unification spirituelle et nationale. Il convoquera une réunion à Mitspa (</w:t>
      </w:r>
      <w:hyperlink r:id="rId13493">
        <w:r>
          <w:rPr>
            <w:color w:val="0000EE"/>
            <w:u w:val="single"/>
          </w:rPr>
          <w:t>1S 7</w:t>
        </w:r>
      </w:hyperlink>
      <w:r>
        <w:t>). Là, avec un rite symbolique exprimant une profonde humiliation et en accord avec les libations d'un traité, les Israélites verseront de l'eau sur le sol, jeûneront et prieront.</w:t>
      </w:r>
    </w:p>
    <w:p>
      <w:r/>
      <w:r>
        <w:t>Les Philistins interprètent mal la nature de la convocation et décident d'attaquer les adorateurs sans défense, qui supplieront Samuel de prier pour eux. Il offre alors un sacrifice et le Seigneur a envoyé un violent orage, provoquant la fuite paniquée des envahisseurs. Les Israélites poursuivants remportent une victoire importante à Ében-Ézer (</w:t>
      </w:r>
      <w:hyperlink r:id="rId12096">
        <w:r>
          <w:rPr>
            <w:color w:val="0000EE"/>
            <w:u w:val="single"/>
          </w:rPr>
          <w:t>1S 7.12</w:t>
        </w:r>
      </w:hyperlink>
      <w:r>
        <w:t>).</w:t>
      </w:r>
    </w:p>
    <w:p>
      <w:r/>
      <w:r>
        <w:t>Dans les dernières années de vie de Samuel, les anciens rejetteront sa direction en faveur d'un roi (</w:t>
      </w:r>
      <w:hyperlink r:id="rId13494">
        <w:r>
          <w:rPr>
            <w:color w:val="0000EE"/>
            <w:u w:val="single"/>
          </w:rPr>
          <w:t>1S 8</w:t>
        </w:r>
      </w:hyperlink>
      <w:r>
        <w:t xml:space="preserve">). Après une prière fervente, il reçoit une nouvelle direction du Seigneur, et accède à leur demande. Plus tard, il oindra Saül comme prince sur le peuple de Dieu. Samuel convoquera ensuite les Israélites à Mitspa, où le choix de Dieu sera officialisé, et Saül sera acclamé comme roi. Après la victoire de Saül sur Nachasch (chap. </w:t>
      </w:r>
      <w:hyperlink r:id="rId13495">
        <w:r>
          <w:rPr>
            <w:color w:val="0000EE"/>
            <w:u w:val="single"/>
          </w:rPr>
          <w:t>11</w:t>
        </w:r>
      </w:hyperlink>
      <w:r>
        <w:t>), Samuel, à Guilgal, confirmera la royauté de Saül. Par la suite, Samuel se retire à Rama pour former des hommes à poursuivre son ministère.</w:t>
      </w:r>
    </w:p>
    <w:p>
      <w:r/>
      <w:r>
        <w:t>Samuel devra réprimander Saül à deux reprises, d'abord pour impatience et désobéissance (</w:t>
      </w:r>
      <w:hyperlink r:id="rId13496">
        <w:r>
          <w:rPr>
            <w:color w:val="0000EE"/>
            <w:u w:val="single"/>
          </w:rPr>
          <w:t>1S 13.5–14</w:t>
        </w:r>
      </w:hyperlink>
      <w:r>
        <w:t>), puis pour avoir désobéi au commandement exprès du Seigneur (</w:t>
      </w:r>
      <w:hyperlink r:id="rId13497">
        <w:r>
          <w:rPr>
            <w:color w:val="0000EE"/>
            <w:u w:val="single"/>
          </w:rPr>
          <w:t>15.20–23</w:t>
        </w:r>
      </w:hyperlink>
      <w:r>
        <w:t>), qui l'a rejeté en tant que roi. Samuel sera ensuite envoyé chez Isaï à Bethléem, où il oindra David comme l'élu du Seigneur (</w:t>
      </w:r>
      <w:hyperlink r:id="rId3572">
        <w:r>
          <w:rPr>
            <w:color w:val="0000EE"/>
            <w:u w:val="single"/>
          </w:rPr>
          <w:t>16.1–13</w:t>
        </w:r>
      </w:hyperlink>
      <w:r>
        <w:t>).</w:t>
      </w:r>
    </w:p>
    <w:p>
      <w:r/>
      <w:r>
        <w:t xml:space="preserve">Un bref récit du décès de Samuel nous est relaté dans </w:t>
      </w:r>
      <w:hyperlink r:id="rId9473">
        <w:r>
          <w:rPr>
            <w:color w:val="0000EE"/>
            <w:u w:val="single"/>
          </w:rPr>
          <w:t>1 Samuel 25.1</w:t>
        </w:r>
      </w:hyperlink>
      <w:r>
        <w:t xml:space="preserve">, lorsque tout Israël se rassemble pour le pleurer. Il sera enterré à Rama. La seule mention ultérieure de Samuel se trouve dans </w:t>
      </w:r>
      <w:hyperlink r:id="rId13498">
        <w:r>
          <w:rPr>
            <w:color w:val="0000EE"/>
            <w:u w:val="single"/>
          </w:rPr>
          <w:t>1 Samuel 28</w:t>
        </w:r>
      </w:hyperlink>
      <w:r>
        <w:t xml:space="preserve">. Invoqué par la sorcière d'En-Dor à la demande de Saül, Samuel annonce que le lendemain, Saül et ses fils mourraient au combat (v. </w:t>
      </w:r>
      <w:hyperlink r:id="rId13499">
        <w:r>
          <w:rPr>
            <w:color w:val="0000EE"/>
            <w:u w:val="single"/>
          </w:rPr>
          <w:t>4–19</w:t>
        </w:r>
      </w:hyperlink>
      <w:r>
        <w:t>).</w:t>
      </w:r>
    </w:p>
    <w:p>
      <w:pPr>
        <w:pStyle w:val="Heading3"/>
      </w:pPr>
      <w:r>
        <w:t>Caractère</w:t>
      </w:r>
    </w:p>
    <w:p>
      <w:r/>
      <w:r>
        <w:t>Samuel surmontera de nombreux problèmes grâce à sa piété, sa persévérance et son dévouement au service du Seigneur. Sa préoccupation principale aura toujours été le bien de son peuple. Sage et courageux, il aura réprimandé hardiment le roi, les anciens et le peuple lorsque cela était nécessaire, en se basant toujours sur la volonté révélée de Dieu.</w:t>
      </w:r>
    </w:p>
    <w:p>
      <w:r/>
      <w:r>
        <w:t>Bien que Samuel ait servi comme juge et prêtre, il était avant tout un prophète. Grâce à son ministère, la vie spirituelle des Israélites s'est améliorée. En inaugurant la monarchie, il conduira le peuple de la désunion tribale à la solidarité nationale. Il a nommera des portiers pour la tente de la rencontre (</w:t>
      </w:r>
      <w:hyperlink r:id="rId13500">
        <w:r>
          <w:rPr>
            <w:color w:val="0000EE"/>
            <w:u w:val="single"/>
          </w:rPr>
          <w:t>1Ch 9.17–26</w:t>
        </w:r>
      </w:hyperlink>
      <w:r>
        <w:t>), organisera l'observance de la Pâque de manière si mémorable qu'on en parlait encore à l'époque de Josias (</w:t>
      </w:r>
      <w:hyperlink r:id="rId13501">
        <w:r>
          <w:rPr>
            <w:color w:val="0000EE"/>
            <w:u w:val="single"/>
          </w:rPr>
          <w:t>2Ch 35.18</w:t>
        </w:r>
      </w:hyperlink>
      <w:r>
        <w:t>), mettra par écrit comment un roi et son royaume devraient vivre (</w:t>
      </w:r>
      <w:hyperlink r:id="rId13502">
        <w:r>
          <w:rPr>
            <w:color w:val="0000EE"/>
            <w:u w:val="single"/>
          </w:rPr>
          <w:t>1S 10.25</w:t>
        </w:r>
      </w:hyperlink>
      <w:r>
        <w:t xml:space="preserve">), et rédigera un recueil de chroniques, « </w:t>
      </w:r>
      <w:r>
        <w:t>le livre de Samuel le voyant</w:t>
      </w:r>
      <w:r>
        <w:t xml:space="preserve"> » (</w:t>
      </w:r>
      <w:hyperlink r:id="rId5829">
        <w:r>
          <w:rPr>
            <w:color w:val="0000EE"/>
            <w:u w:val="single"/>
          </w:rPr>
          <w:t>1Ch 29.29</w:t>
        </w:r>
      </w:hyperlink>
      <w:r>
        <w:t>).</w:t>
      </w:r>
    </w:p>
    <w:p>
      <w:r/>
      <w:r>
        <w:t>Samuel mérite bien une place parmi les grands hommes de foi (</w:t>
      </w:r>
      <w:hyperlink r:id="rId13503">
        <w:r>
          <w:rPr>
            <w:color w:val="0000EE"/>
            <w:u w:val="single"/>
          </w:rPr>
          <w:t>Hé 11.32</w:t>
        </w:r>
      </w:hyperlink>
      <w:r>
        <w:t>). Il sera le dernier des juges (</w:t>
      </w:r>
      <w:hyperlink r:id="rId13504">
        <w:r>
          <w:rPr>
            <w:color w:val="0000EE"/>
            <w:u w:val="single"/>
          </w:rPr>
          <w:t>1S 7.6, 15–17</w:t>
        </w:r>
      </w:hyperlink>
      <w:r>
        <w:t>) et le premier des prophètes (</w:t>
      </w:r>
      <w:hyperlink r:id="rId13505">
        <w:r>
          <w:rPr>
            <w:color w:val="0000EE"/>
            <w:u w:val="single"/>
          </w:rPr>
          <w:t>1 S 3.20</w:t>
        </w:r>
      </w:hyperlink>
      <w:r>
        <w:t xml:space="preserve"> ; </w:t>
      </w:r>
      <w:hyperlink r:id="rId13506">
        <w:r>
          <w:rPr>
            <w:color w:val="0000EE"/>
            <w:u w:val="single"/>
          </w:rPr>
          <w:t>Ac 3.24</w:t>
        </w:r>
      </w:hyperlink>
      <w:r>
        <w:t xml:space="preserve"> ; </w:t>
      </w:r>
      <w:hyperlink r:id="rId3058">
        <w:r>
          <w:rPr>
            <w:color w:val="0000EE"/>
            <w:u w:val="single"/>
          </w:rPr>
          <w:t>13.20</w:t>
        </w:r>
      </w:hyperlink>
      <w:r>
        <w:t>).</w:t>
      </w:r>
    </w:p>
    <w:p>
      <w:r/>
      <w:r>
        <w:rPr>
          <w:i/>
        </w:rPr>
        <w:t>Voir aussi</w:t>
      </w:r>
      <w:r>
        <w:t xml:space="preserve"> </w:t>
      </w:r>
      <w:r>
        <w:t>Samuel, Premier et Deuxième livres</w:t>
      </w:r>
      <w:r>
        <w:t>.</w:t>
      </w:r>
      <w:r/>
      <w:r/>
    </w:p>
    <w:p>
      <w:r/>
    </w:p>
    <w:p>
      <w:pPr>
        <w:pStyle w:val="Heading2"/>
      </w:pPr>
      <w:r>
        <w:t>Sang</w:t>
      </w:r>
      <w:r/>
    </w:p>
    <w:p>
      <w:r/>
      <w:r>
        <w:t>Le sang est le fluide rouge qui circule dans le corps des êtres humains et des animaux.</w:t>
      </w:r>
    </w:p>
    <w:p>
      <w:r/>
      <w:r>
        <w:t>Dans la Bible, le mot « sang » a plusieurs significations au-delà de sa définition physique. Parfois, il décrit la couleur rouge : « Le soleil se changera en ténèbres, Et la lune en sang » (</w:t>
      </w:r>
      <w:hyperlink r:id="rId13507">
        <w:r>
          <w:rPr>
            <w:color w:val="0000EE"/>
            <w:u w:val="single"/>
          </w:rPr>
          <w:t>Ac 2.20</w:t>
        </w:r>
      </w:hyperlink>
      <w:r>
        <w:t xml:space="preserve">). Il peut aussi signifier le vin, comme dans </w:t>
      </w:r>
      <w:hyperlink r:id="rId1705">
        <w:r>
          <w:rPr>
            <w:color w:val="0000EE"/>
            <w:u w:val="single"/>
          </w:rPr>
          <w:t>Deuteronomy 32.14</w:t>
        </w:r>
      </w:hyperlink>
      <w:r>
        <w:t xml:space="preserve"> (« vin » ici est littéralement « le sang des raisins » en hébreu original).</w:t>
      </w:r>
    </w:p>
    <w:p>
      <w:r/>
      <w:r>
        <w:t>Lorsque la Bible utilise l'expression « chair et sang », cela désigne des êtres humains ordinaires. Par exemple, quand Jésus a dit à Pierre que « ce ne sont pas la chair et le sang qui t'ont révélé cela, mais c'est mon Père qui est dans les cieux », il voulait dire qu'aucune personne ordinaire ne l'avait dit à Pierre (</w:t>
      </w:r>
      <w:hyperlink r:id="rId2316">
        <w:r>
          <w:rPr>
            <w:color w:val="0000EE"/>
            <w:u w:val="single"/>
          </w:rPr>
          <w:t>Mt 16.17</w:t>
        </w:r>
      </w:hyperlink>
      <w:r>
        <w:t xml:space="preserve"> ; voir aussi </w:t>
      </w:r>
      <w:hyperlink r:id="rId2295">
        <w:r>
          <w:rPr>
            <w:color w:val="0000EE"/>
            <w:u w:val="single"/>
          </w:rPr>
          <w:t>1 Co 15.50</w:t>
        </w:r>
      </w:hyperlink>
      <w:r>
        <w:t xml:space="preserve"> ; </w:t>
      </w:r>
      <w:hyperlink r:id="rId8407">
        <w:r>
          <w:rPr>
            <w:color w:val="0000EE"/>
            <w:u w:val="single"/>
          </w:rPr>
          <w:t>Ga 1.16</w:t>
        </w:r>
      </w:hyperlink>
      <w:r>
        <w:t xml:space="preserve"> ; </w:t>
      </w:r>
      <w:hyperlink r:id="rId2703">
        <w:r>
          <w:rPr>
            <w:color w:val="0000EE"/>
            <w:u w:val="single"/>
          </w:rPr>
          <w:t>Ep 6.12</w:t>
        </w:r>
      </w:hyperlink>
      <w:r>
        <w:t>). Cela venait de Dieu. Après avoir trahi Jésus, Judas a reconnu qu'il avait « péché, en livrant le sang innocent » (</w:t>
      </w:r>
      <w:hyperlink r:id="rId6753">
        <w:r>
          <w:rPr>
            <w:color w:val="0000EE"/>
            <w:u w:val="single"/>
          </w:rPr>
          <w:t>Mt 27.4</w:t>
        </w:r>
      </w:hyperlink>
      <w:r>
        <w:t>). Dans ces passages, « sang » signifie une vie naturelle plutôt qu'une vie spirituelle ou divine.</w:t>
      </w:r>
    </w:p>
    <w:p>
      <w:pPr>
        <w:pStyle w:val="Heading3"/>
      </w:pPr>
      <w:r>
        <w:t>Le lien entre le sang et la vie</w:t>
      </w:r>
    </w:p>
    <w:p>
      <w:r/>
      <w:r>
        <w:t xml:space="preserve">« Sang » est également utilisé dans le sens de verser le sang, comme lors d'un meurtre. </w:t>
      </w:r>
      <w:hyperlink r:id="rId13508">
        <w:r>
          <w:rPr>
            <w:color w:val="0000EE"/>
            <w:u w:val="single"/>
          </w:rPr>
          <w:t>Psaume 9.12</w:t>
        </w:r>
      </w:hyperlink>
      <w:r>
        <w:t xml:space="preserve"> parle de « venge[r] le sang » versé. </w:t>
      </w:r>
      <w:hyperlink r:id="rId13509">
        <w:r>
          <w:rPr>
            <w:color w:val="0000EE"/>
            <w:u w:val="single"/>
          </w:rPr>
          <w:t>Genèse 37.26</w:t>
        </w:r>
      </w:hyperlink>
      <w:r>
        <w:t xml:space="preserve"> se réfère aux frères qui cacher le sang de Joseph, c'est-à-dire qu'ils veulent le tuer. Être « </w:t>
      </w:r>
      <w:r>
        <w:t>chargé du sang d’un autre</w:t>
      </w:r>
      <w:r>
        <w:t xml:space="preserve"> » signifie être coupable de meurtre (</w:t>
      </w:r>
      <w:hyperlink r:id="rId13510">
        <w:r>
          <w:rPr>
            <w:color w:val="0000EE"/>
            <w:u w:val="single"/>
          </w:rPr>
          <w:t>Pr 28.17</w:t>
        </w:r>
      </w:hyperlink>
      <w:r>
        <w:t xml:space="preserve">). Avant que Jésus ne soit crucifié, Pilate a dit : « </w:t>
      </w:r>
      <w:r>
        <w:t>Je suis innocent du sang de ce juste</w:t>
      </w:r>
      <w:r>
        <w:t xml:space="preserve"> » (</w:t>
      </w:r>
      <w:hyperlink r:id="rId12301">
        <w:r>
          <w:rPr>
            <w:color w:val="0000EE"/>
            <w:u w:val="single"/>
          </w:rPr>
          <w:t>Mt 27.24–25</w:t>
        </w:r>
      </w:hyperlink>
      <w:r>
        <w:t>). Ainsi, l'idée de mort violente est régulièrement associée au sang.</w:t>
      </w:r>
    </w:p>
    <w:p>
      <w:r/>
      <w:r>
        <w:t>Ceci comporte un sens logique, car le sang et la vie sont connectés. Trois passages de l'Ancien Testament montrent un lien entre le sang et la vie :</w:t>
      </w:r>
    </w:p>
    <w:p>
      <w:pPr>
        <w:pStyle w:val="ListBullet"/>
        <w:spacing w:line="240" w:lineRule="auto"/>
        <w:ind w:left="720"/>
      </w:pPr>
      <w:r/>
      <w:r>
        <w:t xml:space="preserve">« </w:t>
      </w:r>
      <w:r>
        <w:t>Seulement, vous ne mangerez point de chair avec son âme, avec son sang</w:t>
      </w:r>
      <w:r>
        <w:t xml:space="preserve"> » (</w:t>
      </w:r>
      <w:hyperlink r:id="rId9116">
        <w:r>
          <w:rPr>
            <w:color w:val="0000EE"/>
            <w:u w:val="single"/>
          </w:rPr>
          <w:t>Gn 9.4</w:t>
        </w:r>
      </w:hyperlink>
      <w:r>
        <w:t>)</w:t>
      </w:r>
    </w:p>
    <w:p>
      <w:pPr>
        <w:pStyle w:val="ListBullet"/>
        <w:spacing w:line="240" w:lineRule="auto"/>
        <w:ind w:left="720"/>
      </w:pPr>
      <w:r/>
      <w:r>
        <w:t xml:space="preserve">« </w:t>
      </w:r>
      <w:r>
        <w:t>Car l’âme [c'est-à-dire la vie] de la chair est dans le sang</w:t>
      </w:r>
      <w:r>
        <w:t>» (</w:t>
      </w:r>
      <w:hyperlink r:id="rId13511">
        <w:r>
          <w:rPr>
            <w:color w:val="0000EE"/>
            <w:u w:val="single"/>
          </w:rPr>
          <w:t>Lv 17.11</w:t>
        </w:r>
      </w:hyperlink>
      <w:r>
        <w:t>)</w:t>
      </w:r>
    </w:p>
    <w:p>
      <w:pPr>
        <w:pStyle w:val="ListBullet"/>
        <w:spacing w:line="240" w:lineRule="auto"/>
        <w:ind w:left="720"/>
      </w:pPr>
      <w:r/>
      <w:r>
        <w:t xml:space="preserve">« </w:t>
      </w:r>
      <w:r>
        <w:t>Seulement, garde-toi de manger le sang, car le sang, c’est l’âme [c'est-à-dire la vie]</w:t>
      </w:r>
      <w:r>
        <w:t xml:space="preserve"> » (</w:t>
      </w:r>
      <w:hyperlink r:id="rId9151">
        <w:r>
          <w:rPr>
            <w:color w:val="0000EE"/>
            <w:u w:val="single"/>
          </w:rPr>
          <w:t>Dt 12.23</w:t>
        </w:r>
      </w:hyperlink>
      <w:r>
        <w:t>).</w:t>
      </w:r>
    </w:p>
    <w:p>
      <w:r/>
      <w:r>
        <w:t xml:space="preserve">Dieu crée toute vie. Ainsi, verser le sang est sérieux. Le sang est sacré ; voilà pourquoi il est interdit d'en manger (voir </w:t>
      </w:r>
      <w:hyperlink r:id="rId8913">
        <w:r>
          <w:rPr>
            <w:color w:val="0000EE"/>
            <w:u w:val="single"/>
          </w:rPr>
          <w:t>Ac 15.20</w:t>
        </w:r>
      </w:hyperlink>
      <w:r>
        <w:t>). Le sang symbolise la vie que Dieu nous donne.</w:t>
      </w:r>
    </w:p>
    <w:p>
      <w:pPr>
        <w:pStyle w:val="Heading3"/>
      </w:pPr>
      <w:r>
        <w:t>Le sang dans les sacrifices</w:t>
      </w:r>
    </w:p>
    <w:p>
      <w:r/>
      <w:r>
        <w:t>Le sang était très important dans les sacrifices religieux car il représentait la vie. Le Jour des Expiations, les prêtres aspergeaient le sang de taureau et de bouc sur l'autel (</w:t>
      </w:r>
      <w:hyperlink r:id="rId2144">
        <w:r>
          <w:rPr>
            <w:color w:val="0000EE"/>
            <w:u w:val="single"/>
          </w:rPr>
          <w:t>Lévitique 16</w:t>
        </w:r>
      </w:hyperlink>
      <w:r>
        <w:t>). Le sang (la vie) était versé à la mort. La vie de l'animal était donnée pour la vie du peuple. Le péché du peuple était transféré à l'animal par le sacrifice, et le jugement complet et les réparations pouvaient maintenant être effectués. Cette idée de transfert est également démontrée par le bouc émissaire lors de la même cérémonie (</w:t>
      </w:r>
      <w:hyperlink r:id="rId13512">
        <w:r>
          <w:rPr>
            <w:color w:val="0000EE"/>
            <w:u w:val="single"/>
          </w:rPr>
          <w:t>Lv 16.20–22</w:t>
        </w:r>
      </w:hyperlink>
      <w:r>
        <w:t>). Dans la première Pâque, le sang avait la même signification (</w:t>
      </w:r>
      <w:hyperlink r:id="rId13513">
        <w:r>
          <w:rPr>
            <w:color w:val="0000EE"/>
            <w:u w:val="single"/>
          </w:rPr>
          <w:t>Ex 12.1–13</w:t>
        </w:r>
      </w:hyperlink>
      <w:r>
        <w:t>). Le sang de l'animal sur la porte signifiait qu'une mort avait déjà eu lieu, permettant ainsi à l'ange de la mort de passer au-dessus.</w:t>
      </w:r>
    </w:p>
    <w:p>
      <w:r/>
      <w:r>
        <w:t xml:space="preserve">Le sang devient également la meilleure offrande à Dieu. Dans </w:t>
      </w:r>
      <w:hyperlink r:id="rId2978">
        <w:r>
          <w:rPr>
            <w:color w:val="0000EE"/>
            <w:u w:val="single"/>
          </w:rPr>
          <w:t>Exode 24</w:t>
        </w:r>
      </w:hyperlink>
      <w:r>
        <w:t xml:space="preserve">, après que le peuple a accepté l'alliance (ou accord), Moïse verse la moitié du sang sacrificiel sur l'autel et le reste sur eux. Il fait cela en disant : « </w:t>
      </w:r>
      <w:r>
        <w:t>Voici le sang de l’alliance que l’Éternel a faite avec vous selon toutes ces paroles</w:t>
      </w:r>
      <w:r>
        <w:t xml:space="preserve"> » (</w:t>
      </w:r>
      <w:hyperlink r:id="rId13514">
        <w:r>
          <w:rPr>
            <w:color w:val="0000EE"/>
            <w:u w:val="single"/>
          </w:rPr>
          <w:t>Ex 24.8</w:t>
        </w:r>
      </w:hyperlink>
      <w:r>
        <w:t>). Lorsque le sang était aspergé à la fois sur l'autel et sur le peuple, cela montrait que Dieu et les Israélites avaient conclu un accord ensemble (c'est ce qu'on appelle une « relation d'alliance »).</w:t>
      </w:r>
    </w:p>
    <w:p>
      <w:r/>
      <w:r>
        <w:t>Dans les cérémonies religieuses d'Israël, le sang avait plusieurs significations. Il pouvait représenter :</w:t>
      </w:r>
    </w:p>
    <w:p>
      <w:pPr>
        <w:pStyle w:val="ListBullet"/>
        <w:spacing w:line="240" w:lineRule="auto"/>
        <w:ind w:left="720"/>
      </w:pPr>
      <w:r/>
      <w:r>
        <w:t>La mort (la fin de la vie naturelle)</w:t>
      </w:r>
    </w:p>
    <w:p>
      <w:pPr>
        <w:pStyle w:val="ListBullet"/>
        <w:spacing w:line="240" w:lineRule="auto"/>
        <w:ind w:left="720"/>
      </w:pPr>
      <w:r/>
      <w:r>
        <w:t>Jugement (lorsque Dieu décide si quelqu'un a fait le bien ou le mal)</w:t>
      </w:r>
    </w:p>
    <w:p>
      <w:pPr>
        <w:pStyle w:val="ListBullet"/>
        <w:spacing w:line="240" w:lineRule="auto"/>
        <w:ind w:left="720"/>
      </w:pPr>
      <w:r/>
      <w:r>
        <w:t>Sacrifice (offrir un présent à Dieu)</w:t>
      </w:r>
    </w:p>
    <w:p>
      <w:pPr>
        <w:pStyle w:val="ListBullet"/>
        <w:spacing w:line="240" w:lineRule="auto"/>
        <w:ind w:left="720"/>
      </w:pPr>
      <w:r/>
      <w:r>
        <w:t>Substitution (une vie donnée pour en sauver une autre)</w:t>
      </w:r>
    </w:p>
    <w:p>
      <w:pPr>
        <w:pStyle w:val="ListBullet"/>
        <w:spacing w:line="240" w:lineRule="auto"/>
        <w:ind w:left="720"/>
      </w:pPr>
      <w:r/>
      <w:r>
        <w:t>Rédemption (être libéré du péché)</w:t>
      </w:r>
    </w:p>
    <w:p>
      <w:r/>
      <w:r>
        <w:t>La vie avec Dieu est rendue possible par le sang.</w:t>
      </w:r>
    </w:p>
    <w:p>
      <w:pPr>
        <w:pStyle w:val="Heading3"/>
      </w:pPr>
      <w:r>
        <w:t>Le Sang de Christ</w:t>
      </w:r>
    </w:p>
    <w:p>
      <w:r/>
      <w:r>
        <w:t xml:space="preserve">Dans le Nouveau Testament, en dehors des références aux problèmes médicaux (par exemple, </w:t>
      </w:r>
      <w:hyperlink r:id="rId13515">
        <w:r>
          <w:rPr>
            <w:color w:val="0000EE"/>
            <w:u w:val="single"/>
          </w:rPr>
          <w:t>Mt 9.20</w:t>
        </w:r>
      </w:hyperlink>
      <w:r>
        <w:t xml:space="preserve">) et au meurtre (par exemple, </w:t>
      </w:r>
      <w:hyperlink r:id="rId13516">
        <w:r>
          <w:rPr>
            <w:color w:val="0000EE"/>
            <w:u w:val="single"/>
          </w:rPr>
          <w:t>Ac 22.20</w:t>
        </w:r>
      </w:hyperlink>
      <w:r>
        <w:t>), l'accent est mis sur le sang de Christ. Cela fait référence aux notions de l'Ancien Testament. Les Évangiles synoptiques (Matthieu, Marc et Luc) indiquent que lors de la Dernière Cène, Jésus a parlé de son sang comme d'une nouvelle alliance (</w:t>
      </w:r>
      <w:hyperlink r:id="rId1933">
        <w:r>
          <w:rPr>
            <w:color w:val="0000EE"/>
            <w:u w:val="single"/>
          </w:rPr>
          <w:t>Mt 26.28</w:t>
        </w:r>
      </w:hyperlink>
      <w:r>
        <w:t xml:space="preserve"> ; </w:t>
      </w:r>
      <w:hyperlink r:id="rId13439">
        <w:r>
          <w:rPr>
            <w:color w:val="0000EE"/>
            <w:u w:val="single"/>
          </w:rPr>
          <w:t>Mc 14.24</w:t>
        </w:r>
      </w:hyperlink>
      <w:r>
        <w:t xml:space="preserve"> ; </w:t>
      </w:r>
      <w:hyperlink r:id="rId580">
        <w:r>
          <w:rPr>
            <w:color w:val="0000EE"/>
            <w:u w:val="single"/>
          </w:rPr>
          <w:t>Lc 22.20</w:t>
        </w:r>
      </w:hyperlink>
      <w:r>
        <w:t xml:space="preserve">). Cela démontre que sa mort était un sacrifice. Jésus montre que sa mort avait une signification rédemptrice. L'Évangile de Jean partage cette idée mais la décrit en d'autres termes : « </w:t>
      </w:r>
      <w:r>
        <w:t>si vous ne mangez la chair du Fils de l’homme, et si vous ne buvez son sang, vous n’avez point la vie en vous-mêmes</w:t>
      </w:r>
      <w:r>
        <w:t xml:space="preserve"> » (</w:t>
      </w:r>
      <w:hyperlink r:id="rId13517">
        <w:r>
          <w:rPr>
            <w:color w:val="0000EE"/>
            <w:u w:val="single"/>
          </w:rPr>
          <w:t>Jn 6.53</w:t>
        </w:r>
      </w:hyperlink>
      <w:r>
        <w:t xml:space="preserve">). Les croyants participent à la mort et à la résurrection de Jésus par la foi (voir aussi </w:t>
      </w:r>
      <w:hyperlink r:id="rId3462">
        <w:r>
          <w:rPr>
            <w:color w:val="0000EE"/>
            <w:u w:val="single"/>
          </w:rPr>
          <w:t>1 Co 10.16</w:t>
        </w:r>
      </w:hyperlink>
      <w:r>
        <w:t>).</w:t>
      </w:r>
    </w:p>
    <w:p>
      <w:r/>
      <w:r>
        <w:t>Les lettres de Paul relient également le sang à la mort de Christ. Lorsqu'il utilisait les mots « sang » ou « croix », il parlait de la mort de Jésus et de la manière dont elle sauve les gens. Par exemple, il a écrit que le « sang sur la croix » de Jésus a apporté la paix (</w:t>
      </w:r>
      <w:hyperlink r:id="rId2939">
        <w:r>
          <w:rPr>
            <w:color w:val="0000EE"/>
            <w:u w:val="single"/>
          </w:rPr>
          <w:t>Col 1.20</w:t>
        </w:r>
      </w:hyperlink>
      <w:r>
        <w:t xml:space="preserve">). Il a également écrit que les personnes qui étaient autrefois éloignées de Dieu ont été « </w:t>
      </w:r>
      <w:r>
        <w:t>rapprochés par le sang de Christ</w:t>
      </w:r>
      <w:r>
        <w:t xml:space="preserve"> » (</w:t>
      </w:r>
      <w:hyperlink r:id="rId13518">
        <w:r>
          <w:rPr>
            <w:color w:val="0000EE"/>
            <w:u w:val="single"/>
          </w:rPr>
          <w:t>Ep 2.13</w:t>
        </w:r>
      </w:hyperlink>
      <w:r>
        <w:t>). Cela signifiait que les Juifs et les non-Juifs pouvaient désormais avoir une relation avec Dieu grâce à la mort de Jésus.</w:t>
      </w:r>
    </w:p>
    <w:p>
      <w:r/>
      <w:r>
        <w:t>Paul pensait au sacrifice du Jour des Expiations lorsqu'il a dit que Dieu a fait de Christ un sacrifice expiatoire (réconciliant les gens avec Dieu) par son sang (</w:t>
      </w:r>
      <w:hyperlink r:id="rId8454">
        <w:r>
          <w:rPr>
            <w:color w:val="0000EE"/>
            <w:u w:val="single"/>
          </w:rPr>
          <w:t>Rm 3.25</w:t>
        </w:r>
      </w:hyperlink>
      <w:r>
        <w:t xml:space="preserve">). Il emploie le langage de </w:t>
      </w:r>
      <w:hyperlink r:id="rId2144">
        <w:r>
          <w:rPr>
            <w:color w:val="0000EE"/>
            <w:u w:val="single"/>
          </w:rPr>
          <w:t>Lévitique 16</w:t>
        </w:r>
      </w:hyperlink>
      <w:r>
        <w:t>, qui décrit le sacrifice juif le plus important.</w:t>
      </w:r>
    </w:p>
    <w:p>
      <w:r/>
      <w:r>
        <w:t xml:space="preserve">Pierre parle aussi du « sang de l'alliance » (une référence à </w:t>
      </w:r>
      <w:hyperlink r:id="rId2978">
        <w:r>
          <w:rPr>
            <w:color w:val="0000EE"/>
            <w:u w:val="single"/>
          </w:rPr>
          <w:t>Exode 24</w:t>
        </w:r>
      </w:hyperlink>
      <w:r>
        <w:t>) lorsqu'il parle de chrétiens aspergés du sang de Christ (</w:t>
      </w:r>
      <w:hyperlink r:id="rId11618">
        <w:r>
          <w:rPr>
            <w:color w:val="0000EE"/>
            <w:u w:val="single"/>
          </w:rPr>
          <w:t>1P 1.2</w:t>
        </w:r>
      </w:hyperlink>
      <w:r>
        <w:t>). Il promet que les chrétiens sont rachetés par le sang de Jésus (</w:t>
      </w:r>
      <w:hyperlink r:id="rId13519">
        <w:r>
          <w:rPr>
            <w:color w:val="0000EE"/>
            <w:u w:val="single"/>
          </w:rPr>
          <w:t>1P 1.9</w:t>
        </w:r>
      </w:hyperlink>
      <w:r>
        <w:t xml:space="preserve">). Il appelle Christ « </w:t>
      </w:r>
      <w:r>
        <w:t>un agneau sans défaut et sans tache</w:t>
      </w:r>
      <w:r>
        <w:t xml:space="preserve"> », pensant probablement au serviteur dans </w:t>
      </w:r>
      <w:hyperlink r:id="rId5724">
        <w:r>
          <w:rPr>
            <w:color w:val="0000EE"/>
            <w:u w:val="single"/>
          </w:rPr>
          <w:t>Ésaïe 53</w:t>
        </w:r>
      </w:hyperlink>
      <w:r>
        <w:t xml:space="preserve"> ou à l'agneau pascal. Ces deux textes ont une signification rédemptrice. L'auteur de l'Épître aux Hébreux dit que Christ a accompli le système de sacrifices de l'Ancien Testament parce que sa mort a été le plus grand sacrifice (</w:t>
      </w:r>
      <w:hyperlink r:id="rId13520">
        <w:r>
          <w:rPr>
            <w:color w:val="0000EE"/>
            <w:u w:val="single"/>
          </w:rPr>
          <w:t>Hé 9.7–28</w:t>
        </w:r>
      </w:hyperlink>
      <w:r>
        <w:t xml:space="preserve"> ; </w:t>
      </w:r>
      <w:hyperlink r:id="rId13521">
        <w:r>
          <w:rPr>
            <w:color w:val="0000EE"/>
            <w:u w:val="single"/>
          </w:rPr>
          <w:t>13.11–12</w:t>
        </w:r>
      </w:hyperlink>
      <w:r>
        <w:t>).</w:t>
      </w:r>
    </w:p>
    <w:p>
      <w:r/>
      <w:r>
        <w:t>Les références du Nouveau Testament au sang de Christ montrent la rédemption complète que Dieu a accomplie dans la mort de son Fils (</w:t>
      </w:r>
      <w:hyperlink r:id="rId13522">
        <w:r>
          <w:rPr>
            <w:color w:val="0000EE"/>
            <w:u w:val="single"/>
          </w:rPr>
          <w:t>Hé 10.20</w:t>
        </w:r>
      </w:hyperlink>
      <w:r>
        <w:t>). La justice et la justification (être déclaré juste devant Dieu) ont toutes deux été accomplies (</w:t>
      </w:r>
      <w:hyperlink r:id="rId8453">
        <w:r>
          <w:rPr>
            <w:color w:val="0000EE"/>
            <w:u w:val="single"/>
          </w:rPr>
          <w:t>Rm 3.26</w:t>
        </w:r>
      </w:hyperlink>
      <w:r>
        <w:t>). Le sang de Christ est le moyen de la rédemption « une seule fois » pour toutes (</w:t>
      </w:r>
      <w:hyperlink r:id="rId6279">
        <w:r>
          <w:rPr>
            <w:color w:val="0000EE"/>
            <w:u w:val="single"/>
          </w:rPr>
          <w:t>Hé 9.26</w:t>
        </w:r>
      </w:hyperlink>
      <w:r>
        <w:t>).</w:t>
      </w:r>
    </w:p>
    <w:p>
      <w:r/>
      <w:r>
        <w:rPr>
          <w:i/>
        </w:rPr>
        <w:t>Voir</w:t>
      </w:r>
      <w:r>
        <w:t xml:space="preserve"> </w:t>
      </w:r>
      <w:r>
        <w:t>Expiation</w:t>
      </w:r>
      <w:r>
        <w:t xml:space="preserve"> ; </w:t>
      </w:r>
      <w:r>
        <w:t>Offrandes et Sacrifices</w:t>
      </w:r>
      <w:r>
        <w:t>.</w:t>
      </w:r>
      <w:r/>
      <w:r/>
    </w:p>
    <w:p>
      <w:r/>
    </w:p>
    <w:p>
      <w:pPr>
        <w:pStyle w:val="Heading2"/>
      </w:pPr>
      <w:r>
        <w:t>Sang, Champ du</w:t>
      </w:r>
      <w:r/>
    </w:p>
    <w:p>
      <w:r/>
      <w:r>
        <w:t>Le nom donné au champ acheté avec l'argent du sang que Judas a accepté pour trahir Jésus (</w:t>
      </w:r>
      <w:hyperlink r:id="rId13523">
        <w:r>
          <w:rPr>
            <w:color w:val="0000EE"/>
            <w:u w:val="single"/>
          </w:rPr>
          <w:t>Mt 27.8</w:t>
        </w:r>
      </w:hyperlink>
      <w:r>
        <w:t xml:space="preserve"> ; </w:t>
      </w:r>
      <w:hyperlink r:id="rId120">
        <w:r>
          <w:rPr>
            <w:color w:val="0000EE"/>
            <w:u w:val="single"/>
          </w:rPr>
          <w:t>Ac 1.19</w:t>
        </w:r>
      </w:hyperlink>
      <w:r>
        <w:t xml:space="preserve">). Les principaux prêtres ont acheté le champ comme lieu de sépulture pour les étrangers (auparavant, il était nommé le champ du potier). Judas s'est pendu, et ses intestins se sont répandus là. Ce récit utilise l'expression araméenne </w:t>
      </w:r>
      <w:r>
        <w:rPr>
          <w:i/>
        </w:rPr>
        <w:t>Hakeldama</w:t>
      </w:r>
      <w:r>
        <w:t xml:space="preserve"> (« Aceldama » est une orthographe alternative que l'on retrouve parfois), traduite par « champ du sang ». Le Hakeldama se trouve sur le versant sud de la vallée de Hinnom près de la vallée du Cédron.</w:t>
      </w:r>
      <w:r/>
      <w:r/>
    </w:p>
    <w:p>
      <w:r/>
    </w:p>
    <w:p>
      <w:pPr>
        <w:pStyle w:val="Heading2"/>
      </w:pPr>
      <w:r>
        <w:t>Sang, Culpabilité, Répandre</w:t>
      </w:r>
      <w:r/>
    </w:p>
    <w:p>
      <w:r/>
      <w:r>
        <w:t>La culpabilité de sang, ou le fait de répandre le sang fait référence au fait d'être responsable de la mort de quelqu'un. Dans la Bible, il s'agit d'un terme unique, dérivé du mot hébreu « sang » ou « sangs » (</w:t>
      </w:r>
      <w:hyperlink r:id="rId13524">
        <w:r>
          <w:rPr>
            <w:color w:val="0000EE"/>
            <w:u w:val="single"/>
          </w:rPr>
          <w:t>Ex 22.2–3</w:t>
        </w:r>
      </w:hyperlink>
      <w:r>
        <w:t xml:space="preserve"> ; </w:t>
      </w:r>
      <w:hyperlink r:id="rId13525">
        <w:r>
          <w:rPr>
            <w:color w:val="0000EE"/>
            <w:u w:val="single"/>
          </w:rPr>
          <w:t>Lv 17.4</w:t>
        </w:r>
      </w:hyperlink>
      <w:r>
        <w:t xml:space="preserve"> ; </w:t>
      </w:r>
      <w:hyperlink r:id="rId13526">
        <w:r>
          <w:rPr>
            <w:color w:val="0000EE"/>
            <w:u w:val="single"/>
          </w:rPr>
          <w:t>1S 25.26, 33</w:t>
        </w:r>
      </w:hyperlink>
      <w:r>
        <w:t xml:space="preserve"> ; </w:t>
      </w:r>
      <w:hyperlink r:id="rId13527">
        <w:r>
          <w:rPr>
            <w:color w:val="0000EE"/>
            <w:u w:val="single"/>
          </w:rPr>
          <w:t>Os 12.14</w:t>
        </w:r>
      </w:hyperlink>
      <w:r>
        <w:t>). Quand quelqu'un tuait une autre personne, on disait qu'il avait « répandu le sang » et qu'il était donc coupable de la mort de cette personne.</w:t>
      </w:r>
    </w:p>
    <w:p>
      <w:r/>
      <w:r>
        <w:t xml:space="preserve">La traduction « sang versé » est uniquement utilisée dans </w:t>
      </w:r>
      <w:hyperlink r:id="rId13528">
        <w:r>
          <w:rPr>
            <w:color w:val="0000EE"/>
            <w:u w:val="single"/>
          </w:rPr>
          <w:t>Psaume 51.14</w:t>
        </w:r>
      </w:hyperlink>
      <w:r>
        <w:t>. Lorsque le mot hébreu est utilisé sous sa forme plurielle, il signifie généralement que quelqu'un a tué une autre personne. Sous sa forme singulière, le mot peut signifier trois choses :</w:t>
      </w:r>
    </w:p>
    <w:p>
      <w:pPr>
        <w:pStyle w:val="ListBullet"/>
        <w:spacing w:line="240" w:lineRule="auto"/>
        <w:ind w:left="720"/>
      </w:pPr>
      <w:r/>
      <w:r>
        <w:t>Le sang en lui-même</w:t>
      </w:r>
    </w:p>
    <w:p>
      <w:pPr>
        <w:pStyle w:val="ListBullet"/>
        <w:spacing w:line="240" w:lineRule="auto"/>
        <w:ind w:left="720"/>
      </w:pPr>
      <w:r/>
      <w:r>
        <w:t>L'acte de tuer une personne</w:t>
      </w:r>
    </w:p>
    <w:p>
      <w:pPr>
        <w:pStyle w:val="ListBullet"/>
        <w:spacing w:line="240" w:lineRule="auto"/>
        <w:ind w:left="720"/>
      </w:pPr>
      <w:r/>
      <w:r>
        <w:t>Être coupable d'avoir tué une personne</w:t>
      </w:r>
    </w:p>
    <w:p>
      <w:r/>
      <w:r>
        <w:t>Tout au long de la Bible, nous voyons que tuer quelqu'un était puni de mort. À l'époque biblique, le meurtre se produisait souvent par le versement du sang d'autrui.</w:t>
      </w:r>
    </w:p>
    <w:p>
      <w:pPr>
        <w:pStyle w:val="Heading3"/>
      </w:pPr>
      <w:r>
        <w:t>Types de culpabilité de sang</w:t>
      </w:r>
    </w:p>
    <w:p>
      <w:r/>
      <w:r>
        <w:t>Le premier type de culpabilité de sang se produisait lorsqu'une personne tuait délibérément une autre personne intentionnellement. L'Ancien Testament qualifie ce meurtre de « sang innocent » (</w:t>
      </w:r>
      <w:hyperlink r:id="rId13529">
        <w:r>
          <w:rPr>
            <w:color w:val="0000EE"/>
            <w:u w:val="single"/>
          </w:rPr>
          <w:t>Jon 1.14</w:t>
        </w:r>
      </w:hyperlink>
      <w:r>
        <w:t>). La Bible explique ce qui arrive lorsqu'une personne tue une personne innocente et comment elle doit être punie (</w:t>
      </w:r>
      <w:hyperlink r:id="rId6664">
        <w:r>
          <w:rPr>
            <w:color w:val="0000EE"/>
            <w:u w:val="single"/>
          </w:rPr>
          <w:t>Gn 9.6</w:t>
        </w:r>
      </w:hyperlink>
      <w:r>
        <w:t xml:space="preserve"> ; </w:t>
      </w:r>
      <w:hyperlink r:id="rId13530">
        <w:r>
          <w:rPr>
            <w:color w:val="0000EE"/>
            <w:u w:val="single"/>
          </w:rPr>
          <w:t>Dt 19.11–13</w:t>
        </w:r>
      </w:hyperlink>
      <w:r>
        <w:t xml:space="preserve"> ; </w:t>
      </w:r>
      <w:hyperlink r:id="rId9521">
        <w:r>
          <w:rPr>
            <w:color w:val="0000EE"/>
            <w:u w:val="single"/>
          </w:rPr>
          <w:t>2R 24.4</w:t>
        </w:r>
      </w:hyperlink>
      <w:r>
        <w:t xml:space="preserve"> ; </w:t>
      </w:r>
      <w:hyperlink r:id="rId13531">
        <w:r>
          <w:rPr>
            <w:color w:val="0000EE"/>
            <w:u w:val="single"/>
          </w:rPr>
          <w:t>Ez 33.6</w:t>
        </w:r>
      </w:hyperlink>
      <w:r>
        <w:t>). Selon la Bible, si quelqu'un commet un meurtre, il ne peut pas payer d'argent pour éviter la punition (</w:t>
      </w:r>
      <w:hyperlink r:id="rId13532">
        <w:r>
          <w:rPr>
            <w:color w:val="0000EE"/>
            <w:u w:val="single"/>
          </w:rPr>
          <w:t>Nb 35.31</w:t>
        </w:r>
      </w:hyperlink>
      <w:r>
        <w:t>).</w:t>
      </w:r>
    </w:p>
    <w:p>
      <w:r/>
      <w:r>
        <w:t>Un autre type de culpabilité de sang survenait lorsque quelqu'un tuait une autre personne par accident (</w:t>
      </w:r>
      <w:hyperlink r:id="rId13533">
        <w:r>
          <w:rPr>
            <w:color w:val="0000EE"/>
            <w:u w:val="single"/>
          </w:rPr>
          <w:t>Nb 35.9–28</w:t>
        </w:r>
      </w:hyperlink>
      <w:r>
        <w:t xml:space="preserve"> ; </w:t>
      </w:r>
      <w:hyperlink r:id="rId13534">
        <w:r>
          <w:rPr>
            <w:color w:val="0000EE"/>
            <w:u w:val="single"/>
          </w:rPr>
          <w:t>Dt 19.4–10</w:t>
        </w:r>
      </w:hyperlink>
      <w:r>
        <w:t>). Dans ces cas, la personne responsable de la mort pouvait se rendre dans des villes spéciales appelées « villes de refuge » pour être en sécurité. Si elle quittait ces villes, elle pouvait être tuée par un membre de la famille de la personne décédée qui avait le droit de demander justice. Ce membre de la famille était appelé un « vengeur du sang ».</w:t>
      </w:r>
    </w:p>
    <w:p>
      <w:r/>
      <w:r>
        <w:t xml:space="preserve">Parfois, une personne décédée était retrouvée, et personne ne savait qui l'avait tuée. Lorsque cela se produisait, la ville la plus proche était tenue responsable de la mort. </w:t>
      </w:r>
      <w:hyperlink r:id="rId13535">
        <w:r>
          <w:rPr>
            <w:color w:val="0000EE"/>
            <w:u w:val="single"/>
          </w:rPr>
          <w:t>Deutéronome 21.1–9</w:t>
        </w:r>
      </w:hyperlink>
      <w:r>
        <w:t xml:space="preserve"> explique une cérémonie que ces villes pouvaient effectuer pour se décharger de cette responsabilité.</w:t>
      </w:r>
    </w:p>
    <w:p>
      <w:r/>
      <w:r>
        <w:t>Dans l'Israël antique, les gens pouvaient être coupables de meurtre injuste même à cause de leurs animaux (</w:t>
      </w:r>
      <w:hyperlink r:id="rId13536">
        <w:r>
          <w:rPr>
            <w:color w:val="0000EE"/>
            <w:u w:val="single"/>
          </w:rPr>
          <w:t>Lv 17.3–4, 10–11</w:t>
        </w:r>
      </w:hyperlink>
      <w:r>
        <w:t>). Si un animal tuait quelqu'un, l'animal devait être mis à mort par lapidation (</w:t>
      </w:r>
      <w:hyperlink r:id="rId13537">
        <w:r>
          <w:rPr>
            <w:color w:val="0000EE"/>
            <w:u w:val="single"/>
          </w:rPr>
          <w:t>Ex 21.28–29</w:t>
        </w:r>
      </w:hyperlink>
      <w:r>
        <w:t>).</w:t>
      </w:r>
    </w:p>
    <w:p>
      <w:r/>
      <w:r>
        <w:t>Il existait certaines situations dans lesquelles le fait de tuer ne conduisait pas à la culpabilité :</w:t>
      </w:r>
    </w:p>
    <w:p>
      <w:pPr>
        <w:pStyle w:val="ListBullet"/>
        <w:spacing w:line="240" w:lineRule="auto"/>
        <w:ind w:left="720"/>
      </w:pPr>
      <w:r/>
      <w:r>
        <w:t>La protection ou légitime défense (</w:t>
      </w:r>
      <w:hyperlink r:id="rId13538">
        <w:r>
          <w:rPr>
            <w:color w:val="0000EE"/>
            <w:u w:val="single"/>
          </w:rPr>
          <w:t>Ex 22.2</w:t>
        </w:r>
      </w:hyperlink>
      <w:r>
        <w:t>)</w:t>
      </w:r>
    </w:p>
    <w:p>
      <w:pPr>
        <w:pStyle w:val="ListBullet"/>
        <w:spacing w:line="240" w:lineRule="auto"/>
        <w:ind w:left="720"/>
      </w:pPr>
      <w:r/>
      <w:r>
        <w:t>La mise en application des sentences de mort légales (</w:t>
      </w:r>
      <w:hyperlink r:id="rId13539">
        <w:r>
          <w:rPr>
            <w:color w:val="0000EE"/>
            <w:u w:val="single"/>
          </w:rPr>
          <w:t>Lv 20.9–16</w:t>
        </w:r>
      </w:hyperlink>
      <w:r>
        <w:t>)</w:t>
      </w:r>
    </w:p>
    <w:p>
      <w:pPr>
        <w:pStyle w:val="ListBullet"/>
        <w:spacing w:line="240" w:lineRule="auto"/>
        <w:ind w:left="720"/>
      </w:pPr>
      <w:r/>
      <w:r>
        <w:t>Tuer pendant la guerre (</w:t>
      </w:r>
      <w:hyperlink r:id="rId13540">
        <w:r>
          <w:rPr>
            <w:color w:val="0000EE"/>
            <w:u w:val="single"/>
          </w:rPr>
          <w:t>1R 2.5–6</w:t>
        </w:r>
      </w:hyperlink>
      <w:r>
        <w:t>)</w:t>
      </w:r>
    </w:p>
    <w:p>
      <w:r/>
      <w:r>
        <w:t>Les prophètes utilisaient souvent le mot « sang » pour évoquer la culpabilité de toute la nation d'Israël (</w:t>
      </w:r>
      <w:hyperlink r:id="rId9416">
        <w:r>
          <w:rPr>
            <w:color w:val="0000EE"/>
            <w:u w:val="single"/>
          </w:rPr>
          <w:t>Es 1.15</w:t>
        </w:r>
      </w:hyperlink>
      <w:r>
        <w:t xml:space="preserve"> ; </w:t>
      </w:r>
      <w:hyperlink r:id="rId1560">
        <w:r>
          <w:rPr>
            <w:color w:val="0000EE"/>
            <w:u w:val="single"/>
          </w:rPr>
          <w:t>4.4</w:t>
        </w:r>
      </w:hyperlink>
      <w:r>
        <w:t xml:space="preserve"> ; </w:t>
      </w:r>
      <w:hyperlink r:id="rId13541">
        <w:r>
          <w:rPr>
            <w:color w:val="0000EE"/>
            <w:u w:val="single"/>
          </w:rPr>
          <w:t>Ez 7.23</w:t>
        </w:r>
      </w:hyperlink>
      <w:r>
        <w:t xml:space="preserve"> ; </w:t>
      </w:r>
      <w:hyperlink r:id="rId13542">
        <w:r>
          <w:rPr>
            <w:color w:val="0000EE"/>
            <w:u w:val="single"/>
          </w:rPr>
          <w:t>9.9</w:t>
        </w:r>
      </w:hyperlink>
      <w:r>
        <w:t xml:space="preserve"> ; </w:t>
      </w:r>
      <w:hyperlink r:id="rId11423">
        <w:r>
          <w:rPr>
            <w:color w:val="0000EE"/>
            <w:u w:val="single"/>
          </w:rPr>
          <w:t>Osée 1.4</w:t>
        </w:r>
      </w:hyperlink>
      <w:r>
        <w:t xml:space="preserve"> ; </w:t>
      </w:r>
      <w:hyperlink r:id="rId13543">
        <w:r>
          <w:rPr>
            <w:color w:val="0000EE"/>
            <w:u w:val="single"/>
          </w:rPr>
          <w:t>4.2</w:t>
        </w:r>
      </w:hyperlink>
      <w:r>
        <w:t xml:space="preserve"> ; </w:t>
      </w:r>
      <w:hyperlink r:id="rId13544">
        <w:r>
          <w:rPr>
            <w:color w:val="0000EE"/>
            <w:u w:val="single"/>
          </w:rPr>
          <w:t>Mi 3.10</w:t>
        </w:r>
      </w:hyperlink>
      <w:r>
        <w:t xml:space="preserve"> ; </w:t>
      </w:r>
      <w:hyperlink r:id="rId13545">
        <w:r>
          <w:rPr>
            <w:color w:val="0000EE"/>
            <w:u w:val="single"/>
          </w:rPr>
          <w:t>Ha 2.8</w:t>
        </w:r>
      </w:hyperlink>
      <w:r>
        <w:t xml:space="preserve">, </w:t>
      </w:r>
      <w:hyperlink r:id="rId13545">
        <w:r>
          <w:rPr>
            <w:color w:val="0000EE"/>
            <w:u w:val="single"/>
          </w:rPr>
          <w:t>12</w:t>
        </w:r>
      </w:hyperlink>
      <w:r>
        <w:t xml:space="preserve">, </w:t>
      </w:r>
      <w:hyperlink r:id="rId13545">
        <w:r>
          <w:rPr>
            <w:color w:val="0000EE"/>
            <w:u w:val="single"/>
          </w:rPr>
          <w:t>17</w:t>
        </w:r>
      </w:hyperlink>
      <w:r>
        <w:t>).</w:t>
      </w:r>
    </w:p>
    <w:p>
      <w:r/>
      <w:r>
        <w:t>Certaines infractions étaient considérées comme si graves qu'elles étaient punies de mort, même si elles n'impliquaient pas de meurtre (</w:t>
      </w:r>
      <w:hyperlink r:id="rId13539">
        <w:r>
          <w:rPr>
            <w:color w:val="0000EE"/>
            <w:u w:val="single"/>
          </w:rPr>
          <w:t>Lv 20.9–16</w:t>
        </w:r>
      </w:hyperlink>
      <w:r>
        <w:t xml:space="preserve"> ; </w:t>
      </w:r>
      <w:hyperlink r:id="rId13546">
        <w:r>
          <w:rPr>
            <w:color w:val="0000EE"/>
            <w:u w:val="single"/>
          </w:rPr>
          <w:t>Ez 18.10–13</w:t>
        </w:r>
      </w:hyperlink>
      <w:r>
        <w:t>). Ces infractions incluaient :</w:t>
      </w:r>
    </w:p>
    <w:p>
      <w:pPr>
        <w:pStyle w:val="ListBullet"/>
        <w:spacing w:line="240" w:lineRule="auto"/>
        <w:ind w:left="720"/>
      </w:pPr>
      <w:r/>
      <w:r>
        <w:t>Adorer de faux dieux</w:t>
      </w:r>
    </w:p>
    <w:p>
      <w:pPr>
        <w:pStyle w:val="ListBullet"/>
        <w:spacing w:line="240" w:lineRule="auto"/>
        <w:ind w:left="720"/>
      </w:pPr>
      <w:r/>
      <w:r>
        <w:t>Adorer des objets en tant que dieux (idoles)</w:t>
      </w:r>
    </w:p>
    <w:p>
      <w:pPr>
        <w:pStyle w:val="ListBullet"/>
        <w:spacing w:line="240" w:lineRule="auto"/>
        <w:ind w:left="720"/>
      </w:pPr>
      <w:r/>
      <w:r>
        <w:t>L'infidélité maritale (adultère)</w:t>
      </w:r>
    </w:p>
    <w:p>
      <w:pPr>
        <w:pStyle w:val="ListBullet"/>
        <w:spacing w:line="240" w:lineRule="auto"/>
        <w:ind w:left="720"/>
      </w:pPr>
      <w:r/>
      <w:r>
        <w:t>Le vol</w:t>
      </w:r>
    </w:p>
    <w:p>
      <w:pPr>
        <w:pStyle w:val="ListBullet"/>
        <w:spacing w:line="240" w:lineRule="auto"/>
        <w:ind w:left="720"/>
      </w:pPr>
      <w:r/>
      <w:r>
        <w:t>La cruauté envers le pauvre</w:t>
      </w:r>
    </w:p>
    <w:p>
      <w:pPr>
        <w:pStyle w:val="ListBullet"/>
        <w:spacing w:line="240" w:lineRule="auto"/>
        <w:ind w:left="720"/>
      </w:pPr>
      <w:r/>
      <w:r>
        <w:t>Rompre des promesses importantes</w:t>
      </w:r>
    </w:p>
    <w:p>
      <w:pPr>
        <w:pStyle w:val="ListBullet"/>
        <w:spacing w:line="240" w:lineRule="auto"/>
        <w:ind w:left="720"/>
      </w:pPr>
      <w:r/>
      <w:r>
        <w:t>Facturer des intérêts abusifs sur les prêts</w:t>
      </w:r>
    </w:p>
    <w:p>
      <w:r/>
      <w:r>
        <w:t>Tout au long de la Bible, de la Genèse (</w:t>
      </w:r>
      <w:hyperlink r:id="rId13547">
        <w:r>
          <w:rPr>
            <w:color w:val="0000EE"/>
            <w:u w:val="single"/>
          </w:rPr>
          <w:t>4.10–12</w:t>
        </w:r>
      </w:hyperlink>
      <w:r>
        <w:t>) aux Prophètes (</w:t>
      </w:r>
      <w:hyperlink r:id="rId13548">
        <w:r>
          <w:rPr>
            <w:color w:val="0000EE"/>
            <w:u w:val="single"/>
          </w:rPr>
          <w:t>Es 26.21</w:t>
        </w:r>
      </w:hyperlink>
      <w:r>
        <w:t xml:space="preserve"> ; </w:t>
      </w:r>
      <w:hyperlink r:id="rId13549">
        <w:r>
          <w:rPr>
            <w:color w:val="0000EE"/>
            <w:u w:val="single"/>
          </w:rPr>
          <w:t>Ez 24.6–9</w:t>
        </w:r>
      </w:hyperlink>
      <w:r>
        <w:t>) et dans le Nouveau Testament (</w:t>
      </w:r>
      <w:hyperlink r:id="rId4050">
        <w:r>
          <w:rPr>
            <w:color w:val="0000EE"/>
            <w:u w:val="single"/>
          </w:rPr>
          <w:t>Ap 6.10</w:t>
        </w:r>
      </w:hyperlink>
      <w:r>
        <w:t>), nous apprenons que Dieu rendra justice et punira le meurtrier.</w:t>
      </w:r>
    </w:p>
    <w:p>
      <w:r/>
      <w:r>
        <w:rPr>
          <w:i/>
        </w:rPr>
        <w:t>Voir aussi</w:t>
      </w:r>
      <w:r>
        <w:t xml:space="preserve"> </w:t>
      </w:r>
      <w:r>
        <w:t>Villes de refuge</w:t>
      </w:r>
      <w:r>
        <w:t xml:space="preserve"> ; </w:t>
      </w:r>
      <w:r>
        <w:t>Droit pénal et peines</w:t>
      </w:r>
      <w:r>
        <w:t>.</w:t>
      </w:r>
      <w:r/>
      <w:r/>
    </w:p>
    <w:p>
      <w:r/>
    </w:p>
    <w:p>
      <w:pPr>
        <w:pStyle w:val="Heading2"/>
      </w:pPr>
      <w:r>
        <w:t>Sang, Flux de</w:t>
      </w:r>
      <w:r/>
    </w:p>
    <w:p>
      <w:pPr>
        <w:pStyle w:val="ListNumber"/>
        <w:spacing w:line="240" w:lineRule="auto"/>
        <w:ind w:left="720"/>
      </w:pPr>
      <w:r/>
      <w:r>
        <w:t xml:space="preserve">Écoulement vaginal, comme lors des menstruations. </w:t>
      </w:r>
      <w:hyperlink r:id="rId13550">
        <w:r>
          <w:rPr>
            <w:color w:val="0000EE"/>
            <w:u w:val="single"/>
          </w:rPr>
          <w:t>Lévitique 15</w:t>
        </w:r>
      </w:hyperlink>
      <w:r>
        <w:t xml:space="preserve"> aborde les lois que Dieu a données à Moïse concernant les écoulements génitaux. Une femme avec des saignements vaginaux était rituellement impure pendant les saignements et sept jours après. Tant qu'elle était impure, elle ne pouvait ni adorer dans le tabernacle ou le temple, ni aller dans la rue ou au marché. Quiconque la touchait ou touchait ses affaires se rendait également impur (</w:t>
      </w:r>
      <w:hyperlink r:id="rId13551">
        <w:r>
          <w:rPr>
            <w:color w:val="0000EE"/>
            <w:u w:val="single"/>
          </w:rPr>
          <w:t>Lv 15.19</w:t>
        </w:r>
      </w:hyperlink>
      <w:r>
        <w:t>–</w:t>
      </w:r>
      <w:hyperlink r:id="rId13551">
        <w:r>
          <w:rPr>
            <w:color w:val="0000EE"/>
            <w:u w:val="single"/>
          </w:rPr>
          <w:t>28</w:t>
        </w:r>
      </w:hyperlink>
      <w:r>
        <w:t>). Les rapports sexuels n'étaient pas autorisés tant que la femme était impure. Sept jours après l'arrêt de ses saignements, une femme pouvait offrir deux tourterelles ou pigeons au prêtre comme offrandes pour expier le temps où elle était impure (</w:t>
      </w:r>
      <w:hyperlink r:id="rId11127">
        <w:r>
          <w:rPr>
            <w:color w:val="0000EE"/>
            <w:u w:val="single"/>
          </w:rPr>
          <w:t>Lv 15.29</w:t>
        </w:r>
      </w:hyperlink>
      <w:r>
        <w:t>–</w:t>
      </w:r>
      <w:hyperlink r:id="rId11127">
        <w:r>
          <w:rPr>
            <w:color w:val="0000EE"/>
            <w:u w:val="single"/>
          </w:rPr>
          <w:t>30</w:t>
        </w:r>
      </w:hyperlink>
      <w:r>
        <w:t>).</w:t>
      </w:r>
    </w:p>
    <w:p>
      <w:r/>
      <w:r>
        <w:t>La guérison d'une femme qui saignait depuis 12 ans est rapportée dans trois évangiles (</w:t>
      </w:r>
      <w:hyperlink r:id="rId9724">
        <w:r>
          <w:rPr>
            <w:color w:val="0000EE"/>
            <w:u w:val="single"/>
          </w:rPr>
          <w:t>Mt 9.20–22</w:t>
        </w:r>
      </w:hyperlink>
      <w:r>
        <w:t xml:space="preserve"> ; </w:t>
      </w:r>
      <w:hyperlink r:id="rId13552">
        <w:r>
          <w:rPr>
            <w:color w:val="0000EE"/>
            <w:u w:val="single"/>
          </w:rPr>
          <w:t>Mc 5.25</w:t>
        </w:r>
      </w:hyperlink>
      <w:r>
        <w:t>–</w:t>
      </w:r>
      <w:hyperlink r:id="rId13552">
        <w:r>
          <w:rPr>
            <w:color w:val="0000EE"/>
            <w:u w:val="single"/>
          </w:rPr>
          <w:t>34</w:t>
        </w:r>
      </w:hyperlink>
      <w:r>
        <w:t xml:space="preserve"> ; </w:t>
      </w:r>
      <w:hyperlink r:id="rId13553">
        <w:r>
          <w:rPr>
            <w:color w:val="0000EE"/>
            <w:u w:val="single"/>
          </w:rPr>
          <w:t>Lc 8.43</w:t>
        </w:r>
      </w:hyperlink>
      <w:r>
        <w:t>–</w:t>
      </w:r>
      <w:hyperlink r:id="rId13553">
        <w:r>
          <w:rPr>
            <w:color w:val="0000EE"/>
            <w:u w:val="single"/>
          </w:rPr>
          <w:t>48</w:t>
        </w:r>
      </w:hyperlink>
      <w:r>
        <w:t xml:space="preserve">). Si elle saignait vaginalement, sa longue période d'impureté (et sa séparation d'avec les autres) devait être très difficile. En plus de son anxiété et de son inconfort, elle aurait été empêchée de tomber enceinte. Elle avait « </w:t>
      </w:r>
      <w:r>
        <w:t>beaucoup souffert entre les mains de plusieurs médecins, elle avait dépensé tout ce qu’elle possédait, et elle n’avait éprouvé aucun soulagement, mais était allée plutôt en empirant</w:t>
      </w:r>
      <w:r>
        <w:t xml:space="preserve"> » (</w:t>
      </w:r>
      <w:hyperlink r:id="rId9850">
        <w:r>
          <w:rPr>
            <w:color w:val="0000EE"/>
            <w:u w:val="single"/>
          </w:rPr>
          <w:t>Mc 5.26</w:t>
        </w:r>
      </w:hyperlink>
      <w:r>
        <w:t>). Elle finira par ignorer les règles concernant l'impureté et traversera une foule pour toucher Jésus. Lorsqu'elle le touche, son saignement s'arrêtera totalement.</w:t>
      </w:r>
    </w:p>
    <w:p>
      <w:pPr>
        <w:pStyle w:val="ListNumber"/>
        <w:spacing w:line="240" w:lineRule="auto"/>
        <w:ind w:left="720"/>
      </w:pPr>
      <w:r/>
      <w:r>
        <w:t>Selles sanglantes. Le père de Publius souffrait d'une forme de dysenterie (</w:t>
      </w:r>
      <w:hyperlink r:id="rId4461">
        <w:r>
          <w:rPr>
            <w:color w:val="0000EE"/>
            <w:u w:val="single"/>
          </w:rPr>
          <w:t>Ac 28.8</w:t>
        </w:r>
      </w:hyperlink>
      <w:r>
        <w:t>).</w:t>
      </w:r>
    </w:p>
    <w:p>
      <w:r/>
      <w:r>
        <w:rPr>
          <w:i/>
        </w:rPr>
        <w:t>Voir aussi</w:t>
      </w:r>
      <w:r>
        <w:t xml:space="preserve"> </w:t>
      </w:r>
      <w:r>
        <w:t>Médecine et pratique médicale</w:t>
      </w:r>
      <w:r>
        <w:t xml:space="preserve"> ; </w:t>
      </w:r>
      <w:r>
        <w:t>Hémorragie</w:t>
      </w:r>
      <w:r>
        <w:t>.</w:t>
      </w:r>
      <w:r/>
      <w:r/>
    </w:p>
    <w:p>
      <w:r/>
    </w:p>
    <w:p>
      <w:pPr>
        <w:pStyle w:val="Heading2"/>
      </w:pPr>
      <w:r>
        <w:t>Sanhédrin</w:t>
      </w:r>
      <w:r/>
    </w:p>
    <w:p>
      <w:r/>
      <w:r>
        <w:t xml:space="preserve">Conseil judiciaire suprême du judaïsme. Le mot « sanhédrin » peut être traduit de différentes façons : « Grand-Conseil » (Semeur, voir aussi Parole Vivante), « Tribunal religieux » (Parole de Vie), ou encore « Conseil supérieur » (Français Courant). Ce conseil était à Jérusalem et avait 71 membres. </w:t>
      </w:r>
    </w:p>
    <w:p>
      <w:r/>
      <w:r>
        <w:t>Dans les récits de la Passion des Évangiles, le sanhédrin participe très activement à ce qui se passe autour de la mort de Jésus. C'est ce conseil qui le juge. Le sanhédrin réapparaît dans le livre des Actes comme le tribunal judiciaire qui enquête sur l'Église chrétienne en pleine croissance et qui la persécute. (« Judiciaire » veut dire qui se rapporte à la justice.)</w:t>
      </w:r>
    </w:p>
    <w:p>
      <w:pPr>
        <w:pStyle w:val="Heading3"/>
      </w:pPr>
      <w:r>
        <w:t>Histoire</w:t>
      </w:r>
    </w:p>
    <w:p>
      <w:r/>
      <w:r>
        <w:t xml:space="preserve">L'histoire du sanhédrin est difficile à retracer. La tradition juive de la Mishna considère que l'origine du sanhédrin remonte à Moïse et son conseil de 70. Cependant, cette affirmation est incertaine (Mishna traité </w:t>
      </w:r>
      <w:r>
        <w:rPr>
          <w:i/>
        </w:rPr>
        <w:t>Sanhédrin</w:t>
      </w:r>
      <w:r>
        <w:t xml:space="preserve"> 1.6, comp. avec </w:t>
      </w:r>
      <w:hyperlink r:id="rId13554">
        <w:r>
          <w:rPr>
            <w:color w:val="0000EE"/>
            <w:u w:val="single"/>
          </w:rPr>
          <w:t>Nb 11.16</w:t>
        </w:r>
      </w:hyperlink>
      <w:r>
        <w:t>). Dans le passage biblique, ce sont probablement des rassemblements informels d'anciens des tribus d'Israël (</w:t>
      </w:r>
      <w:hyperlink r:id="rId13555">
        <w:r>
          <w:rPr>
            <w:color w:val="0000EE"/>
            <w:u w:val="single"/>
          </w:rPr>
          <w:t>1R 8.1</w:t>
        </w:r>
      </w:hyperlink>
      <w:r>
        <w:t xml:space="preserve"> ; </w:t>
      </w:r>
      <w:hyperlink r:id="rId13556">
        <w:r>
          <w:rPr>
            <w:color w:val="0000EE"/>
            <w:u w:val="single"/>
          </w:rPr>
          <w:t>2R 23.1</w:t>
        </w:r>
      </w:hyperlink>
      <w:r>
        <w:t xml:space="preserve">). </w:t>
      </w:r>
    </w:p>
    <w:p>
      <w:r/>
      <w:r>
        <w:t xml:space="preserve">L'origine probable du sanhédrin se trouve dans la période post-exilique. C'est après l'exil que la nation d'Israël est réorganisée sans roi. Les anciennes familles dirigeantes prennent la tête de la société. L'assemblée législative (assemblée qui fait les lois) qui se forme est une union de deux groupes. Le premier groupe représente la noblesse du pays. Le deuxième groupe est formé de l'aristocratie sacerdotale, c'est-à-dire des familles de sacrificateurs (ou prêtres) dirigeantes (voir </w:t>
      </w:r>
      <w:hyperlink r:id="rId436">
        <w:r>
          <w:rPr>
            <w:color w:val="0000EE"/>
            <w:u w:val="single"/>
          </w:rPr>
          <w:t>Esd 5.5</w:t>
        </w:r>
      </w:hyperlink>
      <w:r>
        <w:t xml:space="preserve"> ; </w:t>
      </w:r>
      <w:hyperlink r:id="rId13557">
        <w:r>
          <w:rPr>
            <w:color w:val="0000EE"/>
            <w:u w:val="single"/>
          </w:rPr>
          <w:t>Né 2.16</w:t>
        </w:r>
      </w:hyperlink>
      <w:r>
        <w:t>). L'influence de ce conseil augmente grâce à la liberté dont les Juifs profitent jusqu'à un certain point sous les Perses.</w:t>
      </w:r>
    </w:p>
    <w:p>
      <w:r/>
      <w:r>
        <w:t>L'hellénisme apparaît en Israël au 4</w:t>
      </w:r>
      <w:r>
        <w:t>ᵉ</w:t>
      </w:r>
      <w:r>
        <w:t xml:space="preserve"> siècle av. J.-C. et soutient cette forme de gouvernement. L'hellénisme est le développement de la culture et de la langue grecques dans les pays autour de la mer Méditerrannée. Il est normal pour les villes hellénistiques de posséder des assemblées démocratiques et un conseil. Jérusalem accueille un conseil aristocratique qui reçoit son titre grec correspondant, la gérousie</w:t>
      </w:r>
      <w:r>
        <w:rPr>
          <w:i/>
        </w:rPr>
        <w:t>.</w:t>
      </w:r>
      <w:r>
        <w:t xml:space="preserve"> Ce conseil est d'abord mentionné par Josèphe. Josèphe parle du décret d'Antiochos III après sa prise de Jérusalem (</w:t>
      </w:r>
      <w:r>
        <w:rPr>
          <w:i/>
        </w:rPr>
        <w:t>Antiquités</w:t>
      </w:r>
      <w:r>
        <w:t xml:space="preserve"> 12.3.3). Même si le climat politique change énormément, ce conseil reste. Judas Maccabée expulse l'ancienne lignée des anciens. Il met en place un autre groupe de dirigeants issus des familles hasmonéennes. C'est un groupe de dirigeants héréditaires. Ainsi, la gérousie continue en tant que conseil de nobles. </w:t>
      </w:r>
    </w:p>
    <w:p>
      <w:r/>
      <w:r>
        <w:t>Au premier siècle av. J.-C., alors que les tensions entre sadducéens et pharisiens déchirent le judaïsme, le conseil subit une autre transformation. À partir de l'époque d'Alexandra (76–67 av. J.-C.), des scribes pharisiens entrent dans le conseil. La gérousie devient donc un mélange. Ce mélange comprend des personnes nobles (certaines font partie du sacerdoce et d'autres non) et des pharisiens issus du peuple.</w:t>
      </w:r>
    </w:p>
    <w:p>
      <w:r/>
      <w:r>
        <w:t>Les Romains laissent le conseil intact mais définissent plus précisément les limites de son pouvoir. À mesure que le judaïsme perd son indépendance, le conseil perd beaucoup de pouvoir législatif et politique. Rome nomme les individus occupant les véritables postes de pouvoir du pays. Par exemple, Hérode le Grand commence son règne en grave conflit avec l'ancienne aristocratie et finit par exécuter la plupart des membres du sanhédrin (</w:t>
      </w:r>
      <w:r>
        <w:rPr>
          <w:i/>
        </w:rPr>
        <w:t>Antiquités</w:t>
      </w:r>
      <w:r>
        <w:t xml:space="preserve"> 14.9.4). Les préfets nomment les souverains sacrificateurs (ou grands prêtres) et, pour symboliser leur contrôle sur le sacerdoce, de 6 à 36 apr. J.-C., ils gardent les vêtements sacerdotaux dans la forteresse d'Antonia.</w:t>
      </w:r>
    </w:p>
    <w:p>
      <w:r/>
      <w:r>
        <w:t xml:space="preserve">Le nom </w:t>
      </w:r>
      <w:r>
        <w:rPr>
          <w:i/>
        </w:rPr>
        <w:t>sanhédrin</w:t>
      </w:r>
      <w:r>
        <w:t xml:space="preserve"> (grec, </w:t>
      </w:r>
      <w:r>
        <w:rPr>
          <w:i/>
        </w:rPr>
        <w:t>sunedrion,</w:t>
      </w:r>
      <w:r>
        <w:t xml:space="preserve"> de sun</w:t>
      </w:r>
      <w:r>
        <w:rPr>
          <w:i/>
        </w:rPr>
        <w:t>,</w:t>
      </w:r>
      <w:r>
        <w:t xml:space="preserve"> « ensemble », et hedra</w:t>
      </w:r>
      <w:r>
        <w:rPr>
          <w:i/>
        </w:rPr>
        <w:t>,</w:t>
      </w:r>
      <w:r>
        <w:t xml:space="preserve"> « siège ») apparaît pour la première fois sous le règne d'Hérode le Grand (</w:t>
      </w:r>
      <w:r>
        <w:rPr>
          <w:i/>
        </w:rPr>
        <w:t>Antiquités</w:t>
      </w:r>
      <w:r>
        <w:t xml:space="preserve"> 14.9.3–5). C'est le terme utilisé tout au long du Nouveau Testament (22 fois), avec « les anciens » (</w:t>
      </w:r>
      <w:hyperlink r:id="rId8862">
        <w:r>
          <w:rPr>
            <w:color w:val="0000EE"/>
            <w:u w:val="single"/>
          </w:rPr>
          <w:t>Lc 22.66</w:t>
        </w:r>
      </w:hyperlink>
      <w:r>
        <w:t xml:space="preserve"> ; </w:t>
      </w:r>
      <w:hyperlink r:id="rId5796">
        <w:r>
          <w:rPr>
            <w:color w:val="0000EE"/>
            <w:u w:val="single"/>
          </w:rPr>
          <w:t>Ac 22.5</w:t>
        </w:r>
      </w:hyperlink>
      <w:r>
        <w:t>) et « gerousia » (</w:t>
      </w:r>
      <w:hyperlink r:id="rId13558">
        <w:r>
          <w:rPr>
            <w:color w:val="0000EE"/>
            <w:u w:val="single"/>
          </w:rPr>
          <w:t xml:space="preserve">Ac 5.21, </w:t>
        </w:r>
      </w:hyperlink>
      <w:r>
        <w:t>parfois traduit « assemblée », voir p. ex. la Semeur). La Mishna fournit encore plus de titres : Le Grand Tribunal (</w:t>
      </w:r>
      <w:r>
        <w:rPr>
          <w:i/>
        </w:rPr>
        <w:t>Sanhédrin</w:t>
      </w:r>
      <w:r>
        <w:t xml:space="preserve"> 11.2), le Grand sanhédrin (</w:t>
      </w:r>
      <w:r>
        <w:rPr>
          <w:i/>
        </w:rPr>
        <w:t>Sanhédrin</w:t>
      </w:r>
      <w:r>
        <w:t xml:space="preserve"> 1.6), et le sanhédrin des 71 (</w:t>
      </w:r>
      <w:r>
        <w:rPr>
          <w:i/>
        </w:rPr>
        <w:t>Shebuoth</w:t>
      </w:r>
      <w:r>
        <w:t xml:space="preserve"> 2.2).</w:t>
      </w:r>
    </w:p>
    <w:p>
      <w:r/>
      <w:r>
        <w:t>Après la grande guerre de 70 apr. J.-C., lorsque les derniers éléments d'indépendance juive sont détruits par Rome, le sanhédrin se réunit à nouveau à Jamnia. Son pouvoir, cependant, est uniquement théorique (traitant principalement de questions religieuses). Les Romains ne lui accordent que peu d'importance.</w:t>
      </w:r>
    </w:p>
    <w:p>
      <w:pPr>
        <w:pStyle w:val="Heading3"/>
      </w:pPr>
      <w:r>
        <w:t>Admission</w:t>
      </w:r>
    </w:p>
    <w:p>
      <w:r/>
      <w:r>
        <w:t>On sait peu de choses sur la procédure d'admission au sanhédrin, mais comme le conseil a des racines aristocratiques (et n'est pas vraiment démocratique), les nominations sont probablement faites parmi les sacrificateurs, les scribes éminents et la noblesse laïque. La Mishna stipule que le seul critère d'adhésion est l'apprentissage rabbinique ainsi qu'une véritable descendance israélite (</w:t>
      </w:r>
      <w:r>
        <w:rPr>
          <w:i/>
        </w:rPr>
        <w:t>Sanhédrin</w:t>
      </w:r>
      <w:r>
        <w:t xml:space="preserve"> 4.4). Le conseil compte 71 membres (</w:t>
      </w:r>
      <w:r>
        <w:rPr>
          <w:i/>
        </w:rPr>
        <w:t>Sanhédrin</w:t>
      </w:r>
      <w:r>
        <w:t xml:space="preserve"> 1.6) répartis en trois catégories : les souverains sacrificateurs, les anciens et les scribes.</w:t>
      </w:r>
    </w:p>
    <w:p>
      <w:pPr>
        <w:pStyle w:val="Heading4"/>
      </w:pPr>
      <w:r>
        <w:t>Les souverains sacrificateurs</w:t>
      </w:r>
    </w:p>
    <w:p>
      <w:r/>
      <w:r>
        <w:t>D'ordinaire venant de milieux sadducéens, ce sont les hommes les plus puissants du sanhédrin. Certains spécialistes pensent qu'ils constituent un conseil exécutif de dix citoyens riches et distingués, sur le modèle de plusieurs villes grecques et romaines. Tibériade en Galilée, par exemple, est gouvernée par un tel conseil, et Josèphe les désigne comme un groupe des « dix hommes les plus éminents » (</w:t>
      </w:r>
      <w:r>
        <w:rPr>
          <w:i/>
        </w:rPr>
        <w:t>Antiquités</w:t>
      </w:r>
      <w:r>
        <w:t xml:space="preserve"> 20.8.11 ; comp. avec </w:t>
      </w:r>
      <w:hyperlink r:id="rId525">
        <w:r>
          <w:rPr>
            <w:color w:val="0000EE"/>
            <w:u w:val="single"/>
          </w:rPr>
          <w:t>Ac 4.6</w:t>
        </w:r>
      </w:hyperlink>
      <w:r>
        <w:t>). L'un d'eux est le capitaine du Temple, qui y supervise les activités et en commande la garde (</w:t>
      </w:r>
      <w:hyperlink r:id="rId13559">
        <w:r>
          <w:rPr>
            <w:color w:val="0000EE"/>
            <w:u w:val="single"/>
          </w:rPr>
          <w:t>Ac 5.24–26</w:t>
        </w:r>
      </w:hyperlink>
      <w:r>
        <w:t>). D'autres servent de trésoriers qui contrôlent les salaires des sacrificateurs et des ouvriers et qui surveillent l'énorme quantité d'argent circulant dans le Temple. Les revenus proviennent des sacrifices et des taxes du marché, et la masse salariale comprend jusqu'à 18 000 hommes pendant la reconstruction du Temple par Hérode. Le président du sanhédrin dirige également ce conseil exécutif. Il est appelé « le souverain sacrificateur » (</w:t>
      </w:r>
      <w:r>
        <w:rPr>
          <w:i/>
        </w:rPr>
        <w:t>Antiquités</w:t>
      </w:r>
      <w:r>
        <w:t xml:space="preserve"> 20.10.5). Dans le Nouveau Testament, c'est un dirigeant important : Caïphe à l'époque de Jésus (</w:t>
      </w:r>
      <w:hyperlink r:id="rId13560">
        <w:r>
          <w:rPr>
            <w:color w:val="0000EE"/>
            <w:u w:val="single"/>
          </w:rPr>
          <w:t>Mt 26.3</w:t>
        </w:r>
      </w:hyperlink>
      <w:r>
        <w:t>) et Ananias à l'époque de Paul (</w:t>
      </w:r>
      <w:hyperlink r:id="rId13561">
        <w:r>
          <w:rPr>
            <w:color w:val="0000EE"/>
            <w:u w:val="single"/>
          </w:rPr>
          <w:t>Ac 23.2</w:t>
        </w:r>
      </w:hyperlink>
      <w:r>
        <w:t xml:space="preserve">). Dans </w:t>
      </w:r>
      <w:hyperlink r:id="rId946">
        <w:r>
          <w:rPr>
            <w:color w:val="0000EE"/>
            <w:u w:val="single"/>
          </w:rPr>
          <w:t>Luc 3.2</w:t>
        </w:r>
      </w:hyperlink>
      <w:r>
        <w:t xml:space="preserve"> et </w:t>
      </w:r>
      <w:hyperlink r:id="rId525">
        <w:r>
          <w:rPr>
            <w:color w:val="0000EE"/>
            <w:u w:val="single"/>
          </w:rPr>
          <w:t>Actes 4.6</w:t>
        </w:r>
      </w:hyperlink>
      <w:r>
        <w:t>, Anne est appelé souverain sacrificateur, mais c'est un titre d'honneur, car sa souveraineté prend fin en 15 apr. J.-C.</w:t>
      </w:r>
    </w:p>
    <w:p>
      <w:pPr>
        <w:pStyle w:val="Heading4"/>
      </w:pPr>
      <w:r>
        <w:t>Les anciens</w:t>
      </w:r>
    </w:p>
    <w:p>
      <w:r/>
      <w:r>
        <w:t>C'est une catégorie majeure qui représente l'aristocratie sacerdotale et financière en Judée. Ce sont des laïcs distingués, tels que Joseph d'Arimathie (</w:t>
      </w:r>
      <w:hyperlink r:id="rId1297">
        <w:r>
          <w:rPr>
            <w:color w:val="0000EE"/>
            <w:u w:val="single"/>
          </w:rPr>
          <w:t>Mc 15.43</w:t>
        </w:r>
      </w:hyperlink>
      <w:r>
        <w:t>), qui partagent les vues conservatrices des Sadducéens et donnent à l'assemblée la diversité d'un parlement moderne.</w:t>
      </w:r>
    </w:p>
    <w:p>
      <w:pPr>
        <w:pStyle w:val="Heading4"/>
      </w:pPr>
      <w:r>
        <w:t>Les scribes</w:t>
      </w:r>
    </w:p>
    <w:p>
      <w:r/>
      <w:r>
        <w:t>Ce sont les membres les plus récents du sanhédrin. Principalement des pharisiens, ce sont des juristes (des hommes de loi) professionnels. Ils sont formés en théologie, jurisprudence et philosophie. Ils sont organisés en guildes et suivent souvent des enseignants célèbres. Un célèbre scribe du sanhédrin, Gamaliel, apparaît dans le NT (</w:t>
      </w:r>
      <w:hyperlink r:id="rId4285">
        <w:r>
          <w:rPr>
            <w:color w:val="0000EE"/>
            <w:u w:val="single"/>
          </w:rPr>
          <w:t>Ac 5.34</w:t>
        </w:r>
      </w:hyperlink>
      <w:r>
        <w:t>). C'est le savant rabbinique instructeur de Paul (</w:t>
      </w:r>
      <w:hyperlink r:id="rId2725">
        <w:r>
          <w:rPr>
            <w:color w:val="0000EE"/>
            <w:u w:val="single"/>
          </w:rPr>
          <w:t>22.3</w:t>
        </w:r>
      </w:hyperlink>
      <w:r>
        <w:t>).</w:t>
      </w:r>
    </w:p>
    <w:p>
      <w:pPr>
        <w:pStyle w:val="Heading4"/>
      </w:pPr>
      <w:r>
        <w:t>À l'époque de Jésus</w:t>
      </w:r>
    </w:p>
    <w:p>
      <w:r/>
      <w:r>
        <w:t xml:space="preserve">Le domaine du sanhédrin est alors formellement limité à la Judée, mais il a </w:t>
      </w:r>
      <w:r>
        <w:rPr>
          <w:i/>
        </w:rPr>
        <w:t>de facto</w:t>
      </w:r>
      <w:r>
        <w:t xml:space="preserve"> une influence qui affecte la Galilée et même Damas (voir </w:t>
      </w:r>
      <w:hyperlink r:id="rId8715">
        <w:r>
          <w:rPr>
            <w:color w:val="0000EE"/>
            <w:u w:val="single"/>
          </w:rPr>
          <w:t>Ac 9.2</w:t>
        </w:r>
      </w:hyperlink>
      <w:r>
        <w:t xml:space="preserve"> ; </w:t>
      </w:r>
      <w:hyperlink r:id="rId5796">
        <w:r>
          <w:rPr>
            <w:color w:val="0000EE"/>
            <w:u w:val="single"/>
          </w:rPr>
          <w:t>22.5</w:t>
        </w:r>
      </w:hyperlink>
      <w:r>
        <w:t>). Le conseil est principalement chargé d'arbitrer les questions pertinentes à la loi juive lorsque des désaccords surviennent (</w:t>
      </w:r>
      <w:r>
        <w:rPr>
          <w:i/>
        </w:rPr>
        <w:t>Sanhédrin</w:t>
      </w:r>
      <w:r>
        <w:t xml:space="preserve"> 11.2). Dans tous les cas, sa décision est définitive. Il poursuit les accusations de blasphème, comme dans les cas de Jésus (</w:t>
      </w:r>
      <w:hyperlink r:id="rId13562">
        <w:r>
          <w:rPr>
            <w:color w:val="0000EE"/>
            <w:u w:val="single"/>
          </w:rPr>
          <w:t>Mt 26.65</w:t>
        </w:r>
      </w:hyperlink>
      <w:r>
        <w:t>) et d'Étienne (</w:t>
      </w:r>
      <w:hyperlink r:id="rId8903">
        <w:r>
          <w:rPr>
            <w:color w:val="0000EE"/>
            <w:u w:val="single"/>
          </w:rPr>
          <w:t>Ac 6.12–14</w:t>
        </w:r>
      </w:hyperlink>
      <w:r>
        <w:t>). Le sanhédrin participe également à la justice pénale.</w:t>
      </w:r>
    </w:p>
    <w:p>
      <w:r/>
      <w:r>
        <w:t>On ne sait toujours pas si à l'époque de Jésus, le sanhédrin a ou non le pouvoir de prononcer la peine capitale. Philon semble indiquer que les violations du Temple pouvaient être poursuivies à l'époque romaine (</w:t>
      </w:r>
      <w:r>
        <w:rPr>
          <w:i/>
        </w:rPr>
        <w:t>Legatio à Gaius,</w:t>
      </w:r>
      <w:r>
        <w:t xml:space="preserve"> 39). Cela pourrait expliquer les morts d'Étienne (</w:t>
      </w:r>
      <w:hyperlink r:id="rId13563">
        <w:r>
          <w:rPr>
            <w:color w:val="0000EE"/>
            <w:u w:val="single"/>
          </w:rPr>
          <w:t>Ac 7.58–60</w:t>
        </w:r>
      </w:hyperlink>
      <w:r>
        <w:t>) et de Jacques (</w:t>
      </w:r>
      <w:r>
        <w:rPr>
          <w:i/>
        </w:rPr>
        <w:t>Antiquités</w:t>
      </w:r>
      <w:r>
        <w:t xml:space="preserve"> 20.9.1). Quoi qu'il en soit, les Gentils surpris en train de pénétrer dans l'enceinte du Temple sont avertis d'une peine de mort automatique. Mais le Nouveau Testament et le Talmud divergent à ce sujet. Lors du procès de Jésus, les autorités sont obligées d'impliquer Pilate, qui seul peut mettre Jésus à mort (</w:t>
      </w:r>
      <w:hyperlink r:id="rId13564">
        <w:r>
          <w:rPr>
            <w:color w:val="0000EE"/>
            <w:u w:val="single"/>
          </w:rPr>
          <w:t>Jn 18.31</w:t>
        </w:r>
      </w:hyperlink>
      <w:r>
        <w:t>). Selon le Talmud, le sanhédrin perd ce privilège « quarante ans avant la destruction du temple » (</w:t>
      </w:r>
      <w:r>
        <w:rPr>
          <w:i/>
        </w:rPr>
        <w:t>Sanhédrin</w:t>
      </w:r>
      <w:r>
        <w:t xml:space="preserve"> I 18a, 34 ; VII 24b).</w:t>
      </w:r>
    </w:p>
    <w:p>
      <w:pPr>
        <w:pStyle w:val="Heading3"/>
      </w:pPr>
      <w:r>
        <w:t>Procédure judiciaire</w:t>
      </w:r>
    </w:p>
    <w:p>
      <w:r/>
      <w:r>
        <w:t xml:space="preserve">Malgré les graves irrégularités du procès de Jésus, les procédures formelles des lois du sanhédrin décrivent un tribunal juste et extrêmement préoccupé par les erreurs judiciaires. Malheureusement, les notes de procédure de la Mishna ne traitent que des directives des tribunaux inférieurs (Sanhédrins de 23 membres). On peut cependant raisonnablement supposer que des règles similaires s'appliquent au Grand sanhédrin de 71 membres. Dans les sections quatre et cinq du traité de la Mishna </w:t>
      </w:r>
      <w:r>
        <w:rPr>
          <w:i/>
        </w:rPr>
        <w:t>Sanhédrin,</w:t>
      </w:r>
      <w:r>
        <w:t xml:space="preserve"> ces instructions sont soigneusement expliquées.</w:t>
      </w:r>
    </w:p>
    <w:p>
      <w:r/>
      <w:r>
        <w:t>Le sanhédrin est assis en rangées semi-circulaires afin que les membres puissent se voir les uns les autres. Deux greffiers sont assis à chaque extrémité, prenant des notes et inscrivant les votes. Face à l'assemblée se trouvent trois rangées d'étudiants, généralement des disciples de certains des principaux scribes. L'accusé se tient au milieu face aux anciens. Il doit faire preuve d'une très grande humilité : il est revêtu d'une robe noire comme s'il était en deuil et porte les cheveux en désordre (</w:t>
      </w:r>
      <w:r>
        <w:rPr>
          <w:i/>
        </w:rPr>
        <w:t>Antiquités</w:t>
      </w:r>
      <w:r>
        <w:t xml:space="preserve"> 14.9.4). Après l'interrogatoire, il est renvoyé ; les délibérations sont privées.</w:t>
      </w:r>
    </w:p>
    <w:p>
      <w:r/>
      <w:r>
        <w:t>Les procédures pour les affaires capitales illustrent une préoccupation pour la justice. La défense est entendue en premier, puis les accusations. Un ancien qui a parlé pour la défense ne peut pas ensuite parler contre l'accusé. Les étudiants peuvent prendre la parole, mais uniquement en faveur de l'accusé, jamais contre lui (dans les affaires non capitales, ils peuvent faire l'un ou l'autre). Les membres se lèvent pour voter, en commençant par le plus jeune. L'acquittement nécessite une majorité simple, mais la condamnation exige une majorité de deux.</w:t>
      </w:r>
    </w:p>
    <w:p>
      <w:r/>
      <w:r>
        <w:t>Dans les affaires non capitales, le procès a lieu pendant la journée et le verdict peut être rendu la nuit. Dans les affaires capitales, à la fois le procès et le verdict se déroulent pendant la journée et peuvent donc soumis à un examen public plus approfondi. Dans les affaires non capitales, tout verdict peut être rendu le même jour. Dans les affaires capitales, le verdict de culpabilité (immédiatement suivi de l'exécution) doit être reporté d'un jour, car ses conséquences sont irréversibles. Ces procès ne doivent donc pas avoir lieu la veille du sabbat ou d'un jour de fête (</w:t>
      </w:r>
      <w:r>
        <w:rPr>
          <w:i/>
        </w:rPr>
        <w:t>Sanhedrin</w:t>
      </w:r>
      <w:r>
        <w:t xml:space="preserve"> 4.1).</w:t>
      </w:r>
    </w:p>
    <w:p>
      <w:r/>
      <w:r>
        <w:t>Le procès de Jésus rapporté dans les Évangiles montre de nombreuses divergences par rapport au processus habituel de justice du sanhédrin. Il semble clair qu'une erreur judiciaire est mise en évidence lors de son arrestation, de son interrogatoire et de sa mort.</w:t>
      </w:r>
    </w:p>
    <w:p>
      <w:r/>
      <w:r>
        <w:rPr>
          <w:i/>
        </w:rPr>
        <w:t>Voir aussi</w:t>
      </w:r>
      <w:r>
        <w:t xml:space="preserve"> </w:t>
      </w:r>
      <w:r>
        <w:t>tribunaux et procès</w:t>
      </w:r>
      <w:r>
        <w:t xml:space="preserve"> ; </w:t>
      </w:r>
      <w:r>
        <w:t>Conseil de Jérusalem</w:t>
      </w:r>
      <w:r>
        <w:t>.</w:t>
      </w:r>
      <w:r/>
      <w:r/>
    </w:p>
    <w:p>
      <w:r/>
    </w:p>
    <w:p>
      <w:pPr>
        <w:pStyle w:val="Heading2"/>
      </w:pPr>
      <w:r>
        <w:t>Saphira</w:t>
      </w:r>
      <w:r/>
    </w:p>
    <w:p>
      <w:r/>
      <w:r>
        <w:t>Membre de l'Église de Jérusalem et épouse d'Ananias (</w:t>
      </w:r>
      <w:hyperlink r:id="rId13565">
        <w:r>
          <w:rPr>
            <w:color w:val="0000EE"/>
            <w:u w:val="single"/>
          </w:rPr>
          <w:t>Ac 5.1</w:t>
        </w:r>
      </w:hyperlink>
      <w:r>
        <w:t xml:space="preserve">). </w:t>
      </w:r>
      <w:r>
        <w:rPr>
          <w:i/>
        </w:rPr>
        <w:t>Voir</w:t>
      </w:r>
      <w:r>
        <w:t xml:space="preserve"> </w:t>
      </w:r>
      <w:r>
        <w:t>Ananias n°1</w:t>
      </w:r>
      <w:r>
        <w:t>.</w:t>
      </w:r>
      <w:r/>
      <w:r/>
    </w:p>
    <w:p>
      <w:r/>
    </w:p>
    <w:p>
      <w:pPr>
        <w:pStyle w:val="Heading2"/>
      </w:pPr>
      <w:r>
        <w:t>Sara</w:t>
      </w:r>
      <w:r/>
    </w:p>
    <w:p>
      <w:pPr>
        <w:pStyle w:val="ListNumber"/>
        <w:spacing w:line="240" w:lineRule="auto"/>
        <w:ind w:left="720"/>
      </w:pPr>
      <w:r/>
      <w:r>
        <w:t>Épouse d'Abraham. Le nom de Sara était Saraï à l'origine (</w:t>
      </w:r>
      <w:hyperlink r:id="rId7286">
        <w:r>
          <w:rPr>
            <w:color w:val="0000EE"/>
            <w:u w:val="single"/>
          </w:rPr>
          <w:t>Gn 11.29</w:t>
        </w:r>
      </w:hyperlink>
      <w:r>
        <w:t>). Dieu change son nom en Sara (« princesse ») lorsqu'il lui promet qu'elle aurait un fils et deviendrait la mère de nations et de rois (</w:t>
      </w:r>
      <w:hyperlink r:id="rId13566">
        <w:r>
          <w:rPr>
            <w:color w:val="0000EE"/>
            <w:u w:val="single"/>
          </w:rPr>
          <w:t>Gn 17.15–16</w:t>
        </w:r>
      </w:hyperlink>
      <w:r>
        <w:t>). Sara était à la fois l'épouse et la demi-sœur d'Abraham (</w:t>
      </w:r>
      <w:hyperlink r:id="rId6822">
        <w:r>
          <w:rPr>
            <w:color w:val="0000EE"/>
            <w:u w:val="single"/>
          </w:rPr>
          <w:t>Gn 20.12</w:t>
        </w:r>
      </w:hyperlink>
      <w:r>
        <w:t>).</w:t>
      </w:r>
    </w:p>
    <w:p>
      <w:r/>
      <w:r>
        <w:t>Sara accompagne Abraham dans son voyage d'Ur en Chaldée à Charan avant de finir dans le pays de Canaan (</w:t>
      </w:r>
      <w:hyperlink r:id="rId84">
        <w:r>
          <w:rPr>
            <w:color w:val="0000EE"/>
            <w:u w:val="single"/>
          </w:rPr>
          <w:t>Gn 11.31</w:t>
        </w:r>
      </w:hyperlink>
      <w:r>
        <w:t xml:space="preserve"> ; </w:t>
      </w:r>
      <w:hyperlink r:id="rId13567">
        <w:r>
          <w:rPr>
            <w:color w:val="0000EE"/>
            <w:u w:val="single"/>
          </w:rPr>
          <w:t>12.5</w:t>
        </w:r>
      </w:hyperlink>
      <w:r>
        <w:t xml:space="preserve">). Pendant de nombreuses années, elle ne pouvait pas avoir d'enfants. Lorsque Dieu promet à Abraham qu'il ferait de lui une grande nation (dans </w:t>
      </w:r>
      <w:hyperlink r:id="rId547">
        <w:r>
          <w:rPr>
            <w:color w:val="0000EE"/>
            <w:u w:val="single"/>
          </w:rPr>
          <w:t>12.2</w:t>
        </w:r>
      </w:hyperlink>
      <w:r>
        <w:t xml:space="preserve">) et que le pays de Canaan serait donné à sa descendance (v. </w:t>
      </w:r>
      <w:hyperlink r:id="rId87">
        <w:r>
          <w:rPr>
            <w:color w:val="0000EE"/>
            <w:u w:val="single"/>
          </w:rPr>
          <w:t>7</w:t>
        </w:r>
      </w:hyperlink>
      <w:r>
        <w:t>), Sara reste incapable d'avoir des enfants.</w:t>
      </w:r>
    </w:p>
    <w:p>
      <w:r/>
      <w:r>
        <w:t xml:space="preserve">Dix ans plus tard, Sara sera toujours sans enfants (voir </w:t>
      </w:r>
      <w:hyperlink r:id="rId2542">
        <w:r>
          <w:rPr>
            <w:color w:val="0000EE"/>
            <w:u w:val="single"/>
          </w:rPr>
          <w:t>Gn 12.4</w:t>
        </w:r>
      </w:hyperlink>
      <w:r>
        <w:t xml:space="preserve"> ; </w:t>
      </w:r>
      <w:hyperlink r:id="rId6853">
        <w:r>
          <w:rPr>
            <w:color w:val="0000EE"/>
            <w:u w:val="single"/>
          </w:rPr>
          <w:t>16.16</w:t>
        </w:r>
      </w:hyperlink>
      <w:r>
        <w:t>). Elle donnera donc sa servante égyptienne, Agar, à Abraham comme concubine. Agar aura un fils nommé Ismaël (</w:t>
      </w:r>
      <w:hyperlink r:id="rId13568">
        <w:r>
          <w:rPr>
            <w:color w:val="0000EE"/>
            <w:u w:val="single"/>
          </w:rPr>
          <w:t>16.3–4</w:t>
        </w:r>
      </w:hyperlink>
      <w:r>
        <w:t>). Dieu promet qu'une nation viendrait d'Ismaël (</w:t>
      </w:r>
      <w:hyperlink r:id="rId8493">
        <w:r>
          <w:rPr>
            <w:color w:val="0000EE"/>
            <w:u w:val="single"/>
          </w:rPr>
          <w:t>17.20</w:t>
        </w:r>
      </w:hyperlink>
      <w:r>
        <w:t>) mais il dit également qu'Ismaël n'était pas l'enfant qu'il avait promis. Sara elle-même devait être la mère de cet enfant, même si elle rit lorsque la naissance est prédite. L'accomplissement de cette prédiction aura lieu avec la naissance d'Isaac (</w:t>
      </w:r>
      <w:hyperlink r:id="rId13569">
        <w:r>
          <w:rPr>
            <w:color w:val="0000EE"/>
            <w:u w:val="single"/>
          </w:rPr>
          <w:t>21.2–3</w:t>
        </w:r>
      </w:hyperlink>
      <w:r>
        <w:t>). Sara avait 90 ans, ce qui signifie qu'elle donne naissance 25 années après que Dieu ait d'abord promis à Abraham qu'il aurait des enfants (</w:t>
      </w:r>
      <w:hyperlink r:id="rId81">
        <w:r>
          <w:rPr>
            <w:color w:val="0000EE"/>
            <w:u w:val="single"/>
          </w:rPr>
          <w:t>17.17</w:t>
        </w:r>
      </w:hyperlink>
      <w:r>
        <w:t xml:space="preserve"> ; </w:t>
      </w:r>
      <w:hyperlink r:id="rId2543">
        <w:r>
          <w:rPr>
            <w:color w:val="0000EE"/>
            <w:u w:val="single"/>
          </w:rPr>
          <w:t>21.5</w:t>
        </w:r>
      </w:hyperlink>
      <w:r>
        <w:t>).</w:t>
      </w:r>
    </w:p>
    <w:p>
      <w:r/>
      <w:r>
        <w:t>Lorsqu'Abraham et Sara arrivent pour la première fois en Canaan, ils devront passer par l'Égypte, comme il n'y avait pas assez de nourriture en Canaan. Abraham dira aux Égyptiens que Sara était seulement sa sœur, pas sa femme. Comme Sara était très belle, Pharaon (le roi d'Égypte) la prend dans son palais (</w:t>
      </w:r>
      <w:hyperlink r:id="rId13570">
        <w:r>
          <w:rPr>
            <w:color w:val="0000EE"/>
            <w:u w:val="single"/>
          </w:rPr>
          <w:t>Gn 12.11–15</w:t>
        </w:r>
      </w:hyperlink>
      <w:r>
        <w:t>). Les Égyptiens traiteront bien Abraham au lieu de le tuer. Dieu protègera le mariage de Sara et d'Abraham en envoyant des plaies sur la maison de Pharaon jusqu'à ce qu'il libère Sara.</w:t>
      </w:r>
    </w:p>
    <w:p>
      <w:r/>
      <w:r>
        <w:t xml:space="preserve">Un événement similaire se produit à Guérar, où le roi Abimélec prend Sara dans sa maison (chap. </w:t>
      </w:r>
      <w:hyperlink r:id="rId67">
        <w:r>
          <w:rPr>
            <w:color w:val="0000EE"/>
            <w:u w:val="single"/>
          </w:rPr>
          <w:t>20</w:t>
        </w:r>
      </w:hyperlink>
      <w:r>
        <w:t>). Une fois de plus, Dieu protège Sara et la garde comme mère de l'enfant promis. Dieu s'assurera qu'il n'y aurait aucun doute qu'Isaac était bien le fils d'Abraham et de Sara. Isaac naît peu après cet événement (</w:t>
      </w:r>
      <w:hyperlink r:id="rId13571">
        <w:r>
          <w:rPr>
            <w:color w:val="0000EE"/>
            <w:u w:val="single"/>
          </w:rPr>
          <w:t>21.1–5</w:t>
        </w:r>
      </w:hyperlink>
      <w:r>
        <w:t>), environ un an après que Dieu avait promis sa naissance (</w:t>
      </w:r>
      <w:hyperlink r:id="rId13572">
        <w:r>
          <w:rPr>
            <w:color w:val="0000EE"/>
            <w:u w:val="single"/>
          </w:rPr>
          <w:t>17.21</w:t>
        </w:r>
      </w:hyperlink>
      <w:r>
        <w:t xml:space="preserve"> ; </w:t>
      </w:r>
      <w:hyperlink r:id="rId982">
        <w:r>
          <w:rPr>
            <w:color w:val="0000EE"/>
            <w:u w:val="single"/>
          </w:rPr>
          <w:t>18.10–14</w:t>
        </w:r>
      </w:hyperlink>
      <w:r>
        <w:t xml:space="preserve">). Sara mourra à l'âge de 127 ans. Elle est enterrée dans la grotte de Macpéla, qu'Abraham avait achetée à Éphron le Hétien (chap. </w:t>
      </w:r>
      <w:hyperlink r:id="rId103">
        <w:r>
          <w:rPr>
            <w:color w:val="0000EE"/>
            <w:u w:val="single"/>
          </w:rPr>
          <w:t>23</w:t>
        </w:r>
      </w:hyperlink>
      <w:r>
        <w:t>).</w:t>
      </w:r>
    </w:p>
    <w:p>
      <w:r/>
      <w:r>
        <w:t xml:space="preserve">En dehors du livre de la Genèse, Sara est mentionnée dans l'Ancien Testament uniquement dans </w:t>
      </w:r>
      <w:hyperlink r:id="rId13573">
        <w:r>
          <w:rPr>
            <w:color w:val="0000EE"/>
            <w:u w:val="single"/>
          </w:rPr>
          <w:t>Ésaïe 51.2</w:t>
        </w:r>
      </w:hyperlink>
      <w:r>
        <w:t xml:space="preserve">. Le Nouveau Testament la mentionne dans </w:t>
      </w:r>
      <w:hyperlink r:id="rId548">
        <w:r>
          <w:rPr>
            <w:color w:val="0000EE"/>
            <w:u w:val="single"/>
          </w:rPr>
          <w:t>Romains 4.19</w:t>
        </w:r>
      </w:hyperlink>
      <w:r>
        <w:t xml:space="preserve">, </w:t>
      </w:r>
      <w:hyperlink r:id="rId13574">
        <w:r>
          <w:rPr>
            <w:color w:val="0000EE"/>
            <w:u w:val="single"/>
          </w:rPr>
          <w:t>9.9</w:t>
        </w:r>
      </w:hyperlink>
      <w:r>
        <w:t xml:space="preserve">, </w:t>
      </w:r>
      <w:hyperlink r:id="rId13575">
        <w:r>
          <w:rPr>
            <w:color w:val="0000EE"/>
            <w:u w:val="single"/>
          </w:rPr>
          <w:t>Hébreux 11.11</w:t>
        </w:r>
      </w:hyperlink>
      <w:r>
        <w:t xml:space="preserve">, </w:t>
      </w:r>
      <w:hyperlink r:id="rId5027">
        <w:r>
          <w:rPr>
            <w:color w:val="0000EE"/>
            <w:u w:val="single"/>
          </w:rPr>
          <w:t>1 Pierre 3.6</w:t>
        </w:r>
      </w:hyperlink>
      <w:r>
        <w:t xml:space="preserve">, et </w:t>
      </w:r>
      <w:hyperlink r:id="rId6835">
        <w:r>
          <w:rPr>
            <w:color w:val="0000EE"/>
            <w:u w:val="single"/>
          </w:rPr>
          <w:t>Galates 4.21–31</w:t>
        </w:r>
      </w:hyperlink>
      <w:r>
        <w:t>, bien que dans le texte de Galates, elle ne soit pas mentionnée nommément.</w:t>
      </w:r>
    </w:p>
    <w:p>
      <w:r/>
      <w:r>
        <w:rPr>
          <w:i/>
        </w:rPr>
        <w:t>Voir aussi</w:t>
      </w:r>
      <w:r>
        <w:t xml:space="preserve"> </w:t>
      </w:r>
      <w:r>
        <w:t>Abraham</w:t>
      </w:r>
      <w:r>
        <w:t xml:space="preserve"> ; </w:t>
      </w:r>
      <w:r>
        <w:t>Stérilité</w:t>
      </w:r>
      <w:r>
        <w:t>.</w:t>
      </w:r>
    </w:p>
    <w:p>
      <w:pPr>
        <w:pStyle w:val="ListNumber"/>
        <w:spacing w:line="240" w:lineRule="auto"/>
        <w:ind w:left="720"/>
      </w:pPr>
      <w:r/>
      <w:r>
        <w:t>L'héroïne (personnage féminin principal) du livre de Tobit. La prière angoissée de Sara sera entendue par Dieu, qui enverra l'ange Raphaël comme intermédiaire pour arranger son mariage avec Tobit (</w:t>
      </w:r>
      <w:hyperlink r:id="rId13576">
        <w:r>
          <w:rPr>
            <w:color w:val="0000EE"/>
            <w:u w:val="single"/>
          </w:rPr>
          <w:t>Tb 6.9 et suivants</w:t>
        </w:r>
      </w:hyperlink>
      <w:r>
        <w:t>). Sara avait été tourmentée par un démon, qui avait causé la mort de ses sept précédents maris. Tobit exorcisera le démon en utilisant une recette à base de cœur et de foie de poisson qui lui avait été communiquée par l'ange Raphaël (</w:t>
      </w:r>
      <w:hyperlink r:id="rId13577">
        <w:r>
          <w:rPr>
            <w:color w:val="0000EE"/>
            <w:u w:val="single"/>
          </w:rPr>
          <w:t>8.2</w:t>
        </w:r>
      </w:hyperlink>
      <w:r>
        <w:t>). Tobit et sa femme, Anne, meurent à Ninive. Après cela, Tobit et Sara, ainsi que leurs enfants, retourneront dans la famille de Sara à Achmetha (</w:t>
      </w:r>
      <w:hyperlink r:id="rId13578">
        <w:r>
          <w:rPr>
            <w:color w:val="0000EE"/>
            <w:u w:val="single"/>
          </w:rPr>
          <w:t>14.12 et suivants</w:t>
        </w:r>
      </w:hyperlink>
      <w:r>
        <w:t>).</w:t>
      </w:r>
      <w:r/>
      <w:r/>
    </w:p>
    <w:p>
      <w:r/>
    </w:p>
    <w:p>
      <w:pPr>
        <w:pStyle w:val="Heading2"/>
      </w:pPr>
      <w:r>
        <w:t>Saraï</w:t>
      </w:r>
      <w:r/>
    </w:p>
    <w:p>
      <w:r/>
      <w:r>
        <w:t>Nom original de Sara, l'épouse d'Abraham (</w:t>
      </w:r>
      <w:hyperlink r:id="rId7286">
        <w:r>
          <w:rPr>
            <w:color w:val="0000EE"/>
            <w:u w:val="single"/>
          </w:rPr>
          <w:t>Gn 11.29</w:t>
        </w:r>
      </w:hyperlink>
      <w:r>
        <w:t xml:space="preserve">). </w:t>
      </w:r>
      <w:r>
        <w:rPr>
          <w:i/>
        </w:rPr>
        <w:t>Voir</w:t>
      </w:r>
      <w:r>
        <w:t xml:space="preserve"> </w:t>
      </w:r>
      <w:r>
        <w:t>Sara n° 1</w:t>
      </w:r>
      <w:r>
        <w:t>.</w:t>
      </w:r>
      <w:r/>
      <w:r/>
    </w:p>
    <w:p>
      <w:r/>
    </w:p>
    <w:p>
      <w:pPr>
        <w:pStyle w:val="Heading2"/>
      </w:pPr>
      <w:r>
        <w:t>Satan</w:t>
      </w:r>
      <w:r/>
    </w:p>
    <w:p>
      <w:r/>
      <w:r>
        <w:t>Être spirituel qui s'oppose à Dieu. Satan cherche à arrêter les plans de Dieu et à entraîner son peuple dans la rébellion.</w:t>
      </w:r>
    </w:p>
    <w:p>
      <w:pPr>
        <w:pStyle w:val="Heading3"/>
      </w:pPr>
      <w:r>
        <w:t>Satan dans l'Ancien Testament</w:t>
      </w:r>
    </w:p>
    <w:p>
      <w:r/>
      <w:r>
        <w:t xml:space="preserve">Dans l'AT, Satan est rarement mentionné. Il est décrit comme un ange qui agit en tant que procureur céleste (quelqu'un qui présente des accusations devant un juge, voir </w:t>
      </w:r>
      <w:hyperlink r:id="rId13049">
        <w:r>
          <w:rPr>
            <w:color w:val="0000EE"/>
            <w:u w:val="single"/>
          </w:rPr>
          <w:t xml:space="preserve">Jb 1.6–12 </w:t>
        </w:r>
      </w:hyperlink>
      <w:r>
        <w:t xml:space="preserve">; </w:t>
      </w:r>
      <w:hyperlink r:id="rId13579">
        <w:r>
          <w:rPr>
            <w:color w:val="0000EE"/>
            <w:u w:val="single"/>
          </w:rPr>
          <w:t xml:space="preserve">2.1–7 </w:t>
        </w:r>
      </w:hyperlink>
      <w:r>
        <w:t xml:space="preserve">; </w:t>
      </w:r>
      <w:hyperlink r:id="rId13580">
        <w:r>
          <w:rPr>
            <w:color w:val="0000EE"/>
            <w:u w:val="single"/>
          </w:rPr>
          <w:t>Za 3.1–2</w:t>
        </w:r>
      </w:hyperlink>
      <w:r>
        <w:t>). Cet être de nature angélique est donc appelé « le Satan » ou « l'accusateur ».</w:t>
      </w:r>
    </w:p>
    <w:p>
      <w:r/>
      <w:r>
        <w:t xml:space="preserve">Le concept de Satan en tant que tentateur n'est mentionné que plus tard dans l'AT. Dans </w:t>
      </w:r>
      <w:hyperlink r:id="rId3716">
        <w:r>
          <w:rPr>
            <w:color w:val="0000EE"/>
            <w:u w:val="single"/>
          </w:rPr>
          <w:t>1 Chroniques 21.1</w:t>
        </w:r>
      </w:hyperlink>
      <w:r>
        <w:t xml:space="preserve">, l'histoire de </w:t>
      </w:r>
      <w:hyperlink r:id="rId13581">
        <w:r>
          <w:rPr>
            <w:color w:val="0000EE"/>
            <w:u w:val="single"/>
          </w:rPr>
          <w:t>2 Samuel 24.1</w:t>
        </w:r>
      </w:hyperlink>
      <w:r>
        <w:t xml:space="preserve"> est racontée à nouveau mais cette fois-ci, avec Satan. C'est la première fois qu'il est nommé dans l'AT et il est décrit comme un être maléfique. L'AT ne donne pas plus d'explications à propos de Satan mais pose déjà les bases de la doctrine qui sera développée par la suite. Certains pensent que l'« astre brillant » (traduit en latin « Lucifer », voir Bible Ostervald) dans </w:t>
      </w:r>
      <w:hyperlink r:id="rId13582">
        <w:r>
          <w:rPr>
            <w:color w:val="0000EE"/>
            <w:u w:val="single"/>
          </w:rPr>
          <w:t>Ésaïe 14.12</w:t>
        </w:r>
      </w:hyperlink>
      <w:r>
        <w:t xml:space="preserve"> parle de Satan, mais la référence est en fait au roi de Babylone.</w:t>
      </w:r>
    </w:p>
    <w:p>
      <w:pPr>
        <w:pStyle w:val="Heading3"/>
      </w:pPr>
      <w:r>
        <w:t>Satan entre l'Ancien Testament et le Nouveau</w:t>
      </w:r>
    </w:p>
    <w:p>
      <w:r/>
      <w:r>
        <w:t>Pendant la période entre l'AT et le NT, le concept de Satan se développe davantage dans la pensée juive. Il est appelé Bélial, Mastéma et Samaël. Il est décrit de trois façons différentes :</w:t>
      </w:r>
    </w:p>
    <w:p>
      <w:pPr>
        <w:pStyle w:val="ListNumber"/>
        <w:spacing w:line="240" w:lineRule="auto"/>
        <w:ind w:left="720"/>
      </w:pPr>
      <w:r/>
      <w:r>
        <w:t>Le Satan de l'AT réapparaît comme tentateur qui accuse les gens devant Dieu et entrave le plan de salut de Dieu (Jubilés 11.5 ; 17.16 ; Assomption de Moïse 17 ; 1 Hénoch 40.7).</w:t>
      </w:r>
    </w:p>
    <w:p>
      <w:pPr>
        <w:pStyle w:val="ListNumber"/>
        <w:spacing w:line="240" w:lineRule="auto"/>
        <w:ind w:left="720"/>
      </w:pPr>
      <w:r/>
      <w:r>
        <w:t>Les manuscrits de la mer Morte représentent Satan (Bélial) comme le chef des forces du mal. Le zoroastrisme (une ancienne religion perse) a probablement influencé ce développement. Toutefois, contrairement à cette religion, les écrits de la mer Morte enseignent qu'il n'y a qu'un seul Dieu, et que Bélial et le Prince de Lumière (le champion du peuple de Dieu) ne sont que ses créatures.</w:t>
      </w:r>
    </w:p>
    <w:p>
      <w:pPr>
        <w:pStyle w:val="ListNumber"/>
        <w:spacing w:line="240" w:lineRule="auto"/>
        <w:ind w:left="720"/>
      </w:pPr>
      <w:r/>
      <w:r>
        <w:t>Satan est souvent ajouté à des histoires tirées de l'AT où il n'apparaît pas à l'origine :</w:t>
      </w:r>
    </w:p>
    <w:p>
      <w:pPr>
        <w:pStyle w:val="ListBullet"/>
        <w:spacing w:line="240" w:lineRule="auto"/>
        <w:ind w:left="1440"/>
      </w:pPr>
      <w:r/>
      <w:r>
        <w:t>il convoitait Ève et a causé la chute de l'homme (</w:t>
      </w:r>
      <w:hyperlink r:id="rId13583">
        <w:r>
          <w:rPr>
            <w:color w:val="0000EE"/>
            <w:u w:val="single"/>
          </w:rPr>
          <w:t>Sagesse de Salomon 2.24</w:t>
        </w:r>
      </w:hyperlink>
      <w:r>
        <w:t>),</w:t>
      </w:r>
    </w:p>
    <w:p>
      <w:pPr>
        <w:pStyle w:val="ListBullet"/>
        <w:spacing w:line="240" w:lineRule="auto"/>
        <w:ind w:left="1440"/>
      </w:pPr>
      <w:r/>
      <w:r>
        <w:t xml:space="preserve">il est le commandant des anges qui ont péché et se sont détournés de Dieu dans </w:t>
      </w:r>
      <w:hyperlink r:id="rId4948">
        <w:r>
          <w:rPr>
            <w:color w:val="0000EE"/>
            <w:u w:val="single"/>
          </w:rPr>
          <w:t>Genèse 6.1–4</w:t>
        </w:r>
      </w:hyperlink>
      <w:r>
        <w:t xml:space="preserve"> (Jubilés 10.5–8 ; 19.28), ou</w:t>
      </w:r>
    </w:p>
    <w:p>
      <w:pPr>
        <w:pStyle w:val="ListBullet"/>
        <w:spacing w:line="240" w:lineRule="auto"/>
        <w:ind w:left="1440"/>
      </w:pPr>
      <w:r/>
      <w:r>
        <w:t>il est lui-même un ange qui s'est détourné de Dieu (2 Hénoc 29.4).</w:t>
      </w:r>
    </w:p>
    <w:p>
      <w:pPr>
        <w:pStyle w:val="Heading3"/>
      </w:pPr>
      <w:r>
        <w:t>Satan dans le Nouveau Testament</w:t>
      </w:r>
    </w:p>
    <w:p>
      <w:r/>
      <w:r>
        <w:t>Dans le NT, l'enseignement sur Satan est beaucoup plus complet. Il est appelé de nombreux noms :</w:t>
      </w:r>
    </w:p>
    <w:p>
      <w:pPr>
        <w:pStyle w:val="ListBullet"/>
        <w:spacing w:line="240" w:lineRule="auto"/>
        <w:ind w:left="720"/>
      </w:pPr>
      <w:r/>
      <w:r>
        <w:t>Satan (le mot hébreu qui signifie « accusateur »)</w:t>
      </w:r>
    </w:p>
    <w:p>
      <w:pPr>
        <w:pStyle w:val="ListBullet"/>
        <w:spacing w:line="240" w:lineRule="auto"/>
        <w:ind w:left="720"/>
      </w:pPr>
      <w:r/>
      <w:r>
        <w:t>le diable (la traduction grecque de « Satan »)</w:t>
      </w:r>
    </w:p>
    <w:p>
      <w:pPr>
        <w:pStyle w:val="ListBullet"/>
        <w:spacing w:line="240" w:lineRule="auto"/>
        <w:ind w:left="720"/>
      </w:pPr>
      <w:r/>
      <w:r>
        <w:t>Bélial</w:t>
      </w:r>
    </w:p>
    <w:p>
      <w:pPr>
        <w:pStyle w:val="ListBullet"/>
        <w:spacing w:line="240" w:lineRule="auto"/>
        <w:ind w:left="720"/>
      </w:pPr>
      <w:r/>
      <w:r>
        <w:t>Béelzébul</w:t>
      </w:r>
    </w:p>
    <w:p>
      <w:pPr>
        <w:pStyle w:val="ListBullet"/>
        <w:spacing w:line="240" w:lineRule="auto"/>
        <w:ind w:left="720"/>
      </w:pPr>
      <w:r/>
      <w:r>
        <w:t>l'adversaire</w:t>
      </w:r>
    </w:p>
    <w:p>
      <w:pPr>
        <w:pStyle w:val="ListBullet"/>
        <w:spacing w:line="240" w:lineRule="auto"/>
        <w:ind w:left="720"/>
      </w:pPr>
      <w:r/>
      <w:r>
        <w:t>le dragon</w:t>
      </w:r>
    </w:p>
    <w:p>
      <w:pPr>
        <w:pStyle w:val="ListBullet"/>
        <w:spacing w:line="240" w:lineRule="auto"/>
        <w:ind w:left="720"/>
      </w:pPr>
      <w:r/>
      <w:r>
        <w:t>l'ennemi</w:t>
      </w:r>
    </w:p>
    <w:p>
      <w:pPr>
        <w:pStyle w:val="ListBullet"/>
        <w:spacing w:line="240" w:lineRule="auto"/>
        <w:ind w:left="720"/>
      </w:pPr>
      <w:r/>
      <w:r>
        <w:t>le serpent</w:t>
      </w:r>
    </w:p>
    <w:p>
      <w:pPr>
        <w:pStyle w:val="ListBullet"/>
        <w:spacing w:line="240" w:lineRule="auto"/>
        <w:ind w:left="720"/>
      </w:pPr>
      <w:r/>
      <w:r>
        <w:t>le tentateur</w:t>
      </w:r>
    </w:p>
    <w:p>
      <w:pPr>
        <w:pStyle w:val="ListBullet"/>
        <w:spacing w:line="240" w:lineRule="auto"/>
        <w:ind w:left="720"/>
      </w:pPr>
      <w:r/>
      <w:r>
        <w:t>le malin</w:t>
      </w:r>
    </w:p>
    <w:p>
      <w:r/>
      <w:r>
        <w:t>Il est décrit comme :</w:t>
      </w:r>
    </w:p>
    <w:p>
      <w:pPr>
        <w:pStyle w:val="ListBullet"/>
        <w:spacing w:line="240" w:lineRule="auto"/>
        <w:ind w:left="720"/>
      </w:pPr>
      <w:r/>
      <w:r>
        <w:t>le chef d'une armée d'anges (</w:t>
      </w:r>
      <w:hyperlink r:id="rId4663">
        <w:r>
          <w:rPr>
            <w:color w:val="0000EE"/>
            <w:u w:val="single"/>
          </w:rPr>
          <w:t>Mt 25.41</w:t>
        </w:r>
      </w:hyperlink>
      <w:r>
        <w:t>)</w:t>
      </w:r>
    </w:p>
    <w:p>
      <w:pPr>
        <w:pStyle w:val="ListBullet"/>
        <w:spacing w:line="240" w:lineRule="auto"/>
        <w:ind w:left="720"/>
      </w:pPr>
      <w:r/>
      <w:r>
        <w:t>celui qui manipule le monde (</w:t>
      </w:r>
      <w:hyperlink r:id="rId13584">
        <w:r>
          <w:rPr>
            <w:color w:val="0000EE"/>
            <w:u w:val="single"/>
          </w:rPr>
          <w:t xml:space="preserve">Lc 4.6 </w:t>
        </w:r>
      </w:hyperlink>
      <w:r>
        <w:t xml:space="preserve">; </w:t>
      </w:r>
      <w:hyperlink r:id="rId9301">
        <w:r>
          <w:rPr>
            <w:color w:val="0000EE"/>
            <w:u w:val="single"/>
          </w:rPr>
          <w:t xml:space="preserve">Ac 26.18 </w:t>
        </w:r>
      </w:hyperlink>
      <w:r>
        <w:t xml:space="preserve">; </w:t>
      </w:r>
      <w:hyperlink r:id="rId6669">
        <w:r>
          <w:rPr>
            <w:color w:val="0000EE"/>
            <w:u w:val="single"/>
          </w:rPr>
          <w:t>2Co 4.4</w:t>
        </w:r>
      </w:hyperlink>
      <w:r>
        <w:t>)</w:t>
      </w:r>
    </w:p>
    <w:p>
      <w:pPr>
        <w:pStyle w:val="ListBullet"/>
        <w:spacing w:line="240" w:lineRule="auto"/>
        <w:ind w:left="720"/>
      </w:pPr>
      <w:r/>
      <w:r>
        <w:t>celui qui manipule tous les non-chrétiens (</w:t>
      </w:r>
      <w:hyperlink r:id="rId13585">
        <w:r>
          <w:rPr>
            <w:color w:val="0000EE"/>
            <w:u w:val="single"/>
          </w:rPr>
          <w:t xml:space="preserve">Mc 4.15 </w:t>
        </w:r>
      </w:hyperlink>
      <w:r>
        <w:t xml:space="preserve">; </w:t>
      </w:r>
      <w:hyperlink r:id="rId3101">
        <w:r>
          <w:rPr>
            <w:color w:val="0000EE"/>
            <w:u w:val="single"/>
          </w:rPr>
          <w:t xml:space="preserve">Jn 8.44 </w:t>
        </w:r>
      </w:hyperlink>
      <w:r>
        <w:t xml:space="preserve">; </w:t>
      </w:r>
      <w:hyperlink r:id="rId13586">
        <w:r>
          <w:rPr>
            <w:color w:val="0000EE"/>
            <w:u w:val="single"/>
          </w:rPr>
          <w:t xml:space="preserve">Ac 13.10 </w:t>
        </w:r>
      </w:hyperlink>
      <w:r>
        <w:t xml:space="preserve">; </w:t>
      </w:r>
      <w:hyperlink r:id="rId2944">
        <w:r>
          <w:rPr>
            <w:color w:val="0000EE"/>
            <w:u w:val="single"/>
          </w:rPr>
          <w:t>Col 1.13</w:t>
        </w:r>
      </w:hyperlink>
      <w:r>
        <w:t>)</w:t>
      </w:r>
    </w:p>
    <w:p>
      <w:r/>
      <w:r>
        <w:t>Satan est l'ennemi de Dieu et veut séparer de lui tous les êtres humains. Il est un ennemi particulièrement dangereux pour les chrétiens (</w:t>
      </w:r>
      <w:hyperlink r:id="rId13587">
        <w:r>
          <w:rPr>
            <w:color w:val="0000EE"/>
            <w:u w:val="single"/>
          </w:rPr>
          <w:t xml:space="preserve">Lc 8.33 </w:t>
        </w:r>
      </w:hyperlink>
      <w:r>
        <w:t xml:space="preserve">; </w:t>
      </w:r>
      <w:hyperlink r:id="rId3223">
        <w:r>
          <w:rPr>
            <w:color w:val="0000EE"/>
            <w:u w:val="single"/>
          </w:rPr>
          <w:t xml:space="preserve">1Co 7.5 </w:t>
        </w:r>
      </w:hyperlink>
      <w:r>
        <w:t xml:space="preserve">; </w:t>
      </w:r>
      <w:hyperlink r:id="rId12253">
        <w:r>
          <w:rPr>
            <w:color w:val="0000EE"/>
            <w:u w:val="single"/>
          </w:rPr>
          <w:t>1P 5.8</w:t>
        </w:r>
      </w:hyperlink>
      <w:r>
        <w:t>) qui doivent lui résister et ne pas être trompés par ses ruses (</w:t>
      </w:r>
      <w:hyperlink r:id="rId13588">
        <w:r>
          <w:rPr>
            <w:color w:val="0000EE"/>
            <w:u w:val="single"/>
          </w:rPr>
          <w:t xml:space="preserve">2Co 2.11 </w:t>
        </w:r>
      </w:hyperlink>
      <w:r>
        <w:t xml:space="preserve">; </w:t>
      </w:r>
      <w:hyperlink r:id="rId13589">
        <w:r>
          <w:rPr>
            <w:color w:val="0000EE"/>
            <w:u w:val="single"/>
          </w:rPr>
          <w:t xml:space="preserve">Ep 6.11 </w:t>
        </w:r>
      </w:hyperlink>
      <w:r>
        <w:t xml:space="preserve">; </w:t>
      </w:r>
      <w:hyperlink r:id="rId13590">
        <w:r>
          <w:rPr>
            <w:color w:val="0000EE"/>
            <w:u w:val="single"/>
          </w:rPr>
          <w:t>Jc 4.7</w:t>
        </w:r>
      </w:hyperlink>
      <w:r>
        <w:t>).</w:t>
      </w:r>
    </w:p>
    <w:p>
      <w:r/>
      <w:r>
        <w:t>Satan exécute ses plans maléfiques :</w:t>
      </w:r>
    </w:p>
    <w:p>
      <w:pPr>
        <w:pStyle w:val="ListBullet"/>
        <w:spacing w:line="240" w:lineRule="auto"/>
        <w:ind w:left="720"/>
      </w:pPr>
      <w:r/>
      <w:r>
        <w:t>en tentant les gens (</w:t>
      </w:r>
      <w:hyperlink r:id="rId13591">
        <w:r>
          <w:rPr>
            <w:color w:val="0000EE"/>
            <w:u w:val="single"/>
          </w:rPr>
          <w:t xml:space="preserve">Jn 13.2 </w:t>
        </w:r>
      </w:hyperlink>
      <w:r>
        <w:t xml:space="preserve">; </w:t>
      </w:r>
      <w:hyperlink r:id="rId13592">
        <w:r>
          <w:rPr>
            <w:color w:val="0000EE"/>
            <w:u w:val="single"/>
          </w:rPr>
          <w:t>Ac 5.3</w:t>
        </w:r>
      </w:hyperlink>
      <w:r>
        <w:t>)</w:t>
      </w:r>
    </w:p>
    <w:p>
      <w:pPr>
        <w:pStyle w:val="ListBullet"/>
        <w:spacing w:line="240" w:lineRule="auto"/>
        <w:ind w:left="720"/>
      </w:pPr>
      <w:r/>
      <w:r>
        <w:t>en essayant d'arrêter les ouvriers de Dieu (</w:t>
      </w:r>
      <w:hyperlink r:id="rId13593">
        <w:r>
          <w:rPr>
            <w:color w:val="0000EE"/>
            <w:u w:val="single"/>
          </w:rPr>
          <w:t>1Th 2.18</w:t>
        </w:r>
      </w:hyperlink>
      <w:r>
        <w:t>)</w:t>
      </w:r>
    </w:p>
    <w:p>
      <w:pPr>
        <w:pStyle w:val="ListBullet"/>
        <w:spacing w:line="240" w:lineRule="auto"/>
        <w:ind w:left="720"/>
      </w:pPr>
      <w:r/>
      <w:r>
        <w:t>en accusant les chrétiens devant Dieu (</w:t>
      </w:r>
      <w:hyperlink r:id="rId13594">
        <w:r>
          <w:rPr>
            <w:color w:val="0000EE"/>
            <w:u w:val="single"/>
          </w:rPr>
          <w:t>Ap 12.10</w:t>
        </w:r>
      </w:hyperlink>
      <w:r>
        <w:t>)</w:t>
      </w:r>
    </w:p>
    <w:p>
      <w:pPr>
        <w:pStyle w:val="ListBullet"/>
        <w:spacing w:line="240" w:lineRule="auto"/>
        <w:ind w:left="720"/>
      </w:pPr>
      <w:r/>
      <w:r>
        <w:t>en manipulant les personnes malfaisantes qui résistent à l'Évangile (</w:t>
      </w:r>
      <w:hyperlink r:id="rId13595">
        <w:r>
          <w:rPr>
            <w:color w:val="0000EE"/>
            <w:u w:val="single"/>
          </w:rPr>
          <w:t xml:space="preserve">2Th 2.9 </w:t>
        </w:r>
      </w:hyperlink>
      <w:r>
        <w:t xml:space="preserve">; </w:t>
      </w:r>
      <w:hyperlink r:id="rId13596">
        <w:r>
          <w:rPr>
            <w:color w:val="0000EE"/>
            <w:u w:val="single"/>
          </w:rPr>
          <w:t xml:space="preserve">Ap 2.9, 13 </w:t>
        </w:r>
      </w:hyperlink>
      <w:r>
        <w:t xml:space="preserve">; </w:t>
      </w:r>
      <w:hyperlink r:id="rId13597">
        <w:r>
          <w:rPr>
            <w:color w:val="0000EE"/>
            <w:u w:val="single"/>
          </w:rPr>
          <w:t>13.2</w:t>
        </w:r>
      </w:hyperlink>
      <w:r>
        <w:t>).</w:t>
      </w:r>
    </w:p>
    <w:p>
      <w:r/>
      <w:r>
        <w:t>Toutefois, l'enseignement le plus important du NT est que le diable, qui était mauvais dès le commencement (</w:t>
      </w:r>
      <w:hyperlink r:id="rId13598">
        <w:r>
          <w:rPr>
            <w:color w:val="0000EE"/>
            <w:u w:val="single"/>
          </w:rPr>
          <w:t>1Jn 3.8</w:t>
        </w:r>
      </w:hyperlink>
      <w:r>
        <w:t>), a été vaincu et chassé du ciel par le ministère de Jésus (</w:t>
      </w:r>
      <w:hyperlink r:id="rId13599">
        <w:r>
          <w:rPr>
            <w:color w:val="0000EE"/>
            <w:u w:val="single"/>
          </w:rPr>
          <w:t xml:space="preserve">Lc 10.18 </w:t>
        </w:r>
      </w:hyperlink>
      <w:r>
        <w:t xml:space="preserve">; </w:t>
      </w:r>
      <w:hyperlink r:id="rId13600">
        <w:r>
          <w:rPr>
            <w:color w:val="0000EE"/>
            <w:u w:val="single"/>
          </w:rPr>
          <w:t>Ap 12</w:t>
        </w:r>
      </w:hyperlink>
      <w:r>
        <w:t>). Bien qu'il reste un ennemi dangereux pour les chrétiens, ils disposent d'armes puissantes contre lui : la prière, la foi et l'efficacité du sang de Jésus. Satan peut encore causer des maladies physiques si Dieu le permet (</w:t>
      </w:r>
      <w:hyperlink r:id="rId2293">
        <w:r>
          <w:rPr>
            <w:color w:val="0000EE"/>
            <w:u w:val="single"/>
          </w:rPr>
          <w:t>2Co 12.7</w:t>
        </w:r>
      </w:hyperlink>
      <w:r>
        <w:t>). Des personnes peuvent être livrées à lui pour être punies (</w:t>
      </w:r>
      <w:hyperlink r:id="rId7678">
        <w:r>
          <w:rPr>
            <w:color w:val="0000EE"/>
            <w:u w:val="single"/>
          </w:rPr>
          <w:t xml:space="preserve">1Co 5.5 </w:t>
        </w:r>
      </w:hyperlink>
      <w:r>
        <w:t xml:space="preserve">; </w:t>
      </w:r>
      <w:hyperlink r:id="rId528">
        <w:r>
          <w:rPr>
            <w:color w:val="0000EE"/>
            <w:u w:val="single"/>
          </w:rPr>
          <w:t>1Tm 1.20</w:t>
        </w:r>
      </w:hyperlink>
      <w:r>
        <w:t>). Toutefois, Dieu reste le maître et les efforts de Satan échoueront. Dieu finira par le détruire (</w:t>
      </w:r>
      <w:hyperlink r:id="rId251">
        <w:r>
          <w:rPr>
            <w:color w:val="0000EE"/>
            <w:u w:val="single"/>
          </w:rPr>
          <w:t xml:space="preserve">Rm 16.20 </w:t>
        </w:r>
      </w:hyperlink>
      <w:r>
        <w:t xml:space="preserve">; </w:t>
      </w:r>
      <w:hyperlink r:id="rId5930">
        <w:r>
          <w:rPr>
            <w:color w:val="0000EE"/>
            <w:u w:val="single"/>
          </w:rPr>
          <w:t>Ap 20.10</w:t>
        </w:r>
      </w:hyperlink>
      <w:r>
        <w:t>).</w:t>
      </w:r>
    </w:p>
    <w:p>
      <w:r/>
      <w:r>
        <w:rPr>
          <w:i/>
        </w:rPr>
        <w:t>Voir aussi</w:t>
      </w:r>
      <w:r>
        <w:t xml:space="preserve"> </w:t>
      </w:r>
      <w:r>
        <w:t>ange</w:t>
      </w:r>
      <w:r>
        <w:t xml:space="preserve"> ; </w:t>
      </w:r>
      <w:r>
        <w:t>démon</w:t>
      </w:r>
      <w:r>
        <w:t xml:space="preserve"> ; </w:t>
      </w:r>
      <w:r>
        <w:t>possession démoniaque</w:t>
      </w:r>
      <w:r>
        <w:t xml:space="preserve"> ; </w:t>
      </w:r>
      <w:r>
        <w:t>Lucifer</w:t>
      </w:r>
      <w:r>
        <w:t>.</w:t>
      </w:r>
      <w:r/>
      <w:r/>
    </w:p>
    <w:p>
      <w:r/>
    </w:p>
    <w:p>
      <w:pPr>
        <w:pStyle w:val="Heading2"/>
      </w:pPr>
      <w:r>
        <w:t>Satrape</w:t>
      </w:r>
      <w:r/>
    </w:p>
    <w:p>
      <w:r/>
      <w:r>
        <w:t>Gouverneur détenant l'autorité légale sur un certain nombre de provinces dans le territoire du roi. Cet officiel représentait le roi dans les affaires civiles et militaires. Il maintenait le roi au pouvoir dans l'ensemble de l'empire. Les satrapes figuraient parmi les officiers de haut rang des empires babylonien et perse (</w:t>
      </w:r>
      <w:hyperlink r:id="rId13601">
        <w:r>
          <w:rPr>
            <w:color w:val="0000EE"/>
            <w:u w:val="single"/>
          </w:rPr>
          <w:t>Esd 8.36</w:t>
        </w:r>
      </w:hyperlink>
      <w:r>
        <w:t xml:space="preserve"> ; </w:t>
      </w:r>
      <w:hyperlink r:id="rId13602">
        <w:r>
          <w:rPr>
            <w:color w:val="0000EE"/>
            <w:u w:val="single"/>
          </w:rPr>
          <w:t>Est 3.12</w:t>
        </w:r>
      </w:hyperlink>
      <w:r>
        <w:t xml:space="preserve"> ; </w:t>
      </w:r>
      <w:hyperlink r:id="rId13603">
        <w:r>
          <w:rPr>
            <w:color w:val="0000EE"/>
            <w:u w:val="single"/>
          </w:rPr>
          <w:t>9.3</w:t>
        </w:r>
      </w:hyperlink>
      <w:r>
        <w:t xml:space="preserve"> ; </w:t>
      </w:r>
      <w:hyperlink r:id="rId13604">
        <w:r>
          <w:rPr>
            <w:color w:val="0000EE"/>
            <w:u w:val="single"/>
          </w:rPr>
          <w:t>Dn 6.1–7</w:t>
        </w:r>
      </w:hyperlink>
      <w:r>
        <w:t>).</w:t>
      </w:r>
      <w:r/>
      <w:r/>
    </w:p>
    <w:p>
      <w:r/>
    </w:p>
    <w:p>
      <w:pPr>
        <w:pStyle w:val="Heading2"/>
      </w:pPr>
      <w:r>
        <w:t>Saül, Saul</w:t>
      </w:r>
      <w:r/>
    </w:p>
    <w:p>
      <w:r/>
      <w:r>
        <w:t xml:space="preserve">Nom signifiant « demandé » (« demandé </w:t>
      </w:r>
      <w:r>
        <w:rPr>
          <w:i/>
        </w:rPr>
        <w:t>de Dieu</w:t>
      </w:r>
      <w:r>
        <w:t xml:space="preserve"> » étant sous-entendu). Ce nom remonte à des temps prébibliques : il est attesté dans des textes du troisième millénaire trouvés en Syrie (anciennement Ebla), à Tell Mardikh. Le nom semble également avoir été utilisé au deuxième millénaire dans la ville d'Ougarit sur la côte de Syrie.</w:t>
      </w:r>
    </w:p>
    <w:p>
      <w:r/>
      <w:r>
        <w:t>Le roi Saül est le porteur le plus célèbre du nom, mais une autre personne appelée Saül est mentionnée dans l'Ancien Testament, bien que l'on sache peu de choses à son sujet.</w:t>
      </w:r>
    </w:p>
    <w:p>
      <w:r/>
      <w:r>
        <w:t>1. Saül, roi d'Édom, est mentionné dans une ancienne liste de rois qui ont régné sur Édom (en Transjordanie) à l'époque pré-israélite (</w:t>
      </w:r>
      <w:hyperlink r:id="rId13605">
        <w:r>
          <w:rPr>
            <w:color w:val="0000EE"/>
            <w:u w:val="single"/>
          </w:rPr>
          <w:t>Gn 36.37–38</w:t>
        </w:r>
      </w:hyperlink>
      <w:r>
        <w:t xml:space="preserve"> ; </w:t>
      </w:r>
      <w:hyperlink r:id="rId13606">
        <w:r>
          <w:rPr>
            <w:color w:val="0000EE"/>
            <w:u w:val="single"/>
          </w:rPr>
          <w:t>1Ch 1.48–49</w:t>
        </w:r>
      </w:hyperlink>
      <w:r>
        <w:t>). Il est décrit comme venant de « Rehoboth sur le fleuve », le « fleuve » faisant peut-être référence à une petite rivière dans les environs d'Édom.</w:t>
      </w:r>
    </w:p>
    <w:p>
      <w:r/>
      <w:r>
        <w:t>2. Saül, le premier roi d'Israël, est la personne la plus connue et documentée portant ce nom dans l'Ancien Testament. Il était membre de la tribu de Benjamin, l'une des plus petites tribus israélites, dont le territoire se situait juste au nord de la ville cananéenne de Jérusalem. Son père était Kis, fils d'Abiel. Saül est né à Guibéa, une petite ville à quelques kilomètres au nord de Jérusalem dans la région montagneuse, et en dehors de ses voyages et expéditions militaires, Guibéa est restée sa ville natale toute sa vie. Il était marié à Achinoam, et avait cinq enfants : trois fils et deux filles (</w:t>
      </w:r>
      <w:hyperlink r:id="rId13607">
        <w:r>
          <w:rPr>
            <w:color w:val="0000EE"/>
            <w:u w:val="single"/>
          </w:rPr>
          <w:t>1S 14.49–50</w:t>
        </w:r>
      </w:hyperlink>
      <w:r>
        <w:t>). Son fils le plus connu, Jonathan, l'a ensuite servi dans un rôle militaire de rang supérieur ; les trois fils de Saül sont morts avec lui au combat (</w:t>
      </w:r>
      <w:hyperlink r:id="rId13608">
        <w:r>
          <w:rPr>
            <w:color w:val="0000EE"/>
            <w:u w:val="single"/>
          </w:rPr>
          <w:t>31.2</w:t>
        </w:r>
      </w:hyperlink>
      <w:r>
        <w:t>). Parmi ses deux filles, la plus connue est Mical, la cadette, qui a épousé David.</w:t>
      </w:r>
    </w:p>
    <w:p>
      <w:r/>
      <w:r>
        <w:t>Saül le soldat</w:t>
      </w:r>
    </w:p>
    <w:p>
      <w:r/>
      <w:r>
        <w:t>Saül a vécu pendant une période critique de l'histoire des tribus israélites. Bien que les dates ne puissent être déterminées avec certitude, il a vécu pendant la seconde moitié du 11e siècle av. J.‑C. et a probablement régné comme roi d'environ 1020 à 1000 av. J.‑C. Avant de devenir roi, les tribus israélites étaient au bord de l'effondrement militaire. Les Philistins, un peuple militaire puissant, s'étaient installés le long de la côte méditerranéenne ; ils étaient bien établis sur la côte et prévoyaient de se déplacer vers l'est pour prendre le contrôle de la Palestine dans son ensemble. Pour ce faire, ils devaient d'abord éliminer les Israélites, qui étaient installés dans les régions montagneuses à l'ouest du Jourdain et aussi en Transjordanie. L'absence de toute autorité militaire forte et permanente parmi les Israélites signifiait que les Philistins représentaient une grave menace militaire pour l'existence continue d'Israël.</w:t>
      </w:r>
    </w:p>
    <w:p>
      <w:r/>
      <w:r>
        <w:t>La crise immédiate, qui contribuera à l'ascension de Saül au pouvoir, se soldera par une défaite écrasante de l'armée israélite par les Philistins à Ében-Ézer, dans les environs d'Aphek (</w:t>
      </w:r>
      <w:hyperlink r:id="rId13609">
        <w:r>
          <w:rPr>
            <w:color w:val="0000EE"/>
            <w:u w:val="single"/>
          </w:rPr>
          <w:t>1S 4.1ff</w:t>
        </w:r>
      </w:hyperlink>
      <w:r>
        <w:t>). La victoire donnera aux Philistins un contrôle plus ou moins complet des territoires israélites situés à l'ouest du Jourdain ; ils tenteront de maintenir ce contrôle en établissant des garnisons militaires dans tout le pays qu'ils avaient capturé. Israël, affaibli par la défaite face aux Philistins, était devenu vulnérable aux ennemis sur d'autres frontières. La nation d'Ammon, située à l'est du territoire des Israélites en Transjordanie, attaquera et assiégera la ville de Jabès (</w:t>
      </w:r>
      <w:hyperlink r:id="rId13610">
        <w:r>
          <w:rPr>
            <w:color w:val="0000EE"/>
            <w:u w:val="single"/>
          </w:rPr>
          <w:t>11.1</w:t>
        </w:r>
      </w:hyperlink>
      <w:r>
        <w:t xml:space="preserve">). Saül, rassemblant une armée de volontaires, délivrera les habitants de Jabès et triomphera des Ammonites (v. </w:t>
      </w:r>
      <w:hyperlink r:id="rId7658">
        <w:r>
          <w:rPr>
            <w:color w:val="0000EE"/>
            <w:u w:val="single"/>
          </w:rPr>
          <w:t>11</w:t>
        </w:r>
      </w:hyperlink>
      <w:r>
        <w:t xml:space="preserve">). C'est après cet événement que Saül devindra roi. Il avait déjà été oint prince ou chef parmi le peuple par Samuel ; après son succès militaire à Jabesch, il assumera officiellement la fonction au sanctuaire de Guilgal (v. </w:t>
      </w:r>
      <w:hyperlink r:id="rId8145">
        <w:r>
          <w:rPr>
            <w:color w:val="0000EE"/>
            <w:u w:val="single"/>
          </w:rPr>
          <w:t>15</w:t>
        </w:r>
      </w:hyperlink>
      <w:r>
        <w:t>).</w:t>
      </w:r>
    </w:p>
    <w:p>
      <w:r/>
      <w:r>
        <w:t>La défaite des Ammonites donnera un coup de pouce significatif au moral des Israélites, mais elle ne changera rien à la crise militaire ni à la menace posée par les Philistins. En effet, le lieu où Saül est nommé roi est significatif. Guilgal, dans la vallée du Jourdain près de Jéricho, sera choisi en partie parce que le sanctuaire antérieur de Shiloh se trouvait sous le contrôle des Philistins. Guilgal se trouvait dans l'une des rares zones qui n'était pas sous l'emprise philistine. Ainsi, pour que la royauté de Saül ait un sens, il devra s'attaquer immédiatement au problème philistin ; s'il ne le faisait pas, il n'y aurait pas d'Israël au sens propre sur lequel régner.</w:t>
      </w:r>
    </w:p>
    <w:p>
      <w:r/>
      <w:r>
        <w:t xml:space="preserve">Saül agit rapidement. Bien que les détails historiques précis soient difficiles à reconstituer, une vision générale de la campagne anti-Philistine de Saül est fournie dans le texte biblique. Il attaquera des garnisons à Guibea et, plus tard, à </w:t>
      </w:r>
      <w:r>
        <w:t>Micmasch</w:t>
      </w:r>
      <w:r>
        <w:t>, à environ 6 km au nord-est de Guibea (</w:t>
      </w:r>
      <w:hyperlink r:id="rId13611">
        <w:r>
          <w:rPr>
            <w:color w:val="0000EE"/>
            <w:u w:val="single"/>
          </w:rPr>
          <w:t>1S 13.16ff</w:t>
        </w:r>
      </w:hyperlink>
      <w:r>
        <w:t xml:space="preserve">). Il connaîtra un grand succès à </w:t>
      </w:r>
      <w:r>
        <w:t>Micmasch</w:t>
      </w:r>
      <w:r>
        <w:t>, grâce en partie à l'aide militaire de son fils Jonathan. Les Philistins seront mis en déroute et se retireront de cette partie de la région montagneuse (</w:t>
      </w:r>
      <w:hyperlink r:id="rId13612">
        <w:r>
          <w:rPr>
            <w:color w:val="0000EE"/>
            <w:u w:val="single"/>
          </w:rPr>
          <w:t>14.15–23</w:t>
        </w:r>
      </w:hyperlink>
      <w:r>
        <w:t xml:space="preserve">). Saül établira sa base militaire dans sa ville natale, </w:t>
      </w:r>
      <w:r>
        <w:t>Guibea</w:t>
      </w:r>
      <w:r>
        <w:t>, et y construira une citadelle.</w:t>
      </w:r>
    </w:p>
    <w:p>
      <w:r/>
      <w:r>
        <w:t>Dans les années qui suivront cette campagne initiale contre les Philistins, Saül aura constamment à conduire des activités militaires. Il continuera à combattre les ennemis sur ses frontières orientales, en particulier Ammon et Moab, à l'est de la mer Morte (</w:t>
      </w:r>
      <w:hyperlink r:id="rId3545">
        <w:r>
          <w:rPr>
            <w:color w:val="0000EE"/>
            <w:u w:val="single"/>
          </w:rPr>
          <w:t>1S 14.47</w:t>
        </w:r>
      </w:hyperlink>
      <w:r>
        <w:t>). Il mènera une campagne majeure à la frontière sud avec les anciens ennemis des Israélites, les Amalécites (</w:t>
      </w:r>
      <w:hyperlink r:id="rId6216">
        <w:r>
          <w:rPr>
            <w:color w:val="0000EE"/>
            <w:u w:val="single"/>
          </w:rPr>
          <w:t>15.7</w:t>
        </w:r>
      </w:hyperlink>
      <w:r>
        <w:t>) ; dans celle-ci aussi, il connaîtra du succès. Pendant tout ce temps, il devra garder une surveillance constante sur l'activité philistine à sa frontière occidentale.</w:t>
      </w:r>
    </w:p>
    <w:p>
      <w:r/>
      <w:r>
        <w:t>Saül faisait face à une tâche extrêmement difficile en tant que commandant militaire. Son territoire avait l'avantage d'être relativement facile à protéger, car il s'agissait principalement d'une région montagneuse. Cependant, il était entouré de toutes parts par des ennemis qui convoitaient sa terre, il disposait d'armes inadéquates (les Philistins contrôlaient l'approvisionnement en fer), il n'avait pas de grande armée permanente, ses systèmes de communication étaient insuffisants, et il ne bénéficiait pas du soutien total de tous les Israélites. Pendant plusieurs années, il connaîtra un succès relatif face à des obstacles presque insurmontables, mais son génie militaire finira par échouer.</w:t>
      </w:r>
    </w:p>
    <w:p>
      <w:r/>
      <w:r>
        <w:t>Les Philistins assembleront une grande armée dans les environs d'Aphek (</w:t>
      </w:r>
      <w:hyperlink r:id="rId1004">
        <w:r>
          <w:rPr>
            <w:color w:val="0000EE"/>
            <w:u w:val="single"/>
          </w:rPr>
          <w:t>1S 29.1</w:t>
        </w:r>
      </w:hyperlink>
      <w:r>
        <w:t xml:space="preserve">), mais au lieu d'attaquer directement le territoire montagneux de Saül, l'armée se déplacera vers le nord puis commencera à pénétrer dans le territoire israélite à un point faible près de Jizreel (v. </w:t>
      </w:r>
      <w:hyperlink r:id="rId13613">
        <w:r>
          <w:rPr>
            <w:color w:val="0000EE"/>
            <w:u w:val="single"/>
          </w:rPr>
          <w:t>11</w:t>
        </w:r>
      </w:hyperlink>
      <w:r>
        <w:t>). Saül tentera de rassembler une force militaire adéquate pour faire face à la menace philistine, mais il n'y parviendra pas. Avec une préparation inadéquate et des forces insuffisantes, il se préparera au combat au mont Gilboa (</w:t>
      </w:r>
      <w:hyperlink r:id="rId13614">
        <w:r>
          <w:rPr>
            <w:color w:val="0000EE"/>
            <w:u w:val="single"/>
          </w:rPr>
          <w:t>31.1</w:t>
        </w:r>
      </w:hyperlink>
      <w:r>
        <w:t xml:space="preserve">) ; il n'aurait jamais dû engager le combat, car elle ne pouvait pas être gagnée. Ses fils seront tués sur le champ de bataille, et Saül, plutôt que de tomber entre les mains des Philistins, se suicidera (v. </w:t>
      </w:r>
      <w:hyperlink r:id="rId13615">
        <w:r>
          <w:rPr>
            <w:color w:val="0000EE"/>
            <w:u w:val="single"/>
          </w:rPr>
          <w:t>2–6</w:t>
        </w:r>
      </w:hyperlink>
      <w:r>
        <w:t>).</w:t>
      </w:r>
    </w:p>
    <w:p>
      <w:r/>
      <w:r>
        <w:t>D'un point de vue militaire, Saül était devenu roi en temps de crise ; il a évité le pire et obtenu un répit pour son pays. Cependant, la bataille dans laquelle il est mort sera un désastre pour Israël ; le pays qu'il laissera derrière lui après sa mort était dans un état pire qu'à son accession au pouvoir.</w:t>
      </w:r>
    </w:p>
    <w:p>
      <w:r/>
      <w:r>
        <w:t>Saül, le roi</w:t>
      </w:r>
    </w:p>
    <w:p>
      <w:r/>
      <w:r>
        <w:t>Si Saül a eu une tâche difficile en tant que commandant militaire d'Israël, il sa tâche de roi d'Israël aura été encore plus ardue. Avant l'époque de Saül, il n'y avait pas eu de roi en Israël. L'absence de toute forme de monarchie en Israël était en grande partie une question religieuse. Dieu était le seul et unique vrai Roi d'Israël ; c'était lui qui régnait (</w:t>
      </w:r>
      <w:hyperlink r:id="rId13616">
        <w:r>
          <w:rPr>
            <w:color w:val="0000EE"/>
            <w:u w:val="single"/>
          </w:rPr>
          <w:t>Ex 15.18</w:t>
        </w:r>
      </w:hyperlink>
      <w:r>
        <w:t>). Par conséquent, bien qu'il y ait eu des dirigeants uniques et puissants dans l'histoire antérieure d'Israël (Moïse, Josué et certains juges), personne n'avait assumé le titre ou la fonction de roi, car on pensait que cela saperait la position centrale de Dieu en tant que Roi. Cependant, une disposition avait été prise pour l'émergence de la royauté dans la loi (</w:t>
      </w:r>
      <w:hyperlink r:id="rId13617">
        <w:r>
          <w:rPr>
            <w:color w:val="0000EE"/>
            <w:u w:val="single"/>
          </w:rPr>
          <w:t>Dt 19.14–20</w:t>
        </w:r>
      </w:hyperlink>
      <w:r>
        <w:t xml:space="preserve">) ; pour plus d'informations sur la royauté en Israël, </w:t>
      </w:r>
      <w:r>
        <w:rPr>
          <w:i/>
        </w:rPr>
        <w:t>voir</w:t>
      </w:r>
      <w:r>
        <w:t xml:space="preserve"> Roi, Royauté.</w:t>
      </w:r>
    </w:p>
    <w:p>
      <w:r/>
      <w:r>
        <w:t>C'est par pure nécessité qu'une monarchie a été instaurée en Israël, nécessité créée par la menace militaire constante des Philistins. Une menace extérieure brève aurait pu être contrée par un dirigeant temporaire (un juge). Mais une menace permanente et sérieuse pour l'existence d'Israël ne pouvait être déjouée par de telles mesures temporaires. Si Israël devait survivre en tant que nation (et il a failli ne pas le faire), il avait besoin d'un gouvernement militaire central avec une autorité reconnue sur les diverses tribus qui constituaient la nation d'Israël. Ainsi, le royaume a été établi et Saül est devenu le premier roi, faisant face à d'incroyables difficultés.</w:t>
      </w:r>
    </w:p>
    <w:p>
      <w:r/>
      <w:r>
        <w:t>Comme il n'y avait jamais eu de royaume auparavant en Israël, il n'y avait pas de précédent. Quelles seraient ses responsabilités ? Elles étaient principalement militaires, car c'était là la raison pour laquelle la monarchie avait été établie. Dans ce domaine, Saül a connu du succès dans les premières années de son règne. Cependant, en dehors de ses responsabilités militaires, le roi Saül faisait face à une tâche extrêmement difficile. Étant donné la nature de la théologie hébraïque, il était inévitable que de nombreux Israélites s'opposent à l'idée de royauté dès le début. En effet, Samuel, qui a joué un rôle clé dans l'onction initiale de Saül puis dans son couronnement formel, semble avoir eu des attitudes ambiguës envers la royauté (</w:t>
      </w:r>
      <w:hyperlink r:id="rId13618">
        <w:r>
          <w:rPr>
            <w:color w:val="0000EE"/>
            <w:u w:val="single"/>
          </w:rPr>
          <w:t>1S 8.6</w:t>
        </w:r>
      </w:hyperlink>
      <w:r>
        <w:t>), et plus tard envers Saül lui-même (</w:t>
      </w:r>
      <w:hyperlink r:id="rId3777">
        <w:r>
          <w:rPr>
            <w:color w:val="0000EE"/>
            <w:u w:val="single"/>
          </w:rPr>
          <w:t>15.23</w:t>
        </w:r>
      </w:hyperlink>
      <w:r>
        <w:t>). De plus, personne n'avait précisé exactement ce que pouvait faire le chef. Il était clair qu'il était un soldat. Mais avait-il aussi des responsabilités religieuses ? Bien que le jugement de l'histoire sur Saül soit souvent sévère, il est sage de se rappeler la difficulté de la tâche qu'il a entreprise. Les problèmes militaires à eux seuls auraient été plus que suffisants pour la plupart des grands hommes ; Saül devait aussi façonner le nouveau rôle de roi. Dans les affaires pratiques, le leadership de Saül était modeste et louable. Il ne recherchait ni la pompe ni la splendeur connue par de nombreux rois orientaux. Il avait une petite cour, située dans sa forteresse militaire de Gibea ; il y a peu de preuves qu'elle était caractérisée par une grande richesse. À des fins pratiques, il n'avait pas d'armée permanente ; il avait seulement quelques hommes proches de lui, en particulier son fils Jonathan et son général Abner. Il recherchait également de jeunes hommes prometteurs, comme David. La cour de Saül était rustique et féodale comparé à la splendeur ultérieure de David et Salomon. Mais Saül, en tant que leader national, a rencontré des difficultés avec Samuel, qui l'avait nommé et avait eu un rôle d'influence en Israël avant sa royauté. Bien que la responsabilité des problèmes puisse incomber principalement à Saül, Samuel lui-même ne semble pas avoir été particulièrement solidaire et serviable. À une occasion, Saül a été sévèrement critiqué et condamné par Samuel pour avoir assumé le rôle sacerdotal d'offrir des sacrifices en l'absence de Samuel à Guilgal (</w:t>
      </w:r>
      <w:hyperlink r:id="rId13619">
        <w:r>
          <w:rPr>
            <w:color w:val="0000EE"/>
            <w:u w:val="single"/>
          </w:rPr>
          <w:t>1S 13.8–15</w:t>
        </w:r>
      </w:hyperlink>
      <w:r>
        <w:t>). Le jugement était sans doute mérité, bien que l'on puisse percevoir le dilemme de Saül. Le roi avait-il un rôle sacerdotal ou non ? Cette question n'avait pas été clarifiée. De plus, Saül se trouvait dans un état de crise ; il avait attendu sept jours que Samuel se présente, et à mesure que chaque jour passait, son armée se réduisait à cause de déserteurs et Saül a donc agi. Peut-être ne peut-on pas l'excuser, mais on peut au moins aisément faire preuve de compréhension envers lui pour ses actions. L'incident lui-même est révélateur de la difficulté que représente le fait d'être le premier roi d'une nation. Une fois de plus, après la guerre contre les Amalécites, Saül a été soumis à une condamnation divine par l'intermédiaire de Samuel.</w:t>
      </w:r>
    </w:p>
    <w:p>
      <w:r/>
      <w:r>
        <w:t>Saül sera le premier roi d'Israël, mais pas le plus grand. Cependant, aucune critique du leadership de Saül ne devrait être sévère au point d'en oublier les forces. Il a affronté des difficultés extraordinaires et a connu du succès pendant un certain temps. Peu d'autres hommes auraient pu accomplir ce qu'il a fait. En fin de compte, il est mort dans l'échec, mais ses réalisations auraient pu mieux arriver à la postérité s'il avait été suivi par un autre leader que David. Les dons et la compétence de David étaient si remarquables et inhabituels que les modestes réalisations de Saül ont pâli face à eux et seuls ses échecs sont retenus.</w:t>
      </w:r>
    </w:p>
    <w:p>
      <w:r/>
      <w:r>
        <w:t>Saül l’homme</w:t>
      </w:r>
    </w:p>
    <w:p>
      <w:r/>
      <w:r>
        <w:t>Les auteurs de l'Ancien Testament présentent l'histoire de Saül de manière fascinante. Alors que certains personnages de l'Ancien Testament restent des figures obscures, Saül se distingue, avec toutes ses forces et ses faiblesses, comme une figure pleinement humaine. Il était, à bien des égards, un grand homme, mais il y avait aussi des défauts dans sa personnalité qui ont émergé de plus en plus dans les dernières années de sa vie. Né d'un père riche, Saül est décrit comme étant grand et beau (</w:t>
      </w:r>
      <w:hyperlink r:id="rId13620">
        <w:r>
          <w:rPr>
            <w:color w:val="0000EE"/>
            <w:u w:val="single"/>
          </w:rPr>
          <w:t>1S 9.1–2</w:t>
        </w:r>
      </w:hyperlink>
      <w:r>
        <w:t>). C'était un homme d'un immense courage, et une partie de son succès militaire était enracinée dans son intrépidité. Dans ses premières années en tant que roi, Saül est dépeint comme un homme dont les instincts de base étaient généreux ; il était gentil et loyal envers ses amis et ne gardait pas facilement rancune ou haine envers ceux qui s'opposaient à lui (</w:t>
      </w:r>
      <w:hyperlink r:id="rId13621">
        <w:r>
          <w:rPr>
            <w:color w:val="0000EE"/>
            <w:u w:val="single"/>
          </w:rPr>
          <w:t>11.12–13</w:t>
        </w:r>
      </w:hyperlink>
      <w:r>
        <w:t>). Mais la véritable force de Saül, dans ses premiers jours, résidait dans sa relation avec Dieu. Malgré tous ses dons et capacités naturels, Saül est devenu roi à la suite d'une nomination divine (</w:t>
      </w:r>
      <w:hyperlink r:id="rId1569">
        <w:r>
          <w:rPr>
            <w:color w:val="0000EE"/>
            <w:u w:val="single"/>
          </w:rPr>
          <w:t>10.1</w:t>
        </w:r>
      </w:hyperlink>
      <w:r>
        <w:t xml:space="preserve">) et à cause du fait que l'« Esprit du Seigneur » est venu sur lui (v. </w:t>
      </w:r>
      <w:hyperlink r:id="rId4039">
        <w:r>
          <w:rPr>
            <w:color w:val="0000EE"/>
            <w:u w:val="single"/>
          </w:rPr>
          <w:t>6</w:t>
        </w:r>
      </w:hyperlink>
      <w:r>
        <w:t>).</w:t>
      </w:r>
    </w:p>
    <w:p>
      <w:r/>
      <w:r>
        <w:t>Dans sa vie ultérieure, un changement s'est opéré chez Saül, le transformant en une personne tragique et pitoyable. Les nombreux incidents dans la relation de Saül avec le jeune David offrent un aperçu de cette transformation. Autrefois ami, puis perçu comme un ennemi, David est devenu l'objet des soupçons infondés et de la jalousie irrationnelle de Saül. Les périodes de lucidité de Saül étaient ponctuées par des périodes de dépression et de paranoïa. La paranoïa affectait sa pensée rationnelle. Au lieu de combattre les Philistins envahisseurs, son énergie sera détournée vers la poursuite de David. Les auteurs bibliques décrivent ce changement comme le retrait de l'Esprit de Dieu d'auprès de Saül et comme une tourmente survenue aux mains d'un esprit mauvais venu du Seigneur (</w:t>
      </w:r>
      <w:hyperlink r:id="rId13622">
        <w:r>
          <w:rPr>
            <w:color w:val="0000EE"/>
            <w:u w:val="single"/>
          </w:rPr>
          <w:t>1S 16.14</w:t>
        </w:r>
      </w:hyperlink>
      <w:r>
        <w:t>). De nombreux auteurs modernes ont interprété cela comme le début d'une forme de maladie mentale, peut-être une maniaco-dépression, avec l'alternance entre des périodes actives et lucides, suivies de dépression intense et de paranoïa. Il y a, toutefois, un certain danger à psychanalyser les figures de l'histoire antique, principalement parce que les sources littéraires sont rarement adéquates pour cette tâche. Les auteurs bibliques ont indiqué une base théologique pour le changement chez Saül : c'est l'Esprit de Dieu qui s'était retiré de lui. D'un point de vue purement humain, l'homme n'était pas à la hauteur de l'énormité de la tâche qui l'attendait. Submergé par sa complexité et manquant de foi en celui qui l'avait nommé à une si grande responsabilité, Saül terminera ses jours dans la tragédie.</w:t>
      </w:r>
    </w:p>
    <w:p>
      <w:r/>
      <w:r>
        <w:rPr>
          <w:i/>
        </w:rPr>
        <w:t>Voir aussi</w:t>
      </w:r>
      <w:r>
        <w:t xml:space="preserve"> </w:t>
      </w:r>
      <w:r>
        <w:t>David</w:t>
      </w:r>
      <w:r>
        <w:t>.</w:t>
      </w:r>
    </w:p>
    <w:p>
      <w:r/>
      <w:r>
        <w:t>3. Saul, mentionné dans le Nouveau Testament, dont le nom sera changé en Paul (</w:t>
      </w:r>
      <w:hyperlink r:id="rId152">
        <w:r>
          <w:rPr>
            <w:color w:val="0000EE"/>
            <w:u w:val="single"/>
          </w:rPr>
          <w:t>Ac 13.9</w:t>
        </w:r>
      </w:hyperlink>
      <w:r>
        <w:t xml:space="preserve">). </w:t>
      </w:r>
      <w:r>
        <w:rPr>
          <w:i/>
        </w:rPr>
        <w:t>Voir</w:t>
      </w:r>
      <w:r>
        <w:t xml:space="preserve"> </w:t>
      </w:r>
      <w:r>
        <w:t>Paul, L'Apôtre</w:t>
      </w:r>
      <w:r>
        <w:t>.</w:t>
      </w:r>
      <w:r/>
      <w:r/>
    </w:p>
    <w:p>
      <w:r/>
    </w:p>
    <w:p>
      <w:pPr>
        <w:pStyle w:val="Heading2"/>
      </w:pPr>
      <w:r>
        <w:t>Sceau</w:t>
      </w:r>
      <w:r/>
    </w:p>
    <w:p>
      <w:r/>
      <w:r>
        <w:t>Petit objet gravé, utilisé très largement dans le Proche-Orient Ancien pour produire une image dans de l'argile molle.</w:t>
      </w:r>
    </w:p>
    <w:p>
      <w:pPr>
        <w:pStyle w:val="Heading3"/>
      </w:pPr>
      <w:r>
        <w:t>Origine</w:t>
      </w:r>
    </w:p>
    <w:p>
      <w:r/>
      <w:r>
        <w:t>L'origine exacte des sceaux ne peut être déterminée. Le premier sceau s'est probablement développé à partir de l'amulette, dont le but était de protéger son porteur ou de repousser le mal. À une certaine époque, on croyait qu'un sceau possédait une sorte de pouvoir protecteur magique qui apporterait une malédiction ou un préjudice à la personne non autorisée qui osait le briser pour obtenir le contenu qu'il protégeait. Les sceaux primitifs n'étaient guère plus que de minuscules bobines d'argile griffonnées avec des brindilles pour produire des motifs ou des figures simples. L'art glyptique (le nom technique pour la gravure ou la sculpture de sceaux sur des gemmes) a prospéré dans le Proche-Orient Ancien du 4e millénaire avant J.‑C. jusqu'à la fin de la période perse au 4e siècle avant J.‑C.</w:t>
      </w:r>
    </w:p>
    <w:p>
      <w:pPr>
        <w:pStyle w:val="Heading3"/>
      </w:pPr>
      <w:r>
        <w:t>Types de seaux</w:t>
      </w:r>
    </w:p>
    <w:p>
      <w:pPr>
        <w:pStyle w:val="Heading4"/>
      </w:pPr>
      <w:r>
        <w:t>Tampons et sceaux</w:t>
      </w:r>
    </w:p>
    <w:p>
      <w:r/>
      <w:r>
        <w:t>Les sceaux étaient produits sous de nombreuses formes et tailles, le plus ancien étant le sceau à tampon, une gemme ou perle plate gravée qui produisait une copie d'elle-même lorsqu'elle était pressée contre de l'argile molle. Il a été supplanté vers 3 000 av. J.‑C. en Mésopotamie par le sceau-cylindre et a commencé à être utilisé à nouveau seulement à la fin du 8e siècle av. J.‑C. À l'époque hellénistique, il avait complètement remplacé le sceau-cylindre.</w:t>
      </w:r>
    </w:p>
    <w:p>
      <w:pPr>
        <w:pStyle w:val="Heading4"/>
      </w:pPr>
      <w:r>
        <w:t>Sceaux-cylindres</w:t>
      </w:r>
    </w:p>
    <w:p>
      <w:r/>
      <w:r>
        <w:t>Le sceau-cylindre est apparu pour la première fois en Mésopotamie avant 3000 av. J.‑C. et est devenu le type de sceau le plus largement utilisé jusqu'au milieu du premier millénaire av. J.‑C. Son utilisation en Égypte témoigne de l'influence culturelle mésopotamienne précoce sur l'Égypte ; cependant, il y a rapidement été remplacé par le sceau en forme de scarabée, mieux adapté pour sceller les documents en papyrus. Des symboles ou des motifs étaient gravés à l'extérieur du cylindre, laissant leur empreinte lorsque le sceau était roulé sur l'argile humide. Certains des premiers symboles utilisés étaient des motifs géométriques ou des représentations de symboles magiques. Plus tard, les sceaux représentaient toutes sortes de choses, de la mythologie (divinités assises conversant entre elles, recevant des adorateurs en audience, naviguant dans un bateau ou un char, ou combattant un ennemi) à des scènes de la vie quotidienne (chasse, mariage, banquet, alimentation des animaux, combat contre des bêtes sauvages, offrande de sacrifices à la divinité, guerre, conduite de prisonniers) et des représentations d'animaux, de fleurs et d'oiseaux. L'écriture (par exemple, le nom du propriétaire ou une déclaration de loyauté envers un dieu ou un roi) a commencé à apparaître sur les sceaux au troisième millénaire av. J.‑C. En raison du grand nombre et de la variété des sceaux qui ont été découverts, ils sont inestimables pour ce qu'ils révèlent sur les peuples anciens : comment ils s'habillaient, leurs coiffures, leurs meubles, leurs ustensiles et leurs croyances religieuses.</w:t>
      </w:r>
    </w:p>
    <w:p>
      <w:r/>
      <w:r>
        <w:t xml:space="preserve">Les sceaux étaient si largement utilisés et ont été découverts en telle quantité dans le Proche-Orient Ancien qu'ils peuvent être datés à un ou deux siècles près de leur origine, bien qu'il soit parfois difficile de déterminer la période exacte ou le pays d'origine. Hérodote a observé que chaque homme babylonien de bonne société « porte un sceau et une canne » (Livre I, 195). Le sceau était suspendu par une corde autour du cou ou du poignet, ou attaché à une partie des vêtements du propriétaire (cf. </w:t>
      </w:r>
      <w:hyperlink r:id="rId13623">
        <w:r>
          <w:rPr>
            <w:color w:val="0000EE"/>
            <w:u w:val="single"/>
          </w:rPr>
          <w:t>Gn 38.18</w:t>
        </w:r>
      </w:hyperlink>
      <w:r>
        <w:t xml:space="preserve"> ; </w:t>
      </w:r>
      <w:hyperlink r:id="rId464">
        <w:r>
          <w:rPr>
            <w:color w:val="0000EE"/>
            <w:u w:val="single"/>
          </w:rPr>
          <w:t>41.42</w:t>
        </w:r>
      </w:hyperlink>
      <w:r>
        <w:t xml:space="preserve"> ; </w:t>
      </w:r>
      <w:hyperlink r:id="rId13624">
        <w:r>
          <w:rPr>
            <w:color w:val="0000EE"/>
            <w:u w:val="single"/>
          </w:rPr>
          <w:t>Ct 8.6</w:t>
        </w:r>
      </w:hyperlink>
      <w:r>
        <w:t xml:space="preserve"> ; </w:t>
      </w:r>
      <w:hyperlink r:id="rId7372">
        <w:r>
          <w:rPr>
            <w:color w:val="0000EE"/>
            <w:u w:val="single"/>
          </w:rPr>
          <w:t>Jr 22.24</w:t>
        </w:r>
      </w:hyperlink>
      <w:r>
        <w:t>). Des tombes ont été trouvées avec des cylindres attachés aux poignets des squelettes.</w:t>
      </w:r>
    </w:p>
    <w:p>
      <w:r/>
      <w:r>
        <w:t>Un autre type de sceau était le sceau de poignée de jarre. Un tissu était placé sur le goulot d'une bouteille, de l'argile molle était étalée sur le cordon de liage, puis le sceau était pressé dans l'argile humide. Le sceau intact montrait que la marchandise n'avait pas été ouverte avant la livraison. En Judée, le sceau était imprimé sur les poignées de jarres comme preuve de propriété. Certains tampons de poignée de jarre étaient probablement des marques de fabrique de poteries ; certains portent des noms privés (peut-être celui du propriétaire de l'usine). Les tampons de poignée de jarre dits royaux contiennent soit un symbole à quatre ailes, soit à deux ailes, et une courte inscription composée de deux lignes. La ligne du dessus indique « appartenant au roi », et la ligne inférieure contient le nom d'une ville, probablement là où la jarre a été fabriquée.</w:t>
      </w:r>
    </w:p>
    <w:p>
      <w:pPr>
        <w:pStyle w:val="Heading3"/>
      </w:pPr>
      <w:r>
        <w:t>Usages</w:t>
      </w:r>
    </w:p>
    <w:p>
      <w:pPr>
        <w:pStyle w:val="Heading4"/>
      </w:pPr>
      <w:r>
        <w:t>Utilisations fonctionnelles</w:t>
      </w:r>
    </w:p>
    <w:p>
      <w:r/>
      <w:r>
        <w:t>Depuis leur première création en tant qu'amulettes, les sceaux ont continué à servir de symboles de protection. Un sceau intact prouvait que le contenu n'avait pas été altéré, que ce soit sur un document, une porte de grenier ou une jarre de vin. La fosse aux lions dans laquelle Daniel a été jeté a été scellée avec le sceau du roi et ceux de ses nobles (</w:t>
      </w:r>
      <w:hyperlink r:id="rId13625">
        <w:r>
          <w:rPr>
            <w:color w:val="0000EE"/>
            <w:u w:val="single"/>
          </w:rPr>
          <w:t>Dn 6.17</w:t>
        </w:r>
      </w:hyperlink>
      <w:r>
        <w:t>). Le tombeau de Jésus a été sécurisé en scellant la pierre (</w:t>
      </w:r>
      <w:hyperlink r:id="rId13626">
        <w:r>
          <w:rPr>
            <w:color w:val="0000EE"/>
            <w:u w:val="single"/>
          </w:rPr>
          <w:t>Mt 27.66</w:t>
        </w:r>
      </w:hyperlink>
      <w:r>
        <w:t>). Le sceau servait également de marque de propriété ou de marque de fabrique (par exemple, placé sur la poterie avant la cuisson). Il était aussi utilisé pour valider des documents (lettres, actes de vente, documents gouvernementaux, etc.). Jézabel a écrit des lettres au nom de son mari et les a scellées avec son sceau, provoquant ainsi la mort de Naboth (</w:t>
      </w:r>
      <w:hyperlink r:id="rId13627">
        <w:r>
          <w:rPr>
            <w:color w:val="0000EE"/>
            <w:u w:val="single"/>
          </w:rPr>
          <w:t>1R 21.8–13</w:t>
        </w:r>
      </w:hyperlink>
      <w:r>
        <w:t>). Jérémie a scellé un acte d'achat lorsqu'il a acheté le terrain d'un parent (</w:t>
      </w:r>
      <w:hyperlink r:id="rId13628">
        <w:r>
          <w:rPr>
            <w:color w:val="0000EE"/>
            <w:u w:val="single"/>
          </w:rPr>
          <w:t>Jr 32.10–14</w:t>
        </w:r>
      </w:hyperlink>
      <w:r>
        <w:t>). Un édit avec le sceau du roi perse ne pouvait pas être révoqué (</w:t>
      </w:r>
      <w:hyperlink r:id="rId4970">
        <w:r>
          <w:rPr>
            <w:color w:val="0000EE"/>
            <w:u w:val="single"/>
          </w:rPr>
          <w:t>Est 8.8</w:t>
        </w:r>
      </w:hyperlink>
      <w:r>
        <w:t>).</w:t>
      </w:r>
    </w:p>
    <w:p>
      <w:pPr>
        <w:pStyle w:val="Heading4"/>
      </w:pPr>
      <w:r>
        <w:t>Utilisation symbolique</w:t>
      </w:r>
    </w:p>
    <w:p>
      <w:r/>
      <w:r>
        <w:t xml:space="preserve">L'utilisation symbolique du sceau se trouve à la fois dans la littérature non biblique et biblique. Une prière babylonienne dit : « Comme un sceau, que mes péchés soient arrachés. » L'Ancien Testament dit : « </w:t>
      </w:r>
      <w:r>
        <w:t>Scelle cette révélation, parmi mes disciples</w:t>
      </w:r>
      <w:r>
        <w:t xml:space="preserve"> » (</w:t>
      </w:r>
      <w:hyperlink r:id="rId4170">
        <w:r>
          <w:rPr>
            <w:color w:val="0000EE"/>
            <w:u w:val="single"/>
          </w:rPr>
          <w:t>Es 8.16</w:t>
        </w:r>
      </w:hyperlink>
      <w:r>
        <w:t>). Zorobabel a été informé qu'il deviendrait l'anneau-sceau de Dieu (</w:t>
      </w:r>
      <w:hyperlink r:id="rId461">
        <w:r>
          <w:rPr>
            <w:color w:val="0000EE"/>
            <w:u w:val="single"/>
          </w:rPr>
          <w:t>Ag 2.23</w:t>
        </w:r>
      </w:hyperlink>
      <w:r>
        <w:t>). La terre a pris forme comme l'argile pressée par un anneau-sceau (</w:t>
      </w:r>
      <w:hyperlink r:id="rId13629">
        <w:r>
          <w:rPr>
            <w:color w:val="0000EE"/>
            <w:u w:val="single"/>
          </w:rPr>
          <w:t>Jb 38.14</w:t>
        </w:r>
      </w:hyperlink>
      <w:r>
        <w:t>).</w:t>
      </w:r>
    </w:p>
    <w:p>
      <w:r/>
      <w:r>
        <w:t>Le mot est utilisé symboliquement dans le Nouveau Testament pour désigner la propriété personnelle de Dieu. Par exemple, les Écritures disent que le sceau de Dieu se trouve sur Jésus, son Fils (</w:t>
      </w:r>
      <w:hyperlink r:id="rId13630">
        <w:r>
          <w:rPr>
            <w:color w:val="0000EE"/>
            <w:u w:val="single"/>
          </w:rPr>
          <w:t>Jn 3.33</w:t>
        </w:r>
      </w:hyperlink>
      <w:r>
        <w:t xml:space="preserve"> ; </w:t>
      </w:r>
      <w:hyperlink r:id="rId8703">
        <w:r>
          <w:rPr>
            <w:color w:val="0000EE"/>
            <w:u w:val="single"/>
          </w:rPr>
          <w:t>6.27</w:t>
        </w:r>
      </w:hyperlink>
      <w:r>
        <w:t>). Cela signifie que Jésus porte le nom personnel de Dieu ; Jésus est l'expression personnelle de Dieu. Les Écritures disent aussi que le Saint-Esprit scelle les croyants (</w:t>
      </w:r>
      <w:hyperlink r:id="rId2823">
        <w:r>
          <w:rPr>
            <w:color w:val="0000EE"/>
            <w:u w:val="single"/>
          </w:rPr>
          <w:t>2Co 1.22</w:t>
        </w:r>
      </w:hyperlink>
      <w:r>
        <w:t xml:space="preserve"> ; </w:t>
      </w:r>
      <w:hyperlink r:id="rId8446">
        <w:r>
          <w:rPr>
            <w:color w:val="0000EE"/>
            <w:u w:val="single"/>
          </w:rPr>
          <w:t>Ep 1.13</w:t>
        </w:r>
      </w:hyperlink>
      <w:r>
        <w:t xml:space="preserve"> ; </w:t>
      </w:r>
      <w:hyperlink r:id="rId2276">
        <w:r>
          <w:rPr>
            <w:color w:val="0000EE"/>
            <w:u w:val="single"/>
          </w:rPr>
          <w:t>4.30</w:t>
        </w:r>
      </w:hyperlink>
      <w:r>
        <w:t>). Cela signifie que l'Esprit est la marque de propriété de Dieu sur les croyants, et cela signifie que l'Esprit protège et préserve les croyants tout au long de leur vie.</w:t>
      </w:r>
    </w:p>
    <w:p>
      <w:r/>
      <w:r>
        <w:rPr>
          <w:i/>
        </w:rPr>
        <w:t>Voir aussi</w:t>
      </w:r>
      <w:r>
        <w:t xml:space="preserve"> </w:t>
      </w:r>
      <w:r>
        <w:t>Archéologie et la Bible</w:t>
      </w:r>
      <w:r>
        <w:t xml:space="preserve"> ; </w:t>
      </w:r>
      <w:r>
        <w:t>Inscriptions</w:t>
      </w:r>
      <w:r>
        <w:t>.</w:t>
      </w:r>
      <w:r/>
      <w:r/>
    </w:p>
    <w:p>
      <w:r/>
    </w:p>
    <w:p>
      <w:pPr>
        <w:pStyle w:val="Heading2"/>
      </w:pPr>
      <w:r>
        <w:t>Sceptre</w:t>
      </w:r>
      <w:r/>
    </w:p>
    <w:p>
      <w:r/>
      <w:r>
        <w:t>Bâton officiel que les rois et les dirigeants utilisaient pour montrer leur pouvoir. Il s'agissait généralement d'un long bâton avec des motifs décoratifs au sommet. Les rois tenaient ces sceptres lors de cérémonies importantes pour montrer qu'ils étaient aux commandes. Parfois, une version plus courte du sceptre était utilisée comme arme au combat, symbolisant également la force militaire d'un dirigeant.</w:t>
      </w:r>
    </w:p>
    <w:p>
      <w:r/>
      <w:r>
        <w:t>Dans la Bible, le sceptre apparaît dans de nombreux récits comme un symbole d'autorité royale et de puissance militaire.</w:t>
      </w:r>
    </w:p>
    <w:p>
      <w:r/>
      <w:r>
        <w:t>Voici certains des exemples de sceptres en tant que symboles de l'autorité royale :</w:t>
      </w:r>
    </w:p>
    <w:p>
      <w:pPr>
        <w:pStyle w:val="ListBullet"/>
        <w:spacing w:line="240" w:lineRule="auto"/>
        <w:ind w:left="720"/>
      </w:pPr>
      <w:r/>
      <w:r>
        <w:t>Lorsque Jacob a béni ses fils, il a dit que les descendants de Juda auraient une autorité royale (</w:t>
      </w:r>
      <w:hyperlink r:id="rId6893">
        <w:r>
          <w:rPr>
            <w:color w:val="0000EE"/>
            <w:u w:val="single"/>
          </w:rPr>
          <w:t>Gn 49.10</w:t>
        </w:r>
      </w:hyperlink>
      <w:r>
        <w:t xml:space="preserve"> ; voir </w:t>
      </w:r>
      <w:hyperlink r:id="rId4031">
        <w:r>
          <w:rPr>
            <w:color w:val="0000EE"/>
            <w:u w:val="single"/>
          </w:rPr>
          <w:t>Ps 45.6</w:t>
        </w:r>
      </w:hyperlink>
      <w:r>
        <w:t xml:space="preserve"> et </w:t>
      </w:r>
      <w:hyperlink r:id="rId4030">
        <w:r>
          <w:rPr>
            <w:color w:val="0000EE"/>
            <w:u w:val="single"/>
          </w:rPr>
          <w:t>Hé 1.8</w:t>
        </w:r>
      </w:hyperlink>
      <w:r>
        <w:t>).</w:t>
      </w:r>
    </w:p>
    <w:p>
      <w:pPr>
        <w:pStyle w:val="ListBullet"/>
        <w:spacing w:line="240" w:lineRule="auto"/>
        <w:ind w:left="720"/>
      </w:pPr>
      <w:r/>
      <w:r>
        <w:t>Le prophète Amos fait référence à l'autorité royale des rois de Syrie et de Philistie (</w:t>
      </w:r>
      <w:hyperlink r:id="rId13631">
        <w:r>
          <w:rPr>
            <w:color w:val="0000EE"/>
            <w:u w:val="single"/>
          </w:rPr>
          <w:t>Am 1.5, 8</w:t>
        </w:r>
      </w:hyperlink>
      <w:r>
        <w:t>).</w:t>
      </w:r>
    </w:p>
    <w:p>
      <w:pPr>
        <w:pStyle w:val="ListBullet"/>
        <w:spacing w:line="240" w:lineRule="auto"/>
        <w:ind w:left="720"/>
      </w:pPr>
      <w:r/>
      <w:r>
        <w:t>Le prophète Zacharie fait référence à l'autorité royale de l'Égypte (</w:t>
      </w:r>
      <w:hyperlink r:id="rId13632">
        <w:r>
          <w:rPr>
            <w:color w:val="0000EE"/>
            <w:u w:val="single"/>
          </w:rPr>
          <w:t>Za 10.11</w:t>
        </w:r>
      </w:hyperlink>
      <w:r>
        <w:t>).</w:t>
      </w:r>
    </w:p>
    <w:p>
      <w:pPr>
        <w:pStyle w:val="ListBullet"/>
        <w:spacing w:line="240" w:lineRule="auto"/>
        <w:ind w:left="720"/>
      </w:pPr>
      <w:r/>
      <w:r>
        <w:t>Le roi Assuérus (également appelé Xerxès) tend un sceptre (un symbole de son autorité royale) à Esther (</w:t>
      </w:r>
      <w:hyperlink r:id="rId13633">
        <w:r>
          <w:rPr>
            <w:color w:val="0000EE"/>
            <w:u w:val="single"/>
          </w:rPr>
          <w:t>Est 4.11</w:t>
        </w:r>
      </w:hyperlink>
      <w:r>
        <w:t xml:space="preserve"> ; </w:t>
      </w:r>
      <w:hyperlink r:id="rId13634">
        <w:r>
          <w:rPr>
            <w:color w:val="0000EE"/>
            <w:u w:val="single"/>
          </w:rPr>
          <w:t>5.2</w:t>
        </w:r>
      </w:hyperlink>
      <w:r>
        <w:t xml:space="preserve"> ; </w:t>
      </w:r>
      <w:hyperlink r:id="rId13635">
        <w:r>
          <w:rPr>
            <w:color w:val="0000EE"/>
            <w:u w:val="single"/>
          </w:rPr>
          <w:t>8.4</w:t>
        </w:r>
      </w:hyperlink>
      <w:r>
        <w:t>).</w:t>
      </w:r>
    </w:p>
    <w:p>
      <w:r/>
      <w:r>
        <w:t>Voici certains des exemples de sceptres en tant que symboles du pouvoir militaire :</w:t>
      </w:r>
    </w:p>
    <w:p>
      <w:pPr>
        <w:pStyle w:val="ListBullet"/>
        <w:spacing w:line="240" w:lineRule="auto"/>
        <w:ind w:left="720"/>
      </w:pPr>
      <w:r/>
      <w:r>
        <w:t>Le livre des Nombres parle d'un sceptre qui appartiendrait au roi choisi par Dieu (le Messie) qui était promis à venir dans le futur (</w:t>
      </w:r>
      <w:hyperlink r:id="rId6894">
        <w:r>
          <w:rPr>
            <w:color w:val="0000EE"/>
            <w:u w:val="single"/>
          </w:rPr>
          <w:t>Nb 24.17</w:t>
        </w:r>
      </w:hyperlink>
      <w:r>
        <w:t>).</w:t>
      </w:r>
    </w:p>
    <w:p>
      <w:pPr>
        <w:pStyle w:val="ListBullet"/>
        <w:spacing w:line="240" w:lineRule="auto"/>
        <w:ind w:left="720"/>
      </w:pPr>
      <w:r/>
      <w:r>
        <w:t>Le prophète Ésaïe parle de la façon dont Dieu briserait le sceptre de Babylone (</w:t>
      </w:r>
      <w:hyperlink r:id="rId4139">
        <w:r>
          <w:rPr>
            <w:color w:val="0000EE"/>
            <w:u w:val="single"/>
          </w:rPr>
          <w:t>Es 14.5</w:t>
        </w:r>
      </w:hyperlink>
      <w:r>
        <w:t>). Dieu détruirait le pouvoir que Babylone utilisait pour contrôler et nuire à d'autres nations.</w:t>
      </w:r>
    </w:p>
    <w:p>
      <w:pPr>
        <w:pStyle w:val="ListBullet"/>
        <w:spacing w:line="240" w:lineRule="auto"/>
        <w:ind w:left="720"/>
      </w:pPr>
      <w:r/>
      <w:r>
        <w:t>Le prophète Ézéchiel a utilisé l'image d'un sceptre pour expliquer comment Israël avait perdu son pouvoir et ne pouvait pas le récupérer (</w:t>
      </w:r>
      <w:hyperlink r:id="rId13636">
        <w:r>
          <w:rPr>
            <w:color w:val="0000EE"/>
            <w:u w:val="single"/>
          </w:rPr>
          <w:t>Ez 19.11, 14</w:t>
        </w:r>
      </w:hyperlink>
      <w:r>
        <w:t>).</w:t>
      </w:r>
    </w:p>
    <w:p>
      <w:r/>
      <w:r/>
      <w:r/>
    </w:p>
    <w:p>
      <w:r/>
    </w:p>
    <w:p>
      <w:pPr>
        <w:pStyle w:val="Heading2"/>
      </w:pPr>
      <w:r>
        <w:t>Scéva</w:t>
      </w:r>
      <w:r/>
    </w:p>
    <w:p>
      <w:r/>
      <w:r>
        <w:t>Père de sept fils, et l'un des principaux sacrificateurs juifs à Éphèse lorsque l'apôtre Paul s'y rendra lors de son troisième voyage missionnaire. Les fils de Scéva essayeront d'imiter Paul en chassant les esprits mauvais au nom de Jésus. Cependant, leurs tentatives d'exorcisme échoueront car leur autorité n'était pas reconnue. Ainsi, les esprits mauvais attaqueront et blesseront ces fils de Scéva qui avaient essayé de les chasser (</w:t>
      </w:r>
      <w:hyperlink r:id="rId13637">
        <w:r>
          <w:rPr>
            <w:color w:val="0000EE"/>
            <w:u w:val="single"/>
          </w:rPr>
          <w:t>Ac 19.14</w:t>
        </w:r>
      </w:hyperlink>
      <w:r>
        <w:t>).</w:t>
      </w:r>
      <w:r/>
      <w:r/>
    </w:p>
    <w:p>
      <w:r/>
    </w:p>
    <w:p>
      <w:pPr>
        <w:pStyle w:val="Heading2"/>
      </w:pPr>
      <w:r>
        <w:t>Schaaschgaz</w:t>
      </w:r>
      <w:r/>
    </w:p>
    <w:p>
      <w:r/>
      <w:r>
        <w:t>Un des eunuques du roi Assuérus, chargé des concubines (</w:t>
      </w:r>
      <w:hyperlink r:id="rId3049">
        <w:r>
          <w:rPr>
            <w:color w:val="0000EE"/>
            <w:u w:val="single"/>
          </w:rPr>
          <w:t>Est 2.14</w:t>
        </w:r>
      </w:hyperlink>
      <w:r>
        <w:t>).</w:t>
      </w:r>
      <w:r/>
      <w:r/>
    </w:p>
    <w:p>
      <w:r/>
    </w:p>
    <w:p>
      <w:pPr>
        <w:pStyle w:val="Heading2"/>
      </w:pPr>
      <w:r>
        <w:t>Schavé, Vallée de</w:t>
      </w:r>
      <w:r/>
    </w:p>
    <w:p>
      <w:r/>
      <w:r>
        <w:t xml:space="preserve">Nom alternatif pour la vallée du roi près de Jérusalem dans </w:t>
      </w:r>
      <w:hyperlink r:id="rId13638">
        <w:r>
          <w:rPr>
            <w:color w:val="0000EE"/>
            <w:u w:val="single"/>
          </w:rPr>
          <w:t>Genèse 14.17</w:t>
        </w:r>
      </w:hyperlink>
      <w:r>
        <w:t xml:space="preserve">. </w:t>
      </w:r>
      <w:r>
        <w:rPr>
          <w:i/>
        </w:rPr>
        <w:t>Voir</w:t>
      </w:r>
      <w:r>
        <w:t xml:space="preserve"> </w:t>
      </w:r>
      <w:r>
        <w:t>Vallée du roi</w:t>
      </w:r>
      <w:r>
        <w:t>.</w:t>
      </w:r>
      <w:r/>
      <w:r/>
    </w:p>
    <w:p>
      <w:r/>
    </w:p>
    <w:p>
      <w:pPr>
        <w:pStyle w:val="Heading2"/>
      </w:pPr>
      <w:r>
        <w:t>Schavé-Kirjathaïm</w:t>
      </w:r>
      <w:r/>
    </w:p>
    <w:p>
      <w:r/>
      <w:r>
        <w:t xml:space="preserve">Plaine à l'est de la mer Morte près de la ville de Kirjathaïm occupée par le peuple des Émim. Les Émim à </w:t>
      </w:r>
      <w:r>
        <w:t>Schavé-Kirjathaïm</w:t>
      </w:r>
      <w:r>
        <w:t xml:space="preserve"> sont répertoriés avec plusieurs autres tribus et nations que le roi Kedorlaomer et ses alliés ont vaincues (</w:t>
      </w:r>
      <w:hyperlink r:id="rId704">
        <w:r>
          <w:rPr>
            <w:color w:val="0000EE"/>
            <w:u w:val="single"/>
          </w:rPr>
          <w:t>Gn 14.5</w:t>
        </w:r>
      </w:hyperlink>
      <w:r>
        <w:t>). Cette plaine sera ensuite héritée par les fils de Ruben.</w:t>
      </w:r>
      <w:r/>
      <w:r/>
    </w:p>
    <w:p>
      <w:r/>
    </w:p>
    <w:p>
      <w:pPr>
        <w:pStyle w:val="Heading2"/>
      </w:pPr>
      <w:r>
        <w:t>Schélach, Schéla</w:t>
      </w:r>
      <w:r/>
    </w:p>
    <w:p>
      <w:pPr>
        <w:pStyle w:val="ListNumber"/>
        <w:spacing w:line="240" w:lineRule="auto"/>
        <w:ind w:left="720"/>
      </w:pPr>
      <w:r/>
      <w:r>
        <w:t>Fils d'Arphaxad et père d'Héber (</w:t>
      </w:r>
      <w:hyperlink r:id="rId1417">
        <w:r>
          <w:rPr>
            <w:color w:val="0000EE"/>
            <w:u w:val="single"/>
          </w:rPr>
          <w:t>Gn 10.24</w:t>
        </w:r>
      </w:hyperlink>
      <w:r>
        <w:t xml:space="preserve"> ; </w:t>
      </w:r>
      <w:hyperlink r:id="rId13639">
        <w:r>
          <w:rPr>
            <w:color w:val="0000EE"/>
            <w:u w:val="single"/>
          </w:rPr>
          <w:t>11.12–15</w:t>
        </w:r>
      </w:hyperlink>
      <w:r>
        <w:t xml:space="preserve"> ; </w:t>
      </w:r>
      <w:hyperlink r:id="rId13640">
        <w:r>
          <w:rPr>
            <w:color w:val="0000EE"/>
            <w:u w:val="single"/>
          </w:rPr>
          <w:t>1Ch 1.18</w:t>
        </w:r>
      </w:hyperlink>
      <w:r>
        <w:t>). Schélah est mentionné dans la liste des ancêtres de Jésus par Luc comme le fils de Kaïnan, fils d'Arphaxad (</w:t>
      </w:r>
      <w:hyperlink r:id="rId6229">
        <w:r>
          <w:rPr>
            <w:color w:val="0000EE"/>
            <w:u w:val="single"/>
          </w:rPr>
          <w:t>Lc 3.35</w:t>
        </w:r>
      </w:hyperlink>
      <w:r>
        <w:t>).</w:t>
      </w:r>
    </w:p>
    <w:p>
      <w:r/>
      <w:r>
        <w:rPr>
          <w:i/>
        </w:rPr>
        <w:t>Voir</w:t>
      </w:r>
      <w:r>
        <w:t xml:space="preserve"> </w:t>
      </w:r>
      <w:r>
        <w:t>Généaologie de Jésus-Christ</w:t>
      </w:r>
      <w:r>
        <w:t>.</w:t>
      </w:r>
    </w:p>
    <w:p>
      <w:pPr>
        <w:pStyle w:val="ListNumber"/>
        <w:spacing w:line="240" w:lineRule="auto"/>
        <w:ind w:left="720"/>
      </w:pPr>
      <w:r/>
      <w:r>
        <w:t>Troisième fils de Juda par Bathshua, une Cananéenne. Schéla est né à Kezib, une petite ville en Juda (</w:t>
      </w:r>
      <w:hyperlink r:id="rId225">
        <w:r>
          <w:rPr>
            <w:color w:val="0000EE"/>
            <w:u w:val="single"/>
          </w:rPr>
          <w:t>Gn 38.5</w:t>
        </w:r>
      </w:hyperlink>
      <w:r>
        <w:t xml:space="preserve"> ; </w:t>
      </w:r>
      <w:hyperlink r:id="rId4859">
        <w:r>
          <w:rPr>
            <w:color w:val="0000EE"/>
            <w:u w:val="single"/>
          </w:rPr>
          <w:t>1Ch 2.3</w:t>
        </w:r>
      </w:hyperlink>
      <w:r>
        <w:t xml:space="preserve">). Il a fondé la famille des </w:t>
      </w:r>
      <w:r>
        <w:t>Schélanite</w:t>
      </w:r>
      <w:r>
        <w:t>s (</w:t>
      </w:r>
      <w:hyperlink r:id="rId13641">
        <w:r>
          <w:rPr>
            <w:color w:val="0000EE"/>
            <w:u w:val="single"/>
          </w:rPr>
          <w:t>Nb 26.20</w:t>
        </w:r>
      </w:hyperlink>
      <w:r>
        <w:t xml:space="preserve">). « </w:t>
      </w:r>
      <w:r>
        <w:t>Schélanite</w:t>
      </w:r>
      <w:r>
        <w:t xml:space="preserve"> » devrait peut-être être lu au lieu de « </w:t>
      </w:r>
      <w:r>
        <w:t>Schilonite</w:t>
      </w:r>
      <w:r>
        <w:t xml:space="preserve"> » dans </w:t>
      </w:r>
      <w:hyperlink r:id="rId13642">
        <w:r>
          <w:rPr>
            <w:color w:val="0000EE"/>
            <w:u w:val="single"/>
          </w:rPr>
          <w:t>Néhémie 11.5</w:t>
        </w:r>
      </w:hyperlink>
      <w:r>
        <w:t xml:space="preserve"> ; </w:t>
      </w:r>
      <w:hyperlink r:id="rId13643">
        <w:r>
          <w:rPr>
            <w:color w:val="0000EE"/>
            <w:u w:val="single"/>
          </w:rPr>
          <w:t>1 Chroniques 9.5</w:t>
        </w:r>
      </w:hyperlink>
      <w:r>
        <w:t>.</w:t>
      </w:r>
      <w:r/>
      <w:r/>
    </w:p>
    <w:p>
      <w:r/>
    </w:p>
    <w:p>
      <w:pPr>
        <w:pStyle w:val="Heading2"/>
      </w:pPr>
      <w:r>
        <w:t>Schéleph</w:t>
      </w:r>
      <w:r/>
    </w:p>
    <w:p>
      <w:r/>
      <w:r>
        <w:t>Fils de Jokthan et fondateur d'une tribu arabe vivant au Yémen (</w:t>
      </w:r>
      <w:hyperlink r:id="rId583">
        <w:r>
          <w:rPr>
            <w:color w:val="0000EE"/>
            <w:u w:val="single"/>
          </w:rPr>
          <w:t>Gn 10.26</w:t>
        </w:r>
      </w:hyperlink>
      <w:r>
        <w:t xml:space="preserve"> ; </w:t>
      </w:r>
      <w:hyperlink r:id="rId584">
        <w:r>
          <w:rPr>
            <w:color w:val="0000EE"/>
            <w:u w:val="single"/>
          </w:rPr>
          <w:t>1Ch 1.20</w:t>
        </w:r>
      </w:hyperlink>
      <w:r>
        <w:t>).</w:t>
      </w:r>
      <w:r/>
      <w:r/>
    </w:p>
    <w:p>
      <w:r/>
    </w:p>
    <w:p>
      <w:pPr>
        <w:pStyle w:val="Heading2"/>
      </w:pPr>
      <w:r>
        <w:t>Schémeéber</w:t>
      </w:r>
      <w:r/>
    </w:p>
    <w:p>
      <w:r/>
      <w:r>
        <w:t xml:space="preserve">Roi de Tseboïm, qui s'est joint à une confédération avec quatre autres rois en rébellion contre Kedorlaomer et ses alliés. Abraham a sauvé Lot de la captivité après que </w:t>
      </w:r>
      <w:r>
        <w:t>Schémeéber</w:t>
      </w:r>
      <w:r>
        <w:t>, ainsi que Sodome et Gomorrhe, ont été vaincus (</w:t>
      </w:r>
      <w:hyperlink r:id="rId1733">
        <w:r>
          <w:rPr>
            <w:color w:val="0000EE"/>
            <w:u w:val="single"/>
          </w:rPr>
          <w:t>Gn 14.2</w:t>
        </w:r>
      </w:hyperlink>
      <w:r>
        <w:t>).</w:t>
      </w:r>
      <w:r/>
      <w:r/>
    </w:p>
    <w:p>
      <w:r/>
    </w:p>
    <w:p>
      <w:pPr>
        <w:pStyle w:val="Heading2"/>
      </w:pPr>
      <w:r>
        <w:t>Schéthar</w:t>
      </w:r>
      <w:r/>
    </w:p>
    <w:p>
      <w:r/>
      <w:r>
        <w:t>Un des sept conseillers du roi Assuérus. Lorsque la reine Vasthi s'est opposée à l'ordre du roi, Schéthar conseillera au roi de la destituer en tant que reine et de chercher une nouvelle reine, pour servir d'exemple de discipline domestique (</w:t>
      </w:r>
      <w:hyperlink r:id="rId334">
        <w:r>
          <w:rPr>
            <w:color w:val="0000EE"/>
            <w:u w:val="single"/>
          </w:rPr>
          <w:t>Est 1.14</w:t>
        </w:r>
      </w:hyperlink>
      <w:r>
        <w:t>).</w:t>
      </w:r>
      <w:r/>
      <w:r/>
    </w:p>
    <w:p>
      <w:r/>
    </w:p>
    <w:p>
      <w:pPr>
        <w:pStyle w:val="Heading2"/>
      </w:pPr>
      <w:r>
        <w:t>Schimeï</w:t>
      </w:r>
      <w:r/>
    </w:p>
    <w:p>
      <w:pPr>
        <w:pStyle w:val="ListNumber"/>
        <w:spacing w:line="240" w:lineRule="auto"/>
        <w:ind w:left="720"/>
      </w:pPr>
      <w:r/>
      <w:r>
        <w:t>Fils de Guerschon, petit-fils de Lévi, et frère de Libni (</w:t>
      </w:r>
      <w:hyperlink r:id="rId13644">
        <w:r>
          <w:rPr>
            <w:color w:val="0000EE"/>
            <w:u w:val="single"/>
          </w:rPr>
          <w:t>Ex 6.17</w:t>
        </w:r>
      </w:hyperlink>
      <w:r>
        <w:t xml:space="preserve"> ; </w:t>
      </w:r>
      <w:hyperlink r:id="rId13645">
        <w:r>
          <w:rPr>
            <w:color w:val="0000EE"/>
            <w:u w:val="single"/>
          </w:rPr>
          <w:t>Nb 3.18</w:t>
        </w:r>
      </w:hyperlink>
      <w:r>
        <w:t xml:space="preserve"> ; </w:t>
      </w:r>
      <w:hyperlink r:id="rId13646">
        <w:r>
          <w:rPr>
            <w:color w:val="0000EE"/>
            <w:u w:val="single"/>
          </w:rPr>
          <w:t>1Ch 6.17</w:t>
        </w:r>
      </w:hyperlink>
      <w:r>
        <w:t>). Il était le père de quatre fils et le fondateur de la famille Shimeite (</w:t>
      </w:r>
      <w:hyperlink r:id="rId13647">
        <w:r>
          <w:rPr>
            <w:color w:val="0000EE"/>
            <w:u w:val="single"/>
          </w:rPr>
          <w:t>Nb 3.21</w:t>
        </w:r>
      </w:hyperlink>
      <w:r>
        <w:t xml:space="preserve"> ; </w:t>
      </w:r>
      <w:hyperlink r:id="rId13648">
        <w:r>
          <w:rPr>
            <w:color w:val="0000EE"/>
            <w:u w:val="single"/>
          </w:rPr>
          <w:t>1Ch 23.7, 10</w:t>
        </w:r>
      </w:hyperlink>
      <w:r>
        <w:t xml:space="preserve"> ; </w:t>
      </w:r>
      <w:hyperlink r:id="rId13649">
        <w:r>
          <w:rPr>
            <w:color w:val="0000EE"/>
            <w:u w:val="single"/>
          </w:rPr>
          <w:t>Za 12.13</w:t>
        </w:r>
      </w:hyperlink>
      <w:r>
        <w:t>).</w:t>
      </w:r>
    </w:p>
    <w:p>
      <w:pPr>
        <w:pStyle w:val="ListNumber"/>
        <w:spacing w:line="240" w:lineRule="auto"/>
        <w:ind w:left="720"/>
      </w:pPr>
      <w:r/>
      <w:r>
        <w:t>Un Benjaminite, fils de Guéra de la maison de Saül, qui rencontrera le roi David au village de Bachurim lors du voyage du roi de Jérusalem à Mahanaïm. Schimeï y critiquera sévèrement David, le maudissant pour la ruine de la maison de Saül (</w:t>
      </w:r>
      <w:hyperlink r:id="rId13650">
        <w:r>
          <w:rPr>
            <w:color w:val="0000EE"/>
            <w:u w:val="single"/>
          </w:rPr>
          <w:t>2S 16.5–13</w:t>
        </w:r>
      </w:hyperlink>
      <w:r>
        <w:t>). Plus tard, Schimeï se repentira de son comportement honteux, demanda pardon à David et sera pardonné par le roi (</w:t>
      </w:r>
      <w:hyperlink r:id="rId13651">
        <w:r>
          <w:rPr>
            <w:color w:val="0000EE"/>
            <w:u w:val="single"/>
          </w:rPr>
          <w:t>2S 19.16–23</w:t>
        </w:r>
      </w:hyperlink>
      <w:r>
        <w:t>). Après la mort de David, le roi Salomon ordonnera à Schimeï de rester à Jérusalem et de ne jamais quitter la ville pour quelque raison que ce soit. Schimeï n'écoutera pas cet ordre et sera tué (</w:t>
      </w:r>
      <w:hyperlink r:id="rId13652">
        <w:r>
          <w:rPr>
            <w:color w:val="0000EE"/>
            <w:u w:val="single"/>
          </w:rPr>
          <w:t>1R 2.8, 36–44</w:t>
        </w:r>
      </w:hyperlink>
      <w:r>
        <w:t>).</w:t>
      </w:r>
    </w:p>
    <w:p>
      <w:pPr>
        <w:pStyle w:val="ListNumber"/>
        <w:spacing w:line="240" w:lineRule="auto"/>
        <w:ind w:left="720"/>
      </w:pPr>
      <w:r/>
      <w:r>
        <w:t>Frère de David et père de Jonathan (</w:t>
      </w:r>
      <w:hyperlink r:id="rId13653">
        <w:r>
          <w:rPr>
            <w:color w:val="0000EE"/>
            <w:u w:val="single"/>
          </w:rPr>
          <w:t>2S 21.21</w:t>
        </w:r>
      </w:hyperlink>
      <w:r>
        <w:t xml:space="preserve">). Il est appelé Schamma dans </w:t>
      </w:r>
      <w:hyperlink r:id="rId13654">
        <w:r>
          <w:rPr>
            <w:color w:val="0000EE"/>
            <w:u w:val="single"/>
          </w:rPr>
          <w:t>1S 16.9</w:t>
        </w:r>
      </w:hyperlink>
      <w:r>
        <w:t>.</w:t>
      </w:r>
    </w:p>
    <w:p>
      <w:r/>
      <w:r>
        <w:rPr>
          <w:i/>
        </w:rPr>
        <w:t>Voir</w:t>
      </w:r>
      <w:r>
        <w:t xml:space="preserve"> </w:t>
      </w:r>
      <w:r>
        <w:t>Schamma n° 2</w:t>
      </w:r>
      <w:r>
        <w:t>.</w:t>
      </w:r>
    </w:p>
    <w:p>
      <w:pPr>
        <w:pStyle w:val="ListNumber"/>
        <w:spacing w:line="240" w:lineRule="auto"/>
        <w:ind w:left="720"/>
      </w:pPr>
      <w:r/>
      <w:r>
        <w:t>Un des fonctionnaires de la cour de David qui n'a pas soutenu la tentative d'Adonija de se faire roi (</w:t>
      </w:r>
      <w:hyperlink r:id="rId13655">
        <w:r>
          <w:rPr>
            <w:color w:val="0000EE"/>
            <w:u w:val="single"/>
          </w:rPr>
          <w:t>1R 1.8</w:t>
        </w:r>
      </w:hyperlink>
      <w:r>
        <w:t>).</w:t>
      </w:r>
    </w:p>
    <w:p>
      <w:pPr>
        <w:pStyle w:val="ListNumber"/>
        <w:spacing w:line="240" w:lineRule="auto"/>
        <w:ind w:left="720"/>
      </w:pPr>
      <w:r/>
      <w:r>
        <w:t>Benjaminite, fils d'Éla et l'un des fonctionnaires du roi Salomon qui gérait la maison royale (</w:t>
      </w:r>
      <w:hyperlink r:id="rId1775">
        <w:r>
          <w:rPr>
            <w:color w:val="0000EE"/>
            <w:u w:val="single"/>
          </w:rPr>
          <w:t>1R 4.18</w:t>
        </w:r>
      </w:hyperlink>
      <w:r>
        <w:t>). Il pourrait s'agir de la même personne que le n°4 ci-dessus.</w:t>
      </w:r>
    </w:p>
    <w:p>
      <w:pPr>
        <w:pStyle w:val="ListNumber"/>
        <w:spacing w:line="240" w:lineRule="auto"/>
        <w:ind w:left="720"/>
      </w:pPr>
      <w:r/>
      <w:r>
        <w:t>Judéen, fils de Pedaja, frère de Zorobabel, et descendant de David par la lignée de Salomon (</w:t>
      </w:r>
      <w:hyperlink r:id="rId13656">
        <w:r>
          <w:rPr>
            <w:color w:val="0000EE"/>
            <w:u w:val="single"/>
          </w:rPr>
          <w:t>1Ch 3.19</w:t>
        </w:r>
      </w:hyperlink>
      <w:r>
        <w:t>).</w:t>
      </w:r>
    </w:p>
    <w:p>
      <w:pPr>
        <w:pStyle w:val="ListNumber"/>
        <w:spacing w:line="240" w:lineRule="auto"/>
        <w:ind w:left="720"/>
      </w:pPr>
      <w:r/>
      <w:r>
        <w:t>Siméonite, fils de Zaccur et père de seize fils et six filles (</w:t>
      </w:r>
      <w:hyperlink r:id="rId13657">
        <w:r>
          <w:rPr>
            <w:color w:val="0000EE"/>
            <w:u w:val="single"/>
          </w:rPr>
          <w:t>1Ch 4.26–27</w:t>
        </w:r>
      </w:hyperlink>
      <w:r>
        <w:t>).</w:t>
      </w:r>
    </w:p>
    <w:p>
      <w:pPr>
        <w:pStyle w:val="ListNumber"/>
        <w:spacing w:line="240" w:lineRule="auto"/>
        <w:ind w:left="720"/>
      </w:pPr>
      <w:r/>
      <w:r>
        <w:t>Rubénite, fils de Gog et père de Michée (</w:t>
      </w:r>
      <w:hyperlink r:id="rId13658">
        <w:r>
          <w:rPr>
            <w:color w:val="0000EE"/>
            <w:u w:val="single"/>
          </w:rPr>
          <w:t>1Ch 5.4</w:t>
        </w:r>
      </w:hyperlink>
      <w:r>
        <w:t>).</w:t>
      </w:r>
    </w:p>
    <w:p>
      <w:pPr>
        <w:pStyle w:val="ListNumber"/>
        <w:spacing w:line="240" w:lineRule="auto"/>
        <w:ind w:left="720"/>
      </w:pPr>
      <w:r/>
      <w:r>
        <w:t>Fils de Libni, père d'Uzza, et descendant de Lévi par la lignée de Merari (</w:t>
      </w:r>
      <w:hyperlink r:id="rId13659">
        <w:r>
          <w:rPr>
            <w:color w:val="0000EE"/>
            <w:u w:val="single"/>
          </w:rPr>
          <w:t>1Ch 6.29</w:t>
        </w:r>
      </w:hyperlink>
      <w:r>
        <w:t>).</w:t>
      </w:r>
    </w:p>
    <w:p>
      <w:pPr>
        <w:pStyle w:val="ListNumber"/>
        <w:spacing w:line="240" w:lineRule="auto"/>
        <w:ind w:left="720"/>
      </w:pPr>
      <w:r/>
      <w:r>
        <w:t>Lévite Guershonite, fils de Jachath, père de Zimma, et ancêtre d'Asaph qui a servi comme chef des musiciens dans le sanctuaire pendant le règne de David (</w:t>
      </w:r>
      <w:hyperlink r:id="rId13660">
        <w:r>
          <w:rPr>
            <w:color w:val="0000EE"/>
            <w:u w:val="single"/>
          </w:rPr>
          <w:t>1Ch 6.42</w:t>
        </w:r>
      </w:hyperlink>
      <w:r>
        <w:t>).</w:t>
      </w:r>
    </w:p>
    <w:p>
      <w:pPr>
        <w:pStyle w:val="ListNumber"/>
        <w:spacing w:line="240" w:lineRule="auto"/>
        <w:ind w:left="720"/>
      </w:pPr>
      <w:r/>
      <w:r>
        <w:t>Benjaminite, père de neuf fils et chef de la maison de son père (</w:t>
      </w:r>
      <w:hyperlink r:id="rId13661">
        <w:r>
          <w:rPr>
            <w:color w:val="0000EE"/>
            <w:u w:val="single"/>
          </w:rPr>
          <w:t>1Ch 8.21</w:t>
        </w:r>
      </w:hyperlink>
      <w:r>
        <w:t xml:space="preserve">). Il est appelé Shéma dans </w:t>
      </w:r>
      <w:hyperlink r:id="rId1837">
        <w:r>
          <w:rPr>
            <w:color w:val="0000EE"/>
            <w:u w:val="single"/>
          </w:rPr>
          <w:t>1Ch 8.3</w:t>
        </w:r>
      </w:hyperlink>
      <w:r>
        <w:t>.</w:t>
      </w:r>
    </w:p>
    <w:p>
      <w:r/>
      <w:r>
        <w:rPr>
          <w:i/>
        </w:rPr>
        <w:t>Voir</w:t>
      </w:r>
      <w:r>
        <w:t xml:space="preserve"> </w:t>
      </w:r>
      <w:r>
        <w:t>Shéma (Personne) n° 3</w:t>
      </w:r>
      <w:r>
        <w:t>.</w:t>
      </w:r>
    </w:p>
    <w:p>
      <w:pPr>
        <w:pStyle w:val="ListNumber"/>
        <w:spacing w:line="240" w:lineRule="auto"/>
        <w:ind w:left="720"/>
      </w:pPr>
      <w:r/>
      <w:r>
        <w:t>Lévite Guershonite, et père de trois fils dans la maison de Laedan (</w:t>
      </w:r>
      <w:hyperlink r:id="rId6209">
        <w:r>
          <w:rPr>
            <w:color w:val="0000EE"/>
            <w:u w:val="single"/>
          </w:rPr>
          <w:t>1Ch 23.9</w:t>
        </w:r>
      </w:hyperlink>
      <w:r>
        <w:t>).</w:t>
      </w:r>
    </w:p>
    <w:p>
      <w:pPr>
        <w:pStyle w:val="ListNumber"/>
        <w:spacing w:line="240" w:lineRule="auto"/>
        <w:ind w:left="720"/>
      </w:pPr>
      <w:r/>
      <w:r>
        <w:t>Fils de Jeduthun et chef de la dixième des vingt-quatre divisions de musiciens formés pour le service dans le sanctuaire pendant le règne de David (</w:t>
      </w:r>
      <w:hyperlink r:id="rId13662">
        <w:r>
          <w:rPr>
            <w:color w:val="0000EE"/>
            <w:u w:val="single"/>
          </w:rPr>
          <w:t>1Ch 25.3, 17</w:t>
        </w:r>
      </w:hyperlink>
      <w:r>
        <w:t>).</w:t>
      </w:r>
    </w:p>
    <w:p>
      <w:pPr>
        <w:pStyle w:val="ListNumber"/>
        <w:spacing w:line="240" w:lineRule="auto"/>
        <w:ind w:left="720"/>
      </w:pPr>
      <w:r/>
      <w:r>
        <w:t>Ramathite, et membre du personnel du roi David qui était responsable des vignobles de David (</w:t>
      </w:r>
      <w:hyperlink r:id="rId13663">
        <w:r>
          <w:rPr>
            <w:color w:val="0000EE"/>
            <w:u w:val="single"/>
          </w:rPr>
          <w:t>1Ch 27.27</w:t>
        </w:r>
      </w:hyperlink>
      <w:r>
        <w:t>).</w:t>
      </w:r>
    </w:p>
    <w:p>
      <w:pPr>
        <w:pStyle w:val="ListNumber"/>
        <w:spacing w:line="240" w:lineRule="auto"/>
        <w:ind w:left="720"/>
      </w:pPr>
      <w:r/>
      <w:r>
        <w:t>Fils d'Héman, frère de Jehiel, l'un des Lévites choisis pour purifier la maison du Seigneur pendant le règne du roi Ézéchias de 715 à 686 av. J.‑C. (</w:t>
      </w:r>
      <w:hyperlink r:id="rId6409">
        <w:r>
          <w:rPr>
            <w:color w:val="0000EE"/>
            <w:u w:val="single"/>
          </w:rPr>
          <w:t>2Ch 29.14</w:t>
        </w:r>
      </w:hyperlink>
      <w:r>
        <w:t>).</w:t>
      </w:r>
    </w:p>
    <w:p>
      <w:pPr>
        <w:pStyle w:val="ListNumber"/>
        <w:spacing w:line="240" w:lineRule="auto"/>
        <w:ind w:left="720"/>
      </w:pPr>
      <w:r/>
      <w:r>
        <w:t>Lévite, et frère de Conania, choisi par le roi Ézéchias de Juda pour gérer l'administration des offrandes du temple à Jérusalem (</w:t>
      </w:r>
      <w:hyperlink r:id="rId13664">
        <w:r>
          <w:rPr>
            <w:color w:val="0000EE"/>
            <w:u w:val="single"/>
          </w:rPr>
          <w:t>2Ch 31.12–13</w:t>
        </w:r>
      </w:hyperlink>
      <w:r>
        <w:t>).</w:t>
      </w:r>
    </w:p>
    <w:p>
      <w:pPr>
        <w:pStyle w:val="ListNumber"/>
        <w:spacing w:line="240" w:lineRule="auto"/>
        <w:ind w:left="720"/>
      </w:pPr>
      <w:r/>
      <w:r>
        <w:t>Lévite qui a été encouragé par Esdras à divorcer de sa femme étrangère pendant la période après l'exil (</w:t>
      </w:r>
      <w:hyperlink r:id="rId13665">
        <w:r>
          <w:rPr>
            <w:color w:val="0000EE"/>
            <w:u w:val="single"/>
          </w:rPr>
          <w:t>Esd 10.23</w:t>
        </w:r>
      </w:hyperlink>
      <w:r>
        <w:t>).</w:t>
      </w:r>
    </w:p>
    <w:p>
      <w:pPr>
        <w:pStyle w:val="ListNumber"/>
        <w:spacing w:line="240" w:lineRule="auto"/>
        <w:ind w:left="720"/>
      </w:pPr>
      <w:r/>
      <w:r>
        <w:t>Fils d'Haschum qui a été encouragé par Esdras à divorcer de sa femme étrangère pendant la période après l'exil (</w:t>
      </w:r>
      <w:hyperlink r:id="rId13665">
        <w:r>
          <w:rPr>
            <w:color w:val="0000EE"/>
            <w:u w:val="single"/>
          </w:rPr>
          <w:t>Esd 10.33</w:t>
        </w:r>
      </w:hyperlink>
      <w:r>
        <w:t>).</w:t>
      </w:r>
    </w:p>
    <w:p>
      <w:pPr>
        <w:pStyle w:val="ListNumber"/>
        <w:spacing w:line="240" w:lineRule="auto"/>
        <w:ind w:left="720"/>
      </w:pPr>
      <w:r/>
      <w:r>
        <w:t>Fils de Binnuï, encouragé par Esdras à divorcer de sa femme étrangère pendant la période après l'exil (</w:t>
      </w:r>
      <w:hyperlink r:id="rId13665">
        <w:r>
          <w:rPr>
            <w:color w:val="0000EE"/>
            <w:u w:val="single"/>
          </w:rPr>
          <w:t>Esd 10.38</w:t>
        </w:r>
      </w:hyperlink>
      <w:r>
        <w:t>).</w:t>
      </w:r>
    </w:p>
    <w:p>
      <w:pPr>
        <w:pStyle w:val="ListNumber"/>
        <w:spacing w:line="240" w:lineRule="auto"/>
        <w:ind w:left="720"/>
      </w:pPr>
      <w:r/>
      <w:r>
        <w:t>Fils de Kis et grand-père de Mardochée (</w:t>
      </w:r>
      <w:hyperlink r:id="rId1789">
        <w:r>
          <w:rPr>
            <w:color w:val="0000EE"/>
            <w:u w:val="single"/>
          </w:rPr>
          <w:t>Est 2.5</w:t>
        </w:r>
      </w:hyperlink>
      <w:r>
        <w:t>).</w:t>
      </w:r>
      <w:r/>
      <w:r/>
    </w:p>
    <w:p>
      <w:r/>
    </w:p>
    <w:p>
      <w:pPr>
        <w:pStyle w:val="Heading2"/>
      </w:pPr>
      <w:r>
        <w:t>Schineab</w:t>
      </w:r>
      <w:r/>
    </w:p>
    <w:p>
      <w:r/>
      <w:r>
        <w:t>Roi d'Adma, qui s'est allié avec quatre dirigeants voisins contre le roi Kedorlaomer. Kedorlaomer a vaincu cette confédération de rois dans la vallée de Siddim, la région sud de la mer Morte (</w:t>
      </w:r>
      <w:hyperlink r:id="rId1733">
        <w:r>
          <w:rPr>
            <w:color w:val="0000EE"/>
            <w:u w:val="single"/>
          </w:rPr>
          <w:t>Gn 14.2</w:t>
        </w:r>
      </w:hyperlink>
      <w:r>
        <w:t>).</w:t>
      </w:r>
      <w:r/>
      <w:r/>
    </w:p>
    <w:p>
      <w:r/>
    </w:p>
    <w:p>
      <w:pPr>
        <w:pStyle w:val="Heading2"/>
      </w:pPr>
      <w:r>
        <w:t>Schinear</w:t>
      </w:r>
      <w:r/>
    </w:p>
    <w:p>
      <w:r/>
      <w:r>
        <w:t>Schinear était une région de l'ancienne Babylone (l'actuel sud de l'Irak). Schinear est le nom d'un district de Babylone mentionné uniquement dans la Bible.</w:t>
      </w:r>
    </w:p>
    <w:p>
      <w:r/>
      <w:r>
        <w:t>La région s'étendait de l'emplacement actuel de Bagdad jusqu'au golfe Persique. Cette région comprenait deux territoires antiques importants : Sumer au sud et Akkad au nord. Plus tard, les gens appelleront cette région entière Babylone (</w:t>
      </w:r>
      <w:hyperlink r:id="rId13666">
        <w:r>
          <w:rPr>
            <w:color w:val="0000EE"/>
            <w:u w:val="single"/>
          </w:rPr>
          <w:t>Dn 1.2</w:t>
        </w:r>
      </w:hyperlink>
      <w:r>
        <w:t>).</w:t>
      </w:r>
    </w:p>
    <w:p>
      <w:r/>
      <w:r>
        <w:t>Plusieurs villes anciennes importantes étaient situées en Schinear, y compris Érec, Akkad et Babel (également appelée Babylone). Ces villes faisaient partie du royaume gouverné par Nimrod, qui était le fils de Cusch (</w:t>
      </w:r>
      <w:hyperlink r:id="rId116">
        <w:r>
          <w:rPr>
            <w:color w:val="0000EE"/>
            <w:u w:val="single"/>
          </w:rPr>
          <w:t>Gn 10.10</w:t>
        </w:r>
      </w:hyperlink>
      <w:r>
        <w:t xml:space="preserve">). </w:t>
      </w:r>
      <w:hyperlink r:id="rId13667">
        <w:r>
          <w:rPr>
            <w:color w:val="0000EE"/>
            <w:u w:val="single"/>
          </w:rPr>
          <w:t>Genèse 11.2</w:t>
        </w:r>
      </w:hyperlink>
      <w:r>
        <w:t xml:space="preserve"> mentionne également Schinear en lien avec la Tour de Babel.</w:t>
      </w:r>
    </w:p>
    <w:p>
      <w:r/>
      <w:r>
        <w:t>La Bible nous parle également d'Amraphel, qui était roi de Schinear. Il combattra dans une guerre contre Abraham et les peuples qui vivaient à l'orient du Jourdain (</w:t>
      </w:r>
      <w:hyperlink r:id="rId705">
        <w:r>
          <w:rPr>
            <w:color w:val="0000EE"/>
            <w:u w:val="single"/>
          </w:rPr>
          <w:t>Gn 14.1</w:t>
        </w:r>
      </w:hyperlink>
      <w:r>
        <w:t xml:space="preserve">, </w:t>
      </w:r>
      <w:hyperlink r:id="rId13668">
        <w:r>
          <w:rPr>
            <w:color w:val="0000EE"/>
            <w:u w:val="single"/>
          </w:rPr>
          <w:t>9</w:t>
        </w:r>
      </w:hyperlink>
      <w:r>
        <w:t>).</w:t>
      </w:r>
    </w:p>
    <w:p>
      <w:r/>
      <w:r>
        <w:t>Plus tard dans la Bible, Schinear deviendra important à l'époque où les Israélites ont été contraints de quitter leur patrie. Le roi babylonien Nebucadnetsar emmènera son peuple capturé à Schinear (</w:t>
      </w:r>
      <w:hyperlink r:id="rId13666">
        <w:r>
          <w:rPr>
            <w:color w:val="0000EE"/>
            <w:u w:val="single"/>
          </w:rPr>
          <w:t>Dn 1.2</w:t>
        </w:r>
      </w:hyperlink>
      <w:r>
        <w:t>). Les prophètes mentionnent également Schinear lorsqu'ils parlent du salut futur d'Israël (</w:t>
      </w:r>
      <w:hyperlink r:id="rId4598">
        <w:r>
          <w:rPr>
            <w:color w:val="0000EE"/>
            <w:u w:val="single"/>
          </w:rPr>
          <w:t>Es 11.11</w:t>
        </w:r>
      </w:hyperlink>
      <w:r>
        <w:t xml:space="preserve"> ; voir </w:t>
      </w:r>
      <w:hyperlink r:id="rId13669">
        <w:r>
          <w:rPr>
            <w:color w:val="0000EE"/>
            <w:u w:val="single"/>
          </w:rPr>
          <w:t>Za 5.11</w:t>
        </w:r>
      </w:hyperlink>
      <w:r>
        <w:t>).</w:t>
      </w:r>
    </w:p>
    <w:p>
      <w:r/>
      <w:r>
        <w:rPr>
          <w:i/>
        </w:rPr>
        <w:t>Voir aussi</w:t>
      </w:r>
      <w:r>
        <w:t xml:space="preserve"> </w:t>
      </w:r>
      <w:r>
        <w:t>Babylone, Babylonie</w:t>
      </w:r>
      <w:r>
        <w:t>.</w:t>
      </w:r>
      <w:r/>
      <w:r/>
    </w:p>
    <w:p>
      <w:r/>
    </w:p>
    <w:p>
      <w:pPr>
        <w:pStyle w:val="Heading2"/>
      </w:pPr>
      <w:r>
        <w:t>Schua, Bath-Schua</w:t>
      </w:r>
      <w:r/>
    </w:p>
    <w:p>
      <w:pPr>
        <w:pStyle w:val="ListNumber"/>
        <w:spacing w:line="240" w:lineRule="auto"/>
        <w:ind w:left="720"/>
      </w:pPr>
      <w:r/>
      <w:r>
        <w:t xml:space="preserve">Épouse cananéenne de Juda qui lui donnera trois fils : Er, Onan et </w:t>
      </w:r>
      <w:r>
        <w:t>Schéla</w:t>
      </w:r>
      <w:r>
        <w:t xml:space="preserve"> (</w:t>
      </w:r>
      <w:hyperlink r:id="rId13670">
        <w:r>
          <w:rPr>
            <w:color w:val="0000EE"/>
            <w:u w:val="single"/>
          </w:rPr>
          <w:t>Gn 38.2–5</w:t>
        </w:r>
      </w:hyperlink>
      <w:r>
        <w:t xml:space="preserve"> ; </w:t>
      </w:r>
      <w:hyperlink r:id="rId4859">
        <w:r>
          <w:rPr>
            <w:color w:val="0000EE"/>
            <w:u w:val="single"/>
          </w:rPr>
          <w:t>1Ch 2.3</w:t>
        </w:r>
      </w:hyperlink>
      <w:r>
        <w:t>).</w:t>
      </w:r>
    </w:p>
    <w:p>
      <w:pPr>
        <w:pStyle w:val="ListNumber"/>
        <w:spacing w:line="240" w:lineRule="auto"/>
        <w:ind w:left="720"/>
      </w:pPr>
      <w:r/>
      <w:r>
        <w:t xml:space="preserve">Orthographe alternative de Bath-Schéba dans </w:t>
      </w:r>
      <w:hyperlink r:id="rId13671">
        <w:r>
          <w:rPr>
            <w:color w:val="0000EE"/>
            <w:u w:val="single"/>
          </w:rPr>
          <w:t>1 Chroniques 3.5</w:t>
        </w:r>
      </w:hyperlink>
      <w:r>
        <w:t>.</w:t>
      </w:r>
    </w:p>
    <w:p>
      <w:pPr>
        <w:pStyle w:val="ListNumber"/>
        <w:spacing w:line="240" w:lineRule="auto"/>
        <w:ind w:left="720"/>
      </w:pPr>
      <w:r/>
      <w:r>
        <w:rPr>
          <w:i/>
        </w:rPr>
        <w:t>Voir</w:t>
      </w:r>
      <w:r>
        <w:t xml:space="preserve"> </w:t>
      </w:r>
      <w:r>
        <w:t>Bath-Schéba</w:t>
      </w:r>
      <w:r>
        <w:t>.</w:t>
      </w:r>
      <w:r/>
      <w:r/>
    </w:p>
    <w:p>
      <w:r/>
    </w:p>
    <w:p>
      <w:pPr>
        <w:pStyle w:val="Heading2"/>
      </w:pPr>
      <w:r>
        <w:t>Schuach</w:t>
      </w:r>
      <w:r/>
    </w:p>
    <w:p>
      <w:r/>
      <w:r>
        <w:t>L'un des six fils qu'Abraham a eus avec Ketura (</w:t>
      </w:r>
      <w:hyperlink r:id="rId7246">
        <w:r>
          <w:rPr>
            <w:color w:val="0000EE"/>
            <w:u w:val="single"/>
          </w:rPr>
          <w:t>Gn 25.2</w:t>
        </w:r>
      </w:hyperlink>
      <w:r>
        <w:t xml:space="preserve"> ; </w:t>
      </w:r>
      <w:hyperlink r:id="rId3038">
        <w:r>
          <w:rPr>
            <w:color w:val="0000EE"/>
            <w:u w:val="single"/>
          </w:rPr>
          <w:t>1Ch 1.32</w:t>
        </w:r>
      </w:hyperlink>
      <w:r>
        <w:t>). Il était peut-être l'ancêtre de la tribu à laquelle appartenait Bildad, qui habitait près du pays d'Uts (</w:t>
      </w:r>
      <w:hyperlink r:id="rId2000">
        <w:r>
          <w:rPr>
            <w:color w:val="0000EE"/>
            <w:u w:val="single"/>
          </w:rPr>
          <w:t>Jb 2.11</w:t>
        </w:r>
      </w:hyperlink>
      <w:r>
        <w:t>).</w:t>
      </w:r>
      <w:r/>
      <w:r/>
    </w:p>
    <w:p>
      <w:r/>
    </w:p>
    <w:p>
      <w:pPr>
        <w:pStyle w:val="Heading2"/>
      </w:pPr>
      <w:r>
        <w:t>Schur</w:t>
      </w:r>
      <w:r/>
    </w:p>
    <w:p>
      <w:r/>
      <w:r>
        <w:t>Région sauvage située dans la péninsule du Sinaï, à l'est du delta du Nil en Égypte et à l'ouest du Néguev. Dans les temps anciens, une route de caravane traversait cette région de l'Égypte à la Palestine. Abraham a vécu un temps entre Schur et Kadès (</w:t>
      </w:r>
      <w:hyperlink r:id="rId10591">
        <w:r>
          <w:rPr>
            <w:color w:val="0000EE"/>
            <w:u w:val="single"/>
          </w:rPr>
          <w:t>Gn 20.1</w:t>
        </w:r>
      </w:hyperlink>
      <w:r>
        <w:t>). Les Ismaélites vivaient également dans la région (</w:t>
      </w:r>
      <w:hyperlink r:id="rId11753">
        <w:r>
          <w:rPr>
            <w:color w:val="0000EE"/>
            <w:u w:val="single"/>
          </w:rPr>
          <w:t>Gn 25.18</w:t>
        </w:r>
      </w:hyperlink>
      <w:r>
        <w:t>). Après avoir traversé la mer Rouge, Moïse conduira Israël dans un voyage de trois jours à travers cette terre aride (</w:t>
      </w:r>
      <w:hyperlink r:id="rId5294">
        <w:r>
          <w:rPr>
            <w:color w:val="0000EE"/>
            <w:u w:val="single"/>
          </w:rPr>
          <w:t>Ex 15.22</w:t>
        </w:r>
      </w:hyperlink>
      <w:r>
        <w:t>). Le roi Saül d'Israël conquerra les Amalécites près de Schur (</w:t>
      </w:r>
      <w:hyperlink r:id="rId6216">
        <w:r>
          <w:rPr>
            <w:color w:val="0000EE"/>
            <w:u w:val="single"/>
          </w:rPr>
          <w:t>1S 15.7</w:t>
        </w:r>
      </w:hyperlink>
      <w:r>
        <w:t xml:space="preserve">). Plus tard, David y vaincra les </w:t>
      </w:r>
      <w:r>
        <w:t>Gueschuriens</w:t>
      </w:r>
      <w:r>
        <w:t xml:space="preserve">, les </w:t>
      </w:r>
      <w:r>
        <w:t>Guirziens</w:t>
      </w:r>
      <w:r>
        <w:t xml:space="preserve"> et les </w:t>
      </w:r>
      <w:r>
        <w:t>Amalécites</w:t>
      </w:r>
      <w:r>
        <w:t xml:space="preserve"> (</w:t>
      </w:r>
      <w:hyperlink r:id="rId618">
        <w:r>
          <w:rPr>
            <w:color w:val="0000EE"/>
            <w:u w:val="single"/>
          </w:rPr>
          <w:t>1S 27.8</w:t>
        </w:r>
      </w:hyperlink>
      <w:r>
        <w:t xml:space="preserve">). </w:t>
      </w:r>
      <w:hyperlink r:id="rId5297">
        <w:r>
          <w:rPr>
            <w:color w:val="0000EE"/>
            <w:u w:val="single"/>
          </w:rPr>
          <w:t>Nombres 33.8</w:t>
        </w:r>
      </w:hyperlink>
      <w:r>
        <w:t xml:space="preserve"> appelle la région le désert d'Étham.</w:t>
      </w:r>
    </w:p>
    <w:p>
      <w:r/>
      <w:r>
        <w:rPr>
          <w:i/>
        </w:rPr>
        <w:t>Voir aussi</w:t>
      </w:r>
      <w:r>
        <w:t xml:space="preserve"> </w:t>
      </w:r>
      <w:r>
        <w:t>Sina, Sinaï</w:t>
      </w:r>
      <w:r>
        <w:t xml:space="preserve"> ; </w:t>
      </w:r>
      <w:r>
        <w:t>Errances dans le désert</w:t>
      </w:r>
      <w:r>
        <w:t>.</w:t>
      </w:r>
      <w:r/>
      <w:r/>
    </w:p>
    <w:p>
      <w:r/>
    </w:p>
    <w:p>
      <w:pPr>
        <w:pStyle w:val="Heading2"/>
      </w:pPr>
      <w:r>
        <w:t>Séa</w:t>
      </w:r>
      <w:r/>
    </w:p>
    <w:p>
      <w:r/>
      <w:r>
        <w:t>Une unité de mesure sèche mentionnée deux fois dans la Bible (</w:t>
      </w:r>
      <w:hyperlink r:id="rId10383">
        <w:r>
          <w:rPr>
            <w:color w:val="0000EE"/>
            <w:u w:val="single"/>
          </w:rPr>
          <w:t>Gn 18.6</w:t>
        </w:r>
      </w:hyperlink>
      <w:r>
        <w:t xml:space="preserve"> ; </w:t>
      </w:r>
      <w:hyperlink r:id="rId13672">
        <w:r>
          <w:rPr>
            <w:color w:val="0000EE"/>
            <w:u w:val="single"/>
          </w:rPr>
          <w:t>1R 18.32</w:t>
        </w:r>
      </w:hyperlink>
      <w:r>
        <w:t>, NBS).</w:t>
      </w:r>
    </w:p>
    <w:p>
      <w:r/>
      <w:r>
        <w:rPr>
          <w:i/>
        </w:rPr>
        <w:t>Voir</w:t>
      </w:r>
      <w:r>
        <w:t xml:space="preserve"> </w:t>
      </w:r>
      <w:r>
        <w:t>Poids et mesures</w:t>
      </w:r>
      <w:r>
        <w:t>.</w:t>
      </w:r>
      <w:r/>
      <w:r/>
    </w:p>
    <w:p>
      <w:r/>
    </w:p>
    <w:p>
      <w:pPr>
        <w:pStyle w:val="Heading2"/>
      </w:pPr>
      <w:r>
        <w:t>Séba, Schéba (Personne)</w:t>
      </w:r>
      <w:r/>
    </w:p>
    <w:p>
      <w:pPr>
        <w:pStyle w:val="ListNumber"/>
        <w:spacing w:line="240" w:lineRule="auto"/>
        <w:ind w:left="720"/>
      </w:pPr>
      <w:r/>
      <w:r>
        <w:t>Fils de Raema. Son frère était Dedan. Ils étaient descendants de Cham, fils de Noé (</w:t>
      </w:r>
      <w:hyperlink r:id="rId3665">
        <w:r>
          <w:rPr>
            <w:color w:val="0000EE"/>
            <w:u w:val="single"/>
          </w:rPr>
          <w:t>Gn 10.7</w:t>
        </w:r>
      </w:hyperlink>
      <w:r>
        <w:t xml:space="preserve"> ; </w:t>
      </w:r>
      <w:hyperlink r:id="rId3666">
        <w:r>
          <w:rPr>
            <w:color w:val="0000EE"/>
            <w:u w:val="single"/>
          </w:rPr>
          <w:t>1Ch 1.9</w:t>
        </w:r>
      </w:hyperlink>
      <w:r>
        <w:t>).</w:t>
      </w:r>
    </w:p>
    <w:p>
      <w:pPr>
        <w:pStyle w:val="ListNumber"/>
        <w:spacing w:line="240" w:lineRule="auto"/>
        <w:ind w:left="720"/>
      </w:pPr>
      <w:r/>
      <w:r>
        <w:t>Un des treize fils de Jokthan. Il était descendant de Sem, fils de Noé (</w:t>
      </w:r>
      <w:hyperlink r:id="rId44">
        <w:r>
          <w:rPr>
            <w:color w:val="0000EE"/>
            <w:u w:val="single"/>
          </w:rPr>
          <w:t>Gn 10.28</w:t>
        </w:r>
      </w:hyperlink>
      <w:r>
        <w:t xml:space="preserve"> ; </w:t>
      </w:r>
      <w:hyperlink r:id="rId45">
        <w:r>
          <w:rPr>
            <w:color w:val="0000EE"/>
            <w:u w:val="single"/>
          </w:rPr>
          <w:t>1Ch 1.22</w:t>
        </w:r>
      </w:hyperlink>
      <w:r>
        <w:t>).</w:t>
      </w:r>
    </w:p>
    <w:p>
      <w:pPr>
        <w:pStyle w:val="ListNumber"/>
        <w:spacing w:line="240" w:lineRule="auto"/>
        <w:ind w:left="720"/>
      </w:pPr>
      <w:r/>
      <w:r>
        <w:t>Fils de Jokschan. Jokschan était le fils d'Abraham et de Ketura. Le frère de Séba s'appelait aussi Dedan (</w:t>
      </w:r>
      <w:hyperlink r:id="rId1367">
        <w:r>
          <w:rPr>
            <w:color w:val="0000EE"/>
            <w:u w:val="single"/>
          </w:rPr>
          <w:t>Gn 25.3</w:t>
        </w:r>
      </w:hyperlink>
      <w:r>
        <w:t xml:space="preserve"> ; </w:t>
      </w:r>
      <w:hyperlink r:id="rId3038">
        <w:r>
          <w:rPr>
            <w:color w:val="0000EE"/>
            <w:u w:val="single"/>
          </w:rPr>
          <w:t>1Ch 1.32</w:t>
        </w:r>
      </w:hyperlink>
      <w:r>
        <w:t>).</w:t>
      </w:r>
    </w:p>
    <w:p>
      <w:pPr>
        <w:pStyle w:val="ListNumber"/>
        <w:spacing w:line="240" w:lineRule="auto"/>
        <w:ind w:left="720"/>
      </w:pPr>
      <w:r/>
      <w:r>
        <w:t>Homme de la tribu de Benjamin. Son père était Bicri. Après la mort d'Absalom, Schéba conduira le peuple d'Israël à se rebeller contre le roi David. David enverra alors Joab pour arrêter la révolte. L'armée de Joab vaincra Schéba, et les habitants d'Abel-Beth-Maaca tueront Schéba en lui coupant la tête (</w:t>
      </w:r>
      <w:hyperlink r:id="rId13673">
        <w:r>
          <w:rPr>
            <w:color w:val="0000EE"/>
            <w:u w:val="single"/>
          </w:rPr>
          <w:t>2S 20.1–22</w:t>
        </w:r>
      </w:hyperlink>
      <w:r>
        <w:t>).</w:t>
      </w:r>
    </w:p>
    <w:p>
      <w:pPr>
        <w:pStyle w:val="ListNumber"/>
        <w:spacing w:line="240" w:lineRule="auto"/>
        <w:ind w:left="720"/>
      </w:pPr>
      <w:r/>
      <w:r>
        <w:t xml:space="preserve">Chef de la tribu de Gad qui vivait dans le pays de Basan. Ce Schéba est répertorié comme un chef durant le règne du roi Jotham de Juda (750–732 av. J.‑C.) et du roi Jéroboam II d'Israël (793–753 av. J.‑C.) ; voir </w:t>
      </w:r>
      <w:hyperlink r:id="rId13674">
        <w:r>
          <w:rPr>
            <w:color w:val="0000EE"/>
            <w:u w:val="single"/>
          </w:rPr>
          <w:t>1 Chroniques 5.13, 16–17</w:t>
        </w:r>
      </w:hyperlink>
      <w:r>
        <w:t>.</w:t>
      </w:r>
      <w:r/>
      <w:r/>
    </w:p>
    <w:p>
      <w:r/>
    </w:p>
    <w:p>
      <w:pPr>
        <w:pStyle w:val="Heading2"/>
      </w:pPr>
      <w:r>
        <w:t>Second</w:t>
      </w:r>
      <w:r/>
    </w:p>
    <w:p>
      <w:r/>
      <w:r>
        <w:t>Chrétien de Thessalonique, compagnon de voyage d'Aristarque. Second a accompagné Paul lors de son troisième voyage missionnaire à travers la Macédoine et la Grèce. Ensuite, attendra Paul à Troas en Asie Mineure (</w:t>
      </w:r>
      <w:hyperlink r:id="rId1302">
        <w:r>
          <w:rPr>
            <w:color w:val="0000EE"/>
            <w:u w:val="single"/>
          </w:rPr>
          <w:t>Ac 20.4–6</w:t>
        </w:r>
      </w:hyperlink>
      <w:r>
        <w:t>). On ne sait pas si Second est resté à Troas ou s'il est resté avec Paul lors de son dernier voyage à Jérusalem.</w:t>
      </w:r>
      <w:r/>
      <w:r/>
    </w:p>
    <w:p>
      <w:r/>
    </w:p>
    <w:p>
      <w:pPr>
        <w:pStyle w:val="Heading2"/>
      </w:pPr>
      <w:r>
        <w:t>Secrétaire municipal</w:t>
      </w:r>
      <w:r/>
    </w:p>
    <w:p>
      <w:r/>
      <w:r>
        <w:t>Un secrétaire municipal (ou greffier) était un fonctionnaire important dans les gouvernements des villes antiques. Cette personne avait pour tâche de consigner par écrit et d'annoncer les décisions prises par les dirigeants de la ville. Le greffier municipal aidait également à la communication entre la ville et le gouvernement romain.</w:t>
      </w:r>
    </w:p>
    <w:p>
      <w:r/>
      <w:r>
        <w:t>À Éphèse, le secrétaire municipal a aidé à calmer une foule en colère qui s'était rassemblée à cause de l'enseignement de Paul (</w:t>
      </w:r>
      <w:hyperlink r:id="rId3902">
        <w:r>
          <w:rPr>
            <w:color w:val="0000EE"/>
            <w:u w:val="single"/>
          </w:rPr>
          <w:t>Ac 19.35</w:t>
        </w:r>
      </w:hyperlink>
      <w:r>
        <w:t>). Ce greffier avait le pouvoir de punir les personnes qui causaient des troubles dans la ville. Heureusement, il a pu apaiser la foule et prévenir d'autres problèmes.</w:t>
      </w:r>
      <w:r/>
      <w:r/>
    </w:p>
    <w:p>
      <w:r/>
    </w:p>
    <w:p>
      <w:pPr>
        <w:pStyle w:val="Heading2"/>
      </w:pPr>
      <w:r>
        <w:t>Séir (Lieu)</w:t>
      </w:r>
      <w:r/>
    </w:p>
    <w:p>
      <w:r/>
      <w:r>
        <w:t>1. Chaîne de montagnes d'Édom s'étendant de la mer Morte vers le sud jusqu'au golfe d'Aqaba. Le mont Séir était bordé par la grande vallée d'Arabah à l'ouest et par le désert à l'est. Séir correspond au Jebel esh-Shera moderne.</w:t>
      </w:r>
    </w:p>
    <w:p>
      <w:r/>
      <w:r>
        <w:t xml:space="preserve">Séir était autrefois habité par les Horites, dont la défaite face au roi Kedorlaomer est relatée dans </w:t>
      </w:r>
      <w:hyperlink r:id="rId13675">
        <w:r>
          <w:rPr>
            <w:color w:val="0000EE"/>
            <w:u w:val="single"/>
          </w:rPr>
          <w:t>Genèse 14.4–6</w:t>
        </w:r>
      </w:hyperlink>
      <w:r>
        <w:t>. Les Horites seront ensuite dépossédés de cette région par Ésaü (</w:t>
      </w:r>
      <w:hyperlink r:id="rId4167">
        <w:r>
          <w:rPr>
            <w:color w:val="0000EE"/>
            <w:u w:val="single"/>
          </w:rPr>
          <w:t>Dt 2.12</w:t>
        </w:r>
      </w:hyperlink>
      <w:r>
        <w:t>) ; cependant, un reste de chefs horites a été répertorié parmi les descendants d'Ésaü vivant à Séir (</w:t>
      </w:r>
      <w:hyperlink r:id="rId6496">
        <w:r>
          <w:rPr>
            <w:color w:val="0000EE"/>
            <w:u w:val="single"/>
          </w:rPr>
          <w:t>Gn 36.20–30</w:t>
        </w:r>
      </w:hyperlink>
      <w:r>
        <w:t>). Comme cette région a été donnée par le Seigneur en héritage à Ésaü (</w:t>
      </w:r>
      <w:hyperlink r:id="rId13676">
        <w:r>
          <w:rPr>
            <w:color w:val="0000EE"/>
            <w:u w:val="single"/>
          </w:rPr>
          <w:t>Jos 24.4</w:t>
        </w:r>
      </w:hyperlink>
      <w:r>
        <w:t>), les Israélites ont été avertis de ne pas provoquer les fils d'Ésaü à la guerre alors qu'ils traversaient Séir lors de leurs voyages dans le désert (</w:t>
      </w:r>
      <w:hyperlink r:id="rId13677">
        <w:r>
          <w:rPr>
            <w:color w:val="0000EE"/>
            <w:u w:val="single"/>
          </w:rPr>
          <w:t>Dt 2.1–8</w:t>
        </w:r>
      </w:hyperlink>
      <w:r>
        <w:t>). Pendant l'occupation d'Israël en Palestine, ils seront entraînés dans plusieurs batailles contre le peuple de Séir. Un groupe de Siméonites détruira les Amalécites qui habitaient à Séir et s'y installera de nouveau avec leur propre peuple (</w:t>
      </w:r>
      <w:hyperlink r:id="rId13678">
        <w:r>
          <w:rPr>
            <w:color w:val="0000EE"/>
            <w:u w:val="single"/>
          </w:rPr>
          <w:t>1Ch 4.42</w:t>
        </w:r>
      </w:hyperlink>
      <w:r>
        <w:t>). Josaphat, roi de Juda (872–848 av. J.‑C.), remportera une victoire incroyable sur les armées alliées d'Ammon, Moab et Séir (</w:t>
      </w:r>
      <w:hyperlink r:id="rId13679">
        <w:r>
          <w:rPr>
            <w:color w:val="0000EE"/>
            <w:u w:val="single"/>
          </w:rPr>
          <w:t>2Ch 20.10–23</w:t>
        </w:r>
      </w:hyperlink>
      <w:r>
        <w:t>). Le roi Amatsia de Juda (796–767 av. J.‑C.) mettra en déroute une armée de Séir dans la vallée du sel (</w:t>
      </w:r>
      <w:hyperlink r:id="rId13680">
        <w:r>
          <w:rPr>
            <w:color w:val="0000EE"/>
            <w:u w:val="single"/>
          </w:rPr>
          <w:t>25.11–14</w:t>
        </w:r>
      </w:hyperlink>
      <w:r>
        <w:t>). Enfin, le prophète Ézéchiel prononcera une malédiction de destruction sur les habitants de Séir pour leur antagonisme contre Israël (</w:t>
      </w:r>
      <w:hyperlink r:id="rId4507">
        <w:r>
          <w:rPr>
            <w:color w:val="0000EE"/>
            <w:u w:val="single"/>
          </w:rPr>
          <w:t>Ez 35.1–15</w:t>
        </w:r>
      </w:hyperlink>
      <w:r>
        <w:t>).</w:t>
      </w:r>
    </w:p>
    <w:p>
      <w:r/>
      <w:r>
        <w:rPr>
          <w:i/>
        </w:rPr>
        <w:t>Voir aussi</w:t>
      </w:r>
      <w:r>
        <w:t xml:space="preserve"> </w:t>
      </w:r>
      <w:r>
        <w:t>Édom, Édomites</w:t>
      </w:r>
      <w:r>
        <w:t>.</w:t>
      </w:r>
    </w:p>
    <w:p>
      <w:r/>
      <w:r>
        <w:t>2. Lieu définissant une partie de la frontière nord du territoire assigné à la tribu de Juda (</w:t>
      </w:r>
      <w:hyperlink r:id="rId13681">
        <w:r>
          <w:rPr>
            <w:color w:val="0000EE"/>
            <w:u w:val="single"/>
          </w:rPr>
          <w:t>Jos 15.10</w:t>
        </w:r>
      </w:hyperlink>
      <w:r>
        <w:t>). Il était situé à l'ouest de Kirjath-Jearim et au nord-est de Beth-Schémesch. Le mont Séir est peut-être la crête sur laquelle est construite la ville moderne de Saris.</w:t>
      </w:r>
      <w:r/>
      <w:r/>
    </w:p>
    <w:p>
      <w:r/>
    </w:p>
    <w:p>
      <w:pPr>
        <w:pStyle w:val="Heading2"/>
      </w:pPr>
      <w:r>
        <w:t>séjour des morts</w:t>
      </w:r>
      <w:r/>
    </w:p>
    <w:p>
      <w:r/>
      <w:r>
        <w:t xml:space="preserve">Expression décrivant l'endroit où vont les êtres humains après la mort. Le séjour des morts est représenté par des images différentes et plusieurs termes dans la Bible. Dans l'Ancien Testament (AT), le séjour des morts est appelé : </w:t>
      </w:r>
      <w:r>
        <w:rPr>
          <w:i/>
        </w:rPr>
        <w:t>shéol</w:t>
      </w:r>
      <w:r>
        <w:t xml:space="preserve"> et </w:t>
      </w:r>
      <w:r>
        <w:rPr>
          <w:i/>
        </w:rPr>
        <w:t>la fosse</w:t>
      </w:r>
      <w:r>
        <w:t xml:space="preserve">. Dans le Nouveau Testament (NT), les endroits où vont les morts sont appelés </w:t>
      </w:r>
      <w:r>
        <w:rPr>
          <w:i/>
        </w:rPr>
        <w:t>l'Hadès</w:t>
      </w:r>
      <w:r>
        <w:t xml:space="preserve">, </w:t>
      </w:r>
      <w:r>
        <w:rPr>
          <w:i/>
        </w:rPr>
        <w:t>la géhenne</w:t>
      </w:r>
      <w:r>
        <w:t xml:space="preserve">, </w:t>
      </w:r>
      <w:r>
        <w:rPr>
          <w:i/>
        </w:rPr>
        <w:t>le paradis</w:t>
      </w:r>
      <w:r>
        <w:t xml:space="preserve"> et le « </w:t>
      </w:r>
      <w:r>
        <w:rPr>
          <w:i/>
        </w:rPr>
        <w:t>sein d'Abraham</w:t>
      </w:r>
      <w:r>
        <w:t xml:space="preserve"> ». Au fil du temps, le concept juif de ce qui se produit après la mort s'est développé et est devenu plus précis. C'est vers la fin de l'époque de l'AT et avant l'époque du NT que les gens commencent à avoir une idée plus précise de ce qui se passe après la mort.</w:t>
      </w:r>
    </w:p>
    <w:p>
      <w:pPr>
        <w:pStyle w:val="Heading3"/>
      </w:pPr>
      <w:r>
        <w:t>Le séjour des morts dans l'Ancien Testament</w:t>
      </w:r>
    </w:p>
    <w:p>
      <w:r/>
      <w:r>
        <w:t xml:space="preserve">L'AT ne contient pas beaucoup d'informations sur ce qui arrive après la mort. Selon certains passages, les morts descendaient dans un endroit appelé shéol. Dans la plupart des versions françaises, le nom de cet endroit est rarement traduit en tant que tel (« shéol ») ; le plus souvent, il est traduit par « séjour des morts », « monde des morts » ou par une autre expression comme « tombe/tombeau » ou « sépulcre ». </w:t>
      </w:r>
    </w:p>
    <w:p>
      <w:r/>
      <w:r>
        <w:t>Parfois, descendre dans le séjour des morts signifie simplement d'être mis dans la tombe (</w:t>
      </w:r>
      <w:hyperlink r:id="rId13682">
        <w:r>
          <w:rPr>
            <w:color w:val="0000EE"/>
            <w:u w:val="single"/>
          </w:rPr>
          <w:t>Nb 16.30, 33</w:t>
        </w:r>
      </w:hyperlink>
      <w:r>
        <w:t>). Dans d'autres passages, cela peut aussi signifier aller dans un monde souterrain où se trouvent les morts. Cet endroit est décrit comme étant sous la terre, un endroit où l'on « descend » (</w:t>
      </w:r>
      <w:hyperlink r:id="rId3351">
        <w:r>
          <w:rPr>
            <w:color w:val="0000EE"/>
            <w:u w:val="single"/>
          </w:rPr>
          <w:t>Gn 42.38</w:t>
        </w:r>
      </w:hyperlink>
      <w:r>
        <w:t xml:space="preserve"> ; </w:t>
      </w:r>
      <w:hyperlink r:id="rId13683">
        <w:r>
          <w:rPr>
            <w:color w:val="0000EE"/>
            <w:u w:val="single"/>
          </w:rPr>
          <w:t>Pr 15.24</w:t>
        </w:r>
      </w:hyperlink>
      <w:r>
        <w:t xml:space="preserve"> ; </w:t>
      </w:r>
      <w:hyperlink r:id="rId13684">
        <w:r>
          <w:rPr>
            <w:color w:val="0000EE"/>
            <w:u w:val="single"/>
          </w:rPr>
          <w:t>Ez 26.20</w:t>
        </w:r>
      </w:hyperlink>
      <w:r>
        <w:t>). C'est un lieu sombre et lugubre (</w:t>
      </w:r>
      <w:hyperlink r:id="rId10947">
        <w:r>
          <w:rPr>
            <w:color w:val="0000EE"/>
            <w:u w:val="single"/>
          </w:rPr>
          <w:t>Jb 10.21–22</w:t>
        </w:r>
      </w:hyperlink>
      <w:r>
        <w:t>), ou règne le silence (</w:t>
      </w:r>
      <w:hyperlink r:id="rId4435">
        <w:r>
          <w:rPr>
            <w:color w:val="0000EE"/>
            <w:u w:val="single"/>
          </w:rPr>
          <w:t>Ps 94.17</w:t>
        </w:r>
      </w:hyperlink>
      <w:r>
        <w:t xml:space="preserve"> ; </w:t>
      </w:r>
      <w:hyperlink r:id="rId4436">
        <w:r>
          <w:rPr>
            <w:color w:val="0000EE"/>
            <w:u w:val="single"/>
          </w:rPr>
          <w:t>115.17</w:t>
        </w:r>
      </w:hyperlink>
      <w:r>
        <w:t>) et l'oubli (</w:t>
      </w:r>
      <w:hyperlink r:id="rId13685">
        <w:r>
          <w:rPr>
            <w:color w:val="0000EE"/>
            <w:u w:val="single"/>
          </w:rPr>
          <w:t>Ps 88.13</w:t>
        </w:r>
      </w:hyperlink>
      <w:r>
        <w:t>). Dans shéol, il n'y a ni souvenir de Dieu, ni louanges (</w:t>
      </w:r>
      <w:hyperlink r:id="rId4686">
        <w:r>
          <w:rPr>
            <w:color w:val="0000EE"/>
            <w:u w:val="single"/>
          </w:rPr>
          <w:t>Ps 6.6</w:t>
        </w:r>
      </w:hyperlink>
      <w:r>
        <w:t xml:space="preserve"> ; </w:t>
      </w:r>
      <w:hyperlink r:id="rId13686">
        <w:r>
          <w:rPr>
            <w:color w:val="0000EE"/>
            <w:u w:val="single"/>
          </w:rPr>
          <w:t>30.10</w:t>
        </w:r>
      </w:hyperlink>
      <w:r>
        <w:t xml:space="preserve"> ; </w:t>
      </w:r>
      <w:hyperlink r:id="rId4436">
        <w:r>
          <w:rPr>
            <w:color w:val="0000EE"/>
            <w:u w:val="single"/>
          </w:rPr>
          <w:t>115.17</w:t>
        </w:r>
      </w:hyperlink>
      <w:r>
        <w:t>). Les morts y sont oubliés par Dieu (</w:t>
      </w:r>
      <w:hyperlink r:id="rId13687">
        <w:r>
          <w:rPr>
            <w:color w:val="0000EE"/>
            <w:u w:val="single"/>
          </w:rPr>
          <w:t>Ps 88.6, 11</w:t>
        </w:r>
      </w:hyperlink>
      <w:r>
        <w:t xml:space="preserve"> ; </w:t>
      </w:r>
      <w:hyperlink r:id="rId4704">
        <w:r>
          <w:rPr>
            <w:color w:val="0000EE"/>
            <w:u w:val="single"/>
          </w:rPr>
          <w:t>Es 38.18</w:t>
        </w:r>
      </w:hyperlink>
      <w:r>
        <w:t>). Ils sont considérés comme complètement séparés de lui et comme n'ayant plus aucune participation dans son œuvre et dans l'histoire de ce monde.</w:t>
      </w:r>
    </w:p>
    <w:p>
      <w:r/>
      <w:r>
        <w:t>Cependant, la frontière entre la vie et la mort ne semble pas entièrement fermée dans certains passages. Par exemple, Élisée ressuscite un garçon (</w:t>
      </w:r>
      <w:hyperlink r:id="rId13688">
        <w:r>
          <w:rPr>
            <w:color w:val="0000EE"/>
            <w:u w:val="single"/>
          </w:rPr>
          <w:t>2R 4.32–37</w:t>
        </w:r>
      </w:hyperlink>
      <w:r>
        <w:t>) et Saül communique avec l'esprit de Samuel, qui est mort (</w:t>
      </w:r>
      <w:hyperlink r:id="rId13689">
        <w:r>
          <w:rPr>
            <w:color w:val="0000EE"/>
            <w:u w:val="single"/>
          </w:rPr>
          <w:t>1S 28.7–25</w:t>
        </w:r>
      </w:hyperlink>
      <w:r>
        <w:t>). La loi de Dieu interdit de chercher à communiquer avec les morts (</w:t>
      </w:r>
      <w:hyperlink r:id="rId13690">
        <w:r>
          <w:rPr>
            <w:color w:val="0000EE"/>
            <w:u w:val="single"/>
          </w:rPr>
          <w:t>Dt 18.11</w:t>
        </w:r>
      </w:hyperlink>
      <w:r>
        <w:t>), mais les peuples voisins d'Israël les adoraient souvent.</w:t>
      </w:r>
    </w:p>
    <w:p>
      <w:r/>
      <w:r>
        <w:t>Séjourner parmi les morts n'est pas vraiment présenté comme une vie après la mort. Cependant, le séjour des morts est présenté comme une façon de continuer d'exister, peut-être même en compagnie de son peuple et de ses ancêtres (</w:t>
      </w:r>
      <w:hyperlink r:id="rId13691">
        <w:r>
          <w:rPr>
            <w:color w:val="0000EE"/>
            <w:u w:val="single"/>
          </w:rPr>
          <w:t>Gn 25.8</w:t>
        </w:r>
      </w:hyperlink>
      <w:r>
        <w:t xml:space="preserve"> ; </w:t>
      </w:r>
      <w:hyperlink r:id="rId13692">
        <w:r>
          <w:rPr>
            <w:color w:val="0000EE"/>
            <w:u w:val="single"/>
          </w:rPr>
          <w:t>Ez 32.17–30</w:t>
        </w:r>
      </w:hyperlink>
      <w:r>
        <w:t>). L'AT affirme que le séjour des morts est à la portée de Dieu (</w:t>
      </w:r>
      <w:hyperlink r:id="rId10341">
        <w:r>
          <w:rPr>
            <w:color w:val="0000EE"/>
            <w:u w:val="single"/>
          </w:rPr>
          <w:t>Ps 139.8</w:t>
        </w:r>
      </w:hyperlink>
      <w:r>
        <w:t xml:space="preserve"> ; </w:t>
      </w:r>
      <w:hyperlink r:id="rId4696">
        <w:r>
          <w:rPr>
            <w:color w:val="0000EE"/>
            <w:u w:val="single"/>
          </w:rPr>
          <w:t>Am 9.2</w:t>
        </w:r>
      </w:hyperlink>
      <w:r>
        <w:t xml:space="preserve"> ; </w:t>
      </w:r>
      <w:hyperlink r:id="rId13693">
        <w:r>
          <w:rPr>
            <w:color w:val="0000EE"/>
            <w:u w:val="single"/>
          </w:rPr>
          <w:t>Jon 2.3</w:t>
        </w:r>
      </w:hyperlink>
      <w:r>
        <w:t>). Le séjour des morts est parfois présenté comme un monstre qui n'est jamais rassasié et qui dévore les vivants (</w:t>
      </w:r>
      <w:hyperlink r:id="rId13694">
        <w:r>
          <w:rPr>
            <w:color w:val="0000EE"/>
            <w:u w:val="single"/>
          </w:rPr>
          <w:t>Pr 27.20</w:t>
        </w:r>
      </w:hyperlink>
      <w:r>
        <w:t xml:space="preserve"> ; </w:t>
      </w:r>
      <w:hyperlink r:id="rId13695">
        <w:r>
          <w:rPr>
            <w:color w:val="0000EE"/>
            <w:u w:val="single"/>
          </w:rPr>
          <w:t>30.16</w:t>
        </w:r>
      </w:hyperlink>
      <w:r>
        <w:t>). Toutefois, Dieu peut « délivrer » quelqu'un du séjour des morts. Cela signifie le secourir et le sauver de la mort (</w:t>
      </w:r>
      <w:hyperlink r:id="rId637">
        <w:r>
          <w:rPr>
            <w:color w:val="0000EE"/>
            <w:u w:val="single"/>
          </w:rPr>
          <w:t>Ps 49.16</w:t>
        </w:r>
      </w:hyperlink>
      <w:r>
        <w:t xml:space="preserve"> ; </w:t>
      </w:r>
      <w:hyperlink r:id="rId13696">
        <w:r>
          <w:rPr>
            <w:color w:val="0000EE"/>
            <w:u w:val="single"/>
          </w:rPr>
          <w:t>86.13</w:t>
        </w:r>
      </w:hyperlink>
      <w:r>
        <w:t>).</w:t>
      </w:r>
    </w:p>
    <w:p>
      <w:r/>
      <w:r>
        <w:t>Malgré les passages dans l'AT qui expriment l'espoir que Dieu peut secourir quelqu'un du séjour des morts (</w:t>
      </w:r>
      <w:hyperlink r:id="rId13697">
        <w:r>
          <w:rPr>
            <w:color w:val="0000EE"/>
            <w:u w:val="single"/>
          </w:rPr>
          <w:t>Jb 14.13–22</w:t>
        </w:r>
      </w:hyperlink>
      <w:r>
        <w:t xml:space="preserve"> ; </w:t>
      </w:r>
      <w:hyperlink r:id="rId4699">
        <w:r>
          <w:rPr>
            <w:color w:val="0000EE"/>
            <w:u w:val="single"/>
          </w:rPr>
          <w:t>19.25–27</w:t>
        </w:r>
      </w:hyperlink>
      <w:r>
        <w:t xml:space="preserve"> ; </w:t>
      </w:r>
      <w:hyperlink r:id="rId637">
        <w:r>
          <w:rPr>
            <w:color w:val="0000EE"/>
            <w:u w:val="single"/>
          </w:rPr>
          <w:t>Ps 49.16</w:t>
        </w:r>
      </w:hyperlink>
      <w:r>
        <w:t xml:space="preserve"> ; </w:t>
      </w:r>
      <w:hyperlink r:id="rId10340">
        <w:r>
          <w:rPr>
            <w:color w:val="0000EE"/>
            <w:u w:val="single"/>
          </w:rPr>
          <w:t>73.23–28</w:t>
        </w:r>
      </w:hyperlink>
      <w:r>
        <w:t>), Daniel est le seul qui, dans l'AT, parle clairement d'une résurrection future (</w:t>
      </w:r>
      <w:hyperlink r:id="rId13698">
        <w:r>
          <w:rPr>
            <w:color w:val="0000EE"/>
            <w:u w:val="single"/>
          </w:rPr>
          <w:t>Dn 12.1–2</w:t>
        </w:r>
      </w:hyperlink>
      <w:r>
        <w:t>). Ainsi, même si les anciens Israélites n'envisageaient pas la mort de la même manière que Paul dans le NT (</w:t>
      </w:r>
      <w:hyperlink r:id="rId13699">
        <w:r>
          <w:rPr>
            <w:color w:val="0000EE"/>
            <w:u w:val="single"/>
          </w:rPr>
          <w:t>2Co 5.1–8</w:t>
        </w:r>
      </w:hyperlink>
      <w:r>
        <w:t xml:space="preserve"> ; </w:t>
      </w:r>
      <w:hyperlink r:id="rId13700">
        <w:r>
          <w:rPr>
            <w:color w:val="0000EE"/>
            <w:u w:val="single"/>
          </w:rPr>
          <w:t>Ph 1.21–23</w:t>
        </w:r>
      </w:hyperlink>
      <w:r>
        <w:t>), ils ont fini par comprendre que la mort n'est pas une fin sans espoir.</w:t>
      </w:r>
    </w:p>
    <w:p>
      <w:pPr>
        <w:pStyle w:val="Heading3"/>
      </w:pPr>
      <w:r>
        <w:t>Le séjour des morts entre l'Ancien et le Nouveau Testament</w:t>
      </w:r>
    </w:p>
    <w:p>
      <w:r/>
      <w:r>
        <w:t xml:space="preserve">Entre l'exil à Babylone et le début de la période du NT (586 </w:t>
      </w:r>
      <w:r>
        <w:t>av. J.‑C.</w:t>
      </w:r>
      <w:r>
        <w:t xml:space="preserve"> à 30 </w:t>
      </w:r>
      <w:r>
        <w:t>apr. J.‑C.</w:t>
      </w:r>
      <w:r>
        <w:t xml:space="preserve">), les Juifs viennent au contact des religions perse et grecque. Ceci les pousse à définir davantage la question de la vie après la mort. Quand l'AT est traduit en grec, le mot hébreu </w:t>
      </w:r>
      <w:r>
        <w:rPr>
          <w:i/>
        </w:rPr>
        <w:t>shéol</w:t>
      </w:r>
      <w:r>
        <w:t xml:space="preserve"> est traduit « Hadès ». Hadès est le nom grec du séjour des morts. Hadès devient le mot principal qui désigne le séjour des morts dans le NT. La majorité des versions françaises traduisent Hadès par « séjour des morts » ou « enfer » dans le NT.</w:t>
      </w:r>
    </w:p>
    <w:p>
      <w:r/>
      <w:r>
        <w:t>Pendant cette période, différentes idées sur ce qui se passe après la mort circulent parmi les Juifs. Une croyance populaire selon laquelle les morts sont gardés dans des espaces creux à l'intérieur d'une grande montagne est mentionnée dans un livre juif de cette période : 1 Hénoc 22. Une section de la montagne est assez agréable et réservée aux justes, tandis que l'autre est pleine de tourments pour les méchants. D'autres auteurs juifs de l'époque continuent de considérer shéol (ou l'Hadès) comme un lieu où il n'y a ni contact avec Dieu, ni bonheur (</w:t>
      </w:r>
      <w:hyperlink r:id="rId13701">
        <w:r>
          <w:rPr>
            <w:color w:val="0000EE"/>
            <w:u w:val="single"/>
          </w:rPr>
          <w:t>Si 14.12, 16</w:t>
        </w:r>
      </w:hyperlink>
      <w:r>
        <w:t xml:space="preserve"> ; </w:t>
      </w:r>
      <w:hyperlink r:id="rId13702">
        <w:r>
          <w:rPr>
            <w:color w:val="0000EE"/>
            <w:u w:val="single"/>
          </w:rPr>
          <w:t>17.27–28</w:t>
        </w:r>
      </w:hyperlink>
      <w:r>
        <w:t>).</w:t>
      </w:r>
    </w:p>
    <w:p>
      <w:r/>
      <w:r>
        <w:t xml:space="preserve">Pendant cette période, les Juifs commencent à utiliser le mot « géhenne » pour désigner le lieu de jugement des injustes après la mort. Ce nom désigne la vallée de Hinnom (en hébreu, </w:t>
      </w:r>
      <w:r>
        <w:rPr>
          <w:i/>
        </w:rPr>
        <w:t>gue hinnom</w:t>
      </w:r>
      <w:r>
        <w:t>), qui se trouve au sud de Jérusalem. Dans l'AT, cette vallée est tristement célèbre parce que c'était l'endroit où des enfants avaient été sacrifiés à des idoles (</w:t>
      </w:r>
      <w:hyperlink r:id="rId5922">
        <w:r>
          <w:rPr>
            <w:color w:val="0000EE"/>
            <w:u w:val="single"/>
          </w:rPr>
          <w:t xml:space="preserve">2R </w:t>
        </w:r>
      </w:hyperlink>
      <w:hyperlink r:id="rId5924">
        <w:r>
          <w:rPr>
            <w:color w:val="0000EE"/>
            <w:u w:val="single"/>
          </w:rPr>
          <w:t>23.10</w:t>
        </w:r>
      </w:hyperlink>
      <w:r>
        <w:t xml:space="preserve"> ; </w:t>
      </w:r>
      <w:hyperlink r:id="rId4711">
        <w:r>
          <w:rPr>
            <w:color w:val="0000EE"/>
            <w:u w:val="single"/>
          </w:rPr>
          <w:t xml:space="preserve">2Ch 28.3 </w:t>
        </w:r>
      </w:hyperlink>
      <w:r>
        <w:t xml:space="preserve">; </w:t>
      </w:r>
      <w:hyperlink r:id="rId3898">
        <w:r>
          <w:rPr>
            <w:color w:val="0000EE"/>
            <w:u w:val="single"/>
          </w:rPr>
          <w:t>33.6</w:t>
        </w:r>
      </w:hyperlink>
      <w:r>
        <w:t xml:space="preserve">). </w:t>
      </w:r>
    </w:p>
    <w:p>
      <w:r/>
      <w:r>
        <w:t xml:space="preserve">À l'époque du Nouveau Testament, ce lieu est utilisé comme décharge où des déchets sont constamment brûlés. </w:t>
      </w:r>
      <w:r>
        <w:rPr>
          <w:i/>
        </w:rPr>
        <w:t>Géhenne</w:t>
      </w:r>
      <w:r>
        <w:t xml:space="preserve"> devient le mot désignant le lieu où finiront les injustes après leurs morts, un lieu de tourment dans un feu éternel (1 Hén 90.20–27 ; 2 Esd 7.70). Par contre, les justes iront au paradis, où ils seront bénis dans la joie et le bonheur. « Paradis » est un mot d'origine perse qui signifie « jardin délicieux ».</w:t>
      </w:r>
    </w:p>
    <w:p>
      <w:r/>
      <w:r>
        <w:t>Les auteurs du NT ont adapté ces termes connus (Hadès, géhenne et paradis) pour parler de ce qui avait été révélé en Christ.</w:t>
      </w:r>
    </w:p>
    <w:p>
      <w:pPr>
        <w:pStyle w:val="Heading3"/>
      </w:pPr>
      <w:r>
        <w:t>Le séjour des morts dans le Nouveau Testament</w:t>
      </w:r>
    </w:p>
    <w:p>
      <w:r/>
      <w:r>
        <w:t>Bien que le NT utilise des termes variés pour décrire le séjour des morts, il n'en parle que dans 35 versets au total. La plupart de ces passages se trouvent dans les Évangiles et dans le livre de l'Apocalypse. L'apôtre Paul parle beaucoup du ciel ou des cieux, mais seuls Jésus et Jean parlent du lieu de jugement en détail.</w:t>
      </w:r>
    </w:p>
    <w:p>
      <w:pPr>
        <w:pStyle w:val="Heading4"/>
      </w:pPr>
      <w:r>
        <w:t>Jésus et le séjour des morts</w:t>
      </w:r>
    </w:p>
    <w:p>
      <w:r/>
      <w:r>
        <w:t>Le mot « Hadès » n'apparaît qu'une fois dans les paroles de Jésus. Dans la parabole de l'homme riche et de Lazare, l'Hadès est un endroit de tourments où vont les injustes après la mort (</w:t>
      </w:r>
      <w:hyperlink r:id="rId4705">
        <w:r>
          <w:rPr>
            <w:color w:val="0000EE"/>
            <w:u w:val="single"/>
          </w:rPr>
          <w:t xml:space="preserve">Lc 16.23, </w:t>
        </w:r>
      </w:hyperlink>
      <w:r>
        <w:t xml:space="preserve">voir Darby). Leur tourment est décrit comme une « flamme » qui fait souffrir les injustes physiquement, même s'ils sont morts. Il n'y a pas de soulagement accordé à ceux qui sont ainsi tourmentés. </w:t>
      </w:r>
    </w:p>
    <w:p>
      <w:r/>
      <w:r>
        <w:t>Quand les injustes meurent, ils vont immédiatement dans le séjour des morts. Toutefois, le lieu où ils finiront est la géhenne, un endroit où brûle le feu et où le ver ne meurt pas. Le feu et le ver communiquent tous les deux une destruction sans fin (</w:t>
      </w:r>
      <w:hyperlink r:id="rId4706">
        <w:r>
          <w:rPr>
            <w:color w:val="0000EE"/>
            <w:u w:val="single"/>
          </w:rPr>
          <w:t>Mt 5.22, 29–30</w:t>
        </w:r>
      </w:hyperlink>
      <w:r>
        <w:t xml:space="preserve"> ; </w:t>
      </w:r>
      <w:hyperlink r:id="rId4707">
        <w:r>
          <w:rPr>
            <w:color w:val="0000EE"/>
            <w:u w:val="single"/>
          </w:rPr>
          <w:t>18.9</w:t>
        </w:r>
      </w:hyperlink>
      <w:r>
        <w:t xml:space="preserve"> ; </w:t>
      </w:r>
      <w:hyperlink r:id="rId13703">
        <w:r>
          <w:rPr>
            <w:color w:val="0000EE"/>
            <w:u w:val="single"/>
          </w:rPr>
          <w:t>Mc 9.48</w:t>
        </w:r>
      </w:hyperlink>
      <w:r>
        <w:t xml:space="preserve"> ; voir aussi </w:t>
      </w:r>
      <w:hyperlink r:id="rId4991">
        <w:r>
          <w:rPr>
            <w:color w:val="0000EE"/>
            <w:u w:val="single"/>
          </w:rPr>
          <w:t>Es 66.24</w:t>
        </w:r>
      </w:hyperlink>
      <w:r>
        <w:t>). Jésus décrit aussi probablement la géhenne quand il parle du jugement comme un endroit de « ténèbres du dehors » où il y aura des « pleurs et des grincements de dents » (</w:t>
      </w:r>
      <w:hyperlink r:id="rId4661">
        <w:r>
          <w:rPr>
            <w:color w:val="0000EE"/>
            <w:u w:val="single"/>
          </w:rPr>
          <w:t>Mt 8.12</w:t>
        </w:r>
      </w:hyperlink>
      <w:r>
        <w:t xml:space="preserve"> ; </w:t>
      </w:r>
      <w:hyperlink r:id="rId4989">
        <w:r>
          <w:rPr>
            <w:color w:val="0000EE"/>
            <w:u w:val="single"/>
          </w:rPr>
          <w:t>22.13</w:t>
        </w:r>
      </w:hyperlink>
      <w:r>
        <w:t xml:space="preserve"> ; </w:t>
      </w:r>
      <w:hyperlink r:id="rId4990">
        <w:r>
          <w:rPr>
            <w:color w:val="0000EE"/>
            <w:u w:val="single"/>
          </w:rPr>
          <w:t>25.30</w:t>
        </w:r>
      </w:hyperlink>
      <w:r>
        <w:t>). Après le jugement final de Dieu, Jésus enverra les méchants dans la géhenne (</w:t>
      </w:r>
      <w:hyperlink r:id="rId13704">
        <w:r>
          <w:rPr>
            <w:color w:val="0000EE"/>
            <w:u w:val="single"/>
          </w:rPr>
          <w:t xml:space="preserve">Jn 5.22, </w:t>
        </w:r>
      </w:hyperlink>
      <w:hyperlink r:id="rId8711">
        <w:r>
          <w:rPr>
            <w:color w:val="0000EE"/>
            <w:u w:val="single"/>
          </w:rPr>
          <w:t>26–29</w:t>
        </w:r>
      </w:hyperlink>
      <w:r>
        <w:t xml:space="preserve"> ; </w:t>
      </w:r>
      <w:hyperlink r:id="rId3736">
        <w:r>
          <w:rPr>
            <w:color w:val="0000EE"/>
            <w:u w:val="single"/>
          </w:rPr>
          <w:t>Ac 10.42</w:t>
        </w:r>
      </w:hyperlink>
      <w:r>
        <w:t xml:space="preserve"> ; </w:t>
      </w:r>
      <w:hyperlink r:id="rId3737">
        <w:r>
          <w:rPr>
            <w:color w:val="0000EE"/>
            <w:u w:val="single"/>
          </w:rPr>
          <w:t>17.31</w:t>
        </w:r>
      </w:hyperlink>
      <w:r>
        <w:t xml:space="preserve"> ; </w:t>
      </w:r>
      <w:hyperlink r:id="rId13705">
        <w:r>
          <w:rPr>
            <w:color w:val="0000EE"/>
            <w:u w:val="single"/>
          </w:rPr>
          <w:t>2Tm 4.1</w:t>
        </w:r>
      </w:hyperlink>
      <w:r>
        <w:t>). Comme shéol dans l'AT, la géhenne est un lieu où les morts sont séparés de Dieu.</w:t>
      </w:r>
    </w:p>
    <w:p>
      <w:r/>
      <w:r>
        <w:t>Quand Jésus prêchait qu'il fallait se détourner du péché, il avertissait du danger de la géhenne. Il n'a pas autant décrit l'endroit où vont les justes quand ils meurent. Les justes entreront dans « le royaume » suite au jugement dernier (</w:t>
      </w:r>
      <w:hyperlink r:id="rId7839">
        <w:r>
          <w:rPr>
            <w:color w:val="0000EE"/>
            <w:u w:val="single"/>
          </w:rPr>
          <w:t>Mt 25.34</w:t>
        </w:r>
      </w:hyperlink>
      <w:r>
        <w:t>). Dans les Évangiles, Jésus indique deux fois que les justes seront dans un lieu de bénédiction dès qu'ils mourront. Dans la parabole de l'homme riche et de Lazare, ce dernier est transporté par des anges « dans le sein d'Abraham ». En plus d'être en compagnie d'Abraham, Lazare est consolé de tout ce qu'il a souffert pendant sa vie (</w:t>
      </w:r>
      <w:hyperlink r:id="rId13706">
        <w:r>
          <w:rPr>
            <w:color w:val="0000EE"/>
            <w:u w:val="single"/>
          </w:rPr>
          <w:t>Lc 16.22</w:t>
        </w:r>
      </w:hyperlink>
      <w:r>
        <w:t>). Au malfaiteur qui se convertit sur la croix, Jésus promet qu'il sera avec lui le jour même « dans le paradis » (</w:t>
      </w:r>
      <w:hyperlink r:id="rId11668">
        <w:r>
          <w:rPr>
            <w:color w:val="0000EE"/>
            <w:u w:val="single"/>
          </w:rPr>
          <w:t>Lc 23.43</w:t>
        </w:r>
      </w:hyperlink>
      <w:r>
        <w:t>). Plus tard, Paul parle du ciel et du paradis comme s'il s'agissait du même endroit (</w:t>
      </w:r>
      <w:hyperlink r:id="rId13707">
        <w:r>
          <w:rPr>
            <w:color w:val="0000EE"/>
            <w:u w:val="single"/>
          </w:rPr>
          <w:t>2Co 12.2–3</w:t>
        </w:r>
      </w:hyperlink>
      <w:r>
        <w:t>). Dans Apocalypse, Jésus promet de donner du fruit de l'arbre de vie à ceux qui vaincront (</w:t>
      </w:r>
      <w:hyperlink r:id="rId1154">
        <w:r>
          <w:rPr>
            <w:color w:val="0000EE"/>
            <w:u w:val="single"/>
          </w:rPr>
          <w:t>Ap 2.7</w:t>
        </w:r>
      </w:hyperlink>
      <w:r>
        <w:t>). Dans les visions que Jean décrit, le paradis fait partie des nouveaux cieux et de la nouvelle terre que Dieu va créer (</w:t>
      </w:r>
      <w:hyperlink r:id="rId13708">
        <w:r>
          <w:rPr>
            <w:color w:val="0000EE"/>
            <w:u w:val="single"/>
          </w:rPr>
          <w:t>Ap 21.1–2</w:t>
        </w:r>
      </w:hyperlink>
      <w:r>
        <w:t xml:space="preserve"> ; </w:t>
      </w:r>
      <w:hyperlink r:id="rId13709">
        <w:r>
          <w:rPr>
            <w:color w:val="0000EE"/>
            <w:u w:val="single"/>
          </w:rPr>
          <w:t>22.1–2</w:t>
        </w:r>
      </w:hyperlink>
      <w:r>
        <w:t>).</w:t>
      </w:r>
    </w:p>
    <w:p>
      <w:pPr>
        <w:pStyle w:val="Heading4"/>
      </w:pPr>
      <w:r>
        <w:t>Le séjour des morts dans les épîtres du Nouveau Testament</w:t>
      </w:r>
    </w:p>
    <w:p>
      <w:r/>
      <w:r>
        <w:t xml:space="preserve">Paul et les autres auteurs de lettres dans le NT n'ont pas dit grand-chose sur ce qui arrive aux injustes après la mort. Paul mentionne juste « l'abîme » en passant, utilisant ce mot pour traduire </w:t>
      </w:r>
      <w:r>
        <w:rPr>
          <w:i/>
        </w:rPr>
        <w:t>shéol</w:t>
      </w:r>
      <w:r>
        <w:t xml:space="preserve"> lorsqu'il cite un passage de l'AT (</w:t>
      </w:r>
      <w:hyperlink r:id="rId55">
        <w:r>
          <w:rPr>
            <w:color w:val="0000EE"/>
            <w:u w:val="single"/>
          </w:rPr>
          <w:t>Rm 10.7</w:t>
        </w:r>
      </w:hyperlink>
      <w:r>
        <w:t>). Paul dit que Christ est descendu dans « les régions inférieures de la terre » probablement pour signifier qu'il est allé au séjour des morts après la croix (</w:t>
      </w:r>
      <w:hyperlink r:id="rId13710">
        <w:r>
          <w:rPr>
            <w:color w:val="0000EE"/>
            <w:u w:val="single"/>
          </w:rPr>
          <w:t>Ep 4.9</w:t>
        </w:r>
      </w:hyperlink>
      <w:r>
        <w:t xml:space="preserve">). Les rabbins juifs utilisaient l'expression « les dernières profondeurs de la terre » pour parler de shéol, de l'Hadès et de la géhenne. </w:t>
      </w:r>
    </w:p>
    <w:p>
      <w:r/>
      <w:r>
        <w:t>Pierre enseigne qu'après sa mort, le Christ est allé dans l'Esprit prêcher aux « esprits en prison » (</w:t>
      </w:r>
      <w:hyperlink r:id="rId4947">
        <w:r>
          <w:rPr>
            <w:color w:val="0000EE"/>
            <w:u w:val="single"/>
          </w:rPr>
          <w:t>1P 3.18</w:t>
        </w:r>
      </w:hyperlink>
      <w:r>
        <w:t>–</w:t>
      </w:r>
      <w:hyperlink r:id="rId4947">
        <w:r>
          <w:rPr>
            <w:color w:val="0000EE"/>
            <w:u w:val="single"/>
          </w:rPr>
          <w:t>20</w:t>
        </w:r>
      </w:hyperlink>
      <w:r>
        <w:t xml:space="preserve">). Ce passage a été interprété de différentes façons. Certains pensent que cela signifie que Christ est entré dans l'Hadès et a prêché aux anges déchus de l'époque de Noé (les « fils de Dieu » dans </w:t>
      </w:r>
      <w:hyperlink r:id="rId4948">
        <w:r>
          <w:rPr>
            <w:color w:val="0000EE"/>
            <w:u w:val="single"/>
          </w:rPr>
          <w:t>Gn 6.1–4</w:t>
        </w:r>
      </w:hyperlink>
      <w:r>
        <w:t xml:space="preserve">). D'autres pensent qu'il a prêché aux esprits des morts. Dans </w:t>
      </w:r>
      <w:hyperlink r:id="rId51">
        <w:r>
          <w:rPr>
            <w:color w:val="0000EE"/>
            <w:u w:val="single"/>
          </w:rPr>
          <w:t>2 Pierre 2.4,</w:t>
        </w:r>
      </w:hyperlink>
      <w:r>
        <w:t xml:space="preserve"> Pierre utilise le mot grec « Tartare » pour désigner l'endroit où Dieu a précipité les anges déchus. Dans la mythologie grecque, le Tartare est un abîme profond qui sert de prison à des êtres supérieurs aux hommes et où les pécheurs sont tourmentés. Le mot « Tartare » dans ce passage est parfois traduit « abîme(s) » ou « enfer » dans les versions françaises.</w:t>
      </w:r>
    </w:p>
    <w:p>
      <w:r/>
      <w:r>
        <w:t>Paul en dit plus sur ce qui arrivera aux justes après la mort. Dans ses premières lettres, il ne dit pas où ils vont. Il dit seulement qu'ils seront ressuscités (</w:t>
      </w:r>
      <w:hyperlink r:id="rId3287">
        <w:r>
          <w:rPr>
            <w:color w:val="0000EE"/>
            <w:u w:val="single"/>
          </w:rPr>
          <w:t>1Co 15</w:t>
        </w:r>
      </w:hyperlink>
      <w:r>
        <w:t xml:space="preserve"> ; </w:t>
      </w:r>
      <w:hyperlink r:id="rId13711">
        <w:r>
          <w:rPr>
            <w:color w:val="0000EE"/>
            <w:u w:val="single"/>
          </w:rPr>
          <w:t>1Th 4.13</w:t>
        </w:r>
      </w:hyperlink>
      <w:r>
        <w:t>–</w:t>
      </w:r>
      <w:hyperlink r:id="rId13711">
        <w:r>
          <w:rPr>
            <w:color w:val="0000EE"/>
            <w:u w:val="single"/>
          </w:rPr>
          <w:t>17</w:t>
        </w:r>
      </w:hyperlink>
      <w:r>
        <w:t>). Après avoir failli mourir lui-même, il commence à en dire plus sur ce qui arrive aux justes quand ils meurent (</w:t>
      </w:r>
      <w:hyperlink r:id="rId3133">
        <w:r>
          <w:rPr>
            <w:color w:val="0000EE"/>
            <w:u w:val="single"/>
          </w:rPr>
          <w:t>2Co 1.8–11</w:t>
        </w:r>
      </w:hyperlink>
      <w:r>
        <w:t>). Il enseigne que mourir signifie d'être avec Jésus, ce qui est mieux que de vivre sur terre (</w:t>
      </w:r>
      <w:hyperlink r:id="rId3097">
        <w:r>
          <w:rPr>
            <w:color w:val="0000EE"/>
            <w:u w:val="single"/>
          </w:rPr>
          <w:t>Ph 1.23</w:t>
        </w:r>
      </w:hyperlink>
      <w:r>
        <w:t>). Pour le chrétien, quitter ce corps signifie de demeurer avec le Seigneur (</w:t>
      </w:r>
      <w:hyperlink r:id="rId13712">
        <w:r>
          <w:rPr>
            <w:color w:val="0000EE"/>
            <w:u w:val="single"/>
          </w:rPr>
          <w:t>2Co 5.8</w:t>
        </w:r>
      </w:hyperlink>
      <w:r>
        <w:t xml:space="preserve">). Il est possible que Paul voulait dire que les justes allaient directement au paradis pour être avec Jésus (voir </w:t>
      </w:r>
      <w:hyperlink r:id="rId13713">
        <w:r>
          <w:rPr>
            <w:color w:val="0000EE"/>
            <w:u w:val="single"/>
          </w:rPr>
          <w:t>2Co 12.2</w:t>
        </w:r>
      </w:hyperlink>
      <w:r>
        <w:t>–</w:t>
      </w:r>
      <w:hyperlink r:id="rId13713">
        <w:r>
          <w:rPr>
            <w:color w:val="0000EE"/>
            <w:u w:val="single"/>
          </w:rPr>
          <w:t>4</w:t>
        </w:r>
      </w:hyperlink>
      <w:r>
        <w:t>, où Paul appelle le paradis le « troisième ciel »). La mort ne peut absolument pas séparer les saints de Christ (</w:t>
      </w:r>
      <w:hyperlink r:id="rId3494">
        <w:r>
          <w:rPr>
            <w:color w:val="0000EE"/>
            <w:u w:val="single"/>
          </w:rPr>
          <w:t>Rm 8.38</w:t>
        </w:r>
      </w:hyperlink>
      <w:r>
        <w:t>–</w:t>
      </w:r>
      <w:hyperlink r:id="rId3494">
        <w:r>
          <w:rPr>
            <w:color w:val="0000EE"/>
            <w:u w:val="single"/>
          </w:rPr>
          <w:t>39</w:t>
        </w:r>
      </w:hyperlink>
      <w:r>
        <w:t>). En fait, la mort les amène en présence de Dieu.</w:t>
      </w:r>
    </w:p>
    <w:p>
      <w:pPr>
        <w:pStyle w:val="Heading4"/>
      </w:pPr>
      <w:r>
        <w:t>Le séjour des morts dans l'Apocalypse</w:t>
      </w:r>
    </w:p>
    <w:p>
      <w:r/>
      <w:r>
        <w:t>Le livre de l'Apocalypse parle beaucoup de l'endroit où vont les pécheurs quand ils meurent. Deux endroits sont mentionnés qui désignent peut-être un seul et même lieu :</w:t>
      </w:r>
    </w:p>
    <w:p>
      <w:pPr>
        <w:pStyle w:val="ListNumber"/>
        <w:spacing w:line="240" w:lineRule="auto"/>
        <w:ind w:left="720"/>
      </w:pPr>
      <w:r/>
      <w:r>
        <w:t>« L'abîme » ou « le puits de l'abîme », un endroit où habitent ou sont gardés en prison les esprits maléfiques. C'est de cet endroit que sortent les esprits démoniques qui tourmentent l'humanité (</w:t>
      </w:r>
      <w:hyperlink r:id="rId57">
        <w:r>
          <w:rPr>
            <w:color w:val="0000EE"/>
            <w:u w:val="single"/>
          </w:rPr>
          <w:t>Ap 9.1–11</w:t>
        </w:r>
      </w:hyperlink>
      <w:r>
        <w:t>). De là arrive aussi la « bête » qui tue les deux témoins de Dieu et sur laquelle « la mère des impudiques » sera assise (</w:t>
      </w:r>
      <w:hyperlink r:id="rId59">
        <w:r>
          <w:rPr>
            <w:color w:val="0000EE"/>
            <w:u w:val="single"/>
          </w:rPr>
          <w:t>Ap 11.7</w:t>
        </w:r>
      </w:hyperlink>
      <w:r>
        <w:t xml:space="preserve">; </w:t>
      </w:r>
      <w:hyperlink r:id="rId13714">
        <w:r>
          <w:rPr>
            <w:color w:val="0000EE"/>
            <w:u w:val="single"/>
          </w:rPr>
          <w:t>17</w:t>
        </w:r>
      </w:hyperlink>
      <w:r>
        <w:t>). Satan lui-même sera emprisonné dans l'abîme (</w:t>
      </w:r>
      <w:hyperlink r:id="rId63">
        <w:r>
          <w:rPr>
            <w:color w:val="0000EE"/>
            <w:u w:val="single"/>
          </w:rPr>
          <w:t>Ap 20.2–3</w:t>
        </w:r>
      </w:hyperlink>
      <w:r>
        <w:t xml:space="preserve">). Cet endroit a été préparé pour le diable et ses anges maléfiques (voir </w:t>
      </w:r>
      <w:hyperlink r:id="rId4663">
        <w:r>
          <w:rPr>
            <w:color w:val="0000EE"/>
            <w:u w:val="single"/>
          </w:rPr>
          <w:t>Mt 25.41</w:t>
        </w:r>
      </w:hyperlink>
      <w:r>
        <w:t>).</w:t>
      </w:r>
    </w:p>
    <w:p>
      <w:pPr>
        <w:pStyle w:val="ListNumber"/>
        <w:spacing w:line="240" w:lineRule="auto"/>
        <w:ind w:left="720"/>
      </w:pPr>
      <w:r/>
      <w:r>
        <w:t xml:space="preserve">Hadès, endroit dans l'Apocalypse semblant être celui où vont ceux qui ne suivent pas Christ quand ils meurent. </w:t>
      </w:r>
    </w:p>
    <w:p>
      <w:r/>
      <w:r>
        <w:t>L'Apocalypse enseigne clairement que Jésus a autorité sur l'Hadès (</w:t>
      </w:r>
      <w:hyperlink r:id="rId7722">
        <w:r>
          <w:rPr>
            <w:color w:val="0000EE"/>
            <w:u w:val="single"/>
          </w:rPr>
          <w:t>Ap 1.18</w:t>
        </w:r>
      </w:hyperlink>
      <w:r>
        <w:t>). Il le forcera à rendre les morts qui sont en lui (</w:t>
      </w:r>
      <w:hyperlink r:id="rId13715">
        <w:r>
          <w:rPr>
            <w:color w:val="0000EE"/>
            <w:u w:val="single"/>
          </w:rPr>
          <w:t>Ap 20.13</w:t>
        </w:r>
      </w:hyperlink>
      <w:r>
        <w:t>). Satan ne contrôle pas l'abîme non plus. Seuls des anges au service de Dieu sont autorisés à utiliser sa clef (</w:t>
      </w:r>
      <w:hyperlink r:id="rId62">
        <w:r>
          <w:rPr>
            <w:color w:val="0000EE"/>
            <w:u w:val="single"/>
          </w:rPr>
          <w:t>Ap 9.1</w:t>
        </w:r>
      </w:hyperlink>
      <w:r>
        <w:t xml:space="preserve"> ; </w:t>
      </w:r>
      <w:hyperlink r:id="rId13716">
        <w:r>
          <w:rPr>
            <w:color w:val="0000EE"/>
            <w:u w:val="single"/>
          </w:rPr>
          <w:t>20.1</w:t>
        </w:r>
      </w:hyperlink>
      <w:r>
        <w:t>). À la fin, l'Hadès, la mort et les méchants seront tous jetés dans le lac de feu où ils subiront un tourment éternel (</w:t>
      </w:r>
      <w:hyperlink r:id="rId4986">
        <w:r>
          <w:rPr>
            <w:color w:val="0000EE"/>
            <w:u w:val="single"/>
          </w:rPr>
          <w:t>Ap 19.20</w:t>
        </w:r>
      </w:hyperlink>
      <w:r>
        <w:t xml:space="preserve"> ; </w:t>
      </w:r>
      <w:hyperlink r:id="rId5930">
        <w:r>
          <w:rPr>
            <w:color w:val="0000EE"/>
            <w:u w:val="single"/>
          </w:rPr>
          <w:t>20.10, 14–15</w:t>
        </w:r>
      </w:hyperlink>
      <w:r>
        <w:t xml:space="preserve"> ; </w:t>
      </w:r>
      <w:hyperlink r:id="rId4662">
        <w:r>
          <w:rPr>
            <w:color w:val="0000EE"/>
            <w:u w:val="single"/>
          </w:rPr>
          <w:t>21.8</w:t>
        </w:r>
      </w:hyperlink>
      <w:r>
        <w:t xml:space="preserve">). Cet endroit correspond à la géhenne dont Jésus parle (voir aussi </w:t>
      </w:r>
      <w:hyperlink r:id="rId4663">
        <w:r>
          <w:rPr>
            <w:color w:val="0000EE"/>
            <w:u w:val="single"/>
          </w:rPr>
          <w:t>Mt 25:41</w:t>
        </w:r>
      </w:hyperlink>
      <w:r>
        <w:t xml:space="preserve">). </w:t>
      </w:r>
    </w:p>
    <w:p>
      <w:r/>
      <w:r>
        <w:t>Jean, l'auteur de l'Apocalypse, enseigne la même chose que Paul sur ce qui arrive aux justes quand ils meurent. Ils ne vont pas dans l'Hadès comme les méchants, mais au ciel. Ceux qui sont morts pour la foi (les martyrs) sont sous l'autel de Dieu et peuvent lui parler. Une robe blanche est donnée à chacun d'eux et ils attendent la fin pour hériter du royaume de Dieu avec le reste des croyants (</w:t>
      </w:r>
      <w:hyperlink r:id="rId13717">
        <w:r>
          <w:rPr>
            <w:color w:val="0000EE"/>
            <w:u w:val="single"/>
          </w:rPr>
          <w:t>Ap 6.9</w:t>
        </w:r>
      </w:hyperlink>
      <w:r>
        <w:t>–</w:t>
      </w:r>
      <w:hyperlink r:id="rId13717">
        <w:r>
          <w:rPr>
            <w:color w:val="0000EE"/>
            <w:u w:val="single"/>
          </w:rPr>
          <w:t>11</w:t>
        </w:r>
      </w:hyperlink>
      <w:r>
        <w:t>). Une multitude internationale de croyants louent devant le trône de Dieu. Jésus est leur berger, pourvoit à leurs besoins et ils ne souffrent plus (</w:t>
      </w:r>
      <w:hyperlink r:id="rId13164">
        <w:r>
          <w:rPr>
            <w:color w:val="0000EE"/>
            <w:u w:val="single"/>
          </w:rPr>
          <w:t>Ap. 7.9–17</w:t>
        </w:r>
      </w:hyperlink>
      <w:r>
        <w:t>).</w:t>
      </w:r>
    </w:p>
    <w:p>
      <w:pPr>
        <w:pStyle w:val="Heading3"/>
      </w:pPr>
      <w:r>
        <w:t>Conclusion</w:t>
      </w:r>
    </w:p>
    <w:p>
      <w:r/>
      <w:r>
        <w:t>Dans l'AT, un seul lieu est mentionné comme endroit où toute personne morte va (shéol). Elle y est séparée de la vie et de Dieu. Plus tard, il a été compris qu'il n'y a pas qu'un seul endroit où vont les morts, mais deux. Dans le NT, les méchants vont d'abord au séjour des morts (Hadès), un lieu de souffrance. Après le jugement dernier, ils seront jetés dans le lac de feu (la géhenne). Il est important de souligner que c'est Jésus, et non le diable, qui a autorité sur ces lieux, tout comme il a autorité sur tout.</w:t>
      </w:r>
    </w:p>
    <w:p>
      <w:r/>
      <w:r>
        <w:t xml:space="preserve">Les justes ne vont pas dans l'Hadès. Quand ils meurent, ils vont directement au paradis (autrement aussi appelé « le sein d'Abraham » ou le « ciel »). Au paradis, ils sont avec Jésus. Ils voient avec leurs yeux ce qu'ils ont cru avant de le voir. Leur souffrance est remplacée par la bénédiction, et la prière par la louange. </w:t>
      </w:r>
    </w:p>
    <w:p>
      <w:r/>
      <w:r>
        <w:t>La foi chrétienne montre que même si la mort est effrayante et est appelée « le dernier ennemi », ceux qui suivent Christ n'ont pas besoin de craindre ce qui leur arrivera après la mort. La mort ne peut pas les séparer de Jésus. Au contraire, elle les amène en présence de Dieu et de Jésus, qu'ils aiment.</w:t>
      </w:r>
    </w:p>
    <w:p>
      <w:r/>
      <w:r>
        <w:t>Que les justes rencontrent Jésus immédiatement après leur mort ou plus tard lors de la résurrection n'a pas d'importance. En effet, le temps entre la mort et la rencontre avec Jésus est probablement semblable à un sommeil. Ainsi, pour ceux qui croient en Jésus, la toute première chose qu'ils vivront après leur mort sera de le rencontrer.</w:t>
      </w:r>
    </w:p>
    <w:p>
      <w:r/>
      <w:r>
        <w:t>L'Ancien Testament et le Nouveau comparent la mort au sommeil. Dans l'AT, quand quelqu'un meurt, il est souvent dit qu'il va se coucher avec ses pères (</w:t>
      </w:r>
      <w:hyperlink r:id="rId13718">
        <w:r>
          <w:rPr>
            <w:color w:val="0000EE"/>
            <w:u w:val="single"/>
          </w:rPr>
          <w:t>Dt 31.16</w:t>
        </w:r>
      </w:hyperlink>
      <w:r>
        <w:t xml:space="preserve"> ; </w:t>
      </w:r>
      <w:hyperlink r:id="rId13719">
        <w:r>
          <w:rPr>
            <w:color w:val="0000EE"/>
            <w:u w:val="single"/>
          </w:rPr>
          <w:t>2S 7.12</w:t>
        </w:r>
      </w:hyperlink>
      <w:r>
        <w:t>). Jésus décrit également la mort comme un sommeil (</w:t>
      </w:r>
      <w:hyperlink r:id="rId13720">
        <w:r>
          <w:rPr>
            <w:color w:val="0000EE"/>
            <w:u w:val="single"/>
          </w:rPr>
          <w:t>Mt 9.24</w:t>
        </w:r>
      </w:hyperlink>
      <w:r>
        <w:t xml:space="preserve"> ; </w:t>
      </w:r>
      <w:hyperlink r:id="rId13721">
        <w:r>
          <w:rPr>
            <w:color w:val="0000EE"/>
            <w:u w:val="single"/>
          </w:rPr>
          <w:t>Jn 11.11</w:t>
        </w:r>
      </w:hyperlink>
      <w:r>
        <w:t>), ainsi que l'apôtre Paul (</w:t>
      </w:r>
      <w:hyperlink r:id="rId13722">
        <w:r>
          <w:rPr>
            <w:color w:val="0000EE"/>
            <w:u w:val="single"/>
          </w:rPr>
          <w:t>1Co 11.30</w:t>
        </w:r>
      </w:hyperlink>
      <w:r>
        <w:t xml:space="preserve"> ; </w:t>
      </w:r>
      <w:hyperlink r:id="rId13723">
        <w:r>
          <w:rPr>
            <w:color w:val="0000EE"/>
            <w:u w:val="single"/>
          </w:rPr>
          <w:t>15.20, 51</w:t>
        </w:r>
      </w:hyperlink>
      <w:r>
        <w:t xml:space="preserve"> ; </w:t>
      </w:r>
      <w:hyperlink r:id="rId5007">
        <w:r>
          <w:rPr>
            <w:color w:val="0000EE"/>
            <w:u w:val="single"/>
          </w:rPr>
          <w:t>1Th 4.14</w:t>
        </w:r>
      </w:hyperlink>
      <w:r>
        <w:t xml:space="preserve">). Dans certains de ces passages, la mort est décrite comme un sommeil parce qu'elle n'est pas permanente. Même dans l'AT, </w:t>
      </w:r>
      <w:hyperlink r:id="rId646">
        <w:r>
          <w:rPr>
            <w:color w:val="0000EE"/>
            <w:u w:val="single"/>
          </w:rPr>
          <w:t>Daniel 12.2</w:t>
        </w:r>
      </w:hyperlink>
      <w:r>
        <w:t xml:space="preserve"> décrit la mort comme un sommeil dont les gens se réveilleront. Certains se réveilleront pour la vie éternelle, tandis que d'autres se réveilleront pour une honte éternelle.</w:t>
      </w:r>
    </w:p>
    <w:p>
      <w:r/>
      <w:r>
        <w:rPr>
          <w:i/>
        </w:rPr>
        <w:t>Voir aussi</w:t>
      </w:r>
      <w:r>
        <w:t xml:space="preserve"> </w:t>
      </w:r>
      <w:r>
        <w:t>géhenne</w:t>
      </w:r>
      <w:r>
        <w:t xml:space="preserve"> ; </w:t>
      </w:r>
      <w:r>
        <w:t>Hadès</w:t>
      </w:r>
      <w:r>
        <w:t xml:space="preserve"> ; </w:t>
      </w:r>
      <w:r>
        <w:t>ciel</w:t>
      </w:r>
      <w:r>
        <w:t xml:space="preserve"> ; </w:t>
      </w:r>
      <w:r>
        <w:t>enfer</w:t>
      </w:r>
      <w:r>
        <w:t xml:space="preserve"> ; </w:t>
      </w:r>
      <w:r>
        <w:t>état intermédiaire</w:t>
      </w:r>
      <w:r>
        <w:t xml:space="preserve"> ; </w:t>
      </w:r>
      <w:r>
        <w:t>paradis</w:t>
      </w:r>
      <w:r>
        <w:t xml:space="preserve"> ; </w:t>
      </w:r>
      <w:r>
        <w:t>shéol</w:t>
      </w:r>
      <w:r>
        <w:t>.</w:t>
      </w:r>
      <w:r/>
      <w:r/>
    </w:p>
    <w:p>
      <w:r/>
    </w:p>
    <w:p>
      <w:pPr>
        <w:pStyle w:val="Heading2"/>
      </w:pPr>
      <w:r>
        <w:t>Séjour des morts</w:t>
      </w:r>
      <w:r/>
    </w:p>
    <w:p>
      <w:r/>
      <w:r>
        <w:t>Dans la mythologie grecque, Hadès était le dieu des Enfers, un frère de Zeus. Hadès était également nommé Pluton. Il a enlevé Perséphone, ce qui a causé l'hiver. Son royaume était aussi appelé le séjour des morts (et parfois Tartare). Le séjour des morts était la terre sombre où vivaient les défunts.</w:t>
      </w:r>
    </w:p>
    <w:p>
      <w:r/>
      <w:r>
        <w:t>Ulysse est entré dans ce royaume et a nourri les fantômes avec du sang pour obtenir des indications pour rentrer chez lui (</w:t>
      </w:r>
      <w:r>
        <w:rPr>
          <w:i/>
        </w:rPr>
        <w:t>L'Odyssée,</w:t>
      </w:r>
      <w:r>
        <w:t xml:space="preserve"> Homère 4.834). À l'origine, les Grecs considéraient le séjour des morts comme simplement la tombe. Il représentait une existence ombreuse et spectrale pour tous les défunts, bons et mauvais. Peu à peu, les Grecs et les Romains en sont venus à voir le séjour des morts comme un lieu de récompense et de punition. Le séjour des morts est devenu un royaume organisé et gardé où les bons étaient récompensés dans les Champs Élysées. Les mauvais étaient également punis (ainsi décrit par le poète romain Virgile, 70–19 av. J.‑C.).</w:t>
      </w:r>
    </w:p>
    <w:p>
      <w:r/>
      <w:r>
        <w:t>« Hadès » est devenu un mot important pour les Juifs, utilisé pour traduire le nom hébreu « Shéol » en grec. C'était une traduction très appropriée pour le mot hébreu utilisé par les traducteurs du Nouveau Testament grec, la Septante. Les deux mots peuvent signifier la tombe physique ou la mort (</w:t>
      </w:r>
      <w:hyperlink r:id="rId4682">
        <w:r>
          <w:rPr>
            <w:color w:val="0000EE"/>
            <w:u w:val="single"/>
          </w:rPr>
          <w:t>Gn 37.35</w:t>
        </w:r>
      </w:hyperlink>
      <w:r>
        <w:t xml:space="preserve"> ; </w:t>
      </w:r>
      <w:hyperlink r:id="rId13724">
        <w:r>
          <w:rPr>
            <w:color w:val="0000EE"/>
            <w:u w:val="single"/>
          </w:rPr>
          <w:t>Pr 5.5</w:t>
        </w:r>
      </w:hyperlink>
      <w:r>
        <w:t xml:space="preserve"> ; </w:t>
      </w:r>
      <w:hyperlink r:id="rId12817">
        <w:r>
          <w:rPr>
            <w:color w:val="0000EE"/>
            <w:u w:val="single"/>
          </w:rPr>
          <w:t>7.27</w:t>
        </w:r>
      </w:hyperlink>
      <w:r>
        <w:t>). Les deux mots faisaient référence à un monde souterrain sombre où l'existence était au mieux ombreuse (</w:t>
      </w:r>
      <w:hyperlink r:id="rId10947">
        <w:r>
          <w:rPr>
            <w:color w:val="0000EE"/>
            <w:u w:val="single"/>
          </w:rPr>
          <w:t>Jb 10.21–22</w:t>
        </w:r>
      </w:hyperlink>
      <w:r>
        <w:t xml:space="preserve"> ; </w:t>
      </w:r>
      <w:hyperlink r:id="rId13725">
        <w:r>
          <w:rPr>
            <w:color w:val="0000EE"/>
            <w:u w:val="single"/>
          </w:rPr>
          <w:t>38.17</w:t>
        </w:r>
      </w:hyperlink>
      <w:r>
        <w:t xml:space="preserve"> ; </w:t>
      </w:r>
      <w:hyperlink r:id="rId13154">
        <w:r>
          <w:rPr>
            <w:color w:val="0000EE"/>
            <w:u w:val="single"/>
          </w:rPr>
          <w:t>Es 14.9</w:t>
        </w:r>
      </w:hyperlink>
      <w:r>
        <w:t>).</w:t>
      </w:r>
    </w:p>
    <w:p>
      <w:r/>
      <w:r>
        <w:t>Le Shéol est décrit comme étant sous l'océan et ayant des barres et des portes (</w:t>
      </w:r>
      <w:hyperlink r:id="rId13726">
        <w:r>
          <w:rPr>
            <w:color w:val="0000EE"/>
            <w:u w:val="single"/>
          </w:rPr>
          <w:t>Jb 26.5–6</w:t>
        </w:r>
      </w:hyperlink>
      <w:r>
        <w:t>;</w:t>
      </w:r>
      <w:hyperlink r:id="rId13727">
        <w:r>
          <w:rPr>
            <w:color w:val="0000EE"/>
            <w:u w:val="single"/>
          </w:rPr>
          <w:t>17.16</w:t>
        </w:r>
      </w:hyperlink>
      <w:r>
        <w:t xml:space="preserve">; </w:t>
      </w:r>
      <w:hyperlink r:id="rId13728">
        <w:r>
          <w:rPr>
            <w:color w:val="0000EE"/>
            <w:u w:val="single"/>
          </w:rPr>
          <w:t>Jon 2.2–3</w:t>
        </w:r>
      </w:hyperlink>
      <w:r>
        <w:t>). Tous y vont, qu'ils soient bons ou mauvais (</w:t>
      </w:r>
      <w:hyperlink r:id="rId285">
        <w:r>
          <w:rPr>
            <w:color w:val="0000EE"/>
            <w:u w:val="single"/>
          </w:rPr>
          <w:t>Ps 89.48</w:t>
        </w:r>
      </w:hyperlink>
      <w:r>
        <w:t>). Dans les littératures plus anciennes, il n'y a aucun espoir de libération du séjour des morts.</w:t>
      </w:r>
    </w:p>
    <w:p>
      <w:r/>
      <w:r>
        <w:t xml:space="preserve">C. S. Lewis décrit bien ce concept dans </w:t>
      </w:r>
      <w:r>
        <w:rPr>
          <w:i/>
        </w:rPr>
        <w:t>Le Fauteuil d'argent</w:t>
      </w:r>
      <w:r>
        <w:t xml:space="preserve"> : « Beaucoup sombrent, et peu reviennent vers les terres ensoleillées. » Bien entendu, toutes ces descriptions se trouvent dans la littérature poétique. Il est difficile de dire dans quelle mesure les Hébreux ou les Grecs prenaient littéralement leurs descriptions du séjour des morts. Ils ont peut-être simplement utilisé le langage imagé plus ancien de la poésie grecque pour décrire un concept pour lequel les mots en prose étaient inadéquats.</w:t>
      </w:r>
    </w:p>
    <w:p>
      <w:r/>
      <w:r>
        <w:t>Les Juifs et les Grecs ont tous deux été en contact avec les influences littéraires perses. Après le retour d'exil du peuple juif, les écrivains composaient leurs livres (par exemple, Malachie, Daniel et certains psaumes) dans un contexte d'influence perse.</w:t>
      </w:r>
    </w:p>
    <w:p>
      <w:r/>
      <w:r>
        <w:t>Les Grecs sont entrés en contact avec la littérature perse un peu plus tard (ils ont combattu les Perses de 520 à 479 av. J.‑C. et les ont conquis de 334 à 330 av. J.‑C.).</w:t>
      </w:r>
    </w:p>
    <w:p>
      <w:r/>
      <w:r>
        <w:t>Que ce soit en raison de l'influence perse ou non, durant cette période, l'idée de récompense et de punition après la mort s'est développée. Le séjour des morts est passé d'un pays d'ombres à un lieu différencié de récompense et de punition pour les Grecs (et les Romains), ainsi que pour les Juifs.</w:t>
      </w:r>
    </w:p>
    <w:p>
      <w:r/>
      <w:r>
        <w:t>Josèphe rapporte que les Pharisiens croyaient à la récompense et à la punition après la mort (</w:t>
      </w:r>
      <w:r>
        <w:rPr>
          <w:i/>
        </w:rPr>
        <w:t>Antiquités</w:t>
      </w:r>
      <w:r>
        <w:t xml:space="preserve"> 18.1.3). Une idée similaire apparaît dans 1 Hénoch 22. Dans ces cas dans la littérature juive, le séjour des morts désigne un lieu qui comporte deux sections ou plus.</w:t>
      </w:r>
    </w:p>
    <w:p>
      <w:r/>
      <w:r>
        <w:t xml:space="preserve">Dans d'autres littératures juives, le séjour des morts est le lieu de tourment pour les méchants. Les justes entrent au paradis (Psaumes de Salomon 14 ; </w:t>
      </w:r>
      <w:hyperlink r:id="rId13729">
        <w:r>
          <w:rPr>
            <w:color w:val="0000EE"/>
            <w:u w:val="single"/>
          </w:rPr>
          <w:t>Sg 2.1</w:t>
        </w:r>
      </w:hyperlink>
      <w:r>
        <w:t xml:space="preserve"> ; </w:t>
      </w:r>
      <w:hyperlink r:id="rId13730">
        <w:r>
          <w:rPr>
            <w:color w:val="0000EE"/>
            <w:u w:val="single"/>
          </w:rPr>
          <w:t>3.1</w:t>
        </w:r>
      </w:hyperlink>
      <w:r>
        <w:t>). Ainsi, au début de la période du Nouveau Testament, le séjour des morts a trois significations :</w:t>
      </w:r>
    </w:p>
    <w:p>
      <w:pPr>
        <w:pStyle w:val="ListNumber"/>
        <w:spacing w:line="240" w:lineRule="auto"/>
        <w:ind w:left="720"/>
      </w:pPr>
      <w:r/>
      <w:r>
        <w:t>Mort</w:t>
      </w:r>
    </w:p>
    <w:p>
      <w:pPr>
        <w:pStyle w:val="ListNumber"/>
        <w:spacing w:line="240" w:lineRule="auto"/>
        <w:ind w:left="720"/>
      </w:pPr>
      <w:r/>
      <w:r>
        <w:t>Le lieu de tous les morts, et</w:t>
      </w:r>
    </w:p>
    <w:p>
      <w:pPr>
        <w:pStyle w:val="ListNumber"/>
        <w:spacing w:line="240" w:lineRule="auto"/>
        <w:ind w:left="720"/>
      </w:pPr>
      <w:r/>
      <w:r>
        <w:t>Le lieu des morts méchants uniquement.</w:t>
      </w:r>
    </w:p>
    <w:p>
      <w:r/>
      <w:r>
        <w:t>Le contexte détermine le sens qu'un auteur souhaite donner dans un passage précis.</w:t>
      </w:r>
    </w:p>
    <w:p>
      <w:r/>
      <w:r>
        <w:t xml:space="preserve">Tous ces sens apparaissent dans le Nouveau Testament. Dans </w:t>
      </w:r>
      <w:hyperlink r:id="rId13731">
        <w:r>
          <w:rPr>
            <w:color w:val="0000EE"/>
            <w:u w:val="single"/>
          </w:rPr>
          <w:t>Matthieu 11.23</w:t>
        </w:r>
      </w:hyperlink>
      <w:r>
        <w:t xml:space="preserve"> et </w:t>
      </w:r>
      <w:hyperlink r:id="rId13732">
        <w:r>
          <w:rPr>
            <w:color w:val="0000EE"/>
            <w:u w:val="single"/>
          </w:rPr>
          <w:t>Luc 10.15</w:t>
        </w:r>
      </w:hyperlink>
      <w:r>
        <w:t>, Jésus parle de la descente de Capernaüm au séjour des morts. Il veut probablement dire que la ville va « mourir » ou être détruite. Le « séjour des morts » signifie « la mort » dans ce contexte, tout comme « le ciel » signifie « l'exaltation ».</w:t>
      </w:r>
    </w:p>
    <w:p>
      <w:r/>
      <w:hyperlink r:id="rId10353">
        <w:r>
          <w:rPr>
            <w:color w:val="0000EE"/>
            <w:u w:val="single"/>
          </w:rPr>
          <w:t>Apocalypse 6.8</w:t>
        </w:r>
      </w:hyperlink>
      <w:r>
        <w:t xml:space="preserve"> illustre également cela : la Mort arrive sur un cheval, et le séjour des morts (un symbole de la mort) le suit de près. La personnification du séjour des morts provient probablement de l'Ancien Testament, où le séjour des morts est vu comme un monstre qui dévore les gens (</w:t>
      </w:r>
      <w:hyperlink r:id="rId13733">
        <w:r>
          <w:rPr>
            <w:color w:val="0000EE"/>
            <w:u w:val="single"/>
          </w:rPr>
          <w:t>Pr 1.12</w:t>
        </w:r>
      </w:hyperlink>
      <w:r>
        <w:t xml:space="preserve"> ; </w:t>
      </w:r>
      <w:hyperlink r:id="rId13694">
        <w:r>
          <w:rPr>
            <w:color w:val="0000EE"/>
            <w:u w:val="single"/>
          </w:rPr>
          <w:t>27.20</w:t>
        </w:r>
      </w:hyperlink>
      <w:r>
        <w:t xml:space="preserve"> ; </w:t>
      </w:r>
      <w:hyperlink r:id="rId13695">
        <w:r>
          <w:rPr>
            <w:color w:val="0000EE"/>
            <w:u w:val="single"/>
          </w:rPr>
          <w:t>30.16</w:t>
        </w:r>
      </w:hyperlink>
      <w:r>
        <w:t xml:space="preserve"> ; </w:t>
      </w:r>
      <w:hyperlink r:id="rId13734">
        <w:r>
          <w:rPr>
            <w:color w:val="0000EE"/>
            <w:u w:val="single"/>
          </w:rPr>
          <w:t>Es 5.14</w:t>
        </w:r>
      </w:hyperlink>
      <w:r>
        <w:t xml:space="preserve"> ; </w:t>
      </w:r>
      <w:hyperlink r:id="rId13735">
        <w:r>
          <w:rPr>
            <w:color w:val="0000EE"/>
            <w:u w:val="single"/>
          </w:rPr>
          <w:t>28.15, 18</w:t>
        </w:r>
      </w:hyperlink>
      <w:r>
        <w:t xml:space="preserve"> ; </w:t>
      </w:r>
      <w:hyperlink r:id="rId13736">
        <w:r>
          <w:rPr>
            <w:color w:val="0000EE"/>
            <w:u w:val="single"/>
          </w:rPr>
          <w:t>Ha 2.5</w:t>
        </w:r>
      </w:hyperlink>
      <w:r>
        <w:t>).</w:t>
      </w:r>
    </w:p>
    <w:p>
      <w:r/>
      <w:hyperlink r:id="rId4543">
        <w:r>
          <w:rPr>
            <w:color w:val="0000EE"/>
            <w:u w:val="single"/>
          </w:rPr>
          <w:t>Matthieu 16.18</w:t>
        </w:r>
      </w:hyperlink>
      <w:r>
        <w:t xml:space="preserve"> déploie le thème du séjour des morts de façon plus complexe. L'Église sera construite sur un rocher et les portes du séjour des morts ne prévaudront pas contre elle. Ici, le lieu des morts (incluant des portes et des barres) est un symbole de la mort. Les chrétiens peuvent effectivement être tués, mais la mort (les portes du séjour des morts) ne les retiendra pas plus qu'elle n'a retenu Christ. Celui qui est sorti victorieux du séjour des morts en fera sortir son peuple également.</w:t>
      </w:r>
    </w:p>
    <w:p>
      <w:r/>
      <w:r>
        <w:t>Voilà aussi le sens d'</w:t>
      </w:r>
      <w:hyperlink r:id="rId13737">
        <w:r>
          <w:rPr>
            <w:color w:val="0000EE"/>
            <w:u w:val="single"/>
          </w:rPr>
          <w:t>Actes 2.27</w:t>
        </w:r>
      </w:hyperlink>
      <w:r>
        <w:t xml:space="preserve"> (citant </w:t>
      </w:r>
      <w:hyperlink r:id="rId636">
        <w:r>
          <w:rPr>
            <w:color w:val="0000EE"/>
            <w:u w:val="single"/>
          </w:rPr>
          <w:t>Ps 16.10</w:t>
        </w:r>
      </w:hyperlink>
      <w:r>
        <w:t xml:space="preserve">). Christ n'est pas resté mort et sa vie n'est pas demeurée dans le séjour des morts. Contrairement à David, il est ressuscité des morts. Dans l'un ou l'autre de ces cas, le séjour des morts pourrait être simplement un symbole de la mort. Ou cela pourrait signifier que Christ et le chrétien sont réellement allés dans un lieu des morts appelé le séjour des morts. Il est probable que ce soit le premier sens qui soit voulu. Quoi qu'il en soit, puisque Christ est ressuscité, il a vaincu la mort et le séjour des morts. Il apparaît dans </w:t>
      </w:r>
      <w:hyperlink r:id="rId7722">
        <w:r>
          <w:rPr>
            <w:color w:val="0000EE"/>
            <w:u w:val="single"/>
          </w:rPr>
          <w:t>Apocalypse 1.18</w:t>
        </w:r>
      </w:hyperlink>
      <w:r>
        <w:t xml:space="preserve"> comme celui qui détient les clés (le contrôle) de ces deux entités.</w:t>
      </w:r>
    </w:p>
    <w:p>
      <w:r/>
      <w:r>
        <w:t xml:space="preserve">Deux passages du Nouveau Testament font référence au séjour des morts comme un lieu où les morts existent : </w:t>
      </w:r>
      <w:hyperlink r:id="rId10354">
        <w:r>
          <w:rPr>
            <w:color w:val="0000EE"/>
            <w:u w:val="single"/>
          </w:rPr>
          <w:t>Apocalypse 20.13–14</w:t>
        </w:r>
      </w:hyperlink>
      <w:r>
        <w:t xml:space="preserve"> et </w:t>
      </w:r>
      <w:hyperlink r:id="rId4705">
        <w:r>
          <w:rPr>
            <w:color w:val="0000EE"/>
            <w:u w:val="single"/>
          </w:rPr>
          <w:t>Luc 16.23</w:t>
        </w:r>
      </w:hyperlink>
      <w:r>
        <w:t xml:space="preserve">. Dans </w:t>
      </w:r>
      <w:hyperlink r:id="rId4881">
        <w:r>
          <w:rPr>
            <w:color w:val="0000EE"/>
            <w:u w:val="single"/>
          </w:rPr>
          <w:t>Apocalypse 20</w:t>
        </w:r>
      </w:hyperlink>
      <w:r>
        <w:t xml:space="preserve">, le séjour des morts est vidé (soit de tous les morts, soit des morts méchants, dépendant de l'eschatologie de chacun), rendant la résurrection complète. Lorsque les méchants sont jugés et jetés dans le lac de feu (la Géhenne), le séjour des morts est également jeté dedans. </w:t>
      </w:r>
      <w:hyperlink r:id="rId4705">
        <w:r>
          <w:rPr>
            <w:color w:val="0000EE"/>
            <w:u w:val="single"/>
          </w:rPr>
          <w:t>Luc 16.23</w:t>
        </w:r>
      </w:hyperlink>
      <w:r>
        <w:t>, cependant, fait clairement référence au séjour des morts comme le lieu des morts méchants. Là, l'homme riche est tourmenté dans une flamme, tandis que le pauvre, Lazare, va au paradis (le sein d'Abraham).</w:t>
      </w:r>
    </w:p>
    <w:p>
      <w:r/>
      <w:r>
        <w:t>Le séjour des morts, donc, signifie trois choses dans le Nouveau Testament, comme c'était le cas dans la littérature juive :</w:t>
      </w:r>
    </w:p>
    <w:p>
      <w:pPr>
        <w:pStyle w:val="ListNumber"/>
        <w:spacing w:line="240" w:lineRule="auto"/>
        <w:ind w:left="720"/>
      </w:pPr>
      <w:r/>
      <w:r>
        <w:t>La mort et son pouvoir sont le sens le plus fréquent, surtout dans les usages métaphoriques.</w:t>
      </w:r>
    </w:p>
    <w:p>
      <w:pPr>
        <w:pStyle w:val="ListNumber"/>
        <w:spacing w:line="240" w:lineRule="auto"/>
        <w:ind w:left="720"/>
      </w:pPr>
      <w:r/>
      <w:r>
        <w:t>Il désigne également le lieu des morts en général, lorsqu'un écrivain souhaite regrouper tous les morts ensemble.</w:t>
      </w:r>
    </w:p>
    <w:p>
      <w:pPr>
        <w:pStyle w:val="ListNumber"/>
        <w:spacing w:line="240" w:lineRule="auto"/>
        <w:ind w:left="720"/>
      </w:pPr>
      <w:r/>
      <w:r>
        <w:t>Il signifie, enfin, l'endroit où les morts méchants sont tourmentés avant le jugement dernier. Il s'agit là de son sens le plus étroit, apparaissant une seule fois dans le Nouveau Testament (</w:t>
      </w:r>
      <w:hyperlink r:id="rId4705">
        <w:r>
          <w:rPr>
            <w:color w:val="0000EE"/>
            <w:u w:val="single"/>
          </w:rPr>
          <w:t>Lc 16.23</w:t>
        </w:r>
      </w:hyperlink>
      <w:r>
        <w:t xml:space="preserve">). La Bible ne s'attarde pas sur ce tourment. L'image de Dante dans </w:t>
      </w:r>
      <w:r>
        <w:rPr>
          <w:i/>
        </w:rPr>
        <w:t>L'Enfer</w:t>
      </w:r>
      <w:r>
        <w:t xml:space="preserve"> s'inspire davantage de spéculations ultérieures et de conceptions gréco-romaines du séjour des morts que de la Bible.</w:t>
      </w:r>
    </w:p>
    <w:p>
      <w:r/>
      <w:r>
        <w:rPr>
          <w:i/>
        </w:rPr>
        <w:t>Voir aussi</w:t>
      </w:r>
      <w:r>
        <w:t xml:space="preserve"> </w:t>
      </w:r>
      <w:r>
        <w:t>Morts, Lieu des</w:t>
      </w:r>
      <w:r>
        <w:t xml:space="preserve"> ; </w:t>
      </w:r>
      <w:r>
        <w:t>Géhenne</w:t>
      </w:r>
      <w:r>
        <w:t xml:space="preserve"> ; </w:t>
      </w:r>
      <w:r>
        <w:t>Enfer</w:t>
      </w:r>
      <w:r>
        <w:t xml:space="preserve"> ; </w:t>
      </w:r>
      <w:r>
        <w:t>Shéol</w:t>
      </w:r>
      <w:r>
        <w:t>.</w:t>
      </w:r>
      <w:r/>
      <w:r/>
    </w:p>
    <w:p>
      <w:r/>
    </w:p>
    <w:p>
      <w:pPr>
        <w:pStyle w:val="Heading2"/>
      </w:pPr>
      <w:r>
        <w:t>Séleucie</w:t>
      </w:r>
      <w:r/>
    </w:p>
    <w:p>
      <w:r/>
      <w:r>
        <w:t>Nom donné à plusieurs villes antiques du Proche-Orient. Ces villes ont toutes été fondées par Séleucos 1er Nicator, qui a régné de 312 à 281 av. J.‑C.</w:t>
      </w:r>
    </w:p>
    <w:p>
      <w:r/>
      <w:r>
        <w:t>La plus importante Séleucie se trouve en Syrie. Cette Séleucie servait de ville portuaire à Antioche, située au coin nord-est de la Méditerranée. Elle est située à 8 km au nord de l'embouchure du fleuve Oronte et à 25 km d'Antioche.</w:t>
      </w:r>
    </w:p>
    <w:p>
      <w:r/>
      <w:r>
        <w:t>Séleucos 1er a construit cette ville en 301 av. J.‑C. et l'a fortifiée avec des murs et des défenses pour protéger sa capitale des attaques venant de l'ouest. Au fil du temps, différents dirigeants se disputeront le contrôle de Séleucie. Les dirigeants séleucides de Syrie et les Ptolémées d'Égypte livreront de nombreuses batailles pour contrôler la ville (</w:t>
      </w:r>
      <w:hyperlink r:id="rId13738">
        <w:r>
          <w:rPr>
            <w:color w:val="0000EE"/>
            <w:u w:val="single"/>
          </w:rPr>
          <w:t>Dn 11.7–9</w:t>
        </w:r>
      </w:hyperlink>
      <w:r>
        <w:t xml:space="preserve"> ; </w:t>
      </w:r>
      <w:hyperlink r:id="rId13739">
        <w:r>
          <w:rPr>
            <w:color w:val="0000EE"/>
            <w:u w:val="single"/>
          </w:rPr>
          <w:t>1 M 11.8–19</w:t>
        </w:r>
      </w:hyperlink>
      <w:r>
        <w:t>). En 109 av. J.‑C., après que les dirigeants séleucides se sont libérés du contrôle égyptien, ils feront de Séleucie une ville indépendante avec le droit de frapper sa propre monnaie.</w:t>
      </w:r>
    </w:p>
    <w:p>
      <w:r/>
      <w:r>
        <w:t>Lorsque les Romains arrivent dans cette région, leur chef, Pompée, déclarera Séleucie « ville libre ». Cependant, mettra fin au pouvoir des dirigeants séleucides et créera la province romaine de Syrie. Séleucie est devenue un port d'entrée important vers les régions orientales. Les Romains amélioreront à la fois le port naturel et les défenses de la ville.</w:t>
      </w:r>
    </w:p>
    <w:p>
      <w:r/>
      <w:r>
        <w:t>À l'époque du Nouveau Testament, Séleucie était toujours une ville libre. Elle accueillait les navires de la marine romaine en Syrie. Barnabé, Saül et Jean Marc navigueront d'ici lors de leur premier voyage missionnaire et retourneront à Antioche via Séleucie (</w:t>
      </w:r>
      <w:hyperlink r:id="rId13740">
        <w:r>
          <w:rPr>
            <w:color w:val="0000EE"/>
            <w:u w:val="single"/>
          </w:rPr>
          <w:t>Ac 13.4–5</w:t>
        </w:r>
      </w:hyperlink>
      <w:r>
        <w:t xml:space="preserve"> ; </w:t>
      </w:r>
      <w:hyperlink r:id="rId13741">
        <w:r>
          <w:rPr>
            <w:color w:val="0000EE"/>
            <w:u w:val="single"/>
          </w:rPr>
          <w:t>14.26</w:t>
        </w:r>
      </w:hyperlink>
      <w:r>
        <w:t>). Plus tard, lors du deuxième voyage missionnaire de Paul, Paul et ses compagnons partiront de nouveau de Séleucie (</w:t>
      </w:r>
      <w:hyperlink r:id="rId7128">
        <w:r>
          <w:rPr>
            <w:color w:val="0000EE"/>
            <w:u w:val="single"/>
          </w:rPr>
          <w:t>15.39–41</w:t>
        </w:r>
      </w:hyperlink>
      <w:r>
        <w:t xml:space="preserve">). </w:t>
      </w:r>
    </w:p>
    <w:p>
      <w:r/>
      <w:r>
        <w:t>La ville était belle, avec de nombreux bâtiments publics. Elle possédait un temple et un amphithéâtre (un théâtre en plein air) qui était taillé dans le flanc d'une falaise.</w:t>
      </w:r>
      <w:r/>
      <w:r/>
    </w:p>
    <w:p>
      <w:r/>
    </w:p>
    <w:p>
      <w:pPr>
        <w:pStyle w:val="Heading2"/>
      </w:pPr>
      <w:r>
        <w:t>Sem</w:t>
      </w:r>
      <w:r/>
    </w:p>
    <w:p>
      <w:r/>
      <w:r>
        <w:t>Fils aîné de Noé (</w:t>
      </w:r>
      <w:hyperlink r:id="rId2362">
        <w:r>
          <w:rPr>
            <w:color w:val="0000EE"/>
            <w:u w:val="single"/>
          </w:rPr>
          <w:t>Gn 5.32</w:t>
        </w:r>
      </w:hyperlink>
      <w:r>
        <w:t xml:space="preserve"> ; </w:t>
      </w:r>
      <w:hyperlink r:id="rId2363">
        <w:r>
          <w:rPr>
            <w:color w:val="0000EE"/>
            <w:u w:val="single"/>
          </w:rPr>
          <w:t>6.10</w:t>
        </w:r>
      </w:hyperlink>
      <w:r>
        <w:t xml:space="preserve"> ; </w:t>
      </w:r>
      <w:hyperlink r:id="rId2364">
        <w:r>
          <w:rPr>
            <w:color w:val="0000EE"/>
            <w:u w:val="single"/>
          </w:rPr>
          <w:t>7.13</w:t>
        </w:r>
      </w:hyperlink>
      <w:r>
        <w:t xml:space="preserve"> ; </w:t>
      </w:r>
      <w:hyperlink r:id="rId13742">
        <w:r>
          <w:rPr>
            <w:color w:val="0000EE"/>
            <w:u w:val="single"/>
          </w:rPr>
          <w:t>9.18, 23, 26</w:t>
        </w:r>
      </w:hyperlink>
      <w:hyperlink r:id="rId2371">
        <w:r>
          <w:rPr>
            <w:color w:val="0000EE"/>
            <w:u w:val="single"/>
          </w:rPr>
          <w:t>–</w:t>
        </w:r>
      </w:hyperlink>
      <w:hyperlink r:id="rId13742">
        <w:r>
          <w:rPr>
            <w:color w:val="0000EE"/>
            <w:u w:val="single"/>
          </w:rPr>
          <w:t>27</w:t>
        </w:r>
      </w:hyperlink>
      <w:r>
        <w:t xml:space="preserve"> ; </w:t>
      </w:r>
      <w:hyperlink r:id="rId1314">
        <w:r>
          <w:rPr>
            <w:color w:val="0000EE"/>
            <w:u w:val="single"/>
          </w:rPr>
          <w:t>11.10</w:t>
        </w:r>
      </w:hyperlink>
      <w:r>
        <w:t xml:space="preserve"> ; </w:t>
      </w:r>
      <w:hyperlink r:id="rId13743">
        <w:r>
          <w:rPr>
            <w:color w:val="0000EE"/>
            <w:u w:val="single"/>
          </w:rPr>
          <w:t>1Ch 1.4, 17</w:t>
        </w:r>
      </w:hyperlink>
      <w:hyperlink r:id="rId13744">
        <w:r>
          <w:rPr>
            <w:color w:val="0000EE"/>
            <w:u w:val="single"/>
          </w:rPr>
          <w:t>–</w:t>
        </w:r>
      </w:hyperlink>
      <w:hyperlink r:id="rId13743">
        <w:r>
          <w:rPr>
            <w:color w:val="0000EE"/>
            <w:u w:val="single"/>
          </w:rPr>
          <w:t>27</w:t>
        </w:r>
      </w:hyperlink>
      <w:r>
        <w:t xml:space="preserve"> ; </w:t>
      </w:r>
      <w:hyperlink r:id="rId1313">
        <w:r>
          <w:rPr>
            <w:color w:val="0000EE"/>
            <w:u w:val="single"/>
          </w:rPr>
          <w:t>Lc 3.36</w:t>
        </w:r>
      </w:hyperlink>
      <w:r>
        <w:t>) et ancêtre des peuples sémitiques (</w:t>
      </w:r>
      <w:hyperlink r:id="rId13745">
        <w:r>
          <w:rPr>
            <w:color w:val="0000EE"/>
            <w:u w:val="single"/>
          </w:rPr>
          <w:t>Gn 10.1, 21</w:t>
        </w:r>
      </w:hyperlink>
      <w:hyperlink r:id="rId2372">
        <w:r>
          <w:rPr>
            <w:color w:val="0000EE"/>
            <w:u w:val="single"/>
          </w:rPr>
          <w:t>–</w:t>
        </w:r>
      </w:hyperlink>
      <w:hyperlink r:id="rId13745">
        <w:r>
          <w:rPr>
            <w:color w:val="0000EE"/>
            <w:u w:val="single"/>
          </w:rPr>
          <w:t>31</w:t>
        </w:r>
      </w:hyperlink>
      <w:r>
        <w:t>). Sem a vécu 600 ans (</w:t>
      </w:r>
      <w:hyperlink r:id="rId13746">
        <w:r>
          <w:rPr>
            <w:color w:val="0000EE"/>
            <w:u w:val="single"/>
          </w:rPr>
          <w:t>Gn 11.10–11</w:t>
        </w:r>
      </w:hyperlink>
      <w:r>
        <w:t>). Son nom en hébreu signifie « nom », ce qui suggère peut-être que Noé croyait que le nom de Sem deviendrait important.</w:t>
      </w:r>
    </w:p>
    <w:p>
      <w:r/>
      <w:r>
        <w:t>Après le grand Déluge, Sem et son frère Japhet ont trouvé leur père, Noé, ivre. Leur autre frère, Cham, l'avait déshonoré. Sem et Japhet se sont comporté respectueusement envers Noé (</w:t>
      </w:r>
      <w:hyperlink r:id="rId13747">
        <w:r>
          <w:rPr>
            <w:color w:val="0000EE"/>
            <w:u w:val="single"/>
          </w:rPr>
          <w:t>Gn 9.20–29</w:t>
        </w:r>
      </w:hyperlink>
      <w:r>
        <w:t>). À cause de leurs actions, Noé maudira plus tard Canaan, le fils de Cham, et bénira à la fois Sem et Japhet.</w:t>
      </w:r>
    </w:p>
    <w:p>
      <w:r/>
      <w:hyperlink r:id="rId13748">
        <w:r>
          <w:rPr>
            <w:color w:val="0000EE"/>
            <w:u w:val="single"/>
          </w:rPr>
          <w:t>Genèse 11.10–27</w:t>
        </w:r>
      </w:hyperlink>
      <w:r>
        <w:t xml:space="preserve"> présente la lignée familiale de la semence promise (descendant). Ce descendant avait été prédit dans </w:t>
      </w:r>
      <w:hyperlink r:id="rId250">
        <w:r>
          <w:rPr>
            <w:color w:val="0000EE"/>
            <w:u w:val="single"/>
          </w:rPr>
          <w:t>Genèse 3.15</w:t>
        </w:r>
      </w:hyperlink>
      <w:r>
        <w:t xml:space="preserve"> et </w:t>
      </w:r>
      <w:hyperlink r:id="rId2535">
        <w:r>
          <w:rPr>
            <w:color w:val="0000EE"/>
            <w:u w:val="single"/>
          </w:rPr>
          <w:t>5.1–32</w:t>
        </w:r>
      </w:hyperlink>
      <w:r>
        <w:t xml:space="preserve"> pour écraser Satan. Cette lignée passe par Sem jusqu'à Abraham, puis par Juda et David jusqu'à Christ (voir </w:t>
      </w:r>
      <w:hyperlink r:id="rId1313">
        <w:r>
          <w:rPr>
            <w:color w:val="0000EE"/>
            <w:u w:val="single"/>
          </w:rPr>
          <w:t>Lc 3.36</w:t>
        </w:r>
      </w:hyperlink>
      <w:r>
        <w:t xml:space="preserve">). La bénédiction que Noé a donnée à Sem montre que sa lignée porterait la promesse de la semence de </w:t>
      </w:r>
      <w:hyperlink r:id="rId250">
        <w:r>
          <w:rPr>
            <w:color w:val="0000EE"/>
            <w:u w:val="single"/>
          </w:rPr>
          <w:t>Genèse 3.15</w:t>
        </w:r>
      </w:hyperlink>
      <w:r>
        <w:t xml:space="preserve">. C'est la première fois dans la Bible que Dieu est appelé le Dieu d'une personne ou d'un groupe spécifique. Noé avait dit que le peuple de Canaan servirait le peuple de Sem. Cela s'est réalisé lorsque les Israélites, descendants de Sem, ont pris le contrôle du pays de Canaan (voir </w:t>
      </w:r>
      <w:hyperlink r:id="rId6467">
        <w:r>
          <w:rPr>
            <w:color w:val="0000EE"/>
            <w:u w:val="single"/>
          </w:rPr>
          <w:t>1R 9.20–21</w:t>
        </w:r>
      </w:hyperlink>
      <w:r>
        <w:t>).</w:t>
      </w:r>
    </w:p>
    <w:p>
      <w:r/>
      <w:r>
        <w:t>Noé a également dit que les descendants de Japhet augmenteraient en nombre et vivraient parmi le peuple de Sem (</w:t>
      </w:r>
      <w:hyperlink r:id="rId13749">
        <w:r>
          <w:rPr>
            <w:color w:val="0000EE"/>
            <w:u w:val="single"/>
          </w:rPr>
          <w:t>Gn 9.27</w:t>
        </w:r>
      </w:hyperlink>
      <w:r>
        <w:t>). Cela signifie probablement que les descendants de Japhet augmenteraient en nombre. Au fil du temps, ils bénéficieraient des bénédictions de Sem. Certains experts croient que cette prophétie s'est accomplie lorsque, dans le Nouveau Testament, les Gentils ont été invités à partager les bénédictions de l'Évangile et la fondation de l'Église.</w:t>
      </w:r>
    </w:p>
    <w:p>
      <w:r/>
      <w:r>
        <w:t xml:space="preserve">Dans la « table des nations » de </w:t>
      </w:r>
      <w:hyperlink r:id="rId4483">
        <w:r>
          <w:rPr>
            <w:color w:val="0000EE"/>
            <w:u w:val="single"/>
          </w:rPr>
          <w:t>Genèse 10</w:t>
        </w:r>
      </w:hyperlink>
      <w:r>
        <w:t>, cinq descendants de Sem sont listés :</w:t>
      </w:r>
    </w:p>
    <w:p>
      <w:pPr>
        <w:pStyle w:val="ListNumber"/>
        <w:spacing w:line="240" w:lineRule="auto"/>
        <w:ind w:left="720"/>
      </w:pPr>
      <w:r/>
      <w:r>
        <w:t>Élam</w:t>
      </w:r>
    </w:p>
    <w:p>
      <w:pPr>
        <w:pStyle w:val="ListNumber"/>
        <w:spacing w:line="240" w:lineRule="auto"/>
        <w:ind w:left="720"/>
      </w:pPr>
      <w:r/>
      <w:r>
        <w:t>Assur</w:t>
      </w:r>
    </w:p>
    <w:p>
      <w:pPr>
        <w:pStyle w:val="ListNumber"/>
        <w:spacing w:line="240" w:lineRule="auto"/>
        <w:ind w:left="720"/>
      </w:pPr>
      <w:r/>
      <w:r>
        <w:t>Arpacschad</w:t>
      </w:r>
    </w:p>
    <w:p>
      <w:pPr>
        <w:pStyle w:val="ListNumber"/>
        <w:spacing w:line="240" w:lineRule="auto"/>
        <w:ind w:left="720"/>
      </w:pPr>
      <w:r/>
      <w:r>
        <w:t>Lud</w:t>
      </w:r>
    </w:p>
    <w:p>
      <w:pPr>
        <w:pStyle w:val="ListNumber"/>
        <w:spacing w:line="240" w:lineRule="auto"/>
        <w:ind w:left="720"/>
      </w:pPr>
      <w:r/>
      <w:r>
        <w:t>Aram</w:t>
      </w:r>
    </w:p>
    <w:p>
      <w:r/>
      <w:r>
        <w:t xml:space="preserve">Parmi ces descendants, Héber de la lignée d'Arpacschad reçoit une attention particulière, sa lignée étant tracée jusqu'à Abraham dans </w:t>
      </w:r>
      <w:hyperlink r:id="rId13750">
        <w:r>
          <w:rPr>
            <w:color w:val="0000EE"/>
            <w:u w:val="single"/>
          </w:rPr>
          <w:t>Genèse 11.16–27</w:t>
        </w:r>
      </w:hyperlink>
      <w:r>
        <w:t>.</w:t>
      </w:r>
    </w:p>
    <w:p>
      <w:r/>
      <w:r>
        <w:rPr>
          <w:i/>
        </w:rPr>
        <w:t>Voir aussi</w:t>
      </w:r>
      <w:r>
        <w:t xml:space="preserve"> </w:t>
      </w:r>
      <w:r>
        <w:t>Abraham</w:t>
      </w:r>
      <w:r>
        <w:t xml:space="preserve"> ; </w:t>
      </w:r>
      <w:r>
        <w:t>Généalogie de Jésus-Christ</w:t>
      </w:r>
      <w:r>
        <w:t xml:space="preserve"> ; </w:t>
      </w:r>
      <w:r>
        <w:t>Nations</w:t>
      </w:r>
      <w:r>
        <w:t xml:space="preserve"> ; </w:t>
      </w:r>
      <w:r>
        <w:t>Noé n° 1</w:t>
      </w:r>
      <w:r>
        <w:t>.</w:t>
      </w:r>
      <w:r/>
      <w:r/>
    </w:p>
    <w:p>
      <w:r/>
    </w:p>
    <w:p>
      <w:pPr>
        <w:pStyle w:val="Heading2"/>
      </w:pPr>
      <w:r>
        <w:t>Sephar</w:t>
      </w:r>
      <w:r/>
    </w:p>
    <w:p>
      <w:r/>
      <w:r>
        <w:t>Point de repère géographique qui définit l'une des frontières du territoire colonisé par les fils de Jokthan (</w:t>
      </w:r>
      <w:hyperlink r:id="rId6211">
        <w:r>
          <w:rPr>
            <w:color w:val="0000EE"/>
            <w:u w:val="single"/>
          </w:rPr>
          <w:t>Gn 10.30</w:t>
        </w:r>
      </w:hyperlink>
      <w:r>
        <w:t>). Il ne fait aucun doute qu'il se trouve dans le sud de l'Arabie. Sephar est le plus souvent identifié avec l'une des deux villes portant le nom arabe Zafar. L'une est la ville portuaire de la province de Hadhramaut, au centre du Yémen. L'autre est un site dans le sud du Yémen, autrefois capitale des Himyarites.</w:t>
      </w:r>
      <w:r/>
      <w:r/>
    </w:p>
    <w:p>
      <w:r/>
    </w:p>
    <w:p>
      <w:pPr>
        <w:pStyle w:val="Heading2"/>
      </w:pPr>
      <w:r>
        <w:t>Sept dernières paroles de Jésus</w:t>
      </w:r>
      <w:r/>
    </w:p>
    <w:p>
      <w:r/>
      <w:r>
        <w:t>Paroles enregistrées de Jésus entre le moment de sa crucifixion et sa mort. Ces sept phrases ne se trouvent pas dans un unique Évangile. Les deux premières et la septième ne se trouvent que dans Luc ; la troisième, la cinquième et la sixième, uniquement dans Jean ; et la quatrième, à la fois dans Matthieu et Marc. L'ordre est traditionnel ; comme aucun Évangile ne les enregistre toutes, il est incertain dans quel ordre elles ont réellement été prononcées. On ignore également si Jésus a dit d'autres choses depuis la croix ou si les sept paroles sont des résumés de déclarations plus longues. Mais compte tenu du traumatisme de la crucifixion, il ne serait pas surprenant que ce soit tout ce qu'il ait dit.</w:t>
      </w:r>
    </w:p>
    <w:p>
      <w:r/>
      <w:r>
        <w:t xml:space="preserve">1. « </w:t>
      </w:r>
      <w:r>
        <w:t>Père, pardonne-leur, car ils ne savent ce qu’ils font</w:t>
      </w:r>
      <w:r>
        <w:t xml:space="preserve"> » (</w:t>
      </w:r>
      <w:hyperlink r:id="rId12990">
        <w:r>
          <w:rPr>
            <w:color w:val="0000EE"/>
            <w:u w:val="single"/>
          </w:rPr>
          <w:t>Lc 23.34</w:t>
        </w:r>
      </w:hyperlink>
      <w:r>
        <w:t>).</w:t>
      </w:r>
    </w:p>
    <w:p>
      <w:r/>
      <w:r>
        <w:t>Il s'agit de la seule des sept dernières paroles dont l'authenticité est remise en question, car plusieurs des meilleurs manuscrits grecs ne la contiennent pas. Même s'il existe un élément de doute (les données en faveur et en défaveur de l'authenticité sont assez équilibrées), cela correspond certainement à ce que l'on sait de Jésus et de son amour, que Luc l'ait ou non enregistré à l'origine. Quelques versets plut tôt, Jésus a démontré plus de souci pour les autres que pour lui-même (</w:t>
      </w:r>
      <w:hyperlink r:id="rId13751">
        <w:r>
          <w:rPr>
            <w:color w:val="0000EE"/>
            <w:u w:val="single"/>
          </w:rPr>
          <w:t>Lc 19.41</w:t>
        </w:r>
      </w:hyperlink>
      <w:r>
        <w:t xml:space="preserve"> ; </w:t>
      </w:r>
      <w:hyperlink r:id="rId9507">
        <w:r>
          <w:rPr>
            <w:color w:val="0000EE"/>
            <w:u w:val="single"/>
          </w:rPr>
          <w:t>22.50–51</w:t>
        </w:r>
      </w:hyperlink>
      <w:r>
        <w:t xml:space="preserve"> ; </w:t>
      </w:r>
      <w:hyperlink r:id="rId13752">
        <w:r>
          <w:rPr>
            <w:color w:val="0000EE"/>
            <w:u w:val="single"/>
          </w:rPr>
          <w:t>23.28</w:t>
        </w:r>
      </w:hyperlink>
      <w:r>
        <w:t>). Jésus a vécu son propre enseignement et a prié pour ceux qui le torturaient (</w:t>
      </w:r>
      <w:hyperlink r:id="rId13753">
        <w:r>
          <w:rPr>
            <w:color w:val="0000EE"/>
            <w:u w:val="single"/>
          </w:rPr>
          <w:t>Lc 6.27–28</w:t>
        </w:r>
      </w:hyperlink>
      <w:r>
        <w:t xml:space="preserve">). On ne pourrait imaginer de plus grande motivation pour l'humanité d'aller et de faire de même. Certes, les soldats et les dirigeants juifs n'étaient pas totalement inconscients de ce qu'ils faisaient (voir </w:t>
      </w:r>
      <w:hyperlink r:id="rId4158">
        <w:r>
          <w:rPr>
            <w:color w:val="0000EE"/>
            <w:u w:val="single"/>
          </w:rPr>
          <w:t>Ac 3.17</w:t>
        </w:r>
      </w:hyperlink>
      <w:r>
        <w:t>), mais en ce qu'ils ne connaissaient pas la véritable portée de leur action, ils étaient ignorants. Pour les chrétiens, la requête « Père, pardonne-leur » est plus importante que la raison derrière cette requête, comme Étienne l'a reconnu lorsqu'il l'a paraphrasée lors de son propre martyre (</w:t>
      </w:r>
      <w:hyperlink r:id="rId13754">
        <w:r>
          <w:rPr>
            <w:color w:val="0000EE"/>
            <w:u w:val="single"/>
          </w:rPr>
          <w:t>Ac 7.60</w:t>
        </w:r>
      </w:hyperlink>
      <w:r>
        <w:t>). En fin de compte, le pardon ne demande aucune raison ; c'est une grâce accordée.</w:t>
      </w:r>
    </w:p>
    <w:p>
      <w:r/>
      <w:r>
        <w:t xml:space="preserve">2. « </w:t>
      </w:r>
      <w:r>
        <w:t>Je te le dis en vérité, aujourd’hui tu seras avec moi dans le paradis</w:t>
      </w:r>
      <w:r>
        <w:t xml:space="preserve"> » (</w:t>
      </w:r>
      <w:hyperlink r:id="rId11668">
        <w:r>
          <w:rPr>
            <w:color w:val="0000EE"/>
            <w:u w:val="single"/>
          </w:rPr>
          <w:t>Lc 23.43</w:t>
        </w:r>
      </w:hyperlink>
      <w:r>
        <w:t>).</w:t>
      </w:r>
    </w:p>
    <w:p>
      <w:r/>
      <w:r>
        <w:t>Luc ne rapporte pas cette déclaration pour constituer un enseignement concernant le séjour des morts, mais pour exprimer comment le Seigneur répond face à la foi. Un criminel se joint tout naturellement à la foule moqueuse et ne reçoit que silence (</w:t>
      </w:r>
      <w:hyperlink r:id="rId13755">
        <w:r>
          <w:rPr>
            <w:color w:val="0000EE"/>
            <w:u w:val="single"/>
          </w:rPr>
          <w:t>Lc 23.40</w:t>
        </w:r>
      </w:hyperlink>
      <w:r>
        <w:t xml:space="preserve">), mais l'autre reconnaît de manière assez remarquable non seulement l'innocence de Jésus, mais aussi que la croix n'était qu'un prélude au royaume (v. </w:t>
      </w:r>
      <w:hyperlink r:id="rId13756">
        <w:r>
          <w:rPr>
            <w:color w:val="0000EE"/>
            <w:u w:val="single"/>
          </w:rPr>
          <w:t>40–42</w:t>
        </w:r>
      </w:hyperlink>
      <w:r>
        <w:t>). Jésus a promis à cet homme qu'il serait avec lui au paradis. Voici de nouveau un exemple de la grâce, demandée et reçue.</w:t>
      </w:r>
    </w:p>
    <w:p>
      <w:r/>
      <w:r>
        <w:t xml:space="preserve">3. « </w:t>
      </w:r>
      <w:r>
        <w:t>Femme, voilà ton fils.</w:t>
      </w:r>
      <w:r>
        <w:t xml:space="preserve"> […] </w:t>
      </w:r>
      <w:r>
        <w:t>Voilà ta mère</w:t>
      </w:r>
      <w:r>
        <w:t xml:space="preserve"> » (</w:t>
      </w:r>
      <w:hyperlink r:id="rId13757">
        <w:r>
          <w:rPr>
            <w:color w:val="0000EE"/>
            <w:u w:val="single"/>
          </w:rPr>
          <w:t>Jn 19.26–27</w:t>
        </w:r>
      </w:hyperlink>
      <w:r>
        <w:t>).</w:t>
      </w:r>
    </w:p>
    <w:p>
      <w:r/>
      <w:r>
        <w:t>Jean dépeint Jésus comme pleinement maître de la situation. À cet instant-ci, ce contrôle est évident, car il prend calmement soin de sa mère au lieu de se concentrer sur sa propre souffrance. Marie souffrait également alors que l'« épée » transperçait son cœur (</w:t>
      </w:r>
      <w:hyperlink r:id="rId671">
        <w:r>
          <w:rPr>
            <w:color w:val="0000EE"/>
            <w:u w:val="single"/>
          </w:rPr>
          <w:t>Lc 2.35</w:t>
        </w:r>
      </w:hyperlink>
      <w:r>
        <w:t>). Jésus, désormais bien plus son Seigneur que son fils, se souvient de ses relations naturelles ainsi que spirituelles. On ne sait pas pourquoi les frères de Jésus n'étaient pas présents pour s'occuper de Marie, ni pourquoi ils ont manqué la fête de la Pâque. On ne sait pas non plus pourquoi le disciple que Jésus aimait a été choisi, mais peut-être que le choix s'est porté sur lui parce qu'il était présent au Calvaire et qu'il était digne de confiance.</w:t>
      </w:r>
    </w:p>
    <w:p>
      <w:r/>
      <w:r>
        <w:t xml:space="preserve">4. « </w:t>
      </w:r>
      <w:r>
        <w:t>Mon Dieu, mon Dieu, pourquoi m’as-tu abandonné</w:t>
      </w:r>
      <w:r>
        <w:t xml:space="preserve"> ? » (</w:t>
      </w:r>
      <w:hyperlink r:id="rId6719">
        <w:r>
          <w:rPr>
            <w:color w:val="0000EE"/>
            <w:u w:val="single"/>
          </w:rPr>
          <w:t>Mt 27.46</w:t>
        </w:r>
      </w:hyperlink>
      <w:r>
        <w:t xml:space="preserve"> ; </w:t>
      </w:r>
      <w:hyperlink r:id="rId4649">
        <w:r>
          <w:rPr>
            <w:color w:val="0000EE"/>
            <w:u w:val="single"/>
          </w:rPr>
          <w:t>Mc 15.34</w:t>
        </w:r>
      </w:hyperlink>
      <w:r>
        <w:t>).</w:t>
      </w:r>
    </w:p>
    <w:p>
      <w:r/>
      <w:r>
        <w:t xml:space="preserve">Nous sommes plusieurs heures après les trois premières paroles, plongés dans l'obscurité qui a recouvert le Calvaire pendant les trois dernières heures. Soudain, Jésus crie les premiers mots du </w:t>
      </w:r>
      <w:hyperlink r:id="rId10478">
        <w:r>
          <w:rPr>
            <w:color w:val="0000EE"/>
            <w:u w:val="single"/>
          </w:rPr>
          <w:t>Psaume 22</w:t>
        </w:r>
      </w:hyperlink>
      <w:r>
        <w:t>. Marc les a notées dans la langue maternelle de Jésus, l'araméen, tandis que Matthieu les retranscrit en hébreu. Le sens de ce cri (appelé le cri de déréliction) a été diversement expliqué comme une expression de sentiment humain, une déclaration de déception que Dieu ne l'ait pas délivré, une expression de séparation de Dieu parce qu'il portait le péché, ou une référence au psaume dans son entièreté, sa fin triomphale étant entendue. Bien que la pleine profondeur de ce cri soit un mystère connu seulement de Jésus et de son Père, il est probable que, parce que le psaume est un cri adressé à Dieu pour demander la vindication, ce soit cela que Jésus demande ici. Il crie à Dieu pour montrer qu'il est vraiment l'élu de Dieu. La requête est exaucée en ce que Dieu a ressuscité son Fils d'entre les morts trois jours plus tard.</w:t>
      </w:r>
    </w:p>
    <w:p>
      <w:r/>
      <w:r>
        <w:t>5. « J'ai soif » (</w:t>
      </w:r>
      <w:hyperlink r:id="rId13758">
        <w:r>
          <w:rPr>
            <w:color w:val="0000EE"/>
            <w:u w:val="single"/>
          </w:rPr>
          <w:t>Jn 19.28</w:t>
        </w:r>
      </w:hyperlink>
      <w:r>
        <w:t>).</w:t>
      </w:r>
    </w:p>
    <w:p>
      <w:r/>
      <w:r>
        <w:t>Au début de la crucifixion, Jésus s'est vu offrir un vin mêlé de fiel comme soporifique pour atténuer la douleur de la crucifixion. Il l'a refusé (</w:t>
      </w:r>
      <w:hyperlink r:id="rId9833">
        <w:r>
          <w:rPr>
            <w:color w:val="0000EE"/>
            <w:u w:val="single"/>
          </w:rPr>
          <w:t>Mt 27.34</w:t>
        </w:r>
      </w:hyperlink>
      <w:r>
        <w:t xml:space="preserve"> ; </w:t>
      </w:r>
      <w:hyperlink r:id="rId13759">
        <w:r>
          <w:rPr>
            <w:color w:val="0000EE"/>
            <w:u w:val="single"/>
          </w:rPr>
          <w:t>Mc 15.23</w:t>
        </w:r>
      </w:hyperlink>
      <w:r>
        <w:t>). Maintenant, gravement déshydraté, Jésus accepte le vin aigre des soldats (</w:t>
      </w:r>
      <w:hyperlink r:id="rId9867">
        <w:r>
          <w:rPr>
            <w:color w:val="0000EE"/>
            <w:u w:val="single"/>
          </w:rPr>
          <w:t>Jn 19.29</w:t>
        </w:r>
      </w:hyperlink>
      <w:r>
        <w:t xml:space="preserve">), ce qui aiguiserait ses sens pour son dernier cri. Il en avait besoin, car il cela faisait six heures qu'il était suspendu là. Peut-être voyons-nous son humanité complète plus clairement ici qu'à tout autre moment de la vie de Jésus. Jean a vu cette action comme un accomplissement du </w:t>
      </w:r>
      <w:hyperlink r:id="rId12470">
        <w:r>
          <w:rPr>
            <w:color w:val="0000EE"/>
            <w:u w:val="single"/>
          </w:rPr>
          <w:t>Psaume 22.15</w:t>
        </w:r>
      </w:hyperlink>
      <w:r>
        <w:t xml:space="preserve"> (voir aussi </w:t>
      </w:r>
      <w:hyperlink r:id="rId13760">
        <w:r>
          <w:rPr>
            <w:color w:val="0000EE"/>
            <w:u w:val="single"/>
          </w:rPr>
          <w:t>Ps 69.21</w:t>
        </w:r>
      </w:hyperlink>
      <w:r>
        <w:t>).</w:t>
      </w:r>
    </w:p>
    <w:p>
      <w:r/>
      <w:r>
        <w:t xml:space="preserve">6. « </w:t>
      </w:r>
      <w:r>
        <w:t>Tout est accompli</w:t>
      </w:r>
      <w:r>
        <w:t xml:space="preserve"> » (</w:t>
      </w:r>
      <w:hyperlink r:id="rId4916">
        <w:r>
          <w:rPr>
            <w:color w:val="0000EE"/>
            <w:u w:val="single"/>
          </w:rPr>
          <w:t>Jn 19.30</w:t>
        </w:r>
      </w:hyperlink>
      <w:r>
        <w:t>).</w:t>
      </w:r>
    </w:p>
    <w:p>
      <w:r/>
      <w:r>
        <w:t>Jean conclut le récit de la crucifixion avec cette déclaration simple (un seul mot en grec). La phrase exprime naturellement un soulagement et une satisfaction que la douleur et l'agonie soient terminées, que la mort le libérera bientôt, mais le contexte de Jean donne au mot une signification plus profonde. Selon Jean, Jésus était au contrôle tout au long de la crucifixion. Il a dit que personne ne pouvait lui ôter la vie : il la déposerait de son propre gré (</w:t>
      </w:r>
      <w:hyperlink r:id="rId13062">
        <w:r>
          <w:rPr>
            <w:color w:val="0000EE"/>
            <w:u w:val="single"/>
          </w:rPr>
          <w:t>Jn 10.18</w:t>
        </w:r>
      </w:hyperlink>
      <w:r>
        <w:t xml:space="preserve"> ; </w:t>
      </w:r>
      <w:hyperlink r:id="rId13761">
        <w:r>
          <w:rPr>
            <w:color w:val="0000EE"/>
            <w:u w:val="single"/>
          </w:rPr>
          <w:t>19.10–11</w:t>
        </w:r>
      </w:hyperlink>
      <w:r>
        <w:t>). Ainsi, sachant qu'il avait totalement accompli la volonté du Père, il a volontairement déposé sa vie. Ce qui est accompli, ainsi, n'est pas simplement sa mort, ni sa vie en soi, ni l'œuvre de rédemption, mais la raison totale de sa présence dans le monde. Le dernier acte d'obéissance a été accompli ; la dernière écriture a été accomplie. Jésus proclame sa vie « accomplie » et quitte la scène jusqu'à ce que la résurrection commence un nouvel acte.</w:t>
      </w:r>
    </w:p>
    <w:p>
      <w:r/>
      <w:r>
        <w:t xml:space="preserve">7. « </w:t>
      </w:r>
      <w:r>
        <w:t>Père, je remets mon esprit entre tes mains</w:t>
      </w:r>
      <w:r>
        <w:t xml:space="preserve"> » (</w:t>
      </w:r>
      <w:hyperlink r:id="rId5071">
        <w:r>
          <w:rPr>
            <w:color w:val="0000EE"/>
            <w:u w:val="single"/>
          </w:rPr>
          <w:t>Lc 23.46</w:t>
        </w:r>
      </w:hyperlink>
      <w:r>
        <w:t>).</w:t>
      </w:r>
    </w:p>
    <w:p>
      <w:r/>
      <w:r>
        <w:t xml:space="preserve">Luc a une vision différente de la fin par rapport à Jean et aux autres Évangélistes. Matthieu et Marc rapportent seulement un « grand cri » après le cri de déréliction, se terminant sur une note sombre. Jean termine sur l'œuvre accomplie. Luc, qui ne rapporte aucun sentiment d'abandon, termine en nous disant que le grand cri était une citation du </w:t>
      </w:r>
      <w:hyperlink r:id="rId9405">
        <w:r>
          <w:rPr>
            <w:color w:val="0000EE"/>
            <w:u w:val="single"/>
          </w:rPr>
          <w:t>Psaume 31.5</w:t>
        </w:r>
      </w:hyperlink>
      <w:r>
        <w:t xml:space="preserve"> (voir Étienne dans </w:t>
      </w:r>
      <w:hyperlink r:id="rId13762">
        <w:r>
          <w:rPr>
            <w:color w:val="0000EE"/>
            <w:u w:val="single"/>
          </w:rPr>
          <w:t>Ac 7.59</w:t>
        </w:r>
      </w:hyperlink>
      <w:r>
        <w:t xml:space="preserve">). La citation est précédée par « Père », le familier </w:t>
      </w:r>
      <w:r>
        <w:rPr>
          <w:i/>
        </w:rPr>
        <w:t>Abba,</w:t>
      </w:r>
      <w:r>
        <w:t xml:space="preserve"> une forme d'adresse à Dieu caractéristique de Jésus. Sa relation avec Dieu reste intacte jusqu'à la fin. Jésus ne saute pas dans l'inconnu ni ne lutte contre l'inconnu, mais se place, dans sa mort, entre les mains du même Père qu'il avait servi durant sa vie.</w:t>
      </w:r>
    </w:p>
    <w:p>
      <w:r/>
      <w:r>
        <w:rPr>
          <w:i/>
        </w:rPr>
        <w:t>Voir aussi</w:t>
      </w:r>
      <w:r>
        <w:t xml:space="preserve"> </w:t>
      </w:r>
      <w:r>
        <w:t>Crucifixion</w:t>
      </w:r>
      <w:r>
        <w:t xml:space="preserve"> ; </w:t>
      </w:r>
      <w:r>
        <w:t>Éli, Éli, lama sabachthani?</w:t>
      </w:r>
      <w:r>
        <w:t>.</w:t>
      </w:r>
      <w:r/>
      <w:r/>
    </w:p>
    <w:p>
      <w:r/>
    </w:p>
    <w:p>
      <w:pPr>
        <w:pStyle w:val="Heading2"/>
      </w:pPr>
      <w:r>
        <w:t>Sergius Paulus</w:t>
      </w:r>
      <w:r/>
    </w:p>
    <w:p>
      <w:r/>
      <w:r>
        <w:t xml:space="preserve">Sergius Paulus était le proconsul (un gouverneur romain) de Chypre. Dans </w:t>
      </w:r>
      <w:hyperlink r:id="rId8198">
        <w:r>
          <w:rPr>
            <w:color w:val="0000EE"/>
            <w:u w:val="single"/>
          </w:rPr>
          <w:t>Actes 13.7</w:t>
        </w:r>
      </w:hyperlink>
      <w:r>
        <w:t>, Luc le décrit comme un « homme intelligent ». Paul et Barnabas ont visité la ville de Paphos à Chypre lors de leur premier voyage missionnaire. Paphos était l'endroit où Sergius Paulus vivait et travaillait. Pendant leur séjour, ils ont rencontré un faux prophète et sorcier juif nommé Bar-Jésus (également appelé Élymas), qui a essayé avec insistance d'empêcher le proconsul d'entendre le message de l'Évangile.</w:t>
      </w:r>
    </w:p>
    <w:p>
      <w:r/>
      <w:r>
        <w:t>Paul réprimandera Élymas et le maudira de cécité. Lorsque Sergius Paulus verra ce qui s'était passé, il croira au message de l'Évangile de Paul. Cela fera de lui la première personne dont il est rapporté qu'elle est devenue chrétienne lors du premier voyage missionnaire de Paul.</w:t>
      </w:r>
    </w:p>
    <w:p>
      <w:r/>
      <w:r>
        <w:t>C'est à ce moment-là dans la Bible que nous voyons le nom de Saul changer en Paul. Origène (un érudit chrétien ancien) et beaucoup d'autres depuis son époque ont pensé que Paul a changé son nom pour honorer cet important converti.</w:t>
      </w:r>
      <w:r/>
      <w:r/>
    </w:p>
    <w:p>
      <w:r/>
    </w:p>
    <w:p>
      <w:pPr>
        <w:pStyle w:val="Heading2"/>
      </w:pPr>
      <w:r>
        <w:t>Serment</w:t>
      </w:r>
      <w:r/>
    </w:p>
    <w:p>
      <w:r/>
      <w:r>
        <w:t>Vœu solennel ou promesse de respecter un engagement.</w:t>
      </w:r>
    </w:p>
    <w:p>
      <w:r/>
      <w:r>
        <w:t>Deux termes en hébreu signifient « serment » :</w:t>
      </w:r>
    </w:p>
    <w:p>
      <w:pPr>
        <w:pStyle w:val="ListNumber"/>
        <w:spacing w:line="240" w:lineRule="auto"/>
        <w:ind w:left="720"/>
      </w:pPr>
      <w:r/>
      <w:r>
        <w:rPr>
          <w:i/>
        </w:rPr>
        <w:t>'ala</w:t>
      </w:r>
    </w:p>
    <w:p>
      <w:pPr>
        <w:pStyle w:val="ListNumber"/>
        <w:spacing w:line="240" w:lineRule="auto"/>
        <w:ind w:left="720"/>
      </w:pPr>
      <w:r/>
      <w:r>
        <w:rPr>
          <w:i/>
        </w:rPr>
        <w:t>sebu'a</w:t>
      </w:r>
    </w:p>
    <w:p>
      <w:r/>
      <w:r>
        <w:t>Dans les temps anciens, le terme signifiait entrer dans un lien solennel et magique avec le nombre sept. Ces connexions anciennes sont désormais perdues. Abraham et Abimélec prêteront serment à Beer-Schéba (le puits des sept). Comme preuve, après avoir creusé un puits, Abraham mettra de côté sept brebis (</w:t>
      </w:r>
      <w:hyperlink r:id="rId13763">
        <w:r>
          <w:rPr>
            <w:color w:val="0000EE"/>
            <w:u w:val="single"/>
          </w:rPr>
          <w:t>Gn 21.22–31</w:t>
        </w:r>
      </w:hyperlink>
      <w:r>
        <w:t xml:space="preserve">). L'ancien terme </w:t>
      </w:r>
      <w:r>
        <w:rPr>
          <w:i/>
        </w:rPr>
        <w:t>‘ala,</w:t>
      </w:r>
      <w:r>
        <w:t xml:space="preserve"> souvent traduit par « serment », signifie proprement « malédiction ». Parfois, les deux termes sont utilisés ensemble (</w:t>
      </w:r>
      <w:hyperlink r:id="rId13764">
        <w:r>
          <w:rPr>
            <w:color w:val="0000EE"/>
            <w:u w:val="single"/>
          </w:rPr>
          <w:t>Nb 5.21</w:t>
        </w:r>
      </w:hyperlink>
      <w:r>
        <w:t xml:space="preserve"> ; </w:t>
      </w:r>
      <w:hyperlink r:id="rId13765">
        <w:r>
          <w:rPr>
            <w:color w:val="0000EE"/>
            <w:u w:val="single"/>
          </w:rPr>
          <w:t>Né 10.29</w:t>
        </w:r>
      </w:hyperlink>
      <w:r>
        <w:t xml:space="preserve"> ; </w:t>
      </w:r>
      <w:hyperlink r:id="rId13766">
        <w:r>
          <w:rPr>
            <w:color w:val="0000EE"/>
            <w:u w:val="single"/>
          </w:rPr>
          <w:t>Dn 9.11</w:t>
        </w:r>
      </w:hyperlink>
      <w:r>
        <w:t>). Toute violation du serment entraînerait une malédiction. Le Seigneur a dit qu'il avait fait une alliance et une malédiction avec Israël, à savoir que rompre l'alliance serait suivi d'une malédiction (</w:t>
      </w:r>
      <w:hyperlink r:id="rId13767">
        <w:r>
          <w:rPr>
            <w:color w:val="0000EE"/>
            <w:u w:val="single"/>
          </w:rPr>
          <w:t>Dt 29.14</w:t>
        </w:r>
      </w:hyperlink>
      <w:r>
        <w:t xml:space="preserve"> et versets suivants).</w:t>
      </w:r>
    </w:p>
    <w:p>
      <w:r/>
      <w:r>
        <w:t>Un serment était prêté pour confirmer un accord ou, dans une situation politique, pour confirmer un traité. En Israël et chez ses voisins, c'est Dieu (ou les dieux) qui garantissait l'accord. Son (ou leur) nom était invoqué à cette fin. Lorsque Jacob et Laban ont conclu un accord, ils ont érigé un tas de pierres comme témoin (</w:t>
      </w:r>
      <w:hyperlink r:id="rId10545">
        <w:r>
          <w:rPr>
            <w:color w:val="0000EE"/>
            <w:u w:val="single"/>
          </w:rPr>
          <w:t>Gn 31.53</w:t>
        </w:r>
      </w:hyperlink>
      <w:r>
        <w:t xml:space="preserve">). Si l'une des parties transgressait les termes, c'était considéré comme un péché odieux. L'un des Dix Commandements traitait des affirmations vides. Il disait : « </w:t>
      </w:r>
      <w:r>
        <w:t>Tu ne prendras point le nom de l’Éternel, ton Dieu, en vain</w:t>
      </w:r>
      <w:r>
        <w:t xml:space="preserve"> </w:t>
      </w:r>
      <w:r>
        <w:t>; car l’Éternel ne laissera point impuni celui qui prendra son nom en vain</w:t>
      </w:r>
      <w:r>
        <w:t xml:space="preserve"> » (</w:t>
      </w:r>
      <w:hyperlink r:id="rId13768">
        <w:r>
          <w:rPr>
            <w:color w:val="0000EE"/>
            <w:u w:val="single"/>
          </w:rPr>
          <w:t>Ex 20.7</w:t>
        </w:r>
      </w:hyperlink>
      <w:r>
        <w:t>). Le peuple d'Israël avait l'interdiction de prêter serment par de faux dieux (</w:t>
      </w:r>
      <w:hyperlink r:id="rId13769">
        <w:r>
          <w:rPr>
            <w:color w:val="0000EE"/>
            <w:u w:val="single"/>
          </w:rPr>
          <w:t>Jr 12.16</w:t>
        </w:r>
      </w:hyperlink>
      <w:r>
        <w:t xml:space="preserve"> ; </w:t>
      </w:r>
      <w:hyperlink r:id="rId13770">
        <w:r>
          <w:rPr>
            <w:color w:val="0000EE"/>
            <w:u w:val="single"/>
          </w:rPr>
          <w:t>Am 8.14</w:t>
        </w:r>
      </w:hyperlink>
      <w:r>
        <w:t>). Violer un traité international, où le serment était prêté au nom du Seigneur, méritait la mort (</w:t>
      </w:r>
      <w:hyperlink r:id="rId13771">
        <w:r>
          <w:rPr>
            <w:color w:val="0000EE"/>
            <w:u w:val="single"/>
          </w:rPr>
          <w:t>Ez 17.16–17</w:t>
        </w:r>
      </w:hyperlink>
      <w:r>
        <w:t>). Il s'agissait là de l'une des plaintes d'Osée : les gens de son époque juraient faussement lorsqu'ils concluaient une alliance (</w:t>
      </w:r>
      <w:hyperlink r:id="rId13772">
        <w:r>
          <w:rPr>
            <w:color w:val="0000EE"/>
            <w:u w:val="single"/>
          </w:rPr>
          <w:t>Os 10.4</w:t>
        </w:r>
      </w:hyperlink>
      <w:r>
        <w:t>). Le jugement accompagnerait un tel mépris inconsidéré de la solennité d'un serment. Certaines situations civiles en Israël nécessitaient un serment (</w:t>
      </w:r>
      <w:hyperlink r:id="rId13773">
        <w:r>
          <w:rPr>
            <w:color w:val="0000EE"/>
            <w:u w:val="single"/>
          </w:rPr>
          <w:t>Ex 22.10–11</w:t>
        </w:r>
      </w:hyperlink>
      <w:r>
        <w:t xml:space="preserve"> ; </w:t>
      </w:r>
      <w:hyperlink r:id="rId13774">
        <w:r>
          <w:rPr>
            <w:color w:val="0000EE"/>
            <w:u w:val="single"/>
          </w:rPr>
          <w:t>Lv 5.1</w:t>
        </w:r>
      </w:hyperlink>
      <w:r>
        <w:t xml:space="preserve"> ; </w:t>
      </w:r>
      <w:hyperlink r:id="rId13775">
        <w:r>
          <w:rPr>
            <w:color w:val="0000EE"/>
            <w:u w:val="single"/>
          </w:rPr>
          <w:t>6.3</w:t>
        </w:r>
      </w:hyperlink>
      <w:r>
        <w:t xml:space="preserve"> ; </w:t>
      </w:r>
      <w:hyperlink r:id="rId13776">
        <w:r>
          <w:rPr>
            <w:color w:val="0000EE"/>
            <w:u w:val="single"/>
          </w:rPr>
          <w:t>Nb 5.11–28</w:t>
        </w:r>
      </w:hyperlink>
      <w:r>
        <w:t>). Cette pratique a établi un modèle pour le serment d'allégeance au Dieu de l'alliance israélite.</w:t>
      </w:r>
    </w:p>
    <w:p>
      <w:r/>
      <w:r>
        <w:t>Christ a enseigné que les serments étaient contraignants (</w:t>
      </w:r>
      <w:hyperlink r:id="rId13777">
        <w:r>
          <w:rPr>
            <w:color w:val="0000EE"/>
            <w:u w:val="single"/>
          </w:rPr>
          <w:t>Mt 5.33</w:t>
        </w:r>
      </w:hyperlink>
      <w:r>
        <w:t>). Dans le royaume de Dieu, les serments deviendraient inutiles (</w:t>
      </w:r>
      <w:hyperlink r:id="rId13778">
        <w:r>
          <w:rPr>
            <w:color w:val="0000EE"/>
            <w:u w:val="single"/>
          </w:rPr>
          <w:t>Mt 5.34–37</w:t>
        </w:r>
      </w:hyperlink>
      <w:r>
        <w:t>). Lors de son procès devant Caïphe, Jésus a entendu un serment du grand prêtre (</w:t>
      </w:r>
      <w:hyperlink r:id="rId9840">
        <w:r>
          <w:rPr>
            <w:color w:val="0000EE"/>
            <w:u w:val="single"/>
          </w:rPr>
          <w:t>Mt 26.63–65</w:t>
        </w:r>
      </w:hyperlink>
      <w:r>
        <w:t>). Paul a prêté serment par moments (</w:t>
      </w:r>
      <w:hyperlink r:id="rId672">
        <w:r>
          <w:rPr>
            <w:color w:val="0000EE"/>
            <w:u w:val="single"/>
          </w:rPr>
          <w:t>2Co 1.23</w:t>
        </w:r>
      </w:hyperlink>
      <w:r>
        <w:t xml:space="preserve"> ; </w:t>
      </w:r>
      <w:hyperlink r:id="rId13779">
        <w:r>
          <w:rPr>
            <w:color w:val="0000EE"/>
            <w:u w:val="single"/>
          </w:rPr>
          <w:t>Ga 1.20</w:t>
        </w:r>
      </w:hyperlink>
      <w:r>
        <w:t>). Dieu lui-même était lié par son propre serment (</w:t>
      </w:r>
      <w:hyperlink r:id="rId6321">
        <w:r>
          <w:rPr>
            <w:color w:val="0000EE"/>
            <w:u w:val="single"/>
          </w:rPr>
          <w:t>Hé 6.13–18</w:t>
        </w:r>
      </w:hyperlink>
      <w:r>
        <w:t>) pour tenir la promesse faite aux patriarches (</w:t>
      </w:r>
      <w:hyperlink r:id="rId13780">
        <w:r>
          <w:rPr>
            <w:color w:val="0000EE"/>
            <w:u w:val="single"/>
          </w:rPr>
          <w:t>Gn 50.24</w:t>
        </w:r>
      </w:hyperlink>
      <w:r>
        <w:t xml:space="preserve"> ; </w:t>
      </w:r>
      <w:hyperlink r:id="rId13781">
        <w:r>
          <w:rPr>
            <w:color w:val="0000EE"/>
            <w:u w:val="single"/>
          </w:rPr>
          <w:t>Ps 89.19–37, 49</w:t>
        </w:r>
      </w:hyperlink>
      <w:r>
        <w:t xml:space="preserve"> ; </w:t>
      </w:r>
      <w:hyperlink r:id="rId13782">
        <w:r>
          <w:rPr>
            <w:color w:val="0000EE"/>
            <w:u w:val="single"/>
          </w:rPr>
          <w:t>110.1–4</w:t>
        </w:r>
      </w:hyperlink>
      <w:r>
        <w:t>).</w:t>
      </w:r>
    </w:p>
    <w:p>
      <w:r/>
      <w:r>
        <w:rPr>
          <w:i/>
        </w:rPr>
        <w:t>Voir aussi</w:t>
      </w:r>
      <w:r>
        <w:t xml:space="preserve"> </w:t>
      </w:r>
      <w:r>
        <w:t>Alliance</w:t>
      </w:r>
      <w:r>
        <w:t xml:space="preserve"> ; </w:t>
      </w:r>
      <w:r>
        <w:t>Vœux</w:t>
      </w:r>
      <w:r>
        <w:t>.</w:t>
      </w:r>
      <w:r/>
      <w:r/>
    </w:p>
    <w:p>
      <w:r/>
    </w:p>
    <w:p>
      <w:pPr>
        <w:pStyle w:val="Heading2"/>
      </w:pPr>
      <w:r>
        <w:t>Serpent</w:t>
      </w:r>
      <w:r/>
    </w:p>
    <w:p>
      <w:r/>
      <w:r>
        <w:t>Divers mots sont utilisés dans la Bible pour désigner les serpents. Les serpents sont des reptiles connus pour leur capacité à mordre et à injecter du venin. Les types spécifiques de serpents mentionnés incluent la vipère (</w:t>
      </w:r>
      <w:hyperlink r:id="rId13783">
        <w:r>
          <w:rPr>
            <w:color w:val="0000EE"/>
            <w:u w:val="single"/>
          </w:rPr>
          <w:t>Es 11.8</w:t>
        </w:r>
      </w:hyperlink>
      <w:r>
        <w:t xml:space="preserve"> ; </w:t>
      </w:r>
      <w:hyperlink r:id="rId13784">
        <w:r>
          <w:rPr>
            <w:color w:val="0000EE"/>
            <w:u w:val="single"/>
          </w:rPr>
          <w:t>Ac 28.3</w:t>
        </w:r>
      </w:hyperlink>
      <w:r>
        <w:t xml:space="preserve">). Le terme « serpent » peut également décrire un serpent de mer monstrueux trouvé dans </w:t>
      </w:r>
      <w:hyperlink r:id="rId13785">
        <w:r>
          <w:rPr>
            <w:color w:val="0000EE"/>
            <w:u w:val="single"/>
          </w:rPr>
          <w:t>Job 26.13</w:t>
        </w:r>
      </w:hyperlink>
      <w:r>
        <w:t xml:space="preserve">, </w:t>
      </w:r>
      <w:hyperlink r:id="rId13786">
        <w:r>
          <w:rPr>
            <w:color w:val="0000EE"/>
            <w:u w:val="single"/>
          </w:rPr>
          <w:t>Ésaïe 27.1</w:t>
        </w:r>
      </w:hyperlink>
      <w:r>
        <w:t xml:space="preserve"> et </w:t>
      </w:r>
      <w:hyperlink r:id="rId13787">
        <w:r>
          <w:rPr>
            <w:color w:val="0000EE"/>
            <w:u w:val="single"/>
          </w:rPr>
          <w:t>Amos 9.3</w:t>
        </w:r>
      </w:hyperlink>
      <w:r>
        <w:t>.</w:t>
      </w:r>
    </w:p>
    <w:p>
      <w:r/>
      <w:r>
        <w:t xml:space="preserve">Dans </w:t>
      </w:r>
      <w:hyperlink r:id="rId237">
        <w:r>
          <w:rPr>
            <w:color w:val="0000EE"/>
            <w:u w:val="single"/>
          </w:rPr>
          <w:t>Genèse 3.1,</w:t>
        </w:r>
      </w:hyperlink>
      <w:r>
        <w:t xml:space="preserve"> le serpent tente Adam et Ève. Il était « </w:t>
      </w:r>
      <w:r>
        <w:t>le plus rusé de tous les animaux des champs, que l’Éternel Dieu avait faits</w:t>
      </w:r>
      <w:r>
        <w:t xml:space="preserve"> ». En conséquence, le serpent se trouve maudit : « </w:t>
      </w:r>
      <w:r>
        <w:t>tu marcheras sur ton ventre, et tu mangeras de la poussière tous les jours de ta vie</w:t>
      </w:r>
      <w:r>
        <w:t xml:space="preserve"> » (</w:t>
      </w:r>
      <w:hyperlink r:id="rId13788">
        <w:r>
          <w:rPr>
            <w:color w:val="0000EE"/>
            <w:u w:val="single"/>
          </w:rPr>
          <w:t>Gn 3.14</w:t>
        </w:r>
      </w:hyperlink>
      <w:r>
        <w:t xml:space="preserve">). </w:t>
      </w:r>
      <w:hyperlink r:id="rId5169">
        <w:r>
          <w:rPr>
            <w:color w:val="0000EE"/>
            <w:u w:val="single"/>
          </w:rPr>
          <w:t>2 Corinthiens 11.3</w:t>
        </w:r>
      </w:hyperlink>
      <w:r>
        <w:t xml:space="preserve"> nous apprend que le serpent a trompé Ève par sa ruse. </w:t>
      </w:r>
      <w:hyperlink r:id="rId66">
        <w:r>
          <w:rPr>
            <w:color w:val="0000EE"/>
            <w:u w:val="single"/>
          </w:rPr>
          <w:t>Apocalypse 12.9</w:t>
        </w:r>
      </w:hyperlink>
      <w:r>
        <w:t xml:space="preserve"> appelle le serpent « </w:t>
      </w:r>
      <w:r>
        <w:t>le grand dragon, le serpent ancien, appelé le diable et Satan, celui qui séduit toute la terre</w:t>
      </w:r>
      <w:r>
        <w:t xml:space="preserve"> » (voir aussi </w:t>
      </w:r>
      <w:hyperlink r:id="rId13789">
        <w:r>
          <w:rPr>
            <w:color w:val="0000EE"/>
            <w:u w:val="single"/>
          </w:rPr>
          <w:t>Ap 12.14–15</w:t>
        </w:r>
      </w:hyperlink>
      <w:r>
        <w:t xml:space="preserve"> et </w:t>
      </w:r>
      <w:hyperlink r:id="rId13790">
        <w:r>
          <w:rPr>
            <w:color w:val="0000EE"/>
            <w:u w:val="single"/>
          </w:rPr>
          <w:t>20.2</w:t>
        </w:r>
      </w:hyperlink>
      <w:r>
        <w:t>).</w:t>
      </w:r>
    </w:p>
    <w:p>
      <w:r/>
      <w:r>
        <w:t xml:space="preserve">Les références bibliques aux serpents les emploient souvent de manière figurée. Ils représentent la capacité de nuire avec du venin (voir par exemple </w:t>
      </w:r>
      <w:hyperlink r:id="rId13791">
        <w:r>
          <w:rPr>
            <w:color w:val="0000EE"/>
            <w:u w:val="single"/>
          </w:rPr>
          <w:t>Gn 49.17</w:t>
        </w:r>
      </w:hyperlink>
      <w:r>
        <w:t xml:space="preserve"> ; </w:t>
      </w:r>
      <w:hyperlink r:id="rId13792">
        <w:r>
          <w:rPr>
            <w:color w:val="0000EE"/>
            <w:u w:val="single"/>
          </w:rPr>
          <w:t>Ec 10.8, 11</w:t>
        </w:r>
      </w:hyperlink>
      <w:r>
        <w:t xml:space="preserve"> ; </w:t>
      </w:r>
      <w:hyperlink r:id="rId13793">
        <w:r>
          <w:rPr>
            <w:color w:val="0000EE"/>
            <w:u w:val="single"/>
          </w:rPr>
          <w:t>Ésaïe 14.29</w:t>
        </w:r>
      </w:hyperlink>
      <w:r>
        <w:t xml:space="preserve"> ; </w:t>
      </w:r>
      <w:hyperlink r:id="rId13794">
        <w:r>
          <w:rPr>
            <w:color w:val="0000EE"/>
            <w:u w:val="single"/>
          </w:rPr>
          <w:t>Am 5.19</w:t>
        </w:r>
      </w:hyperlink>
      <w:r>
        <w:t xml:space="preserve"> ; </w:t>
      </w:r>
      <w:hyperlink r:id="rId13795">
        <w:r>
          <w:rPr>
            <w:color w:val="0000EE"/>
            <w:u w:val="single"/>
          </w:rPr>
          <w:t>Ap 9.19</w:t>
        </w:r>
      </w:hyperlink>
      <w:r>
        <w:t xml:space="preserve">). Dans </w:t>
      </w:r>
      <w:hyperlink r:id="rId13796">
        <w:r>
          <w:rPr>
            <w:color w:val="0000EE"/>
            <w:u w:val="single"/>
          </w:rPr>
          <w:t>Psaume 58.4–5</w:t>
        </w:r>
      </w:hyperlink>
      <w:r>
        <w:t xml:space="preserve">, les méchants sont comparés à des serpents. </w:t>
      </w:r>
      <w:hyperlink r:id="rId13797">
        <w:r>
          <w:rPr>
            <w:color w:val="0000EE"/>
            <w:u w:val="single"/>
          </w:rPr>
          <w:t>Psaume 140.3</w:t>
        </w:r>
      </w:hyperlink>
      <w:r>
        <w:t xml:space="preserve"> décrit la langue des gens comme aussi tranchante que celle des serpents et leurs lèvres aussi venimeuses que celles des vipères. </w:t>
      </w:r>
      <w:hyperlink r:id="rId13798">
        <w:r>
          <w:rPr>
            <w:color w:val="0000EE"/>
            <w:u w:val="single"/>
          </w:rPr>
          <w:t>Proverbes 23.32</w:t>
        </w:r>
      </w:hyperlink>
      <w:r>
        <w:t xml:space="preserve"> assimile la boisson forte à la morsure d'un serpent, disant qu'elle « </w:t>
      </w:r>
      <w:r>
        <w:t>finit par mordre comme un serpent, Et par piquer comme un basilic</w:t>
      </w:r>
      <w:r>
        <w:t xml:space="preserve"> ». </w:t>
      </w:r>
      <w:hyperlink r:id="rId13799">
        <w:r>
          <w:rPr>
            <w:color w:val="0000EE"/>
            <w:u w:val="single"/>
          </w:rPr>
          <w:t>Jérémie 8.17</w:t>
        </w:r>
      </w:hyperlink>
      <w:r>
        <w:t xml:space="preserve"> décrit les ennemis d'Israël comme des « </w:t>
      </w:r>
      <w:r>
        <w:t>serpents, des basilics, Contre lesquels il n’y a point d’enchantement</w:t>
      </w:r>
      <w:r>
        <w:t xml:space="preserve"> </w:t>
      </w:r>
      <w:r>
        <w:t>; Ils vous mordront</w:t>
      </w:r>
      <w:r>
        <w:t xml:space="preserve"> ».</w:t>
      </w:r>
    </w:p>
    <w:p>
      <w:r/>
      <w:r>
        <w:t xml:space="preserve">Positivement, les serpents sont connus pour leur sagesse. Jésus conseille à ses disciples d'être « </w:t>
      </w:r>
      <w:r>
        <w:t>prudents comme les serpents, et simples comme les colombes</w:t>
      </w:r>
      <w:r>
        <w:t xml:space="preserve"> » (</w:t>
      </w:r>
      <w:hyperlink r:id="rId1823">
        <w:r>
          <w:rPr>
            <w:color w:val="0000EE"/>
            <w:u w:val="single"/>
          </w:rPr>
          <w:t>Mt 10.16</w:t>
        </w:r>
      </w:hyperlink>
      <w:r>
        <w:t xml:space="preserve">). Cependant, l'image principale du serpent demeure négative et symbolise la tromperie. Jésus invective ainsi les scribes et les pharisiens : « </w:t>
      </w:r>
      <w:r>
        <w:t>Serpents, race de vipères</w:t>
      </w:r>
      <w:r>
        <w:t xml:space="preserve"> !» (</w:t>
      </w:r>
      <w:hyperlink r:id="rId13800">
        <w:r>
          <w:rPr>
            <w:color w:val="0000EE"/>
            <w:u w:val="single"/>
          </w:rPr>
          <w:t>Mt 23.33</w:t>
        </w:r>
      </w:hyperlink>
      <w:r>
        <w:t xml:space="preserve">). Jean-Baptiste apostrophe également les pharisiens et les sadducéens en leur disant : « </w:t>
      </w:r>
      <w:r>
        <w:t>Races de vipères</w:t>
      </w:r>
      <w:r>
        <w:t xml:space="preserve"> !» (</w:t>
      </w:r>
      <w:hyperlink r:id="rId13801">
        <w:r>
          <w:rPr>
            <w:color w:val="0000EE"/>
            <w:u w:val="single"/>
          </w:rPr>
          <w:t>Mt 3.7</w:t>
        </w:r>
      </w:hyperlink>
      <w:r>
        <w:t>).</w:t>
      </w:r>
    </w:p>
    <w:p>
      <w:r/>
      <w:r>
        <w:rPr>
          <w:i/>
        </w:rPr>
        <w:t>Regarder</w:t>
      </w:r>
      <w:r>
        <w:t xml:space="preserve"> </w:t>
      </w:r>
      <w:r>
        <w:t>Animaux</w:t>
      </w:r>
      <w:r>
        <w:t>.</w:t>
      </w:r>
      <w:r/>
      <w:r/>
    </w:p>
    <w:p>
      <w:r/>
    </w:p>
    <w:p>
      <w:pPr>
        <w:pStyle w:val="Heading2"/>
      </w:pPr>
      <w:r>
        <w:t>Serug</w:t>
      </w:r>
      <w:r/>
    </w:p>
    <w:p>
      <w:r/>
      <w:r>
        <w:t>Fils de Rehu de la lignée de Sem (</w:t>
      </w:r>
      <w:hyperlink r:id="rId13802">
        <w:r>
          <w:rPr>
            <w:color w:val="0000EE"/>
            <w:u w:val="single"/>
          </w:rPr>
          <w:t>Gn 11.20–23</w:t>
        </w:r>
      </w:hyperlink>
      <w:r>
        <w:t>). Ancêtre d'Abraham et ancêtre de Jésus-Christ (</w:t>
      </w:r>
      <w:hyperlink r:id="rId6229">
        <w:r>
          <w:rPr>
            <w:color w:val="0000EE"/>
            <w:u w:val="single"/>
          </w:rPr>
          <w:t>Lc 3.35</w:t>
        </w:r>
      </w:hyperlink>
      <w:r>
        <w:t xml:space="preserve"> ; « Seruch » dans la Version LSG).</w:t>
      </w:r>
    </w:p>
    <w:p>
      <w:r/>
      <w:r>
        <w:rPr>
          <w:i/>
        </w:rPr>
        <w:t>Consultez</w:t>
      </w:r>
      <w:r>
        <w:t xml:space="preserve"> </w:t>
      </w:r>
      <w:r>
        <w:t>Généalogie de Jésus-Christ</w:t>
      </w:r>
      <w:r>
        <w:t>.</w:t>
      </w:r>
      <w:r/>
      <w:r/>
    </w:p>
    <w:p>
      <w:r/>
    </w:p>
    <w:p>
      <w:pPr>
        <w:pStyle w:val="Heading2"/>
      </w:pPr>
      <w:r>
        <w:t>Servante</w:t>
      </w:r>
      <w:r/>
    </w:p>
    <w:p>
      <w:r/>
      <w:r>
        <w:t>Serviteur femme. Elles étaient des membres familiers de nombreux foyers à l'époque biblique. La servante s'occupait des femmes et des enfants d'une famille et servait d'assistante personnelle de la femme. Elle bénéficiait de la protection de la loi (</w:t>
      </w:r>
      <w:hyperlink r:id="rId5583">
        <w:r>
          <w:rPr>
            <w:color w:val="0000EE"/>
            <w:u w:val="single"/>
          </w:rPr>
          <w:t>Lv 25.6</w:t>
        </w:r>
      </w:hyperlink>
      <w:r>
        <w:t xml:space="preserve"> ; </w:t>
      </w:r>
      <w:hyperlink r:id="rId5099">
        <w:r>
          <w:rPr>
            <w:color w:val="0000EE"/>
            <w:u w:val="single"/>
          </w:rPr>
          <w:t>Dt 5.14</w:t>
        </w:r>
      </w:hyperlink>
      <w:r>
        <w:t xml:space="preserve"> ; </w:t>
      </w:r>
      <w:hyperlink r:id="rId13803">
        <w:r>
          <w:rPr>
            <w:color w:val="0000EE"/>
            <w:u w:val="single"/>
          </w:rPr>
          <w:t>15.12–15</w:t>
        </w:r>
      </w:hyperlink>
      <w:r>
        <w:t>), et en tant que servante d'une épouse libre, elle devenait parfois concubine en cas de mariage sans enfant (</w:t>
      </w:r>
      <w:hyperlink r:id="rId13804">
        <w:r>
          <w:rPr>
            <w:color w:val="0000EE"/>
            <w:u w:val="single"/>
          </w:rPr>
          <w:t>Gn 30.3</w:t>
        </w:r>
      </w:hyperlink>
      <w:r>
        <w:t>).</w:t>
      </w:r>
      <w:r/>
      <w:r/>
    </w:p>
    <w:p>
      <w:r/>
    </w:p>
    <w:p>
      <w:pPr>
        <w:pStyle w:val="Heading2"/>
      </w:pPr>
      <w:r>
        <w:t>Serviteur</w:t>
      </w:r>
      <w:r/>
    </w:p>
    <w:p>
      <w:r/>
      <w:r>
        <w:t>Personne qui a l’obligation de servir un maitre qui, en retour, lui assure une certaine protection. Si certains serviteurs étaient des esclaves soumis à une servitude légale ; d’autres étaient des serviteurs volontaires. Il n’est pas toujours possible d’établir la différence entre « serviteur », « esclave », « serf » et « serve ». Plusieurs mots en hébreu et en grec ont été traduits par « serviteur », bien que les traductions les plus récentes préfèrent parfois d’autres mots.</w:t>
      </w:r>
    </w:p>
    <w:p>
      <w:r/>
      <w:r>
        <w:t>Le mot hébreu pour « garçon », « jeune » ou « gars » signifie souvent « serviteur » (</w:t>
      </w:r>
      <w:hyperlink r:id="rId13805">
        <w:r>
          <w:rPr>
            <w:color w:val="0000EE"/>
            <w:u w:val="single"/>
          </w:rPr>
          <w:t>Exode 33:11</w:t>
        </w:r>
      </w:hyperlink>
      <w:r>
        <w:t xml:space="preserve">; </w:t>
      </w:r>
      <w:hyperlink r:id="rId1586">
        <w:r>
          <w:rPr>
            <w:color w:val="0000EE"/>
            <w:u w:val="single"/>
          </w:rPr>
          <w:t>Nombres 22:22</w:t>
        </w:r>
      </w:hyperlink>
      <w:r>
        <w:t xml:space="preserve">; </w:t>
      </w:r>
      <w:hyperlink r:id="rId13806">
        <w:r>
          <w:rPr>
            <w:color w:val="0000EE"/>
            <w:u w:val="single"/>
          </w:rPr>
          <w:t>2 Rois 4:12</w:t>
        </w:r>
      </w:hyperlink>
      <w:r>
        <w:t>). Un mot qui signifie « serviteur né libre » désignait les serviteurs de l’Éternel, comme les Lévites (</w:t>
      </w:r>
      <w:hyperlink r:id="rId13807">
        <w:r>
          <w:rPr>
            <w:color w:val="0000EE"/>
            <w:u w:val="single"/>
          </w:rPr>
          <w:t>Esdras 8:17</w:t>
        </w:r>
      </w:hyperlink>
      <w:r>
        <w:t xml:space="preserve">; </w:t>
      </w:r>
      <w:hyperlink r:id="rId13808">
        <w:r>
          <w:rPr>
            <w:color w:val="0000EE"/>
            <w:u w:val="single"/>
          </w:rPr>
          <w:t>Ésaïe 61:6</w:t>
        </w:r>
      </w:hyperlink>
      <w:r>
        <w:t xml:space="preserve">; </w:t>
      </w:r>
      <w:hyperlink r:id="rId13809">
        <w:r>
          <w:rPr>
            <w:color w:val="0000EE"/>
            <w:u w:val="single"/>
          </w:rPr>
          <w:t>Ézéchiel 44:11</w:t>
        </w:r>
      </w:hyperlink>
      <w:r>
        <w:t>) ou les sacrificateurs (</w:t>
      </w:r>
      <w:hyperlink r:id="rId13810">
        <w:r>
          <w:rPr>
            <w:color w:val="0000EE"/>
            <w:u w:val="single"/>
          </w:rPr>
          <w:t>Exode 28:35</w:t>
        </w:r>
      </w:hyperlink>
      <w:r>
        <w:t xml:space="preserve">; </w:t>
      </w:r>
      <w:hyperlink r:id="rId13811">
        <w:r>
          <w:rPr>
            <w:color w:val="0000EE"/>
            <w:u w:val="single"/>
          </w:rPr>
          <w:t>Joël 1:9</w:t>
        </w:r>
      </w:hyperlink>
      <w:r>
        <w:t xml:space="preserve">; </w:t>
      </w:r>
      <w:hyperlink r:id="rId13812">
        <w:r>
          <w:rPr>
            <w:color w:val="0000EE"/>
            <w:u w:val="single"/>
          </w:rPr>
          <w:t>2:17</w:t>
        </w:r>
      </w:hyperlink>
      <w:r>
        <w:t>). Dans certaines versions, les ministres du roi sont appelés serviteurs (</w:t>
      </w:r>
      <w:hyperlink r:id="rId13813">
        <w:r>
          <w:rPr>
            <w:color w:val="0000EE"/>
            <w:u w:val="single"/>
          </w:rPr>
          <w:t>1 Chroniques 27:1</w:t>
        </w:r>
      </w:hyperlink>
      <w:r>
        <w:t xml:space="preserve">; </w:t>
      </w:r>
      <w:hyperlink r:id="rId13814">
        <w:r>
          <w:rPr>
            <w:color w:val="0000EE"/>
            <w:u w:val="single"/>
          </w:rPr>
          <w:t>Proverbes 29:12</w:t>
        </w:r>
      </w:hyperlink>
      <w:r>
        <w:t>), de même que les anges qui servent le Seigneur (</w:t>
      </w:r>
      <w:hyperlink r:id="rId6517">
        <w:r>
          <w:rPr>
            <w:color w:val="0000EE"/>
            <w:u w:val="single"/>
          </w:rPr>
          <w:t>Psaume 103:21</w:t>
        </w:r>
      </w:hyperlink>
      <w:r>
        <w:t xml:space="preserve">; </w:t>
      </w:r>
      <w:hyperlink r:id="rId13815">
        <w:r>
          <w:rPr>
            <w:color w:val="0000EE"/>
            <w:u w:val="single"/>
          </w:rPr>
          <w:t>104:4</w:t>
        </w:r>
      </w:hyperlink>
      <w:r>
        <w:t>). Le mercenaire était également considéré comme une personne libre (</w:t>
      </w:r>
      <w:hyperlink r:id="rId13816">
        <w:r>
          <w:rPr>
            <w:color w:val="0000EE"/>
            <w:u w:val="single"/>
          </w:rPr>
          <w:t>Exode 12:45</w:t>
        </w:r>
      </w:hyperlink>
      <w:r>
        <w:t xml:space="preserve">; </w:t>
      </w:r>
      <w:hyperlink r:id="rId13817">
        <w:r>
          <w:rPr>
            <w:color w:val="0000EE"/>
            <w:u w:val="single"/>
          </w:rPr>
          <w:t>Job 7:1</w:t>
        </w:r>
      </w:hyperlink>
      <w:r>
        <w:t xml:space="preserve">; </w:t>
      </w:r>
      <w:hyperlink r:id="rId359">
        <w:r>
          <w:rPr>
            <w:color w:val="0000EE"/>
            <w:u w:val="single"/>
          </w:rPr>
          <w:t>Malachie 3:5</w:t>
        </w:r>
      </w:hyperlink>
      <w:r>
        <w:t>).</w:t>
      </w:r>
    </w:p>
    <w:p>
      <w:r/>
      <w:r>
        <w:t>Le terme hébreu le plus courant, qui apparait près de 800 fois dans l’Ancien Testament, désigne un esclave tenu en servitude (</w:t>
      </w:r>
      <w:hyperlink r:id="rId13818">
        <w:r>
          <w:rPr>
            <w:color w:val="0000EE"/>
            <w:u w:val="single"/>
          </w:rPr>
          <w:t>Genèse 9:25</w:t>
        </w:r>
      </w:hyperlink>
      <w:r>
        <w:t xml:space="preserve">; </w:t>
      </w:r>
      <w:hyperlink r:id="rId13819">
        <w:r>
          <w:rPr>
            <w:color w:val="0000EE"/>
            <w:u w:val="single"/>
          </w:rPr>
          <w:t>12:16</w:t>
        </w:r>
      </w:hyperlink>
      <w:r>
        <w:t xml:space="preserve">; </w:t>
      </w:r>
      <w:hyperlink r:id="rId3084">
        <w:r>
          <w:rPr>
            <w:color w:val="0000EE"/>
            <w:u w:val="single"/>
          </w:rPr>
          <w:t>Exode 20:17</w:t>
        </w:r>
      </w:hyperlink>
      <w:r>
        <w:t xml:space="preserve">; </w:t>
      </w:r>
      <w:hyperlink r:id="rId13820">
        <w:r>
          <w:rPr>
            <w:color w:val="0000EE"/>
            <w:u w:val="single"/>
          </w:rPr>
          <w:t>Deutéronome 5:15</w:t>
        </w:r>
      </w:hyperlink>
      <w:r>
        <w:t xml:space="preserve">; </w:t>
      </w:r>
      <w:hyperlink r:id="rId13821">
        <w:r>
          <w:rPr>
            <w:color w:val="0000EE"/>
            <w:u w:val="single"/>
          </w:rPr>
          <w:t>15:17</w:t>
        </w:r>
      </w:hyperlink>
      <w:r>
        <w:t>). Toutefois, le même mot est utilisé dans certaines versions pour les personnes de rang noble, comme les ministres et les conseillers du roi (</w:t>
      </w:r>
      <w:hyperlink r:id="rId8844">
        <w:r>
          <w:rPr>
            <w:color w:val="0000EE"/>
            <w:u w:val="single"/>
          </w:rPr>
          <w:t>2 Rois 22:12</w:t>
        </w:r>
      </w:hyperlink>
      <w:r>
        <w:t xml:space="preserve">; </w:t>
      </w:r>
      <w:hyperlink r:id="rId113">
        <w:r>
          <w:rPr>
            <w:color w:val="0000EE"/>
            <w:u w:val="single"/>
          </w:rPr>
          <w:t>2 Chroniques 34:20</w:t>
        </w:r>
      </w:hyperlink>
      <w:r>
        <w:t xml:space="preserve">; </w:t>
      </w:r>
      <w:hyperlink r:id="rId13822">
        <w:r>
          <w:rPr>
            <w:color w:val="0000EE"/>
            <w:u w:val="single"/>
          </w:rPr>
          <w:t>Néhémie 2:10</w:t>
        </w:r>
      </w:hyperlink>
      <w:r>
        <w:t>) ou un serviteur de Dieu (</w:t>
      </w:r>
      <w:hyperlink r:id="rId13823">
        <w:r>
          <w:rPr>
            <w:color w:val="0000EE"/>
            <w:u w:val="single"/>
          </w:rPr>
          <w:t>Genèse 24:14</w:t>
        </w:r>
      </w:hyperlink>
      <w:r>
        <w:t xml:space="preserve">; </w:t>
      </w:r>
      <w:hyperlink r:id="rId13824">
        <w:r>
          <w:rPr>
            <w:color w:val="0000EE"/>
            <w:u w:val="single"/>
          </w:rPr>
          <w:t>Nombres 12:7</w:t>
        </w:r>
      </w:hyperlink>
      <w:r>
        <w:t xml:space="preserve">; </w:t>
      </w:r>
      <w:hyperlink r:id="rId13825">
        <w:r>
          <w:rPr>
            <w:color w:val="0000EE"/>
            <w:u w:val="single"/>
          </w:rPr>
          <w:t>Josué 1:7</w:t>
        </w:r>
      </w:hyperlink>
      <w:r>
        <w:t xml:space="preserve">; </w:t>
      </w:r>
      <w:hyperlink r:id="rId13826">
        <w:r>
          <w:rPr>
            <w:color w:val="0000EE"/>
            <w:u w:val="single"/>
          </w:rPr>
          <w:t>2 Rois 21:8</w:t>
        </w:r>
      </w:hyperlink>
      <w:r>
        <w:t>), dans des expressions telles que « Moïse [ou aussi David, Ésaïe, Israël, Job, etc.], mon serviteur ». L’une des expressions les plus nobles est « le serviteur de Yahvé [le Éternel] » (</w:t>
      </w:r>
      <w:hyperlink r:id="rId13827">
        <w:r>
          <w:rPr>
            <w:color w:val="0000EE"/>
            <w:u w:val="single"/>
          </w:rPr>
          <w:t>Deutéronome 34:5</w:t>
        </w:r>
      </w:hyperlink>
      <w:r>
        <w:t xml:space="preserve">; </w:t>
      </w:r>
      <w:hyperlink r:id="rId13828">
        <w:r>
          <w:rPr>
            <w:color w:val="0000EE"/>
            <w:u w:val="single"/>
          </w:rPr>
          <w:t>Josué 1:13</w:t>
        </w:r>
      </w:hyperlink>
      <w:r>
        <w:t xml:space="preserve">; </w:t>
      </w:r>
      <w:hyperlink r:id="rId13829">
        <w:r>
          <w:rPr>
            <w:color w:val="0000EE"/>
            <w:u w:val="single"/>
          </w:rPr>
          <w:t>8:31–33</w:t>
        </w:r>
      </w:hyperlink>
      <w:r>
        <w:t xml:space="preserve">; </w:t>
      </w:r>
      <w:hyperlink r:id="rId4572">
        <w:r>
          <w:rPr>
            <w:color w:val="0000EE"/>
            <w:u w:val="single"/>
          </w:rPr>
          <w:t>Ésaïe 49:1–6</w:t>
        </w:r>
      </w:hyperlink>
      <w:r>
        <w:t xml:space="preserve">; </w:t>
      </w:r>
      <w:hyperlink r:id="rId13830">
        <w:r>
          <w:rPr>
            <w:color w:val="0000EE"/>
            <w:u w:val="single"/>
          </w:rPr>
          <w:t>50:4–9</w:t>
        </w:r>
      </w:hyperlink>
      <w:r>
        <w:t xml:space="preserve">; </w:t>
      </w:r>
      <w:hyperlink r:id="rId12988">
        <w:r>
          <w:rPr>
            <w:color w:val="0000EE"/>
            <w:u w:val="single"/>
          </w:rPr>
          <w:t>52:13–53:12</w:t>
        </w:r>
      </w:hyperlink>
      <w:r>
        <w:t>). Le nom propre Abdias signifie « serviteur de Yahvé ».</w:t>
      </w:r>
    </w:p>
    <w:p>
      <w:r/>
      <w:r>
        <w:t>Le Nouveau Testament définit diversement le terme « serviteur » comme un serviteur engagé ou un mercenaire (</w:t>
      </w:r>
      <w:hyperlink r:id="rId13831">
        <w:r>
          <w:rPr>
            <w:color w:val="0000EE"/>
            <w:u w:val="single"/>
          </w:rPr>
          <w:t>Marc 1:20</w:t>
        </w:r>
      </w:hyperlink>
      <w:r>
        <w:t xml:space="preserve">; </w:t>
      </w:r>
      <w:hyperlink r:id="rId13832">
        <w:r>
          <w:rPr>
            <w:color w:val="0000EE"/>
            <w:u w:val="single"/>
          </w:rPr>
          <w:t>Luc 15:17–19</w:t>
        </w:r>
      </w:hyperlink>
      <w:r>
        <w:t xml:space="preserve">; </w:t>
      </w:r>
      <w:hyperlink r:id="rId13833">
        <w:r>
          <w:rPr>
            <w:color w:val="0000EE"/>
            <w:u w:val="single"/>
          </w:rPr>
          <w:t>Jean 10:12–14</w:t>
        </w:r>
      </w:hyperlink>
      <w:r>
        <w:t>), plus largement comme esclave (</w:t>
      </w:r>
      <w:hyperlink r:id="rId13834">
        <w:r>
          <w:rPr>
            <w:color w:val="0000EE"/>
            <w:u w:val="single"/>
          </w:rPr>
          <w:t>Matthieu 8:9</w:t>
        </w:r>
      </w:hyperlink>
      <w:r>
        <w:t xml:space="preserve">; </w:t>
      </w:r>
      <w:hyperlink r:id="rId13835">
        <w:r>
          <w:rPr>
            <w:color w:val="0000EE"/>
            <w:u w:val="single"/>
          </w:rPr>
          <w:t>10:24–25</w:t>
        </w:r>
      </w:hyperlink>
      <w:r>
        <w:t xml:space="preserve">; </w:t>
      </w:r>
      <w:hyperlink r:id="rId13836">
        <w:r>
          <w:rPr>
            <w:color w:val="0000EE"/>
            <w:u w:val="single"/>
          </w:rPr>
          <w:t>13:27–28</w:t>
        </w:r>
      </w:hyperlink>
      <w:r>
        <w:t xml:space="preserve">; </w:t>
      </w:r>
      <w:hyperlink r:id="rId12204">
        <w:r>
          <w:rPr>
            <w:color w:val="0000EE"/>
            <w:u w:val="single"/>
          </w:rPr>
          <w:t>Marc 10:44</w:t>
        </w:r>
      </w:hyperlink>
      <w:r>
        <w:t xml:space="preserve">; </w:t>
      </w:r>
      <w:hyperlink r:id="rId13837">
        <w:r>
          <w:rPr>
            <w:color w:val="0000EE"/>
            <w:u w:val="single"/>
          </w:rPr>
          <w:t>12:2–4</w:t>
        </w:r>
      </w:hyperlink>
      <w:r>
        <w:t xml:space="preserve">; </w:t>
      </w:r>
      <w:hyperlink r:id="rId13838">
        <w:r>
          <w:rPr>
            <w:color w:val="0000EE"/>
            <w:u w:val="single"/>
          </w:rPr>
          <w:t>Luc 7:2–3, 8–10</w:t>
        </w:r>
      </w:hyperlink>
      <w:r>
        <w:t xml:space="preserve">; </w:t>
      </w:r>
      <w:hyperlink r:id="rId13839">
        <w:r>
          <w:rPr>
            <w:color w:val="0000EE"/>
            <w:u w:val="single"/>
          </w:rPr>
          <w:t>Jean 4:51</w:t>
        </w:r>
      </w:hyperlink>
      <w:r>
        <w:t xml:space="preserve">; </w:t>
      </w:r>
      <w:hyperlink r:id="rId13840">
        <w:r>
          <w:rPr>
            <w:color w:val="0000EE"/>
            <w:u w:val="single"/>
          </w:rPr>
          <w:t>8:34</w:t>
        </w:r>
      </w:hyperlink>
      <w:r>
        <w:t xml:space="preserve">; </w:t>
      </w:r>
      <w:hyperlink r:id="rId13841">
        <w:r>
          <w:rPr>
            <w:color w:val="0000EE"/>
            <w:u w:val="single"/>
          </w:rPr>
          <w:t>13:16</w:t>
        </w:r>
      </w:hyperlink>
      <w:r>
        <w:t xml:space="preserve">; </w:t>
      </w:r>
      <w:hyperlink r:id="rId2311">
        <w:r>
          <w:rPr>
            <w:color w:val="0000EE"/>
            <w:u w:val="single"/>
          </w:rPr>
          <w:t>Éphésiens 6:5</w:t>
        </w:r>
      </w:hyperlink>
      <w:r>
        <w:t xml:space="preserve">; </w:t>
      </w:r>
      <w:hyperlink r:id="rId2896">
        <w:r>
          <w:rPr>
            <w:color w:val="0000EE"/>
            <w:u w:val="single"/>
          </w:rPr>
          <w:t>Colossiens 1:7</w:t>
        </w:r>
      </w:hyperlink>
      <w:r>
        <w:t>), et aussi comme domestique (</w:t>
      </w:r>
      <w:hyperlink r:id="rId13842">
        <w:r>
          <w:rPr>
            <w:color w:val="0000EE"/>
            <w:u w:val="single"/>
          </w:rPr>
          <w:t>Luc 16:13</w:t>
        </w:r>
      </w:hyperlink>
      <w:r>
        <w:t>).</w:t>
      </w:r>
    </w:p>
    <w:p>
      <w:r/>
      <w:r>
        <w:rPr>
          <w:i/>
        </w:rPr>
        <w:t>Voir aussi</w:t>
      </w:r>
      <w:r>
        <w:t xml:space="preserve"> </w:t>
      </w:r>
      <w:r>
        <w:t>Esclave, esclavage</w:t>
      </w:r>
      <w:r>
        <w:t>.</w:t>
      </w:r>
      <w:r/>
      <w:r/>
    </w:p>
    <w:p>
      <w:r/>
    </w:p>
    <w:p>
      <w:pPr>
        <w:pStyle w:val="Heading2"/>
      </w:pPr>
      <w:r>
        <w:t>Serviteur de Dieu, Serviteur du Seigneur, Serviteur de l'Éternel</w:t>
      </w:r>
      <w:r/>
    </w:p>
    <w:p>
      <w:r/>
      <w:r>
        <w:t xml:space="preserve">Dans la Bible, titre qui décrit particulièrement le rôle de certaines personnes au service de Dieu. </w:t>
      </w:r>
    </w:p>
    <w:p>
      <w:r/>
      <w:r>
        <w:t xml:space="preserve">Le mot hébreu traduit « serviteur » ou « servante » peut désigner des rôles très différents. Il est utilisé environ 800 fois dans l'Ancien Testament (AT) et peut décrire un esclave, un fonctionnaire proche du roi ou un dirigeant du peuple de Dieu. Tous les membres du peuple de Dieu sont ses serviteurs dans un sens général, mais le titre de serviteur de Dieu désigne une personne qui a un rôle plus particulier (p. ex. </w:t>
      </w:r>
      <w:hyperlink r:id="rId13843">
        <w:r>
          <w:rPr>
            <w:color w:val="0000EE"/>
            <w:u w:val="single"/>
          </w:rPr>
          <w:t>Ex 14.31</w:t>
        </w:r>
      </w:hyperlink>
      <w:r>
        <w:t>).</w:t>
      </w:r>
    </w:p>
    <w:p>
      <w:pPr>
        <w:pStyle w:val="Heading3"/>
      </w:pPr>
      <w:r>
        <w:t>Les serviteurs de Dieu dans l'Ancien Testament</w:t>
      </w:r>
    </w:p>
    <w:p>
      <w:r/>
      <w:hyperlink r:id="rId13844">
        <w:r>
          <w:rPr>
            <w:color w:val="0000EE"/>
            <w:u w:val="single"/>
          </w:rPr>
          <w:t>Ésaïe 41.8–9</w:t>
        </w:r>
      </w:hyperlink>
      <w:r>
        <w:t xml:space="preserve"> décrit le fait que le rôle spécial de serviteur de Dieu est le résultat de son appel : « Mais toi, Israël, mon serviteur, Jacob, que j’ai choisi, Race d’Abraham que j’ai aimé ! Toi, que j’ai pris aux extrémités de la terre, Et que j’ai appelé d’une contrée lointaine, A qui j’ai dit: Tu es mon serviteur, Je te choisis, et ne te rejette point ! » </w:t>
      </w:r>
    </w:p>
    <w:p>
      <w:r/>
      <w:r>
        <w:t xml:space="preserve">Le titre spécial de serviteur de Dieu est donné : </w:t>
      </w:r>
    </w:p>
    <w:p>
      <w:pPr>
        <w:pStyle w:val="ListBullet"/>
        <w:spacing w:line="240" w:lineRule="auto"/>
        <w:ind w:left="720"/>
      </w:pPr>
      <w:r/>
      <w:r>
        <w:t>aux patriarches (</w:t>
      </w:r>
      <w:hyperlink r:id="rId13845">
        <w:r>
          <w:rPr>
            <w:color w:val="0000EE"/>
            <w:u w:val="single"/>
          </w:rPr>
          <w:t>Gn 26.24</w:t>
        </w:r>
      </w:hyperlink>
      <w:r>
        <w:t xml:space="preserve"> ; </w:t>
      </w:r>
      <w:hyperlink r:id="rId13846">
        <w:r>
          <w:rPr>
            <w:color w:val="0000EE"/>
            <w:u w:val="single"/>
          </w:rPr>
          <w:t>Ez 28.25</w:t>
        </w:r>
      </w:hyperlink>
      <w:r>
        <w:t xml:space="preserve"> ; </w:t>
      </w:r>
      <w:hyperlink r:id="rId5501">
        <w:r>
          <w:rPr>
            <w:color w:val="0000EE"/>
            <w:u w:val="single"/>
          </w:rPr>
          <w:t>37.25</w:t>
        </w:r>
      </w:hyperlink>
      <w:r>
        <w:t>)</w:t>
      </w:r>
    </w:p>
    <w:p>
      <w:pPr>
        <w:pStyle w:val="ListBullet"/>
        <w:spacing w:line="240" w:lineRule="auto"/>
        <w:ind w:left="720"/>
      </w:pPr>
      <w:r/>
      <w:r>
        <w:t>à Moïse (</w:t>
      </w:r>
      <w:hyperlink r:id="rId13843">
        <w:r>
          <w:rPr>
            <w:color w:val="0000EE"/>
            <w:u w:val="single"/>
          </w:rPr>
          <w:t>Ex 14.31</w:t>
        </w:r>
      </w:hyperlink>
      <w:r>
        <w:t xml:space="preserve"> ; </w:t>
      </w:r>
      <w:hyperlink r:id="rId13847">
        <w:r>
          <w:rPr>
            <w:color w:val="0000EE"/>
            <w:u w:val="single"/>
          </w:rPr>
          <w:t>1R 8.53, 56</w:t>
        </w:r>
      </w:hyperlink>
      <w:r>
        <w:t>)</w:t>
      </w:r>
    </w:p>
    <w:p>
      <w:pPr>
        <w:pStyle w:val="ListBullet"/>
        <w:spacing w:line="240" w:lineRule="auto"/>
        <w:ind w:left="720"/>
      </w:pPr>
      <w:r/>
      <w:r>
        <w:t>à David (</w:t>
      </w:r>
      <w:hyperlink r:id="rId13848">
        <w:r>
          <w:rPr>
            <w:color w:val="0000EE"/>
            <w:u w:val="single"/>
          </w:rPr>
          <w:t>2S 7.26–29</w:t>
        </w:r>
      </w:hyperlink>
      <w:r>
        <w:t xml:space="preserve"> ; </w:t>
      </w:r>
      <w:hyperlink r:id="rId13849">
        <w:r>
          <w:rPr>
            <w:color w:val="0000EE"/>
            <w:u w:val="single"/>
          </w:rPr>
          <w:t>Jr 33.21–26</w:t>
        </w:r>
      </w:hyperlink>
      <w:r>
        <w:t xml:space="preserve"> ; </w:t>
      </w:r>
      <w:hyperlink r:id="rId13850">
        <w:r>
          <w:rPr>
            <w:color w:val="0000EE"/>
            <w:u w:val="single"/>
          </w:rPr>
          <w:t>Ez 37.24</w:t>
        </w:r>
      </w:hyperlink>
      <w:r>
        <w:t xml:space="preserve">) et à certains de ses descendants (p. ex. Zorobabel, </w:t>
      </w:r>
      <w:hyperlink r:id="rId461">
        <w:r>
          <w:rPr>
            <w:color w:val="0000EE"/>
            <w:u w:val="single"/>
          </w:rPr>
          <w:t>Ag 2.23</w:t>
        </w:r>
      </w:hyperlink>
      <w:r>
        <w:t>)</w:t>
      </w:r>
    </w:p>
    <w:p>
      <w:pPr>
        <w:pStyle w:val="ListBullet"/>
        <w:spacing w:line="240" w:lineRule="auto"/>
        <w:ind w:left="720"/>
      </w:pPr>
      <w:r/>
      <w:r>
        <w:t>aux vrais prophètes (</w:t>
      </w:r>
      <w:hyperlink r:id="rId13851">
        <w:r>
          <w:rPr>
            <w:color w:val="0000EE"/>
            <w:u w:val="single"/>
          </w:rPr>
          <w:t>2R 10.10</w:t>
        </w:r>
      </w:hyperlink>
      <w:r>
        <w:t xml:space="preserve"> ; </w:t>
      </w:r>
      <w:hyperlink r:id="rId7203">
        <w:r>
          <w:rPr>
            <w:color w:val="0000EE"/>
            <w:u w:val="single"/>
          </w:rPr>
          <w:t>14.25</w:t>
        </w:r>
      </w:hyperlink>
      <w:r>
        <w:t>)</w:t>
      </w:r>
    </w:p>
    <w:p>
      <w:pPr>
        <w:pStyle w:val="ListBullet"/>
        <w:spacing w:line="240" w:lineRule="auto"/>
        <w:ind w:left="720"/>
      </w:pPr>
      <w:r/>
      <w:r>
        <w:t>à d'autres Israélites particulièrement fidèles à Dieu, comme Josué et Caleb (</w:t>
      </w:r>
      <w:hyperlink r:id="rId13852">
        <w:r>
          <w:rPr>
            <w:color w:val="0000EE"/>
            <w:u w:val="single"/>
          </w:rPr>
          <w:t>Nb 14.24</w:t>
        </w:r>
      </w:hyperlink>
      <w:r>
        <w:t xml:space="preserve"> ; </w:t>
      </w:r>
      <w:hyperlink r:id="rId13853">
        <w:r>
          <w:rPr>
            <w:color w:val="0000EE"/>
            <w:u w:val="single"/>
          </w:rPr>
          <w:t>Jos 24.29</w:t>
        </w:r>
      </w:hyperlink>
      <w:r>
        <w:t xml:space="preserve"> ; </w:t>
      </w:r>
      <w:hyperlink r:id="rId13854">
        <w:r>
          <w:rPr>
            <w:color w:val="0000EE"/>
            <w:u w:val="single"/>
          </w:rPr>
          <w:t>Jg 2.8</w:t>
        </w:r>
      </w:hyperlink>
      <w:r>
        <w:t>)</w:t>
      </w:r>
    </w:p>
    <w:p>
      <w:r/>
      <w:r>
        <w:t xml:space="preserve">Même si plusieurs des livres des prophètes de l'AT mentionnent des serviteurs de Dieu, seuls Ésaïe et Zacharie l'utilisent pour désigner le Messie à venir. Ainsi prophétise Zacharie : « </w:t>
      </w:r>
      <w:r>
        <w:t>Écoute donc, Josué, souverain sacrificateur, toi et tes compagnons qui sont assis devant toi ! Car ce sont des hommes qui serviront de signes. Voici, je ferai venir mon serviteur, le germe</w:t>
      </w:r>
      <w:r>
        <w:t xml:space="preserve"> » (</w:t>
      </w:r>
      <w:hyperlink r:id="rId6846">
        <w:r>
          <w:rPr>
            <w:color w:val="0000EE"/>
            <w:u w:val="single"/>
          </w:rPr>
          <w:t>Za 3.8</w:t>
        </w:r>
      </w:hyperlink>
      <w:r>
        <w:t xml:space="preserve">). Certains pensent que le germe dont il est question ici est Zorobabel (voir </w:t>
      </w:r>
      <w:hyperlink r:id="rId6847">
        <w:r>
          <w:rPr>
            <w:color w:val="0000EE"/>
            <w:u w:val="single"/>
          </w:rPr>
          <w:t>Za 6.12</w:t>
        </w:r>
      </w:hyperlink>
      <w:r>
        <w:t>). Cependant, Jérémie utilise également le mot « germe » pour décrire le Messie (</w:t>
      </w:r>
      <w:hyperlink r:id="rId3623">
        <w:r>
          <w:rPr>
            <w:color w:val="0000EE"/>
            <w:u w:val="single"/>
          </w:rPr>
          <w:t>Jr 33.15</w:t>
        </w:r>
      </w:hyperlink>
      <w:r>
        <w:t>). Ésaïe utilise des mots proches (rameau, rejeton), décrivant aussi le Messie comme une pousse qui grandit sur un tronc et qui représente la lignée de David (</w:t>
      </w:r>
      <w:hyperlink r:id="rId6849">
        <w:r>
          <w:rPr>
            <w:color w:val="0000EE"/>
            <w:u w:val="single"/>
          </w:rPr>
          <w:t>Es 11.1</w:t>
        </w:r>
      </w:hyperlink>
      <w:r>
        <w:t xml:space="preserve">). </w:t>
      </w:r>
    </w:p>
    <w:p>
      <w:pPr>
        <w:pStyle w:val="Heading3"/>
      </w:pPr>
      <w:r>
        <w:t>Le Serviteur de l'Éternel en tant que Messie</w:t>
      </w:r>
    </w:p>
    <w:p>
      <w:r/>
      <w:r>
        <w:t xml:space="preserve">Dans le livre d'Ésaïe, le titre de serviteur de Dieu a une importance particulière. Le prophète l'utilise dans son sens ordinaire, mais aussi tout particulièrement pour parler du Messie dans plusieurs passages connus sous le nom de « chants du serviteur ». Ces sections du livre ont en commun cette emphase particulière. Toutefois, elles sont aussi inséparables du reste du livre. Dans ces sections, Dieu appelle le Messie, qui va faire sa volonté et accomplir son plan, « mon serviteur » (p. ex. </w:t>
      </w:r>
      <w:hyperlink r:id="rId13855">
        <w:r>
          <w:rPr>
            <w:color w:val="0000EE"/>
            <w:u w:val="single"/>
          </w:rPr>
          <w:t>Es 42.1–7</w:t>
        </w:r>
      </w:hyperlink>
      <w:r>
        <w:t xml:space="preserve"> ; </w:t>
      </w:r>
      <w:hyperlink r:id="rId13856">
        <w:r>
          <w:rPr>
            <w:color w:val="0000EE"/>
            <w:u w:val="single"/>
          </w:rPr>
          <w:t>52:13</w:t>
        </w:r>
      </w:hyperlink>
      <w:r>
        <w:t>). Le NT indique indéniablement que Jésus-Christ est ce serviteur et le Messie.</w:t>
      </w:r>
    </w:p>
    <w:p>
      <w:r/>
      <w:r>
        <w:t>Jésus est spécifiquement appelé le serviteur de Dieu dans Actes (</w:t>
      </w:r>
      <w:hyperlink r:id="rId13857">
        <w:r>
          <w:rPr>
            <w:color w:val="0000EE"/>
            <w:u w:val="single"/>
          </w:rPr>
          <w:t>Ac 3.13, 26</w:t>
        </w:r>
      </w:hyperlink>
      <w:r>
        <w:t xml:space="preserve"> ; </w:t>
      </w:r>
      <w:hyperlink r:id="rId13858">
        <w:r>
          <w:rPr>
            <w:color w:val="0000EE"/>
            <w:u w:val="single"/>
          </w:rPr>
          <w:t>4.27, 30</w:t>
        </w:r>
      </w:hyperlink>
      <w:r>
        <w:t xml:space="preserve">) mais l'idée est présente dans de nombreux autres passages du NT. Les érudits utilisent le mot « christologie » pour désigner la façon dont l'identité de Jésus et sa mission sont décrites dans le NT. Son rôle de serviteur de Dieu est appelé une « christologie du serviteur ». Souvent, le mot </w:t>
      </w:r>
      <w:r>
        <w:rPr>
          <w:i/>
        </w:rPr>
        <w:t>serviteur</w:t>
      </w:r>
      <w:r>
        <w:t xml:space="preserve"> n'est pas utilisé, mais il est clair que ce qui est dit rappelle les prophéties d'Ésaïe sur le Messie serviteur de Dieu. Par exemple, Jésus ne cite </w:t>
      </w:r>
      <w:hyperlink r:id="rId5724">
        <w:r>
          <w:rPr>
            <w:color w:val="0000EE"/>
            <w:u w:val="single"/>
          </w:rPr>
          <w:t>Ésaïe 53</w:t>
        </w:r>
      </w:hyperlink>
      <w:r>
        <w:t xml:space="preserve"> qu'une fois pour parler de lui-même (</w:t>
      </w:r>
      <w:hyperlink r:id="rId13442">
        <w:r>
          <w:rPr>
            <w:color w:val="0000EE"/>
            <w:u w:val="single"/>
          </w:rPr>
          <w:t>Lc 22.37</w:t>
        </w:r>
      </w:hyperlink>
      <w:r>
        <w:t xml:space="preserve">). Cependant, il est probable que c'est le passage auquel il fait aussi allusion dans </w:t>
      </w:r>
      <w:hyperlink r:id="rId13859">
        <w:r>
          <w:rPr>
            <w:color w:val="0000EE"/>
            <w:u w:val="single"/>
          </w:rPr>
          <w:t>Marc 10.45, 14.24</w:t>
        </w:r>
      </w:hyperlink>
      <w:r>
        <w:t xml:space="preserve"> et peut-être </w:t>
      </w:r>
      <w:hyperlink r:id="rId13860">
        <w:r>
          <w:rPr>
            <w:color w:val="0000EE"/>
            <w:u w:val="single"/>
          </w:rPr>
          <w:t>9.12</w:t>
        </w:r>
      </w:hyperlink>
      <w:r>
        <w:t xml:space="preserve">. Les paroles de Jésus montrent donc qu'il est bien le serviteur spécial de Dieu annoncé par Ésaïe. </w:t>
      </w:r>
    </w:p>
    <w:p>
      <w:r/>
      <w:r>
        <w:t>Pierre met en avant que Jésus a souffert pour ramener les pécheurs à Dieu et sauver de leurs péchés ceux qui le suivent (</w:t>
      </w:r>
      <w:hyperlink r:id="rId12227">
        <w:r>
          <w:rPr>
            <w:color w:val="0000EE"/>
            <w:u w:val="single"/>
          </w:rPr>
          <w:t>1P 2.21–25</w:t>
        </w:r>
      </w:hyperlink>
      <w:r>
        <w:t xml:space="preserve"> ; </w:t>
      </w:r>
      <w:hyperlink r:id="rId2306">
        <w:r>
          <w:rPr>
            <w:color w:val="0000EE"/>
            <w:u w:val="single"/>
          </w:rPr>
          <w:t>3.18</w:t>
        </w:r>
      </w:hyperlink>
      <w:r>
        <w:t>). Il aussi donne pour exemple la prédiction d'</w:t>
      </w:r>
      <w:hyperlink r:id="rId5724">
        <w:r>
          <w:rPr>
            <w:color w:val="0000EE"/>
            <w:u w:val="single"/>
          </w:rPr>
          <w:t>Ésaïe 53</w:t>
        </w:r>
      </w:hyperlink>
      <w:r>
        <w:t xml:space="preserve"> sur « les souffrances du Christ et les gloires à venir » (</w:t>
      </w:r>
      <w:hyperlink r:id="rId4914">
        <w:r>
          <w:rPr>
            <w:color w:val="0000EE"/>
            <w:u w:val="single"/>
          </w:rPr>
          <w:t>1.11</w:t>
        </w:r>
      </w:hyperlink>
      <w:r>
        <w:t xml:space="preserve">). Paul fait également allusion à ce passage lorsqu'il dit que « </w:t>
      </w:r>
      <w:r>
        <w:t xml:space="preserve">Christ est mort pour nos péchés, selon les Écritures » </w:t>
      </w:r>
      <w:r>
        <w:t>(</w:t>
      </w:r>
      <w:hyperlink r:id="rId4396">
        <w:r>
          <w:rPr>
            <w:color w:val="0000EE"/>
            <w:u w:val="single"/>
          </w:rPr>
          <w:t>1Co 15.3</w:t>
        </w:r>
      </w:hyperlink>
      <w:r>
        <w:t xml:space="preserve"> ; </w:t>
      </w:r>
      <w:hyperlink r:id="rId2909">
        <w:r>
          <w:rPr>
            <w:color w:val="0000EE"/>
            <w:u w:val="single"/>
          </w:rPr>
          <w:t>Ph 2.6–11</w:t>
        </w:r>
      </w:hyperlink>
      <w:r>
        <w:t xml:space="preserve"> ; voir aussi </w:t>
      </w:r>
      <w:hyperlink r:id="rId5185">
        <w:r>
          <w:rPr>
            <w:color w:val="0000EE"/>
            <w:u w:val="single"/>
          </w:rPr>
          <w:t>Rm 4.25</w:t>
        </w:r>
      </w:hyperlink>
      <w:r>
        <w:t xml:space="preserve"> ; </w:t>
      </w:r>
      <w:hyperlink r:id="rId13861">
        <w:r>
          <w:rPr>
            <w:color w:val="0000EE"/>
            <w:u w:val="single"/>
          </w:rPr>
          <w:t>5.19</w:t>
        </w:r>
      </w:hyperlink>
      <w:r>
        <w:t xml:space="preserve"> ; </w:t>
      </w:r>
      <w:hyperlink r:id="rId6717">
        <w:r>
          <w:rPr>
            <w:color w:val="0000EE"/>
            <w:u w:val="single"/>
          </w:rPr>
          <w:t>2Co 5.21</w:t>
        </w:r>
      </w:hyperlink>
      <w:r>
        <w:t>). Dans l'Évangile de Jean, Jésus est appelé « l'agneau de Dieu », titre de Jésus qui rappelle à la fois les sacrifices de l'AT pour les péchés, mais aussi ce qu'</w:t>
      </w:r>
      <w:hyperlink r:id="rId13862">
        <w:r>
          <w:rPr>
            <w:color w:val="0000EE"/>
            <w:u w:val="single"/>
          </w:rPr>
          <w:t>Ésaïe 53.7</w:t>
        </w:r>
      </w:hyperlink>
      <w:r>
        <w:t xml:space="preserve"> annonce à propos du Messie serviteur.</w:t>
      </w:r>
    </w:p>
    <w:p>
      <w:r/>
      <w:r>
        <w:rPr>
          <w:i/>
        </w:rPr>
        <w:t>Voir aussi</w:t>
      </w:r>
      <w:r>
        <w:t xml:space="preserve"> </w:t>
      </w:r>
      <w:r>
        <w:t>christologie</w:t>
      </w:r>
      <w:r>
        <w:t xml:space="preserve"> ; </w:t>
      </w:r>
      <w:r>
        <w:t>livre d'Ésaïe</w:t>
      </w:r>
      <w:r>
        <w:t>.</w:t>
      </w:r>
      <w:r/>
      <w:r/>
    </w:p>
    <w:p>
      <w:r/>
    </w:p>
    <w:p>
      <w:pPr>
        <w:pStyle w:val="Heading2"/>
      </w:pPr>
      <w:r>
        <w:t>Seth</w:t>
      </w:r>
      <w:r/>
    </w:p>
    <w:p>
      <w:r/>
      <w:r>
        <w:t>Troisième fils d'Adam et Ève. Il remplace Abel, que Caïn a tué (</w:t>
      </w:r>
      <w:hyperlink r:id="rId252">
        <w:r>
          <w:rPr>
            <w:color w:val="0000EE"/>
            <w:u w:val="single"/>
          </w:rPr>
          <w:t>Gn 4.25</w:t>
        </w:r>
      </w:hyperlink>
      <w:r>
        <w:t xml:space="preserve">). Seth apparaît comme le fils aîné d'Adam dans les listes familiales de </w:t>
      </w:r>
      <w:hyperlink r:id="rId13863">
        <w:r>
          <w:rPr>
            <w:color w:val="0000EE"/>
            <w:u w:val="single"/>
          </w:rPr>
          <w:t>Genèse 5.3–8</w:t>
        </w:r>
      </w:hyperlink>
      <w:r>
        <w:t xml:space="preserve">, </w:t>
      </w:r>
      <w:hyperlink r:id="rId254">
        <w:r>
          <w:rPr>
            <w:color w:val="0000EE"/>
            <w:u w:val="single"/>
          </w:rPr>
          <w:t>1 Chroniques 1.1</w:t>
        </w:r>
      </w:hyperlink>
      <w:r>
        <w:t xml:space="preserve"> et </w:t>
      </w:r>
      <w:hyperlink r:id="rId256">
        <w:r>
          <w:rPr>
            <w:color w:val="0000EE"/>
            <w:u w:val="single"/>
          </w:rPr>
          <w:t>Luc 3.38</w:t>
        </w:r>
      </w:hyperlink>
      <w:r>
        <w:t>. C'est par la lignée de Seth que Jésus est né. Seth était le père d'Énosch et a vécu 912 ans.</w:t>
      </w:r>
    </w:p>
    <w:p>
      <w:r/>
      <w:r>
        <w:rPr>
          <w:i/>
        </w:rPr>
        <w:t>Voir aussi</w:t>
      </w:r>
      <w:r>
        <w:t xml:space="preserve"> </w:t>
      </w:r>
      <w:r>
        <w:t>Généalogie de Jésus-Christ</w:t>
      </w:r>
      <w:r>
        <w:t>.</w:t>
      </w:r>
      <w:r/>
      <w:r/>
    </w:p>
    <w:p>
      <w:r/>
    </w:p>
    <w:p>
      <w:pPr>
        <w:pStyle w:val="Heading2"/>
      </w:pPr>
      <w:r>
        <w:t>Sexe, Sexualité</w:t>
      </w:r>
      <w:r/>
    </w:p>
    <w:p>
      <w:pPr>
        <w:pStyle w:val="Heading3"/>
      </w:pPr>
      <w:r>
        <w:t>La Vision positive de la Bible sur le sexe et la sexualité</w:t>
      </w:r>
    </w:p>
    <w:p>
      <w:r/>
      <w:r>
        <w:t>Contrairement à certaines religions et philosophies, la Bible considère la sexualité humaine de manière positive. Selon l'Ancien Testament, Dieu a créé les être humains en tant qu'êtres sexuels. Être homme ou femme fait partie de ce que signifie être fait à l'image de Dieu (</w:t>
      </w:r>
      <w:hyperlink r:id="rId3691">
        <w:r>
          <w:rPr>
            <w:color w:val="0000EE"/>
            <w:u w:val="single"/>
          </w:rPr>
          <w:t>Gn 1.26</w:t>
        </w:r>
      </w:hyperlink>
      <w:r>
        <w:t>–</w:t>
      </w:r>
      <w:hyperlink r:id="rId3691">
        <w:r>
          <w:rPr>
            <w:color w:val="0000EE"/>
            <w:u w:val="single"/>
          </w:rPr>
          <w:t>28</w:t>
        </w:r>
      </w:hyperlink>
      <w:r>
        <w:t>). Ainsi, la sexualité est une partie importante de l'</w:t>
      </w:r>
      <w:r>
        <w:rPr>
          <w:i/>
        </w:rPr>
        <w:t>être</w:t>
      </w:r>
      <w:r>
        <w:t xml:space="preserve"> intrinsèque d'une personne, pas seulement un facteur de ce qu'elle </w:t>
      </w:r>
      <w:r>
        <w:rPr>
          <w:i/>
        </w:rPr>
        <w:t>fait</w:t>
      </w:r>
      <w:r>
        <w:t>.</w:t>
      </w:r>
    </w:p>
    <w:p>
      <w:r/>
      <w:r>
        <w:t>L'Ancien Testament montre qu'il n'y a rien d'embarrassant dans les différences entre les corps masculins et féminins (</w:t>
      </w:r>
      <w:hyperlink r:id="rId13864">
        <w:r>
          <w:rPr>
            <w:color w:val="0000EE"/>
            <w:u w:val="single"/>
          </w:rPr>
          <w:t>Gn 2.25</w:t>
        </w:r>
      </w:hyperlink>
      <w:r>
        <w:t>). Il n'y a également rien d'honteux dans l'activité sexuelle (</w:t>
      </w:r>
      <w:hyperlink r:id="rId13865">
        <w:r>
          <w:rPr>
            <w:color w:val="0000EE"/>
            <w:u w:val="single"/>
          </w:rPr>
          <w:t>Pr 5.18</w:t>
        </w:r>
      </w:hyperlink>
      <w:r>
        <w:t>–</w:t>
      </w:r>
      <w:hyperlink r:id="rId13865">
        <w:r>
          <w:rPr>
            <w:color w:val="0000EE"/>
            <w:u w:val="single"/>
          </w:rPr>
          <w:t>19</w:t>
        </w:r>
      </w:hyperlink>
      <w:r>
        <w:t xml:space="preserve"> ; </w:t>
      </w:r>
      <w:hyperlink r:id="rId13866">
        <w:r>
          <w:rPr>
            <w:color w:val="0000EE"/>
            <w:u w:val="single"/>
          </w:rPr>
          <w:t>Ec 9.9</w:t>
        </w:r>
      </w:hyperlink>
      <w:r>
        <w:t>). Le Cantique des Cantiques, plus que tout, est un magnifique poème sur l'amour. Il parle de passion physique et ne doit pas être compris comme n'étant qu'une allégorie sur la spiritualité.</w:t>
      </w:r>
    </w:p>
    <w:p>
      <w:r/>
      <w:r>
        <w:t>Paul développe une vision positive dans les livres de 1 Corinthiens et 1 Timothée également. L'immoralité sexuelle était courante à la fois à Corinthe et à Éphèse, où ces lettres ont été adressées. En réponse, certains chrétiens choisissaient de s'abstenir de tout rapport sexuel. Certains interdisaient le mariage (</w:t>
      </w:r>
      <w:hyperlink r:id="rId3510">
        <w:r>
          <w:rPr>
            <w:color w:val="0000EE"/>
            <w:u w:val="single"/>
          </w:rPr>
          <w:t>1Tm 4.3</w:t>
        </w:r>
      </w:hyperlink>
      <w:r>
        <w:t xml:space="preserve">). Certains couples mariés cessaient d'avoir des relations sexuelles, croyant que cela les rendrait plus spirituellement matures (voir </w:t>
      </w:r>
      <w:hyperlink r:id="rId3223">
        <w:r>
          <w:rPr>
            <w:color w:val="0000EE"/>
            <w:u w:val="single"/>
          </w:rPr>
          <w:t>1Co 7.5</w:t>
        </w:r>
      </w:hyperlink>
      <w:r>
        <w:t>).</w:t>
      </w:r>
    </w:p>
    <w:p>
      <w:r/>
      <w:r>
        <w:t>Paul rejète ces idées. Se référant à la Genèse, il leur rappelle d'être reconnaissants pour les dons de Dieu (</w:t>
      </w:r>
      <w:hyperlink r:id="rId13867">
        <w:r>
          <w:rPr>
            <w:color w:val="0000EE"/>
            <w:u w:val="single"/>
          </w:rPr>
          <w:t>1Tm 4.3–5</w:t>
        </w:r>
      </w:hyperlink>
      <w:r>
        <w:t>). Paul écrit également qu'époux et épouses devraient satisfaire les besoins sexuels de l'autre (</w:t>
      </w:r>
      <w:hyperlink r:id="rId3222">
        <w:r>
          <w:rPr>
            <w:color w:val="0000EE"/>
            <w:u w:val="single"/>
          </w:rPr>
          <w:t>1Co 7.3–4</w:t>
        </w:r>
      </w:hyperlink>
      <w:r>
        <w:t>).</w:t>
      </w:r>
    </w:p>
    <w:p>
      <w:r/>
      <w:r>
        <w:t>Dieu a créé le sexe pour la procréation (</w:t>
      </w:r>
      <w:hyperlink r:id="rId3483">
        <w:r>
          <w:rPr>
            <w:color w:val="0000EE"/>
            <w:u w:val="single"/>
          </w:rPr>
          <w:t>Gn 1.28</w:t>
        </w:r>
      </w:hyperlink>
      <w:r>
        <w:t xml:space="preserve">). Mais le sexe renforce également les relations. </w:t>
      </w:r>
      <w:hyperlink r:id="rId2645">
        <w:r>
          <w:rPr>
            <w:color w:val="0000EE"/>
            <w:u w:val="single"/>
          </w:rPr>
          <w:t>Genèse 2</w:t>
        </w:r>
      </w:hyperlink>
      <w:r>
        <w:t xml:space="preserve"> décrit comment Dieu a créé la femme pour être une compagne pour l'homme (</w:t>
      </w:r>
      <w:hyperlink r:id="rId13868">
        <w:r>
          <w:rPr>
            <w:color w:val="0000EE"/>
            <w:u w:val="single"/>
          </w:rPr>
          <w:t>2.18</w:t>
        </w:r>
      </w:hyperlink>
      <w:r>
        <w:t>–</w:t>
      </w:r>
      <w:hyperlink r:id="rId13868">
        <w:r>
          <w:rPr>
            <w:color w:val="0000EE"/>
            <w:u w:val="single"/>
          </w:rPr>
          <w:t>24</w:t>
        </w:r>
      </w:hyperlink>
      <w:r>
        <w:t>). La sexualité humaine est plus que de simples rapports physiques. Être homme ou femme est une manière dont Dieu nous aide à établir toutes sortes de relations, y compris certaines qui ne sont normalement considérées comme sexuelles en aucune manière.</w:t>
      </w:r>
    </w:p>
    <w:p>
      <w:pPr>
        <w:pStyle w:val="Heading3"/>
      </w:pPr>
      <w:r>
        <w:t>L'Impact du péché sur la sexualité humaine</w:t>
      </w:r>
    </w:p>
    <w:p>
      <w:r/>
      <w:r>
        <w:t>La Bible reconnaît le côté négatif de la nature humaine. Après avoir décrit la bonté du sexe dans le plan parfait de Dieu, Genèse explique comment le sexe, comme tout le reste, a été affecté négativement par le péché :</w:t>
      </w:r>
    </w:p>
    <w:p>
      <w:pPr>
        <w:pStyle w:val="ListBullet"/>
        <w:spacing w:line="240" w:lineRule="auto"/>
        <w:ind w:left="720"/>
      </w:pPr>
      <w:r/>
      <w:r>
        <w:t>La nudité est devenue gênante et effrayante.</w:t>
      </w:r>
    </w:p>
    <w:p>
      <w:pPr>
        <w:pStyle w:val="ListBullet"/>
        <w:spacing w:line="240" w:lineRule="auto"/>
        <w:ind w:left="720"/>
      </w:pPr>
      <w:r/>
      <w:r>
        <w:t>Les hommes et les femmes ont commencé à se percevoir comme des objets sexuels au lieu de se voir comme des personnes (</w:t>
      </w:r>
      <w:hyperlink r:id="rId13869">
        <w:r>
          <w:rPr>
            <w:color w:val="0000EE"/>
            <w:u w:val="single"/>
          </w:rPr>
          <w:t>Gn 3.7</w:t>
        </w:r>
      </w:hyperlink>
      <w:r>
        <w:t>–</w:t>
      </w:r>
      <w:hyperlink r:id="rId13869">
        <w:r>
          <w:rPr>
            <w:color w:val="0000EE"/>
            <w:u w:val="single"/>
          </w:rPr>
          <w:t>10</w:t>
        </w:r>
      </w:hyperlink>
      <w:r>
        <w:t>).</w:t>
      </w:r>
    </w:p>
    <w:p>
      <w:pPr>
        <w:pStyle w:val="ListBullet"/>
        <w:spacing w:line="240" w:lineRule="auto"/>
        <w:ind w:left="720"/>
      </w:pPr>
      <w:r/>
      <w:r>
        <w:t>La confiance et la tendresse ont été remplacées par la trahison et la dureté.</w:t>
      </w:r>
    </w:p>
    <w:p>
      <w:r/>
      <w:r>
        <w:t>Voilà la racine de la discrimination et des abus qui motivent les revendications féministes modernes. La procréation a également été altérée, car elle est devenue douloureuse et pénible.</w:t>
      </w:r>
    </w:p>
    <w:p>
      <w:r/>
      <w:r>
        <w:t>Voilà le contexte de l'interdiction biblique des relations sexuelles en dehors du mariage. Elle interdit l'adultère (</w:t>
      </w:r>
      <w:hyperlink r:id="rId355">
        <w:r>
          <w:rPr>
            <w:color w:val="0000EE"/>
            <w:u w:val="single"/>
          </w:rPr>
          <w:t>Ex 20.14</w:t>
        </w:r>
      </w:hyperlink>
      <w:r>
        <w:t>). Elle interdit également toute forme de relations sexuelles en dehors du mariage (</w:t>
      </w:r>
      <w:hyperlink r:id="rId13870">
        <w:r>
          <w:rPr>
            <w:color w:val="0000EE"/>
            <w:u w:val="single"/>
          </w:rPr>
          <w:t>1Co 6.18</w:t>
        </w:r>
      </w:hyperlink>
      <w:r>
        <w:t xml:space="preserve"> ; </w:t>
      </w:r>
      <w:hyperlink r:id="rId13871">
        <w:r>
          <w:rPr>
            <w:color w:val="0000EE"/>
            <w:u w:val="single"/>
          </w:rPr>
          <w:t>1Th 4.3</w:t>
        </w:r>
      </w:hyperlink>
      <w:r>
        <w:t>). La Bible n'explique pas souvent pourquoi certaines actions sont interdites. Cependant, lorsqu'elle fournit des raisons pour interdire les relations extraconjugales, ces raisons sont très instructives. Elle ne se concentre pas sur les conséquences, comme les maladies ou les grossesses non désirées, ni sur les intentions derrière les actions.</w:t>
      </w:r>
    </w:p>
    <w:p>
      <w:r/>
      <w:r>
        <w:t>Toute relation sexuelle en dehors du mariage est mauvaise, car le corps n'est pas destiné à l'immoralité sexuelle, et ceux qui commettent des péchés sexuels nuisent à leur propre corps (</w:t>
      </w:r>
      <w:hyperlink r:id="rId6703">
        <w:r>
          <w:rPr>
            <w:color w:val="0000EE"/>
            <w:u w:val="single"/>
          </w:rPr>
          <w:t>1Co 6.13, 18</w:t>
        </w:r>
      </w:hyperlink>
      <w:r>
        <w:t>). Les rapports sexuels sont une manière toute particulière et privilégiée de communiquer physiquement que Dieu a conçue pour montrer et confirmer la relation unique et durable entre un homme et une femme, que la Bible appelle « mariage ».</w:t>
      </w:r>
    </w:p>
    <w:p>
      <w:r/>
      <w:r>
        <w:t>La Bible interdit l'homosexualité (</w:t>
      </w:r>
      <w:hyperlink r:id="rId13872">
        <w:r>
          <w:rPr>
            <w:color w:val="0000EE"/>
            <w:u w:val="single"/>
          </w:rPr>
          <w:t>Lv 18.22</w:t>
        </w:r>
      </w:hyperlink>
      <w:r>
        <w:t xml:space="preserve"> ; </w:t>
      </w:r>
      <w:hyperlink r:id="rId13873">
        <w:r>
          <w:rPr>
            <w:color w:val="0000EE"/>
            <w:u w:val="single"/>
          </w:rPr>
          <w:t>Rm 1.26</w:t>
        </w:r>
      </w:hyperlink>
      <w:r>
        <w:t>–</w:t>
      </w:r>
      <w:hyperlink r:id="rId13873">
        <w:r>
          <w:rPr>
            <w:color w:val="0000EE"/>
            <w:u w:val="single"/>
          </w:rPr>
          <w:t>27</w:t>
        </w:r>
      </w:hyperlink>
      <w:r>
        <w:t xml:space="preserve"> ; </w:t>
      </w:r>
      <w:hyperlink r:id="rId13874">
        <w:r>
          <w:rPr>
            <w:color w:val="0000EE"/>
            <w:u w:val="single"/>
          </w:rPr>
          <w:t>1Co 6.9</w:t>
        </w:r>
      </w:hyperlink>
      <w:r>
        <w:t>–</w:t>
      </w:r>
      <w:hyperlink r:id="rId13874">
        <w:r>
          <w:rPr>
            <w:color w:val="0000EE"/>
            <w:u w:val="single"/>
          </w:rPr>
          <w:t>10</w:t>
        </w:r>
      </w:hyperlink>
      <w:r>
        <w:t xml:space="preserve"> ; </w:t>
      </w:r>
      <w:hyperlink r:id="rId13875">
        <w:r>
          <w:rPr>
            <w:color w:val="0000EE"/>
            <w:u w:val="single"/>
          </w:rPr>
          <w:t>1Tm 1.9</w:t>
        </w:r>
      </w:hyperlink>
      <w:r>
        <w:t>–</w:t>
      </w:r>
      <w:hyperlink r:id="rId13875">
        <w:r>
          <w:rPr>
            <w:color w:val="0000EE"/>
            <w:u w:val="single"/>
          </w:rPr>
          <w:t>10</w:t>
        </w:r>
      </w:hyperlink>
      <w:r>
        <w:t xml:space="preserve">). La seule explication de cette interdiction se trouve dans </w:t>
      </w:r>
      <w:hyperlink r:id="rId13876">
        <w:r>
          <w:rPr>
            <w:color w:val="0000EE"/>
            <w:u w:val="single"/>
          </w:rPr>
          <w:t>Romains 1.24</w:t>
        </w:r>
      </w:hyperlink>
      <w:r>
        <w:t>–</w:t>
      </w:r>
      <w:hyperlink r:id="rId13876">
        <w:r>
          <w:rPr>
            <w:color w:val="0000EE"/>
            <w:u w:val="single"/>
          </w:rPr>
          <w:t>27</w:t>
        </w:r>
      </w:hyperlink>
      <w:r>
        <w:t>. Ces versets suggèrent que Dieu s'est détourné des personnes qui se sont éloignées de lui en adorant des choses créées au lieu du Créateur. Elles ont abandonné Dieu et ont cédé à leurs propres désirs pécheurs, y compris l'homosexualité. Dans cette perspective, l'homosexualité est considérée comme allant à l'encontre de l'ordre naturel établi par Dieu pour que les hommes et les femmes créent la vie.</w:t>
      </w:r>
    </w:p>
    <w:p>
      <w:pPr>
        <w:pStyle w:val="Heading3"/>
      </w:pPr>
      <w:r>
        <w:t>Vaincre la tentation sexuelle</w:t>
      </w:r>
    </w:p>
    <w:p>
      <w:r/>
      <w:r>
        <w:t xml:space="preserve">La Bible offre un conseil pratique pour faire face à la tentation sexuelle : la fuir. Par exemple, lorsque Joseph est tenté par la femme d'un autre homme, il s'enfuit, laissant son </w:t>
      </w:r>
      <w:r>
        <w:t>vêtement</w:t>
      </w:r>
      <w:r>
        <w:t xml:space="preserve"> derrière lui (</w:t>
      </w:r>
      <w:hyperlink r:id="rId13877">
        <w:r>
          <w:rPr>
            <w:color w:val="0000EE"/>
            <w:u w:val="single"/>
          </w:rPr>
          <w:t>Gn 39.12</w:t>
        </w:r>
      </w:hyperlink>
      <w:r>
        <w:t>). Paul exhorte ses lecteurs chrétiens à suivre l'exemple de Joseph (</w:t>
      </w:r>
      <w:hyperlink r:id="rId13870">
        <w:r>
          <w:rPr>
            <w:color w:val="0000EE"/>
            <w:u w:val="single"/>
          </w:rPr>
          <w:t>1Co 6.18</w:t>
        </w:r>
      </w:hyperlink>
      <w:r>
        <w:t xml:space="preserve"> ; </w:t>
      </w:r>
      <w:hyperlink r:id="rId13878">
        <w:r>
          <w:rPr>
            <w:color w:val="0000EE"/>
            <w:u w:val="single"/>
          </w:rPr>
          <w:t>2Tm 2.22</w:t>
        </w:r>
      </w:hyperlink>
      <w:r>
        <w:t>). Cela donne voix au fort désir sexuel qu'éprouvent beaucoup d'êtres humains, mais ce n'est pas censé laisser place au désespoir. Paul enseigne que le Saint-Esprit donne aux croyants la force de surmonter la tentation sexuelle. Il connaissait des chrétiens qui utilisaient la puissance de l'Esprit pour acquérir la maîtrise de soi et surmonter leurs habitudes les plus difficiles (</w:t>
      </w:r>
      <w:hyperlink r:id="rId3212">
        <w:r>
          <w:rPr>
            <w:color w:val="0000EE"/>
            <w:u w:val="single"/>
          </w:rPr>
          <w:t>1Co 6.9</w:t>
        </w:r>
      </w:hyperlink>
      <w:r>
        <w:t>–</w:t>
      </w:r>
      <w:hyperlink r:id="rId3212">
        <w:r>
          <w:rPr>
            <w:color w:val="0000EE"/>
            <w:u w:val="single"/>
          </w:rPr>
          <w:t>11</w:t>
        </w:r>
      </w:hyperlink>
      <w:r>
        <w:t xml:space="preserve"> ; </w:t>
      </w:r>
      <w:hyperlink r:id="rId2331">
        <w:r>
          <w:rPr>
            <w:color w:val="0000EE"/>
            <w:u w:val="single"/>
          </w:rPr>
          <w:t>Ga 5.22</w:t>
        </w:r>
      </w:hyperlink>
      <w:r>
        <w:t>–</w:t>
      </w:r>
      <w:hyperlink r:id="rId2331">
        <w:r>
          <w:rPr>
            <w:color w:val="0000EE"/>
            <w:u w:val="single"/>
          </w:rPr>
          <w:t>23</w:t>
        </w:r>
      </w:hyperlink>
      <w:r>
        <w:t xml:space="preserve"> ; </w:t>
      </w:r>
      <w:hyperlink r:id="rId4234">
        <w:r>
          <w:rPr>
            <w:color w:val="0000EE"/>
            <w:u w:val="single"/>
          </w:rPr>
          <w:t>2Tm 1.7</w:t>
        </w:r>
      </w:hyperlink>
      <w:r>
        <w:t>).</w:t>
      </w:r>
    </w:p>
    <w:p>
      <w:pPr>
        <w:pStyle w:val="Heading3"/>
      </w:pPr>
      <w:r>
        <w:t>L'Avenir de la sexualité humaine</w:t>
      </w:r>
    </w:p>
    <w:p>
      <w:r/>
      <w:r>
        <w:t>Le Nouveau Testament suggère que, de la même manière que Dieu est à l'origine de la sexualité humaine, c'est aussi lui qui y mettra fin. Jésus a enseigné qu'il n'y aura pas de mariage au ciel (</w:t>
      </w:r>
      <w:hyperlink r:id="rId937">
        <w:r>
          <w:rPr>
            <w:color w:val="0000EE"/>
            <w:u w:val="single"/>
          </w:rPr>
          <w:t>Mt 22.30</w:t>
        </w:r>
      </w:hyperlink>
      <w:r>
        <w:t>). Il s'agit d'une conclusion inattendue mais appropriée aux enseignements de la Bible sur le sexe et la sexualité. Lorsqu'il n'y aura plus de mort, le besoin de procréation prendra fin. Et lorsque les relations seront parfaitement aimantes, il n'y aura pas besoin de sexe pour les renforcer. Ainsi, les deux principaux objectifs de Dieu pour la sexualité humaine seront pleinement réalisés dans l'éternité.</w:t>
      </w:r>
    </w:p>
    <w:p>
      <w:r/>
      <w:r>
        <w:rPr>
          <w:i/>
        </w:rPr>
        <w:t>Voir aussi</w:t>
      </w:r>
      <w:r>
        <w:t xml:space="preserve"> </w:t>
      </w:r>
      <w:r>
        <w:t>Divorce</w:t>
      </w:r>
      <w:r>
        <w:t xml:space="preserve"> ; </w:t>
      </w:r>
      <w:r>
        <w:t>Vie familiale et relations</w:t>
      </w:r>
      <w:r>
        <w:t xml:space="preserve"> ; </w:t>
      </w:r>
      <w:r>
        <w:t>Être humain</w:t>
      </w:r>
      <w:r>
        <w:t xml:space="preserve"> ; </w:t>
      </w:r>
      <w:r>
        <w:t>Mariage, Coutumes de mariage</w:t>
      </w:r>
      <w:r>
        <w:t xml:space="preserve"> ; </w:t>
      </w:r>
      <w:r>
        <w:t>Vierge</w:t>
      </w:r>
      <w:r>
        <w:t xml:space="preserve"> ; </w:t>
      </w:r>
      <w:r>
        <w:t>Femme</w:t>
      </w:r>
      <w:r>
        <w:t>.</w:t>
      </w:r>
      <w:r/>
      <w:r/>
    </w:p>
    <w:p>
      <w:r/>
    </w:p>
    <w:p>
      <w:pPr>
        <w:pStyle w:val="Heading2"/>
      </w:pPr>
      <w:r>
        <w:t>Shekinah</w:t>
      </w:r>
      <w:r/>
    </w:p>
    <w:p>
      <w:r/>
      <w:r>
        <w:t xml:space="preserve">Mot qui signifie « celui qui habite » ou « ce qui habite ». </w:t>
      </w:r>
      <w:r>
        <w:rPr>
          <w:i/>
        </w:rPr>
        <w:t>Shekinah</w:t>
      </w:r>
      <w:r>
        <w:t xml:space="preserve"> est un mot hébreu écrit en lettres française (translittération). Ce terme est entré dans l'enseignement chrétien à travers des écrits juifs anciens appelés les « Targums » et des textes rabbiniques. Ces textes utilisaient le mot </w:t>
      </w:r>
      <w:r>
        <w:rPr>
          <w:i/>
        </w:rPr>
        <w:t>shekinah</w:t>
      </w:r>
      <w:r>
        <w:t xml:space="preserve"> pour décrire comment Dieu, qui existe au-delà de notre monde, se rend également présent en son sein.</w:t>
      </w:r>
    </w:p>
    <w:p>
      <w:pPr>
        <w:pStyle w:val="Heading3"/>
      </w:pPr>
      <w:r>
        <w:t>La Shekinah dans l'Ancien Testament</w:t>
      </w:r>
    </w:p>
    <w:p>
      <w:r/>
      <w:r>
        <w:t xml:space="preserve">Le mot « </w:t>
      </w:r>
      <w:r>
        <w:rPr>
          <w:i/>
        </w:rPr>
        <w:t>shekinah</w:t>
      </w:r>
      <w:r>
        <w:t xml:space="preserve"> » lui-même n'apparaît pas dans la Bible, mais l'idée provient de nombreux endroits dans l'Ancien Testament où Dieu demeure parmi son peuple (</w:t>
      </w:r>
      <w:hyperlink r:id="rId13749">
        <w:r>
          <w:rPr>
            <w:color w:val="0000EE"/>
            <w:u w:val="single"/>
          </w:rPr>
          <w:t>Gn 9.27</w:t>
        </w:r>
      </w:hyperlink>
      <w:r>
        <w:t xml:space="preserve"> ; </w:t>
      </w:r>
      <w:hyperlink r:id="rId3153">
        <w:r>
          <w:rPr>
            <w:color w:val="0000EE"/>
            <w:u w:val="single"/>
          </w:rPr>
          <w:t>Ex 25.8</w:t>
        </w:r>
      </w:hyperlink>
      <w:r>
        <w:t xml:space="preserve"> ; </w:t>
      </w:r>
      <w:hyperlink r:id="rId13879">
        <w:r>
          <w:rPr>
            <w:color w:val="0000EE"/>
            <w:u w:val="single"/>
          </w:rPr>
          <w:t>29.45–46</w:t>
        </w:r>
      </w:hyperlink>
      <w:r>
        <w:t xml:space="preserve"> ; </w:t>
      </w:r>
      <w:hyperlink r:id="rId13880">
        <w:r>
          <w:rPr>
            <w:color w:val="0000EE"/>
            <w:u w:val="single"/>
          </w:rPr>
          <w:t>Nb 5.3</w:t>
        </w:r>
      </w:hyperlink>
      <w:r>
        <w:t xml:space="preserve"> ; </w:t>
      </w:r>
      <w:hyperlink r:id="rId13881">
        <w:r>
          <w:rPr>
            <w:color w:val="0000EE"/>
            <w:u w:val="single"/>
          </w:rPr>
          <w:t>1R 6.13</w:t>
        </w:r>
      </w:hyperlink>
      <w:r>
        <w:t xml:space="preserve"> ; </w:t>
      </w:r>
      <w:hyperlink r:id="rId13882">
        <w:r>
          <w:rPr>
            <w:color w:val="0000EE"/>
            <w:u w:val="single"/>
          </w:rPr>
          <w:t>Ps 68.16–18</w:t>
        </w:r>
      </w:hyperlink>
      <w:r>
        <w:t xml:space="preserve"> ; </w:t>
      </w:r>
      <w:hyperlink r:id="rId13883">
        <w:r>
          <w:rPr>
            <w:color w:val="0000EE"/>
            <w:u w:val="single"/>
          </w:rPr>
          <w:t>74.2</w:t>
        </w:r>
      </w:hyperlink>
      <w:r>
        <w:t xml:space="preserve"> ; </w:t>
      </w:r>
      <w:hyperlink r:id="rId13884">
        <w:r>
          <w:rPr>
            <w:color w:val="0000EE"/>
            <w:u w:val="single"/>
          </w:rPr>
          <w:t>Es 8.18</w:t>
        </w:r>
      </w:hyperlink>
      <w:r>
        <w:t xml:space="preserve"> ; </w:t>
      </w:r>
      <w:hyperlink r:id="rId13885">
        <w:r>
          <w:rPr>
            <w:color w:val="0000EE"/>
            <w:u w:val="single"/>
          </w:rPr>
          <w:t>Ez 43.7–9</w:t>
        </w:r>
      </w:hyperlink>
      <w:r>
        <w:t xml:space="preserve"> ; </w:t>
      </w:r>
      <w:hyperlink r:id="rId13886">
        <w:r>
          <w:rPr>
            <w:color w:val="0000EE"/>
            <w:u w:val="single"/>
          </w:rPr>
          <w:t>Jl 3.17, 21</w:t>
        </w:r>
      </w:hyperlink>
      <w:r>
        <w:t xml:space="preserve"> ; </w:t>
      </w:r>
      <w:hyperlink r:id="rId13887">
        <w:r>
          <w:rPr>
            <w:color w:val="0000EE"/>
            <w:u w:val="single"/>
          </w:rPr>
          <w:t>Za 2.10–11</w:t>
        </w:r>
      </w:hyperlink>
      <w:r>
        <w:t>). Ces passages démontrent que, bien que Dieu vive au ciel, il vit aussi sur terre avec son peuple.</w:t>
      </w:r>
    </w:p>
    <w:p>
      <w:r/>
      <w:r>
        <w:t xml:space="preserve">Les gens utilisent également le terme « </w:t>
      </w:r>
      <w:r>
        <w:rPr>
          <w:i/>
        </w:rPr>
        <w:t>gloire shekinah</w:t>
      </w:r>
      <w:r>
        <w:t xml:space="preserve"> » pour décrire comment Dieu s'est montré visiblement aux Israélites. C'était une manifestation visible de Dieu sous la forme d'une colonne de feu et de fumée. Cette présence a été vue :</w:t>
      </w:r>
    </w:p>
    <w:p>
      <w:pPr>
        <w:pStyle w:val="ListBullet"/>
        <w:spacing w:line="240" w:lineRule="auto"/>
        <w:ind w:left="720"/>
      </w:pPr>
      <w:r/>
      <w:r>
        <w:t>Au Sinaï (</w:t>
      </w:r>
      <w:hyperlink r:id="rId13888">
        <w:r>
          <w:rPr>
            <w:color w:val="0000EE"/>
            <w:u w:val="single"/>
          </w:rPr>
          <w:t>Ex 19.16–18</w:t>
        </w:r>
      </w:hyperlink>
      <w:r>
        <w:t>),</w:t>
      </w:r>
    </w:p>
    <w:p>
      <w:pPr>
        <w:pStyle w:val="ListBullet"/>
        <w:spacing w:line="240" w:lineRule="auto"/>
        <w:ind w:left="720"/>
      </w:pPr>
      <w:r/>
      <w:r>
        <w:t>Dans le désert (</w:t>
      </w:r>
      <w:hyperlink r:id="rId2867">
        <w:r>
          <w:rPr>
            <w:color w:val="0000EE"/>
            <w:u w:val="single"/>
          </w:rPr>
          <w:t>Ex 40.34–38</w:t>
        </w:r>
      </w:hyperlink>
      <w:r>
        <w:t>), et</w:t>
      </w:r>
    </w:p>
    <w:p>
      <w:pPr>
        <w:pStyle w:val="ListBullet"/>
        <w:spacing w:line="240" w:lineRule="auto"/>
        <w:ind w:left="720"/>
      </w:pPr>
      <w:r/>
      <w:r>
        <w:t>Dans le temple (</w:t>
      </w:r>
      <w:hyperlink r:id="rId13881">
        <w:r>
          <w:rPr>
            <w:color w:val="0000EE"/>
            <w:u w:val="single"/>
          </w:rPr>
          <w:t>1R 6.13</w:t>
        </w:r>
      </w:hyperlink>
      <w:r>
        <w:t xml:space="preserve"> ; </w:t>
      </w:r>
      <w:hyperlink r:id="rId13889">
        <w:r>
          <w:rPr>
            <w:color w:val="0000EE"/>
            <w:u w:val="single"/>
          </w:rPr>
          <w:t>8.10–13</w:t>
        </w:r>
      </w:hyperlink>
      <w:r>
        <w:t xml:space="preserve"> ; </w:t>
      </w:r>
      <w:hyperlink r:id="rId13890">
        <w:r>
          <w:rPr>
            <w:color w:val="0000EE"/>
            <w:u w:val="single"/>
          </w:rPr>
          <w:t>2Ch 6.1–2</w:t>
        </w:r>
      </w:hyperlink>
      <w:r>
        <w:t>).</w:t>
      </w:r>
    </w:p>
    <w:p>
      <w:pPr>
        <w:pStyle w:val="Heading3"/>
      </w:pPr>
      <w:r>
        <w:t>La Shekinah dans le Nouveau Testament</w:t>
      </w:r>
    </w:p>
    <w:p>
      <w:r/>
      <w:r>
        <w:t xml:space="preserve">Le Nouveau Testament parle également de la présence de Dieu parmi l'humanité, même s'il n'utilise pas le mot </w:t>
      </w:r>
      <w:r>
        <w:rPr>
          <w:i/>
        </w:rPr>
        <w:t>shekinah</w:t>
      </w:r>
      <w:r>
        <w:t>. Dans le Nouveau Testament, lorsque Dieu est présent, il y a souvent de la lumière et de la gloire (</w:t>
      </w:r>
      <w:hyperlink r:id="rId13891">
        <w:r>
          <w:rPr>
            <w:color w:val="0000EE"/>
            <w:u w:val="single"/>
          </w:rPr>
          <w:t>Lc 2.9</w:t>
        </w:r>
      </w:hyperlink>
      <w:r>
        <w:t xml:space="preserve"> ; </w:t>
      </w:r>
      <w:hyperlink r:id="rId13892">
        <w:r>
          <w:rPr>
            <w:color w:val="0000EE"/>
            <w:u w:val="single"/>
          </w:rPr>
          <w:t>9.29</w:t>
        </w:r>
      </w:hyperlink>
      <w:r>
        <w:t xml:space="preserve"> ; </w:t>
      </w:r>
      <w:hyperlink r:id="rId13893">
        <w:r>
          <w:rPr>
            <w:color w:val="0000EE"/>
            <w:u w:val="single"/>
          </w:rPr>
          <w:t>Ac 9.3–6</w:t>
        </w:r>
      </w:hyperlink>
      <w:r>
        <w:t xml:space="preserve"> ; </w:t>
      </w:r>
      <w:hyperlink r:id="rId4569">
        <w:r>
          <w:rPr>
            <w:color w:val="0000EE"/>
            <w:u w:val="single"/>
          </w:rPr>
          <w:t>22.6–11</w:t>
        </w:r>
      </w:hyperlink>
      <w:r>
        <w:t xml:space="preserve"> ; </w:t>
      </w:r>
      <w:hyperlink r:id="rId13894">
        <w:r>
          <w:rPr>
            <w:color w:val="0000EE"/>
            <w:u w:val="single"/>
          </w:rPr>
          <w:t>26.12–16</w:t>
        </w:r>
      </w:hyperlink>
      <w:r>
        <w:t xml:space="preserve"> ; </w:t>
      </w:r>
      <w:hyperlink r:id="rId1972">
        <w:r>
          <w:rPr>
            <w:color w:val="0000EE"/>
            <w:u w:val="single"/>
          </w:rPr>
          <w:t>2P 1.16–18</w:t>
        </w:r>
      </w:hyperlink>
      <w:r>
        <w:t>).</w:t>
      </w:r>
    </w:p>
    <w:p>
      <w:r/>
      <w:r>
        <w:t>L'Évangile de Jean met particulièrement l'accent sur la gloire et sur le fait que Dieu vit parmi les êtres humains. Il nous dit que lorsque Jésus (appelé « la Parole ») est devenu un homme, il a vécu parmi les humains qui ont vu sa gloire (</w:t>
      </w:r>
      <w:hyperlink r:id="rId1968">
        <w:r>
          <w:rPr>
            <w:color w:val="0000EE"/>
            <w:u w:val="single"/>
          </w:rPr>
          <w:t>Jn 1.14</w:t>
        </w:r>
      </w:hyperlink>
      <w:r>
        <w:t>). L'Esprit de Dieu est resté sur lui (</w:t>
      </w:r>
      <w:hyperlink r:id="rId13895">
        <w:r>
          <w:rPr>
            <w:color w:val="0000EE"/>
            <w:u w:val="single"/>
          </w:rPr>
          <w:t>Jn 1.32</w:t>
        </w:r>
      </w:hyperlink>
      <w:r>
        <w:t>) et sera avec ses disciples pour toujours (</w:t>
      </w:r>
      <w:hyperlink r:id="rId12668">
        <w:r>
          <w:rPr>
            <w:color w:val="0000EE"/>
            <w:u w:val="single"/>
          </w:rPr>
          <w:t>Jn 14.16</w:t>
        </w:r>
      </w:hyperlink>
      <w:r>
        <w:t>). Il demeurera en ceux qui demeurent en Jésus (</w:t>
      </w:r>
      <w:hyperlink r:id="rId11920">
        <w:r>
          <w:rPr>
            <w:color w:val="0000EE"/>
            <w:u w:val="single"/>
          </w:rPr>
          <w:t>Jn 15.4–10</w:t>
        </w:r>
      </w:hyperlink>
      <w:r>
        <w:t>). Jean a également écrit par rapport à ces mêmes idées dans ses lettres. Il a souvent parlé de la manière dont les croyants vivent en Christ et comment Christ vit en eux (</w:t>
      </w:r>
      <w:hyperlink r:id="rId13896">
        <w:r>
          <w:rPr>
            <w:color w:val="0000EE"/>
            <w:u w:val="single"/>
          </w:rPr>
          <w:t>1Jn 2.6, 14, 24, 27–28</w:t>
        </w:r>
      </w:hyperlink>
      <w:r>
        <w:t xml:space="preserve"> ; </w:t>
      </w:r>
      <w:hyperlink r:id="rId13897">
        <w:r>
          <w:rPr>
            <w:color w:val="0000EE"/>
            <w:u w:val="single"/>
          </w:rPr>
          <w:t>3.6, 14–15, 24</w:t>
        </w:r>
      </w:hyperlink>
      <w:r>
        <w:t xml:space="preserve"> ; </w:t>
      </w:r>
      <w:hyperlink r:id="rId13898">
        <w:r>
          <w:rPr>
            <w:color w:val="0000EE"/>
            <w:u w:val="single"/>
          </w:rPr>
          <w:t>2Jn 1.9</w:t>
        </w:r>
      </w:hyperlink>
      <w:r>
        <w:t>).</w:t>
      </w:r>
    </w:p>
    <w:p>
      <w:r/>
      <w:r>
        <w:t xml:space="preserve">Paul identifie également Jésus comme la </w:t>
      </w:r>
      <w:r>
        <w:rPr>
          <w:i/>
        </w:rPr>
        <w:t>shekinah</w:t>
      </w:r>
      <w:r>
        <w:t xml:space="preserve"> de Dieu. Toute l'essence et la nature de Dieu résident pleinement en Jésus sous forme physique (</w:t>
      </w:r>
      <w:hyperlink r:id="rId2927">
        <w:r>
          <w:rPr>
            <w:color w:val="0000EE"/>
            <w:u w:val="single"/>
          </w:rPr>
          <w:t>Col 1.19</w:t>
        </w:r>
      </w:hyperlink>
      <w:r>
        <w:t xml:space="preserve"> ; </w:t>
      </w:r>
      <w:hyperlink r:id="rId2928">
        <w:r>
          <w:rPr>
            <w:color w:val="0000EE"/>
            <w:u w:val="single"/>
          </w:rPr>
          <w:t>2.9</w:t>
        </w:r>
      </w:hyperlink>
      <w:r>
        <w:t>). Lorsque Christ vit dans son Église, cela transforme ses disciples en peuple de Dieu (</w:t>
      </w:r>
      <w:hyperlink r:id="rId13899">
        <w:r>
          <w:rPr>
            <w:color w:val="0000EE"/>
            <w:u w:val="single"/>
          </w:rPr>
          <w:t>Col 1.15–23</w:t>
        </w:r>
      </w:hyperlink>
      <w:r>
        <w:t xml:space="preserve">). Paul a décrit son message comme « l'Évangile de la gloire de Christ ». Il a expliqué que Dieu a fait briller sa lumière pour aider les gens à comprendre « </w:t>
      </w:r>
      <w:r>
        <w:t>la gloire de Dieu sur la face de Christ</w:t>
      </w:r>
      <w:r>
        <w:t xml:space="preserve"> » (</w:t>
      </w:r>
      <w:hyperlink r:id="rId4945">
        <w:r>
          <w:rPr>
            <w:color w:val="0000EE"/>
            <w:u w:val="single"/>
          </w:rPr>
          <w:t>2Co 4.4–6</w:t>
        </w:r>
      </w:hyperlink>
      <w:r>
        <w:t>).</w:t>
      </w:r>
    </w:p>
    <w:p>
      <w:r/>
      <w:r>
        <w:t xml:space="preserve">Enfin, la lettre aux Hébreux dit que Jésus est « </w:t>
      </w:r>
      <w:r>
        <w:t>le reflet de [la] gloire [de Dieu] et l’empreinte de sa personne</w:t>
      </w:r>
      <w:r>
        <w:t xml:space="preserve"> » (</w:t>
      </w:r>
      <w:hyperlink r:id="rId1332">
        <w:r>
          <w:rPr>
            <w:color w:val="0000EE"/>
            <w:u w:val="single"/>
          </w:rPr>
          <w:t>Hé 1.3</w:t>
        </w:r>
      </w:hyperlink>
      <w:r>
        <w:t>).</w:t>
      </w:r>
    </w:p>
    <w:p>
      <w:r/>
      <w:r>
        <w:rPr>
          <w:i/>
        </w:rPr>
        <w:t>Voir</w:t>
      </w:r>
      <w:r>
        <w:t xml:space="preserve"> </w:t>
      </w:r>
      <w:r>
        <w:t>Gloire</w:t>
      </w:r>
      <w:r>
        <w:t xml:space="preserve"> ; </w:t>
      </w:r>
      <w:r>
        <w:t>Colonne de Feu et Nuée</w:t>
      </w:r>
      <w:r>
        <w:t xml:space="preserve"> ; </w:t>
      </w:r>
      <w:r>
        <w:t>Théophanie</w:t>
      </w:r>
      <w:r>
        <w:t>.</w:t>
      </w:r>
      <w:r/>
      <w:r/>
    </w:p>
    <w:p>
      <w:r/>
    </w:p>
    <w:p>
      <w:pPr>
        <w:pStyle w:val="Heading2"/>
      </w:pPr>
      <w:r>
        <w:t>Sheol</w:t>
      </w:r>
      <w:r/>
    </w:p>
    <w:p>
      <w:r/>
      <w:r>
        <w:t>Terme hébreu pour le lieu des morts. Dans l'usage ordinaire, le mot signifie « ravin », « gouffre », « monde souterrain » ou « monde des morts ». Dans l'Ancien Testament, il s'agit du lieu où les morts ont leur demeure, un espace creux sous la terre où les morts sont rassemblés. Les synonymes de séjour des morts sont « fosse », « mort » et « destruction » (</w:t>
      </w:r>
      <w:r>
        <w:rPr>
          <w:i/>
        </w:rPr>
        <w:t>Abaddon</w:t>
      </w:r>
      <w:r>
        <w:t>). Le séjour des morts est un lieu d'ombres et de silence total. Ici, toute existence est en suspens. Ce n'est pas un non-lieu, mais plutôt un endroit où la vie n'est plus. Il est décrit comme la Terre de l'Oubli. Ceux qui y habitent ne peuvent pas louer Dieu (</w:t>
      </w:r>
      <w:hyperlink r:id="rId12937">
        <w:r>
          <w:rPr>
            <w:color w:val="0000EE"/>
            <w:u w:val="single"/>
          </w:rPr>
          <w:t>Ps 88.10–12</w:t>
        </w:r>
      </w:hyperlink>
      <w:r>
        <w:t>). Dans l'Apocalypse, il est appelé « abîme sans fond » présidé par Abaddon, le prince de la fosse (</w:t>
      </w:r>
      <w:hyperlink r:id="rId58">
        <w:r>
          <w:rPr>
            <w:color w:val="0000EE"/>
            <w:u w:val="single"/>
          </w:rPr>
          <w:t>Ap 9.11</w:t>
        </w:r>
      </w:hyperlink>
      <w:r>
        <w:t>).</w:t>
      </w:r>
    </w:p>
    <w:p>
      <w:r/>
      <w:r>
        <w:t>Ce n'est pas, cependant, un lieu où Dieu est entièrement absent ; on ne peut échapper à Dieu même dans le séjour des morts (</w:t>
      </w:r>
      <w:hyperlink r:id="rId10341">
        <w:r>
          <w:rPr>
            <w:color w:val="0000EE"/>
            <w:u w:val="single"/>
          </w:rPr>
          <w:t>Ps 139.8</w:t>
        </w:r>
      </w:hyperlink>
      <w:r>
        <w:t xml:space="preserve">). Cette omniprésence de Dieu est décrite de manière graphique dans Job : « </w:t>
      </w:r>
      <w:r>
        <w:t>Devant lui le séjour des morts [Sheol] est nu, L’abîme [Abaddon] n’a point de voile</w:t>
      </w:r>
      <w:r>
        <w:t xml:space="preserve"> » (</w:t>
      </w:r>
      <w:hyperlink r:id="rId4694">
        <w:r>
          <w:rPr>
            <w:color w:val="0000EE"/>
            <w:u w:val="single"/>
          </w:rPr>
          <w:t>Jb 26.6</w:t>
        </w:r>
      </w:hyperlink>
      <w:r>
        <w:t xml:space="preserve">, rsv). Une pensée similaire est exprimée dans les Proverbes : « </w:t>
      </w:r>
      <w:r>
        <w:t>Le séjour des morts [Sheol] et l’abîme [Abaddon] sont devant l’Éternel; Combien plus les cœurs des fils de l’homme</w:t>
      </w:r>
      <w:r>
        <w:t xml:space="preserve"> !» (</w:t>
      </w:r>
      <w:hyperlink r:id="rId13900">
        <w:r>
          <w:rPr>
            <w:color w:val="0000EE"/>
            <w:u w:val="single"/>
          </w:rPr>
          <w:t>Pr 15.11</w:t>
        </w:r>
      </w:hyperlink>
      <w:r>
        <w:t>). Dans les deux textes, Sheol et Abaddon sont utilisés de manière interchangeable. Abaddon signifie littéralement « destruction », mais dans l'Apocalypse, il est utilisé comme un nom personnel.</w:t>
      </w:r>
    </w:p>
    <w:p>
      <w:r/>
      <w:r>
        <w:t>Dans la Bible, la mort n'est pas un événement naturel. Elle viole le principe de la vie, qui est un don de Dieu. Le séjour des morts n'est donc pas seulement un lieu de repos, mais aussi de punition. Koré et ses associés, qui ont instigué la rébellion contre Moïse, ont été engloutis par la fosse ouverte et ont péri dans le Sheol (</w:t>
      </w:r>
      <w:hyperlink r:id="rId13901">
        <w:r>
          <w:rPr>
            <w:color w:val="0000EE"/>
            <w:u w:val="single"/>
          </w:rPr>
          <w:t>Nb 16.30–33</w:t>
        </w:r>
      </w:hyperlink>
      <w:r>
        <w:t>). La peur de la mort est naturelle à l'homme ; le séjour des morts sert donc de symbole du voyage sans retour (</w:t>
      </w:r>
      <w:hyperlink r:id="rId13902">
        <w:r>
          <w:rPr>
            <w:color w:val="0000EE"/>
            <w:u w:val="single"/>
          </w:rPr>
          <w:t>Ps 39.12–13</w:t>
        </w:r>
      </w:hyperlink>
      <w:r>
        <w:t xml:space="preserve">). Le roi Ézéchias de Juda se lamente, malade, sur son lit : « </w:t>
      </w:r>
      <w:r>
        <w:t>Quand mes jours sont en repos, je dois m’en aller Aux portes du séjour des morts [Sheol]. Je suis privé du reste de mes années</w:t>
      </w:r>
      <w:r>
        <w:t xml:space="preserve"> » (</w:t>
      </w:r>
      <w:hyperlink r:id="rId13903">
        <w:r>
          <w:rPr>
            <w:color w:val="0000EE"/>
            <w:u w:val="single"/>
          </w:rPr>
          <w:t>Es 38.10</w:t>
        </w:r>
      </w:hyperlink>
      <w:r>
        <w:t>).</w:t>
      </w:r>
    </w:p>
    <w:p>
      <w:r/>
      <w:r>
        <w:t xml:space="preserve">Le séjour des morts, tel que conçu dans l'Ancien Testament, diffère de la doctrine ultérieure de l'enfer ou du Hadès en ce qu'il est le lieu où tous les morts sont rassemblés sans distinction, tant les bons que les mauvais, les saints et les pécheurs. Mourir signifie être rassemblé avec ceux qui sont partis avant. Lorsqu'un Juif meurt, il est « </w:t>
      </w:r>
      <w:r>
        <w:t>recueilli auprès de son peuple</w:t>
      </w:r>
      <w:r>
        <w:t xml:space="preserve"> » (voir </w:t>
      </w:r>
      <w:hyperlink r:id="rId13904">
        <w:r>
          <w:rPr>
            <w:color w:val="0000EE"/>
            <w:u w:val="single"/>
          </w:rPr>
          <w:t>Gn 25.8, 17</w:t>
        </w:r>
      </w:hyperlink>
      <w:r>
        <w:t xml:space="preserve">; </w:t>
      </w:r>
      <w:hyperlink r:id="rId13905">
        <w:r>
          <w:rPr>
            <w:color w:val="0000EE"/>
            <w:u w:val="single"/>
          </w:rPr>
          <w:t>35.29</w:t>
        </w:r>
      </w:hyperlink>
      <w:r>
        <w:t xml:space="preserve">; </w:t>
      </w:r>
      <w:hyperlink r:id="rId13906">
        <w:r>
          <w:rPr>
            <w:color w:val="0000EE"/>
            <w:u w:val="single"/>
          </w:rPr>
          <w:t>49.29</w:t>
        </w:r>
      </w:hyperlink>
      <w:r>
        <w:t xml:space="preserve">). Au-delà du séjour des morts, il ne semblait y avoir aucun espoir (voir </w:t>
      </w:r>
      <w:hyperlink r:id="rId4689">
        <w:r>
          <w:rPr>
            <w:color w:val="0000EE"/>
            <w:u w:val="single"/>
          </w:rPr>
          <w:t>Ec 9.10</w:t>
        </w:r>
      </w:hyperlink>
      <w:r>
        <w:t>). Le désespoir total de la mort est exprimé de manière pathétique dans le livre de Job : « Avant que je m’en aille, pour ne plus revenir, Dans le pays des ténèbres et de l’ombre de la mort, Pays d’une obscurité profonde, Où règnent l’ombre de la mort et la confusion, Et où la lumière est semblable aux ténèbres » (</w:t>
      </w:r>
      <w:hyperlink r:id="rId10947">
        <w:r>
          <w:rPr>
            <w:color w:val="0000EE"/>
            <w:u w:val="single"/>
          </w:rPr>
          <w:t>Jb 10.21–22</w:t>
        </w:r>
      </w:hyperlink>
      <w:r>
        <w:t xml:space="preserve">). Ce n'est cependant pas le dernier mot de Job. Il connaît aussi le pouvoir de Dieu, qui s'étend au-delà de la tombe : « </w:t>
      </w:r>
      <w:r>
        <w:t>Mais je sais que mon rédempteur est vivant [...]. Quand ma peau sera détruite, il se lèvera</w:t>
      </w:r>
      <w:r>
        <w:t xml:space="preserve"> </w:t>
      </w:r>
      <w:r>
        <w:t>; Quand je n’aurai plus de chair, je verrai Dieu</w:t>
      </w:r>
      <w:r>
        <w:t xml:space="preserve"> » (</w:t>
      </w:r>
      <w:hyperlink r:id="rId641">
        <w:r>
          <w:rPr>
            <w:color w:val="0000EE"/>
            <w:u w:val="single"/>
          </w:rPr>
          <w:t>19.25–26</w:t>
        </w:r>
      </w:hyperlink>
      <w:r>
        <w:t>).</w:t>
      </w:r>
    </w:p>
    <w:p>
      <w:r/>
      <w:r>
        <w:t>L'idée que les morts résident dans le monde souterrain persiste dans l'Ancien Testament. L'incident avec Saül et la médium d'En-Dor (</w:t>
      </w:r>
      <w:hyperlink r:id="rId13907">
        <w:r>
          <w:rPr>
            <w:color w:val="0000EE"/>
            <w:u w:val="single"/>
          </w:rPr>
          <w:t>1S 28.11</w:t>
        </w:r>
      </w:hyperlink>
      <w:r>
        <w:t>) en est une bonne illustration. La sorcière fait « monter » Samuel pour qu'il puisse être consulté par le roi en période de crise. Une telle nécromancie était strictement interdite à la fois par la loi de Moïse (</w:t>
      </w:r>
      <w:hyperlink r:id="rId13908">
        <w:r>
          <w:rPr>
            <w:color w:val="0000EE"/>
            <w:u w:val="single"/>
          </w:rPr>
          <w:t>Dt 18.9–11</w:t>
        </w:r>
      </w:hyperlink>
      <w:r>
        <w:t xml:space="preserve">) et par le roi lui-même (voir </w:t>
      </w:r>
      <w:hyperlink r:id="rId13909">
        <w:r>
          <w:rPr>
            <w:color w:val="0000EE"/>
            <w:u w:val="single"/>
          </w:rPr>
          <w:t>1S 28.3, 9</w:t>
        </w:r>
      </w:hyperlink>
      <w:r>
        <w:t>). Il semble que les personnes dans le monde souterrain, bien que séparés des vivants, étaient censés être familiers avec les affaires des hommes.</w:t>
      </w:r>
    </w:p>
    <w:p>
      <w:r/>
      <w:r>
        <w:t>Le séjour des morts est à peu près équivalent au mot grec hardes qui est souvent trouvé dans le Nouveau Testament et qui décrit également le lieu des morts.</w:t>
      </w:r>
    </w:p>
    <w:p>
      <w:r/>
      <w:r>
        <w:rPr>
          <w:i/>
        </w:rPr>
        <w:t>Voir aussi</w:t>
      </w:r>
      <w:r>
        <w:t xml:space="preserve"> </w:t>
      </w:r>
      <w:r>
        <w:t>Morts, Séjour des</w:t>
      </w:r>
      <w:r>
        <w:t xml:space="preserve"> ; </w:t>
      </w:r>
      <w:r>
        <w:t>Mort</w:t>
      </w:r>
      <w:r>
        <w:t xml:space="preserve"> ; </w:t>
      </w:r>
      <w:r>
        <w:t>Hadès</w:t>
      </w:r>
      <w:r>
        <w:t xml:space="preserve"> ; </w:t>
      </w:r>
      <w:r>
        <w:t>Enfer</w:t>
      </w:r>
      <w:r>
        <w:t xml:space="preserve"> ; </w:t>
      </w:r>
      <w:r>
        <w:t>État intermédiaire</w:t>
      </w:r>
      <w:r>
        <w:t>.</w:t>
      </w:r>
      <w:r/>
      <w:r/>
    </w:p>
    <w:p>
      <w:r/>
    </w:p>
    <w:p>
      <w:pPr>
        <w:pStyle w:val="Heading2"/>
      </w:pPr>
      <w:r>
        <w:t>Sichem (Lieu)</w:t>
      </w:r>
      <w:r/>
    </w:p>
    <w:p>
      <w:r/>
      <w:r>
        <w:t>Ville située au centre de la Palestine occidentale, près de la ligne de partage des eaux qui sépare celles s'écoulant vers le Jourdain de celles descendant vers la Méditerranée. Le site se trouve à 65 km au nord de Jérusalem, à l'entrée est du passage entre le mont Ébal et le mont Garizim. L'ancienne ville se dressait sur la pente sud-est inférieure ou l'épaule du mont Ébal, d'où provient le sens du nom (Sichem = épaule). Samarie, qui deviendra plus tard la capitale d'Israël, se trouvait à environ 13 km au nord-ouest. Bien que stratégiquement située (la ville contrôlait toutes les routes à travers la région montagneuse centrale de la Palestine) elle ne disposait pas de défenses naturelles et nécessitait d'importantes fortifications.</w:t>
      </w:r>
    </w:p>
    <w:p>
      <w:pPr>
        <w:pStyle w:val="Heading3"/>
      </w:pPr>
      <w:r>
        <w:t>Références bibliques</w:t>
      </w:r>
    </w:p>
    <w:p>
      <w:r/>
      <w:r>
        <w:t>Sichem apparaît d'abord dans la Bible comme le premier campement d'Abram après son entrée en Canaan depuis la Mésopotamie. C'est là que Dieu lui promet le pays de Canaan, et c'est là qu'Abram construit son premier autel dans le pays (</w:t>
      </w:r>
      <w:hyperlink r:id="rId10329">
        <w:r>
          <w:rPr>
            <w:color w:val="0000EE"/>
            <w:u w:val="single"/>
          </w:rPr>
          <w:t>Gn 12.6–7</w:t>
        </w:r>
      </w:hyperlink>
      <w:r>
        <w:t>). Après le séjour de vingt ans de Jacob dans le nord de la Mésopotamie à Paddan-Aram, il retourne à Sichem et achète une parcelle de terre. À ce moment-là, le lieu était déjà une ville fortifiée avec une porte (</w:t>
      </w:r>
      <w:hyperlink r:id="rId13910">
        <w:r>
          <w:rPr>
            <w:color w:val="0000EE"/>
            <w:u w:val="single"/>
          </w:rPr>
          <w:t>34.20, 24</w:t>
        </w:r>
      </w:hyperlink>
      <w:r>
        <w:t>). Après la souillure de leur sœur Dina, Siméon et Lévi massacreront la population masculine de Sichem par vengeance. Des années plus tard, lorsque la famille patriarcale vivait dans la région d'Hébron, Joseph ira à Sichem pour chercher ses frères (</w:t>
      </w:r>
      <w:hyperlink r:id="rId13911">
        <w:r>
          <w:rPr>
            <w:color w:val="0000EE"/>
            <w:u w:val="single"/>
          </w:rPr>
          <w:t>37.12–14</w:t>
        </w:r>
      </w:hyperlink>
      <w:r>
        <w:t>).</w:t>
      </w:r>
    </w:p>
    <w:p>
      <w:r/>
      <w:r>
        <w:t>Après la Conquête, la cérémonie de bénédiction et de malédiction antiphonale sur les monts Garizim et Ébal sera accomplie dans les environs de Sichem (</w:t>
      </w:r>
      <w:hyperlink r:id="rId566">
        <w:r>
          <w:rPr>
            <w:color w:val="0000EE"/>
            <w:u w:val="single"/>
          </w:rPr>
          <w:t>Jos 8.30–35</w:t>
        </w:r>
      </w:hyperlink>
      <w:r>
        <w:t>). Lors de la division et du peuplement du pays, Sichem deviendra l'une des villes de refuge (</w:t>
      </w:r>
      <w:hyperlink r:id="rId13912">
        <w:r>
          <w:rPr>
            <w:color w:val="0000EE"/>
            <w:u w:val="single"/>
          </w:rPr>
          <w:t>20.7</w:t>
        </w:r>
      </w:hyperlink>
      <w:r>
        <w:t xml:space="preserve">; </w:t>
      </w:r>
      <w:hyperlink r:id="rId13913">
        <w:r>
          <w:rPr>
            <w:color w:val="0000EE"/>
            <w:u w:val="single"/>
          </w:rPr>
          <w:t>21.21</w:t>
        </w:r>
      </w:hyperlink>
      <w:r>
        <w:t>) et l'une des quarante-huit villes lévitiques (</w:t>
      </w:r>
      <w:hyperlink r:id="rId13913">
        <w:r>
          <w:rPr>
            <w:color w:val="0000EE"/>
            <w:u w:val="single"/>
          </w:rPr>
          <w:t>21.21</w:t>
        </w:r>
      </w:hyperlink>
      <w:r>
        <w:t>). C'est là que Josué prononcera son discours d'adieu (</w:t>
      </w:r>
      <w:hyperlink r:id="rId13914">
        <w:r>
          <w:rPr>
            <w:color w:val="0000EE"/>
            <w:u w:val="single"/>
          </w:rPr>
          <w:t>24.1, 25</w:t>
        </w:r>
      </w:hyperlink>
      <w:r>
        <w:t xml:space="preserve">), et les ossements de Joseph seront enterrés sur le terrain que Jacob y avait acheté (v. </w:t>
      </w:r>
      <w:hyperlink r:id="rId1285">
        <w:r>
          <w:rPr>
            <w:color w:val="0000EE"/>
            <w:u w:val="single"/>
          </w:rPr>
          <w:t>32</w:t>
        </w:r>
      </w:hyperlink>
      <w:r>
        <w:t>).</w:t>
      </w:r>
    </w:p>
    <w:p>
      <w:r/>
      <w:r>
        <w:t>Durant les jours troublés des juges, Abimélec, le fils de Gédéon, s'y proclamera roi d'Israël, d'abord avec le soutien des habitants. Cependant, une révolte ultérieure contre lui entraînera la destruction de la ville (</w:t>
      </w:r>
      <w:hyperlink r:id="rId13915">
        <w:r>
          <w:rPr>
            <w:color w:val="0000EE"/>
            <w:u w:val="single"/>
          </w:rPr>
          <w:t>Jg 9.1–7, 23–57</w:t>
        </w:r>
      </w:hyperlink>
      <w:r>
        <w:t>). Roboam y sera couronné juste avant la division du royaume (</w:t>
      </w:r>
      <w:hyperlink r:id="rId13916">
        <w:r>
          <w:rPr>
            <w:color w:val="0000EE"/>
            <w:u w:val="single"/>
          </w:rPr>
          <w:t>1R 12.1</w:t>
        </w:r>
      </w:hyperlink>
      <w:r>
        <w:t>), et Jéroboam, premier roi du royaume du nord, reconstruira la ville pour en faire la première capitale du royaume.</w:t>
      </w:r>
    </w:p>
    <w:p>
      <w:pPr>
        <w:pStyle w:val="Heading3"/>
      </w:pPr>
      <w:r>
        <w:t>Histoire</w:t>
      </w:r>
    </w:p>
    <w:p>
      <w:r/>
      <w:r>
        <w:t>Les fouilles révèlent que le premier établissement sur le site remonte au 4e millénaire av. J.‑C. Toutefois, le premier établissement significatif aura lieu pendant la première moitié du deuxième millénaire et était l'œuvre des Amoréens ou des Hyksos. Les Hyksos ont entouré la ville d'un immense remblai incliné d'environ 25 m de large et 6 m de haut, sur lequel ils construiront un mur de briques. Il y avait une porte à deux entrées du côté de l'orient et une porte à trois entrées du côté nord-ouest. Sur l'acropole, ils construiront ce qui a été interprété comme un temple forteresse, qui a été reconstruit plusieurs fois et sera détruit définitivement par les Égyptiens vers 1 550 av. J.‑C.</w:t>
      </w:r>
    </w:p>
    <w:p>
      <w:r/>
      <w:r>
        <w:t>Environ un siècle plus tard, les Cananéens reconstruiront Sichem à une plus petite échelle. Un nouveau temple forteresse sera construit sur les ruines de l'ancien et mesurait 15 m de large et 12,5 m de profondeur, avec une entrée sur le côté long. Il avait trois pierres sacrées dressées à côté d'un autel dans la cour ouverte. Ce temple est considéré comme la maison de Baal-Berith détruite par Abimélec vers 1150 av. J.‑C. (</w:t>
      </w:r>
      <w:hyperlink r:id="rId13917">
        <w:r>
          <w:rPr>
            <w:color w:val="0000EE"/>
            <w:u w:val="single"/>
          </w:rPr>
          <w:t>Jg 9.3–4, 46</w:t>
        </w:r>
      </w:hyperlink>
      <w:r>
        <w:t>), et sa zone sacrée ne sera jamais reconstruite. Avant cela, cependant, il n'y a aucune preuve archéologique de destruction pendant environ 300 ans, ce qui confirme l'indication biblique que les Hébreux n'ont pas pris la ville au moment de la Conquête et que les habitants vivaient paisiblement parmi les Hébreux.</w:t>
      </w:r>
    </w:p>
    <w:p>
      <w:r/>
      <w:r>
        <w:t>De toute évidence, Salomon a reconstruit Sichem pour en faire une capitale provinciale, mais elle subira une grande destruction à la fin du 10e siècle, sans doute aux mains de Schischak d'Égypte lors de son invasion de la Palestine en 926 av. J.‑C. (</w:t>
      </w:r>
      <w:hyperlink r:id="rId13089">
        <w:r>
          <w:rPr>
            <w:color w:val="0000EE"/>
            <w:u w:val="single"/>
          </w:rPr>
          <w:t>1R 14.25</w:t>
        </w:r>
      </w:hyperlink>
      <w:r>
        <w:t>). Peu de temps après, Jéroboam 1er renforcera la ville pour en faire la capitale du royaume d'Israël. Lui, ou un de ses successeurs, construira un entrepôt gouvernemental sur les ruines du temple. Le Sichem israélite sera rasé par le roi assyrien Salmanasar V en 724 av. J.‑C., juste avant la destruction de Samarie. La ville restera quasiment inhabitée pendant environ 400 ans.</w:t>
      </w:r>
    </w:p>
    <w:p>
      <w:r/>
      <w:r>
        <w:t>Au 4e siècle, Alexandre le Grand établira un camp sur le site pour ses soldats. Par la suite, les Samaritains quitteront Samarie et s'y installeront. Ils construiront leur temple sur le mont Garizim. Jean Hyrcan a probablement détruit Sichem pour la dernière fois en 128 av. J.‑C. Son opposition violente aux Samaritains a entraîné la destruction de leur temple sur le mont Garizim et de la Samarie en même temps.</w:t>
      </w:r>
      <w:r/>
      <w:r/>
    </w:p>
    <w:p>
      <w:r/>
    </w:p>
    <w:p>
      <w:pPr>
        <w:pStyle w:val="Heading2"/>
      </w:pPr>
      <w:r>
        <w:t>Sidon (Lieu), Sidonien</w:t>
      </w:r>
      <w:r/>
    </w:p>
    <w:p>
      <w:r/>
      <w:r>
        <w:t>Ville côtière située entre Beyrouth et Tyr sur la côte phénicienne. Saida, la ville actuelle, n'est pas une continuation directe de l'ancienne ville. Il s'agit d'un développement de l'époque post-croisades. Les noms Sidon et Sidonien apparaissent trente-huit fois dans l'Ancien Testament, et Sidon apparaît douze dans le Nouveau Testament.</w:t>
      </w:r>
    </w:p>
    <w:p>
      <w:r/>
      <w:r>
        <w:t>La « table des nations » (</w:t>
      </w:r>
      <w:hyperlink r:id="rId4483">
        <w:r>
          <w:rPr>
            <w:color w:val="0000EE"/>
            <w:u w:val="single"/>
          </w:rPr>
          <w:t>Gn 10</w:t>
        </w:r>
      </w:hyperlink>
      <w:r>
        <w:t>) permet de dater Byblos (Guebal, Jebeil), Tyr et Sidon. Il nomme Sidon comme le fils aîné de Canaan, et Canaan était un fils de Cham. Le territoire des Cananéens s'étendait de Sidon à Gaza et jusqu'aux Villes de la Plaine à l'orient.</w:t>
      </w:r>
    </w:p>
    <w:p>
      <w:r/>
      <w:r>
        <w:t xml:space="preserve">Sidon se trouve à 35 km au nord de Tyr. Les deux villes sont souvent associées (voir par exemple </w:t>
      </w:r>
      <w:hyperlink r:id="rId13918">
        <w:r>
          <w:rPr>
            <w:color w:val="0000EE"/>
            <w:u w:val="single"/>
          </w:rPr>
          <w:t>Es 23.1–2</w:t>
        </w:r>
      </w:hyperlink>
      <w:r>
        <w:t xml:space="preserve"> ; </w:t>
      </w:r>
      <w:hyperlink r:id="rId2178">
        <w:r>
          <w:rPr>
            <w:color w:val="0000EE"/>
            <w:u w:val="single"/>
          </w:rPr>
          <w:t>Jr 47.4</w:t>
        </w:r>
      </w:hyperlink>
      <w:r>
        <w:t xml:space="preserve"> ; </w:t>
      </w:r>
      <w:hyperlink r:id="rId1917">
        <w:r>
          <w:rPr>
            <w:color w:val="0000EE"/>
            <w:u w:val="single"/>
          </w:rPr>
          <w:t>Mt 11.21–22</w:t>
        </w:r>
      </w:hyperlink>
      <w:r>
        <w:t>). Les deux villes étaient très axées sur le commerce et l'industrie. Sidon était construite sur un promontoire qui s'avançait dans la mer vers le sud-ouest. Elle avait deux ports, celui du nord ayant des ports intérieurs et extérieurs. Sidon était également un centre de fabrication de la teinture pourpre fabriquée à partir du mollusque Murex.</w:t>
      </w:r>
    </w:p>
    <w:p>
      <w:r/>
      <w:r>
        <w:t xml:space="preserve">La Bible mentionne Sidon plusieurs fois en lien avec la conquête de la Palestine. Josué a vaincu Jabin, roi de Hatsor, et a poursuivi l'ennemi jusqu'à « </w:t>
      </w:r>
      <w:r>
        <w:t>Sidon la grande</w:t>
      </w:r>
      <w:r>
        <w:t xml:space="preserve"> » (</w:t>
      </w:r>
      <w:hyperlink r:id="rId7452">
        <w:r>
          <w:rPr>
            <w:color w:val="0000EE"/>
            <w:u w:val="single"/>
          </w:rPr>
          <w:t>Jos 11.8</w:t>
        </w:r>
      </w:hyperlink>
      <w:r>
        <w:t xml:space="preserve">). Josué a également déclaré que le territoire d'Israël comprenait tout le Liban, incluant « </w:t>
      </w:r>
      <w:r>
        <w:t>tous les Sidoniens</w:t>
      </w:r>
      <w:r>
        <w:t xml:space="preserve"> » (</w:t>
      </w:r>
      <w:hyperlink r:id="rId7453">
        <w:r>
          <w:rPr>
            <w:color w:val="0000EE"/>
            <w:u w:val="single"/>
          </w:rPr>
          <w:t>Jos 13.4–6</w:t>
        </w:r>
      </w:hyperlink>
      <w:r>
        <w:t>). La répartition tribale d'Aser s'étendait aussi loin au nord que « Sidon la grande » (</w:t>
      </w:r>
      <w:hyperlink r:id="rId6390">
        <w:r>
          <w:rPr>
            <w:color w:val="0000EE"/>
            <w:u w:val="single"/>
          </w:rPr>
          <w:t>Jos 19.28</w:t>
        </w:r>
      </w:hyperlink>
      <w:r>
        <w:t>). Aser n'a cependant pas chassé les habitants de Sidon (</w:t>
      </w:r>
      <w:hyperlink r:id="rId117">
        <w:r>
          <w:rPr>
            <w:color w:val="0000EE"/>
            <w:u w:val="single"/>
          </w:rPr>
          <w:t>Jg 1.31</w:t>
        </w:r>
      </w:hyperlink>
      <w:r>
        <w:t>).</w:t>
      </w:r>
    </w:p>
    <w:p>
      <w:r/>
      <w:r>
        <w:t>Les dieux de Sidon figurent parmi les divinités étrangères qu'Israël a fini par servir (</w:t>
      </w:r>
      <w:hyperlink r:id="rId719">
        <w:r>
          <w:rPr>
            <w:color w:val="0000EE"/>
            <w:u w:val="single"/>
          </w:rPr>
          <w:t>Jg 10.6</w:t>
        </w:r>
      </w:hyperlink>
      <w:r>
        <w:t>) ; le recensement de David incluait Sidon et Tyr (</w:t>
      </w:r>
      <w:hyperlink r:id="rId13919">
        <w:r>
          <w:rPr>
            <w:color w:val="0000EE"/>
            <w:u w:val="single"/>
          </w:rPr>
          <w:t>2S 24.6–7</w:t>
        </w:r>
      </w:hyperlink>
      <w:r>
        <w:t>). Pendant une famine à l'époque d'Achab, le prophète Élie a été envoyé chez une veuve à Sarepta, à Sidon (</w:t>
      </w:r>
      <w:hyperlink r:id="rId13920">
        <w:r>
          <w:rPr>
            <w:color w:val="0000EE"/>
            <w:u w:val="single"/>
          </w:rPr>
          <w:t>1R 17.9</w:t>
        </w:r>
      </w:hyperlink>
      <w:r>
        <w:t xml:space="preserve"> ; </w:t>
      </w:r>
      <w:hyperlink r:id="rId8361">
        <w:r>
          <w:rPr>
            <w:color w:val="0000EE"/>
            <w:u w:val="single"/>
          </w:rPr>
          <w:t>Lc 4.25–26</w:t>
        </w:r>
      </w:hyperlink>
      <w:r>
        <w:t>). Sidon est souvent mentionnée par les prophètes hébreux (</w:t>
      </w:r>
      <w:hyperlink r:id="rId13921">
        <w:r>
          <w:rPr>
            <w:color w:val="0000EE"/>
            <w:u w:val="single"/>
          </w:rPr>
          <w:t>Es 23.2, 4, 12</w:t>
        </w:r>
      </w:hyperlink>
      <w:r>
        <w:t xml:space="preserve"> ; </w:t>
      </w:r>
      <w:hyperlink r:id="rId13922">
        <w:r>
          <w:rPr>
            <w:color w:val="0000EE"/>
            <w:u w:val="single"/>
          </w:rPr>
          <w:t>Jr 25.22</w:t>
        </w:r>
      </w:hyperlink>
      <w:r>
        <w:t xml:space="preserve"> ; </w:t>
      </w:r>
      <w:hyperlink r:id="rId13923">
        <w:r>
          <w:rPr>
            <w:color w:val="0000EE"/>
            <w:u w:val="single"/>
          </w:rPr>
          <w:t>27.3</w:t>
        </w:r>
      </w:hyperlink>
      <w:r>
        <w:t xml:space="preserve"> ; </w:t>
      </w:r>
      <w:hyperlink r:id="rId2178">
        <w:r>
          <w:rPr>
            <w:color w:val="0000EE"/>
            <w:u w:val="single"/>
          </w:rPr>
          <w:t>47.4</w:t>
        </w:r>
      </w:hyperlink>
      <w:r>
        <w:t xml:space="preserve"> ; </w:t>
      </w:r>
      <w:hyperlink r:id="rId13924">
        <w:r>
          <w:rPr>
            <w:color w:val="0000EE"/>
            <w:u w:val="single"/>
          </w:rPr>
          <w:t>Ez 27.8</w:t>
        </w:r>
      </w:hyperlink>
      <w:r>
        <w:t xml:space="preserve"> ; </w:t>
      </w:r>
      <w:hyperlink r:id="rId13925">
        <w:r>
          <w:rPr>
            <w:color w:val="0000EE"/>
            <w:u w:val="single"/>
          </w:rPr>
          <w:t>Jl 3.4</w:t>
        </w:r>
      </w:hyperlink>
      <w:r>
        <w:t xml:space="preserve"> ; </w:t>
      </w:r>
      <w:hyperlink r:id="rId6194">
        <w:r>
          <w:rPr>
            <w:color w:val="0000EE"/>
            <w:u w:val="single"/>
          </w:rPr>
          <w:t>Za 9.2</w:t>
        </w:r>
      </w:hyperlink>
      <w:r>
        <w:t>).</w:t>
      </w:r>
    </w:p>
    <w:p>
      <w:r/>
      <w:r>
        <w:t>Dans le Nouveau Testament, Jésus a guéri la fille d'une femme de cette région (</w:t>
      </w:r>
      <w:hyperlink r:id="rId9769">
        <w:r>
          <w:rPr>
            <w:color w:val="0000EE"/>
            <w:u w:val="single"/>
          </w:rPr>
          <w:t>Mt 15.21–28</w:t>
        </w:r>
      </w:hyperlink>
      <w:r>
        <w:t>). Des gens sont venus de loin, de Tyr et de Sidon, pour entendre Jésus et être guéris par lui (</w:t>
      </w:r>
      <w:hyperlink r:id="rId9043">
        <w:r>
          <w:rPr>
            <w:color w:val="0000EE"/>
            <w:u w:val="single"/>
          </w:rPr>
          <w:t>Lc 6.17</w:t>
        </w:r>
      </w:hyperlink>
      <w:r>
        <w:t>). Lors de son voyage à Rome pour comparaître devant César, le navire s'est d'abord arrêté à Sidon. Le centurion Julius y a permis à Paul de rendre visite à des amis (</w:t>
      </w:r>
      <w:hyperlink r:id="rId8014">
        <w:r>
          <w:rPr>
            <w:color w:val="0000EE"/>
            <w:u w:val="single"/>
          </w:rPr>
          <w:t>Ac 27.3</w:t>
        </w:r>
      </w:hyperlink>
      <w:r>
        <w:t>).</w:t>
      </w:r>
      <w:r/>
      <w:r/>
    </w:p>
    <w:p>
      <w:r/>
    </w:p>
    <w:p>
      <w:pPr>
        <w:pStyle w:val="Heading2"/>
      </w:pPr>
      <w:r>
        <w:t>Sidon (Personne)</w:t>
      </w:r>
      <w:r/>
    </w:p>
    <w:p>
      <w:r/>
      <w:r>
        <w:t>Premier fils de Canaan ; Canaan était le fils de Cham et le petit-fils de Noé (</w:t>
      </w:r>
      <w:hyperlink r:id="rId13926">
        <w:r>
          <w:rPr>
            <w:color w:val="0000EE"/>
            <w:u w:val="single"/>
          </w:rPr>
          <w:t>Gn 10.15, 19</w:t>
        </w:r>
      </w:hyperlink>
      <w:r>
        <w:t xml:space="preserve"> ; </w:t>
      </w:r>
      <w:hyperlink r:id="rId6445">
        <w:r>
          <w:rPr>
            <w:color w:val="0000EE"/>
            <w:u w:val="single"/>
          </w:rPr>
          <w:t>1Ch 1.13</w:t>
        </w:r>
      </w:hyperlink>
      <w:r>
        <w:t>). Sidon a fondé une ville (portant son nom) qui a établi la frontière nord du pays de Canaan et a ensuite joué un rôle dominant dans l'histoire palestinienne.</w:t>
      </w:r>
    </w:p>
    <w:p>
      <w:r/>
      <w:r>
        <w:rPr>
          <w:i/>
        </w:rPr>
        <w:t>Voir aussi</w:t>
      </w:r>
      <w:r>
        <w:t xml:space="preserve"> </w:t>
      </w:r>
      <w:r>
        <w:t>Sidon (Lieu), Sidonien</w:t>
      </w:r>
      <w:r>
        <w:t>.</w:t>
      </w:r>
      <w:r/>
      <w:r/>
    </w:p>
    <w:p>
      <w:r/>
    </w:p>
    <w:p>
      <w:pPr>
        <w:pStyle w:val="Heading2"/>
      </w:pPr>
      <w:r>
        <w:t>siècles</w:t>
      </w:r>
      <w:r/>
    </w:p>
    <w:p>
      <w:r/>
      <w:r>
        <w:t xml:space="preserve">Une longue période de temps dont la durée est indéfinie. Les siècles, passés et futurs, constituent la totalité du temps. Dieu existait et avait déjà choisi dans sa sagesse ce qu'il allait faire « </w:t>
      </w:r>
      <w:r>
        <w:t>avant les siècles</w:t>
      </w:r>
      <w:r>
        <w:t xml:space="preserve"> » (</w:t>
      </w:r>
      <w:hyperlink r:id="rId10503">
        <w:r>
          <w:rPr>
            <w:color w:val="0000EE"/>
            <w:u w:val="single"/>
          </w:rPr>
          <w:t>1Co 2.7</w:t>
        </w:r>
      </w:hyperlink>
      <w:r>
        <w:t>). Il est le roi des siècles (</w:t>
      </w:r>
      <w:hyperlink r:id="rId9196">
        <w:r>
          <w:rPr>
            <w:color w:val="0000EE"/>
            <w:u w:val="single"/>
          </w:rPr>
          <w:t>1Tm 1.17</w:t>
        </w:r>
      </w:hyperlink>
      <w:r>
        <w:t>) et son dessein est éternel (</w:t>
      </w:r>
      <w:hyperlink r:id="rId13927">
        <w:r>
          <w:rPr>
            <w:color w:val="0000EE"/>
            <w:u w:val="single"/>
          </w:rPr>
          <w:t>Ep 3.11</w:t>
        </w:r>
      </w:hyperlink>
      <w:r>
        <w:t xml:space="preserve">). La Bible parle aussi de ce que Dieu fera à la fin du monde (littéralement «à la fin des siècles », voir aussi </w:t>
      </w:r>
      <w:hyperlink r:id="rId13928">
        <w:r>
          <w:rPr>
            <w:color w:val="0000EE"/>
            <w:u w:val="single"/>
          </w:rPr>
          <w:t>Mt 13.39</w:t>
        </w:r>
      </w:hyperlink>
      <w:r>
        <w:t>–</w:t>
      </w:r>
      <w:hyperlink r:id="rId13928">
        <w:r>
          <w:rPr>
            <w:color w:val="0000EE"/>
            <w:u w:val="single"/>
          </w:rPr>
          <w:t>49</w:t>
        </w:r>
      </w:hyperlink>
      <w:r>
        <w:t>). Ce concept est parfois rendu « âges » dans quelques psaumes et passages prophétiques.</w:t>
      </w:r>
    </w:p>
    <w:p>
      <w:r/>
      <w:r>
        <w:t xml:space="preserve">Comme les écrits juifs d'entre les deux testaments, le Nouveau Testament (NT) contraste deux périodes distinctes de l'Histoire : le « </w:t>
      </w:r>
      <w:r>
        <w:t>présent siècle mauvais</w:t>
      </w:r>
      <w:r>
        <w:t xml:space="preserve"> » (</w:t>
      </w:r>
      <w:hyperlink r:id="rId5055">
        <w:r>
          <w:rPr>
            <w:color w:val="0000EE"/>
            <w:u w:val="single"/>
          </w:rPr>
          <w:t>Ga 1.4</w:t>
        </w:r>
      </w:hyperlink>
      <w:r>
        <w:t xml:space="preserve">) et « </w:t>
      </w:r>
      <w:r>
        <w:t>le siècle à venir</w:t>
      </w:r>
      <w:r>
        <w:t xml:space="preserve"> ». Ce sera le moment où Dieu jugera le mal et restaurera la justice, et où son peuple recevra toutes les bénédictions de leur héritage (</w:t>
      </w:r>
      <w:hyperlink r:id="rId8696">
        <w:r>
          <w:rPr>
            <w:color w:val="0000EE"/>
            <w:u w:val="single"/>
          </w:rPr>
          <w:t>Mc 10.30</w:t>
        </w:r>
      </w:hyperlink>
      <w:r>
        <w:t xml:space="preserve">). Cependant, nous vivons déjà « à </w:t>
      </w:r>
      <w:r>
        <w:t>la fin des siècles</w:t>
      </w:r>
      <w:r>
        <w:t xml:space="preserve"> » (</w:t>
      </w:r>
      <w:hyperlink r:id="rId4559">
        <w:r>
          <w:rPr>
            <w:color w:val="0000EE"/>
            <w:u w:val="single"/>
          </w:rPr>
          <w:t>1Co 10.11</w:t>
        </w:r>
      </w:hyperlink>
      <w:r>
        <w:t>). Ceux qui découvrent Christ, ont goûté « les puissances du siècle à venir » (</w:t>
      </w:r>
      <w:hyperlink r:id="rId5054">
        <w:r>
          <w:rPr>
            <w:color w:val="0000EE"/>
            <w:u w:val="single"/>
          </w:rPr>
          <w:t>Hé 6.5</w:t>
        </w:r>
      </w:hyperlink>
      <w:r>
        <w:t>). Ceci signifie que certaines bénédictions du siècle à venir peuvent déjà faire un peu partie de notre expérience maintenant.</w:t>
      </w:r>
    </w:p>
    <w:p>
      <w:r/>
      <w:r>
        <w:t>Deux autres mots sont parfois utilisés avec « siècles ». Le premier est le mot « génération ». Paul prie qu'à Dieu soit la gloire « dans toutes les générations, aux siècles des siècles » (</w:t>
      </w:r>
      <w:hyperlink r:id="rId13929">
        <w:r>
          <w:rPr>
            <w:color w:val="0000EE"/>
            <w:u w:val="single"/>
          </w:rPr>
          <w:t>Ep 3.21</w:t>
        </w:r>
      </w:hyperlink>
      <w:r>
        <w:t xml:space="preserve"> ; voir aussi </w:t>
      </w:r>
      <w:hyperlink r:id="rId10528">
        <w:r>
          <w:rPr>
            <w:color w:val="0000EE"/>
            <w:u w:val="single"/>
          </w:rPr>
          <w:t>Col 1.26</w:t>
        </w:r>
      </w:hyperlink>
      <w:r>
        <w:t>). Certains ont voulu utiliser les mots « générations » et « siècles » comme indication d'âges différents de l'histoire biblique. Ces « dispensations » seraient des périodes pendant lesquelles Dieu sauverait différemment. L'usage biblique de ces mots ne permet pas de les utiliser ainsi.</w:t>
      </w:r>
    </w:p>
    <w:p>
      <w:r/>
      <w:r>
        <w:t xml:space="preserve">Le second mot qui est souvent associé au concept de temps est le « monde ». </w:t>
      </w:r>
      <w:hyperlink r:id="rId13930">
        <w:r>
          <w:rPr>
            <w:color w:val="0000EE"/>
            <w:u w:val="single"/>
          </w:rPr>
          <w:t>Éphésiens 2.2</w:t>
        </w:r>
      </w:hyperlink>
      <w:r>
        <w:t xml:space="preserve"> décrit les voies de l'humanité pécheresse comme « selon le train de ce monde » en soulignant le contraste entre ce que les Éphésiens étaient avant leur conversion et ce qu'ils sont maintenant qu'ils ont cru en Christ. </w:t>
      </w:r>
      <w:hyperlink r:id="rId6280">
        <w:r>
          <w:rPr>
            <w:color w:val="0000EE"/>
            <w:u w:val="single"/>
          </w:rPr>
          <w:t>Hébreux 1.2</w:t>
        </w:r>
      </w:hyperlink>
      <w:r>
        <w:t xml:space="preserve"> mentionne la création du monde par Dieu et le fait qu'il a parlé à travers Christ « ces derniers temps ». </w:t>
      </w:r>
    </w:p>
    <w:p>
      <w:r/>
      <w:r>
        <w:rPr>
          <w:i/>
        </w:rPr>
        <w:t>Voir</w:t>
      </w:r>
      <w:r>
        <w:t xml:space="preserve"> </w:t>
      </w:r>
      <w:r>
        <w:t>éternité</w:t>
      </w:r>
      <w:r>
        <w:t>.</w:t>
      </w:r>
      <w:r/>
      <w:r/>
    </w:p>
    <w:p>
      <w:r/>
    </w:p>
    <w:p>
      <w:pPr>
        <w:pStyle w:val="Heading2"/>
      </w:pPr>
      <w:r>
        <w:t>Signe</w:t>
      </w:r>
      <w:r/>
    </w:p>
    <w:p>
      <w:r/>
      <w:r>
        <w:t>Événement visible exprimant ou annonçant un sens au-delà de ce qui est normalement perçu dans l'apparence extérieure de cet événement.</w:t>
      </w:r>
    </w:p>
    <w:p>
      <w:pPr>
        <w:pStyle w:val="Heading3"/>
      </w:pPr>
      <w:r>
        <w:t>Dans l'Ancien Testament</w:t>
      </w:r>
    </w:p>
    <w:p>
      <w:r/>
      <w:r>
        <w:t>Dans quelques cas dans l'Ancien Testament (AT), le terme « signe » désigne l'observation des corps célestes dans un sens astrologique (</w:t>
      </w:r>
      <w:hyperlink r:id="rId13931">
        <w:r>
          <w:rPr>
            <w:color w:val="0000EE"/>
            <w:u w:val="single"/>
          </w:rPr>
          <w:t>Jr 10.2</w:t>
        </w:r>
      </w:hyperlink>
      <w:r>
        <w:t xml:space="preserve">, comp. avec </w:t>
      </w:r>
      <w:hyperlink r:id="rId2673">
        <w:r>
          <w:rPr>
            <w:color w:val="0000EE"/>
            <w:u w:val="single"/>
          </w:rPr>
          <w:t>Gn 1.14</w:t>
        </w:r>
      </w:hyperlink>
      <w:r>
        <w:t>). Il peut aussi désigner des « miracles et des prodiges » comme la marque des actions surnaturelles de Dieu dans l'histoire du monde (</w:t>
      </w:r>
      <w:hyperlink r:id="rId13932">
        <w:r>
          <w:rPr>
            <w:color w:val="0000EE"/>
            <w:u w:val="single"/>
          </w:rPr>
          <w:t xml:space="preserve">Dt 4.34 </w:t>
        </w:r>
      </w:hyperlink>
      <w:r>
        <w:t xml:space="preserve">; </w:t>
      </w:r>
      <w:hyperlink r:id="rId13933">
        <w:r>
          <w:rPr>
            <w:color w:val="0000EE"/>
            <w:u w:val="single"/>
          </w:rPr>
          <w:t xml:space="preserve">6.22 </w:t>
        </w:r>
      </w:hyperlink>
      <w:r>
        <w:t xml:space="preserve">; </w:t>
      </w:r>
      <w:hyperlink r:id="rId13934">
        <w:r>
          <w:rPr>
            <w:color w:val="0000EE"/>
            <w:u w:val="single"/>
          </w:rPr>
          <w:t xml:space="preserve">Né 9.10 </w:t>
        </w:r>
      </w:hyperlink>
      <w:r>
        <w:t xml:space="preserve">; </w:t>
      </w:r>
      <w:hyperlink r:id="rId13935">
        <w:r>
          <w:rPr>
            <w:color w:val="0000EE"/>
            <w:u w:val="single"/>
          </w:rPr>
          <w:t xml:space="preserve">Ps 105.27 </w:t>
        </w:r>
      </w:hyperlink>
      <w:r>
        <w:t xml:space="preserve">; </w:t>
      </w:r>
      <w:hyperlink r:id="rId13936">
        <w:r>
          <w:rPr>
            <w:color w:val="0000EE"/>
            <w:u w:val="single"/>
          </w:rPr>
          <w:t>Jr 32.20</w:t>
        </w:r>
      </w:hyperlink>
      <w:r>
        <w:t>). À d'autres occasions, ce terme est utilisé comme un insigne de l'alliance mosaïque. Ainsi, le port de parties de la loi sur le poignet et le front, ainsi que l'observance du sabbat, sont considérés comme des signes de la relation entre Israël et Dieu (</w:t>
      </w:r>
      <w:hyperlink r:id="rId7796">
        <w:r>
          <w:rPr>
            <w:color w:val="0000EE"/>
            <w:u w:val="single"/>
          </w:rPr>
          <w:t xml:space="preserve">Dt 6.8 </w:t>
        </w:r>
      </w:hyperlink>
      <w:r>
        <w:t xml:space="preserve">; </w:t>
      </w:r>
      <w:hyperlink r:id="rId13937">
        <w:r>
          <w:rPr>
            <w:color w:val="0000EE"/>
            <w:u w:val="single"/>
          </w:rPr>
          <w:t xml:space="preserve">11.18 </w:t>
        </w:r>
      </w:hyperlink>
      <w:r>
        <w:t xml:space="preserve">; </w:t>
      </w:r>
      <w:hyperlink r:id="rId13938">
        <w:r>
          <w:rPr>
            <w:color w:val="0000EE"/>
            <w:u w:val="single"/>
          </w:rPr>
          <w:t>Ez 20.12, 20</w:t>
        </w:r>
      </w:hyperlink>
      <w:r>
        <w:t>).</w:t>
      </w:r>
    </w:p>
    <w:p>
      <w:r/>
      <w:r>
        <w:t>Les usages les plus nombreux et significatifs du terme « signe » apparaissent en relation avec le ministère prophétique de l'AT. À commencer par Moïse, les signes sont utilisés pour confirmer que Dieu a parlé à un prophète. Ainsi, lorsque Moïse reçoit le message de délivrance qu'il doit apporter aux enfants d'Israël en Égypte et au pharaon, il reçoit également deux signes : son bâton est transformé en serpent et sa main est atteinte de lèpre puis guérie (</w:t>
      </w:r>
      <w:hyperlink r:id="rId13939">
        <w:r>
          <w:rPr>
            <w:color w:val="0000EE"/>
            <w:u w:val="single"/>
          </w:rPr>
          <w:t>Ex 4.1–8</w:t>
        </w:r>
      </w:hyperlink>
      <w:r>
        <w:t>).</w:t>
      </w:r>
    </w:p>
    <w:p>
      <w:r/>
      <w:r>
        <w:t>Les signes et prodiges étaient également utilisés par de faux prophètes. Après la réalisation d'un signe, les dirigeants d'Israël devaient examiner le message du prophète pour voir s'il éloignait le peuple du véritable culte de Dieu. Si c'était le cas, le prophète qui avait donné le signe devait être mis à mort (</w:t>
      </w:r>
      <w:hyperlink r:id="rId13940">
        <w:r>
          <w:rPr>
            <w:color w:val="0000EE"/>
            <w:u w:val="single"/>
          </w:rPr>
          <w:t>Dt 13.1–5</w:t>
        </w:r>
      </w:hyperlink>
      <w:r>
        <w:t>).</w:t>
      </w:r>
    </w:p>
    <w:p>
      <w:r/>
      <w:r>
        <w:t>La nature du signe varie ; elle est souvent miraculeuse. Certains des grands miracles de l'AT sont des signes prophétiques. Par exemple, l'ombre qui recule sur les marches du palais d'Ézéchias pour confirmer la prédiction d'Ésaïe que le roi se remettra de sa maladie mortelle (</w:t>
      </w:r>
      <w:hyperlink r:id="rId13941">
        <w:r>
          <w:rPr>
            <w:color w:val="0000EE"/>
            <w:u w:val="single"/>
          </w:rPr>
          <w:t xml:space="preserve">2R 20.8–9 </w:t>
        </w:r>
      </w:hyperlink>
      <w:r>
        <w:t xml:space="preserve">; </w:t>
      </w:r>
      <w:hyperlink r:id="rId13942">
        <w:r>
          <w:rPr>
            <w:color w:val="0000EE"/>
            <w:u w:val="single"/>
          </w:rPr>
          <w:t>Es 38.21–22</w:t>
        </w:r>
      </w:hyperlink>
      <w:r>
        <w:t>). Souvent, le signe est strictement prédictif, et le peuple peut alors savoir si le prophète dit vrai selon que l'événement prédit se réalise ou non. Par exemple, la prédiction prophétique de la mort des deux fils d'Éli le même jour (</w:t>
      </w:r>
      <w:hyperlink r:id="rId13943">
        <w:r>
          <w:rPr>
            <w:color w:val="0000EE"/>
            <w:u w:val="single"/>
          </w:rPr>
          <w:t xml:space="preserve">1S 2.34 </w:t>
        </w:r>
      </w:hyperlink>
      <w:r>
        <w:t xml:space="preserve">; voir aussi </w:t>
      </w:r>
      <w:hyperlink r:id="rId13944">
        <w:r>
          <w:rPr>
            <w:color w:val="0000EE"/>
            <w:u w:val="single"/>
          </w:rPr>
          <w:t xml:space="preserve">14.10 </w:t>
        </w:r>
      </w:hyperlink>
      <w:r>
        <w:t xml:space="preserve">; </w:t>
      </w:r>
      <w:hyperlink r:id="rId13945">
        <w:r>
          <w:rPr>
            <w:color w:val="0000EE"/>
            <w:u w:val="single"/>
          </w:rPr>
          <w:t xml:space="preserve">2R 19.29 </w:t>
        </w:r>
      </w:hyperlink>
      <w:r>
        <w:t xml:space="preserve">; </w:t>
      </w:r>
      <w:hyperlink r:id="rId13946">
        <w:r>
          <w:rPr>
            <w:color w:val="0000EE"/>
            <w:u w:val="single"/>
          </w:rPr>
          <w:t>Es 37.30</w:t>
        </w:r>
      </w:hyperlink>
      <w:r>
        <w:t>). Parfois, le signe était soigneusement ajusté, et le destinataire devait agir à l'apparition du signe pour accomplir le message prophétique (</w:t>
      </w:r>
      <w:hyperlink r:id="rId13947">
        <w:r>
          <w:rPr>
            <w:color w:val="0000EE"/>
            <w:u w:val="single"/>
          </w:rPr>
          <w:t>1S 10.7–9</w:t>
        </w:r>
      </w:hyperlink>
      <w:r>
        <w:t>). À d'autres moments, les événements prédits étaient mis en scène dans la vie d'un prophète. Ces actions symboliques démontraient la vérité de son message. Par exemple, la nudité d'Ésaïe pendant trois ans pour démontrer le sort de ceux qui prêchaient la confiance dans le pouvoir de l'Égypte (</w:t>
      </w:r>
      <w:hyperlink r:id="rId5063">
        <w:r>
          <w:rPr>
            <w:color w:val="0000EE"/>
            <w:u w:val="single"/>
          </w:rPr>
          <w:t xml:space="preserve">Es 20.3 </w:t>
        </w:r>
      </w:hyperlink>
      <w:r>
        <w:t xml:space="preserve">; voir aussi </w:t>
      </w:r>
      <w:hyperlink r:id="rId10149">
        <w:r>
          <w:rPr>
            <w:color w:val="0000EE"/>
            <w:u w:val="single"/>
          </w:rPr>
          <w:t>Ez 4.3</w:t>
        </w:r>
      </w:hyperlink>
      <w:r>
        <w:t>).</w:t>
      </w:r>
    </w:p>
    <w:p>
      <w:pPr>
        <w:pStyle w:val="Heading3"/>
      </w:pPr>
      <w:r>
        <w:t>Dans le Nouveau Testament</w:t>
      </w:r>
    </w:p>
    <w:p>
      <w:r/>
      <w:r>
        <w:t>Les occurrences dans le Nouveau Testament (NT) sont très similaires à celles de l'AT. Il y a des références à des signes célestes comme indications de la fin des temps. Ainsi, ceux qui ont une connaissance spéciale comprendront que la fin approche (</w:t>
      </w:r>
      <w:hyperlink r:id="rId13948">
        <w:r>
          <w:rPr>
            <w:color w:val="0000EE"/>
            <w:u w:val="single"/>
          </w:rPr>
          <w:t xml:space="preserve">Mt 24.3, 30 </w:t>
        </w:r>
      </w:hyperlink>
      <w:r>
        <w:t xml:space="preserve">; </w:t>
      </w:r>
      <w:hyperlink r:id="rId13949">
        <w:r>
          <w:rPr>
            <w:color w:val="0000EE"/>
            <w:u w:val="single"/>
          </w:rPr>
          <w:t xml:space="preserve">Mc 13.4, 22 </w:t>
        </w:r>
      </w:hyperlink>
      <w:r>
        <w:t xml:space="preserve">; </w:t>
      </w:r>
      <w:hyperlink r:id="rId13950">
        <w:r>
          <w:rPr>
            <w:color w:val="0000EE"/>
            <w:u w:val="single"/>
          </w:rPr>
          <w:t>Lc 21.11, 25–26</w:t>
        </w:r>
      </w:hyperlink>
      <w:r>
        <w:t xml:space="preserve">). Ces signes apocalyptiques n'ont pas de connotations astrologiques comme dans l'AT. Dans </w:t>
      </w:r>
      <w:hyperlink r:id="rId8972">
        <w:r>
          <w:rPr>
            <w:color w:val="0000EE"/>
            <w:u w:val="single"/>
          </w:rPr>
          <w:t>Romains 4.11</w:t>
        </w:r>
      </w:hyperlink>
      <w:r>
        <w:t>, la circoncision, sceau de l'alliance entre Dieu et Israël, est également décrite comme un « signe ».</w:t>
      </w:r>
    </w:p>
    <w:p>
      <w:r/>
      <w:r>
        <w:t>Comme dans l'AT, les signes dans le NT sont des confirmations du message donné par Dieu. Ce message passe par la communauté apostolique à l'Église. Ainsi, un grand accent est mis sur la manière dont Dieu confirme le message des apôtres par leur capacité à accomplir des signes et des prodiges (</w:t>
      </w:r>
      <w:hyperlink r:id="rId660">
        <w:r>
          <w:rPr>
            <w:color w:val="0000EE"/>
            <w:u w:val="single"/>
          </w:rPr>
          <w:t>Ac 2.43</w:t>
        </w:r>
      </w:hyperlink>
      <w:r>
        <w:t xml:space="preserve"> ; </w:t>
      </w:r>
      <w:hyperlink r:id="rId13951">
        <w:r>
          <w:rPr>
            <w:color w:val="0000EE"/>
            <w:u w:val="single"/>
          </w:rPr>
          <w:t xml:space="preserve">4.30 </w:t>
        </w:r>
      </w:hyperlink>
      <w:r>
        <w:t xml:space="preserve">; </w:t>
      </w:r>
      <w:hyperlink r:id="rId12435">
        <w:r>
          <w:rPr>
            <w:color w:val="0000EE"/>
            <w:u w:val="single"/>
          </w:rPr>
          <w:t xml:space="preserve">5.12 </w:t>
        </w:r>
      </w:hyperlink>
      <w:r>
        <w:t xml:space="preserve">; </w:t>
      </w:r>
      <w:hyperlink r:id="rId11906">
        <w:r>
          <w:rPr>
            <w:color w:val="0000EE"/>
            <w:u w:val="single"/>
          </w:rPr>
          <w:t xml:space="preserve">8.13 </w:t>
        </w:r>
      </w:hyperlink>
      <w:r>
        <w:t xml:space="preserve">; </w:t>
      </w:r>
      <w:hyperlink r:id="rId13952">
        <w:r>
          <w:rPr>
            <w:color w:val="0000EE"/>
            <w:u w:val="single"/>
          </w:rPr>
          <w:t xml:space="preserve">14.3 </w:t>
        </w:r>
      </w:hyperlink>
      <w:r>
        <w:t xml:space="preserve">; </w:t>
      </w:r>
      <w:hyperlink r:id="rId6661">
        <w:r>
          <w:rPr>
            <w:color w:val="0000EE"/>
            <w:u w:val="single"/>
          </w:rPr>
          <w:t xml:space="preserve">Rm 15.19 </w:t>
        </w:r>
      </w:hyperlink>
      <w:r>
        <w:t xml:space="preserve">; </w:t>
      </w:r>
      <w:hyperlink r:id="rId13953">
        <w:r>
          <w:rPr>
            <w:color w:val="0000EE"/>
            <w:u w:val="single"/>
          </w:rPr>
          <w:t>Hé 2.4</w:t>
        </w:r>
      </w:hyperlink>
      <w:r>
        <w:t>).</w:t>
      </w:r>
    </w:p>
    <w:p>
      <w:r/>
      <w:r>
        <w:t xml:space="preserve">Dans Matthieu, Marc et Luc, les miracles de Jésus ne sont pas appelés des signes. Ce n'est que dans </w:t>
      </w:r>
      <w:hyperlink r:id="rId13058">
        <w:r>
          <w:rPr>
            <w:color w:val="0000EE"/>
            <w:u w:val="single"/>
          </w:rPr>
          <w:t>Actes 2.22</w:t>
        </w:r>
      </w:hyperlink>
      <w:r>
        <w:t xml:space="preserve"> que Pierre proclame que le message de Jésus a été attesté par les signes qu'il a accomplis. Au contraire, les miracles de Jésus sont considérés comme des actes de puissance divine et de miséricorde. Lorsque les Juifs demandent un signe, Jésus le leur refuse systématiquement ; le seul signe qu'ils recevront est le signe de Jonas (</w:t>
      </w:r>
      <w:hyperlink r:id="rId8554">
        <w:r>
          <w:rPr>
            <w:color w:val="0000EE"/>
            <w:u w:val="single"/>
          </w:rPr>
          <w:t xml:space="preserve">Mt 12.38–39 </w:t>
        </w:r>
      </w:hyperlink>
      <w:r>
        <w:t xml:space="preserve">; </w:t>
      </w:r>
      <w:hyperlink r:id="rId13398">
        <w:r>
          <w:rPr>
            <w:color w:val="0000EE"/>
            <w:u w:val="single"/>
          </w:rPr>
          <w:t xml:space="preserve">16.1 </w:t>
        </w:r>
      </w:hyperlink>
      <w:r>
        <w:t xml:space="preserve">; </w:t>
      </w:r>
      <w:hyperlink r:id="rId13954">
        <w:r>
          <w:rPr>
            <w:color w:val="0000EE"/>
            <w:u w:val="single"/>
          </w:rPr>
          <w:t xml:space="preserve">Mc 8.11–12 </w:t>
        </w:r>
      </w:hyperlink>
      <w:r>
        <w:t xml:space="preserve">; </w:t>
      </w:r>
      <w:hyperlink r:id="rId13955">
        <w:r>
          <w:rPr>
            <w:color w:val="0000EE"/>
            <w:u w:val="single"/>
          </w:rPr>
          <w:t>Lc 11.19, 30</w:t>
        </w:r>
      </w:hyperlink>
      <w:r>
        <w:t>), qui annonce la mort et la résurrection du Christ. Comme Jonas a été dans le ventre d'un grand poisson pendant trois jours et trois nuits, ainsi le Fils de l'homme sera dans le cœur de la terre pendant trois jours (</w:t>
      </w:r>
      <w:hyperlink r:id="rId2747">
        <w:r>
          <w:rPr>
            <w:color w:val="0000EE"/>
            <w:u w:val="single"/>
          </w:rPr>
          <w:t>Mt 12.40</w:t>
        </w:r>
      </w:hyperlink>
      <w:r>
        <w:t>).</w:t>
      </w:r>
    </w:p>
    <w:p>
      <w:r/>
      <w:r>
        <w:t>Dans l'Évangile de Jean, cependant, les miracles de Jésus sont dépeints sous un jour remarquablement différent et sont considérés comme des signes. En commençant par la transformation de l'eau en vin (</w:t>
      </w:r>
      <w:hyperlink r:id="rId3776">
        <w:r>
          <w:rPr>
            <w:color w:val="0000EE"/>
            <w:u w:val="single"/>
          </w:rPr>
          <w:t>Jn 2.1–11</w:t>
        </w:r>
      </w:hyperlink>
      <w:r>
        <w:t>), les miracles sont appelés signes et sont destinés à conduire ceux qui les voient à la foi (v.</w:t>
      </w:r>
      <w:hyperlink r:id="rId13956">
        <w:r>
          <w:rPr>
            <w:color w:val="0000EE"/>
            <w:u w:val="single"/>
          </w:rPr>
          <w:t xml:space="preserve"> 23</w:t>
        </w:r>
      </w:hyperlink>
      <w:r>
        <w:t>). Jésus déplore même que les gens ne croiront pas à moins de voir des signes (</w:t>
      </w:r>
      <w:hyperlink r:id="rId13957">
        <w:r>
          <w:rPr>
            <w:color w:val="0000EE"/>
            <w:u w:val="single"/>
          </w:rPr>
          <w:t>4.48</w:t>
        </w:r>
      </w:hyperlink>
      <w:r>
        <w:t>). Le but de l'Évangile de Jean est de présenter les signes de Jésus afin que ceux qui viennent à la foi puissent le faire en voyant ces signes (</w:t>
      </w:r>
      <w:hyperlink r:id="rId13958">
        <w:r>
          <w:rPr>
            <w:color w:val="0000EE"/>
            <w:u w:val="single"/>
          </w:rPr>
          <w:t>20.30</w:t>
        </w:r>
      </w:hyperlink>
      <w:r>
        <w:t>). Ceux que Jean inclut dans son Évangile sont expressément choisis parce qu'ils facilitent le développement de la vraie foi.</w:t>
      </w:r>
    </w:p>
    <w:p>
      <w:r/>
      <w:r>
        <w:t xml:space="preserve">Dans l'Évangile de Jean, les miracles de Jésus confirment son enseignement. Dans les Évangiles synoptiques, les miracles sont vus comme des actes de miséricorde et de puissance divine. Dans Jean, ils sont soigneusement sélectionnés pour démontrer ce que Jésus veut montrer au monde à propos de lui-même. De cet angle, ils ressemblent un peu aux actions symboliques d'Ésaïe et d'Ézéchiel en ce que leur action dramatise le message. </w:t>
      </w:r>
    </w:p>
    <w:p>
      <w:r/>
      <w:r>
        <w:t>Après avoir nourri les 5 000 avec cinq pains et deux poissons, Jésus annonce : « Je suis le pain de vie qui est descendu du ciel » (</w:t>
      </w:r>
      <w:hyperlink r:id="rId5171">
        <w:r>
          <w:rPr>
            <w:color w:val="0000EE"/>
            <w:u w:val="single"/>
          </w:rPr>
          <w:t>Jn 6.51</w:t>
        </w:r>
      </w:hyperlink>
      <w:r>
        <w:t>). Il leur dit de ne pas travailler pour le pain de ce monde qui disparaît. De la même manière, la guérison de l'aveugle-né est liée à l'enseignement de Jésus qu'il est la lumière du monde (</w:t>
      </w:r>
      <w:hyperlink r:id="rId9293">
        <w:r>
          <w:rPr>
            <w:color w:val="0000EE"/>
            <w:u w:val="single"/>
          </w:rPr>
          <w:t>9.5</w:t>
        </w:r>
      </w:hyperlink>
      <w:r>
        <w:t>). La résurrection de Lazare prépare le chemin pour que Jésus proclame qu'il est la résurrection et la vie (</w:t>
      </w:r>
      <w:hyperlink r:id="rId1981">
        <w:r>
          <w:rPr>
            <w:color w:val="0000EE"/>
            <w:u w:val="single"/>
          </w:rPr>
          <w:t>11.25</w:t>
        </w:r>
      </w:hyperlink>
      <w:r>
        <w:t>). Dans l'Évangile de Jean, les signes ne sont pas seulement une démonstration de la puissance divine, mais aussi une révélation du caractère divin de Jésus. En plus de confirmer son message divin, ils proclament également la nature de sa personne et de sa mission.</w:t>
      </w:r>
    </w:p>
    <w:p>
      <w:r/>
      <w:r>
        <w:rPr>
          <w:i/>
        </w:rPr>
        <w:t>Voir aussi</w:t>
      </w:r>
      <w:r>
        <w:t xml:space="preserve"> </w:t>
      </w:r>
      <w:r>
        <w:t>miracle</w:t>
      </w:r>
      <w:r>
        <w:t>.</w:t>
      </w:r>
      <w:r/>
      <w:r/>
    </w:p>
    <w:p>
      <w:r/>
    </w:p>
    <w:p>
      <w:pPr>
        <w:pStyle w:val="Heading2"/>
      </w:pPr>
      <w:r>
        <w:t>Signification des noms dans la Bible</w:t>
      </w:r>
      <w:r/>
    </w:p>
    <w:p>
      <w:pPr>
        <w:pStyle w:val="Heading1"/>
      </w:pPr>
      <w:r>
        <w:rPr>
          <w:b/>
        </w:rPr>
        <w:t>SIGNIFICATION DES NOMS DANS LA BIBLE</w:t>
      </w:r>
    </w:p>
    <w:p>
      <w:r/>
      <w:r>
        <w:t>À l'époque biblique, les gens donnaient des noms pour révéler quelque chose à propos d'une personne. Un nom pouvait également exprimer quelque chose à travers cette personne. Les noms n'étaient pas simplement des étiquettes pratiques.</w:t>
      </w:r>
    </w:p>
    <w:p>
      <w:r/>
      <w:r>
        <w:t>Les gens choisissent des noms pour au moins sept raisons principales :</w:t>
      </w:r>
    </w:p>
    <w:p>
      <w:pPr>
        <w:pStyle w:val="ListNumber"/>
        <w:spacing w:line="240" w:lineRule="auto"/>
        <w:ind w:left="720"/>
      </w:pPr>
      <w:r/>
      <w:r>
        <w:rPr>
          <w:b/>
        </w:rPr>
        <w:t>Consigner des informations sur la naissance d'une personne</w:t>
      </w:r>
    </w:p>
    <w:p>
      <w:r/>
      <w:r>
        <w:t>Parfois, un nom racontait comment une personne était née. Par exemple, la mère adoptive de Moïse l'a ainsi nommé parce qu'elle l'a tiré de l'eau. Le son de son nom ressemblait à un mot hébreu qui signifie « tirer » (</w:t>
      </w:r>
      <w:hyperlink r:id="rId10203">
        <w:r>
          <w:rPr>
            <w:color w:val="0000EE"/>
            <w:u w:val="single"/>
          </w:rPr>
          <w:t>Ex 2.10</w:t>
        </w:r>
      </w:hyperlink>
      <w:r>
        <w:t xml:space="preserve">). </w:t>
        <w:br/>
        <w:br/>
      </w:r>
      <w:r>
        <w:t>Jacob (</w:t>
      </w:r>
      <w:hyperlink r:id="rId2544">
        <w:r>
          <w:rPr>
            <w:color w:val="0000EE"/>
            <w:u w:val="single"/>
          </w:rPr>
          <w:t>Gn 25.26</w:t>
        </w:r>
      </w:hyperlink>
      <w:r>
        <w:t>) et Samuel (</w:t>
      </w:r>
      <w:hyperlink r:id="rId9587">
        <w:r>
          <w:rPr>
            <w:color w:val="0000EE"/>
            <w:u w:val="single"/>
          </w:rPr>
          <w:t>1S 1.20</w:t>
        </w:r>
      </w:hyperlink>
      <w:r>
        <w:t>) ont également reçu leurs noms en lien avec les événements de leur naissance. Le nom de Samuel signifie « entendu par Dieu ». Il ne fait pas référence à la prière elle-même mais au fait que Dieu l'a entendue et exaucée.</w:t>
      </w:r>
    </w:p>
    <w:p>
      <w:r/>
      <w:r>
        <w:t>Ces noms révélaient parfois plus que des événements de naissance. Ils pouvaient également indiquer l'avenir de la personne. Jacob a acquis la réputation de quelqu'un qui profite des autres (</w:t>
      </w:r>
      <w:hyperlink r:id="rId13959">
        <w:r>
          <w:rPr>
            <w:color w:val="0000EE"/>
            <w:u w:val="single"/>
          </w:rPr>
          <w:t>Gn 27.36</w:t>
        </w:r>
      </w:hyperlink>
      <w:r>
        <w:t>). Samuel est devenu connu comme un homme de prière (</w:t>
      </w:r>
      <w:hyperlink r:id="rId13960">
        <w:r>
          <w:rPr>
            <w:color w:val="0000EE"/>
            <w:u w:val="single"/>
          </w:rPr>
          <w:t>1S 7.5–9</w:t>
        </w:r>
      </w:hyperlink>
      <w:r>
        <w:t xml:space="preserve">; </w:t>
      </w:r>
      <w:hyperlink r:id="rId13618">
        <w:r>
          <w:rPr>
            <w:color w:val="0000EE"/>
            <w:u w:val="single"/>
          </w:rPr>
          <w:t>8.6, 21</w:t>
        </w:r>
      </w:hyperlink>
      <w:r>
        <w:t xml:space="preserve">; </w:t>
      </w:r>
      <w:hyperlink r:id="rId13961">
        <w:r>
          <w:rPr>
            <w:color w:val="0000EE"/>
            <w:u w:val="single"/>
          </w:rPr>
          <w:t>12.19–23</w:t>
        </w:r>
      </w:hyperlink>
      <w:r>
        <w:t>).</w:t>
      </w:r>
    </w:p>
    <w:p>
      <w:pPr>
        <w:pStyle w:val="ListNumber"/>
        <w:spacing w:line="240" w:lineRule="auto"/>
        <w:ind w:left="720"/>
      </w:pPr>
      <w:r/>
      <w:r>
        <w:rPr>
          <w:b/>
        </w:rPr>
        <w:t>Pour exprimer les sentiments d'un parent lors de la naissance</w:t>
      </w:r>
    </w:p>
    <w:p>
      <w:r/>
      <w:r>
        <w:t xml:space="preserve">Parfois, les parents choisissent un nom pour exprimer ce qu'ils ressentaient à la naissance de l'enfant. Le nom d'Isaac signifie « rire » (voir </w:t>
      </w:r>
      <w:hyperlink r:id="rId81">
        <w:r>
          <w:rPr>
            <w:color w:val="0000EE"/>
            <w:u w:val="single"/>
          </w:rPr>
          <w:t>Gn 17.17</w:t>
        </w:r>
      </w:hyperlink>
      <w:r>
        <w:t xml:space="preserve"> ; </w:t>
      </w:r>
      <w:hyperlink r:id="rId6821">
        <w:r>
          <w:rPr>
            <w:color w:val="0000EE"/>
            <w:u w:val="single"/>
          </w:rPr>
          <w:t>18.12</w:t>
        </w:r>
      </w:hyperlink>
      <w:r>
        <w:t xml:space="preserve"> ; </w:t>
      </w:r>
      <w:hyperlink r:id="rId13962">
        <w:r>
          <w:rPr>
            <w:color w:val="0000EE"/>
            <w:u w:val="single"/>
          </w:rPr>
          <w:t>21.3–6</w:t>
        </w:r>
      </w:hyperlink>
      <w:r>
        <w:t>). Le nom de Nabal signifie « imbécile » (</w:t>
      </w:r>
      <w:hyperlink r:id="rId13963">
        <w:r>
          <w:rPr>
            <w:color w:val="0000EE"/>
            <w:u w:val="single"/>
          </w:rPr>
          <w:t>1S 25.25</w:t>
        </w:r>
      </w:hyperlink>
      <w:r>
        <w:t>). Sa mère a peut-être espéré qu'il ne serait pas insensé, mais malheureusement, il l'était.</w:t>
        <w:br/>
        <w:br/>
      </w:r>
      <w:r>
        <w:t>Le nom d'Abimélec signifie « mon Père est roi » (</w:t>
      </w:r>
      <w:hyperlink r:id="rId73">
        <w:r>
          <w:rPr>
            <w:color w:val="0000EE"/>
            <w:u w:val="single"/>
          </w:rPr>
          <w:t>Jg 8.31</w:t>
        </w:r>
      </w:hyperlink>
      <w:r>
        <w:t>). Il se peut que cela ait révélé un désir caché de son père Gédéon, même si Gédéon a déclaré publiquement qu'il ne serait pas roi (</w:t>
      </w:r>
      <w:hyperlink r:id="rId13964">
        <w:r>
          <w:rPr>
            <w:color w:val="0000EE"/>
            <w:u w:val="single"/>
          </w:rPr>
          <w:t>Jg 8.22–23</w:t>
        </w:r>
      </w:hyperlink>
      <w:r>
        <w:t>).</w:t>
      </w:r>
    </w:p>
    <w:p>
      <w:pPr>
        <w:pStyle w:val="ListNumber"/>
        <w:spacing w:line="240" w:lineRule="auto"/>
        <w:ind w:left="720"/>
      </w:pPr>
      <w:r/>
      <w:r>
        <w:rPr>
          <w:b/>
        </w:rPr>
        <w:t>Pour préserver l'unité familiale</w:t>
      </w:r>
    </w:p>
    <w:p>
      <w:r/>
      <w:r>
        <w:t xml:space="preserve">Parfois, un nom était choisi pour maintenir l'unité dans la famille. Il se peut que cela soit la raison pour laquelle les gens voulaient nommer le bébé Zacharie dans </w:t>
      </w:r>
      <w:hyperlink r:id="rId8511">
        <w:r>
          <w:rPr>
            <w:color w:val="0000EE"/>
            <w:u w:val="single"/>
          </w:rPr>
          <w:t>Luc 1.59</w:t>
        </w:r>
      </w:hyperlink>
      <w:r>
        <w:t>.</w:t>
      </w:r>
    </w:p>
    <w:p>
      <w:pPr>
        <w:pStyle w:val="ListNumber"/>
        <w:spacing w:line="240" w:lineRule="auto"/>
        <w:ind w:left="720"/>
      </w:pPr>
      <w:r/>
      <w:r>
        <w:rPr>
          <w:b/>
        </w:rPr>
        <w:t>Pour montrer la nature, le rôle ou un aspect important de la personne</w:t>
      </w:r>
    </w:p>
    <w:p>
      <w:r/>
      <w:r>
        <w:t>Un nom pouvait indiquer ce qu'une personne ferait ou un trait de caractère futur. Le meilleur exemple en est Jésus, dont le nom a été donné parce qu'il sauverait son peuple (</w:t>
      </w:r>
      <w:hyperlink r:id="rId3936">
        <w:r>
          <w:rPr>
            <w:color w:val="0000EE"/>
            <w:u w:val="single"/>
          </w:rPr>
          <w:t>Mt 1.21</w:t>
        </w:r>
      </w:hyperlink>
      <w:r>
        <w:t>).</w:t>
      </w:r>
    </w:p>
    <w:p>
      <w:r/>
      <w:r>
        <w:t>Le nom du prophète Ésaïe signifie « le Seigneur sauve ». Ésaïe semble avoir vu cela comme faisant partie de son message (</w:t>
      </w:r>
      <w:hyperlink r:id="rId13884">
        <w:r>
          <w:rPr>
            <w:color w:val="0000EE"/>
            <w:u w:val="single"/>
          </w:rPr>
          <w:t>Es 8.18</w:t>
        </w:r>
      </w:hyperlink>
      <w:r>
        <w:t>).</w:t>
      </w:r>
    </w:p>
    <w:p>
      <w:pPr>
        <w:pStyle w:val="ListNumber"/>
        <w:spacing w:line="240" w:lineRule="auto"/>
        <w:ind w:left="720"/>
      </w:pPr>
      <w:r/>
      <w:r>
        <w:rPr>
          <w:b/>
        </w:rPr>
        <w:t>Partagez le message de Dieu</w:t>
      </w:r>
    </w:p>
    <w:p>
      <w:r/>
      <w:r>
        <w:t>Dieu a parfois demandé à un prophète de donner à un enfant un nom spécial pour transmettre son message. Ésaïe, par exemple, a nommé son premier fils Schear-Jaschub, ce qui signifie « un reste reviendra » (</w:t>
      </w:r>
      <w:hyperlink r:id="rId12721">
        <w:r>
          <w:rPr>
            <w:color w:val="0000EE"/>
            <w:u w:val="single"/>
          </w:rPr>
          <w:t>Es 7.3</w:t>
        </w:r>
      </w:hyperlink>
      <w:r>
        <w:t>). Ce nom comportait deux aspects dans le message : parce que le peuple était infidèle, seul un petit groupe reviendrait ; mais parce que Dieu est fidèle, ce groupe survivrait.</w:t>
      </w:r>
    </w:p>
    <w:p>
      <w:r/>
      <w:r>
        <w:t xml:space="preserve">Ésaïe a nommé son deuxième fils </w:t>
      </w:r>
      <w:r>
        <w:t>Maher-Schalal-Chasch-Baz</w:t>
      </w:r>
      <w:r>
        <w:t>, ce qui signifie « vitesse-proie-hâte-butins » (</w:t>
      </w:r>
      <w:hyperlink r:id="rId9589">
        <w:r>
          <w:rPr>
            <w:color w:val="0000EE"/>
            <w:u w:val="single"/>
          </w:rPr>
          <w:t>Es 8.3</w:t>
        </w:r>
      </w:hyperlink>
      <w:r>
        <w:t>), indiquant qu'un ennemi attaquerait bientôt et l'emporterait rapidement.</w:t>
      </w:r>
    </w:p>
    <w:p>
      <w:pPr>
        <w:pStyle w:val="ListNumber"/>
        <w:spacing w:line="240" w:lineRule="auto"/>
        <w:ind w:left="720"/>
      </w:pPr>
      <w:r/>
      <w:r>
        <w:rPr>
          <w:b/>
        </w:rPr>
        <w:t>Pour exprimer la foi religieuse</w:t>
      </w:r>
    </w:p>
    <w:p>
      <w:r/>
      <w:r>
        <w:t xml:space="preserve">Certains noms dans la Bible incluent des terminaisons comme </w:t>
      </w:r>
      <w:r>
        <w:rPr>
          <w:i/>
        </w:rPr>
        <w:t>-iah</w:t>
      </w:r>
      <w:r>
        <w:t xml:space="preserve"> (ou </w:t>
      </w:r>
      <w:r>
        <w:rPr>
          <w:i/>
        </w:rPr>
        <w:t>-jah</w:t>
      </w:r>
      <w:r>
        <w:t xml:space="preserve">) ou </w:t>
      </w:r>
      <w:r>
        <w:rPr>
          <w:i/>
        </w:rPr>
        <w:t>-el</w:t>
      </w:r>
      <w:r>
        <w:t>. Ces terminaisons signifient « le Seigneur » (</w:t>
      </w:r>
      <w:r>
        <w:rPr>
          <w:i/>
        </w:rPr>
        <w:t>-yah</w:t>
      </w:r>
      <w:r>
        <w:t>) ou « Dieu » (</w:t>
      </w:r>
      <w:r>
        <w:rPr>
          <w:i/>
        </w:rPr>
        <w:t>-el</w:t>
      </w:r>
      <w:r>
        <w:t>). Adonija, par exemple, signifie « le Seigneur est souverain » (</w:t>
      </w:r>
      <w:hyperlink r:id="rId13965">
        <w:r>
          <w:rPr>
            <w:color w:val="0000EE"/>
            <w:u w:val="single"/>
          </w:rPr>
          <w:t>2S 3.4</w:t>
        </w:r>
      </w:hyperlink>
      <w:r>
        <w:t>). Nathanaël signifie « Dieu a donné » (</w:t>
      </w:r>
      <w:hyperlink r:id="rId8013">
        <w:r>
          <w:rPr>
            <w:color w:val="0000EE"/>
            <w:u w:val="single"/>
          </w:rPr>
          <w:t>Jn 1.47</w:t>
        </w:r>
      </w:hyperlink>
      <w:r>
        <w:t>).</w:t>
      </w:r>
    </w:p>
    <w:p>
      <w:r/>
      <w:r>
        <w:t>Les parents choisissaient souvent ce type de noms à des époques où de nombreuses personnes se détournaient de Dieu. Les noms reflétaient la foi des parents.</w:t>
      </w:r>
    </w:p>
    <w:p>
      <w:pPr>
        <w:pStyle w:val="ListNumber"/>
        <w:spacing w:line="240" w:lineRule="auto"/>
        <w:ind w:left="720"/>
      </w:pPr>
      <w:r/>
      <w:r>
        <w:rPr>
          <w:b/>
        </w:rPr>
        <w:t>Affirmer son autorité sur quelqu'un</w:t>
      </w:r>
    </w:p>
    <w:p>
      <w:r/>
      <w:r>
        <w:t>Au Proche-Orient Ancien, donner un nom montrait le pouvoir ou l'autorité sur la personne ou la chose (</w:t>
      </w:r>
      <w:hyperlink r:id="rId3934">
        <w:r>
          <w:rPr>
            <w:color w:val="0000EE"/>
            <w:u w:val="single"/>
          </w:rPr>
          <w:t>Gn 2.19–20</w:t>
        </w:r>
      </w:hyperlink>
      <w:r>
        <w:t>). Si une personne ne connaissait pas le nom d'une autre, elle ne pouvait ni lui faire du mal ni lui faire du bien (</w:t>
      </w:r>
      <w:hyperlink r:id="rId13966">
        <w:r>
          <w:rPr>
            <w:color w:val="0000EE"/>
            <w:u w:val="single"/>
          </w:rPr>
          <w:t>Ex 33.12, 17</w:t>
        </w:r>
      </w:hyperlink>
      <w:r>
        <w:t>).</w:t>
      </w:r>
    </w:p>
    <w:p>
      <w:r/>
      <w:r>
        <w:t>Dans les temps anciens, un nom décrivait souvent la personne ou son travail. Si la personne ou la situation changeait, le nom pouvait également changer. Par exemple, Abram est devenu Abraham, et Jacob est devenu Israël.</w:t>
      </w:r>
    </w:p>
    <w:p>
      <w:r/>
      <w:r>
        <w:t xml:space="preserve">Un dirigeant pouvait également changer le nom de quelqu'un pour montrer son contrôle. Pharaon a changé le nom de Joseph en </w:t>
      </w:r>
      <w:r>
        <w:t>Tsaphnath-Paenéach</w:t>
      </w:r>
      <w:r>
        <w:t xml:space="preserve"> lorsque Joseph est devenu haut-fonctionnaire en Égypte (</w:t>
      </w:r>
      <w:hyperlink r:id="rId7410">
        <w:r>
          <w:rPr>
            <w:color w:val="0000EE"/>
            <w:u w:val="single"/>
          </w:rPr>
          <w:t>Gn 41.45</w:t>
        </w:r>
      </w:hyperlink>
      <w:r>
        <w:t>). Le Pharaon Néco a changé le nom du roi Éliakim en Jojakim lorsqu'il a régné sur Juda (</w:t>
      </w:r>
      <w:hyperlink r:id="rId13967">
        <w:r>
          <w:rPr>
            <w:color w:val="0000EE"/>
            <w:u w:val="single"/>
          </w:rPr>
          <w:t>2R 23.34</w:t>
        </w:r>
      </w:hyperlink>
      <w:r>
        <w:t>). À Babylone, Daniel, Hanania, Mischaël et Azaria ont reçu de nouveaux noms (Beltschatsar, Schadrac, Méschac et Abed-Nego) par ordre de l'officiel du roi (</w:t>
      </w:r>
      <w:hyperlink r:id="rId13968">
        <w:r>
          <w:rPr>
            <w:color w:val="0000EE"/>
            <w:u w:val="single"/>
          </w:rPr>
          <w:t>Dn 1.6–7</w:t>
        </w:r>
      </w:hyperlink>
      <w:r>
        <w:t>).</w:t>
      </w:r>
    </w:p>
    <w:p>
      <w:r/>
      <w:r>
        <w:t>Dans le Nouveau Testament, un ange envoyé par Dieu a annoncé quel serait le nom de Jean Baptiste. De la même manière, un ange a annoncé le nom de Jésus. Ces noms montraient l'autorité de Dieu sur Jean et sa relation spéciale en tant que Père avec Jésus.</w:t>
      </w:r>
    </w:p>
    <w:p>
      <w:pPr>
        <w:pStyle w:val="Heading3"/>
      </w:pPr>
      <w:r>
        <w:t>Nouveaux noms</w:t>
      </w:r>
    </w:p>
    <w:p>
      <w:r/>
      <w:r>
        <w:t>Dans la Bible, un nom pouvait indiquer la nature ou la position d'une personne. Ceci est démontré à travers la pratique de donner un nouveau nom à quelqu'un. Par exemple, Dieu a changé le nom de Saraï en Sara (</w:t>
      </w:r>
      <w:hyperlink r:id="rId94">
        <w:r>
          <w:rPr>
            <w:color w:val="0000EE"/>
            <w:u w:val="single"/>
          </w:rPr>
          <w:t>Gn 17.15</w:t>
        </w:r>
      </w:hyperlink>
      <w:r>
        <w:t>). Il y a trois motivations possibles derrière cela :</w:t>
      </w:r>
    </w:p>
    <w:p>
      <w:pPr>
        <w:pStyle w:val="ListNumber"/>
        <w:spacing w:line="240" w:lineRule="auto"/>
        <w:ind w:left="720"/>
      </w:pPr>
      <w:r/>
      <w:r>
        <w:rPr>
          <w:b/>
        </w:rPr>
        <w:t>Démontrer l'attribution d'un nouveau pouvoir ou rôle</w:t>
      </w:r>
    </w:p>
    <w:p>
      <w:r/>
      <w:r>
        <w:t>Un nouveau nom pouvait remplacer l'ancien pour indiquer que la personne a acquis un pouvoir nouveau ou une capacité nouvelle. Cela pouvait symboliser un nouveau départ. Par exemple, l'enfant sans Abram est devenu Abraham, ce qui signifie « Père d'une multitude de nations » (</w:t>
      </w:r>
      <w:hyperlink r:id="rId78">
        <w:r>
          <w:rPr>
            <w:color w:val="0000EE"/>
            <w:u w:val="single"/>
          </w:rPr>
          <w:t>Gn 17.5</w:t>
        </w:r>
      </w:hyperlink>
      <w:r>
        <w:t>).</w:t>
      </w:r>
    </w:p>
    <w:p>
      <w:pPr>
        <w:pStyle w:val="ListNumber"/>
        <w:spacing w:line="240" w:lineRule="auto"/>
        <w:ind w:left="720"/>
      </w:pPr>
      <w:r/>
      <w:r>
        <w:rPr>
          <w:b/>
        </w:rPr>
        <w:t>Révéler un nouveau caractère et une position avec Dieu</w:t>
      </w:r>
    </w:p>
    <w:p>
      <w:r/>
      <w:r>
        <w:t>Un nouveau nom pouvait indiquer qu'un changement s'était produit dans le caractère ou la position d'une personne avec Dieu. Par exemple, Jacob le trompeur est devenu Israël, l'homme puissant avec Dieu (</w:t>
      </w:r>
      <w:hyperlink r:id="rId13969">
        <w:r>
          <w:rPr>
            <w:color w:val="0000EE"/>
            <w:u w:val="single"/>
          </w:rPr>
          <w:t>Gn 32.27</w:t>
        </w:r>
      </w:hyperlink>
      <w:r>
        <w:t xml:space="preserve"> ; </w:t>
      </w:r>
      <w:hyperlink r:id="rId13970">
        <w:r>
          <w:rPr>
            <w:color w:val="0000EE"/>
            <w:u w:val="single"/>
          </w:rPr>
          <w:t>Os 12.3–4</w:t>
        </w:r>
      </w:hyperlink>
      <w:r>
        <w:t>). Dans le Nouveau Testament, Simon est devenu Pierre (</w:t>
      </w:r>
      <w:hyperlink r:id="rId13971">
        <w:r>
          <w:rPr>
            <w:color w:val="0000EE"/>
            <w:u w:val="single"/>
          </w:rPr>
          <w:t>Jn 1.42</w:t>
        </w:r>
      </w:hyperlink>
      <w:r>
        <w:t>).</w:t>
      </w:r>
    </w:p>
    <w:p>
      <w:pPr>
        <w:pStyle w:val="ListNumber"/>
        <w:spacing w:line="240" w:lineRule="auto"/>
        <w:ind w:left="720"/>
      </w:pPr>
      <w:r/>
      <w:r>
        <w:rPr>
          <w:b/>
        </w:rPr>
        <w:t>Établir une nouvelle loyauté en remplacement de l'ancienne</w:t>
      </w:r>
    </w:p>
    <w:p>
      <w:r/>
      <w:r>
        <w:t>Un nouveau nom pouvait être donné pour rendre quelqu'un loyal à un nouveau dirigeant ou à une nouvelle religion. Daniel, par exemple, qui fut emmené captif à Babylone, a reçu le nom de Beltschatsar. Ce nom incluait le nom Bel, un dieu babylonien. Il était probablement destiné à détourner la loyauté de Daniel du Dieu de ses ancêtres vers les dieux de ses ravisseurs (</w:t>
      </w:r>
      <w:hyperlink r:id="rId4955">
        <w:r>
          <w:rPr>
            <w:color w:val="0000EE"/>
            <w:u w:val="single"/>
          </w:rPr>
          <w:t>Dn 1.7</w:t>
        </w:r>
      </w:hyperlink>
      <w:r>
        <w:t>).</w:t>
      </w:r>
    </w:p>
    <w:p>
      <w:r/>
      <w:r>
        <w:rPr>
          <w:i/>
        </w:rPr>
        <w:t>Voir aussi</w:t>
      </w:r>
      <w:r>
        <w:t xml:space="preserve"> </w:t>
      </w:r>
      <w:r>
        <w:t>Dieu, Noms de</w:t>
      </w:r>
      <w:r>
        <w:t>.</w:t>
      </w:r>
      <w:r/>
      <w:r/>
    </w:p>
    <w:p>
      <w:r/>
    </w:p>
    <w:p>
      <w:pPr>
        <w:pStyle w:val="Heading2"/>
      </w:pPr>
      <w:r>
        <w:t>Silas, Silvain</w:t>
      </w:r>
      <w:r/>
    </w:p>
    <w:p>
      <w:r/>
      <w:r>
        <w:t>Responsable respecté au sein de l'Église de Jérusalem, également appelé Silvain (</w:t>
      </w:r>
      <w:hyperlink r:id="rId13972">
        <w:r>
          <w:rPr>
            <w:color w:val="0000EE"/>
            <w:u w:val="single"/>
          </w:rPr>
          <w:t>2Co 1.19</w:t>
        </w:r>
      </w:hyperlink>
      <w:r>
        <w:t xml:space="preserve"> ; </w:t>
      </w:r>
      <w:hyperlink r:id="rId4556">
        <w:r>
          <w:rPr>
            <w:color w:val="0000EE"/>
            <w:u w:val="single"/>
          </w:rPr>
          <w:t>1Th 1.1</w:t>
        </w:r>
      </w:hyperlink>
      <w:r>
        <w:t xml:space="preserve"> ; </w:t>
      </w:r>
      <w:hyperlink r:id="rId12256">
        <w:r>
          <w:rPr>
            <w:color w:val="0000EE"/>
            <w:u w:val="single"/>
          </w:rPr>
          <w:t>2Th 1.1</w:t>
        </w:r>
      </w:hyperlink>
      <w:r>
        <w:t xml:space="preserve"> ; </w:t>
      </w:r>
      <w:hyperlink r:id="rId12125">
        <w:r>
          <w:rPr>
            <w:color w:val="0000EE"/>
            <w:u w:val="single"/>
          </w:rPr>
          <w:t>1P 5.12</w:t>
        </w:r>
      </w:hyperlink>
      <w:r>
        <w:t xml:space="preserve">). « Silas » est très probablement la forme araméenne du nom hébreu « Saül », qui, lorsqu'il a pris une forme latine, est devenu </w:t>
      </w:r>
      <w:r>
        <w:rPr>
          <w:i/>
        </w:rPr>
        <w:t>Silouanos</w:t>
      </w:r>
      <w:r>
        <w:t xml:space="preserve"> (Silvain). Silas portait donc deux noms : un nom latin et un nom sémite plus court. Le nom était connu à l'époque hellénistique et apparaît dans diverses inscriptions. Luc a utilisé le nom Silas lorsqu'il a raconté l'histoire de l'Église de Jérusalem dans les Actes. Paul et Pierre ont utilisé le nom romain dans leurs épîtres.</w:t>
      </w:r>
    </w:p>
    <w:p>
      <w:r/>
      <w:r>
        <w:t xml:space="preserve">Silas est introduit dans </w:t>
      </w:r>
      <w:hyperlink r:id="rId1698">
        <w:r>
          <w:rPr>
            <w:color w:val="0000EE"/>
            <w:u w:val="single"/>
          </w:rPr>
          <w:t>Actes 15.22</w:t>
        </w:r>
      </w:hyperlink>
      <w:r>
        <w:t xml:space="preserve"> comme un délégué distingué qui a transmis à Antioche le décret du Concile de Jérusalem. Plusieurs manuscrits (de moindre qualité que les mieux attestés) incluent </w:t>
      </w:r>
      <w:hyperlink r:id="rId13973">
        <w:r>
          <w:rPr>
            <w:color w:val="0000EE"/>
            <w:u w:val="single"/>
          </w:rPr>
          <w:t>15.34</w:t>
        </w:r>
      </w:hyperlink>
      <w:r>
        <w:t>. Ce rajout indique que Silas est resté à Antioche. En effet, peu de temps après il rejoindra Paul lors de son deuxième voyage missionnaire (</w:t>
      </w:r>
      <w:hyperlink r:id="rId13974">
        <w:r>
          <w:rPr>
            <w:color w:val="0000EE"/>
            <w:u w:val="single"/>
          </w:rPr>
          <w:t>Ac 15.40</w:t>
        </w:r>
      </w:hyperlink>
      <w:r>
        <w:t xml:space="preserve">). Il se peut que son service en tant que prophète soit mis en avant dans </w:t>
      </w:r>
      <w:hyperlink r:id="rId5881">
        <w:r>
          <w:rPr>
            <w:color w:val="0000EE"/>
            <w:u w:val="single"/>
          </w:rPr>
          <w:t>Actes 16.6</w:t>
        </w:r>
      </w:hyperlink>
      <w:r>
        <w:t>, lorsque l'Esprit redirige le groupe à travers l'Asie. Le nom de Silas apparaît huit fois au cours du deuxième voyage (</w:t>
      </w:r>
      <w:hyperlink r:id="rId13975">
        <w:r>
          <w:rPr>
            <w:color w:val="0000EE"/>
            <w:u w:val="single"/>
          </w:rPr>
          <w:t>Ac 16.19, 25, 29</w:t>
        </w:r>
      </w:hyperlink>
      <w:r>
        <w:t xml:space="preserve"> ; </w:t>
      </w:r>
      <w:hyperlink r:id="rId13976">
        <w:r>
          <w:rPr>
            <w:color w:val="0000EE"/>
            <w:u w:val="single"/>
          </w:rPr>
          <w:t>17.4, 10, 14–15</w:t>
        </w:r>
      </w:hyperlink>
      <w:r>
        <w:t xml:space="preserve"> ; </w:t>
      </w:r>
      <w:hyperlink r:id="rId13977">
        <w:r>
          <w:rPr>
            <w:color w:val="0000EE"/>
            <w:u w:val="single"/>
          </w:rPr>
          <w:t>18.5</w:t>
        </w:r>
      </w:hyperlink>
      <w:r>
        <w:t>), alors qu'il accompagnait Paul à travers les épreuves subies à Philippes, Thessalonique et Bérée. Lorsque Paul sera escorté en sécurité hors de Macédoine par les chrétiens béréens (</w:t>
      </w:r>
      <w:hyperlink r:id="rId5800">
        <w:r>
          <w:rPr>
            <w:color w:val="0000EE"/>
            <w:u w:val="single"/>
          </w:rPr>
          <w:t>17.14</w:t>
        </w:r>
      </w:hyperlink>
      <w:r>
        <w:t>), Silas restera avec Timothée pour superviser le travail déjà commencé dans la région. Plus tard à Corinthe (</w:t>
      </w:r>
      <w:hyperlink r:id="rId13977">
        <w:r>
          <w:rPr>
            <w:color w:val="0000EE"/>
            <w:u w:val="single"/>
          </w:rPr>
          <w:t>18.5</w:t>
        </w:r>
      </w:hyperlink>
      <w:r>
        <w:t>), Silas et Timothée rejoindront Paul. Leur rapport incitera Paul à correspondre avec l'Église de Thessalonique. Ceci explique la présence du nom de Silas dans le préscript des deux lettres aux Thessaloniciens.</w:t>
      </w:r>
    </w:p>
    <w:p>
      <w:r/>
      <w:r>
        <w:t>Il semble clair que Silas était bien connu des Corinthiens. Non seulement reste-t-il dans la ville avec Paul pendant un an et demi (</w:t>
      </w:r>
      <w:hyperlink r:id="rId162">
        <w:r>
          <w:rPr>
            <w:color w:val="0000EE"/>
            <w:u w:val="single"/>
          </w:rPr>
          <w:t>Ac 18.11</w:t>
        </w:r>
      </w:hyperlink>
      <w:r>
        <w:t>), mais on peut supposer qu'il est resté à Corinthe après le différend devant Gallion. Paul, lors de sa dernière tournée, écrit à Corinthe depuis Éphèse et mentionne Silas de nouveau (</w:t>
      </w:r>
      <w:hyperlink r:id="rId13972">
        <w:r>
          <w:rPr>
            <w:color w:val="0000EE"/>
            <w:u w:val="single"/>
          </w:rPr>
          <w:t>2Co 1.19</w:t>
        </w:r>
      </w:hyperlink>
      <w:r>
        <w:t>), rappelant aux Corinthiens son ministère antérieur parmi eux.</w:t>
      </w:r>
    </w:p>
    <w:p>
      <w:r/>
      <w:r>
        <w:t>L'histoire de Silas, à la suite de ces événements, est obscure. Certains croient que Silas était un scribe chrétien respecté. L'implication de Silas dans 1 et 2 Thessaloniciens est souvent mentionnée, soulignant l'utilisation soutenue par Paul de la première personne du pluriel. Certains experts trouvent des ressemblances entre 1 et 2 Thessaloniciens, le décret d'</w:t>
      </w:r>
      <w:hyperlink r:id="rId160">
        <w:r>
          <w:rPr>
            <w:color w:val="0000EE"/>
            <w:u w:val="single"/>
          </w:rPr>
          <w:t>Actes 15</w:t>
        </w:r>
      </w:hyperlink>
      <w:r>
        <w:t>, et 1 Pierre, dans lequel Silas est mentionné comme scribe (</w:t>
      </w:r>
      <w:hyperlink r:id="rId12125">
        <w:r>
          <w:rPr>
            <w:color w:val="0000EE"/>
            <w:u w:val="single"/>
          </w:rPr>
          <w:t>1P 5.12</w:t>
        </w:r>
      </w:hyperlink>
      <w:r>
        <w:t>). Cette dernière association avec Pierre est intrigante et a conduit à la spéculation selon laquelle Silas a fini par rejoindre Pierre pour exercer son ministère dans le nord de l'Asie.</w:t>
      </w:r>
      <w:r/>
      <w:r/>
    </w:p>
    <w:p>
      <w:r/>
    </w:p>
    <w:p>
      <w:pPr>
        <w:pStyle w:val="Heading2"/>
      </w:pPr>
      <w:r>
        <w:t>Siméon (Personne)</w:t>
      </w:r>
      <w:r/>
    </w:p>
    <w:p>
      <w:pPr>
        <w:pStyle w:val="ListNumber"/>
        <w:spacing w:line="240" w:lineRule="auto"/>
        <w:ind w:left="720"/>
      </w:pPr>
      <w:r/>
      <w:r>
        <w:t>Deuxième des douze fils de Jacob (</w:t>
      </w:r>
      <w:hyperlink r:id="rId7729">
        <w:r>
          <w:rPr>
            <w:color w:val="0000EE"/>
            <w:u w:val="single"/>
          </w:rPr>
          <w:t>Gn 35.23</w:t>
        </w:r>
      </w:hyperlink>
      <w:r>
        <w:t xml:space="preserve"> ; </w:t>
      </w:r>
      <w:hyperlink r:id="rId7730">
        <w:r>
          <w:rPr>
            <w:color w:val="0000EE"/>
            <w:u w:val="single"/>
          </w:rPr>
          <w:t>1Ch 2.1</w:t>
        </w:r>
      </w:hyperlink>
      <w:r>
        <w:t>), deuxième des fils qu'il a eus par Léa (</w:t>
      </w:r>
      <w:hyperlink r:id="rId13978">
        <w:r>
          <w:rPr>
            <w:color w:val="0000EE"/>
            <w:u w:val="single"/>
          </w:rPr>
          <w:t>Gn 29.33</w:t>
        </w:r>
      </w:hyperlink>
      <w:r>
        <w:t>). Siméon engendrera six fils (</w:t>
      </w:r>
      <w:hyperlink r:id="rId7092">
        <w:r>
          <w:rPr>
            <w:color w:val="0000EE"/>
            <w:u w:val="single"/>
          </w:rPr>
          <w:t>Ex 6.15</w:t>
        </w:r>
      </w:hyperlink>
      <w:r>
        <w:t>). Il installera sa famille en Égypte avec Jacob et ses frères (</w:t>
      </w:r>
      <w:hyperlink r:id="rId7735">
        <w:r>
          <w:rPr>
            <w:color w:val="0000EE"/>
            <w:u w:val="single"/>
          </w:rPr>
          <w:t>Ex 1.2</w:t>
        </w:r>
      </w:hyperlink>
      <w:r>
        <w:t>). Il était le fondateur des Siméonites (</w:t>
      </w:r>
      <w:hyperlink r:id="rId13979">
        <w:r>
          <w:rPr>
            <w:color w:val="0000EE"/>
            <w:u w:val="single"/>
          </w:rPr>
          <w:t>Nb 26.12–14</w:t>
        </w:r>
      </w:hyperlink>
      <w:r>
        <w:t>). Il a également fondé l'une des douze tribus d'Israël (</w:t>
      </w:r>
      <w:hyperlink r:id="rId13980">
        <w:r>
          <w:rPr>
            <w:color w:val="0000EE"/>
            <w:u w:val="single"/>
          </w:rPr>
          <w:t>Nb 1.23</w:t>
        </w:r>
      </w:hyperlink>
      <w:r>
        <w:t>). Il est principalement connu pour sa vengeance sur les hommes de Sichem suite au viol de Dina (</w:t>
      </w:r>
      <w:hyperlink r:id="rId13981">
        <w:r>
          <w:rPr>
            <w:color w:val="0000EE"/>
            <w:u w:val="single"/>
          </w:rPr>
          <w:t>Gn 34.25</w:t>
        </w:r>
      </w:hyperlink>
      <w:r>
        <w:t>).</w:t>
      </w:r>
    </w:p>
    <w:p>
      <w:r/>
      <w:r>
        <w:rPr>
          <w:i/>
        </w:rPr>
        <w:t>Voir aussi</w:t>
      </w:r>
      <w:r>
        <w:t xml:space="preserve"> </w:t>
      </w:r>
      <w:r>
        <w:t>Siméon, Tribu de</w:t>
      </w:r>
      <w:r>
        <w:t>.</w:t>
      </w:r>
    </w:p>
    <w:p>
      <w:pPr>
        <w:pStyle w:val="ListNumber"/>
        <w:spacing w:line="240" w:lineRule="auto"/>
        <w:ind w:left="720"/>
      </w:pPr>
      <w:r/>
      <w:r>
        <w:t>Juif pieux vivant à Jérusalem à qui il avait été assuré qu'il ne mourrait pas avant d'avoir vu le Messie promis. Le Saint-Esprit a conduit Siméon au temple. Là, il rencontrera Marie et Joseph. Il tiendra Jésus dans ses bras et prophétisera sur la mission du Messie (</w:t>
      </w:r>
      <w:hyperlink r:id="rId13982">
        <w:r>
          <w:rPr>
            <w:color w:val="0000EE"/>
            <w:u w:val="single"/>
          </w:rPr>
          <w:t>Lc 2.25–35</w:t>
        </w:r>
      </w:hyperlink>
      <w:r>
        <w:t>).</w:t>
      </w:r>
    </w:p>
    <w:p>
      <w:pPr>
        <w:pStyle w:val="ListNumber"/>
        <w:spacing w:line="240" w:lineRule="auto"/>
        <w:ind w:left="720"/>
      </w:pPr>
      <w:r/>
      <w:r>
        <w:t>Ancêtre de Jésus dans la liste familiale de Luc (</w:t>
      </w:r>
      <w:hyperlink r:id="rId7443">
        <w:r>
          <w:rPr>
            <w:color w:val="0000EE"/>
            <w:u w:val="single"/>
          </w:rPr>
          <w:t>Lc 3.30</w:t>
        </w:r>
      </w:hyperlink>
      <w:r>
        <w:t>).</w:t>
      </w:r>
    </w:p>
    <w:p>
      <w:r/>
      <w:r>
        <w:rPr>
          <w:i/>
        </w:rPr>
        <w:t>Voir</w:t>
      </w:r>
      <w:r>
        <w:t xml:space="preserve"> </w:t>
      </w:r>
      <w:r>
        <w:t>Généalogie de Jésus-Christ</w:t>
      </w:r>
      <w:r>
        <w:t>.</w:t>
      </w:r>
    </w:p>
    <w:p>
      <w:pPr>
        <w:pStyle w:val="ListNumber"/>
        <w:spacing w:line="240" w:lineRule="auto"/>
        <w:ind w:left="720"/>
      </w:pPr>
      <w:r/>
      <w:r>
        <w:t xml:space="preserve">Un des cinq prophètes et enseignants mentionnés dans </w:t>
      </w:r>
      <w:hyperlink r:id="rId3034">
        <w:r>
          <w:rPr>
            <w:color w:val="0000EE"/>
            <w:u w:val="single"/>
          </w:rPr>
          <w:t>Actes 13.1</w:t>
        </w:r>
      </w:hyperlink>
      <w:r>
        <w:t xml:space="preserve"> qui servaient dans l'église d'Antioche. Siméon était surnommé Niger et venait peut-être d'Afrique. Symeon est une meilleure translitération du grec dans ce texte.</w:t>
      </w:r>
    </w:p>
    <w:p>
      <w:pPr>
        <w:pStyle w:val="ListNumber"/>
        <w:spacing w:line="240" w:lineRule="auto"/>
        <w:ind w:left="720"/>
      </w:pPr>
      <w:r/>
      <w:r>
        <w:t xml:space="preserve">Référence à Simon Pierre dans </w:t>
      </w:r>
      <w:hyperlink r:id="rId13983">
        <w:r>
          <w:rPr>
            <w:color w:val="0000EE"/>
            <w:u w:val="single"/>
          </w:rPr>
          <w:t>Actes 15.14</w:t>
        </w:r>
      </w:hyperlink>
      <w:r>
        <w:t>.</w:t>
      </w:r>
    </w:p>
    <w:p>
      <w:r/>
      <w:r>
        <w:rPr>
          <w:i/>
        </w:rPr>
        <w:t>Voir</w:t>
      </w:r>
      <w:r>
        <w:t xml:space="preserve"> </w:t>
      </w:r>
      <w:r>
        <w:t>Pierre, L'Apôtre</w:t>
      </w:r>
      <w:r>
        <w:t>.</w:t>
      </w:r>
      <w:r/>
      <w:r/>
    </w:p>
    <w:p>
      <w:r/>
    </w:p>
    <w:p>
      <w:pPr>
        <w:pStyle w:val="Heading2"/>
      </w:pPr>
      <w:r>
        <w:t>Siméon, Tribu de</w:t>
      </w:r>
      <w:r/>
    </w:p>
    <w:p>
      <w:r/>
      <w:r>
        <w:t>L'une des douze tribus d'Israël, descendant du deuxième fils de Jacob, Siméon. En raison de l'acte malveillant de Siméon à Sichem, Jacob prédira que les descendants de Siméon seraient dispersés parmi les autres tribus d'Israël (</w:t>
      </w:r>
      <w:hyperlink r:id="rId7614">
        <w:r>
          <w:rPr>
            <w:color w:val="0000EE"/>
            <w:u w:val="single"/>
          </w:rPr>
          <w:t>Gn 49.7</w:t>
        </w:r>
      </w:hyperlink>
      <w:r>
        <w:t>).</w:t>
      </w:r>
    </w:p>
    <w:p>
      <w:pPr>
        <w:pStyle w:val="Heading3"/>
      </w:pPr>
      <w:r>
        <w:t>Le Territoire de la tribu de Siméon</w:t>
      </w:r>
    </w:p>
    <w:p>
      <w:r/>
      <w:r>
        <w:t>Selon le livre de Josué, l'héritage de Siméon était inclus dans le territoire de Juda (</w:t>
      </w:r>
      <w:hyperlink r:id="rId13984">
        <w:r>
          <w:rPr>
            <w:color w:val="0000EE"/>
            <w:u w:val="single"/>
          </w:rPr>
          <w:t>Jos 19.1, 9</w:t>
        </w:r>
      </w:hyperlink>
      <w:r>
        <w:t xml:space="preserve">). </w:t>
      </w:r>
      <w:hyperlink r:id="rId13985">
        <w:r>
          <w:rPr>
            <w:color w:val="0000EE"/>
            <w:u w:val="single"/>
          </w:rPr>
          <w:t>Juges 1.3</w:t>
        </w:r>
      </w:hyperlink>
      <w:r>
        <w:t xml:space="preserve"> suggère une relation étroite entre les tribus de Siméon et de Juda. Les deux tribus ont souvent collaboré dans leurs campagnes militaires lors de la conquête de Canaan. Les villes lévitiques, qui étaient attribuées pour subvenir aux besoins des Lévites, étaient également partagées entre Siméon et Juda (</w:t>
      </w:r>
      <w:hyperlink r:id="rId13986">
        <w:r>
          <w:rPr>
            <w:color w:val="0000EE"/>
            <w:u w:val="single"/>
          </w:rPr>
          <w:t>Jos 21.9–16</w:t>
        </w:r>
      </w:hyperlink>
      <w:r>
        <w:t>).</w:t>
      </w:r>
    </w:p>
    <w:p>
      <w:r/>
      <w:r>
        <w:t>Leur héritage limité à l'intérieur des frontières de Juda s'est poursuivi lorsque Siméon rejoint Juda après la scission du royaume d'Israël. Malgré cela, les Siméonites ont réussi à maintenir une identité tribale distincte pendant un certain temps. Ceci est prouvé par des listes familiales conservées jusqu'au règne d'Ézéchias, roi de Juda (</w:t>
      </w:r>
      <w:hyperlink r:id="rId13987">
        <w:r>
          <w:rPr>
            <w:color w:val="0000EE"/>
            <w:u w:val="single"/>
          </w:rPr>
          <w:t>1Ch 4.24–42</w:t>
        </w:r>
      </w:hyperlink>
      <w:r>
        <w:t>).</w:t>
      </w:r>
    </w:p>
    <w:p>
      <w:r/>
      <w:r>
        <w:t>Durant le règne d'Ézéchias, les Siméonites étendront leur territoire en s'installant dans les régions arabes de Séir (</w:t>
      </w:r>
      <w:hyperlink r:id="rId13988">
        <w:r>
          <w:rPr>
            <w:color w:val="0000EE"/>
            <w:u w:val="single"/>
          </w:rPr>
          <w:t>1Ch 4.24–43</w:t>
        </w:r>
      </w:hyperlink>
      <w:r>
        <w:t>). Ils se sont peut-être aussi installés dans la montagne d'Éphraïm (</w:t>
      </w:r>
      <w:hyperlink r:id="rId13989">
        <w:r>
          <w:rPr>
            <w:color w:val="0000EE"/>
            <w:u w:val="single"/>
          </w:rPr>
          <w:t>2Ch 15.9</w:t>
        </w:r>
      </w:hyperlink>
      <w:r>
        <w:t xml:space="preserve">). Bien que Siméon ait été le deuxième fils de Jacob par ordre d'aînesse, la tribu de Siméon n'a jamais été importante. Contrairement à certaines autres tribus, Siméon n'a produit aucun juge notable, et elle est absente de manière flagrante du Cantique de Débora (voir </w:t>
      </w:r>
      <w:hyperlink r:id="rId3662">
        <w:r>
          <w:rPr>
            <w:color w:val="0000EE"/>
            <w:u w:val="single"/>
          </w:rPr>
          <w:t>Jg 5</w:t>
        </w:r>
      </w:hyperlink>
      <w:r>
        <w:t xml:space="preserve">). Selon </w:t>
      </w:r>
      <w:hyperlink r:id="rId13990">
        <w:r>
          <w:rPr>
            <w:color w:val="0000EE"/>
            <w:u w:val="single"/>
          </w:rPr>
          <w:t>1 Chroniques 4.28–33</w:t>
        </w:r>
      </w:hyperlink>
      <w:r>
        <w:t>, la tribu de Siméon s'est installée dans la partie la plus méridionale de Canaan, une région connue sous le nom de Néguev. Cette zone, bien que sèche et accidentée, était suffisamment fertile au début de l'été grâce aux pluies annuelles et aux sources persistantes. La région est devenue connue sous le nom de « le Néguev de Juda », ce qui sert à distinguer Siméon des non-Juifs vivant dans cette région (</w:t>
      </w:r>
      <w:hyperlink r:id="rId8108">
        <w:r>
          <w:rPr>
            <w:color w:val="0000EE"/>
            <w:u w:val="single"/>
          </w:rPr>
          <w:t>1S 27.10</w:t>
        </w:r>
      </w:hyperlink>
      <w:r>
        <w:t xml:space="preserve"> ; </w:t>
      </w:r>
      <w:hyperlink r:id="rId10592">
        <w:r>
          <w:rPr>
            <w:color w:val="0000EE"/>
            <w:u w:val="single"/>
          </w:rPr>
          <w:t>30.14</w:t>
        </w:r>
      </w:hyperlink>
      <w:r>
        <w:t xml:space="preserve"> ; </w:t>
      </w:r>
      <w:hyperlink r:id="rId6461">
        <w:r>
          <w:rPr>
            <w:color w:val="0000EE"/>
            <w:u w:val="single"/>
          </w:rPr>
          <w:t>2S 24.7</w:t>
        </w:r>
      </w:hyperlink>
      <w:r>
        <w:t>).</w:t>
      </w:r>
    </w:p>
    <w:p>
      <w:pPr>
        <w:pStyle w:val="Heading3"/>
      </w:pPr>
      <w:r>
        <w:t>Mariages mixtes dans la tribu de Siméon</w:t>
      </w:r>
    </w:p>
    <w:p>
      <w:r/>
      <w:r>
        <w:t>Les listes familiales de Siméon révèlent de nombreux mariages entre les autres tribus israélites et avec des non-Israélites :</w:t>
      </w:r>
    </w:p>
    <w:p>
      <w:pPr>
        <w:pStyle w:val="ListBullet"/>
        <w:spacing w:line="240" w:lineRule="auto"/>
        <w:ind w:left="720"/>
      </w:pPr>
      <w:r/>
      <w:r>
        <w:t>Saül, le fils de Siméon, était le fils d'une Cananéenne (</w:t>
      </w:r>
      <w:hyperlink r:id="rId7091">
        <w:r>
          <w:rPr>
            <w:color w:val="0000EE"/>
            <w:u w:val="single"/>
          </w:rPr>
          <w:t>Gn 46.10</w:t>
        </w:r>
      </w:hyperlink>
      <w:r>
        <w:t xml:space="preserve"> ; </w:t>
      </w:r>
      <w:hyperlink r:id="rId7092">
        <w:r>
          <w:rPr>
            <w:color w:val="0000EE"/>
            <w:u w:val="single"/>
          </w:rPr>
          <w:t>Ex 6.15</w:t>
        </w:r>
      </w:hyperlink>
      <w:r>
        <w:t>).</w:t>
      </w:r>
    </w:p>
    <w:p>
      <w:pPr>
        <w:pStyle w:val="ListBullet"/>
        <w:spacing w:line="240" w:lineRule="auto"/>
        <w:ind w:left="720"/>
      </w:pPr>
      <w:r/>
      <w:r>
        <w:t>Deux des fils de Siméon partagent des noms avec les fils d'Ismaël (</w:t>
      </w:r>
      <w:hyperlink r:id="rId13991">
        <w:r>
          <w:rPr>
            <w:color w:val="0000EE"/>
            <w:u w:val="single"/>
          </w:rPr>
          <w:t>Gn 25.13–14</w:t>
        </w:r>
      </w:hyperlink>
      <w:r>
        <w:t xml:space="preserve"> ; </w:t>
      </w:r>
      <w:hyperlink r:id="rId13992">
        <w:r>
          <w:rPr>
            <w:color w:val="0000EE"/>
            <w:u w:val="single"/>
          </w:rPr>
          <w:t>1Ch 1.29–30</w:t>
        </w:r>
      </w:hyperlink>
      <w:r>
        <w:t xml:space="preserve"> ;</w:t>
      </w:r>
      <w:hyperlink r:id="rId10035">
        <w:r>
          <w:rPr>
            <w:color w:val="0000EE"/>
            <w:u w:val="single"/>
          </w:rPr>
          <w:t xml:space="preserve"> 4.25</w:t>
        </w:r>
      </w:hyperlink>
      <w:r>
        <w:t>).</w:t>
      </w:r>
    </w:p>
    <w:p>
      <w:pPr>
        <w:pStyle w:val="ListBullet"/>
        <w:spacing w:line="240" w:lineRule="auto"/>
        <w:ind w:left="720"/>
      </w:pPr>
      <w:r/>
      <w:r>
        <w:t>Jamin était un descendant de Ram (</w:t>
      </w:r>
      <w:hyperlink r:id="rId7091">
        <w:r>
          <w:rPr>
            <w:color w:val="0000EE"/>
            <w:u w:val="single"/>
          </w:rPr>
          <w:t>Gn 46.10</w:t>
        </w:r>
      </w:hyperlink>
      <w:r>
        <w:t xml:space="preserve"> ; </w:t>
      </w:r>
      <w:hyperlink r:id="rId7092">
        <w:r>
          <w:rPr>
            <w:color w:val="0000EE"/>
            <w:u w:val="single"/>
          </w:rPr>
          <w:t>Ex 6.15</w:t>
        </w:r>
      </w:hyperlink>
      <w:r>
        <w:t xml:space="preserve"> ; </w:t>
      </w:r>
      <w:hyperlink r:id="rId7098">
        <w:r>
          <w:rPr>
            <w:color w:val="0000EE"/>
            <w:u w:val="single"/>
          </w:rPr>
          <w:t>1Ch 2.27</w:t>
        </w:r>
      </w:hyperlink>
      <w:r>
        <w:t>).</w:t>
      </w:r>
    </w:p>
    <w:p>
      <w:pPr>
        <w:pStyle w:val="Heading3"/>
      </w:pPr>
      <w:r>
        <w:t>La Tribu de Siméon dans le Nouveau Testament</w:t>
      </w:r>
    </w:p>
    <w:p>
      <w:r/>
      <w:r>
        <w:t>Dans le Nouveau Testament, la tribu de Siméon apparaît en septième position dans la liste des tribus scellées par Dieu (</w:t>
      </w:r>
      <w:hyperlink r:id="rId13993">
        <w:r>
          <w:rPr>
            <w:color w:val="0000EE"/>
            <w:u w:val="single"/>
          </w:rPr>
          <w:t>Ap 7.7</w:t>
        </w:r>
      </w:hyperlink>
      <w:r>
        <w:t>).</w:t>
      </w:r>
      <w:r/>
      <w:r/>
    </w:p>
    <w:p>
      <w:r/>
    </w:p>
    <w:p>
      <w:pPr>
        <w:pStyle w:val="Heading2"/>
      </w:pPr>
      <w:r>
        <w:t>Simon le Cananéen</w:t>
      </w:r>
      <w:r/>
    </w:p>
    <w:p>
      <w:r/>
      <w:r>
        <w:t xml:space="preserve">Nom de l'un des Douze dans </w:t>
      </w:r>
      <w:hyperlink r:id="rId7807">
        <w:r>
          <w:rPr>
            <w:color w:val="0000EE"/>
            <w:u w:val="single"/>
          </w:rPr>
          <w:t>Matthieu 10.4</w:t>
        </w:r>
      </w:hyperlink>
      <w:r>
        <w:t xml:space="preserve"> et </w:t>
      </w:r>
      <w:hyperlink r:id="rId586">
        <w:r>
          <w:rPr>
            <w:color w:val="0000EE"/>
            <w:u w:val="single"/>
          </w:rPr>
          <w:t>Marc 3.18</w:t>
        </w:r>
      </w:hyperlink>
      <w:r>
        <w:t xml:space="preserve"> dans certaines versions françaises (p. ex. Darby). Il est aussi appelé Simon le Cananite ou Simon le Zélote (</w:t>
      </w:r>
      <w:hyperlink r:id="rId587">
        <w:r>
          <w:rPr>
            <w:color w:val="0000EE"/>
            <w:u w:val="single"/>
          </w:rPr>
          <w:t>Lc 6.15</w:t>
        </w:r>
      </w:hyperlink>
      <w:r>
        <w:t xml:space="preserve"> ; </w:t>
      </w:r>
      <w:hyperlink r:id="rId588">
        <w:r>
          <w:rPr>
            <w:color w:val="0000EE"/>
            <w:u w:val="single"/>
          </w:rPr>
          <w:t>Ac 1.13</w:t>
        </w:r>
      </w:hyperlink>
      <w:r>
        <w:t xml:space="preserve">). </w:t>
      </w:r>
      <w:r>
        <w:rPr>
          <w:i/>
        </w:rPr>
        <w:t>Voir</w:t>
      </w:r>
      <w:r>
        <w:t xml:space="preserve"> </w:t>
      </w:r>
      <w:r>
        <w:t>Simon n° 5</w:t>
      </w:r>
      <w:r>
        <w:t>.</w:t>
      </w:r>
      <w:r/>
      <w:r/>
    </w:p>
    <w:p>
      <w:r/>
    </w:p>
    <w:p>
      <w:pPr>
        <w:pStyle w:val="Heading2"/>
      </w:pPr>
      <w:r>
        <w:t>Simon le Cananite</w:t>
      </w:r>
      <w:r/>
    </w:p>
    <w:p>
      <w:r/>
      <w:r>
        <w:t xml:space="preserve">Nom d'un des Douze dans </w:t>
      </w:r>
      <w:hyperlink r:id="rId7807">
        <w:r>
          <w:rPr>
            <w:color w:val="0000EE"/>
            <w:u w:val="single"/>
          </w:rPr>
          <w:t>Matthieu 10.4</w:t>
        </w:r>
      </w:hyperlink>
      <w:r>
        <w:t xml:space="preserve"> et </w:t>
      </w:r>
      <w:hyperlink r:id="rId586">
        <w:r>
          <w:rPr>
            <w:color w:val="0000EE"/>
            <w:u w:val="single"/>
          </w:rPr>
          <w:t>Marc 3.18</w:t>
        </w:r>
      </w:hyperlink>
      <w:r>
        <w:t xml:space="preserve">, parfois appelé le zélote (TOB 2010). </w:t>
      </w:r>
      <w:r>
        <w:rPr>
          <w:i/>
        </w:rPr>
        <w:t>Voir</w:t>
      </w:r>
      <w:r>
        <w:t xml:space="preserve"> </w:t>
      </w:r>
      <w:r>
        <w:t>Simon n°5</w:t>
      </w:r>
      <w:r>
        <w:t>.</w:t>
      </w:r>
      <w:r/>
      <w:r/>
    </w:p>
    <w:p>
      <w:r/>
    </w:p>
    <w:p>
      <w:pPr>
        <w:pStyle w:val="Heading2"/>
      </w:pPr>
      <w:r>
        <w:t>Simon le Magicien</w:t>
      </w:r>
      <w:r/>
    </w:p>
    <w:p>
      <w:r/>
      <w:r>
        <w:t>Sorcier de la région de Samarie qui semblait s'être converti au christianisme après avoir entendu Philippe prêcher (</w:t>
      </w:r>
      <w:hyperlink r:id="rId6318">
        <w:r>
          <w:rPr>
            <w:color w:val="0000EE"/>
            <w:u w:val="single"/>
          </w:rPr>
          <w:t>Ac 8.9–24</w:t>
        </w:r>
      </w:hyperlink>
      <w:r>
        <w:t>).</w:t>
      </w:r>
    </w:p>
    <w:p>
      <w:r/>
      <w:r>
        <w:rPr>
          <w:i/>
        </w:rPr>
        <w:t>Voir</w:t>
      </w:r>
      <w:r>
        <w:t xml:space="preserve"> </w:t>
      </w:r>
      <w:r>
        <w:t>Simon n° 8</w:t>
      </w:r>
      <w:r>
        <w:t>.</w:t>
      </w:r>
      <w:r/>
      <w:r/>
    </w:p>
    <w:p>
      <w:r/>
    </w:p>
    <w:p>
      <w:pPr>
        <w:pStyle w:val="Heading2"/>
      </w:pPr>
      <w:r>
        <w:t>Simon le Zélé</w:t>
      </w:r>
      <w:r/>
    </w:p>
    <w:p>
      <w:r/>
      <w:r>
        <w:t xml:space="preserve">Nom donné pour Simon le Zélote dans Matthieu 10.4 ; Marc 3.18 ; </w:t>
      </w:r>
      <w:hyperlink r:id="rId587">
        <w:r>
          <w:rPr>
            <w:color w:val="0000EE"/>
            <w:u w:val="single"/>
          </w:rPr>
          <w:t>Luc 6.15</w:t>
        </w:r>
      </w:hyperlink>
      <w:r>
        <w:t xml:space="preserve"> et </w:t>
      </w:r>
      <w:hyperlink r:id="rId588">
        <w:r>
          <w:rPr>
            <w:color w:val="0000EE"/>
            <w:u w:val="single"/>
          </w:rPr>
          <w:t>Actes 1.13</w:t>
        </w:r>
      </w:hyperlink>
      <w:r>
        <w:t xml:space="preserve"> dans la version Nouvelle Français courant. À noter également la Bible Parole de Vie, qui l'appelle </w:t>
      </w:r>
      <w:r>
        <w:t>« Simon le nationaliste ».</w:t>
      </w:r>
    </w:p>
    <w:p>
      <w:r/>
      <w:r>
        <w:rPr>
          <w:i/>
        </w:rPr>
        <w:t>Voir</w:t>
      </w:r>
      <w:r>
        <w:t xml:space="preserve"> </w:t>
      </w:r>
      <w:r>
        <w:t>Simon n° 5</w:t>
      </w:r>
      <w:r>
        <w:t>.</w:t>
      </w:r>
      <w:r/>
      <w:r/>
    </w:p>
    <w:p>
      <w:r/>
    </w:p>
    <w:p>
      <w:pPr>
        <w:pStyle w:val="Heading2"/>
      </w:pPr>
      <w:r>
        <w:t>Simon le Zélote</w:t>
      </w:r>
      <w:r/>
    </w:p>
    <w:p>
      <w:r/>
      <w:r>
        <w:t>Un des douze apôtres de Jésus (</w:t>
      </w:r>
      <w:hyperlink r:id="rId587">
        <w:r>
          <w:rPr>
            <w:color w:val="0000EE"/>
            <w:u w:val="single"/>
          </w:rPr>
          <w:t xml:space="preserve">Lc 6.15 </w:t>
        </w:r>
      </w:hyperlink>
      <w:r>
        <w:t xml:space="preserve">; </w:t>
      </w:r>
      <w:hyperlink r:id="rId588">
        <w:r>
          <w:rPr>
            <w:color w:val="0000EE"/>
            <w:u w:val="single"/>
          </w:rPr>
          <w:t>Ac 1.13</w:t>
        </w:r>
      </w:hyperlink>
      <w:r>
        <w:t>). Il est aussi appelé Simon le Cananite (</w:t>
      </w:r>
      <w:hyperlink r:id="rId7807">
        <w:r>
          <w:rPr>
            <w:color w:val="0000EE"/>
            <w:u w:val="single"/>
          </w:rPr>
          <w:t xml:space="preserve">Mt 10.4 </w:t>
        </w:r>
      </w:hyperlink>
      <w:r>
        <w:t xml:space="preserve">; </w:t>
      </w:r>
      <w:hyperlink r:id="rId586">
        <w:r>
          <w:rPr>
            <w:color w:val="0000EE"/>
            <w:u w:val="single"/>
          </w:rPr>
          <w:t>Mc 3.18)</w:t>
        </w:r>
      </w:hyperlink>
      <w:r>
        <w:t xml:space="preserve">. </w:t>
      </w:r>
      <w:r>
        <w:rPr>
          <w:i/>
        </w:rPr>
        <w:t>Voir</w:t>
      </w:r>
      <w:r>
        <w:t xml:space="preserve"> </w:t>
      </w:r>
      <w:r>
        <w:t>Simon n° 5</w:t>
      </w:r>
      <w:r>
        <w:t>.</w:t>
      </w:r>
      <w:r/>
      <w:r/>
    </w:p>
    <w:p>
      <w:r/>
    </w:p>
    <w:p>
      <w:pPr>
        <w:pStyle w:val="Heading2"/>
      </w:pPr>
      <w:r>
        <w:t>Sinaï, Sina</w:t>
      </w:r>
      <w:r/>
    </w:p>
    <w:p>
      <w:r/>
      <w:r>
        <w:t>Montagne où Dieu a rencontré Moïse et lui a donné les Dix Commandements ainsi que le reste de la loi. Le nom « Sinaï » fait référence à :</w:t>
      </w:r>
    </w:p>
    <w:p>
      <w:pPr>
        <w:pStyle w:val="ListBullet"/>
        <w:spacing w:line="240" w:lineRule="auto"/>
        <w:ind w:left="720"/>
      </w:pPr>
      <w:r/>
      <w:r>
        <w:t>La montagne elle-même,</w:t>
      </w:r>
    </w:p>
    <w:p>
      <w:pPr>
        <w:pStyle w:val="ListBullet"/>
        <w:spacing w:line="240" w:lineRule="auto"/>
        <w:ind w:left="720"/>
      </w:pPr>
      <w:r/>
      <w:r>
        <w:t>Le désert autour (</w:t>
      </w:r>
      <w:hyperlink r:id="rId13994">
        <w:r>
          <w:rPr>
            <w:color w:val="0000EE"/>
            <w:u w:val="single"/>
          </w:rPr>
          <w:t>Lv 7.38</w:t>
        </w:r>
      </w:hyperlink>
      <w:r>
        <w:t>), et</w:t>
      </w:r>
    </w:p>
    <w:p>
      <w:pPr>
        <w:pStyle w:val="ListBullet"/>
        <w:spacing w:line="240" w:lineRule="auto"/>
        <w:ind w:left="720"/>
      </w:pPr>
      <w:r/>
      <w:r>
        <w:t>L'ensemble de la péninsule du Sinaï, entre les deux bras de la mer Rouge : le golfe de Suez et le golfe d'Aqaba (ou Élath).</w:t>
      </w:r>
    </w:p>
    <w:p>
      <w:r/>
      <w:r>
        <w:t xml:space="preserve">Le nom Sinaï est probablement lié au désert de Sin et peut être une orthographe alternative (voir </w:t>
      </w:r>
      <w:hyperlink r:id="rId13995">
        <w:r>
          <w:rPr>
            <w:color w:val="0000EE"/>
            <w:u w:val="single"/>
          </w:rPr>
          <w:t>Ex 16.1</w:t>
        </w:r>
      </w:hyperlink>
      <w:r>
        <w:t xml:space="preserve"> ; </w:t>
      </w:r>
      <w:hyperlink r:id="rId13996">
        <w:r>
          <w:rPr>
            <w:color w:val="0000EE"/>
            <w:u w:val="single"/>
          </w:rPr>
          <w:t>17.1</w:t>
        </w:r>
      </w:hyperlink>
      <w:r>
        <w:t xml:space="preserve"> ; </w:t>
      </w:r>
      <w:hyperlink r:id="rId13997">
        <w:r>
          <w:rPr>
            <w:color w:val="0000EE"/>
            <w:u w:val="single"/>
          </w:rPr>
          <w:t>Nb 33.11–12</w:t>
        </w:r>
      </w:hyperlink>
      <w:r>
        <w:t xml:space="preserve">). Sin était le nom d'un ancien dieu lunaire qu'adoraient les habitants du désert. La montagne est également appelée Horeb, principalement dans le Deutéronome (voir aussi </w:t>
      </w:r>
      <w:hyperlink r:id="rId13998">
        <w:r>
          <w:rPr>
            <w:color w:val="0000EE"/>
            <w:u w:val="single"/>
          </w:rPr>
          <w:t>1R 8.9</w:t>
        </w:r>
      </w:hyperlink>
      <w:r>
        <w:t xml:space="preserve"> ; </w:t>
      </w:r>
      <w:hyperlink r:id="rId13999">
        <w:r>
          <w:rPr>
            <w:color w:val="0000EE"/>
            <w:u w:val="single"/>
          </w:rPr>
          <w:t>19.8</w:t>
        </w:r>
      </w:hyperlink>
      <w:r>
        <w:t xml:space="preserve"> ; </w:t>
      </w:r>
      <w:hyperlink r:id="rId14000">
        <w:r>
          <w:rPr>
            <w:color w:val="0000EE"/>
            <w:u w:val="single"/>
          </w:rPr>
          <w:t>2Ch 5.10</w:t>
        </w:r>
      </w:hyperlink>
      <w:r>
        <w:t xml:space="preserve"> ; </w:t>
      </w:r>
      <w:hyperlink r:id="rId14001">
        <w:r>
          <w:rPr>
            <w:color w:val="0000EE"/>
            <w:u w:val="single"/>
          </w:rPr>
          <w:t>Ps 106.19</w:t>
        </w:r>
      </w:hyperlink>
      <w:r>
        <w:t xml:space="preserve"> ; </w:t>
      </w:r>
      <w:hyperlink r:id="rId5216">
        <w:r>
          <w:rPr>
            <w:color w:val="0000EE"/>
            <w:u w:val="single"/>
          </w:rPr>
          <w:t>Ml 4.4</w:t>
        </w:r>
      </w:hyperlink>
      <w:r>
        <w:t>).</w:t>
      </w:r>
    </w:p>
    <w:p>
      <w:r/>
      <w:r>
        <w:t>La localisation traditionnelle de la montagne du Sinaï se trouve parmi les montagnes à l'extrémité sud de la péninsule du Sinaï. Depuis le 4e siècle, les chrétiens honorent Jebel Musa (qui signifie « Mont de Moïse » en arabe) comme le lieu où Dieu a façonné les familles de Jacob pour en faire la nation d'Israël. À la base de ce sommet de 2 250 m se trouve le monastère de Sainte-Catherine, un monastère grec orthodoxe qui est resté là pendant plus de 1 500 ans. D'autres sites possibles pour la montagne du Sinaï incluent le Jebel Katerina à proximité (qui mesure 2 650 m de haut) et le Jebel Serbal (qui mesure 2 050 m de haut). Certains chercheurs suggèrent un emplacement septentrional près de Kadès-Barnéa. D'autres plaident pour une montagne volcanique de l'autre côté du golfe à l'orient dans l'ancien Madian ou en Arabie (</w:t>
      </w:r>
      <w:hyperlink r:id="rId5275">
        <w:r>
          <w:rPr>
            <w:color w:val="0000EE"/>
            <w:u w:val="single"/>
          </w:rPr>
          <w:t>Ex 3.1</w:t>
        </w:r>
      </w:hyperlink>
      <w:r>
        <w:t xml:space="preserve"> ; </w:t>
      </w:r>
      <w:hyperlink r:id="rId1085">
        <w:r>
          <w:rPr>
            <w:color w:val="0000EE"/>
            <w:u w:val="single"/>
          </w:rPr>
          <w:t>Ga 4.25</w:t>
        </w:r>
      </w:hyperlink>
      <w:r>
        <w:t>).</w:t>
      </w:r>
    </w:p>
    <w:p>
      <w:r/>
      <w:r>
        <w:t xml:space="preserve">La plupart des références au Sinaï apparaissent dans les livres de l'Exode, du Lévitique et de Nombres. Le Sinaï est mentionné treize fois dans Exode, cinq fois dans le Lévitique et douze fois dans Nombres. Ces livres décrivent la remise de la loi et le campement, pendant deux années, des Israélites sur les plaines à côté de la montagne. </w:t>
      </w:r>
      <w:hyperlink r:id="rId560">
        <w:r>
          <w:rPr>
            <w:color w:val="0000EE"/>
            <w:u w:val="single"/>
          </w:rPr>
          <w:t>Exode 19</w:t>
        </w:r>
      </w:hyperlink>
      <w:r>
        <w:t xml:space="preserve"> et </w:t>
      </w:r>
      <w:hyperlink r:id="rId14002">
        <w:r>
          <w:rPr>
            <w:color w:val="0000EE"/>
            <w:u w:val="single"/>
          </w:rPr>
          <w:t>34</w:t>
        </w:r>
      </w:hyperlink>
      <w:r>
        <w:t xml:space="preserve"> sont particulièrement riches en références, car ces chapitres décrivent les rencontres entre Moïse et Dieu (Yahweh) lorsque la loi a été donnée.</w:t>
      </w:r>
    </w:p>
    <w:p>
      <w:r/>
      <w:r>
        <w:t>Dans l'Ancien Testament comme dans le Nouveau Testament, le Sinaï représente le lieu où Dieu est descendu pour rencontrer son peuple. Le Sinaï était rappelé comme le lieu de cette rencontre importante dans :</w:t>
      </w:r>
    </w:p>
    <w:p>
      <w:pPr>
        <w:pStyle w:val="ListBullet"/>
        <w:spacing w:line="240" w:lineRule="auto"/>
        <w:ind w:left="720"/>
      </w:pPr>
      <w:r/>
      <w:r>
        <w:t>La bénédiction de Moïse (</w:t>
      </w:r>
      <w:hyperlink r:id="rId7908">
        <w:r>
          <w:rPr>
            <w:color w:val="0000EE"/>
            <w:u w:val="single"/>
          </w:rPr>
          <w:t>Dt 33.2</w:t>
        </w:r>
      </w:hyperlink>
      <w:r>
        <w:t>),</w:t>
      </w:r>
    </w:p>
    <w:p>
      <w:pPr>
        <w:pStyle w:val="ListBullet"/>
        <w:spacing w:line="240" w:lineRule="auto"/>
        <w:ind w:left="720"/>
      </w:pPr>
      <w:r/>
      <w:r>
        <w:t>Le chant de Débora (</w:t>
      </w:r>
      <w:hyperlink r:id="rId14003">
        <w:r>
          <w:rPr>
            <w:color w:val="0000EE"/>
            <w:u w:val="single"/>
          </w:rPr>
          <w:t>Jg 5.5</w:t>
        </w:r>
      </w:hyperlink>
      <w:r>
        <w:t>),</w:t>
      </w:r>
    </w:p>
    <w:p>
      <w:pPr>
        <w:pStyle w:val="ListBullet"/>
        <w:spacing w:line="240" w:lineRule="auto"/>
        <w:ind w:left="720"/>
      </w:pPr>
      <w:r/>
      <w:hyperlink r:id="rId3940">
        <w:r>
          <w:rPr>
            <w:color w:val="0000EE"/>
            <w:u w:val="single"/>
          </w:rPr>
          <w:t>Psaume 68</w:t>
        </w:r>
      </w:hyperlink>
      <w:r>
        <w:t xml:space="preserve"> (versets </w:t>
      </w:r>
      <w:hyperlink r:id="rId14004">
        <w:r>
          <w:rPr>
            <w:color w:val="0000EE"/>
            <w:u w:val="single"/>
          </w:rPr>
          <w:t>8, 17</w:t>
        </w:r>
      </w:hyperlink>
      <w:r>
        <w:t>),</w:t>
      </w:r>
    </w:p>
    <w:p>
      <w:pPr>
        <w:pStyle w:val="ListBullet"/>
        <w:spacing w:line="240" w:lineRule="auto"/>
        <w:ind w:left="720"/>
      </w:pPr>
      <w:r/>
      <w:r>
        <w:t>La confession des Lévites au temps de Néhémie (</w:t>
      </w:r>
      <w:hyperlink r:id="rId14005">
        <w:r>
          <w:rPr>
            <w:color w:val="0000EE"/>
            <w:u w:val="single"/>
          </w:rPr>
          <w:t>Né 9.13</w:t>
        </w:r>
      </w:hyperlink>
      <w:r>
        <w:t>), et</w:t>
      </w:r>
    </w:p>
    <w:p>
      <w:pPr>
        <w:pStyle w:val="ListBullet"/>
        <w:spacing w:line="240" w:lineRule="auto"/>
        <w:ind w:left="720"/>
      </w:pPr>
      <w:r/>
      <w:r>
        <w:t>Le discours d'Étienne (</w:t>
      </w:r>
      <w:hyperlink r:id="rId14006">
        <w:r>
          <w:rPr>
            <w:color w:val="0000EE"/>
            <w:u w:val="single"/>
          </w:rPr>
          <w:t>Ac 7.30, 38</w:t>
        </w:r>
      </w:hyperlink>
      <w:r>
        <w:t>).</w:t>
      </w:r>
    </w:p>
    <w:p>
      <w:r/>
      <w:r>
        <w:t xml:space="preserve">Dans </w:t>
      </w:r>
      <w:hyperlink r:id="rId14007">
        <w:r>
          <w:rPr>
            <w:color w:val="0000EE"/>
            <w:u w:val="single"/>
          </w:rPr>
          <w:t>Galates 4.21–26</w:t>
        </w:r>
      </w:hyperlink>
      <w:r>
        <w:t>, l'apôtre Paul explique une allégorie où la montagne du Sinaï représente l'ancienne alliance, l'esclavage, et la ville actuelle de Jérusalem.</w:t>
      </w:r>
    </w:p>
    <w:p>
      <w:r/>
      <w:r>
        <w:rPr>
          <w:i/>
        </w:rPr>
        <w:t>Voir</w:t>
      </w:r>
      <w:r>
        <w:t xml:space="preserve"> </w:t>
      </w:r>
      <w:r>
        <w:t>Paran</w:t>
      </w:r>
      <w:r>
        <w:t xml:space="preserve"> ; </w:t>
      </w:r>
      <w:r>
        <w:t>Schur</w:t>
      </w:r>
      <w:r>
        <w:t xml:space="preserve"> ; </w:t>
      </w:r>
      <w:r>
        <w:t>Sin, Désert de</w:t>
      </w:r>
      <w:r>
        <w:t xml:space="preserve"> ; </w:t>
      </w:r>
      <w:r>
        <w:t>Commandements, Dix</w:t>
      </w:r>
      <w:r>
        <w:t xml:space="preserve"> ; </w:t>
      </w:r>
      <w:r>
        <w:t>Errances dans le désert</w:t>
      </w:r>
      <w:r>
        <w:t xml:space="preserve"> ; </w:t>
      </w:r>
      <w:r>
        <w:t>Tsin, Désert de</w:t>
      </w:r>
      <w:r>
        <w:t>.</w:t>
      </w:r>
      <w:r/>
      <w:r/>
    </w:p>
    <w:p>
      <w:r/>
    </w:p>
    <w:p>
      <w:pPr>
        <w:pStyle w:val="Heading2"/>
      </w:pPr>
      <w:r>
        <w:t>Sinien</w:t>
      </w:r>
      <w:r/>
    </w:p>
    <w:p>
      <w:r/>
      <w:r>
        <w:t>Tribu cananéenne, possiblement située dans le nord du Liban, dont l'ascendance remonte à Canaan, fils de Cham (</w:t>
      </w:r>
      <w:hyperlink r:id="rId1307">
        <w:r>
          <w:rPr>
            <w:color w:val="0000EE"/>
            <w:u w:val="single"/>
          </w:rPr>
          <w:t>Gn 10.17</w:t>
        </w:r>
      </w:hyperlink>
      <w:r>
        <w:t xml:space="preserve"> ; </w:t>
      </w:r>
      <w:hyperlink r:id="rId1308">
        <w:r>
          <w:rPr>
            <w:color w:val="0000EE"/>
            <w:u w:val="single"/>
          </w:rPr>
          <w:t>1Ch 1.15</w:t>
        </w:r>
      </w:hyperlink>
      <w:r>
        <w:t>).</w:t>
      </w:r>
      <w:r/>
      <w:r/>
    </w:p>
    <w:p>
      <w:r/>
    </w:p>
    <w:p>
      <w:pPr>
        <w:pStyle w:val="Heading2"/>
      </w:pPr>
      <w:r>
        <w:t>Sivan</w:t>
      </w:r>
      <w:r/>
    </w:p>
    <w:p>
      <w:r/>
      <w:r>
        <w:t>Sivan est le nom d'un mois dans le calendrier juif. Le mot provient probablement de la langue babylonienne (</w:t>
      </w:r>
      <w:hyperlink r:id="rId2132">
        <w:r>
          <w:rPr>
            <w:color w:val="0000EE"/>
            <w:u w:val="single"/>
          </w:rPr>
          <w:t>Est 8.9</w:t>
        </w:r>
      </w:hyperlink>
      <w:r>
        <w:t>). Ce mois correspond généralement à une partie de mai et juin dans le calendrier moderne.</w:t>
      </w:r>
    </w:p>
    <w:p>
      <w:r/>
      <w:r>
        <w:rPr>
          <w:i/>
        </w:rPr>
        <w:t>Voir</w:t>
      </w:r>
      <w:r>
        <w:t xml:space="preserve"> </w:t>
      </w:r>
      <w:r>
        <w:t>Calendriers, Anciens et modernes</w:t>
      </w:r>
      <w:r>
        <w:t>.</w:t>
      </w:r>
      <w:r/>
      <w:r/>
    </w:p>
    <w:p>
      <w:r/>
    </w:p>
    <w:p>
      <w:pPr>
        <w:pStyle w:val="Heading2"/>
      </w:pPr>
      <w:r>
        <w:t>Sodome et Gomorrhe</w:t>
      </w:r>
      <w:r/>
    </w:p>
    <w:p>
      <w:r/>
      <w:r>
        <w:t xml:space="preserve">Deux des « villes de la plaine » mentionnées dans </w:t>
      </w:r>
      <w:hyperlink r:id="rId11752">
        <w:r>
          <w:rPr>
            <w:color w:val="0000EE"/>
            <w:u w:val="single"/>
          </w:rPr>
          <w:t>Genèse 13.12</w:t>
        </w:r>
      </w:hyperlink>
      <w:r>
        <w:t>. Il y avait cinq villes situées dans la vallée de Siddim :</w:t>
      </w:r>
    </w:p>
    <w:p>
      <w:pPr>
        <w:pStyle w:val="ListNumber"/>
        <w:spacing w:line="240" w:lineRule="auto"/>
        <w:ind w:left="720"/>
      </w:pPr>
      <w:r/>
      <w:r>
        <w:t>Sodome</w:t>
      </w:r>
    </w:p>
    <w:p>
      <w:pPr>
        <w:pStyle w:val="ListNumber"/>
        <w:spacing w:line="240" w:lineRule="auto"/>
        <w:ind w:left="720"/>
      </w:pPr>
      <w:r/>
      <w:r>
        <w:t>Gomorrhe</w:t>
      </w:r>
    </w:p>
    <w:p>
      <w:pPr>
        <w:pStyle w:val="ListNumber"/>
        <w:spacing w:line="240" w:lineRule="auto"/>
        <w:ind w:left="720"/>
      </w:pPr>
      <w:r/>
      <w:r>
        <w:t>Adma</w:t>
      </w:r>
    </w:p>
    <w:p>
      <w:pPr>
        <w:pStyle w:val="ListNumber"/>
        <w:spacing w:line="240" w:lineRule="auto"/>
        <w:ind w:left="720"/>
      </w:pPr>
      <w:r/>
      <w:r>
        <w:t>Tseboïm</w:t>
      </w:r>
    </w:p>
    <w:p>
      <w:pPr>
        <w:pStyle w:val="ListNumber"/>
        <w:spacing w:line="240" w:lineRule="auto"/>
        <w:ind w:left="720"/>
      </w:pPr>
      <w:r/>
      <w:r>
        <w:t>Béla ou Tsoar (</w:t>
      </w:r>
      <w:hyperlink r:id="rId1733">
        <w:r>
          <w:rPr>
            <w:color w:val="0000EE"/>
            <w:u w:val="single"/>
          </w:rPr>
          <w:t>Gn 14.2</w:t>
        </w:r>
      </w:hyperlink>
      <w:r>
        <w:t>)</w:t>
      </w:r>
    </w:p>
    <w:p>
      <w:pPr>
        <w:pStyle w:val="Heading3"/>
      </w:pPr>
      <w:r>
        <w:t>Sodome et Gomorrhe dans la Bible</w:t>
      </w:r>
    </w:p>
    <w:p>
      <w:r/>
      <w:r>
        <w:t>La vallée de Siddim se trouve près de la mer Morte (ou mer Salée). Parmi ces villes, Sodome est mentionnée le plus souvent dans la Genèse. Elle est mentionnée trente-six fois, dont seize où Sodome est mentionnée seule. La Bible a fait de Sodome un exemple célèbre de ville dépravée. Sa destruction (</w:t>
      </w:r>
      <w:hyperlink r:id="rId2669">
        <w:r>
          <w:rPr>
            <w:color w:val="0000EE"/>
            <w:u w:val="single"/>
          </w:rPr>
          <w:t>Gn 19.24</w:t>
        </w:r>
      </w:hyperlink>
      <w:r>
        <w:t>) a été utilisée comme un avertissement du jugement de Dieu dans d'autres écrits bibliques :</w:t>
      </w:r>
    </w:p>
    <w:p>
      <w:pPr>
        <w:pStyle w:val="ListBullet"/>
        <w:spacing w:line="240" w:lineRule="auto"/>
        <w:ind w:left="720"/>
      </w:pPr>
      <w:r/>
      <w:hyperlink r:id="rId332">
        <w:r>
          <w:rPr>
            <w:color w:val="0000EE"/>
            <w:u w:val="single"/>
          </w:rPr>
          <w:t>Deutéronome 29.23</w:t>
        </w:r>
      </w:hyperlink>
    </w:p>
    <w:p>
      <w:pPr>
        <w:pStyle w:val="ListBullet"/>
        <w:spacing w:line="240" w:lineRule="auto"/>
        <w:ind w:left="720"/>
      </w:pPr>
      <w:r/>
      <w:hyperlink r:id="rId14008">
        <w:r>
          <w:rPr>
            <w:color w:val="0000EE"/>
            <w:u w:val="single"/>
          </w:rPr>
          <w:t>Ésaïe 1.9–10</w:t>
        </w:r>
      </w:hyperlink>
    </w:p>
    <w:p>
      <w:pPr>
        <w:pStyle w:val="ListBullet"/>
        <w:spacing w:line="240" w:lineRule="auto"/>
        <w:ind w:left="720"/>
      </w:pPr>
      <w:r/>
      <w:hyperlink r:id="rId14009">
        <w:r>
          <w:rPr>
            <w:color w:val="0000EE"/>
            <w:u w:val="single"/>
          </w:rPr>
          <w:t>Jérémie 23.14</w:t>
        </w:r>
      </w:hyperlink>
    </w:p>
    <w:p>
      <w:pPr>
        <w:pStyle w:val="ListBullet"/>
        <w:spacing w:line="240" w:lineRule="auto"/>
        <w:ind w:left="720"/>
      </w:pPr>
      <w:r/>
      <w:hyperlink r:id="rId14010">
        <w:r>
          <w:rPr>
            <w:color w:val="0000EE"/>
            <w:u w:val="single"/>
          </w:rPr>
          <w:t>Jérémie 49.18</w:t>
        </w:r>
      </w:hyperlink>
    </w:p>
    <w:p>
      <w:pPr>
        <w:pStyle w:val="ListBullet"/>
        <w:spacing w:line="240" w:lineRule="auto"/>
        <w:ind w:left="720"/>
      </w:pPr>
      <w:r/>
      <w:hyperlink r:id="rId14011">
        <w:r>
          <w:rPr>
            <w:color w:val="0000EE"/>
            <w:u w:val="single"/>
          </w:rPr>
          <w:t>Lamentations 4.6</w:t>
        </w:r>
      </w:hyperlink>
    </w:p>
    <w:p>
      <w:pPr>
        <w:pStyle w:val="ListBullet"/>
        <w:spacing w:line="240" w:lineRule="auto"/>
        <w:ind w:left="720"/>
      </w:pPr>
      <w:r/>
      <w:hyperlink r:id="rId14012">
        <w:r>
          <w:rPr>
            <w:color w:val="0000EE"/>
            <w:u w:val="single"/>
          </w:rPr>
          <w:t>Amos 4.11</w:t>
        </w:r>
      </w:hyperlink>
    </w:p>
    <w:p>
      <w:pPr>
        <w:pStyle w:val="ListBullet"/>
        <w:spacing w:line="240" w:lineRule="auto"/>
        <w:ind w:left="720"/>
      </w:pPr>
      <w:r/>
      <w:hyperlink r:id="rId14013">
        <w:r>
          <w:rPr>
            <w:color w:val="0000EE"/>
            <w:u w:val="single"/>
          </w:rPr>
          <w:t>Sophonie 2.9</w:t>
        </w:r>
      </w:hyperlink>
    </w:p>
    <w:p>
      <w:r/>
      <w:r>
        <w:t>L'histoire de la destruction de Sodome est également mentionnée dans le Nouveau Testament :</w:t>
      </w:r>
    </w:p>
    <w:p>
      <w:pPr>
        <w:pStyle w:val="ListBullet"/>
        <w:spacing w:line="240" w:lineRule="auto"/>
        <w:ind w:left="720"/>
      </w:pPr>
      <w:r/>
      <w:hyperlink r:id="rId14014">
        <w:r>
          <w:rPr>
            <w:color w:val="0000EE"/>
            <w:u w:val="single"/>
          </w:rPr>
          <w:t>Matthieu 10.15</w:t>
        </w:r>
      </w:hyperlink>
    </w:p>
    <w:p>
      <w:pPr>
        <w:pStyle w:val="ListBullet"/>
        <w:spacing w:line="240" w:lineRule="auto"/>
        <w:ind w:left="720"/>
      </w:pPr>
      <w:r/>
      <w:hyperlink r:id="rId14015">
        <w:r>
          <w:rPr>
            <w:color w:val="0000EE"/>
            <w:u w:val="single"/>
          </w:rPr>
          <w:t>Luc 10.12</w:t>
        </w:r>
      </w:hyperlink>
    </w:p>
    <w:p>
      <w:pPr>
        <w:pStyle w:val="ListBullet"/>
        <w:spacing w:line="240" w:lineRule="auto"/>
        <w:ind w:left="720"/>
      </w:pPr>
      <w:r/>
      <w:hyperlink r:id="rId14016">
        <w:r>
          <w:rPr>
            <w:color w:val="0000EE"/>
            <w:u w:val="single"/>
          </w:rPr>
          <w:t>Luc 17.29</w:t>
        </w:r>
      </w:hyperlink>
    </w:p>
    <w:p>
      <w:pPr>
        <w:pStyle w:val="ListBullet"/>
        <w:spacing w:line="240" w:lineRule="auto"/>
        <w:ind w:left="720"/>
      </w:pPr>
      <w:r/>
      <w:hyperlink r:id="rId6528">
        <w:r>
          <w:rPr>
            <w:color w:val="0000EE"/>
            <w:u w:val="single"/>
          </w:rPr>
          <w:t>Romains 9.29</w:t>
        </w:r>
      </w:hyperlink>
    </w:p>
    <w:p>
      <w:pPr>
        <w:pStyle w:val="ListBullet"/>
        <w:spacing w:line="240" w:lineRule="auto"/>
        <w:ind w:left="720"/>
      </w:pPr>
      <w:r/>
      <w:hyperlink r:id="rId2210">
        <w:r>
          <w:rPr>
            <w:color w:val="0000EE"/>
            <w:u w:val="single"/>
          </w:rPr>
          <w:t>2 Pierre 2.6</w:t>
        </w:r>
      </w:hyperlink>
    </w:p>
    <w:p>
      <w:pPr>
        <w:pStyle w:val="ListBullet"/>
        <w:spacing w:line="240" w:lineRule="auto"/>
        <w:ind w:left="720"/>
      </w:pPr>
      <w:r/>
      <w:hyperlink r:id="rId7836">
        <w:r>
          <w:rPr>
            <w:color w:val="0000EE"/>
            <w:u w:val="single"/>
          </w:rPr>
          <w:t>Jude 1.7</w:t>
        </w:r>
      </w:hyperlink>
    </w:p>
    <w:p>
      <w:pPr>
        <w:pStyle w:val="ListBullet"/>
        <w:spacing w:line="240" w:lineRule="auto"/>
        <w:ind w:left="720"/>
      </w:pPr>
      <w:r/>
      <w:hyperlink r:id="rId14017">
        <w:r>
          <w:rPr>
            <w:color w:val="0000EE"/>
            <w:u w:val="single"/>
          </w:rPr>
          <w:t>Apocalypse 11.8</w:t>
        </w:r>
      </w:hyperlink>
    </w:p>
    <w:p>
      <w:pPr>
        <w:pStyle w:val="Heading3"/>
      </w:pPr>
      <w:r>
        <w:t>Que s'est-il passé à Sodome et Gomorrhe ?</w:t>
      </w:r>
    </w:p>
    <w:p>
      <w:r/>
      <w:r>
        <w:t xml:space="preserve">L'histoire principale de Sodome et Gomorrhe se déroule dans </w:t>
      </w:r>
      <w:hyperlink r:id="rId95">
        <w:r>
          <w:rPr>
            <w:color w:val="0000EE"/>
            <w:u w:val="single"/>
          </w:rPr>
          <w:t>Genèse 18</w:t>
        </w:r>
      </w:hyperlink>
      <w:r>
        <w:t xml:space="preserve"> et </w:t>
      </w:r>
      <w:hyperlink r:id="rId96">
        <w:r>
          <w:rPr>
            <w:color w:val="0000EE"/>
            <w:u w:val="single"/>
          </w:rPr>
          <w:t>19</w:t>
        </w:r>
      </w:hyperlink>
      <w:r>
        <w:t xml:space="preserve">. L'intérêt biblique pour la ville commence au chapitre </w:t>
      </w:r>
      <w:hyperlink r:id="rId6008">
        <w:r>
          <w:rPr>
            <w:color w:val="0000EE"/>
            <w:u w:val="single"/>
          </w:rPr>
          <w:t>13</w:t>
        </w:r>
      </w:hyperlink>
      <w:r>
        <w:t>. Lot, le neveu d'Abraham, décide de s'installer dans la vallée du Jourdain, près de Sodome, parmi des gens connus pour être de grands pécheurs. L'un des pires péchés de Sodome était la perversion sexuelle, en particulier l'homosexualité. Le fait que Lot ait offert ses filles vierges aux hommes de Sodome pour protéger ses visiteurs angéliques montre l'influence corruptrice de la ville.</w:t>
      </w:r>
    </w:p>
    <w:p>
      <w:r/>
      <w:r>
        <w:t>Après que Lot se soit installé à Sodome, quatre rois de l'Est ont attaqué la région, y compris Sodome et Gomorrhe, et en ont pris le contrôle. Ils sont revenus quatorze ans plus tard pour réprimer une rébellion (</w:t>
      </w:r>
      <w:hyperlink r:id="rId14018">
        <w:r>
          <w:rPr>
            <w:color w:val="0000EE"/>
            <w:u w:val="single"/>
          </w:rPr>
          <w:t>Gn 14.1–5</w:t>
        </w:r>
      </w:hyperlink>
      <w:r>
        <w:t>). Lot sera capturé pendant ce conflit, pour être ensuite sauvé par Abraham. La méchanceté de Sodome et Gomorrhe était si grande que l'Éternel décidera de les détruire. Abraham plaidera miséricorde. Il demandera à Dieu d'épargner les villes si seulement dix hommes justes pouvaient y être trouvés (</w:t>
      </w:r>
      <w:hyperlink r:id="rId14019">
        <w:r>
          <w:rPr>
            <w:color w:val="0000EE"/>
            <w:u w:val="single"/>
          </w:rPr>
          <w:t>Gn 18.20–33</w:t>
        </w:r>
      </w:hyperlink>
      <w:r>
        <w:t>).</w:t>
      </w:r>
    </w:p>
    <w:p>
      <w:r/>
      <w:r>
        <w:t>Les deux visiteurs célestes qui sont allés à Sodome ont trouvé Lot assis à la porte de la ville (</w:t>
      </w:r>
      <w:hyperlink r:id="rId98">
        <w:r>
          <w:rPr>
            <w:color w:val="0000EE"/>
            <w:u w:val="single"/>
          </w:rPr>
          <w:t>Gn 19.1</w:t>
        </w:r>
      </w:hyperlink>
      <w:r>
        <w:t>). Ils ont informé Lot du plan de Dieu et l'ont exhorté, lui, sa femme et ses deux filles, à fuir la ville. Le Seigneur a ensuite fait pleuvoir du soufre et du feu sur Sodome et Gomorrhe. Le lendemain matin, Abraham verra de la fumée s'élever des villes détruites, comme la fumée d'une fournaise.</w:t>
      </w:r>
    </w:p>
    <w:p>
      <w:r/>
      <w:r>
        <w:rPr>
          <w:i/>
        </w:rPr>
        <w:t>Voir aussi</w:t>
      </w:r>
      <w:r>
        <w:t xml:space="preserve"> </w:t>
      </w:r>
      <w:r>
        <w:t>Villes de la plaine</w:t>
      </w:r>
      <w:r>
        <w:t>.</w:t>
      </w:r>
      <w:r/>
      <w:r/>
    </w:p>
    <w:p>
      <w:r/>
    </w:p>
    <w:p>
      <w:pPr>
        <w:pStyle w:val="Heading2"/>
      </w:pPr>
      <w:r>
        <w:t>Soleil</w:t>
      </w:r>
      <w:r/>
    </w:p>
    <w:p>
      <w:r/>
      <w:r>
        <w:t>Le soleil est l'une des grandes lumières créées par Dieu pour gouverner le jour (</w:t>
      </w:r>
      <w:hyperlink r:id="rId14020">
        <w:r>
          <w:rPr>
            <w:color w:val="0000EE"/>
            <w:u w:val="single"/>
          </w:rPr>
          <w:t>Gn 1.14–15</w:t>
        </w:r>
      </w:hyperlink>
      <w:r>
        <w:t>). À l'époque biblique, un nouveau jour commençait avec le coucher du soleil, et les sacrifices quotidiens étaient liés à sa position. La première offrande brûlée était donnée au lever du soleil (</w:t>
      </w:r>
      <w:hyperlink r:id="rId14021">
        <w:r>
          <w:rPr>
            <w:color w:val="0000EE"/>
            <w:u w:val="single"/>
          </w:rPr>
          <w:t>Ex 29.39</w:t>
        </w:r>
      </w:hyperlink>
      <w:r>
        <w:t xml:space="preserve"> ; </w:t>
      </w:r>
      <w:hyperlink r:id="rId14022">
        <w:r>
          <w:rPr>
            <w:color w:val="0000EE"/>
            <w:u w:val="single"/>
          </w:rPr>
          <w:t>Nb 28.4</w:t>
        </w:r>
      </w:hyperlink>
      <w:r>
        <w:t>). Dans le judaïsme rabbinique, les heures du jour variaient avec les saisons. Elles dépendaient du cycle solaire.</w:t>
      </w:r>
    </w:p>
    <w:p>
      <w:r/>
      <w:r>
        <w:t>Le calendrier israélite était lunaire. Cependant, le calendrier des principales fêtes au printemps (Pâque) et en automne (Trompettes, Expiation, Tabernacles) montre qu'ils prenaient également en compte l'année solaire. Le calendrier de Guézer, qui s'aligne avec l'agriculture, est basé sur l'année solaire. Le calendrier juif suit un cycle de dix-neuf ans. Il ajoute des mois supplémentaires dans sept de ces années pour aligner les cycles lunaire et solaire. La Bible ne mentionne pas ce système. Les experts pensent que le treizième mois a été ajouté plus tard. Des documents araméens de la colonie juive à Éléphantine montrent que ce cycle de dix-neuf ans était utilisé dès le 5e siècle av. J.‑C. Les royaumes de Juda et d'Israël utilisaient probablement un système similaire, bien qu'aucun document pour l'attester ne subsiste.</w:t>
      </w:r>
    </w:p>
    <w:p>
      <w:r/>
      <w:r>
        <w:t xml:space="preserve">Le judaïsme rabbinique reconnaît quatre saisons. L'Ancien Testament n'en mentionne que deux : « </w:t>
      </w:r>
      <w:r>
        <w:t>les semailles et la moisson, le froid et la chaleur, l’été et l’hiver</w:t>
      </w:r>
      <w:r>
        <w:t xml:space="preserve"> » (</w:t>
      </w:r>
      <w:hyperlink r:id="rId14023">
        <w:r>
          <w:rPr>
            <w:color w:val="0000EE"/>
            <w:u w:val="single"/>
          </w:rPr>
          <w:t>Gn 8.22</w:t>
        </w:r>
      </w:hyperlink>
      <w:r>
        <w:t>).</w:t>
      </w:r>
    </w:p>
    <w:p>
      <w:r/>
      <w:r>
        <w:t>Les quatre saisons sont liées au mouvement du soleil :</w:t>
      </w:r>
    </w:p>
    <w:p>
      <w:pPr>
        <w:pStyle w:val="ListBullet"/>
        <w:spacing w:line="240" w:lineRule="auto"/>
        <w:ind w:left="720"/>
      </w:pPr>
      <w:r/>
      <w:r>
        <w:t xml:space="preserve">L'automne (appelé </w:t>
      </w:r>
      <w:r>
        <w:rPr>
          <w:i/>
        </w:rPr>
        <w:t>setav,</w:t>
      </w:r>
      <w:r>
        <w:t xml:space="preserve"> un mot signifiant à l'origine « saison des pluies » ou « pluie » ; </w:t>
      </w:r>
      <w:hyperlink r:id="rId14024">
        <w:r>
          <w:rPr>
            <w:color w:val="0000EE"/>
            <w:u w:val="single"/>
          </w:rPr>
          <w:t>Ct 2.11</w:t>
        </w:r>
      </w:hyperlink>
      <w:r>
        <w:t>) commence lors de l'équinoxe d'automne (21 septembre)</w:t>
      </w:r>
    </w:p>
    <w:p>
      <w:pPr>
        <w:pStyle w:val="ListBullet"/>
        <w:spacing w:line="240" w:lineRule="auto"/>
        <w:ind w:left="720"/>
      </w:pPr>
      <w:r/>
      <w:r>
        <w:t>L'hiver (</w:t>
      </w:r>
      <w:r>
        <w:rPr>
          <w:i/>
        </w:rPr>
        <w:t>horeph</w:t>
      </w:r>
      <w:r>
        <w:t>) commence lors du solstice d'hiver (autour du 22 décembre).</w:t>
      </w:r>
    </w:p>
    <w:p>
      <w:pPr>
        <w:pStyle w:val="ListBullet"/>
        <w:spacing w:line="240" w:lineRule="auto"/>
        <w:ind w:left="720"/>
      </w:pPr>
      <w:r/>
      <w:r>
        <w:t>Le printemps (</w:t>
      </w:r>
      <w:r>
        <w:rPr>
          <w:i/>
        </w:rPr>
        <w:t>aviv</w:t>
      </w:r>
      <w:r>
        <w:t>) commence lors de l'équinoxe de printemps (21 mars).</w:t>
      </w:r>
    </w:p>
    <w:p>
      <w:pPr>
        <w:pStyle w:val="ListBullet"/>
        <w:spacing w:line="240" w:lineRule="auto"/>
        <w:ind w:left="720"/>
      </w:pPr>
      <w:r/>
      <w:r>
        <w:t>L'été (</w:t>
      </w:r>
      <w:r>
        <w:rPr>
          <w:i/>
        </w:rPr>
        <w:t>qayits</w:t>
      </w:r>
      <w:r>
        <w:t>) commence lors du solstice d'été (22 juin)</w:t>
      </w:r>
    </w:p>
    <w:p>
      <w:r/>
      <w:r>
        <w:t>Un temple trouvé à Beer-Schéba, datant de 125 av. J.‑C., était aligné avec le lever du soleil au solstice d'été. Un temple similaire à Lakis est orienté vers le solstice d'hiver. Le temple d'Arad de l'époque monarchique était presque orienté vers l'est. Il était probablement aligné avec le lever du soleil à l'équinoxe, tout comme le temple de Jérusalem.</w:t>
      </w:r>
    </w:p>
    <w:p>
      <w:r/>
      <w:r>
        <w:t>Dans la poésie hébraïque, le soleil est souvent utilisé comme une image puissante. Il est décrit comme :</w:t>
      </w:r>
    </w:p>
    <w:p>
      <w:pPr>
        <w:pStyle w:val="ListBullet"/>
        <w:spacing w:line="240" w:lineRule="auto"/>
        <w:ind w:left="720"/>
      </w:pPr>
      <w:r/>
      <w:r>
        <w:t>Ayant un lieu de résidence (</w:t>
      </w:r>
      <w:hyperlink r:id="rId14025">
        <w:r>
          <w:rPr>
            <w:color w:val="0000EE"/>
            <w:u w:val="single"/>
          </w:rPr>
          <w:t>Ha 3.11</w:t>
        </w:r>
      </w:hyperlink>
      <w:r>
        <w:t>)</w:t>
      </w:r>
    </w:p>
    <w:p>
      <w:pPr>
        <w:pStyle w:val="ListBullet"/>
        <w:spacing w:line="240" w:lineRule="auto"/>
        <w:ind w:left="720"/>
      </w:pPr>
      <w:r/>
      <w:r>
        <w:t>Sortant d'une tente comme un époux (</w:t>
      </w:r>
      <w:hyperlink r:id="rId14026">
        <w:r>
          <w:rPr>
            <w:color w:val="0000EE"/>
            <w:u w:val="single"/>
          </w:rPr>
          <w:t>Ps 19.4–5</w:t>
        </w:r>
      </w:hyperlink>
      <w:r>
        <w:t>)</w:t>
      </w:r>
    </w:p>
    <w:p>
      <w:r/>
      <w:r>
        <w:t>Le soleil symbolise :</w:t>
      </w:r>
    </w:p>
    <w:p>
      <w:pPr>
        <w:pStyle w:val="ListBullet"/>
        <w:spacing w:line="240" w:lineRule="auto"/>
        <w:ind w:left="720"/>
      </w:pPr>
      <w:r/>
      <w:r>
        <w:t>La constance (</w:t>
      </w:r>
      <w:hyperlink r:id="rId14027">
        <w:r>
          <w:rPr>
            <w:color w:val="0000EE"/>
            <w:u w:val="single"/>
          </w:rPr>
          <w:t>Ps 72.5, 17</w:t>
        </w:r>
      </w:hyperlink>
      <w:r>
        <w:t>)</w:t>
      </w:r>
    </w:p>
    <w:p>
      <w:pPr>
        <w:pStyle w:val="ListBullet"/>
        <w:spacing w:line="240" w:lineRule="auto"/>
        <w:ind w:left="720"/>
      </w:pPr>
      <w:r/>
      <w:r>
        <w:t>La loi (</w:t>
      </w:r>
      <w:hyperlink r:id="rId14028">
        <w:r>
          <w:rPr>
            <w:color w:val="0000EE"/>
            <w:u w:val="single"/>
          </w:rPr>
          <w:t>Ps 19.7</w:t>
        </w:r>
      </w:hyperlink>
      <w:r>
        <w:t>)</w:t>
      </w:r>
    </w:p>
    <w:p>
      <w:pPr>
        <w:pStyle w:val="ListBullet"/>
        <w:spacing w:line="240" w:lineRule="auto"/>
        <w:ind w:left="720"/>
      </w:pPr>
      <w:r/>
      <w:r>
        <w:t>La présence de Dieu (</w:t>
      </w:r>
      <w:hyperlink r:id="rId14029">
        <w:r>
          <w:rPr>
            <w:color w:val="0000EE"/>
            <w:u w:val="single"/>
          </w:rPr>
          <w:t>Ps 84.11</w:t>
        </w:r>
      </w:hyperlink>
      <w:r>
        <w:t>)</w:t>
      </w:r>
    </w:p>
    <w:p>
      <w:pPr>
        <w:pStyle w:val="ListBullet"/>
        <w:spacing w:line="240" w:lineRule="auto"/>
        <w:ind w:left="720"/>
      </w:pPr>
      <w:r/>
      <w:r>
        <w:t>La beauté (</w:t>
      </w:r>
      <w:hyperlink r:id="rId14030">
        <w:r>
          <w:rPr>
            <w:color w:val="0000EE"/>
            <w:u w:val="single"/>
          </w:rPr>
          <w:t>Ct 6.10</w:t>
        </w:r>
      </w:hyperlink>
      <w:r>
        <w:t>)</w:t>
      </w:r>
    </w:p>
    <w:p>
      <w:r/>
      <w:r>
        <w:t>Dans l'Ecclésiaste, la vie sur terre est souvent décrite comme se déroulant « sous le soleil » (</w:t>
      </w:r>
      <w:hyperlink r:id="rId14031">
        <w:r>
          <w:rPr>
            <w:color w:val="0000EE"/>
            <w:u w:val="single"/>
          </w:rPr>
          <w:t>Ec 1.3, 9, 14</w:t>
        </w:r>
      </w:hyperlink>
      <w:r>
        <w:t xml:space="preserve"> ; </w:t>
      </w:r>
      <w:hyperlink r:id="rId14032">
        <w:r>
          <w:rPr>
            <w:color w:val="0000EE"/>
            <w:u w:val="single"/>
          </w:rPr>
          <w:t>2.11</w:t>
        </w:r>
      </w:hyperlink>
      <w:r>
        <w:t>).</w:t>
      </w:r>
    </w:p>
    <w:p>
      <w:r/>
      <w:r>
        <w:t>En temps de chaos et de colère divine, la Bible décrit le soleil comme s'assombrissant (</w:t>
      </w:r>
      <w:hyperlink r:id="rId7693">
        <w:r>
          <w:rPr>
            <w:color w:val="0000EE"/>
            <w:u w:val="single"/>
          </w:rPr>
          <w:t>Es 13.10</w:t>
        </w:r>
      </w:hyperlink>
      <w:r>
        <w:t xml:space="preserve"> ; </w:t>
      </w:r>
      <w:hyperlink r:id="rId14033">
        <w:r>
          <w:rPr>
            <w:color w:val="0000EE"/>
            <w:u w:val="single"/>
          </w:rPr>
          <w:t>Ez 32.7</w:t>
        </w:r>
      </w:hyperlink>
      <w:r>
        <w:t xml:space="preserve"> ; </w:t>
      </w:r>
      <w:hyperlink r:id="rId14034">
        <w:r>
          <w:rPr>
            <w:color w:val="0000EE"/>
            <w:u w:val="single"/>
          </w:rPr>
          <w:t>Jl 2.10, 31</w:t>
        </w:r>
      </w:hyperlink>
      <w:r>
        <w:t xml:space="preserve"> ; </w:t>
      </w:r>
      <w:hyperlink r:id="rId7694">
        <w:r>
          <w:rPr>
            <w:color w:val="0000EE"/>
            <w:u w:val="single"/>
          </w:rPr>
          <w:t>3.15</w:t>
        </w:r>
      </w:hyperlink>
      <w:r>
        <w:t xml:space="preserve"> ; </w:t>
      </w:r>
      <w:hyperlink r:id="rId10971">
        <w:r>
          <w:rPr>
            <w:color w:val="0000EE"/>
            <w:u w:val="single"/>
          </w:rPr>
          <w:t>So 1.15</w:t>
        </w:r>
      </w:hyperlink>
      <w:r>
        <w:t xml:space="preserve"> ; </w:t>
      </w:r>
      <w:hyperlink r:id="rId1437">
        <w:r>
          <w:rPr>
            <w:color w:val="0000EE"/>
            <w:u w:val="single"/>
          </w:rPr>
          <w:t>Mt 24.29</w:t>
        </w:r>
      </w:hyperlink>
      <w:r>
        <w:t xml:space="preserve"> ; </w:t>
      </w:r>
      <w:hyperlink r:id="rId14035">
        <w:r>
          <w:rPr>
            <w:color w:val="0000EE"/>
            <w:u w:val="single"/>
          </w:rPr>
          <w:t>Ap 8.12</w:t>
        </w:r>
      </w:hyperlink>
      <w:r>
        <w:t>). Cette façon de parler fait probablement référence à une éclipse, un événement qui terrifiait les peuples anciens. Le soleil devenant pâle pourrait également se référer aux effets d'un « sirocco », dans lequel les tempêtes de sable et les nuages brumeux assombrissent le ciel. D'autre part, le jour de la victoire du Seigneur est décrit comme un moment où le soleil brillera sept fois plus qu'il ne le fait maintenant (</w:t>
      </w:r>
      <w:hyperlink r:id="rId4004">
        <w:r>
          <w:rPr>
            <w:color w:val="0000EE"/>
            <w:u w:val="single"/>
          </w:rPr>
          <w:t>Es 30.26</w:t>
        </w:r>
      </w:hyperlink>
      <w:r>
        <w:t>).</w:t>
      </w:r>
    </w:p>
    <w:p>
      <w:r/>
      <w:r>
        <w:rPr>
          <w:i/>
        </w:rPr>
        <w:t>Voir aussi</w:t>
      </w:r>
      <w:r>
        <w:t xml:space="preserve"> </w:t>
      </w:r>
      <w:r>
        <w:t>Astronomie</w:t>
      </w:r>
      <w:r>
        <w:t xml:space="preserve"> ; </w:t>
      </w:r>
      <w:r>
        <w:t>Calendriers, Anciens et modernes</w:t>
      </w:r>
      <w:r>
        <w:t xml:space="preserve"> ; </w:t>
      </w:r>
      <w:r>
        <w:t>Jour</w:t>
      </w:r>
      <w:r>
        <w:t xml:space="preserve"> ; </w:t>
      </w:r>
      <w:r>
        <w:t>Lune</w:t>
      </w:r>
      <w:r>
        <w:t>.</w:t>
      </w:r>
      <w:r/>
      <w:r/>
    </w:p>
    <w:p>
      <w:r/>
    </w:p>
    <w:p>
      <w:pPr>
        <w:pStyle w:val="Heading2"/>
      </w:pPr>
      <w:r>
        <w:t>Sopater</w:t>
      </w:r>
      <w:r/>
    </w:p>
    <w:p>
      <w:r/>
      <w:r>
        <w:t>Homme de l'Église de Bérée, Sopater accompagnera l'apôtre Paul à Jérusalem pour livrer l'offrande collectée par les Églises des Gentils. Cette offrande était destinée aux chrétiens juifs qui souffraient des effets d'une famine (</w:t>
      </w:r>
      <w:hyperlink r:id="rId1302">
        <w:r>
          <w:rPr>
            <w:color w:val="0000EE"/>
            <w:u w:val="single"/>
          </w:rPr>
          <w:t>Ac 20.4</w:t>
        </w:r>
      </w:hyperlink>
      <w:r>
        <w:t>). Il se peut que Sopater soit la même personne que Sosipater, le proche de Paul qui enverra des salutations à l'Église de Rome (</w:t>
      </w:r>
      <w:hyperlink r:id="rId7113">
        <w:r>
          <w:rPr>
            <w:color w:val="0000EE"/>
            <w:u w:val="single"/>
          </w:rPr>
          <w:t>Rm 16.21</w:t>
        </w:r>
      </w:hyperlink>
      <w:r>
        <w:t>).</w:t>
      </w:r>
      <w:r/>
      <w:r/>
    </w:p>
    <w:p>
      <w:r/>
    </w:p>
    <w:p>
      <w:pPr>
        <w:pStyle w:val="Heading2"/>
      </w:pPr>
      <w:r>
        <w:t>Sorgho</w:t>
      </w:r>
      <w:r/>
    </w:p>
    <w:p>
      <w:r/>
      <w:r>
        <w:t>Type d'herbe annuelle pouvant atteindre plus de 1,8 mètre de hauteur. Cette plante pourrait être l'hysope à laquelle une éponge imbibée de vinaigre avait été attachée pour proposer à boire à Jésus quand il était sur la croix (</w:t>
      </w:r>
      <w:hyperlink r:id="rId14036">
        <w:r>
          <w:rPr>
            <w:color w:val="0000EE"/>
            <w:u w:val="single"/>
          </w:rPr>
          <w:t>Mt 27.48</w:t>
        </w:r>
      </w:hyperlink>
      <w:r>
        <w:t xml:space="preserve"> ; </w:t>
      </w:r>
      <w:hyperlink r:id="rId14037">
        <w:r>
          <w:rPr>
            <w:color w:val="0000EE"/>
            <w:u w:val="single"/>
          </w:rPr>
          <w:t>Mc 15.36</w:t>
        </w:r>
      </w:hyperlink>
      <w:r>
        <w:t xml:space="preserve"> ; </w:t>
      </w:r>
      <w:hyperlink r:id="rId9867">
        <w:r>
          <w:rPr>
            <w:color w:val="0000EE"/>
            <w:u w:val="single"/>
          </w:rPr>
          <w:t>Jn 19.29</w:t>
        </w:r>
      </w:hyperlink>
      <w:r>
        <w:t xml:space="preserve">). </w:t>
      </w:r>
      <w:r>
        <w:rPr>
          <w:i/>
        </w:rPr>
        <w:t>Voir</w:t>
      </w:r>
      <w:r>
        <w:t xml:space="preserve"> </w:t>
      </w:r>
      <w:r>
        <w:t>plantes (hysope)</w:t>
      </w:r>
      <w:r>
        <w:t>.</w:t>
      </w:r>
      <w:r/>
      <w:r/>
    </w:p>
    <w:p>
      <w:r/>
    </w:p>
    <w:p>
      <w:pPr>
        <w:pStyle w:val="Heading2"/>
      </w:pPr>
      <w:r>
        <w:t>Sosthène</w:t>
      </w:r>
      <w:r/>
    </w:p>
    <w:p>
      <w:pPr>
        <w:pStyle w:val="ListNumber"/>
        <w:spacing w:line="240" w:lineRule="auto"/>
        <w:ind w:left="720"/>
      </w:pPr>
      <w:r/>
      <w:r>
        <w:t>Chef de la synagogue à Corinthe, Sosthène intentera une action en justice contre Paul devant Gallion, proconsul d'Achaïe. Une foule, qui était sans doute composée de Grecs, a entendu Gallion rejeter les accusations juives contre Paul. Ils ont donc saisi Sosthène et l'ont battu (</w:t>
      </w:r>
      <w:hyperlink r:id="rId3194">
        <w:r>
          <w:rPr>
            <w:color w:val="0000EE"/>
            <w:u w:val="single"/>
          </w:rPr>
          <w:t>Ac 18.17</w:t>
        </w:r>
      </w:hyperlink>
      <w:r>
        <w:t>).</w:t>
      </w:r>
    </w:p>
    <w:p>
      <w:pPr>
        <w:pStyle w:val="ListNumber"/>
        <w:spacing w:line="240" w:lineRule="auto"/>
        <w:ind w:left="720"/>
      </w:pPr>
      <w:r/>
      <w:r>
        <w:t xml:space="preserve">Frère chrétien et compagnon de l'apôtre Paul, connu des chrétiens de Corinthe et mentionné par Paul dans </w:t>
      </w:r>
      <w:hyperlink r:id="rId1054">
        <w:r>
          <w:rPr>
            <w:color w:val="0000EE"/>
            <w:u w:val="single"/>
          </w:rPr>
          <w:t>1 Corinthiens 1.1</w:t>
        </w:r>
      </w:hyperlink>
      <w:r>
        <w:t>.</w:t>
      </w:r>
      <w:r/>
      <w:r/>
    </w:p>
    <w:p>
      <w:r/>
    </w:p>
    <w:p>
      <w:pPr>
        <w:pStyle w:val="Heading2"/>
      </w:pPr>
      <w:r>
        <w:t>sou</w:t>
      </w:r>
      <w:r/>
    </w:p>
    <w:p>
      <w:r/>
      <w:r>
        <w:t xml:space="preserve">Mot ancien qui désigne une pièce de monnaie de peu de valeur. Dans les versions françaises, le mot « sou » est parfois utilisé au lieu de traduire le nom grec de la pièce dont il s'agit. Dans </w:t>
      </w:r>
      <w:hyperlink r:id="rId11235">
        <w:r>
          <w:rPr>
            <w:color w:val="0000EE"/>
            <w:u w:val="single"/>
          </w:rPr>
          <w:t>Matthieu 10.29</w:t>
        </w:r>
      </w:hyperlink>
      <w:r>
        <w:t xml:space="preserve">, il s'agit d'un </w:t>
      </w:r>
      <w:r>
        <w:rPr>
          <w:i/>
        </w:rPr>
        <w:t>assarion</w:t>
      </w:r>
      <w:r>
        <w:t xml:space="preserve"> (pièce grecque) ou d'un as (pièce romaine). Dans </w:t>
      </w:r>
      <w:hyperlink r:id="rId14038">
        <w:r>
          <w:rPr>
            <w:color w:val="0000EE"/>
            <w:u w:val="single"/>
          </w:rPr>
          <w:t>Marc 12.42</w:t>
        </w:r>
      </w:hyperlink>
      <w:r>
        <w:t xml:space="preserve">, il s'agit d'un </w:t>
      </w:r>
      <w:r>
        <w:rPr>
          <w:i/>
        </w:rPr>
        <w:t>quadrans</w:t>
      </w:r>
      <w:r>
        <w:t xml:space="preserve">, soit le quart d'un </w:t>
      </w:r>
      <w:r>
        <w:rPr>
          <w:i/>
        </w:rPr>
        <w:t xml:space="preserve">assarion </w:t>
      </w:r>
      <w:r>
        <w:t>ou d'un</w:t>
      </w:r>
      <w:r>
        <w:rPr>
          <w:i/>
        </w:rPr>
        <w:t xml:space="preserve"> as</w:t>
      </w:r>
      <w:r>
        <w:t xml:space="preserve">. </w:t>
      </w:r>
    </w:p>
    <w:p>
      <w:r/>
      <w:r>
        <w:rPr>
          <w:i/>
        </w:rPr>
        <w:t>Voir aussi</w:t>
      </w:r>
      <w:r>
        <w:t xml:space="preserve"> </w:t>
      </w:r>
      <w:r>
        <w:t>pièces de monnaie</w:t>
      </w:r>
      <w:r>
        <w:t xml:space="preserve"> ; </w:t>
      </w:r>
      <w:r>
        <w:t>argent</w:t>
      </w:r>
      <w:r>
        <w:t>.</w:t>
      </w:r>
      <w:r/>
      <w:r/>
    </w:p>
    <w:p>
      <w:r/>
    </w:p>
    <w:p>
      <w:pPr>
        <w:pStyle w:val="Heading2"/>
      </w:pPr>
      <w:r>
        <w:t>Souffrance</w:t>
      </w:r>
      <w:r/>
    </w:p>
    <w:p>
      <w:r/>
      <w:r>
        <w:t>Tout ce qui provoque de la douleur ou de la détresse, comme une calamité.</w:t>
      </w:r>
    </w:p>
    <w:p>
      <w:r/>
      <w:r>
        <w:t xml:space="preserve">Selon la Bible, l'affliction a commencé lorsque le péché est entré dans le monde. L'humanité et toute la création ont été affligées par des « épines et des ronces », le péché, la mort et la déchéance (voir </w:t>
      </w:r>
      <w:hyperlink r:id="rId14039">
        <w:r>
          <w:rPr>
            <w:color w:val="0000EE"/>
            <w:u w:val="single"/>
          </w:rPr>
          <w:t>Gn 3.16–19</w:t>
        </w:r>
      </w:hyperlink>
      <w:r>
        <w:t xml:space="preserve"> ; </w:t>
      </w:r>
      <w:hyperlink r:id="rId14040">
        <w:r>
          <w:rPr>
            <w:color w:val="0000EE"/>
            <w:u w:val="single"/>
          </w:rPr>
          <w:t>Rm 8.18–21</w:t>
        </w:r>
      </w:hyperlink>
      <w:r>
        <w:t>). À cause du péché, la misère est une expérience humaine commune, et nos vies courtes sont remplies de problèmes (</w:t>
      </w:r>
      <w:hyperlink r:id="rId14041">
        <w:r>
          <w:rPr>
            <w:color w:val="0000EE"/>
            <w:u w:val="single"/>
          </w:rPr>
          <w:t>Jb 14.1–6</w:t>
        </w:r>
      </w:hyperlink>
      <w:r>
        <w:t>). Les êtres humains ne peuvent éviter les catastrophes naturelles, les blessures physiques et les conflits avec autrui (</w:t>
      </w:r>
      <w:hyperlink r:id="rId14042">
        <w:r>
          <w:rPr>
            <w:color w:val="0000EE"/>
            <w:u w:val="single"/>
          </w:rPr>
          <w:t>2Ch 20.9</w:t>
        </w:r>
      </w:hyperlink>
      <w:r>
        <w:t>). Cependant, Dieu utilise l'affliction pour enseigner et discipliner son peuple. Cette affliction est démontrée par l'oppression que les Israélites ont affrontée en divers lieux :</w:t>
      </w:r>
    </w:p>
    <w:p>
      <w:pPr>
        <w:pStyle w:val="ListBullet"/>
        <w:spacing w:line="240" w:lineRule="auto"/>
        <w:ind w:left="720"/>
      </w:pPr>
      <w:r/>
      <w:r>
        <w:t>En Égypte (</w:t>
      </w:r>
      <w:hyperlink r:id="rId14043">
        <w:r>
          <w:rPr>
            <w:color w:val="0000EE"/>
            <w:u w:val="single"/>
          </w:rPr>
          <w:t>Ex 4.31</w:t>
        </w:r>
      </w:hyperlink>
      <w:r>
        <w:t>).</w:t>
      </w:r>
    </w:p>
    <w:p>
      <w:pPr>
        <w:pStyle w:val="ListBullet"/>
        <w:spacing w:line="240" w:lineRule="auto"/>
        <w:ind w:left="720"/>
      </w:pPr>
      <w:r/>
      <w:r>
        <w:t>Dans leurs luttes pendant la période des juges (</w:t>
      </w:r>
      <w:hyperlink r:id="rId14044">
        <w:r>
          <w:rPr>
            <w:color w:val="0000EE"/>
            <w:u w:val="single"/>
          </w:rPr>
          <w:t>Né 9.26–27</w:t>
        </w:r>
      </w:hyperlink>
      <w:r>
        <w:t>).</w:t>
      </w:r>
    </w:p>
    <w:p>
      <w:pPr>
        <w:pStyle w:val="ListBullet"/>
        <w:spacing w:line="240" w:lineRule="auto"/>
        <w:ind w:left="720"/>
      </w:pPr>
      <w:r/>
      <w:r>
        <w:t>Lors de leur exil à Babylone (</w:t>
      </w:r>
      <w:hyperlink r:id="rId14045">
        <w:r>
          <w:rPr>
            <w:color w:val="0000EE"/>
            <w:u w:val="single"/>
          </w:rPr>
          <w:t>Es 26.16</w:t>
        </w:r>
      </w:hyperlink>
      <w:r>
        <w:t>).</w:t>
      </w:r>
    </w:p>
    <w:p>
      <w:r/>
      <w:r>
        <w:t>Dans leur détresse, les Israélites ont crié à Dieu. Il les a délivrés et les a guidés vers l'obéissance (</w:t>
      </w:r>
      <w:hyperlink r:id="rId14046">
        <w:r>
          <w:rPr>
            <w:color w:val="0000EE"/>
            <w:u w:val="single"/>
          </w:rPr>
          <w:t>Jr 10.18</w:t>
        </w:r>
      </w:hyperlink>
      <w:r>
        <w:t xml:space="preserve"> ; </w:t>
      </w:r>
      <w:hyperlink r:id="rId11449">
        <w:r>
          <w:rPr>
            <w:color w:val="0000EE"/>
            <w:u w:val="single"/>
          </w:rPr>
          <w:t>Os 5.15–6.3</w:t>
        </w:r>
      </w:hyperlink>
      <w:r>
        <w:t>).</w:t>
      </w:r>
    </w:p>
    <w:p>
      <w:r/>
      <w:r>
        <w:t>La Bible reconnaît qu'elle est difficile à comprendre. Il est difficile de voir pourquoi les justes souffrent tant (</w:t>
      </w:r>
      <w:hyperlink r:id="rId14047">
        <w:r>
          <w:rPr>
            <w:color w:val="0000EE"/>
            <w:u w:val="single"/>
          </w:rPr>
          <w:t>Ps 34.19</w:t>
        </w:r>
      </w:hyperlink>
      <w:r>
        <w:t xml:space="preserve"> ; </w:t>
      </w:r>
      <w:hyperlink r:id="rId14048">
        <w:r>
          <w:rPr>
            <w:color w:val="0000EE"/>
            <w:u w:val="single"/>
          </w:rPr>
          <w:t>37.39</w:t>
        </w:r>
      </w:hyperlink>
      <w:r>
        <w:t xml:space="preserve"> ; </w:t>
      </w:r>
      <w:hyperlink r:id="rId14049">
        <w:r>
          <w:rPr>
            <w:color w:val="0000EE"/>
            <w:u w:val="single"/>
          </w:rPr>
          <w:t>138.7</w:t>
        </w:r>
      </w:hyperlink>
      <w:r>
        <w:t>). Même le prophète et le « Serviteur de l'</w:t>
      </w:r>
      <w:r>
        <w:t>Éternel</w:t>
      </w:r>
      <w:r>
        <w:t xml:space="preserve"> » (le Messie) n'ont pas été épargnés (</w:t>
      </w:r>
      <w:hyperlink r:id="rId14050">
        <w:r>
          <w:rPr>
            <w:color w:val="0000EE"/>
            <w:u w:val="single"/>
          </w:rPr>
          <w:t>Es 53.2–12</w:t>
        </w:r>
      </w:hyperlink>
      <w:r>
        <w:t xml:space="preserve"> ; </w:t>
      </w:r>
      <w:hyperlink r:id="rId14051">
        <w:r>
          <w:rPr>
            <w:color w:val="0000EE"/>
            <w:u w:val="single"/>
          </w:rPr>
          <w:t>Jr 15.15</w:t>
        </w:r>
      </w:hyperlink>
      <w:r>
        <w:t>). Jésus-Christ a porté les douleurs et les peines de l'humanité. Il a accompli la prophétie d'affliction qui a commencé avec le péché d'Adam (</w:t>
      </w:r>
      <w:hyperlink r:id="rId14052">
        <w:r>
          <w:rPr>
            <w:color w:val="0000EE"/>
            <w:u w:val="single"/>
          </w:rPr>
          <w:t>Es 53.4–5</w:t>
        </w:r>
      </w:hyperlink>
      <w:r>
        <w:t xml:space="preserve"> ; </w:t>
      </w:r>
      <w:hyperlink r:id="rId6718">
        <w:r>
          <w:rPr>
            <w:color w:val="0000EE"/>
            <w:u w:val="single"/>
          </w:rPr>
          <w:t>1P 2.24</w:t>
        </w:r>
      </w:hyperlink>
      <w:r>
        <w:t>).</w:t>
      </w:r>
    </w:p>
    <w:p>
      <w:r/>
      <w:r>
        <w:t>Jésus a averti ses disciples qu'ils feraient face à de nombreuses épreuves et peines (</w:t>
      </w:r>
      <w:hyperlink r:id="rId10296">
        <w:r>
          <w:rPr>
            <w:color w:val="0000EE"/>
            <w:u w:val="single"/>
          </w:rPr>
          <w:t>Jn 16.33</w:t>
        </w:r>
      </w:hyperlink>
      <w:r>
        <w:t>). Paul a enseigné que l'entrée dans le royaume de Dieu s'accompagne de nombreux troubles (</w:t>
      </w:r>
      <w:hyperlink r:id="rId11889">
        <w:r>
          <w:rPr>
            <w:color w:val="0000EE"/>
            <w:u w:val="single"/>
          </w:rPr>
          <w:t>Ac 14.22</w:t>
        </w:r>
      </w:hyperlink>
      <w:r>
        <w:t>). Cela ne devrait cependant pas affaiblir la foi d'un chrétien (</w:t>
      </w:r>
      <w:hyperlink r:id="rId12243">
        <w:r>
          <w:rPr>
            <w:color w:val="0000EE"/>
            <w:u w:val="single"/>
          </w:rPr>
          <w:t>1Th 3.3</w:t>
        </w:r>
      </w:hyperlink>
      <w:r>
        <w:t>). Elles devraient être vues comme complétant ce qui manque aux souffrances du Christ pour son corps, l'Église (</w:t>
      </w:r>
      <w:hyperlink r:id="rId2299">
        <w:r>
          <w:rPr>
            <w:color w:val="0000EE"/>
            <w:u w:val="single"/>
          </w:rPr>
          <w:t>2Co 4.10–11</w:t>
        </w:r>
      </w:hyperlink>
      <w:r>
        <w:t xml:space="preserve"> ; </w:t>
      </w:r>
      <w:hyperlink r:id="rId14053">
        <w:r>
          <w:rPr>
            <w:color w:val="0000EE"/>
            <w:u w:val="single"/>
          </w:rPr>
          <w:t>Col 1.24</w:t>
        </w:r>
      </w:hyperlink>
      <w:r>
        <w:t>). La Bible suggère également que l'affliction deviendra plus intense à mesure que « la fin » approche (</w:t>
      </w:r>
      <w:hyperlink r:id="rId14054">
        <w:r>
          <w:rPr>
            <w:color w:val="0000EE"/>
            <w:u w:val="single"/>
          </w:rPr>
          <w:t>Mt 24.9–14</w:t>
        </w:r>
      </w:hyperlink>
      <w:r>
        <w:t xml:space="preserve"> ; </w:t>
      </w:r>
      <w:hyperlink r:id="rId14055">
        <w:r>
          <w:rPr>
            <w:color w:val="0000EE"/>
            <w:u w:val="single"/>
          </w:rPr>
          <w:t>2Tm 3.13</w:t>
        </w:r>
      </w:hyperlink>
      <w:r>
        <w:t>). Les forces de Satan attaqueront pour tromper et détruire les « élus » (</w:t>
      </w:r>
      <w:hyperlink r:id="rId14056">
        <w:r>
          <w:rPr>
            <w:color w:val="0000EE"/>
            <w:u w:val="single"/>
          </w:rPr>
          <w:t>Mt 24.24</w:t>
        </w:r>
      </w:hyperlink>
      <w:r>
        <w:t xml:space="preserve"> ; </w:t>
      </w:r>
      <w:hyperlink r:id="rId14057">
        <w:r>
          <w:rPr>
            <w:color w:val="0000EE"/>
            <w:u w:val="single"/>
          </w:rPr>
          <w:t>2Th 2.9–12</w:t>
        </w:r>
      </w:hyperlink>
      <w:r>
        <w:t xml:space="preserve"> ; </w:t>
      </w:r>
      <w:hyperlink r:id="rId14058">
        <w:r>
          <w:rPr>
            <w:color w:val="0000EE"/>
            <w:u w:val="single"/>
          </w:rPr>
          <w:t>Ap 20.7–9</w:t>
        </w:r>
      </w:hyperlink>
      <w:r>
        <w:t>). Lorsque Jésus-Christ sera révélé du ciel dans un feu flamboyant, Dieu affligera ceux qui ont fait du mal aux croyants. Il se vengera de ceux qui n'ont pas obéi à l'Évangile de Jésus-Christ (</w:t>
      </w:r>
      <w:hyperlink r:id="rId665">
        <w:r>
          <w:rPr>
            <w:color w:val="0000EE"/>
            <w:u w:val="single"/>
          </w:rPr>
          <w:t>Rm 2.9</w:t>
        </w:r>
      </w:hyperlink>
      <w:r>
        <w:t xml:space="preserve"> ; </w:t>
      </w:r>
      <w:hyperlink r:id="rId8477">
        <w:r>
          <w:rPr>
            <w:color w:val="0000EE"/>
            <w:u w:val="single"/>
          </w:rPr>
          <w:t>2Th 1.5–10</w:t>
        </w:r>
      </w:hyperlink>
      <w:r>
        <w:t xml:space="preserve"> ; </w:t>
      </w:r>
      <w:hyperlink r:id="rId14059">
        <w:r>
          <w:rPr>
            <w:color w:val="0000EE"/>
            <w:u w:val="single"/>
          </w:rPr>
          <w:t>2.7–8</w:t>
        </w:r>
      </w:hyperlink>
      <w:r>
        <w:t>).</w:t>
      </w:r>
    </w:p>
    <w:p>
      <w:r/>
      <w:r>
        <w:rPr>
          <w:i/>
        </w:rPr>
        <w:t>Voir aussi</w:t>
      </w:r>
      <w:r>
        <w:t xml:space="preserve"> </w:t>
      </w:r>
      <w:r>
        <w:t>Persécution</w:t>
      </w:r>
      <w:r>
        <w:t xml:space="preserve"> ; </w:t>
      </w:r>
      <w:r>
        <w:t>Tribulation</w:t>
      </w:r>
      <w:r>
        <w:t>.</w:t>
      </w:r>
      <w:r/>
      <w:r/>
    </w:p>
    <w:p>
      <w:r/>
    </w:p>
    <w:p>
      <w:pPr>
        <w:pStyle w:val="Heading2"/>
      </w:pPr>
      <w:r>
        <w:t>Soufre</w:t>
      </w:r>
      <w:r/>
    </w:p>
    <w:p>
      <w:r/>
      <w:r>
        <w:t>Élément non métallique. Le soufre s'enflamme à des températures plus basses que de nombreuses autres substances. Il brûle en produisant des fumées âcres de dioxyde de soufre. Le soufre se trouve naturellement dans les régions volcaniques, comme la vallée de la mer Morte.</w:t>
      </w:r>
    </w:p>
    <w:p>
      <w:r/>
      <w:r>
        <w:t>Dans la Bible, le « feu et le soufre » sont souvent utilisés pour illustrer la punition de Dieu envers le mal (</w:t>
      </w:r>
      <w:hyperlink r:id="rId2669">
        <w:r>
          <w:rPr>
            <w:color w:val="0000EE"/>
            <w:u w:val="single"/>
          </w:rPr>
          <w:t>Gn 19.24</w:t>
        </w:r>
      </w:hyperlink>
      <w:r>
        <w:t xml:space="preserve"> ; </w:t>
      </w:r>
      <w:hyperlink r:id="rId332">
        <w:r>
          <w:rPr>
            <w:color w:val="0000EE"/>
            <w:u w:val="single"/>
          </w:rPr>
          <w:t>Dt 29.23</w:t>
        </w:r>
      </w:hyperlink>
      <w:r>
        <w:t xml:space="preserve"> ; </w:t>
      </w:r>
      <w:hyperlink r:id="rId14060">
        <w:r>
          <w:rPr>
            <w:color w:val="0000EE"/>
            <w:u w:val="single"/>
          </w:rPr>
          <w:t>Jb 18.15</w:t>
        </w:r>
      </w:hyperlink>
      <w:r>
        <w:t xml:space="preserve"> ; </w:t>
      </w:r>
      <w:hyperlink r:id="rId3454">
        <w:r>
          <w:rPr>
            <w:color w:val="0000EE"/>
            <w:u w:val="single"/>
          </w:rPr>
          <w:t>Ps 11.6</w:t>
        </w:r>
      </w:hyperlink>
      <w:r>
        <w:t xml:space="preserve"> ; </w:t>
      </w:r>
      <w:hyperlink r:id="rId11936">
        <w:r>
          <w:rPr>
            <w:color w:val="0000EE"/>
            <w:u w:val="single"/>
          </w:rPr>
          <w:t>Ez 38.22</w:t>
        </w:r>
      </w:hyperlink>
      <w:r>
        <w:t xml:space="preserve"> ; </w:t>
      </w:r>
      <w:hyperlink r:id="rId14016">
        <w:r>
          <w:rPr>
            <w:color w:val="0000EE"/>
            <w:u w:val="single"/>
          </w:rPr>
          <w:t>Lc 17.29</w:t>
        </w:r>
      </w:hyperlink>
      <w:r>
        <w:t xml:space="preserve"> ; </w:t>
      </w:r>
      <w:hyperlink r:id="rId14061">
        <w:r>
          <w:rPr>
            <w:color w:val="0000EE"/>
            <w:u w:val="single"/>
          </w:rPr>
          <w:t>Ap 9.17–18</w:t>
        </w:r>
      </w:hyperlink>
      <w:r>
        <w:t xml:space="preserve"> ; </w:t>
      </w:r>
      <w:hyperlink r:id="rId3460">
        <w:r>
          <w:rPr>
            <w:color w:val="0000EE"/>
            <w:u w:val="single"/>
          </w:rPr>
          <w:t>14.10</w:t>
        </w:r>
      </w:hyperlink>
      <w:r>
        <w:t xml:space="preserve"> ; </w:t>
      </w:r>
      <w:hyperlink r:id="rId4986">
        <w:r>
          <w:rPr>
            <w:color w:val="0000EE"/>
            <w:u w:val="single"/>
          </w:rPr>
          <w:t>19.20</w:t>
        </w:r>
      </w:hyperlink>
      <w:r>
        <w:t xml:space="preserve"> ; </w:t>
      </w:r>
      <w:hyperlink r:id="rId5930">
        <w:r>
          <w:rPr>
            <w:color w:val="0000EE"/>
            <w:u w:val="single"/>
          </w:rPr>
          <w:t>20.10</w:t>
        </w:r>
      </w:hyperlink>
      <w:r>
        <w:t xml:space="preserve"> ; </w:t>
      </w:r>
      <w:hyperlink r:id="rId4662">
        <w:r>
          <w:rPr>
            <w:color w:val="0000EE"/>
            <w:u w:val="single"/>
          </w:rPr>
          <w:t>21.8</w:t>
        </w:r>
      </w:hyperlink>
      <w:r>
        <w:t>).</w:t>
      </w:r>
    </w:p>
    <w:p>
      <w:r/>
      <w:r>
        <w:t>La dernière éruption volcanique en Israël remonte à environ 4 000 ans. Les scientifiques peuvent le déterminer en mesurant l'âge des objets grâce à une méthode appelée datation au radiocarbone. Ces puissants événements volcaniques ont eu un impact considérable sur les personnes qui vivaient là à cette époque. Elles ont raconté des histoires sur ces événements, et ces récits ont été transmis de génération en génération.</w:t>
      </w:r>
    </w:p>
    <w:p>
      <w:r/>
      <w:r>
        <w:rPr>
          <w:i/>
        </w:rPr>
        <w:t>Voir</w:t>
      </w:r>
      <w:r>
        <w:t xml:space="preserve"> </w:t>
      </w:r>
      <w:r>
        <w:t>Minéraux et métaux</w:t>
      </w:r>
      <w:r>
        <w:t>.</w:t>
      </w:r>
      <w:r/>
      <w:r/>
    </w:p>
    <w:p>
      <w:r/>
    </w:p>
    <w:p>
      <w:pPr>
        <w:pStyle w:val="Heading2"/>
      </w:pPr>
      <w:r>
        <w:t>Sourd, Surdité</w:t>
      </w:r>
      <w:r/>
    </w:p>
    <w:p>
      <w:r/>
      <w:r>
        <w:t>Être sourd signifie de ne pas pouvoir entendre. Dans la Bible, le mot « sourd » peut désigner le handicap physique de personnes qui n'entendent pas de leurs oreilles. Il peut aussi désigner des sourds « spirituels », ceux qui refusent d'écouter ce que dit Dieu ou qui ne sont plus capables de le faire parce qu'ils se sont trop éloignés de lui (</w:t>
      </w:r>
      <w:hyperlink r:id="rId14062">
        <w:r>
          <w:rPr>
            <w:color w:val="0000EE"/>
            <w:u w:val="single"/>
          </w:rPr>
          <w:t>Es 42.18</w:t>
        </w:r>
      </w:hyperlink>
      <w:r>
        <w:t>).</w:t>
      </w:r>
    </w:p>
    <w:p>
      <w:r/>
      <w:r>
        <w:t xml:space="preserve">Le prophète Ésaïe a un message fort sur les sourds spirituels (p. ex. </w:t>
      </w:r>
      <w:hyperlink r:id="rId14062">
        <w:r>
          <w:rPr>
            <w:color w:val="0000EE"/>
            <w:u w:val="single"/>
          </w:rPr>
          <w:t>Es 42.18</w:t>
        </w:r>
      </w:hyperlink>
      <w:r>
        <w:t xml:space="preserve"> et </w:t>
      </w:r>
      <w:hyperlink r:id="rId14063">
        <w:r>
          <w:rPr>
            <w:color w:val="0000EE"/>
            <w:u w:val="single"/>
          </w:rPr>
          <w:t>43.8</w:t>
        </w:r>
      </w:hyperlink>
      <w:r>
        <w:t xml:space="preserve">) et les sourds physiques (p. ex. </w:t>
      </w:r>
      <w:hyperlink r:id="rId10975">
        <w:r>
          <w:rPr>
            <w:color w:val="0000EE"/>
            <w:u w:val="single"/>
          </w:rPr>
          <w:t>Es 29.18</w:t>
        </w:r>
      </w:hyperlink>
      <w:r>
        <w:t xml:space="preserve"> et </w:t>
      </w:r>
      <w:hyperlink r:id="rId14064">
        <w:r>
          <w:rPr>
            <w:color w:val="0000EE"/>
            <w:u w:val="single"/>
          </w:rPr>
          <w:t>35.5</w:t>
        </w:r>
      </w:hyperlink>
      <w:r>
        <w:t>). L'Ancien Testament décrit l'incapacité d'entendre comme l'œuvre de Dieu (</w:t>
      </w:r>
      <w:hyperlink r:id="rId14065">
        <w:r>
          <w:rPr>
            <w:color w:val="0000EE"/>
            <w:u w:val="single"/>
          </w:rPr>
          <w:t>Mi 7.16</w:t>
        </w:r>
      </w:hyperlink>
      <w:r>
        <w:t>). Dieu interdit de maudire une personne sourde (</w:t>
      </w:r>
      <w:hyperlink r:id="rId1503">
        <w:r>
          <w:rPr>
            <w:color w:val="0000EE"/>
            <w:u w:val="single"/>
          </w:rPr>
          <w:t>Lv 19.14</w:t>
        </w:r>
      </w:hyperlink>
      <w:r>
        <w:t xml:space="preserve">). </w:t>
      </w:r>
    </w:p>
    <w:p>
      <w:r/>
      <w:r>
        <w:t>Dans le Nouveau Testament, Jésus guérit des sourds (</w:t>
      </w:r>
      <w:hyperlink r:id="rId1507">
        <w:r>
          <w:rPr>
            <w:color w:val="0000EE"/>
            <w:u w:val="single"/>
          </w:rPr>
          <w:t>Mt 11.5</w:t>
        </w:r>
      </w:hyperlink>
      <w:r>
        <w:t xml:space="preserve"> ; </w:t>
      </w:r>
      <w:hyperlink r:id="rId10391">
        <w:r>
          <w:rPr>
            <w:color w:val="0000EE"/>
            <w:u w:val="single"/>
          </w:rPr>
          <w:t>Mc 7.32–37</w:t>
        </w:r>
      </w:hyperlink>
      <w:r>
        <w:t xml:space="preserve"> ; </w:t>
      </w:r>
      <w:hyperlink r:id="rId14066">
        <w:r>
          <w:rPr>
            <w:color w:val="0000EE"/>
            <w:u w:val="single"/>
          </w:rPr>
          <w:t>Lc 7.22</w:t>
        </w:r>
      </w:hyperlink>
      <w:r>
        <w:t xml:space="preserve">). Dans </w:t>
      </w:r>
      <w:hyperlink r:id="rId14067">
        <w:r>
          <w:rPr>
            <w:color w:val="0000EE"/>
            <w:u w:val="single"/>
          </w:rPr>
          <w:t>Mc 9.25</w:t>
        </w:r>
      </w:hyperlink>
      <w:r>
        <w:t>, Jésus guérit un garçon qui avait un « esprit muet et sourd ». Ces guérisons rappellent les promesses de Dieu aux sourds dans les prophéties d'Ésaïe et montrent que Jésus est le Messie promis.</w:t>
      </w:r>
    </w:p>
    <w:p>
      <w:r/>
      <w:r>
        <w:rPr>
          <w:i/>
        </w:rPr>
        <w:t>Voir aussi</w:t>
      </w:r>
      <w:r>
        <w:t xml:space="preserve"> </w:t>
      </w:r>
      <w:r>
        <w:t>Médecine et pratiques médicales et médicinales</w:t>
      </w:r>
      <w:r>
        <w:t>.</w:t>
      </w:r>
      <w:r/>
      <w:r/>
    </w:p>
    <w:p>
      <w:r/>
    </w:p>
    <w:p>
      <w:pPr>
        <w:pStyle w:val="Heading2"/>
      </w:pPr>
      <w:r>
        <w:t>Souvenir</w:t>
      </w:r>
      <w:r/>
    </w:p>
    <w:p>
      <w:r/>
      <w:r>
        <w:t>Un mémorial est quelque chose qui nous aide à nous rappeler certaines personnes ou événements. Dans le langage courant et biblique, « se souvenir », « un souvenir » et « un mémorial » sont étroitement liés. Les mots hébreux et grecs pour « mémorial » dans l'Ancien et le Nouveau Testament proviennent de verbes qui signifient « se souvenir ». Pour comprendre la notion d'un « souvenir », nous devons d'abord connaître la signification biblique du verbe « se souvenir ».</w:t>
      </w:r>
    </w:p>
    <w:p>
      <w:pPr>
        <w:pStyle w:val="Heading3"/>
      </w:pPr>
      <w:r>
        <w:t>Signification biblique du verbe « se souvenir »</w:t>
      </w:r>
    </w:p>
    <w:p>
      <w:r/>
      <w:r>
        <w:t xml:space="preserve">Dans l'usage quotidien, « se souvenir » signifie se rappeler le passé. Un « souvenir » se réfère à quelque chose qui garde vivante la mémoire. Cependant, dans la Bible, « se souvenir » a souvent une signification plus profonde. Cela ne signifie pas seulement penser au passé. Cela signifie se souvenir d'une manière qui change la façon dont quelqu'un se sent, pense ou agit maintenant. Par exemple, </w:t>
      </w:r>
      <w:hyperlink r:id="rId5997">
        <w:r>
          <w:rPr>
            <w:color w:val="0000EE"/>
            <w:u w:val="single"/>
          </w:rPr>
          <w:t>Genèse 8.1</w:t>
        </w:r>
      </w:hyperlink>
      <w:r>
        <w:t xml:space="preserve"> dit que Dieu « se souvint de Noé ». Cela signifie qu'il agit en faveur de Noé ; pas seulement qu'il a pensé à lui. Cela inclut cette idée, certes, mais plus que cela, cela signifie que Dieu agit en faveur de Noé. De la même manière, lorsque </w:t>
      </w:r>
      <w:hyperlink r:id="rId14068">
        <w:r>
          <w:rPr>
            <w:color w:val="0000EE"/>
            <w:u w:val="single"/>
          </w:rPr>
          <w:t>Genèse 30.22</w:t>
        </w:r>
      </w:hyperlink>
      <w:r>
        <w:t xml:space="preserve"> dit que Dieu « se souvint de Rachel », cela signifie qu'il était sur le point de répondre à sa prière pour un enfant après une longue période d'attente.</w:t>
      </w:r>
    </w:p>
    <w:p>
      <w:pPr>
        <w:pStyle w:val="Heading3"/>
      </w:pPr>
      <w:r>
        <w:t>Le Souvenir dans l'Ancien Testament</w:t>
      </w:r>
    </w:p>
    <w:p>
      <w:r/>
      <w:r>
        <w:t>L'Ancien Testament exhorte souvent les Israélites à se souvenir des grandes œuvres que Dieu avait accomplies pour eux (</w:t>
      </w:r>
      <w:hyperlink r:id="rId14069">
        <w:r>
          <w:rPr>
            <w:color w:val="0000EE"/>
            <w:u w:val="single"/>
          </w:rPr>
          <w:t>Ps 77.11</w:t>
        </w:r>
      </w:hyperlink>
      <w:r>
        <w:t xml:space="preserve"> ; </w:t>
      </w:r>
      <w:hyperlink r:id="rId14070">
        <w:r>
          <w:rPr>
            <w:color w:val="0000EE"/>
            <w:u w:val="single"/>
          </w:rPr>
          <w:t>78.7</w:t>
        </w:r>
      </w:hyperlink>
      <w:r>
        <w:t xml:space="preserve"> ; </w:t>
      </w:r>
      <w:hyperlink r:id="rId14071">
        <w:r>
          <w:rPr>
            <w:color w:val="0000EE"/>
            <w:u w:val="single"/>
          </w:rPr>
          <w:t>105.5</w:t>
        </w:r>
      </w:hyperlink>
      <w:r>
        <w:t>). Ce n'était pas seulement pour évoquer le passé, mais pour vivre le présent avec foi, en étant conscients de ce que Dieu avait déjà fait. Oublier les actions passées de Dieu conduisait souvent Israël à se détourner de lui (</w:t>
      </w:r>
      <w:hyperlink r:id="rId14072">
        <w:r>
          <w:rPr>
            <w:color w:val="0000EE"/>
            <w:u w:val="single"/>
          </w:rPr>
          <w:t>Ps 78.11, 42</w:t>
        </w:r>
      </w:hyperlink>
      <w:r>
        <w:t xml:space="preserve"> ; </w:t>
      </w:r>
      <w:hyperlink r:id="rId14073">
        <w:r>
          <w:rPr>
            <w:color w:val="0000EE"/>
            <w:u w:val="single"/>
          </w:rPr>
          <w:t>106.7, 13, 21–22</w:t>
        </w:r>
      </w:hyperlink>
      <w:r>
        <w:t>).</w:t>
      </w:r>
    </w:p>
    <w:p>
      <w:r/>
      <w:r>
        <w:t xml:space="preserve">En examinant comment le mot « souvenir » est souvent utilisé pour signifier une mémoire active, un exemple clair est son utilisation en lien avec la Pâque. Dans </w:t>
      </w:r>
      <w:hyperlink r:id="rId5596">
        <w:r>
          <w:rPr>
            <w:color w:val="0000EE"/>
            <w:u w:val="single"/>
          </w:rPr>
          <w:t>Exode 12.14</w:t>
        </w:r>
      </w:hyperlink>
      <w:r>
        <w:t>, la Pâque est appelée un « souvenir ». Ainsi, il ne s'agissait pas seulement de se souvenir de l'exode d'Égypte comme un événement historique. C'était un moment pour les Israélites de vivre dans le présent. Ils devaient se souvenir de la délivrance de Dieu du péché et de l'esclavage.</w:t>
      </w:r>
    </w:p>
    <w:p>
      <w:r/>
      <w:r>
        <w:t xml:space="preserve">De même, </w:t>
      </w:r>
      <w:hyperlink r:id="rId14074">
        <w:r>
          <w:rPr>
            <w:color w:val="0000EE"/>
            <w:u w:val="single"/>
          </w:rPr>
          <w:t>Josué 4.7</w:t>
        </w:r>
      </w:hyperlink>
      <w:r>
        <w:t xml:space="preserve"> décrit l'installation de douze pierres dans le Jourdain comme un « souvenir ». Ce mémorial aidait les Israélites à se souvenir de la manière dont Dieu les avait aidés à traverser vers Canaan. Ce mémorial devait être « </w:t>
      </w:r>
      <w:r>
        <w:t>à jamais un souvenir pour les enfants d’Israël</w:t>
      </w:r>
      <w:r>
        <w:t xml:space="preserve"> ». Il rappelait au peuple comment Dieu les avait sauvés dans le passé. Ce souvenir était destiné à leur donner du courage lorsqu'ils faisaient face à des moments difficiles à l'avenir.</w:t>
      </w:r>
    </w:p>
    <w:p>
      <w:r/>
      <w:r>
        <w:t>Un autre exemple est les « pierres commémoratives » sur le vêtement spécial du grand prêtre appelé un « éphod » (</w:t>
      </w:r>
      <w:hyperlink r:id="rId14075">
        <w:r>
          <w:rPr>
            <w:color w:val="0000EE"/>
            <w:u w:val="single"/>
          </w:rPr>
          <w:t>Ex 28.12, 29</w:t>
        </w:r>
      </w:hyperlink>
      <w:r>
        <w:t xml:space="preserve"> ; </w:t>
      </w:r>
      <w:hyperlink r:id="rId14076">
        <w:r>
          <w:rPr>
            <w:color w:val="0000EE"/>
            <w:u w:val="single"/>
          </w:rPr>
          <w:t>39.7</w:t>
        </w:r>
      </w:hyperlink>
      <w:r>
        <w:t>). Ces pierres devaient porter les noms des fils d'Israël devant le Seigneur. Elles n'étaient pas seulement destinées à rappeler Dieu aux Israélites, mais symbolisaient également son souci constant pour leur bien-être.</w:t>
      </w:r>
    </w:p>
    <w:p>
      <w:r/>
      <w:r>
        <w:t xml:space="preserve">Le terme « souvenir » est utilisé différemment en ce qui concerne l'offrande de grain dans </w:t>
      </w:r>
      <w:hyperlink r:id="rId14077">
        <w:r>
          <w:rPr>
            <w:color w:val="0000EE"/>
            <w:u w:val="single"/>
          </w:rPr>
          <w:t>Lévitique 2.2, 16</w:t>
        </w:r>
      </w:hyperlink>
      <w:r>
        <w:t>. Ici, le « souvenir » signifie la partie de l'offrande de grain brûlée sur l'autel. Le reste devait nourrir les prêtres. Le souvenir représente l'ensemble de l'offrande. Ce mémorial n'est pas seulement un rappel pour Dieu, mais est considéré comme une partie de l'offrande elle-même.</w:t>
      </w:r>
    </w:p>
    <w:p>
      <w:pPr>
        <w:pStyle w:val="Heading3"/>
      </w:pPr>
      <w:r>
        <w:t>Le Souvenir dans le Nouveau Testament</w:t>
      </w:r>
    </w:p>
    <w:p>
      <w:r/>
      <w:r>
        <w:t xml:space="preserve">Le Nouveau Testament utilise moins souvent les termes « mémorial » et « souvenir ». Cependant, ils ont une signification particulière dans un cas. Lorsque Jésus a établi la Cène du Seigneur, la Pâque du Nouveau Testament, il a dit : « </w:t>
      </w:r>
      <w:r>
        <w:t>Ceci est mon corps, qui est donné pour vous</w:t>
      </w:r>
      <w:r>
        <w:t xml:space="preserve"> </w:t>
      </w:r>
      <w:r>
        <w:t>; faites ceci en mémoire de moi</w:t>
      </w:r>
      <w:r>
        <w:t xml:space="preserve"> » (</w:t>
      </w:r>
      <w:hyperlink r:id="rId13429">
        <w:r>
          <w:rPr>
            <w:color w:val="0000EE"/>
            <w:u w:val="single"/>
          </w:rPr>
          <w:t>Lc 22.19</w:t>
        </w:r>
      </w:hyperlink>
      <w:r>
        <w:t>). La Cène du Seigneur est un mémorial de la souffrance et de la mort du Christ. Ce n'est pas seulement se rappeler un événement historique. C'est se souvenir d'une manière qui rend les croyants reconnaissants et les affecte aujourd'hui.</w:t>
      </w:r>
      <w:r/>
      <w:r/>
    </w:p>
    <w:p>
      <w:r/>
    </w:p>
    <w:p>
      <w:pPr>
        <w:pStyle w:val="Heading2"/>
      </w:pPr>
      <w:r>
        <w:t>Stérilité</w:t>
      </w:r>
      <w:r/>
    </w:p>
    <w:p>
      <w:r/>
      <w:r>
        <w:t>La condition d'être stérile (incapable d'avoir des enfants) ou de ne pas avoir d'enfants.</w:t>
      </w:r>
    </w:p>
    <w:p>
      <w:r/>
      <w:r>
        <w:t xml:space="preserve">L'incapacité à procréer était vu comme une tragédie personnelle. Après le déluge, Dieu ordonnera à l'humanité : « </w:t>
      </w:r>
      <w:r>
        <w:t>Soyez féconds, multipliez, et remplissez la terre</w:t>
      </w:r>
      <w:r>
        <w:t xml:space="preserve"> » (</w:t>
      </w:r>
      <w:hyperlink r:id="rId13175">
        <w:r>
          <w:rPr>
            <w:color w:val="0000EE"/>
            <w:u w:val="single"/>
          </w:rPr>
          <w:t>Gn 9.1</w:t>
        </w:r>
      </w:hyperlink>
      <w:r>
        <w:t>). Plus tard, Jérémie donnera une recommandation similaire (</w:t>
      </w:r>
      <w:hyperlink r:id="rId14078">
        <w:r>
          <w:rPr>
            <w:color w:val="0000EE"/>
            <w:u w:val="single"/>
          </w:rPr>
          <w:t>Jr 29.6</w:t>
        </w:r>
      </w:hyperlink>
      <w:r>
        <w:t>). Une épouse stérile dans un mariage polygame (où un homme a plusieurs épouses) pouvait être ridiculisée ou susciter une jalousie extrême (</w:t>
      </w:r>
      <w:hyperlink r:id="rId14079">
        <w:r>
          <w:rPr>
            <w:color w:val="0000EE"/>
            <w:u w:val="single"/>
          </w:rPr>
          <w:t>Gn 16.4</w:t>
        </w:r>
      </w:hyperlink>
      <w:r>
        <w:t xml:space="preserve"> ; </w:t>
      </w:r>
      <w:hyperlink r:id="rId14080">
        <w:r>
          <w:rPr>
            <w:color w:val="0000EE"/>
            <w:u w:val="single"/>
          </w:rPr>
          <w:t>Jr 30.1</w:t>
        </w:r>
      </w:hyperlink>
      <w:r>
        <w:t xml:space="preserve">). La pression d'avoir des enfants pour son mari était si intense qu'une épouse stérile pouvait offrir à son mari une mère porteuse (une femme qui aurait un bébé pour le couple ; </w:t>
      </w:r>
      <w:hyperlink r:id="rId6851">
        <w:r>
          <w:rPr>
            <w:color w:val="0000EE"/>
            <w:u w:val="single"/>
          </w:rPr>
          <w:t>Gn 16.1–2</w:t>
        </w:r>
      </w:hyperlink>
      <w:r>
        <w:t xml:space="preserve"> ; </w:t>
      </w:r>
      <w:hyperlink r:id="rId13804">
        <w:r>
          <w:rPr>
            <w:color w:val="0000EE"/>
            <w:u w:val="single"/>
          </w:rPr>
          <w:t>30.3</w:t>
        </w:r>
      </w:hyperlink>
      <w:r>
        <w:t>). Si un mari mourait sans enfants, son frère était censé avoir des enfants avec sa femme en son nom (</w:t>
      </w:r>
      <w:hyperlink r:id="rId14081">
        <w:r>
          <w:rPr>
            <w:color w:val="0000EE"/>
            <w:u w:val="single"/>
          </w:rPr>
          <w:t>Gn 38.8</w:t>
        </w:r>
      </w:hyperlink>
      <w:r>
        <w:t>).</w:t>
      </w:r>
    </w:p>
    <w:p>
      <w:r/>
      <w:r>
        <w:t>La stérilité aurait pu être une malédiction ou une punition divine (</w:t>
      </w:r>
      <w:hyperlink r:id="rId14082">
        <w:r>
          <w:rPr>
            <w:color w:val="0000EE"/>
            <w:u w:val="single"/>
          </w:rPr>
          <w:t>Os 9.11, 14</w:t>
        </w:r>
      </w:hyperlink>
      <w:r>
        <w:t xml:space="preserve"> ; </w:t>
      </w:r>
      <w:hyperlink r:id="rId14083">
        <w:r>
          <w:rPr>
            <w:color w:val="0000EE"/>
            <w:u w:val="single"/>
          </w:rPr>
          <w:t>Gn 20.17–18</w:t>
        </w:r>
      </w:hyperlink>
      <w:r>
        <w:t>). Elle pouvait être levée après des prières ferventes (</w:t>
      </w:r>
      <w:hyperlink r:id="rId14084">
        <w:r>
          <w:rPr>
            <w:color w:val="0000EE"/>
            <w:u w:val="single"/>
          </w:rPr>
          <w:t>Gn 25.21</w:t>
        </w:r>
      </w:hyperlink>
      <w:r>
        <w:t xml:space="preserve"> ; </w:t>
      </w:r>
      <w:hyperlink r:id="rId14085">
        <w:r>
          <w:rPr>
            <w:color w:val="0000EE"/>
            <w:u w:val="single"/>
          </w:rPr>
          <w:t>1S 1.16, 20</w:t>
        </w:r>
      </w:hyperlink>
      <w:r>
        <w:t>). Elle pourrait également être levée par un prophète ou messager de Dieu (</w:t>
      </w:r>
      <w:hyperlink r:id="rId14086">
        <w:r>
          <w:rPr>
            <w:color w:val="0000EE"/>
            <w:u w:val="single"/>
          </w:rPr>
          <w:t>2R 4.16</w:t>
        </w:r>
      </w:hyperlink>
      <w:r>
        <w:t xml:space="preserve"> ; </w:t>
      </w:r>
      <w:hyperlink r:id="rId14087">
        <w:r>
          <w:rPr>
            <w:color w:val="0000EE"/>
            <w:u w:val="single"/>
          </w:rPr>
          <w:t>Gn 18.14</w:t>
        </w:r>
      </w:hyperlink>
      <w:r>
        <w:t>).</w:t>
      </w:r>
    </w:p>
    <w:p>
      <w:r/>
      <w:r>
        <w:t>Dans un récit biblique, une femme qui avait cessé d'avoir des enfants a échangé des mandragores (une plante censée aider à la fertilité) pour avoir l'opportunité de coucher avec son mari et a eu trois autres enfants (</w:t>
      </w:r>
      <w:hyperlink r:id="rId6947">
        <w:r>
          <w:rPr>
            <w:color w:val="0000EE"/>
            <w:u w:val="single"/>
          </w:rPr>
          <w:t>Gn 30.14–21</w:t>
        </w:r>
      </w:hyperlink>
      <w:r>
        <w:t xml:space="preserve">). Dieu a promis que si Israël obéissait à ses lois, ils ne connaîtraient pas l'infertilité (incapacité d'avoir des enfants ; </w:t>
      </w:r>
      <w:hyperlink r:id="rId14088">
        <w:r>
          <w:rPr>
            <w:color w:val="0000EE"/>
            <w:u w:val="single"/>
          </w:rPr>
          <w:t>Dt 7.14</w:t>
        </w:r>
      </w:hyperlink>
      <w:r>
        <w:t>). De manière inhabituelle, les textes anciens considéraient également que la stérilité pouvait résulter de l'infertilité masculine. Enfin, malgré la gravité de la stérilité, Jésus dira aux femmes de Jérusalem qu'elle serait préférable à la souffrance qu'elles allaient affronter (</w:t>
      </w:r>
      <w:hyperlink r:id="rId14089">
        <w:r>
          <w:rPr>
            <w:color w:val="0000EE"/>
            <w:u w:val="single"/>
          </w:rPr>
          <w:t>Lc 23.29</w:t>
        </w:r>
      </w:hyperlink>
      <w:r>
        <w:t>). Il enseignait que les problèmes physiques ne sont pas aussi importants que les problèmes spirituels.</w:t>
      </w:r>
      <w:r/>
      <w:r/>
    </w:p>
    <w:p>
      <w:r/>
    </w:p>
    <w:p>
      <w:pPr>
        <w:pStyle w:val="Heading2"/>
      </w:pPr>
      <w:r>
        <w:t>Stoïcisme, Stoïciens</w:t>
      </w:r>
      <w:r/>
    </w:p>
    <w:p>
      <w:r/>
      <w:r>
        <w:t>Philosophie grecque très répandue, bien représentée parmi le public qui a écouté Paul à Athènes (</w:t>
      </w:r>
      <w:hyperlink r:id="rId1447">
        <w:r>
          <w:rPr>
            <w:color w:val="0000EE"/>
            <w:u w:val="single"/>
          </w:rPr>
          <w:t>Ac 17.16–34</w:t>
        </w:r>
      </w:hyperlink>
      <w:r>
        <w:t>). L'apôtre était probablement familier avec le stoïcisme ; en effet, elle avait commencé à Athènes vers l'an 300 av. J.‑C., avec l'enseignement de Zénon dans la « stoa » (les portiques) des bâtiments publics, et s'était répandue dans tout le monde gréco-romain. Elle était connue, par exemple, à Tarse et sur l'île de Chypre, de sorte que Paul aurait sans doute rencontré des stoïciens plus tôt dans ses voyages et peut-être même dans sa ville natale. La portée et la puissance de son influence sont indiquées par le fait que l'empereur romain Marc Aurèle (mort en 180 apr. J.‑C.) était lui-même stoïcien, et certains de ses écrits philosophiques ont survécu.</w:t>
      </w:r>
    </w:p>
    <w:p>
      <w:r/>
      <w:r>
        <w:t>Les premiers stoïciens s'intéressaient principalement à la cosmologie, c'est-à-dire à l'étude de l'origine de la nature et de ses lois. Ils étaient matérialistes et soutenaient que toutes choses proviennent de l'unique élément fondamental du feu et finiront par retourner à cet élément unique lors d'une vaste conflagration cosmique. Leur vision de l'histoire cosmique était donc cyclique, indiquant qu'un univers surgit après l'autre pour ensuite être détruit. L'ordre des choses tel que nous le connaissons, ainsi que ce schéma cyclique de l'histoire, étaient attribués au pouvoir d'une force omniprésente connue sous le nom de Logos, parfois considérée comme divine. Celui-ci organisait et soutenait l'univers est ses lois. Les lois de ce Logos étaient les lois de la nature auxquelles toutes les créatures doivent se conformer. Il donnait à toutes les choses leur nature essentielle et ainsi donnait vie et raison aux hommes. Le Logos se trouvait en l'homme, selon eux, prenant la forme de l'âme humaine. Ainsi, vivre selon la raison était vivre selon l'ordre naturel des choses ; voilà ce qui était vu comme bon. L'obéissance consciente à la loi naturelle libère un homme de la peur et des préoccupations concernant les circonstances extérieures sur lesquelles il n'a aucun contrôle mais qui sont toujours régies par les lois de la nature. La vie bien vécue, ainsi, est celle dans laquelle la raison, et non la passion, règne ; la paix intérieure et l'harmonie avec la nature prévalant en conséquence.</w:t>
      </w:r>
    </w:p>
    <w:p>
      <w:r/>
      <w:r>
        <w:t xml:space="preserve">Les idées stoïciennes ont séduit certains chrétiens en raison des similitudes apparentes entre le logos stoïcien et le Logos de </w:t>
      </w:r>
      <w:hyperlink r:id="rId12380">
        <w:r>
          <w:rPr>
            <w:color w:val="0000EE"/>
            <w:u w:val="single"/>
          </w:rPr>
          <w:t>Jean 1.1–18</w:t>
        </w:r>
      </w:hyperlink>
      <w:r>
        <w:t>, ainsi qu'entre l'idée de la loi naturelle et la loi de Dieu.</w:t>
      </w:r>
    </w:p>
    <w:p>
      <w:r/>
      <w:r>
        <w:rPr>
          <w:i/>
        </w:rPr>
        <w:t>Voir aussi</w:t>
      </w:r>
      <w:r>
        <w:t xml:space="preserve"> </w:t>
      </w:r>
      <w:r>
        <w:t>Épicuriens</w:t>
      </w:r>
      <w:r>
        <w:t xml:space="preserve"> ; </w:t>
      </w:r>
      <w:r>
        <w:t>Philosophie</w:t>
      </w:r>
      <w:r>
        <w:t>.</w:t>
      </w:r>
      <w:r/>
      <w:r/>
    </w:p>
    <w:p>
      <w:r/>
    </w:p>
    <w:p>
      <w:pPr>
        <w:pStyle w:val="Heading2"/>
      </w:pPr>
      <w:r>
        <w:t>Suse</w:t>
      </w:r>
      <w:r/>
    </w:p>
    <w:p>
      <w:r/>
      <w:r>
        <w:t>Suse était la capitale de l'Élam, une région antique dont les habitants parlaient une langue différente de celle des peuples qui parlaient l'hébreux. Aujourd'hui, Suse s'appelle Shush et est située dans le sud-ouest de l'Iran. Elle se trouve à environ 240 km au nord du golfe Persique et directement à l'est de la célèbre ville antique de Babylone. En 1884, des chercheurs français ont commencé à étudier les ruines de Suse. Ils ont découvert que des gens y avaient vécu depuis environ 4 000 av. J.‑C.</w:t>
      </w:r>
    </w:p>
    <w:p>
      <w:pPr>
        <w:pStyle w:val="Heading3"/>
      </w:pPr>
      <w:r>
        <w:t>Suse dans l'Ancien Testament</w:t>
      </w:r>
    </w:p>
    <w:p>
      <w:r/>
      <w:r>
        <w:t>Suse a pris une importance majeure dans l'Ancien Testament lorsqu'elle a été intégrée à l'Empire perse. En 550 av. J.‑C., le roi Cyrus a fondé l'Empire perse et a fait de Suse l'une de ses villes royales. Les autres villes royales étaient Achmetha (une autre grande ville en Élam), Babylone et Persépolis.</w:t>
      </w:r>
    </w:p>
    <w:p>
      <w:r/>
      <w:r>
        <w:t>C'est à cette époque-là que Suse trouvera son apogée, bien qu'elle ait également été une ville importante bien plus tôt, au 12e siècle av. J.‑C. À cette époque antérieure, les gens ont découvert quelque chose de très important à Suse : le premier exemplaire connu des lois d'Hammurabi. Hammurabi était un roi célèbre qui a rédigé de nombreuses lois pour servir à gouverner son royaume.</w:t>
      </w:r>
    </w:p>
    <w:p>
      <w:r/>
      <w:r>
        <w:t>Au centre de Suse, en Perse, se trouvait une acropole ou citadelle (une zone surélevée construite sur une plate-forme rectangulaire et plane). Cette zone était entourée d'un immense mur et s'élevait plus haut que le reste de la ville. Cette zone centrale protégée abritait le palais royal où les rois perses résidaient pendant les mois d'hiver.</w:t>
      </w:r>
    </w:p>
    <w:p>
      <w:pPr>
        <w:pStyle w:val="Heading4"/>
      </w:pPr>
      <w:r>
        <w:t>Suse dans le livre de Néhémie</w:t>
      </w:r>
    </w:p>
    <w:p>
      <w:r/>
      <w:r>
        <w:t>Plusieurs histoires bibliques importantes se sont déroulées à Suse. Néhémie a servi comme un serviteur royal de confiance dans le palais de Suse, où son travail consistait à goûter et à servir le vin au roi Artaxerxès 1er (</w:t>
      </w:r>
      <w:hyperlink r:id="rId14090">
        <w:r>
          <w:rPr>
            <w:color w:val="0000EE"/>
            <w:u w:val="single"/>
          </w:rPr>
          <w:t>Né 1.1, 11</w:t>
        </w:r>
      </w:hyperlink>
      <w:r>
        <w:t xml:space="preserve"> ; </w:t>
      </w:r>
      <w:hyperlink r:id="rId2130">
        <w:r>
          <w:rPr>
            <w:color w:val="0000EE"/>
            <w:u w:val="single"/>
          </w:rPr>
          <w:t>2.1</w:t>
        </w:r>
      </w:hyperlink>
      <w:r>
        <w:t>). Cela protégeait le roi contre l'empoisonnement.</w:t>
      </w:r>
    </w:p>
    <w:p>
      <w:pPr>
        <w:pStyle w:val="Heading4"/>
      </w:pPr>
      <w:r>
        <w:t>Suse dans le livre d'Esther</w:t>
      </w:r>
    </w:p>
    <w:p>
      <w:r/>
      <w:r>
        <w:t xml:space="preserve">L'histoire d'Esther se déroule principalement à Suse. Dans </w:t>
      </w:r>
      <w:hyperlink r:id="rId14091">
        <w:r>
          <w:rPr>
            <w:color w:val="0000EE"/>
            <w:u w:val="single"/>
          </w:rPr>
          <w:t>Esther 1.2</w:t>
        </w:r>
      </w:hyperlink>
      <w:r>
        <w:t xml:space="preserve"> et </w:t>
      </w:r>
      <w:hyperlink r:id="rId14092">
        <w:r>
          <w:rPr>
            <w:color w:val="0000EE"/>
            <w:u w:val="single"/>
          </w:rPr>
          <w:t>2.8</w:t>
        </w:r>
      </w:hyperlink>
      <w:r>
        <w:t xml:space="preserve">, Esther, la jeune femme juive, sera amenée à la cour du roi Assuérus (aussi appelé Xerxès), qui a régné de 485 à 465 av. J.‑C. De nombreux événements importants du livre d'Esther se sont produits à Suse (voir </w:t>
      </w:r>
      <w:hyperlink r:id="rId14093">
        <w:r>
          <w:rPr>
            <w:color w:val="0000EE"/>
            <w:u w:val="single"/>
          </w:rPr>
          <w:t>Est 3.15</w:t>
        </w:r>
      </w:hyperlink>
      <w:r>
        <w:t xml:space="preserve">; </w:t>
      </w:r>
      <w:hyperlink r:id="rId14094">
        <w:r>
          <w:rPr>
            <w:color w:val="0000EE"/>
            <w:u w:val="single"/>
          </w:rPr>
          <w:t>8.14–15</w:t>
        </w:r>
      </w:hyperlink>
      <w:r>
        <w:t xml:space="preserve">; </w:t>
      </w:r>
      <w:hyperlink r:id="rId14095">
        <w:r>
          <w:rPr>
            <w:color w:val="0000EE"/>
            <w:u w:val="single"/>
          </w:rPr>
          <w:t>9.6–18</w:t>
        </w:r>
      </w:hyperlink>
      <w:r>
        <w:t>).</w:t>
      </w:r>
    </w:p>
    <w:p>
      <w:pPr>
        <w:pStyle w:val="Heading4"/>
      </w:pPr>
      <w:r>
        <w:t>Suse dans le livre de Daniel</w:t>
      </w:r>
    </w:p>
    <w:p>
      <w:r/>
      <w:r>
        <w:t>La Bible nous dit que Daniel a eu une vision concernant Suse (</w:t>
      </w:r>
      <w:hyperlink r:id="rId4600">
        <w:r>
          <w:rPr>
            <w:color w:val="0000EE"/>
            <w:u w:val="single"/>
          </w:rPr>
          <w:t>Dn 8.2</w:t>
        </w:r>
      </w:hyperlink>
      <w:r>
        <w:t>). Daniel n'était pas physiquement à Suse lorsque cela s'est produit. Dans sa vision, Dieu lui a montré cet endroit. Cette vision est survenue vers la fin de la période babylonienne, une époque où Babylone était le royaume le plus puissant de la région (</w:t>
      </w:r>
      <w:hyperlink r:id="rId14096">
        <w:r>
          <w:rPr>
            <w:color w:val="0000EE"/>
            <w:u w:val="single"/>
          </w:rPr>
          <w:t>Dn 8.1</w:t>
        </w:r>
      </w:hyperlink>
      <w:r>
        <w:t xml:space="preserve"> ; voir </w:t>
      </w:r>
      <w:hyperlink r:id="rId14097">
        <w:r>
          <w:rPr>
            <w:color w:val="0000EE"/>
            <w:u w:val="single"/>
          </w:rPr>
          <w:t>7.1</w:t>
        </w:r>
      </w:hyperlink>
      <w:r>
        <w:t>). À cette époque, Suse était une ville forte qui dominait les Mèdes (un groupe de personnes qui vivaient dans ce qui est aujourd'hui l'Iran). Suse était indépendante et n'était pas sous le contrôle de Babylone.</w:t>
      </w:r>
    </w:p>
    <w:p>
      <w:r/>
      <w:r>
        <w:rPr>
          <w:i/>
        </w:rPr>
        <w:t>Voir aussi</w:t>
      </w:r>
      <w:r>
        <w:t xml:space="preserve"> </w:t>
      </w:r>
      <w:r>
        <w:t>Perse, Persans</w:t>
      </w:r>
      <w:r>
        <w:t>.</w:t>
      </w:r>
      <w:r/>
      <w:r/>
    </w:p>
    <w:p>
      <w:r/>
    </w:p>
    <w:p>
      <w:pPr>
        <w:pStyle w:val="Heading2"/>
      </w:pPr>
      <w:r>
        <w:t>Sychar</w:t>
      </w:r>
      <w:r/>
    </w:p>
    <w:p>
      <w:r/>
      <w:r>
        <w:t xml:space="preserve">Ville en Samarie, mentionnée dans la Bible uniquement dans </w:t>
      </w:r>
      <w:hyperlink r:id="rId14098">
        <w:r>
          <w:rPr>
            <w:color w:val="0000EE"/>
            <w:u w:val="single"/>
          </w:rPr>
          <w:t>Jean 4.5</w:t>
        </w:r>
      </w:hyperlink>
      <w:r>
        <w:t>. Le nom a été considéré comme une variante de la translittération grecque du nom hébreu Sichem. De nombreux experts privilégient une identification avec le village actuel d'Askar, situé au pied sud-est du mont Ébal, à moins d'1 km au nord du puits de Jacob. Les fouilles semblent favoriser l'identification avec Sichem, qui a été proposée par Jérôme. Le Talmud babylonien fait référence à un lieu appelé Sichar ou Suchar, mais son emplacement n'est pas connu.</w:t>
      </w:r>
    </w:p>
    <w:p>
      <w:r/>
      <w:r>
        <w:t>On dit que Sychar se trouve près du champ que Jacob a donné à son fils Joseph (</w:t>
      </w:r>
      <w:hyperlink r:id="rId14098">
        <w:r>
          <w:rPr>
            <w:color w:val="0000EE"/>
            <w:u w:val="single"/>
          </w:rPr>
          <w:t>Jn 4.5</w:t>
        </w:r>
      </w:hyperlink>
      <w:r>
        <w:t xml:space="preserve">). Le récit de la donation de cette parcelle de terre est consigné dans </w:t>
      </w:r>
      <w:hyperlink r:id="rId1230">
        <w:r>
          <w:rPr>
            <w:color w:val="0000EE"/>
            <w:u w:val="single"/>
          </w:rPr>
          <w:t>Genèse 48.22</w:t>
        </w:r>
      </w:hyperlink>
      <w:r>
        <w:t xml:space="preserve">. Lorsque Jacob avait terminé la bénédiction des deux fils de Joseph, Manassé et Éphraïm, il dira à Joseph qu'il lui avait donné, plutôt qu'à ses frères, « </w:t>
      </w:r>
      <w:r>
        <w:t>une part que j’ai prise de la main des Amoréens avec mon épée et avec mon arc</w:t>
      </w:r>
      <w:r>
        <w:t xml:space="preserve"> » (</w:t>
      </w:r>
      <w:hyperlink r:id="rId1230">
        <w:r>
          <w:rPr>
            <w:color w:val="0000EE"/>
            <w:u w:val="single"/>
          </w:rPr>
          <w:t>Gn 48.22</w:t>
        </w:r>
      </w:hyperlink>
      <w:r>
        <w:t>). Le mot hébreu traduit par « part » est le mot pour épaule et le nom de la ville de Sichem. C'est sur cette parcelle que Joseph sera enterré (</w:t>
      </w:r>
      <w:hyperlink r:id="rId1285">
        <w:r>
          <w:rPr>
            <w:color w:val="0000EE"/>
            <w:u w:val="single"/>
          </w:rPr>
          <w:t>Jos 24.32</w:t>
        </w:r>
      </w:hyperlink>
      <w:r>
        <w:t xml:space="preserve">). Ce passage indique également que Jacob a acheté le terrain aux fils d'Hamor, le père de Sichem, pour cent pièces d'argent (voir </w:t>
      </w:r>
      <w:hyperlink r:id="rId1284">
        <w:r>
          <w:rPr>
            <w:color w:val="0000EE"/>
            <w:u w:val="single"/>
          </w:rPr>
          <w:t>Gn 33.19</w:t>
        </w:r>
      </w:hyperlink>
      <w:r>
        <w:t xml:space="preserve"> ; </w:t>
      </w:r>
      <w:hyperlink r:id="rId6411">
        <w:r>
          <w:rPr>
            <w:color w:val="0000EE"/>
            <w:u w:val="single"/>
          </w:rPr>
          <w:t>Ac 7.16</w:t>
        </w:r>
      </w:hyperlink>
      <w:r>
        <w:t>).</w:t>
      </w:r>
    </w:p>
    <w:p>
      <w:r/>
      <w:r>
        <w:t xml:space="preserve">Le récit de la visite de Jésus à Sychar dans </w:t>
      </w:r>
      <w:hyperlink r:id="rId6915">
        <w:r>
          <w:rPr>
            <w:color w:val="0000EE"/>
            <w:u w:val="single"/>
          </w:rPr>
          <w:t>Jean 4</w:t>
        </w:r>
      </w:hyperlink>
      <w:r>
        <w:t xml:space="preserve"> est important. Jésus est venu à Sychar en raison d'un impératif spirituel, plutôt que géographique (</w:t>
      </w:r>
      <w:hyperlink r:id="rId14099">
        <w:r>
          <w:rPr>
            <w:color w:val="0000EE"/>
            <w:u w:val="single"/>
          </w:rPr>
          <w:t>Jn 4.4</w:t>
        </w:r>
      </w:hyperlink>
      <w:r>
        <w:t xml:space="preserve">). L'un des objectifs de cette mission était de briser les barrières : l'hostilité entre le Juif ethniquement pur et le Samaritain ethniquement mixte (v. </w:t>
      </w:r>
      <w:hyperlink r:id="rId7994">
        <w:r>
          <w:rPr>
            <w:color w:val="0000EE"/>
            <w:u w:val="single"/>
          </w:rPr>
          <w:t>9</w:t>
        </w:r>
      </w:hyperlink>
      <w:r>
        <w:t xml:space="preserve">) ; les restrictions sociales entre hommes et femmes (v. </w:t>
      </w:r>
      <w:hyperlink r:id="rId14100">
        <w:r>
          <w:rPr>
            <w:color w:val="0000EE"/>
            <w:u w:val="single"/>
          </w:rPr>
          <w:t>27</w:t>
        </w:r>
      </w:hyperlink>
      <w:r>
        <w:t xml:space="preserve">) ; la séparation sociétale entre le rituellement pur et le moralement impur (cette femme était ostracisée ; elle est venue au puits seule et à un moment inhabituel, v. </w:t>
      </w:r>
      <w:hyperlink r:id="rId14101">
        <w:r>
          <w:rPr>
            <w:color w:val="0000EE"/>
            <w:u w:val="single"/>
          </w:rPr>
          <w:t>6</w:t>
        </w:r>
      </w:hyperlink>
      <w:r>
        <w:t xml:space="preserve">). La conversation entre Jésus et la femme est instructive quant au témoignage personnel. Le discernement spirituel et la compassion de Jésus sont évidents. Lorsque la femme reçoit le témoignage de son identité en tant que Messie, elle devient elle aussi un témoin efficace (v. </w:t>
      </w:r>
      <w:hyperlink r:id="rId14102">
        <w:r>
          <w:rPr>
            <w:color w:val="0000EE"/>
            <w:u w:val="single"/>
          </w:rPr>
          <w:t>28–30</w:t>
        </w:r>
      </w:hyperlink>
      <w:r>
        <w:t xml:space="preserve">). Les nouveaux croyants parmi les Samaritains ont demandé à Jésus de rester avec eux et il est donc resté deux jours et beaucoup d'autres ont cru en lui (v. </w:t>
      </w:r>
      <w:hyperlink r:id="rId13475">
        <w:r>
          <w:rPr>
            <w:color w:val="0000EE"/>
            <w:u w:val="single"/>
          </w:rPr>
          <w:t>39–41</w:t>
        </w:r>
      </w:hyperlink>
      <w:r>
        <w:t>).</w:t>
      </w:r>
      <w:r/>
      <w:r/>
    </w:p>
    <w:p>
      <w:r/>
    </w:p>
    <w:p>
      <w:pPr>
        <w:pStyle w:val="Heading2"/>
      </w:pPr>
      <w:r>
        <w:t>Symeon</w:t>
      </w:r>
      <w:r/>
    </w:p>
    <w:p>
      <w:r/>
      <w:r>
        <w:t>Orthographe alternative de Siméon, le nom d'un des membres de l'Église à Antioche (</w:t>
      </w:r>
      <w:hyperlink r:id="rId3034">
        <w:r>
          <w:rPr>
            <w:color w:val="0000EE"/>
            <w:u w:val="single"/>
          </w:rPr>
          <w:t>Ac 13.1</w:t>
        </w:r>
      </w:hyperlink>
      <w:r>
        <w:t>).</w:t>
      </w:r>
    </w:p>
    <w:p>
      <w:r/>
      <w:r>
        <w:rPr>
          <w:i/>
        </w:rPr>
        <w:t>Voir</w:t>
      </w:r>
      <w:r>
        <w:t xml:space="preserve"> </w:t>
      </w:r>
      <w:r>
        <w:t>Siméon (Personne) n° 4</w:t>
      </w:r>
      <w:r>
        <w:t>.</w:t>
      </w:r>
      <w:r/>
      <w:r/>
    </w:p>
    <w:p>
      <w:r/>
    </w:p>
    <w:p>
      <w:pPr>
        <w:pStyle w:val="Heading2"/>
      </w:pPr>
      <w:r>
        <w:t>synagogue</w:t>
      </w:r>
      <w:r/>
    </w:p>
    <w:p>
      <w:r/>
      <w:r>
        <w:t xml:space="preserve">Une synagogue est un bâtiment où les Juifs se rassemblent pour adorer, prier et étudier leurs écrits sacrés. Le mot français provient du grec </w:t>
      </w:r>
      <w:r>
        <w:rPr>
          <w:i/>
        </w:rPr>
        <w:t>sunagoge</w:t>
      </w:r>
      <w:r>
        <w:t xml:space="preserve">, qui signifie « rassemblement ». Ce mot est utilisé plus de 50 fois dans le Nouveau Testament (NT) pour désigner principalement des lieux de rassemblement communautaires juifs en Palestine et dans la Diaspora (les communautés juives en dehors de Palestine). Dans la traduction grecque de l'Ancien Testament (AT), le mot </w:t>
      </w:r>
      <w:r>
        <w:rPr>
          <w:i/>
        </w:rPr>
        <w:t>sunagoge</w:t>
      </w:r>
      <w:r>
        <w:t xml:space="preserve"> traduit souvent les mots hébreux qui décrivent des assemblées.</w:t>
      </w:r>
    </w:p>
    <w:p>
      <w:pPr>
        <w:pStyle w:val="Heading3"/>
      </w:pPr>
      <w:r>
        <w:t>Origines et histoire ancienne</w:t>
      </w:r>
    </w:p>
    <w:p>
      <w:r/>
      <w:r>
        <w:t xml:space="preserve">Nous ne savons pas exactement quand les synagogues ont commencé à être établies. Elles se sont peut-être développées après la destruction du temple de Jérusalem par les Babyloniens en 586 </w:t>
      </w:r>
      <w:r>
        <w:t>av. J.‑C.</w:t>
      </w:r>
      <w:r>
        <w:t xml:space="preserve"> Les Israélites qui n'avaient pas été exilés et qui résidaient près de Jérusalem ont probablement voulu continuer à adorer Dieu ensemble. Il est très probable qu'ils aient voulu se rassembler pour louer Dieu, pour enseigner la loi et pour écouter le message des prophètes. Certains pensent que c'est dans ce contexte que les premières synagogues sont nées.</w:t>
      </w:r>
    </w:p>
    <w:p>
      <w:r/>
      <w:r>
        <w:t>Les Juifs de la Diaspora (dispersion) avaient sans doute les mêmes besoins. Les anciens des Juifs vont voir et écouter Ézéchiel pendant l'exil à Babylone (</w:t>
      </w:r>
      <w:hyperlink r:id="rId4537">
        <w:r>
          <w:rPr>
            <w:color w:val="0000EE"/>
            <w:u w:val="single"/>
          </w:rPr>
          <w:t>Ez 8.1</w:t>
        </w:r>
      </w:hyperlink>
      <w:r>
        <w:t xml:space="preserve"> ; </w:t>
      </w:r>
      <w:hyperlink r:id="rId14103">
        <w:r>
          <w:rPr>
            <w:color w:val="0000EE"/>
            <w:u w:val="single"/>
          </w:rPr>
          <w:t>14.1</w:t>
        </w:r>
      </w:hyperlink>
      <w:r>
        <w:t xml:space="preserve"> ; </w:t>
      </w:r>
      <w:hyperlink r:id="rId7387">
        <w:r>
          <w:rPr>
            <w:color w:val="0000EE"/>
            <w:u w:val="single"/>
          </w:rPr>
          <w:t>20.1</w:t>
        </w:r>
      </w:hyperlink>
      <w:r>
        <w:t>). Cependant, nous n'avons aucune preuve indéniable qu'il existait déjà des synagogues à cette époque. Après l'exil, lorsque le peuple revient à Jérusalem, le scribe Esdras lit et explique la loi de Dieu au peuple (</w:t>
      </w:r>
      <w:hyperlink r:id="rId14104">
        <w:r>
          <w:rPr>
            <w:color w:val="0000EE"/>
            <w:u w:val="single"/>
          </w:rPr>
          <w:t>Né 8.1–8</w:t>
        </w:r>
      </w:hyperlink>
      <w:r>
        <w:t>). Le peuple écoute, et quand Esdras loue Dieu, le peuple baisse la tête pour adorer. Cela correspond aux éléments de base d'un culte synagogal. La première mention indéniable d'une synagogue provient d'Égypte, au 3</w:t>
      </w:r>
      <w:r>
        <w:t>ᵉ</w:t>
      </w:r>
      <w:r>
        <w:t xml:space="preserve"> siècle </w:t>
      </w:r>
      <w:r>
        <w:t>av. J.‑C.</w:t>
      </w:r>
      <w:r>
        <w:t xml:space="preserve"> De nombreuses synagogues sont attestées à divers endroits au premier siècle </w:t>
      </w:r>
      <w:r>
        <w:t>av. J.‑C.</w:t>
      </w:r>
    </w:p>
    <w:p>
      <w:pPr>
        <w:pStyle w:val="Heading3"/>
      </w:pPr>
      <w:r>
        <w:t>Synagogues à l'époque du Nouveau Testament</w:t>
      </w:r>
    </w:p>
    <w:p>
      <w:r/>
      <w:r>
        <w:t xml:space="preserve">Les Évangiles révèlent l'existence de nombreuses synagogues dans le territoire d'Israël. En effet, Jésus y enseigne souvent (p. ex. </w:t>
      </w:r>
      <w:hyperlink r:id="rId8342">
        <w:r>
          <w:rPr>
            <w:color w:val="0000EE"/>
            <w:u w:val="single"/>
          </w:rPr>
          <w:t>Mt 4.23</w:t>
        </w:r>
      </w:hyperlink>
      <w:r>
        <w:t xml:space="preserve"> ; </w:t>
      </w:r>
      <w:hyperlink r:id="rId8343">
        <w:r>
          <w:rPr>
            <w:color w:val="0000EE"/>
            <w:u w:val="single"/>
          </w:rPr>
          <w:t>9.35</w:t>
        </w:r>
      </w:hyperlink>
      <w:r>
        <w:t>), surtout en Galilée et probablement en Judée aussi. Alors qu'il est interrogé par le souverain sacrificateur, Jésus lui dit : « J’ai parlé ouvertement au monde ; j’ai toujours enseigné dans la synagogue et dans le temple, où tous les Juifs s’assemblent » (</w:t>
      </w:r>
      <w:hyperlink r:id="rId14105">
        <w:r>
          <w:rPr>
            <w:color w:val="0000EE"/>
            <w:u w:val="single"/>
          </w:rPr>
          <w:t>Jn 18.20)</w:t>
        </w:r>
      </w:hyperlink>
      <w:r>
        <w:t>.</w:t>
      </w:r>
    </w:p>
    <w:p>
      <w:r/>
      <w:r>
        <w:t>Dans le livre des Actes, il est question de synagogues à Jérusalem (</w:t>
      </w:r>
      <w:hyperlink r:id="rId383">
        <w:r>
          <w:rPr>
            <w:color w:val="0000EE"/>
            <w:u w:val="single"/>
          </w:rPr>
          <w:t>Ac 6.9</w:t>
        </w:r>
      </w:hyperlink>
      <w:r>
        <w:t>), Damas (</w:t>
      </w:r>
      <w:hyperlink r:id="rId8715">
        <w:r>
          <w:rPr>
            <w:color w:val="0000EE"/>
            <w:u w:val="single"/>
          </w:rPr>
          <w:t>Ac 9.2</w:t>
        </w:r>
      </w:hyperlink>
      <w:r>
        <w:t>), Chypre (</w:t>
      </w:r>
      <w:hyperlink r:id="rId7124">
        <w:r>
          <w:rPr>
            <w:color w:val="0000EE"/>
            <w:u w:val="single"/>
          </w:rPr>
          <w:t>Ac 13.5</w:t>
        </w:r>
      </w:hyperlink>
      <w:r>
        <w:t>), dans la province romaine de Galatie (</w:t>
      </w:r>
      <w:hyperlink r:id="rId5620">
        <w:r>
          <w:rPr>
            <w:color w:val="0000EE"/>
            <w:u w:val="single"/>
          </w:rPr>
          <w:t>Ac 13.14</w:t>
        </w:r>
      </w:hyperlink>
      <w:r>
        <w:t xml:space="preserve"> ; </w:t>
      </w:r>
      <w:hyperlink r:id="rId6105">
        <w:r>
          <w:rPr>
            <w:color w:val="0000EE"/>
            <w:u w:val="single"/>
          </w:rPr>
          <w:t>14.1</w:t>
        </w:r>
      </w:hyperlink>
      <w:r>
        <w:t>), en Macédoine, en Grèce (</w:t>
      </w:r>
      <w:hyperlink r:id="rId14106">
        <w:r>
          <w:rPr>
            <w:color w:val="0000EE"/>
            <w:u w:val="single"/>
          </w:rPr>
          <w:t>Ac 17.1, 10, 17</w:t>
        </w:r>
      </w:hyperlink>
      <w:r>
        <w:t xml:space="preserve"> ; </w:t>
      </w:r>
      <w:hyperlink r:id="rId3111">
        <w:r>
          <w:rPr>
            <w:color w:val="0000EE"/>
            <w:u w:val="single"/>
          </w:rPr>
          <w:t>18.4</w:t>
        </w:r>
      </w:hyperlink>
      <w:r>
        <w:t>), ainsi qu'à Éphèse, dans la province romaine d'Asie (</w:t>
      </w:r>
      <w:hyperlink r:id="rId7720">
        <w:r>
          <w:rPr>
            <w:color w:val="0000EE"/>
            <w:u w:val="single"/>
          </w:rPr>
          <w:t>Ac 19.8</w:t>
        </w:r>
      </w:hyperlink>
      <w:r>
        <w:t>). Paul allait habituellement dans les synagogues pour y prêcher quand il en avait l'autorisation.</w:t>
      </w:r>
    </w:p>
    <w:p>
      <w:pPr>
        <w:pStyle w:val="Heading3"/>
      </w:pPr>
      <w:r>
        <w:t>Culte synagogal</w:t>
      </w:r>
    </w:p>
    <w:p>
      <w:r/>
      <w:r>
        <w:t xml:space="preserve">Les Évangiles et les Actes des Apôtres montrent que les Juifs se rassemblaient le jour du sabbat pour adorer à la synagogue. Ils se réunissaient également pour adorer le deuxième et le cinquième jour de la semaine. Le récit dans </w:t>
      </w:r>
      <w:hyperlink r:id="rId7790">
        <w:r>
          <w:rPr>
            <w:color w:val="0000EE"/>
            <w:u w:val="single"/>
          </w:rPr>
          <w:t>Luc 4.16–30</w:t>
        </w:r>
      </w:hyperlink>
      <w:r>
        <w:t xml:space="preserve"> décrit le déroulement d'un culte synagogal. La Mishna (un livre qui rassemble et met à l'écrit les lois et enseignements oraux des juifs) décrit ainsi le déroulement modèle du culte dans une synagogue :</w:t>
      </w:r>
    </w:p>
    <w:p>
      <w:pPr>
        <w:pStyle w:val="ListBullet"/>
        <w:spacing w:line="240" w:lineRule="auto"/>
        <w:ind w:left="720"/>
      </w:pPr>
      <w:r/>
      <w:r>
        <w:t xml:space="preserve">La déclaration de foi appelée le Chema (Shema) était récitée. Cela incluait la lecture de </w:t>
      </w:r>
      <w:hyperlink r:id="rId2452">
        <w:r>
          <w:rPr>
            <w:color w:val="0000EE"/>
            <w:u w:val="single"/>
          </w:rPr>
          <w:t>Deutéronome 6.4–9</w:t>
        </w:r>
      </w:hyperlink>
      <w:r>
        <w:t xml:space="preserve"> ; </w:t>
      </w:r>
      <w:hyperlink r:id="rId7792">
        <w:r>
          <w:rPr>
            <w:color w:val="0000EE"/>
            <w:u w:val="single"/>
          </w:rPr>
          <w:t>11.13–21</w:t>
        </w:r>
      </w:hyperlink>
      <w:r>
        <w:t xml:space="preserve"> et de </w:t>
      </w:r>
      <w:hyperlink r:id="rId7793">
        <w:r>
          <w:rPr>
            <w:color w:val="0000EE"/>
            <w:u w:val="single"/>
          </w:rPr>
          <w:t>Nombres 15.37–41</w:t>
        </w:r>
      </w:hyperlink>
      <w:r>
        <w:t>.</w:t>
      </w:r>
    </w:p>
    <w:p>
      <w:pPr>
        <w:pStyle w:val="ListBullet"/>
        <w:spacing w:line="240" w:lineRule="auto"/>
        <w:ind w:left="720"/>
      </w:pPr>
      <w:r/>
      <w:r>
        <w:t>Il y avait un temps de prière qui incluait la récitation d'une série de prières traditionnelles appelée les « dix-huit bénédictions ».</w:t>
      </w:r>
    </w:p>
    <w:p>
      <w:pPr>
        <w:pStyle w:val="ListBullet"/>
        <w:spacing w:line="240" w:lineRule="auto"/>
        <w:ind w:left="720"/>
      </w:pPr>
      <w:r/>
      <w:r>
        <w:t xml:space="preserve">Des passages de l'AT étaient lus. Cela incluait toujours des passages de la loi (voir </w:t>
      </w:r>
      <w:hyperlink r:id="rId14107">
        <w:r>
          <w:rPr>
            <w:color w:val="0000EE"/>
            <w:u w:val="single"/>
          </w:rPr>
          <w:t>Ac 15.21</w:t>
        </w:r>
      </w:hyperlink>
      <w:r>
        <w:t>). Un plan de lecture était suivi qui permettait de lire toute la loi (le Pentateuque) en trois ans. Des passages des prophètes, choisis plus librement, étaient également lus.</w:t>
      </w:r>
    </w:p>
    <w:p>
      <w:pPr>
        <w:pStyle w:val="ListBullet"/>
        <w:spacing w:line="240" w:lineRule="auto"/>
        <w:ind w:left="720"/>
      </w:pPr>
      <w:r/>
      <w:r>
        <w:t>Depuis le retour d'exil, beaucoup d'Israélites de Palestine ne comprenaient plus aussi bien l'hébreu biblique. La lecture en hébreu était donc suivie d'une traduction en araméen. Dans la Diaspora, le texte hébreu était traduit en grec.</w:t>
      </w:r>
    </w:p>
    <w:p>
      <w:pPr>
        <w:pStyle w:val="ListBullet"/>
        <w:spacing w:line="240" w:lineRule="auto"/>
        <w:ind w:left="720"/>
      </w:pPr>
      <w:r/>
      <w:r>
        <w:t>Après la lecture, toute personne qualifiée pouvait s'adresser à l'assemblée pour l'enseigner, comme Jésus et l'apôtre Paul l'ont souvent fait.</w:t>
      </w:r>
    </w:p>
    <w:p>
      <w:pPr>
        <w:pStyle w:val="ListBullet"/>
        <w:spacing w:line="240" w:lineRule="auto"/>
        <w:ind w:left="720"/>
      </w:pPr>
      <w:r/>
      <w:r>
        <w:t>Le culte était conclu avec une bénédiction.</w:t>
      </w:r>
    </w:p>
    <w:p>
      <w:pPr>
        <w:pStyle w:val="Heading3"/>
      </w:pPr>
      <w:r>
        <w:t>Fonction juridique de la synagogue</w:t>
      </w:r>
    </w:p>
    <w:p>
      <w:r/>
      <w:r>
        <w:t xml:space="preserve">La synagogue aidait également à résoudre les différends et à traiter les affaires juridiques de la communauté juive. Les membres de la communauté amenaient devant les anciens ceux qui désobéissaient à la loi et agissaient contre la religion juive. Ces anciens avaient le rôle de juges locaux. Dans les cas extrêmes, ils pouvaient bannir quelqu'un de la synagogue : cette personne ne pouvait pas participer au culte ou à la vie communautaire. Ils pouvaient également ordonner que le coupable soit châtié, souvent avec des coups de bâton (voir </w:t>
      </w:r>
      <w:hyperlink r:id="rId14108">
        <w:r>
          <w:rPr>
            <w:color w:val="0000EE"/>
            <w:u w:val="single"/>
          </w:rPr>
          <w:t xml:space="preserve">Jn 9.22, 34–35 </w:t>
        </w:r>
      </w:hyperlink>
      <w:r>
        <w:t xml:space="preserve">; </w:t>
      </w:r>
      <w:hyperlink r:id="rId14109">
        <w:r>
          <w:rPr>
            <w:color w:val="0000EE"/>
            <w:u w:val="single"/>
          </w:rPr>
          <w:t>12.42</w:t>
        </w:r>
      </w:hyperlink>
      <w:r>
        <w:t>). Jésus avait averti ses disciples qu'ils pourraient avoir à endurer ces punitions quand ils témoigneraient de lui (</w:t>
      </w:r>
      <w:hyperlink r:id="rId4364">
        <w:r>
          <w:rPr>
            <w:color w:val="0000EE"/>
            <w:u w:val="single"/>
          </w:rPr>
          <w:t xml:space="preserve">Mt 10.17 </w:t>
        </w:r>
      </w:hyperlink>
      <w:r>
        <w:t xml:space="preserve">; </w:t>
      </w:r>
      <w:hyperlink r:id="rId14110">
        <w:r>
          <w:rPr>
            <w:color w:val="0000EE"/>
            <w:u w:val="single"/>
          </w:rPr>
          <w:t>Jn 16.2</w:t>
        </w:r>
      </w:hyperlink>
      <w:r>
        <w:t>).</w:t>
      </w:r>
    </w:p>
    <w:p>
      <w:r/>
      <w:r>
        <w:t>Avant sa conversion, Saul persécutait les chrétiens avec zèle. Il avait fait envoyer des lettres de la part des autorités de Jérusalem aux synagogues de Damas. Ces lettres lui donnaient le droit d'arrêter les chrétiens et de les emmener à Jérusalem (</w:t>
      </w:r>
      <w:hyperlink r:id="rId8715">
        <w:r>
          <w:rPr>
            <w:color w:val="0000EE"/>
            <w:u w:val="single"/>
          </w:rPr>
          <w:t>Ac 9.2</w:t>
        </w:r>
      </w:hyperlink>
      <w:r>
        <w:t xml:space="preserve">). Dans </w:t>
      </w:r>
      <w:hyperlink r:id="rId14111">
        <w:r>
          <w:rPr>
            <w:color w:val="0000EE"/>
            <w:u w:val="single"/>
          </w:rPr>
          <w:t>Actes 22.19</w:t>
        </w:r>
      </w:hyperlink>
      <w:r>
        <w:t>, Saul, désormais chrétien et appelé Paul, raconte qu'il les faisait battre et emprisonner. Quand il devient lui-même témoin de Christ, il reçoit lui aussi les 39 coups donnés dans les synagogues (</w:t>
      </w:r>
      <w:hyperlink r:id="rId4363">
        <w:r>
          <w:rPr>
            <w:color w:val="0000EE"/>
            <w:u w:val="single"/>
          </w:rPr>
          <w:t>2Co 11.24</w:t>
        </w:r>
      </w:hyperlink>
      <w:r>
        <w:t>).</w:t>
      </w:r>
    </w:p>
    <w:p>
      <w:pPr>
        <w:pStyle w:val="Heading3"/>
      </w:pPr>
      <w:r>
        <w:t>Enseignement de la loi dans la synagogue</w:t>
      </w:r>
    </w:p>
    <w:p>
      <w:r/>
      <w:r>
        <w:t>La lecture de la loi était très importante dans le culte de la synagogue. L'enseignement de la loi, surtout aux enfants, y était étroitement lié. Cet enseignement se faisait soit dans le bâtiment de la synagogue lui-même, soit dans une école dont c'était la fonction.</w:t>
      </w:r>
    </w:p>
    <w:p>
      <w:pPr>
        <w:pStyle w:val="Heading3"/>
      </w:pPr>
      <w:r>
        <w:t>Organisation de la synagogue</w:t>
      </w:r>
    </w:p>
    <w:p>
      <w:r/>
      <w:r>
        <w:t xml:space="preserve">Le NT mentionne deux rôles spécifiques liés au fonctionnement de la synagogue : les chefs de synagogue et les serviteurs (ou assistants). Le chef de la synagogue maintenait l'ordre et choisissait qui lisait les Écritures (voir p. ex. </w:t>
      </w:r>
      <w:hyperlink r:id="rId14112">
        <w:r>
          <w:rPr>
            <w:color w:val="0000EE"/>
            <w:u w:val="single"/>
          </w:rPr>
          <w:t>Mc 5.22</w:t>
        </w:r>
      </w:hyperlink>
      <w:r>
        <w:t xml:space="preserve"> ; </w:t>
      </w:r>
      <w:hyperlink r:id="rId2448">
        <w:r>
          <w:rPr>
            <w:color w:val="0000EE"/>
            <w:u w:val="single"/>
          </w:rPr>
          <w:t>Lc 13.14</w:t>
        </w:r>
      </w:hyperlink>
      <w:r>
        <w:t xml:space="preserve"> ; </w:t>
      </w:r>
      <w:hyperlink r:id="rId2450">
        <w:r>
          <w:rPr>
            <w:color w:val="0000EE"/>
            <w:u w:val="single"/>
          </w:rPr>
          <w:t>Ac 18.8</w:t>
        </w:r>
      </w:hyperlink>
      <w:r>
        <w:t xml:space="preserve">, </w:t>
      </w:r>
      <w:hyperlink r:id="rId3194">
        <w:r>
          <w:rPr>
            <w:color w:val="0000EE"/>
            <w:u w:val="single"/>
          </w:rPr>
          <w:t>17</w:t>
        </w:r>
      </w:hyperlink>
      <w:r>
        <w:t>). L'assistant était responsable des rouleaux des Écritures et disciplinait les élèves qui en avaient besoin (</w:t>
      </w:r>
      <w:hyperlink r:id="rId8768">
        <w:r>
          <w:rPr>
            <w:color w:val="0000EE"/>
            <w:u w:val="single"/>
          </w:rPr>
          <w:t>Lc 4.20</w:t>
        </w:r>
      </w:hyperlink>
      <w:r>
        <w:t>). Plus tard, il y a eu aussi une personne dont le rôle était de diriger les prières.</w:t>
      </w:r>
    </w:p>
    <w:p>
      <w:pPr>
        <w:pStyle w:val="Heading3"/>
      </w:pPr>
      <w:r>
        <w:t>Bâtiment de la synagogue</w:t>
      </w:r>
    </w:p>
    <w:p>
      <w:r/>
      <w:r>
        <w:t>Le bâtiment de la synagogue était structuré de façon similaire au Temple. Elle était souvent construite sur un terrain élevé et de façon à ce que les adorateurs puissent s'assoir dans la direction faisant face à Jérusalem. Les rouleaux de la loi et des prophètes étaient rangés dans un coffre portable. Une estrade était utilisée pour la lecture des Écritures et pour la prédication. Les hommes et les femmes étaient assis séparément. Les scribes préféraient les « premiers sièges » faisant face au peuple (</w:t>
      </w:r>
      <w:hyperlink r:id="rId5641">
        <w:r>
          <w:rPr>
            <w:color w:val="0000EE"/>
            <w:u w:val="single"/>
          </w:rPr>
          <w:t>Mc 12.39</w:t>
        </w:r>
      </w:hyperlink>
      <w:r>
        <w:t>). Il y avait des décorations comme des feuilles de vigne, des chandeliers à sept branches, l'agneau pascal ou le pot de manne dans de nombreuses synagogues. Les premières synagogues avaient aussi une gueniza, qui était une cave ou un grenier. Cet endroit servait d'espace de rangement pour les rouleaux usagés. En effet, ces rouleaux étaient considérés comme trop sacrés pour être détruits puisque le nom de Dieu y était écrit.</w:t>
      </w:r>
    </w:p>
    <w:p>
      <w:r/>
      <w:r>
        <w:rPr>
          <w:i/>
        </w:rPr>
        <w:t>Voir aussi</w:t>
      </w:r>
      <w:r>
        <w:t xml:space="preserve"> </w:t>
      </w:r>
      <w:r>
        <w:t>judaïsme</w:t>
      </w:r>
      <w:r>
        <w:t xml:space="preserve"> ; </w:t>
      </w:r>
      <w:r>
        <w:t>chef de la synagogue</w:t>
      </w:r>
      <w:r>
        <w:t>.</w:t>
      </w:r>
      <w:r/>
      <w:r/>
    </w:p>
    <w:p>
      <w:r/>
    </w:p>
    <w:p>
      <w:pPr>
        <w:pStyle w:val="Heading2"/>
      </w:pPr>
      <w:r>
        <w:t>Syracuse</w:t>
      </w:r>
      <w:r/>
    </w:p>
    <w:p>
      <w:r/>
      <w:r>
        <w:t>Ville sur la côte orientale de la Sicile et agglomération la plus importante de l'île. Ici, le navire de Paul, sur lequel il voyageait vers Rome comme prisonnier, fera une escale pendant trois jours après avoir fait naufrage et séjourné trois mois à Malte (</w:t>
      </w:r>
      <w:hyperlink r:id="rId14113">
        <w:r>
          <w:rPr>
            <w:color w:val="0000EE"/>
            <w:u w:val="single"/>
          </w:rPr>
          <w:t>Ac 28.12</w:t>
        </w:r>
      </w:hyperlink>
      <w:r>
        <w:t>). Syracuse avait un excellent port se trouvait être une escale naturelle pour un navire voguant de Malte vers Rome à travers le détroit de Messine entre la Sicile et l'Italie.</w:t>
      </w:r>
    </w:p>
    <w:p>
      <w:r/>
      <w:r>
        <w:t xml:space="preserve">Au 8e siècle av. J.‑C., Syracuse est devenue une colonie grecque, fondée par Archias de Corinthe. Au cours du 5e siècle, elle a acquis une grande puissance et influence, n'étant devancée que par Carthage en tant que ville la plus importante de la Méditerranée occidentale. Elle a joué un rôle significatif dans la lutte entre Rome et Carthage au 3e siècle et a été capturée par Rome en 212 av. J.‑C. César Auguste a établi Syracuse en l'an 21 av. J.‑C., en en faisant une colonie romaine (voir Philippes). Il n'est pas indiqué dans </w:t>
      </w:r>
      <w:hyperlink r:id="rId14114">
        <w:r>
          <w:rPr>
            <w:color w:val="0000EE"/>
            <w:u w:val="single"/>
          </w:rPr>
          <w:t>Actes 28</w:t>
        </w:r>
      </w:hyperlink>
      <w:r>
        <w:t xml:space="preserve"> que Paul y ait trouvé des chrétiens, mais des preuves ultérieures provenant de ses catacombes indiquent l'existence d'une Église.</w:t>
      </w:r>
      <w:r/>
      <w:r/>
    </w:p>
    <w:p>
      <w:r/>
    </w:p>
    <w:p>
      <w:pPr>
        <w:pStyle w:val="Heading2"/>
      </w:pPr>
      <w:r>
        <w:t>Syrie, Syriens</w:t>
      </w:r>
      <w:r/>
    </w:p>
    <w:p>
      <w:r/>
      <w:r>
        <w:t>Termes utilisés dans la Septante et dans certaines traductions françaises pour traduire les noms Aram, Araméens.</w:t>
      </w:r>
    </w:p>
    <w:p>
      <w:pPr>
        <w:pStyle w:val="Heading3"/>
      </w:pPr>
      <w:r>
        <w:t>Histoire des Araméens</w:t>
      </w:r>
    </w:p>
    <w:p>
      <w:r/>
      <w:r>
        <w:t xml:space="preserve">Selon la « table des nations » dans </w:t>
      </w:r>
      <w:hyperlink r:id="rId1099">
        <w:r>
          <w:rPr>
            <w:color w:val="0000EE"/>
            <w:u w:val="single"/>
          </w:rPr>
          <w:t>Genèse 10.22–23</w:t>
        </w:r>
      </w:hyperlink>
      <w:r>
        <w:t xml:space="preserve">, les Araméens étaient un groupe sémitique, descendants de Sem. Une autre généalogie dans </w:t>
      </w:r>
      <w:hyperlink r:id="rId14115">
        <w:r>
          <w:rPr>
            <w:color w:val="0000EE"/>
            <w:u w:val="single"/>
          </w:rPr>
          <w:t>Genèse 22.20–21</w:t>
        </w:r>
      </w:hyperlink>
      <w:r>
        <w:t xml:space="preserve"> fait d'Aram un descendant de Nachor. Selon </w:t>
      </w:r>
      <w:hyperlink r:id="rId813">
        <w:r>
          <w:rPr>
            <w:color w:val="0000EE"/>
            <w:u w:val="single"/>
          </w:rPr>
          <w:t>Amos 9.7</w:t>
        </w:r>
      </w:hyperlink>
      <w:r>
        <w:t xml:space="preserve">, les Araméens (Syriens) venaient de Kir, qui est lié à Élam dans </w:t>
      </w:r>
      <w:hyperlink r:id="rId14116">
        <w:r>
          <w:rPr>
            <w:color w:val="0000EE"/>
            <w:u w:val="single"/>
          </w:rPr>
          <w:t>Ésaïe 22.6</w:t>
        </w:r>
      </w:hyperlink>
      <w:r>
        <w:t>. L'exil des Araméens à Kir (</w:t>
      </w:r>
      <w:hyperlink r:id="rId814">
        <w:r>
          <w:rPr>
            <w:color w:val="0000EE"/>
            <w:u w:val="single"/>
          </w:rPr>
          <w:t>2R 16.9</w:t>
        </w:r>
      </w:hyperlink>
      <w:r>
        <w:t xml:space="preserve"> ; </w:t>
      </w:r>
      <w:hyperlink r:id="rId6393">
        <w:r>
          <w:rPr>
            <w:color w:val="0000EE"/>
            <w:u w:val="single"/>
          </w:rPr>
          <w:t>Am 1.5</w:t>
        </w:r>
      </w:hyperlink>
      <w:r>
        <w:t>) peut suggérer qu'ils devaient retourner dans leur foyer d'origine. Les origines précises de ce groupe de personnes sont cependant perdues dans les méandres de l'antiquité. Au moment de leur émergence dans l'histoire, ils étaient installés autour de l'Euphrate central d'où ils se sont étendus vers l'est, l'ouest et le nord.</w:t>
      </w:r>
    </w:p>
    <w:p>
      <w:r/>
      <w:r>
        <w:t>Les Araméens étaient traditionnellement considérés comme établis dans la haute Mésopotamie au début du 2e millénaire av. J.‑C. Bethuel et Laban étaient connus comme Araméens (</w:t>
      </w:r>
      <w:hyperlink r:id="rId1930">
        <w:r>
          <w:rPr>
            <w:color w:val="0000EE"/>
            <w:u w:val="single"/>
          </w:rPr>
          <w:t>Gn 25.20</w:t>
        </w:r>
      </w:hyperlink>
      <w:r>
        <w:t xml:space="preserve"> ; </w:t>
      </w:r>
      <w:hyperlink r:id="rId14117">
        <w:r>
          <w:rPr>
            <w:color w:val="0000EE"/>
            <w:u w:val="single"/>
          </w:rPr>
          <w:t>28.1–7</w:t>
        </w:r>
      </w:hyperlink>
      <w:r>
        <w:t>) ; la maison de Bethuel était à Paddan-Aram (</w:t>
      </w:r>
      <w:hyperlink r:id="rId1930">
        <w:r>
          <w:rPr>
            <w:color w:val="0000EE"/>
            <w:u w:val="single"/>
          </w:rPr>
          <w:t>25.20</w:t>
        </w:r>
      </w:hyperlink>
      <w:r>
        <w:t>). Le prophète Osée rappelle la tradition en notant que Jacob s'est enfui vers le « pays d'Aram » (</w:t>
      </w:r>
      <w:hyperlink r:id="rId11513">
        <w:r>
          <w:rPr>
            <w:color w:val="0000EE"/>
            <w:u w:val="single"/>
          </w:rPr>
          <w:t>Os 12.12</w:t>
        </w:r>
      </w:hyperlink>
      <w:r>
        <w:t xml:space="preserve">) ou « Aram-naharaïm » (Aram des deux fleuves), qui était la partie nord de la Mésopotamie entre les fleuves Euphrate et Hiddékel (le Tigre). Dans la confession de foi de </w:t>
      </w:r>
      <w:hyperlink r:id="rId10559">
        <w:r>
          <w:rPr>
            <w:color w:val="0000EE"/>
            <w:u w:val="single"/>
          </w:rPr>
          <w:t>Deutéronome 26.5</w:t>
        </w:r>
      </w:hyperlink>
      <w:r>
        <w:t xml:space="preserve">, l'Israélite qui apportait ses prémices confessait : « Mon père [sans doute Jacob] était un Araméen </w:t>
      </w:r>
      <w:r>
        <w:t>nomade</w:t>
      </w:r>
      <w:r>
        <w:t>. »</w:t>
      </w:r>
    </w:p>
    <w:p>
      <w:r/>
      <w:r>
        <w:t>La meilleure preuve antique de la présence araméenne dans cette région provient probablement de Tiglath-Piléser 1er. Dans les annales de sa quatrième année (1112 av. J.‑C.), il mentionne une campagne parmi les « Akhlama, Araméens » dans la région du Moyen Euphrate et le pillage de six villages araméens dans la région du Mont Bishri.</w:t>
      </w:r>
    </w:p>
    <w:p>
      <w:r/>
      <w:r>
        <w:t>Les Araméens de la haute Mésopotamie ont acquis une importance notable dans l'histoire biblique. Ils ont fondé plusieurs États araméens distincts, dont deux ont été particulièrement significatifs pour le peuple d'Israël : Aram-Tsoba à l'époque de David et Aram-Damas à partir de l'époque de Salomon.</w:t>
      </w:r>
    </w:p>
    <w:p>
      <w:r/>
      <w:r>
        <w:t>Vers 1100 av. J.‑C., les tribus araméennes s'étaient répandues à travers la Syrie et s'étaient étendues dans le nord de la Transjordanie, où elles sont entrées en conflit avec les Israélites. À son apogée, Hadadézer, roi d'Aram-Tsoba, comptait plusieurs vassaux, tels que Damas, Maaca et Tob. Il finira par être vaincu par le roi David (</w:t>
      </w:r>
      <w:hyperlink r:id="rId14118">
        <w:r>
          <w:rPr>
            <w:color w:val="0000EE"/>
            <w:u w:val="single"/>
          </w:rPr>
          <w:t>2S 8.3–4</w:t>
        </w:r>
      </w:hyperlink>
      <w:r>
        <w:t xml:space="preserve"> ; </w:t>
      </w:r>
      <w:hyperlink r:id="rId14119">
        <w:r>
          <w:rPr>
            <w:color w:val="0000EE"/>
            <w:u w:val="single"/>
          </w:rPr>
          <w:t>10.17–19</w:t>
        </w:r>
      </w:hyperlink>
      <w:r>
        <w:t>).</w:t>
      </w:r>
    </w:p>
    <w:p>
      <w:r/>
      <w:r>
        <w:t>Les événements en Israël et Juda auront une certaine influence sur Damas. Après la mort de Salomon, lorsque le royaume autrefois uni s'est divisé en Juda et Israël, des tensions ont surgi entre ces deux petits États. Une guerre éclatera entre Baescha d'Israël et Asa de Juda dans les années 890–880 av. J.‑C. Asa cherchera l'aide de Ben-Hadad 1er de Damas (</w:t>
      </w:r>
      <w:hyperlink r:id="rId10125">
        <w:r>
          <w:rPr>
            <w:color w:val="0000EE"/>
            <w:u w:val="single"/>
          </w:rPr>
          <w:t>1R 15.18</w:t>
        </w:r>
      </w:hyperlink>
      <w:r>
        <w:t>). Les territoires en Transjordanie ont plusieurs fois changé de mains. Les successeurs d'Omri d'Israël (Achab, Achazia, Joram, Jéhu, Joachaz et Joas) ont connu de nombreux conflits avec Damas. Achab combattra Ben-Hadad et ses trente-deux alliés qui assiégeaient Samarie (</w:t>
      </w:r>
      <w:hyperlink r:id="rId14120">
        <w:r>
          <w:rPr>
            <w:color w:val="0000EE"/>
            <w:u w:val="single"/>
          </w:rPr>
          <w:t>20.1</w:t>
        </w:r>
      </w:hyperlink>
      <w:r>
        <w:t>), mais Israël triomphera d'eux. Une deuxième fois, Ben-Hadad pénétrera en territoire israélite et atteindra Aphek (</w:t>
      </w:r>
      <w:hyperlink r:id="rId14121">
        <w:r>
          <w:rPr>
            <w:color w:val="0000EE"/>
            <w:u w:val="single"/>
          </w:rPr>
          <w:t>20.26</w:t>
        </w:r>
      </w:hyperlink>
      <w:r>
        <w:t>), mais il sera de nouveau vaincu et capturé. En conséquence de sa défaite et pour le prix de sa libération, il sera obligé de rendre des bazars disponibles à Damas pour le commerce israélite. Après trois ans de paix entre Israël et Damas, les hostilités reprendront et aboutiront à une bataille dans la région de Ramoth en Galaad, où Achab sera tué (</w:t>
      </w:r>
      <w:hyperlink r:id="rId14122">
        <w:r>
          <w:rPr>
            <w:color w:val="0000EE"/>
            <w:u w:val="single"/>
          </w:rPr>
          <w:t>22.29–37</w:t>
        </w:r>
      </w:hyperlink>
      <w:r>
        <w:t>). Aram-Damas sera vaincu par le roi Joas d'Israël (</w:t>
      </w:r>
      <w:hyperlink r:id="rId801">
        <w:r>
          <w:rPr>
            <w:color w:val="0000EE"/>
            <w:u w:val="single"/>
          </w:rPr>
          <w:t>2R 13.25</w:t>
        </w:r>
      </w:hyperlink>
      <w:r>
        <w:t>).</w:t>
      </w:r>
    </w:p>
    <w:p>
      <w:pPr>
        <w:pStyle w:val="Heading3"/>
      </w:pPr>
      <w:r>
        <w:t>La Syrie après l'effondrement des royaumes araméens</w:t>
      </w:r>
    </w:p>
    <w:p>
      <w:r/>
      <w:r>
        <w:t>Après l'effondrement d'Aram-Damas en 733–732 av. J.‑C., le paysage politique de toute la région sera bouleversé. Au cours des siècles suivants, jusqu'à l'époque chrétienne, la région passera sous le contrôle de plusieurs grandes puissances et aucun État araméen indépendant ne survivra. Lorsque l'Assyrie s'effondrera en 612–609 av. J.‑C., la région passera sous contrôle babylonien, mais seulement pour une période relativement courte. Avec l'ascension de Cyrus le Perse, la région syrienne sera rapidement envahie par les armées perses. La Palestine, l'Asie Mineure et l'Égypte seront intégrées à l'Empire perse au même moment.</w:t>
      </w:r>
    </w:p>
    <w:p>
      <w:r/>
      <w:r>
        <w:t>Le prochain changement politique significatif qui affectera la région surviendra avec l'apparition de Philippe de Macédoine en 360 av. J.‑C. Son fils Alexandre le Grand (336–323 av. J.‑C.) consolidera le pouvoir grec dans tout l'ouest de l'Asie et jusqu'aux frontières de l'Inde. À sa mort en 323 av. J.‑C., à l'âge de 33 ans, le contrôle de l'ouest de l'Asie passera entre les mains des généraux d'Alexandre. Le général Séleucos 1er (312–280 av. J.‑C.) contrôlait la moitié sud de l'Asie Mineure, la région de la Syrie, la Mésopotamie, et vers l'est jusqu'aux frontières de l'Inde. La Syrie tombera ainsi sous l'influence des dirigeants hellénistiques, les Séleucides, qui fonderont une nouvelle capitale à Antioche.</w:t>
      </w:r>
    </w:p>
    <w:p>
      <w:r/>
      <w:r>
        <w:t>Plus à l'ouest, Rome gagnait en puissance et tournait ses regards vers l'est. C'est le général Pompée qui triomphera de Mithridate, le jeune roi du Pont, et se déplacera pour écraser les vestiges du royaume des Séleucides. Les parties occidentales de la Syrie seront constituées en province romaine en l'an 64 av. J.‑C. Pompée entre finalement en Palestine, qui passe sous contrôle romain en l'an 63 av. J.‑C.</w:t>
      </w:r>
    </w:p>
    <w:p>
      <w:r/>
      <w:r>
        <w:t>La province romaine de Syrie comprenait la Cilicie, une bande terrestre dans le coin sud-est de l'Asie Mineure. La frontière nord atteignait l'Euphrate, se dirigeait ensuite vers le sud, bien à l'est de Damas, puis s'orientait vers l'ouest à mi-chemin vers la mer Morte, pour continuait vers l'ouest jusqu'à la mer Méditerranée. La Syrie était bordée à l'ouest par la Méditerranée jusqu'au golfe d'Alexandrette, où elle tournait vers l'ouest. La province de Syrie et de Cilicie (</w:t>
      </w:r>
      <w:hyperlink r:id="rId14123">
        <w:r>
          <w:rPr>
            <w:color w:val="0000EE"/>
            <w:u w:val="single"/>
          </w:rPr>
          <w:t>Ac 15.23, 41</w:t>
        </w:r>
      </w:hyperlink>
      <w:r>
        <w:t xml:space="preserve"> ; </w:t>
      </w:r>
      <w:hyperlink r:id="rId2727">
        <w:r>
          <w:rPr>
            <w:color w:val="0000EE"/>
            <w:u w:val="single"/>
          </w:rPr>
          <w:t>Ga 1.21</w:t>
        </w:r>
      </w:hyperlink>
      <w:r>
        <w:t>) était gouvernée par un légat impérial (</w:t>
      </w:r>
      <w:r>
        <w:rPr>
          <w:i/>
        </w:rPr>
        <w:t>legatis</w:t>
      </w:r>
      <w:r>
        <w:t>) qui commandait une puissante force de troupes légionnaires. C'est un tel gouverneur, Quirinius, qui gouvernait la Syrie au moment du recensement de César Auguste ; ce recensement amènera Joseph et Marie à Bethléem pour la naissance de Jésus (</w:t>
      </w:r>
      <w:hyperlink r:id="rId2580">
        <w:r>
          <w:rPr>
            <w:color w:val="0000EE"/>
            <w:u w:val="single"/>
          </w:rPr>
          <w:t>Lc 2.2</w:t>
        </w:r>
      </w:hyperlink>
      <w:r>
        <w:t>).</w:t>
      </w:r>
    </w:p>
    <w:p>
      <w:r/>
      <w:r>
        <w:t>Au cours des siècles suivants, la population de Damas sera christianisée, et le christianisme s répandra dans toute la province romaine de Syrie, donnant naissance à l'Église syrienne, qui subsiste encore à ce jour. Elle laissera un héritage remarquable de littérature chrétienne écrite en syriaque (araméen). L'ancienne langue araméenne perdurera, bien qu'un alphabet modifié ait été utilisé pour l'écrire.</w:t>
      </w:r>
    </w:p>
    <w:p>
      <w:r/>
      <w:r>
        <w:t>L'essor de l'Islam au 7e siècle apr. J.‑C. affaiblira considérablement l'Église syrienne, bien qu'elle ne sera jamais complètement détruite. Des communautés dispersées de personnes parlant l'araméen survivent encore dans certaines parties de la Syrie, et de nombreux vestiges d'Églises chrétiennes ont été mis au jour grâce aux travaux archéologiques modernes.</w:t>
      </w:r>
    </w:p>
    <w:p>
      <w:pPr>
        <w:pStyle w:val="Heading3"/>
      </w:pPr>
      <w:r>
        <w:t>Langue et culture</w:t>
      </w:r>
    </w:p>
    <w:p>
      <w:r/>
      <w:r>
        <w:t xml:space="preserve">Les Araméens parlaient l'araméen. De nombreuses inscriptions dans cette langue ont été découvertes. L'écriture araméenne sera adaptée pour être utilisée par les Israélites, et cette langue deviendra la langue internationale pour la diplomatie et l'administration dans tout le Proche-Orient. Il s'agissait de la </w:t>
      </w:r>
      <w:r>
        <w:rPr>
          <w:i/>
        </w:rPr>
        <w:t>lingua franca</w:t>
      </w:r>
      <w:r>
        <w:t xml:space="preserve"> de la période perse, de l'Égypte à l'Inde, et elle était largement parlée en Palestine à l'époque de Jésus. Les mots « </w:t>
      </w:r>
      <w:r>
        <w:rPr>
          <w:i/>
        </w:rPr>
        <w:t>talitha cumi</w:t>
      </w:r>
      <w:r>
        <w:t xml:space="preserve"> » (</w:t>
      </w:r>
      <w:hyperlink r:id="rId14124">
        <w:r>
          <w:rPr>
            <w:color w:val="0000EE"/>
            <w:u w:val="single"/>
          </w:rPr>
          <w:t>Mc 5.41</w:t>
        </w:r>
      </w:hyperlink>
      <w:r>
        <w:t xml:space="preserve">) et « </w:t>
      </w:r>
      <w:r>
        <w:rPr>
          <w:i/>
        </w:rPr>
        <w:t>marana tha</w:t>
      </w:r>
      <w:r>
        <w:t xml:space="preserve"> » (</w:t>
      </w:r>
      <w:hyperlink r:id="rId14125">
        <w:r>
          <w:rPr>
            <w:color w:val="0000EE"/>
            <w:u w:val="single"/>
          </w:rPr>
          <w:t>1Co 16.22</w:t>
        </w:r>
      </w:hyperlink>
      <w:r>
        <w:t>) sont en araméen.</w:t>
      </w:r>
    </w:p>
    <w:p>
      <w:r/>
      <w:r>
        <w:t>Les fouilles dans de nombreux sites ont fourni une bonne idée de l'architecture, de la sculpture, de la poterie et d'autres arts araméens. La religion des Araméens était polythéiste. Le peuple a également adopté de nombreuses divinités étrangères. La principale divinité araméenne était l'ancien dieu de la tempête ouest-sémitique Hadad. À l'époque d'Achaz de Juda, le culte de Damas sera imposé au peuple de Jérusalem lorsqu'un autel basé sur un modèle de Damas sera placé dans le temple (</w:t>
      </w:r>
      <w:hyperlink r:id="rId14126">
        <w:r>
          <w:rPr>
            <w:color w:val="0000EE"/>
            <w:u w:val="single"/>
          </w:rPr>
          <w:t>2R 16.10–13</w:t>
        </w:r>
      </w:hyperlink>
      <w:r>
        <w:t>). Les Araméens exilés à Samarie par le souverain assyrien Sargon apporteront avec eux des cultes araméens étrangers (</w:t>
      </w:r>
      <w:hyperlink r:id="rId14127">
        <w:r>
          <w:rPr>
            <w:color w:val="0000EE"/>
            <w:u w:val="single"/>
          </w:rPr>
          <w:t>17.24–34</w:t>
        </w:r>
      </w:hyperlink>
      <w:r>
        <w:t>).</w:t>
      </w:r>
    </w:p>
    <w:p>
      <w:r/>
      <w:r>
        <w:t>Au cours des siècles qui ont suivi la disparition des États araméens, la langue araméenne a survécu. La forme chrétienne de l'araméen, le syriaque, laissera un vaste héritage de littérature, d'histoires, de théologies, de commentaires, de traités et de traductions, soigneusement préservés dans les anciennes bibliothèques monastiques, notamment dans le nord de la Syrie, le nord de l'Irak et le sud de la Turquie.</w:t>
      </w:r>
    </w:p>
    <w:p>
      <w:r/>
      <w:r>
        <w:rPr>
          <w:i/>
        </w:rPr>
        <w:t>Voir aussi</w:t>
      </w:r>
      <w:r>
        <w:t xml:space="preserve"> </w:t>
      </w:r>
      <w:r>
        <w:t>Araméen</w:t>
      </w:r>
      <w:r>
        <w:t>.</w:t>
      </w:r>
      <w:r/>
      <w:r/>
    </w:p>
    <w:p>
      <w:r/>
    </w:p>
    <w:p>
      <w:pPr>
        <w:pStyle w:val="Heading2"/>
      </w:pPr>
      <w:r>
        <w:t>Syro-Phénicie</w:t>
      </w:r>
      <w:r/>
    </w:p>
    <w:p>
      <w:r/>
      <w:r>
        <w:t>Patrie de la femme grecque qui, près de Tyr et de Sidon, a supplié Jésus de chasser un démon de sa fille (</w:t>
      </w:r>
      <w:hyperlink r:id="rId6112">
        <w:r>
          <w:rPr>
            <w:color w:val="0000EE"/>
            <w:u w:val="single"/>
          </w:rPr>
          <w:t>Mc 7.26</w:t>
        </w:r>
      </w:hyperlink>
      <w:r>
        <w:t>). La région de la Phénicie était située dans la province romaine de la Syrie.</w:t>
      </w:r>
    </w:p>
    <w:p>
      <w:r/>
      <w:r>
        <w:t>Pourquoi Marc spécifie que cette femme était originaire de Syro-Phénicie n'est pas clair dans le récit. Il y avait aussi une province de Lybie Phénicienne en Afrique du Nord, ce qui aurait pu prêter à confusion. Dans un passage parallèle, cette femme est identifiée comme Cananéenne. Les Phéniciens se désignaient eux-mêmes comme des Cananéens (</w:t>
      </w:r>
      <w:hyperlink r:id="rId14128">
        <w:r>
          <w:rPr>
            <w:color w:val="0000EE"/>
            <w:u w:val="single"/>
          </w:rPr>
          <w:t>Mt 15.22</w:t>
        </w:r>
      </w:hyperlink>
      <w:r>
        <w:t>).</w:t>
      </w:r>
      <w:r/>
      <w:r/>
    </w:p>
    <w:p>
      <w:r/>
    </w:p>
    <w:p>
      <w:pPr>
        <w:pStyle w:val="Heading2"/>
      </w:pPr>
      <w:r>
        <w:t>Syrte</w:t>
      </w:r>
      <w:r/>
    </w:p>
    <w:p>
      <w:r/>
      <w:r>
        <w:t xml:space="preserve">Syrte était le nom de deux étendues d'eau au large de la côte nord de l'Afrique que les anciens marins redoutaient. On appelait la plus grande </w:t>
      </w:r>
      <w:r>
        <w:rPr>
          <w:i/>
        </w:rPr>
        <w:t>Syrtis Maior</w:t>
      </w:r>
      <w:r>
        <w:t xml:space="preserve"> (« Grande Syrte »)</w:t>
      </w:r>
      <w:r>
        <w:t xml:space="preserve"> et la plus petite </w:t>
      </w:r>
      <w:r>
        <w:rPr>
          <w:i/>
        </w:rPr>
        <w:t>Syrtis Minor</w:t>
      </w:r>
      <w:r>
        <w:t xml:space="preserve"> (« Petite Syrte »)</w:t>
      </w:r>
      <w:r>
        <w:t>. Paul et ses compagnons de voyage étaient en danger de dériver vers la Grande Syrte</w:t>
      </w:r>
      <w:r>
        <w:t xml:space="preserve"> </w:t>
      </w:r>
      <w:r>
        <w:t>après avoir quitté l'île de Crète lors de leur voyage vers Rome. Un puissant vent du nord-est avait soufflé sur leur route, menaçant de pousser leur navire vers le sud-ouest à travers la mer Méditerranée jusqu'à la Grande Syrte (</w:t>
      </w:r>
      <w:hyperlink r:id="rId14129">
        <w:r>
          <w:rPr>
            <w:color w:val="0000EE"/>
            <w:u w:val="single"/>
          </w:rPr>
          <w:t>Ac 27.17</w:t>
        </w:r>
      </w:hyperlink>
      <w:r>
        <w:t>).</w:t>
      </w:r>
    </w:p>
    <w:p>
      <w:r/>
      <w:r>
        <w:t>De nos jours, on appelle Syrte Major le Golfe de Sidra. Il s'enfonce dans la côte de la Libye et s'étend sur environ 450 km de la ville de Misratah à celle de Benghazi. Actuellement, on appelle la Petite Syrte le Golfe de Gabès. Il s'enfonce dans la côte est de la Tunisie. Les marins redoutaient ces étendues d'eau car leurs bancs de sable se déplaçaient rapidement, ce qui créait des zones peu profondes imprévisibles (appelées hauts-fonds) ainsi que des marées et courants dangereux.</w:t>
      </w:r>
      <w:r/>
      <w:r/>
    </w:p>
    <w:p>
      <w:r/>
    </w:p>
    <w:p>
      <w:pPr>
        <w:pStyle w:val="Heading2"/>
      </w:pPr>
      <w:r>
        <w:t>Tabernacle</w:t>
      </w:r>
      <w:r/>
    </w:p>
    <w:p>
      <w:r/>
      <w:r>
        <w:t>Lieu de culte durant les premières années de l'histoire d'Israël.</w:t>
      </w:r>
    </w:p>
    <w:p>
      <w:r/>
      <w:r>
        <w:t>Survol</w:t>
      </w:r>
    </w:p>
    <w:p>
      <w:r/>
      <w:r>
        <w:t xml:space="preserve">• </w:t>
      </w:r>
      <w:r>
        <w:rPr>
          <w:b/>
          <w:u w:val="single"/>
        </w:rPr>
        <w:t>Introduction</w:t>
      </w:r>
    </w:p>
    <w:p>
      <w:r/>
      <w:r>
        <w:t xml:space="preserve">• </w:t>
      </w:r>
      <w:r>
        <w:rPr>
          <w:b/>
          <w:u w:val="single"/>
        </w:rPr>
        <w:t>Désignations du tabernacle</w:t>
      </w:r>
    </w:p>
    <w:p>
      <w:r/>
      <w:r>
        <w:t xml:space="preserve">• </w:t>
      </w:r>
      <w:r>
        <w:rPr>
          <w:b/>
          <w:u w:val="single"/>
        </w:rPr>
        <w:t>Contexte</w:t>
      </w:r>
    </w:p>
    <w:p>
      <w:r/>
      <w:r>
        <w:t xml:space="preserve">• </w:t>
      </w:r>
      <w:r>
        <w:rPr>
          <w:b/>
          <w:u w:val="single"/>
        </w:rPr>
        <w:t>Le Tabernacle et son mobilier</w:t>
      </w:r>
    </w:p>
    <w:p>
      <w:r/>
      <w:r>
        <w:t xml:space="preserve">• </w:t>
      </w:r>
      <w:r>
        <w:rPr>
          <w:b/>
          <w:u w:val="single"/>
        </w:rPr>
        <w:t>Le Tabernacle lui-même</w:t>
      </w:r>
    </w:p>
    <w:p>
      <w:r/>
      <w:r>
        <w:t xml:space="preserve">• </w:t>
      </w:r>
      <w:r>
        <w:rPr>
          <w:b/>
          <w:u w:val="single"/>
        </w:rPr>
        <w:t>La Cour extérieure et ses meubles</w:t>
      </w:r>
    </w:p>
    <w:p>
      <w:r/>
      <w:r>
        <w:t xml:space="preserve">• </w:t>
      </w:r>
      <w:r>
        <w:rPr>
          <w:b/>
          <w:u w:val="single"/>
        </w:rPr>
        <w:t>Construction et consécration du tabernacle</w:t>
      </w:r>
    </w:p>
    <w:p>
      <w:pPr>
        <w:pStyle w:val="Heading3"/>
      </w:pPr>
      <w:r>
        <w:t>Introduction</w:t>
      </w:r>
    </w:p>
    <w:p>
      <w:r/>
      <w:r>
        <w:t>Le tabernacle était le précurseur du temple pendant la majeure partie de la période entre la formation d'Israël au Sinaï et son établissement final dans la Terre Promise au début de la période de la monarchie. Sanctuaire portable répondant à l'exigence de mobilité facile, il symbolisait la présence de Dieu avec son peuple et, par conséquent, sa disponibilité, tout en étant un lieu où sa volonté était communiquée. À une période précoce, il était prévu que, lorsque la paix et la sécurité seraient assurées, un sanctuaire national permanent serait établi (</w:t>
      </w:r>
      <w:hyperlink r:id="rId14130">
        <w:r>
          <w:rPr>
            <w:color w:val="0000EE"/>
            <w:u w:val="single"/>
          </w:rPr>
          <w:t>Dt 12.10–11</w:t>
        </w:r>
      </w:hyperlink>
      <w:r>
        <w:t>). Cela ne sera réalisé qu'à l'époque de Salomon, lorsque le temple sera érigé (</w:t>
      </w:r>
      <w:hyperlink r:id="rId14131">
        <w:r>
          <w:rPr>
            <w:color w:val="0000EE"/>
            <w:u w:val="single"/>
          </w:rPr>
          <w:t>2S 7.10–13</w:t>
        </w:r>
      </w:hyperlink>
      <w:r>
        <w:t xml:space="preserve"> ; </w:t>
      </w:r>
      <w:hyperlink r:id="rId14132">
        <w:r>
          <w:rPr>
            <w:color w:val="0000EE"/>
            <w:u w:val="single"/>
          </w:rPr>
          <w:t>1R 5.1–5</w:t>
        </w:r>
      </w:hyperlink>
      <w:r>
        <w:t>). Les événements historiques, ainsi que les similitudes dans la construction et la théologie sous-jacente, illustrent la connexion étroite entre le tabernacle et le temple.</w:t>
      </w:r>
    </w:p>
    <w:p>
      <w:pPr>
        <w:pStyle w:val="Heading3"/>
      </w:pPr>
      <w:r>
        <w:t>Désignations du tabernacle</w:t>
      </w:r>
    </w:p>
    <w:p>
      <w:r/>
      <w:r>
        <w:t>On utilise plusieurs mots et expressions descriptifs :</w:t>
      </w:r>
    </w:p>
    <w:p>
      <w:r/>
      <w:r>
        <w:t>1. « Résidence sacrée », « sanctuaire » ou « lieu saint » (</w:t>
      </w:r>
      <w:hyperlink r:id="rId3153">
        <w:r>
          <w:rPr>
            <w:color w:val="0000EE"/>
            <w:u w:val="single"/>
          </w:rPr>
          <w:t>Ex 25.8</w:t>
        </w:r>
      </w:hyperlink>
      <w:r>
        <w:t xml:space="preserve"> ; </w:t>
      </w:r>
      <w:hyperlink r:id="rId14133">
        <w:r>
          <w:rPr>
            <w:color w:val="0000EE"/>
            <w:u w:val="single"/>
          </w:rPr>
          <w:t>Lv 10.17–18</w:t>
        </w:r>
      </w:hyperlink>
      <w:r>
        <w:t>) dérivent du verbe « être saint ».</w:t>
      </w:r>
    </w:p>
    <w:p>
      <w:r/>
      <w:r>
        <w:t>2. « La tente » apparaît dix-neuf fois et se retrouve également dans des expressions telles que « la tente d'assignation » (</w:t>
      </w:r>
      <w:hyperlink r:id="rId14134">
        <w:r>
          <w:rPr>
            <w:color w:val="0000EE"/>
            <w:u w:val="single"/>
          </w:rPr>
          <w:t>Nb 9.15</w:t>
        </w:r>
      </w:hyperlink>
      <w:r>
        <w:t xml:space="preserve">), « la tente </w:t>
      </w:r>
      <w:r>
        <w:t>de l’Éternel</w:t>
      </w:r>
      <w:r>
        <w:t xml:space="preserve"> » (</w:t>
      </w:r>
      <w:hyperlink r:id="rId14135">
        <w:r>
          <w:rPr>
            <w:color w:val="0000EE"/>
            <w:u w:val="single"/>
          </w:rPr>
          <w:t>1R 2.28–30</w:t>
        </w:r>
      </w:hyperlink>
      <w:r>
        <w:t>) et « la maison de la tente » (</w:t>
      </w:r>
      <w:hyperlink r:id="rId14136">
        <w:r>
          <w:rPr>
            <w:color w:val="0000EE"/>
            <w:u w:val="single"/>
          </w:rPr>
          <w:t>1Ch 9.23</w:t>
        </w:r>
      </w:hyperlink>
      <w:r>
        <w:t>). Ce premier nom apparaît près de cent cinquante fois. Le mot implique le concept de rencontre par rendez-vous et désigne le tabernacle comme le lieu où Dieu rencontrait Moïse et son peuple pour faire connaître sa volonté.</w:t>
      </w:r>
    </w:p>
    <w:p>
      <w:r/>
      <w:r>
        <w:t xml:space="preserve">3. « Lieu de résidence » est le sens littéral de « tabernacle ». Dans </w:t>
      </w:r>
      <w:hyperlink r:id="rId14137">
        <w:r>
          <w:rPr>
            <w:color w:val="0000EE"/>
            <w:u w:val="single"/>
          </w:rPr>
          <w:t>Exode 25.9</w:t>
        </w:r>
      </w:hyperlink>
      <w:r>
        <w:t xml:space="preserve">, le mot désigne l'ensemble du tabernacle (y compris la cour extérieure), mais dans </w:t>
      </w:r>
      <w:hyperlink r:id="rId3363">
        <w:r>
          <w:rPr>
            <w:color w:val="0000EE"/>
            <w:u w:val="single"/>
          </w:rPr>
          <w:t>Exode 26.1</w:t>
        </w:r>
      </w:hyperlink>
      <w:r>
        <w:t>, il se réfère au tabernacle proprement dit (qui comprenait le Lieu saint et le Lieu très saint). Une variante est « le tabernacle d'assignation » (</w:t>
      </w:r>
      <w:hyperlink r:id="rId13356">
        <w:r>
          <w:rPr>
            <w:color w:val="0000EE"/>
            <w:u w:val="single"/>
          </w:rPr>
          <w:t>Ex 38.21</w:t>
        </w:r>
      </w:hyperlink>
      <w:r>
        <w:t>), qui, avec d'autres expressions comme « la tente d'assignation », souligne la présence des deux tables de la loi.</w:t>
      </w:r>
    </w:p>
    <w:p>
      <w:r/>
      <w:r>
        <w:t xml:space="preserve">4. « La maison </w:t>
      </w:r>
      <w:r>
        <w:t>de l’Éternel</w:t>
      </w:r>
      <w:r>
        <w:t xml:space="preserve"> » (</w:t>
      </w:r>
      <w:hyperlink r:id="rId9131">
        <w:r>
          <w:rPr>
            <w:color w:val="0000EE"/>
            <w:u w:val="single"/>
          </w:rPr>
          <w:t>Ex 23.19</w:t>
        </w:r>
      </w:hyperlink>
      <w:r>
        <w:t>).</w:t>
      </w:r>
    </w:p>
    <w:p>
      <w:pPr>
        <w:pStyle w:val="Heading3"/>
      </w:pPr>
      <w:r>
        <w:t>Contexte</w:t>
      </w:r>
    </w:p>
    <w:p>
      <w:r/>
      <w:r>
        <w:t>La construction en trois parties du tabernacle, composée d'une zone générale et de deux zones restreintes, n'était pas unique. Dans d'autres religions développées qui incluaient un sacerdoce organisé, il y avait trois niveaux principaux d'approche : un pour tous les membres de la communauté, un pour les sacrificateurs en général, et un pour les principaux dirigeants religieux, qui était un sanctuaire intérieur, conçu comme la demeure de la divinité. Les fouilles de sanctuaires païens en Palestine et en Syrie à la période pré-israélite ont révélé ce type de sanctuaire divisé.</w:t>
      </w:r>
    </w:p>
    <w:p>
      <w:r/>
      <w:r>
        <w:t>Il existe également de nombreuses preuves de l'utilisation de structures portables, souvent complexes et préfabriquées, au cours du 2e millénaire av. J.‑C., généralement comme salles d'apparat pour les rois et autres hauts dignitaires, ou comme sanctuaires. Les dirigeants des communautés sédentaires utilisaient ces structures lorsqu'ils voyageaient vers d'autres régions de leurs royaumes (par exemple, en Égypte et, dans une moindre mesure, en Canaan). De plus, les peuples nomades ou semi-nomades, tels que les Madianites, utilisaient des sanctuaires portables. Dans l'Égypte pré-mosaïque, les artisans employaient des techniques similaires à celles utilisées dans la construction du tabernacle.</w:t>
      </w:r>
    </w:p>
    <w:p>
      <w:pPr>
        <w:pStyle w:val="Heading3"/>
      </w:pPr>
      <w:r>
        <w:t>Le Tabernacle et son mobilier</w:t>
      </w:r>
    </w:p>
    <w:p>
      <w:r/>
      <w:r>
        <w:t>Le livre de l'Exode (</w:t>
      </w:r>
      <w:hyperlink r:id="rId5287">
        <w:r>
          <w:rPr>
            <w:color w:val="0000EE"/>
            <w:u w:val="single"/>
          </w:rPr>
          <w:t>Ex 25–40</w:t>
        </w:r>
      </w:hyperlink>
      <w:r>
        <w:t>) décrit en détail le tabernacle et son mobilier. Les matériaux utilisés allaient de précieux à communs. Trois métaux sont mentionnés par ordre décroissant d'importance : l'or, le cuivre et l'argent. Seul l'or était utilisé dans le mobilier principal du sanctuaire. La quantité totale de métaux utilisée était d'environ 1 t d'or, trois de cuivre et quatre d'argent (</w:t>
      </w:r>
      <w:hyperlink r:id="rId14138">
        <w:r>
          <w:rPr>
            <w:color w:val="0000EE"/>
            <w:u w:val="single"/>
          </w:rPr>
          <w:t>38.24–31</w:t>
        </w:r>
      </w:hyperlink>
      <w:r>
        <w:t>). La quantité relativement importante d'argent provenait d'une offrande (</w:t>
      </w:r>
      <w:hyperlink r:id="rId3714">
        <w:r>
          <w:rPr>
            <w:color w:val="0000EE"/>
            <w:u w:val="single"/>
          </w:rPr>
          <w:t>30.11–16</w:t>
        </w:r>
      </w:hyperlink>
      <w:r>
        <w:t>), qui accroissait l'argent et l'or déjà donnés par les Égyptiens (</w:t>
      </w:r>
      <w:hyperlink r:id="rId10067">
        <w:r>
          <w:rPr>
            <w:color w:val="0000EE"/>
            <w:u w:val="single"/>
          </w:rPr>
          <w:t>12.35</w:t>
        </w:r>
      </w:hyperlink>
      <w:r>
        <w:t>).</w:t>
      </w:r>
    </w:p>
    <w:p>
      <w:r/>
      <w:r>
        <w:t>Il est importnat de noter que dans les spécifications de la construction de Dieu, le point de départ était le mobilier du sanctuaire intérieur (le Lieu saint et le Lieu très saint). Dans la construction réelle, ce mobilier a été fabriqué après le tabernacle lui-même, vraisemblablement pour qu'il puisse être immédiatement et adéquatement abrité (</w:t>
      </w:r>
      <w:hyperlink r:id="rId14139">
        <w:r>
          <w:rPr>
            <w:color w:val="0000EE"/>
            <w:u w:val="single"/>
          </w:rPr>
          <w:t>Ex 25.9–27.19</w:t>
        </w:r>
      </w:hyperlink>
      <w:r>
        <w:t xml:space="preserve"> ; cf. </w:t>
      </w:r>
      <w:hyperlink r:id="rId14140">
        <w:r>
          <w:rPr>
            <w:color w:val="0000EE"/>
            <w:u w:val="single"/>
          </w:rPr>
          <w:t>36.8–37.28</w:t>
        </w:r>
      </w:hyperlink>
      <w:r>
        <w:t>).</w:t>
      </w:r>
    </w:p>
    <w:p>
      <w:r/>
      <w:r>
        <w:t xml:space="preserve">Le premier objet mentionné était l'arche, qui était le seul meuble dans le Lieu très saint. Il s'agissait d'une boîte en bois recouverte d'or, d'environ 1 m de long, avec une largeur et une hauteur de 0,7 m. Symbole suprême de la relation d'alliance entre Dieu et Israël, elle était souvent appelée « </w:t>
      </w:r>
      <w:r>
        <w:t>l’arche de l’alliance de l’Éternel</w:t>
      </w:r>
      <w:r>
        <w:t xml:space="preserve"> » (</w:t>
      </w:r>
      <w:hyperlink r:id="rId9882">
        <w:r>
          <w:rPr>
            <w:color w:val="0000EE"/>
            <w:u w:val="single"/>
          </w:rPr>
          <w:t>Dt 10.8</w:t>
        </w:r>
      </w:hyperlink>
      <w:r>
        <w:t>). Contrairement aux arches contemporaines dans certains pays voisins, elle ne contenait aucune représentation de la divinité, seulement les Dix Commandements (</w:t>
      </w:r>
      <w:hyperlink r:id="rId1166">
        <w:r>
          <w:rPr>
            <w:color w:val="0000EE"/>
            <w:u w:val="single"/>
          </w:rPr>
          <w:t>Ex 25.16</w:t>
        </w:r>
      </w:hyperlink>
      <w:r>
        <w:t>), un pot de manne (</w:t>
      </w:r>
      <w:hyperlink r:id="rId1167">
        <w:r>
          <w:rPr>
            <w:color w:val="0000EE"/>
            <w:u w:val="single"/>
          </w:rPr>
          <w:t>16.33</w:t>
        </w:r>
      </w:hyperlink>
      <w:r>
        <w:t>) et la verge d'Aaron (</w:t>
      </w:r>
      <w:hyperlink r:id="rId1168">
        <w:r>
          <w:rPr>
            <w:color w:val="0000EE"/>
            <w:u w:val="single"/>
          </w:rPr>
          <w:t>Nm 17.10</w:t>
        </w:r>
      </w:hyperlink>
      <w:r>
        <w:t xml:space="preserve">), symbolisant tous divers aspects de la provision de Dieu (voir </w:t>
      </w:r>
      <w:hyperlink r:id="rId1169">
        <w:r>
          <w:rPr>
            <w:color w:val="0000EE"/>
            <w:u w:val="single"/>
          </w:rPr>
          <w:t>Hé 9.4</w:t>
        </w:r>
      </w:hyperlink>
      <w:r>
        <w:t>).</w:t>
      </w:r>
    </w:p>
    <w:p>
      <w:r/>
      <w:r>
        <w:t>L'arche était transportée par deux barres qui passaient à travers des anneaux attachés à chaque coin inférieur (</w:t>
      </w:r>
      <w:hyperlink r:id="rId14141">
        <w:r>
          <w:rPr>
            <w:color w:val="0000EE"/>
            <w:u w:val="single"/>
          </w:rPr>
          <w:t>Ex 25.13–15</w:t>
        </w:r>
      </w:hyperlink>
      <w:r>
        <w:t>). Ces barres, laissées en place, se projetaient sous le voile dans le Lieu Saint, servant de rappel de la présence de l'arche invisible.</w:t>
      </w:r>
    </w:p>
    <w:p>
      <w:r/>
      <w:r>
        <w:t>Sur l'arche se trouvait le propitiatoire, une dalle rectangulaire en or massif, à laquelle étaient attachés deux chérubins. Les chérubins, tournés vers l'intérieur, et le propitiatoire formaient un trône pour le Dieu invisible (</w:t>
      </w:r>
      <w:hyperlink r:id="rId2478">
        <w:r>
          <w:rPr>
            <w:color w:val="0000EE"/>
            <w:u w:val="single"/>
          </w:rPr>
          <w:t>Ex 25.22</w:t>
        </w:r>
      </w:hyperlink>
      <w:r>
        <w:t>), qui est fréquemment décrit comme étant assis sur les chérubins (</w:t>
      </w:r>
      <w:hyperlink r:id="rId1811">
        <w:r>
          <w:rPr>
            <w:color w:val="0000EE"/>
            <w:u w:val="single"/>
          </w:rPr>
          <w:t>Ps 80.1</w:t>
        </w:r>
      </w:hyperlink>
      <w:r>
        <w:t xml:space="preserve"> ; </w:t>
      </w:r>
      <w:hyperlink r:id="rId1172">
        <w:r>
          <w:rPr>
            <w:color w:val="0000EE"/>
            <w:u w:val="single"/>
          </w:rPr>
          <w:t>99.1</w:t>
        </w:r>
      </w:hyperlink>
      <w:r>
        <w:t>). Le nom « propitiatoire » vient d'un verbe signifiant « faire expiation ». Le propitiatoire était aspergé de sang au point culminant du Jour des Expiations annuel (</w:t>
      </w:r>
      <w:hyperlink r:id="rId14142">
        <w:r>
          <w:rPr>
            <w:color w:val="0000EE"/>
            <w:u w:val="single"/>
          </w:rPr>
          <w:t>Lv 16.14</w:t>
        </w:r>
      </w:hyperlink>
      <w:r>
        <w:t xml:space="preserve">). Le fait que l'arche soit placée </w:t>
      </w:r>
      <w:r>
        <w:rPr>
          <w:i/>
        </w:rPr>
        <w:t>sous</w:t>
      </w:r>
      <w:r>
        <w:t xml:space="preserve"> le propitiatoire (</w:t>
      </w:r>
      <w:hyperlink r:id="rId14143">
        <w:r>
          <w:rPr>
            <w:color w:val="0000EE"/>
            <w:u w:val="single"/>
          </w:rPr>
          <w:t>Ex 25.21</w:t>
        </w:r>
      </w:hyperlink>
      <w:r>
        <w:t xml:space="preserve">) signifie que la loi se trouvait sous la protection de Dieu et explique les références à l'arche comme son marchepied (voir par exemple </w:t>
      </w:r>
      <w:hyperlink r:id="rId9569">
        <w:r>
          <w:rPr>
            <w:color w:val="0000EE"/>
            <w:u w:val="single"/>
          </w:rPr>
          <w:t>Ps 132.7</w:t>
        </w:r>
      </w:hyperlink>
      <w:r>
        <w:t>). Comme les chérubins dans le jardin d'Éden (</w:t>
      </w:r>
      <w:hyperlink r:id="rId896">
        <w:r>
          <w:rPr>
            <w:color w:val="0000EE"/>
            <w:u w:val="single"/>
          </w:rPr>
          <w:t>Gn 3.24</w:t>
        </w:r>
      </w:hyperlink>
      <w:r>
        <w:t>), ceux du Lieu très saint avaient probablement une fonction protectrice similaire. Dans le monde antique, des créatures ailées symboliques comme les chérubins étaient fréquemment placées comme gardiens des trônes et des bâtiments importants.</w:t>
      </w:r>
    </w:p>
    <w:p>
      <w:r/>
      <w:r>
        <w:t>Comme l'arche, la table portative d</w:t>
      </w:r>
      <w:r>
        <w:t>es pains de proposition</w:t>
      </w:r>
      <w:r>
        <w:t xml:space="preserve"> (</w:t>
      </w:r>
      <w:hyperlink r:id="rId11545">
        <w:r>
          <w:rPr>
            <w:color w:val="0000EE"/>
            <w:u w:val="single"/>
          </w:rPr>
          <w:t>Ex 25.30</w:t>
        </w:r>
      </w:hyperlink>
      <w:r>
        <w:t xml:space="preserve">) était faite de bois d'acacia recouvert d'or. Elle était légèrement plus petite, avec une longueur d'1 m, une largeur de 0,5 m et une hauteur de 0,7 m. Les divers vaisseaux auxiliaires et ustensiles sont détaillés (v. </w:t>
      </w:r>
      <w:hyperlink r:id="rId12316">
        <w:r>
          <w:rPr>
            <w:color w:val="0000EE"/>
            <w:u w:val="single"/>
          </w:rPr>
          <w:t>29</w:t>
        </w:r>
      </w:hyperlink>
      <w:r>
        <w:t>) ; on suppose que les plats servaient à transporter le pain. Chaque jour de sabbat, douze pains, symbolisant la provision de Dieu pour les douze tribus d'Israël, étaient placés en deux rangées sur la table (</w:t>
      </w:r>
      <w:hyperlink r:id="rId11561">
        <w:r>
          <w:rPr>
            <w:color w:val="0000EE"/>
            <w:u w:val="single"/>
          </w:rPr>
          <w:t>Lv 24.5–9</w:t>
        </w:r>
      </w:hyperlink>
      <w:r>
        <w:t>). La table était située dans le Lieu saint, du côté nord.</w:t>
      </w:r>
    </w:p>
    <w:p>
      <w:r/>
      <w:r>
        <w:t>Du côté sud se trouvait le chandelier en or à sept branches (</w:t>
      </w:r>
      <w:hyperlink r:id="rId14144">
        <w:r>
          <w:rPr>
            <w:color w:val="0000EE"/>
            <w:u w:val="single"/>
          </w:rPr>
          <w:t>Ex 25.31–39</w:t>
        </w:r>
      </w:hyperlink>
      <w:r>
        <w:t xml:space="preserve">; </w:t>
      </w:r>
      <w:hyperlink r:id="rId14145">
        <w:r>
          <w:rPr>
            <w:color w:val="0000EE"/>
            <w:u w:val="single"/>
          </w:rPr>
          <w:t>37.17–24</w:t>
        </w:r>
      </w:hyperlink>
      <w:r>
        <w:t xml:space="preserve">; </w:t>
      </w:r>
      <w:hyperlink r:id="rId14146">
        <w:r>
          <w:rPr>
            <w:color w:val="0000EE"/>
            <w:u w:val="single"/>
          </w:rPr>
          <w:t>40.24</w:t>
        </w:r>
      </w:hyperlink>
      <w:r>
        <w:t>). C'était le meuble le plus impressionnant du Lieu saint ; comme les chérubins et le propitiatoire, il était fait d'or pur. Six branches en or, trois de chaque côté, s'étendaient à partir d'un axe central, et tout le chandelier était orné de fleurs d'amandier. D'après les données bibliques, il n'est pas clair si le chandelier offrait un éclairage continu (</w:t>
      </w:r>
      <w:hyperlink r:id="rId6548">
        <w:r>
          <w:rPr>
            <w:color w:val="0000EE"/>
            <w:u w:val="single"/>
          </w:rPr>
          <w:t>Ex 27.20</w:t>
        </w:r>
      </w:hyperlink>
      <w:r>
        <w:t xml:space="preserve">; </w:t>
      </w:r>
      <w:hyperlink r:id="rId6544">
        <w:r>
          <w:rPr>
            <w:color w:val="0000EE"/>
            <w:u w:val="single"/>
          </w:rPr>
          <w:t>Lv 24.2</w:t>
        </w:r>
      </w:hyperlink>
      <w:r>
        <w:t>) ou une lumière nocturne simplement (</w:t>
      </w:r>
      <w:hyperlink r:id="rId14147">
        <w:r>
          <w:rPr>
            <w:color w:val="0000EE"/>
            <w:u w:val="single"/>
          </w:rPr>
          <w:t>1S 3.3</w:t>
        </w:r>
      </w:hyperlink>
      <w:r>
        <w:t xml:space="preserve"> dans la plupart des versions). </w:t>
      </w:r>
      <w:hyperlink r:id="rId14148">
        <w:r>
          <w:rPr>
            <w:color w:val="0000EE"/>
            <w:u w:val="single"/>
          </w:rPr>
          <w:t>Lévitique 24.4</w:t>
        </w:r>
      </w:hyperlink>
      <w:r>
        <w:t xml:space="preserve"> soutient fortement la première hypothèse, et la référence dans 1 Samuel reflète probablement la négligence qui s'était installée pendant la période des juges. Dans les Écritures, le chandelier en or symbolise le témoignage continu de la communauté de l'alliance (</w:t>
      </w:r>
      <w:hyperlink r:id="rId14149">
        <w:r>
          <w:rPr>
            <w:color w:val="0000EE"/>
            <w:u w:val="single"/>
          </w:rPr>
          <w:t>Zc 4.1–7</w:t>
        </w:r>
      </w:hyperlink>
      <w:r>
        <w:t xml:space="preserve">; </w:t>
      </w:r>
      <w:hyperlink r:id="rId14150">
        <w:r>
          <w:rPr>
            <w:color w:val="0000EE"/>
            <w:u w:val="single"/>
          </w:rPr>
          <w:t>Ap 2.1</w:t>
        </w:r>
      </w:hyperlink>
      <w:r>
        <w:t>). L'attention précise au moindre détail est bien illustrée dans l'énumération des articles supplémentaires, tous faits d'or pur, nécessaires à l'entretien des lampes. Sans cette attention précise, la lumière s'affaiblirait rapidement, et le sanctuaire lui-même serait souillé par des dépôts de cendre (</w:t>
      </w:r>
      <w:hyperlink r:id="rId10083">
        <w:r>
          <w:rPr>
            <w:color w:val="0000EE"/>
            <w:u w:val="single"/>
          </w:rPr>
          <w:t>Ex 25.38</w:t>
        </w:r>
      </w:hyperlink>
      <w:r>
        <w:t>). De plus, seule l'huile d'olive de la meilleure qualité était utilisée, garantissant ainsi la lumière la plus vive possible (</w:t>
      </w:r>
      <w:hyperlink r:id="rId6548">
        <w:r>
          <w:rPr>
            <w:color w:val="0000EE"/>
            <w:u w:val="single"/>
          </w:rPr>
          <w:t>27.20</w:t>
        </w:r>
      </w:hyperlink>
      <w:r>
        <w:t>).</w:t>
      </w:r>
    </w:p>
    <w:p>
      <w:r/>
      <w:r>
        <w:t>L'autel des parfums (</w:t>
      </w:r>
      <w:hyperlink r:id="rId1463">
        <w:r>
          <w:rPr>
            <w:color w:val="0000EE"/>
            <w:u w:val="single"/>
          </w:rPr>
          <w:t>Ex 30.1–10</w:t>
        </w:r>
      </w:hyperlink>
      <w:r>
        <w:t xml:space="preserve">) a peut-être été délibérément minimisé pour donner une plus grande importance à l'autel sacrificiel dans la cour extérieure, souvent appelé « </w:t>
      </w:r>
      <w:r>
        <w:rPr>
          <w:i/>
        </w:rPr>
        <w:t>l’autel</w:t>
      </w:r>
      <w:r>
        <w:t xml:space="preserve"> ». Afin de distinguer l'autel des parfums de l'autel de bronze du sacrifice, le premier était appelé « l'autel d'or » (</w:t>
      </w:r>
      <w:hyperlink r:id="rId1473">
        <w:r>
          <w:rPr>
            <w:color w:val="0000EE"/>
            <w:u w:val="single"/>
          </w:rPr>
          <w:t>40.5</w:t>
        </w:r>
      </w:hyperlink>
      <w:r>
        <w:t>). L'autel des parfums était situé dans le Lieu saint, juste en face de l'arche dans le Lieu très saint mais juste à l'extérieur du voile, entre la table des pains de proposition et le chandelier. Fait de bois d'acacia recouvert d'or, il mesurait 45 cm de côté et 1 m de haut, avec des cornes et une moulure dorée autour des quatre côtés. Comme l'arche, il était facilement transportable grâce à des anneaux et des barres de transport. L'autel était utilisé pour l'offrande de l'encens chaque matin et soir et pour l'onction des cornes pour l'expiation annuelle (</w:t>
      </w:r>
      <w:hyperlink r:id="rId14151">
        <w:r>
          <w:rPr>
            <w:color w:val="0000EE"/>
            <w:u w:val="single"/>
          </w:rPr>
          <w:t>30.7–10</w:t>
        </w:r>
      </w:hyperlink>
      <w:r>
        <w:t>). L'encens d'une recette spéciale était interdit pour un usage profane. À l'origine, l'encens indiquait quelque chose qui montait d'un sacrifice, un arôme agréable à Dieu. L'encens reconnaissait la présence de Dieu dans la louange (</w:t>
      </w:r>
      <w:hyperlink r:id="rId12726">
        <w:r>
          <w:rPr>
            <w:color w:val="0000EE"/>
            <w:u w:val="single"/>
          </w:rPr>
          <w:t>Ml 1.11</w:t>
        </w:r>
      </w:hyperlink>
      <w:r>
        <w:t>) et, très tôt, symbolisait les prières des personnes pieuses (</w:t>
      </w:r>
      <w:hyperlink r:id="rId14152">
        <w:r>
          <w:rPr>
            <w:color w:val="0000EE"/>
            <w:u w:val="single"/>
          </w:rPr>
          <w:t>Ps 141.2</w:t>
        </w:r>
      </w:hyperlink>
      <w:r>
        <w:t>). Il cachait également Dieu aux yeux humains (</w:t>
      </w:r>
      <w:hyperlink r:id="rId14153">
        <w:r>
          <w:rPr>
            <w:color w:val="0000EE"/>
            <w:u w:val="single"/>
          </w:rPr>
          <w:t>Lv 16.13</w:t>
        </w:r>
      </w:hyperlink>
      <w:r>
        <w:t>).</w:t>
      </w:r>
    </w:p>
    <w:p>
      <w:pPr>
        <w:pStyle w:val="Heading3"/>
      </w:pPr>
      <w:r>
        <w:t>Le Tabernacle lui-même</w:t>
      </w:r>
    </w:p>
    <w:p>
      <w:r/>
      <w:r>
        <w:t xml:space="preserve">Le tabernacle était essentiellement une structure de tente soutenue par un cadre rigide. Comme pour la plupart des autres éléments, une répétition des détails souligne l'importance du tabernacle lui-même. Les spécifications sont données dans </w:t>
      </w:r>
      <w:hyperlink r:id="rId9030">
        <w:r>
          <w:rPr>
            <w:color w:val="0000EE"/>
            <w:u w:val="single"/>
          </w:rPr>
          <w:t>Exode 26</w:t>
        </w:r>
      </w:hyperlink>
      <w:r>
        <w:t xml:space="preserve">, la construction dans </w:t>
      </w:r>
      <w:hyperlink r:id="rId14154">
        <w:r>
          <w:rPr>
            <w:color w:val="0000EE"/>
            <w:u w:val="single"/>
          </w:rPr>
          <w:t>Exode 36.8–38</w:t>
        </w:r>
      </w:hyperlink>
      <w:r>
        <w:t xml:space="preserve">, et l'érection finale dans </w:t>
      </w:r>
      <w:hyperlink r:id="rId14155">
        <w:r>
          <w:rPr>
            <w:color w:val="0000EE"/>
            <w:u w:val="single"/>
          </w:rPr>
          <w:t>Exode 40.16–19</w:t>
        </w:r>
      </w:hyperlink>
      <w:r>
        <w:t>. Les dimensions globales étaient d'environ 13,7 m de long, 4,6 m de large et 4,5 m de haut.</w:t>
      </w:r>
    </w:p>
    <w:p>
      <w:r/>
      <w:r>
        <w:t>Le cadre du tabernacle était constitué d'une série de supports verticaux, chacun mesurant 4,5 m de haut et 0,7 m de large, reposant chacun sur deux bases en argent (</w:t>
      </w:r>
      <w:hyperlink r:id="rId14156">
        <w:r>
          <w:rPr>
            <w:color w:val="0000EE"/>
            <w:u w:val="single"/>
          </w:rPr>
          <w:t>Ex 26.15–25</w:t>
        </w:r>
      </w:hyperlink>
      <w:r>
        <w:t xml:space="preserve">). Autrefois, les chercheurs pensaient que ces supports ou cadres étaient des planches solides en bois d'acacia, mais la plupart des chercheurs modernes acceptent désormais que chacun comprenait deux côtés verticaux reliés par des pièces horizontales, à la manière d'une échelle. De telles sections seraient considérablement plus solides, conserveraient mieux leur forme et permettraient de voir la belle couche intérieure de rideaux depuis l'intérieur du sanctuaire. Sur les côtés sud et nord, il y avait vingt cadres de ce type, avec six de plus à l'extrémité ouest. De plus, du côté ouest, il y avait deux pièces d'angle auxquelles tous les murs étaient attachés par des attaches (v. </w:t>
      </w:r>
      <w:hyperlink r:id="rId14157">
        <w:r>
          <w:rPr>
            <w:color w:val="0000EE"/>
            <w:u w:val="single"/>
          </w:rPr>
          <w:t>23–25</w:t>
        </w:r>
      </w:hyperlink>
      <w:r>
        <w:t xml:space="preserve">). Une série de barres, qui passaient à travers des anneaux en or attachés à chaque cadre vertical, offrait une sécurité et un alignement supplémentaires (v. </w:t>
      </w:r>
      <w:hyperlink r:id="rId14158">
        <w:r>
          <w:rPr>
            <w:color w:val="0000EE"/>
            <w:u w:val="single"/>
          </w:rPr>
          <w:t>26–29</w:t>
        </w:r>
      </w:hyperlink>
      <w:r>
        <w:t>). Il y avait cinq de ces barres sur chacun des trois côtés. La barre centrale sur les côtés sud et nord s'étendait sur toute la longueur ; les quatre autres s'étendaient probablement à mi-chemin, de sorte que chaque cadre se trouvait sécurisé par trois barres. Toutes les sections en bois étaient gainées d'or.</w:t>
      </w:r>
    </w:p>
    <w:p>
      <w:r/>
      <w:r>
        <w:t>Sur ce cadre, plusieurs couches de couvertures formaient le dessus, les côtés et l'arrière du tabernacle. La première couche de dix rideaux de lin était teinte en bleu, pourpre et écarlate, et brodée de chérubins (</w:t>
      </w:r>
      <w:hyperlink r:id="rId14159">
        <w:r>
          <w:rPr>
            <w:color w:val="0000EE"/>
            <w:u w:val="single"/>
          </w:rPr>
          <w:t>Ex 26.1–6</w:t>
        </w:r>
      </w:hyperlink>
      <w:r>
        <w:t xml:space="preserve"> ; </w:t>
      </w:r>
      <w:hyperlink r:id="rId14160">
        <w:r>
          <w:rPr>
            <w:color w:val="0000EE"/>
            <w:u w:val="single"/>
          </w:rPr>
          <w:t>36.8–13</w:t>
        </w:r>
      </w:hyperlink>
      <w:r>
        <w:t>). Chacun mesurait 13 m par 2 m. Des paires jointes le long de leur longueur formaient cinq ensembles de rideaux. Les deux grands rideaux étaient eux-mêmes attachés avec cinquante agrafes en or qui passaient à travers un nombre similaire de boucles dans chacun. Les rideaux étaient sans doute tendus sur la structure comme une nappe.</w:t>
      </w:r>
    </w:p>
    <w:p>
      <w:r/>
      <w:r>
        <w:t>Onze rideaux ou bâches en poil de chèvre, chacun de 13 m par 2 m, constituaient la couche suivante. Ceux-ci étaient divisés en deux ensembles en joignant respectivement cinq et six rideaux, et étaient reliés en utilisant une méthode similaire à celle du rideau inférieur, à l'exception près que des agrafes en bronze au lieu d'or étaient utilisées. La longueur supplémentaire des bâches en poil de chèvre offrait un chevauchement pour protéger le rideau inférieur, et la plus grande bâche chevauchait à la fois à l'avant et à l'arrière du tabernacle (</w:t>
      </w:r>
      <w:hyperlink r:id="rId14161">
        <w:r>
          <w:rPr>
            <w:color w:val="0000EE"/>
            <w:u w:val="single"/>
          </w:rPr>
          <w:t>Ex 26.7–9, 12–13</w:t>
        </w:r>
      </w:hyperlink>
      <w:r>
        <w:t>). Deux couches supplémentaires assuraient une étanchéité complète, l'une en peaux de bélier teintes en rouge et l'autre en peaux de chèvre.</w:t>
      </w:r>
    </w:p>
    <w:p>
      <w:r/>
      <w:r>
        <w:t>Un voile fait du même matériau que le rideau inférieur divisait le sanctuaire et était suspendu sous les agrafes dorées qui joignaient les deux rideaux, soutenu par quatre piliers en bois d'acacia plaqués d'or et reposant sur des bases en argent. Les chérubins sur le voile et les rideaux étaient des gardiens symboliques du sanctuaire. La position du voile faisait du Lieu très saint un cube parfait de 4,5 m. Les couches de matériau superposées et l'attention portée aux joints soulignent l'obscurité du sanctuaire le plus intérieur. Dieu était entouré de ténèbres, soigneusement isolé de tout regard non autorisé (</w:t>
      </w:r>
      <w:hyperlink r:id="rId10934">
        <w:r>
          <w:rPr>
            <w:color w:val="0000EE"/>
            <w:u w:val="single"/>
          </w:rPr>
          <w:t>Ps 97.2</w:t>
        </w:r>
      </w:hyperlink>
      <w:r>
        <w:t>). Le Lieu saint occupait une surface de 9 m par 4,5 m, exactement le double de la surface du Lieu très saint. Un écran fait du même tissu que le rideau principal se tenait entre le Lieu Saint et la cour extérieure et était suspendu à des crochets dorés sur cinq poteaux en bois d'acacia, plaqués d'or et reposant sur des socles en bronze. Il n'y a aucune mention de séraphins brodés sur cette section, qui formait le mur est du tabernacle.</w:t>
      </w:r>
    </w:p>
    <w:p>
      <w:r/>
      <w:r>
        <w:t>Le tabernacle, bien qu'ayant probablement une apparence quelque peu trapue suggérant la force, pouvait être facilement démonté, transporté et réassemblé. Selon les normes de cette époque, c'était une demeure appropriée pour Dieu, construite avec les meilleures compétences humaines et les matériaux de la plus haute qualité.</w:t>
      </w:r>
    </w:p>
    <w:p>
      <w:pPr>
        <w:pStyle w:val="Heading3"/>
      </w:pPr>
      <w:r>
        <w:t>La Cour extérieure et son mobilier</w:t>
      </w:r>
    </w:p>
    <w:p>
      <w:r/>
      <w:r>
        <w:t>La cour du tabernacle était un rectangle de 45 m de long sur les côtés nord et sud et de 23 m de large à l'est et à l'ouest (</w:t>
      </w:r>
      <w:hyperlink r:id="rId14162">
        <w:r>
          <w:rPr>
            <w:color w:val="0000EE"/>
            <w:u w:val="single"/>
          </w:rPr>
          <w:t>Ex 27.9–18</w:t>
        </w:r>
      </w:hyperlink>
      <w:r>
        <w:t xml:space="preserve">; </w:t>
      </w:r>
      <w:hyperlink r:id="rId14163">
        <w:r>
          <w:rPr>
            <w:color w:val="0000EE"/>
            <w:u w:val="single"/>
          </w:rPr>
          <w:t>38.9–19</w:t>
        </w:r>
      </w:hyperlink>
      <w:r>
        <w:t>). Le tabernacle lui-même se trouvait à l'extrémité ouest. Des rideaux en lin finement tissé de 2,5 m de haut entouraient toute la zone du tabernacle. Dans la section orientale, il y avait une entrée centrale de 9 m de large. Un rideau brodé de la même hauteur cachait cette entrée, qui était probablement en retrait pour faciliter l'entrée de chaque côté. Des tiges en argent soutenaient tous les rideaux. Ces tiges passaient à travers des crochets en argent attachés aux poteaux plaqués d'argent qui reposaient sur des bases en bronze (</w:t>
      </w:r>
      <w:hyperlink r:id="rId14164">
        <w:r>
          <w:rPr>
            <w:color w:val="0000EE"/>
            <w:u w:val="single"/>
          </w:rPr>
          <w:t>38.17</w:t>
        </w:r>
      </w:hyperlink>
      <w:r>
        <w:t>).</w:t>
      </w:r>
    </w:p>
    <w:p>
      <w:r/>
      <w:r>
        <w:t>L'autel des holocaustes (</w:t>
      </w:r>
      <w:hyperlink r:id="rId1471">
        <w:r>
          <w:rPr>
            <w:color w:val="0000EE"/>
            <w:u w:val="single"/>
          </w:rPr>
          <w:t>Ex 27.1–8</w:t>
        </w:r>
      </w:hyperlink>
      <w:r>
        <w:t xml:space="preserve"> ; </w:t>
      </w:r>
      <w:hyperlink r:id="rId1472">
        <w:r>
          <w:rPr>
            <w:color w:val="0000EE"/>
            <w:u w:val="single"/>
          </w:rPr>
          <w:t>38.1–7</w:t>
        </w:r>
      </w:hyperlink>
      <w:r>
        <w:t>), situé à l'extrémité est de la cour près de l'entrée (</w:t>
      </w:r>
      <w:hyperlink r:id="rId14165">
        <w:r>
          <w:rPr>
            <w:color w:val="0000EE"/>
            <w:u w:val="single"/>
          </w:rPr>
          <w:t>40.29</w:t>
        </w:r>
      </w:hyperlink>
      <w:r>
        <w:t>), rappelait qu'on ne pouvait s'approcher de Dieu que par le lieu du sacrifice. Mesurant 2 m de côté et 1,5 m de haut, il était petit comparé à l'autel gigantesque du temple de Salomon (</w:t>
      </w:r>
      <w:hyperlink r:id="rId14166">
        <w:r>
          <w:rPr>
            <w:color w:val="0000EE"/>
            <w:u w:val="single"/>
          </w:rPr>
          <w:t>2Ch 4.1</w:t>
        </w:r>
      </w:hyperlink>
      <w:r>
        <w:t>). Il s'agissait d'une structure en bois creuse recouverte de bronze, suffisamment légère pour être transportée sur des poteaux plaqués de bronze qui passaient à travers des anneaux de bronze à chaque coin. La grille (</w:t>
      </w:r>
      <w:hyperlink r:id="rId14167">
        <w:r>
          <w:rPr>
            <w:color w:val="0000EE"/>
            <w:u w:val="single"/>
          </w:rPr>
          <w:t>Ex 27.4–5</w:t>
        </w:r>
      </w:hyperlink>
      <w:r>
        <w:t xml:space="preserve">) était probablement à l'intérieur de l'autel au milieu, bien que certains érudits croient qu'elle s'étendait autour des côtés inférieurs et extérieurs de l'autel, pour fournir un courant d'air et permettre au sang sacrificiel de s'écouler à la base de l'autel. Les cornes, symbolisant peut-être les victimes sacrificielles, pouvaient être utilisées pour attacher les animaux sur le point d'être sacrifiés. En Israël, une personne pouvait revendiquer un sanctuaire en s'accrochant aux cornes de l'autel (voir par exemple </w:t>
      </w:r>
      <w:hyperlink r:id="rId14168">
        <w:r>
          <w:rPr>
            <w:color w:val="0000EE"/>
            <w:u w:val="single"/>
          </w:rPr>
          <w:t>1R 1.50</w:t>
        </w:r>
      </w:hyperlink>
      <w:r>
        <w:t>), potentiellement en symbole du fait qu'elle s'offrait elle-même en sacrifice à Dieu et revendiquait ainsi sa protection. La partie inférieure de l'autel pouvait avoir été partiellement remplie de terre pour absorber le sang (</w:t>
      </w:r>
      <w:hyperlink r:id="rId10538">
        <w:r>
          <w:rPr>
            <w:color w:val="0000EE"/>
            <w:u w:val="single"/>
          </w:rPr>
          <w:t>Ex 20.24</w:t>
        </w:r>
      </w:hyperlink>
      <w:r>
        <w:t>). Tous les accessoires étaient en bronze : seaux à cendres, pelles pour enlever les cendres et remplir la base de terre, bassins pour le sang, crochets pour les carcasses et brûle-parfums (</w:t>
      </w:r>
      <w:hyperlink r:id="rId14169">
        <w:r>
          <w:rPr>
            <w:color w:val="0000EE"/>
            <w:u w:val="single"/>
          </w:rPr>
          <w:t>27.3</w:t>
        </w:r>
      </w:hyperlink>
      <w:r>
        <w:t>).</w:t>
      </w:r>
    </w:p>
    <w:p>
      <w:r/>
      <w:r>
        <w:t>Aucune spécification concernant la taille de la cuve n'a survécu (</w:t>
      </w:r>
      <w:hyperlink r:id="rId14170">
        <w:r>
          <w:rPr>
            <w:color w:val="0000EE"/>
            <w:u w:val="single"/>
          </w:rPr>
          <w:t>Ex 30.17–20</w:t>
        </w:r>
      </w:hyperlink>
      <w:r>
        <w:t xml:space="preserve"> ; </w:t>
      </w:r>
      <w:hyperlink r:id="rId14171">
        <w:r>
          <w:rPr>
            <w:color w:val="0000EE"/>
            <w:u w:val="single"/>
          </w:rPr>
          <w:t>38.8</w:t>
        </w:r>
      </w:hyperlink>
      <w:r>
        <w:t>). Elle était fabriquée à partir des miroirs des femmes qui servaient à l'entrée de la cour. La cuve se tenait entre l'autel du sacrifice et le tabernacle. Ne pas se laver à la cuve avant de servir était passible de mort ; un rappel solennel de la nécessité de la pureté et de l'obéissance avant d'entreprendre toute tâche pour Dieu. Le socle en bronze pouvait s'agir simplement d'un support pour la cuve, mais il est possible qu'il incorporait un bassin inférieur dans lequel les sacrificateurs pouvaient se laver les pieds.</w:t>
      </w:r>
    </w:p>
    <w:p>
      <w:pPr>
        <w:pStyle w:val="Heading3"/>
      </w:pPr>
      <w:r>
        <w:t>Construction et consécration du tabernacle</w:t>
      </w:r>
    </w:p>
    <w:p>
      <w:r/>
      <w:r>
        <w:t>Les spécifications données par Dieu nécessitaient des compétences dépassant les capacités de Moïse et d'Aaron. Betsaleel et Oholiab dirigeaient la construction (</w:t>
      </w:r>
      <w:hyperlink r:id="rId14172">
        <w:r>
          <w:rPr>
            <w:color w:val="0000EE"/>
            <w:u w:val="single"/>
          </w:rPr>
          <w:t>Ex 30.1–11</w:t>
        </w:r>
      </w:hyperlink>
      <w:r>
        <w:t>), avec un grand groupe de soutien d'experts, qui avaient dû apprendre leur artisanat en Égypte. Dans un effort collectif remarquable, les Israélites ont donné si généreusement que le flux de dons a dû être arrêté (</w:t>
      </w:r>
      <w:hyperlink r:id="rId14173">
        <w:r>
          <w:rPr>
            <w:color w:val="0000EE"/>
            <w:u w:val="single"/>
          </w:rPr>
          <w:t>35.20–24</w:t>
        </w:r>
      </w:hyperlink>
      <w:r>
        <w:t xml:space="preserve"> ; </w:t>
      </w:r>
      <w:hyperlink r:id="rId14174">
        <w:r>
          <w:rPr>
            <w:color w:val="0000EE"/>
            <w:u w:val="single"/>
          </w:rPr>
          <w:t>36.4–7</w:t>
        </w:r>
      </w:hyperlink>
      <w:r>
        <w:t>). De plus, beaucoup ont offert leurs compétences spéciales (</w:t>
      </w:r>
      <w:hyperlink r:id="rId14175">
        <w:r>
          <w:rPr>
            <w:color w:val="0000EE"/>
            <w:u w:val="single"/>
          </w:rPr>
          <w:t>35.25–29</w:t>
        </w:r>
      </w:hyperlink>
      <w:r>
        <w:t>).</w:t>
      </w:r>
    </w:p>
    <w:p>
      <w:r/>
      <w:r>
        <w:t>Lorsque tous les objets ont été complétés et mis en position (</w:t>
      </w:r>
      <w:hyperlink r:id="rId14176">
        <w:r>
          <w:rPr>
            <w:color w:val="0000EE"/>
            <w:u w:val="single"/>
          </w:rPr>
          <w:t>Ex 40.1–33</w:t>
        </w:r>
      </w:hyperlink>
      <w:r>
        <w:t>), chaque pièce, hormis le propitiatoire et les chérubins, a été ointe avec une huile spéciale (</w:t>
      </w:r>
      <w:hyperlink r:id="rId14177">
        <w:r>
          <w:rPr>
            <w:color w:val="0000EE"/>
            <w:u w:val="single"/>
          </w:rPr>
          <w:t>30.22–33</w:t>
        </w:r>
      </w:hyperlink>
      <w:r>
        <w:t xml:space="preserve">; </w:t>
      </w:r>
      <w:hyperlink r:id="rId14178">
        <w:r>
          <w:rPr>
            <w:color w:val="0000EE"/>
            <w:u w:val="single"/>
          </w:rPr>
          <w:t>40.9–11</w:t>
        </w:r>
      </w:hyperlink>
      <w:r>
        <w:t>) et symboliquement consacrée pour sa fonction particulière. Le point culminant a été lorsque la gloire du Seigneur a rempli le tabernacle (</w:t>
      </w:r>
      <w:hyperlink r:id="rId14179">
        <w:r>
          <w:rPr>
            <w:color w:val="0000EE"/>
            <w:u w:val="single"/>
          </w:rPr>
          <w:t>40.34</w:t>
        </w:r>
      </w:hyperlink>
      <w:r>
        <w:t>). Il est descendu pour être présent parmi son peuple. Par la suite, le nuage le jour et le feu la nuit serviront de garantie de sa présence et sa conduite. Il ne pouvait cependant pas y avoir de négligence au moment de s'approcher de lui, et même Moïse sera exclu du Lieu très saint. Le tabernacle sera érigé exactement un an après la délivrance d'Égypte et à peine neuf mois après la révélation du Sinaï.</w:t>
      </w:r>
    </w:p>
    <w:p>
      <w:r/>
      <w:r>
        <w:t>Par la suite, lorsqu'Israël campait, les Lévites entouraient le tabernacle sur trois côtés (</w:t>
      </w:r>
      <w:hyperlink r:id="rId14180">
        <w:r>
          <w:rPr>
            <w:color w:val="0000EE"/>
            <w:u w:val="single"/>
          </w:rPr>
          <w:t>Nb 1.53</w:t>
        </w:r>
      </w:hyperlink>
      <w:r>
        <w:t>), les familles de Moïse et d'Aaron occupant le côté restant, à l'est (</w:t>
      </w:r>
      <w:hyperlink r:id="rId14181">
        <w:r>
          <w:rPr>
            <w:color w:val="0000EE"/>
            <w:u w:val="single"/>
          </w:rPr>
          <w:t>Nb 3.14–38</w:t>
        </w:r>
      </w:hyperlink>
      <w:r>
        <w:t>). Cela empêchait toute intrusion non autorisée dans la zone sainte. Lorsque l'on déplaçait le tabernacle, le démontage était soigneusement réglementé (</w:t>
      </w:r>
      <w:hyperlink r:id="rId14182">
        <w:r>
          <w:rPr>
            <w:color w:val="0000EE"/>
            <w:u w:val="single"/>
          </w:rPr>
          <w:t>4.5–15</w:t>
        </w:r>
      </w:hyperlink>
      <w:r>
        <w:t>). Les Kehathites étaient responsables du transport des objets les plus sacrés, en utilisant les barres de transport ; les Guerschonites s'occupaient de tous les tissus, de l'autel des sacrifices et de ses accessoires ; et les Merarites transportaient les meubles rigides, tels que les cadres, les barres et les bases. Même en marche, le tabernacle restait au centre, six tribus le précédant et les six autres le suivant (</w:t>
      </w:r>
      <w:hyperlink r:id="rId10684">
        <w:r>
          <w:rPr>
            <w:color w:val="0000EE"/>
            <w:u w:val="single"/>
          </w:rPr>
          <w:t>Nb 2</w:t>
        </w:r>
      </w:hyperlink>
      <w:r>
        <w:t>).</w:t>
      </w:r>
    </w:p>
    <w:p>
      <w:r/>
      <w:r>
        <w:rPr>
          <w:i/>
        </w:rPr>
        <w:t>Voir aussi</w:t>
      </w:r>
      <w:r>
        <w:t xml:space="preserve"> </w:t>
      </w:r>
      <w:r>
        <w:t>Temple</w:t>
      </w:r>
      <w:r>
        <w:t>.</w:t>
      </w:r>
      <w:r/>
      <w:r/>
    </w:p>
    <w:p>
      <w:r/>
    </w:p>
    <w:p>
      <w:pPr>
        <w:pStyle w:val="Heading2"/>
      </w:pPr>
      <w:r>
        <w:t>Tabitha</w:t>
      </w:r>
      <w:r/>
    </w:p>
    <w:p>
      <w:r/>
      <w:r>
        <w:t>Nom araméen signifiant « gazelle ». Le nom grec est Dorcas (</w:t>
      </w:r>
      <w:hyperlink r:id="rId14183">
        <w:r>
          <w:rPr>
            <w:color w:val="0000EE"/>
            <w:u w:val="single"/>
          </w:rPr>
          <w:t>Ac 9.36, 40</w:t>
        </w:r>
      </w:hyperlink>
      <w:r>
        <w:t>).</w:t>
      </w:r>
    </w:p>
    <w:p>
      <w:r/>
      <w:r>
        <w:rPr>
          <w:i/>
        </w:rPr>
        <w:t>Voir</w:t>
      </w:r>
      <w:r>
        <w:t xml:space="preserve"> </w:t>
      </w:r>
      <w:r>
        <w:t>Dorcas</w:t>
      </w:r>
      <w:r>
        <w:t>.</w:t>
      </w:r>
      <w:r/>
      <w:r/>
    </w:p>
    <w:p>
      <w:r/>
    </w:p>
    <w:p>
      <w:pPr>
        <w:pStyle w:val="Heading2"/>
      </w:pPr>
      <w:r>
        <w:t>Tablettes d'Ebla</w:t>
      </w:r>
      <w:r/>
    </w:p>
    <w:p>
      <w:r/>
      <w:r>
        <w:t>Les tablettes d'Ebla sont d'anciennes tablettes d'argile découvertes dans la cité-État d'Ebla. Ces tablettes datent d'environ 2 240 à 2 220 av. J.‑C. Ebla était située dans l'ancienne Syrie. Aujourd'hui, cet endroit est connu comme le site archéologique de Tell Mardikh.</w:t>
      </w:r>
    </w:p>
    <w:p>
      <w:r/>
      <w:r>
        <w:t>Ebla était une grande ville commerçante. Les habitants y fabriquaient des tissus, des objets en bois, de la poterie, ainsi que des articles en or, en argent et en d'autres métaux. De nombreuses tablettes d'argile découvertes sont des archives économiques qui notent des transactions avec des lieux comme l'Asie Mineure, l'Égypte, Chypre et l'Iran (Perse). Les tablettes énumèrent des milliers de noms de villes. Beaucoup de ces noms sont familiers de la Bible, tels que :</w:t>
      </w:r>
    </w:p>
    <w:p>
      <w:pPr>
        <w:pStyle w:val="ListBullet"/>
        <w:spacing w:line="240" w:lineRule="auto"/>
        <w:ind w:left="720"/>
      </w:pPr>
      <w:r/>
      <w:r>
        <w:t>Hatsor</w:t>
      </w:r>
    </w:p>
    <w:p>
      <w:pPr>
        <w:pStyle w:val="ListBullet"/>
        <w:spacing w:line="240" w:lineRule="auto"/>
        <w:ind w:left="720"/>
      </w:pPr>
      <w:r/>
      <w:r>
        <w:t>Meguiddo</w:t>
      </w:r>
    </w:p>
    <w:p>
      <w:pPr>
        <w:pStyle w:val="ListBullet"/>
        <w:spacing w:line="240" w:lineRule="auto"/>
        <w:ind w:left="720"/>
      </w:pPr>
      <w:r/>
      <w:r>
        <w:t>Dor</w:t>
      </w:r>
    </w:p>
    <w:p>
      <w:pPr>
        <w:pStyle w:val="ListBullet"/>
        <w:spacing w:line="240" w:lineRule="auto"/>
        <w:ind w:left="720"/>
      </w:pPr>
      <w:r/>
      <w:r>
        <w:t>Joppé</w:t>
      </w:r>
    </w:p>
    <w:p>
      <w:pPr>
        <w:pStyle w:val="ListBullet"/>
        <w:spacing w:line="240" w:lineRule="auto"/>
        <w:ind w:left="720"/>
      </w:pPr>
      <w:r/>
      <w:r>
        <w:t>Gaza</w:t>
      </w:r>
    </w:p>
    <w:p>
      <w:pPr>
        <w:pStyle w:val="ListBullet"/>
        <w:spacing w:line="240" w:lineRule="auto"/>
        <w:ind w:left="720"/>
      </w:pPr>
      <w:r/>
      <w:r>
        <w:t>Uru-Salim (qui pourrait être Jérusalem ou « ville de Salem »)</w:t>
      </w:r>
    </w:p>
    <w:p>
      <w:r/>
      <w:r>
        <w:t xml:space="preserve">Une tablette mentionne même Sodome, Gomorrhe et Tsoar. Elle décrit Tsoar comme étant « dans le territoire de Béla » (voir </w:t>
      </w:r>
      <w:hyperlink r:id="rId1733">
        <w:r>
          <w:rPr>
            <w:color w:val="0000EE"/>
            <w:u w:val="single"/>
          </w:rPr>
          <w:t>Gn 14.2</w:t>
        </w:r>
      </w:hyperlink>
      <w:r>
        <w:t>). Selon le récit biblique, Sodome et Gomorrhe ont été détruites du temps d'Abraham (</w:t>
      </w:r>
      <w:hyperlink r:id="rId14184">
        <w:r>
          <w:rPr>
            <w:color w:val="0000EE"/>
            <w:u w:val="single"/>
          </w:rPr>
          <w:t>Gn 19.24–29</w:t>
        </w:r>
      </w:hyperlink>
      <w:r>
        <w:t xml:space="preserve">). Ainsi, les détails dans </w:t>
      </w:r>
      <w:hyperlink r:id="rId6009">
        <w:r>
          <w:rPr>
            <w:color w:val="0000EE"/>
            <w:u w:val="single"/>
          </w:rPr>
          <w:t>Genèse 14</w:t>
        </w:r>
      </w:hyperlink>
      <w:r>
        <w:t xml:space="preserve"> et </w:t>
      </w:r>
      <w:hyperlink r:id="rId96">
        <w:r>
          <w:rPr>
            <w:color w:val="0000EE"/>
            <w:u w:val="single"/>
          </w:rPr>
          <w:t>19</w:t>
        </w:r>
      </w:hyperlink>
      <w:r>
        <w:t xml:space="preserve"> n'ont pu être enregistrés que par une tradition vivante.</w:t>
      </w:r>
    </w:p>
    <w:p>
      <w:r/>
      <w:r>
        <w:t>Les tablettes d'argile de Tell Mardikh (un autre nom pour Ebla) contiennent de nombreux noms propres qui ressemblent à des noms dans la Bible. En voici quelques exemples :</w:t>
      </w:r>
    </w:p>
    <w:p>
      <w:pPr>
        <w:pStyle w:val="ListBullet"/>
        <w:spacing w:line="240" w:lineRule="auto"/>
        <w:ind w:left="720"/>
      </w:pPr>
      <w:r/>
      <w:r>
        <w:t xml:space="preserve">Abram (écrit </w:t>
      </w:r>
      <w:r>
        <w:rPr>
          <w:i/>
        </w:rPr>
        <w:t>ab-ra-mu</w:t>
      </w:r>
      <w:r>
        <w:t>)</w:t>
      </w:r>
    </w:p>
    <w:p>
      <w:pPr>
        <w:pStyle w:val="ListBullet"/>
        <w:spacing w:line="240" w:lineRule="auto"/>
        <w:ind w:left="720"/>
      </w:pPr>
      <w:r/>
      <w:r>
        <w:t xml:space="preserve">Israël (écrit </w:t>
      </w:r>
      <w:r>
        <w:rPr>
          <w:i/>
        </w:rPr>
        <w:t>ish-ra-ilu</w:t>
      </w:r>
      <w:r>
        <w:t>)</w:t>
      </w:r>
    </w:p>
    <w:p>
      <w:pPr>
        <w:pStyle w:val="ListBullet"/>
        <w:spacing w:line="240" w:lineRule="auto"/>
        <w:ind w:left="720"/>
      </w:pPr>
      <w:r/>
      <w:r>
        <w:t xml:space="preserve">Saül (écrit </w:t>
      </w:r>
      <w:r>
        <w:rPr>
          <w:i/>
        </w:rPr>
        <w:t>sha-u-lu</w:t>
      </w:r>
      <w:r>
        <w:t>)</w:t>
      </w:r>
    </w:p>
    <w:p>
      <w:pPr>
        <w:pStyle w:val="ListBullet"/>
        <w:spacing w:line="240" w:lineRule="auto"/>
        <w:ind w:left="720"/>
      </w:pPr>
      <w:r/>
      <w:r>
        <w:t>David (écrit da-u-du)</w:t>
      </w:r>
    </w:p>
    <w:p>
      <w:r/>
      <w:r>
        <w:t>Certains pensent que cela prouve la véracité de la Bible. D'autres se posent des questions à ce sujet. Par exemple, comment le nom « Israël » pourrait-il être écrit sur des tablettes quatre siècles ou plus avant que Dieu ne donne ce nom à Jacob ?</w:t>
      </w:r>
    </w:p>
    <w:p>
      <w:r/>
      <w:r>
        <w:t xml:space="preserve">La Bible ne dit toutefois pas que le nom était nouveau. À cette époque, les gens créaient souvent des prénoms en combinant le nom d'un dieu avec un mot décrivant ce que le dieu faisait. Ésaïe, par exemple, signifie « Yah est salut » (Yah est une abréviation de Yahweh). Il est donc possible qu'avant Jacob, les parents nommaient leurs enfants </w:t>
      </w:r>
      <w:r>
        <w:rPr>
          <w:i/>
        </w:rPr>
        <w:t>ish-ra-ilu</w:t>
      </w:r>
      <w:r>
        <w:t>, ce qui signifie « El [Dieu] l'a emporté ». La nouveauté dans l'histoire de Jacob était sa rencontre personnelle avec Dieu et la bénédiction qu'il a reçue.</w:t>
      </w:r>
    </w:p>
    <w:p>
      <w:r/>
      <w:r>
        <w:t>Certains noms d'Ebla apparaissent sous deux formes :</w:t>
      </w:r>
    </w:p>
    <w:p>
      <w:pPr>
        <w:pStyle w:val="ListNumber"/>
        <w:spacing w:line="240" w:lineRule="auto"/>
        <w:ind w:left="720"/>
      </w:pPr>
      <w:r/>
      <w:r>
        <w:t>Avec -</w:t>
      </w:r>
      <w:r>
        <w:rPr>
          <w:i/>
        </w:rPr>
        <w:t>ilu</w:t>
      </w:r>
      <w:r>
        <w:t xml:space="preserve"> (signifiant El ou Dieu)</w:t>
      </w:r>
    </w:p>
    <w:p>
      <w:pPr>
        <w:pStyle w:val="ListNumber"/>
        <w:spacing w:line="240" w:lineRule="auto"/>
        <w:ind w:left="720"/>
      </w:pPr>
      <w:r/>
      <w:r>
        <w:t xml:space="preserve">Avec </w:t>
      </w:r>
      <w:r>
        <w:rPr>
          <w:i/>
        </w:rPr>
        <w:t>-ya</w:t>
      </w:r>
      <w:r>
        <w:t xml:space="preserve"> (possiblement signifiant Yah, abréviation de Yahvé)</w:t>
      </w:r>
    </w:p>
    <w:p>
      <w:r/>
      <w:r>
        <w:t xml:space="preserve">Ainsi, les deux prénoms </w:t>
      </w:r>
      <w:r>
        <w:rPr>
          <w:i/>
        </w:rPr>
        <w:t>mi-ka-ya</w:t>
      </w:r>
      <w:r>
        <w:t xml:space="preserve"> (Michée, Michée) et </w:t>
      </w:r>
      <w:r>
        <w:rPr>
          <w:i/>
        </w:rPr>
        <w:t>mi-ka-il</w:t>
      </w:r>
      <w:r>
        <w:t xml:space="preserve"> (Micaël) se trouvent aux côtés d'autres noms théophores (porteurs de Dieu). Cependant, si la terminaison </w:t>
      </w:r>
      <w:r>
        <w:rPr>
          <w:i/>
        </w:rPr>
        <w:t>-ya</w:t>
      </w:r>
      <w:r>
        <w:t xml:space="preserve"> était vraiment un nom divin (Yah, le Seigneur), son apparition soulève une question importante. Dans </w:t>
      </w:r>
      <w:hyperlink r:id="rId3954">
        <w:r>
          <w:rPr>
            <w:color w:val="0000EE"/>
            <w:u w:val="single"/>
          </w:rPr>
          <w:t>Exode 6.3</w:t>
        </w:r>
      </w:hyperlink>
      <w:r>
        <w:t xml:space="preserve">, Dieu dit qu'Abraham, Isaac et Jacob le connaissaient comme El Shaddai, « </w:t>
      </w:r>
      <w:r>
        <w:t>mais je n’ai pas été connu d’eux sous mon nom, l’Éternel [Yahweh]</w:t>
      </w:r>
      <w:r>
        <w:t xml:space="preserve"> ». Cela implique que le nom Yahweh n'était pas connu avant le Sinaï.</w:t>
      </w:r>
    </w:p>
    <w:p>
      <w:r/>
      <w:r>
        <w:t>Cependant, le nom Yahweh apparaît de nombreuses fois dans la Genèse. Il ne se trouve pas seulement dans les récits où un auteur ultérieur aurait pu l'ajouter. Il est également présent dans :</w:t>
      </w:r>
    </w:p>
    <w:p>
      <w:pPr>
        <w:pStyle w:val="ListBullet"/>
        <w:spacing w:line="240" w:lineRule="auto"/>
        <w:ind w:left="720"/>
      </w:pPr>
      <w:r/>
      <w:r>
        <w:t>Les promesses faites par des personnes utilisant le nom de Yahweh, et</w:t>
      </w:r>
    </w:p>
    <w:p>
      <w:pPr>
        <w:pStyle w:val="ListBullet"/>
        <w:spacing w:line="240" w:lineRule="auto"/>
        <w:ind w:left="720"/>
      </w:pPr>
      <w:r/>
      <w:r>
        <w:t>Des citations qui suggèrent que les gens utilisaient réellement le nom Yahweh.</w:t>
      </w:r>
    </w:p>
    <w:p>
      <w:r/>
      <w:r>
        <w:t>Ces serments et citations suggèrent que l'on utilisait réellement le nom Yahweh dans la vie quotidienne.</w:t>
      </w:r>
    </w:p>
    <w:p>
      <w:r/>
      <w:r>
        <w:t>Les experts de la Bible sont conscients de ce problème depuis longtemps et se répartissent en deux grands camps :</w:t>
      </w:r>
    </w:p>
    <w:p>
      <w:pPr>
        <w:pStyle w:val="ListBullet"/>
        <w:spacing w:line="240" w:lineRule="auto"/>
        <w:ind w:left="720"/>
      </w:pPr>
      <w:r/>
      <w:r>
        <w:t>Les experts qui pensent que l'on ne connaissait pas le nom Yahweh avant Moïse, ou</w:t>
      </w:r>
    </w:p>
    <w:p>
      <w:pPr>
        <w:pStyle w:val="ListBullet"/>
        <w:spacing w:line="240" w:lineRule="auto"/>
        <w:ind w:left="720"/>
      </w:pPr>
      <w:r/>
      <w:r>
        <w:t>Les experts qui pensent que l'on connaissait le nom, mais estiment que celui-ci a acquis un nouveau sens lorsque Dieu a libéré les Israélites d'Égypte.</w:t>
      </w:r>
    </w:p>
    <w:p>
      <w:r/>
      <w:r>
        <w:t xml:space="preserve">Les tablettes d'argile d'Ebla nous ont offert une nouvelle manière d'appréhender le passé. Il faudra de nombreuses années pour comprendre tout ce qui est écrit sur ces tablettes. Certaines choses sont déjà claires, toutefois : il est peu probable que les histoires d'Abraham, d'Isaac et de Jacob dans </w:t>
      </w:r>
      <w:hyperlink r:id="rId14185">
        <w:r>
          <w:rPr>
            <w:color w:val="0000EE"/>
            <w:u w:val="single"/>
          </w:rPr>
          <w:t>Genèse 11–35</w:t>
        </w:r>
      </w:hyperlink>
      <w:r>
        <w:t xml:space="preserve"> aient été écrites par des auteurs des 8e ou 7e siècles av. J.‑C. Il est peu probable qu'un auteur de ces siècles ait pu inclure au hasard des centaines de noms historiquement exacts de lieux, de personnes, d'articles de commerce et d'autres détails dans ces chapitres. Les fouilles modernes (l'archéologie) ont trouvé les mêmes noms, lieux, articles de commerce et autres détails dans les tablettes d'Ebla. Il n'est pas raisonnable de penser que cela soit dû au hasard. Les données retrouvées à Ebla remettent fortement en question l'idée que les histoires de la Genèse aient été créées longtemps après les événements qu'elles décrivent.</w:t>
      </w:r>
    </w:p>
    <w:p>
      <w:r/>
      <w:r>
        <w:rPr>
          <w:i/>
        </w:rPr>
        <w:t>Voir aussi</w:t>
      </w:r>
      <w:r>
        <w:t xml:space="preserve"> </w:t>
      </w:r>
      <w:r>
        <w:t>Inscriptions</w:t>
      </w:r>
      <w:r>
        <w:t>.</w:t>
      </w:r>
      <w:r/>
      <w:r/>
    </w:p>
    <w:p>
      <w:r/>
    </w:p>
    <w:p>
      <w:pPr>
        <w:pStyle w:val="Heading2"/>
      </w:pPr>
      <w:r>
        <w:t>Tahasch</w:t>
      </w:r>
      <w:r/>
    </w:p>
    <w:p>
      <w:r/>
      <w:r>
        <w:t>Fils de Nachor et de Réuma, sa concubine ; frère d'Abraham (</w:t>
      </w:r>
      <w:hyperlink r:id="rId3035">
        <w:r>
          <w:rPr>
            <w:color w:val="0000EE"/>
            <w:u w:val="single"/>
          </w:rPr>
          <w:t>Gn 22.24</w:t>
        </w:r>
      </w:hyperlink>
      <w:r>
        <w:t>).</w:t>
      </w:r>
      <w:r/>
      <w:r/>
    </w:p>
    <w:p>
      <w:r/>
    </w:p>
    <w:p>
      <w:pPr>
        <w:pStyle w:val="Heading2"/>
      </w:pPr>
      <w:r>
        <w:t>Talitha Koumi</w:t>
      </w:r>
      <w:r/>
    </w:p>
    <w:p>
      <w:r/>
      <w:r>
        <w:t>Mots araméens que Jésus prononce et que Marc rapporte dans son Évangile (</w:t>
      </w:r>
      <w:hyperlink r:id="rId14124">
        <w:r>
          <w:rPr>
            <w:color w:val="0000EE"/>
            <w:u w:val="single"/>
          </w:rPr>
          <w:t>Mc 5.41</w:t>
        </w:r>
      </w:hyperlink>
      <w:r>
        <w:t xml:space="preserve">). Jaïrus, un chef de synagogue de la région de la Galilée, fait appel à Jésus pour guérir sa fille malade. Malheureusement, elle meurt avant l'arrivée de Jésus. Arrivé auprès de la jeune fille, Jésus lui pend la main et dit : </w:t>
      </w:r>
      <w:r>
        <w:rPr>
          <w:i/>
        </w:rPr>
        <w:t>« Talitha koumi ».</w:t>
      </w:r>
      <w:r>
        <w:t xml:space="preserve"> Cela veut dire : « Petite fille, lève-toi ». </w:t>
      </w:r>
      <w:r>
        <w:rPr>
          <w:i/>
        </w:rPr>
        <w:t>« Talitha »</w:t>
      </w:r>
      <w:r>
        <w:t xml:space="preserve"> est un terme affectueux qui veut dire « agneau » ou « jeune fille ». </w:t>
      </w:r>
      <w:r>
        <w:rPr>
          <w:i/>
        </w:rPr>
        <w:t>« Koumi »</w:t>
      </w:r>
      <w:r>
        <w:t xml:space="preserve"> est un ordre de se lever, que Marc traduit par « lève-toi, je te le dis ».</w:t>
      </w:r>
    </w:p>
    <w:p>
      <w:r/>
      <w:r>
        <w:t>Dans son Évangile, Marc inclut d'autres phrases araméennes de Jésus (</w:t>
      </w:r>
      <w:hyperlink r:id="rId2019">
        <w:r>
          <w:rPr>
            <w:color w:val="0000EE"/>
            <w:u w:val="single"/>
          </w:rPr>
          <w:t>Mc 3.17</w:t>
        </w:r>
      </w:hyperlink>
      <w:r>
        <w:t xml:space="preserve"> ; </w:t>
      </w:r>
      <w:hyperlink r:id="rId14124">
        <w:r>
          <w:rPr>
            <w:color w:val="0000EE"/>
            <w:u w:val="single"/>
          </w:rPr>
          <w:t>5.41</w:t>
        </w:r>
      </w:hyperlink>
      <w:r>
        <w:t xml:space="preserve"> ; </w:t>
      </w:r>
      <w:hyperlink r:id="rId14186">
        <w:r>
          <w:rPr>
            <w:color w:val="0000EE"/>
            <w:u w:val="single"/>
          </w:rPr>
          <w:t>7.11, 34</w:t>
        </w:r>
      </w:hyperlink>
      <w:r>
        <w:t xml:space="preserve"> ; </w:t>
      </w:r>
      <w:hyperlink r:id="rId6502">
        <w:r>
          <w:rPr>
            <w:color w:val="0000EE"/>
            <w:u w:val="single"/>
          </w:rPr>
          <w:t>11.9–10</w:t>
        </w:r>
      </w:hyperlink>
      <w:r>
        <w:t xml:space="preserve"> ; </w:t>
      </w:r>
      <w:hyperlink r:id="rId16">
        <w:r>
          <w:rPr>
            <w:color w:val="0000EE"/>
            <w:u w:val="single"/>
          </w:rPr>
          <w:t>14.36</w:t>
        </w:r>
      </w:hyperlink>
      <w:r>
        <w:t xml:space="preserve"> ; </w:t>
      </w:r>
      <w:hyperlink r:id="rId14187">
        <w:r>
          <w:rPr>
            <w:color w:val="0000EE"/>
            <w:u w:val="single"/>
          </w:rPr>
          <w:t>15.22, 34</w:t>
        </w:r>
      </w:hyperlink>
      <w:r>
        <w:t>). Matthieu ne conserve que deux phrases araméennes (</w:t>
      </w:r>
      <w:hyperlink r:id="rId14188">
        <w:r>
          <w:rPr>
            <w:color w:val="0000EE"/>
            <w:u w:val="single"/>
          </w:rPr>
          <w:t>Mt 27.33, 46</w:t>
        </w:r>
      </w:hyperlink>
      <w:r>
        <w:t>). Luc n'en garde aucune.</w:t>
      </w:r>
      <w:r/>
      <w:r/>
    </w:p>
    <w:p>
      <w:r/>
    </w:p>
    <w:p>
      <w:pPr>
        <w:pStyle w:val="Heading2"/>
      </w:pPr>
      <w:r>
        <w:t>Talmud</w:t>
      </w:r>
      <w:r/>
    </w:p>
    <w:p>
      <w:r/>
      <w:r>
        <w:t>Le mot « Talmud » signifie « étudier » ou « apprendre ». Le Talmud est une compilation de textes écrits en hébreu et en araméen. Il inclut des interprétations des lois de l'Ancien Testament (AT), ainsi que des paroles de sagesse provenant de nombreuses sources rabbiniques. Son contenu a été recueilli sur une période qui commence peu de temps après le ministère d'Esdras, vers 400 av. J.‑C., et qui s'est conclut aux environs des années 500 apr. J.‑C.</w:t>
      </w:r>
    </w:p>
    <w:p>
      <w:pPr>
        <w:pStyle w:val="Heading3"/>
      </w:pPr>
      <w:r>
        <w:t>Origine et développement de la loi orale</w:t>
      </w:r>
    </w:p>
    <w:p>
      <w:r/>
      <w:r>
        <w:t>Les Juifs traditionnels croient que Moïse a reçu une seconde loi, la loi orale, en plus de la loi écrite. Cette loi orale aurait été transmise à travers les générations. Le Talmud revendique cette origine ancienne de la loi orale, et en attribue l'origine à Moïse (</w:t>
      </w:r>
      <w:r>
        <w:rPr>
          <w:i/>
        </w:rPr>
        <w:t xml:space="preserve">Pirke Avot </w:t>
      </w:r>
      <w:r>
        <w:t>1.1). Cependant, certains érudits soutiennent que cette loi orale a vu le jour dans la période qui suit le ministère d'Esdras. Ils soulignent que les prophètes qui ont vécu avant l'exil ne reprennent jamais le peuple concernant la désobéissance à une loi orale. Par contre, ils avertissent très fréquemment le peuple concernant la désobéissance aux lois écrites données par Moïse. Cela semble bien indiquer qu'il n'y avait pas de collections de traditions orales établies avant l'exil à Babylone.</w:t>
      </w:r>
    </w:p>
    <w:p>
      <w:r/>
      <w:r>
        <w:t>Esdras est décrit comme « un scribe versé dans la loi de Moïse » (</w:t>
      </w:r>
      <w:hyperlink r:id="rId9433">
        <w:r>
          <w:rPr>
            <w:color w:val="0000EE"/>
            <w:u w:val="single"/>
          </w:rPr>
          <w:t>Esd 7.6</w:t>
        </w:r>
      </w:hyperlink>
      <w:r>
        <w:t>). Quelque temps après lui, des enseignants se sont mis à enseigner l'AT dans les synagogues et les écoles, et leurs enseignements ont été appris par cœur. Le temps passant, différentes méthodes de mémorisation ont été développées pour mémoriser et rappeler le nombre croissant de ces enseignements et d'explications.</w:t>
      </w:r>
    </w:p>
    <w:p>
      <w:r/>
      <w:r>
        <w:t>Toutefois, il est devenu difficile de mémoriser un trop grand nombre d'ajouts. Il est donc devenu nécessaire de compiler une synthèse de tous les enseignements importants des générations passées. Le but de cet effort de compilation était de faciliter l'accès des générations futures à cet immense savoir, à des réflexions religieuses perspicaces et à une sagesse servant de guide et d'inspiration. Le Talmud est le produit de cette synthèse et la principale compilation juive de la loi orale. Toutefois, les Juifs considèrent que les Écritures ont préséance (ou priorité) face au Talmud. Le Talmud est un produit remarquable de la pensée religieuse de la nation juive, et a eu un rôle formateur dominant sur l'idéologie du peuple juif.</w:t>
      </w:r>
    </w:p>
    <w:p>
      <w:pPr>
        <w:pStyle w:val="Heading3"/>
      </w:pPr>
      <w:r>
        <w:t>Raisons d'une loi orale</w:t>
      </w:r>
    </w:p>
    <w:p>
      <w:r/>
      <w:r>
        <w:t>La vie religieuse en Israël est devenue plus difficile après la fin de l'activité des prophètes de l'AT lors de la période postexilique, et dans le contexte des relations plus compliquées entre les Juifs et le monde qui les environnait. Ceci a mené à un besoin d'autant plus fort d'explorer davantage la pertinence et l'application de la loi de Moïse. L'objectif principal de la loi orale était à l'origine d'aider les juifs à obéir à la loi écrite de Dieu.</w:t>
      </w:r>
    </w:p>
    <w:p>
      <w:r/>
      <w:r>
        <w:t>La loi orale du Talmud a deux objectifs :</w:t>
      </w:r>
    </w:p>
    <w:p>
      <w:pPr>
        <w:pStyle w:val="ListNumber"/>
        <w:spacing w:line="240" w:lineRule="auto"/>
        <w:ind w:left="720"/>
      </w:pPr>
      <w:r/>
      <w:r>
        <w:t>Donner une interprétation de la loi écrite. Selon les rabbins, la loi orale permet d'observer la loi écrite. Sans la loi orale, disent-ils, il serait impossible d'observer la loi écrite. La loi du sabbat sert d'exemple : il était compris de tous qu'il ne fallait pas travailler le jour du sabbat. Cependant, les rabbins disent que la loi orale est nécessaire pour expliquer ce que « travailler » signifie exactement.</w:t>
      </w:r>
    </w:p>
    <w:p>
      <w:pPr>
        <w:pStyle w:val="ListNumber"/>
        <w:spacing w:line="240" w:lineRule="auto"/>
        <w:ind w:left="720"/>
      </w:pPr>
      <w:r/>
      <w:r>
        <w:t>Mettre à jour et ajuster la loi écrite afin qu'elle s'adapte à de nouvelles situations. La loi orale a pour but d'entretenir la pertinence de la loi écrite pour les nouvelles générations. Sans la loi orale, la loi écrite semblerait « dépassée ».</w:t>
      </w:r>
    </w:p>
    <w:p>
      <w:r/>
      <w:r>
        <w:t>Ainsi, la loi orale a pour vocation d'aider à comprendre les interdictions de la loi écrite tout en enseignant comment vivre fidèlement la foi juive.</w:t>
      </w:r>
    </w:p>
    <w:p>
      <w:r/>
      <w:r>
        <w:t>Il est vrai que chaque génération est confrontée à de nouvelles situations sociales, politiques et économiques. Cela pose tout autant de nouvelles questions sur comment appliquer la Parole de Dieu dans le nouveau contexte. Toutefois, la Parole de Dieu elle-même ne devrait pas être modifiée pour la faire correspondre à ce que les gens désirent ou même pour répondre à de nouvelles questions. Jésus a repris les dirigeants juifs de son temps précisément parce qu'ils mettaient leurs traditions orales au-dessus de la Parole de Dieu (</w:t>
      </w:r>
      <w:hyperlink r:id="rId14189">
        <w:r>
          <w:rPr>
            <w:color w:val="0000EE"/>
            <w:u w:val="single"/>
          </w:rPr>
          <w:t>Mc 7.9–13</w:t>
        </w:r>
      </w:hyperlink>
      <w:r>
        <w:t>).</w:t>
      </w:r>
    </w:p>
    <w:p>
      <w:pPr>
        <w:pStyle w:val="Heading3"/>
      </w:pPr>
      <w:r>
        <w:t>Anciennes formes du Talmud</w:t>
      </w:r>
    </w:p>
    <w:p>
      <w:r/>
      <w:r>
        <w:t xml:space="preserve">Le midrash (pluriel : </w:t>
      </w:r>
      <w:r>
        <w:rPr>
          <w:i/>
        </w:rPr>
        <w:t>midrashim</w:t>
      </w:r>
      <w:r>
        <w:t xml:space="preserve">) est l'une des premières méthodes utilisées pour enseigner la loi orale. « Midrash » signifie « examiner ». Le </w:t>
      </w:r>
      <w:r>
        <w:rPr>
          <w:i/>
        </w:rPr>
        <w:t>midrash</w:t>
      </w:r>
      <w:r>
        <w:t xml:space="preserve"> est un type de commentaire incluant des explications et des observations sur le texte biblique. Il y en a de deux sortes :</w:t>
      </w:r>
    </w:p>
    <w:p>
      <w:pPr>
        <w:pStyle w:val="ListNumber"/>
        <w:spacing w:line="240" w:lineRule="auto"/>
        <w:ind w:left="720"/>
      </w:pPr>
      <w:r/>
      <w:r>
        <w:rPr>
          <w:b/>
        </w:rPr>
        <w:t xml:space="preserve">Les </w:t>
      </w:r>
      <w:r>
        <w:rPr>
          <w:b/>
          <w:i/>
        </w:rPr>
        <w:t xml:space="preserve">midrashim halakhiques </w:t>
      </w:r>
      <w:r>
        <w:rPr>
          <w:b/>
        </w:rPr>
        <w:t>:</w:t>
      </w:r>
      <w:r>
        <w:t xml:space="preserve"> explications des lois de l'AT se focalisant sur la façon dont il faut vivre. L'ensemble des parties du Talmud qui sont considérées comme des règles à suivre est appelé la </w:t>
      </w:r>
      <w:r>
        <w:rPr>
          <w:i/>
        </w:rPr>
        <w:t>halakha</w:t>
      </w:r>
      <w:r>
        <w:t xml:space="preserve">. </w:t>
      </w:r>
    </w:p>
    <w:p>
      <w:pPr>
        <w:pStyle w:val="ListNumber"/>
        <w:spacing w:line="240" w:lineRule="auto"/>
        <w:ind w:left="720"/>
      </w:pPr>
      <w:r/>
      <w:r>
        <w:rPr>
          <w:b/>
        </w:rPr>
        <w:t xml:space="preserve">Les midrashim aggadiques </w:t>
      </w:r>
      <w:r>
        <w:t xml:space="preserve">(signifiant « narration ») : explications de récits de l'AT se focalisant sur l'édification et la dévotion. L'ensemble des parties du Talmud qui visent plutôt à l'édification est appelé la </w:t>
      </w:r>
      <w:r>
        <w:rPr>
          <w:i/>
        </w:rPr>
        <w:t>aggada</w:t>
      </w:r>
      <w:r>
        <w:t>.</w:t>
      </w:r>
    </w:p>
    <w:p>
      <w:r/>
      <w:r>
        <w:t xml:space="preserve">Esdras, ainsi que les sacrificateurs et les lévites qui enseignaient la loi avec lui, ont utilisé une forme de </w:t>
      </w:r>
      <w:r>
        <w:rPr>
          <w:i/>
        </w:rPr>
        <w:t>midrash</w:t>
      </w:r>
      <w:r>
        <w:t xml:space="preserve"> à l'occasion de la célébration de l'achèvement de la reconstruction du mur de Jérusalem en 444 av. J.‑C. En effet, ils ont instruit le peuple qui se tenait là pour les écouter en lisant la loi de Dieu et en l'expliquant pour aider le peuple à comprendre ce qui était lu (</w:t>
      </w:r>
      <w:hyperlink r:id="rId14190">
        <w:r>
          <w:rPr>
            <w:color w:val="0000EE"/>
            <w:u w:val="single"/>
          </w:rPr>
          <w:t>Né 8.7</w:t>
        </w:r>
      </w:hyperlink>
      <w:r>
        <w:t>–</w:t>
      </w:r>
      <w:hyperlink r:id="rId14190">
        <w:r>
          <w:rPr>
            <w:color w:val="0000EE"/>
            <w:u w:val="single"/>
          </w:rPr>
          <w:t>8</w:t>
        </w:r>
      </w:hyperlink>
      <w:r>
        <w:t>).</w:t>
      </w:r>
    </w:p>
    <w:p>
      <w:r/>
      <w:r>
        <w:t xml:space="preserve">Après Esdras, de nombreux enseignants utilisent la méthode midrashique. Ces chefs religieux ont été appelés des </w:t>
      </w:r>
      <w:r>
        <w:rPr>
          <w:i/>
        </w:rPr>
        <w:t>soferim</w:t>
      </w:r>
      <w:r>
        <w:t xml:space="preserve"> (« hommes du livre » ou « scribes ») jusqu'à environ 200 av. J.‑C. Parfois appelés collectivement la « Grande Synagogue », ils enseignaient pour empêcher qu'Israël n'adore de faux dieux ou n'oublie les lois de Dieu comme dans le passé.</w:t>
      </w:r>
    </w:p>
    <w:p>
      <w:r/>
      <w:r>
        <w:t xml:space="preserve">Les </w:t>
      </w:r>
      <w:r>
        <w:rPr>
          <w:i/>
        </w:rPr>
        <w:t>hassidim</w:t>
      </w:r>
      <w:r>
        <w:t xml:space="preserve"> (« les pieux ») succèdent aux </w:t>
      </w:r>
      <w:r>
        <w:rPr>
          <w:i/>
        </w:rPr>
        <w:t>soferim</w:t>
      </w:r>
      <w:r>
        <w:t xml:space="preserve">. Les </w:t>
      </w:r>
      <w:r>
        <w:rPr>
          <w:i/>
        </w:rPr>
        <w:t>hassidim</w:t>
      </w:r>
      <w:r>
        <w:t xml:space="preserve"> essaient d'encourager l'engagement religieux. Les pharisiens (« les séparés ») leur succèdent vers 128 av. J.‑C. Tous ces groupes ont amené leurs contributions à la méthode du </w:t>
      </w:r>
      <w:r>
        <w:rPr>
          <w:i/>
        </w:rPr>
        <w:t>midrash</w:t>
      </w:r>
      <w:r>
        <w:t>.</w:t>
      </w:r>
    </w:p>
    <w:p>
      <w:r/>
      <w:r>
        <w:t>Comme il y avait de plus en plus d'enseignements à mémoriser, la mémorisation par répétition se développe. Ceci donne naissance à une nouvelle méthode d'enseignement qui favorise l'apprentissage par cœur, appelée la Mishna. « Mishna » signifie « répétition ». Les enseignants de la Mishna sont appelés des Tannaïm, ce qui signifie « ceux qui transmettent oralement ». Au fil du temps, des portions de la Mishna sont compilées par écrit avec des commentaires rabbiniques. Ces derniers sont appelés la Gémara, ce qui signifie « achèvement ». Ensemble, la Gémara et la Mishna constituent le Talmud.</w:t>
      </w:r>
    </w:p>
    <w:p>
      <w:r/>
      <w:r>
        <w:rPr>
          <w:i/>
        </w:rPr>
        <w:t>Voir aussi</w:t>
      </w:r>
      <w:r>
        <w:t xml:space="preserve"> </w:t>
      </w:r>
      <w:r>
        <w:t>Gémara</w:t>
      </w:r>
      <w:r>
        <w:t xml:space="preserve"> ; </w:t>
      </w:r>
      <w:r>
        <w:t>Aggada</w:t>
      </w:r>
      <w:r>
        <w:t xml:space="preserve"> ; </w:t>
      </w:r>
      <w:r>
        <w:t>Halakha</w:t>
      </w:r>
      <w:r>
        <w:t xml:space="preserve"> ; </w:t>
      </w:r>
      <w:r>
        <w:t>loi (concept biblique)</w:t>
      </w:r>
      <w:r>
        <w:t xml:space="preserve"> ; </w:t>
      </w:r>
      <w:r>
        <w:t>midrash</w:t>
      </w:r>
      <w:r>
        <w:t xml:space="preserve"> ; </w:t>
      </w:r>
      <w:r>
        <w:t>Mishna</w:t>
      </w:r>
      <w:r>
        <w:t xml:space="preserve"> ; </w:t>
      </w:r>
      <w:r>
        <w:t>pharisiens</w:t>
      </w:r>
      <w:r>
        <w:t xml:space="preserve"> ; </w:t>
      </w:r>
      <w:r>
        <w:t>Torah</w:t>
      </w:r>
      <w:r>
        <w:t xml:space="preserve"> ; </w:t>
      </w:r>
      <w:r>
        <w:t>tradition</w:t>
      </w:r>
      <w:r>
        <w:t xml:space="preserve"> ; </w:t>
      </w:r>
      <w:r>
        <w:t>tradition orale</w:t>
      </w:r>
      <w:r>
        <w:t>.</w:t>
      </w:r>
      <w:r/>
      <w:r/>
    </w:p>
    <w:p>
      <w:r/>
    </w:p>
    <w:p>
      <w:pPr>
        <w:pStyle w:val="Heading2"/>
      </w:pPr>
      <w:r>
        <w:t>Tamaris, Tamarisc</w:t>
      </w:r>
      <w:r/>
    </w:p>
    <w:p>
      <w:r/>
      <w:r>
        <w:t xml:space="preserve">Le tamaris est un petit arbre ou arbuste à croissance rapide avec un bois fort et durable. Ces plantes poussent bien dans des endroits difficiles comme les déserts, les dunes de sable et les marais salants. La Bible mentionne les arbres de tamaris dans </w:t>
      </w:r>
      <w:hyperlink r:id="rId5049">
        <w:r>
          <w:rPr>
            <w:color w:val="0000EE"/>
            <w:u w:val="single"/>
          </w:rPr>
          <w:t>Genèse 21.33</w:t>
        </w:r>
      </w:hyperlink>
      <w:r>
        <w:t xml:space="preserve">, </w:t>
      </w:r>
      <w:hyperlink r:id="rId14191">
        <w:r>
          <w:rPr>
            <w:color w:val="0000EE"/>
            <w:u w:val="single"/>
          </w:rPr>
          <w:t>1 Samuel 22.6</w:t>
        </w:r>
      </w:hyperlink>
      <w:r>
        <w:t xml:space="preserve"> et </w:t>
      </w:r>
      <w:hyperlink r:id="rId3815">
        <w:r>
          <w:rPr>
            <w:color w:val="0000EE"/>
            <w:u w:val="single"/>
          </w:rPr>
          <w:t>31.13</w:t>
        </w:r>
      </w:hyperlink>
      <w:r>
        <w:t>.</w:t>
      </w:r>
    </w:p>
    <w:p>
      <w:r/>
      <w:r>
        <w:t xml:space="preserve">Les tamaris offrent souvent un feuillage vert agréable et une ombre rafraîchissante aux voyageurs dans les régions chaudes et sèches. Un type de tamaris, </w:t>
      </w:r>
      <w:r>
        <w:rPr>
          <w:i/>
        </w:rPr>
        <w:t>Tamarix aphylla</w:t>
      </w:r>
      <w:r>
        <w:t xml:space="preserve">, possède de petites feuilles en forme d'écailles et produit de petites fleurs blanches. Ces minuscules feuilles aident l'arbre à conserver l'eau dans les climats secs. </w:t>
      </w:r>
      <w:r>
        <w:rPr>
          <w:i/>
        </w:rPr>
        <w:t>Tamarix aphylla</w:t>
      </w:r>
      <w:r>
        <w:t xml:space="preserve"> peut survivre dans des environnements difficiles et pousse bien dans les zones où l'eau est rare.</w:t>
      </w:r>
    </w:p>
    <w:p>
      <w:r/>
      <w:r>
        <w:t>Le tamaris à manne (</w:t>
      </w:r>
      <w:r>
        <w:rPr>
          <w:i/>
        </w:rPr>
        <w:t>Tamarix mannifera</w:t>
      </w:r>
      <w:r>
        <w:t>) est un arbuste ou un petit arbre qui atteint une hauteur de 3 à 5 m et possède de minuscules fleurs roses. On le trouve dans les déserts d'Israël et des régions environnantes jusqu'à l'Arabie et le Sinaï. Par temps chaud, de minuscules insectes vivant sur la plante produisent une substance sucrée et collante sur ses branches. Cette substance sèche en de petits morceaux blancs qui peuvent être collectés et consommés. Certaines personnes ont suggéré que c'est ce type de « manne » que les Israélites ont mangé dans le désert (</w:t>
      </w:r>
      <w:hyperlink r:id="rId14192">
        <w:r>
          <w:rPr>
            <w:color w:val="0000EE"/>
            <w:u w:val="single"/>
          </w:rPr>
          <w:t>Ex 16</w:t>
        </w:r>
      </w:hyperlink>
      <w:r>
        <w:t>), mais cela ne correspond pas à toutes les descriptions bibliques de la manne.</w:t>
      </w:r>
    </w:p>
    <w:p>
      <w:r/>
      <w:r>
        <w:t>Dans les régions où les arbres sont rares, les gens apprécient les grands tamaris pour leur bois. Ce bois était utilisé pour construire des structures et pour fabriquer du charbon de bois de haute qualité pour les feux.</w:t>
      </w:r>
      <w:r/>
      <w:r/>
    </w:p>
    <w:p>
      <w:r/>
    </w:p>
    <w:p>
      <w:pPr>
        <w:pStyle w:val="Heading2"/>
      </w:pPr>
      <w:r>
        <w:t>Tanné, Tanneur (Corroyeur), Tannage</w:t>
      </w:r>
      <w:r/>
    </w:p>
    <w:p>
      <w:r/>
      <w:r>
        <w:t>Un tanneur est un ouvrier qui transforme les peaux d'animaux en cuir. À l'époque du Nouveau Testament, les tanneurs trempaient les peaux d'animaux dans de la chaux et des matériaux végétaux pour fabriquer du cuir (ce processus s'appelle le tannage). Comme ce processus produisait des odeurs fortes et désagréables, les tanneurs devaient vivre et travailler en dehors des villes.</w:t>
      </w:r>
    </w:p>
    <w:p>
      <w:r/>
      <w:r>
        <w:t>Les couvertures pour le tabernacle (la tente sacrée) étaient faites de peaux de bélier et de chèvre tannées, ou possiblement de peaux de dauphins. Ces couvertures en cuir étaient rouges, soit parce qu'elles étaient teintes, soit à cause de la manière dont elles étaient tannées (</w:t>
      </w:r>
      <w:hyperlink r:id="rId3524">
        <w:r>
          <w:rPr>
            <w:color w:val="0000EE"/>
            <w:u w:val="single"/>
          </w:rPr>
          <w:t>Ex 25.5</w:t>
        </w:r>
      </w:hyperlink>
      <w:r>
        <w:t xml:space="preserve"> ; </w:t>
      </w:r>
      <w:hyperlink r:id="rId14193">
        <w:r>
          <w:rPr>
            <w:color w:val="0000EE"/>
            <w:u w:val="single"/>
          </w:rPr>
          <w:t>26.14</w:t>
        </w:r>
      </w:hyperlink>
      <w:r>
        <w:t xml:space="preserve"> ; </w:t>
      </w:r>
      <w:hyperlink r:id="rId14194">
        <w:r>
          <w:rPr>
            <w:color w:val="0000EE"/>
            <w:u w:val="single"/>
          </w:rPr>
          <w:t>35.7, 23</w:t>
        </w:r>
      </w:hyperlink>
      <w:r>
        <w:t xml:space="preserve"> ; </w:t>
      </w:r>
      <w:hyperlink r:id="rId14195">
        <w:r>
          <w:rPr>
            <w:color w:val="0000EE"/>
            <w:u w:val="single"/>
          </w:rPr>
          <w:t>36.19</w:t>
        </w:r>
      </w:hyperlink>
      <w:r>
        <w:t xml:space="preserve"> ; </w:t>
      </w:r>
      <w:hyperlink r:id="rId14196">
        <w:r>
          <w:rPr>
            <w:color w:val="0000EE"/>
            <w:u w:val="single"/>
          </w:rPr>
          <w:t>39.34</w:t>
        </w:r>
      </w:hyperlink>
      <w:r>
        <w:t>).</w:t>
      </w:r>
    </w:p>
    <w:p>
      <w:r/>
      <w:r>
        <w:t>La Bible mentionne un seul tanneur par son nom, Simon (LSG « corroyeur »). Il vivait à Joppé. L'apôtre Pierre a séjourné chez Simon (</w:t>
      </w:r>
      <w:hyperlink r:id="rId7399">
        <w:r>
          <w:rPr>
            <w:color w:val="0000EE"/>
            <w:u w:val="single"/>
          </w:rPr>
          <w:t>Ac 9.43</w:t>
        </w:r>
      </w:hyperlink>
      <w:r>
        <w:t xml:space="preserve"> ; </w:t>
      </w:r>
      <w:hyperlink r:id="rId14197">
        <w:r>
          <w:rPr>
            <w:color w:val="0000EE"/>
            <w:u w:val="single"/>
          </w:rPr>
          <w:t>10.6, 32</w:t>
        </w:r>
      </w:hyperlink>
      <w:r>
        <w:t>).</w:t>
      </w:r>
    </w:p>
    <w:p>
      <w:r/>
      <w:r>
        <w:rPr>
          <w:i/>
        </w:rPr>
        <w:t>Voir aussi</w:t>
      </w:r>
      <w:r>
        <w:t xml:space="preserve"> </w:t>
      </w:r>
      <w:r>
        <w:t>Cuir</w:t>
      </w:r>
      <w:r>
        <w:t>.</w:t>
      </w:r>
      <w:r/>
      <w:r/>
    </w:p>
    <w:p>
      <w:r/>
    </w:p>
    <w:p>
      <w:pPr>
        <w:pStyle w:val="Heading2"/>
      </w:pPr>
      <w:r>
        <w:t>Tarse</w:t>
      </w:r>
      <w:r/>
    </w:p>
    <w:p>
      <w:r/>
      <w:r>
        <w:t xml:space="preserve">Lieu de naissance et ville natale de Saul (Paul), Tarse est également la capitale et principale ville de la province romaine de Cilicie en Asie Mineure. La ville est mentionnée à cinq reprises seulement dans la Bible, toutes dans le livre des Actes. Après la conversion de Saul, le Seigneur a dirigé Ananias pour visiter Saul ; il a été dit à Ananias de demander « </w:t>
      </w:r>
      <w:r>
        <w:t>un nommé Saul de Tarse</w:t>
      </w:r>
      <w:r>
        <w:t xml:space="preserve"> » (</w:t>
      </w:r>
      <w:hyperlink r:id="rId4397">
        <w:r>
          <w:rPr>
            <w:color w:val="0000EE"/>
            <w:u w:val="single"/>
          </w:rPr>
          <w:t>Ac 9.11</w:t>
        </w:r>
      </w:hyperlink>
      <w:r>
        <w:t xml:space="preserve">). Puis, lorsque Saul est retourné à Jérusalem et qu'un complot contre sa vie a été découvert, les chrétiens l'ont envoyé à Tarse (v. </w:t>
      </w:r>
      <w:hyperlink r:id="rId3178">
        <w:r>
          <w:rPr>
            <w:color w:val="0000EE"/>
            <w:u w:val="single"/>
          </w:rPr>
          <w:t>30</w:t>
        </w:r>
      </w:hyperlink>
      <w:r>
        <w:t>). Lorsque Barnabas servait à Antioche de Syrie et avait besoin d'aide, il est allé à Tarse pour obtenir de Saul de travailler avec lui (</w:t>
      </w:r>
      <w:hyperlink r:id="rId3179">
        <w:r>
          <w:rPr>
            <w:color w:val="0000EE"/>
            <w:u w:val="single"/>
          </w:rPr>
          <w:t>11.25</w:t>
        </w:r>
      </w:hyperlink>
      <w:r>
        <w:t>). À l'occasion du sauvetage de Paul de la foule juive dans le temple, le tribun romain était préoccupé par l'identité de Paul. Paul s'est identifié : « Je suis un Juif, de Tarse en Cilicie » (</w:t>
      </w:r>
      <w:hyperlink r:id="rId2724">
        <w:r>
          <w:rPr>
            <w:color w:val="0000EE"/>
            <w:u w:val="single"/>
          </w:rPr>
          <w:t>21.39</w:t>
        </w:r>
      </w:hyperlink>
      <w:r>
        <w:t xml:space="preserve">). Dans la défense qu'il a faite devant cette multitude en colère, parlant en hébreu, il a déclaré : « </w:t>
      </w:r>
      <w:r>
        <w:t>Je suis Juif [...], de Tarse en Cilicie</w:t>
      </w:r>
      <w:r>
        <w:t xml:space="preserve"> » (</w:t>
      </w:r>
      <w:hyperlink r:id="rId2725">
        <w:r>
          <w:rPr>
            <w:color w:val="0000EE"/>
            <w:u w:val="single"/>
          </w:rPr>
          <w:t>22.3</w:t>
        </w:r>
      </w:hyperlink>
      <w:r>
        <w:t>).</w:t>
      </w:r>
    </w:p>
    <w:p>
      <w:r/>
      <w:r>
        <w:t>Tarse était située sur le fleuve Cydnus, à 20 km en amont de la mer Méditerranée. La plaine sur laquelle la ville était construite était très fertile, composée d'alluvions transportées depuis les monts Taurus par le Cydnus et plusieurs autres cours d'eau.</w:t>
      </w:r>
    </w:p>
    <w:p>
      <w:r/>
      <w:r>
        <w:t>Bien que le fleuve était navigable par des petits bateaux jusqu'à Tarse, les routes commerciales terrestres étaient les plus importantes. L'Asie Mineure était entrelacée de routes bien avant l'arrivée des Romains dans la région. De l'Orient, il y avait deux routes principales, dont l'une commençait dans le nord de la Mésopotamie et se poursuivait vers Carkemisch ou Alep, en traversant le col d'Amanus. L'autre partait de Ninive en passant par Malatya et Antioche jusqu'aux Portes Syriennes. Ces deux routes convergeaient près de Césarée, à 80 km à l'est de Tarse. Pendant l'Empire romain, « la Vieille Route vers l'Orient » se terminait à Babylone ; venant de l'ouest, elle atteignait Alep, Antioche de Syrie, Adana, Tarse, les Portes Ciliciennes, Derbe, Lystre, Icone, Antioche de Pisidie, Hiérapolis, Colosse, Laodicée, Éphèse, Smyrne et Troas, dont la plupart sont bien connues grâce aux écrits de Paul et du livre de l'Apocalypse.</w:t>
      </w:r>
    </w:p>
    <w:p>
      <w:r/>
      <w:r>
        <w:t>Tarse était un centre éducatif : l'université de Tarse était célèbre pour ses bourses, et Strabon indique que Tarse surpassait Athènes, Alexandrie et d'autres villes en tant que siège de l'apprentissage. L'université offrait des cours dans un large éventail de disciplines ; l'une de ses spécialisations était la philosophie connue sous le nom de stoïcisme, que Paul connaissait bien. Bien que Paul ne dise pas qu'il ait fréquenté cet établissement, il a souvent été suggéré qu'il y a étudié.</w:t>
      </w:r>
    </w:p>
    <w:p>
      <w:r/>
      <w:r>
        <w:t xml:space="preserve">Tarse était également un centre de fabrication de tentes, un métier dans lequel Paul avait été formé (voir </w:t>
      </w:r>
      <w:hyperlink r:id="rId5521">
        <w:r>
          <w:rPr>
            <w:color w:val="0000EE"/>
            <w:u w:val="single"/>
          </w:rPr>
          <w:t>Ac 18.3</w:t>
        </w:r>
      </w:hyperlink>
      <w:r>
        <w:t>). Les chèvres des froides montagnes enneigées du Taurus produisaient de longs poils qui étaient transformés en un tissu particulièrement bien adapté pour les tentes.</w:t>
      </w:r>
    </w:p>
    <w:p>
      <w:r/>
      <w:r>
        <w:t>Tarse a été décrite comme « le cœur du monde gréco-romain » et « un lieu de rencontre de l'Orient et de l'Occident ». Dans un tel environnement, un homme comme Saul de Tarse, à l'aise avec la culture grecque et romaine et éduqué aux pieds de Gamaliel, était particulièrement bien équipé pour apporter l'Évangile d'abord aux Juifs et aussi aux Grecs.</w:t>
      </w:r>
    </w:p>
    <w:p>
      <w:r/>
      <w:r>
        <w:rPr>
          <w:i/>
        </w:rPr>
        <w:t>Voir aussi</w:t>
      </w:r>
      <w:r>
        <w:t xml:space="preserve"> </w:t>
      </w:r>
      <w:r>
        <w:t>Paul, Apôtre</w:t>
      </w:r>
      <w:r>
        <w:t>.</w:t>
      </w:r>
      <w:r/>
      <w:r/>
    </w:p>
    <w:p>
      <w:r/>
    </w:p>
    <w:p>
      <w:pPr>
        <w:pStyle w:val="Heading2"/>
      </w:pPr>
      <w:r>
        <w:t>Tarsis, Tarsisa (Personne)</w:t>
      </w:r>
      <w:r/>
    </w:p>
    <w:p>
      <w:pPr>
        <w:pStyle w:val="ListNumber"/>
        <w:spacing w:line="240" w:lineRule="auto"/>
        <w:ind w:left="720"/>
      </w:pPr>
      <w:r/>
      <w:r>
        <w:t>L'un des quatre fils de Javan, descendant de Noé par la lignée familiale de Japhet (</w:t>
      </w:r>
      <w:hyperlink r:id="rId4287">
        <w:r>
          <w:rPr>
            <w:color w:val="0000EE"/>
            <w:u w:val="single"/>
          </w:rPr>
          <w:t>1Ch 1.7</w:t>
        </w:r>
      </w:hyperlink>
      <w:r>
        <w:t>).</w:t>
      </w:r>
    </w:p>
    <w:p>
      <w:pPr>
        <w:pStyle w:val="ListNumber"/>
        <w:spacing w:line="240" w:lineRule="auto"/>
        <w:ind w:left="720"/>
      </w:pPr>
      <w:r/>
      <w:r>
        <w:t>Le sixième des sept fils de Bilhan. Il était un chef compétent dans la tribu de Benjamin et faisait partie de ceux capables de partir en guerre (</w:t>
      </w:r>
      <w:hyperlink r:id="rId1761">
        <w:r>
          <w:rPr>
            <w:color w:val="0000EE"/>
            <w:u w:val="single"/>
          </w:rPr>
          <w:t>1Ch 7.10</w:t>
        </w:r>
      </w:hyperlink>
      <w:r>
        <w:t>).</w:t>
      </w:r>
    </w:p>
    <w:p>
      <w:pPr>
        <w:pStyle w:val="ListNumber"/>
        <w:spacing w:line="240" w:lineRule="auto"/>
        <w:ind w:left="720"/>
      </w:pPr>
      <w:r/>
      <w:r>
        <w:t>L'un des sept princes de Perse et de Médie. Ces hommes avaient un accès personnel au roi Assuérus (également appelé Xerxès). Leurs positions d'honneur étaient seulement inférieures à celle du roi (</w:t>
      </w:r>
      <w:hyperlink r:id="rId334">
        <w:r>
          <w:rPr>
            <w:color w:val="0000EE"/>
            <w:u w:val="single"/>
          </w:rPr>
          <w:t>Est 1.14</w:t>
        </w:r>
      </w:hyperlink>
      <w:r>
        <w:t>).</w:t>
      </w:r>
      <w:r/>
      <w:r/>
    </w:p>
    <w:p>
      <w:r/>
    </w:p>
    <w:p>
      <w:pPr>
        <w:pStyle w:val="Heading2"/>
      </w:pPr>
      <w:r>
        <w:t>Tébeth</w:t>
      </w:r>
      <w:r/>
    </w:p>
    <w:p>
      <w:r/>
      <w:r>
        <w:t>Un des mois du calendrier juif. Dans notre calendrier moderne, il se situe généralement pendant une partie de décembre et janvier (</w:t>
      </w:r>
      <w:hyperlink r:id="rId2127">
        <w:r>
          <w:rPr>
            <w:color w:val="0000EE"/>
            <w:u w:val="single"/>
          </w:rPr>
          <w:t>Est 2.16</w:t>
        </w:r>
      </w:hyperlink>
      <w:r>
        <w:t>).</w:t>
      </w:r>
    </w:p>
    <w:p>
      <w:r/>
      <w:r>
        <w:rPr>
          <w:i/>
        </w:rPr>
        <w:t>Voir</w:t>
      </w:r>
      <w:r>
        <w:t xml:space="preserve"> </w:t>
      </w:r>
      <w:r>
        <w:t>Calendriers, Anciens et modernes</w:t>
      </w:r>
      <w:r>
        <w:t>.</w:t>
      </w:r>
      <w:r/>
      <w:r/>
    </w:p>
    <w:p>
      <w:r/>
    </w:p>
    <w:p>
      <w:pPr>
        <w:pStyle w:val="Heading2"/>
      </w:pPr>
      <w:r>
        <w:t>Teinture, Teinturier</w:t>
      </w:r>
      <w:r/>
    </w:p>
    <w:p>
      <w:r/>
      <w:r>
        <w:t>Une teinture est une substance colorée utilisée pour changer la couleur des textiles, du cuir et d'autres matériaux. La teinture est le processus d'application de ces couleurs sur les matériaux. Un teinturier est une personne qui travaille avec des colorants pour colorer les tissus et d'autres matériaux. La pratique de la teinture des matériaux existait au Proche-Orient même avant l'époque d'Abraham. La Bible mentionne quatre couleurs de teintures : le pourpre, le bleu (qui était en réalité une nuance de violet), le cramoisi et l'écarlate.</w:t>
      </w:r>
    </w:p>
    <w:p>
      <w:pPr>
        <w:pStyle w:val="Heading3"/>
      </w:pPr>
      <w:r>
        <w:t>Colorants violets et bleus</w:t>
      </w:r>
    </w:p>
    <w:p>
      <w:r/>
      <w:r>
        <w:t>Les teintures pourpres et bleues provenaient de petits coquillages murex trouvés le long de la côte phénicienne. La teinture était un liquide spécial produit par ces coquillages. Lorsqu'il était exposé à l'air, ce liquide changeait de couleur, passant du jaune blanchâtre au rouge, au violet ou au pourpre, selon la manière dont les gens le traitaient. Comme cette teinture était coûteuse à fabriquer, seuls les riches pouvaient se permettre des vêtements pourpres. Le pourpre est donc devenu un symbole de royauté et de richesse. Cette teinture était communément connue sous le nom de « pourpre de Tyr » parce que les villes phéniciennes de Tyr et de Sidon en étaient les principaux fournisseurs (</w:t>
      </w:r>
      <w:hyperlink r:id="rId3389">
        <w:r>
          <w:rPr>
            <w:color w:val="0000EE"/>
            <w:u w:val="single"/>
          </w:rPr>
          <w:t>Ez 27.16</w:t>
        </w:r>
      </w:hyperlink>
      <w:r>
        <w:t>).</w:t>
      </w:r>
    </w:p>
    <w:p>
      <w:pPr>
        <w:pStyle w:val="Heading3"/>
      </w:pPr>
      <w:r>
        <w:t>Colorants cramoisi et écarlate</w:t>
      </w:r>
    </w:p>
    <w:p>
      <w:r/>
      <w:r>
        <w:t xml:space="preserve">Le cramoisi et l'écarlate étaient des couleurs rouge vif obtenues à partir de l'insecte kermès (une petite larve qui se nourrit d'un type de chêne poussant dans le sud de l'Europe et en Asie Mineure). Certains teinturiers syriens utilisent encore le kermès aujourd'hui, même si des colorants européens artificiels sont disponibles. Les « peaux de béliers teintes » mentionnées dans </w:t>
      </w:r>
      <w:hyperlink r:id="rId3524">
        <w:r>
          <w:rPr>
            <w:color w:val="0000EE"/>
            <w:u w:val="single"/>
          </w:rPr>
          <w:t>Exode 25.5</w:t>
        </w:r>
      </w:hyperlink>
      <w:r>
        <w:t xml:space="preserve"> sont encore fabriquées en Syrie. La peau tannée est frottée avec une teinture obtenue en faisant bouillir le kermès dans l'eau. Une fois sèche, la peau est huilée, polie et utilisée pour des babouches bédouines et d'autres beaux articles en cuir.</w:t>
      </w:r>
    </w:p>
    <w:p>
      <w:r/>
      <w:r>
        <w:t>Les marchandises « de pourpre » vendues par Lydie de Thyatire étaient en réalité d'une couleur rouge terne, parfois appelée « rouge de Turquie » (</w:t>
      </w:r>
      <w:hyperlink r:id="rId3396">
        <w:r>
          <w:rPr>
            <w:color w:val="0000EE"/>
            <w:u w:val="single"/>
          </w:rPr>
          <w:t>Ac 16.14</w:t>
        </w:r>
      </w:hyperlink>
      <w:r>
        <w:t>). Cette couleur provenait de la racine d'une plante nommée la garance. Elle était utilisée à la fois pour l'exportation vers l'Europe et pour un usage local dans la teinture du coton et de la laine pour les tapis et les vêtements. La culture de la garance était une industrie majeure à Chypre et en Syrie. Un père plantait un nouveau champ de garance à chaque fois que lui naissait un fils, ce champ devienant ensuite l'héritage de ce fils. Thyatire avait un groupe spécial de travailleurs appelé une guilde des teinturiers.</w:t>
      </w:r>
    </w:p>
    <w:p>
      <w:r/>
      <w:r>
        <w:rPr>
          <w:i/>
        </w:rPr>
        <w:t>Voir aussi</w:t>
      </w:r>
      <w:r>
        <w:t xml:space="preserve"> </w:t>
      </w:r>
      <w:r>
        <w:t>Tissu et fabrication de tissu</w:t>
      </w:r>
      <w:r>
        <w:t>.</w:t>
      </w:r>
      <w:r/>
      <w:r/>
    </w:p>
    <w:p>
      <w:r/>
    </w:p>
    <w:p>
      <w:pPr>
        <w:pStyle w:val="Heading2"/>
      </w:pPr>
      <w:r>
        <w:t>témoin, témoignage</w:t>
      </w:r>
      <w:r/>
    </w:p>
    <w:p>
      <w:r/>
      <w:r>
        <w:t xml:space="preserve">Un témoin est une personne qui rapporte ce qu'elle a vu ou vécu pour déclarer ou confirmer quelque chose. Une personne peut témoigner quand il y a un procès pour aider les juges à déterminer ce qui est arrivé. </w:t>
      </w:r>
    </w:p>
    <w:p>
      <w:pPr>
        <w:pStyle w:val="Heading3"/>
      </w:pPr>
      <w:r>
        <w:t>Témoignage dans l'Ancien Testament</w:t>
      </w:r>
    </w:p>
    <w:p>
      <w:r/>
      <w:r>
        <w:t>Selon la loi de Moïse, il ne suffisait pas d'un seul témoignage pour faire condamner une personne. Il fallait au moins deux ou trois témoins (</w:t>
      </w:r>
      <w:hyperlink r:id="rId4321">
        <w:r>
          <w:rPr>
            <w:color w:val="0000EE"/>
            <w:u w:val="single"/>
          </w:rPr>
          <w:t>Dt 17.6</w:t>
        </w:r>
      </w:hyperlink>
      <w:r>
        <w:t xml:space="preserve"> ; </w:t>
      </w:r>
      <w:hyperlink r:id="rId4322">
        <w:r>
          <w:rPr>
            <w:color w:val="0000EE"/>
            <w:u w:val="single"/>
          </w:rPr>
          <w:t>19.15</w:t>
        </w:r>
      </w:hyperlink>
      <w:r>
        <w:t>). Ce principe est toujours appliqué de nos jours lorsque certaines questions communautaires sont jugées par des cours rabbiniques. Dans le NT, Jésus et Paul continuent d'appliquer ce principe (</w:t>
      </w:r>
      <w:hyperlink r:id="rId14198">
        <w:r>
          <w:rPr>
            <w:color w:val="0000EE"/>
            <w:u w:val="single"/>
          </w:rPr>
          <w:t>Mt 18.16</w:t>
        </w:r>
      </w:hyperlink>
      <w:r>
        <w:t xml:space="preserve"> ; </w:t>
      </w:r>
      <w:hyperlink r:id="rId8266">
        <w:r>
          <w:rPr>
            <w:color w:val="0000EE"/>
            <w:u w:val="single"/>
          </w:rPr>
          <w:t>2Co 13.1</w:t>
        </w:r>
      </w:hyperlink>
      <w:r>
        <w:t>).</w:t>
      </w:r>
    </w:p>
    <w:p>
      <w:r/>
      <w:r>
        <w:t>L'importance de dire la vérité lorsque l'on témoigne est telle que l'interdiction de témoigner faussement est le neuvième des dix commandements (</w:t>
      </w:r>
      <w:hyperlink r:id="rId12616">
        <w:r>
          <w:rPr>
            <w:color w:val="0000EE"/>
            <w:u w:val="single"/>
          </w:rPr>
          <w:t>Ex 20.16</w:t>
        </w:r>
      </w:hyperlink>
      <w:r>
        <w:t xml:space="preserve"> ; </w:t>
      </w:r>
      <w:hyperlink r:id="rId14199">
        <w:r>
          <w:rPr>
            <w:color w:val="0000EE"/>
            <w:u w:val="single"/>
          </w:rPr>
          <w:t>Dt 5.20</w:t>
        </w:r>
      </w:hyperlink>
      <w:r>
        <w:t xml:space="preserve"> ; voir aussi </w:t>
      </w:r>
      <w:hyperlink r:id="rId14200">
        <w:r>
          <w:rPr>
            <w:color w:val="0000EE"/>
            <w:u w:val="single"/>
          </w:rPr>
          <w:t>Mc 10.19</w:t>
        </w:r>
      </w:hyperlink>
      <w:r>
        <w:t xml:space="preserve"> ; </w:t>
      </w:r>
      <w:hyperlink r:id="rId14201">
        <w:r>
          <w:rPr>
            <w:color w:val="0000EE"/>
            <w:u w:val="single"/>
          </w:rPr>
          <w:t>Lc 18.20</w:t>
        </w:r>
      </w:hyperlink>
      <w:r>
        <w:t xml:space="preserve">). Proverbes avertit souvent contre les faux témoins (p. ex. </w:t>
      </w:r>
      <w:hyperlink r:id="rId14202">
        <w:r>
          <w:rPr>
            <w:color w:val="0000EE"/>
            <w:u w:val="single"/>
          </w:rPr>
          <w:t>Pr 6.19</w:t>
        </w:r>
      </w:hyperlink>
      <w:r>
        <w:t xml:space="preserve"> ; </w:t>
      </w:r>
      <w:hyperlink r:id="rId14203">
        <w:r>
          <w:rPr>
            <w:color w:val="0000EE"/>
            <w:u w:val="single"/>
          </w:rPr>
          <w:t>14.5</w:t>
        </w:r>
      </w:hyperlink>
      <w:r>
        <w:t xml:space="preserve"> ; </w:t>
      </w:r>
      <w:hyperlink r:id="rId14204">
        <w:r>
          <w:rPr>
            <w:color w:val="0000EE"/>
            <w:u w:val="single"/>
          </w:rPr>
          <w:t>25.18</w:t>
        </w:r>
      </w:hyperlink>
      <w:r>
        <w:t xml:space="preserve">). Toutefois, malgré l'interdiction de témoigner faussement, </w:t>
      </w:r>
      <w:hyperlink r:id="rId14205">
        <w:r>
          <w:rPr>
            <w:color w:val="0000EE"/>
            <w:u w:val="single"/>
          </w:rPr>
          <w:t>Psaumes 27.12</w:t>
        </w:r>
      </w:hyperlink>
      <w:r>
        <w:t xml:space="preserve"> et </w:t>
      </w:r>
      <w:hyperlink r:id="rId14206">
        <w:r>
          <w:rPr>
            <w:color w:val="0000EE"/>
            <w:u w:val="single"/>
          </w:rPr>
          <w:t>35.11</w:t>
        </w:r>
      </w:hyperlink>
      <w:r>
        <w:t xml:space="preserve"> montrent qu'il avait en Israël des gens qui péchaient ainsi. Il y a plusieurs récits bibliques de faux témoins qui font condamner une personne injustement. Dans l'Ancien Testament (AT), Jézabel, la femme du roi Achab, soudoie (paie) des faux témoins pour accuser et faire condamner Naboth à mort. Cela permet à Achab de prendre possession de sa vigne, qu'il convoite (</w:t>
      </w:r>
      <w:hyperlink r:id="rId1222">
        <w:r>
          <w:rPr>
            <w:color w:val="0000EE"/>
            <w:u w:val="single"/>
          </w:rPr>
          <w:t>1R 21</w:t>
        </w:r>
      </w:hyperlink>
      <w:r>
        <w:t>).</w:t>
      </w:r>
    </w:p>
    <w:p>
      <w:r/>
      <w:r>
        <w:t>Les juges pouvaient enquêter sur les témoignages. S'ils découvraient qu'un accusateur avait menti, cette personne recevait la punition qu'elle avait cherché à infliger à quelqu'un d'autre (</w:t>
      </w:r>
      <w:hyperlink r:id="rId14207">
        <w:r>
          <w:rPr>
            <w:color w:val="0000EE"/>
            <w:u w:val="single"/>
          </w:rPr>
          <w:t>Dt 19.16–21</w:t>
        </w:r>
      </w:hyperlink>
      <w:r>
        <w:t>). Le livre des Proverbes assure qu'un faux témoin ne restera pas impuni (</w:t>
      </w:r>
      <w:hyperlink r:id="rId14208">
        <w:r>
          <w:rPr>
            <w:color w:val="0000EE"/>
            <w:u w:val="single"/>
          </w:rPr>
          <w:t>Pr 19.5, 9</w:t>
        </w:r>
      </w:hyperlink>
      <w:r>
        <w:t xml:space="preserve"> ; </w:t>
      </w:r>
      <w:hyperlink r:id="rId14209">
        <w:r>
          <w:rPr>
            <w:color w:val="0000EE"/>
            <w:u w:val="single"/>
          </w:rPr>
          <w:t>21.28</w:t>
        </w:r>
      </w:hyperlink>
      <w:r>
        <w:t>).</w:t>
      </w:r>
    </w:p>
    <w:p>
      <w:r/>
      <w:r>
        <w:t xml:space="preserve">Plusieurs récits de l'AT illustrent le rôle de témoins dans des procédures légales, notamment le transfert de propriété. Dans </w:t>
      </w:r>
      <w:hyperlink r:id="rId14210">
        <w:r>
          <w:rPr>
            <w:color w:val="0000EE"/>
            <w:u w:val="single"/>
          </w:rPr>
          <w:t>Ruth 4.7–12,</w:t>
        </w:r>
      </w:hyperlink>
      <w:r>
        <w:t xml:space="preserve"> Boaz rachète le terrain de son parent décédé, et épouse sa veuve Ruth. La décision se fait en public et les anciens ainsi que les autres personnes présentes servent de témoins. Dieu commande à Ésaïe d'écrire des paroles prophétiques sur une grande table devant des témoins (</w:t>
      </w:r>
      <w:hyperlink r:id="rId14211">
        <w:r>
          <w:rPr>
            <w:color w:val="0000EE"/>
            <w:u w:val="single"/>
          </w:rPr>
          <w:t>Es 8.1–2</w:t>
        </w:r>
      </w:hyperlink>
      <w:r>
        <w:t>). Pour confirmer sa promesse que les exilés reviendront en Israël, Dieu commande aussi au prophète Jérémie d'acheter un champ en présence de témoins. Ces témoins, présents lors de l'achat, ajoutent leurs signatures au contrat d'achat de la propriété pour le valider (</w:t>
      </w:r>
      <w:hyperlink r:id="rId14212">
        <w:r>
          <w:rPr>
            <w:color w:val="0000EE"/>
            <w:u w:val="single"/>
          </w:rPr>
          <w:t>Jr 32.6–15</w:t>
        </w:r>
      </w:hyperlink>
      <w:r>
        <w:t>).</w:t>
      </w:r>
    </w:p>
    <w:p>
      <w:r/>
      <w:r>
        <w:t>Alors qu'il termine son discours d'adieu, Josué déclare que les Israélites sont eux-mêmes témoins qu'ils ont choisi de servir le Seigneur. Il fait alors dresser une grande pierre et déclare qu'elle aussi servira de témoin (</w:t>
      </w:r>
      <w:hyperlink r:id="rId14213">
        <w:r>
          <w:rPr>
            <w:color w:val="0000EE"/>
            <w:u w:val="single"/>
          </w:rPr>
          <w:t>Jos 24.22–27</w:t>
        </w:r>
      </w:hyperlink>
      <w:r>
        <w:t xml:space="preserve">). </w:t>
      </w:r>
    </w:p>
    <w:p>
      <w:r/>
      <w:r>
        <w:t>Plus tard, Dieu dit que peuple d'Israël est témoin de ce qu'il a déclaré (</w:t>
      </w:r>
      <w:hyperlink r:id="rId14214">
        <w:r>
          <w:rPr>
            <w:color w:val="0000EE"/>
            <w:u w:val="single"/>
          </w:rPr>
          <w:t>Es 43.10</w:t>
        </w:r>
      </w:hyperlink>
      <w:r>
        <w:t xml:space="preserve"> ; </w:t>
      </w:r>
      <w:hyperlink r:id="rId14215">
        <w:r>
          <w:rPr>
            <w:color w:val="0000EE"/>
            <w:u w:val="single"/>
          </w:rPr>
          <w:t>44.8–9</w:t>
        </w:r>
      </w:hyperlink>
      <w:r>
        <w:t>). Les Israélites sont témoins qu'il est le vrai et seul Dieu, celui qui est saint, tout-puissant, et qui les a aimés. Il n'est pas comme les idoles qui ne font rien et qui ne peuvent pas annoncer ce qui va arriver. Dieu annonce à l'avance ce qu'il a prévu de faire. Lorsque les Israélites se sont tournés vers des idoles, il les a envoyés en captivité. Il les avait avertis que cela arriverait. Mais au lieu d'être des témoins fiables, ils ont donné aux peuples voisins une occasion de blasphémer Dieu.</w:t>
      </w:r>
    </w:p>
    <w:p>
      <w:pPr>
        <w:pStyle w:val="Heading3"/>
      </w:pPr>
      <w:r>
        <w:t>Témoignage dans le Nouveau Testament</w:t>
      </w:r>
    </w:p>
    <w:p>
      <w:r/>
      <w:r>
        <w:t xml:space="preserve">Dans le Nouveau Testament (NT), les mots différents qui désignent le témoignage ou les témoins sont principalement liés au verbe </w:t>
      </w:r>
      <w:r>
        <w:rPr>
          <w:i/>
        </w:rPr>
        <w:t>martureo</w:t>
      </w:r>
      <w:r>
        <w:t>, qui signifie « témoigner, être un témoin ». C'est de là que vient le mot « martyr », un mot qui désigne maintenant quelqu'un qui a été mis à mort pour son témoignage pour Jésus-Christ.</w:t>
      </w:r>
    </w:p>
    <w:p>
      <w:r/>
      <w:r>
        <w:t>Le mot est parfois utilisé comme dans l'AT pour désigner des témoins dans un procès. Les autorités religieuses juives ont fait venir des faux témoins pour chercher à condamner Jésus. Jean le Baptiste a été à la fois un témoin et un martyr. En tant que précurseur du Messie, sa mission était de témoigner de la lumière et d'identifier l'Agneau de Dieu (</w:t>
      </w:r>
      <w:hyperlink r:id="rId14216">
        <w:r>
          <w:rPr>
            <w:color w:val="0000EE"/>
            <w:u w:val="single"/>
          </w:rPr>
          <w:t>Jn 1.7–8, 19–36</w:t>
        </w:r>
      </w:hyperlink>
      <w:r>
        <w:t xml:space="preserve">). Quand il est utilisé ainsi, le mot « témoin » signifie quelqu'un qui aide les autres à croire en Jésus. Les témoins confirment qui il est en racontant les expériences qu'ils ont eu avec lui et ce que Dieu leur a révélé. </w:t>
      </w:r>
    </w:p>
    <w:p>
      <w:r/>
      <w:r>
        <w:t>Les disciples de Jésus, et particulièrement les 12 apôtres, ont été témoins de la personne et du caractère de Jésus. Ils l'ont connu personnellement, ont entendu ses enseignements et observé ses miracles. Trois d'entre eux ont vu sa gloire quand il a été transfiguré sur la montagne (</w:t>
      </w:r>
      <w:hyperlink r:id="rId14217">
        <w:r>
          <w:rPr>
            <w:color w:val="0000EE"/>
            <w:u w:val="single"/>
          </w:rPr>
          <w:t xml:space="preserve">Mt 17.1–2 </w:t>
        </w:r>
      </w:hyperlink>
      <w:r>
        <w:t xml:space="preserve">; </w:t>
      </w:r>
      <w:hyperlink r:id="rId14218">
        <w:r>
          <w:rPr>
            <w:color w:val="0000EE"/>
            <w:u w:val="single"/>
          </w:rPr>
          <w:t>2P 1.17–18</w:t>
        </w:r>
      </w:hyperlink>
      <w:r>
        <w:t>). Beaucoup l'ont vu, ont parlé avec lui et ont même mangé avec lui après sa résurrection (</w:t>
      </w:r>
      <w:hyperlink r:id="rId14219">
        <w:r>
          <w:rPr>
            <w:color w:val="0000EE"/>
            <w:u w:val="single"/>
          </w:rPr>
          <w:t xml:space="preserve">Lc 24.48 </w:t>
        </w:r>
      </w:hyperlink>
      <w:r>
        <w:t xml:space="preserve">; </w:t>
      </w:r>
      <w:hyperlink r:id="rId14220">
        <w:r>
          <w:rPr>
            <w:color w:val="0000EE"/>
            <w:u w:val="single"/>
          </w:rPr>
          <w:t>1Co 15.4–8</w:t>
        </w:r>
      </w:hyperlink>
      <w:r>
        <w:t>). Au moment de son ascension, Jésus a donné à ses disciples la mission d'être ses témoins dans le monde entier (</w:t>
      </w:r>
      <w:hyperlink r:id="rId200">
        <w:r>
          <w:rPr>
            <w:color w:val="0000EE"/>
            <w:u w:val="single"/>
          </w:rPr>
          <w:t>Ac 1.8</w:t>
        </w:r>
      </w:hyperlink>
      <w:r>
        <w:t>).</w:t>
      </w:r>
      <w:r/>
      <w:r/>
    </w:p>
    <w:p>
      <w:r/>
    </w:p>
    <w:p>
      <w:pPr>
        <w:pStyle w:val="Heading2"/>
      </w:pPr>
      <w:r>
        <w:t>Temple</w:t>
      </w:r>
      <w:r/>
    </w:p>
    <w:p>
      <w:r/>
      <w:r>
        <w:t>Vue d'ensemble</w:t>
      </w:r>
    </w:p>
    <w:p>
      <w:r/>
      <w:r>
        <w:t>• Arrière-plan</w:t>
      </w:r>
    </w:p>
    <w:p>
      <w:r/>
      <w:r>
        <w:t>• Temple de Salomon</w:t>
      </w:r>
    </w:p>
    <w:p>
      <w:r/>
      <w:r>
        <w:t>• Temple de Zorobabel</w:t>
      </w:r>
    </w:p>
    <w:p>
      <w:r/>
      <w:r>
        <w:t>• Temple d'Hérode</w:t>
      </w:r>
    </w:p>
    <w:p>
      <w:r/>
      <w:r>
        <w:t>• L'importance du Temple dans l'Ancien Testament</w:t>
      </w:r>
    </w:p>
    <w:p>
      <w:r/>
      <w:r>
        <w:t>• L'importance du Temple dans le Nouveau Testament</w:t>
      </w:r>
    </w:p>
    <w:p>
      <w:pPr>
        <w:pStyle w:val="Heading3"/>
      </w:pPr>
      <w:r>
        <w:t>Arrière-plan</w:t>
      </w:r>
    </w:p>
    <w:p>
      <w:r/>
      <w:r>
        <w:t>La capture de Jérusalem par David (</w:t>
      </w:r>
      <w:hyperlink r:id="rId7862">
        <w:r>
          <w:rPr>
            <w:color w:val="0000EE"/>
            <w:u w:val="single"/>
          </w:rPr>
          <w:t>2Sm 5.6–9</w:t>
        </w:r>
      </w:hyperlink>
      <w:r>
        <w:t>) et sa désignation comme capitale de la nation est l'un des grands coups de maître de l'Histoire. Occupée par les Jébusiens, c'est alors une poche de territoire neutre entre les sections nord et sud du royaume de David, c'est-à-dire que c'est une ville politiquement acceptable pour ces deux sections. Jérusalem est ensuite établie comme centre religieux national par le retour de l'arche, largement négligée depuis sa capture par les Philistins (</w:t>
      </w:r>
      <w:hyperlink r:id="rId1199">
        <w:r>
          <w:rPr>
            <w:color w:val="0000EE"/>
            <w:u w:val="single"/>
          </w:rPr>
          <w:t>2Sm 6.1–17</w:t>
        </w:r>
      </w:hyperlink>
      <w:r>
        <w:t>). Désormais, les choix de Dieu concernant à la fois David et Jérusalem (« montagne de Sion ») sont liés de façon permanente (</w:t>
      </w:r>
      <w:hyperlink r:id="rId14221">
        <w:r>
          <w:rPr>
            <w:color w:val="0000EE"/>
            <w:u w:val="single"/>
          </w:rPr>
          <w:t>Ps 78.67–72</w:t>
        </w:r>
      </w:hyperlink>
      <w:r>
        <w:t>).</w:t>
      </w:r>
    </w:p>
    <w:p>
      <w:r/>
      <w:r>
        <w:t>Le grand élan de David est de construire un lieu de résidence adéquat pour le Dieu d'Israël. L'idée est tout d'abord approuvée par Nathan le prophète (</w:t>
      </w:r>
      <w:hyperlink r:id="rId14222">
        <w:r>
          <w:rPr>
            <w:color w:val="0000EE"/>
            <w:u w:val="single"/>
          </w:rPr>
          <w:t>2Sm 7.1–3</w:t>
        </w:r>
      </w:hyperlink>
      <w:r>
        <w:t xml:space="preserve">). Pourtant, Dieu donne à Nathan une révélation autre, qu'il transmet à David (v. </w:t>
      </w:r>
      <w:hyperlink r:id="rId457">
        <w:r>
          <w:rPr>
            <w:color w:val="0000EE"/>
            <w:u w:val="single"/>
          </w:rPr>
          <w:t>4–17</w:t>
        </w:r>
      </w:hyperlink>
      <w:r>
        <w:t>). Dans un jeu de mots significatif, David est informé qu'il ne doit pas construire une maison (temple) pour Dieu, mais que Dieu lui construira une maison (dynastie). David n'est pas celui qui doit construire un temple à cause des nombreuses guerres durant son règne. Le temple doit plutôt construit par son fils (</w:t>
      </w:r>
      <w:hyperlink r:id="rId14223">
        <w:r>
          <w:rPr>
            <w:color w:val="0000EE"/>
            <w:u w:val="single"/>
          </w:rPr>
          <w:t>1R 5.3</w:t>
        </w:r>
      </w:hyperlink>
      <w:r>
        <w:t xml:space="preserve">; </w:t>
      </w:r>
      <w:hyperlink r:id="rId14224">
        <w:r>
          <w:rPr>
            <w:color w:val="0000EE"/>
            <w:u w:val="single"/>
          </w:rPr>
          <w:t>1Ch 22.7–8</w:t>
        </w:r>
      </w:hyperlink>
      <w:r>
        <w:t xml:space="preserve">; </w:t>
      </w:r>
      <w:hyperlink r:id="rId14225">
        <w:r>
          <w:rPr>
            <w:color w:val="0000EE"/>
            <w:u w:val="single"/>
          </w:rPr>
          <w:t>28.3</w:t>
        </w:r>
      </w:hyperlink>
      <w:r>
        <w:t>). Néanmoins, David amasse avec enthousiasme la plupart des finances et matériaux nécessaires et dessine les plans du Temple (</w:t>
      </w:r>
      <w:hyperlink r:id="rId14226">
        <w:r>
          <w:rPr>
            <w:color w:val="0000EE"/>
            <w:u w:val="single"/>
          </w:rPr>
          <w:t>1Ch 22.3–5, 14</w:t>
        </w:r>
      </w:hyperlink>
      <w:r>
        <w:t xml:space="preserve">; </w:t>
      </w:r>
      <w:hyperlink r:id="rId14227">
        <w:r>
          <w:rPr>
            <w:color w:val="0000EE"/>
            <w:u w:val="single"/>
          </w:rPr>
          <w:t>28.2, 11–19</w:t>
        </w:r>
      </w:hyperlink>
      <w:r>
        <w:t>). Il achète également le site du Temple (</w:t>
      </w:r>
      <w:hyperlink r:id="rId14228">
        <w:r>
          <w:rPr>
            <w:color w:val="0000EE"/>
            <w:u w:val="single"/>
          </w:rPr>
          <w:t>21.25</w:t>
        </w:r>
      </w:hyperlink>
      <w:r>
        <w:t>).</w:t>
      </w:r>
    </w:p>
    <w:p>
      <w:pPr>
        <w:pStyle w:val="Heading3"/>
      </w:pPr>
      <w:r>
        <w:t>Le Temple de Salomon</w:t>
      </w:r>
    </w:p>
    <w:p>
      <w:pPr>
        <w:pStyle w:val="Heading4"/>
      </w:pPr>
      <w:r>
        <w:t>Date</w:t>
      </w:r>
    </w:p>
    <w:p>
      <w:r/>
      <w:r>
        <w:t>La construction commence la quatrième année de Salomon, vers 966 av. J.‑C., et prend sept ans (</w:t>
      </w:r>
      <w:hyperlink r:id="rId14229">
        <w:r>
          <w:rPr>
            <w:color w:val="0000EE"/>
            <w:u w:val="single"/>
          </w:rPr>
          <w:t>1R 6.1, 38</w:t>
        </w:r>
      </w:hyperlink>
      <w:r>
        <w:t>). Tout ce qui est nécessaire pour le Temple, y compris les ouvriers, a été préparé par David (</w:t>
      </w:r>
      <w:hyperlink r:id="rId14230">
        <w:r>
          <w:rPr>
            <w:color w:val="0000EE"/>
            <w:u w:val="single"/>
          </w:rPr>
          <w:t>1Ch 28.21</w:t>
        </w:r>
      </w:hyperlink>
      <w:r>
        <w:t>). Le Temple a manifestement la priorité parmi les projets de construction de Salomon, car il construit son propre palais plus tard (</w:t>
      </w:r>
      <w:hyperlink r:id="rId14231">
        <w:r>
          <w:rPr>
            <w:color w:val="0000EE"/>
            <w:u w:val="single"/>
          </w:rPr>
          <w:t>1R 7.1</w:t>
        </w:r>
      </w:hyperlink>
      <w:r>
        <w:t>).</w:t>
      </w:r>
    </w:p>
    <w:p>
      <w:pPr>
        <w:pStyle w:val="Heading4"/>
      </w:pPr>
      <w:r>
        <w:t>Surintendants et main-d'œuvre</w:t>
      </w:r>
    </w:p>
    <w:p>
      <w:r/>
      <w:r>
        <w:t>L'architecte principal pour les aménagements en bronze est Hiram, dont le père est un artisan métallurgiste de Tyr et la mère est israélite (</w:t>
      </w:r>
      <w:hyperlink r:id="rId14232">
        <w:r>
          <w:rPr>
            <w:color w:val="0000EE"/>
            <w:u w:val="single"/>
          </w:rPr>
          <w:t>1R 7.13–14</w:t>
        </w:r>
      </w:hyperlink>
      <w:r>
        <w:t>). Le cèdre pour le Temple provient du Liban. Il est abattu et transporté par les bûcherons qualifiés d'un autre Hiram, le roi de Tyr, allié de Salomon (</w:t>
      </w:r>
      <w:hyperlink r:id="rId14233">
        <w:r>
          <w:rPr>
            <w:color w:val="0000EE"/>
            <w:u w:val="single"/>
          </w:rPr>
          <w:t>5.5–9</w:t>
        </w:r>
      </w:hyperlink>
      <w:r>
        <w:t xml:space="preserve">). Des Israélites, au nombre de 30 000, divisés en trois groupes, sont enrôlés pour travailler au Liban. Chaque groupe est en service pendant un mois sur trois. Pour la maçonnerie, Salomon enrôle 153 600 étrangers résidant en Israël en tant que groupe autonome de porteurs, de tailleurs de pierre et de superviseurs (v. </w:t>
      </w:r>
      <w:hyperlink r:id="rId14234">
        <w:r>
          <w:rPr>
            <w:color w:val="0000EE"/>
            <w:u w:val="single"/>
          </w:rPr>
          <w:t>15–17</w:t>
        </w:r>
      </w:hyperlink>
      <w:r>
        <w:t xml:space="preserve">; </w:t>
      </w:r>
      <w:hyperlink r:id="rId14235">
        <w:r>
          <w:rPr>
            <w:color w:val="0000EE"/>
            <w:u w:val="single"/>
          </w:rPr>
          <w:t>2Ch 2.17–18</w:t>
        </w:r>
      </w:hyperlink>
      <w:r>
        <w:t>). Il est possible que les « Guibliens », avec leurs compétences spécialisées, aient formé un autre groupe (</w:t>
      </w:r>
      <w:hyperlink r:id="rId2551">
        <w:r>
          <w:rPr>
            <w:color w:val="0000EE"/>
            <w:u w:val="single"/>
          </w:rPr>
          <w:t>1R 5.18</w:t>
        </w:r>
      </w:hyperlink>
      <w:r>
        <w:t>). Construire le Temple est évidemment un projet national d'une ampleur et d'un effort immenses. Afin de préserver la sainteté du site et d'éliminer le bruit, la maçonnerie et la menuiserie ne sont pas réalisées sur le site du Temple (</w:t>
      </w:r>
      <w:hyperlink r:id="rId10142">
        <w:r>
          <w:rPr>
            <w:color w:val="0000EE"/>
            <w:u w:val="single"/>
          </w:rPr>
          <w:t>6.7</w:t>
        </w:r>
      </w:hyperlink>
      <w:r>
        <w:t>).</w:t>
      </w:r>
    </w:p>
    <w:p>
      <w:pPr>
        <w:pStyle w:val="Heading4"/>
      </w:pPr>
      <w:r>
        <w:t>Description</w:t>
      </w:r>
    </w:p>
    <w:p>
      <w:r/>
      <w:r>
        <w:t xml:space="preserve">Les détails donnés dans la Bible sont suffisamment clairs pour que nous puissions faire une description raisonnablement précise du Temple. Cependant, il est à noter que les mesures qui sont données ici sont approximatives. Elles sont données en coudées dans le texte biblique, et nous n'en avons qu'une approximation et non une mesure exacte. </w:t>
      </w:r>
    </w:p>
    <w:p>
      <w:r/>
      <w:r>
        <w:t>Les récits dans les livres des Rois et des Chroniques sont complétés par la représentation du Temple par Ézéchiel (voir ci-dessous). Cette représentation est largement basée sur sa connaissance du temple de Jérusalem (</w:t>
      </w:r>
      <w:hyperlink r:id="rId5512">
        <w:r>
          <w:rPr>
            <w:color w:val="0000EE"/>
            <w:u w:val="single"/>
          </w:rPr>
          <w:t>Ez 40–48</w:t>
        </w:r>
      </w:hyperlink>
      <w:r>
        <w:t>).</w:t>
      </w:r>
    </w:p>
    <w:p>
      <w:r/>
      <w:r>
        <w:t>Les salles latérales (de côté) reposaient probablement sur une fondation ou une plate-forme séparée du Temple lui-même (</w:t>
      </w:r>
      <w:hyperlink r:id="rId14236">
        <w:r>
          <w:rPr>
            <w:color w:val="0000EE"/>
            <w:u w:val="single"/>
          </w:rPr>
          <w:t>1R 6.5, 10</w:t>
        </w:r>
      </w:hyperlink>
      <w:r>
        <w:t xml:space="preserve"> ; voir </w:t>
      </w:r>
      <w:hyperlink r:id="rId14237">
        <w:r>
          <w:rPr>
            <w:color w:val="0000EE"/>
            <w:u w:val="single"/>
          </w:rPr>
          <w:t>Ez 41.8–9</w:t>
        </w:r>
      </w:hyperlink>
      <w:r>
        <w:t>). Elles étaient disposées sur trois étages, chacun mesurant 2,30 mètres de hauteur et s'étendant autour de tout le bâtiment, sauf du côté du portique. Chaque étage successif était plus large de 50 centimètres que celui du dessous. Ces dimensions coïncidaient avec l'épaisseur du mur latéral du lieu saint. Les salles du rez-de-chaussée mesuraient 2,30 mètres de large ; le premier étage faisait 2,70 mètres de large, et le second 3,20 mètres de large. Des escaliers en colimaçon (en spirale) donnaient probablement accès aux étages supérieurs (</w:t>
      </w:r>
      <w:hyperlink r:id="rId14238">
        <w:r>
          <w:rPr>
            <w:color w:val="0000EE"/>
            <w:u w:val="single"/>
          </w:rPr>
          <w:t>1R 6.8</w:t>
        </w:r>
      </w:hyperlink>
      <w:r>
        <w:t xml:space="preserve">). </w:t>
      </w:r>
    </w:p>
    <w:p>
      <w:r/>
      <w:r>
        <w:t xml:space="preserve">Une incertitude persiste concernant l'emplacement des entrées ; il y en avait peut-être une de chaque côté, mais une seule est mentionnée (v. </w:t>
      </w:r>
      <w:hyperlink r:id="rId14238">
        <w:r>
          <w:rPr>
            <w:color w:val="0000EE"/>
            <w:u w:val="single"/>
          </w:rPr>
          <w:t>8</w:t>
        </w:r>
      </w:hyperlink>
      <w:r>
        <w:t>). Comme dans le temple d'Ézéchiel (</w:t>
      </w:r>
      <w:hyperlink r:id="rId14239">
        <w:r>
          <w:rPr>
            <w:color w:val="0000EE"/>
            <w:u w:val="single"/>
          </w:rPr>
          <w:t>Ez 40.17, 28</w:t>
        </w:r>
      </w:hyperlink>
      <w:r>
        <w:t>), il y avait deux parvis adjacents, un intérieur et un extérieur (</w:t>
      </w:r>
      <w:hyperlink r:id="rId14240">
        <w:r>
          <w:rPr>
            <w:color w:val="0000EE"/>
            <w:u w:val="single"/>
          </w:rPr>
          <w:t>1R 6.36</w:t>
        </w:r>
      </w:hyperlink>
      <w:r>
        <w:t xml:space="preserve"> ; </w:t>
      </w:r>
      <w:hyperlink r:id="rId14241">
        <w:r>
          <w:rPr>
            <w:color w:val="0000EE"/>
            <w:u w:val="single"/>
          </w:rPr>
          <w:t>7.12</w:t>
        </w:r>
      </w:hyperlink>
      <w:r>
        <w:t>). Toutefois, leurs dimensions ne sont pas données. Le parvis intérieur, ou « parvis des sacrificateurs » (</w:t>
      </w:r>
      <w:hyperlink r:id="rId14242">
        <w:r>
          <w:rPr>
            <w:color w:val="0000EE"/>
            <w:u w:val="single"/>
          </w:rPr>
          <w:t>2Ch 4.9</w:t>
        </w:r>
      </w:hyperlink>
      <w:r>
        <w:t>), étant à côté du Temple lui-même, était également appelé « parvis supérieur » (</w:t>
      </w:r>
      <w:hyperlink r:id="rId14243">
        <w:r>
          <w:rPr>
            <w:color w:val="0000EE"/>
            <w:u w:val="single"/>
          </w:rPr>
          <w:t>Jr 36.10</w:t>
        </w:r>
      </w:hyperlink>
      <w:r>
        <w:t>). Le mur du parvis intérieur était fait de trois couches de pierres taillées maintenues ensemble par une couche de poutres en bois de cèdre (</w:t>
      </w:r>
      <w:hyperlink r:id="rId14240">
        <w:r>
          <w:rPr>
            <w:color w:val="0000EE"/>
            <w:u w:val="single"/>
          </w:rPr>
          <w:t>1R 6.36</w:t>
        </w:r>
      </w:hyperlink>
      <w:r>
        <w:t>). Les portes des deux parvis étaient revêtues d'airain, ou bronze (</w:t>
      </w:r>
      <w:hyperlink r:id="rId14242">
        <w:r>
          <w:rPr>
            <w:color w:val="0000EE"/>
            <w:u w:val="single"/>
          </w:rPr>
          <w:t>2Ch 4.9</w:t>
        </w:r>
      </w:hyperlink>
      <w:r>
        <w:t>). Les bâtiments du palais se trouvaient dans la zone du parvis extérieur, probablement avec un passage privé entre le palais et le Temple, qui serait plus tard fermé pendant le règne d'Achaz (</w:t>
      </w:r>
      <w:hyperlink r:id="rId14244">
        <w:r>
          <w:rPr>
            <w:color w:val="0000EE"/>
            <w:u w:val="single"/>
          </w:rPr>
          <w:t>2Ch 4.9, 12</w:t>
        </w:r>
      </w:hyperlink>
      <w:r>
        <w:t xml:space="preserve"> ; </w:t>
      </w:r>
      <w:hyperlink r:id="rId14245">
        <w:r>
          <w:rPr>
            <w:color w:val="0000EE"/>
            <w:u w:val="single"/>
          </w:rPr>
          <w:t>2R 16.18</w:t>
        </w:r>
      </w:hyperlink>
      <w:r>
        <w:t>).</w:t>
      </w:r>
    </w:p>
    <w:p>
      <w:r/>
      <w:r>
        <w:t>Le Temple lui-même avait une longueur de 28 mètres, une largeur de 9 mètres et une hauteur de 14 mètres (</w:t>
      </w:r>
      <w:hyperlink r:id="rId14246">
        <w:r>
          <w:rPr>
            <w:color w:val="0000EE"/>
            <w:u w:val="single"/>
          </w:rPr>
          <w:t>1R 6.2</w:t>
        </w:r>
      </w:hyperlink>
      <w:r>
        <w:t>). Son portique ou vestibule de 4,5 mètres de profondeur s'étendait sur toute la largeur du Temple. Le vestibule était probablement à l'extrémité orientale du Temple, correspondant ainsi à l'orientation du temple d'Ézéchiel (</w:t>
      </w:r>
      <w:hyperlink r:id="rId14247">
        <w:r>
          <w:rPr>
            <w:color w:val="0000EE"/>
            <w:u w:val="single"/>
          </w:rPr>
          <w:t>Ez 43.1</w:t>
        </w:r>
      </w:hyperlink>
      <w:r>
        <w:t xml:space="preserve"> ; </w:t>
      </w:r>
      <w:hyperlink r:id="rId14248">
        <w:r>
          <w:rPr>
            <w:color w:val="0000EE"/>
            <w:u w:val="single"/>
          </w:rPr>
          <w:t>44.1</w:t>
        </w:r>
      </w:hyperlink>
      <w:r>
        <w:t>). La plus grande partie du sanctuaire principal, à côté du portique, formait le lieu saint, mesurant 19 mètres de long (</w:t>
      </w:r>
      <w:hyperlink r:id="rId14249">
        <w:r>
          <w:rPr>
            <w:color w:val="0000EE"/>
            <w:u w:val="single"/>
          </w:rPr>
          <w:t>1R 6.17</w:t>
        </w:r>
      </w:hyperlink>
      <w:r>
        <w:t xml:space="preserve">). </w:t>
      </w:r>
    </w:p>
    <w:p>
      <w:r/>
      <w:r>
        <w:t>Au-delà se trouvait le sanctuaire le plus à l'intérieur, le Saint des saints (ou le « Lieu très saint »). Celui-ci était un cube parfait de 9 mètres. Tous les murs intérieurs étaient lambrissés de cèdre décoré de motifs floraux, de chérubins et de palmiers, de sorte qu'aucune maçonnerie n'était visible. Les murs des sanctuaires intérieurs et extérieurs étaient « recouverts » (</w:t>
      </w:r>
      <w:hyperlink r:id="rId1259">
        <w:r>
          <w:rPr>
            <w:color w:val="0000EE"/>
            <w:u w:val="single"/>
          </w:rPr>
          <w:t>v. 22</w:t>
        </w:r>
      </w:hyperlink>
      <w:r>
        <w:t>) d'or pur. En réalité, la décoration en or pourrait avoir été incrustée, car une gaine solide d'or aurait pu gâcher la beauté naturelle de la sculpture sur bois. Le sol était en planches de cyprès (</w:t>
      </w:r>
      <w:hyperlink r:id="rId14250">
        <w:r>
          <w:rPr>
            <w:color w:val="0000EE"/>
            <w:u w:val="single"/>
          </w:rPr>
          <w:t>v. 15</w:t>
        </w:r>
      </w:hyperlink>
      <w:r>
        <w:t>). Des fenêtres étroites placées en hauteur dans les murs au-dessus du niveau des chambres extérieures sur trois étages laissaient pénétrer la lumière dans le lieu saint (</w:t>
      </w:r>
      <w:hyperlink r:id="rId14251">
        <w:r>
          <w:rPr>
            <w:color w:val="0000EE"/>
            <w:u w:val="single"/>
          </w:rPr>
          <w:t>v. 4</w:t>
        </w:r>
      </w:hyperlink>
      <w:r>
        <w:t>). Le plafond était lambrissé de poutres et de planches de cèdre. Aucun détail n'est donné sur la toiture extérieure, mais la technique de l'époque a probablement été employée, avec une structure de bois en treillis et un plâtre imperméable à base de calcaire tassé et lissé.</w:t>
      </w:r>
    </w:p>
    <w:p>
      <w:r/>
      <w:r>
        <w:t xml:space="preserve">Le portique extérieur semble avoir été un espace ouvert, car aucune porte n'est mentionnée. Des portes doubles (faites de deux battants) donnaient accès au lieu saint. Elles étaient toutes deux articulées afin de pouvoir se replier sur elles-mêmes. Elles étaient en cyprès et décorées exactement de la même manière que les murs intérieurs (v. </w:t>
      </w:r>
      <w:hyperlink r:id="rId14252">
        <w:r>
          <w:rPr>
            <w:color w:val="0000EE"/>
            <w:u w:val="single"/>
          </w:rPr>
          <w:t>34–35</w:t>
        </w:r>
      </w:hyperlink>
      <w:r>
        <w:t>). Leurs montants étaient en bois d'olivier sauvage. À l'intérieur du lieu saint se trouvait l'autel des parfums en cèdre recouvert d'or ; il était placé au centre, devant le Saint des saints. Également dans le lieu saint se trouvaient une table pour le pain de la Présence de Dieu, dix chandeliers disposés en deux groupes de cinq de chaque côté et divers ustensiles réservés à l'usage des sacrificateurs (</w:t>
      </w:r>
      <w:hyperlink r:id="rId14253">
        <w:r>
          <w:rPr>
            <w:color w:val="0000EE"/>
            <w:u w:val="single"/>
          </w:rPr>
          <w:t>1R 7.48–50</w:t>
        </w:r>
      </w:hyperlink>
      <w:r>
        <w:t>). Tous ces éléments étaient faits d'or ou en étaient recouverts. Les dix tables, cinq de chaque côté, étaient vraisemblablement destinées aux ustensiles et accessoires (</w:t>
      </w:r>
      <w:hyperlink r:id="rId14254">
        <w:r>
          <w:rPr>
            <w:color w:val="0000EE"/>
            <w:u w:val="single"/>
          </w:rPr>
          <w:t>2Ch 4.8</w:t>
        </w:r>
      </w:hyperlink>
      <w:r>
        <w:t>).</w:t>
      </w:r>
    </w:p>
    <w:p>
      <w:r/>
      <w:r>
        <w:t>Entre le lieu saint et le Saint des saints se trouvait une double porte en bois d'olivier sauvage, sculptée de chérubins, de palmiers et de motifs floraux, et recouverte d'or. Un rideau bleu, pourpre et cramoisi, fait des tissus les plus fins et orné de chérubins, voilait encore davantage le Saint des saints à l'intérieur de ces portes (</w:t>
      </w:r>
      <w:hyperlink r:id="rId3379">
        <w:r>
          <w:rPr>
            <w:color w:val="0000EE"/>
            <w:u w:val="single"/>
          </w:rPr>
          <w:t>2Ch 3.14</w:t>
        </w:r>
      </w:hyperlink>
      <w:r>
        <w:t>).</w:t>
      </w:r>
    </w:p>
    <w:p>
      <w:r/>
      <w:r>
        <w:t>Dans le Saint des saints se trouvaient deux chérubins, chacun mesurant 4,5 mètres de haut. Ils étaient faits de bois d'olivier sauvage recouvert d'or (</w:t>
      </w:r>
      <w:hyperlink r:id="rId14255">
        <w:r>
          <w:rPr>
            <w:color w:val="0000EE"/>
            <w:u w:val="single"/>
          </w:rPr>
          <w:t>1R 6.23–28</w:t>
        </w:r>
      </w:hyperlink>
      <w:r>
        <w:t>). Chaque aile mesurait 2,3 mètres. Une aile de chaque chérubin touchait les murs latéraux ; les autres ailes se rejoignaient au centre de la pièce. Le trône divin avait été considérablement moins impressionnant dans le tabernacle, où une aile de chaque chérubin fusionnait avec le propitiatoire au-dessus de l'arche (</w:t>
      </w:r>
      <w:hyperlink r:id="rId14256">
        <w:r>
          <w:rPr>
            <w:color w:val="0000EE"/>
            <w:u w:val="single"/>
          </w:rPr>
          <w:t>Ex 25.17–22</w:t>
        </w:r>
      </w:hyperlink>
      <w:r>
        <w:t>). Dans le temple de Salomon, l'arche de l'alliance était placée sous les chérubins tournés vers l'avant en protecteurs symboliques. L'arche, le seul élément majeur restant du tabernacle de Moïse, contenait encore les tables de la loi, mais le pot de manne et la verge d'Aaron en étaient absents (</w:t>
      </w:r>
      <w:hyperlink r:id="rId13998">
        <w:r>
          <w:rPr>
            <w:color w:val="0000EE"/>
            <w:u w:val="single"/>
          </w:rPr>
          <w:t>1R 8.9</w:t>
        </w:r>
      </w:hyperlink>
      <w:r>
        <w:t>).</w:t>
      </w:r>
    </w:p>
    <w:p>
      <w:r/>
      <w:r>
        <w:t>Juste à l'extérieur du Temple et de chaque côté du vestibule se trouvaient deux colonnes creuses en airain, ou bronze (</w:t>
      </w:r>
      <w:hyperlink r:id="rId14257">
        <w:r>
          <w:rPr>
            <w:color w:val="0000EE"/>
            <w:u w:val="single"/>
          </w:rPr>
          <w:t>1R 7.15–20</w:t>
        </w:r>
      </w:hyperlink>
      <w:r>
        <w:t xml:space="preserve"> ; </w:t>
      </w:r>
      <w:hyperlink r:id="rId14258">
        <w:r>
          <w:rPr>
            <w:color w:val="0000EE"/>
            <w:u w:val="single"/>
          </w:rPr>
          <w:t>2Ch 3.15–17</w:t>
        </w:r>
      </w:hyperlink>
      <w:r>
        <w:t>). Selon les livres des Rois, ces colonnes faisaient un peu plus de 8 mètres de hauteur, et leur circonférence était de 5,5 mètres. Le métal lui-même avait environ 10 centimètres d'épaisseur. Les colonnes étaient surmontées de chapiteaux en airain (bronze) en forme de lys de 2,3 mètres de hauteur et de presque 2 mètres de largeur, délicatement ornés d'un treillis en chaîne soutenant deux rangées de grenades. Leur poids total devait être énorme. Leur taille est confirmée par Jérémie, qui note que les Babyloniens on dû les briser en morceaux pour les transporter à Babylone (</w:t>
      </w:r>
      <w:hyperlink r:id="rId14259">
        <w:r>
          <w:rPr>
            <w:color w:val="0000EE"/>
            <w:u w:val="single"/>
          </w:rPr>
          <w:t>Jr 52.17, 21–23</w:t>
        </w:r>
      </w:hyperlink>
      <w:r>
        <w:t>).</w:t>
      </w:r>
    </w:p>
    <w:p>
      <w:r/>
      <w:r>
        <w:t xml:space="preserve">L'autel de bronze du sacrifice devant le vestibule n'est pas mentionné dans </w:t>
      </w:r>
      <w:hyperlink r:id="rId12436">
        <w:r>
          <w:rPr>
            <w:color w:val="0000EE"/>
            <w:u w:val="single"/>
          </w:rPr>
          <w:t>1 Rois 7</w:t>
        </w:r>
      </w:hyperlink>
      <w:r>
        <w:t>. Cependant, il est mentionné lors de la dédicace du Temple et par la suite (</w:t>
      </w:r>
      <w:hyperlink r:id="rId14260">
        <w:r>
          <w:rPr>
            <w:color w:val="0000EE"/>
            <w:u w:val="single"/>
          </w:rPr>
          <w:t>1R 8.22, 54, 64</w:t>
        </w:r>
      </w:hyperlink>
      <w:r>
        <w:t xml:space="preserve"> ; </w:t>
      </w:r>
      <w:hyperlink r:id="rId14261">
        <w:r>
          <w:rPr>
            <w:color w:val="0000EE"/>
            <w:u w:val="single"/>
          </w:rPr>
          <w:t>9.25</w:t>
        </w:r>
      </w:hyperlink>
      <w:r>
        <w:t>) et se trouve alors manifestement dans le parvis intérieur. Ses dimensions étaient de 9 mètres carrés et de 4,5 mètres de hauteur (</w:t>
      </w:r>
      <w:hyperlink r:id="rId14166">
        <w:r>
          <w:rPr>
            <w:color w:val="0000EE"/>
            <w:u w:val="single"/>
          </w:rPr>
          <w:t>2Ch 4.1</w:t>
        </w:r>
      </w:hyperlink>
      <w:r>
        <w:t xml:space="preserve">). Compte tenu de son poids, il a probablement été coulé en sections à la fonderie de Salomon dans la vallée de la plaine du Jourdain (v. </w:t>
      </w:r>
      <w:hyperlink r:id="rId14262">
        <w:r>
          <w:rPr>
            <w:color w:val="0000EE"/>
            <w:u w:val="single"/>
          </w:rPr>
          <w:t>17–18</w:t>
        </w:r>
      </w:hyperlink>
      <w:r>
        <w:t>), puis transporté sur le site du Temple pour être assemblé.</w:t>
      </w:r>
    </w:p>
    <w:p>
      <w:r/>
      <w:r>
        <w:t>L'élément le plus frappant du parvis intérieur était probablement la « mer de bronze », un énorme réservoir rond en airain (ou bronze) de 8 centimètres d'épaisseur, 2,3 mètres de hauteur et 4,5 mètres de diamètre (</w:t>
      </w:r>
      <w:hyperlink r:id="rId12427">
        <w:r>
          <w:rPr>
            <w:color w:val="0000EE"/>
            <w:u w:val="single"/>
          </w:rPr>
          <w:t>1R 7.23–26</w:t>
        </w:r>
      </w:hyperlink>
      <w:r>
        <w:t>). Son rebord s'évasait comme un lys (</w:t>
      </w:r>
      <w:hyperlink r:id="rId14263">
        <w:r>
          <w:rPr>
            <w:color w:val="0000EE"/>
            <w:u w:val="single"/>
          </w:rPr>
          <w:t>2Ch 4.2–5</w:t>
        </w:r>
      </w:hyperlink>
      <w:r>
        <w:t xml:space="preserve">). Le réservoir était soutenu par 12 bœufs en bronze, quatre de chaque côté, et avait deux rangées de décoration, peut-être des calebasses ou des grenades, sous le rebord. Sa capacité était de 38 000 à 45 500 litres. La mer de bronze était utilisée pour les ablutions sacerdotales (v. </w:t>
      </w:r>
      <w:hyperlink r:id="rId14264">
        <w:r>
          <w:rPr>
            <w:color w:val="0000EE"/>
            <w:u w:val="single"/>
          </w:rPr>
          <w:t>6</w:t>
        </w:r>
      </w:hyperlink>
      <w:r>
        <w:t>). On pense donc qu'il y avait une sorte de plateforme pour y accéder, car le rebord de ce vaste bassin aurait été à environ 4,5 mètres au-dessus du niveau du sol.</w:t>
      </w:r>
    </w:p>
    <w:p>
      <w:r/>
      <w:r>
        <w:t>Hiram a également construit dix grandes cuves, montées sur des supports mobiles et placées en deux groupes de cinq, sur les côtés nord et sud du parvis intérieur (</w:t>
      </w:r>
      <w:hyperlink r:id="rId14265">
        <w:r>
          <w:rPr>
            <w:color w:val="0000EE"/>
            <w:u w:val="single"/>
          </w:rPr>
          <w:t>1R 7.27–39</w:t>
        </w:r>
      </w:hyperlink>
      <w:r>
        <w:t>). Les supports étaient en fait des boîtes de bronze d'environ 2 mètres carrés et 1,5 mètre de hauteur, avec un rebord d'environ 25 centimètres autour du bord supérieur. Chaque coin était attaché à des poteaux renforcés auxquels des essieux étaient fixés. Les roues à quatre rayons avaient une hauteur de 70 centimètres. Dans chaque support s'insérait un bassin contenant environ 850 litres d'eau, utilisée pour laver les animaux sacrificiels (</w:t>
      </w:r>
      <w:hyperlink r:id="rId14264">
        <w:r>
          <w:rPr>
            <w:color w:val="0000EE"/>
            <w:u w:val="single"/>
          </w:rPr>
          <w:t>2Ch 4.6</w:t>
        </w:r>
      </w:hyperlink>
      <w:r>
        <w:t xml:space="preserve">). Chacun des bassins était probablement placé à côté de l'une des dix tables servant à écorcher et à préparer les animaux sacrificiels (v. </w:t>
      </w:r>
      <w:hyperlink r:id="rId14254">
        <w:r>
          <w:rPr>
            <w:color w:val="0000EE"/>
            <w:u w:val="single"/>
          </w:rPr>
          <w:t>8</w:t>
        </w:r>
      </w:hyperlink>
      <w:r>
        <w:t>). Des articles supplémentaires, tels que des pots, des pelles et des bassins, tous en airain (bronze), ont également été fabriqués (</w:t>
      </w:r>
      <w:hyperlink r:id="rId14266">
        <w:r>
          <w:rPr>
            <w:color w:val="0000EE"/>
            <w:u w:val="single"/>
          </w:rPr>
          <w:t>1R 7.40, 45</w:t>
        </w:r>
      </w:hyperlink>
      <w:r>
        <w:t>).</w:t>
      </w:r>
    </w:p>
    <w:p>
      <w:pPr>
        <w:pStyle w:val="Heading4"/>
      </w:pPr>
      <w:r>
        <w:t>La dédicace</w:t>
      </w:r>
    </w:p>
    <w:p>
      <w:r/>
      <w:r>
        <w:t>Onze mois s'écoulent entre l'achèvement du Temple et sa dédicace (</w:t>
      </w:r>
      <w:hyperlink r:id="rId2137">
        <w:r>
          <w:rPr>
            <w:color w:val="0000EE"/>
            <w:u w:val="single"/>
          </w:rPr>
          <w:t>1R 6.38</w:t>
        </w:r>
      </w:hyperlink>
      <w:r>
        <w:t xml:space="preserve"> ; </w:t>
      </w:r>
      <w:hyperlink r:id="rId2136">
        <w:r>
          <w:rPr>
            <w:color w:val="0000EE"/>
            <w:u w:val="single"/>
          </w:rPr>
          <w:t>8.2</w:t>
        </w:r>
      </w:hyperlink>
      <w:r>
        <w:t>), pendant lesquels les principaux éléments du mobilier sont mis en place. La dédicace elle-même a lieu au septième mois, vraisemblablement en lien avec la fête des Tabernacles et le Jour des Expiations (</w:t>
      </w:r>
      <w:hyperlink r:id="rId14267">
        <w:r>
          <w:rPr>
            <w:color w:val="0000EE"/>
            <w:u w:val="single"/>
          </w:rPr>
          <w:t>Lv 23.23–36</w:t>
        </w:r>
      </w:hyperlink>
      <w:r>
        <w:t>). L'arche de l'alliance est amenée à son lieu de repos définitif (</w:t>
      </w:r>
      <w:hyperlink r:id="rId14268">
        <w:r>
          <w:rPr>
            <w:color w:val="0000EE"/>
            <w:u w:val="single"/>
          </w:rPr>
          <w:t>1R 8.3–4</w:t>
        </w:r>
      </w:hyperlink>
      <w:r>
        <w:t>). Malgré sa taille, le parvis intérieur est inadéquat pour le grand nombre de bêtes sacrifiées à cette occasion (</w:t>
      </w:r>
      <w:hyperlink r:id="rId14269">
        <w:r>
          <w:rPr>
            <w:color w:val="0000EE"/>
            <w:u w:val="single"/>
          </w:rPr>
          <w:t>1R 8.62–64</w:t>
        </w:r>
      </w:hyperlink>
      <w:r>
        <w:t xml:space="preserve"> ; </w:t>
      </w:r>
      <w:hyperlink r:id="rId14270">
        <w:r>
          <w:rPr>
            <w:color w:val="0000EE"/>
            <w:u w:val="single"/>
          </w:rPr>
          <w:t>2Ch 7.7</w:t>
        </w:r>
      </w:hyperlink>
      <w:r>
        <w:t>).</w:t>
      </w:r>
    </w:p>
    <w:p>
      <w:r/>
      <w:r>
        <w:t>Les techniques de construction les plus sophistiquées de l'époque ont été utilisées pour le Temple. Aucune dépense n'a été épargnée non seulement pour sa construction, mais aussi pour son ornementation et son équipement. Pourtant, Salomon avoue volontiers l'insuffisance totale du Temple à abriter le Dieu éternel (</w:t>
      </w:r>
      <w:hyperlink r:id="rId2678">
        <w:r>
          <w:rPr>
            <w:color w:val="0000EE"/>
            <w:u w:val="single"/>
          </w:rPr>
          <w:t>1R 8.27</w:t>
        </w:r>
      </w:hyperlink>
      <w:r>
        <w:t>). Sa prière souligne également la tendance d'Israël à abandonner le Seigneur et le contraste entre la nation et Dieu, qui, bien que juge juste, est aussi miséricordieux et fidèle. Le point culminant des événements survient lorsque le feu du ciel consume les sacrifices et que la gloire de Dieu (</w:t>
      </w:r>
      <w:r>
        <w:rPr>
          <w:i/>
        </w:rPr>
        <w:t>shekinah</w:t>
      </w:r>
      <w:r>
        <w:t>) remplit le Temple (</w:t>
      </w:r>
      <w:hyperlink r:id="rId8607">
        <w:r>
          <w:rPr>
            <w:color w:val="0000EE"/>
            <w:u w:val="single"/>
          </w:rPr>
          <w:t>2Ch 7.1–3</w:t>
        </w:r>
      </w:hyperlink>
      <w:r>
        <w:t>).</w:t>
      </w:r>
    </w:p>
    <w:p>
      <w:pPr>
        <w:pStyle w:val="Heading4"/>
      </w:pPr>
      <w:r>
        <w:t>Le temple de Salomon jusqu'à sa destruction</w:t>
      </w:r>
    </w:p>
    <w:p>
      <w:r/>
      <w:r>
        <w:t>Comme la plupart des sanctuaires antiques, ce Temple est devenu un trésor de richesse nationale et, en tant que tel, a souvent été la cible d'attaques. Schischak, roi d'Égypte, le pille dans les cinq ans qui suivent la mort de Salomon (</w:t>
      </w:r>
      <w:hyperlink r:id="rId14271">
        <w:r>
          <w:rPr>
            <w:color w:val="0000EE"/>
            <w:u w:val="single"/>
          </w:rPr>
          <w:t>1R 14.25–38</w:t>
        </w:r>
      </w:hyperlink>
      <w:r>
        <w:t>). Peu de temps après, le roi Asa (910–869 av. J.‑C.) épuise ses trésors d'or et d'argent pour payer les Syriens afin qu'ils combattent son oppresseur, Baescha (908–886 av. J.‑C.), roi d'Israël (</w:t>
      </w:r>
      <w:hyperlink r:id="rId14272">
        <w:r>
          <w:rPr>
            <w:color w:val="0000EE"/>
            <w:u w:val="single"/>
          </w:rPr>
          <w:t>15.16–19</w:t>
        </w:r>
      </w:hyperlink>
      <w:r>
        <w:t>). Joas, roi de Juda (835–796 av. J.‑C.), est caché dans le Temple des yeux de la cruelle Athalie pendant sa jeunesse (</w:t>
      </w:r>
      <w:hyperlink r:id="rId14273">
        <w:r>
          <w:rPr>
            <w:color w:val="0000EE"/>
            <w:u w:val="single"/>
          </w:rPr>
          <w:t>2R 11</w:t>
        </w:r>
      </w:hyperlink>
      <w:r>
        <w:t>). Il entreprend la réparation du Temple après avoir protesté contre le détournement des dons par les sacrificateurs (</w:t>
      </w:r>
      <w:hyperlink r:id="rId14274">
        <w:r>
          <w:rPr>
            <w:color w:val="0000EE"/>
            <w:u w:val="single"/>
          </w:rPr>
          <w:t>12.4–16</w:t>
        </w:r>
      </w:hyperlink>
      <w:r>
        <w:t>). Pourtant, après la mort de Jehojada, le souverain sacrificateur, Joas est lui-même influencé par ses nobles (</w:t>
      </w:r>
      <w:hyperlink r:id="rId14275">
        <w:r>
          <w:rPr>
            <w:color w:val="0000EE"/>
            <w:u w:val="single"/>
          </w:rPr>
          <w:t>2Ch 24.15–19</w:t>
        </w:r>
      </w:hyperlink>
      <w:r>
        <w:t>) et se détourne de Dieu. Pour punir son apostasie, le Seigneur permet aux Syriens de l'attaquer, et Joas utilise les trésors du Temple pour les en dissuader (</w:t>
      </w:r>
      <w:hyperlink r:id="rId3547">
        <w:r>
          <w:rPr>
            <w:color w:val="0000EE"/>
            <w:u w:val="single"/>
          </w:rPr>
          <w:t>2R 12.17–18</w:t>
        </w:r>
      </w:hyperlink>
      <w:r>
        <w:t xml:space="preserve">). </w:t>
      </w:r>
    </w:p>
    <w:p>
      <w:r/>
      <w:r>
        <w:t>Joas, roi d'Israël (798–782 av. J.‑C.), après avoir brisé l'orgueil d'Amatsia, roi de Juda (796–767 av. J.‑C.), dépouille de nouveau le Temple (</w:t>
      </w:r>
      <w:hyperlink r:id="rId7200">
        <w:r>
          <w:rPr>
            <w:color w:val="0000EE"/>
            <w:u w:val="single"/>
          </w:rPr>
          <w:t>14.8–14</w:t>
        </w:r>
      </w:hyperlink>
      <w:r>
        <w:t>). Plus tard, le roi Achaz (735–715 av. J.‑C.) utilise les ressources restantes du Temple pour obtenir le soutien des Assyriens (</w:t>
      </w:r>
      <w:hyperlink r:id="rId4743">
        <w:r>
          <w:rPr>
            <w:color w:val="0000EE"/>
            <w:u w:val="single"/>
          </w:rPr>
          <w:t>16.7–9</w:t>
        </w:r>
      </w:hyperlink>
      <w:r>
        <w:t>). Malgré cela, il doit finalement se soumettre complètement à eux.</w:t>
      </w:r>
    </w:p>
    <w:p>
      <w:r/>
      <w:r>
        <w:t>Par la suite, Ézéchias (715–686 av. J.‑C.), l'un des grands rois réformateurs, rénove complètement le Temple et restaure le culte, qui a été abandonné pendant les dernières années d'Achaz (</w:t>
      </w:r>
      <w:hyperlink r:id="rId14276">
        <w:r>
          <w:rPr>
            <w:color w:val="0000EE"/>
            <w:u w:val="single"/>
          </w:rPr>
          <w:t xml:space="preserve">2Ch 29.1–19 </w:t>
        </w:r>
      </w:hyperlink>
      <w:r>
        <w:t xml:space="preserve">; </w:t>
      </w:r>
      <w:hyperlink r:id="rId14277">
        <w:r>
          <w:rPr>
            <w:color w:val="0000EE"/>
            <w:u w:val="single"/>
          </w:rPr>
          <w:t>31.9–21</w:t>
        </w:r>
      </w:hyperlink>
      <w:r>
        <w:t>). Manassé (696–642 av. J.‑C.), cependant, adopte une politique contraire à celle de son père Ézéchias. Il introduit des pratiques cultuelles cananéennes et mésopotamiennes dans le Temple (</w:t>
      </w:r>
      <w:hyperlink r:id="rId14278">
        <w:r>
          <w:rPr>
            <w:color w:val="0000EE"/>
            <w:u w:val="single"/>
          </w:rPr>
          <w:t>2R 21.3–7</w:t>
        </w:r>
      </w:hyperlink>
      <w:r>
        <w:t>). Son expérience de conversion, qui a probablement lieu à la fin de son règne, aboutit à certaines mesures de réforme dans le Temple (</w:t>
      </w:r>
      <w:hyperlink r:id="rId14279">
        <w:r>
          <w:rPr>
            <w:color w:val="0000EE"/>
            <w:u w:val="single"/>
          </w:rPr>
          <w:t>2Ch 33.12–19</w:t>
        </w:r>
      </w:hyperlink>
      <w:r>
        <w:t>). Ces réformes n'empêchent cependant pas l'évaluation de son règne comme la tache la plus sombre de l'histoire de Juda (</w:t>
      </w:r>
      <w:hyperlink r:id="rId14280">
        <w:r>
          <w:rPr>
            <w:color w:val="0000EE"/>
            <w:u w:val="single"/>
          </w:rPr>
          <w:t>2R 21.10–16</w:t>
        </w:r>
      </w:hyperlink>
      <w:r>
        <w:t>).</w:t>
      </w:r>
    </w:p>
    <w:p>
      <w:r/>
      <w:r>
        <w:t>Le petit-fils de Manassé, Josias (640–609 av. J.‑C.), est le deuxième grand roi réformateur. Il organise la réparation du Temple en 622 av. J.‑C. C'est à ce moment-là que le livre de la loi, qui avait été perdu (presque certainement le livre du Deutéronome) est découvert (</w:t>
      </w:r>
      <w:hyperlink r:id="rId14281">
        <w:r>
          <w:rPr>
            <w:color w:val="0000EE"/>
            <w:u w:val="single"/>
          </w:rPr>
          <w:t>2R 22.3–13</w:t>
        </w:r>
      </w:hyperlink>
      <w:r>
        <w:t>). La réforme de Josias prend une nouvelle dimension et un sens d'urgence lui est donné (</w:t>
      </w:r>
      <w:hyperlink r:id="rId14282">
        <w:r>
          <w:rPr>
            <w:color w:val="0000EE"/>
            <w:u w:val="single"/>
          </w:rPr>
          <w:t>22.14–23.3</w:t>
        </w:r>
      </w:hyperlink>
      <w:r>
        <w:t>). Cette réforme comprend une purge (épuration) complète de tous les éléments idolâtres du Temple (</w:t>
      </w:r>
      <w:hyperlink r:id="rId14283">
        <w:r>
          <w:rPr>
            <w:color w:val="0000EE"/>
            <w:u w:val="single"/>
          </w:rPr>
          <w:t>23.4–12</w:t>
        </w:r>
      </w:hyperlink>
      <w:r>
        <w:t xml:space="preserve">) d'une part et la restauration des fêtes traditionnelles d'autre part. </w:t>
      </w:r>
    </w:p>
    <w:p>
      <w:r/>
      <w:r>
        <w:t>Malheureusement, cependant, la réforme de Josias meurt avec lui. La corruption de Juda continue sous le roi apostat Jojakim (609–598 av. J.‑C.). C'est probablement à cette époque que Jérémie, dans une de ses plus célèbres déclarations prophétiques, annonce la destruction du Temple (</w:t>
      </w:r>
      <w:hyperlink r:id="rId14284">
        <w:r>
          <w:rPr>
            <w:color w:val="0000EE"/>
            <w:u w:val="single"/>
          </w:rPr>
          <w:t>Jr 7.1–8.3</w:t>
        </w:r>
      </w:hyperlink>
      <w:r>
        <w:t xml:space="preserve"> ; </w:t>
      </w:r>
      <w:hyperlink r:id="rId14285">
        <w:r>
          <w:rPr>
            <w:color w:val="0000EE"/>
            <w:u w:val="single"/>
          </w:rPr>
          <w:t>26.1–19</w:t>
        </w:r>
      </w:hyperlink>
      <w:r>
        <w:t xml:space="preserve">). Cela lui vaut la haine des chefs religieux. </w:t>
      </w:r>
    </w:p>
    <w:p>
      <w:r/>
      <w:r>
        <w:t>Finalement, lors des représailles de Nebucadnetsar après la rébellion de Jojakim en 601 av. J.‑C. (</w:t>
      </w:r>
      <w:hyperlink r:id="rId14286">
        <w:r>
          <w:rPr>
            <w:color w:val="0000EE"/>
            <w:u w:val="single"/>
          </w:rPr>
          <w:t>2R 24.1–4</w:t>
        </w:r>
      </w:hyperlink>
      <w:r>
        <w:t>), Jérusalem est capturée (596 av. J.‑C.) et de nombreux trésors du Temple sont emmenés à Babylone (</w:t>
      </w:r>
      <w:hyperlink r:id="rId14287">
        <w:r>
          <w:rPr>
            <w:color w:val="0000EE"/>
            <w:u w:val="single"/>
          </w:rPr>
          <w:t>2Ch 36.7</w:t>
        </w:r>
      </w:hyperlink>
      <w:r>
        <w:t>). Le Temple lui-même semble avoir échappé aux dommages, mais lorsque Juda se rebelle à nouveau sous Sédécias (597–586 av. J.‑C.), il est finalement détruit (</w:t>
      </w:r>
      <w:hyperlink r:id="rId14288">
        <w:r>
          <w:rPr>
            <w:color w:val="0000EE"/>
            <w:u w:val="single"/>
          </w:rPr>
          <w:t>2R 25.8–10</w:t>
        </w:r>
      </w:hyperlink>
      <w:r>
        <w:t>). Les trésors restants du Temple sont emportés.</w:t>
      </w:r>
    </w:p>
    <w:p>
      <w:pPr>
        <w:pStyle w:val="Heading3"/>
      </w:pPr>
      <w:r>
        <w:t>Le temple de Zorobabel</w:t>
      </w:r>
    </w:p>
    <w:p>
      <w:pPr>
        <w:pStyle w:val="Heading4"/>
      </w:pPr>
      <w:r>
        <w:t>Construction</w:t>
      </w:r>
    </w:p>
    <w:p>
      <w:r/>
      <w:r>
        <w:t>Malgré la dévastation du Temple, son site reste un lieu de pèlerinage pendant l'exil (</w:t>
      </w:r>
      <w:hyperlink r:id="rId14289">
        <w:r>
          <w:rPr>
            <w:color w:val="0000EE"/>
            <w:u w:val="single"/>
          </w:rPr>
          <w:t>Jr 41.4–5</w:t>
        </w:r>
      </w:hyperlink>
      <w:r>
        <w:t>). En 538 av. J.‑C., le roi perse Cyrus, bien plus libéral dans sa politique que les souverains des empires précédents, permet aux Juifs de retourner en Juda. Il autorise également la reconstruction du Temple et la finance. Dans le livre d'Esdras, le décret d'autorisation est préservé sous deux formes : la proclamation en tant que telle (</w:t>
      </w:r>
      <w:hyperlink r:id="rId6764">
        <w:r>
          <w:rPr>
            <w:color w:val="0000EE"/>
            <w:u w:val="single"/>
          </w:rPr>
          <w:t>Esd 1.2–4</w:t>
        </w:r>
      </w:hyperlink>
      <w:r>
        <w:t>) et un rapport plus général dans les archives nationales. Ce rapport indique les mesures générales du Temple et le montant de l'aide promise par la Perse (</w:t>
      </w:r>
      <w:hyperlink r:id="rId14290">
        <w:r>
          <w:rPr>
            <w:color w:val="0000EE"/>
            <w:u w:val="single"/>
          </w:rPr>
          <w:t>6.1–5</w:t>
        </w:r>
      </w:hyperlink>
      <w:r>
        <w:t xml:space="preserve">). </w:t>
      </w:r>
    </w:p>
    <w:p>
      <w:r/>
      <w:r>
        <w:t>Il est probable que seule une minorité de Juifs ait choisi de quitter le confort relatif de la Mésopotamie pour affronter les dangers d'un long voyage retour vers leur patrie désolée. Selon le livre d'Esdras, 42 360 individus dévoués et leurs serviteurs (</w:t>
      </w:r>
      <w:hyperlink r:id="rId6911">
        <w:r>
          <w:rPr>
            <w:color w:val="0000EE"/>
            <w:u w:val="single"/>
          </w:rPr>
          <w:t>2.64–65</w:t>
        </w:r>
      </w:hyperlink>
      <w:r>
        <w:t>) répondent à cet appel sous la direction de Scheschbatsar (</w:t>
      </w:r>
      <w:hyperlink r:id="rId7235">
        <w:r>
          <w:rPr>
            <w:color w:val="0000EE"/>
            <w:u w:val="single"/>
          </w:rPr>
          <w:t>1.8–11</w:t>
        </w:r>
      </w:hyperlink>
      <w:r>
        <w:t xml:space="preserve"> ; </w:t>
      </w:r>
      <w:hyperlink r:id="rId14291">
        <w:r>
          <w:rPr>
            <w:color w:val="0000EE"/>
            <w:u w:val="single"/>
          </w:rPr>
          <w:t>5.14–16</w:t>
        </w:r>
      </w:hyperlink>
      <w:r>
        <w:t>) et de Zorobabel (</w:t>
      </w:r>
      <w:hyperlink r:id="rId7236">
        <w:r>
          <w:rPr>
            <w:color w:val="0000EE"/>
            <w:u w:val="single"/>
          </w:rPr>
          <w:t>2.2</w:t>
        </w:r>
      </w:hyperlink>
      <w:r>
        <w:t xml:space="preserve"> ; </w:t>
      </w:r>
      <w:hyperlink r:id="rId14292">
        <w:r>
          <w:rPr>
            <w:color w:val="0000EE"/>
            <w:u w:val="single"/>
          </w:rPr>
          <w:t>3.2, 8</w:t>
        </w:r>
      </w:hyperlink>
      <w:r>
        <w:t xml:space="preserve"> ; </w:t>
      </w:r>
      <w:hyperlink r:id="rId14293">
        <w:r>
          <w:rPr>
            <w:color w:val="0000EE"/>
            <w:u w:val="single"/>
          </w:rPr>
          <w:t>4.2</w:t>
        </w:r>
      </w:hyperlink>
      <w:r>
        <w:t xml:space="preserve">). </w:t>
      </w:r>
    </w:p>
    <w:p>
      <w:r/>
      <w:r>
        <w:t>Avec grand enthousiasme, l'autel est tout d'abord reconstruit sur le site du Temple et le modèle traditionnel de culte est rétabli (</w:t>
      </w:r>
      <w:hyperlink r:id="rId14294">
        <w:r>
          <w:rPr>
            <w:color w:val="0000EE"/>
            <w:u w:val="single"/>
          </w:rPr>
          <w:t>3.1–6</w:t>
        </w:r>
      </w:hyperlink>
      <w:r>
        <w:t>). Ensuite, en utilisant l'aide perse et leurs propres dons volontaires (</w:t>
      </w:r>
      <w:hyperlink r:id="rId12111">
        <w:r>
          <w:rPr>
            <w:color w:val="0000EE"/>
            <w:u w:val="single"/>
          </w:rPr>
          <w:t>2.68–69</w:t>
        </w:r>
      </w:hyperlink>
      <w:r>
        <w:t xml:space="preserve"> ; </w:t>
      </w:r>
      <w:hyperlink r:id="rId2411">
        <w:r>
          <w:rPr>
            <w:color w:val="0000EE"/>
            <w:u w:val="single"/>
          </w:rPr>
          <w:t>3.7</w:t>
        </w:r>
      </w:hyperlink>
      <w:r>
        <w:t>), les Juifs commencent à planifier le Second Temple et à en poser les fondations (</w:t>
      </w:r>
      <w:hyperlink r:id="rId14295">
        <w:r>
          <w:rPr>
            <w:color w:val="0000EE"/>
            <w:u w:val="single"/>
          </w:rPr>
          <w:t>3.7–13</w:t>
        </w:r>
      </w:hyperlink>
      <w:r>
        <w:t>). L'élan initial s'éteint rapidement à cause de l'opposition locale (</w:t>
      </w:r>
      <w:hyperlink r:id="rId14296">
        <w:r>
          <w:rPr>
            <w:color w:val="0000EE"/>
            <w:u w:val="single"/>
          </w:rPr>
          <w:t>4.1–4, 24</w:t>
        </w:r>
      </w:hyperlink>
      <w:r>
        <w:t>), de préoccupations égoïstes et de mauvaises récoltes (</w:t>
      </w:r>
      <w:hyperlink r:id="rId14297">
        <w:r>
          <w:rPr>
            <w:color w:val="0000EE"/>
            <w:u w:val="single"/>
          </w:rPr>
          <w:t>Ag 1.2–11</w:t>
        </w:r>
      </w:hyperlink>
      <w:r>
        <w:t xml:space="preserve">). </w:t>
      </w:r>
    </w:p>
    <w:p>
      <w:r/>
      <w:r>
        <w:t>En 520 av. J.‑C. (</w:t>
      </w:r>
      <w:hyperlink r:id="rId2575">
        <w:r>
          <w:rPr>
            <w:color w:val="0000EE"/>
            <w:u w:val="single"/>
          </w:rPr>
          <w:t>Esd 4.24</w:t>
        </w:r>
      </w:hyperlink>
      <w:r>
        <w:t xml:space="preserve"> ; </w:t>
      </w:r>
      <w:hyperlink r:id="rId404">
        <w:r>
          <w:rPr>
            <w:color w:val="0000EE"/>
            <w:u w:val="single"/>
          </w:rPr>
          <w:t>Ag 1.1</w:t>
        </w:r>
      </w:hyperlink>
      <w:r>
        <w:t xml:space="preserve"> ; </w:t>
      </w:r>
      <w:hyperlink r:id="rId6913">
        <w:r>
          <w:rPr>
            <w:color w:val="0000EE"/>
            <w:u w:val="single"/>
          </w:rPr>
          <w:t>Za 1.1</w:t>
        </w:r>
      </w:hyperlink>
      <w:r>
        <w:t>), inspirés par les prophètes Aggée et Zacharie, les Juifs sous Zorobabel et Josué le souverain sacrificateur se remettent au travail. Les travaux continuent malgré la méfiance officielle et l'opposition directe. Le Temple est achevé et dédié en 515 av. J.‑C. (</w:t>
      </w:r>
      <w:hyperlink r:id="rId14298">
        <w:r>
          <w:rPr>
            <w:color w:val="0000EE"/>
            <w:u w:val="single"/>
          </w:rPr>
          <w:t>Esd 5.1–6.22</w:t>
        </w:r>
      </w:hyperlink>
      <w:r>
        <w:t>).</w:t>
      </w:r>
    </w:p>
    <w:p>
      <w:r/>
      <w:r>
        <w:t>Peu de choses sont connues des caractéristiques physiques du temple de Zorobabel. La conclusion qu'il était largement inférieur au temple de Salomon (</w:t>
      </w:r>
      <w:hyperlink r:id="rId440">
        <w:r>
          <w:rPr>
            <w:color w:val="0000EE"/>
            <w:u w:val="single"/>
          </w:rPr>
          <w:t>Ag 2.3</w:t>
        </w:r>
      </w:hyperlink>
      <w:r>
        <w:t xml:space="preserve">) se rapporte probablement à une étape en début de reconstruction. En réalité, le Second Temple a duré plus de 500 ans. Les dimensions notées dans </w:t>
      </w:r>
      <w:hyperlink r:id="rId14299">
        <w:r>
          <w:rPr>
            <w:color w:val="0000EE"/>
            <w:u w:val="single"/>
          </w:rPr>
          <w:t>Esdras 6.3</w:t>
        </w:r>
      </w:hyperlink>
      <w:r>
        <w:t xml:space="preserve"> sont incomplètes ; le temple de Zorobabel était sans doute de la même taille que celui de Salomon et a probablement été construit sur les mêmes fondations. La technique de construction semble avoir suivi la méthode de l'original, avec des couches de bois offrant un cadre pour les sections de maçonnerie (v. </w:t>
      </w:r>
      <w:hyperlink r:id="rId14300">
        <w:r>
          <w:rPr>
            <w:color w:val="0000EE"/>
            <w:u w:val="single"/>
          </w:rPr>
          <w:t>4</w:t>
        </w:r>
      </w:hyperlink>
      <w:r>
        <w:t>). De toute évidence, il y avait des logements auxiliaires, probablement similaires aux salles latérales du temple de Salomon (</w:t>
      </w:r>
      <w:hyperlink r:id="rId14301">
        <w:r>
          <w:rPr>
            <w:color w:val="0000EE"/>
            <w:u w:val="single"/>
          </w:rPr>
          <w:t>Esd 8.29</w:t>
        </w:r>
      </w:hyperlink>
      <w:r>
        <w:t xml:space="preserve"> ; </w:t>
      </w:r>
      <w:hyperlink r:id="rId14302">
        <w:r>
          <w:rPr>
            <w:color w:val="0000EE"/>
            <w:u w:val="single"/>
          </w:rPr>
          <w:t>Né 12.44</w:t>
        </w:r>
      </w:hyperlink>
      <w:r>
        <w:t xml:space="preserve"> ; </w:t>
      </w:r>
      <w:hyperlink r:id="rId14303">
        <w:r>
          <w:rPr>
            <w:color w:val="0000EE"/>
            <w:u w:val="single"/>
          </w:rPr>
          <w:t>13.4–5</w:t>
        </w:r>
      </w:hyperlink>
      <w:r>
        <w:t>). Si l'aide perse a effectivement été fournie comme promis (</w:t>
      </w:r>
      <w:hyperlink r:id="rId14304">
        <w:r>
          <w:rPr>
            <w:color w:val="0000EE"/>
            <w:u w:val="single"/>
          </w:rPr>
          <w:t>Esd 6.8–12</w:t>
        </w:r>
      </w:hyperlink>
      <w:r>
        <w:t>), alors le Second Temple était une structure plus imposante et plus splendide qu'on ne le suppose généralement.</w:t>
      </w:r>
    </w:p>
    <w:p>
      <w:pPr>
        <w:pStyle w:val="Heading4"/>
      </w:pPr>
      <w:r>
        <w:t>Histoire du temple de Zorobabel</w:t>
      </w:r>
    </w:p>
    <w:p>
      <w:r/>
      <w:r>
        <w:t>Plusieurs références dans les Apocryphes, les écrits pseudépigraphes, les écrits rabbiniques et les écrits de l'historien Falvius Josèphe aident à comprendre l'histoire de ce temple et fournissent plus de détails sur sa structure et son aménagement. Josèphe, citant Hécatée d'Abdère (4</w:t>
      </w:r>
      <w:r>
        <w:t>ᵉ</w:t>
      </w:r>
      <w:r>
        <w:t xml:space="preserve"> siècle av. J.‑C.), déclare que c'était un grand bâtiment dans une enceinte d'environ 153 mètres sur 46, entouré d'un mur de pierre, avec un autel de pierres non taillées de la même taille que l'autel de bronze de Salomon (voir </w:t>
      </w:r>
      <w:hyperlink r:id="rId14166">
        <w:r>
          <w:rPr>
            <w:color w:val="0000EE"/>
            <w:u w:val="single"/>
          </w:rPr>
          <w:t>2Ch 4.1</w:t>
        </w:r>
      </w:hyperlink>
      <w:r>
        <w:t>). À l'intérieur du sanctuaire se trouvait un autel d'encens en or et un chandelier dont la flamme brûlait continuellement. Josèphe remarque également qu'Antiochus III (223–187 av. J.‑C.) a financièrement soutenu le Temple quand les Séleucides ont remplacé les Ptolémées comme maîtres de Jérusalem.</w:t>
      </w:r>
    </w:p>
    <w:p>
      <w:r/>
      <w:r>
        <w:t>Ben Sirach, au début du 2</w:t>
      </w:r>
      <w:r>
        <w:t>ᵉ</w:t>
      </w:r>
      <w:r>
        <w:t xml:space="preserve"> siècle av. J.‑C., fait l'éloge de Simon, fils d'Onias le souverain sacrificateur, pour son travail de fortification et de réparation de la zone du Temple. Le premier livre des Maccabées fournit des indications précieuses du sort du Temple pendant l'oppression sous Antiochus IV Épiphane (175–164 av. J.‑C.). Les livres des Maccabées racontent la célèbre profanation de l'autel des holocaustes (</w:t>
      </w:r>
      <w:hyperlink r:id="rId1486">
        <w:r>
          <w:rPr>
            <w:color w:val="0000EE"/>
            <w:u w:val="single"/>
          </w:rPr>
          <w:t>1 M 1.54</w:t>
        </w:r>
      </w:hyperlink>
      <w:r>
        <w:t>) et le pillage du chandelier d'or, de l'autel des parfums, de la table des offrandes, du voile et des autres trésors (</w:t>
      </w:r>
      <w:hyperlink r:id="rId14305">
        <w:r>
          <w:rPr>
            <w:color w:val="0000EE"/>
            <w:u w:val="single"/>
          </w:rPr>
          <w:t>2 M 5.15–16</w:t>
        </w:r>
      </w:hyperlink>
      <w:r>
        <w:t xml:space="preserve">; </w:t>
      </w:r>
      <w:hyperlink r:id="rId14306">
        <w:r>
          <w:rPr>
            <w:color w:val="0000EE"/>
            <w:u w:val="single"/>
          </w:rPr>
          <w:t>6.2–4</w:t>
        </w:r>
      </w:hyperlink>
      <w:r>
        <w:t>). Lorsque le Temple est repris et restauré, les Maccabées victorieux remplacent les objets pris par les Séleucides. L'autel des sacrifices, considéré comme tellement pollué et profané qu'il ne peut être purifié, est démoli et remplacé par un nouvel autel en pierre brute (</w:t>
      </w:r>
      <w:hyperlink r:id="rId14307">
        <w:r>
          <w:rPr>
            <w:color w:val="0000EE"/>
            <w:u w:val="single"/>
          </w:rPr>
          <w:t xml:space="preserve">1 M 4.36–61 </w:t>
        </w:r>
      </w:hyperlink>
      <w:r>
        <w:t xml:space="preserve">; </w:t>
      </w:r>
      <w:hyperlink r:id="rId14308">
        <w:r>
          <w:rPr>
            <w:color w:val="0000EE"/>
            <w:u w:val="single"/>
          </w:rPr>
          <w:t>2 M 10.1–9</w:t>
        </w:r>
      </w:hyperlink>
      <w:r>
        <w:t xml:space="preserve">). </w:t>
      </w:r>
    </w:p>
    <w:p>
      <w:r/>
      <w:r>
        <w:t>Il est clair que la zone du Temple est alors utilisée comme forteresse, à la fois en opposition à la garnison séleucide de Jérusalem pendant la période maccabéenne et aussi plus tard pendant les conflits de la période hasmonéenne. Lorsque Pompée prend Jérusalem vers 63 av. J.‑C., il entre dans le Temple pour affirmer son autorité mais ne le pille pas, montrant ainsi un certain égard.</w:t>
      </w:r>
    </w:p>
    <w:p>
      <w:r/>
      <w:r>
        <w:t>L'histoire du temple de Zorobabel prend fin lorsque Hérode, l'ayant soigneusement préservé de tout dommage majeur après avoir pris le contrôle de Jérusalem avec l'aide des Romains en 37 av. J.‑C., commence à le démanteler vers 21 av. J.‑C. pour préparer la construction du temple qui portera son nom.</w:t>
      </w:r>
    </w:p>
    <w:p>
      <w:pPr>
        <w:pStyle w:val="Heading3"/>
      </w:pPr>
      <w:r>
        <w:t>Le temple d'Hérode</w:t>
      </w:r>
    </w:p>
    <w:p>
      <w:r/>
      <w:r>
        <w:t>En dehors de plus de 100 références dans le NT, nos principales sources d'information sur le temple d'Hérode proviennent de l'historien juif Flavius Josèphe et des Middot (section des écrits rabbiniques juifs). Il existe des différences de détail importantes entre les deux, excluant toute interprétation catégorique dans nos tentatives de représentation du temple. Étant donné que Josèphe était contemporain du Temple (il est né vers 37 apr. J.‑C. et est mort au début du 2</w:t>
      </w:r>
      <w:r>
        <w:t>ᵉ</w:t>
      </w:r>
      <w:r>
        <w:t xml:space="preserve"> siècle), il est probablement plus fiable que les Middot. Ces écrits rabbiniques datent d'environ 150 apr. J.‑C. et semblent parfois exagérer. La recherche archéologique est utile pour déterminer la position des murs extérieurs et des portes.</w:t>
      </w:r>
    </w:p>
    <w:p>
      <w:r/>
      <w:r>
        <w:t xml:space="preserve">Le motif de reconstruction du Temple d'Hérode était plus politique que religieux. En tant qu'Iduméen, il souhaitait apaiser ses sujets juifs en édifiant un sanctuaire aussi magnifique que celui de Salomon. Les Juifs craignaient que le site soit profané et que le Temple existant soit démoli et ne soit jamais reconstruit. Ces craintes ont été apaisées par la formation de 1 000 sacrificateurs comme maçons et par le rassemblement de matériaux avant le début des travaux. </w:t>
      </w:r>
    </w:p>
    <w:p>
      <w:r/>
      <w:r>
        <w:t xml:space="preserve">Le temple d'Hérode a suivi le plan en trois sections des temples précédents, bien que son portique ait été beaucoup plus grand. Le temple d'Hérode a également été construit dans le style architectural gréco-romain contemporain et doit donc être considéré comme distinct du temple de Zorobabel. </w:t>
      </w:r>
    </w:p>
    <w:p>
      <w:r/>
      <w:r>
        <w:t>Les travaux ont commencé en 20 av. J.‑C. Le sanctuaire principal a rapidement été construit (en dix ans, il est pleinement opérationnel), mais le projet dans son ensemble n'a été achevé qu'en 64 apr. J.‑C., seulement six ans avant d'être détruit par les Romains.</w:t>
      </w:r>
    </w:p>
    <w:p>
      <w:r/>
      <w:r>
        <w:t>Hérode a d'abord fait préparer le site en faisant dégager et niveler une zone d'environ 460 mètres dans l'axe nord-sud et d'environ 300 mètres dans l'axe est-ouest. Il a fallu tailler des sections de roche dans certaines zones et construire ou renforcer avec des décombres dans d'autres. D'importantes sections du mur d'enceinte, construites avec des blocs de pierre mesurant en moyenne 4,6 mètres de long sur 1,2 mètre de haut, subsistent encore. Certaines des pierres dans les coins du mur sud pèsent jusqu'à 63,5 tonnes.</w:t>
      </w:r>
    </w:p>
    <w:p>
      <w:r/>
      <w:r>
        <w:t xml:space="preserve">Le sanctuaire lui-même semble avoir été construit selon les mêmes dimensions que le temple de Salomon. Il était divisé en deux, avec d'une part le lieu saint, qui mesurait environ 18 mètres en hauteur et en longueur et 9 mètres en largeur, et d'autre part le Saint des saints, qui mesurait 9 mètres carrés. Il n'y avait pas de mobilier dans le Saint des saints, qui était séparé du lieu saint par un voile. Le lieu saint contenait le chandelier à sept branches, la table pour le pain de la Présence et l'autel des parfums. </w:t>
      </w:r>
    </w:p>
    <w:p>
      <w:r/>
      <w:r>
        <w:t>La principale différence par rapport au temple de Salomon était le portique, imposant, qui mesurait 46 mètres de largeur et de hauteur. À l'extérieur se trouvait une porte d'environ 9 mètres de largeur sur 12 mètres de hauteur, avec une porte intérieure d'environ la moitié de cette taille menant au sanctuaire. Avec les pièces vides au-dessus du Saint des saints et du lieu saint, la hauteur de toit était uniforme ou régulière, à 46 mètres. Des pointes dorées sur le toit décourageaient les oiseaux de se poser et de souiller la structure. Comme les temples précédents, le temple d'Hérode était orienté vers l'est et était entouré sur les autres côtés par trois étages de pièces s'élevant à une hauteur d'environ 18 mètres. La pierre blanche locale a été utilisée pour la construction du Temple, taillée en énormes blocs et finement polie.</w:t>
      </w:r>
    </w:p>
    <w:p>
      <w:r/>
      <w:r>
        <w:t xml:space="preserve">L'accès au portique se faisait par un escalier de 12 marches depuis le parvis des sacrificateurs. Placé au centre devant le portique, à environ 10 mètres, se trouvait l'autel du sacrifice. Fait de pierre brute, c'était une construction à plusieurs niveaux de 4,5 mètres de hauteur et d'environ 14,5 mètres carrés à la base. Les hommes israélites étaient autorisés à entrer dans cette zone une fois par an, pendant la fête des Tabernacles, pour faire le tour de l'autel du sacrifice. Sinon, ils étaient limités au parvis d'Israël. </w:t>
      </w:r>
    </w:p>
    <w:p>
      <w:r/>
      <w:r>
        <w:t>À l'est du parvis d'Israël se trouvait le parvis des femmes. Les deux parvis étaient séparés par un escalier de 15 marches et par une grande porte ornée, faite de bronze corinthien. C'est là que se trouvaient les coffres pour les offrandes destinées aux dépenses du Temple (</w:t>
      </w:r>
      <w:hyperlink r:id="rId14309">
        <w:r>
          <w:rPr>
            <w:color w:val="0000EE"/>
            <w:u w:val="single"/>
          </w:rPr>
          <w:t>Mc 12.41–44</w:t>
        </w:r>
      </w:hyperlink>
      <w:r>
        <w:t xml:space="preserve">). Le prochain parvis était le grand parvis extérieur des Gentils, qui entourait les parvis intérieurs et en était séparé par une balustrade et une série d'avertissements. Deux de ces avis ont été découverts, écrits en latin et en grec, interdisant l'entrée des Gentils dans les zones intérieures sous peine de mort. </w:t>
      </w:r>
    </w:p>
    <w:p>
      <w:r/>
      <w:r>
        <w:t>Ce parvis extérieur ou parvis des Gentils était largement utilisé. Juste à l'intérieur de ses murs se trouvait un portique, soutenu par quatre rangées de colonnes d'un peu plus de 12 mètres de haut du côté sud (le portique royal), et deux rangées de colonnes sur les autres côtés. Le portique oriental était connu sous le nom de « portique de Salomon » ou « colonnade de Salomon ». C'était là que se trouvaient les étals des changeurs de monnaie et des marchands, où le sanhédrin se réunissait, et où le Christ et les scribes enseignaient et débattaient (</w:t>
      </w:r>
      <w:hyperlink r:id="rId14310">
        <w:r>
          <w:rPr>
            <w:color w:val="0000EE"/>
            <w:u w:val="single"/>
          </w:rPr>
          <w:t xml:space="preserve">Mc 11.27 </w:t>
        </w:r>
      </w:hyperlink>
      <w:r>
        <w:t xml:space="preserve">; </w:t>
      </w:r>
      <w:hyperlink r:id="rId8864">
        <w:r>
          <w:rPr>
            <w:color w:val="0000EE"/>
            <w:u w:val="single"/>
          </w:rPr>
          <w:t xml:space="preserve">Lc 2.46 </w:t>
        </w:r>
      </w:hyperlink>
      <w:r>
        <w:t xml:space="preserve">; </w:t>
      </w:r>
      <w:hyperlink r:id="rId14311">
        <w:r>
          <w:rPr>
            <w:color w:val="0000EE"/>
            <w:u w:val="single"/>
          </w:rPr>
          <w:t xml:space="preserve">19.47 </w:t>
        </w:r>
      </w:hyperlink>
      <w:r>
        <w:t xml:space="preserve">; </w:t>
      </w:r>
      <w:hyperlink r:id="rId12433">
        <w:r>
          <w:rPr>
            <w:color w:val="0000EE"/>
            <w:u w:val="single"/>
          </w:rPr>
          <w:t>Jn 10.23</w:t>
        </w:r>
      </w:hyperlink>
      <w:r>
        <w:t xml:space="preserve">). </w:t>
      </w:r>
    </w:p>
    <w:p>
      <w:r/>
      <w:r>
        <w:t>C'est là aussi que l'Église naissante se réunissait avant d'être rejetée par un judaïsme hostile (</w:t>
      </w:r>
      <w:hyperlink r:id="rId12434">
        <w:r>
          <w:rPr>
            <w:color w:val="0000EE"/>
            <w:u w:val="single"/>
          </w:rPr>
          <w:t xml:space="preserve">Ac 3.11 </w:t>
        </w:r>
      </w:hyperlink>
      <w:r>
        <w:t xml:space="preserve">; </w:t>
      </w:r>
      <w:hyperlink r:id="rId12435">
        <w:r>
          <w:rPr>
            <w:color w:val="0000EE"/>
            <w:u w:val="single"/>
          </w:rPr>
          <w:t>5.12</w:t>
        </w:r>
      </w:hyperlink>
      <w:r>
        <w:t>). Juste au nord-ouest de l'enceinte du Temple se trouvait la forteresse d'Antonia, où résidait le gouverneur romain lorsqu'il était à Jérusalem, et où une garnison romaine était prête à intervenir en cas d'émeutes (</w:t>
      </w:r>
      <w:hyperlink r:id="rId14312">
        <w:r>
          <w:rPr>
            <w:color w:val="0000EE"/>
            <w:u w:val="single"/>
          </w:rPr>
          <w:t>Ac 21.31–40</w:t>
        </w:r>
      </w:hyperlink>
      <w:r>
        <w:t>). La forteresse d'Antonia surplombait la zone du Temple et en était séparée par un large fossé. Les vêtements du souverain sacrificateur étaient entreposés dans la forteresse comme symbole fort de l'autorité romaine. L'accès au parvis des Gentils se faisait par quatre portes dans le mur ouest, une porte dans chacun des murs de l'est et du nord, et deux portes dans le mur sud. Là, le terrain descendait abruptement vers la vallée. C'était un site souvent identifié comme le pinacle du Temple (</w:t>
      </w:r>
      <w:hyperlink r:id="rId14313">
        <w:r>
          <w:rPr>
            <w:color w:val="0000EE"/>
            <w:u w:val="single"/>
          </w:rPr>
          <w:t xml:space="preserve">Mt 4.5 </w:t>
        </w:r>
      </w:hyperlink>
      <w:r>
        <w:t xml:space="preserve">; </w:t>
      </w:r>
      <w:hyperlink r:id="rId14314">
        <w:r>
          <w:rPr>
            <w:color w:val="0000EE"/>
            <w:u w:val="single"/>
          </w:rPr>
          <w:t>Lc 4.9</w:t>
        </w:r>
      </w:hyperlink>
      <w:r>
        <w:t>).</w:t>
      </w:r>
    </w:p>
    <w:p>
      <w:pPr>
        <w:pStyle w:val="Heading3"/>
      </w:pPr>
      <w:r>
        <w:t>Importance du Temple dans l'Ancien Testament</w:t>
      </w:r>
    </w:p>
    <w:p>
      <w:r/>
      <w:r>
        <w:t>Le temple de Jérusalem fonctionnait comme le point focal de la confédération tribale. Malgré la tentative de Jéroboam I</w:t>
      </w:r>
      <w:r>
        <w:rPr>
          <w:vertAlign w:val="superscript"/>
        </w:rPr>
        <w:t>er</w:t>
      </w:r>
      <w:r>
        <w:t>, le premier roi du royaume du Nord, de détourner l'attention de Jérusalem en établissant des sanctuaires à Béthel et à Dan (</w:t>
      </w:r>
      <w:hyperlink r:id="rId14315">
        <w:r>
          <w:rPr>
            <w:color w:val="0000EE"/>
            <w:u w:val="single"/>
          </w:rPr>
          <w:t>1R 12.26–30</w:t>
        </w:r>
      </w:hyperlink>
      <w:r>
        <w:t>), Jérusalem n'a jamais perdu sa prédominance. Naturellement, tant Ézéchias que Josias ont cherché à étendre leur réforme dans la région des tribus du Nord (</w:t>
      </w:r>
      <w:hyperlink r:id="rId14316">
        <w:r>
          <w:rPr>
            <w:color w:val="0000EE"/>
            <w:u w:val="single"/>
          </w:rPr>
          <w:t>2Ch 30.1–12</w:t>
        </w:r>
      </w:hyperlink>
      <w:r>
        <w:t xml:space="preserve"> ; </w:t>
      </w:r>
      <w:hyperlink r:id="rId9548">
        <w:r>
          <w:rPr>
            <w:color w:val="0000EE"/>
            <w:u w:val="single"/>
          </w:rPr>
          <w:t>34.6–7</w:t>
        </w:r>
      </w:hyperlink>
      <w:r>
        <w:t>). Jérusalem a été un centre de pèlerinage pour ces régions même après sa destruction (</w:t>
      </w:r>
      <w:hyperlink r:id="rId2854">
        <w:r>
          <w:rPr>
            <w:color w:val="0000EE"/>
            <w:u w:val="single"/>
          </w:rPr>
          <w:t>Jr 41.5</w:t>
        </w:r>
      </w:hyperlink>
      <w:r>
        <w:t>). Les prophètes ont également prédit son destin comme point focal du culte universel (</w:t>
      </w:r>
      <w:hyperlink r:id="rId3625">
        <w:r>
          <w:rPr>
            <w:color w:val="0000EE"/>
            <w:u w:val="single"/>
          </w:rPr>
          <w:t>Es 2.1–4</w:t>
        </w:r>
      </w:hyperlink>
      <w:r>
        <w:t>).</w:t>
      </w:r>
    </w:p>
    <w:p>
      <w:r/>
      <w:r>
        <w:t xml:space="preserve">Le Temple était la demeure de Dieu parmi son peuple. La présence de Dieu, symbolisée par la gloire </w:t>
      </w:r>
      <w:r>
        <w:rPr>
          <w:i/>
        </w:rPr>
        <w:t>shekinah</w:t>
      </w:r>
      <w:r>
        <w:t xml:space="preserve"> et la colonne de nuée, a été associée à la tente de la rencontre (</w:t>
      </w:r>
      <w:hyperlink r:id="rId14317">
        <w:r>
          <w:rPr>
            <w:color w:val="0000EE"/>
            <w:u w:val="single"/>
          </w:rPr>
          <w:t>Ex 33.9–11</w:t>
        </w:r>
      </w:hyperlink>
      <w:r>
        <w:t>), au tabernacle (</w:t>
      </w:r>
      <w:hyperlink r:id="rId2867">
        <w:r>
          <w:rPr>
            <w:color w:val="0000EE"/>
            <w:u w:val="single"/>
          </w:rPr>
          <w:t>40.34–38</w:t>
        </w:r>
      </w:hyperlink>
      <w:r>
        <w:t>) et finalement au Temple (</w:t>
      </w:r>
      <w:hyperlink r:id="rId2092">
        <w:r>
          <w:rPr>
            <w:color w:val="0000EE"/>
            <w:u w:val="single"/>
          </w:rPr>
          <w:t>1R 8.10–11</w:t>
        </w:r>
      </w:hyperlink>
      <w:r>
        <w:t xml:space="preserve">). Le paradoxe est que, malgré la nature sans limite de Dieu, le Temple était considéré comme un lieu où il vivrait pour toujours (v. </w:t>
      </w:r>
      <w:hyperlink r:id="rId14318">
        <w:r>
          <w:rPr>
            <w:color w:val="0000EE"/>
            <w:u w:val="single"/>
          </w:rPr>
          <w:t>13, 27</w:t>
        </w:r>
      </w:hyperlink>
      <w:r>
        <w:t>). Il avait choisi Sion, comme il avait choisi David (</w:t>
      </w:r>
      <w:hyperlink r:id="rId14319">
        <w:r>
          <w:rPr>
            <w:color w:val="0000EE"/>
            <w:u w:val="single"/>
          </w:rPr>
          <w:t xml:space="preserve">Ps 68.15–18 </w:t>
        </w:r>
      </w:hyperlink>
      <w:r>
        <w:t xml:space="preserve">; </w:t>
      </w:r>
      <w:hyperlink r:id="rId9907">
        <w:r>
          <w:rPr>
            <w:color w:val="0000EE"/>
            <w:u w:val="single"/>
          </w:rPr>
          <w:t xml:space="preserve">76.2 </w:t>
        </w:r>
      </w:hyperlink>
      <w:r>
        <w:t xml:space="preserve">; </w:t>
      </w:r>
      <w:hyperlink r:id="rId14221">
        <w:r>
          <w:rPr>
            <w:color w:val="0000EE"/>
            <w:u w:val="single"/>
          </w:rPr>
          <w:t>78.67–72</w:t>
        </w:r>
      </w:hyperlink>
      <w:r>
        <w:t>), le Temple était donc considéré comme sa maison (</w:t>
      </w:r>
      <w:hyperlink r:id="rId14320">
        <w:r>
          <w:rPr>
            <w:color w:val="0000EE"/>
            <w:u w:val="single"/>
          </w:rPr>
          <w:t xml:space="preserve">27.4 </w:t>
        </w:r>
      </w:hyperlink>
      <w:r>
        <w:t xml:space="preserve">; </w:t>
      </w:r>
      <w:hyperlink r:id="rId14321">
        <w:r>
          <w:rPr>
            <w:color w:val="0000EE"/>
            <w:u w:val="single"/>
          </w:rPr>
          <w:t xml:space="preserve">42.4 </w:t>
        </w:r>
      </w:hyperlink>
      <w:r>
        <w:t xml:space="preserve">; </w:t>
      </w:r>
      <w:hyperlink r:id="rId14322">
        <w:r>
          <w:rPr>
            <w:color w:val="0000EE"/>
            <w:u w:val="single"/>
          </w:rPr>
          <w:t>84.1–4</w:t>
        </w:r>
      </w:hyperlink>
      <w:r>
        <w:t>).</w:t>
      </w:r>
    </w:p>
    <w:p>
      <w:pPr>
        <w:pStyle w:val="Heading4"/>
      </w:pPr>
      <w:r>
        <w:t>Le temple d’Ézéchiel</w:t>
      </w:r>
    </w:p>
    <w:p>
      <w:r/>
      <w:r>
        <w:t>La description détaillée du Temple idéal par Ézéchiel (</w:t>
      </w:r>
      <w:hyperlink r:id="rId5512">
        <w:r>
          <w:rPr>
            <w:color w:val="0000EE"/>
            <w:u w:val="single"/>
          </w:rPr>
          <w:t>Ez 40–48</w:t>
        </w:r>
      </w:hyperlink>
      <w:r>
        <w:t xml:space="preserve">) n'a pas été utilisée comme modèle pour le temple de Zorobabel. En fait, la familiarité d'Ézéchiel avec le temple de Salomon avant sa déportation en 597 av. J.‑C. rend sa description plus utile pour déterminer les détails incertains du premier Temple. </w:t>
      </w:r>
    </w:p>
    <w:p>
      <w:r/>
      <w:r>
        <w:t>La préoccupation principale d'Ézéchiel était de montrer la nature du culte pur, protégé de toute contamination. Ce culte permettrait à la gloire de Dieu, qui avait quitté le Temple corrompu de Salomon (</w:t>
      </w:r>
      <w:hyperlink r:id="rId14323">
        <w:r>
          <w:rPr>
            <w:color w:val="0000EE"/>
            <w:u w:val="single"/>
          </w:rPr>
          <w:t xml:space="preserve">9.3 </w:t>
        </w:r>
      </w:hyperlink>
      <w:r>
        <w:t xml:space="preserve">; </w:t>
      </w:r>
      <w:hyperlink r:id="rId8616">
        <w:r>
          <w:rPr>
            <w:color w:val="0000EE"/>
            <w:u w:val="single"/>
          </w:rPr>
          <w:t xml:space="preserve">10.4, 18–19 </w:t>
        </w:r>
      </w:hyperlink>
      <w:r>
        <w:t xml:space="preserve">; </w:t>
      </w:r>
      <w:hyperlink r:id="rId14324">
        <w:r>
          <w:rPr>
            <w:color w:val="0000EE"/>
            <w:u w:val="single"/>
          </w:rPr>
          <w:t>11.22–23</w:t>
        </w:r>
      </w:hyperlink>
      <w:r>
        <w:t>), de revenir, afin que Jérusalem puisse à nouveau être nommée « le Seigneur est ici » (</w:t>
      </w:r>
      <w:hyperlink r:id="rId14325">
        <w:r>
          <w:rPr>
            <w:color w:val="0000EE"/>
            <w:u w:val="single"/>
          </w:rPr>
          <w:t xml:space="preserve">43.1–5 </w:t>
        </w:r>
      </w:hyperlink>
      <w:r>
        <w:t xml:space="preserve">; </w:t>
      </w:r>
      <w:hyperlink r:id="rId5507">
        <w:r>
          <w:rPr>
            <w:color w:val="0000EE"/>
            <w:u w:val="single"/>
          </w:rPr>
          <w:t>48.35</w:t>
        </w:r>
      </w:hyperlink>
      <w:r>
        <w:t>). Cette pensée est liée à la notion essentielle d'Ézéchiel que l'Esprit de Dieu habite ses fidèles adorateurs (</w:t>
      </w:r>
      <w:hyperlink r:id="rId14326">
        <w:r>
          <w:rPr>
            <w:color w:val="0000EE"/>
            <w:u w:val="single"/>
          </w:rPr>
          <w:t>36.24–28</w:t>
        </w:r>
      </w:hyperlink>
      <w:r>
        <w:t>). Elle anticipe aussi l'enseignement du NT selon lequel les croyants deviennent le temple de Dieu.</w:t>
      </w:r>
    </w:p>
    <w:p>
      <w:pPr>
        <w:pStyle w:val="Heading3"/>
      </w:pPr>
      <w:r>
        <w:t>Importance du temple dans le Nouveau Testament</w:t>
      </w:r>
    </w:p>
    <w:p>
      <w:pPr>
        <w:pStyle w:val="Heading4"/>
      </w:pPr>
      <w:r>
        <w:t>Christ et le Temple</w:t>
      </w:r>
    </w:p>
    <w:p>
      <w:r/>
      <w:r>
        <w:t>Christ a montré un respect considérable pour le Temple. À 12 ans, il discute avec les rabbins dans ses portiques, et le décrit comme la maison de son Père (</w:t>
      </w:r>
      <w:hyperlink r:id="rId14327">
        <w:r>
          <w:rPr>
            <w:color w:val="0000EE"/>
            <w:u w:val="single"/>
          </w:rPr>
          <w:t>Lc 2.41–50</w:t>
        </w:r>
      </w:hyperlink>
      <w:r>
        <w:t>). Pour lui, « la maison de Dieu » est habitée par Dieu (</w:t>
      </w:r>
      <w:hyperlink r:id="rId9465">
        <w:r>
          <w:rPr>
            <w:color w:val="0000EE"/>
            <w:u w:val="single"/>
          </w:rPr>
          <w:t xml:space="preserve">Mt 12.4 </w:t>
        </w:r>
      </w:hyperlink>
      <w:r>
        <w:t xml:space="preserve">; </w:t>
      </w:r>
      <w:hyperlink r:id="rId14328">
        <w:r>
          <w:rPr>
            <w:color w:val="0000EE"/>
            <w:u w:val="single"/>
          </w:rPr>
          <w:t>23.21</w:t>
        </w:r>
      </w:hyperlink>
      <w:r>
        <w:t>). Bien qu'il le purifie deux fois avec une colère juste (</w:t>
      </w:r>
      <w:hyperlink r:id="rId11515">
        <w:r>
          <w:rPr>
            <w:color w:val="0000EE"/>
            <w:u w:val="single"/>
          </w:rPr>
          <w:t xml:space="preserve">Mt 21.12–13 </w:t>
        </w:r>
      </w:hyperlink>
      <w:r>
        <w:t xml:space="preserve">; </w:t>
      </w:r>
      <w:hyperlink r:id="rId14329">
        <w:r>
          <w:rPr>
            <w:color w:val="0000EE"/>
            <w:u w:val="single"/>
          </w:rPr>
          <w:t>Jn 2.13–16</w:t>
        </w:r>
      </w:hyperlink>
      <w:r>
        <w:t>), il pleure sur sa destruction imminente, ainsi que celle de la ville (</w:t>
      </w:r>
      <w:hyperlink r:id="rId10318">
        <w:r>
          <w:rPr>
            <w:color w:val="0000EE"/>
            <w:u w:val="single"/>
          </w:rPr>
          <w:t>Lc 19.41–44</w:t>
        </w:r>
      </w:hyperlink>
      <w:r>
        <w:t>). Il y enseigne souvent, mais se dit « plus grand que le temple » (</w:t>
      </w:r>
      <w:hyperlink r:id="rId9750">
        <w:r>
          <w:rPr>
            <w:color w:val="0000EE"/>
            <w:u w:val="single"/>
          </w:rPr>
          <w:t>Mt 12.6</w:t>
        </w:r>
      </w:hyperlink>
      <w:r>
        <w:t>). Lorsque, malgré les miracles qu'il accomplit, il est rejeté en tant que Messie à Jérusalem, il prédit sa destruction inévitable (</w:t>
      </w:r>
      <w:hyperlink r:id="rId14330">
        <w:r>
          <w:rPr>
            <w:color w:val="0000EE"/>
            <w:u w:val="single"/>
          </w:rPr>
          <w:t xml:space="preserve">Mt 21.9–15 </w:t>
        </w:r>
      </w:hyperlink>
      <w:r>
        <w:t xml:space="preserve">; </w:t>
      </w:r>
      <w:hyperlink r:id="rId14331">
        <w:r>
          <w:rPr>
            <w:color w:val="0000EE"/>
            <w:u w:val="single"/>
          </w:rPr>
          <w:t>24.1–2</w:t>
        </w:r>
      </w:hyperlink>
      <w:r>
        <w:t>). Pendant une brève période après la Pentecôte, l'Église primitive utilise le Temple comme lieu de réunion, jusqu'à ce que l'opposition croissante chasse les croyants de Jérusalem (</w:t>
      </w:r>
      <w:hyperlink r:id="rId14332">
        <w:r>
          <w:rPr>
            <w:color w:val="0000EE"/>
            <w:u w:val="single"/>
          </w:rPr>
          <w:t xml:space="preserve">Ac 5.12, 21, 42 </w:t>
        </w:r>
      </w:hyperlink>
      <w:r>
        <w:t xml:space="preserve">; </w:t>
      </w:r>
      <w:hyperlink r:id="rId4554">
        <w:r>
          <w:rPr>
            <w:color w:val="0000EE"/>
            <w:u w:val="single"/>
          </w:rPr>
          <w:t>8.1</w:t>
        </w:r>
      </w:hyperlink>
      <w:r>
        <w:t>).</w:t>
      </w:r>
    </w:p>
    <w:p>
      <w:pPr>
        <w:pStyle w:val="Heading4"/>
      </w:pPr>
      <w:r>
        <w:t>L'Église en tant que temple</w:t>
      </w:r>
    </w:p>
    <w:p>
      <w:r/>
      <w:r>
        <w:t xml:space="preserve">Les auteurs du NT utilisent deux mots grecs différents pour décrire le Temple : </w:t>
      </w:r>
      <w:r>
        <w:rPr>
          <w:i/>
        </w:rPr>
        <w:t>naos</w:t>
      </w:r>
      <w:r>
        <w:t xml:space="preserve"> et </w:t>
      </w:r>
      <w:r>
        <w:rPr>
          <w:i/>
        </w:rPr>
        <w:t>hieron</w:t>
      </w:r>
      <w:r>
        <w:t xml:space="preserve">. </w:t>
      </w:r>
      <w:r>
        <w:rPr>
          <w:i/>
        </w:rPr>
        <w:t>Naos</w:t>
      </w:r>
      <w:r>
        <w:t xml:space="preserve"> désigne le sanctuaire du Temple en tant que tel, le lieu de la demeure de Dieu. </w:t>
      </w:r>
      <w:r>
        <w:rPr>
          <w:i/>
        </w:rPr>
        <w:t>Hieron</w:t>
      </w:r>
      <w:r>
        <w:t xml:space="preserve"> désigne les enceintes du Temple ainsi que le sanctuaire. En général, </w:t>
      </w:r>
      <w:r>
        <w:rPr>
          <w:i/>
        </w:rPr>
        <w:t>naos</w:t>
      </w:r>
      <w:r>
        <w:t xml:space="preserve"> est utilisé pour désigner la section intérieure du Temple connue sous le nom de lieu saint et Saint des saints, tandis que </w:t>
      </w:r>
      <w:r>
        <w:rPr>
          <w:i/>
        </w:rPr>
        <w:t>hieron</w:t>
      </w:r>
      <w:r>
        <w:t xml:space="preserve"> inclut le parvis extérieur et le Temple proprement dit.</w:t>
      </w:r>
    </w:p>
    <w:p>
      <w:r/>
      <w:r>
        <w:t xml:space="preserve">Dans les épîtres de Paul, le mot </w:t>
      </w:r>
      <w:r>
        <w:rPr>
          <w:i/>
        </w:rPr>
        <w:t>naos</w:t>
      </w:r>
      <w:r>
        <w:t xml:space="preserve"> apparaît six fois (</w:t>
      </w:r>
      <w:hyperlink r:id="rId12568">
        <w:r>
          <w:rPr>
            <w:color w:val="0000EE"/>
            <w:u w:val="single"/>
          </w:rPr>
          <w:t xml:space="preserve">1Co 3.16–17 </w:t>
        </w:r>
      </w:hyperlink>
      <w:r>
        <w:t xml:space="preserve">; </w:t>
      </w:r>
      <w:hyperlink r:id="rId2322">
        <w:r>
          <w:rPr>
            <w:color w:val="0000EE"/>
            <w:u w:val="single"/>
          </w:rPr>
          <w:t xml:space="preserve">6.19 </w:t>
        </w:r>
      </w:hyperlink>
      <w:r>
        <w:t xml:space="preserve">; </w:t>
      </w:r>
      <w:hyperlink r:id="rId12569">
        <w:r>
          <w:rPr>
            <w:color w:val="0000EE"/>
            <w:u w:val="single"/>
          </w:rPr>
          <w:t xml:space="preserve">2Co 6.16 </w:t>
        </w:r>
      </w:hyperlink>
      <w:r>
        <w:t xml:space="preserve">; </w:t>
      </w:r>
      <w:hyperlink r:id="rId14333">
        <w:r>
          <w:rPr>
            <w:color w:val="0000EE"/>
            <w:u w:val="single"/>
          </w:rPr>
          <w:t xml:space="preserve">Ep 2.21 </w:t>
        </w:r>
      </w:hyperlink>
      <w:r>
        <w:t xml:space="preserve">; </w:t>
      </w:r>
      <w:hyperlink r:id="rId14334">
        <w:r>
          <w:rPr>
            <w:color w:val="0000EE"/>
            <w:u w:val="single"/>
          </w:rPr>
          <w:t>2Th 2.4</w:t>
        </w:r>
      </w:hyperlink>
      <w:r>
        <w:t xml:space="preserve">) et </w:t>
      </w:r>
      <w:r>
        <w:rPr>
          <w:i/>
        </w:rPr>
        <w:t>hieron</w:t>
      </w:r>
      <w:r>
        <w:t xml:space="preserve"> une fois (</w:t>
      </w:r>
      <w:hyperlink r:id="rId1491">
        <w:r>
          <w:rPr>
            <w:color w:val="0000EE"/>
            <w:u w:val="single"/>
          </w:rPr>
          <w:t>1Co 9.13</w:t>
        </w:r>
      </w:hyperlink>
      <w:r>
        <w:t xml:space="preserve">). Dans ces versets, Paul maintient la distinction de définition notée ci-dessus. Lorsqu'il parle du Temple physique réel, il utilise le mot </w:t>
      </w:r>
      <w:r>
        <w:rPr>
          <w:i/>
        </w:rPr>
        <w:t>hieron</w:t>
      </w:r>
      <w:r>
        <w:t xml:space="preserve"> pour indiquer le lieu où les sacrificateurs offraient des animaux en sacrifice sur l'autel (</w:t>
      </w:r>
      <w:hyperlink r:id="rId1491">
        <w:r>
          <w:rPr>
            <w:color w:val="0000EE"/>
            <w:u w:val="single"/>
          </w:rPr>
          <w:t>1Co 9.13</w:t>
        </w:r>
      </w:hyperlink>
      <w:r>
        <w:t xml:space="preserve">). (L'autel était situé dans le parvis extérieur, voir </w:t>
      </w:r>
      <w:hyperlink r:id="rId14335">
        <w:r>
          <w:rPr>
            <w:color w:val="0000EE"/>
            <w:u w:val="single"/>
          </w:rPr>
          <w:t>Ex 27–29</w:t>
        </w:r>
      </w:hyperlink>
      <w:r>
        <w:t xml:space="preserve">, </w:t>
      </w:r>
      <w:hyperlink r:id="rId14336">
        <w:r>
          <w:rPr>
            <w:color w:val="0000EE"/>
            <w:u w:val="single"/>
          </w:rPr>
          <w:t>40</w:t>
        </w:r>
      </w:hyperlink>
      <w:r>
        <w:t xml:space="preserve">). Quand Paul annonce l'acte abominable de l'impie usurpant la place de Dieu dans le Temple, il utilise le mot </w:t>
      </w:r>
      <w:r>
        <w:rPr>
          <w:i/>
        </w:rPr>
        <w:t>naos</w:t>
      </w:r>
      <w:r>
        <w:t>, c'est-à-dire le mot qui désigne le lieu de la présence de la divinité (</w:t>
      </w:r>
      <w:hyperlink r:id="rId14334">
        <w:r>
          <w:rPr>
            <w:color w:val="0000EE"/>
            <w:u w:val="single"/>
          </w:rPr>
          <w:t>2Th 2.4</w:t>
        </w:r>
      </w:hyperlink>
      <w:r>
        <w:t>).</w:t>
      </w:r>
    </w:p>
    <w:p>
      <w:r/>
      <w:r>
        <w:t xml:space="preserve">Dans tous les autres passages des écrits de Paul, </w:t>
      </w:r>
      <w:r>
        <w:rPr>
          <w:i/>
        </w:rPr>
        <w:t>naos</w:t>
      </w:r>
      <w:r>
        <w:t xml:space="preserve"> est utilisé métaphoriquement pour dépeindre une habitation humaine pour l'Esprit divin. Dans un cas, l'image du sanctuaire est utilisée pour décrire le corps du croyant individuel (</w:t>
      </w:r>
      <w:hyperlink r:id="rId2322">
        <w:r>
          <w:rPr>
            <w:color w:val="0000EE"/>
            <w:u w:val="single"/>
          </w:rPr>
          <w:t>1Co 6.19</w:t>
        </w:r>
      </w:hyperlink>
      <w:r>
        <w:t>). Dans tous les autres cas, le sanctuaire représente le corps du Christ, l'Église (</w:t>
      </w:r>
      <w:hyperlink r:id="rId12568">
        <w:r>
          <w:rPr>
            <w:color w:val="0000EE"/>
            <w:u w:val="single"/>
          </w:rPr>
          <w:t>1Co 3.16–17</w:t>
        </w:r>
      </w:hyperlink>
      <w:r>
        <w:t xml:space="preserve"> ; </w:t>
      </w:r>
      <w:hyperlink r:id="rId12569">
        <w:r>
          <w:rPr>
            <w:color w:val="0000EE"/>
            <w:u w:val="single"/>
          </w:rPr>
          <w:t>2Co 6.16</w:t>
        </w:r>
      </w:hyperlink>
      <w:r>
        <w:t xml:space="preserve"> ; </w:t>
      </w:r>
      <w:hyperlink r:id="rId14333">
        <w:r>
          <w:rPr>
            <w:color w:val="0000EE"/>
            <w:u w:val="single"/>
          </w:rPr>
          <w:t>Ep 2.21</w:t>
        </w:r>
      </w:hyperlink>
      <w:r>
        <w:t xml:space="preserve">). Par erreur, de nombreux lecteurs pensent que </w:t>
      </w:r>
      <w:hyperlink r:id="rId12568">
        <w:r>
          <w:rPr>
            <w:color w:val="0000EE"/>
            <w:u w:val="single"/>
          </w:rPr>
          <w:t>1 Corinthiens 3.16–17</w:t>
        </w:r>
      </w:hyperlink>
      <w:r>
        <w:t xml:space="preserve"> parle de l'individu, mais selon le texte grec, il est incontestable que Paul parle de l'Église collective (spécifiquement, l'Église à Corinthe).</w:t>
      </w:r>
    </w:p>
    <w:p>
      <w:r/>
      <w:r>
        <w:t xml:space="preserve">Paul dit à l'Église de Corinthe qu'elle est le sanctuaire de Dieu. Grâce à leur connaissance des temples païens, ils auraient compris cette image. Mais Paul avait probablement en tête le seul temple de Jérusalem. Les Gentils avaient de nombreux dieux avec de nombreux temples dans une seule ville ; les Juifs avaient un seul Dieu avec un seul Temple dans tout Israël. Cela aidait à préserver l'unité parmi les Israélites. Les Corinthiens avaient besoin d'unité spirituelle ; ils étaient fragmentés en raison de leurs préférences individuelles (voir </w:t>
      </w:r>
      <w:hyperlink r:id="rId8260">
        <w:r>
          <w:rPr>
            <w:color w:val="0000EE"/>
            <w:u w:val="single"/>
          </w:rPr>
          <w:t>1Co 1.10–13</w:t>
        </w:r>
      </w:hyperlink>
      <w:r>
        <w:t>).</w:t>
      </w:r>
    </w:p>
    <w:p>
      <w:r/>
      <w:r>
        <w:t>Dans Éphésiens, le chef-d'œuvre de Paul sur l'Église, il parle des Églises locales comme d'entités vivantes et organiques qui, dans leur ensemble, croissent en un sanctuaire saint dans le Seigneur (</w:t>
      </w:r>
      <w:hyperlink r:id="rId14333">
        <w:r>
          <w:rPr>
            <w:color w:val="0000EE"/>
            <w:u w:val="single"/>
          </w:rPr>
          <w:t>Ep 2.21</w:t>
        </w:r>
      </w:hyperlink>
      <w:r>
        <w:t>). Paul représente chaque Église locale comme offrant à Dieu une habitation spirituelle dans cette localité (</w:t>
      </w:r>
      <w:hyperlink r:id="rId12567">
        <w:r>
          <w:rPr>
            <w:color w:val="0000EE"/>
            <w:u w:val="single"/>
          </w:rPr>
          <w:t>v. 22</w:t>
        </w:r>
      </w:hyperlink>
      <w:r>
        <w:t>) et comme grandissant ensemble avec toutes les autres Églises en un sanctuaire saint et universel pour la demeure du Seigneur.</w:t>
      </w:r>
    </w:p>
    <w:p>
      <w:pPr>
        <w:pStyle w:val="Heading4"/>
      </w:pPr>
      <w:r>
        <w:t>Le temple dans l'Apocalypse de Jean</w:t>
      </w:r>
    </w:p>
    <w:p>
      <w:r/>
      <w:r>
        <w:t>Dans le livre de l'Apocalypse de Jean, il n'y a pas de temple matériel, même si l'imagerie de Jérusalem et du mont Sion continue d'être présente (</w:t>
      </w:r>
      <w:hyperlink r:id="rId14337">
        <w:r>
          <w:rPr>
            <w:color w:val="0000EE"/>
            <w:u w:val="single"/>
          </w:rPr>
          <w:t xml:space="preserve">Ap 3.12 </w:t>
        </w:r>
      </w:hyperlink>
      <w:r>
        <w:t xml:space="preserve">; </w:t>
      </w:r>
      <w:hyperlink r:id="rId14338">
        <w:r>
          <w:rPr>
            <w:color w:val="0000EE"/>
            <w:u w:val="single"/>
          </w:rPr>
          <w:t xml:space="preserve">14.1 </w:t>
        </w:r>
      </w:hyperlink>
      <w:r>
        <w:t xml:space="preserve">; </w:t>
      </w:r>
      <w:hyperlink r:id="rId14339">
        <w:r>
          <w:rPr>
            <w:color w:val="0000EE"/>
            <w:u w:val="single"/>
          </w:rPr>
          <w:t>21.2, 10, 22</w:t>
        </w:r>
      </w:hyperlink>
      <w:r>
        <w:t>). Trois idées interconnectées dominent. La première est le concept de l'Église composée de martyrs, dont les membres fidèles sont le temple de Dieu (</w:t>
      </w:r>
      <w:hyperlink r:id="rId14337">
        <w:r>
          <w:rPr>
            <w:color w:val="0000EE"/>
            <w:u w:val="single"/>
          </w:rPr>
          <w:t xml:space="preserve">3.12 </w:t>
        </w:r>
      </w:hyperlink>
      <w:r>
        <w:t xml:space="preserve">; </w:t>
      </w:r>
      <w:hyperlink r:id="rId14338">
        <w:r>
          <w:rPr>
            <w:color w:val="0000EE"/>
            <w:u w:val="single"/>
          </w:rPr>
          <w:t>14.1</w:t>
        </w:r>
      </w:hyperlink>
      <w:r>
        <w:t>). Ce temple grandit progressivement alors que le nombre de martyrs augmente (</w:t>
      </w:r>
      <w:hyperlink r:id="rId14340">
        <w:r>
          <w:rPr>
            <w:color w:val="0000EE"/>
            <w:u w:val="single"/>
          </w:rPr>
          <w:t>6.11</w:t>
        </w:r>
      </w:hyperlink>
      <w:r>
        <w:t>). Un autre aspect est le temple en tant que lieu de jugement (</w:t>
      </w:r>
      <w:hyperlink r:id="rId14341">
        <w:r>
          <w:rPr>
            <w:color w:val="0000EE"/>
            <w:u w:val="single"/>
          </w:rPr>
          <w:t xml:space="preserve">11.19 </w:t>
        </w:r>
      </w:hyperlink>
      <w:r>
        <w:t xml:space="preserve">; </w:t>
      </w:r>
      <w:hyperlink r:id="rId14342">
        <w:r>
          <w:rPr>
            <w:color w:val="0000EE"/>
            <w:u w:val="single"/>
          </w:rPr>
          <w:t xml:space="preserve">14.15 </w:t>
        </w:r>
      </w:hyperlink>
      <w:r>
        <w:t xml:space="preserve">; </w:t>
      </w:r>
      <w:hyperlink r:id="rId14343">
        <w:r>
          <w:rPr>
            <w:color w:val="0000EE"/>
            <w:u w:val="single"/>
          </w:rPr>
          <w:t>15.5–16.1</w:t>
        </w:r>
      </w:hyperlink>
      <w:r>
        <w:t xml:space="preserve">). Enfin, tout temple dans le nouvel âge est inutile, car « le </w:t>
      </w:r>
      <w:r>
        <w:t>Seigneur Dieu tout-puissant est son temple, ainsi que l'agneau</w:t>
      </w:r>
      <w:r>
        <w:t xml:space="preserve"> » (</w:t>
      </w:r>
      <w:hyperlink r:id="rId5509">
        <w:r>
          <w:rPr>
            <w:color w:val="0000EE"/>
            <w:u w:val="single"/>
          </w:rPr>
          <w:t>21.22</w:t>
        </w:r>
      </w:hyperlink>
      <w:r>
        <w:t>). L'état ultime sera la demeure de Dieu avec son peuple, c'est-à-dire le temple éternel et spirituel.</w:t>
      </w:r>
    </w:p>
    <w:p>
      <w:r/>
      <w:r>
        <w:rPr>
          <w:i/>
        </w:rPr>
        <w:t>Voir aussi</w:t>
      </w:r>
      <w:r>
        <w:t xml:space="preserve"> </w:t>
      </w:r>
      <w:r>
        <w:t>autel</w:t>
      </w:r>
      <w:r>
        <w:t xml:space="preserve"> ; </w:t>
      </w:r>
      <w:r>
        <w:t>arche de l'alliance</w:t>
      </w:r>
      <w:r>
        <w:t xml:space="preserve"> ; </w:t>
      </w:r>
      <w:r>
        <w:t>pain de la Présence ou pain de proposition</w:t>
      </w:r>
      <w:r>
        <w:t xml:space="preserve"> ; </w:t>
      </w:r>
      <w:r>
        <w:t>David</w:t>
      </w:r>
      <w:r>
        <w:t xml:space="preserve"> ; </w:t>
      </w:r>
      <w:r>
        <w:t>fêtes d'Israël</w:t>
      </w:r>
      <w:r>
        <w:t xml:space="preserve"> ; </w:t>
      </w:r>
      <w:r>
        <w:t>première révolte juive</w:t>
      </w:r>
      <w:r>
        <w:t xml:space="preserve"> ; </w:t>
      </w:r>
      <w:r>
        <w:t>judaïsme</w:t>
      </w:r>
      <w:r>
        <w:t xml:space="preserve"> ; </w:t>
      </w:r>
      <w:r>
        <w:t>propitiatoire</w:t>
      </w:r>
      <w:r>
        <w:t xml:space="preserve"> ; </w:t>
      </w:r>
      <w:r>
        <w:t>offrandes et sacrifices</w:t>
      </w:r>
      <w:r>
        <w:t xml:space="preserve"> ; </w:t>
      </w:r>
      <w:r>
        <w:t>sacrificateurs et lévites</w:t>
      </w:r>
      <w:r>
        <w:t xml:space="preserve"> ; </w:t>
      </w:r>
      <w:r>
        <w:t>sanctuaire</w:t>
      </w:r>
      <w:r>
        <w:t xml:space="preserve"> ; </w:t>
      </w:r>
      <w:r>
        <w:t>chantres du Temple</w:t>
      </w:r>
      <w:r>
        <w:t xml:space="preserve"> ; </w:t>
      </w:r>
      <w:r>
        <w:t>Salomon (personne)</w:t>
      </w:r>
      <w:r>
        <w:t>.</w:t>
      </w:r>
      <w:r/>
      <w:r/>
    </w:p>
    <w:p>
      <w:r/>
    </w:p>
    <w:p>
      <w:pPr>
        <w:pStyle w:val="Heading2"/>
      </w:pPr>
      <w:r>
        <w:t>Térach, Thara (Personne)</w:t>
      </w:r>
      <w:r/>
    </w:p>
    <w:p>
      <w:r/>
      <w:r>
        <w:t>Père d'Abram (Abraham), de Nachor et d'Haran (</w:t>
      </w:r>
      <w:hyperlink r:id="rId109">
        <w:r>
          <w:rPr>
            <w:color w:val="0000EE"/>
            <w:u w:val="single"/>
          </w:rPr>
          <w:t>Gn 11.26</w:t>
        </w:r>
      </w:hyperlink>
      <w:r>
        <w:t xml:space="preserve"> ; </w:t>
      </w:r>
      <w:hyperlink r:id="rId10540">
        <w:r>
          <w:rPr>
            <w:color w:val="0000EE"/>
            <w:u w:val="single"/>
          </w:rPr>
          <w:t>1Ch 1.26</w:t>
        </w:r>
      </w:hyperlink>
      <w:r>
        <w:t xml:space="preserve"> ; </w:t>
      </w:r>
      <w:hyperlink r:id="rId10541">
        <w:r>
          <w:rPr>
            <w:color w:val="0000EE"/>
            <w:u w:val="single"/>
          </w:rPr>
          <w:t>Lc 3.34</w:t>
        </w:r>
      </w:hyperlink>
      <w:r>
        <w:t>).</w:t>
      </w:r>
    </w:p>
    <w:p>
      <w:r/>
      <w:r>
        <w:t>Abram est mentionné en premier parmi les fils de Térach, mais il n'était probablement pas l'aîné. Après avoir vécu 70 ans, Térach a engendré Abram, Nachor et Haran (</w:t>
      </w:r>
      <w:hyperlink r:id="rId109">
        <w:r>
          <w:rPr>
            <w:color w:val="0000EE"/>
            <w:u w:val="single"/>
          </w:rPr>
          <w:t>Gn 11.26</w:t>
        </w:r>
      </w:hyperlink>
      <w:r>
        <w:t>). Le Nouveau Testament rapporte qu'Abram a quitté Haran après la mort de son père alors qu'il avait 75 ans (</w:t>
      </w:r>
      <w:hyperlink r:id="rId2542">
        <w:r>
          <w:rPr>
            <w:color w:val="0000EE"/>
            <w:u w:val="single"/>
          </w:rPr>
          <w:t>Gn 12.4</w:t>
        </w:r>
      </w:hyperlink>
      <w:r>
        <w:t xml:space="preserve"> ; </w:t>
      </w:r>
      <w:hyperlink r:id="rId14344">
        <w:r>
          <w:rPr>
            <w:color w:val="0000EE"/>
            <w:u w:val="single"/>
          </w:rPr>
          <w:t>Ac 7.4</w:t>
        </w:r>
      </w:hyperlink>
      <w:r>
        <w:t>).</w:t>
      </w:r>
    </w:p>
    <w:p>
      <w:r/>
      <w:r>
        <w:t>Térach est mort à l'âge de 205 ans (</w:t>
      </w:r>
      <w:hyperlink r:id="rId14345">
        <w:r>
          <w:rPr>
            <w:color w:val="0000EE"/>
            <w:u w:val="single"/>
          </w:rPr>
          <w:t>Gn 11.32</w:t>
        </w:r>
      </w:hyperlink>
      <w:r>
        <w:t>). Cela suggère que Térach avait au moins 130 ans lorsqu'Abram est né. Térach a commencé le voyage vers Canaan, bien qu'il n'ait pas réussi à aller au-delà de Charan (</w:t>
      </w:r>
      <w:hyperlink r:id="rId1120">
        <w:r>
          <w:rPr>
            <w:color w:val="0000EE"/>
            <w:u w:val="single"/>
          </w:rPr>
          <w:t>Gn 11.31–32</w:t>
        </w:r>
      </w:hyperlink>
      <w:r>
        <w:t>). Abram a reçu l'ordre de quitter sa famille et de se rendre à Canaan (</w:t>
      </w:r>
      <w:hyperlink r:id="rId6006">
        <w:r>
          <w:rPr>
            <w:color w:val="0000EE"/>
            <w:u w:val="single"/>
          </w:rPr>
          <w:t>Gn 12.1</w:t>
        </w:r>
      </w:hyperlink>
      <w:r>
        <w:t>).</w:t>
      </w:r>
    </w:p>
    <w:p>
      <w:r/>
      <w:r>
        <w:rPr>
          <w:i/>
        </w:rPr>
        <w:t>Voir aussi</w:t>
      </w:r>
      <w:r>
        <w:t xml:space="preserve"> </w:t>
      </w:r>
      <w:r>
        <w:t>Abraham</w:t>
      </w:r>
      <w:r>
        <w:t>.</w:t>
      </w:r>
      <w:r/>
      <w:r/>
    </w:p>
    <w:p>
      <w:r/>
    </w:p>
    <w:p>
      <w:pPr>
        <w:pStyle w:val="Heading2"/>
      </w:pPr>
      <w:r>
        <w:t>Terre</w:t>
      </w:r>
      <w:r/>
    </w:p>
    <w:p>
      <w:r/>
      <w:r>
        <w:t>Le terme désigne notre planète. Il est utilisé pour la distinguer du paradis et de l'enfer. Il peut également signifier terrain, sol ou plusieurs autres choses. La Bible utilise le terme « terre » de diverses manières, de manière semblable à notre utilisation actuelle.</w:t>
      </w:r>
    </w:p>
    <w:p>
      <w:r/>
      <w:r>
        <w:t>En hébreu, un mot traduit par « terre » est également utilisé pour « homme » ou « Adam » (</w:t>
      </w:r>
      <w:hyperlink r:id="rId233">
        <w:r>
          <w:rPr>
            <w:color w:val="0000EE"/>
            <w:u w:val="single"/>
          </w:rPr>
          <w:t>Gn 2.7, 19</w:t>
        </w:r>
      </w:hyperlink>
      <w:r>
        <w:t>). Ce mot fait référence au sol rougeâtre à partir duquel le corps d'Adam a été façonné. Un autre mot hébreu traduit par « terre » ou « territoire » peut désigner un pays (</w:t>
      </w:r>
      <w:hyperlink r:id="rId14346">
        <w:r>
          <w:rPr>
            <w:color w:val="0000EE"/>
            <w:u w:val="single"/>
          </w:rPr>
          <w:t>Gn 21.21</w:t>
        </w:r>
      </w:hyperlink>
      <w:r>
        <w:t>). Un mot traduit par « poussière » peut simplement signifier terre ou sol sec (</w:t>
      </w:r>
      <w:hyperlink r:id="rId247">
        <w:r>
          <w:rPr>
            <w:color w:val="0000EE"/>
            <w:u w:val="single"/>
          </w:rPr>
          <w:t>Gn 3.19</w:t>
        </w:r>
      </w:hyperlink>
      <w:r>
        <w:t>). Dans le Nouveau Testament, un mot grec traduit par « terre » peut également désigner un territoire ou un pays (</w:t>
      </w:r>
      <w:hyperlink r:id="rId10926">
        <w:r>
          <w:rPr>
            <w:color w:val="0000EE"/>
            <w:u w:val="single"/>
          </w:rPr>
          <w:t>Mt 27.45</w:t>
        </w:r>
      </w:hyperlink>
      <w:r>
        <w:t>). Un autre mot grec, duquel est dérivé le mot « œcuménique », se réfère à la terre entière habitée (</w:t>
      </w:r>
      <w:hyperlink r:id="rId14347">
        <w:r>
          <w:rPr>
            <w:color w:val="0000EE"/>
            <w:u w:val="single"/>
          </w:rPr>
          <w:t>Lc 21.26</w:t>
        </w:r>
      </w:hyperlink>
      <w:r>
        <w:t>) ou à l'Empire romain de l'époque (</w:t>
      </w:r>
      <w:hyperlink r:id="rId2221">
        <w:r>
          <w:rPr>
            <w:color w:val="0000EE"/>
            <w:u w:val="single"/>
          </w:rPr>
          <w:t>Lc 2.1</w:t>
        </w:r>
      </w:hyperlink>
      <w:r>
        <w:t>).</w:t>
      </w:r>
    </w:p>
    <w:p>
      <w:r/>
      <w:r>
        <w:t>Au commencement, « Dieu appela le sec terre, et il appela l’amas des eaux mers. Dieu vit que cela était bon. Puis Dieu dit : Que la terre produise de la verdure » (</w:t>
      </w:r>
      <w:hyperlink r:id="rId14348">
        <w:r>
          <w:rPr>
            <w:color w:val="0000EE"/>
            <w:u w:val="single"/>
          </w:rPr>
          <w:t>Gn 1.10–11</w:t>
        </w:r>
      </w:hyperlink>
      <w:r>
        <w:t>). Dans certains passages, « la terre » est utilisée d'une manière similaire à la façon dont nous pensons à la planète entière aujourd'hui (</w:t>
      </w:r>
      <w:hyperlink r:id="rId14349">
        <w:r>
          <w:rPr>
            <w:color w:val="0000EE"/>
            <w:u w:val="single"/>
          </w:rPr>
          <w:t>Jb 1.7</w:t>
        </w:r>
      </w:hyperlink>
      <w:r>
        <w:t>), suspendue dans le vide de l'espace (</w:t>
      </w:r>
      <w:hyperlink r:id="rId14350">
        <w:r>
          <w:rPr>
            <w:color w:val="0000EE"/>
            <w:u w:val="single"/>
          </w:rPr>
          <w:t>Jb 26.7</w:t>
        </w:r>
      </w:hyperlink>
      <w:r>
        <w:t>). Les références aux quatre coins de la terre (</w:t>
      </w:r>
      <w:hyperlink r:id="rId1601">
        <w:r>
          <w:rPr>
            <w:color w:val="0000EE"/>
            <w:u w:val="single"/>
          </w:rPr>
          <w:t>Es 11.12</w:t>
        </w:r>
      </w:hyperlink>
      <w:r>
        <w:t xml:space="preserve"> ; </w:t>
      </w:r>
      <w:hyperlink r:id="rId14351">
        <w:r>
          <w:rPr>
            <w:color w:val="0000EE"/>
            <w:u w:val="single"/>
          </w:rPr>
          <w:t>Ez 7.2</w:t>
        </w:r>
      </w:hyperlink>
      <w:r>
        <w:t>) se réfèrent aux points cardinaux d'une boussole, non à la forme de la terre. Le « cercle de la terre » fait probablement référence à la circonférence de l'horizon (</w:t>
      </w:r>
      <w:hyperlink r:id="rId14352">
        <w:r>
          <w:rPr>
            <w:color w:val="0000EE"/>
            <w:u w:val="single"/>
          </w:rPr>
          <w:t>Es 40.22</w:t>
        </w:r>
      </w:hyperlink>
      <w:r>
        <w:t xml:space="preserve"> ; voir </w:t>
      </w:r>
      <w:hyperlink r:id="rId14353">
        <w:r>
          <w:rPr>
            <w:color w:val="0000EE"/>
            <w:u w:val="single"/>
          </w:rPr>
          <w:t>Jb 38.13</w:t>
        </w:r>
      </w:hyperlink>
      <w:r>
        <w:t>). La terre est parfois décrite comme étant soutenue par des piliers (</w:t>
      </w:r>
      <w:hyperlink r:id="rId14354">
        <w:r>
          <w:rPr>
            <w:color w:val="0000EE"/>
            <w:u w:val="single"/>
          </w:rPr>
          <w:t>Jb 9.6</w:t>
        </w:r>
      </w:hyperlink>
      <w:r>
        <w:t xml:space="preserve"> ; </w:t>
      </w:r>
      <w:hyperlink r:id="rId14355">
        <w:r>
          <w:rPr>
            <w:color w:val="0000EE"/>
            <w:u w:val="single"/>
          </w:rPr>
          <w:t>Ps 75.3</w:t>
        </w:r>
      </w:hyperlink>
      <w:r>
        <w:t>) ou des fondations (</w:t>
      </w:r>
      <w:hyperlink r:id="rId14356">
        <w:r>
          <w:rPr>
            <w:color w:val="0000EE"/>
            <w:u w:val="single"/>
          </w:rPr>
          <w:t>Ps 104.5</w:t>
        </w:r>
      </w:hyperlink>
      <w:r>
        <w:t xml:space="preserve"> ; </w:t>
      </w:r>
      <w:hyperlink r:id="rId14357">
        <w:r>
          <w:rPr>
            <w:color w:val="0000EE"/>
            <w:u w:val="single"/>
          </w:rPr>
          <w:t>Pr 8.29</w:t>
        </w:r>
      </w:hyperlink>
      <w:r>
        <w:t xml:space="preserve"> ; </w:t>
      </w:r>
      <w:hyperlink r:id="rId14358">
        <w:r>
          <w:rPr>
            <w:color w:val="0000EE"/>
            <w:u w:val="single"/>
          </w:rPr>
          <w:t>Ésaïe 24.18</w:t>
        </w:r>
      </w:hyperlink>
      <w:r>
        <w:t xml:space="preserve"> ; </w:t>
      </w:r>
      <w:hyperlink r:id="rId14359">
        <w:r>
          <w:rPr>
            <w:color w:val="0000EE"/>
            <w:u w:val="single"/>
          </w:rPr>
          <w:t>Jr 31.37</w:t>
        </w:r>
      </w:hyperlink>
      <w:r>
        <w:t>). Beaucoup de ces descriptions se trouvent dans des passages poétiques ou prophétiques. Elles ne révèlent donc pas grand-chose sur la compréhension hébraïque du cosmos.</w:t>
      </w:r>
    </w:p>
    <w:p>
      <w:r/>
      <w:r>
        <w:t xml:space="preserve">« Terre » peut également désigner le sol ou la terre qu'un agriculteur travaille (voir </w:t>
      </w:r>
      <w:hyperlink r:id="rId14360">
        <w:r>
          <w:rPr>
            <w:color w:val="0000EE"/>
            <w:u w:val="single"/>
          </w:rPr>
          <w:t>2R 5.17</w:t>
        </w:r>
      </w:hyperlink>
      <w:r>
        <w:t>). Selon la Bible, l'état originel de la terre (</w:t>
      </w:r>
      <w:hyperlink r:id="rId6245">
        <w:r>
          <w:rPr>
            <w:color w:val="0000EE"/>
            <w:u w:val="single"/>
          </w:rPr>
          <w:t>Gn 2.6</w:t>
        </w:r>
      </w:hyperlink>
      <w:r>
        <w:t>) a été affecté par la malédiction provoquée par le péché humain (</w:t>
      </w:r>
      <w:hyperlink r:id="rId4669">
        <w:r>
          <w:rPr>
            <w:color w:val="0000EE"/>
            <w:u w:val="single"/>
          </w:rPr>
          <w:t>Gn 3.17–19</w:t>
        </w:r>
      </w:hyperlink>
      <w:r>
        <w:t>). (Les experts environnementaux modernes s'accordent à dire que la terre souffre à cause de la cupidité et de l'arrogance humaines.) Après que le sang d'Abel a été versé sur le sol, la difficulté de Caïn à la cultiver était un rappel constant qu'il avait tué son frère (</w:t>
      </w:r>
      <w:hyperlink r:id="rId8835">
        <w:r>
          <w:rPr>
            <w:color w:val="0000EE"/>
            <w:u w:val="single"/>
          </w:rPr>
          <w:t>Gn 4.8–12</w:t>
        </w:r>
      </w:hyperlink>
      <w:r>
        <w:t>).</w:t>
      </w:r>
    </w:p>
    <w:p>
      <w:r/>
      <w:r>
        <w:t>Les Israélites devaient laisser la terre se reposer chaque septième année (</w:t>
      </w:r>
      <w:hyperlink r:id="rId14361">
        <w:r>
          <w:rPr>
            <w:color w:val="0000EE"/>
            <w:u w:val="single"/>
          </w:rPr>
          <w:t>Ex 23.10–12</w:t>
        </w:r>
      </w:hyperlink>
      <w:r>
        <w:t xml:space="preserve"> ; </w:t>
      </w:r>
      <w:hyperlink r:id="rId14362">
        <w:r>
          <w:rPr>
            <w:color w:val="0000EE"/>
            <w:u w:val="single"/>
          </w:rPr>
          <w:t>Lv 25.4–5</w:t>
        </w:r>
      </w:hyperlink>
      <w:r>
        <w:t>) afin que le sol puisse reconstituer les nutriments épuisés par les cultures. Après sept de ces « années sabbatiques », lors de la cinquantième « année de jubilé », la terre retournerait à ses propriétaires familiaux d'origine (</w:t>
      </w:r>
      <w:hyperlink r:id="rId14363">
        <w:r>
          <w:rPr>
            <w:color w:val="0000EE"/>
            <w:u w:val="single"/>
          </w:rPr>
          <w:t>Lv 25.10–17</w:t>
        </w:r>
      </w:hyperlink>
      <w:r>
        <w:t>). Cette loi rappelait au peuple que Dieu possédait en fin de compte la terre et empêchait l'émergence de puissants propriétaires terriens avec de vastes domaines.</w:t>
      </w:r>
    </w:p>
    <w:p>
      <w:r/>
      <w:r>
        <w:t>La loi mosaïque enseignait également aux Israélites que l'état de la terre était un signe de leur relation avec Dieu. La sécheresse ou de faibles rendements agricoles indiquaient une relation rompue (</w:t>
      </w:r>
      <w:hyperlink r:id="rId2078">
        <w:r>
          <w:rPr>
            <w:color w:val="0000EE"/>
            <w:u w:val="single"/>
          </w:rPr>
          <w:t>Lv 26</w:t>
        </w:r>
      </w:hyperlink>
      <w:r>
        <w:t xml:space="preserve"> ; </w:t>
      </w:r>
      <w:hyperlink r:id="rId3888">
        <w:r>
          <w:rPr>
            <w:color w:val="0000EE"/>
            <w:u w:val="single"/>
          </w:rPr>
          <w:t>Dt 28</w:t>
        </w:r>
      </w:hyperlink>
      <w:r>
        <w:t xml:space="preserve">). Israël était averti que leur méchanceté pourrait devenir si grande que Dieu les chasserait de son pays (voir </w:t>
      </w:r>
      <w:hyperlink r:id="rId14364">
        <w:r>
          <w:rPr>
            <w:color w:val="0000EE"/>
            <w:u w:val="single"/>
          </w:rPr>
          <w:t>Lv 26.37</w:t>
        </w:r>
      </w:hyperlink>
      <w:r>
        <w:t xml:space="preserve"> ; </w:t>
      </w:r>
      <w:hyperlink r:id="rId14365">
        <w:r>
          <w:rPr>
            <w:color w:val="0000EE"/>
            <w:u w:val="single"/>
          </w:rPr>
          <w:t>Dt 28.64</w:t>
        </w:r>
      </w:hyperlink>
      <w:r>
        <w:t>). Quand bien même cela arrivait, Dieu avait promis de finalement restaurer son peuple afin qu'ils puissent être de nouveau mariés à la terre (</w:t>
      </w:r>
      <w:hyperlink r:id="rId14366">
        <w:r>
          <w:rPr>
            <w:color w:val="0000EE"/>
            <w:u w:val="single"/>
          </w:rPr>
          <w:t>Es 62.4</w:t>
        </w:r>
      </w:hyperlink>
      <w:r>
        <w:t>).</w:t>
      </w:r>
    </w:p>
    <w:p>
      <w:r/>
      <w:r>
        <w:t>De nombreux passages de la Bible font référence à un « âge à venir » lorsque la terre sera libérée de sa « servitude de la corruption », et toute la création est dite « gémir » dans l'attente de cela (</w:t>
      </w:r>
      <w:hyperlink r:id="rId10906">
        <w:r>
          <w:rPr>
            <w:color w:val="0000EE"/>
            <w:u w:val="single"/>
          </w:rPr>
          <w:t>Rm 8.19</w:t>
        </w:r>
      </w:hyperlink>
      <w:hyperlink r:id="rId14367">
        <w:r>
          <w:rPr>
            <w:color w:val="0000EE"/>
            <w:u w:val="single"/>
          </w:rPr>
          <w:t>–</w:t>
        </w:r>
      </w:hyperlink>
      <w:hyperlink r:id="rId10906">
        <w:r>
          <w:rPr>
            <w:color w:val="0000EE"/>
            <w:u w:val="single"/>
          </w:rPr>
          <w:t>23</w:t>
        </w:r>
      </w:hyperlink>
      <w:r>
        <w:t>). La Bible décrit un temps de grand renouveau lorsque la fertilité de la terre sera restaurée (</w:t>
      </w:r>
      <w:hyperlink r:id="rId14368">
        <w:r>
          <w:rPr>
            <w:color w:val="0000EE"/>
            <w:u w:val="single"/>
          </w:rPr>
          <w:t>Ez 47</w:t>
        </w:r>
      </w:hyperlink>
      <w:r>
        <w:t xml:space="preserve"> ; </w:t>
      </w:r>
      <w:hyperlink r:id="rId7351">
        <w:r>
          <w:rPr>
            <w:color w:val="0000EE"/>
            <w:u w:val="single"/>
          </w:rPr>
          <w:t>Jl 3.18</w:t>
        </w:r>
      </w:hyperlink>
      <w:r>
        <w:t xml:space="preserve"> ; </w:t>
      </w:r>
      <w:hyperlink r:id="rId863">
        <w:r>
          <w:rPr>
            <w:color w:val="0000EE"/>
            <w:u w:val="single"/>
          </w:rPr>
          <w:t>Am 9.13</w:t>
        </w:r>
      </w:hyperlink>
      <w:hyperlink r:id="rId14367">
        <w:r>
          <w:rPr>
            <w:color w:val="0000EE"/>
            <w:u w:val="single"/>
          </w:rPr>
          <w:t>–</w:t>
        </w:r>
      </w:hyperlink>
      <w:hyperlink r:id="rId863">
        <w:r>
          <w:rPr>
            <w:color w:val="0000EE"/>
            <w:u w:val="single"/>
          </w:rPr>
          <w:t>15</w:t>
        </w:r>
      </w:hyperlink>
      <w:r>
        <w:t xml:space="preserve"> ; </w:t>
      </w:r>
      <w:hyperlink r:id="rId14367">
        <w:r>
          <w:rPr>
            <w:color w:val="0000EE"/>
            <w:u w:val="single"/>
          </w:rPr>
          <w:t>Za 14.6–9</w:t>
        </w:r>
      </w:hyperlink>
      <w:r>
        <w:t xml:space="preserve">). Cependant, un jour, « </w:t>
      </w:r>
      <w:r>
        <w:t>les cieux passeront avec fracas, les éléments embrasés se dissoudront, et la terre avec les œuvres qu’elle renferme sera consumée</w:t>
      </w:r>
      <w:r>
        <w:t xml:space="preserve"> » (</w:t>
      </w:r>
      <w:hyperlink r:id="rId10867">
        <w:r>
          <w:rPr>
            <w:color w:val="0000EE"/>
            <w:u w:val="single"/>
          </w:rPr>
          <w:t>2P 3.10</w:t>
        </w:r>
      </w:hyperlink>
      <w:r>
        <w:t xml:space="preserve">). Pourtant, dans la vision de l'apôtre Jean, il voit « </w:t>
      </w:r>
      <w:r>
        <w:t>un nouveau ciel et une nouvelle terre</w:t>
      </w:r>
      <w:r>
        <w:t xml:space="preserve"> </w:t>
      </w:r>
      <w:r>
        <w:t>; car le premier ciel et la première terre avaient disparu</w:t>
      </w:r>
      <w:r>
        <w:t xml:space="preserve"> » (</w:t>
      </w:r>
      <w:hyperlink r:id="rId7702">
        <w:r>
          <w:rPr>
            <w:color w:val="0000EE"/>
            <w:u w:val="single"/>
          </w:rPr>
          <w:t>Ap 21.1</w:t>
        </w:r>
      </w:hyperlink>
      <w:r>
        <w:t>).</w:t>
      </w:r>
    </w:p>
    <w:p>
      <w:r/>
      <w:r>
        <w:rPr>
          <w:i/>
        </w:rPr>
        <w:t>Voir aussi</w:t>
      </w:r>
      <w:r>
        <w:t xml:space="preserve"> </w:t>
      </w:r>
      <w:r>
        <w:t>Nouveaux Cieux et Nouvelle Terre</w:t>
      </w:r>
      <w:r>
        <w:t>.</w:t>
      </w:r>
      <w:r/>
      <w:r/>
    </w:p>
    <w:p>
      <w:r/>
    </w:p>
    <w:p>
      <w:pPr>
        <w:pStyle w:val="Heading2"/>
      </w:pPr>
      <w:r>
        <w:t>Terre, terrain, pays</w:t>
      </w:r>
      <w:r/>
    </w:p>
    <w:p>
      <w:r/>
      <w:r>
        <w:t>La relation des humains avec la terre est un thème important dans l'Ancien Testament (AT). Dans la Genèse, la terre avec son sol sec a été créée comme un lieu pour que les humains vivent en communion avec Dieu. Les humains ont reçu la tâche de soumettre la terre et de dominer la création animale pour satisfaire leurs propres besoins et pour glorifier le Créateur. Après la chute de l'humanité, celle-ci souffre d'une aliénation non seulement de Dieu et de leurs semblables, mais aussi de la terre sur laquelle elle vivait. L'humanité a été chassée du jardin d'Éden, et la terre est devenue maudite. Les êtres humains ont été contraints de peiner et de suer pour soumettre la terre et subvenir à leurs propres besoins, la récolte se trouvant étouffée par les épines et les ronces.</w:t>
      </w:r>
    </w:p>
    <w:p>
      <w:r/>
      <w:r>
        <w:t>Après avoir tué son frère, Caïn reçoit comme punition une intensification personnelle de la malédiction de la terre. Il lui est dit que cette dernière ne produira rien pour lui, même avec un dur labeur, le forçant à errer d'un endroit à l'autre. Sans patrie permanente, Caïn se voit refuser le plaisir du repos et de la prospérité. À cause du péché, l'aspiration humaine fondamentale du sentiment d'appartenance est refusée à Caïn (</w:t>
      </w:r>
      <w:hyperlink r:id="rId14369">
        <w:r>
          <w:rPr>
            <w:color w:val="0000EE"/>
            <w:u w:val="single"/>
          </w:rPr>
          <w:t>Gn 4.12</w:t>
        </w:r>
      </w:hyperlink>
      <w:r>
        <w:t>).</w:t>
      </w:r>
    </w:p>
    <w:p>
      <w:r/>
      <w:r>
        <w:t xml:space="preserve">Après le Déluge (jugement de Dieu sur une humanité extrêmement méchante), les êtres humains ont de nouveau provoqué la colère de Dieu : la construction de la Tour de Babel exalte la puissance humaine indépendamment de Dieu. Dieu intervient pour confondre la langue humaine et les « disperser sur toute la surface de la terre » (Gn 11.9). </w:t>
      </w:r>
      <w:hyperlink r:id="rId2538">
        <w:r>
          <w:rPr>
            <w:color w:val="0000EE"/>
            <w:u w:val="single"/>
          </w:rPr>
          <w:t>Genèse 1–11</w:t>
        </w:r>
      </w:hyperlink>
      <w:r>
        <w:t xml:space="preserve"> est ainsi caractérisée par une série de récits décrivant la perte de la terre avec ses privations associées comme conséquence du péché et de la rébellion contre Dieu.</w:t>
      </w:r>
    </w:p>
    <w:p>
      <w:pPr>
        <w:pStyle w:val="Heading3"/>
      </w:pPr>
      <w:r>
        <w:t>La Terre et l'Alliance abrahamique</w:t>
      </w:r>
    </w:p>
    <w:p>
      <w:r/>
      <w:r>
        <w:t>À l'époque d'Abraham, Dieu intervient dans les affaires humaines pour offrir une patrie spécifique à un groupe de personnes choisies qui lui sont consacrées. C'est là que le thème de la Terre Promise est introduit dans les Écritures. Dieu dit à Abraham : « Va-t’en de ton pays, de ta patrie, et de la maison de ton père, dans le pays que je te montrerai. Je ferai de toi une grande nation » (</w:t>
      </w:r>
      <w:hyperlink r:id="rId14370">
        <w:r>
          <w:rPr>
            <w:color w:val="0000EE"/>
            <w:u w:val="single"/>
          </w:rPr>
          <w:t>Gn 12.1–2</w:t>
        </w:r>
      </w:hyperlink>
      <w:r>
        <w:t xml:space="preserve">). Cette promesse faite à Abraham est développée dans </w:t>
      </w:r>
      <w:hyperlink r:id="rId87">
        <w:r>
          <w:rPr>
            <w:color w:val="0000EE"/>
            <w:u w:val="single"/>
          </w:rPr>
          <w:t>Genèse 12.7</w:t>
        </w:r>
      </w:hyperlink>
      <w:r>
        <w:t xml:space="preserve"> ; </w:t>
      </w:r>
      <w:hyperlink r:id="rId14371">
        <w:r>
          <w:rPr>
            <w:color w:val="0000EE"/>
            <w:u w:val="single"/>
          </w:rPr>
          <w:t>13.14–18</w:t>
        </w:r>
      </w:hyperlink>
      <w:r>
        <w:t xml:space="preserve"> ; </w:t>
      </w:r>
      <w:hyperlink r:id="rId14372">
        <w:r>
          <w:rPr>
            <w:color w:val="0000EE"/>
            <w:u w:val="single"/>
          </w:rPr>
          <w:t>15.7–21</w:t>
        </w:r>
      </w:hyperlink>
      <w:r>
        <w:t xml:space="preserve"> ; </w:t>
      </w:r>
      <w:hyperlink r:id="rId552">
        <w:r>
          <w:rPr>
            <w:color w:val="0000EE"/>
            <w:u w:val="single"/>
          </w:rPr>
          <w:t>17.7–8</w:t>
        </w:r>
      </w:hyperlink>
      <w:r>
        <w:t xml:space="preserve">. Il est dit à Abraham que le pays de Canaan sera la « </w:t>
      </w:r>
      <w:r>
        <w:t>possession perpétuelle</w:t>
      </w:r>
      <w:r>
        <w:t xml:space="preserve"> » de ses descendants (</w:t>
      </w:r>
      <w:hyperlink r:id="rId3053">
        <w:r>
          <w:rPr>
            <w:color w:val="0000EE"/>
            <w:u w:val="single"/>
          </w:rPr>
          <w:t>17.8</w:t>
        </w:r>
      </w:hyperlink>
      <w:r>
        <w:t>).</w:t>
      </w:r>
    </w:p>
    <w:p>
      <w:r/>
      <w:r>
        <w:t>Le récit de l'AT suit ensuite la lignée d'Abraham à travers Isaac et Jacob, et raconte la migration de la famille de Jacob en Égypte, où pendant environ quatre siècles, ils deviendront un peuple grand et nombreux. Pendant cette période, la promesse de possession du pays de Canaan est réitérée (</w:t>
      </w:r>
      <w:hyperlink r:id="rId14373">
        <w:r>
          <w:rPr>
            <w:color w:val="0000EE"/>
            <w:u w:val="single"/>
          </w:rPr>
          <w:t>Gn 28.15</w:t>
        </w:r>
      </w:hyperlink>
      <w:r>
        <w:t xml:space="preserve"> ; </w:t>
      </w:r>
      <w:hyperlink r:id="rId14374">
        <w:r>
          <w:rPr>
            <w:color w:val="0000EE"/>
            <w:u w:val="single"/>
          </w:rPr>
          <w:t>35.11–12</w:t>
        </w:r>
      </w:hyperlink>
      <w:r>
        <w:t xml:space="preserve"> ; </w:t>
      </w:r>
      <w:hyperlink r:id="rId14375">
        <w:r>
          <w:rPr>
            <w:color w:val="0000EE"/>
            <w:u w:val="single"/>
          </w:rPr>
          <w:t>46.3–4</w:t>
        </w:r>
      </w:hyperlink>
      <w:r>
        <w:t xml:space="preserve"> ; </w:t>
      </w:r>
      <w:hyperlink r:id="rId13780">
        <w:r>
          <w:rPr>
            <w:color w:val="0000EE"/>
            <w:u w:val="single"/>
          </w:rPr>
          <w:t>50.24</w:t>
        </w:r>
      </w:hyperlink>
      <w:r>
        <w:t>) et présentée aux descendants d'Abraham comme un élément intégral des promesses d'alliance de Dieu.</w:t>
      </w:r>
    </w:p>
    <w:p>
      <w:pPr>
        <w:pStyle w:val="Heading3"/>
      </w:pPr>
      <w:r>
        <w:t>La Terre et l'Alliance mosaïque</w:t>
      </w:r>
    </w:p>
    <w:p>
      <w:r/>
      <w:r>
        <w:t xml:space="preserve">Lorsque Dieu appelle Moïse à conduire les Israélites hors d'Égypte, il associe la mission de Moïse à l'accomplissement des promesses faites aux patriarches : « </w:t>
      </w:r>
      <w:r>
        <w:t>je me suis souvenu de mon alliance [</w:t>
      </w:r>
      <w:r>
        <w:t xml:space="preserve">...]. </w:t>
      </w:r>
      <w:r>
        <w:t>Je vous prendrai pour mon peuple, je serai votre Dieu [</w:t>
      </w:r>
      <w:r>
        <w:t xml:space="preserve">...]. </w:t>
      </w:r>
      <w:r>
        <w:t>Je vous ferai entrer dans le pays que j’ai juré de donner à Abraham, à Isaac et à Jacob</w:t>
      </w:r>
      <w:r>
        <w:t xml:space="preserve"> </w:t>
      </w:r>
      <w:r>
        <w:t>; je vous le donnerai en possession</w:t>
      </w:r>
      <w:r>
        <w:t xml:space="preserve"> » (</w:t>
      </w:r>
      <w:hyperlink r:id="rId14376">
        <w:r>
          <w:rPr>
            <w:color w:val="0000EE"/>
            <w:u w:val="single"/>
          </w:rPr>
          <w:t>Ex 6:5–8</w:t>
        </w:r>
      </w:hyperlink>
      <w:r>
        <w:t>). Israël doit être délivré d'Égypte pour deux raisons : premièrement, afin d'être établi comme le peuple de l'alliance de Dieu au mont Sinaï, et deuxièmement, afin de posséder la terre promise à leurs pères. Il est d'une importance capitale, cependant, qu'avec l'établissement de l'alliance mosaïque, la possession continue de la terre soit rendue dépendante de l'obéissance. Si Israël viole les obligations de l'alliance, il s'attirera les malédictions de l'alliance, dont la plus sévère est le bannissement de la Terre Promise (</w:t>
      </w:r>
      <w:hyperlink r:id="rId14377">
        <w:r>
          <w:rPr>
            <w:color w:val="0000EE"/>
            <w:u w:val="single"/>
          </w:rPr>
          <w:t>Lv 26.32–33</w:t>
        </w:r>
      </w:hyperlink>
      <w:r>
        <w:t xml:space="preserve">). Cela ne signifie pas que Dieu abandonnera totalement ou pour toujours son peuple et la terre, car Dieu promet aussi que lorsque le peuple se repentira, « </w:t>
      </w:r>
      <w:r>
        <w:t>Je me souviendrai de mon alliance avec Jacob [</w:t>
      </w:r>
      <w:r>
        <w:t xml:space="preserve">...] </w:t>
      </w:r>
      <w:r>
        <w:t>et je me souviendrai du pays [la terre, littéralement]</w:t>
      </w:r>
      <w:r>
        <w:t xml:space="preserve"> » (</w:t>
      </w:r>
      <w:hyperlink r:id="rId14378">
        <w:r>
          <w:rPr>
            <w:color w:val="0000EE"/>
            <w:u w:val="single"/>
          </w:rPr>
          <w:t>Lv 26.42</w:t>
        </w:r>
      </w:hyperlink>
      <w:r>
        <w:t>).</w:t>
      </w:r>
    </w:p>
    <w:p>
      <w:r/>
      <w:r>
        <w:t>Durant le règne du roi David, la promesse de la terre a reçu à tout le moins un accomplissement provisoire. Bien qu'il soit vrai que l'accomplissement initial ait eu lieu lorsque Josué est entré dans la terre, à cette époque, le territoire ne s'étendait pas jusqu'aux frontières promises à Abraham (</w:t>
      </w:r>
      <w:hyperlink r:id="rId550">
        <w:r>
          <w:rPr>
            <w:color w:val="0000EE"/>
            <w:u w:val="single"/>
          </w:rPr>
          <w:t>Gn 15.18</w:t>
        </w:r>
      </w:hyperlink>
      <w:r>
        <w:t>) et une grande partie de la terre occupée contenait encore des poches de résistance des anciens habitants (</w:t>
      </w:r>
      <w:hyperlink r:id="rId14379">
        <w:r>
          <w:rPr>
            <w:color w:val="0000EE"/>
            <w:u w:val="single"/>
          </w:rPr>
          <w:t>Jos 13.1–6</w:t>
        </w:r>
      </w:hyperlink>
      <w:r>
        <w:t xml:space="preserve"> ; </w:t>
      </w:r>
      <w:hyperlink r:id="rId7574">
        <w:r>
          <w:rPr>
            <w:color w:val="0000EE"/>
            <w:u w:val="single"/>
          </w:rPr>
          <w:t>Jg 1</w:t>
        </w:r>
      </w:hyperlink>
      <w:r>
        <w:t>). Ce n'est qu'à l'époque de David que la terre a été pleinement possédée comme promis à l'origine (</w:t>
      </w:r>
      <w:hyperlink r:id="rId14380">
        <w:r>
          <w:rPr>
            <w:color w:val="0000EE"/>
            <w:u w:val="single"/>
          </w:rPr>
          <w:t>2S 8</w:t>
        </w:r>
      </w:hyperlink>
      <w:r>
        <w:t xml:space="preserve"> ; </w:t>
      </w:r>
      <w:hyperlink r:id="rId14381">
        <w:r>
          <w:rPr>
            <w:color w:val="0000EE"/>
            <w:u w:val="single"/>
          </w:rPr>
          <w:t>1R 4.21, 24</w:t>
        </w:r>
      </w:hyperlink>
      <w:r>
        <w:t>).</w:t>
      </w:r>
    </w:p>
    <w:p>
      <w:r/>
      <w:r>
        <w:t>La responsabilité du roi d'observer la loi, et le lien entre l'obéissance à l'alliance et la possession de la terre sont à nouveau clarifiés lorsque Salomon dédie le temple (</w:t>
      </w:r>
      <w:hyperlink r:id="rId14382">
        <w:r>
          <w:rPr>
            <w:color w:val="0000EE"/>
            <w:u w:val="single"/>
          </w:rPr>
          <w:t>1R 9.4–9</w:t>
        </w:r>
      </w:hyperlink>
      <w:r>
        <w:t>). La désobéissance entraînera non seulement l'expulsion de la terre mais aussi la destruction du temple.</w:t>
      </w:r>
    </w:p>
    <w:p>
      <w:r/>
      <w:r>
        <w:t>L'histoire ultérieure de l'ère des royaumes divisés est principalement une histoire de rupture de l'alliance, par le peuple ainsi que par les rois. Le Seigneur a envoyé des avertissements répétés par l'intermédiaire des prophètes, indiquant que cette désobéissance ne pouvait mener qu'à l'expulsion du pays. Mais leur message est tombé dans l'oreille d'un sourd (</w:t>
      </w:r>
      <w:hyperlink r:id="rId14383">
        <w:r>
          <w:rPr>
            <w:color w:val="0000EE"/>
            <w:u w:val="single"/>
          </w:rPr>
          <w:t>Es 6.11–12</w:t>
        </w:r>
      </w:hyperlink>
      <w:r>
        <w:t xml:space="preserve"> ; </w:t>
      </w:r>
      <w:hyperlink r:id="rId796">
        <w:r>
          <w:rPr>
            <w:color w:val="0000EE"/>
            <w:u w:val="single"/>
          </w:rPr>
          <w:t>Am 5.27</w:t>
        </w:r>
      </w:hyperlink>
      <w:r>
        <w:t xml:space="preserve"> ; </w:t>
      </w:r>
      <w:hyperlink r:id="rId13020">
        <w:r>
          <w:rPr>
            <w:color w:val="0000EE"/>
            <w:u w:val="single"/>
          </w:rPr>
          <w:t>7.17</w:t>
        </w:r>
      </w:hyperlink>
      <w:r>
        <w:t xml:space="preserve"> ; </w:t>
      </w:r>
      <w:hyperlink r:id="rId14384">
        <w:r>
          <w:rPr>
            <w:color w:val="0000EE"/>
            <w:u w:val="single"/>
          </w:rPr>
          <w:t>Os 9.17</w:t>
        </w:r>
      </w:hyperlink>
      <w:r>
        <w:t>). Les rois se sont à maintes reprises révélés indignes de leur fonction.</w:t>
      </w:r>
    </w:p>
    <w:p>
      <w:r/>
      <w:r>
        <w:t>Comme le peuple persistait dans sa mauvaise voie, Jérémie annoncera que Nebucadnetsar devait être l'agent du Seigneur pour les chasser du pays (</w:t>
      </w:r>
      <w:hyperlink r:id="rId14385">
        <w:r>
          <w:rPr>
            <w:color w:val="0000EE"/>
            <w:u w:val="single"/>
          </w:rPr>
          <w:t>Jr 21.2</w:t>
        </w:r>
      </w:hyperlink>
      <w:r>
        <w:t xml:space="preserve"> ; </w:t>
      </w:r>
      <w:hyperlink r:id="rId14386">
        <w:r>
          <w:rPr>
            <w:color w:val="0000EE"/>
            <w:u w:val="single"/>
          </w:rPr>
          <w:t>22.25</w:t>
        </w:r>
      </w:hyperlink>
      <w:r>
        <w:t xml:space="preserve"> ; </w:t>
      </w:r>
      <w:hyperlink r:id="rId14387">
        <w:r>
          <w:rPr>
            <w:color w:val="0000EE"/>
            <w:u w:val="single"/>
          </w:rPr>
          <w:t>25.8–9</w:t>
        </w:r>
      </w:hyperlink>
      <w:r>
        <w:t xml:space="preserve"> ; </w:t>
      </w:r>
      <w:hyperlink r:id="rId14388">
        <w:r>
          <w:rPr>
            <w:color w:val="0000EE"/>
            <w:u w:val="single"/>
          </w:rPr>
          <w:t>27.6</w:t>
        </w:r>
      </w:hyperlink>
      <w:r>
        <w:t xml:space="preserve"> ; </w:t>
      </w:r>
      <w:hyperlink r:id="rId14389">
        <w:r>
          <w:rPr>
            <w:color w:val="0000EE"/>
            <w:u w:val="single"/>
          </w:rPr>
          <w:t>28.14</w:t>
        </w:r>
      </w:hyperlink>
      <w:r>
        <w:t xml:space="preserve"> ; </w:t>
      </w:r>
      <w:hyperlink r:id="rId14390">
        <w:r>
          <w:rPr>
            <w:color w:val="0000EE"/>
            <w:u w:val="single"/>
          </w:rPr>
          <w:t>29.21</w:t>
        </w:r>
      </w:hyperlink>
      <w:r>
        <w:t>). Cependant, Jérémie et d'autres prophètes envisageaient également, au-delà de l'exil, un avenir de restauration et de retour au pays (</w:t>
      </w:r>
      <w:hyperlink r:id="rId14391">
        <w:r>
          <w:rPr>
            <w:color w:val="0000EE"/>
            <w:u w:val="single"/>
          </w:rPr>
          <w:t>Jr 32.6–25</w:t>
        </w:r>
      </w:hyperlink>
      <w:r>
        <w:t>). Historiquement, cela sera accompli sous le règne de Cyrus le Grand de Perse (538 av. J.‑C.) et est décrit dans les livres d'Esdras et de Néhémie.</w:t>
      </w:r>
    </w:p>
    <w:p>
      <w:r/>
      <w:r>
        <w:t xml:space="preserve">Une difficulté d'interprétation surgit lorsqu'il s'agit de trouver une réalisation adéquate de certaines prophéties du retour (voir </w:t>
      </w:r>
      <w:hyperlink r:id="rId4839">
        <w:r>
          <w:rPr>
            <w:color w:val="0000EE"/>
            <w:u w:val="single"/>
          </w:rPr>
          <w:t>Ez 37</w:t>
        </w:r>
      </w:hyperlink>
      <w:r>
        <w:t xml:space="preserve"> ; </w:t>
      </w:r>
      <w:hyperlink r:id="rId14392">
        <w:r>
          <w:rPr>
            <w:color w:val="0000EE"/>
            <w:u w:val="single"/>
          </w:rPr>
          <w:t>Am 9.14–15</w:t>
        </w:r>
      </w:hyperlink>
      <w:r>
        <w:t>), qui envisagent une grande prospérité et une possession permanente de la terre sous le règne d'un roi davidique. La période intertestamentaire ne semble pas être une réalisation adéquate de ces prédictions.</w:t>
      </w:r>
    </w:p>
    <w:p>
      <w:pPr>
        <w:pStyle w:val="Heading3"/>
      </w:pPr>
      <w:r>
        <w:t>La Terre et la Nouvelle Alliance</w:t>
      </w:r>
    </w:p>
    <w:p>
      <w:r/>
      <w:r>
        <w:t>Dans le Nouveau Testament (NT), le thème de la terre est beaucoup moins présent et semble principalement revêtir un symbolisme spirituel. L'auteur de l'épître aux Hébreux suggère qu'Abraham comprenait la promesse de la terre comme quelque chose qui allait au-delà d'un accomplissement simplement géographique vers une demeure céleste plus élevée et bien plus satisfaisante. Conscient de l'imperfection et de la nature transitoire de tout ce que ce monde offre, Abraham regardait au-delà de l'accomplissement temporel de la promesse de la terre vers une ville dont le bâtisseur et créateur est Dieu lui-même (</w:t>
      </w:r>
      <w:hyperlink r:id="rId14393">
        <w:r>
          <w:rPr>
            <w:color w:val="0000EE"/>
            <w:u w:val="single"/>
          </w:rPr>
          <w:t>Hé 11.10</w:t>
        </w:r>
      </w:hyperlink>
      <w:r>
        <w:t xml:space="preserve">), et il cherchait « </w:t>
      </w:r>
      <w:r>
        <w:t>une meilleure [patrie], c’est-à-dire une céleste</w:t>
      </w:r>
      <w:r>
        <w:t xml:space="preserve"> » (v. </w:t>
      </w:r>
      <w:hyperlink r:id="rId14394">
        <w:r>
          <w:rPr>
            <w:color w:val="0000EE"/>
            <w:u w:val="single"/>
          </w:rPr>
          <w:t>16</w:t>
        </w:r>
      </w:hyperlink>
      <w:r>
        <w:t>). Dans le NT, il semble que la promesse de la terre d'Israël et l'entrée en Canaan doivent être comprises comme symbolisant quelque chose du futur repos céleste qui attend le peuple de Dieu (</w:t>
      </w:r>
      <w:hyperlink r:id="rId14395">
        <w:r>
          <w:rPr>
            <w:color w:val="0000EE"/>
            <w:u w:val="single"/>
          </w:rPr>
          <w:t>Hé 3–4</w:t>
        </w:r>
      </w:hyperlink>
      <w:r>
        <w:t>). Cela explique peut-être l'insistance de l'AT sur le lien entre la vie d'Israël dans l'obéissance à la loi de Dieu et leur possession de la terre. Lorsque les Israélites ne vivent pas dans une condition de sainteté, ils se disqualifient eux-mêmes de vivre dans une condition de bénédiction, et sont ainsi soit privés de l'accès à la terre, soit chassés de celle-ci. Le NT indique qu'il est dans le dessein de Dieu de préparer une patrie éternelle pour son peuple où le règne du Roi divin est direct et juste, où toutes choses sont soumises à sa volonté, où la mort et le péché sont abolis, et où les besoins de son peuple sont entièrement satisfaits (</w:t>
      </w:r>
      <w:hyperlink r:id="rId14396">
        <w:r>
          <w:rPr>
            <w:color w:val="0000EE"/>
            <w:u w:val="single"/>
          </w:rPr>
          <w:t>Hé 11.13–16</w:t>
        </w:r>
      </w:hyperlink>
      <w:r>
        <w:t xml:space="preserve"> ; </w:t>
      </w:r>
      <w:hyperlink r:id="rId10051">
        <w:r>
          <w:rPr>
            <w:color w:val="0000EE"/>
            <w:u w:val="single"/>
          </w:rPr>
          <w:t>Ap 21</w:t>
        </w:r>
      </w:hyperlink>
      <w:r>
        <w:t>).</w:t>
      </w:r>
    </w:p>
    <w:p>
      <w:r/>
      <w:r>
        <w:t xml:space="preserve">Les promesses de la terre dans l'AT ont été considérées par certains comme ayant une signification purement symbolique. À la lumière de l'incarnation du Christ, toute déclaration des Écritures concernant un avenir au niveau de la terre doit être interprétée comme accomplie dans un sens spirituel au sein de l'Église. L'Église est désormais le nouvel Israël et l'héritière des promesses de l'AT. Puisque le royaume de Dieu est désormais une réalité spirituelle, ce serait une mauvaise interprétation de l'AT que d'attendre encore des accomplissements futurs des prophéties de l'AT concernant le retour d'Israël sur la terre et l'établissement d'une période de paix et de prospérité sous le règne du Christ, le Fils de David (voir </w:t>
      </w:r>
      <w:hyperlink r:id="rId14397">
        <w:r>
          <w:rPr>
            <w:color w:val="0000EE"/>
            <w:u w:val="single"/>
          </w:rPr>
          <w:t>Es 2.1–5</w:t>
        </w:r>
      </w:hyperlink>
      <w:r>
        <w:t xml:space="preserve"> ; </w:t>
      </w:r>
      <w:hyperlink r:id="rId14398">
        <w:r>
          <w:rPr>
            <w:color w:val="0000EE"/>
            <w:u w:val="single"/>
          </w:rPr>
          <w:t>11.6–11</w:t>
        </w:r>
      </w:hyperlink>
      <w:r>
        <w:t xml:space="preserve"> ; </w:t>
      </w:r>
      <w:hyperlink r:id="rId4839">
        <w:r>
          <w:rPr>
            <w:color w:val="0000EE"/>
            <w:u w:val="single"/>
          </w:rPr>
          <w:t>Ez 37</w:t>
        </w:r>
      </w:hyperlink>
      <w:r>
        <w:t xml:space="preserve"> ; </w:t>
      </w:r>
      <w:hyperlink r:id="rId14392">
        <w:r>
          <w:rPr>
            <w:color w:val="0000EE"/>
            <w:u w:val="single"/>
          </w:rPr>
          <w:t>Am 9.14–15</w:t>
        </w:r>
      </w:hyperlink>
      <w:r>
        <w:t>). Demeurer en Christ est considéré comme un accomplissement adéquat des promesses physiques et géographiques de l'économie de l'AT.</w:t>
      </w:r>
    </w:p>
    <w:p>
      <w:r/>
      <w:r>
        <w:t xml:space="preserve">D'autres, tout en ne niant pas la signification typique de ces réalités de l'AT, suggèrent que les promesses de la terre sont encore valables dans les catégories physiques et géographiques dans lesquelles elles ont été données. Il est souligné que Paul affirme dans </w:t>
      </w:r>
      <w:hyperlink r:id="rId8951">
        <w:r>
          <w:rPr>
            <w:color w:val="0000EE"/>
            <w:u w:val="single"/>
          </w:rPr>
          <w:t>Romains 9–11</w:t>
        </w:r>
      </w:hyperlink>
      <w:r>
        <w:t xml:space="preserve"> qu'il y a encore un avenir pour Israël en tant que nation. Malgré l'histoire de désobéissance d'Israël, culminant dans le rejet du Messie, l'élection et l'appel de Dieu sont irrévocables, et Israël doit encore être regreffé dans l'olivier dont il avait été précédemment coupé. Luc dit que Jérusalem sera foulée aux pieds par les Gentils jusqu'à ce que les temps des Gentils soient accomplis (</w:t>
      </w:r>
      <w:hyperlink r:id="rId2643">
        <w:r>
          <w:rPr>
            <w:color w:val="0000EE"/>
            <w:u w:val="single"/>
          </w:rPr>
          <w:t>Lc 21.24</w:t>
        </w:r>
      </w:hyperlink>
      <w:r>
        <w:t>), indiquant qu'il y aurait un moment futur où Jérusalem sera à nouveau possédée par la nation juive. Cela ne signifie pas nécessairement que l'on doive voir l'État actuel d'Israël comme l'accomplissement direct des promesses de retour à la terre de l'AT. L'AT indique que le retour sera occasionné par la croyance (</w:t>
      </w:r>
      <w:hyperlink r:id="rId14399">
        <w:r>
          <w:rPr>
            <w:color w:val="0000EE"/>
            <w:u w:val="single"/>
          </w:rPr>
          <w:t>Dt 30.1–16</w:t>
        </w:r>
      </w:hyperlink>
      <w:r>
        <w:t>). Le retour actuel se vit dans l'incrédulité. En même temps, la préservation remarquable du peuple juif au fil des siècles et le rétablissement récent de la nation sont peut-être à comprendre comme des anticipations ou des signes d'une réalisation future et plus complète des promesses de la terre de l'AT.</w:t>
      </w:r>
      <w:r/>
      <w:r/>
    </w:p>
    <w:p>
      <w:r/>
    </w:p>
    <w:p>
      <w:pPr>
        <w:pStyle w:val="Heading2"/>
      </w:pPr>
      <w:r>
        <w:t>Tertulle</w:t>
      </w:r>
      <w:r/>
    </w:p>
    <w:p>
      <w:r/>
      <w:r>
        <w:t>Procureur choisi par le Sanhédrin pour diriger le procès de Paul devant Félix, procurateur romain de Judée (</w:t>
      </w:r>
      <w:hyperlink r:id="rId14400">
        <w:r>
          <w:rPr>
            <w:color w:val="0000EE"/>
            <w:u w:val="single"/>
          </w:rPr>
          <w:t>Ac 24.1–2</w:t>
        </w:r>
      </w:hyperlink>
      <w:r>
        <w:t xml:space="preserve">). Il n'est pas clair si Tertulle était Romain, Grec ou Juif. Les principaux arguments en faveur de sa judéité proviennent des références à « notre loi » et de la mention que Lysias avait pris Paul de « nos mains ». Cependant, ces mots font partie de deux versets (v. </w:t>
      </w:r>
      <w:hyperlink r:id="rId14401">
        <w:r>
          <w:rPr>
            <w:color w:val="0000EE"/>
            <w:u w:val="single"/>
          </w:rPr>
          <w:t>6b-7</w:t>
        </w:r>
      </w:hyperlink>
      <w:r>
        <w:t>) qui ne sont pas inclus dans les manuscrits les plus anciens.</w:t>
      </w:r>
    </w:p>
    <w:p>
      <w:r/>
      <w:r>
        <w:t>Vu la rapidité avec laquelle les Juifs ont pu le présenter, il était probablement un avocat professionnel qui pratiquait régulièrement le droit devant le tribunal romain. Son discours (</w:t>
      </w:r>
      <w:hyperlink r:id="rId14402">
        <w:r>
          <w:rPr>
            <w:color w:val="0000EE"/>
            <w:u w:val="single"/>
          </w:rPr>
          <w:t>Ac 24.2–8</w:t>
        </w:r>
      </w:hyperlink>
      <w:r>
        <w:t>) commence par un mot de flatterie pour Félix. Il poursuit en accusant Paul d'être un fauteur de troubles publics, un perturbateur de la paix et un chef de la secte des Nazaréens. Toutes ces accusations étaient graves selon la loi romaine.</w:t>
      </w:r>
      <w:r/>
      <w:r/>
    </w:p>
    <w:p>
      <w:r/>
    </w:p>
    <w:p>
      <w:pPr>
        <w:pStyle w:val="Heading2"/>
      </w:pPr>
      <w:r>
        <w:t>tête</w:t>
      </w:r>
      <w:r/>
    </w:p>
    <w:p>
      <w:r/>
      <w:r>
        <w:t>La partie la plus haute du corps, située au-dessus du cou, qui contient le cerveau, les principaux organes sensoriels et la bouche. Elle est amplement mentionnée dans la Bible. Le terme hébreu qui signifie « tête » est également souvent utilisé au sens figuré dans l'Ancien Testament (AT), désignant souvent la prééminence ou l'autorité.</w:t>
      </w:r>
    </w:p>
    <w:p>
      <w:r/>
      <w:r>
        <w:t>Élever la tête de quelqu'un signifie de mettre quelqu'un en avant (</w:t>
      </w:r>
      <w:hyperlink r:id="rId5554">
        <w:r>
          <w:rPr>
            <w:color w:val="0000EE"/>
            <w:u w:val="single"/>
          </w:rPr>
          <w:t>Gn 40.20</w:t>
        </w:r>
      </w:hyperlink>
      <w:r>
        <w:t>) ou de lui donner de l'importance (</w:t>
      </w:r>
      <w:hyperlink r:id="rId14403">
        <w:r>
          <w:rPr>
            <w:color w:val="0000EE"/>
            <w:u w:val="single"/>
          </w:rPr>
          <w:t>Ps 27.6</w:t>
        </w:r>
      </w:hyperlink>
      <w:r>
        <w:t>). Élever sa propre tête pouvait indiquer l'orgueil (</w:t>
      </w:r>
      <w:hyperlink r:id="rId14404">
        <w:r>
          <w:rPr>
            <w:color w:val="0000EE"/>
            <w:u w:val="single"/>
          </w:rPr>
          <w:t>Jg 8.28</w:t>
        </w:r>
      </w:hyperlink>
      <w:r>
        <w:t xml:space="preserve"> ; </w:t>
      </w:r>
      <w:hyperlink r:id="rId14405">
        <w:r>
          <w:rPr>
            <w:color w:val="0000EE"/>
            <w:u w:val="single"/>
          </w:rPr>
          <w:t>Ps 83.2</w:t>
        </w:r>
      </w:hyperlink>
      <w:r>
        <w:t>). Courber ou laisser retomber la tête était un signe d'humilité (</w:t>
      </w:r>
      <w:hyperlink r:id="rId3807">
        <w:r>
          <w:rPr>
            <w:color w:val="0000EE"/>
            <w:u w:val="single"/>
          </w:rPr>
          <w:t>Es 58.5</w:t>
        </w:r>
      </w:hyperlink>
      <w:r>
        <w:t>) ou de tristesse (</w:t>
      </w:r>
      <w:hyperlink r:id="rId14406">
        <w:r>
          <w:rPr>
            <w:color w:val="0000EE"/>
            <w:u w:val="single"/>
          </w:rPr>
          <w:t>Lm 2.10</w:t>
        </w:r>
      </w:hyperlink>
      <w:r>
        <w:t>). Relever la tête signifie alors ne plus être humilié ou triste (</w:t>
      </w:r>
      <w:hyperlink r:id="rId14407">
        <w:r>
          <w:rPr>
            <w:color w:val="0000EE"/>
            <w:u w:val="single"/>
          </w:rPr>
          <w:t>Ps 3.3</w:t>
        </w:r>
      </w:hyperlink>
      <w:r>
        <w:t xml:space="preserve">). </w:t>
      </w:r>
    </w:p>
    <w:p>
      <w:r/>
      <w:r>
        <w:t>Dans l'hébreu biblique, le mot « tête » sert aussi à désigner le sommet d'une montagne (</w:t>
      </w:r>
      <w:hyperlink r:id="rId14408">
        <w:r>
          <w:rPr>
            <w:color w:val="0000EE"/>
            <w:u w:val="single"/>
          </w:rPr>
          <w:t>Gn 8.5</w:t>
        </w:r>
      </w:hyperlink>
      <w:r>
        <w:t>), de bâtiments (</w:t>
      </w:r>
      <w:hyperlink r:id="rId14409">
        <w:r>
          <w:rPr>
            <w:color w:val="0000EE"/>
            <w:u w:val="single"/>
          </w:rPr>
          <w:t>Gn 11.4</w:t>
        </w:r>
      </w:hyperlink>
      <w:r>
        <w:t>) ou d'arbres (</w:t>
      </w:r>
      <w:hyperlink r:id="rId14410">
        <w:r>
          <w:rPr>
            <w:color w:val="0000EE"/>
            <w:u w:val="single"/>
          </w:rPr>
          <w:t>2S 5.24</w:t>
        </w:r>
      </w:hyperlink>
      <w:r>
        <w:t>), ainsi que la source d'une rivière ou d'un fleuve (</w:t>
      </w:r>
      <w:hyperlink r:id="rId14411">
        <w:r>
          <w:rPr>
            <w:color w:val="0000EE"/>
            <w:u w:val="single"/>
          </w:rPr>
          <w:t>Gn 2.10</w:t>
        </w:r>
      </w:hyperlink>
      <w:r>
        <w:t>). Le terme était couramment utilisé pour désigner des positions d'autorité politique, militaire ou familiale et souvent traduit « chef ». Dans ce sens, la « tête » exerçait un contrôle sur tous ceux qui lui étaient soumis (</w:t>
      </w:r>
      <w:hyperlink r:id="rId14412">
        <w:r>
          <w:rPr>
            <w:color w:val="0000EE"/>
            <w:u w:val="single"/>
          </w:rPr>
          <w:t xml:space="preserve">Jg 10.18 </w:t>
        </w:r>
      </w:hyperlink>
      <w:r>
        <w:t xml:space="preserve">; </w:t>
      </w:r>
      <w:hyperlink r:id="rId14413">
        <w:r>
          <w:rPr>
            <w:color w:val="0000EE"/>
            <w:u w:val="single"/>
          </w:rPr>
          <w:t xml:space="preserve">1S 15.17 </w:t>
        </w:r>
      </w:hyperlink>
      <w:r>
        <w:t xml:space="preserve">; </w:t>
      </w:r>
      <w:hyperlink r:id="rId14414">
        <w:r>
          <w:rPr>
            <w:color w:val="0000EE"/>
            <w:u w:val="single"/>
          </w:rPr>
          <w:t xml:space="preserve">Ps 18.43 </w:t>
        </w:r>
      </w:hyperlink>
      <w:r>
        <w:t xml:space="preserve">; </w:t>
      </w:r>
      <w:hyperlink r:id="rId14415">
        <w:r>
          <w:rPr>
            <w:color w:val="0000EE"/>
            <w:u w:val="single"/>
          </w:rPr>
          <w:t xml:space="preserve">Es 7.8–9 </w:t>
        </w:r>
      </w:hyperlink>
      <w:r>
        <w:t xml:space="preserve">; </w:t>
      </w:r>
      <w:hyperlink r:id="rId14416">
        <w:r>
          <w:rPr>
            <w:color w:val="0000EE"/>
            <w:u w:val="single"/>
          </w:rPr>
          <w:t xml:space="preserve">Jr 31.7 </w:t>
        </w:r>
      </w:hyperlink>
      <w:r>
        <w:t xml:space="preserve">; </w:t>
      </w:r>
      <w:hyperlink r:id="rId4838">
        <w:r>
          <w:rPr>
            <w:color w:val="0000EE"/>
            <w:u w:val="single"/>
          </w:rPr>
          <w:t>Os 1.11</w:t>
        </w:r>
      </w:hyperlink>
      <w:r>
        <w:t xml:space="preserve">). Dans </w:t>
      </w:r>
      <w:hyperlink r:id="rId4736">
        <w:r>
          <w:rPr>
            <w:color w:val="0000EE"/>
            <w:u w:val="single"/>
          </w:rPr>
          <w:t>1 Samuel 28.2</w:t>
        </w:r>
      </w:hyperlink>
      <w:r>
        <w:t>, l'expression traduite « l</w:t>
      </w:r>
      <w:r>
        <w:t>a garde de ma personne</w:t>
      </w:r>
      <w:r>
        <w:t xml:space="preserve"> » est littéralement « le gardien de ma tête » en hébreu (voir aussi </w:t>
      </w:r>
      <w:hyperlink r:id="rId10381">
        <w:r>
          <w:rPr>
            <w:color w:val="0000EE"/>
            <w:u w:val="single"/>
          </w:rPr>
          <w:t xml:space="preserve">Jg 9.53 </w:t>
        </w:r>
      </w:hyperlink>
      <w:r>
        <w:t xml:space="preserve">; </w:t>
      </w:r>
      <w:hyperlink r:id="rId14417">
        <w:r>
          <w:rPr>
            <w:color w:val="0000EE"/>
            <w:u w:val="single"/>
          </w:rPr>
          <w:t>Ps 68.21</w:t>
        </w:r>
      </w:hyperlink>
      <w:r>
        <w:t>).</w:t>
      </w:r>
    </w:p>
    <w:p>
      <w:r/>
      <w:r>
        <w:t>Les philosophes grecs utilisaient l'image d'un corps pour représenter l'univers. La tête de ce corps (appelée Zeus ou le Verbe) était responsable de la création et de l'entretien des autres membres (les êtres célestes, l'humanité, les animaux, les plantes et les objets inanimés). Le « corps », c'est à dire l'univers, devait son existence à la « tête ».</w:t>
      </w:r>
    </w:p>
    <w:p>
      <w:r/>
      <w:r>
        <w:t>Entre 460 av. J.‑C. (date généralement estimée des premiers écrits d'Hippocrate) et 200 apr. J.‑C. (date de la mort de Galien, qui a développé les découvertes d'Hippocrate), la science médicale grecque a compris que la tête était le siège de l'intelligence. Le corps pouvait fonctionner efficacement uniquement parce que le cerveau était capable d'interpréter les données reçues du corps (yeux, oreilles, peau, etc.). Le cerveau envoyait ensuite des impulsions adaptées aux différents membres du corps, en fonction des données reçues. La capacité du cerveau à interpréter et à diriger rendait le corps complètement dépendant de lui.</w:t>
      </w:r>
    </w:p>
    <w:p>
      <w:r/>
      <w:r>
        <w:t>Dans le Nouveau Testament, le mot « tête » peut désigner au sens littéral celles d'êtres humains (</w:t>
      </w:r>
      <w:hyperlink r:id="rId3322">
        <w:r>
          <w:rPr>
            <w:color w:val="0000EE"/>
            <w:u w:val="single"/>
          </w:rPr>
          <w:t xml:space="preserve">Mt 5.36 </w:t>
        </w:r>
      </w:hyperlink>
      <w:r>
        <w:t xml:space="preserve">; </w:t>
      </w:r>
      <w:hyperlink r:id="rId11229">
        <w:r>
          <w:rPr>
            <w:color w:val="0000EE"/>
            <w:u w:val="single"/>
          </w:rPr>
          <w:t xml:space="preserve">6.17 </w:t>
        </w:r>
      </w:hyperlink>
      <w:r>
        <w:t xml:space="preserve">; </w:t>
      </w:r>
      <w:hyperlink r:id="rId14418">
        <w:r>
          <w:rPr>
            <w:color w:val="0000EE"/>
            <w:u w:val="single"/>
          </w:rPr>
          <w:t xml:space="preserve">14.8 </w:t>
        </w:r>
      </w:hyperlink>
      <w:r>
        <w:t xml:space="preserve">; </w:t>
      </w:r>
      <w:hyperlink r:id="rId14419">
        <w:r>
          <w:rPr>
            <w:color w:val="0000EE"/>
            <w:u w:val="single"/>
          </w:rPr>
          <w:t xml:space="preserve">26.7 </w:t>
        </w:r>
      </w:hyperlink>
      <w:r>
        <w:t xml:space="preserve">; </w:t>
      </w:r>
      <w:hyperlink r:id="rId14420">
        <w:r>
          <w:rPr>
            <w:color w:val="0000EE"/>
            <w:u w:val="single"/>
          </w:rPr>
          <w:t xml:space="preserve">Mc 6.27 </w:t>
        </w:r>
      </w:hyperlink>
      <w:r>
        <w:t xml:space="preserve">; </w:t>
      </w:r>
      <w:hyperlink r:id="rId8392">
        <w:r>
          <w:rPr>
            <w:color w:val="0000EE"/>
            <w:u w:val="single"/>
          </w:rPr>
          <w:t xml:space="preserve">14.3 </w:t>
        </w:r>
      </w:hyperlink>
      <w:r>
        <w:t xml:space="preserve">; </w:t>
      </w:r>
      <w:hyperlink r:id="rId14421">
        <w:r>
          <w:rPr>
            <w:color w:val="0000EE"/>
            <w:u w:val="single"/>
          </w:rPr>
          <w:t xml:space="preserve">Lc 7.46 </w:t>
        </w:r>
      </w:hyperlink>
      <w:r>
        <w:t xml:space="preserve">; </w:t>
      </w:r>
      <w:hyperlink r:id="rId14422">
        <w:r>
          <w:rPr>
            <w:color w:val="0000EE"/>
            <w:u w:val="single"/>
          </w:rPr>
          <w:t xml:space="preserve">Jn 13.9 </w:t>
        </w:r>
      </w:hyperlink>
      <w:r>
        <w:t xml:space="preserve">; </w:t>
      </w:r>
      <w:hyperlink r:id="rId14423">
        <w:r>
          <w:rPr>
            <w:color w:val="0000EE"/>
            <w:u w:val="single"/>
          </w:rPr>
          <w:t>20.7</w:t>
        </w:r>
      </w:hyperlink>
      <w:r>
        <w:t>), d'êtres célestes (</w:t>
      </w:r>
      <w:hyperlink r:id="rId2097">
        <w:r>
          <w:rPr>
            <w:color w:val="0000EE"/>
            <w:u w:val="single"/>
          </w:rPr>
          <w:t xml:space="preserve">Ap 1.14 </w:t>
        </w:r>
      </w:hyperlink>
      <w:r>
        <w:t xml:space="preserve">; </w:t>
      </w:r>
      <w:hyperlink r:id="rId3343">
        <w:r>
          <w:rPr>
            <w:color w:val="0000EE"/>
            <w:u w:val="single"/>
          </w:rPr>
          <w:t xml:space="preserve">4.4 </w:t>
        </w:r>
      </w:hyperlink>
      <w:r>
        <w:t xml:space="preserve">; </w:t>
      </w:r>
      <w:hyperlink r:id="rId14424">
        <w:r>
          <w:rPr>
            <w:color w:val="0000EE"/>
            <w:u w:val="single"/>
          </w:rPr>
          <w:t>12.1</w:t>
        </w:r>
      </w:hyperlink>
      <w:r>
        <w:t>) ou d'animaux (</w:t>
      </w:r>
      <w:hyperlink r:id="rId14425">
        <w:r>
          <w:rPr>
            <w:color w:val="0000EE"/>
            <w:u w:val="single"/>
          </w:rPr>
          <w:t xml:space="preserve">Ap 9.7, 17, 19 </w:t>
        </w:r>
      </w:hyperlink>
      <w:r>
        <w:t xml:space="preserve">; </w:t>
      </w:r>
      <w:hyperlink r:id="rId3414">
        <w:r>
          <w:rPr>
            <w:color w:val="0000EE"/>
            <w:u w:val="single"/>
          </w:rPr>
          <w:t>12.3</w:t>
        </w:r>
      </w:hyperlink>
      <w:r>
        <w:t>). « Amasser des charbons ardents sur la tête » de quelqu'un se produit lorsqu'on rend le bien pour le mal (</w:t>
      </w:r>
      <w:hyperlink r:id="rId12882">
        <w:r>
          <w:rPr>
            <w:color w:val="0000EE"/>
            <w:u w:val="single"/>
          </w:rPr>
          <w:t>Rm 12.20</w:t>
        </w:r>
      </w:hyperlink>
      <w:r>
        <w:t>). Il est question de « se raser la tête » pour signifier un vœu pris devant Dieu (</w:t>
      </w:r>
      <w:hyperlink r:id="rId14426">
        <w:r>
          <w:rPr>
            <w:color w:val="0000EE"/>
            <w:u w:val="single"/>
          </w:rPr>
          <w:t>Ac 21.24</w:t>
        </w:r>
      </w:hyperlink>
      <w:r>
        <w:t>) et de « poser la tête » dans le sens de dormir (</w:t>
      </w:r>
      <w:hyperlink r:id="rId5703">
        <w:r>
          <w:rPr>
            <w:color w:val="0000EE"/>
            <w:u w:val="single"/>
          </w:rPr>
          <w:t xml:space="preserve">Mt 8.20 </w:t>
        </w:r>
      </w:hyperlink>
      <w:r>
        <w:t xml:space="preserve">; </w:t>
      </w:r>
      <w:hyperlink r:id="rId2672">
        <w:r>
          <w:rPr>
            <w:color w:val="0000EE"/>
            <w:u w:val="single"/>
          </w:rPr>
          <w:t>Lc 9.58</w:t>
        </w:r>
      </w:hyperlink>
      <w:r>
        <w:t>).</w:t>
      </w:r>
    </w:p>
    <w:p>
      <w:r/>
      <w:r>
        <w:t>L'apôtre Paul utilise le sens métaphorique du mot « tête » dans l'AT, qui communique l'autorité, pour exprimer celle de Dieu sur Christ, de Christ sur l'homme et de l'homme sur la femme (</w:t>
      </w:r>
      <w:hyperlink r:id="rId14427">
        <w:r>
          <w:rPr>
            <w:color w:val="0000EE"/>
            <w:u w:val="single"/>
          </w:rPr>
          <w:t>1Co 11.3–16</w:t>
        </w:r>
      </w:hyperlink>
      <w:r>
        <w:t xml:space="preserve"> ; </w:t>
      </w:r>
      <w:hyperlink r:id="rId5540">
        <w:r>
          <w:rPr>
            <w:color w:val="0000EE"/>
            <w:u w:val="single"/>
          </w:rPr>
          <w:t>Ep 5.23</w:t>
        </w:r>
      </w:hyperlink>
      <w:r>
        <w:t>). Christ est aussi décrit comme le « chef » (l'original en grec dit « la tête ») de l'univers (</w:t>
      </w:r>
      <w:hyperlink r:id="rId14428">
        <w:r>
          <w:rPr>
            <w:color w:val="0000EE"/>
            <w:u w:val="single"/>
          </w:rPr>
          <w:t>Ep 1.21–22</w:t>
        </w:r>
      </w:hyperlink>
      <w:r>
        <w:t xml:space="preserve"> ; </w:t>
      </w:r>
      <w:hyperlink r:id="rId2929">
        <w:r>
          <w:rPr>
            <w:color w:val="0000EE"/>
            <w:u w:val="single"/>
          </w:rPr>
          <w:t>Col 2.10</w:t>
        </w:r>
      </w:hyperlink>
      <w:r>
        <w:t>).</w:t>
      </w:r>
    </w:p>
    <w:p>
      <w:r/>
      <w:r>
        <w:t>Paul utilise aussi l'image de la tête (la LSG traduit « chef ») et du corps pour décrire la relation entre Christ et son Église (</w:t>
      </w:r>
      <w:hyperlink r:id="rId4567">
        <w:r>
          <w:rPr>
            <w:color w:val="0000EE"/>
            <w:u w:val="single"/>
          </w:rPr>
          <w:t>Ep 4.15</w:t>
        </w:r>
      </w:hyperlink>
      <w:r>
        <w:t xml:space="preserve"> ; </w:t>
      </w:r>
      <w:hyperlink r:id="rId5540">
        <w:r>
          <w:rPr>
            <w:color w:val="0000EE"/>
            <w:u w:val="single"/>
          </w:rPr>
          <w:t>5.23</w:t>
        </w:r>
      </w:hyperlink>
      <w:r>
        <w:t xml:space="preserve"> ; </w:t>
      </w:r>
      <w:hyperlink r:id="rId4575">
        <w:r>
          <w:rPr>
            <w:color w:val="0000EE"/>
            <w:u w:val="single"/>
          </w:rPr>
          <w:t>1Co 12.12–27</w:t>
        </w:r>
      </w:hyperlink>
      <w:r>
        <w:t>). En plus du concept de tête signifiant une personne d'autorité dans l'AT, il est possible que les connaissances médicales de l'époque font partie de ce que Paul signifie quand il appelle Christ la tête de l'Église, qui est son corps. En effet, Christ n'est pas seulement le chef de l'Église mais aussi celui qui lui donne sa direction et son unité. La capacité de l'Église à fonctionner et le point focal de son activité proviennent de sa « tête », Jésus-Christ. Pour cette raison, certains érudits modernes ont soutenu que la notion de tête ne signifie pas tant Christ en tant qu'« autorité » que Christ en tant que « source » de l'Église. Celui qui est la tête est la source d'origine. Selon cette interprétation, Dieu est la source de Christ, Christ de l'homme et l'homme de la femme.</w:t>
      </w:r>
      <w:r/>
      <w:r/>
    </w:p>
    <w:p>
      <w:r/>
    </w:p>
    <w:p>
      <w:pPr>
        <w:pStyle w:val="Heading2"/>
      </w:pPr>
      <w:r>
        <w:t>Tétrarque</w:t>
      </w:r>
      <w:r/>
    </w:p>
    <w:p>
      <w:r/>
      <w:r>
        <w:t>Un tétrarque était un dirigeant qui gouvernait une partie de province romaine. Les tétrarques étaient des dirigeants dans leurs régions, mais n'étaient pas assez puissants pour être appelés des rois. Ce titre était utilisé dans certaines provinces romaines dont la Thessalie, la Galatie et la Syrie.</w:t>
      </w:r>
    </w:p>
    <w:p>
      <w:r/>
      <w:r>
        <w:t>Le titre de « tétrarque » a peut-être été inventé pour désigner à l'origine des gouverneurs qui régnaient sur le quart d'une région ou d'un pays, comme c'était le cas en Syrie après la mort d'Hérode le Grand (« tetras » signifie quatre en grec et « arqué » signifie chef). Au temps du Nouveau Testament, le terme n'avait plus forcément cette signification. Le titre était donné uniquement à des princes d'importance secondaire.</w:t>
      </w:r>
    </w:p>
    <w:p>
      <w:r/>
      <w:r>
        <w:t>Trois tétrarques sont mentionnés dans la Bible. Luc rapporte qu'Hérode Antipas était tétrarque de Galilée. Il identifie également Philippe comme tétrarque d'Iturée et de Trachonite, et Lysanias comme tétrarque de l'Abilène (</w:t>
      </w:r>
      <w:hyperlink r:id="rId2222">
        <w:r>
          <w:rPr>
            <w:color w:val="0000EE"/>
            <w:u w:val="single"/>
          </w:rPr>
          <w:t>Lc 3.1</w:t>
        </w:r>
      </w:hyperlink>
      <w:r>
        <w:t>). Le seul tétrarque mentionné ailleurs dans la Bible est Hérode (</w:t>
      </w:r>
      <w:hyperlink r:id="rId14429">
        <w:r>
          <w:rPr>
            <w:color w:val="0000EE"/>
            <w:u w:val="single"/>
          </w:rPr>
          <w:t>Mt 14.1</w:t>
        </w:r>
      </w:hyperlink>
      <w:r>
        <w:t xml:space="preserve"> ; </w:t>
      </w:r>
      <w:hyperlink r:id="rId14430">
        <w:r>
          <w:rPr>
            <w:color w:val="0000EE"/>
            <w:u w:val="single"/>
          </w:rPr>
          <w:t>Lc 3.19</w:t>
        </w:r>
      </w:hyperlink>
      <w:r>
        <w:t xml:space="preserve"> ; </w:t>
      </w:r>
      <w:hyperlink r:id="rId14431">
        <w:r>
          <w:rPr>
            <w:color w:val="0000EE"/>
            <w:u w:val="single"/>
          </w:rPr>
          <w:t>9.7</w:t>
        </w:r>
      </w:hyperlink>
      <w:r>
        <w:t xml:space="preserve"> ; </w:t>
      </w:r>
      <w:hyperlink r:id="rId3034">
        <w:r>
          <w:rPr>
            <w:color w:val="0000EE"/>
            <w:u w:val="single"/>
          </w:rPr>
          <w:t>Ac 13.1</w:t>
        </w:r>
      </w:hyperlink>
      <w:r>
        <w:t>). Toutefois, Hérode est également appelé « roi » par ses sujets Juifs, ce qui montre qu'il était considéré comme un dirigeant plus important que les autres (</w:t>
      </w:r>
      <w:hyperlink r:id="rId14432">
        <w:r>
          <w:rPr>
            <w:color w:val="0000EE"/>
            <w:u w:val="single"/>
          </w:rPr>
          <w:t>Mt 14.9</w:t>
        </w:r>
      </w:hyperlink>
      <w:r>
        <w:t xml:space="preserve"> ; </w:t>
      </w:r>
      <w:hyperlink r:id="rId14433">
        <w:r>
          <w:rPr>
            <w:color w:val="0000EE"/>
            <w:u w:val="single"/>
          </w:rPr>
          <w:t>Mc 6.14</w:t>
        </w:r>
      </w:hyperlink>
      <w:r>
        <w:t>).</w:t>
      </w:r>
      <w:r/>
      <w:r/>
    </w:p>
    <w:p>
      <w:r/>
    </w:p>
    <w:p>
      <w:pPr>
        <w:pStyle w:val="Heading2"/>
      </w:pPr>
      <w:r>
        <w:t>Thaddée, l'apôtre</w:t>
      </w:r>
      <w:r/>
    </w:p>
    <w:p>
      <w:r/>
      <w:r>
        <w:t xml:space="preserve">Un des 12 apôtres originaux selon les listes dans </w:t>
      </w:r>
      <w:hyperlink r:id="rId586">
        <w:r>
          <w:rPr>
            <w:color w:val="0000EE"/>
            <w:u w:val="single"/>
          </w:rPr>
          <w:t>Marc 3.18</w:t>
        </w:r>
      </w:hyperlink>
      <w:r>
        <w:t xml:space="preserve"> et </w:t>
      </w:r>
      <w:hyperlink r:id="rId585">
        <w:r>
          <w:rPr>
            <w:color w:val="0000EE"/>
            <w:u w:val="single"/>
          </w:rPr>
          <w:t>Matthieu 10.3</w:t>
        </w:r>
      </w:hyperlink>
      <w:r>
        <w:t xml:space="preserve">. Il est fort probable que ce soit la même personne que Judas, fils de Jacques (pas l'Iscariote, mais l'autre Judas), dans </w:t>
      </w:r>
      <w:hyperlink r:id="rId7809">
        <w:r>
          <w:rPr>
            <w:color w:val="0000EE"/>
            <w:u w:val="single"/>
          </w:rPr>
          <w:t>Luc 6.16</w:t>
        </w:r>
      </w:hyperlink>
      <w:r>
        <w:t xml:space="preserve"> et </w:t>
      </w:r>
      <w:hyperlink r:id="rId588">
        <w:r>
          <w:rPr>
            <w:color w:val="0000EE"/>
            <w:u w:val="single"/>
          </w:rPr>
          <w:t>Actes 1.13</w:t>
        </w:r>
      </w:hyperlink>
      <w:r>
        <w:t xml:space="preserve">. </w:t>
      </w:r>
      <w:r>
        <w:rPr>
          <w:i/>
        </w:rPr>
        <w:t>Voir</w:t>
      </w:r>
      <w:r>
        <w:t xml:space="preserve"> </w:t>
      </w:r>
      <w:r>
        <w:t>apôtre, apostolat</w:t>
      </w:r>
      <w:r>
        <w:t>.</w:t>
      </w:r>
      <w:r/>
      <w:r/>
    </w:p>
    <w:p>
      <w:r/>
    </w:p>
    <w:p>
      <w:pPr>
        <w:pStyle w:val="Heading2"/>
      </w:pPr>
      <w:r>
        <w:t>Théâtre</w:t>
      </w:r>
      <w:r/>
    </w:p>
    <w:p>
      <w:r/>
      <w:r>
        <w:t>Scène plate et semi-circulaire entourée d'un auditorium en plein air, création grecque du 6e siècle av. J.‑C. Un chœur et des acteurs se produisaient dans l'orchestre, et le public était assis sur la colline surélevée devant eux. Le premier genre dramatique était la tragédie, qui célébrait les exploits du dieu Dionysos et commençait par un sacrifice sur l'autel dans l'orchestre. Plus tard se développera la comédie.</w:t>
      </w:r>
    </w:p>
    <w:p>
      <w:r/>
      <w:r>
        <w:t>L'âge d'or d'Athènes (vers 450 av. J.‑C.) était également l'âge d'or du drame grec : avec les œuvres, notamment, de Sophocle, Euripide et Eschyle. En ces temps-là, les spectateurs s'asseyaient par terre ou sur les sièges en bois du Théâtre de Dionysos à Athènes, situé sur le versant sud de l'Acropole. Au cours du 4e siècle av. J.‑C., les théâtres en Grèce seront équipés de sièges en pierre disposés en gradins concentriques contre une colline concave, l'orchestre, lui, étant pavé.</w:t>
      </w:r>
    </w:p>
    <w:p>
      <w:r/>
      <w:r>
        <w:t>Aux 2e et 1er siècles av. J.‑C., de grands théâtres en pierre seront construits partout dans l'Orient hellénistique. En ces temps-là, une scène surélevée était érigée contre le côté droit du demi-cercle de l'orchestre. L'action se déroulait désormais sur la scène. L'auditorium d'un théâtre typique se composait de trois grandes bandes de sièges, divisées en grands quartiers par les escaliers donnant accès aux places assises. La scène élaborée était construite en pierre et comportait des loges et des salles de stockage. L'orchestre, lui, restait toujours pavé.</w:t>
      </w:r>
    </w:p>
    <w:p>
      <w:r/>
      <w:r>
        <w:t>Bien que le théâtre ait été initialement destiné aux événements dramatiques, il en viendra à être utilisé pour une variété de réunions publiques, car c'était l'une des plus grandes structures disponibles. Le grand théâtre d'Éphèse, par exemple, pouvait accueillir environ 25 000 personnes ; le théâtre de Dionysos à Athènes, environ 17 000 ; et le théâtre sud de Jerash de la Décapole, environ 5 000.</w:t>
      </w:r>
    </w:p>
    <w:p>
      <w:r/>
      <w:r>
        <w:t>Le théâtre est à distinguer de l'odéon, qui avait la forme d'un théâtre mais était couvert. L'odéon ne pouvait accueillir que 1 000 ou 2 000 personnes et était utilisé principalement pour des événements musicaux. Il doit également être distingué de l'amphithéâtre, qui était une structure autonome en pierre, comme le Colisée de Rome et l'arène de Vérone, avec une arène ovale entourée de gradins concentriques et utilisée pour des combats de gladiateurs, des chasses aux bêtes sauvages et d'autres événements similaires. Ce n'est qu'occasionnellement, comme à Salamine à Chypre et Césarée en Palestine, que les théâtres étaient des structures en pierre autonomes ; ils étaient presque toujours construits à flanc de colline.</w:t>
      </w:r>
    </w:p>
    <w:p>
      <w:r/>
      <w:r>
        <w:t>À l'époque du Nouveau Testament, des théâtres étaient construits dans les villes gréco-romaines de tout le monde méditerranéen. Ils feront même leur apparition en Palestine, à la suite des activités hellénisantes d'Hérode le Grand, qui construira des théâtres de style grec à Samarie, Césarée et Jérusalem.</w:t>
      </w:r>
    </w:p>
    <w:p>
      <w:r/>
      <w:r>
        <w:t>Un seul théâtre (celui d'Éphèse) figure spécifiquement dans le Nouveau Testament (</w:t>
      </w:r>
      <w:hyperlink r:id="rId14434">
        <w:r>
          <w:rPr>
            <w:color w:val="0000EE"/>
            <w:u w:val="single"/>
          </w:rPr>
          <w:t>Ac 19.29–41</w:t>
        </w:r>
      </w:hyperlink>
      <w:r>
        <w:t>).</w:t>
      </w:r>
    </w:p>
    <w:p>
      <w:r/>
      <w:r>
        <w:rPr>
          <w:i/>
        </w:rPr>
        <w:t>Voir aussi</w:t>
      </w:r>
      <w:r>
        <w:t xml:space="preserve"> </w:t>
      </w:r>
      <w:r>
        <w:t>Architecture</w:t>
      </w:r>
      <w:r>
        <w:t>.</w:t>
      </w:r>
      <w:r/>
      <w:r/>
    </w:p>
    <w:p>
      <w:r/>
    </w:p>
    <w:p>
      <w:pPr>
        <w:pStyle w:val="Heading2"/>
      </w:pPr>
      <w:r>
        <w:t>Thébach (Personne)</w:t>
      </w:r>
      <w:r/>
    </w:p>
    <w:p>
      <w:r/>
      <w:r>
        <w:t>Fils du frère d'Abraham, Nachor (</w:t>
      </w:r>
      <w:hyperlink r:id="rId3035">
        <w:r>
          <w:rPr>
            <w:color w:val="0000EE"/>
            <w:u w:val="single"/>
          </w:rPr>
          <w:t>Gn 22.24</w:t>
        </w:r>
      </w:hyperlink>
      <w:r>
        <w:t>). Sa mère était Réuma, la concubine de Nachor.</w:t>
      </w:r>
      <w:r/>
      <w:r/>
    </w:p>
    <w:p>
      <w:r/>
    </w:p>
    <w:p>
      <w:pPr>
        <w:pStyle w:val="Heading2"/>
      </w:pPr>
      <w:r>
        <w:t>Théma (Personne)</w:t>
      </w:r>
      <w:r/>
    </w:p>
    <w:p>
      <w:r/>
      <w:r>
        <w:t>Neuvième fils d'Ismaël, devenu chef d'une puissante tribu nomade dans le désert nord-arabique (</w:t>
      </w:r>
      <w:hyperlink r:id="rId6167">
        <w:r>
          <w:rPr>
            <w:color w:val="0000EE"/>
            <w:u w:val="single"/>
          </w:rPr>
          <w:t>Gn 25.15</w:t>
        </w:r>
      </w:hyperlink>
      <w:r>
        <w:t xml:space="preserve"> ; </w:t>
      </w:r>
      <w:hyperlink r:id="rId504">
        <w:r>
          <w:rPr>
            <w:color w:val="0000EE"/>
            <w:u w:val="single"/>
          </w:rPr>
          <w:t>1Ch 1.30</w:t>
        </w:r>
      </w:hyperlink>
      <w:r>
        <w:t xml:space="preserve"> ; </w:t>
      </w:r>
      <w:hyperlink r:id="rId1678">
        <w:r>
          <w:rPr>
            <w:color w:val="0000EE"/>
            <w:u w:val="single"/>
          </w:rPr>
          <w:t>Jr 25.23</w:t>
        </w:r>
      </w:hyperlink>
      <w:r>
        <w:t>). Les descendants de Théma étaient principalement des commerçants de caravanes qui contrôlaient l'accès aux routes importantes à travers le désert (</w:t>
      </w:r>
      <w:hyperlink r:id="rId14435">
        <w:r>
          <w:rPr>
            <w:color w:val="0000EE"/>
            <w:u w:val="single"/>
          </w:rPr>
          <w:t>Jb 6.19</w:t>
        </w:r>
      </w:hyperlink>
      <w:r>
        <w:t xml:space="preserve">). Théma était également associé à un territoire et à une ville. </w:t>
      </w:r>
      <w:r>
        <w:rPr>
          <w:i/>
        </w:rPr>
        <w:t>Voir</w:t>
      </w:r>
      <w:r>
        <w:t xml:space="preserve"> </w:t>
      </w:r>
      <w:r>
        <w:t>Théma (Lieu)</w:t>
      </w:r>
      <w:r>
        <w:t>.</w:t>
      </w:r>
      <w:r/>
      <w:r/>
    </w:p>
    <w:p>
      <w:r/>
    </w:p>
    <w:p>
      <w:pPr>
        <w:pStyle w:val="Heading2"/>
      </w:pPr>
      <w:r>
        <w:t>Théophile</w:t>
      </w:r>
      <w:r/>
    </w:p>
    <w:p>
      <w:pPr>
        <w:pStyle w:val="ListNumber"/>
        <w:spacing w:line="240" w:lineRule="auto"/>
        <w:ind w:left="720"/>
      </w:pPr>
      <w:r/>
      <w:r>
        <w:t>Personne pour qui Luc a écrit deux des livres du Nouveau Testament : l'Évangile de Luc et les Actes des Apôtres (</w:t>
      </w:r>
      <w:hyperlink r:id="rId9213">
        <w:r>
          <w:rPr>
            <w:color w:val="0000EE"/>
            <w:u w:val="single"/>
          </w:rPr>
          <w:t>Lc 1.3</w:t>
        </w:r>
      </w:hyperlink>
      <w:r>
        <w:t xml:space="preserve"> ; </w:t>
      </w:r>
      <w:hyperlink r:id="rId14436">
        <w:r>
          <w:rPr>
            <w:color w:val="0000EE"/>
            <w:u w:val="single"/>
          </w:rPr>
          <w:t>Ac 1.1</w:t>
        </w:r>
      </w:hyperlink>
      <w:r>
        <w:t>). Le nom « Théophile » signifie soit « ami de Dieu », soit « aimé de Dieu » en grec. En raison de cette signification, certaines personnes pensent que Théophile pourrait ne pas être le nom d'une personne réelle. Elles suggèrent qu'il pourrait s'agir d'un titre utilisé pour s'adresser à tous les lecteurs de ces livres.</w:t>
      </w:r>
    </w:p>
    <w:p>
      <w:r/>
      <w:r>
        <w:t>Cependant, cela est peu probable pour deux raisons. Premièrement, le Nouveau Testament utilise généralement de vrais noms plutôt que des titres lorsqu'il s'adresse aux gens. Deuxièmement, Luc appelle Théophile « excellent », un terme de respect utilisé pour les fonctionnaires importants. Paul, par exemple, a utilisé ce même titre en parlant à Festus, et à la fois Claude Lysias et Tertulle l'ont utilisé en s'adressant à Félix (</w:t>
      </w:r>
      <w:hyperlink r:id="rId137">
        <w:r>
          <w:rPr>
            <w:color w:val="0000EE"/>
            <w:u w:val="single"/>
          </w:rPr>
          <w:t>Ac 23.26</w:t>
        </w:r>
      </w:hyperlink>
      <w:r>
        <w:t xml:space="preserve"> ; </w:t>
      </w:r>
      <w:hyperlink r:id="rId14437">
        <w:r>
          <w:rPr>
            <w:color w:val="0000EE"/>
            <w:u w:val="single"/>
          </w:rPr>
          <w:t>24.2–3</w:t>
        </w:r>
      </w:hyperlink>
      <w:r>
        <w:t xml:space="preserve"> ; </w:t>
      </w:r>
      <w:hyperlink r:id="rId139">
        <w:r>
          <w:rPr>
            <w:color w:val="0000EE"/>
            <w:u w:val="single"/>
          </w:rPr>
          <w:t>26:25</w:t>
        </w:r>
      </w:hyperlink>
      <w:r>
        <w:t>).</w:t>
      </w:r>
    </w:p>
    <w:p>
      <w:r/>
      <w:r>
        <w:t>Bien que Théophile ait probablement été une personne importante dans la société, nous ne savons pas exactement quelle fonction il occupait.</w:t>
      </w:r>
    </w:p>
    <w:p>
      <w:pPr>
        <w:pStyle w:val="ListNumber"/>
        <w:spacing w:line="240" w:lineRule="auto"/>
        <w:ind w:left="720"/>
      </w:pPr>
      <w:r/>
      <w:r>
        <w:t>Grand prêtre juif de 37–41 apr. J.‑C. Il est issu d'une famille religieuse importante. Son père était Anne, son frère était Jonathan, et son beau-frère était Caïphe. Vitellius, qui gouvernait la région pour Rome, a nommé Théophile grand prêtre après Jonathan. Le roi Hérode Agrippa a ensuite retiré Théophile de cette position.</w:t>
      </w:r>
    </w:p>
    <w:p>
      <w:r/>
      <w:r>
        <w:t>C'était probablement ce Théophile qui était le grand prêtre qui a donné à Paul la permission d'arrêter les chrétiens. Bien qu'il ait joué ce rôle important, son nom n'apparaît pas dans le Nouveau Testament.</w:t>
      </w:r>
      <w:r/>
      <w:r/>
    </w:p>
    <w:p>
      <w:r/>
    </w:p>
    <w:p>
      <w:pPr>
        <w:pStyle w:val="Heading2"/>
      </w:pPr>
      <w:r>
        <w:t>Théresch</w:t>
      </w:r>
      <w:r/>
    </w:p>
    <w:p>
      <w:r/>
      <w:r>
        <w:t>Théresch était l'un des deux officiers de confiance (appelés chambellans) qui gardaient les appartements privés du roi Assuérus (également appelé Xerxès). Théresch et l'autre garde ont élaboré un plan pour tuer le roi. Cependant, Mardochée a découvert ce plan et l'a révélé à la reine Esther. Elle en a averti le roi, et les deux gardes ont été mis à mort (</w:t>
      </w:r>
      <w:hyperlink r:id="rId1987">
        <w:r>
          <w:rPr>
            <w:color w:val="0000EE"/>
            <w:u w:val="single"/>
          </w:rPr>
          <w:t>Est 2.21–23</w:t>
        </w:r>
      </w:hyperlink>
      <w:r>
        <w:t xml:space="preserve"> ; </w:t>
      </w:r>
      <w:hyperlink r:id="rId1986">
        <w:r>
          <w:rPr>
            <w:color w:val="0000EE"/>
            <w:u w:val="single"/>
          </w:rPr>
          <w:t>6.2</w:t>
        </w:r>
      </w:hyperlink>
      <w:r>
        <w:t>).</w:t>
      </w:r>
      <w:r/>
      <w:r/>
    </w:p>
    <w:p>
      <w:r/>
    </w:p>
    <w:p>
      <w:pPr>
        <w:pStyle w:val="Heading2"/>
      </w:pPr>
      <w:r>
        <w:t>Thessaloniciens, Première Lettre aux</w:t>
      </w:r>
      <w:r/>
    </w:p>
    <w:p>
      <w:r/>
      <w:r>
        <w:t>Première lettre de Paul à l'Église de Thessalonique.</w:t>
      </w:r>
    </w:p>
    <w:p>
      <w:r/>
      <w:r>
        <w:t>Vue d'ensemble</w:t>
      </w:r>
    </w:p>
    <w:p>
      <w:r/>
      <w:r>
        <w:t xml:space="preserve">• </w:t>
      </w:r>
      <w:r>
        <w:rPr>
          <w:b/>
          <w:u w:val="single"/>
        </w:rPr>
        <w:t>Auteur(s)</w:t>
      </w:r>
    </w:p>
    <w:p>
      <w:r/>
      <w:r>
        <w:t xml:space="preserve">• </w:t>
      </w:r>
      <w:r>
        <w:rPr>
          <w:b/>
          <w:u w:val="single"/>
        </w:rPr>
        <w:t>Date, origine et destinataires</w:t>
      </w:r>
    </w:p>
    <w:p>
      <w:r/>
      <w:r>
        <w:t xml:space="preserve">• </w:t>
      </w:r>
      <w:r>
        <w:rPr>
          <w:b/>
          <w:u w:val="single"/>
        </w:rPr>
        <w:t>Objectif</w:t>
      </w:r>
    </w:p>
    <w:p>
      <w:r/>
      <w:r>
        <w:t xml:space="preserve">• </w:t>
      </w:r>
      <w:r>
        <w:rPr>
          <w:b/>
          <w:u w:val="single"/>
        </w:rPr>
        <w:t>Résumé</w:t>
      </w:r>
    </w:p>
    <w:p>
      <w:pPr>
        <w:pStyle w:val="Heading3"/>
      </w:pPr>
      <w:r>
        <w:t>Auteur(s)</w:t>
      </w:r>
    </w:p>
    <w:p>
      <w:r/>
      <w:r>
        <w:t>Les noms de Paul, Silas (en grec « Silvain ») et Timothée figurent dans l'en-tête de cette lettre. Comme c'est le cas pour d'autres lettres de Paul, il est possible que ses collaborateurs aient participé à sa rédaction. Souvent, les pronoms pluriels « nous » sont conservés, mais « moi, Paul » (</w:t>
      </w:r>
      <w:hyperlink r:id="rId13593">
        <w:r>
          <w:rPr>
            <w:color w:val="0000EE"/>
            <w:u w:val="single"/>
          </w:rPr>
          <w:t>1Th 2.18</w:t>
        </w:r>
      </w:hyperlink>
      <w:r>
        <w:t xml:space="preserve">) et le pronom singulier à d'autres endroits (voir </w:t>
      </w:r>
      <w:hyperlink r:id="rId14438">
        <w:r>
          <w:rPr>
            <w:color w:val="0000EE"/>
            <w:u w:val="single"/>
          </w:rPr>
          <w:t>3.5</w:t>
        </w:r>
      </w:hyperlink>
      <w:r>
        <w:t xml:space="preserve"> ; </w:t>
      </w:r>
      <w:hyperlink r:id="rId1944">
        <w:r>
          <w:rPr>
            <w:color w:val="0000EE"/>
            <w:u w:val="single"/>
          </w:rPr>
          <w:t>5.27</w:t>
        </w:r>
      </w:hyperlink>
      <w:r>
        <w:t>) montrent que la lettre était essentiellement de la part de Paul. Depuis le 19e siècle, quelques experts ont remis en question la paternité paulinienne de l'épître, mais sans raisons convaincantes. Les questions abordées dans cette lettre sont manifestement celles auxquelles une Église aux premiers stades de son existence était confrontée. À la lumière des différences d'expression entre cette lettre et d'autres lettres pauliniennes, certains ont suggéré que Silvain ou Timothée ont pu jouer un rôle important dans sa rédaction, mais cela reste incertain. L'Église primitive n'avait aucun doute sur la paternité de la lettre.</w:t>
      </w:r>
    </w:p>
    <w:p>
      <w:pPr>
        <w:pStyle w:val="Heading3"/>
      </w:pPr>
      <w:r>
        <w:t>Date, origine et destinataires</w:t>
      </w:r>
    </w:p>
    <w:p>
      <w:r/>
      <w:r>
        <w:t xml:space="preserve">La lettre est adressée spécifiquement à « </w:t>
      </w:r>
      <w:r>
        <w:t>l’Église des Thessaloniciens</w:t>
      </w:r>
      <w:r>
        <w:t xml:space="preserve"> » (</w:t>
      </w:r>
      <w:hyperlink r:id="rId4556">
        <w:r>
          <w:rPr>
            <w:color w:val="0000EE"/>
            <w:u w:val="single"/>
          </w:rPr>
          <w:t>1.1</w:t>
        </w:r>
      </w:hyperlink>
      <w:r>
        <w:t xml:space="preserve">). Selon </w:t>
      </w:r>
      <w:hyperlink r:id="rId14439">
        <w:r>
          <w:rPr>
            <w:color w:val="0000EE"/>
            <w:u w:val="single"/>
          </w:rPr>
          <w:t>Actes 17.1–9</w:t>
        </w:r>
      </w:hyperlink>
      <w:r>
        <w:t>, Paul, accompagné de Silas (Silvain) et Timothée, au cours de leur travail missionnaire dans la province romaine de Macédoine, est allé de Philippes à Thessalonique. Il s'est rendu d'abord, comme de coutume pour lui, à la synagogue. Pendant trois sabbats, il expliquera et prouvera depuis les Écritures que Christ devait souffrir et ressusciter des morts, déclarant que c'est Jésus qui était ce Christ. Certains Juifs ont cru en Jésus comme leur Messie, tout comme de nombreux Grecs craignant Dieu et plusieurs femmes influentes. Cependant, les Juifs susciteront ensuite de l'opposition, de sorte que Paul et ses collaborateurs devront quitter Thessalonique.</w:t>
      </w:r>
    </w:p>
    <w:p>
      <w:r/>
      <w:r>
        <w:t>Le temps réel passé à Thessalonique était probablement de plus de trois semaines. Dans cette lettre, Paul parle de travailler pour subvenir à ses besoins afin de ne pas être un fardeau pour les Thessaloniciens (</w:t>
      </w:r>
      <w:hyperlink r:id="rId5523">
        <w:r>
          <w:rPr>
            <w:color w:val="0000EE"/>
            <w:u w:val="single"/>
          </w:rPr>
          <w:t>1Th 2.9</w:t>
        </w:r>
      </w:hyperlink>
      <w:r>
        <w:t xml:space="preserve">). Les références concernant ses actions et attitudes parmi eux impliquent un temps plus long, et </w:t>
      </w:r>
      <w:hyperlink r:id="rId14440">
        <w:r>
          <w:rPr>
            <w:color w:val="0000EE"/>
            <w:u w:val="single"/>
          </w:rPr>
          <w:t>Philippiens 4.16</w:t>
        </w:r>
      </w:hyperlink>
      <w:r>
        <w:t xml:space="preserve"> mentionne que les chrétiens de Philippes ont envoyé deux fois de l'aide à Paul à Thessalonique.</w:t>
      </w:r>
    </w:p>
    <w:p>
      <w:r/>
      <w:r>
        <w:t>Avec Silas, et vraisemblablement Timothée, Paul se rendra ensuite à Bérée, et ses collaborateurs resteront sur place lorsque Paul se rend à Athènes (</w:t>
      </w:r>
      <w:hyperlink r:id="rId1797">
        <w:r>
          <w:rPr>
            <w:color w:val="0000EE"/>
            <w:u w:val="single"/>
          </w:rPr>
          <w:t>Ac 17.10–15</w:t>
        </w:r>
      </w:hyperlink>
      <w:r>
        <w:t>). Lorsque Timothée rejoint Paul à Athènes, Paul enverra ce premier auprès des chrétiens de Thessalonique. Il était en effet préoccupé par la manière dont ils faisaient face à l'opposition qui faisait rage. Timothée reviendra de Thessalonique portant de bonnes nouvelles. C'est après cela que Paul écrira cette lettre.</w:t>
      </w:r>
    </w:p>
    <w:p>
      <w:r/>
      <w:hyperlink r:id="rId13977">
        <w:r>
          <w:rPr>
            <w:color w:val="0000EE"/>
            <w:u w:val="single"/>
          </w:rPr>
          <w:t>Actes 18.5</w:t>
        </w:r>
      </w:hyperlink>
      <w:r>
        <w:t xml:space="preserve"> parle du fait que Timothée et Silas sont revenus de Macédoine vers l'apôtre à Corinthe. C'est probablement depuis Corinthe, au début de son séjour de dix-huit mois, que Paul a écrit cette lettre. Étant donné que son travail à Corinthe peut être approximativement daté, cette épître a probablement été écrite au début de l'année 50, environ un an après la première prédication de l'Évangile à Thessalonique.</w:t>
      </w:r>
    </w:p>
    <w:p>
      <w:pPr>
        <w:pStyle w:val="Heading3"/>
      </w:pPr>
      <w:r>
        <w:t>Objectif</w:t>
      </w:r>
    </w:p>
    <w:p>
      <w:r/>
      <w:r>
        <w:t xml:space="preserve">C'est le rapport de Timothée sur la situation à Thessalonique qui a incité Paul à écrire cette lettre. Il est possible que Timothée ait même apporté une lettre des Thessaloniciens. C'est la manière dont Paul introduit certains sujets qui peut laisser entendre cela (« </w:t>
      </w:r>
      <w:r>
        <w:t>Pour ce qui est de l’amour fraternel</w:t>
      </w:r>
      <w:r>
        <w:t xml:space="preserve"> », </w:t>
      </w:r>
      <w:hyperlink r:id="rId2992">
        <w:r>
          <w:rPr>
            <w:color w:val="0000EE"/>
            <w:u w:val="single"/>
          </w:rPr>
          <w:t>4.9</w:t>
        </w:r>
      </w:hyperlink>
      <w:r>
        <w:t xml:space="preserve"> ; « </w:t>
      </w:r>
      <w:r>
        <w:t>au sujet de ceux qui dorment</w:t>
      </w:r>
      <w:r>
        <w:t xml:space="preserve"> », </w:t>
      </w:r>
      <w:hyperlink r:id="rId3831">
        <w:r>
          <w:rPr>
            <w:color w:val="0000EE"/>
            <w:u w:val="single"/>
          </w:rPr>
          <w:t>4.13</w:t>
        </w:r>
      </w:hyperlink>
      <w:r>
        <w:t xml:space="preserve"> ; « </w:t>
      </w:r>
      <w:r>
        <w:t>Pour ce qui est des temps et des moments</w:t>
      </w:r>
      <w:r>
        <w:t xml:space="preserve"> », </w:t>
      </w:r>
      <w:hyperlink r:id="rId14441">
        <w:r>
          <w:rPr>
            <w:color w:val="0000EE"/>
            <w:u w:val="single"/>
          </w:rPr>
          <w:t>5.1</w:t>
        </w:r>
      </w:hyperlink>
      <w:r>
        <w:t>) pour dire ensuite qu'il n'avait pas besoin de leur écrire à ce sujet. Il y avait plusieurs raisons pour lesquelles Paul a écrit aux Thessaloniciens :</w:t>
      </w:r>
    </w:p>
    <w:p>
      <w:r/>
      <w:r>
        <w:t>1. Il voulait féliciter les chrétiens de Thessalonique pour leur foi et leur dévouement, qui étaient devenus largement connus comme un exemple pour les autres (</w:t>
      </w:r>
      <w:hyperlink r:id="rId14442">
        <w:r>
          <w:rPr>
            <w:color w:val="0000EE"/>
            <w:u w:val="single"/>
          </w:rPr>
          <w:t>1.7–10</w:t>
        </w:r>
      </w:hyperlink>
      <w:r>
        <w:t>).</w:t>
      </w:r>
    </w:p>
    <w:p>
      <w:r/>
      <w:r>
        <w:t>2. Il réalisait que la persécution qu'il avait subie à Thessalonique avait continué pour ceux qu'il avait laissés derrière, et il voulait les encourager à rester fermes (</w:t>
      </w:r>
      <w:hyperlink r:id="rId14443">
        <w:r>
          <w:rPr>
            <w:color w:val="0000EE"/>
            <w:u w:val="single"/>
          </w:rPr>
          <w:t>2.13–16</w:t>
        </w:r>
      </w:hyperlink>
      <w:r>
        <w:t>). Il avait eu peur pour eux, mais s'est trouvé ravi par la nouvelle de leur fermeté (</w:t>
      </w:r>
      <w:hyperlink r:id="rId14444">
        <w:r>
          <w:rPr>
            <w:color w:val="0000EE"/>
            <w:u w:val="single"/>
          </w:rPr>
          <w:t>3.1–10</w:t>
        </w:r>
      </w:hyperlink>
      <w:r>
        <w:t>).</w:t>
      </w:r>
    </w:p>
    <w:p>
      <w:r/>
      <w:r>
        <w:t xml:space="preserve">3. Il y avait ceux qui avaient déformé la vision que l'on pouvait avoir de l'apôtre à Thessalonique (peut-être les Juifs qui avaient initié l'opposition contre lui lorsqu'il était là, voir </w:t>
      </w:r>
      <w:hyperlink r:id="rId12064">
        <w:r>
          <w:rPr>
            <w:color w:val="0000EE"/>
            <w:u w:val="single"/>
          </w:rPr>
          <w:t>Ac 17.5</w:t>
        </w:r>
      </w:hyperlink>
      <w:r>
        <w:t>). Ils ont probablement dit qu'il n'était qu'un charlatan religieux qui les avait détournés de leur religion vers sa nouvelle foi, et qu'ils ne le reverraient jamais. L'apôtre leur rappelle donc ses méthodes et son attitude parmi eux (</w:t>
      </w:r>
      <w:hyperlink r:id="rId14445">
        <w:r>
          <w:rPr>
            <w:color w:val="0000EE"/>
            <w:u w:val="single"/>
          </w:rPr>
          <w:t>1Th 2.1–12</w:t>
        </w:r>
      </w:hyperlink>
      <w:r>
        <w:t xml:space="preserve">) et parle de son désirs et de ses plans pour les revoir (v. </w:t>
      </w:r>
      <w:hyperlink r:id="rId14446">
        <w:r>
          <w:rPr>
            <w:color w:val="0000EE"/>
            <w:u w:val="single"/>
          </w:rPr>
          <w:t>17–18</w:t>
        </w:r>
      </w:hyperlink>
      <w:r>
        <w:t>).</w:t>
      </w:r>
    </w:p>
    <w:p>
      <w:r/>
      <w:r>
        <w:t>4. Il était également nécessaire d'exhorter les chrétiens de Thessalonique à vivre selon les barèmes chrétiens, en particulier en matière de moralité sexuelle (</w:t>
      </w:r>
      <w:hyperlink r:id="rId14447">
        <w:r>
          <w:rPr>
            <w:color w:val="0000EE"/>
            <w:u w:val="single"/>
          </w:rPr>
          <w:t>4.1–8</w:t>
        </w:r>
      </w:hyperlink>
      <w:r>
        <w:t>). D'autres questions concernant leur mode de vie et leurs relations au sein de la communauté chrétienne nécessitaient également une attention particulière (</w:t>
      </w:r>
      <w:hyperlink r:id="rId14448">
        <w:r>
          <w:rPr>
            <w:color w:val="0000EE"/>
            <w:u w:val="single"/>
          </w:rPr>
          <w:t>4.9–12</w:t>
        </w:r>
      </w:hyperlink>
      <w:r>
        <w:t xml:space="preserve"> ; </w:t>
      </w:r>
      <w:hyperlink r:id="rId14449">
        <w:r>
          <w:rPr>
            <w:color w:val="0000EE"/>
            <w:u w:val="single"/>
          </w:rPr>
          <w:t>5.12–22</w:t>
        </w:r>
      </w:hyperlink>
      <w:r>
        <w:t>).</w:t>
      </w:r>
    </w:p>
    <w:p>
      <w:r/>
      <w:r>
        <w:t>5. Il avait aussi comme préoccupation majeure de corriger les idées fausses des chrétiens de Thessalonique concernant ceux qui étaient morts et la seconde venue du Seigneur (</w:t>
      </w:r>
      <w:hyperlink r:id="rId14450">
        <w:r>
          <w:rPr>
            <w:color w:val="0000EE"/>
            <w:u w:val="single"/>
          </w:rPr>
          <w:t>4.13–18</w:t>
        </w:r>
      </w:hyperlink>
      <w:r>
        <w:t>). En lien avec l'espérance future, il y avait aussi la question des « temps et des saisons », et Paul répètera l'enseignement qu'il avait donné lorsqu'il était parmi eux (</w:t>
      </w:r>
      <w:hyperlink r:id="rId14451">
        <w:r>
          <w:rPr>
            <w:color w:val="0000EE"/>
            <w:u w:val="single"/>
          </w:rPr>
          <w:t>5.1–11</w:t>
        </w:r>
      </w:hyperlink>
      <w:r>
        <w:t>).</w:t>
      </w:r>
    </w:p>
    <w:p>
      <w:r/>
      <w:r>
        <w:t>6. Il se peut également qu'il y ait eu un danger de désunion qui ait conduit l'apôtre à souligner la communion de tous les croyants (</w:t>
      </w:r>
      <w:hyperlink r:id="rId1944">
        <w:r>
          <w:rPr>
            <w:color w:val="0000EE"/>
            <w:u w:val="single"/>
          </w:rPr>
          <w:t>5.27</w:t>
        </w:r>
      </w:hyperlink>
      <w:r>
        <w:t xml:space="preserve">), à les exhorter à ne pas dénigrer les dons spirituels (v. </w:t>
      </w:r>
      <w:hyperlink r:id="rId14452">
        <w:r>
          <w:rPr>
            <w:color w:val="0000EE"/>
            <w:u w:val="single"/>
          </w:rPr>
          <w:t>19–21</w:t>
        </w:r>
      </w:hyperlink>
      <w:r>
        <w:t xml:space="preserve">), et à ne pas manquer de respect envers leurs responsables (v. </w:t>
      </w:r>
      <w:hyperlink r:id="rId14453">
        <w:r>
          <w:rPr>
            <w:color w:val="0000EE"/>
            <w:u w:val="single"/>
          </w:rPr>
          <w:t>12</w:t>
        </w:r>
      </w:hyperlink>
      <w:r>
        <w:t>).</w:t>
      </w:r>
    </w:p>
    <w:p>
      <w:pPr>
        <w:pStyle w:val="Heading3"/>
      </w:pPr>
      <w:r>
        <w:t>Contenu</w:t>
      </w:r>
    </w:p>
    <w:p>
      <w:pPr>
        <w:pStyle w:val="Heading4"/>
      </w:pPr>
      <w:r>
        <w:t>Actions de grâce pour la réponse des Thessaloniciens à l'Évangile (</w:t>
      </w:r>
      <w:hyperlink r:id="rId14454">
        <w:r>
          <w:rPr>
            <w:color w:val="0000EE"/>
            <w:u w:val="single"/>
          </w:rPr>
          <w:t>1.2–10</w:t>
        </w:r>
      </w:hyperlink>
      <w:r>
        <w:t>)</w:t>
      </w:r>
    </w:p>
    <w:p>
      <w:r/>
      <w:r>
        <w:t>Paul prie avec gratitude que, dans leurs vies, les fruits de la foi, de l'amour et de l'espérance soient évidents. L'Évangile leur était parvenu avec la puissance du Saint-Esprit, soutenu par la vie de ses messagers. Bien que recevoir l'Évangile ait impliqué la souffrance, leur foi était néanmoins un exemple pour les chrétiens des provinces romaines de Macédoine et d'Achaïe. Les Thessaloniciens s'étaient tournés vers le Dieu vivant en abandonnant les idoles, indiquant que la plupart des croyants étaient des Gentils plutôt que des Juifs.</w:t>
      </w:r>
    </w:p>
    <w:p>
      <w:pPr>
        <w:pStyle w:val="Heading4"/>
      </w:pPr>
      <w:r>
        <w:t>Paul défend son ministère à Thessalonique (</w:t>
      </w:r>
      <w:hyperlink r:id="rId14445">
        <w:r>
          <w:rPr>
            <w:color w:val="0000EE"/>
            <w:u w:val="single"/>
          </w:rPr>
          <w:t>2.1–12</w:t>
        </w:r>
      </w:hyperlink>
      <w:r>
        <w:t>)</w:t>
      </w:r>
    </w:p>
    <w:p>
      <w:r/>
      <w:r>
        <w:t>En raison de fausses accusations portées contre lui, Paul juge nécessaire de défendre son ministère. Il venait de subir une persécution à Philippes et devait affronter une « grande opposition » à Thessalonique. Il n'y avait aucune ruse dans sa tentative de les convaincre de la vérité de l'Évangile. Cet Évangile lui avait été confié par Dieu, et son seul désir était de le leur transmettre en toute intégrité.</w:t>
      </w:r>
    </w:p>
    <w:p>
      <w:pPr>
        <w:pStyle w:val="Heading4"/>
      </w:pPr>
      <w:r>
        <w:t>L'acceptation de l'Évangile par les Thessaloniciens (</w:t>
      </w:r>
      <w:hyperlink r:id="rId14443">
        <w:r>
          <w:rPr>
            <w:color w:val="0000EE"/>
            <w:u w:val="single"/>
          </w:rPr>
          <w:t>2.13–16</w:t>
        </w:r>
      </w:hyperlink>
      <w:r>
        <w:t>)</w:t>
      </w:r>
    </w:p>
    <w:p>
      <w:r/>
      <w:r>
        <w:t>Les Thessaloniciens avaient accepté l'Évangile comme « parole de Dieu » et avaient souffert aux mains de leur propre peuple. De tels persécuteurs devront faire face au juste jugement de Dieu.</w:t>
      </w:r>
    </w:p>
    <w:p>
      <w:pPr>
        <w:pStyle w:val="Heading4"/>
      </w:pPr>
      <w:r>
        <w:t>Préoccupation continue de Paul pour les croyants (</w:t>
      </w:r>
      <w:hyperlink r:id="rId14455">
        <w:r>
          <w:rPr>
            <w:color w:val="0000EE"/>
            <w:u w:val="single"/>
          </w:rPr>
          <w:t>2.17–20</w:t>
        </w:r>
      </w:hyperlink>
      <w:r>
        <w:t>)</w:t>
      </w:r>
    </w:p>
    <w:p>
      <w:r/>
      <w:r>
        <w:t>Si les accusateurs de Paul disaient que les Thessaloniciens ne le reverraient jamais, il pouvait, lui, les assurer qu'il avait souvent voulu revenir mais en avait été empêché. En disant « Satan nous en a empêchés », Paul fait peut-être référence à l'incident où Jason avait été contraint de promettre aux autorités que Paul quitterait la ville et ne reviendrait pas (</w:t>
      </w:r>
      <w:hyperlink r:id="rId14456">
        <w:r>
          <w:rPr>
            <w:color w:val="0000EE"/>
            <w:u w:val="single"/>
          </w:rPr>
          <w:t>Ac 17.9</w:t>
        </w:r>
      </w:hyperlink>
      <w:r>
        <w:t>). Quoi qu'il en soit, les chrétiens thessaloniciens sont sa « gloire et [sa] joie ». Il trouvera son plaisir dans le fait qu'ils se tiennent devant notre Seigneur Jésus-Christ à son avènement.</w:t>
      </w:r>
    </w:p>
    <w:p>
      <w:pPr>
        <w:pStyle w:val="Heading4"/>
      </w:pPr>
      <w:r>
        <w:t>La Mission de Timothée (</w:t>
      </w:r>
      <w:hyperlink r:id="rId14457">
        <w:r>
          <w:rPr>
            <w:color w:val="0000EE"/>
            <w:u w:val="single"/>
          </w:rPr>
          <w:t>3.1–5</w:t>
        </w:r>
      </w:hyperlink>
      <w:r>
        <w:t>)</w:t>
      </w:r>
    </w:p>
    <w:p>
      <w:r/>
      <w:r>
        <w:t xml:space="preserve">Inquiet pour les chrétiens de Thessalonique confrontés à la persécution, Paul était prêt à être laissé seul dans l'œuvre de l'évangile à Athènes (voir </w:t>
      </w:r>
      <w:hyperlink r:id="rId1447">
        <w:r>
          <w:rPr>
            <w:color w:val="0000EE"/>
            <w:u w:val="single"/>
          </w:rPr>
          <w:t>Ac 17.16–34</w:t>
        </w:r>
      </w:hyperlink>
      <w:r>
        <w:t>) et a envoyé Timothée pour les encourager et les soutenir dans toutes leurs « afflictions ». Paul réitère que les chrétiens doivent toujours être prêts à affronter la souffrance.</w:t>
      </w:r>
    </w:p>
    <w:p>
      <w:pPr>
        <w:pStyle w:val="Heading4"/>
      </w:pPr>
      <w:r>
        <w:t>Les Bonnes nouvelles apportées par Timothée (</w:t>
      </w:r>
      <w:hyperlink r:id="rId14458">
        <w:r>
          <w:rPr>
            <w:color w:val="0000EE"/>
            <w:u w:val="single"/>
          </w:rPr>
          <w:t>3.6–10</w:t>
        </w:r>
      </w:hyperlink>
      <w:r>
        <w:t>)</w:t>
      </w:r>
    </w:p>
    <w:p>
      <w:r/>
      <w:r>
        <w:t xml:space="preserve">Paul lui-même avait continué à éprouver des « </w:t>
      </w:r>
      <w:r>
        <w:t>calamités et [des] tribulations</w:t>
      </w:r>
      <w:r>
        <w:t xml:space="preserve"> » pour la cause de l'Évangile, mais la nouvelle de leur foi et de leur amour avait ravivé son esprit et lui avait donné une grande raison de rendre grâce à Dieu. Il priait que Dieu lui permette de les revoir pour les renforcer davantage dans la foi.</w:t>
      </w:r>
    </w:p>
    <w:p>
      <w:pPr>
        <w:pStyle w:val="Heading4"/>
      </w:pPr>
      <w:r>
        <w:t>Prière de Paul (</w:t>
      </w:r>
      <w:hyperlink r:id="rId14459">
        <w:r>
          <w:rPr>
            <w:color w:val="0000EE"/>
            <w:u w:val="single"/>
          </w:rPr>
          <w:t>3.11–13</w:t>
        </w:r>
      </w:hyperlink>
      <w:r>
        <w:t>)</w:t>
      </w:r>
    </w:p>
    <w:p>
      <w:r/>
      <w:r>
        <w:t xml:space="preserve">La prière de Paul était que Dieu puisse le ramener à ses amis à Thessalonique, et qu'ils puissent déborder d'amour et être établis dans la sainteté de vie, afin qu'ils « </w:t>
      </w:r>
      <w:r>
        <w:t>soient irréprochables dans la sainteté devant Dieu [le] Père, lors de l’avènement [du] Seigneur Jésus avec tous ses saints</w:t>
      </w:r>
      <w:r>
        <w:t xml:space="preserve"> » (</w:t>
      </w:r>
      <w:hyperlink r:id="rId2786">
        <w:r>
          <w:rPr>
            <w:color w:val="0000EE"/>
            <w:u w:val="single"/>
          </w:rPr>
          <w:t>3.13</w:t>
        </w:r>
      </w:hyperlink>
      <w:r>
        <w:t>).</w:t>
      </w:r>
    </w:p>
    <w:p>
      <w:pPr>
        <w:pStyle w:val="Heading4"/>
      </w:pPr>
      <w:r>
        <w:t>Exhortation à la Pureté de Vie (</w:t>
      </w:r>
      <w:hyperlink r:id="rId14447">
        <w:r>
          <w:rPr>
            <w:color w:val="0000EE"/>
            <w:u w:val="single"/>
          </w:rPr>
          <w:t>4.1–8</w:t>
        </w:r>
      </w:hyperlink>
      <w:r>
        <w:t>)</w:t>
      </w:r>
    </w:p>
    <w:p>
      <w:r/>
      <w:r>
        <w:t>La sainteté, et non l'immoralité, et la sanctification, et non l'impureté, sont l'appel du chrétien. Paul souligne cela en disant que vivre de manière contraire démontrerait un manque de respect pour le Saint-Esprit. Les barèmes chrétiens doivent être totalement différents des normes prévalentes parmi les païens qui ne connaissent pas Dieu. Par exemple, les relations sexuelles ne doivent pas être déterminées par la convoitise mais exprimées dans la sainteté et l'honneur au sein des liens du mariage.</w:t>
      </w:r>
    </w:p>
    <w:p>
      <w:pPr>
        <w:pStyle w:val="Heading4"/>
      </w:pPr>
      <w:r>
        <w:t>Exhortations pratiques (</w:t>
      </w:r>
      <w:hyperlink r:id="rId14448">
        <w:r>
          <w:rPr>
            <w:color w:val="0000EE"/>
            <w:u w:val="single"/>
          </w:rPr>
          <w:t>4.9–12</w:t>
        </w:r>
      </w:hyperlink>
      <w:r>
        <w:t>)</w:t>
      </w:r>
    </w:p>
    <w:p>
      <w:r/>
      <w:r>
        <w:t>Le devoir chrétien de l'amour mutuel avait été démontré à Thessalonique, mais Paul demande qu'il se manifeste de manière croissante. Il les exhorte à vivre paisiblement, à travailler pour gagner leur vie et à ne pas dépendre des autres pour leur soutien.</w:t>
      </w:r>
    </w:p>
    <w:p>
      <w:pPr>
        <w:pStyle w:val="Heading4"/>
      </w:pPr>
      <w:r>
        <w:t>Que s'est-il passé pour ceux qui sont morts depuis qu'ils sont devenus croyants ? (</w:t>
      </w:r>
      <w:hyperlink r:id="rId14450">
        <w:r>
          <w:rPr>
            <w:color w:val="0000EE"/>
            <w:u w:val="single"/>
          </w:rPr>
          <w:t>4.13–18</w:t>
        </w:r>
      </w:hyperlink>
      <w:r>
        <w:t>)</w:t>
      </w:r>
    </w:p>
    <w:p>
      <w:r/>
      <w:r>
        <w:t xml:space="preserve">Les Thessaloniciens avaient peut-être écrit à Paul pour poser cette question. Paul leur dit qu'ils n'avaient pas besoin de pleurer, comme ceux qui n'ont pas d'espérance, pour leurs proches qui étaient décédés. Ceux qui sont vivants et ceux qui sont morts partageront ensemble la joie et le triomphe du retour du Seigneur. Ceux qui sont morts « </w:t>
      </w:r>
      <w:r>
        <w:t>ressusciteront premièrement</w:t>
      </w:r>
      <w:r>
        <w:t xml:space="preserve"> » ; ceux qui sont vivants sur terre seront enlevés pour rencontrer leur Maître ; puis ensemble, vivants et défunts, « </w:t>
      </w:r>
      <w:r>
        <w:t>seron[t] toujours avec le Seigneur</w:t>
      </w:r>
      <w:r>
        <w:t xml:space="preserve"> ». Forst de cette assurance, ils sont appelés à ceci : « </w:t>
      </w:r>
      <w:r>
        <w:t>Consolez-vous donc les uns les autres</w:t>
      </w:r>
      <w:r>
        <w:t xml:space="preserve"> ».</w:t>
      </w:r>
    </w:p>
    <w:p>
      <w:pPr>
        <w:pStyle w:val="Heading4"/>
      </w:pPr>
      <w:r>
        <w:t>Vivre prêts pour la venue du Seigneur (</w:t>
      </w:r>
      <w:hyperlink r:id="rId14451">
        <w:r>
          <w:rPr>
            <w:color w:val="0000EE"/>
            <w:u w:val="single"/>
          </w:rPr>
          <w:t>5.1–11</w:t>
        </w:r>
      </w:hyperlink>
      <w:r>
        <w:t>)</w:t>
      </w:r>
    </w:p>
    <w:p>
      <w:r/>
      <w:r>
        <w:t xml:space="preserve">Peut-être d'autres questions avaient-elles été posées sur les « </w:t>
      </w:r>
      <w:r>
        <w:t>temps et [les] moments</w:t>
      </w:r>
      <w:r>
        <w:t xml:space="preserve"> » en relation avec la Seconde Venue. Ni eux ni personne d'autre ne connaît le moment. Le Seigneur viendra de manière inattendue comme « un voleur dans la nuit ». Ce qui importe, donc, c'est que les chrétiens se doivent de ne jamais être complaisants mais d'être prêts à tout moment, vivant comme « des enfants du jour », afin que, éveillés ou endormis, « </w:t>
      </w:r>
      <w:r>
        <w:t>nous vivions ensemble avec lui</w:t>
      </w:r>
      <w:r>
        <w:t xml:space="preserve"> ».</w:t>
      </w:r>
    </w:p>
    <w:p>
      <w:pPr>
        <w:pStyle w:val="Heading4"/>
      </w:pPr>
      <w:r>
        <w:t>Autres devoirs chrétiens (</w:t>
      </w:r>
      <w:hyperlink r:id="rId14449">
        <w:r>
          <w:rPr>
            <w:color w:val="0000EE"/>
            <w:u w:val="single"/>
          </w:rPr>
          <w:t>5.12–22</w:t>
        </w:r>
      </w:hyperlink>
      <w:r>
        <w:t>)</w:t>
      </w:r>
    </w:p>
    <w:p>
      <w:r/>
      <w:r>
        <w:t>Dans la dernière section principale de la lettre, Paul exhorte les chrétiens de Thessalonique à respecter leurs responsables et à reconnaître leur supervision, à vivre en paix et dans l'unité, et à faire et encourager tout ce qui est bon. La volonté de Dieu pour la vie chrétienne est une joie constante, la prière et la louange. Le Saint-Esprit ne doit pas être éteint, le don de prophétie ne doit pas être méprisé, mais tout ce qui prétend être de Dieu doit être testé, afin que le bien puisse être embrassé et le mal rejeté.</w:t>
      </w:r>
    </w:p>
    <w:p>
      <w:pPr>
        <w:pStyle w:val="Heading4"/>
      </w:pPr>
      <w:r>
        <w:t>Conclusion (</w:t>
      </w:r>
      <w:hyperlink r:id="rId14460">
        <w:r>
          <w:rPr>
            <w:color w:val="0000EE"/>
            <w:u w:val="single"/>
          </w:rPr>
          <w:t>5.23–28</w:t>
        </w:r>
      </w:hyperlink>
      <w:r>
        <w:t>)</w:t>
      </w:r>
    </w:p>
    <w:p>
      <w:r/>
      <w:r>
        <w:t xml:space="preserve">La prière finale de la lettre concerne leur sainteté de vie, afin que l'Église thessalonicienne puisse se tenir « </w:t>
      </w:r>
      <w:r>
        <w:t>irrépréhensible, lors de l’avènement de notre Seigneur Jésus-Christ</w:t>
      </w:r>
      <w:r>
        <w:t xml:space="preserve"> ». « Priez pour nous » est la supplication de l'apôtre. Il demande que les salutations soient transmises et que la lettre soit lue à tous les croyants.</w:t>
      </w:r>
    </w:p>
    <w:p>
      <w:r/>
      <w:r>
        <w:rPr>
          <w:i/>
        </w:rPr>
        <w:t>Voir aussi</w:t>
      </w:r>
      <w:r>
        <w:t xml:space="preserve"> </w:t>
      </w:r>
      <w:r>
        <w:t>Eschatologie</w:t>
      </w:r>
      <w:r>
        <w:t xml:space="preserve"> ; </w:t>
      </w:r>
      <w:r>
        <w:t>Paul, L'Apôtre</w:t>
      </w:r>
      <w:r>
        <w:t xml:space="preserve"> ; </w:t>
      </w:r>
      <w:r>
        <w:t>Seconde venue de Christ</w:t>
      </w:r>
      <w:r>
        <w:t xml:space="preserve"> ; </w:t>
      </w:r>
      <w:r>
        <w:t>Thessaloniciens, Deuxième lettre aux</w:t>
      </w:r>
      <w:r>
        <w:t xml:space="preserve"> ; </w:t>
      </w:r>
      <w:r>
        <w:t>Thessalonique</w:t>
      </w:r>
      <w:r>
        <w:t>.</w:t>
      </w:r>
      <w:r/>
      <w:r/>
    </w:p>
    <w:p>
      <w:r/>
    </w:p>
    <w:p>
      <w:pPr>
        <w:pStyle w:val="Heading2"/>
      </w:pPr>
      <w:r>
        <w:t>Thessalonique</w:t>
      </w:r>
      <w:r/>
    </w:p>
    <w:p>
      <w:r/>
      <w:r>
        <w:t>Thessalonique était la principale ville de Macédoine et le siège de l'administration romaine au siècle précédant la venue de Jésus-Christ. En plus de posséder un port magnifique, Thessalonique avait l'avantage d'être située sur la route terrestre reliant l'Italie à l'Orient. Cette célèbre voie, appelée la Via Egnatia, traversait directement la ville. Deux arcs romains, la Porte de Vardar et l'Arc de Galère, marquaient les limites occidentale et orientale.</w:t>
      </w:r>
    </w:p>
    <w:p>
      <w:r/>
      <w:r>
        <w:t xml:space="preserve">Selon Strabon, un célèbre géographe grec, Thessalonique a été fondée en 315 av. J.‑C. par le général macédonien Cassandre, qui l'a nommée d'après sa femme, la fille de Philippe et demi-sœur d'Alexandre le Grand. Elle a été peuplée par des réfugiés de nombreuses villes de la même région, qui avaient été détruites par la guerre. Lors de la division de la Macédoine en quatre districts (167 av. J.‑C.), Thessalonique devient la capitale de la deuxième division. Son influence continuera de s'étendre lorsque la région devient une province romaine. Lors de la deuxième guerre civile entre César et Pompée (42 av. J.‑C.), Thessalonique reste fidèle à Antoine et Octavien et sera récompensée en recevant le statut de ville libre. Ce don d'autonomie permettra à la ville de nommer ses propres magistrats, qui reçoivent le titre inhabituel de politarques. L'exactitude historique de Luc se voit dans le fait que, bien que le terme « politarque » n'apparaisse pas dans la littérature grecque antérieure, il est utilisé dans </w:t>
      </w:r>
      <w:hyperlink r:id="rId14461">
        <w:r>
          <w:rPr>
            <w:color w:val="0000EE"/>
            <w:u w:val="single"/>
          </w:rPr>
          <w:t>Actes 17.6–8</w:t>
        </w:r>
      </w:hyperlink>
      <w:r>
        <w:t xml:space="preserve"> et a été trouvé sur une inscription sur la Porte de Vardar et dans d'autres inscriptions de la région. Au début du premier siècle, Thessalonique avait un conseil de cinq politarques. Cicéron, un homme d'État romain qui a vécu peu avant l'époque du Christ, a passé sept mois en exil à Thessalonique.</w:t>
      </w:r>
    </w:p>
    <w:p>
      <w:r/>
      <w:r>
        <w:t>L'Église de Thessalonique a été fondée par Paul lors de son deuxième voyage missionnaire (</w:t>
      </w:r>
      <w:hyperlink r:id="rId14462">
        <w:r>
          <w:rPr>
            <w:color w:val="0000EE"/>
            <w:u w:val="single"/>
          </w:rPr>
          <w:t>Ac 17.1–4</w:t>
        </w:r>
      </w:hyperlink>
      <w:r>
        <w:t xml:space="preserve">). À Troas, l'apôtre avait reçu une vision l'invitant à traverser la mer Égée vers la Macédoine. Après avoir prêché à Philippes, où il a été battu et emprisonné, la citoyenneté romaine de Paul assurera sa libération, et il voyagera jusqu'à Thessalonique. Le jour du sabbat, Paul se rend à la synagogue et discute avec les Juifs pour leur démontrer que Jésus est bien le Christ. Certains seront convaincus, ainsi qu'un certain nombre de Grecs craignant Dieu et pas mal de femmes influentes (v. </w:t>
      </w:r>
      <w:hyperlink r:id="rId6113">
        <w:r>
          <w:rPr>
            <w:color w:val="0000EE"/>
            <w:u w:val="single"/>
          </w:rPr>
          <w:t>4</w:t>
        </w:r>
      </w:hyperlink>
      <w:r>
        <w:t>).</w:t>
      </w:r>
    </w:p>
    <w:p>
      <w:r/>
      <w:r>
        <w:t>Le succès de Paul suscitera la jalousie des Juifs, qui rassembleront quelques vauriens du marché et déclencheront une émeute. Ils se précipitent vers la maison de Jason, où Paul séjournait, mais ne pouvant trouver l'apôtre, ils traîneront son hôte et quelques autres croyants devant les responsables de la ville. Ils prétendent alors que Paul était coupable de défier les décrets de César parce qu'il enseignait qu'il y avait un autre roi, appelé Jésus. Cette nuit-là, Paul quittera discrètement la ville et se rendra à Bérée (</w:t>
      </w:r>
      <w:hyperlink r:id="rId14463">
        <w:r>
          <w:rPr>
            <w:color w:val="0000EE"/>
            <w:u w:val="single"/>
          </w:rPr>
          <w:t>Ac 17.5–10</w:t>
        </w:r>
      </w:hyperlink>
      <w:r>
        <w:t xml:space="preserve">). L'hostilité des Juifs thessaloniciens envers Paul se manifestera par le fait que lorsqu'ils apprennent qu'il prêchait à Bérée, ils le suivront là-bas et exciteront les foules contre lui (v. </w:t>
      </w:r>
      <w:hyperlink r:id="rId14464">
        <w:r>
          <w:rPr>
            <w:color w:val="0000EE"/>
            <w:u w:val="single"/>
          </w:rPr>
          <w:t>13</w:t>
        </w:r>
      </w:hyperlink>
      <w:r>
        <w:t>).</w:t>
      </w:r>
    </w:p>
    <w:p>
      <w:r/>
      <w:r>
        <w:t>Ce que nous savons de l'Église à Thessalonique provient de deux lettres de Paul écrites depuis Corinthe à une date légèrement ultérieure. Ces premières lettres de l'apôtre fourniront un aperçu important de la vie d'une assemblée macédonienne, principalement païenne, du premier siècle. Dans les siècles qui suivront, la ville restera l'un des principaux bastions du christianisme.</w:t>
      </w:r>
    </w:p>
    <w:p>
      <w:r/>
      <w:r>
        <w:rPr>
          <w:i/>
        </w:rPr>
        <w:t>Voir aussi</w:t>
      </w:r>
      <w:r>
        <w:t xml:space="preserve"> </w:t>
      </w:r>
      <w:r>
        <w:t>Paul, L'Apôtre</w:t>
      </w:r>
      <w:r>
        <w:t xml:space="preserve"> ; </w:t>
      </w:r>
      <w:r>
        <w:t>Thessaloniciens, Première lettre aux</w:t>
      </w:r>
      <w:r>
        <w:t xml:space="preserve"> ;</w:t>
      </w:r>
      <w:r>
        <w:t xml:space="preserve"> Thessaloniciens,</w:t>
      </w:r>
      <w:r>
        <w:t xml:space="preserve"> </w:t>
      </w:r>
      <w:r>
        <w:t>Deuxième lettre aux</w:t>
      </w:r>
      <w:r>
        <w:t>.</w:t>
      </w:r>
      <w:r/>
      <w:r/>
    </w:p>
    <w:p>
      <w:r/>
    </w:p>
    <w:p>
      <w:pPr>
        <w:pStyle w:val="Heading2"/>
      </w:pPr>
      <w:r>
        <w:t>Theudas</w:t>
      </w:r>
      <w:r/>
    </w:p>
    <w:p>
      <w:r/>
      <w:r>
        <w:t>Rebelle que Gamaliel mentionne dans son discours devant le sanhédrin. Gamaliel le donne comme un exemple du fait que les faux messies tombent sans l'intervention de quiconque (</w:t>
      </w:r>
      <w:hyperlink r:id="rId14465">
        <w:r>
          <w:rPr>
            <w:color w:val="0000EE"/>
            <w:u w:val="single"/>
          </w:rPr>
          <w:t>Ac 5.36</w:t>
        </w:r>
      </w:hyperlink>
      <w:r>
        <w:t xml:space="preserve">). Theudas mène une rébellion contre Rome et échoue. Il est tué, avec 400 autres rebelles. Une difficulté chronologique existe au sujet de Theudas. Josèphe rapporte une rébellion dirigée par Theudas sous le règne de Claude, vers 44 apr. J.-C., c'est-à-dire sept à dix ans </w:t>
      </w:r>
      <w:r>
        <w:rPr>
          <w:i/>
        </w:rPr>
        <w:t>après</w:t>
      </w:r>
      <w:r>
        <w:t xml:space="preserve"> le discours de Gamaliel. Les critiques proposent cet anachronisme (problème de dates) apparent comme preuve que Luc (ou un éditeur ultérieur) est dans l'erreur. Pourtant, plusieurs autres solutions sont possibles. Il est possible que l'erreur soit dans le rapport de Josèphe plutôt que dans celui de Luc, ou qu'il y ait eu deux individus différents nommés Theudas. Au cours des dernières années du règne d'Hérode le Grand, plusieurs rébellions ont lieu. Une de ces rébellions a peut-être été initiée par Theudas. Il est suggéré (sans aucune preuve directe) que l'esclave d'Hérode, Simon, ait pu adopter le nom de Theudas lorsqu'il a obtenu sa liberté. Il a ensuite pu se rebeller contre Hérode. L'identité de Theudas reste inconnue. Mais ce fait ne prouve en rien que le récit de Luc n'est pas historique.</w:t>
      </w:r>
      <w:r/>
      <w:r/>
    </w:p>
    <w:p>
      <w:r/>
    </w:p>
    <w:p>
      <w:pPr>
        <w:pStyle w:val="Heading2"/>
      </w:pPr>
      <w:r>
        <w:t>Thomas (l'apôtre)</w:t>
      </w:r>
      <w:r/>
    </w:p>
    <w:p>
      <w:r/>
      <w:r>
        <w:t>Un des 12 apôtres dont le nom apparaît dans les quatre Évangiles. Le nom est une translittération d'un mot araméen signifiant « jumeau » et apparaît dans le NT sous le nom de Thomas. Parmi les chrétiens grecs, il y avait tendance à utiliser son nom hellénistique (grec), Didyme (didumos</w:t>
      </w:r>
      <w:r>
        <w:rPr>
          <w:i/>
        </w:rPr>
        <w:t>,</w:t>
      </w:r>
      <w:r>
        <w:t xml:space="preserve"> « jumeau ») ; ce nom apparaît trois fois dans Jean (</w:t>
      </w:r>
      <w:hyperlink r:id="rId14466">
        <w:r>
          <w:rPr>
            <w:color w:val="0000EE"/>
            <w:u w:val="single"/>
          </w:rPr>
          <w:t>Jn 11.16</w:t>
        </w:r>
      </w:hyperlink>
      <w:r>
        <w:t xml:space="preserve"> ; </w:t>
      </w:r>
      <w:hyperlink r:id="rId14467">
        <w:r>
          <w:rPr>
            <w:color w:val="0000EE"/>
            <w:u w:val="single"/>
          </w:rPr>
          <w:t>20.24</w:t>
        </w:r>
      </w:hyperlink>
      <w:r>
        <w:t xml:space="preserve"> ; </w:t>
      </w:r>
      <w:hyperlink r:id="rId1703">
        <w:r>
          <w:rPr>
            <w:color w:val="0000EE"/>
            <w:u w:val="single"/>
          </w:rPr>
          <w:t>21.2</w:t>
        </w:r>
      </w:hyperlink>
      <w:r>
        <w:t xml:space="preserve">). Le nom Didyme devait être bien connu à l'époque du NT, car il est fréquemment mentionné dans les papyrus </w:t>
      </w:r>
      <w:r>
        <w:rPr>
          <w:i/>
        </w:rPr>
        <w:t>koinè</w:t>
      </w:r>
      <w:r>
        <w:t>.</w:t>
      </w:r>
    </w:p>
    <w:p>
      <w:r/>
      <w:r>
        <w:t>Thomas apparaît dans chaque liste synoptique des apôtres (</w:t>
      </w:r>
      <w:hyperlink r:id="rId585">
        <w:r>
          <w:rPr>
            <w:color w:val="0000EE"/>
            <w:u w:val="single"/>
          </w:rPr>
          <w:t xml:space="preserve">Mt 10.3 </w:t>
        </w:r>
      </w:hyperlink>
      <w:r>
        <w:t xml:space="preserve">; </w:t>
      </w:r>
      <w:hyperlink r:id="rId586">
        <w:r>
          <w:rPr>
            <w:color w:val="0000EE"/>
            <w:u w:val="single"/>
          </w:rPr>
          <w:t>Mc 3.18 ;</w:t>
        </w:r>
      </w:hyperlink>
      <w:r>
        <w:t xml:space="preserve"> </w:t>
      </w:r>
      <w:hyperlink r:id="rId587">
        <w:r>
          <w:rPr>
            <w:color w:val="0000EE"/>
            <w:u w:val="single"/>
          </w:rPr>
          <w:t xml:space="preserve">Lc 6.15 </w:t>
        </w:r>
      </w:hyperlink>
      <w:r>
        <w:t xml:space="preserve">; voir </w:t>
      </w:r>
      <w:hyperlink r:id="rId588">
        <w:r>
          <w:rPr>
            <w:color w:val="0000EE"/>
            <w:u w:val="single"/>
          </w:rPr>
          <w:t>Ac 1.13</w:t>
        </w:r>
      </w:hyperlink>
      <w:r>
        <w:t>) mais il n'est pas mentionné ailleurs dans ces Évangiles. Il est plus connu pour son rôle dans le quatrième Évangile. Alors que Jésus et les disciples approchent de Jérusalem, Thomas est résigné et pense qu'ils vont tous mourir (</w:t>
      </w:r>
      <w:hyperlink r:id="rId14466">
        <w:r>
          <w:rPr>
            <w:color w:val="0000EE"/>
            <w:u w:val="single"/>
          </w:rPr>
          <w:t>Jn 11.16</w:t>
        </w:r>
      </w:hyperlink>
      <w:r>
        <w:t>). Il demande à Jésus d'expliquer certaines de ses paroles dans la chambre haute (</w:t>
      </w:r>
      <w:hyperlink r:id="rId14468">
        <w:r>
          <w:rPr>
            <w:color w:val="0000EE"/>
            <w:u w:val="single"/>
          </w:rPr>
          <w:t>14.5</w:t>
        </w:r>
      </w:hyperlink>
      <w:r>
        <w:t>). Les derniers épisodes racontés dans l'Évangile de Jean incluent l'histoire familière de Thomas qui doute que le Seigneur est vraiment ressuscité (</w:t>
      </w:r>
      <w:hyperlink r:id="rId14467">
        <w:r>
          <w:rPr>
            <w:color w:val="0000EE"/>
            <w:u w:val="single"/>
          </w:rPr>
          <w:t>20.24</w:t>
        </w:r>
      </w:hyperlink>
      <w:r>
        <w:t xml:space="preserve">), et qui en reçoit la preuve indéniable (v. </w:t>
      </w:r>
      <w:hyperlink r:id="rId14469">
        <w:r>
          <w:rPr>
            <w:color w:val="0000EE"/>
            <w:u w:val="single"/>
          </w:rPr>
          <w:t>26–28</w:t>
        </w:r>
      </w:hyperlink>
      <w:r>
        <w:t>). C'est alors que Thomas s'exclame devant Jésus : « mon Seigneur et mon Dieu ! ». Thomas est aussi mentionné dans l'épilogue de Jean (</w:t>
      </w:r>
      <w:hyperlink r:id="rId1703">
        <w:r>
          <w:rPr>
            <w:color w:val="0000EE"/>
            <w:u w:val="single"/>
          </w:rPr>
          <w:t>21.2</w:t>
        </w:r>
      </w:hyperlink>
      <w:r>
        <w:t>).</w:t>
      </w:r>
    </w:p>
    <w:p>
      <w:r/>
      <w:r>
        <w:t>Deux œuvres apocryphes et pseudépigraphes portent le nom de Thomas : l'Évangile de Thomas (de Nag Hammadi) et les Actes de Thomas. La première œuvre (l'Évangile de Thomas) est une collection de 114 sentences secrètes que Jésus aurait prononcé pendant son ministère terrestre. La deuxième œuvre (les Actes de Thomas) existe en version grecque et en version syriaque, et prétend que Jésus et Thomas étaient des jumeaux. Ils auraient eu une apparence et des destins similaires. L'apôtre aurait reçu des enseignements secrets. Ce récit apocryphe explique même le destin de Thomas. Contre sa volonté, il part en Inde pour obéir au commandement du Seigneur. Là, il meurt en tant que martyr, tué avec des lances par un roi indien. Il ressuscite et son tombeau vide acquiert des propriétés magiques. Aujourd'hui, à Saint Thomas, en Inde, des chrétiens affirment être les descendants spirituels de l'apôtre.</w:t>
      </w:r>
    </w:p>
    <w:p>
      <w:r/>
      <w:r>
        <w:rPr>
          <w:i/>
        </w:rPr>
        <w:t>Voir aussi</w:t>
      </w:r>
      <w:r>
        <w:t xml:space="preserve"> </w:t>
      </w:r>
      <w:r>
        <w:t xml:space="preserve">apocryphes : Thomas, Actes de Thomas, Évangile de Thomas </w:t>
      </w:r>
      <w:r>
        <w:t xml:space="preserve">; </w:t>
      </w:r>
      <w:r>
        <w:t>apôtre, apostolat</w:t>
      </w:r>
      <w:r>
        <w:t>.</w:t>
      </w:r>
      <w:r/>
      <w:r/>
    </w:p>
    <w:p>
      <w:r/>
    </w:p>
    <w:p>
      <w:pPr>
        <w:pStyle w:val="Heading2"/>
      </w:pPr>
      <w:r>
        <w:t>Thyatire</w:t>
      </w:r>
      <w:r/>
    </w:p>
    <w:p>
      <w:r/>
      <w:r>
        <w:t>Emplacement de l'une des sept Églises locales dans le livre de l'Apocalypse. La ville sera fondée par le royaume lydien et sera ensuite capturée par Séleucos, le général d'Alexandre. Elle servira ensuite de colonie frontalière pour protéger son royaume contre Lysimaque (son rival à l'ouest).</w:t>
      </w:r>
    </w:p>
    <w:p>
      <w:r/>
      <w:r>
        <w:t>Après la fondation du royaume de Pergame (282 av. J.‑C.), Thyatire deviendra la frontière entre Pergame et les Syriens. La ville ne bénéficiait d'aucune défense naturelle. Elle n'était pas construite sur une colline et était donc sujette à des invasions répétées. La force de la ville résidait en grande partie dans sa position stratégique ainsi que dans la fertilité de la région environnante. Ses habitants étaient des descendants de soldats macédoniens et conservaient une grande partie de la combativité de leurs ancêtres. Ils étaient de redoutables défenseurs de la ville.</w:t>
      </w:r>
    </w:p>
    <w:p>
      <w:r/>
      <w:r>
        <w:t>Lorsque Rome triomphe d'Antiochus en 189 av. J.‑C., Thyatire sera incorporée au royaume de Pergame, allié de Rome. Paix et la prospérité s'en suivront. Sous l'empereur romain Claude (41–54 apr. J.‑C.), Thyatire gagnera en importance et sera autorisée à émettre ses propres pièces de monnaie. L'empereur Hadrien inclut la ville dans son itinéraire du Moyen-Orient (134 apr. J.‑C.), ce qui nous donne un indice de l'importance de Thyatire au 2e siècle apr. J.‑C.</w:t>
      </w:r>
    </w:p>
    <w:p>
      <w:r/>
      <w:r>
        <w:t>Cette prospérité attirera de nombreux Juifs dans cette région. Parmi les activités commerciales de la ville figuraient les textiles et les armures en bronze. Les armuriers faisaient partie d'une guilde, comme celle des orfèvres à Éphèse. La première convertie chrétienne connue en Europe était une femme d'affaires de Thyatire nommée Lydie (</w:t>
      </w:r>
      <w:hyperlink r:id="rId12018">
        <w:r>
          <w:rPr>
            <w:color w:val="0000EE"/>
            <w:u w:val="single"/>
          </w:rPr>
          <w:t>Ac 16.14–15, 40</w:t>
        </w:r>
      </w:hyperlink>
      <w:r>
        <w:t>). Elle était spécialisée dans les coûteux vêtements pourpres qui étaient exportés de Thyatire vers la Macédoine. Ici, la teinture pourpre, issue de la racine de garance, offrait un tissu beaucoup moins cher pour concurrencer les vêtements plus coûteux teints avec la précieuse teinture de murex de Phénicie.</w:t>
      </w:r>
    </w:p>
    <w:p>
      <w:r/>
      <w:r>
        <w:t>Dans le message de Christ adressé à l'Église de Thyatire, les membres sont félicités pour leur amour, leur foi, leur service et leur endurance (</w:t>
      </w:r>
      <w:hyperlink r:id="rId14470">
        <w:r>
          <w:rPr>
            <w:color w:val="0000EE"/>
            <w:u w:val="single"/>
          </w:rPr>
          <w:t>Ap 2.19</w:t>
        </w:r>
      </w:hyperlink>
      <w:r>
        <w:t>). Cependant, l'influence du paganisme se reflète encore dans le reproche sévère adressé à ceux qui tolèrent l'hérésie dont « Jézabel » était la cheffe. Leur tentation était similaire à celle des croyants corinthiens qui étaient incertains quant à la consommation de nourriture dédiée aux idoles (</w:t>
      </w:r>
      <w:hyperlink r:id="rId3241">
        <w:r>
          <w:rPr>
            <w:color w:val="0000EE"/>
            <w:u w:val="single"/>
          </w:rPr>
          <w:t>1Co 8.1–13</w:t>
        </w:r>
      </w:hyperlink>
      <w:r>
        <w:t>). Les guildes commerciales organisaient des festivals périodiques où des aliments offerts aux idoles étaient consommés, parfois accompagné de rites licencieux où religion et sexe se mêlaient. Cette Église a été condamnée pour son accommodement à ces pratiques païennes. L'immoralité était si répandue parmi les païens que l'Église primitive, avec son attitude intransigeante envers l'impureté, était en tension constante avec les mœurs de la communauté. La superstition et le culte du diable étaient apparemment une grande tentation également. Les « profondeurs de Satan » (</w:t>
      </w:r>
      <w:hyperlink r:id="rId10606">
        <w:r>
          <w:rPr>
            <w:color w:val="0000EE"/>
            <w:u w:val="single"/>
          </w:rPr>
          <w:t>Ap 2.24</w:t>
        </w:r>
      </w:hyperlink>
      <w:r>
        <w:t xml:space="preserve">) sont probablement une allusion à l'une des sectes gnostiques qui mettait l'accent sur la « profondeur » et pratiquait des rites secrets auxquels seuls les initiés participaient. La tentation était si sérieuse que le meilleur espoir était la survie du reste fidèle ; d'où l'exhortation suivante : « </w:t>
      </w:r>
      <w:r>
        <w:t>ce que vous avez,retenez-le jusqu’à ce que je vienne</w:t>
      </w:r>
      <w:r>
        <w:t xml:space="preserve"> » (v. </w:t>
      </w:r>
      <w:hyperlink r:id="rId14471">
        <w:r>
          <w:rPr>
            <w:color w:val="0000EE"/>
            <w:u w:val="single"/>
          </w:rPr>
          <w:t>25</w:t>
        </w:r>
      </w:hyperlink>
      <w:r>
        <w:t>).</w:t>
      </w:r>
    </w:p>
    <w:p>
      <w:r/>
      <w:r>
        <w:rPr>
          <w:i/>
        </w:rPr>
        <w:t>Voir aussi</w:t>
      </w:r>
      <w:r>
        <w:t xml:space="preserve"> </w:t>
      </w:r>
      <w:r>
        <w:t>Apocalypse, Livre de l'</w:t>
      </w:r>
      <w:r>
        <w:t>.</w:t>
      </w:r>
      <w:r/>
      <w:r/>
    </w:p>
    <w:p>
      <w:r/>
    </w:p>
    <w:p>
      <w:pPr>
        <w:pStyle w:val="Heading2"/>
      </w:pPr>
      <w:r>
        <w:t>Tideal</w:t>
      </w:r>
      <w:r/>
    </w:p>
    <w:p>
      <w:r/>
      <w:r>
        <w:t>Roi de Gojim qui a combattu avec la confédération de Kedorlaomer contre Sodome (</w:t>
      </w:r>
      <w:hyperlink r:id="rId14472">
        <w:r>
          <w:rPr>
            <w:color w:val="0000EE"/>
            <w:u w:val="single"/>
          </w:rPr>
          <w:t>Gn 14.1–9</w:t>
        </w:r>
      </w:hyperlink>
      <w:r>
        <w:t>).</w:t>
      </w:r>
      <w:r/>
      <w:r/>
    </w:p>
    <w:p>
      <w:r/>
    </w:p>
    <w:p>
      <w:pPr>
        <w:pStyle w:val="Heading2"/>
      </w:pPr>
      <w:r>
        <w:t>Tigre (Fleuve)</w:t>
      </w:r>
      <w:r/>
    </w:p>
    <w:p>
      <w:r/>
      <w:r>
        <w:t>Le Tigre (traduit par sa translittération hébraique, Hiddekel, dans la version Louis Segond) est l'un des deux plus grands fleuves traversant l'ancienne région de Mésopotamie (principalement située en Irak aujourd'hui). La Bible mentionne ce fleuve à quelques reprises seulement.</w:t>
      </w:r>
    </w:p>
    <w:p>
      <w:r/>
      <w:r>
        <w:t>Dans la description du jardin d'Éden, le Tigre est le troisième des quatre fleuves qui sortaient du fleuve qui arrosait le jardin (</w:t>
      </w:r>
      <w:hyperlink r:id="rId1419">
        <w:r>
          <w:rPr>
            <w:color w:val="0000EE"/>
            <w:u w:val="single"/>
          </w:rPr>
          <w:t>Gn 2.14</w:t>
        </w:r>
      </w:hyperlink>
      <w:r>
        <w:t>). Cependant, cette référence ne nous aide pas à savoir où se trouvait le jardin d'Éden.</w:t>
      </w:r>
    </w:p>
    <w:p>
      <w:r/>
      <w:r>
        <w:t>Les seules autres mentions directes du Tigre dans la Bible apparaissent bien plus tard. Daniel l'appelle « le grand fleuve » en décrivant le lieu où il a reçu une vision (</w:t>
      </w:r>
      <w:hyperlink r:id="rId6469">
        <w:r>
          <w:rPr>
            <w:color w:val="0000EE"/>
            <w:u w:val="single"/>
          </w:rPr>
          <w:t>Dn 10.4</w:t>
        </w:r>
      </w:hyperlink>
      <w:r>
        <w:t>). Nahum faisait probablement référence au Tigre lorsqu'il décrit l'ouverture des portes du fleuve de Ninive pendant le siège babylonien (</w:t>
      </w:r>
      <w:hyperlink r:id="rId14473">
        <w:r>
          <w:rPr>
            <w:color w:val="0000EE"/>
            <w:u w:val="single"/>
          </w:rPr>
          <w:t>Na 2.6</w:t>
        </w:r>
      </w:hyperlink>
      <w:r>
        <w:t>).</w:t>
      </w:r>
    </w:p>
    <w:p>
      <w:r/>
      <w:r>
        <w:t>Lorsque l'on inclut ses deux principaux affluents, la longueur du Tigre est de 1 850 km. La source du fleuve est un lac de montagne appelé Golenjik, situé à seulement quelques kilomètres du canal de l'Euphrate.</w:t>
      </w:r>
    </w:p>
    <w:p>
      <w:r/>
      <w:r>
        <w:t>Comme pour la plupart des rivières de la région, le débit du Tigre varie au cours de l'année. La saison des crues commence début mars, avec un pic de début à mi-mai. Bien que des bateaux puissent naviguer sur le Tigre, les archives historiques montrent qu'il n'était pas beaucoup utilisé pour le commerce. Le fleuve était cependant politiquement important à la grande époque de l'empire assyrien. Trois grandes villes assyriennes (Ninive, Assur et Calach) ont été construites le long de ses rives. Cependant, le Tigre ne s'est jamais révélé être une barrière naturelle suffisamment forte pour protéger efficacement les attaques des empires ennemis.</w:t>
      </w:r>
      <w:r/>
      <w:r/>
    </w:p>
    <w:p>
      <w:r/>
    </w:p>
    <w:p>
      <w:pPr>
        <w:pStyle w:val="Heading2"/>
      </w:pPr>
      <w:r>
        <w:t>Timée</w:t>
      </w:r>
      <w:r/>
    </w:p>
    <w:p>
      <w:r/>
      <w:r>
        <w:t>Nom du père de Bartimée. Jésus rend la vue à Bartimée, un aveugle qui mendie près de la porte sortant de Jéricho en direction de Jérusalem (</w:t>
      </w:r>
      <w:hyperlink r:id="rId7168">
        <w:r>
          <w:rPr>
            <w:color w:val="0000EE"/>
            <w:u w:val="single"/>
          </w:rPr>
          <w:t>Mc 10.46</w:t>
        </w:r>
      </w:hyperlink>
      <w:r>
        <w:t>).</w:t>
      </w:r>
      <w:r/>
      <w:r/>
    </w:p>
    <w:p>
      <w:r/>
    </w:p>
    <w:p>
      <w:pPr>
        <w:pStyle w:val="Heading2"/>
      </w:pPr>
      <w:r>
        <w:t>Timon</w:t>
      </w:r>
      <w:r/>
    </w:p>
    <w:p>
      <w:r/>
      <w:r>
        <w:t>L'un des sept hommes choisis par l'Église primitive à Jérusalem pour servir les veuves et gérer la distribution quotidienne de nourriture (</w:t>
      </w:r>
      <w:hyperlink r:id="rId996">
        <w:r>
          <w:rPr>
            <w:color w:val="0000EE"/>
            <w:u w:val="single"/>
          </w:rPr>
          <w:t>Ac 6.5</w:t>
        </w:r>
      </w:hyperlink>
      <w:r>
        <w:t>). Ces sept hommes ont été sélectionnés parce qu'ils étaient remplis du Saint-Esprit et de sagesse. Les six autres hommes étaient Étienne, Philippe, Prochore, Nicanor, Parménas, et Nicolas.</w:t>
      </w:r>
      <w:r/>
      <w:r/>
    </w:p>
    <w:p>
      <w:r/>
    </w:p>
    <w:p>
      <w:pPr>
        <w:pStyle w:val="Heading2"/>
      </w:pPr>
      <w:r>
        <w:t>Timothée (Personne)</w:t>
      </w:r>
      <w:r/>
    </w:p>
    <w:p>
      <w:r/>
      <w:r>
        <w:t>Converti et compagnon de Paul, dont le nom signifie « celui qui honore Dieu ».</w:t>
      </w:r>
    </w:p>
    <w:p>
      <w:r/>
      <w:r>
        <w:t xml:space="preserve">Timothée apparait pour la première fois en </w:t>
      </w:r>
      <w:hyperlink r:id="rId6106">
        <w:r>
          <w:rPr>
            <w:color w:val="0000EE"/>
            <w:u w:val="single"/>
          </w:rPr>
          <w:t>Actes 16:1–3</w:t>
        </w:r>
      </w:hyperlink>
      <w:r>
        <w:t xml:space="preserve"> en tant que disciple de Paul dont la mère était « une femme juive fidèle et d’un père grec » (verset </w:t>
      </w:r>
      <w:hyperlink r:id="rId3727">
        <w:r>
          <w:rPr>
            <w:color w:val="0000EE"/>
            <w:u w:val="single"/>
          </w:rPr>
          <w:t>1</w:t>
        </w:r>
      </w:hyperlink>
      <w:r>
        <w:t>). Il était un chrétien de la troisième génération après sa mère, Eunice, et sa grand-mère, Loïs (</w:t>
      </w:r>
      <w:hyperlink r:id="rId4520">
        <w:r>
          <w:rPr>
            <w:color w:val="0000EE"/>
            <w:u w:val="single"/>
          </w:rPr>
          <w:t>2 Timothée 1:5</w:t>
        </w:r>
      </w:hyperlink>
      <w:r>
        <w:t>). L’apôtre Paul était sans aucun doute le père spirituel de Timothée, qu’il qualifie de « mon enfant légitime en la foi » (</w:t>
      </w:r>
      <w:hyperlink r:id="rId8211">
        <w:r>
          <w:rPr>
            <w:color w:val="0000EE"/>
            <w:u w:val="single"/>
          </w:rPr>
          <w:t>1 Timothée 1:2</w:t>
        </w:r>
      </w:hyperlink>
      <w:r>
        <w:t>) ; il a peut-être converti Timothée lors de son premier ou deuxième voyage missionnaire. Timothée était le fils d’un père grec (ou païen) et n’était pas circoncis. Cependant, lorsque Paul a décidé d’emmener Timothée pour le deuxième voyage, il l’a fait circoncire pour éviter d’être gêné dans leurs efforts missionnaires parmi les Juifs.</w:t>
      </w:r>
    </w:p>
    <w:p>
      <w:r/>
      <w:r>
        <w:t>Timothée, qui jouissait d’une bonne réputation parmi les fidèles de Lystre et d’Icone (</w:t>
      </w:r>
      <w:hyperlink r:id="rId14474">
        <w:r>
          <w:rPr>
            <w:color w:val="0000EE"/>
            <w:u w:val="single"/>
          </w:rPr>
          <w:t>Actes 16:2</w:t>
        </w:r>
      </w:hyperlink>
      <w:r>
        <w:t>), est devenu le compagnon et l’assistant de Paul lors de son deuxième voyage missionnaire à Lystre. Il a voyagé avec Paul en Europe à la suite de la vision macédonienne. Lorsque Paul a décidé de se rendre à Athènes, il a laissé Silas et Timothée à Bérée pour y établir l’Église (</w:t>
      </w:r>
      <w:hyperlink r:id="rId5800">
        <w:r>
          <w:rPr>
            <w:color w:val="0000EE"/>
            <w:u w:val="single"/>
          </w:rPr>
          <w:t>17:14</w:t>
        </w:r>
      </w:hyperlink>
      <w:r>
        <w:t>). Timothée et Silas ont finalement rejoint Paul à Corinthe (</w:t>
      </w:r>
      <w:hyperlink r:id="rId13977">
        <w:r>
          <w:rPr>
            <w:color w:val="0000EE"/>
            <w:u w:val="single"/>
          </w:rPr>
          <w:t>18:5</w:t>
        </w:r>
      </w:hyperlink>
      <w:r>
        <w:t>). Il apparait ensuite avec Paul à Éphèse lors de son troisième voyage (</w:t>
      </w:r>
      <w:hyperlink r:id="rId4761">
        <w:r>
          <w:rPr>
            <w:color w:val="0000EE"/>
            <w:u w:val="single"/>
          </w:rPr>
          <w:t>19:22</w:t>
        </w:r>
      </w:hyperlink>
      <w:r>
        <w:t xml:space="preserve">), d’où Paul l’envoie en Macédoine avant lui. La dernière mention de Timothée en </w:t>
      </w:r>
      <w:hyperlink r:id="rId1302">
        <w:r>
          <w:rPr>
            <w:color w:val="0000EE"/>
            <w:u w:val="single"/>
          </w:rPr>
          <w:t>Actes 20:4</w:t>
        </w:r>
      </w:hyperlink>
      <w:r>
        <w:t>l’inclut dans la liste des ambassadeurs qui devaient accompagner Paul à Jérusalem avec l’offrande pour les Juifs chrétiens.</w:t>
      </w:r>
    </w:p>
    <w:p>
      <w:r/>
      <w:r>
        <w:t>Timothée est souvent mentionné dans les lettres de Paul. Son nom figure dans les salutations qui introduisent 2 Corinthiens, Philippiens, Colossiens, 1 et 2 Thessaloniciens et Philémon. Il se trouvait à Corinthe lors du deuxième voyage au moment où Paul a écrit 1 et 2 Thessaloniciens, à Éphèse lors du troisième voyage au moment où Paul a écrit 2 Corinthiens, et à Rome lors du premier emprisonnement romain de Paul, lorsqu’il a écrit Philippiens, Colossiens et Philémon. Il est le destinataire de 1 et 2 Timothée.</w:t>
      </w:r>
    </w:p>
    <w:p>
      <w:r/>
      <w:r>
        <w:t xml:space="preserve">Dans les salutations qui terminent </w:t>
      </w:r>
      <w:hyperlink r:id="rId7113">
        <w:r>
          <w:rPr>
            <w:color w:val="0000EE"/>
            <w:u w:val="single"/>
          </w:rPr>
          <w:t>Romains 16:21</w:t>
        </w:r>
      </w:hyperlink>
      <w:r>
        <w:t xml:space="preserve">, Timothée figure sur la liste de ceux qui envoient leurs vœux aux frères de Rome. En </w:t>
      </w:r>
      <w:hyperlink r:id="rId4552">
        <w:r>
          <w:rPr>
            <w:color w:val="0000EE"/>
            <w:u w:val="single"/>
          </w:rPr>
          <w:t>1 Corinthiens 4:17</w:t>
        </w:r>
      </w:hyperlink>
      <w:r>
        <w:t xml:space="preserve"> et </w:t>
      </w:r>
      <w:hyperlink r:id="rId8261">
        <w:r>
          <w:rPr>
            <w:color w:val="0000EE"/>
            <w:u w:val="single"/>
          </w:rPr>
          <w:t>16:10,</w:t>
        </w:r>
      </w:hyperlink>
      <w:r>
        <w:t xml:space="preserve">Paul fait l’éloge de Timothée, qu’il envoie avec un message à Corinthe (voir aussi </w:t>
      </w:r>
      <w:hyperlink r:id="rId14475">
        <w:r>
          <w:rPr>
            <w:color w:val="0000EE"/>
            <w:u w:val="single"/>
          </w:rPr>
          <w:t>Philippiens 2:19–23</w:t>
        </w:r>
      </w:hyperlink>
      <w:r>
        <w:t xml:space="preserve">; </w:t>
      </w:r>
      <w:hyperlink r:id="rId14476">
        <w:r>
          <w:rPr>
            <w:color w:val="0000EE"/>
            <w:u w:val="single"/>
          </w:rPr>
          <w:t>1 Thessaloniciens 3:2–6</w:t>
        </w:r>
      </w:hyperlink>
      <w:r>
        <w:t xml:space="preserve">). En </w:t>
      </w:r>
      <w:hyperlink r:id="rId13972">
        <w:r>
          <w:rPr>
            <w:color w:val="0000EE"/>
            <w:u w:val="single"/>
          </w:rPr>
          <w:t>2 Corinthiens 1:19,</w:t>
        </w:r>
      </w:hyperlink>
      <w:r>
        <w:t xml:space="preserve"> Timothée, comme Paul et Silas, a proclamé la Bonne nouvelle de Jésus-Christ. Paul a confié à Timothée la responsabilité de l’Église d’Éphèse et lui a écrit deux lettres pastorales pour l’aider à remplir sa tâche.</w:t>
      </w:r>
    </w:p>
    <w:p>
      <w:r/>
      <w:r>
        <w:t xml:space="preserve">En </w:t>
      </w:r>
      <w:hyperlink r:id="rId6266">
        <w:r>
          <w:rPr>
            <w:color w:val="0000EE"/>
            <w:u w:val="single"/>
          </w:rPr>
          <w:t>Hébreux 13:23,</w:t>
        </w:r>
      </w:hyperlink>
      <w:r>
        <w:t xml:space="preserve"> l’auteur (probablement pas Paul) informe ses lecteurs que Timothée a été libéré de prison et qu’il espère venir avec Timothée leur rendre visite. Nous savons donc que Timothée a connu la prison.</w:t>
      </w:r>
    </w:p>
    <w:p>
      <w:r/>
      <w:r>
        <w:rPr>
          <w:i/>
        </w:rPr>
        <w:t>Voir aussi</w:t>
      </w:r>
      <w:r>
        <w:t xml:space="preserve"> </w:t>
      </w:r>
      <w:r>
        <w:t>Timothée, première lettre à</w:t>
      </w:r>
      <w:r>
        <w:t xml:space="preserve">; </w:t>
      </w:r>
      <w:r>
        <w:t>Timothée, deuxième lettre à</w:t>
      </w:r>
      <w:r>
        <w:t>.</w:t>
      </w:r>
      <w:r/>
      <w:r/>
    </w:p>
    <w:p>
      <w:r/>
    </w:p>
    <w:p>
      <w:pPr>
        <w:pStyle w:val="Heading2"/>
      </w:pPr>
      <w:r>
        <w:t>Timothée, Deuxième Lettre à</w:t>
      </w:r>
      <w:r/>
    </w:p>
    <w:p>
      <w:r/>
      <w:r>
        <w:t>Vue d'ensemble</w:t>
      </w:r>
    </w:p>
    <w:p>
      <w:r/>
      <w:r>
        <w:t xml:space="preserve">• </w:t>
      </w:r>
      <w:r>
        <w:rPr>
          <w:b/>
          <w:u w:val="single"/>
        </w:rPr>
        <w:t>Auteur</w:t>
      </w:r>
    </w:p>
    <w:p>
      <w:r/>
      <w:r>
        <w:t xml:space="preserve">• </w:t>
      </w:r>
      <w:r>
        <w:rPr>
          <w:b/>
          <w:u w:val="single"/>
        </w:rPr>
        <w:t>Lieu et date de rédaction</w:t>
      </w:r>
    </w:p>
    <w:p>
      <w:r/>
      <w:r>
        <w:t xml:space="preserve">• </w:t>
      </w:r>
      <w:r>
        <w:rPr>
          <w:b/>
          <w:u w:val="single"/>
        </w:rPr>
        <w:t>Contexte</w:t>
      </w:r>
    </w:p>
    <w:p>
      <w:r/>
      <w:r>
        <w:t xml:space="preserve">• </w:t>
      </w:r>
      <w:r>
        <w:rPr>
          <w:b/>
          <w:u w:val="single"/>
        </w:rPr>
        <w:t>Contenu</w:t>
      </w:r>
    </w:p>
    <w:p>
      <w:pPr>
        <w:pStyle w:val="Heading3"/>
      </w:pPr>
      <w:r>
        <w:t>Auteur</w:t>
      </w:r>
    </w:p>
    <w:p>
      <w:r/>
      <w:r>
        <w:t xml:space="preserve">Beaucoup de ceux qui nient l'attribution des Lettres pastorales à Paul reconnaissent que 2 Timothée contient quelques véritables fragments pauliens dans les nombreuses références personnelles de la lettre. Cependant, les preuves en faveur de l'attribution à Paul sont bien plus convaincantes que celles qui s'y opposent. (Voir la discussion sur l'attribution des Lettres pastorales sous « </w:t>
      </w:r>
      <w:r>
        <w:t>Timothée, Première lettre à</w:t>
      </w:r>
      <w:r>
        <w:t xml:space="preserve"> ».)</w:t>
      </w:r>
    </w:p>
    <w:p>
      <w:pPr>
        <w:pStyle w:val="Heading3"/>
      </w:pPr>
      <w:r>
        <w:t>Lieu et date de rédaction</w:t>
      </w:r>
    </w:p>
    <w:p>
      <w:r/>
      <w:r>
        <w:t xml:space="preserve">Paul se trouve en prison lorsqu'il écrit cette lettre à Timothée ; </w:t>
      </w:r>
      <w:hyperlink r:id="rId14477">
        <w:r>
          <w:rPr>
            <w:color w:val="0000EE"/>
            <w:u w:val="single"/>
          </w:rPr>
          <w:t>2 Timothée 1.15–18</w:t>
        </w:r>
      </w:hyperlink>
      <w:r>
        <w:t xml:space="preserve"> parle spécifiquement de son séjour à Rome et de la fidélité d'Onésiphore envers lui alors que d'autres de la province d'Asie l'avaient abandonné. </w:t>
      </w:r>
      <w:hyperlink r:id="rId2640">
        <w:r>
          <w:rPr>
            <w:color w:val="0000EE"/>
            <w:u w:val="single"/>
          </w:rPr>
          <w:t>2 Timothée 2.9</w:t>
        </w:r>
      </w:hyperlink>
      <w:r>
        <w:t xml:space="preserve"> fait à nouveau référence à son emprisonnement pour avoir prêché l'Évangile. Vers la fin de la lettre, à partir de </w:t>
      </w:r>
      <w:hyperlink r:id="rId2641">
        <w:r>
          <w:rPr>
            <w:color w:val="0000EE"/>
            <w:u w:val="single"/>
          </w:rPr>
          <w:t>4.6</w:t>
        </w:r>
      </w:hyperlink>
      <w:r>
        <w:t>, Paul relate son expérience en prison et dit qu'il n'a aucun espoir de libération. 2 Timothée est une sorte de testament de l'apôtre. Une tradition ancienne et fiable rapporte que Paul a été martyrisé à Rome sous Néron. Rome était donc l'endroit d'où 2 Timothée a été écrit.</w:t>
      </w:r>
    </w:p>
    <w:p>
      <w:r/>
      <w:r>
        <w:t>La lettre a été écrite alors que Timothée se trouvait à Éphèse, comme indiqué clairement tout au long du texte.</w:t>
      </w:r>
    </w:p>
    <w:p>
      <w:r/>
      <w:r>
        <w:t>Concernant l'année de rédaction, deux dates sont envisageables. L'an 64 apr. J.‑C. correspond au grand incendie de Rome. Néron avait tenté de rejeter la responsabilité de cet incendie sur les chrétiens. Il est possible que Paul ait été martyrisé à cette période. Néron lui-même est mort en 67 apr. J.‑C., ce qui constitue donc la date la plus tardive possible. La lettre a donc été rédigée entre 64 et 67 apr. J.‑C., avec une préférence pour la date la plus ancienne.</w:t>
      </w:r>
    </w:p>
    <w:p>
      <w:pPr>
        <w:pStyle w:val="Heading3"/>
      </w:pPr>
      <w:r>
        <w:t>Contexte</w:t>
      </w:r>
    </w:p>
    <w:p>
      <w:r/>
      <w:r>
        <w:t xml:space="preserve">Depuis l'époque de la rédaction de 1 Timothée, Paul avait effectué d'autres voyages et était ensuite arrivé à Rome pour son deuxième emprisonnement. Voir la section correspondante sous « </w:t>
      </w:r>
      <w:r>
        <w:t>Timothée, Première lettre à</w:t>
      </w:r>
      <w:r>
        <w:t xml:space="preserve"> ».</w:t>
      </w:r>
    </w:p>
    <w:p>
      <w:pPr>
        <w:pStyle w:val="Heading3"/>
      </w:pPr>
      <w:r>
        <w:t>Résumé</w:t>
      </w:r>
    </w:p>
    <w:p>
      <w:pPr>
        <w:pStyle w:val="Heading4"/>
      </w:pPr>
      <w:r>
        <w:t>Salutations (</w:t>
      </w:r>
      <w:hyperlink r:id="rId14478">
        <w:r>
          <w:rPr>
            <w:color w:val="0000EE"/>
            <w:u w:val="single"/>
          </w:rPr>
          <w:t>1.1–2</w:t>
        </w:r>
      </w:hyperlink>
      <w:r>
        <w:t>)</w:t>
      </w:r>
    </w:p>
    <w:p>
      <w:r/>
      <w:r>
        <w:t>Comme c'était la coutume dans les lettres anciennes, l'auteur commence en citant son nom. Il se présente ensuite plus en détail comme apôtre, appartenant à Jésus-Christ, et mandaté pour annoncer au monde entier la vie éternelle que Dieu a rendue disponible par la foi en Jésus-Christ. Paul indique ainsi son autorité et offre également un bref résumé de l'essence de la véritable foi chrétienne.</w:t>
      </w:r>
    </w:p>
    <w:p>
      <w:r/>
      <w:r>
        <w:t>La personne à qui la lettre est écrite est « Timothée, mon enfant bien-aimé ». Suit ensuite une triple bénédiction : « Grâce, miséricorde et paix » de la part de Dieu le Père et de son Fils, Jésus-Christ. Comme dans toutes ses lettres, Paul remplace la salutation grecque plutôt fade, « salutations », par l'un des plus grands concepts théologiques, « grâce », et ajoute la traduction grecque de la salutation hébraïque habituelle, « paix ». Puis il ajoute ici le grand mot, « miséricorde », comme il l'a fait dans 1 Timothée.</w:t>
      </w:r>
    </w:p>
    <w:p>
      <w:pPr>
        <w:pStyle w:val="Heading4"/>
      </w:pPr>
      <w:r>
        <w:t>Exhortations à Timothée concernant le ministère (</w:t>
      </w:r>
      <w:hyperlink r:id="rId14479">
        <w:r>
          <w:rPr>
            <w:color w:val="0000EE"/>
            <w:u w:val="single"/>
          </w:rPr>
          <w:t>1.3–2.13</w:t>
        </w:r>
      </w:hyperlink>
      <w:r>
        <w:t>)</w:t>
      </w:r>
    </w:p>
    <w:p>
      <w:r/>
      <w:r>
        <w:t>Paul commence cette section en disant à Timothée combien de fois il a offert des prières de remerciement à Dieu en son nom, au Dieu de ses pères, le Dieu qu'il avait pour principal objectif de réjouir par sa vie. Paul désirait ardemment voir Timothée, surtout en se souvenant de leur séparation dans les larmes.</w:t>
      </w:r>
    </w:p>
    <w:p>
      <w:r/>
      <w:r>
        <w:t xml:space="preserve">Paul rappelle à Timothée sa grande confiance dans le Seigneur, une confiance qui lui a été transmise par deux femmes pieuses : sa mère, Eunice, et sa grand-mère, Loïs. </w:t>
      </w:r>
      <w:hyperlink r:id="rId6106">
        <w:r>
          <w:rPr>
            <w:color w:val="0000EE"/>
            <w:u w:val="single"/>
          </w:rPr>
          <w:t>Actes 16.1–3</w:t>
        </w:r>
      </w:hyperlink>
      <w:r>
        <w:t xml:space="preserve"> indique que la mère de Timothée était une Juive croyante, et son père était un Grec, ou Gentil. Il n'avait pas permis que son fils soit circoncis dans l'enfance. Cependant, la mère croyante avait transmis sa foi à son fils. Lorsque Paul avait décidé de l'emmener comme adjoint lors de son deuxième voyage missionnaire, il l'a fait circoncire afin qu'il puisse œuvrer plus efficacement auprès des Juifs. Ainsi, Timothée avait reçu un grand héritage de la part de Loïs, d'Eunice et de Paul lui-même.</w:t>
      </w:r>
    </w:p>
    <w:p>
      <w:r/>
      <w:r>
        <w:t xml:space="preserve">« </w:t>
      </w:r>
      <w:r>
        <w:t>C’est pourquoi je t’exhorte à ranimer le don de Dieu que tu as reçu par l’imposition de mes mains</w:t>
      </w:r>
      <w:r>
        <w:t xml:space="preserve"> » (</w:t>
      </w:r>
      <w:hyperlink r:id="rId9440">
        <w:r>
          <w:rPr>
            <w:color w:val="0000EE"/>
            <w:u w:val="single"/>
          </w:rPr>
          <w:t>2Tm 1.6</w:t>
        </w:r>
      </w:hyperlink>
      <w:r>
        <w:t xml:space="preserve">). </w:t>
      </w:r>
      <w:hyperlink r:id="rId9439">
        <w:r>
          <w:rPr>
            <w:color w:val="0000EE"/>
            <w:u w:val="single"/>
          </w:rPr>
          <w:t>1 Timothée 4.14</w:t>
        </w:r>
      </w:hyperlink>
      <w:r>
        <w:t xml:space="preserve"> ajoute ceci : « </w:t>
      </w:r>
      <w:r>
        <w:t>avec l’imposition des mains de l’assemblée des anciens</w:t>
      </w:r>
      <w:r>
        <w:t>. » Cela ressemble beaucoup à un service formel d'ordination, lorsque Timothée a été consacré comme ministre de l'Évangile par l'imposition des mains, accompagnée de prières. Timothée n'aurait jamais dû oublier ce moment solennel, et ce souvenir aurait dû garder sa vie remplie de force et d'audace. Il était véritablement un homme de Dieu, un homme rempli de l'Esprit de Dieu, et un homme qui n'avait pas peur de faire son travail chrétien. Il était possible que Timothée souffre pour sa foi, mais il pouvait être encouragé en se souvenant des souffrances et de l'emprisonnement de son père spirituel, Paul. Dieu donnerait à Timothée la force de supporter la souffrance, comme il l'avait fait pour Paul.</w:t>
      </w:r>
    </w:p>
    <w:p>
      <w:r/>
      <w:r>
        <w:t>Paul rappelle à Timothée comment Dieu les avait sauvés, lui et Paul, et comment il les avait choisis de toute éternité pour parler aux autres de l'amour salvateur de Dieu à travers Jésus-Christ, qui est venu dans le temps pour accomplir ce salut, en brisant le pouvoir de la mort et en montrant le chemin vers la vie éternelle. Paul savait, bien entendu, en quoi il croyait ; mais plus important encore, il savait en qui il croyait, ou en qui il plaçait se confiance : Jésus-Christ. Malgré les nombreuses incertitudes qui devaient se trouver dans l'esprit de Paul, il pouvait être absolument certain de Christ. Paul était également certain que Christ serait capable de garder ce qui lui avait été confié : le garder jusqu'au jour où Paul et Jésus se verraient. Paul en était convaincu, et il voulait que Timothée ait une assurance similaire.</w:t>
      </w:r>
    </w:p>
    <w:p>
      <w:r/>
      <w:r>
        <w:t>Ainsi, Paul exhorte Timothée à s'attacher fermement au modèle de vérité que Paul lui avait enseigné, ce corps de doctrine chrétienne ; en particulier ce qui concerne Jésus-Christ, ainsi que la foi et l'amour en Christ. Il devait préserver ce don avec soin, avec l'aide du Saint-Esprit.</w:t>
      </w:r>
    </w:p>
    <w:p>
      <w:r/>
      <w:r>
        <w:t xml:space="preserve">Paul partage ensuite avec Timothée sa grande tristesse du fait que tous les chrétiens de la province romaine d'Asie, dont Éphèse était la ville principale, l'avaient abandonné. Paul mentionne deux des déserteurs par leur nom : Phygelle et Hermogène. Timothée devait savoir qui ils étaient, de toute évidence. En contraste frappant, Paul mentionne Onésiphore (également à </w:t>
      </w:r>
      <w:hyperlink r:id="rId1083">
        <w:r>
          <w:rPr>
            <w:color w:val="0000EE"/>
            <w:u w:val="single"/>
          </w:rPr>
          <w:t>4.19</w:t>
        </w:r>
      </w:hyperlink>
      <w:r>
        <w:t>), un homme bon qui avait été une aide si précieuse et fidèle pour Paul, tant à Éphèse qu'à Rome.</w:t>
      </w:r>
    </w:p>
    <w:p>
      <w:r/>
      <w:r>
        <w:t>Paul exhorte de nouveau Timothée à être fort, de la force que Christ lui a donnée (</w:t>
      </w:r>
      <w:hyperlink r:id="rId14480">
        <w:r>
          <w:rPr>
            <w:color w:val="0000EE"/>
            <w:u w:val="single"/>
          </w:rPr>
          <w:t>2.1</w:t>
        </w:r>
      </w:hyperlink>
      <w:r>
        <w:t>). Timothée était appelé à transmettre les vérités chrétiennes à d'autres et à les former à les transmettre à d'autres encore. Paul avait sans doute surtout en tête les anciens et les diacres (voir 1 Timothée). Paul utilise trois illustrations efficaces pour encourager Timothée à donner le meilleur de lui-même dans son service chrétien. Il devait combattre et souffrir comme un bon soldat, bien concourir comme un bon athlète, et travailler dur comme un bon agriculteur. Les récompenses viendront à chacune de ces trois vocations si elles accomplissent bien leurs tâches. Ces trois illustrations avaient d'ailleurs été utilisées par Jésus, et sont reprises par d'autres auteurs du Nouveau Testament.</w:t>
      </w:r>
    </w:p>
    <w:p>
      <w:r/>
      <w:r>
        <w:t xml:space="preserve">Au milieu de ses exhortations, Paul fournit un excellent résumé de la christologie juste dans </w:t>
      </w:r>
      <w:hyperlink r:id="rId14481">
        <w:r>
          <w:rPr>
            <w:color w:val="0000EE"/>
            <w:u w:val="single"/>
          </w:rPr>
          <w:t>2.8–10</w:t>
        </w:r>
      </w:hyperlink>
      <w:r>
        <w:t>. Jésus était véritablement homme et véritablement Dieu. Il est hérétique de nier soit la pleine humanité, soit la pleine divinité de Christ, même si aucun esprit humain ne peut pleinement comprendre le mystère de l'Incarnation. Et cet être divino-humain est mort puis ressuscité d'entre les morts.</w:t>
      </w:r>
    </w:p>
    <w:p>
      <w:pPr>
        <w:pStyle w:val="Heading4"/>
      </w:pPr>
      <w:r>
        <w:t>Avertissements contre l'hérésie (</w:t>
      </w:r>
      <w:hyperlink r:id="rId14482">
        <w:r>
          <w:rPr>
            <w:color w:val="0000EE"/>
            <w:u w:val="single"/>
          </w:rPr>
          <w:t>2.14–4.5</w:t>
        </w:r>
      </w:hyperlink>
      <w:r>
        <w:t>)</w:t>
      </w:r>
    </w:p>
    <w:p>
      <w:r/>
      <w:r>
        <w:t xml:space="preserve">Cette section commence par l'affirmation suivante : « </w:t>
      </w:r>
      <w:r>
        <w:t>Rappelle ces choses, en conjurant devant Dieu qu’on évite les disputes de mots, qui ne servent qu’à la ruine de ceux qui écoutent</w:t>
      </w:r>
      <w:r>
        <w:t xml:space="preserve"> ». Il y a des croyances hérétiques qui devraient être définitivement condamnées, mais les chrétiens sont avertis de ne pas se disputer entre eux sur des questions insignifiantes. Les chrétiens peuvent se mettre en colère contre d'autres chrétiens et passer du temps à se battre entre eux plutôt que de combattre Satan.</w:t>
      </w:r>
    </w:p>
    <w:p>
      <w:r/>
      <w:r>
        <w:t xml:space="preserve">Timothée devait s'efforcer d'être un bon serviteur, méritant l'approbation de son Maître, et bien connaître les vérités de sa Parole. Ainsi, il pouvait combattre les faux enseignements des hérétiques. Deux de ces hérétiques sont mentionnés nommément : Hyménée et Philète. Philète n'est nommé qu'ici dans le Nouveau Testament. Hyménée, quant à lui, est également mentionné dans </w:t>
      </w:r>
      <w:hyperlink r:id="rId528">
        <w:r>
          <w:rPr>
            <w:color w:val="0000EE"/>
            <w:u w:val="single"/>
          </w:rPr>
          <w:t>1 Timothée 1.20</w:t>
        </w:r>
      </w:hyperlink>
      <w:r>
        <w:t>, avec un autre hérétique, Alexandre ; ces deux-là avaient été livrés à Satan, ou excommuniés, par Paul à cette époque. Leur hérésie était qu'ils enseignaient que la résurrection des croyants avait déjà eu lieu (</w:t>
      </w:r>
      <w:hyperlink r:id="rId14483">
        <w:r>
          <w:rPr>
            <w:color w:val="0000EE"/>
            <w:u w:val="single"/>
          </w:rPr>
          <w:t>2Tm 2.18</w:t>
        </w:r>
      </w:hyperlink>
      <w:r>
        <w:t>). Cette hérésie sape l'espérance chrétien de la résurrection finale, qui amène tous les croyants dans l'éternité. Les hérétiques niaient la réalité de cela et la redéfinissaient comme quelque chose qui avait déjà eu lieu.</w:t>
      </w:r>
    </w:p>
    <w:p>
      <w:r/>
      <w:r>
        <w:t>De diverses manières, Paul exhorte Timothée à se montrer être un véritable serviteur de Dieu, reconnu par Dieu et vivant selon les vérités de la parole de Dieu. Il était appelé à éviter les mauvaises pensées qui se présentent si souvent aux jeunes hommes, ainsi que la tentation de se quereller. Il devait, au contraire, être doux, patient et humble, cherchant à aider son peuple à éviter les pièges de Satan.</w:t>
      </w:r>
    </w:p>
    <w:p>
      <w:r/>
      <w:hyperlink r:id="rId14484">
        <w:r>
          <w:rPr>
            <w:color w:val="0000EE"/>
            <w:u w:val="single"/>
          </w:rPr>
          <w:t>2 Timothée 3.1–9</w:t>
        </w:r>
      </w:hyperlink>
      <w:r>
        <w:t xml:space="preserve"> contient la condamnation la plus forte de Paul envers les hérétiques dans l'Église. Ils assistent au culte mais ne croient pas aux vérités chrétiennes. Ils ne mènent pas eux-mêmes des vies chrétiennes et s'efforcent d'amener les autres à suivre leurs croyances et pratiques ; Paul comparait les hérétiques de son époque aux magiciens égyptiens dans </w:t>
      </w:r>
      <w:hyperlink r:id="rId14485">
        <w:r>
          <w:rPr>
            <w:color w:val="0000EE"/>
            <w:u w:val="single"/>
          </w:rPr>
          <w:t>Exode 7</w:t>
        </w:r>
      </w:hyperlink>
      <w:r>
        <w:t xml:space="preserve"> (qui ont reçu les noms de Jannès et Jambrès par la tradition juive). Les hérétiques de l'époque de Timothée allaient échouer dans leurs attaques contre la vérité, tout comme Jannès et Jambrès avaient échoué dans leurs attaques contre Dieu et son porte-parole Moïse.</w:t>
      </w:r>
    </w:p>
    <w:p>
      <w:r/>
      <w:r>
        <w:t>Paul compare sa propre vie et ses croyances à celles des hérétiques. Lui-même avait été persécuté par des hérétiques, même lors de son premier voyage missionnaire, mais il avait continué à prêcher la vérité et avait amené beaucoup de personnes à accepter Christ. Timothée était appelé à suivre l'exemple de Paul.</w:t>
      </w:r>
    </w:p>
    <w:p>
      <w:r/>
      <w:r>
        <w:t>La manière suprême de surmonter l'hérésie est l'étude sérieuse et attentive de la Parole de Dieu. « Toute Écriture est inspirée de Dieu, et utile pour enseigner, pour convaincre, pour corriger, pour instruire dans la justice, afin que l’homme de Dieu soit accompli et propre à toute bonne œuvre » (</w:t>
      </w:r>
      <w:hyperlink r:id="rId14486">
        <w:r>
          <w:rPr>
            <w:color w:val="0000EE"/>
            <w:u w:val="single"/>
          </w:rPr>
          <w:t>3.16–17</w:t>
        </w:r>
      </w:hyperlink>
      <w:r>
        <w:t>).</w:t>
      </w:r>
    </w:p>
    <w:p>
      <w:r/>
      <w:r>
        <w:t>Paul donne à Timothée la charge solennelle de prêcher cette Parole fidèlement, en tout sérieux. Beaucoup ne seraient pas disposés à écouter les vérités de la Bible, mais Timothée devait essayer de les corriger et de les réprimander, même si cela pouvait lui valoir des persécutions.</w:t>
      </w:r>
    </w:p>
    <w:p>
      <w:pPr>
        <w:pStyle w:val="Heading4"/>
      </w:pPr>
      <w:r>
        <w:t>La Foi et l'espérance de Paul (</w:t>
      </w:r>
      <w:hyperlink r:id="rId14487">
        <w:r>
          <w:rPr>
            <w:color w:val="0000EE"/>
            <w:u w:val="single"/>
          </w:rPr>
          <w:t>4.6–18</w:t>
        </w:r>
      </w:hyperlink>
      <w:r>
        <w:t>)</w:t>
      </w:r>
    </w:p>
    <w:p>
      <w:r/>
      <w:r>
        <w:t xml:space="preserve">Paul écrit ces importantes injonctions à Timothée parce qu'il savait qu'il lui restait très peu de temps ici sur terre : « </w:t>
      </w:r>
      <w:r>
        <w:t>Car pour moi, je sers déjà de libation, et le moment de mon départ approche</w:t>
      </w:r>
      <w:r>
        <w:t xml:space="preserve"> » (</w:t>
      </w:r>
      <w:hyperlink r:id="rId2641">
        <w:r>
          <w:rPr>
            <w:color w:val="0000EE"/>
            <w:u w:val="single"/>
          </w:rPr>
          <w:t>4.6</w:t>
        </w:r>
      </w:hyperlink>
      <w:r>
        <w:t>). Il peut regarder en arrière avec satisfaction et voir une vie de véritable foi et de service. Ainsi, il peut envisager avec toute confiance sa couronne de victoire dans l'éternité. Ce type de foi a permis à Paul d'affronter sa mort avec courage, et il en sera de même pour tous les chrétiens croyants pour qui la Seconde Venue est une espérance bénie.</w:t>
      </w:r>
    </w:p>
    <w:p>
      <w:r/>
      <w:r>
        <w:t xml:space="preserve">Paul exhorte Timothée à venir pour être à ses côtés à Rome. Luc était le seul de ses amis encore avec lui. Paul parle à Timothée d'autres amis qui avaient été avec lui mais qui étaient partis. L'un d'eux, Démas, s'était avéré infidèle. Crescens, Tite et Tychique étaient partis pour d'autres endroits. Paul demande à Timothée d'apporter son manteau, qu'il avait laissé à Troas chez Carpus, ainsi que ses livres, surtout ceux écrits sur parchemin (sans doute des copies de l'Écriture, à la fois Ancien Testament et Nouveau). Paul met en garde Timothée contre un homme mauvais, Alexandre le forgeron (voir </w:t>
      </w:r>
      <w:hyperlink r:id="rId528">
        <w:r>
          <w:rPr>
            <w:color w:val="0000EE"/>
            <w:u w:val="single"/>
          </w:rPr>
          <w:t>1Tm 1.20</w:t>
        </w:r>
      </w:hyperlink>
      <w:r>
        <w:t>).</w:t>
      </w:r>
    </w:p>
    <w:p>
      <w:r/>
      <w:r>
        <w:t>Lors du premier procès de Paul, tous ses amis l'avaient abandonné. Cependant, Dieu était avec lui et l'a sauvé. Paul a même eu l'occasion de proclamer l'Évangile afin que le monde entier l'entende.</w:t>
      </w:r>
    </w:p>
    <w:p>
      <w:pPr>
        <w:pStyle w:val="Heading4"/>
      </w:pPr>
      <w:r>
        <w:t>Salutations de conclusion (</w:t>
      </w:r>
      <w:hyperlink r:id="rId14488">
        <w:r>
          <w:rPr>
            <w:color w:val="0000EE"/>
            <w:u w:val="single"/>
          </w:rPr>
          <w:t>4.19–22</w:t>
        </w:r>
      </w:hyperlink>
      <w:r>
        <w:t>)</w:t>
      </w:r>
    </w:p>
    <w:p>
      <w:r/>
      <w:r>
        <w:t xml:space="preserve">Paul envoie ses salutations à plusieurs de ses amis à Éphèse. Il transmet également des salutations à Timothée de la part de certains chrétiens romains qu'il connaissait manifestement. Il exhorte Timothée à essayer de venir le voir avant l'hiver, lorsque voyager serait difficile ou impossible. Il conclut ensuite par une courte bénédiction : « </w:t>
      </w:r>
      <w:r>
        <w:t>Que le Seigneur soit avec ton esprit</w:t>
      </w:r>
      <w:r>
        <w:t xml:space="preserve"> ! »</w:t>
      </w:r>
    </w:p>
    <w:p>
      <w:r/>
      <w:r>
        <w:rPr>
          <w:i/>
        </w:rPr>
        <w:t>Voir aussi</w:t>
      </w:r>
      <w:r>
        <w:t xml:space="preserve"> </w:t>
      </w:r>
      <w:r>
        <w:t>Paul, L'Apôtre</w:t>
      </w:r>
      <w:r>
        <w:t xml:space="preserve"> ;</w:t>
      </w:r>
      <w:r>
        <w:t xml:space="preserve"> Timothée, Première lettre à</w:t>
      </w:r>
      <w:r>
        <w:t xml:space="preserve"> ;</w:t>
      </w:r>
      <w:r>
        <w:t xml:space="preserve"> Tite, Lettre à</w:t>
      </w:r>
      <w:r>
        <w:t>.</w:t>
      </w:r>
      <w:r/>
      <w:r/>
    </w:p>
    <w:p>
      <w:r/>
    </w:p>
    <w:p>
      <w:pPr>
        <w:pStyle w:val="Heading2"/>
      </w:pPr>
      <w:r>
        <w:t>Tirage au sort</w:t>
      </w:r>
      <w:r/>
    </w:p>
    <w:p>
      <w:r/>
      <w:r>
        <w:t>Pratique courante dans l'Ancien Testament, qui est devenue moins fréquente dans le Nouveau Testament avant la Pentecôte. Après la Pentecôte, la Bible ne mentionne plus cette pratique.</w:t>
      </w:r>
    </w:p>
    <w:p>
      <w:pPr>
        <w:pStyle w:val="Heading3"/>
      </w:pPr>
      <w:r>
        <w:t>Utilisations du tirage au sort</w:t>
      </w:r>
    </w:p>
    <w:p>
      <w:r/>
      <w:r>
        <w:t>Les gens tiraient au sort pour de nombreuses raisons :</w:t>
      </w:r>
    </w:p>
    <w:p>
      <w:pPr>
        <w:pStyle w:val="ListNumber"/>
        <w:spacing w:line="240" w:lineRule="auto"/>
        <w:ind w:left="720"/>
      </w:pPr>
      <w:r/>
      <w:r>
        <w:t>Choisir le bouc émissaire (</w:t>
      </w:r>
      <w:hyperlink r:id="rId14489">
        <w:r>
          <w:rPr>
            <w:color w:val="0000EE"/>
            <w:u w:val="single"/>
          </w:rPr>
          <w:t>Lv 16.8–10</w:t>
        </w:r>
      </w:hyperlink>
      <w:r>
        <w:t>).</w:t>
      </w:r>
    </w:p>
    <w:p>
      <w:pPr>
        <w:pStyle w:val="ListNumber"/>
        <w:spacing w:line="240" w:lineRule="auto"/>
        <w:ind w:left="720"/>
      </w:pPr>
      <w:r/>
      <w:r>
        <w:t>Répartir des terres entre les tribus (</w:t>
      </w:r>
      <w:hyperlink r:id="rId14490">
        <w:r>
          <w:rPr>
            <w:color w:val="0000EE"/>
            <w:u w:val="single"/>
          </w:rPr>
          <w:t>Nb 26.55–56</w:t>
        </w:r>
      </w:hyperlink>
      <w:r>
        <w:t xml:space="preserve"> ; </w:t>
      </w:r>
      <w:hyperlink r:id="rId14491">
        <w:r>
          <w:rPr>
            <w:color w:val="0000EE"/>
            <w:u w:val="single"/>
          </w:rPr>
          <w:t>Jos 14.2</w:t>
        </w:r>
      </w:hyperlink>
      <w:r>
        <w:t xml:space="preserve"> ; </w:t>
      </w:r>
      <w:hyperlink r:id="rId13985">
        <w:r>
          <w:rPr>
            <w:color w:val="0000EE"/>
            <w:u w:val="single"/>
          </w:rPr>
          <w:t>Jg 1.3</w:t>
        </w:r>
      </w:hyperlink>
      <w:r>
        <w:t>)</w:t>
      </w:r>
    </w:p>
    <w:p>
      <w:pPr>
        <w:pStyle w:val="ListNumber"/>
        <w:spacing w:line="240" w:lineRule="auto"/>
        <w:ind w:left="720"/>
      </w:pPr>
      <w:r/>
      <w:r>
        <w:t>Décider qui doit se déplacer ou aller à la guerre (</w:t>
      </w:r>
      <w:hyperlink r:id="rId14492">
        <w:r>
          <w:rPr>
            <w:color w:val="0000EE"/>
            <w:u w:val="single"/>
          </w:rPr>
          <w:t>Jug 20.9</w:t>
        </w:r>
      </w:hyperlink>
      <w:r>
        <w:t xml:space="preserve"> ; </w:t>
      </w:r>
      <w:hyperlink r:id="rId14493">
        <w:r>
          <w:rPr>
            <w:color w:val="0000EE"/>
            <w:u w:val="single"/>
          </w:rPr>
          <w:t>Né 11.1</w:t>
        </w:r>
      </w:hyperlink>
      <w:r>
        <w:t>).</w:t>
      </w:r>
    </w:p>
    <w:p>
      <w:pPr>
        <w:pStyle w:val="ListNumber"/>
        <w:spacing w:line="240" w:lineRule="auto"/>
        <w:ind w:left="720"/>
      </w:pPr>
      <w:r/>
      <w:r>
        <w:t>Attribuer des devoirs aux prêtres (</w:t>
      </w:r>
      <w:hyperlink r:id="rId14494">
        <w:r>
          <w:rPr>
            <w:color w:val="0000EE"/>
            <w:u w:val="single"/>
          </w:rPr>
          <w:t>1Ch 24.5–19</w:t>
        </w:r>
      </w:hyperlink>
      <w:r>
        <w:t xml:space="preserve"> ; </w:t>
      </w:r>
      <w:hyperlink r:id="rId14495">
        <w:r>
          <w:rPr>
            <w:color w:val="0000EE"/>
            <w:u w:val="single"/>
          </w:rPr>
          <w:t>Né 10.34</w:t>
        </w:r>
      </w:hyperlink>
      <w:r>
        <w:t>).</w:t>
      </w:r>
    </w:p>
    <w:p>
      <w:pPr>
        <w:pStyle w:val="ListNumber"/>
        <w:spacing w:line="240" w:lineRule="auto"/>
        <w:ind w:left="720"/>
      </w:pPr>
      <w:r/>
      <w:r>
        <w:t>Découvrir qui a fait quelque chose de mal (</w:t>
      </w:r>
      <w:hyperlink r:id="rId14496">
        <w:r>
          <w:rPr>
            <w:color w:val="0000EE"/>
            <w:u w:val="single"/>
          </w:rPr>
          <w:t>Jos 7.14–18</w:t>
        </w:r>
      </w:hyperlink>
      <w:r>
        <w:t xml:space="preserve"> ; voir </w:t>
      </w:r>
      <w:hyperlink r:id="rId14497">
        <w:r>
          <w:rPr>
            <w:color w:val="0000EE"/>
            <w:u w:val="single"/>
          </w:rPr>
          <w:t>Pr 18.18</w:t>
        </w:r>
      </w:hyperlink>
      <w:r>
        <w:t>).</w:t>
      </w:r>
    </w:p>
    <w:p>
      <w:r/>
      <w:r>
        <w:t>Les gens utilisaient le tirage au sort pour des décisions importantes lorsque la sagesse ou la Bible ne fournissaient pas suffisamment de conseils. Le tirage au sort était équitable et impartial. Les gens croyaient que Dieu dirigeait le sort (</w:t>
      </w:r>
      <w:hyperlink r:id="rId14498">
        <w:r>
          <w:rPr>
            <w:color w:val="0000EE"/>
            <w:u w:val="single"/>
          </w:rPr>
          <w:t>Pr 16.33</w:t>
        </w:r>
      </w:hyperlink>
      <w:r>
        <w:t>).</w:t>
      </w:r>
    </w:p>
    <w:p>
      <w:r/>
      <w:r>
        <w:t>La Bible n'explique pas exactement la manière de ces tirages au sort. La méthode semblait changer en fonction de la situation (</w:t>
      </w:r>
      <w:hyperlink r:id="rId14499">
        <w:r>
          <w:rPr>
            <w:color w:val="0000EE"/>
            <w:u w:val="single"/>
          </w:rPr>
          <w:t>Lv 16.8</w:t>
        </w:r>
      </w:hyperlink>
      <w:r>
        <w:t xml:space="preserve"> ; </w:t>
      </w:r>
      <w:hyperlink r:id="rId14490">
        <w:r>
          <w:rPr>
            <w:color w:val="0000EE"/>
            <w:u w:val="single"/>
          </w:rPr>
          <w:t>Nb 26.55–56</w:t>
        </w:r>
      </w:hyperlink>
      <w:r>
        <w:t xml:space="preserve"> ; </w:t>
      </w:r>
      <w:hyperlink r:id="rId14492">
        <w:r>
          <w:rPr>
            <w:color w:val="0000EE"/>
            <w:u w:val="single"/>
          </w:rPr>
          <w:t>Jg 20.9</w:t>
        </w:r>
      </w:hyperlink>
      <w:r>
        <w:t>).</w:t>
      </w:r>
    </w:p>
    <w:p>
      <w:r/>
      <w:r>
        <w:t>Dieu n'a jamais dit que tirer au sort était mal. Parfois, il a même dit aux gens de le faire (</w:t>
      </w:r>
      <w:hyperlink r:id="rId14499">
        <w:r>
          <w:rPr>
            <w:color w:val="0000EE"/>
            <w:u w:val="single"/>
          </w:rPr>
          <w:t>Lv 16.8</w:t>
        </w:r>
      </w:hyperlink>
      <w:r>
        <w:t xml:space="preserve"> ; </w:t>
      </w:r>
      <w:hyperlink r:id="rId14497">
        <w:r>
          <w:rPr>
            <w:color w:val="0000EE"/>
            <w:u w:val="single"/>
          </w:rPr>
          <w:t>Pr 18.18</w:t>
        </w:r>
      </w:hyperlink>
      <w:r>
        <w:t xml:space="preserve"> ; </w:t>
      </w:r>
      <w:hyperlink r:id="rId14500">
        <w:r>
          <w:rPr>
            <w:color w:val="0000EE"/>
            <w:u w:val="single"/>
          </w:rPr>
          <w:t>Es 34.17</w:t>
        </w:r>
      </w:hyperlink>
      <w:r>
        <w:t xml:space="preserve">). </w:t>
      </w:r>
      <w:hyperlink r:id="rId14498">
        <w:r>
          <w:rPr>
            <w:color w:val="0000EE"/>
            <w:u w:val="single"/>
          </w:rPr>
          <w:t>Proverbes 16.33</w:t>
        </w:r>
      </w:hyperlink>
      <w:r>
        <w:t xml:space="preserve"> dit que Dieu décide du résultat du sort. Ainsi, les gens pensaient que le sort révélait la volonté de Dieu.</w:t>
      </w:r>
    </w:p>
    <w:p>
      <w:r/>
      <w:r>
        <w:t>Dans le Nouveau Testament, les soldats ont tiré au sort les vêtements de Jésus (</w:t>
      </w:r>
      <w:hyperlink r:id="rId14501">
        <w:r>
          <w:rPr>
            <w:color w:val="0000EE"/>
            <w:u w:val="single"/>
          </w:rPr>
          <w:t>Mt 27.35</w:t>
        </w:r>
      </w:hyperlink>
      <w:r>
        <w:t>). Les disciples ont également utilisé le tirage au sort pour choisir Matthias comme nouvel apôtre pour remplacer Judas (</w:t>
      </w:r>
      <w:hyperlink r:id="rId4185">
        <w:r>
          <w:rPr>
            <w:color w:val="0000EE"/>
            <w:u w:val="single"/>
          </w:rPr>
          <w:t>Ac 1.26</w:t>
        </w:r>
      </w:hyperlink>
      <w:r>
        <w:t>).</w:t>
      </w:r>
    </w:p>
    <w:p>
      <w:r/>
      <w:r>
        <w:t>Après le déversement du Saint-Esprit à la Pentecôte, la Bible ne mentionne plus le tirage au sort. Certains experts pensent que l'Église n'avait plus besoin de tirage au sort parce que le Saint-Esprit guidait leurs décisions.</w:t>
      </w:r>
    </w:p>
    <w:p>
      <w:r/>
      <w:r>
        <w:rPr>
          <w:i/>
        </w:rPr>
        <w:t>Voir aussi</w:t>
      </w:r>
      <w:r>
        <w:t xml:space="preserve"> </w:t>
      </w:r>
      <w:r>
        <w:t>Urim et Thummim</w:t>
      </w:r>
      <w:r>
        <w:t>.</w:t>
      </w:r>
      <w:r/>
      <w:r/>
    </w:p>
    <w:p>
      <w:r/>
    </w:p>
    <w:p>
      <w:pPr>
        <w:pStyle w:val="Heading2"/>
      </w:pPr>
      <w:r>
        <w:t>Tiras</w:t>
      </w:r>
      <w:r/>
    </w:p>
    <w:p>
      <w:r/>
      <w:r>
        <w:t>Le septième fils de Japhet mentionné dans la « Table des nations » (</w:t>
      </w:r>
      <w:hyperlink r:id="rId6069">
        <w:r>
          <w:rPr>
            <w:color w:val="0000EE"/>
            <w:u w:val="single"/>
          </w:rPr>
          <w:t>Gn 10.2</w:t>
        </w:r>
      </w:hyperlink>
      <w:r>
        <w:t xml:space="preserve"> ; </w:t>
      </w:r>
      <w:hyperlink r:id="rId6070">
        <w:r>
          <w:rPr>
            <w:color w:val="0000EE"/>
            <w:u w:val="single"/>
          </w:rPr>
          <w:t>1Ch 1.5</w:t>
        </w:r>
      </w:hyperlink>
      <w:r>
        <w:t>). Ses descendants ont été associés, à divers moments, aux Thraces, aux Agathyrses, aux tribus de la région montagneuse du Taurus et aux Tyrrhéniens maritimes. Toutes ces identifications sont toutefois purement spéculatives.</w:t>
      </w:r>
      <w:r/>
      <w:r/>
    </w:p>
    <w:p>
      <w:r/>
    </w:p>
    <w:p>
      <w:pPr>
        <w:pStyle w:val="Heading2"/>
      </w:pPr>
      <w:r>
        <w:t>Tissu et fabrication de tissu</w:t>
      </w:r>
      <w:r/>
    </w:p>
    <w:p>
      <w:r/>
      <w:r>
        <w:t>Depuis l'Antiquité, le tissu est fabriqué à partir de fibres naturelles telles que le lin, la laine, le coton, la soie et les poils. Le lin (filé à partir de tiges de lin), la laine et la toile de sac (tissée à partir de poils de chèvre ou de chameau) sont les tissus les plus fréquemment mentionnés dans les Écritures. La Bible fait également référence à la soie et au coton.</w:t>
      </w:r>
    </w:p>
    <w:p>
      <w:pPr>
        <w:pStyle w:val="Heading3"/>
      </w:pPr>
      <w:r>
        <w:t>Fibres pour le tissage</w:t>
      </w:r>
    </w:p>
    <w:p>
      <w:pPr>
        <w:pStyle w:val="Heading4"/>
      </w:pPr>
      <w:r>
        <w:t>Lin</w:t>
      </w:r>
    </w:p>
    <w:p>
      <w:r/>
      <w:r>
        <w:t>Le lin était cultivé de manière intensive au Proche-Orient. En Palestine, il prospérait autour de la mer de Galilée. Les tiges étaient rassemblées en bottes et trempées dans l'eau, ce qui permettait aux fibres de se séparer de la tige non fibreuse. Les bottes étaient ensuite ouvertes et étalées pour sécher au soleil. Rahab cachera des espions hébreux sur le toit de sa maison parmi des tiges de lin étalées pour sécher (</w:t>
      </w:r>
      <w:hyperlink r:id="rId482">
        <w:r>
          <w:rPr>
            <w:color w:val="0000EE"/>
            <w:u w:val="single"/>
          </w:rPr>
          <w:t>Jos 2.6</w:t>
        </w:r>
      </w:hyperlink>
      <w:r>
        <w:t xml:space="preserve">). Après séchage, les tiges étaient fendues et peignées pour séparer les fibres destinées au filage et au tissage en lin. Les références bibliques au lin incluent </w:t>
      </w:r>
      <w:hyperlink r:id="rId14502">
        <w:r>
          <w:rPr>
            <w:color w:val="0000EE"/>
            <w:u w:val="single"/>
          </w:rPr>
          <w:t>Ex 9.31</w:t>
        </w:r>
      </w:hyperlink>
      <w:r>
        <w:t xml:space="preserve">, </w:t>
      </w:r>
      <w:hyperlink r:id="rId7966">
        <w:r>
          <w:rPr>
            <w:color w:val="0000EE"/>
            <w:u w:val="single"/>
          </w:rPr>
          <w:t>Jg 15.14</w:t>
        </w:r>
      </w:hyperlink>
      <w:r>
        <w:t xml:space="preserve">, et </w:t>
      </w:r>
      <w:hyperlink r:id="rId14503">
        <w:r>
          <w:rPr>
            <w:color w:val="0000EE"/>
            <w:u w:val="single"/>
          </w:rPr>
          <w:t>Pr 31.13</w:t>
        </w:r>
      </w:hyperlink>
      <w:r>
        <w:t>.</w:t>
      </w:r>
    </w:p>
    <w:p>
      <w:r/>
      <w:r>
        <w:t>Le type de tissu utilisé pour fabriquer les tuniques, ceintures et bonnets sacerdotaux (</w:t>
      </w:r>
      <w:hyperlink r:id="rId14504">
        <w:r>
          <w:rPr>
            <w:color w:val="0000EE"/>
            <w:u w:val="single"/>
          </w:rPr>
          <w:t>Ex 28.40</w:t>
        </w:r>
      </w:hyperlink>
      <w:r>
        <w:t>) n'est pas précisé, bien que la mention de caleçons en lin puisse indiquer que la plupart des vêtements sacerdotaux, sinon tous, étaient faits de lin. Le lin le plus fin, porté par les rois et les nobles, servait de marque d'honneur ou de cadeau spécial. Joseph recevra un vêtement de fin lin lorsqu'il est nommé gouverneur d'Égypte (</w:t>
      </w:r>
      <w:hyperlink r:id="rId464">
        <w:r>
          <w:rPr>
            <w:color w:val="0000EE"/>
            <w:u w:val="single"/>
          </w:rPr>
          <w:t>Gn 41.42</w:t>
        </w:r>
      </w:hyperlink>
      <w:r>
        <w:t>). Lorsque les Hébreux quittent l'Égypte au moment de l'exode, ils emporteront avec eux un lin de haute qualité et le donneront au tabernacle (</w:t>
      </w:r>
      <w:hyperlink r:id="rId3380">
        <w:r>
          <w:rPr>
            <w:color w:val="0000EE"/>
            <w:u w:val="single"/>
          </w:rPr>
          <w:t>Ex 25.4</w:t>
        </w:r>
      </w:hyperlink>
      <w:r>
        <w:t xml:space="preserve"> ; </w:t>
      </w:r>
      <w:hyperlink r:id="rId14505">
        <w:r>
          <w:rPr>
            <w:color w:val="0000EE"/>
            <w:u w:val="single"/>
          </w:rPr>
          <w:t>35.6</w:t>
        </w:r>
      </w:hyperlink>
      <w:r>
        <w:t>). Un artisan formé pour travailler le fin lin viendra de Tyr pour travailler pour Salomon sur les tentures du temple (</w:t>
      </w:r>
      <w:hyperlink r:id="rId14506">
        <w:r>
          <w:rPr>
            <w:color w:val="0000EE"/>
            <w:u w:val="single"/>
          </w:rPr>
          <w:t>2Ch 2.14</w:t>
        </w:r>
      </w:hyperlink>
      <w:r>
        <w:t>).</w:t>
      </w:r>
    </w:p>
    <w:p>
      <w:pPr>
        <w:pStyle w:val="Heading4"/>
      </w:pPr>
      <w:r>
        <w:t>Laine</w:t>
      </w:r>
    </w:p>
    <w:p>
      <w:r/>
      <w:r>
        <w:t>La laine était une autre fibre extrêmement importante dans l'économie du Proche-Orient. Elle pouvait être de n'importe quelle teinte, du jaune crème au brun ou au noir. Parfois, pour obtenir une laine d'un blanc pur, un mouton était gardé enveloppé pour éviter que sa toison ne soit salie. La préparation de la laine était un artisanat domestique dans l'Antiquité (</w:t>
      </w:r>
      <w:hyperlink r:id="rId14503">
        <w:r>
          <w:rPr>
            <w:color w:val="0000EE"/>
            <w:u w:val="single"/>
          </w:rPr>
          <w:t>Pr 31.13</w:t>
        </w:r>
      </w:hyperlink>
      <w:r>
        <w:t xml:space="preserve"> ; cf. </w:t>
      </w:r>
      <w:hyperlink r:id="rId14507">
        <w:r>
          <w:rPr>
            <w:color w:val="0000EE"/>
            <w:u w:val="single"/>
          </w:rPr>
          <w:t>Ex 35.25</w:t>
        </w:r>
      </w:hyperlink>
      <w:r>
        <w:t>). La laine devait être soigneusement lavée, séchée, puis battue pour détacher les fibres et enlever la saleté avant d'être cardée et filée. Les femmes filaient leur propre fil et tissaient des vêtements pour leurs familles. La laine était le tissu des peuples semi-nomades élevant des moutons ; la culture du lin, quant à elle, nécessitait un mode de vie plus sédentaire.</w:t>
      </w:r>
    </w:p>
    <w:p>
      <w:pPr>
        <w:pStyle w:val="Heading4"/>
      </w:pPr>
      <w:r>
        <w:t>Poils de chèvre</w:t>
      </w:r>
    </w:p>
    <w:p>
      <w:r/>
      <w:r>
        <w:t>On tissait les poils de chèvre pour obtenir un tissu épais qui était extrêmement chaud et imperméable (</w:t>
      </w:r>
      <w:hyperlink r:id="rId14508">
        <w:r>
          <w:rPr>
            <w:color w:val="0000EE"/>
            <w:u w:val="single"/>
          </w:rPr>
          <w:t>Ex 35.23, 26</w:t>
        </w:r>
      </w:hyperlink>
      <w:r>
        <w:t>). Les vêtements portés par les pauvres étaient souvent fabriqués à partir de poils de chèvre ou de chameau. Ce tissu à poils grossiers (toile de sac) était parfois porté à même la peau comme forme de pénitence (</w:t>
      </w:r>
      <w:hyperlink r:id="rId3801">
        <w:r>
          <w:rPr>
            <w:color w:val="0000EE"/>
            <w:u w:val="single"/>
          </w:rPr>
          <w:t>Né 9.1</w:t>
        </w:r>
      </w:hyperlink>
      <w:r>
        <w:t xml:space="preserve"> ; </w:t>
      </w:r>
      <w:hyperlink r:id="rId2203">
        <w:r>
          <w:rPr>
            <w:color w:val="0000EE"/>
            <w:u w:val="single"/>
          </w:rPr>
          <w:t>Dn 9.3</w:t>
        </w:r>
      </w:hyperlink>
      <w:r>
        <w:t xml:space="preserve"> ; </w:t>
      </w:r>
      <w:hyperlink r:id="rId14509">
        <w:r>
          <w:rPr>
            <w:color w:val="0000EE"/>
            <w:u w:val="single"/>
          </w:rPr>
          <w:t>Mt 11.21</w:t>
        </w:r>
      </w:hyperlink>
      <w:r>
        <w:t>), comme vêtement de deuil (</w:t>
      </w:r>
      <w:hyperlink r:id="rId3792">
        <w:r>
          <w:rPr>
            <w:color w:val="0000EE"/>
            <w:u w:val="single"/>
          </w:rPr>
          <w:t>Gn 37.34</w:t>
        </w:r>
      </w:hyperlink>
      <w:r>
        <w:t xml:space="preserve"> ; </w:t>
      </w:r>
      <w:hyperlink r:id="rId3795">
        <w:r>
          <w:rPr>
            <w:color w:val="0000EE"/>
            <w:u w:val="single"/>
          </w:rPr>
          <w:t>2 Sm 3.31</w:t>
        </w:r>
      </w:hyperlink>
      <w:r>
        <w:t>), ou même comme protestation prophétique contre la vie luxueuse (</w:t>
      </w:r>
      <w:hyperlink r:id="rId10680">
        <w:r>
          <w:rPr>
            <w:color w:val="0000EE"/>
            <w:u w:val="single"/>
          </w:rPr>
          <w:t>Ap 11.3</w:t>
        </w:r>
      </w:hyperlink>
      <w:r>
        <w:t>).</w:t>
      </w:r>
    </w:p>
    <w:p>
      <w:pPr>
        <w:pStyle w:val="Heading4"/>
      </w:pPr>
      <w:r>
        <w:t>Coton, soie et fil d'or</w:t>
      </w:r>
    </w:p>
    <w:p>
      <w:r/>
      <w:r>
        <w:t>Les habitants de Judée auraient certainement été conscients de l'existence du coton pendant leur exil perse (commençant en 538 av. J.‑C.). Le coton est mentionné une fois dans une description de tentures élaborées dans le palais du roi perse (</w:t>
      </w:r>
      <w:hyperlink r:id="rId1635">
        <w:r>
          <w:rPr>
            <w:color w:val="0000EE"/>
            <w:u w:val="single"/>
          </w:rPr>
          <w:t>Est 1.6</w:t>
        </w:r>
      </w:hyperlink>
      <w:r>
        <w:t>). Il est cependant douteux que le coton ait été cultivé dans la Palestine antique ou même trouvé là-bas avant l'exil.</w:t>
      </w:r>
    </w:p>
    <w:p>
      <w:r/>
      <w:r>
        <w:t>Plus tôt dans l'histoire d'Israël, une partie du tissu du tabernacle était tissée avec du fil d'or, fabriqué à partir de fines feuilles d'or battu découpées en fines bandes de fil (</w:t>
      </w:r>
      <w:hyperlink r:id="rId14510">
        <w:r>
          <w:rPr>
            <w:color w:val="0000EE"/>
            <w:u w:val="single"/>
          </w:rPr>
          <w:t>Ex 39.3</w:t>
        </w:r>
      </w:hyperlink>
      <w:r>
        <w:t>). Un type plus large de fil d'or avec une surface plate était utilisé pour orner des vêtements palestiniens et syriens coûteux. Une ancienne échevette de fin fil d'or a été découverte lors de fouilles à Dura sur l'Euphrate.</w:t>
      </w:r>
    </w:p>
    <w:p>
      <w:pPr>
        <w:pStyle w:val="Heading3"/>
      </w:pPr>
      <w:r>
        <w:t>Filature</w:t>
      </w:r>
    </w:p>
    <w:p>
      <w:r/>
      <w:r>
        <w:t>À l'époque biblique, un fuseau était un bâton mince et arrondi, effilé et entaillé à une extrémité, et lesté à l'autre extrémité avec un « tour » en argile, en pierre, en verre ou en métal pour servir de volant d'inertie. Le fil filé à l'extrémité la plus mince était enroulé sur le fuseau. Un autre bâton fin, appelé la quenouille, tenait les fibres pour alimenter le fuseau tournoyant.</w:t>
      </w:r>
    </w:p>
    <w:p>
      <w:pPr>
        <w:pStyle w:val="Heading3"/>
      </w:pPr>
      <w:r>
        <w:t>Métier à tisser et techniques de tissage</w:t>
      </w:r>
    </w:p>
    <w:p>
      <w:r/>
      <w:r>
        <w:t>Le tissage est l'entrelacement des fils de « chaîne » tendus sur un métier à tisser avec des fils de « trame » passés d'un côté à l'autre, au-dessus et en dessous de la chaîne. Une chaîne primitive pouvait être tendue autour de chevilles ou de tiges attachées à un arbre ou à une poutre de toit et parfois reliée à la taille du tisserand.</w:t>
      </w:r>
    </w:p>
    <w:p>
      <w:r/>
      <w:r>
        <w:t>À mesure que la technique de tissage se développait, trois types de métiers à tisser ont émergé : le métier à tisser horizontal au sol, le métier à tisser vertical à deux poutres et le métier à tisser à poids de chaîne. Dans un métier à tisser horizontal au sol, la chaîne était tendue entre deux poutres en bois fixées au sol par quatre piquets. Les nomades itinérants pouvaient retirer les piquets et enrouler le tissage inachevé sur les poutres. Delila a tissé les cheveux de Samson sur un métier à tisser horizontal au sol (</w:t>
      </w:r>
      <w:hyperlink r:id="rId14511">
        <w:r>
          <w:rPr>
            <w:color w:val="0000EE"/>
            <w:u w:val="single"/>
          </w:rPr>
          <w:t>Jg 16.13–14</w:t>
        </w:r>
      </w:hyperlink>
      <w:r>
        <w:t>).</w:t>
      </w:r>
    </w:p>
    <w:p>
      <w:r/>
      <w:r>
        <w:t>Le métier à tisser vertical à deux poutres avait sa chaîne tendue sur un cadre en bois rectangulaire. En plus des deux montants et des deux poutres de chaîne, une autre poutre était souvent utilisée pour maintenir la tension de la chaîne, surtout pour les longueurs plus importantes.</w:t>
      </w:r>
    </w:p>
    <w:p>
      <w:r/>
      <w:r>
        <w:t>Le métier à tisser à poids, également monté sur un cadre vertical, était utilisé de haut en bas. Le bord inférieur était lesté avec des poids de métier, souvent constitués de morceaux d'argile façonnés.</w:t>
      </w:r>
    </w:p>
    <w:p>
      <w:r/>
      <w:r>
        <w:t>Le degré de sophistication des techniques de tissage à l'époque biblique se manifeste dans les spécifications concernant les tissus pour le tabernacle et sa cour. Les tentures pour la cour devaient mesurer 45 mètres de long et probablement 2 mètres de large (</w:t>
      </w:r>
      <w:hyperlink r:id="rId14162">
        <w:r>
          <w:rPr>
            <w:color w:val="0000EE"/>
            <w:u w:val="single"/>
          </w:rPr>
          <w:t>Ex 27.9–18</w:t>
        </w:r>
      </w:hyperlink>
      <w:r>
        <w:t>). Le voile du tabernacle (</w:t>
      </w:r>
      <w:hyperlink r:id="rId898">
        <w:r>
          <w:rPr>
            <w:color w:val="0000EE"/>
            <w:u w:val="single"/>
          </w:rPr>
          <w:t>26.31</w:t>
        </w:r>
      </w:hyperlink>
      <w:r>
        <w:t xml:space="preserve">) et l'écran pour l'entrée (v. </w:t>
      </w:r>
      <w:hyperlink r:id="rId14512">
        <w:r>
          <w:rPr>
            <w:color w:val="0000EE"/>
            <w:u w:val="single"/>
          </w:rPr>
          <w:t>36</w:t>
        </w:r>
      </w:hyperlink>
      <w:r>
        <w:t xml:space="preserve">) devaient être en « fin lin retors [...] </w:t>
      </w:r>
      <w:r>
        <w:t>bleu, pourpre et cramoisi</w:t>
      </w:r>
      <w:r>
        <w:t xml:space="preserve"> », probablement rehaussée ou brodée de lin.</w:t>
      </w:r>
    </w:p>
    <w:p>
      <w:r/>
      <w:r>
        <w:t>Les vêtements, comme la tunique que Jésus portait, étaient tissés d'une seule pièce avec la lisière (bord du tissage) au niveau du cou et de l'ourlet, les zones de plus grande usure. Une tunique tissée sur un métier étroit serait composée de trois pièces.</w:t>
      </w:r>
    </w:p>
    <w:p>
      <w:pPr>
        <w:pStyle w:val="Heading3"/>
      </w:pPr>
      <w:r>
        <w:t>Colorants pour tissus et teintures</w:t>
      </w:r>
    </w:p>
    <w:p>
      <w:r/>
      <w:r>
        <w:t>Comme les fibres, les colorants utilisés dans l'Antiquité étaient également d'origine animale ou végétale. Un colorant rouge était obtenu à partir du corps d'un insecte. Le pourpre provenait principalement de deux types de mollusques trouvés dans de nombreuses régions du littoral méditerranéen oriental. La teinte la plus pure de pourpre pouvait être obtenue à partir de mollusques trouvés sur le rivage à Tyr, ce qui a conduit au développement d'une grande industrie là-bas (</w:t>
      </w:r>
      <w:hyperlink r:id="rId14513">
        <w:r>
          <w:rPr>
            <w:color w:val="0000EE"/>
            <w:u w:val="single"/>
          </w:rPr>
          <w:t>Ez 27.1–3</w:t>
        </w:r>
      </w:hyperlink>
      <w:r>
        <w:t>,16). Le pourpre, le colorant le plus cher, est resté la couleur distinctive des rois et des nobles. La première convertie chrétienne en Europe, Lydie, était une femme d'affaires qui vendait le coûteux tissu pourpre (</w:t>
      </w:r>
      <w:hyperlink r:id="rId3396">
        <w:r>
          <w:rPr>
            <w:color w:val="0000EE"/>
            <w:u w:val="single"/>
          </w:rPr>
          <w:t>Ac 16.14</w:t>
        </w:r>
      </w:hyperlink>
      <w:r>
        <w:t>). Le jaune était obtenu à partir des pétales et des têtes de fleurs du carthame. Le safran (orange-jaune) provenait des stigmates du crocus qui poussait abondamment en Syrie et en Égypte. Le vert était généralement concocté à partir d'un mélange d'autres colorants. À l'époque hellénistique, la guède, une plante de la famille de la moutarde, était cultivée en Mésopotamie pour son colorant bleu. L'indigo était cultivé en Égypte et en Syrie. La teinture dans l'Antiquité était souvent réalisée dans de grandes cuves, dont des images ont été trouvées dans des peintures et sur de la poterie. Les ruines de structures incluant des cuves ont été excavées sur certains sites palestiniens.</w:t>
      </w:r>
    </w:p>
    <w:p>
      <w:r/>
      <w:r>
        <w:rPr>
          <w:i/>
        </w:rPr>
        <w:t>Voir aussi</w:t>
      </w:r>
      <w:r>
        <w:t xml:space="preserve"> </w:t>
      </w:r>
      <w:r>
        <w:t>Teinture, Teindre, Teinturier</w:t>
      </w:r>
      <w:r>
        <w:t>.</w:t>
      </w:r>
      <w:r/>
      <w:r/>
    </w:p>
    <w:p>
      <w:r/>
    </w:p>
    <w:p>
      <w:pPr>
        <w:pStyle w:val="Heading2"/>
      </w:pPr>
      <w:r>
        <w:t>Tite (Personne)</w:t>
      </w:r>
      <w:r/>
    </w:p>
    <w:p>
      <w:r/>
      <w:r>
        <w:t>1. L’un des convertis de Paul, « mon enfant légitime en notre commune foi » (</w:t>
      </w:r>
      <w:hyperlink r:id="rId14514">
        <w:r>
          <w:rPr>
            <w:color w:val="0000EE"/>
            <w:u w:val="single"/>
          </w:rPr>
          <w:t>Tite 1:4</w:t>
        </w:r>
      </w:hyperlink>
      <w:r>
        <w:t>, lsg), qui est devenu un associé intime et de confiance de l’apôtre dans sa mission d’implantation du christianisme dans le monde méditerranéen (</w:t>
      </w:r>
      <w:hyperlink r:id="rId1052">
        <w:r>
          <w:rPr>
            <w:color w:val="0000EE"/>
            <w:u w:val="single"/>
          </w:rPr>
          <w:t>2 Corinthiens 8:23</w:t>
        </w:r>
      </w:hyperlink>
      <w:r>
        <w:t xml:space="preserve">; </w:t>
      </w:r>
      <w:hyperlink r:id="rId5883">
        <w:r>
          <w:rPr>
            <w:color w:val="0000EE"/>
            <w:u w:val="single"/>
          </w:rPr>
          <w:t>2 Timothée 4:10</w:t>
        </w:r>
      </w:hyperlink>
      <w:r>
        <w:t xml:space="preserve">; </w:t>
      </w:r>
      <w:hyperlink r:id="rId14515">
        <w:r>
          <w:rPr>
            <w:color w:val="0000EE"/>
            <w:u w:val="single"/>
          </w:rPr>
          <w:t>Tite 1:4–5</w:t>
        </w:r>
      </w:hyperlink>
      <w:r>
        <w:t>). Mentionné fréquemment dans les lettres de Paul (huit fois dans 2 Corinthiens, deux fois dans Galates, une fois dans 2 Timothée et une fois dans Tite), son nom n’apparait nulle part dans les Actes. Ce silence a intrigué les érudits bibliques, et certains ont suggéré, de manière intéressante, mais incertaine, qu’il s’agissait d’un frère de Luc, l’auteur des Actes.</w:t>
      </w:r>
    </w:p>
    <w:p>
      <w:r/>
      <w:r>
        <w:t>Contrairement à Timothée, qui était à moitié Juif, Tite est né de parents païens. Les circonstances de sa conversion et de sa première rencontre avec Paul ne sont pas relatées. Il est présenté pour la première fois comme un compagnon de Paul et de Barnabas lors d’une visite à Jérusalem (</w:t>
      </w:r>
      <w:hyperlink r:id="rId6109">
        <w:r>
          <w:rPr>
            <w:color w:val="0000EE"/>
            <w:u w:val="single"/>
          </w:rPr>
          <w:t>Galates 2:3</w:t>
        </w:r>
      </w:hyperlink>
      <w:r>
        <w:t>). L’occasion semble avoir été le concile de Jérusalem, vers l’an 50 ap. J.-C., auquel Paul et Barnabas ont assisté en tant que délégués officiels de l’Église d’Antioche, peu de temps après le premier voyage missionnaire de l’apôtre (</w:t>
      </w:r>
      <w:hyperlink r:id="rId160">
        <w:r>
          <w:rPr>
            <w:color w:val="0000EE"/>
            <w:u w:val="single"/>
          </w:rPr>
          <w:t>Actes 15</w:t>
        </w:r>
      </w:hyperlink>
      <w:r>
        <w:t>).</w:t>
      </w:r>
    </w:p>
    <w:p>
      <w:r/>
      <w:r>
        <w:t>La question de la circoncision obligatoire des Païens convertis au christianisme étant vivement contestée au sein du concile, Paul a décidé de prendre Tite comme étude de cas. Le concile s’est prononcé en faveur de Paul contre le parti judaïsant, et Tite a été accepté par les autres apôtres et dirigeants de l’Église de Jérusalem sans se soumettre au rite de la circoncision. Ainsi, Tite est devenu un personnage clé dans la libération de l’Église naissante du parti judaïsant.</w:t>
      </w:r>
    </w:p>
    <w:p>
      <w:r/>
      <w:r>
        <w:t>Tite a probablement accompagné Paul à partir de ce moment-là, mais il n’apparait plus jusqu’à la crise de Paul avec l’Église de Corinthe au cours de son troisième voyage missionnaire. Selon 2 Corinthiens, alors que Paul exerçait un ministère prolongé à Éphèse, il a appris que l’Église de Corinthe s’était montrée hostile à son égard et avait renoncé à son autorité apostolique. D’autres tentatives de réconciliation ayant échoué, il a envoyé Tite à Corinthe pour essayer de les réconcilier. Lorsque Tite a rejoint Paul quelque part en Macédoine, où l’apôtre avait effectué le voyage d’Éphèse pour le rencontrer, il lui a annoncé la bonne nouvelle que l’attitude des Corinthiens avait changé et que leur amour et leur amitié d’antan étaient maintenant rétablis (</w:t>
      </w:r>
      <w:hyperlink r:id="rId14516">
        <w:r>
          <w:rPr>
            <w:color w:val="0000EE"/>
            <w:u w:val="single"/>
          </w:rPr>
          <w:t>2 Corinthiens 7:6–7</w:t>
        </w:r>
      </w:hyperlink>
      <w:r>
        <w:t>). C’est pourquoi Paul a renvoyé Tite à Corinthe, portant 2 Corinthiens, avec l’instruction de compléter la collecte de l’offrande de secours pour les chrétiens juifs de Judée (</w:t>
      </w:r>
      <w:hyperlink r:id="rId14517">
        <w:r>
          <w:rPr>
            <w:color w:val="0000EE"/>
            <w:u w:val="single"/>
          </w:rPr>
          <w:t>8:6, 16</w:t>
        </w:r>
      </w:hyperlink>
      <w:r>
        <w:t>). Dans cette entreprise, Tite a apparemment réussi (</w:t>
      </w:r>
      <w:hyperlink r:id="rId8269">
        <w:r>
          <w:rPr>
            <w:color w:val="0000EE"/>
            <w:u w:val="single"/>
          </w:rPr>
          <w:t>Romains 15:25–26</w:t>
        </w:r>
      </w:hyperlink>
      <w:r>
        <w:t>).</w:t>
      </w:r>
    </w:p>
    <w:p>
      <w:r/>
      <w:r>
        <w:t>À supposer que Paul ait été libéré après son premier emprisonnement à Rome, il semble que Tite l’ait accompagné dans une mission sur l’ile de Crète. En quittant la Crète, Paul a laissé Tite derrière lui pour consolider le nouveau mouvement chrétien (</w:t>
      </w:r>
      <w:hyperlink r:id="rId8300">
        <w:r>
          <w:rPr>
            <w:color w:val="0000EE"/>
            <w:u w:val="single"/>
          </w:rPr>
          <w:t>Tite 1:5</w:t>
        </w:r>
      </w:hyperlink>
      <w:r>
        <w:t xml:space="preserve">). La mission était difficile, car les Crétois étaient indisciplinés et l’Église en difficulté était déjà envahie par de faux docteurs (versets </w:t>
      </w:r>
      <w:hyperlink r:id="rId14518">
        <w:r>
          <w:rPr>
            <w:color w:val="0000EE"/>
            <w:u w:val="single"/>
          </w:rPr>
          <w:t>10–16</w:t>
        </w:r>
      </w:hyperlink>
      <w:r>
        <w:t>). Cependant, lorsqu’il avait traité le problème de Corinthe quelques années auparavant, Tite avait démontré qu’il possédait le sérieux spirituel, le tact diplomatique et le souci affectueux nécessaires pour relever le défi actuel. Paul était convaincu que cette nouvelle mission était entre ses mains.</w:t>
      </w:r>
    </w:p>
    <w:p>
      <w:r/>
      <w:r>
        <w:t>La lettre de Paul à Tite, l’une de ses trois lettres pastorales, a été écrite un peu plus tard pour encourager Tite dans son ministère en Crète. La lettre se termine par la demande de l’apôtre à Tite de le rejoindre à Nicopolis, une ville située sur la côte ouest de la Grèce, où il a prévu de passer l’hiver (</w:t>
      </w:r>
      <w:hyperlink r:id="rId8302">
        <w:r>
          <w:rPr>
            <w:color w:val="0000EE"/>
            <w:u w:val="single"/>
          </w:rPr>
          <w:t>Tite 3:12</w:t>
        </w:r>
      </w:hyperlink>
      <w:r>
        <w:t xml:space="preserve">). C’est très probablement de Nicopolis, ou plus tard de Rome (où l’apôtre a à nouveau été emprisonné et finalement martyrisé), que Paul a envoyé Tite en mission en Dalmatie, une province romaine située dans l’actuelle Yougoslavie (voir </w:t>
      </w:r>
      <w:hyperlink r:id="rId5883">
        <w:r>
          <w:rPr>
            <w:color w:val="0000EE"/>
            <w:u w:val="single"/>
          </w:rPr>
          <w:t>2 Timothée 4:10</w:t>
        </w:r>
      </w:hyperlink>
      <w:r>
        <w:t>). Si la tradition ultérieure est exacte, Tite est retourné en Crète, où il a rempli les fonctions d’évêque jusqu’à un âge avancé.</w:t>
      </w:r>
    </w:p>
    <w:p>
      <w:r/>
      <w:r>
        <w:rPr>
          <w:i/>
        </w:rPr>
        <w:t>Voir aussi</w:t>
      </w:r>
      <w:r>
        <w:t xml:space="preserve"> </w:t>
      </w:r>
      <w:r>
        <w:t>Tite, lettre à</w:t>
      </w:r>
      <w:r>
        <w:t>.</w:t>
      </w:r>
    </w:p>
    <w:p>
      <w:r/>
      <w:r>
        <w:t>2. Variante orthographique d’un Païen prosélyte de Corinthe, chez qui Paul s’est rendu après que la communauté juive en général a rejeté son message (</w:t>
      </w:r>
      <w:hyperlink r:id="rId8040">
        <w:r>
          <w:rPr>
            <w:color w:val="0000EE"/>
            <w:u w:val="single"/>
          </w:rPr>
          <w:t>Actes 18:7</w:t>
        </w:r>
      </w:hyperlink>
      <w:r>
        <w:t xml:space="preserve">). De meilleures preuves manuscrites le nomment Titius Justus. </w:t>
      </w:r>
      <w:r>
        <w:rPr>
          <w:i/>
        </w:rPr>
        <w:t>Voir</w:t>
      </w:r>
      <w:r>
        <w:t xml:space="preserve"> </w:t>
      </w:r>
      <w:r>
        <w:t>Justus #2</w:t>
      </w:r>
      <w:r>
        <w:t>.</w:t>
      </w:r>
    </w:p>
    <w:p>
      <w:r/>
      <w:r>
        <w:t xml:space="preserve">3. Fils de Vespasien ; empereur de Rome de 79–81 ap. J.-C. </w:t>
      </w:r>
      <w:r>
        <w:rPr>
          <w:i/>
        </w:rPr>
        <w:t>Voir</w:t>
      </w:r>
      <w:r>
        <w:t xml:space="preserve"> </w:t>
      </w:r>
      <w:r>
        <w:t>Césars, Les</w:t>
      </w:r>
      <w:r>
        <w:t>.</w:t>
      </w:r>
      <w:r/>
      <w:r/>
    </w:p>
    <w:p>
      <w:r/>
    </w:p>
    <w:p>
      <w:pPr>
        <w:pStyle w:val="Heading2"/>
      </w:pPr>
      <w:r>
        <w:t>Titius Justus</w:t>
      </w:r>
      <w:r/>
    </w:p>
    <w:p>
      <w:r/>
      <w:r>
        <w:t>Croyant à Corinthe chez qui l'apôtre Paul a logé (</w:t>
      </w:r>
      <w:hyperlink r:id="rId8040">
        <w:r>
          <w:rPr>
            <w:color w:val="0000EE"/>
            <w:u w:val="single"/>
          </w:rPr>
          <w:t>Ac 18.7</w:t>
        </w:r>
      </w:hyperlink>
      <w:r>
        <w:t>).</w:t>
      </w:r>
    </w:p>
    <w:p>
      <w:r/>
      <w:r>
        <w:rPr>
          <w:i/>
        </w:rPr>
        <w:t>Voir</w:t>
      </w:r>
      <w:r>
        <w:t xml:space="preserve"> </w:t>
      </w:r>
      <w:r>
        <w:t>Justus n° 2</w:t>
      </w:r>
      <w:r>
        <w:t>.</w:t>
      </w:r>
      <w:r/>
      <w:r/>
    </w:p>
    <w:p>
      <w:r/>
    </w:p>
    <w:p>
      <w:pPr>
        <w:pStyle w:val="Heading2"/>
      </w:pPr>
      <w:r>
        <w:t>Togarma</w:t>
      </w:r>
      <w:r/>
    </w:p>
    <w:p>
      <w:r/>
      <w:r>
        <w:t>Troisième fils de Gomer, un descendant de Japhet (</w:t>
      </w:r>
      <w:hyperlink r:id="rId6071">
        <w:r>
          <w:rPr>
            <w:color w:val="0000EE"/>
            <w:u w:val="single"/>
          </w:rPr>
          <w:t>Gn 10.3</w:t>
        </w:r>
      </w:hyperlink>
      <w:r>
        <w:t xml:space="preserve"> ; </w:t>
      </w:r>
      <w:hyperlink r:id="rId1357">
        <w:r>
          <w:rPr>
            <w:color w:val="0000EE"/>
            <w:u w:val="single"/>
          </w:rPr>
          <w:t>1Ch 1.6</w:t>
        </w:r>
      </w:hyperlink>
      <w:r>
        <w:t>). La maison de Togarma est mentionnée dans la prophétie d'Ézéchiel contre les nations qui s'opposaient à Israël (</w:t>
      </w:r>
      <w:hyperlink r:id="rId14519">
        <w:r>
          <w:rPr>
            <w:color w:val="0000EE"/>
            <w:u w:val="single"/>
          </w:rPr>
          <w:t>Ez 27.14</w:t>
        </w:r>
      </w:hyperlink>
      <w:r>
        <w:t xml:space="preserve"> ; </w:t>
      </w:r>
      <w:hyperlink r:id="rId6072">
        <w:r>
          <w:rPr>
            <w:color w:val="0000EE"/>
            <w:u w:val="single"/>
          </w:rPr>
          <w:t>38.6</w:t>
        </w:r>
      </w:hyperlink>
      <w:r>
        <w:t xml:space="preserve">). La maison de Togarma était l'un des principaux partenaires commerciaux de Tyr, fournissant des chevaux de guerre et des mulets. Puisque Togarma est liée à Javan, Tubal, Méschec, Dedan et Tarsis, Ézéchiel avait probablement en tête les listes ethnographiques de </w:t>
      </w:r>
      <w:hyperlink r:id="rId4483">
        <w:r>
          <w:rPr>
            <w:color w:val="0000EE"/>
            <w:u w:val="single"/>
          </w:rPr>
          <w:t>Genèse 10</w:t>
        </w:r>
      </w:hyperlink>
      <w:r>
        <w:t>. En tant que terme ethnographique, plusieurs ont identifié Togarma avec l'Arménie. Les Arméniens identifient Togarma (Thorgon) comme le fondateur de leur race.</w:t>
      </w:r>
      <w:r/>
      <w:r/>
    </w:p>
    <w:p>
      <w:r/>
    </w:p>
    <w:p>
      <w:pPr>
        <w:pStyle w:val="Heading2"/>
      </w:pPr>
      <w:r>
        <w:t>Tonnerre, fils du</w:t>
      </w:r>
      <w:r/>
    </w:p>
    <w:p>
      <w:r/>
      <w:r>
        <w:t>Traduction du mot « Boanergès », le nom donné par Jésus à Jacques et Jean (</w:t>
      </w:r>
      <w:hyperlink r:id="rId2019">
        <w:r>
          <w:rPr>
            <w:color w:val="0000EE"/>
            <w:u w:val="single"/>
          </w:rPr>
          <w:t>Mc 3.17</w:t>
        </w:r>
      </w:hyperlink>
      <w:r>
        <w:t xml:space="preserve">). </w:t>
      </w:r>
      <w:r>
        <w:rPr>
          <w:i/>
        </w:rPr>
        <w:t>Voir</w:t>
      </w:r>
      <w:r>
        <w:t xml:space="preserve"> </w:t>
      </w:r>
      <w:r>
        <w:t>Boanergès</w:t>
      </w:r>
      <w:r>
        <w:t>.</w:t>
      </w:r>
      <w:r/>
      <w:r/>
    </w:p>
    <w:p>
      <w:r/>
    </w:p>
    <w:p>
      <w:pPr>
        <w:pStyle w:val="Heading2"/>
      </w:pPr>
      <w:r>
        <w:t>Topheth</w:t>
      </w:r>
      <w:r/>
    </w:p>
    <w:p>
      <w:r/>
      <w:r>
        <w:t>Endroit situé à l'intérieur de la vallée de Hinnom. Cette vallée se trouve à l'extérieur de Jérusalem et a été un lieu de culte idolâtre à certaines périodes de l'Ancien Testament. Des rois de Juda et le peuple y avaient offert des sacrifices humains à Moloc. Plus tard, le roi Josias ramène Juda à l'Éternel. Parmi ses actions pour retirer les idoles de Juda, il souille le lieu de culte de Topheth et en démoli les autels (</w:t>
      </w:r>
      <w:hyperlink r:id="rId5924">
        <w:r>
          <w:rPr>
            <w:color w:val="0000EE"/>
            <w:u w:val="single"/>
          </w:rPr>
          <w:t>2R 23.10</w:t>
        </w:r>
      </w:hyperlink>
      <w:r>
        <w:t xml:space="preserve">). </w:t>
      </w:r>
    </w:p>
    <w:p>
      <w:r/>
      <w:r>
        <w:t>Jérémie a prophétisé que la vallée serait renommée la « vallée du carnage » (</w:t>
      </w:r>
      <w:hyperlink r:id="rId14520">
        <w:r>
          <w:rPr>
            <w:color w:val="0000EE"/>
            <w:u w:val="single"/>
          </w:rPr>
          <w:t>Jr 7.31–32</w:t>
        </w:r>
      </w:hyperlink>
      <w:r>
        <w:t>) car ce serait là que seraient enterrés le grand nombre de personnes tuées par les Babyloniens lors de leur siège de Jérusalem. Jérémie répète cette prophétie à l'occasion de son oracle sur le vase du potier. Il a prédit que Jérusalem serait détruite si complètement qu'elle ressemblerait à Topheth (</w:t>
      </w:r>
      <w:hyperlink r:id="rId14521">
        <w:r>
          <w:rPr>
            <w:color w:val="0000EE"/>
            <w:u w:val="single"/>
          </w:rPr>
          <w:t>19.12</w:t>
        </w:r>
      </w:hyperlink>
      <w:r>
        <w:t xml:space="preserve">). À cette époque, Topheth était apparemment devenu une sorte de décharge de la ville où on jetait les poteries cassées et où on enterrait ceux qu'on ne pouvait pas enterrer dans les cimetières de la ville (v. </w:t>
      </w:r>
      <w:hyperlink r:id="rId12467">
        <w:r>
          <w:rPr>
            <w:color w:val="0000EE"/>
            <w:u w:val="single"/>
          </w:rPr>
          <w:t>11</w:t>
        </w:r>
      </w:hyperlink>
      <w:r>
        <w:t>).</w:t>
      </w:r>
    </w:p>
    <w:p>
      <w:r/>
      <w:r>
        <w:t>Bien que Topheth ne soit pas mentionné dans le Nouveau Testament (NT), le lieu est connecté à la géhenne (le nom araméen de la vallée de Hinnom). Dans le NT, la géhenne est un lieu de destruction et symbolise l'endroit où iront les pécheurs au jugement dernier (</w:t>
      </w:r>
      <w:hyperlink r:id="rId4706">
        <w:r>
          <w:rPr>
            <w:color w:val="0000EE"/>
            <w:u w:val="single"/>
          </w:rPr>
          <w:t>Mt 5.22, 29–30</w:t>
        </w:r>
      </w:hyperlink>
      <w:r>
        <w:t xml:space="preserve"> ; </w:t>
      </w:r>
      <w:hyperlink r:id="rId686">
        <w:r>
          <w:rPr>
            <w:color w:val="0000EE"/>
            <w:u w:val="single"/>
          </w:rPr>
          <w:t>10.28</w:t>
        </w:r>
      </w:hyperlink>
      <w:r>
        <w:t xml:space="preserve"> ; </w:t>
      </w:r>
      <w:hyperlink r:id="rId4707">
        <w:r>
          <w:rPr>
            <w:color w:val="0000EE"/>
            <w:u w:val="single"/>
          </w:rPr>
          <w:t>18.9</w:t>
        </w:r>
      </w:hyperlink>
      <w:r>
        <w:t xml:space="preserve"> ; </w:t>
      </w:r>
      <w:hyperlink r:id="rId14522">
        <w:r>
          <w:rPr>
            <w:color w:val="0000EE"/>
            <w:u w:val="single"/>
          </w:rPr>
          <w:t>Mc 9.43–47</w:t>
        </w:r>
      </w:hyperlink>
      <w:r>
        <w:t xml:space="preserve"> ; </w:t>
      </w:r>
      <w:hyperlink r:id="rId687">
        <w:r>
          <w:rPr>
            <w:color w:val="0000EE"/>
            <w:u w:val="single"/>
          </w:rPr>
          <w:t>Lc 12.5</w:t>
        </w:r>
      </w:hyperlink>
      <w:r>
        <w:t>).</w:t>
      </w:r>
      <w:r/>
      <w:r/>
    </w:p>
    <w:p>
      <w:r/>
    </w:p>
    <w:p>
      <w:pPr>
        <w:pStyle w:val="Heading2"/>
      </w:pPr>
      <w:r>
        <w:t>Torah</w:t>
      </w:r>
      <w:r/>
    </w:p>
    <w:p>
      <w:r/>
      <w:r>
        <w:t xml:space="preserve">Mot qui se traduit souvent par « loi » dans l'Ancien Testament (AT). « Torah » provient de la racine verbale hébraïque </w:t>
      </w:r>
      <w:r>
        <w:rPr>
          <w:i/>
        </w:rPr>
        <w:t>yarah</w:t>
      </w:r>
      <w:r>
        <w:t>, qui peut signifier « lancer » ou « tirer », ou encore « diriger » ou « instruire ». L'idée exprimée par ce mot est celle d'informer, d'instruire, de diriger ou de guider. Dans la tradition juive, la Torah est le texte des cinq premiers livres de la Bible, également appelés collectivement le Pentateuque.</w:t>
      </w:r>
    </w:p>
    <w:p>
      <w:pPr>
        <w:pStyle w:val="Heading3"/>
      </w:pPr>
      <w:r>
        <w:t>La Torah écrite</w:t>
      </w:r>
    </w:p>
    <w:p>
      <w:r/>
      <w:r>
        <w:t xml:space="preserve">Le mot Torah a parfois d'autres significations. Dans l'AT, la Torah peut aussi désigner tous les enseignements et les instructions de Dieu pour son peuple. Le Nouveau Testament (NT) utilise aussi ce sens plus général du mot. La traduction en grec de Torah, </w:t>
      </w:r>
      <w:r>
        <w:rPr>
          <w:i/>
        </w:rPr>
        <w:t>nomos</w:t>
      </w:r>
      <w:r>
        <w:t>, désigne parfois la loi de Moïse et parfois un principe général qui dirige le comportement humain (</w:t>
      </w:r>
      <w:hyperlink r:id="rId6475">
        <w:r>
          <w:rPr>
            <w:color w:val="0000EE"/>
            <w:u w:val="single"/>
          </w:rPr>
          <w:t>Rm 7.14</w:t>
        </w:r>
      </w:hyperlink>
      <w:r>
        <w:t xml:space="preserve"> ; </w:t>
      </w:r>
      <w:hyperlink r:id="rId14523">
        <w:r>
          <w:rPr>
            <w:color w:val="0000EE"/>
            <w:u w:val="single"/>
          </w:rPr>
          <w:t>9.31</w:t>
        </w:r>
      </w:hyperlink>
      <w:r>
        <w:t>).</w:t>
      </w:r>
    </w:p>
    <w:p>
      <w:pPr>
        <w:pStyle w:val="Heading3"/>
      </w:pPr>
      <w:r>
        <w:rPr>
          <w:b/>
        </w:rPr>
        <w:t>La Torah orale</w:t>
      </w:r>
    </w:p>
    <w:p>
      <w:r/>
      <w:r>
        <w:t>Les enseignants juifs observaient également ce qui est appelé la « Torah orale ». Ce sont des enseignements qui proviennent d'anciens chefs religieux et érudits juifs et qui ont été transmis oralement. Même si ces enseignements ne font pas partie de l'AT, les Juifs s'en servaient pour interpréter la loi biblique et expliquer comment la mettre en pratique.</w:t>
      </w:r>
    </w:p>
    <w:p>
      <w:r/>
      <w:r>
        <w:t>Souvent, ces enseignements diminuaient ce que la loi de Moïse commande en donnant aux commandements des sens différents. Ceci est devenu vraiment important pour les Juifs après la destruction du Temple de Jérusalem. Selon la Torah, le Temple était l'endroit où les Juifs devaient adorer Dieu, lui offrir leurs sacrifices et où les sacrificateurs remplissaient leurs ministères. Le Temple étant détruit, les Juifs ne pouvaient plus faire ces choses et ont cherché de nouvelles façons de mettre en pratique les lois de Dieu.</w:t>
      </w:r>
    </w:p>
    <w:p>
      <w:r/>
      <w:r>
        <w:t xml:space="preserve">À l'époque de la naissance de Jésus, de nombreux Juifs croyaient que ces enseignements oraux étaient tout aussi importants que la Torah écrite (voir </w:t>
      </w:r>
      <w:hyperlink r:id="rId7992">
        <w:r>
          <w:rPr>
            <w:color w:val="0000EE"/>
            <w:u w:val="single"/>
          </w:rPr>
          <w:t>Mc 7.3</w:t>
        </w:r>
      </w:hyperlink>
      <w:r>
        <w:t>). Ils pensaient même que Dieu avait donné ces enseignements à Moïse en même temps que les lois écrites.</w:t>
      </w:r>
    </w:p>
    <w:p>
      <w:pPr>
        <w:pStyle w:val="Heading3"/>
      </w:pPr>
      <w:r>
        <w:t>Comment différents groupes comprenaient la Torah</w:t>
      </w:r>
    </w:p>
    <w:p>
      <w:r/>
      <w:r>
        <w:t>Les pharisiens étaient un groupe religieux juif influent. Ils croyaient que Dieu avait puni le peuple juif en permettant aux Babyloniens de les capturer et de les emmener loin de leur patrie au 7</w:t>
      </w:r>
      <w:r>
        <w:t>ᵉ</w:t>
      </w:r>
      <w:r>
        <w:t xml:space="preserve"> siècle av. J.‑C. Selon eux, cela s'était produit parce que le peuple n'avait pas respecté les lois de Dieu dans la Torah avec suffisamment de rigueur. De nombreux Pharisiens pensaient également que le sauveur promis par Dieu (le Messie) ne viendrait pas tant que tous les Juifs n'obéiraient pas soigneusement aux règles de la Torah.</w:t>
      </w:r>
    </w:p>
    <w:p>
      <w:r/>
      <w:r>
        <w:t xml:space="preserve">Les Sadducéens étaient un autre groupe important religieux juif de la classe dirigeante. Contrairement à d'autres groupes juifs, ils ne reconnaissaient que la Torah comme parole de Dieu. Ils ne croyaient pas en l'existence des anges et en la résurrection. Jésus utilise un passage de la Torah pour leur montrer qu'il y a une vie après la mort (voir </w:t>
      </w:r>
      <w:hyperlink r:id="rId14524">
        <w:r>
          <w:rPr>
            <w:color w:val="0000EE"/>
            <w:u w:val="single"/>
          </w:rPr>
          <w:t>Mt 22.31–32</w:t>
        </w:r>
      </w:hyperlink>
      <w:r>
        <w:t>).</w:t>
      </w:r>
    </w:p>
    <w:p>
      <w:pPr>
        <w:pStyle w:val="Heading3"/>
      </w:pPr>
      <w:r>
        <w:rPr>
          <w:b/>
        </w:rPr>
        <w:t>La Torah dans le culte et les cérémonies</w:t>
      </w:r>
    </w:p>
    <w:p>
      <w:r/>
      <w:r>
        <w:t>Les Juifs lisent solennellement la Torah dans les synagogues depuis des milliers d'années. Être invité à lire la Torah publiquement est considéré comme un grand honneur.</w:t>
      </w:r>
    </w:p>
    <w:p>
      <w:r/>
      <w:r>
        <w:t xml:space="preserve">Les rouleaux de la Torah sont soigneusement écrits en hébreu et à la main par un scribe spécialement entraîné, qui est appelé un </w:t>
      </w:r>
      <w:r>
        <w:rPr>
          <w:i/>
        </w:rPr>
        <w:t>sofer</w:t>
      </w:r>
      <w:r>
        <w:t>. Ces rouleaux sont fabriqués à partir de peaux d'animaux tannées selon les règles religieuses juives. Le rouleau est enroulé autour de deux barres faites de bois, d'argent ou d'ivoire.</w:t>
      </w:r>
    </w:p>
    <w:p>
      <w:r/>
      <w:r>
        <w:t xml:space="preserve">Les extrémités de ces barres sont souvent magnifiquement décorées de métaux précieux et de bijoux. Lorsqu'une personne lit la Torah, elle utilise un pointeur spécial appelé une </w:t>
      </w:r>
      <w:r>
        <w:rPr>
          <w:i/>
        </w:rPr>
        <w:t>yad</w:t>
      </w:r>
      <w:r>
        <w:t xml:space="preserve"> pour suivre les mots du texte. Ce pointeur aide à protéger le rouleau, car si les mots étaient directement touchés avec les doigts, cela pourrait finir par endommager l'écriture fine au fil du temps. Le pointeur aide également le lecteur à lire chaque mot de la parole sacrée de Dieu sans en manquer aucun.</w:t>
      </w:r>
    </w:p>
    <w:p>
      <w:pPr>
        <w:pStyle w:val="Heading3"/>
      </w:pPr>
      <w:r>
        <w:t>Le rôle de la Torah pour les non-Juifs</w:t>
      </w:r>
    </w:p>
    <w:p>
      <w:r/>
      <w:r>
        <w:t>Les enseignants juifs traditionnels affirment que Dieu a donné la Torah spécifiquement au peuple juif. Ils croient donc que les non-juifs n'ont pas besoin de suivre toutes ses règles.</w:t>
      </w:r>
    </w:p>
    <w:p>
      <w:r/>
      <w:r>
        <w:t>Cependant, un célèbre enseignant juif nommé Maïmonide, qui a vécu au Moyen Âge, enseignait que les non-Juifs pouvaient recevoir les bénédictions de Dieu dans l'au-delà en suivant sept règles de base. Selon la tradition juive, Dieu avait donné ces règles à Noé. Elles sont :</w:t>
      </w:r>
    </w:p>
    <w:p>
      <w:pPr>
        <w:pStyle w:val="ListNumber"/>
        <w:spacing w:line="240" w:lineRule="auto"/>
        <w:ind w:left="720"/>
      </w:pPr>
      <w:r/>
      <w:r>
        <w:t>Ne pas adorer de faux dieux.</w:t>
      </w:r>
    </w:p>
    <w:p>
      <w:pPr>
        <w:pStyle w:val="ListNumber"/>
        <w:spacing w:line="240" w:lineRule="auto"/>
        <w:ind w:left="720"/>
      </w:pPr>
      <w:r/>
      <w:r>
        <w:t>Ne pas commettre de péchés sexuels.</w:t>
      </w:r>
    </w:p>
    <w:p>
      <w:pPr>
        <w:pStyle w:val="ListNumber"/>
        <w:spacing w:line="240" w:lineRule="auto"/>
        <w:ind w:left="720"/>
      </w:pPr>
      <w:r/>
      <w:r>
        <w:t>Ne pas tuer.</w:t>
      </w:r>
    </w:p>
    <w:p>
      <w:pPr>
        <w:pStyle w:val="ListNumber"/>
        <w:spacing w:line="240" w:lineRule="auto"/>
        <w:ind w:left="720"/>
      </w:pPr>
      <w:r/>
      <w:r>
        <w:t>Ne pas manquer de respect envers le nom de Dieu.</w:t>
      </w:r>
    </w:p>
    <w:p>
      <w:pPr>
        <w:pStyle w:val="ListNumber"/>
        <w:spacing w:line="240" w:lineRule="auto"/>
        <w:ind w:left="720"/>
      </w:pPr>
      <w:r/>
      <w:r>
        <w:t>Ne pas agir de manière injuste.</w:t>
      </w:r>
    </w:p>
    <w:p>
      <w:pPr>
        <w:pStyle w:val="ListNumber"/>
        <w:spacing w:line="240" w:lineRule="auto"/>
        <w:ind w:left="720"/>
      </w:pPr>
      <w:r/>
      <w:r>
        <w:t>Ne pas voler.</w:t>
      </w:r>
    </w:p>
    <w:p>
      <w:pPr>
        <w:pStyle w:val="ListNumber"/>
        <w:spacing w:line="240" w:lineRule="auto"/>
        <w:ind w:left="720"/>
      </w:pPr>
      <w:r/>
      <w:r>
        <w:t>Ne pas manger de la viande d'un animal encore vivant.</w:t>
      </w:r>
    </w:p>
    <w:p>
      <w:pPr>
        <w:pStyle w:val="Heading3"/>
      </w:pPr>
      <w:r>
        <w:t>La Torah dans le Nouveau Testament</w:t>
      </w:r>
    </w:p>
    <w:p>
      <w:r/>
      <w:r>
        <w:t xml:space="preserve">Le NT enseigne que même si les lois de Dieu dans la Torah ont toutes été nécessaires, elles n'étaient pas destinées à être le moyen par lequel les gens pourraient obtenir la vie éternelle. Même si </w:t>
      </w:r>
      <w:hyperlink r:id="rId14525">
        <w:r>
          <w:rPr>
            <w:color w:val="0000EE"/>
            <w:u w:val="single"/>
          </w:rPr>
          <w:t>Lévitique 18.5</w:t>
        </w:r>
      </w:hyperlink>
      <w:r>
        <w:t xml:space="preserve"> pourrait être compris comme disant qu'une personne pourrait avoir la vie éternelle en suivant la loi, le NT explique que tous ont péché et sont privés de la gloire de Dieu.</w:t>
      </w:r>
    </w:p>
    <w:p>
      <w:r/>
      <w:r>
        <w:t>L'AT montre que Dieu a toujours sauvé des personnes qui n'étaient pas parfaites à cause de sa grande bonté. Par exemple, Dieu a approuvé Abraham à cause de sa foi (</w:t>
      </w:r>
      <w:hyperlink r:id="rId546">
        <w:r>
          <w:rPr>
            <w:color w:val="0000EE"/>
            <w:u w:val="single"/>
          </w:rPr>
          <w:t>Gn 15</w:t>
        </w:r>
      </w:hyperlink>
      <w:r>
        <w:t>) même s'il n'a pas toujours été sans péché. Ceci s'est produit 400 ans avant que Dieu ne donne la Torah à Moïse. Cela nous montre que Dieu a toujours récompensé la foi de ceux qui se confient en lui.</w:t>
      </w:r>
    </w:p>
    <w:p>
      <w:r/>
      <w:r>
        <w:t>Un des principaux objectifs des lois de Dieu est d'aider les gens à comprendre qu'ils sont pécheurs et ont besoin d'être sauvés (</w:t>
      </w:r>
      <w:hyperlink r:id="rId14526">
        <w:r>
          <w:rPr>
            <w:color w:val="0000EE"/>
            <w:u w:val="single"/>
          </w:rPr>
          <w:t>Ga 3.24</w:t>
        </w:r>
      </w:hyperlink>
      <w:r>
        <w:t>). Lorsque les gens essaient de suivre toutes les lois de Dieu, ils réalisent à quel point ils ont besoin de l'aide et du pardon de Dieu (</w:t>
      </w:r>
      <w:hyperlink r:id="rId14527">
        <w:r>
          <w:rPr>
            <w:color w:val="0000EE"/>
            <w:u w:val="single"/>
          </w:rPr>
          <w:t>Rm 7.7</w:t>
        </w:r>
      </w:hyperlink>
      <w:r>
        <w:t>). Cela leur montre qu'ils ont besoin de mettre leur foi en Jésus.</w:t>
      </w:r>
    </w:p>
    <w:p>
      <w:r/>
      <w:r>
        <w:t>Jésus montre beaucoup de respect pour la Torah. Le but de sa vie était d'accomplir toutes les exigences de la Torah. Lorsque les gens mettent leur foi en Jésus, ils reçoivent les bénéfices de son obéissance parfaite aux lois de Dieu. Jésus est la fin de l'alliance fondée sur la loi et a rendu possible que tous ceux qui ont foi en lui puissent recevoir le pardon de leurs péchés et la vie éternelle (</w:t>
      </w:r>
      <w:hyperlink r:id="rId6751">
        <w:r>
          <w:rPr>
            <w:color w:val="0000EE"/>
            <w:u w:val="single"/>
          </w:rPr>
          <w:t>Rm 10.4</w:t>
        </w:r>
      </w:hyperlink>
      <w:r>
        <w:t>).</w:t>
      </w:r>
    </w:p>
    <w:p>
      <w:r/>
      <w:r>
        <w:rPr>
          <w:i/>
        </w:rPr>
        <w:t>Voir aussi</w:t>
      </w:r>
      <w:r>
        <w:t xml:space="preserve"> </w:t>
      </w:r>
      <w:r>
        <w:t>judaïsme</w:t>
      </w:r>
      <w:r>
        <w:t xml:space="preserve"> ; </w:t>
      </w:r>
      <w:r>
        <w:t>loi (concept biblique)</w:t>
      </w:r>
      <w:r>
        <w:t xml:space="preserve"> ; </w:t>
      </w:r>
      <w:r>
        <w:t>Talmud</w:t>
      </w:r>
      <w:r>
        <w:t>.</w:t>
      </w:r>
      <w:r/>
      <w:r/>
    </w:p>
    <w:p>
      <w:r/>
    </w:p>
    <w:p>
      <w:pPr>
        <w:pStyle w:val="Heading2"/>
      </w:pPr>
      <w:r>
        <w:t>Torrent d'Égypte</w:t>
      </w:r>
      <w:r/>
    </w:p>
    <w:p>
      <w:r/>
      <w:r>
        <w:t>Frontière naturelle entre la région désertique du Néguev en Israël et la péninsule du Sinaï, à environ 80 km au sud-ouest de Gaza. Le torrent d'Égypte, aujourd'hui dénommé Wadi el-Arish, coule uniquement pendant la saison des pluies (</w:t>
      </w:r>
      <w:hyperlink r:id="rId14528">
        <w:r>
          <w:rPr>
            <w:color w:val="0000EE"/>
            <w:u w:val="single"/>
          </w:rPr>
          <w:t>Nb 34.5</w:t>
        </w:r>
      </w:hyperlink>
      <w:r>
        <w:t xml:space="preserve"> ; </w:t>
      </w:r>
      <w:hyperlink r:id="rId14529">
        <w:r>
          <w:rPr>
            <w:color w:val="0000EE"/>
            <w:u w:val="single"/>
          </w:rPr>
          <w:t>Jos 15.4, 47</w:t>
        </w:r>
      </w:hyperlink>
      <w:r>
        <w:t xml:space="preserve"> ; </w:t>
      </w:r>
      <w:hyperlink r:id="rId5556">
        <w:r>
          <w:rPr>
            <w:color w:val="0000EE"/>
            <w:u w:val="single"/>
          </w:rPr>
          <w:t>1R 8.65</w:t>
        </w:r>
      </w:hyperlink>
      <w:r>
        <w:t xml:space="preserve"> ; </w:t>
      </w:r>
      <w:hyperlink r:id="rId2349">
        <w:r>
          <w:rPr>
            <w:color w:val="0000EE"/>
            <w:u w:val="single"/>
          </w:rPr>
          <w:t>2R 24.7</w:t>
        </w:r>
      </w:hyperlink>
      <w:r>
        <w:t xml:space="preserve"> ; </w:t>
      </w:r>
      <w:hyperlink r:id="rId14530">
        <w:r>
          <w:rPr>
            <w:color w:val="0000EE"/>
            <w:u w:val="single"/>
          </w:rPr>
          <w:t>2Ch 7.8</w:t>
        </w:r>
      </w:hyperlink>
      <w:r>
        <w:t xml:space="preserve"> ; </w:t>
      </w:r>
      <w:hyperlink r:id="rId14531">
        <w:r>
          <w:rPr>
            <w:color w:val="0000EE"/>
            <w:u w:val="single"/>
          </w:rPr>
          <w:t>Es 27.12</w:t>
        </w:r>
      </w:hyperlink>
      <w:r>
        <w:t xml:space="preserve"> ; </w:t>
      </w:r>
      <w:hyperlink r:id="rId8045">
        <w:r>
          <w:rPr>
            <w:color w:val="0000EE"/>
            <w:u w:val="single"/>
          </w:rPr>
          <w:t>Ez 47.19</w:t>
        </w:r>
      </w:hyperlink>
      <w:r>
        <w:t xml:space="preserve"> ; </w:t>
      </w:r>
      <w:hyperlink r:id="rId6214">
        <w:r>
          <w:rPr>
            <w:color w:val="0000EE"/>
            <w:u w:val="single"/>
          </w:rPr>
          <w:t>48.28</w:t>
        </w:r>
      </w:hyperlink>
      <w:r>
        <w:t xml:space="preserve">). Un mot hébreu différent, signifiant une rivière toujours en flux, apparaît dans </w:t>
      </w:r>
      <w:hyperlink r:id="rId550">
        <w:r>
          <w:rPr>
            <w:color w:val="0000EE"/>
            <w:u w:val="single"/>
          </w:rPr>
          <w:t>Genèse 15.18</w:t>
        </w:r>
      </w:hyperlink>
      <w:r>
        <w:t>, où Dieu définira les frontières de la Terre Promise pour le patriarche Abraham. Il peut s'agir d'une référence à la branche la plus orientale du Nil (le Pelusiaque), qui se jette dans la mer Méditerranée près du Port-Saïd moderne, et à la ligne des fortifications anciennes marquant la frontière de l'Égypte.</w:t>
      </w:r>
      <w:r/>
      <w:r/>
    </w:p>
    <w:p>
      <w:r/>
    </w:p>
    <w:p>
      <w:pPr>
        <w:pStyle w:val="Heading2"/>
      </w:pPr>
      <w:r>
        <w:t>Tour</w:t>
      </w:r>
      <w:r/>
    </w:p>
    <w:p>
      <w:r/>
      <w:r>
        <w:t>Construction en hauteur utilisée pour voir au loin et surveiller les alentours. Les fermiers en utilisaient pour surveiller leurs récoltes et leurs animaux. Les soldats s'en servaient pour surveiller la ville ou d'autres endroits stratégiques. Des tours sont souvent mentionnées en référence à des vignobles dans la Bible.</w:t>
      </w:r>
    </w:p>
    <w:p>
      <w:r/>
      <w:r>
        <w:t>Du haut d'une tour de guet, des gardiens surveillaient les vignobles pour empêcher les voleurs ou les animaux d'en prendre les fruits (</w:t>
      </w:r>
      <w:hyperlink r:id="rId485">
        <w:r>
          <w:rPr>
            <w:color w:val="0000EE"/>
            <w:u w:val="single"/>
          </w:rPr>
          <w:t>Es 5.2</w:t>
        </w:r>
      </w:hyperlink>
      <w:r>
        <w:t xml:space="preserve"> ; </w:t>
      </w:r>
      <w:hyperlink r:id="rId14532">
        <w:r>
          <w:rPr>
            <w:color w:val="0000EE"/>
            <w:u w:val="single"/>
          </w:rPr>
          <w:t>Mt 21.33</w:t>
        </w:r>
      </w:hyperlink>
      <w:r>
        <w:t xml:space="preserve"> ; </w:t>
      </w:r>
      <w:hyperlink r:id="rId14533">
        <w:r>
          <w:rPr>
            <w:color w:val="0000EE"/>
            <w:u w:val="single"/>
          </w:rPr>
          <w:t>Mc 12.1</w:t>
        </w:r>
      </w:hyperlink>
      <w:r>
        <w:t>). Ce type de tour est encore utilisé aujourd'hui dans ces régions. Parfois elles servent aussi de logement à ceux qui travaillent dans les champs.</w:t>
      </w:r>
    </w:p>
    <w:p>
      <w:r/>
      <w:r>
        <w:t xml:space="preserve">Dans </w:t>
      </w:r>
      <w:hyperlink r:id="rId4475">
        <w:r>
          <w:rPr>
            <w:color w:val="0000EE"/>
            <w:u w:val="single"/>
          </w:rPr>
          <w:t>Genèse 35.21</w:t>
        </w:r>
      </w:hyperlink>
      <w:r>
        <w:t>, Jacob dresse sa tente près de Migdal-Éder, ce qui signifie « tour d'Éder ». De telles tours pouvaient être construites dans des endroits inhabités, pour servir d'abri aux bergers qui surveillaient leurs troupeaux.</w:t>
      </w:r>
    </w:p>
    <w:p>
      <w:r/>
      <w:r>
        <w:t>D'autres types de tours servaient d'avant-postes fortifiés pour des sentinelles. Elles avaient pour but de protéger une ville et ses commerçants contre les attaques de bandits (</w:t>
      </w:r>
      <w:hyperlink r:id="rId5903">
        <w:r>
          <w:rPr>
            <w:color w:val="0000EE"/>
            <w:u w:val="single"/>
          </w:rPr>
          <w:t xml:space="preserve">2R 18.8 </w:t>
        </w:r>
      </w:hyperlink>
      <w:r>
        <w:t xml:space="preserve">; </w:t>
      </w:r>
      <w:hyperlink r:id="rId14534">
        <w:r>
          <w:rPr>
            <w:color w:val="0000EE"/>
            <w:u w:val="single"/>
          </w:rPr>
          <w:t xml:space="preserve">2Ch 20.24 </w:t>
        </w:r>
      </w:hyperlink>
      <w:r>
        <w:t xml:space="preserve">; </w:t>
      </w:r>
      <w:hyperlink r:id="rId14535">
        <w:r>
          <w:rPr>
            <w:color w:val="0000EE"/>
            <w:u w:val="single"/>
          </w:rPr>
          <w:t>Es 32.14</w:t>
        </w:r>
      </w:hyperlink>
      <w:r>
        <w:t>).</w:t>
      </w:r>
      <w:r/>
      <w:r/>
    </w:p>
    <w:p>
      <w:r/>
    </w:p>
    <w:p>
      <w:pPr>
        <w:pStyle w:val="Heading2"/>
      </w:pPr>
      <w:r>
        <w:t>Trachonite</w:t>
      </w:r>
      <w:r/>
    </w:p>
    <w:p>
      <w:r/>
      <w:r>
        <w:t>Une des cinq provinces romaines à l'est du Jourdain. Les autres provinces romaines à l'est du Jourdain étaient la Batanée, la Gaulanitide, l'Auranitide et l'Iturée. Cette région, qui pouvait inclure des parties de Gaulanitide, de la Batanée et de l''Auranitide, faisait partie de la tétrarchie gouvernée par Philippe, le frère d'Hérode (</w:t>
      </w:r>
      <w:hyperlink r:id="rId2222">
        <w:r>
          <w:rPr>
            <w:color w:val="0000EE"/>
            <w:u w:val="single"/>
          </w:rPr>
          <w:t>Lc 3.1</w:t>
        </w:r>
      </w:hyperlink>
      <w:r>
        <w:t xml:space="preserve">). La </w:t>
      </w:r>
      <w:r>
        <w:t>Trachonite</w:t>
      </w:r>
      <w:r>
        <w:t xml:space="preserve"> était une zone aride située au nord-est de la mer de Galilée. En araméen, elle était connue sous le nom d'</w:t>
      </w:r>
      <w:r>
        <w:rPr>
          <w:i/>
        </w:rPr>
        <w:t>Argob</w:t>
      </w:r>
      <w:r>
        <w:t>, signifiant « tas de pierres », une description apte du terrain accidenté et rocheux.</w:t>
      </w:r>
    </w:p>
    <w:p>
      <w:r/>
      <w:r>
        <w:t xml:space="preserve">Mis à part la référence dans Luc, la Traconitide est rarement mentionnée dans les archives historiques. L'historien juif Josèphe suggère qu'Uts, le fils d'Aram (voir </w:t>
      </w:r>
      <w:hyperlink r:id="rId6163">
        <w:r>
          <w:rPr>
            <w:color w:val="0000EE"/>
            <w:u w:val="single"/>
          </w:rPr>
          <w:t>Gn 10.23</w:t>
        </w:r>
      </w:hyperlink>
      <w:r>
        <w:t>), a colonisé la région. Les Romains ont pris le contrôle de la Traconitide lorsqu'Auguste a vaincu un chef de bandits local, Zénodore. Il a ensuite donné la terre à Hérode le Grand, à condition qu'il réprime les bandits. Après la mort d'Hérode, son fils Philippe héritera de la terre, mais n'en avait probablement le contrôle qu'en nom.</w:t>
      </w:r>
    </w:p>
    <w:p>
      <w:r/>
      <w:r>
        <w:t xml:space="preserve">Aujourd'hui, la région s'appelle </w:t>
      </w:r>
      <w:r>
        <w:rPr>
          <w:i/>
        </w:rPr>
        <w:t>el-Lejah</w:t>
      </w:r>
      <w:r>
        <w:t xml:space="preserve"> et est située dans le sud de la Syrie et le nord de la Jordanie.</w:t>
      </w:r>
      <w:r/>
      <w:r/>
    </w:p>
    <w:p>
      <w:r/>
    </w:p>
    <w:p>
      <w:pPr>
        <w:pStyle w:val="Heading2"/>
      </w:pPr>
      <w:r>
        <w:t>Tradition</w:t>
      </w:r>
      <w:r/>
    </w:p>
    <w:p>
      <w:r/>
      <w:r>
        <w:t xml:space="preserve">Le respect de la tradition était particulièrement prononcé parmi les Juifs au temps du Nouveau Testament. L'une des sources les plus importantes de leurs traditions étaient les commentaires de rabbins respectés visant à expliquer la loi de Moïse. Ces commentaires ont été mis par écrit plus tard dans un traité appelé </w:t>
      </w:r>
      <w:r>
        <w:rPr>
          <w:i/>
        </w:rPr>
        <w:t>Pirke Avot</w:t>
      </w:r>
      <w:r>
        <w:t xml:space="preserve"> (Traditions des Pères). Un nombre croissant d'autres traditions rabbiniques interprétant la loi s'y sont ajoutées, faisant autorité sur l'interprétation et l'application de la loi. Ces traditions ont fini par être considérées comme une loi orale, souvent traitée en pratique comme égale à la loi écrite, et même parfois comme au-dessus d'elle.</w:t>
      </w:r>
    </w:p>
    <w:p>
      <w:r/>
      <w:r>
        <w:t>Quand ils critiquent les disciples de Jésus concernant le lavage des mains, les pharisiens leur reprochent de ne pas respecter la « tradition des anciens » (</w:t>
      </w:r>
      <w:hyperlink r:id="rId14536">
        <w:r>
          <w:rPr>
            <w:color w:val="0000EE"/>
            <w:u w:val="single"/>
          </w:rPr>
          <w:t>Mt 15.2</w:t>
        </w:r>
      </w:hyperlink>
      <w:r>
        <w:t xml:space="preserve"> ; </w:t>
      </w:r>
      <w:hyperlink r:id="rId8857">
        <w:r>
          <w:rPr>
            <w:color w:val="0000EE"/>
            <w:u w:val="single"/>
          </w:rPr>
          <w:t>Mc 7.5</w:t>
        </w:r>
      </w:hyperlink>
      <w:r>
        <w:t xml:space="preserve">). Jésus leur répond en appelant ces traditions des « commandements d'hommes » et dans </w:t>
      </w:r>
      <w:hyperlink r:id="rId11978">
        <w:r>
          <w:rPr>
            <w:color w:val="0000EE"/>
            <w:u w:val="single"/>
          </w:rPr>
          <w:t>Marc 7.8</w:t>
        </w:r>
      </w:hyperlink>
      <w:r>
        <w:t xml:space="preserve">, il leur dit clairement qu'ils n'ont pas le droit de mettre leurs traditions au-dessus des commandement qui viennent de Dieu. </w:t>
      </w:r>
    </w:p>
    <w:p>
      <w:r/>
      <w:r>
        <w:t xml:space="preserve">Dans </w:t>
      </w:r>
      <w:hyperlink r:id="rId9801">
        <w:r>
          <w:rPr>
            <w:color w:val="0000EE"/>
            <w:u w:val="single"/>
          </w:rPr>
          <w:t>Matthieu 23</w:t>
        </w:r>
      </w:hyperlink>
      <w:r>
        <w:t>, Jésus décrit les enseignements des pharisiens comme un fardeau pesant pour le peuple. Comme Jésus ne dit jamais que du bien de la loi de Moïse ; il est donc clair qu'il parlait des traditions qu'ils enseignaient et imposaient comme des lois. Jésus reprochait aussi à leurs traditions d'enseigner une religion de conformité extérieure qui mettait de côté les objectifs moraux et spirituels de la parole de Dieu.</w:t>
      </w:r>
    </w:p>
    <w:p>
      <w:r/>
      <w:r>
        <w:rPr>
          <w:i/>
        </w:rPr>
        <w:t>Voir</w:t>
      </w:r>
      <w:r>
        <w:t xml:space="preserve"> </w:t>
      </w:r>
      <w:r>
        <w:t>judaïsme</w:t>
      </w:r>
      <w:r>
        <w:t xml:space="preserve"> ; </w:t>
      </w:r>
      <w:r>
        <w:t>loi (concept biblique)</w:t>
      </w:r>
      <w:r>
        <w:t xml:space="preserve"> ; </w:t>
      </w:r>
      <w:r>
        <w:t>pharisiens</w:t>
      </w:r>
      <w:r>
        <w:t xml:space="preserve"> ; </w:t>
      </w:r>
      <w:r>
        <w:t>Talmud</w:t>
      </w:r>
      <w:r>
        <w:t xml:space="preserve"> ; </w:t>
      </w:r>
      <w:r>
        <w:t>tradition orale</w:t>
      </w:r>
      <w:r>
        <w:t>.</w:t>
      </w:r>
      <w:r/>
      <w:r/>
    </w:p>
    <w:p>
      <w:r/>
    </w:p>
    <w:p>
      <w:pPr>
        <w:pStyle w:val="Heading2"/>
      </w:pPr>
      <w:r>
        <w:t>travail, travailler, ouvrage</w:t>
      </w:r>
      <w:r/>
    </w:p>
    <w:p>
      <w:r/>
      <w:r>
        <w:t>Activité de production de Dieu ou de l'être humain, ou labeur du métier de ce dernier.</w:t>
      </w:r>
    </w:p>
    <w:p>
      <w:pPr>
        <w:pStyle w:val="Heading3"/>
      </w:pPr>
      <w:r>
        <w:t>La valeur du travail</w:t>
      </w:r>
    </w:p>
    <w:p>
      <w:r/>
      <w:r>
        <w:t xml:space="preserve">Le point de vue positif de la Bible sur le travail repose fermement sur ce qu'elle enseigne sur Dieu. Contrairement à d'autres écrits religieux anciens, qui considèrent que la création était indigne de l'Être Suprême, la Bible décrit ouvertement Dieu comme travailleur de façon positive. L'univers est l'« </w:t>
      </w:r>
      <w:r>
        <w:t>ouvrage de ses mains »</w:t>
      </w:r>
      <w:r>
        <w:t xml:space="preserve"> (</w:t>
      </w:r>
      <w:hyperlink r:id="rId9198">
        <w:r>
          <w:rPr>
            <w:color w:val="0000EE"/>
            <w:u w:val="single"/>
          </w:rPr>
          <w:t>Ps 8.3</w:t>
        </w:r>
      </w:hyperlink>
      <w:r>
        <w:t>). Il a travaillé sa matière première comme un potier travaille de l'argile (</w:t>
      </w:r>
      <w:hyperlink r:id="rId12466">
        <w:r>
          <w:rPr>
            <w:color w:val="0000EE"/>
            <w:u w:val="single"/>
          </w:rPr>
          <w:t>Es 45.9</w:t>
        </w:r>
      </w:hyperlink>
      <w:r>
        <w:t>). La complexité du développement d'un bébé dans le ventre de sa mère ainsi que l'immense et magnifique étendue du ciel démontrent son savoir-faire suprême (</w:t>
      </w:r>
      <w:hyperlink r:id="rId14537">
        <w:r>
          <w:rPr>
            <w:color w:val="0000EE"/>
            <w:u w:val="single"/>
          </w:rPr>
          <w:t>Ps 139.13–16</w:t>
        </w:r>
      </w:hyperlink>
      <w:r>
        <w:t xml:space="preserve"> ; </w:t>
      </w:r>
      <w:hyperlink r:id="rId3939">
        <w:r>
          <w:rPr>
            <w:color w:val="0000EE"/>
            <w:u w:val="single"/>
          </w:rPr>
          <w:t>19.1</w:t>
        </w:r>
      </w:hyperlink>
      <w:r>
        <w:t>). Toute la création porte témoignage à sa sagesse (</w:t>
      </w:r>
      <w:hyperlink r:id="rId13403">
        <w:r>
          <w:rPr>
            <w:color w:val="0000EE"/>
            <w:u w:val="single"/>
          </w:rPr>
          <w:t>104.24</w:t>
        </w:r>
      </w:hyperlink>
      <w:r>
        <w:t>). Le Créateur tout-puissant a même eu son jour de repos (</w:t>
      </w:r>
      <w:hyperlink r:id="rId14538">
        <w:r>
          <w:rPr>
            <w:color w:val="0000EE"/>
            <w:u w:val="single"/>
          </w:rPr>
          <w:t>Gn 2.2–3</w:t>
        </w:r>
      </w:hyperlink>
      <w:r>
        <w:t>) et s'est satisfait du travail accompli en contemplant ses réalisations à la fin de la semaine (</w:t>
      </w:r>
      <w:hyperlink r:id="rId5979">
        <w:r>
          <w:rPr>
            <w:color w:val="0000EE"/>
            <w:u w:val="single"/>
          </w:rPr>
          <w:t>1.31</w:t>
        </w:r>
      </w:hyperlink>
      <w:r>
        <w:t xml:space="preserve">). </w:t>
      </w:r>
    </w:p>
    <w:p>
      <w:r/>
      <w:r>
        <w:t>Cette description biblique frappante d'un Dieu qui œuvre trouve sa meilleure expression dans l'incarnation de Jésus. L'« œuvre » que Jésus devait accomplir (</w:t>
      </w:r>
      <w:hyperlink r:id="rId14539">
        <w:r>
          <w:rPr>
            <w:color w:val="0000EE"/>
            <w:u w:val="single"/>
          </w:rPr>
          <w:t>Jn 4.34</w:t>
        </w:r>
      </w:hyperlink>
      <w:r>
        <w:t>) était, bien sûr, sa mission unique de rédemption. Mais c'était aussi un ouvrier au sens ordinaire du terme. Ses contemporains le connaissaient comme « charpentier » ou « menuisier »(</w:t>
      </w:r>
      <w:hyperlink r:id="rId2413">
        <w:r>
          <w:rPr>
            <w:color w:val="0000EE"/>
            <w:u w:val="single"/>
          </w:rPr>
          <w:t>Mc 6.3</w:t>
        </w:r>
      </w:hyperlink>
      <w:r>
        <w:t>). À l'époque du NT, la menuiserie et la charpenterie étaient des métiers assez physiques. Ainsi, le Jésus qui entre dans le temple et y renverse les tables et en chasse les vendeurs et leurs animaux (</w:t>
      </w:r>
      <w:hyperlink r:id="rId11516">
        <w:r>
          <w:rPr>
            <w:color w:val="0000EE"/>
            <w:u w:val="single"/>
          </w:rPr>
          <w:t>Jn 2.14–16</w:t>
        </w:r>
      </w:hyperlink>
      <w:r>
        <w:t>), n'était pas un homme frêle et délicat, mais un ouvrier dont les mains avaient été durcies par des années de labeur avec la hache, la scie et le marteau. Le dur labeur physique n'était pas indigne du Fils de Dieu.</w:t>
      </w:r>
    </w:p>
    <w:p>
      <w:r/>
      <w:r>
        <w:t xml:space="preserve">Ainsi, l'enseignement de la Bible sur le travail de Dieu montre que le travail une activité noble. Le récit de la création de l'humanité démontre aussi que le travail est l'activité normale de l'homme. « </w:t>
      </w:r>
      <w:r>
        <w:t>L'Éternel Dieu prit l'homme, et le plaça dans le jardin d'Éden pour le cultiver et pour le garder</w:t>
      </w:r>
      <w:r>
        <w:t xml:space="preserve"> » (</w:t>
      </w:r>
      <w:hyperlink r:id="rId3484">
        <w:r>
          <w:rPr>
            <w:color w:val="0000EE"/>
            <w:u w:val="single"/>
          </w:rPr>
          <w:t>Gn 2.15</w:t>
        </w:r>
      </w:hyperlink>
      <w:r>
        <w:t>). Le premier commandement de Dieu est de remplir et d'assujettir la terre (</w:t>
      </w:r>
      <w:hyperlink r:id="rId3483">
        <w:r>
          <w:rPr>
            <w:color w:val="0000EE"/>
            <w:u w:val="single"/>
          </w:rPr>
          <w:t>Gn 1.28</w:t>
        </w:r>
      </w:hyperlink>
      <w:r>
        <w:t>), ce qui exige beaucoup de travail de l'homme et de la femme. De manière significative, l'être humain obéit toujours à ce commandement de leur Créateur lorsqu'il fait son travail quotidien, qu'il le reconnaisse ou pas. Le travail n'est pas arrivé dans le monde comme résultat direct de la chute de l'homme et du péché, mais le péché a rendu le travail pénible (</w:t>
      </w:r>
      <w:hyperlink r:id="rId4669">
        <w:r>
          <w:rPr>
            <w:color w:val="0000EE"/>
            <w:u w:val="single"/>
          </w:rPr>
          <w:t>Gn 3.17–19</w:t>
        </w:r>
      </w:hyperlink>
      <w:r>
        <w:t>). Le travail fait partie du bon dessein de Dieu pour l'humanité dès l'aube de l'histoire et est aussi naturel pour l'être humain que le coucher de soleil l'est pour le jour (</w:t>
      </w:r>
      <w:hyperlink r:id="rId14540">
        <w:r>
          <w:rPr>
            <w:color w:val="0000EE"/>
            <w:u w:val="single"/>
          </w:rPr>
          <w:t>Ps 104.19–23</w:t>
        </w:r>
      </w:hyperlink>
      <w:r>
        <w:t>).</w:t>
      </w:r>
    </w:p>
    <w:p>
      <w:r/>
      <w:r>
        <w:t>Étant donné la noblesse et la normalité du travail, il n'est pas surprenant que l'Écriture condamne fermement l'oisiveté. « Va vers la fourmi, paresseux ; Considère ses voies, et deviens sage » (</w:t>
      </w:r>
      <w:hyperlink r:id="rId14541">
        <w:r>
          <w:rPr>
            <w:color w:val="0000EE"/>
            <w:u w:val="single"/>
          </w:rPr>
          <w:t>Pr 6.6</w:t>
        </w:r>
      </w:hyperlink>
      <w:r>
        <w:t>). Paul est tout aussi direct : « Si quelqu'un ne veut pas travailler, qu'il ne mange pas non plus » (</w:t>
      </w:r>
      <w:hyperlink r:id="rId14542">
        <w:r>
          <w:rPr>
            <w:color w:val="0000EE"/>
            <w:u w:val="single"/>
          </w:rPr>
          <w:t>2Th 3.10</w:t>
        </w:r>
      </w:hyperlink>
      <w:r>
        <w:t>). Il s'est efforcé lui-même d'être un bon exemple dans ce domaine (</w:t>
      </w:r>
      <w:hyperlink r:id="rId14543">
        <w:r>
          <w:rPr>
            <w:color w:val="0000EE"/>
            <w:u w:val="single"/>
          </w:rPr>
          <w:t>Ac 20.33–35</w:t>
        </w:r>
      </w:hyperlink>
      <w:r>
        <w:t xml:space="preserve"> ; </w:t>
      </w:r>
      <w:hyperlink r:id="rId5523">
        <w:r>
          <w:rPr>
            <w:color w:val="0000EE"/>
            <w:u w:val="single"/>
          </w:rPr>
          <w:t>1Th 2.9</w:t>
        </w:r>
      </w:hyperlink>
      <w:r>
        <w:t>). Ceux qui refusent de travailler, insiste-t-il, même pour des raisons spirituelles, ne donnent pas un bon témoignage aux non-chrétiens quand ils dépendant des autres pour payer leurs factures (</w:t>
      </w:r>
      <w:hyperlink r:id="rId14544">
        <w:r>
          <w:rPr>
            <w:color w:val="0000EE"/>
            <w:u w:val="single"/>
          </w:rPr>
          <w:t>1Th 4.11–12</w:t>
        </w:r>
      </w:hyperlink>
      <w:r>
        <w:t>). Ceux qui gagnent leur vie, en revanche, se donnent aussi les moyens d'aider ceux qui sont dans le besoin (</w:t>
      </w:r>
      <w:hyperlink r:id="rId9427">
        <w:r>
          <w:rPr>
            <w:color w:val="0000EE"/>
            <w:u w:val="single"/>
          </w:rPr>
          <w:t>Ep 4.28</w:t>
        </w:r>
      </w:hyperlink>
      <w:r>
        <w:t>).</w:t>
      </w:r>
    </w:p>
    <w:p>
      <w:pPr>
        <w:pStyle w:val="Heading3"/>
      </w:pPr>
      <w:r>
        <w:t>La vocation</w:t>
      </w:r>
    </w:p>
    <w:p>
      <w:r/>
      <w:r>
        <w:t>À l'époque biblique, les Grecs et les Romains classaient les métiers selon leur importance ou leur attrait. Le travail manuel routinier, par exemple, était considéré comme inférieur au travail exigeant une activité intellectuelle.</w:t>
      </w:r>
    </w:p>
    <w:p>
      <w:r/>
      <w:r>
        <w:t>L'enseignement juif n'adhère pas du tout à une telle façon d'estimer les types de métiers. « Ne déteste pas le travail pénible, ni le travail des champs créé par le Très-Haut » dit l'enseignement de rabbins (</w:t>
      </w:r>
      <w:hyperlink r:id="rId14545">
        <w:r>
          <w:rPr>
            <w:color w:val="0000EE"/>
            <w:u w:val="single"/>
          </w:rPr>
          <w:t>Si 7.15</w:t>
        </w:r>
      </w:hyperlink>
      <w:r>
        <w:t>). Même l'érudit se devait de consacrer une partie de son temps à du travail manuel. Quelques métiers, comme celui de tanneur (corroyeur), étaient considérés comme indésirables. L'Église primitive apprend rapidement à ne plus le traiter comme tabou (</w:t>
      </w:r>
      <w:hyperlink r:id="rId7399">
        <w:r>
          <w:rPr>
            <w:color w:val="0000EE"/>
            <w:u w:val="single"/>
          </w:rPr>
          <w:t>Ac 9.43</w:t>
        </w:r>
      </w:hyperlink>
      <w:r>
        <w:t>). Il n'y aucune indication dans la Bible que certains emplois ont plus grande valeur que d'autres aux yeux de Dieu. Le Seigneur appelle des artisans à son service (</w:t>
      </w:r>
      <w:hyperlink r:id="rId14546">
        <w:r>
          <w:rPr>
            <w:color w:val="0000EE"/>
            <w:u w:val="single"/>
          </w:rPr>
          <w:t>Ex 31.1–11</w:t>
        </w:r>
      </w:hyperlink>
      <w:r>
        <w:t>), tout autant que des prophètes (</w:t>
      </w:r>
      <w:hyperlink r:id="rId14547">
        <w:r>
          <w:rPr>
            <w:color w:val="0000EE"/>
            <w:u w:val="single"/>
          </w:rPr>
          <w:t>Es 6.8–9</w:t>
        </w:r>
      </w:hyperlink>
      <w:r>
        <w:t>). Ainsi, Amos était cultivateur quand il a été appelé à prophétiser sans indication qu'il s'agissait là d'une promotion (</w:t>
      </w:r>
      <w:hyperlink r:id="rId12681">
        <w:r>
          <w:rPr>
            <w:color w:val="0000EE"/>
            <w:u w:val="single"/>
          </w:rPr>
          <w:t>Am 7.14–15</w:t>
        </w:r>
      </w:hyperlink>
      <w:r>
        <w:t>). L'important n'était pas le type de métier, tant que celui-ci était honnête, mais la volonté d'obéir à l'appel de Dieu et de témoigner fidèlement de lui, dans n'importe quel métier.</w:t>
      </w:r>
    </w:p>
    <w:p>
      <w:r/>
      <w:r>
        <w:t>La Bible tient un discours fort sur la relation entre employeur et employé. Les prophètes de l'Ancien Testament sont ceux qui dénoncent les abus le plus fortement. Dieu tient particulièrement à ce que ceux qui sont vulnérables obtiennent justice (</w:t>
      </w:r>
      <w:hyperlink r:id="rId14548">
        <w:r>
          <w:rPr>
            <w:color w:val="0000EE"/>
            <w:u w:val="single"/>
          </w:rPr>
          <w:t>Es 1.17</w:t>
        </w:r>
      </w:hyperlink>
      <w:r>
        <w:t xml:space="preserve"> ; </w:t>
      </w:r>
      <w:hyperlink r:id="rId288">
        <w:r>
          <w:rPr>
            <w:color w:val="0000EE"/>
            <w:u w:val="single"/>
          </w:rPr>
          <w:t>Mi 6.8</w:t>
        </w:r>
      </w:hyperlink>
      <w:r>
        <w:t>). Ses porte-paroles proclament sa colère lorsque les employeurs exploitent leurs ouvriers et les privent de leurs salaires (</w:t>
      </w:r>
      <w:hyperlink r:id="rId12444">
        <w:r>
          <w:rPr>
            <w:color w:val="0000EE"/>
            <w:u w:val="single"/>
          </w:rPr>
          <w:t>Jr 22.13</w:t>
        </w:r>
      </w:hyperlink>
      <w:r>
        <w:t xml:space="preserve"> ; </w:t>
      </w:r>
      <w:hyperlink r:id="rId359">
        <w:r>
          <w:rPr>
            <w:color w:val="0000EE"/>
            <w:u w:val="single"/>
          </w:rPr>
          <w:t>Ml 3.5</w:t>
        </w:r>
      </w:hyperlink>
      <w:r>
        <w:t xml:space="preserve"> ; voir aussi </w:t>
      </w:r>
      <w:hyperlink r:id="rId6529">
        <w:r>
          <w:rPr>
            <w:color w:val="0000EE"/>
            <w:u w:val="single"/>
          </w:rPr>
          <w:t>Jc 5.4</w:t>
        </w:r>
      </w:hyperlink>
      <w:r>
        <w:t xml:space="preserve">). Le jeûne qui plaît à Dieu inclut de détacher </w:t>
      </w:r>
      <w:r>
        <w:t xml:space="preserve">les chaînes de la méchanceté, dénouer les liens de la servitude, renvoyer libres les opprimés et rompre toute espèce de joug </w:t>
      </w:r>
      <w:r>
        <w:t>(</w:t>
      </w:r>
      <w:hyperlink r:id="rId14549">
        <w:r>
          <w:rPr>
            <w:color w:val="0000EE"/>
            <w:u w:val="single"/>
          </w:rPr>
          <w:t>Es 58.6</w:t>
        </w:r>
      </w:hyperlink>
      <w:r>
        <w:t xml:space="preserve">). Dans le contexte de l'époque, les opprimés étaient souvent des personnes en difficulté qui étaient obligés de se soumettre à la servitude pour survivre. Leur emploi était une sorte d'esclavage qui les rendait vulnérables à ceux qui y voyaient l'occasion de tirer profit d'eux. </w:t>
      </w:r>
    </w:p>
    <w:p>
      <w:r/>
      <w:r>
        <w:t>Dans la période biblique, les employeurs étaient en très grande position de force, mais la Parole s'adresse aussi aux employés avides et égoïstes. Le travailleur mérite un juste salaire (</w:t>
      </w:r>
      <w:hyperlink r:id="rId1952">
        <w:r>
          <w:rPr>
            <w:color w:val="0000EE"/>
            <w:u w:val="single"/>
          </w:rPr>
          <w:t>Lc 10.7</w:t>
        </w:r>
      </w:hyperlink>
      <w:r>
        <w:t>) mais ne doit pas profiter de son poste extorquer ou frauder pour augmenter son gain (</w:t>
      </w:r>
      <w:hyperlink r:id="rId13299">
        <w:r>
          <w:rPr>
            <w:color w:val="0000EE"/>
            <w:u w:val="single"/>
          </w:rPr>
          <w:t>3.14</w:t>
        </w:r>
      </w:hyperlink>
      <w:r>
        <w:t>).</w:t>
      </w:r>
    </w:p>
    <w:p>
      <w:pPr>
        <w:pStyle w:val="Heading3"/>
      </w:pPr>
      <w:r>
        <w:t>Œuvrer pour Christ</w:t>
      </w:r>
    </w:p>
    <w:p>
      <w:r/>
      <w:r>
        <w:t>Dieu est un Dieu qui travaille toujours et qui prend plaisir au travail assidu et appliqué de son peuple. Cette conviction est au cœur de l'enseignement biblique sur l'attitude chrétienne à avoir envers le travail séculier. Bien entendu, le NT porte un regard tout aussi positif sur le service chrétien, qu'il soit rémunéré ou non. Jésus décrit le monde comme un champ à moissonner pour Dieu. Il faut que des moissonneurs chrétiens aillent dans le champ et y évangélisent (</w:t>
      </w:r>
      <w:hyperlink r:id="rId14550">
        <w:r>
          <w:rPr>
            <w:color w:val="0000EE"/>
            <w:u w:val="single"/>
          </w:rPr>
          <w:t>Mt 9.37–38</w:t>
        </w:r>
      </w:hyperlink>
      <w:r>
        <w:t>). Paul utilise la même comparaison agricole, comparant également le travail d'évangélisation et d'enseignement dans le Seigneur au travail de construction (</w:t>
      </w:r>
      <w:hyperlink r:id="rId14551">
        <w:r>
          <w:rPr>
            <w:color w:val="0000EE"/>
            <w:u w:val="single"/>
          </w:rPr>
          <w:t>1Co 3.6–15</w:t>
        </w:r>
      </w:hyperlink>
      <w:r>
        <w:t>). Les chrétiens doivent avoir de la considération pour les dirigeants d'Église qui « se donnent de la peine » parmi eux (</w:t>
      </w:r>
      <w:hyperlink r:id="rId14453">
        <w:r>
          <w:rPr>
            <w:color w:val="0000EE"/>
            <w:u w:val="single"/>
          </w:rPr>
          <w:t>1Th 5.12</w:t>
        </w:r>
      </w:hyperlink>
      <w:r>
        <w:t xml:space="preserve">, Nouvelle Bible Segond), le but étant que tous les disciples travaillent « </w:t>
      </w:r>
      <w:r>
        <w:t>de mieux en mieux à l'œuvre du Seigneur »</w:t>
      </w:r>
      <w:r>
        <w:t xml:space="preserve"> (</w:t>
      </w:r>
      <w:hyperlink r:id="rId3297">
        <w:r>
          <w:rPr>
            <w:color w:val="0000EE"/>
            <w:u w:val="single"/>
          </w:rPr>
          <w:t>1Co 15.58</w:t>
        </w:r>
      </w:hyperlink>
      <w:r>
        <w:t>). Tous les chrétiens devraient se voir comme des « ouvriers avec Dieu » (</w:t>
      </w:r>
      <w:hyperlink r:id="rId9469">
        <w:r>
          <w:rPr>
            <w:color w:val="0000EE"/>
            <w:u w:val="single"/>
          </w:rPr>
          <w:t>3.9</w:t>
        </w:r>
      </w:hyperlink>
      <w:r>
        <w:t>).</w:t>
      </w:r>
      <w:r/>
      <w:r/>
    </w:p>
    <w:p>
      <w:r/>
    </w:p>
    <w:p>
      <w:pPr>
        <w:pStyle w:val="Heading2"/>
      </w:pPr>
      <w:r>
        <w:t>Tremblement de terre</w:t>
      </w:r>
      <w:r/>
    </w:p>
    <w:p>
      <w:r/>
      <w:r>
        <w:t>Un tremblement de terre se produit lorsque le sol tremble ou est secoué. Cela se produit en raison de l'activité volcanique ou du mouvement de la croûte terrestre.</w:t>
      </w:r>
    </w:p>
    <w:p>
      <w:r/>
      <w:r>
        <w:t>Les tremblements de terre se produisent souvent en Palestine, principalement en raison des volcans situés près de la mer Morte et de la mer de Galilée. Ces phénomènes sismiques sont les plus fréquents dans les régions suivantes :</w:t>
      </w:r>
    </w:p>
    <w:p>
      <w:pPr>
        <w:pStyle w:val="ListNumber"/>
        <w:spacing w:line="240" w:lineRule="auto"/>
        <w:ind w:left="720"/>
      </w:pPr>
      <w:r/>
      <w:r>
        <w:t>La Galilée supérieure</w:t>
      </w:r>
    </w:p>
    <w:p>
      <w:pPr>
        <w:pStyle w:val="ListNumber"/>
        <w:spacing w:line="240" w:lineRule="auto"/>
        <w:ind w:left="720"/>
      </w:pPr>
      <w:r/>
      <w:r>
        <w:t>Le pays samaritain près de Sichem</w:t>
      </w:r>
    </w:p>
    <w:p>
      <w:pPr>
        <w:pStyle w:val="ListNumber"/>
        <w:spacing w:line="240" w:lineRule="auto"/>
        <w:ind w:left="720"/>
      </w:pPr>
      <w:r/>
      <w:r>
        <w:t>Le bord occidental des montagnes de Judée près de Lydde.</w:t>
      </w:r>
    </w:p>
    <w:p>
      <w:r/>
      <w:r>
        <w:t>En hébreu, le mot pour « séisme » signifie un grand bruit ou un rugissement fort. Cela montre que les Israélites avaient remarqué le grondement des séismes.</w:t>
      </w:r>
    </w:p>
    <w:p>
      <w:r/>
      <w:r>
        <w:t>La Bible mentionne plusieurs tremblements de terre :</w:t>
      </w:r>
    </w:p>
    <w:p>
      <w:pPr>
        <w:pStyle w:val="ListNumber"/>
        <w:spacing w:line="240" w:lineRule="auto"/>
        <w:ind w:left="720"/>
      </w:pPr>
      <w:r/>
      <w:r>
        <w:t>À la montagne du Sinaï, quand Dieu a donné à Moïse la loi (</w:t>
      </w:r>
      <w:hyperlink r:id="rId2091">
        <w:r>
          <w:rPr>
            <w:color w:val="0000EE"/>
            <w:u w:val="single"/>
          </w:rPr>
          <w:t>Ex 19.18</w:t>
        </w:r>
      </w:hyperlink>
      <w:r>
        <w:t>).</w:t>
      </w:r>
    </w:p>
    <w:p>
      <w:pPr>
        <w:pStyle w:val="ListNumber"/>
        <w:spacing w:line="240" w:lineRule="auto"/>
        <w:ind w:left="720"/>
      </w:pPr>
      <w:r/>
      <w:r>
        <w:t>Lors des errances dans le désert des Israélites, lorsque Koré s'est révolté contre Moïse (</w:t>
      </w:r>
      <w:hyperlink r:id="rId14552">
        <w:r>
          <w:rPr>
            <w:color w:val="0000EE"/>
            <w:u w:val="single"/>
          </w:rPr>
          <w:t>Nb 16.31–33</w:t>
        </w:r>
      </w:hyperlink>
      <w:r>
        <w:t>).</w:t>
      </w:r>
    </w:p>
    <w:p>
      <w:pPr>
        <w:pStyle w:val="ListNumber"/>
        <w:spacing w:line="240" w:lineRule="auto"/>
        <w:ind w:left="720"/>
      </w:pPr>
      <w:r/>
      <w:r>
        <w:t>Parmi les Philistins, lorsque Jonathan et son porteur d'armes les ont combattus (</w:t>
      </w:r>
      <w:hyperlink r:id="rId14553">
        <w:r>
          <w:rPr>
            <w:color w:val="0000EE"/>
            <w:u w:val="single"/>
          </w:rPr>
          <w:t>1S 14.15</w:t>
        </w:r>
      </w:hyperlink>
      <w:r>
        <w:t>).</w:t>
      </w:r>
    </w:p>
    <w:p>
      <w:pPr>
        <w:pStyle w:val="ListNumber"/>
        <w:spacing w:line="240" w:lineRule="auto"/>
        <w:ind w:left="720"/>
      </w:pPr>
      <w:r/>
      <w:r>
        <w:t>Après qu'Élie ait tué les prophètes de Baal et qu'il avait fui Jézabel, alors qu'il était assis sous un genêt en se lamentant (</w:t>
      </w:r>
      <w:hyperlink r:id="rId14554">
        <w:r>
          <w:rPr>
            <w:color w:val="0000EE"/>
            <w:u w:val="single"/>
          </w:rPr>
          <w:t>1R 19.7–9, 11</w:t>
        </w:r>
      </w:hyperlink>
      <w:r>
        <w:t>)</w:t>
      </w:r>
    </w:p>
    <w:p>
      <w:pPr>
        <w:pStyle w:val="ListNumber"/>
        <w:spacing w:line="240" w:lineRule="auto"/>
        <w:ind w:left="720"/>
      </w:pPr>
      <w:r/>
      <w:r>
        <w:t>Durant le règne du roi Ozias (</w:t>
      </w:r>
      <w:hyperlink r:id="rId792">
        <w:r>
          <w:rPr>
            <w:color w:val="0000EE"/>
            <w:u w:val="single"/>
          </w:rPr>
          <w:t>Am 1.1</w:t>
        </w:r>
      </w:hyperlink>
      <w:r>
        <w:t>)</w:t>
      </w:r>
    </w:p>
    <w:p>
      <w:pPr>
        <w:pStyle w:val="ListNumber"/>
        <w:spacing w:line="240" w:lineRule="auto"/>
        <w:ind w:left="720"/>
      </w:pPr>
      <w:r/>
      <w:r>
        <w:t>Quand Jésus est mort sur la croix (</w:t>
      </w:r>
      <w:hyperlink r:id="rId14555">
        <w:r>
          <w:rPr>
            <w:color w:val="0000EE"/>
            <w:u w:val="single"/>
          </w:rPr>
          <w:t>Mt 27.51–54</w:t>
        </w:r>
      </w:hyperlink>
      <w:r>
        <w:t>)</w:t>
      </w:r>
    </w:p>
    <w:p>
      <w:pPr>
        <w:pStyle w:val="ListNumber"/>
        <w:spacing w:line="240" w:lineRule="auto"/>
        <w:ind w:left="720"/>
      </w:pPr>
      <w:r/>
      <w:r>
        <w:t>Quand Jésus est ressuscité des morts (</w:t>
      </w:r>
      <w:hyperlink r:id="rId14556">
        <w:r>
          <w:rPr>
            <w:color w:val="0000EE"/>
            <w:u w:val="single"/>
          </w:rPr>
          <w:t>Mt 28.2</w:t>
        </w:r>
      </w:hyperlink>
      <w:r>
        <w:t>)</w:t>
      </w:r>
    </w:p>
    <w:p>
      <w:pPr>
        <w:pStyle w:val="ListNumber"/>
        <w:spacing w:line="240" w:lineRule="auto"/>
        <w:ind w:left="720"/>
      </w:pPr>
      <w:r/>
      <w:r>
        <w:t>À Philippes, lorsque Paul et Silas étaient en prison (</w:t>
      </w:r>
      <w:hyperlink r:id="rId14557">
        <w:r>
          <w:rPr>
            <w:color w:val="0000EE"/>
            <w:u w:val="single"/>
          </w:rPr>
          <w:t>Ac 16.26</w:t>
        </w:r>
      </w:hyperlink>
      <w:r>
        <w:t>)</w:t>
      </w:r>
    </w:p>
    <w:p>
      <w:r/>
      <w:r>
        <w:t>La Bible mentionne également des tremblements de terre qui se produiront à l'avenir :</w:t>
      </w:r>
    </w:p>
    <w:p>
      <w:pPr>
        <w:pStyle w:val="ListNumber"/>
        <w:spacing w:line="240" w:lineRule="auto"/>
        <w:ind w:left="720"/>
      </w:pPr>
      <w:r/>
      <w:r>
        <w:t>Lors du « Jour du Seigneur » (</w:t>
      </w:r>
      <w:hyperlink r:id="rId14558">
        <w:r>
          <w:rPr>
            <w:color w:val="0000EE"/>
            <w:u w:val="single"/>
          </w:rPr>
          <w:t>Za 14.4–5</w:t>
        </w:r>
      </w:hyperlink>
      <w:r>
        <w:t>)</w:t>
      </w:r>
    </w:p>
    <w:p>
      <w:pPr>
        <w:pStyle w:val="ListNumber"/>
        <w:spacing w:line="240" w:lineRule="auto"/>
        <w:ind w:left="720"/>
      </w:pPr>
      <w:r/>
      <w:r>
        <w:t>À la fin de cet âge (</w:t>
      </w:r>
      <w:hyperlink r:id="rId14559">
        <w:r>
          <w:rPr>
            <w:color w:val="0000EE"/>
            <w:u w:val="single"/>
          </w:rPr>
          <w:t>Ap 6.12–17</w:t>
        </w:r>
      </w:hyperlink>
      <w:r>
        <w:t xml:space="preserve"> ; </w:t>
      </w:r>
      <w:hyperlink r:id="rId14341">
        <w:r>
          <w:rPr>
            <w:color w:val="0000EE"/>
            <w:u w:val="single"/>
          </w:rPr>
          <w:t>11.19</w:t>
        </w:r>
      </w:hyperlink>
      <w:r>
        <w:t xml:space="preserve"> ; </w:t>
      </w:r>
      <w:hyperlink r:id="rId14560">
        <w:r>
          <w:rPr>
            <w:color w:val="0000EE"/>
            <w:u w:val="single"/>
          </w:rPr>
          <w:t>16.18</w:t>
        </w:r>
      </w:hyperlink>
      <w:r>
        <w:t>)</w:t>
      </w:r>
      <w:r/>
      <w:r/>
    </w:p>
    <w:p>
      <w:r/>
    </w:p>
    <w:p>
      <w:pPr>
        <w:pStyle w:val="Heading2"/>
      </w:pPr>
      <w:r>
        <w:t>Très-Haut</w:t>
      </w:r>
      <w:r/>
    </w:p>
    <w:p>
      <w:r/>
      <w:r>
        <w:t>Nom antique pour parler de Dieu utilisé à la fois dans l'Ancien et le Nouveau Testament (</w:t>
      </w:r>
      <w:hyperlink r:id="rId14561">
        <w:r>
          <w:rPr>
            <w:color w:val="0000EE"/>
            <w:u w:val="single"/>
          </w:rPr>
          <w:t>Ps 21.7</w:t>
        </w:r>
      </w:hyperlink>
      <w:r>
        <w:t xml:space="preserve"> ; </w:t>
      </w:r>
      <w:hyperlink r:id="rId14562">
        <w:r>
          <w:rPr>
            <w:color w:val="0000EE"/>
            <w:u w:val="single"/>
          </w:rPr>
          <w:t>Ac 7.48</w:t>
        </w:r>
      </w:hyperlink>
      <w:r>
        <w:t>). Ce titre souligne l'autorité suprême de Dieu et sa position au-dessus de toutes les autres puissances.</w:t>
      </w:r>
    </w:p>
    <w:p>
      <w:r/>
      <w:r>
        <w:rPr>
          <w:i/>
        </w:rPr>
        <w:t>Voir</w:t>
      </w:r>
      <w:r>
        <w:t xml:space="preserve"> </w:t>
      </w:r>
      <w:r>
        <w:t>Noms de Dieu</w:t>
      </w:r>
      <w:r>
        <w:t>.</w:t>
      </w:r>
      <w:r/>
      <w:r/>
    </w:p>
    <w:p>
      <w:r/>
    </w:p>
    <w:p>
      <w:pPr>
        <w:pStyle w:val="Heading2"/>
      </w:pPr>
      <w:r>
        <w:t>Trésorier</w:t>
      </w:r>
      <w:r/>
    </w:p>
    <w:p>
      <w:r/>
      <w:r>
        <w:t>Officier responsable des affaires financières. À l'époque de l'Ancien Testament, il était chargé des trésors royaux ou sacrés, qui comprenaient des biens, des documents, de l'argent et des bijoux. Il était intendant des possessions du roi et superviseur du trésor. David nommera Azmaveth responsable des trésors du roi, Jonathan responsable des trésors dans les villes et villages (</w:t>
      </w:r>
      <w:hyperlink r:id="rId14563">
        <w:r>
          <w:rPr>
            <w:color w:val="0000EE"/>
            <w:u w:val="single"/>
          </w:rPr>
          <w:t>1Ch 27.25</w:t>
        </w:r>
      </w:hyperlink>
      <w:r>
        <w:t>), et Achija responsable des trésors du temple (</w:t>
      </w:r>
      <w:hyperlink r:id="rId14564">
        <w:r>
          <w:rPr>
            <w:color w:val="0000EE"/>
            <w:u w:val="single"/>
          </w:rPr>
          <w:t>26.20</w:t>
        </w:r>
      </w:hyperlink>
      <w:r>
        <w:t>). Le trésor du temple de Salomon était sous la garde de Jehiel (</w:t>
      </w:r>
      <w:hyperlink r:id="rId14565">
        <w:r>
          <w:rPr>
            <w:color w:val="0000EE"/>
            <w:u w:val="single"/>
          </w:rPr>
          <w:t>29.7–8</w:t>
        </w:r>
      </w:hyperlink>
      <w:r>
        <w:t>). À l'époque d'Ésaïe, il y avait un trésorier pour la maison nommé Schebna (</w:t>
      </w:r>
      <w:hyperlink r:id="rId14566">
        <w:r>
          <w:rPr>
            <w:color w:val="0000EE"/>
            <w:u w:val="single"/>
          </w:rPr>
          <w:t>Es 22.15</w:t>
        </w:r>
      </w:hyperlink>
      <w:r>
        <w:t>). Une inscription trouvée près de Jérusalem pourrait mentionner son nom.</w:t>
      </w:r>
    </w:p>
    <w:p>
      <w:r/>
      <w:r>
        <w:t>Les trésoriers occupaient également des postes dans d'autres territoires. Le roi Cyrus de Perse confiera les trésors de son temple à Mithredath (</w:t>
      </w:r>
      <w:hyperlink r:id="rId14567">
        <w:r>
          <w:rPr>
            <w:color w:val="0000EE"/>
            <w:u w:val="single"/>
          </w:rPr>
          <w:t>Esd 1.8</w:t>
        </w:r>
      </w:hyperlink>
      <w:r>
        <w:t xml:space="preserve">). Artaxerxès ordonnera aux trésoriers de la province « </w:t>
      </w:r>
      <w:r>
        <w:t>de l’autre côté du fleuve</w:t>
      </w:r>
      <w:r>
        <w:t xml:space="preserve"> » de fournir des fonds à Esdras le prêtre (</w:t>
      </w:r>
      <w:hyperlink r:id="rId14568">
        <w:r>
          <w:rPr>
            <w:color w:val="0000EE"/>
            <w:u w:val="single"/>
          </w:rPr>
          <w:t>Esd 7.21–22</w:t>
        </w:r>
      </w:hyperlink>
      <w:r>
        <w:t>). Néhémie nommera des trésoriers sur les entrepôts pour distribuer des biens (</w:t>
      </w:r>
      <w:hyperlink r:id="rId14302">
        <w:r>
          <w:rPr>
            <w:color w:val="0000EE"/>
            <w:u w:val="single"/>
          </w:rPr>
          <w:t>Né 12.44</w:t>
        </w:r>
      </w:hyperlink>
      <w:r>
        <w:t xml:space="preserve"> ; </w:t>
      </w:r>
      <w:hyperlink r:id="rId14569">
        <w:r>
          <w:rPr>
            <w:color w:val="0000EE"/>
            <w:u w:val="single"/>
          </w:rPr>
          <w:t>13.13</w:t>
        </w:r>
      </w:hyperlink>
      <w:r>
        <w:t>).</w:t>
      </w:r>
    </w:p>
    <w:p>
      <w:r/>
      <w:r>
        <w:t>Dans le Nouveau Testament, deux trésoriers sont connus. L'eunuque éthiopien était responsable du trésor de Candace, reine d'Éthiopie (</w:t>
      </w:r>
      <w:hyperlink r:id="rId2175">
        <w:r>
          <w:rPr>
            <w:color w:val="0000EE"/>
            <w:u w:val="single"/>
          </w:rPr>
          <w:t>Ac 8.27</w:t>
        </w:r>
      </w:hyperlink>
      <w:r>
        <w:t>), et Éraste était le trésorier de la ville de Corinthe (</w:t>
      </w:r>
      <w:hyperlink r:id="rId2373">
        <w:r>
          <w:rPr>
            <w:color w:val="0000EE"/>
            <w:u w:val="single"/>
          </w:rPr>
          <w:t>Rm 16.23</w:t>
        </w:r>
      </w:hyperlink>
      <w:r>
        <w:t>). Une inscription laissée à Corinthe par Éraste, un trésorier romain, pourrait être la sienne.</w:t>
      </w:r>
    </w:p>
    <w:p>
      <w:r/>
      <w:r>
        <w:rPr>
          <w:i/>
        </w:rPr>
        <w:t>Voir aussi</w:t>
      </w:r>
      <w:r>
        <w:t xml:space="preserve"> </w:t>
      </w:r>
      <w:r>
        <w:t>Argent</w:t>
      </w:r>
      <w:r>
        <w:t xml:space="preserve"> ; </w:t>
      </w:r>
      <w:r>
        <w:t>Banquier, Banque</w:t>
      </w:r>
      <w:r>
        <w:t>.</w:t>
      </w:r>
      <w:r/>
      <w:r/>
    </w:p>
    <w:p>
      <w:r/>
    </w:p>
    <w:p>
      <w:pPr>
        <w:pStyle w:val="Heading2"/>
      </w:pPr>
      <w:r>
        <w:t>Tribu de Lévi</w:t>
      </w:r>
      <w:r/>
    </w:p>
    <w:p>
      <w:pPr>
        <w:pStyle w:val="Heading3"/>
      </w:pPr>
      <w:r>
        <w:t>Débuts de la tribu de Lévi</w:t>
      </w:r>
    </w:p>
    <w:p>
      <w:r/>
      <w:r>
        <w:t>Les Lévites étaient l'une des tribus d'Israël. Ils sont nommés d'après Lévi, le troisième fils de Léa et Jacob (</w:t>
      </w:r>
      <w:hyperlink r:id="rId9023">
        <w:r>
          <w:rPr>
            <w:color w:val="0000EE"/>
            <w:u w:val="single"/>
          </w:rPr>
          <w:t>Gn 29.34</w:t>
        </w:r>
      </w:hyperlink>
      <w:r>
        <w:t xml:space="preserve">). Le nom Lévi signifie « attaché », reflétant l'espoir de Léa que donner naissance à trois fils inciterait Jacob à être plus attaché à elle en tant qu'épouse. Cette idée d'attachement apparaît également dans </w:t>
      </w:r>
      <w:hyperlink r:id="rId14570">
        <w:r>
          <w:rPr>
            <w:color w:val="0000EE"/>
            <w:u w:val="single"/>
          </w:rPr>
          <w:t>Nombres 18.2</w:t>
        </w:r>
      </w:hyperlink>
      <w:r>
        <w:t>, où la tribu de Lévi est décrite comme étant « attachée » à Aaron.</w:t>
      </w:r>
    </w:p>
    <w:p>
      <w:r/>
      <w:r>
        <w:t>Lévi est d'abord mentionné en lien avec l'événement violent à Sichem, où Lévi et Siméon massacrent les habitants de la ville en représailles pour le viol de leur sœur, Dina (</w:t>
      </w:r>
      <w:hyperlink r:id="rId14571">
        <w:r>
          <w:rPr>
            <w:color w:val="0000EE"/>
            <w:u w:val="single"/>
          </w:rPr>
          <w:t>Gn 34.25–29</w:t>
        </w:r>
      </w:hyperlink>
      <w:r>
        <w:t>). Cet acte provoquera un reproche de leur père Jacob (</w:t>
      </w:r>
      <w:hyperlink r:id="rId11994">
        <w:r>
          <w:rPr>
            <w:color w:val="0000EE"/>
            <w:u w:val="single"/>
          </w:rPr>
          <w:t>Gn 34.30</w:t>
        </w:r>
      </w:hyperlink>
      <w:r>
        <w:t>), qui les a également maudits sur son lit de mort, prédisant que leurs descendants seraient dispersés à travers Israël (</w:t>
      </w:r>
      <w:hyperlink r:id="rId4294">
        <w:r>
          <w:rPr>
            <w:color w:val="0000EE"/>
            <w:u w:val="single"/>
          </w:rPr>
          <w:t>49.5–7</w:t>
        </w:r>
      </w:hyperlink>
      <w:r>
        <w:t>). Malgré cette malédiction, la tribu de Lévi deviendra plus tard la tribu sacerdotale choisie par Dieu, tandis que Siméon finira par fusionner avec la tribu de Juda.</w:t>
      </w:r>
    </w:p>
    <w:p>
      <w:pPr>
        <w:pStyle w:val="Heading3"/>
      </w:pPr>
      <w:r>
        <w:t>Rôle particulier des Lévites</w:t>
      </w:r>
    </w:p>
    <w:p>
      <w:r/>
      <w:r>
        <w:t>Au départ, Lévi était une tribu « laïque » comme les autres, sans rôle religieux particulier (</w:t>
      </w:r>
      <w:hyperlink r:id="rId10208">
        <w:r>
          <w:rPr>
            <w:color w:val="0000EE"/>
            <w:u w:val="single"/>
          </w:rPr>
          <w:t>Ex 2.1</w:t>
        </w:r>
      </w:hyperlink>
      <w:r>
        <w:t>). Cependant, cela changera lorsque les Lévites démontreront leur loyauté envers Dieu lors de la rébellion d'Israël avec l'incident du veau d'or (</w:t>
      </w:r>
      <w:hyperlink r:id="rId14572">
        <w:r>
          <w:rPr>
            <w:color w:val="0000EE"/>
            <w:u w:val="single"/>
          </w:rPr>
          <w:t>Ex 32.25–29</w:t>
        </w:r>
      </w:hyperlink>
      <w:r>
        <w:t>). En récompense de leur fidélité, Dieu établira une « alliance inviolable » avec Lévi (</w:t>
      </w:r>
      <w:hyperlink r:id="rId14573">
        <w:r>
          <w:rPr>
            <w:color w:val="0000EE"/>
            <w:u w:val="single"/>
          </w:rPr>
          <w:t>Nb 18.19</w:t>
        </w:r>
      </w:hyperlink>
      <w:r>
        <w:t>) les mettant à part pour des fonctions sacerdotales (</w:t>
      </w:r>
      <w:hyperlink r:id="rId13360">
        <w:r>
          <w:rPr>
            <w:color w:val="0000EE"/>
            <w:u w:val="single"/>
          </w:rPr>
          <w:t>Nb 3.11–13</w:t>
        </w:r>
      </w:hyperlink>
      <w:r>
        <w:t>). À compter de ce jour, les Lévites serviront comme prêtres et chefs religieux pour Israël. En échange de leur service, la tribu de Lévi ne recevra pas de territoire spécifique comme les autres tribus ; au lieu de cela, Dieu serait leur héritage en propre (</w:t>
      </w:r>
      <w:hyperlink r:id="rId14574">
        <w:r>
          <w:rPr>
            <w:color w:val="0000EE"/>
            <w:u w:val="single"/>
          </w:rPr>
          <w:t>Nb 18.20</w:t>
        </w:r>
      </w:hyperlink>
      <w:r>
        <w:t>). Cependant, ils recevront quarante-huit villes, dont six villes de refuge, dispersées à travers Israël (</w:t>
      </w:r>
      <w:hyperlink r:id="rId7628">
        <w:r>
          <w:rPr>
            <w:color w:val="0000EE"/>
            <w:u w:val="single"/>
          </w:rPr>
          <w:t>Jos 21.1–42</w:t>
        </w:r>
      </w:hyperlink>
      <w:r>
        <w:t>).</w:t>
      </w:r>
    </w:p>
    <w:p>
      <w:r/>
      <w:r>
        <w:t>Comme Lévi ne pouvait pas construire sa propre richesse ou posséder de terre, la tribu devait être soutenue par des dons et des dîmes (</w:t>
      </w:r>
      <w:hyperlink r:id="rId14575">
        <w:r>
          <w:rPr>
            <w:color w:val="0000EE"/>
            <w:u w:val="single"/>
          </w:rPr>
          <w:t>Nb 18.21</w:t>
        </w:r>
      </w:hyperlink>
      <w:r>
        <w:t>), tout comme la veuve, l'orphelin et l'étranger. Leur subsistance était la responsabilité du peuple de Dieu (</w:t>
      </w:r>
      <w:hyperlink r:id="rId5095">
        <w:r>
          <w:rPr>
            <w:color w:val="0000EE"/>
            <w:u w:val="single"/>
          </w:rPr>
          <w:t>Dt 14.29</w:t>
        </w:r>
      </w:hyperlink>
      <w:r>
        <w:t>). Puisqu'ils étaient la tribu de Dieu, Joab ne voudra pas inclure Lévi dans le recensement de David (</w:t>
      </w:r>
      <w:hyperlink r:id="rId3717">
        <w:r>
          <w:rPr>
            <w:color w:val="0000EE"/>
            <w:u w:val="single"/>
          </w:rPr>
          <w:t>1Ch 21.6</w:t>
        </w:r>
      </w:hyperlink>
      <w:r>
        <w:t xml:space="preserve"> ; voir </w:t>
      </w:r>
      <w:hyperlink r:id="rId14576">
        <w:r>
          <w:rPr>
            <w:color w:val="0000EE"/>
            <w:u w:val="single"/>
          </w:rPr>
          <w:t>Nb 1.49</w:t>
        </w:r>
      </w:hyperlink>
      <w:r>
        <w:t>). Lévi ne participait pas à la guerre, sauf pour des fonctions religieuses (</w:t>
      </w:r>
      <w:hyperlink r:id="rId9177">
        <w:r>
          <w:rPr>
            <w:color w:val="0000EE"/>
            <w:u w:val="single"/>
          </w:rPr>
          <w:t>2Ch 20.21</w:t>
        </w:r>
      </w:hyperlink>
      <w:r>
        <w:t>). Ils étaient responsables de la tente de la rencontre (</w:t>
      </w:r>
      <w:hyperlink r:id="rId14577">
        <w:r>
          <w:rPr>
            <w:color w:val="0000EE"/>
            <w:u w:val="single"/>
          </w:rPr>
          <w:t>Nb 1.50–53</w:t>
        </w:r>
      </w:hyperlink>
      <w:r>
        <w:t>) et plus tard du temple (</w:t>
      </w:r>
      <w:hyperlink r:id="rId14578">
        <w:r>
          <w:rPr>
            <w:color w:val="0000EE"/>
            <w:u w:val="single"/>
          </w:rPr>
          <w:t>1Ch 23.25–32</w:t>
        </w:r>
      </w:hyperlink>
      <w:r>
        <w:t>).</w:t>
      </w:r>
    </w:p>
    <w:p>
      <w:pPr>
        <w:pStyle w:val="Heading3"/>
      </w:pPr>
      <w:r>
        <w:t>Devoirs et responsabilités</w:t>
      </w:r>
    </w:p>
    <w:p>
      <w:r/>
      <w:r>
        <w:t>Dans Lévitique, la Bible établit une distinction claire entre :</w:t>
      </w:r>
    </w:p>
    <w:p>
      <w:pPr>
        <w:pStyle w:val="ListBullet"/>
        <w:spacing w:line="240" w:lineRule="auto"/>
        <w:ind w:left="720"/>
      </w:pPr>
      <w:r/>
      <w:r>
        <w:t>Le grand prêtre,</w:t>
      </w:r>
    </w:p>
    <w:p>
      <w:pPr>
        <w:pStyle w:val="ListBullet"/>
        <w:spacing w:line="240" w:lineRule="auto"/>
        <w:ind w:left="720"/>
      </w:pPr>
      <w:r/>
      <w:r>
        <w:t>Les autres prêtres, et</w:t>
      </w:r>
    </w:p>
    <w:p>
      <w:pPr>
        <w:pStyle w:val="ListBullet"/>
        <w:spacing w:line="240" w:lineRule="auto"/>
        <w:ind w:left="720"/>
      </w:pPr>
      <w:r/>
      <w:r>
        <w:t>Certains Lévites de moindre importance, responsables de tâches mineures.</w:t>
      </w:r>
    </w:p>
    <w:p>
      <w:r/>
      <w:r>
        <w:t>Leur premier rôle sera d'emballer et de déplacer la tente de la rencontre (</w:t>
      </w:r>
      <w:hyperlink r:id="rId14579">
        <w:r>
          <w:rPr>
            <w:color w:val="0000EE"/>
            <w:u w:val="single"/>
          </w:rPr>
          <w:t>Nb 1.50–51</w:t>
        </w:r>
      </w:hyperlink>
      <w:r>
        <w:t>), ainsi que d'autres tâches. Plus tard, ils serviront comme portiers et musiciens (</w:t>
      </w:r>
      <w:hyperlink r:id="rId14580">
        <w:r>
          <w:rPr>
            <w:color w:val="0000EE"/>
            <w:u w:val="single"/>
          </w:rPr>
          <w:t>1Ch 16.42</w:t>
        </w:r>
      </w:hyperlink>
      <w:r>
        <w:t xml:space="preserve">). Les devoirs de Lévi sont énumérés dans </w:t>
      </w:r>
      <w:hyperlink r:id="rId14581">
        <w:r>
          <w:rPr>
            <w:color w:val="0000EE"/>
            <w:u w:val="single"/>
          </w:rPr>
          <w:t xml:space="preserve">Deutéronome 33.8–11. </w:t>
        </w:r>
      </w:hyperlink>
      <w:r>
        <w:t>Dans ce texte-là, l'aide religieuse et les conseils sont tout aussi importants que leurs fonctions sacerdotales. Ainsi, il n'est pas surprenant que Josaphat les ait utilisés pour enseigner la loi (</w:t>
      </w:r>
      <w:hyperlink r:id="rId14582">
        <w:r>
          <w:rPr>
            <w:color w:val="0000EE"/>
            <w:u w:val="single"/>
          </w:rPr>
          <w:t>2Ch 17.7–9</w:t>
        </w:r>
      </w:hyperlink>
      <w:r>
        <w:t>). Cependant, ils étaient normalement considérés simplement comme des prêtres (</w:t>
      </w:r>
      <w:hyperlink r:id="rId14583">
        <w:r>
          <w:rPr>
            <w:color w:val="0000EE"/>
            <w:u w:val="single"/>
          </w:rPr>
          <w:t>Jg 17.13</w:t>
        </w:r>
      </w:hyperlink>
      <w:r>
        <w:t>).</w:t>
      </w:r>
    </w:p>
    <w:p>
      <w:r/>
      <w:r>
        <w:t xml:space="preserve">Le rôle des Lévites en tant que chefs religieux et enseignants a été significatif tout au long de l'histoire d'Israël, et des références à l'alliance durable avec Lévi peuvent être trouvées dans </w:t>
      </w:r>
      <w:hyperlink r:id="rId14584">
        <w:r>
          <w:rPr>
            <w:color w:val="0000EE"/>
            <w:u w:val="single"/>
          </w:rPr>
          <w:t>Jérémie 33.20–26</w:t>
        </w:r>
      </w:hyperlink>
      <w:r>
        <w:t xml:space="preserve"> et </w:t>
      </w:r>
      <w:hyperlink r:id="rId14585">
        <w:r>
          <w:rPr>
            <w:color w:val="0000EE"/>
            <w:u w:val="single"/>
          </w:rPr>
          <w:t>Malachie 3.3–4</w:t>
        </w:r>
      </w:hyperlink>
      <w:r>
        <w:t>. Après l'exil babylonien, des membres de la tribu de Lévi reviendront à Jérusalem (</w:t>
      </w:r>
      <w:hyperlink r:id="rId13381">
        <w:r>
          <w:rPr>
            <w:color w:val="0000EE"/>
            <w:u w:val="single"/>
          </w:rPr>
          <w:t>Esd 2.36–42</w:t>
        </w:r>
      </w:hyperlink>
      <w:r>
        <w:t>), avec une proportion plus élevée provenant des familles sacerdotales.</w:t>
      </w:r>
    </w:p>
    <w:p>
      <w:pPr>
        <w:pStyle w:val="Heading3"/>
      </w:pPr>
      <w:r>
        <w:t>Les Lévites dans le Nouveau Testament</w:t>
      </w:r>
    </w:p>
    <w:p>
      <w:r/>
      <w:r>
        <w:t>Dans le Nouveau Testament, Barnabas, un éminent chrétien de l'Église primitive, est identifié comme un Lévite (</w:t>
      </w:r>
      <w:hyperlink r:id="rId2651">
        <w:r>
          <w:rPr>
            <w:color w:val="0000EE"/>
            <w:u w:val="single"/>
          </w:rPr>
          <w:t>Ac 4.36</w:t>
        </w:r>
      </w:hyperlink>
      <w:r>
        <w:t>). Aujourd'hui encore, le nom de famille Levi chez les Juifs indique souvent une descendance de la tribu de Lévi.</w:t>
      </w:r>
    </w:p>
    <w:p>
      <w:r/>
      <w:r>
        <w:rPr>
          <w:i/>
        </w:rPr>
        <w:t>Voir aussi</w:t>
      </w:r>
      <w:r>
        <w:t xml:space="preserve"> </w:t>
      </w:r>
      <w:r>
        <w:t>Prêtres et Lévites</w:t>
      </w:r>
      <w:r>
        <w:t>.</w:t>
      </w:r>
      <w:r/>
      <w:r/>
    </w:p>
    <w:p>
      <w:r/>
    </w:p>
    <w:p>
      <w:pPr>
        <w:pStyle w:val="Heading2"/>
      </w:pPr>
      <w:r>
        <w:t>Tribun</w:t>
      </w:r>
      <w:r/>
    </w:p>
    <w:p>
      <w:r/>
      <w:r>
        <w:t xml:space="preserve">Officier militaire romain qui servait de commandant d'une cohorte (mille hommes). Dans le Nouveau Testament, il désignait le commandant de la garnison romaine (poste militaire) à Jérusalem (voir par exemple </w:t>
      </w:r>
      <w:hyperlink r:id="rId14586">
        <w:r>
          <w:rPr>
            <w:color w:val="0000EE"/>
            <w:u w:val="single"/>
          </w:rPr>
          <w:t>Ac 21.31</w:t>
        </w:r>
      </w:hyperlink>
      <w:r>
        <w:t xml:space="preserve"> ; </w:t>
      </w:r>
      <w:hyperlink r:id="rId4366">
        <w:r>
          <w:rPr>
            <w:color w:val="0000EE"/>
            <w:u w:val="single"/>
          </w:rPr>
          <w:t>22.24</w:t>
        </w:r>
      </w:hyperlink>
      <w:r>
        <w:t xml:space="preserve"> ; </w:t>
      </w:r>
      <w:hyperlink r:id="rId14587">
        <w:r>
          <w:rPr>
            <w:color w:val="0000EE"/>
            <w:u w:val="single"/>
          </w:rPr>
          <w:t>23.10</w:t>
        </w:r>
      </w:hyperlink>
      <w:r>
        <w:t xml:space="preserve"> ; </w:t>
      </w:r>
      <w:hyperlink r:id="rId14588">
        <w:r>
          <w:rPr>
            <w:color w:val="0000EE"/>
            <w:u w:val="single"/>
          </w:rPr>
          <w:t>24.22</w:t>
        </w:r>
      </w:hyperlink>
      <w:r>
        <w:t>). Paul a été placé sous la protection du tribun après son arrestation à Jérusalem (</w:t>
      </w:r>
      <w:hyperlink r:id="rId2631">
        <w:r>
          <w:rPr>
            <w:color w:val="0000EE"/>
            <w:u w:val="single"/>
          </w:rPr>
          <w:t>21.33</w:t>
        </w:r>
      </w:hyperlink>
      <w:r>
        <w:t>).</w:t>
      </w:r>
      <w:r/>
      <w:r/>
    </w:p>
    <w:p>
      <w:r/>
    </w:p>
    <w:p>
      <w:pPr>
        <w:pStyle w:val="Heading2"/>
      </w:pPr>
      <w:r>
        <w:t>Tribunaux et procès</w:t>
      </w:r>
      <w:r/>
    </w:p>
    <w:p>
      <w:r/>
      <w:r>
        <w:t>Les litiges juridiques faisaient autant partie de la vie à l'époque biblique qu'ils le font aujourd'hui. Cependant, le fonctionnement des tribunaux et la conduite des procès étaient assez différents. Si ces coutumes ne sont pas comprises, les lecteurs modernes de la Bible, qui auront en tête les procédures légales contemporaines, risqueront de mal interpréter les récits judiciaires contenus dans la Bible.</w:t>
      </w:r>
    </w:p>
    <w:p>
      <w:pPr>
        <w:pStyle w:val="Heading3"/>
      </w:pPr>
      <w:r>
        <w:t>Procédures légales de l'Ancien Testament</w:t>
      </w:r>
    </w:p>
    <w:p>
      <w:pPr>
        <w:pStyle w:val="Heading4"/>
      </w:pPr>
      <w:r>
        <w:t>D'Exode à Deutéronome</w:t>
      </w:r>
    </w:p>
    <w:p>
      <w:r/>
      <w:r>
        <w:t>Les livres de l'Exode, du Lévitique, des Nombres et du Deutéronome contiennent la plupart des lois de l'Ancien Testament (AT), ainsi que de nombreuses autres informations concernant les tribunaux et les procédures légales. Ces livres révèlent comment les procès étaient menés avant qu'Israël n'ait de roi. Certains changements dans le système juridique survenus après l'établissement de la monarchie (vers l'an 1 000 av. J.‑C.) sont décrits dans d'autres livres de l'AT.</w:t>
      </w:r>
    </w:p>
    <w:p>
      <w:r/>
      <w:r>
        <w:t xml:space="preserve">L'AT présente Dieu comme législateur et juge suprême, Moïse (et plus tard les rois) étant ses adjoints. Cependant, Moïse n'a pas créé la loi ni décidé des cas les plus difficiles, qui étaient directement soumis à Dieu pour décision (voir </w:t>
      </w:r>
      <w:hyperlink r:id="rId14589">
        <w:r>
          <w:rPr>
            <w:color w:val="0000EE"/>
            <w:u w:val="single"/>
          </w:rPr>
          <w:t>Lv 24.10–23</w:t>
        </w:r>
      </w:hyperlink>
      <w:r>
        <w:t xml:space="preserve"> ; </w:t>
      </w:r>
      <w:hyperlink r:id="rId4314">
        <w:r>
          <w:rPr>
            <w:color w:val="0000EE"/>
            <w:u w:val="single"/>
          </w:rPr>
          <w:t>Nb 15.32–36</w:t>
        </w:r>
      </w:hyperlink>
      <w:r>
        <w:t xml:space="preserve"> ; </w:t>
      </w:r>
      <w:hyperlink r:id="rId5950">
        <w:r>
          <w:rPr>
            <w:color w:val="0000EE"/>
            <w:u w:val="single"/>
          </w:rPr>
          <w:t>27.1–11</w:t>
        </w:r>
      </w:hyperlink>
      <w:r>
        <w:t>). Lorsque des différends surgissaient entre les dirigeants d'Israël, Dieu intervenait, jugeant directement la partie coupable (</w:t>
      </w:r>
      <w:hyperlink r:id="rId8046">
        <w:r>
          <w:rPr>
            <w:color w:val="0000EE"/>
            <w:u w:val="single"/>
          </w:rPr>
          <w:t>Nm 16–17</w:t>
        </w:r>
      </w:hyperlink>
      <w:r>
        <w:t>). Ainsi, la loi est perçue dans l'AT comme une révélation divine, et non comme une création humaine, contrairement à la Babylone antique.</w:t>
      </w:r>
    </w:p>
    <w:p>
      <w:r/>
      <w:r>
        <w:t>Il n'était habituellement pas nécessaire de chercher la conduite directe de Dieu ; le précédent était suffisant. Des anciens étaient nommés en Israël pour servir de juges pour tous les cas sauf les plus graves, soulageant Moïse du fardeau de juger tout le peuple lui-même (</w:t>
      </w:r>
      <w:hyperlink r:id="rId7247">
        <w:r>
          <w:rPr>
            <w:color w:val="0000EE"/>
            <w:u w:val="single"/>
          </w:rPr>
          <w:t>Ex 18.13–27</w:t>
        </w:r>
      </w:hyperlink>
      <w:r>
        <w:t xml:space="preserve">). </w:t>
      </w:r>
      <w:hyperlink r:id="rId14590">
        <w:r>
          <w:rPr>
            <w:color w:val="0000EE"/>
            <w:u w:val="single"/>
          </w:rPr>
          <w:t>Deutéronome 16.18</w:t>
        </w:r>
      </w:hyperlink>
      <w:r>
        <w:t xml:space="preserve"> précise que des « juges » soient nommés dans chaque ville ; dans d'autres passages, ceux qui étaient responsables de punir les criminels sont appelés « les anciens » (</w:t>
      </w:r>
      <w:hyperlink r:id="rId14591">
        <w:r>
          <w:rPr>
            <w:color w:val="0000EE"/>
            <w:u w:val="single"/>
          </w:rPr>
          <w:t>Dt 19.12</w:t>
        </w:r>
      </w:hyperlink>
      <w:r>
        <w:t>). Les juges locaux étaient de toute évidence des non-professionnels choisis parmi les membres les plus respectés de chaque tribu ou village. Les cas difficiles étaient renvoyés vers une cour de justice centrale pour être décidés par les prêtres et, à l'époque des juges, par le chef civil et militaire (</w:t>
      </w:r>
      <w:hyperlink r:id="rId14592">
        <w:r>
          <w:rPr>
            <w:color w:val="0000EE"/>
            <w:u w:val="single"/>
          </w:rPr>
          <w:t>17.8–12</w:t>
        </w:r>
      </w:hyperlink>
      <w:r>
        <w:t>). Débora et Samuel étaient tous deux des exemples de tels « juges en Israël ». Samuel a même tenu une cour itinérante dans plusieurs centres différents (</w:t>
      </w:r>
      <w:hyperlink r:id="rId4516">
        <w:r>
          <w:rPr>
            <w:color w:val="0000EE"/>
            <w:u w:val="single"/>
          </w:rPr>
          <w:t>Jg 4.4–5</w:t>
        </w:r>
      </w:hyperlink>
      <w:r>
        <w:t xml:space="preserve"> ; </w:t>
      </w:r>
      <w:hyperlink r:id="rId14593">
        <w:r>
          <w:rPr>
            <w:color w:val="0000EE"/>
            <w:u w:val="single"/>
          </w:rPr>
          <w:t>1S 7.15–17</w:t>
        </w:r>
      </w:hyperlink>
      <w:r>
        <w:t>).</w:t>
      </w:r>
    </w:p>
    <w:p>
      <w:r/>
      <w:r>
        <w:t>En Israël, comme dans d'autres sociétés antiques, la poursuite privée était la norme. Un individu ayant un grief devait porter l'affaire devant le tribunal. Ce n'est que dans les situations d'idolâtrie ou d'autres crimes religieux graves que des poursuites publiques étaient engagées (</w:t>
      </w:r>
      <w:hyperlink r:id="rId12698">
        <w:r>
          <w:rPr>
            <w:color w:val="0000EE"/>
            <w:u w:val="single"/>
          </w:rPr>
          <w:t>Dt 13</w:t>
        </w:r>
      </w:hyperlink>
      <w:r>
        <w:t xml:space="preserve"> ; </w:t>
      </w:r>
      <w:hyperlink r:id="rId14594">
        <w:r>
          <w:rPr>
            <w:color w:val="0000EE"/>
            <w:u w:val="single"/>
          </w:rPr>
          <w:t>17.2–7</w:t>
        </w:r>
      </w:hyperlink>
      <w:r>
        <w:t>). Même dans les cas de meurtre, la poursuite était laissée aux mains des proches de la victime. Un proche, appelé le « vengeur du sang », devait poursuivre le meurtrier présumé jusqu'à la ville de refuge la plus proche, où se tenait alors un procès (</w:t>
      </w:r>
      <w:hyperlink r:id="rId14595">
        <w:r>
          <w:rPr>
            <w:color w:val="0000EE"/>
            <w:u w:val="single"/>
          </w:rPr>
          <w:t>Nb 35.10–34</w:t>
        </w:r>
      </w:hyperlink>
      <w:r>
        <w:t xml:space="preserve"> ; </w:t>
      </w:r>
      <w:hyperlink r:id="rId14596">
        <w:r>
          <w:rPr>
            <w:color w:val="0000EE"/>
            <w:u w:val="single"/>
          </w:rPr>
          <w:t>Dt 19.1–13</w:t>
        </w:r>
      </w:hyperlink>
      <w:r>
        <w:t>).</w:t>
      </w:r>
    </w:p>
    <w:p>
      <w:r/>
      <w:r>
        <w:t>Les procès se tenaient dans un lieu public, tel que l'espace ouvert près d'une porte de la ville (</w:t>
      </w:r>
      <w:hyperlink r:id="rId14597">
        <w:r>
          <w:rPr>
            <w:color w:val="0000EE"/>
            <w:u w:val="single"/>
          </w:rPr>
          <w:t>Dt 21.19</w:t>
        </w:r>
      </w:hyperlink>
      <w:r>
        <w:t>). Pendant le procès, les juges étaient assis, mais les parties au litige et les témoins restaient debout. Au moins deux témoins étaient nécessaires pour donner lieu à condamnation (</w:t>
      </w:r>
      <w:hyperlink r:id="rId4322">
        <w:r>
          <w:rPr>
            <w:color w:val="0000EE"/>
            <w:u w:val="single"/>
          </w:rPr>
          <w:t>19.15</w:t>
        </w:r>
      </w:hyperlink>
      <w:r>
        <w:t>). Ils devaient être des témoins oculaires qui avaient pris l'accusé sur le fait. Lorsque de telles preuves évidentes faisaient défaut (par exemple dans les litiges de propriété), les plaideurs pouvaient prêter serment pour démontrer leur honnêteté (</w:t>
      </w:r>
      <w:hyperlink r:id="rId14598">
        <w:r>
          <w:rPr>
            <w:color w:val="0000EE"/>
            <w:u w:val="single"/>
          </w:rPr>
          <w:t>Ex 22.8–13</w:t>
        </w:r>
      </w:hyperlink>
      <w:r>
        <w:t>). Si un mari soupçonnait son épouse d'infidélité mais n'avait aucune preuve, il pouvait exiger qu'elle subisse une épreuve en buvant de l'« eau amère » pour démontrer son innocence (</w:t>
      </w:r>
      <w:hyperlink r:id="rId14599">
        <w:r>
          <w:rPr>
            <w:color w:val="0000EE"/>
            <w:u w:val="single"/>
          </w:rPr>
          <w:t>Nb 5.6–31</w:t>
        </w:r>
      </w:hyperlink>
      <w:r>
        <w:t>).</w:t>
      </w:r>
    </w:p>
    <w:p>
      <w:r/>
      <w:r>
        <w:t>Lorsque toutes les preuves avaient été présentées, les juges ont rendu leur verdict. Ceux qui avaient porté l'accusation avaient le devoir d'appliquer la sentence du tribunal. Ainsi, un témoin d'idolâtrie devait jeter la première pierre lors de l'exécution de la personne coupable (</w:t>
      </w:r>
      <w:hyperlink r:id="rId14600">
        <w:r>
          <w:rPr>
            <w:color w:val="0000EE"/>
            <w:u w:val="single"/>
          </w:rPr>
          <w:t>Dt 17.7</w:t>
        </w:r>
      </w:hyperlink>
      <w:r>
        <w:t>). Certains fonctionnaires administratifs pouvaient avoir la tâche de consigner par écrit la décision du tribunal et de veiller à son application (</w:t>
      </w:r>
      <w:hyperlink r:id="rId14590">
        <w:r>
          <w:rPr>
            <w:color w:val="0000EE"/>
            <w:u w:val="single"/>
          </w:rPr>
          <w:t>16.18</w:t>
        </w:r>
      </w:hyperlink>
      <w:r>
        <w:t>). Parfois, il pouvait être difficile pour les gens de faire valoir leurs droits légaux si leur adversaire venait d'une famille puissante et riche.</w:t>
      </w:r>
    </w:p>
    <w:p>
      <w:pPr>
        <w:pStyle w:val="Heading4"/>
      </w:pPr>
      <w:r>
        <w:t>Autres livres de l'Ancien Testament</w:t>
      </w:r>
    </w:p>
    <w:p>
      <w:r/>
      <w:r>
        <w:t>Lorsque Israël est devenu un royaume, certains changements ont été apportés à son système judiciaire. Il semble que le roi est alors devenu le juge suprême qui traitait les affaires les plus difficiles. Salomon a démontré sa grande sagesse en arbitrant entre deux femmes qui prétendaient toutes deux être la mère d'un même bébé (</w:t>
      </w:r>
      <w:hyperlink r:id="rId12734">
        <w:r>
          <w:rPr>
            <w:color w:val="0000EE"/>
            <w:u w:val="single"/>
          </w:rPr>
          <w:t>1R 3.16–28</w:t>
        </w:r>
      </w:hyperlink>
      <w:r>
        <w:t>). Les rois, qui avaient tout le pouvoir nécessaire pour faire appliquer leurs décisions, étaient censés utiliser celui-ci pour aider les membres faibles de la société, tels que les orphelins et les veuves (</w:t>
      </w:r>
      <w:hyperlink r:id="rId14601">
        <w:r>
          <w:rPr>
            <w:color w:val="0000EE"/>
            <w:u w:val="single"/>
          </w:rPr>
          <w:t>Ps 72.12</w:t>
        </w:r>
      </w:hyperlink>
      <w:r>
        <w:t>).</w:t>
      </w:r>
    </w:p>
    <w:p>
      <w:r/>
      <w:r>
        <w:t>En pratique, cependant, les rois d'Israël ne se sont pas toujours conformés à cet idéal. Absalom a semé les graines d'une révolution en disant à ceux qui venaient à la cour royale que son père, le roi David, n'administrait pas bien la justice (</w:t>
      </w:r>
      <w:hyperlink r:id="rId14602">
        <w:r>
          <w:rPr>
            <w:color w:val="0000EE"/>
            <w:u w:val="single"/>
          </w:rPr>
          <w:t>2S 15.1–6</w:t>
        </w:r>
      </w:hyperlink>
      <w:r>
        <w:t>). Un procès notable dans l'AT illustre comment les pouvoirs judiciaires royaux pouvaient être complètement abusés par des dirigeants sans scrupules. Naboth a été mis à mort sur une accusation de blasphème fabriquée de toute pièce afin que le roi Achab puisse étendre les terrains de son palais en prenant possession de la vigne de Naboth. Bien que l'accusation fût fausse, le procès a suivi les procédures légales correctes. Deux vauriens ont été trouvés pour témoigner qu'ils avaient entendu Naboth maudire Dieu et le roi (</w:t>
      </w:r>
      <w:hyperlink r:id="rId14603">
        <w:r>
          <w:rPr>
            <w:color w:val="0000EE"/>
            <w:u w:val="single"/>
          </w:rPr>
          <w:t>1R 21.10</w:t>
        </w:r>
      </w:hyperlink>
      <w:r>
        <w:t xml:space="preserve">) ; un seul témoin aurait été insuffisant pour obtenir une condamnation. Naboth a été jugé par les anciens de la ville dans un lieu public. Après avoir été condamné, il a été emmené hors de la ville et exécuté (v. </w:t>
      </w:r>
      <w:hyperlink r:id="rId14604">
        <w:r>
          <w:rPr>
            <w:color w:val="0000EE"/>
            <w:u w:val="single"/>
          </w:rPr>
          <w:t>11–13</w:t>
        </w:r>
      </w:hyperlink>
      <w:r>
        <w:t>). Dans d'autres procès, le prophète Jérémie a été accusé d'activités subversives à plus d'une reprise (</w:t>
      </w:r>
      <w:hyperlink r:id="rId14605">
        <w:r>
          <w:rPr>
            <w:color w:val="0000EE"/>
            <w:u w:val="single"/>
          </w:rPr>
          <w:t>Jr 26</w:t>
        </w:r>
      </w:hyperlink>
      <w:r>
        <w:t xml:space="preserve"> ; </w:t>
      </w:r>
      <w:hyperlink r:id="rId14606">
        <w:r>
          <w:rPr>
            <w:color w:val="0000EE"/>
            <w:u w:val="single"/>
          </w:rPr>
          <w:t>37.11–38.28</w:t>
        </w:r>
      </w:hyperlink>
      <w:r>
        <w:t>).</w:t>
      </w:r>
    </w:p>
    <w:p>
      <w:r/>
      <w:r>
        <w:t xml:space="preserve">Les prophètes imaginaient parfois Dieu convoquant Israël au tribunal pour répondre des méfaits de la nation. Dieu énumérait les péchés d'Israël et invitait le peuple à expliquer son comportement. Parfois, le ciel et la terre, ou les montagnes, étaient appelés à être témoins confirmant la vérité des accusations de Dieu. Enfin, le jugement était prononcé (voir par exemple </w:t>
      </w:r>
      <w:hyperlink r:id="rId14607">
        <w:r>
          <w:rPr>
            <w:color w:val="0000EE"/>
            <w:u w:val="single"/>
          </w:rPr>
          <w:t>Es 1.2–26</w:t>
        </w:r>
      </w:hyperlink>
      <w:r>
        <w:t xml:space="preserve"> ; </w:t>
      </w:r>
      <w:hyperlink r:id="rId14608">
        <w:r>
          <w:rPr>
            <w:color w:val="0000EE"/>
            <w:u w:val="single"/>
          </w:rPr>
          <w:t>43</w:t>
        </w:r>
      </w:hyperlink>
      <w:r>
        <w:t xml:space="preserve"> ; </w:t>
      </w:r>
      <w:hyperlink r:id="rId14609">
        <w:r>
          <w:rPr>
            <w:color w:val="0000EE"/>
            <w:u w:val="single"/>
          </w:rPr>
          <w:t>Jr 2.4–37</w:t>
        </w:r>
      </w:hyperlink>
      <w:r>
        <w:t xml:space="preserve"> ; </w:t>
      </w:r>
      <w:hyperlink r:id="rId14610">
        <w:r>
          <w:rPr>
            <w:color w:val="0000EE"/>
            <w:u w:val="single"/>
          </w:rPr>
          <w:t>Mi 6</w:t>
        </w:r>
      </w:hyperlink>
      <w:r>
        <w:t>).</w:t>
      </w:r>
    </w:p>
    <w:p>
      <w:r/>
      <w:r>
        <w:t xml:space="preserve">Un thème récurrent dans le livre de Job est la demande de Job pour un procès. Job pensait que s'il bénéficiait d'une audience équitable, son innocence serait démontrée et Dieu cesserait de lui infliger tant de souffrances (voir </w:t>
      </w:r>
      <w:hyperlink r:id="rId14611">
        <w:r>
          <w:rPr>
            <w:color w:val="0000EE"/>
            <w:u w:val="single"/>
          </w:rPr>
          <w:t>Jb 13.23</w:t>
        </w:r>
      </w:hyperlink>
      <w:r>
        <w:t>). Dieu finit par exaucer la demande de Job et commence alors un long contre-interrogatoire, réduisant finalement Job au silence (</w:t>
      </w:r>
      <w:hyperlink r:id="rId14612">
        <w:r>
          <w:rPr>
            <w:color w:val="0000EE"/>
            <w:u w:val="single"/>
          </w:rPr>
          <w:t>42.1–6</w:t>
        </w:r>
      </w:hyperlink>
      <w:r>
        <w:t>).</w:t>
      </w:r>
    </w:p>
    <w:p>
      <w:pPr>
        <w:pStyle w:val="Heading3"/>
      </w:pPr>
      <w:r>
        <w:t>Procédures légales dans le Nouveau Testament</w:t>
      </w:r>
    </w:p>
    <w:p>
      <w:r/>
      <w:r>
        <w:t>De nombreux procès ont lieu dans le Nouveau Testament. Jésus a été jugé par le Sanhédrin (la cour religieuse suprême juive) ainsi que par le gouverneur romain. Le livre des Actes mentionne diverses actions judiciaires conçues pour arrêter la propagation du christianisme. Luc, l'auteur du livre des Actes, offre une description vivante et précise du fonctionnement des tribunaux dans les provinces de l'Empire romain. Actes atteint son point culminant lorsque Paul voyage à Rome pour que son affaire soit entendue par l'empereur romain Néron. Les procédures légales dans les tribunaux romains étaient régies par des règles compliquées, ressemblant en grande partie aux subtilités judiciaires modernes. Les crimes graves étaient traités par des procureurs publics, et les procès étaient généralement conduits par un seul juge. Il y avait des avocats pour l'accusation et des avocats pour la défense.</w:t>
      </w:r>
    </w:p>
    <w:p>
      <w:r/>
      <w:r>
        <w:t>En Judée et dans d'autres provinces de l'Empire, le système juridique local n'était pas supprimé. Les tribunaux juifs traditionnels étaient autorisés à juger les infractions mineures et religieuses (</w:t>
      </w:r>
      <w:hyperlink r:id="rId215">
        <w:r>
          <w:rPr>
            <w:color w:val="0000EE"/>
            <w:u w:val="single"/>
          </w:rPr>
          <w:t>Ac 4</w:t>
        </w:r>
      </w:hyperlink>
      <w:r>
        <w:t xml:space="preserve">; </w:t>
      </w:r>
      <w:hyperlink r:id="rId14613">
        <w:r>
          <w:rPr>
            <w:color w:val="0000EE"/>
            <w:u w:val="single"/>
          </w:rPr>
          <w:t>6.12–7.60</w:t>
        </w:r>
      </w:hyperlink>
      <w:r>
        <w:t xml:space="preserve">), mais n'étaient pas autorisés à traiter des affaires graves dans lesquelles la peine de mort pourrait être impliquée. Pour cette raison, lorsque le Sanhédrin déclare Jésus coupable de blasphème pour avoir prétendu être le Fils de Dieu et le Messie, ils ont dû transférer l'affaire à Ponce Pilate, le procurateur romain (gouverneur) de Judée. Les Juifs considéraient le blasphème comme méritant la mort, mais comme ils l'ont admis à Pilate, « </w:t>
      </w:r>
      <w:r>
        <w:t>Il ne nous est pas permis de mettre personne à mort</w:t>
      </w:r>
      <w:r>
        <w:t xml:space="preserve"> » (</w:t>
      </w:r>
      <w:hyperlink r:id="rId13564">
        <w:r>
          <w:rPr>
            <w:color w:val="0000EE"/>
            <w:u w:val="single"/>
          </w:rPr>
          <w:t>Jn 18.31</w:t>
        </w:r>
      </w:hyperlink>
      <w:r>
        <w:t>). La règle dans tout l'Empire romain était que seuls les gouverneurs pouvaient prononcer la peine de mort. L'exécution de l'apôtre Jacques par les autorités juives, mentionnée par l'historien juif Josèphe, a eu lieu pendant un intérim entre deux gouverneurs. La lapidation d'Étienne a été faite hâtivement, sans le consentement de Pilate (</w:t>
      </w:r>
      <w:hyperlink r:id="rId182">
        <w:r>
          <w:rPr>
            <w:color w:val="0000EE"/>
            <w:u w:val="single"/>
          </w:rPr>
          <w:t>Ac 7</w:t>
        </w:r>
      </w:hyperlink>
      <w:r>
        <w:t>).</w:t>
      </w:r>
    </w:p>
    <w:p>
      <w:pPr>
        <w:pStyle w:val="Heading4"/>
      </w:pPr>
      <w:r>
        <w:t>Les Procès de Jésus</w:t>
      </w:r>
    </w:p>
    <w:p>
      <w:r/>
      <w:r>
        <w:t>Jésus a d'abord été jugé par le Sanhédrin, sous la présidence du souverain sacrificateur. Selon les normes ultérieures de la pratique juridique juive, ce procès était quelque peu irrégulier. Il semble par exemple avoir eu lieu à la fois la nuit et la veille d'une fête. Les procès criminels n'étaient pas censés se dérouler à de tels moments. Il est incertain que ces règles existaient à l'époque de Jésus, mais même si c'était le cas, on ne peut pas déduire grand chose de cette potentielle irrégularité technique, puisque le tribunal juif n'avait pas le pouvoir d'exécuter sa sentence.</w:t>
      </w:r>
    </w:p>
    <w:p>
      <w:r/>
      <w:r>
        <w:t xml:space="preserve">Après la condamnation par le Sanhédrin, Jésus sera emmené devant Pilate, dont la résidence à Jérusalem, l'ancien palais royal appelé le Prétoire, se trouvait du côté ouest de la ville près de ce qui est aujourd'hui la porte de Jaffa. Les Romains étaient peu enclins à condamner quelqu'un à mort pour une affaire religieuse et les autorités juives présentent donc leurs accusations contre Jésus en termes politiques : il a violé la loi en « </w:t>
      </w:r>
      <w:r>
        <w:t>empêchant de payer le tribut à César, et se disant lui-même Christ, roi</w:t>
      </w:r>
      <w:r>
        <w:t xml:space="preserve"> » (</w:t>
      </w:r>
      <w:hyperlink r:id="rId6700">
        <w:r>
          <w:rPr>
            <w:color w:val="0000EE"/>
            <w:u w:val="single"/>
          </w:rPr>
          <w:t>Lc 23.2</w:t>
        </w:r>
      </w:hyperlink>
      <w:r>
        <w:t>). Sentant peut-être quelque chose de faux dans ces accusations (elles étaient en réalité religieuses plutôt que politiques), Pilate envoie Jésus à Hérode, le gouverneur de Galilée, qui était à Jérusalem à ce moment-là. Pilate, qui n'était pas obligé d'envoyer les Galiléens à Hérode pour un procès, voyait probablement cela comme un moyen d'éviter une décision inconfortable. Hérode, cependant, déclare Jésus innocent et le renvoie à Pilate.</w:t>
      </w:r>
    </w:p>
    <w:p>
      <w:r/>
      <w:r>
        <w:t>Pilate propose alors de donner à Jésus une correction disciplinaire traditionnellement infligée aux fauteurs de troubles comme avertissement pour qu'ils se comportent bien à l'avenir (</w:t>
      </w:r>
      <w:hyperlink r:id="rId11737">
        <w:r>
          <w:rPr>
            <w:color w:val="0000EE"/>
            <w:u w:val="single"/>
          </w:rPr>
          <w:t>Lc 23.16</w:t>
        </w:r>
      </w:hyperlink>
      <w:r>
        <w:t>). Cela ne satisfera toutefois pas les accusateurs de Jésus, qui insisteront sur l'accusation d'insurrection, menaçant de dénoncer Pilate à l'empereur s'il ne condamnait pas Jésus. Pilate, qui n'avait pas eu un grand succès en tant que gouverneur, craignait les plaintes officielles concernant son administration, et la menace a donc fonctionné. Il a condamné Jésus à être crucifié, avec pour chef d'accusation le fait d'être roi des Juifs. La lourde flagellation qui a précédé la Crucifixion n'était jamais une punition seule, mais accompagnait fréquemment d'autres châtiments. Une autre caractéristique de la pratique légale romaine illustrée dans les Évangiles était le partage des vêtements de Jésus parmi les soldats ; les bourreaux étaient autorisés à garder de tels effets personnels comme avantage en nature.</w:t>
      </w:r>
    </w:p>
    <w:p>
      <w:pPr>
        <w:pStyle w:val="Heading4"/>
      </w:pPr>
      <w:r>
        <w:t>Les Procès de l’apôtre Paul</w:t>
      </w:r>
    </w:p>
    <w:p>
      <w:r/>
      <w:r>
        <w:t>Les procès de Paul notés dans le livre des Actes reflètent également la division entre l'autorité juive et romaine en matière juridique. Lors de son arrestation, Paul a eu une audience préliminaire devant le Sanhédrin (</w:t>
      </w:r>
      <w:hyperlink r:id="rId14614">
        <w:r>
          <w:rPr>
            <w:color w:val="0000EE"/>
            <w:u w:val="single"/>
          </w:rPr>
          <w:t>Ac 23</w:t>
        </w:r>
      </w:hyperlink>
      <w:r>
        <w:t>). Il a ensuite été transféré au gouverneur pour un procès formel à Césarée, le quartier général habituel du gouverneur. Il y a été jugé devant Félix, qui a ajourné l'affaire pendant deux ans jusqu'à ce qu'un nouveau gouverneur soit nommé. Luc rapporte que Félix (un autre gouverneur impopulaire) a agi ainsi pour plaire aux Juifs, mais il était assez courant que les gouverneurs laissent des affaires pour être traitées par leurs successeurs.</w:t>
      </w:r>
    </w:p>
    <w:p>
      <w:r/>
      <w:r>
        <w:t>Lorsqu'arrive Festus, le nouveau gouverneur, il suggère que Paul soit jugé à Jérusalem. Paul, ne désirant pas être jugé là-bas, exercera alors son droit en tant que citoyen romain d'être jugé à Rome devant l'empereur (</w:t>
      </w:r>
      <w:hyperlink r:id="rId14615">
        <w:r>
          <w:rPr>
            <w:color w:val="0000EE"/>
            <w:u w:val="single"/>
          </w:rPr>
          <w:t>Ac 25.1–20</w:t>
        </w:r>
      </w:hyperlink>
      <w:r>
        <w:t>). Le reste du livre des Actes raconte comment Paul finit par atteindre Rome, devant attendre deux ans de plus avant que son affaire ne soit entendue. Aucun détail du procès de Paul à Rome n'est connu, mais Néron, qui était empereur lorsque Paul y arrive, a jugé très peu de procès lui-même. Il a nommé des juges pour traiter des affaires d'appel comme celle de Paul. Il est donc peu probable que Paul ait été réellement jugé par Néron.</w:t>
      </w:r>
    </w:p>
    <w:p>
      <w:r/>
      <w:r>
        <w:t>Le droit de faire appel à l'empereur n'était pas le seul droit légal dont jouissaient les citoyens romains. Ils étaient également protégés contre le fait d'être battus sans procès, un droit affirmé par Paul à Philippes et à Jérusalem (</w:t>
      </w:r>
      <w:hyperlink r:id="rId2726">
        <w:r>
          <w:rPr>
            <w:color w:val="0000EE"/>
            <w:u w:val="single"/>
          </w:rPr>
          <w:t>Ac 16.37</w:t>
        </w:r>
      </w:hyperlink>
      <w:r>
        <w:t xml:space="preserve"> ; </w:t>
      </w:r>
      <w:hyperlink r:id="rId2730">
        <w:r>
          <w:rPr>
            <w:color w:val="0000EE"/>
            <w:u w:val="single"/>
          </w:rPr>
          <w:t>22.24–29</w:t>
        </w:r>
      </w:hyperlink>
      <w:r>
        <w:t>).</w:t>
      </w:r>
    </w:p>
    <w:p>
      <w:r/>
      <w:r>
        <w:rPr>
          <w:i/>
        </w:rPr>
        <w:t>Voir aussi</w:t>
      </w:r>
      <w:r>
        <w:t xml:space="preserve"> </w:t>
      </w:r>
      <w:r>
        <w:t>Vengeur du sang</w:t>
      </w:r>
      <w:r>
        <w:t xml:space="preserve"> ; </w:t>
      </w:r>
      <w:r>
        <w:t>Villes de refuge</w:t>
      </w:r>
      <w:r>
        <w:t xml:space="preserve"> ; </w:t>
      </w:r>
      <w:r>
        <w:t>Droit civil et justice</w:t>
      </w:r>
      <w:r>
        <w:t xml:space="preserve"> ; </w:t>
      </w:r>
      <w:r>
        <w:t>Droit pénal et punition</w:t>
      </w:r>
      <w:r>
        <w:t xml:space="preserve"> ; </w:t>
      </w:r>
      <w:r>
        <w:t>Sanhédrin</w:t>
      </w:r>
      <w:r>
        <w:t>.</w:t>
      </w:r>
      <w:r/>
      <w:r/>
    </w:p>
    <w:p>
      <w:r/>
    </w:p>
    <w:p>
      <w:pPr>
        <w:pStyle w:val="Heading2"/>
      </w:pPr>
      <w:r>
        <w:t>Troas</w:t>
      </w:r>
      <w:r/>
    </w:p>
    <w:p>
      <w:r/>
      <w:r>
        <w:t xml:space="preserve">Ville antique qui était située en Turquie actuelle. Elle se trouvait à 15 km au sud de Troie. Troie était célèbre à cause de la guerre de Troie, décrite par le poète antique Homère. Tant Troie que Troas ont été construites sur une zone appelée la plaine de Troade, qui s'étendait sur environ 15 km le long de la mer. L'apôtre Paul a voyagé de Troas vers la Macédoine après avoir reçu une vision dans laquelle un homme disait : « </w:t>
      </w:r>
      <w:r>
        <w:t>Passe en Macédoine, secours-nous</w:t>
      </w:r>
      <w:r>
        <w:t xml:space="preserve"> » (</w:t>
      </w:r>
      <w:hyperlink r:id="rId14616">
        <w:r>
          <w:rPr>
            <w:color w:val="0000EE"/>
            <w:u w:val="single"/>
          </w:rPr>
          <w:t>Ac 16.9</w:t>
        </w:r>
      </w:hyperlink>
      <w:r>
        <w:t>).</w:t>
      </w:r>
    </w:p>
    <w:p>
      <w:pPr>
        <w:pStyle w:val="Heading3"/>
      </w:pPr>
      <w:r>
        <w:t>Histoire antique</w:t>
      </w:r>
    </w:p>
    <w:p>
      <w:r/>
      <w:r>
        <w:t>C'est vers 300 av. J.‑C. que le roi séleucide Antigone fonde la ville et la nomme d'après lui-même. Plus tard, le nom de la ville changera pour Alexandrie Troas en l'honneur d'Alexandre le Grand, qui était passé par Troas à la poursuite des Perses. La ville deviendra une colonie romaine lorsque le pouvoir romain a remplacé les Grecs. Selon certains experts, Jules César envisageait d'établir Troas comme sa capitale orientale. Plus tard, Constantin le Grand prévoira, dans un premier temps, d'en faire sa capitale, avant d'opter pour Byzance (Constantinople).</w:t>
      </w:r>
    </w:p>
    <w:p>
      <w:pPr>
        <w:pStyle w:val="Heading3"/>
      </w:pPr>
      <w:r>
        <w:t>Les Visites de Paul à Troas</w:t>
      </w:r>
    </w:p>
    <w:p>
      <w:r/>
      <w:r>
        <w:t>Troas était un port maritime important à l'époque de Paul, car c'était la route la plus facile et la plus courte de l'Asie à l'Europe.</w:t>
      </w:r>
    </w:p>
    <w:p>
      <w:r/>
      <w:r>
        <w:t xml:space="preserve">Lors du deuxième voyage missionnaire, Paul et Silas arriveront à Troas, « </w:t>
      </w:r>
      <w:r>
        <w:t>Ayant été empêchés par le Saint-Esprit d’annoncer la parole dans l’Asie</w:t>
      </w:r>
      <w:r>
        <w:t xml:space="preserve"> » (</w:t>
      </w:r>
      <w:hyperlink r:id="rId5881">
        <w:r>
          <w:rPr>
            <w:color w:val="0000EE"/>
            <w:u w:val="single"/>
          </w:rPr>
          <w:t>Ac 16.6</w:t>
        </w:r>
      </w:hyperlink>
      <w:r>
        <w:t xml:space="preserve">). Ce voyage en Europe n'est pas souligné dans les Actes. Cependant, de nombreux experts pensent que ce court voyage a eu une grande importance historique. Ils comparent son importance à l'invasion de la Grande-Bretagne par Jules César. Après cette vision, Paul et Silas quitteront Troas et passeront par l'île de Samothrace. Ils débarqueront ensuite à Néapolis (l'actuelle Kavalla), leur première escale en Europe (v. </w:t>
      </w:r>
      <w:hyperlink r:id="rId8229">
        <w:r>
          <w:rPr>
            <w:color w:val="0000EE"/>
            <w:u w:val="single"/>
          </w:rPr>
          <w:t>11</w:t>
        </w:r>
      </w:hyperlink>
      <w:r>
        <w:t>).</w:t>
      </w:r>
    </w:p>
    <w:p>
      <w:r/>
      <w:r>
        <w:t>Quelqu'un a dû établir une Église à Troas. En effet, Paul ayant terminé sa mission à Éphèse est resté pour prêcher l'Évangile à Troas (</w:t>
      </w:r>
      <w:hyperlink r:id="rId14617">
        <w:r>
          <w:rPr>
            <w:color w:val="0000EE"/>
            <w:u w:val="single"/>
          </w:rPr>
          <w:t>2Co 2.12</w:t>
        </w:r>
      </w:hyperlink>
      <w:r>
        <w:t>). En route pour Jérusalem pour la dernière fois, Paul s'arrêtera à Troas et il y prêchera jusqu'après minuit. Un des jeunes hommes s'est assoupi dans un profond sommeil, pour ensuite subir une chute fatale depuis la fenêtre. Paul le ressuscitera, avant de continuer à enseigner jusqu'au matin (</w:t>
      </w:r>
      <w:hyperlink r:id="rId7718">
        <w:r>
          <w:rPr>
            <w:color w:val="0000EE"/>
            <w:u w:val="single"/>
          </w:rPr>
          <w:t>Ac 20.6–12</w:t>
        </w:r>
      </w:hyperlink>
      <w:r>
        <w:t>).</w:t>
      </w:r>
    </w:p>
    <w:p>
      <w:r/>
      <w:r>
        <w:t>Paul rendra de nouveau visite à Troas. Il semble que c'est à ce moment-là qu'il y a été arrêté. Il laissera derrière lui un manteau et des documents. Dans sa deuxième lettre à Timothée, Paul lui demande d'acheminer ces objets vers sa prison à Rome (</w:t>
      </w:r>
      <w:hyperlink r:id="rId8301">
        <w:r>
          <w:rPr>
            <w:color w:val="0000EE"/>
            <w:u w:val="single"/>
          </w:rPr>
          <w:t>2Tm 4.13</w:t>
        </w:r>
      </w:hyperlink>
      <w:r>
        <w:t>).</w:t>
      </w:r>
      <w:r/>
      <w:r/>
    </w:p>
    <w:p>
      <w:r/>
    </w:p>
    <w:p>
      <w:pPr>
        <w:pStyle w:val="Heading2"/>
      </w:pPr>
      <w:r>
        <w:t>Trogyllium</w:t>
      </w:r>
      <w:r/>
    </w:p>
    <w:p>
      <w:r/>
      <w:r>
        <w:t xml:space="preserve">Trogyllium est une zone rocheuse dans la mer entre l'île de Samos et la ville de Milet. Dans </w:t>
      </w:r>
      <w:hyperlink r:id="rId13480">
        <w:r>
          <w:rPr>
            <w:color w:val="0000EE"/>
            <w:u w:val="single"/>
          </w:rPr>
          <w:t>Actes 20.15</w:t>
        </w:r>
      </w:hyperlink>
      <w:r>
        <w:t>, certaines copies anciennes de la Bible mentionnent que le navire de Paul s'est arrêté à cet endroit lors de son voyage vers Jérusalem, près de la fin de son troisième voyage missionnaire. Étant donné que Trogyllium est une langue de terre qui s'avance dans la mer entre Samos et Milet, il serait raisonnable qu'un navire à voile s'y soit arrêté pour la nuit.</w:t>
      </w:r>
    </w:p>
    <w:p>
      <w:r/>
      <w:r>
        <w:t>Cependant, la plupart des experts qui étudient les manuscrits anciens de la Bible estiment que la phrase « après être resté à Trogyllium » a été ajoutée plus tard au texte biblique et ne faisait pas partie du manuscrit original.</w:t>
      </w:r>
      <w:r/>
      <w:r/>
    </w:p>
    <w:p>
      <w:r/>
    </w:p>
    <w:p>
      <w:pPr>
        <w:pStyle w:val="Heading2"/>
      </w:pPr>
      <w:r>
        <w:t>Trois Tavernes, Les</w:t>
      </w:r>
      <w:r/>
    </w:p>
    <w:p>
      <w:r/>
      <w:r>
        <w:t>Lieu où les chrétiens sont venus rencontrer l'apôtre Paul lors de son arrivée à Rome (</w:t>
      </w:r>
      <w:hyperlink r:id="rId1458">
        <w:r>
          <w:rPr>
            <w:color w:val="0000EE"/>
            <w:u w:val="single"/>
          </w:rPr>
          <w:t>Ac 28.15</w:t>
        </w:r>
      </w:hyperlink>
      <w:r>
        <w:t>), situé sur la Voie Appienne située à la borne trente-trois (50 km). Le Forum d'Appius se trouvait à 15 km plus au sud le long de la même route. Le site des Trois Tavernes se trouvait près de la Cisterna actuelle. C'était un important carrefour entre la Voie Appienne et la route d'Antium à Norba. Ce lieu est ainsi devenu un point de rencontre fréquent pour les voyageurs.</w:t>
      </w:r>
      <w:r/>
      <w:r/>
    </w:p>
    <w:p>
      <w:r/>
    </w:p>
    <w:p>
      <w:pPr>
        <w:pStyle w:val="Heading2"/>
      </w:pPr>
      <w:r>
        <w:t>Trône</w:t>
      </w:r>
      <w:r/>
    </w:p>
    <w:p>
      <w:r/>
      <w:r>
        <w:t xml:space="preserve">Fauteuil élevé et cérémonial qui symbolise l'importance et l'autorité de son occupant. Au fur et à mesure que le mot « trône » se répandait, il est devenu un symbole de royauté et a fini par signifier le royaume lui-même. Lorsque Pharaon fait de Joseph le vice-roi, il dit : « </w:t>
      </w:r>
      <w:r>
        <w:t>Le trône seul m’élèvera au-dessus de toi</w:t>
      </w:r>
      <w:r>
        <w:t xml:space="preserve"> » (</w:t>
      </w:r>
      <w:hyperlink r:id="rId10013">
        <w:r>
          <w:rPr>
            <w:color w:val="0000EE"/>
            <w:u w:val="single"/>
          </w:rPr>
          <w:t>Gn 41.40</w:t>
        </w:r>
      </w:hyperlink>
      <w:r>
        <w:t>). L'établissement de David comme roi d'Israël équivalait à l'établissement du trône de David (</w:t>
      </w:r>
      <w:hyperlink r:id="rId10015">
        <w:r>
          <w:rPr>
            <w:color w:val="0000EE"/>
            <w:u w:val="single"/>
          </w:rPr>
          <w:t>2S 3.10</w:t>
        </w:r>
      </w:hyperlink>
      <w:r>
        <w:t>). Occuper le trône indiquait la succession à la royauté (</w:t>
      </w:r>
      <w:hyperlink r:id="rId14618">
        <w:r>
          <w:rPr>
            <w:color w:val="0000EE"/>
            <w:u w:val="single"/>
          </w:rPr>
          <w:t>1R 1.46</w:t>
        </w:r>
      </w:hyperlink>
      <w:r>
        <w:t>).</w:t>
      </w:r>
    </w:p>
    <w:p>
      <w:r/>
      <w:r>
        <w:t>Un seul trône est décrit en détail dans l'Ancien Testament : celui de Salomon (</w:t>
      </w:r>
      <w:hyperlink r:id="rId14619">
        <w:r>
          <w:rPr>
            <w:color w:val="0000EE"/>
            <w:u w:val="single"/>
          </w:rPr>
          <w:t>1R 10.18–20</w:t>
        </w:r>
      </w:hyperlink>
      <w:r>
        <w:t xml:space="preserve"> ; </w:t>
      </w:r>
      <w:hyperlink r:id="rId14620">
        <w:r>
          <w:rPr>
            <w:color w:val="0000EE"/>
            <w:u w:val="single"/>
          </w:rPr>
          <w:t>2Ch 9.17–19</w:t>
        </w:r>
      </w:hyperlink>
      <w:r>
        <w:t>). La description qui en est faite, ainsi que des monuments anciens montrent des trônes. Ils suggèrent l'apparence du trône d'Israël : un siège surélevé avec six marches y menant, en partie fait d'ivoire et recouvert d'or. Le trône avait un dossier et des accoudoirs. Il y avait des statues de lions à côté et six statues similaires de chaque côté des marches. Bien que non mentionné dans la description de l'Ancien Testament, un repose-pieds était une partie indispensable du trône (</w:t>
      </w:r>
      <w:hyperlink r:id="rId14621">
        <w:r>
          <w:rPr>
            <w:color w:val="0000EE"/>
            <w:u w:val="single"/>
          </w:rPr>
          <w:t>Es 66.1</w:t>
        </w:r>
      </w:hyperlink>
      <w:r>
        <w:t>).</w:t>
      </w:r>
    </w:p>
    <w:p>
      <w:r/>
      <w:r>
        <w:t xml:space="preserve">Le terme hébreu </w:t>
      </w:r>
      <w:r>
        <w:rPr>
          <w:i/>
        </w:rPr>
        <w:t>kisseh</w:t>
      </w:r>
      <w:r>
        <w:t xml:space="preserve"> est utilisé pour désigner le siège d'honneur de toute personne distinguée :</w:t>
      </w:r>
    </w:p>
    <w:p>
      <w:pPr>
        <w:pStyle w:val="ListBullet"/>
        <w:spacing w:line="240" w:lineRule="auto"/>
        <w:ind w:left="720"/>
      </w:pPr>
      <w:r/>
      <w:r>
        <w:t>Un prêtre (</w:t>
      </w:r>
      <w:hyperlink r:id="rId2764">
        <w:r>
          <w:rPr>
            <w:color w:val="0000EE"/>
            <w:u w:val="single"/>
          </w:rPr>
          <w:t>1S 4.13, 18</w:t>
        </w:r>
      </w:hyperlink>
      <w:r>
        <w:t>)</w:t>
      </w:r>
    </w:p>
    <w:p>
      <w:pPr>
        <w:pStyle w:val="ListBullet"/>
        <w:spacing w:line="240" w:lineRule="auto"/>
        <w:ind w:left="720"/>
      </w:pPr>
      <w:r/>
      <w:r>
        <w:t>Un dirigeant (</w:t>
      </w:r>
      <w:hyperlink r:id="rId14622">
        <w:r>
          <w:rPr>
            <w:color w:val="0000EE"/>
            <w:u w:val="single"/>
          </w:rPr>
          <w:t>Ps 94.20</w:t>
        </w:r>
      </w:hyperlink>
      <w:r>
        <w:t>)</w:t>
      </w:r>
    </w:p>
    <w:p>
      <w:pPr>
        <w:pStyle w:val="ListBullet"/>
        <w:spacing w:line="240" w:lineRule="auto"/>
        <w:ind w:left="720"/>
      </w:pPr>
      <w:r/>
      <w:r>
        <w:t>Un officier militaire (</w:t>
      </w:r>
      <w:hyperlink r:id="rId14623">
        <w:r>
          <w:rPr>
            <w:color w:val="0000EE"/>
            <w:u w:val="single"/>
          </w:rPr>
          <w:t>Jr 1.15</w:t>
        </w:r>
      </w:hyperlink>
      <w:r>
        <w:t>)</w:t>
      </w:r>
    </w:p>
    <w:p>
      <w:pPr>
        <w:pStyle w:val="ListBullet"/>
        <w:spacing w:line="240" w:lineRule="auto"/>
        <w:ind w:left="720"/>
      </w:pPr>
      <w:r/>
      <w:r>
        <w:t>Un invité privilégié (</w:t>
      </w:r>
      <w:hyperlink r:id="rId14624">
        <w:r>
          <w:rPr>
            <w:color w:val="0000EE"/>
            <w:u w:val="single"/>
          </w:rPr>
          <w:t>2R 4.10</w:t>
        </w:r>
      </w:hyperlink>
      <w:r>
        <w:t>)</w:t>
      </w:r>
    </w:p>
    <w:p>
      <w:r/>
      <w:r>
        <w:t>Il se réfère principalement au siège d'un roi à partir duquel il gouvernait. L'Ancien Testament mentionne les trônes de rois étrangers (</w:t>
      </w:r>
      <w:hyperlink r:id="rId10014">
        <w:r>
          <w:rPr>
            <w:color w:val="0000EE"/>
            <w:u w:val="single"/>
          </w:rPr>
          <w:t>Ex 11.5</w:t>
        </w:r>
      </w:hyperlink>
      <w:r>
        <w:t xml:space="preserve"> ; </w:t>
      </w:r>
      <w:hyperlink r:id="rId14625">
        <w:r>
          <w:rPr>
            <w:color w:val="0000EE"/>
            <w:u w:val="single"/>
          </w:rPr>
          <w:t>Jr 43.10</w:t>
        </w:r>
      </w:hyperlink>
      <w:r>
        <w:t xml:space="preserve"> ; </w:t>
      </w:r>
      <w:hyperlink r:id="rId2204">
        <w:r>
          <w:rPr>
            <w:color w:val="0000EE"/>
            <w:u w:val="single"/>
          </w:rPr>
          <w:t>Jon 3.6</w:t>
        </w:r>
      </w:hyperlink>
      <w:r>
        <w:t>). Il met particulièrement l'accent sur le trône d'Israël et le trône de David.</w:t>
      </w:r>
    </w:p>
    <w:p>
      <w:r/>
      <w:r>
        <w:t>Le Dieu d'Israël est décrit métaphoriquement comme étant assis sur un trône (</w:t>
      </w:r>
      <w:hyperlink r:id="rId14621">
        <w:r>
          <w:rPr>
            <w:color w:val="0000EE"/>
            <w:u w:val="single"/>
          </w:rPr>
          <w:t>Es 66.1</w:t>
        </w:r>
      </w:hyperlink>
      <w:r>
        <w:t>). De nombreux prophètes décrivent des visions de Dieu sur un trône :</w:t>
      </w:r>
    </w:p>
    <w:p>
      <w:pPr>
        <w:pStyle w:val="ListBullet"/>
        <w:spacing w:line="240" w:lineRule="auto"/>
        <w:ind w:left="720"/>
      </w:pPr>
      <w:r/>
      <w:r>
        <w:t>Michée (</w:t>
      </w:r>
      <w:hyperlink r:id="rId5196">
        <w:r>
          <w:rPr>
            <w:color w:val="0000EE"/>
            <w:u w:val="single"/>
          </w:rPr>
          <w:t>1R 22.19</w:t>
        </w:r>
      </w:hyperlink>
      <w:r>
        <w:t>).</w:t>
      </w:r>
    </w:p>
    <w:p>
      <w:pPr>
        <w:pStyle w:val="ListBullet"/>
        <w:spacing w:line="240" w:lineRule="auto"/>
        <w:ind w:left="720"/>
      </w:pPr>
      <w:r/>
      <w:r>
        <w:t>Ésaïe (</w:t>
      </w:r>
      <w:hyperlink r:id="rId14626">
        <w:r>
          <w:rPr>
            <w:color w:val="0000EE"/>
            <w:u w:val="single"/>
          </w:rPr>
          <w:t>Es 6.1–3</w:t>
        </w:r>
      </w:hyperlink>
      <w:r>
        <w:t>).</w:t>
      </w:r>
    </w:p>
    <w:p>
      <w:pPr>
        <w:pStyle w:val="ListBullet"/>
        <w:spacing w:line="240" w:lineRule="auto"/>
        <w:ind w:left="720"/>
      </w:pPr>
      <w:r/>
      <w:r>
        <w:t>Ézéchiel (</w:t>
      </w:r>
      <w:hyperlink r:id="rId14627">
        <w:r>
          <w:rPr>
            <w:color w:val="0000EE"/>
            <w:u w:val="single"/>
          </w:rPr>
          <w:t>Ez 1.4–28</w:t>
        </w:r>
      </w:hyperlink>
      <w:r>
        <w:t xml:space="preserve"> ; </w:t>
      </w:r>
      <w:hyperlink r:id="rId2480">
        <w:r>
          <w:rPr>
            <w:color w:val="0000EE"/>
            <w:u w:val="single"/>
          </w:rPr>
          <w:t>10.1</w:t>
        </w:r>
      </w:hyperlink>
      <w:r>
        <w:t>).</w:t>
      </w:r>
    </w:p>
    <w:p>
      <w:pPr>
        <w:pStyle w:val="ListBullet"/>
        <w:spacing w:line="240" w:lineRule="auto"/>
        <w:ind w:left="720"/>
      </w:pPr>
      <w:r/>
      <w:r>
        <w:t>Daniel (</w:t>
      </w:r>
      <w:hyperlink r:id="rId14628">
        <w:r>
          <w:rPr>
            <w:color w:val="0000EE"/>
            <w:u w:val="single"/>
          </w:rPr>
          <w:t>Dn 7.9–10</w:t>
        </w:r>
      </w:hyperlink>
      <w:r>
        <w:t>).</w:t>
      </w:r>
    </w:p>
    <w:p>
      <w:r/>
      <w:r>
        <w:t xml:space="preserve">Plus tard, la vision du trône de Dieu par Ézéchiel aura eu une grande importance dans le « mysticisme du trône » juif. Dans </w:t>
      </w:r>
      <w:hyperlink r:id="rId14629">
        <w:r>
          <w:rPr>
            <w:color w:val="0000EE"/>
            <w:u w:val="single"/>
          </w:rPr>
          <w:t>Apocalypse 4</w:t>
        </w:r>
      </w:hyperlink>
      <w:r>
        <w:t>, le trône de Dieu est flanqué des vingt-quatre trônes des anciens. Un arc-en-ciel d'émeraude et sept lampes l'entourent. Une mer de cristal se trouve devant, avec quatre créatures vivantes de chaque côté.</w:t>
      </w:r>
    </w:p>
    <w:p>
      <w:r/>
      <w:r>
        <w:t>Le trône de Dieu se trouve généralement au ciel (</w:t>
      </w:r>
      <w:hyperlink r:id="rId273">
        <w:r>
          <w:rPr>
            <w:color w:val="0000EE"/>
            <w:u w:val="single"/>
          </w:rPr>
          <w:t>Ps 11.4</w:t>
        </w:r>
      </w:hyperlink>
      <w:r>
        <w:t xml:space="preserve"> ; </w:t>
      </w:r>
      <w:hyperlink r:id="rId14630">
        <w:r>
          <w:rPr>
            <w:color w:val="0000EE"/>
            <w:u w:val="single"/>
          </w:rPr>
          <w:t>Mt 5.34</w:t>
        </w:r>
      </w:hyperlink>
      <w:r>
        <w:t>). Cependant, le trône de Dieu est aussi décrit comme étant dans :</w:t>
      </w:r>
    </w:p>
    <w:p>
      <w:pPr>
        <w:pStyle w:val="ListBullet"/>
        <w:spacing w:line="240" w:lineRule="auto"/>
        <w:ind w:left="720"/>
      </w:pPr>
      <w:r/>
      <w:r>
        <w:t>Jérusalem (</w:t>
      </w:r>
      <w:hyperlink r:id="rId14631">
        <w:r>
          <w:rPr>
            <w:color w:val="0000EE"/>
            <w:u w:val="single"/>
          </w:rPr>
          <w:t>Jr 3.17</w:t>
        </w:r>
      </w:hyperlink>
      <w:r>
        <w:t>)</w:t>
      </w:r>
    </w:p>
    <w:p>
      <w:pPr>
        <w:pStyle w:val="ListBullet"/>
        <w:spacing w:line="240" w:lineRule="auto"/>
        <w:ind w:left="720"/>
      </w:pPr>
      <w:r/>
      <w:r>
        <w:t>Le temple (</w:t>
      </w:r>
      <w:hyperlink r:id="rId14632">
        <w:r>
          <w:rPr>
            <w:color w:val="0000EE"/>
            <w:u w:val="single"/>
          </w:rPr>
          <w:t>Ez 43.6–7</w:t>
        </w:r>
      </w:hyperlink>
      <w:r>
        <w:t>)</w:t>
      </w:r>
    </w:p>
    <w:p>
      <w:pPr>
        <w:pStyle w:val="ListBullet"/>
        <w:spacing w:line="240" w:lineRule="auto"/>
        <w:ind w:left="720"/>
      </w:pPr>
      <w:r/>
      <w:r>
        <w:t>Israël (</w:t>
      </w:r>
      <w:hyperlink r:id="rId14633">
        <w:r>
          <w:rPr>
            <w:color w:val="0000EE"/>
            <w:u w:val="single"/>
          </w:rPr>
          <w:t>Jr 14.21</w:t>
        </w:r>
      </w:hyperlink>
      <w:r>
        <w:t>)</w:t>
      </w:r>
    </w:p>
    <w:p>
      <w:r/>
      <w:r>
        <w:t>Le concept du trône de Christ est rare dans l'Ancien Testament (</w:t>
      </w:r>
      <w:hyperlink r:id="rId3622">
        <w:r>
          <w:rPr>
            <w:color w:val="0000EE"/>
            <w:u w:val="single"/>
          </w:rPr>
          <w:t>Es 9.7</w:t>
        </w:r>
      </w:hyperlink>
      <w:r>
        <w:t xml:space="preserve"> ; </w:t>
      </w:r>
      <w:hyperlink r:id="rId14634">
        <w:r>
          <w:rPr>
            <w:color w:val="0000EE"/>
            <w:u w:val="single"/>
          </w:rPr>
          <w:t>Jr 17.25</w:t>
        </w:r>
      </w:hyperlink>
      <w:r>
        <w:t>) mais courant dans le Nouveau Testament (</w:t>
      </w:r>
      <w:hyperlink r:id="rId977">
        <w:r>
          <w:rPr>
            <w:color w:val="0000EE"/>
            <w:u w:val="single"/>
          </w:rPr>
          <w:t>Lc 1.32</w:t>
        </w:r>
      </w:hyperlink>
      <w:r>
        <w:t xml:space="preserve"> ; </w:t>
      </w:r>
      <w:hyperlink r:id="rId12986">
        <w:r>
          <w:rPr>
            <w:color w:val="0000EE"/>
            <w:u w:val="single"/>
          </w:rPr>
          <w:t>Ac 2.30</w:t>
        </w:r>
      </w:hyperlink>
      <w:r>
        <w:t>). Ce trône symbolise la royauté et l'autorité de Christ.</w:t>
      </w:r>
      <w:r/>
      <w:r/>
    </w:p>
    <w:p>
      <w:r/>
    </w:p>
    <w:p>
      <w:pPr>
        <w:pStyle w:val="Heading2"/>
      </w:pPr>
      <w:r>
        <w:t>Trône du jugement</w:t>
      </w:r>
      <w:r/>
    </w:p>
    <w:p>
      <w:r/>
      <w:r>
        <w:t>Le lieu devant lequel les gens rendront compte de leur vie à Dieu.</w:t>
      </w:r>
    </w:p>
    <w:p>
      <w:pPr>
        <w:pStyle w:val="Heading3"/>
      </w:pPr>
      <w:r>
        <w:t>Dans l’Ancien Testament</w:t>
      </w:r>
    </w:p>
    <w:p>
      <w:r/>
      <w:r>
        <w:t>Le concept du jugement divin dans le Nouveau Testament provient de l'Ancien Testament. Dans l'Ancien Testament, Dieu est perçu comme le Juge du monde entier, et en particulier de son propre peuple.</w:t>
      </w:r>
    </w:p>
    <w:p>
      <w:r/>
      <w:r>
        <w:t xml:space="preserve">Quand Abraham a demandé à Dieu d'épargner la ville de Sodome, il a parlé de Dieu comme de « </w:t>
      </w:r>
      <w:r>
        <w:t>Celui qui juge toute la terre</w:t>
      </w:r>
      <w:r>
        <w:t xml:space="preserve"> » (</w:t>
      </w:r>
      <w:hyperlink r:id="rId8019">
        <w:r>
          <w:rPr>
            <w:color w:val="0000EE"/>
            <w:u w:val="single"/>
          </w:rPr>
          <w:t>Gn 18.25</w:t>
        </w:r>
      </w:hyperlink>
      <w:r>
        <w:t xml:space="preserve">). Le rôle de Moïse en tant que juge sur les Israélites était basé sur la croyance que Dieu rendait des jugements à travers lui. Une relation similaire existait entre Dieu et les juges qui ont dirigé Israël après la conquête de la terre promise. Cette compréhension de Dieu comme Juge est clairement visible dans le message de Jephté au roi d'Ammon : « </w:t>
      </w:r>
      <w:r>
        <w:t>Que l’Éternel, le juge, soit aujourd’hui juge entre les enfants d’Israël et les fils d’Ammon</w:t>
      </w:r>
      <w:r>
        <w:t xml:space="preserve"> </w:t>
      </w:r>
      <w:r>
        <w:t>!</w:t>
      </w:r>
      <w:r>
        <w:t xml:space="preserve"> » (</w:t>
      </w:r>
      <w:hyperlink r:id="rId7956">
        <w:r>
          <w:rPr>
            <w:color w:val="0000EE"/>
            <w:u w:val="single"/>
          </w:rPr>
          <w:t>Jg 11.27</w:t>
        </w:r>
      </w:hyperlink>
      <w:r>
        <w:t>) Quand Dieu a appelé Samuel, il lui a dit que c'est lui (Dieu) qui jugerait la maison d'Éli.</w:t>
      </w:r>
    </w:p>
    <w:p>
      <w:r/>
      <w:r>
        <w:t xml:space="preserve">L'idée de Dieu en tant que Juge de son peuple est courante dans les Psaumes et les Prophètes. Dans </w:t>
      </w:r>
      <w:hyperlink r:id="rId14635">
        <w:r>
          <w:rPr>
            <w:color w:val="0000EE"/>
            <w:u w:val="single"/>
          </w:rPr>
          <w:t>Psaume 9.4</w:t>
        </w:r>
      </w:hyperlink>
      <w:r>
        <w:t xml:space="preserve">, David dit au sujet de Dieu : « </w:t>
      </w:r>
      <w:r>
        <w:t>Car tu soutiens mon droit et ma cause, Tu sièges sur ton trône en juste juge</w:t>
      </w:r>
      <w:r>
        <w:t>. » Il poursuit : « L’Éternel règne à jamais, Il a dressé son trône pour le jugement ; Il juge le monde avec justice, Il juge les peuples avec droiture » (</w:t>
      </w:r>
      <w:hyperlink r:id="rId14636">
        <w:r>
          <w:rPr>
            <w:color w:val="0000EE"/>
            <w:u w:val="single"/>
          </w:rPr>
          <w:t>Psaume 9.7–8</w:t>
        </w:r>
      </w:hyperlink>
      <w:r>
        <w:t>). Ésaïe décrit un temps futur où Dieu jugera les nations (</w:t>
      </w:r>
      <w:hyperlink r:id="rId14637">
        <w:r>
          <w:rPr>
            <w:color w:val="0000EE"/>
            <w:u w:val="single"/>
          </w:rPr>
          <w:t>Es 2.4</w:t>
        </w:r>
      </w:hyperlink>
      <w:r>
        <w:t>). Joël a également parlé de Dieu en tant que Juge des nations (</w:t>
      </w:r>
      <w:hyperlink r:id="rId14638">
        <w:r>
          <w:rPr>
            <w:color w:val="0000EE"/>
            <w:u w:val="single"/>
          </w:rPr>
          <w:t>Jl 3.12</w:t>
        </w:r>
      </w:hyperlink>
      <w:r>
        <w:t>).</w:t>
      </w:r>
    </w:p>
    <w:p>
      <w:pPr>
        <w:pStyle w:val="Heading3"/>
      </w:pPr>
      <w:r>
        <w:t>Dans le Nouveau Testament</w:t>
      </w:r>
    </w:p>
    <w:p>
      <w:r/>
      <w:r>
        <w:t xml:space="preserve">Ces déclarations de l'Ancien Testament forment le contexte pour comprendre ce que dit le Nouveau Testament concernant le tribunal de Dieu ou de Christ. L'image d'un tribunal provient de la pratique romaine où le jugement avait lieu sur une plateforme (en grec, </w:t>
      </w:r>
      <w:r>
        <w:rPr>
          <w:i/>
        </w:rPr>
        <w:t>bema</w:t>
      </w:r>
      <w:r>
        <w:t>) ou tribunal, à partir de laquelle un juge entendait et décidait des affaires. Voilà pourquoi la plupart des références du Nouveau Testament à un trône du jugement apparaissent lorsque Jésus ou l'apôtre Paul était traîné pour comparaître devant une autorité dirigeante. Pilate, par exemple, s'est assis sur son trône de jugement (ou tribunal) lorsqu'il a jugé Jésus (</w:t>
      </w:r>
      <w:hyperlink r:id="rId1738">
        <w:r>
          <w:rPr>
            <w:color w:val="0000EE"/>
            <w:u w:val="single"/>
          </w:rPr>
          <w:t>Mt 27.19</w:t>
        </w:r>
      </w:hyperlink>
      <w:r>
        <w:t xml:space="preserve"> ; voir </w:t>
      </w:r>
      <w:hyperlink r:id="rId1739">
        <w:r>
          <w:rPr>
            <w:color w:val="0000EE"/>
            <w:u w:val="single"/>
          </w:rPr>
          <w:t>Jn 19.13</w:t>
        </w:r>
      </w:hyperlink>
      <w:r>
        <w:t xml:space="preserve"> ; </w:t>
      </w:r>
      <w:hyperlink r:id="rId328">
        <w:r>
          <w:rPr>
            <w:color w:val="0000EE"/>
            <w:u w:val="single"/>
          </w:rPr>
          <w:t>Ac 18.12, 16–17</w:t>
        </w:r>
      </w:hyperlink>
      <w:r>
        <w:t xml:space="preserve"> ; </w:t>
      </w:r>
      <w:hyperlink r:id="rId5550">
        <w:r>
          <w:rPr>
            <w:color w:val="0000EE"/>
            <w:u w:val="single"/>
          </w:rPr>
          <w:t>25.6, 10, 17</w:t>
        </w:r>
      </w:hyperlink>
      <w:r>
        <w:t>).</w:t>
      </w:r>
    </w:p>
    <w:p>
      <w:r/>
      <w:r>
        <w:t xml:space="preserve">Deux passages dans le Nouveau Testament parlent directement du trône de jugement (ou tribunal) de Dieu ou de Christ : </w:t>
      </w:r>
      <w:hyperlink r:id="rId1742">
        <w:r>
          <w:rPr>
            <w:color w:val="0000EE"/>
            <w:u w:val="single"/>
          </w:rPr>
          <w:t>Romains 14.10</w:t>
        </w:r>
      </w:hyperlink>
      <w:r>
        <w:t xml:space="preserve"> et </w:t>
      </w:r>
      <w:hyperlink r:id="rId1743">
        <w:r>
          <w:rPr>
            <w:color w:val="0000EE"/>
            <w:u w:val="single"/>
          </w:rPr>
          <w:t>2 Corinthiens 5.10</w:t>
        </w:r>
      </w:hyperlink>
      <w:r>
        <w:t xml:space="preserve">. Dans </w:t>
      </w:r>
      <w:hyperlink r:id="rId1742">
        <w:r>
          <w:rPr>
            <w:color w:val="0000EE"/>
            <w:u w:val="single"/>
          </w:rPr>
          <w:t>Romains 14.10</w:t>
        </w:r>
      </w:hyperlink>
      <w:r>
        <w:t xml:space="preserve">, Paul aborde la question urgente de l'unité au sein de l'Église : une unité basée sur l'acceptation aimante de ceux qui ont des opinions différentes sur la manière dont la foi influence la vie quotidienne. Paul exhorte les chrétiens juifs et gentils à s'accepter mutuellement malgré les différences concernant la consommation de certains aliments et l'observation de certains jours. Il leur rappelle que tous doivent finalement se tenir devant le tribunal de Dieu pour rendre compte de leur vie. Puisque Dieu est le Juge ultime, les chrétiens ne devraient pas se juger les uns les autres. De même, dans </w:t>
      </w:r>
      <w:hyperlink r:id="rId13163">
        <w:r>
          <w:rPr>
            <w:color w:val="0000EE"/>
            <w:u w:val="single"/>
          </w:rPr>
          <w:t>2 Corinthiens 5</w:t>
        </w:r>
      </w:hyperlink>
      <w:r>
        <w:t>, Paul explique pourquoi les chrétiens s'efforcent de plaire au Seigneur : tous doivent comparaître devant le tribunal de Christ pour être récompensés pour leurs actes. Le tribunal de Christ ou de Dieu représente donc la responsabilité ultime du chrétien.</w:t>
      </w:r>
    </w:p>
    <w:p>
      <w:r/>
      <w:r>
        <w:rPr>
          <w:i/>
        </w:rPr>
        <w:t>Voir aussi</w:t>
      </w:r>
      <w:r>
        <w:t xml:space="preserve"> </w:t>
      </w:r>
      <w:r>
        <w:t>Bema</w:t>
      </w:r>
      <w:r>
        <w:t xml:space="preserve"> ; </w:t>
      </w:r>
      <w:r>
        <w:t>Jugement</w:t>
      </w:r>
      <w:r>
        <w:t xml:space="preserve"> ; </w:t>
      </w:r>
      <w:r>
        <w:t>Jugement dernier</w:t>
      </w:r>
      <w:r>
        <w:t xml:space="preserve"> ; </w:t>
      </w:r>
      <w:r>
        <w:t>Seconde venue du Christ</w:t>
      </w:r>
      <w:r>
        <w:t>.</w:t>
      </w:r>
      <w:r/>
      <w:r/>
    </w:p>
    <w:p>
      <w:r/>
    </w:p>
    <w:p>
      <w:pPr>
        <w:pStyle w:val="Heading2"/>
      </w:pPr>
      <w:r>
        <w:t>Trophime</w:t>
      </w:r>
      <w:r/>
    </w:p>
    <w:p>
      <w:r/>
      <w:r>
        <w:t>Chrétien de la province d'Asie qui a accompagné Paul lors de son dernier voyage à Jérusalem (</w:t>
      </w:r>
      <w:hyperlink r:id="rId1302">
        <w:r>
          <w:rPr>
            <w:color w:val="0000EE"/>
            <w:u w:val="single"/>
          </w:rPr>
          <w:t>Ac 20.4</w:t>
        </w:r>
      </w:hyperlink>
      <w:r>
        <w:t>). Certains Juifs avaient vu Trophime l'Éphésien avec Paul à Jérusalem. Ils ont présumé que c'est Paul qui l'avait amené dans le temple. Comme Trophime n'était pas juif, ils l'ont accusé de profaner le temple (</w:t>
      </w:r>
      <w:hyperlink r:id="rId14639">
        <w:r>
          <w:rPr>
            <w:color w:val="0000EE"/>
            <w:u w:val="single"/>
          </w:rPr>
          <w:t>21.28–29</w:t>
        </w:r>
      </w:hyperlink>
      <w:r>
        <w:t>). Cette fausse accusation est devenue le prétexte pour arrêter et emprisonner Paul.</w:t>
      </w:r>
    </w:p>
    <w:p>
      <w:r/>
      <w:r>
        <w:t>Trophime voyageait avec Paul comme représentant, parmi d'autres, de l'Église d'Asie. Il avait été choisi pour superviser la collecte pour l'Église de Jérusalem. Trophime était sans doute l'un des croyants qui a voyagé avec Tite pour livrer la deuxième lettre aux Corinthiens (</w:t>
      </w:r>
      <w:hyperlink r:id="rId3165">
        <w:r>
          <w:rPr>
            <w:color w:val="0000EE"/>
            <w:u w:val="single"/>
          </w:rPr>
          <w:t>2Co 8.16–24</w:t>
        </w:r>
      </w:hyperlink>
      <w:r>
        <w:t xml:space="preserve">). Selon </w:t>
      </w:r>
      <w:hyperlink r:id="rId4862">
        <w:r>
          <w:rPr>
            <w:color w:val="0000EE"/>
            <w:u w:val="single"/>
          </w:rPr>
          <w:t>2 Timothée 4.20</w:t>
        </w:r>
      </w:hyperlink>
      <w:r>
        <w:t>, Trophime a accompagné Paul avant son dernier emprisonnement à Rome. Mais ensuite, Trophime restera à Milet à cause d'une maladie. La tradition suggère que l'empereur Néron avait ordonné que Trophime soit tué en lui coupant la tête.</w:t>
      </w:r>
      <w:r/>
      <w:r/>
    </w:p>
    <w:p>
      <w:r/>
    </w:p>
    <w:p>
      <w:pPr>
        <w:pStyle w:val="Heading2"/>
      </w:pPr>
      <w:r>
        <w:t>Tseboïm</w:t>
      </w:r>
      <w:r/>
    </w:p>
    <w:p>
      <w:pPr>
        <w:pStyle w:val="ListNumber"/>
        <w:spacing w:line="240" w:lineRule="auto"/>
        <w:ind w:left="720"/>
      </w:pPr>
      <w:r/>
      <w:r>
        <w:t>Une des « villes de la plaine » qui a été détruite avec Sodome et Gomorrhe (</w:t>
      </w:r>
      <w:hyperlink r:id="rId332">
        <w:r>
          <w:rPr>
            <w:color w:val="0000EE"/>
            <w:u w:val="single"/>
          </w:rPr>
          <w:t>Dt 29.23</w:t>
        </w:r>
      </w:hyperlink>
      <w:r>
        <w:t xml:space="preserve"> ; </w:t>
      </w:r>
      <w:hyperlink r:id="rId14640">
        <w:r>
          <w:rPr>
            <w:color w:val="0000EE"/>
            <w:u w:val="single"/>
          </w:rPr>
          <w:t>Os 11.8</w:t>
        </w:r>
      </w:hyperlink>
      <w:r>
        <w:t xml:space="preserve">). Tseboïm est mentionnée pour la première fois, avec Sodome, Gomorrhe et Adma, comme l'une des villes cananéennes dans la « Table des nations » dans </w:t>
      </w:r>
      <w:hyperlink r:id="rId330">
        <w:r>
          <w:rPr>
            <w:color w:val="0000EE"/>
            <w:u w:val="single"/>
          </w:rPr>
          <w:t>Genèse 10.19</w:t>
        </w:r>
      </w:hyperlink>
      <w:r>
        <w:t>. Elle apparaît plus tard confédérée avec les mêmes états (y compris Tsoar) dans la bataille contre Amraphel roi de Schinear, Arjoc roi d'Ellasar, Kedorlaomer roi d'Élam, et Tideal roi de Gojim (</w:t>
      </w:r>
      <w:hyperlink r:id="rId331">
        <w:r>
          <w:rPr>
            <w:color w:val="0000EE"/>
            <w:u w:val="single"/>
          </w:rPr>
          <w:t>Gn 14.2, 8</w:t>
        </w:r>
      </w:hyperlink>
      <w:r>
        <w:t xml:space="preserve">). </w:t>
      </w:r>
      <w:r>
        <w:rPr>
          <w:i/>
        </w:rPr>
        <w:t>Voir aussi</w:t>
      </w:r>
      <w:r>
        <w:t xml:space="preserve"> </w:t>
      </w:r>
      <w:r>
        <w:t>Villes de la plaine</w:t>
      </w:r>
      <w:r>
        <w:t>.</w:t>
      </w:r>
    </w:p>
    <w:p>
      <w:pPr>
        <w:pStyle w:val="ListNumber"/>
        <w:spacing w:line="240" w:lineRule="auto"/>
        <w:ind w:left="720"/>
      </w:pPr>
      <w:r/>
      <w:r>
        <w:t>Vallée où l'un des groupes de raid des Philistins s'est tourné vers la frontière du désert (</w:t>
      </w:r>
      <w:hyperlink r:id="rId14641">
        <w:r>
          <w:rPr>
            <w:color w:val="0000EE"/>
            <w:u w:val="single"/>
          </w:rPr>
          <w:t>1S 13.18</w:t>
        </w:r>
      </w:hyperlink>
      <w:r>
        <w:t>). Elle peut être identifiée avec Shuk ed-Dubba.</w:t>
      </w:r>
    </w:p>
    <w:p>
      <w:pPr>
        <w:pStyle w:val="ListNumber"/>
        <w:spacing w:line="240" w:lineRule="auto"/>
        <w:ind w:left="720"/>
      </w:pPr>
      <w:r/>
      <w:r>
        <w:t>Un des villages à l'extérieur de Jérusalem où les Benjaminites se sont installés après l'exil (</w:t>
      </w:r>
      <w:hyperlink r:id="rId14642">
        <w:r>
          <w:rPr>
            <w:color w:val="0000EE"/>
            <w:u w:val="single"/>
          </w:rPr>
          <w:t>Né 11.34</w:t>
        </w:r>
      </w:hyperlink>
      <w:r>
        <w:t>).</w:t>
      </w:r>
      <w:r/>
      <w:r/>
    </w:p>
    <w:p>
      <w:r/>
    </w:p>
    <w:p>
      <w:pPr>
        <w:pStyle w:val="Heading2"/>
      </w:pPr>
      <w:r>
        <w:t>Tsemariens</w:t>
      </w:r>
      <w:r/>
    </w:p>
    <w:p>
      <w:r/>
      <w:r>
        <w:t xml:space="preserve">Une des familles des Cananéens dans les listes ethnologiques de </w:t>
      </w:r>
      <w:hyperlink r:id="rId4483">
        <w:r>
          <w:rPr>
            <w:color w:val="0000EE"/>
            <w:u w:val="single"/>
          </w:rPr>
          <w:t>Genèse 10</w:t>
        </w:r>
      </w:hyperlink>
      <w:r>
        <w:t xml:space="preserve"> (v. </w:t>
      </w:r>
      <w:hyperlink r:id="rId1323">
        <w:r>
          <w:rPr>
            <w:color w:val="0000EE"/>
            <w:u w:val="single"/>
          </w:rPr>
          <w:t>18</w:t>
        </w:r>
      </w:hyperlink>
      <w:r>
        <w:t xml:space="preserve">) et </w:t>
      </w:r>
      <w:hyperlink r:id="rId14643">
        <w:r>
          <w:rPr>
            <w:color w:val="0000EE"/>
            <w:u w:val="single"/>
          </w:rPr>
          <w:t>1 Chroniques 1</w:t>
        </w:r>
      </w:hyperlink>
      <w:r>
        <w:t xml:space="preserve"> (v. </w:t>
      </w:r>
      <w:hyperlink r:id="rId1324">
        <w:r>
          <w:rPr>
            <w:color w:val="0000EE"/>
            <w:u w:val="single"/>
          </w:rPr>
          <w:t>16</w:t>
        </w:r>
      </w:hyperlink>
      <w:r>
        <w:t xml:space="preserve">). Les </w:t>
      </w:r>
      <w:r>
        <w:t>Tsemariens</w:t>
      </w:r>
      <w:r>
        <w:t xml:space="preserve"> étaient une tribu hamitique mentionnée en relation avec les Arvadiens et les Hamathiens. Ils étaient probablement situés près de la Méditerranée, dans les environs de Tripoli.</w:t>
      </w:r>
      <w:r/>
      <w:r/>
    </w:p>
    <w:p>
      <w:r/>
    </w:p>
    <w:p>
      <w:pPr>
        <w:pStyle w:val="Heading2"/>
      </w:pPr>
      <w:r>
        <w:t>Tsilla</w:t>
      </w:r>
      <w:r/>
    </w:p>
    <w:p>
      <w:r/>
      <w:r>
        <w:t>Deuxième épouse de Lémec et mère de Tubal-Caïn et Naama (</w:t>
      </w:r>
      <w:hyperlink r:id="rId14644">
        <w:r>
          <w:rPr>
            <w:color w:val="0000EE"/>
            <w:u w:val="single"/>
          </w:rPr>
          <w:t>Gn 4.19–23</w:t>
        </w:r>
      </w:hyperlink>
      <w:r>
        <w:t>).</w:t>
      </w:r>
      <w:r/>
      <w:r/>
    </w:p>
    <w:p>
      <w:r/>
    </w:p>
    <w:p>
      <w:pPr>
        <w:pStyle w:val="Heading2"/>
      </w:pPr>
      <w:r>
        <w:t>Tsin, Désert de</w:t>
      </w:r>
      <w:r/>
    </w:p>
    <w:p>
      <w:r/>
      <w:r>
        <w:t>Le désert de Tsin est une région située dans la partie nord de la péninsule du Sinaï. Différent du désert de Sin, qui se trouve dans la partie sud de la péninsule.</w:t>
      </w:r>
    </w:p>
    <w:p>
      <w:r/>
      <w:r>
        <w:t>Le désert de Tsin est l'une des quatre ou cinq zones de « désert » situées dans la péninsule du Sinaï. Les autres zones désertiques sont :</w:t>
      </w:r>
    </w:p>
    <w:p>
      <w:pPr>
        <w:pStyle w:val="ListBullet"/>
        <w:spacing w:line="240" w:lineRule="auto"/>
        <w:ind w:left="720"/>
      </w:pPr>
      <w:r/>
      <w:r>
        <w:t>Le désert de Paran (</w:t>
      </w:r>
      <w:hyperlink r:id="rId14346">
        <w:r>
          <w:rPr>
            <w:color w:val="0000EE"/>
            <w:u w:val="single"/>
          </w:rPr>
          <w:t>Gn 21.21</w:t>
        </w:r>
      </w:hyperlink>
      <w:r>
        <w:t>)</w:t>
      </w:r>
    </w:p>
    <w:p>
      <w:pPr>
        <w:pStyle w:val="ListBullet"/>
        <w:spacing w:line="240" w:lineRule="auto"/>
        <w:ind w:left="720"/>
      </w:pPr>
      <w:r/>
      <w:r>
        <w:t>Le désert de Schur (</w:t>
      </w:r>
      <w:hyperlink r:id="rId5294">
        <w:r>
          <w:rPr>
            <w:color w:val="0000EE"/>
            <w:u w:val="single"/>
          </w:rPr>
          <w:t>Ex 15.22</w:t>
        </w:r>
      </w:hyperlink>
      <w:r>
        <w:t>)</w:t>
      </w:r>
    </w:p>
    <w:p>
      <w:pPr>
        <w:pStyle w:val="ListBullet"/>
        <w:spacing w:line="240" w:lineRule="auto"/>
        <w:ind w:left="720"/>
      </w:pPr>
      <w:r/>
      <w:r>
        <w:t>Le désert de Sinaï (</w:t>
      </w:r>
      <w:hyperlink r:id="rId10234">
        <w:r>
          <w:rPr>
            <w:color w:val="0000EE"/>
            <w:u w:val="single"/>
          </w:rPr>
          <w:t>Nb 9.1</w:t>
        </w:r>
      </w:hyperlink>
      <w:r>
        <w:t>)</w:t>
      </w:r>
    </w:p>
    <w:p>
      <w:pPr>
        <w:pStyle w:val="ListBullet"/>
        <w:spacing w:line="240" w:lineRule="auto"/>
        <w:ind w:left="720"/>
      </w:pPr>
      <w:r/>
      <w:r>
        <w:t>Le désert de Sin (</w:t>
      </w:r>
      <w:hyperlink r:id="rId14645">
        <w:r>
          <w:rPr>
            <w:color w:val="0000EE"/>
            <w:u w:val="single"/>
          </w:rPr>
          <w:t>Nb 33.11</w:t>
        </w:r>
      </w:hyperlink>
      <w:r>
        <w:t>)</w:t>
      </w:r>
    </w:p>
    <w:p>
      <w:r/>
      <w:r>
        <w:t>Les limites précises de ces zones sauvages ne sont pas clairement définies. Il est probable que certaines de ces zones se chevauchent.</w:t>
      </w:r>
    </w:p>
    <w:p>
      <w:r/>
      <w:r>
        <w:t>Le désert de Tsin est associé au village de Tsin (</w:t>
      </w:r>
      <w:hyperlink r:id="rId14646">
        <w:r>
          <w:rPr>
            <w:color w:val="0000EE"/>
            <w:u w:val="single"/>
          </w:rPr>
          <w:t>Nb 34.4</w:t>
        </w:r>
      </w:hyperlink>
      <w:r>
        <w:t>). Cette région sauvage était située :</w:t>
      </w:r>
    </w:p>
    <w:p>
      <w:pPr>
        <w:pStyle w:val="ListBullet"/>
        <w:spacing w:line="240" w:lineRule="auto"/>
        <w:ind w:left="720"/>
      </w:pPr>
      <w:r/>
      <w:r>
        <w:t>À l’ouest d’Édom</w:t>
      </w:r>
    </w:p>
    <w:p>
      <w:pPr>
        <w:pStyle w:val="ListBullet"/>
        <w:spacing w:line="240" w:lineRule="auto"/>
        <w:ind w:left="720"/>
      </w:pPr>
      <w:r/>
      <w:r>
        <w:t>Au sud-ouest de la mer Morte</w:t>
      </w:r>
    </w:p>
    <w:p>
      <w:pPr>
        <w:pStyle w:val="ListBullet"/>
        <w:spacing w:line="240" w:lineRule="auto"/>
        <w:ind w:left="720"/>
      </w:pPr>
      <w:r/>
      <w:r>
        <w:t>Au sud de Juda</w:t>
      </w:r>
    </w:p>
    <w:p>
      <w:r/>
      <w:r>
        <w:t>Dans cette région aride se trouvaient quatre grandes sources ou oasis, y compris Kadès-Barnéa. Les Israélites ont passé la majeure partie de leurs trente-huit années dans le désert de Sinaï dans cette région sauvage.</w:t>
      </w:r>
    </w:p>
    <w:p>
      <w:r/>
      <w:r>
        <w:t>Plusieurs événements importants de la Bible se sont déroulés dans le désert de Tsin :</w:t>
      </w:r>
    </w:p>
    <w:p>
      <w:pPr>
        <w:pStyle w:val="ListBullet"/>
        <w:spacing w:line="240" w:lineRule="auto"/>
        <w:ind w:left="720"/>
      </w:pPr>
      <w:r/>
      <w:r>
        <w:t>Depuis le désert de Tsin, les espions ont été envoyés pour explorer le pays de Canaan (</w:t>
      </w:r>
      <w:hyperlink r:id="rId14647">
        <w:r>
          <w:rPr>
            <w:color w:val="0000EE"/>
            <w:u w:val="single"/>
          </w:rPr>
          <w:t>Nb 13.1–26</w:t>
        </w:r>
      </w:hyperlink>
      <w:r>
        <w:t xml:space="preserve"> ; </w:t>
      </w:r>
      <w:hyperlink r:id="rId10237">
        <w:r>
          <w:rPr>
            <w:color w:val="0000EE"/>
            <w:u w:val="single"/>
          </w:rPr>
          <w:t>32.8</w:t>
        </w:r>
      </w:hyperlink>
      <w:r>
        <w:t>).</w:t>
      </w:r>
    </w:p>
    <w:p>
      <w:pPr>
        <w:pStyle w:val="ListBullet"/>
        <w:spacing w:line="240" w:lineRule="auto"/>
        <w:ind w:left="720"/>
      </w:pPr>
      <w:r/>
      <w:r>
        <w:t>Les personnes qui se sont rebellées contre Dieu ont été condamnées à mourir dans ce désert à cause de leur incrédulité (</w:t>
      </w:r>
      <w:hyperlink r:id="rId14648">
        <w:r>
          <w:rPr>
            <w:color w:val="0000EE"/>
            <w:u w:val="single"/>
          </w:rPr>
          <w:t>Nb 14.22–23</w:t>
        </w:r>
      </w:hyperlink>
      <w:r>
        <w:t>).</w:t>
      </w:r>
    </w:p>
    <w:p>
      <w:pPr>
        <w:pStyle w:val="ListBullet"/>
        <w:spacing w:line="240" w:lineRule="auto"/>
        <w:ind w:left="720"/>
      </w:pPr>
      <w:r/>
      <w:r>
        <w:t>Moïse y a péché en ne donnant pas à Dieu le crédit pour avoir fait jaillir l'eau du rocher (</w:t>
      </w:r>
      <w:hyperlink r:id="rId14649">
        <w:r>
          <w:rPr>
            <w:color w:val="0000EE"/>
            <w:u w:val="single"/>
          </w:rPr>
          <w:t>Nb 20.1–13</w:t>
        </w:r>
      </w:hyperlink>
      <w:r>
        <w:t xml:space="preserve"> ; </w:t>
      </w:r>
      <w:hyperlink r:id="rId14650">
        <w:r>
          <w:rPr>
            <w:color w:val="0000EE"/>
            <w:u w:val="single"/>
          </w:rPr>
          <w:t>27.14</w:t>
        </w:r>
      </w:hyperlink>
      <w:r>
        <w:t>).</w:t>
      </w:r>
    </w:p>
    <w:p>
      <w:pPr>
        <w:pStyle w:val="ListBullet"/>
        <w:spacing w:line="240" w:lineRule="auto"/>
        <w:ind w:left="720"/>
      </w:pPr>
      <w:r/>
      <w:r>
        <w:t>Miriam, la sœur de Moïse, y est morte et y a été enterrée (</w:t>
      </w:r>
      <w:hyperlink r:id="rId8042">
        <w:r>
          <w:rPr>
            <w:color w:val="0000EE"/>
            <w:u w:val="single"/>
          </w:rPr>
          <w:t>Nb 20.1</w:t>
        </w:r>
      </w:hyperlink>
      <w:r>
        <w:t>).</w:t>
      </w:r>
    </w:p>
    <w:p>
      <w:r/>
      <w:r>
        <w:t xml:space="preserve">La Bible décrit cette région comme le « </w:t>
      </w:r>
      <w:r>
        <w:t>grand et affreux désert</w:t>
      </w:r>
      <w:r>
        <w:t xml:space="preserve"> » (</w:t>
      </w:r>
      <w:hyperlink r:id="rId9368">
        <w:r>
          <w:rPr>
            <w:color w:val="0000EE"/>
            <w:u w:val="single"/>
          </w:rPr>
          <w:t>Dt 1.19</w:t>
        </w:r>
      </w:hyperlink>
      <w:r>
        <w:t xml:space="preserve"> ; </w:t>
      </w:r>
      <w:hyperlink r:id="rId14651">
        <w:r>
          <w:rPr>
            <w:color w:val="0000EE"/>
            <w:u w:val="single"/>
          </w:rPr>
          <w:t>8.15</w:t>
        </w:r>
      </w:hyperlink>
      <w:r>
        <w:t>).</w:t>
      </w:r>
    </w:p>
    <w:p>
      <w:r/>
      <w:r>
        <w:rPr>
          <w:i/>
        </w:rPr>
        <w:t>Voir aussi</w:t>
      </w:r>
      <w:r>
        <w:t xml:space="preserve"> </w:t>
      </w:r>
      <w:r>
        <w:t>Errances dans le désert</w:t>
      </w:r>
      <w:r>
        <w:t>.</w:t>
      </w:r>
      <w:r/>
      <w:r/>
    </w:p>
    <w:p>
      <w:r/>
    </w:p>
    <w:p>
      <w:pPr>
        <w:pStyle w:val="Heading2"/>
      </w:pPr>
      <w:r>
        <w:t>Tsoar</w:t>
      </w:r>
      <w:r/>
    </w:p>
    <w:p>
      <w:r/>
      <w:r>
        <w:t>Une des « villes de la plaine » confédérée avec Sodome, Gomorrhe, Adma et Tseboïm (</w:t>
      </w:r>
      <w:hyperlink r:id="rId331">
        <w:r>
          <w:rPr>
            <w:color w:val="0000EE"/>
            <w:u w:val="single"/>
          </w:rPr>
          <w:t>Gn 14.2, 8</w:t>
        </w:r>
      </w:hyperlink>
      <w:r>
        <w:t>). Tsoar, également connue sous son ancien nom Béla, est surtout connue comme la ville qui a servi de refuge temporaire à Lot et ses filles lors de la destruction de Sodome et des autres villes de la plaine (</w:t>
      </w:r>
      <w:hyperlink r:id="rId14652">
        <w:r>
          <w:rPr>
            <w:color w:val="0000EE"/>
            <w:u w:val="single"/>
          </w:rPr>
          <w:t>19.22–23, 30</w:t>
        </w:r>
      </w:hyperlink>
      <w:r>
        <w:t xml:space="preserve">). Bien que Tsoar ait été manifestement une petite ville (v. </w:t>
      </w:r>
      <w:hyperlink r:id="rId14653">
        <w:r>
          <w:rPr>
            <w:color w:val="0000EE"/>
            <w:u w:val="single"/>
          </w:rPr>
          <w:t>22</w:t>
        </w:r>
      </w:hyperlink>
      <w:r>
        <w:t xml:space="preserve"> ; Tsoar signifie « petite »), ce lieu était manifestement considéré comme un point de repère géographique important dans les temps anciens. Lorsqu'Abraham et Lot ont divisé le pays, Lot a choisi le terrain proche de Tsoar (</w:t>
      </w:r>
      <w:hyperlink r:id="rId9159">
        <w:r>
          <w:rPr>
            <w:color w:val="0000EE"/>
            <w:u w:val="single"/>
          </w:rPr>
          <w:t>13.10</w:t>
        </w:r>
      </w:hyperlink>
      <w:r>
        <w:t>). Lorsque Moïse a examiné la Terre Promise depuis le mont Pisga, Tsoar était considérée comme le terminus sud de la plaine de la vallée de Jéricho (</w:t>
      </w:r>
      <w:hyperlink r:id="rId7147">
        <w:r>
          <w:rPr>
            <w:color w:val="0000EE"/>
            <w:u w:val="single"/>
          </w:rPr>
          <w:t>Dt 34.3</w:t>
        </w:r>
      </w:hyperlink>
      <w:r>
        <w:t>). Pendant la période prophétique, Tsoar était manifestement considérée comme étant à la frontière sud de Moab (</w:t>
      </w:r>
      <w:hyperlink r:id="rId14654">
        <w:r>
          <w:rPr>
            <w:color w:val="0000EE"/>
            <w:u w:val="single"/>
          </w:rPr>
          <w:t>Es 15.5</w:t>
        </w:r>
      </w:hyperlink>
      <w:r>
        <w:t xml:space="preserve"> ; </w:t>
      </w:r>
      <w:hyperlink r:id="rId14655">
        <w:r>
          <w:rPr>
            <w:color w:val="0000EE"/>
            <w:u w:val="single"/>
          </w:rPr>
          <w:t>Jr 48.4, 34</w:t>
        </w:r>
      </w:hyperlink>
      <w:r>
        <w:t>).</w:t>
      </w:r>
    </w:p>
    <w:p>
      <w:r/>
      <w:r>
        <w:rPr>
          <w:i/>
        </w:rPr>
        <w:t>Voir aussi</w:t>
      </w:r>
      <w:r>
        <w:t xml:space="preserve"> </w:t>
      </w:r>
      <w:r>
        <w:t>Villes de la plaine</w:t>
      </w:r>
      <w:r>
        <w:t>.</w:t>
      </w:r>
      <w:r/>
      <w:r/>
    </w:p>
    <w:p>
      <w:r/>
    </w:p>
    <w:p>
      <w:pPr>
        <w:pStyle w:val="Heading2"/>
      </w:pPr>
      <w:r>
        <w:t>Tsochar</w:t>
      </w:r>
      <w:r/>
    </w:p>
    <w:p>
      <w:pPr>
        <w:pStyle w:val="ListNumber"/>
        <w:spacing w:line="240" w:lineRule="auto"/>
        <w:ind w:left="720"/>
      </w:pPr>
      <w:r/>
      <w:r>
        <w:t>Père d'Éphron le Hittite. C'est à Éphron qu'Abraham a acheté la grotte de Macpéla (</w:t>
      </w:r>
      <w:hyperlink r:id="rId14656">
        <w:r>
          <w:rPr>
            <w:color w:val="0000EE"/>
            <w:u w:val="single"/>
          </w:rPr>
          <w:t>Gn 23.7–9</w:t>
        </w:r>
      </w:hyperlink>
      <w:r>
        <w:t xml:space="preserve"> ; </w:t>
      </w:r>
      <w:hyperlink r:id="rId4845">
        <w:r>
          <w:rPr>
            <w:color w:val="0000EE"/>
            <w:u w:val="single"/>
          </w:rPr>
          <w:t>25.9</w:t>
        </w:r>
      </w:hyperlink>
      <w:r>
        <w:t>).</w:t>
      </w:r>
    </w:p>
    <w:p>
      <w:pPr>
        <w:pStyle w:val="ListNumber"/>
        <w:spacing w:line="240" w:lineRule="auto"/>
        <w:ind w:left="720"/>
      </w:pPr>
      <w:r/>
      <w:r>
        <w:t xml:space="preserve">Orthographe alternative de Zérach, fils de Siméon, dans </w:t>
      </w:r>
      <w:hyperlink r:id="rId7091">
        <w:r>
          <w:rPr>
            <w:color w:val="0000EE"/>
            <w:u w:val="single"/>
          </w:rPr>
          <w:t>Genèse 46.10</w:t>
        </w:r>
      </w:hyperlink>
      <w:r>
        <w:t xml:space="preserve"> et </w:t>
      </w:r>
      <w:hyperlink r:id="rId7092">
        <w:r>
          <w:rPr>
            <w:color w:val="0000EE"/>
            <w:u w:val="single"/>
          </w:rPr>
          <w:t>Exode 6.15</w:t>
        </w:r>
      </w:hyperlink>
      <w:r>
        <w:t>.</w:t>
      </w:r>
    </w:p>
    <w:p>
      <w:r/>
      <w:r>
        <w:rPr>
          <w:i/>
        </w:rPr>
        <w:t>Voir</w:t>
      </w:r>
      <w:r>
        <w:t xml:space="preserve"> </w:t>
      </w:r>
      <w:r>
        <w:t>Zérach n° 3</w:t>
      </w:r>
      <w:r>
        <w:t>.</w:t>
      </w:r>
    </w:p>
    <w:p>
      <w:pPr>
        <w:pStyle w:val="ListNumber"/>
        <w:spacing w:line="240" w:lineRule="auto"/>
        <w:ind w:left="720"/>
      </w:pPr>
      <w:r/>
      <w:r>
        <w:t xml:space="preserve">Orthographe alternative de Jitsehar dans </w:t>
      </w:r>
      <w:hyperlink r:id="rId14657">
        <w:r>
          <w:rPr>
            <w:color w:val="0000EE"/>
            <w:u w:val="single"/>
          </w:rPr>
          <w:t>1 Chroniques 4.7</w:t>
        </w:r>
      </w:hyperlink>
      <w:r>
        <w:t>.</w:t>
      </w:r>
      <w:r/>
      <w:r/>
    </w:p>
    <w:p>
      <w:r/>
    </w:p>
    <w:p>
      <w:pPr>
        <w:pStyle w:val="Heading2"/>
      </w:pPr>
      <w:r>
        <w:t>Tubal</w:t>
      </w:r>
      <w:r/>
    </w:p>
    <w:p>
      <w:r/>
      <w:r>
        <w:t>Cinquième des fils de Japhet listés dans la Table des nations (</w:t>
      </w:r>
      <w:hyperlink r:id="rId6069">
        <w:r>
          <w:rPr>
            <w:color w:val="0000EE"/>
            <w:u w:val="single"/>
          </w:rPr>
          <w:t>Gn 10.2</w:t>
        </w:r>
      </w:hyperlink>
      <w:r>
        <w:t xml:space="preserve"> ; </w:t>
      </w:r>
      <w:hyperlink r:id="rId6070">
        <w:r>
          <w:rPr>
            <w:color w:val="0000EE"/>
            <w:u w:val="single"/>
          </w:rPr>
          <w:t>1Ch 1.5</w:t>
        </w:r>
      </w:hyperlink>
      <w:r>
        <w:t>). Tubal prendra de l'importance dans les écrits prophétiques d'Ésaïe et d'Ézéchiel comme l'une des nations qui seraient jugées pour avoir menacé le peuple de Dieu (</w:t>
      </w:r>
      <w:hyperlink r:id="rId6096">
        <w:r>
          <w:rPr>
            <w:color w:val="0000EE"/>
            <w:u w:val="single"/>
          </w:rPr>
          <w:t>Es 66.19</w:t>
        </w:r>
      </w:hyperlink>
      <w:r>
        <w:t xml:space="preserve"> ; </w:t>
      </w:r>
      <w:hyperlink r:id="rId6097">
        <w:r>
          <w:rPr>
            <w:color w:val="0000EE"/>
            <w:u w:val="single"/>
          </w:rPr>
          <w:t>Ez 27.13</w:t>
        </w:r>
      </w:hyperlink>
      <w:r>
        <w:t xml:space="preserve"> ; </w:t>
      </w:r>
      <w:hyperlink r:id="rId9991">
        <w:r>
          <w:rPr>
            <w:color w:val="0000EE"/>
            <w:u w:val="single"/>
          </w:rPr>
          <w:t>32.26</w:t>
        </w:r>
      </w:hyperlink>
      <w:r>
        <w:t xml:space="preserve"> ; </w:t>
      </w:r>
      <w:hyperlink r:id="rId9992">
        <w:r>
          <w:rPr>
            <w:color w:val="0000EE"/>
            <w:u w:val="single"/>
          </w:rPr>
          <w:t>38.2–3</w:t>
        </w:r>
      </w:hyperlink>
      <w:r>
        <w:t xml:space="preserve"> ; </w:t>
      </w:r>
      <w:hyperlink r:id="rId9993">
        <w:r>
          <w:rPr>
            <w:color w:val="0000EE"/>
            <w:u w:val="single"/>
          </w:rPr>
          <w:t>39.1</w:t>
        </w:r>
      </w:hyperlink>
      <w:r>
        <w:t>). Tubal est généralement mentionné avec Javan et Méschec comme nation du nord, ou une nation des côtes (</w:t>
      </w:r>
      <w:hyperlink r:id="rId6096">
        <w:r>
          <w:rPr>
            <w:color w:val="0000EE"/>
            <w:u w:val="single"/>
          </w:rPr>
          <w:t>Es 66.19</w:t>
        </w:r>
      </w:hyperlink>
      <w:r>
        <w:t xml:space="preserve"> ; </w:t>
      </w:r>
      <w:hyperlink r:id="rId9386">
        <w:r>
          <w:rPr>
            <w:color w:val="0000EE"/>
            <w:u w:val="single"/>
          </w:rPr>
          <w:t>Ez 38.2</w:t>
        </w:r>
      </w:hyperlink>
      <w:r>
        <w:t>). Le fait que Tubal faisait commerce avec Tyr (</w:t>
      </w:r>
      <w:hyperlink r:id="rId6097">
        <w:r>
          <w:rPr>
            <w:color w:val="0000EE"/>
            <w:u w:val="single"/>
          </w:rPr>
          <w:t>Ez 27.13</w:t>
        </w:r>
      </w:hyperlink>
      <w:r>
        <w:t>) soutient l'hypothèse qu'il s'agissait d'une région côtière. Au-delà de ces preuves fragmentaires, il est difficile de déterminer l'identification ethnique précise ou l'emplacement de Tubal. Il a été identifié, à divers moments, avec les Scythes, les Ibères, la région entre la mer Noire et la mer Caspienne, la Thessalie et diverses tribus Hétiennes.</w:t>
      </w:r>
      <w:r/>
      <w:r/>
    </w:p>
    <w:p>
      <w:r/>
    </w:p>
    <w:p>
      <w:pPr>
        <w:pStyle w:val="Heading2"/>
      </w:pPr>
      <w:r>
        <w:t>Tubal-Caïn</w:t>
      </w:r>
      <w:r/>
    </w:p>
    <w:p>
      <w:r/>
      <w:r>
        <w:t>Fils de Lémec par sa femme Tsilla (</w:t>
      </w:r>
      <w:hyperlink r:id="rId1317">
        <w:r>
          <w:rPr>
            <w:color w:val="0000EE"/>
            <w:u w:val="single"/>
          </w:rPr>
          <w:t>Gn 4.22</w:t>
        </w:r>
      </w:hyperlink>
      <w:r>
        <w:t xml:space="preserve">). Il « </w:t>
      </w:r>
      <w:r>
        <w:t>forgeait tous les instruments d’airain et de fer</w:t>
      </w:r>
      <w:r>
        <w:t xml:space="preserve"> ». Bien que le texte ne prétende pas qu'il était le premier ou le « père » de tous les travailleurs du fer, de nombreux érudits pensent que le texte faisait à l'origine un parallèle avec les versets </w:t>
      </w:r>
      <w:hyperlink r:id="rId467">
        <w:r>
          <w:rPr>
            <w:color w:val="0000EE"/>
            <w:u w:val="single"/>
          </w:rPr>
          <w:t>20</w:t>
        </w:r>
      </w:hyperlink>
      <w:r>
        <w:t xml:space="preserve"> et </w:t>
      </w:r>
      <w:hyperlink r:id="rId6797">
        <w:r>
          <w:rPr>
            <w:color w:val="0000EE"/>
            <w:u w:val="single"/>
          </w:rPr>
          <w:t>21</w:t>
        </w:r>
      </w:hyperlink>
      <w:r>
        <w:t xml:space="preserve"> pour impliquer qu'il était le premier.</w:t>
      </w:r>
      <w:r/>
      <w:r/>
    </w:p>
    <w:p>
      <w:r/>
    </w:p>
    <w:p>
      <w:pPr>
        <w:pStyle w:val="Heading2"/>
      </w:pPr>
      <w:r>
        <w:t>Tyr</w:t>
      </w:r>
      <w:r/>
    </w:p>
    <w:p>
      <w:r/>
      <w:r>
        <w:t>Ancienne cité-État phénicienne qui fonctionnait comme un petit pays indépendant. Tyr est située sur la côte méditerranéenne à environ 32 kilomètres au sud de Sidon et 37 kilomètres au nord d'Acre. Tyr était constituée de deux zones principales :</w:t>
      </w:r>
    </w:p>
    <w:p>
      <w:pPr>
        <w:pStyle w:val="ListBullet"/>
        <w:spacing w:line="240" w:lineRule="auto"/>
        <w:ind w:left="720"/>
      </w:pPr>
      <w:r/>
      <w:r>
        <w:t>Une ancienne ville portuaire située sur le continent</w:t>
      </w:r>
    </w:p>
    <w:p>
      <w:pPr>
        <w:pStyle w:val="ListBullet"/>
        <w:spacing w:line="240" w:lineRule="auto"/>
        <w:ind w:left="720"/>
      </w:pPr>
      <w:r/>
      <w:r>
        <w:t>La ville principale, située sur une île à presque un kilomètre de la côte, où vivait la majorité de la population.</w:t>
      </w:r>
    </w:p>
    <w:p>
      <w:pPr>
        <w:pStyle w:val="Heading3"/>
      </w:pPr>
      <w:r>
        <w:t>Histoire de Tyr</w:t>
      </w:r>
    </w:p>
    <w:p>
      <w:r/>
      <w:r>
        <w:t>Selon l'historien grec Hérodote, Tyr a été fondée vers 2 700 av. J.‑C. Les premières références à Tyr se trouvent dans un texte ougaritique du 15</w:t>
      </w:r>
      <w:r>
        <w:rPr>
          <w:vertAlign w:val="superscript"/>
        </w:rPr>
        <w:t>e</w:t>
      </w:r>
      <w:r>
        <w:t xml:space="preserve"> siècle av. J.-C., ainsi que dans un texte égyptien similaire. Tyr est mentionnée pour la première fois dans la Bible dans la liste des villes faisant partie de l'héritage d'Aser (</w:t>
      </w:r>
      <w:hyperlink r:id="rId227">
        <w:r>
          <w:rPr>
            <w:color w:val="0000EE"/>
            <w:u w:val="single"/>
          </w:rPr>
          <w:t>Jos 19.29</w:t>
        </w:r>
      </w:hyperlink>
      <w:r>
        <w:t>). À cette époque, elle est décrite comme une « ville forte ». Elle n'a manifestement jamais été conquise par les Israélites (</w:t>
      </w:r>
      <w:hyperlink r:id="rId6461">
        <w:r>
          <w:rPr>
            <w:color w:val="0000EE"/>
            <w:u w:val="single"/>
          </w:rPr>
          <w:t>2S 24.7</w:t>
        </w:r>
      </w:hyperlink>
      <w:r>
        <w:t>). Tyr était surtout importante pour son commerce international. Son emplacement lui avait permis d'établir un puissant commerce maritime autour de la mer Méditerranée. Son commerce avec la Mésopotamie et l'Arabie par voies terrestres était également important.</w:t>
      </w:r>
    </w:p>
    <w:p>
      <w:pPr>
        <w:pStyle w:val="Heading3"/>
      </w:pPr>
      <w:r>
        <w:t>Les relations entre Tyr et Israël</w:t>
      </w:r>
    </w:p>
    <w:p>
      <w:r/>
      <w:r>
        <w:t>Durant les règnes de David et de Salomon, Tyr était un allié commercial puissant d'Israël. Les deux rois israélites ont fait commerce avec Hiram de Tyr. Israël a payé en produits agricoles l'achat de bois et de matériaux de construction et les services d'ouvriers qualifiés pour la construction du Temple et des maisons royales (</w:t>
      </w:r>
      <w:hyperlink r:id="rId2382">
        <w:r>
          <w:rPr>
            <w:color w:val="0000EE"/>
            <w:u w:val="single"/>
          </w:rPr>
          <w:t>2S 5.11</w:t>
        </w:r>
      </w:hyperlink>
      <w:r>
        <w:t xml:space="preserve"> ; </w:t>
      </w:r>
      <w:hyperlink r:id="rId14658">
        <w:r>
          <w:rPr>
            <w:color w:val="0000EE"/>
            <w:u w:val="single"/>
          </w:rPr>
          <w:t>1R 5.1–11</w:t>
        </w:r>
      </w:hyperlink>
      <w:r>
        <w:t xml:space="preserve"> ; </w:t>
      </w:r>
      <w:hyperlink r:id="rId2408">
        <w:r>
          <w:rPr>
            <w:color w:val="0000EE"/>
            <w:u w:val="single"/>
          </w:rPr>
          <w:t>1Ch 14.1</w:t>
        </w:r>
      </w:hyperlink>
      <w:r>
        <w:t xml:space="preserve"> ; </w:t>
      </w:r>
      <w:hyperlink r:id="rId14659">
        <w:r>
          <w:rPr>
            <w:color w:val="0000EE"/>
            <w:u w:val="single"/>
          </w:rPr>
          <w:t>2Ch 2.3</w:t>
        </w:r>
      </w:hyperlink>
      <w:hyperlink r:id="rId14658">
        <w:r>
          <w:rPr>
            <w:color w:val="0000EE"/>
            <w:u w:val="single"/>
          </w:rPr>
          <w:t>–</w:t>
        </w:r>
      </w:hyperlink>
      <w:hyperlink r:id="rId14659">
        <w:r>
          <w:rPr>
            <w:color w:val="0000EE"/>
            <w:u w:val="single"/>
          </w:rPr>
          <w:t>16</w:t>
        </w:r>
      </w:hyperlink>
      <w:r>
        <w:t>).</w:t>
      </w:r>
    </w:p>
    <w:p>
      <w:r/>
      <w:r>
        <w:t>Après la division d'Israël en deux royaumes, Tyr a cntinué à entretenir de bonnes relations avec Israël pendant un certain temps. Jézabel, la femme du roi Achab, était la fille d'« Ethbaal, roi des Sidoniens » (</w:t>
      </w:r>
      <w:hyperlink r:id="rId9617">
        <w:r>
          <w:rPr>
            <w:color w:val="0000EE"/>
            <w:u w:val="single"/>
          </w:rPr>
          <w:t>1R 16.31</w:t>
        </w:r>
      </w:hyperlink>
      <w:r>
        <w:t>). Ce roi est mentionné sous le nom d'Ithobaal de Tyr par l'ancien historien Ménandre. Plus tard, les expansions territoriales de l'Assyrie et de Babylone ont détruit l'alliance entre Tyr et Israël. Peu de temps après la chute de Samarie, Tyr et Israël sont devenus ennemis.</w:t>
      </w:r>
    </w:p>
    <w:p>
      <w:pPr>
        <w:pStyle w:val="Heading3"/>
      </w:pPr>
      <w:r>
        <w:t>Prophéties bibliques sur Tyr</w:t>
      </w:r>
    </w:p>
    <w:p>
      <w:r/>
      <w:r>
        <w:t>Tyr est fréquemment condamnée dans les prophètes (</w:t>
      </w:r>
      <w:hyperlink r:id="rId11986">
        <w:r>
          <w:rPr>
            <w:color w:val="0000EE"/>
            <w:u w:val="single"/>
          </w:rPr>
          <w:t>Es 23.1–18</w:t>
        </w:r>
      </w:hyperlink>
      <w:r>
        <w:t xml:space="preserve"> ; </w:t>
      </w:r>
      <w:hyperlink r:id="rId13922">
        <w:r>
          <w:rPr>
            <w:color w:val="0000EE"/>
            <w:u w:val="single"/>
          </w:rPr>
          <w:t>Jr 25.22</w:t>
        </w:r>
      </w:hyperlink>
      <w:r>
        <w:t xml:space="preserve"> ; </w:t>
      </w:r>
      <w:hyperlink r:id="rId14660">
        <w:r>
          <w:rPr>
            <w:color w:val="0000EE"/>
            <w:u w:val="single"/>
          </w:rPr>
          <w:t>27.1</w:t>
        </w:r>
      </w:hyperlink>
      <w:hyperlink r:id="rId11986">
        <w:r>
          <w:rPr>
            <w:color w:val="0000EE"/>
            <w:u w:val="single"/>
          </w:rPr>
          <w:t>–</w:t>
        </w:r>
      </w:hyperlink>
      <w:hyperlink r:id="rId14660">
        <w:r>
          <w:rPr>
            <w:color w:val="0000EE"/>
            <w:u w:val="single"/>
          </w:rPr>
          <w:t>11</w:t>
        </w:r>
      </w:hyperlink>
      <w:r>
        <w:t xml:space="preserve"> ; </w:t>
      </w:r>
      <w:hyperlink r:id="rId14661">
        <w:r>
          <w:rPr>
            <w:color w:val="0000EE"/>
            <w:u w:val="single"/>
          </w:rPr>
          <w:t>Ez 26.1</w:t>
        </w:r>
      </w:hyperlink>
      <w:hyperlink r:id="rId11986">
        <w:r>
          <w:rPr>
            <w:color w:val="0000EE"/>
            <w:u w:val="single"/>
          </w:rPr>
          <w:t>–</w:t>
        </w:r>
      </w:hyperlink>
      <w:hyperlink r:id="rId14661">
        <w:r>
          <w:rPr>
            <w:color w:val="0000EE"/>
            <w:u w:val="single"/>
          </w:rPr>
          <w:t>19</w:t>
        </w:r>
      </w:hyperlink>
      <w:r>
        <w:t xml:space="preserve"> ; </w:t>
      </w:r>
      <w:hyperlink r:id="rId4890">
        <w:r>
          <w:rPr>
            <w:color w:val="0000EE"/>
            <w:u w:val="single"/>
          </w:rPr>
          <w:t>Jl 3.4</w:t>
        </w:r>
      </w:hyperlink>
      <w:hyperlink r:id="rId11986">
        <w:r>
          <w:rPr>
            <w:color w:val="0000EE"/>
            <w:u w:val="single"/>
          </w:rPr>
          <w:t>–</w:t>
        </w:r>
      </w:hyperlink>
      <w:hyperlink r:id="rId4890">
        <w:r>
          <w:rPr>
            <w:color w:val="0000EE"/>
            <w:u w:val="single"/>
          </w:rPr>
          <w:t>8</w:t>
        </w:r>
      </w:hyperlink>
      <w:r>
        <w:t xml:space="preserve"> ; </w:t>
      </w:r>
      <w:hyperlink r:id="rId14662">
        <w:r>
          <w:rPr>
            <w:color w:val="0000EE"/>
            <w:u w:val="single"/>
          </w:rPr>
          <w:t>Am 1.9</w:t>
        </w:r>
      </w:hyperlink>
      <w:hyperlink r:id="rId11986">
        <w:r>
          <w:rPr>
            <w:color w:val="0000EE"/>
            <w:u w:val="single"/>
          </w:rPr>
          <w:t>–</w:t>
        </w:r>
      </w:hyperlink>
      <w:hyperlink r:id="rId14662">
        <w:r>
          <w:rPr>
            <w:color w:val="0000EE"/>
            <w:u w:val="single"/>
          </w:rPr>
          <w:t>10</w:t>
        </w:r>
      </w:hyperlink>
      <w:r>
        <w:t>) pour plusieurs raisons :</w:t>
      </w:r>
    </w:p>
    <w:p>
      <w:pPr>
        <w:pStyle w:val="ListBullet"/>
        <w:spacing w:line="240" w:lineRule="auto"/>
        <w:ind w:left="720"/>
      </w:pPr>
      <w:r/>
      <w:r>
        <w:t>Tyr a profité de son importance commerciale afin de jouer les puissances rivales voisines (les Assyriens et les Égyptiens) l'une contre l'autre et afin d'exploiter ses voisins.</w:t>
      </w:r>
    </w:p>
    <w:p>
      <w:pPr>
        <w:pStyle w:val="ListBullet"/>
        <w:spacing w:line="240" w:lineRule="auto"/>
        <w:ind w:left="720"/>
      </w:pPr>
      <w:r/>
      <w:r>
        <w:t>Tyr était une ville de marchands cupides.</w:t>
      </w:r>
    </w:p>
    <w:p>
      <w:pPr>
        <w:pStyle w:val="ListBullet"/>
        <w:spacing w:line="240" w:lineRule="auto"/>
        <w:ind w:left="720"/>
      </w:pPr>
      <w:r/>
      <w:r>
        <w:t>Tyr était aussi un centre d'idolâtrie religieuse et d'immoralité sexuelle.</w:t>
      </w:r>
    </w:p>
    <w:p>
      <w:pPr>
        <w:pStyle w:val="ListBullet"/>
        <w:spacing w:line="240" w:lineRule="auto"/>
        <w:ind w:left="720"/>
      </w:pPr>
      <w:r/>
      <w:r>
        <w:t>Tyr tirait beaucoup d'orgueil de sa grande richesse et de son emplacement stratégique.</w:t>
      </w:r>
    </w:p>
    <w:p>
      <w:r/>
      <w:r>
        <w:t>La prophétie d'Ézéchiel contre Tyr décrit en détail le caractère de cette ville, son empire commercial, son péché et sa chute à venir (</w:t>
      </w:r>
      <w:hyperlink r:id="rId14663">
        <w:r>
          <w:rPr>
            <w:color w:val="0000EE"/>
            <w:u w:val="single"/>
          </w:rPr>
          <w:t>Ez 26.1</w:t>
        </w:r>
      </w:hyperlink>
      <w:hyperlink r:id="rId11986">
        <w:r>
          <w:rPr>
            <w:color w:val="0000EE"/>
            <w:u w:val="single"/>
          </w:rPr>
          <w:t>–</w:t>
        </w:r>
      </w:hyperlink>
      <w:hyperlink r:id="rId14663">
        <w:r>
          <w:rPr>
            <w:color w:val="0000EE"/>
            <w:u w:val="single"/>
          </w:rPr>
          <w:t xml:space="preserve">28 </w:t>
        </w:r>
      </w:hyperlink>
      <w:r>
        <w:t xml:space="preserve">; </w:t>
      </w:r>
      <w:hyperlink r:id="rId14664">
        <w:r>
          <w:rPr>
            <w:color w:val="0000EE"/>
            <w:u w:val="single"/>
          </w:rPr>
          <w:t>29.18</w:t>
        </w:r>
      </w:hyperlink>
      <w:hyperlink r:id="rId11986">
        <w:r>
          <w:rPr>
            <w:color w:val="0000EE"/>
            <w:u w:val="single"/>
          </w:rPr>
          <w:t>–</w:t>
        </w:r>
      </w:hyperlink>
      <w:hyperlink r:id="rId14664">
        <w:r>
          <w:rPr>
            <w:color w:val="0000EE"/>
            <w:u w:val="single"/>
          </w:rPr>
          <w:t>20</w:t>
        </w:r>
      </w:hyperlink>
      <w:r>
        <w:t>). La destruction totale de Tyr a pris près de 1 900 ans. Ce n'est qu'en 1291 apr. J.‑C. qu'elle a été totalement détruite. Tyr a été assiégée et attaquée par Nebucadnetsar pendant 13 ans, de 587 à 574 av. J.‑C. Puis Alexandre le Grand a conquis la ville en 332 av. J.‑C. après un siège de sept mois. Il a alors fait construire une digue reliant l'île au continent. Certains interprètent la description de l'arrogance de Tyr dans Ézéchiel comme un parallèle à la désobéissance et à la chute de Satan. L'attitude de Tyr est représentée par les paroles : « J</w:t>
      </w:r>
      <w:r>
        <w:t>e suis Dieu, Je suis assis sur le siège de Dieu, au sein des mers</w:t>
      </w:r>
      <w:r>
        <w:t xml:space="preserve"> » (</w:t>
      </w:r>
      <w:hyperlink r:id="rId14665">
        <w:r>
          <w:rPr>
            <w:color w:val="0000EE"/>
            <w:u w:val="single"/>
          </w:rPr>
          <w:t>Ez 28.2</w:t>
        </w:r>
      </w:hyperlink>
      <w:r>
        <w:t>). Ce serait la même ambition de se comparer à Dieu qui aurait aussi mené à la chute de Satan.</w:t>
      </w:r>
    </w:p>
    <w:p>
      <w:pPr>
        <w:pStyle w:val="Heading3"/>
      </w:pPr>
      <w:r>
        <w:t>Tyr dans le Nouveau Testament</w:t>
      </w:r>
    </w:p>
    <w:p>
      <w:r/>
      <w:r>
        <w:t>Lors de sa conquête de Tyr, Alexandre a conquis et détruit des parties de la ville. Cependant, au temps du Nouveau Testament, Tyr a regagné de l'importance. Tyr est alors égale ou supérieure à Jérusalem en termes de population et de puissance commerciale. Jésus se rend dans la région aux alentour de Tyr dans les premiers temps de son ministère. Il y guérit la fille d'une femme syrophénicienne (</w:t>
      </w:r>
      <w:hyperlink r:id="rId9769">
        <w:r>
          <w:rPr>
            <w:color w:val="0000EE"/>
            <w:u w:val="single"/>
          </w:rPr>
          <w:t>Mt 15.21–28</w:t>
        </w:r>
      </w:hyperlink>
      <w:r>
        <w:t xml:space="preserve"> ; </w:t>
      </w:r>
      <w:hyperlink r:id="rId14666">
        <w:r>
          <w:rPr>
            <w:color w:val="0000EE"/>
            <w:u w:val="single"/>
          </w:rPr>
          <w:t>Mc 7.24–31</w:t>
        </w:r>
      </w:hyperlink>
      <w:r>
        <w:t>). Jésus déclare que les villes de Tyr et de Sidon seront jugées moins sévèrement que les villes de Galilée où il a fait de nombreux miracles mais dont les habitants ne se sont pas repentis (</w:t>
      </w:r>
      <w:hyperlink r:id="rId9044">
        <w:r>
          <w:rPr>
            <w:color w:val="0000EE"/>
            <w:u w:val="single"/>
          </w:rPr>
          <w:t>Lc 10.13–14</w:t>
        </w:r>
      </w:hyperlink>
      <w:r>
        <w:t>).</w:t>
      </w:r>
      <w:r/>
      <w:r/>
    </w:p>
    <w:p>
      <w:r/>
    </w:p>
    <w:p>
      <w:pPr>
        <w:pStyle w:val="Heading2"/>
      </w:pPr>
      <w:r>
        <w:t>Tyrannus, École de</w:t>
      </w:r>
      <w:r/>
    </w:p>
    <w:p>
      <w:r/>
      <w:r>
        <w:t>Lieu à Éphèse où Paul a enseigné quotidiennement pendant deux ans (</w:t>
      </w:r>
      <w:hyperlink r:id="rId8253">
        <w:r>
          <w:rPr>
            <w:color w:val="0000EE"/>
            <w:u w:val="single"/>
          </w:rPr>
          <w:t>Ac 19.9</w:t>
        </w:r>
      </w:hyperlink>
      <w:r>
        <w:t xml:space="preserve">). Le ministère de Paul à Éphèse avait commencé à la synagogue, où il avait prêché pendant trois mois. Face à une opposition croissante, Paul a loué la salle appartenant à un certain Tyrannus (« </w:t>
      </w:r>
      <w:r>
        <w:t>l’école d’un nommé Tyrannus</w:t>
      </w:r>
      <w:r>
        <w:t xml:space="preserve"> »), dans laquelle il a pu commencer un ministère auprès des Juifs et des Grecs (v. </w:t>
      </w:r>
      <w:hyperlink r:id="rId1399">
        <w:r>
          <w:rPr>
            <w:color w:val="0000EE"/>
            <w:u w:val="single"/>
          </w:rPr>
          <w:t>10</w:t>
        </w:r>
      </w:hyperlink>
      <w:r>
        <w:t>).</w:t>
      </w:r>
    </w:p>
    <w:p>
      <w:r/>
      <w:r>
        <w:t>En grec, le terme « école » signifie littéralement « loisir » ou « repos ». Il a fini par être associé au type d'activités pratiquées lors des moments de loisir : conférences, débats et discussions. Le terme en est venu à désigner le lieu où se déroulaient ces activités de loisir.</w:t>
      </w:r>
    </w:p>
    <w:p>
      <w:r/>
      <w:r>
        <w:t>On ne sait pratiquement rien de Tyrannus lui-même. Certains experts ont suggéré qu'il était rhétoricien, grec, et favorable à la prédication de Paul. Cette suggestion est rendue plausible par un ajout dans le texte occidental qui indique que Paul enseignait dans l'école « de la cinquième heure à la dixième », c'est-à-dire de 11h heures à 16h. Cela signifierait que Paul utilisait la salle uniquement pendant les périodes de repos de l'après-midi, car dans toutes les villes ioniennes, le travail cessait à 11h et ne reprenait que tard dans l'après-midi en raison de la chaleur intense. Il est possible que ces périodes de repos aient libéré la salle pour l'usage de Paul, et que Tyrannus lui-même y ait donné des conférences avant et après ces horaires.</w:t>
      </w:r>
      <w:r/>
      <w:r/>
    </w:p>
    <w:p>
      <w:r/>
    </w:p>
    <w:p>
      <w:pPr>
        <w:pStyle w:val="Heading2"/>
      </w:pPr>
      <w:r>
        <w:t>Un ancien</w:t>
      </w:r>
      <w:r/>
    </w:p>
    <w:p>
      <w:r/>
      <w:r>
        <w:t>Personne qui, en vertu de son rang dans la famille, dans le clan ou dans la tribu, ou en raison de sa personnalité, de ses prouesses, de sa stature ou de son influence, ou à travers une procédure de nomination et d’ordination, exerçait des fonctions administratives et judiciaires dans les sphères religieuses et séculières dans le monde antique, au sein des peuples bibliques et non bibliques. Les origines du presbytère (groupe d’anciens) dans le Nouveau Testament et l’Église postapostolique remontent au judaïsme et à l’Ancien Testament, même si la notion d’ancien ou de groupe d’anciens se retrouve également en Israël antique et dans le monde gréco-romain de l’époque du Nouveau Testament.</w:t>
      </w:r>
    </w:p>
    <w:p>
      <w:pPr>
        <w:pStyle w:val="Heading3"/>
      </w:pPr>
      <w:r>
        <w:t>Dans l’Ancien Testament</w:t>
      </w:r>
    </w:p>
    <w:p>
      <w:r/>
      <w:r>
        <w:t>La notion d’ancien, ou de conseil des anciens est étroitement liée au système tribal. Les tribus étaient composées de clans, et les clans de grandes familles. Dans une société patriarcale, le père de famille était le chef en raison de son âge et de sa fonction. L’âge, la sagesse et la maturité des personnes âgées sont sans doute à l’origine de l’autorité exercée par les anciens. Le clan était dirigé par les chefs de familles qui le constituaient, formant un Conseil des anciens. En cas de guerre, chaque clan fournissait un contingent, dirigé par un chef, probablement choisi dans les rangs des anciens.</w:t>
      </w:r>
    </w:p>
    <w:p>
      <w:r/>
      <w:r>
        <w:t>Pendant la période précédant la monarchique en Israël, les anciens détenaient une grande partie du pouvoir administratif et judiciaire local. Dans le récit de l’Exode, les anciens d’Israël (chefs de famille) ont reçu des instructions de Moïse concernant le premier repas de la Pâque (</w:t>
      </w:r>
      <w:hyperlink r:id="rId14667">
        <w:r>
          <w:rPr>
            <w:color w:val="0000EE"/>
            <w:u w:val="single"/>
          </w:rPr>
          <w:t>Exode 12:21–22</w:t>
        </w:r>
      </w:hyperlink>
      <w:r>
        <w:t xml:space="preserve">). En </w:t>
      </w:r>
      <w:hyperlink r:id="rId14668">
        <w:r>
          <w:rPr>
            <w:color w:val="0000EE"/>
            <w:u w:val="single"/>
          </w:rPr>
          <w:t>Exode 18:12</w:t>
        </w:r>
      </w:hyperlink>
      <w:r>
        <w:t>, ces anciens ont rencontré Jéthro, le beau-père de Moïse, des représentants dignes d’assister Moïse dans l’interprétation de la Loi de Dieu et l’administration de la justice ont été choisis parmi eux (</w:t>
      </w:r>
      <w:hyperlink r:id="rId14669">
        <w:r>
          <w:rPr>
            <w:color w:val="0000EE"/>
            <w:u w:val="single"/>
          </w:rPr>
          <w:t>18:13–23</w:t>
        </w:r>
      </w:hyperlink>
      <w:r>
        <w:t xml:space="preserve">). De même, selon </w:t>
      </w:r>
      <w:hyperlink r:id="rId8777">
        <w:r>
          <w:rPr>
            <w:color w:val="0000EE"/>
            <w:u w:val="single"/>
          </w:rPr>
          <w:t>Nombres 11:16–17,</w:t>
        </w:r>
      </w:hyperlink>
      <w:r>
        <w:t>Dieu a chargé Moïse de choisir 70 hommes parmi les anciens d’Israël pour l’aider à diriger le peuple. Dans ce récit, les anciens ont été revêtus de l’Esprit de Dieu. Dans le récit précédent, les anciens (choisis comme coadministrateurs avec Moïse) étaient des personnes connues pour être dignes de confiance.</w:t>
      </w:r>
    </w:p>
    <w:p>
      <w:r/>
      <w:r>
        <w:t>L’une des fonctions principales des anciens était l’administration de la justice. Les anciens étaient les « juges » qui siégeaient « aux portes de la ville », la salle d’audience traditionnelle des anciens villages et villes. Ce lieu permettait de régler les litiges et les différends par l’intermédiaire des anciens, de discuter des affaires de la communauté et de prendre les décisions (</w:t>
      </w:r>
      <w:hyperlink r:id="rId14670">
        <w:r>
          <w:rPr>
            <w:color w:val="0000EE"/>
            <w:u w:val="single"/>
          </w:rPr>
          <w:t>Genèse 23:10, 18</w:t>
        </w:r>
      </w:hyperlink>
      <w:r>
        <w:t xml:space="preserve">; </w:t>
      </w:r>
      <w:hyperlink r:id="rId14671">
        <w:r>
          <w:rPr>
            <w:color w:val="0000EE"/>
            <w:u w:val="single"/>
          </w:rPr>
          <w:t>Jean 29:7</w:t>
        </w:r>
      </w:hyperlink>
      <w:r>
        <w:t xml:space="preserve">; </w:t>
      </w:r>
      <w:hyperlink r:id="rId14672">
        <w:r>
          <w:rPr>
            <w:color w:val="0000EE"/>
            <w:u w:val="single"/>
          </w:rPr>
          <w:t>Proverbes 24:7</w:t>
        </w:r>
      </w:hyperlink>
      <w:r>
        <w:t xml:space="preserve">; </w:t>
      </w:r>
      <w:hyperlink r:id="rId14673">
        <w:r>
          <w:rPr>
            <w:color w:val="0000EE"/>
            <w:u w:val="single"/>
          </w:rPr>
          <w:t>31:23</w:t>
        </w:r>
      </w:hyperlink>
      <w:r>
        <w:t>). Les anciens qui siégeaient à la porte de la ville étaient manifestement responsables de la conservation et de l’application de la Loi (</w:t>
      </w:r>
      <w:hyperlink r:id="rId14591">
        <w:r>
          <w:rPr>
            <w:color w:val="0000EE"/>
            <w:u w:val="single"/>
          </w:rPr>
          <w:t>Deutéronome 19:12</w:t>
        </w:r>
      </w:hyperlink>
      <w:r>
        <w:t xml:space="preserve">; </w:t>
      </w:r>
      <w:hyperlink r:id="rId14597">
        <w:r>
          <w:rPr>
            <w:color w:val="0000EE"/>
            <w:u w:val="single"/>
          </w:rPr>
          <w:t>21:19</w:t>
        </w:r>
      </w:hyperlink>
      <w:r>
        <w:t xml:space="preserve">; </w:t>
      </w:r>
      <w:hyperlink r:id="rId14674">
        <w:r>
          <w:rPr>
            <w:color w:val="0000EE"/>
            <w:u w:val="single"/>
          </w:rPr>
          <w:t>22:15</w:t>
        </w:r>
      </w:hyperlink>
      <w:r>
        <w:t xml:space="preserve">; </w:t>
      </w:r>
      <w:hyperlink r:id="rId14675">
        <w:r>
          <w:rPr>
            <w:color w:val="0000EE"/>
            <w:u w:val="single"/>
          </w:rPr>
          <w:t>25:7–10</w:t>
        </w:r>
      </w:hyperlink>
      <w:r>
        <w:t xml:space="preserve">). </w:t>
      </w:r>
      <w:hyperlink r:id="rId14676">
        <w:r>
          <w:rPr>
            <w:color w:val="0000EE"/>
            <w:u w:val="single"/>
          </w:rPr>
          <w:t>Ruth 4:1–12</w:t>
        </w:r>
      </w:hyperlink>
      <w:r>
        <w:t xml:space="preserve"> fournit une excellente description d’un tel processus.</w:t>
      </w:r>
    </w:p>
    <w:p>
      <w:r/>
      <w:r>
        <w:t>Durant la monarchie, l’administration locale et l’autorité judiciaire continuaient d’être confiées à des conseils d’anciens. À la fin du règne de Saül, David a envoyé des messages et des cadeaux aux anciens de Juda (</w:t>
      </w:r>
      <w:hyperlink r:id="rId14677">
        <w:r>
          <w:rPr>
            <w:color w:val="0000EE"/>
            <w:u w:val="single"/>
          </w:rPr>
          <w:t>1 Samuel 30:26</w:t>
        </w:r>
      </w:hyperlink>
      <w:r>
        <w:t>), conscient que l’efficacité de son règne dépendrait de leur coopération et de leur allégeance. Pour faciliter son complot contre Naboth, Jézabel a rédigé des instructions à l’intention des anciens et des nobles de Jizreel (</w:t>
      </w:r>
      <w:hyperlink r:id="rId14678">
        <w:r>
          <w:rPr>
            <w:color w:val="0000EE"/>
            <w:u w:val="single"/>
          </w:rPr>
          <w:t>1 Rois 21:8–11</w:t>
        </w:r>
      </w:hyperlink>
      <w:r>
        <w:t>). De toute évidence, les anciens d’Israël étaient désormais responsables de l’application de la Loi dans leur juridiction. Outre les fonctions administratives et judiciaires, les anciens assumaient également des rôles cultuels (</w:t>
      </w:r>
      <w:hyperlink r:id="rId14679">
        <w:r>
          <w:rPr>
            <w:color w:val="0000EE"/>
            <w:u w:val="single"/>
          </w:rPr>
          <w:t>Exode 24:1, 9</w:t>
        </w:r>
      </w:hyperlink>
      <w:r>
        <w:t xml:space="preserve">; </w:t>
      </w:r>
      <w:hyperlink r:id="rId14680">
        <w:r>
          <w:rPr>
            <w:color w:val="0000EE"/>
            <w:u w:val="single"/>
          </w:rPr>
          <w:t>Lévitique 4:14–15</w:t>
        </w:r>
      </w:hyperlink>
      <w:r>
        <w:t>).</w:t>
      </w:r>
    </w:p>
    <w:p>
      <w:r/>
      <w:r>
        <w:t>La fonction d’ancien a survécu à l’abolition de la monarchie. Les anciens étaient présents pendant l’exil (</w:t>
      </w:r>
      <w:hyperlink r:id="rId4537">
        <w:r>
          <w:rPr>
            <w:color w:val="0000EE"/>
            <w:u w:val="single"/>
          </w:rPr>
          <w:t>Esdras 8:1</w:t>
        </w:r>
      </w:hyperlink>
      <w:r>
        <w:t xml:space="preserve">; </w:t>
      </w:r>
      <w:hyperlink r:id="rId14103">
        <w:r>
          <w:rPr>
            <w:color w:val="0000EE"/>
            <w:u w:val="single"/>
          </w:rPr>
          <w:t>14:1</w:t>
        </w:r>
      </w:hyperlink>
      <w:r>
        <w:t xml:space="preserve">; </w:t>
      </w:r>
      <w:hyperlink r:id="rId14681">
        <w:r>
          <w:rPr>
            <w:color w:val="0000EE"/>
            <w:u w:val="single"/>
          </w:rPr>
          <w:t>20:1–3</w:t>
        </w:r>
      </w:hyperlink>
      <w:r>
        <w:t xml:space="preserve">) ainsi qu’après le retour d’exil (par exemple : </w:t>
      </w:r>
      <w:hyperlink r:id="rId14682">
        <w:r>
          <w:rPr>
            <w:color w:val="0000EE"/>
            <w:u w:val="single"/>
          </w:rPr>
          <w:t>Esdras 10:16</w:t>
        </w:r>
      </w:hyperlink>
      <w:r>
        <w:t>).</w:t>
      </w:r>
    </w:p>
    <w:p>
      <w:pPr>
        <w:pStyle w:val="Heading3"/>
      </w:pPr>
      <w:r>
        <w:t>Dans le judaïsme de la période du Nouveau Testament</w:t>
      </w:r>
    </w:p>
    <w:p>
      <w:r/>
      <w:r>
        <w:t>La fonction d’ancien dans le contexte chrétien provient d’une institution très similaire au sein du judaïsme, même si l’utilisation du titre « ancien » pour désigner les responsables de diverses associations cultuelles grecques et les magistrats de village a vraisemblablement influencé le développement de la structure communautaire dans les églises des Païens (non-Juifs). Dans les trois premiers Évangiles et dans le livre des Actes, on retrouve de nombreuses références aux anciens en tant que responsables de la vie communautaire et religieuse du judaïsme. En général, ils sont mentionnés en même temps qu’un ou plusieurs autres groupes de dirigeants (citant LSG) : « des anciens, des principaux sacrificateurs et des scribes » (</w:t>
      </w:r>
      <w:hyperlink r:id="rId4178">
        <w:r>
          <w:rPr>
            <w:color w:val="0000EE"/>
            <w:u w:val="single"/>
          </w:rPr>
          <w:t>Matthieu 16:21</w:t>
        </w:r>
      </w:hyperlink>
      <w:r>
        <w:t>) ; « les principaux sacrificateurs et les anciens du peuple » (</w:t>
      </w:r>
      <w:hyperlink r:id="rId14683">
        <w:r>
          <w:rPr>
            <w:color w:val="0000EE"/>
            <w:u w:val="single"/>
          </w:rPr>
          <w:t>21:23</w:t>
        </w:r>
      </w:hyperlink>
      <w:r>
        <w:t xml:space="preserve">; </w:t>
      </w:r>
      <w:hyperlink r:id="rId14684">
        <w:r>
          <w:rPr>
            <w:color w:val="0000EE"/>
            <w:u w:val="single"/>
          </w:rPr>
          <w:t>26:3, 47</w:t>
        </w:r>
      </w:hyperlink>
      <w:r>
        <w:t>) ; « les scribes et les anciens » (</w:t>
      </w:r>
      <w:hyperlink r:id="rId8860">
        <w:r>
          <w:rPr>
            <w:color w:val="0000EE"/>
            <w:u w:val="single"/>
          </w:rPr>
          <w:t>26:57</w:t>
        </w:r>
      </w:hyperlink>
      <w:r>
        <w:t xml:space="preserve">; </w:t>
      </w:r>
      <w:hyperlink r:id="rId14685">
        <w:r>
          <w:rPr>
            <w:color w:val="0000EE"/>
            <w:u w:val="single"/>
          </w:rPr>
          <w:t>27:41</w:t>
        </w:r>
      </w:hyperlink>
      <w:r>
        <w:t>) ; « les principaux sacrificateurs et les anciens » (</w:t>
      </w:r>
      <w:hyperlink r:id="rId14686">
        <w:r>
          <w:rPr>
            <w:color w:val="0000EE"/>
            <w:u w:val="single"/>
          </w:rPr>
          <w:t>27:1, 3, 12, 20</w:t>
        </w:r>
      </w:hyperlink>
      <w:r>
        <w:t>) ; « les chefs du peuple, les anciens et les scribes » (</w:t>
      </w:r>
      <w:hyperlink r:id="rId4530">
        <w:r>
          <w:rPr>
            <w:color w:val="0000EE"/>
            <w:u w:val="single"/>
          </w:rPr>
          <w:t>Actes 4:5</w:t>
        </w:r>
      </w:hyperlink>
      <w:r>
        <w:t xml:space="preserve">) ; « chefs du peuple, et anciens d’Israël » (verset </w:t>
      </w:r>
      <w:hyperlink r:id="rId14687">
        <w:r>
          <w:rPr>
            <w:color w:val="0000EE"/>
            <w:u w:val="single"/>
          </w:rPr>
          <w:t>8</w:t>
        </w:r>
      </w:hyperlink>
      <w:r>
        <w:t xml:space="preserve">). Ces passages du Nouveau Testament ne nous permettent pas de déterminer avec précision leurs fonctions ni les différences qu’ils présentent avec les chefs du peuple ou les scribes. Toutefois, les fonctions des anciens juifs sont clairement décrites dans le traité </w:t>
      </w:r>
      <w:r>
        <w:rPr>
          <w:i/>
        </w:rPr>
        <w:t>Sanhedrin</w:t>
      </w:r>
      <w:r>
        <w:t xml:space="preserve"> dans la Mishna, ainsi que dans les règlements communautaires des ascètes de Qumran, découverts dans les manuscrits de la mer Morte.</w:t>
      </w:r>
    </w:p>
    <w:p>
      <w:r/>
      <w:r>
        <w:t xml:space="preserve">Chaque communauté juive possédait son conseil des anciens, qui exerçait une surveillance administrative générale et représentait la communauté auprès des autorités romaines. Leur fonction première était d’ordre judiciaire. Ils étaient les gardiens de la Loi et de ses interprétations traditionnelles (voir </w:t>
      </w:r>
      <w:hyperlink r:id="rId14536">
        <w:r>
          <w:rPr>
            <w:color w:val="0000EE"/>
            <w:u w:val="single"/>
          </w:rPr>
          <w:t>Matthieu 15:2</w:t>
        </w:r>
      </w:hyperlink>
      <w:r>
        <w:t>), ils étaient chargés d’appliquer la Loi et de punir les contrevenants. Le Conseil des anciens le plus important était le Sanhédrin de Jérusalem, un groupe de 71 hommes qui jouait le rôle de tribunal suprême pour l’ensemble de la nation.</w:t>
      </w:r>
    </w:p>
    <w:p>
      <w:pPr>
        <w:pStyle w:val="Heading3"/>
      </w:pPr>
      <w:r>
        <w:t>Dans la communauté chrétienne,</w:t>
      </w:r>
    </w:p>
    <w:p>
      <w:r/>
      <w:r>
        <w:t>puisque l’Église primitive se considérait comme le nouvel Israël (</w:t>
      </w:r>
      <w:hyperlink r:id="rId14688">
        <w:r>
          <w:rPr>
            <w:color w:val="0000EE"/>
            <w:u w:val="single"/>
          </w:rPr>
          <w:t>Matthieu 21:43</w:t>
        </w:r>
      </w:hyperlink>
      <w:r>
        <w:t xml:space="preserve">; </w:t>
      </w:r>
      <w:hyperlink r:id="rId11602">
        <w:r>
          <w:rPr>
            <w:color w:val="0000EE"/>
            <w:u w:val="single"/>
          </w:rPr>
          <w:t>Galates 6:16</w:t>
        </w:r>
      </w:hyperlink>
      <w:r>
        <w:t>), on peut facilement comprendre qu’elle ait progressivement adopté la fonction d’ancien. Même s’il est difficile de déterminer l’ordre qui prévalait dans les premières communautés chrétiennes, dans la mesure où sa forme et son étendue variaient en fonction du lieu et de l’époque, la présence et le fonctionnement des anciens faisaient partie de la réalité de l’Église primitive.</w:t>
      </w:r>
    </w:p>
    <w:p>
      <w:r/>
      <w:r>
        <w:t>Dans le récit de Luc sur l’origine et la propagation de la Foi chrétienne, les anciens sont déjà présents dans l’église de Jérusalem. Dans le livre des Actes, nous voyons les chrétiens d’Antioche envoyer des aides aux victimes de la famine « aux anciens [des églises de Judée] par les mains de Barnabas et de Saul. » (</w:t>
      </w:r>
      <w:hyperlink r:id="rId2615">
        <w:r>
          <w:rPr>
            <w:color w:val="0000EE"/>
            <w:u w:val="single"/>
          </w:rPr>
          <w:t>Actes 11:30</w:t>
        </w:r>
      </w:hyperlink>
      <w:r>
        <w:t>). Durant leur premier voyage missionnaire, Paul et Barnabas « ont établi des anciens dans chaque église » (</w:t>
      </w:r>
      <w:hyperlink r:id="rId14689">
        <w:r>
          <w:rPr>
            <w:color w:val="0000EE"/>
            <w:u w:val="single"/>
          </w:rPr>
          <w:t>14:23</w:t>
        </w:r>
      </w:hyperlink>
      <w:r>
        <w:t>). Plus tard, Paul et Barnabas ont été envoyés d’Antioche à Jérusalem « vers les apôtres et les anciens » relativement à la question de la circoncision des chrétiens païens (</w:t>
      </w:r>
      <w:hyperlink r:id="rId2626">
        <w:r>
          <w:rPr>
            <w:color w:val="0000EE"/>
            <w:u w:val="single"/>
          </w:rPr>
          <w:t>15:2</w:t>
        </w:r>
      </w:hyperlink>
      <w:r>
        <w:t xml:space="preserve">), ils ont été « accueillis par l’Église, les apôtres et les anciens » (verset </w:t>
      </w:r>
      <w:hyperlink r:id="rId14690">
        <w:r>
          <w:rPr>
            <w:color w:val="0000EE"/>
            <w:u w:val="single"/>
          </w:rPr>
          <w:t>4</w:t>
        </w:r>
      </w:hyperlink>
      <w:r>
        <w:t xml:space="preserve">), qui se sont réunis pour examiner l’affaire et résoudre le problème (versets </w:t>
      </w:r>
      <w:hyperlink r:id="rId14691">
        <w:r>
          <w:rPr>
            <w:color w:val="0000EE"/>
            <w:u w:val="single"/>
          </w:rPr>
          <w:t>6–23</w:t>
        </w:r>
      </w:hyperlink>
      <w:r>
        <w:t>).</w:t>
      </w:r>
    </w:p>
    <w:p>
      <w:r/>
      <w:r>
        <w:t>Nous ne savons pas qui étaient ces anciens ni comment ils ont été choisis. Il est possible d’affirmer, sur la base des antécédents juifs, que l’âge et le rang leur conféraient le privilège de rendre des services spécifiques au sein de la communauté. Le respect de l’âge était un sentiment profondément ancré chez les Juifs, et le nom de « presbytre » (ancien) est dérivé de l’usage juif. On peut également établir un parallèle la nomination des « sept » pour un service spécial par l’imposition des mains (</w:t>
      </w:r>
      <w:hyperlink r:id="rId6398">
        <w:r>
          <w:rPr>
            <w:color w:val="0000EE"/>
            <w:u w:val="single"/>
          </w:rPr>
          <w:t>6:1–6</w:t>
        </w:r>
      </w:hyperlink>
      <w:r>
        <w:t>), et déduire que les premiers anciens de l’église de Jérusalem ont été nommés par les apôtres. Visiblement, ils jouaient dans la communauté chrétienne un rôle comparable à celui des anciens des communautés juives et du Sanhédrin (</w:t>
      </w:r>
      <w:hyperlink r:id="rId2615">
        <w:r>
          <w:rPr>
            <w:color w:val="0000EE"/>
            <w:u w:val="single"/>
          </w:rPr>
          <w:t>11:30</w:t>
        </w:r>
      </w:hyperlink>
      <w:r>
        <w:t xml:space="preserve">; </w:t>
      </w:r>
      <w:hyperlink r:id="rId14692">
        <w:r>
          <w:rPr>
            <w:color w:val="0000EE"/>
            <w:u w:val="single"/>
          </w:rPr>
          <w:t>15:2–6, 22–23</w:t>
        </w:r>
      </w:hyperlink>
      <w:r>
        <w:t xml:space="preserve">; </w:t>
      </w:r>
      <w:hyperlink r:id="rId3028">
        <w:r>
          <w:rPr>
            <w:color w:val="0000EE"/>
            <w:u w:val="single"/>
          </w:rPr>
          <w:t>16:4</w:t>
        </w:r>
      </w:hyperlink>
      <w:r>
        <w:t xml:space="preserve">; </w:t>
      </w:r>
      <w:hyperlink r:id="rId5816">
        <w:r>
          <w:rPr>
            <w:color w:val="0000EE"/>
            <w:u w:val="single"/>
          </w:rPr>
          <w:t>21:18</w:t>
        </w:r>
      </w:hyperlink>
      <w:r>
        <w:t>).</w:t>
      </w:r>
    </w:p>
    <w:p>
      <w:r/>
      <w:r>
        <w:t>Paul a manifestement poursuivi cette pratique dans les églises des Païens, même si les anciens ne sont pas mentionnés dans les premiers écrits pauliniens. Ils sont mentionnés uniquement dans les épitres pastorales (</w:t>
      </w:r>
      <w:hyperlink r:id="rId14693">
        <w:r>
          <w:rPr>
            <w:color w:val="0000EE"/>
            <w:u w:val="single"/>
          </w:rPr>
          <w:t>1 Timothée 5:17, 19</w:t>
        </w:r>
      </w:hyperlink>
      <w:r>
        <w:t xml:space="preserve">; </w:t>
      </w:r>
      <w:hyperlink r:id="rId8300">
        <w:r>
          <w:rPr>
            <w:color w:val="0000EE"/>
            <w:u w:val="single"/>
          </w:rPr>
          <w:t>Tite 1:5</w:t>
        </w:r>
      </w:hyperlink>
      <w:r>
        <w:t>). Lors de son dernier voyage à Jérusalem, Paul a convoqué les anciens de l’église d’Éphèse à Milet (</w:t>
      </w:r>
      <w:hyperlink r:id="rId14694">
        <w:r>
          <w:rPr>
            <w:color w:val="0000EE"/>
            <w:u w:val="single"/>
          </w:rPr>
          <w:t>Actes 20:17</w:t>
        </w:r>
      </w:hyperlink>
      <w:r>
        <w:t>) pour leur adresser ses adieux et leur demander d’être fidèles dans leur tâche de supervision et de protection du troupeau chrétien, l’Église de Dieu (</w:t>
      </w:r>
      <w:hyperlink r:id="rId4548">
        <w:r>
          <w:rPr>
            <w:color w:val="0000EE"/>
            <w:u w:val="single"/>
          </w:rPr>
          <w:t>20:28</w:t>
        </w:r>
      </w:hyperlink>
      <w:r>
        <w:t>).</w:t>
      </w:r>
    </w:p>
    <w:p>
      <w:r/>
      <w:r>
        <w:t>Même si les anciens ne sont pas explicitement cités dans les premières épitres de Paul, il est probable qu’ils faisaient partie des dirigeants qui présidaient les congrégations (</w:t>
      </w:r>
      <w:hyperlink r:id="rId5204">
        <w:r>
          <w:rPr>
            <w:color w:val="0000EE"/>
            <w:u w:val="single"/>
          </w:rPr>
          <w:t>Romains 12:8</w:t>
        </w:r>
      </w:hyperlink>
      <w:r>
        <w:t xml:space="preserve">; </w:t>
      </w:r>
      <w:hyperlink r:id="rId14695">
        <w:r>
          <w:rPr>
            <w:color w:val="0000EE"/>
            <w:u w:val="single"/>
          </w:rPr>
          <w:t>1 Thessaloniciens 5:12–13</w:t>
        </w:r>
      </w:hyperlink>
      <w:r>
        <w:t xml:space="preserve">). </w:t>
      </w:r>
      <w:hyperlink r:id="rId8489">
        <w:r>
          <w:rPr>
            <w:color w:val="0000EE"/>
            <w:u w:val="single"/>
          </w:rPr>
          <w:t>Philippiens 1:1</w:t>
        </w:r>
      </w:hyperlink>
      <w:r>
        <w:t xml:space="preserve"> révèle certainement une stratification précise du leadership (« évêques et diacres ») au sein d’une jeune congrégation paulinienne. </w:t>
      </w:r>
      <w:hyperlink r:id="rId14696">
        <w:r>
          <w:rPr>
            <w:color w:val="0000EE"/>
            <w:u w:val="single"/>
          </w:rPr>
          <w:t>1 Timothée 5:17</w:t>
        </w:r>
      </w:hyperlink>
      <w:r>
        <w:t xml:space="preserve">reflète une phase souvent considérée comme ultérieure dans le développement de l’administration de l’Église, attribuant les fonctions de prédication et d’enseignement aux anciens exerçant une autorité. En outre, les anciens chrétiens exerçaient des fonctions pastorales, comme le montrent les passages suivants </w:t>
      </w:r>
      <w:hyperlink r:id="rId14697">
        <w:r>
          <w:rPr>
            <w:color w:val="0000EE"/>
            <w:u w:val="single"/>
          </w:rPr>
          <w:t>1 Pierre 5:1–5</w:t>
        </w:r>
      </w:hyperlink>
      <w:r>
        <w:t xml:space="preserve"> et de </w:t>
      </w:r>
      <w:hyperlink r:id="rId6532">
        <w:r>
          <w:rPr>
            <w:color w:val="0000EE"/>
            <w:u w:val="single"/>
          </w:rPr>
          <w:t>Jacques 5:14</w:t>
        </w:r>
      </w:hyperlink>
      <w:r>
        <w:t>.</w:t>
      </w:r>
    </w:p>
    <w:p>
      <w:r/>
      <w:r>
        <w:t>Il existe un passage qui attribue potentiellement à un apôtre (Pierre) la fonction d’ancien : « Voici les exhortations que j’adresse aux anciens qui sont parmi vous, moi ancien comme eux, témoin des souffrances de Christ » (</w:t>
      </w:r>
      <w:hyperlink r:id="rId1971">
        <w:r>
          <w:rPr>
            <w:color w:val="0000EE"/>
            <w:u w:val="single"/>
          </w:rPr>
          <w:t>1 Pierre 5:1 a</w:t>
        </w:r>
      </w:hyperlink>
      <w:r>
        <w:t>, LSG). Ce texte suggère que les anciens étaient nommés et servaient de relais à la fonction apostolique. Cette suggestion peut être étayée par l’habitude qu’avait Paul de nommer des anciens dans les églises avant son départ. Par ailleurs, la tradition de l’Église post primitive qui désigne « l’ancien » de 2 et 3 Jean comme étant l’apôtre Jean va dans le même sens. Même si cette désignation est implicite, les apôtres pouvaient exercer la fonction d’ancien, mais pas l’inverse.</w:t>
      </w:r>
    </w:p>
    <w:p>
      <w:r/>
      <w:r>
        <w:t xml:space="preserve">Les anciens avaient plusieurs fonctions. Par exemple, </w:t>
      </w:r>
      <w:hyperlink r:id="rId14696">
        <w:r>
          <w:rPr>
            <w:color w:val="0000EE"/>
            <w:u w:val="single"/>
          </w:rPr>
          <w:t>1 Timothée 5:17</w:t>
        </w:r>
      </w:hyperlink>
      <w:r>
        <w:t xml:space="preserve"> mentionne les anciens actifs dans la prédication et l’enseignement ; </w:t>
      </w:r>
      <w:hyperlink r:id="rId6532">
        <w:r>
          <w:rPr>
            <w:color w:val="0000EE"/>
            <w:u w:val="single"/>
          </w:rPr>
          <w:t>Jacques 5:14</w:t>
        </w:r>
      </w:hyperlink>
      <w:r>
        <w:t xml:space="preserve"> les associe à un ministère de guérison ; </w:t>
      </w:r>
      <w:hyperlink r:id="rId12251">
        <w:r>
          <w:rPr>
            <w:color w:val="0000EE"/>
            <w:u w:val="single"/>
          </w:rPr>
          <w:t>1 Pierre 5:2</w:t>
        </w:r>
      </w:hyperlink>
      <w:r>
        <w:t xml:space="preserve"> les exhorte à paitre le troupeau. Ainsi, les prophètes et les docteurs qui dirigeaient l’église d’Antioche (d’après </w:t>
      </w:r>
      <w:hyperlink r:id="rId158">
        <w:r>
          <w:rPr>
            <w:color w:val="0000EE"/>
            <w:u w:val="single"/>
          </w:rPr>
          <w:t>Actes 13:1–3</w:t>
        </w:r>
      </w:hyperlink>
      <w:r>
        <w:t>) étaient peut-être les anciens de cette communauté.</w:t>
      </w:r>
    </w:p>
    <w:p>
      <w:r/>
      <w:r>
        <w:t>Dans l’Église post primitive, les évêques et les anciens étaient clairement distingués, mais le Nouveau Testament témoigne d’une période précoce où ces fonctions étaient pratiquement identiques. Dans le discours d’adieu de Paul à Milet (</w:t>
      </w:r>
      <w:hyperlink r:id="rId14698">
        <w:r>
          <w:rPr>
            <w:color w:val="0000EE"/>
            <w:u w:val="single"/>
          </w:rPr>
          <w:t>Actes 20</w:t>
        </w:r>
      </w:hyperlink>
      <w:r>
        <w:t xml:space="preserve">), adressé spécifiquement aux anciens de l’église d’Éphèse (v </w:t>
      </w:r>
      <w:hyperlink r:id="rId14694">
        <w:r>
          <w:rPr>
            <w:color w:val="0000EE"/>
            <w:u w:val="single"/>
          </w:rPr>
          <w:t>17</w:t>
        </w:r>
      </w:hyperlink>
      <w:r>
        <w:t xml:space="preserve">), il leur déclare que le Saint-Esprit a fait d’eux des « gardiens, pour veiller sur l’Église de Dieu » (v </w:t>
      </w:r>
      <w:hyperlink r:id="rId4548">
        <w:r>
          <w:rPr>
            <w:color w:val="0000EE"/>
            <w:u w:val="single"/>
          </w:rPr>
          <w:t>28</w:t>
        </w:r>
      </w:hyperlink>
      <w:r>
        <w:t xml:space="preserve">). Il est difficile de savoir si le terme « surveillant » est utilisé ici dans le sens technique d’évêque ou dans le sens plus général de gardien. Toutefois, en </w:t>
      </w:r>
      <w:hyperlink r:id="rId14699">
        <w:r>
          <w:rPr>
            <w:color w:val="0000EE"/>
            <w:u w:val="single"/>
          </w:rPr>
          <w:t>Tite 1:5–7</w:t>
        </w:r>
      </w:hyperlink>
      <w:r>
        <w:t xml:space="preserve">les anciens du verset </w:t>
      </w:r>
      <w:hyperlink r:id="rId8300">
        <w:r>
          <w:rPr>
            <w:color w:val="0000EE"/>
            <w:u w:val="single"/>
          </w:rPr>
          <w:t>5</w:t>
        </w:r>
      </w:hyperlink>
      <w:r>
        <w:t xml:space="preserve"> sont clairement les mêmes personnes que les évêques du verset </w:t>
      </w:r>
      <w:hyperlink r:id="rId14700">
        <w:r>
          <w:rPr>
            <w:color w:val="0000EE"/>
            <w:u w:val="single"/>
          </w:rPr>
          <w:t>7</w:t>
        </w:r>
      </w:hyperlink>
      <w:r>
        <w:t xml:space="preserve">. De même, les évêques de </w:t>
      </w:r>
      <w:hyperlink r:id="rId8489">
        <w:r>
          <w:rPr>
            <w:color w:val="0000EE"/>
            <w:u w:val="single"/>
          </w:rPr>
          <w:t>Philippiens 1:1</w:t>
        </w:r>
      </w:hyperlink>
      <w:r>
        <w:t xml:space="preserve"> doivent être assimilés aux anciens nommés par Paul lorsqu’il a quitté ce poste de mission.</w:t>
      </w:r>
    </w:p>
    <w:p>
      <w:r/>
      <w:r>
        <w:t>Il est évident que le leadership de l’Église à l’époque du Nouveau Testament était relativement fluide, mais les graines des structures ultérieures étaient certainement plantées. La fonction d’ancien, sur la base d’un précédent juif, était centrale. L’épiscopat (surveillants/évêques) est probablement issu du presbytérat (anciens), un ancien étant nommé surveillant par l’ensemble du Conseil des anciens.</w:t>
      </w:r>
    </w:p>
    <w:p>
      <w:r/>
      <w:r>
        <w:rPr>
          <w:i/>
        </w:rPr>
        <w:t>Voir aussi</w:t>
      </w:r>
      <w:r>
        <w:t xml:space="preserve"> </w:t>
      </w:r>
      <w:r>
        <w:t>Évêque</w:t>
      </w:r>
      <w:r>
        <w:t xml:space="preserve">; </w:t>
      </w:r>
      <w:r>
        <w:t>Diacre, Diaconesse</w:t>
      </w:r>
      <w:r>
        <w:t xml:space="preserve">; </w:t>
      </w:r>
      <w:r>
        <w:t>Pasteur</w:t>
      </w:r>
      <w:r>
        <w:t xml:space="preserve">; </w:t>
      </w:r>
      <w:r>
        <w:t>Presbytre</w:t>
      </w:r>
      <w:r>
        <w:t xml:space="preserve">; </w:t>
      </w:r>
      <w:r>
        <w:t>Dons spirituels</w:t>
      </w:r>
      <w:r>
        <w:t>.</w:t>
      </w:r>
      <w:r/>
      <w:r/>
    </w:p>
    <w:p>
      <w:r/>
    </w:p>
    <w:p>
      <w:pPr>
        <w:pStyle w:val="Heading2"/>
      </w:pPr>
      <w:r>
        <w:t>Ur (Lieu)</w:t>
      </w:r>
      <w:r/>
    </w:p>
    <w:p>
      <w:r/>
      <w:r>
        <w:t>Ville natale de Térach, le père d'Abraham, et lieu de naissance d'Abraham et de Sara. Elle est mentionnée par son nom à quatre reprises seulement dans la Bible (</w:t>
      </w:r>
      <w:hyperlink r:id="rId14701">
        <w:r>
          <w:rPr>
            <w:color w:val="0000EE"/>
            <w:u w:val="single"/>
          </w:rPr>
          <w:t>Gn 11.28, 31</w:t>
        </w:r>
      </w:hyperlink>
      <w:r>
        <w:t xml:space="preserve"> ; </w:t>
      </w:r>
      <w:hyperlink r:id="rId14702">
        <w:r>
          <w:rPr>
            <w:color w:val="0000EE"/>
            <w:u w:val="single"/>
          </w:rPr>
          <w:t>15.7</w:t>
        </w:r>
      </w:hyperlink>
      <w:r>
        <w:t xml:space="preserve"> ; </w:t>
      </w:r>
      <w:hyperlink r:id="rId14703">
        <w:r>
          <w:rPr>
            <w:color w:val="0000EE"/>
            <w:u w:val="single"/>
          </w:rPr>
          <w:t>Né 9.7</w:t>
        </w:r>
      </w:hyperlink>
      <w:r>
        <w:t>), toujours avec le nom complet « Ur en Chaldée ».</w:t>
      </w:r>
    </w:p>
    <w:p>
      <w:r/>
      <w:r>
        <w:t>Le site moderne est connu sous le nom de Tell el Muqayyar, « Le Tertre de Bitume ». Les fouilles archéologiques révèlent qu'Abraham venait d'une grande ville, cultivée, sophistiquée et puissante. Le paysage était dominé par une ziggourat, ou tour du temple, et la vie de la ville était contrôlée par une religion avec une multiplicité de dieux. La divinité principale était Nannar, ou Sin, le dieu de la lune, qui était également vénéré à Charan. Près de sa ziggourat se trouvait un temple dédié à sa consort, la déesse de la lune, Ningal.</w:t>
      </w:r>
    </w:p>
    <w:p>
      <w:r/>
      <w:r>
        <w:t>De nombreuses tablettes d'argile trouvées à Ur relatent la vie commerciale de la ville, qui se concentrait sur les temples et leurs revenus. On y trouvait des fabriques, telles qu'un atelier de tissage pour la fabrication de tissus en laine. Certaines tablettes traitaient de la religion, de l'histoire, du droit et de l'éducation. Les étudiants étaient formés à la lecture et à l'écriture en écriture cunéiforme. Ils apprenaient la multiplication et la division, et certains étaient même capables d'extraire des racines carrées et cubiques.</w:t>
      </w:r>
    </w:p>
    <w:p>
      <w:r/>
      <w:r>
        <w:t>L'architecture domestique était très développée. Les maisons comportaient deux étages et de nombreuses pièces (dix à vingt), parfois dotées d'une chapelle privée. De petites figures religieuses en argile (théraphim ou idoles domestiques) ont été découvertes. De nombreux objets d'art en métaux précieux et autres matériaux coûteux ont été mis au jour, notamment dans les tombes royales. Ces tombes contenaient également les restes de plusieurs serviteurs qui ont probablement été mis à mort au moment des enterrements royaux afin d'accompagner leurs maîtres dans l'au-delà.</w:t>
      </w:r>
      <w:r/>
      <w:r/>
    </w:p>
    <w:p>
      <w:r/>
    </w:p>
    <w:p>
      <w:pPr>
        <w:pStyle w:val="Heading2"/>
      </w:pPr>
      <w:r>
        <w:t>Uts (Lieu)</w:t>
      </w:r>
      <w:r/>
    </w:p>
    <w:p>
      <w:r/>
      <w:r>
        <w:t>Patrie de Job (</w:t>
      </w:r>
      <w:hyperlink r:id="rId14704">
        <w:r>
          <w:rPr>
            <w:color w:val="0000EE"/>
            <w:u w:val="single"/>
          </w:rPr>
          <w:t>Jb 1.1</w:t>
        </w:r>
      </w:hyperlink>
      <w:r>
        <w:t>). Le nom apparaît en parallèle avec Édom et est associé à Uts dans l'arbre généalogique des Horites originels à Séir (</w:t>
      </w:r>
      <w:hyperlink r:id="rId14705">
        <w:r>
          <w:rPr>
            <w:color w:val="0000EE"/>
            <w:u w:val="single"/>
          </w:rPr>
          <w:t>Lm 4.21</w:t>
        </w:r>
      </w:hyperlink>
      <w:r>
        <w:t>). Le livre de Job ne situe pas le pays d'Uts, mais il indique que les fils de l'orient (Kedem) y vivaient (</w:t>
      </w:r>
      <w:hyperlink r:id="rId8051">
        <w:r>
          <w:rPr>
            <w:color w:val="0000EE"/>
            <w:u w:val="single"/>
          </w:rPr>
          <w:t>Jb 1.3</w:t>
        </w:r>
      </w:hyperlink>
      <w:r>
        <w:t xml:space="preserve">). Uts est également dit être proche du désert (v. </w:t>
      </w:r>
      <w:hyperlink r:id="rId14706">
        <w:r>
          <w:rPr>
            <w:color w:val="0000EE"/>
            <w:u w:val="single"/>
          </w:rPr>
          <w:t>15</w:t>
        </w:r>
      </w:hyperlink>
      <w:r>
        <w:t xml:space="preserve">) et des Chaldéens (v. </w:t>
      </w:r>
      <w:hyperlink r:id="rId2345">
        <w:r>
          <w:rPr>
            <w:color w:val="0000EE"/>
            <w:u w:val="single"/>
          </w:rPr>
          <w:t>17</w:t>
        </w:r>
      </w:hyperlink>
      <w:r>
        <w:t>). Cela indique qu'il une localisation à l'est du pays d'Israël.</w:t>
      </w:r>
    </w:p>
    <w:p>
      <w:r/>
      <w:r>
        <w:t>Les associations avec Édom suggèrent fortement que le pays d'Uts était peuplé par des descendants des Horites de Séir. Un autre soutien à cette hypothèse est un verset dans la version grecque à la fin du livre de Job : « puisqu'il avait vécu dans le pays d'Uts aux frontières d'Édom et de l'Arabie ». Certaines traditions anciennes situent la demeure de Job à Basan. Josèphe dit également que Job vivait à Traconite et à Damas (</w:t>
      </w:r>
      <w:r>
        <w:rPr>
          <w:i/>
        </w:rPr>
        <w:t>Antiquités juives</w:t>
      </w:r>
      <w:r>
        <w:t xml:space="preserve"> 1.6.4), en référence à l'Uts de la généalogie araméenne (</w:t>
      </w:r>
      <w:hyperlink r:id="rId6163">
        <w:r>
          <w:rPr>
            <w:color w:val="0000EE"/>
            <w:u w:val="single"/>
          </w:rPr>
          <w:t>Gn 10.23</w:t>
        </w:r>
      </w:hyperlink>
      <w:r>
        <w:t>).</w:t>
      </w:r>
      <w:r/>
      <w:r/>
    </w:p>
    <w:p>
      <w:r/>
    </w:p>
    <w:p>
      <w:pPr>
        <w:pStyle w:val="Heading2"/>
      </w:pPr>
      <w:r>
        <w:t>Uts (Personne)</w:t>
      </w:r>
      <w:r/>
    </w:p>
    <w:p>
      <w:r/>
      <w:r>
        <w:t>1. Fils aîné d'Aram et descendant de Sem (</w:t>
      </w:r>
      <w:hyperlink r:id="rId6163">
        <w:r>
          <w:rPr>
            <w:color w:val="0000EE"/>
            <w:u w:val="single"/>
          </w:rPr>
          <w:t>Gn 10.23</w:t>
        </w:r>
      </w:hyperlink>
      <w:r>
        <w:t xml:space="preserve">). Dans le passage parallèle de </w:t>
      </w:r>
      <w:hyperlink r:id="rId1100">
        <w:r>
          <w:rPr>
            <w:color w:val="0000EE"/>
            <w:u w:val="single"/>
          </w:rPr>
          <w:t>1</w:t>
        </w:r>
      </w:hyperlink>
      <w:r>
        <w:t xml:space="preserve"> </w:t>
      </w:r>
      <w:hyperlink r:id="rId1100">
        <w:r>
          <w:rPr>
            <w:color w:val="0000EE"/>
            <w:u w:val="single"/>
          </w:rPr>
          <w:t>Chroniques 1.17</w:t>
        </w:r>
      </w:hyperlink>
      <w:r>
        <w:t>, Uts est directement lié à Sem sans mention d'Aram. Il est peut-être l'ancêtre de la nation araméenne située dans les régions désertiques syriennes.</w:t>
      </w:r>
    </w:p>
    <w:p>
      <w:r/>
      <w:r>
        <w:t>2. Premier fils de Nachor, frère d'Abraham, par sa concubine Milca (</w:t>
      </w:r>
      <w:hyperlink r:id="rId1101">
        <w:r>
          <w:rPr>
            <w:color w:val="0000EE"/>
            <w:u w:val="single"/>
          </w:rPr>
          <w:t>Gn 22.21</w:t>
        </w:r>
      </w:hyperlink>
      <w:r>
        <w:t>).</w:t>
      </w:r>
    </w:p>
    <w:p>
      <w:r/>
      <w:r>
        <w:t>3. Fils de Dischan et petit-fils de Séir le Horite (</w:t>
      </w:r>
      <w:hyperlink r:id="rId1126">
        <w:r>
          <w:rPr>
            <w:color w:val="0000EE"/>
            <w:u w:val="single"/>
          </w:rPr>
          <w:t>Gn 36.28</w:t>
        </w:r>
      </w:hyperlink>
      <w:r>
        <w:t xml:space="preserve"> ; </w:t>
      </w:r>
      <w:hyperlink r:id="rId1127">
        <w:r>
          <w:rPr>
            <w:color w:val="0000EE"/>
            <w:u w:val="single"/>
          </w:rPr>
          <w:t>1Ch 1.42</w:t>
        </w:r>
      </w:hyperlink>
      <w:r>
        <w:t>).</w:t>
      </w:r>
      <w:r/>
      <w:r/>
    </w:p>
    <w:p>
      <w:r/>
    </w:p>
    <w:p>
      <w:pPr>
        <w:pStyle w:val="Heading2"/>
      </w:pPr>
      <w:r>
        <w:t>Uzal (Personne)</w:t>
      </w:r>
      <w:r/>
    </w:p>
    <w:p>
      <w:r/>
      <w:r>
        <w:t>Fils de Jokthan, un descendant d'Héber par la lignée de Sem (</w:t>
      </w:r>
      <w:hyperlink r:id="rId4114">
        <w:r>
          <w:rPr>
            <w:color w:val="0000EE"/>
            <w:u w:val="single"/>
          </w:rPr>
          <w:t>Gn 10.27</w:t>
        </w:r>
      </w:hyperlink>
      <w:r>
        <w:t xml:space="preserve"> ; </w:t>
      </w:r>
      <w:hyperlink r:id="rId4115">
        <w:r>
          <w:rPr>
            <w:color w:val="0000EE"/>
            <w:u w:val="single"/>
          </w:rPr>
          <w:t>1Ch 1.21</w:t>
        </w:r>
      </w:hyperlink>
      <w:r>
        <w:t>).</w:t>
      </w:r>
      <w:r/>
      <w:r/>
    </w:p>
    <w:p>
      <w:r/>
    </w:p>
    <w:p>
      <w:pPr>
        <w:pStyle w:val="Heading2"/>
      </w:pPr>
      <w:r>
        <w:t>Vajezatha</w:t>
      </w:r>
      <w:r/>
    </w:p>
    <w:p>
      <w:r/>
      <w:r>
        <w:t>Un des dix fils d'Haman. Haman était un important fonctionnaire qui avait comploté pour tuer tous les Juifs en Perse. Lorsque son plan a échoué, les Juifs se sont défendus contre leurs ennemis. Pendant cette période, Vajezatha et ses frères ont été tués (</w:t>
      </w:r>
      <w:hyperlink r:id="rId11722">
        <w:r>
          <w:rPr>
            <w:color w:val="0000EE"/>
            <w:u w:val="single"/>
          </w:rPr>
          <w:t>Est 9.9</w:t>
        </w:r>
      </w:hyperlink>
      <w:r>
        <w:t>).</w:t>
      </w:r>
      <w:r/>
      <w:r/>
    </w:p>
    <w:p>
      <w:r/>
    </w:p>
    <w:p>
      <w:pPr>
        <w:pStyle w:val="Heading2"/>
      </w:pPr>
      <w:r>
        <w:t>Vallée de la plaine, Araba</w:t>
      </w:r>
      <w:r/>
    </w:p>
    <w:p>
      <w:r/>
      <w:r>
        <w:t>Vaste vallée au Moyen-Orient. Elle divise la terre en parties orientale et occidentale.</w:t>
      </w:r>
    </w:p>
    <w:p>
      <w:pPr>
        <w:pStyle w:val="Heading3"/>
      </w:pPr>
      <w:r>
        <w:t>Où se situe la vallée de la Plaine ?</w:t>
      </w:r>
    </w:p>
    <w:p>
      <w:r/>
      <w:r>
        <w:t>La vallée de la plaine commence à la mer de Galilée au nord et s'étend vers le sud à travers la vallée du Jourdain. Elle continue au-delà de la mer Morte et se termine au golfe d'Aqaba. On l'appelle souvent la vallée du Grand Rift ou la Araba (TOB2010, SER).</w:t>
      </w:r>
    </w:p>
    <w:p>
      <w:r/>
      <w:r>
        <w:t>La vallée fait environ 10 km de large. Elle s'étend sur environ 320 km du nord au sud. La mer Morte se trouve dans cette vallée. Cette mer est l'endroit le plus bas sur Terre qui n'est pas recouvert par l'eau de l'océan. Elle se situe à 400 m en dessous du niveau de la mer.</w:t>
      </w:r>
    </w:p>
    <w:p>
      <w:pPr>
        <w:pStyle w:val="Heading3"/>
      </w:pPr>
      <w:r>
        <w:t>Sens du nom de la vallée de la plaine (ou « Araba »)</w:t>
      </w:r>
    </w:p>
    <w:p>
      <w:r/>
      <w:r>
        <w:t>Le mot « Araba » vient de la langue hébraïque. Il désigne une zone sèche et vide où peu de plantes peuvent pousser. La vallée porte différents noms selon les endroits. Les arabophones appellent la partie nord de la vallée « le Ghor », ce qui signifie « dépression » (un endroit bas). Cette section nord s'étend de la mer Morte jusqu'à la mer de Galilée. La partie sud de la vallée, qui s'étend au-dessous de la mer Morte, est appelée « la Araba ».</w:t>
      </w:r>
    </w:p>
    <w:p>
      <w:r/>
      <w:r>
        <w:t>Dans l'Ancien Testament, la Bible utilise le mot « vallée de la plaine » de différentes manières :</w:t>
      </w:r>
    </w:p>
    <w:p>
      <w:pPr>
        <w:pStyle w:val="ListBullet"/>
        <w:spacing w:line="240" w:lineRule="auto"/>
        <w:ind w:left="720"/>
      </w:pPr>
      <w:r/>
      <w:r>
        <w:t>Parfois référence à toute la longueur de la vallée.</w:t>
      </w:r>
    </w:p>
    <w:p>
      <w:pPr>
        <w:pStyle w:val="ListBullet"/>
        <w:spacing w:line="240" w:lineRule="auto"/>
        <w:ind w:left="720"/>
      </w:pPr>
      <w:r/>
      <w:r>
        <w:t xml:space="preserve">Dans </w:t>
      </w:r>
      <w:hyperlink r:id="rId14707">
        <w:r>
          <w:rPr>
            <w:color w:val="0000EE"/>
            <w:u w:val="single"/>
          </w:rPr>
          <w:t>Deutéronome 1.1</w:t>
        </w:r>
      </w:hyperlink>
      <w:r>
        <w:t xml:space="preserve"> ; </w:t>
      </w:r>
      <w:hyperlink r:id="rId4621">
        <w:r>
          <w:rPr>
            <w:color w:val="0000EE"/>
            <w:u w:val="single"/>
          </w:rPr>
          <w:t>2.8</w:t>
        </w:r>
      </w:hyperlink>
      <w:r>
        <w:t xml:space="preserve"> se réfère à la partie sud de la vallée.</w:t>
      </w:r>
    </w:p>
    <w:p>
      <w:pPr>
        <w:pStyle w:val="ListBullet"/>
        <w:spacing w:line="240" w:lineRule="auto"/>
        <w:ind w:left="720"/>
      </w:pPr>
      <w:r/>
      <w:r>
        <w:t xml:space="preserve">Dans </w:t>
      </w:r>
      <w:hyperlink r:id="rId9955">
        <w:r>
          <w:rPr>
            <w:color w:val="0000EE"/>
            <w:u w:val="single"/>
          </w:rPr>
          <w:t>Deutéronome 3.17</w:t>
        </w:r>
      </w:hyperlink>
      <w:r>
        <w:t xml:space="preserve">, </w:t>
      </w:r>
      <w:hyperlink r:id="rId9960">
        <w:r>
          <w:rPr>
            <w:color w:val="0000EE"/>
            <w:u w:val="single"/>
          </w:rPr>
          <w:t>4.49</w:t>
        </w:r>
      </w:hyperlink>
      <w:r>
        <w:t xml:space="preserve">, et </w:t>
      </w:r>
      <w:hyperlink r:id="rId5958">
        <w:r>
          <w:rPr>
            <w:color w:val="0000EE"/>
            <w:u w:val="single"/>
          </w:rPr>
          <w:t>Josué 11.2</w:t>
        </w:r>
      </w:hyperlink>
      <w:r>
        <w:t xml:space="preserve"> se réfère à la section nord-est de la vallée.</w:t>
      </w:r>
    </w:p>
    <w:p>
      <w:pPr>
        <w:pStyle w:val="ListBullet"/>
        <w:spacing w:line="240" w:lineRule="auto"/>
        <w:ind w:left="720"/>
      </w:pPr>
      <w:r/>
      <w:r>
        <w:t>Pourrait également se référer à la partie de la vallée à l'est du Jourdain (</w:t>
      </w:r>
      <w:hyperlink r:id="rId9960">
        <w:r>
          <w:rPr>
            <w:color w:val="0000EE"/>
            <w:u w:val="single"/>
          </w:rPr>
          <w:t>Dt 4.49</w:t>
        </w:r>
      </w:hyperlink>
      <w:r>
        <w:t>).</w:t>
      </w:r>
    </w:p>
    <w:p>
      <w:pPr>
        <w:pStyle w:val="ListBullet"/>
        <w:spacing w:line="240" w:lineRule="auto"/>
        <w:ind w:left="720"/>
      </w:pPr>
      <w:r/>
      <w:r>
        <w:t xml:space="preserve">Dans </w:t>
      </w:r>
      <w:hyperlink r:id="rId6079">
        <w:r>
          <w:rPr>
            <w:color w:val="0000EE"/>
            <w:u w:val="single"/>
          </w:rPr>
          <w:t>Josué 11.16</w:t>
        </w:r>
      </w:hyperlink>
      <w:r>
        <w:t>, fait référence à la partie à l'ouest du fleuve.</w:t>
      </w:r>
    </w:p>
    <w:p>
      <w:pPr>
        <w:pStyle w:val="ListBullet"/>
        <w:spacing w:line="240" w:lineRule="auto"/>
        <w:ind w:left="720"/>
      </w:pPr>
      <w:r/>
      <w:r>
        <w:t xml:space="preserve">Dans </w:t>
      </w:r>
      <w:hyperlink r:id="rId14708">
        <w:r>
          <w:rPr>
            <w:color w:val="0000EE"/>
            <w:u w:val="single"/>
          </w:rPr>
          <w:t>2 Samuel 4.7</w:t>
        </w:r>
      </w:hyperlink>
      <w:r>
        <w:t>, se réfère à la vallée du Jourdain.</w:t>
      </w:r>
    </w:p>
    <w:p>
      <w:r/>
      <w:r>
        <w:t>La forme plurielle du mot (Arboth) est utilisée dix-sept fois dans l'Ancien Testament hébreu. Ce sens pluriel se réfère à la section de la plaine près de Jéricho ou de Moab. La mer Morte est parfois appelée la mer de la plaine (</w:t>
      </w:r>
      <w:hyperlink r:id="rId7203">
        <w:r>
          <w:rPr>
            <w:color w:val="0000EE"/>
            <w:u w:val="single"/>
          </w:rPr>
          <w:t>2R 14.25</w:t>
        </w:r>
      </w:hyperlink>
      <w:r>
        <w:t>). Dans l'ensemble, la section de la vallée de la plaine au nord de la mer Morte était fertile et productive. Elle l'est encore aujourd'hui.</w:t>
      </w:r>
    </w:p>
    <w:p>
      <w:pPr>
        <w:pStyle w:val="Heading3"/>
      </w:pPr>
      <w:r>
        <w:t>Quels événements importants ont eu lieu dans la vallée de la plaine ?</w:t>
      </w:r>
    </w:p>
    <w:p>
      <w:r/>
      <w:r>
        <w:t>C'est depuis vallée de la plaine que Josué a mené la campagne pour conquérir Jéricho. Abner s'est enfui vers la plaine du nord après avoir été vaincu à Gabaon (</w:t>
      </w:r>
      <w:hyperlink r:id="rId6157">
        <w:r>
          <w:rPr>
            <w:color w:val="0000EE"/>
            <w:u w:val="single"/>
          </w:rPr>
          <w:t>2S 2.29</w:t>
        </w:r>
      </w:hyperlink>
      <w:r>
        <w:t>). Les meurtriers d'Isch-Boscheth ont traversé la région pour apporter sa tête à David à Hébron (</w:t>
      </w:r>
      <w:hyperlink r:id="rId14708">
        <w:r>
          <w:rPr>
            <w:color w:val="0000EE"/>
            <w:u w:val="single"/>
          </w:rPr>
          <w:t>2S 4.7</w:t>
        </w:r>
      </w:hyperlink>
      <w:r>
        <w:t>). Sédécias s'enfuira dans la région lors de sa capture par les Babyloniens (</w:t>
      </w:r>
      <w:hyperlink r:id="rId14709">
        <w:r>
          <w:rPr>
            <w:color w:val="0000EE"/>
            <w:u w:val="single"/>
          </w:rPr>
          <w:t>2R 25.4</w:t>
        </w:r>
      </w:hyperlink>
      <w:r>
        <w:t xml:space="preserve"> ; </w:t>
      </w:r>
      <w:hyperlink r:id="rId14710">
        <w:r>
          <w:rPr>
            <w:color w:val="0000EE"/>
            <w:u w:val="single"/>
          </w:rPr>
          <w:t>Jr 39.4</w:t>
        </w:r>
      </w:hyperlink>
      <w:r>
        <w:t>).</w:t>
      </w:r>
    </w:p>
    <w:p>
      <w:r/>
      <w:r>
        <w:t>La plaine méridionale était le lieu des errances d'Israël avant d'entrer dans la terre promise. Plus au nord, la plaine était le site des actes finaux de Moïse (</w:t>
      </w:r>
      <w:hyperlink r:id="rId14711">
        <w:r>
          <w:rPr>
            <w:color w:val="0000EE"/>
            <w:u w:val="single"/>
          </w:rPr>
          <w:t>Nb 32–36</w:t>
        </w:r>
      </w:hyperlink>
      <w:r>
        <w:t>). Moïse est mort et a été enterré dans la plaine (</w:t>
      </w:r>
      <w:hyperlink r:id="rId14707">
        <w:r>
          <w:rPr>
            <w:color w:val="0000EE"/>
            <w:u w:val="single"/>
          </w:rPr>
          <w:t>Dt 1.1</w:t>
        </w:r>
      </w:hyperlink>
      <w:r>
        <w:t>). Il sera enterré dans les plaines de Moab à l'est de la mer Morte (</w:t>
      </w:r>
      <w:hyperlink r:id="rId14712">
        <w:r>
          <w:rPr>
            <w:color w:val="0000EE"/>
            <w:u w:val="single"/>
          </w:rPr>
          <w:t>Dt 34.1–6</w:t>
        </w:r>
      </w:hyperlink>
      <w:r>
        <w:t>).</w:t>
      </w:r>
    </w:p>
    <w:p>
      <w:pPr>
        <w:pStyle w:val="Heading3"/>
      </w:pPr>
      <w:r>
        <w:t>Qu'y a-t-il de particulier avec ce territoire et son avenir ?</w:t>
      </w:r>
    </w:p>
    <w:p>
      <w:r/>
      <w:r>
        <w:t xml:space="preserve">Au sud de la mer Morte se trouvaient des dépôts de fer et d'airain. </w:t>
      </w:r>
      <w:hyperlink r:id="rId10054">
        <w:r>
          <w:rPr>
            <w:color w:val="0000EE"/>
            <w:u w:val="single"/>
          </w:rPr>
          <w:t>Deutéronome 8.9</w:t>
        </w:r>
      </w:hyperlink>
      <w:r>
        <w:t xml:space="preserve"> peut faire allusion à cette région générale lorsqu'il parle d'un pays « </w:t>
      </w:r>
      <w:r>
        <w:t>dont les pierres sont du fer, et des montagnes duquel tu tailleras l’airain</w:t>
      </w:r>
      <w:r>
        <w:t xml:space="preserve"> ». La terre ici est généralement aride. Dans les temps anciens, l'utilisation soigneuse de l'irrigation rendait l'agriculture possible dans une mesure limitée. Plusieurs routes commerciales importantes traversaient cette région. La plaine autour de la mer Morte était autrefois une zone particulièrement fertile, « </w:t>
      </w:r>
      <w:r>
        <w:t>comme un jardin de l’Éternel</w:t>
      </w:r>
      <w:r>
        <w:t xml:space="preserve"> » (</w:t>
      </w:r>
      <w:hyperlink r:id="rId9159">
        <w:r>
          <w:rPr>
            <w:color w:val="0000EE"/>
            <w:u w:val="single"/>
          </w:rPr>
          <w:t>Gn 13.10</w:t>
        </w:r>
      </w:hyperlink>
      <w:r>
        <w:t>). Ceci changera après la destruction de Sodome et Gomorrhe.</w:t>
      </w:r>
    </w:p>
    <w:p>
      <w:r/>
      <w:r>
        <w:t>La Bible contient des promesses concernant l'avenir de cette région. Le prophète Ézéchiel parlera d'une rivière qui coulerait un jour depuis le temple de Dieu. Selon ses écrits, cette rivière descendra dans la vallée de la plaine. Elle rendra alors l'eau salée de la mer douce et propre. Cela créera un bon contexte pour la prolifération de poissons et d'autres êtres vivants (</w:t>
      </w:r>
      <w:hyperlink r:id="rId9965">
        <w:r>
          <w:rPr>
            <w:color w:val="0000EE"/>
            <w:u w:val="single"/>
          </w:rPr>
          <w:t>Ez 47.1–12</w:t>
        </w:r>
      </w:hyperlink>
      <w:r>
        <w:t xml:space="preserve"> ; </w:t>
      </w:r>
      <w:hyperlink r:id="rId7351">
        <w:r>
          <w:rPr>
            <w:color w:val="0000EE"/>
            <w:u w:val="single"/>
          </w:rPr>
          <w:t>Jl 3.18</w:t>
        </w:r>
      </w:hyperlink>
      <w:r>
        <w:t xml:space="preserve"> ; </w:t>
      </w:r>
      <w:hyperlink r:id="rId9963">
        <w:r>
          <w:rPr>
            <w:color w:val="0000EE"/>
            <w:u w:val="single"/>
          </w:rPr>
          <w:t>Za 14.8</w:t>
        </w:r>
      </w:hyperlink>
      <w:r>
        <w:t xml:space="preserve">). </w:t>
      </w:r>
      <w:r>
        <w:rPr>
          <w:i/>
        </w:rPr>
        <w:t>Voir</w:t>
      </w:r>
      <w:r>
        <w:t xml:space="preserve"> </w:t>
      </w:r>
      <w:r>
        <w:t>Palestine</w:t>
      </w:r>
      <w:r>
        <w:t>.</w:t>
      </w:r>
      <w:r/>
      <w:r/>
    </w:p>
    <w:p>
      <w:r/>
    </w:p>
    <w:p>
      <w:pPr>
        <w:pStyle w:val="Heading2"/>
      </w:pPr>
      <w:r>
        <w:t>Vallée de Schavé</w:t>
      </w:r>
      <w:r/>
    </w:p>
    <w:p>
      <w:r/>
      <w:r>
        <w:t xml:space="preserve">Vallée près de Salem, également appelée la vallée du roi dans </w:t>
      </w:r>
      <w:hyperlink r:id="rId13638">
        <w:r>
          <w:rPr>
            <w:color w:val="0000EE"/>
            <w:u w:val="single"/>
          </w:rPr>
          <w:t>Genèse 14.17</w:t>
        </w:r>
      </w:hyperlink>
      <w:r>
        <w:t xml:space="preserve">. </w:t>
      </w:r>
      <w:r>
        <w:rPr>
          <w:i/>
        </w:rPr>
        <w:t>Voir</w:t>
      </w:r>
      <w:r>
        <w:t xml:space="preserve"> </w:t>
      </w:r>
      <w:r>
        <w:t>Vallée du roi</w:t>
      </w:r>
      <w:r>
        <w:t>.</w:t>
      </w:r>
      <w:r/>
      <w:r/>
    </w:p>
    <w:p>
      <w:r/>
    </w:p>
    <w:p>
      <w:pPr>
        <w:pStyle w:val="Heading2"/>
      </w:pPr>
      <w:r>
        <w:t>Vallée de Siddim</w:t>
      </w:r>
      <w:r/>
    </w:p>
    <w:p>
      <w:r/>
      <w:r>
        <w:t>Lieu du combat entre quatre rois de Mésopotamie et cinq rois alliés vivant près de la mer Morte (</w:t>
      </w:r>
      <w:hyperlink r:id="rId14713">
        <w:r>
          <w:rPr>
            <w:color w:val="0000EE"/>
            <w:u w:val="single"/>
          </w:rPr>
          <w:t>Gn 14.3, 8–10</w:t>
        </w:r>
      </w:hyperlink>
      <w:r>
        <w:t>). La localisation précise de la bataille à proximité de la mer Morte s'est avérée impossible à déterminer ; on en est réduit à des conjectures. La vallée est décrite comme étant pleine de puits de bitume (</w:t>
      </w:r>
      <w:hyperlink r:id="rId2016">
        <w:r>
          <w:rPr>
            <w:color w:val="0000EE"/>
            <w:u w:val="single"/>
          </w:rPr>
          <w:t>Gn 14.10</w:t>
        </w:r>
      </w:hyperlink>
      <w:r>
        <w:t>). Cette description convient aux zones adjacentes à la mer Morte (ou mer Salée).</w:t>
      </w:r>
    </w:p>
    <w:p>
      <w:r/>
      <w:r>
        <w:t>Le récit dans la Genèse décrit une campagne militaire importante qui aurait eu lieu au milieu de l'âge du bronze (vers 1 900 av. J.‑C.), ce qui la situerait à l'époque d'Abraham. Les rois mentionnés dans la coalition de l'Orient sont inconnus, puisque le lien supposé d'Amraphel avec Hammurabi est désormais considéré comme intenable. Ces quatre alliés sont venus du sud de Damas et ont conquis une série de villes, y compris Karnaïm, Cham, et les Horites dans le mont Séir, aussi loin au sud que le golfe d'Elat. Ils se sont ensuite dirigés au nord-ouest vers Kadès-Barnéa et de là au nord-est vers la mer Morte. Cela semble être le lieu où ils ont rencontré la résistance de la coalition des rois de Sodome, Gomorrhe, Adma, Tseboïm et Tsoar (</w:t>
      </w:r>
      <w:hyperlink r:id="rId14714">
        <w:r>
          <w:rPr>
            <w:color w:val="0000EE"/>
            <w:u w:val="single"/>
          </w:rPr>
          <w:t>Gn 14.2–9</w:t>
        </w:r>
      </w:hyperlink>
      <w:r>
        <w:t>) au sud de la mer Morte.</w:t>
      </w:r>
      <w:r/>
      <w:r/>
    </w:p>
    <w:p>
      <w:r/>
    </w:p>
    <w:p>
      <w:pPr>
        <w:pStyle w:val="Heading2"/>
      </w:pPr>
      <w:r>
        <w:t>Vallée du roi</w:t>
      </w:r>
      <w:r/>
    </w:p>
    <w:p>
      <w:r/>
      <w:r>
        <w:t>Vallée près de Salem, la ville où Melchisédek était roi. C'est là qu'Abraham rencontrera le roi de Sodome. Abraham refusera une offre du roi de Sodome qui aurait été moralement incorrecte (</w:t>
      </w:r>
      <w:hyperlink r:id="rId13638">
        <w:r>
          <w:rPr>
            <w:color w:val="0000EE"/>
            <w:u w:val="single"/>
          </w:rPr>
          <w:t>Gn 14.17</w:t>
        </w:r>
      </w:hyperlink>
      <w:r>
        <w:t>). La vallée est également appelée Shavé.</w:t>
      </w:r>
    </w:p>
    <w:p>
      <w:r/>
      <w:r>
        <w:t>Si Salem est le même endroit que Jérusalem, la « vallée du roi » est sans doute soit la vallée du Cédron, soit la vallée de Hinnom (deux vallées près de l'ancienne Jérusalem).</w:t>
      </w:r>
    </w:p>
    <w:p>
      <w:r/>
      <w:r>
        <w:t>Cette même vallée était également l'endroit où Absalom (le fils du roi David) construira une colonne de pierre comme monument à lui-même (</w:t>
      </w:r>
      <w:hyperlink r:id="rId3825">
        <w:r>
          <w:rPr>
            <w:color w:val="0000EE"/>
            <w:u w:val="single"/>
          </w:rPr>
          <w:t>2S 18.18</w:t>
        </w:r>
      </w:hyperlink>
      <w:r>
        <w:t>).</w:t>
      </w:r>
      <w:r/>
      <w:r/>
    </w:p>
    <w:p>
      <w:r/>
    </w:p>
    <w:p>
      <w:pPr>
        <w:pStyle w:val="Heading2"/>
      </w:pPr>
      <w:r>
        <w:t>Vasthi</w:t>
      </w:r>
      <w:r/>
    </w:p>
    <w:p>
      <w:r/>
      <w:r>
        <w:t>Vasthi était une reine de Perse. Elle était mariée au roi Assuérus, également appelé Xerxès 1er. Elle perdra sa position de reine après avoir refusé de se présenter devant les invités lors d'un banquet royal (</w:t>
      </w:r>
      <w:hyperlink r:id="rId14715">
        <w:r>
          <w:rPr>
            <w:color w:val="0000EE"/>
            <w:u w:val="single"/>
          </w:rPr>
          <w:t>Est 1.9–19</w:t>
        </w:r>
      </w:hyperlink>
      <w:r>
        <w:t>).</w:t>
      </w:r>
    </w:p>
    <w:p>
      <w:r/>
      <w:r>
        <w:t>Ni Vasthi ni la reine Esther (qui est venue après elle) ne sont mentionnées dans les archives historiques en dehors de la Bible. Pour cette raison, certains chercheurs ont suggéré qu'elles pourraient avoir été des épouses moins importantes ou des concubines (femmes qui vivaient avec le roi mais avaient un statut inférieur à celui des épouses) qui ont reçu le titre de « reine ».</w:t>
      </w:r>
    </w:p>
    <w:p>
      <w:r/>
      <w:r>
        <w:t>Un historien grec nommé Plutarque a écrit sur les coutumes perses. Il a dit que les rois perses prenaient généralement leurs repas avec leurs épouses officielles. Cependant, lorsque les rois voulaient organiser des festins avec beaucoup d'alcool, ils renvoyaient leurs épouses et faisaient venir leurs concubines.</w:t>
      </w:r>
    </w:p>
    <w:p>
      <w:r/>
      <w:r>
        <w:t>Certaines personnes utilisent cette information pour soutenir que Vasthi n'était qu'une concubine. Cependant, plusieurs éléments montrent que Vasthi était véritablement une reine :</w:t>
      </w:r>
    </w:p>
    <w:p>
      <w:pPr>
        <w:pStyle w:val="ListBullet"/>
        <w:spacing w:line="240" w:lineRule="auto"/>
        <w:ind w:left="720"/>
      </w:pPr>
      <w:r/>
      <w:r>
        <w:t>On lui a demandé de porter une couronne royale lors du banquet.</w:t>
      </w:r>
    </w:p>
    <w:p>
      <w:pPr>
        <w:pStyle w:val="ListBullet"/>
        <w:spacing w:line="240" w:lineRule="auto"/>
        <w:ind w:left="720"/>
      </w:pPr>
      <w:r/>
      <w:r>
        <w:t>Elle est appelée « reine » dans toutes les références avant qu'elle ne soit destituée de son poste.</w:t>
      </w:r>
    </w:p>
    <w:p>
      <w:pPr>
        <w:pStyle w:val="ListBullet"/>
        <w:spacing w:line="240" w:lineRule="auto"/>
        <w:ind w:left="720"/>
      </w:pPr>
      <w:r/>
      <w:r>
        <w:t>Le roi a déclaré que ses actions auraient une influence sur toutes les femmes du royaume.</w:t>
      </w:r>
    </w:p>
    <w:p>
      <w:r/>
      <w:r>
        <w:t>Son refus de venir au banquet a plus de sens si elle était une reine, car les reines n'assistaient généralement pas aux beuveries.</w:t>
      </w:r>
      <w:r/>
      <w:r/>
    </w:p>
    <w:p>
      <w:r/>
    </w:p>
    <w:p>
      <w:pPr>
        <w:pStyle w:val="Heading2"/>
      </w:pPr>
      <w:r>
        <w:t>Veau d'or</w:t>
      </w:r>
      <w:r/>
    </w:p>
    <w:p>
      <w:r/>
      <w:r>
        <w:t>Une idole en forme de veau fabriquée à partir de bijoux en or donnés par les Israélites (</w:t>
      </w:r>
      <w:hyperlink r:id="rId14716">
        <w:r>
          <w:rPr>
            <w:color w:val="0000EE"/>
            <w:u w:val="single"/>
          </w:rPr>
          <w:t>Ex 32.1–4</w:t>
        </w:r>
      </w:hyperlink>
      <w:r>
        <w:t>). Le peuple a demandé à Aaron de fabriquer cette idole pendant que Moïse était sur la montagne du Sinaï recevant les Dix Commandements de Dieu. Quand Moïse est descendu de la montagne, il a vu le peuple adorer le veau d'or et célébrer de manière immorale. Alors, il a brisé les tables de pierre sur lesquelles les commandements étaient écrits. Ensuite, il a réduit le veau d'or en poudre, l'a dispersé sur l'eau et l'a fait boire au peuple (</w:t>
      </w:r>
      <w:hyperlink r:id="rId14717">
        <w:r>
          <w:rPr>
            <w:color w:val="0000EE"/>
            <w:u w:val="single"/>
          </w:rPr>
          <w:t>Ex 32.15–20</w:t>
        </w:r>
      </w:hyperlink>
      <w:r>
        <w:t>). Certains des adorateurs de l'idole ont été tués (</w:t>
      </w:r>
      <w:hyperlink r:id="rId14572">
        <w:r>
          <w:rPr>
            <w:color w:val="0000EE"/>
            <w:u w:val="single"/>
          </w:rPr>
          <w:t>Ex 32.25–29</w:t>
        </w:r>
      </w:hyperlink>
      <w:r>
        <w:t>). D'autres ont été punis par Dieu avec une peste (</w:t>
      </w:r>
      <w:hyperlink r:id="rId14718">
        <w:r>
          <w:rPr>
            <w:color w:val="0000EE"/>
            <w:u w:val="single"/>
          </w:rPr>
          <w:t>Ex 32.33–35</w:t>
        </w:r>
      </w:hyperlink>
      <w:r>
        <w:t>).</w:t>
      </w:r>
    </w:p>
    <w:p>
      <w:r/>
      <w:r>
        <w:t>Le veau d'or d'Aaron était probablement inspiré d'Apis, un dieu taureau égyptien. Apis était associé à un autre dieu égyptien nommé Osiris. Lorsque ces taureaux mouraient, ils étaient enterrés sous le nom d'Osiris-Apis. Ce nom est devenu plus tard Sérapis pendant la période entre l'Ancien et le Nouveau Testament. La gravité du veau d'or d'Aaron est soulignée par plusieurs mentions de celui-ci dans d'autres parties de la Bible (</w:t>
      </w:r>
      <w:hyperlink r:id="rId14719">
        <w:r>
          <w:rPr>
            <w:color w:val="0000EE"/>
            <w:u w:val="single"/>
          </w:rPr>
          <w:t>Dt 9.16, 21</w:t>
        </w:r>
      </w:hyperlink>
      <w:r>
        <w:t xml:space="preserve"> ; </w:t>
      </w:r>
      <w:hyperlink r:id="rId14720">
        <w:r>
          <w:rPr>
            <w:color w:val="0000EE"/>
            <w:u w:val="single"/>
          </w:rPr>
          <w:t>Né 9.18</w:t>
        </w:r>
      </w:hyperlink>
      <w:r>
        <w:t xml:space="preserve"> ; </w:t>
      </w:r>
      <w:hyperlink r:id="rId14721">
        <w:r>
          <w:rPr>
            <w:color w:val="0000EE"/>
            <w:u w:val="single"/>
          </w:rPr>
          <w:t>Ps 106.19–20</w:t>
        </w:r>
      </w:hyperlink>
      <w:r>
        <w:t xml:space="preserve"> ; </w:t>
      </w:r>
      <w:hyperlink r:id="rId14722">
        <w:r>
          <w:rPr>
            <w:color w:val="0000EE"/>
            <w:u w:val="single"/>
          </w:rPr>
          <w:t>Ac 7.39–41</w:t>
        </w:r>
      </w:hyperlink>
      <w:r>
        <w:t>).</w:t>
      </w:r>
    </w:p>
    <w:p>
      <w:r/>
      <w:r>
        <w:t>Jéroboam 1er sera le premier roi du royaume du nord d'Israël après la division de la nation. Il régnera de 930 à 909 av. J.‑C. et établira des centres cultuels (sanctuaires) à Dan, à l'extrême nord, et à Béthel, au sud. Il placera un veau d'or dans chaque sanctuaire (</w:t>
      </w:r>
      <w:hyperlink r:id="rId6614">
        <w:r>
          <w:rPr>
            <w:color w:val="0000EE"/>
            <w:u w:val="single"/>
          </w:rPr>
          <w:t>1R 12.26–33</w:t>
        </w:r>
      </w:hyperlink>
      <w:r>
        <w:t xml:space="preserve"> ; </w:t>
      </w:r>
      <w:hyperlink r:id="rId14723">
        <w:r>
          <w:rPr>
            <w:color w:val="0000EE"/>
            <w:u w:val="single"/>
          </w:rPr>
          <w:t>2Ch 11.13–15</w:t>
        </w:r>
      </w:hyperlink>
      <w:r>
        <w:t>). Les prophètes d'Israël savaient que ces veaux n'étaient pas le seul vrai Dieu (</w:t>
      </w:r>
      <w:hyperlink r:id="rId14724">
        <w:r>
          <w:rPr>
            <w:color w:val="0000EE"/>
            <w:u w:val="single"/>
          </w:rPr>
          <w:t>Os 8.5–6</w:t>
        </w:r>
      </w:hyperlink>
      <w:r>
        <w:t xml:space="preserve">). Le prophète Osée appellera le veau à Béthel (qui signifie « maison de Dieu ») le veau de « Beth-Aven » (qui signifie « maison de la méchanceté », </w:t>
      </w:r>
      <w:hyperlink r:id="rId11414">
        <w:r>
          <w:rPr>
            <w:color w:val="0000EE"/>
            <w:u w:val="single"/>
          </w:rPr>
          <w:t>Os 10.5–6</w:t>
        </w:r>
      </w:hyperlink>
      <w:r>
        <w:t>). Dans les deux cents ans qui suivront le règne de Jéroboam, les gens avaient commencé à montrer une telle dévotion qu'ils embrassaient même les veaux (</w:t>
      </w:r>
      <w:hyperlink r:id="rId1572">
        <w:r>
          <w:rPr>
            <w:color w:val="0000EE"/>
            <w:u w:val="single"/>
          </w:rPr>
          <w:t>Os 13.2</w:t>
        </w:r>
      </w:hyperlink>
      <w:r>
        <w:t>). L'acte pécheur de Jéroboam est répertorié comme l'une des principales raisons de la destruction de Samarie (la capitale d'Israël) et de l'exil du royaume du nord en 722 av. J.‑C. (</w:t>
      </w:r>
      <w:hyperlink r:id="rId6511">
        <w:r>
          <w:rPr>
            <w:color w:val="0000EE"/>
            <w:u w:val="single"/>
          </w:rPr>
          <w:t>2R 17.16</w:t>
        </w:r>
      </w:hyperlink>
      <w:r>
        <w:t>).</w:t>
      </w:r>
      <w:r/>
      <w:r/>
    </w:p>
    <w:p>
      <w:r/>
    </w:p>
    <w:p>
      <w:pPr>
        <w:pStyle w:val="Heading2"/>
      </w:pPr>
      <w:r>
        <w:t>Veille</w:t>
      </w:r>
      <w:r/>
    </w:p>
    <w:p>
      <w:r/>
      <w:r>
        <w:t xml:space="preserve">Indicateur d'heure et de durée. La nuit était divisée en veilles pendant l'époque biblique. Une veille était une durée de temps qui commençait à une certaine heure et durait un certain temps. Les veilles permettaient aux gardes de monter la garde et de dormir chacun leur tour. </w:t>
      </w:r>
    </w:p>
    <w:p>
      <w:r/>
      <w:r>
        <w:t>Dans l'AT, la nuit était divisée en trois veilles militaires (tours de garde) :</w:t>
      </w:r>
    </w:p>
    <w:p>
      <w:pPr>
        <w:pStyle w:val="ListBullet"/>
        <w:spacing w:line="240" w:lineRule="auto"/>
        <w:ind w:left="720"/>
      </w:pPr>
      <w:r/>
      <w:r>
        <w:t>La veille du soir commençait au coucher du soleil et finissait aux environs de 22h00 (</w:t>
      </w:r>
      <w:hyperlink r:id="rId14725">
        <w:r>
          <w:rPr>
            <w:color w:val="0000EE"/>
            <w:u w:val="single"/>
          </w:rPr>
          <w:t>Lm 2.19</w:t>
        </w:r>
      </w:hyperlink>
      <w:r>
        <w:t>).</w:t>
      </w:r>
    </w:p>
    <w:p>
      <w:pPr>
        <w:pStyle w:val="ListBullet"/>
        <w:spacing w:line="240" w:lineRule="auto"/>
        <w:ind w:left="720"/>
      </w:pPr>
      <w:r/>
      <w:r>
        <w:t>La veille du milieu de la nuit allait de 22h00 à 2h00 du matin (</w:t>
      </w:r>
      <w:hyperlink r:id="rId10912">
        <w:r>
          <w:rPr>
            <w:color w:val="0000EE"/>
            <w:u w:val="single"/>
          </w:rPr>
          <w:t>Jg 7.19</w:t>
        </w:r>
      </w:hyperlink>
      <w:r>
        <w:t>).</w:t>
      </w:r>
    </w:p>
    <w:p>
      <w:pPr>
        <w:pStyle w:val="ListBullet"/>
        <w:spacing w:line="240" w:lineRule="auto"/>
        <w:ind w:left="720"/>
      </w:pPr>
      <w:r/>
      <w:r>
        <w:t>La veille du matin allait de 2h00 du matin jusqu'au lever du soleil (</w:t>
      </w:r>
      <w:hyperlink r:id="rId2860">
        <w:r>
          <w:rPr>
            <w:color w:val="0000EE"/>
            <w:u w:val="single"/>
          </w:rPr>
          <w:t>Ex 14.24</w:t>
        </w:r>
      </w:hyperlink>
      <w:r>
        <w:t xml:space="preserve"> ; </w:t>
      </w:r>
      <w:hyperlink r:id="rId7658">
        <w:r>
          <w:rPr>
            <w:color w:val="0000EE"/>
            <w:u w:val="single"/>
          </w:rPr>
          <w:t>1S 11.11</w:t>
        </w:r>
      </w:hyperlink>
      <w:r>
        <w:t>).</w:t>
      </w:r>
    </w:p>
    <w:p>
      <w:r/>
      <w:r>
        <w:t>Pendant la période romaine, le nombre de veilles est passé de trois à quatre. On les désignait parfois comme première, deuxième, troisième et quatrième veilles. On les appelait aussi les veilles du soir, de minuit, du chant du coq et du matin (</w:t>
      </w:r>
      <w:hyperlink r:id="rId10913">
        <w:r>
          <w:rPr>
            <w:color w:val="0000EE"/>
            <w:u w:val="single"/>
          </w:rPr>
          <w:t>Mt 14.25</w:t>
        </w:r>
      </w:hyperlink>
      <w:r>
        <w:t xml:space="preserve"> ; </w:t>
      </w:r>
      <w:hyperlink r:id="rId9940">
        <w:r>
          <w:rPr>
            <w:color w:val="0000EE"/>
            <w:u w:val="single"/>
          </w:rPr>
          <w:t>Mc 6.48</w:t>
        </w:r>
      </w:hyperlink>
      <w:r>
        <w:t>). Elles terminaient aux heures suivantes : la première à environ 21 h00, la deuxième à minuit, la troisième à 3h00 du matin et la quatrième à 6h00 du matin.</w:t>
      </w:r>
    </w:p>
    <w:p>
      <w:r/>
      <w:r>
        <w:rPr>
          <w:i/>
        </w:rPr>
        <w:t>Voir</w:t>
      </w:r>
      <w:r>
        <w:t xml:space="preserve"> </w:t>
      </w:r>
      <w:r>
        <w:t>nuit</w:t>
      </w:r>
      <w:r>
        <w:t>.</w:t>
      </w:r>
      <w:r/>
      <w:r/>
    </w:p>
    <w:p>
      <w:r/>
    </w:p>
    <w:p>
      <w:pPr>
        <w:pStyle w:val="Heading2"/>
      </w:pPr>
      <w:r>
        <w:t>Vengeur du Sang</w:t>
      </w:r>
      <w:r/>
    </w:p>
    <w:p>
      <w:r/>
      <w:r>
        <w:t>Personne qui poursuit et exécute le meurtrier d'un proche parent (</w:t>
      </w:r>
      <w:hyperlink r:id="rId10250">
        <w:r>
          <w:rPr>
            <w:color w:val="0000EE"/>
            <w:u w:val="single"/>
          </w:rPr>
          <w:t>Nb 35</w:t>
        </w:r>
      </w:hyperlink>
      <w:r>
        <w:t>). Ce « rédempteur » était censé agir dans les cas de meurtre intentionnel, mais pas dans le cas d'homicide involontaire. Quelqu'un qui était coupable d'homicide involontaire pouvait chercher asile dans l'une des six villes désignées (</w:t>
      </w:r>
      <w:hyperlink r:id="rId14726">
        <w:r>
          <w:rPr>
            <w:color w:val="0000EE"/>
            <w:u w:val="single"/>
          </w:rPr>
          <w:t>Nb 35.11</w:t>
        </w:r>
      </w:hyperlink>
      <w:r>
        <w:t>) pour s'assurer que les procédures légales adaptées puissent avoir lieu. Le rôle du vengeur du sang est mentionné dans des histoires concernant :</w:t>
      </w:r>
    </w:p>
    <w:p>
      <w:pPr>
        <w:pStyle w:val="ListBullet"/>
        <w:spacing w:line="240" w:lineRule="auto"/>
        <w:ind w:left="720"/>
      </w:pPr>
      <w:r/>
      <w:r>
        <w:t>Gédéon (</w:t>
      </w:r>
      <w:hyperlink r:id="rId14727">
        <w:r>
          <w:rPr>
            <w:color w:val="0000EE"/>
            <w:u w:val="single"/>
          </w:rPr>
          <w:t>Jg 8.18–21</w:t>
        </w:r>
      </w:hyperlink>
      <w:r>
        <w:t>)</w:t>
      </w:r>
    </w:p>
    <w:p>
      <w:pPr>
        <w:pStyle w:val="ListBullet"/>
        <w:spacing w:line="240" w:lineRule="auto"/>
        <w:ind w:left="720"/>
      </w:pPr>
      <w:r/>
      <w:r>
        <w:t>Joab (</w:t>
      </w:r>
      <w:hyperlink r:id="rId14728">
        <w:r>
          <w:rPr>
            <w:color w:val="0000EE"/>
            <w:u w:val="single"/>
          </w:rPr>
          <w:t>2S 3.27, 30</w:t>
        </w:r>
      </w:hyperlink>
      <w:r>
        <w:t>)</w:t>
      </w:r>
    </w:p>
    <w:p>
      <w:pPr>
        <w:pStyle w:val="ListBullet"/>
        <w:spacing w:line="240" w:lineRule="auto"/>
        <w:ind w:left="720"/>
      </w:pPr>
      <w:r/>
      <w:r>
        <w:t>Les Gabaonites (</w:t>
      </w:r>
      <w:hyperlink r:id="rId13156">
        <w:r>
          <w:rPr>
            <w:color w:val="0000EE"/>
            <w:u w:val="single"/>
          </w:rPr>
          <w:t>2S 21</w:t>
        </w:r>
      </w:hyperlink>
      <w:r>
        <w:t>)</w:t>
      </w:r>
    </w:p>
    <w:p>
      <w:pPr>
        <w:pStyle w:val="ListBullet"/>
        <w:spacing w:line="240" w:lineRule="auto"/>
        <w:ind w:left="720"/>
      </w:pPr>
      <w:r/>
      <w:r>
        <w:t>Amatsia (</w:t>
      </w:r>
      <w:hyperlink r:id="rId14729">
        <w:r>
          <w:rPr>
            <w:color w:val="0000EE"/>
            <w:u w:val="single"/>
          </w:rPr>
          <w:t>2R 14.5–6</w:t>
        </w:r>
      </w:hyperlink>
      <w:r>
        <w:t>)</w:t>
      </w:r>
    </w:p>
    <w:p>
      <w:r/>
      <w:r>
        <w:t>Pendant la monarchie, le roi pouvait arrêter le vengeur (</w:t>
      </w:r>
      <w:hyperlink r:id="rId14730">
        <w:r>
          <w:rPr>
            <w:color w:val="0000EE"/>
            <w:u w:val="single"/>
          </w:rPr>
          <w:t>2S 14.8–11</w:t>
        </w:r>
      </w:hyperlink>
      <w:r>
        <w:t>).</w:t>
      </w:r>
    </w:p>
    <w:p>
      <w:r/>
      <w:r>
        <w:t>Cette coutume était fondée sur le commandement de Dieu selon lequel une vie devait être prise pour une vie dans les cas d'homicide intentionnel (</w:t>
      </w:r>
      <w:hyperlink r:id="rId6664">
        <w:r>
          <w:rPr>
            <w:color w:val="0000EE"/>
            <w:u w:val="single"/>
          </w:rPr>
          <w:t>Gn 9.6</w:t>
        </w:r>
      </w:hyperlink>
      <w:r>
        <w:t>). Malheureusement, l'objectif de la loi, qui était de souligner l'importance de la vie humaine, a parfois été mal compris, conduisant à des vendettas et à la destruction de familles entières dans certaines sociétés.</w:t>
      </w:r>
    </w:p>
    <w:p>
      <w:r/>
      <w:r>
        <w:rPr>
          <w:i/>
        </w:rPr>
        <w:t>Voir aussi</w:t>
      </w:r>
      <w:r>
        <w:t xml:space="preserve"> </w:t>
      </w:r>
      <w:r>
        <w:t>Droit civil et justice</w:t>
      </w:r>
      <w:r>
        <w:t>.</w:t>
      </w:r>
      <w:r/>
      <w:r/>
    </w:p>
    <w:p>
      <w:r/>
    </w:p>
    <w:p>
      <w:pPr>
        <w:pStyle w:val="Heading2"/>
      </w:pPr>
      <w:r>
        <w:t>Vent d'orient</w:t>
      </w:r>
      <w:r/>
    </w:p>
    <w:p>
      <w:r/>
      <w:r>
        <w:t>Un vent d'orient est un vent fort et chaud qui souffle de l'est, généralement en mai, en septembre et en octobre. À l'époque biblique, les gens appelaient aussi ce vent un sirocco. Ce vent chaud pouvait causer de grands dommages aux plantes et aux sources d'eau. Il détruisait les plantes (</w:t>
      </w:r>
      <w:hyperlink r:id="rId14731">
        <w:r>
          <w:rPr>
            <w:color w:val="0000EE"/>
            <w:u w:val="single"/>
          </w:rPr>
          <w:t>Gn 41.6</w:t>
        </w:r>
      </w:hyperlink>
      <w:r>
        <w:t xml:space="preserve"> ; </w:t>
      </w:r>
      <w:hyperlink r:id="rId14732">
        <w:r>
          <w:rPr>
            <w:color w:val="0000EE"/>
            <w:u w:val="single"/>
          </w:rPr>
          <w:t>Ez 17.10</w:t>
        </w:r>
      </w:hyperlink>
      <w:r>
        <w:t xml:space="preserve"> ; </w:t>
      </w:r>
      <w:hyperlink r:id="rId14733">
        <w:r>
          <w:rPr>
            <w:color w:val="0000EE"/>
            <w:u w:val="single"/>
          </w:rPr>
          <w:t>Jon 4.8</w:t>
        </w:r>
      </w:hyperlink>
      <w:r>
        <w:t>). Il faisait sécher et mourir les fleurs (</w:t>
      </w:r>
      <w:hyperlink r:id="rId14734">
        <w:r>
          <w:rPr>
            <w:color w:val="0000EE"/>
            <w:u w:val="single"/>
          </w:rPr>
          <w:t>Ps 103.15–16</w:t>
        </w:r>
      </w:hyperlink>
      <w:r>
        <w:t>) et asséchait les fontaines et les sources d'eau (</w:t>
      </w:r>
      <w:hyperlink r:id="rId14735">
        <w:r>
          <w:rPr>
            <w:color w:val="0000EE"/>
            <w:u w:val="single"/>
          </w:rPr>
          <w:t>Os 13.15</w:t>
        </w:r>
      </w:hyperlink>
      <w:r>
        <w:t>).</w:t>
      </w:r>
    </w:p>
    <w:p>
      <w:r/>
      <w:r>
        <w:t>Le vent d'orient a joué un rôle important dans plusieurs histoires bibliques. Dieu a utilisé un vent d'orient pour repousser les eaux de la mer Rouge afin que les Israélites puissent traverser à pied sec (</w:t>
      </w:r>
      <w:hyperlink r:id="rId14736">
        <w:r>
          <w:rPr>
            <w:color w:val="0000EE"/>
            <w:u w:val="single"/>
          </w:rPr>
          <w:t>Ex 14.21</w:t>
        </w:r>
      </w:hyperlink>
      <w:r>
        <w:t>). Dans la Bible, les auteurs utilisaient parfois le vent d'orient pour décrire le jugement de Dieu contre les personnes qui faisaient le mal (</w:t>
      </w:r>
      <w:hyperlink r:id="rId14737">
        <w:r>
          <w:rPr>
            <w:color w:val="0000EE"/>
            <w:u w:val="single"/>
          </w:rPr>
          <w:t>Es 27.8</w:t>
        </w:r>
      </w:hyperlink>
      <w:r>
        <w:t xml:space="preserve"> ; </w:t>
      </w:r>
      <w:hyperlink r:id="rId14738">
        <w:r>
          <w:rPr>
            <w:color w:val="0000EE"/>
            <w:u w:val="single"/>
          </w:rPr>
          <w:t>Jr 4.11</w:t>
        </w:r>
      </w:hyperlink>
      <w:r>
        <w:t xml:space="preserve"> ; </w:t>
      </w:r>
      <w:hyperlink r:id="rId14739">
        <w:r>
          <w:rPr>
            <w:color w:val="0000EE"/>
            <w:u w:val="single"/>
          </w:rPr>
          <w:t>18.17</w:t>
        </w:r>
      </w:hyperlink>
      <w:r>
        <w:t>).</w:t>
      </w:r>
    </w:p>
    <w:p>
      <w:r/>
      <w:r>
        <w:t>Dans le Nouveau Testament, un fort vent d'est ou du nord-est, appelé « Euraquilon », a dévié le navire de l'apôtre Paul de sa route prévue (</w:t>
      </w:r>
      <w:hyperlink r:id="rId5154">
        <w:r>
          <w:rPr>
            <w:color w:val="0000EE"/>
            <w:u w:val="single"/>
          </w:rPr>
          <w:t>Ac 27.14</w:t>
        </w:r>
      </w:hyperlink>
      <w:r>
        <w:t>). Les marins qui naviguent dans la mer Méditerranée occidentale appellent ce type de vent un « levant ». Ces vents causent encore des problèmes pour les navires dans cette partie de la mer aujourd'hui.</w:t>
      </w:r>
      <w:r/>
      <w:r/>
    </w:p>
    <w:p>
      <w:r/>
    </w:p>
    <w:p>
      <w:pPr>
        <w:pStyle w:val="Heading2"/>
      </w:pPr>
      <w:r>
        <w:t>Vierge</w:t>
      </w:r>
      <w:r/>
    </w:p>
    <w:p>
      <w:r/>
      <w:r>
        <w:t>Un mot utilisé pour décrire les femmes ou métaphoriquement pour les lieux, les nations et l'Église. Il désigne une femme qui est sexuellement mature mais n'a pas eu de relations sexuelles. Marie, mère de Jésus, en est un exemple évident (</w:t>
      </w:r>
      <w:hyperlink r:id="rId5943">
        <w:r>
          <w:rPr>
            <w:color w:val="0000EE"/>
            <w:u w:val="single"/>
          </w:rPr>
          <w:t>Mt 1.18–25</w:t>
        </w:r>
      </w:hyperlink>
      <w:r>
        <w:t>).</w:t>
      </w:r>
    </w:p>
    <w:p>
      <w:r/>
      <w:r>
        <w:t>L'Ancien Testament accorde une grande importance à la virginité avant le mariage. L'une des qualités de Rebecca qui faisaient d'elle une épouse convenable pour Isaac était sa virginité (</w:t>
      </w:r>
      <w:hyperlink r:id="rId14740">
        <w:r>
          <w:rPr>
            <w:color w:val="0000EE"/>
            <w:u w:val="single"/>
          </w:rPr>
          <w:t>Gn 24.16</w:t>
        </w:r>
      </w:hyperlink>
      <w:r>
        <w:t>). La loi stipulait que les prêtres devaient épouser uniquement des vierges (</w:t>
      </w:r>
      <w:hyperlink r:id="rId14741">
        <w:r>
          <w:rPr>
            <w:color w:val="0000EE"/>
            <w:u w:val="single"/>
          </w:rPr>
          <w:t>Lv 21.7, 13</w:t>
        </w:r>
      </w:hyperlink>
      <w:hyperlink r:id="rId13351">
        <w:r>
          <w:rPr>
            <w:color w:val="0000EE"/>
            <w:u w:val="single"/>
          </w:rPr>
          <w:t>–</w:t>
        </w:r>
      </w:hyperlink>
      <w:hyperlink r:id="rId14741">
        <w:r>
          <w:rPr>
            <w:color w:val="0000EE"/>
            <w:u w:val="single"/>
          </w:rPr>
          <w:t>14</w:t>
        </w:r>
      </w:hyperlink>
      <w:r>
        <w:t>). Ils devaient être les hommes dont la vie se conformait le plus aux normes de Dieu.</w:t>
      </w:r>
    </w:p>
    <w:p>
      <w:r/>
      <w:r>
        <w:t>Cela reflète l'enseignement de la Bible sur le mariage, qui idéalise la fidélité exclusive. Le Nouveau Testament exprime cet idéal en interdisant les relations sexuelles avant le mariage (</w:t>
      </w:r>
      <w:hyperlink r:id="rId6703">
        <w:r>
          <w:rPr>
            <w:color w:val="0000EE"/>
            <w:u w:val="single"/>
          </w:rPr>
          <w:t>1Co 6.13, 18</w:t>
        </w:r>
      </w:hyperlink>
      <w:r>
        <w:t>). Il utilise le terme « vierge » pour décrire les chrétiens qui sont fidèles à leur Seigneur (</w:t>
      </w:r>
      <w:hyperlink r:id="rId14742">
        <w:r>
          <w:rPr>
            <w:color w:val="0000EE"/>
            <w:u w:val="single"/>
          </w:rPr>
          <w:t>Ap 14.4</w:t>
        </w:r>
      </w:hyperlink>
      <w:r>
        <w:t xml:space="preserve"> ; voir </w:t>
      </w:r>
      <w:hyperlink r:id="rId14743">
        <w:r>
          <w:rPr>
            <w:color w:val="0000EE"/>
            <w:u w:val="single"/>
          </w:rPr>
          <w:t>2Co 11.2</w:t>
        </w:r>
      </w:hyperlink>
      <w:r>
        <w:t>).</w:t>
      </w:r>
    </w:p>
    <w:p>
      <w:r/>
      <w:r>
        <w:t>Négativement, l'Ancien Testament souligne le même principe dans ses pénalités pour la perte de la virginité d'une femme. Si l'homme est moralement responsable, il doit soit l'épouser, soit donner un paiement à son père (</w:t>
      </w:r>
      <w:hyperlink r:id="rId14744">
        <w:r>
          <w:rPr>
            <w:color w:val="0000EE"/>
            <w:u w:val="single"/>
          </w:rPr>
          <w:t>Ex 22.16–17</w:t>
        </w:r>
      </w:hyperlink>
      <w:r>
        <w:t>). Si la femme elle-même est coupable, la punition est la mort (</w:t>
      </w:r>
      <w:hyperlink r:id="rId14745">
        <w:r>
          <w:rPr>
            <w:color w:val="0000EE"/>
            <w:u w:val="single"/>
          </w:rPr>
          <w:t>Dt 22.20–21</w:t>
        </w:r>
      </w:hyperlink>
      <w:r>
        <w:t>). Cependant, l'Ancien Testament dit peu de choses en ce qui concerne l'éloge de la virginité à vie. Jérémie a été averti de ne pas se marier, uniquement pour renforcer l'avertissement de Dieu concernant le jugement à venir (</w:t>
      </w:r>
      <w:hyperlink r:id="rId14746">
        <w:r>
          <w:rPr>
            <w:color w:val="0000EE"/>
            <w:u w:val="single"/>
          </w:rPr>
          <w:t>Jr 16.2</w:t>
        </w:r>
      </w:hyperlink>
      <w:r>
        <w:t xml:space="preserve">). Du point de vue de la femme, c'était une tragédie de rester vierge non-mariée et sans enfant pour la vie (voir </w:t>
      </w:r>
      <w:hyperlink r:id="rId14747">
        <w:r>
          <w:rPr>
            <w:color w:val="0000EE"/>
            <w:u w:val="single"/>
          </w:rPr>
          <w:t>Jg 11.37</w:t>
        </w:r>
      </w:hyperlink>
      <w:r>
        <w:t>).</w:t>
      </w:r>
    </w:p>
    <w:p>
      <w:r/>
      <w:r>
        <w:t>Le Nouveau Testament valorise le mariage, mais il montre plus clairement les avantages d'un engagement à la virginité pour les hommes et les femmes chrétiens. Le célibat, pour certains, est un don de Dieu, a déclaré Paul, car il présente des avantages positifs pour le service chrétien (</w:t>
      </w:r>
      <w:hyperlink r:id="rId14748">
        <w:r>
          <w:rPr>
            <w:color w:val="0000EE"/>
            <w:u w:val="single"/>
          </w:rPr>
          <w:t>1Co 7.7, 25</w:t>
        </w:r>
      </w:hyperlink>
      <w:hyperlink r:id="rId14749">
        <w:r>
          <w:rPr>
            <w:color w:val="0000EE"/>
            <w:u w:val="single"/>
          </w:rPr>
          <w:t>–</w:t>
        </w:r>
      </w:hyperlink>
      <w:hyperlink r:id="rId14748">
        <w:r>
          <w:rPr>
            <w:color w:val="0000EE"/>
            <w:u w:val="single"/>
          </w:rPr>
          <w:t>38</w:t>
        </w:r>
      </w:hyperlink>
      <w:r>
        <w:t xml:space="preserve">). Jésus a vanté les mérites de ceux qui « </w:t>
      </w:r>
      <w:r>
        <w:t>se sont rendus [eunuques] eux-mêmes, à cause du royaume des cieux</w:t>
      </w:r>
      <w:r>
        <w:t xml:space="preserve"> » (</w:t>
      </w:r>
      <w:hyperlink r:id="rId5143">
        <w:r>
          <w:rPr>
            <w:color w:val="0000EE"/>
            <w:u w:val="single"/>
          </w:rPr>
          <w:t>Mt 19.12</w:t>
        </w:r>
      </w:hyperlink>
      <w:r>
        <w:t>).</w:t>
      </w:r>
    </w:p>
    <w:p>
      <w:r/>
      <w:r>
        <w:rPr>
          <w:i/>
        </w:rPr>
        <w:t>Voir aussi</w:t>
      </w:r>
      <w:r>
        <w:t xml:space="preserve"> </w:t>
      </w:r>
      <w:r>
        <w:t>Vie familiale et relations</w:t>
      </w:r>
      <w:r>
        <w:t xml:space="preserve"> ; </w:t>
      </w:r>
      <w:r>
        <w:t>Mariage, coutumes matrimoniales</w:t>
      </w:r>
      <w:r>
        <w:t xml:space="preserve"> ; </w:t>
      </w:r>
      <w:r>
        <w:t>Sexe, sexualité</w:t>
      </w:r>
      <w:r>
        <w:t xml:space="preserve"> ; </w:t>
      </w:r>
      <w:r>
        <w:t>Naissance virginale de Jésus</w:t>
      </w:r>
      <w:r>
        <w:t xml:space="preserve"> ; </w:t>
      </w:r>
      <w:r>
        <w:t>Femme</w:t>
      </w:r>
      <w:r>
        <w:t>.</w:t>
      </w:r>
      <w:r/>
      <w:r/>
    </w:p>
    <w:p>
      <w:r/>
    </w:p>
    <w:p>
      <w:pPr>
        <w:pStyle w:val="Heading2"/>
      </w:pPr>
      <w:r>
        <w:t>vigne(s), vignoble</w:t>
      </w:r>
      <w:r/>
    </w:p>
    <w:p>
      <w:r/>
      <w:r>
        <w:t>La vigne est une plante cultivée pour produire des raisins. Les raisins sont utilisés pour produire des raisins secs et du vin. Le vignoble est un champ où l'on cultive des vignes. Parfois, le terme « vigne » désigne un vignoble. Les deux termes sont mentionnés fréquemment dans la Bible au sens littéral et de façon symbolique.</w:t>
      </w:r>
    </w:p>
    <w:p>
      <w:r/>
      <w:r>
        <w:t>La première vigne cultivée mentionnée dans la Bible est celle plantée par Noé après le déluge dans la région d'Ararat (</w:t>
      </w:r>
      <w:hyperlink r:id="rId5999">
        <w:r>
          <w:rPr>
            <w:color w:val="0000EE"/>
            <w:u w:val="single"/>
          </w:rPr>
          <w:t>Gn 9.20</w:t>
        </w:r>
      </w:hyperlink>
      <w:r>
        <w:t xml:space="preserve">). La vigne était également cultivée dans l'Égypte ancienne. Des peintures murales illustrant la fabrication du vin ont été retrouvées dans d'anciennes tombes égyptiennes. Dans </w:t>
      </w:r>
      <w:hyperlink r:id="rId4624">
        <w:r>
          <w:rPr>
            <w:color w:val="0000EE"/>
            <w:u w:val="single"/>
          </w:rPr>
          <w:t>Genèse 14.18</w:t>
        </w:r>
      </w:hyperlink>
      <w:r>
        <w:t>, le roi Melchisédek apporte du vin à Abraham. Même avant qu'Israël prenne possession de la Terre promise, il s'y trouvait déjà des vignes (</w:t>
      </w:r>
      <w:hyperlink r:id="rId14750">
        <w:r>
          <w:rPr>
            <w:color w:val="0000EE"/>
            <w:u w:val="single"/>
          </w:rPr>
          <w:t>Dt 6.11</w:t>
        </w:r>
      </w:hyperlink>
      <w:r>
        <w:t>).</w:t>
      </w:r>
    </w:p>
    <w:p>
      <w:pPr>
        <w:pStyle w:val="Heading3"/>
      </w:pPr>
      <w:r>
        <w:t>Importance des vignes dans la Bible</w:t>
      </w:r>
    </w:p>
    <w:p>
      <w:r/>
      <w:r>
        <w:t>Les excellents raisins des vallées et des plaines approvisionnaient les Israélites en fruit et en vin (</w:t>
      </w:r>
      <w:hyperlink r:id="rId14751">
        <w:r>
          <w:rPr>
            <w:color w:val="0000EE"/>
            <w:u w:val="single"/>
          </w:rPr>
          <w:t>Nb 13.20, 24</w:t>
        </w:r>
      </w:hyperlink>
      <w:r>
        <w:t xml:space="preserve"> ; </w:t>
      </w:r>
      <w:hyperlink r:id="rId14752">
        <w:r>
          <w:rPr>
            <w:color w:val="0000EE"/>
            <w:u w:val="single"/>
          </w:rPr>
          <w:t>Jg 14.5</w:t>
        </w:r>
      </w:hyperlink>
      <w:r>
        <w:t xml:space="preserve"> ; </w:t>
      </w:r>
      <w:hyperlink r:id="rId14753">
        <w:r>
          <w:rPr>
            <w:color w:val="0000EE"/>
            <w:u w:val="single"/>
          </w:rPr>
          <w:t>15.5</w:t>
        </w:r>
      </w:hyperlink>
      <w:r>
        <w:t xml:space="preserve">). Le vin était un produit de commerce important. Le commerce du vin était très actif à l'époque des derniers rois d'Israël (voir </w:t>
      </w:r>
      <w:hyperlink r:id="rId3333">
        <w:r>
          <w:rPr>
            <w:color w:val="0000EE"/>
            <w:u w:val="single"/>
          </w:rPr>
          <w:t>Ez 27.18</w:t>
        </w:r>
      </w:hyperlink>
      <w:r>
        <w:t>). Il a continué à être important plus tard lorsque les Grecs et les Romains ont régné sur Israël. Pour les Hébreux, une image idéale de la vie était celle d'un homme vivant en sécurité chez lui, cultivant sa terre et s'asseyant sous sa vigne et son figuier (</w:t>
      </w:r>
      <w:hyperlink r:id="rId14754">
        <w:r>
          <w:rPr>
            <w:color w:val="0000EE"/>
            <w:u w:val="single"/>
          </w:rPr>
          <w:t>1R 4.25</w:t>
        </w:r>
      </w:hyperlink>
      <w:r>
        <w:t>).</w:t>
      </w:r>
    </w:p>
    <w:p>
      <w:pPr>
        <w:pStyle w:val="Heading3"/>
      </w:pPr>
      <w:r>
        <w:t>Culture et récolte du raisin</w:t>
      </w:r>
    </w:p>
    <w:p>
      <w:r/>
      <w:r>
        <w:t>Ordinairement, un vignoble était entouré d'une haie ou d'une clôture qui servait à le protéger. Pendant la récolte, des gardes pouvaient se tenir dans une tour de guet pour la protéger des voleurs (</w:t>
      </w:r>
      <w:hyperlink r:id="rId14755">
        <w:r>
          <w:rPr>
            <w:color w:val="0000EE"/>
            <w:u w:val="single"/>
          </w:rPr>
          <w:t>Jb 24.18</w:t>
        </w:r>
      </w:hyperlink>
      <w:r>
        <w:t xml:space="preserve"> ; </w:t>
      </w:r>
      <w:hyperlink r:id="rId2104">
        <w:r>
          <w:rPr>
            <w:color w:val="0000EE"/>
            <w:u w:val="single"/>
          </w:rPr>
          <w:t>Es 1.8</w:t>
        </w:r>
      </w:hyperlink>
      <w:r>
        <w:t xml:space="preserve"> ; </w:t>
      </w:r>
      <w:hyperlink r:id="rId14533">
        <w:r>
          <w:rPr>
            <w:color w:val="0000EE"/>
            <w:u w:val="single"/>
          </w:rPr>
          <w:t>Mc 12.1</w:t>
        </w:r>
      </w:hyperlink>
      <w:r>
        <w:t>). Les plants de vignes étaient plantés en rangées. Quand les plantes poussaient, des supports installés par les cultivateurs servaient à garder les branches porteuses de fruits en hauteur (</w:t>
      </w:r>
      <w:hyperlink r:id="rId2063">
        <w:r>
          <w:rPr>
            <w:color w:val="0000EE"/>
            <w:u w:val="single"/>
          </w:rPr>
          <w:t>Ez 17.6</w:t>
        </w:r>
      </w:hyperlink>
      <w:r>
        <w:t>). Les vignerons taillaient et entretenaient les vignes (</w:t>
      </w:r>
      <w:hyperlink r:id="rId14756">
        <w:r>
          <w:rPr>
            <w:color w:val="0000EE"/>
            <w:u w:val="single"/>
          </w:rPr>
          <w:t>Lv 25.3</w:t>
        </w:r>
      </w:hyperlink>
      <w:r>
        <w:t xml:space="preserve"> ; </w:t>
      </w:r>
      <w:hyperlink r:id="rId14757">
        <w:r>
          <w:rPr>
            <w:color w:val="0000EE"/>
            <w:u w:val="single"/>
          </w:rPr>
          <w:t>Es 61.5</w:t>
        </w:r>
      </w:hyperlink>
      <w:r>
        <w:t xml:space="preserve"> ; </w:t>
      </w:r>
      <w:hyperlink r:id="rId14758">
        <w:r>
          <w:rPr>
            <w:color w:val="0000EE"/>
            <w:u w:val="single"/>
          </w:rPr>
          <w:t>Jl 3.10</w:t>
        </w:r>
      </w:hyperlink>
      <w:r>
        <w:t xml:space="preserve"> ; </w:t>
      </w:r>
      <w:hyperlink r:id="rId14759">
        <w:r>
          <w:rPr>
            <w:color w:val="0000EE"/>
            <w:u w:val="single"/>
          </w:rPr>
          <w:t>Jn 15.2</w:t>
        </w:r>
      </w:hyperlink>
      <w:r>
        <w:t>). Au moment de la récolte, les fruits mûrs étaient cueillis et emportés aux pressoirs (</w:t>
      </w:r>
      <w:hyperlink r:id="rId14760">
        <w:r>
          <w:rPr>
            <w:color w:val="0000EE"/>
            <w:u w:val="single"/>
          </w:rPr>
          <w:t>Os 9.2</w:t>
        </w:r>
      </w:hyperlink>
      <w:r>
        <w:t>). Le raisin était foulé (écrasé) pour produire du vin. C'était une occasion de célébrations (</w:t>
      </w:r>
      <w:hyperlink r:id="rId10409">
        <w:r>
          <w:rPr>
            <w:color w:val="0000EE"/>
            <w:u w:val="single"/>
          </w:rPr>
          <w:t>Es 16.10</w:t>
        </w:r>
      </w:hyperlink>
      <w:r>
        <w:t xml:space="preserve"> ; </w:t>
      </w:r>
      <w:hyperlink r:id="rId14761">
        <w:r>
          <w:rPr>
            <w:color w:val="0000EE"/>
            <w:u w:val="single"/>
          </w:rPr>
          <w:t>Jr 25.30</w:t>
        </w:r>
      </w:hyperlink>
      <w:r>
        <w:t>). Le jus en fermentation était conservé dans de nouvelles outres en peau de chèvre ou de grandes jarres en terre cuite (</w:t>
      </w:r>
      <w:hyperlink r:id="rId14762">
        <w:r>
          <w:rPr>
            <w:color w:val="0000EE"/>
            <w:u w:val="single"/>
          </w:rPr>
          <w:t>Mt 9.17</w:t>
        </w:r>
      </w:hyperlink>
      <w:r>
        <w:t>).</w:t>
      </w:r>
    </w:p>
    <w:p>
      <w:pPr>
        <w:pStyle w:val="Heading3"/>
      </w:pPr>
      <w:r>
        <w:t>Le vignoble dans la vie quotidienne</w:t>
      </w:r>
    </w:p>
    <w:p>
      <w:r/>
      <w:r>
        <w:t>Une personne qui avait planté une vigne, mais n'avait pas encore eu l'occasion d'en profiter était exemptée d'aller au combat avec l'armée d'Israël (Dt 20.6). Ceci démontre l'importance des vignobles pour les Israélites. Les taxes et les dettes étaient souvent réglées avec du vin au lieu d'argent. La loi de Moïse permettait aux pauvres de cueillir les raisins ou les grains de blé laissés pour eux dans un coin du champ lors de la récolte (</w:t>
      </w:r>
      <w:hyperlink r:id="rId11756">
        <w:r>
          <w:rPr>
            <w:color w:val="0000EE"/>
            <w:u w:val="single"/>
          </w:rPr>
          <w:t>Lv 19.9–10</w:t>
        </w:r>
      </w:hyperlink>
      <w:r>
        <w:t>). Le bois des vignes qui ne produisaient pas de fruits était utilisé pour faire du charbon (</w:t>
      </w:r>
      <w:hyperlink r:id="rId14763">
        <w:r>
          <w:rPr>
            <w:color w:val="0000EE"/>
            <w:u w:val="single"/>
          </w:rPr>
          <w:t xml:space="preserve">Ez 15.4 </w:t>
        </w:r>
      </w:hyperlink>
      <w:r>
        <w:t xml:space="preserve">; </w:t>
      </w:r>
      <w:hyperlink r:id="rId2071">
        <w:r>
          <w:rPr>
            <w:color w:val="0000EE"/>
            <w:u w:val="single"/>
          </w:rPr>
          <w:t>Jn 15.6</w:t>
        </w:r>
      </w:hyperlink>
      <w:r>
        <w:t>).</w:t>
      </w:r>
    </w:p>
    <w:p>
      <w:pPr>
        <w:pStyle w:val="Heading3"/>
      </w:pPr>
      <w:r>
        <w:t>La vigne et le vin dans l'enseignement de Jésus</w:t>
      </w:r>
    </w:p>
    <w:p>
      <w:r/>
      <w:r>
        <w:t>Jésus parle souvent de vigne et de vignobles dans ses paraboles (</w:t>
      </w:r>
      <w:hyperlink r:id="rId8371">
        <w:r>
          <w:rPr>
            <w:color w:val="0000EE"/>
            <w:u w:val="single"/>
          </w:rPr>
          <w:t>Mt 20.1–16</w:t>
        </w:r>
      </w:hyperlink>
      <w:r>
        <w:t xml:space="preserve"> ; </w:t>
      </w:r>
      <w:hyperlink r:id="rId14764">
        <w:r>
          <w:rPr>
            <w:color w:val="0000EE"/>
            <w:u w:val="single"/>
          </w:rPr>
          <w:t>21.28–43</w:t>
        </w:r>
      </w:hyperlink>
      <w:r>
        <w:t xml:space="preserve"> ; </w:t>
      </w:r>
      <w:hyperlink r:id="rId14765">
        <w:r>
          <w:rPr>
            <w:color w:val="0000EE"/>
            <w:u w:val="single"/>
          </w:rPr>
          <w:t>Mc 12.1–11</w:t>
        </w:r>
      </w:hyperlink>
      <w:r>
        <w:t xml:space="preserve"> ; </w:t>
      </w:r>
      <w:hyperlink r:id="rId14766">
        <w:r>
          <w:rPr>
            <w:color w:val="0000EE"/>
            <w:u w:val="single"/>
          </w:rPr>
          <w:t>Lc 13.6–9</w:t>
        </w:r>
      </w:hyperlink>
      <w:r>
        <w:t xml:space="preserve"> ; </w:t>
      </w:r>
      <w:hyperlink r:id="rId14767">
        <w:r>
          <w:rPr>
            <w:color w:val="0000EE"/>
            <w:u w:val="single"/>
          </w:rPr>
          <w:t>20.9–18</w:t>
        </w:r>
      </w:hyperlink>
      <w:r>
        <w:t>). Ceux qui l'écoutaient savaient comment le raisin était cultivé et le vin fabriqué. Quand Jésus dit qu'il ne faut pas mettre du vin nouveau dans de vieilles outres, ceux qui l'écoutaient auraient tout de suite compris pourquoi. Le vin nouveau produit du gaz. Lorsque les outres sont neuves, la peau de l'outre peut se dilater au fur et à mesure. Mais les veilles outres n'en sont plus capables : le vin nouveau les déchirerait, et l'outre et le vin seraient perdus (</w:t>
      </w:r>
      <w:hyperlink r:id="rId14762">
        <w:r>
          <w:rPr>
            <w:color w:val="0000EE"/>
            <w:u w:val="single"/>
          </w:rPr>
          <w:t>Mt 9.17</w:t>
        </w:r>
      </w:hyperlink>
      <w:r>
        <w:t xml:space="preserve">). </w:t>
      </w:r>
    </w:p>
    <w:p>
      <w:r/>
      <w:r>
        <w:t>Jésus parle aussi de la vigne dans un sens symbolique. Dans l'AT, la vigne représente Israël. Dans le NT, Jésus déclare qu'il est le vrai cep, que son Père est le vigneron et que les disciples sont les branches. Comme les branches de la vigne, les disciples doivent rester attachés à Christ pour pouvoir porter du fruit, ou ils deviennent inutiles (</w:t>
      </w:r>
      <w:hyperlink r:id="rId14768">
        <w:r>
          <w:rPr>
            <w:color w:val="0000EE"/>
            <w:u w:val="single"/>
          </w:rPr>
          <w:t>Jn 15.1–11</w:t>
        </w:r>
      </w:hyperlink>
      <w:r>
        <w:t xml:space="preserve">). Avant sa mort, Jésus présente une coupe de vin à ses disciples comme symbole de son sang versé pour la nouvelle alliance et le pardon des péchés. </w:t>
      </w:r>
    </w:p>
    <w:p>
      <w:r/>
      <w:r>
        <w:rPr>
          <w:i/>
        </w:rPr>
        <w:t>Voir aussi</w:t>
      </w:r>
      <w:r>
        <w:t xml:space="preserve"> </w:t>
      </w:r>
      <w:r>
        <w:t>agriculture</w:t>
      </w:r>
      <w:r>
        <w:t xml:space="preserve"> ; </w:t>
      </w:r>
      <w:r>
        <w:t>plantes (vigne)</w:t>
      </w:r>
      <w:r>
        <w:t>.</w:t>
      </w:r>
      <w:r/>
      <w:r/>
    </w:p>
    <w:p>
      <w:r/>
    </w:p>
    <w:p>
      <w:pPr>
        <w:pStyle w:val="Heading2"/>
      </w:pPr>
      <w:r>
        <w:t>Ville</w:t>
      </w:r>
      <w:r/>
    </w:p>
    <w:p>
      <w:r/>
      <w:r>
        <w:t>La Bible ne fait généralement pas de distinction entre une ville, un bourg ou un village. Elle met l'accent sur les murs et les fortifications (</w:t>
      </w:r>
      <w:hyperlink r:id="rId14769">
        <w:r>
          <w:rPr>
            <w:color w:val="0000EE"/>
            <w:u w:val="single"/>
          </w:rPr>
          <w:t>Lv 25.29–31</w:t>
        </w:r>
      </w:hyperlink>
      <w:r>
        <w:t xml:space="preserve"> ; </w:t>
      </w:r>
      <w:hyperlink r:id="rId14770">
        <w:r>
          <w:rPr>
            <w:color w:val="0000EE"/>
            <w:u w:val="single"/>
          </w:rPr>
          <w:t>Jos 19.35</w:t>
        </w:r>
      </w:hyperlink>
      <w:r>
        <w:t>). La Bible répète les références aux tours, aux portes et aux sièges. Ainsi, les villes offraient la sécurité principale pour les bourgs et villages environnants.</w:t>
      </w:r>
    </w:p>
    <w:p>
      <w:pPr>
        <w:pStyle w:val="Heading3"/>
      </w:pPr>
      <w:r>
        <w:t>Les Temps anciens</w:t>
      </w:r>
    </w:p>
    <w:p>
      <w:pPr>
        <w:pStyle w:val="Heading4"/>
      </w:pPr>
      <w:r>
        <w:t>Exigences pratiques</w:t>
      </w:r>
    </w:p>
    <w:p>
      <w:r/>
      <w:r>
        <w:t xml:space="preserve">Les communautés sédentaires dépendaient d'un approvisionnement alimentaire contrôlé. Contrairement aux citadins, les nomades (personnes qui se déplaçaient d'un endroit à un autre) vivaient dans des tentes qu'ils pouvaient transporter en cherchant de la nourriture. Il y a un contraste entre la vie citadine sédentaire et l'expérience nomade. La Bible montre cette différence lorsqu'elle parle d'Abraham, qui a vécu une vie en partie nomade : « </w:t>
      </w:r>
      <w:r>
        <w:t>Car il attendait la cité qui a de solides fondements, celle dont Dieu est l’architecte et le constructeur</w:t>
      </w:r>
      <w:r>
        <w:t xml:space="preserve"> » (</w:t>
      </w:r>
      <w:hyperlink r:id="rId14393">
        <w:r>
          <w:rPr>
            <w:color w:val="0000EE"/>
            <w:u w:val="single"/>
          </w:rPr>
          <w:t>Hé 11.10</w:t>
        </w:r>
      </w:hyperlink>
      <w:r>
        <w:t>).</w:t>
      </w:r>
    </w:p>
    <w:p>
      <w:pPr>
        <w:pStyle w:val="Heading4"/>
      </w:pPr>
      <w:r>
        <w:t>La Première ville de la Bible</w:t>
      </w:r>
    </w:p>
    <w:p>
      <w:r/>
      <w:r>
        <w:t xml:space="preserve">La première référence biblique à une ville se trouve dans </w:t>
      </w:r>
      <w:hyperlink r:id="rId2110">
        <w:r>
          <w:rPr>
            <w:color w:val="0000EE"/>
            <w:u w:val="single"/>
          </w:rPr>
          <w:t>Genèse 4.17</w:t>
        </w:r>
      </w:hyperlink>
      <w:r>
        <w:t xml:space="preserve">. Le verbe hébreu indique que Caïn « construisait » la ville. Il est probable qu'il ne l'ait pas achevée. Il n'y est pas resté non plus. Dieu l'avait auparavant condamné à vivre comme « un fugitif et un vagabond » (v. </w:t>
      </w:r>
      <w:hyperlink r:id="rId14369">
        <w:r>
          <w:rPr>
            <w:color w:val="0000EE"/>
            <w:u w:val="single"/>
          </w:rPr>
          <w:t>12</w:t>
        </w:r>
      </w:hyperlink>
      <w:r>
        <w:t>).</w:t>
      </w:r>
    </w:p>
    <w:p>
      <w:r/>
      <w:r>
        <w:t>Le récit de la Genèse est cohérent lorsqu'il affirme que la vie urbaine a commencé tôt. Les premiers descendants humains étaient Caïn et Abel. Ils produisaient de la nourriture (</w:t>
      </w:r>
      <w:hyperlink r:id="rId19">
        <w:r>
          <w:rPr>
            <w:color w:val="0000EE"/>
            <w:u w:val="single"/>
          </w:rPr>
          <w:t>Gn 4.2</w:t>
        </w:r>
      </w:hyperlink>
      <w:r>
        <w:t xml:space="preserve">). Caïn était agriculteur, et Abel berger. </w:t>
      </w:r>
      <w:hyperlink r:id="rId5537">
        <w:r>
          <w:rPr>
            <w:color w:val="0000EE"/>
            <w:u w:val="single"/>
          </w:rPr>
          <w:t>Genèse 4</w:t>
        </w:r>
      </w:hyperlink>
      <w:r>
        <w:t xml:space="preserve"> montre à la fois le besoin de produire de la nourriture et la spécialisation qui en découle. Jabal était fabricant de tentes (v. </w:t>
      </w:r>
      <w:hyperlink r:id="rId467">
        <w:r>
          <w:rPr>
            <w:color w:val="0000EE"/>
            <w:u w:val="single"/>
          </w:rPr>
          <w:t>20</w:t>
        </w:r>
      </w:hyperlink>
      <w:r>
        <w:t xml:space="preserve">). Jubal était musicien (v. </w:t>
      </w:r>
      <w:hyperlink r:id="rId6797">
        <w:r>
          <w:rPr>
            <w:color w:val="0000EE"/>
            <w:u w:val="single"/>
          </w:rPr>
          <w:t>21</w:t>
        </w:r>
      </w:hyperlink>
      <w:r>
        <w:t xml:space="preserve">). Tubal-Caïn était métallurgiste (v. </w:t>
      </w:r>
      <w:hyperlink r:id="rId1317">
        <w:r>
          <w:rPr>
            <w:color w:val="0000EE"/>
            <w:u w:val="single"/>
          </w:rPr>
          <w:t>22</w:t>
        </w:r>
      </w:hyperlink>
      <w:r>
        <w:t>).</w:t>
      </w:r>
    </w:p>
    <w:p>
      <w:pPr>
        <w:pStyle w:val="Heading4"/>
      </w:pPr>
      <w:r>
        <w:t>Preuves archéologiques</w:t>
      </w:r>
    </w:p>
    <w:p>
      <w:r/>
      <w:r>
        <w:t>Les découvertes archéologiques soutiennent généralement l'idée que les villes ont commencé très tôt. Jéricho est la plus ancienne ville connue découverte dans le pays de Canaan. En testant le bois du site à l'aide de la datation au carbone 14, l'archéologue Kathleen Kenyon a déterminé que Jéricho existait avant 7 000 av. J.‑C. Bien que couvrant moins de 4 hectares, c'était une ville bien développée. Elle possédait un mur impressionnant de près de 2 m d'épaisseur. Elle avait également une tour ronde en pierre de presque 9 m de haut avec un escalier à l'intérieur allant du haut vers le bas.</w:t>
      </w:r>
    </w:p>
    <w:p>
      <w:r/>
      <w:r>
        <w:t>Jéricho semble être âgée de 3 000 ans de plus que les autres villes cananéennes. La plupart des grandes villes sumériennes comme Ur, Ish, Lagah et Uruk sont apparues plus tard. Elles ont vu le jour au 4e ou au début du 3e millénaire av. J.‑C.</w:t>
      </w:r>
    </w:p>
    <w:p>
      <w:pPr>
        <w:pStyle w:val="Heading3"/>
      </w:pPr>
      <w:r>
        <w:t>Emplacement et nom</w:t>
      </w:r>
    </w:p>
    <w:p>
      <w:pPr>
        <w:pStyle w:val="Heading4"/>
      </w:pPr>
      <w:r>
        <w:t>Exigences topographiques</w:t>
      </w:r>
    </w:p>
    <w:p>
      <w:r/>
      <w:r>
        <w:t>Il y avait quatre considérations principales pour choisir le site d'une ville :</w:t>
      </w:r>
    </w:p>
    <w:p>
      <w:pPr>
        <w:pStyle w:val="ListNumber"/>
        <w:spacing w:line="240" w:lineRule="auto"/>
        <w:ind w:left="720"/>
      </w:pPr>
      <w:r/>
      <w:r>
        <w:rPr>
          <w:i/>
        </w:rPr>
        <w:t>Sécurité</w:t>
      </w:r>
      <w:r>
        <w:t>. La topographie (terrain ou emplacement) de la ville antique devait contribuer à sa défense. Une ville construite sur une colline naturelle avait tendance à être moins vulnérable qu'une ville située dans la vallée. Une armée bénéficiait d'un avantage considérable si un ennemi devait attaquer en montée.</w:t>
      </w:r>
    </w:p>
    <w:p>
      <w:r/>
      <w:r>
        <w:t>L'emplacement de Jérusalem illustre l'importance d'un lieu sécurisé. Des montagnes plus hautes l'entourent (</w:t>
      </w:r>
      <w:hyperlink r:id="rId11638">
        <w:r>
          <w:rPr>
            <w:color w:val="0000EE"/>
            <w:u w:val="single"/>
          </w:rPr>
          <w:t>Ps 125.2</w:t>
        </w:r>
      </w:hyperlink>
      <w:r>
        <w:t xml:space="preserve">). Ils ont d'abord établi Jérusalem sur une crête de calcaire. À l'est, elle était protégée par la profonde vallée du Cédron. À l'ouest se trouvait l'impressionnante vallée de Tyropoean. Les deux vallées se rejoignaient, offrant à Jérusalem une protection par le sud. Pour compléter la sécurité, ils ont construit des murs autour de la ville. Ils se sont concentrés sur le côté nord, sans quoi Jérusalem serait exposée (voir </w:t>
      </w:r>
      <w:hyperlink r:id="rId7136">
        <w:r>
          <w:rPr>
            <w:color w:val="0000EE"/>
            <w:u w:val="single"/>
          </w:rPr>
          <w:t>2S 5.6</w:t>
        </w:r>
      </w:hyperlink>
      <w:r>
        <w:t>).</w:t>
      </w:r>
    </w:p>
    <w:p>
      <w:pPr>
        <w:pStyle w:val="ListNumber"/>
        <w:spacing w:line="240" w:lineRule="auto"/>
        <w:ind w:left="720"/>
      </w:pPr>
      <w:r/>
      <w:r>
        <w:rPr>
          <w:i/>
        </w:rPr>
        <w:t>Eau</w:t>
      </w:r>
      <w:r>
        <w:t>. Il était absolument nécessaire pour l'existence d'une ville d'avoir une source d'eau située à un endroit pratique. La source ou le puits de la ville devenait le centre de la communication sociale. Ceci était particulièrement vrai pour les femmes, qui étaient les porteuses d'eau habituelles. Il existe de nombreux exemples bibliques de socialisation au puits du village (</w:t>
      </w:r>
      <w:hyperlink r:id="rId14771">
        <w:r>
          <w:rPr>
            <w:color w:val="0000EE"/>
            <w:u w:val="single"/>
          </w:rPr>
          <w:t>Gn 29.1–12</w:t>
        </w:r>
      </w:hyperlink>
      <w:r>
        <w:t xml:space="preserve"> ; </w:t>
      </w:r>
      <w:hyperlink r:id="rId14772">
        <w:r>
          <w:rPr>
            <w:color w:val="0000EE"/>
            <w:u w:val="single"/>
          </w:rPr>
          <w:t>1R 1.38–39</w:t>
        </w:r>
      </w:hyperlink>
      <w:r>
        <w:t>).</w:t>
      </w:r>
    </w:p>
    <w:p>
      <w:r/>
      <w:r>
        <w:t>En général, ce sont les vallées qui étaient la source de l'eau. Ainsi, la source la plus proche d'une ville se trouvait en général à l'extérieur des murs. Un ennemi pouvait s'emparer de la source. L'approvisionnement en eau stocké à l'intérieur des murs de la ville pouvait alors s'épuiser, conduisant une ville à se rendre. À Jérusalem, le roi Ézéchias a construit un tunnel d'eau pour neutraliser l'attaque imminente du roi assyrien Sanchérib (</w:t>
      </w:r>
      <w:hyperlink r:id="rId1429">
        <w:r>
          <w:rPr>
            <w:color w:val="0000EE"/>
            <w:u w:val="single"/>
          </w:rPr>
          <w:t>2R 20.20</w:t>
        </w:r>
      </w:hyperlink>
      <w:r>
        <w:t xml:space="preserve"> ; </w:t>
      </w:r>
      <w:hyperlink r:id="rId14773">
        <w:r>
          <w:rPr>
            <w:color w:val="0000EE"/>
            <w:u w:val="single"/>
          </w:rPr>
          <w:t>2Ch 32.30</w:t>
        </w:r>
      </w:hyperlink>
      <w:r>
        <w:t>). Il s'agissait d'un exploit d'ingénierie exceptionnel. Le tunnel s'étendait sur plus de 500 m. Aujourd'hui âgé de plus de 2 500 ans, les visiteurs de Jérusalem peuvent encore le voir.</w:t>
      </w:r>
    </w:p>
    <w:p>
      <w:pPr>
        <w:pStyle w:val="ListNumber"/>
        <w:spacing w:line="240" w:lineRule="auto"/>
        <w:ind w:left="720"/>
      </w:pPr>
      <w:r/>
      <w:r>
        <w:rPr>
          <w:i/>
        </w:rPr>
        <w:t>Nourriture</w:t>
      </w:r>
      <w:r>
        <w:t>. Chaque ville avait besoin de suffisamment de nourriture pour ses habitants. Les agriculteurs de l'époque vivaient dans un village ou une ville et se rendaient chaque jour à leurs champs. Une ville ne pouvait exister que s'il y avait suffisamment de champs cultivables à proximité pour nourrir toute la population.</w:t>
      </w:r>
    </w:p>
    <w:p>
      <w:pPr>
        <w:pStyle w:val="ListNumber"/>
        <w:spacing w:line="240" w:lineRule="auto"/>
        <w:ind w:left="720"/>
      </w:pPr>
      <w:r/>
      <w:r>
        <w:rPr>
          <w:i/>
        </w:rPr>
        <w:t xml:space="preserve">Commerce. </w:t>
      </w:r>
      <w:r>
        <w:t>Une ville doit permettre l'importation de matières premières et l'exportation de produits finis. Il était souhaitable, voire nécessaire, d'être proche des routes locales et internationales. Les villes importantes de la Bible se trouvaient le long des principales routes commerciales.</w:t>
      </w:r>
    </w:p>
    <w:p>
      <w:r/>
      <w:r>
        <w:t>L'importance de ces quatre facteurs a évolué au fil du temps. Lorsque des nations puissantes comme Rome sont apparues, les villes pouvaient compter sur des armées permanentes au lieu d'être construites sur des sommets difficiles d'accès. Le développement de réservoirs d'eau plâtrés et d'aqueducs a permis de construire des villes plus éloignées des sources d'eau naturelles. Césarée, par exemple, construite par Hérode le Grand, se trouvait à 20 km des sources du mont Carmel. Les routes commerciales ont changé avec les conditions internationales en pleine mutation, provoquant le déclin de certaines villes tandis que d'autres se développaient.</w:t>
      </w:r>
    </w:p>
    <w:p>
      <w:r/>
      <w:r>
        <w:rPr>
          <w:i/>
        </w:rPr>
        <w:t>Voir aussi</w:t>
      </w:r>
      <w:r>
        <w:t xml:space="preserve"> </w:t>
      </w:r>
      <w:r>
        <w:t>Archéologie biblique</w:t>
      </w:r>
      <w:r>
        <w:t>.</w:t>
      </w:r>
      <w:r/>
      <w:r/>
    </w:p>
    <w:p>
      <w:r/>
    </w:p>
    <w:p>
      <w:pPr>
        <w:pStyle w:val="Heading2"/>
      </w:pPr>
      <w:r>
        <w:t>Villes de la plaine</w:t>
      </w:r>
      <w:r/>
    </w:p>
    <w:p>
      <w:r/>
      <w:r>
        <w:t>Groupe de cinq villes situées dans la plaine ou le bassin du Jourdain, également connu sous le nom de « villes de la vallée ». Cette région était très fertile, ce qui attirera Lot, le neveu d'Abraham, lorsque le besoin de séparer leurs troupeaux se fera sentir (</w:t>
      </w:r>
      <w:hyperlink r:id="rId14774">
        <w:r>
          <w:rPr>
            <w:color w:val="0000EE"/>
            <w:u w:val="single"/>
          </w:rPr>
          <w:t>Gn 13.10–12</w:t>
        </w:r>
      </w:hyperlink>
      <w:r>
        <w:t>). Ces villes sont nommées :</w:t>
      </w:r>
    </w:p>
    <w:p>
      <w:pPr>
        <w:pStyle w:val="ListBullet"/>
        <w:spacing w:line="240" w:lineRule="auto"/>
        <w:ind w:left="720"/>
      </w:pPr>
      <w:r/>
      <w:r>
        <w:t>Sodome</w:t>
      </w:r>
    </w:p>
    <w:p>
      <w:pPr>
        <w:pStyle w:val="ListBullet"/>
        <w:spacing w:line="240" w:lineRule="auto"/>
        <w:ind w:left="720"/>
      </w:pPr>
      <w:r/>
      <w:r>
        <w:t>Gomorrhe</w:t>
      </w:r>
    </w:p>
    <w:p>
      <w:pPr>
        <w:pStyle w:val="ListBullet"/>
        <w:spacing w:line="240" w:lineRule="auto"/>
        <w:ind w:left="720"/>
      </w:pPr>
      <w:r/>
      <w:r>
        <w:t>Adma</w:t>
      </w:r>
    </w:p>
    <w:p>
      <w:pPr>
        <w:pStyle w:val="ListBullet"/>
        <w:spacing w:line="240" w:lineRule="auto"/>
        <w:ind w:left="720"/>
      </w:pPr>
      <w:r/>
      <w:r>
        <w:t>Tseboïm</w:t>
      </w:r>
    </w:p>
    <w:p>
      <w:pPr>
        <w:pStyle w:val="ListBullet"/>
        <w:spacing w:line="240" w:lineRule="auto"/>
        <w:ind w:left="720"/>
      </w:pPr>
      <w:r/>
      <w:r>
        <w:t>Béla (plus tard connu sous le nom de Zoar)</w:t>
      </w:r>
    </w:p>
    <w:p>
      <w:r/>
      <w:r>
        <w:t>Chacune de ces villes était probablement une cité-État, ce qui signifie qu'elles avaient leurs propres rois.</w:t>
      </w:r>
    </w:p>
    <w:p>
      <w:r/>
      <w:r>
        <w:t>Ces villes jouent un rôle important dans la Bible de quatre manières clés :</w:t>
      </w:r>
    </w:p>
    <w:p>
      <w:pPr>
        <w:pStyle w:val="ListNumber"/>
        <w:spacing w:line="240" w:lineRule="auto"/>
        <w:ind w:left="720"/>
      </w:pPr>
      <w:r/>
      <w:r>
        <w:t>La région offrait un lieu où Lot pouvait s'installer, et il choisira d'élir domicile à Sodome.</w:t>
      </w:r>
    </w:p>
    <w:p>
      <w:pPr>
        <w:pStyle w:val="ListNumber"/>
        <w:spacing w:line="240" w:lineRule="auto"/>
        <w:ind w:left="720"/>
      </w:pPr>
      <w:r/>
      <w:r>
        <w:t>Les cinq rois de ces villes combattront contre une force plus puissante dirigée par quatre rois de terres lointaines à l'orient. Ils seront vaincus, et leurs villes seront pillées. Les envahisseurs prendront beaucoup de biens et de captifs, y compris des femmes et des enfants (</w:t>
      </w:r>
      <w:hyperlink r:id="rId6009">
        <w:r>
          <w:rPr>
            <w:color w:val="0000EE"/>
            <w:u w:val="single"/>
          </w:rPr>
          <w:t>Gn 14</w:t>
        </w:r>
      </w:hyperlink>
      <w:r>
        <w:t>). Lot faisait partie des captifs, ce qui conduira Abraham à lancer une mission de sauvetage réussie. Il récupèrera Lot, les autres captifs et les biens volés.</w:t>
      </w:r>
    </w:p>
    <w:p>
      <w:pPr>
        <w:pStyle w:val="ListNumber"/>
        <w:spacing w:line="240" w:lineRule="auto"/>
        <w:ind w:left="720"/>
      </w:pPr>
      <w:r/>
      <w:r>
        <w:t>Les villes recevront ensuite le jugement de Dieu. Leur péché était si grave que même l'intercession d'Abraham n'a pas pu les sauver (</w:t>
      </w:r>
      <w:hyperlink r:id="rId6010">
        <w:r>
          <w:rPr>
            <w:color w:val="0000EE"/>
            <w:u w:val="single"/>
          </w:rPr>
          <w:t>Gn 18.22–33</w:t>
        </w:r>
      </w:hyperlink>
      <w:r>
        <w:t>). Leur méchanceté est mise en évidence par l'histoire de la foule à Sodome qui tentera de nuire aux invités de Lot (</w:t>
      </w:r>
      <w:hyperlink r:id="rId96">
        <w:r>
          <w:rPr>
            <w:color w:val="0000EE"/>
            <w:u w:val="single"/>
          </w:rPr>
          <w:t>Gn 19</w:t>
        </w:r>
      </w:hyperlink>
      <w:r>
        <w:t>). Peu après, Lot et sa famille seront avertis et ils fuiront avant que les villes ne soient détruites. Du soufre et du feu tomberont, anéantissant les villes et modifiant radicalement le paysage.</w:t>
      </w:r>
    </w:p>
    <w:p>
      <w:pPr>
        <w:pStyle w:val="ListNumber"/>
        <w:spacing w:line="240" w:lineRule="auto"/>
        <w:ind w:left="720"/>
      </w:pPr>
      <w:r/>
      <w:r>
        <w:t>La destruction de ces villes est mentionnée dans de nombreuses autres parties de l'Ancien et du Nouveau Testament comme un avertissement de punition divine pour le péché (</w:t>
      </w:r>
      <w:hyperlink r:id="rId14775">
        <w:r>
          <w:rPr>
            <w:color w:val="0000EE"/>
            <w:u w:val="single"/>
          </w:rPr>
          <w:t>Es 3.9</w:t>
        </w:r>
      </w:hyperlink>
      <w:r>
        <w:t xml:space="preserve"> ; </w:t>
      </w:r>
      <w:hyperlink r:id="rId14776">
        <w:r>
          <w:rPr>
            <w:color w:val="0000EE"/>
            <w:u w:val="single"/>
          </w:rPr>
          <w:t>Jr 50.40</w:t>
        </w:r>
      </w:hyperlink>
      <w:r>
        <w:t xml:space="preserve"> ; </w:t>
      </w:r>
      <w:hyperlink r:id="rId14777">
        <w:r>
          <w:rPr>
            <w:color w:val="0000EE"/>
            <w:u w:val="single"/>
          </w:rPr>
          <w:t>Ez 16.46–56</w:t>
        </w:r>
      </w:hyperlink>
      <w:r>
        <w:t xml:space="preserve"> ; </w:t>
      </w:r>
      <w:hyperlink r:id="rId14014">
        <w:r>
          <w:rPr>
            <w:color w:val="0000EE"/>
            <w:u w:val="single"/>
          </w:rPr>
          <w:t>Mt 10.15</w:t>
        </w:r>
      </w:hyperlink>
      <w:r>
        <w:t xml:space="preserve"> ; </w:t>
      </w:r>
      <w:hyperlink r:id="rId6528">
        <w:r>
          <w:rPr>
            <w:color w:val="0000EE"/>
            <w:u w:val="single"/>
          </w:rPr>
          <w:t>Rm 9.29</w:t>
        </w:r>
      </w:hyperlink>
      <w:r>
        <w:t>).</w:t>
      </w:r>
      <w:r/>
      <w:r/>
    </w:p>
    <w:p>
      <w:r/>
    </w:p>
    <w:p>
      <w:pPr>
        <w:pStyle w:val="Heading2"/>
      </w:pPr>
      <w:r>
        <w:t>vœu, vœux</w:t>
      </w:r>
      <w:r/>
    </w:p>
    <w:p>
      <w:r/>
      <w:r>
        <w:t>Un vœu est une promesse exceptionnelle ou engagement devant Dieu.</w:t>
      </w:r>
    </w:p>
    <w:p>
      <w:pPr>
        <w:pStyle w:val="Heading3"/>
      </w:pPr>
      <w:r>
        <w:t>Les vœux en tant que pratique religieuse</w:t>
      </w:r>
    </w:p>
    <w:p>
      <w:r/>
      <w:r>
        <w:t>S'engager par un vœu devant Dieu de faire quelque chose est une pratique religieuse souvent mentionnée dans les Écritures. La majorité des vœux qui sont mentionnés dans la Bible se trouvent dans l'Ancien Testament (AT), en particulier dans les Psaumes. Quelques vœux sont également mentionnés dans le Nouveau Testament (NT).</w:t>
      </w:r>
    </w:p>
    <w:p>
      <w:r/>
      <w:r>
        <w:t xml:space="preserve">La dîme, les sacrifices et les offrandes, l'observance du sabbat et la circoncision sont tous des commandements dans la loi de Moïse. S'engager par un vœu ne l'est pas. Quand le </w:t>
      </w:r>
      <w:hyperlink r:id="rId14778">
        <w:r>
          <w:rPr>
            <w:color w:val="0000EE"/>
            <w:u w:val="single"/>
          </w:rPr>
          <w:t>Psaume 50.14</w:t>
        </w:r>
      </w:hyperlink>
      <w:r>
        <w:t xml:space="preserve"> dit : « </w:t>
      </w:r>
      <w:r>
        <w:t>Offre pour sacrifice à Dieu des actions de grâces et accomplis tes vœux envers le Très-Haut</w:t>
      </w:r>
      <w:r>
        <w:t xml:space="preserve"> », le commandement n'est pas de s'engager par des vœux, mais d'accomplir les vœux qui sont faits à Dieu. La pratique était donc acceptée, et des règles sont même données la concernant, mais la pratique elle-même n'est pas obligatoire.</w:t>
      </w:r>
    </w:p>
    <w:p>
      <w:pPr>
        <w:pStyle w:val="Heading3"/>
      </w:pPr>
      <w:r>
        <w:t>Types de vœux dans la Bible</w:t>
      </w:r>
    </w:p>
    <w:p>
      <w:r/>
      <w:r>
        <w:t xml:space="preserve">Les vœux bibliques peuvent avoir des buts différents. Ils peuvent accompagner la prière. Celui ou celle qui fait un vœu promet à Dieu de faire quelque chose pour exprimer de la gratitude pour une délivrance ou un bienfait. Un vœu peut aussi servir à exprimer sa dévotion à Dieu. Le vœu de </w:t>
      </w:r>
      <w:r>
        <w:t>naziréat</w:t>
      </w:r>
      <w:r>
        <w:t xml:space="preserve"> servait à se consacrer tout particulièrement au Seigneur. Samson, Samuel et Jean le Baptiste étaient tous les trois consacrés au Seigneur dès leur naissance. Le vœu de naziréat pouvait être pour une durée déterminée. </w:t>
      </w:r>
      <w:hyperlink r:id="rId14779">
        <w:r>
          <w:rPr>
            <w:color w:val="0000EE"/>
            <w:u w:val="single"/>
          </w:rPr>
          <w:t>Nombres 6.1–8</w:t>
        </w:r>
      </w:hyperlink>
      <w:r>
        <w:t xml:space="preserve"> prescrit les conditions de cet engagement. Les versets </w:t>
      </w:r>
      <w:hyperlink r:id="rId10586">
        <w:r>
          <w:rPr>
            <w:color w:val="0000EE"/>
            <w:u w:val="single"/>
          </w:rPr>
          <w:t>13–21</w:t>
        </w:r>
      </w:hyperlink>
      <w:r>
        <w:t xml:space="preserve"> expliquent comment conclure la période de consécration. </w:t>
      </w:r>
    </w:p>
    <w:p>
      <w:r/>
      <w:r>
        <w:t xml:space="preserve">Les femmes pouvaient également prendre ce vœu (verset </w:t>
      </w:r>
      <w:hyperlink r:id="rId5542">
        <w:r>
          <w:rPr>
            <w:color w:val="0000EE"/>
            <w:u w:val="single"/>
          </w:rPr>
          <w:t>2</w:t>
        </w:r>
      </w:hyperlink>
      <w:r>
        <w:t>). Le clan des Récabites vivait selon des engagements permanents que leur avait imposés leur ancêtre Récab. Ils sont présentés comme exemples de loyauté devant Dieu (</w:t>
      </w:r>
      <w:hyperlink r:id="rId8109">
        <w:r>
          <w:rPr>
            <w:color w:val="0000EE"/>
            <w:u w:val="single"/>
          </w:rPr>
          <w:t>Jr 35</w:t>
        </w:r>
      </w:hyperlink>
      <w:r>
        <w:t>).</w:t>
      </w:r>
    </w:p>
    <w:p>
      <w:r/>
      <w:r>
        <w:t>Certains vœux sont présentés comme un marché passé avec Dieu. À Béthel, Jacob promet que Dieu sera son Dieu et qu'il lui paiera la dîme de tout si Dieu l'aide pendant son exil et le ramène en paix chez les siens (</w:t>
      </w:r>
      <w:hyperlink r:id="rId14780">
        <w:r>
          <w:rPr>
            <w:color w:val="0000EE"/>
            <w:u w:val="single"/>
          </w:rPr>
          <w:t>Gn 28.20</w:t>
        </w:r>
      </w:hyperlink>
      <w:hyperlink r:id="rId10586">
        <w:r>
          <w:rPr>
            <w:color w:val="0000EE"/>
            <w:u w:val="single"/>
          </w:rPr>
          <w:t>–</w:t>
        </w:r>
      </w:hyperlink>
      <w:hyperlink r:id="rId14780">
        <w:r>
          <w:rPr>
            <w:color w:val="0000EE"/>
            <w:u w:val="single"/>
          </w:rPr>
          <w:t>22</w:t>
        </w:r>
      </w:hyperlink>
      <w:r>
        <w:t>). Anne promet que si Dieu lui donne un fils, elle le lui rendra (</w:t>
      </w:r>
      <w:hyperlink r:id="rId14781">
        <w:r>
          <w:rPr>
            <w:color w:val="0000EE"/>
            <w:u w:val="single"/>
          </w:rPr>
          <w:t>1S 1.11, 27</w:t>
        </w:r>
      </w:hyperlink>
      <w:hyperlink r:id="rId10586">
        <w:r>
          <w:rPr>
            <w:color w:val="0000EE"/>
            <w:u w:val="single"/>
          </w:rPr>
          <w:t>–</w:t>
        </w:r>
      </w:hyperlink>
      <w:hyperlink r:id="rId14781">
        <w:r>
          <w:rPr>
            <w:color w:val="0000EE"/>
            <w:u w:val="single"/>
          </w:rPr>
          <w:t>28</w:t>
        </w:r>
      </w:hyperlink>
      <w:r>
        <w:t xml:space="preserve">). Dans les Psaumes, les vœux en remerciement d'avoir été délivré du danger ou de la détresse sont souvent associés à des sacrifices d'actions de grâce (p. ex. </w:t>
      </w:r>
      <w:hyperlink r:id="rId14782">
        <w:r>
          <w:rPr>
            <w:color w:val="0000EE"/>
            <w:u w:val="single"/>
          </w:rPr>
          <w:t>Ps 22.24</w:t>
        </w:r>
      </w:hyperlink>
      <w:hyperlink r:id="rId10586">
        <w:r>
          <w:rPr>
            <w:color w:val="0000EE"/>
            <w:u w:val="single"/>
          </w:rPr>
          <w:t>–</w:t>
        </w:r>
      </w:hyperlink>
      <w:hyperlink r:id="rId14782">
        <w:r>
          <w:rPr>
            <w:color w:val="0000EE"/>
            <w:u w:val="single"/>
          </w:rPr>
          <w:t xml:space="preserve">25 </w:t>
        </w:r>
      </w:hyperlink>
      <w:r>
        <w:t xml:space="preserve">; </w:t>
      </w:r>
      <w:hyperlink r:id="rId14783">
        <w:r>
          <w:rPr>
            <w:color w:val="0000EE"/>
            <w:u w:val="single"/>
          </w:rPr>
          <w:t>56.12</w:t>
        </w:r>
      </w:hyperlink>
      <w:hyperlink r:id="rId10586">
        <w:r>
          <w:rPr>
            <w:color w:val="0000EE"/>
            <w:u w:val="single"/>
          </w:rPr>
          <w:t>–</w:t>
        </w:r>
      </w:hyperlink>
      <w:hyperlink r:id="rId14783">
        <w:r>
          <w:rPr>
            <w:color w:val="0000EE"/>
            <w:u w:val="single"/>
          </w:rPr>
          <w:t>13</w:t>
        </w:r>
      </w:hyperlink>
      <w:r>
        <w:t>).</w:t>
      </w:r>
    </w:p>
    <w:p>
      <w:r/>
      <w:r>
        <w:t>Une fois qu'un vœu est fait, il est obligatoire de l'accomplir. Ne pas faire de vœu n'est pas un péché (</w:t>
      </w:r>
      <w:hyperlink r:id="rId14784">
        <w:r>
          <w:rPr>
            <w:color w:val="0000EE"/>
            <w:u w:val="single"/>
          </w:rPr>
          <w:t>Dt 23.22</w:t>
        </w:r>
      </w:hyperlink>
      <w:r>
        <w:t>), mais ne pas tenir sa promesse à Dieu est un péché (</w:t>
      </w:r>
      <w:hyperlink r:id="rId14785">
        <w:r>
          <w:rPr>
            <w:color w:val="0000EE"/>
            <w:u w:val="single"/>
          </w:rPr>
          <w:t>Dt 23.21</w:t>
        </w:r>
      </w:hyperlink>
      <w:hyperlink r:id="rId10586">
        <w:r>
          <w:rPr>
            <w:color w:val="0000EE"/>
            <w:u w:val="single"/>
          </w:rPr>
          <w:t>–</w:t>
        </w:r>
      </w:hyperlink>
      <w:hyperlink r:id="rId14785">
        <w:r>
          <w:rPr>
            <w:color w:val="0000EE"/>
            <w:u w:val="single"/>
          </w:rPr>
          <w:t xml:space="preserve">23 </w:t>
        </w:r>
      </w:hyperlink>
      <w:r>
        <w:t xml:space="preserve">; voir aussi </w:t>
      </w:r>
      <w:hyperlink r:id="rId10815">
        <w:r>
          <w:rPr>
            <w:color w:val="0000EE"/>
            <w:u w:val="single"/>
          </w:rPr>
          <w:t xml:space="preserve">Nb 30.2 </w:t>
        </w:r>
      </w:hyperlink>
      <w:r>
        <w:t xml:space="preserve">; </w:t>
      </w:r>
      <w:hyperlink r:id="rId14786">
        <w:r>
          <w:rPr>
            <w:color w:val="0000EE"/>
            <w:u w:val="single"/>
          </w:rPr>
          <w:t>Ec 5.4</w:t>
        </w:r>
      </w:hyperlink>
      <w:hyperlink r:id="rId10586">
        <w:r>
          <w:rPr>
            <w:color w:val="0000EE"/>
            <w:u w:val="single"/>
          </w:rPr>
          <w:t>–</w:t>
        </w:r>
      </w:hyperlink>
      <w:hyperlink r:id="rId14786">
        <w:r>
          <w:rPr>
            <w:color w:val="0000EE"/>
            <w:u w:val="single"/>
          </w:rPr>
          <w:t>6</w:t>
        </w:r>
      </w:hyperlink>
      <w:r>
        <w:t>). Dans certains cas, le vœu d'une jeune fille vivant encore chez son père ou d'une femme mariée pouvait être annulé par le père ou le mari (</w:t>
      </w:r>
      <w:hyperlink r:id="rId5543">
        <w:r>
          <w:rPr>
            <w:color w:val="0000EE"/>
            <w:u w:val="single"/>
          </w:rPr>
          <w:t>Nb 30.4–16</w:t>
        </w:r>
      </w:hyperlink>
      <w:r>
        <w:t xml:space="preserve">). </w:t>
      </w:r>
    </w:p>
    <w:p>
      <w:pPr>
        <w:pStyle w:val="Heading3"/>
      </w:pPr>
      <w:r>
        <w:t>Vœux dans le Nouveau Testament</w:t>
      </w:r>
    </w:p>
    <w:p>
      <w:r/>
      <w:r>
        <w:t>Il n'y a que deux vœux mentionnés en tant que tels dans le NT. Les deux occurrences sont en rapport à l'apôtre Paul (</w:t>
      </w:r>
      <w:hyperlink r:id="rId2156">
        <w:r>
          <w:rPr>
            <w:color w:val="0000EE"/>
            <w:u w:val="single"/>
          </w:rPr>
          <w:t>Ac 18.18</w:t>
        </w:r>
      </w:hyperlink>
      <w:r>
        <w:t xml:space="preserve"> ; </w:t>
      </w:r>
      <w:hyperlink r:id="rId10587">
        <w:r>
          <w:rPr>
            <w:color w:val="0000EE"/>
            <w:u w:val="single"/>
          </w:rPr>
          <w:t>21.23</w:t>
        </w:r>
      </w:hyperlink>
      <w:hyperlink r:id="rId10586">
        <w:r>
          <w:rPr>
            <w:color w:val="0000EE"/>
            <w:u w:val="single"/>
          </w:rPr>
          <w:t>–</w:t>
        </w:r>
      </w:hyperlink>
      <w:hyperlink r:id="rId10587">
        <w:r>
          <w:rPr>
            <w:color w:val="0000EE"/>
            <w:u w:val="single"/>
          </w:rPr>
          <w:t>24</w:t>
        </w:r>
      </w:hyperlink>
      <w:r>
        <w:t>). Cependant, le même principe est présent dans le concept appelé « corban » (</w:t>
      </w:r>
      <w:hyperlink r:id="rId14787">
        <w:r>
          <w:rPr>
            <w:color w:val="0000EE"/>
            <w:u w:val="single"/>
          </w:rPr>
          <w:t>Mc 7.11</w:t>
        </w:r>
      </w:hyperlink>
      <w:hyperlink r:id="rId10586">
        <w:r>
          <w:rPr>
            <w:color w:val="0000EE"/>
            <w:u w:val="single"/>
          </w:rPr>
          <w:t>-</w:t>
        </w:r>
      </w:hyperlink>
      <w:hyperlink r:id="rId14787">
        <w:r>
          <w:rPr>
            <w:color w:val="0000EE"/>
            <w:u w:val="single"/>
          </w:rPr>
          <w:t>13</w:t>
        </w:r>
      </w:hyperlink>
      <w:r>
        <w:t xml:space="preserve"> ; </w:t>
      </w:r>
      <w:hyperlink r:id="rId14788">
        <w:r>
          <w:rPr>
            <w:color w:val="0000EE"/>
            <w:u w:val="single"/>
          </w:rPr>
          <w:t>Mt 15.5</w:t>
        </w:r>
      </w:hyperlink>
      <w:hyperlink r:id="rId10586">
        <w:r>
          <w:rPr>
            <w:color w:val="0000EE"/>
            <w:u w:val="single"/>
          </w:rPr>
          <w:t>–</w:t>
        </w:r>
      </w:hyperlink>
      <w:hyperlink r:id="rId14788">
        <w:r>
          <w:rPr>
            <w:color w:val="0000EE"/>
            <w:u w:val="single"/>
          </w:rPr>
          <w:t>6</w:t>
        </w:r>
      </w:hyperlink>
      <w:r>
        <w:t>). Dans ces deux passages, Jésus réprimande la pratique de faire un vœu de donner de l'argent à Dieu au lieu d'obéir à son commandement d'aider ses parents quand ils sont dans le besoin. Ceci montre que Dieu ne peut pas approuver une offrande qui devrait être utilisée pour aider quelqu'un que nous avons le devoir d'aider.</w:t>
      </w:r>
    </w:p>
    <w:p>
      <w:r/>
      <w:r>
        <w:t>Il est possible que Paul se soit engagé par des vœux en tant que Juif pour rassurer les Juifs chrétiens et non-chrétiens qui pensaient qu'il ne respectait plus la loi de Moïse. En effet, Paul enseignait que les Gentils n'étaient pas sous l'alliance de Moïse. Alors que Paul était à Jérusalem, il s'est rendu au Temple pour contribuer aux dépenses de quatre chrétiens juifs qui avaient fait un vœu. Mais ses ennemis l'ont accusé à tort d'avoir amené des Gentils dans la partie du Temple qui leur était défendue. Les rares vœux mentionnés dans le NT sont donc des vœux prononcés par des chrétiens juifs dans un contexte historique bien particulier.</w:t>
      </w:r>
    </w:p>
    <w:p>
      <w:r/>
      <w:r>
        <w:rPr>
          <w:i/>
        </w:rPr>
        <w:t>Voir aussi</w:t>
      </w:r>
      <w:r>
        <w:t xml:space="preserve"> </w:t>
      </w:r>
      <w:r>
        <w:t>alliance</w:t>
      </w:r>
      <w:r>
        <w:t xml:space="preserve"> ; </w:t>
      </w:r>
      <w:r>
        <w:t>serments</w:t>
      </w:r>
      <w:r>
        <w:t>.</w:t>
      </w:r>
      <w:r/>
      <w:r/>
    </w:p>
    <w:p>
      <w:r/>
    </w:p>
    <w:p>
      <w:pPr>
        <w:pStyle w:val="Heading2"/>
      </w:pPr>
      <w:r>
        <w:t>Voie Appienne</w:t>
      </w:r>
      <w:r/>
    </w:p>
    <w:p>
      <w:r/>
      <w:r>
        <w:t>Autoroute principale de Rome allant, en direction du sud, jusqu'au talon de la péninsule italienne. La Voie Appienne se terminait originellement à Capoue. Elle a ensuite été prolongée jusqu'à Brundisium, à environ 560 km de Rome. Elle doit son nom à Appius Claudius Caecus, le censeur romain qui a commencé sa construction en 312 av. J.‑C.</w:t>
      </w:r>
    </w:p>
    <w:p>
      <w:r/>
      <w:r>
        <w:t>La Via Appienne est mentionnée par les auteurs antiques Tite-Live, Strabon, Horace et d'autres dans divers contextes. Des portions de la route existent encore aujourd'hui au sud de Rome. Le pavage romain d'origine est intact à de nombreux endroits. Les ruines de certaines structures construites le long de la route originale sont également visibles.</w:t>
      </w:r>
    </w:p>
    <w:p>
      <w:r/>
      <w:r>
        <w:t>L'apôtre Paul a emprunté la voie Appienne lors de son voyage à Rome après être descendu d'un navire à Pouzzoles (</w:t>
      </w:r>
      <w:hyperlink r:id="rId14789">
        <w:r>
          <w:rPr>
            <w:color w:val="0000EE"/>
            <w:u w:val="single"/>
          </w:rPr>
          <w:t>Ac 28.13–15</w:t>
        </w:r>
      </w:hyperlink>
      <w:r>
        <w:t>). Des chrétiens de Rome sont venus à sa rencontre dans la région près des Trois Tavernes et du Forum d'Appius. Il s'agit là de deux des huit principales stations connues le long de la voie Appienne. Le Forum d'Appius était situé à 70 km de Rome au milieu des marais Pontins. Horace, écrivant en 65–68 av. J.‑C., se plaignait du bruit et de la puanteur qui assaillaient ceux qui y séjournaient. Les Trois Tavernes étaient situées à 16 km de là, en direction de Rome.</w:t>
      </w:r>
    </w:p>
    <w:p>
      <w:r/>
      <w:r>
        <w:t>La suite du voyage de Paul l'aurait conduit à passer par Bovillae, un village situé à environ 18 km de Rome. Ce village était le foyer ancestral et le centre cultuel de la famille de César Auguste. Une grande partie de la Voie Appienne, de Bovillae à Rome, était bordée de tombes. La loi romaine interdisait les enterrements à l'intérieur de la ville de Rome ; il était donc devenu courant d'enterrer les morts le long des principales routes menant à la ville.</w:t>
      </w:r>
      <w:r/>
      <w:r/>
    </w:p>
    <w:p>
      <w:r/>
    </w:p>
    <w:p>
      <w:pPr>
        <w:pStyle w:val="Heading2"/>
      </w:pPr>
      <w:r>
        <w:t>Voie, Disciples de la</w:t>
      </w:r>
      <w:r/>
    </w:p>
    <w:p>
      <w:r/>
      <w:r>
        <w:t>Nom utilisé pour les chrétiens dans le livre des Actes (</w:t>
      </w:r>
      <w:hyperlink r:id="rId8715">
        <w:r>
          <w:rPr>
            <w:color w:val="0000EE"/>
            <w:u w:val="single"/>
          </w:rPr>
          <w:t>Ac 9.2</w:t>
        </w:r>
      </w:hyperlink>
      <w:r>
        <w:t xml:space="preserve"> ; </w:t>
      </w:r>
      <w:hyperlink r:id="rId8716">
        <w:r>
          <w:rPr>
            <w:color w:val="0000EE"/>
            <w:u w:val="single"/>
          </w:rPr>
          <w:t>19.9, 23</w:t>
        </w:r>
      </w:hyperlink>
      <w:r>
        <w:t xml:space="preserve"> ; </w:t>
      </w:r>
      <w:hyperlink r:id="rId8164">
        <w:r>
          <w:rPr>
            <w:color w:val="0000EE"/>
            <w:u w:val="single"/>
          </w:rPr>
          <w:t>22.4</w:t>
        </w:r>
      </w:hyperlink>
      <w:r>
        <w:t xml:space="preserve"> ; </w:t>
      </w:r>
      <w:hyperlink r:id="rId14588">
        <w:r>
          <w:rPr>
            <w:color w:val="0000EE"/>
            <w:u w:val="single"/>
          </w:rPr>
          <w:t>24.22</w:t>
        </w:r>
      </w:hyperlink>
      <w:r>
        <w:t>). Dans ses premières années, le christianisme était appelé « la Voie ».</w:t>
      </w:r>
    </w:p>
    <w:p>
      <w:r/>
      <w:r>
        <w:rPr>
          <w:i/>
        </w:rPr>
        <w:t>Voir</w:t>
      </w:r>
      <w:r>
        <w:t xml:space="preserve"> </w:t>
      </w:r>
      <w:r>
        <w:t>Chemin, Le</w:t>
      </w:r>
      <w:r>
        <w:t>.</w:t>
      </w:r>
      <w:r/>
      <w:r/>
    </w:p>
    <w:p>
      <w:r/>
    </w:p>
    <w:p>
      <w:pPr>
        <w:pStyle w:val="Heading2"/>
      </w:pPr>
      <w:r>
        <w:t>Zélé</w:t>
      </w:r>
      <w:r/>
    </w:p>
    <w:p>
      <w:r/>
      <w:r>
        <w:t xml:space="preserve">Nom attribué à Simon dit le « Zélote » dans Matthieu 10.4 ; Marc 3.18 ; </w:t>
      </w:r>
      <w:hyperlink r:id="rId587">
        <w:r>
          <w:rPr>
            <w:color w:val="0000EE"/>
            <w:u w:val="single"/>
          </w:rPr>
          <w:t>Luc 6.15</w:t>
        </w:r>
      </w:hyperlink>
      <w:r>
        <w:t xml:space="preserve"> et </w:t>
      </w:r>
      <w:hyperlink r:id="rId588">
        <w:r>
          <w:rPr>
            <w:color w:val="0000EE"/>
            <w:u w:val="single"/>
          </w:rPr>
          <w:t>Actes 1.13</w:t>
        </w:r>
      </w:hyperlink>
      <w:r>
        <w:t xml:space="preserve"> dans la version Nouvelle Français courant. « Zélote » était le nom supplémentaire de Simon, l'un des douze disciples de Jésus.</w:t>
      </w:r>
    </w:p>
    <w:p>
      <w:r/>
      <w:r>
        <w:rPr>
          <w:i/>
        </w:rPr>
        <w:t>Voir</w:t>
      </w:r>
      <w:r>
        <w:t xml:space="preserve"> </w:t>
      </w:r>
      <w:r>
        <w:t>Simon n° 5</w:t>
      </w:r>
      <w:r>
        <w:t>.</w:t>
      </w:r>
      <w:r/>
      <w:r/>
    </w:p>
    <w:p>
      <w:r/>
    </w:p>
    <w:p>
      <w:pPr>
        <w:pStyle w:val="Heading2"/>
      </w:pPr>
      <w:r>
        <w:t>Zéresch</w:t>
      </w:r>
      <w:r/>
    </w:p>
    <w:p>
      <w:r/>
      <w:r>
        <w:t>Épouse d'Haman l'Agagite qui lui a conseillé de construire la potence (une haute structure en bois) pour pendre Mardochée (</w:t>
      </w:r>
      <w:hyperlink r:id="rId14790">
        <w:r>
          <w:rPr>
            <w:color w:val="0000EE"/>
            <w:u w:val="single"/>
          </w:rPr>
          <w:t>Est 5.10, 14</w:t>
        </w:r>
      </w:hyperlink>
      <w:r>
        <w:t>).</w:t>
      </w:r>
      <w:r/>
      <w:r/>
    </w:p>
    <w:p>
      <w:r/>
    </w:p>
    <w:p>
      <w:pPr>
        <w:pStyle w:val="Heading2"/>
      </w:pPr>
      <w:r>
        <w:t>Zéthar</w:t>
      </w:r>
      <w:r/>
    </w:p>
    <w:p>
      <w:r/>
      <w:r>
        <w:t>Un des sept fonctionnaires de confiance du palais (appelés chambellans) qui servaient le roi Assuérus de Perse. Le roi ordonnera à Zéthar et aux autres fonctionnaires d'amener la reine Vasthi à un festin pour que tout le monde puisse voir sa beauté (</w:t>
      </w:r>
      <w:hyperlink r:id="rId15">
        <w:r>
          <w:rPr>
            <w:color w:val="0000EE"/>
            <w:u w:val="single"/>
          </w:rPr>
          <w:t>Est 1.10</w:t>
        </w:r>
      </w:hyperlink>
      <w:r>
        <w:t>).</w:t>
      </w:r>
      <w:r/>
      <w:r/>
    </w:p>
    <w:p>
      <w:r/>
    </w:p>
    <w:p>
      <w:pPr>
        <w:pStyle w:val="Heading2"/>
      </w:pPr>
      <w:r>
        <w:t>Zeus</w:t>
      </w:r>
      <w:r/>
    </w:p>
    <w:p>
      <w:r/>
      <w:r>
        <w:t xml:space="preserve">Divinité principale du panthéon grec (Jupiter romain). Zeus était initialement vénéré dans le cadre du culte animiste, en tant que dieu du ciel avec le tonnerre comme manifestation principale. Bien avant l'époque d'Homère, cependant, Zeus était devenu le dieu personnel prééminent des habitants grecs de Thessalie, le mont Olympe servant de point focal du culte. À l'époque du Nouveau Testament, Zeus était considéré comme le dieu paternel du panthéon grec, possédant des pouvoirs suprêmes. La citation que Paul utilise dans </w:t>
      </w:r>
      <w:hyperlink r:id="rId1131">
        <w:r>
          <w:rPr>
            <w:color w:val="0000EE"/>
            <w:u w:val="single"/>
          </w:rPr>
          <w:t>Actes 17.28</w:t>
        </w:r>
      </w:hyperlink>
      <w:r>
        <w:t xml:space="preserve"> de Cléanthe (et/ou Aratus) était à l'origine attribuée à Zeus : « </w:t>
      </w:r>
      <w:r>
        <w:t>en lui nous avons la vie, le mouvement, et l’être</w:t>
      </w:r>
      <w:r>
        <w:t xml:space="preserve"> ».</w:t>
      </w:r>
    </w:p>
    <w:p>
      <w:r/>
      <w:r>
        <w:t>C'est dans le récit de la rencontre de Paul et Barnabas avec le prêtre de Zeus à Lystre que cette divinité ressort le plus dans le texte biblique (</w:t>
      </w:r>
      <w:hyperlink r:id="rId14791">
        <w:r>
          <w:rPr>
            <w:color w:val="0000EE"/>
            <w:u w:val="single"/>
          </w:rPr>
          <w:t>Ac 14.8–18</w:t>
        </w:r>
      </w:hyperlink>
      <w:r>
        <w:t>). Parce que Paul et Barnabas avaient guéri un homme boiteux, les habitants de Lystre ont tenté de les adorer, identifiant Barnabas à Zeus et Paul à Hermès, le messager des dieux. Il n'était pas improbable que cette méprise ait lieu, puisque les dieux grecs étaient souvent représentés comme prenant des apparences humaines et intervenant directement dans les affaires humaines. Contrairement au vrai Dieu, Zeus et ses consorts étaient souvent vus comme accordant capricieusement faveur ou défaveur. L'attribution de la « divinité » à Paul et Barnabas leur a permis d'identifier les différences clés entre la théologie grecque et chrétienne.</w:t>
      </w:r>
      <w:r/>
      <w:r/>
    </w:p>
    <w:p>
      <w:r/>
    </w:p>
    <w:p>
      <w:pPr>
        <w:pStyle w:val="Heading2"/>
      </w:pPr>
      <w:r>
        <w:t>Ziggourat</w:t>
      </w:r>
      <w:r/>
    </w:p>
    <w:p>
      <w:r/>
      <w:r>
        <w:t>Mot signifiant « tour de temple ». Une ziggourat ressemblait à la pyramide à degrés d'Égypte et était utilisée pour le culte.</w:t>
      </w:r>
    </w:p>
    <w:p>
      <w:r/>
      <w:r>
        <w:t>Les ziggourats étaient souvent construites dans les grandes villes de Mésopotamie. On pense que la Tour de Babel était basée sur ce type de bâtiment (</w:t>
      </w:r>
      <w:hyperlink r:id="rId1525">
        <w:r>
          <w:rPr>
            <w:color w:val="0000EE"/>
            <w:u w:val="single"/>
          </w:rPr>
          <w:t>Gn 11.1</w:t>
        </w:r>
      </w:hyperlink>
      <w:r>
        <w:t>–</w:t>
      </w:r>
      <w:hyperlink r:id="rId1525">
        <w:r>
          <w:rPr>
            <w:color w:val="0000EE"/>
            <w:u w:val="single"/>
          </w:rPr>
          <w:t>9</w:t>
        </w:r>
      </w:hyperlink>
      <w:r>
        <w:t>).</w:t>
      </w:r>
    </w:p>
    <w:p>
      <w:r/>
      <w:r>
        <w:t>La croyance répandue était que les dieux vivaient dans des lieux élevés. Par conséquent, le culte était jugé se devait d'être vécu sur les collines ou les montagnes. Cependant, il n'y avait pas de collines ou de pierres de construction adaptées en Mésopotamie et les Mésopotamiens en ont donc construit avec des briques de boue. Les ziggourats en briques de boue étaient édifiées pour ressembler à des collines où le fidèle ou le prêtre pouvait se rapprocher des dieux.</w:t>
      </w:r>
    </w:p>
    <w:p>
      <w:r/>
      <w:r>
        <w:t>À l'instar des pyramides d'Égypte, ces tours de temple étaient carrées. Au lieu d'avoir des côtés inclinés, elles comportaient une série de terrasses qui diminuaient de taille à mesure qu'elles s'élevaient. Des escaliers ou des rampes permettaient d'accéder à chaque niveau, et le niveau supérieur abritait un sanctuaire ou un autel où les prêtres menaient des cérémonies religieuses. La grande ziggourat à sept étages de Babylone mesurait près de 90 m de côté à la base et s'élevait à peu près à la même hauteur.</w:t>
      </w:r>
      <w:r/>
      <w:r/>
    </w:p>
    <w:p>
      <w:r/>
    </w:p>
    <w:p>
      <w:pPr>
        <w:pStyle w:val="Heading2"/>
      </w:pPr>
      <w:r>
        <w:t>Zimran</w:t>
      </w:r>
      <w:r/>
    </w:p>
    <w:p>
      <w:r/>
      <w:r>
        <w:t>Un des fils d'Abraham par Ketura (</w:t>
      </w:r>
      <w:hyperlink r:id="rId7246">
        <w:r>
          <w:rPr>
            <w:color w:val="0000EE"/>
            <w:u w:val="single"/>
          </w:rPr>
          <w:t>Gn 25.2</w:t>
        </w:r>
      </w:hyperlink>
      <w:r>
        <w:t xml:space="preserve"> ; </w:t>
      </w:r>
      <w:hyperlink r:id="rId3038">
        <w:r>
          <w:rPr>
            <w:color w:val="0000EE"/>
            <w:u w:val="single"/>
          </w:rPr>
          <w:t>1Ch 1.32</w:t>
        </w:r>
      </w:hyperlink>
      <w:r>
        <w:t>). Contrairement aux autres fils d'Abraham et de Ketura, il y a peu de preuves que Zimran soit associé à un groupe tribal ultérieur.</w:t>
      </w:r>
      <w:r/>
      <w:r/>
    </w:p>
    <w:p>
      <w:r/>
    </w:p>
    <w:p>
      <w:pPr>
        <w:pStyle w:val="Heading2"/>
      </w:pPr>
      <w:r>
        <w:t>Zimri (Lieu)</w:t>
      </w:r>
      <w:r/>
    </w:p>
    <w:p>
      <w:r/>
      <w:r>
        <w:t>Lieu et peuples de l'Orient, listés avec Élam et la Médie, contre lesquels la colère de Dieu s'abattrait (</w:t>
      </w:r>
      <w:hyperlink r:id="rId14792">
        <w:r>
          <w:rPr>
            <w:color w:val="0000EE"/>
            <w:u w:val="single"/>
          </w:rPr>
          <w:t>Jr 25.25</w:t>
        </w:r>
      </w:hyperlink>
      <w:r>
        <w:t>). L'emplacement et l'histoire de Zimri sont inconnus ; certains identifient son origine avec Zimran, fils d'Abraham et de Ketura (</w:t>
      </w:r>
      <w:hyperlink r:id="rId7246">
        <w:r>
          <w:rPr>
            <w:color w:val="0000EE"/>
            <w:u w:val="single"/>
          </w:rPr>
          <w:t>Gn 25.2</w:t>
        </w:r>
      </w:hyperlink>
      <w:r>
        <w:t>).</w:t>
      </w:r>
      <w:r/>
      <w:r/>
    </w:p>
    <w:p>
      <w:r/>
    </w:p>
    <w:p>
      <w:pPr>
        <w:pStyle w:val="Heading2"/>
      </w:pPr>
      <w:r>
        <w:t>Zuzim</w:t>
      </w:r>
      <w:r/>
    </w:p>
    <w:p>
      <w:r/>
      <w:r>
        <w:t>Un des royaumes attaqués et vaincus par la confédération de Kedorlaomer (</w:t>
      </w:r>
      <w:hyperlink r:id="rId704">
        <w:r>
          <w:rPr>
            <w:color w:val="0000EE"/>
            <w:u w:val="single"/>
          </w:rPr>
          <w:t>Gn 14.5</w:t>
        </w:r>
      </w:hyperlink>
      <w:r>
        <w:t xml:space="preserve">), mentionné comme résidant de Cham et probablement situé quelque part au nord de la rivière Arnon, puisque la route générale empruntée par Kedorlaomer allait du nord au sud le long de la route royale. Il est possible que ces Zuzim soient associés aux </w:t>
      </w:r>
      <w:r>
        <w:t>Zamzummim</w:t>
      </w:r>
      <w:r>
        <w:t xml:space="preserve"> de </w:t>
      </w:r>
      <w:hyperlink r:id="rId5911">
        <w:r>
          <w:rPr>
            <w:color w:val="0000EE"/>
            <w:u w:val="single"/>
          </w:rPr>
          <w:t>Deutéronome 2.20</w:t>
        </w:r>
      </w:hyperlink>
      <w:r>
        <w:t>, car les deux sont liés au même lieu géographique. De plus, les deux passages parlent d'eux en lien avec des races de géants, y compris les Horites, les Emim et les Rephaïm.</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tyndaleopenresources.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Esth1:10" TargetMode="External"/><Relationship Id="rId16" Type="http://schemas.openxmlformats.org/officeDocument/2006/relationships/hyperlink" Target="https://ref.ly/Mark14:36" TargetMode="External"/><Relationship Id="rId17" Type="http://schemas.openxmlformats.org/officeDocument/2006/relationships/hyperlink" Target="https://ref.ly/Rom8:15" TargetMode="External"/><Relationship Id="rId18" Type="http://schemas.openxmlformats.org/officeDocument/2006/relationships/hyperlink" Target="https://ref.ly/Gal4:6" TargetMode="External"/><Relationship Id="rId19" Type="http://schemas.openxmlformats.org/officeDocument/2006/relationships/hyperlink" Target="https://ref.ly/Gen4:2" TargetMode="External"/><Relationship Id="rId20" Type="http://schemas.openxmlformats.org/officeDocument/2006/relationships/hyperlink" Target="https://ref.ly/Gen4:7" TargetMode="External"/><Relationship Id="rId21" Type="http://schemas.openxmlformats.org/officeDocument/2006/relationships/hyperlink" Target="https://ref.ly/Matt23:35" TargetMode="External"/><Relationship Id="rId22" Type="http://schemas.openxmlformats.org/officeDocument/2006/relationships/hyperlink" Target="https://ref.ly/Luke11:51" TargetMode="External"/><Relationship Id="rId23" Type="http://schemas.openxmlformats.org/officeDocument/2006/relationships/hyperlink" Target="https://ref.ly/Heb11:4" TargetMode="External"/><Relationship Id="rId24" Type="http://schemas.openxmlformats.org/officeDocument/2006/relationships/hyperlink" Target="https://ref.ly/Gen50:11" TargetMode="External"/><Relationship Id="rId25" Type="http://schemas.openxmlformats.org/officeDocument/2006/relationships/hyperlink" Target="https://ref.ly/1Sam21:1-1Sam22:23" TargetMode="External"/><Relationship Id="rId26" Type="http://schemas.openxmlformats.org/officeDocument/2006/relationships/hyperlink" Target="https://ref.ly/1Sam23:6" TargetMode="External"/><Relationship Id="rId27" Type="http://schemas.openxmlformats.org/officeDocument/2006/relationships/hyperlink" Target="https://ref.ly/1Sam30:7-1Sam30:8" TargetMode="External"/><Relationship Id="rId28" Type="http://schemas.openxmlformats.org/officeDocument/2006/relationships/hyperlink" Target="https://ref.ly/1Kgs1:5-1Kgs1:7" TargetMode="External"/><Relationship Id="rId29" Type="http://schemas.openxmlformats.org/officeDocument/2006/relationships/hyperlink" Target="https://ref.ly/1Kgs2:26-1Kgs2:27" TargetMode="External"/><Relationship Id="rId30" Type="http://schemas.openxmlformats.org/officeDocument/2006/relationships/hyperlink" Target="https://ref.ly/1Sam22:20" TargetMode="External"/><Relationship Id="rId31" Type="http://schemas.openxmlformats.org/officeDocument/2006/relationships/hyperlink" Target="https://ref.ly/2Sam8:17" TargetMode="External"/><Relationship Id="rId32" Type="http://schemas.openxmlformats.org/officeDocument/2006/relationships/hyperlink" Target="https://ref.ly/1Chr18:16" TargetMode="External"/><Relationship Id="rId33" Type="http://schemas.openxmlformats.org/officeDocument/2006/relationships/hyperlink" Target="https://ref.ly/1Chr24:6" TargetMode="External"/><Relationship Id="rId34" Type="http://schemas.openxmlformats.org/officeDocument/2006/relationships/hyperlink" Target="https://ref.ly/Mark2:26" TargetMode="External"/><Relationship Id="rId35" Type="http://schemas.openxmlformats.org/officeDocument/2006/relationships/hyperlink" Target="https://ref.ly/1Sam21:1-1Sam21:2" TargetMode="External"/><Relationship Id="rId36" Type="http://schemas.openxmlformats.org/officeDocument/2006/relationships/hyperlink" Target="https://ref.ly/Num3:35" TargetMode="External"/><Relationship Id="rId37" Type="http://schemas.openxmlformats.org/officeDocument/2006/relationships/hyperlink" Target="https://ref.ly/1Chr2:29" TargetMode="External"/><Relationship Id="rId38" Type="http://schemas.openxmlformats.org/officeDocument/2006/relationships/hyperlink" Target="https://ref.ly/1Chr5:14" TargetMode="External"/><Relationship Id="rId39" Type="http://schemas.openxmlformats.org/officeDocument/2006/relationships/hyperlink" Target="https://ref.ly/2Chr11:18" TargetMode="External"/><Relationship Id="rId40" Type="http://schemas.openxmlformats.org/officeDocument/2006/relationships/hyperlink" Target="https://ref.ly/Esth2:15" TargetMode="External"/><Relationship Id="rId41" Type="http://schemas.openxmlformats.org/officeDocument/2006/relationships/hyperlink" Target="https://ref.ly/Esth9:29" TargetMode="External"/><Relationship Id="rId42" Type="http://schemas.openxmlformats.org/officeDocument/2006/relationships/hyperlink" Target="https://ref.ly/Gen25:2,Gen25:4" TargetMode="External"/><Relationship Id="rId43" Type="http://schemas.openxmlformats.org/officeDocument/2006/relationships/hyperlink" Target="https://ref.ly/1Chr1:33" TargetMode="External"/><Relationship Id="rId44" Type="http://schemas.openxmlformats.org/officeDocument/2006/relationships/hyperlink" Target="https://ref.ly/Gen10:28" TargetMode="External"/><Relationship Id="rId45" Type="http://schemas.openxmlformats.org/officeDocument/2006/relationships/hyperlink" Target="https://ref.ly/1Chr1:22" TargetMode="External"/><Relationship Id="rId46" Type="http://schemas.openxmlformats.org/officeDocument/2006/relationships/hyperlink" Target="https://ref.ly/Gen1:2" TargetMode="External"/><Relationship Id="rId47" Type="http://schemas.openxmlformats.org/officeDocument/2006/relationships/hyperlink" Target="https://ref.ly/Ps33:7" TargetMode="External"/><Relationship Id="rId48" Type="http://schemas.openxmlformats.org/officeDocument/2006/relationships/hyperlink" Target="https://ref.ly/Ps77:16" TargetMode="External"/><Relationship Id="rId49" Type="http://schemas.openxmlformats.org/officeDocument/2006/relationships/hyperlink" Target="https://ref.ly/Ps71:20" TargetMode="External"/><Relationship Id="rId50" Type="http://schemas.openxmlformats.org/officeDocument/2006/relationships/hyperlink" Target="https://ref.ly/Luke8:31" TargetMode="External"/><Relationship Id="rId51" Type="http://schemas.openxmlformats.org/officeDocument/2006/relationships/hyperlink" Target="https://ref.ly/2Pet2:4" TargetMode="External"/><Relationship Id="rId52" Type="http://schemas.openxmlformats.org/officeDocument/2006/relationships/hyperlink" Target="https://ref.ly/Jude1:6" TargetMode="External"/><Relationship Id="rId53" Type="http://schemas.openxmlformats.org/officeDocument/2006/relationships/hyperlink" Target="https://ref.ly/1Pet3:19" TargetMode="External"/><Relationship Id="rId54" Type="http://schemas.openxmlformats.org/officeDocument/2006/relationships/hyperlink" Target="https://ref.ly/1Pet4:6" TargetMode="External"/><Relationship Id="rId55" Type="http://schemas.openxmlformats.org/officeDocument/2006/relationships/hyperlink" Target="https://ref.ly/Rom10:7" TargetMode="External"/><Relationship Id="rId56" Type="http://schemas.openxmlformats.org/officeDocument/2006/relationships/hyperlink" Target="https://ref.ly/Deut30:12-Deut30:13" TargetMode="External"/><Relationship Id="rId57" Type="http://schemas.openxmlformats.org/officeDocument/2006/relationships/hyperlink" Target="https://ref.ly/Rev9:1-Rev9:11" TargetMode="External"/><Relationship Id="rId58" Type="http://schemas.openxmlformats.org/officeDocument/2006/relationships/hyperlink" Target="https://ref.ly/Rev9:11" TargetMode="External"/><Relationship Id="rId59" Type="http://schemas.openxmlformats.org/officeDocument/2006/relationships/hyperlink" Target="https://ref.ly/Rev11:7" TargetMode="External"/><Relationship Id="rId60" Type="http://schemas.openxmlformats.org/officeDocument/2006/relationships/hyperlink" Target="https://ref.ly/Rev17:8" TargetMode="External"/><Relationship Id="rId61" Type="http://schemas.openxmlformats.org/officeDocument/2006/relationships/hyperlink" Target="https://ref.ly/Rev20:1,Rev20:3" TargetMode="External"/><Relationship Id="rId62" Type="http://schemas.openxmlformats.org/officeDocument/2006/relationships/hyperlink" Target="https://ref.ly/Rev9:1" TargetMode="External"/><Relationship Id="rId63" Type="http://schemas.openxmlformats.org/officeDocument/2006/relationships/hyperlink" Target="https://ref.ly/Rev20:2-Rev20:3" TargetMode="External"/><Relationship Id="rId64" Type="http://schemas.openxmlformats.org/officeDocument/2006/relationships/hyperlink" Target="https://ref.ly/Rev9:2" TargetMode="External"/><Relationship Id="rId65" Type="http://schemas.openxmlformats.org/officeDocument/2006/relationships/hyperlink" Target="https://ref.ly/Rev20:10-Rev20:15" TargetMode="External"/><Relationship Id="rId66" Type="http://schemas.openxmlformats.org/officeDocument/2006/relationships/hyperlink" Target="https://ref.ly/Rev12:9" TargetMode="External"/><Relationship Id="rId67" Type="http://schemas.openxmlformats.org/officeDocument/2006/relationships/hyperlink" Target="https://ref.ly/Gen20:1-Gen20:18" TargetMode="External"/><Relationship Id="rId68" Type="http://schemas.openxmlformats.org/officeDocument/2006/relationships/hyperlink" Target="https://ref.ly/Gen12:10-Gen12:20" TargetMode="External"/><Relationship Id="rId69" Type="http://schemas.openxmlformats.org/officeDocument/2006/relationships/hyperlink" Target="https://ref.ly/Gen21:22-Gen21:34" TargetMode="External"/><Relationship Id="rId70" Type="http://schemas.openxmlformats.org/officeDocument/2006/relationships/hyperlink" Target="https://ref.ly/Gen26:1-Gen26:11" TargetMode="External"/><Relationship Id="rId71" Type="http://schemas.openxmlformats.org/officeDocument/2006/relationships/hyperlink" Target="https://ref.ly/Gen26:12-Gen26:22" TargetMode="External"/><Relationship Id="rId72" Type="http://schemas.openxmlformats.org/officeDocument/2006/relationships/hyperlink" Target="https://ref.ly/Gen26:26-Gen26:33" TargetMode="External"/><Relationship Id="rId73" Type="http://schemas.openxmlformats.org/officeDocument/2006/relationships/hyperlink" Target="https://ref.ly/Judg8:31" TargetMode="External"/><Relationship Id="rId74" Type="http://schemas.openxmlformats.org/officeDocument/2006/relationships/hyperlink" Target="https://ref.ly/Judg9:1-Judg9:5" TargetMode="External"/><Relationship Id="rId75" Type="http://schemas.openxmlformats.org/officeDocument/2006/relationships/hyperlink" Target="https://ref.ly/Judg9:22-Judg9:49" TargetMode="External"/><Relationship Id="rId76" Type="http://schemas.openxmlformats.org/officeDocument/2006/relationships/hyperlink" Target="https://ref.ly/Judg9:53-Judg9:57" TargetMode="External"/><Relationship Id="rId77" Type="http://schemas.openxmlformats.org/officeDocument/2006/relationships/hyperlink" Target="https://ref.ly/1Sam21:10-1Sam21:15" TargetMode="External"/><Relationship Id="rId78" Type="http://schemas.openxmlformats.org/officeDocument/2006/relationships/hyperlink" Target="https://ref.ly/Gen17:5" TargetMode="External"/><Relationship Id="rId79" Type="http://schemas.openxmlformats.org/officeDocument/2006/relationships/hyperlink" Target="https://ref.ly/Gen11:30" TargetMode="External"/><Relationship Id="rId80" Type="http://schemas.openxmlformats.org/officeDocument/2006/relationships/hyperlink" Target="https://ref.ly/Gen17:1-Gen17:4" TargetMode="External"/><Relationship Id="rId81" Type="http://schemas.openxmlformats.org/officeDocument/2006/relationships/hyperlink" Target="https://ref.ly/Gen17:17" TargetMode="External"/><Relationship Id="rId82" Type="http://schemas.openxmlformats.org/officeDocument/2006/relationships/hyperlink" Target="https://ref.ly/Gen11:1-Gen11:32" TargetMode="External"/><Relationship Id="rId83" Type="http://schemas.openxmlformats.org/officeDocument/2006/relationships/hyperlink" Target="https://ref.ly/Gen11:26-Gen11:32" TargetMode="External"/><Relationship Id="rId84" Type="http://schemas.openxmlformats.org/officeDocument/2006/relationships/hyperlink" Target="https://ref.ly/Gen11:31" TargetMode="External"/><Relationship Id="rId85" Type="http://schemas.openxmlformats.org/officeDocument/2006/relationships/hyperlink" Target="https://ref.ly/Acts7:2-Acts7:4" TargetMode="External"/><Relationship Id="rId86" Type="http://schemas.openxmlformats.org/officeDocument/2006/relationships/hyperlink" Target="https://ref.ly/Gen12:1-Gen12:3" TargetMode="External"/><Relationship Id="rId87" Type="http://schemas.openxmlformats.org/officeDocument/2006/relationships/hyperlink" Target="https://ref.ly/Gen12:7" TargetMode="External"/><Relationship Id="rId88" Type="http://schemas.openxmlformats.org/officeDocument/2006/relationships/hyperlink" Target="https://ref.ly/Gen12:8" TargetMode="External"/><Relationship Id="rId89" Type="http://schemas.openxmlformats.org/officeDocument/2006/relationships/hyperlink" Target="https://ref.ly/Gen15:1" TargetMode="External"/><Relationship Id="rId90" Type="http://schemas.openxmlformats.org/officeDocument/2006/relationships/hyperlink" Target="https://ref.ly/Gen15:2" TargetMode="External"/><Relationship Id="rId91" Type="http://schemas.openxmlformats.org/officeDocument/2006/relationships/hyperlink" Target="https://ref.ly/Gen15:4" TargetMode="External"/><Relationship Id="rId92" Type="http://schemas.openxmlformats.org/officeDocument/2006/relationships/hyperlink" Target="https://ref.ly/Gen17:1-Gen17:27" TargetMode="External"/><Relationship Id="rId93" Type="http://schemas.openxmlformats.org/officeDocument/2006/relationships/hyperlink" Target="https://ref.ly/Gen17:9-Gen17:14" TargetMode="External"/><Relationship Id="rId94" Type="http://schemas.openxmlformats.org/officeDocument/2006/relationships/hyperlink" Target="https://ref.ly/Gen17:15" TargetMode="External"/><Relationship Id="rId95" Type="http://schemas.openxmlformats.org/officeDocument/2006/relationships/hyperlink" Target="https://ref.ly/Gen18:1-Gen18:33" TargetMode="External"/><Relationship Id="rId96" Type="http://schemas.openxmlformats.org/officeDocument/2006/relationships/hyperlink" Target="https://ref.ly/Gen19:1-Gen19:38" TargetMode="External"/><Relationship Id="rId97" Type="http://schemas.openxmlformats.org/officeDocument/2006/relationships/hyperlink" Target="https://ref.ly/Gen18:1-Gen18:2" TargetMode="External"/><Relationship Id="rId98" Type="http://schemas.openxmlformats.org/officeDocument/2006/relationships/hyperlink" Target="https://ref.ly/Gen19:1" TargetMode="External"/><Relationship Id="rId99" Type="http://schemas.openxmlformats.org/officeDocument/2006/relationships/hyperlink" Target="https://ref.ly/Gen18:17" TargetMode="External"/><Relationship Id="rId100" Type="http://schemas.openxmlformats.org/officeDocument/2006/relationships/hyperlink" Target="https://ref.ly/Gen18:33" TargetMode="External"/><Relationship Id="rId101" Type="http://schemas.openxmlformats.org/officeDocument/2006/relationships/hyperlink" Target="https://ref.ly/Gen18:12-Gen18:15" TargetMode="External"/><Relationship Id="rId102" Type="http://schemas.openxmlformats.org/officeDocument/2006/relationships/hyperlink" Target="https://ref.ly/Gen21:1-Gen21:34" TargetMode="External"/><Relationship Id="rId103" Type="http://schemas.openxmlformats.org/officeDocument/2006/relationships/hyperlink" Target="https://ref.ly/Gen23:1-Gen23:20" TargetMode="External"/><Relationship Id="rId104" Type="http://schemas.openxmlformats.org/officeDocument/2006/relationships/hyperlink" Target="https://ref.ly/Gen21:1" TargetMode="External"/><Relationship Id="rId105" Type="http://schemas.openxmlformats.org/officeDocument/2006/relationships/hyperlink" Target="https://ref.ly/Gen21:6" TargetMode="External"/><Relationship Id="rId106" Type="http://schemas.openxmlformats.org/officeDocument/2006/relationships/hyperlink" Target="https://ref.ly/Gen22:1-Gen22:24" TargetMode="External"/><Relationship Id="rId107" Type="http://schemas.openxmlformats.org/officeDocument/2006/relationships/hyperlink" Target="https://ref.ly/Gen22:11" TargetMode="External"/><Relationship Id="rId108" Type="http://schemas.openxmlformats.org/officeDocument/2006/relationships/hyperlink" Target="https://ref.ly/Gen22:12" TargetMode="External"/><Relationship Id="rId109" Type="http://schemas.openxmlformats.org/officeDocument/2006/relationships/hyperlink" Target="https://ref.ly/Gen11:26" TargetMode="External"/><Relationship Id="rId110" Type="http://schemas.openxmlformats.org/officeDocument/2006/relationships/hyperlink" Target="https://ref.ly/Gen36:38-Gen36:39" TargetMode="External"/><Relationship Id="rId111" Type="http://schemas.openxmlformats.org/officeDocument/2006/relationships/hyperlink" Target="https://ref.ly/1Chr1:49" TargetMode="External"/><Relationship Id="rId112" Type="http://schemas.openxmlformats.org/officeDocument/2006/relationships/hyperlink" Target="https://ref.ly/2Kgs22:12-2Kgs22:14" TargetMode="External"/><Relationship Id="rId113" Type="http://schemas.openxmlformats.org/officeDocument/2006/relationships/hyperlink" Target="https://ref.ly/2Chr34:20" TargetMode="External"/><Relationship Id="rId114" Type="http://schemas.openxmlformats.org/officeDocument/2006/relationships/hyperlink" Target="https://ref.ly/Jer26:22" TargetMode="External"/><Relationship Id="rId115" Type="http://schemas.openxmlformats.org/officeDocument/2006/relationships/hyperlink" Target="https://ref.ly/Jer36:12" TargetMode="External"/><Relationship Id="rId116" Type="http://schemas.openxmlformats.org/officeDocument/2006/relationships/hyperlink" Target="https://ref.ly/Gen10:10" TargetMode="External"/><Relationship Id="rId117" Type="http://schemas.openxmlformats.org/officeDocument/2006/relationships/hyperlink" Target="https://ref.ly/Judg1:31" TargetMode="External"/><Relationship Id="rId118" Type="http://schemas.openxmlformats.org/officeDocument/2006/relationships/hyperlink" Target="https://ref.ly/1Kgs9:11-1Kgs9:14" TargetMode="External"/><Relationship Id="rId119" Type="http://schemas.openxmlformats.org/officeDocument/2006/relationships/hyperlink" Target="https://ref.ly/Acts21:7" TargetMode="External"/><Relationship Id="rId120" Type="http://schemas.openxmlformats.org/officeDocument/2006/relationships/hyperlink" Target="https://ref.ly/Acts1:19" TargetMode="External"/><Relationship Id="rId121" Type="http://schemas.openxmlformats.org/officeDocument/2006/relationships/hyperlink" Target="https://ref.ly/Num26:38" TargetMode="External"/><Relationship Id="rId122" Type="http://schemas.openxmlformats.org/officeDocument/2006/relationships/hyperlink" Target="https://ref.ly/1Chr8:1" TargetMode="External"/><Relationship Id="rId123" Type="http://schemas.openxmlformats.org/officeDocument/2006/relationships/hyperlink" Target="https://ref.ly/Gen46:21" TargetMode="External"/><Relationship Id="rId124" Type="http://schemas.openxmlformats.org/officeDocument/2006/relationships/hyperlink" Target="https://ref.ly/1Chr7:12" TargetMode="External"/><Relationship Id="rId125" Type="http://schemas.openxmlformats.org/officeDocument/2006/relationships/hyperlink" Target="https://ref.ly/Acts17:34" TargetMode="External"/><Relationship Id="rId126" Type="http://schemas.openxmlformats.org/officeDocument/2006/relationships/hyperlink" Target="https://ref.ly/Col4:14" TargetMode="External"/><Relationship Id="rId127" Type="http://schemas.openxmlformats.org/officeDocument/2006/relationships/hyperlink" Target="https://ref.ly/Col4:10-Col4:17" TargetMode="External"/><Relationship Id="rId128" Type="http://schemas.openxmlformats.org/officeDocument/2006/relationships/hyperlink" Target="https://ref.ly/2Tim4:11" TargetMode="External"/><Relationship Id="rId129" Type="http://schemas.openxmlformats.org/officeDocument/2006/relationships/hyperlink" Target="https://ref.ly/Phlm1:24" TargetMode="External"/><Relationship Id="rId130" Type="http://schemas.openxmlformats.org/officeDocument/2006/relationships/hyperlink" Target="https://ref.ly/Acts16:9-Acts16:10" TargetMode="External"/><Relationship Id="rId131" Type="http://schemas.openxmlformats.org/officeDocument/2006/relationships/hyperlink" Target="https://ref.ly/Acts20:5-Acts20:6" TargetMode="External"/><Relationship Id="rId132" Type="http://schemas.openxmlformats.org/officeDocument/2006/relationships/hyperlink" Target="https://ref.ly/Acts27:1" TargetMode="External"/><Relationship Id="rId133" Type="http://schemas.openxmlformats.org/officeDocument/2006/relationships/hyperlink" Target="https://ref.ly/Acts16:9-Acts16:18" TargetMode="External"/><Relationship Id="rId134" Type="http://schemas.openxmlformats.org/officeDocument/2006/relationships/hyperlink" Target="https://ref.ly/Acts20:5-Acts21:18" TargetMode="External"/><Relationship Id="rId135" Type="http://schemas.openxmlformats.org/officeDocument/2006/relationships/hyperlink" Target="https://ref.ly/Acts27:1-Acts28:16" TargetMode="External"/><Relationship Id="rId136" Type="http://schemas.openxmlformats.org/officeDocument/2006/relationships/hyperlink" Target="https://ref.ly/Luke1:1-Luke1:4" TargetMode="External"/><Relationship Id="rId137" Type="http://schemas.openxmlformats.org/officeDocument/2006/relationships/hyperlink" Target="https://ref.ly/Acts23:26" TargetMode="External"/><Relationship Id="rId138" Type="http://schemas.openxmlformats.org/officeDocument/2006/relationships/hyperlink" Target="https://ref.ly/Acts24:2" TargetMode="External"/><Relationship Id="rId139" Type="http://schemas.openxmlformats.org/officeDocument/2006/relationships/hyperlink" Target="https://ref.ly/Acts26:25" TargetMode="External"/><Relationship Id="rId140" Type="http://schemas.openxmlformats.org/officeDocument/2006/relationships/hyperlink" Target="https://ref.ly/Acts16:39" TargetMode="External"/><Relationship Id="rId141" Type="http://schemas.openxmlformats.org/officeDocument/2006/relationships/hyperlink" Target="https://ref.ly/Acts18:14-Acts18:17" TargetMode="External"/><Relationship Id="rId142" Type="http://schemas.openxmlformats.org/officeDocument/2006/relationships/hyperlink" Target="https://ref.ly/Acts19:37" TargetMode="External"/><Relationship Id="rId143" Type="http://schemas.openxmlformats.org/officeDocument/2006/relationships/hyperlink" Target="https://ref.ly/Acts23:29" TargetMode="External"/><Relationship Id="rId144" Type="http://schemas.openxmlformats.org/officeDocument/2006/relationships/hyperlink" Target="https://ref.ly/Acts25:25" TargetMode="External"/><Relationship Id="rId145" Type="http://schemas.openxmlformats.org/officeDocument/2006/relationships/hyperlink" Target="https://ref.ly/Acts26:32" TargetMode="External"/><Relationship Id="rId146" Type="http://schemas.openxmlformats.org/officeDocument/2006/relationships/hyperlink" Target="https://ref.ly/Acts28:16-Acts28:31" TargetMode="External"/><Relationship Id="rId147" Type="http://schemas.openxmlformats.org/officeDocument/2006/relationships/hyperlink" Target="https://ref.ly/Acts1:1-Acts12:25" TargetMode="External"/><Relationship Id="rId148" Type="http://schemas.openxmlformats.org/officeDocument/2006/relationships/hyperlink" Target="https://ref.ly/Acts9:1-Acts9:43" TargetMode="External"/><Relationship Id="rId149" Type="http://schemas.openxmlformats.org/officeDocument/2006/relationships/hyperlink" Target="https://ref.ly/Acts9:31-Acts11:26" TargetMode="External"/><Relationship Id="rId150" Type="http://schemas.openxmlformats.org/officeDocument/2006/relationships/hyperlink" Target="https://ref.ly/Gal1:18-Gal1:21" TargetMode="External"/><Relationship Id="rId151" Type="http://schemas.openxmlformats.org/officeDocument/2006/relationships/hyperlink" Target="https://ref.ly/Acts15:40-Acts15:41" TargetMode="External"/><Relationship Id="rId152" Type="http://schemas.openxmlformats.org/officeDocument/2006/relationships/hyperlink" Target="https://ref.ly/Acts13:9" TargetMode="External"/><Relationship Id="rId153" Type="http://schemas.openxmlformats.org/officeDocument/2006/relationships/hyperlink" Target="https://ref.ly/Acts12:1-Acts12:25" TargetMode="External"/><Relationship Id="rId154" Type="http://schemas.openxmlformats.org/officeDocument/2006/relationships/hyperlink" Target="https://ref.ly/Acts12:20-Acts12:23" TargetMode="External"/><Relationship Id="rId155" Type="http://schemas.openxmlformats.org/officeDocument/2006/relationships/hyperlink" Target="https://ref.ly/Acts11:27-Acts11:29" TargetMode="External"/><Relationship Id="rId156" Type="http://schemas.openxmlformats.org/officeDocument/2006/relationships/hyperlink" Target="https://ref.ly/Acts11:28" TargetMode="External"/><Relationship Id="rId157" Type="http://schemas.openxmlformats.org/officeDocument/2006/relationships/hyperlink" Target="https://ref.ly/Acts12:25" TargetMode="External"/><Relationship Id="rId158" Type="http://schemas.openxmlformats.org/officeDocument/2006/relationships/hyperlink" Target="https://ref.ly/Acts13:1-Acts13:3" TargetMode="External"/><Relationship Id="rId159" Type="http://schemas.openxmlformats.org/officeDocument/2006/relationships/hyperlink" Target="https://ref.ly/Acts13:1-Acts14:28" TargetMode="External"/><Relationship Id="rId160" Type="http://schemas.openxmlformats.org/officeDocument/2006/relationships/hyperlink" Target="https://ref.ly/Acts15:1-Acts15:41" TargetMode="External"/><Relationship Id="rId161" Type="http://schemas.openxmlformats.org/officeDocument/2006/relationships/hyperlink" Target="https://ref.ly/Acts15:40-Acts18:22" TargetMode="External"/><Relationship Id="rId162" Type="http://schemas.openxmlformats.org/officeDocument/2006/relationships/hyperlink" Target="https://ref.ly/Acts18:11" TargetMode="External"/><Relationship Id="rId163" Type="http://schemas.openxmlformats.org/officeDocument/2006/relationships/hyperlink" Target="https://ref.ly/Acts18:12-Acts18:17" TargetMode="External"/><Relationship Id="rId164" Type="http://schemas.openxmlformats.org/officeDocument/2006/relationships/hyperlink" Target="https://ref.ly/Acts13:13-Acts19:7" TargetMode="External"/><Relationship Id="rId165" Type="http://schemas.openxmlformats.org/officeDocument/2006/relationships/hyperlink" Target="https://ref.ly/Acts18:24-Acts18:28" TargetMode="External"/><Relationship Id="rId166" Type="http://schemas.openxmlformats.org/officeDocument/2006/relationships/hyperlink" Target="https://ref.ly/John3:22-John3:24" TargetMode="External"/><Relationship Id="rId167" Type="http://schemas.openxmlformats.org/officeDocument/2006/relationships/hyperlink" Target="https://ref.ly/Acts18:25" TargetMode="External"/><Relationship Id="rId168" Type="http://schemas.openxmlformats.org/officeDocument/2006/relationships/hyperlink" Target="https://ref.ly/Acts19:2-Acts19:4" TargetMode="External"/><Relationship Id="rId169" Type="http://schemas.openxmlformats.org/officeDocument/2006/relationships/hyperlink" Target="https://ref.ly/Acts19:1-Acts20:1" TargetMode="External"/><Relationship Id="rId170" Type="http://schemas.openxmlformats.org/officeDocument/2006/relationships/hyperlink" Target="https://ref.ly/Acts20:2-Acts20:12" TargetMode="External"/><Relationship Id="rId171" Type="http://schemas.openxmlformats.org/officeDocument/2006/relationships/hyperlink" Target="https://ref.ly/Acts21:1-Acts21:40" TargetMode="External"/><Relationship Id="rId172" Type="http://schemas.openxmlformats.org/officeDocument/2006/relationships/hyperlink" Target="https://ref.ly/Acts23:23-Acts24:23" TargetMode="External"/><Relationship Id="rId173" Type="http://schemas.openxmlformats.org/officeDocument/2006/relationships/hyperlink" Target="https://ref.ly/Acts25:1-Acts25:9" TargetMode="External"/><Relationship Id="rId174" Type="http://schemas.openxmlformats.org/officeDocument/2006/relationships/hyperlink" Target="https://ref.ly/Acts25:10-Acts25:12" TargetMode="External"/><Relationship Id="rId175" Type="http://schemas.openxmlformats.org/officeDocument/2006/relationships/hyperlink" Target="https://ref.ly/Acts25:25-Acts25:27" TargetMode="External"/><Relationship Id="rId176" Type="http://schemas.openxmlformats.org/officeDocument/2006/relationships/hyperlink" Target="https://ref.ly/Acts25:13" TargetMode="External"/><Relationship Id="rId177" Type="http://schemas.openxmlformats.org/officeDocument/2006/relationships/hyperlink" Target="https://ref.ly/Acts26:1-Acts26:29" TargetMode="External"/><Relationship Id="rId178" Type="http://schemas.openxmlformats.org/officeDocument/2006/relationships/hyperlink" Target="https://ref.ly/Acts26:31" TargetMode="External"/><Relationship Id="rId179" Type="http://schemas.openxmlformats.org/officeDocument/2006/relationships/hyperlink" Target="https://ref.ly/Acts28:30" TargetMode="External"/><Relationship Id="rId180" Type="http://schemas.openxmlformats.org/officeDocument/2006/relationships/hyperlink" Target="https://ref.ly/Acts1:1-Acts1:8" TargetMode="External"/><Relationship Id="rId181" Type="http://schemas.openxmlformats.org/officeDocument/2006/relationships/hyperlink" Target="https://ref.ly/Luke2:29-Luke2:32" TargetMode="External"/><Relationship Id="rId182" Type="http://schemas.openxmlformats.org/officeDocument/2006/relationships/hyperlink" Target="https://ref.ly/Acts7:1-Acts7:60" TargetMode="External"/><Relationship Id="rId183" Type="http://schemas.openxmlformats.org/officeDocument/2006/relationships/hyperlink" Target="https://ref.ly/Acts10:1-Acts10:48" TargetMode="External"/><Relationship Id="rId184" Type="http://schemas.openxmlformats.org/officeDocument/2006/relationships/hyperlink" Target="https://ref.ly/Acts17:1-Acts17:34" TargetMode="External"/><Relationship Id="rId185" Type="http://schemas.openxmlformats.org/officeDocument/2006/relationships/hyperlink" Target="https://ref.ly/Acts8:1-Acts8:40" TargetMode="External"/><Relationship Id="rId186" Type="http://schemas.openxmlformats.org/officeDocument/2006/relationships/hyperlink" Target="https://ref.ly/Acts14:1-Acts14:28" TargetMode="External"/><Relationship Id="rId187" Type="http://schemas.openxmlformats.org/officeDocument/2006/relationships/hyperlink" Target="https://ref.ly/Acts2:1-Acts2:47" TargetMode="External"/><Relationship Id="rId188" Type="http://schemas.openxmlformats.org/officeDocument/2006/relationships/hyperlink" Target="https://ref.ly/Acts13:1-Acts13:52" TargetMode="External"/><Relationship Id="rId189" Type="http://schemas.openxmlformats.org/officeDocument/2006/relationships/hyperlink" Target="https://ref.ly/Luke23:13-Luke23:16" TargetMode="External"/><Relationship Id="rId190" Type="http://schemas.openxmlformats.org/officeDocument/2006/relationships/hyperlink" Target="https://ref.ly/Acts13:28" TargetMode="External"/><Relationship Id="rId191" Type="http://schemas.openxmlformats.org/officeDocument/2006/relationships/hyperlink" Target="https://ref.ly/Acts13:7-Acts13:12" TargetMode="External"/><Relationship Id="rId192" Type="http://schemas.openxmlformats.org/officeDocument/2006/relationships/hyperlink" Target="https://ref.ly/Acts16:37-Acts16:39" TargetMode="External"/><Relationship Id="rId193" Type="http://schemas.openxmlformats.org/officeDocument/2006/relationships/hyperlink" Target="https://ref.ly/Acts18:12-Acts18:16" TargetMode="External"/><Relationship Id="rId194" Type="http://schemas.openxmlformats.org/officeDocument/2006/relationships/hyperlink" Target="https://ref.ly/Acts19:35-Acts19:39" TargetMode="External"/><Relationship Id="rId195" Type="http://schemas.openxmlformats.org/officeDocument/2006/relationships/hyperlink" Target="https://ref.ly/Acts23:26-Acts23:29" TargetMode="External"/><Relationship Id="rId196" Type="http://schemas.openxmlformats.org/officeDocument/2006/relationships/hyperlink" Target="https://ref.ly/Acts28:30-Acts28:31" TargetMode="External"/><Relationship Id="rId197" Type="http://schemas.openxmlformats.org/officeDocument/2006/relationships/hyperlink" Target="https://ref.ly/Luke1:1-Luke2:52" TargetMode="External"/><Relationship Id="rId198" Type="http://schemas.openxmlformats.org/officeDocument/2006/relationships/hyperlink" Target="https://ref.ly/Luke3:22" TargetMode="External"/><Relationship Id="rId199" Type="http://schemas.openxmlformats.org/officeDocument/2006/relationships/hyperlink" Target="https://ref.ly/Luke4:1" TargetMode="External"/><Relationship Id="rId200" Type="http://schemas.openxmlformats.org/officeDocument/2006/relationships/hyperlink" Target="https://ref.ly/Acts1:8" TargetMode="External"/><Relationship Id="rId201" Type="http://schemas.openxmlformats.org/officeDocument/2006/relationships/hyperlink" Target="https://ref.ly/Acts2:1-Acts2:8" TargetMode="External"/><Relationship Id="rId202" Type="http://schemas.openxmlformats.org/officeDocument/2006/relationships/hyperlink" Target="https://ref.ly/Acts2:44-Acts2:47" TargetMode="External"/><Relationship Id="rId203" Type="http://schemas.openxmlformats.org/officeDocument/2006/relationships/hyperlink" Target="https://ref.ly/Acts4:32-Acts4:37" TargetMode="External"/><Relationship Id="rId204" Type="http://schemas.openxmlformats.org/officeDocument/2006/relationships/hyperlink" Target="https://ref.ly/Acts2:1-Acts5:42" TargetMode="External"/><Relationship Id="rId205" Type="http://schemas.openxmlformats.org/officeDocument/2006/relationships/hyperlink" Target="https://ref.ly/Acts6:1-Acts6:15" TargetMode="External"/><Relationship Id="rId206" Type="http://schemas.openxmlformats.org/officeDocument/2006/relationships/hyperlink" Target="https://ref.ly/Acts10:1-Acts11:30" TargetMode="External"/><Relationship Id="rId207" Type="http://schemas.openxmlformats.org/officeDocument/2006/relationships/hyperlink" Target="https://ref.ly/1Cor15:12-1Cor15:21" TargetMode="External"/><Relationship Id="rId208" Type="http://schemas.openxmlformats.org/officeDocument/2006/relationships/hyperlink" Target="https://ref.ly/Acts2:22-Acts2:24" TargetMode="External"/><Relationship Id="rId209" Type="http://schemas.openxmlformats.org/officeDocument/2006/relationships/hyperlink" Target="https://ref.ly/Acts3:14-Acts3:15" TargetMode="External"/><Relationship Id="rId210" Type="http://schemas.openxmlformats.org/officeDocument/2006/relationships/hyperlink" Target="https://ref.ly/Acts5:30-Acts5:31" TargetMode="External"/><Relationship Id="rId211" Type="http://schemas.openxmlformats.org/officeDocument/2006/relationships/hyperlink" Target="https://ref.ly/Acts10:39-Acts10:42" TargetMode="External"/><Relationship Id="rId212" Type="http://schemas.openxmlformats.org/officeDocument/2006/relationships/hyperlink" Target="https://ref.ly/Acts13:1-Acts28:31" TargetMode="External"/><Relationship Id="rId213" Type="http://schemas.openxmlformats.org/officeDocument/2006/relationships/hyperlink" Target="https://ref.ly/Acts1:1-Acts1:26" TargetMode="External"/><Relationship Id="rId214" Type="http://schemas.openxmlformats.org/officeDocument/2006/relationships/hyperlink" Target="https://ref.ly/Acts3:1-Acts3:26" TargetMode="External"/><Relationship Id="rId215" Type="http://schemas.openxmlformats.org/officeDocument/2006/relationships/hyperlink" Target="https://ref.ly/Acts4:1-Acts4:37" TargetMode="External"/><Relationship Id="rId216" Type="http://schemas.openxmlformats.org/officeDocument/2006/relationships/hyperlink" Target="https://ref.ly/Acts5:1-Acts5:42" TargetMode="External"/><Relationship Id="rId217" Type="http://schemas.openxmlformats.org/officeDocument/2006/relationships/hyperlink" Target="https://ref.ly/Acts21:1-Acts22:30" TargetMode="External"/><Relationship Id="rId218" Type="http://schemas.openxmlformats.org/officeDocument/2006/relationships/hyperlink" Target="https://ref.ly/Acts23:1-Acts26:32" TargetMode="External"/><Relationship Id="rId219" Type="http://schemas.openxmlformats.org/officeDocument/2006/relationships/hyperlink" Target="https://ref.ly/Acts27:1-Acts28:31" TargetMode="External"/><Relationship Id="rId220" Type="http://schemas.openxmlformats.org/officeDocument/2006/relationships/hyperlink" Target="https://ref.ly/Acts1:1-Acts7:60" TargetMode="External"/><Relationship Id="rId221" Type="http://schemas.openxmlformats.org/officeDocument/2006/relationships/hyperlink" Target="https://ref.ly/Acts8:1-Acts9:31" TargetMode="External"/><Relationship Id="rId222" Type="http://schemas.openxmlformats.org/officeDocument/2006/relationships/hyperlink" Target="https://ref.ly/Acts9:32-Acts12:25" TargetMode="External"/><Relationship Id="rId223" Type="http://schemas.openxmlformats.org/officeDocument/2006/relationships/hyperlink" Target="https://ref.ly/Josh15:44" TargetMode="External"/><Relationship Id="rId224" Type="http://schemas.openxmlformats.org/officeDocument/2006/relationships/hyperlink" Target="https://ref.ly/Mic1:14" TargetMode="External"/><Relationship Id="rId225" Type="http://schemas.openxmlformats.org/officeDocument/2006/relationships/hyperlink" Target="https://ref.ly/Gen38:5" TargetMode="External"/><Relationship Id="rId226" Type="http://schemas.openxmlformats.org/officeDocument/2006/relationships/hyperlink" Target="https://ref.ly/1Chr4:22" TargetMode="External"/><Relationship Id="rId227" Type="http://schemas.openxmlformats.org/officeDocument/2006/relationships/hyperlink" Target="https://ref.ly/Josh19:29" TargetMode="External"/><Relationship Id="rId228" Type="http://schemas.openxmlformats.org/officeDocument/2006/relationships/hyperlink" Target="https://ref.ly/Gen4:19-Gen4:21,Gen4:23" TargetMode="External"/><Relationship Id="rId229" Type="http://schemas.openxmlformats.org/officeDocument/2006/relationships/hyperlink" Target="https://ref.ly/Gen36:2-Gen36:16" TargetMode="External"/><Relationship Id="rId230" Type="http://schemas.openxmlformats.org/officeDocument/2006/relationships/hyperlink" Target="https://ref.ly/Esth9:8" TargetMode="External"/><Relationship Id="rId231" Type="http://schemas.openxmlformats.org/officeDocument/2006/relationships/hyperlink" Target="https://ref.ly/Gen1:26-Gen1:31" TargetMode="External"/><Relationship Id="rId232" Type="http://schemas.openxmlformats.org/officeDocument/2006/relationships/hyperlink" Target="https://ref.ly/Gen2:4-Gen3:24" TargetMode="External"/><Relationship Id="rId233" Type="http://schemas.openxmlformats.org/officeDocument/2006/relationships/hyperlink" Target="https://ref.ly/Gen2:7" TargetMode="External"/><Relationship Id="rId234" Type="http://schemas.openxmlformats.org/officeDocument/2006/relationships/hyperlink" Target="https://ref.ly/Gen2:8-Gen2:15" TargetMode="External"/><Relationship Id="rId235" Type="http://schemas.openxmlformats.org/officeDocument/2006/relationships/hyperlink" Target="https://ref.ly/Gen2:16-Gen2:17" TargetMode="External"/><Relationship Id="rId236" Type="http://schemas.openxmlformats.org/officeDocument/2006/relationships/hyperlink" Target="https://ref.ly/Gen2:18-Gen2:22" TargetMode="External"/><Relationship Id="rId237" Type="http://schemas.openxmlformats.org/officeDocument/2006/relationships/hyperlink" Target="https://ref.ly/Gen3:1" TargetMode="External"/><Relationship Id="rId238" Type="http://schemas.openxmlformats.org/officeDocument/2006/relationships/hyperlink" Target="https://ref.ly/1Tim2:14" TargetMode="External"/><Relationship Id="rId239" Type="http://schemas.openxmlformats.org/officeDocument/2006/relationships/hyperlink" Target="https://ref.ly/Gen3:5" TargetMode="External"/><Relationship Id="rId240" Type="http://schemas.openxmlformats.org/officeDocument/2006/relationships/hyperlink" Target="https://ref.ly/Gen3:7" TargetMode="External"/><Relationship Id="rId241" Type="http://schemas.openxmlformats.org/officeDocument/2006/relationships/hyperlink" Target="https://ref.ly/Gen3:8" TargetMode="External"/><Relationship Id="rId242" Type="http://schemas.openxmlformats.org/officeDocument/2006/relationships/hyperlink" Target="https://ref.ly/Gen3:12" TargetMode="External"/><Relationship Id="rId243" Type="http://schemas.openxmlformats.org/officeDocument/2006/relationships/hyperlink" Target="https://ref.ly/Gen3:13" TargetMode="External"/><Relationship Id="rId244" Type="http://schemas.openxmlformats.org/officeDocument/2006/relationships/hyperlink" Target="https://ref.ly/Gen3:14-Gen3:19" TargetMode="External"/><Relationship Id="rId245" Type="http://schemas.openxmlformats.org/officeDocument/2006/relationships/hyperlink" Target="https://ref.ly/Gen3:16-Gen3:18" TargetMode="External"/><Relationship Id="rId246" Type="http://schemas.openxmlformats.org/officeDocument/2006/relationships/hyperlink" Target="https://ref.ly/Gen3:16" TargetMode="External"/><Relationship Id="rId247" Type="http://schemas.openxmlformats.org/officeDocument/2006/relationships/hyperlink" Target="https://ref.ly/Gen3:19" TargetMode="External"/><Relationship Id="rId248" Type="http://schemas.openxmlformats.org/officeDocument/2006/relationships/hyperlink" Target="https://ref.ly/Gen3:22" TargetMode="External"/><Relationship Id="rId249" Type="http://schemas.openxmlformats.org/officeDocument/2006/relationships/hyperlink" Target="https://ref.ly/Gen3:23-Gen3:24" TargetMode="External"/><Relationship Id="rId250" Type="http://schemas.openxmlformats.org/officeDocument/2006/relationships/hyperlink" Target="https://ref.ly/Gen3:15" TargetMode="External"/><Relationship Id="rId251" Type="http://schemas.openxmlformats.org/officeDocument/2006/relationships/hyperlink" Target="https://ref.ly/Rom16:20" TargetMode="External"/><Relationship Id="rId252" Type="http://schemas.openxmlformats.org/officeDocument/2006/relationships/hyperlink" Target="https://ref.ly/Gen4:25" TargetMode="External"/><Relationship Id="rId253" Type="http://schemas.openxmlformats.org/officeDocument/2006/relationships/hyperlink" Target="https://ref.ly/Gen5:1-Gen5:5" TargetMode="External"/><Relationship Id="rId254" Type="http://schemas.openxmlformats.org/officeDocument/2006/relationships/hyperlink" Target="https://ref.ly/1Chr1:1" TargetMode="External"/><Relationship Id="rId255" Type="http://schemas.openxmlformats.org/officeDocument/2006/relationships/hyperlink" Target="https://ref.ly/Hos6:7" TargetMode="External"/><Relationship Id="rId256" Type="http://schemas.openxmlformats.org/officeDocument/2006/relationships/hyperlink" Target="https://ref.ly/Luke3:38" TargetMode="External"/><Relationship Id="rId257" Type="http://schemas.openxmlformats.org/officeDocument/2006/relationships/hyperlink" Target="https://ref.ly/Rom5:14" TargetMode="External"/><Relationship Id="rId258" Type="http://schemas.openxmlformats.org/officeDocument/2006/relationships/hyperlink" Target="https://ref.ly/1Cor15:22,1Cor15:45" TargetMode="External"/><Relationship Id="rId259" Type="http://schemas.openxmlformats.org/officeDocument/2006/relationships/hyperlink" Target="https://ref.ly/1Tim2:13-1Tim2:14" TargetMode="External"/><Relationship Id="rId260" Type="http://schemas.openxmlformats.org/officeDocument/2006/relationships/hyperlink" Target="https://ref.ly/Jude1:14" TargetMode="External"/><Relationship Id="rId261" Type="http://schemas.openxmlformats.org/officeDocument/2006/relationships/hyperlink" Target="https://ref.ly/Lev1:2" TargetMode="External"/><Relationship Id="rId262" Type="http://schemas.openxmlformats.org/officeDocument/2006/relationships/hyperlink" Target="https://ref.ly/Josh14:15" TargetMode="External"/><Relationship Id="rId263" Type="http://schemas.openxmlformats.org/officeDocument/2006/relationships/hyperlink" Target="https://ref.ly/Neh9:29" TargetMode="External"/><Relationship Id="rId264" Type="http://schemas.openxmlformats.org/officeDocument/2006/relationships/hyperlink" Target="https://ref.ly/Isa56:2" TargetMode="External"/><Relationship Id="rId265" Type="http://schemas.openxmlformats.org/officeDocument/2006/relationships/hyperlink" Target="https://ref.ly/Exod4:11" TargetMode="External"/><Relationship Id="rId266" Type="http://schemas.openxmlformats.org/officeDocument/2006/relationships/hyperlink" Target="https://ref.ly/Num12:3" TargetMode="External"/><Relationship Id="rId267" Type="http://schemas.openxmlformats.org/officeDocument/2006/relationships/hyperlink" Target="https://ref.ly/Num16:29" TargetMode="External"/><Relationship Id="rId268" Type="http://schemas.openxmlformats.org/officeDocument/2006/relationships/hyperlink" Target="https://ref.ly/Deut4:28" TargetMode="External"/><Relationship Id="rId269" Type="http://schemas.openxmlformats.org/officeDocument/2006/relationships/hyperlink" Target="https://ref.ly/1Kgs4:31" TargetMode="External"/><Relationship Id="rId270" Type="http://schemas.openxmlformats.org/officeDocument/2006/relationships/hyperlink" Target="https://ref.ly/Job7:20" TargetMode="External"/><Relationship Id="rId271" Type="http://schemas.openxmlformats.org/officeDocument/2006/relationships/hyperlink" Target="https://ref.ly/Job14:1" TargetMode="External"/><Relationship Id="rId272" Type="http://schemas.openxmlformats.org/officeDocument/2006/relationships/hyperlink" Target="https://ref.ly/2Sam7:14" TargetMode="External"/><Relationship Id="rId273" Type="http://schemas.openxmlformats.org/officeDocument/2006/relationships/hyperlink" Target="https://ref.ly/Ps11:4" TargetMode="External"/><Relationship Id="rId274" Type="http://schemas.openxmlformats.org/officeDocument/2006/relationships/hyperlink" Target="https://ref.ly/Ps12:1" TargetMode="External"/><Relationship Id="rId275" Type="http://schemas.openxmlformats.org/officeDocument/2006/relationships/hyperlink" Target="https://ref.ly/Ps14:2" TargetMode="External"/><Relationship Id="rId276" Type="http://schemas.openxmlformats.org/officeDocument/2006/relationships/hyperlink" Target="https://ref.ly/Ps53:2" TargetMode="External"/><Relationship Id="rId277" Type="http://schemas.openxmlformats.org/officeDocument/2006/relationships/hyperlink" Target="https://ref.ly/Ps90:3" TargetMode="External"/><Relationship Id="rId278" Type="http://schemas.openxmlformats.org/officeDocument/2006/relationships/hyperlink" Target="https://ref.ly/Eccl1:13" TargetMode="External"/><Relationship Id="rId279" Type="http://schemas.openxmlformats.org/officeDocument/2006/relationships/hyperlink" Target="https://ref.ly/Eccl2:3" TargetMode="External"/><Relationship Id="rId280" Type="http://schemas.openxmlformats.org/officeDocument/2006/relationships/hyperlink" Target="https://ref.ly/Gen9:5-Gen9:7" TargetMode="External"/><Relationship Id="rId281" Type="http://schemas.openxmlformats.org/officeDocument/2006/relationships/hyperlink" Target="https://ref.ly/Deut5:24" TargetMode="External"/><Relationship Id="rId282" Type="http://schemas.openxmlformats.org/officeDocument/2006/relationships/hyperlink" Target="https://ref.ly/Deut8:3" TargetMode="External"/><Relationship Id="rId283" Type="http://schemas.openxmlformats.org/officeDocument/2006/relationships/hyperlink" Target="https://ref.ly/1Kgs8:38-1Kgs8:39" TargetMode="External"/><Relationship Id="rId284" Type="http://schemas.openxmlformats.org/officeDocument/2006/relationships/hyperlink" Target="https://ref.ly/Ps8:4" TargetMode="External"/><Relationship Id="rId285" Type="http://schemas.openxmlformats.org/officeDocument/2006/relationships/hyperlink" Target="https://ref.ly/Ps89:48" TargetMode="External"/><Relationship Id="rId286" Type="http://schemas.openxmlformats.org/officeDocument/2006/relationships/hyperlink" Target="https://ref.ly/Ps107:8-Ps107:31" TargetMode="External"/><Relationship Id="rId287" Type="http://schemas.openxmlformats.org/officeDocument/2006/relationships/hyperlink" Target="https://ref.ly/Prov12:14" TargetMode="External"/><Relationship Id="rId288" Type="http://schemas.openxmlformats.org/officeDocument/2006/relationships/hyperlink" Target="https://ref.ly/Mic6:8" TargetMode="External"/><Relationship Id="rId289" Type="http://schemas.openxmlformats.org/officeDocument/2006/relationships/hyperlink" Target="https://ref.ly/Jer31:29-Jer31:30" TargetMode="External"/><Relationship Id="rId290" Type="http://schemas.openxmlformats.org/officeDocument/2006/relationships/hyperlink" Target="https://ref.ly/Ezek18:4" TargetMode="External"/><Relationship Id="rId291" Type="http://schemas.openxmlformats.org/officeDocument/2006/relationships/hyperlink" Target="https://ref.ly/Gen17:1-Gen17:8" TargetMode="External"/><Relationship Id="rId292" Type="http://schemas.openxmlformats.org/officeDocument/2006/relationships/hyperlink" Target="https://ref.ly/Gen20:1-Gen20:9,Gen20:18" TargetMode="External"/><Relationship Id="rId293" Type="http://schemas.openxmlformats.org/officeDocument/2006/relationships/hyperlink" Target="https://ref.ly/Exod20:5-Exod20:6" TargetMode="External"/><Relationship Id="rId294" Type="http://schemas.openxmlformats.org/officeDocument/2006/relationships/hyperlink" Target="https://ref.ly/Josh7:24-Josh7:25" TargetMode="External"/><Relationship Id="rId295" Type="http://schemas.openxmlformats.org/officeDocument/2006/relationships/hyperlink" Target="https://ref.ly/Rom11:28" TargetMode="External"/><Relationship Id="rId296" Type="http://schemas.openxmlformats.org/officeDocument/2006/relationships/hyperlink" Target="https://ref.ly/Heb7:1-Heb7:10" TargetMode="External"/><Relationship Id="rId297" Type="http://schemas.openxmlformats.org/officeDocument/2006/relationships/hyperlink" Target="https://ref.ly/Gen5:3" TargetMode="External"/><Relationship Id="rId298" Type="http://schemas.openxmlformats.org/officeDocument/2006/relationships/hyperlink" Target="https://ref.ly/Gen1:26" TargetMode="External"/><Relationship Id="rId299" Type="http://schemas.openxmlformats.org/officeDocument/2006/relationships/hyperlink" Target="https://ref.ly/Gen9:1,Gen1:7" TargetMode="External"/><Relationship Id="rId300" Type="http://schemas.openxmlformats.org/officeDocument/2006/relationships/hyperlink" Target="https://ref.ly/Ps8:5-Ps1:7" TargetMode="External"/><Relationship Id="rId301" Type="http://schemas.openxmlformats.org/officeDocument/2006/relationships/hyperlink" Target="https://ref.ly/Ps104:14" TargetMode="External"/><Relationship Id="rId302" Type="http://schemas.openxmlformats.org/officeDocument/2006/relationships/hyperlink" Target="https://ref.ly/Gen3:16-Gen1:19" TargetMode="External"/><Relationship Id="rId303" Type="http://schemas.openxmlformats.org/officeDocument/2006/relationships/hyperlink" Target="https://ref.ly/Eccl12:7" TargetMode="External"/><Relationship Id="rId304" Type="http://schemas.openxmlformats.org/officeDocument/2006/relationships/hyperlink" Target="https://ref.ly/Isa13:8" TargetMode="External"/><Relationship Id="rId305" Type="http://schemas.openxmlformats.org/officeDocument/2006/relationships/hyperlink" Target="https://ref.ly/Isa21:3" TargetMode="External"/><Relationship Id="rId306" Type="http://schemas.openxmlformats.org/officeDocument/2006/relationships/hyperlink" Target="https://ref.ly/Rom5:12-Rom5:21" TargetMode="External"/><Relationship Id="rId307" Type="http://schemas.openxmlformats.org/officeDocument/2006/relationships/hyperlink" Target="https://ref.ly/1Cor15:45-1Cor15:50" TargetMode="External"/><Relationship Id="rId308" Type="http://schemas.openxmlformats.org/officeDocument/2006/relationships/hyperlink" Target="https://ref.ly/Rom5:12-Rom5:19" TargetMode="External"/><Relationship Id="rId309" Type="http://schemas.openxmlformats.org/officeDocument/2006/relationships/hyperlink" Target="https://ref.ly/Rom8:20-Rom8:22" TargetMode="External"/><Relationship Id="rId310" Type="http://schemas.openxmlformats.org/officeDocument/2006/relationships/hyperlink" Target="https://ref.ly/Rom12:4-Rom12:5" TargetMode="External"/><Relationship Id="rId311" Type="http://schemas.openxmlformats.org/officeDocument/2006/relationships/hyperlink" Target="https://ref.ly/1Cor12:12-1Cor12:13,1Cor12:27" TargetMode="External"/><Relationship Id="rId312" Type="http://schemas.openxmlformats.org/officeDocument/2006/relationships/hyperlink" Target="https://ref.ly/Eph1:22-Eph1:23" TargetMode="External"/><Relationship Id="rId313" Type="http://schemas.openxmlformats.org/officeDocument/2006/relationships/hyperlink" Target="https://ref.ly/Col1:18" TargetMode="External"/><Relationship Id="rId314" Type="http://schemas.openxmlformats.org/officeDocument/2006/relationships/hyperlink" Target="https://ref.ly/Rom8:29" TargetMode="External"/><Relationship Id="rId315" Type="http://schemas.openxmlformats.org/officeDocument/2006/relationships/hyperlink" Target="https://ref.ly/1Cor15:49" TargetMode="External"/><Relationship Id="rId316" Type="http://schemas.openxmlformats.org/officeDocument/2006/relationships/hyperlink" Target="https://ref.ly/2Cor3:18" TargetMode="External"/><Relationship Id="rId317" Type="http://schemas.openxmlformats.org/officeDocument/2006/relationships/hyperlink" Target="https://ref.ly/Eph2:15" TargetMode="External"/><Relationship Id="rId318" Type="http://schemas.openxmlformats.org/officeDocument/2006/relationships/hyperlink" Target="https://ref.ly/Eph4:24" TargetMode="External"/><Relationship Id="rId319" Type="http://schemas.openxmlformats.org/officeDocument/2006/relationships/hyperlink" Target="https://ref.ly/Col3:9-Col3:10" TargetMode="External"/><Relationship Id="rId320" Type="http://schemas.openxmlformats.org/officeDocument/2006/relationships/hyperlink" Target="https://ref.ly/2Cor5:17" TargetMode="External"/><Relationship Id="rId321" Type="http://schemas.openxmlformats.org/officeDocument/2006/relationships/hyperlink" Target="https://ref.ly/Gal6:15" TargetMode="External"/><Relationship Id="rId322" Type="http://schemas.openxmlformats.org/officeDocument/2006/relationships/hyperlink" Target="https://ref.ly/Rom5:1" TargetMode="External"/><Relationship Id="rId323" Type="http://schemas.openxmlformats.org/officeDocument/2006/relationships/hyperlink" Target="https://ref.ly/2Cor5:19" TargetMode="External"/><Relationship Id="rId324" Type="http://schemas.openxmlformats.org/officeDocument/2006/relationships/hyperlink" Target="https://ref.ly/Gal3:27-Gal3:28" TargetMode="External"/><Relationship Id="rId325" Type="http://schemas.openxmlformats.org/officeDocument/2006/relationships/hyperlink" Target="https://ref.ly/Eph2:14-Eph2:16" TargetMode="External"/><Relationship Id="rId326" Type="http://schemas.openxmlformats.org/officeDocument/2006/relationships/hyperlink" Target="https://ref.ly/1Kgs22:47" TargetMode="External"/><Relationship Id="rId327" Type="http://schemas.openxmlformats.org/officeDocument/2006/relationships/hyperlink" Target="https://ref.ly/Jer51:28" TargetMode="External"/><Relationship Id="rId328" Type="http://schemas.openxmlformats.org/officeDocument/2006/relationships/hyperlink" Target="https://ref.ly/Acts18:12" TargetMode="External"/><Relationship Id="rId329" Type="http://schemas.openxmlformats.org/officeDocument/2006/relationships/hyperlink" Target="https://ref.ly/Acts19:38" TargetMode="External"/><Relationship Id="rId330" Type="http://schemas.openxmlformats.org/officeDocument/2006/relationships/hyperlink" Target="https://ref.ly/Gen10:19" TargetMode="External"/><Relationship Id="rId331" Type="http://schemas.openxmlformats.org/officeDocument/2006/relationships/hyperlink" Target="https://ref.ly/Gen14:2,Gen14:8" TargetMode="External"/><Relationship Id="rId332" Type="http://schemas.openxmlformats.org/officeDocument/2006/relationships/hyperlink" Target="https://ref.ly/Deut29:23" TargetMode="External"/><Relationship Id="rId333" Type="http://schemas.openxmlformats.org/officeDocument/2006/relationships/hyperlink" Target="https://ref.ly/Gen19:28-Gen19:29" TargetMode="External"/><Relationship Id="rId334" Type="http://schemas.openxmlformats.org/officeDocument/2006/relationships/hyperlink" Target="https://ref.ly/Esth1:14" TargetMode="External"/><Relationship Id="rId335" Type="http://schemas.openxmlformats.org/officeDocument/2006/relationships/hyperlink" Target="https://ref.ly/Acts27:2" TargetMode="External"/><Relationship Id="rId336" Type="http://schemas.openxmlformats.org/officeDocument/2006/relationships/hyperlink" Target="https://ref.ly/Acts27:27" TargetMode="External"/><Relationship Id="rId337" Type="http://schemas.openxmlformats.org/officeDocument/2006/relationships/hyperlink" Target="https://ref.ly/Gen38:1,Gen38:12,Gen38:20" TargetMode="External"/><Relationship Id="rId338" Type="http://schemas.openxmlformats.org/officeDocument/2006/relationships/hyperlink" Target="https://ref.ly/Josh15:35" TargetMode="External"/><Relationship Id="rId339" Type="http://schemas.openxmlformats.org/officeDocument/2006/relationships/hyperlink" Target="https://ref.ly/Josh12:15" TargetMode="External"/><Relationship Id="rId340" Type="http://schemas.openxmlformats.org/officeDocument/2006/relationships/hyperlink" Target="https://ref.ly/2Chr11:7" TargetMode="External"/><Relationship Id="rId341" Type="http://schemas.openxmlformats.org/officeDocument/2006/relationships/hyperlink" Target="https://ref.ly/Neh11:30" TargetMode="External"/><Relationship Id="rId342" Type="http://schemas.openxmlformats.org/officeDocument/2006/relationships/hyperlink" Target="https://ref.ly/1Sam22:1" TargetMode="External"/><Relationship Id="rId343" Type="http://schemas.openxmlformats.org/officeDocument/2006/relationships/hyperlink" Target="https://ref.ly/2Sam23:13-2Sam23:17" TargetMode="External"/><Relationship Id="rId344" Type="http://schemas.openxmlformats.org/officeDocument/2006/relationships/hyperlink" Target="https://ref.ly/1Chr11:15-1Chr11:19" TargetMode="External"/><Relationship Id="rId345" Type="http://schemas.openxmlformats.org/officeDocument/2006/relationships/hyperlink" Target="https://ref.ly/Ps57:1-Ps57:11" TargetMode="External"/><Relationship Id="rId346" Type="http://schemas.openxmlformats.org/officeDocument/2006/relationships/hyperlink" Target="https://ref.ly/Ps142:1-Ps142:7" TargetMode="External"/><Relationship Id="rId347" Type="http://schemas.openxmlformats.org/officeDocument/2006/relationships/hyperlink" Target="https://ref.ly/Deut21:15" TargetMode="External"/><Relationship Id="rId348" Type="http://schemas.openxmlformats.org/officeDocument/2006/relationships/hyperlink" Target="https://ref.ly/Gen16:1-Gen16:4" TargetMode="External"/><Relationship Id="rId349" Type="http://schemas.openxmlformats.org/officeDocument/2006/relationships/hyperlink" Target="https://ref.ly/Gen30:1-Gen30:5" TargetMode="External"/><Relationship Id="rId350" Type="http://schemas.openxmlformats.org/officeDocument/2006/relationships/hyperlink" Target="https://ref.ly/Matt5:32" TargetMode="External"/><Relationship Id="rId351" Type="http://schemas.openxmlformats.org/officeDocument/2006/relationships/hyperlink" Target="https://ref.ly/Matt19:9" TargetMode="External"/><Relationship Id="rId352" Type="http://schemas.openxmlformats.org/officeDocument/2006/relationships/hyperlink" Target="https://ref.ly/Rom7:2-Rom7:3" TargetMode="External"/><Relationship Id="rId353" Type="http://schemas.openxmlformats.org/officeDocument/2006/relationships/hyperlink" Target="https://ref.ly/Matt5:27-Matt5:28" TargetMode="External"/><Relationship Id="rId354" Type="http://schemas.openxmlformats.org/officeDocument/2006/relationships/hyperlink" Target="https://ref.ly/Job31:1,Job31:9" TargetMode="External"/><Relationship Id="rId355" Type="http://schemas.openxmlformats.org/officeDocument/2006/relationships/hyperlink" Target="https://ref.ly/Exod20:14" TargetMode="External"/><Relationship Id="rId356" Type="http://schemas.openxmlformats.org/officeDocument/2006/relationships/hyperlink" Target="https://ref.ly/Deut5:18" TargetMode="External"/><Relationship Id="rId357" Type="http://schemas.openxmlformats.org/officeDocument/2006/relationships/hyperlink" Target="https://ref.ly/Jer23:11-Jer23:14" TargetMode="External"/><Relationship Id="rId358" Type="http://schemas.openxmlformats.org/officeDocument/2006/relationships/hyperlink" Target="https://ref.ly/Ezek22:11" TargetMode="External"/><Relationship Id="rId359" Type="http://schemas.openxmlformats.org/officeDocument/2006/relationships/hyperlink" Target="https://ref.ly/Mal3:5" TargetMode="External"/><Relationship Id="rId360" Type="http://schemas.openxmlformats.org/officeDocument/2006/relationships/hyperlink" Target="https://ref.ly/Prov6:23-Prov6:35" TargetMode="External"/><Relationship Id="rId361" Type="http://schemas.openxmlformats.org/officeDocument/2006/relationships/hyperlink" Target="https://ref.ly/Prov7:6-Prov7:27" TargetMode="External"/><Relationship Id="rId362" Type="http://schemas.openxmlformats.org/officeDocument/2006/relationships/hyperlink" Target="https://ref.ly/1Cor6:9" TargetMode="External"/><Relationship Id="rId363" Type="http://schemas.openxmlformats.org/officeDocument/2006/relationships/hyperlink" Target="https://ref.ly/Heb13:4" TargetMode="External"/><Relationship Id="rId364" Type="http://schemas.openxmlformats.org/officeDocument/2006/relationships/hyperlink" Target="https://ref.ly/Rom13:9-Rom13:10" TargetMode="External"/><Relationship Id="rId365" Type="http://schemas.openxmlformats.org/officeDocument/2006/relationships/hyperlink" Target="https://ref.ly/Lev20:10" TargetMode="External"/><Relationship Id="rId366" Type="http://schemas.openxmlformats.org/officeDocument/2006/relationships/hyperlink" Target="https://ref.ly/Deut22:22" TargetMode="External"/><Relationship Id="rId367" Type="http://schemas.openxmlformats.org/officeDocument/2006/relationships/hyperlink" Target="https://ref.ly/Deut22:23-Deut22:27" TargetMode="External"/><Relationship Id="rId368" Type="http://schemas.openxmlformats.org/officeDocument/2006/relationships/hyperlink" Target="https://ref.ly/Deut22:24" TargetMode="External"/><Relationship Id="rId369" Type="http://schemas.openxmlformats.org/officeDocument/2006/relationships/hyperlink" Target="https://ref.ly/Num5:11-Num5:31" TargetMode="External"/><Relationship Id="rId370" Type="http://schemas.openxmlformats.org/officeDocument/2006/relationships/hyperlink" Target="https://ref.ly/Isa54:5-Isa54:8" TargetMode="External"/><Relationship Id="rId371" Type="http://schemas.openxmlformats.org/officeDocument/2006/relationships/hyperlink" Target="https://ref.ly/Rev21:2" TargetMode="External"/><Relationship Id="rId372" Type="http://schemas.openxmlformats.org/officeDocument/2006/relationships/hyperlink" Target="https://ref.ly/Jer5:7-Jer5:8" TargetMode="External"/><Relationship Id="rId373" Type="http://schemas.openxmlformats.org/officeDocument/2006/relationships/hyperlink" Target="https://ref.ly/Jer13:22-Jer13:27" TargetMode="External"/><Relationship Id="rId374" Type="http://schemas.openxmlformats.org/officeDocument/2006/relationships/hyperlink" Target="https://ref.ly/Ezek23:37" TargetMode="External"/><Relationship Id="rId375" Type="http://schemas.openxmlformats.org/officeDocument/2006/relationships/hyperlink" Target="https://ref.ly/Matt12:39" TargetMode="External"/><Relationship Id="rId376" Type="http://schemas.openxmlformats.org/officeDocument/2006/relationships/hyperlink" Target="https://ref.ly/Matt16:4" TargetMode="External"/><Relationship Id="rId377" Type="http://schemas.openxmlformats.org/officeDocument/2006/relationships/hyperlink" Target="https://ref.ly/Mark8:38" TargetMode="External"/><Relationship Id="rId378" Type="http://schemas.openxmlformats.org/officeDocument/2006/relationships/hyperlink" Target="https://ref.ly/Jas4:4" TargetMode="External"/><Relationship Id="rId379" Type="http://schemas.openxmlformats.org/officeDocument/2006/relationships/hyperlink" Target="https://ref.ly/Hos2:2-Hos2:6" TargetMode="External"/><Relationship Id="rId380" Type="http://schemas.openxmlformats.org/officeDocument/2006/relationships/hyperlink" Target="https://ref.ly/Hos3:1-Hos3:5" TargetMode="External"/><Relationship Id="rId381" Type="http://schemas.openxmlformats.org/officeDocument/2006/relationships/hyperlink" Target="https://ref.ly/Jer3:1-Jer3:14" TargetMode="External"/><Relationship Id="rId382" Type="http://schemas.openxmlformats.org/officeDocument/2006/relationships/hyperlink" Target="https://ref.ly/Ezek16:1-Ezek16:63" TargetMode="External"/><Relationship Id="rId383" Type="http://schemas.openxmlformats.org/officeDocument/2006/relationships/hyperlink" Target="https://ref.ly/Acts6:9" TargetMode="External"/><Relationship Id="rId384" Type="http://schemas.openxmlformats.org/officeDocument/2006/relationships/hyperlink" Target="https://ref.ly/Acts11:27-Acts11:28" TargetMode="External"/><Relationship Id="rId385" Type="http://schemas.openxmlformats.org/officeDocument/2006/relationships/hyperlink" Target="https://ref.ly/Acts21:10-Acts21:11" TargetMode="External"/><Relationship Id="rId386" Type="http://schemas.openxmlformats.org/officeDocument/2006/relationships/hyperlink" Target="https://ref.ly/Esth3:1" TargetMode="External"/><Relationship Id="rId387" Type="http://schemas.openxmlformats.org/officeDocument/2006/relationships/hyperlink" Target="https://ref.ly/Esth9:24" TargetMode="External"/><Relationship Id="rId388" Type="http://schemas.openxmlformats.org/officeDocument/2006/relationships/hyperlink" Target="https://ref.ly/Gen16:1-Gen16:16" TargetMode="External"/><Relationship Id="rId389" Type="http://schemas.openxmlformats.org/officeDocument/2006/relationships/hyperlink" Target="https://ref.ly/Gen21:9-Gen21:21" TargetMode="External"/><Relationship Id="rId390" Type="http://schemas.openxmlformats.org/officeDocument/2006/relationships/hyperlink" Target="https://ref.ly/Gen12:2,Gen12:7" TargetMode="External"/><Relationship Id="rId391" Type="http://schemas.openxmlformats.org/officeDocument/2006/relationships/hyperlink" Target="https://ref.ly/Gen30:1-Gen30:6" TargetMode="External"/><Relationship Id="rId392" Type="http://schemas.openxmlformats.org/officeDocument/2006/relationships/hyperlink" Target="https://ref.ly/Gen21:9" TargetMode="External"/><Relationship Id="rId393" Type="http://schemas.openxmlformats.org/officeDocument/2006/relationships/hyperlink" Target="https://ref.ly/Gen21:12" TargetMode="External"/><Relationship Id="rId394" Type="http://schemas.openxmlformats.org/officeDocument/2006/relationships/hyperlink" Target="https://ref.ly/Gen21:17-Gen21:19" TargetMode="External"/><Relationship Id="rId395" Type="http://schemas.openxmlformats.org/officeDocument/2006/relationships/hyperlink" Target="https://ref.ly/Gal4:22-Gal4:31" TargetMode="External"/><Relationship Id="rId396" Type="http://schemas.openxmlformats.org/officeDocument/2006/relationships/hyperlink" Target="https://ref.ly/Job12:12" TargetMode="External"/><Relationship Id="rId397" Type="http://schemas.openxmlformats.org/officeDocument/2006/relationships/hyperlink" Target="https://ref.ly/Eccl4:13" TargetMode="External"/><Relationship Id="rId398" Type="http://schemas.openxmlformats.org/officeDocument/2006/relationships/hyperlink" Target="https://ref.ly/Lev19:32" TargetMode="External"/><Relationship Id="rId399" Type="http://schemas.openxmlformats.org/officeDocument/2006/relationships/hyperlink" Target="https://ref.ly/Prov16:31" TargetMode="External"/><Relationship Id="rId400" Type="http://schemas.openxmlformats.org/officeDocument/2006/relationships/hyperlink" Target="https://ref.ly/Eccl12:1-Eccl12:6" TargetMode="External"/><Relationship Id="rId401" Type="http://schemas.openxmlformats.org/officeDocument/2006/relationships/hyperlink" Target="https://ref.ly/Ps90:10" TargetMode="External"/><Relationship Id="rId402" Type="http://schemas.openxmlformats.org/officeDocument/2006/relationships/hyperlink" Target="https://ref.ly/Ezra5:1-Ezra5:2" TargetMode="External"/><Relationship Id="rId403" Type="http://schemas.openxmlformats.org/officeDocument/2006/relationships/hyperlink" Target="https://ref.ly/Ezra6:14" TargetMode="External"/><Relationship Id="rId404" Type="http://schemas.openxmlformats.org/officeDocument/2006/relationships/hyperlink" Target="https://ref.ly/Hag1:1" TargetMode="External"/><Relationship Id="rId405" Type="http://schemas.openxmlformats.org/officeDocument/2006/relationships/hyperlink" Target="https://ref.ly/Hag2:2" TargetMode="External"/><Relationship Id="rId406" Type="http://schemas.openxmlformats.org/officeDocument/2006/relationships/hyperlink" Target="https://ref.ly/Hag2:11" TargetMode="External"/><Relationship Id="rId407" Type="http://schemas.openxmlformats.org/officeDocument/2006/relationships/hyperlink" Target="https://ref.ly/Hag2:21" TargetMode="External"/><Relationship Id="rId408" Type="http://schemas.openxmlformats.org/officeDocument/2006/relationships/hyperlink" Target="https://ref.ly/Hag1:5,Hag1:7" TargetMode="External"/><Relationship Id="rId409" Type="http://schemas.openxmlformats.org/officeDocument/2006/relationships/hyperlink" Target="https://ref.ly/Hag2:15,Hag2:18" TargetMode="External"/><Relationship Id="rId410" Type="http://schemas.openxmlformats.org/officeDocument/2006/relationships/hyperlink" Target="https://ref.ly/Rom13:11-Rom13:14" TargetMode="External"/><Relationship Id="rId411" Type="http://schemas.openxmlformats.org/officeDocument/2006/relationships/hyperlink" Target="https://ref.ly/Matt28:19-Matt28:20" TargetMode="External"/><Relationship Id="rId412" Type="http://schemas.openxmlformats.org/officeDocument/2006/relationships/hyperlink" Target="https://ref.ly/Eph3:8-Eph3:21" TargetMode="External"/><Relationship Id="rId413" Type="http://schemas.openxmlformats.org/officeDocument/2006/relationships/hyperlink" Target="https://ref.ly/Heb13:5-Heb13:6" TargetMode="External"/><Relationship Id="rId414" Type="http://schemas.openxmlformats.org/officeDocument/2006/relationships/hyperlink" Target="https://ref.ly/2Cor6:14-2Cor7:1" TargetMode="External"/><Relationship Id="rId415" Type="http://schemas.openxmlformats.org/officeDocument/2006/relationships/hyperlink" Target="https://ref.ly/2Tim2:19-2Tim2:26" TargetMode="External"/><Relationship Id="rId416" Type="http://schemas.openxmlformats.org/officeDocument/2006/relationships/hyperlink" Target="https://ref.ly/Heb12:3-Heb12:13" TargetMode="External"/><Relationship Id="rId417" Type="http://schemas.openxmlformats.org/officeDocument/2006/relationships/hyperlink" Target="https://ref.ly/Jas4:1-Jas4:3" TargetMode="External"/><Relationship Id="rId418" Type="http://schemas.openxmlformats.org/officeDocument/2006/relationships/hyperlink" Target="https://ref.ly/Rom15:4-Rom15:13" TargetMode="External"/><Relationship Id="rId419" Type="http://schemas.openxmlformats.org/officeDocument/2006/relationships/hyperlink" Target="https://ref.ly/2Pet3:10-2Pet3:18" TargetMode="External"/><Relationship Id="rId420" Type="http://schemas.openxmlformats.org/officeDocument/2006/relationships/hyperlink" Target="https://ref.ly/1Cor11:28" TargetMode="External"/><Relationship Id="rId421" Type="http://schemas.openxmlformats.org/officeDocument/2006/relationships/hyperlink" Target="https://ref.ly/2Cor13:5" TargetMode="External"/><Relationship Id="rId422" Type="http://schemas.openxmlformats.org/officeDocument/2006/relationships/hyperlink" Target="https://ref.ly/Jude1:1-Jude1:25" TargetMode="External"/><Relationship Id="rId423" Type="http://schemas.openxmlformats.org/officeDocument/2006/relationships/hyperlink" Target="https://ref.ly/Num28:11-Num28:15" TargetMode="External"/><Relationship Id="rId424" Type="http://schemas.openxmlformats.org/officeDocument/2006/relationships/hyperlink" Target="https://ref.ly/Hag1:2" TargetMode="External"/><Relationship Id="rId425" Type="http://schemas.openxmlformats.org/officeDocument/2006/relationships/hyperlink" Target="https://ref.ly/Hag1:4" TargetMode="External"/><Relationship Id="rId426" Type="http://schemas.openxmlformats.org/officeDocument/2006/relationships/hyperlink" Target="https://ref.ly/Hag1:5" TargetMode="External"/><Relationship Id="rId427" Type="http://schemas.openxmlformats.org/officeDocument/2006/relationships/hyperlink" Target="https://ref.ly/Hag1:6" TargetMode="External"/><Relationship Id="rId428" Type="http://schemas.openxmlformats.org/officeDocument/2006/relationships/hyperlink" Target="https://ref.ly/Deut28:15-Deut29:1" TargetMode="External"/><Relationship Id="rId429" Type="http://schemas.openxmlformats.org/officeDocument/2006/relationships/hyperlink" Target="https://ref.ly/Hag1:7" TargetMode="External"/><Relationship Id="rId430" Type="http://schemas.openxmlformats.org/officeDocument/2006/relationships/hyperlink" Target="https://ref.ly/Hag1:8" TargetMode="External"/><Relationship Id="rId431" Type="http://schemas.openxmlformats.org/officeDocument/2006/relationships/hyperlink" Target="https://ref.ly/Hag1:9-Hag1:11" TargetMode="External"/><Relationship Id="rId432" Type="http://schemas.openxmlformats.org/officeDocument/2006/relationships/hyperlink" Target="https://ref.ly/Hag1:12" TargetMode="External"/><Relationship Id="rId433" Type="http://schemas.openxmlformats.org/officeDocument/2006/relationships/hyperlink" Target="https://ref.ly/Hag1:13" TargetMode="External"/><Relationship Id="rId434" Type="http://schemas.openxmlformats.org/officeDocument/2006/relationships/hyperlink" Target="https://ref.ly/Hag2:1" TargetMode="External"/><Relationship Id="rId435" Type="http://schemas.openxmlformats.org/officeDocument/2006/relationships/hyperlink" Target="https://ref.ly/Ezra5:3-Ezra6:12" TargetMode="External"/><Relationship Id="rId436" Type="http://schemas.openxmlformats.org/officeDocument/2006/relationships/hyperlink" Target="https://ref.ly/Ezra5:5" TargetMode="External"/><Relationship Id="rId437" Type="http://schemas.openxmlformats.org/officeDocument/2006/relationships/hyperlink" Target="https://ref.ly/Lev23:33-Lev23:43" TargetMode="External"/><Relationship Id="rId438" Type="http://schemas.openxmlformats.org/officeDocument/2006/relationships/hyperlink" Target="https://ref.ly/1Kgs8:1-1Kgs8:11" TargetMode="External"/><Relationship Id="rId439" Type="http://schemas.openxmlformats.org/officeDocument/2006/relationships/hyperlink" Target="https://ref.ly/Ezek9:1-Ezek11:23" TargetMode="External"/><Relationship Id="rId440" Type="http://schemas.openxmlformats.org/officeDocument/2006/relationships/hyperlink" Target="https://ref.ly/Hag2:3" TargetMode="External"/><Relationship Id="rId441" Type="http://schemas.openxmlformats.org/officeDocument/2006/relationships/hyperlink" Target="https://ref.ly/Hag2:4" TargetMode="External"/><Relationship Id="rId442" Type="http://schemas.openxmlformats.org/officeDocument/2006/relationships/hyperlink" Target="https://ref.ly/Hag2:5" TargetMode="External"/><Relationship Id="rId443" Type="http://schemas.openxmlformats.org/officeDocument/2006/relationships/hyperlink" Target="https://ref.ly/Hag2:6-Hag2:9" TargetMode="External"/><Relationship Id="rId444" Type="http://schemas.openxmlformats.org/officeDocument/2006/relationships/hyperlink" Target="https://ref.ly/Hag2:6-Hag2:7" TargetMode="External"/><Relationship Id="rId445" Type="http://schemas.openxmlformats.org/officeDocument/2006/relationships/hyperlink" Target="https://ref.ly/Hag2:7" TargetMode="External"/><Relationship Id="rId446" Type="http://schemas.openxmlformats.org/officeDocument/2006/relationships/hyperlink" Target="https://ref.ly/Hag2:8" TargetMode="External"/><Relationship Id="rId447" Type="http://schemas.openxmlformats.org/officeDocument/2006/relationships/hyperlink" Target="https://ref.ly/Isa60:5,Isa60:11" TargetMode="External"/><Relationship Id="rId448" Type="http://schemas.openxmlformats.org/officeDocument/2006/relationships/hyperlink" Target="https://ref.ly/Rev21:24" TargetMode="External"/><Relationship Id="rId449" Type="http://schemas.openxmlformats.org/officeDocument/2006/relationships/hyperlink" Target="https://ref.ly/Hag2:10" TargetMode="External"/><Relationship Id="rId450" Type="http://schemas.openxmlformats.org/officeDocument/2006/relationships/hyperlink" Target="https://ref.ly/Hag2:12" TargetMode="External"/><Relationship Id="rId451" Type="http://schemas.openxmlformats.org/officeDocument/2006/relationships/hyperlink" Target="https://ref.ly/Hag2:13" TargetMode="External"/><Relationship Id="rId452" Type="http://schemas.openxmlformats.org/officeDocument/2006/relationships/hyperlink" Target="https://ref.ly/Lev22:4-Lev22:6" TargetMode="External"/><Relationship Id="rId453" Type="http://schemas.openxmlformats.org/officeDocument/2006/relationships/hyperlink" Target="https://ref.ly/Num19:11" TargetMode="External"/><Relationship Id="rId454" Type="http://schemas.openxmlformats.org/officeDocument/2006/relationships/hyperlink" Target="https://ref.ly/Hag2:14" TargetMode="External"/><Relationship Id="rId455" Type="http://schemas.openxmlformats.org/officeDocument/2006/relationships/hyperlink" Target="https://ref.ly/Hag2:19" TargetMode="External"/><Relationship Id="rId456" Type="http://schemas.openxmlformats.org/officeDocument/2006/relationships/hyperlink" Target="https://ref.ly/Hag2:20" TargetMode="External"/><Relationship Id="rId457" Type="http://schemas.openxmlformats.org/officeDocument/2006/relationships/hyperlink" Target="https://ref.ly/2Sam7:4-2Sam7:17" TargetMode="External"/><Relationship Id="rId458" Type="http://schemas.openxmlformats.org/officeDocument/2006/relationships/hyperlink" Target="https://ref.ly/1Chr3:1,1Chr3:5,1Chr3:10,1Chr3:17-1Chr3:20" TargetMode="External"/><Relationship Id="rId459" Type="http://schemas.openxmlformats.org/officeDocument/2006/relationships/hyperlink" Target="https://ref.ly/Hag2:6-Hag2:7,Hag2:21-Hag2:22" TargetMode="External"/><Relationship Id="rId460" Type="http://schemas.openxmlformats.org/officeDocument/2006/relationships/hyperlink" Target="https://ref.ly/Rev11:15-Rev11:18" TargetMode="External"/><Relationship Id="rId461" Type="http://schemas.openxmlformats.org/officeDocument/2006/relationships/hyperlink" Target="https://ref.ly/Hag2:23" TargetMode="External"/><Relationship Id="rId462" Type="http://schemas.openxmlformats.org/officeDocument/2006/relationships/hyperlink" Target="https://ref.ly/Esth3:10" TargetMode="External"/><Relationship Id="rId463" Type="http://schemas.openxmlformats.org/officeDocument/2006/relationships/hyperlink" Target="https://ref.ly/Esth8:8-Esth8:10" TargetMode="External"/><Relationship Id="rId464" Type="http://schemas.openxmlformats.org/officeDocument/2006/relationships/hyperlink" Target="https://ref.ly/Gen41:42" TargetMode="External"/><Relationship Id="rId465" Type="http://schemas.openxmlformats.org/officeDocument/2006/relationships/hyperlink" Target="https://ref.ly/Matt1:12" TargetMode="External"/><Relationship Id="rId466" Type="http://schemas.openxmlformats.org/officeDocument/2006/relationships/hyperlink" Target="https://ref.ly/Luke3:27" TargetMode="External"/><Relationship Id="rId467" Type="http://schemas.openxmlformats.org/officeDocument/2006/relationships/hyperlink" Target="https://ref.ly/Gen4:20" TargetMode="External"/><Relationship Id="rId468" Type="http://schemas.openxmlformats.org/officeDocument/2006/relationships/hyperlink" Target="https://ref.ly/Gen47:3" TargetMode="External"/><Relationship Id="rId469" Type="http://schemas.openxmlformats.org/officeDocument/2006/relationships/hyperlink" Target="https://ref.ly/Num32:1" TargetMode="External"/><Relationship Id="rId470" Type="http://schemas.openxmlformats.org/officeDocument/2006/relationships/hyperlink" Target="https://ref.ly/1Sam25:2" TargetMode="External"/><Relationship Id="rId471" Type="http://schemas.openxmlformats.org/officeDocument/2006/relationships/hyperlink" Target="https://ref.ly/Gen26:12" TargetMode="External"/><Relationship Id="rId472" Type="http://schemas.openxmlformats.org/officeDocument/2006/relationships/hyperlink" Target="https://ref.ly/Gen37:6-Gen37:7" TargetMode="External"/><Relationship Id="rId473" Type="http://schemas.openxmlformats.org/officeDocument/2006/relationships/hyperlink" Target="https://ref.ly/Num13:26" TargetMode="External"/><Relationship Id="rId474" Type="http://schemas.openxmlformats.org/officeDocument/2006/relationships/hyperlink" Target="https://ref.ly/Judg9:27" TargetMode="External"/><Relationship Id="rId475" Type="http://schemas.openxmlformats.org/officeDocument/2006/relationships/hyperlink" Target="https://ref.ly/2Sam14:30" TargetMode="External"/><Relationship Id="rId476" Type="http://schemas.openxmlformats.org/officeDocument/2006/relationships/hyperlink" Target="https://ref.ly/2Chr2:10" TargetMode="External"/><Relationship Id="rId477" Type="http://schemas.openxmlformats.org/officeDocument/2006/relationships/hyperlink" Target="https://ref.ly/Ezek27:17" TargetMode="External"/><Relationship Id="rId478" Type="http://schemas.openxmlformats.org/officeDocument/2006/relationships/hyperlink" Target="https://ref.ly/Judg7:13" TargetMode="External"/><Relationship Id="rId479" Type="http://schemas.openxmlformats.org/officeDocument/2006/relationships/hyperlink" Target="https://ref.ly/John6:9,John6:13" TargetMode="External"/><Relationship Id="rId480" Type="http://schemas.openxmlformats.org/officeDocument/2006/relationships/hyperlink" Target="https://ref.ly/2Sam17:28" TargetMode="External"/><Relationship Id="rId481" Type="http://schemas.openxmlformats.org/officeDocument/2006/relationships/hyperlink" Target="https://ref.ly/Ezek4:9" TargetMode="External"/><Relationship Id="rId482" Type="http://schemas.openxmlformats.org/officeDocument/2006/relationships/hyperlink" Target="https://ref.ly/Josh2:6" TargetMode="External"/><Relationship Id="rId483" Type="http://schemas.openxmlformats.org/officeDocument/2006/relationships/hyperlink" Target="https://ref.ly/Isa19:9" TargetMode="External"/><Relationship Id="rId484" Type="http://schemas.openxmlformats.org/officeDocument/2006/relationships/hyperlink" Target="https://ref.ly/Josh17:18" TargetMode="External"/><Relationship Id="rId485" Type="http://schemas.openxmlformats.org/officeDocument/2006/relationships/hyperlink" Target="https://ref.ly/Isa5:2" TargetMode="External"/><Relationship Id="rId486" Type="http://schemas.openxmlformats.org/officeDocument/2006/relationships/hyperlink" Target="https://ref.ly/Judg14:18" TargetMode="External"/><Relationship Id="rId487" Type="http://schemas.openxmlformats.org/officeDocument/2006/relationships/hyperlink" Target="https://ref.ly/Amos6:12" TargetMode="External"/><Relationship Id="rId488" Type="http://schemas.openxmlformats.org/officeDocument/2006/relationships/hyperlink" Target="https://ref.ly/Deut22:10" TargetMode="External"/><Relationship Id="rId489" Type="http://schemas.openxmlformats.org/officeDocument/2006/relationships/hyperlink" Target="https://ref.ly/1Sam13:20" TargetMode="External"/><Relationship Id="rId490" Type="http://schemas.openxmlformats.org/officeDocument/2006/relationships/hyperlink" Target="https://ref.ly/Luke13:8" TargetMode="External"/><Relationship Id="rId491" Type="http://schemas.openxmlformats.org/officeDocument/2006/relationships/hyperlink" Target="https://ref.ly/Ps126:6" TargetMode="External"/><Relationship Id="rId492" Type="http://schemas.openxmlformats.org/officeDocument/2006/relationships/hyperlink" Target="https://ref.ly/Judg6:11" TargetMode="External"/><Relationship Id="rId493" Type="http://schemas.openxmlformats.org/officeDocument/2006/relationships/hyperlink" Target="https://ref.ly/Ruth2:17" TargetMode="External"/><Relationship Id="rId494" Type="http://schemas.openxmlformats.org/officeDocument/2006/relationships/hyperlink" Target="https://ref.ly/Isa28:27" TargetMode="External"/><Relationship Id="rId495" Type="http://schemas.openxmlformats.org/officeDocument/2006/relationships/hyperlink" Target="https://ref.ly/Isa41:15" TargetMode="External"/><Relationship Id="rId496" Type="http://schemas.openxmlformats.org/officeDocument/2006/relationships/hyperlink" Target="https://ref.ly/Isa30:24" TargetMode="External"/><Relationship Id="rId497" Type="http://schemas.openxmlformats.org/officeDocument/2006/relationships/hyperlink" Target="https://ref.ly/Jer15:7" TargetMode="External"/><Relationship Id="rId498" Type="http://schemas.openxmlformats.org/officeDocument/2006/relationships/hyperlink" Target="https://ref.ly/Amos9:9" TargetMode="External"/><Relationship Id="rId499" Type="http://schemas.openxmlformats.org/officeDocument/2006/relationships/hyperlink" Target="https://ref.ly/Jer41:8" TargetMode="External"/><Relationship Id="rId500" Type="http://schemas.openxmlformats.org/officeDocument/2006/relationships/hyperlink" Target="https://ref.ly/Deut28:8" TargetMode="External"/><Relationship Id="rId501" Type="http://schemas.openxmlformats.org/officeDocument/2006/relationships/hyperlink" Target="https://ref.ly/Prov30:1-Prov30:33" TargetMode="External"/><Relationship Id="rId502" Type="http://schemas.openxmlformats.org/officeDocument/2006/relationships/hyperlink" Target="https://ref.ly/Prov30:1" TargetMode="External"/><Relationship Id="rId503" Type="http://schemas.openxmlformats.org/officeDocument/2006/relationships/hyperlink" Target="https://ref.ly/Gen25:14" TargetMode="External"/><Relationship Id="rId504" Type="http://schemas.openxmlformats.org/officeDocument/2006/relationships/hyperlink" Target="https://ref.ly/1Chr1:30" TargetMode="External"/><Relationship Id="rId505" Type="http://schemas.openxmlformats.org/officeDocument/2006/relationships/hyperlink" Target="https://ref.ly/Gen26:26" TargetMode="External"/><Relationship Id="rId506" Type="http://schemas.openxmlformats.org/officeDocument/2006/relationships/hyperlink" Target="https://ref.ly/Gen13:3" TargetMode="External"/><Relationship Id="rId507" Type="http://schemas.openxmlformats.org/officeDocument/2006/relationships/hyperlink" Target="https://ref.ly/Josh7:1-Josh8:29" TargetMode="External"/><Relationship Id="rId508" Type="http://schemas.openxmlformats.org/officeDocument/2006/relationships/hyperlink" Target="https://ref.ly/Josh10:1" TargetMode="External"/><Relationship Id="rId509" Type="http://schemas.openxmlformats.org/officeDocument/2006/relationships/hyperlink" Target="https://ref.ly/1Chr7:28" TargetMode="External"/><Relationship Id="rId510" Type="http://schemas.openxmlformats.org/officeDocument/2006/relationships/hyperlink" Target="https://ref.ly/Isa10:28" TargetMode="External"/><Relationship Id="rId511" Type="http://schemas.openxmlformats.org/officeDocument/2006/relationships/hyperlink" Target="https://ref.ly/Neh11:31" TargetMode="External"/><Relationship Id="rId512" Type="http://schemas.openxmlformats.org/officeDocument/2006/relationships/hyperlink" Target="https://ref.ly/Matt19:24" TargetMode="External"/><Relationship Id="rId513" Type="http://schemas.openxmlformats.org/officeDocument/2006/relationships/hyperlink" Target="https://ref.ly/Mark10:25" TargetMode="External"/><Relationship Id="rId514" Type="http://schemas.openxmlformats.org/officeDocument/2006/relationships/hyperlink" Target="https://ref.ly/Luke18:25" TargetMode="External"/><Relationship Id="rId515" Type="http://schemas.openxmlformats.org/officeDocument/2006/relationships/hyperlink" Target="https://ref.ly/Matt19:21-Matt19:22" TargetMode="External"/><Relationship Id="rId516" Type="http://schemas.openxmlformats.org/officeDocument/2006/relationships/hyperlink" Target="https://ref.ly/Mark10:21-Mark10:22" TargetMode="External"/><Relationship Id="rId517" Type="http://schemas.openxmlformats.org/officeDocument/2006/relationships/hyperlink" Target="https://ref.ly/Luke18:22-Luke18:23" TargetMode="External"/><Relationship Id="rId518" Type="http://schemas.openxmlformats.org/officeDocument/2006/relationships/hyperlink" Target="https://ref.ly/Gen36:24" TargetMode="External"/><Relationship Id="rId519" Type="http://schemas.openxmlformats.org/officeDocument/2006/relationships/hyperlink" Target="https://ref.ly/1Chr1:35-1Chr1:40" TargetMode="External"/><Relationship Id="rId520" Type="http://schemas.openxmlformats.org/officeDocument/2006/relationships/hyperlink" Target="https://ref.ly/2Sam3:7" TargetMode="External"/><Relationship Id="rId521" Type="http://schemas.openxmlformats.org/officeDocument/2006/relationships/hyperlink" Target="https://ref.ly/2Sam21:8-2Sam21:11" TargetMode="External"/><Relationship Id="rId522" Type="http://schemas.openxmlformats.org/officeDocument/2006/relationships/hyperlink" Target="https://ref.ly/Gen36:27" TargetMode="External"/><Relationship Id="rId523" Type="http://schemas.openxmlformats.org/officeDocument/2006/relationships/hyperlink" Target="https://ref.ly/Rom1:16" TargetMode="External"/><Relationship Id="rId524" Type="http://schemas.openxmlformats.org/officeDocument/2006/relationships/hyperlink" Target="https://ref.ly/Mark15:21" TargetMode="External"/><Relationship Id="rId525" Type="http://schemas.openxmlformats.org/officeDocument/2006/relationships/hyperlink" Target="https://ref.ly/Acts4:6" TargetMode="External"/><Relationship Id="rId526" Type="http://schemas.openxmlformats.org/officeDocument/2006/relationships/hyperlink" Target="https://ref.ly/Acts19:33" TargetMode="External"/><Relationship Id="rId527" Type="http://schemas.openxmlformats.org/officeDocument/2006/relationships/hyperlink" Target="https://ref.ly/Acts19:23-Acts19:41" TargetMode="External"/><Relationship Id="rId528" Type="http://schemas.openxmlformats.org/officeDocument/2006/relationships/hyperlink" Target="https://ref.ly/1Tim1:20" TargetMode="External"/><Relationship Id="rId529" Type="http://schemas.openxmlformats.org/officeDocument/2006/relationships/hyperlink" Target="https://ref.ly/2Tim4:14" TargetMode="External"/><Relationship Id="rId530" Type="http://schemas.openxmlformats.org/officeDocument/2006/relationships/hyperlink" Target="https://ref.ly/Acts18:24" TargetMode="External"/><Relationship Id="rId531" Type="http://schemas.openxmlformats.org/officeDocument/2006/relationships/hyperlink" Target="https://ref.ly/Acts27:6" TargetMode="External"/><Relationship Id="rId532" Type="http://schemas.openxmlformats.org/officeDocument/2006/relationships/hyperlink" Target="https://ref.ly/Acts28:11" TargetMode="External"/><Relationship Id="rId533" Type="http://schemas.openxmlformats.org/officeDocument/2006/relationships/hyperlink" Target="https://ref.ly/1Sam18:3" TargetMode="External"/><Relationship Id="rId534" Type="http://schemas.openxmlformats.org/officeDocument/2006/relationships/hyperlink" Target="https://ref.ly/1Sam19:1-1Sam20:42" TargetMode="External"/><Relationship Id="rId535" Type="http://schemas.openxmlformats.org/officeDocument/2006/relationships/hyperlink" Target="https://ref.ly/Mal2:14" TargetMode="External"/><Relationship Id="rId536" Type="http://schemas.openxmlformats.org/officeDocument/2006/relationships/hyperlink" Target="https://ref.ly/Ps128:1-Ps128:6" TargetMode="External"/><Relationship Id="rId537" Type="http://schemas.openxmlformats.org/officeDocument/2006/relationships/hyperlink" Target="https://ref.ly/Prov18:22" TargetMode="External"/><Relationship Id="rId538" Type="http://schemas.openxmlformats.org/officeDocument/2006/relationships/hyperlink" Target="https://ref.ly/Job31:1" TargetMode="External"/><Relationship Id="rId539" Type="http://schemas.openxmlformats.org/officeDocument/2006/relationships/hyperlink" Target="https://ref.ly/2Sam5:3" TargetMode="External"/><Relationship Id="rId540" Type="http://schemas.openxmlformats.org/officeDocument/2006/relationships/hyperlink" Target="https://ref.ly/Deut17:15-Deut17:20" TargetMode="External"/><Relationship Id="rId541" Type="http://schemas.openxmlformats.org/officeDocument/2006/relationships/hyperlink" Target="https://ref.ly/1Kgs5:12" TargetMode="External"/><Relationship Id="rId542" Type="http://schemas.openxmlformats.org/officeDocument/2006/relationships/hyperlink" Target="https://ref.ly/Gen6:18" TargetMode="External"/><Relationship Id="rId543" Type="http://schemas.openxmlformats.org/officeDocument/2006/relationships/hyperlink" Target="https://ref.ly/Gen6:14" TargetMode="External"/><Relationship Id="rId544" Type="http://schemas.openxmlformats.org/officeDocument/2006/relationships/hyperlink" Target="https://ref.ly/Gen8:20-Gen8:22" TargetMode="External"/><Relationship Id="rId545" Type="http://schemas.openxmlformats.org/officeDocument/2006/relationships/hyperlink" Target="https://ref.ly/Gen9:8-Gen9:10" TargetMode="External"/><Relationship Id="rId546" Type="http://schemas.openxmlformats.org/officeDocument/2006/relationships/hyperlink" Target="https://ref.ly/Gen15:1-Gen15:21" TargetMode="External"/><Relationship Id="rId547" Type="http://schemas.openxmlformats.org/officeDocument/2006/relationships/hyperlink" Target="https://ref.ly/Gen12:2" TargetMode="External"/><Relationship Id="rId548" Type="http://schemas.openxmlformats.org/officeDocument/2006/relationships/hyperlink" Target="https://ref.ly/Rom4:19" TargetMode="External"/><Relationship Id="rId549" Type="http://schemas.openxmlformats.org/officeDocument/2006/relationships/hyperlink" Target="https://ref.ly/Gen15:6" TargetMode="External"/><Relationship Id="rId550" Type="http://schemas.openxmlformats.org/officeDocument/2006/relationships/hyperlink" Target="https://ref.ly/Gen15:18" TargetMode="External"/><Relationship Id="rId551" Type="http://schemas.openxmlformats.org/officeDocument/2006/relationships/hyperlink" Target="https://ref.ly/Gen17:1" TargetMode="External"/><Relationship Id="rId552" Type="http://schemas.openxmlformats.org/officeDocument/2006/relationships/hyperlink" Target="https://ref.ly/Gen17:7-Gen17:8" TargetMode="External"/><Relationship Id="rId553" Type="http://schemas.openxmlformats.org/officeDocument/2006/relationships/hyperlink" Target="https://ref.ly/Gen17:24" TargetMode="External"/><Relationship Id="rId554" Type="http://schemas.openxmlformats.org/officeDocument/2006/relationships/hyperlink" Target="https://ref.ly/Gen17:12" TargetMode="External"/><Relationship Id="rId555" Type="http://schemas.openxmlformats.org/officeDocument/2006/relationships/hyperlink" Target="https://ref.ly/Gen12:3" TargetMode="External"/><Relationship Id="rId556" Type="http://schemas.openxmlformats.org/officeDocument/2006/relationships/hyperlink" Target="https://ref.ly/2Thess2:13" TargetMode="External"/><Relationship Id="rId557" Type="http://schemas.openxmlformats.org/officeDocument/2006/relationships/hyperlink" Target="https://ref.ly/Eph2:8-Eph2:10" TargetMode="External"/><Relationship Id="rId558" Type="http://schemas.openxmlformats.org/officeDocument/2006/relationships/hyperlink" Target="https://ref.ly/Exod20:8-Exod20:11" TargetMode="External"/><Relationship Id="rId559" Type="http://schemas.openxmlformats.org/officeDocument/2006/relationships/hyperlink" Target="https://ref.ly/Deut5:12-Deut5:15" TargetMode="External"/><Relationship Id="rId560" Type="http://schemas.openxmlformats.org/officeDocument/2006/relationships/hyperlink" Target="https://ref.ly/Exod19:1-Exod19:25" TargetMode="External"/><Relationship Id="rId561" Type="http://schemas.openxmlformats.org/officeDocument/2006/relationships/hyperlink" Target="https://ref.ly/Exod20:1-Exod20:26" TargetMode="External"/><Relationship Id="rId562" Type="http://schemas.openxmlformats.org/officeDocument/2006/relationships/hyperlink" Target="https://ref.ly/Exod19:6" TargetMode="External"/><Relationship Id="rId563" Type="http://schemas.openxmlformats.org/officeDocument/2006/relationships/hyperlink" Target="https://ref.ly/Exod20:2-Exod20:17" TargetMode="External"/><Relationship Id="rId564" Type="http://schemas.openxmlformats.org/officeDocument/2006/relationships/hyperlink" Target="https://ref.ly/Exod21:1-Exod23:33" TargetMode="External"/><Relationship Id="rId565" Type="http://schemas.openxmlformats.org/officeDocument/2006/relationships/hyperlink" Target="https://ref.ly/Exod24:7" TargetMode="External"/><Relationship Id="rId566" Type="http://schemas.openxmlformats.org/officeDocument/2006/relationships/hyperlink" Target="https://ref.ly/Josh8:30-Josh8:35" TargetMode="External"/><Relationship Id="rId567" Type="http://schemas.openxmlformats.org/officeDocument/2006/relationships/hyperlink" Target="https://ref.ly/Josh24:1-Josh24:28" TargetMode="External"/><Relationship Id="rId568" Type="http://schemas.openxmlformats.org/officeDocument/2006/relationships/hyperlink" Target="https://ref.ly/2Kgs23:1-2Kgs23:3" TargetMode="External"/><Relationship Id="rId569" Type="http://schemas.openxmlformats.org/officeDocument/2006/relationships/hyperlink" Target="https://ref.ly/Deut5:6-Deut5:21" TargetMode="External"/><Relationship Id="rId570" Type="http://schemas.openxmlformats.org/officeDocument/2006/relationships/hyperlink" Target="https://ref.ly/Deut12:1-Deut26:19" TargetMode="External"/><Relationship Id="rId571" Type="http://schemas.openxmlformats.org/officeDocument/2006/relationships/hyperlink" Target="https://ref.ly/2Sam7:8-2Sam7:16" TargetMode="External"/><Relationship Id="rId572" Type="http://schemas.openxmlformats.org/officeDocument/2006/relationships/hyperlink" Target="https://ref.ly/2Sam23:5" TargetMode="External"/><Relationship Id="rId573" Type="http://schemas.openxmlformats.org/officeDocument/2006/relationships/hyperlink" Target="https://ref.ly/Matt1:1" TargetMode="External"/><Relationship Id="rId574" Type="http://schemas.openxmlformats.org/officeDocument/2006/relationships/hyperlink" Target="https://ref.ly/Luke3:31" TargetMode="External"/><Relationship Id="rId575" Type="http://schemas.openxmlformats.org/officeDocument/2006/relationships/hyperlink" Target="https://ref.ly/Hos1:1-Hos3:5" TargetMode="External"/><Relationship Id="rId576" Type="http://schemas.openxmlformats.org/officeDocument/2006/relationships/hyperlink" Target="https://ref.ly/Hos3:1" TargetMode="External"/><Relationship Id="rId577" Type="http://schemas.openxmlformats.org/officeDocument/2006/relationships/hyperlink" Target="https://ref.ly/Hos2:14-Hos2:18" TargetMode="External"/><Relationship Id="rId578" Type="http://schemas.openxmlformats.org/officeDocument/2006/relationships/hyperlink" Target="https://ref.ly/Jer31:31" TargetMode="External"/><Relationship Id="rId579" Type="http://schemas.openxmlformats.org/officeDocument/2006/relationships/hyperlink" Target="https://ref.ly/Jer31:34" TargetMode="External"/><Relationship Id="rId580" Type="http://schemas.openxmlformats.org/officeDocument/2006/relationships/hyperlink" Target="https://ref.ly/Luke22:20" TargetMode="External"/><Relationship Id="rId581" Type="http://schemas.openxmlformats.org/officeDocument/2006/relationships/hyperlink" Target="https://ref.ly/Heb8:8-Heb8:12" TargetMode="External"/><Relationship Id="rId582" Type="http://schemas.openxmlformats.org/officeDocument/2006/relationships/hyperlink" Target="https://ref.ly/Gal3:6-Gal3:14" TargetMode="External"/><Relationship Id="rId583" Type="http://schemas.openxmlformats.org/officeDocument/2006/relationships/hyperlink" Target="https://ref.ly/Gen10:26" TargetMode="External"/><Relationship Id="rId584" Type="http://schemas.openxmlformats.org/officeDocument/2006/relationships/hyperlink" Target="https://ref.ly/1Chr1:20" TargetMode="External"/><Relationship Id="rId585" Type="http://schemas.openxmlformats.org/officeDocument/2006/relationships/hyperlink" Target="https://ref.ly/Matt10:3" TargetMode="External"/><Relationship Id="rId586" Type="http://schemas.openxmlformats.org/officeDocument/2006/relationships/hyperlink" Target="https://ref.ly/Mark3:18" TargetMode="External"/><Relationship Id="rId587" Type="http://schemas.openxmlformats.org/officeDocument/2006/relationships/hyperlink" Target="https://ref.ly/Luke6:15" TargetMode="External"/><Relationship Id="rId588" Type="http://schemas.openxmlformats.org/officeDocument/2006/relationships/hyperlink" Target="https://ref.ly/Acts1:13" TargetMode="External"/><Relationship Id="rId589" Type="http://schemas.openxmlformats.org/officeDocument/2006/relationships/hyperlink" Target="https://ref.ly/John19:25" TargetMode="External"/><Relationship Id="rId590" Type="http://schemas.openxmlformats.org/officeDocument/2006/relationships/hyperlink" Target="https://ref.ly/Mark2:14" TargetMode="External"/><Relationship Id="rId591" Type="http://schemas.openxmlformats.org/officeDocument/2006/relationships/hyperlink" Target="https://ref.ly/Matt9:9" TargetMode="External"/><Relationship Id="rId592" Type="http://schemas.openxmlformats.org/officeDocument/2006/relationships/hyperlink" Target="https://ref.ly/Gen36:40" TargetMode="External"/><Relationship Id="rId593" Type="http://schemas.openxmlformats.org/officeDocument/2006/relationships/hyperlink" Target="https://ref.ly/1Chr1:51" TargetMode="External"/><Relationship Id="rId594" Type="http://schemas.openxmlformats.org/officeDocument/2006/relationships/hyperlink" Target="https://ref.ly/Gen36:23" TargetMode="External"/><Relationship Id="rId595" Type="http://schemas.openxmlformats.org/officeDocument/2006/relationships/hyperlink" Target="https://ref.ly/1Chr1:40" TargetMode="External"/><Relationship Id="rId596" Type="http://schemas.openxmlformats.org/officeDocument/2006/relationships/hyperlink" Target="https://ref.ly/Gen36:12" TargetMode="External"/><Relationship Id="rId597" Type="http://schemas.openxmlformats.org/officeDocument/2006/relationships/hyperlink" Target="https://ref.ly/1Chr1:36" TargetMode="External"/><Relationship Id="rId598" Type="http://schemas.openxmlformats.org/officeDocument/2006/relationships/hyperlink" Target="https://ref.ly/Exod17:8-Exod17:16" TargetMode="External"/><Relationship Id="rId599" Type="http://schemas.openxmlformats.org/officeDocument/2006/relationships/hyperlink" Target="https://ref.ly/Exod17:1,Exod17:8-Exod17:16" TargetMode="External"/><Relationship Id="rId600" Type="http://schemas.openxmlformats.org/officeDocument/2006/relationships/hyperlink" Target="https://ref.ly/Deut25:17-Deut25:18" TargetMode="External"/><Relationship Id="rId601" Type="http://schemas.openxmlformats.org/officeDocument/2006/relationships/hyperlink" Target="https://ref.ly/Num14:39-Num14:45" TargetMode="External"/><Relationship Id="rId602" Type="http://schemas.openxmlformats.org/officeDocument/2006/relationships/hyperlink" Target="https://ref.ly/Num24:20" TargetMode="External"/><Relationship Id="rId603" Type="http://schemas.openxmlformats.org/officeDocument/2006/relationships/hyperlink" Target="https://ref.ly/Deut25:17-Deut25:19" TargetMode="External"/><Relationship Id="rId604" Type="http://schemas.openxmlformats.org/officeDocument/2006/relationships/hyperlink" Target="https://ref.ly/1Sam15:5-1Sam15:6" TargetMode="External"/><Relationship Id="rId605" Type="http://schemas.openxmlformats.org/officeDocument/2006/relationships/hyperlink" Target="https://ref.ly/Judg1:16" TargetMode="External"/><Relationship Id="rId606" Type="http://schemas.openxmlformats.org/officeDocument/2006/relationships/hyperlink" Target="https://ref.ly/Judg3:12-Judg3:14" TargetMode="External"/><Relationship Id="rId607" Type="http://schemas.openxmlformats.org/officeDocument/2006/relationships/hyperlink" Target="https://ref.ly/Judg5:14" TargetMode="External"/><Relationship Id="rId608" Type="http://schemas.openxmlformats.org/officeDocument/2006/relationships/hyperlink" Target="https://ref.ly/Judg6:3,Judg6:33" TargetMode="External"/><Relationship Id="rId609" Type="http://schemas.openxmlformats.org/officeDocument/2006/relationships/hyperlink" Target="https://ref.ly/Judg7:12" TargetMode="External"/><Relationship Id="rId610" Type="http://schemas.openxmlformats.org/officeDocument/2006/relationships/hyperlink" Target="https://ref.ly/Judg7:12-Judg7:25" TargetMode="External"/><Relationship Id="rId611" Type="http://schemas.openxmlformats.org/officeDocument/2006/relationships/hyperlink" Target="https://ref.ly/1Sam14:47-1Sam14:48" TargetMode="External"/><Relationship Id="rId612" Type="http://schemas.openxmlformats.org/officeDocument/2006/relationships/hyperlink" Target="https://ref.ly/1Sam15:1-1Sam15:3" TargetMode="External"/><Relationship Id="rId613" Type="http://schemas.openxmlformats.org/officeDocument/2006/relationships/hyperlink" Target="https://ref.ly/1Sam15:4-1Sam15:7" TargetMode="External"/><Relationship Id="rId614" Type="http://schemas.openxmlformats.org/officeDocument/2006/relationships/hyperlink" Target="https://ref.ly/1Sam15:8" TargetMode="External"/><Relationship Id="rId615" Type="http://schemas.openxmlformats.org/officeDocument/2006/relationships/hyperlink" Target="https://ref.ly/1Sam15:9" TargetMode="External"/><Relationship Id="rId616" Type="http://schemas.openxmlformats.org/officeDocument/2006/relationships/hyperlink" Target="https://ref.ly/1Sam15:10-1Sam15:31" TargetMode="External"/><Relationship Id="rId617" Type="http://schemas.openxmlformats.org/officeDocument/2006/relationships/hyperlink" Target="https://ref.ly/1Sam15:32-1Sam15:35" TargetMode="External"/><Relationship Id="rId618" Type="http://schemas.openxmlformats.org/officeDocument/2006/relationships/hyperlink" Target="https://ref.ly/1Sam27:8" TargetMode="External"/><Relationship Id="rId619" Type="http://schemas.openxmlformats.org/officeDocument/2006/relationships/hyperlink" Target="https://ref.ly/1Sam30:1-1Sam30:20" TargetMode="External"/><Relationship Id="rId620" Type="http://schemas.openxmlformats.org/officeDocument/2006/relationships/hyperlink" Target="https://ref.ly/2Sam1:1" TargetMode="External"/><Relationship Id="rId621" Type="http://schemas.openxmlformats.org/officeDocument/2006/relationships/hyperlink" Target="https://ref.ly/2Sam8:12" TargetMode="External"/><Relationship Id="rId622" Type="http://schemas.openxmlformats.org/officeDocument/2006/relationships/hyperlink" Target="https://ref.ly/1Chr18:11" TargetMode="External"/><Relationship Id="rId623" Type="http://schemas.openxmlformats.org/officeDocument/2006/relationships/hyperlink" Target="https://ref.ly/Ps83:7" TargetMode="External"/><Relationship Id="rId624" Type="http://schemas.openxmlformats.org/officeDocument/2006/relationships/hyperlink" Target="https://ref.ly/1Chr4:41-1Chr4:43" TargetMode="External"/><Relationship Id="rId625" Type="http://schemas.openxmlformats.org/officeDocument/2006/relationships/hyperlink" Target="https://ref.ly/Gen1:20" TargetMode="External"/><Relationship Id="rId626" Type="http://schemas.openxmlformats.org/officeDocument/2006/relationships/hyperlink" Target="https://ref.ly/Lev11:10" TargetMode="External"/><Relationship Id="rId627" Type="http://schemas.openxmlformats.org/officeDocument/2006/relationships/hyperlink" Target="https://ref.ly/Exod21:23" TargetMode="External"/><Relationship Id="rId628" Type="http://schemas.openxmlformats.org/officeDocument/2006/relationships/hyperlink" Target="https://ref.ly/Lev4:2" TargetMode="External"/><Relationship Id="rId629" Type="http://schemas.openxmlformats.org/officeDocument/2006/relationships/hyperlink" Target="https://ref.ly/Exod1:5" TargetMode="External"/><Relationship Id="rId630" Type="http://schemas.openxmlformats.org/officeDocument/2006/relationships/hyperlink" Target="https://ref.ly/Deut10:22" TargetMode="External"/><Relationship Id="rId631" Type="http://schemas.openxmlformats.org/officeDocument/2006/relationships/hyperlink" Target="https://ref.ly/Deut13:3" TargetMode="External"/><Relationship Id="rId632" Type="http://schemas.openxmlformats.org/officeDocument/2006/relationships/hyperlink" Target="https://ref.ly/Ps139:14" TargetMode="External"/><Relationship Id="rId633" Type="http://schemas.openxmlformats.org/officeDocument/2006/relationships/hyperlink" Target="https://ref.ly/1Sam20:3" TargetMode="External"/><Relationship Id="rId634" Type="http://schemas.openxmlformats.org/officeDocument/2006/relationships/hyperlink" Target="https://ref.ly/1Sam18:1" TargetMode="External"/><Relationship Id="rId635" Type="http://schemas.openxmlformats.org/officeDocument/2006/relationships/hyperlink" Target="https://ref.ly/Lam3:20" TargetMode="External"/><Relationship Id="rId636" Type="http://schemas.openxmlformats.org/officeDocument/2006/relationships/hyperlink" Target="https://ref.ly/Ps16:10" TargetMode="External"/><Relationship Id="rId637" Type="http://schemas.openxmlformats.org/officeDocument/2006/relationships/hyperlink" Target="https://ref.ly/Ps49:15" TargetMode="External"/><Relationship Id="rId638" Type="http://schemas.openxmlformats.org/officeDocument/2006/relationships/hyperlink" Target="https://ref.ly/Ps88:3-Ps88:12" TargetMode="External"/><Relationship Id="rId639" Type="http://schemas.openxmlformats.org/officeDocument/2006/relationships/hyperlink" Target="https://ref.ly/Exod3:6" TargetMode="External"/><Relationship Id="rId640" Type="http://schemas.openxmlformats.org/officeDocument/2006/relationships/hyperlink" Target="https://ref.ly/1Sam2:6" TargetMode="External"/><Relationship Id="rId641" Type="http://schemas.openxmlformats.org/officeDocument/2006/relationships/hyperlink" Target="https://ref.ly/Job19:25-Job19:26" TargetMode="External"/><Relationship Id="rId642" Type="http://schemas.openxmlformats.org/officeDocument/2006/relationships/hyperlink" Target="https://ref.ly/Ps16:10-Ps16:11" TargetMode="External"/><Relationship Id="rId643" Type="http://schemas.openxmlformats.org/officeDocument/2006/relationships/hyperlink" Target="https://ref.ly/Ps73:24-Ps73:25" TargetMode="External"/><Relationship Id="rId644" Type="http://schemas.openxmlformats.org/officeDocument/2006/relationships/hyperlink" Target="https://ref.ly/Isa25:8" TargetMode="External"/><Relationship Id="rId645" Type="http://schemas.openxmlformats.org/officeDocument/2006/relationships/hyperlink" Target="https://ref.ly/Isa26:19" TargetMode="External"/><Relationship Id="rId646" Type="http://schemas.openxmlformats.org/officeDocument/2006/relationships/hyperlink" Target="https://ref.ly/Dan12:2" TargetMode="External"/><Relationship Id="rId647" Type="http://schemas.openxmlformats.org/officeDocument/2006/relationships/hyperlink" Target="https://ref.ly/Hos6:1-Hos6:3" TargetMode="External"/><Relationship Id="rId648" Type="http://schemas.openxmlformats.org/officeDocument/2006/relationships/hyperlink" Target="https://ref.ly/Hos13:14" TargetMode="External"/><Relationship Id="rId649" Type="http://schemas.openxmlformats.org/officeDocument/2006/relationships/hyperlink" Target="https://ref.ly/Acts15:26" TargetMode="External"/><Relationship Id="rId650" Type="http://schemas.openxmlformats.org/officeDocument/2006/relationships/hyperlink" Target="https://ref.ly/John13:37" TargetMode="External"/><Relationship Id="rId651" Type="http://schemas.openxmlformats.org/officeDocument/2006/relationships/hyperlink" Target="https://ref.ly/Rom16:4" TargetMode="External"/><Relationship Id="rId652" Type="http://schemas.openxmlformats.org/officeDocument/2006/relationships/hyperlink" Target="https://ref.ly/Phil2:30" TargetMode="External"/><Relationship Id="rId653" Type="http://schemas.openxmlformats.org/officeDocument/2006/relationships/hyperlink" Target="https://ref.ly/Matt20:28" TargetMode="External"/><Relationship Id="rId654" Type="http://schemas.openxmlformats.org/officeDocument/2006/relationships/hyperlink" Target="https://ref.ly/Mark10:45" TargetMode="External"/><Relationship Id="rId655" Type="http://schemas.openxmlformats.org/officeDocument/2006/relationships/hyperlink" Target="https://ref.ly/John10:14,John10:17-John10:18" TargetMode="External"/><Relationship Id="rId656" Type="http://schemas.openxmlformats.org/officeDocument/2006/relationships/hyperlink" Target="https://ref.ly/John10:14" TargetMode="External"/><Relationship Id="rId657" Type="http://schemas.openxmlformats.org/officeDocument/2006/relationships/hyperlink" Target="https://ref.ly/Luke14:26" TargetMode="External"/><Relationship Id="rId658" Type="http://schemas.openxmlformats.org/officeDocument/2006/relationships/hyperlink" Target="https://ref.ly/Luke9:23" TargetMode="External"/><Relationship Id="rId659" Type="http://schemas.openxmlformats.org/officeDocument/2006/relationships/hyperlink" Target="https://ref.ly/Rev12:11" TargetMode="External"/><Relationship Id="rId660" Type="http://schemas.openxmlformats.org/officeDocument/2006/relationships/hyperlink" Target="https://ref.ly/Acts2:43" TargetMode="External"/><Relationship Id="rId661" Type="http://schemas.openxmlformats.org/officeDocument/2006/relationships/hyperlink" Target="https://ref.ly/Acts3:23" TargetMode="External"/><Relationship Id="rId662" Type="http://schemas.openxmlformats.org/officeDocument/2006/relationships/hyperlink" Target="https://ref.ly/Acts7:14" TargetMode="External"/><Relationship Id="rId663" Type="http://schemas.openxmlformats.org/officeDocument/2006/relationships/hyperlink" Target="https://ref.ly/Rom13:1" TargetMode="External"/><Relationship Id="rId664" Type="http://schemas.openxmlformats.org/officeDocument/2006/relationships/hyperlink" Target="https://ref.ly/1Pet3:20" TargetMode="External"/><Relationship Id="rId665" Type="http://schemas.openxmlformats.org/officeDocument/2006/relationships/hyperlink" Target="https://ref.ly/Rom2:9" TargetMode="External"/><Relationship Id="rId666" Type="http://schemas.openxmlformats.org/officeDocument/2006/relationships/hyperlink" Target="https://ref.ly/Rev16:3" TargetMode="External"/><Relationship Id="rId667" Type="http://schemas.openxmlformats.org/officeDocument/2006/relationships/hyperlink" Target="https://ref.ly/Matt26:38" TargetMode="External"/><Relationship Id="rId668" Type="http://schemas.openxmlformats.org/officeDocument/2006/relationships/hyperlink" Target="https://ref.ly/Mark14:34" TargetMode="External"/><Relationship Id="rId669" Type="http://schemas.openxmlformats.org/officeDocument/2006/relationships/hyperlink" Target="https://ref.ly/Ps42:6" TargetMode="External"/><Relationship Id="rId670" Type="http://schemas.openxmlformats.org/officeDocument/2006/relationships/hyperlink" Target="https://ref.ly/Matt11:29" TargetMode="External"/><Relationship Id="rId671" Type="http://schemas.openxmlformats.org/officeDocument/2006/relationships/hyperlink" Target="https://ref.ly/Luke2:35" TargetMode="External"/><Relationship Id="rId672" Type="http://schemas.openxmlformats.org/officeDocument/2006/relationships/hyperlink" Target="https://ref.ly/2Cor1:23" TargetMode="External"/><Relationship Id="rId673" Type="http://schemas.openxmlformats.org/officeDocument/2006/relationships/hyperlink" Target="https://ref.ly/2Thess2:8" TargetMode="External"/><Relationship Id="rId674" Type="http://schemas.openxmlformats.org/officeDocument/2006/relationships/hyperlink" Target="https://ref.ly/3John1:2" TargetMode="External"/><Relationship Id="rId675" Type="http://schemas.openxmlformats.org/officeDocument/2006/relationships/hyperlink" Target="https://ref.ly/Luke1:46" TargetMode="External"/><Relationship Id="rId676" Type="http://schemas.openxmlformats.org/officeDocument/2006/relationships/hyperlink" Target="https://ref.ly/Heb4:12" TargetMode="External"/><Relationship Id="rId677" Type="http://schemas.openxmlformats.org/officeDocument/2006/relationships/hyperlink" Target="https://ref.ly/1Thess5:23" TargetMode="External"/><Relationship Id="rId678" Type="http://schemas.openxmlformats.org/officeDocument/2006/relationships/hyperlink" Target="https://ref.ly/Matt22:37" TargetMode="External"/><Relationship Id="rId679" Type="http://schemas.openxmlformats.org/officeDocument/2006/relationships/hyperlink" Target="https://ref.ly/Mark12:30" TargetMode="External"/><Relationship Id="rId680" Type="http://schemas.openxmlformats.org/officeDocument/2006/relationships/hyperlink" Target="https://ref.ly/Deut6:5" TargetMode="External"/><Relationship Id="rId681" Type="http://schemas.openxmlformats.org/officeDocument/2006/relationships/hyperlink" Target="https://ref.ly/Eph6:6" TargetMode="External"/><Relationship Id="rId682" Type="http://schemas.openxmlformats.org/officeDocument/2006/relationships/hyperlink" Target="https://ref.ly/Col3:23" TargetMode="External"/><Relationship Id="rId683" Type="http://schemas.openxmlformats.org/officeDocument/2006/relationships/hyperlink" Target="https://ref.ly/Phil1:27" TargetMode="External"/><Relationship Id="rId684" Type="http://schemas.openxmlformats.org/officeDocument/2006/relationships/hyperlink" Target="https://ref.ly/Acts4:32" TargetMode="External"/><Relationship Id="rId685" Type="http://schemas.openxmlformats.org/officeDocument/2006/relationships/hyperlink" Target="https://ref.ly/Acts14:2" TargetMode="External"/><Relationship Id="rId686" Type="http://schemas.openxmlformats.org/officeDocument/2006/relationships/hyperlink" Target="https://ref.ly/Matt10:28" TargetMode="External"/><Relationship Id="rId687" Type="http://schemas.openxmlformats.org/officeDocument/2006/relationships/hyperlink" Target="https://ref.ly/Luke12:5" TargetMode="External"/><Relationship Id="rId688" Type="http://schemas.openxmlformats.org/officeDocument/2006/relationships/hyperlink" Target="https://ref.ly/Heb6:19" TargetMode="External"/><Relationship Id="rId689" Type="http://schemas.openxmlformats.org/officeDocument/2006/relationships/hyperlink" Target="https://ref.ly/Heb10:39" TargetMode="External"/><Relationship Id="rId690" Type="http://schemas.openxmlformats.org/officeDocument/2006/relationships/hyperlink" Target="https://ref.ly/Heb12:3" TargetMode="External"/><Relationship Id="rId691" Type="http://schemas.openxmlformats.org/officeDocument/2006/relationships/hyperlink" Target="https://ref.ly/Heb13:7" TargetMode="External"/><Relationship Id="rId692" Type="http://schemas.openxmlformats.org/officeDocument/2006/relationships/hyperlink" Target="https://ref.ly/Jas1:21" TargetMode="External"/><Relationship Id="rId693" Type="http://schemas.openxmlformats.org/officeDocument/2006/relationships/hyperlink" Target="https://ref.ly/Jas5:20" TargetMode="External"/><Relationship Id="rId694" Type="http://schemas.openxmlformats.org/officeDocument/2006/relationships/hyperlink" Target="https://ref.ly/1Pet1:9,1Pet1:22-1Pet1:23" TargetMode="External"/><Relationship Id="rId695" Type="http://schemas.openxmlformats.org/officeDocument/2006/relationships/hyperlink" Target="https://ref.ly/1Pet1:9" TargetMode="External"/><Relationship Id="rId696" Type="http://schemas.openxmlformats.org/officeDocument/2006/relationships/hyperlink" Target="https://ref.ly/1Pet2:25" TargetMode="External"/><Relationship Id="rId697" Type="http://schemas.openxmlformats.org/officeDocument/2006/relationships/hyperlink" Target="https://ref.ly/1Pet4:19" TargetMode="External"/><Relationship Id="rId698" Type="http://schemas.openxmlformats.org/officeDocument/2006/relationships/hyperlink" Target="https://ref.ly/Rev6:9" TargetMode="External"/><Relationship Id="rId699" Type="http://schemas.openxmlformats.org/officeDocument/2006/relationships/hyperlink" Target="https://ref.ly/Rev20:4" TargetMode="External"/><Relationship Id="rId700" Type="http://schemas.openxmlformats.org/officeDocument/2006/relationships/hyperlink" Target="https://ref.ly/Gen19:38" TargetMode="External"/><Relationship Id="rId701" Type="http://schemas.openxmlformats.org/officeDocument/2006/relationships/hyperlink" Target="https://ref.ly/1Kgs14:21" TargetMode="External"/><Relationship Id="rId702" Type="http://schemas.openxmlformats.org/officeDocument/2006/relationships/hyperlink" Target="https://ref.ly/2Chr12:13" TargetMode="External"/><Relationship Id="rId703" Type="http://schemas.openxmlformats.org/officeDocument/2006/relationships/hyperlink" Target="https://ref.ly/Deut2:20-Deut2:21" TargetMode="External"/><Relationship Id="rId704" Type="http://schemas.openxmlformats.org/officeDocument/2006/relationships/hyperlink" Target="https://ref.ly/Gen14:5" TargetMode="External"/><Relationship Id="rId705" Type="http://schemas.openxmlformats.org/officeDocument/2006/relationships/hyperlink" Target="https://ref.ly/Gen14:1" TargetMode="External"/><Relationship Id="rId706" Type="http://schemas.openxmlformats.org/officeDocument/2006/relationships/hyperlink" Target="https://ref.ly/Deut3:11" TargetMode="External"/><Relationship Id="rId707" Type="http://schemas.openxmlformats.org/officeDocument/2006/relationships/hyperlink" Target="https://ref.ly/Num20:14-Num20:21" TargetMode="External"/><Relationship Id="rId708" Type="http://schemas.openxmlformats.org/officeDocument/2006/relationships/hyperlink" Target="https://ref.ly/Num21:21-Num21:24" TargetMode="External"/><Relationship Id="rId709" Type="http://schemas.openxmlformats.org/officeDocument/2006/relationships/hyperlink" Target="https://ref.ly/Deut2:19" TargetMode="External"/><Relationship Id="rId710" Type="http://schemas.openxmlformats.org/officeDocument/2006/relationships/hyperlink" Target="https://ref.ly/Deut3:1-Deut3:11" TargetMode="External"/><Relationship Id="rId711" Type="http://schemas.openxmlformats.org/officeDocument/2006/relationships/hyperlink" Target="https://ref.ly/Num22:1-Num24:25" TargetMode="External"/><Relationship Id="rId712" Type="http://schemas.openxmlformats.org/officeDocument/2006/relationships/hyperlink" Target="https://ref.ly/Deut23:3" TargetMode="External"/><Relationship Id="rId713" Type="http://schemas.openxmlformats.org/officeDocument/2006/relationships/hyperlink" Target="https://ref.ly/Neh13:1-Neh13:2" TargetMode="External"/><Relationship Id="rId714" Type="http://schemas.openxmlformats.org/officeDocument/2006/relationships/hyperlink" Target="https://ref.ly/Num32:1-Num32:42" TargetMode="External"/><Relationship Id="rId715" Type="http://schemas.openxmlformats.org/officeDocument/2006/relationships/hyperlink" Target="https://ref.ly/Deut3:16" TargetMode="External"/><Relationship Id="rId716" Type="http://schemas.openxmlformats.org/officeDocument/2006/relationships/hyperlink" Target="https://ref.ly/Josh13:8-Josh13:32" TargetMode="External"/><Relationship Id="rId717" Type="http://schemas.openxmlformats.org/officeDocument/2006/relationships/hyperlink" Target="https://ref.ly/Josh22:10-Josh22:34" TargetMode="External"/><Relationship Id="rId718" Type="http://schemas.openxmlformats.org/officeDocument/2006/relationships/hyperlink" Target="https://ref.ly/Judg3:12-Judg3:13" TargetMode="External"/><Relationship Id="rId719" Type="http://schemas.openxmlformats.org/officeDocument/2006/relationships/hyperlink" Target="https://ref.ly/Judg10:6" TargetMode="External"/><Relationship Id="rId720" Type="http://schemas.openxmlformats.org/officeDocument/2006/relationships/hyperlink" Target="https://ref.ly/Judg10:7-Judg10:8" TargetMode="External"/><Relationship Id="rId721" Type="http://schemas.openxmlformats.org/officeDocument/2006/relationships/hyperlink" Target="https://ref.ly/Judg10:9" TargetMode="External"/><Relationship Id="rId722" Type="http://schemas.openxmlformats.org/officeDocument/2006/relationships/hyperlink" Target="https://ref.ly/Judg11:1-Judg11:11" TargetMode="External"/><Relationship Id="rId723" Type="http://schemas.openxmlformats.org/officeDocument/2006/relationships/hyperlink" Target="https://ref.ly/Judg11:12-Judg11:33" TargetMode="External"/><Relationship Id="rId724" Type="http://schemas.openxmlformats.org/officeDocument/2006/relationships/hyperlink" Target="https://ref.ly/1Sam11:1-1Sam11:11" TargetMode="External"/><Relationship Id="rId725" Type="http://schemas.openxmlformats.org/officeDocument/2006/relationships/hyperlink" Target="https://ref.ly/2Sam8:11-2Sam8:12" TargetMode="External"/><Relationship Id="rId726" Type="http://schemas.openxmlformats.org/officeDocument/2006/relationships/hyperlink" Target="https://ref.ly/2Sam11:1" TargetMode="External"/><Relationship Id="rId727" Type="http://schemas.openxmlformats.org/officeDocument/2006/relationships/hyperlink" Target="https://ref.ly/1Chr20:2" TargetMode="External"/><Relationship Id="rId728" Type="http://schemas.openxmlformats.org/officeDocument/2006/relationships/hyperlink" Target="https://ref.ly/2Sam12:26-2Sam12:29" TargetMode="External"/><Relationship Id="rId729" Type="http://schemas.openxmlformats.org/officeDocument/2006/relationships/hyperlink" Target="https://ref.ly/2Sam12:30" TargetMode="External"/><Relationship Id="rId730" Type="http://schemas.openxmlformats.org/officeDocument/2006/relationships/hyperlink" Target="https://ref.ly/1Chr20:1" TargetMode="External"/><Relationship Id="rId731" Type="http://schemas.openxmlformats.org/officeDocument/2006/relationships/hyperlink" Target="https://ref.ly/2Sam12:31" TargetMode="External"/><Relationship Id="rId732" Type="http://schemas.openxmlformats.org/officeDocument/2006/relationships/hyperlink" Target="https://ref.ly/1Chr20:3" TargetMode="External"/><Relationship Id="rId733" Type="http://schemas.openxmlformats.org/officeDocument/2006/relationships/hyperlink" Target="https://ref.ly/2Sam17:27" TargetMode="External"/><Relationship Id="rId734" Type="http://schemas.openxmlformats.org/officeDocument/2006/relationships/hyperlink" Target="https://ref.ly/2Sam23:37" TargetMode="External"/><Relationship Id="rId735" Type="http://schemas.openxmlformats.org/officeDocument/2006/relationships/hyperlink" Target="https://ref.ly/2Chr20:1-2Chr20:12" TargetMode="External"/><Relationship Id="rId736" Type="http://schemas.openxmlformats.org/officeDocument/2006/relationships/hyperlink" Target="https://ref.ly/2Chr20:22-2Chr20:25" TargetMode="External"/><Relationship Id="rId737" Type="http://schemas.openxmlformats.org/officeDocument/2006/relationships/hyperlink" Target="https://ref.ly/Jer27:1-Jer27:3" TargetMode="External"/><Relationship Id="rId738" Type="http://schemas.openxmlformats.org/officeDocument/2006/relationships/hyperlink" Target="https://ref.ly/Jer27:4-Jer27:22" TargetMode="External"/><Relationship Id="rId739" Type="http://schemas.openxmlformats.org/officeDocument/2006/relationships/hyperlink" Target="https://ref.ly/Jer40:11" TargetMode="External"/><Relationship Id="rId740" Type="http://schemas.openxmlformats.org/officeDocument/2006/relationships/hyperlink" Target="https://ref.ly/Jer40:13-Jer40:16" TargetMode="External"/><Relationship Id="rId741" Type="http://schemas.openxmlformats.org/officeDocument/2006/relationships/hyperlink" Target="https://ref.ly/Jer41:1-Jer41:15" TargetMode="External"/><Relationship Id="rId742" Type="http://schemas.openxmlformats.org/officeDocument/2006/relationships/hyperlink" Target="https://ref.ly/Gen10:16" TargetMode="External"/><Relationship Id="rId743" Type="http://schemas.openxmlformats.org/officeDocument/2006/relationships/hyperlink" Target="https://ref.ly/1Chr1:13-1Chr1:16" TargetMode="External"/><Relationship Id="rId744" Type="http://schemas.openxmlformats.org/officeDocument/2006/relationships/hyperlink" Target="https://ref.ly/Exod3:8,Exod3:17" TargetMode="External"/><Relationship Id="rId745" Type="http://schemas.openxmlformats.org/officeDocument/2006/relationships/hyperlink" Target="https://ref.ly/Exod13:5" TargetMode="External"/><Relationship Id="rId746" Type="http://schemas.openxmlformats.org/officeDocument/2006/relationships/hyperlink" Target="https://ref.ly/Exod23:23" TargetMode="External"/><Relationship Id="rId747" Type="http://schemas.openxmlformats.org/officeDocument/2006/relationships/hyperlink" Target="https://ref.ly/Exod33:2" TargetMode="External"/><Relationship Id="rId748" Type="http://schemas.openxmlformats.org/officeDocument/2006/relationships/hyperlink" Target="https://ref.ly/Exod34:11-Exod34:17" TargetMode="External"/><Relationship Id="rId749" Type="http://schemas.openxmlformats.org/officeDocument/2006/relationships/hyperlink" Target="https://ref.ly/Num13:25-Num13:29" TargetMode="External"/><Relationship Id="rId750" Type="http://schemas.openxmlformats.org/officeDocument/2006/relationships/hyperlink" Target="https://ref.ly/Num21:13" TargetMode="External"/><Relationship Id="rId751" Type="http://schemas.openxmlformats.org/officeDocument/2006/relationships/hyperlink" Target="https://ref.ly/Deut1:7" TargetMode="External"/><Relationship Id="rId752" Type="http://schemas.openxmlformats.org/officeDocument/2006/relationships/hyperlink" Target="https://ref.ly/Deut1:19-Deut1:20" TargetMode="External"/><Relationship Id="rId753" Type="http://schemas.openxmlformats.org/officeDocument/2006/relationships/hyperlink" Target="https://ref.ly/Deut1:26-Deut1:28" TargetMode="External"/><Relationship Id="rId754" Type="http://schemas.openxmlformats.org/officeDocument/2006/relationships/hyperlink" Target="https://ref.ly/Deut1:34-Deut1:44" TargetMode="External"/><Relationship Id="rId755" Type="http://schemas.openxmlformats.org/officeDocument/2006/relationships/hyperlink" Target="https://ref.ly/Num21:21-Num21:26" TargetMode="External"/><Relationship Id="rId756" Type="http://schemas.openxmlformats.org/officeDocument/2006/relationships/hyperlink" Target="https://ref.ly/Num21:27-Num21:30" TargetMode="External"/><Relationship Id="rId757" Type="http://schemas.openxmlformats.org/officeDocument/2006/relationships/hyperlink" Target="https://ref.ly/Num21:31-Num21:35" TargetMode="External"/><Relationship Id="rId758" Type="http://schemas.openxmlformats.org/officeDocument/2006/relationships/hyperlink" Target="https://ref.ly/Num22:2-Num22:3" TargetMode="External"/><Relationship Id="rId759" Type="http://schemas.openxmlformats.org/officeDocument/2006/relationships/hyperlink" Target="https://ref.ly/Deut2:24-Deut3:10" TargetMode="External"/><Relationship Id="rId760" Type="http://schemas.openxmlformats.org/officeDocument/2006/relationships/hyperlink" Target="https://ref.ly/Num32:33" TargetMode="External"/><Relationship Id="rId761" Type="http://schemas.openxmlformats.org/officeDocument/2006/relationships/hyperlink" Target="https://ref.ly/Deut1:1-Deut1:4" TargetMode="External"/><Relationship Id="rId762" Type="http://schemas.openxmlformats.org/officeDocument/2006/relationships/hyperlink" Target="https://ref.ly/Deut7:1-Deut7:2" TargetMode="External"/><Relationship Id="rId763" Type="http://schemas.openxmlformats.org/officeDocument/2006/relationships/hyperlink" Target="https://ref.ly/Deut31:3-Deut31:6" TargetMode="External"/><Relationship Id="rId764" Type="http://schemas.openxmlformats.org/officeDocument/2006/relationships/hyperlink" Target="https://ref.ly/Josh2:8-Josh2:11" TargetMode="External"/><Relationship Id="rId765" Type="http://schemas.openxmlformats.org/officeDocument/2006/relationships/hyperlink" Target="https://ref.ly/Josh7:7" TargetMode="External"/><Relationship Id="rId766" Type="http://schemas.openxmlformats.org/officeDocument/2006/relationships/hyperlink" Target="https://ref.ly/Josh9:1-Josh9:2" TargetMode="External"/><Relationship Id="rId767" Type="http://schemas.openxmlformats.org/officeDocument/2006/relationships/hyperlink" Target="https://ref.ly/Josh10:1-Josh10:2" TargetMode="External"/><Relationship Id="rId768" Type="http://schemas.openxmlformats.org/officeDocument/2006/relationships/hyperlink" Target="https://ref.ly/Josh10:3" TargetMode="External"/><Relationship Id="rId769" Type="http://schemas.openxmlformats.org/officeDocument/2006/relationships/hyperlink" Target="https://ref.ly/Josh10:3-Josh10:5" TargetMode="External"/><Relationship Id="rId770" Type="http://schemas.openxmlformats.org/officeDocument/2006/relationships/hyperlink" Target="https://ref.ly/Josh10:6-Josh10:14" TargetMode="External"/><Relationship Id="rId771" Type="http://schemas.openxmlformats.org/officeDocument/2006/relationships/hyperlink" Target="https://ref.ly/Josh11:1-Josh11:5" TargetMode="External"/><Relationship Id="rId772" Type="http://schemas.openxmlformats.org/officeDocument/2006/relationships/hyperlink" Target="https://ref.ly/Josh11:10-Josh11:23" TargetMode="External"/><Relationship Id="rId773" Type="http://schemas.openxmlformats.org/officeDocument/2006/relationships/hyperlink" Target="https://ref.ly/Josh24:1-Josh24:18" TargetMode="External"/><Relationship Id="rId774" Type="http://schemas.openxmlformats.org/officeDocument/2006/relationships/hyperlink" Target="https://ref.ly/Judg1:34-Judg1:36" TargetMode="External"/><Relationship Id="rId775" Type="http://schemas.openxmlformats.org/officeDocument/2006/relationships/hyperlink" Target="https://ref.ly/Judg6:10" TargetMode="External"/><Relationship Id="rId776" Type="http://schemas.openxmlformats.org/officeDocument/2006/relationships/hyperlink" Target="https://ref.ly/1Sam7:14" TargetMode="External"/><Relationship Id="rId777" Type="http://schemas.openxmlformats.org/officeDocument/2006/relationships/hyperlink" Target="https://ref.ly/2Sam21:2-2Sam21:6" TargetMode="External"/><Relationship Id="rId778" Type="http://schemas.openxmlformats.org/officeDocument/2006/relationships/hyperlink" Target="https://ref.ly/1Kgs9:20-1Kgs9:22" TargetMode="External"/><Relationship Id="rId779" Type="http://schemas.openxmlformats.org/officeDocument/2006/relationships/hyperlink" Target="https://ref.ly/Ps135:9-Ps135:12" TargetMode="External"/><Relationship Id="rId780" Type="http://schemas.openxmlformats.org/officeDocument/2006/relationships/hyperlink" Target="https://ref.ly/Ps136:13-Ps136:26" TargetMode="External"/><Relationship Id="rId781" Type="http://schemas.openxmlformats.org/officeDocument/2006/relationships/hyperlink" Target="https://ref.ly/Amos2:9-Amos2:10" TargetMode="External"/><Relationship Id="rId782" Type="http://schemas.openxmlformats.org/officeDocument/2006/relationships/hyperlink" Target="https://ref.ly/1Kgs4:19" TargetMode="External"/><Relationship Id="rId783" Type="http://schemas.openxmlformats.org/officeDocument/2006/relationships/hyperlink" Target="https://ref.ly/Ezek16:45" TargetMode="External"/><Relationship Id="rId784" Type="http://schemas.openxmlformats.org/officeDocument/2006/relationships/hyperlink" Target="https://ref.ly/Amos1:1-Amos1:2" TargetMode="External"/><Relationship Id="rId785" Type="http://schemas.openxmlformats.org/officeDocument/2006/relationships/hyperlink" Target="https://ref.ly/Amos7:10-Amos7:14" TargetMode="External"/><Relationship Id="rId786" Type="http://schemas.openxmlformats.org/officeDocument/2006/relationships/hyperlink" Target="https://ref.ly/Amos7:1-Amos7:9" TargetMode="External"/><Relationship Id="rId787" Type="http://schemas.openxmlformats.org/officeDocument/2006/relationships/hyperlink" Target="https://ref.ly/Amos8:1-Amos8:3" TargetMode="External"/><Relationship Id="rId788" Type="http://schemas.openxmlformats.org/officeDocument/2006/relationships/hyperlink" Target="https://ref.ly/Amos9:1-Amos9:4" TargetMode="External"/><Relationship Id="rId789" Type="http://schemas.openxmlformats.org/officeDocument/2006/relationships/hyperlink" Target="https://ref.ly/Amos1:1-Amos6:14" TargetMode="External"/><Relationship Id="rId790" Type="http://schemas.openxmlformats.org/officeDocument/2006/relationships/hyperlink" Target="https://ref.ly/Amos7:1-Amos7:3" TargetMode="External"/><Relationship Id="rId791" Type="http://schemas.openxmlformats.org/officeDocument/2006/relationships/hyperlink" Target="https://ref.ly/Amos5:1-Amos5:7" TargetMode="External"/><Relationship Id="rId792" Type="http://schemas.openxmlformats.org/officeDocument/2006/relationships/hyperlink" Target="https://ref.ly/Amos1:1" TargetMode="External"/><Relationship Id="rId793" Type="http://schemas.openxmlformats.org/officeDocument/2006/relationships/hyperlink" Target="https://ref.ly/Zech14:5" TargetMode="External"/><Relationship Id="rId794" Type="http://schemas.openxmlformats.org/officeDocument/2006/relationships/hyperlink" Target="https://ref.ly/Amos8:9" TargetMode="External"/><Relationship Id="rId795" Type="http://schemas.openxmlformats.org/officeDocument/2006/relationships/hyperlink" Target="https://ref.ly/2Chr26:21" TargetMode="External"/><Relationship Id="rId796" Type="http://schemas.openxmlformats.org/officeDocument/2006/relationships/hyperlink" Target="https://ref.ly/Amos5:27" TargetMode="External"/><Relationship Id="rId797" Type="http://schemas.openxmlformats.org/officeDocument/2006/relationships/hyperlink" Target="https://ref.ly/Amos7:15" TargetMode="External"/><Relationship Id="rId798" Type="http://schemas.openxmlformats.org/officeDocument/2006/relationships/hyperlink" Target="https://ref.ly/Amos2:4-Amos2:5" TargetMode="External"/><Relationship Id="rId799" Type="http://schemas.openxmlformats.org/officeDocument/2006/relationships/hyperlink" Target="https://ref.ly/Amos4:1" TargetMode="External"/><Relationship Id="rId800" Type="http://schemas.openxmlformats.org/officeDocument/2006/relationships/hyperlink" Target="https://ref.ly/Amos6:1" TargetMode="External"/><Relationship Id="rId801" Type="http://schemas.openxmlformats.org/officeDocument/2006/relationships/hyperlink" Target="https://ref.ly/2Kgs13:25" TargetMode="External"/><Relationship Id="rId802" Type="http://schemas.openxmlformats.org/officeDocument/2006/relationships/hyperlink" Target="https://ref.ly/Amos6:4" TargetMode="External"/><Relationship Id="rId803" Type="http://schemas.openxmlformats.org/officeDocument/2006/relationships/hyperlink" Target="https://ref.ly/Amos5:11-Amos5:13" TargetMode="External"/><Relationship Id="rId804" Type="http://schemas.openxmlformats.org/officeDocument/2006/relationships/hyperlink" Target="https://ref.ly/Amos8:4-Amos8:10" TargetMode="External"/><Relationship Id="rId805" Type="http://schemas.openxmlformats.org/officeDocument/2006/relationships/hyperlink" Target="https://ref.ly/Amos5:18" TargetMode="External"/><Relationship Id="rId806" Type="http://schemas.openxmlformats.org/officeDocument/2006/relationships/hyperlink" Target="https://ref.ly/Amos1:2-Amos6:14" TargetMode="External"/><Relationship Id="rId807" Type="http://schemas.openxmlformats.org/officeDocument/2006/relationships/hyperlink" Target="https://ref.ly/Amos1:2" TargetMode="External"/><Relationship Id="rId808" Type="http://schemas.openxmlformats.org/officeDocument/2006/relationships/hyperlink" Target="https://ref.ly/Amos1:3-Amos2:3" TargetMode="External"/><Relationship Id="rId809" Type="http://schemas.openxmlformats.org/officeDocument/2006/relationships/hyperlink" Target="https://ref.ly/2Kgs10:32-2Kgs10:33" TargetMode="External"/><Relationship Id="rId810" Type="http://schemas.openxmlformats.org/officeDocument/2006/relationships/hyperlink" Target="https://ref.ly/2Kgs13:3-2Kgs13:5" TargetMode="External"/><Relationship Id="rId811" Type="http://schemas.openxmlformats.org/officeDocument/2006/relationships/hyperlink" Target="https://ref.ly/2Kgs13:7" TargetMode="External"/><Relationship Id="rId812" Type="http://schemas.openxmlformats.org/officeDocument/2006/relationships/hyperlink" Target="https://ref.ly/Amos1:3" TargetMode="External"/><Relationship Id="rId813" Type="http://schemas.openxmlformats.org/officeDocument/2006/relationships/hyperlink" Target="https://ref.ly/Amos9:7" TargetMode="External"/><Relationship Id="rId814" Type="http://schemas.openxmlformats.org/officeDocument/2006/relationships/hyperlink" Target="https://ref.ly/2Kgs16:9" TargetMode="External"/><Relationship Id="rId815" Type="http://schemas.openxmlformats.org/officeDocument/2006/relationships/hyperlink" Target="https://ref.ly/Amos1:8" TargetMode="External"/><Relationship Id="rId816" Type="http://schemas.openxmlformats.org/officeDocument/2006/relationships/hyperlink" Target="https://ref.ly/2Kgs12:17" TargetMode="External"/><Relationship Id="rId817" Type="http://schemas.openxmlformats.org/officeDocument/2006/relationships/hyperlink" Target="https://ref.ly/Amos1:6" TargetMode="External"/><Relationship Id="rId818" Type="http://schemas.openxmlformats.org/officeDocument/2006/relationships/hyperlink" Target="https://ref.ly/Amos1:11" TargetMode="External"/><Relationship Id="rId819" Type="http://schemas.openxmlformats.org/officeDocument/2006/relationships/hyperlink" Target="https://ref.ly/Amos1:13" TargetMode="External"/><Relationship Id="rId820" Type="http://schemas.openxmlformats.org/officeDocument/2006/relationships/hyperlink" Target="https://ref.ly/Amos2:1-Amos2:3" TargetMode="External"/><Relationship Id="rId821" Type="http://schemas.openxmlformats.org/officeDocument/2006/relationships/hyperlink" Target="https://ref.ly/Amos2:4-Amos2:16" TargetMode="External"/><Relationship Id="rId822" Type="http://schemas.openxmlformats.org/officeDocument/2006/relationships/hyperlink" Target="https://ref.ly/Amos2:6" TargetMode="External"/><Relationship Id="rId823" Type="http://schemas.openxmlformats.org/officeDocument/2006/relationships/hyperlink" Target="https://ref.ly/Exod22:26-Exod22:27" TargetMode="External"/><Relationship Id="rId824" Type="http://schemas.openxmlformats.org/officeDocument/2006/relationships/hyperlink" Target="https://ref.ly/Amos2:8" TargetMode="External"/><Relationship Id="rId825" Type="http://schemas.openxmlformats.org/officeDocument/2006/relationships/hyperlink" Target="https://ref.ly/Amos2:9-Amos2:11" TargetMode="External"/><Relationship Id="rId826" Type="http://schemas.openxmlformats.org/officeDocument/2006/relationships/hyperlink" Target="https://ref.ly/Amos2:12-Amos2:16" TargetMode="External"/><Relationship Id="rId827" Type="http://schemas.openxmlformats.org/officeDocument/2006/relationships/hyperlink" Target="https://ref.ly/Amos3:1-Amos6:14" TargetMode="External"/><Relationship Id="rId828" Type="http://schemas.openxmlformats.org/officeDocument/2006/relationships/hyperlink" Target="https://ref.ly/Amos3:1-Amos3:8" TargetMode="External"/><Relationship Id="rId829" Type="http://schemas.openxmlformats.org/officeDocument/2006/relationships/hyperlink" Target="https://ref.ly/Amos3:9-Amos3:10" TargetMode="External"/><Relationship Id="rId830" Type="http://schemas.openxmlformats.org/officeDocument/2006/relationships/hyperlink" Target="https://ref.ly/Amos3:11-Amos3:12" TargetMode="External"/><Relationship Id="rId831" Type="http://schemas.openxmlformats.org/officeDocument/2006/relationships/hyperlink" Target="https://ref.ly/Amos3:14" TargetMode="External"/><Relationship Id="rId832" Type="http://schemas.openxmlformats.org/officeDocument/2006/relationships/hyperlink" Target="https://ref.ly/Amos3:15" TargetMode="External"/><Relationship Id="rId833" Type="http://schemas.openxmlformats.org/officeDocument/2006/relationships/hyperlink" Target="https://ref.ly/Amos4:1-Amos4:3" TargetMode="External"/><Relationship Id="rId834" Type="http://schemas.openxmlformats.org/officeDocument/2006/relationships/hyperlink" Target="https://ref.ly/Amos4:4-Amos4:5" TargetMode="External"/><Relationship Id="rId835" Type="http://schemas.openxmlformats.org/officeDocument/2006/relationships/hyperlink" Target="https://ref.ly/Amos4:6-Amos4:13" TargetMode="External"/><Relationship Id="rId836" Type="http://schemas.openxmlformats.org/officeDocument/2006/relationships/hyperlink" Target="https://ref.ly/Amos5:1-Amos5:2" TargetMode="External"/><Relationship Id="rId837" Type="http://schemas.openxmlformats.org/officeDocument/2006/relationships/hyperlink" Target="https://ref.ly/Amos5:3" TargetMode="External"/><Relationship Id="rId838" Type="http://schemas.openxmlformats.org/officeDocument/2006/relationships/hyperlink" Target="https://ref.ly/Amos5:4-Amos5:6" TargetMode="External"/><Relationship Id="rId839" Type="http://schemas.openxmlformats.org/officeDocument/2006/relationships/hyperlink" Target="https://ref.ly/Amos5:5" TargetMode="External"/><Relationship Id="rId840" Type="http://schemas.openxmlformats.org/officeDocument/2006/relationships/hyperlink" Target="https://ref.ly/Amos5:8-Amos5:9" TargetMode="External"/><Relationship Id="rId841" Type="http://schemas.openxmlformats.org/officeDocument/2006/relationships/hyperlink" Target="https://ref.ly/Amos5:10-Amos5:13" TargetMode="External"/><Relationship Id="rId842" Type="http://schemas.openxmlformats.org/officeDocument/2006/relationships/hyperlink" Target="https://ref.ly/Amos5:15" TargetMode="External"/><Relationship Id="rId843" Type="http://schemas.openxmlformats.org/officeDocument/2006/relationships/hyperlink" Target="https://ref.ly/Amos5:16-Amos5:17" TargetMode="External"/><Relationship Id="rId844" Type="http://schemas.openxmlformats.org/officeDocument/2006/relationships/hyperlink" Target="https://ref.ly/Amos5:18-Amos5:24" TargetMode="External"/><Relationship Id="rId845" Type="http://schemas.openxmlformats.org/officeDocument/2006/relationships/hyperlink" Target="https://ref.ly/Amos5:25-Amos5:27" TargetMode="External"/><Relationship Id="rId846" Type="http://schemas.openxmlformats.org/officeDocument/2006/relationships/hyperlink" Target="https://ref.ly/Amos6:2-Amos6:7" TargetMode="External"/><Relationship Id="rId847" Type="http://schemas.openxmlformats.org/officeDocument/2006/relationships/hyperlink" Target="https://ref.ly/Amos6:8-Amos6:11" TargetMode="External"/><Relationship Id="rId848" Type="http://schemas.openxmlformats.org/officeDocument/2006/relationships/hyperlink" Target="https://ref.ly/Amos6:12-Amos6:14" TargetMode="External"/><Relationship Id="rId849" Type="http://schemas.openxmlformats.org/officeDocument/2006/relationships/hyperlink" Target="https://ref.ly/Amos7:1-Amos9:10" TargetMode="External"/><Relationship Id="rId850" Type="http://schemas.openxmlformats.org/officeDocument/2006/relationships/hyperlink" Target="https://ref.ly/Amos7:4-Amos7:6" TargetMode="External"/><Relationship Id="rId851" Type="http://schemas.openxmlformats.org/officeDocument/2006/relationships/hyperlink" Target="https://ref.ly/Amos7:7-Amos7:9" TargetMode="External"/><Relationship Id="rId852" Type="http://schemas.openxmlformats.org/officeDocument/2006/relationships/hyperlink" Target="https://ref.ly/Amos7:10-Amos7:17" TargetMode="External"/><Relationship Id="rId853" Type="http://schemas.openxmlformats.org/officeDocument/2006/relationships/hyperlink" Target="https://ref.ly/Amos8:1-Amos8:14" TargetMode="External"/><Relationship Id="rId854" Type="http://schemas.openxmlformats.org/officeDocument/2006/relationships/hyperlink" Target="https://ref.ly/Amos9:1-Amos9:10" TargetMode="External"/><Relationship Id="rId855" Type="http://schemas.openxmlformats.org/officeDocument/2006/relationships/hyperlink" Target="https://ref.ly/Amos9:5-Amos9:6" TargetMode="External"/><Relationship Id="rId856" Type="http://schemas.openxmlformats.org/officeDocument/2006/relationships/hyperlink" Target="https://ref.ly/Amos9:7-Amos9:10" TargetMode="External"/><Relationship Id="rId857" Type="http://schemas.openxmlformats.org/officeDocument/2006/relationships/hyperlink" Target="https://ref.ly/Isa6:12-Isa6:13" TargetMode="External"/><Relationship Id="rId858" Type="http://schemas.openxmlformats.org/officeDocument/2006/relationships/hyperlink" Target="https://ref.ly/Mic6:7-Mic6:9" TargetMode="External"/><Relationship Id="rId859" Type="http://schemas.openxmlformats.org/officeDocument/2006/relationships/hyperlink" Target="https://ref.ly/Lev26:44-Lev26:45" TargetMode="External"/><Relationship Id="rId860" Type="http://schemas.openxmlformats.org/officeDocument/2006/relationships/hyperlink" Target="https://ref.ly/Amos9:11-Amos9:15" TargetMode="External"/><Relationship Id="rId861" Type="http://schemas.openxmlformats.org/officeDocument/2006/relationships/hyperlink" Target="https://ref.ly/Amos9:11-Amos9:12" TargetMode="External"/><Relationship Id="rId862" Type="http://schemas.openxmlformats.org/officeDocument/2006/relationships/hyperlink" Target="https://ref.ly/Acts15:16-Acts15:18" TargetMode="External"/><Relationship Id="rId863" Type="http://schemas.openxmlformats.org/officeDocument/2006/relationships/hyperlink" Target="https://ref.ly/Amos9:13-Amos9:15" TargetMode="External"/><Relationship Id="rId864" Type="http://schemas.openxmlformats.org/officeDocument/2006/relationships/hyperlink" Target="https://ref.ly/Mic3:12-Mic4:4" TargetMode="External"/><Relationship Id="rId865" Type="http://schemas.openxmlformats.org/officeDocument/2006/relationships/hyperlink" Target="https://ref.ly/Gen22:15-Gen22:18" TargetMode="External"/><Relationship Id="rId866" Type="http://schemas.openxmlformats.org/officeDocument/2006/relationships/hyperlink" Target="https://ref.ly/Exod23:1-Exod23:13" TargetMode="External"/><Relationship Id="rId867" Type="http://schemas.openxmlformats.org/officeDocument/2006/relationships/hyperlink" Target="https://ref.ly/Amos4:4" TargetMode="External"/><Relationship Id="rId868" Type="http://schemas.openxmlformats.org/officeDocument/2006/relationships/hyperlink" Target="https://ref.ly/Amos9:8-Amos9:15" TargetMode="External"/><Relationship Id="rId869" Type="http://schemas.openxmlformats.org/officeDocument/2006/relationships/hyperlink" Target="https://ref.ly/Amos9:12" TargetMode="External"/><Relationship Id="rId870" Type="http://schemas.openxmlformats.org/officeDocument/2006/relationships/hyperlink" Target="https://ref.ly/Amos4:13" TargetMode="External"/><Relationship Id="rId871" Type="http://schemas.openxmlformats.org/officeDocument/2006/relationships/hyperlink" Target="https://ref.ly/Amos5:8" TargetMode="External"/><Relationship Id="rId872" Type="http://schemas.openxmlformats.org/officeDocument/2006/relationships/hyperlink" Target="https://ref.ly/Amos9:13-Amos9:14" TargetMode="External"/><Relationship Id="rId873" Type="http://schemas.openxmlformats.org/officeDocument/2006/relationships/hyperlink" Target="https://ref.ly/Acts17:1" TargetMode="External"/><Relationship Id="rId874" Type="http://schemas.openxmlformats.org/officeDocument/2006/relationships/hyperlink" Target="https://ref.ly/Exod6:16-Exod6:20" TargetMode="External"/><Relationship Id="rId875" Type="http://schemas.openxmlformats.org/officeDocument/2006/relationships/hyperlink" Target="https://ref.ly/Num26:58-Num26:59" TargetMode="External"/><Relationship Id="rId876" Type="http://schemas.openxmlformats.org/officeDocument/2006/relationships/hyperlink" Target="https://ref.ly/Num3:27,Num3:31" TargetMode="External"/><Relationship Id="rId877" Type="http://schemas.openxmlformats.org/officeDocument/2006/relationships/hyperlink" Target="https://ref.ly/1Chr26:23-1Chr26:24" TargetMode="External"/><Relationship Id="rId878" Type="http://schemas.openxmlformats.org/officeDocument/2006/relationships/hyperlink" Target="https://ref.ly/Ezra10:34" TargetMode="External"/><Relationship Id="rId879" Type="http://schemas.openxmlformats.org/officeDocument/2006/relationships/hyperlink" Target="https://ref.ly/Gen14:1-Gen14:11" TargetMode="External"/><Relationship Id="rId880" Type="http://schemas.openxmlformats.org/officeDocument/2006/relationships/hyperlink" Target="https://ref.ly/Gen36:2,Gen36:18" TargetMode="External"/><Relationship Id="rId881" Type="http://schemas.openxmlformats.org/officeDocument/2006/relationships/hyperlink" Target="https://ref.ly/Gen36:20,Gen36:25" TargetMode="External"/><Relationship Id="rId882" Type="http://schemas.openxmlformats.org/officeDocument/2006/relationships/hyperlink" Target="https://ref.ly/1Chr1:38,1Chr1:41" TargetMode="External"/><Relationship Id="rId883" Type="http://schemas.openxmlformats.org/officeDocument/2006/relationships/hyperlink" Target="https://ref.ly/Gen10:13" TargetMode="External"/><Relationship Id="rId884" Type="http://schemas.openxmlformats.org/officeDocument/2006/relationships/hyperlink" Target="https://ref.ly/1Chr1:11" TargetMode="External"/><Relationship Id="rId885" Type="http://schemas.openxmlformats.org/officeDocument/2006/relationships/hyperlink" Target="https://ref.ly/Acts5:1-Acts5:5" TargetMode="External"/><Relationship Id="rId886" Type="http://schemas.openxmlformats.org/officeDocument/2006/relationships/hyperlink" Target="https://ref.ly/Acts9:13-Acts9:16" TargetMode="External"/><Relationship Id="rId887" Type="http://schemas.openxmlformats.org/officeDocument/2006/relationships/hyperlink" Target="https://ref.ly/Acts9:17-Acts9:19" TargetMode="External"/><Relationship Id="rId888" Type="http://schemas.openxmlformats.org/officeDocument/2006/relationships/hyperlink" Target="https://ref.ly/Acts22:12-Acts22:16" TargetMode="External"/><Relationship Id="rId889" Type="http://schemas.openxmlformats.org/officeDocument/2006/relationships/hyperlink" Target="https://ref.ly/Acts22:30-Acts23:10" TargetMode="External"/><Relationship Id="rId890" Type="http://schemas.openxmlformats.org/officeDocument/2006/relationships/hyperlink" Target="https://ref.ly/Acts24:1" TargetMode="External"/><Relationship Id="rId891" Type="http://schemas.openxmlformats.org/officeDocument/2006/relationships/hyperlink" Target="https://ref.ly/Acts27:13" TargetMode="External"/><Relationship Id="rId892" Type="http://schemas.openxmlformats.org/officeDocument/2006/relationships/hyperlink" Target="https://ref.ly/Acts27:29-Acts27:30" TargetMode="External"/><Relationship Id="rId893" Type="http://schemas.openxmlformats.org/officeDocument/2006/relationships/hyperlink" Target="https://ref.ly/Acts27:40" TargetMode="External"/><Relationship Id="rId894" Type="http://schemas.openxmlformats.org/officeDocument/2006/relationships/hyperlink" Target="https://ref.ly/Gen14:13" TargetMode="External"/><Relationship Id="rId895" Type="http://schemas.openxmlformats.org/officeDocument/2006/relationships/hyperlink" Target="https://ref.ly/Gen14:14-Gen14:16,Gen14:21-Gen14:24" TargetMode="External"/><Relationship Id="rId896" Type="http://schemas.openxmlformats.org/officeDocument/2006/relationships/hyperlink" Target="https://ref.ly/Gen3:24" TargetMode="External"/><Relationship Id="rId897" Type="http://schemas.openxmlformats.org/officeDocument/2006/relationships/hyperlink" Target="https://ref.ly/Exod25:18-Exod25:22" TargetMode="External"/><Relationship Id="rId898" Type="http://schemas.openxmlformats.org/officeDocument/2006/relationships/hyperlink" Target="https://ref.ly/Exod26:31" TargetMode="External"/><Relationship Id="rId899" Type="http://schemas.openxmlformats.org/officeDocument/2006/relationships/hyperlink" Target="https://ref.ly/2Chr3:7" TargetMode="External"/><Relationship Id="rId900" Type="http://schemas.openxmlformats.org/officeDocument/2006/relationships/hyperlink" Target="https://ref.ly/Ezek41:18-Ezek41:20" TargetMode="External"/><Relationship Id="rId901" Type="http://schemas.openxmlformats.org/officeDocument/2006/relationships/hyperlink" Target="https://ref.ly/Dan8:16" TargetMode="External"/><Relationship Id="rId902" Type="http://schemas.openxmlformats.org/officeDocument/2006/relationships/hyperlink" Target="https://ref.ly/Dan9:21" TargetMode="External"/><Relationship Id="rId903" Type="http://schemas.openxmlformats.org/officeDocument/2006/relationships/hyperlink" Target="https://ref.ly/Dan10:13" TargetMode="External"/><Relationship Id="rId904" Type="http://schemas.openxmlformats.org/officeDocument/2006/relationships/hyperlink" Target="https://ref.ly/Luke1:19,Luke1:26" TargetMode="External"/><Relationship Id="rId905" Type="http://schemas.openxmlformats.org/officeDocument/2006/relationships/hyperlink" Target="https://ref.ly/Jude1:9" TargetMode="External"/><Relationship Id="rId906" Type="http://schemas.openxmlformats.org/officeDocument/2006/relationships/hyperlink" Target="https://ref.ly/Rev12:7-Rev12:9" TargetMode="External"/><Relationship Id="rId907" Type="http://schemas.openxmlformats.org/officeDocument/2006/relationships/hyperlink" Target="https://ref.ly/Luke9:52" TargetMode="External"/><Relationship Id="rId908" Type="http://schemas.openxmlformats.org/officeDocument/2006/relationships/hyperlink" Target="https://ref.ly/Gen18:2-Gen18:15" TargetMode="External"/><Relationship Id="rId909" Type="http://schemas.openxmlformats.org/officeDocument/2006/relationships/hyperlink" Target="https://ref.ly/Judg13:3" TargetMode="External"/><Relationship Id="rId910" Type="http://schemas.openxmlformats.org/officeDocument/2006/relationships/hyperlink" Target="https://ref.ly/Gen19:15" TargetMode="External"/><Relationship Id="rId911" Type="http://schemas.openxmlformats.org/officeDocument/2006/relationships/hyperlink" Target="https://ref.ly/Dan3:28" TargetMode="External"/><Relationship Id="rId912" Type="http://schemas.openxmlformats.org/officeDocument/2006/relationships/hyperlink" Target="https://ref.ly/Dan6:22" TargetMode="External"/><Relationship Id="rId913" Type="http://schemas.openxmlformats.org/officeDocument/2006/relationships/hyperlink" Target="https://ref.ly/Exod14:19" TargetMode="External"/><Relationship Id="rId914" Type="http://schemas.openxmlformats.org/officeDocument/2006/relationships/hyperlink" Target="https://ref.ly/Gen21:14-Gen21:20" TargetMode="External"/><Relationship Id="rId915" Type="http://schemas.openxmlformats.org/officeDocument/2006/relationships/hyperlink" Target="https://ref.ly/1Kgs19:4-1Kgs19:7" TargetMode="External"/><Relationship Id="rId916" Type="http://schemas.openxmlformats.org/officeDocument/2006/relationships/hyperlink" Target="https://ref.ly/Acts7:38" TargetMode="External"/><Relationship Id="rId917" Type="http://schemas.openxmlformats.org/officeDocument/2006/relationships/hyperlink" Target="https://ref.ly/Gal3:19" TargetMode="External"/><Relationship Id="rId918" Type="http://schemas.openxmlformats.org/officeDocument/2006/relationships/hyperlink" Target="https://ref.ly/Luke2:8-Luke2:15" TargetMode="External"/><Relationship Id="rId919" Type="http://schemas.openxmlformats.org/officeDocument/2006/relationships/hyperlink" Target="https://ref.ly/Matt2:13" TargetMode="External"/><Relationship Id="rId920" Type="http://schemas.openxmlformats.org/officeDocument/2006/relationships/hyperlink" Target="https://ref.ly/Matt4:11" TargetMode="External"/><Relationship Id="rId921" Type="http://schemas.openxmlformats.org/officeDocument/2006/relationships/hyperlink" Target="https://ref.ly/Luke22:43-Luke22:44" TargetMode="External"/><Relationship Id="rId922" Type="http://schemas.openxmlformats.org/officeDocument/2006/relationships/hyperlink" Target="https://ref.ly/Matt28:1-Matt28:6" TargetMode="External"/><Relationship Id="rId923" Type="http://schemas.openxmlformats.org/officeDocument/2006/relationships/hyperlink" Target="https://ref.ly/Matt18:10" TargetMode="External"/><Relationship Id="rId924" Type="http://schemas.openxmlformats.org/officeDocument/2006/relationships/hyperlink" Target="https://ref.ly/Acts8:26" TargetMode="External"/><Relationship Id="rId925" Type="http://schemas.openxmlformats.org/officeDocument/2006/relationships/hyperlink" Target="https://ref.ly/Acts5:19" TargetMode="External"/><Relationship Id="rId926" Type="http://schemas.openxmlformats.org/officeDocument/2006/relationships/hyperlink" Target="https://ref.ly/Acts12:7-Acts12:11" TargetMode="External"/><Relationship Id="rId927" Type="http://schemas.openxmlformats.org/officeDocument/2006/relationships/hyperlink" Target="https://ref.ly/Acts27:21-Acts27:25" TargetMode="External"/><Relationship Id="rId928" Type="http://schemas.openxmlformats.org/officeDocument/2006/relationships/hyperlink" Target="https://ref.ly/Matt28:3" TargetMode="External"/><Relationship Id="rId929" Type="http://schemas.openxmlformats.org/officeDocument/2006/relationships/hyperlink" Target="https://ref.ly/Gen28:12" TargetMode="External"/><Relationship Id="rId930" Type="http://schemas.openxmlformats.org/officeDocument/2006/relationships/hyperlink" Target="https://ref.ly/Gen31:11" TargetMode="External"/><Relationship Id="rId931" Type="http://schemas.openxmlformats.org/officeDocument/2006/relationships/hyperlink" Target="https://ref.ly/Acts10:1-Acts10:3" TargetMode="External"/><Relationship Id="rId932" Type="http://schemas.openxmlformats.org/officeDocument/2006/relationships/hyperlink" Target="https://ref.ly/Isa6:1-Isa6:13" TargetMode="External"/><Relationship Id="rId933" Type="http://schemas.openxmlformats.org/officeDocument/2006/relationships/hyperlink" Target="https://ref.ly/Ps148:2" TargetMode="External"/><Relationship Id="rId934" Type="http://schemas.openxmlformats.org/officeDocument/2006/relationships/hyperlink" Target="https://ref.ly/Col1:16" TargetMode="External"/><Relationship Id="rId935" Type="http://schemas.openxmlformats.org/officeDocument/2006/relationships/hyperlink" Target="https://ref.ly/Job38:7" TargetMode="External"/><Relationship Id="rId936" Type="http://schemas.openxmlformats.org/officeDocument/2006/relationships/hyperlink" Target="https://ref.ly/Luke20:36" TargetMode="External"/><Relationship Id="rId937" Type="http://schemas.openxmlformats.org/officeDocument/2006/relationships/hyperlink" Target="https://ref.ly/Matt22:30" TargetMode="External"/><Relationship Id="rId938" Type="http://schemas.openxmlformats.org/officeDocument/2006/relationships/hyperlink" Target="https://ref.ly/Matt28:2-Matt28:4" TargetMode="External"/><Relationship Id="rId939" Type="http://schemas.openxmlformats.org/officeDocument/2006/relationships/hyperlink" Target="https://ref.ly/Col2:18" TargetMode="External"/><Relationship Id="rId940" Type="http://schemas.openxmlformats.org/officeDocument/2006/relationships/hyperlink" Target="https://ref.ly/Rev22:8-Rev22:9" TargetMode="External"/><Relationship Id="rId941" Type="http://schemas.openxmlformats.org/officeDocument/2006/relationships/hyperlink" Target="https://ref.ly/Ps103:20" TargetMode="External"/><Relationship Id="rId942" Type="http://schemas.openxmlformats.org/officeDocument/2006/relationships/hyperlink" Target="https://ref.ly/Matt24:36" TargetMode="External"/><Relationship Id="rId943" Type="http://schemas.openxmlformats.org/officeDocument/2006/relationships/hyperlink" Target="https://ref.ly/1Pet1:11-1Pet1:12" TargetMode="External"/><Relationship Id="rId944" Type="http://schemas.openxmlformats.org/officeDocument/2006/relationships/hyperlink" Target="https://ref.ly/2Pet2:11" TargetMode="External"/><Relationship Id="rId945" Type="http://schemas.openxmlformats.org/officeDocument/2006/relationships/hyperlink" Target="https://ref.ly/John18:13,John18:24" TargetMode="External"/><Relationship Id="rId946" Type="http://schemas.openxmlformats.org/officeDocument/2006/relationships/hyperlink" Target="https://ref.ly/Luke3:2" TargetMode="External"/><Relationship Id="rId947" Type="http://schemas.openxmlformats.org/officeDocument/2006/relationships/hyperlink" Target="https://ref.ly/John18:19,John18:22-John18:24" TargetMode="External"/><Relationship Id="rId948" Type="http://schemas.openxmlformats.org/officeDocument/2006/relationships/hyperlink" Target="https://ref.ly/John18:13,John18:19-John18:24" TargetMode="External"/><Relationship Id="rId949" Type="http://schemas.openxmlformats.org/officeDocument/2006/relationships/hyperlink" Target="https://ref.ly/Acts4:6-Acts4:21" TargetMode="External"/><Relationship Id="rId950" Type="http://schemas.openxmlformats.org/officeDocument/2006/relationships/hyperlink" Target="https://ref.ly/Lev25:1-Lev25:7" TargetMode="External"/><Relationship Id="rId951" Type="http://schemas.openxmlformats.org/officeDocument/2006/relationships/hyperlink" Target="https://ref.ly/Lev25:1-Lev25:55" TargetMode="External"/><Relationship Id="rId952" Type="http://schemas.openxmlformats.org/officeDocument/2006/relationships/hyperlink" Target="https://ref.ly/Lev25:4" TargetMode="External"/><Relationship Id="rId953" Type="http://schemas.openxmlformats.org/officeDocument/2006/relationships/hyperlink" Target="https://ref.ly/Deut31:9-Deut31:13" TargetMode="External"/><Relationship Id="rId954" Type="http://schemas.openxmlformats.org/officeDocument/2006/relationships/hyperlink" Target="https://ref.ly/Lev25:23" TargetMode="External"/><Relationship Id="rId955" Type="http://schemas.openxmlformats.org/officeDocument/2006/relationships/hyperlink" Target="https://ref.ly/Lev25:9" TargetMode="External"/><Relationship Id="rId956" Type="http://schemas.openxmlformats.org/officeDocument/2006/relationships/hyperlink" Target="https://ref.ly/Lev16:30" TargetMode="External"/><Relationship Id="rId957" Type="http://schemas.openxmlformats.org/officeDocument/2006/relationships/hyperlink" Target="https://ref.ly/Exod6:6" TargetMode="External"/><Relationship Id="rId958" Type="http://schemas.openxmlformats.org/officeDocument/2006/relationships/hyperlink" Target="https://ref.ly/Lev25:35-Lev25:38" TargetMode="External"/><Relationship Id="rId959" Type="http://schemas.openxmlformats.org/officeDocument/2006/relationships/hyperlink" Target="https://ref.ly/Lev25:39-Lev25:43" TargetMode="External"/><Relationship Id="rId960" Type="http://schemas.openxmlformats.org/officeDocument/2006/relationships/hyperlink" Target="https://ref.ly/Lev25:47-Lev25:55" TargetMode="External"/><Relationship Id="rId961" Type="http://schemas.openxmlformats.org/officeDocument/2006/relationships/hyperlink" Target="https://ref.ly/Lev25:5-Lev25:7" TargetMode="External"/><Relationship Id="rId962" Type="http://schemas.openxmlformats.org/officeDocument/2006/relationships/hyperlink" Target="https://ref.ly/Lev25:10" TargetMode="External"/><Relationship Id="rId963" Type="http://schemas.openxmlformats.org/officeDocument/2006/relationships/hyperlink" Target="https://ref.ly/Isa58:1-Isa58:14" TargetMode="External"/><Relationship Id="rId964" Type="http://schemas.openxmlformats.org/officeDocument/2006/relationships/hyperlink" Target="https://ref.ly/Lev25:20" TargetMode="External"/><Relationship Id="rId965" Type="http://schemas.openxmlformats.org/officeDocument/2006/relationships/hyperlink" Target="https://ref.ly/Exod16:29" TargetMode="External"/><Relationship Id="rId966" Type="http://schemas.openxmlformats.org/officeDocument/2006/relationships/hyperlink" Target="https://ref.ly/Lev25:21" TargetMode="External"/><Relationship Id="rId967" Type="http://schemas.openxmlformats.org/officeDocument/2006/relationships/hyperlink" Target="https://ref.ly/Lev26:34-Lev26:35" TargetMode="External"/><Relationship Id="rId968" Type="http://schemas.openxmlformats.org/officeDocument/2006/relationships/hyperlink" Target="https://ref.ly/Gen2:16" TargetMode="External"/><Relationship Id="rId969" Type="http://schemas.openxmlformats.org/officeDocument/2006/relationships/hyperlink" Target="https://ref.ly/Isa27:13" TargetMode="External"/><Relationship Id="rId970" Type="http://schemas.openxmlformats.org/officeDocument/2006/relationships/hyperlink" Target="https://ref.ly/Zech9:11-Zech9:14" TargetMode="External"/><Relationship Id="rId971" Type="http://schemas.openxmlformats.org/officeDocument/2006/relationships/hyperlink" Target="https://ref.ly/Luke1:26-Luke1:38" TargetMode="External"/><Relationship Id="rId972" Type="http://schemas.openxmlformats.org/officeDocument/2006/relationships/hyperlink" Target="https://ref.ly/Luke1:28" TargetMode="External"/><Relationship Id="rId973" Type="http://schemas.openxmlformats.org/officeDocument/2006/relationships/hyperlink" Target="https://ref.ly/Luke1:29" TargetMode="External"/><Relationship Id="rId974" Type="http://schemas.openxmlformats.org/officeDocument/2006/relationships/hyperlink" Target="https://ref.ly/Matt1:18-Matt1:21" TargetMode="External"/><Relationship Id="rId975" Type="http://schemas.openxmlformats.org/officeDocument/2006/relationships/hyperlink" Target="https://ref.ly/Luke1:32-Luke1:33" TargetMode="External"/><Relationship Id="rId976" Type="http://schemas.openxmlformats.org/officeDocument/2006/relationships/hyperlink" Target="https://ref.ly/Luke1:15" TargetMode="External"/><Relationship Id="rId977" Type="http://schemas.openxmlformats.org/officeDocument/2006/relationships/hyperlink" Target="https://ref.ly/Luke1:32" TargetMode="External"/><Relationship Id="rId978" Type="http://schemas.openxmlformats.org/officeDocument/2006/relationships/hyperlink" Target="https://ref.ly/2Sam7:12-2Sam7:16" TargetMode="External"/><Relationship Id="rId979" Type="http://schemas.openxmlformats.org/officeDocument/2006/relationships/hyperlink" Target="https://ref.ly/Ps2:7" TargetMode="External"/><Relationship Id="rId980" Type="http://schemas.openxmlformats.org/officeDocument/2006/relationships/hyperlink" Target="https://ref.ly/Ps89:26-Ps89:29" TargetMode="External"/><Relationship Id="rId981" Type="http://schemas.openxmlformats.org/officeDocument/2006/relationships/hyperlink" Target="https://ref.ly/Luke1:34" TargetMode="External"/><Relationship Id="rId982" Type="http://schemas.openxmlformats.org/officeDocument/2006/relationships/hyperlink" Target="https://ref.ly/Gen18:10-Gen18:14" TargetMode="External"/><Relationship Id="rId983" Type="http://schemas.openxmlformats.org/officeDocument/2006/relationships/hyperlink" Target="https://ref.ly/Luke1:35" TargetMode="External"/><Relationship Id="rId984" Type="http://schemas.openxmlformats.org/officeDocument/2006/relationships/hyperlink" Target="https://ref.ly/Luke1:38" TargetMode="External"/><Relationship Id="rId985" Type="http://schemas.openxmlformats.org/officeDocument/2006/relationships/hyperlink" Target="https://ref.ly/Matt1:19" TargetMode="External"/><Relationship Id="rId986" Type="http://schemas.openxmlformats.org/officeDocument/2006/relationships/hyperlink" Target="https://ref.ly/Deut22:20-Deut22:24" TargetMode="External"/><Relationship Id="rId987" Type="http://schemas.openxmlformats.org/officeDocument/2006/relationships/hyperlink" Target="https://ref.ly/John8:3-John8:5" TargetMode="External"/><Relationship Id="rId988" Type="http://schemas.openxmlformats.org/officeDocument/2006/relationships/hyperlink" Target="https://ref.ly/Luke1:48" TargetMode="External"/><Relationship Id="rId989" Type="http://schemas.openxmlformats.org/officeDocument/2006/relationships/hyperlink" Target="https://ref.ly/Acts13:14-Acts13:15" TargetMode="External"/><Relationship Id="rId990" Type="http://schemas.openxmlformats.org/officeDocument/2006/relationships/hyperlink" Target="https://ref.ly/Acts13:42" TargetMode="External"/><Relationship Id="rId991" Type="http://schemas.openxmlformats.org/officeDocument/2006/relationships/hyperlink" Target="https://ref.ly/Acts13:45" TargetMode="External"/><Relationship Id="rId992" Type="http://schemas.openxmlformats.org/officeDocument/2006/relationships/hyperlink" Target="https://ref.ly/Acts13:46-Acts13:48" TargetMode="External"/><Relationship Id="rId993" Type="http://schemas.openxmlformats.org/officeDocument/2006/relationships/hyperlink" Target="https://ref.ly/Acts13:50" TargetMode="External"/><Relationship Id="rId994" Type="http://schemas.openxmlformats.org/officeDocument/2006/relationships/hyperlink" Target="https://ref.ly/Acts14:19" TargetMode="External"/><Relationship Id="rId995" Type="http://schemas.openxmlformats.org/officeDocument/2006/relationships/hyperlink" Target="https://ref.ly/Acts14:21" TargetMode="External"/><Relationship Id="rId996" Type="http://schemas.openxmlformats.org/officeDocument/2006/relationships/hyperlink" Target="https://ref.ly/Acts6:5" TargetMode="External"/><Relationship Id="rId997" Type="http://schemas.openxmlformats.org/officeDocument/2006/relationships/hyperlink" Target="https://ref.ly/Acts11:19" TargetMode="External"/><Relationship Id="rId998" Type="http://schemas.openxmlformats.org/officeDocument/2006/relationships/hyperlink" Target="https://ref.ly/Acts11:1-Acts11:30" TargetMode="External"/><Relationship Id="rId999" Type="http://schemas.openxmlformats.org/officeDocument/2006/relationships/hyperlink" Target="https://ref.ly/Acts11:26" TargetMode="External"/><Relationship Id="rId1000" Type="http://schemas.openxmlformats.org/officeDocument/2006/relationships/hyperlink" Target="https://ref.ly/Gal2:1-Gal2:21" TargetMode="External"/><Relationship Id="rId1001" Type="http://schemas.openxmlformats.org/officeDocument/2006/relationships/hyperlink" Target="https://ref.ly/Acts23:31" TargetMode="External"/><Relationship Id="rId1002" Type="http://schemas.openxmlformats.org/officeDocument/2006/relationships/hyperlink" Target="https://ref.ly/Josh12:18" TargetMode="External"/><Relationship Id="rId1003" Type="http://schemas.openxmlformats.org/officeDocument/2006/relationships/hyperlink" Target="https://ref.ly/1Sam4:1" TargetMode="External"/><Relationship Id="rId1004" Type="http://schemas.openxmlformats.org/officeDocument/2006/relationships/hyperlink" Target="https://ref.ly/1Sam29:1" TargetMode="External"/><Relationship Id="rId1005" Type="http://schemas.openxmlformats.org/officeDocument/2006/relationships/hyperlink" Target="https://ref.ly/Josh13:4" TargetMode="External"/><Relationship Id="rId1006" Type="http://schemas.openxmlformats.org/officeDocument/2006/relationships/hyperlink" Target="https://ref.ly/Josh19:30" TargetMode="External"/><Relationship Id="rId1007" Type="http://schemas.openxmlformats.org/officeDocument/2006/relationships/hyperlink" Target="https://ref.ly/1Kgs20:26,1Kgs20:30" TargetMode="External"/><Relationship Id="rId1008" Type="http://schemas.openxmlformats.org/officeDocument/2006/relationships/hyperlink" Target="https://ref.ly/2Kgs13:17" TargetMode="External"/><Relationship Id="rId1009" Type="http://schemas.openxmlformats.org/officeDocument/2006/relationships/hyperlink" Target="https://ref.ly/Acts18:24-Acts19:1" TargetMode="External"/><Relationship Id="rId1010" Type="http://schemas.openxmlformats.org/officeDocument/2006/relationships/hyperlink" Target="https://ref.ly/1Cor3:5-1Cor3:11" TargetMode="External"/><Relationship Id="rId1011" Type="http://schemas.openxmlformats.org/officeDocument/2006/relationships/hyperlink" Target="https://ref.ly/1Cor1:12" TargetMode="External"/><Relationship Id="rId1012" Type="http://schemas.openxmlformats.org/officeDocument/2006/relationships/hyperlink" Target="https://ref.ly/1Cor3:1-1Cor3:4" TargetMode="External"/><Relationship Id="rId1013" Type="http://schemas.openxmlformats.org/officeDocument/2006/relationships/hyperlink" Target="https://ref.ly/1Cor16:12" TargetMode="External"/><Relationship Id="rId1014" Type="http://schemas.openxmlformats.org/officeDocument/2006/relationships/hyperlink" Target="https://ref.ly/Matt8:18-Matt8:22" TargetMode="External"/><Relationship Id="rId1015" Type="http://schemas.openxmlformats.org/officeDocument/2006/relationships/hyperlink" Target="https://ref.ly/Matt9:10-Matt9:13" TargetMode="External"/><Relationship Id="rId1016" Type="http://schemas.openxmlformats.org/officeDocument/2006/relationships/hyperlink" Target="https://ref.ly/Matt16:1-Matt16:4" TargetMode="External"/><Relationship Id="rId1017" Type="http://schemas.openxmlformats.org/officeDocument/2006/relationships/hyperlink" Target="https://ref.ly/Mark2:18-Mark2:22" TargetMode="External"/><Relationship Id="rId1018" Type="http://schemas.openxmlformats.org/officeDocument/2006/relationships/hyperlink" Target="https://ref.ly/Mark10:13-Mark10:15" TargetMode="External"/><Relationship Id="rId1019" Type="http://schemas.openxmlformats.org/officeDocument/2006/relationships/hyperlink" Target="https://ref.ly/Luke6:1-Luke6:5" TargetMode="External"/><Relationship Id="rId1020" Type="http://schemas.openxmlformats.org/officeDocument/2006/relationships/hyperlink" Target="https://ref.ly/Luke11:37-Luke11:44" TargetMode="External"/><Relationship Id="rId1021" Type="http://schemas.openxmlformats.org/officeDocument/2006/relationships/hyperlink" Target="https://ref.ly/1Esd2:23" TargetMode="External"/><Relationship Id="rId1022" Type="http://schemas.openxmlformats.org/officeDocument/2006/relationships/hyperlink" Target="https://ref.ly/2Macc5:6-2Macc5:8" TargetMode="External"/><Relationship Id="rId1023" Type="http://schemas.openxmlformats.org/officeDocument/2006/relationships/hyperlink" Target="https://ref.ly/Josh22:22" TargetMode="External"/><Relationship Id="rId1024" Type="http://schemas.openxmlformats.org/officeDocument/2006/relationships/hyperlink" Target="https://ref.ly/2Chr29:19" TargetMode="External"/><Relationship Id="rId1025" Type="http://schemas.openxmlformats.org/officeDocument/2006/relationships/hyperlink" Target="https://ref.ly/Jer2:19" TargetMode="External"/><Relationship Id="rId1026" Type="http://schemas.openxmlformats.org/officeDocument/2006/relationships/hyperlink" Target="https://ref.ly/Isa1:2-Isa1:4" TargetMode="External"/><Relationship Id="rId1027" Type="http://schemas.openxmlformats.org/officeDocument/2006/relationships/hyperlink" Target="https://ref.ly/1Kgs14:22-1Kgs14:24" TargetMode="External"/><Relationship Id="rId1028" Type="http://schemas.openxmlformats.org/officeDocument/2006/relationships/hyperlink" Target="https://ref.ly/1Kgs16:30-1Kgs16:33" TargetMode="External"/><Relationship Id="rId1029" Type="http://schemas.openxmlformats.org/officeDocument/2006/relationships/hyperlink" Target="https://ref.ly/1Kgs22:51-1Kgs22:53" TargetMode="External"/><Relationship Id="rId1030" Type="http://schemas.openxmlformats.org/officeDocument/2006/relationships/hyperlink" Target="https://ref.ly/2Chr21:6,2Chr21:10" TargetMode="External"/><Relationship Id="rId1031" Type="http://schemas.openxmlformats.org/officeDocument/2006/relationships/hyperlink" Target="https://ref.ly/2Chr28:1-2Chr28:4" TargetMode="External"/><Relationship Id="rId1032" Type="http://schemas.openxmlformats.org/officeDocument/2006/relationships/hyperlink" Target="https://ref.ly/2Chr33:1-2Chr33:19" TargetMode="External"/><Relationship Id="rId1033" Type="http://schemas.openxmlformats.org/officeDocument/2006/relationships/hyperlink" Target="https://ref.ly/2Chr33:21-2Chr33:23" TargetMode="External"/><Relationship Id="rId1034" Type="http://schemas.openxmlformats.org/officeDocument/2006/relationships/hyperlink" Target="https://ref.ly/John6:66" TargetMode="External"/><Relationship Id="rId1035" Type="http://schemas.openxmlformats.org/officeDocument/2006/relationships/hyperlink" Target="https://ref.ly/Acts21:21" TargetMode="External"/><Relationship Id="rId1036" Type="http://schemas.openxmlformats.org/officeDocument/2006/relationships/hyperlink" Target="https://ref.ly/2Thess2:3" TargetMode="External"/><Relationship Id="rId1037" Type="http://schemas.openxmlformats.org/officeDocument/2006/relationships/hyperlink" Target="https://ref.ly/2Thess2:3-2Thess2:12" TargetMode="External"/><Relationship Id="rId1038" Type="http://schemas.openxmlformats.org/officeDocument/2006/relationships/hyperlink" Target="https://ref.ly/1Tim4:1-1Tim4:3" TargetMode="External"/><Relationship Id="rId1039" Type="http://schemas.openxmlformats.org/officeDocument/2006/relationships/hyperlink" Target="https://ref.ly/Matt10:1-Matt10:4" TargetMode="External"/><Relationship Id="rId1040" Type="http://schemas.openxmlformats.org/officeDocument/2006/relationships/hyperlink" Target="https://ref.ly/Mark3:13-Mark3:19" TargetMode="External"/><Relationship Id="rId1041" Type="http://schemas.openxmlformats.org/officeDocument/2006/relationships/hyperlink" Target="https://ref.ly/Luke6:12-Luke6:16" TargetMode="External"/><Relationship Id="rId1042" Type="http://schemas.openxmlformats.org/officeDocument/2006/relationships/hyperlink" Target="https://ref.ly/Matt10:1-Matt10:15" TargetMode="External"/><Relationship Id="rId1043" Type="http://schemas.openxmlformats.org/officeDocument/2006/relationships/hyperlink" Target="https://ref.ly/Mark6:7-Mark6:13" TargetMode="External"/><Relationship Id="rId1044" Type="http://schemas.openxmlformats.org/officeDocument/2006/relationships/hyperlink" Target="https://ref.ly/Luke9:1-Luke9:6" TargetMode="External"/><Relationship Id="rId1045" Type="http://schemas.openxmlformats.org/officeDocument/2006/relationships/hyperlink" Target="https://ref.ly/Luke10:16" TargetMode="External"/><Relationship Id="rId1046" Type="http://schemas.openxmlformats.org/officeDocument/2006/relationships/hyperlink" Target="https://ref.ly/Matt10:40" TargetMode="External"/><Relationship Id="rId1047" Type="http://schemas.openxmlformats.org/officeDocument/2006/relationships/hyperlink" Target="https://ref.ly/Matt28:1-Matt28:20" TargetMode="External"/><Relationship Id="rId1048" Type="http://schemas.openxmlformats.org/officeDocument/2006/relationships/hyperlink" Target="https://ref.ly/Luke24:1-Luke24:53" TargetMode="External"/><Relationship Id="rId1049" Type="http://schemas.openxmlformats.org/officeDocument/2006/relationships/hyperlink" Target="https://ref.ly/John20:1-John21:25" TargetMode="External"/><Relationship Id="rId1050" Type="http://schemas.openxmlformats.org/officeDocument/2006/relationships/hyperlink" Target="https://ref.ly/Acts1:21-Acts1:22" TargetMode="External"/><Relationship Id="rId1051" Type="http://schemas.openxmlformats.org/officeDocument/2006/relationships/hyperlink" Target="https://ref.ly/1Cor15:4-1Cor15:10" TargetMode="External"/><Relationship Id="rId1052" Type="http://schemas.openxmlformats.org/officeDocument/2006/relationships/hyperlink" Target="https://ref.ly/2Cor8:23" TargetMode="External"/><Relationship Id="rId1053" Type="http://schemas.openxmlformats.org/officeDocument/2006/relationships/hyperlink" Target="https://ref.ly/Phil2:25" TargetMode="External"/><Relationship Id="rId1054" Type="http://schemas.openxmlformats.org/officeDocument/2006/relationships/hyperlink" Target="https://ref.ly/1Cor1:1" TargetMode="External"/><Relationship Id="rId1055" Type="http://schemas.openxmlformats.org/officeDocument/2006/relationships/hyperlink" Target="https://ref.ly/2Cor1:1" TargetMode="External"/><Relationship Id="rId1056" Type="http://schemas.openxmlformats.org/officeDocument/2006/relationships/hyperlink" Target="https://ref.ly/2Cor11:13" TargetMode="External"/><Relationship Id="rId1057" Type="http://schemas.openxmlformats.org/officeDocument/2006/relationships/hyperlink" Target="https://ref.ly/Gal1:1" TargetMode="External"/><Relationship Id="rId1058" Type="http://schemas.openxmlformats.org/officeDocument/2006/relationships/hyperlink" Target="https://ref.ly/Eph1:1" TargetMode="External"/><Relationship Id="rId1059" Type="http://schemas.openxmlformats.org/officeDocument/2006/relationships/hyperlink" Target="https://ref.ly/Col1:1" TargetMode="External"/><Relationship Id="rId1060" Type="http://schemas.openxmlformats.org/officeDocument/2006/relationships/hyperlink" Target="https://ref.ly/1Thess2:6" TargetMode="External"/><Relationship Id="rId1061" Type="http://schemas.openxmlformats.org/officeDocument/2006/relationships/hyperlink" Target="https://ref.ly/Rom16:7" TargetMode="External"/><Relationship Id="rId1062" Type="http://schemas.openxmlformats.org/officeDocument/2006/relationships/hyperlink" Target="https://ref.ly/1Cor9:1" TargetMode="External"/><Relationship Id="rId1063" Type="http://schemas.openxmlformats.org/officeDocument/2006/relationships/hyperlink" Target="https://ref.ly/1Cor12:28" TargetMode="External"/><Relationship Id="rId1064" Type="http://schemas.openxmlformats.org/officeDocument/2006/relationships/hyperlink" Target="https://ref.ly/Gal1:17-Gal1:19" TargetMode="External"/><Relationship Id="rId1065" Type="http://schemas.openxmlformats.org/officeDocument/2006/relationships/hyperlink" Target="https://ref.ly/Gal1:12" TargetMode="External"/><Relationship Id="rId1066" Type="http://schemas.openxmlformats.org/officeDocument/2006/relationships/hyperlink" Target="https://ref.ly/1Cor15:3-1Cor15:8" TargetMode="External"/><Relationship Id="rId1067" Type="http://schemas.openxmlformats.org/officeDocument/2006/relationships/hyperlink" Target="https://ref.ly/Acts9:1-Acts9:19" TargetMode="External"/><Relationship Id="rId1068" Type="http://schemas.openxmlformats.org/officeDocument/2006/relationships/hyperlink" Target="https://ref.ly/Acts22:6-Acts22:16" TargetMode="External"/><Relationship Id="rId1069" Type="http://schemas.openxmlformats.org/officeDocument/2006/relationships/hyperlink" Target="https://ref.ly/Acts26:12-Acts26:18" TargetMode="External"/><Relationship Id="rId1070" Type="http://schemas.openxmlformats.org/officeDocument/2006/relationships/hyperlink" Target="https://ref.ly/Gal1:17" TargetMode="External"/><Relationship Id="rId1071" Type="http://schemas.openxmlformats.org/officeDocument/2006/relationships/hyperlink" Target="https://ref.ly/1Cor1:17" TargetMode="External"/><Relationship Id="rId1072" Type="http://schemas.openxmlformats.org/officeDocument/2006/relationships/hyperlink" Target="https://ref.ly/1Cor2:1-1Cor2:2" TargetMode="External"/><Relationship Id="rId1073" Type="http://schemas.openxmlformats.org/officeDocument/2006/relationships/hyperlink" Target="https://ref.ly/Acts9:15" TargetMode="External"/><Relationship Id="rId1074" Type="http://schemas.openxmlformats.org/officeDocument/2006/relationships/hyperlink" Target="https://ref.ly/Acts22:15" TargetMode="External"/><Relationship Id="rId1075" Type="http://schemas.openxmlformats.org/officeDocument/2006/relationships/hyperlink" Target="https://ref.ly/Acts26:17" TargetMode="External"/><Relationship Id="rId1076" Type="http://schemas.openxmlformats.org/officeDocument/2006/relationships/hyperlink" Target="https://ref.ly/Gal1:15-Gal1:16" TargetMode="External"/><Relationship Id="rId1077" Type="http://schemas.openxmlformats.org/officeDocument/2006/relationships/hyperlink" Target="https://ref.ly/1Cor9:1-1Cor9:2" TargetMode="External"/><Relationship Id="rId1078" Type="http://schemas.openxmlformats.org/officeDocument/2006/relationships/hyperlink" Target="https://ref.ly/Gal2:8" TargetMode="External"/><Relationship Id="rId1079" Type="http://schemas.openxmlformats.org/officeDocument/2006/relationships/hyperlink" Target="https://ref.ly/Acts25:11" TargetMode="External"/><Relationship Id="rId1080" Type="http://schemas.openxmlformats.org/officeDocument/2006/relationships/hyperlink" Target="https://ref.ly/Acts18:2,Acts18:18,Acts18:26" TargetMode="External"/><Relationship Id="rId1081" Type="http://schemas.openxmlformats.org/officeDocument/2006/relationships/hyperlink" Target="https://ref.ly/Rom16:3" TargetMode="External"/><Relationship Id="rId1082" Type="http://schemas.openxmlformats.org/officeDocument/2006/relationships/hyperlink" Target="https://ref.ly/1Cor16:19" TargetMode="External"/><Relationship Id="rId1083" Type="http://schemas.openxmlformats.org/officeDocument/2006/relationships/hyperlink" Target="https://ref.ly/2Tim4:19" TargetMode="External"/><Relationship Id="rId1084" Type="http://schemas.openxmlformats.org/officeDocument/2006/relationships/hyperlink" Target="https://ref.ly/2Chr9:14" TargetMode="External"/><Relationship Id="rId1085" Type="http://schemas.openxmlformats.org/officeDocument/2006/relationships/hyperlink" Target="https://ref.ly/Gal4:25" TargetMode="External"/><Relationship Id="rId1086" Type="http://schemas.openxmlformats.org/officeDocument/2006/relationships/hyperlink" Target="https://ref.ly/Jer49:28-Jer49:33" TargetMode="External"/><Relationship Id="rId1087" Type="http://schemas.openxmlformats.org/officeDocument/2006/relationships/hyperlink" Target="https://ref.ly/1Kgs10:2,1Kgs10:10" TargetMode="External"/><Relationship Id="rId1088" Type="http://schemas.openxmlformats.org/officeDocument/2006/relationships/hyperlink" Target="https://ref.ly/1Kgs9:26-1Kgs9:28" TargetMode="External"/><Relationship Id="rId1089" Type="http://schemas.openxmlformats.org/officeDocument/2006/relationships/hyperlink" Target="https://ref.ly/2Chr17:11" TargetMode="External"/><Relationship Id="rId1090" Type="http://schemas.openxmlformats.org/officeDocument/2006/relationships/hyperlink" Target="https://ref.ly/1Kgs22:48" TargetMode="External"/><Relationship Id="rId1091" Type="http://schemas.openxmlformats.org/officeDocument/2006/relationships/hyperlink" Target="https://ref.ly/Gen37:25-Gen37:36" TargetMode="External"/><Relationship Id="rId1092" Type="http://schemas.openxmlformats.org/officeDocument/2006/relationships/hyperlink" Target="https://ref.ly/Exod18:1" TargetMode="External"/><Relationship Id="rId1093" Type="http://schemas.openxmlformats.org/officeDocument/2006/relationships/hyperlink" Target="https://ref.ly/2Chr26:7" TargetMode="External"/><Relationship Id="rId1094" Type="http://schemas.openxmlformats.org/officeDocument/2006/relationships/hyperlink" Target="https://ref.ly/Neh2:19" TargetMode="External"/><Relationship Id="rId1095" Type="http://schemas.openxmlformats.org/officeDocument/2006/relationships/hyperlink" Target="https://ref.ly/Neh6:1,Neh6:6" TargetMode="External"/><Relationship Id="rId1096" Type="http://schemas.openxmlformats.org/officeDocument/2006/relationships/hyperlink" Target="https://ref.ly/Isa21:13-Isa21:17" TargetMode="External"/><Relationship Id="rId1097" Type="http://schemas.openxmlformats.org/officeDocument/2006/relationships/hyperlink" Target="https://ref.ly/Isa60:7" TargetMode="External"/><Relationship Id="rId1098" Type="http://schemas.openxmlformats.org/officeDocument/2006/relationships/hyperlink" Target="https://ref.ly/1Macc11:16" TargetMode="External"/><Relationship Id="rId1099" Type="http://schemas.openxmlformats.org/officeDocument/2006/relationships/hyperlink" Target="https://ref.ly/Gen10:22-Gen10:23" TargetMode="External"/><Relationship Id="rId1100" Type="http://schemas.openxmlformats.org/officeDocument/2006/relationships/hyperlink" Target="https://ref.ly/1Chr1:17" TargetMode="External"/><Relationship Id="rId1101" Type="http://schemas.openxmlformats.org/officeDocument/2006/relationships/hyperlink" Target="https://ref.ly/Gen22:21" TargetMode="External"/><Relationship Id="rId1102" Type="http://schemas.openxmlformats.org/officeDocument/2006/relationships/hyperlink" Target="https://ref.ly/1Chr7:34" TargetMode="External"/><Relationship Id="rId1103" Type="http://schemas.openxmlformats.org/officeDocument/2006/relationships/hyperlink" Target="https://ref.ly/Matt1:3-Matt1:4" TargetMode="External"/><Relationship Id="rId1104" Type="http://schemas.openxmlformats.org/officeDocument/2006/relationships/hyperlink" Target="https://ref.ly/Ruth4:19" TargetMode="External"/><Relationship Id="rId1105" Type="http://schemas.openxmlformats.org/officeDocument/2006/relationships/hyperlink" Target="https://ref.ly/Dan2:4-Dan7:28" TargetMode="External"/><Relationship Id="rId1106" Type="http://schemas.openxmlformats.org/officeDocument/2006/relationships/hyperlink" Target="https://ref.ly/Ezra4:8-Ezra6:18" TargetMode="External"/><Relationship Id="rId1107" Type="http://schemas.openxmlformats.org/officeDocument/2006/relationships/hyperlink" Target="https://ref.ly/Ezra7:12-Ezra7:26" TargetMode="External"/><Relationship Id="rId1108" Type="http://schemas.openxmlformats.org/officeDocument/2006/relationships/hyperlink" Target="https://ref.ly/Gen31:47" TargetMode="External"/><Relationship Id="rId1109" Type="http://schemas.openxmlformats.org/officeDocument/2006/relationships/hyperlink" Target="https://ref.ly/Jer10:11" TargetMode="External"/><Relationship Id="rId1110" Type="http://schemas.openxmlformats.org/officeDocument/2006/relationships/hyperlink" Target="https://ref.ly/2Kgs18:26" TargetMode="External"/><Relationship Id="rId1111" Type="http://schemas.openxmlformats.org/officeDocument/2006/relationships/hyperlink" Target="https://ref.ly/Neh13:24" TargetMode="External"/><Relationship Id="rId1112" Type="http://schemas.openxmlformats.org/officeDocument/2006/relationships/hyperlink" Target="https://ref.ly/John5:2" TargetMode="External"/><Relationship Id="rId1113" Type="http://schemas.openxmlformats.org/officeDocument/2006/relationships/hyperlink" Target="https://ref.ly/John19:13,John19:17,John19:20" TargetMode="External"/><Relationship Id="rId1114" Type="http://schemas.openxmlformats.org/officeDocument/2006/relationships/hyperlink" Target="https://ref.ly/John20:16" TargetMode="External"/><Relationship Id="rId1115" Type="http://schemas.openxmlformats.org/officeDocument/2006/relationships/hyperlink" Target="https://ref.ly/Rev16:16" TargetMode="External"/><Relationship Id="rId1116" Type="http://schemas.openxmlformats.org/officeDocument/2006/relationships/hyperlink" Target="https://ref.ly/John19:19-John19:20" TargetMode="External"/><Relationship Id="rId1117" Type="http://schemas.openxmlformats.org/officeDocument/2006/relationships/hyperlink" Target="https://ref.ly/Acts22:2" TargetMode="External"/><Relationship Id="rId1118" Type="http://schemas.openxmlformats.org/officeDocument/2006/relationships/hyperlink" Target="https://ref.ly/Acts26:14" TargetMode="External"/><Relationship Id="rId1119" Type="http://schemas.openxmlformats.org/officeDocument/2006/relationships/hyperlink" Target="https://ref.ly/Deut23:4" TargetMode="External"/><Relationship Id="rId1120" Type="http://schemas.openxmlformats.org/officeDocument/2006/relationships/hyperlink" Target="https://ref.ly/Gen11:31-Gen11:32" TargetMode="External"/><Relationship Id="rId1121" Type="http://schemas.openxmlformats.org/officeDocument/2006/relationships/hyperlink" Target="https://ref.ly/Gen24:1-Gen24:10" TargetMode="External"/><Relationship Id="rId1122" Type="http://schemas.openxmlformats.org/officeDocument/2006/relationships/hyperlink" Target="https://ref.ly/Gen28:1-Gen28:5" TargetMode="External"/><Relationship Id="rId1123" Type="http://schemas.openxmlformats.org/officeDocument/2006/relationships/hyperlink" Target="https://ref.ly/Judg3:8-Judg3:11" TargetMode="External"/><Relationship Id="rId1124" Type="http://schemas.openxmlformats.org/officeDocument/2006/relationships/hyperlink" Target="https://ref.ly/1Chr19:6" TargetMode="External"/><Relationship Id="rId1125" Type="http://schemas.openxmlformats.org/officeDocument/2006/relationships/hyperlink" Target="https://ref.ly/Ps60:1" TargetMode="External"/><Relationship Id="rId1126" Type="http://schemas.openxmlformats.org/officeDocument/2006/relationships/hyperlink" Target="https://ref.ly/Gen36:28" TargetMode="External"/><Relationship Id="rId1127" Type="http://schemas.openxmlformats.org/officeDocument/2006/relationships/hyperlink" Target="https://ref.ly/1Chr1:42" TargetMode="External"/><Relationship Id="rId1128" Type="http://schemas.openxmlformats.org/officeDocument/2006/relationships/hyperlink" Target="https://ref.ly/2Kgs19:37" TargetMode="External"/><Relationship Id="rId1129" Type="http://schemas.openxmlformats.org/officeDocument/2006/relationships/hyperlink" Target="https://ref.ly/Isa37:38" TargetMode="External"/><Relationship Id="rId1130" Type="http://schemas.openxmlformats.org/officeDocument/2006/relationships/hyperlink" Target="https://ref.ly/Gen8:4" TargetMode="External"/><Relationship Id="rId1131" Type="http://schemas.openxmlformats.org/officeDocument/2006/relationships/hyperlink" Target="https://ref.ly/Acts17:28" TargetMode="External"/><Relationship Id="rId1132" Type="http://schemas.openxmlformats.org/officeDocument/2006/relationships/hyperlink" Target="https://ref.ly/2Sam24:15-2Sam24:16" TargetMode="External"/><Relationship Id="rId1133" Type="http://schemas.openxmlformats.org/officeDocument/2006/relationships/hyperlink" Target="https://ref.ly/2Sam24:17-2Sam24:25" TargetMode="External"/><Relationship Id="rId1134" Type="http://schemas.openxmlformats.org/officeDocument/2006/relationships/hyperlink" Target="https://ref.ly/2Sam24:24" TargetMode="External"/><Relationship Id="rId1135" Type="http://schemas.openxmlformats.org/officeDocument/2006/relationships/hyperlink" Target="https://ref.ly/1Chr21:15-1Chr21:16" TargetMode="External"/><Relationship Id="rId1136" Type="http://schemas.openxmlformats.org/officeDocument/2006/relationships/hyperlink" Target="https://ref.ly/1Chr21:27-1Chr21:30" TargetMode="External"/><Relationship Id="rId1137" Type="http://schemas.openxmlformats.org/officeDocument/2006/relationships/hyperlink" Target="https://ref.ly/1Chr22:1" TargetMode="External"/><Relationship Id="rId1138" Type="http://schemas.openxmlformats.org/officeDocument/2006/relationships/hyperlink" Target="https://ref.ly/2Chr3:1" TargetMode="External"/><Relationship Id="rId1139" Type="http://schemas.openxmlformats.org/officeDocument/2006/relationships/hyperlink" Target="https://ref.ly/Gen22:2" TargetMode="External"/><Relationship Id="rId1140" Type="http://schemas.openxmlformats.org/officeDocument/2006/relationships/hyperlink" Target="https://ref.ly/Gen2:9" TargetMode="External"/><Relationship Id="rId1141" Type="http://schemas.openxmlformats.org/officeDocument/2006/relationships/hyperlink" Target="https://ref.ly/Ps1:3" TargetMode="External"/><Relationship Id="rId1142" Type="http://schemas.openxmlformats.org/officeDocument/2006/relationships/hyperlink" Target="https://ref.ly/Rev22:2" TargetMode="External"/><Relationship Id="rId1143" Type="http://schemas.openxmlformats.org/officeDocument/2006/relationships/hyperlink" Target="https://ref.ly/Gen2:9,Gen2:15-Gen2:17" TargetMode="External"/><Relationship Id="rId1144" Type="http://schemas.openxmlformats.org/officeDocument/2006/relationships/hyperlink" Target="https://ref.ly/Gen3:1-Gen3:24" TargetMode="External"/><Relationship Id="rId1145" Type="http://schemas.openxmlformats.org/officeDocument/2006/relationships/hyperlink" Target="https://ref.ly/Deut1:39" TargetMode="External"/><Relationship Id="rId1146" Type="http://schemas.openxmlformats.org/officeDocument/2006/relationships/hyperlink" Target="https://ref.ly/Isa7:15-Isa7:16" TargetMode="External"/><Relationship Id="rId1147" Type="http://schemas.openxmlformats.org/officeDocument/2006/relationships/hyperlink" Target="https://ref.ly/Heb5:14" TargetMode="External"/><Relationship Id="rId1148" Type="http://schemas.openxmlformats.org/officeDocument/2006/relationships/hyperlink" Target="https://ref.ly/Gen2:8-Gen2:9" TargetMode="External"/><Relationship Id="rId1149" Type="http://schemas.openxmlformats.org/officeDocument/2006/relationships/hyperlink" Target="https://ref.ly/Gen2:17" TargetMode="External"/><Relationship Id="rId1150" Type="http://schemas.openxmlformats.org/officeDocument/2006/relationships/hyperlink" Target="https://ref.ly/Prov3:18" TargetMode="External"/><Relationship Id="rId1151" Type="http://schemas.openxmlformats.org/officeDocument/2006/relationships/hyperlink" Target="https://ref.ly/Prov11:30" TargetMode="External"/><Relationship Id="rId1152" Type="http://schemas.openxmlformats.org/officeDocument/2006/relationships/hyperlink" Target="https://ref.ly/Prov13:12" TargetMode="External"/><Relationship Id="rId1153" Type="http://schemas.openxmlformats.org/officeDocument/2006/relationships/hyperlink" Target="https://ref.ly/Prov15:4" TargetMode="External"/><Relationship Id="rId1154" Type="http://schemas.openxmlformats.org/officeDocument/2006/relationships/hyperlink" Target="https://ref.ly/Rev2:7" TargetMode="External"/><Relationship Id="rId1155" Type="http://schemas.openxmlformats.org/officeDocument/2006/relationships/hyperlink" Target="https://ref.ly/Rev22:2,Rev22:14,Rev22:19" TargetMode="External"/><Relationship Id="rId1156" Type="http://schemas.openxmlformats.org/officeDocument/2006/relationships/hyperlink" Target="https://ref.ly/Rev7:14" TargetMode="External"/><Relationship Id="rId1157" Type="http://schemas.openxmlformats.org/officeDocument/2006/relationships/hyperlink" Target="https://ref.ly/Rev22:14" TargetMode="External"/><Relationship Id="rId1158" Type="http://schemas.openxmlformats.org/officeDocument/2006/relationships/hyperlink" Target="https://ref.ly/Gen9:8-Gen9:17" TargetMode="External"/><Relationship Id="rId1159" Type="http://schemas.openxmlformats.org/officeDocument/2006/relationships/hyperlink" Target="https://ref.ly/Rev4:3" TargetMode="External"/><Relationship Id="rId1160" Type="http://schemas.openxmlformats.org/officeDocument/2006/relationships/hyperlink" Target="https://ref.ly/Rev10:1" TargetMode="External"/><Relationship Id="rId1161" Type="http://schemas.openxmlformats.org/officeDocument/2006/relationships/hyperlink" Target="https://ref.ly/Exod25:10-Exod25:22" TargetMode="External"/><Relationship Id="rId1162" Type="http://schemas.openxmlformats.org/officeDocument/2006/relationships/hyperlink" Target="https://ref.ly/2Kgs12:9-2Kgs12:10" TargetMode="External"/><Relationship Id="rId1163" Type="http://schemas.openxmlformats.org/officeDocument/2006/relationships/hyperlink" Target="https://ref.ly/Gen50:26" TargetMode="External"/><Relationship Id="rId1164" Type="http://schemas.openxmlformats.org/officeDocument/2006/relationships/hyperlink" Target="https://ref.ly/Exod31:1-Exod31:5" TargetMode="External"/><Relationship Id="rId1165" Type="http://schemas.openxmlformats.org/officeDocument/2006/relationships/hyperlink" Target="https://ref.ly/Exod37:1-Exod37:9" TargetMode="External"/><Relationship Id="rId1166" Type="http://schemas.openxmlformats.org/officeDocument/2006/relationships/hyperlink" Target="https://ref.ly/Exod25:16" TargetMode="External"/><Relationship Id="rId1167" Type="http://schemas.openxmlformats.org/officeDocument/2006/relationships/hyperlink" Target="https://ref.ly/Exod16:33" TargetMode="External"/><Relationship Id="rId1168" Type="http://schemas.openxmlformats.org/officeDocument/2006/relationships/hyperlink" Target="https://ref.ly/Num17:10" TargetMode="External"/><Relationship Id="rId1169" Type="http://schemas.openxmlformats.org/officeDocument/2006/relationships/hyperlink" Target="https://ref.ly/Heb9:4" TargetMode="External"/><Relationship Id="rId1170" Type="http://schemas.openxmlformats.org/officeDocument/2006/relationships/hyperlink" Target="https://ref.ly/Exod25:17" TargetMode="External"/><Relationship Id="rId1171" Type="http://schemas.openxmlformats.org/officeDocument/2006/relationships/hyperlink" Target="https://ref.ly/Lev16:2-Lev16:16" TargetMode="External"/><Relationship Id="rId1172" Type="http://schemas.openxmlformats.org/officeDocument/2006/relationships/hyperlink" Target="https://ref.ly/Ps99:1" TargetMode="External"/><Relationship Id="rId1173" Type="http://schemas.openxmlformats.org/officeDocument/2006/relationships/hyperlink" Target="https://ref.ly/Num7:89" TargetMode="External"/><Relationship Id="rId1174" Type="http://schemas.openxmlformats.org/officeDocument/2006/relationships/hyperlink" Target="https://ref.ly/Exod37:1" TargetMode="External"/><Relationship Id="rId1175" Type="http://schemas.openxmlformats.org/officeDocument/2006/relationships/hyperlink" Target="https://ref.ly/Num3:31" TargetMode="External"/><Relationship Id="rId1176" Type="http://schemas.openxmlformats.org/officeDocument/2006/relationships/hyperlink" Target="https://ref.ly/Num4:5" TargetMode="External"/><Relationship Id="rId1177" Type="http://schemas.openxmlformats.org/officeDocument/2006/relationships/hyperlink" Target="https://ref.ly/Josh4:16" TargetMode="External"/><Relationship Id="rId1178" Type="http://schemas.openxmlformats.org/officeDocument/2006/relationships/hyperlink" Target="https://ref.ly/Exod6:6-Exod6:7" TargetMode="External"/><Relationship Id="rId1179" Type="http://schemas.openxmlformats.org/officeDocument/2006/relationships/hyperlink" Target="https://ref.ly/1Chr28:18" TargetMode="External"/><Relationship Id="rId1180" Type="http://schemas.openxmlformats.org/officeDocument/2006/relationships/hyperlink" Target="https://ref.ly/1Sam6:19" TargetMode="External"/><Relationship Id="rId1181" Type="http://schemas.openxmlformats.org/officeDocument/2006/relationships/hyperlink" Target="https://ref.ly/2Sam6:6-2Sam6:9" TargetMode="External"/><Relationship Id="rId1182" Type="http://schemas.openxmlformats.org/officeDocument/2006/relationships/hyperlink" Target="https://ref.ly/Exod26:31-Exod26:33" TargetMode="External"/><Relationship Id="rId1183" Type="http://schemas.openxmlformats.org/officeDocument/2006/relationships/hyperlink" Target="https://ref.ly/Heb9:3-Heb9:5" TargetMode="External"/><Relationship Id="rId1184" Type="http://schemas.openxmlformats.org/officeDocument/2006/relationships/hyperlink" Target="https://ref.ly/Lev16:2" TargetMode="External"/><Relationship Id="rId1185" Type="http://schemas.openxmlformats.org/officeDocument/2006/relationships/hyperlink" Target="https://ref.ly/Num10:33-Num10:36" TargetMode="External"/><Relationship Id="rId1186" Type="http://schemas.openxmlformats.org/officeDocument/2006/relationships/hyperlink" Target="https://ref.ly/Num4:1-Num4:49" TargetMode="External"/><Relationship Id="rId1187" Type="http://schemas.openxmlformats.org/officeDocument/2006/relationships/hyperlink" Target="https://ref.ly/Num14:44" TargetMode="External"/><Relationship Id="rId1188" Type="http://schemas.openxmlformats.org/officeDocument/2006/relationships/hyperlink" Target="https://ref.ly/Josh3:13-Josh3:17" TargetMode="External"/><Relationship Id="rId1189" Type="http://schemas.openxmlformats.org/officeDocument/2006/relationships/hyperlink" Target="https://ref.ly/Josh4:9-Josh4:10" TargetMode="External"/><Relationship Id="rId1190" Type="http://schemas.openxmlformats.org/officeDocument/2006/relationships/hyperlink" Target="https://ref.ly/Josh6:6-Josh6:11" TargetMode="External"/><Relationship Id="rId1191" Type="http://schemas.openxmlformats.org/officeDocument/2006/relationships/hyperlink" Target="https://ref.ly/Josh8:33" TargetMode="External"/><Relationship Id="rId1192" Type="http://schemas.openxmlformats.org/officeDocument/2006/relationships/hyperlink" Target="https://ref.ly/Judg20:27" TargetMode="External"/><Relationship Id="rId1193" Type="http://schemas.openxmlformats.org/officeDocument/2006/relationships/hyperlink" Target="https://ref.ly/1Sam4:1-1Sam4:10" TargetMode="External"/><Relationship Id="rId1194" Type="http://schemas.openxmlformats.org/officeDocument/2006/relationships/hyperlink" Target="https://ref.ly/1Sam4:11" TargetMode="External"/><Relationship Id="rId1195" Type="http://schemas.openxmlformats.org/officeDocument/2006/relationships/hyperlink" Target="https://ref.ly/1Sam4:13-1Sam4:22" TargetMode="External"/><Relationship Id="rId1196" Type="http://schemas.openxmlformats.org/officeDocument/2006/relationships/hyperlink" Target="https://ref.ly/1Sam5:1-1Sam6:21" TargetMode="External"/><Relationship Id="rId1197" Type="http://schemas.openxmlformats.org/officeDocument/2006/relationships/hyperlink" Target="https://ref.ly/1Sam6:21" TargetMode="External"/><Relationship Id="rId1198" Type="http://schemas.openxmlformats.org/officeDocument/2006/relationships/hyperlink" Target="https://ref.ly/1Sam7:2" TargetMode="External"/><Relationship Id="rId1199" Type="http://schemas.openxmlformats.org/officeDocument/2006/relationships/hyperlink" Target="https://ref.ly/2Sam6:1-2Sam6:17" TargetMode="External"/><Relationship Id="rId1200" Type="http://schemas.openxmlformats.org/officeDocument/2006/relationships/hyperlink" Target="https://ref.ly/Ps132:1-Ps132:18" TargetMode="External"/><Relationship Id="rId1201" Type="http://schemas.openxmlformats.org/officeDocument/2006/relationships/hyperlink" Target="https://ref.ly/Ps132:8" TargetMode="External"/><Relationship Id="rId1202" Type="http://schemas.openxmlformats.org/officeDocument/2006/relationships/hyperlink" Target="https://ref.ly/Josh21:43-Josh21:45" TargetMode="External"/><Relationship Id="rId1203" Type="http://schemas.openxmlformats.org/officeDocument/2006/relationships/hyperlink" Target="https://ref.ly/2Sam7:1-2Sam7:17" TargetMode="External"/><Relationship Id="rId1204" Type="http://schemas.openxmlformats.org/officeDocument/2006/relationships/hyperlink" Target="https://ref.ly/Gen15:2-Gen15:4" TargetMode="External"/><Relationship Id="rId1205" Type="http://schemas.openxmlformats.org/officeDocument/2006/relationships/hyperlink" Target="https://ref.ly/Gen48:13-Gen48:22" TargetMode="External"/><Relationship Id="rId1206" Type="http://schemas.openxmlformats.org/officeDocument/2006/relationships/hyperlink" Target="https://ref.ly/Gen25:31-Gen25:34" TargetMode="External"/><Relationship Id="rId1207" Type="http://schemas.openxmlformats.org/officeDocument/2006/relationships/hyperlink" Target="https://ref.ly/Gen50:2-Gen50:3" TargetMode="External"/><Relationship Id="rId1208" Type="http://schemas.openxmlformats.org/officeDocument/2006/relationships/hyperlink" Target="https://ref.ly/1Kgs6:1-1Kgs6:38" TargetMode="External"/><Relationship Id="rId1209" Type="http://schemas.openxmlformats.org/officeDocument/2006/relationships/hyperlink" Target="https://ref.ly/Josh6:17" TargetMode="External"/><Relationship Id="rId1210" Type="http://schemas.openxmlformats.org/officeDocument/2006/relationships/hyperlink" Target="https://ref.ly/1Sam17:38-1Sam17:54" TargetMode="External"/><Relationship Id="rId1211" Type="http://schemas.openxmlformats.org/officeDocument/2006/relationships/hyperlink" Target="https://ref.ly/1Sam17:38" TargetMode="External"/><Relationship Id="rId1212" Type="http://schemas.openxmlformats.org/officeDocument/2006/relationships/hyperlink" Target="https://ref.ly/1Macc6:35" TargetMode="External"/><Relationship Id="rId1213" Type="http://schemas.openxmlformats.org/officeDocument/2006/relationships/hyperlink" Target="https://ref.ly/2Chr14:8" TargetMode="External"/><Relationship Id="rId1214" Type="http://schemas.openxmlformats.org/officeDocument/2006/relationships/hyperlink" Target="https://ref.ly/Jer46:4" TargetMode="External"/><Relationship Id="rId1215" Type="http://schemas.openxmlformats.org/officeDocument/2006/relationships/hyperlink" Target="https://ref.ly/Isa21:17" TargetMode="External"/><Relationship Id="rId1216" Type="http://schemas.openxmlformats.org/officeDocument/2006/relationships/hyperlink" Target="https://ref.ly/Exod20:1-Exod20:17" TargetMode="External"/><Relationship Id="rId1217" Type="http://schemas.openxmlformats.org/officeDocument/2006/relationships/hyperlink" Target="https://ref.ly/Lev18:1-Lev18:30" TargetMode="External"/><Relationship Id="rId1218" Type="http://schemas.openxmlformats.org/officeDocument/2006/relationships/hyperlink" Target="https://ref.ly/Deut1:1-Deut31:30" TargetMode="External"/><Relationship Id="rId1219" Type="http://schemas.openxmlformats.org/officeDocument/2006/relationships/hyperlink" Target="https://ref.ly/Jer31:31-Jer31:37" TargetMode="External"/><Relationship Id="rId1220" Type="http://schemas.openxmlformats.org/officeDocument/2006/relationships/hyperlink" Target="https://ref.ly/Prov22:17-Prov24:22" TargetMode="External"/><Relationship Id="rId1221" Type="http://schemas.openxmlformats.org/officeDocument/2006/relationships/hyperlink" Target="https://ref.ly/2Sam11:1-2Sam11:27" TargetMode="External"/><Relationship Id="rId1222" Type="http://schemas.openxmlformats.org/officeDocument/2006/relationships/hyperlink" Target="https://ref.ly/1Kgs21:1-1Kgs21:29" TargetMode="External"/><Relationship Id="rId1223" Type="http://schemas.openxmlformats.org/officeDocument/2006/relationships/hyperlink" Target="https://ref.ly/2Kgs5:10" TargetMode="External"/><Relationship Id="rId1224" Type="http://schemas.openxmlformats.org/officeDocument/2006/relationships/hyperlink" Target="https://ref.ly/Ezra4:6-Ezra4:7" TargetMode="External"/><Relationship Id="rId1225" Type="http://schemas.openxmlformats.org/officeDocument/2006/relationships/hyperlink" Target="https://ref.ly/Neh2:7" TargetMode="External"/><Relationship Id="rId1226" Type="http://schemas.openxmlformats.org/officeDocument/2006/relationships/hyperlink" Target="https://ref.ly/Gen1:1" TargetMode="External"/><Relationship Id="rId1227" Type="http://schemas.openxmlformats.org/officeDocument/2006/relationships/hyperlink" Target="https://ref.ly/Rev22:13" TargetMode="External"/><Relationship Id="rId1228" Type="http://schemas.openxmlformats.org/officeDocument/2006/relationships/hyperlink" Target="https://ref.ly/Gen21:20" TargetMode="External"/><Relationship Id="rId1229" Type="http://schemas.openxmlformats.org/officeDocument/2006/relationships/hyperlink" Target="https://ref.ly/Gen27:3" TargetMode="External"/><Relationship Id="rId1230" Type="http://schemas.openxmlformats.org/officeDocument/2006/relationships/hyperlink" Target="https://ref.ly/Gen48:22" TargetMode="External"/><Relationship Id="rId1231" Type="http://schemas.openxmlformats.org/officeDocument/2006/relationships/hyperlink" Target="https://ref.ly/Josh24:12" TargetMode="External"/><Relationship Id="rId1232" Type="http://schemas.openxmlformats.org/officeDocument/2006/relationships/hyperlink" Target="https://ref.ly/Isa7:24" TargetMode="External"/><Relationship Id="rId1233" Type="http://schemas.openxmlformats.org/officeDocument/2006/relationships/hyperlink" Target="https://ref.ly/Ezek39:9" TargetMode="External"/><Relationship Id="rId1234" Type="http://schemas.openxmlformats.org/officeDocument/2006/relationships/hyperlink" Target="https://ref.ly/Hos1:7" TargetMode="External"/><Relationship Id="rId1235" Type="http://schemas.openxmlformats.org/officeDocument/2006/relationships/hyperlink" Target="https://ref.ly/1Sam18:4" TargetMode="External"/><Relationship Id="rId1236" Type="http://schemas.openxmlformats.org/officeDocument/2006/relationships/hyperlink" Target="https://ref.ly/1Chr12:2" TargetMode="External"/><Relationship Id="rId1237" Type="http://schemas.openxmlformats.org/officeDocument/2006/relationships/hyperlink" Target="https://ref.ly/2Chr17:17" TargetMode="External"/><Relationship Id="rId1238" Type="http://schemas.openxmlformats.org/officeDocument/2006/relationships/hyperlink" Target="https://ref.ly/Job16:13" TargetMode="External"/><Relationship Id="rId1239" Type="http://schemas.openxmlformats.org/officeDocument/2006/relationships/hyperlink" Target="https://ref.ly/Ps11:2" TargetMode="External"/><Relationship Id="rId1240" Type="http://schemas.openxmlformats.org/officeDocument/2006/relationships/hyperlink" Target="https://ref.ly/Ps57:4" TargetMode="External"/><Relationship Id="rId1241" Type="http://schemas.openxmlformats.org/officeDocument/2006/relationships/hyperlink" Target="https://ref.ly/Ps7:13" TargetMode="External"/><Relationship Id="rId1242" Type="http://schemas.openxmlformats.org/officeDocument/2006/relationships/hyperlink" Target="https://ref.ly/Ps38:2" TargetMode="External"/><Relationship Id="rId1243" Type="http://schemas.openxmlformats.org/officeDocument/2006/relationships/hyperlink" Target="https://ref.ly/Ps64:7" TargetMode="External"/><Relationship Id="rId1244" Type="http://schemas.openxmlformats.org/officeDocument/2006/relationships/hyperlink" Target="https://ref.ly/Acts17:16" TargetMode="External"/><Relationship Id="rId1245" Type="http://schemas.openxmlformats.org/officeDocument/2006/relationships/hyperlink" Target="https://ref.ly/Ezek26:9" TargetMode="External"/><Relationship Id="rId1246" Type="http://schemas.openxmlformats.org/officeDocument/2006/relationships/hyperlink" Target="https://ref.ly/Acts9:25" TargetMode="External"/><Relationship Id="rId1247" Type="http://schemas.openxmlformats.org/officeDocument/2006/relationships/hyperlink" Target="https://ref.ly/2Cor11:33" TargetMode="External"/><Relationship Id="rId1248" Type="http://schemas.openxmlformats.org/officeDocument/2006/relationships/hyperlink" Target="https://ref.ly/Isa45:1" TargetMode="External"/><Relationship Id="rId1249" Type="http://schemas.openxmlformats.org/officeDocument/2006/relationships/hyperlink" Target="https://ref.ly/Neh6:1" TargetMode="External"/><Relationship Id="rId1250" Type="http://schemas.openxmlformats.org/officeDocument/2006/relationships/hyperlink" Target="https://ref.ly/Isa45:2" TargetMode="External"/><Relationship Id="rId1251" Type="http://schemas.openxmlformats.org/officeDocument/2006/relationships/hyperlink" Target="https://ref.ly/1Kgs4:13" TargetMode="External"/><Relationship Id="rId1252" Type="http://schemas.openxmlformats.org/officeDocument/2006/relationships/hyperlink" Target="https://ref.ly/Ps107:16" TargetMode="External"/><Relationship Id="rId1253" Type="http://schemas.openxmlformats.org/officeDocument/2006/relationships/hyperlink" Target="https://ref.ly/Judg16:3" TargetMode="External"/><Relationship Id="rId1254" Type="http://schemas.openxmlformats.org/officeDocument/2006/relationships/hyperlink" Target="https://ref.ly/2Chr26:9" TargetMode="External"/><Relationship Id="rId1255" Type="http://schemas.openxmlformats.org/officeDocument/2006/relationships/hyperlink" Target="https://ref.ly/2Kgs9:17" TargetMode="External"/><Relationship Id="rId1256" Type="http://schemas.openxmlformats.org/officeDocument/2006/relationships/hyperlink" Target="https://ref.ly/2Sam17:18" TargetMode="External"/><Relationship Id="rId1257" Type="http://schemas.openxmlformats.org/officeDocument/2006/relationships/hyperlink" Target="https://ref.ly/1Kgs17:19" TargetMode="External"/><Relationship Id="rId1258" Type="http://schemas.openxmlformats.org/officeDocument/2006/relationships/hyperlink" Target="https://ref.ly/Deut22:8" TargetMode="External"/><Relationship Id="rId1259" Type="http://schemas.openxmlformats.org/officeDocument/2006/relationships/hyperlink" Target="https://ref.ly/1Kgs6:22" TargetMode="External"/><Relationship Id="rId1260" Type="http://schemas.openxmlformats.org/officeDocument/2006/relationships/hyperlink" Target="https://ref.ly/Num26:40" TargetMode="External"/><Relationship Id="rId1261" Type="http://schemas.openxmlformats.org/officeDocument/2006/relationships/hyperlink" Target="https://ref.ly/1Chr8:3" TargetMode="External"/><Relationship Id="rId1262" Type="http://schemas.openxmlformats.org/officeDocument/2006/relationships/hyperlink" Target="https://ref.ly/Gen46:16" TargetMode="External"/><Relationship Id="rId1263" Type="http://schemas.openxmlformats.org/officeDocument/2006/relationships/hyperlink" Target="https://ref.ly/Num25:6-Num25:18" TargetMode="External"/><Relationship Id="rId1264" Type="http://schemas.openxmlformats.org/officeDocument/2006/relationships/hyperlink" Target="https://ref.ly/Num26:17" TargetMode="External"/><Relationship Id="rId1265" Type="http://schemas.openxmlformats.org/officeDocument/2006/relationships/hyperlink" Target="https://ref.ly/Acts17:19" TargetMode="External"/><Relationship Id="rId1266" Type="http://schemas.openxmlformats.org/officeDocument/2006/relationships/hyperlink" Target="https://ref.ly/Acts17:16-Acts17:21" TargetMode="External"/><Relationship Id="rId1267" Type="http://schemas.openxmlformats.org/officeDocument/2006/relationships/hyperlink" Target="https://ref.ly/Acts17:22-Acts17:31" TargetMode="External"/><Relationship Id="rId1268" Type="http://schemas.openxmlformats.org/officeDocument/2006/relationships/hyperlink" Target="https://ref.ly/Acts17:32-Acts17:34" TargetMode="External"/><Relationship Id="rId1269" Type="http://schemas.openxmlformats.org/officeDocument/2006/relationships/hyperlink" Target="https://ref.ly/Gen25:12-Gen25:16" TargetMode="External"/><Relationship Id="rId1270" Type="http://schemas.openxmlformats.org/officeDocument/2006/relationships/hyperlink" Target="https://ref.ly/1Chr1:29" TargetMode="External"/><Relationship Id="rId1271" Type="http://schemas.openxmlformats.org/officeDocument/2006/relationships/hyperlink" Target="https://ref.ly/2Macc5:8" TargetMode="External"/><Relationship Id="rId1272" Type="http://schemas.openxmlformats.org/officeDocument/2006/relationships/hyperlink" Target="https://ref.ly/1Macc5:24-1Macc5:28" TargetMode="External"/><Relationship Id="rId1273" Type="http://schemas.openxmlformats.org/officeDocument/2006/relationships/hyperlink" Target="https://ref.ly/1Macc9:35" TargetMode="External"/><Relationship Id="rId1274" Type="http://schemas.openxmlformats.org/officeDocument/2006/relationships/hyperlink" Target="https://ref.ly/2Cor11:32-2Cor11:33" TargetMode="External"/><Relationship Id="rId1275" Type="http://schemas.openxmlformats.org/officeDocument/2006/relationships/hyperlink" Target="https://ref.ly/Gen13:2" TargetMode="External"/><Relationship Id="rId1276" Type="http://schemas.openxmlformats.org/officeDocument/2006/relationships/hyperlink" Target="https://ref.ly/1Sam8:15" TargetMode="External"/><Relationship Id="rId1277" Type="http://schemas.openxmlformats.org/officeDocument/2006/relationships/hyperlink" Target="https://ref.ly/2Kgs3:4" TargetMode="External"/><Relationship Id="rId1278" Type="http://schemas.openxmlformats.org/officeDocument/2006/relationships/hyperlink" Target="https://ref.ly/Ezek45:13-Ezek45:16" TargetMode="External"/><Relationship Id="rId1279" Type="http://schemas.openxmlformats.org/officeDocument/2006/relationships/hyperlink" Target="https://ref.ly/1Kgs5:11" TargetMode="External"/><Relationship Id="rId1280" Type="http://schemas.openxmlformats.org/officeDocument/2006/relationships/hyperlink" Target="https://ref.ly/Gen20:14-Gen20:16" TargetMode="External"/><Relationship Id="rId1281" Type="http://schemas.openxmlformats.org/officeDocument/2006/relationships/hyperlink" Target="https://ref.ly/Gen23:15-Gen23:16" TargetMode="External"/><Relationship Id="rId1282" Type="http://schemas.openxmlformats.org/officeDocument/2006/relationships/hyperlink" Target="https://ref.ly/Jer32:9-Jer32:10" TargetMode="External"/><Relationship Id="rId1283" Type="http://schemas.openxmlformats.org/officeDocument/2006/relationships/hyperlink" Target="https://ref.ly/Gen37:28" TargetMode="External"/><Relationship Id="rId1284" Type="http://schemas.openxmlformats.org/officeDocument/2006/relationships/hyperlink" Target="https://ref.ly/Gen33:19" TargetMode="External"/><Relationship Id="rId1285" Type="http://schemas.openxmlformats.org/officeDocument/2006/relationships/hyperlink" Target="https://ref.ly/Josh24:32" TargetMode="External"/><Relationship Id="rId1286" Type="http://schemas.openxmlformats.org/officeDocument/2006/relationships/hyperlink" Target="https://ref.ly/Job42:11" TargetMode="External"/><Relationship Id="rId1287" Type="http://schemas.openxmlformats.org/officeDocument/2006/relationships/hyperlink" Target="https://ref.ly/Gen42:35" TargetMode="External"/><Relationship Id="rId1288" Type="http://schemas.openxmlformats.org/officeDocument/2006/relationships/hyperlink" Target="https://ref.ly/Num31:50" TargetMode="External"/><Relationship Id="rId1289" Type="http://schemas.openxmlformats.org/officeDocument/2006/relationships/hyperlink" Target="https://ref.ly/Gen24:22" TargetMode="External"/><Relationship Id="rId1290" Type="http://schemas.openxmlformats.org/officeDocument/2006/relationships/hyperlink" Target="https://ref.ly/Deut14:25" TargetMode="External"/><Relationship Id="rId1291" Type="http://schemas.openxmlformats.org/officeDocument/2006/relationships/hyperlink" Target="https://ref.ly/Lev27:16" TargetMode="External"/><Relationship Id="rId1292" Type="http://schemas.openxmlformats.org/officeDocument/2006/relationships/hyperlink" Target="https://ref.ly/2Kgs7:16" TargetMode="External"/><Relationship Id="rId1293" Type="http://schemas.openxmlformats.org/officeDocument/2006/relationships/hyperlink" Target="https://ref.ly/1Chr29:7" TargetMode="External"/><Relationship Id="rId1294" Type="http://schemas.openxmlformats.org/officeDocument/2006/relationships/hyperlink" Target="https://ref.ly/1Macc15:6" TargetMode="External"/><Relationship Id="rId1295" Type="http://schemas.openxmlformats.org/officeDocument/2006/relationships/hyperlink" Target="https://ref.ly/Esth9:7-Esth9:10" TargetMode="External"/><Relationship Id="rId1296" Type="http://schemas.openxmlformats.org/officeDocument/2006/relationships/hyperlink" Target="https://ref.ly/Matt27:57" TargetMode="External"/><Relationship Id="rId1297" Type="http://schemas.openxmlformats.org/officeDocument/2006/relationships/hyperlink" Target="https://ref.ly/Mark15:43" TargetMode="External"/><Relationship Id="rId1298" Type="http://schemas.openxmlformats.org/officeDocument/2006/relationships/hyperlink" Target="https://ref.ly/John19:38" TargetMode="External"/><Relationship Id="rId1299" Type="http://schemas.openxmlformats.org/officeDocument/2006/relationships/hyperlink" Target="https://ref.ly/1Sam1:1" TargetMode="External"/><Relationship Id="rId1300" Type="http://schemas.openxmlformats.org/officeDocument/2006/relationships/hyperlink" Target="https://ref.ly/Luke23:50" TargetMode="External"/><Relationship Id="rId1301" Type="http://schemas.openxmlformats.org/officeDocument/2006/relationships/hyperlink" Target="https://ref.ly/Acts19:29" TargetMode="External"/><Relationship Id="rId1302" Type="http://schemas.openxmlformats.org/officeDocument/2006/relationships/hyperlink" Target="https://ref.ly/Acts20:4" TargetMode="External"/><Relationship Id="rId1303" Type="http://schemas.openxmlformats.org/officeDocument/2006/relationships/hyperlink" Target="https://ref.ly/Acts27:1-Acts27:2" TargetMode="External"/><Relationship Id="rId1304" Type="http://schemas.openxmlformats.org/officeDocument/2006/relationships/hyperlink" Target="https://ref.ly/Col4:10-Col4:11" TargetMode="External"/><Relationship Id="rId1305" Type="http://schemas.openxmlformats.org/officeDocument/2006/relationships/hyperlink" Target="https://ref.ly/Gen14:1-Gen14:16" TargetMode="External"/><Relationship Id="rId1306" Type="http://schemas.openxmlformats.org/officeDocument/2006/relationships/hyperlink" Target="https://ref.ly/Dan2:14-Dan2:25" TargetMode="External"/><Relationship Id="rId1307" Type="http://schemas.openxmlformats.org/officeDocument/2006/relationships/hyperlink" Target="https://ref.ly/Gen10:17" TargetMode="External"/><Relationship Id="rId1308" Type="http://schemas.openxmlformats.org/officeDocument/2006/relationships/hyperlink" Target="https://ref.ly/1Chr1:15" TargetMode="External"/><Relationship Id="rId1309" Type="http://schemas.openxmlformats.org/officeDocument/2006/relationships/hyperlink" Target="https://ref.ly/Josh16:2" TargetMode="External"/><Relationship Id="rId1310" Type="http://schemas.openxmlformats.org/officeDocument/2006/relationships/hyperlink" Target="https://ref.ly/Gen10:22-Gen10:24" TargetMode="External"/><Relationship Id="rId1311" Type="http://schemas.openxmlformats.org/officeDocument/2006/relationships/hyperlink" Target="https://ref.ly/Gen11:10-Gen11:13" TargetMode="External"/><Relationship Id="rId1312" Type="http://schemas.openxmlformats.org/officeDocument/2006/relationships/hyperlink" Target="https://ref.ly/1Chr1:17-1Chr1:18,1Chr1:24" TargetMode="External"/><Relationship Id="rId1313" Type="http://schemas.openxmlformats.org/officeDocument/2006/relationships/hyperlink" Target="https://ref.ly/Luke3:36" TargetMode="External"/><Relationship Id="rId1314" Type="http://schemas.openxmlformats.org/officeDocument/2006/relationships/hyperlink" Target="https://ref.ly/Gen11:10" TargetMode="External"/><Relationship Id="rId1315" Type="http://schemas.openxmlformats.org/officeDocument/2006/relationships/hyperlink" Target="https://ref.ly/1Chr1:17-1Chr1:25" TargetMode="External"/><Relationship Id="rId1316" Type="http://schemas.openxmlformats.org/officeDocument/2006/relationships/hyperlink" Target="https://ref.ly/Luke3:35-Luke3:36" TargetMode="External"/><Relationship Id="rId1317" Type="http://schemas.openxmlformats.org/officeDocument/2006/relationships/hyperlink" Target="https://ref.ly/Gen4:22" TargetMode="External"/><Relationship Id="rId1318" Type="http://schemas.openxmlformats.org/officeDocument/2006/relationships/hyperlink" Target="https://ref.ly/1Chr29:5" TargetMode="External"/><Relationship Id="rId1319" Type="http://schemas.openxmlformats.org/officeDocument/2006/relationships/hyperlink" Target="https://ref.ly/2Chr34:11" TargetMode="External"/><Relationship Id="rId1320" Type="http://schemas.openxmlformats.org/officeDocument/2006/relationships/hyperlink" Target="https://ref.ly/Isa3:3" TargetMode="External"/><Relationship Id="rId1321" Type="http://schemas.openxmlformats.org/officeDocument/2006/relationships/hyperlink" Target="https://ref.ly/Ezek27:8,Ezek27:11" TargetMode="External"/><Relationship Id="rId1322" Type="http://schemas.openxmlformats.org/officeDocument/2006/relationships/hyperlink" Target="https://ref.ly/1Macc15:23" TargetMode="External"/><Relationship Id="rId1323" Type="http://schemas.openxmlformats.org/officeDocument/2006/relationships/hyperlink" Target="https://ref.ly/Gen10:18" TargetMode="External"/><Relationship Id="rId1324" Type="http://schemas.openxmlformats.org/officeDocument/2006/relationships/hyperlink" Target="https://ref.ly/1Chr1:16" TargetMode="External"/><Relationship Id="rId1325" Type="http://schemas.openxmlformats.org/officeDocument/2006/relationships/hyperlink" Target="https://ref.ly/Acts1:9-Acts1:11" TargetMode="External"/><Relationship Id="rId1326" Type="http://schemas.openxmlformats.org/officeDocument/2006/relationships/hyperlink" Target="https://ref.ly/Luke24:50-Luke24:51" TargetMode="External"/><Relationship Id="rId1327" Type="http://schemas.openxmlformats.org/officeDocument/2006/relationships/hyperlink" Target="https://ref.ly/Acts1:12" TargetMode="External"/><Relationship Id="rId1328" Type="http://schemas.openxmlformats.org/officeDocument/2006/relationships/hyperlink" Target="https://ref.ly/John21:22" TargetMode="External"/><Relationship Id="rId1329" Type="http://schemas.openxmlformats.org/officeDocument/2006/relationships/hyperlink" Target="https://ref.ly/John20:17" TargetMode="External"/><Relationship Id="rId1330" Type="http://schemas.openxmlformats.org/officeDocument/2006/relationships/hyperlink" Target="https://ref.ly/John20:29" TargetMode="External"/><Relationship Id="rId1331" Type="http://schemas.openxmlformats.org/officeDocument/2006/relationships/hyperlink" Target="https://ref.ly/Eph1:20" TargetMode="External"/><Relationship Id="rId1332" Type="http://schemas.openxmlformats.org/officeDocument/2006/relationships/hyperlink" Target="https://ref.ly/Heb1:3" TargetMode="External"/><Relationship Id="rId1333" Type="http://schemas.openxmlformats.org/officeDocument/2006/relationships/hyperlink" Target="https://ref.ly/Ps110:1" TargetMode="External"/><Relationship Id="rId1334" Type="http://schemas.openxmlformats.org/officeDocument/2006/relationships/hyperlink" Target="https://ref.ly/Acts2:33-Acts2:36" TargetMode="External"/><Relationship Id="rId1335" Type="http://schemas.openxmlformats.org/officeDocument/2006/relationships/hyperlink" Target="https://ref.ly/Eph4:10" TargetMode="External"/><Relationship Id="rId1336" Type="http://schemas.openxmlformats.org/officeDocument/2006/relationships/hyperlink" Target="https://ref.ly/Phil2:9-Phil2:11" TargetMode="External"/><Relationship Id="rId1337" Type="http://schemas.openxmlformats.org/officeDocument/2006/relationships/hyperlink" Target="https://ref.ly/Heb1:13-Heb1:14" TargetMode="External"/><Relationship Id="rId1338" Type="http://schemas.openxmlformats.org/officeDocument/2006/relationships/hyperlink" Target="https://ref.ly/1Tim3:16" TargetMode="External"/><Relationship Id="rId1339" Type="http://schemas.openxmlformats.org/officeDocument/2006/relationships/hyperlink" Target="https://ref.ly/1Pet3:22" TargetMode="External"/><Relationship Id="rId1340" Type="http://schemas.openxmlformats.org/officeDocument/2006/relationships/hyperlink" Target="https://ref.ly/John16:7" TargetMode="External"/><Relationship Id="rId1341" Type="http://schemas.openxmlformats.org/officeDocument/2006/relationships/hyperlink" Target="https://ref.ly/Matt18:20" TargetMode="External"/><Relationship Id="rId1342" Type="http://schemas.openxmlformats.org/officeDocument/2006/relationships/hyperlink" Target="https://ref.ly/Matt28:20" TargetMode="External"/><Relationship Id="rId1343" Type="http://schemas.openxmlformats.org/officeDocument/2006/relationships/hyperlink" Target="https://ref.ly/John14:2" TargetMode="External"/><Relationship Id="rId1344" Type="http://schemas.openxmlformats.org/officeDocument/2006/relationships/hyperlink" Target="https://ref.ly/2Cor5:1-2Cor5:10" TargetMode="External"/><Relationship Id="rId1345" Type="http://schemas.openxmlformats.org/officeDocument/2006/relationships/hyperlink" Target="https://ref.ly/Heb4:14" TargetMode="External"/><Relationship Id="rId1346" Type="http://schemas.openxmlformats.org/officeDocument/2006/relationships/hyperlink" Target="https://ref.ly/Heb6:20" TargetMode="External"/><Relationship Id="rId1347" Type="http://schemas.openxmlformats.org/officeDocument/2006/relationships/hyperlink" Target="https://ref.ly/Heb9:24" TargetMode="External"/><Relationship Id="rId1348" Type="http://schemas.openxmlformats.org/officeDocument/2006/relationships/hyperlink" Target="https://ref.ly/Heb9:12" TargetMode="External"/><Relationship Id="rId1349" Type="http://schemas.openxmlformats.org/officeDocument/2006/relationships/hyperlink" Target="https://ref.ly/Heb10:12" TargetMode="External"/><Relationship Id="rId1350" Type="http://schemas.openxmlformats.org/officeDocument/2006/relationships/hyperlink" Target="https://ref.ly/Heb12:2" TargetMode="External"/><Relationship Id="rId1351" Type="http://schemas.openxmlformats.org/officeDocument/2006/relationships/hyperlink" Target="https://ref.ly/1John2:1" TargetMode="External"/><Relationship Id="rId1352" Type="http://schemas.openxmlformats.org/officeDocument/2006/relationships/hyperlink" Target="https://ref.ly/Heb2:17" TargetMode="External"/><Relationship Id="rId1353" Type="http://schemas.openxmlformats.org/officeDocument/2006/relationships/hyperlink" Target="https://ref.ly/Heb5:7-Heb5:10" TargetMode="External"/><Relationship Id="rId1354" Type="http://schemas.openxmlformats.org/officeDocument/2006/relationships/hyperlink" Target="https://ref.ly/Heb4:14-Heb4:16" TargetMode="External"/><Relationship Id="rId1355" Type="http://schemas.openxmlformats.org/officeDocument/2006/relationships/hyperlink" Target="https://ref.ly/1Chr7:6" TargetMode="External"/><Relationship Id="rId1356" Type="http://schemas.openxmlformats.org/officeDocument/2006/relationships/hyperlink" Target="https://ref.ly/Gen10:1-Gen10:3" TargetMode="External"/><Relationship Id="rId1357" Type="http://schemas.openxmlformats.org/officeDocument/2006/relationships/hyperlink" Target="https://ref.ly/1Chr1:6" TargetMode="External"/><Relationship Id="rId1358" Type="http://schemas.openxmlformats.org/officeDocument/2006/relationships/hyperlink" Target="https://ref.ly/Jer51:27" TargetMode="External"/><Relationship Id="rId1359" Type="http://schemas.openxmlformats.org/officeDocument/2006/relationships/hyperlink" Target="https://ref.ly/Deut1:4" TargetMode="External"/><Relationship Id="rId1360" Type="http://schemas.openxmlformats.org/officeDocument/2006/relationships/hyperlink" Target="https://ref.ly/Josh9:10" TargetMode="External"/><Relationship Id="rId1361" Type="http://schemas.openxmlformats.org/officeDocument/2006/relationships/hyperlink" Target="https://ref.ly/Josh12:4" TargetMode="External"/><Relationship Id="rId1362" Type="http://schemas.openxmlformats.org/officeDocument/2006/relationships/hyperlink" Target="https://ref.ly/Josh13:12,Josh13:31" TargetMode="External"/><Relationship Id="rId1363" Type="http://schemas.openxmlformats.org/officeDocument/2006/relationships/hyperlink" Target="https://ref.ly/Deut3:13" TargetMode="External"/><Relationship Id="rId1364" Type="http://schemas.openxmlformats.org/officeDocument/2006/relationships/hyperlink" Target="https://ref.ly/1Chr6:71" TargetMode="External"/><Relationship Id="rId1365" Type="http://schemas.openxmlformats.org/officeDocument/2006/relationships/hyperlink" Target="https://ref.ly/1Chr11:44" TargetMode="External"/><Relationship Id="rId1366" Type="http://schemas.openxmlformats.org/officeDocument/2006/relationships/hyperlink" Target="https://ref.ly/Gen15:18-Gen15:20" TargetMode="External"/><Relationship Id="rId1367" Type="http://schemas.openxmlformats.org/officeDocument/2006/relationships/hyperlink" Target="https://ref.ly/Gen25:3" TargetMode="External"/><Relationship Id="rId1368" Type="http://schemas.openxmlformats.org/officeDocument/2006/relationships/hyperlink" Target="https://ref.ly/Josh13:3" TargetMode="External"/><Relationship Id="rId1369" Type="http://schemas.openxmlformats.org/officeDocument/2006/relationships/hyperlink" Target="https://ref.ly/Josh11:21-Josh11:22" TargetMode="External"/><Relationship Id="rId1370" Type="http://schemas.openxmlformats.org/officeDocument/2006/relationships/hyperlink" Target="https://ref.ly/Josh15:46-Josh15:47" TargetMode="External"/><Relationship Id="rId1371" Type="http://schemas.openxmlformats.org/officeDocument/2006/relationships/hyperlink" Target="https://ref.ly/Neh4:7" TargetMode="External"/><Relationship Id="rId1372" Type="http://schemas.openxmlformats.org/officeDocument/2006/relationships/hyperlink" Target="https://ref.ly/1Sam5:1-1Sam5:12" TargetMode="External"/><Relationship Id="rId1373" Type="http://schemas.openxmlformats.org/officeDocument/2006/relationships/hyperlink" Target="https://ref.ly/1Sam6:1-1Sam6:18" TargetMode="External"/><Relationship Id="rId1374" Type="http://schemas.openxmlformats.org/officeDocument/2006/relationships/hyperlink" Target="https://ref.ly/2Chr26:6" TargetMode="External"/><Relationship Id="rId1375" Type="http://schemas.openxmlformats.org/officeDocument/2006/relationships/hyperlink" Target="https://ref.ly/Isa20:1-Isa20:6" TargetMode="External"/><Relationship Id="rId1376" Type="http://schemas.openxmlformats.org/officeDocument/2006/relationships/hyperlink" Target="https://ref.ly/Jer25:20" TargetMode="External"/><Relationship Id="rId1377" Type="http://schemas.openxmlformats.org/officeDocument/2006/relationships/hyperlink" Target="https://ref.ly/Zeph2:4" TargetMode="External"/><Relationship Id="rId1378" Type="http://schemas.openxmlformats.org/officeDocument/2006/relationships/hyperlink" Target="https://ref.ly/Neh13:23-Neh13:24" TargetMode="External"/><Relationship Id="rId1379" Type="http://schemas.openxmlformats.org/officeDocument/2006/relationships/hyperlink" Target="https://ref.ly/Zech9:6" TargetMode="External"/><Relationship Id="rId1380" Type="http://schemas.openxmlformats.org/officeDocument/2006/relationships/hyperlink" Target="https://ref.ly/1Macc4:12-1Macc4:15" TargetMode="External"/><Relationship Id="rId1381" Type="http://schemas.openxmlformats.org/officeDocument/2006/relationships/hyperlink" Target="https://ref.ly/1Macc5:68" TargetMode="External"/><Relationship Id="rId1382" Type="http://schemas.openxmlformats.org/officeDocument/2006/relationships/hyperlink" Target="https://ref.ly/1Macc10:77-1Macc10:85" TargetMode="External"/><Relationship Id="rId1383" Type="http://schemas.openxmlformats.org/officeDocument/2006/relationships/hyperlink" Target="https://ref.ly/1Macc11:4" TargetMode="External"/><Relationship Id="rId1384" Type="http://schemas.openxmlformats.org/officeDocument/2006/relationships/hyperlink" Target="https://ref.ly/Acts8:40" TargetMode="External"/><Relationship Id="rId1385" Type="http://schemas.openxmlformats.org/officeDocument/2006/relationships/hyperlink" Target="https://ref.ly/Gen30:12-Gen30:13" TargetMode="External"/><Relationship Id="rId1386" Type="http://schemas.openxmlformats.org/officeDocument/2006/relationships/hyperlink" Target="https://ref.ly/Gen46:17" TargetMode="External"/><Relationship Id="rId1387" Type="http://schemas.openxmlformats.org/officeDocument/2006/relationships/hyperlink" Target="https://ref.ly/1Chr7:30" TargetMode="External"/><Relationship Id="rId1388" Type="http://schemas.openxmlformats.org/officeDocument/2006/relationships/hyperlink" Target="https://ref.ly/Gen49:20" TargetMode="External"/><Relationship Id="rId1389" Type="http://schemas.openxmlformats.org/officeDocument/2006/relationships/hyperlink" Target="https://ref.ly/Deut33:24-Deut33:25" TargetMode="External"/><Relationship Id="rId1390" Type="http://schemas.openxmlformats.org/officeDocument/2006/relationships/hyperlink" Target="https://ref.ly/Acts19:31" TargetMode="External"/><Relationship Id="rId1391" Type="http://schemas.openxmlformats.org/officeDocument/2006/relationships/hyperlink" Target="https://ref.ly/Acts19:1-Acts19:41" TargetMode="External"/><Relationship Id="rId1392" Type="http://schemas.openxmlformats.org/officeDocument/2006/relationships/hyperlink" Target="https://ref.ly/1Macc8:6" TargetMode="External"/><Relationship Id="rId1393" Type="http://schemas.openxmlformats.org/officeDocument/2006/relationships/hyperlink" Target="https://ref.ly/1Macc11:13" TargetMode="External"/><Relationship Id="rId1394" Type="http://schemas.openxmlformats.org/officeDocument/2006/relationships/hyperlink" Target="https://ref.ly/1Macc12:39" TargetMode="External"/><Relationship Id="rId1395" Type="http://schemas.openxmlformats.org/officeDocument/2006/relationships/hyperlink" Target="https://ref.ly/1Macc13:32" TargetMode="External"/><Relationship Id="rId1396" Type="http://schemas.openxmlformats.org/officeDocument/2006/relationships/hyperlink" Target="https://ref.ly/2Macc3:3" TargetMode="External"/><Relationship Id="rId1397" Type="http://schemas.openxmlformats.org/officeDocument/2006/relationships/hyperlink" Target="https://ref.ly/Acts16:6-Acts16:8" TargetMode="External"/><Relationship Id="rId1398" Type="http://schemas.openxmlformats.org/officeDocument/2006/relationships/hyperlink" Target="https://ref.ly/Acts18:19-Acts18:21" TargetMode="External"/><Relationship Id="rId1399" Type="http://schemas.openxmlformats.org/officeDocument/2006/relationships/hyperlink" Target="https://ref.ly/Acts19:10" TargetMode="External"/><Relationship Id="rId1400" Type="http://schemas.openxmlformats.org/officeDocument/2006/relationships/hyperlink" Target="https://ref.ly/Acts19:26-Acts19:27" TargetMode="External"/><Relationship Id="rId1401" Type="http://schemas.openxmlformats.org/officeDocument/2006/relationships/hyperlink" Target="https://ref.ly/Rom16:5" TargetMode="External"/><Relationship Id="rId1402" Type="http://schemas.openxmlformats.org/officeDocument/2006/relationships/hyperlink" Target="https://ref.ly/2Cor1:8" TargetMode="External"/><Relationship Id="rId1403" Type="http://schemas.openxmlformats.org/officeDocument/2006/relationships/hyperlink" Target="https://ref.ly/2Tim1:15" TargetMode="External"/><Relationship Id="rId1404" Type="http://schemas.openxmlformats.org/officeDocument/2006/relationships/hyperlink" Target="https://ref.ly/1Pet1:1" TargetMode="External"/><Relationship Id="rId1405" Type="http://schemas.openxmlformats.org/officeDocument/2006/relationships/hyperlink" Target="https://ref.ly/Rev1:1-Rev1:4" TargetMode="External"/><Relationship Id="rId1406" Type="http://schemas.openxmlformats.org/officeDocument/2006/relationships/hyperlink" Target="https://ref.ly/Col4:13" TargetMode="External"/><Relationship Id="rId1407" Type="http://schemas.openxmlformats.org/officeDocument/2006/relationships/hyperlink" Target="https://ref.ly/Acts20:13-Acts20:14" TargetMode="External"/><Relationship Id="rId1408" Type="http://schemas.openxmlformats.org/officeDocument/2006/relationships/hyperlink" Target="https://ref.ly/Gen41:45,Gen41:50-Gen41:52" TargetMode="External"/><Relationship Id="rId1409" Type="http://schemas.openxmlformats.org/officeDocument/2006/relationships/hyperlink" Target="https://ref.ly/Gen46:20" TargetMode="External"/><Relationship Id="rId1410" Type="http://schemas.openxmlformats.org/officeDocument/2006/relationships/hyperlink" Target="https://ref.ly/Esth9:7" TargetMode="External"/><Relationship Id="rId1411" Type="http://schemas.openxmlformats.org/officeDocument/2006/relationships/hyperlink" Target="https://ref.ly/Ezra4:6" TargetMode="External"/><Relationship Id="rId1412" Type="http://schemas.openxmlformats.org/officeDocument/2006/relationships/hyperlink" Target="https://ref.ly/Esth1:1" TargetMode="External"/><Relationship Id="rId1413" Type="http://schemas.openxmlformats.org/officeDocument/2006/relationships/hyperlink" Target="https://ref.ly/Tob14:15" TargetMode="External"/><Relationship Id="rId1414" Type="http://schemas.openxmlformats.org/officeDocument/2006/relationships/hyperlink" Target="https://ref.ly/Dan9:1" TargetMode="External"/><Relationship Id="rId1415" Type="http://schemas.openxmlformats.org/officeDocument/2006/relationships/hyperlink" Target="https://ref.ly/Gen10:11" TargetMode="External"/><Relationship Id="rId1416" Type="http://schemas.openxmlformats.org/officeDocument/2006/relationships/hyperlink" Target="https://ref.ly/Gen10:22" TargetMode="External"/><Relationship Id="rId1417" Type="http://schemas.openxmlformats.org/officeDocument/2006/relationships/hyperlink" Target="https://ref.ly/Gen10:24" TargetMode="External"/><Relationship Id="rId1418" Type="http://schemas.openxmlformats.org/officeDocument/2006/relationships/hyperlink" Target="https://ref.ly/Gen11:12" TargetMode="External"/><Relationship Id="rId1419" Type="http://schemas.openxmlformats.org/officeDocument/2006/relationships/hyperlink" Target="https://ref.ly/Gen2:14" TargetMode="External"/><Relationship Id="rId1420" Type="http://schemas.openxmlformats.org/officeDocument/2006/relationships/hyperlink" Target="https://ref.ly/2Kgs13:22-2Kgs13:25" TargetMode="External"/><Relationship Id="rId1421" Type="http://schemas.openxmlformats.org/officeDocument/2006/relationships/hyperlink" Target="https://ref.ly/2Kgs15:19" TargetMode="External"/><Relationship Id="rId1422" Type="http://schemas.openxmlformats.org/officeDocument/2006/relationships/hyperlink" Target="https://ref.ly/1Chr5:26" TargetMode="External"/><Relationship Id="rId1423" Type="http://schemas.openxmlformats.org/officeDocument/2006/relationships/hyperlink" Target="https://ref.ly/2Kgs15:19-2Kgs15:20" TargetMode="External"/><Relationship Id="rId1424" Type="http://schemas.openxmlformats.org/officeDocument/2006/relationships/hyperlink" Target="https://ref.ly/2Kgs17:2-2Kgs17:6" TargetMode="External"/><Relationship Id="rId1425" Type="http://schemas.openxmlformats.org/officeDocument/2006/relationships/hyperlink" Target="https://ref.ly/2Kgs20:12-2Kgs20:19" TargetMode="External"/><Relationship Id="rId1426" Type="http://schemas.openxmlformats.org/officeDocument/2006/relationships/hyperlink" Target="https://ref.ly/Isa39:1" TargetMode="External"/><Relationship Id="rId1427" Type="http://schemas.openxmlformats.org/officeDocument/2006/relationships/hyperlink" Target="https://ref.ly/2Kgs18:13-2Kgs19:37" TargetMode="External"/><Relationship Id="rId1428" Type="http://schemas.openxmlformats.org/officeDocument/2006/relationships/hyperlink" Target="https://ref.ly/Isa36:1-Isa37:38" TargetMode="External"/><Relationship Id="rId1429" Type="http://schemas.openxmlformats.org/officeDocument/2006/relationships/hyperlink" Target="https://ref.ly/2Kgs20:20" TargetMode="External"/><Relationship Id="rId1430" Type="http://schemas.openxmlformats.org/officeDocument/2006/relationships/hyperlink" Target="https://ref.ly/Nah3:3-Nah3:10" TargetMode="External"/><Relationship Id="rId1431" Type="http://schemas.openxmlformats.org/officeDocument/2006/relationships/hyperlink" Target="https://ref.ly/Nah1:8" TargetMode="External"/><Relationship Id="rId1432" Type="http://schemas.openxmlformats.org/officeDocument/2006/relationships/hyperlink" Target="https://ref.ly/2Kgs23:29-2Kgs23:30" TargetMode="External"/><Relationship Id="rId1433" Type="http://schemas.openxmlformats.org/officeDocument/2006/relationships/hyperlink" Target="https://ref.ly/2Chr35:20-2Chr35:24" TargetMode="External"/><Relationship Id="rId1434" Type="http://schemas.openxmlformats.org/officeDocument/2006/relationships/hyperlink" Target="https://ref.ly/Jer46:1-Jer46:12" TargetMode="External"/><Relationship Id="rId1435" Type="http://schemas.openxmlformats.org/officeDocument/2006/relationships/hyperlink" Target="https://ref.ly/Gen1:14-Gen1:19" TargetMode="External"/><Relationship Id="rId1436" Type="http://schemas.openxmlformats.org/officeDocument/2006/relationships/hyperlink" Target="https://ref.ly/Joel2:31" TargetMode="External"/><Relationship Id="rId1437" Type="http://schemas.openxmlformats.org/officeDocument/2006/relationships/hyperlink" Target="https://ref.ly/Matt24:29" TargetMode="External"/><Relationship Id="rId1438" Type="http://schemas.openxmlformats.org/officeDocument/2006/relationships/hyperlink" Target="https://ref.ly/Job9:9" TargetMode="External"/><Relationship Id="rId1439" Type="http://schemas.openxmlformats.org/officeDocument/2006/relationships/hyperlink" Target="https://ref.ly/Job38:31" TargetMode="External"/><Relationship Id="rId1440" Type="http://schemas.openxmlformats.org/officeDocument/2006/relationships/hyperlink" Target="https://ref.ly/Job38:32" TargetMode="External"/><Relationship Id="rId1441" Type="http://schemas.openxmlformats.org/officeDocument/2006/relationships/hyperlink" Target="https://ref.ly/Gen15:5" TargetMode="External"/><Relationship Id="rId1442" Type="http://schemas.openxmlformats.org/officeDocument/2006/relationships/hyperlink" Target="https://ref.ly/1Cor15:41" TargetMode="External"/><Relationship Id="rId1443" Type="http://schemas.openxmlformats.org/officeDocument/2006/relationships/hyperlink" Target="https://ref.ly/Jude1:13" TargetMode="External"/><Relationship Id="rId1444" Type="http://schemas.openxmlformats.org/officeDocument/2006/relationships/hyperlink" Target="https://ref.ly/Gen50:10-Gen50:11" TargetMode="External"/><Relationship Id="rId1445" Type="http://schemas.openxmlformats.org/officeDocument/2006/relationships/hyperlink" Target="https://ref.ly/Acts17:15-Acts17:34" TargetMode="External"/><Relationship Id="rId1446" Type="http://schemas.openxmlformats.org/officeDocument/2006/relationships/hyperlink" Target="https://ref.ly/1Thess3:1" TargetMode="External"/><Relationship Id="rId1447" Type="http://schemas.openxmlformats.org/officeDocument/2006/relationships/hyperlink" Target="https://ref.ly/Acts17:16-Acts17:34" TargetMode="External"/><Relationship Id="rId1448" Type="http://schemas.openxmlformats.org/officeDocument/2006/relationships/hyperlink" Target="https://ref.ly/Acts14:25" TargetMode="External"/><Relationship Id="rId1449" Type="http://schemas.openxmlformats.org/officeDocument/2006/relationships/hyperlink" Target="https://ref.ly/Gen42:27" TargetMode="External"/><Relationship Id="rId1450" Type="http://schemas.openxmlformats.org/officeDocument/2006/relationships/hyperlink" Target="https://ref.ly/Gen43:21" TargetMode="External"/><Relationship Id="rId1451" Type="http://schemas.openxmlformats.org/officeDocument/2006/relationships/hyperlink" Target="https://ref.ly/Exod4:24" TargetMode="External"/><Relationship Id="rId1452" Type="http://schemas.openxmlformats.org/officeDocument/2006/relationships/hyperlink" Target="https://ref.ly/Gen19:1-Gen19:3" TargetMode="External"/><Relationship Id="rId1453" Type="http://schemas.openxmlformats.org/officeDocument/2006/relationships/hyperlink" Target="https://ref.ly/Judg19:15-Judg19:21" TargetMode="External"/><Relationship Id="rId1454" Type="http://schemas.openxmlformats.org/officeDocument/2006/relationships/hyperlink" Target="https://ref.ly/Gen28:11" TargetMode="External"/><Relationship Id="rId1455" Type="http://schemas.openxmlformats.org/officeDocument/2006/relationships/hyperlink" Target="https://ref.ly/Josh9:11-Josh9:13" TargetMode="External"/><Relationship Id="rId1456" Type="http://schemas.openxmlformats.org/officeDocument/2006/relationships/hyperlink" Target="https://ref.ly/Josh2:1" TargetMode="External"/><Relationship Id="rId1457" Type="http://schemas.openxmlformats.org/officeDocument/2006/relationships/hyperlink" Target="https://ref.ly/Luke10:34-Luke10:35" TargetMode="External"/><Relationship Id="rId1458" Type="http://schemas.openxmlformats.org/officeDocument/2006/relationships/hyperlink" Target="https://ref.ly/Acts28:15" TargetMode="External"/><Relationship Id="rId1459" Type="http://schemas.openxmlformats.org/officeDocument/2006/relationships/hyperlink" Target="https://ref.ly/Luke2:7" TargetMode="External"/><Relationship Id="rId1460" Type="http://schemas.openxmlformats.org/officeDocument/2006/relationships/hyperlink" Target="https://ref.ly/Mark14:14" TargetMode="External"/><Relationship Id="rId1461" Type="http://schemas.openxmlformats.org/officeDocument/2006/relationships/hyperlink" Target="https://ref.ly/Luke22:11" TargetMode="External"/><Relationship Id="rId1462" Type="http://schemas.openxmlformats.org/officeDocument/2006/relationships/hyperlink" Target="https://ref.ly/Acts2:6-Acts2:11" TargetMode="External"/><Relationship Id="rId1463" Type="http://schemas.openxmlformats.org/officeDocument/2006/relationships/hyperlink" Target="https://ref.ly/Exod30:1-Exod30:10" TargetMode="External"/><Relationship Id="rId1464" Type="http://schemas.openxmlformats.org/officeDocument/2006/relationships/hyperlink" Target="https://ref.ly/Gen8:20" TargetMode="External"/><Relationship Id="rId1465" Type="http://schemas.openxmlformats.org/officeDocument/2006/relationships/hyperlink" Target="https://ref.ly/Gen22:9" TargetMode="External"/><Relationship Id="rId1466" Type="http://schemas.openxmlformats.org/officeDocument/2006/relationships/hyperlink" Target="https://ref.ly/Gen26:25" TargetMode="External"/><Relationship Id="rId1467" Type="http://schemas.openxmlformats.org/officeDocument/2006/relationships/hyperlink" Target="https://ref.ly/Gen33:20" TargetMode="External"/><Relationship Id="rId1468" Type="http://schemas.openxmlformats.org/officeDocument/2006/relationships/hyperlink" Target="https://ref.ly/Gen35:7" TargetMode="External"/><Relationship Id="rId1469" Type="http://schemas.openxmlformats.org/officeDocument/2006/relationships/hyperlink" Target="https://ref.ly/Exod17:15" TargetMode="External"/><Relationship Id="rId1470" Type="http://schemas.openxmlformats.org/officeDocument/2006/relationships/hyperlink" Target="https://ref.ly/Exod24:4" TargetMode="External"/><Relationship Id="rId1471" Type="http://schemas.openxmlformats.org/officeDocument/2006/relationships/hyperlink" Target="https://ref.ly/Exod27:1-Exod27:8" TargetMode="External"/><Relationship Id="rId1472" Type="http://schemas.openxmlformats.org/officeDocument/2006/relationships/hyperlink" Target="https://ref.ly/Exod38:1-Exod38:7" TargetMode="External"/><Relationship Id="rId1473" Type="http://schemas.openxmlformats.org/officeDocument/2006/relationships/hyperlink" Target="https://ref.ly/Exod40:5" TargetMode="External"/><Relationship Id="rId1474" Type="http://schemas.openxmlformats.org/officeDocument/2006/relationships/hyperlink" Target="https://ref.ly/Exod20:24-Exod20:26" TargetMode="External"/><Relationship Id="rId1475" Type="http://schemas.openxmlformats.org/officeDocument/2006/relationships/hyperlink" Target="https://ref.ly/Josh8:30-Josh8:31" TargetMode="External"/><Relationship Id="rId1476" Type="http://schemas.openxmlformats.org/officeDocument/2006/relationships/hyperlink" Target="https://ref.ly/Josh22:10-Josh22:16" TargetMode="External"/><Relationship Id="rId1477" Type="http://schemas.openxmlformats.org/officeDocument/2006/relationships/hyperlink" Target="https://ref.ly/Judg6:24" TargetMode="External"/><Relationship Id="rId1478" Type="http://schemas.openxmlformats.org/officeDocument/2006/relationships/hyperlink" Target="https://ref.ly/1Sam20:6,1Sam20:29" TargetMode="External"/><Relationship Id="rId1479" Type="http://schemas.openxmlformats.org/officeDocument/2006/relationships/hyperlink" Target="https://ref.ly/2Sam24:25" TargetMode="External"/><Relationship Id="rId1480" Type="http://schemas.openxmlformats.org/officeDocument/2006/relationships/hyperlink" Target="https://ref.ly/1Kgs18:30" TargetMode="External"/><Relationship Id="rId1481" Type="http://schemas.openxmlformats.org/officeDocument/2006/relationships/hyperlink" Target="https://ref.ly/2Kgs16:14" TargetMode="External"/><Relationship Id="rId1482" Type="http://schemas.openxmlformats.org/officeDocument/2006/relationships/hyperlink" Target="https://ref.ly/2Chr29:18" TargetMode="External"/><Relationship Id="rId1483" Type="http://schemas.openxmlformats.org/officeDocument/2006/relationships/hyperlink" Target="https://ref.ly/1Kgs6:20-1Kgs6:22" TargetMode="External"/><Relationship Id="rId1484" Type="http://schemas.openxmlformats.org/officeDocument/2006/relationships/hyperlink" Target="https://ref.ly/Ezek43:13-Ezek43:17" TargetMode="External"/><Relationship Id="rId1485" Type="http://schemas.openxmlformats.org/officeDocument/2006/relationships/hyperlink" Target="https://ref.ly/Ezra3:2" TargetMode="External"/><Relationship Id="rId1486" Type="http://schemas.openxmlformats.org/officeDocument/2006/relationships/hyperlink" Target="https://ref.ly/1Macc1:54" TargetMode="External"/><Relationship Id="rId1487" Type="http://schemas.openxmlformats.org/officeDocument/2006/relationships/hyperlink" Target="https://ref.ly/1Macc1:21" TargetMode="External"/><Relationship Id="rId1488" Type="http://schemas.openxmlformats.org/officeDocument/2006/relationships/hyperlink" Target="https://ref.ly/1Macc4:44-1Macc4:49" TargetMode="External"/><Relationship Id="rId1489" Type="http://schemas.openxmlformats.org/officeDocument/2006/relationships/hyperlink" Target="https://ref.ly/Matt5:23-Matt5:24" TargetMode="External"/><Relationship Id="rId1490" Type="http://schemas.openxmlformats.org/officeDocument/2006/relationships/hyperlink" Target="https://ref.ly/Matt23:18-Matt23:20" TargetMode="External"/><Relationship Id="rId1491" Type="http://schemas.openxmlformats.org/officeDocument/2006/relationships/hyperlink" Target="https://ref.ly/1Cor9:13" TargetMode="External"/><Relationship Id="rId1492" Type="http://schemas.openxmlformats.org/officeDocument/2006/relationships/hyperlink" Target="https://ref.ly/1Cor10:18" TargetMode="External"/><Relationship Id="rId1493" Type="http://schemas.openxmlformats.org/officeDocument/2006/relationships/hyperlink" Target="https://ref.ly/Heb7:13" TargetMode="External"/><Relationship Id="rId1494" Type="http://schemas.openxmlformats.org/officeDocument/2006/relationships/hyperlink" Target="https://ref.ly/Rev11:1" TargetMode="External"/><Relationship Id="rId1495" Type="http://schemas.openxmlformats.org/officeDocument/2006/relationships/hyperlink" Target="https://ref.ly/Luke1:11" TargetMode="External"/><Relationship Id="rId1496" Type="http://schemas.openxmlformats.org/officeDocument/2006/relationships/hyperlink" Target="https://ref.ly/Rev8:5" TargetMode="External"/><Relationship Id="rId1497" Type="http://schemas.openxmlformats.org/officeDocument/2006/relationships/hyperlink" Target="https://ref.ly/Rev9:13" TargetMode="External"/><Relationship Id="rId1498" Type="http://schemas.openxmlformats.org/officeDocument/2006/relationships/hyperlink" Target="https://ref.ly/John9:1-John9:3" TargetMode="External"/><Relationship Id="rId1499" Type="http://schemas.openxmlformats.org/officeDocument/2006/relationships/hyperlink" Target="https://ref.ly/Gen27:1" TargetMode="External"/><Relationship Id="rId1500" Type="http://schemas.openxmlformats.org/officeDocument/2006/relationships/hyperlink" Target="https://ref.ly/1Sam4:15" TargetMode="External"/><Relationship Id="rId1501" Type="http://schemas.openxmlformats.org/officeDocument/2006/relationships/hyperlink" Target="https://ref.ly/1Kgs14:4" TargetMode="External"/><Relationship Id="rId1502" Type="http://schemas.openxmlformats.org/officeDocument/2006/relationships/hyperlink" Target="https://ref.ly/Judg16:21" TargetMode="External"/><Relationship Id="rId1503" Type="http://schemas.openxmlformats.org/officeDocument/2006/relationships/hyperlink" Target="https://ref.ly/Lev19:14" TargetMode="External"/><Relationship Id="rId1504" Type="http://schemas.openxmlformats.org/officeDocument/2006/relationships/hyperlink" Target="https://ref.ly/Deut27:18" TargetMode="External"/><Relationship Id="rId1505" Type="http://schemas.openxmlformats.org/officeDocument/2006/relationships/hyperlink" Target="https://ref.ly/Lev21:18" TargetMode="External"/><Relationship Id="rId1506" Type="http://schemas.openxmlformats.org/officeDocument/2006/relationships/hyperlink" Target="https://ref.ly/Luke4:18" TargetMode="External"/><Relationship Id="rId1507" Type="http://schemas.openxmlformats.org/officeDocument/2006/relationships/hyperlink" Target="https://ref.ly/Matt11:5" TargetMode="External"/><Relationship Id="rId1508" Type="http://schemas.openxmlformats.org/officeDocument/2006/relationships/hyperlink" Target="https://ref.ly/Matt9:27-Matt9:30" TargetMode="External"/><Relationship Id="rId1509" Type="http://schemas.openxmlformats.org/officeDocument/2006/relationships/hyperlink" Target="https://ref.ly/Mark8:22-Mark8:26" TargetMode="External"/><Relationship Id="rId1510" Type="http://schemas.openxmlformats.org/officeDocument/2006/relationships/hyperlink" Target="https://ref.ly/John9:1-John9:41" TargetMode="External"/><Relationship Id="rId1511" Type="http://schemas.openxmlformats.org/officeDocument/2006/relationships/hyperlink" Target="https://ref.ly/Mark10:46-Mark10:52" TargetMode="External"/><Relationship Id="rId1512" Type="http://schemas.openxmlformats.org/officeDocument/2006/relationships/hyperlink" Target="https://ref.ly/Matt20:30-Matt20:34" TargetMode="External"/><Relationship Id="rId1513" Type="http://schemas.openxmlformats.org/officeDocument/2006/relationships/hyperlink" Target="https://ref.ly/Luke18:35-Luke18:43" TargetMode="External"/><Relationship Id="rId1514" Type="http://schemas.openxmlformats.org/officeDocument/2006/relationships/hyperlink" Target="https://ref.ly/Mark10:52" TargetMode="External"/><Relationship Id="rId1515" Type="http://schemas.openxmlformats.org/officeDocument/2006/relationships/hyperlink" Target="https://ref.ly/John9:6-John9:11" TargetMode="External"/><Relationship Id="rId1516" Type="http://schemas.openxmlformats.org/officeDocument/2006/relationships/hyperlink" Target="https://ref.ly/Mark8:23" TargetMode="External"/><Relationship Id="rId1517" Type="http://schemas.openxmlformats.org/officeDocument/2006/relationships/hyperlink" Target="https://ref.ly/Acts9:1-Acts9:9,Acts9:18" TargetMode="External"/><Relationship Id="rId1518" Type="http://schemas.openxmlformats.org/officeDocument/2006/relationships/hyperlink" Target="https://ref.ly/Acts13:11" TargetMode="External"/><Relationship Id="rId1519" Type="http://schemas.openxmlformats.org/officeDocument/2006/relationships/hyperlink" Target="https://ref.ly/Gen36:35" TargetMode="External"/><Relationship Id="rId1520" Type="http://schemas.openxmlformats.org/officeDocument/2006/relationships/hyperlink" Target="https://ref.ly/1Chr1:46" TargetMode="External"/><Relationship Id="rId1521" Type="http://schemas.openxmlformats.org/officeDocument/2006/relationships/hyperlink" Target="https://ref.ly/1Chr1:49-1Chr1:50" TargetMode="External"/><Relationship Id="rId1522" Type="http://schemas.openxmlformats.org/officeDocument/2006/relationships/hyperlink" Target="https://ref.ly/1Chr27:28" TargetMode="External"/><Relationship Id="rId1523" Type="http://schemas.openxmlformats.org/officeDocument/2006/relationships/hyperlink" Target="https://ref.ly/Gen11:9" TargetMode="External"/><Relationship Id="rId1524" Type="http://schemas.openxmlformats.org/officeDocument/2006/relationships/hyperlink" Target="https://ref.ly/2Kgs17:24" TargetMode="External"/><Relationship Id="rId1525" Type="http://schemas.openxmlformats.org/officeDocument/2006/relationships/hyperlink" Target="https://ref.ly/Gen11:1-Gen11:9" TargetMode="External"/><Relationship Id="rId1526" Type="http://schemas.openxmlformats.org/officeDocument/2006/relationships/hyperlink" Target="https://ref.ly/Lev15:8-Lev15:12" TargetMode="External"/><Relationship Id="rId1527" Type="http://schemas.openxmlformats.org/officeDocument/2006/relationships/hyperlink" Target="https://ref.ly/John9:7" TargetMode="External"/><Relationship Id="rId1528" Type="http://schemas.openxmlformats.org/officeDocument/2006/relationships/hyperlink" Target="https://ref.ly/Ezek16:4" TargetMode="External"/><Relationship Id="rId1529" Type="http://schemas.openxmlformats.org/officeDocument/2006/relationships/hyperlink" Target="https://ref.ly/Acts9:37" TargetMode="External"/><Relationship Id="rId1530" Type="http://schemas.openxmlformats.org/officeDocument/2006/relationships/hyperlink" Target="https://ref.ly/Song6:6" TargetMode="External"/><Relationship Id="rId1531" Type="http://schemas.openxmlformats.org/officeDocument/2006/relationships/hyperlink" Target="https://ref.ly/Exod2:5" TargetMode="External"/><Relationship Id="rId1532" Type="http://schemas.openxmlformats.org/officeDocument/2006/relationships/hyperlink" Target="https://ref.ly/Gen18:4" TargetMode="External"/><Relationship Id="rId1533" Type="http://schemas.openxmlformats.org/officeDocument/2006/relationships/hyperlink" Target="https://ref.ly/Gen19:2" TargetMode="External"/><Relationship Id="rId1534" Type="http://schemas.openxmlformats.org/officeDocument/2006/relationships/hyperlink" Target="https://ref.ly/Gen24:32" TargetMode="External"/><Relationship Id="rId1535" Type="http://schemas.openxmlformats.org/officeDocument/2006/relationships/hyperlink" Target="https://ref.ly/Gen43:24" TargetMode="External"/><Relationship Id="rId1536" Type="http://schemas.openxmlformats.org/officeDocument/2006/relationships/hyperlink" Target="https://ref.ly/Judg19:21" TargetMode="External"/><Relationship Id="rId1537" Type="http://schemas.openxmlformats.org/officeDocument/2006/relationships/hyperlink" Target="https://ref.ly/Song5:3" TargetMode="External"/><Relationship Id="rId1538" Type="http://schemas.openxmlformats.org/officeDocument/2006/relationships/hyperlink" Target="https://ref.ly/Ruth3:3" TargetMode="External"/><Relationship Id="rId1539" Type="http://schemas.openxmlformats.org/officeDocument/2006/relationships/hyperlink" Target="https://ref.ly/2Sam12:20" TargetMode="External"/><Relationship Id="rId1540" Type="http://schemas.openxmlformats.org/officeDocument/2006/relationships/hyperlink" Target="https://ref.ly/Ezek23:41" TargetMode="External"/><Relationship Id="rId1541" Type="http://schemas.openxmlformats.org/officeDocument/2006/relationships/hyperlink" Target="https://ref.ly/Luke7:44" TargetMode="External"/><Relationship Id="rId1542" Type="http://schemas.openxmlformats.org/officeDocument/2006/relationships/hyperlink" Target="https://ref.ly/John13:4-John13:5" TargetMode="External"/><Relationship Id="rId1543" Type="http://schemas.openxmlformats.org/officeDocument/2006/relationships/hyperlink" Target="https://ref.ly/1Sam25:41" TargetMode="External"/><Relationship Id="rId1544" Type="http://schemas.openxmlformats.org/officeDocument/2006/relationships/hyperlink" Target="https://ref.ly/Luke7:44-Luke7:47" TargetMode="External"/><Relationship Id="rId1545" Type="http://schemas.openxmlformats.org/officeDocument/2006/relationships/hyperlink" Target="https://ref.ly/John13:3-John13:16" TargetMode="External"/><Relationship Id="rId1546" Type="http://schemas.openxmlformats.org/officeDocument/2006/relationships/hyperlink" Target="https://ref.ly/1Tim5:10" TargetMode="External"/><Relationship Id="rId1547" Type="http://schemas.openxmlformats.org/officeDocument/2006/relationships/hyperlink" Target="https://ref.ly/Exod29:4" TargetMode="External"/><Relationship Id="rId1548" Type="http://schemas.openxmlformats.org/officeDocument/2006/relationships/hyperlink" Target="https://ref.ly/Exod30:19-Exod30:21" TargetMode="External"/><Relationship Id="rId1549" Type="http://schemas.openxmlformats.org/officeDocument/2006/relationships/hyperlink" Target="https://ref.ly/Exod40:7,Exod40:12,Exod40:30-Exod40:32" TargetMode="External"/><Relationship Id="rId1550" Type="http://schemas.openxmlformats.org/officeDocument/2006/relationships/hyperlink" Target="https://ref.ly/Num8:21" TargetMode="External"/><Relationship Id="rId1551" Type="http://schemas.openxmlformats.org/officeDocument/2006/relationships/hyperlink" Target="https://ref.ly/Lev1:9,Lev1:13" TargetMode="External"/><Relationship Id="rId1552" Type="http://schemas.openxmlformats.org/officeDocument/2006/relationships/hyperlink" Target="https://ref.ly/Lev8:21" TargetMode="External"/><Relationship Id="rId1553" Type="http://schemas.openxmlformats.org/officeDocument/2006/relationships/hyperlink" Target="https://ref.ly/Lev9:14" TargetMode="External"/><Relationship Id="rId1554" Type="http://schemas.openxmlformats.org/officeDocument/2006/relationships/hyperlink" Target="https://ref.ly/Lev14:8-Lev14:10" TargetMode="External"/><Relationship Id="rId1555" Type="http://schemas.openxmlformats.org/officeDocument/2006/relationships/hyperlink" Target="https://ref.ly/Lev15:5-Lev15:11,Lev15:21-Lev15:27" TargetMode="External"/><Relationship Id="rId1556" Type="http://schemas.openxmlformats.org/officeDocument/2006/relationships/hyperlink" Target="https://ref.ly/Lev6:27" TargetMode="External"/><Relationship Id="rId1557" Type="http://schemas.openxmlformats.org/officeDocument/2006/relationships/hyperlink" Target="https://ref.ly/Lev13:54" TargetMode="External"/><Relationship Id="rId1558" Type="http://schemas.openxmlformats.org/officeDocument/2006/relationships/hyperlink" Target="https://ref.ly/Ps51:2" TargetMode="External"/><Relationship Id="rId1559" Type="http://schemas.openxmlformats.org/officeDocument/2006/relationships/hyperlink" Target="https://ref.ly/Isa1:16" TargetMode="External"/><Relationship Id="rId1560" Type="http://schemas.openxmlformats.org/officeDocument/2006/relationships/hyperlink" Target="https://ref.ly/Isa4:4" TargetMode="External"/><Relationship Id="rId1561" Type="http://schemas.openxmlformats.org/officeDocument/2006/relationships/hyperlink" Target="https://ref.ly/Jer2:22" TargetMode="External"/><Relationship Id="rId1562" Type="http://schemas.openxmlformats.org/officeDocument/2006/relationships/hyperlink" Target="https://ref.ly/Jer4:14" TargetMode="External"/><Relationship Id="rId1563" Type="http://schemas.openxmlformats.org/officeDocument/2006/relationships/hyperlink" Target="https://ref.ly/1Cor6:11" TargetMode="External"/><Relationship Id="rId1564" Type="http://schemas.openxmlformats.org/officeDocument/2006/relationships/hyperlink" Target="https://ref.ly/Heb10:22" TargetMode="External"/><Relationship Id="rId1565" Type="http://schemas.openxmlformats.org/officeDocument/2006/relationships/hyperlink" Target="https://ref.ly/Gen29:11" TargetMode="External"/><Relationship Id="rId1566" Type="http://schemas.openxmlformats.org/officeDocument/2006/relationships/hyperlink" Target="https://ref.ly/Gen33:4" TargetMode="External"/><Relationship Id="rId1567" Type="http://schemas.openxmlformats.org/officeDocument/2006/relationships/hyperlink" Target="https://ref.ly/Prov7:6-Prov7:13" TargetMode="External"/><Relationship Id="rId1568" Type="http://schemas.openxmlformats.org/officeDocument/2006/relationships/hyperlink" Target="https://ref.ly/Song1:2" TargetMode="External"/><Relationship Id="rId1569" Type="http://schemas.openxmlformats.org/officeDocument/2006/relationships/hyperlink" Target="https://ref.ly/1Sam10:1" TargetMode="External"/><Relationship Id="rId1570" Type="http://schemas.openxmlformats.org/officeDocument/2006/relationships/hyperlink" Target="https://ref.ly/Job31:27" TargetMode="External"/><Relationship Id="rId1571" Type="http://schemas.openxmlformats.org/officeDocument/2006/relationships/hyperlink" Target="https://ref.ly/1Kgs19:18" TargetMode="External"/><Relationship Id="rId1572" Type="http://schemas.openxmlformats.org/officeDocument/2006/relationships/hyperlink" Target="https://ref.ly/Hos13:2" TargetMode="External"/><Relationship Id="rId1573" Type="http://schemas.openxmlformats.org/officeDocument/2006/relationships/hyperlink" Target="https://ref.ly/Matt26:48-Matt26:49" TargetMode="External"/><Relationship Id="rId1574" Type="http://schemas.openxmlformats.org/officeDocument/2006/relationships/hyperlink" Target="https://ref.ly/Rom16:16" TargetMode="External"/><Relationship Id="rId1575" Type="http://schemas.openxmlformats.org/officeDocument/2006/relationships/hyperlink" Target="https://ref.ly/1Cor16:20" TargetMode="External"/><Relationship Id="rId1576" Type="http://schemas.openxmlformats.org/officeDocument/2006/relationships/hyperlink" Target="https://ref.ly/2Cor13:12" TargetMode="External"/><Relationship Id="rId1577" Type="http://schemas.openxmlformats.org/officeDocument/2006/relationships/hyperlink" Target="https://ref.ly/1Thess5:26" TargetMode="External"/><Relationship Id="rId1578" Type="http://schemas.openxmlformats.org/officeDocument/2006/relationships/hyperlink" Target="https://ref.ly/1Pet5:14" TargetMode="External"/><Relationship Id="rId1579" Type="http://schemas.openxmlformats.org/officeDocument/2006/relationships/hyperlink" Target="https://ref.ly/1Thess5:25-1Thess5:27" TargetMode="External"/><Relationship Id="rId1580" Type="http://schemas.openxmlformats.org/officeDocument/2006/relationships/hyperlink" Target="https://ref.ly/Num21:21-Num21:25" TargetMode="External"/><Relationship Id="rId1581" Type="http://schemas.openxmlformats.org/officeDocument/2006/relationships/hyperlink" Target="https://ref.ly/Num22:3" TargetMode="External"/><Relationship Id="rId1582" Type="http://schemas.openxmlformats.org/officeDocument/2006/relationships/hyperlink" Target="https://ref.ly/Gen27:34-Gen27:38" TargetMode="External"/><Relationship Id="rId1583" Type="http://schemas.openxmlformats.org/officeDocument/2006/relationships/hyperlink" Target="https://ref.ly/Num22:18" TargetMode="External"/><Relationship Id="rId1584" Type="http://schemas.openxmlformats.org/officeDocument/2006/relationships/hyperlink" Target="https://ref.ly/Num22:7" TargetMode="External"/><Relationship Id="rId1585" Type="http://schemas.openxmlformats.org/officeDocument/2006/relationships/hyperlink" Target="https://ref.ly/Deut18:10-Deut18:11" TargetMode="External"/><Relationship Id="rId1586" Type="http://schemas.openxmlformats.org/officeDocument/2006/relationships/hyperlink" Target="https://ref.ly/Num22:22" TargetMode="External"/><Relationship Id="rId1587" Type="http://schemas.openxmlformats.org/officeDocument/2006/relationships/hyperlink" Target="https://ref.ly/Num22:28-Num22:30" TargetMode="External"/><Relationship Id="rId1588" Type="http://schemas.openxmlformats.org/officeDocument/2006/relationships/hyperlink" Target="https://ref.ly/Num22:1-Num22:41" TargetMode="External"/><Relationship Id="rId1589" Type="http://schemas.openxmlformats.org/officeDocument/2006/relationships/hyperlink" Target="https://ref.ly/Deut23:5" TargetMode="External"/><Relationship Id="rId1590" Type="http://schemas.openxmlformats.org/officeDocument/2006/relationships/hyperlink" Target="https://ref.ly/Num22:31" TargetMode="External"/><Relationship Id="rId1591" Type="http://schemas.openxmlformats.org/officeDocument/2006/relationships/hyperlink" Target="https://ref.ly/Num23:1-Num23:30" TargetMode="External"/><Relationship Id="rId1592" Type="http://schemas.openxmlformats.org/officeDocument/2006/relationships/hyperlink" Target="https://ref.ly/Num24:1-Num24:25" TargetMode="External"/><Relationship Id="rId1593" Type="http://schemas.openxmlformats.org/officeDocument/2006/relationships/hyperlink" Target="https://ref.ly/Num25:1-Num25:18" TargetMode="External"/><Relationship Id="rId1594" Type="http://schemas.openxmlformats.org/officeDocument/2006/relationships/hyperlink" Target="https://ref.ly/Num31:14-Num31:16" TargetMode="External"/><Relationship Id="rId1595" Type="http://schemas.openxmlformats.org/officeDocument/2006/relationships/hyperlink" Target="https://ref.ly/Num31:8" TargetMode="External"/><Relationship Id="rId1596" Type="http://schemas.openxmlformats.org/officeDocument/2006/relationships/hyperlink" Target="https://ref.ly/Josh13:22" TargetMode="External"/><Relationship Id="rId1597" Type="http://schemas.openxmlformats.org/officeDocument/2006/relationships/hyperlink" Target="https://ref.ly/Gen4:9-Gen4:14" TargetMode="External"/><Relationship Id="rId1598" Type="http://schemas.openxmlformats.org/officeDocument/2006/relationships/hyperlink" Target="https://ref.ly/2Sam13:37-2Sam13:39" TargetMode="External"/><Relationship Id="rId1599" Type="http://schemas.openxmlformats.org/officeDocument/2006/relationships/hyperlink" Target="https://ref.ly/2Sam14:13-2Sam14:14" TargetMode="External"/><Relationship Id="rId1600" Type="http://schemas.openxmlformats.org/officeDocument/2006/relationships/hyperlink" Target="https://ref.ly/Deut30:1" TargetMode="External"/><Relationship Id="rId1601" Type="http://schemas.openxmlformats.org/officeDocument/2006/relationships/hyperlink" Target="https://ref.ly/Isa11:12" TargetMode="External"/><Relationship Id="rId1602" Type="http://schemas.openxmlformats.org/officeDocument/2006/relationships/hyperlink" Target="https://ref.ly/Jer16:15" TargetMode="External"/><Relationship Id="rId1603" Type="http://schemas.openxmlformats.org/officeDocument/2006/relationships/hyperlink" Target="https://ref.ly/Ezek4:13" TargetMode="External"/><Relationship Id="rId1604" Type="http://schemas.openxmlformats.org/officeDocument/2006/relationships/hyperlink" Target="https://ref.ly/Ezra7:26" TargetMode="External"/><Relationship Id="rId1605" Type="http://schemas.openxmlformats.org/officeDocument/2006/relationships/hyperlink" Target="https://ref.ly/Gen17:12,Gen17:14" TargetMode="External"/><Relationship Id="rId1606" Type="http://schemas.openxmlformats.org/officeDocument/2006/relationships/hyperlink" Target="https://ref.ly/Exod12:15" TargetMode="External"/><Relationship Id="rId1607" Type="http://schemas.openxmlformats.org/officeDocument/2006/relationships/hyperlink" Target="https://ref.ly/Lev17:1-Lev17:4" TargetMode="External"/><Relationship Id="rId1608" Type="http://schemas.openxmlformats.org/officeDocument/2006/relationships/hyperlink" Target="https://ref.ly/Lev17:10" TargetMode="External"/><Relationship Id="rId1609" Type="http://schemas.openxmlformats.org/officeDocument/2006/relationships/hyperlink" Target="https://ref.ly/Num15:30-Num15:31" TargetMode="External"/><Relationship Id="rId1610" Type="http://schemas.openxmlformats.org/officeDocument/2006/relationships/hyperlink" Target="https://ref.ly/Num19:11-Num19:20" TargetMode="External"/><Relationship Id="rId1611" Type="http://schemas.openxmlformats.org/officeDocument/2006/relationships/hyperlink" Target="https://ref.ly/John9:18-John9:23,John9:34" TargetMode="External"/><Relationship Id="rId1612" Type="http://schemas.openxmlformats.org/officeDocument/2006/relationships/hyperlink" Target="https://ref.ly/John9:18-John9:23" TargetMode="External"/><Relationship Id="rId1613" Type="http://schemas.openxmlformats.org/officeDocument/2006/relationships/hyperlink" Target="https://ref.ly/Ezra10:7-Ezra10:8" TargetMode="External"/><Relationship Id="rId1614" Type="http://schemas.openxmlformats.org/officeDocument/2006/relationships/hyperlink" Target="https://ref.ly/Acts18:2" TargetMode="External"/><Relationship Id="rId1615" Type="http://schemas.openxmlformats.org/officeDocument/2006/relationships/hyperlink" Target="https://ref.ly/Rev1:9" TargetMode="External"/><Relationship Id="rId1616" Type="http://schemas.openxmlformats.org/officeDocument/2006/relationships/hyperlink" Target="https://ref.ly/Gen26:30" TargetMode="External"/><Relationship Id="rId1617" Type="http://schemas.openxmlformats.org/officeDocument/2006/relationships/hyperlink" Target="https://ref.ly/Gen31:54" TargetMode="External"/><Relationship Id="rId1618" Type="http://schemas.openxmlformats.org/officeDocument/2006/relationships/hyperlink" Target="https://ref.ly/Exod24:11" TargetMode="External"/><Relationship Id="rId1619" Type="http://schemas.openxmlformats.org/officeDocument/2006/relationships/hyperlink" Target="https://ref.ly/Gen29:22" TargetMode="External"/><Relationship Id="rId1620" Type="http://schemas.openxmlformats.org/officeDocument/2006/relationships/hyperlink" Target="https://ref.ly/Judg14:10" TargetMode="External"/><Relationship Id="rId1621" Type="http://schemas.openxmlformats.org/officeDocument/2006/relationships/hyperlink" Target="https://ref.ly/Ruth3:1-Ruth3:3" TargetMode="External"/><Relationship Id="rId1622" Type="http://schemas.openxmlformats.org/officeDocument/2006/relationships/hyperlink" Target="https://ref.ly/1Sam25:11" TargetMode="External"/><Relationship Id="rId1623" Type="http://schemas.openxmlformats.org/officeDocument/2006/relationships/hyperlink" Target="https://ref.ly/2Sam13:23-2Sam13:29" TargetMode="External"/><Relationship Id="rId1624" Type="http://schemas.openxmlformats.org/officeDocument/2006/relationships/hyperlink" Target="https://ref.ly/Gen19:3" TargetMode="External"/><Relationship Id="rId1625" Type="http://schemas.openxmlformats.org/officeDocument/2006/relationships/hyperlink" Target="https://ref.ly/Gen21:8" TargetMode="External"/><Relationship Id="rId1626" Type="http://schemas.openxmlformats.org/officeDocument/2006/relationships/hyperlink" Target="https://ref.ly/1Kgs1:9,1Kgs1:19-1Kgs1:25" TargetMode="External"/><Relationship Id="rId1627" Type="http://schemas.openxmlformats.org/officeDocument/2006/relationships/hyperlink" Target="https://ref.ly/1Kgs1:9" TargetMode="External"/><Relationship Id="rId1628" Type="http://schemas.openxmlformats.org/officeDocument/2006/relationships/hyperlink" Target="https://ref.ly/Esth1:3-Esth1:9" TargetMode="External"/><Relationship Id="rId1629" Type="http://schemas.openxmlformats.org/officeDocument/2006/relationships/hyperlink" Target="https://ref.ly/Esth2:18" TargetMode="External"/><Relationship Id="rId1630" Type="http://schemas.openxmlformats.org/officeDocument/2006/relationships/hyperlink" Target="https://ref.ly/Esth5:4-Esth5:8" TargetMode="External"/><Relationship Id="rId1631" Type="http://schemas.openxmlformats.org/officeDocument/2006/relationships/hyperlink" Target="https://ref.ly/Prov9:2-Prov9:5" TargetMode="External"/><Relationship Id="rId1632" Type="http://schemas.openxmlformats.org/officeDocument/2006/relationships/hyperlink" Target="https://ref.ly/Matt22:1-Matt22:14" TargetMode="External"/><Relationship Id="rId1633" Type="http://schemas.openxmlformats.org/officeDocument/2006/relationships/hyperlink" Target="https://ref.ly/Luke14:15-Luke14:24" TargetMode="External"/><Relationship Id="rId1634" Type="http://schemas.openxmlformats.org/officeDocument/2006/relationships/hyperlink" Target="https://ref.ly/Amos6:4-Amos6:6" TargetMode="External"/><Relationship Id="rId1635" Type="http://schemas.openxmlformats.org/officeDocument/2006/relationships/hyperlink" Target="https://ref.ly/Esth1:6" TargetMode="External"/><Relationship Id="rId1636" Type="http://schemas.openxmlformats.org/officeDocument/2006/relationships/hyperlink" Target="https://ref.ly/Matt9:10" TargetMode="External"/><Relationship Id="rId1637" Type="http://schemas.openxmlformats.org/officeDocument/2006/relationships/hyperlink" Target="https://ref.ly/Luke7:49" TargetMode="External"/><Relationship Id="rId1638" Type="http://schemas.openxmlformats.org/officeDocument/2006/relationships/hyperlink" Target="https://ref.ly/Luke14:10,Luke14:15" TargetMode="External"/><Relationship Id="rId1639" Type="http://schemas.openxmlformats.org/officeDocument/2006/relationships/hyperlink" Target="https://ref.ly/Isa24:23" TargetMode="External"/><Relationship Id="rId1640" Type="http://schemas.openxmlformats.org/officeDocument/2006/relationships/hyperlink" Target="https://ref.ly/Isa25:6-Isa25:8" TargetMode="External"/><Relationship Id="rId1641" Type="http://schemas.openxmlformats.org/officeDocument/2006/relationships/hyperlink" Target="https://ref.ly/Luke13:29" TargetMode="External"/><Relationship Id="rId1642" Type="http://schemas.openxmlformats.org/officeDocument/2006/relationships/hyperlink" Target="https://ref.ly/Isa25:7" TargetMode="External"/><Relationship Id="rId1643" Type="http://schemas.openxmlformats.org/officeDocument/2006/relationships/hyperlink" Target="https://ref.ly/Rev21:4" TargetMode="External"/><Relationship Id="rId1644" Type="http://schemas.openxmlformats.org/officeDocument/2006/relationships/hyperlink" Target="https://ref.ly/Isa25:6" TargetMode="External"/><Relationship Id="rId1645" Type="http://schemas.openxmlformats.org/officeDocument/2006/relationships/hyperlink" Target="https://ref.ly/Luke22:14-Luke22:20" TargetMode="External"/><Relationship Id="rId1646" Type="http://schemas.openxmlformats.org/officeDocument/2006/relationships/hyperlink" Target="https://ref.ly/Rev19:7-Rev19:9" TargetMode="External"/><Relationship Id="rId1647" Type="http://schemas.openxmlformats.org/officeDocument/2006/relationships/hyperlink" Target="https://ref.ly/Matt3:11" TargetMode="External"/><Relationship Id="rId1648" Type="http://schemas.openxmlformats.org/officeDocument/2006/relationships/hyperlink" Target="https://ref.ly/Luke3:16" TargetMode="External"/><Relationship Id="rId1649" Type="http://schemas.openxmlformats.org/officeDocument/2006/relationships/hyperlink" Target="https://ref.ly/Mal3:2-Mal3:3" TargetMode="External"/><Relationship Id="rId1650" Type="http://schemas.openxmlformats.org/officeDocument/2006/relationships/hyperlink" Target="https://ref.ly/Mal4:1" TargetMode="External"/><Relationship Id="rId1651" Type="http://schemas.openxmlformats.org/officeDocument/2006/relationships/hyperlink" Target="https://ref.ly/Matt3:10" TargetMode="External"/><Relationship Id="rId1652" Type="http://schemas.openxmlformats.org/officeDocument/2006/relationships/hyperlink" Target="https://ref.ly/Isa30:27-Isa30:28" TargetMode="External"/><Relationship Id="rId1653" Type="http://schemas.openxmlformats.org/officeDocument/2006/relationships/hyperlink" Target="https://ref.ly/2Esd13:10-2Esd13:11" TargetMode="External"/><Relationship Id="rId1654" Type="http://schemas.openxmlformats.org/officeDocument/2006/relationships/hyperlink" Target="https://ref.ly/Mark9:49" TargetMode="External"/><Relationship Id="rId1655" Type="http://schemas.openxmlformats.org/officeDocument/2006/relationships/hyperlink" Target="https://ref.ly/Luke12:49-Luke12:50" TargetMode="External"/><Relationship Id="rId1656" Type="http://schemas.openxmlformats.org/officeDocument/2006/relationships/hyperlink" Target="https://ref.ly/Rom6:3" TargetMode="External"/><Relationship Id="rId1657" Type="http://schemas.openxmlformats.org/officeDocument/2006/relationships/hyperlink" Target="https://ref.ly/Rom6:5" TargetMode="External"/><Relationship Id="rId1658" Type="http://schemas.openxmlformats.org/officeDocument/2006/relationships/hyperlink" Target="https://ref.ly/Rom8:17-Rom8:23" TargetMode="External"/><Relationship Id="rId1659" Type="http://schemas.openxmlformats.org/officeDocument/2006/relationships/hyperlink" Target="https://ref.ly/Phil3:10-Phil3:11" TargetMode="External"/><Relationship Id="rId1660" Type="http://schemas.openxmlformats.org/officeDocument/2006/relationships/hyperlink" Target="https://ref.ly/1Cor15:29" TargetMode="External"/><Relationship Id="rId1661" Type="http://schemas.openxmlformats.org/officeDocument/2006/relationships/hyperlink" Target="https://ref.ly/Mark10:38" TargetMode="External"/><Relationship Id="rId1662" Type="http://schemas.openxmlformats.org/officeDocument/2006/relationships/hyperlink" Target="https://ref.ly/Luke12:50" TargetMode="External"/><Relationship Id="rId1663" Type="http://schemas.openxmlformats.org/officeDocument/2006/relationships/hyperlink" Target="https://ref.ly/1Cor1:14-1Cor1:17" TargetMode="External"/><Relationship Id="rId1664" Type="http://schemas.openxmlformats.org/officeDocument/2006/relationships/hyperlink" Target="https://ref.ly/1Cor10:1-1Cor10:13" TargetMode="External"/><Relationship Id="rId1665" Type="http://schemas.openxmlformats.org/officeDocument/2006/relationships/hyperlink" Target="https://ref.ly/1Cor15:29-1Cor15:34" TargetMode="External"/><Relationship Id="rId1666" Type="http://schemas.openxmlformats.org/officeDocument/2006/relationships/hyperlink" Target="https://ref.ly/Matt27:15-Matt27:26" TargetMode="External"/><Relationship Id="rId1667" Type="http://schemas.openxmlformats.org/officeDocument/2006/relationships/hyperlink" Target="https://ref.ly/Mark15:6-Mark15:15" TargetMode="External"/><Relationship Id="rId1668" Type="http://schemas.openxmlformats.org/officeDocument/2006/relationships/hyperlink" Target="https://ref.ly/Luke23:18-Luke23:25" TargetMode="External"/><Relationship Id="rId1669" Type="http://schemas.openxmlformats.org/officeDocument/2006/relationships/hyperlink" Target="https://ref.ly/John18:39-John18:40" TargetMode="External"/><Relationship Id="rId1670" Type="http://schemas.openxmlformats.org/officeDocument/2006/relationships/hyperlink" Target="https://ref.ly/Acts3:14" TargetMode="External"/><Relationship Id="rId1671" Type="http://schemas.openxmlformats.org/officeDocument/2006/relationships/hyperlink" Target="https://ref.ly/Mark15:7" TargetMode="External"/><Relationship Id="rId1672" Type="http://schemas.openxmlformats.org/officeDocument/2006/relationships/hyperlink" Target="https://ref.ly/Luke23:19" TargetMode="External"/><Relationship Id="rId1673" Type="http://schemas.openxmlformats.org/officeDocument/2006/relationships/hyperlink" Target="https://ref.ly/John18:40" TargetMode="External"/><Relationship Id="rId1674" Type="http://schemas.openxmlformats.org/officeDocument/2006/relationships/hyperlink" Target="https://ref.ly/Matt27:16" TargetMode="External"/><Relationship Id="rId1675" Type="http://schemas.openxmlformats.org/officeDocument/2006/relationships/hyperlink" Target="https://ref.ly/John18:39" TargetMode="External"/><Relationship Id="rId1676" Type="http://schemas.openxmlformats.org/officeDocument/2006/relationships/hyperlink" Target="https://ref.ly/Matt27:21-Matt27:22" TargetMode="External"/><Relationship Id="rId1677" Type="http://schemas.openxmlformats.org/officeDocument/2006/relationships/hyperlink" Target="https://ref.ly/Job32:2,Job32:6" TargetMode="External"/><Relationship Id="rId1678" Type="http://schemas.openxmlformats.org/officeDocument/2006/relationships/hyperlink" Target="https://ref.ly/Jer25:23" TargetMode="External"/><Relationship Id="rId1679" Type="http://schemas.openxmlformats.org/officeDocument/2006/relationships/hyperlink" Target="https://ref.ly/1Cor14:11" TargetMode="External"/><Relationship Id="rId1680" Type="http://schemas.openxmlformats.org/officeDocument/2006/relationships/hyperlink" Target="https://ref.ly/Acts28:2-Acts28:4" TargetMode="External"/><Relationship Id="rId1681" Type="http://schemas.openxmlformats.org/officeDocument/2006/relationships/hyperlink" Target="https://ref.ly/Rom1:14" TargetMode="External"/><Relationship Id="rId1682" Type="http://schemas.openxmlformats.org/officeDocument/2006/relationships/hyperlink" Target="https://ref.ly/Col3:11" TargetMode="External"/><Relationship Id="rId1683" Type="http://schemas.openxmlformats.org/officeDocument/2006/relationships/hyperlink" Target="https://ref.ly/Gen16:14" TargetMode="External"/><Relationship Id="rId1684" Type="http://schemas.openxmlformats.org/officeDocument/2006/relationships/hyperlink" Target="https://ref.ly/Acts13:6" TargetMode="External"/><Relationship Id="rId1685" Type="http://schemas.openxmlformats.org/officeDocument/2006/relationships/hyperlink" Target="https://ref.ly/Acts8:9-Acts8:11" TargetMode="External"/><Relationship Id="rId1686" Type="http://schemas.openxmlformats.org/officeDocument/2006/relationships/hyperlink" Target="https://ref.ly/Acts13:8" TargetMode="External"/><Relationship Id="rId1687" Type="http://schemas.openxmlformats.org/officeDocument/2006/relationships/hyperlink" Target="https://ref.ly/Acts4:36-Acts4:37" TargetMode="External"/><Relationship Id="rId1688" Type="http://schemas.openxmlformats.org/officeDocument/2006/relationships/hyperlink" Target="https://ref.ly/Acts8:1-Acts8:8" TargetMode="External"/><Relationship Id="rId1689" Type="http://schemas.openxmlformats.org/officeDocument/2006/relationships/hyperlink" Target="https://ref.ly/Acts11:19-Acts11:22" TargetMode="External"/><Relationship Id="rId1690" Type="http://schemas.openxmlformats.org/officeDocument/2006/relationships/hyperlink" Target="https://ref.ly/Acts11:19-Acts11:26" TargetMode="External"/><Relationship Id="rId1691" Type="http://schemas.openxmlformats.org/officeDocument/2006/relationships/hyperlink" Target="https://ref.ly/Acts11:24" TargetMode="External"/><Relationship Id="rId1692" Type="http://schemas.openxmlformats.org/officeDocument/2006/relationships/hyperlink" Target="https://ref.ly/Acts13:2-Acts13:3" TargetMode="External"/><Relationship Id="rId1693" Type="http://schemas.openxmlformats.org/officeDocument/2006/relationships/hyperlink" Target="https://ref.ly/Acts14:8-Acts14:12" TargetMode="External"/><Relationship Id="rId1694" Type="http://schemas.openxmlformats.org/officeDocument/2006/relationships/hyperlink" Target="https://ref.ly/Acts15:36-Acts15:41" TargetMode="External"/><Relationship Id="rId1695" Type="http://schemas.openxmlformats.org/officeDocument/2006/relationships/hyperlink" Target="https://ref.ly/Col4:10" TargetMode="External"/><Relationship Id="rId1696" Type="http://schemas.openxmlformats.org/officeDocument/2006/relationships/hyperlink" Target="https://ref.ly/Acts13:13" TargetMode="External"/><Relationship Id="rId1697" Type="http://schemas.openxmlformats.org/officeDocument/2006/relationships/hyperlink" Target="https://ref.ly/Acts1:23" TargetMode="External"/><Relationship Id="rId1698" Type="http://schemas.openxmlformats.org/officeDocument/2006/relationships/hyperlink" Target="https://ref.ly/Acts15:22" TargetMode="External"/><Relationship Id="rId1699" Type="http://schemas.openxmlformats.org/officeDocument/2006/relationships/hyperlink" Target="https://ref.ly/Matt10:2-Matt10:4" TargetMode="External"/><Relationship Id="rId1700" Type="http://schemas.openxmlformats.org/officeDocument/2006/relationships/hyperlink" Target="https://ref.ly/Mark3:16-Mark3:19" TargetMode="External"/><Relationship Id="rId1701" Type="http://schemas.openxmlformats.org/officeDocument/2006/relationships/hyperlink" Target="https://ref.ly/Luke6:14-Luke6:16" TargetMode="External"/><Relationship Id="rId1702" Type="http://schemas.openxmlformats.org/officeDocument/2006/relationships/hyperlink" Target="https://ref.ly/John1:45-John1:50" TargetMode="External"/><Relationship Id="rId1703" Type="http://schemas.openxmlformats.org/officeDocument/2006/relationships/hyperlink" Target="https://ref.ly/John21:2" TargetMode="External"/><Relationship Id="rId1704" Type="http://schemas.openxmlformats.org/officeDocument/2006/relationships/hyperlink" Target="https://ref.ly/Ezek47:16,Ezek47:18" TargetMode="External"/><Relationship Id="rId1705" Type="http://schemas.openxmlformats.org/officeDocument/2006/relationships/hyperlink" Target="https://ref.ly/Deut32:14" TargetMode="External"/><Relationship Id="rId1706" Type="http://schemas.openxmlformats.org/officeDocument/2006/relationships/hyperlink" Target="https://ref.ly/Ezek39:18" TargetMode="External"/><Relationship Id="rId1707" Type="http://schemas.openxmlformats.org/officeDocument/2006/relationships/hyperlink" Target="https://ref.ly/Deut29:7" TargetMode="External"/><Relationship Id="rId1708" Type="http://schemas.openxmlformats.org/officeDocument/2006/relationships/hyperlink" Target="https://ref.ly/Num21:33-Num21:35" TargetMode="External"/><Relationship Id="rId1709" Type="http://schemas.openxmlformats.org/officeDocument/2006/relationships/hyperlink" Target="https://ref.ly/Deut3:4-Deut3:5" TargetMode="External"/><Relationship Id="rId1710" Type="http://schemas.openxmlformats.org/officeDocument/2006/relationships/hyperlink" Target="https://ref.ly/Josh13:29-Josh13:30" TargetMode="External"/><Relationship Id="rId1711" Type="http://schemas.openxmlformats.org/officeDocument/2006/relationships/hyperlink" Target="https://ref.ly/2Kgs10:33" TargetMode="External"/><Relationship Id="rId1712" Type="http://schemas.openxmlformats.org/officeDocument/2006/relationships/hyperlink" Target="https://ref.ly/2Kgs15:29" TargetMode="External"/><Relationship Id="rId1713" Type="http://schemas.openxmlformats.org/officeDocument/2006/relationships/hyperlink" Target="https://ref.ly/Gen26:34" TargetMode="External"/><Relationship Id="rId1714" Type="http://schemas.openxmlformats.org/officeDocument/2006/relationships/hyperlink" Target="https://ref.ly/Gen36:2" TargetMode="External"/><Relationship Id="rId1715" Type="http://schemas.openxmlformats.org/officeDocument/2006/relationships/hyperlink" Target="https://ref.ly/Gen36:3" TargetMode="External"/><Relationship Id="rId1716" Type="http://schemas.openxmlformats.org/officeDocument/2006/relationships/hyperlink" Target="https://ref.ly/Gen36:4,Gen36:10" TargetMode="External"/><Relationship Id="rId1717" Type="http://schemas.openxmlformats.org/officeDocument/2006/relationships/hyperlink" Target="https://ref.ly/Gen28:9" TargetMode="External"/><Relationship Id="rId1718" Type="http://schemas.openxmlformats.org/officeDocument/2006/relationships/hyperlink" Target="https://ref.ly/Gen36:6-Gen36:8" TargetMode="External"/><Relationship Id="rId1719" Type="http://schemas.openxmlformats.org/officeDocument/2006/relationships/hyperlink" Target="https://ref.ly/Gen36:2-Gen36:4" TargetMode="External"/><Relationship Id="rId1720" Type="http://schemas.openxmlformats.org/officeDocument/2006/relationships/hyperlink" Target="https://ref.ly/Gen36:3-Gen36:4" TargetMode="External"/><Relationship Id="rId1721" Type="http://schemas.openxmlformats.org/officeDocument/2006/relationships/hyperlink" Target="https://ref.ly/1Kgs4:15" TargetMode="External"/><Relationship Id="rId1722" Type="http://schemas.openxmlformats.org/officeDocument/2006/relationships/hyperlink" Target="https://ref.ly/Gen2:12" TargetMode="External"/><Relationship Id="rId1723" Type="http://schemas.openxmlformats.org/officeDocument/2006/relationships/hyperlink" Target="https://ref.ly/Num11:7" TargetMode="External"/><Relationship Id="rId1724" Type="http://schemas.openxmlformats.org/officeDocument/2006/relationships/hyperlink" Target="https://ref.ly/Acts27:8" TargetMode="External"/><Relationship Id="rId1725" Type="http://schemas.openxmlformats.org/officeDocument/2006/relationships/hyperlink" Target="https://ref.ly/Hos1:1" TargetMode="External"/><Relationship Id="rId1726" Type="http://schemas.openxmlformats.org/officeDocument/2006/relationships/hyperlink" Target="https://ref.ly/Gen26:23" TargetMode="External"/><Relationship Id="rId1727" Type="http://schemas.openxmlformats.org/officeDocument/2006/relationships/hyperlink" Target="https://ref.ly/Gen46:1" TargetMode="External"/><Relationship Id="rId1728" Type="http://schemas.openxmlformats.org/officeDocument/2006/relationships/hyperlink" Target="https://ref.ly/1Sam8:2" TargetMode="External"/><Relationship Id="rId1729" Type="http://schemas.openxmlformats.org/officeDocument/2006/relationships/hyperlink" Target="https://ref.ly/Exod27:1" TargetMode="External"/><Relationship Id="rId1730" Type="http://schemas.openxmlformats.org/officeDocument/2006/relationships/hyperlink" Target="https://ref.ly/2Chr6:13" TargetMode="External"/><Relationship Id="rId1731" Type="http://schemas.openxmlformats.org/officeDocument/2006/relationships/hyperlink" Target="https://ref.ly/Num26:35" TargetMode="External"/><Relationship Id="rId1732" Type="http://schemas.openxmlformats.org/officeDocument/2006/relationships/hyperlink" Target="https://ref.ly/1Chr7:20" TargetMode="External"/><Relationship Id="rId1733" Type="http://schemas.openxmlformats.org/officeDocument/2006/relationships/hyperlink" Target="https://ref.ly/Gen14:2" TargetMode="External"/><Relationship Id="rId1734" Type="http://schemas.openxmlformats.org/officeDocument/2006/relationships/hyperlink" Target="https://ref.ly/Gen36:31-Gen36:33" TargetMode="External"/><Relationship Id="rId1735" Type="http://schemas.openxmlformats.org/officeDocument/2006/relationships/hyperlink" Target="https://ref.ly/Num22:5" TargetMode="External"/><Relationship Id="rId1736" Type="http://schemas.openxmlformats.org/officeDocument/2006/relationships/hyperlink" Target="https://ref.ly/1Chr5:8-1Chr5:9" TargetMode="External"/><Relationship Id="rId1737" Type="http://schemas.openxmlformats.org/officeDocument/2006/relationships/hyperlink" Target="https://ref.ly/Acts3:2,Acts3:10" TargetMode="External"/><Relationship Id="rId1738" Type="http://schemas.openxmlformats.org/officeDocument/2006/relationships/hyperlink" Target="https://ref.ly/Matt27:19" TargetMode="External"/><Relationship Id="rId1739" Type="http://schemas.openxmlformats.org/officeDocument/2006/relationships/hyperlink" Target="https://ref.ly/John19:13" TargetMode="External"/><Relationship Id="rId1740" Type="http://schemas.openxmlformats.org/officeDocument/2006/relationships/hyperlink" Target="https://ref.ly/Acts12:21" TargetMode="External"/><Relationship Id="rId1741" Type="http://schemas.openxmlformats.org/officeDocument/2006/relationships/hyperlink" Target="https://ref.ly/Acts25:6,Acts25:10,Acts25:17" TargetMode="External"/><Relationship Id="rId1742" Type="http://schemas.openxmlformats.org/officeDocument/2006/relationships/hyperlink" Target="https://ref.ly/Rom14:10" TargetMode="External"/><Relationship Id="rId1743" Type="http://schemas.openxmlformats.org/officeDocument/2006/relationships/hyperlink" Target="https://ref.ly/2Cor5:10" TargetMode="External"/><Relationship Id="rId1744" Type="http://schemas.openxmlformats.org/officeDocument/2006/relationships/hyperlink" Target="https://ref.ly/1Cor3:13-1Cor3:15" TargetMode="External"/><Relationship Id="rId1745" Type="http://schemas.openxmlformats.org/officeDocument/2006/relationships/hyperlink" Target="https://ref.ly/Gen12:1-Gen12:4" TargetMode="External"/><Relationship Id="rId1746" Type="http://schemas.openxmlformats.org/officeDocument/2006/relationships/hyperlink" Target="https://ref.ly/Gen13:2-Gen13:12" TargetMode="External"/><Relationship Id="rId1747" Type="http://schemas.openxmlformats.org/officeDocument/2006/relationships/hyperlink" Target="https://ref.ly/Gen19:15-Gen19:23" TargetMode="External"/><Relationship Id="rId1748" Type="http://schemas.openxmlformats.org/officeDocument/2006/relationships/hyperlink" Target="https://ref.ly/Gen27:27-Gen27:29" TargetMode="External"/><Relationship Id="rId1749" Type="http://schemas.openxmlformats.org/officeDocument/2006/relationships/hyperlink" Target="https://ref.ly/Num6:22-Num6:27" TargetMode="External"/><Relationship Id="rId1750" Type="http://schemas.openxmlformats.org/officeDocument/2006/relationships/hyperlink" Target="https://ref.ly/Luke24:50" TargetMode="External"/><Relationship Id="rId1751" Type="http://schemas.openxmlformats.org/officeDocument/2006/relationships/hyperlink" Target="https://ref.ly/2Cor13:11,2Cor13:14" TargetMode="External"/><Relationship Id="rId1752" Type="http://schemas.openxmlformats.org/officeDocument/2006/relationships/hyperlink" Target="https://ref.ly/Phil4:7" TargetMode="External"/><Relationship Id="rId1753" Type="http://schemas.openxmlformats.org/officeDocument/2006/relationships/hyperlink" Target="https://ref.ly/2Thess2:16-2Thess2:17" TargetMode="External"/><Relationship Id="rId1754" Type="http://schemas.openxmlformats.org/officeDocument/2006/relationships/hyperlink" Target="https://ref.ly/Heb13:20-Heb13:21" TargetMode="External"/><Relationship Id="rId1755" Type="http://schemas.openxmlformats.org/officeDocument/2006/relationships/hyperlink" Target="https://ref.ly/Matt14:19" TargetMode="External"/><Relationship Id="rId1756" Type="http://schemas.openxmlformats.org/officeDocument/2006/relationships/hyperlink" Target="https://ref.ly/Mark8:7" TargetMode="External"/><Relationship Id="rId1757" Type="http://schemas.openxmlformats.org/officeDocument/2006/relationships/hyperlink" Target="https://ref.ly/Luke24:30" TargetMode="External"/><Relationship Id="rId1758" Type="http://schemas.openxmlformats.org/officeDocument/2006/relationships/hyperlink" Target="https://ref.ly/Gen35:18" TargetMode="External"/><Relationship Id="rId1759" Type="http://schemas.openxmlformats.org/officeDocument/2006/relationships/hyperlink" Target="https://ref.ly/Gen42:1-Gen45:28" TargetMode="External"/><Relationship Id="rId1760" Type="http://schemas.openxmlformats.org/officeDocument/2006/relationships/hyperlink" Target="https://ref.ly/Gen49:27" TargetMode="External"/><Relationship Id="rId1761" Type="http://schemas.openxmlformats.org/officeDocument/2006/relationships/hyperlink" Target="https://ref.ly/1Chr7:10" TargetMode="External"/><Relationship Id="rId1762" Type="http://schemas.openxmlformats.org/officeDocument/2006/relationships/hyperlink" Target="https://ref.ly/Ezra10:32" TargetMode="External"/><Relationship Id="rId1763" Type="http://schemas.openxmlformats.org/officeDocument/2006/relationships/hyperlink" Target="https://ref.ly/Neh3:23" TargetMode="External"/><Relationship Id="rId1764" Type="http://schemas.openxmlformats.org/officeDocument/2006/relationships/hyperlink" Target="https://ref.ly/Neh12:34" TargetMode="External"/><Relationship Id="rId1765" Type="http://schemas.openxmlformats.org/officeDocument/2006/relationships/hyperlink" Target="https://ref.ly/Num1:36" TargetMode="External"/><Relationship Id="rId1766" Type="http://schemas.openxmlformats.org/officeDocument/2006/relationships/hyperlink" Target="https://ref.ly/Judg20:13-Judg20:16" TargetMode="External"/><Relationship Id="rId1767" Type="http://schemas.openxmlformats.org/officeDocument/2006/relationships/hyperlink" Target="https://ref.ly/1Chr12:1-1Chr12:2" TargetMode="External"/><Relationship Id="rId1768" Type="http://schemas.openxmlformats.org/officeDocument/2006/relationships/hyperlink" Target="https://ref.ly/Josh18:11-Josh18:20" TargetMode="External"/><Relationship Id="rId1769" Type="http://schemas.openxmlformats.org/officeDocument/2006/relationships/hyperlink" Target="https://ref.ly/Josh18:21-Josh18:28" TargetMode="External"/><Relationship Id="rId1770" Type="http://schemas.openxmlformats.org/officeDocument/2006/relationships/hyperlink" Target="https://ref.ly/Judg3:15" TargetMode="External"/><Relationship Id="rId1771" Type="http://schemas.openxmlformats.org/officeDocument/2006/relationships/hyperlink" Target="https://ref.ly/1Chr27:21" TargetMode="External"/><Relationship Id="rId1772" Type="http://schemas.openxmlformats.org/officeDocument/2006/relationships/hyperlink" Target="https://ref.ly/2Sam4:2" TargetMode="External"/><Relationship Id="rId1773" Type="http://schemas.openxmlformats.org/officeDocument/2006/relationships/hyperlink" Target="https://ref.ly/2Sam23:29" TargetMode="External"/><Relationship Id="rId1774" Type="http://schemas.openxmlformats.org/officeDocument/2006/relationships/hyperlink" Target="https://ref.ly/1Chr8:40" TargetMode="External"/><Relationship Id="rId1775" Type="http://schemas.openxmlformats.org/officeDocument/2006/relationships/hyperlink" Target="https://ref.ly/1Kgs4:18" TargetMode="External"/><Relationship Id="rId1776" Type="http://schemas.openxmlformats.org/officeDocument/2006/relationships/hyperlink" Target="https://ref.ly/Num13:1-Num13:2,Num13:9,Num13:31-Num13:33" TargetMode="External"/><Relationship Id="rId1777" Type="http://schemas.openxmlformats.org/officeDocument/2006/relationships/hyperlink" Target="https://ref.ly/Num13:1-Num13:2" TargetMode="External"/><Relationship Id="rId1778" Type="http://schemas.openxmlformats.org/officeDocument/2006/relationships/hyperlink" Target="https://ref.ly/Judg1:21" TargetMode="External"/><Relationship Id="rId1779" Type="http://schemas.openxmlformats.org/officeDocument/2006/relationships/hyperlink" Target="https://ref.ly/Judg19:1-Judg20:48" TargetMode="External"/><Relationship Id="rId1780" Type="http://schemas.openxmlformats.org/officeDocument/2006/relationships/hyperlink" Target="https://ref.ly/Judg21:1-Judg21:25" TargetMode="External"/><Relationship Id="rId1781" Type="http://schemas.openxmlformats.org/officeDocument/2006/relationships/hyperlink" Target="https://ref.ly/Num1:11" TargetMode="External"/><Relationship Id="rId1782" Type="http://schemas.openxmlformats.org/officeDocument/2006/relationships/hyperlink" Target="https://ref.ly/Num2:22" TargetMode="External"/><Relationship Id="rId1783" Type="http://schemas.openxmlformats.org/officeDocument/2006/relationships/hyperlink" Target="https://ref.ly/Num7:60" TargetMode="External"/><Relationship Id="rId1784" Type="http://schemas.openxmlformats.org/officeDocument/2006/relationships/hyperlink" Target="https://ref.ly/2Sam2:8-2Sam2:31" TargetMode="External"/><Relationship Id="rId1785" Type="http://schemas.openxmlformats.org/officeDocument/2006/relationships/hyperlink" Target="https://ref.ly/1Kgs12:21-1Kgs12:24" TargetMode="External"/><Relationship Id="rId1786" Type="http://schemas.openxmlformats.org/officeDocument/2006/relationships/hyperlink" Target="https://ref.ly/Ps7:1-Ps7:17" TargetMode="External"/><Relationship Id="rId1787" Type="http://schemas.openxmlformats.org/officeDocument/2006/relationships/hyperlink" Target="https://ref.ly/Jer1:1" TargetMode="External"/><Relationship Id="rId1788" Type="http://schemas.openxmlformats.org/officeDocument/2006/relationships/hyperlink" Target="https://ref.ly/Jer32:8" TargetMode="External"/><Relationship Id="rId1789" Type="http://schemas.openxmlformats.org/officeDocument/2006/relationships/hyperlink" Target="https://ref.ly/Esth2:5" TargetMode="External"/><Relationship Id="rId1790" Type="http://schemas.openxmlformats.org/officeDocument/2006/relationships/hyperlink" Target="https://ref.ly/Rom11:1" TargetMode="External"/><Relationship Id="rId1791" Type="http://schemas.openxmlformats.org/officeDocument/2006/relationships/hyperlink" Target="https://ref.ly/Phil3:5" TargetMode="External"/><Relationship Id="rId1792" Type="http://schemas.openxmlformats.org/officeDocument/2006/relationships/hyperlink" Target="https://ref.ly/Acts13:21" TargetMode="External"/><Relationship Id="rId1793" Type="http://schemas.openxmlformats.org/officeDocument/2006/relationships/hyperlink" Target="https://ref.ly/Rev7:8" TargetMode="External"/><Relationship Id="rId1794" Type="http://schemas.openxmlformats.org/officeDocument/2006/relationships/hyperlink" Target="https://ref.ly/Gen36:32" TargetMode="External"/><Relationship Id="rId1795" Type="http://schemas.openxmlformats.org/officeDocument/2006/relationships/hyperlink" Target="https://ref.ly/2Pet2:15" TargetMode="External"/><Relationship Id="rId1796" Type="http://schemas.openxmlformats.org/officeDocument/2006/relationships/hyperlink" Target="https://ref.ly/1Macc9:4" TargetMode="External"/><Relationship Id="rId1797" Type="http://schemas.openxmlformats.org/officeDocument/2006/relationships/hyperlink" Target="https://ref.ly/Acts17:10-Acts17:15" TargetMode="External"/><Relationship Id="rId1798" Type="http://schemas.openxmlformats.org/officeDocument/2006/relationships/hyperlink" Target="https://ref.ly/Acts26:30" TargetMode="External"/><Relationship Id="rId1799" Type="http://schemas.openxmlformats.org/officeDocument/2006/relationships/hyperlink" Target="https://ref.ly/Amos3:12" TargetMode="External"/><Relationship Id="rId1800" Type="http://schemas.openxmlformats.org/officeDocument/2006/relationships/hyperlink" Target="https://ref.ly/Ezek34:8" TargetMode="External"/><Relationship Id="rId1801" Type="http://schemas.openxmlformats.org/officeDocument/2006/relationships/hyperlink" Target="https://ref.ly/Matt18:12" TargetMode="External"/><Relationship Id="rId1802" Type="http://schemas.openxmlformats.org/officeDocument/2006/relationships/hyperlink" Target="https://ref.ly/John10:2-John10:4" TargetMode="External"/><Relationship Id="rId1803" Type="http://schemas.openxmlformats.org/officeDocument/2006/relationships/hyperlink" Target="https://ref.ly/Num27:17" TargetMode="External"/><Relationship Id="rId1804" Type="http://schemas.openxmlformats.org/officeDocument/2006/relationships/hyperlink" Target="https://ref.ly/1Kgs22:17" TargetMode="External"/><Relationship Id="rId1805" Type="http://schemas.openxmlformats.org/officeDocument/2006/relationships/hyperlink" Target="https://ref.ly/Jer10:21" TargetMode="External"/><Relationship Id="rId1806" Type="http://schemas.openxmlformats.org/officeDocument/2006/relationships/hyperlink" Target="https://ref.ly/Jer12:10" TargetMode="External"/><Relationship Id="rId1807" Type="http://schemas.openxmlformats.org/officeDocument/2006/relationships/hyperlink" Target="https://ref.ly/Jer22:22" TargetMode="External"/><Relationship Id="rId1808" Type="http://schemas.openxmlformats.org/officeDocument/2006/relationships/hyperlink" Target="https://ref.ly/Jer23:1-Jer23:2" TargetMode="External"/><Relationship Id="rId1809" Type="http://schemas.openxmlformats.org/officeDocument/2006/relationships/hyperlink" Target="https://ref.ly/Gen49:24" TargetMode="External"/><Relationship Id="rId1810" Type="http://schemas.openxmlformats.org/officeDocument/2006/relationships/hyperlink" Target="https://ref.ly/Ps23:1" TargetMode="External"/><Relationship Id="rId1811" Type="http://schemas.openxmlformats.org/officeDocument/2006/relationships/hyperlink" Target="https://ref.ly/Ps80:1" TargetMode="External"/><Relationship Id="rId1812" Type="http://schemas.openxmlformats.org/officeDocument/2006/relationships/hyperlink" Target="https://ref.ly/Isa40:11" TargetMode="External"/><Relationship Id="rId1813" Type="http://schemas.openxmlformats.org/officeDocument/2006/relationships/hyperlink" Target="https://ref.ly/Jer23:3" TargetMode="External"/><Relationship Id="rId1814" Type="http://schemas.openxmlformats.org/officeDocument/2006/relationships/hyperlink" Target="https://ref.ly/Jer31:10" TargetMode="External"/><Relationship Id="rId1815" Type="http://schemas.openxmlformats.org/officeDocument/2006/relationships/hyperlink" Target="https://ref.ly/Ezek34:11-Ezek34:22" TargetMode="External"/><Relationship Id="rId1816" Type="http://schemas.openxmlformats.org/officeDocument/2006/relationships/hyperlink" Target="https://ref.ly/Jer3:15" TargetMode="External"/><Relationship Id="rId1817" Type="http://schemas.openxmlformats.org/officeDocument/2006/relationships/hyperlink" Target="https://ref.ly/Jer23:4" TargetMode="External"/><Relationship Id="rId1818" Type="http://schemas.openxmlformats.org/officeDocument/2006/relationships/hyperlink" Target="https://ref.ly/Ezek34:23-Ezek34:24" TargetMode="External"/><Relationship Id="rId1819" Type="http://schemas.openxmlformats.org/officeDocument/2006/relationships/hyperlink" Target="https://ref.ly/Heb13:20" TargetMode="External"/><Relationship Id="rId1820" Type="http://schemas.openxmlformats.org/officeDocument/2006/relationships/hyperlink" Target="https://ref.ly/Matt18:10-Matt18:14" TargetMode="External"/><Relationship Id="rId1821" Type="http://schemas.openxmlformats.org/officeDocument/2006/relationships/hyperlink" Target="https://ref.ly/Mark6:34" TargetMode="External"/><Relationship Id="rId1822" Type="http://schemas.openxmlformats.org/officeDocument/2006/relationships/hyperlink" Target="https://ref.ly/John10:1-John10:42" TargetMode="External"/><Relationship Id="rId1823" Type="http://schemas.openxmlformats.org/officeDocument/2006/relationships/hyperlink" Target="https://ref.ly/Matt10:16" TargetMode="External"/><Relationship Id="rId1824" Type="http://schemas.openxmlformats.org/officeDocument/2006/relationships/hyperlink" Target="https://ref.ly/Mark14:27" TargetMode="External"/><Relationship Id="rId1825" Type="http://schemas.openxmlformats.org/officeDocument/2006/relationships/hyperlink" Target="https://ref.ly/Matt25:32" TargetMode="External"/><Relationship Id="rId1826" Type="http://schemas.openxmlformats.org/officeDocument/2006/relationships/hyperlink" Target="https://ref.ly/Eph4:11" TargetMode="External"/><Relationship Id="rId1827" Type="http://schemas.openxmlformats.org/officeDocument/2006/relationships/hyperlink" Target="https://ref.ly/1Pet5:1-1Pet5:4" TargetMode="External"/><Relationship Id="rId1828" Type="http://schemas.openxmlformats.org/officeDocument/2006/relationships/hyperlink" Target="https://ref.ly/Gen13:7-Gen13:8" TargetMode="External"/><Relationship Id="rId1829" Type="http://schemas.openxmlformats.org/officeDocument/2006/relationships/hyperlink" Target="https://ref.ly/Gen26:20" TargetMode="External"/><Relationship Id="rId1830" Type="http://schemas.openxmlformats.org/officeDocument/2006/relationships/hyperlink" Target="https://ref.ly/1Sam21:7" TargetMode="External"/><Relationship Id="rId1831" Type="http://schemas.openxmlformats.org/officeDocument/2006/relationships/hyperlink" Target="https://ref.ly/John10:1-John10:16" TargetMode="External"/><Relationship Id="rId1832" Type="http://schemas.openxmlformats.org/officeDocument/2006/relationships/hyperlink" Target="https://ref.ly/Matt8:33" TargetMode="External"/><Relationship Id="rId1833" Type="http://schemas.openxmlformats.org/officeDocument/2006/relationships/hyperlink" Target="https://ref.ly/Mark5:14" TargetMode="External"/><Relationship Id="rId1834" Type="http://schemas.openxmlformats.org/officeDocument/2006/relationships/hyperlink" Target="https://ref.ly/Luke8:34" TargetMode="External"/><Relationship Id="rId1835" Type="http://schemas.openxmlformats.org/officeDocument/2006/relationships/hyperlink" Target="https://ref.ly/Num26:44" TargetMode="External"/><Relationship Id="rId1836" Type="http://schemas.openxmlformats.org/officeDocument/2006/relationships/hyperlink" Target="https://ref.ly/1Chr7:20-1Chr7:23" TargetMode="External"/><Relationship Id="rId1837" Type="http://schemas.openxmlformats.org/officeDocument/2006/relationships/hyperlink" Target="https://ref.ly/1Chr8:13" TargetMode="External"/><Relationship Id="rId1838" Type="http://schemas.openxmlformats.org/officeDocument/2006/relationships/hyperlink" Target="https://ref.ly/1Chr23:10-1Chr23:11" TargetMode="External"/><Relationship Id="rId1839" Type="http://schemas.openxmlformats.org/officeDocument/2006/relationships/hyperlink" Target="https://ref.ly/Ps36:6" TargetMode="External"/><Relationship Id="rId1840" Type="http://schemas.openxmlformats.org/officeDocument/2006/relationships/hyperlink" Target="https://ref.ly/Gen6:7" TargetMode="External"/><Relationship Id="rId1841" Type="http://schemas.openxmlformats.org/officeDocument/2006/relationships/hyperlink" Target="https://ref.ly/Deut4:17" TargetMode="External"/><Relationship Id="rId1842" Type="http://schemas.openxmlformats.org/officeDocument/2006/relationships/hyperlink" Target="https://ref.ly/Job12:7" TargetMode="External"/><Relationship Id="rId1843" Type="http://schemas.openxmlformats.org/officeDocument/2006/relationships/hyperlink" Target="https://ref.ly/Job35:11" TargetMode="External"/><Relationship Id="rId1844" Type="http://schemas.openxmlformats.org/officeDocument/2006/relationships/hyperlink" Target="https://ref.ly/Zeph1:3" TargetMode="External"/><Relationship Id="rId1845" Type="http://schemas.openxmlformats.org/officeDocument/2006/relationships/hyperlink" Target="https://ref.ly/Exod19:13" TargetMode="External"/><Relationship Id="rId1846" Type="http://schemas.openxmlformats.org/officeDocument/2006/relationships/hyperlink" Target="https://ref.ly/Exod22:10" TargetMode="External"/><Relationship Id="rId1847" Type="http://schemas.openxmlformats.org/officeDocument/2006/relationships/hyperlink" Target="https://ref.ly/Num3:13" TargetMode="External"/><Relationship Id="rId1848" Type="http://schemas.openxmlformats.org/officeDocument/2006/relationships/hyperlink" Target="https://ref.ly/Num31:47" TargetMode="External"/><Relationship Id="rId1849" Type="http://schemas.openxmlformats.org/officeDocument/2006/relationships/hyperlink" Target="https://ref.ly/Judg20:48" TargetMode="External"/><Relationship Id="rId1850" Type="http://schemas.openxmlformats.org/officeDocument/2006/relationships/hyperlink" Target="https://ref.ly/Prov12:10" TargetMode="External"/><Relationship Id="rId1851" Type="http://schemas.openxmlformats.org/officeDocument/2006/relationships/hyperlink" Target="https://ref.ly/Jer21:6" TargetMode="External"/><Relationship Id="rId1852" Type="http://schemas.openxmlformats.org/officeDocument/2006/relationships/hyperlink" Target="https://ref.ly/Zech8:10" TargetMode="External"/><Relationship Id="rId1853" Type="http://schemas.openxmlformats.org/officeDocument/2006/relationships/hyperlink" Target="https://ref.ly/Gen37:20" TargetMode="External"/><Relationship Id="rId1854" Type="http://schemas.openxmlformats.org/officeDocument/2006/relationships/hyperlink" Target="https://ref.ly/Exod23:11" TargetMode="External"/><Relationship Id="rId1855" Type="http://schemas.openxmlformats.org/officeDocument/2006/relationships/hyperlink" Target="https://ref.ly/Deut28:26" TargetMode="External"/><Relationship Id="rId1856" Type="http://schemas.openxmlformats.org/officeDocument/2006/relationships/hyperlink" Target="https://ref.ly/1Sam17:44" TargetMode="External"/><Relationship Id="rId1857" Type="http://schemas.openxmlformats.org/officeDocument/2006/relationships/hyperlink" Target="https://ref.ly/Ezek14:15" TargetMode="External"/><Relationship Id="rId1858" Type="http://schemas.openxmlformats.org/officeDocument/2006/relationships/hyperlink" Target="https://ref.ly/Dan7:1-Dan7:28" TargetMode="External"/><Relationship Id="rId1859" Type="http://schemas.openxmlformats.org/officeDocument/2006/relationships/hyperlink" Target="https://ref.ly/1John2:18,1John2:22" TargetMode="External"/><Relationship Id="rId1860" Type="http://schemas.openxmlformats.org/officeDocument/2006/relationships/hyperlink" Target="https://ref.ly/1John4:3" TargetMode="External"/><Relationship Id="rId1861" Type="http://schemas.openxmlformats.org/officeDocument/2006/relationships/hyperlink" Target="https://ref.ly/2John1:7" TargetMode="External"/><Relationship Id="rId1862" Type="http://schemas.openxmlformats.org/officeDocument/2006/relationships/hyperlink" Target="https://ref.ly/Matt21:17" TargetMode="External"/><Relationship Id="rId1863" Type="http://schemas.openxmlformats.org/officeDocument/2006/relationships/hyperlink" Target="https://ref.ly/Mark11:11" TargetMode="External"/><Relationship Id="rId1864" Type="http://schemas.openxmlformats.org/officeDocument/2006/relationships/hyperlink" Target="https://ref.ly/Matt26:6-Matt26:13" TargetMode="External"/><Relationship Id="rId1865" Type="http://schemas.openxmlformats.org/officeDocument/2006/relationships/hyperlink" Target="https://ref.ly/Mark14:3-Mark14:9" TargetMode="External"/><Relationship Id="rId1866" Type="http://schemas.openxmlformats.org/officeDocument/2006/relationships/hyperlink" Target="https://ref.ly/John11:1,John11:18" TargetMode="External"/><Relationship Id="rId1867" Type="http://schemas.openxmlformats.org/officeDocument/2006/relationships/hyperlink" Target="https://ref.ly/Mark11:1" TargetMode="External"/><Relationship Id="rId1868" Type="http://schemas.openxmlformats.org/officeDocument/2006/relationships/hyperlink" Target="https://ref.ly/Luke19:29" TargetMode="External"/><Relationship Id="rId1869" Type="http://schemas.openxmlformats.org/officeDocument/2006/relationships/hyperlink" Target="https://ref.ly/John1:28" TargetMode="External"/><Relationship Id="rId1870" Type="http://schemas.openxmlformats.org/officeDocument/2006/relationships/hyperlink" Target="https://ref.ly/Josh16:1-Josh16:2" TargetMode="External"/><Relationship Id="rId1871" Type="http://schemas.openxmlformats.org/officeDocument/2006/relationships/hyperlink" Target="https://ref.ly/Josh18:13" TargetMode="External"/><Relationship Id="rId1872" Type="http://schemas.openxmlformats.org/officeDocument/2006/relationships/hyperlink" Target="https://ref.ly/1Kgs16:34" TargetMode="External"/><Relationship Id="rId1873" Type="http://schemas.openxmlformats.org/officeDocument/2006/relationships/hyperlink" Target="https://ref.ly/Gen28:10-Gen28:22" TargetMode="External"/><Relationship Id="rId1874" Type="http://schemas.openxmlformats.org/officeDocument/2006/relationships/hyperlink" Target="https://ref.ly/Gen28:19" TargetMode="External"/><Relationship Id="rId1875" Type="http://schemas.openxmlformats.org/officeDocument/2006/relationships/hyperlink" Target="https://ref.ly/Judg1:26" TargetMode="External"/><Relationship Id="rId1876" Type="http://schemas.openxmlformats.org/officeDocument/2006/relationships/hyperlink" Target="https://ref.ly/Judg1:22-Judg1:26" TargetMode="External"/><Relationship Id="rId1877" Type="http://schemas.openxmlformats.org/officeDocument/2006/relationships/hyperlink" Target="https://ref.ly/Judg20:18-Judg20:28" TargetMode="External"/><Relationship Id="rId1878" Type="http://schemas.openxmlformats.org/officeDocument/2006/relationships/hyperlink" Target="https://ref.ly/Judg21:2-Judg21:4" TargetMode="External"/><Relationship Id="rId1879" Type="http://schemas.openxmlformats.org/officeDocument/2006/relationships/hyperlink" Target="https://ref.ly/1Sam12:1-1Sam14:52" TargetMode="External"/><Relationship Id="rId1880" Type="http://schemas.openxmlformats.org/officeDocument/2006/relationships/hyperlink" Target="https://ref.ly/1Kgs12:28-1Kgs12:33" TargetMode="External"/><Relationship Id="rId1881" Type="http://schemas.openxmlformats.org/officeDocument/2006/relationships/hyperlink" Target="https://ref.ly/1Kgs13:11" TargetMode="External"/><Relationship Id="rId1882" Type="http://schemas.openxmlformats.org/officeDocument/2006/relationships/hyperlink" Target="https://ref.ly/2Kgs2:2-2Kgs2:3" TargetMode="External"/><Relationship Id="rId1883" Type="http://schemas.openxmlformats.org/officeDocument/2006/relationships/hyperlink" Target="https://ref.ly/2Chr13:19" TargetMode="External"/><Relationship Id="rId1884" Type="http://schemas.openxmlformats.org/officeDocument/2006/relationships/hyperlink" Target="https://ref.ly/Amos7:10-Amos7:13" TargetMode="External"/><Relationship Id="rId1885" Type="http://schemas.openxmlformats.org/officeDocument/2006/relationships/hyperlink" Target="https://ref.ly/2Kgs17:28" TargetMode="External"/><Relationship Id="rId1886" Type="http://schemas.openxmlformats.org/officeDocument/2006/relationships/hyperlink" Target="https://ref.ly/2Kgs23:15-2Kgs23:20" TargetMode="External"/><Relationship Id="rId1887" Type="http://schemas.openxmlformats.org/officeDocument/2006/relationships/hyperlink" Target="https://ref.ly/Ezra2:28" TargetMode="External"/><Relationship Id="rId1888" Type="http://schemas.openxmlformats.org/officeDocument/2006/relationships/hyperlink" Target="https://ref.ly/1Sam30:27" TargetMode="External"/><Relationship Id="rId1889" Type="http://schemas.openxmlformats.org/officeDocument/2006/relationships/hyperlink" Target="https://ref.ly/Gen35:19" TargetMode="External"/><Relationship Id="rId1890" Type="http://schemas.openxmlformats.org/officeDocument/2006/relationships/hyperlink" Target="https://ref.ly/Mic5:2" TargetMode="External"/><Relationship Id="rId1891" Type="http://schemas.openxmlformats.org/officeDocument/2006/relationships/hyperlink" Target="https://ref.ly/Gen35:16,Gen35:19" TargetMode="External"/><Relationship Id="rId1892" Type="http://schemas.openxmlformats.org/officeDocument/2006/relationships/hyperlink" Target="https://ref.ly/Gen48:7" TargetMode="External"/><Relationship Id="rId1893" Type="http://schemas.openxmlformats.org/officeDocument/2006/relationships/hyperlink" Target="https://ref.ly/1Chr2:51" TargetMode="External"/><Relationship Id="rId1894" Type="http://schemas.openxmlformats.org/officeDocument/2006/relationships/hyperlink" Target="https://ref.ly/Judg17:7-Judg17:8" TargetMode="External"/><Relationship Id="rId1895" Type="http://schemas.openxmlformats.org/officeDocument/2006/relationships/hyperlink" Target="https://ref.ly/Ruth4:11,Ruth4:17" TargetMode="External"/><Relationship Id="rId1896" Type="http://schemas.openxmlformats.org/officeDocument/2006/relationships/hyperlink" Target="https://ref.ly/1Sam16:18" TargetMode="External"/><Relationship Id="rId1897" Type="http://schemas.openxmlformats.org/officeDocument/2006/relationships/hyperlink" Target="https://ref.ly/1Sam17:12" TargetMode="External"/><Relationship Id="rId1898" Type="http://schemas.openxmlformats.org/officeDocument/2006/relationships/hyperlink" Target="https://ref.ly/2Sam23:24" TargetMode="External"/><Relationship Id="rId1899" Type="http://schemas.openxmlformats.org/officeDocument/2006/relationships/hyperlink" Target="https://ref.ly/1Chr11:26" TargetMode="External"/><Relationship Id="rId1900" Type="http://schemas.openxmlformats.org/officeDocument/2006/relationships/hyperlink" Target="https://ref.ly/2Sam23:14-2Sam23:17" TargetMode="External"/><Relationship Id="rId1901" Type="http://schemas.openxmlformats.org/officeDocument/2006/relationships/hyperlink" Target="https://ref.ly/Jer41:17" TargetMode="External"/><Relationship Id="rId1902" Type="http://schemas.openxmlformats.org/officeDocument/2006/relationships/hyperlink" Target="https://ref.ly/Ezra2:21" TargetMode="External"/><Relationship Id="rId1903" Type="http://schemas.openxmlformats.org/officeDocument/2006/relationships/hyperlink" Target="https://ref.ly/Neh7:26" TargetMode="External"/><Relationship Id="rId1904" Type="http://schemas.openxmlformats.org/officeDocument/2006/relationships/hyperlink" Target="https://ref.ly/1Esd5:17" TargetMode="External"/><Relationship Id="rId1905" Type="http://schemas.openxmlformats.org/officeDocument/2006/relationships/hyperlink" Target="https://ref.ly/Matt2:1-Matt2:16" TargetMode="External"/><Relationship Id="rId1906" Type="http://schemas.openxmlformats.org/officeDocument/2006/relationships/hyperlink" Target="https://ref.ly/Luke2:4-Luke2:6,Luke2:15" TargetMode="External"/><Relationship Id="rId1907" Type="http://schemas.openxmlformats.org/officeDocument/2006/relationships/hyperlink" Target="https://ref.ly/Luke2:4-Luke2:6" TargetMode="External"/><Relationship Id="rId1908" Type="http://schemas.openxmlformats.org/officeDocument/2006/relationships/hyperlink" Target="https://ref.ly/John7:42" TargetMode="External"/><Relationship Id="rId1909" Type="http://schemas.openxmlformats.org/officeDocument/2006/relationships/hyperlink" Target="https://ref.ly/Luke2:4" TargetMode="External"/><Relationship Id="rId1910" Type="http://schemas.openxmlformats.org/officeDocument/2006/relationships/hyperlink" Target="https://ref.ly/Josh19:15" TargetMode="External"/><Relationship Id="rId1911" Type="http://schemas.openxmlformats.org/officeDocument/2006/relationships/hyperlink" Target="https://ref.ly/Judg12:8-Judg12:10" TargetMode="External"/><Relationship Id="rId1912" Type="http://schemas.openxmlformats.org/officeDocument/2006/relationships/hyperlink" Target="https://ref.ly/Matt21:1-Matt21:6" TargetMode="External"/><Relationship Id="rId1913" Type="http://schemas.openxmlformats.org/officeDocument/2006/relationships/hyperlink" Target="https://ref.ly/Mark11:1-Mark11:6" TargetMode="External"/><Relationship Id="rId1914" Type="http://schemas.openxmlformats.org/officeDocument/2006/relationships/hyperlink" Target="https://ref.ly/Luke19:29-Luke19:35" TargetMode="External"/><Relationship Id="rId1915" Type="http://schemas.openxmlformats.org/officeDocument/2006/relationships/hyperlink" Target="https://ref.ly/John1:44" TargetMode="External"/><Relationship Id="rId1916" Type="http://schemas.openxmlformats.org/officeDocument/2006/relationships/hyperlink" Target="https://ref.ly/John12:21" TargetMode="External"/><Relationship Id="rId1917" Type="http://schemas.openxmlformats.org/officeDocument/2006/relationships/hyperlink" Target="https://ref.ly/Matt11:21-Matt11:22" TargetMode="External"/><Relationship Id="rId1918" Type="http://schemas.openxmlformats.org/officeDocument/2006/relationships/hyperlink" Target="https://ref.ly/Luke10:13" TargetMode="External"/><Relationship Id="rId1919" Type="http://schemas.openxmlformats.org/officeDocument/2006/relationships/hyperlink" Target="https://ref.ly/Mark6:34-Mark6:45" TargetMode="External"/><Relationship Id="rId1920" Type="http://schemas.openxmlformats.org/officeDocument/2006/relationships/hyperlink" Target="https://ref.ly/Luke9:10-Luke9:17" TargetMode="External"/><Relationship Id="rId1921" Type="http://schemas.openxmlformats.org/officeDocument/2006/relationships/hyperlink" Target="https://ref.ly/1Sam31:10-1Sam31:13" TargetMode="External"/><Relationship Id="rId1922" Type="http://schemas.openxmlformats.org/officeDocument/2006/relationships/hyperlink" Target="https://ref.ly/2Sam21:12-2Sam21:14" TargetMode="External"/><Relationship Id="rId1923" Type="http://schemas.openxmlformats.org/officeDocument/2006/relationships/hyperlink" Target="https://ref.ly/1Chr10:8-1Chr10:10" TargetMode="External"/><Relationship Id="rId1924" Type="http://schemas.openxmlformats.org/officeDocument/2006/relationships/hyperlink" Target="https://ref.ly/Josh17:11" TargetMode="External"/><Relationship Id="rId1925" Type="http://schemas.openxmlformats.org/officeDocument/2006/relationships/hyperlink" Target="https://ref.ly/1Kgs4:12" TargetMode="External"/><Relationship Id="rId1926" Type="http://schemas.openxmlformats.org/officeDocument/2006/relationships/hyperlink" Target="https://ref.ly/Matt4:25" TargetMode="External"/><Relationship Id="rId1927" Type="http://schemas.openxmlformats.org/officeDocument/2006/relationships/hyperlink" Target="https://ref.ly/Mark7:31" TargetMode="External"/><Relationship Id="rId1928" Type="http://schemas.openxmlformats.org/officeDocument/2006/relationships/hyperlink" Target="https://ref.ly/Gen22:23" TargetMode="External"/><Relationship Id="rId1929" Type="http://schemas.openxmlformats.org/officeDocument/2006/relationships/hyperlink" Target="https://ref.ly/Gen24:15,Gen24:24" TargetMode="External"/><Relationship Id="rId1930" Type="http://schemas.openxmlformats.org/officeDocument/2006/relationships/hyperlink" Target="https://ref.ly/Gen25:20" TargetMode="External"/><Relationship Id="rId1931" Type="http://schemas.openxmlformats.org/officeDocument/2006/relationships/hyperlink" Target="https://ref.ly/Gen28:5" TargetMode="External"/><Relationship Id="rId1932" Type="http://schemas.openxmlformats.org/officeDocument/2006/relationships/hyperlink" Target="https://ref.ly/Luke24:44" TargetMode="External"/><Relationship Id="rId1933" Type="http://schemas.openxmlformats.org/officeDocument/2006/relationships/hyperlink" Target="https://ref.ly/Matt26:28" TargetMode="External"/><Relationship Id="rId1934" Type="http://schemas.openxmlformats.org/officeDocument/2006/relationships/hyperlink" Target="https://ref.ly/1Cor11:25" TargetMode="External"/><Relationship Id="rId1935" Type="http://schemas.openxmlformats.org/officeDocument/2006/relationships/hyperlink" Target="https://ref.ly/Eph2:12" TargetMode="External"/><Relationship Id="rId1936" Type="http://schemas.openxmlformats.org/officeDocument/2006/relationships/hyperlink" Target="https://ref.ly/Jer31:31-Jer31:34" TargetMode="External"/><Relationship Id="rId1937" Type="http://schemas.openxmlformats.org/officeDocument/2006/relationships/hyperlink" Target="https://ref.ly/Heb8:7-Heb8:13" TargetMode="External"/><Relationship Id="rId1938" Type="http://schemas.openxmlformats.org/officeDocument/2006/relationships/hyperlink" Target="https://ref.ly/Heb9:1,Heb9:15-Heb9:22" TargetMode="External"/><Relationship Id="rId1939" Type="http://schemas.openxmlformats.org/officeDocument/2006/relationships/hyperlink" Target="https://ref.ly/Deut4:2" TargetMode="External"/><Relationship Id="rId1940" Type="http://schemas.openxmlformats.org/officeDocument/2006/relationships/hyperlink" Target="https://ref.ly/Deut31:26" TargetMode="External"/><Relationship Id="rId1941" Type="http://schemas.openxmlformats.org/officeDocument/2006/relationships/hyperlink" Target="https://ref.ly/Mark12:26" TargetMode="External"/><Relationship Id="rId1942" Type="http://schemas.openxmlformats.org/officeDocument/2006/relationships/hyperlink" Target="https://ref.ly/John14:26" TargetMode="External"/><Relationship Id="rId1943" Type="http://schemas.openxmlformats.org/officeDocument/2006/relationships/hyperlink" Target="https://ref.ly/John16:13" TargetMode="External"/><Relationship Id="rId1944" Type="http://schemas.openxmlformats.org/officeDocument/2006/relationships/hyperlink" Target="https://ref.ly/1Thess5:27" TargetMode="External"/><Relationship Id="rId1945" Type="http://schemas.openxmlformats.org/officeDocument/2006/relationships/hyperlink" Target="https://ref.ly/1Thess2:13" TargetMode="External"/><Relationship Id="rId1946" Type="http://schemas.openxmlformats.org/officeDocument/2006/relationships/hyperlink" Target="https://ref.ly/1Cor14:37" TargetMode="External"/><Relationship Id="rId1947" Type="http://schemas.openxmlformats.org/officeDocument/2006/relationships/hyperlink" Target="https://ref.ly/Col4:16" TargetMode="External"/><Relationship Id="rId1948" Type="http://schemas.openxmlformats.org/officeDocument/2006/relationships/hyperlink" Target="https://ref.ly/Rev1:3" TargetMode="External"/><Relationship Id="rId1949" Type="http://schemas.openxmlformats.org/officeDocument/2006/relationships/hyperlink" Target="https://ref.ly/2Pet3:15-2Pet3:16" TargetMode="External"/><Relationship Id="rId1950" Type="http://schemas.openxmlformats.org/officeDocument/2006/relationships/hyperlink" Target="https://ref.ly/1Tim5:18" TargetMode="External"/><Relationship Id="rId1951" Type="http://schemas.openxmlformats.org/officeDocument/2006/relationships/hyperlink" Target="https://ref.ly/Deut25:4" TargetMode="External"/><Relationship Id="rId1952" Type="http://schemas.openxmlformats.org/officeDocument/2006/relationships/hyperlink" Target="https://ref.ly/Luke10:7" TargetMode="External"/><Relationship Id="rId1953" Type="http://schemas.openxmlformats.org/officeDocument/2006/relationships/hyperlink" Target="https://ref.ly/Matt22:14" TargetMode="External"/><Relationship Id="rId1954" Type="http://schemas.openxmlformats.org/officeDocument/2006/relationships/hyperlink" Target="https://ref.ly/Eph4:26" TargetMode="External"/><Relationship Id="rId1955" Type="http://schemas.openxmlformats.org/officeDocument/2006/relationships/hyperlink" Target="https://ref.ly/Ps4:4" TargetMode="External"/><Relationship Id="rId1956" Type="http://schemas.openxmlformats.org/officeDocument/2006/relationships/hyperlink" Target="https://ref.ly/Luke1:1-Luke1:80" TargetMode="External"/><Relationship Id="rId1957" Type="http://schemas.openxmlformats.org/officeDocument/2006/relationships/hyperlink" Target="https://ref.ly/Luke2:1-Luke2:52" TargetMode="External"/><Relationship Id="rId1958" Type="http://schemas.openxmlformats.org/officeDocument/2006/relationships/hyperlink" Target="https://ref.ly/1Cor14:29-1Cor14:30" TargetMode="External"/><Relationship Id="rId1959" Type="http://schemas.openxmlformats.org/officeDocument/2006/relationships/hyperlink" Target="https://ref.ly/1Cor2:13" TargetMode="External"/><Relationship Id="rId1960" Type="http://schemas.openxmlformats.org/officeDocument/2006/relationships/hyperlink" Target="https://ref.ly/2Tim3:16" TargetMode="External"/><Relationship Id="rId1961" Type="http://schemas.openxmlformats.org/officeDocument/2006/relationships/hyperlink" Target="https://ref.ly/2Pet1:20-2Pet1:21" TargetMode="External"/><Relationship Id="rId1962" Type="http://schemas.openxmlformats.org/officeDocument/2006/relationships/hyperlink" Target="https://ref.ly/Matt5:17-Matt5:19" TargetMode="External"/><Relationship Id="rId1963" Type="http://schemas.openxmlformats.org/officeDocument/2006/relationships/hyperlink" Target="https://ref.ly/Luke16:17" TargetMode="External"/><Relationship Id="rId1964" Type="http://schemas.openxmlformats.org/officeDocument/2006/relationships/hyperlink" Target="https://ref.ly/John10:35" TargetMode="External"/><Relationship Id="rId1965" Type="http://schemas.openxmlformats.org/officeDocument/2006/relationships/hyperlink" Target="https://ref.ly/Luke24:27" TargetMode="External"/><Relationship Id="rId1966" Type="http://schemas.openxmlformats.org/officeDocument/2006/relationships/hyperlink" Target="https://ref.ly/John15:26" TargetMode="External"/><Relationship Id="rId1967" Type="http://schemas.openxmlformats.org/officeDocument/2006/relationships/hyperlink" Target="https://ref.ly/John16:13-John16:15" TargetMode="External"/><Relationship Id="rId1968" Type="http://schemas.openxmlformats.org/officeDocument/2006/relationships/hyperlink" Target="https://ref.ly/John1:14" TargetMode="External"/><Relationship Id="rId1969" Type="http://schemas.openxmlformats.org/officeDocument/2006/relationships/hyperlink" Target="https://ref.ly/1John1:1-1John1:2" TargetMode="External"/><Relationship Id="rId1970" Type="http://schemas.openxmlformats.org/officeDocument/2006/relationships/hyperlink" Target="https://ref.ly/1Cor15:8-1Cor15:10" TargetMode="External"/><Relationship Id="rId1971" Type="http://schemas.openxmlformats.org/officeDocument/2006/relationships/hyperlink" Target="https://ref.ly/1Pet5:1" TargetMode="External"/><Relationship Id="rId1972" Type="http://schemas.openxmlformats.org/officeDocument/2006/relationships/hyperlink" Target="https://ref.ly/2Pet1:16-2Pet1:18" TargetMode="External"/><Relationship Id="rId1973" Type="http://schemas.openxmlformats.org/officeDocument/2006/relationships/hyperlink" Target="https://ref.ly/1John1:1-1John1:4" TargetMode="External"/><Relationship Id="rId1974" Type="http://schemas.openxmlformats.org/officeDocument/2006/relationships/hyperlink" Target="https://ref.ly/1Cor15:7" TargetMode="External"/><Relationship Id="rId1975" Type="http://schemas.openxmlformats.org/officeDocument/2006/relationships/hyperlink" Target="https://ref.ly/Acts1:14" TargetMode="External"/><Relationship Id="rId1976" Type="http://schemas.openxmlformats.org/officeDocument/2006/relationships/hyperlink" Target="https://ref.ly/1Cor2:10-1Cor2:13" TargetMode="External"/><Relationship Id="rId1977" Type="http://schemas.openxmlformats.org/officeDocument/2006/relationships/hyperlink" Target="https://ref.ly/John1:4" TargetMode="External"/><Relationship Id="rId1978" Type="http://schemas.openxmlformats.org/officeDocument/2006/relationships/hyperlink" Target="https://ref.ly/John4:14" TargetMode="External"/><Relationship Id="rId1979" Type="http://schemas.openxmlformats.org/officeDocument/2006/relationships/hyperlink" Target="https://ref.ly/John6:48" TargetMode="External"/><Relationship Id="rId1980" Type="http://schemas.openxmlformats.org/officeDocument/2006/relationships/hyperlink" Target="https://ref.ly/John8:12" TargetMode="External"/><Relationship Id="rId1981" Type="http://schemas.openxmlformats.org/officeDocument/2006/relationships/hyperlink" Target="https://ref.ly/John11:25" TargetMode="External"/><Relationship Id="rId1982" Type="http://schemas.openxmlformats.org/officeDocument/2006/relationships/hyperlink" Target="https://ref.ly/John14:6" TargetMode="External"/><Relationship Id="rId1983" Type="http://schemas.openxmlformats.org/officeDocument/2006/relationships/hyperlink" Target="https://ref.ly/Col2:3" TargetMode="External"/><Relationship Id="rId1984" Type="http://schemas.openxmlformats.org/officeDocument/2006/relationships/hyperlink" Target="https://ref.ly/Eph3:8" TargetMode="External"/><Relationship Id="rId1985" Type="http://schemas.openxmlformats.org/officeDocument/2006/relationships/hyperlink" Target="https://ref.ly/Esth2:21" TargetMode="External"/><Relationship Id="rId1986" Type="http://schemas.openxmlformats.org/officeDocument/2006/relationships/hyperlink" Target="https://ref.ly/Esth6:2" TargetMode="External"/><Relationship Id="rId1987" Type="http://schemas.openxmlformats.org/officeDocument/2006/relationships/hyperlink" Target="https://ref.ly/Esth2:21-Esth2:23" TargetMode="External"/><Relationship Id="rId1988" Type="http://schemas.openxmlformats.org/officeDocument/2006/relationships/hyperlink" Target="https://ref.ly/Exod11:2" TargetMode="External"/><Relationship Id="rId1989" Type="http://schemas.openxmlformats.org/officeDocument/2006/relationships/hyperlink" Target="https://ref.ly/Isa3:18-Isa3:21" TargetMode="External"/><Relationship Id="rId1990" Type="http://schemas.openxmlformats.org/officeDocument/2006/relationships/hyperlink" Target="https://ref.ly/Gen24:22,Gen24:53" TargetMode="External"/><Relationship Id="rId1991" Type="http://schemas.openxmlformats.org/officeDocument/2006/relationships/hyperlink" Target="https://ref.ly/2Chr20:25" TargetMode="External"/><Relationship Id="rId1992" Type="http://schemas.openxmlformats.org/officeDocument/2006/relationships/hyperlink" Target="https://ref.ly/2Chr21:3" TargetMode="External"/><Relationship Id="rId1993" Type="http://schemas.openxmlformats.org/officeDocument/2006/relationships/hyperlink" Target="https://ref.ly/Gen24:22,Gen24:30,Gen24:47" TargetMode="External"/><Relationship Id="rId1994" Type="http://schemas.openxmlformats.org/officeDocument/2006/relationships/hyperlink" Target="https://ref.ly/Ezek16:11" TargetMode="External"/><Relationship Id="rId1995" Type="http://schemas.openxmlformats.org/officeDocument/2006/relationships/hyperlink" Target="https://ref.ly/Isa3:18-Isa3:20" TargetMode="External"/><Relationship Id="rId1996" Type="http://schemas.openxmlformats.org/officeDocument/2006/relationships/hyperlink" Target="https://ref.ly/Zech9:16" TargetMode="External"/><Relationship Id="rId1997" Type="http://schemas.openxmlformats.org/officeDocument/2006/relationships/hyperlink" Target="https://ref.ly/Isa3:21" TargetMode="External"/><Relationship Id="rId1998" Type="http://schemas.openxmlformats.org/officeDocument/2006/relationships/hyperlink" Target="https://ref.ly/Gen24:47" TargetMode="External"/><Relationship Id="rId1999" Type="http://schemas.openxmlformats.org/officeDocument/2006/relationships/hyperlink" Target="https://ref.ly/Isa3:18-Isa3:23" TargetMode="External"/><Relationship Id="rId2000" Type="http://schemas.openxmlformats.org/officeDocument/2006/relationships/hyperlink" Target="https://ref.ly/Job2:11" TargetMode="External"/><Relationship Id="rId2001" Type="http://schemas.openxmlformats.org/officeDocument/2006/relationships/hyperlink" Target="https://ref.ly/Gen25:1-Gen25:2" TargetMode="External"/><Relationship Id="rId2002" Type="http://schemas.openxmlformats.org/officeDocument/2006/relationships/hyperlink" Target="https://ref.ly/Job8:1-Job8:22" TargetMode="External"/><Relationship Id="rId2003" Type="http://schemas.openxmlformats.org/officeDocument/2006/relationships/hyperlink" Target="https://ref.ly/Job18:1-Job18:21" TargetMode="External"/><Relationship Id="rId2004" Type="http://schemas.openxmlformats.org/officeDocument/2006/relationships/hyperlink" Target="https://ref.ly/Job25:1-Job25:6" TargetMode="External"/><Relationship Id="rId2005" Type="http://schemas.openxmlformats.org/officeDocument/2006/relationships/hyperlink" Target="https://ref.ly/Gen29:29" TargetMode="External"/><Relationship Id="rId2006" Type="http://schemas.openxmlformats.org/officeDocument/2006/relationships/hyperlink" Target="https://ref.ly/Gen30:3-Gen30:8" TargetMode="External"/><Relationship Id="rId2007" Type="http://schemas.openxmlformats.org/officeDocument/2006/relationships/hyperlink" Target="https://ref.ly/Gen35:25" TargetMode="External"/><Relationship Id="rId2008" Type="http://schemas.openxmlformats.org/officeDocument/2006/relationships/hyperlink" Target="https://ref.ly/Gen46:25" TargetMode="External"/><Relationship Id="rId2009" Type="http://schemas.openxmlformats.org/officeDocument/2006/relationships/hyperlink" Target="https://ref.ly/Gen29:1-Gen29:35" TargetMode="External"/><Relationship Id="rId2010" Type="http://schemas.openxmlformats.org/officeDocument/2006/relationships/hyperlink" Target="https://ref.ly/Gen35:22" TargetMode="External"/><Relationship Id="rId2011" Type="http://schemas.openxmlformats.org/officeDocument/2006/relationships/hyperlink" Target="https://ref.ly/1Chr7:31" TargetMode="External"/><Relationship Id="rId2012" Type="http://schemas.openxmlformats.org/officeDocument/2006/relationships/hyperlink" Target="https://ref.ly/Num26:44-Num26:47" TargetMode="External"/><Relationship Id="rId2013" Type="http://schemas.openxmlformats.org/officeDocument/2006/relationships/hyperlink" Target="https://ref.ly/Acts16:7" TargetMode="External"/><Relationship Id="rId2014" Type="http://schemas.openxmlformats.org/officeDocument/2006/relationships/hyperlink" Target="https://ref.ly/Gen11:3" TargetMode="External"/><Relationship Id="rId2015" Type="http://schemas.openxmlformats.org/officeDocument/2006/relationships/hyperlink" Target="https://ref.ly/Exod2:3" TargetMode="External"/><Relationship Id="rId2016" Type="http://schemas.openxmlformats.org/officeDocument/2006/relationships/hyperlink" Target="https://ref.ly/Gen14:10" TargetMode="External"/><Relationship Id="rId2017" Type="http://schemas.openxmlformats.org/officeDocument/2006/relationships/hyperlink" Target="https://ref.ly/Acts12:20" TargetMode="External"/><Relationship Id="rId2018" Type="http://schemas.openxmlformats.org/officeDocument/2006/relationships/hyperlink" Target="https://ref.ly/Acts12:21-Acts12:23" TargetMode="External"/><Relationship Id="rId2019" Type="http://schemas.openxmlformats.org/officeDocument/2006/relationships/hyperlink" Target="https://ref.ly/Mark3:17" TargetMode="External"/><Relationship Id="rId2020" Type="http://schemas.openxmlformats.org/officeDocument/2006/relationships/hyperlink" Target="https://ref.ly/Luke9:54" TargetMode="External"/><Relationship Id="rId2021" Type="http://schemas.openxmlformats.org/officeDocument/2006/relationships/hyperlink" Target="https://ref.ly/Matt5:15" TargetMode="External"/><Relationship Id="rId2022" Type="http://schemas.openxmlformats.org/officeDocument/2006/relationships/hyperlink" Target="https://ref.ly/Mark4:21" TargetMode="External"/><Relationship Id="rId2023" Type="http://schemas.openxmlformats.org/officeDocument/2006/relationships/hyperlink" Target="https://ref.ly/Luke11:33" TargetMode="External"/><Relationship Id="rId2024" Type="http://schemas.openxmlformats.org/officeDocument/2006/relationships/hyperlink" Target="https://ref.ly/Gen31:51-Gen31:52" TargetMode="External"/><Relationship Id="rId2025" Type="http://schemas.openxmlformats.org/officeDocument/2006/relationships/hyperlink" Target="https://ref.ly/Deut19:14" TargetMode="External"/><Relationship Id="rId2026" Type="http://schemas.openxmlformats.org/officeDocument/2006/relationships/hyperlink" Target="https://ref.ly/Deut27:17" TargetMode="External"/><Relationship Id="rId2027" Type="http://schemas.openxmlformats.org/officeDocument/2006/relationships/hyperlink" Target="https://ref.ly/Prov22:28" TargetMode="External"/><Relationship Id="rId2028" Type="http://schemas.openxmlformats.org/officeDocument/2006/relationships/hyperlink" Target="https://ref.ly/Prov23:10" TargetMode="External"/><Relationship Id="rId2029" Type="http://schemas.openxmlformats.org/officeDocument/2006/relationships/hyperlink" Target="https://ref.ly/Job24:2" TargetMode="External"/><Relationship Id="rId2030" Type="http://schemas.openxmlformats.org/officeDocument/2006/relationships/hyperlink" Target="https://ref.ly/Gen36:33" TargetMode="External"/><Relationship Id="rId2031" Type="http://schemas.openxmlformats.org/officeDocument/2006/relationships/hyperlink" Target="https://ref.ly/1Chr1:44" TargetMode="External"/><Relationship Id="rId2032" Type="http://schemas.openxmlformats.org/officeDocument/2006/relationships/hyperlink" Target="https://ref.ly/Isa34:6" TargetMode="External"/><Relationship Id="rId2033" Type="http://schemas.openxmlformats.org/officeDocument/2006/relationships/hyperlink" Target="https://ref.ly/Isa63:1" TargetMode="External"/><Relationship Id="rId2034" Type="http://schemas.openxmlformats.org/officeDocument/2006/relationships/hyperlink" Target="https://ref.ly/Jer49:13" TargetMode="External"/><Relationship Id="rId2035" Type="http://schemas.openxmlformats.org/officeDocument/2006/relationships/hyperlink" Target="https://ref.ly/Amos1:12" TargetMode="External"/><Relationship Id="rId2036" Type="http://schemas.openxmlformats.org/officeDocument/2006/relationships/hyperlink" Target="https://ref.ly/Jer48:24" TargetMode="External"/><Relationship Id="rId2037" Type="http://schemas.openxmlformats.org/officeDocument/2006/relationships/hyperlink" Target="https://ref.ly/1Macc5:26,1Macc5:28" TargetMode="External"/><Relationship Id="rId2038" Type="http://schemas.openxmlformats.org/officeDocument/2006/relationships/hyperlink" Target="https://ref.ly/Jer37:21" TargetMode="External"/><Relationship Id="rId2039" Type="http://schemas.openxmlformats.org/officeDocument/2006/relationships/hyperlink" Target="https://ref.ly/Gen40:1-Gen40:22" TargetMode="External"/><Relationship Id="rId2040" Type="http://schemas.openxmlformats.org/officeDocument/2006/relationships/hyperlink" Target="https://ref.ly/Gen41:10,Gen41:13" TargetMode="External"/><Relationship Id="rId2041" Type="http://schemas.openxmlformats.org/officeDocument/2006/relationships/hyperlink" Target="https://ref.ly/1Sam8:13" TargetMode="External"/><Relationship Id="rId2042" Type="http://schemas.openxmlformats.org/officeDocument/2006/relationships/hyperlink" Target="https://ref.ly/Exod12:39" TargetMode="External"/><Relationship Id="rId2043" Type="http://schemas.openxmlformats.org/officeDocument/2006/relationships/hyperlink" Target="https://ref.ly/Lev2:4" TargetMode="External"/><Relationship Id="rId2044" Type="http://schemas.openxmlformats.org/officeDocument/2006/relationships/hyperlink" Target="https://ref.ly/Lev26:26" TargetMode="External"/><Relationship Id="rId2045" Type="http://schemas.openxmlformats.org/officeDocument/2006/relationships/hyperlink" Target="https://ref.ly/Hos7:4-Hos7:8" TargetMode="External"/><Relationship Id="rId2046" Type="http://schemas.openxmlformats.org/officeDocument/2006/relationships/hyperlink" Target="https://ref.ly/Deut25:13" TargetMode="External"/><Relationship Id="rId2047" Type="http://schemas.openxmlformats.org/officeDocument/2006/relationships/hyperlink" Target="https://ref.ly/Prov1:14" TargetMode="External"/><Relationship Id="rId2048" Type="http://schemas.openxmlformats.org/officeDocument/2006/relationships/hyperlink" Target="https://ref.ly/Isa46:6" TargetMode="External"/><Relationship Id="rId2049" Type="http://schemas.openxmlformats.org/officeDocument/2006/relationships/hyperlink" Target="https://ref.ly/Mic6:11" TargetMode="External"/><Relationship Id="rId2050" Type="http://schemas.openxmlformats.org/officeDocument/2006/relationships/hyperlink" Target="https://ref.ly/2Kgs5:23" TargetMode="External"/><Relationship Id="rId2051" Type="http://schemas.openxmlformats.org/officeDocument/2006/relationships/hyperlink" Target="https://ref.ly/Isa3:22" TargetMode="External"/><Relationship Id="rId2052" Type="http://schemas.openxmlformats.org/officeDocument/2006/relationships/hyperlink" Target="https://ref.ly/Luke10:4" TargetMode="External"/><Relationship Id="rId2053" Type="http://schemas.openxmlformats.org/officeDocument/2006/relationships/hyperlink" Target="https://ref.ly/Luke22:35-Luke22:36" TargetMode="External"/><Relationship Id="rId2054" Type="http://schemas.openxmlformats.org/officeDocument/2006/relationships/hyperlink" Target="https://ref.ly/Luke12:33" TargetMode="External"/><Relationship Id="rId2055" Type="http://schemas.openxmlformats.org/officeDocument/2006/relationships/hyperlink" Target="https://ref.ly/Matt10:9" TargetMode="External"/><Relationship Id="rId2056" Type="http://schemas.openxmlformats.org/officeDocument/2006/relationships/hyperlink" Target="https://ref.ly/Mark6:8" TargetMode="External"/><Relationship Id="rId2057" Type="http://schemas.openxmlformats.org/officeDocument/2006/relationships/hyperlink" Target="https://ref.ly/John12:6" TargetMode="External"/><Relationship Id="rId2058" Type="http://schemas.openxmlformats.org/officeDocument/2006/relationships/hyperlink" Target="https://ref.ly/John13:29" TargetMode="External"/><Relationship Id="rId2059" Type="http://schemas.openxmlformats.org/officeDocument/2006/relationships/hyperlink" Target="https://ref.ly/Exod25:31-Exod25:36" TargetMode="External"/><Relationship Id="rId2060" Type="http://schemas.openxmlformats.org/officeDocument/2006/relationships/hyperlink" Target="https://ref.ly/Lev23:40-Lev23:43" TargetMode="External"/><Relationship Id="rId2061" Type="http://schemas.openxmlformats.org/officeDocument/2006/relationships/hyperlink" Target="https://ref.ly/Hos14:6" TargetMode="External"/><Relationship Id="rId2062" Type="http://schemas.openxmlformats.org/officeDocument/2006/relationships/hyperlink" Target="https://ref.ly/Ezek17:23" TargetMode="External"/><Relationship Id="rId2063" Type="http://schemas.openxmlformats.org/officeDocument/2006/relationships/hyperlink" Target="https://ref.ly/Ezek17:6" TargetMode="External"/><Relationship Id="rId2064" Type="http://schemas.openxmlformats.org/officeDocument/2006/relationships/hyperlink" Target="https://ref.ly/Ps80:8-Ps80:11" TargetMode="External"/><Relationship Id="rId2065" Type="http://schemas.openxmlformats.org/officeDocument/2006/relationships/hyperlink" Target="https://ref.ly/Gen49:22" TargetMode="External"/><Relationship Id="rId2066" Type="http://schemas.openxmlformats.org/officeDocument/2006/relationships/hyperlink" Target="https://ref.ly/Job8:16" TargetMode="External"/><Relationship Id="rId2067" Type="http://schemas.openxmlformats.org/officeDocument/2006/relationships/hyperlink" Target="https://ref.ly/Ezek36:8" TargetMode="External"/><Relationship Id="rId2068" Type="http://schemas.openxmlformats.org/officeDocument/2006/relationships/hyperlink" Target="https://ref.ly/Job18:16" TargetMode="External"/><Relationship Id="rId2069" Type="http://schemas.openxmlformats.org/officeDocument/2006/relationships/hyperlink" Target="https://ref.ly/Isa9:14" TargetMode="External"/><Relationship Id="rId2070" Type="http://schemas.openxmlformats.org/officeDocument/2006/relationships/hyperlink" Target="https://ref.ly/Jer11:16" TargetMode="External"/><Relationship Id="rId2071" Type="http://schemas.openxmlformats.org/officeDocument/2006/relationships/hyperlink" Target="https://ref.ly/John15:6" TargetMode="External"/><Relationship Id="rId2072" Type="http://schemas.openxmlformats.org/officeDocument/2006/relationships/hyperlink" Target="https://ref.ly/Rom11:19-Rom11:21" TargetMode="External"/><Relationship Id="rId2073" Type="http://schemas.openxmlformats.org/officeDocument/2006/relationships/hyperlink" Target="https://ref.ly/Gen40:9-Gen40:13" TargetMode="External"/><Relationship Id="rId2074" Type="http://schemas.openxmlformats.org/officeDocument/2006/relationships/hyperlink" Target="https://ref.ly/Job29:19" TargetMode="External"/><Relationship Id="rId2075" Type="http://schemas.openxmlformats.org/officeDocument/2006/relationships/hyperlink" Target="https://ref.ly/Dan4:12" TargetMode="External"/><Relationship Id="rId2076" Type="http://schemas.openxmlformats.org/officeDocument/2006/relationships/hyperlink" Target="https://ref.ly/2Sam23:4" TargetMode="External"/><Relationship Id="rId2077" Type="http://schemas.openxmlformats.org/officeDocument/2006/relationships/hyperlink" Target="https://ref.ly/Ps132:17" TargetMode="External"/><Relationship Id="rId2078" Type="http://schemas.openxmlformats.org/officeDocument/2006/relationships/hyperlink" Target="https://ref.ly/Lev26:1-Lev26:46" TargetMode="External"/><Relationship Id="rId2079" Type="http://schemas.openxmlformats.org/officeDocument/2006/relationships/hyperlink" Target="https://ref.ly/Acts27:28" TargetMode="External"/><Relationship Id="rId2080" Type="http://schemas.openxmlformats.org/officeDocument/2006/relationships/hyperlink" Target="https://ref.ly/Exod26:1,Exod26:31" TargetMode="External"/><Relationship Id="rId2081" Type="http://schemas.openxmlformats.org/officeDocument/2006/relationships/hyperlink" Target="https://ref.ly/Exod28:6,Exod28:8" TargetMode="External"/><Relationship Id="rId2082" Type="http://schemas.openxmlformats.org/officeDocument/2006/relationships/hyperlink" Target="https://ref.ly/Exod39:2" TargetMode="External"/><Relationship Id="rId2083" Type="http://schemas.openxmlformats.org/officeDocument/2006/relationships/hyperlink" Target="https://ref.ly/Judg5:30" TargetMode="External"/><Relationship Id="rId2084" Type="http://schemas.openxmlformats.org/officeDocument/2006/relationships/hyperlink" Target="https://ref.ly/Ezek27:7" TargetMode="External"/><Relationship Id="rId2085" Type="http://schemas.openxmlformats.org/officeDocument/2006/relationships/hyperlink" Target="https://ref.ly/Exod27:16" TargetMode="External"/><Relationship Id="rId2086" Type="http://schemas.openxmlformats.org/officeDocument/2006/relationships/hyperlink" Target="https://ref.ly/Josh7:21" TargetMode="External"/><Relationship Id="rId2087" Type="http://schemas.openxmlformats.org/officeDocument/2006/relationships/hyperlink" Target="https://ref.ly/Exod3:1-Exod3:15" TargetMode="External"/><Relationship Id="rId2088" Type="http://schemas.openxmlformats.org/officeDocument/2006/relationships/hyperlink" Target="https://ref.ly/Luke20:37" TargetMode="External"/><Relationship Id="rId2089" Type="http://schemas.openxmlformats.org/officeDocument/2006/relationships/hyperlink" Target="https://ref.ly/Acts7:30-Acts7:34" TargetMode="External"/><Relationship Id="rId2090" Type="http://schemas.openxmlformats.org/officeDocument/2006/relationships/hyperlink" Target="https://ref.ly/Exod13:21" TargetMode="External"/><Relationship Id="rId2091" Type="http://schemas.openxmlformats.org/officeDocument/2006/relationships/hyperlink" Target="https://ref.ly/Exod19:18" TargetMode="External"/><Relationship Id="rId2092" Type="http://schemas.openxmlformats.org/officeDocument/2006/relationships/hyperlink" Target="https://ref.ly/1Kgs8:10-1Kgs8:11" TargetMode="External"/><Relationship Id="rId2093" Type="http://schemas.openxmlformats.org/officeDocument/2006/relationships/hyperlink" Target="https://ref.ly/2Kgs1:12" TargetMode="External"/><Relationship Id="rId2094" Type="http://schemas.openxmlformats.org/officeDocument/2006/relationships/hyperlink" Target="https://ref.ly/2Kgs2:11" TargetMode="External"/><Relationship Id="rId2095" Type="http://schemas.openxmlformats.org/officeDocument/2006/relationships/hyperlink" Target="https://ref.ly/Isa6:1-Isa6:6" TargetMode="External"/><Relationship Id="rId2096" Type="http://schemas.openxmlformats.org/officeDocument/2006/relationships/hyperlink" Target="https://ref.ly/2Thess1:7" TargetMode="External"/><Relationship Id="rId2097" Type="http://schemas.openxmlformats.org/officeDocument/2006/relationships/hyperlink" Target="https://ref.ly/Rev1:14" TargetMode="External"/><Relationship Id="rId2098" Type="http://schemas.openxmlformats.org/officeDocument/2006/relationships/hyperlink" Target="https://ref.ly/Rev19:12" TargetMode="External"/><Relationship Id="rId2099" Type="http://schemas.openxmlformats.org/officeDocument/2006/relationships/hyperlink" Target="https://ref.ly/Exod3:5" TargetMode="External"/><Relationship Id="rId2100" Type="http://schemas.openxmlformats.org/officeDocument/2006/relationships/hyperlink" Target="https://ref.ly/1Tim6:16" TargetMode="External"/><Relationship Id="rId2101" Type="http://schemas.openxmlformats.org/officeDocument/2006/relationships/hyperlink" Target="https://ref.ly/Gen33:17" TargetMode="External"/><Relationship Id="rId2102" Type="http://schemas.openxmlformats.org/officeDocument/2006/relationships/hyperlink" Target="https://ref.ly/Jonah4:5" TargetMode="External"/><Relationship Id="rId2103" Type="http://schemas.openxmlformats.org/officeDocument/2006/relationships/hyperlink" Target="https://ref.ly/Job27:18" TargetMode="External"/><Relationship Id="rId2104" Type="http://schemas.openxmlformats.org/officeDocument/2006/relationships/hyperlink" Target="https://ref.ly/Isa1:8" TargetMode="External"/><Relationship Id="rId2105" Type="http://schemas.openxmlformats.org/officeDocument/2006/relationships/hyperlink" Target="https://ref.ly/Jude1:11" TargetMode="External"/><Relationship Id="rId2106" Type="http://schemas.openxmlformats.org/officeDocument/2006/relationships/hyperlink" Target="https://ref.ly/Gen4:3-Gen4:4" TargetMode="External"/><Relationship Id="rId2107" Type="http://schemas.openxmlformats.org/officeDocument/2006/relationships/hyperlink" Target="https://ref.ly/Gen4:5-Gen4:8" TargetMode="External"/><Relationship Id="rId2108" Type="http://schemas.openxmlformats.org/officeDocument/2006/relationships/hyperlink" Target="https://ref.ly/1John3:12" TargetMode="External"/><Relationship Id="rId2109" Type="http://schemas.openxmlformats.org/officeDocument/2006/relationships/hyperlink" Target="https://ref.ly/Gen4:9-Gen4:16" TargetMode="External"/><Relationship Id="rId2110" Type="http://schemas.openxmlformats.org/officeDocument/2006/relationships/hyperlink" Target="https://ref.ly/Gen4:17" TargetMode="External"/><Relationship Id="rId2111" Type="http://schemas.openxmlformats.org/officeDocument/2006/relationships/hyperlink" Target="https://ref.ly/Gen4:18-Gen4:22" TargetMode="External"/><Relationship Id="rId2112" Type="http://schemas.openxmlformats.org/officeDocument/2006/relationships/hyperlink" Target="https://ref.ly/John11:1-John11:57" TargetMode="External"/><Relationship Id="rId2113" Type="http://schemas.openxmlformats.org/officeDocument/2006/relationships/hyperlink" Target="https://ref.ly/John11:48-John11:50" TargetMode="External"/><Relationship Id="rId2114" Type="http://schemas.openxmlformats.org/officeDocument/2006/relationships/hyperlink" Target="https://ref.ly/John11:51-John11:52" TargetMode="External"/><Relationship Id="rId2115" Type="http://schemas.openxmlformats.org/officeDocument/2006/relationships/hyperlink" Target="https://ref.ly/Matt26:3-Matt26:5" TargetMode="External"/><Relationship Id="rId2116" Type="http://schemas.openxmlformats.org/officeDocument/2006/relationships/hyperlink" Target="https://ref.ly/Matt26:57-Matt26:68" TargetMode="External"/><Relationship Id="rId2117" Type="http://schemas.openxmlformats.org/officeDocument/2006/relationships/hyperlink" Target="https://ref.ly/John18:13" TargetMode="External"/><Relationship Id="rId2118" Type="http://schemas.openxmlformats.org/officeDocument/2006/relationships/hyperlink" Target="https://ref.ly/Matt26:63-Matt26:66" TargetMode="External"/><Relationship Id="rId2119" Type="http://schemas.openxmlformats.org/officeDocument/2006/relationships/hyperlink" Target="https://ref.ly/Acts4:5-Acts4:6" TargetMode="External"/><Relationship Id="rId2120" Type="http://schemas.openxmlformats.org/officeDocument/2006/relationships/hyperlink" Target="https://ref.ly/John18:22" TargetMode="External"/><Relationship Id="rId2121" Type="http://schemas.openxmlformats.org/officeDocument/2006/relationships/hyperlink" Target="https://ref.ly/Gen10:11-Gen10:12" TargetMode="External"/><Relationship Id="rId2122" Type="http://schemas.openxmlformats.org/officeDocument/2006/relationships/hyperlink" Target="https://ref.ly/Isa7:1-Isa7:17" TargetMode="External"/><Relationship Id="rId2123" Type="http://schemas.openxmlformats.org/officeDocument/2006/relationships/hyperlink" Target="https://ref.ly/2Kgs20:9" TargetMode="External"/><Relationship Id="rId2124" Type="http://schemas.openxmlformats.org/officeDocument/2006/relationships/hyperlink" Target="https://ref.ly/Isa38:8" TargetMode="External"/><Relationship Id="rId2125" Type="http://schemas.openxmlformats.org/officeDocument/2006/relationships/hyperlink" Target="https://ref.ly/Neh1:1" TargetMode="External"/><Relationship Id="rId2126" Type="http://schemas.openxmlformats.org/officeDocument/2006/relationships/hyperlink" Target="https://ref.ly/Zech7:1" TargetMode="External"/><Relationship Id="rId2127" Type="http://schemas.openxmlformats.org/officeDocument/2006/relationships/hyperlink" Target="https://ref.ly/Esth2:16" TargetMode="External"/><Relationship Id="rId2128" Type="http://schemas.openxmlformats.org/officeDocument/2006/relationships/hyperlink" Target="https://ref.ly/Zech1:7" TargetMode="External"/><Relationship Id="rId2129" Type="http://schemas.openxmlformats.org/officeDocument/2006/relationships/hyperlink" Target="https://ref.ly/Esth3:7,Esth3:8" TargetMode="External"/><Relationship Id="rId2130" Type="http://schemas.openxmlformats.org/officeDocument/2006/relationships/hyperlink" Target="https://ref.ly/Neh2:1" TargetMode="External"/><Relationship Id="rId2131" Type="http://schemas.openxmlformats.org/officeDocument/2006/relationships/hyperlink" Target="https://ref.ly/Esth3:7" TargetMode="External"/><Relationship Id="rId2132" Type="http://schemas.openxmlformats.org/officeDocument/2006/relationships/hyperlink" Target="https://ref.ly/Esth8:9" TargetMode="External"/><Relationship Id="rId2133" Type="http://schemas.openxmlformats.org/officeDocument/2006/relationships/hyperlink" Target="https://ref.ly/Neh6:15" TargetMode="External"/><Relationship Id="rId2134" Type="http://schemas.openxmlformats.org/officeDocument/2006/relationships/hyperlink" Target="https://ref.ly/Exod13:4" TargetMode="External"/><Relationship Id="rId2135" Type="http://schemas.openxmlformats.org/officeDocument/2006/relationships/hyperlink" Target="https://ref.ly/1Kgs6:1,1Kgs6:37" TargetMode="External"/><Relationship Id="rId2136" Type="http://schemas.openxmlformats.org/officeDocument/2006/relationships/hyperlink" Target="https://ref.ly/1Kgs8:2" TargetMode="External"/><Relationship Id="rId2137" Type="http://schemas.openxmlformats.org/officeDocument/2006/relationships/hyperlink" Target="https://ref.ly/1Kgs6:38" TargetMode="External"/><Relationship Id="rId2138" Type="http://schemas.openxmlformats.org/officeDocument/2006/relationships/hyperlink" Target="https://ref.ly/Mal4:2" TargetMode="External"/><Relationship Id="rId2139" Type="http://schemas.openxmlformats.org/officeDocument/2006/relationships/hyperlink" Target="https://ref.ly/Luke1:5" TargetMode="External"/><Relationship Id="rId2140" Type="http://schemas.openxmlformats.org/officeDocument/2006/relationships/hyperlink" Target="https://ref.ly/John12:1" TargetMode="External"/><Relationship Id="rId2141" Type="http://schemas.openxmlformats.org/officeDocument/2006/relationships/hyperlink" Target="https://ref.ly/Lev23:10" TargetMode="External"/><Relationship Id="rId2142" Type="http://schemas.openxmlformats.org/officeDocument/2006/relationships/hyperlink" Target="https://ref.ly/Exod34:22" TargetMode="External"/><Relationship Id="rId2143" Type="http://schemas.openxmlformats.org/officeDocument/2006/relationships/hyperlink" Target="https://ref.ly/Lev23:15-Lev23:17" TargetMode="External"/><Relationship Id="rId2144" Type="http://schemas.openxmlformats.org/officeDocument/2006/relationships/hyperlink" Target="https://ref.ly/Lev16:1-Lev16:34" TargetMode="External"/><Relationship Id="rId2145" Type="http://schemas.openxmlformats.org/officeDocument/2006/relationships/hyperlink" Target="https://ref.ly/Esth9:1-Esth9:32" TargetMode="External"/><Relationship Id="rId2146" Type="http://schemas.openxmlformats.org/officeDocument/2006/relationships/hyperlink" Target="https://ref.ly/Ps90:1-Ps90:17" TargetMode="External"/><Relationship Id="rId2147" Type="http://schemas.openxmlformats.org/officeDocument/2006/relationships/hyperlink" Target="https://ref.ly/Ps90:12" TargetMode="External"/><Relationship Id="rId2148" Type="http://schemas.openxmlformats.org/officeDocument/2006/relationships/hyperlink" Target="https://ref.ly/Isa10:9" TargetMode="External"/><Relationship Id="rId2149" Type="http://schemas.openxmlformats.org/officeDocument/2006/relationships/hyperlink" Target="https://ref.ly/Amos6:2" TargetMode="External"/><Relationship Id="rId2150" Type="http://schemas.openxmlformats.org/officeDocument/2006/relationships/hyperlink" Target="https://ref.ly/Ezek27:23" TargetMode="External"/><Relationship Id="rId2151" Type="http://schemas.openxmlformats.org/officeDocument/2006/relationships/hyperlink" Target="https://ref.ly/Lev13:40-Lev13:42" TargetMode="External"/><Relationship Id="rId2152" Type="http://schemas.openxmlformats.org/officeDocument/2006/relationships/hyperlink" Target="https://ref.ly/Deut14:1" TargetMode="External"/><Relationship Id="rId2153" Type="http://schemas.openxmlformats.org/officeDocument/2006/relationships/hyperlink" Target="https://ref.ly/Lev21:5" TargetMode="External"/><Relationship Id="rId2154" Type="http://schemas.openxmlformats.org/officeDocument/2006/relationships/hyperlink" Target="https://ref.ly/Num6:1-Num6:5,Num6:18" TargetMode="External"/><Relationship Id="rId2155" Type="http://schemas.openxmlformats.org/officeDocument/2006/relationships/hyperlink" Target="https://ref.ly/Num6:1-Num6:5" TargetMode="External"/><Relationship Id="rId2156" Type="http://schemas.openxmlformats.org/officeDocument/2006/relationships/hyperlink" Target="https://ref.ly/Acts18:18" TargetMode="External"/><Relationship Id="rId2157" Type="http://schemas.openxmlformats.org/officeDocument/2006/relationships/hyperlink" Target="https://ref.ly/Jer16:6" TargetMode="External"/><Relationship Id="rId2158" Type="http://schemas.openxmlformats.org/officeDocument/2006/relationships/hyperlink" Target="https://ref.ly/Jer48:37" TargetMode="External"/><Relationship Id="rId2159" Type="http://schemas.openxmlformats.org/officeDocument/2006/relationships/hyperlink" Target="https://ref.ly/Ezek27:31" TargetMode="External"/><Relationship Id="rId2160" Type="http://schemas.openxmlformats.org/officeDocument/2006/relationships/hyperlink" Target="https://ref.ly/Mic1:16" TargetMode="External"/><Relationship Id="rId2161" Type="http://schemas.openxmlformats.org/officeDocument/2006/relationships/hyperlink" Target="https://ref.ly/Isa3:16-Isa3:24" TargetMode="External"/><Relationship Id="rId2162" Type="http://schemas.openxmlformats.org/officeDocument/2006/relationships/hyperlink" Target="https://ref.ly/Gen10:15-Gen10:19" TargetMode="External"/><Relationship Id="rId2163" Type="http://schemas.openxmlformats.org/officeDocument/2006/relationships/hyperlink" Target="https://ref.ly/Num13:29" TargetMode="External"/><Relationship Id="rId2164" Type="http://schemas.openxmlformats.org/officeDocument/2006/relationships/hyperlink" Target="https://ref.ly/Josh5:1" TargetMode="External"/><Relationship Id="rId2165" Type="http://schemas.openxmlformats.org/officeDocument/2006/relationships/hyperlink" Target="https://ref.ly/Josh7:9" TargetMode="External"/><Relationship Id="rId2166" Type="http://schemas.openxmlformats.org/officeDocument/2006/relationships/hyperlink" Target="https://ref.ly/Judg1:27-Judg1:36" TargetMode="External"/><Relationship Id="rId2167" Type="http://schemas.openxmlformats.org/officeDocument/2006/relationships/hyperlink" Target="https://ref.ly/Gen12:5-Gen12:6" TargetMode="External"/><Relationship Id="rId2168" Type="http://schemas.openxmlformats.org/officeDocument/2006/relationships/hyperlink" Target="https://ref.ly/Gen15:18-Gen15:21" TargetMode="External"/><Relationship Id="rId2169" Type="http://schemas.openxmlformats.org/officeDocument/2006/relationships/hyperlink" Target="https://ref.ly/Matt15:21-Matt15:22" TargetMode="External"/><Relationship Id="rId2170" Type="http://schemas.openxmlformats.org/officeDocument/2006/relationships/hyperlink" Target="https://ref.ly/Mark7:24-Mark7:26" TargetMode="External"/><Relationship Id="rId2171" Type="http://schemas.openxmlformats.org/officeDocument/2006/relationships/hyperlink" Target="https://ref.ly/Exod23:24" TargetMode="External"/><Relationship Id="rId2172" Type="http://schemas.openxmlformats.org/officeDocument/2006/relationships/hyperlink" Target="https://ref.ly/Exod34:13-Exod34:16" TargetMode="External"/><Relationship Id="rId2173" Type="http://schemas.openxmlformats.org/officeDocument/2006/relationships/hyperlink" Target="https://ref.ly/Deut7:1-Deut7:5" TargetMode="External"/><Relationship Id="rId2174" Type="http://schemas.openxmlformats.org/officeDocument/2006/relationships/hyperlink" Target="https://ref.ly/1Sam2:22" TargetMode="External"/><Relationship Id="rId2175" Type="http://schemas.openxmlformats.org/officeDocument/2006/relationships/hyperlink" Target="https://ref.ly/Acts8:27" TargetMode="External"/><Relationship Id="rId2176" Type="http://schemas.openxmlformats.org/officeDocument/2006/relationships/hyperlink" Target="https://ref.ly/Gen10:13-Gen10:14" TargetMode="External"/><Relationship Id="rId2177" Type="http://schemas.openxmlformats.org/officeDocument/2006/relationships/hyperlink" Target="https://ref.ly/1Chr1:12" TargetMode="External"/><Relationship Id="rId2178" Type="http://schemas.openxmlformats.org/officeDocument/2006/relationships/hyperlink" Target="https://ref.ly/Jer47:4" TargetMode="External"/><Relationship Id="rId2179" Type="http://schemas.openxmlformats.org/officeDocument/2006/relationships/hyperlink" Target="https://ref.ly/Gen10:14" TargetMode="External"/><Relationship Id="rId2180" Type="http://schemas.openxmlformats.org/officeDocument/2006/relationships/hyperlink" Target="https://ref.ly/Deut2:23" TargetMode="External"/><Relationship Id="rId2181" Type="http://schemas.openxmlformats.org/officeDocument/2006/relationships/hyperlink" Target="https://ref.ly/Acts2:5-Acts2:13" TargetMode="External"/><Relationship Id="rId2182" Type="http://schemas.openxmlformats.org/officeDocument/2006/relationships/hyperlink" Target="https://ref.ly/1Macc15:22" TargetMode="External"/><Relationship Id="rId2183" Type="http://schemas.openxmlformats.org/officeDocument/2006/relationships/hyperlink" Target="https://ref.ly/1Kgs10:2" TargetMode="External"/><Relationship Id="rId2184" Type="http://schemas.openxmlformats.org/officeDocument/2006/relationships/hyperlink" Target="https://ref.ly/Gen37:25-Gen37:28" TargetMode="External"/><Relationship Id="rId2185" Type="http://schemas.openxmlformats.org/officeDocument/2006/relationships/hyperlink" Target="https://ref.ly/Judg6:3-Judg6:5" TargetMode="External"/><Relationship Id="rId2186" Type="http://schemas.openxmlformats.org/officeDocument/2006/relationships/hyperlink" Target="https://ref.ly/Gen46:9" TargetMode="External"/><Relationship Id="rId2187" Type="http://schemas.openxmlformats.org/officeDocument/2006/relationships/hyperlink" Target="https://ref.ly/Exod6:14" TargetMode="External"/><Relationship Id="rId2188" Type="http://schemas.openxmlformats.org/officeDocument/2006/relationships/hyperlink" Target="https://ref.ly/1Chr5:3" TargetMode="External"/><Relationship Id="rId2189" Type="http://schemas.openxmlformats.org/officeDocument/2006/relationships/hyperlink" Target="https://ref.ly/Num26:5-Num26:7" TargetMode="External"/><Relationship Id="rId2190" Type="http://schemas.openxmlformats.org/officeDocument/2006/relationships/hyperlink" Target="https://ref.ly/Josh7:1,Josh7:18" TargetMode="External"/><Relationship Id="rId2191" Type="http://schemas.openxmlformats.org/officeDocument/2006/relationships/hyperlink" Target="https://ref.ly/1Chr2:7" TargetMode="External"/><Relationship Id="rId2192" Type="http://schemas.openxmlformats.org/officeDocument/2006/relationships/hyperlink" Target="https://ref.ly/1Chr4:1" TargetMode="External"/><Relationship Id="rId2193" Type="http://schemas.openxmlformats.org/officeDocument/2006/relationships/hyperlink" Target="https://ref.ly/Rom16:1" TargetMode="External"/><Relationship Id="rId2194" Type="http://schemas.openxmlformats.org/officeDocument/2006/relationships/hyperlink" Target="https://ref.ly/Lev1:16" TargetMode="External"/><Relationship Id="rId2195" Type="http://schemas.openxmlformats.org/officeDocument/2006/relationships/hyperlink" Target="https://ref.ly/Lev4:12" TargetMode="External"/><Relationship Id="rId2196" Type="http://schemas.openxmlformats.org/officeDocument/2006/relationships/hyperlink" Target="https://ref.ly/Lev6:10-Lev6:11" TargetMode="External"/><Relationship Id="rId2197" Type="http://schemas.openxmlformats.org/officeDocument/2006/relationships/hyperlink" Target="https://ref.ly/Heb9:13" TargetMode="External"/><Relationship Id="rId2198" Type="http://schemas.openxmlformats.org/officeDocument/2006/relationships/hyperlink" Target="https://ref.ly/1Kgs13:1-1Kgs13:5" TargetMode="External"/><Relationship Id="rId2199" Type="http://schemas.openxmlformats.org/officeDocument/2006/relationships/hyperlink" Target="https://ref.ly/2Kgs23:4" TargetMode="External"/><Relationship Id="rId2200" Type="http://schemas.openxmlformats.org/officeDocument/2006/relationships/hyperlink" Target="https://ref.ly/Exod9:8-Exod9:10" TargetMode="External"/><Relationship Id="rId2201" Type="http://schemas.openxmlformats.org/officeDocument/2006/relationships/hyperlink" Target="https://ref.ly/2Sam13:19" TargetMode="External"/><Relationship Id="rId2202" Type="http://schemas.openxmlformats.org/officeDocument/2006/relationships/hyperlink" Target="https://ref.ly/Esth4:1-Esth4:3" TargetMode="External"/><Relationship Id="rId2203" Type="http://schemas.openxmlformats.org/officeDocument/2006/relationships/hyperlink" Target="https://ref.ly/Dan9:3" TargetMode="External"/><Relationship Id="rId2204" Type="http://schemas.openxmlformats.org/officeDocument/2006/relationships/hyperlink" Target="https://ref.ly/Jonah3:6" TargetMode="External"/><Relationship Id="rId2205" Type="http://schemas.openxmlformats.org/officeDocument/2006/relationships/hyperlink" Target="https://ref.ly/Gen18:27" TargetMode="External"/><Relationship Id="rId2206" Type="http://schemas.openxmlformats.org/officeDocument/2006/relationships/hyperlink" Target="https://ref.ly/Job13:12" TargetMode="External"/><Relationship Id="rId2207" Type="http://schemas.openxmlformats.org/officeDocument/2006/relationships/hyperlink" Target="https://ref.ly/Job30:19" TargetMode="External"/><Relationship Id="rId2208" Type="http://schemas.openxmlformats.org/officeDocument/2006/relationships/hyperlink" Target="https://ref.ly/Isa44:20" TargetMode="External"/><Relationship Id="rId2209" Type="http://schemas.openxmlformats.org/officeDocument/2006/relationships/hyperlink" Target="https://ref.ly/Ezek28:18" TargetMode="External"/><Relationship Id="rId2210" Type="http://schemas.openxmlformats.org/officeDocument/2006/relationships/hyperlink" Target="https://ref.ly/2Pet2:6" TargetMode="External"/><Relationship Id="rId2211" Type="http://schemas.openxmlformats.org/officeDocument/2006/relationships/hyperlink" Target="https://ref.ly/Acts24:1-Acts24:27" TargetMode="External"/><Relationship Id="rId2212" Type="http://schemas.openxmlformats.org/officeDocument/2006/relationships/hyperlink" Target="https://ref.ly/Acts25:1,Acts25:4-Acts25:6,Acts25:13" TargetMode="External"/><Relationship Id="rId2213" Type="http://schemas.openxmlformats.org/officeDocument/2006/relationships/hyperlink" Target="https://ref.ly/John19:1-John19:42" TargetMode="External"/><Relationship Id="rId2214" Type="http://schemas.openxmlformats.org/officeDocument/2006/relationships/hyperlink" Target="https://ref.ly/Acts10:1,Acts10:24" TargetMode="External"/><Relationship Id="rId2215" Type="http://schemas.openxmlformats.org/officeDocument/2006/relationships/hyperlink" Target="https://ref.ly/Acts21:8" TargetMode="External"/><Relationship Id="rId2216" Type="http://schemas.openxmlformats.org/officeDocument/2006/relationships/hyperlink" Target="https://ref.ly/Acts24:27-Acts25:1" TargetMode="External"/><Relationship Id="rId2217" Type="http://schemas.openxmlformats.org/officeDocument/2006/relationships/hyperlink" Target="https://ref.ly/Acts27:1-Acts27:44" TargetMode="External"/><Relationship Id="rId2218" Type="http://schemas.openxmlformats.org/officeDocument/2006/relationships/hyperlink" Target="https://ref.ly/Rom13:3" TargetMode="External"/><Relationship Id="rId2219" Type="http://schemas.openxmlformats.org/officeDocument/2006/relationships/hyperlink" Target="https://ref.ly/Matt16:13-Matt16:16" TargetMode="External"/><Relationship Id="rId2220" Type="http://schemas.openxmlformats.org/officeDocument/2006/relationships/hyperlink" Target="https://ref.ly/Mark8:27-Mark8:29" TargetMode="External"/><Relationship Id="rId2221" Type="http://schemas.openxmlformats.org/officeDocument/2006/relationships/hyperlink" Target="https://ref.ly/Luke2:1" TargetMode="External"/><Relationship Id="rId2222" Type="http://schemas.openxmlformats.org/officeDocument/2006/relationships/hyperlink" Target="https://ref.ly/Luke3:1" TargetMode="External"/><Relationship Id="rId2223" Type="http://schemas.openxmlformats.org/officeDocument/2006/relationships/hyperlink" Target="https://ref.ly/Acts25:11-Acts25:12,Acts25:21" TargetMode="External"/><Relationship Id="rId2224" Type="http://schemas.openxmlformats.org/officeDocument/2006/relationships/hyperlink" Target="https://ref.ly/Acts27:24" TargetMode="External"/><Relationship Id="rId2225" Type="http://schemas.openxmlformats.org/officeDocument/2006/relationships/hyperlink" Target="https://ref.ly/Acts28:19" TargetMode="External"/><Relationship Id="rId2226" Type="http://schemas.openxmlformats.org/officeDocument/2006/relationships/hyperlink" Target="https://ref.ly/Acts5:37" TargetMode="External"/><Relationship Id="rId2227" Type="http://schemas.openxmlformats.org/officeDocument/2006/relationships/hyperlink" Target="https://ref.ly/John18:33-John18:38" TargetMode="External"/><Relationship Id="rId2228" Type="http://schemas.openxmlformats.org/officeDocument/2006/relationships/hyperlink" Target="https://ref.ly/John19:12" TargetMode="External"/><Relationship Id="rId2229" Type="http://schemas.openxmlformats.org/officeDocument/2006/relationships/hyperlink" Target="https://ref.ly/Acts12:1-Acts12:5" TargetMode="External"/><Relationship Id="rId2230" Type="http://schemas.openxmlformats.org/officeDocument/2006/relationships/hyperlink" Target="https://ref.ly/Acts12:22" TargetMode="External"/><Relationship Id="rId2231" Type="http://schemas.openxmlformats.org/officeDocument/2006/relationships/hyperlink" Target="https://ref.ly/Phil1:7-Phil1:14" TargetMode="External"/><Relationship Id="rId2232" Type="http://schemas.openxmlformats.org/officeDocument/2006/relationships/hyperlink" Target="https://ref.ly/1Pet4:12" TargetMode="External"/><Relationship Id="rId2233" Type="http://schemas.openxmlformats.org/officeDocument/2006/relationships/hyperlink" Target="https://ref.ly/Acts25:1-Acts26:32" TargetMode="External"/><Relationship Id="rId2234" Type="http://schemas.openxmlformats.org/officeDocument/2006/relationships/hyperlink" Target="https://ref.ly/1Kgs18:3-1Kgs18:4" TargetMode="External"/><Relationship Id="rId2235" Type="http://schemas.openxmlformats.org/officeDocument/2006/relationships/hyperlink" Target="https://ref.ly/2Sam23:3" TargetMode="External"/><Relationship Id="rId2236" Type="http://schemas.openxmlformats.org/officeDocument/2006/relationships/hyperlink" Target="https://ref.ly/2Chr19:7" TargetMode="External"/><Relationship Id="rId2237" Type="http://schemas.openxmlformats.org/officeDocument/2006/relationships/hyperlink" Target="https://ref.ly/Prov10:27" TargetMode="External"/><Relationship Id="rId2238" Type="http://schemas.openxmlformats.org/officeDocument/2006/relationships/hyperlink" Target="https://ref.ly/Prov14:27" TargetMode="External"/><Relationship Id="rId2239" Type="http://schemas.openxmlformats.org/officeDocument/2006/relationships/hyperlink" Target="https://ref.ly/Prov19:23" TargetMode="External"/><Relationship Id="rId2240" Type="http://schemas.openxmlformats.org/officeDocument/2006/relationships/hyperlink" Target="https://ref.ly/2Kgs4:1" TargetMode="External"/><Relationship Id="rId2241" Type="http://schemas.openxmlformats.org/officeDocument/2006/relationships/hyperlink" Target="https://ref.ly/Prov14:26" TargetMode="External"/><Relationship Id="rId2242" Type="http://schemas.openxmlformats.org/officeDocument/2006/relationships/hyperlink" Target="https://ref.ly/Wis10:13" TargetMode="External"/><Relationship Id="rId2243" Type="http://schemas.openxmlformats.org/officeDocument/2006/relationships/hyperlink" Target="https://ref.ly/Col3:22" TargetMode="External"/><Relationship Id="rId2244" Type="http://schemas.openxmlformats.org/officeDocument/2006/relationships/hyperlink" Target="https://ref.ly/1Pet2:17" TargetMode="External"/><Relationship Id="rId2245" Type="http://schemas.openxmlformats.org/officeDocument/2006/relationships/hyperlink" Target="https://ref.ly/Luke1:50" TargetMode="External"/><Relationship Id="rId2246" Type="http://schemas.openxmlformats.org/officeDocument/2006/relationships/hyperlink" Target="https://ref.ly/Acts13:16" TargetMode="External"/><Relationship Id="rId2247" Type="http://schemas.openxmlformats.org/officeDocument/2006/relationships/hyperlink" Target="https://ref.ly/Acts10:2" TargetMode="External"/><Relationship Id="rId2248" Type="http://schemas.openxmlformats.org/officeDocument/2006/relationships/hyperlink" Target="https://ref.ly/Gen3:10" TargetMode="External"/><Relationship Id="rId2249" Type="http://schemas.openxmlformats.org/officeDocument/2006/relationships/hyperlink" Target="https://ref.ly/Deut9:19" TargetMode="External"/><Relationship Id="rId2250" Type="http://schemas.openxmlformats.org/officeDocument/2006/relationships/hyperlink" Target="https://ref.ly/Job6:4" TargetMode="External"/><Relationship Id="rId2251" Type="http://schemas.openxmlformats.org/officeDocument/2006/relationships/hyperlink" Target="https://ref.ly/Job9:28-Job9:29" TargetMode="External"/><Relationship Id="rId2252" Type="http://schemas.openxmlformats.org/officeDocument/2006/relationships/hyperlink" Target="https://ref.ly/Ps76:8" TargetMode="External"/><Relationship Id="rId2253" Type="http://schemas.openxmlformats.org/officeDocument/2006/relationships/hyperlink" Target="https://ref.ly/Matt17:7" TargetMode="External"/><Relationship Id="rId2254" Type="http://schemas.openxmlformats.org/officeDocument/2006/relationships/hyperlink" Target="https://ref.ly/Matt28:10" TargetMode="External"/><Relationship Id="rId2255" Type="http://schemas.openxmlformats.org/officeDocument/2006/relationships/hyperlink" Target="https://ref.ly/Luke5:10" TargetMode="External"/><Relationship Id="rId2256" Type="http://schemas.openxmlformats.org/officeDocument/2006/relationships/hyperlink" Target="https://ref.ly/Acts5:5" TargetMode="External"/><Relationship Id="rId2257" Type="http://schemas.openxmlformats.org/officeDocument/2006/relationships/hyperlink" Target="https://ref.ly/1Tim5:20" TargetMode="External"/><Relationship Id="rId2258" Type="http://schemas.openxmlformats.org/officeDocument/2006/relationships/hyperlink" Target="https://ref.ly/Gen26:35" TargetMode="External"/><Relationship Id="rId2259" Type="http://schemas.openxmlformats.org/officeDocument/2006/relationships/hyperlink" Target="https://ref.ly/Judg10:16" TargetMode="External"/><Relationship Id="rId2260" Type="http://schemas.openxmlformats.org/officeDocument/2006/relationships/hyperlink" Target="https://ref.ly/1Sam1:16" TargetMode="External"/><Relationship Id="rId2261" Type="http://schemas.openxmlformats.org/officeDocument/2006/relationships/hyperlink" Target="https://ref.ly/Job2:13" TargetMode="External"/><Relationship Id="rId2262" Type="http://schemas.openxmlformats.org/officeDocument/2006/relationships/hyperlink" Target="https://ref.ly/Job6:2" TargetMode="External"/><Relationship Id="rId2263" Type="http://schemas.openxmlformats.org/officeDocument/2006/relationships/hyperlink" Target="https://ref.ly/Job16:6" TargetMode="External"/><Relationship Id="rId2264" Type="http://schemas.openxmlformats.org/officeDocument/2006/relationships/hyperlink" Target="https://ref.ly/Ps6:7" TargetMode="External"/><Relationship Id="rId2265" Type="http://schemas.openxmlformats.org/officeDocument/2006/relationships/hyperlink" Target="https://ref.ly/Ps31:9-Ps31:10" TargetMode="External"/><Relationship Id="rId2266" Type="http://schemas.openxmlformats.org/officeDocument/2006/relationships/hyperlink" Target="https://ref.ly/Ps69:26" TargetMode="External"/><Relationship Id="rId2267" Type="http://schemas.openxmlformats.org/officeDocument/2006/relationships/hyperlink" Target="https://ref.ly/Ps73:21" TargetMode="External"/><Relationship Id="rId2268" Type="http://schemas.openxmlformats.org/officeDocument/2006/relationships/hyperlink" Target="https://ref.ly/Ps95:10" TargetMode="External"/><Relationship Id="rId2269" Type="http://schemas.openxmlformats.org/officeDocument/2006/relationships/hyperlink" Target="https://ref.ly/Ps112:10" TargetMode="External"/><Relationship Id="rId2270" Type="http://schemas.openxmlformats.org/officeDocument/2006/relationships/hyperlink" Target="https://ref.ly/Mark3:5" TargetMode="External"/><Relationship Id="rId2271" Type="http://schemas.openxmlformats.org/officeDocument/2006/relationships/hyperlink" Target="https://ref.ly/John11:33" TargetMode="External"/><Relationship Id="rId2272" Type="http://schemas.openxmlformats.org/officeDocument/2006/relationships/hyperlink" Target="https://ref.ly/John11:35" TargetMode="External"/><Relationship Id="rId2273" Type="http://schemas.openxmlformats.org/officeDocument/2006/relationships/hyperlink" Target="https://ref.ly/Acts4:2" TargetMode="External"/><Relationship Id="rId2274" Type="http://schemas.openxmlformats.org/officeDocument/2006/relationships/hyperlink" Target="https://ref.ly/Rom14:15" TargetMode="External"/><Relationship Id="rId2275" Type="http://schemas.openxmlformats.org/officeDocument/2006/relationships/hyperlink" Target="https://ref.ly/2Cor2:1-2Cor2:5" TargetMode="External"/><Relationship Id="rId2276" Type="http://schemas.openxmlformats.org/officeDocument/2006/relationships/hyperlink" Target="https://ref.ly/Eph4:30" TargetMode="External"/><Relationship Id="rId2277" Type="http://schemas.openxmlformats.org/officeDocument/2006/relationships/hyperlink" Target="https://ref.ly/1Pet2:19" TargetMode="External"/><Relationship Id="rId2278" Type="http://schemas.openxmlformats.org/officeDocument/2006/relationships/hyperlink" Target="https://ref.ly/Jer9:17-Jer9:18" TargetMode="External"/><Relationship Id="rId2279" Type="http://schemas.openxmlformats.org/officeDocument/2006/relationships/hyperlink" Target="https://ref.ly/Amos5:16" TargetMode="External"/><Relationship Id="rId2280" Type="http://schemas.openxmlformats.org/officeDocument/2006/relationships/hyperlink" Target="https://ref.ly/Mark5:38" TargetMode="External"/><Relationship Id="rId2281" Type="http://schemas.openxmlformats.org/officeDocument/2006/relationships/hyperlink" Target="https://ref.ly/Gen40:19" TargetMode="External"/><Relationship Id="rId2282" Type="http://schemas.openxmlformats.org/officeDocument/2006/relationships/hyperlink" Target="https://ref.ly/Prov14:30" TargetMode="External"/><Relationship Id="rId2283" Type="http://schemas.openxmlformats.org/officeDocument/2006/relationships/hyperlink" Target="https://ref.ly/Ps16:9" TargetMode="External"/><Relationship Id="rId2284" Type="http://schemas.openxmlformats.org/officeDocument/2006/relationships/hyperlink" Target="https://ref.ly/Gen2:24" TargetMode="External"/><Relationship Id="rId2285" Type="http://schemas.openxmlformats.org/officeDocument/2006/relationships/hyperlink" Target="https://ref.ly/Judg9:2" TargetMode="External"/><Relationship Id="rId2286" Type="http://schemas.openxmlformats.org/officeDocument/2006/relationships/hyperlink" Target="https://ref.ly/Gen6:3" TargetMode="External"/><Relationship Id="rId2287" Type="http://schemas.openxmlformats.org/officeDocument/2006/relationships/hyperlink" Target="https://ref.ly/Ps78:39" TargetMode="External"/><Relationship Id="rId2288" Type="http://schemas.openxmlformats.org/officeDocument/2006/relationships/hyperlink" Target="https://ref.ly/2Chr32:8" TargetMode="External"/><Relationship Id="rId2289" Type="http://schemas.openxmlformats.org/officeDocument/2006/relationships/hyperlink" Target="https://ref.ly/Ps56:4" TargetMode="External"/><Relationship Id="rId2290" Type="http://schemas.openxmlformats.org/officeDocument/2006/relationships/hyperlink" Target="https://ref.ly/Jer17:5" TargetMode="External"/><Relationship Id="rId2291" Type="http://schemas.openxmlformats.org/officeDocument/2006/relationships/hyperlink" Target="https://ref.ly/Isa31:3" TargetMode="External"/><Relationship Id="rId2292" Type="http://schemas.openxmlformats.org/officeDocument/2006/relationships/hyperlink" Target="https://ref.ly/1Cor15:39" TargetMode="External"/><Relationship Id="rId2293" Type="http://schemas.openxmlformats.org/officeDocument/2006/relationships/hyperlink" Target="https://ref.ly/2Cor12:7" TargetMode="External"/><Relationship Id="rId2294" Type="http://schemas.openxmlformats.org/officeDocument/2006/relationships/hyperlink" Target="https://ref.ly/Rom2:28" TargetMode="External"/><Relationship Id="rId2295" Type="http://schemas.openxmlformats.org/officeDocument/2006/relationships/hyperlink" Target="https://ref.ly/1Cor15:50" TargetMode="External"/><Relationship Id="rId2296" Type="http://schemas.openxmlformats.org/officeDocument/2006/relationships/hyperlink" Target="https://ref.ly/Col1:22" TargetMode="External"/><Relationship Id="rId2297" Type="http://schemas.openxmlformats.org/officeDocument/2006/relationships/hyperlink" Target="https://ref.ly/1Cor5:3" TargetMode="External"/><Relationship Id="rId2298" Type="http://schemas.openxmlformats.org/officeDocument/2006/relationships/hyperlink" Target="https://ref.ly/Col2:5" TargetMode="External"/><Relationship Id="rId2299" Type="http://schemas.openxmlformats.org/officeDocument/2006/relationships/hyperlink" Target="https://ref.ly/2Cor4:10-2Cor4:11" TargetMode="External"/><Relationship Id="rId2300" Type="http://schemas.openxmlformats.org/officeDocument/2006/relationships/hyperlink" Target="https://ref.ly/1Cor6:16" TargetMode="External"/><Relationship Id="rId2301" Type="http://schemas.openxmlformats.org/officeDocument/2006/relationships/hyperlink" Target="https://ref.ly/Rom9:3" TargetMode="External"/><Relationship Id="rId2302" Type="http://schemas.openxmlformats.org/officeDocument/2006/relationships/hyperlink" Target="https://ref.ly/Rom11:14" TargetMode="External"/><Relationship Id="rId2303" Type="http://schemas.openxmlformats.org/officeDocument/2006/relationships/hyperlink" Target="https://ref.ly/Rom9:8" TargetMode="External"/><Relationship Id="rId2304" Type="http://schemas.openxmlformats.org/officeDocument/2006/relationships/hyperlink" Target="https://ref.ly/Rom1:3" TargetMode="External"/><Relationship Id="rId2305" Type="http://schemas.openxmlformats.org/officeDocument/2006/relationships/hyperlink" Target="https://ref.ly/Gal2:20" TargetMode="External"/><Relationship Id="rId2306" Type="http://schemas.openxmlformats.org/officeDocument/2006/relationships/hyperlink" Target="https://ref.ly/1Pet3:18" TargetMode="External"/><Relationship Id="rId2307" Type="http://schemas.openxmlformats.org/officeDocument/2006/relationships/hyperlink" Target="https://ref.ly/1John4:2" TargetMode="External"/><Relationship Id="rId2308" Type="http://schemas.openxmlformats.org/officeDocument/2006/relationships/hyperlink" Target="https://ref.ly/Phil3:3" TargetMode="External"/><Relationship Id="rId2309" Type="http://schemas.openxmlformats.org/officeDocument/2006/relationships/hyperlink" Target="https://ref.ly/2Cor11:18" TargetMode="External"/><Relationship Id="rId2310" Type="http://schemas.openxmlformats.org/officeDocument/2006/relationships/hyperlink" Target="https://ref.ly/Gal6:11-Gal6:14" TargetMode="External"/><Relationship Id="rId2311" Type="http://schemas.openxmlformats.org/officeDocument/2006/relationships/hyperlink" Target="https://ref.ly/Eph6:5" TargetMode="External"/><Relationship Id="rId2312" Type="http://schemas.openxmlformats.org/officeDocument/2006/relationships/hyperlink" Target="https://ref.ly/Phlm1:16" TargetMode="External"/><Relationship Id="rId2313" Type="http://schemas.openxmlformats.org/officeDocument/2006/relationships/hyperlink" Target="https://ref.ly/1Cor7:28" TargetMode="External"/><Relationship Id="rId2314" Type="http://schemas.openxmlformats.org/officeDocument/2006/relationships/hyperlink" Target="https://ref.ly/2Cor5:16" TargetMode="External"/><Relationship Id="rId2315" Type="http://schemas.openxmlformats.org/officeDocument/2006/relationships/hyperlink" Target="https://ref.ly/1Cor15:53" TargetMode="External"/><Relationship Id="rId2316" Type="http://schemas.openxmlformats.org/officeDocument/2006/relationships/hyperlink" Target="https://ref.ly/Matt16:17" TargetMode="External"/><Relationship Id="rId2317" Type="http://schemas.openxmlformats.org/officeDocument/2006/relationships/hyperlink" Target="https://ref.ly/Rom8:1-Rom8:39" TargetMode="External"/><Relationship Id="rId2318" Type="http://schemas.openxmlformats.org/officeDocument/2006/relationships/hyperlink" Target="https://ref.ly/Rom7:1-Rom8:39" TargetMode="External"/><Relationship Id="rId2319" Type="http://schemas.openxmlformats.org/officeDocument/2006/relationships/hyperlink" Target="https://ref.ly/Rom8:2" TargetMode="External"/><Relationship Id="rId2320" Type="http://schemas.openxmlformats.org/officeDocument/2006/relationships/hyperlink" Target="https://ref.ly/Rom8:6" TargetMode="External"/><Relationship Id="rId2321" Type="http://schemas.openxmlformats.org/officeDocument/2006/relationships/hyperlink" Target="https://ref.ly/Rom7:18" TargetMode="External"/><Relationship Id="rId2322" Type="http://schemas.openxmlformats.org/officeDocument/2006/relationships/hyperlink" Target="https://ref.ly/1Cor6:19" TargetMode="External"/><Relationship Id="rId2323" Type="http://schemas.openxmlformats.org/officeDocument/2006/relationships/hyperlink" Target="https://ref.ly/1Cor6:15" TargetMode="External"/><Relationship Id="rId2324" Type="http://schemas.openxmlformats.org/officeDocument/2006/relationships/hyperlink" Target="https://ref.ly/1Cor6:20" TargetMode="External"/><Relationship Id="rId2325" Type="http://schemas.openxmlformats.org/officeDocument/2006/relationships/hyperlink" Target="https://ref.ly/Gal5:17" TargetMode="External"/><Relationship Id="rId2326" Type="http://schemas.openxmlformats.org/officeDocument/2006/relationships/hyperlink" Target="https://ref.ly/1Cor2:14-1Cor3:3" TargetMode="External"/><Relationship Id="rId2327" Type="http://schemas.openxmlformats.org/officeDocument/2006/relationships/hyperlink" Target="https://ref.ly/1Cor2:14" TargetMode="External"/><Relationship Id="rId2328" Type="http://schemas.openxmlformats.org/officeDocument/2006/relationships/hyperlink" Target="https://ref.ly/1Cor3:1,1Cor3:3" TargetMode="External"/><Relationship Id="rId2329" Type="http://schemas.openxmlformats.org/officeDocument/2006/relationships/hyperlink" Target="https://ref.ly/1Cor3:1" TargetMode="External"/><Relationship Id="rId2330" Type="http://schemas.openxmlformats.org/officeDocument/2006/relationships/hyperlink" Target="https://ref.ly/Rom8:9" TargetMode="External"/><Relationship Id="rId2331" Type="http://schemas.openxmlformats.org/officeDocument/2006/relationships/hyperlink" Target="https://ref.ly/Gal5:22-Gal5:23" TargetMode="External"/><Relationship Id="rId2332" Type="http://schemas.openxmlformats.org/officeDocument/2006/relationships/hyperlink" Target="https://ref.ly/1Cor3:3" TargetMode="External"/><Relationship Id="rId2333" Type="http://schemas.openxmlformats.org/officeDocument/2006/relationships/hyperlink" Target="https://ref.ly/Gal5:19-Gal5:23" TargetMode="External"/><Relationship Id="rId2334" Type="http://schemas.openxmlformats.org/officeDocument/2006/relationships/hyperlink" Target="https://ref.ly/Gal5:19-Gal5:21" TargetMode="External"/><Relationship Id="rId2335" Type="http://schemas.openxmlformats.org/officeDocument/2006/relationships/hyperlink" Target="https://ref.ly/Gal5:24" TargetMode="External"/><Relationship Id="rId2336" Type="http://schemas.openxmlformats.org/officeDocument/2006/relationships/hyperlink" Target="https://ref.ly/Rom6:6" TargetMode="External"/><Relationship Id="rId2337" Type="http://schemas.openxmlformats.org/officeDocument/2006/relationships/hyperlink" Target="https://ref.ly/Rom6:1-Rom6:4" TargetMode="External"/><Relationship Id="rId2338" Type="http://schemas.openxmlformats.org/officeDocument/2006/relationships/hyperlink" Target="https://ref.ly/Rom6:11" TargetMode="External"/><Relationship Id="rId2339" Type="http://schemas.openxmlformats.org/officeDocument/2006/relationships/hyperlink" Target="https://ref.ly/Rom8:13" TargetMode="External"/><Relationship Id="rId2340" Type="http://schemas.openxmlformats.org/officeDocument/2006/relationships/hyperlink" Target="https://ref.ly/Rom6:13" TargetMode="External"/><Relationship Id="rId2341" Type="http://schemas.openxmlformats.org/officeDocument/2006/relationships/hyperlink" Target="https://ref.ly/Col3:5" TargetMode="External"/><Relationship Id="rId2342" Type="http://schemas.openxmlformats.org/officeDocument/2006/relationships/hyperlink" Target="https://ref.ly/Gal5:16" TargetMode="External"/><Relationship Id="rId2343" Type="http://schemas.openxmlformats.org/officeDocument/2006/relationships/hyperlink" Target="https://ref.ly/Rom8:4" TargetMode="External"/><Relationship Id="rId2344" Type="http://schemas.openxmlformats.org/officeDocument/2006/relationships/hyperlink" Target="https://ref.ly/Gen11:28" TargetMode="External"/><Relationship Id="rId2345" Type="http://schemas.openxmlformats.org/officeDocument/2006/relationships/hyperlink" Target="https://ref.ly/Job1:17" TargetMode="External"/><Relationship Id="rId2346" Type="http://schemas.openxmlformats.org/officeDocument/2006/relationships/hyperlink" Target="https://ref.ly/Gen14:1-Gen14:2" TargetMode="External"/><Relationship Id="rId2347" Type="http://schemas.openxmlformats.org/officeDocument/2006/relationships/hyperlink" Target="https://ref.ly/2Kgs20:12" TargetMode="External"/><Relationship Id="rId2348" Type="http://schemas.openxmlformats.org/officeDocument/2006/relationships/hyperlink" Target="https://ref.ly/2Chr35:20" TargetMode="External"/><Relationship Id="rId2349" Type="http://schemas.openxmlformats.org/officeDocument/2006/relationships/hyperlink" Target="https://ref.ly/2Kgs24:7" TargetMode="External"/><Relationship Id="rId2350" Type="http://schemas.openxmlformats.org/officeDocument/2006/relationships/hyperlink" Target="https://ref.ly/2Kgs24:1" TargetMode="External"/><Relationship Id="rId2351" Type="http://schemas.openxmlformats.org/officeDocument/2006/relationships/hyperlink" Target="https://ref.ly/2Chr36:5-2Chr36:7" TargetMode="External"/><Relationship Id="rId2352" Type="http://schemas.openxmlformats.org/officeDocument/2006/relationships/hyperlink" Target="https://ref.ly/Dan1:1-Dan1:4" TargetMode="External"/><Relationship Id="rId2353" Type="http://schemas.openxmlformats.org/officeDocument/2006/relationships/hyperlink" Target="https://ref.ly/2Kgs24:8-2Kgs24:16" TargetMode="External"/><Relationship Id="rId2354" Type="http://schemas.openxmlformats.org/officeDocument/2006/relationships/hyperlink" Target="https://ref.ly/2Kgs24:20-2Kgs25:12" TargetMode="External"/><Relationship Id="rId2355" Type="http://schemas.openxmlformats.org/officeDocument/2006/relationships/hyperlink" Target="https://ref.ly/2Chr36:11-2Chr36:21" TargetMode="External"/><Relationship Id="rId2356" Type="http://schemas.openxmlformats.org/officeDocument/2006/relationships/hyperlink" Target="https://ref.ly/Dan4:30-Dan4:33" TargetMode="External"/><Relationship Id="rId2357" Type="http://schemas.openxmlformats.org/officeDocument/2006/relationships/hyperlink" Target="https://ref.ly/2Kgs25:27" TargetMode="External"/><Relationship Id="rId2358" Type="http://schemas.openxmlformats.org/officeDocument/2006/relationships/hyperlink" Target="https://ref.ly/Jer52:31" TargetMode="External"/><Relationship Id="rId2359" Type="http://schemas.openxmlformats.org/officeDocument/2006/relationships/hyperlink" Target="https://ref.ly/Jer39:3" TargetMode="External"/><Relationship Id="rId2360" Type="http://schemas.openxmlformats.org/officeDocument/2006/relationships/hyperlink" Target="https://ref.ly/Dan5:7" TargetMode="External"/><Relationship Id="rId2361" Type="http://schemas.openxmlformats.org/officeDocument/2006/relationships/hyperlink" Target="https://ref.ly/Dan5:1-Dan5:31" TargetMode="External"/><Relationship Id="rId2362" Type="http://schemas.openxmlformats.org/officeDocument/2006/relationships/hyperlink" Target="https://ref.ly/Gen5:32" TargetMode="External"/><Relationship Id="rId2363" Type="http://schemas.openxmlformats.org/officeDocument/2006/relationships/hyperlink" Target="https://ref.ly/Gen6:10" TargetMode="External"/><Relationship Id="rId2364" Type="http://schemas.openxmlformats.org/officeDocument/2006/relationships/hyperlink" Target="https://ref.ly/Gen7:13" TargetMode="External"/><Relationship Id="rId2365" Type="http://schemas.openxmlformats.org/officeDocument/2006/relationships/hyperlink" Target="https://ref.ly/Gen9:18,Gen9:22" TargetMode="External"/><Relationship Id="rId2366" Type="http://schemas.openxmlformats.org/officeDocument/2006/relationships/hyperlink" Target="https://ref.ly/Gen10:1,Gen10:6,Gen10:20" TargetMode="External"/><Relationship Id="rId2367" Type="http://schemas.openxmlformats.org/officeDocument/2006/relationships/hyperlink" Target="https://ref.ly/Gen10:6" TargetMode="External"/><Relationship Id="rId2368" Type="http://schemas.openxmlformats.org/officeDocument/2006/relationships/hyperlink" Target="https://ref.ly/1Chr1:8" TargetMode="External"/><Relationship Id="rId2369" Type="http://schemas.openxmlformats.org/officeDocument/2006/relationships/hyperlink" Target="https://ref.ly/Gen9:20-Gen9:24" TargetMode="External"/><Relationship Id="rId2370" Type="http://schemas.openxmlformats.org/officeDocument/2006/relationships/hyperlink" Target="https://ref.ly/Gen9:24" TargetMode="External"/><Relationship Id="rId2371" Type="http://schemas.openxmlformats.org/officeDocument/2006/relationships/hyperlink" Target="https://ref.ly/Gen9:18" TargetMode="External"/><Relationship Id="rId2372" Type="http://schemas.openxmlformats.org/officeDocument/2006/relationships/hyperlink" Target="https://ref.ly/Gen10:1" TargetMode="External"/><Relationship Id="rId2373" Type="http://schemas.openxmlformats.org/officeDocument/2006/relationships/hyperlink" Target="https://ref.ly/Rom16:23" TargetMode="External"/><Relationship Id="rId2374" Type="http://schemas.openxmlformats.org/officeDocument/2006/relationships/hyperlink" Target="https://ref.ly/2Kgs23:11" TargetMode="External"/><Relationship Id="rId2375" Type="http://schemas.openxmlformats.org/officeDocument/2006/relationships/hyperlink" Target="https://ref.ly/Esth1:10,Esth1:12,Esth1:15" TargetMode="External"/><Relationship Id="rId2376" Type="http://schemas.openxmlformats.org/officeDocument/2006/relationships/hyperlink" Target="https://ref.ly/Esth2:3,Esth2:14-Esth2:15" TargetMode="External"/><Relationship Id="rId2377" Type="http://schemas.openxmlformats.org/officeDocument/2006/relationships/hyperlink" Target="https://ref.ly/Esth4:4-Esth4:5" TargetMode="External"/><Relationship Id="rId2378" Type="http://schemas.openxmlformats.org/officeDocument/2006/relationships/hyperlink" Target="https://ref.ly/Esth6:2,Esth6:14" TargetMode="External"/><Relationship Id="rId2379" Type="http://schemas.openxmlformats.org/officeDocument/2006/relationships/hyperlink" Target="https://ref.ly/Esth7:9" TargetMode="External"/><Relationship Id="rId2380" Type="http://schemas.openxmlformats.org/officeDocument/2006/relationships/hyperlink" Target="https://ref.ly/Acts7:11" TargetMode="External"/><Relationship Id="rId2381" Type="http://schemas.openxmlformats.org/officeDocument/2006/relationships/hyperlink" Target="https://ref.ly/Acts13:19" TargetMode="External"/><Relationship Id="rId2382" Type="http://schemas.openxmlformats.org/officeDocument/2006/relationships/hyperlink" Target="https://ref.ly/2Sam5:11" TargetMode="External"/><Relationship Id="rId2383" Type="http://schemas.openxmlformats.org/officeDocument/2006/relationships/hyperlink" Target="https://ref.ly/1Kgs10:14-1Kgs10:29" TargetMode="External"/><Relationship Id="rId2384" Type="http://schemas.openxmlformats.org/officeDocument/2006/relationships/hyperlink" Target="https://ref.ly/Matt17:24" TargetMode="External"/><Relationship Id="rId2385" Type="http://schemas.openxmlformats.org/officeDocument/2006/relationships/hyperlink" Target="https://ref.ly/Matt21:12" TargetMode="External"/><Relationship Id="rId2386" Type="http://schemas.openxmlformats.org/officeDocument/2006/relationships/hyperlink" Target="https://ref.ly/Matt25:27" TargetMode="External"/><Relationship Id="rId2387" Type="http://schemas.openxmlformats.org/officeDocument/2006/relationships/hyperlink" Target="https://ref.ly/Mark11:15" TargetMode="External"/><Relationship Id="rId2388" Type="http://schemas.openxmlformats.org/officeDocument/2006/relationships/hyperlink" Target="https://ref.ly/Luke19:23" TargetMode="External"/><Relationship Id="rId2389" Type="http://schemas.openxmlformats.org/officeDocument/2006/relationships/hyperlink" Target="https://ref.ly/John2:14-John2:15" TargetMode="External"/><Relationship Id="rId2390" Type="http://schemas.openxmlformats.org/officeDocument/2006/relationships/hyperlink" Target="https://ref.ly/Exod22:25" TargetMode="External"/><Relationship Id="rId2391" Type="http://schemas.openxmlformats.org/officeDocument/2006/relationships/hyperlink" Target="https://ref.ly/Deut15:1-Deut15:18" TargetMode="External"/><Relationship Id="rId2392" Type="http://schemas.openxmlformats.org/officeDocument/2006/relationships/hyperlink" Target="https://ref.ly/Neh5:6-Neh5:13" TargetMode="External"/><Relationship Id="rId2393" Type="http://schemas.openxmlformats.org/officeDocument/2006/relationships/hyperlink" Target="https://ref.ly/Ezek18:8,Ezek18:13,Ezek18:17" TargetMode="External"/><Relationship Id="rId2394" Type="http://schemas.openxmlformats.org/officeDocument/2006/relationships/hyperlink" Target="https://ref.ly/Ezek22:12" TargetMode="External"/><Relationship Id="rId2395" Type="http://schemas.openxmlformats.org/officeDocument/2006/relationships/hyperlink" Target="https://ref.ly/Ps109:11" TargetMode="External"/><Relationship Id="rId2396" Type="http://schemas.openxmlformats.org/officeDocument/2006/relationships/hyperlink" Target="https://ref.ly/Isa24:2" TargetMode="External"/><Relationship Id="rId2397" Type="http://schemas.openxmlformats.org/officeDocument/2006/relationships/hyperlink" Target="https://ref.ly/Isa50:1" TargetMode="External"/><Relationship Id="rId2398" Type="http://schemas.openxmlformats.org/officeDocument/2006/relationships/hyperlink" Target="https://ref.ly/Luke7:41-Luke7:42" TargetMode="External"/><Relationship Id="rId2399" Type="http://schemas.openxmlformats.org/officeDocument/2006/relationships/hyperlink" Target="https://ref.ly/Gen1:1-Gen1:2,Gen1:6-Gen1:7" TargetMode="External"/><Relationship Id="rId2400" Type="http://schemas.openxmlformats.org/officeDocument/2006/relationships/hyperlink" Target="https://ref.ly/Gen27:42-Gen27:43" TargetMode="External"/><Relationship Id="rId2401" Type="http://schemas.openxmlformats.org/officeDocument/2006/relationships/hyperlink" Target="https://ref.ly/Gen30:43" TargetMode="External"/><Relationship Id="rId2402" Type="http://schemas.openxmlformats.org/officeDocument/2006/relationships/hyperlink" Target="https://ref.ly/Gen11:27-Gen11:29" TargetMode="External"/><Relationship Id="rId2403" Type="http://schemas.openxmlformats.org/officeDocument/2006/relationships/hyperlink" Target="https://ref.ly/Gen24:10" TargetMode="External"/><Relationship Id="rId2404" Type="http://schemas.openxmlformats.org/officeDocument/2006/relationships/hyperlink" Target="https://ref.ly/Gen27:43" TargetMode="External"/><Relationship Id="rId2405" Type="http://schemas.openxmlformats.org/officeDocument/2006/relationships/hyperlink" Target="https://ref.ly/Acts7:2,Acts7:4" TargetMode="External"/><Relationship Id="rId2406" Type="http://schemas.openxmlformats.org/officeDocument/2006/relationships/hyperlink" Target="https://ref.ly/2Kgs12:11" TargetMode="External"/><Relationship Id="rId2407" Type="http://schemas.openxmlformats.org/officeDocument/2006/relationships/hyperlink" Target="https://ref.ly/2Kgs22:6" TargetMode="External"/><Relationship Id="rId2408" Type="http://schemas.openxmlformats.org/officeDocument/2006/relationships/hyperlink" Target="https://ref.ly/1Chr14:1" TargetMode="External"/><Relationship Id="rId2409" Type="http://schemas.openxmlformats.org/officeDocument/2006/relationships/hyperlink" Target="https://ref.ly/1Chr22:15" TargetMode="External"/><Relationship Id="rId2410" Type="http://schemas.openxmlformats.org/officeDocument/2006/relationships/hyperlink" Target="https://ref.ly/2Chr24:12" TargetMode="External"/><Relationship Id="rId2411" Type="http://schemas.openxmlformats.org/officeDocument/2006/relationships/hyperlink" Target="https://ref.ly/Ezra3:7" TargetMode="External"/><Relationship Id="rId2412" Type="http://schemas.openxmlformats.org/officeDocument/2006/relationships/hyperlink" Target="https://ref.ly/Matt13:55" TargetMode="External"/><Relationship Id="rId2413" Type="http://schemas.openxmlformats.org/officeDocument/2006/relationships/hyperlink" Target="https://ref.ly/Mark6:3" TargetMode="External"/><Relationship Id="rId2414" Type="http://schemas.openxmlformats.org/officeDocument/2006/relationships/hyperlink" Target="https://ref.ly/Gen10:9" TargetMode="External"/><Relationship Id="rId2415" Type="http://schemas.openxmlformats.org/officeDocument/2006/relationships/hyperlink" Target="https://ref.ly/Gen25:27" TargetMode="External"/><Relationship Id="rId2416" Type="http://schemas.openxmlformats.org/officeDocument/2006/relationships/hyperlink" Target="https://ref.ly/Deut14:4-Deut14:6" TargetMode="External"/><Relationship Id="rId2417" Type="http://schemas.openxmlformats.org/officeDocument/2006/relationships/hyperlink" Target="https://ref.ly/1Kgs4:23" TargetMode="External"/><Relationship Id="rId2418" Type="http://schemas.openxmlformats.org/officeDocument/2006/relationships/hyperlink" Target="https://ref.ly/1Sam26:20" TargetMode="External"/><Relationship Id="rId2419" Type="http://schemas.openxmlformats.org/officeDocument/2006/relationships/hyperlink" Target="https://ref.ly/Deut14:11-Deut14:18" TargetMode="External"/><Relationship Id="rId2420" Type="http://schemas.openxmlformats.org/officeDocument/2006/relationships/hyperlink" Target="https://ref.ly/Prov12:27" TargetMode="External"/><Relationship Id="rId2421" Type="http://schemas.openxmlformats.org/officeDocument/2006/relationships/hyperlink" Target="https://ref.ly/Judg14:6" TargetMode="External"/><Relationship Id="rId2422" Type="http://schemas.openxmlformats.org/officeDocument/2006/relationships/hyperlink" Target="https://ref.ly/1Sam17:34-1Sam17:37" TargetMode="External"/><Relationship Id="rId2423" Type="http://schemas.openxmlformats.org/officeDocument/2006/relationships/hyperlink" Target="https://ref.ly/2Sam23:20" TargetMode="External"/><Relationship Id="rId2424" Type="http://schemas.openxmlformats.org/officeDocument/2006/relationships/hyperlink" Target="https://ref.ly/1Sam17:40" TargetMode="External"/><Relationship Id="rId2425" Type="http://schemas.openxmlformats.org/officeDocument/2006/relationships/hyperlink" Target="https://ref.ly/Ps23:4" TargetMode="External"/><Relationship Id="rId2426" Type="http://schemas.openxmlformats.org/officeDocument/2006/relationships/hyperlink" Target="https://ref.ly/Job41:29" TargetMode="External"/><Relationship Id="rId2427" Type="http://schemas.openxmlformats.org/officeDocument/2006/relationships/hyperlink" Target="https://ref.ly/Job19:6" TargetMode="External"/><Relationship Id="rId2428" Type="http://schemas.openxmlformats.org/officeDocument/2006/relationships/hyperlink" Target="https://ref.ly/Ps91:3" TargetMode="External"/><Relationship Id="rId2429" Type="http://schemas.openxmlformats.org/officeDocument/2006/relationships/hyperlink" Target="https://ref.ly/Ps7:15" TargetMode="External"/><Relationship Id="rId2430" Type="http://schemas.openxmlformats.org/officeDocument/2006/relationships/hyperlink" Target="https://ref.ly/Ps35:7" TargetMode="External"/><Relationship Id="rId2431" Type="http://schemas.openxmlformats.org/officeDocument/2006/relationships/hyperlink" Target="https://ref.ly/Prov22:14" TargetMode="External"/><Relationship Id="rId2432" Type="http://schemas.openxmlformats.org/officeDocument/2006/relationships/hyperlink" Target="https://ref.ly/Prov26:27" TargetMode="External"/><Relationship Id="rId2433" Type="http://schemas.openxmlformats.org/officeDocument/2006/relationships/hyperlink" Target="https://ref.ly/Isa24:17-Isa24:18" TargetMode="External"/><Relationship Id="rId2434" Type="http://schemas.openxmlformats.org/officeDocument/2006/relationships/hyperlink" Target="https://ref.ly/Amos3:5" TargetMode="External"/><Relationship Id="rId2435" Type="http://schemas.openxmlformats.org/officeDocument/2006/relationships/hyperlink" Target="https://ref.ly/Ps69:22" TargetMode="External"/><Relationship Id="rId2436" Type="http://schemas.openxmlformats.org/officeDocument/2006/relationships/hyperlink" Target="https://ref.ly/Hos9:8" TargetMode="External"/><Relationship Id="rId2437" Type="http://schemas.openxmlformats.org/officeDocument/2006/relationships/hyperlink" Target="https://ref.ly/Ps140:5" TargetMode="External"/><Relationship Id="rId2438" Type="http://schemas.openxmlformats.org/officeDocument/2006/relationships/hyperlink" Target="https://ref.ly/Jer5:26" TargetMode="External"/><Relationship Id="rId2439" Type="http://schemas.openxmlformats.org/officeDocument/2006/relationships/hyperlink" Target="https://ref.ly/Jer16:16" TargetMode="External"/><Relationship Id="rId2440" Type="http://schemas.openxmlformats.org/officeDocument/2006/relationships/hyperlink" Target="https://ref.ly/Ezek19:8" TargetMode="External"/><Relationship Id="rId2441" Type="http://schemas.openxmlformats.org/officeDocument/2006/relationships/hyperlink" Target="https://ref.ly/Gen9:5-Gen9:6" TargetMode="External"/><Relationship Id="rId2442" Type="http://schemas.openxmlformats.org/officeDocument/2006/relationships/hyperlink" Target="https://ref.ly/Rom13:1-Rom13:5" TargetMode="External"/><Relationship Id="rId2443" Type="http://schemas.openxmlformats.org/officeDocument/2006/relationships/hyperlink" Target="https://ref.ly/Rom5:8" TargetMode="External"/><Relationship Id="rId2444" Type="http://schemas.openxmlformats.org/officeDocument/2006/relationships/hyperlink" Target="https://ref.ly/Gal3:13" TargetMode="External"/><Relationship Id="rId2445" Type="http://schemas.openxmlformats.org/officeDocument/2006/relationships/hyperlink" Target="https://ref.ly/Matt9:18-Matt9:26" TargetMode="External"/><Relationship Id="rId2446" Type="http://schemas.openxmlformats.org/officeDocument/2006/relationships/hyperlink" Target="https://ref.ly/Mark5:21-Mark5:43" TargetMode="External"/><Relationship Id="rId2447" Type="http://schemas.openxmlformats.org/officeDocument/2006/relationships/hyperlink" Target="https://ref.ly/Luke8:41-Luke8:56" TargetMode="External"/><Relationship Id="rId2448" Type="http://schemas.openxmlformats.org/officeDocument/2006/relationships/hyperlink" Target="https://ref.ly/Luke13:14" TargetMode="External"/><Relationship Id="rId2449" Type="http://schemas.openxmlformats.org/officeDocument/2006/relationships/hyperlink" Target="https://ref.ly/Acts13:15" TargetMode="External"/><Relationship Id="rId2450" Type="http://schemas.openxmlformats.org/officeDocument/2006/relationships/hyperlink" Target="https://ref.ly/Acts18:8" TargetMode="External"/><Relationship Id="rId2451" Type="http://schemas.openxmlformats.org/officeDocument/2006/relationships/hyperlink" Target="https://ref.ly/Deut6:4" TargetMode="External"/><Relationship Id="rId2452" Type="http://schemas.openxmlformats.org/officeDocument/2006/relationships/hyperlink" Target="https://ref.ly/Deut6:4-Deut6:9" TargetMode="External"/><Relationship Id="rId2453" Type="http://schemas.openxmlformats.org/officeDocument/2006/relationships/hyperlink" Target="https://ref.ly/Mark12:29" TargetMode="External"/><Relationship Id="rId2454" Type="http://schemas.openxmlformats.org/officeDocument/2006/relationships/hyperlink" Target="https://ref.ly/Exod16:27-Exod16:30" TargetMode="External"/><Relationship Id="rId2455" Type="http://schemas.openxmlformats.org/officeDocument/2006/relationships/hyperlink" Target="https://ref.ly/Josh3:4" TargetMode="External"/><Relationship Id="rId2456" Type="http://schemas.openxmlformats.org/officeDocument/2006/relationships/hyperlink" Target="https://ref.ly/Num35:4-Num35:5" TargetMode="External"/><Relationship Id="rId2457" Type="http://schemas.openxmlformats.org/officeDocument/2006/relationships/hyperlink" Target="https://ref.ly/Gen14:5-Gen14:6" TargetMode="External"/><Relationship Id="rId2458" Type="http://schemas.openxmlformats.org/officeDocument/2006/relationships/hyperlink" Target="https://ref.ly/Gen35:8" TargetMode="External"/><Relationship Id="rId2459" Type="http://schemas.openxmlformats.org/officeDocument/2006/relationships/hyperlink" Target="https://ref.ly/Gen13:18" TargetMode="External"/><Relationship Id="rId2460" Type="http://schemas.openxmlformats.org/officeDocument/2006/relationships/hyperlink" Target="https://ref.ly/Ezek1:5-Ezek1:24" TargetMode="External"/><Relationship Id="rId2461" Type="http://schemas.openxmlformats.org/officeDocument/2006/relationships/hyperlink" Target="https://ref.ly/Ezek10:2-Ezek10:22" TargetMode="External"/><Relationship Id="rId2462" Type="http://schemas.openxmlformats.org/officeDocument/2006/relationships/hyperlink" Target="https://ref.ly/Ezek28:13-Ezek28:16" TargetMode="External"/><Relationship Id="rId2463" Type="http://schemas.openxmlformats.org/officeDocument/2006/relationships/hyperlink" Target="https://ref.ly/Ezek41:18" TargetMode="External"/><Relationship Id="rId2464" Type="http://schemas.openxmlformats.org/officeDocument/2006/relationships/hyperlink" Target="https://ref.ly/Ezek1:10" TargetMode="External"/><Relationship Id="rId2465" Type="http://schemas.openxmlformats.org/officeDocument/2006/relationships/hyperlink" Target="https://ref.ly/Ezek10:14" TargetMode="External"/><Relationship Id="rId2466" Type="http://schemas.openxmlformats.org/officeDocument/2006/relationships/hyperlink" Target="https://ref.ly/Ezek1:7" TargetMode="External"/><Relationship Id="rId2467" Type="http://schemas.openxmlformats.org/officeDocument/2006/relationships/hyperlink" Target="https://ref.ly/Rev4:6-Rev4:9" TargetMode="External"/><Relationship Id="rId2468" Type="http://schemas.openxmlformats.org/officeDocument/2006/relationships/hyperlink" Target="https://ref.ly/Rev5:6-Rev5:14" TargetMode="External"/><Relationship Id="rId2469" Type="http://schemas.openxmlformats.org/officeDocument/2006/relationships/hyperlink" Target="https://ref.ly/Rev6:1-Rev6:8" TargetMode="External"/><Relationship Id="rId2470" Type="http://schemas.openxmlformats.org/officeDocument/2006/relationships/hyperlink" Target="https://ref.ly/Rev7:1-Rev7:11" TargetMode="External"/><Relationship Id="rId2471" Type="http://schemas.openxmlformats.org/officeDocument/2006/relationships/hyperlink" Target="https://ref.ly/Rev14:3" TargetMode="External"/><Relationship Id="rId2472" Type="http://schemas.openxmlformats.org/officeDocument/2006/relationships/hyperlink" Target="https://ref.ly/Rev15:7" TargetMode="External"/><Relationship Id="rId2473" Type="http://schemas.openxmlformats.org/officeDocument/2006/relationships/hyperlink" Target="https://ref.ly/Rev19:4" TargetMode="External"/><Relationship Id="rId2474" Type="http://schemas.openxmlformats.org/officeDocument/2006/relationships/hyperlink" Target="https://ref.ly/Ezek10:1-Ezek10:22" TargetMode="External"/><Relationship Id="rId2475" Type="http://schemas.openxmlformats.org/officeDocument/2006/relationships/hyperlink" Target="https://ref.ly/Ezek10:2,Ezek10:7" TargetMode="External"/><Relationship Id="rId2476" Type="http://schemas.openxmlformats.org/officeDocument/2006/relationships/hyperlink" Target="https://ref.ly/1Sam4:4" TargetMode="External"/><Relationship Id="rId2477" Type="http://schemas.openxmlformats.org/officeDocument/2006/relationships/hyperlink" Target="https://ref.ly/2Sam6:2" TargetMode="External"/><Relationship Id="rId2478" Type="http://schemas.openxmlformats.org/officeDocument/2006/relationships/hyperlink" Target="https://ref.ly/Exod25:22" TargetMode="External"/><Relationship Id="rId2479" Type="http://schemas.openxmlformats.org/officeDocument/2006/relationships/hyperlink" Target="https://ref.ly/Ezek1:26" TargetMode="External"/><Relationship Id="rId2480" Type="http://schemas.openxmlformats.org/officeDocument/2006/relationships/hyperlink" Target="https://ref.ly/Ezek10:1" TargetMode="External"/><Relationship Id="rId2481" Type="http://schemas.openxmlformats.org/officeDocument/2006/relationships/hyperlink" Target="https://ref.ly/Ps104:3" TargetMode="External"/><Relationship Id="rId2482" Type="http://schemas.openxmlformats.org/officeDocument/2006/relationships/hyperlink" Target="https://ref.ly/Isa19:1" TargetMode="External"/><Relationship Id="rId2483" Type="http://schemas.openxmlformats.org/officeDocument/2006/relationships/hyperlink" Target="https://ref.ly/2Sam22:11" TargetMode="External"/><Relationship Id="rId2484" Type="http://schemas.openxmlformats.org/officeDocument/2006/relationships/hyperlink" Target="https://ref.ly/Ps18:10" TargetMode="External"/><Relationship Id="rId2485" Type="http://schemas.openxmlformats.org/officeDocument/2006/relationships/hyperlink" Target="https://ref.ly/Exod25:18-Exod25:20" TargetMode="External"/><Relationship Id="rId2486" Type="http://schemas.openxmlformats.org/officeDocument/2006/relationships/hyperlink" Target="https://ref.ly/Exod37:7-Exod37:9" TargetMode="External"/><Relationship Id="rId2487" Type="http://schemas.openxmlformats.org/officeDocument/2006/relationships/hyperlink" Target="https://ref.ly/1Kgs7:29,1Kgs7:36" TargetMode="External"/><Relationship Id="rId2488" Type="http://schemas.openxmlformats.org/officeDocument/2006/relationships/hyperlink" Target="https://ref.ly/Ezek41:17-Ezek41:20" TargetMode="External"/><Relationship Id="rId2489" Type="http://schemas.openxmlformats.org/officeDocument/2006/relationships/hyperlink" Target="https://ref.ly/Jdt4:4" TargetMode="External"/><Relationship Id="rId2490" Type="http://schemas.openxmlformats.org/officeDocument/2006/relationships/hyperlink" Target="https://ref.ly/Gen14:15" TargetMode="External"/><Relationship Id="rId2491" Type="http://schemas.openxmlformats.org/officeDocument/2006/relationships/hyperlink" Target="https://ref.ly/Jdt15:4-Jdt15:5" TargetMode="External"/><Relationship Id="rId2492" Type="http://schemas.openxmlformats.org/officeDocument/2006/relationships/hyperlink" Target="https://ref.ly/Acts26:28" TargetMode="External"/><Relationship Id="rId2493" Type="http://schemas.openxmlformats.org/officeDocument/2006/relationships/hyperlink" Target="https://ref.ly/1Pet4:16" TargetMode="External"/><Relationship Id="rId2494" Type="http://schemas.openxmlformats.org/officeDocument/2006/relationships/hyperlink" Target="https://ref.ly/John1:41" TargetMode="External"/><Relationship Id="rId2495" Type="http://schemas.openxmlformats.org/officeDocument/2006/relationships/hyperlink" Target="https://ref.ly/Mark1:1" TargetMode="External"/><Relationship Id="rId2496" Type="http://schemas.openxmlformats.org/officeDocument/2006/relationships/hyperlink" Target="https://ref.ly/Rom1:4" TargetMode="External"/><Relationship Id="rId2497" Type="http://schemas.openxmlformats.org/officeDocument/2006/relationships/hyperlink" Target="https://ref.ly/Rom1:1" TargetMode="External"/><Relationship Id="rId2498" Type="http://schemas.openxmlformats.org/officeDocument/2006/relationships/hyperlink" Target="https://ref.ly/Rom7:4" TargetMode="External"/><Relationship Id="rId2499" Type="http://schemas.openxmlformats.org/officeDocument/2006/relationships/hyperlink" Target="https://ref.ly/Rom16:18" TargetMode="External"/><Relationship Id="rId2500" Type="http://schemas.openxmlformats.org/officeDocument/2006/relationships/hyperlink" Target="https://ref.ly/John20:31" TargetMode="External"/><Relationship Id="rId2501" Type="http://schemas.openxmlformats.org/officeDocument/2006/relationships/hyperlink" Target="https://ref.ly/Rom15:3" TargetMode="External"/><Relationship Id="rId2502" Type="http://schemas.openxmlformats.org/officeDocument/2006/relationships/hyperlink" Target="https://ref.ly/Heb3:6" TargetMode="External"/><Relationship Id="rId2503" Type="http://schemas.openxmlformats.org/officeDocument/2006/relationships/hyperlink" Target="https://ref.ly/Heb5:5" TargetMode="External"/><Relationship Id="rId2504" Type="http://schemas.openxmlformats.org/officeDocument/2006/relationships/hyperlink" Target="https://ref.ly/1Pet1:11,1Pet1:19" TargetMode="External"/><Relationship Id="rId2505" Type="http://schemas.openxmlformats.org/officeDocument/2006/relationships/hyperlink" Target="https://ref.ly/Matt11:14" TargetMode="External"/><Relationship Id="rId2506" Type="http://schemas.openxmlformats.org/officeDocument/2006/relationships/hyperlink" Target="https://ref.ly/Matt3:16-Matt4:17" TargetMode="External"/><Relationship Id="rId2507" Type="http://schemas.openxmlformats.org/officeDocument/2006/relationships/hyperlink" Target="https://ref.ly/John1:20" TargetMode="External"/><Relationship Id="rId2508" Type="http://schemas.openxmlformats.org/officeDocument/2006/relationships/hyperlink" Target="https://ref.ly/Luke3:14-Luke3:17" TargetMode="External"/><Relationship Id="rId2509" Type="http://schemas.openxmlformats.org/officeDocument/2006/relationships/hyperlink" Target="https://ref.ly/Mark1:24" TargetMode="External"/><Relationship Id="rId2510" Type="http://schemas.openxmlformats.org/officeDocument/2006/relationships/hyperlink" Target="https://ref.ly/Matt8:29" TargetMode="External"/><Relationship Id="rId2511" Type="http://schemas.openxmlformats.org/officeDocument/2006/relationships/hyperlink" Target="https://ref.ly/John6:14,John6:32" TargetMode="External"/><Relationship Id="rId2512" Type="http://schemas.openxmlformats.org/officeDocument/2006/relationships/hyperlink" Target="https://ref.ly/John6:69" TargetMode="External"/><Relationship Id="rId2513" Type="http://schemas.openxmlformats.org/officeDocument/2006/relationships/hyperlink" Target="https://ref.ly/Matt16:16" TargetMode="External"/><Relationship Id="rId2514" Type="http://schemas.openxmlformats.org/officeDocument/2006/relationships/hyperlink" Target="https://ref.ly/Matt26:63-Matt26:64,Matt26:68" TargetMode="External"/><Relationship Id="rId2515" Type="http://schemas.openxmlformats.org/officeDocument/2006/relationships/hyperlink" Target="https://ref.ly/Matt27:11,Matt27:17,Matt27:22,Matt27:37" TargetMode="External"/><Relationship Id="rId2516" Type="http://schemas.openxmlformats.org/officeDocument/2006/relationships/hyperlink" Target="https://ref.ly/Acts2:36" TargetMode="External"/><Relationship Id="rId2517" Type="http://schemas.openxmlformats.org/officeDocument/2006/relationships/hyperlink" Target="https://ref.ly/Acts3:18-Acts3:20" TargetMode="External"/><Relationship Id="rId2518" Type="http://schemas.openxmlformats.org/officeDocument/2006/relationships/hyperlink" Target="https://ref.ly/Acts9:22" TargetMode="External"/><Relationship Id="rId2519" Type="http://schemas.openxmlformats.org/officeDocument/2006/relationships/hyperlink" Target="https://ref.ly/Acts28:23,Acts28:31" TargetMode="External"/><Relationship Id="rId2520" Type="http://schemas.openxmlformats.org/officeDocument/2006/relationships/hyperlink" Target="https://ref.ly/1Cor1:23" TargetMode="External"/><Relationship Id="rId2521" Type="http://schemas.openxmlformats.org/officeDocument/2006/relationships/hyperlink" Target="https://ref.ly/1John5:1" TargetMode="External"/><Relationship Id="rId2522" Type="http://schemas.openxmlformats.org/officeDocument/2006/relationships/hyperlink" Target="https://ref.ly/Luke7:16" TargetMode="External"/><Relationship Id="rId2523" Type="http://schemas.openxmlformats.org/officeDocument/2006/relationships/hyperlink" Target="https://ref.ly/1Cor15:25" TargetMode="External"/><Relationship Id="rId2524" Type="http://schemas.openxmlformats.org/officeDocument/2006/relationships/hyperlink" Target="https://ref.ly/Heb7:22-Heb7:28" TargetMode="External"/><Relationship Id="rId2525" Type="http://schemas.openxmlformats.org/officeDocument/2006/relationships/hyperlink" Target="https://ref.ly/Rev19:16" TargetMode="External"/><Relationship Id="rId2526" Type="http://schemas.openxmlformats.org/officeDocument/2006/relationships/hyperlink" Target="https://ref.ly/Acts13:33" TargetMode="External"/><Relationship Id="rId2527" Type="http://schemas.openxmlformats.org/officeDocument/2006/relationships/hyperlink" Target="https://ref.ly/John8:58" TargetMode="External"/><Relationship Id="rId2528" Type="http://schemas.openxmlformats.org/officeDocument/2006/relationships/hyperlink" Target="https://ref.ly/John17:4-John17:5" TargetMode="External"/><Relationship Id="rId2529" Type="http://schemas.openxmlformats.org/officeDocument/2006/relationships/hyperlink" Target="https://ref.ly/Phil2:6-Phil2:8" TargetMode="External"/><Relationship Id="rId2530" Type="http://schemas.openxmlformats.org/officeDocument/2006/relationships/hyperlink" Target="https://ref.ly/Gen1:1-Gen2:13" TargetMode="External"/><Relationship Id="rId2531" Type="http://schemas.openxmlformats.org/officeDocument/2006/relationships/hyperlink" Target="https://ref.ly/Gen3:1-Gen3:10" TargetMode="External"/><Relationship Id="rId2532" Type="http://schemas.openxmlformats.org/officeDocument/2006/relationships/hyperlink" Target="https://ref.ly/Gen4:1-Gen4:14" TargetMode="External"/><Relationship Id="rId2533" Type="http://schemas.openxmlformats.org/officeDocument/2006/relationships/hyperlink" Target="https://ref.ly/Gen6:1-Gen9:29" TargetMode="External"/><Relationship Id="rId2534" Type="http://schemas.openxmlformats.org/officeDocument/2006/relationships/hyperlink" Target="https://ref.ly/Gen11:1-Gen11:17" TargetMode="External"/><Relationship Id="rId2535" Type="http://schemas.openxmlformats.org/officeDocument/2006/relationships/hyperlink" Target="https://ref.ly/Gen5:1-Gen5:32" TargetMode="External"/><Relationship Id="rId2536" Type="http://schemas.openxmlformats.org/officeDocument/2006/relationships/hyperlink" Target="https://ref.ly/Gen11:13" TargetMode="External"/><Relationship Id="rId2537" Type="http://schemas.openxmlformats.org/officeDocument/2006/relationships/hyperlink" Target="https://ref.ly/1Chr1:1-1Chr8:40" TargetMode="External"/><Relationship Id="rId2538" Type="http://schemas.openxmlformats.org/officeDocument/2006/relationships/hyperlink" Target="https://ref.ly/Gen1:1-Gen11:32" TargetMode="External"/><Relationship Id="rId2539" Type="http://schemas.openxmlformats.org/officeDocument/2006/relationships/hyperlink" Target="https://ref.ly/1Kgs6:1" TargetMode="External"/><Relationship Id="rId2540" Type="http://schemas.openxmlformats.org/officeDocument/2006/relationships/hyperlink" Target="https://ref.ly/Gen15:13" TargetMode="External"/><Relationship Id="rId2541" Type="http://schemas.openxmlformats.org/officeDocument/2006/relationships/hyperlink" Target="https://ref.ly/Exod12:40" TargetMode="External"/><Relationship Id="rId2542" Type="http://schemas.openxmlformats.org/officeDocument/2006/relationships/hyperlink" Target="https://ref.ly/Gen12:4" TargetMode="External"/><Relationship Id="rId2543" Type="http://schemas.openxmlformats.org/officeDocument/2006/relationships/hyperlink" Target="https://ref.ly/Gen21:5" TargetMode="External"/><Relationship Id="rId2544" Type="http://schemas.openxmlformats.org/officeDocument/2006/relationships/hyperlink" Target="https://ref.ly/Gen25:26" TargetMode="External"/><Relationship Id="rId2545" Type="http://schemas.openxmlformats.org/officeDocument/2006/relationships/hyperlink" Target="https://ref.ly/Gen47:9" TargetMode="External"/><Relationship Id="rId2546" Type="http://schemas.openxmlformats.org/officeDocument/2006/relationships/hyperlink" Target="https://ref.ly/Gal3:15-Gal3:18" TargetMode="External"/><Relationship Id="rId2547" Type="http://schemas.openxmlformats.org/officeDocument/2006/relationships/hyperlink" Target="https://ref.ly/Num3:17-Num3:19" TargetMode="External"/><Relationship Id="rId2548" Type="http://schemas.openxmlformats.org/officeDocument/2006/relationships/hyperlink" Target="https://ref.ly/1Chr6:1-1Chr6:3" TargetMode="External"/><Relationship Id="rId2549" Type="http://schemas.openxmlformats.org/officeDocument/2006/relationships/hyperlink" Target="https://ref.ly/Gen15:16" TargetMode="External"/><Relationship Id="rId2550" Type="http://schemas.openxmlformats.org/officeDocument/2006/relationships/hyperlink" Target="https://ref.ly/Gen11:31-Gen12:3" TargetMode="External"/><Relationship Id="rId2551" Type="http://schemas.openxmlformats.org/officeDocument/2006/relationships/hyperlink" Target="https://ref.ly/1Kgs5:18" TargetMode="External"/><Relationship Id="rId2552" Type="http://schemas.openxmlformats.org/officeDocument/2006/relationships/hyperlink" Target="https://ref.ly/Judg11:26" TargetMode="External"/><Relationship Id="rId2553" Type="http://schemas.openxmlformats.org/officeDocument/2006/relationships/hyperlink" Target="https://ref.ly/1Chr6:3-1Chr6:8" TargetMode="External"/><Relationship Id="rId2554" Type="http://schemas.openxmlformats.org/officeDocument/2006/relationships/hyperlink" Target="https://ref.ly/Exod1:11" TargetMode="External"/><Relationship Id="rId2555" Type="http://schemas.openxmlformats.org/officeDocument/2006/relationships/hyperlink" Target="https://ref.ly/1Kgs22:51" TargetMode="External"/><Relationship Id="rId2556" Type="http://schemas.openxmlformats.org/officeDocument/2006/relationships/hyperlink" Target="https://ref.ly/2Kgs3:1" TargetMode="External"/><Relationship Id="rId2557" Type="http://schemas.openxmlformats.org/officeDocument/2006/relationships/hyperlink" Target="https://ref.ly/2Kgs9:24-2Kgs9:27" TargetMode="External"/><Relationship Id="rId2558" Type="http://schemas.openxmlformats.org/officeDocument/2006/relationships/hyperlink" Target="https://ref.ly/1Kgs16:15-1Kgs16:18" TargetMode="External"/><Relationship Id="rId2559" Type="http://schemas.openxmlformats.org/officeDocument/2006/relationships/hyperlink" Target="https://ref.ly/1Kgs11:42" TargetMode="External"/><Relationship Id="rId2560" Type="http://schemas.openxmlformats.org/officeDocument/2006/relationships/hyperlink" Target="https://ref.ly/2Kgs18:13-2Kgs18:16" TargetMode="External"/><Relationship Id="rId2561" Type="http://schemas.openxmlformats.org/officeDocument/2006/relationships/hyperlink" Target="https://ref.ly/2Kgs18:13" TargetMode="External"/><Relationship Id="rId2562" Type="http://schemas.openxmlformats.org/officeDocument/2006/relationships/hyperlink" Target="https://ref.ly/2Kgs19:9" TargetMode="External"/><Relationship Id="rId2563" Type="http://schemas.openxmlformats.org/officeDocument/2006/relationships/hyperlink" Target="https://ref.ly/2Kgs19:35-2Kgs19:37" TargetMode="External"/><Relationship Id="rId2564" Type="http://schemas.openxmlformats.org/officeDocument/2006/relationships/hyperlink" Target="https://ref.ly/2Kgs18:10" TargetMode="External"/><Relationship Id="rId2565" Type="http://schemas.openxmlformats.org/officeDocument/2006/relationships/hyperlink" Target="https://ref.ly/Isa36:1" TargetMode="External"/><Relationship Id="rId2566" Type="http://schemas.openxmlformats.org/officeDocument/2006/relationships/hyperlink" Target="https://ref.ly/2Kgs21:1" TargetMode="External"/><Relationship Id="rId2567" Type="http://schemas.openxmlformats.org/officeDocument/2006/relationships/hyperlink" Target="https://ref.ly/2Kgs18:2" TargetMode="External"/><Relationship Id="rId2568" Type="http://schemas.openxmlformats.org/officeDocument/2006/relationships/hyperlink" Target="https://ref.ly/2Kgs24:18" TargetMode="External"/><Relationship Id="rId2569" Type="http://schemas.openxmlformats.org/officeDocument/2006/relationships/hyperlink" Target="https://ref.ly/2Kgs25:1" TargetMode="External"/><Relationship Id="rId2570" Type="http://schemas.openxmlformats.org/officeDocument/2006/relationships/hyperlink" Target="https://ref.ly/2Kgs25:3-2Kgs25:4" TargetMode="External"/><Relationship Id="rId2571" Type="http://schemas.openxmlformats.org/officeDocument/2006/relationships/hyperlink" Target="https://ref.ly/Jer52:30" TargetMode="External"/><Relationship Id="rId2572" Type="http://schemas.openxmlformats.org/officeDocument/2006/relationships/hyperlink" Target="https://ref.ly/Ezra1:1" TargetMode="External"/><Relationship Id="rId2573" Type="http://schemas.openxmlformats.org/officeDocument/2006/relationships/hyperlink" Target="https://ref.ly/Ezra3:6" TargetMode="External"/><Relationship Id="rId2574" Type="http://schemas.openxmlformats.org/officeDocument/2006/relationships/hyperlink" Target="https://ref.ly/Ezra3:8" TargetMode="External"/><Relationship Id="rId2575" Type="http://schemas.openxmlformats.org/officeDocument/2006/relationships/hyperlink" Target="https://ref.ly/Ezra4:24" TargetMode="External"/><Relationship Id="rId2576" Type="http://schemas.openxmlformats.org/officeDocument/2006/relationships/hyperlink" Target="https://ref.ly/Hag1:1,Hag1:15" TargetMode="External"/><Relationship Id="rId2577" Type="http://schemas.openxmlformats.org/officeDocument/2006/relationships/hyperlink" Target="https://ref.ly/Ezra6:15" TargetMode="External"/><Relationship Id="rId2578" Type="http://schemas.openxmlformats.org/officeDocument/2006/relationships/hyperlink" Target="https://ref.ly/Matt2:1" TargetMode="External"/><Relationship Id="rId2579" Type="http://schemas.openxmlformats.org/officeDocument/2006/relationships/hyperlink" Target="https://ref.ly/Luke2:1-Luke2:2" TargetMode="External"/><Relationship Id="rId2580" Type="http://schemas.openxmlformats.org/officeDocument/2006/relationships/hyperlink" Target="https://ref.ly/Luke2:2" TargetMode="External"/><Relationship Id="rId2581" Type="http://schemas.openxmlformats.org/officeDocument/2006/relationships/hyperlink" Target="https://ref.ly/Matt2:16" TargetMode="External"/><Relationship Id="rId2582" Type="http://schemas.openxmlformats.org/officeDocument/2006/relationships/hyperlink" Target="https://ref.ly/Luke3:23" TargetMode="External"/><Relationship Id="rId2583" Type="http://schemas.openxmlformats.org/officeDocument/2006/relationships/hyperlink" Target="https://ref.ly/Luke3:1-Luke3:3" TargetMode="External"/><Relationship Id="rId2584" Type="http://schemas.openxmlformats.org/officeDocument/2006/relationships/hyperlink" Target="https://ref.ly/Matt28:1" TargetMode="External"/><Relationship Id="rId2585" Type="http://schemas.openxmlformats.org/officeDocument/2006/relationships/hyperlink" Target="https://ref.ly/Mark16:1" TargetMode="External"/><Relationship Id="rId2586" Type="http://schemas.openxmlformats.org/officeDocument/2006/relationships/hyperlink" Target="https://ref.ly/Luke24:1" TargetMode="External"/><Relationship Id="rId2587" Type="http://schemas.openxmlformats.org/officeDocument/2006/relationships/hyperlink" Target="https://ref.ly/1Cor15:4" TargetMode="External"/><Relationship Id="rId2588" Type="http://schemas.openxmlformats.org/officeDocument/2006/relationships/hyperlink" Target="https://ref.ly/Matt26:19" TargetMode="External"/><Relationship Id="rId2589" Type="http://schemas.openxmlformats.org/officeDocument/2006/relationships/hyperlink" Target="https://ref.ly/Mark14:12" TargetMode="External"/><Relationship Id="rId2590" Type="http://schemas.openxmlformats.org/officeDocument/2006/relationships/hyperlink" Target="https://ref.ly/Luke22:15" TargetMode="External"/><Relationship Id="rId2591" Type="http://schemas.openxmlformats.org/officeDocument/2006/relationships/hyperlink" Target="https://ref.ly/Exod12:1-Exod15:27" TargetMode="External"/><Relationship Id="rId2592" Type="http://schemas.openxmlformats.org/officeDocument/2006/relationships/hyperlink" Target="https://ref.ly/John13:1" TargetMode="External"/><Relationship Id="rId2593" Type="http://schemas.openxmlformats.org/officeDocument/2006/relationships/hyperlink" Target="https://ref.ly/John19:14" TargetMode="External"/><Relationship Id="rId2594" Type="http://schemas.openxmlformats.org/officeDocument/2006/relationships/hyperlink" Target="https://ref.ly/John19:36" TargetMode="External"/><Relationship Id="rId2595" Type="http://schemas.openxmlformats.org/officeDocument/2006/relationships/hyperlink" Target="https://ref.ly/1Cor5:7" TargetMode="External"/><Relationship Id="rId2596" Type="http://schemas.openxmlformats.org/officeDocument/2006/relationships/hyperlink" Target="https://ref.ly/John2:13" TargetMode="External"/><Relationship Id="rId2597" Type="http://schemas.openxmlformats.org/officeDocument/2006/relationships/hyperlink" Target="https://ref.ly/John6:4" TargetMode="External"/><Relationship Id="rId2598" Type="http://schemas.openxmlformats.org/officeDocument/2006/relationships/hyperlink" Target="https://ref.ly/John5:1" TargetMode="External"/><Relationship Id="rId2599" Type="http://schemas.openxmlformats.org/officeDocument/2006/relationships/hyperlink" Target="https://ref.ly/Acts1:3" TargetMode="External"/><Relationship Id="rId2600" Type="http://schemas.openxmlformats.org/officeDocument/2006/relationships/hyperlink" Target="https://ref.ly/Acts2:1" TargetMode="External"/><Relationship Id="rId2601" Type="http://schemas.openxmlformats.org/officeDocument/2006/relationships/hyperlink" Target="https://ref.ly/Deut16:9-Deut16:12" TargetMode="External"/><Relationship Id="rId2602" Type="http://schemas.openxmlformats.org/officeDocument/2006/relationships/hyperlink" Target="https://ref.ly/Acts11:28-Acts11:29" TargetMode="External"/><Relationship Id="rId2603" Type="http://schemas.openxmlformats.org/officeDocument/2006/relationships/hyperlink" Target="https://ref.ly/Lev25:2-Lev25:7" TargetMode="External"/><Relationship Id="rId2604" Type="http://schemas.openxmlformats.org/officeDocument/2006/relationships/hyperlink" Target="https://ref.ly/Acts12:1-Acts12:24" TargetMode="External"/><Relationship Id="rId2605" Type="http://schemas.openxmlformats.org/officeDocument/2006/relationships/hyperlink" Target="https://ref.ly/Acts12:23" TargetMode="External"/><Relationship Id="rId2606" Type="http://schemas.openxmlformats.org/officeDocument/2006/relationships/hyperlink" Target="https://ref.ly/Acts12:2" TargetMode="External"/><Relationship Id="rId2607" Type="http://schemas.openxmlformats.org/officeDocument/2006/relationships/hyperlink" Target="https://ref.ly/Acts12:3" TargetMode="External"/><Relationship Id="rId2608" Type="http://schemas.openxmlformats.org/officeDocument/2006/relationships/hyperlink" Target="https://ref.ly/Acts12:3-Acts12:17" TargetMode="External"/><Relationship Id="rId2609" Type="http://schemas.openxmlformats.org/officeDocument/2006/relationships/hyperlink" Target="https://ref.ly/Acts9:26-Acts0:30" TargetMode="External"/><Relationship Id="rId2610" Type="http://schemas.openxmlformats.org/officeDocument/2006/relationships/hyperlink" Target="https://ref.ly/Acts0:15" TargetMode="External"/><Relationship Id="rId2611" Type="http://schemas.openxmlformats.org/officeDocument/2006/relationships/hyperlink" Target="https://ref.ly/Gal1:15-Gal2:10" TargetMode="External"/><Relationship Id="rId2612" Type="http://schemas.openxmlformats.org/officeDocument/2006/relationships/hyperlink" Target="https://ref.ly/Gal1:18" TargetMode="External"/><Relationship Id="rId2613" Type="http://schemas.openxmlformats.org/officeDocument/2006/relationships/hyperlink" Target="https://ref.ly/Gal2:1-Gal2:10" TargetMode="External"/><Relationship Id="rId2614" Type="http://schemas.openxmlformats.org/officeDocument/2006/relationships/hyperlink" Target="https://ref.ly/Acts9:26-Acts9:30" TargetMode="External"/><Relationship Id="rId2615" Type="http://schemas.openxmlformats.org/officeDocument/2006/relationships/hyperlink" Target="https://ref.ly/Acts11:30" TargetMode="External"/><Relationship Id="rId2616" Type="http://schemas.openxmlformats.org/officeDocument/2006/relationships/hyperlink" Target="https://ref.ly/Gal1:15-Gal1:24" TargetMode="External"/><Relationship Id="rId2617" Type="http://schemas.openxmlformats.org/officeDocument/2006/relationships/hyperlink" Target="https://ref.ly/Gal2:10" TargetMode="External"/><Relationship Id="rId2618" Type="http://schemas.openxmlformats.org/officeDocument/2006/relationships/hyperlink" Target="https://ref.ly/Gal2:11-Gal2:21" TargetMode="External"/><Relationship Id="rId2619" Type="http://schemas.openxmlformats.org/officeDocument/2006/relationships/hyperlink" Target="https://ref.ly/Gal1:6" TargetMode="External"/><Relationship Id="rId2620" Type="http://schemas.openxmlformats.org/officeDocument/2006/relationships/hyperlink" Target="https://ref.ly/Acts15:1-Acts15:20" TargetMode="External"/><Relationship Id="rId2621" Type="http://schemas.openxmlformats.org/officeDocument/2006/relationships/hyperlink" Target="https://ref.ly/Gal2:3-Gal2:5" TargetMode="External"/><Relationship Id="rId2622" Type="http://schemas.openxmlformats.org/officeDocument/2006/relationships/hyperlink" Target="https://ref.ly/Acts15:1,Acts15:5" TargetMode="External"/><Relationship Id="rId2623" Type="http://schemas.openxmlformats.org/officeDocument/2006/relationships/hyperlink" Target="https://ref.ly/Acts13:1-Acts13:2,Acts13:7" TargetMode="External"/><Relationship Id="rId2624" Type="http://schemas.openxmlformats.org/officeDocument/2006/relationships/hyperlink" Target="https://ref.ly/Acts11:25-Acts11:26" TargetMode="External"/><Relationship Id="rId2625" Type="http://schemas.openxmlformats.org/officeDocument/2006/relationships/hyperlink" Target="https://ref.ly/Acts13:9,Acts13:13,Acts13:43,Acts13:46,Acts13:50" TargetMode="External"/><Relationship Id="rId2626" Type="http://schemas.openxmlformats.org/officeDocument/2006/relationships/hyperlink" Target="https://ref.ly/Acts15:2" TargetMode="External"/><Relationship Id="rId2627" Type="http://schemas.openxmlformats.org/officeDocument/2006/relationships/hyperlink" Target="https://ref.ly/Gal2:7-Gal2:8" TargetMode="External"/><Relationship Id="rId2628" Type="http://schemas.openxmlformats.org/officeDocument/2006/relationships/hyperlink" Target="https://ref.ly/Gal2:1" TargetMode="External"/><Relationship Id="rId2629" Type="http://schemas.openxmlformats.org/officeDocument/2006/relationships/hyperlink" Target="https://ref.ly/Acts18:1" TargetMode="External"/><Relationship Id="rId2630" Type="http://schemas.openxmlformats.org/officeDocument/2006/relationships/hyperlink" Target="https://ref.ly/Acts24:27" TargetMode="External"/><Relationship Id="rId2631" Type="http://schemas.openxmlformats.org/officeDocument/2006/relationships/hyperlink" Target="https://ref.ly/Acts21:33" TargetMode="External"/><Relationship Id="rId2632" Type="http://schemas.openxmlformats.org/officeDocument/2006/relationships/hyperlink" Target="https://ref.ly/Acts20:16" TargetMode="External"/><Relationship Id="rId2633" Type="http://schemas.openxmlformats.org/officeDocument/2006/relationships/hyperlink" Target="https://ref.ly/Acts20:16-Acts21:33" TargetMode="External"/><Relationship Id="rId2634" Type="http://schemas.openxmlformats.org/officeDocument/2006/relationships/hyperlink" Target="https://ref.ly/1Cor16:6" TargetMode="External"/><Relationship Id="rId2635" Type="http://schemas.openxmlformats.org/officeDocument/2006/relationships/hyperlink" Target="https://ref.ly/Acts19:1-Acts20:16" TargetMode="External"/><Relationship Id="rId2636" Type="http://schemas.openxmlformats.org/officeDocument/2006/relationships/hyperlink" Target="https://ref.ly/Acts25:1-Acts25:12" TargetMode="External"/><Relationship Id="rId2637" Type="http://schemas.openxmlformats.org/officeDocument/2006/relationships/hyperlink" Target="https://ref.ly/Acts25:12" TargetMode="External"/><Relationship Id="rId2638" Type="http://schemas.openxmlformats.org/officeDocument/2006/relationships/hyperlink" Target="https://ref.ly/Acts27:8-Acts27:9" TargetMode="External"/><Relationship Id="rId2639" Type="http://schemas.openxmlformats.org/officeDocument/2006/relationships/hyperlink" Target="https://ref.ly/Acts27:27-Acts27:44" TargetMode="External"/><Relationship Id="rId2640" Type="http://schemas.openxmlformats.org/officeDocument/2006/relationships/hyperlink" Target="https://ref.ly/2Tim2:9" TargetMode="External"/><Relationship Id="rId2641" Type="http://schemas.openxmlformats.org/officeDocument/2006/relationships/hyperlink" Target="https://ref.ly/2Tim4:6" TargetMode="External"/><Relationship Id="rId2642" Type="http://schemas.openxmlformats.org/officeDocument/2006/relationships/hyperlink" Target="https://ref.ly/Mark13:2" TargetMode="External"/><Relationship Id="rId2643" Type="http://schemas.openxmlformats.org/officeDocument/2006/relationships/hyperlink" Target="https://ref.ly/Luke21:24" TargetMode="External"/><Relationship Id="rId2644" Type="http://schemas.openxmlformats.org/officeDocument/2006/relationships/hyperlink" Target="https://ref.ly/Gen1:1-Gen1:31" TargetMode="External"/><Relationship Id="rId2645" Type="http://schemas.openxmlformats.org/officeDocument/2006/relationships/hyperlink" Target="https://ref.ly/Gen2:1-Gen2:25" TargetMode="External"/><Relationship Id="rId2646" Type="http://schemas.openxmlformats.org/officeDocument/2006/relationships/hyperlink" Target="https://ref.ly/Num24:24" TargetMode="External"/><Relationship Id="rId2647" Type="http://schemas.openxmlformats.org/officeDocument/2006/relationships/hyperlink" Target="https://ref.ly/Jer2:10" TargetMode="External"/><Relationship Id="rId2648" Type="http://schemas.openxmlformats.org/officeDocument/2006/relationships/hyperlink" Target="https://ref.ly/Dan11:30" TargetMode="External"/><Relationship Id="rId2649" Type="http://schemas.openxmlformats.org/officeDocument/2006/relationships/hyperlink" Target="https://ref.ly/1Macc1:1" TargetMode="External"/><Relationship Id="rId2650" Type="http://schemas.openxmlformats.org/officeDocument/2006/relationships/hyperlink" Target="https://ref.ly/Isa23:1,Isa23:12" TargetMode="External"/><Relationship Id="rId2651" Type="http://schemas.openxmlformats.org/officeDocument/2006/relationships/hyperlink" Target="https://ref.ly/Acts4:36" TargetMode="External"/><Relationship Id="rId2652" Type="http://schemas.openxmlformats.org/officeDocument/2006/relationships/hyperlink" Target="https://ref.ly/Acts11:19-Acts11:20" TargetMode="External"/><Relationship Id="rId2653" Type="http://schemas.openxmlformats.org/officeDocument/2006/relationships/hyperlink" Target="https://ref.ly/Acts13:4-Acts13:13" TargetMode="External"/><Relationship Id="rId2654" Type="http://schemas.openxmlformats.org/officeDocument/2006/relationships/hyperlink" Target="https://ref.ly/Acts15:39" TargetMode="External"/><Relationship Id="rId2655" Type="http://schemas.openxmlformats.org/officeDocument/2006/relationships/hyperlink" Target="https://ref.ly/Acts21:3" TargetMode="External"/><Relationship Id="rId2656" Type="http://schemas.openxmlformats.org/officeDocument/2006/relationships/hyperlink" Target="https://ref.ly/Acts27:4" TargetMode="External"/><Relationship Id="rId2657" Type="http://schemas.openxmlformats.org/officeDocument/2006/relationships/hyperlink" Target="https://ref.ly/2Sam22:8" TargetMode="External"/><Relationship Id="rId2658" Type="http://schemas.openxmlformats.org/officeDocument/2006/relationships/hyperlink" Target="https://ref.ly/Ps78:23" TargetMode="External"/><Relationship Id="rId2659" Type="http://schemas.openxmlformats.org/officeDocument/2006/relationships/hyperlink" Target="https://ref.ly/Ps8:1-Ps8:9" TargetMode="External"/><Relationship Id="rId2660" Type="http://schemas.openxmlformats.org/officeDocument/2006/relationships/hyperlink" Target="https://ref.ly/Ps19:1-Ps19:6" TargetMode="External"/><Relationship Id="rId2661" Type="http://schemas.openxmlformats.org/officeDocument/2006/relationships/hyperlink" Target="https://ref.ly/Ps147:8" TargetMode="External"/><Relationship Id="rId2662" Type="http://schemas.openxmlformats.org/officeDocument/2006/relationships/hyperlink" Target="https://ref.ly/Zech2:6" TargetMode="External"/><Relationship Id="rId2663" Type="http://schemas.openxmlformats.org/officeDocument/2006/relationships/hyperlink" Target="https://ref.ly/Deut11:11" TargetMode="External"/><Relationship Id="rId2664" Type="http://schemas.openxmlformats.org/officeDocument/2006/relationships/hyperlink" Target="https://ref.ly/1Sam2:10" TargetMode="External"/><Relationship Id="rId2665" Type="http://schemas.openxmlformats.org/officeDocument/2006/relationships/hyperlink" Target="https://ref.ly/Deut33:13" TargetMode="External"/><Relationship Id="rId2666" Type="http://schemas.openxmlformats.org/officeDocument/2006/relationships/hyperlink" Target="https://ref.ly/Job38:29" TargetMode="External"/><Relationship Id="rId2667" Type="http://schemas.openxmlformats.org/officeDocument/2006/relationships/hyperlink" Target="https://ref.ly/Gen1:26,Gen1:30" TargetMode="External"/><Relationship Id="rId2668" Type="http://schemas.openxmlformats.org/officeDocument/2006/relationships/hyperlink" Target="https://ref.ly/Josh10:11" TargetMode="External"/><Relationship Id="rId2669" Type="http://schemas.openxmlformats.org/officeDocument/2006/relationships/hyperlink" Target="https://ref.ly/Gen19:24" TargetMode="External"/><Relationship Id="rId2670" Type="http://schemas.openxmlformats.org/officeDocument/2006/relationships/hyperlink" Target="https://ref.ly/Matt16:2" TargetMode="External"/><Relationship Id="rId2671" Type="http://schemas.openxmlformats.org/officeDocument/2006/relationships/hyperlink" Target="https://ref.ly/Luke4:25" TargetMode="External"/><Relationship Id="rId2672" Type="http://schemas.openxmlformats.org/officeDocument/2006/relationships/hyperlink" Target="https://ref.ly/Luke9:58" TargetMode="External"/><Relationship Id="rId2673" Type="http://schemas.openxmlformats.org/officeDocument/2006/relationships/hyperlink" Target="https://ref.ly/Gen1:14" TargetMode="External"/><Relationship Id="rId2674" Type="http://schemas.openxmlformats.org/officeDocument/2006/relationships/hyperlink" Target="https://ref.ly/Exod20:4" TargetMode="External"/><Relationship Id="rId2675" Type="http://schemas.openxmlformats.org/officeDocument/2006/relationships/hyperlink" Target="https://ref.ly/Jer44:17-Jer44:25" TargetMode="External"/><Relationship Id="rId2676" Type="http://schemas.openxmlformats.org/officeDocument/2006/relationships/hyperlink" Target="https://ref.ly/Isa47:13" TargetMode="External"/><Relationship Id="rId2677" Type="http://schemas.openxmlformats.org/officeDocument/2006/relationships/hyperlink" Target="https://ref.ly/Deut10:14" TargetMode="External"/><Relationship Id="rId2678" Type="http://schemas.openxmlformats.org/officeDocument/2006/relationships/hyperlink" Target="https://ref.ly/1Kgs8:27" TargetMode="External"/><Relationship Id="rId2679" Type="http://schemas.openxmlformats.org/officeDocument/2006/relationships/hyperlink" Target="https://ref.ly/Ps68:33" TargetMode="External"/><Relationship Id="rId2680" Type="http://schemas.openxmlformats.org/officeDocument/2006/relationships/hyperlink" Target="https://ref.ly/Ps148:4" TargetMode="External"/><Relationship Id="rId2681" Type="http://schemas.openxmlformats.org/officeDocument/2006/relationships/hyperlink" Target="https://ref.ly/2Cor12:2" TargetMode="External"/><Relationship Id="rId2682" Type="http://schemas.openxmlformats.org/officeDocument/2006/relationships/hyperlink" Target="https://ref.ly/Matt6:9" TargetMode="External"/><Relationship Id="rId2683" Type="http://schemas.openxmlformats.org/officeDocument/2006/relationships/hyperlink" Target="https://ref.ly/John3:13" TargetMode="External"/><Relationship Id="rId2684" Type="http://schemas.openxmlformats.org/officeDocument/2006/relationships/hyperlink" Target="https://ref.ly/John6:33-John6:51" TargetMode="External"/><Relationship Id="rId2685" Type="http://schemas.openxmlformats.org/officeDocument/2006/relationships/hyperlink" Target="https://ref.ly/Matt3:16-Matt3:17" TargetMode="External"/><Relationship Id="rId2686" Type="http://schemas.openxmlformats.org/officeDocument/2006/relationships/hyperlink" Target="https://ref.ly/Matt17:5" TargetMode="External"/><Relationship Id="rId2687" Type="http://schemas.openxmlformats.org/officeDocument/2006/relationships/hyperlink" Target="https://ref.ly/John12:28" TargetMode="External"/><Relationship Id="rId2688" Type="http://schemas.openxmlformats.org/officeDocument/2006/relationships/hyperlink" Target="https://ref.ly/Heb8:1-Heb8:5" TargetMode="External"/><Relationship Id="rId2689" Type="http://schemas.openxmlformats.org/officeDocument/2006/relationships/hyperlink" Target="https://ref.ly/Matt23:22" TargetMode="External"/><Relationship Id="rId2690" Type="http://schemas.openxmlformats.org/officeDocument/2006/relationships/hyperlink" Target="https://ref.ly/Luke15:18" TargetMode="External"/><Relationship Id="rId2691" Type="http://schemas.openxmlformats.org/officeDocument/2006/relationships/hyperlink" Target="https://ref.ly/Acts1:6-Acts1:11" TargetMode="External"/><Relationship Id="rId2692" Type="http://schemas.openxmlformats.org/officeDocument/2006/relationships/hyperlink" Target="https://ref.ly/1Cor15:1-1Cor15:11" TargetMode="External"/><Relationship Id="rId2693" Type="http://schemas.openxmlformats.org/officeDocument/2006/relationships/hyperlink" Target="https://ref.ly/Eph4:7-Eph4:16" TargetMode="External"/><Relationship Id="rId2694" Type="http://schemas.openxmlformats.org/officeDocument/2006/relationships/hyperlink" Target="https://ref.ly/Heb7:25" TargetMode="External"/><Relationship Id="rId2695" Type="http://schemas.openxmlformats.org/officeDocument/2006/relationships/hyperlink" Target="https://ref.ly/Mark14:62" TargetMode="External"/><Relationship Id="rId2696" Type="http://schemas.openxmlformats.org/officeDocument/2006/relationships/hyperlink" Target="https://ref.ly/Phil3:20-Phil3:21" TargetMode="External"/><Relationship Id="rId2697" Type="http://schemas.openxmlformats.org/officeDocument/2006/relationships/hyperlink" Target="https://ref.ly/Acts22:28" TargetMode="External"/><Relationship Id="rId2698" Type="http://schemas.openxmlformats.org/officeDocument/2006/relationships/hyperlink" Target="https://ref.ly/Col3:1" TargetMode="External"/><Relationship Id="rId2699" Type="http://schemas.openxmlformats.org/officeDocument/2006/relationships/hyperlink" Target="https://ref.ly/Eph1:3" TargetMode="External"/><Relationship Id="rId2700" Type="http://schemas.openxmlformats.org/officeDocument/2006/relationships/hyperlink" Target="https://ref.ly/Eph1:3,Eph1:20" TargetMode="External"/><Relationship Id="rId2701" Type="http://schemas.openxmlformats.org/officeDocument/2006/relationships/hyperlink" Target="https://ref.ly/Eph2:6" TargetMode="External"/><Relationship Id="rId2702" Type="http://schemas.openxmlformats.org/officeDocument/2006/relationships/hyperlink" Target="https://ref.ly/Eph3:10" TargetMode="External"/><Relationship Id="rId2703" Type="http://schemas.openxmlformats.org/officeDocument/2006/relationships/hyperlink" Target="https://ref.ly/Eph6:12" TargetMode="External"/><Relationship Id="rId2704" Type="http://schemas.openxmlformats.org/officeDocument/2006/relationships/hyperlink" Target="https://ref.ly/Heb3:1" TargetMode="External"/><Relationship Id="rId2705" Type="http://schemas.openxmlformats.org/officeDocument/2006/relationships/hyperlink" Target="https://ref.ly/Heb6:4" TargetMode="External"/><Relationship Id="rId2706" Type="http://schemas.openxmlformats.org/officeDocument/2006/relationships/hyperlink" Target="https://ref.ly/Rev21:1-Rev21:4,Rev21:27" TargetMode="External"/><Relationship Id="rId2707" Type="http://schemas.openxmlformats.org/officeDocument/2006/relationships/hyperlink" Target="https://ref.ly/Rev22:1-Rev22:5" TargetMode="External"/><Relationship Id="rId2708" Type="http://schemas.openxmlformats.org/officeDocument/2006/relationships/hyperlink" Target="https://ref.ly/Luke20:27-Luke20:38" TargetMode="External"/><Relationship Id="rId2709" Type="http://schemas.openxmlformats.org/officeDocument/2006/relationships/hyperlink" Target="https://ref.ly/Gen5:22-Gen5:24" TargetMode="External"/><Relationship Id="rId2710" Type="http://schemas.openxmlformats.org/officeDocument/2006/relationships/hyperlink" Target="https://ref.ly/Heb11:5" TargetMode="External"/><Relationship Id="rId2711" Type="http://schemas.openxmlformats.org/officeDocument/2006/relationships/hyperlink" Target="https://ref.ly/Rev4:1" TargetMode="External"/><Relationship Id="rId2712" Type="http://schemas.openxmlformats.org/officeDocument/2006/relationships/hyperlink" Target="https://ref.ly/Rev19:1" TargetMode="External"/><Relationship Id="rId2713" Type="http://schemas.openxmlformats.org/officeDocument/2006/relationships/hyperlink" Target="https://ref.ly/1Thess4:16-1Thess4:17" TargetMode="External"/><Relationship Id="rId2714" Type="http://schemas.openxmlformats.org/officeDocument/2006/relationships/hyperlink" Target="https://ref.ly/Rev19:1-Rev19:4" TargetMode="External"/><Relationship Id="rId2715" Type="http://schemas.openxmlformats.org/officeDocument/2006/relationships/hyperlink" Target="https://ref.ly/Matt5:12" TargetMode="External"/><Relationship Id="rId2716" Type="http://schemas.openxmlformats.org/officeDocument/2006/relationships/hyperlink" Target="https://ref.ly/1Cor9:25" TargetMode="External"/><Relationship Id="rId2717" Type="http://schemas.openxmlformats.org/officeDocument/2006/relationships/hyperlink" Target="https://ref.ly/2Cor5:1" TargetMode="External"/><Relationship Id="rId2718" Type="http://schemas.openxmlformats.org/officeDocument/2006/relationships/hyperlink" Target="https://ref.ly/2Tim4:8" TargetMode="External"/><Relationship Id="rId2719" Type="http://schemas.openxmlformats.org/officeDocument/2006/relationships/hyperlink" Target="https://ref.ly/Jas1:12" TargetMode="External"/><Relationship Id="rId2720" Type="http://schemas.openxmlformats.org/officeDocument/2006/relationships/hyperlink" Target="https://ref.ly/1Pet1:4" TargetMode="External"/><Relationship Id="rId2721" Type="http://schemas.openxmlformats.org/officeDocument/2006/relationships/hyperlink" Target="https://ref.ly/1Pet5:4" TargetMode="External"/><Relationship Id="rId2722" Type="http://schemas.openxmlformats.org/officeDocument/2006/relationships/hyperlink" Target="https://ref.ly/Rev2:10" TargetMode="External"/><Relationship Id="rId2723" Type="http://schemas.openxmlformats.org/officeDocument/2006/relationships/hyperlink" Target="https://ref.ly/Rev4:10" TargetMode="External"/><Relationship Id="rId2724" Type="http://schemas.openxmlformats.org/officeDocument/2006/relationships/hyperlink" Target="https://ref.ly/Acts21:39" TargetMode="External"/><Relationship Id="rId2725" Type="http://schemas.openxmlformats.org/officeDocument/2006/relationships/hyperlink" Target="https://ref.ly/Acts22:3" TargetMode="External"/><Relationship Id="rId2726" Type="http://schemas.openxmlformats.org/officeDocument/2006/relationships/hyperlink" Target="https://ref.ly/Acts16:37" TargetMode="External"/><Relationship Id="rId2727" Type="http://schemas.openxmlformats.org/officeDocument/2006/relationships/hyperlink" Target="https://ref.ly/Gal1:21" TargetMode="External"/><Relationship Id="rId2728" Type="http://schemas.openxmlformats.org/officeDocument/2006/relationships/hyperlink" Target="https://ref.ly/Acts22:27-Acts22:28" TargetMode="External"/><Relationship Id="rId2729" Type="http://schemas.openxmlformats.org/officeDocument/2006/relationships/hyperlink" Target="https://ref.ly/Acts16:38-Acts16:39" TargetMode="External"/><Relationship Id="rId2730" Type="http://schemas.openxmlformats.org/officeDocument/2006/relationships/hyperlink" Target="https://ref.ly/Acts22:24-Acts22:29" TargetMode="External"/><Relationship Id="rId2731" Type="http://schemas.openxmlformats.org/officeDocument/2006/relationships/hyperlink" Target="https://ref.ly/Acts27:16" TargetMode="External"/><Relationship Id="rId2732" Type="http://schemas.openxmlformats.org/officeDocument/2006/relationships/hyperlink" Target="https://ref.ly/Acts21:40" TargetMode="External"/><Relationship Id="rId2733" Type="http://schemas.openxmlformats.org/officeDocument/2006/relationships/hyperlink" Target="https://ref.ly/Acts22:22-Acts22:29" TargetMode="External"/><Relationship Id="rId2734" Type="http://schemas.openxmlformats.org/officeDocument/2006/relationships/hyperlink" Target="https://ref.ly/Acts23:16-Acts23:35" TargetMode="External"/><Relationship Id="rId2735" Type="http://schemas.openxmlformats.org/officeDocument/2006/relationships/hyperlink" Target="https://ref.ly/EsthGr11:1" TargetMode="External"/><Relationship Id="rId2736" Type="http://schemas.openxmlformats.org/officeDocument/2006/relationships/hyperlink" Target="https://ref.ly/Esth9:20-Esth9:22" TargetMode="External"/><Relationship Id="rId2737" Type="http://schemas.openxmlformats.org/officeDocument/2006/relationships/hyperlink" Target="https://ref.ly/1Macc10:57-1Macc10:58" TargetMode="External"/><Relationship Id="rId2738" Type="http://schemas.openxmlformats.org/officeDocument/2006/relationships/hyperlink" Target="https://ref.ly/1Macc11:8-1Macc11:12" TargetMode="External"/><Relationship Id="rId2739" Type="http://schemas.openxmlformats.org/officeDocument/2006/relationships/hyperlink" Target="https://ref.ly/Luke24:18" TargetMode="External"/><Relationship Id="rId2740" Type="http://schemas.openxmlformats.org/officeDocument/2006/relationships/hyperlink" Target="https://ref.ly/Matt27:56" TargetMode="External"/><Relationship Id="rId2741" Type="http://schemas.openxmlformats.org/officeDocument/2006/relationships/hyperlink" Target="https://ref.ly/Mark15:40" TargetMode="External"/><Relationship Id="rId2742" Type="http://schemas.openxmlformats.org/officeDocument/2006/relationships/hyperlink" Target="https://ref.ly/Acts27:7" TargetMode="External"/><Relationship Id="rId2743" Type="http://schemas.openxmlformats.org/officeDocument/2006/relationships/hyperlink" Target="https://ref.ly/1Sam25:37-1Sam25:39" TargetMode="External"/><Relationship Id="rId2744" Type="http://schemas.openxmlformats.org/officeDocument/2006/relationships/hyperlink" Target="https://ref.ly/Judg19:5" TargetMode="External"/><Relationship Id="rId2745" Type="http://schemas.openxmlformats.org/officeDocument/2006/relationships/hyperlink" Target="https://ref.ly/Ps104:15" TargetMode="External"/><Relationship Id="rId2746" Type="http://schemas.openxmlformats.org/officeDocument/2006/relationships/hyperlink" Target="https://ref.ly/Acts14:17" TargetMode="External"/><Relationship Id="rId2747" Type="http://schemas.openxmlformats.org/officeDocument/2006/relationships/hyperlink" Target="https://ref.ly/Matt12:40" TargetMode="External"/><Relationship Id="rId2748" Type="http://schemas.openxmlformats.org/officeDocument/2006/relationships/hyperlink" Target="https://ref.ly/Jer12:11" TargetMode="External"/><Relationship Id="rId2749" Type="http://schemas.openxmlformats.org/officeDocument/2006/relationships/hyperlink" Target="https://ref.ly/John12:40" TargetMode="External"/><Relationship Id="rId2750" Type="http://schemas.openxmlformats.org/officeDocument/2006/relationships/hyperlink" Target="https://ref.ly/1Kgs3:9" TargetMode="External"/><Relationship Id="rId2751" Type="http://schemas.openxmlformats.org/officeDocument/2006/relationships/hyperlink" Target="https://ref.ly/Mark2:6" TargetMode="External"/><Relationship Id="rId2752" Type="http://schemas.openxmlformats.org/officeDocument/2006/relationships/hyperlink" Target="https://ref.ly/Luke2:19" TargetMode="External"/><Relationship Id="rId2753" Type="http://schemas.openxmlformats.org/officeDocument/2006/relationships/hyperlink" Target="https://ref.ly/Luke2:51" TargetMode="External"/><Relationship Id="rId2754" Type="http://schemas.openxmlformats.org/officeDocument/2006/relationships/hyperlink" Target="https://ref.ly/Deut8:17" TargetMode="External"/><Relationship Id="rId2755" Type="http://schemas.openxmlformats.org/officeDocument/2006/relationships/hyperlink" Target="https://ref.ly/Luke1:51" TargetMode="External"/><Relationship Id="rId2756" Type="http://schemas.openxmlformats.org/officeDocument/2006/relationships/hyperlink" Target="https://ref.ly/Eccl1:17" TargetMode="External"/><Relationship Id="rId2757" Type="http://schemas.openxmlformats.org/officeDocument/2006/relationships/hyperlink" Target="https://ref.ly/Exod28:3" TargetMode="External"/><Relationship Id="rId2758" Type="http://schemas.openxmlformats.org/officeDocument/2006/relationships/hyperlink" Target="https://ref.ly/1Sam25:36" TargetMode="External"/><Relationship Id="rId2759" Type="http://schemas.openxmlformats.org/officeDocument/2006/relationships/hyperlink" Target="https://ref.ly/Isa30:29" TargetMode="External"/><Relationship Id="rId2760" Type="http://schemas.openxmlformats.org/officeDocument/2006/relationships/hyperlink" Target="https://ref.ly/John16:22" TargetMode="External"/><Relationship Id="rId2761" Type="http://schemas.openxmlformats.org/officeDocument/2006/relationships/hyperlink" Target="https://ref.ly/Neh2:2" TargetMode="External"/><Relationship Id="rId2762" Type="http://schemas.openxmlformats.org/officeDocument/2006/relationships/hyperlink" Target="https://ref.ly/Rom9:2" TargetMode="External"/><Relationship Id="rId2763" Type="http://schemas.openxmlformats.org/officeDocument/2006/relationships/hyperlink" Target="https://ref.ly/Prov14:10" TargetMode="External"/><Relationship Id="rId2764" Type="http://schemas.openxmlformats.org/officeDocument/2006/relationships/hyperlink" Target="https://ref.ly/1Sam4:13" TargetMode="External"/><Relationship Id="rId2765" Type="http://schemas.openxmlformats.org/officeDocument/2006/relationships/hyperlink" Target="https://ref.ly/Eccl2:20" TargetMode="External"/><Relationship Id="rId2766" Type="http://schemas.openxmlformats.org/officeDocument/2006/relationships/hyperlink" Target="https://ref.ly/2Sam14:1" TargetMode="External"/><Relationship Id="rId2767" Type="http://schemas.openxmlformats.org/officeDocument/2006/relationships/hyperlink" Target="https://ref.ly/Ps112:7" TargetMode="External"/><Relationship Id="rId2768" Type="http://schemas.openxmlformats.org/officeDocument/2006/relationships/hyperlink" Target="https://ref.ly/2Cor7:3" TargetMode="External"/><Relationship Id="rId2769" Type="http://schemas.openxmlformats.org/officeDocument/2006/relationships/hyperlink" Target="https://ref.ly/Matt5:28" TargetMode="External"/><Relationship Id="rId2770" Type="http://schemas.openxmlformats.org/officeDocument/2006/relationships/hyperlink" Target="https://ref.ly/Lev19:17" TargetMode="External"/><Relationship Id="rId2771" Type="http://schemas.openxmlformats.org/officeDocument/2006/relationships/hyperlink" Target="https://ref.ly/Gen42:28" TargetMode="External"/><Relationship Id="rId2772" Type="http://schemas.openxmlformats.org/officeDocument/2006/relationships/hyperlink" Target="https://ref.ly/Jas3:14" TargetMode="External"/><Relationship Id="rId2773" Type="http://schemas.openxmlformats.org/officeDocument/2006/relationships/hyperlink" Target="https://ref.ly/Rom10:1" TargetMode="External"/><Relationship Id="rId2774" Type="http://schemas.openxmlformats.org/officeDocument/2006/relationships/hyperlink" Target="https://ref.ly/Num32:9" TargetMode="External"/><Relationship Id="rId2775" Type="http://schemas.openxmlformats.org/officeDocument/2006/relationships/hyperlink" Target="https://ref.ly/Exod23:9" TargetMode="External"/><Relationship Id="rId2776" Type="http://schemas.openxmlformats.org/officeDocument/2006/relationships/hyperlink" Target="https://ref.ly/Deut19:6" TargetMode="External"/><Relationship Id="rId2777" Type="http://schemas.openxmlformats.org/officeDocument/2006/relationships/hyperlink" Target="https://ref.ly/2Chr13:7" TargetMode="External"/><Relationship Id="rId2778" Type="http://schemas.openxmlformats.org/officeDocument/2006/relationships/hyperlink" Target="https://ref.ly/1Cor4:5" TargetMode="External"/><Relationship Id="rId2779" Type="http://schemas.openxmlformats.org/officeDocument/2006/relationships/hyperlink" Target="https://ref.ly/1Sam14:7" TargetMode="External"/><Relationship Id="rId2780" Type="http://schemas.openxmlformats.org/officeDocument/2006/relationships/hyperlink" Target="https://ref.ly/2Kgs12:4" TargetMode="External"/><Relationship Id="rId2781" Type="http://schemas.openxmlformats.org/officeDocument/2006/relationships/hyperlink" Target="https://ref.ly/Prov4:23" TargetMode="External"/><Relationship Id="rId2782" Type="http://schemas.openxmlformats.org/officeDocument/2006/relationships/hyperlink" Target="https://ref.ly/Acts11:23" TargetMode="External"/><Relationship Id="rId2783" Type="http://schemas.openxmlformats.org/officeDocument/2006/relationships/hyperlink" Target="https://ref.ly/Exod35:22" TargetMode="External"/><Relationship Id="rId2784" Type="http://schemas.openxmlformats.org/officeDocument/2006/relationships/hyperlink" Target="https://ref.ly/Acts5:4" TargetMode="External"/><Relationship Id="rId2785" Type="http://schemas.openxmlformats.org/officeDocument/2006/relationships/hyperlink" Target="https://ref.ly/Matt6:21" TargetMode="External"/><Relationship Id="rId2786" Type="http://schemas.openxmlformats.org/officeDocument/2006/relationships/hyperlink" Target="https://ref.ly/1Thess3:13" TargetMode="External"/><Relationship Id="rId2787" Type="http://schemas.openxmlformats.org/officeDocument/2006/relationships/hyperlink" Target="https://ref.ly/Neh9:8" TargetMode="External"/><Relationship Id="rId2788" Type="http://schemas.openxmlformats.org/officeDocument/2006/relationships/hyperlink" Target="https://ref.ly/Ps97:11" TargetMode="External"/><Relationship Id="rId2789" Type="http://schemas.openxmlformats.org/officeDocument/2006/relationships/hyperlink" Target="https://ref.ly/Jas4:8" TargetMode="External"/><Relationship Id="rId2790" Type="http://schemas.openxmlformats.org/officeDocument/2006/relationships/hyperlink" Target="https://ref.ly/Acts15:8" TargetMode="External"/><Relationship Id="rId2791" Type="http://schemas.openxmlformats.org/officeDocument/2006/relationships/hyperlink" Target="https://ref.ly/1Pet1:22" TargetMode="External"/><Relationship Id="rId2792" Type="http://schemas.openxmlformats.org/officeDocument/2006/relationships/hyperlink" Target="https://ref.ly/Ezek11:19" TargetMode="External"/><Relationship Id="rId2793" Type="http://schemas.openxmlformats.org/officeDocument/2006/relationships/hyperlink" Target="https://ref.ly/Gen6:5" TargetMode="External"/><Relationship Id="rId2794" Type="http://schemas.openxmlformats.org/officeDocument/2006/relationships/hyperlink" Target="https://ref.ly/Jas1:26" TargetMode="External"/><Relationship Id="rId2795" Type="http://schemas.openxmlformats.org/officeDocument/2006/relationships/hyperlink" Target="https://ref.ly/Jer17:9" TargetMode="External"/><Relationship Id="rId2796" Type="http://schemas.openxmlformats.org/officeDocument/2006/relationships/hyperlink" Target="https://ref.ly/Matt6:19-Matt6:21" TargetMode="External"/><Relationship Id="rId2797" Type="http://schemas.openxmlformats.org/officeDocument/2006/relationships/hyperlink" Target="https://ref.ly/Isa9:9" TargetMode="External"/><Relationship Id="rId2798" Type="http://schemas.openxmlformats.org/officeDocument/2006/relationships/hyperlink" Target="https://ref.ly/Acts7:51" TargetMode="External"/><Relationship Id="rId2799" Type="http://schemas.openxmlformats.org/officeDocument/2006/relationships/hyperlink" Target="https://ref.ly/Ps101:4" TargetMode="External"/><Relationship Id="rId2800" Type="http://schemas.openxmlformats.org/officeDocument/2006/relationships/hyperlink" Target="https://ref.ly/Rom2:5" TargetMode="External"/><Relationship Id="rId2801" Type="http://schemas.openxmlformats.org/officeDocument/2006/relationships/hyperlink" Target="https://ref.ly/Mark7:18-Mark7:19" TargetMode="External"/><Relationship Id="rId2802" Type="http://schemas.openxmlformats.org/officeDocument/2006/relationships/hyperlink" Target="https://ref.ly/Luke6:45" TargetMode="External"/><Relationship Id="rId2803" Type="http://schemas.openxmlformats.org/officeDocument/2006/relationships/hyperlink" Target="https://ref.ly/Luke8:15" TargetMode="External"/><Relationship Id="rId2804" Type="http://schemas.openxmlformats.org/officeDocument/2006/relationships/hyperlink" Target="https://ref.ly/1Kgs8:18" TargetMode="External"/><Relationship Id="rId2805" Type="http://schemas.openxmlformats.org/officeDocument/2006/relationships/hyperlink" Target="https://ref.ly/Gen20:5" TargetMode="External"/><Relationship Id="rId2806" Type="http://schemas.openxmlformats.org/officeDocument/2006/relationships/hyperlink" Target="https://ref.ly/Ps86:11" TargetMode="External"/><Relationship Id="rId2807" Type="http://schemas.openxmlformats.org/officeDocument/2006/relationships/hyperlink" Target="https://ref.ly/Acts8:37" TargetMode="External"/><Relationship Id="rId2808" Type="http://schemas.openxmlformats.org/officeDocument/2006/relationships/hyperlink" Target="https://ref.ly/1Pet3:4" TargetMode="External"/><Relationship Id="rId2809" Type="http://schemas.openxmlformats.org/officeDocument/2006/relationships/hyperlink" Target="https://ref.ly/Ps62:8" TargetMode="External"/><Relationship Id="rId2810" Type="http://schemas.openxmlformats.org/officeDocument/2006/relationships/hyperlink" Target="https://ref.ly/Matt15:18-Matt15:19" TargetMode="External"/><Relationship Id="rId2811" Type="http://schemas.openxmlformats.org/officeDocument/2006/relationships/hyperlink" Target="https://ref.ly/1Sam16:7" TargetMode="External"/><Relationship Id="rId2812" Type="http://schemas.openxmlformats.org/officeDocument/2006/relationships/hyperlink" Target="https://ref.ly/2Cor5:12" TargetMode="External"/><Relationship Id="rId2813" Type="http://schemas.openxmlformats.org/officeDocument/2006/relationships/hyperlink" Target="https://ref.ly/1Thess2:17" TargetMode="External"/><Relationship Id="rId2814" Type="http://schemas.openxmlformats.org/officeDocument/2006/relationships/hyperlink" Target="https://ref.ly/Dan4:16" TargetMode="External"/><Relationship Id="rId2815" Type="http://schemas.openxmlformats.org/officeDocument/2006/relationships/hyperlink" Target="https://ref.ly/Dan7:4" TargetMode="External"/><Relationship Id="rId2816" Type="http://schemas.openxmlformats.org/officeDocument/2006/relationships/hyperlink" Target="https://ref.ly/Matt12:33-Matt12:37" TargetMode="External"/><Relationship Id="rId2817" Type="http://schemas.openxmlformats.org/officeDocument/2006/relationships/hyperlink" Target="https://ref.ly/Jer17:10" TargetMode="External"/><Relationship Id="rId2818" Type="http://schemas.openxmlformats.org/officeDocument/2006/relationships/hyperlink" Target="https://ref.ly/Luke9:47" TargetMode="External"/><Relationship Id="rId2819" Type="http://schemas.openxmlformats.org/officeDocument/2006/relationships/hyperlink" Target="https://ref.ly/Rom8:27" TargetMode="External"/><Relationship Id="rId2820" Type="http://schemas.openxmlformats.org/officeDocument/2006/relationships/hyperlink" Target="https://ref.ly/2Cor4:6" TargetMode="External"/><Relationship Id="rId2821" Type="http://schemas.openxmlformats.org/officeDocument/2006/relationships/hyperlink" Target="https://ref.ly/Matt5:8" TargetMode="External"/><Relationship Id="rId2822" Type="http://schemas.openxmlformats.org/officeDocument/2006/relationships/hyperlink" Target="https://ref.ly/Ps27:8" TargetMode="External"/><Relationship Id="rId2823" Type="http://schemas.openxmlformats.org/officeDocument/2006/relationships/hyperlink" Target="https://ref.ly/2Cor1:22" TargetMode="External"/><Relationship Id="rId2824" Type="http://schemas.openxmlformats.org/officeDocument/2006/relationships/hyperlink" Target="https://ref.ly/Eph3:17" TargetMode="External"/><Relationship Id="rId2825" Type="http://schemas.openxmlformats.org/officeDocument/2006/relationships/hyperlink" Target="https://ref.ly/Deut29:18-Deut29:19" TargetMode="External"/><Relationship Id="rId2826" Type="http://schemas.openxmlformats.org/officeDocument/2006/relationships/hyperlink" Target="https://ref.ly/Matt15:8" TargetMode="External"/><Relationship Id="rId2827" Type="http://schemas.openxmlformats.org/officeDocument/2006/relationships/hyperlink" Target="https://ref.ly/Acts8:21" TargetMode="External"/><Relationship Id="rId2828" Type="http://schemas.openxmlformats.org/officeDocument/2006/relationships/hyperlink" Target="https://ref.ly/Rom1:21" TargetMode="External"/><Relationship Id="rId2829" Type="http://schemas.openxmlformats.org/officeDocument/2006/relationships/hyperlink" Target="https://ref.ly/Ps51:17" TargetMode="External"/><Relationship Id="rId2830" Type="http://schemas.openxmlformats.org/officeDocument/2006/relationships/hyperlink" Target="https://ref.ly/Deut4:29" TargetMode="External"/><Relationship Id="rId2831" Type="http://schemas.openxmlformats.org/officeDocument/2006/relationships/hyperlink" Target="https://ref.ly/2Kgs23:25" TargetMode="External"/><Relationship Id="rId2832" Type="http://schemas.openxmlformats.org/officeDocument/2006/relationships/hyperlink" Target="https://ref.ly/Ps51:10" TargetMode="External"/><Relationship Id="rId2833" Type="http://schemas.openxmlformats.org/officeDocument/2006/relationships/hyperlink" Target="https://ref.ly/Joel2:13" TargetMode="External"/><Relationship Id="rId2834" Type="http://schemas.openxmlformats.org/officeDocument/2006/relationships/hyperlink" Target="https://ref.ly/Ezek36:25-Ezek36:27" TargetMode="External"/><Relationship Id="rId2835" Type="http://schemas.openxmlformats.org/officeDocument/2006/relationships/hyperlink" Target="https://ref.ly/Jer31:33" TargetMode="External"/><Relationship Id="rId2836" Type="http://schemas.openxmlformats.org/officeDocument/2006/relationships/hyperlink" Target="https://ref.ly/Heb8:10" TargetMode="External"/><Relationship Id="rId2837" Type="http://schemas.openxmlformats.org/officeDocument/2006/relationships/hyperlink" Target="https://ref.ly/2Cor3:2-2Cor3:3" TargetMode="External"/><Relationship Id="rId2838" Type="http://schemas.openxmlformats.org/officeDocument/2006/relationships/hyperlink" Target="https://ref.ly/Rom10:9" TargetMode="External"/><Relationship Id="rId2839" Type="http://schemas.openxmlformats.org/officeDocument/2006/relationships/hyperlink" Target="https://ref.ly/Luke10:27" TargetMode="External"/><Relationship Id="rId2840" Type="http://schemas.openxmlformats.org/officeDocument/2006/relationships/hyperlink" Target="https://ref.ly/Ps73:26" TargetMode="External"/><Relationship Id="rId2841" Type="http://schemas.openxmlformats.org/officeDocument/2006/relationships/hyperlink" Target="https://ref.ly/Isa57:15" TargetMode="External"/><Relationship Id="rId2842" Type="http://schemas.openxmlformats.org/officeDocument/2006/relationships/hyperlink" Target="https://ref.ly/Acts2:46" TargetMode="External"/><Relationship Id="rId2843" Type="http://schemas.openxmlformats.org/officeDocument/2006/relationships/hyperlink" Target="https://ref.ly/Heb13:9" TargetMode="External"/><Relationship Id="rId2844" Type="http://schemas.openxmlformats.org/officeDocument/2006/relationships/hyperlink" Target="https://ref.ly/1Sam13:14" TargetMode="External"/><Relationship Id="rId2845" Type="http://schemas.openxmlformats.org/officeDocument/2006/relationships/hyperlink" Target="https://ref.ly/Acts13:22" TargetMode="External"/><Relationship Id="rId2846" Type="http://schemas.openxmlformats.org/officeDocument/2006/relationships/hyperlink" Target="https://ref.ly/Acts10:1" TargetMode="External"/><Relationship Id="rId2847" Type="http://schemas.openxmlformats.org/officeDocument/2006/relationships/hyperlink" Target="https://ref.ly/1Cor11:15" TargetMode="External"/><Relationship Id="rId2848" Type="http://schemas.openxmlformats.org/officeDocument/2006/relationships/hyperlink" Target="https://ref.ly/1Pet3:3" TargetMode="External"/><Relationship Id="rId2849" Type="http://schemas.openxmlformats.org/officeDocument/2006/relationships/hyperlink" Target="https://ref.ly/Lev19:27" TargetMode="External"/><Relationship Id="rId2850" Type="http://schemas.openxmlformats.org/officeDocument/2006/relationships/hyperlink" Target="https://ref.ly/Deut12:29-Deut12:30" TargetMode="External"/><Relationship Id="rId2851" Type="http://schemas.openxmlformats.org/officeDocument/2006/relationships/hyperlink" Target="https://ref.ly/Lev14:8-Lev14:9" TargetMode="External"/><Relationship Id="rId2852" Type="http://schemas.openxmlformats.org/officeDocument/2006/relationships/hyperlink" Target="https://ref.ly/Isa15:2" TargetMode="External"/><Relationship Id="rId2853" Type="http://schemas.openxmlformats.org/officeDocument/2006/relationships/hyperlink" Target="https://ref.ly/Isa7:20" TargetMode="External"/><Relationship Id="rId2854" Type="http://schemas.openxmlformats.org/officeDocument/2006/relationships/hyperlink" Target="https://ref.ly/Jer41:5" TargetMode="External"/><Relationship Id="rId2855" Type="http://schemas.openxmlformats.org/officeDocument/2006/relationships/hyperlink" Target="https://ref.ly/Luke19:2-Luke19:10" TargetMode="External"/><Relationship Id="rId2856" Type="http://schemas.openxmlformats.org/officeDocument/2006/relationships/hyperlink" Target="https://ref.ly/Matt9:10-Matt9:11" TargetMode="External"/><Relationship Id="rId2857" Type="http://schemas.openxmlformats.org/officeDocument/2006/relationships/hyperlink" Target="https://ref.ly/Matt11:19" TargetMode="External"/><Relationship Id="rId2858" Type="http://schemas.openxmlformats.org/officeDocument/2006/relationships/hyperlink" Target="https://ref.ly/Mark2:15-Mark2:16" TargetMode="External"/><Relationship Id="rId2859" Type="http://schemas.openxmlformats.org/officeDocument/2006/relationships/hyperlink" Target="https://ref.ly/Luke5:30" TargetMode="External"/><Relationship Id="rId2860" Type="http://schemas.openxmlformats.org/officeDocument/2006/relationships/hyperlink" Target="https://ref.ly/Exod14:24" TargetMode="External"/><Relationship Id="rId2861" Type="http://schemas.openxmlformats.org/officeDocument/2006/relationships/hyperlink" Target="https://ref.ly/Num14:14" TargetMode="External"/><Relationship Id="rId2862" Type="http://schemas.openxmlformats.org/officeDocument/2006/relationships/hyperlink" Target="https://ref.ly/Deut1:33" TargetMode="External"/><Relationship Id="rId2863" Type="http://schemas.openxmlformats.org/officeDocument/2006/relationships/hyperlink" Target="https://ref.ly/Exod33:9-Exod33:10" TargetMode="External"/><Relationship Id="rId2864" Type="http://schemas.openxmlformats.org/officeDocument/2006/relationships/hyperlink" Target="https://ref.ly/Exod40:34-Exod40:35" TargetMode="External"/><Relationship Id="rId2865" Type="http://schemas.openxmlformats.org/officeDocument/2006/relationships/hyperlink" Target="https://ref.ly/Deut4:12" TargetMode="External"/><Relationship Id="rId2866" Type="http://schemas.openxmlformats.org/officeDocument/2006/relationships/hyperlink" Target="https://ref.ly/Exod19:9" TargetMode="External"/><Relationship Id="rId2867" Type="http://schemas.openxmlformats.org/officeDocument/2006/relationships/hyperlink" Target="https://ref.ly/Exod40:34-Exod40:38" TargetMode="External"/><Relationship Id="rId2868" Type="http://schemas.openxmlformats.org/officeDocument/2006/relationships/hyperlink" Target="https://ref.ly/2Chr5:13-2Chr5:14" TargetMode="External"/><Relationship Id="rId2869" Type="http://schemas.openxmlformats.org/officeDocument/2006/relationships/hyperlink" Target="https://ref.ly/Exod14:19-Exod14:20" TargetMode="External"/><Relationship Id="rId2870" Type="http://schemas.openxmlformats.org/officeDocument/2006/relationships/hyperlink" Target="https://ref.ly/Ps105:39" TargetMode="External"/><Relationship Id="rId2871" Type="http://schemas.openxmlformats.org/officeDocument/2006/relationships/hyperlink" Target="https://ref.ly/Exod13:21-Exod13:22" TargetMode="External"/><Relationship Id="rId2872" Type="http://schemas.openxmlformats.org/officeDocument/2006/relationships/hyperlink" Target="https://ref.ly/Num9:17" TargetMode="External"/><Relationship Id="rId2873" Type="http://schemas.openxmlformats.org/officeDocument/2006/relationships/hyperlink" Target="https://ref.ly/Neh9:12,Neh9:19" TargetMode="External"/><Relationship Id="rId2874" Type="http://schemas.openxmlformats.org/officeDocument/2006/relationships/hyperlink" Target="https://ref.ly/Ps78:14" TargetMode="External"/><Relationship Id="rId2875" Type="http://schemas.openxmlformats.org/officeDocument/2006/relationships/hyperlink" Target="https://ref.ly/Ps99:7" TargetMode="External"/><Relationship Id="rId2876" Type="http://schemas.openxmlformats.org/officeDocument/2006/relationships/hyperlink" Target="https://ref.ly/Exod34:1-Exod34:25" TargetMode="External"/><Relationship Id="rId2877" Type="http://schemas.openxmlformats.org/officeDocument/2006/relationships/hyperlink" Target="https://ref.ly/Deut4:11-Deut4:12" TargetMode="External"/><Relationship Id="rId2878" Type="http://schemas.openxmlformats.org/officeDocument/2006/relationships/hyperlink" Target="https://ref.ly/Deut5:22" TargetMode="External"/><Relationship Id="rId2879" Type="http://schemas.openxmlformats.org/officeDocument/2006/relationships/hyperlink" Target="https://ref.ly/Exod16:10" TargetMode="External"/><Relationship Id="rId2880" Type="http://schemas.openxmlformats.org/officeDocument/2006/relationships/hyperlink" Target="https://ref.ly/Num14:10" TargetMode="External"/><Relationship Id="rId2881" Type="http://schemas.openxmlformats.org/officeDocument/2006/relationships/hyperlink" Target="https://ref.ly/Num16:42-Num16:43" TargetMode="External"/><Relationship Id="rId2882" Type="http://schemas.openxmlformats.org/officeDocument/2006/relationships/hyperlink" Target="https://ref.ly/Num12:1-Num12:15" TargetMode="External"/><Relationship Id="rId2883" Type="http://schemas.openxmlformats.org/officeDocument/2006/relationships/hyperlink" Target="https://ref.ly/Exod33:9" TargetMode="External"/><Relationship Id="rId2884" Type="http://schemas.openxmlformats.org/officeDocument/2006/relationships/hyperlink" Target="https://ref.ly/Deut31:14-Deut31:29" TargetMode="External"/><Relationship Id="rId2885" Type="http://schemas.openxmlformats.org/officeDocument/2006/relationships/hyperlink" Target="https://ref.ly/Ezek1:4" TargetMode="External"/><Relationship Id="rId2886" Type="http://schemas.openxmlformats.org/officeDocument/2006/relationships/hyperlink" Target="https://ref.ly/Ezek1:5-Ezek1:28" TargetMode="External"/><Relationship Id="rId2887" Type="http://schemas.openxmlformats.org/officeDocument/2006/relationships/hyperlink" Target="https://ref.ly/Ezek43:1-Ezek43:27" TargetMode="External"/><Relationship Id="rId2888" Type="http://schemas.openxmlformats.org/officeDocument/2006/relationships/hyperlink" Target="https://ref.ly/Dan7:13" TargetMode="External"/><Relationship Id="rId2889" Type="http://schemas.openxmlformats.org/officeDocument/2006/relationships/hyperlink" Target="https://ref.ly/Mark9:7" TargetMode="External"/><Relationship Id="rId2890" Type="http://schemas.openxmlformats.org/officeDocument/2006/relationships/hyperlink" Target="https://ref.ly/Luke9:34" TargetMode="External"/><Relationship Id="rId2891" Type="http://schemas.openxmlformats.org/officeDocument/2006/relationships/hyperlink" Target="https://ref.ly/Matt24:30" TargetMode="External"/><Relationship Id="rId2892" Type="http://schemas.openxmlformats.org/officeDocument/2006/relationships/hyperlink" Target="https://ref.ly/Mark13:26" TargetMode="External"/><Relationship Id="rId2893" Type="http://schemas.openxmlformats.org/officeDocument/2006/relationships/hyperlink" Target="https://ref.ly/Luke21:27" TargetMode="External"/><Relationship Id="rId2894" Type="http://schemas.openxmlformats.org/officeDocument/2006/relationships/hyperlink" Target="https://ref.ly/Rev1:7" TargetMode="External"/><Relationship Id="rId2895" Type="http://schemas.openxmlformats.org/officeDocument/2006/relationships/hyperlink" Target="https://ref.ly/Col1:2" TargetMode="External"/><Relationship Id="rId2896" Type="http://schemas.openxmlformats.org/officeDocument/2006/relationships/hyperlink" Target="https://ref.ly/Col1:7" TargetMode="External"/><Relationship Id="rId2897" Type="http://schemas.openxmlformats.org/officeDocument/2006/relationships/hyperlink" Target="https://ref.ly/Col4:12" TargetMode="External"/><Relationship Id="rId2898" Type="http://schemas.openxmlformats.org/officeDocument/2006/relationships/hyperlink" Target="https://ref.ly/Phlm1:23" TargetMode="External"/><Relationship Id="rId2899" Type="http://schemas.openxmlformats.org/officeDocument/2006/relationships/hyperlink" Target="https://ref.ly/Col4:3,Col4:10" TargetMode="External"/><Relationship Id="rId2900" Type="http://schemas.openxmlformats.org/officeDocument/2006/relationships/hyperlink" Target="https://ref.ly/Eph3:1" TargetMode="External"/><Relationship Id="rId2901" Type="http://schemas.openxmlformats.org/officeDocument/2006/relationships/hyperlink" Target="https://ref.ly/Eph4:1" TargetMode="External"/><Relationship Id="rId2902" Type="http://schemas.openxmlformats.org/officeDocument/2006/relationships/hyperlink" Target="https://ref.ly/Eph6:20" TargetMode="External"/><Relationship Id="rId2903" Type="http://schemas.openxmlformats.org/officeDocument/2006/relationships/hyperlink" Target="https://ref.ly/Phil1:12-Phil1:14" TargetMode="External"/><Relationship Id="rId2904" Type="http://schemas.openxmlformats.org/officeDocument/2006/relationships/hyperlink" Target="https://ref.ly/Phlm1:9-Phlm1:10" TargetMode="External"/><Relationship Id="rId2905" Type="http://schemas.openxmlformats.org/officeDocument/2006/relationships/hyperlink" Target="https://ref.ly/Col4:7-Col4:9" TargetMode="External"/><Relationship Id="rId2906" Type="http://schemas.openxmlformats.org/officeDocument/2006/relationships/hyperlink" Target="https://ref.ly/Eph6:21-Eph6:22" TargetMode="External"/><Relationship Id="rId2907" Type="http://schemas.openxmlformats.org/officeDocument/2006/relationships/hyperlink" Target="https://ref.ly/Col1:15-Col1:20" TargetMode="External"/><Relationship Id="rId2908" Type="http://schemas.openxmlformats.org/officeDocument/2006/relationships/hyperlink" Target="https://ref.ly/1Cor8:6" TargetMode="External"/><Relationship Id="rId2909" Type="http://schemas.openxmlformats.org/officeDocument/2006/relationships/hyperlink" Target="https://ref.ly/Phil2:6-Phil2:11" TargetMode="External"/><Relationship Id="rId2910" Type="http://schemas.openxmlformats.org/officeDocument/2006/relationships/hyperlink" Target="https://ref.ly/Col3:1-Col3:4" TargetMode="External"/><Relationship Id="rId2911" Type="http://schemas.openxmlformats.org/officeDocument/2006/relationships/hyperlink" Target="https://ref.ly/Col1:5" TargetMode="External"/><Relationship Id="rId2912" Type="http://schemas.openxmlformats.org/officeDocument/2006/relationships/hyperlink" Target="https://ref.ly/Rom6:1-Rom6:11" TargetMode="External"/><Relationship Id="rId2913" Type="http://schemas.openxmlformats.org/officeDocument/2006/relationships/hyperlink" Target="https://ref.ly/Col2:12-Col2:13" TargetMode="External"/><Relationship Id="rId2914" Type="http://schemas.openxmlformats.org/officeDocument/2006/relationships/hyperlink" Target="https://ref.ly/Col3:2-Col3:3" TargetMode="External"/><Relationship Id="rId2915" Type="http://schemas.openxmlformats.org/officeDocument/2006/relationships/hyperlink" Target="https://ref.ly/Col2:20" TargetMode="External"/><Relationship Id="rId2916" Type="http://schemas.openxmlformats.org/officeDocument/2006/relationships/hyperlink" Target="https://ref.ly/2Cor11:23" TargetMode="External"/><Relationship Id="rId2917" Type="http://schemas.openxmlformats.org/officeDocument/2006/relationships/hyperlink" Target="https://ref.ly/Acts19:1-Acts20:38" TargetMode="External"/><Relationship Id="rId2918" Type="http://schemas.openxmlformats.org/officeDocument/2006/relationships/hyperlink" Target="https://ref.ly/1Cor15:32" TargetMode="External"/><Relationship Id="rId2919" Type="http://schemas.openxmlformats.org/officeDocument/2006/relationships/hyperlink" Target="https://ref.ly/2Cor1:8-2Cor1:10" TargetMode="External"/><Relationship Id="rId2920" Type="http://schemas.openxmlformats.org/officeDocument/2006/relationships/hyperlink" Target="https://ref.ly/Col2:8" TargetMode="External"/><Relationship Id="rId2921" Type="http://schemas.openxmlformats.org/officeDocument/2006/relationships/hyperlink" Target="https://ref.ly/Col1:9-Col1:11" TargetMode="External"/><Relationship Id="rId2922" Type="http://schemas.openxmlformats.org/officeDocument/2006/relationships/hyperlink" Target="https://ref.ly/Col1:26-Col1:28" TargetMode="External"/><Relationship Id="rId2923" Type="http://schemas.openxmlformats.org/officeDocument/2006/relationships/hyperlink" Target="https://ref.ly/Col2:2-Col2:3" TargetMode="External"/><Relationship Id="rId2924" Type="http://schemas.openxmlformats.org/officeDocument/2006/relationships/hyperlink" Target="https://ref.ly/Heb5:12" TargetMode="External"/><Relationship Id="rId2925" Type="http://schemas.openxmlformats.org/officeDocument/2006/relationships/hyperlink" Target="https://ref.ly/Col2:15" TargetMode="External"/><Relationship Id="rId2926" Type="http://schemas.openxmlformats.org/officeDocument/2006/relationships/hyperlink" Target="https://ref.ly/Col1:16-Col1:20" TargetMode="External"/><Relationship Id="rId2927" Type="http://schemas.openxmlformats.org/officeDocument/2006/relationships/hyperlink" Target="https://ref.ly/Col1:19" TargetMode="External"/><Relationship Id="rId2928" Type="http://schemas.openxmlformats.org/officeDocument/2006/relationships/hyperlink" Target="https://ref.ly/Col2:9" TargetMode="External"/><Relationship Id="rId2929" Type="http://schemas.openxmlformats.org/officeDocument/2006/relationships/hyperlink" Target="https://ref.ly/Col2:10" TargetMode="External"/><Relationship Id="rId2930" Type="http://schemas.openxmlformats.org/officeDocument/2006/relationships/hyperlink" Target="https://ref.ly/Col2:16-Col2:18" TargetMode="External"/><Relationship Id="rId2931" Type="http://schemas.openxmlformats.org/officeDocument/2006/relationships/hyperlink" Target="https://ref.ly/Col2:18,Col2:21-Col2:23" TargetMode="External"/><Relationship Id="rId2932" Type="http://schemas.openxmlformats.org/officeDocument/2006/relationships/hyperlink" Target="https://ref.ly/Col2:21" TargetMode="External"/><Relationship Id="rId2933" Type="http://schemas.openxmlformats.org/officeDocument/2006/relationships/hyperlink" Target="https://ref.ly/Col3:5-Col3:11" TargetMode="External"/><Relationship Id="rId2934" Type="http://schemas.openxmlformats.org/officeDocument/2006/relationships/hyperlink" Target="https://ref.ly/Col4:12-Col4:13" TargetMode="External"/><Relationship Id="rId2935" Type="http://schemas.openxmlformats.org/officeDocument/2006/relationships/hyperlink" Target="https://ref.ly/Col1:12-Col1:14" TargetMode="External"/><Relationship Id="rId2936" Type="http://schemas.openxmlformats.org/officeDocument/2006/relationships/hyperlink" Target="https://ref.ly/Col2:18-Col2:19" TargetMode="External"/><Relationship Id="rId2937" Type="http://schemas.openxmlformats.org/officeDocument/2006/relationships/hyperlink" Target="https://ref.ly/Col2:9-Col2:10" TargetMode="External"/><Relationship Id="rId2938" Type="http://schemas.openxmlformats.org/officeDocument/2006/relationships/hyperlink" Target="https://ref.ly/Col1:1-Col1:29" TargetMode="External"/><Relationship Id="rId2939" Type="http://schemas.openxmlformats.org/officeDocument/2006/relationships/hyperlink" Target="https://ref.ly/Col1:20" TargetMode="External"/><Relationship Id="rId2940" Type="http://schemas.openxmlformats.org/officeDocument/2006/relationships/hyperlink" Target="https://ref.ly/Col1:21-Col1:22" TargetMode="External"/><Relationship Id="rId2941" Type="http://schemas.openxmlformats.org/officeDocument/2006/relationships/hyperlink" Target="https://ref.ly/Col2:14" TargetMode="External"/><Relationship Id="rId2942" Type="http://schemas.openxmlformats.org/officeDocument/2006/relationships/hyperlink" Target="https://ref.ly/Col1:18,Col1:24" TargetMode="External"/><Relationship Id="rId2943" Type="http://schemas.openxmlformats.org/officeDocument/2006/relationships/hyperlink" Target="https://ref.ly/Col2:19" TargetMode="External"/><Relationship Id="rId2944" Type="http://schemas.openxmlformats.org/officeDocument/2006/relationships/hyperlink" Target="https://ref.ly/Col1:13" TargetMode="External"/><Relationship Id="rId2945" Type="http://schemas.openxmlformats.org/officeDocument/2006/relationships/hyperlink" Target="https://ref.ly/Col1:1-Col1:2" TargetMode="External"/><Relationship Id="rId2946" Type="http://schemas.openxmlformats.org/officeDocument/2006/relationships/hyperlink" Target="https://ref.ly/Col1:3-Col1:8" TargetMode="External"/><Relationship Id="rId2947" Type="http://schemas.openxmlformats.org/officeDocument/2006/relationships/hyperlink" Target="https://ref.ly/Col1:12-Col1:23" TargetMode="External"/><Relationship Id="rId2948" Type="http://schemas.openxmlformats.org/officeDocument/2006/relationships/hyperlink" Target="https://ref.ly/Col1:21-Col1:23" TargetMode="External"/><Relationship Id="rId2949" Type="http://schemas.openxmlformats.org/officeDocument/2006/relationships/hyperlink" Target="https://ref.ly/Col1:24-Col2:5" TargetMode="External"/><Relationship Id="rId2950" Type="http://schemas.openxmlformats.org/officeDocument/2006/relationships/hyperlink" Target="https://ref.ly/Col1:24-Col1:29" TargetMode="External"/><Relationship Id="rId2951" Type="http://schemas.openxmlformats.org/officeDocument/2006/relationships/hyperlink" Target="https://ref.ly/Col2:1-Col2:5" TargetMode="External"/><Relationship Id="rId2952" Type="http://schemas.openxmlformats.org/officeDocument/2006/relationships/hyperlink" Target="https://ref.ly/Col2:6-Col2:23" TargetMode="External"/><Relationship Id="rId2953" Type="http://schemas.openxmlformats.org/officeDocument/2006/relationships/hyperlink" Target="https://ref.ly/Col2:6-Col2:7" TargetMode="External"/><Relationship Id="rId2954" Type="http://schemas.openxmlformats.org/officeDocument/2006/relationships/hyperlink" Target="https://ref.ly/Col2:11-Col2:15" TargetMode="External"/><Relationship Id="rId2955" Type="http://schemas.openxmlformats.org/officeDocument/2006/relationships/hyperlink" Target="https://ref.ly/Col2:16-Col2:23" TargetMode="External"/><Relationship Id="rId2956" Type="http://schemas.openxmlformats.org/officeDocument/2006/relationships/hyperlink" Target="https://ref.ly/Col3:1-Col4:6" TargetMode="External"/><Relationship Id="rId2957" Type="http://schemas.openxmlformats.org/officeDocument/2006/relationships/hyperlink" Target="https://ref.ly/Col3:12-Col3:14" TargetMode="External"/><Relationship Id="rId2958" Type="http://schemas.openxmlformats.org/officeDocument/2006/relationships/hyperlink" Target="https://ref.ly/Col3:15-Col4:1" TargetMode="External"/><Relationship Id="rId2959" Type="http://schemas.openxmlformats.org/officeDocument/2006/relationships/hyperlink" Target="https://ref.ly/Col3:18-Col4:1" TargetMode="External"/><Relationship Id="rId2960" Type="http://schemas.openxmlformats.org/officeDocument/2006/relationships/hyperlink" Target="https://ref.ly/Col3:15-Col3:17" TargetMode="External"/><Relationship Id="rId2961" Type="http://schemas.openxmlformats.org/officeDocument/2006/relationships/hyperlink" Target="https://ref.ly/Col4:2-Col4:6" TargetMode="External"/><Relationship Id="rId2962" Type="http://schemas.openxmlformats.org/officeDocument/2006/relationships/hyperlink" Target="https://ref.ly/Gal3:28" TargetMode="External"/><Relationship Id="rId2963" Type="http://schemas.openxmlformats.org/officeDocument/2006/relationships/hyperlink" Target="https://ref.ly/Col4:10-Col4:18" TargetMode="External"/><Relationship Id="rId2964" Type="http://schemas.openxmlformats.org/officeDocument/2006/relationships/hyperlink" Target="https://ref.ly/Jer6:1" TargetMode="External"/><Relationship Id="rId2965" Type="http://schemas.openxmlformats.org/officeDocument/2006/relationships/hyperlink" Target="https://ref.ly/Jer34:7" TargetMode="External"/><Relationship Id="rId2966" Type="http://schemas.openxmlformats.org/officeDocument/2006/relationships/hyperlink" Target="https://ref.ly/Josh6:4" TargetMode="External"/><Relationship Id="rId2967" Type="http://schemas.openxmlformats.org/officeDocument/2006/relationships/hyperlink" Target="https://ref.ly/Judg7:16" TargetMode="External"/><Relationship Id="rId2968" Type="http://schemas.openxmlformats.org/officeDocument/2006/relationships/hyperlink" Target="https://ref.ly/Hos8:1" TargetMode="External"/><Relationship Id="rId2969" Type="http://schemas.openxmlformats.org/officeDocument/2006/relationships/hyperlink" Target="https://ref.ly/Esth3:13" TargetMode="External"/><Relationship Id="rId2970" Type="http://schemas.openxmlformats.org/officeDocument/2006/relationships/hyperlink" Target="https://ref.ly/Esth8:10" TargetMode="External"/><Relationship Id="rId2971" Type="http://schemas.openxmlformats.org/officeDocument/2006/relationships/hyperlink" Target="https://ref.ly/Acts15:22-Acts15:29" TargetMode="External"/><Relationship Id="rId2972" Type="http://schemas.openxmlformats.org/officeDocument/2006/relationships/hyperlink" Target="https://ref.ly/1Thess3:2" TargetMode="External"/><Relationship Id="rId2973" Type="http://schemas.openxmlformats.org/officeDocument/2006/relationships/hyperlink" Target="https://ref.ly/Col4:7" TargetMode="External"/><Relationship Id="rId2974" Type="http://schemas.openxmlformats.org/officeDocument/2006/relationships/hyperlink" Target="https://ref.ly/Phil4:18" TargetMode="External"/><Relationship Id="rId2975" Type="http://schemas.openxmlformats.org/officeDocument/2006/relationships/hyperlink" Target="https://ref.ly/Gen5:22,Gen5:24" TargetMode="External"/><Relationship Id="rId2976" Type="http://schemas.openxmlformats.org/officeDocument/2006/relationships/hyperlink" Target="https://ref.ly/Gen6:9" TargetMode="External"/><Relationship Id="rId2977" Type="http://schemas.openxmlformats.org/officeDocument/2006/relationships/hyperlink" Target="https://ref.ly/Jas2:23" TargetMode="External"/><Relationship Id="rId2978" Type="http://schemas.openxmlformats.org/officeDocument/2006/relationships/hyperlink" Target="https://ref.ly/Exod24:1-Exod24:18" TargetMode="External"/><Relationship Id="rId2979" Type="http://schemas.openxmlformats.org/officeDocument/2006/relationships/hyperlink" Target="https://ref.ly/Ps16:1-Ps16:11" TargetMode="External"/><Relationship Id="rId2980" Type="http://schemas.openxmlformats.org/officeDocument/2006/relationships/hyperlink" Target="https://ref.ly/Ps34:1-Ps34:22" TargetMode="External"/><Relationship Id="rId2981" Type="http://schemas.openxmlformats.org/officeDocument/2006/relationships/hyperlink" Target="https://ref.ly/Ps40:1-Ps40:17" TargetMode="External"/><Relationship Id="rId2982" Type="http://schemas.openxmlformats.org/officeDocument/2006/relationships/hyperlink" Target="https://ref.ly/Ps63:1-Ps63:11" TargetMode="External"/><Relationship Id="rId2983" Type="http://schemas.openxmlformats.org/officeDocument/2006/relationships/hyperlink" Target="https://ref.ly/John14:23" TargetMode="External"/><Relationship Id="rId2984" Type="http://schemas.openxmlformats.org/officeDocument/2006/relationships/hyperlink" Target="https://ref.ly/John14:20-John14:21" TargetMode="External"/><Relationship Id="rId2985" Type="http://schemas.openxmlformats.org/officeDocument/2006/relationships/hyperlink" Target="https://ref.ly/1John1:3" TargetMode="External"/><Relationship Id="rId2986" Type="http://schemas.openxmlformats.org/officeDocument/2006/relationships/hyperlink" Target="https://ref.ly/1Cor13:12" TargetMode="External"/><Relationship Id="rId2987" Type="http://schemas.openxmlformats.org/officeDocument/2006/relationships/hyperlink" Target="https://ref.ly/Rev21:3" TargetMode="External"/><Relationship Id="rId2988" Type="http://schemas.openxmlformats.org/officeDocument/2006/relationships/hyperlink" Target="https://ref.ly/Mark14:22-Mark14:25" TargetMode="External"/><Relationship Id="rId2989" Type="http://schemas.openxmlformats.org/officeDocument/2006/relationships/hyperlink" Target="https://ref.ly/Acts2:42,Acts2:46" TargetMode="External"/><Relationship Id="rId2990" Type="http://schemas.openxmlformats.org/officeDocument/2006/relationships/hyperlink" Target="https://ref.ly/Acts2:44-Acts2:45" TargetMode="External"/><Relationship Id="rId2991" Type="http://schemas.openxmlformats.org/officeDocument/2006/relationships/hyperlink" Target="https://ref.ly/Acts4:32-Acts4:35" TargetMode="External"/><Relationship Id="rId2992" Type="http://schemas.openxmlformats.org/officeDocument/2006/relationships/hyperlink" Target="https://ref.ly/1Thess4:9" TargetMode="External"/><Relationship Id="rId2993" Type="http://schemas.openxmlformats.org/officeDocument/2006/relationships/hyperlink" Target="https://ref.ly/Rom15:26" TargetMode="External"/><Relationship Id="rId2994" Type="http://schemas.openxmlformats.org/officeDocument/2006/relationships/hyperlink" Target="https://ref.ly/Phil1:5" TargetMode="External"/><Relationship Id="rId2995" Type="http://schemas.openxmlformats.org/officeDocument/2006/relationships/hyperlink" Target="https://ref.ly/Phil4:14-Phil4:15" TargetMode="External"/><Relationship Id="rId2996" Type="http://schemas.openxmlformats.org/officeDocument/2006/relationships/hyperlink" Target="https://ref.ly/Eph2:19" TargetMode="External"/><Relationship Id="rId2997" Type="http://schemas.openxmlformats.org/officeDocument/2006/relationships/hyperlink" Target="https://ref.ly/1Tim3:15" TargetMode="External"/><Relationship Id="rId2998" Type="http://schemas.openxmlformats.org/officeDocument/2006/relationships/hyperlink" Target="https://ref.ly/Gal6:10" TargetMode="External"/><Relationship Id="rId2999" Type="http://schemas.openxmlformats.org/officeDocument/2006/relationships/hyperlink" Target="https://ref.ly/Heb13:1-Heb13:2" TargetMode="External"/><Relationship Id="rId3000" Type="http://schemas.openxmlformats.org/officeDocument/2006/relationships/hyperlink" Target="https://ref.ly/Eph3:15" TargetMode="External"/><Relationship Id="rId3001" Type="http://schemas.openxmlformats.org/officeDocument/2006/relationships/hyperlink" Target="https://ref.ly/Phil2:1-Phil2:4" TargetMode="External"/><Relationship Id="rId3002" Type="http://schemas.openxmlformats.org/officeDocument/2006/relationships/hyperlink" Target="https://ref.ly/Eph2:15-Eph2:16" TargetMode="External"/><Relationship Id="rId3003" Type="http://schemas.openxmlformats.org/officeDocument/2006/relationships/hyperlink" Target="https://ref.ly/Eph4:4-Eph4:6" TargetMode="External"/><Relationship Id="rId3004" Type="http://schemas.openxmlformats.org/officeDocument/2006/relationships/hyperlink" Target="https://ref.ly/1John1:7" TargetMode="External"/><Relationship Id="rId3005" Type="http://schemas.openxmlformats.org/officeDocument/2006/relationships/hyperlink" Target="https://ref.ly/2John1:9-2John1:11" TargetMode="External"/><Relationship Id="rId3006" Type="http://schemas.openxmlformats.org/officeDocument/2006/relationships/hyperlink" Target="https://ref.ly/1Cor5:11" TargetMode="External"/><Relationship Id="rId3007" Type="http://schemas.openxmlformats.org/officeDocument/2006/relationships/hyperlink" Target="https://ref.ly/John13:34-John13:35" TargetMode="External"/><Relationship Id="rId3008" Type="http://schemas.openxmlformats.org/officeDocument/2006/relationships/hyperlink" Target="https://ref.ly/John15:12" TargetMode="External"/><Relationship Id="rId3009" Type="http://schemas.openxmlformats.org/officeDocument/2006/relationships/hyperlink" Target="https://ref.ly/Heb13:1" TargetMode="External"/><Relationship Id="rId3010" Type="http://schemas.openxmlformats.org/officeDocument/2006/relationships/hyperlink" Target="https://ref.ly/Phil2:3-Phil2:5" TargetMode="External"/><Relationship Id="rId3011" Type="http://schemas.openxmlformats.org/officeDocument/2006/relationships/hyperlink" Target="https://ref.ly/Gal6:2" TargetMode="External"/><Relationship Id="rId3012" Type="http://schemas.openxmlformats.org/officeDocument/2006/relationships/hyperlink" Target="https://ref.ly/2Cor9:13" TargetMode="External"/><Relationship Id="rId3013" Type="http://schemas.openxmlformats.org/officeDocument/2006/relationships/hyperlink" Target="https://ref.ly/Gal6:1" TargetMode="External"/><Relationship Id="rId3014" Type="http://schemas.openxmlformats.org/officeDocument/2006/relationships/hyperlink" Target="https://ref.ly/1Cor12:26" TargetMode="External"/><Relationship Id="rId3015" Type="http://schemas.openxmlformats.org/officeDocument/2006/relationships/hyperlink" Target="https://ref.ly/Eph6:18" TargetMode="External"/><Relationship Id="rId3016" Type="http://schemas.openxmlformats.org/officeDocument/2006/relationships/hyperlink" Target="https://ref.ly/Acts15:6-Acts15:29" TargetMode="External"/><Relationship Id="rId3017" Type="http://schemas.openxmlformats.org/officeDocument/2006/relationships/hyperlink" Target="https://ref.ly/Acts14:26-Acts15:1" TargetMode="External"/><Relationship Id="rId3018" Type="http://schemas.openxmlformats.org/officeDocument/2006/relationships/hyperlink" Target="https://ref.ly/Acts15:3-Acts15:5" TargetMode="External"/><Relationship Id="rId3019" Type="http://schemas.openxmlformats.org/officeDocument/2006/relationships/hyperlink" Target="https://ref.ly/Acts15:6" TargetMode="External"/><Relationship Id="rId3020" Type="http://schemas.openxmlformats.org/officeDocument/2006/relationships/hyperlink" Target="https://ref.ly/Acts15:7-Acts15:11" TargetMode="External"/><Relationship Id="rId3021" Type="http://schemas.openxmlformats.org/officeDocument/2006/relationships/hyperlink" Target="https://ref.ly/Acts15:12,Acts15:22-Acts15:26" TargetMode="External"/><Relationship Id="rId3022" Type="http://schemas.openxmlformats.org/officeDocument/2006/relationships/hyperlink" Target="https://ref.ly/Acts15:13-Acts15:21" TargetMode="External"/><Relationship Id="rId3023" Type="http://schemas.openxmlformats.org/officeDocument/2006/relationships/hyperlink" Target="https://ref.ly/Acts15:9" TargetMode="External"/><Relationship Id="rId3024" Type="http://schemas.openxmlformats.org/officeDocument/2006/relationships/hyperlink" Target="https://ref.ly/Acts15:9-Acts15:11" TargetMode="External"/><Relationship Id="rId3025" Type="http://schemas.openxmlformats.org/officeDocument/2006/relationships/hyperlink" Target="https://ref.ly/Acts15:8,Acts15:12" TargetMode="External"/><Relationship Id="rId3026" Type="http://schemas.openxmlformats.org/officeDocument/2006/relationships/hyperlink" Target="https://ref.ly/Acts15:15-Acts15:18" TargetMode="External"/><Relationship Id="rId3027" Type="http://schemas.openxmlformats.org/officeDocument/2006/relationships/hyperlink" Target="https://ref.ly/Acts15:23" TargetMode="External"/><Relationship Id="rId3028" Type="http://schemas.openxmlformats.org/officeDocument/2006/relationships/hyperlink" Target="https://ref.ly/Acts16:4" TargetMode="External"/><Relationship Id="rId3029" Type="http://schemas.openxmlformats.org/officeDocument/2006/relationships/hyperlink" Target="https://ref.ly/Acts10:34-Acts10:35" TargetMode="External"/><Relationship Id="rId3030" Type="http://schemas.openxmlformats.org/officeDocument/2006/relationships/hyperlink" Target="https://ref.ly/Acts10:44" TargetMode="External"/><Relationship Id="rId3031" Type="http://schemas.openxmlformats.org/officeDocument/2006/relationships/hyperlink" Target="https://ref.ly/Acts10:45-Acts10:48" TargetMode="External"/><Relationship Id="rId3032" Type="http://schemas.openxmlformats.org/officeDocument/2006/relationships/hyperlink" Target="https://ref.ly/Acts11:1-Acts11:18" TargetMode="External"/><Relationship Id="rId3033" Type="http://schemas.openxmlformats.org/officeDocument/2006/relationships/hyperlink" Target="https://ref.ly/Acts11:20" TargetMode="External"/><Relationship Id="rId3034" Type="http://schemas.openxmlformats.org/officeDocument/2006/relationships/hyperlink" Target="https://ref.ly/Acts13:1" TargetMode="External"/><Relationship Id="rId3035" Type="http://schemas.openxmlformats.org/officeDocument/2006/relationships/hyperlink" Target="https://ref.ly/Gen22:24" TargetMode="External"/><Relationship Id="rId3036" Type="http://schemas.openxmlformats.org/officeDocument/2006/relationships/hyperlink" Target="https://ref.ly/Gen16:1-Gen16:3" TargetMode="External"/><Relationship Id="rId3037" Type="http://schemas.openxmlformats.org/officeDocument/2006/relationships/hyperlink" Target="https://ref.ly/Gen25:5-Gen25:6" TargetMode="External"/><Relationship Id="rId3038" Type="http://schemas.openxmlformats.org/officeDocument/2006/relationships/hyperlink" Target="https://ref.ly/1Chr1:32" TargetMode="External"/><Relationship Id="rId3039" Type="http://schemas.openxmlformats.org/officeDocument/2006/relationships/hyperlink" Target="https://ref.ly/Gen49:1-Gen49:28" TargetMode="External"/><Relationship Id="rId3040" Type="http://schemas.openxmlformats.org/officeDocument/2006/relationships/hyperlink" Target="https://ref.ly/Gen35:22-Gen35:26" TargetMode="External"/><Relationship Id="rId3041" Type="http://schemas.openxmlformats.org/officeDocument/2006/relationships/hyperlink" Target="https://ref.ly/Deut17:17" TargetMode="External"/><Relationship Id="rId3042" Type="http://schemas.openxmlformats.org/officeDocument/2006/relationships/hyperlink" Target="https://ref.ly/Deut21:15-Deut21:17" TargetMode="External"/><Relationship Id="rId3043" Type="http://schemas.openxmlformats.org/officeDocument/2006/relationships/hyperlink" Target="https://ref.ly/Judg19:1-Judg19:30" TargetMode="External"/><Relationship Id="rId3044" Type="http://schemas.openxmlformats.org/officeDocument/2006/relationships/hyperlink" Target="https://ref.ly/Judg20:1-Judg21:25" TargetMode="External"/><Relationship Id="rId3045" Type="http://schemas.openxmlformats.org/officeDocument/2006/relationships/hyperlink" Target="https://ref.ly/2Sam5:13" TargetMode="External"/><Relationship Id="rId3046" Type="http://schemas.openxmlformats.org/officeDocument/2006/relationships/hyperlink" Target="https://ref.ly/2Sam15:16" TargetMode="External"/><Relationship Id="rId3047" Type="http://schemas.openxmlformats.org/officeDocument/2006/relationships/hyperlink" Target="https://ref.ly/1Kgs11:3" TargetMode="External"/><Relationship Id="rId3048" Type="http://schemas.openxmlformats.org/officeDocument/2006/relationships/hyperlink" Target="https://ref.ly/2Chr11:21" TargetMode="External"/><Relationship Id="rId3049" Type="http://schemas.openxmlformats.org/officeDocument/2006/relationships/hyperlink" Target="https://ref.ly/Esth2:14" TargetMode="External"/><Relationship Id="rId3050" Type="http://schemas.openxmlformats.org/officeDocument/2006/relationships/hyperlink" Target="https://ref.ly/Dan5:2-Dan5:3" TargetMode="External"/><Relationship Id="rId3051" Type="http://schemas.openxmlformats.org/officeDocument/2006/relationships/hyperlink" Target="https://ref.ly/Eccl2:8" TargetMode="External"/><Relationship Id="rId3052" Type="http://schemas.openxmlformats.org/officeDocument/2006/relationships/hyperlink" Target="https://ref.ly/Matt19:1-Matt19:9" TargetMode="External"/><Relationship Id="rId3053" Type="http://schemas.openxmlformats.org/officeDocument/2006/relationships/hyperlink" Target="https://ref.ly/Gen17:8" TargetMode="External"/><Relationship Id="rId3054" Type="http://schemas.openxmlformats.org/officeDocument/2006/relationships/hyperlink" Target="https://ref.ly/Gen26:4" TargetMode="External"/><Relationship Id="rId3055" Type="http://schemas.openxmlformats.org/officeDocument/2006/relationships/hyperlink" Target="https://ref.ly/Gen28:13" TargetMode="External"/><Relationship Id="rId3056" Type="http://schemas.openxmlformats.org/officeDocument/2006/relationships/hyperlink" Target="https://ref.ly/Exod3:15-Exod3:17" TargetMode="External"/><Relationship Id="rId3057" Type="http://schemas.openxmlformats.org/officeDocument/2006/relationships/hyperlink" Target="https://ref.ly/Judg11:26-Judg11:28" TargetMode="External"/><Relationship Id="rId3058" Type="http://schemas.openxmlformats.org/officeDocument/2006/relationships/hyperlink" Target="https://ref.ly/Acts13:20" TargetMode="External"/><Relationship Id="rId3059" Type="http://schemas.openxmlformats.org/officeDocument/2006/relationships/hyperlink" Target="https://ref.ly/Josh1:1-Josh12:24" TargetMode="External"/><Relationship Id="rId3060" Type="http://schemas.openxmlformats.org/officeDocument/2006/relationships/hyperlink" Target="https://ref.ly/Josh2:1-Josh8:35" TargetMode="External"/><Relationship Id="rId3061" Type="http://schemas.openxmlformats.org/officeDocument/2006/relationships/hyperlink" Target="https://ref.ly/Josh9:1-Josh9:27" TargetMode="External"/><Relationship Id="rId3062" Type="http://schemas.openxmlformats.org/officeDocument/2006/relationships/hyperlink" Target="https://ref.ly/Josh10:1-Josh10:43" TargetMode="External"/><Relationship Id="rId3063" Type="http://schemas.openxmlformats.org/officeDocument/2006/relationships/hyperlink" Target="https://ref.ly/Josh10:9-Josh10:12" TargetMode="External"/><Relationship Id="rId3064" Type="http://schemas.openxmlformats.org/officeDocument/2006/relationships/hyperlink" Target="https://ref.ly/Josh11:1-Josh11:23" TargetMode="External"/><Relationship Id="rId3065" Type="http://schemas.openxmlformats.org/officeDocument/2006/relationships/hyperlink" Target="https://ref.ly/Josh11:16-Josh11:23" TargetMode="External"/><Relationship Id="rId3066" Type="http://schemas.openxmlformats.org/officeDocument/2006/relationships/hyperlink" Target="https://ref.ly/Josh12:1-Josh12:24" TargetMode="External"/><Relationship Id="rId3067" Type="http://schemas.openxmlformats.org/officeDocument/2006/relationships/hyperlink" Target="https://ref.ly/Gen3:8-Gen3:10" TargetMode="External"/><Relationship Id="rId3068" Type="http://schemas.openxmlformats.org/officeDocument/2006/relationships/hyperlink" Target="https://ref.ly/Prov20:27" TargetMode="External"/><Relationship Id="rId3069" Type="http://schemas.openxmlformats.org/officeDocument/2006/relationships/hyperlink" Target="https://ref.ly/Rom2:14-Rom2:15" TargetMode="External"/><Relationship Id="rId3070" Type="http://schemas.openxmlformats.org/officeDocument/2006/relationships/hyperlink" Target="https://ref.ly/Rom13:5" TargetMode="External"/><Relationship Id="rId3071" Type="http://schemas.openxmlformats.org/officeDocument/2006/relationships/hyperlink" Target="https://ref.ly/1Cor4:4" TargetMode="External"/><Relationship Id="rId3072" Type="http://schemas.openxmlformats.org/officeDocument/2006/relationships/hyperlink" Target="https://ref.ly/Rom9:1" TargetMode="External"/><Relationship Id="rId3073" Type="http://schemas.openxmlformats.org/officeDocument/2006/relationships/hyperlink" Target="https://ref.ly/2Cor1:12" TargetMode="External"/><Relationship Id="rId3074" Type="http://schemas.openxmlformats.org/officeDocument/2006/relationships/hyperlink" Target="https://ref.ly/2Cor4:1-2Cor4:2" TargetMode="External"/><Relationship Id="rId3075" Type="http://schemas.openxmlformats.org/officeDocument/2006/relationships/hyperlink" Target="https://ref.ly/2Cor5:11" TargetMode="External"/><Relationship Id="rId3076" Type="http://schemas.openxmlformats.org/officeDocument/2006/relationships/hyperlink" Target="https://ref.ly/1Tim1:5" TargetMode="External"/><Relationship Id="rId3077" Type="http://schemas.openxmlformats.org/officeDocument/2006/relationships/hyperlink" Target="https://ref.ly/1Tim4:2" TargetMode="External"/><Relationship Id="rId3078" Type="http://schemas.openxmlformats.org/officeDocument/2006/relationships/hyperlink" Target="https://ref.ly/1Cor8:1-1Cor10:33" TargetMode="External"/><Relationship Id="rId3079" Type="http://schemas.openxmlformats.org/officeDocument/2006/relationships/hyperlink" Target="https://ref.ly/1Cor8:7" TargetMode="External"/><Relationship Id="rId3080" Type="http://schemas.openxmlformats.org/officeDocument/2006/relationships/hyperlink" Target="https://ref.ly/Rom14:20" TargetMode="External"/><Relationship Id="rId3081" Type="http://schemas.openxmlformats.org/officeDocument/2006/relationships/hyperlink" Target="https://ref.ly/Deut5:21" TargetMode="External"/><Relationship Id="rId3082" Type="http://schemas.openxmlformats.org/officeDocument/2006/relationships/hyperlink" Target="https://ref.ly/Prov21:26" TargetMode="External"/><Relationship Id="rId3083" Type="http://schemas.openxmlformats.org/officeDocument/2006/relationships/hyperlink" Target="https://ref.ly/Hab2:9" TargetMode="External"/><Relationship Id="rId3084" Type="http://schemas.openxmlformats.org/officeDocument/2006/relationships/hyperlink" Target="https://ref.ly/Exod20:17" TargetMode="External"/><Relationship Id="rId3085" Type="http://schemas.openxmlformats.org/officeDocument/2006/relationships/hyperlink" Target="https://ref.ly/Mic2:2" TargetMode="External"/><Relationship Id="rId3086" Type="http://schemas.openxmlformats.org/officeDocument/2006/relationships/hyperlink" Target="https://ref.ly/Eph5:3" TargetMode="External"/><Relationship Id="rId3087" Type="http://schemas.openxmlformats.org/officeDocument/2006/relationships/hyperlink" Target="https://ref.ly/1Cor6:10" TargetMode="External"/><Relationship Id="rId3088" Type="http://schemas.openxmlformats.org/officeDocument/2006/relationships/hyperlink" Target="https://ref.ly/1Tim6:9-1Tim6:10" TargetMode="External"/><Relationship Id="rId3089" Type="http://schemas.openxmlformats.org/officeDocument/2006/relationships/hyperlink" Target="https://ref.ly/Prov15:27" TargetMode="External"/><Relationship Id="rId3090" Type="http://schemas.openxmlformats.org/officeDocument/2006/relationships/hyperlink" Target="https://ref.ly/Acts5:1-Acts5:3" TargetMode="External"/><Relationship Id="rId3091" Type="http://schemas.openxmlformats.org/officeDocument/2006/relationships/hyperlink" Target="https://ref.ly/Matt26:14-Matt26:15" TargetMode="External"/><Relationship Id="rId3092" Type="http://schemas.openxmlformats.org/officeDocument/2006/relationships/hyperlink" Target="https://ref.ly/Luke12:15" TargetMode="External"/><Relationship Id="rId3093" Type="http://schemas.openxmlformats.org/officeDocument/2006/relationships/hyperlink" Target="https://ref.ly/1Cor14:39" TargetMode="External"/><Relationship Id="rId3094" Type="http://schemas.openxmlformats.org/officeDocument/2006/relationships/hyperlink" Target="https://ref.ly/Luke15:16" TargetMode="External"/><Relationship Id="rId3095" Type="http://schemas.openxmlformats.org/officeDocument/2006/relationships/hyperlink" Target="https://ref.ly/Matt13:17" TargetMode="External"/><Relationship Id="rId3096" Type="http://schemas.openxmlformats.org/officeDocument/2006/relationships/hyperlink" Target="https://ref.ly/1Pet1:12" TargetMode="External"/><Relationship Id="rId3097" Type="http://schemas.openxmlformats.org/officeDocument/2006/relationships/hyperlink" Target="https://ref.ly/Phil1:23" TargetMode="External"/><Relationship Id="rId3098" Type="http://schemas.openxmlformats.org/officeDocument/2006/relationships/hyperlink" Target="https://ref.ly/Heb6:11" TargetMode="External"/><Relationship Id="rId3099" Type="http://schemas.openxmlformats.org/officeDocument/2006/relationships/hyperlink" Target="https://ref.ly/1Thess4:5" TargetMode="External"/><Relationship Id="rId3100" Type="http://schemas.openxmlformats.org/officeDocument/2006/relationships/hyperlink" Target="https://ref.ly/1John2:17" TargetMode="External"/><Relationship Id="rId3101" Type="http://schemas.openxmlformats.org/officeDocument/2006/relationships/hyperlink" Target="https://ref.ly/John8:44" TargetMode="External"/><Relationship Id="rId3102" Type="http://schemas.openxmlformats.org/officeDocument/2006/relationships/hyperlink" Target="https://ref.ly/Rom1:24" TargetMode="External"/><Relationship Id="rId3103" Type="http://schemas.openxmlformats.org/officeDocument/2006/relationships/hyperlink" Target="https://ref.ly/Rom6:12" TargetMode="External"/><Relationship Id="rId3104" Type="http://schemas.openxmlformats.org/officeDocument/2006/relationships/hyperlink" Target="https://ref.ly/Rom7:7-Rom7:8" TargetMode="External"/><Relationship Id="rId3105" Type="http://schemas.openxmlformats.org/officeDocument/2006/relationships/hyperlink" Target="https://ref.ly/Rom13:14" TargetMode="External"/><Relationship Id="rId3106" Type="http://schemas.openxmlformats.org/officeDocument/2006/relationships/hyperlink" Target="https://ref.ly/Mark7:11" TargetMode="External"/><Relationship Id="rId3107" Type="http://schemas.openxmlformats.org/officeDocument/2006/relationships/hyperlink" Target="https://ref.ly/Mark7:1-Mark7:37" TargetMode="External"/><Relationship Id="rId3108" Type="http://schemas.openxmlformats.org/officeDocument/2006/relationships/hyperlink" Target="https://ref.ly/Exod20:12" TargetMode="External"/><Relationship Id="rId3109" Type="http://schemas.openxmlformats.org/officeDocument/2006/relationships/hyperlink" Target="https://ref.ly/Mark7:12" TargetMode="External"/><Relationship Id="rId3110" Type="http://schemas.openxmlformats.org/officeDocument/2006/relationships/hyperlink" Target="https://ref.ly/Num30:1-Num30:2" TargetMode="External"/><Relationship Id="rId3111" Type="http://schemas.openxmlformats.org/officeDocument/2006/relationships/hyperlink" Target="https://ref.ly/Acts18:4" TargetMode="External"/><Relationship Id="rId3112" Type="http://schemas.openxmlformats.org/officeDocument/2006/relationships/hyperlink" Target="https://ref.ly/Acts18:1-Acts18:28" TargetMode="External"/><Relationship Id="rId3113" Type="http://schemas.openxmlformats.org/officeDocument/2006/relationships/hyperlink" Target="https://ref.ly/Acts18:6" TargetMode="External"/><Relationship Id="rId3114" Type="http://schemas.openxmlformats.org/officeDocument/2006/relationships/hyperlink" Target="https://ref.ly/2Cor2:14-2Cor7:4" TargetMode="External"/><Relationship Id="rId3115" Type="http://schemas.openxmlformats.org/officeDocument/2006/relationships/hyperlink" Target="https://ref.ly/2Cor10:1-2Cor13:14" TargetMode="External"/><Relationship Id="rId3116" Type="http://schemas.openxmlformats.org/officeDocument/2006/relationships/hyperlink" Target="https://ref.ly/2Cor7:2" TargetMode="External"/><Relationship Id="rId3117" Type="http://schemas.openxmlformats.org/officeDocument/2006/relationships/hyperlink" Target="https://ref.ly/2Cor6:13" TargetMode="External"/><Relationship Id="rId3118" Type="http://schemas.openxmlformats.org/officeDocument/2006/relationships/hyperlink" Target="https://ref.ly/1Cor5:9" TargetMode="External"/><Relationship Id="rId3119" Type="http://schemas.openxmlformats.org/officeDocument/2006/relationships/hyperlink" Target="https://ref.ly/2Cor2:1,2Cor2:5" TargetMode="External"/><Relationship Id="rId3120" Type="http://schemas.openxmlformats.org/officeDocument/2006/relationships/hyperlink" Target="https://ref.ly/2Cor2:4" TargetMode="External"/><Relationship Id="rId3121" Type="http://schemas.openxmlformats.org/officeDocument/2006/relationships/hyperlink" Target="https://ref.ly/2Cor7:8,2Cor7:12" TargetMode="External"/><Relationship Id="rId3122" Type="http://schemas.openxmlformats.org/officeDocument/2006/relationships/hyperlink" Target="https://ref.ly/2Cor1:8-2Cor1:9" TargetMode="External"/><Relationship Id="rId3123" Type="http://schemas.openxmlformats.org/officeDocument/2006/relationships/hyperlink" Target="https://ref.ly/2Cor1:1-2Cor9:15" TargetMode="External"/><Relationship Id="rId3124" Type="http://schemas.openxmlformats.org/officeDocument/2006/relationships/hyperlink" Target="https://ref.ly/2Cor8:1-2Cor9:15" TargetMode="External"/><Relationship Id="rId3125" Type="http://schemas.openxmlformats.org/officeDocument/2006/relationships/hyperlink" Target="https://ref.ly/Acts20:2-Acts20:3" TargetMode="External"/><Relationship Id="rId3126" Type="http://schemas.openxmlformats.org/officeDocument/2006/relationships/hyperlink" Target="https://ref.ly/1Cor1:1-1Cor1:31" TargetMode="External"/><Relationship Id="rId3127" Type="http://schemas.openxmlformats.org/officeDocument/2006/relationships/hyperlink" Target="https://ref.ly/1Cor16:1-1Cor16:4" TargetMode="External"/><Relationship Id="rId3128" Type="http://schemas.openxmlformats.org/officeDocument/2006/relationships/hyperlink" Target="https://ref.ly/2Cor1:1-2Cor1:7" TargetMode="External"/><Relationship Id="rId3129" Type="http://schemas.openxmlformats.org/officeDocument/2006/relationships/hyperlink" Target="https://ref.ly/2Cor1:1-2Cor1:2" TargetMode="External"/><Relationship Id="rId3130" Type="http://schemas.openxmlformats.org/officeDocument/2006/relationships/hyperlink" Target="https://ref.ly/2Cor1:3-2Cor1:7" TargetMode="External"/><Relationship Id="rId3131" Type="http://schemas.openxmlformats.org/officeDocument/2006/relationships/hyperlink" Target="https://ref.ly/2Cor1:1-2Cor7:16" TargetMode="External"/><Relationship Id="rId3132" Type="http://schemas.openxmlformats.org/officeDocument/2006/relationships/hyperlink" Target="https://ref.ly/2Cor1:8-2Cor2:13" TargetMode="External"/><Relationship Id="rId3133" Type="http://schemas.openxmlformats.org/officeDocument/2006/relationships/hyperlink" Target="https://ref.ly/2Cor1:8-2Cor1:11" TargetMode="External"/><Relationship Id="rId3134" Type="http://schemas.openxmlformats.org/officeDocument/2006/relationships/hyperlink" Target="https://ref.ly/2Cor1:12-2Cor1:14" TargetMode="External"/><Relationship Id="rId3135" Type="http://schemas.openxmlformats.org/officeDocument/2006/relationships/hyperlink" Target="https://ref.ly/1Cor16:5-1Cor16:6" TargetMode="External"/><Relationship Id="rId3136" Type="http://schemas.openxmlformats.org/officeDocument/2006/relationships/hyperlink" Target="https://ref.ly/2Cor1:15-2Cor2:4" TargetMode="External"/><Relationship Id="rId3137" Type="http://schemas.openxmlformats.org/officeDocument/2006/relationships/hyperlink" Target="https://ref.ly/Jas5:12" TargetMode="External"/><Relationship Id="rId3138" Type="http://schemas.openxmlformats.org/officeDocument/2006/relationships/hyperlink" Target="https://ref.ly/1Cor5:1-1Cor5:13" TargetMode="External"/><Relationship Id="rId3139" Type="http://schemas.openxmlformats.org/officeDocument/2006/relationships/hyperlink" Target="https://ref.ly/2Cor2:5-2Cor2:11" TargetMode="External"/><Relationship Id="rId3140" Type="http://schemas.openxmlformats.org/officeDocument/2006/relationships/hyperlink" Target="https://ref.ly/2Cor2:12-2Cor2:13" TargetMode="External"/><Relationship Id="rId3141" Type="http://schemas.openxmlformats.org/officeDocument/2006/relationships/hyperlink" Target="https://ref.ly/2Cor2:14-2Cor2:17" TargetMode="External"/><Relationship Id="rId3142" Type="http://schemas.openxmlformats.org/officeDocument/2006/relationships/hyperlink" Target="https://ref.ly/2Cor3:1-2Cor3:3" TargetMode="External"/><Relationship Id="rId3143" Type="http://schemas.openxmlformats.org/officeDocument/2006/relationships/hyperlink" Target="https://ref.ly/Exod34:29-Exod34:35" TargetMode="External"/><Relationship Id="rId3144" Type="http://schemas.openxmlformats.org/officeDocument/2006/relationships/hyperlink" Target="https://ref.ly/2Cor3:4-2Cor4:6" TargetMode="External"/><Relationship Id="rId3145" Type="http://schemas.openxmlformats.org/officeDocument/2006/relationships/hyperlink" Target="https://ref.ly/2Cor4:7-2Cor4:15" TargetMode="External"/><Relationship Id="rId3146" Type="http://schemas.openxmlformats.org/officeDocument/2006/relationships/hyperlink" Target="https://ref.ly/2Cor4:16-2Cor4:18" TargetMode="External"/><Relationship Id="rId3147" Type="http://schemas.openxmlformats.org/officeDocument/2006/relationships/hyperlink" Target="https://ref.ly/2Cor5:1-2Cor5:5" TargetMode="External"/><Relationship Id="rId3148" Type="http://schemas.openxmlformats.org/officeDocument/2006/relationships/hyperlink" Target="https://ref.ly/2Cor5:6-2Cor5:10" TargetMode="External"/><Relationship Id="rId3149" Type="http://schemas.openxmlformats.org/officeDocument/2006/relationships/hyperlink" Target="https://ref.ly/2Cor5:11-2Cor5:15" TargetMode="External"/><Relationship Id="rId3150" Type="http://schemas.openxmlformats.org/officeDocument/2006/relationships/hyperlink" Target="https://ref.ly/2Cor5:16-2Cor5:20" TargetMode="External"/><Relationship Id="rId3151" Type="http://schemas.openxmlformats.org/officeDocument/2006/relationships/hyperlink" Target="https://ref.ly/2Cor6:1-2Cor6:10" TargetMode="External"/><Relationship Id="rId3152" Type="http://schemas.openxmlformats.org/officeDocument/2006/relationships/hyperlink" Target="https://ref.ly/2Cor6:11-2Cor6:13" TargetMode="External"/><Relationship Id="rId3153" Type="http://schemas.openxmlformats.org/officeDocument/2006/relationships/hyperlink" Target="https://ref.ly/Exod25:8" TargetMode="External"/><Relationship Id="rId3154" Type="http://schemas.openxmlformats.org/officeDocument/2006/relationships/hyperlink" Target="https://ref.ly/Lev26:11-Lev26:12" TargetMode="External"/><Relationship Id="rId3155" Type="http://schemas.openxmlformats.org/officeDocument/2006/relationships/hyperlink" Target="https://ref.ly/Isa52:11" TargetMode="External"/><Relationship Id="rId3156" Type="http://schemas.openxmlformats.org/officeDocument/2006/relationships/hyperlink" Target="https://ref.ly/Ezek37:27" TargetMode="External"/><Relationship Id="rId3157" Type="http://schemas.openxmlformats.org/officeDocument/2006/relationships/hyperlink" Target="https://ref.ly/Hos1:10" TargetMode="External"/><Relationship Id="rId3158" Type="http://schemas.openxmlformats.org/officeDocument/2006/relationships/hyperlink" Target="https://ref.ly/2Cor7:2-2Cor7:4" TargetMode="External"/><Relationship Id="rId3159" Type="http://schemas.openxmlformats.org/officeDocument/2006/relationships/hyperlink" Target="https://ref.ly/2Cor7:5-2Cor7:16" TargetMode="External"/><Relationship Id="rId3160" Type="http://schemas.openxmlformats.org/officeDocument/2006/relationships/hyperlink" Target="https://ref.ly/2Cor2:13" TargetMode="External"/><Relationship Id="rId3161" Type="http://schemas.openxmlformats.org/officeDocument/2006/relationships/hyperlink" Target="https://ref.ly/Acts11:27-Acts11:30" TargetMode="External"/><Relationship Id="rId3162" Type="http://schemas.openxmlformats.org/officeDocument/2006/relationships/hyperlink" Target="https://ref.ly/2Cor8:1-2Cor8:7" TargetMode="External"/><Relationship Id="rId3163" Type="http://schemas.openxmlformats.org/officeDocument/2006/relationships/hyperlink" Target="https://ref.ly/Exod16:18" TargetMode="External"/><Relationship Id="rId3164" Type="http://schemas.openxmlformats.org/officeDocument/2006/relationships/hyperlink" Target="https://ref.ly/2Cor8:8-2Cor8:15" TargetMode="External"/><Relationship Id="rId3165" Type="http://schemas.openxmlformats.org/officeDocument/2006/relationships/hyperlink" Target="https://ref.ly/2Cor8:16-2Cor8:24" TargetMode="External"/><Relationship Id="rId3166" Type="http://schemas.openxmlformats.org/officeDocument/2006/relationships/hyperlink" Target="https://ref.ly/2Cor9:1-2Cor9:5" TargetMode="External"/><Relationship Id="rId3167" Type="http://schemas.openxmlformats.org/officeDocument/2006/relationships/hyperlink" Target="https://ref.ly/Matt6:19-Matt6:20" TargetMode="External"/><Relationship Id="rId3168" Type="http://schemas.openxmlformats.org/officeDocument/2006/relationships/hyperlink" Target="https://ref.ly/2Cor9:6-2Cor9:15" TargetMode="External"/><Relationship Id="rId3169" Type="http://schemas.openxmlformats.org/officeDocument/2006/relationships/hyperlink" Target="https://ref.ly/2Cor9:15" TargetMode="External"/><Relationship Id="rId3170" Type="http://schemas.openxmlformats.org/officeDocument/2006/relationships/hyperlink" Target="https://ref.ly/2Cor10:1" TargetMode="External"/><Relationship Id="rId3171" Type="http://schemas.openxmlformats.org/officeDocument/2006/relationships/hyperlink" Target="https://ref.ly/2Cor10:1-2Cor10:11" TargetMode="External"/><Relationship Id="rId3172" Type="http://schemas.openxmlformats.org/officeDocument/2006/relationships/hyperlink" Target="https://ref.ly/2Cor10:13-2Cor10:18" TargetMode="External"/><Relationship Id="rId3173" Type="http://schemas.openxmlformats.org/officeDocument/2006/relationships/hyperlink" Target="https://ref.ly/2Cor11:1-2Cor11:6" TargetMode="External"/><Relationship Id="rId3174" Type="http://schemas.openxmlformats.org/officeDocument/2006/relationships/hyperlink" Target="https://ref.ly/1Cor9:1-1Cor9:27" TargetMode="External"/><Relationship Id="rId3175" Type="http://schemas.openxmlformats.org/officeDocument/2006/relationships/hyperlink" Target="https://ref.ly/2Cor11:7-2Cor11:21" TargetMode="External"/><Relationship Id="rId3176" Type="http://schemas.openxmlformats.org/officeDocument/2006/relationships/hyperlink" Target="https://ref.ly/2Cor11:21-2Cor11:29" TargetMode="External"/><Relationship Id="rId3177" Type="http://schemas.openxmlformats.org/officeDocument/2006/relationships/hyperlink" Target="https://ref.ly/2Cor11:30-2Cor11:33" TargetMode="External"/><Relationship Id="rId3178" Type="http://schemas.openxmlformats.org/officeDocument/2006/relationships/hyperlink" Target="https://ref.ly/Acts9:30" TargetMode="External"/><Relationship Id="rId3179" Type="http://schemas.openxmlformats.org/officeDocument/2006/relationships/hyperlink" Target="https://ref.ly/Acts11:25" TargetMode="External"/><Relationship Id="rId3180" Type="http://schemas.openxmlformats.org/officeDocument/2006/relationships/hyperlink" Target="https://ref.ly/Num33:55" TargetMode="External"/><Relationship Id="rId3181" Type="http://schemas.openxmlformats.org/officeDocument/2006/relationships/hyperlink" Target="https://ref.ly/Josh23:13" TargetMode="External"/><Relationship Id="rId3182" Type="http://schemas.openxmlformats.org/officeDocument/2006/relationships/hyperlink" Target="https://ref.ly/2Cor12:10" TargetMode="External"/><Relationship Id="rId3183" Type="http://schemas.openxmlformats.org/officeDocument/2006/relationships/hyperlink" Target="https://ref.ly/2Cor12:1-2Cor12:10" TargetMode="External"/><Relationship Id="rId3184" Type="http://schemas.openxmlformats.org/officeDocument/2006/relationships/hyperlink" Target="https://ref.ly/2Cor12:11-2Cor12:13" TargetMode="External"/><Relationship Id="rId3185" Type="http://schemas.openxmlformats.org/officeDocument/2006/relationships/hyperlink" Target="https://ref.ly/2Cor12:14-2Cor12:18" TargetMode="External"/><Relationship Id="rId3186" Type="http://schemas.openxmlformats.org/officeDocument/2006/relationships/hyperlink" Target="https://ref.ly/2Cor12:19-2Cor13:4" TargetMode="External"/><Relationship Id="rId3187" Type="http://schemas.openxmlformats.org/officeDocument/2006/relationships/hyperlink" Target="https://ref.ly/2Cor13:5-2Cor13:10" TargetMode="External"/><Relationship Id="rId3188" Type="http://schemas.openxmlformats.org/officeDocument/2006/relationships/hyperlink" Target="https://ref.ly/2Cor13:11-2Cor13:13" TargetMode="External"/><Relationship Id="rId3189" Type="http://schemas.openxmlformats.org/officeDocument/2006/relationships/hyperlink" Target="https://ref.ly/1Cor5:9-1Cor5:11" TargetMode="External"/><Relationship Id="rId3190" Type="http://schemas.openxmlformats.org/officeDocument/2006/relationships/hyperlink" Target="https://ref.ly/1Cor1:11" TargetMode="External"/><Relationship Id="rId3191" Type="http://schemas.openxmlformats.org/officeDocument/2006/relationships/hyperlink" Target="https://ref.ly/1Cor16:17" TargetMode="External"/><Relationship Id="rId3192" Type="http://schemas.openxmlformats.org/officeDocument/2006/relationships/hyperlink" Target="https://ref.ly/2Cor2:2-2Cor2:3" TargetMode="External"/><Relationship Id="rId3193" Type="http://schemas.openxmlformats.org/officeDocument/2006/relationships/hyperlink" Target="https://ref.ly/1Cor1:1-1Cor1:9" TargetMode="External"/><Relationship Id="rId3194" Type="http://schemas.openxmlformats.org/officeDocument/2006/relationships/hyperlink" Target="https://ref.ly/Acts18:17" TargetMode="External"/><Relationship Id="rId3195" Type="http://schemas.openxmlformats.org/officeDocument/2006/relationships/hyperlink" Target="https://ref.ly/1Cor1:10-1Cor4:21" TargetMode="External"/><Relationship Id="rId3196" Type="http://schemas.openxmlformats.org/officeDocument/2006/relationships/hyperlink" Target="https://ref.ly/1Cor1:18" TargetMode="External"/><Relationship Id="rId3197" Type="http://schemas.openxmlformats.org/officeDocument/2006/relationships/hyperlink" Target="https://ref.ly/1Cor1:26-1Cor1:31" TargetMode="External"/><Relationship Id="rId3198" Type="http://schemas.openxmlformats.org/officeDocument/2006/relationships/hyperlink" Target="https://ref.ly/1Cor2:4" TargetMode="External"/><Relationship Id="rId3199" Type="http://schemas.openxmlformats.org/officeDocument/2006/relationships/hyperlink" Target="https://ref.ly/1Cor3:17" TargetMode="External"/><Relationship Id="rId3200" Type="http://schemas.openxmlformats.org/officeDocument/2006/relationships/hyperlink" Target="https://ref.ly/1Cor4:8-1Cor4:13" TargetMode="External"/><Relationship Id="rId3201" Type="http://schemas.openxmlformats.org/officeDocument/2006/relationships/hyperlink" Target="https://ref.ly/1Cor4:14-1Cor4:16" TargetMode="External"/><Relationship Id="rId3202" Type="http://schemas.openxmlformats.org/officeDocument/2006/relationships/hyperlink" Target="https://ref.ly/1Cor4:18" TargetMode="External"/><Relationship Id="rId3203" Type="http://schemas.openxmlformats.org/officeDocument/2006/relationships/hyperlink" Target="https://ref.ly/1Cor5:1-1Cor6:20" TargetMode="External"/><Relationship Id="rId3204" Type="http://schemas.openxmlformats.org/officeDocument/2006/relationships/hyperlink" Target="https://ref.ly/1Cor7:1" TargetMode="External"/><Relationship Id="rId3205" Type="http://schemas.openxmlformats.org/officeDocument/2006/relationships/hyperlink" Target="https://ref.ly/1Cor5:12-1Cor5:13" TargetMode="External"/><Relationship Id="rId3206" Type="http://schemas.openxmlformats.org/officeDocument/2006/relationships/hyperlink" Target="https://ref.ly/1Cor5:6-1Cor5:8" TargetMode="External"/><Relationship Id="rId3207" Type="http://schemas.openxmlformats.org/officeDocument/2006/relationships/hyperlink" Target="https://ref.ly/1Cor5:9-1Cor5:13" TargetMode="External"/><Relationship Id="rId3208" Type="http://schemas.openxmlformats.org/officeDocument/2006/relationships/hyperlink" Target="https://ref.ly/1Cor7:12-1Cor7:16" TargetMode="External"/><Relationship Id="rId3209" Type="http://schemas.openxmlformats.org/officeDocument/2006/relationships/hyperlink" Target="https://ref.ly/1Cor6:1-1Cor6:11" TargetMode="External"/><Relationship Id="rId3210" Type="http://schemas.openxmlformats.org/officeDocument/2006/relationships/hyperlink" Target="https://ref.ly/1Cor6:7" TargetMode="External"/><Relationship Id="rId3211" Type="http://schemas.openxmlformats.org/officeDocument/2006/relationships/hyperlink" Target="https://ref.ly/Matt5:38-Matt5:42" TargetMode="External"/><Relationship Id="rId3212" Type="http://schemas.openxmlformats.org/officeDocument/2006/relationships/hyperlink" Target="https://ref.ly/1Cor6:9-1Cor6:11" TargetMode="External"/><Relationship Id="rId3213" Type="http://schemas.openxmlformats.org/officeDocument/2006/relationships/hyperlink" Target="https://ref.ly/1Cor6:12-1Cor6:20" TargetMode="External"/><Relationship Id="rId3214" Type="http://schemas.openxmlformats.org/officeDocument/2006/relationships/hyperlink" Target="https://ref.ly/1Cor6:12,1Cor6:20" TargetMode="External"/><Relationship Id="rId3215" Type="http://schemas.openxmlformats.org/officeDocument/2006/relationships/hyperlink" Target="https://ref.ly/1Cor6:13-1Cor6:14" TargetMode="External"/><Relationship Id="rId3216" Type="http://schemas.openxmlformats.org/officeDocument/2006/relationships/hyperlink" Target="https://ref.ly/Matt19:5" TargetMode="External"/><Relationship Id="rId3217" Type="http://schemas.openxmlformats.org/officeDocument/2006/relationships/hyperlink" Target="https://ref.ly/1Cor6:15-1Cor6:17" TargetMode="External"/><Relationship Id="rId3218" Type="http://schemas.openxmlformats.org/officeDocument/2006/relationships/hyperlink" Target="https://ref.ly/1Cor7:1-1Cor16:4" TargetMode="External"/><Relationship Id="rId3219" Type="http://schemas.openxmlformats.org/officeDocument/2006/relationships/hyperlink" Target="https://ref.ly/1Cor7:1-1Cor7:24" TargetMode="External"/><Relationship Id="rId3220" Type="http://schemas.openxmlformats.org/officeDocument/2006/relationships/hyperlink" Target="https://ref.ly/1Cor6:1-1Cor6:20" TargetMode="External"/><Relationship Id="rId3221" Type="http://schemas.openxmlformats.org/officeDocument/2006/relationships/hyperlink" Target="https://ref.ly/1Cor7:2,1Cor7:7-1Cor7:9" TargetMode="External"/><Relationship Id="rId3222" Type="http://schemas.openxmlformats.org/officeDocument/2006/relationships/hyperlink" Target="https://ref.ly/1Cor7:3-1Cor7:4" TargetMode="External"/><Relationship Id="rId3223" Type="http://schemas.openxmlformats.org/officeDocument/2006/relationships/hyperlink" Target="https://ref.ly/1Cor7:5" TargetMode="External"/><Relationship Id="rId3224" Type="http://schemas.openxmlformats.org/officeDocument/2006/relationships/hyperlink" Target="https://ref.ly/1Cor7:25-1Cor7:40" TargetMode="External"/><Relationship Id="rId3225" Type="http://schemas.openxmlformats.org/officeDocument/2006/relationships/hyperlink" Target="https://ref.ly/1Cor7:7-1Cor7:9" TargetMode="External"/><Relationship Id="rId3226" Type="http://schemas.openxmlformats.org/officeDocument/2006/relationships/hyperlink" Target="https://ref.ly/Matt5:31-Matt5:32" TargetMode="External"/><Relationship Id="rId3227" Type="http://schemas.openxmlformats.org/officeDocument/2006/relationships/hyperlink" Target="https://ref.ly/Mark10:11-Mark10:12" TargetMode="External"/><Relationship Id="rId3228" Type="http://schemas.openxmlformats.org/officeDocument/2006/relationships/hyperlink" Target="https://ref.ly/Luke16:18" TargetMode="External"/><Relationship Id="rId3229" Type="http://schemas.openxmlformats.org/officeDocument/2006/relationships/hyperlink" Target="https://ref.ly/1Cor7:10-1Cor7:11" TargetMode="External"/><Relationship Id="rId3230" Type="http://schemas.openxmlformats.org/officeDocument/2006/relationships/hyperlink" Target="https://ref.ly/1Cor7:12-1Cor7:13" TargetMode="External"/><Relationship Id="rId3231" Type="http://schemas.openxmlformats.org/officeDocument/2006/relationships/hyperlink" Target="https://ref.ly/1Cor6:12-1Cor6:13" TargetMode="External"/><Relationship Id="rId3232" Type="http://schemas.openxmlformats.org/officeDocument/2006/relationships/hyperlink" Target="https://ref.ly/1Cor7:15" TargetMode="External"/><Relationship Id="rId3233" Type="http://schemas.openxmlformats.org/officeDocument/2006/relationships/hyperlink" Target="https://ref.ly/1Cor7:14,1Cor7:16" TargetMode="External"/><Relationship Id="rId3234" Type="http://schemas.openxmlformats.org/officeDocument/2006/relationships/hyperlink" Target="https://ref.ly/1Cor7:17-1Cor7:24" TargetMode="External"/><Relationship Id="rId3235" Type="http://schemas.openxmlformats.org/officeDocument/2006/relationships/hyperlink" Target="https://ref.ly/1Cor7:21-1Cor7:23" TargetMode="External"/><Relationship Id="rId3236" Type="http://schemas.openxmlformats.org/officeDocument/2006/relationships/hyperlink" Target="https://ref.ly/1Cor7:25-1Cor7:31" TargetMode="External"/><Relationship Id="rId3237" Type="http://schemas.openxmlformats.org/officeDocument/2006/relationships/hyperlink" Target="https://ref.ly/1Cor7:32-1Cor7:35" TargetMode="External"/><Relationship Id="rId3238" Type="http://schemas.openxmlformats.org/officeDocument/2006/relationships/hyperlink" Target="https://ref.ly/1Cor7:36-1Cor7:38" TargetMode="External"/><Relationship Id="rId3239" Type="http://schemas.openxmlformats.org/officeDocument/2006/relationships/hyperlink" Target="https://ref.ly/1Cor7:39-1Cor7:40" TargetMode="External"/><Relationship Id="rId3240" Type="http://schemas.openxmlformats.org/officeDocument/2006/relationships/hyperlink" Target="https://ref.ly/1Cor8:1-1Cor11:1" TargetMode="External"/><Relationship Id="rId3241" Type="http://schemas.openxmlformats.org/officeDocument/2006/relationships/hyperlink" Target="https://ref.ly/1Cor8:1-1Cor8:13" TargetMode="External"/><Relationship Id="rId3242" Type="http://schemas.openxmlformats.org/officeDocument/2006/relationships/hyperlink" Target="https://ref.ly/1Cor8:1" TargetMode="External"/><Relationship Id="rId3243" Type="http://schemas.openxmlformats.org/officeDocument/2006/relationships/hyperlink" Target="https://ref.ly/1Cor9:1-1Cor9:23" TargetMode="External"/><Relationship Id="rId3244" Type="http://schemas.openxmlformats.org/officeDocument/2006/relationships/hyperlink" Target="https://ref.ly/Luke10:5-Luke10:7" TargetMode="External"/><Relationship Id="rId3245" Type="http://schemas.openxmlformats.org/officeDocument/2006/relationships/hyperlink" Target="https://ref.ly/1Cor9:12" TargetMode="External"/><Relationship Id="rId3246" Type="http://schemas.openxmlformats.org/officeDocument/2006/relationships/hyperlink" Target="https://ref.ly/1Cor9:19-1Cor9:23" TargetMode="External"/><Relationship Id="rId3247" Type="http://schemas.openxmlformats.org/officeDocument/2006/relationships/hyperlink" Target="https://ref.ly/1Cor9:24-1Cor10:22" TargetMode="External"/><Relationship Id="rId3248" Type="http://schemas.openxmlformats.org/officeDocument/2006/relationships/hyperlink" Target="https://ref.ly/1Cor9:24-1Cor9:27" TargetMode="External"/><Relationship Id="rId3249" Type="http://schemas.openxmlformats.org/officeDocument/2006/relationships/hyperlink" Target="https://ref.ly/1Cor10:2-1Cor10:4" TargetMode="External"/><Relationship Id="rId3250" Type="http://schemas.openxmlformats.org/officeDocument/2006/relationships/hyperlink" Target="https://ref.ly/1Cor10:12" TargetMode="External"/><Relationship Id="rId3251" Type="http://schemas.openxmlformats.org/officeDocument/2006/relationships/hyperlink" Target="https://ref.ly/1Cor10:13" TargetMode="External"/><Relationship Id="rId3252" Type="http://schemas.openxmlformats.org/officeDocument/2006/relationships/hyperlink" Target="https://ref.ly/1Cor10:14-1Cor10:22" TargetMode="External"/><Relationship Id="rId3253" Type="http://schemas.openxmlformats.org/officeDocument/2006/relationships/hyperlink" Target="https://ref.ly/1Cor10:22" TargetMode="External"/><Relationship Id="rId3254" Type="http://schemas.openxmlformats.org/officeDocument/2006/relationships/hyperlink" Target="https://ref.ly/1Cor10:23-1Cor11:1" TargetMode="External"/><Relationship Id="rId3255" Type="http://schemas.openxmlformats.org/officeDocument/2006/relationships/hyperlink" Target="https://ref.ly/1Cor10:25-1Cor10:26" TargetMode="External"/><Relationship Id="rId3256" Type="http://schemas.openxmlformats.org/officeDocument/2006/relationships/hyperlink" Target="https://ref.ly/1Cor10:27-1Cor10:30" TargetMode="External"/><Relationship Id="rId3257" Type="http://schemas.openxmlformats.org/officeDocument/2006/relationships/hyperlink" Target="https://ref.ly/1Cor10:31" TargetMode="External"/><Relationship Id="rId3258" Type="http://schemas.openxmlformats.org/officeDocument/2006/relationships/hyperlink" Target="https://ref.ly/1Cor10:32" TargetMode="External"/><Relationship Id="rId3259" Type="http://schemas.openxmlformats.org/officeDocument/2006/relationships/hyperlink" Target="https://ref.ly/1Cor11:1-1Cor11:16" TargetMode="External"/><Relationship Id="rId3260" Type="http://schemas.openxmlformats.org/officeDocument/2006/relationships/hyperlink" Target="https://ref.ly/1Cor11:2-1Cor14:40" TargetMode="External"/><Relationship Id="rId3261" Type="http://schemas.openxmlformats.org/officeDocument/2006/relationships/hyperlink" Target="https://ref.ly/1Cor11:3" TargetMode="External"/><Relationship Id="rId3262" Type="http://schemas.openxmlformats.org/officeDocument/2006/relationships/hyperlink" Target="https://ref.ly/1Cor11:17-1Cor11:34" TargetMode="External"/><Relationship Id="rId3263" Type="http://schemas.openxmlformats.org/officeDocument/2006/relationships/hyperlink" Target="https://ref.ly/1Cor11:21" TargetMode="External"/><Relationship Id="rId3264" Type="http://schemas.openxmlformats.org/officeDocument/2006/relationships/hyperlink" Target="https://ref.ly/1Cor11:22" TargetMode="External"/><Relationship Id="rId3265" Type="http://schemas.openxmlformats.org/officeDocument/2006/relationships/hyperlink" Target="https://ref.ly/1Cor11:20" TargetMode="External"/><Relationship Id="rId3266" Type="http://schemas.openxmlformats.org/officeDocument/2006/relationships/hyperlink" Target="https://ref.ly/1Cor10:16-1Cor10:17" TargetMode="External"/><Relationship Id="rId3267" Type="http://schemas.openxmlformats.org/officeDocument/2006/relationships/hyperlink" Target="https://ref.ly/1Cor11:29" TargetMode="External"/><Relationship Id="rId3268" Type="http://schemas.openxmlformats.org/officeDocument/2006/relationships/hyperlink" Target="https://ref.ly/1Cor12:1-1Cor14:40" TargetMode="External"/><Relationship Id="rId3269" Type="http://schemas.openxmlformats.org/officeDocument/2006/relationships/hyperlink" Target="https://ref.ly/1Cor12:4-1Cor12:6" TargetMode="External"/><Relationship Id="rId3270" Type="http://schemas.openxmlformats.org/officeDocument/2006/relationships/hyperlink" Target="https://ref.ly/1Cor12:7" TargetMode="External"/><Relationship Id="rId3271" Type="http://schemas.openxmlformats.org/officeDocument/2006/relationships/hyperlink" Target="https://ref.ly/1Cor12:12-1Cor12:13" TargetMode="External"/><Relationship Id="rId3272" Type="http://schemas.openxmlformats.org/officeDocument/2006/relationships/hyperlink" Target="https://ref.ly/1Cor12:14-1Cor12:26" TargetMode="External"/><Relationship Id="rId3273" Type="http://schemas.openxmlformats.org/officeDocument/2006/relationships/hyperlink" Target="https://ref.ly/1Cor12:27-1Cor12:31" TargetMode="External"/><Relationship Id="rId3274" Type="http://schemas.openxmlformats.org/officeDocument/2006/relationships/hyperlink" Target="https://ref.ly/1Cor13:1-1Cor13:13" TargetMode="External"/><Relationship Id="rId3275" Type="http://schemas.openxmlformats.org/officeDocument/2006/relationships/hyperlink" Target="https://ref.ly/1Cor13:1-1Cor13:3" TargetMode="External"/><Relationship Id="rId3276" Type="http://schemas.openxmlformats.org/officeDocument/2006/relationships/hyperlink" Target="https://ref.ly/1Cor13:4-1Cor13:7" TargetMode="External"/><Relationship Id="rId3277" Type="http://schemas.openxmlformats.org/officeDocument/2006/relationships/hyperlink" Target="https://ref.ly/1Cor13:10,1Cor13:12" TargetMode="External"/><Relationship Id="rId3278" Type="http://schemas.openxmlformats.org/officeDocument/2006/relationships/hyperlink" Target="https://ref.ly/1Cor13:13" TargetMode="External"/><Relationship Id="rId3279" Type="http://schemas.openxmlformats.org/officeDocument/2006/relationships/hyperlink" Target="https://ref.ly/1Cor14:1-1Cor14:25" TargetMode="External"/><Relationship Id="rId3280" Type="http://schemas.openxmlformats.org/officeDocument/2006/relationships/hyperlink" Target="https://ref.ly/1Cor14:21" TargetMode="External"/><Relationship Id="rId3281" Type="http://schemas.openxmlformats.org/officeDocument/2006/relationships/hyperlink" Target="https://ref.ly/1Cor14:18" TargetMode="External"/><Relationship Id="rId3282" Type="http://schemas.openxmlformats.org/officeDocument/2006/relationships/hyperlink" Target="https://ref.ly/1Cor14:26-1Cor14:40" TargetMode="External"/><Relationship Id="rId3283" Type="http://schemas.openxmlformats.org/officeDocument/2006/relationships/hyperlink" Target="https://ref.ly/1Cor14:26" TargetMode="External"/><Relationship Id="rId3284" Type="http://schemas.openxmlformats.org/officeDocument/2006/relationships/hyperlink" Target="https://ref.ly/1Cor14:27-1Cor14:33" TargetMode="External"/><Relationship Id="rId3285" Type="http://schemas.openxmlformats.org/officeDocument/2006/relationships/hyperlink" Target="https://ref.ly/1Cor14:34-1Cor14:36" TargetMode="External"/><Relationship Id="rId3286" Type="http://schemas.openxmlformats.org/officeDocument/2006/relationships/hyperlink" Target="https://ref.ly/1Cor14:37-1Cor14:40" TargetMode="External"/><Relationship Id="rId3287" Type="http://schemas.openxmlformats.org/officeDocument/2006/relationships/hyperlink" Target="https://ref.ly/1Cor15:1-1Cor15:58" TargetMode="External"/><Relationship Id="rId3288" Type="http://schemas.openxmlformats.org/officeDocument/2006/relationships/hyperlink" Target="https://ref.ly/1Cor15:12-1Cor15:19" TargetMode="External"/><Relationship Id="rId3289" Type="http://schemas.openxmlformats.org/officeDocument/2006/relationships/hyperlink" Target="https://ref.ly/1Cor15:1-1Cor15:19" TargetMode="External"/><Relationship Id="rId3290" Type="http://schemas.openxmlformats.org/officeDocument/2006/relationships/hyperlink" Target="https://ref.ly/1Cor15:3-1Cor15:11" TargetMode="External"/><Relationship Id="rId3291" Type="http://schemas.openxmlformats.org/officeDocument/2006/relationships/hyperlink" Target="https://ref.ly/1Cor15:20-1Cor15:28" TargetMode="External"/><Relationship Id="rId3292" Type="http://schemas.openxmlformats.org/officeDocument/2006/relationships/hyperlink" Target="https://ref.ly/1Cor15:23-1Cor15:28" TargetMode="External"/><Relationship Id="rId3293" Type="http://schemas.openxmlformats.org/officeDocument/2006/relationships/hyperlink" Target="https://ref.ly/1Cor15:30-1Cor15:32" TargetMode="External"/><Relationship Id="rId3294" Type="http://schemas.openxmlformats.org/officeDocument/2006/relationships/hyperlink" Target="https://ref.ly/1Cor15:35-1Cor15:50" TargetMode="External"/><Relationship Id="rId3295" Type="http://schemas.openxmlformats.org/officeDocument/2006/relationships/hyperlink" Target="https://ref.ly/1Cor15:51-1Cor15:58" TargetMode="External"/><Relationship Id="rId3296" Type="http://schemas.openxmlformats.org/officeDocument/2006/relationships/hyperlink" Target="https://ref.ly/1Cor15:54-1Cor15:57" TargetMode="External"/><Relationship Id="rId3297" Type="http://schemas.openxmlformats.org/officeDocument/2006/relationships/hyperlink" Target="https://ref.ly/1Cor15:58" TargetMode="External"/><Relationship Id="rId3298" Type="http://schemas.openxmlformats.org/officeDocument/2006/relationships/hyperlink" Target="https://ref.ly/1Cor16:2" TargetMode="External"/><Relationship Id="rId3299" Type="http://schemas.openxmlformats.org/officeDocument/2006/relationships/hyperlink" Target="https://ref.ly/1Cor16:5-1Cor16:24" TargetMode="External"/><Relationship Id="rId3300" Type="http://schemas.openxmlformats.org/officeDocument/2006/relationships/hyperlink" Target="https://ref.ly/2Cor1:1-2Cor1:24" TargetMode="External"/><Relationship Id="rId3301" Type="http://schemas.openxmlformats.org/officeDocument/2006/relationships/hyperlink" Target="https://ref.ly/1Cor16:15-1Cor16:18" TargetMode="External"/><Relationship Id="rId3302" Type="http://schemas.openxmlformats.org/officeDocument/2006/relationships/hyperlink" Target="https://ref.ly/Acts18:2-Acts18:3,Acts18:18" TargetMode="External"/><Relationship Id="rId3303" Type="http://schemas.openxmlformats.org/officeDocument/2006/relationships/hyperlink" Target="https://ref.ly/1Cor16:21-1Cor16:24" TargetMode="External"/><Relationship Id="rId3304" Type="http://schemas.openxmlformats.org/officeDocument/2006/relationships/hyperlink" Target="https://ref.ly/Acts10:1-Acts11:18" TargetMode="External"/><Relationship Id="rId3305" Type="http://schemas.openxmlformats.org/officeDocument/2006/relationships/hyperlink" Target="https://ref.ly/Acts21:1" TargetMode="External"/><Relationship Id="rId3306" Type="http://schemas.openxmlformats.org/officeDocument/2006/relationships/hyperlink" Target="https://ref.ly/Lev13:55" TargetMode="External"/><Relationship Id="rId3307" Type="http://schemas.openxmlformats.org/officeDocument/2006/relationships/hyperlink" Target="https://ref.ly/Prov23:31" TargetMode="External"/><Relationship Id="rId3308" Type="http://schemas.openxmlformats.org/officeDocument/2006/relationships/hyperlink" Target="https://ref.ly/Ezek1:4,Ezek1:7,Ezek1:16,Ezek1:22,Ezek1:27" TargetMode="External"/><Relationship Id="rId3309" Type="http://schemas.openxmlformats.org/officeDocument/2006/relationships/hyperlink" Target="https://ref.ly/Ezek8:2" TargetMode="External"/><Relationship Id="rId3310" Type="http://schemas.openxmlformats.org/officeDocument/2006/relationships/hyperlink" Target="https://ref.ly/Ezek10:9" TargetMode="External"/><Relationship Id="rId3311" Type="http://schemas.openxmlformats.org/officeDocument/2006/relationships/hyperlink" Target="https://ref.ly/Dan10:6" TargetMode="External"/><Relationship Id="rId3312" Type="http://schemas.openxmlformats.org/officeDocument/2006/relationships/hyperlink" Target="https://ref.ly/Dan5:6-Dan5:10" TargetMode="External"/><Relationship Id="rId3313" Type="http://schemas.openxmlformats.org/officeDocument/2006/relationships/hyperlink" Target="https://ref.ly/Dan7:28" TargetMode="External"/><Relationship Id="rId3314" Type="http://schemas.openxmlformats.org/officeDocument/2006/relationships/hyperlink" Target="https://ref.ly/Prov7:16" TargetMode="External"/><Relationship Id="rId3315" Type="http://schemas.openxmlformats.org/officeDocument/2006/relationships/hyperlink" Target="https://ref.ly/Ezek17:3" TargetMode="External"/><Relationship Id="rId3316" Type="http://schemas.openxmlformats.org/officeDocument/2006/relationships/hyperlink" Target="https://ref.ly/1Chr29:2" TargetMode="External"/><Relationship Id="rId3317" Type="http://schemas.openxmlformats.org/officeDocument/2006/relationships/hyperlink" Target="https://ref.ly/Rev9:17" TargetMode="External"/><Relationship Id="rId3318" Type="http://schemas.openxmlformats.org/officeDocument/2006/relationships/hyperlink" Target="https://ref.ly/Gen37:3" TargetMode="External"/><Relationship Id="rId3319" Type="http://schemas.openxmlformats.org/officeDocument/2006/relationships/hyperlink" Target="https://ref.ly/2Sam13:18-2Sam13:19" TargetMode="External"/><Relationship Id="rId3320" Type="http://schemas.openxmlformats.org/officeDocument/2006/relationships/hyperlink" Target="https://ref.ly/Gen30:35" TargetMode="External"/><Relationship Id="rId3321" Type="http://schemas.openxmlformats.org/officeDocument/2006/relationships/hyperlink" Target="https://ref.ly/Lev13:10" TargetMode="External"/><Relationship Id="rId3322" Type="http://schemas.openxmlformats.org/officeDocument/2006/relationships/hyperlink" Target="https://ref.ly/Matt5:36" TargetMode="External"/><Relationship Id="rId3323" Type="http://schemas.openxmlformats.org/officeDocument/2006/relationships/hyperlink" Target="https://ref.ly/Exod4:6" TargetMode="External"/><Relationship Id="rId3324" Type="http://schemas.openxmlformats.org/officeDocument/2006/relationships/hyperlink" Target="https://ref.ly/Lev13:4,Lev13:17" TargetMode="External"/><Relationship Id="rId3325" Type="http://schemas.openxmlformats.org/officeDocument/2006/relationships/hyperlink" Target="https://ref.ly/Exod16:31" TargetMode="External"/><Relationship Id="rId3326" Type="http://schemas.openxmlformats.org/officeDocument/2006/relationships/hyperlink" Target="https://ref.ly/2Kgs5:27" TargetMode="External"/><Relationship Id="rId3327" Type="http://schemas.openxmlformats.org/officeDocument/2006/relationships/hyperlink" Target="https://ref.ly/Gen49:12" TargetMode="External"/><Relationship Id="rId3328" Type="http://schemas.openxmlformats.org/officeDocument/2006/relationships/hyperlink" Target="https://ref.ly/Zech1:8" TargetMode="External"/><Relationship Id="rId3329" Type="http://schemas.openxmlformats.org/officeDocument/2006/relationships/hyperlink" Target="https://ref.ly/Zech6:3" TargetMode="External"/><Relationship Id="rId3330" Type="http://schemas.openxmlformats.org/officeDocument/2006/relationships/hyperlink" Target="https://ref.ly/Rev6:2" TargetMode="External"/><Relationship Id="rId3331" Type="http://schemas.openxmlformats.org/officeDocument/2006/relationships/hyperlink" Target="https://ref.ly/Rev19:11" TargetMode="External"/><Relationship Id="rId3332" Type="http://schemas.openxmlformats.org/officeDocument/2006/relationships/hyperlink" Target="https://ref.ly/Judg5:10" TargetMode="External"/><Relationship Id="rId3333" Type="http://schemas.openxmlformats.org/officeDocument/2006/relationships/hyperlink" Target="https://ref.ly/Ezek27:18" TargetMode="External"/><Relationship Id="rId3334" Type="http://schemas.openxmlformats.org/officeDocument/2006/relationships/hyperlink" Target="https://ref.ly/Rev2:17" TargetMode="External"/><Relationship Id="rId3335" Type="http://schemas.openxmlformats.org/officeDocument/2006/relationships/hyperlink" Target="https://ref.ly/Matt17:2" TargetMode="External"/><Relationship Id="rId3336" Type="http://schemas.openxmlformats.org/officeDocument/2006/relationships/hyperlink" Target="https://ref.ly/Rev14:14" TargetMode="External"/><Relationship Id="rId3337" Type="http://schemas.openxmlformats.org/officeDocument/2006/relationships/hyperlink" Target="https://ref.ly/John4:35" TargetMode="External"/><Relationship Id="rId3338" Type="http://schemas.openxmlformats.org/officeDocument/2006/relationships/hyperlink" Target="https://ref.ly/Esth8:15" TargetMode="External"/><Relationship Id="rId3339" Type="http://schemas.openxmlformats.org/officeDocument/2006/relationships/hyperlink" Target="https://ref.ly/Eccl9:8" TargetMode="External"/><Relationship Id="rId3340" Type="http://schemas.openxmlformats.org/officeDocument/2006/relationships/hyperlink" Target="https://ref.ly/Dan7:9" TargetMode="External"/><Relationship Id="rId3341" Type="http://schemas.openxmlformats.org/officeDocument/2006/relationships/hyperlink" Target="https://ref.ly/Mark16:5" TargetMode="External"/><Relationship Id="rId3342" Type="http://schemas.openxmlformats.org/officeDocument/2006/relationships/hyperlink" Target="https://ref.ly/Rev3:5,Rev3:18" TargetMode="External"/><Relationship Id="rId3343" Type="http://schemas.openxmlformats.org/officeDocument/2006/relationships/hyperlink" Target="https://ref.ly/Rev4:4" TargetMode="External"/><Relationship Id="rId3344" Type="http://schemas.openxmlformats.org/officeDocument/2006/relationships/hyperlink" Target="https://ref.ly/John20:12" TargetMode="External"/><Relationship Id="rId3345" Type="http://schemas.openxmlformats.org/officeDocument/2006/relationships/hyperlink" Target="https://ref.ly/Acts1:10" TargetMode="External"/><Relationship Id="rId3346" Type="http://schemas.openxmlformats.org/officeDocument/2006/relationships/hyperlink" Target="https://ref.ly/Rev20:11" TargetMode="External"/><Relationship Id="rId3347" Type="http://schemas.openxmlformats.org/officeDocument/2006/relationships/hyperlink" Target="https://ref.ly/Ps51:7" TargetMode="External"/><Relationship Id="rId3348" Type="http://schemas.openxmlformats.org/officeDocument/2006/relationships/hyperlink" Target="https://ref.ly/Isa1:18" TargetMode="External"/><Relationship Id="rId3349" Type="http://schemas.openxmlformats.org/officeDocument/2006/relationships/hyperlink" Target="https://ref.ly/Dan12:10" TargetMode="External"/><Relationship Id="rId3350" Type="http://schemas.openxmlformats.org/officeDocument/2006/relationships/hyperlink" Target="https://ref.ly/Lam4:7" TargetMode="External"/><Relationship Id="rId3351" Type="http://schemas.openxmlformats.org/officeDocument/2006/relationships/hyperlink" Target="https://ref.ly/Gen42:38" TargetMode="External"/><Relationship Id="rId3352" Type="http://schemas.openxmlformats.org/officeDocument/2006/relationships/hyperlink" Target="https://ref.ly/Gen44:29-Gen44:31" TargetMode="External"/><Relationship Id="rId3353" Type="http://schemas.openxmlformats.org/officeDocument/2006/relationships/hyperlink" Target="https://ref.ly/Deut32:25" TargetMode="External"/><Relationship Id="rId3354" Type="http://schemas.openxmlformats.org/officeDocument/2006/relationships/hyperlink" Target="https://ref.ly/1Sam12:2" TargetMode="External"/><Relationship Id="rId3355" Type="http://schemas.openxmlformats.org/officeDocument/2006/relationships/hyperlink" Target="https://ref.ly/1Kgs2:6,1Kgs2:9" TargetMode="External"/><Relationship Id="rId3356" Type="http://schemas.openxmlformats.org/officeDocument/2006/relationships/hyperlink" Target="https://ref.ly/Job15:10" TargetMode="External"/><Relationship Id="rId3357" Type="http://schemas.openxmlformats.org/officeDocument/2006/relationships/hyperlink" Target="https://ref.ly/Ps71:18" TargetMode="External"/><Relationship Id="rId3358" Type="http://schemas.openxmlformats.org/officeDocument/2006/relationships/hyperlink" Target="https://ref.ly/Isa46:4" TargetMode="External"/><Relationship Id="rId3359" Type="http://schemas.openxmlformats.org/officeDocument/2006/relationships/hyperlink" Target="https://ref.ly/Prov20:29" TargetMode="External"/><Relationship Id="rId3360" Type="http://schemas.openxmlformats.org/officeDocument/2006/relationships/hyperlink" Target="https://ref.ly/Hos7:9" TargetMode="External"/><Relationship Id="rId3361" Type="http://schemas.openxmlformats.org/officeDocument/2006/relationships/hyperlink" Target="https://ref.ly/2Chr2:7,2Chr2:14" TargetMode="External"/><Relationship Id="rId3362" Type="http://schemas.openxmlformats.org/officeDocument/2006/relationships/hyperlink" Target="https://ref.ly/Ezek27:24" TargetMode="External"/><Relationship Id="rId3363" Type="http://schemas.openxmlformats.org/officeDocument/2006/relationships/hyperlink" Target="https://ref.ly/Exod26:1" TargetMode="External"/><Relationship Id="rId3364" Type="http://schemas.openxmlformats.org/officeDocument/2006/relationships/hyperlink" Target="https://ref.ly/Num4:6-Num4:9" TargetMode="External"/><Relationship Id="rId3365" Type="http://schemas.openxmlformats.org/officeDocument/2006/relationships/hyperlink" Target="https://ref.ly/Exod28:5-Exod28:6" TargetMode="External"/><Relationship Id="rId3366" Type="http://schemas.openxmlformats.org/officeDocument/2006/relationships/hyperlink" Target="https://ref.ly/Gen30:32-Gen30:33,Gen30:35,Gen30:40" TargetMode="External"/><Relationship Id="rId3367" Type="http://schemas.openxmlformats.org/officeDocument/2006/relationships/hyperlink" Target="https://ref.ly/Lev13:31,Lev13:37" TargetMode="External"/><Relationship Id="rId3368" Type="http://schemas.openxmlformats.org/officeDocument/2006/relationships/hyperlink" Target="https://ref.ly/Song5:11" TargetMode="External"/><Relationship Id="rId3369" Type="http://schemas.openxmlformats.org/officeDocument/2006/relationships/hyperlink" Target="https://ref.ly/Job30:30" TargetMode="External"/><Relationship Id="rId3370" Type="http://schemas.openxmlformats.org/officeDocument/2006/relationships/hyperlink" Target="https://ref.ly/Zech6:2,Zech6:6" TargetMode="External"/><Relationship Id="rId3371" Type="http://schemas.openxmlformats.org/officeDocument/2006/relationships/hyperlink" Target="https://ref.ly/Rev6:5" TargetMode="External"/><Relationship Id="rId3372" Type="http://schemas.openxmlformats.org/officeDocument/2006/relationships/hyperlink" Target="https://ref.ly/1Kgs18:45" TargetMode="External"/><Relationship Id="rId3373" Type="http://schemas.openxmlformats.org/officeDocument/2006/relationships/hyperlink" Target="https://ref.ly/Isa50:3" TargetMode="External"/><Relationship Id="rId3374" Type="http://schemas.openxmlformats.org/officeDocument/2006/relationships/hyperlink" Target="https://ref.ly/Jer4:28" TargetMode="External"/><Relationship Id="rId3375" Type="http://schemas.openxmlformats.org/officeDocument/2006/relationships/hyperlink" Target="https://ref.ly/Job3:5" TargetMode="External"/><Relationship Id="rId3376" Type="http://schemas.openxmlformats.org/officeDocument/2006/relationships/hyperlink" Target="https://ref.ly/Mic3:6" TargetMode="External"/><Relationship Id="rId3377" Type="http://schemas.openxmlformats.org/officeDocument/2006/relationships/hyperlink" Target="https://ref.ly/Rev6:12" TargetMode="External"/><Relationship Id="rId3378" Type="http://schemas.openxmlformats.org/officeDocument/2006/relationships/hyperlink" Target="https://ref.ly/Job30:28" TargetMode="External"/><Relationship Id="rId3379" Type="http://schemas.openxmlformats.org/officeDocument/2006/relationships/hyperlink" Target="https://ref.ly/2Chr3:14" TargetMode="External"/><Relationship Id="rId3380" Type="http://schemas.openxmlformats.org/officeDocument/2006/relationships/hyperlink" Target="https://ref.ly/Exod25:4" TargetMode="External"/><Relationship Id="rId3381" Type="http://schemas.openxmlformats.org/officeDocument/2006/relationships/hyperlink" Target="https://ref.ly/Exod28:5-Exod28:8,Exod28:15,Exod28:33" TargetMode="External"/><Relationship Id="rId3382" Type="http://schemas.openxmlformats.org/officeDocument/2006/relationships/hyperlink" Target="https://ref.ly/2Chr2:7" TargetMode="External"/><Relationship Id="rId3383" Type="http://schemas.openxmlformats.org/officeDocument/2006/relationships/hyperlink" Target="https://ref.ly/Song3:10" TargetMode="External"/><Relationship Id="rId3384" Type="http://schemas.openxmlformats.org/officeDocument/2006/relationships/hyperlink" Target="https://ref.ly/Judg8:26" TargetMode="External"/><Relationship Id="rId3385" Type="http://schemas.openxmlformats.org/officeDocument/2006/relationships/hyperlink" Target="https://ref.ly/Prov31:22" TargetMode="External"/><Relationship Id="rId3386" Type="http://schemas.openxmlformats.org/officeDocument/2006/relationships/hyperlink" Target="https://ref.ly/Dan5:29" TargetMode="External"/><Relationship Id="rId3387" Type="http://schemas.openxmlformats.org/officeDocument/2006/relationships/hyperlink" Target="https://ref.ly/Ezek23:6" TargetMode="External"/><Relationship Id="rId3388" Type="http://schemas.openxmlformats.org/officeDocument/2006/relationships/hyperlink" Target="https://ref.ly/Jer10:9" TargetMode="External"/><Relationship Id="rId3389" Type="http://schemas.openxmlformats.org/officeDocument/2006/relationships/hyperlink" Target="https://ref.ly/Ezek27:16" TargetMode="External"/><Relationship Id="rId3390" Type="http://schemas.openxmlformats.org/officeDocument/2006/relationships/hyperlink" Target="https://ref.ly/Song7:5" TargetMode="External"/><Relationship Id="rId3391" Type="http://schemas.openxmlformats.org/officeDocument/2006/relationships/hyperlink" Target="https://ref.ly/Luke16:19" TargetMode="External"/><Relationship Id="rId3392" Type="http://schemas.openxmlformats.org/officeDocument/2006/relationships/hyperlink" Target="https://ref.ly/Mark15:17,Mark15:20" TargetMode="External"/><Relationship Id="rId3393" Type="http://schemas.openxmlformats.org/officeDocument/2006/relationships/hyperlink" Target="https://ref.ly/John19:2,John19:5" TargetMode="External"/><Relationship Id="rId3394" Type="http://schemas.openxmlformats.org/officeDocument/2006/relationships/hyperlink" Target="https://ref.ly/Matt27:28" TargetMode="External"/><Relationship Id="rId3395" Type="http://schemas.openxmlformats.org/officeDocument/2006/relationships/hyperlink" Target="https://ref.ly/Rev17:4" TargetMode="External"/><Relationship Id="rId3396" Type="http://schemas.openxmlformats.org/officeDocument/2006/relationships/hyperlink" Target="https://ref.ly/Acts16:14" TargetMode="External"/><Relationship Id="rId3397" Type="http://schemas.openxmlformats.org/officeDocument/2006/relationships/hyperlink" Target="https://ref.ly/Gen25:25" TargetMode="External"/><Relationship Id="rId3398" Type="http://schemas.openxmlformats.org/officeDocument/2006/relationships/hyperlink" Target="https://ref.ly/Gen25:30" TargetMode="External"/><Relationship Id="rId3399" Type="http://schemas.openxmlformats.org/officeDocument/2006/relationships/hyperlink" Target="https://ref.ly/Num19:2" TargetMode="External"/><Relationship Id="rId3400" Type="http://schemas.openxmlformats.org/officeDocument/2006/relationships/hyperlink" Target="https://ref.ly/2Kgs3:22" TargetMode="External"/><Relationship Id="rId3401" Type="http://schemas.openxmlformats.org/officeDocument/2006/relationships/hyperlink" Target="https://ref.ly/Prov23:29" TargetMode="External"/><Relationship Id="rId3402" Type="http://schemas.openxmlformats.org/officeDocument/2006/relationships/hyperlink" Target="https://ref.ly/Isa63:2" TargetMode="External"/><Relationship Id="rId3403" Type="http://schemas.openxmlformats.org/officeDocument/2006/relationships/hyperlink" Target="https://ref.ly/Nah2:3" TargetMode="External"/><Relationship Id="rId3404" Type="http://schemas.openxmlformats.org/officeDocument/2006/relationships/hyperlink" Target="https://ref.ly/Zech6:2" TargetMode="External"/><Relationship Id="rId3405" Type="http://schemas.openxmlformats.org/officeDocument/2006/relationships/hyperlink" Target="https://ref.ly/Lev13:49" TargetMode="External"/><Relationship Id="rId3406" Type="http://schemas.openxmlformats.org/officeDocument/2006/relationships/hyperlink" Target="https://ref.ly/Lev13:19,Lev13:24,Lev13:42-Lev13:43" TargetMode="External"/><Relationship Id="rId3407" Type="http://schemas.openxmlformats.org/officeDocument/2006/relationships/hyperlink" Target="https://ref.ly/Lev14:37" TargetMode="External"/><Relationship Id="rId3408" Type="http://schemas.openxmlformats.org/officeDocument/2006/relationships/hyperlink" Target="https://ref.ly/Exod10:19" TargetMode="External"/><Relationship Id="rId3409" Type="http://schemas.openxmlformats.org/officeDocument/2006/relationships/hyperlink" Target="https://ref.ly/Exod15:4" TargetMode="External"/><Relationship Id="rId3410" Type="http://schemas.openxmlformats.org/officeDocument/2006/relationships/hyperlink" Target="https://ref.ly/Acts7:36" TargetMode="External"/><Relationship Id="rId3411" Type="http://schemas.openxmlformats.org/officeDocument/2006/relationships/hyperlink" Target="https://ref.ly/Heb11:29" TargetMode="External"/><Relationship Id="rId3412" Type="http://schemas.openxmlformats.org/officeDocument/2006/relationships/hyperlink" Target="https://ref.ly/Matt16:2-Matt16:3" TargetMode="External"/><Relationship Id="rId3413" Type="http://schemas.openxmlformats.org/officeDocument/2006/relationships/hyperlink" Target="https://ref.ly/Rev6:4" TargetMode="External"/><Relationship Id="rId3414" Type="http://schemas.openxmlformats.org/officeDocument/2006/relationships/hyperlink" Target="https://ref.ly/Rev12:3" TargetMode="External"/><Relationship Id="rId3415" Type="http://schemas.openxmlformats.org/officeDocument/2006/relationships/hyperlink" Target="https://ref.ly/Rev18:12" TargetMode="External"/><Relationship Id="rId3416" Type="http://schemas.openxmlformats.org/officeDocument/2006/relationships/hyperlink" Target="https://ref.ly/Gen38:28,Gen38:30" TargetMode="External"/><Relationship Id="rId3417" Type="http://schemas.openxmlformats.org/officeDocument/2006/relationships/hyperlink" Target="https://ref.ly/Exod26:1,Exod26:31,Exod26:36" TargetMode="External"/><Relationship Id="rId3418" Type="http://schemas.openxmlformats.org/officeDocument/2006/relationships/hyperlink" Target="https://ref.ly/Josh2:18,Josh2:21" TargetMode="External"/><Relationship Id="rId3419" Type="http://schemas.openxmlformats.org/officeDocument/2006/relationships/hyperlink" Target="https://ref.ly/2Sam1:24" TargetMode="External"/><Relationship Id="rId3420" Type="http://schemas.openxmlformats.org/officeDocument/2006/relationships/hyperlink" Target="https://ref.ly/Prov31:21" TargetMode="External"/><Relationship Id="rId3421" Type="http://schemas.openxmlformats.org/officeDocument/2006/relationships/hyperlink" Target="https://ref.ly/Jer4:30" TargetMode="External"/><Relationship Id="rId3422" Type="http://schemas.openxmlformats.org/officeDocument/2006/relationships/hyperlink" Target="https://ref.ly/Song4:3" TargetMode="External"/><Relationship Id="rId3423" Type="http://schemas.openxmlformats.org/officeDocument/2006/relationships/hyperlink" Target="https://ref.ly/Heb9:19" TargetMode="External"/><Relationship Id="rId3424" Type="http://schemas.openxmlformats.org/officeDocument/2006/relationships/hyperlink" Target="https://ref.ly/Lev14:4-Lev14:6" TargetMode="External"/><Relationship Id="rId3425" Type="http://schemas.openxmlformats.org/officeDocument/2006/relationships/hyperlink" Target="https://ref.ly/Lev14:49-Lev14:52" TargetMode="External"/><Relationship Id="rId3426" Type="http://schemas.openxmlformats.org/officeDocument/2006/relationships/hyperlink" Target="https://ref.ly/Num4:8" TargetMode="External"/><Relationship Id="rId3427" Type="http://schemas.openxmlformats.org/officeDocument/2006/relationships/hyperlink" Target="https://ref.ly/Num19:6" TargetMode="External"/><Relationship Id="rId3428" Type="http://schemas.openxmlformats.org/officeDocument/2006/relationships/hyperlink" Target="https://ref.ly/Rev17:3-Rev17:4" TargetMode="External"/><Relationship Id="rId3429" Type="http://schemas.openxmlformats.org/officeDocument/2006/relationships/hyperlink" Target="https://ref.ly/Rev18:16" TargetMode="External"/><Relationship Id="rId3430" Type="http://schemas.openxmlformats.org/officeDocument/2006/relationships/hyperlink" Target="https://ref.ly/Gen1:30" TargetMode="External"/><Relationship Id="rId3431" Type="http://schemas.openxmlformats.org/officeDocument/2006/relationships/hyperlink" Target="https://ref.ly/1Kgs14:23" TargetMode="External"/><Relationship Id="rId3432" Type="http://schemas.openxmlformats.org/officeDocument/2006/relationships/hyperlink" Target="https://ref.ly/Job15:32" TargetMode="External"/><Relationship Id="rId3433" Type="http://schemas.openxmlformats.org/officeDocument/2006/relationships/hyperlink" Target="https://ref.ly/Ps23:2" TargetMode="External"/><Relationship Id="rId3434" Type="http://schemas.openxmlformats.org/officeDocument/2006/relationships/hyperlink" Target="https://ref.ly/Joel2:22" TargetMode="External"/><Relationship Id="rId3435" Type="http://schemas.openxmlformats.org/officeDocument/2006/relationships/hyperlink" Target="https://ref.ly/Ps37:2" TargetMode="External"/><Relationship Id="rId3436" Type="http://schemas.openxmlformats.org/officeDocument/2006/relationships/hyperlink" Target="https://ref.ly/Mark6:39" TargetMode="External"/><Relationship Id="rId3437" Type="http://schemas.openxmlformats.org/officeDocument/2006/relationships/hyperlink" Target="https://ref.ly/Rev8:7" TargetMode="External"/><Relationship Id="rId3438" Type="http://schemas.openxmlformats.org/officeDocument/2006/relationships/hyperlink" Target="https://ref.ly/Ps52:8" TargetMode="External"/><Relationship Id="rId3439" Type="http://schemas.openxmlformats.org/officeDocument/2006/relationships/hyperlink" Target="https://ref.ly/Ps58:9" TargetMode="External"/><Relationship Id="rId3440" Type="http://schemas.openxmlformats.org/officeDocument/2006/relationships/hyperlink" Target="https://ref.ly/Jer17:8" TargetMode="External"/><Relationship Id="rId3441" Type="http://schemas.openxmlformats.org/officeDocument/2006/relationships/hyperlink" Target="https://ref.ly/Luke23:31" TargetMode="External"/><Relationship Id="rId3442" Type="http://schemas.openxmlformats.org/officeDocument/2006/relationships/hyperlink" Target="https://ref.ly/Song1:16" TargetMode="External"/><Relationship Id="rId3443" Type="http://schemas.openxmlformats.org/officeDocument/2006/relationships/hyperlink" Target="https://ref.ly/Ps92:14" TargetMode="External"/><Relationship Id="rId3444" Type="http://schemas.openxmlformats.org/officeDocument/2006/relationships/hyperlink" Target="https://ref.ly/Deut12:2" TargetMode="External"/><Relationship Id="rId3445" Type="http://schemas.openxmlformats.org/officeDocument/2006/relationships/hyperlink" Target="https://ref.ly/2Kgs16:4" TargetMode="External"/><Relationship Id="rId3446" Type="http://schemas.openxmlformats.org/officeDocument/2006/relationships/hyperlink" Target="https://ref.ly/Isa57:5" TargetMode="External"/><Relationship Id="rId3447" Type="http://schemas.openxmlformats.org/officeDocument/2006/relationships/hyperlink" Target="https://ref.ly/Jer2:20" TargetMode="External"/><Relationship Id="rId3448" Type="http://schemas.openxmlformats.org/officeDocument/2006/relationships/hyperlink" Target="https://ref.ly/Ezek6:13" TargetMode="External"/><Relationship Id="rId3449" Type="http://schemas.openxmlformats.org/officeDocument/2006/relationships/hyperlink" Target="https://ref.ly/Jer16:7" TargetMode="External"/><Relationship Id="rId3450" Type="http://schemas.openxmlformats.org/officeDocument/2006/relationships/hyperlink" Target="https://ref.ly/1Cor10:21" TargetMode="External"/><Relationship Id="rId3451" Type="http://schemas.openxmlformats.org/officeDocument/2006/relationships/hyperlink" Target="https://ref.ly/Gen44:2,Gen44:5" TargetMode="External"/><Relationship Id="rId3452" Type="http://schemas.openxmlformats.org/officeDocument/2006/relationships/hyperlink" Target="https://ref.ly/Rev18:6" TargetMode="External"/><Relationship Id="rId3453" Type="http://schemas.openxmlformats.org/officeDocument/2006/relationships/hyperlink" Target="https://ref.ly/Ps16:5" TargetMode="External"/><Relationship Id="rId3454" Type="http://schemas.openxmlformats.org/officeDocument/2006/relationships/hyperlink" Target="https://ref.ly/Ps11:6" TargetMode="External"/><Relationship Id="rId3455" Type="http://schemas.openxmlformats.org/officeDocument/2006/relationships/hyperlink" Target="https://ref.ly/Ps75:8" TargetMode="External"/><Relationship Id="rId3456" Type="http://schemas.openxmlformats.org/officeDocument/2006/relationships/hyperlink" Target="https://ref.ly/Isa51:17,Isa51:22" TargetMode="External"/><Relationship Id="rId3457" Type="http://schemas.openxmlformats.org/officeDocument/2006/relationships/hyperlink" Target="https://ref.ly/Jer49:12" TargetMode="External"/><Relationship Id="rId3458" Type="http://schemas.openxmlformats.org/officeDocument/2006/relationships/hyperlink" Target="https://ref.ly/Ezek23:33" TargetMode="External"/><Relationship Id="rId3459" Type="http://schemas.openxmlformats.org/officeDocument/2006/relationships/hyperlink" Target="https://ref.ly/Zech12:2" TargetMode="External"/><Relationship Id="rId3460" Type="http://schemas.openxmlformats.org/officeDocument/2006/relationships/hyperlink" Target="https://ref.ly/Rev14:10" TargetMode="External"/><Relationship Id="rId3461" Type="http://schemas.openxmlformats.org/officeDocument/2006/relationships/hyperlink" Target="https://ref.ly/Rev16:19" TargetMode="External"/><Relationship Id="rId3462" Type="http://schemas.openxmlformats.org/officeDocument/2006/relationships/hyperlink" Target="https://ref.ly/1Cor10:16" TargetMode="External"/><Relationship Id="rId3463" Type="http://schemas.openxmlformats.org/officeDocument/2006/relationships/hyperlink" Target="https://ref.ly/Ps23:5" TargetMode="External"/><Relationship Id="rId3464" Type="http://schemas.openxmlformats.org/officeDocument/2006/relationships/hyperlink" Target="https://ref.ly/Ps116:13" TargetMode="External"/><Relationship Id="rId3465" Type="http://schemas.openxmlformats.org/officeDocument/2006/relationships/hyperlink" Target="https://ref.ly/Matt20:22" TargetMode="External"/><Relationship Id="rId3466" Type="http://schemas.openxmlformats.org/officeDocument/2006/relationships/hyperlink" Target="https://ref.ly/Matt26:39" TargetMode="External"/><Relationship Id="rId3467" Type="http://schemas.openxmlformats.org/officeDocument/2006/relationships/hyperlink" Target="https://ref.ly/Mark10:39" TargetMode="External"/><Relationship Id="rId3468" Type="http://schemas.openxmlformats.org/officeDocument/2006/relationships/hyperlink" Target="https://ref.ly/Luke22:42" TargetMode="External"/><Relationship Id="rId3469" Type="http://schemas.openxmlformats.org/officeDocument/2006/relationships/hyperlink" Target="https://ref.ly/John18:11" TargetMode="External"/><Relationship Id="rId3470" Type="http://schemas.openxmlformats.org/officeDocument/2006/relationships/hyperlink" Target="https://ref.ly/Matt27:33" TargetMode="External"/><Relationship Id="rId3471" Type="http://schemas.openxmlformats.org/officeDocument/2006/relationships/hyperlink" Target="https://ref.ly/Mark15:22" TargetMode="External"/><Relationship Id="rId3472" Type="http://schemas.openxmlformats.org/officeDocument/2006/relationships/hyperlink" Target="https://ref.ly/John19:17" TargetMode="External"/><Relationship Id="rId3473" Type="http://schemas.openxmlformats.org/officeDocument/2006/relationships/hyperlink" Target="https://ref.ly/Heb11:3" TargetMode="External"/><Relationship Id="rId3474" Type="http://schemas.openxmlformats.org/officeDocument/2006/relationships/hyperlink" Target="https://ref.ly/Gen1:4,Gen1:10,Gen1:12,Gen1:18,Gen1:21,Gen1:25,Gen1:31" TargetMode="External"/><Relationship Id="rId3475" Type="http://schemas.openxmlformats.org/officeDocument/2006/relationships/hyperlink" Target="https://ref.ly/Rom8:18-Rom8:25" TargetMode="External"/><Relationship Id="rId3476" Type="http://schemas.openxmlformats.org/officeDocument/2006/relationships/hyperlink" Target="https://ref.ly/Eph4:6" TargetMode="External"/><Relationship Id="rId3477" Type="http://schemas.openxmlformats.org/officeDocument/2006/relationships/hyperlink" Target="https://ref.ly/Ps90:1-Ps90:4" TargetMode="External"/><Relationship Id="rId3478" Type="http://schemas.openxmlformats.org/officeDocument/2006/relationships/hyperlink" Target="https://ref.ly/John1:3" TargetMode="External"/><Relationship Id="rId3479" Type="http://schemas.openxmlformats.org/officeDocument/2006/relationships/hyperlink" Target="https://ref.ly/Col1:16-Col1:17" TargetMode="External"/><Relationship Id="rId3480" Type="http://schemas.openxmlformats.org/officeDocument/2006/relationships/hyperlink" Target="https://ref.ly/Ps19:1-Ps19:14" TargetMode="External"/><Relationship Id="rId3481" Type="http://schemas.openxmlformats.org/officeDocument/2006/relationships/hyperlink" Target="https://ref.ly/Rom1:20" TargetMode="External"/><Relationship Id="rId3482" Type="http://schemas.openxmlformats.org/officeDocument/2006/relationships/hyperlink" Target="https://ref.ly/Gen1:26-Gen1:27" TargetMode="External"/><Relationship Id="rId3483" Type="http://schemas.openxmlformats.org/officeDocument/2006/relationships/hyperlink" Target="https://ref.ly/Gen1:28" TargetMode="External"/><Relationship Id="rId3484" Type="http://schemas.openxmlformats.org/officeDocument/2006/relationships/hyperlink" Target="https://ref.ly/Gen2:15" TargetMode="External"/><Relationship Id="rId3485" Type="http://schemas.openxmlformats.org/officeDocument/2006/relationships/hyperlink" Target="https://ref.ly/Mark10:2-Mark10:9" TargetMode="External"/><Relationship Id="rId3486" Type="http://schemas.openxmlformats.org/officeDocument/2006/relationships/hyperlink" Target="https://ref.ly/1Cor7:1-1Cor7:5" TargetMode="External"/><Relationship Id="rId3487" Type="http://schemas.openxmlformats.org/officeDocument/2006/relationships/hyperlink" Target="https://ref.ly/Eph5:25-Eph5:31" TargetMode="External"/><Relationship Id="rId3488" Type="http://schemas.openxmlformats.org/officeDocument/2006/relationships/hyperlink" Target="https://ref.ly/Matt6:5-Matt6:13" TargetMode="External"/><Relationship Id="rId3489" Type="http://schemas.openxmlformats.org/officeDocument/2006/relationships/hyperlink" Target="https://ref.ly/Col4:2" TargetMode="External"/><Relationship Id="rId3490" Type="http://schemas.openxmlformats.org/officeDocument/2006/relationships/hyperlink" Target="https://ref.ly/1Pet5:6-1Pet5:7" TargetMode="External"/><Relationship Id="rId3491" Type="http://schemas.openxmlformats.org/officeDocument/2006/relationships/hyperlink" Target="https://ref.ly/Rev8:3" TargetMode="External"/><Relationship Id="rId3492" Type="http://schemas.openxmlformats.org/officeDocument/2006/relationships/hyperlink" Target="https://ref.ly/Rom1:18-Rom1:19" TargetMode="External"/><Relationship Id="rId3493" Type="http://schemas.openxmlformats.org/officeDocument/2006/relationships/hyperlink" Target="https://ref.ly/John1:1-John1:2" TargetMode="External"/><Relationship Id="rId3494" Type="http://schemas.openxmlformats.org/officeDocument/2006/relationships/hyperlink" Target="https://ref.ly/Rom8:38-Rom8:39" TargetMode="External"/><Relationship Id="rId3495" Type="http://schemas.openxmlformats.org/officeDocument/2006/relationships/hyperlink" Target="https://ref.ly/1Sam9:25" TargetMode="External"/><Relationship Id="rId3496" Type="http://schemas.openxmlformats.org/officeDocument/2006/relationships/hyperlink" Target="https://ref.ly/2Sam11:2" TargetMode="External"/><Relationship Id="rId3497" Type="http://schemas.openxmlformats.org/officeDocument/2006/relationships/hyperlink" Target="https://ref.ly/Isa22:1-Isa22:2" TargetMode="External"/><Relationship Id="rId3498" Type="http://schemas.openxmlformats.org/officeDocument/2006/relationships/hyperlink" Target="https://ref.ly/Acts10:9" TargetMode="External"/><Relationship Id="rId3499" Type="http://schemas.openxmlformats.org/officeDocument/2006/relationships/hyperlink" Target="https://ref.ly/2Chr26:15" TargetMode="External"/><Relationship Id="rId3500" Type="http://schemas.openxmlformats.org/officeDocument/2006/relationships/hyperlink" Target="https://ref.ly/Zeph1:16" TargetMode="External"/><Relationship Id="rId3501" Type="http://schemas.openxmlformats.org/officeDocument/2006/relationships/hyperlink" Target="https://ref.ly/Acts18:8,Acts18:11" TargetMode="External"/><Relationship Id="rId3502" Type="http://schemas.openxmlformats.org/officeDocument/2006/relationships/hyperlink" Target="https://ref.ly/1Cor1:14" TargetMode="External"/><Relationship Id="rId3503" Type="http://schemas.openxmlformats.org/officeDocument/2006/relationships/hyperlink" Target="https://ref.ly/Acts5:14" TargetMode="External"/><Relationship Id="rId3504" Type="http://schemas.openxmlformats.org/officeDocument/2006/relationships/hyperlink" Target="https://ref.ly/Acts10:45" TargetMode="External"/><Relationship Id="rId3505" Type="http://schemas.openxmlformats.org/officeDocument/2006/relationships/hyperlink" Target="https://ref.ly/Acts19:18" TargetMode="External"/><Relationship Id="rId3506" Type="http://schemas.openxmlformats.org/officeDocument/2006/relationships/hyperlink" Target="https://ref.ly/1Tim4:12" TargetMode="External"/><Relationship Id="rId3507" Type="http://schemas.openxmlformats.org/officeDocument/2006/relationships/hyperlink" Target="https://ref.ly/Acts2:44" TargetMode="External"/><Relationship Id="rId3508" Type="http://schemas.openxmlformats.org/officeDocument/2006/relationships/hyperlink" Target="https://ref.ly/Acts15:5" TargetMode="External"/><Relationship Id="rId3509" Type="http://schemas.openxmlformats.org/officeDocument/2006/relationships/hyperlink" Target="https://ref.ly/Acts18:27" TargetMode="External"/><Relationship Id="rId3510" Type="http://schemas.openxmlformats.org/officeDocument/2006/relationships/hyperlink" Target="https://ref.ly/1Tim4:3" TargetMode="External"/><Relationship Id="rId3511" Type="http://schemas.openxmlformats.org/officeDocument/2006/relationships/hyperlink" Target="https://ref.ly/Gen24:14-Gen24:20" TargetMode="External"/><Relationship Id="rId3512" Type="http://schemas.openxmlformats.org/officeDocument/2006/relationships/hyperlink" Target="https://ref.ly/Mark14:13" TargetMode="External"/><Relationship Id="rId3513" Type="http://schemas.openxmlformats.org/officeDocument/2006/relationships/hyperlink" Target="https://ref.ly/Gen3:21" TargetMode="External"/><Relationship Id="rId3514" Type="http://schemas.openxmlformats.org/officeDocument/2006/relationships/hyperlink" Target="https://ref.ly/2Kgs1:8" TargetMode="External"/><Relationship Id="rId3515" Type="http://schemas.openxmlformats.org/officeDocument/2006/relationships/hyperlink" Target="https://ref.ly/Zech13:4" TargetMode="External"/><Relationship Id="rId3516" Type="http://schemas.openxmlformats.org/officeDocument/2006/relationships/hyperlink" Target="https://ref.ly/1Kgs19:13,1Kgs19:19" TargetMode="External"/><Relationship Id="rId3517" Type="http://schemas.openxmlformats.org/officeDocument/2006/relationships/hyperlink" Target="https://ref.ly/2Kgs2:8,2Kgs2:13-2Kgs2:14" TargetMode="External"/><Relationship Id="rId3518" Type="http://schemas.openxmlformats.org/officeDocument/2006/relationships/hyperlink" Target="https://ref.ly/Lev13:48" TargetMode="External"/><Relationship Id="rId3519" Type="http://schemas.openxmlformats.org/officeDocument/2006/relationships/hyperlink" Target="https://ref.ly/Ezek16:10" TargetMode="External"/><Relationship Id="rId3520" Type="http://schemas.openxmlformats.org/officeDocument/2006/relationships/hyperlink" Target="https://ref.ly/Matt3:4" TargetMode="External"/><Relationship Id="rId3521" Type="http://schemas.openxmlformats.org/officeDocument/2006/relationships/hyperlink" Target="https://ref.ly/Judg4:19" TargetMode="External"/><Relationship Id="rId3522" Type="http://schemas.openxmlformats.org/officeDocument/2006/relationships/hyperlink" Target="https://ref.ly/Mark2:22" TargetMode="External"/><Relationship Id="rId3523" Type="http://schemas.openxmlformats.org/officeDocument/2006/relationships/hyperlink" Target="https://ref.ly/Gen21:14" TargetMode="External"/><Relationship Id="rId3524" Type="http://schemas.openxmlformats.org/officeDocument/2006/relationships/hyperlink" Target="https://ref.ly/Exod25:5" TargetMode="External"/><Relationship Id="rId3525" Type="http://schemas.openxmlformats.org/officeDocument/2006/relationships/hyperlink" Target="https://ref.ly/2Sam1:21" TargetMode="External"/><Relationship Id="rId3526" Type="http://schemas.openxmlformats.org/officeDocument/2006/relationships/hyperlink" Target="https://ref.ly/Isa21:5" TargetMode="External"/><Relationship Id="rId3527" Type="http://schemas.openxmlformats.org/officeDocument/2006/relationships/hyperlink" Target="https://ref.ly/Ps40:7" TargetMode="External"/><Relationship Id="rId3528" Type="http://schemas.openxmlformats.org/officeDocument/2006/relationships/hyperlink" Target="https://ref.ly/Jer36:1-Jer36:32" TargetMode="External"/><Relationship Id="rId3529" Type="http://schemas.openxmlformats.org/officeDocument/2006/relationships/hyperlink" Target="https://ref.ly/Ezek2:9-Ezek3:3" TargetMode="External"/><Relationship Id="rId3530" Type="http://schemas.openxmlformats.org/officeDocument/2006/relationships/hyperlink" Target="https://ref.ly/2John1:12" TargetMode="External"/><Relationship Id="rId3531" Type="http://schemas.openxmlformats.org/officeDocument/2006/relationships/hyperlink" Target="https://ref.ly/Gen2:13" TargetMode="External"/><Relationship Id="rId3532" Type="http://schemas.openxmlformats.org/officeDocument/2006/relationships/hyperlink" Target="https://ref.ly/Gen10:6-Gen10:8" TargetMode="External"/><Relationship Id="rId3533" Type="http://schemas.openxmlformats.org/officeDocument/2006/relationships/hyperlink" Target="https://ref.ly/Gen10:6-Gen10:7" TargetMode="External"/><Relationship Id="rId3534" Type="http://schemas.openxmlformats.org/officeDocument/2006/relationships/hyperlink" Target="https://ref.ly/Gen10:9-Gen10:12" TargetMode="External"/><Relationship Id="rId3535" Type="http://schemas.openxmlformats.org/officeDocument/2006/relationships/hyperlink" Target="https://ref.ly/Gen10:8" TargetMode="External"/><Relationship Id="rId3536" Type="http://schemas.openxmlformats.org/officeDocument/2006/relationships/hyperlink" Target="https://ref.ly/Num12:1" TargetMode="External"/><Relationship Id="rId3537" Type="http://schemas.openxmlformats.org/officeDocument/2006/relationships/hyperlink" Target="https://ref.ly/2Sam18:21-2Sam18:32" TargetMode="External"/><Relationship Id="rId3538" Type="http://schemas.openxmlformats.org/officeDocument/2006/relationships/hyperlink" Target="https://ref.ly/Matt27:32" TargetMode="External"/><Relationship Id="rId3539" Type="http://schemas.openxmlformats.org/officeDocument/2006/relationships/hyperlink" Target="https://ref.ly/Acts2:10" TargetMode="External"/><Relationship Id="rId3540" Type="http://schemas.openxmlformats.org/officeDocument/2006/relationships/hyperlink" Target="https://ref.ly/Mark8:10" TargetMode="External"/><Relationship Id="rId3541" Type="http://schemas.openxmlformats.org/officeDocument/2006/relationships/hyperlink" Target="https://ref.ly/Mark8:12" TargetMode="External"/><Relationship Id="rId3542" Type="http://schemas.openxmlformats.org/officeDocument/2006/relationships/hyperlink" Target="https://ref.ly/Matt15:39" TargetMode="External"/><Relationship Id="rId3543" Type="http://schemas.openxmlformats.org/officeDocument/2006/relationships/hyperlink" Target="https://ref.ly/Acts17:12" TargetMode="External"/><Relationship Id="rId3544" Type="http://schemas.openxmlformats.org/officeDocument/2006/relationships/hyperlink" Target="https://ref.ly/2Kgs5:1-2Kgs5:27" TargetMode="External"/><Relationship Id="rId3545" Type="http://schemas.openxmlformats.org/officeDocument/2006/relationships/hyperlink" Target="https://ref.ly/1Sam14:47" TargetMode="External"/><Relationship Id="rId3546" Type="http://schemas.openxmlformats.org/officeDocument/2006/relationships/hyperlink" Target="https://ref.ly/1Kgs11:23-1Kgs11:25" TargetMode="External"/><Relationship Id="rId3547" Type="http://schemas.openxmlformats.org/officeDocument/2006/relationships/hyperlink" Target="https://ref.ly/2Kgs12:17-2Kgs12:18" TargetMode="External"/><Relationship Id="rId3548" Type="http://schemas.openxmlformats.org/officeDocument/2006/relationships/hyperlink" Target="https://ref.ly/2Kgs14:28" TargetMode="External"/><Relationship Id="rId3549" Type="http://schemas.openxmlformats.org/officeDocument/2006/relationships/hyperlink" Target="https://ref.ly/2Kgs16:5-2Kgs16:6" TargetMode="External"/><Relationship Id="rId3550" Type="http://schemas.openxmlformats.org/officeDocument/2006/relationships/hyperlink" Target="https://ref.ly/2Chr28:5" TargetMode="External"/><Relationship Id="rId3551" Type="http://schemas.openxmlformats.org/officeDocument/2006/relationships/hyperlink" Target="https://ref.ly/Isa8:4" TargetMode="External"/><Relationship Id="rId3552" Type="http://schemas.openxmlformats.org/officeDocument/2006/relationships/hyperlink" Target="https://ref.ly/Isa17:1" TargetMode="External"/><Relationship Id="rId3553" Type="http://schemas.openxmlformats.org/officeDocument/2006/relationships/hyperlink" Target="https://ref.ly/Amos1:3-Amos1:5" TargetMode="External"/><Relationship Id="rId3554" Type="http://schemas.openxmlformats.org/officeDocument/2006/relationships/hyperlink" Target="https://ref.ly/Jer49:23-Jer49:27" TargetMode="External"/><Relationship Id="rId3555" Type="http://schemas.openxmlformats.org/officeDocument/2006/relationships/hyperlink" Target="https://ref.ly/2Cor11:32" TargetMode="External"/><Relationship Id="rId3556" Type="http://schemas.openxmlformats.org/officeDocument/2006/relationships/hyperlink" Target="https://ref.ly/Acts22:5-Acts22:21" TargetMode="External"/><Relationship Id="rId3557" Type="http://schemas.openxmlformats.org/officeDocument/2006/relationships/hyperlink" Target="https://ref.ly/Acts26:11-Acts26:23" TargetMode="External"/><Relationship Id="rId3558" Type="http://schemas.openxmlformats.org/officeDocument/2006/relationships/hyperlink" Target="https://ref.ly/2Kgs6:18-2Kgs6:23" TargetMode="External"/><Relationship Id="rId3559" Type="http://schemas.openxmlformats.org/officeDocument/2006/relationships/hyperlink" Target="https://ref.ly/Acts9:23-Acts9:25" TargetMode="External"/><Relationship Id="rId3560" Type="http://schemas.openxmlformats.org/officeDocument/2006/relationships/hyperlink" Target="https://ref.ly/Gen30:7-Gen30:8" TargetMode="External"/><Relationship Id="rId3561" Type="http://schemas.openxmlformats.org/officeDocument/2006/relationships/hyperlink" Target="https://ref.ly/Josh19:32-Josh19:48" TargetMode="External"/><Relationship Id="rId3562" Type="http://schemas.openxmlformats.org/officeDocument/2006/relationships/hyperlink" Target="https://ref.ly/Exod1:4" TargetMode="External"/><Relationship Id="rId3563" Type="http://schemas.openxmlformats.org/officeDocument/2006/relationships/hyperlink" Target="https://ref.ly/Gen30:6" TargetMode="External"/><Relationship Id="rId3564" Type="http://schemas.openxmlformats.org/officeDocument/2006/relationships/hyperlink" Target="https://ref.ly/Gen46:23" TargetMode="External"/><Relationship Id="rId3565" Type="http://schemas.openxmlformats.org/officeDocument/2006/relationships/hyperlink" Target="https://ref.ly/Num26:42-Num26:43" TargetMode="External"/><Relationship Id="rId3566" Type="http://schemas.openxmlformats.org/officeDocument/2006/relationships/hyperlink" Target="https://ref.ly/Gen49:16-Gen49:17" TargetMode="External"/><Relationship Id="rId3567" Type="http://schemas.openxmlformats.org/officeDocument/2006/relationships/hyperlink" Target="https://ref.ly/1Sam16:1-1Sam16:23" TargetMode="External"/><Relationship Id="rId3568" Type="http://schemas.openxmlformats.org/officeDocument/2006/relationships/hyperlink" Target="https://ref.ly/Ruth4:18-Ruth4:22" TargetMode="External"/><Relationship Id="rId3569" Type="http://schemas.openxmlformats.org/officeDocument/2006/relationships/hyperlink" Target="https://ref.ly/1Chr2:3-1Chr2:15" TargetMode="External"/><Relationship Id="rId3570" Type="http://schemas.openxmlformats.org/officeDocument/2006/relationships/hyperlink" Target="https://ref.ly/Matt1:3-Matt1:6" TargetMode="External"/><Relationship Id="rId3571" Type="http://schemas.openxmlformats.org/officeDocument/2006/relationships/hyperlink" Target="https://ref.ly/Luke3:31-Luke3:33" TargetMode="External"/><Relationship Id="rId3572" Type="http://schemas.openxmlformats.org/officeDocument/2006/relationships/hyperlink" Target="https://ref.ly/1Sam16:1-1Sam16:13" TargetMode="External"/><Relationship Id="rId3573" Type="http://schemas.openxmlformats.org/officeDocument/2006/relationships/hyperlink" Target="https://ref.ly/1Sam17:12-1Sam17:58" TargetMode="External"/><Relationship Id="rId3574" Type="http://schemas.openxmlformats.org/officeDocument/2006/relationships/hyperlink" Target="https://ref.ly/1Sam18:6-1Sam18:30" TargetMode="External"/><Relationship Id="rId3575" Type="http://schemas.openxmlformats.org/officeDocument/2006/relationships/hyperlink" Target="https://ref.ly/1Sam19:1-1Sam19:24" TargetMode="External"/><Relationship Id="rId3576" Type="http://schemas.openxmlformats.org/officeDocument/2006/relationships/hyperlink" Target="https://ref.ly/1Sam20:1-1Sam20:42" TargetMode="External"/><Relationship Id="rId3577" Type="http://schemas.openxmlformats.org/officeDocument/2006/relationships/hyperlink" Target="https://ref.ly/1Sam21:1-1Sam21:15" TargetMode="External"/><Relationship Id="rId3578" Type="http://schemas.openxmlformats.org/officeDocument/2006/relationships/hyperlink" Target="https://ref.ly/1Sam22:1-1Sam22:5" TargetMode="External"/><Relationship Id="rId3579" Type="http://schemas.openxmlformats.org/officeDocument/2006/relationships/hyperlink" Target="https://ref.ly/1Sam22:6-1Sam22:23" TargetMode="External"/><Relationship Id="rId3580" Type="http://schemas.openxmlformats.org/officeDocument/2006/relationships/hyperlink" Target="https://ref.ly/1Sam23:1-1Sam23:29" TargetMode="External"/><Relationship Id="rId3581" Type="http://schemas.openxmlformats.org/officeDocument/2006/relationships/hyperlink" Target="https://ref.ly/1Sam24:1-1Sam24:22" TargetMode="External"/><Relationship Id="rId3582" Type="http://schemas.openxmlformats.org/officeDocument/2006/relationships/hyperlink" Target="https://ref.ly/1Sam25:1-1Sam25:44" TargetMode="External"/><Relationship Id="rId3583" Type="http://schemas.openxmlformats.org/officeDocument/2006/relationships/hyperlink" Target="https://ref.ly/1Sam26:1-1Sam26:25" TargetMode="External"/><Relationship Id="rId3584" Type="http://schemas.openxmlformats.org/officeDocument/2006/relationships/hyperlink" Target="https://ref.ly/1Sam27:1-1Sam27:12" TargetMode="External"/><Relationship Id="rId3585" Type="http://schemas.openxmlformats.org/officeDocument/2006/relationships/hyperlink" Target="https://ref.ly/1Chr12:19-1Chr12:22" TargetMode="External"/><Relationship Id="rId3586" Type="http://schemas.openxmlformats.org/officeDocument/2006/relationships/hyperlink" Target="https://ref.ly/1Sam29:1-1Sam30:31" TargetMode="External"/><Relationship Id="rId3587" Type="http://schemas.openxmlformats.org/officeDocument/2006/relationships/hyperlink" Target="https://ref.ly/1Sam31:1-1Sam31:13" TargetMode="External"/><Relationship Id="rId3588" Type="http://schemas.openxmlformats.org/officeDocument/2006/relationships/hyperlink" Target="https://ref.ly/2Sam1:1-2Sam1:27" TargetMode="External"/><Relationship Id="rId3589" Type="http://schemas.openxmlformats.org/officeDocument/2006/relationships/hyperlink" Target="https://ref.ly/2Sam2:1-2Sam4:12" TargetMode="External"/><Relationship Id="rId3590" Type="http://schemas.openxmlformats.org/officeDocument/2006/relationships/hyperlink" Target="https://ref.ly/2Sam5:1-2Sam5:25" TargetMode="External"/><Relationship Id="rId3591" Type="http://schemas.openxmlformats.org/officeDocument/2006/relationships/hyperlink" Target="https://ref.ly/1Chr14:8-1Chr14:17" TargetMode="External"/><Relationship Id="rId3592" Type="http://schemas.openxmlformats.org/officeDocument/2006/relationships/hyperlink" Target="https://ref.ly/1Chr11:4-1Chr11:9" TargetMode="External"/><Relationship Id="rId3593" Type="http://schemas.openxmlformats.org/officeDocument/2006/relationships/hyperlink" Target="https://ref.ly/1Chr11:1-1Chr12:22" TargetMode="External"/><Relationship Id="rId3594" Type="http://schemas.openxmlformats.org/officeDocument/2006/relationships/hyperlink" Target="https://ref.ly/1Chr12:23-1Chr12:40" TargetMode="External"/><Relationship Id="rId3595" Type="http://schemas.openxmlformats.org/officeDocument/2006/relationships/hyperlink" Target="https://ref.ly/1Chr14:1-1Chr14:2" TargetMode="External"/><Relationship Id="rId3596" Type="http://schemas.openxmlformats.org/officeDocument/2006/relationships/hyperlink" Target="https://ref.ly/2Sam6:1-2Sam6:23" TargetMode="External"/><Relationship Id="rId3597" Type="http://schemas.openxmlformats.org/officeDocument/2006/relationships/hyperlink" Target="https://ref.ly/1Chr13:1-1Chr16:43" TargetMode="External"/><Relationship Id="rId3598" Type="http://schemas.openxmlformats.org/officeDocument/2006/relationships/hyperlink" Target="https://ref.ly/2Sam7:1-2Sam7:29" TargetMode="External"/><Relationship Id="rId3599" Type="http://schemas.openxmlformats.org/officeDocument/2006/relationships/hyperlink" Target="https://ref.ly/1Chr17:1-1Chr17:27" TargetMode="External"/><Relationship Id="rId3600" Type="http://schemas.openxmlformats.org/officeDocument/2006/relationships/hyperlink" Target="https://ref.ly/1Sam13:19-1Sam13:21" TargetMode="External"/><Relationship Id="rId3601" Type="http://schemas.openxmlformats.org/officeDocument/2006/relationships/hyperlink" Target="https://ref.ly/1Chr22:3" TargetMode="External"/><Relationship Id="rId3602" Type="http://schemas.openxmlformats.org/officeDocument/2006/relationships/hyperlink" Target="https://ref.ly/2Sam8:1-2Sam10:19" TargetMode="External"/><Relationship Id="rId3603" Type="http://schemas.openxmlformats.org/officeDocument/2006/relationships/hyperlink" Target="https://ref.ly/2Sam22:1-2Sam22:51" TargetMode="External"/><Relationship Id="rId3604" Type="http://schemas.openxmlformats.org/officeDocument/2006/relationships/hyperlink" Target="https://ref.ly/Ps18:1-Ps18:50" TargetMode="External"/><Relationship Id="rId3605" Type="http://schemas.openxmlformats.org/officeDocument/2006/relationships/hyperlink" Target="https://ref.ly/2Sam11:1-2Sam20:26" TargetMode="External"/><Relationship Id="rId3606" Type="http://schemas.openxmlformats.org/officeDocument/2006/relationships/hyperlink" Target="https://ref.ly/Ps32:1-Ps32:11" TargetMode="External"/><Relationship Id="rId3607" Type="http://schemas.openxmlformats.org/officeDocument/2006/relationships/hyperlink" Target="https://ref.ly/Ps51:1-Ps51:19" TargetMode="External"/><Relationship Id="rId3608" Type="http://schemas.openxmlformats.org/officeDocument/2006/relationships/hyperlink" Target="https://ref.ly/1Chr21:1-1Chr29:30" TargetMode="External"/><Relationship Id="rId3609" Type="http://schemas.openxmlformats.org/officeDocument/2006/relationships/hyperlink" Target="https://ref.ly/1Chr27:25-1Chr27:31" TargetMode="External"/><Relationship Id="rId3610" Type="http://schemas.openxmlformats.org/officeDocument/2006/relationships/hyperlink" Target="https://ref.ly/2Sam24:1-2Sam24:25" TargetMode="External"/><Relationship Id="rId3611" Type="http://schemas.openxmlformats.org/officeDocument/2006/relationships/hyperlink" Target="https://ref.ly/1Chr21:1-1Chr21:30" TargetMode="External"/><Relationship Id="rId3612" Type="http://schemas.openxmlformats.org/officeDocument/2006/relationships/hyperlink" Target="https://ref.ly/1Chr21:28-1Chr22:1" TargetMode="External"/><Relationship Id="rId3613" Type="http://schemas.openxmlformats.org/officeDocument/2006/relationships/hyperlink" Target="https://ref.ly/2Chr29:30" TargetMode="External"/><Relationship Id="rId3614" Type="http://schemas.openxmlformats.org/officeDocument/2006/relationships/hyperlink" Target="https://ref.ly/Ps1:1-Ps41:13" TargetMode="External"/><Relationship Id="rId3615" Type="http://schemas.openxmlformats.org/officeDocument/2006/relationships/hyperlink" Target="https://ref.ly/Ps90:1-Ps106:48" TargetMode="External"/><Relationship Id="rId3616" Type="http://schemas.openxmlformats.org/officeDocument/2006/relationships/hyperlink" Target="https://ref.ly/Ps51:1-Ps71:24" TargetMode="External"/><Relationship Id="rId3617" Type="http://schemas.openxmlformats.org/officeDocument/2006/relationships/hyperlink" Target="https://ref.ly/Ps42:1-Ps72:20" TargetMode="External"/><Relationship Id="rId3618" Type="http://schemas.openxmlformats.org/officeDocument/2006/relationships/hyperlink" Target="https://ref.ly/2Chr7:6" TargetMode="External"/><Relationship Id="rId3619" Type="http://schemas.openxmlformats.org/officeDocument/2006/relationships/hyperlink" Target="https://ref.ly/2Chr8:14" TargetMode="External"/><Relationship Id="rId3620" Type="http://schemas.openxmlformats.org/officeDocument/2006/relationships/hyperlink" Target="https://ref.ly/Isa7:2,Isa7:13" TargetMode="External"/><Relationship Id="rId3621" Type="http://schemas.openxmlformats.org/officeDocument/2006/relationships/hyperlink" Target="https://ref.ly/Isa22:22" TargetMode="External"/><Relationship Id="rId3622" Type="http://schemas.openxmlformats.org/officeDocument/2006/relationships/hyperlink" Target="https://ref.ly/Isa9:7" TargetMode="External"/><Relationship Id="rId3623" Type="http://schemas.openxmlformats.org/officeDocument/2006/relationships/hyperlink" Target="https://ref.ly/Jer33:15" TargetMode="External"/><Relationship Id="rId3624" Type="http://schemas.openxmlformats.org/officeDocument/2006/relationships/hyperlink" Target="https://ref.ly/Isa11:1-Isa11:10" TargetMode="External"/><Relationship Id="rId3625" Type="http://schemas.openxmlformats.org/officeDocument/2006/relationships/hyperlink" Target="https://ref.ly/Isa2:1-Isa2:4" TargetMode="External"/><Relationship Id="rId3626" Type="http://schemas.openxmlformats.org/officeDocument/2006/relationships/hyperlink" Target="https://ref.ly/Ezek37:24-Ezek37:25" TargetMode="External"/><Relationship Id="rId3627" Type="http://schemas.openxmlformats.org/officeDocument/2006/relationships/hyperlink" Target="https://ref.ly/Ezek34:23" TargetMode="External"/><Relationship Id="rId3628" Type="http://schemas.openxmlformats.org/officeDocument/2006/relationships/hyperlink" Target="https://ref.ly/Hos3:5" TargetMode="External"/><Relationship Id="rId3629" Type="http://schemas.openxmlformats.org/officeDocument/2006/relationships/hyperlink" Target="https://ref.ly/Amos9:11" TargetMode="External"/><Relationship Id="rId3630" Type="http://schemas.openxmlformats.org/officeDocument/2006/relationships/hyperlink" Target="https://ref.ly/Zech12:1-Zech13:9" TargetMode="External"/><Relationship Id="rId3631" Type="http://schemas.openxmlformats.org/officeDocument/2006/relationships/hyperlink" Target="https://ref.ly/Matt9:27" TargetMode="External"/><Relationship Id="rId3632" Type="http://schemas.openxmlformats.org/officeDocument/2006/relationships/hyperlink" Target="https://ref.ly/Matt12:23" TargetMode="External"/><Relationship Id="rId3633" Type="http://schemas.openxmlformats.org/officeDocument/2006/relationships/hyperlink" Target="https://ref.ly/Mark10:48" TargetMode="External"/><Relationship Id="rId3634" Type="http://schemas.openxmlformats.org/officeDocument/2006/relationships/hyperlink" Target="https://ref.ly/Mark12:35" TargetMode="External"/><Relationship Id="rId3635" Type="http://schemas.openxmlformats.org/officeDocument/2006/relationships/hyperlink" Target="https://ref.ly/Luke18:38-Luke18:39" TargetMode="External"/><Relationship Id="rId3636" Type="http://schemas.openxmlformats.org/officeDocument/2006/relationships/hyperlink" Target="https://ref.ly/Luke20:41" TargetMode="External"/><Relationship Id="rId3637" Type="http://schemas.openxmlformats.org/officeDocument/2006/relationships/hyperlink" Target="https://ref.ly/Mark11:10" TargetMode="External"/><Relationship Id="rId3638" Type="http://schemas.openxmlformats.org/officeDocument/2006/relationships/hyperlink" Target="https://ref.ly/Matt22:41-Matt22:45" TargetMode="External"/><Relationship Id="rId3639" Type="http://schemas.openxmlformats.org/officeDocument/2006/relationships/hyperlink" Target="https://ref.ly/Mark12:35-Mark12:37" TargetMode="External"/><Relationship Id="rId3640" Type="http://schemas.openxmlformats.org/officeDocument/2006/relationships/hyperlink" Target="https://ref.ly/Luke20:41-Luke20:44" TargetMode="External"/><Relationship Id="rId3641" Type="http://schemas.openxmlformats.org/officeDocument/2006/relationships/hyperlink" Target="https://ref.ly/Acts1:16" TargetMode="External"/><Relationship Id="rId3642" Type="http://schemas.openxmlformats.org/officeDocument/2006/relationships/hyperlink" Target="https://ref.ly/Acts2:22-Acts2:36" TargetMode="External"/><Relationship Id="rId3643" Type="http://schemas.openxmlformats.org/officeDocument/2006/relationships/hyperlink" Target="https://ref.ly/Acts4:25" TargetMode="External"/><Relationship Id="rId3644" Type="http://schemas.openxmlformats.org/officeDocument/2006/relationships/hyperlink" Target="https://ref.ly/Acts13:26-Acts13:39" TargetMode="External"/><Relationship Id="rId3645" Type="http://schemas.openxmlformats.org/officeDocument/2006/relationships/hyperlink" Target="https://ref.ly/Rev3:7" TargetMode="External"/><Relationship Id="rId3646" Type="http://schemas.openxmlformats.org/officeDocument/2006/relationships/hyperlink" Target="https://ref.ly/Rev5:5" TargetMode="External"/><Relationship Id="rId3647" Type="http://schemas.openxmlformats.org/officeDocument/2006/relationships/hyperlink" Target="https://ref.ly/Rev22:16" TargetMode="External"/><Relationship Id="rId3648" Type="http://schemas.openxmlformats.org/officeDocument/2006/relationships/hyperlink" Target="https://ref.ly/Ps118:12" TargetMode="External"/><Relationship Id="rId3649" Type="http://schemas.openxmlformats.org/officeDocument/2006/relationships/hyperlink" Target="https://ref.ly/Isa7:18" TargetMode="External"/><Relationship Id="rId3650" Type="http://schemas.openxmlformats.org/officeDocument/2006/relationships/hyperlink" Target="https://ref.ly/Gen24:59-Gen24:61" TargetMode="External"/><Relationship Id="rId3651" Type="http://schemas.openxmlformats.org/officeDocument/2006/relationships/hyperlink" Target="https://ref.ly/Judg4:1-Judg5:31" TargetMode="External"/><Relationship Id="rId3652" Type="http://schemas.openxmlformats.org/officeDocument/2006/relationships/hyperlink" Target="https://ref.ly/Exod15:20" TargetMode="External"/><Relationship Id="rId3653" Type="http://schemas.openxmlformats.org/officeDocument/2006/relationships/hyperlink" Target="https://ref.ly/2Kgs22:14" TargetMode="External"/><Relationship Id="rId3654" Type="http://schemas.openxmlformats.org/officeDocument/2006/relationships/hyperlink" Target="https://ref.ly/Luke2:36" TargetMode="External"/><Relationship Id="rId3655" Type="http://schemas.openxmlformats.org/officeDocument/2006/relationships/hyperlink" Target="https://ref.ly/Judg4:4" TargetMode="External"/><Relationship Id="rId3656" Type="http://schemas.openxmlformats.org/officeDocument/2006/relationships/hyperlink" Target="https://ref.ly/Judg5:7" TargetMode="External"/><Relationship Id="rId3657" Type="http://schemas.openxmlformats.org/officeDocument/2006/relationships/hyperlink" Target="https://ref.ly/Judg4:5" TargetMode="External"/><Relationship Id="rId3658" Type="http://schemas.openxmlformats.org/officeDocument/2006/relationships/hyperlink" Target="https://ref.ly/Judg5:14-Judg5:15" TargetMode="External"/><Relationship Id="rId3659" Type="http://schemas.openxmlformats.org/officeDocument/2006/relationships/hyperlink" Target="https://ref.ly/Judg4:15" TargetMode="External"/><Relationship Id="rId3660" Type="http://schemas.openxmlformats.org/officeDocument/2006/relationships/hyperlink" Target="https://ref.ly/Judg5:21-Judg5:22" TargetMode="External"/><Relationship Id="rId3661" Type="http://schemas.openxmlformats.org/officeDocument/2006/relationships/hyperlink" Target="https://ref.ly/Judg5:19" TargetMode="External"/><Relationship Id="rId3662" Type="http://schemas.openxmlformats.org/officeDocument/2006/relationships/hyperlink" Target="https://ref.ly/Judg5:1-Judg5:31" TargetMode="External"/><Relationship Id="rId3663" Type="http://schemas.openxmlformats.org/officeDocument/2006/relationships/hyperlink" Target="https://ref.ly/Judg4:1-Judg4:24" TargetMode="External"/><Relationship Id="rId3664" Type="http://schemas.openxmlformats.org/officeDocument/2006/relationships/hyperlink" Target="https://ref.ly/Mark5:20" TargetMode="External"/><Relationship Id="rId3665" Type="http://schemas.openxmlformats.org/officeDocument/2006/relationships/hyperlink" Target="https://ref.ly/Gen10:7" TargetMode="External"/><Relationship Id="rId3666" Type="http://schemas.openxmlformats.org/officeDocument/2006/relationships/hyperlink" Target="https://ref.ly/1Chr1:9" TargetMode="External"/><Relationship Id="rId3667" Type="http://schemas.openxmlformats.org/officeDocument/2006/relationships/hyperlink" Target="https://ref.ly/Lev1:3" TargetMode="External"/><Relationship Id="rId3668" Type="http://schemas.openxmlformats.org/officeDocument/2006/relationships/hyperlink" Target="https://ref.ly/Lev4:3" TargetMode="External"/><Relationship Id="rId3669" Type="http://schemas.openxmlformats.org/officeDocument/2006/relationships/hyperlink" Target="https://ref.ly/Lev21:1-Lev21:24" TargetMode="External"/><Relationship Id="rId3670" Type="http://schemas.openxmlformats.org/officeDocument/2006/relationships/hyperlink" Target="https://ref.ly/Lev21:17-Lev21:20" TargetMode="External"/><Relationship Id="rId3671" Type="http://schemas.openxmlformats.org/officeDocument/2006/relationships/hyperlink" Target="https://ref.ly/Zech11:17" TargetMode="External"/><Relationship Id="rId3672" Type="http://schemas.openxmlformats.org/officeDocument/2006/relationships/hyperlink" Target="https://ref.ly/Matt12:10" TargetMode="External"/><Relationship Id="rId3673" Type="http://schemas.openxmlformats.org/officeDocument/2006/relationships/hyperlink" Target="https://ref.ly/Mark3:1" TargetMode="External"/><Relationship Id="rId3674" Type="http://schemas.openxmlformats.org/officeDocument/2006/relationships/hyperlink" Target="https://ref.ly/Luke6:6" TargetMode="External"/><Relationship Id="rId3675" Type="http://schemas.openxmlformats.org/officeDocument/2006/relationships/hyperlink" Target="https://ref.ly/Judg3:8-Judg3:10" TargetMode="External"/><Relationship Id="rId3676" Type="http://schemas.openxmlformats.org/officeDocument/2006/relationships/hyperlink" Target="https://ref.ly/Judg3:15,Judg3:30" TargetMode="External"/><Relationship Id="rId3677" Type="http://schemas.openxmlformats.org/officeDocument/2006/relationships/hyperlink" Target="https://ref.ly/Judg18:27-Judg18:29" TargetMode="External"/><Relationship Id="rId3678" Type="http://schemas.openxmlformats.org/officeDocument/2006/relationships/hyperlink" Target="https://ref.ly/2Sam22:2" TargetMode="External"/><Relationship Id="rId3679" Type="http://schemas.openxmlformats.org/officeDocument/2006/relationships/hyperlink" Target="https://ref.ly/Ps18:2" TargetMode="External"/><Relationship Id="rId3680" Type="http://schemas.openxmlformats.org/officeDocument/2006/relationships/hyperlink" Target="https://ref.ly/Ps40:17" TargetMode="External"/><Relationship Id="rId3681" Type="http://schemas.openxmlformats.org/officeDocument/2006/relationships/hyperlink" Target="https://ref.ly/Ps70:5" TargetMode="External"/><Relationship Id="rId3682" Type="http://schemas.openxmlformats.org/officeDocument/2006/relationships/hyperlink" Target="https://ref.ly/Ps144:2" TargetMode="External"/><Relationship Id="rId3683" Type="http://schemas.openxmlformats.org/officeDocument/2006/relationships/hyperlink" Target="https://ref.ly/Isa61:1-Isa61:2" TargetMode="External"/><Relationship Id="rId3684" Type="http://schemas.openxmlformats.org/officeDocument/2006/relationships/hyperlink" Target="https://ref.ly/Acts7:35" TargetMode="External"/><Relationship Id="rId3685" Type="http://schemas.openxmlformats.org/officeDocument/2006/relationships/hyperlink" Target="https://ref.ly/Rom11:26" TargetMode="External"/><Relationship Id="rId3686" Type="http://schemas.openxmlformats.org/officeDocument/2006/relationships/hyperlink" Target="https://ref.ly/Isa59:20" TargetMode="External"/><Relationship Id="rId3687" Type="http://schemas.openxmlformats.org/officeDocument/2006/relationships/hyperlink" Target="https://ref.ly/Gen10:1,Gen10:32" TargetMode="External"/><Relationship Id="rId3688" Type="http://schemas.openxmlformats.org/officeDocument/2006/relationships/hyperlink" Target="https://ref.ly/Matt24:38-Matt24:39" TargetMode="External"/><Relationship Id="rId3689" Type="http://schemas.openxmlformats.org/officeDocument/2006/relationships/hyperlink" Target="https://ref.ly/Luke17:27" TargetMode="External"/><Relationship Id="rId3690" Type="http://schemas.openxmlformats.org/officeDocument/2006/relationships/hyperlink" Target="https://ref.ly/2Pet2:5" TargetMode="External"/><Relationship Id="rId3691" Type="http://schemas.openxmlformats.org/officeDocument/2006/relationships/hyperlink" Target="https://ref.ly/Gen1:26-Gen1:28" TargetMode="External"/><Relationship Id="rId3692" Type="http://schemas.openxmlformats.org/officeDocument/2006/relationships/hyperlink" Target="https://ref.ly/Heb11:7" TargetMode="External"/><Relationship Id="rId3693" Type="http://schemas.openxmlformats.org/officeDocument/2006/relationships/hyperlink" Target="https://ref.ly/Gen7:11" TargetMode="External"/><Relationship Id="rId3694" Type="http://schemas.openxmlformats.org/officeDocument/2006/relationships/hyperlink" Target="https://ref.ly/Gen7:6-Gen7:12,Gen7:24" TargetMode="External"/><Relationship Id="rId3695" Type="http://schemas.openxmlformats.org/officeDocument/2006/relationships/hyperlink" Target="https://ref.ly/Gen8:3-Gen8:6,Gen8:10-Gen8:14" TargetMode="External"/><Relationship Id="rId3696" Type="http://schemas.openxmlformats.org/officeDocument/2006/relationships/hyperlink" Target="https://ref.ly/Gen7:17-Gen7:20" TargetMode="External"/><Relationship Id="rId3697" Type="http://schemas.openxmlformats.org/officeDocument/2006/relationships/hyperlink" Target="https://ref.ly/Gen7:19" TargetMode="External"/><Relationship Id="rId3698" Type="http://schemas.openxmlformats.org/officeDocument/2006/relationships/hyperlink" Target="https://ref.ly/Gen47:13" TargetMode="External"/><Relationship Id="rId3699" Type="http://schemas.openxmlformats.org/officeDocument/2006/relationships/hyperlink" Target="https://ref.ly/Gen23:15" TargetMode="External"/><Relationship Id="rId3700" Type="http://schemas.openxmlformats.org/officeDocument/2006/relationships/hyperlink" Target="https://ref.ly/1Macc7:1-1Macc7:10" TargetMode="External"/><Relationship Id="rId3701" Type="http://schemas.openxmlformats.org/officeDocument/2006/relationships/hyperlink" Target="https://ref.ly/2Macc14:1-2Macc14:15,2Macc14:26-2Macc14:28" TargetMode="External"/><Relationship Id="rId3702" Type="http://schemas.openxmlformats.org/officeDocument/2006/relationships/hyperlink" Target="https://ref.ly/1Macc10:46-1Macc10:50" TargetMode="External"/><Relationship Id="rId3703" Type="http://schemas.openxmlformats.org/officeDocument/2006/relationships/hyperlink" Target="https://ref.ly/1Macc11:32-1Macc11:37" TargetMode="External"/><Relationship Id="rId3704" Type="http://schemas.openxmlformats.org/officeDocument/2006/relationships/hyperlink" Target="https://ref.ly/1Macc11:54-1Macc11:55" TargetMode="External"/><Relationship Id="rId3705" Type="http://schemas.openxmlformats.org/officeDocument/2006/relationships/hyperlink" Target="https://ref.ly/1Macc13:34-1Macc13:42" TargetMode="External"/><Relationship Id="rId3706" Type="http://schemas.openxmlformats.org/officeDocument/2006/relationships/hyperlink" Target="https://ref.ly/1Macc14:1-1Macc14:3" TargetMode="External"/><Relationship Id="rId3707" Type="http://schemas.openxmlformats.org/officeDocument/2006/relationships/hyperlink" Target="https://ref.ly/3John1:12" TargetMode="External"/><Relationship Id="rId3708" Type="http://schemas.openxmlformats.org/officeDocument/2006/relationships/hyperlink" Target="https://ref.ly/Num1:1-Num1:3" TargetMode="External"/><Relationship Id="rId3709" Type="http://schemas.openxmlformats.org/officeDocument/2006/relationships/hyperlink" Target="https://ref.ly/Num3:15,Num3:39" TargetMode="External"/><Relationship Id="rId3710" Type="http://schemas.openxmlformats.org/officeDocument/2006/relationships/hyperlink" Target="https://ref.ly/Num4:46-Num4:48" TargetMode="External"/><Relationship Id="rId3711" Type="http://schemas.openxmlformats.org/officeDocument/2006/relationships/hyperlink" Target="https://ref.ly/Num26:1-Num26:65" TargetMode="External"/><Relationship Id="rId3712" Type="http://schemas.openxmlformats.org/officeDocument/2006/relationships/hyperlink" Target="https://ref.ly/Num26:51" TargetMode="External"/><Relationship Id="rId3713" Type="http://schemas.openxmlformats.org/officeDocument/2006/relationships/hyperlink" Target="https://ref.ly/Num26:62" TargetMode="External"/><Relationship Id="rId3714" Type="http://schemas.openxmlformats.org/officeDocument/2006/relationships/hyperlink" Target="https://ref.ly/Exod30:11-Exod30:16" TargetMode="External"/><Relationship Id="rId3715" Type="http://schemas.openxmlformats.org/officeDocument/2006/relationships/hyperlink" Target="https://ref.ly/2Sam24:1-2Sam24:17" TargetMode="External"/><Relationship Id="rId3716" Type="http://schemas.openxmlformats.org/officeDocument/2006/relationships/hyperlink" Target="https://ref.ly/1Chr21:1" TargetMode="External"/><Relationship Id="rId3717" Type="http://schemas.openxmlformats.org/officeDocument/2006/relationships/hyperlink" Target="https://ref.ly/1Chr21:6" TargetMode="External"/><Relationship Id="rId3718" Type="http://schemas.openxmlformats.org/officeDocument/2006/relationships/hyperlink" Target="https://ref.ly/1Chr27:23-1Chr27:24" TargetMode="External"/><Relationship Id="rId3719" Type="http://schemas.openxmlformats.org/officeDocument/2006/relationships/hyperlink" Target="https://ref.ly/2Sam24:9" TargetMode="External"/><Relationship Id="rId3720" Type="http://schemas.openxmlformats.org/officeDocument/2006/relationships/hyperlink" Target="https://ref.ly/1Chr21:5" TargetMode="External"/><Relationship Id="rId3721" Type="http://schemas.openxmlformats.org/officeDocument/2006/relationships/hyperlink" Target="https://ref.ly/1Chr23:3" TargetMode="External"/><Relationship Id="rId3722" Type="http://schemas.openxmlformats.org/officeDocument/2006/relationships/hyperlink" Target="https://ref.ly/Ezra2:1-Ezra2:70" TargetMode="External"/><Relationship Id="rId3723" Type="http://schemas.openxmlformats.org/officeDocument/2006/relationships/hyperlink" Target="https://ref.ly/Luke2:1-Luke2:3" TargetMode="External"/><Relationship Id="rId3724" Type="http://schemas.openxmlformats.org/officeDocument/2006/relationships/hyperlink" Target="https://ref.ly/Matt2:1-Matt2:23" TargetMode="External"/><Relationship Id="rId3725" Type="http://schemas.openxmlformats.org/officeDocument/2006/relationships/hyperlink" Target="https://ref.ly/Acts14:6" TargetMode="External"/><Relationship Id="rId3726" Type="http://schemas.openxmlformats.org/officeDocument/2006/relationships/hyperlink" Target="https://ref.ly/Acts14:20" TargetMode="External"/><Relationship Id="rId3727" Type="http://schemas.openxmlformats.org/officeDocument/2006/relationships/hyperlink" Target="https://ref.ly/Acts16:1" TargetMode="External"/><Relationship Id="rId3728" Type="http://schemas.openxmlformats.org/officeDocument/2006/relationships/hyperlink" Target="https://ref.ly/Acts18:23" TargetMode="External"/><Relationship Id="rId3729" Type="http://schemas.openxmlformats.org/officeDocument/2006/relationships/hyperlink" Target="https://ref.ly/Isa4:2" TargetMode="External"/><Relationship Id="rId3730" Type="http://schemas.openxmlformats.org/officeDocument/2006/relationships/hyperlink" Target="https://ref.ly/Isa11:10" TargetMode="External"/><Relationship Id="rId3731" Type="http://schemas.openxmlformats.org/officeDocument/2006/relationships/hyperlink" Target="https://ref.ly/Jer50:3-Jer50:32" TargetMode="External"/><Relationship Id="rId3732" Type="http://schemas.openxmlformats.org/officeDocument/2006/relationships/hyperlink" Target="https://ref.ly/Joel2:1-Joel2:3" TargetMode="External"/><Relationship Id="rId3733" Type="http://schemas.openxmlformats.org/officeDocument/2006/relationships/hyperlink" Target="https://ref.ly/Joel3:9-Joel3:16" TargetMode="External"/><Relationship Id="rId3734" Type="http://schemas.openxmlformats.org/officeDocument/2006/relationships/hyperlink" Target="https://ref.ly/Amos5:18-Amos5:20" TargetMode="External"/><Relationship Id="rId3735" Type="http://schemas.openxmlformats.org/officeDocument/2006/relationships/hyperlink" Target="https://ref.ly/Zeph1:7-Zeph1:18" TargetMode="External"/><Relationship Id="rId3736" Type="http://schemas.openxmlformats.org/officeDocument/2006/relationships/hyperlink" Target="https://ref.ly/Acts10:42" TargetMode="External"/><Relationship Id="rId3737" Type="http://schemas.openxmlformats.org/officeDocument/2006/relationships/hyperlink" Target="https://ref.ly/Acts17:31" TargetMode="External"/><Relationship Id="rId3738" Type="http://schemas.openxmlformats.org/officeDocument/2006/relationships/hyperlink" Target="https://ref.ly/Hab2:4" TargetMode="External"/><Relationship Id="rId3739" Type="http://schemas.openxmlformats.org/officeDocument/2006/relationships/hyperlink" Target="https://ref.ly/Rev20:12" TargetMode="External"/><Relationship Id="rId3740" Type="http://schemas.openxmlformats.org/officeDocument/2006/relationships/hyperlink" Target="https://ref.ly/Rom3:9,Rom3:23" TargetMode="External"/><Relationship Id="rId3741" Type="http://schemas.openxmlformats.org/officeDocument/2006/relationships/hyperlink" Target="https://ref.ly/Rom3:21-Rom3:28" TargetMode="External"/><Relationship Id="rId3742" Type="http://schemas.openxmlformats.org/officeDocument/2006/relationships/hyperlink" Target="https://ref.ly/Rom5:1-Rom5:21" TargetMode="External"/><Relationship Id="rId3743" Type="http://schemas.openxmlformats.org/officeDocument/2006/relationships/hyperlink" Target="https://ref.ly/Rom5:18" TargetMode="External"/><Relationship Id="rId3744" Type="http://schemas.openxmlformats.org/officeDocument/2006/relationships/hyperlink" Target="https://ref.ly/John3:16-John3:18" TargetMode="External"/><Relationship Id="rId3745" Type="http://schemas.openxmlformats.org/officeDocument/2006/relationships/hyperlink" Target="https://ref.ly/1John4:17" TargetMode="External"/><Relationship Id="rId3746" Type="http://schemas.openxmlformats.org/officeDocument/2006/relationships/hyperlink" Target="https://ref.ly/Rev21:27" TargetMode="External"/><Relationship Id="rId3747" Type="http://schemas.openxmlformats.org/officeDocument/2006/relationships/hyperlink" Target="https://ref.ly/Rev20:11-Rev20:12" TargetMode="External"/><Relationship Id="rId3748" Type="http://schemas.openxmlformats.org/officeDocument/2006/relationships/hyperlink" Target="https://ref.ly/Isa2:2" TargetMode="External"/><Relationship Id="rId3749" Type="http://schemas.openxmlformats.org/officeDocument/2006/relationships/hyperlink" Target="https://ref.ly/Mic4:1" TargetMode="External"/><Relationship Id="rId3750" Type="http://schemas.openxmlformats.org/officeDocument/2006/relationships/hyperlink" Target="https://ref.ly/Joel2:28" TargetMode="External"/><Relationship Id="rId3751" Type="http://schemas.openxmlformats.org/officeDocument/2006/relationships/hyperlink" Target="https://ref.ly/Acts2:17-Acts2:18" TargetMode="External"/><Relationship Id="rId3752" Type="http://schemas.openxmlformats.org/officeDocument/2006/relationships/hyperlink" Target="https://ref.ly/Heb1:1-Heb1:2" TargetMode="External"/><Relationship Id="rId3753" Type="http://schemas.openxmlformats.org/officeDocument/2006/relationships/hyperlink" Target="https://ref.ly/1John2:18" TargetMode="External"/><Relationship Id="rId3754" Type="http://schemas.openxmlformats.org/officeDocument/2006/relationships/hyperlink" Target="https://ref.ly/Matt24:44" TargetMode="External"/><Relationship Id="rId3755" Type="http://schemas.openxmlformats.org/officeDocument/2006/relationships/hyperlink" Target="https://ref.ly/Matt25:13" TargetMode="External"/><Relationship Id="rId3756" Type="http://schemas.openxmlformats.org/officeDocument/2006/relationships/hyperlink" Target="https://ref.ly/Isa2:12-Isa2:22" TargetMode="External"/><Relationship Id="rId3757" Type="http://schemas.openxmlformats.org/officeDocument/2006/relationships/hyperlink" Target="https://ref.ly/Ezek13:5" TargetMode="External"/><Relationship Id="rId3758" Type="http://schemas.openxmlformats.org/officeDocument/2006/relationships/hyperlink" Target="https://ref.ly/Joel1:15" TargetMode="External"/><Relationship Id="rId3759" Type="http://schemas.openxmlformats.org/officeDocument/2006/relationships/hyperlink" Target="https://ref.ly/Joel2:1" TargetMode="External"/><Relationship Id="rId3760" Type="http://schemas.openxmlformats.org/officeDocument/2006/relationships/hyperlink" Target="https://ref.ly/Zeph1:7" TargetMode="External"/><Relationship Id="rId3761" Type="http://schemas.openxmlformats.org/officeDocument/2006/relationships/hyperlink" Target="https://ref.ly/1Thess5:2" TargetMode="External"/><Relationship Id="rId3762" Type="http://schemas.openxmlformats.org/officeDocument/2006/relationships/hyperlink" Target="https://ref.ly/Rom8:19-Rom8:25" TargetMode="External"/><Relationship Id="rId3763" Type="http://schemas.openxmlformats.org/officeDocument/2006/relationships/hyperlink" Target="https://ref.ly/1John3:2" TargetMode="External"/><Relationship Id="rId3764" Type="http://schemas.openxmlformats.org/officeDocument/2006/relationships/hyperlink" Target="https://ref.ly/Rev21:1-Rev21:8" TargetMode="External"/><Relationship Id="rId3765" Type="http://schemas.openxmlformats.org/officeDocument/2006/relationships/hyperlink" Target="https://ref.ly/1John2:28" TargetMode="External"/><Relationship Id="rId3766" Type="http://schemas.openxmlformats.org/officeDocument/2006/relationships/hyperlink" Target="https://ref.ly/1Cor15:28" TargetMode="External"/><Relationship Id="rId3767" Type="http://schemas.openxmlformats.org/officeDocument/2006/relationships/hyperlink" Target="https://ref.ly/John6:39-John6:44" TargetMode="External"/><Relationship Id="rId3768" Type="http://schemas.openxmlformats.org/officeDocument/2006/relationships/hyperlink" Target="https://ref.ly/Rom13:11-Rom13:12" TargetMode="External"/><Relationship Id="rId3769" Type="http://schemas.openxmlformats.org/officeDocument/2006/relationships/hyperlink" Target="https://ref.ly/2Pet3:11-2Pet3:14" TargetMode="External"/><Relationship Id="rId3770" Type="http://schemas.openxmlformats.org/officeDocument/2006/relationships/hyperlink" Target="https://ref.ly/Rom8:23" TargetMode="External"/><Relationship Id="rId3771" Type="http://schemas.openxmlformats.org/officeDocument/2006/relationships/hyperlink" Target="https://ref.ly/2Cor5:5" TargetMode="External"/><Relationship Id="rId3772" Type="http://schemas.openxmlformats.org/officeDocument/2006/relationships/hyperlink" Target="https://ref.ly/Eph1:14" TargetMode="External"/><Relationship Id="rId3773" Type="http://schemas.openxmlformats.org/officeDocument/2006/relationships/hyperlink" Target="https://ref.ly/Rom8:18" TargetMode="External"/><Relationship Id="rId3774" Type="http://schemas.openxmlformats.org/officeDocument/2006/relationships/hyperlink" Target="https://ref.ly/Acts17:30" TargetMode="External"/><Relationship Id="rId3775" Type="http://schemas.openxmlformats.org/officeDocument/2006/relationships/hyperlink" Target="https://ref.ly/Luke7:34" TargetMode="External"/><Relationship Id="rId3776" Type="http://schemas.openxmlformats.org/officeDocument/2006/relationships/hyperlink" Target="https://ref.ly/John2:1-John2:11" TargetMode="External"/><Relationship Id="rId3777" Type="http://schemas.openxmlformats.org/officeDocument/2006/relationships/hyperlink" Target="https://ref.ly/1Sam15:23" TargetMode="External"/><Relationship Id="rId3778" Type="http://schemas.openxmlformats.org/officeDocument/2006/relationships/hyperlink" Target="https://ref.ly/Ps37:4" TargetMode="External"/><Relationship Id="rId3779" Type="http://schemas.openxmlformats.org/officeDocument/2006/relationships/hyperlink" Target="https://ref.ly/Ps145:16" TargetMode="External"/><Relationship Id="rId3780" Type="http://schemas.openxmlformats.org/officeDocument/2006/relationships/hyperlink" Target="https://ref.ly/Prov10:24" TargetMode="External"/><Relationship Id="rId3781" Type="http://schemas.openxmlformats.org/officeDocument/2006/relationships/hyperlink" Target="https://ref.ly/Matt6:33" TargetMode="External"/><Relationship Id="rId3782" Type="http://schemas.openxmlformats.org/officeDocument/2006/relationships/hyperlink" Target="https://ref.ly/Isa65:11" TargetMode="External"/><Relationship Id="rId3783" Type="http://schemas.openxmlformats.org/officeDocument/2006/relationships/hyperlink" Target="https://ref.ly/Exod19:5-Exod19:6" TargetMode="External"/><Relationship Id="rId3784" Type="http://schemas.openxmlformats.org/officeDocument/2006/relationships/hyperlink" Target="https://ref.ly/Acts17:30-Acts17:31" TargetMode="External"/><Relationship Id="rId3785" Type="http://schemas.openxmlformats.org/officeDocument/2006/relationships/hyperlink" Target="https://ref.ly/1John5:1-1John5:5" TargetMode="External"/><Relationship Id="rId3786" Type="http://schemas.openxmlformats.org/officeDocument/2006/relationships/hyperlink" Target="https://ref.ly/Gen46:4" TargetMode="External"/><Relationship Id="rId3787" Type="http://schemas.openxmlformats.org/officeDocument/2006/relationships/hyperlink" Target="https://ref.ly/Gen50:1" TargetMode="External"/><Relationship Id="rId3788" Type="http://schemas.openxmlformats.org/officeDocument/2006/relationships/hyperlink" Target="https://ref.ly/Acts5:1-Acts5:10" TargetMode="External"/><Relationship Id="rId3789" Type="http://schemas.openxmlformats.org/officeDocument/2006/relationships/hyperlink" Target="https://ref.ly/Matt27:59" TargetMode="External"/><Relationship Id="rId3790" Type="http://schemas.openxmlformats.org/officeDocument/2006/relationships/hyperlink" Target="https://ref.ly/John11:44" TargetMode="External"/><Relationship Id="rId3791" Type="http://schemas.openxmlformats.org/officeDocument/2006/relationships/hyperlink" Target="https://ref.ly/John19:39-John19:40" TargetMode="External"/><Relationship Id="rId3792" Type="http://schemas.openxmlformats.org/officeDocument/2006/relationships/hyperlink" Target="https://ref.ly/Gen37:34" TargetMode="External"/><Relationship Id="rId3793" Type="http://schemas.openxmlformats.org/officeDocument/2006/relationships/hyperlink" Target="https://ref.ly/2Sam1:11" TargetMode="External"/><Relationship Id="rId3794" Type="http://schemas.openxmlformats.org/officeDocument/2006/relationships/hyperlink" Target="https://ref.ly/Job1:20" TargetMode="External"/><Relationship Id="rId3795" Type="http://schemas.openxmlformats.org/officeDocument/2006/relationships/hyperlink" Target="https://ref.ly/2Sam3:31" TargetMode="External"/><Relationship Id="rId3796" Type="http://schemas.openxmlformats.org/officeDocument/2006/relationships/hyperlink" Target="https://ref.ly/2Sam15:30" TargetMode="External"/><Relationship Id="rId3797" Type="http://schemas.openxmlformats.org/officeDocument/2006/relationships/hyperlink" Target="https://ref.ly/Mic1:8" TargetMode="External"/><Relationship Id="rId3798" Type="http://schemas.openxmlformats.org/officeDocument/2006/relationships/hyperlink" Target="https://ref.ly/Ezek24:17,Ezek24:23" TargetMode="External"/><Relationship Id="rId3799" Type="http://schemas.openxmlformats.org/officeDocument/2006/relationships/hyperlink" Target="https://ref.ly/Josh7:6" TargetMode="External"/><Relationship Id="rId3800" Type="http://schemas.openxmlformats.org/officeDocument/2006/relationships/hyperlink" Target="https://ref.ly/1Sam4:12" TargetMode="External"/><Relationship Id="rId3801" Type="http://schemas.openxmlformats.org/officeDocument/2006/relationships/hyperlink" Target="https://ref.ly/Neh9:1" TargetMode="External"/><Relationship Id="rId3802" Type="http://schemas.openxmlformats.org/officeDocument/2006/relationships/hyperlink" Target="https://ref.ly/Job2:12" TargetMode="External"/><Relationship Id="rId3803" Type="http://schemas.openxmlformats.org/officeDocument/2006/relationships/hyperlink" Target="https://ref.ly/Ezek27:30" TargetMode="External"/><Relationship Id="rId3804" Type="http://schemas.openxmlformats.org/officeDocument/2006/relationships/hyperlink" Target="https://ref.ly/Job16:15" TargetMode="External"/><Relationship Id="rId3805" Type="http://schemas.openxmlformats.org/officeDocument/2006/relationships/hyperlink" Target="https://ref.ly/Mic1:10" TargetMode="External"/><Relationship Id="rId3806" Type="http://schemas.openxmlformats.org/officeDocument/2006/relationships/hyperlink" Target="https://ref.ly/Esth4:3" TargetMode="External"/><Relationship Id="rId3807" Type="http://schemas.openxmlformats.org/officeDocument/2006/relationships/hyperlink" Target="https://ref.ly/Isa58:5" TargetMode="External"/><Relationship Id="rId3808" Type="http://schemas.openxmlformats.org/officeDocument/2006/relationships/hyperlink" Target="https://ref.ly/Jer6:26" TargetMode="External"/><Relationship Id="rId3809" Type="http://schemas.openxmlformats.org/officeDocument/2006/relationships/hyperlink" Target="https://ref.ly/Lev19:27-Lev19:28" TargetMode="External"/><Relationship Id="rId3810" Type="http://schemas.openxmlformats.org/officeDocument/2006/relationships/hyperlink" Target="https://ref.ly/Isa22:12" TargetMode="External"/><Relationship Id="rId3811" Type="http://schemas.openxmlformats.org/officeDocument/2006/relationships/hyperlink" Target="https://ref.ly/Jer47:5" TargetMode="External"/><Relationship Id="rId3812" Type="http://schemas.openxmlformats.org/officeDocument/2006/relationships/hyperlink" Target="https://ref.ly/Ezek7:18" TargetMode="External"/><Relationship Id="rId3813" Type="http://schemas.openxmlformats.org/officeDocument/2006/relationships/hyperlink" Target="https://ref.ly/Amos8:10" TargetMode="External"/><Relationship Id="rId3814" Type="http://schemas.openxmlformats.org/officeDocument/2006/relationships/hyperlink" Target="https://ref.ly/2Sam14:2" TargetMode="External"/><Relationship Id="rId3815" Type="http://schemas.openxmlformats.org/officeDocument/2006/relationships/hyperlink" Target="https://ref.ly/1Sam31:13" TargetMode="External"/><Relationship Id="rId3816" Type="http://schemas.openxmlformats.org/officeDocument/2006/relationships/hyperlink" Target="https://ref.ly/2Sam1:12" TargetMode="External"/><Relationship Id="rId3817" Type="http://schemas.openxmlformats.org/officeDocument/2006/relationships/hyperlink" Target="https://ref.ly/Ezek24:17,Ezek24:22" TargetMode="External"/><Relationship Id="rId3818" Type="http://schemas.openxmlformats.org/officeDocument/2006/relationships/hyperlink" Target="https://ref.ly/Lev21:1-Lev21:4,Lev21:10-Lev21:11" TargetMode="External"/><Relationship Id="rId3819" Type="http://schemas.openxmlformats.org/officeDocument/2006/relationships/hyperlink" Target="https://ref.ly/Lev21:1-Lev21:4" TargetMode="External"/><Relationship Id="rId3820" Type="http://schemas.openxmlformats.org/officeDocument/2006/relationships/hyperlink" Target="https://ref.ly/1Kgs13:30" TargetMode="External"/><Relationship Id="rId3821" Type="http://schemas.openxmlformats.org/officeDocument/2006/relationships/hyperlink" Target="https://ref.ly/Zech12:10" TargetMode="External"/><Relationship Id="rId3822" Type="http://schemas.openxmlformats.org/officeDocument/2006/relationships/hyperlink" Target="https://ref.ly/Zech12:11-Zech12:14" TargetMode="External"/><Relationship Id="rId3823" Type="http://schemas.openxmlformats.org/officeDocument/2006/relationships/hyperlink" Target="https://ref.ly/2Sam1:17-2Sam1:27" TargetMode="External"/><Relationship Id="rId3824" Type="http://schemas.openxmlformats.org/officeDocument/2006/relationships/hyperlink" Target="https://ref.ly/Jer9:17-Jer9:19" TargetMode="External"/><Relationship Id="rId3825" Type="http://schemas.openxmlformats.org/officeDocument/2006/relationships/hyperlink" Target="https://ref.ly/2Sam18:18" TargetMode="External"/><Relationship Id="rId3826" Type="http://schemas.openxmlformats.org/officeDocument/2006/relationships/hyperlink" Target="https://ref.ly/Jas4:8-Jas4:10" TargetMode="External"/><Relationship Id="rId3827" Type="http://schemas.openxmlformats.org/officeDocument/2006/relationships/hyperlink" Target="https://ref.ly/Matt9:15" TargetMode="External"/><Relationship Id="rId3828" Type="http://schemas.openxmlformats.org/officeDocument/2006/relationships/hyperlink" Target="https://ref.ly/Matt5:4" TargetMode="External"/><Relationship Id="rId3829" Type="http://schemas.openxmlformats.org/officeDocument/2006/relationships/hyperlink" Target="https://ref.ly/Mark5:38-Mark5:39" TargetMode="External"/><Relationship Id="rId3830" Type="http://schemas.openxmlformats.org/officeDocument/2006/relationships/hyperlink" Target="https://ref.ly/Luke7:13" TargetMode="External"/><Relationship Id="rId3831" Type="http://schemas.openxmlformats.org/officeDocument/2006/relationships/hyperlink" Target="https://ref.ly/1Thess4:13" TargetMode="External"/><Relationship Id="rId3832" Type="http://schemas.openxmlformats.org/officeDocument/2006/relationships/hyperlink" Target="https://ref.ly/Deut1:1-Deut1:5" TargetMode="External"/><Relationship Id="rId3833" Type="http://schemas.openxmlformats.org/officeDocument/2006/relationships/hyperlink" Target="https://ref.ly/Exod20:1" TargetMode="External"/><Relationship Id="rId3834" Type="http://schemas.openxmlformats.org/officeDocument/2006/relationships/hyperlink" Target="https://ref.ly/Deut1:6-Deut4:49" TargetMode="External"/><Relationship Id="rId3835" Type="http://schemas.openxmlformats.org/officeDocument/2006/relationships/hyperlink" Target="https://ref.ly/Exod20:2" TargetMode="External"/><Relationship Id="rId3836" Type="http://schemas.openxmlformats.org/officeDocument/2006/relationships/hyperlink" Target="https://ref.ly/Deut5:1-Deut26:19" TargetMode="External"/><Relationship Id="rId3837" Type="http://schemas.openxmlformats.org/officeDocument/2006/relationships/hyperlink" Target="https://ref.ly/Deut5:1-Deut11:32" TargetMode="External"/><Relationship Id="rId3838" Type="http://schemas.openxmlformats.org/officeDocument/2006/relationships/hyperlink" Target="https://ref.ly/Exod20:3-Exod20:17" TargetMode="External"/><Relationship Id="rId3839" Type="http://schemas.openxmlformats.org/officeDocument/2006/relationships/hyperlink" Target="https://ref.ly/Deut12:1-Deut16:17" TargetMode="External"/><Relationship Id="rId3840" Type="http://schemas.openxmlformats.org/officeDocument/2006/relationships/hyperlink" Target="https://ref.ly/Deut16:18-Deut21:23" TargetMode="External"/><Relationship Id="rId3841" Type="http://schemas.openxmlformats.org/officeDocument/2006/relationships/hyperlink" Target="https://ref.ly/Deut22:1-Deut25:19" TargetMode="External"/><Relationship Id="rId3842" Type="http://schemas.openxmlformats.org/officeDocument/2006/relationships/hyperlink" Target="https://ref.ly/Deut26:1-Deut26:19" TargetMode="External"/><Relationship Id="rId3843" Type="http://schemas.openxmlformats.org/officeDocument/2006/relationships/hyperlink" Target="https://ref.ly/Deut27:1-Deut27:26" TargetMode="External"/><Relationship Id="rId3844" Type="http://schemas.openxmlformats.org/officeDocument/2006/relationships/hyperlink" Target="https://ref.ly/Deut31:1-Deut34:12" TargetMode="External"/><Relationship Id="rId3845" Type="http://schemas.openxmlformats.org/officeDocument/2006/relationships/hyperlink" Target="https://ref.ly/Exod1:1-Exod19:25" TargetMode="External"/><Relationship Id="rId3846" Type="http://schemas.openxmlformats.org/officeDocument/2006/relationships/hyperlink" Target="https://ref.ly/Exod20:1-Exod40:38" TargetMode="External"/><Relationship Id="rId3847" Type="http://schemas.openxmlformats.org/officeDocument/2006/relationships/hyperlink" Target="https://ref.ly/Lev1:1-Lev27:34" TargetMode="External"/><Relationship Id="rId3848" Type="http://schemas.openxmlformats.org/officeDocument/2006/relationships/hyperlink" Target="https://ref.ly/Num1:1-Num9:23" TargetMode="External"/><Relationship Id="rId3849" Type="http://schemas.openxmlformats.org/officeDocument/2006/relationships/hyperlink" Target="https://ref.ly/Num10:1-Num21:35" TargetMode="External"/><Relationship Id="rId3850" Type="http://schemas.openxmlformats.org/officeDocument/2006/relationships/hyperlink" Target="https://ref.ly/Num20:1-Num36:13" TargetMode="External"/><Relationship Id="rId3851" Type="http://schemas.openxmlformats.org/officeDocument/2006/relationships/hyperlink" Target="https://ref.ly/Deut5:1" TargetMode="External"/><Relationship Id="rId3852" Type="http://schemas.openxmlformats.org/officeDocument/2006/relationships/hyperlink" Target="https://ref.ly/Deut29:1" TargetMode="External"/><Relationship Id="rId3853" Type="http://schemas.openxmlformats.org/officeDocument/2006/relationships/hyperlink" Target="https://ref.ly/Lev19:18" TargetMode="External"/><Relationship Id="rId3854" Type="http://schemas.openxmlformats.org/officeDocument/2006/relationships/hyperlink" Target="https://ref.ly/Deut10:19" TargetMode="External"/><Relationship Id="rId3855" Type="http://schemas.openxmlformats.org/officeDocument/2006/relationships/hyperlink" Target="https://ref.ly/Matt4:4-Matt4:10" TargetMode="External"/><Relationship Id="rId3856" Type="http://schemas.openxmlformats.org/officeDocument/2006/relationships/hyperlink" Target="https://ref.ly/Deut6:13,Deut6:16" TargetMode="External"/><Relationship Id="rId3857" Type="http://schemas.openxmlformats.org/officeDocument/2006/relationships/hyperlink" Target="https://ref.ly/Luke10:25-Luke10:28" TargetMode="External"/><Relationship Id="rId3858" Type="http://schemas.openxmlformats.org/officeDocument/2006/relationships/hyperlink" Target="https://ref.ly/Deut28:1,Deut28:58" TargetMode="External"/><Relationship Id="rId3859" Type="http://schemas.openxmlformats.org/officeDocument/2006/relationships/hyperlink" Target="https://ref.ly/Deut1:1-Deut4:43" TargetMode="External"/><Relationship Id="rId3860" Type="http://schemas.openxmlformats.org/officeDocument/2006/relationships/hyperlink" Target="https://ref.ly/Deut4:1-Deut4:40" TargetMode="External"/><Relationship Id="rId3861" Type="http://schemas.openxmlformats.org/officeDocument/2006/relationships/hyperlink" Target="https://ref.ly/Deut4:44-Deut26:19" TargetMode="External"/><Relationship Id="rId3862" Type="http://schemas.openxmlformats.org/officeDocument/2006/relationships/hyperlink" Target="https://ref.ly/Deut4:44-Deut4:49" TargetMode="External"/><Relationship Id="rId3863" Type="http://schemas.openxmlformats.org/officeDocument/2006/relationships/hyperlink" Target="https://ref.ly/Deut5:6" TargetMode="External"/><Relationship Id="rId3864" Type="http://schemas.openxmlformats.org/officeDocument/2006/relationships/hyperlink" Target="https://ref.ly/Deut5:9" TargetMode="External"/><Relationship Id="rId3865" Type="http://schemas.openxmlformats.org/officeDocument/2006/relationships/hyperlink" Target="https://ref.ly/Deut6:4-Deut6:5" TargetMode="External"/><Relationship Id="rId3866" Type="http://schemas.openxmlformats.org/officeDocument/2006/relationships/hyperlink" Target="https://ref.ly/Deut6:1-Deut6:25" TargetMode="External"/><Relationship Id="rId3867" Type="http://schemas.openxmlformats.org/officeDocument/2006/relationships/hyperlink" Target="https://ref.ly/Deut7:1-Deut7:26" TargetMode="External"/><Relationship Id="rId3868" Type="http://schemas.openxmlformats.org/officeDocument/2006/relationships/hyperlink" Target="https://ref.ly/Deut8:1-Deut8:20" TargetMode="External"/><Relationship Id="rId3869" Type="http://schemas.openxmlformats.org/officeDocument/2006/relationships/hyperlink" Target="https://ref.ly/Deut9:1-Deut10:11" TargetMode="External"/><Relationship Id="rId3870" Type="http://schemas.openxmlformats.org/officeDocument/2006/relationships/hyperlink" Target="https://ref.ly/Deut10:12-Deut11:32" TargetMode="External"/><Relationship Id="rId3871" Type="http://schemas.openxmlformats.org/officeDocument/2006/relationships/hyperlink" Target="https://ref.ly/Deut6:5,Deut6:13,Deut6:24" TargetMode="External"/><Relationship Id="rId3872" Type="http://schemas.openxmlformats.org/officeDocument/2006/relationships/hyperlink" Target="https://ref.ly/Deut10:16" TargetMode="External"/><Relationship Id="rId3873" Type="http://schemas.openxmlformats.org/officeDocument/2006/relationships/hyperlink" Target="https://ref.ly/Josh5:2-Josh5:9" TargetMode="External"/><Relationship Id="rId3874" Type="http://schemas.openxmlformats.org/officeDocument/2006/relationships/hyperlink" Target="https://ref.ly/Lev26:40-Lev26:41" TargetMode="External"/><Relationship Id="rId3875" Type="http://schemas.openxmlformats.org/officeDocument/2006/relationships/hyperlink" Target="https://ref.ly/Jer4:4" TargetMode="External"/><Relationship Id="rId3876" Type="http://schemas.openxmlformats.org/officeDocument/2006/relationships/hyperlink" Target="https://ref.ly/Jer9:25" TargetMode="External"/><Relationship Id="rId3877" Type="http://schemas.openxmlformats.org/officeDocument/2006/relationships/hyperlink" Target="https://ref.ly/Rom2:29" TargetMode="External"/><Relationship Id="rId3878" Type="http://schemas.openxmlformats.org/officeDocument/2006/relationships/hyperlink" Target="https://ref.ly/Lev19:9-Lev19:18" TargetMode="External"/><Relationship Id="rId3879" Type="http://schemas.openxmlformats.org/officeDocument/2006/relationships/hyperlink" Target="https://ref.ly/Matt22:37-Matt22:39" TargetMode="External"/><Relationship Id="rId3880" Type="http://schemas.openxmlformats.org/officeDocument/2006/relationships/hyperlink" Target="https://ref.ly/Mark12:29-Mark12:31" TargetMode="External"/><Relationship Id="rId3881" Type="http://schemas.openxmlformats.org/officeDocument/2006/relationships/hyperlink" Target="https://ref.ly/Luke10:27-Luke10:28" TargetMode="External"/><Relationship Id="rId3882" Type="http://schemas.openxmlformats.org/officeDocument/2006/relationships/hyperlink" Target="https://ref.ly/Deut12:1-Deut14:21" TargetMode="External"/><Relationship Id="rId3883" Type="http://schemas.openxmlformats.org/officeDocument/2006/relationships/hyperlink" Target="https://ref.ly/Deut14:22-Deut15:23" TargetMode="External"/><Relationship Id="rId3884" Type="http://schemas.openxmlformats.org/officeDocument/2006/relationships/hyperlink" Target="https://ref.ly/Deut16:1-Deut16:17" TargetMode="External"/><Relationship Id="rId3885" Type="http://schemas.openxmlformats.org/officeDocument/2006/relationships/hyperlink" Target="https://ref.ly/Deut22:1-Deut26:19" TargetMode="External"/><Relationship Id="rId3886" Type="http://schemas.openxmlformats.org/officeDocument/2006/relationships/hyperlink" Target="https://ref.ly/Deut27:1-Deut30:20" TargetMode="External"/><Relationship Id="rId3887" Type="http://schemas.openxmlformats.org/officeDocument/2006/relationships/hyperlink" Target="https://ref.ly/Deut27:15-Deut27:26" TargetMode="External"/><Relationship Id="rId3888" Type="http://schemas.openxmlformats.org/officeDocument/2006/relationships/hyperlink" Target="https://ref.ly/Deut28:1-Deut28:68" TargetMode="External"/><Relationship Id="rId3889" Type="http://schemas.openxmlformats.org/officeDocument/2006/relationships/hyperlink" Target="https://ref.ly/Deut29:1-Deut29:29" TargetMode="External"/><Relationship Id="rId3890" Type="http://schemas.openxmlformats.org/officeDocument/2006/relationships/hyperlink" Target="https://ref.ly/Deut30:1-Deut30:20" TargetMode="External"/><Relationship Id="rId3891" Type="http://schemas.openxmlformats.org/officeDocument/2006/relationships/hyperlink" Target="https://ref.ly/Deut31:1-Deut31:29" TargetMode="External"/><Relationship Id="rId3892" Type="http://schemas.openxmlformats.org/officeDocument/2006/relationships/hyperlink" Target="https://ref.ly/Deut32:1-Deut32:47" TargetMode="External"/><Relationship Id="rId3893" Type="http://schemas.openxmlformats.org/officeDocument/2006/relationships/hyperlink" Target="https://ref.ly/Deut32:48-Deut32:52" TargetMode="External"/><Relationship Id="rId3894" Type="http://schemas.openxmlformats.org/officeDocument/2006/relationships/hyperlink" Target="https://ref.ly/Deut33:1-Deut33:29" TargetMode="External"/><Relationship Id="rId3895" Type="http://schemas.openxmlformats.org/officeDocument/2006/relationships/hyperlink" Target="https://ref.ly/Deut34:1-Deut34:12" TargetMode="External"/><Relationship Id="rId3896" Type="http://schemas.openxmlformats.org/officeDocument/2006/relationships/hyperlink" Target="https://ref.ly/Deut18:10,Deut18:14" TargetMode="External"/><Relationship Id="rId3897" Type="http://schemas.openxmlformats.org/officeDocument/2006/relationships/hyperlink" Target="https://ref.ly/2Kgs21:6" TargetMode="External"/><Relationship Id="rId3898" Type="http://schemas.openxmlformats.org/officeDocument/2006/relationships/hyperlink" Target="https://ref.ly/2Chr33:6" TargetMode="External"/><Relationship Id="rId3899" Type="http://schemas.openxmlformats.org/officeDocument/2006/relationships/hyperlink" Target="https://ref.ly/Isa2:6" TargetMode="External"/><Relationship Id="rId3900" Type="http://schemas.openxmlformats.org/officeDocument/2006/relationships/hyperlink" Target="https://ref.ly/Jer27:9" TargetMode="External"/><Relationship Id="rId3901" Type="http://schemas.openxmlformats.org/officeDocument/2006/relationships/hyperlink" Target="https://ref.ly/Acts16:16" TargetMode="External"/><Relationship Id="rId3902" Type="http://schemas.openxmlformats.org/officeDocument/2006/relationships/hyperlink" Target="https://ref.ly/Acts19:35" TargetMode="External"/><Relationship Id="rId3903" Type="http://schemas.openxmlformats.org/officeDocument/2006/relationships/hyperlink" Target="https://ref.ly/Acts19:23-Acts20:1" TargetMode="External"/><Relationship Id="rId3904" Type="http://schemas.openxmlformats.org/officeDocument/2006/relationships/hyperlink" Target="https://ref.ly/Acts19:28,Acts19:34" TargetMode="External"/><Relationship Id="rId3905" Type="http://schemas.openxmlformats.org/officeDocument/2006/relationships/hyperlink" Target="https://ref.ly/Jer25:34" TargetMode="External"/><Relationship Id="rId3906" Type="http://schemas.openxmlformats.org/officeDocument/2006/relationships/hyperlink" Target="https://ref.ly/Ezek20:23" TargetMode="External"/><Relationship Id="rId3907" Type="http://schemas.openxmlformats.org/officeDocument/2006/relationships/hyperlink" Target="https://ref.ly/Zeph3:10" TargetMode="External"/><Relationship Id="rId3908" Type="http://schemas.openxmlformats.org/officeDocument/2006/relationships/hyperlink" Target="https://ref.ly/Jas1:1" TargetMode="External"/><Relationship Id="rId3909" Type="http://schemas.openxmlformats.org/officeDocument/2006/relationships/hyperlink" Target="https://ref.ly/2Kgs17:14-2Kgs17:18" TargetMode="External"/><Relationship Id="rId3910" Type="http://schemas.openxmlformats.org/officeDocument/2006/relationships/hyperlink" Target="https://ref.ly/2Kgs10:31" TargetMode="External"/><Relationship Id="rId3911" Type="http://schemas.openxmlformats.org/officeDocument/2006/relationships/hyperlink" Target="https://ref.ly/2Kgs13:11" TargetMode="External"/><Relationship Id="rId3912" Type="http://schemas.openxmlformats.org/officeDocument/2006/relationships/hyperlink" Target="https://ref.ly/2Kgs14:24" TargetMode="External"/><Relationship Id="rId3913" Type="http://schemas.openxmlformats.org/officeDocument/2006/relationships/hyperlink" Target="https://ref.ly/2Kgs15:9,2Kgs15:18,2Kgs15:24,2Kgs15:28" TargetMode="External"/><Relationship Id="rId3914" Type="http://schemas.openxmlformats.org/officeDocument/2006/relationships/hyperlink" Target="https://ref.ly/2Kgs17:23" TargetMode="External"/><Relationship Id="rId3915" Type="http://schemas.openxmlformats.org/officeDocument/2006/relationships/hyperlink" Target="https://ref.ly/2Kgs17:6,2Kgs17:24" TargetMode="External"/><Relationship Id="rId3916" Type="http://schemas.openxmlformats.org/officeDocument/2006/relationships/hyperlink" Target="https://ref.ly/2Kgs24:12-2Kgs24:14" TargetMode="External"/><Relationship Id="rId3917" Type="http://schemas.openxmlformats.org/officeDocument/2006/relationships/hyperlink" Target="https://ref.ly/2Chr36:10" TargetMode="External"/><Relationship Id="rId3918" Type="http://schemas.openxmlformats.org/officeDocument/2006/relationships/hyperlink" Target="https://ref.ly/Jer52:29-Jer52:30" TargetMode="External"/><Relationship Id="rId3919" Type="http://schemas.openxmlformats.org/officeDocument/2006/relationships/hyperlink" Target="https://ref.ly/2Kgs25:1,2Kgs25:6-2Kgs25:7" TargetMode="External"/><Relationship Id="rId3920" Type="http://schemas.openxmlformats.org/officeDocument/2006/relationships/hyperlink" Target="https://ref.ly/Jer52:4-Jer52:11" TargetMode="External"/><Relationship Id="rId3921" Type="http://schemas.openxmlformats.org/officeDocument/2006/relationships/hyperlink" Target="https://ref.ly/2Kgs25:8-2Kgs25:21" TargetMode="External"/><Relationship Id="rId3922" Type="http://schemas.openxmlformats.org/officeDocument/2006/relationships/hyperlink" Target="https://ref.ly/Jer52:12-Jer52:16" TargetMode="External"/><Relationship Id="rId3923" Type="http://schemas.openxmlformats.org/officeDocument/2006/relationships/hyperlink" Target="https://ref.ly/1Kgs14:25-1Kgs14:26" TargetMode="External"/><Relationship Id="rId3924" Type="http://schemas.openxmlformats.org/officeDocument/2006/relationships/hyperlink" Target="https://ref.ly/2Chr12:9" TargetMode="External"/><Relationship Id="rId3925" Type="http://schemas.openxmlformats.org/officeDocument/2006/relationships/hyperlink" Target="https://ref.ly/Jer43:5-Jer44:30" TargetMode="External"/><Relationship Id="rId3926" Type="http://schemas.openxmlformats.org/officeDocument/2006/relationships/hyperlink" Target="https://ref.ly/Isa19:18-Isa19:19" TargetMode="External"/><Relationship Id="rId3927" Type="http://schemas.openxmlformats.org/officeDocument/2006/relationships/hyperlink" Target="https://ref.ly/Acts2:9-Acts2:11" TargetMode="External"/><Relationship Id="rId3928" Type="http://schemas.openxmlformats.org/officeDocument/2006/relationships/hyperlink" Target="https://ref.ly/Acts17:1,Acts17:10" TargetMode="External"/><Relationship Id="rId3929" Type="http://schemas.openxmlformats.org/officeDocument/2006/relationships/hyperlink" Target="https://ref.ly/Acts18:2-Acts18:4" TargetMode="External"/><Relationship Id="rId3930" Type="http://schemas.openxmlformats.org/officeDocument/2006/relationships/hyperlink" Target="https://ref.ly/Exod23:12-Exod23:17" TargetMode="External"/><Relationship Id="rId3931" Type="http://schemas.openxmlformats.org/officeDocument/2006/relationships/hyperlink" Target="https://ref.ly/Rom1:11-Rom1:15" TargetMode="External"/><Relationship Id="rId3932" Type="http://schemas.openxmlformats.org/officeDocument/2006/relationships/hyperlink" Target="https://ref.ly/1Cor10:11-1Cor10:12" TargetMode="External"/><Relationship Id="rId3933" Type="http://schemas.openxmlformats.org/officeDocument/2006/relationships/hyperlink" Target="https://ref.ly/1Pet2:9" TargetMode="External"/><Relationship Id="rId3934" Type="http://schemas.openxmlformats.org/officeDocument/2006/relationships/hyperlink" Target="https://ref.ly/Gen2:19-Gen2:20" TargetMode="External"/><Relationship Id="rId3935" Type="http://schemas.openxmlformats.org/officeDocument/2006/relationships/hyperlink" Target="https://ref.ly/Gen5:29" TargetMode="External"/><Relationship Id="rId3936" Type="http://schemas.openxmlformats.org/officeDocument/2006/relationships/hyperlink" Target="https://ref.ly/Matt1:21" TargetMode="External"/><Relationship Id="rId3937" Type="http://schemas.openxmlformats.org/officeDocument/2006/relationships/hyperlink" Target="https://ref.ly/Gen32:28" TargetMode="External"/><Relationship Id="rId3938" Type="http://schemas.openxmlformats.org/officeDocument/2006/relationships/hyperlink" Target="https://ref.ly/Exod15:1-Exod15:27" TargetMode="External"/><Relationship Id="rId3939" Type="http://schemas.openxmlformats.org/officeDocument/2006/relationships/hyperlink" Target="https://ref.ly/Ps19:1" TargetMode="External"/><Relationship Id="rId3940" Type="http://schemas.openxmlformats.org/officeDocument/2006/relationships/hyperlink" Target="https://ref.ly/Ps68:1-Ps68:35" TargetMode="External"/><Relationship Id="rId3941" Type="http://schemas.openxmlformats.org/officeDocument/2006/relationships/hyperlink" Target="https://ref.ly/Isa44:8" TargetMode="External"/><Relationship Id="rId3942" Type="http://schemas.openxmlformats.org/officeDocument/2006/relationships/hyperlink" Target="https://ref.ly/2Sam22:32" TargetMode="External"/><Relationship Id="rId3943" Type="http://schemas.openxmlformats.org/officeDocument/2006/relationships/hyperlink" Target="https://ref.ly/Deut32:15-Deut32:17" TargetMode="External"/><Relationship Id="rId3944" Type="http://schemas.openxmlformats.org/officeDocument/2006/relationships/hyperlink" Target="https://ref.ly/Gen14:18-Gen14:22" TargetMode="External"/><Relationship Id="rId3945" Type="http://schemas.openxmlformats.org/officeDocument/2006/relationships/hyperlink" Target="https://ref.ly/Ps57:2" TargetMode="External"/><Relationship Id="rId3946" Type="http://schemas.openxmlformats.org/officeDocument/2006/relationships/hyperlink" Target="https://ref.ly/Ps78:56" TargetMode="External"/><Relationship Id="rId3947" Type="http://schemas.openxmlformats.org/officeDocument/2006/relationships/hyperlink" Target="https://ref.ly/Num24:16" TargetMode="External"/><Relationship Id="rId3948" Type="http://schemas.openxmlformats.org/officeDocument/2006/relationships/hyperlink" Target="https://ref.ly/Ps83:18" TargetMode="External"/><Relationship Id="rId3949" Type="http://schemas.openxmlformats.org/officeDocument/2006/relationships/hyperlink" Target="https://ref.ly/Isa14:14" TargetMode="External"/><Relationship Id="rId3950" Type="http://schemas.openxmlformats.org/officeDocument/2006/relationships/hyperlink" Target="https://ref.ly/Gen28:3" TargetMode="External"/><Relationship Id="rId3951" Type="http://schemas.openxmlformats.org/officeDocument/2006/relationships/hyperlink" Target="https://ref.ly/Gen35:11" TargetMode="External"/><Relationship Id="rId3952" Type="http://schemas.openxmlformats.org/officeDocument/2006/relationships/hyperlink" Target="https://ref.ly/Gen43:14" TargetMode="External"/><Relationship Id="rId3953" Type="http://schemas.openxmlformats.org/officeDocument/2006/relationships/hyperlink" Target="https://ref.ly/Gen48:3" TargetMode="External"/><Relationship Id="rId3954" Type="http://schemas.openxmlformats.org/officeDocument/2006/relationships/hyperlink" Target="https://ref.ly/Exod6:3" TargetMode="External"/><Relationship Id="rId3955" Type="http://schemas.openxmlformats.org/officeDocument/2006/relationships/hyperlink" Target="https://ref.ly/Ezek10:5" TargetMode="External"/><Relationship Id="rId3956" Type="http://schemas.openxmlformats.org/officeDocument/2006/relationships/hyperlink" Target="https://ref.ly/Job30:1-Job30:31" TargetMode="External"/><Relationship Id="rId3957" Type="http://schemas.openxmlformats.org/officeDocument/2006/relationships/hyperlink" Target="https://ref.ly/Ps68:14" TargetMode="External"/><Relationship Id="rId3958" Type="http://schemas.openxmlformats.org/officeDocument/2006/relationships/hyperlink" Target="https://ref.ly/Ruth1:21" TargetMode="External"/><Relationship Id="rId3959" Type="http://schemas.openxmlformats.org/officeDocument/2006/relationships/hyperlink" Target="https://ref.ly/Isa13:6" TargetMode="External"/><Relationship Id="rId3960" Type="http://schemas.openxmlformats.org/officeDocument/2006/relationships/hyperlink" Target="https://ref.ly/Ezek1:24" TargetMode="External"/><Relationship Id="rId3961" Type="http://schemas.openxmlformats.org/officeDocument/2006/relationships/hyperlink" Target="https://ref.ly/Deut32:17" TargetMode="External"/><Relationship Id="rId3962" Type="http://schemas.openxmlformats.org/officeDocument/2006/relationships/hyperlink" Target="https://ref.ly/Ps106:37" TargetMode="External"/><Relationship Id="rId3963" Type="http://schemas.openxmlformats.org/officeDocument/2006/relationships/hyperlink" Target="https://ref.ly/Ps90:2" TargetMode="External"/><Relationship Id="rId3964" Type="http://schemas.openxmlformats.org/officeDocument/2006/relationships/hyperlink" Target="https://ref.ly/Isa40:28" TargetMode="External"/><Relationship Id="rId3965" Type="http://schemas.openxmlformats.org/officeDocument/2006/relationships/hyperlink" Target="https://ref.ly/Isa26:4" TargetMode="External"/><Relationship Id="rId3966" Type="http://schemas.openxmlformats.org/officeDocument/2006/relationships/hyperlink" Target="https://ref.ly/Jer10:10" TargetMode="External"/><Relationship Id="rId3967" Type="http://schemas.openxmlformats.org/officeDocument/2006/relationships/hyperlink" Target="https://ref.ly/Deut10:17" TargetMode="External"/><Relationship Id="rId3968" Type="http://schemas.openxmlformats.org/officeDocument/2006/relationships/hyperlink" Target="https://ref.ly/Jer32:18" TargetMode="External"/><Relationship Id="rId3969" Type="http://schemas.openxmlformats.org/officeDocument/2006/relationships/hyperlink" Target="https://ref.ly/Isa9:6" TargetMode="External"/><Relationship Id="rId3970" Type="http://schemas.openxmlformats.org/officeDocument/2006/relationships/hyperlink" Target="https://ref.ly/Ps45:4" TargetMode="External"/><Relationship Id="rId3971" Type="http://schemas.openxmlformats.org/officeDocument/2006/relationships/hyperlink" Target="https://ref.ly/Gen16:13" TargetMode="External"/><Relationship Id="rId3972" Type="http://schemas.openxmlformats.org/officeDocument/2006/relationships/hyperlink" Target="https://ref.ly/Ps139:1-Ps139:2" TargetMode="External"/><Relationship Id="rId3973" Type="http://schemas.openxmlformats.org/officeDocument/2006/relationships/hyperlink" Target="https://ref.ly/Ps33:18" TargetMode="External"/><Relationship Id="rId3974" Type="http://schemas.openxmlformats.org/officeDocument/2006/relationships/hyperlink" Target="https://ref.ly/Gen2:4" TargetMode="External"/><Relationship Id="rId3975" Type="http://schemas.openxmlformats.org/officeDocument/2006/relationships/hyperlink" Target="https://ref.ly/Exod15:2" TargetMode="External"/><Relationship Id="rId3976" Type="http://schemas.openxmlformats.org/officeDocument/2006/relationships/hyperlink" Target="https://ref.ly/Ps68:4" TargetMode="External"/><Relationship Id="rId3977" Type="http://schemas.openxmlformats.org/officeDocument/2006/relationships/hyperlink" Target="https://ref.ly/Isa12:2" TargetMode="External"/><Relationship Id="rId3978" Type="http://schemas.openxmlformats.org/officeDocument/2006/relationships/hyperlink" Target="https://ref.ly/Exod3:14" TargetMode="External"/><Relationship Id="rId3979" Type="http://schemas.openxmlformats.org/officeDocument/2006/relationships/hyperlink" Target="https://ref.ly/Lev24:16" TargetMode="External"/><Relationship Id="rId3980" Type="http://schemas.openxmlformats.org/officeDocument/2006/relationships/hyperlink" Target="https://ref.ly/Amos6:10" TargetMode="External"/><Relationship Id="rId3981" Type="http://schemas.openxmlformats.org/officeDocument/2006/relationships/hyperlink" Target="https://ref.ly/Exod6:2-Exod6:3" TargetMode="External"/><Relationship Id="rId3982" Type="http://schemas.openxmlformats.org/officeDocument/2006/relationships/hyperlink" Target="https://ref.ly/Exod34:5-Exod34:6" TargetMode="External"/><Relationship Id="rId3983" Type="http://schemas.openxmlformats.org/officeDocument/2006/relationships/hyperlink" Target="https://ref.ly/Gen49:18" TargetMode="External"/><Relationship Id="rId3984" Type="http://schemas.openxmlformats.org/officeDocument/2006/relationships/hyperlink" Target="https://ref.ly/Lev24:11,Lev24:16" TargetMode="External"/><Relationship Id="rId3985" Type="http://schemas.openxmlformats.org/officeDocument/2006/relationships/hyperlink" Target="https://ref.ly/Ps104:35" TargetMode="External"/><Relationship Id="rId3986" Type="http://schemas.openxmlformats.org/officeDocument/2006/relationships/hyperlink" Target="https://ref.ly/Ps106:1" TargetMode="External"/><Relationship Id="rId3987" Type="http://schemas.openxmlformats.org/officeDocument/2006/relationships/hyperlink" Target="https://ref.ly/Ps149:1" TargetMode="External"/><Relationship Id="rId3988" Type="http://schemas.openxmlformats.org/officeDocument/2006/relationships/hyperlink" Target="https://ref.ly/Ps150:1" TargetMode="External"/><Relationship Id="rId3989" Type="http://schemas.openxmlformats.org/officeDocument/2006/relationships/hyperlink" Target="https://ref.ly/Num10:14-Num10:28" TargetMode="External"/><Relationship Id="rId3990" Type="http://schemas.openxmlformats.org/officeDocument/2006/relationships/hyperlink" Target="https://ref.ly/Num8:24" TargetMode="External"/><Relationship Id="rId3991" Type="http://schemas.openxmlformats.org/officeDocument/2006/relationships/hyperlink" Target="https://ref.ly/Gen2:1" TargetMode="External"/><Relationship Id="rId3992" Type="http://schemas.openxmlformats.org/officeDocument/2006/relationships/hyperlink" Target="https://ref.ly/Ps33:6" TargetMode="External"/><Relationship Id="rId3993" Type="http://schemas.openxmlformats.org/officeDocument/2006/relationships/hyperlink" Target="https://ref.ly/1Sam1:3" TargetMode="External"/><Relationship Id="rId3994" Type="http://schemas.openxmlformats.org/officeDocument/2006/relationships/hyperlink" Target="https://ref.ly/1Sam12:9" TargetMode="External"/><Relationship Id="rId3995" Type="http://schemas.openxmlformats.org/officeDocument/2006/relationships/hyperlink" Target="https://ref.ly/1Sam14:50" TargetMode="External"/><Relationship Id="rId3996" Type="http://schemas.openxmlformats.org/officeDocument/2006/relationships/hyperlink" Target="https://ref.ly/1Sam17:55" TargetMode="External"/><Relationship Id="rId3997" Type="http://schemas.openxmlformats.org/officeDocument/2006/relationships/hyperlink" Target="https://ref.ly/2Sam2:8" TargetMode="External"/><Relationship Id="rId3998" Type="http://schemas.openxmlformats.org/officeDocument/2006/relationships/hyperlink" Target="https://ref.ly/2Sam8:16" TargetMode="External"/><Relationship Id="rId3999" Type="http://schemas.openxmlformats.org/officeDocument/2006/relationships/hyperlink" Target="https://ref.ly/2Sam10:16" TargetMode="External"/><Relationship Id="rId4000" Type="http://schemas.openxmlformats.org/officeDocument/2006/relationships/hyperlink" Target="https://ref.ly/Josh5:14-Josh5:15" TargetMode="External"/><Relationship Id="rId4001" Type="http://schemas.openxmlformats.org/officeDocument/2006/relationships/hyperlink" Target="https://ref.ly/2Sam6:18" TargetMode="External"/><Relationship Id="rId4002" Type="http://schemas.openxmlformats.org/officeDocument/2006/relationships/hyperlink" Target="https://ref.ly/Exod15:26" TargetMode="External"/><Relationship Id="rId4003" Type="http://schemas.openxmlformats.org/officeDocument/2006/relationships/hyperlink" Target="https://ref.ly/Ps103:3" TargetMode="External"/><Relationship Id="rId4004" Type="http://schemas.openxmlformats.org/officeDocument/2006/relationships/hyperlink" Target="https://ref.ly/Isa30:26" TargetMode="External"/><Relationship Id="rId4005" Type="http://schemas.openxmlformats.org/officeDocument/2006/relationships/hyperlink" Target="https://ref.ly/Jer6:14" TargetMode="External"/><Relationship Id="rId4006" Type="http://schemas.openxmlformats.org/officeDocument/2006/relationships/hyperlink" Target="https://ref.ly/Ezek34:1-Ezek34:31" TargetMode="External"/><Relationship Id="rId4007" Type="http://schemas.openxmlformats.org/officeDocument/2006/relationships/hyperlink" Target="https://ref.ly/Ezek34:15" TargetMode="External"/><Relationship Id="rId4008" Type="http://schemas.openxmlformats.org/officeDocument/2006/relationships/hyperlink" Target="https://ref.ly/Gen22:14" TargetMode="External"/><Relationship Id="rId4009" Type="http://schemas.openxmlformats.org/officeDocument/2006/relationships/hyperlink" Target="https://ref.ly/Jer23:6" TargetMode="External"/><Relationship Id="rId4010" Type="http://schemas.openxmlformats.org/officeDocument/2006/relationships/hyperlink" Target="https://ref.ly/Lev20:8" TargetMode="External"/><Relationship Id="rId4011" Type="http://schemas.openxmlformats.org/officeDocument/2006/relationships/hyperlink" Target="https://ref.ly/Lev22:9" TargetMode="External"/><Relationship Id="rId4012" Type="http://schemas.openxmlformats.org/officeDocument/2006/relationships/hyperlink" Target="https://ref.ly/Gen8:1-Gen8:22" TargetMode="External"/><Relationship Id="rId4013" Type="http://schemas.openxmlformats.org/officeDocument/2006/relationships/hyperlink" Target="https://ref.ly/Ps16:2" TargetMode="External"/><Relationship Id="rId4014" Type="http://schemas.openxmlformats.org/officeDocument/2006/relationships/hyperlink" Target="https://ref.ly/Ps57:9-Ps57:10" TargetMode="External"/><Relationship Id="rId4015" Type="http://schemas.openxmlformats.org/officeDocument/2006/relationships/hyperlink" Target="https://ref.ly/Judg5:3" TargetMode="External"/><Relationship Id="rId4016" Type="http://schemas.openxmlformats.org/officeDocument/2006/relationships/hyperlink" Target="https://ref.ly/Isa17:6" TargetMode="External"/><Relationship Id="rId4017" Type="http://schemas.openxmlformats.org/officeDocument/2006/relationships/hyperlink" Target="https://ref.ly/Isa43:14" TargetMode="External"/><Relationship Id="rId4018" Type="http://schemas.openxmlformats.org/officeDocument/2006/relationships/hyperlink" Target="https://ref.ly/Ps132:2" TargetMode="External"/><Relationship Id="rId4019" Type="http://schemas.openxmlformats.org/officeDocument/2006/relationships/hyperlink" Target="https://ref.ly/Isa49:26" TargetMode="External"/><Relationship Id="rId4020" Type="http://schemas.openxmlformats.org/officeDocument/2006/relationships/hyperlink" Target="https://ref.ly/Job38:28" TargetMode="External"/><Relationship Id="rId4021" Type="http://schemas.openxmlformats.org/officeDocument/2006/relationships/hyperlink" Target="https://ref.ly/Ps68:5" TargetMode="External"/><Relationship Id="rId4022" Type="http://schemas.openxmlformats.org/officeDocument/2006/relationships/hyperlink" Target="https://ref.ly/Ps89:26" TargetMode="External"/><Relationship Id="rId4023" Type="http://schemas.openxmlformats.org/officeDocument/2006/relationships/hyperlink" Target="https://ref.ly/Ps103:13" TargetMode="External"/><Relationship Id="rId4024" Type="http://schemas.openxmlformats.org/officeDocument/2006/relationships/hyperlink" Target="https://ref.ly/Isa63:16" TargetMode="External"/><Relationship Id="rId4025" Type="http://schemas.openxmlformats.org/officeDocument/2006/relationships/hyperlink" Target="https://ref.ly/Isa64:8" TargetMode="External"/><Relationship Id="rId4026" Type="http://schemas.openxmlformats.org/officeDocument/2006/relationships/hyperlink" Target="https://ref.ly/Jer3:4,Jer3:19" TargetMode="External"/><Relationship Id="rId4027" Type="http://schemas.openxmlformats.org/officeDocument/2006/relationships/hyperlink" Target="https://ref.ly/Mal1:6" TargetMode="External"/><Relationship Id="rId4028" Type="http://schemas.openxmlformats.org/officeDocument/2006/relationships/hyperlink" Target="https://ref.ly/Mal2:10" TargetMode="External"/><Relationship Id="rId4029" Type="http://schemas.openxmlformats.org/officeDocument/2006/relationships/hyperlink" Target="https://ref.ly/Ps2:1-Ps2:12" TargetMode="External"/><Relationship Id="rId4030" Type="http://schemas.openxmlformats.org/officeDocument/2006/relationships/hyperlink" Target="https://ref.ly/Heb1:8" TargetMode="External"/><Relationship Id="rId4031" Type="http://schemas.openxmlformats.org/officeDocument/2006/relationships/hyperlink" Target="https://ref.ly/Ps45:6" TargetMode="External"/><Relationship Id="rId4032" Type="http://schemas.openxmlformats.org/officeDocument/2006/relationships/hyperlink" Target="https://ref.ly/Isa7:14" TargetMode="External"/><Relationship Id="rId4033" Type="http://schemas.openxmlformats.org/officeDocument/2006/relationships/hyperlink" Target="https://ref.ly/Isa61:1" TargetMode="External"/><Relationship Id="rId4034" Type="http://schemas.openxmlformats.org/officeDocument/2006/relationships/hyperlink" Target="https://ref.ly/Ezek37:1" TargetMode="External"/><Relationship Id="rId4035" Type="http://schemas.openxmlformats.org/officeDocument/2006/relationships/hyperlink" Target="https://ref.ly/Num11:17" TargetMode="External"/><Relationship Id="rId4036" Type="http://schemas.openxmlformats.org/officeDocument/2006/relationships/hyperlink" Target="https://ref.ly/Num27:18" TargetMode="External"/><Relationship Id="rId4037" Type="http://schemas.openxmlformats.org/officeDocument/2006/relationships/hyperlink" Target="https://ref.ly/Ps51:11" TargetMode="External"/><Relationship Id="rId4038" Type="http://schemas.openxmlformats.org/officeDocument/2006/relationships/hyperlink" Target="https://ref.ly/Exod35:31" TargetMode="External"/><Relationship Id="rId4039" Type="http://schemas.openxmlformats.org/officeDocument/2006/relationships/hyperlink" Target="https://ref.ly/1Sam10:6" TargetMode="External"/><Relationship Id="rId4040" Type="http://schemas.openxmlformats.org/officeDocument/2006/relationships/hyperlink" Target="https://ref.ly/2Sam23:2" TargetMode="External"/><Relationship Id="rId4041" Type="http://schemas.openxmlformats.org/officeDocument/2006/relationships/hyperlink" Target="https://ref.ly/2Chr15:1" TargetMode="External"/><Relationship Id="rId4042" Type="http://schemas.openxmlformats.org/officeDocument/2006/relationships/hyperlink" Target="https://ref.ly/Ezek11:5" TargetMode="External"/><Relationship Id="rId4043" Type="http://schemas.openxmlformats.org/officeDocument/2006/relationships/hyperlink" Target="https://ref.ly/Mark5:7" TargetMode="External"/><Relationship Id="rId4044" Type="http://schemas.openxmlformats.org/officeDocument/2006/relationships/hyperlink" Target="https://ref.ly/Luke1:32,Luke1:76" TargetMode="External"/><Relationship Id="rId4045" Type="http://schemas.openxmlformats.org/officeDocument/2006/relationships/hyperlink" Target="https://ref.ly/2Cor6:18" TargetMode="External"/><Relationship Id="rId4046" Type="http://schemas.openxmlformats.org/officeDocument/2006/relationships/hyperlink" Target="https://ref.ly/Rev16:7" TargetMode="External"/><Relationship Id="rId4047" Type="http://schemas.openxmlformats.org/officeDocument/2006/relationships/hyperlink" Target="https://ref.ly/Luke2:29" TargetMode="External"/><Relationship Id="rId4048" Type="http://schemas.openxmlformats.org/officeDocument/2006/relationships/hyperlink" Target="https://ref.ly/Acts4:24" TargetMode="External"/><Relationship Id="rId4049" Type="http://schemas.openxmlformats.org/officeDocument/2006/relationships/hyperlink" Target="https://ref.ly/Jude1:4" TargetMode="External"/><Relationship Id="rId4050" Type="http://schemas.openxmlformats.org/officeDocument/2006/relationships/hyperlink" Target="https://ref.ly/Rev6:10" TargetMode="External"/><Relationship Id="rId4051" Type="http://schemas.openxmlformats.org/officeDocument/2006/relationships/hyperlink" Target="https://ref.ly/2Tim2:21" TargetMode="External"/><Relationship Id="rId4052" Type="http://schemas.openxmlformats.org/officeDocument/2006/relationships/hyperlink" Target="https://ref.ly/Isa45:18,Isa45:21-Isa45:22" TargetMode="External"/><Relationship Id="rId4053" Type="http://schemas.openxmlformats.org/officeDocument/2006/relationships/hyperlink" Target="https://ref.ly/Mark12:32" TargetMode="External"/><Relationship Id="rId4054" Type="http://schemas.openxmlformats.org/officeDocument/2006/relationships/hyperlink" Target="https://ref.ly/1Sam7:3" TargetMode="External"/><Relationship Id="rId4055" Type="http://schemas.openxmlformats.org/officeDocument/2006/relationships/hyperlink" Target="https://ref.ly/2Kgs17:31" TargetMode="External"/><Relationship Id="rId4056" Type="http://schemas.openxmlformats.org/officeDocument/2006/relationships/hyperlink" Target="https://ref.ly/Isa46:1" TargetMode="External"/><Relationship Id="rId4057" Type="http://schemas.openxmlformats.org/officeDocument/2006/relationships/hyperlink" Target="https://ref.ly/Jer50:2" TargetMode="External"/><Relationship Id="rId4058" Type="http://schemas.openxmlformats.org/officeDocument/2006/relationships/hyperlink" Target="https://ref.ly/Jer51:44" TargetMode="External"/><Relationship Id="rId4059" Type="http://schemas.openxmlformats.org/officeDocument/2006/relationships/hyperlink" Target="https://ref.ly/Amos5:26" TargetMode="External"/><Relationship Id="rId4060" Type="http://schemas.openxmlformats.org/officeDocument/2006/relationships/hyperlink" Target="https://ref.ly/Acts7:43" TargetMode="External"/><Relationship Id="rId4061" Type="http://schemas.openxmlformats.org/officeDocument/2006/relationships/hyperlink" Target="https://ref.ly/2Kgs17:30" TargetMode="External"/><Relationship Id="rId4062" Type="http://schemas.openxmlformats.org/officeDocument/2006/relationships/hyperlink" Target="https://ref.ly/Ezek8:14" TargetMode="External"/><Relationship Id="rId4063" Type="http://schemas.openxmlformats.org/officeDocument/2006/relationships/hyperlink" Target="https://ref.ly/2Kgs5:18" TargetMode="External"/><Relationship Id="rId4064" Type="http://schemas.openxmlformats.org/officeDocument/2006/relationships/hyperlink" Target="https://ref.ly/Zech12:11" TargetMode="External"/><Relationship Id="rId4065" Type="http://schemas.openxmlformats.org/officeDocument/2006/relationships/hyperlink" Target="https://ref.ly/1Kgs11:5-1Kgs11:7,1Kgs11:33" TargetMode="External"/><Relationship Id="rId4066" Type="http://schemas.openxmlformats.org/officeDocument/2006/relationships/hyperlink" Target="https://ref.ly/2Kgs23:13" TargetMode="External"/><Relationship Id="rId4067" Type="http://schemas.openxmlformats.org/officeDocument/2006/relationships/hyperlink" Target="https://ref.ly/Num21:29" TargetMode="External"/><Relationship Id="rId4068" Type="http://schemas.openxmlformats.org/officeDocument/2006/relationships/hyperlink" Target="https://ref.ly/Num25:3-Num25:5" TargetMode="External"/><Relationship Id="rId4069" Type="http://schemas.openxmlformats.org/officeDocument/2006/relationships/hyperlink" Target="https://ref.ly/Judg16:23" TargetMode="External"/><Relationship Id="rId4070" Type="http://schemas.openxmlformats.org/officeDocument/2006/relationships/hyperlink" Target="https://ref.ly/2Kgs1:2-2Kgs1:3,2Kgs1:6,2Kgs1:16" TargetMode="External"/><Relationship Id="rId4071" Type="http://schemas.openxmlformats.org/officeDocument/2006/relationships/hyperlink" Target="https://ref.ly/2Kgs1:2-2Kgs1:3" TargetMode="External"/><Relationship Id="rId4072" Type="http://schemas.openxmlformats.org/officeDocument/2006/relationships/hyperlink" Target="https://ref.ly/Matt12:24" TargetMode="External"/><Relationship Id="rId4073" Type="http://schemas.openxmlformats.org/officeDocument/2006/relationships/hyperlink" Target="https://ref.ly/Luke11:15" TargetMode="External"/><Relationship Id="rId4074" Type="http://schemas.openxmlformats.org/officeDocument/2006/relationships/hyperlink" Target="https://ref.ly/Judg3:7-Judg3:8" TargetMode="External"/><Relationship Id="rId4075" Type="http://schemas.openxmlformats.org/officeDocument/2006/relationships/hyperlink" Target="https://ref.ly/1Kgs11:5,1Kgs11:33" TargetMode="External"/><Relationship Id="rId4076" Type="http://schemas.openxmlformats.org/officeDocument/2006/relationships/hyperlink" Target="https://ref.ly/Jer7:18" TargetMode="External"/><Relationship Id="rId4077" Type="http://schemas.openxmlformats.org/officeDocument/2006/relationships/hyperlink" Target="https://ref.ly/Jer44:17-Jer44:19,Jer44:25" TargetMode="External"/><Relationship Id="rId4078" Type="http://schemas.openxmlformats.org/officeDocument/2006/relationships/hyperlink" Target="https://ref.ly/Jer46:25" TargetMode="External"/><Relationship Id="rId4079" Type="http://schemas.openxmlformats.org/officeDocument/2006/relationships/hyperlink" Target="https://ref.ly/Jer46:15" TargetMode="External"/><Relationship Id="rId4080" Type="http://schemas.openxmlformats.org/officeDocument/2006/relationships/hyperlink" Target="https://ref.ly/Acts19:24-Acts19:28,Acts19:34-Acts19:35" TargetMode="External"/><Relationship Id="rId4081" Type="http://schemas.openxmlformats.org/officeDocument/2006/relationships/hyperlink" Target="https://ref.ly/Acts14:12-Acts14:13" TargetMode="External"/><Relationship Id="rId4082" Type="http://schemas.openxmlformats.org/officeDocument/2006/relationships/hyperlink" Target="https://ref.ly/Jer2:11" TargetMode="External"/><Relationship Id="rId4083" Type="http://schemas.openxmlformats.org/officeDocument/2006/relationships/hyperlink" Target="https://ref.ly/Jer2:28" TargetMode="External"/><Relationship Id="rId4084" Type="http://schemas.openxmlformats.org/officeDocument/2006/relationships/hyperlink" Target="https://ref.ly/Jer16:20" TargetMode="External"/><Relationship Id="rId4085" Type="http://schemas.openxmlformats.org/officeDocument/2006/relationships/hyperlink" Target="https://ref.ly/Jer5:7" TargetMode="External"/><Relationship Id="rId4086" Type="http://schemas.openxmlformats.org/officeDocument/2006/relationships/hyperlink" Target="https://ref.ly/1Cor8:4" TargetMode="External"/><Relationship Id="rId4087" Type="http://schemas.openxmlformats.org/officeDocument/2006/relationships/hyperlink" Target="https://ref.ly/Acts19:26" TargetMode="External"/><Relationship Id="rId4088" Type="http://schemas.openxmlformats.org/officeDocument/2006/relationships/hyperlink" Target="https://ref.ly/Exod15:11" TargetMode="External"/><Relationship Id="rId4089" Type="http://schemas.openxmlformats.org/officeDocument/2006/relationships/hyperlink" Target="https://ref.ly/Exod18:11" TargetMode="External"/><Relationship Id="rId4090" Type="http://schemas.openxmlformats.org/officeDocument/2006/relationships/hyperlink" Target="https://ref.ly/1Chr16:25" TargetMode="External"/><Relationship Id="rId4091" Type="http://schemas.openxmlformats.org/officeDocument/2006/relationships/hyperlink" Target="https://ref.ly/2Chr2:5" TargetMode="External"/><Relationship Id="rId4092" Type="http://schemas.openxmlformats.org/officeDocument/2006/relationships/hyperlink" Target="https://ref.ly/Ps86:8" TargetMode="External"/><Relationship Id="rId4093" Type="http://schemas.openxmlformats.org/officeDocument/2006/relationships/hyperlink" Target="https://ref.ly/Ps95:3" TargetMode="External"/><Relationship Id="rId4094" Type="http://schemas.openxmlformats.org/officeDocument/2006/relationships/hyperlink" Target="https://ref.ly/Ps96:4-Ps96:5" TargetMode="External"/><Relationship Id="rId4095" Type="http://schemas.openxmlformats.org/officeDocument/2006/relationships/hyperlink" Target="https://ref.ly/Ps97:7-Ps97:9" TargetMode="External"/><Relationship Id="rId4096" Type="http://schemas.openxmlformats.org/officeDocument/2006/relationships/hyperlink" Target="https://ref.ly/Ps135:5,Ps135:136" TargetMode="External"/><Relationship Id="rId4097" Type="http://schemas.openxmlformats.org/officeDocument/2006/relationships/hyperlink" Target="https://ref.ly/Dan2:47" TargetMode="External"/><Relationship Id="rId4098" Type="http://schemas.openxmlformats.org/officeDocument/2006/relationships/hyperlink" Target="https://ref.ly/Zeph2:11" TargetMode="External"/><Relationship Id="rId4099" Type="http://schemas.openxmlformats.org/officeDocument/2006/relationships/hyperlink" Target="https://ref.ly/Exod20:3" TargetMode="External"/><Relationship Id="rId4100" Type="http://schemas.openxmlformats.org/officeDocument/2006/relationships/hyperlink" Target="https://ref.ly/Deut5:7" TargetMode="External"/><Relationship Id="rId4101" Type="http://schemas.openxmlformats.org/officeDocument/2006/relationships/hyperlink" Target="https://ref.ly/Exod20:4,Exod20:23" TargetMode="External"/><Relationship Id="rId4102" Type="http://schemas.openxmlformats.org/officeDocument/2006/relationships/hyperlink" Target="https://ref.ly/Lev19:4" TargetMode="External"/><Relationship Id="rId4103" Type="http://schemas.openxmlformats.org/officeDocument/2006/relationships/hyperlink" Target="https://ref.ly/Deut5:8" TargetMode="External"/><Relationship Id="rId4104" Type="http://schemas.openxmlformats.org/officeDocument/2006/relationships/hyperlink" Target="https://ref.ly/Exod23:13" TargetMode="External"/><Relationship Id="rId4105" Type="http://schemas.openxmlformats.org/officeDocument/2006/relationships/hyperlink" Target="https://ref.ly/Josh23:7" TargetMode="External"/><Relationship Id="rId4106" Type="http://schemas.openxmlformats.org/officeDocument/2006/relationships/hyperlink" Target="https://ref.ly/Gen31:32" TargetMode="External"/><Relationship Id="rId4107" Type="http://schemas.openxmlformats.org/officeDocument/2006/relationships/hyperlink" Target="https://ref.ly/Exod32:1-Exod32:4,Exod32:8,Exod32:23,Exod32:31" TargetMode="External"/><Relationship Id="rId4108" Type="http://schemas.openxmlformats.org/officeDocument/2006/relationships/hyperlink" Target="https://ref.ly/Exod34:15" TargetMode="External"/><Relationship Id="rId4109" Type="http://schemas.openxmlformats.org/officeDocument/2006/relationships/hyperlink" Target="https://ref.ly/Hos11:2" TargetMode="External"/><Relationship Id="rId4110" Type="http://schemas.openxmlformats.org/officeDocument/2006/relationships/hyperlink" Target="https://ref.ly/2Kgs17:7-2Kgs17:18" TargetMode="External"/><Relationship Id="rId4111" Type="http://schemas.openxmlformats.org/officeDocument/2006/relationships/hyperlink" Target="https://ref.ly/2Kgs22:17" TargetMode="External"/><Relationship Id="rId4112" Type="http://schemas.openxmlformats.org/officeDocument/2006/relationships/hyperlink" Target="https://ref.ly/Deut29:25-Deut29:28" TargetMode="External"/><Relationship Id="rId4113" Type="http://schemas.openxmlformats.org/officeDocument/2006/relationships/hyperlink" Target="https://ref.ly/Josh24:15" TargetMode="External"/><Relationship Id="rId4114" Type="http://schemas.openxmlformats.org/officeDocument/2006/relationships/hyperlink" Target="https://ref.ly/Gen10:27" TargetMode="External"/><Relationship Id="rId4115" Type="http://schemas.openxmlformats.org/officeDocument/2006/relationships/hyperlink" Target="https://ref.ly/1Chr1:21" TargetMode="External"/><Relationship Id="rId4116" Type="http://schemas.openxmlformats.org/officeDocument/2006/relationships/hyperlink" Target="https://ref.ly/Gen14:20" TargetMode="External"/><Relationship Id="rId4117" Type="http://schemas.openxmlformats.org/officeDocument/2006/relationships/hyperlink" Target="https://ref.ly/Deut12:2-Deut12:7,Deut12:17-Deut12:19" TargetMode="External"/><Relationship Id="rId4118" Type="http://schemas.openxmlformats.org/officeDocument/2006/relationships/hyperlink" Target="https://ref.ly/Deut12:2-Deut12:7" TargetMode="External"/><Relationship Id="rId4119" Type="http://schemas.openxmlformats.org/officeDocument/2006/relationships/hyperlink" Target="https://ref.ly/Deut14:22-Deut14:29" TargetMode="External"/><Relationship Id="rId4120" Type="http://schemas.openxmlformats.org/officeDocument/2006/relationships/hyperlink" Target="https://ref.ly/Deut26:12" TargetMode="External"/><Relationship Id="rId4121" Type="http://schemas.openxmlformats.org/officeDocument/2006/relationships/hyperlink" Target="https://ref.ly/Num18:21-Num18:32" TargetMode="External"/><Relationship Id="rId4122" Type="http://schemas.openxmlformats.org/officeDocument/2006/relationships/hyperlink" Target="https://ref.ly/Mal3:8-Mal3:10" TargetMode="External"/><Relationship Id="rId4123" Type="http://schemas.openxmlformats.org/officeDocument/2006/relationships/hyperlink" Target="https://ref.ly/Gen28:22" TargetMode="External"/><Relationship Id="rId4124" Type="http://schemas.openxmlformats.org/officeDocument/2006/relationships/hyperlink" Target="https://ref.ly/Heb7:1-Heb7:28" TargetMode="External"/><Relationship Id="rId4125" Type="http://schemas.openxmlformats.org/officeDocument/2006/relationships/hyperlink" Target="https://ref.ly/Matt23:23" TargetMode="External"/><Relationship Id="rId4126" Type="http://schemas.openxmlformats.org/officeDocument/2006/relationships/hyperlink" Target="https://ref.ly/Luke11:42" TargetMode="External"/><Relationship Id="rId4127" Type="http://schemas.openxmlformats.org/officeDocument/2006/relationships/hyperlink" Target="https://ref.ly/Luke18:12" TargetMode="External"/><Relationship Id="rId4128" Type="http://schemas.openxmlformats.org/officeDocument/2006/relationships/hyperlink" Target="https://ref.ly/Gen30:21" TargetMode="External"/><Relationship Id="rId4129" Type="http://schemas.openxmlformats.org/officeDocument/2006/relationships/hyperlink" Target="https://ref.ly/Gen33:18" TargetMode="External"/><Relationship Id="rId4130" Type="http://schemas.openxmlformats.org/officeDocument/2006/relationships/hyperlink" Target="https://ref.ly/Gen34:1" TargetMode="External"/><Relationship Id="rId4131" Type="http://schemas.openxmlformats.org/officeDocument/2006/relationships/hyperlink" Target="https://ref.ly/Gen34:27-Gen34:31" TargetMode="External"/><Relationship Id="rId4132" Type="http://schemas.openxmlformats.org/officeDocument/2006/relationships/hyperlink" Target="https://ref.ly/Gen49:5" TargetMode="External"/><Relationship Id="rId4133" Type="http://schemas.openxmlformats.org/officeDocument/2006/relationships/hyperlink" Target="https://ref.ly/1Chr1:43" TargetMode="External"/><Relationship Id="rId4134" Type="http://schemas.openxmlformats.org/officeDocument/2006/relationships/hyperlink" Target="https://ref.ly/2Chr7:18" TargetMode="External"/><Relationship Id="rId4135" Type="http://schemas.openxmlformats.org/officeDocument/2006/relationships/hyperlink" Target="https://ref.ly/Ps105:20" TargetMode="External"/><Relationship Id="rId4136" Type="http://schemas.openxmlformats.org/officeDocument/2006/relationships/hyperlink" Target="https://ref.ly/Prov23:1" TargetMode="External"/><Relationship Id="rId4137" Type="http://schemas.openxmlformats.org/officeDocument/2006/relationships/hyperlink" Target="https://ref.ly/Prov28:15" TargetMode="External"/><Relationship Id="rId4138" Type="http://schemas.openxmlformats.org/officeDocument/2006/relationships/hyperlink" Target="https://ref.ly/Eccl10:4" TargetMode="External"/><Relationship Id="rId4139" Type="http://schemas.openxmlformats.org/officeDocument/2006/relationships/hyperlink" Target="https://ref.ly/Isa14:5" TargetMode="External"/><Relationship Id="rId4140" Type="http://schemas.openxmlformats.org/officeDocument/2006/relationships/hyperlink" Target="https://ref.ly/Isa16:1" TargetMode="External"/><Relationship Id="rId4141" Type="http://schemas.openxmlformats.org/officeDocument/2006/relationships/hyperlink" Target="https://ref.ly/Isa49:7" TargetMode="External"/><Relationship Id="rId4142" Type="http://schemas.openxmlformats.org/officeDocument/2006/relationships/hyperlink" Target="https://ref.ly/Jer33:26" TargetMode="External"/><Relationship Id="rId4143" Type="http://schemas.openxmlformats.org/officeDocument/2006/relationships/hyperlink" Target="https://ref.ly/Jer51:46" TargetMode="External"/><Relationship Id="rId4144" Type="http://schemas.openxmlformats.org/officeDocument/2006/relationships/hyperlink" Target="https://ref.ly/Judg15:11" TargetMode="External"/><Relationship Id="rId4145" Type="http://schemas.openxmlformats.org/officeDocument/2006/relationships/hyperlink" Target="https://ref.ly/1Sam9:16" TargetMode="External"/><Relationship Id="rId4146" Type="http://schemas.openxmlformats.org/officeDocument/2006/relationships/hyperlink" Target="https://ref.ly/1Sam25:30" TargetMode="External"/><Relationship Id="rId4147" Type="http://schemas.openxmlformats.org/officeDocument/2006/relationships/hyperlink" Target="https://ref.ly/2Sam5:2" TargetMode="External"/><Relationship Id="rId4148" Type="http://schemas.openxmlformats.org/officeDocument/2006/relationships/hyperlink" Target="https://ref.ly/2Sam6:21" TargetMode="External"/><Relationship Id="rId4149" Type="http://schemas.openxmlformats.org/officeDocument/2006/relationships/hyperlink" Target="https://ref.ly/2Sam7:8" TargetMode="External"/><Relationship Id="rId4150" Type="http://schemas.openxmlformats.org/officeDocument/2006/relationships/hyperlink" Target="https://ref.ly/Matt9:18,Matt9:23" TargetMode="External"/><Relationship Id="rId4151" Type="http://schemas.openxmlformats.org/officeDocument/2006/relationships/hyperlink" Target="https://ref.ly/Luke8:41" TargetMode="External"/><Relationship Id="rId4152" Type="http://schemas.openxmlformats.org/officeDocument/2006/relationships/hyperlink" Target="https://ref.ly/Luke18:18" TargetMode="External"/><Relationship Id="rId4153" Type="http://schemas.openxmlformats.org/officeDocument/2006/relationships/hyperlink" Target="https://ref.ly/Luke23:35" TargetMode="External"/><Relationship Id="rId4154" Type="http://schemas.openxmlformats.org/officeDocument/2006/relationships/hyperlink" Target="https://ref.ly/Luke24:20" TargetMode="External"/><Relationship Id="rId4155" Type="http://schemas.openxmlformats.org/officeDocument/2006/relationships/hyperlink" Target="https://ref.ly/John3:1" TargetMode="External"/><Relationship Id="rId4156" Type="http://schemas.openxmlformats.org/officeDocument/2006/relationships/hyperlink" Target="https://ref.ly/John7:26,John7:48" TargetMode="External"/><Relationship Id="rId4157" Type="http://schemas.openxmlformats.org/officeDocument/2006/relationships/hyperlink" Target="https://ref.ly/John12:31" TargetMode="External"/><Relationship Id="rId4158" Type="http://schemas.openxmlformats.org/officeDocument/2006/relationships/hyperlink" Target="https://ref.ly/Acts3:17" TargetMode="External"/><Relationship Id="rId4159" Type="http://schemas.openxmlformats.org/officeDocument/2006/relationships/hyperlink" Target="https://ref.ly/Acts4:5,Acts4:26" TargetMode="External"/><Relationship Id="rId4160" Type="http://schemas.openxmlformats.org/officeDocument/2006/relationships/hyperlink" Target="https://ref.ly/Acts7:27,Acts7:35" TargetMode="External"/><Relationship Id="rId4161" Type="http://schemas.openxmlformats.org/officeDocument/2006/relationships/hyperlink" Target="https://ref.ly/Acts13:27" TargetMode="External"/><Relationship Id="rId4162" Type="http://schemas.openxmlformats.org/officeDocument/2006/relationships/hyperlink" Target="https://ref.ly/Acts14:5" TargetMode="External"/><Relationship Id="rId4163" Type="http://schemas.openxmlformats.org/officeDocument/2006/relationships/hyperlink" Target="https://ref.ly/Acts16:19" TargetMode="External"/><Relationship Id="rId4164" Type="http://schemas.openxmlformats.org/officeDocument/2006/relationships/hyperlink" Target="https://ref.ly/Acts23:5" TargetMode="External"/><Relationship Id="rId4165" Type="http://schemas.openxmlformats.org/officeDocument/2006/relationships/hyperlink" Target="https://ref.ly/Gen36:21" TargetMode="External"/><Relationship Id="rId4166" Type="http://schemas.openxmlformats.org/officeDocument/2006/relationships/hyperlink" Target="https://ref.ly/1Chr1:38" TargetMode="External"/><Relationship Id="rId4167" Type="http://schemas.openxmlformats.org/officeDocument/2006/relationships/hyperlink" Target="https://ref.ly/Deut2:12" TargetMode="External"/><Relationship Id="rId4168" Type="http://schemas.openxmlformats.org/officeDocument/2006/relationships/hyperlink" Target="https://ref.ly/Gen36:25" TargetMode="External"/><Relationship Id="rId4169" Type="http://schemas.openxmlformats.org/officeDocument/2006/relationships/hyperlink" Target="https://ref.ly/1Chr1:41" TargetMode="External"/><Relationship Id="rId4170" Type="http://schemas.openxmlformats.org/officeDocument/2006/relationships/hyperlink" Target="https://ref.ly/Isa8:16" TargetMode="External"/><Relationship Id="rId4171" Type="http://schemas.openxmlformats.org/officeDocument/2006/relationships/hyperlink" Target="https://ref.ly/Isa50:4" TargetMode="External"/><Relationship Id="rId4172" Type="http://schemas.openxmlformats.org/officeDocument/2006/relationships/hyperlink" Target="https://ref.ly/Isa54:13" TargetMode="External"/><Relationship Id="rId4173" Type="http://schemas.openxmlformats.org/officeDocument/2006/relationships/hyperlink" Target="https://ref.ly/Mark2:18" TargetMode="External"/><Relationship Id="rId4174" Type="http://schemas.openxmlformats.org/officeDocument/2006/relationships/hyperlink" Target="https://ref.ly/Luke5:33" TargetMode="External"/><Relationship Id="rId4175" Type="http://schemas.openxmlformats.org/officeDocument/2006/relationships/hyperlink" Target="https://ref.ly/Matt9:14" TargetMode="External"/><Relationship Id="rId4176" Type="http://schemas.openxmlformats.org/officeDocument/2006/relationships/hyperlink" Target="https://ref.ly/Luke11:1" TargetMode="External"/><Relationship Id="rId4177" Type="http://schemas.openxmlformats.org/officeDocument/2006/relationships/hyperlink" Target="https://ref.ly/Mark10:21" TargetMode="External"/><Relationship Id="rId4178" Type="http://schemas.openxmlformats.org/officeDocument/2006/relationships/hyperlink" Target="https://ref.ly/Matt16:21" TargetMode="External"/><Relationship Id="rId4179" Type="http://schemas.openxmlformats.org/officeDocument/2006/relationships/hyperlink" Target="https://ref.ly/Matt28:9" TargetMode="External"/><Relationship Id="rId4180" Type="http://schemas.openxmlformats.org/officeDocument/2006/relationships/hyperlink" Target="https://ref.ly/John16:12" TargetMode="External"/><Relationship Id="rId4181" Type="http://schemas.openxmlformats.org/officeDocument/2006/relationships/hyperlink" Target="https://ref.ly/Matt26:20" TargetMode="External"/><Relationship Id="rId4182" Type="http://schemas.openxmlformats.org/officeDocument/2006/relationships/hyperlink" Target="https://ref.ly/Luke10:1" TargetMode="External"/><Relationship Id="rId4183" Type="http://schemas.openxmlformats.org/officeDocument/2006/relationships/hyperlink" Target="https://ref.ly/Luke10:1-Luke10:11" TargetMode="External"/><Relationship Id="rId4184" Type="http://schemas.openxmlformats.org/officeDocument/2006/relationships/hyperlink" Target="https://ref.ly/Matt10:1" TargetMode="External"/><Relationship Id="rId4185" Type="http://schemas.openxmlformats.org/officeDocument/2006/relationships/hyperlink" Target="https://ref.ly/Acts1:26" TargetMode="External"/><Relationship Id="rId4186" Type="http://schemas.openxmlformats.org/officeDocument/2006/relationships/hyperlink" Target="https://ref.ly/Matt16:19" TargetMode="External"/><Relationship Id="rId4187" Type="http://schemas.openxmlformats.org/officeDocument/2006/relationships/hyperlink" Target="https://ref.ly/Matt28:16-Matt28:20" TargetMode="External"/><Relationship Id="rId4188" Type="http://schemas.openxmlformats.org/officeDocument/2006/relationships/hyperlink" Target="https://ref.ly/Luke22:24-Luke22:30" TargetMode="External"/><Relationship Id="rId4189" Type="http://schemas.openxmlformats.org/officeDocument/2006/relationships/hyperlink" Target="https://ref.ly/Gal1:12,Gal1:16" TargetMode="External"/><Relationship Id="rId4190" Type="http://schemas.openxmlformats.org/officeDocument/2006/relationships/hyperlink" Target="https://ref.ly/Matt28:19" TargetMode="External"/><Relationship Id="rId4191" Type="http://schemas.openxmlformats.org/officeDocument/2006/relationships/hyperlink" Target="https://ref.ly/Acts6:1-Acts6:2,Acts6:7" TargetMode="External"/><Relationship Id="rId4192" Type="http://schemas.openxmlformats.org/officeDocument/2006/relationships/hyperlink" Target="https://ref.ly/Acts9:36" TargetMode="External"/><Relationship Id="rId4193" Type="http://schemas.openxmlformats.org/officeDocument/2006/relationships/hyperlink" Target="https://ref.ly/1John2:3-1John2:6" TargetMode="External"/><Relationship Id="rId4194" Type="http://schemas.openxmlformats.org/officeDocument/2006/relationships/hyperlink" Target="https://ref.ly/1John3:10-1John3:11" TargetMode="External"/><Relationship Id="rId4195" Type="http://schemas.openxmlformats.org/officeDocument/2006/relationships/hyperlink" Target="https://ref.ly/John21:20-John21:24" TargetMode="External"/><Relationship Id="rId4196" Type="http://schemas.openxmlformats.org/officeDocument/2006/relationships/hyperlink" Target="https://ref.ly/John13:21-John13:26" TargetMode="External"/><Relationship Id="rId4197" Type="http://schemas.openxmlformats.org/officeDocument/2006/relationships/hyperlink" Target="https://ref.ly/John19:25-John19:27" TargetMode="External"/><Relationship Id="rId4198" Type="http://schemas.openxmlformats.org/officeDocument/2006/relationships/hyperlink" Target="https://ref.ly/John20:2" TargetMode="External"/><Relationship Id="rId4199" Type="http://schemas.openxmlformats.org/officeDocument/2006/relationships/hyperlink" Target="https://ref.ly/John21:7" TargetMode="External"/><Relationship Id="rId4200" Type="http://schemas.openxmlformats.org/officeDocument/2006/relationships/hyperlink" Target="https://ref.ly/John21:20-John21:23" TargetMode="External"/><Relationship Id="rId4201" Type="http://schemas.openxmlformats.org/officeDocument/2006/relationships/hyperlink" Target="https://ref.ly/Mark14:17-Mark14:20" TargetMode="External"/><Relationship Id="rId4202" Type="http://schemas.openxmlformats.org/officeDocument/2006/relationships/hyperlink" Target="https://ref.ly/Luke22:14,Luke22:30" TargetMode="External"/><Relationship Id="rId4203" Type="http://schemas.openxmlformats.org/officeDocument/2006/relationships/hyperlink" Target="https://ref.ly/John13:23-John13:24" TargetMode="External"/><Relationship Id="rId4204" Type="http://schemas.openxmlformats.org/officeDocument/2006/relationships/hyperlink" Target="https://ref.ly/Acts8:14" TargetMode="External"/><Relationship Id="rId4205" Type="http://schemas.openxmlformats.org/officeDocument/2006/relationships/hyperlink" Target="https://ref.ly/Gal2:9" TargetMode="External"/><Relationship Id="rId4206" Type="http://schemas.openxmlformats.org/officeDocument/2006/relationships/hyperlink" Target="https://ref.ly/Deut27:26" TargetMode="External"/><Relationship Id="rId4207" Type="http://schemas.openxmlformats.org/officeDocument/2006/relationships/hyperlink" Target="https://ref.ly/Lev26:23" TargetMode="External"/><Relationship Id="rId4208" Type="http://schemas.openxmlformats.org/officeDocument/2006/relationships/hyperlink" Target="https://ref.ly/Deut4:36" TargetMode="External"/><Relationship Id="rId4209" Type="http://schemas.openxmlformats.org/officeDocument/2006/relationships/hyperlink" Target="https://ref.ly/Deut8:5" TargetMode="External"/><Relationship Id="rId4210" Type="http://schemas.openxmlformats.org/officeDocument/2006/relationships/hyperlink" Target="https://ref.ly/Jer31:18" TargetMode="External"/><Relationship Id="rId4211" Type="http://schemas.openxmlformats.org/officeDocument/2006/relationships/hyperlink" Target="https://ref.ly/Ps94:10" TargetMode="External"/><Relationship Id="rId4212" Type="http://schemas.openxmlformats.org/officeDocument/2006/relationships/hyperlink" Target="https://ref.ly/Job5:17" TargetMode="External"/><Relationship Id="rId4213" Type="http://schemas.openxmlformats.org/officeDocument/2006/relationships/hyperlink" Target="https://ref.ly/Ps94:10,Ps94:12" TargetMode="External"/><Relationship Id="rId4214" Type="http://schemas.openxmlformats.org/officeDocument/2006/relationships/hyperlink" Target="https://ref.ly/Heb12:5-Heb12:11" TargetMode="External"/><Relationship Id="rId4215" Type="http://schemas.openxmlformats.org/officeDocument/2006/relationships/hyperlink" Target="https://ref.ly/Rev3:19" TargetMode="External"/><Relationship Id="rId4216" Type="http://schemas.openxmlformats.org/officeDocument/2006/relationships/hyperlink" Target="https://ref.ly/Deut21:18" TargetMode="External"/><Relationship Id="rId4217" Type="http://schemas.openxmlformats.org/officeDocument/2006/relationships/hyperlink" Target="https://ref.ly/Prov13:24" TargetMode="External"/><Relationship Id="rId4218" Type="http://schemas.openxmlformats.org/officeDocument/2006/relationships/hyperlink" Target="https://ref.ly/Prov19:18" TargetMode="External"/><Relationship Id="rId4219" Type="http://schemas.openxmlformats.org/officeDocument/2006/relationships/hyperlink" Target="https://ref.ly/Prov22:15" TargetMode="External"/><Relationship Id="rId4220" Type="http://schemas.openxmlformats.org/officeDocument/2006/relationships/hyperlink" Target="https://ref.ly/Prov23:13" TargetMode="External"/><Relationship Id="rId4221" Type="http://schemas.openxmlformats.org/officeDocument/2006/relationships/hyperlink" Target="https://ref.ly/Prov29:17" TargetMode="External"/><Relationship Id="rId4222" Type="http://schemas.openxmlformats.org/officeDocument/2006/relationships/hyperlink" Target="https://ref.ly/Eph6:4" TargetMode="External"/><Relationship Id="rId4223" Type="http://schemas.openxmlformats.org/officeDocument/2006/relationships/hyperlink" Target="https://ref.ly/Heb12:7-Heb12:10" TargetMode="External"/><Relationship Id="rId4224" Type="http://schemas.openxmlformats.org/officeDocument/2006/relationships/hyperlink" Target="https://ref.ly/2Tim2:25" TargetMode="External"/><Relationship Id="rId4225" Type="http://schemas.openxmlformats.org/officeDocument/2006/relationships/hyperlink" Target="https://ref.ly/Ps6:1" TargetMode="External"/><Relationship Id="rId4226" Type="http://schemas.openxmlformats.org/officeDocument/2006/relationships/hyperlink" Target="https://ref.ly/Deut11:2-Deut11:3" TargetMode="External"/><Relationship Id="rId4227" Type="http://schemas.openxmlformats.org/officeDocument/2006/relationships/hyperlink" Target="https://ref.ly/Prov3:11" TargetMode="External"/><Relationship Id="rId4228" Type="http://schemas.openxmlformats.org/officeDocument/2006/relationships/hyperlink" Target="https://ref.ly/Heb12:5" TargetMode="External"/><Relationship Id="rId4229" Type="http://schemas.openxmlformats.org/officeDocument/2006/relationships/hyperlink" Target="https://ref.ly/Ps50:17" TargetMode="External"/><Relationship Id="rId4230" Type="http://schemas.openxmlformats.org/officeDocument/2006/relationships/hyperlink" Target="https://ref.ly/Prov5:12" TargetMode="External"/><Relationship Id="rId4231" Type="http://schemas.openxmlformats.org/officeDocument/2006/relationships/hyperlink" Target="https://ref.ly/Prov3:11-Prov3:12" TargetMode="External"/><Relationship Id="rId4232" Type="http://schemas.openxmlformats.org/officeDocument/2006/relationships/hyperlink" Target="https://ref.ly/Heb12:5-Heb12:7" TargetMode="External"/><Relationship Id="rId4233" Type="http://schemas.openxmlformats.org/officeDocument/2006/relationships/hyperlink" Target="https://ref.ly/Prov12:1" TargetMode="External"/><Relationship Id="rId4234" Type="http://schemas.openxmlformats.org/officeDocument/2006/relationships/hyperlink" Target="https://ref.ly/2Tim1:7" TargetMode="External"/><Relationship Id="rId4235" Type="http://schemas.openxmlformats.org/officeDocument/2006/relationships/hyperlink" Target="https://ref.ly/Heb12:5,Heb12:9" TargetMode="External"/><Relationship Id="rId4236" Type="http://schemas.openxmlformats.org/officeDocument/2006/relationships/hyperlink" Target="https://ref.ly/Ps94:12" TargetMode="External"/><Relationship Id="rId4237" Type="http://schemas.openxmlformats.org/officeDocument/2006/relationships/hyperlink" Target="https://ref.ly/Job36:10" TargetMode="External"/><Relationship Id="rId4238" Type="http://schemas.openxmlformats.org/officeDocument/2006/relationships/hyperlink" Target="https://ref.ly/Prov6:23" TargetMode="External"/><Relationship Id="rId4239" Type="http://schemas.openxmlformats.org/officeDocument/2006/relationships/hyperlink" Target="https://ref.ly/1Cor11:32" TargetMode="External"/><Relationship Id="rId4240" Type="http://schemas.openxmlformats.org/officeDocument/2006/relationships/hyperlink" Target="https://ref.ly/Heb12:7" TargetMode="External"/><Relationship Id="rId4241" Type="http://schemas.openxmlformats.org/officeDocument/2006/relationships/hyperlink" Target="https://ref.ly/Heb12:11" TargetMode="External"/><Relationship Id="rId4242" Type="http://schemas.openxmlformats.org/officeDocument/2006/relationships/hyperlink" Target="https://ref.ly/Lev26:23-Lev26:24" TargetMode="External"/><Relationship Id="rId4243" Type="http://schemas.openxmlformats.org/officeDocument/2006/relationships/hyperlink" Target="https://ref.ly/Prov5:23" TargetMode="External"/><Relationship Id="rId4244" Type="http://schemas.openxmlformats.org/officeDocument/2006/relationships/hyperlink" Target="https://ref.ly/Prov5:12-Prov5:23" TargetMode="External"/><Relationship Id="rId4245" Type="http://schemas.openxmlformats.org/officeDocument/2006/relationships/hyperlink" Target="https://ref.ly/Prov6:23-Prov6:24" TargetMode="External"/><Relationship Id="rId4246" Type="http://schemas.openxmlformats.org/officeDocument/2006/relationships/hyperlink" Target="https://ref.ly/Matt5:17-Matt5:48" TargetMode="External"/><Relationship Id="rId4247" Type="http://schemas.openxmlformats.org/officeDocument/2006/relationships/hyperlink" Target="https://ref.ly/Rom8:1-Rom8:8" TargetMode="External"/><Relationship Id="rId4248" Type="http://schemas.openxmlformats.org/officeDocument/2006/relationships/hyperlink" Target="https://ref.ly/Rom12:2" TargetMode="External"/><Relationship Id="rId4249" Type="http://schemas.openxmlformats.org/officeDocument/2006/relationships/hyperlink" Target="https://ref.ly/Deut6:7" TargetMode="External"/><Relationship Id="rId4250" Type="http://schemas.openxmlformats.org/officeDocument/2006/relationships/hyperlink" Target="https://ref.ly/Prov22:6" TargetMode="External"/><Relationship Id="rId4251" Type="http://schemas.openxmlformats.org/officeDocument/2006/relationships/hyperlink" Target="https://ref.ly/Ps51:5" TargetMode="External"/><Relationship Id="rId4252" Type="http://schemas.openxmlformats.org/officeDocument/2006/relationships/hyperlink" Target="https://ref.ly/Eph4:25-Eph4:32" TargetMode="External"/><Relationship Id="rId4253" Type="http://schemas.openxmlformats.org/officeDocument/2006/relationships/hyperlink" Target="https://ref.ly/Eph5:1-Eph5:21" TargetMode="External"/><Relationship Id="rId4254" Type="http://schemas.openxmlformats.org/officeDocument/2006/relationships/hyperlink" Target="https://ref.ly/Matt18:15-Matt18:18" TargetMode="External"/><Relationship Id="rId4255" Type="http://schemas.openxmlformats.org/officeDocument/2006/relationships/hyperlink" Target="https://ref.ly/1Cor5:3-1Cor5:13" TargetMode="External"/><Relationship Id="rId4256" Type="http://schemas.openxmlformats.org/officeDocument/2006/relationships/hyperlink" Target="https://ref.ly/2Thess3:14-2Thess3:15" TargetMode="External"/><Relationship Id="rId4257" Type="http://schemas.openxmlformats.org/officeDocument/2006/relationships/hyperlink" Target="https://ref.ly/2Pet2:7" TargetMode="External"/><Relationship Id="rId4258" Type="http://schemas.openxmlformats.org/officeDocument/2006/relationships/hyperlink" Target="https://ref.ly/2Pet2:2,2Pet2:18-2Pet2:19" TargetMode="External"/><Relationship Id="rId4259" Type="http://schemas.openxmlformats.org/officeDocument/2006/relationships/hyperlink" Target="https://ref.ly/Eph4:19" TargetMode="External"/><Relationship Id="rId4260" Type="http://schemas.openxmlformats.org/officeDocument/2006/relationships/hyperlink" Target="https://ref.ly/Rom13:13" TargetMode="External"/><Relationship Id="rId4261" Type="http://schemas.openxmlformats.org/officeDocument/2006/relationships/hyperlink" Target="https://ref.ly/2Cor12:21" TargetMode="External"/><Relationship Id="rId4262" Type="http://schemas.openxmlformats.org/officeDocument/2006/relationships/hyperlink" Target="https://ref.ly/Gal5:19" TargetMode="External"/><Relationship Id="rId4263" Type="http://schemas.openxmlformats.org/officeDocument/2006/relationships/hyperlink" Target="https://ref.ly/Mark7:22" TargetMode="External"/><Relationship Id="rId4264" Type="http://schemas.openxmlformats.org/officeDocument/2006/relationships/hyperlink" Target="https://ref.ly/Matt19:6" TargetMode="External"/><Relationship Id="rId4265" Type="http://schemas.openxmlformats.org/officeDocument/2006/relationships/hyperlink" Target="https://ref.ly/Gen2:22" TargetMode="External"/><Relationship Id="rId4266" Type="http://schemas.openxmlformats.org/officeDocument/2006/relationships/hyperlink" Target="https://ref.ly/Gen1:27" TargetMode="External"/><Relationship Id="rId4267" Type="http://schemas.openxmlformats.org/officeDocument/2006/relationships/hyperlink" Target="https://ref.ly/Gen4:19" TargetMode="External"/><Relationship Id="rId4268" Type="http://schemas.openxmlformats.org/officeDocument/2006/relationships/hyperlink" Target="https://ref.ly/Gen16:3" TargetMode="External"/><Relationship Id="rId4269" Type="http://schemas.openxmlformats.org/officeDocument/2006/relationships/hyperlink" Target="https://ref.ly/Gen29:30" TargetMode="External"/><Relationship Id="rId4270" Type="http://schemas.openxmlformats.org/officeDocument/2006/relationships/hyperlink" Target="https://ref.ly/Deut24:1-Deut24:4" TargetMode="External"/><Relationship Id="rId4271" Type="http://schemas.openxmlformats.org/officeDocument/2006/relationships/hyperlink" Target="https://ref.ly/Matt19:8" TargetMode="External"/><Relationship Id="rId4272" Type="http://schemas.openxmlformats.org/officeDocument/2006/relationships/hyperlink" Target="https://ref.ly/Deut24:1" TargetMode="External"/><Relationship Id="rId4273" Type="http://schemas.openxmlformats.org/officeDocument/2006/relationships/hyperlink" Target="https://ref.ly/Deut24:4" TargetMode="External"/><Relationship Id="rId4274" Type="http://schemas.openxmlformats.org/officeDocument/2006/relationships/hyperlink" Target="https://ref.ly/Mal2:16" TargetMode="External"/><Relationship Id="rId4275" Type="http://schemas.openxmlformats.org/officeDocument/2006/relationships/hyperlink" Target="https://ref.ly/Matt19:10" TargetMode="External"/><Relationship Id="rId4276" Type="http://schemas.openxmlformats.org/officeDocument/2006/relationships/hyperlink" Target="https://ref.ly/Eph5:25" TargetMode="External"/><Relationship Id="rId4277" Type="http://schemas.openxmlformats.org/officeDocument/2006/relationships/hyperlink" Target="https://ref.ly/1Cor7:39" TargetMode="External"/><Relationship Id="rId4278" Type="http://schemas.openxmlformats.org/officeDocument/2006/relationships/hyperlink" Target="https://ref.ly/1Cor7:9" TargetMode="External"/><Relationship Id="rId4279" Type="http://schemas.openxmlformats.org/officeDocument/2006/relationships/hyperlink" Target="https://ref.ly/Matt5:31" TargetMode="External"/><Relationship Id="rId4280" Type="http://schemas.openxmlformats.org/officeDocument/2006/relationships/hyperlink" Target="https://ref.ly/Matt19:7" TargetMode="External"/><Relationship Id="rId4281" Type="http://schemas.openxmlformats.org/officeDocument/2006/relationships/hyperlink" Target="https://ref.ly/Mark10:4" TargetMode="External"/><Relationship Id="rId4282" Type="http://schemas.openxmlformats.org/officeDocument/2006/relationships/hyperlink" Target="https://ref.ly/Hos2:2" TargetMode="External"/><Relationship Id="rId4283" Type="http://schemas.openxmlformats.org/officeDocument/2006/relationships/hyperlink" Target="https://ref.ly/Jer3:8" TargetMode="External"/><Relationship Id="rId4284" Type="http://schemas.openxmlformats.org/officeDocument/2006/relationships/hyperlink" Target="https://ref.ly/Luke5:17" TargetMode="External"/><Relationship Id="rId4285" Type="http://schemas.openxmlformats.org/officeDocument/2006/relationships/hyperlink" Target="https://ref.ly/Acts5:34" TargetMode="External"/><Relationship Id="rId4286" Type="http://schemas.openxmlformats.org/officeDocument/2006/relationships/hyperlink" Target="https://ref.ly/Gen10:4" TargetMode="External"/><Relationship Id="rId4287" Type="http://schemas.openxmlformats.org/officeDocument/2006/relationships/hyperlink" Target="https://ref.ly/1Chr1:7" TargetMode="External"/><Relationship Id="rId4288" Type="http://schemas.openxmlformats.org/officeDocument/2006/relationships/hyperlink" Target="https://ref.ly/Acts9:36-Acts9:41" TargetMode="External"/><Relationship Id="rId4289" Type="http://schemas.openxmlformats.org/officeDocument/2006/relationships/hyperlink" Target="https://ref.ly/Gen37:1-Gen37:36" TargetMode="External"/><Relationship Id="rId4290" Type="http://schemas.openxmlformats.org/officeDocument/2006/relationships/hyperlink" Target="https://ref.ly/2Kgs6:8-2Kgs6:14" TargetMode="External"/><Relationship Id="rId4291" Type="http://schemas.openxmlformats.org/officeDocument/2006/relationships/hyperlink" Target="https://ref.ly/Gen37:19-Gen37:22,Gen37:28-Gen37:30" TargetMode="External"/><Relationship Id="rId4292" Type="http://schemas.openxmlformats.org/officeDocument/2006/relationships/hyperlink" Target="https://ref.ly/Gen49:1-Gen49:4" TargetMode="External"/><Relationship Id="rId4293" Type="http://schemas.openxmlformats.org/officeDocument/2006/relationships/hyperlink" Target="https://ref.ly/Gen29:31-Gen29:35" TargetMode="External"/><Relationship Id="rId4294" Type="http://schemas.openxmlformats.org/officeDocument/2006/relationships/hyperlink" Target="https://ref.ly/Gen49:5-Gen49:7" TargetMode="External"/><Relationship Id="rId4295" Type="http://schemas.openxmlformats.org/officeDocument/2006/relationships/hyperlink" Target="https://ref.ly/Gen49:8-Gen49:10" TargetMode="External"/><Relationship Id="rId4296" Type="http://schemas.openxmlformats.org/officeDocument/2006/relationships/hyperlink" Target="https://ref.ly/Gen49:22-Gen49:26" TargetMode="External"/><Relationship Id="rId4297" Type="http://schemas.openxmlformats.org/officeDocument/2006/relationships/hyperlink" Target="https://ref.ly/1Chr5:1-1Chr5:2" TargetMode="External"/><Relationship Id="rId4298" Type="http://schemas.openxmlformats.org/officeDocument/2006/relationships/hyperlink" Target="https://ref.ly/Gen37:2-Gen37:4" TargetMode="External"/><Relationship Id="rId4299" Type="http://schemas.openxmlformats.org/officeDocument/2006/relationships/hyperlink" Target="https://ref.ly/Gen25:19-Gen25:34" TargetMode="External"/><Relationship Id="rId4300" Type="http://schemas.openxmlformats.org/officeDocument/2006/relationships/hyperlink" Target="https://ref.ly/Gen31:19,Gen31:32,Gen31:34" TargetMode="External"/><Relationship Id="rId4301" Type="http://schemas.openxmlformats.org/officeDocument/2006/relationships/hyperlink" Target="https://ref.ly/Gen21:9-Gen21:13" TargetMode="External"/><Relationship Id="rId4302" Type="http://schemas.openxmlformats.org/officeDocument/2006/relationships/hyperlink" Target="https://ref.ly/Judg11:1-Judg11:2" TargetMode="External"/><Relationship Id="rId4303" Type="http://schemas.openxmlformats.org/officeDocument/2006/relationships/hyperlink" Target="https://ref.ly/2Chr21:1-2Chr21:3" TargetMode="External"/><Relationship Id="rId4304" Type="http://schemas.openxmlformats.org/officeDocument/2006/relationships/hyperlink" Target="https://ref.ly/2Chr11:18-2Chr11:23" TargetMode="External"/><Relationship Id="rId4305" Type="http://schemas.openxmlformats.org/officeDocument/2006/relationships/hyperlink" Target="https://ref.ly/2Chr12:16" TargetMode="External"/><Relationship Id="rId4306" Type="http://schemas.openxmlformats.org/officeDocument/2006/relationships/hyperlink" Target="https://ref.ly/Heb12:16-Heb12:17" TargetMode="External"/><Relationship Id="rId4307" Type="http://schemas.openxmlformats.org/officeDocument/2006/relationships/hyperlink" Target="https://ref.ly/Gen27:1-Gen27:46" TargetMode="External"/><Relationship Id="rId4308" Type="http://schemas.openxmlformats.org/officeDocument/2006/relationships/hyperlink" Target="https://ref.ly/Exod19:1-Exod24:18" TargetMode="External"/><Relationship Id="rId4309" Type="http://schemas.openxmlformats.org/officeDocument/2006/relationships/hyperlink" Target="https://ref.ly/Exod20:4-Exod20:5" TargetMode="External"/><Relationship Id="rId4310" Type="http://schemas.openxmlformats.org/officeDocument/2006/relationships/hyperlink" Target="https://ref.ly/Lev20:2" TargetMode="External"/><Relationship Id="rId4311" Type="http://schemas.openxmlformats.org/officeDocument/2006/relationships/hyperlink" Target="https://ref.ly/Lev24:11-Lev24:16" TargetMode="External"/><Relationship Id="rId4312" Type="http://schemas.openxmlformats.org/officeDocument/2006/relationships/hyperlink" Target="https://ref.ly/Jer26:8-Jer26:9" TargetMode="External"/><Relationship Id="rId4313" Type="http://schemas.openxmlformats.org/officeDocument/2006/relationships/hyperlink" Target="https://ref.ly/Exod16:23" TargetMode="External"/><Relationship Id="rId4314" Type="http://schemas.openxmlformats.org/officeDocument/2006/relationships/hyperlink" Target="https://ref.ly/Num15:32-Num15:36" TargetMode="External"/><Relationship Id="rId4315" Type="http://schemas.openxmlformats.org/officeDocument/2006/relationships/hyperlink" Target="https://ref.ly/Exod22:29-Exod22:30" TargetMode="External"/><Relationship Id="rId4316" Type="http://schemas.openxmlformats.org/officeDocument/2006/relationships/hyperlink" Target="https://ref.ly/Deut15:19" TargetMode="External"/><Relationship Id="rId4317" Type="http://schemas.openxmlformats.org/officeDocument/2006/relationships/hyperlink" Target="https://ref.ly/Exod21:12" TargetMode="External"/><Relationship Id="rId4318" Type="http://schemas.openxmlformats.org/officeDocument/2006/relationships/hyperlink" Target="https://ref.ly/Num35:10-Num35:28" TargetMode="External"/><Relationship Id="rId4319" Type="http://schemas.openxmlformats.org/officeDocument/2006/relationships/hyperlink" Target="https://ref.ly/Exod20:13" TargetMode="External"/><Relationship Id="rId4320" Type="http://schemas.openxmlformats.org/officeDocument/2006/relationships/hyperlink" Target="https://ref.ly/Num35:30" TargetMode="External"/><Relationship Id="rId4321" Type="http://schemas.openxmlformats.org/officeDocument/2006/relationships/hyperlink" Target="https://ref.ly/Deut17:6" TargetMode="External"/><Relationship Id="rId4322" Type="http://schemas.openxmlformats.org/officeDocument/2006/relationships/hyperlink" Target="https://ref.ly/Deut19:15" TargetMode="External"/><Relationship Id="rId4323" Type="http://schemas.openxmlformats.org/officeDocument/2006/relationships/hyperlink" Target="https://ref.ly/Exod21:18-Exod21:19" TargetMode="External"/><Relationship Id="rId4324" Type="http://schemas.openxmlformats.org/officeDocument/2006/relationships/hyperlink" Target="https://ref.ly/Exod21:16" TargetMode="External"/><Relationship Id="rId4325" Type="http://schemas.openxmlformats.org/officeDocument/2006/relationships/hyperlink" Target="https://ref.ly/Exod22:6" TargetMode="External"/><Relationship Id="rId4326" Type="http://schemas.openxmlformats.org/officeDocument/2006/relationships/hyperlink" Target="https://ref.ly/Exod21:28-Exod21:32" TargetMode="External"/><Relationship Id="rId4327" Type="http://schemas.openxmlformats.org/officeDocument/2006/relationships/hyperlink" Target="https://ref.ly/Exod21:33-Exod21:36" TargetMode="External"/><Relationship Id="rId4328" Type="http://schemas.openxmlformats.org/officeDocument/2006/relationships/hyperlink" Target="https://ref.ly/Exod21:2-Exod21:7" TargetMode="External"/><Relationship Id="rId4329" Type="http://schemas.openxmlformats.org/officeDocument/2006/relationships/hyperlink" Target="https://ref.ly/Neh5:5-Neh5:8" TargetMode="External"/><Relationship Id="rId4330" Type="http://schemas.openxmlformats.org/officeDocument/2006/relationships/hyperlink" Target="https://ref.ly/Deut21:18-Deut21:21" TargetMode="External"/><Relationship Id="rId4331" Type="http://schemas.openxmlformats.org/officeDocument/2006/relationships/hyperlink" Target="https://ref.ly/Num27:8" TargetMode="External"/><Relationship Id="rId4332" Type="http://schemas.openxmlformats.org/officeDocument/2006/relationships/hyperlink" Target="https://ref.ly/Exod22:16" TargetMode="External"/><Relationship Id="rId4333" Type="http://schemas.openxmlformats.org/officeDocument/2006/relationships/hyperlink" Target="https://ref.ly/Deut22:28-Deut22:29" TargetMode="External"/><Relationship Id="rId4334" Type="http://schemas.openxmlformats.org/officeDocument/2006/relationships/hyperlink" Target="https://ref.ly/Num5:12-Num5:31" TargetMode="External"/><Relationship Id="rId4335" Type="http://schemas.openxmlformats.org/officeDocument/2006/relationships/hyperlink" Target="https://ref.ly/Exod21:20-Exod21:21" TargetMode="External"/><Relationship Id="rId4336" Type="http://schemas.openxmlformats.org/officeDocument/2006/relationships/hyperlink" Target="https://ref.ly/Exod21:26-Exod21:27" TargetMode="External"/><Relationship Id="rId4337" Type="http://schemas.openxmlformats.org/officeDocument/2006/relationships/hyperlink" Target="https://ref.ly/Lev6:2-Lev6:7" TargetMode="External"/><Relationship Id="rId4338" Type="http://schemas.openxmlformats.org/officeDocument/2006/relationships/hyperlink" Target="https://ref.ly/Exod22:1-Exod22:4" TargetMode="External"/><Relationship Id="rId4339" Type="http://schemas.openxmlformats.org/officeDocument/2006/relationships/hyperlink" Target="https://ref.ly/Lev19:35" TargetMode="External"/><Relationship Id="rId4340" Type="http://schemas.openxmlformats.org/officeDocument/2006/relationships/hyperlink" Target="https://ref.ly/Deut25:15" TargetMode="External"/><Relationship Id="rId4341" Type="http://schemas.openxmlformats.org/officeDocument/2006/relationships/hyperlink" Target="https://ref.ly/Prov11:1" TargetMode="External"/><Relationship Id="rId4342" Type="http://schemas.openxmlformats.org/officeDocument/2006/relationships/hyperlink" Target="https://ref.ly/Prov20:23" TargetMode="External"/><Relationship Id="rId4343" Type="http://schemas.openxmlformats.org/officeDocument/2006/relationships/hyperlink" Target="https://ref.ly/Exod23:8" TargetMode="External"/><Relationship Id="rId4344" Type="http://schemas.openxmlformats.org/officeDocument/2006/relationships/hyperlink" Target="https://ref.ly/Exod23:1" TargetMode="External"/><Relationship Id="rId4345" Type="http://schemas.openxmlformats.org/officeDocument/2006/relationships/hyperlink" Target="https://ref.ly/Exod22:21-Exod22:27" TargetMode="External"/><Relationship Id="rId4346" Type="http://schemas.openxmlformats.org/officeDocument/2006/relationships/hyperlink" Target="https://ref.ly/Deut23:19" TargetMode="External"/><Relationship Id="rId4347" Type="http://schemas.openxmlformats.org/officeDocument/2006/relationships/hyperlink" Target="https://ref.ly/Deut24:17" TargetMode="External"/><Relationship Id="rId4348" Type="http://schemas.openxmlformats.org/officeDocument/2006/relationships/hyperlink" Target="https://ref.ly/Exod21:17" TargetMode="External"/><Relationship Id="rId4349" Type="http://schemas.openxmlformats.org/officeDocument/2006/relationships/hyperlink" Target="https://ref.ly/Lev20:9" TargetMode="External"/><Relationship Id="rId4350" Type="http://schemas.openxmlformats.org/officeDocument/2006/relationships/hyperlink" Target="https://ref.ly/Deut27:16" TargetMode="External"/><Relationship Id="rId4351" Type="http://schemas.openxmlformats.org/officeDocument/2006/relationships/hyperlink" Target="https://ref.ly/Prov20:20" TargetMode="External"/><Relationship Id="rId4352" Type="http://schemas.openxmlformats.org/officeDocument/2006/relationships/hyperlink" Target="https://ref.ly/Prov30:17" TargetMode="External"/><Relationship Id="rId4353" Type="http://schemas.openxmlformats.org/officeDocument/2006/relationships/hyperlink" Target="https://ref.ly/Josh7:20-Josh7:26" TargetMode="External"/><Relationship Id="rId4354" Type="http://schemas.openxmlformats.org/officeDocument/2006/relationships/hyperlink" Target="https://ref.ly/2Sam3:29" TargetMode="External"/><Relationship Id="rId4355" Type="http://schemas.openxmlformats.org/officeDocument/2006/relationships/hyperlink" Target="https://ref.ly/2Sam21:1-2Sam21:9" TargetMode="External"/><Relationship Id="rId4356" Type="http://schemas.openxmlformats.org/officeDocument/2006/relationships/hyperlink" Target="https://ref.ly/Lam5:7" TargetMode="External"/><Relationship Id="rId4357" Type="http://schemas.openxmlformats.org/officeDocument/2006/relationships/hyperlink" Target="https://ref.ly/Exod22:18" TargetMode="External"/><Relationship Id="rId4358" Type="http://schemas.openxmlformats.org/officeDocument/2006/relationships/hyperlink" Target="https://ref.ly/Lev20:17-Lev20:21" TargetMode="External"/><Relationship Id="rId4359" Type="http://schemas.openxmlformats.org/officeDocument/2006/relationships/hyperlink" Target="https://ref.ly/Exod21:20" TargetMode="External"/><Relationship Id="rId4360" Type="http://schemas.openxmlformats.org/officeDocument/2006/relationships/hyperlink" Target="https://ref.ly/Prov26:3" TargetMode="External"/><Relationship Id="rId4361" Type="http://schemas.openxmlformats.org/officeDocument/2006/relationships/hyperlink" Target="https://ref.ly/1Kgs12:11,1Kgs12:14" TargetMode="External"/><Relationship Id="rId4362" Type="http://schemas.openxmlformats.org/officeDocument/2006/relationships/hyperlink" Target="https://ref.ly/Deut25:1-Deut25:3" TargetMode="External"/><Relationship Id="rId4363" Type="http://schemas.openxmlformats.org/officeDocument/2006/relationships/hyperlink" Target="https://ref.ly/2Cor11:24" TargetMode="External"/><Relationship Id="rId4364" Type="http://schemas.openxmlformats.org/officeDocument/2006/relationships/hyperlink" Target="https://ref.ly/Matt10:17" TargetMode="External"/><Relationship Id="rId4365" Type="http://schemas.openxmlformats.org/officeDocument/2006/relationships/hyperlink" Target="https://ref.ly/Deut22:18" TargetMode="External"/><Relationship Id="rId4366" Type="http://schemas.openxmlformats.org/officeDocument/2006/relationships/hyperlink" Target="https://ref.ly/Acts22:24" TargetMode="External"/><Relationship Id="rId4367" Type="http://schemas.openxmlformats.org/officeDocument/2006/relationships/hyperlink" Target="https://ref.ly/Acts22:25" TargetMode="External"/><Relationship Id="rId4368" Type="http://schemas.openxmlformats.org/officeDocument/2006/relationships/hyperlink" Target="https://ref.ly/2Kgs25:7" TargetMode="External"/><Relationship Id="rId4369" Type="http://schemas.openxmlformats.org/officeDocument/2006/relationships/hyperlink" Target="https://ref.ly/1Sam11:1-1Sam11:4" TargetMode="External"/><Relationship Id="rId4370" Type="http://schemas.openxmlformats.org/officeDocument/2006/relationships/hyperlink" Target="https://ref.ly/2Chr16:10" TargetMode="External"/><Relationship Id="rId4371" Type="http://schemas.openxmlformats.org/officeDocument/2006/relationships/hyperlink" Target="https://ref.ly/Jer20:2-Jer20:3" TargetMode="External"/><Relationship Id="rId4372" Type="http://schemas.openxmlformats.org/officeDocument/2006/relationships/hyperlink" Target="https://ref.ly/Acts16:24" TargetMode="External"/><Relationship Id="rId4373" Type="http://schemas.openxmlformats.org/officeDocument/2006/relationships/hyperlink" Target="https://ref.ly/2Sam16:9" TargetMode="External"/><Relationship Id="rId4374" Type="http://schemas.openxmlformats.org/officeDocument/2006/relationships/hyperlink" Target="https://ref.ly/2Kgs6:31-2Kgs6:32" TargetMode="External"/><Relationship Id="rId4375" Type="http://schemas.openxmlformats.org/officeDocument/2006/relationships/hyperlink" Target="https://ref.ly/Exod32:27" TargetMode="External"/><Relationship Id="rId4376" Type="http://schemas.openxmlformats.org/officeDocument/2006/relationships/hyperlink" Target="https://ref.ly/Deut13:15" TargetMode="External"/><Relationship Id="rId4377" Type="http://schemas.openxmlformats.org/officeDocument/2006/relationships/hyperlink" Target="https://ref.ly/Lev20:14" TargetMode="External"/><Relationship Id="rId4378" Type="http://schemas.openxmlformats.org/officeDocument/2006/relationships/hyperlink" Target="https://ref.ly/Lev21:9" TargetMode="External"/><Relationship Id="rId4379" Type="http://schemas.openxmlformats.org/officeDocument/2006/relationships/hyperlink" Target="https://ref.ly/Gen38:24" TargetMode="External"/><Relationship Id="rId4380" Type="http://schemas.openxmlformats.org/officeDocument/2006/relationships/hyperlink" Target="https://ref.ly/Num25:4" TargetMode="External"/><Relationship Id="rId4381" Type="http://schemas.openxmlformats.org/officeDocument/2006/relationships/hyperlink" Target="https://ref.ly/Deut21:22-Deut21:23" TargetMode="External"/><Relationship Id="rId4382" Type="http://schemas.openxmlformats.org/officeDocument/2006/relationships/hyperlink" Target="https://ref.ly/Josh8:29" TargetMode="External"/><Relationship Id="rId4383" Type="http://schemas.openxmlformats.org/officeDocument/2006/relationships/hyperlink" Target="https://ref.ly/2Sam21:6,2Sam21:9" TargetMode="External"/><Relationship Id="rId4384" Type="http://schemas.openxmlformats.org/officeDocument/2006/relationships/hyperlink" Target="https://ref.ly/Esth9:14" TargetMode="External"/><Relationship Id="rId4385" Type="http://schemas.openxmlformats.org/officeDocument/2006/relationships/hyperlink" Target="https://ref.ly/Ezra6:11-Ezra6:12" TargetMode="External"/><Relationship Id="rId4386" Type="http://schemas.openxmlformats.org/officeDocument/2006/relationships/hyperlink" Target="https://ref.ly/Esth7:9-Esth7:10" TargetMode="External"/><Relationship Id="rId4387" Type="http://schemas.openxmlformats.org/officeDocument/2006/relationships/hyperlink" Target="https://ref.ly/Josh10:26" TargetMode="External"/><Relationship Id="rId4388" Type="http://schemas.openxmlformats.org/officeDocument/2006/relationships/hyperlink" Target="https://ref.ly/2Sam4:12" TargetMode="External"/><Relationship Id="rId4389" Type="http://schemas.openxmlformats.org/officeDocument/2006/relationships/hyperlink" Target="https://ref.ly/Matt27:37" TargetMode="External"/><Relationship Id="rId4390" Type="http://schemas.openxmlformats.org/officeDocument/2006/relationships/hyperlink" Target="https://ref.ly/Deut13:1-Deut13:10" TargetMode="External"/><Relationship Id="rId4391" Type="http://schemas.openxmlformats.org/officeDocument/2006/relationships/hyperlink" Target="https://ref.ly/Deut17:2-Deut17:5" TargetMode="External"/><Relationship Id="rId4392" Type="http://schemas.openxmlformats.org/officeDocument/2006/relationships/hyperlink" Target="https://ref.ly/Deut22:23-Deut22:24" TargetMode="External"/><Relationship Id="rId4393" Type="http://schemas.openxmlformats.org/officeDocument/2006/relationships/hyperlink" Target="https://ref.ly/Lev20:27" TargetMode="External"/><Relationship Id="rId4394" Type="http://schemas.openxmlformats.org/officeDocument/2006/relationships/hyperlink" Target="https://ref.ly/Acts7:58-Acts7:59" TargetMode="External"/><Relationship Id="rId4395" Type="http://schemas.openxmlformats.org/officeDocument/2006/relationships/hyperlink" Target="https://ref.ly/Isa53:5-Isa53:6" TargetMode="External"/><Relationship Id="rId4396" Type="http://schemas.openxmlformats.org/officeDocument/2006/relationships/hyperlink" Target="https://ref.ly/1Cor15:3" TargetMode="External"/><Relationship Id="rId4397" Type="http://schemas.openxmlformats.org/officeDocument/2006/relationships/hyperlink" Target="https://ref.ly/Acts9:11" TargetMode="External"/><Relationship Id="rId4398" Type="http://schemas.openxmlformats.org/officeDocument/2006/relationships/hyperlink" Target="https://ref.ly/Ps1:6" TargetMode="External"/><Relationship Id="rId4399" Type="http://schemas.openxmlformats.org/officeDocument/2006/relationships/hyperlink" Target="https://ref.ly/Zeph3:5" TargetMode="External"/><Relationship Id="rId4400" Type="http://schemas.openxmlformats.org/officeDocument/2006/relationships/hyperlink" Target="https://ref.ly/2Chr12:6" TargetMode="External"/><Relationship Id="rId4401" Type="http://schemas.openxmlformats.org/officeDocument/2006/relationships/hyperlink" Target="https://ref.ly/Ps7:9" TargetMode="External"/><Relationship Id="rId4402" Type="http://schemas.openxmlformats.org/officeDocument/2006/relationships/hyperlink" Target="https://ref.ly/Ps103:17" TargetMode="External"/><Relationship Id="rId4403" Type="http://schemas.openxmlformats.org/officeDocument/2006/relationships/hyperlink" Target="https://ref.ly/Zech8:8" TargetMode="External"/><Relationship Id="rId4404" Type="http://schemas.openxmlformats.org/officeDocument/2006/relationships/hyperlink" Target="https://ref.ly/Deut32:4" TargetMode="External"/><Relationship Id="rId4405" Type="http://schemas.openxmlformats.org/officeDocument/2006/relationships/hyperlink" Target="https://ref.ly/Judg5:11" TargetMode="External"/><Relationship Id="rId4406" Type="http://schemas.openxmlformats.org/officeDocument/2006/relationships/hyperlink" Target="https://ref.ly/Ps103:6" TargetMode="External"/><Relationship Id="rId4407" Type="http://schemas.openxmlformats.org/officeDocument/2006/relationships/hyperlink" Target="https://ref.ly/Ps89:16" TargetMode="External"/><Relationship Id="rId4408" Type="http://schemas.openxmlformats.org/officeDocument/2006/relationships/hyperlink" Target="https://ref.ly/Gen18:19" TargetMode="External"/><Relationship Id="rId4409" Type="http://schemas.openxmlformats.org/officeDocument/2006/relationships/hyperlink" Target="https://ref.ly/Gen26:5" TargetMode="External"/><Relationship Id="rId4410" Type="http://schemas.openxmlformats.org/officeDocument/2006/relationships/hyperlink" Target="https://ref.ly/Mal3:18" TargetMode="External"/><Relationship Id="rId4411" Type="http://schemas.openxmlformats.org/officeDocument/2006/relationships/hyperlink" Target="https://ref.ly/Isa11:1-Isa11:9" TargetMode="External"/><Relationship Id="rId4412" Type="http://schemas.openxmlformats.org/officeDocument/2006/relationships/hyperlink" Target="https://ref.ly/Isa11:10-Isa11:16" TargetMode="External"/><Relationship Id="rId4413" Type="http://schemas.openxmlformats.org/officeDocument/2006/relationships/hyperlink" Target="https://ref.ly/Isa45:8,Isa45:23" TargetMode="External"/><Relationship Id="rId4414" Type="http://schemas.openxmlformats.org/officeDocument/2006/relationships/hyperlink" Target="https://ref.ly/Isa46:13,Isa46:48" TargetMode="External"/><Relationship Id="rId4415" Type="http://schemas.openxmlformats.org/officeDocument/2006/relationships/hyperlink" Target="https://ref.ly/Isa51:5,Isa51:8,Isa51:16" TargetMode="External"/><Relationship Id="rId4416" Type="http://schemas.openxmlformats.org/officeDocument/2006/relationships/hyperlink" Target="https://ref.ly/Isa56:1" TargetMode="External"/><Relationship Id="rId4417" Type="http://schemas.openxmlformats.org/officeDocument/2006/relationships/hyperlink" Target="https://ref.ly/Isa59:17" TargetMode="External"/><Relationship Id="rId4418" Type="http://schemas.openxmlformats.org/officeDocument/2006/relationships/hyperlink" Target="https://ref.ly/Isa60:17" TargetMode="External"/><Relationship Id="rId4419" Type="http://schemas.openxmlformats.org/officeDocument/2006/relationships/hyperlink" Target="https://ref.ly/Isa61:10-Isa61:11" TargetMode="External"/><Relationship Id="rId4420" Type="http://schemas.openxmlformats.org/officeDocument/2006/relationships/hyperlink" Target="https://ref.ly/Matt3:15" TargetMode="External"/><Relationship Id="rId4421" Type="http://schemas.openxmlformats.org/officeDocument/2006/relationships/hyperlink" Target="https://ref.ly/Matt13:43" TargetMode="External"/><Relationship Id="rId4422" Type="http://schemas.openxmlformats.org/officeDocument/2006/relationships/hyperlink" Target="https://ref.ly/Matt7:21" TargetMode="External"/><Relationship Id="rId4423" Type="http://schemas.openxmlformats.org/officeDocument/2006/relationships/hyperlink" Target="https://ref.ly/Rom3:21-Rom5:21" TargetMode="External"/><Relationship Id="rId4424" Type="http://schemas.openxmlformats.org/officeDocument/2006/relationships/hyperlink" Target="https://ref.ly/Rom1:17" TargetMode="External"/><Relationship Id="rId4425" Type="http://schemas.openxmlformats.org/officeDocument/2006/relationships/hyperlink" Target="https://ref.ly/Rom3:25-Rom3:26" TargetMode="External"/><Relationship Id="rId4426" Type="http://schemas.openxmlformats.org/officeDocument/2006/relationships/hyperlink" Target="https://ref.ly/Rom5:9" TargetMode="External"/><Relationship Id="rId4427" Type="http://schemas.openxmlformats.org/officeDocument/2006/relationships/hyperlink" Target="https://ref.ly/Rom8:33-Rom8:34" TargetMode="External"/><Relationship Id="rId4428" Type="http://schemas.openxmlformats.org/officeDocument/2006/relationships/hyperlink" Target="https://ref.ly/2Cor11:15" TargetMode="External"/><Relationship Id="rId4429" Type="http://schemas.openxmlformats.org/officeDocument/2006/relationships/hyperlink" Target="https://ref.ly/Rom5:1,Rom5:9-Rom5:11" TargetMode="External"/><Relationship Id="rId4430" Type="http://schemas.openxmlformats.org/officeDocument/2006/relationships/hyperlink" Target="https://ref.ly/Eph2:14-Eph2:17" TargetMode="External"/><Relationship Id="rId4431" Type="http://schemas.openxmlformats.org/officeDocument/2006/relationships/hyperlink" Target="https://ref.ly/Rom8:30" TargetMode="External"/><Relationship Id="rId4432" Type="http://schemas.openxmlformats.org/officeDocument/2006/relationships/hyperlink" Target="https://ref.ly/2Pet3:13" TargetMode="External"/><Relationship Id="rId4433" Type="http://schemas.openxmlformats.org/officeDocument/2006/relationships/hyperlink" Target="https://ref.ly/Acts24:24" TargetMode="External"/><Relationship Id="rId4434" Type="http://schemas.openxmlformats.org/officeDocument/2006/relationships/hyperlink" Target="https://ref.ly/Josh15:52" TargetMode="External"/><Relationship Id="rId4435" Type="http://schemas.openxmlformats.org/officeDocument/2006/relationships/hyperlink" Target="https://ref.ly/Ps94:17" TargetMode="External"/><Relationship Id="rId4436" Type="http://schemas.openxmlformats.org/officeDocument/2006/relationships/hyperlink" Target="https://ref.ly/Ps115:17" TargetMode="External"/><Relationship Id="rId4437" Type="http://schemas.openxmlformats.org/officeDocument/2006/relationships/hyperlink" Target="https://ref.ly/Isa21:11" TargetMode="External"/><Relationship Id="rId4438" Type="http://schemas.openxmlformats.org/officeDocument/2006/relationships/hyperlink" Target="https://ref.ly/Rom9:17-Rom9:24" TargetMode="External"/><Relationship Id="rId4439" Type="http://schemas.openxmlformats.org/officeDocument/2006/relationships/hyperlink" Target="https://ref.ly/Exod4:21" TargetMode="External"/><Relationship Id="rId4440" Type="http://schemas.openxmlformats.org/officeDocument/2006/relationships/hyperlink" Target="https://ref.ly/Exod7:3" TargetMode="External"/><Relationship Id="rId4441" Type="http://schemas.openxmlformats.org/officeDocument/2006/relationships/hyperlink" Target="https://ref.ly/Exod14:4,Exod14:17" TargetMode="External"/><Relationship Id="rId4442" Type="http://schemas.openxmlformats.org/officeDocument/2006/relationships/hyperlink" Target="https://ref.ly/Exod7:13-Exod7:14" TargetMode="External"/><Relationship Id="rId4443" Type="http://schemas.openxmlformats.org/officeDocument/2006/relationships/hyperlink" Target="https://ref.ly/Exod9:16" TargetMode="External"/><Relationship Id="rId4444" Type="http://schemas.openxmlformats.org/officeDocument/2006/relationships/hyperlink" Target="https://ref.ly/Josh11:20" TargetMode="External"/><Relationship Id="rId4445" Type="http://schemas.openxmlformats.org/officeDocument/2006/relationships/hyperlink" Target="https://ref.ly/Rom9:17-Rom9:18" TargetMode="External"/><Relationship Id="rId4446" Type="http://schemas.openxmlformats.org/officeDocument/2006/relationships/hyperlink" Target="https://ref.ly/Exod8:15,Exod8:32" TargetMode="External"/><Relationship Id="rId4447" Type="http://schemas.openxmlformats.org/officeDocument/2006/relationships/hyperlink" Target="https://ref.ly/Exod9:34" TargetMode="External"/><Relationship Id="rId4448" Type="http://schemas.openxmlformats.org/officeDocument/2006/relationships/hyperlink" Target="https://ref.ly/Exod13:15" TargetMode="External"/><Relationship Id="rId4449" Type="http://schemas.openxmlformats.org/officeDocument/2006/relationships/hyperlink" Target="https://ref.ly/Rom1:18-Rom1:32" TargetMode="External"/><Relationship Id="rId4450" Type="http://schemas.openxmlformats.org/officeDocument/2006/relationships/hyperlink" Target="https://ref.ly/Rom2:14-Rom2:16" TargetMode="External"/><Relationship Id="rId4451" Type="http://schemas.openxmlformats.org/officeDocument/2006/relationships/hyperlink" Target="https://ref.ly/Deut15:7" TargetMode="External"/><Relationship Id="rId4452" Type="http://schemas.openxmlformats.org/officeDocument/2006/relationships/hyperlink" Target="https://ref.ly/Heb3:8,Heb3:15" TargetMode="External"/><Relationship Id="rId4453" Type="http://schemas.openxmlformats.org/officeDocument/2006/relationships/hyperlink" Target="https://ref.ly/Heb4:7" TargetMode="External"/><Relationship Id="rId4454" Type="http://schemas.openxmlformats.org/officeDocument/2006/relationships/hyperlink" Target="https://ref.ly/Mark16:14" TargetMode="External"/><Relationship Id="rId4455" Type="http://schemas.openxmlformats.org/officeDocument/2006/relationships/hyperlink" Target="https://ref.ly/Matt13:13-Matt13:15" TargetMode="External"/><Relationship Id="rId4456" Type="http://schemas.openxmlformats.org/officeDocument/2006/relationships/hyperlink" Target="https://ref.ly/John12:39-John12:41" TargetMode="External"/><Relationship Id="rId4457" Type="http://schemas.openxmlformats.org/officeDocument/2006/relationships/hyperlink" Target="https://ref.ly/Ps95:8" TargetMode="External"/><Relationship Id="rId4458" Type="http://schemas.openxmlformats.org/officeDocument/2006/relationships/hyperlink" Target="https://ref.ly/2Kgs17:14" TargetMode="External"/><Relationship Id="rId4459" Type="http://schemas.openxmlformats.org/officeDocument/2006/relationships/hyperlink" Target="https://ref.ly/Neh9:16-Neh9:17" TargetMode="External"/><Relationship Id="rId4460" Type="http://schemas.openxmlformats.org/officeDocument/2006/relationships/hyperlink" Target="https://ref.ly/Heb3:8" TargetMode="External"/><Relationship Id="rId4461" Type="http://schemas.openxmlformats.org/officeDocument/2006/relationships/hyperlink" Target="https://ref.ly/Acts28:8" TargetMode="External"/><Relationship Id="rId4462" Type="http://schemas.openxmlformats.org/officeDocument/2006/relationships/hyperlink" Target="https://ref.ly/2Chr21:14-2Chr21:19" TargetMode="External"/><Relationship Id="rId4463" Type="http://schemas.openxmlformats.org/officeDocument/2006/relationships/hyperlink" Target="https://ref.ly/1Kgs10:5" TargetMode="External"/><Relationship Id="rId4464" Type="http://schemas.openxmlformats.org/officeDocument/2006/relationships/hyperlink" Target="https://ref.ly/Gen40:1-Gen40:23" TargetMode="External"/><Relationship Id="rId4465" Type="http://schemas.openxmlformats.org/officeDocument/2006/relationships/hyperlink" Target="https://ref.ly/2Chr9:4" TargetMode="External"/><Relationship Id="rId4466" Type="http://schemas.openxmlformats.org/officeDocument/2006/relationships/hyperlink" Target="https://ref.ly/Neh1:11-Neh2:1" TargetMode="External"/><Relationship Id="rId4467" Type="http://schemas.openxmlformats.org/officeDocument/2006/relationships/hyperlink" Target="https://ref.ly/2Kgs18:13-2Kgs18:19" TargetMode="External"/><Relationship Id="rId4468" Type="http://schemas.openxmlformats.org/officeDocument/2006/relationships/hyperlink" Target="https://ref.ly/Isa36:2" TargetMode="External"/><Relationship Id="rId4469" Type="http://schemas.openxmlformats.org/officeDocument/2006/relationships/hyperlink" Target="https://ref.ly/Gen27:6-Gen27:40" TargetMode="External"/><Relationship Id="rId4470" Type="http://schemas.openxmlformats.org/officeDocument/2006/relationships/hyperlink" Target="https://ref.ly/Gen27:41" TargetMode="External"/><Relationship Id="rId4471" Type="http://schemas.openxmlformats.org/officeDocument/2006/relationships/hyperlink" Target="https://ref.ly/Gen12:2-Gen12:3,Gen12:7" TargetMode="External"/><Relationship Id="rId4472" Type="http://schemas.openxmlformats.org/officeDocument/2006/relationships/hyperlink" Target="https://ref.ly/Gen26:3-Gen26:5" TargetMode="External"/><Relationship Id="rId4473" Type="http://schemas.openxmlformats.org/officeDocument/2006/relationships/hyperlink" Target="https://ref.ly/John1:50" TargetMode="External"/><Relationship Id="rId4474" Type="http://schemas.openxmlformats.org/officeDocument/2006/relationships/hyperlink" Target="https://ref.ly/Gen2:8,Gen2:15" TargetMode="External"/><Relationship Id="rId4475" Type="http://schemas.openxmlformats.org/officeDocument/2006/relationships/hyperlink" Target="https://ref.ly/Gen35:21" TargetMode="External"/><Relationship Id="rId4476" Type="http://schemas.openxmlformats.org/officeDocument/2006/relationships/hyperlink" Target="https://ref.ly/Josh15:21" TargetMode="External"/><Relationship Id="rId4477" Type="http://schemas.openxmlformats.org/officeDocument/2006/relationships/hyperlink" Target="https://ref.ly/Gen36:1,Gen36:8,Gen36:19" TargetMode="External"/><Relationship Id="rId4478" Type="http://schemas.openxmlformats.org/officeDocument/2006/relationships/hyperlink" Target="https://ref.ly/Gen32:3" TargetMode="External"/><Relationship Id="rId4479" Type="http://schemas.openxmlformats.org/officeDocument/2006/relationships/hyperlink" Target="https://ref.ly/Gen36:30" TargetMode="External"/><Relationship Id="rId4480" Type="http://schemas.openxmlformats.org/officeDocument/2006/relationships/hyperlink" Target="https://ref.ly/Num24:18" TargetMode="External"/><Relationship Id="rId4481" Type="http://schemas.openxmlformats.org/officeDocument/2006/relationships/hyperlink" Target="https://ref.ly/Isa15:7" TargetMode="External"/><Relationship Id="rId4482" Type="http://schemas.openxmlformats.org/officeDocument/2006/relationships/hyperlink" Target="https://ref.ly/Num21:22" TargetMode="External"/><Relationship Id="rId4483" Type="http://schemas.openxmlformats.org/officeDocument/2006/relationships/hyperlink" Target="https://ref.ly/Gen10:1-Gen10:32" TargetMode="External"/><Relationship Id="rId4484" Type="http://schemas.openxmlformats.org/officeDocument/2006/relationships/hyperlink" Target="https://ref.ly/Gen36:1-Gen36:43" TargetMode="External"/><Relationship Id="rId4485" Type="http://schemas.openxmlformats.org/officeDocument/2006/relationships/hyperlink" Target="https://ref.ly/Num20:14,Num20:18,Num20:20-Num20:23" TargetMode="External"/><Relationship Id="rId4486" Type="http://schemas.openxmlformats.org/officeDocument/2006/relationships/hyperlink" Target="https://ref.ly/Num33:37" TargetMode="External"/><Relationship Id="rId4487" Type="http://schemas.openxmlformats.org/officeDocument/2006/relationships/hyperlink" Target="https://ref.ly/Num34:3" TargetMode="External"/><Relationship Id="rId4488" Type="http://schemas.openxmlformats.org/officeDocument/2006/relationships/hyperlink" Target="https://ref.ly/Judg5:4" TargetMode="External"/><Relationship Id="rId4489" Type="http://schemas.openxmlformats.org/officeDocument/2006/relationships/hyperlink" Target="https://ref.ly/Judg11:17-Judg11:18" TargetMode="External"/><Relationship Id="rId4490" Type="http://schemas.openxmlformats.org/officeDocument/2006/relationships/hyperlink" Target="https://ref.ly/1Sam22:9,1Sam22:18-1Sam22:22" TargetMode="External"/><Relationship Id="rId4491" Type="http://schemas.openxmlformats.org/officeDocument/2006/relationships/hyperlink" Target="https://ref.ly/2Sam8:13" TargetMode="External"/><Relationship Id="rId4492" Type="http://schemas.openxmlformats.org/officeDocument/2006/relationships/hyperlink" Target="https://ref.ly/2Sam8:14" TargetMode="External"/><Relationship Id="rId4493" Type="http://schemas.openxmlformats.org/officeDocument/2006/relationships/hyperlink" Target="https://ref.ly/1Chr18:12" TargetMode="External"/><Relationship Id="rId4494" Type="http://schemas.openxmlformats.org/officeDocument/2006/relationships/hyperlink" Target="https://ref.ly/1Kgs11:14-1Kgs11:17" TargetMode="External"/><Relationship Id="rId4495" Type="http://schemas.openxmlformats.org/officeDocument/2006/relationships/hyperlink" Target="https://ref.ly/1Kgs11:18-1Kgs11:20" TargetMode="External"/><Relationship Id="rId4496" Type="http://schemas.openxmlformats.org/officeDocument/2006/relationships/hyperlink" Target="https://ref.ly/1Kgs9:26" TargetMode="External"/><Relationship Id="rId4497" Type="http://schemas.openxmlformats.org/officeDocument/2006/relationships/hyperlink" Target="https://ref.ly/2Chr20:36-2Chr20:37" TargetMode="External"/><Relationship Id="rId4498" Type="http://schemas.openxmlformats.org/officeDocument/2006/relationships/hyperlink" Target="https://ref.ly/2Kgs3:4-2Kgs3:27" TargetMode="External"/><Relationship Id="rId4499" Type="http://schemas.openxmlformats.org/officeDocument/2006/relationships/hyperlink" Target="https://ref.ly/2Kgs8:20-2Kgs8:22" TargetMode="External"/><Relationship Id="rId4500" Type="http://schemas.openxmlformats.org/officeDocument/2006/relationships/hyperlink" Target="https://ref.ly/2Kgs14:7" TargetMode="External"/><Relationship Id="rId4501" Type="http://schemas.openxmlformats.org/officeDocument/2006/relationships/hyperlink" Target="https://ref.ly/2Chr25:11-2Chr25:13" TargetMode="External"/><Relationship Id="rId4502" Type="http://schemas.openxmlformats.org/officeDocument/2006/relationships/hyperlink" Target="https://ref.ly/2Kgs14:22" TargetMode="External"/><Relationship Id="rId4503" Type="http://schemas.openxmlformats.org/officeDocument/2006/relationships/hyperlink" Target="https://ref.ly/2Chr26:1-2Chr26:2" TargetMode="External"/><Relationship Id="rId4504" Type="http://schemas.openxmlformats.org/officeDocument/2006/relationships/hyperlink" Target="https://ref.ly/2Kgs16:6" TargetMode="External"/><Relationship Id="rId4505" Type="http://schemas.openxmlformats.org/officeDocument/2006/relationships/hyperlink" Target="https://ref.ly/Jer27:1-Jer27:22" TargetMode="External"/><Relationship Id="rId4506" Type="http://schemas.openxmlformats.org/officeDocument/2006/relationships/hyperlink" Target="https://ref.ly/Obad1:11" TargetMode="External"/><Relationship Id="rId4507" Type="http://schemas.openxmlformats.org/officeDocument/2006/relationships/hyperlink" Target="https://ref.ly/Ezek35:1-Ezek35:15" TargetMode="External"/><Relationship Id="rId4508" Type="http://schemas.openxmlformats.org/officeDocument/2006/relationships/hyperlink" Target="https://ref.ly/Isa11:14" TargetMode="External"/><Relationship Id="rId4509" Type="http://schemas.openxmlformats.org/officeDocument/2006/relationships/hyperlink" Target="https://ref.ly/Isa34:5-Isa34:17" TargetMode="External"/><Relationship Id="rId4510" Type="http://schemas.openxmlformats.org/officeDocument/2006/relationships/hyperlink" Target="https://ref.ly/Ezek32:29" TargetMode="External"/><Relationship Id="rId4511" Type="http://schemas.openxmlformats.org/officeDocument/2006/relationships/hyperlink" Target="https://ref.ly/Joel3:19" TargetMode="External"/><Relationship Id="rId4512" Type="http://schemas.openxmlformats.org/officeDocument/2006/relationships/hyperlink" Target="https://ref.ly/Amos1:11-Amos1:12" TargetMode="External"/><Relationship Id="rId4513" Type="http://schemas.openxmlformats.org/officeDocument/2006/relationships/hyperlink" Target="https://ref.ly/Mal1:2-Mal1:4" TargetMode="External"/><Relationship Id="rId4514" Type="http://schemas.openxmlformats.org/officeDocument/2006/relationships/hyperlink" Target="https://ref.ly/Ps127:3-Ps127:5" TargetMode="External"/><Relationship Id="rId4515" Type="http://schemas.openxmlformats.org/officeDocument/2006/relationships/hyperlink" Target="https://ref.ly/Exod12:26" TargetMode="External"/><Relationship Id="rId4516" Type="http://schemas.openxmlformats.org/officeDocument/2006/relationships/hyperlink" Target="https://ref.ly/Judg4:4-Judg4:5" TargetMode="External"/><Relationship Id="rId4517" Type="http://schemas.openxmlformats.org/officeDocument/2006/relationships/hyperlink" Target="https://ref.ly/Judg4:18-Judg4:24" TargetMode="External"/><Relationship Id="rId4518" Type="http://schemas.openxmlformats.org/officeDocument/2006/relationships/hyperlink" Target="https://ref.ly/2Sam14:2-2Sam14:20" TargetMode="External"/><Relationship Id="rId4519" Type="http://schemas.openxmlformats.org/officeDocument/2006/relationships/hyperlink" Target="https://ref.ly/2Sam20:16-2Sam20:22" TargetMode="External"/><Relationship Id="rId4520" Type="http://schemas.openxmlformats.org/officeDocument/2006/relationships/hyperlink" Target="https://ref.ly/2Tim1:5" TargetMode="External"/><Relationship Id="rId4521" Type="http://schemas.openxmlformats.org/officeDocument/2006/relationships/hyperlink" Target="https://ref.ly/Lev23:6" TargetMode="External"/><Relationship Id="rId4522" Type="http://schemas.openxmlformats.org/officeDocument/2006/relationships/hyperlink" Target="https://ref.ly/Lev23:9-Lev23:11" TargetMode="External"/><Relationship Id="rId4523" Type="http://schemas.openxmlformats.org/officeDocument/2006/relationships/hyperlink" Target="https://ref.ly/1Kgs4:33" TargetMode="External"/><Relationship Id="rId4524" Type="http://schemas.openxmlformats.org/officeDocument/2006/relationships/hyperlink" Target="https://ref.ly/Deut33:10" TargetMode="External"/><Relationship Id="rId4525" Type="http://schemas.openxmlformats.org/officeDocument/2006/relationships/hyperlink" Target="https://ref.ly/2Chr35:3" TargetMode="External"/><Relationship Id="rId4526" Type="http://schemas.openxmlformats.org/officeDocument/2006/relationships/hyperlink" Target="https://ref.ly/Matt22:35" TargetMode="External"/><Relationship Id="rId4527" Type="http://schemas.openxmlformats.org/officeDocument/2006/relationships/hyperlink" Target="https://ref.ly/Matt23:8" TargetMode="External"/><Relationship Id="rId4528" Type="http://schemas.openxmlformats.org/officeDocument/2006/relationships/hyperlink" Target="https://ref.ly/Matt15:2-Matt15:6" TargetMode="External"/><Relationship Id="rId4529" Type="http://schemas.openxmlformats.org/officeDocument/2006/relationships/hyperlink" Target="https://ref.ly/Matt23:1-Matt23:2" TargetMode="External"/><Relationship Id="rId4530" Type="http://schemas.openxmlformats.org/officeDocument/2006/relationships/hyperlink" Target="https://ref.ly/Acts4:5" TargetMode="External"/><Relationship Id="rId4531" Type="http://schemas.openxmlformats.org/officeDocument/2006/relationships/hyperlink" Target="https://ref.ly/Acts6:12" TargetMode="External"/><Relationship Id="rId4532" Type="http://schemas.openxmlformats.org/officeDocument/2006/relationships/hyperlink" Target="https://ref.ly/Mark4:1-Mark4:2" TargetMode="External"/><Relationship Id="rId4533" Type="http://schemas.openxmlformats.org/officeDocument/2006/relationships/hyperlink" Target="https://ref.ly/Luke2:46-Luke2:47" TargetMode="External"/><Relationship Id="rId4534" Type="http://schemas.openxmlformats.org/officeDocument/2006/relationships/hyperlink" Target="https://ref.ly/Ps94:8-Ps94:13" TargetMode="External"/><Relationship Id="rId4535" Type="http://schemas.openxmlformats.org/officeDocument/2006/relationships/hyperlink" Target="https://ref.ly/Jer5:3" TargetMode="External"/><Relationship Id="rId4536" Type="http://schemas.openxmlformats.org/officeDocument/2006/relationships/hyperlink" Target="https://ref.ly/Sir30:8" TargetMode="External"/><Relationship Id="rId4537" Type="http://schemas.openxmlformats.org/officeDocument/2006/relationships/hyperlink" Target="https://ref.ly/Ezek8:1" TargetMode="External"/><Relationship Id="rId4538" Type="http://schemas.openxmlformats.org/officeDocument/2006/relationships/hyperlink" Target="https://ref.ly/Josh18:4-Josh18:9" TargetMode="External"/><Relationship Id="rId4539" Type="http://schemas.openxmlformats.org/officeDocument/2006/relationships/hyperlink" Target="https://ref.ly/Judg8:14" TargetMode="External"/><Relationship Id="rId4540" Type="http://schemas.openxmlformats.org/officeDocument/2006/relationships/hyperlink" Target="https://ref.ly/Deut6:9" TargetMode="External"/><Relationship Id="rId4541" Type="http://schemas.openxmlformats.org/officeDocument/2006/relationships/hyperlink" Target="https://ref.ly/Deut27:2-Deut27:8" TargetMode="External"/><Relationship Id="rId4542" Type="http://schemas.openxmlformats.org/officeDocument/2006/relationships/hyperlink" Target="https://ref.ly/2Chr4:2" TargetMode="External"/><Relationship Id="rId4543" Type="http://schemas.openxmlformats.org/officeDocument/2006/relationships/hyperlink" Target="https://ref.ly/Matt16:18" TargetMode="External"/><Relationship Id="rId4544" Type="http://schemas.openxmlformats.org/officeDocument/2006/relationships/hyperlink" Target="https://ref.ly/Matt18:17" TargetMode="External"/><Relationship Id="rId4545" Type="http://schemas.openxmlformats.org/officeDocument/2006/relationships/hyperlink" Target="https://ref.ly/Acts9:31" TargetMode="External"/><Relationship Id="rId4546" Type="http://schemas.openxmlformats.org/officeDocument/2006/relationships/hyperlink" Target="https://ref.ly/Acts15:41" TargetMode="External"/><Relationship Id="rId4547" Type="http://schemas.openxmlformats.org/officeDocument/2006/relationships/hyperlink" Target="https://ref.ly/Acts16:5" TargetMode="External"/><Relationship Id="rId4548" Type="http://schemas.openxmlformats.org/officeDocument/2006/relationships/hyperlink" Target="https://ref.ly/Acts20:28" TargetMode="External"/><Relationship Id="rId4549" Type="http://schemas.openxmlformats.org/officeDocument/2006/relationships/hyperlink" Target="https://ref.ly/Acts19:32,Acts19:39,Acts19:41" TargetMode="External"/><Relationship Id="rId4550" Type="http://schemas.openxmlformats.org/officeDocument/2006/relationships/hyperlink" Target="https://ref.ly/1Cor11:18" TargetMode="External"/><Relationship Id="rId4551" Type="http://schemas.openxmlformats.org/officeDocument/2006/relationships/hyperlink" Target="https://ref.ly/Acts5:11" TargetMode="External"/><Relationship Id="rId4552" Type="http://schemas.openxmlformats.org/officeDocument/2006/relationships/hyperlink" Target="https://ref.ly/1Cor4:17" TargetMode="External"/><Relationship Id="rId4553" Type="http://schemas.openxmlformats.org/officeDocument/2006/relationships/hyperlink" Target="https://ref.ly/Phil4:15" TargetMode="External"/><Relationship Id="rId4554" Type="http://schemas.openxmlformats.org/officeDocument/2006/relationships/hyperlink" Target="https://ref.ly/Acts8:1" TargetMode="External"/><Relationship Id="rId4555" Type="http://schemas.openxmlformats.org/officeDocument/2006/relationships/hyperlink" Target="https://ref.ly/1Cor1:2" TargetMode="External"/><Relationship Id="rId4556" Type="http://schemas.openxmlformats.org/officeDocument/2006/relationships/hyperlink" Target="https://ref.ly/1Thess1:1" TargetMode="External"/><Relationship Id="rId4557" Type="http://schemas.openxmlformats.org/officeDocument/2006/relationships/hyperlink" Target="https://ref.ly/1Cor6:4" TargetMode="External"/><Relationship Id="rId4558" Type="http://schemas.openxmlformats.org/officeDocument/2006/relationships/hyperlink" Target="https://ref.ly/Eph1:22" TargetMode="External"/><Relationship Id="rId4559" Type="http://schemas.openxmlformats.org/officeDocument/2006/relationships/hyperlink" Target="https://ref.ly/1Cor10:11" TargetMode="External"/><Relationship Id="rId4560" Type="http://schemas.openxmlformats.org/officeDocument/2006/relationships/hyperlink" Target="https://ref.ly/Eph2:11-Eph2:22" TargetMode="External"/><Relationship Id="rId4561" Type="http://schemas.openxmlformats.org/officeDocument/2006/relationships/hyperlink" Target="https://ref.ly/Isa49:6" TargetMode="External"/><Relationship Id="rId4562" Type="http://schemas.openxmlformats.org/officeDocument/2006/relationships/hyperlink" Target="https://ref.ly/Rom11:1-Rom11:5" TargetMode="External"/><Relationship Id="rId4563" Type="http://schemas.openxmlformats.org/officeDocument/2006/relationships/hyperlink" Target="https://ref.ly/Gal6:15-Gal6:16" TargetMode="External"/><Relationship Id="rId4564" Type="http://schemas.openxmlformats.org/officeDocument/2006/relationships/hyperlink" Target="https://ref.ly/Rom12:5" TargetMode="External"/><Relationship Id="rId4565" Type="http://schemas.openxmlformats.org/officeDocument/2006/relationships/hyperlink" Target="https://ref.ly/1Cor12:27" TargetMode="External"/><Relationship Id="rId4566" Type="http://schemas.openxmlformats.org/officeDocument/2006/relationships/hyperlink" Target="https://ref.ly/Eph4:12" TargetMode="External"/><Relationship Id="rId4567" Type="http://schemas.openxmlformats.org/officeDocument/2006/relationships/hyperlink" Target="https://ref.ly/Eph4:15" TargetMode="External"/><Relationship Id="rId4568" Type="http://schemas.openxmlformats.org/officeDocument/2006/relationships/hyperlink" Target="https://ref.ly/Acts9:3-Acts9:7" TargetMode="External"/><Relationship Id="rId4569" Type="http://schemas.openxmlformats.org/officeDocument/2006/relationships/hyperlink" Target="https://ref.ly/Acts22:6-Acts22:11" TargetMode="External"/><Relationship Id="rId4570" Type="http://schemas.openxmlformats.org/officeDocument/2006/relationships/hyperlink" Target="https://ref.ly/Isa42:1-Isa53:12" TargetMode="External"/><Relationship Id="rId4571" Type="http://schemas.openxmlformats.org/officeDocument/2006/relationships/hyperlink" Target="https://ref.ly/Isa42:1-Isa42:4" TargetMode="External"/><Relationship Id="rId4572" Type="http://schemas.openxmlformats.org/officeDocument/2006/relationships/hyperlink" Target="https://ref.ly/Isa49:1-Isa49:6" TargetMode="External"/><Relationship Id="rId4573" Type="http://schemas.openxmlformats.org/officeDocument/2006/relationships/hyperlink" Target="https://ref.ly/1Cor15:45-1Cor15:49" TargetMode="External"/><Relationship Id="rId4574" Type="http://schemas.openxmlformats.org/officeDocument/2006/relationships/hyperlink" Target="https://ref.ly/Rom12:4-Rom12:8" TargetMode="External"/><Relationship Id="rId4575" Type="http://schemas.openxmlformats.org/officeDocument/2006/relationships/hyperlink" Target="https://ref.ly/1Cor12:12-1Cor12:27" TargetMode="External"/><Relationship Id="rId4576" Type="http://schemas.openxmlformats.org/officeDocument/2006/relationships/hyperlink" Target="https://ref.ly/Jer43:6-Jer43:7" TargetMode="External"/><Relationship Id="rId4577" Type="http://schemas.openxmlformats.org/officeDocument/2006/relationships/hyperlink" Target="https://ref.ly/Matt2:13-Matt2:23" TargetMode="External"/><Relationship Id="rId4578" Type="http://schemas.openxmlformats.org/officeDocument/2006/relationships/hyperlink" Target="https://ref.ly/1Kgs14:25-1Kgs14:28" TargetMode="External"/><Relationship Id="rId4579" Type="http://schemas.openxmlformats.org/officeDocument/2006/relationships/hyperlink" Target="https://ref.ly/Gen47:13-Gen47:26" TargetMode="External"/><Relationship Id="rId4580" Type="http://schemas.openxmlformats.org/officeDocument/2006/relationships/hyperlink" Target="https://ref.ly/Heb11:26" TargetMode="External"/><Relationship Id="rId4581" Type="http://schemas.openxmlformats.org/officeDocument/2006/relationships/hyperlink" Target="https://ref.ly/2Kgs23:28-2Kgs23:30" TargetMode="External"/><Relationship Id="rId4582" Type="http://schemas.openxmlformats.org/officeDocument/2006/relationships/hyperlink" Target="https://ref.ly/Jer44:30" TargetMode="External"/><Relationship Id="rId4583" Type="http://schemas.openxmlformats.org/officeDocument/2006/relationships/hyperlink" Target="https://ref.ly/2Sam6:5" TargetMode="External"/><Relationship Id="rId4584" Type="http://schemas.openxmlformats.org/officeDocument/2006/relationships/hyperlink" Target="https://ref.ly/Gen14:18-Gen14:24" TargetMode="External"/><Relationship Id="rId4585" Type="http://schemas.openxmlformats.org/officeDocument/2006/relationships/hyperlink" Target="https://ref.ly/Exod20:5" TargetMode="External"/><Relationship Id="rId4586" Type="http://schemas.openxmlformats.org/officeDocument/2006/relationships/hyperlink" Target="https://ref.ly/Neh9:17" TargetMode="External"/><Relationship Id="rId4587" Type="http://schemas.openxmlformats.org/officeDocument/2006/relationships/hyperlink" Target="https://ref.ly/Neh9:31" TargetMode="External"/><Relationship Id="rId4588" Type="http://schemas.openxmlformats.org/officeDocument/2006/relationships/hyperlink" Target="https://ref.ly/Gen36:41" TargetMode="External"/><Relationship Id="rId4589" Type="http://schemas.openxmlformats.org/officeDocument/2006/relationships/hyperlink" Target="https://ref.ly/1Chr1:52" TargetMode="External"/><Relationship Id="rId4590" Type="http://schemas.openxmlformats.org/officeDocument/2006/relationships/hyperlink" Target="https://ref.ly/1Kgs16:8-1Kgs16:14" TargetMode="External"/><Relationship Id="rId4591" Type="http://schemas.openxmlformats.org/officeDocument/2006/relationships/hyperlink" Target="https://ref.ly/2Kgs15:30" TargetMode="External"/><Relationship Id="rId4592" Type="http://schemas.openxmlformats.org/officeDocument/2006/relationships/hyperlink" Target="https://ref.ly/2Kgs17:1" TargetMode="External"/><Relationship Id="rId4593" Type="http://schemas.openxmlformats.org/officeDocument/2006/relationships/hyperlink" Target="https://ref.ly/2Kgs18:1,2Kgs18:9" TargetMode="External"/><Relationship Id="rId4594" Type="http://schemas.openxmlformats.org/officeDocument/2006/relationships/hyperlink" Target="https://ref.ly/1Chr4:15" TargetMode="External"/><Relationship Id="rId4595" Type="http://schemas.openxmlformats.org/officeDocument/2006/relationships/hyperlink" Target="https://ref.ly/1Chr9:8" TargetMode="External"/><Relationship Id="rId4596" Type="http://schemas.openxmlformats.org/officeDocument/2006/relationships/hyperlink" Target="https://ref.ly/Neh11:1-Neh11:36" TargetMode="External"/><Relationship Id="rId4597" Type="http://schemas.openxmlformats.org/officeDocument/2006/relationships/hyperlink" Target="https://ref.ly/Acts2:9" TargetMode="External"/><Relationship Id="rId4598" Type="http://schemas.openxmlformats.org/officeDocument/2006/relationships/hyperlink" Target="https://ref.ly/Isa11:11" TargetMode="External"/><Relationship Id="rId4599" Type="http://schemas.openxmlformats.org/officeDocument/2006/relationships/hyperlink" Target="https://ref.ly/Ezra1:1-Ezra1:4" TargetMode="External"/><Relationship Id="rId4600" Type="http://schemas.openxmlformats.org/officeDocument/2006/relationships/hyperlink" Target="https://ref.ly/Dan8:2" TargetMode="External"/><Relationship Id="rId4601" Type="http://schemas.openxmlformats.org/officeDocument/2006/relationships/hyperlink" Target="https://ref.ly/Isa21:2" TargetMode="External"/><Relationship Id="rId4602" Type="http://schemas.openxmlformats.org/officeDocument/2006/relationships/hyperlink" Target="https://ref.ly/Jer25:15-Jer25:26" TargetMode="External"/><Relationship Id="rId4603" Type="http://schemas.openxmlformats.org/officeDocument/2006/relationships/hyperlink" Target="https://ref.ly/Isa22:6-Isa22:12" TargetMode="External"/><Relationship Id="rId4604" Type="http://schemas.openxmlformats.org/officeDocument/2006/relationships/hyperlink" Target="https://ref.ly/Jer49:35" TargetMode="External"/><Relationship Id="rId4605" Type="http://schemas.openxmlformats.org/officeDocument/2006/relationships/hyperlink" Target="https://ref.ly/Ezek32:24" TargetMode="External"/><Relationship Id="rId4606" Type="http://schemas.openxmlformats.org/officeDocument/2006/relationships/hyperlink" Target="https://ref.ly/Ezek32:24-Ezek32:25" TargetMode="External"/><Relationship Id="rId4607" Type="http://schemas.openxmlformats.org/officeDocument/2006/relationships/hyperlink" Target="https://ref.ly/Jer49:38" TargetMode="External"/><Relationship Id="rId4608" Type="http://schemas.openxmlformats.org/officeDocument/2006/relationships/hyperlink" Target="https://ref.ly/Jer49:39" TargetMode="External"/><Relationship Id="rId4609" Type="http://schemas.openxmlformats.org/officeDocument/2006/relationships/hyperlink" Target="https://ref.ly/1Chr8:24" TargetMode="External"/><Relationship Id="rId4610" Type="http://schemas.openxmlformats.org/officeDocument/2006/relationships/hyperlink" Target="https://ref.ly/1Chr26:3" TargetMode="External"/><Relationship Id="rId4611" Type="http://schemas.openxmlformats.org/officeDocument/2006/relationships/hyperlink" Target="https://ref.ly/Ezra2:7" TargetMode="External"/><Relationship Id="rId4612" Type="http://schemas.openxmlformats.org/officeDocument/2006/relationships/hyperlink" Target="https://ref.ly/Neh7:12" TargetMode="External"/><Relationship Id="rId4613" Type="http://schemas.openxmlformats.org/officeDocument/2006/relationships/hyperlink" Target="https://ref.ly/Ezra8:7" TargetMode="External"/><Relationship Id="rId4614" Type="http://schemas.openxmlformats.org/officeDocument/2006/relationships/hyperlink" Target="https://ref.ly/Ezra10:2" TargetMode="External"/><Relationship Id="rId4615" Type="http://schemas.openxmlformats.org/officeDocument/2006/relationships/hyperlink" Target="https://ref.ly/Ezra10:26" TargetMode="External"/><Relationship Id="rId4616" Type="http://schemas.openxmlformats.org/officeDocument/2006/relationships/hyperlink" Target="https://ref.ly/Ezra2:31" TargetMode="External"/><Relationship Id="rId4617" Type="http://schemas.openxmlformats.org/officeDocument/2006/relationships/hyperlink" Target="https://ref.ly/Neh7:34" TargetMode="External"/><Relationship Id="rId4618" Type="http://schemas.openxmlformats.org/officeDocument/2006/relationships/hyperlink" Target="https://ref.ly/Neh10:14" TargetMode="External"/><Relationship Id="rId4619" Type="http://schemas.openxmlformats.org/officeDocument/2006/relationships/hyperlink" Target="https://ref.ly/Neh12:42" TargetMode="External"/><Relationship Id="rId4620" Type="http://schemas.openxmlformats.org/officeDocument/2006/relationships/hyperlink" Target="https://ref.ly/Gen14:6" TargetMode="External"/><Relationship Id="rId4621" Type="http://schemas.openxmlformats.org/officeDocument/2006/relationships/hyperlink" Target="https://ref.ly/Deut2:8" TargetMode="External"/><Relationship Id="rId4622" Type="http://schemas.openxmlformats.org/officeDocument/2006/relationships/hyperlink" Target="https://ref.ly/Gen25:4" TargetMode="External"/><Relationship Id="rId4623" Type="http://schemas.openxmlformats.org/officeDocument/2006/relationships/hyperlink" Target="https://ref.ly/Gen35:14,Gen35:20" TargetMode="External"/><Relationship Id="rId4624" Type="http://schemas.openxmlformats.org/officeDocument/2006/relationships/hyperlink" Target="https://ref.ly/Gen14:18" TargetMode="External"/><Relationship Id="rId4625" Type="http://schemas.openxmlformats.org/officeDocument/2006/relationships/hyperlink" Target="https://ref.ly/Exod18:4" TargetMode="External"/><Relationship Id="rId4626" Type="http://schemas.openxmlformats.org/officeDocument/2006/relationships/hyperlink" Target="https://ref.ly/1Chr23:15-1Chr23:17" TargetMode="External"/><Relationship Id="rId4627" Type="http://schemas.openxmlformats.org/officeDocument/2006/relationships/hyperlink" Target="https://ref.ly/1Chr7:8" TargetMode="External"/><Relationship Id="rId4628" Type="http://schemas.openxmlformats.org/officeDocument/2006/relationships/hyperlink" Target="https://ref.ly/1Chr15:24" TargetMode="External"/><Relationship Id="rId4629" Type="http://schemas.openxmlformats.org/officeDocument/2006/relationships/hyperlink" Target="https://ref.ly/1Chr27:16" TargetMode="External"/><Relationship Id="rId4630" Type="http://schemas.openxmlformats.org/officeDocument/2006/relationships/hyperlink" Target="https://ref.ly/2Chr20:37" TargetMode="External"/><Relationship Id="rId4631" Type="http://schemas.openxmlformats.org/officeDocument/2006/relationships/hyperlink" Target="https://ref.ly/Ezra8:16" TargetMode="External"/><Relationship Id="rId4632" Type="http://schemas.openxmlformats.org/officeDocument/2006/relationships/hyperlink" Target="https://ref.ly/Ezra10:18,Ezra10:23,Ezra10:31" TargetMode="External"/><Relationship Id="rId4633" Type="http://schemas.openxmlformats.org/officeDocument/2006/relationships/hyperlink" Target="https://ref.ly/Luke3:29" TargetMode="External"/><Relationship Id="rId4634" Type="http://schemas.openxmlformats.org/officeDocument/2006/relationships/hyperlink" Target="https://ref.ly/Gen36:4-Gen36:16" TargetMode="External"/><Relationship Id="rId4635" Type="http://schemas.openxmlformats.org/officeDocument/2006/relationships/hyperlink" Target="https://ref.ly/1Chr1:35-1Chr1:36" TargetMode="External"/><Relationship Id="rId4636" Type="http://schemas.openxmlformats.org/officeDocument/2006/relationships/hyperlink" Target="https://ref.ly/Jer49:7" TargetMode="External"/><Relationship Id="rId4637" Type="http://schemas.openxmlformats.org/officeDocument/2006/relationships/hyperlink" Target="https://ref.ly/Job4:1-Job4:21" TargetMode="External"/><Relationship Id="rId4638" Type="http://schemas.openxmlformats.org/officeDocument/2006/relationships/hyperlink" Target="https://ref.ly/Job15:1-Job15:35" TargetMode="External"/><Relationship Id="rId4639" Type="http://schemas.openxmlformats.org/officeDocument/2006/relationships/hyperlink" Target="https://ref.ly/Job22:1-Job22:30" TargetMode="External"/><Relationship Id="rId4640" Type="http://schemas.openxmlformats.org/officeDocument/2006/relationships/hyperlink" Target="https://ref.ly/Luke1:36" TargetMode="External"/><Relationship Id="rId4641" Type="http://schemas.openxmlformats.org/officeDocument/2006/relationships/hyperlink" Target="https://ref.ly/Exod6:23" TargetMode="External"/><Relationship Id="rId4642" Type="http://schemas.openxmlformats.org/officeDocument/2006/relationships/hyperlink" Target="https://ref.ly/Luke1:6" TargetMode="External"/><Relationship Id="rId4643" Type="http://schemas.openxmlformats.org/officeDocument/2006/relationships/hyperlink" Target="https://ref.ly/Gen30:22-Gen30:23" TargetMode="External"/><Relationship Id="rId4644" Type="http://schemas.openxmlformats.org/officeDocument/2006/relationships/hyperlink" Target="https://ref.ly/Luke1:25" TargetMode="External"/><Relationship Id="rId4645" Type="http://schemas.openxmlformats.org/officeDocument/2006/relationships/hyperlink" Target="https://ref.ly/Luke1:13-Luke1:17" TargetMode="External"/><Relationship Id="rId4646" Type="http://schemas.openxmlformats.org/officeDocument/2006/relationships/hyperlink" Target="https://ref.ly/Gen10:5" TargetMode="External"/><Relationship Id="rId4647" Type="http://schemas.openxmlformats.org/officeDocument/2006/relationships/hyperlink" Target="https://ref.ly/Ezek27:6-Ezek27:7" TargetMode="External"/><Relationship Id="rId4648" Type="http://schemas.openxmlformats.org/officeDocument/2006/relationships/hyperlink" Target="https://ref.ly/Gen14:1,Gen14:9" TargetMode="External"/><Relationship Id="rId4649" Type="http://schemas.openxmlformats.org/officeDocument/2006/relationships/hyperlink" Target="https://ref.ly/Mark15:34" TargetMode="External"/><Relationship Id="rId4650" Type="http://schemas.openxmlformats.org/officeDocument/2006/relationships/hyperlink" Target="https://ref.ly/Gen46:14" TargetMode="External"/><Relationship Id="rId4651" Type="http://schemas.openxmlformats.org/officeDocument/2006/relationships/hyperlink" Target="https://ref.ly/Num26:26" TargetMode="External"/><Relationship Id="rId4652" Type="http://schemas.openxmlformats.org/officeDocument/2006/relationships/hyperlink" Target="https://ref.ly/Judg12:11-Judg12:12" TargetMode="External"/><Relationship Id="rId4653" Type="http://schemas.openxmlformats.org/officeDocument/2006/relationships/hyperlink" Target="https://ref.ly/Deut2:10-Deut2:11" TargetMode="External"/><Relationship Id="rId4654" Type="http://schemas.openxmlformats.org/officeDocument/2006/relationships/hyperlink" Target="https://ref.ly/Ezra6:11" TargetMode="External"/><Relationship Id="rId4655" Type="http://schemas.openxmlformats.org/officeDocument/2006/relationships/hyperlink" Target="https://ref.ly/Deut21:22" TargetMode="External"/><Relationship Id="rId4656" Type="http://schemas.openxmlformats.org/officeDocument/2006/relationships/hyperlink" Target="https://ref.ly/Esth2:23" TargetMode="External"/><Relationship Id="rId4657" Type="http://schemas.openxmlformats.org/officeDocument/2006/relationships/hyperlink" Target="https://ref.ly/2Sam21:6-2Sam21:13" TargetMode="External"/><Relationship Id="rId4658" Type="http://schemas.openxmlformats.org/officeDocument/2006/relationships/hyperlink" Target="https://ref.ly/Acts9:33-Acts9:35" TargetMode="External"/><Relationship Id="rId4659" Type="http://schemas.openxmlformats.org/officeDocument/2006/relationships/hyperlink" Target="https://ref.ly/Matt13:42,Matt13:50" TargetMode="External"/><Relationship Id="rId4660" Type="http://schemas.openxmlformats.org/officeDocument/2006/relationships/hyperlink" Target="https://ref.ly/Matt25:41,Matt25:46" TargetMode="External"/><Relationship Id="rId4661" Type="http://schemas.openxmlformats.org/officeDocument/2006/relationships/hyperlink" Target="https://ref.ly/Matt8:12" TargetMode="External"/><Relationship Id="rId4662" Type="http://schemas.openxmlformats.org/officeDocument/2006/relationships/hyperlink" Target="https://ref.ly/Rev21:8" TargetMode="External"/><Relationship Id="rId4663" Type="http://schemas.openxmlformats.org/officeDocument/2006/relationships/hyperlink" Target="https://ref.ly/Matt25:41" TargetMode="External"/><Relationship Id="rId4664" Type="http://schemas.openxmlformats.org/officeDocument/2006/relationships/hyperlink" Target="https://ref.ly/2Thess1:9" TargetMode="External"/><Relationship Id="rId4665" Type="http://schemas.openxmlformats.org/officeDocument/2006/relationships/hyperlink" Target="https://ref.ly/Rev14:10-Rev14:11" TargetMode="External"/><Relationship Id="rId4666" Type="http://schemas.openxmlformats.org/officeDocument/2006/relationships/hyperlink" Target="https://ref.ly/Matt3:12" TargetMode="External"/><Relationship Id="rId4667" Type="http://schemas.openxmlformats.org/officeDocument/2006/relationships/hyperlink" Target="https://ref.ly/Mark9:43,Mark9:48" TargetMode="External"/><Relationship Id="rId4668" Type="http://schemas.openxmlformats.org/officeDocument/2006/relationships/hyperlink" Target="https://ref.ly/Matt12:32" TargetMode="External"/><Relationship Id="rId4669" Type="http://schemas.openxmlformats.org/officeDocument/2006/relationships/hyperlink" Target="https://ref.ly/Gen3:17-Gen3:19" TargetMode="External"/><Relationship Id="rId4670" Type="http://schemas.openxmlformats.org/officeDocument/2006/relationships/hyperlink" Target="https://ref.ly/Gen4:13" TargetMode="External"/><Relationship Id="rId4671" Type="http://schemas.openxmlformats.org/officeDocument/2006/relationships/hyperlink" Target="https://ref.ly/Lev26:27-Lev26:33" TargetMode="External"/><Relationship Id="rId4672" Type="http://schemas.openxmlformats.org/officeDocument/2006/relationships/hyperlink" Target="https://ref.ly/Ps149:7" TargetMode="External"/><Relationship Id="rId4673" Type="http://schemas.openxmlformats.org/officeDocument/2006/relationships/hyperlink" Target="https://ref.ly/Isa3:11" TargetMode="External"/><Relationship Id="rId4674" Type="http://schemas.openxmlformats.org/officeDocument/2006/relationships/hyperlink" Target="https://ref.ly/Ezek14:10" TargetMode="External"/><Relationship Id="rId4675" Type="http://schemas.openxmlformats.org/officeDocument/2006/relationships/hyperlink" Target="https://ref.ly/Amos1:2-Amos2:16" TargetMode="External"/><Relationship Id="rId4676" Type="http://schemas.openxmlformats.org/officeDocument/2006/relationships/hyperlink" Target="https://ref.ly/Zech14:19" TargetMode="External"/><Relationship Id="rId4677" Type="http://schemas.openxmlformats.org/officeDocument/2006/relationships/hyperlink" Target="https://ref.ly/Luke16:23-Luke16:24" TargetMode="External"/><Relationship Id="rId4678" Type="http://schemas.openxmlformats.org/officeDocument/2006/relationships/hyperlink" Target="https://ref.ly/Rom2:5-Rom2:12" TargetMode="External"/><Relationship Id="rId4679" Type="http://schemas.openxmlformats.org/officeDocument/2006/relationships/hyperlink" Target="https://ref.ly/Gal6:7-Gal6:8" TargetMode="External"/><Relationship Id="rId4680" Type="http://schemas.openxmlformats.org/officeDocument/2006/relationships/hyperlink" Target="https://ref.ly/Heb10:29-Heb10:31" TargetMode="External"/><Relationship Id="rId4681" Type="http://schemas.openxmlformats.org/officeDocument/2006/relationships/hyperlink" Target="https://ref.ly/Rev20:11-Rev20:15" TargetMode="External"/><Relationship Id="rId4682" Type="http://schemas.openxmlformats.org/officeDocument/2006/relationships/hyperlink" Target="https://ref.ly/Gen37:35" TargetMode="External"/><Relationship Id="rId4683" Type="http://schemas.openxmlformats.org/officeDocument/2006/relationships/hyperlink" Target="https://ref.ly/Job7:9" TargetMode="External"/><Relationship Id="rId4684" Type="http://schemas.openxmlformats.org/officeDocument/2006/relationships/hyperlink" Target="https://ref.ly/Job14:13" TargetMode="External"/><Relationship Id="rId4685" Type="http://schemas.openxmlformats.org/officeDocument/2006/relationships/hyperlink" Target="https://ref.ly/Job17:13-Job17:16" TargetMode="External"/><Relationship Id="rId4686" Type="http://schemas.openxmlformats.org/officeDocument/2006/relationships/hyperlink" Target="https://ref.ly/Ps6:5" TargetMode="External"/><Relationship Id="rId4687" Type="http://schemas.openxmlformats.org/officeDocument/2006/relationships/hyperlink" Target="https://ref.ly/Ps55:15" TargetMode="External"/><Relationship Id="rId4688" Type="http://schemas.openxmlformats.org/officeDocument/2006/relationships/hyperlink" Target="https://ref.ly/Prov9:18" TargetMode="External"/><Relationship Id="rId4689" Type="http://schemas.openxmlformats.org/officeDocument/2006/relationships/hyperlink" Target="https://ref.ly/Eccl9:10" TargetMode="External"/><Relationship Id="rId4690" Type="http://schemas.openxmlformats.org/officeDocument/2006/relationships/hyperlink" Target="https://ref.ly/Isa14:11" TargetMode="External"/><Relationship Id="rId4691" Type="http://schemas.openxmlformats.org/officeDocument/2006/relationships/hyperlink" Target="https://ref.ly/Isa38:10-Isa38:12,Isa38:18" TargetMode="External"/><Relationship Id="rId4692" Type="http://schemas.openxmlformats.org/officeDocument/2006/relationships/hyperlink" Target="https://ref.ly/Job10:20-Job10:22" TargetMode="External"/><Relationship Id="rId4693" Type="http://schemas.openxmlformats.org/officeDocument/2006/relationships/hyperlink" Target="https://ref.ly/Ps88:3-Ps88:6" TargetMode="External"/><Relationship Id="rId4694" Type="http://schemas.openxmlformats.org/officeDocument/2006/relationships/hyperlink" Target="https://ref.ly/Job26:6" TargetMode="External"/><Relationship Id="rId4695" Type="http://schemas.openxmlformats.org/officeDocument/2006/relationships/hyperlink" Target="https://ref.ly/Ps138:8" TargetMode="External"/><Relationship Id="rId4696" Type="http://schemas.openxmlformats.org/officeDocument/2006/relationships/hyperlink" Target="https://ref.ly/Amos9:2" TargetMode="External"/><Relationship Id="rId4697" Type="http://schemas.openxmlformats.org/officeDocument/2006/relationships/hyperlink" Target="https://ref.ly/Job3:17" TargetMode="External"/><Relationship Id="rId4698" Type="http://schemas.openxmlformats.org/officeDocument/2006/relationships/hyperlink" Target="https://ref.ly/Job14:13-Job14:15" TargetMode="External"/><Relationship Id="rId4699" Type="http://schemas.openxmlformats.org/officeDocument/2006/relationships/hyperlink" Target="https://ref.ly/Job19:25-Job19:27" TargetMode="External"/><Relationship Id="rId4700" Type="http://schemas.openxmlformats.org/officeDocument/2006/relationships/hyperlink" Target="https://ref.ly/Isa14:9-Isa14:10" TargetMode="External"/><Relationship Id="rId4701" Type="http://schemas.openxmlformats.org/officeDocument/2006/relationships/hyperlink" Target="https://ref.ly/Ezek32:21" TargetMode="External"/><Relationship Id="rId4702" Type="http://schemas.openxmlformats.org/officeDocument/2006/relationships/hyperlink" Target="https://ref.ly/Ps9:17" TargetMode="External"/><Relationship Id="rId4703" Type="http://schemas.openxmlformats.org/officeDocument/2006/relationships/hyperlink" Target="https://ref.ly/Deut32:22" TargetMode="External"/><Relationship Id="rId4704" Type="http://schemas.openxmlformats.org/officeDocument/2006/relationships/hyperlink" Target="https://ref.ly/Isa38:18" TargetMode="External"/><Relationship Id="rId4705" Type="http://schemas.openxmlformats.org/officeDocument/2006/relationships/hyperlink" Target="https://ref.ly/Luke16:23" TargetMode="External"/><Relationship Id="rId4706" Type="http://schemas.openxmlformats.org/officeDocument/2006/relationships/hyperlink" Target="https://ref.ly/Matt5:22,Matt5:29-Matt5:30" TargetMode="External"/><Relationship Id="rId4707" Type="http://schemas.openxmlformats.org/officeDocument/2006/relationships/hyperlink" Target="https://ref.ly/Matt18:9" TargetMode="External"/><Relationship Id="rId4708" Type="http://schemas.openxmlformats.org/officeDocument/2006/relationships/hyperlink" Target="https://ref.ly/Matt23:15,Matt23:33" TargetMode="External"/><Relationship Id="rId4709" Type="http://schemas.openxmlformats.org/officeDocument/2006/relationships/hyperlink" Target="https://ref.ly/Mark9:43,Mark9:45,Mark9:47" TargetMode="External"/><Relationship Id="rId4710" Type="http://schemas.openxmlformats.org/officeDocument/2006/relationships/hyperlink" Target="https://ref.ly/Jas3:6" TargetMode="External"/><Relationship Id="rId4711" Type="http://schemas.openxmlformats.org/officeDocument/2006/relationships/hyperlink" Target="https://ref.ly/2Chr28:3" TargetMode="External"/><Relationship Id="rId4712" Type="http://schemas.openxmlformats.org/officeDocument/2006/relationships/hyperlink" Target="https://ref.ly/2Kgs23:10-2Kgs23:14" TargetMode="External"/><Relationship Id="rId4713" Type="http://schemas.openxmlformats.org/officeDocument/2006/relationships/hyperlink" Target="https://ref.ly/Jer7:31-Jer7:34" TargetMode="External"/><Relationship Id="rId4714" Type="http://schemas.openxmlformats.org/officeDocument/2006/relationships/hyperlink" Target="https://ref.ly/Jer32:35" TargetMode="External"/><Relationship Id="rId4715" Type="http://schemas.openxmlformats.org/officeDocument/2006/relationships/hyperlink" Target="https://ref.ly/Mark3:29" TargetMode="External"/><Relationship Id="rId4716" Type="http://schemas.openxmlformats.org/officeDocument/2006/relationships/hyperlink" Target="https://ref.ly/Rev22:11" TargetMode="External"/><Relationship Id="rId4717" Type="http://schemas.openxmlformats.org/officeDocument/2006/relationships/hyperlink" Target="https://ref.ly/Matt11:20-Matt11:24" TargetMode="External"/><Relationship Id="rId4718" Type="http://schemas.openxmlformats.org/officeDocument/2006/relationships/hyperlink" Target="https://ref.ly/Luke12:47-Luke12:48" TargetMode="External"/><Relationship Id="rId4719" Type="http://schemas.openxmlformats.org/officeDocument/2006/relationships/hyperlink" Target="https://ref.ly/Rev20:12-Rev20:13" TargetMode="External"/><Relationship Id="rId4720" Type="http://schemas.openxmlformats.org/officeDocument/2006/relationships/hyperlink" Target="https://ref.ly/Ezek16:48-Ezek16:61" TargetMode="External"/><Relationship Id="rId4721" Type="http://schemas.openxmlformats.org/officeDocument/2006/relationships/hyperlink" Target="https://ref.ly/Josh15:62" TargetMode="External"/><Relationship Id="rId4722" Type="http://schemas.openxmlformats.org/officeDocument/2006/relationships/hyperlink" Target="https://ref.ly/Song1:14" TargetMode="External"/><Relationship Id="rId4723" Type="http://schemas.openxmlformats.org/officeDocument/2006/relationships/hyperlink" Target="https://ref.ly/2Chr20:2" TargetMode="External"/><Relationship Id="rId4724" Type="http://schemas.openxmlformats.org/officeDocument/2006/relationships/hyperlink" Target="https://ref.ly/Gen14:7" TargetMode="External"/><Relationship Id="rId4725" Type="http://schemas.openxmlformats.org/officeDocument/2006/relationships/hyperlink" Target="https://ref.ly/1Sam23:29" TargetMode="External"/><Relationship Id="rId4726" Type="http://schemas.openxmlformats.org/officeDocument/2006/relationships/hyperlink" Target="https://ref.ly/Ezek47:10" TargetMode="External"/><Relationship Id="rId4727" Type="http://schemas.openxmlformats.org/officeDocument/2006/relationships/hyperlink" Target="https://ref.ly/Gen4:26" TargetMode="External"/><Relationship Id="rId4728" Type="http://schemas.openxmlformats.org/officeDocument/2006/relationships/hyperlink" Target="https://ref.ly/Gen5:6-Gen5:11" TargetMode="External"/><Relationship Id="rId4729" Type="http://schemas.openxmlformats.org/officeDocument/2006/relationships/hyperlink" Target="https://ref.ly/Gen14:13,Gen14:24" TargetMode="External"/><Relationship Id="rId4730" Type="http://schemas.openxmlformats.org/officeDocument/2006/relationships/hyperlink" Target="https://ref.ly/Gen26:26-Gen26:31" TargetMode="External"/><Relationship Id="rId4731" Type="http://schemas.openxmlformats.org/officeDocument/2006/relationships/hyperlink" Target="https://ref.ly/Exod23:31-Exod23:33" TargetMode="External"/><Relationship Id="rId4732" Type="http://schemas.openxmlformats.org/officeDocument/2006/relationships/hyperlink" Target="https://ref.ly/Exod34:12" TargetMode="External"/><Relationship Id="rId4733" Type="http://schemas.openxmlformats.org/officeDocument/2006/relationships/hyperlink" Target="https://ref.ly/Deut7:1-Deut7:4" TargetMode="External"/><Relationship Id="rId4734" Type="http://schemas.openxmlformats.org/officeDocument/2006/relationships/hyperlink" Target="https://ref.ly/Judg2:1-Judg2:3" TargetMode="External"/><Relationship Id="rId4735" Type="http://schemas.openxmlformats.org/officeDocument/2006/relationships/hyperlink" Target="https://ref.ly/1Sam27:1" TargetMode="External"/><Relationship Id="rId4736" Type="http://schemas.openxmlformats.org/officeDocument/2006/relationships/hyperlink" Target="https://ref.ly/1Sam28:2" TargetMode="External"/><Relationship Id="rId4737" Type="http://schemas.openxmlformats.org/officeDocument/2006/relationships/hyperlink" Target="https://ref.ly/1Kgs5:1-1Kgs5:18" TargetMode="External"/><Relationship Id="rId4738" Type="http://schemas.openxmlformats.org/officeDocument/2006/relationships/hyperlink" Target="https://ref.ly/1Kgs9:16" TargetMode="External"/><Relationship Id="rId4739" Type="http://schemas.openxmlformats.org/officeDocument/2006/relationships/hyperlink" Target="https://ref.ly/1Kgs15:18-1Kgs15:20" TargetMode="External"/><Relationship Id="rId4740" Type="http://schemas.openxmlformats.org/officeDocument/2006/relationships/hyperlink" Target="https://ref.ly/1Kgs22:1-1Kgs22:4" TargetMode="External"/><Relationship Id="rId4741" Type="http://schemas.openxmlformats.org/officeDocument/2006/relationships/hyperlink" Target="https://ref.ly/2Chr18:1-2Chr18:13" TargetMode="External"/><Relationship Id="rId4742" Type="http://schemas.openxmlformats.org/officeDocument/2006/relationships/hyperlink" Target="https://ref.ly/Isa7:1-Isa7:9" TargetMode="External"/><Relationship Id="rId4743" Type="http://schemas.openxmlformats.org/officeDocument/2006/relationships/hyperlink" Target="https://ref.ly/2Kgs16:7-2Kgs16:9" TargetMode="External"/><Relationship Id="rId4744" Type="http://schemas.openxmlformats.org/officeDocument/2006/relationships/hyperlink" Target="https://ref.ly/2Kgs24:20" TargetMode="External"/><Relationship Id="rId4745" Type="http://schemas.openxmlformats.org/officeDocument/2006/relationships/hyperlink" Target="https://ref.ly/Ezek17:1-Ezek17:21" TargetMode="External"/><Relationship Id="rId4746" Type="http://schemas.openxmlformats.org/officeDocument/2006/relationships/hyperlink" Target="https://ref.ly/2Kgs16:10-2Kgs16:18" TargetMode="External"/><Relationship Id="rId4747" Type="http://schemas.openxmlformats.org/officeDocument/2006/relationships/hyperlink" Target="https://ref.ly/Hos8:8-Hos8:10" TargetMode="External"/><Relationship Id="rId4748" Type="http://schemas.openxmlformats.org/officeDocument/2006/relationships/hyperlink" Target="https://ref.ly/Isa30:1-Isa30:3,Isa30:15-Isa30:16" TargetMode="External"/><Relationship Id="rId4749" Type="http://schemas.openxmlformats.org/officeDocument/2006/relationships/hyperlink" Target="https://ref.ly/Jer2:18" TargetMode="External"/><Relationship Id="rId4750" Type="http://schemas.openxmlformats.org/officeDocument/2006/relationships/hyperlink" Target="https://ref.ly/2Chr21:15-2Chr21:19" TargetMode="External"/><Relationship Id="rId4751" Type="http://schemas.openxmlformats.org/officeDocument/2006/relationships/hyperlink" Target="https://ref.ly/2Chr21:19" TargetMode="External"/><Relationship Id="rId4752" Type="http://schemas.openxmlformats.org/officeDocument/2006/relationships/hyperlink" Target="https://ref.ly/Isa60:6" TargetMode="External"/><Relationship Id="rId4753" Type="http://schemas.openxmlformats.org/officeDocument/2006/relationships/hyperlink" Target="https://ref.ly/1Chr2:46" TargetMode="External"/><Relationship Id="rId4754" Type="http://schemas.openxmlformats.org/officeDocument/2006/relationships/hyperlink" Target="https://ref.ly/1Chr2:47" TargetMode="External"/><Relationship Id="rId4755" Type="http://schemas.openxmlformats.org/officeDocument/2006/relationships/hyperlink" Target="https://ref.ly/1Chr4:17" TargetMode="External"/><Relationship Id="rId4756" Type="http://schemas.openxmlformats.org/officeDocument/2006/relationships/hyperlink" Target="https://ref.ly/1Chr5:24" TargetMode="External"/><Relationship Id="rId4757" Type="http://schemas.openxmlformats.org/officeDocument/2006/relationships/hyperlink" Target="https://ref.ly/Acts19:34" TargetMode="External"/><Relationship Id="rId4758" Type="http://schemas.openxmlformats.org/officeDocument/2006/relationships/hyperlink" Target="https://ref.ly/Acts19:24,Acts19:30-Acts19:31" TargetMode="External"/><Relationship Id="rId4759" Type="http://schemas.openxmlformats.org/officeDocument/2006/relationships/hyperlink" Target="https://ref.ly/Acts18:18-Acts18:19" TargetMode="External"/><Relationship Id="rId4760" Type="http://schemas.openxmlformats.org/officeDocument/2006/relationships/hyperlink" Target="https://ref.ly/1Tim1:3" TargetMode="External"/><Relationship Id="rId4761" Type="http://schemas.openxmlformats.org/officeDocument/2006/relationships/hyperlink" Target="https://ref.ly/Acts19:22" TargetMode="External"/><Relationship Id="rId4762" Type="http://schemas.openxmlformats.org/officeDocument/2006/relationships/hyperlink" Target="https://ref.ly/Rev2:4" TargetMode="External"/><Relationship Id="rId4763" Type="http://schemas.openxmlformats.org/officeDocument/2006/relationships/hyperlink" Target="https://ref.ly/Eph3:7,Eph3:13" TargetMode="External"/><Relationship Id="rId4764" Type="http://schemas.openxmlformats.org/officeDocument/2006/relationships/hyperlink" Target="https://ref.ly/Eph6:19-Eph6:20" TargetMode="External"/><Relationship Id="rId4765" Type="http://schemas.openxmlformats.org/officeDocument/2006/relationships/hyperlink" Target="https://ref.ly/Eph6:23" TargetMode="External"/><Relationship Id="rId4766" Type="http://schemas.openxmlformats.org/officeDocument/2006/relationships/hyperlink" Target="https://ref.ly/Acts20:31" TargetMode="External"/><Relationship Id="rId4767" Type="http://schemas.openxmlformats.org/officeDocument/2006/relationships/hyperlink" Target="https://ref.ly/Eph1:15" TargetMode="External"/><Relationship Id="rId4768" Type="http://schemas.openxmlformats.org/officeDocument/2006/relationships/hyperlink" Target="https://ref.ly/Acts23:23-Acts23:24,Acts23:33" TargetMode="External"/><Relationship Id="rId4769" Type="http://schemas.openxmlformats.org/officeDocument/2006/relationships/hyperlink" Target="https://ref.ly/Acts28:16,Acts28:30" TargetMode="External"/><Relationship Id="rId4770" Type="http://schemas.openxmlformats.org/officeDocument/2006/relationships/hyperlink" Target="https://ref.ly/Acts18:24-Acts18:26" TargetMode="External"/><Relationship Id="rId4771" Type="http://schemas.openxmlformats.org/officeDocument/2006/relationships/hyperlink" Target="https://ref.ly/Acts18:26" TargetMode="External"/><Relationship Id="rId4772" Type="http://schemas.openxmlformats.org/officeDocument/2006/relationships/hyperlink" Target="https://ref.ly/Acts20:18-Acts20:35" TargetMode="External"/><Relationship Id="rId4773" Type="http://schemas.openxmlformats.org/officeDocument/2006/relationships/hyperlink" Target="https://ref.ly/Eph1:6,Eph1:12,Eph1:14" TargetMode="External"/><Relationship Id="rId4774" Type="http://schemas.openxmlformats.org/officeDocument/2006/relationships/hyperlink" Target="https://ref.ly/Eph1:19-Eph1:23" TargetMode="External"/><Relationship Id="rId4775" Type="http://schemas.openxmlformats.org/officeDocument/2006/relationships/hyperlink" Target="https://ref.ly/2Cor10:3-2Cor10:4" TargetMode="External"/><Relationship Id="rId4776" Type="http://schemas.openxmlformats.org/officeDocument/2006/relationships/hyperlink" Target="https://ref.ly/Eph4:8-Eph4:10" TargetMode="External"/><Relationship Id="rId4777" Type="http://schemas.openxmlformats.org/officeDocument/2006/relationships/hyperlink" Target="https://ref.ly/Eph1:10" TargetMode="External"/><Relationship Id="rId4778" Type="http://schemas.openxmlformats.org/officeDocument/2006/relationships/hyperlink" Target="https://ref.ly/Eph3:1-Eph3:21" TargetMode="External"/><Relationship Id="rId4779" Type="http://schemas.openxmlformats.org/officeDocument/2006/relationships/hyperlink" Target="https://ref.ly/Eph2:19-Eph2:22" TargetMode="External"/><Relationship Id="rId4780" Type="http://schemas.openxmlformats.org/officeDocument/2006/relationships/hyperlink" Target="https://ref.ly/Eph2:11-Eph2:18" TargetMode="External"/><Relationship Id="rId4781" Type="http://schemas.openxmlformats.org/officeDocument/2006/relationships/hyperlink" Target="https://ref.ly/Eph3:2-Eph3:6" TargetMode="External"/><Relationship Id="rId4782" Type="http://schemas.openxmlformats.org/officeDocument/2006/relationships/hyperlink" Target="https://ref.ly/Eph4:1-Eph4:32" TargetMode="External"/><Relationship Id="rId4783" Type="http://schemas.openxmlformats.org/officeDocument/2006/relationships/hyperlink" Target="https://ref.ly/Eph5:22-Eph5:33" TargetMode="External"/><Relationship Id="rId4784" Type="http://schemas.openxmlformats.org/officeDocument/2006/relationships/hyperlink" Target="https://ref.ly/Ps8:6" TargetMode="External"/><Relationship Id="rId4785" Type="http://schemas.openxmlformats.org/officeDocument/2006/relationships/hyperlink" Target="https://ref.ly/Matt13:11" TargetMode="External"/><Relationship Id="rId4786" Type="http://schemas.openxmlformats.org/officeDocument/2006/relationships/hyperlink" Target="https://ref.ly/1Cor1:18-1Cor2:16" TargetMode="External"/><Relationship Id="rId4787" Type="http://schemas.openxmlformats.org/officeDocument/2006/relationships/hyperlink" Target="https://ref.ly/Rom11:25" TargetMode="External"/><Relationship Id="rId4788" Type="http://schemas.openxmlformats.org/officeDocument/2006/relationships/hyperlink" Target="https://ref.ly/Rev10:6-Rev10:7" TargetMode="External"/><Relationship Id="rId4789" Type="http://schemas.openxmlformats.org/officeDocument/2006/relationships/hyperlink" Target="https://ref.ly/Eph3:3-Eph3:6" TargetMode="External"/><Relationship Id="rId4790" Type="http://schemas.openxmlformats.org/officeDocument/2006/relationships/hyperlink" Target="https://ref.ly/Eph1:1-Eph1:14" TargetMode="External"/><Relationship Id="rId4791" Type="http://schemas.openxmlformats.org/officeDocument/2006/relationships/hyperlink" Target="https://ref.ly/Eph1:4" TargetMode="External"/><Relationship Id="rId4792" Type="http://schemas.openxmlformats.org/officeDocument/2006/relationships/hyperlink" Target="https://ref.ly/Eph1:5" TargetMode="External"/><Relationship Id="rId4793" Type="http://schemas.openxmlformats.org/officeDocument/2006/relationships/hyperlink" Target="https://ref.ly/Eph1:4-Eph1:10" TargetMode="External"/><Relationship Id="rId4794" Type="http://schemas.openxmlformats.org/officeDocument/2006/relationships/hyperlink" Target="https://ref.ly/Eph1:11-Eph1:12" TargetMode="External"/><Relationship Id="rId4795" Type="http://schemas.openxmlformats.org/officeDocument/2006/relationships/hyperlink" Target="https://ref.ly/Eph1:15-Eph1:23" TargetMode="External"/><Relationship Id="rId4796" Type="http://schemas.openxmlformats.org/officeDocument/2006/relationships/hyperlink" Target="https://ref.ly/Eph2:1-Eph3:21" TargetMode="External"/><Relationship Id="rId4797" Type="http://schemas.openxmlformats.org/officeDocument/2006/relationships/hyperlink" Target="https://ref.ly/Eph2:1-Eph2:10" TargetMode="External"/><Relationship Id="rId4798" Type="http://schemas.openxmlformats.org/officeDocument/2006/relationships/hyperlink" Target="https://ref.ly/Eph3:1-Eph3:13" TargetMode="External"/><Relationship Id="rId4799" Type="http://schemas.openxmlformats.org/officeDocument/2006/relationships/hyperlink" Target="https://ref.ly/Eph3:14-Eph3:21" TargetMode="External"/><Relationship Id="rId4800" Type="http://schemas.openxmlformats.org/officeDocument/2006/relationships/hyperlink" Target="https://ref.ly/Eph4:1-Eph6:20" TargetMode="External"/><Relationship Id="rId4801" Type="http://schemas.openxmlformats.org/officeDocument/2006/relationships/hyperlink" Target="https://ref.ly/Eph3:20-Eph3:21" TargetMode="External"/><Relationship Id="rId4802" Type="http://schemas.openxmlformats.org/officeDocument/2006/relationships/hyperlink" Target="https://ref.ly/Eph4:5-Eph4:6" TargetMode="External"/><Relationship Id="rId4803" Type="http://schemas.openxmlformats.org/officeDocument/2006/relationships/hyperlink" Target="https://ref.ly/Eph4:7-Eph4:8" TargetMode="External"/><Relationship Id="rId4804" Type="http://schemas.openxmlformats.org/officeDocument/2006/relationships/hyperlink" Target="https://ref.ly/Eph4:16" TargetMode="External"/><Relationship Id="rId4805" Type="http://schemas.openxmlformats.org/officeDocument/2006/relationships/hyperlink" Target="https://ref.ly/Eph4:17-Eph5:21" TargetMode="External"/><Relationship Id="rId4806" Type="http://schemas.openxmlformats.org/officeDocument/2006/relationships/hyperlink" Target="https://ref.ly/Eph4:20-Eph4:21,Eph4:32" TargetMode="External"/><Relationship Id="rId4807" Type="http://schemas.openxmlformats.org/officeDocument/2006/relationships/hyperlink" Target="https://ref.ly/Eph5:1-Eph5:2" TargetMode="External"/><Relationship Id="rId4808" Type="http://schemas.openxmlformats.org/officeDocument/2006/relationships/hyperlink" Target="https://ref.ly/Eph5:24" TargetMode="External"/><Relationship Id="rId4809" Type="http://schemas.openxmlformats.org/officeDocument/2006/relationships/hyperlink" Target="https://ref.ly/Eph5:18" TargetMode="External"/><Relationship Id="rId4810" Type="http://schemas.openxmlformats.org/officeDocument/2006/relationships/hyperlink" Target="https://ref.ly/Eph5:22-Eph6:9" TargetMode="External"/><Relationship Id="rId4811" Type="http://schemas.openxmlformats.org/officeDocument/2006/relationships/hyperlink" Target="https://ref.ly/Eph5:21" TargetMode="External"/><Relationship Id="rId4812" Type="http://schemas.openxmlformats.org/officeDocument/2006/relationships/hyperlink" Target="https://ref.ly/Eph5:31" TargetMode="External"/><Relationship Id="rId4813" Type="http://schemas.openxmlformats.org/officeDocument/2006/relationships/hyperlink" Target="https://ref.ly/1Pet3:1-1Pet3:7" TargetMode="External"/><Relationship Id="rId4814" Type="http://schemas.openxmlformats.org/officeDocument/2006/relationships/hyperlink" Target="https://ref.ly/Eph6:1-Eph6:4" TargetMode="External"/><Relationship Id="rId4815" Type="http://schemas.openxmlformats.org/officeDocument/2006/relationships/hyperlink" Target="https://ref.ly/Eph6:10-Eph6:20" TargetMode="External"/><Relationship Id="rId4816" Type="http://schemas.openxmlformats.org/officeDocument/2006/relationships/hyperlink" Target="https://ref.ly/Eph6:18-Eph6:20" TargetMode="External"/><Relationship Id="rId4817" Type="http://schemas.openxmlformats.org/officeDocument/2006/relationships/hyperlink" Target="https://ref.ly/Eph6:21-Eph6:24" TargetMode="External"/><Relationship Id="rId4818" Type="http://schemas.openxmlformats.org/officeDocument/2006/relationships/hyperlink" Target="https://ref.ly/Mark7:34" TargetMode="External"/><Relationship Id="rId4819" Type="http://schemas.openxmlformats.org/officeDocument/2006/relationships/hyperlink" Target="https://ref.ly/Gen41:52" TargetMode="External"/><Relationship Id="rId4820" Type="http://schemas.openxmlformats.org/officeDocument/2006/relationships/hyperlink" Target="https://ref.ly/Isa7:5,Isa7:8" TargetMode="External"/><Relationship Id="rId4821" Type="http://schemas.openxmlformats.org/officeDocument/2006/relationships/hyperlink" Target="https://ref.ly/Jer31:18-Jer31:20" TargetMode="External"/><Relationship Id="rId4822" Type="http://schemas.openxmlformats.org/officeDocument/2006/relationships/hyperlink" Target="https://ref.ly/Hos5:3-Hos5:5" TargetMode="External"/><Relationship Id="rId4823" Type="http://schemas.openxmlformats.org/officeDocument/2006/relationships/hyperlink" Target="https://ref.ly/Gen48:5" TargetMode="External"/><Relationship Id="rId4824" Type="http://schemas.openxmlformats.org/officeDocument/2006/relationships/hyperlink" Target="https://ref.ly/2Kgs2:24" TargetMode="External"/><Relationship Id="rId4825" Type="http://schemas.openxmlformats.org/officeDocument/2006/relationships/hyperlink" Target="https://ref.ly/Josh16:5-Josh16:9" TargetMode="External"/><Relationship Id="rId4826" Type="http://schemas.openxmlformats.org/officeDocument/2006/relationships/hyperlink" Target="https://ref.ly/Num1:33" TargetMode="External"/><Relationship Id="rId4827" Type="http://schemas.openxmlformats.org/officeDocument/2006/relationships/hyperlink" Target="https://ref.ly/Num26:37" TargetMode="External"/><Relationship Id="rId4828" Type="http://schemas.openxmlformats.org/officeDocument/2006/relationships/hyperlink" Target="https://ref.ly/Num2:18-Num2:24" TargetMode="External"/><Relationship Id="rId4829" Type="http://schemas.openxmlformats.org/officeDocument/2006/relationships/hyperlink" Target="https://ref.ly/Num13:8" TargetMode="External"/><Relationship Id="rId4830" Type="http://schemas.openxmlformats.org/officeDocument/2006/relationships/hyperlink" Target="https://ref.ly/Josh16:1-Josh16:10" TargetMode="External"/><Relationship Id="rId4831" Type="http://schemas.openxmlformats.org/officeDocument/2006/relationships/hyperlink" Target="https://ref.ly/Judg8:1-Judg8:6" TargetMode="External"/><Relationship Id="rId4832" Type="http://schemas.openxmlformats.org/officeDocument/2006/relationships/hyperlink" Target="https://ref.ly/Judg12:1-Judg12:6" TargetMode="External"/><Relationship Id="rId4833" Type="http://schemas.openxmlformats.org/officeDocument/2006/relationships/hyperlink" Target="https://ref.ly/Judg12:13" TargetMode="External"/><Relationship Id="rId4834" Type="http://schemas.openxmlformats.org/officeDocument/2006/relationships/hyperlink" Target="https://ref.ly/Judg17:1" TargetMode="External"/><Relationship Id="rId4835" Type="http://schemas.openxmlformats.org/officeDocument/2006/relationships/hyperlink" Target="https://ref.ly/2Sam18:1-2Sam18:33" TargetMode="External"/><Relationship Id="rId4836" Type="http://schemas.openxmlformats.org/officeDocument/2006/relationships/hyperlink" Target="https://ref.ly/2Sam19:41-2Sam20:22" TargetMode="External"/><Relationship Id="rId4837" Type="http://schemas.openxmlformats.org/officeDocument/2006/relationships/hyperlink" Target="https://ref.ly/1Kgs11:26-1Kgs11:40" TargetMode="External"/><Relationship Id="rId4838" Type="http://schemas.openxmlformats.org/officeDocument/2006/relationships/hyperlink" Target="https://ref.ly/Hos1:11" TargetMode="External"/><Relationship Id="rId4839" Type="http://schemas.openxmlformats.org/officeDocument/2006/relationships/hyperlink" Target="https://ref.ly/Ezek37:1-Ezek37:28" TargetMode="External"/><Relationship Id="rId4840" Type="http://schemas.openxmlformats.org/officeDocument/2006/relationships/hyperlink" Target="https://ref.ly/Gen35:16-Gen35:19" TargetMode="External"/><Relationship Id="rId4841" Type="http://schemas.openxmlformats.org/officeDocument/2006/relationships/hyperlink" Target="https://ref.ly/Ruth1:2" TargetMode="External"/><Relationship Id="rId4842" Type="http://schemas.openxmlformats.org/officeDocument/2006/relationships/hyperlink" Target="https://ref.ly/Ruth4:11" TargetMode="External"/><Relationship Id="rId4843" Type="http://schemas.openxmlformats.org/officeDocument/2006/relationships/hyperlink" Target="https://ref.ly/Ps132:6" TargetMode="External"/><Relationship Id="rId4844" Type="http://schemas.openxmlformats.org/officeDocument/2006/relationships/hyperlink" Target="https://ref.ly/Gen23:8-Gen23:17" TargetMode="External"/><Relationship Id="rId4845" Type="http://schemas.openxmlformats.org/officeDocument/2006/relationships/hyperlink" Target="https://ref.ly/Gen25:9" TargetMode="External"/><Relationship Id="rId4846" Type="http://schemas.openxmlformats.org/officeDocument/2006/relationships/hyperlink" Target="https://ref.ly/Gen50:13" TargetMode="External"/><Relationship Id="rId4847" Type="http://schemas.openxmlformats.org/officeDocument/2006/relationships/hyperlink" Target="https://ref.ly/Acts17:18" TargetMode="External"/><Relationship Id="rId4848" Type="http://schemas.openxmlformats.org/officeDocument/2006/relationships/hyperlink" Target="https://ref.ly/Phil4:5" TargetMode="External"/><Relationship Id="rId4849" Type="http://schemas.openxmlformats.org/officeDocument/2006/relationships/hyperlink" Target="https://ref.ly/Prov3:13-Prov3:18" TargetMode="External"/><Relationship Id="rId4850" Type="http://schemas.openxmlformats.org/officeDocument/2006/relationships/hyperlink" Target="https://ref.ly/Phil4:6-Phil4:7" TargetMode="External"/><Relationship Id="rId4851" Type="http://schemas.openxmlformats.org/officeDocument/2006/relationships/hyperlink" Target="https://ref.ly/Matt17:14-Matt17:18" TargetMode="External"/><Relationship Id="rId4852" Type="http://schemas.openxmlformats.org/officeDocument/2006/relationships/hyperlink" Target="https://ref.ly/Mark9:17-Mark9:27" TargetMode="External"/><Relationship Id="rId4853" Type="http://schemas.openxmlformats.org/officeDocument/2006/relationships/hyperlink" Target="https://ref.ly/Luke9:37-Luke9:42" TargetMode="External"/><Relationship Id="rId4854" Type="http://schemas.openxmlformats.org/officeDocument/2006/relationships/hyperlink" Target="https://ref.ly/Gen3:18" TargetMode="External"/><Relationship Id="rId4855" Type="http://schemas.openxmlformats.org/officeDocument/2006/relationships/hyperlink" Target="https://ref.ly/Matt27:29" TargetMode="External"/><Relationship Id="rId4856" Type="http://schemas.openxmlformats.org/officeDocument/2006/relationships/hyperlink" Target="https://ref.ly/Gen38:3" TargetMode="External"/><Relationship Id="rId4857" Type="http://schemas.openxmlformats.org/officeDocument/2006/relationships/hyperlink" Target="https://ref.ly/Gen38:7" TargetMode="External"/><Relationship Id="rId4858" Type="http://schemas.openxmlformats.org/officeDocument/2006/relationships/hyperlink" Target="https://ref.ly/Gen46:12" TargetMode="External"/><Relationship Id="rId4859" Type="http://schemas.openxmlformats.org/officeDocument/2006/relationships/hyperlink" Target="https://ref.ly/1Chr2:3" TargetMode="External"/><Relationship Id="rId4860" Type="http://schemas.openxmlformats.org/officeDocument/2006/relationships/hyperlink" Target="https://ref.ly/1Chr4:21" TargetMode="External"/><Relationship Id="rId4861" Type="http://schemas.openxmlformats.org/officeDocument/2006/relationships/hyperlink" Target="https://ref.ly/Luke3:28" TargetMode="External"/><Relationship Id="rId4862" Type="http://schemas.openxmlformats.org/officeDocument/2006/relationships/hyperlink" Target="https://ref.ly/2Tim4:20" TargetMode="External"/><Relationship Id="rId4863" Type="http://schemas.openxmlformats.org/officeDocument/2006/relationships/hyperlink" Target="https://ref.ly/Ezra4:9" TargetMode="External"/><Relationship Id="rId4864" Type="http://schemas.openxmlformats.org/officeDocument/2006/relationships/hyperlink" Target="https://ref.ly/Num26:16" TargetMode="External"/><Relationship Id="rId4865" Type="http://schemas.openxmlformats.org/officeDocument/2006/relationships/hyperlink" Target="https://ref.ly/Gen25:24-Gen25:26" TargetMode="External"/><Relationship Id="rId4866" Type="http://schemas.openxmlformats.org/officeDocument/2006/relationships/hyperlink" Target="https://ref.ly/Gen25:29-Gen25:34" TargetMode="External"/><Relationship Id="rId4867" Type="http://schemas.openxmlformats.org/officeDocument/2006/relationships/hyperlink" Target="https://ref.ly/Gen26:34-Gen26:35" TargetMode="External"/><Relationship Id="rId4868" Type="http://schemas.openxmlformats.org/officeDocument/2006/relationships/hyperlink" Target="https://ref.ly/Gen33:4-Gen33:16" TargetMode="External"/><Relationship Id="rId4869" Type="http://schemas.openxmlformats.org/officeDocument/2006/relationships/hyperlink" Target="https://ref.ly/2Sam8:11-2Sam8:15" TargetMode="External"/><Relationship Id="rId4870" Type="http://schemas.openxmlformats.org/officeDocument/2006/relationships/hyperlink" Target="https://ref.ly/1Chr18:13" TargetMode="External"/><Relationship Id="rId4871" Type="http://schemas.openxmlformats.org/officeDocument/2006/relationships/hyperlink" Target="https://ref.ly/2Chr21:8-2Chr21:10" TargetMode="External"/><Relationship Id="rId4872" Type="http://schemas.openxmlformats.org/officeDocument/2006/relationships/hyperlink" Target="https://ref.ly/Heb9:27" TargetMode="External"/><Relationship Id="rId4873" Type="http://schemas.openxmlformats.org/officeDocument/2006/relationships/hyperlink" Target="https://ref.ly/1Thess4:17" TargetMode="External"/><Relationship Id="rId4874" Type="http://schemas.openxmlformats.org/officeDocument/2006/relationships/hyperlink" Target="https://ref.ly/Rom5:12" TargetMode="External"/><Relationship Id="rId4875" Type="http://schemas.openxmlformats.org/officeDocument/2006/relationships/hyperlink" Target="https://ref.ly/Acts1:11" TargetMode="External"/><Relationship Id="rId4876" Type="http://schemas.openxmlformats.org/officeDocument/2006/relationships/hyperlink" Target="https://ref.ly/Luke12:39-Luke12:40" TargetMode="External"/><Relationship Id="rId4877" Type="http://schemas.openxmlformats.org/officeDocument/2006/relationships/hyperlink" Target="https://ref.ly/Matt24:1-Matt25:46" TargetMode="External"/><Relationship Id="rId4878" Type="http://schemas.openxmlformats.org/officeDocument/2006/relationships/hyperlink" Target="https://ref.ly/1Cor15:35-1Cor15:56" TargetMode="External"/><Relationship Id="rId4879" Type="http://schemas.openxmlformats.org/officeDocument/2006/relationships/hyperlink" Target="https://ref.ly/John5:28-John5:29" TargetMode="External"/><Relationship Id="rId4880" Type="http://schemas.openxmlformats.org/officeDocument/2006/relationships/hyperlink" Target="https://ref.ly/Rev20:4-Rev20:7" TargetMode="External"/><Relationship Id="rId4881" Type="http://schemas.openxmlformats.org/officeDocument/2006/relationships/hyperlink" Target="https://ref.ly/Rev20:1-Rev20:15" TargetMode="External"/><Relationship Id="rId4882" Type="http://schemas.openxmlformats.org/officeDocument/2006/relationships/hyperlink" Target="https://ref.ly/Dan9:24-Dan9:27" TargetMode="External"/><Relationship Id="rId4883" Type="http://schemas.openxmlformats.org/officeDocument/2006/relationships/hyperlink" Target="https://ref.ly/Gen36:26" TargetMode="External"/><Relationship Id="rId4884" Type="http://schemas.openxmlformats.org/officeDocument/2006/relationships/hyperlink" Target="https://ref.ly/Gen14:21" TargetMode="External"/><Relationship Id="rId4885" Type="http://schemas.openxmlformats.org/officeDocument/2006/relationships/hyperlink" Target="https://ref.ly/Num31:9" TargetMode="External"/><Relationship Id="rId4886" Type="http://schemas.openxmlformats.org/officeDocument/2006/relationships/hyperlink" Target="https://ref.ly/Deut20:14" TargetMode="External"/><Relationship Id="rId4887" Type="http://schemas.openxmlformats.org/officeDocument/2006/relationships/hyperlink" Target="https://ref.ly/1Sam4:9" TargetMode="External"/><Relationship Id="rId4888" Type="http://schemas.openxmlformats.org/officeDocument/2006/relationships/hyperlink" Target="https://ref.ly/2Kgs5:2" TargetMode="External"/><Relationship Id="rId4889" Type="http://schemas.openxmlformats.org/officeDocument/2006/relationships/hyperlink" Target="https://ref.ly/2Chr28:8" TargetMode="External"/><Relationship Id="rId4890" Type="http://schemas.openxmlformats.org/officeDocument/2006/relationships/hyperlink" Target="https://ref.ly/Joel3:4-Joel3:8" TargetMode="External"/><Relationship Id="rId4891" Type="http://schemas.openxmlformats.org/officeDocument/2006/relationships/hyperlink" Target="https://ref.ly/Gen37:36" TargetMode="External"/><Relationship Id="rId4892" Type="http://schemas.openxmlformats.org/officeDocument/2006/relationships/hyperlink" Target="https://ref.ly/Gen39:1" TargetMode="External"/><Relationship Id="rId4893" Type="http://schemas.openxmlformats.org/officeDocument/2006/relationships/hyperlink" Target="https://ref.ly/Deut15:18" TargetMode="External"/><Relationship Id="rId4894" Type="http://schemas.openxmlformats.org/officeDocument/2006/relationships/hyperlink" Target="https://ref.ly/Lev25:47-Lev25:48" TargetMode="External"/><Relationship Id="rId4895" Type="http://schemas.openxmlformats.org/officeDocument/2006/relationships/hyperlink" Target="https://ref.ly/Gen37:27-Gen37:28" TargetMode="External"/><Relationship Id="rId4896" Type="http://schemas.openxmlformats.org/officeDocument/2006/relationships/hyperlink" Target="https://ref.ly/Exod21:11" TargetMode="External"/><Relationship Id="rId4897" Type="http://schemas.openxmlformats.org/officeDocument/2006/relationships/hyperlink" Target="https://ref.ly/Deut24:7" TargetMode="External"/><Relationship Id="rId4898" Type="http://schemas.openxmlformats.org/officeDocument/2006/relationships/hyperlink" Target="https://ref.ly/Exod21:2" TargetMode="External"/><Relationship Id="rId4899" Type="http://schemas.openxmlformats.org/officeDocument/2006/relationships/hyperlink" Target="https://ref.ly/Lev25:10-Lev25:13" TargetMode="External"/><Relationship Id="rId4900" Type="http://schemas.openxmlformats.org/officeDocument/2006/relationships/hyperlink" Target="https://ref.ly/Deut15:12-Deut15:14" TargetMode="External"/><Relationship Id="rId4901" Type="http://schemas.openxmlformats.org/officeDocument/2006/relationships/hyperlink" Target="https://ref.ly/Gen16:2-Gen16:4" TargetMode="External"/><Relationship Id="rId4902" Type="http://schemas.openxmlformats.org/officeDocument/2006/relationships/hyperlink" Target="https://ref.ly/Exod21:7-Exod21:11" TargetMode="External"/><Relationship Id="rId4903" Type="http://schemas.openxmlformats.org/officeDocument/2006/relationships/hyperlink" Target="https://ref.ly/1Kgs9:15,1Kgs9:21-1Kgs9:23" TargetMode="External"/><Relationship Id="rId4904" Type="http://schemas.openxmlformats.org/officeDocument/2006/relationships/hyperlink" Target="https://ref.ly/1Kgs5:13-1Kgs5:18" TargetMode="External"/><Relationship Id="rId4905" Type="http://schemas.openxmlformats.org/officeDocument/2006/relationships/hyperlink" Target="https://ref.ly/Num31:28-Num31:30,Num31:47" TargetMode="External"/><Relationship Id="rId4906" Type="http://schemas.openxmlformats.org/officeDocument/2006/relationships/hyperlink" Target="https://ref.ly/Josh9:23-Josh9:25" TargetMode="External"/><Relationship Id="rId4907" Type="http://schemas.openxmlformats.org/officeDocument/2006/relationships/hyperlink" Target="https://ref.ly/Ezra2:58" TargetMode="External"/><Relationship Id="rId4908" Type="http://schemas.openxmlformats.org/officeDocument/2006/relationships/hyperlink" Target="https://ref.ly/Ezra8:20" TargetMode="External"/><Relationship Id="rId4909" Type="http://schemas.openxmlformats.org/officeDocument/2006/relationships/hyperlink" Target="https://ref.ly/Neh3:26,Neh3:31" TargetMode="External"/><Relationship Id="rId4910" Type="http://schemas.openxmlformats.org/officeDocument/2006/relationships/hyperlink" Target="https://ref.ly/Eph6:9" TargetMode="External"/><Relationship Id="rId4911" Type="http://schemas.openxmlformats.org/officeDocument/2006/relationships/hyperlink" Target="https://ref.ly/Col4:1" TargetMode="External"/><Relationship Id="rId4912" Type="http://schemas.openxmlformats.org/officeDocument/2006/relationships/hyperlink" Target="https://ref.ly/1Tim6:2" TargetMode="External"/><Relationship Id="rId4913" Type="http://schemas.openxmlformats.org/officeDocument/2006/relationships/hyperlink" Target="https://ref.ly/Phil1:19" TargetMode="External"/><Relationship Id="rId4914" Type="http://schemas.openxmlformats.org/officeDocument/2006/relationships/hyperlink" Target="https://ref.ly/1Pet1:11" TargetMode="External"/><Relationship Id="rId4915" Type="http://schemas.openxmlformats.org/officeDocument/2006/relationships/hyperlink" Target="https://ref.ly/John7:38" TargetMode="External"/><Relationship Id="rId4916" Type="http://schemas.openxmlformats.org/officeDocument/2006/relationships/hyperlink" Target="https://ref.ly/John19:30" TargetMode="External"/><Relationship Id="rId4917" Type="http://schemas.openxmlformats.org/officeDocument/2006/relationships/hyperlink" Target="https://ref.ly/Rev3:1" TargetMode="External"/><Relationship Id="rId4918" Type="http://schemas.openxmlformats.org/officeDocument/2006/relationships/hyperlink" Target="https://ref.ly/Rev5:6" TargetMode="External"/><Relationship Id="rId4919" Type="http://schemas.openxmlformats.org/officeDocument/2006/relationships/hyperlink" Target="https://ref.ly/Acts5:32" TargetMode="External"/><Relationship Id="rId4920" Type="http://schemas.openxmlformats.org/officeDocument/2006/relationships/hyperlink" Target="https://ref.ly/1Cor12:3" TargetMode="External"/><Relationship Id="rId4921" Type="http://schemas.openxmlformats.org/officeDocument/2006/relationships/hyperlink" Target="https://ref.ly/1John5:7-1John5:8" TargetMode="External"/><Relationship Id="rId4922" Type="http://schemas.openxmlformats.org/officeDocument/2006/relationships/hyperlink" Target="https://ref.ly/Rev19:10" TargetMode="External"/><Relationship Id="rId4923" Type="http://schemas.openxmlformats.org/officeDocument/2006/relationships/hyperlink" Target="https://ref.ly/John6:63" TargetMode="External"/><Relationship Id="rId4924" Type="http://schemas.openxmlformats.org/officeDocument/2006/relationships/hyperlink" Target="https://ref.ly/John7:37-John7:39" TargetMode="External"/><Relationship Id="rId4925" Type="http://schemas.openxmlformats.org/officeDocument/2006/relationships/hyperlink" Target="https://ref.ly/John14:16-John14:18" TargetMode="External"/><Relationship Id="rId4926" Type="http://schemas.openxmlformats.org/officeDocument/2006/relationships/hyperlink" Target="https://ref.ly/John20:22" TargetMode="External"/><Relationship Id="rId4927" Type="http://schemas.openxmlformats.org/officeDocument/2006/relationships/hyperlink" Target="https://ref.ly/1John3:24" TargetMode="External"/><Relationship Id="rId4928" Type="http://schemas.openxmlformats.org/officeDocument/2006/relationships/hyperlink" Target="https://ref.ly/1John4:13" TargetMode="External"/><Relationship Id="rId4929" Type="http://schemas.openxmlformats.org/officeDocument/2006/relationships/hyperlink" Target="https://ref.ly/Rom8:9-Rom8:10" TargetMode="External"/><Relationship Id="rId4930" Type="http://schemas.openxmlformats.org/officeDocument/2006/relationships/hyperlink" Target="https://ref.ly/1Cor15:45" TargetMode="External"/><Relationship Id="rId4931" Type="http://schemas.openxmlformats.org/officeDocument/2006/relationships/hyperlink" Target="https://ref.ly/2Cor3:17-2Cor3:18" TargetMode="External"/><Relationship Id="rId4932" Type="http://schemas.openxmlformats.org/officeDocument/2006/relationships/hyperlink" Target="https://ref.ly/1Cor6:17" TargetMode="External"/><Relationship Id="rId4933" Type="http://schemas.openxmlformats.org/officeDocument/2006/relationships/hyperlink" Target="https://ref.ly/John6:1-John6:71" TargetMode="External"/><Relationship Id="rId4934" Type="http://schemas.openxmlformats.org/officeDocument/2006/relationships/hyperlink" Target="https://ref.ly/John7:39" TargetMode="External"/><Relationship Id="rId4935" Type="http://schemas.openxmlformats.org/officeDocument/2006/relationships/hyperlink" Target="https://ref.ly/John7:1-John7:53" TargetMode="External"/><Relationship Id="rId4936" Type="http://schemas.openxmlformats.org/officeDocument/2006/relationships/hyperlink" Target="https://ref.ly/John14:20" TargetMode="External"/><Relationship Id="rId4937" Type="http://schemas.openxmlformats.org/officeDocument/2006/relationships/hyperlink" Target="https://ref.ly/2Cor5:15-2Cor5:16" TargetMode="External"/><Relationship Id="rId4938" Type="http://schemas.openxmlformats.org/officeDocument/2006/relationships/hyperlink" Target="https://ref.ly/1Cor15:8" TargetMode="External"/><Relationship Id="rId4939" Type="http://schemas.openxmlformats.org/officeDocument/2006/relationships/hyperlink" Target="https://ref.ly/Phil2:6" TargetMode="External"/><Relationship Id="rId4940" Type="http://schemas.openxmlformats.org/officeDocument/2006/relationships/hyperlink" Target="https://ref.ly/2Cor3:1-2Cor3:18" TargetMode="External"/><Relationship Id="rId4941" Type="http://schemas.openxmlformats.org/officeDocument/2006/relationships/hyperlink" Target="https://ref.ly/2Cor3:3" TargetMode="External"/><Relationship Id="rId4942" Type="http://schemas.openxmlformats.org/officeDocument/2006/relationships/hyperlink" Target="https://ref.ly/2Cor3:6" TargetMode="External"/><Relationship Id="rId4943" Type="http://schemas.openxmlformats.org/officeDocument/2006/relationships/hyperlink" Target="https://ref.ly/2Cor3:8" TargetMode="External"/><Relationship Id="rId4944" Type="http://schemas.openxmlformats.org/officeDocument/2006/relationships/hyperlink" Target="https://ref.ly/2Cor3:3,2Cor3:14,2Cor3:16-2Cor3:18" TargetMode="External"/><Relationship Id="rId4945" Type="http://schemas.openxmlformats.org/officeDocument/2006/relationships/hyperlink" Target="https://ref.ly/2Cor4:4-2Cor4:6" TargetMode="External"/><Relationship Id="rId4946" Type="http://schemas.openxmlformats.org/officeDocument/2006/relationships/hyperlink" Target="https://ref.ly/2Cor3:17" TargetMode="External"/><Relationship Id="rId4947" Type="http://schemas.openxmlformats.org/officeDocument/2006/relationships/hyperlink" Target="https://ref.ly/1Pet3:18-1Pet3:20" TargetMode="External"/><Relationship Id="rId4948" Type="http://schemas.openxmlformats.org/officeDocument/2006/relationships/hyperlink" Target="https://ref.ly/Gen6:1-Gen6:4" TargetMode="External"/><Relationship Id="rId4949" Type="http://schemas.openxmlformats.org/officeDocument/2006/relationships/hyperlink" Target="https://ref.ly/Acts26:5" TargetMode="External"/><Relationship Id="rId4950" Type="http://schemas.openxmlformats.org/officeDocument/2006/relationships/hyperlink" Target="https://ref.ly/Acts5:17" TargetMode="External"/><Relationship Id="rId4951" Type="http://schemas.openxmlformats.org/officeDocument/2006/relationships/hyperlink" Target="https://ref.ly/Acts24:5,Acts24:14" TargetMode="External"/><Relationship Id="rId4952" Type="http://schemas.openxmlformats.org/officeDocument/2006/relationships/hyperlink" Target="https://ref.ly/Acts28:22" TargetMode="External"/><Relationship Id="rId4953" Type="http://schemas.openxmlformats.org/officeDocument/2006/relationships/hyperlink" Target="https://ref.ly/1Macc1:15" TargetMode="External"/><Relationship Id="rId4954" Type="http://schemas.openxmlformats.org/officeDocument/2006/relationships/hyperlink" Target="https://ref.ly/1Macc2:42" TargetMode="External"/><Relationship Id="rId4955" Type="http://schemas.openxmlformats.org/officeDocument/2006/relationships/hyperlink" Target="https://ref.ly/Dan1:7" TargetMode="External"/><Relationship Id="rId4956" Type="http://schemas.openxmlformats.org/officeDocument/2006/relationships/hyperlink" Target="https://ref.ly/Esth3:5-Esth3:6" TargetMode="External"/><Relationship Id="rId4957" Type="http://schemas.openxmlformats.org/officeDocument/2006/relationships/hyperlink" Target="https://ref.ly/Esth1:11-Esth1:12" TargetMode="External"/><Relationship Id="rId4958" Type="http://schemas.openxmlformats.org/officeDocument/2006/relationships/hyperlink" Target="https://ref.ly/EsthGr11:2-EsthGr12:6" TargetMode="External"/><Relationship Id="rId4959" Type="http://schemas.openxmlformats.org/officeDocument/2006/relationships/hyperlink" Target="https://ref.ly/EsthGr13:1-EsthGr13:7" TargetMode="External"/><Relationship Id="rId4960" Type="http://schemas.openxmlformats.org/officeDocument/2006/relationships/hyperlink" Target="https://ref.ly/EsthGr13:8-EsthGr14:19" TargetMode="External"/><Relationship Id="rId4961" Type="http://schemas.openxmlformats.org/officeDocument/2006/relationships/hyperlink" Target="https://ref.ly/Esth4:17" TargetMode="External"/><Relationship Id="rId4962" Type="http://schemas.openxmlformats.org/officeDocument/2006/relationships/hyperlink" Target="https://ref.ly/EsthGr15:1-EsthGr15:16" TargetMode="External"/><Relationship Id="rId4963" Type="http://schemas.openxmlformats.org/officeDocument/2006/relationships/hyperlink" Target="https://ref.ly/Esth5:3" TargetMode="External"/><Relationship Id="rId4964" Type="http://schemas.openxmlformats.org/officeDocument/2006/relationships/hyperlink" Target="https://ref.ly/Esth5:1-Esth5:2" TargetMode="External"/><Relationship Id="rId4965" Type="http://schemas.openxmlformats.org/officeDocument/2006/relationships/hyperlink" Target="https://ref.ly/EsthGr16:1-EsthGr16:24" TargetMode="External"/><Relationship Id="rId4966" Type="http://schemas.openxmlformats.org/officeDocument/2006/relationships/hyperlink" Target="https://ref.ly/Esth8:12" TargetMode="External"/><Relationship Id="rId4967" Type="http://schemas.openxmlformats.org/officeDocument/2006/relationships/hyperlink" Target="https://ref.ly/EsthGr10:4-EsthGr11:1" TargetMode="External"/><Relationship Id="rId4968" Type="http://schemas.openxmlformats.org/officeDocument/2006/relationships/hyperlink" Target="https://ref.ly/Esth10:3" TargetMode="External"/><Relationship Id="rId4969" Type="http://schemas.openxmlformats.org/officeDocument/2006/relationships/hyperlink" Target="https://ref.ly/Esth1:19" TargetMode="External"/><Relationship Id="rId4970" Type="http://schemas.openxmlformats.org/officeDocument/2006/relationships/hyperlink" Target="https://ref.ly/Esth8:8" TargetMode="External"/><Relationship Id="rId4971" Type="http://schemas.openxmlformats.org/officeDocument/2006/relationships/hyperlink" Target="https://ref.ly/EsthGr16:17" TargetMode="External"/><Relationship Id="rId4972" Type="http://schemas.openxmlformats.org/officeDocument/2006/relationships/hyperlink" Target="https://ref.ly/Esth2:15-Esth2:18" TargetMode="External"/><Relationship Id="rId4973" Type="http://schemas.openxmlformats.org/officeDocument/2006/relationships/hyperlink" Target="https://ref.ly/EsthGr14:15" TargetMode="External"/><Relationship Id="rId4974" Type="http://schemas.openxmlformats.org/officeDocument/2006/relationships/hyperlink" Target="https://ref.ly/Esth2:16-Esth2:19" TargetMode="External"/><Relationship Id="rId4975" Type="http://schemas.openxmlformats.org/officeDocument/2006/relationships/hyperlink" Target="https://ref.ly/EsthGr11:3-EsthGr12:1" TargetMode="External"/><Relationship Id="rId4976" Type="http://schemas.openxmlformats.org/officeDocument/2006/relationships/hyperlink" Target="https://ref.ly/Esth6:3-Esth6:4" TargetMode="External"/><Relationship Id="rId4977" Type="http://schemas.openxmlformats.org/officeDocument/2006/relationships/hyperlink" Target="https://ref.ly/EsthGr12:5" TargetMode="External"/><Relationship Id="rId4978" Type="http://schemas.openxmlformats.org/officeDocument/2006/relationships/hyperlink" Target="https://ref.ly/EsthGr16:10" TargetMode="External"/><Relationship Id="rId4979" Type="http://schemas.openxmlformats.org/officeDocument/2006/relationships/hyperlink" Target="https://ref.ly/Esth3:5" TargetMode="External"/><Relationship Id="rId4980" Type="http://schemas.openxmlformats.org/officeDocument/2006/relationships/hyperlink" Target="https://ref.ly/EsthGr12:6" TargetMode="External"/><Relationship Id="rId4981" Type="http://schemas.openxmlformats.org/officeDocument/2006/relationships/hyperlink" Target="https://ref.ly/EsthGr14:7" TargetMode="External"/><Relationship Id="rId4982" Type="http://schemas.openxmlformats.org/officeDocument/2006/relationships/hyperlink" Target="https://ref.ly/Esth7:10" TargetMode="External"/><Relationship Id="rId4983" Type="http://schemas.openxmlformats.org/officeDocument/2006/relationships/hyperlink" Target="https://ref.ly/EsthGr16:18" TargetMode="External"/><Relationship Id="rId4984" Type="http://schemas.openxmlformats.org/officeDocument/2006/relationships/hyperlink" Target="https://ref.ly/Esth9:20-Esth9:32" TargetMode="External"/><Relationship Id="rId4985" Type="http://schemas.openxmlformats.org/officeDocument/2006/relationships/hyperlink" Target="https://ref.ly/EsthGr16:22" TargetMode="External"/><Relationship Id="rId4986" Type="http://schemas.openxmlformats.org/officeDocument/2006/relationships/hyperlink" Target="https://ref.ly/Rev19:20" TargetMode="External"/><Relationship Id="rId4987" Type="http://schemas.openxmlformats.org/officeDocument/2006/relationships/hyperlink" Target="https://ref.ly/Rev20:10,Rev20:14-Rev20:15" TargetMode="External"/><Relationship Id="rId4988" Type="http://schemas.openxmlformats.org/officeDocument/2006/relationships/hyperlink" Target="https://ref.ly/Mark9:43" TargetMode="External"/><Relationship Id="rId4989" Type="http://schemas.openxmlformats.org/officeDocument/2006/relationships/hyperlink" Target="https://ref.ly/Matt22:13" TargetMode="External"/><Relationship Id="rId4990" Type="http://schemas.openxmlformats.org/officeDocument/2006/relationships/hyperlink" Target="https://ref.ly/Matt25:30" TargetMode="External"/><Relationship Id="rId4991" Type="http://schemas.openxmlformats.org/officeDocument/2006/relationships/hyperlink" Target="https://ref.ly/Isa66:24" TargetMode="External"/><Relationship Id="rId4992" Type="http://schemas.openxmlformats.org/officeDocument/2006/relationships/hyperlink" Target="https://ref.ly/Isa30:33" TargetMode="External"/><Relationship Id="rId4993" Type="http://schemas.openxmlformats.org/officeDocument/2006/relationships/hyperlink" Target="https://ref.ly/Dan7:10" TargetMode="External"/><Relationship Id="rId4994" Type="http://schemas.openxmlformats.org/officeDocument/2006/relationships/hyperlink" Target="https://ref.ly/Isa34:9-Isa34:10" TargetMode="External"/><Relationship Id="rId4995" Type="http://schemas.openxmlformats.org/officeDocument/2006/relationships/hyperlink" Target="https://ref.ly/2Esd7:36" TargetMode="External"/><Relationship Id="rId4996" Type="http://schemas.openxmlformats.org/officeDocument/2006/relationships/hyperlink" Target="https://ref.ly/Job19:25" TargetMode="External"/><Relationship Id="rId4997" Type="http://schemas.openxmlformats.org/officeDocument/2006/relationships/hyperlink" Target="https://ref.ly/Matt22:32" TargetMode="External"/><Relationship Id="rId4998" Type="http://schemas.openxmlformats.org/officeDocument/2006/relationships/hyperlink" Target="https://ref.ly/Matt22:30-Matt22:32" TargetMode="External"/><Relationship Id="rId4999" Type="http://schemas.openxmlformats.org/officeDocument/2006/relationships/hyperlink" Target="https://ref.ly/1Cor15:50-1Cor15:58" TargetMode="External"/><Relationship Id="rId5000" Type="http://schemas.openxmlformats.org/officeDocument/2006/relationships/hyperlink" Target="https://ref.ly/1Pet3:19-1Pet3:20" TargetMode="External"/><Relationship Id="rId5001" Type="http://schemas.openxmlformats.org/officeDocument/2006/relationships/hyperlink" Target="https://ref.ly/1Sam28:7" TargetMode="External"/><Relationship Id="rId5002" Type="http://schemas.openxmlformats.org/officeDocument/2006/relationships/hyperlink" Target="https://ref.ly/Luke16:19-Luke16:31" TargetMode="External"/><Relationship Id="rId5003" Type="http://schemas.openxmlformats.org/officeDocument/2006/relationships/hyperlink" Target="https://ref.ly/John5:29" TargetMode="External"/><Relationship Id="rId5004" Type="http://schemas.openxmlformats.org/officeDocument/2006/relationships/hyperlink" Target="https://ref.ly/1Cor15:44" TargetMode="External"/><Relationship Id="rId5005" Type="http://schemas.openxmlformats.org/officeDocument/2006/relationships/hyperlink" Target="https://ref.ly/1Cor15:23" TargetMode="External"/><Relationship Id="rId5006" Type="http://schemas.openxmlformats.org/officeDocument/2006/relationships/hyperlink" Target="https://ref.ly/Rom8:35-Rom8:39" TargetMode="External"/><Relationship Id="rId5007" Type="http://schemas.openxmlformats.org/officeDocument/2006/relationships/hyperlink" Target="https://ref.ly/1Thess4:14" TargetMode="External"/><Relationship Id="rId5008" Type="http://schemas.openxmlformats.org/officeDocument/2006/relationships/hyperlink" Target="https://ref.ly/Heb9:28" TargetMode="External"/><Relationship Id="rId5009" Type="http://schemas.openxmlformats.org/officeDocument/2006/relationships/hyperlink" Target="https://ref.ly/Luke17:10" TargetMode="External"/><Relationship Id="rId5010" Type="http://schemas.openxmlformats.org/officeDocument/2006/relationships/hyperlink" Target="https://ref.ly/Ps24:1-Ps24:2" TargetMode="External"/><Relationship Id="rId5011" Type="http://schemas.openxmlformats.org/officeDocument/2006/relationships/hyperlink" Target="https://ref.ly/1Kgs19:10-1Kgs19:14" TargetMode="External"/><Relationship Id="rId5012" Type="http://schemas.openxmlformats.org/officeDocument/2006/relationships/hyperlink" Target="https://ref.ly/Isa40:26" TargetMode="External"/><Relationship Id="rId5013" Type="http://schemas.openxmlformats.org/officeDocument/2006/relationships/hyperlink" Target="https://ref.ly/Job40:1-Job41:34" TargetMode="External"/><Relationship Id="rId5014" Type="http://schemas.openxmlformats.org/officeDocument/2006/relationships/hyperlink" Target="https://ref.ly/Ps74:12-Ps74:14" TargetMode="External"/><Relationship Id="rId5015" Type="http://schemas.openxmlformats.org/officeDocument/2006/relationships/hyperlink" Target="https://ref.ly/Ps89:8-Ps89:10" TargetMode="External"/><Relationship Id="rId5016" Type="http://schemas.openxmlformats.org/officeDocument/2006/relationships/hyperlink" Target="https://ref.ly/1Kgs19:15-1Kgs19:18" TargetMode="External"/><Relationship Id="rId5017" Type="http://schemas.openxmlformats.org/officeDocument/2006/relationships/hyperlink" Target="https://ref.ly/Isa10:5-Isa10:9" TargetMode="External"/><Relationship Id="rId5018" Type="http://schemas.openxmlformats.org/officeDocument/2006/relationships/hyperlink" Target="https://ref.ly/Ezek25:1-Ezek32:32" TargetMode="External"/><Relationship Id="rId5019" Type="http://schemas.openxmlformats.org/officeDocument/2006/relationships/hyperlink" Target="https://ref.ly/Amos1:3-Amos2:16" TargetMode="External"/><Relationship Id="rId5020" Type="http://schemas.openxmlformats.org/officeDocument/2006/relationships/hyperlink" Target="https://ref.ly/Isa2:2-Isa2:4,Isa2:11-Isa2:12" TargetMode="External"/><Relationship Id="rId5021" Type="http://schemas.openxmlformats.org/officeDocument/2006/relationships/hyperlink" Target="https://ref.ly/Isa34:8" TargetMode="External"/><Relationship Id="rId5022" Type="http://schemas.openxmlformats.org/officeDocument/2006/relationships/hyperlink" Target="https://ref.ly/Ezek30:1-Ezek30:5" TargetMode="External"/><Relationship Id="rId5023" Type="http://schemas.openxmlformats.org/officeDocument/2006/relationships/hyperlink" Target="https://ref.ly/Joel2:31-Joel3:1" TargetMode="External"/><Relationship Id="rId5024" Type="http://schemas.openxmlformats.org/officeDocument/2006/relationships/hyperlink" Target="https://ref.ly/Matt25:11" TargetMode="External"/><Relationship Id="rId5025" Type="http://schemas.openxmlformats.org/officeDocument/2006/relationships/hyperlink" Target="https://ref.ly/Luke14:21" TargetMode="External"/><Relationship Id="rId5026" Type="http://schemas.openxmlformats.org/officeDocument/2006/relationships/hyperlink" Target="https://ref.ly/Acts25:26" TargetMode="External"/><Relationship Id="rId5027" Type="http://schemas.openxmlformats.org/officeDocument/2006/relationships/hyperlink" Target="https://ref.ly/1Pet3:6" TargetMode="External"/><Relationship Id="rId5028" Type="http://schemas.openxmlformats.org/officeDocument/2006/relationships/hyperlink" Target="https://ref.ly/Matt11:25" TargetMode="External"/><Relationship Id="rId5029" Type="http://schemas.openxmlformats.org/officeDocument/2006/relationships/hyperlink" Target="https://ref.ly/Heb8:2" TargetMode="External"/><Relationship Id="rId5030" Type="http://schemas.openxmlformats.org/officeDocument/2006/relationships/hyperlink" Target="https://ref.ly/1Cor8:5" TargetMode="External"/><Relationship Id="rId5031" Type="http://schemas.openxmlformats.org/officeDocument/2006/relationships/hyperlink" Target="https://ref.ly/Matt8:2" TargetMode="External"/><Relationship Id="rId5032" Type="http://schemas.openxmlformats.org/officeDocument/2006/relationships/hyperlink" Target="https://ref.ly/Matt15:25" TargetMode="External"/><Relationship Id="rId5033" Type="http://schemas.openxmlformats.org/officeDocument/2006/relationships/hyperlink" Target="https://ref.ly/Matt3:3" TargetMode="External"/><Relationship Id="rId5034" Type="http://schemas.openxmlformats.org/officeDocument/2006/relationships/hyperlink" Target="https://ref.ly/Acts9:10" TargetMode="External"/><Relationship Id="rId5035" Type="http://schemas.openxmlformats.org/officeDocument/2006/relationships/hyperlink" Target="https://ref.ly/Heb2:3" TargetMode="External"/><Relationship Id="rId5036" Type="http://schemas.openxmlformats.org/officeDocument/2006/relationships/hyperlink" Target="https://ref.ly/Jas5:7" TargetMode="External"/><Relationship Id="rId5037" Type="http://schemas.openxmlformats.org/officeDocument/2006/relationships/hyperlink" Target="https://ref.ly/2Cor8:21" TargetMode="External"/><Relationship Id="rId5038" Type="http://schemas.openxmlformats.org/officeDocument/2006/relationships/hyperlink" Target="https://ref.ly/John13:13-John13:14" TargetMode="External"/><Relationship Id="rId5039" Type="http://schemas.openxmlformats.org/officeDocument/2006/relationships/hyperlink" Target="https://ref.ly/John20:28" TargetMode="External"/><Relationship Id="rId5040" Type="http://schemas.openxmlformats.org/officeDocument/2006/relationships/hyperlink" Target="https://ref.ly/Acts2:21" TargetMode="External"/><Relationship Id="rId5041" Type="http://schemas.openxmlformats.org/officeDocument/2006/relationships/hyperlink" Target="https://ref.ly/Acts16:31" TargetMode="External"/><Relationship Id="rId5042" Type="http://schemas.openxmlformats.org/officeDocument/2006/relationships/hyperlink" Target="https://ref.ly/Phil2:11" TargetMode="External"/><Relationship Id="rId5043" Type="http://schemas.openxmlformats.org/officeDocument/2006/relationships/hyperlink" Target="https://ref.ly/Luke6:46" TargetMode="External"/><Relationship Id="rId5044" Type="http://schemas.openxmlformats.org/officeDocument/2006/relationships/hyperlink" Target="https://ref.ly/1Cor6:19-1Cor6:20" TargetMode="External"/><Relationship Id="rId5045" Type="http://schemas.openxmlformats.org/officeDocument/2006/relationships/hyperlink" Target="https://ref.ly/1Cor7:22-1Cor7:23" TargetMode="External"/><Relationship Id="rId5046" Type="http://schemas.openxmlformats.org/officeDocument/2006/relationships/hyperlink" Target="https://ref.ly/Rev17:14" TargetMode="External"/><Relationship Id="rId5047" Type="http://schemas.openxmlformats.org/officeDocument/2006/relationships/hyperlink" Target="https://ref.ly/1Cor8:5-1Cor8:6" TargetMode="External"/><Relationship Id="rId5048" Type="http://schemas.openxmlformats.org/officeDocument/2006/relationships/hyperlink" Target="https://ref.ly/1Thess4:14-1Thess4:17" TargetMode="External"/><Relationship Id="rId5049" Type="http://schemas.openxmlformats.org/officeDocument/2006/relationships/hyperlink" Target="https://ref.ly/Gen21:33" TargetMode="External"/><Relationship Id="rId5050" Type="http://schemas.openxmlformats.org/officeDocument/2006/relationships/hyperlink" Target="https://ref.ly/Rom16:26" TargetMode="External"/><Relationship Id="rId5051" Type="http://schemas.openxmlformats.org/officeDocument/2006/relationships/hyperlink" Target="https://ref.ly/John9:32" TargetMode="External"/><Relationship Id="rId5052" Type="http://schemas.openxmlformats.org/officeDocument/2006/relationships/hyperlink" Target="https://ref.ly/Luke1:70" TargetMode="External"/><Relationship Id="rId5053" Type="http://schemas.openxmlformats.org/officeDocument/2006/relationships/hyperlink" Target="https://ref.ly/Rev1:4" TargetMode="External"/><Relationship Id="rId5054" Type="http://schemas.openxmlformats.org/officeDocument/2006/relationships/hyperlink" Target="https://ref.ly/Heb6:5" TargetMode="External"/><Relationship Id="rId5055" Type="http://schemas.openxmlformats.org/officeDocument/2006/relationships/hyperlink" Target="https://ref.ly/Gal1:4" TargetMode="External"/><Relationship Id="rId5056" Type="http://schemas.openxmlformats.org/officeDocument/2006/relationships/hyperlink" Target="https://ref.ly/1Chr1:8-1Chr1:10" TargetMode="External"/><Relationship Id="rId5057" Type="http://schemas.openxmlformats.org/officeDocument/2006/relationships/hyperlink" Target="https://ref.ly/2Sam18:21-2Sam18:23,2Sam18:31-2Sam18:32" TargetMode="External"/><Relationship Id="rId5058" Type="http://schemas.openxmlformats.org/officeDocument/2006/relationships/hyperlink" Target="https://ref.ly/Ezek29:10" TargetMode="External"/><Relationship Id="rId5059" Type="http://schemas.openxmlformats.org/officeDocument/2006/relationships/hyperlink" Target="https://ref.ly/Isa18:1" TargetMode="External"/><Relationship Id="rId5060" Type="http://schemas.openxmlformats.org/officeDocument/2006/relationships/hyperlink" Target="https://ref.ly/Job28:19" TargetMode="External"/><Relationship Id="rId5061" Type="http://schemas.openxmlformats.org/officeDocument/2006/relationships/hyperlink" Target="https://ref.ly/Isa45:14" TargetMode="External"/><Relationship Id="rId5062" Type="http://schemas.openxmlformats.org/officeDocument/2006/relationships/hyperlink" Target="https://ref.ly/Ps87:4" TargetMode="External"/><Relationship Id="rId5063" Type="http://schemas.openxmlformats.org/officeDocument/2006/relationships/hyperlink" Target="https://ref.ly/Isa20:3" TargetMode="External"/><Relationship Id="rId5064" Type="http://schemas.openxmlformats.org/officeDocument/2006/relationships/hyperlink" Target="https://ref.ly/Ezek30:4" TargetMode="External"/><Relationship Id="rId5065" Type="http://schemas.openxmlformats.org/officeDocument/2006/relationships/hyperlink" Target="https://ref.ly/Zeph2:12" TargetMode="External"/><Relationship Id="rId5066" Type="http://schemas.openxmlformats.org/officeDocument/2006/relationships/hyperlink" Target="https://ref.ly/Ps68:31" TargetMode="External"/><Relationship Id="rId5067" Type="http://schemas.openxmlformats.org/officeDocument/2006/relationships/hyperlink" Target="https://ref.ly/Acts7:1-Acts7:53" TargetMode="External"/><Relationship Id="rId5068" Type="http://schemas.openxmlformats.org/officeDocument/2006/relationships/hyperlink" Target="https://ref.ly/Acts6:8" TargetMode="External"/><Relationship Id="rId5069" Type="http://schemas.openxmlformats.org/officeDocument/2006/relationships/hyperlink" Target="https://ref.ly/Acts6:10-Acts7:60" TargetMode="External"/><Relationship Id="rId5070" Type="http://schemas.openxmlformats.org/officeDocument/2006/relationships/hyperlink" Target="https://ref.ly/Acts7:54-Acts7:60" TargetMode="External"/><Relationship Id="rId5071" Type="http://schemas.openxmlformats.org/officeDocument/2006/relationships/hyperlink" Target="https://ref.ly/Luke23:46" TargetMode="External"/><Relationship Id="rId5072" Type="http://schemas.openxmlformats.org/officeDocument/2006/relationships/hyperlink" Target="https://ref.ly/Acts7:59-Acts7:60" TargetMode="External"/><Relationship Id="rId5073" Type="http://schemas.openxmlformats.org/officeDocument/2006/relationships/hyperlink" Target="https://ref.ly/Acts8:1-Acts8:3" TargetMode="External"/><Relationship Id="rId5074" Type="http://schemas.openxmlformats.org/officeDocument/2006/relationships/hyperlink" Target="https://ref.ly/Gen26:3" TargetMode="External"/><Relationship Id="rId5075" Type="http://schemas.openxmlformats.org/officeDocument/2006/relationships/hyperlink" Target="https://ref.ly/Lev25:35" TargetMode="External"/><Relationship Id="rId5076" Type="http://schemas.openxmlformats.org/officeDocument/2006/relationships/hyperlink" Target="https://ref.ly/1Chr29:15" TargetMode="External"/><Relationship Id="rId5077" Type="http://schemas.openxmlformats.org/officeDocument/2006/relationships/hyperlink" Target="https://ref.ly/Ps39:12" TargetMode="External"/><Relationship Id="rId5078" Type="http://schemas.openxmlformats.org/officeDocument/2006/relationships/hyperlink" Target="https://ref.ly/Gen23:4" TargetMode="External"/><Relationship Id="rId5079" Type="http://schemas.openxmlformats.org/officeDocument/2006/relationships/hyperlink" Target="https://ref.ly/Deut15:3" TargetMode="External"/><Relationship Id="rId5080" Type="http://schemas.openxmlformats.org/officeDocument/2006/relationships/hyperlink" Target="https://ref.ly/Deut14:21" TargetMode="External"/><Relationship Id="rId5081" Type="http://schemas.openxmlformats.org/officeDocument/2006/relationships/hyperlink" Target="https://ref.ly/Exod2:22" TargetMode="External"/><Relationship Id="rId5082" Type="http://schemas.openxmlformats.org/officeDocument/2006/relationships/hyperlink" Target="https://ref.ly/Deut17:15" TargetMode="External"/><Relationship Id="rId5083" Type="http://schemas.openxmlformats.org/officeDocument/2006/relationships/hyperlink" Target="https://ref.ly/Job19:15" TargetMode="External"/><Relationship Id="rId5084" Type="http://schemas.openxmlformats.org/officeDocument/2006/relationships/hyperlink" Target="https://ref.ly/Ps69:8" TargetMode="External"/><Relationship Id="rId5085" Type="http://schemas.openxmlformats.org/officeDocument/2006/relationships/hyperlink" Target="https://ref.ly/Lam5:2" TargetMode="External"/><Relationship Id="rId5086" Type="http://schemas.openxmlformats.org/officeDocument/2006/relationships/hyperlink" Target="https://ref.ly/2Sam4:3" TargetMode="External"/><Relationship Id="rId5087" Type="http://schemas.openxmlformats.org/officeDocument/2006/relationships/hyperlink" Target="https://ref.ly/2Chr2:17" TargetMode="External"/><Relationship Id="rId5088" Type="http://schemas.openxmlformats.org/officeDocument/2006/relationships/hyperlink" Target="https://ref.ly/Gen47:4" TargetMode="External"/><Relationship Id="rId5089" Type="http://schemas.openxmlformats.org/officeDocument/2006/relationships/hyperlink" Target="https://ref.ly/Ruth1:1" TargetMode="External"/><Relationship Id="rId5090" Type="http://schemas.openxmlformats.org/officeDocument/2006/relationships/hyperlink" Target="https://ref.ly/Lev17:8" TargetMode="External"/><Relationship Id="rId5091" Type="http://schemas.openxmlformats.org/officeDocument/2006/relationships/hyperlink" Target="https://ref.ly/Lev22:18" TargetMode="External"/><Relationship Id="rId5092" Type="http://schemas.openxmlformats.org/officeDocument/2006/relationships/hyperlink" Target="https://ref.ly/Ezek44:9" TargetMode="External"/><Relationship Id="rId5093" Type="http://schemas.openxmlformats.org/officeDocument/2006/relationships/hyperlink" Target="https://ref.ly/Deut16:11,Deut16:14" TargetMode="External"/><Relationship Id="rId5094" Type="http://schemas.openxmlformats.org/officeDocument/2006/relationships/hyperlink" Target="https://ref.ly/Exod12:43,Exod12:48" TargetMode="External"/><Relationship Id="rId5095" Type="http://schemas.openxmlformats.org/officeDocument/2006/relationships/hyperlink" Target="https://ref.ly/Deut14:29" TargetMode="External"/><Relationship Id="rId5096" Type="http://schemas.openxmlformats.org/officeDocument/2006/relationships/hyperlink" Target="https://ref.ly/Exod20:10" TargetMode="External"/><Relationship Id="rId5097" Type="http://schemas.openxmlformats.org/officeDocument/2006/relationships/hyperlink" Target="https://ref.ly/Exod23:12" TargetMode="External"/><Relationship Id="rId5098" Type="http://schemas.openxmlformats.org/officeDocument/2006/relationships/hyperlink" Target="https://ref.ly/Lev16:29" TargetMode="External"/><Relationship Id="rId5099" Type="http://schemas.openxmlformats.org/officeDocument/2006/relationships/hyperlink" Target="https://ref.ly/Deut5:14" TargetMode="External"/><Relationship Id="rId5100" Type="http://schemas.openxmlformats.org/officeDocument/2006/relationships/hyperlink" Target="https://ref.ly/Num15:30" TargetMode="External"/><Relationship Id="rId5101" Type="http://schemas.openxmlformats.org/officeDocument/2006/relationships/hyperlink" Target="https://ref.ly/Lev17:10-Lev17:12" TargetMode="External"/><Relationship Id="rId5102" Type="http://schemas.openxmlformats.org/officeDocument/2006/relationships/hyperlink" Target="https://ref.ly/Lev18:26" TargetMode="External"/><Relationship Id="rId5103" Type="http://schemas.openxmlformats.org/officeDocument/2006/relationships/hyperlink" Target="https://ref.ly/Gen34:14" TargetMode="External"/><Relationship Id="rId5104" Type="http://schemas.openxmlformats.org/officeDocument/2006/relationships/hyperlink" Target="https://ref.ly/Exod34:12,Exod34:16" TargetMode="External"/><Relationship Id="rId5105" Type="http://schemas.openxmlformats.org/officeDocument/2006/relationships/hyperlink" Target="https://ref.ly/Deut7:3-Deut7:4" TargetMode="External"/><Relationship Id="rId5106" Type="http://schemas.openxmlformats.org/officeDocument/2006/relationships/hyperlink" Target="https://ref.ly/Josh23:12" TargetMode="External"/><Relationship Id="rId5107" Type="http://schemas.openxmlformats.org/officeDocument/2006/relationships/hyperlink" Target="https://ref.ly/Exod12:49" TargetMode="External"/><Relationship Id="rId5108" Type="http://schemas.openxmlformats.org/officeDocument/2006/relationships/hyperlink" Target="https://ref.ly/Lev24:22" TargetMode="External"/><Relationship Id="rId5109" Type="http://schemas.openxmlformats.org/officeDocument/2006/relationships/hyperlink" Target="https://ref.ly/Lev24:16,Lev24:22" TargetMode="External"/><Relationship Id="rId5110" Type="http://schemas.openxmlformats.org/officeDocument/2006/relationships/hyperlink" Target="https://ref.ly/Deut1:16" TargetMode="External"/><Relationship Id="rId5111" Type="http://schemas.openxmlformats.org/officeDocument/2006/relationships/hyperlink" Target="https://ref.ly/Exod22:21" TargetMode="External"/><Relationship Id="rId5112" Type="http://schemas.openxmlformats.org/officeDocument/2006/relationships/hyperlink" Target="https://ref.ly/Lev19:34" TargetMode="External"/><Relationship Id="rId5113" Type="http://schemas.openxmlformats.org/officeDocument/2006/relationships/hyperlink" Target="https://ref.ly/Deut10:18-Deut10:19" TargetMode="External"/><Relationship Id="rId5114" Type="http://schemas.openxmlformats.org/officeDocument/2006/relationships/hyperlink" Target="https://ref.ly/Lev19:10" TargetMode="External"/><Relationship Id="rId5115" Type="http://schemas.openxmlformats.org/officeDocument/2006/relationships/hyperlink" Target="https://ref.ly/Lev23:22" TargetMode="External"/><Relationship Id="rId5116" Type="http://schemas.openxmlformats.org/officeDocument/2006/relationships/hyperlink" Target="https://ref.ly/Deut24:19-Deut24:22" TargetMode="External"/><Relationship Id="rId5117" Type="http://schemas.openxmlformats.org/officeDocument/2006/relationships/hyperlink" Target="https://ref.ly/Num35:15" TargetMode="External"/><Relationship Id="rId5118" Type="http://schemas.openxmlformats.org/officeDocument/2006/relationships/hyperlink" Target="https://ref.ly/Josh20:9" TargetMode="External"/><Relationship Id="rId5119" Type="http://schemas.openxmlformats.org/officeDocument/2006/relationships/hyperlink" Target="https://ref.ly/Deut24:14" TargetMode="External"/><Relationship Id="rId5120" Type="http://schemas.openxmlformats.org/officeDocument/2006/relationships/hyperlink" Target="https://ref.ly/Ezek47:22-Ezek47:23" TargetMode="External"/><Relationship Id="rId5121" Type="http://schemas.openxmlformats.org/officeDocument/2006/relationships/hyperlink" Target="https://ref.ly/Eph2:11-Eph2:19" TargetMode="External"/><Relationship Id="rId5122" Type="http://schemas.openxmlformats.org/officeDocument/2006/relationships/hyperlink" Target="https://ref.ly/Heb11:13" TargetMode="External"/><Relationship Id="rId5123" Type="http://schemas.openxmlformats.org/officeDocument/2006/relationships/hyperlink" Target="https://ref.ly/1Pet2:11" TargetMode="External"/><Relationship Id="rId5124" Type="http://schemas.openxmlformats.org/officeDocument/2006/relationships/hyperlink" Target="https://ref.ly/Acts15:20,Acts15:29" TargetMode="External"/><Relationship Id="rId5125" Type="http://schemas.openxmlformats.org/officeDocument/2006/relationships/hyperlink" Target="https://ref.ly/Acts21:25" TargetMode="External"/><Relationship Id="rId5126" Type="http://schemas.openxmlformats.org/officeDocument/2006/relationships/hyperlink" Target="https://ref.ly/Gen1:5,Gen1:8,Gen1:13" TargetMode="External"/><Relationship Id="rId5127" Type="http://schemas.openxmlformats.org/officeDocument/2006/relationships/hyperlink" Target="https://ref.ly/Ps8:5" TargetMode="External"/><Relationship Id="rId5128" Type="http://schemas.openxmlformats.org/officeDocument/2006/relationships/hyperlink" Target="https://ref.ly/John4:24" TargetMode="External"/><Relationship Id="rId5129" Type="http://schemas.openxmlformats.org/officeDocument/2006/relationships/hyperlink" Target="https://ref.ly/John4:21-John4:24" TargetMode="External"/><Relationship Id="rId5130" Type="http://schemas.openxmlformats.org/officeDocument/2006/relationships/hyperlink" Target="https://ref.ly/1Cor15:35-1Cor15:49" TargetMode="External"/><Relationship Id="rId5131" Type="http://schemas.openxmlformats.org/officeDocument/2006/relationships/hyperlink" Target="https://ref.ly/Heb2:14" TargetMode="External"/><Relationship Id="rId5132" Type="http://schemas.openxmlformats.org/officeDocument/2006/relationships/hyperlink" Target="https://ref.ly/Heb2:16" TargetMode="External"/><Relationship Id="rId5133" Type="http://schemas.openxmlformats.org/officeDocument/2006/relationships/hyperlink" Target="https://ref.ly/1Chr7:7" TargetMode="External"/><Relationship Id="rId5134" Type="http://schemas.openxmlformats.org/officeDocument/2006/relationships/hyperlink" Target="https://ref.ly/1Chr7:6-1Chr7:11" TargetMode="External"/><Relationship Id="rId5135" Type="http://schemas.openxmlformats.org/officeDocument/2006/relationships/hyperlink" Target="https://ref.ly/2Tim3:15" TargetMode="External"/><Relationship Id="rId5136" Type="http://schemas.openxmlformats.org/officeDocument/2006/relationships/hyperlink" Target="https://ref.ly/1Chr28:1" TargetMode="External"/><Relationship Id="rId5137" Type="http://schemas.openxmlformats.org/officeDocument/2006/relationships/hyperlink" Target="https://ref.ly/Esth2:3" TargetMode="External"/><Relationship Id="rId5138" Type="http://schemas.openxmlformats.org/officeDocument/2006/relationships/hyperlink" Target="https://ref.ly/Jer38:7" TargetMode="External"/><Relationship Id="rId5139" Type="http://schemas.openxmlformats.org/officeDocument/2006/relationships/hyperlink" Target="https://ref.ly/Dan1:3" TargetMode="External"/><Relationship Id="rId5140" Type="http://schemas.openxmlformats.org/officeDocument/2006/relationships/hyperlink" Target="https://ref.ly/Deut23:1" TargetMode="External"/><Relationship Id="rId5141" Type="http://schemas.openxmlformats.org/officeDocument/2006/relationships/hyperlink" Target="https://ref.ly/Isa56:3-Isa56:5" TargetMode="External"/><Relationship Id="rId5142" Type="http://schemas.openxmlformats.org/officeDocument/2006/relationships/hyperlink" Target="https://ref.ly/Acts8:27-Acts8:39" TargetMode="External"/><Relationship Id="rId5143" Type="http://schemas.openxmlformats.org/officeDocument/2006/relationships/hyperlink" Target="https://ref.ly/Matt19:12" TargetMode="External"/><Relationship Id="rId5144" Type="http://schemas.openxmlformats.org/officeDocument/2006/relationships/hyperlink" Target="https://ref.ly/Deut11:24" TargetMode="External"/><Relationship Id="rId5145" Type="http://schemas.openxmlformats.org/officeDocument/2006/relationships/hyperlink" Target="https://ref.ly/2Sam8:3" TargetMode="External"/><Relationship Id="rId5146" Type="http://schemas.openxmlformats.org/officeDocument/2006/relationships/hyperlink" Target="https://ref.ly/1Kgs4:24" TargetMode="External"/><Relationship Id="rId5147" Type="http://schemas.openxmlformats.org/officeDocument/2006/relationships/hyperlink" Target="https://ref.ly/Josh24:3,Josh24:14" TargetMode="External"/><Relationship Id="rId5148" Type="http://schemas.openxmlformats.org/officeDocument/2006/relationships/hyperlink" Target="https://ref.ly/Josh1:4" TargetMode="External"/><Relationship Id="rId5149" Type="http://schemas.openxmlformats.org/officeDocument/2006/relationships/hyperlink" Target="https://ref.ly/Ezra4:10" TargetMode="External"/><Relationship Id="rId5150" Type="http://schemas.openxmlformats.org/officeDocument/2006/relationships/hyperlink" Target="https://ref.ly/Neh2:7-Neh2:9" TargetMode="External"/><Relationship Id="rId5151" Type="http://schemas.openxmlformats.org/officeDocument/2006/relationships/hyperlink" Target="https://ref.ly/Jer51:63" TargetMode="External"/><Relationship Id="rId5152" Type="http://schemas.openxmlformats.org/officeDocument/2006/relationships/hyperlink" Target="https://ref.ly/Rev9:14" TargetMode="External"/><Relationship Id="rId5153" Type="http://schemas.openxmlformats.org/officeDocument/2006/relationships/hyperlink" Target="https://ref.ly/Rev16:12" TargetMode="External"/><Relationship Id="rId5154" Type="http://schemas.openxmlformats.org/officeDocument/2006/relationships/hyperlink" Target="https://ref.ly/Acts27:14" TargetMode="External"/><Relationship Id="rId5155" Type="http://schemas.openxmlformats.org/officeDocument/2006/relationships/hyperlink" Target="https://ref.ly/Acts20:9" TargetMode="External"/><Relationship Id="rId5156" Type="http://schemas.openxmlformats.org/officeDocument/2006/relationships/hyperlink" Target="https://ref.ly/Acts20:7-Acts20:12" TargetMode="External"/><Relationship Id="rId5157" Type="http://schemas.openxmlformats.org/officeDocument/2006/relationships/hyperlink" Target="https://ref.ly/Eph4:1-Eph4:12" TargetMode="External"/><Relationship Id="rId5158" Type="http://schemas.openxmlformats.org/officeDocument/2006/relationships/hyperlink" Target="https://ref.ly/Eph4:3" TargetMode="External"/><Relationship Id="rId5159" Type="http://schemas.openxmlformats.org/officeDocument/2006/relationships/hyperlink" Target="https://ref.ly/2Tim4:5" TargetMode="External"/><Relationship Id="rId5160" Type="http://schemas.openxmlformats.org/officeDocument/2006/relationships/hyperlink" Target="https://ref.ly/Gen3:20" TargetMode="External"/><Relationship Id="rId5161" Type="http://schemas.openxmlformats.org/officeDocument/2006/relationships/hyperlink" Target="https://ref.ly/Gen2:18" TargetMode="External"/><Relationship Id="rId5162" Type="http://schemas.openxmlformats.org/officeDocument/2006/relationships/hyperlink" Target="https://ref.ly/Gen2:21-Gen2:25" TargetMode="External"/><Relationship Id="rId5163" Type="http://schemas.openxmlformats.org/officeDocument/2006/relationships/hyperlink" Target="https://ref.ly/Gen2:23" TargetMode="External"/><Relationship Id="rId5164" Type="http://schemas.openxmlformats.org/officeDocument/2006/relationships/hyperlink" Target="https://ref.ly/Gen3:3" TargetMode="External"/><Relationship Id="rId5165" Type="http://schemas.openxmlformats.org/officeDocument/2006/relationships/hyperlink" Target="https://ref.ly/Gen4:1-Gen4:2,Gen4:25" TargetMode="External"/><Relationship Id="rId5166" Type="http://schemas.openxmlformats.org/officeDocument/2006/relationships/hyperlink" Target="https://ref.ly/Gen5:4" TargetMode="External"/><Relationship Id="rId5167" Type="http://schemas.openxmlformats.org/officeDocument/2006/relationships/hyperlink" Target="https://ref.ly/1Tim2:12" TargetMode="External"/><Relationship Id="rId5168" Type="http://schemas.openxmlformats.org/officeDocument/2006/relationships/hyperlink" Target="https://ref.ly/1Tim2:12-1Tim2:15" TargetMode="External"/><Relationship Id="rId5169" Type="http://schemas.openxmlformats.org/officeDocument/2006/relationships/hyperlink" Target="https://ref.ly/2Cor11:3" TargetMode="External"/><Relationship Id="rId5170" Type="http://schemas.openxmlformats.org/officeDocument/2006/relationships/hyperlink" Target="https://ref.ly/John3:14" TargetMode="External"/><Relationship Id="rId5171" Type="http://schemas.openxmlformats.org/officeDocument/2006/relationships/hyperlink" Target="https://ref.ly/John6:51" TargetMode="External"/><Relationship Id="rId5172" Type="http://schemas.openxmlformats.org/officeDocument/2006/relationships/hyperlink" Target="https://ref.ly/John10:11" TargetMode="External"/><Relationship Id="rId5173" Type="http://schemas.openxmlformats.org/officeDocument/2006/relationships/hyperlink" Target="https://ref.ly/Luke24:26" TargetMode="External"/><Relationship Id="rId5174" Type="http://schemas.openxmlformats.org/officeDocument/2006/relationships/hyperlink" Target="https://ref.ly/John17:5" TargetMode="External"/><Relationship Id="rId5175" Type="http://schemas.openxmlformats.org/officeDocument/2006/relationships/hyperlink" Target="https://ref.ly/John12:20-John12:36" TargetMode="External"/><Relationship Id="rId5176" Type="http://schemas.openxmlformats.org/officeDocument/2006/relationships/hyperlink" Target="https://ref.ly/John12:23" TargetMode="External"/><Relationship Id="rId5177" Type="http://schemas.openxmlformats.org/officeDocument/2006/relationships/hyperlink" Target="https://ref.ly/Acts2:24,Acts2:32" TargetMode="External"/><Relationship Id="rId5178" Type="http://schemas.openxmlformats.org/officeDocument/2006/relationships/hyperlink" Target="https://ref.ly/Acts3:15" TargetMode="External"/><Relationship Id="rId5179" Type="http://schemas.openxmlformats.org/officeDocument/2006/relationships/hyperlink" Target="https://ref.ly/Acts4:10" TargetMode="External"/><Relationship Id="rId5180" Type="http://schemas.openxmlformats.org/officeDocument/2006/relationships/hyperlink" Target="https://ref.ly/John2:19" TargetMode="External"/><Relationship Id="rId5181" Type="http://schemas.openxmlformats.org/officeDocument/2006/relationships/hyperlink" Target="https://ref.ly/Matt17:22-Matt17:23" TargetMode="External"/><Relationship Id="rId5182" Type="http://schemas.openxmlformats.org/officeDocument/2006/relationships/hyperlink" Target="https://ref.ly/Acts2:24" TargetMode="External"/><Relationship Id="rId5183" Type="http://schemas.openxmlformats.org/officeDocument/2006/relationships/hyperlink" Target="https://ref.ly/1Cor15:54-1Cor15:56" TargetMode="External"/><Relationship Id="rId5184" Type="http://schemas.openxmlformats.org/officeDocument/2006/relationships/hyperlink" Target="https://ref.ly/Phil2:8-Phil2:9" TargetMode="External"/><Relationship Id="rId5185" Type="http://schemas.openxmlformats.org/officeDocument/2006/relationships/hyperlink" Target="https://ref.ly/Rom4:25" TargetMode="External"/><Relationship Id="rId5186" Type="http://schemas.openxmlformats.org/officeDocument/2006/relationships/hyperlink" Target="https://ref.ly/1Pet1:3" TargetMode="External"/><Relationship Id="rId5187" Type="http://schemas.openxmlformats.org/officeDocument/2006/relationships/hyperlink" Target="https://ref.ly/1Cor15:22-1Cor15:24" TargetMode="External"/><Relationship Id="rId5188" Type="http://schemas.openxmlformats.org/officeDocument/2006/relationships/hyperlink" Target="https://ref.ly/Acts2:32" TargetMode="External"/><Relationship Id="rId5189" Type="http://schemas.openxmlformats.org/officeDocument/2006/relationships/hyperlink" Target="https://ref.ly/Eph1:19-Eph1:20" TargetMode="External"/><Relationship Id="rId5190" Type="http://schemas.openxmlformats.org/officeDocument/2006/relationships/hyperlink" Target="https://ref.ly/John10:17-John10:18" TargetMode="External"/><Relationship Id="rId5191" Type="http://schemas.openxmlformats.org/officeDocument/2006/relationships/hyperlink" Target="https://ref.ly/John6:62" TargetMode="External"/><Relationship Id="rId5192" Type="http://schemas.openxmlformats.org/officeDocument/2006/relationships/hyperlink" Target="https://ref.ly/John14:12" TargetMode="External"/><Relationship Id="rId5193" Type="http://schemas.openxmlformats.org/officeDocument/2006/relationships/hyperlink" Target="https://ref.ly/Eph4:8" TargetMode="External"/><Relationship Id="rId5194" Type="http://schemas.openxmlformats.org/officeDocument/2006/relationships/hyperlink" Target="https://ref.ly/Acts2:33" TargetMode="External"/><Relationship Id="rId5195" Type="http://schemas.openxmlformats.org/officeDocument/2006/relationships/hyperlink" Target="https://ref.ly/Acts7:55-Acts7:56" TargetMode="External"/><Relationship Id="rId5196" Type="http://schemas.openxmlformats.org/officeDocument/2006/relationships/hyperlink" Target="https://ref.ly/1Kgs22:19" TargetMode="External"/><Relationship Id="rId5197" Type="http://schemas.openxmlformats.org/officeDocument/2006/relationships/hyperlink" Target="https://ref.ly/Isa6:1-Isa6:4" TargetMode="External"/><Relationship Id="rId5198" Type="http://schemas.openxmlformats.org/officeDocument/2006/relationships/hyperlink" Target="https://ref.ly/Ps47:8" TargetMode="External"/><Relationship Id="rId5199" Type="http://schemas.openxmlformats.org/officeDocument/2006/relationships/hyperlink" Target="https://ref.ly/1Kgs2:19" TargetMode="External"/><Relationship Id="rId5200" Type="http://schemas.openxmlformats.org/officeDocument/2006/relationships/hyperlink" Target="https://ref.ly/Heb2:8" TargetMode="External"/><Relationship Id="rId5201" Type="http://schemas.openxmlformats.org/officeDocument/2006/relationships/hyperlink" Target="https://ref.ly/Heb8:1-Heb8:2" TargetMode="External"/><Relationship Id="rId5202" Type="http://schemas.openxmlformats.org/officeDocument/2006/relationships/hyperlink" Target="https://ref.ly/Heb10:11-Heb10:18" TargetMode="External"/><Relationship Id="rId5203" Type="http://schemas.openxmlformats.org/officeDocument/2006/relationships/hyperlink" Target="https://ref.ly/Luke3:7-Luke3:18" TargetMode="External"/><Relationship Id="rId5204" Type="http://schemas.openxmlformats.org/officeDocument/2006/relationships/hyperlink" Target="https://ref.ly/Rom12:8" TargetMode="External"/><Relationship Id="rId5205" Type="http://schemas.openxmlformats.org/officeDocument/2006/relationships/hyperlink" Target="https://ref.ly/1Cor14:3" TargetMode="External"/><Relationship Id="rId5206" Type="http://schemas.openxmlformats.org/officeDocument/2006/relationships/hyperlink" Target="https://ref.ly/1Tim4:13" TargetMode="External"/><Relationship Id="rId5207" Type="http://schemas.openxmlformats.org/officeDocument/2006/relationships/hyperlink" Target="https://ref.ly/Acts15:31" TargetMode="External"/><Relationship Id="rId5208" Type="http://schemas.openxmlformats.org/officeDocument/2006/relationships/hyperlink" Target="https://ref.ly/1Thess4:18" TargetMode="External"/><Relationship Id="rId5209" Type="http://schemas.openxmlformats.org/officeDocument/2006/relationships/hyperlink" Target="https://ref.ly/Jer16:14-Jer16:15" TargetMode="External"/><Relationship Id="rId5210" Type="http://schemas.openxmlformats.org/officeDocument/2006/relationships/hyperlink" Target="https://ref.ly/Matt2:13-Matt2:15" TargetMode="External"/><Relationship Id="rId5211" Type="http://schemas.openxmlformats.org/officeDocument/2006/relationships/hyperlink" Target="https://ref.ly/Exod17:14" TargetMode="External"/><Relationship Id="rId5212" Type="http://schemas.openxmlformats.org/officeDocument/2006/relationships/hyperlink" Target="https://ref.ly/Exod24:2,Exod24:7" TargetMode="External"/><Relationship Id="rId5213" Type="http://schemas.openxmlformats.org/officeDocument/2006/relationships/hyperlink" Target="https://ref.ly/Exod34:27-Exod34:28" TargetMode="External"/><Relationship Id="rId5214" Type="http://schemas.openxmlformats.org/officeDocument/2006/relationships/hyperlink" Target="https://ref.ly/Deut31:9,Deut31:24" TargetMode="External"/><Relationship Id="rId5215" Type="http://schemas.openxmlformats.org/officeDocument/2006/relationships/hyperlink" Target="https://ref.ly/Josh8:31" TargetMode="External"/><Relationship Id="rId5216" Type="http://schemas.openxmlformats.org/officeDocument/2006/relationships/hyperlink" Target="https://ref.ly/Mal4:4" TargetMode="External"/><Relationship Id="rId5217" Type="http://schemas.openxmlformats.org/officeDocument/2006/relationships/hyperlink" Target="https://ref.ly/Mark7:10" TargetMode="External"/><Relationship Id="rId5218" Type="http://schemas.openxmlformats.org/officeDocument/2006/relationships/hyperlink" Target="https://ref.ly/John1:45" TargetMode="External"/><Relationship Id="rId5219" Type="http://schemas.openxmlformats.org/officeDocument/2006/relationships/hyperlink" Target="https://ref.ly/John7:19" TargetMode="External"/><Relationship Id="rId5220" Type="http://schemas.openxmlformats.org/officeDocument/2006/relationships/hyperlink" Target="https://ref.ly/Exod15:27" TargetMode="External"/><Relationship Id="rId5221" Type="http://schemas.openxmlformats.org/officeDocument/2006/relationships/hyperlink" Target="https://ref.ly/Exod25:10" TargetMode="External"/><Relationship Id="rId5222" Type="http://schemas.openxmlformats.org/officeDocument/2006/relationships/hyperlink" Target="https://ref.ly/Acts7:22" TargetMode="External"/><Relationship Id="rId5223" Type="http://schemas.openxmlformats.org/officeDocument/2006/relationships/hyperlink" Target="https://ref.ly/Gen47:4,Gen47:11" TargetMode="External"/><Relationship Id="rId5224" Type="http://schemas.openxmlformats.org/officeDocument/2006/relationships/hyperlink" Target="https://ref.ly/Exod1:8" TargetMode="External"/><Relationship Id="rId5225" Type="http://schemas.openxmlformats.org/officeDocument/2006/relationships/hyperlink" Target="https://ref.ly/Exod1:9" TargetMode="External"/><Relationship Id="rId5226" Type="http://schemas.openxmlformats.org/officeDocument/2006/relationships/hyperlink" Target="https://ref.ly/Gen15:12-Gen15:16" TargetMode="External"/><Relationship Id="rId5227" Type="http://schemas.openxmlformats.org/officeDocument/2006/relationships/hyperlink" Target="https://ref.ly/Gen15:13-Gen15:16" TargetMode="External"/><Relationship Id="rId5228" Type="http://schemas.openxmlformats.org/officeDocument/2006/relationships/hyperlink" Target="https://ref.ly/Heb11:22" TargetMode="External"/><Relationship Id="rId5229" Type="http://schemas.openxmlformats.org/officeDocument/2006/relationships/hyperlink" Target="https://ref.ly/Exod2:24" TargetMode="External"/><Relationship Id="rId5230" Type="http://schemas.openxmlformats.org/officeDocument/2006/relationships/hyperlink" Target="https://ref.ly/Exod6:5" TargetMode="External"/><Relationship Id="rId5231" Type="http://schemas.openxmlformats.org/officeDocument/2006/relationships/hyperlink" Target="https://ref.ly/Exod3:8" TargetMode="External"/><Relationship Id="rId5232" Type="http://schemas.openxmlformats.org/officeDocument/2006/relationships/hyperlink" Target="https://ref.ly/Exod14:30" TargetMode="External"/><Relationship Id="rId5233" Type="http://schemas.openxmlformats.org/officeDocument/2006/relationships/hyperlink" Target="https://ref.ly/Exod3:10-Exod3:12" TargetMode="External"/><Relationship Id="rId5234" Type="http://schemas.openxmlformats.org/officeDocument/2006/relationships/hyperlink" Target="https://ref.ly/Exod6:1-Exod6:8" TargetMode="External"/><Relationship Id="rId5235" Type="http://schemas.openxmlformats.org/officeDocument/2006/relationships/hyperlink" Target="https://ref.ly/Exod3:12" TargetMode="External"/><Relationship Id="rId5236" Type="http://schemas.openxmlformats.org/officeDocument/2006/relationships/hyperlink" Target="https://ref.ly/Exod33:14-Exod33:16" TargetMode="External"/><Relationship Id="rId5237" Type="http://schemas.openxmlformats.org/officeDocument/2006/relationships/hyperlink" Target="https://ref.ly/Exod15:13" TargetMode="External"/><Relationship Id="rId5238" Type="http://schemas.openxmlformats.org/officeDocument/2006/relationships/hyperlink" Target="https://ref.ly/Exod20:6" TargetMode="External"/><Relationship Id="rId5239" Type="http://schemas.openxmlformats.org/officeDocument/2006/relationships/hyperlink" Target="https://ref.ly/Exod34:6-Exod34:7" TargetMode="External"/><Relationship Id="rId5240" Type="http://schemas.openxmlformats.org/officeDocument/2006/relationships/hyperlink" Target="https://ref.ly/Exod6:7" TargetMode="External"/><Relationship Id="rId5241" Type="http://schemas.openxmlformats.org/officeDocument/2006/relationships/hyperlink" Target="https://ref.ly/Exod7:5" TargetMode="External"/><Relationship Id="rId5242" Type="http://schemas.openxmlformats.org/officeDocument/2006/relationships/hyperlink" Target="https://ref.ly/Exod8:10" TargetMode="External"/><Relationship Id="rId5243" Type="http://schemas.openxmlformats.org/officeDocument/2006/relationships/hyperlink" Target="https://ref.ly/Exod14:18" TargetMode="External"/><Relationship Id="rId5244" Type="http://schemas.openxmlformats.org/officeDocument/2006/relationships/hyperlink" Target="https://ref.ly/Exod7:4" TargetMode="External"/><Relationship Id="rId5245" Type="http://schemas.openxmlformats.org/officeDocument/2006/relationships/hyperlink" Target="https://ref.ly/Exod8:19" TargetMode="External"/><Relationship Id="rId5246" Type="http://schemas.openxmlformats.org/officeDocument/2006/relationships/hyperlink" Target="https://ref.ly/Exod4:21-Exod4:23" TargetMode="External"/><Relationship Id="rId5247" Type="http://schemas.openxmlformats.org/officeDocument/2006/relationships/hyperlink" Target="https://ref.ly/Exod12:23-Exod12:27" TargetMode="External"/><Relationship Id="rId5248" Type="http://schemas.openxmlformats.org/officeDocument/2006/relationships/hyperlink" Target="https://ref.ly/Exod15:16" TargetMode="External"/><Relationship Id="rId5249" Type="http://schemas.openxmlformats.org/officeDocument/2006/relationships/hyperlink" Target="https://ref.ly/Exod4:22-Exod4:23" TargetMode="External"/><Relationship Id="rId5250" Type="http://schemas.openxmlformats.org/officeDocument/2006/relationships/hyperlink" Target="https://ref.ly/Exod19:8" TargetMode="External"/><Relationship Id="rId5251" Type="http://schemas.openxmlformats.org/officeDocument/2006/relationships/hyperlink" Target="https://ref.ly/Exod24:3" TargetMode="External"/><Relationship Id="rId5252" Type="http://schemas.openxmlformats.org/officeDocument/2006/relationships/hyperlink" Target="https://ref.ly/Exod32:8" TargetMode="External"/><Relationship Id="rId5253" Type="http://schemas.openxmlformats.org/officeDocument/2006/relationships/hyperlink" Target="https://ref.ly/Rev15:3-Rev15:4" TargetMode="External"/><Relationship Id="rId5254" Type="http://schemas.openxmlformats.org/officeDocument/2006/relationships/hyperlink" Target="https://ref.ly/Exod34:14" TargetMode="External"/><Relationship Id="rId5255" Type="http://schemas.openxmlformats.org/officeDocument/2006/relationships/hyperlink" Target="https://ref.ly/Mic6:3-Mic6:4" TargetMode="External"/><Relationship Id="rId5256" Type="http://schemas.openxmlformats.org/officeDocument/2006/relationships/hyperlink" Target="https://ref.ly/Exod1:1-Exod6:30" TargetMode="External"/><Relationship Id="rId5257" Type="http://schemas.openxmlformats.org/officeDocument/2006/relationships/hyperlink" Target="https://ref.ly/Gen46:1-Gen50:26" TargetMode="External"/><Relationship Id="rId5258" Type="http://schemas.openxmlformats.org/officeDocument/2006/relationships/hyperlink" Target="https://ref.ly/Heb11:24-Heb11:26" TargetMode="External"/><Relationship Id="rId5259" Type="http://schemas.openxmlformats.org/officeDocument/2006/relationships/hyperlink" Target="https://ref.ly/Exod2:16" TargetMode="External"/><Relationship Id="rId5260" Type="http://schemas.openxmlformats.org/officeDocument/2006/relationships/hyperlink" Target="https://ref.ly/Exod3:14-Exod3:15" TargetMode="External"/><Relationship Id="rId5261" Type="http://schemas.openxmlformats.org/officeDocument/2006/relationships/hyperlink" Target="https://ref.ly/Exod18:10-Exod18:11" TargetMode="External"/><Relationship Id="rId5262" Type="http://schemas.openxmlformats.org/officeDocument/2006/relationships/hyperlink" Target="https://ref.ly/Exod2:23-Exod2:25" TargetMode="External"/><Relationship Id="rId5263" Type="http://schemas.openxmlformats.org/officeDocument/2006/relationships/hyperlink" Target="https://ref.ly/Exod3:17" TargetMode="External"/><Relationship Id="rId5264" Type="http://schemas.openxmlformats.org/officeDocument/2006/relationships/hyperlink" Target="https://ref.ly/Gen17:14" TargetMode="External"/><Relationship Id="rId5265" Type="http://schemas.openxmlformats.org/officeDocument/2006/relationships/hyperlink" Target="https://ref.ly/Exod6:1-Exod6:30" TargetMode="External"/><Relationship Id="rId5266" Type="http://schemas.openxmlformats.org/officeDocument/2006/relationships/hyperlink" Target="https://ref.ly/Exod7:1-Exod19:25" TargetMode="External"/><Relationship Id="rId5267" Type="http://schemas.openxmlformats.org/officeDocument/2006/relationships/hyperlink" Target="https://ref.ly/Exod7:13" TargetMode="External"/><Relationship Id="rId5268" Type="http://schemas.openxmlformats.org/officeDocument/2006/relationships/hyperlink" Target="https://ref.ly/Exod8:25-Exod8:29" TargetMode="External"/><Relationship Id="rId5269" Type="http://schemas.openxmlformats.org/officeDocument/2006/relationships/hyperlink" Target="https://ref.ly/Exod10:8-Exod10:11,Exod10:24-Exod10:29" TargetMode="External"/><Relationship Id="rId5270" Type="http://schemas.openxmlformats.org/officeDocument/2006/relationships/hyperlink" Target="https://ref.ly/Exod14:31-Exod15:21" TargetMode="External"/><Relationship Id="rId5271" Type="http://schemas.openxmlformats.org/officeDocument/2006/relationships/hyperlink" Target="https://ref.ly/Exod15:22-Exod15:26" TargetMode="External"/><Relationship Id="rId5272" Type="http://schemas.openxmlformats.org/officeDocument/2006/relationships/hyperlink" Target="https://ref.ly/Exod16:1-Exod16:15" TargetMode="External"/><Relationship Id="rId5273" Type="http://schemas.openxmlformats.org/officeDocument/2006/relationships/hyperlink" Target="https://ref.ly/Exod17:1-Exod17:7" TargetMode="External"/><Relationship Id="rId5274" Type="http://schemas.openxmlformats.org/officeDocument/2006/relationships/hyperlink" Target="https://ref.ly/Exod18:1-Exod18:27" TargetMode="External"/><Relationship Id="rId5275" Type="http://schemas.openxmlformats.org/officeDocument/2006/relationships/hyperlink" Target="https://ref.ly/Exod3:1" TargetMode="External"/><Relationship Id="rId5276" Type="http://schemas.openxmlformats.org/officeDocument/2006/relationships/hyperlink" Target="https://ref.ly/Exod19:5-Exod19:8" TargetMode="External"/><Relationship Id="rId5277" Type="http://schemas.openxmlformats.org/officeDocument/2006/relationships/hyperlink" Target="https://ref.ly/Exod20:1-Exod24:18" TargetMode="External"/><Relationship Id="rId5278" Type="http://schemas.openxmlformats.org/officeDocument/2006/relationships/hyperlink" Target="https://ref.ly/Exod20:2-Exod20:3" TargetMode="External"/><Relationship Id="rId5279" Type="http://schemas.openxmlformats.org/officeDocument/2006/relationships/hyperlink" Target="https://ref.ly/Exod24:1-Exod31:18" TargetMode="External"/><Relationship Id="rId5280" Type="http://schemas.openxmlformats.org/officeDocument/2006/relationships/hyperlink" Target="https://ref.ly/Exod21:1-Exod21:11" TargetMode="External"/><Relationship Id="rId5281" Type="http://schemas.openxmlformats.org/officeDocument/2006/relationships/hyperlink" Target="https://ref.ly/Exod21:12-Exod21:17" TargetMode="External"/><Relationship Id="rId5282" Type="http://schemas.openxmlformats.org/officeDocument/2006/relationships/hyperlink" Target="https://ref.ly/Exod21:18-Exod22:15" TargetMode="External"/><Relationship Id="rId5283" Type="http://schemas.openxmlformats.org/officeDocument/2006/relationships/hyperlink" Target="https://ref.ly/Exod22:16-Exod23:9" TargetMode="External"/><Relationship Id="rId5284" Type="http://schemas.openxmlformats.org/officeDocument/2006/relationships/hyperlink" Target="https://ref.ly/Exod23:10-Exod23:19" TargetMode="External"/><Relationship Id="rId5285" Type="http://schemas.openxmlformats.org/officeDocument/2006/relationships/hyperlink" Target="https://ref.ly/Exod23:22" TargetMode="External"/><Relationship Id="rId5286" Type="http://schemas.openxmlformats.org/officeDocument/2006/relationships/hyperlink" Target="https://ref.ly/Exod23:25-Exod23:27" TargetMode="External"/><Relationship Id="rId5287" Type="http://schemas.openxmlformats.org/officeDocument/2006/relationships/hyperlink" Target="https://ref.ly/Exod25:1-Exod40:38" TargetMode="External"/><Relationship Id="rId5288" Type="http://schemas.openxmlformats.org/officeDocument/2006/relationships/hyperlink" Target="https://ref.ly/Exod32:4" TargetMode="External"/><Relationship Id="rId5289" Type="http://schemas.openxmlformats.org/officeDocument/2006/relationships/hyperlink" Target="https://ref.ly/Exod34:8-Exod34:10" TargetMode="External"/><Relationship Id="rId5290" Type="http://schemas.openxmlformats.org/officeDocument/2006/relationships/hyperlink" Target="https://ref.ly/Exod34:10" TargetMode="External"/><Relationship Id="rId5291" Type="http://schemas.openxmlformats.org/officeDocument/2006/relationships/hyperlink" Target="https://ref.ly/Exod12:37" TargetMode="External"/><Relationship Id="rId5292" Type="http://schemas.openxmlformats.org/officeDocument/2006/relationships/hyperlink" Target="https://ref.ly/Num33:5" TargetMode="External"/><Relationship Id="rId5293" Type="http://schemas.openxmlformats.org/officeDocument/2006/relationships/hyperlink" Target="https://ref.ly/Exod13:20" TargetMode="External"/><Relationship Id="rId5294" Type="http://schemas.openxmlformats.org/officeDocument/2006/relationships/hyperlink" Target="https://ref.ly/Exod15:22" TargetMode="External"/><Relationship Id="rId5295" Type="http://schemas.openxmlformats.org/officeDocument/2006/relationships/hyperlink" Target="https://ref.ly/Exod15:1-Exod15:21" TargetMode="External"/><Relationship Id="rId5296" Type="http://schemas.openxmlformats.org/officeDocument/2006/relationships/hyperlink" Target="https://ref.ly/Exod15:22-Exod15:25" TargetMode="External"/><Relationship Id="rId5297" Type="http://schemas.openxmlformats.org/officeDocument/2006/relationships/hyperlink" Target="https://ref.ly/Num33:8" TargetMode="External"/><Relationship Id="rId5298" Type="http://schemas.openxmlformats.org/officeDocument/2006/relationships/hyperlink" Target="https://ref.ly/Exod13:17" TargetMode="External"/><Relationship Id="rId5299" Type="http://schemas.openxmlformats.org/officeDocument/2006/relationships/hyperlink" Target="https://ref.ly/Num33:9-Num33:15" TargetMode="External"/><Relationship Id="rId5300" Type="http://schemas.openxmlformats.org/officeDocument/2006/relationships/hyperlink" Target="https://ref.ly/Exod12:12-Exod12:14" TargetMode="External"/><Relationship Id="rId5301" Type="http://schemas.openxmlformats.org/officeDocument/2006/relationships/hyperlink" Target="https://ref.ly/Deut26:19" TargetMode="External"/><Relationship Id="rId5302" Type="http://schemas.openxmlformats.org/officeDocument/2006/relationships/hyperlink" Target="https://ref.ly/Ps105:1-Ps105:45" TargetMode="External"/><Relationship Id="rId5303" Type="http://schemas.openxmlformats.org/officeDocument/2006/relationships/hyperlink" Target="https://ref.ly/Ps106:1-Ps106:48" TargetMode="External"/><Relationship Id="rId5304" Type="http://schemas.openxmlformats.org/officeDocument/2006/relationships/hyperlink" Target="https://ref.ly/Ps114:1-Ps114:8" TargetMode="External"/><Relationship Id="rId5305" Type="http://schemas.openxmlformats.org/officeDocument/2006/relationships/hyperlink" Target="https://ref.ly/Ps136:1-Ps136:26" TargetMode="External"/><Relationship Id="rId5306" Type="http://schemas.openxmlformats.org/officeDocument/2006/relationships/hyperlink" Target="https://ref.ly/Ps137:1" TargetMode="External"/><Relationship Id="rId5307" Type="http://schemas.openxmlformats.org/officeDocument/2006/relationships/hyperlink" Target="https://ref.ly/Ps137:8" TargetMode="External"/><Relationship Id="rId5308" Type="http://schemas.openxmlformats.org/officeDocument/2006/relationships/hyperlink" Target="https://ref.ly/1Cor10:1-1Cor10:5" TargetMode="External"/><Relationship Id="rId5309" Type="http://schemas.openxmlformats.org/officeDocument/2006/relationships/hyperlink" Target="https://ref.ly/1Cor9:27" TargetMode="External"/><Relationship Id="rId5310" Type="http://schemas.openxmlformats.org/officeDocument/2006/relationships/hyperlink" Target="https://ref.ly/Heb11:27-Heb11:29" TargetMode="External"/><Relationship Id="rId5311" Type="http://schemas.openxmlformats.org/officeDocument/2006/relationships/hyperlink" Target="https://ref.ly/Acts19:13" TargetMode="External"/><Relationship Id="rId5312" Type="http://schemas.openxmlformats.org/officeDocument/2006/relationships/hyperlink" Target="https://ref.ly/1Sam16:14-1Sam16:23" TargetMode="External"/><Relationship Id="rId5313" Type="http://schemas.openxmlformats.org/officeDocument/2006/relationships/hyperlink" Target="https://ref.ly/Ezek1:3" TargetMode="External"/><Relationship Id="rId5314" Type="http://schemas.openxmlformats.org/officeDocument/2006/relationships/hyperlink" Target="https://ref.ly/Ezek13:4" TargetMode="External"/><Relationship Id="rId5315" Type="http://schemas.openxmlformats.org/officeDocument/2006/relationships/hyperlink" Target="https://ref.ly/Ezek13:6" TargetMode="External"/><Relationship Id="rId5316" Type="http://schemas.openxmlformats.org/officeDocument/2006/relationships/hyperlink" Target="https://ref.ly/Ezek13:10" TargetMode="External"/><Relationship Id="rId5317" Type="http://schemas.openxmlformats.org/officeDocument/2006/relationships/hyperlink" Target="https://ref.ly/Ezek12:22" TargetMode="External"/><Relationship Id="rId5318" Type="http://schemas.openxmlformats.org/officeDocument/2006/relationships/hyperlink" Target="https://ref.ly/Ezek12:23" TargetMode="External"/><Relationship Id="rId5319" Type="http://schemas.openxmlformats.org/officeDocument/2006/relationships/hyperlink" Target="https://ref.ly/Ezek1:1" TargetMode="External"/><Relationship Id="rId5320" Type="http://schemas.openxmlformats.org/officeDocument/2006/relationships/hyperlink" Target="https://ref.ly/2Kgs21:10-2Kgs21:15" TargetMode="External"/><Relationship Id="rId5321" Type="http://schemas.openxmlformats.org/officeDocument/2006/relationships/hyperlink" Target="https://ref.ly/2Kgs22:1-2Kgs22:20" TargetMode="External"/><Relationship Id="rId5322" Type="http://schemas.openxmlformats.org/officeDocument/2006/relationships/hyperlink" Target="https://ref.ly/2Kgs23:26-2Kgs23:27" TargetMode="External"/><Relationship Id="rId5323" Type="http://schemas.openxmlformats.org/officeDocument/2006/relationships/hyperlink" Target="https://ref.ly/2Kgs23:29" TargetMode="External"/><Relationship Id="rId5324" Type="http://schemas.openxmlformats.org/officeDocument/2006/relationships/hyperlink" Target="https://ref.ly/2Kgs24:10-2Kgs24:17" TargetMode="External"/><Relationship Id="rId5325" Type="http://schemas.openxmlformats.org/officeDocument/2006/relationships/hyperlink" Target="https://ref.ly/Ezek8:11" TargetMode="External"/><Relationship Id="rId5326" Type="http://schemas.openxmlformats.org/officeDocument/2006/relationships/hyperlink" Target="https://ref.ly/Ezek1:1-Ezek1:3" TargetMode="External"/><Relationship Id="rId5327" Type="http://schemas.openxmlformats.org/officeDocument/2006/relationships/hyperlink" Target="https://ref.ly/Ezek11:24-Ezek11:25" TargetMode="External"/><Relationship Id="rId5328" Type="http://schemas.openxmlformats.org/officeDocument/2006/relationships/hyperlink" Target="https://ref.ly/Ezek1:1-Ezek24:27" TargetMode="External"/><Relationship Id="rId5329" Type="http://schemas.openxmlformats.org/officeDocument/2006/relationships/hyperlink" Target="https://ref.ly/Ezek33:1-Ezek48:35" TargetMode="External"/><Relationship Id="rId5330" Type="http://schemas.openxmlformats.org/officeDocument/2006/relationships/hyperlink" Target="https://ref.ly/Ezek1:1-Ezek3:21" TargetMode="External"/><Relationship Id="rId5331" Type="http://schemas.openxmlformats.org/officeDocument/2006/relationships/hyperlink" Target="https://ref.ly/Ezek3:22-Ezek24:27" TargetMode="External"/><Relationship Id="rId5332" Type="http://schemas.openxmlformats.org/officeDocument/2006/relationships/hyperlink" Target="https://ref.ly/Jer1:11-Jer1:15" TargetMode="External"/><Relationship Id="rId5333" Type="http://schemas.openxmlformats.org/officeDocument/2006/relationships/hyperlink" Target="https://ref.ly/Isa66:15-Isa66:16" TargetMode="External"/><Relationship Id="rId5334" Type="http://schemas.openxmlformats.org/officeDocument/2006/relationships/hyperlink" Target="https://ref.ly/Ezek1:28" TargetMode="External"/><Relationship Id="rId5335" Type="http://schemas.openxmlformats.org/officeDocument/2006/relationships/hyperlink" Target="https://ref.ly/Ezek2:3" TargetMode="External"/><Relationship Id="rId5336" Type="http://schemas.openxmlformats.org/officeDocument/2006/relationships/hyperlink" Target="https://ref.ly/Ezek3:11" TargetMode="External"/><Relationship Id="rId5337" Type="http://schemas.openxmlformats.org/officeDocument/2006/relationships/hyperlink" Target="https://ref.ly/Ezek3:17" TargetMode="External"/><Relationship Id="rId5338" Type="http://schemas.openxmlformats.org/officeDocument/2006/relationships/hyperlink" Target="https://ref.ly/Ezek33:1-Ezek33:9" TargetMode="External"/><Relationship Id="rId5339" Type="http://schemas.openxmlformats.org/officeDocument/2006/relationships/hyperlink" Target="https://ref.ly/Ezek2:9-Ezek2:10" TargetMode="External"/><Relationship Id="rId5340" Type="http://schemas.openxmlformats.org/officeDocument/2006/relationships/hyperlink" Target="https://ref.ly/Ezek3:1-Ezek3:3" TargetMode="External"/><Relationship Id="rId5341" Type="http://schemas.openxmlformats.org/officeDocument/2006/relationships/hyperlink" Target="https://ref.ly/Ezek2:6-Ezek2:7" TargetMode="External"/><Relationship Id="rId5342" Type="http://schemas.openxmlformats.org/officeDocument/2006/relationships/hyperlink" Target="https://ref.ly/Ezek3:16-Ezek3:17" TargetMode="External"/><Relationship Id="rId5343" Type="http://schemas.openxmlformats.org/officeDocument/2006/relationships/hyperlink" Target="https://ref.ly/Ezek3:18-Ezek3:19" TargetMode="External"/><Relationship Id="rId5344" Type="http://schemas.openxmlformats.org/officeDocument/2006/relationships/hyperlink" Target="https://ref.ly/Ezek3:24-Ezek3:25" TargetMode="External"/><Relationship Id="rId5345" Type="http://schemas.openxmlformats.org/officeDocument/2006/relationships/hyperlink" Target="https://ref.ly/Ezek3:26" TargetMode="External"/><Relationship Id="rId5346" Type="http://schemas.openxmlformats.org/officeDocument/2006/relationships/hyperlink" Target="https://ref.ly/Ezek3:27" TargetMode="External"/><Relationship Id="rId5347" Type="http://schemas.openxmlformats.org/officeDocument/2006/relationships/hyperlink" Target="https://ref.ly/Matt11:15" TargetMode="External"/><Relationship Id="rId5348" Type="http://schemas.openxmlformats.org/officeDocument/2006/relationships/hyperlink" Target="https://ref.ly/Ezek4:1-Ezek4:17" TargetMode="External"/><Relationship Id="rId5349" Type="http://schemas.openxmlformats.org/officeDocument/2006/relationships/hyperlink" Target="https://ref.ly/Ezek5:1-Ezek5:17" TargetMode="External"/><Relationship Id="rId5350" Type="http://schemas.openxmlformats.org/officeDocument/2006/relationships/hyperlink" Target="https://ref.ly/Ezek4:1-Ezek4:3" TargetMode="External"/><Relationship Id="rId5351" Type="http://schemas.openxmlformats.org/officeDocument/2006/relationships/hyperlink" Target="https://ref.ly/Ezek4:4-Ezek4:8" TargetMode="External"/><Relationship Id="rId5352" Type="http://schemas.openxmlformats.org/officeDocument/2006/relationships/hyperlink" Target="https://ref.ly/Ezek4:9-Ezek4:17" TargetMode="External"/><Relationship Id="rId5353" Type="http://schemas.openxmlformats.org/officeDocument/2006/relationships/hyperlink" Target="https://ref.ly/Ezek5:1-Ezek5:4" TargetMode="External"/><Relationship Id="rId5354" Type="http://schemas.openxmlformats.org/officeDocument/2006/relationships/hyperlink" Target="https://ref.ly/Ezek5:6-Ezek5:7" TargetMode="External"/><Relationship Id="rId5355" Type="http://schemas.openxmlformats.org/officeDocument/2006/relationships/hyperlink" Target="https://ref.ly/Ezek5:8-Ezek5:12" TargetMode="External"/><Relationship Id="rId5356" Type="http://schemas.openxmlformats.org/officeDocument/2006/relationships/hyperlink" Target="https://ref.ly/Ezek5:13" TargetMode="External"/><Relationship Id="rId5357" Type="http://schemas.openxmlformats.org/officeDocument/2006/relationships/hyperlink" Target="https://ref.ly/Ezek6:1-Ezek6:14" TargetMode="External"/><Relationship Id="rId5358" Type="http://schemas.openxmlformats.org/officeDocument/2006/relationships/hyperlink" Target="https://ref.ly/Ezek7:1-Ezek7:27" TargetMode="External"/><Relationship Id="rId5359" Type="http://schemas.openxmlformats.org/officeDocument/2006/relationships/hyperlink" Target="https://ref.ly/Ezek6:3-Ezek6:6" TargetMode="External"/><Relationship Id="rId5360" Type="http://schemas.openxmlformats.org/officeDocument/2006/relationships/hyperlink" Target="https://ref.ly/Ezek7:2-Ezek7:3,Ezek7:10-Ezek7:11,Ezek7:23" TargetMode="External"/><Relationship Id="rId5361" Type="http://schemas.openxmlformats.org/officeDocument/2006/relationships/hyperlink" Target="https://ref.ly/Ezek7:27" TargetMode="External"/><Relationship Id="rId5362" Type="http://schemas.openxmlformats.org/officeDocument/2006/relationships/hyperlink" Target="https://ref.ly/Ezek8:1-Ezek11:25" TargetMode="External"/><Relationship Id="rId5363" Type="http://schemas.openxmlformats.org/officeDocument/2006/relationships/hyperlink" Target="https://ref.ly/Ezek1:1-Ezek7:27" TargetMode="External"/><Relationship Id="rId5364" Type="http://schemas.openxmlformats.org/officeDocument/2006/relationships/hyperlink" Target="https://ref.ly/Ezek8:3-Ezek8:5" TargetMode="External"/><Relationship Id="rId5365" Type="http://schemas.openxmlformats.org/officeDocument/2006/relationships/hyperlink" Target="https://ref.ly/Ezek8:11-Ezek8:12" TargetMode="External"/><Relationship Id="rId5366" Type="http://schemas.openxmlformats.org/officeDocument/2006/relationships/hyperlink" Target="https://ref.ly/Ezek8:16" TargetMode="External"/><Relationship Id="rId5367" Type="http://schemas.openxmlformats.org/officeDocument/2006/relationships/hyperlink" Target="https://ref.ly/Ezek9:4-Ezek9:6" TargetMode="External"/><Relationship Id="rId5368" Type="http://schemas.openxmlformats.org/officeDocument/2006/relationships/hyperlink" Target="https://ref.ly/Ezek11:23" TargetMode="External"/><Relationship Id="rId5369" Type="http://schemas.openxmlformats.org/officeDocument/2006/relationships/hyperlink" Target="https://ref.ly/Ezek11:9" TargetMode="External"/><Relationship Id="rId5370" Type="http://schemas.openxmlformats.org/officeDocument/2006/relationships/hyperlink" Target="https://ref.ly/Ezek11:17" TargetMode="External"/><Relationship Id="rId5371" Type="http://schemas.openxmlformats.org/officeDocument/2006/relationships/hyperlink" Target="https://ref.ly/Ezek11:18" TargetMode="External"/><Relationship Id="rId5372" Type="http://schemas.openxmlformats.org/officeDocument/2006/relationships/hyperlink" Target="https://ref.ly/Ezek11:19-Ezek11:20" TargetMode="External"/><Relationship Id="rId5373" Type="http://schemas.openxmlformats.org/officeDocument/2006/relationships/hyperlink" Target="https://ref.ly/Ezek11:1-Ezek11:25" TargetMode="External"/><Relationship Id="rId5374" Type="http://schemas.openxmlformats.org/officeDocument/2006/relationships/hyperlink" Target="https://ref.ly/2Kgs25:1-2Kgs25:30" TargetMode="External"/><Relationship Id="rId5375" Type="http://schemas.openxmlformats.org/officeDocument/2006/relationships/hyperlink" Target="https://ref.ly/Ezek12:13" TargetMode="External"/><Relationship Id="rId5376" Type="http://schemas.openxmlformats.org/officeDocument/2006/relationships/hyperlink" Target="https://ref.ly/Ezek12:15-Ezek12:16" TargetMode="External"/><Relationship Id="rId5377" Type="http://schemas.openxmlformats.org/officeDocument/2006/relationships/hyperlink" Target="https://ref.ly/Ezek12:27" TargetMode="External"/><Relationship Id="rId5378" Type="http://schemas.openxmlformats.org/officeDocument/2006/relationships/hyperlink" Target="https://ref.ly/Ezek13:1-Ezek13:23" TargetMode="External"/><Relationship Id="rId5379" Type="http://schemas.openxmlformats.org/officeDocument/2006/relationships/hyperlink" Target="https://ref.ly/Ezek13:8-Ezek13:10" TargetMode="External"/><Relationship Id="rId5380" Type="http://schemas.openxmlformats.org/officeDocument/2006/relationships/hyperlink" Target="https://ref.ly/Ezek13:22" TargetMode="External"/><Relationship Id="rId5381" Type="http://schemas.openxmlformats.org/officeDocument/2006/relationships/hyperlink" Target="https://ref.ly/Ezek13:23" TargetMode="External"/><Relationship Id="rId5382" Type="http://schemas.openxmlformats.org/officeDocument/2006/relationships/hyperlink" Target="https://ref.ly/Ezek14:3" TargetMode="External"/><Relationship Id="rId5383" Type="http://schemas.openxmlformats.org/officeDocument/2006/relationships/hyperlink" Target="https://ref.ly/Ezek14:21" TargetMode="External"/><Relationship Id="rId5384" Type="http://schemas.openxmlformats.org/officeDocument/2006/relationships/hyperlink" Target="https://ref.ly/Ezek14:23" TargetMode="External"/><Relationship Id="rId5385" Type="http://schemas.openxmlformats.org/officeDocument/2006/relationships/hyperlink" Target="https://ref.ly/Ezek15:1-Ezek17:24" TargetMode="External"/><Relationship Id="rId5386" Type="http://schemas.openxmlformats.org/officeDocument/2006/relationships/hyperlink" Target="https://ref.ly/Ezek15:1-Ezek15:8" TargetMode="External"/><Relationship Id="rId5387" Type="http://schemas.openxmlformats.org/officeDocument/2006/relationships/hyperlink" Target="https://ref.ly/Ezek15:7-Ezek15:8" TargetMode="External"/><Relationship Id="rId5388" Type="http://schemas.openxmlformats.org/officeDocument/2006/relationships/hyperlink" Target="https://ref.ly/Ezek16:3-Ezek16:5" TargetMode="External"/><Relationship Id="rId5389" Type="http://schemas.openxmlformats.org/officeDocument/2006/relationships/hyperlink" Target="https://ref.ly/Ezek16:6-Ezek16:7" TargetMode="External"/><Relationship Id="rId5390" Type="http://schemas.openxmlformats.org/officeDocument/2006/relationships/hyperlink" Target="https://ref.ly/Ezek16:8" TargetMode="External"/><Relationship Id="rId5391" Type="http://schemas.openxmlformats.org/officeDocument/2006/relationships/hyperlink" Target="https://ref.ly/Ezek16:9-Ezek16:13" TargetMode="External"/><Relationship Id="rId5392" Type="http://schemas.openxmlformats.org/officeDocument/2006/relationships/hyperlink" Target="https://ref.ly/Ezek16:14" TargetMode="External"/><Relationship Id="rId5393" Type="http://schemas.openxmlformats.org/officeDocument/2006/relationships/hyperlink" Target="https://ref.ly/2Kgs17:6" TargetMode="External"/><Relationship Id="rId5394" Type="http://schemas.openxmlformats.org/officeDocument/2006/relationships/hyperlink" Target="https://ref.ly/Ezek16:46" TargetMode="External"/><Relationship Id="rId5395" Type="http://schemas.openxmlformats.org/officeDocument/2006/relationships/hyperlink" Target="https://ref.ly/Ezek16:48-Ezek16:51" TargetMode="External"/><Relationship Id="rId5396" Type="http://schemas.openxmlformats.org/officeDocument/2006/relationships/hyperlink" Target="https://ref.ly/Ezek16:62-Ezek16:63" TargetMode="External"/><Relationship Id="rId5397" Type="http://schemas.openxmlformats.org/officeDocument/2006/relationships/hyperlink" Target="https://ref.ly/Ezek17:1-Ezek17:24" TargetMode="External"/><Relationship Id="rId5398" Type="http://schemas.openxmlformats.org/officeDocument/2006/relationships/hyperlink" Target="https://ref.ly/Ezek17:3-Ezek17:4" TargetMode="External"/><Relationship Id="rId5399" Type="http://schemas.openxmlformats.org/officeDocument/2006/relationships/hyperlink" Target="https://ref.ly/Ezek17:7" TargetMode="External"/><Relationship Id="rId5400" Type="http://schemas.openxmlformats.org/officeDocument/2006/relationships/hyperlink" Target="https://ref.ly/Ezek17:9-Ezek17:10" TargetMode="External"/><Relationship Id="rId5401" Type="http://schemas.openxmlformats.org/officeDocument/2006/relationships/hyperlink" Target="https://ref.ly/Ezek17:13-Ezek17:18" TargetMode="External"/><Relationship Id="rId5402" Type="http://schemas.openxmlformats.org/officeDocument/2006/relationships/hyperlink" Target="https://ref.ly/Ezek17:22" TargetMode="External"/><Relationship Id="rId5403" Type="http://schemas.openxmlformats.org/officeDocument/2006/relationships/hyperlink" Target="https://ref.ly/Ezek17:24" TargetMode="External"/><Relationship Id="rId5404" Type="http://schemas.openxmlformats.org/officeDocument/2006/relationships/hyperlink" Target="https://ref.ly/Ezek18:1-Ezek22:31" TargetMode="External"/><Relationship Id="rId5405" Type="http://schemas.openxmlformats.org/officeDocument/2006/relationships/hyperlink" Target="https://ref.ly/Ezek18:25-Ezek18:29" TargetMode="External"/><Relationship Id="rId5406" Type="http://schemas.openxmlformats.org/officeDocument/2006/relationships/hyperlink" Target="https://ref.ly/Ezek18:5-Ezek18:9" TargetMode="External"/><Relationship Id="rId5407" Type="http://schemas.openxmlformats.org/officeDocument/2006/relationships/hyperlink" Target="https://ref.ly/Ezek18:14-Ezek18:18" TargetMode="External"/><Relationship Id="rId5408" Type="http://schemas.openxmlformats.org/officeDocument/2006/relationships/hyperlink" Target="https://ref.ly/Ezek18:27" TargetMode="External"/><Relationship Id="rId5409" Type="http://schemas.openxmlformats.org/officeDocument/2006/relationships/hyperlink" Target="https://ref.ly/Ezek18:31-Ezek18:32" TargetMode="External"/><Relationship Id="rId5410" Type="http://schemas.openxmlformats.org/officeDocument/2006/relationships/hyperlink" Target="https://ref.ly/Ezek19:1-Ezek19:14" TargetMode="External"/><Relationship Id="rId5411" Type="http://schemas.openxmlformats.org/officeDocument/2006/relationships/hyperlink" Target="https://ref.ly/2Kgs23:31" TargetMode="External"/><Relationship Id="rId5412" Type="http://schemas.openxmlformats.org/officeDocument/2006/relationships/hyperlink" Target="https://ref.ly/Ezek19:3-Ezek19:4" TargetMode="External"/><Relationship Id="rId5413" Type="http://schemas.openxmlformats.org/officeDocument/2006/relationships/hyperlink" Target="https://ref.ly/2Kgs23:31-2Kgs23:34" TargetMode="External"/><Relationship Id="rId5414" Type="http://schemas.openxmlformats.org/officeDocument/2006/relationships/hyperlink" Target="https://ref.ly/Ezek19:7-Ezek19:9" TargetMode="External"/><Relationship Id="rId5415" Type="http://schemas.openxmlformats.org/officeDocument/2006/relationships/hyperlink" Target="https://ref.ly/Ezek19:10" TargetMode="External"/><Relationship Id="rId5416" Type="http://schemas.openxmlformats.org/officeDocument/2006/relationships/hyperlink" Target="https://ref.ly/Ezek19:13-Ezek19:14" TargetMode="External"/><Relationship Id="rId5417" Type="http://schemas.openxmlformats.org/officeDocument/2006/relationships/hyperlink" Target="https://ref.ly/Ezek20:1-Ezek20:49" TargetMode="External"/><Relationship Id="rId5418" Type="http://schemas.openxmlformats.org/officeDocument/2006/relationships/hyperlink" Target="https://ref.ly/Ezek20:5-Ezek20:6" TargetMode="External"/><Relationship Id="rId5419" Type="http://schemas.openxmlformats.org/officeDocument/2006/relationships/hyperlink" Target="https://ref.ly/Ezek20:8" TargetMode="External"/><Relationship Id="rId5420" Type="http://schemas.openxmlformats.org/officeDocument/2006/relationships/hyperlink" Target="https://ref.ly/Ezek20:13,Ezek20:21" TargetMode="External"/><Relationship Id="rId5421" Type="http://schemas.openxmlformats.org/officeDocument/2006/relationships/hyperlink" Target="https://ref.ly/Ezek20:32" TargetMode="External"/><Relationship Id="rId5422" Type="http://schemas.openxmlformats.org/officeDocument/2006/relationships/hyperlink" Target="https://ref.ly/Ezek20:12" TargetMode="External"/><Relationship Id="rId5423" Type="http://schemas.openxmlformats.org/officeDocument/2006/relationships/hyperlink" Target="https://ref.ly/Ezek20:35" TargetMode="External"/><Relationship Id="rId5424" Type="http://schemas.openxmlformats.org/officeDocument/2006/relationships/hyperlink" Target="https://ref.ly/Ezek20:37-Ezek20:44" TargetMode="External"/><Relationship Id="rId5425" Type="http://schemas.openxmlformats.org/officeDocument/2006/relationships/hyperlink" Target="https://ref.ly/Ezek20:41" TargetMode="External"/><Relationship Id="rId5426" Type="http://schemas.openxmlformats.org/officeDocument/2006/relationships/hyperlink" Target="https://ref.ly/Ezek20:45-Ezek21:32" TargetMode="External"/><Relationship Id="rId5427" Type="http://schemas.openxmlformats.org/officeDocument/2006/relationships/hyperlink" Target="https://ref.ly/Ezek20:45-Ezek20:49" TargetMode="External"/><Relationship Id="rId5428" Type="http://schemas.openxmlformats.org/officeDocument/2006/relationships/hyperlink" Target="https://ref.ly/Ezek21:2-Ezek21:17,Ezek21:20-Ezek21:27" TargetMode="External"/><Relationship Id="rId5429" Type="http://schemas.openxmlformats.org/officeDocument/2006/relationships/hyperlink" Target="https://ref.ly/Ezek21:28-Ezek21:32" TargetMode="External"/><Relationship Id="rId5430" Type="http://schemas.openxmlformats.org/officeDocument/2006/relationships/hyperlink" Target="https://ref.ly/Ezek21:19" TargetMode="External"/><Relationship Id="rId5431" Type="http://schemas.openxmlformats.org/officeDocument/2006/relationships/hyperlink" Target="https://ref.ly/Ezek21:27,Ezek21:32" TargetMode="External"/><Relationship Id="rId5432" Type="http://schemas.openxmlformats.org/officeDocument/2006/relationships/hyperlink" Target="https://ref.ly/Ezek25:1-Ezek29:21" TargetMode="External"/><Relationship Id="rId5433" Type="http://schemas.openxmlformats.org/officeDocument/2006/relationships/hyperlink" Target="https://ref.ly/Ezek22:1-Ezek24:27" TargetMode="External"/><Relationship Id="rId5434" Type="http://schemas.openxmlformats.org/officeDocument/2006/relationships/hyperlink" Target="https://ref.ly/Ezek22:25-Ezek22:30" TargetMode="External"/><Relationship Id="rId5435" Type="http://schemas.openxmlformats.org/officeDocument/2006/relationships/hyperlink" Target="https://ref.ly/Ezek23:1-Ezek23:49" TargetMode="External"/><Relationship Id="rId5436" Type="http://schemas.openxmlformats.org/officeDocument/2006/relationships/hyperlink" Target="https://ref.ly/Ezek24:1-Ezek24:27" TargetMode="External"/><Relationship Id="rId5437" Type="http://schemas.openxmlformats.org/officeDocument/2006/relationships/hyperlink" Target="https://ref.ly/Ezek24:21" TargetMode="External"/><Relationship Id="rId5438" Type="http://schemas.openxmlformats.org/officeDocument/2006/relationships/hyperlink" Target="https://ref.ly/Ezek25:3-Ezek25:12" TargetMode="External"/><Relationship Id="rId5439" Type="http://schemas.openxmlformats.org/officeDocument/2006/relationships/hyperlink" Target="https://ref.ly/Ezek25:4-Ezek25:14" TargetMode="External"/><Relationship Id="rId5440" Type="http://schemas.openxmlformats.org/officeDocument/2006/relationships/hyperlink" Target="https://ref.ly/Ezek25:15" TargetMode="External"/><Relationship Id="rId5441" Type="http://schemas.openxmlformats.org/officeDocument/2006/relationships/hyperlink" Target="https://ref.ly/Ezek26:2" TargetMode="External"/><Relationship Id="rId5442" Type="http://schemas.openxmlformats.org/officeDocument/2006/relationships/hyperlink" Target="https://ref.ly/Ezek27:1-Ezek27:36" TargetMode="External"/><Relationship Id="rId5443" Type="http://schemas.openxmlformats.org/officeDocument/2006/relationships/hyperlink" Target="https://ref.ly/Ezek27:26" TargetMode="External"/><Relationship Id="rId5444" Type="http://schemas.openxmlformats.org/officeDocument/2006/relationships/hyperlink" Target="https://ref.ly/Ezek28:1-Ezek28:26" TargetMode="External"/><Relationship Id="rId5445" Type="http://schemas.openxmlformats.org/officeDocument/2006/relationships/hyperlink" Target="https://ref.ly/Ezek28:12" TargetMode="External"/><Relationship Id="rId5446" Type="http://schemas.openxmlformats.org/officeDocument/2006/relationships/hyperlink" Target="https://ref.ly/Ezek28:13-Ezek28:15" TargetMode="External"/><Relationship Id="rId5447" Type="http://schemas.openxmlformats.org/officeDocument/2006/relationships/hyperlink" Target="https://ref.ly/Ezek28:13" TargetMode="External"/><Relationship Id="rId5448" Type="http://schemas.openxmlformats.org/officeDocument/2006/relationships/hyperlink" Target="https://ref.ly/Ezek28:13-Ezek28:14" TargetMode="External"/><Relationship Id="rId5449" Type="http://schemas.openxmlformats.org/officeDocument/2006/relationships/hyperlink" Target="https://ref.ly/Ezek28:16-Ezek28:18" TargetMode="External"/><Relationship Id="rId5450" Type="http://schemas.openxmlformats.org/officeDocument/2006/relationships/hyperlink" Target="https://ref.ly/Ezek28:18-Ezek28:19" TargetMode="External"/><Relationship Id="rId5451" Type="http://schemas.openxmlformats.org/officeDocument/2006/relationships/hyperlink" Target="https://ref.ly/Ezek29:18" TargetMode="External"/><Relationship Id="rId5452" Type="http://schemas.openxmlformats.org/officeDocument/2006/relationships/hyperlink" Target="https://ref.ly/Ezek28:22-Ezek28:23" TargetMode="External"/><Relationship Id="rId5453" Type="http://schemas.openxmlformats.org/officeDocument/2006/relationships/hyperlink" Target="https://ref.ly/Ezek28:24" TargetMode="External"/><Relationship Id="rId5454" Type="http://schemas.openxmlformats.org/officeDocument/2006/relationships/hyperlink" Target="https://ref.ly/Ezek28:25-Ezek28:26" TargetMode="External"/><Relationship Id="rId5455" Type="http://schemas.openxmlformats.org/officeDocument/2006/relationships/hyperlink" Target="https://ref.ly/Ezek29:9-Ezek29:16" TargetMode="External"/><Relationship Id="rId5456" Type="http://schemas.openxmlformats.org/officeDocument/2006/relationships/hyperlink" Target="https://ref.ly/Ezek23:1-Ezek32:21" TargetMode="External"/><Relationship Id="rId5457" Type="http://schemas.openxmlformats.org/officeDocument/2006/relationships/hyperlink" Target="https://ref.ly/Ezek32:22-Ezek32:23" TargetMode="External"/><Relationship Id="rId5458" Type="http://schemas.openxmlformats.org/officeDocument/2006/relationships/hyperlink" Target="https://ref.ly/Ezek32:26-Ezek32:28" TargetMode="External"/><Relationship Id="rId5459" Type="http://schemas.openxmlformats.org/officeDocument/2006/relationships/hyperlink" Target="https://ref.ly/Ezek32:30" TargetMode="External"/><Relationship Id="rId5460" Type="http://schemas.openxmlformats.org/officeDocument/2006/relationships/hyperlink" Target="https://ref.ly/Ezek33:10" TargetMode="External"/><Relationship Id="rId5461" Type="http://schemas.openxmlformats.org/officeDocument/2006/relationships/hyperlink" Target="https://ref.ly/Ezek33:21" TargetMode="External"/><Relationship Id="rId5462" Type="http://schemas.openxmlformats.org/officeDocument/2006/relationships/hyperlink" Target="https://ref.ly/Ezek33:11-Ezek33:16" TargetMode="External"/><Relationship Id="rId5463" Type="http://schemas.openxmlformats.org/officeDocument/2006/relationships/hyperlink" Target="https://ref.ly/Ezek33:32" TargetMode="External"/><Relationship Id="rId5464" Type="http://schemas.openxmlformats.org/officeDocument/2006/relationships/hyperlink" Target="https://ref.ly/Ezek33:33" TargetMode="External"/><Relationship Id="rId5465" Type="http://schemas.openxmlformats.org/officeDocument/2006/relationships/hyperlink" Target="https://ref.ly/Ezek34:2-Ezek34:3" TargetMode="External"/><Relationship Id="rId5466" Type="http://schemas.openxmlformats.org/officeDocument/2006/relationships/hyperlink" Target="https://ref.ly/Ezek34:4" TargetMode="External"/><Relationship Id="rId5467" Type="http://schemas.openxmlformats.org/officeDocument/2006/relationships/hyperlink" Target="https://ref.ly/Ezek34:5-Ezek34:6" TargetMode="External"/><Relationship Id="rId5468" Type="http://schemas.openxmlformats.org/officeDocument/2006/relationships/hyperlink" Target="https://ref.ly/Ezek34:11-Ezek34:15" TargetMode="External"/><Relationship Id="rId5469" Type="http://schemas.openxmlformats.org/officeDocument/2006/relationships/hyperlink" Target="https://ref.ly/Ps23:1-Ps23:6" TargetMode="External"/><Relationship Id="rId5470" Type="http://schemas.openxmlformats.org/officeDocument/2006/relationships/hyperlink" Target="https://ref.ly/Ezek34:20-Ezek34:22" TargetMode="External"/><Relationship Id="rId5471" Type="http://schemas.openxmlformats.org/officeDocument/2006/relationships/hyperlink" Target="https://ref.ly/Ezek34:24" TargetMode="External"/><Relationship Id="rId5472" Type="http://schemas.openxmlformats.org/officeDocument/2006/relationships/hyperlink" Target="https://ref.ly/Ezek34:26-Ezek34:27" TargetMode="External"/><Relationship Id="rId5473" Type="http://schemas.openxmlformats.org/officeDocument/2006/relationships/hyperlink" Target="https://ref.ly/Ezek34:25-Ezek34:28" TargetMode="External"/><Relationship Id="rId5474" Type="http://schemas.openxmlformats.org/officeDocument/2006/relationships/hyperlink" Target="https://ref.ly/Ezek34:27-Ezek34:29" TargetMode="External"/><Relationship Id="rId5475" Type="http://schemas.openxmlformats.org/officeDocument/2006/relationships/hyperlink" Target="https://ref.ly/Ezek11:20" TargetMode="External"/><Relationship Id="rId5476" Type="http://schemas.openxmlformats.org/officeDocument/2006/relationships/hyperlink" Target="https://ref.ly/Ezek34:30" TargetMode="External"/><Relationship Id="rId5477" Type="http://schemas.openxmlformats.org/officeDocument/2006/relationships/hyperlink" Target="https://ref.ly/Ezek36:28" TargetMode="External"/><Relationship Id="rId5478" Type="http://schemas.openxmlformats.org/officeDocument/2006/relationships/hyperlink" Target="https://ref.ly/Ezek36:20-Ezek36:36" TargetMode="External"/><Relationship Id="rId5479" Type="http://schemas.openxmlformats.org/officeDocument/2006/relationships/hyperlink" Target="https://ref.ly/Ezek37:23-Ezek37:26" TargetMode="External"/><Relationship Id="rId5480" Type="http://schemas.openxmlformats.org/officeDocument/2006/relationships/hyperlink" Target="https://ref.ly/Ezek39:25" TargetMode="External"/><Relationship Id="rId5481" Type="http://schemas.openxmlformats.org/officeDocument/2006/relationships/hyperlink" Target="https://ref.ly/Ezek36:1-Ezek36:15,Ezek36:24" TargetMode="External"/><Relationship Id="rId5482" Type="http://schemas.openxmlformats.org/officeDocument/2006/relationships/hyperlink" Target="https://ref.ly/Ezek37:14-Ezek37:23" TargetMode="External"/><Relationship Id="rId5483" Type="http://schemas.openxmlformats.org/officeDocument/2006/relationships/hyperlink" Target="https://ref.ly/Ezek39:27" TargetMode="External"/><Relationship Id="rId5484" Type="http://schemas.openxmlformats.org/officeDocument/2006/relationships/hyperlink" Target="https://ref.ly/Ezek37:14" TargetMode="External"/><Relationship Id="rId5485" Type="http://schemas.openxmlformats.org/officeDocument/2006/relationships/hyperlink" Target="https://ref.ly/Ezek39:29" TargetMode="External"/><Relationship Id="rId5486" Type="http://schemas.openxmlformats.org/officeDocument/2006/relationships/hyperlink" Target="https://ref.ly/Ezek36:8-Ezek36:12,Ezek36:29-Ezek36:38" TargetMode="External"/><Relationship Id="rId5487" Type="http://schemas.openxmlformats.org/officeDocument/2006/relationships/hyperlink" Target="https://ref.ly/Ezek39:9-Ezek39:10,Ezek39:26" TargetMode="External"/><Relationship Id="rId5488" Type="http://schemas.openxmlformats.org/officeDocument/2006/relationships/hyperlink" Target="https://ref.ly/Ezek36:36" TargetMode="External"/><Relationship Id="rId5489" Type="http://schemas.openxmlformats.org/officeDocument/2006/relationships/hyperlink" Target="https://ref.ly/Ezek37:28" TargetMode="External"/><Relationship Id="rId5490" Type="http://schemas.openxmlformats.org/officeDocument/2006/relationships/hyperlink" Target="https://ref.ly/Ezek38:1-Ezek39:24" TargetMode="External"/><Relationship Id="rId5491" Type="http://schemas.openxmlformats.org/officeDocument/2006/relationships/hyperlink" Target="https://ref.ly/Ezek37:26-Ezek37:27" TargetMode="External"/><Relationship Id="rId5492" Type="http://schemas.openxmlformats.org/officeDocument/2006/relationships/hyperlink" Target="https://ref.ly/Ezek37:11" TargetMode="External"/><Relationship Id="rId5493" Type="http://schemas.openxmlformats.org/officeDocument/2006/relationships/hyperlink" Target="https://ref.ly/Ezek37:12" TargetMode="External"/><Relationship Id="rId5494" Type="http://schemas.openxmlformats.org/officeDocument/2006/relationships/hyperlink" Target="https://ref.ly/Ezek39:7,Ezek39:25-Ezek39:27" TargetMode="External"/><Relationship Id="rId5495" Type="http://schemas.openxmlformats.org/officeDocument/2006/relationships/hyperlink" Target="https://ref.ly/Ezek47:1-Ezek48:35" TargetMode="External"/><Relationship Id="rId5496" Type="http://schemas.openxmlformats.org/officeDocument/2006/relationships/hyperlink" Target="https://ref.ly/Ezek48:8-Ezek48:35" TargetMode="External"/><Relationship Id="rId5497" Type="http://schemas.openxmlformats.org/officeDocument/2006/relationships/hyperlink" Target="https://ref.ly/Ezek36:26-Ezek36:27" TargetMode="External"/><Relationship Id="rId5498" Type="http://schemas.openxmlformats.org/officeDocument/2006/relationships/hyperlink" Target="https://ref.ly/John3:8,John3:16" TargetMode="External"/><Relationship Id="rId5499" Type="http://schemas.openxmlformats.org/officeDocument/2006/relationships/hyperlink" Target="https://ref.ly/Acts2:38" TargetMode="External"/><Relationship Id="rId5500" Type="http://schemas.openxmlformats.org/officeDocument/2006/relationships/hyperlink" Target="https://ref.ly/Rom8:2-Rom8:4,Rom8:15" TargetMode="External"/><Relationship Id="rId5501" Type="http://schemas.openxmlformats.org/officeDocument/2006/relationships/hyperlink" Target="https://ref.ly/Ezek37:25" TargetMode="External"/><Relationship Id="rId5502" Type="http://schemas.openxmlformats.org/officeDocument/2006/relationships/hyperlink" Target="https://ref.ly/Ezek37:15-Ezek37:25" TargetMode="External"/><Relationship Id="rId5503" Type="http://schemas.openxmlformats.org/officeDocument/2006/relationships/hyperlink" Target="https://ref.ly/Ezek40:1-Ezek46:24" TargetMode="External"/><Relationship Id="rId5504" Type="http://schemas.openxmlformats.org/officeDocument/2006/relationships/hyperlink" Target="https://ref.ly/Ezek1:1-Ezek1:28" TargetMode="External"/><Relationship Id="rId5505" Type="http://schemas.openxmlformats.org/officeDocument/2006/relationships/hyperlink" Target="https://ref.ly/Ezek10:1-Ezek11:25" TargetMode="External"/><Relationship Id="rId5506" Type="http://schemas.openxmlformats.org/officeDocument/2006/relationships/hyperlink" Target="https://ref.ly/Ezek43:2-Ezek43:5" TargetMode="External"/><Relationship Id="rId5507" Type="http://schemas.openxmlformats.org/officeDocument/2006/relationships/hyperlink" Target="https://ref.ly/Ezek48:35" TargetMode="External"/><Relationship Id="rId5508" Type="http://schemas.openxmlformats.org/officeDocument/2006/relationships/hyperlink" Target="https://ref.ly/John2:21" TargetMode="External"/><Relationship Id="rId5509" Type="http://schemas.openxmlformats.org/officeDocument/2006/relationships/hyperlink" Target="https://ref.ly/Rev21:22" TargetMode="External"/><Relationship Id="rId5510" Type="http://schemas.openxmlformats.org/officeDocument/2006/relationships/hyperlink" Target="https://ref.ly/Ezek34:1-Ezek48:35" TargetMode="External"/><Relationship Id="rId5511" Type="http://schemas.openxmlformats.org/officeDocument/2006/relationships/hyperlink" Target="https://ref.ly/Ezra1:1-Ezra1:3" TargetMode="External"/><Relationship Id="rId5512" Type="http://schemas.openxmlformats.org/officeDocument/2006/relationships/hyperlink" Target="https://ref.ly/Ezek40:1-Ezek48:35" TargetMode="External"/><Relationship Id="rId5513" Type="http://schemas.openxmlformats.org/officeDocument/2006/relationships/hyperlink" Target="https://ref.ly/Rom4:11-Rom4:13" TargetMode="External"/><Relationship Id="rId5514" Type="http://schemas.openxmlformats.org/officeDocument/2006/relationships/hyperlink" Target="https://ref.ly/Gal3:6-Gal3:9,Gal3:29" TargetMode="External"/><Relationship Id="rId5515" Type="http://schemas.openxmlformats.org/officeDocument/2006/relationships/hyperlink" Target="https://ref.ly/Gal3:28-Gal3:29" TargetMode="External"/><Relationship Id="rId5516" Type="http://schemas.openxmlformats.org/officeDocument/2006/relationships/hyperlink" Target="https://ref.ly/1Pet1:10-1Pet1:11" TargetMode="External"/><Relationship Id="rId5517" Type="http://schemas.openxmlformats.org/officeDocument/2006/relationships/hyperlink" Target="https://ref.ly/1Chr7:21" TargetMode="External"/><Relationship Id="rId5518" Type="http://schemas.openxmlformats.org/officeDocument/2006/relationships/hyperlink" Target="https://ref.ly/1Chr4:4" TargetMode="External"/><Relationship Id="rId5519" Type="http://schemas.openxmlformats.org/officeDocument/2006/relationships/hyperlink" Target="https://ref.ly/1Chr12:9" TargetMode="External"/><Relationship Id="rId5520" Type="http://schemas.openxmlformats.org/officeDocument/2006/relationships/hyperlink" Target="https://ref.ly/Neh3:19" TargetMode="External"/><Relationship Id="rId5521" Type="http://schemas.openxmlformats.org/officeDocument/2006/relationships/hyperlink" Target="https://ref.ly/Acts18:3" TargetMode="External"/><Relationship Id="rId5522" Type="http://schemas.openxmlformats.org/officeDocument/2006/relationships/hyperlink" Target="https://ref.ly/2Cor11:7-2Cor11:10" TargetMode="External"/><Relationship Id="rId5523" Type="http://schemas.openxmlformats.org/officeDocument/2006/relationships/hyperlink" Target="https://ref.ly/1Thess2:9" TargetMode="External"/><Relationship Id="rId5524" Type="http://schemas.openxmlformats.org/officeDocument/2006/relationships/hyperlink" Target="https://ref.ly/2Thess3:8" TargetMode="External"/><Relationship Id="rId5525" Type="http://schemas.openxmlformats.org/officeDocument/2006/relationships/hyperlink" Target="https://ref.ly/Gen31:38" TargetMode="External"/><Relationship Id="rId5526" Type="http://schemas.openxmlformats.org/officeDocument/2006/relationships/hyperlink" Target="https://ref.ly/Job3:16" TargetMode="External"/><Relationship Id="rId5527" Type="http://schemas.openxmlformats.org/officeDocument/2006/relationships/hyperlink" Target="https://ref.ly/Job21:10" TargetMode="External"/><Relationship Id="rId5528" Type="http://schemas.openxmlformats.org/officeDocument/2006/relationships/hyperlink" Target="https://ref.ly/Hos9:14" TargetMode="External"/><Relationship Id="rId5529" Type="http://schemas.openxmlformats.org/officeDocument/2006/relationships/hyperlink" Target="https://ref.ly/Exod23:26" TargetMode="External"/><Relationship Id="rId5530" Type="http://schemas.openxmlformats.org/officeDocument/2006/relationships/hyperlink" Target="https://ref.ly/Ps58:8" TargetMode="External"/><Relationship Id="rId5531" Type="http://schemas.openxmlformats.org/officeDocument/2006/relationships/hyperlink" Target="https://ref.ly/Exod21:22" TargetMode="External"/><Relationship Id="rId5532" Type="http://schemas.openxmlformats.org/officeDocument/2006/relationships/hyperlink" Target="https://ref.ly/Num5:1-Num5:31" TargetMode="External"/><Relationship Id="rId5533" Type="http://schemas.openxmlformats.org/officeDocument/2006/relationships/hyperlink" Target="https://ref.ly/Num5:27" TargetMode="External"/><Relationship Id="rId5534" Type="http://schemas.openxmlformats.org/officeDocument/2006/relationships/hyperlink" Target="https://ref.ly/Acts23:24-Acts24:27" TargetMode="External"/><Relationship Id="rId5535" Type="http://schemas.openxmlformats.org/officeDocument/2006/relationships/hyperlink" Target="https://ref.ly/Acts24:25" TargetMode="External"/><Relationship Id="rId5536" Type="http://schemas.openxmlformats.org/officeDocument/2006/relationships/hyperlink" Target="https://ref.ly/Gen2:20-Gen2:25" TargetMode="External"/><Relationship Id="rId5537" Type="http://schemas.openxmlformats.org/officeDocument/2006/relationships/hyperlink" Target="https://ref.ly/Gen4:1-Gen4:26" TargetMode="External"/><Relationship Id="rId5538" Type="http://schemas.openxmlformats.org/officeDocument/2006/relationships/hyperlink" Target="https://ref.ly/Song7:10" TargetMode="External"/><Relationship Id="rId5539" Type="http://schemas.openxmlformats.org/officeDocument/2006/relationships/hyperlink" Target="https://ref.ly/Eph5:22" TargetMode="External"/><Relationship Id="rId5540" Type="http://schemas.openxmlformats.org/officeDocument/2006/relationships/hyperlink" Target="https://ref.ly/Eph5:23" TargetMode="External"/><Relationship Id="rId5541" Type="http://schemas.openxmlformats.org/officeDocument/2006/relationships/hyperlink" Target="https://ref.ly/1Tim2:15" TargetMode="External"/><Relationship Id="rId5542" Type="http://schemas.openxmlformats.org/officeDocument/2006/relationships/hyperlink" Target="https://ref.ly/Num6:2" TargetMode="External"/><Relationship Id="rId5543" Type="http://schemas.openxmlformats.org/officeDocument/2006/relationships/hyperlink" Target="https://ref.ly/Num30:1-Num30:16" TargetMode="External"/><Relationship Id="rId5544" Type="http://schemas.openxmlformats.org/officeDocument/2006/relationships/hyperlink" Target="https://ref.ly/Exod15:20-Exod15:21" TargetMode="External"/><Relationship Id="rId5545" Type="http://schemas.openxmlformats.org/officeDocument/2006/relationships/hyperlink" Target="https://ref.ly/Num12:1-Num12:16" TargetMode="External"/><Relationship Id="rId5546" Type="http://schemas.openxmlformats.org/officeDocument/2006/relationships/hyperlink" Target="https://ref.ly/Mic6:4" TargetMode="External"/><Relationship Id="rId5547" Type="http://schemas.openxmlformats.org/officeDocument/2006/relationships/hyperlink" Target="https://ref.ly/2Chr34:22-2Chr34:28" TargetMode="External"/><Relationship Id="rId5548" Type="http://schemas.openxmlformats.org/officeDocument/2006/relationships/hyperlink" Target="https://ref.ly/Joel2:28-Joel2:29" TargetMode="External"/><Relationship Id="rId5549" Type="http://schemas.openxmlformats.org/officeDocument/2006/relationships/hyperlink" Target="https://ref.ly/Acts25:1" TargetMode="External"/><Relationship Id="rId5550" Type="http://schemas.openxmlformats.org/officeDocument/2006/relationships/hyperlink" Target="https://ref.ly/Acts25:6" TargetMode="External"/><Relationship Id="rId5551" Type="http://schemas.openxmlformats.org/officeDocument/2006/relationships/hyperlink" Target="https://ref.ly/Acts25:11-Acts25:12" TargetMode="External"/><Relationship Id="rId5552" Type="http://schemas.openxmlformats.org/officeDocument/2006/relationships/hyperlink" Target="https://ref.ly/Acts26:24" TargetMode="External"/><Relationship Id="rId5553" Type="http://schemas.openxmlformats.org/officeDocument/2006/relationships/hyperlink" Target="https://ref.ly/Judg14:17" TargetMode="External"/><Relationship Id="rId5554" Type="http://schemas.openxmlformats.org/officeDocument/2006/relationships/hyperlink" Target="https://ref.ly/Gen40:20" TargetMode="External"/><Relationship Id="rId5555" Type="http://schemas.openxmlformats.org/officeDocument/2006/relationships/hyperlink" Target="https://ref.ly/1Kgs3:15" TargetMode="External"/><Relationship Id="rId5556" Type="http://schemas.openxmlformats.org/officeDocument/2006/relationships/hyperlink" Target="https://ref.ly/1Kgs8:65" TargetMode="External"/><Relationship Id="rId5557" Type="http://schemas.openxmlformats.org/officeDocument/2006/relationships/hyperlink" Target="https://ref.ly/Esth1:3" TargetMode="External"/><Relationship Id="rId5558" Type="http://schemas.openxmlformats.org/officeDocument/2006/relationships/hyperlink" Target="https://ref.ly/Esth5:4,Esth5:14" TargetMode="External"/><Relationship Id="rId5559" Type="http://schemas.openxmlformats.org/officeDocument/2006/relationships/hyperlink" Target="https://ref.ly/Esth7:2,Esth7:7" TargetMode="External"/><Relationship Id="rId5560" Type="http://schemas.openxmlformats.org/officeDocument/2006/relationships/hyperlink" Target="https://ref.ly/Dan5:1" TargetMode="External"/><Relationship Id="rId5561" Type="http://schemas.openxmlformats.org/officeDocument/2006/relationships/hyperlink" Target="https://ref.ly/Deut18:4" TargetMode="External"/><Relationship Id="rId5562" Type="http://schemas.openxmlformats.org/officeDocument/2006/relationships/hyperlink" Target="https://ref.ly/Lev23:2" TargetMode="External"/><Relationship Id="rId5563" Type="http://schemas.openxmlformats.org/officeDocument/2006/relationships/hyperlink" Target="https://ref.ly/Gen2:3" TargetMode="External"/><Relationship Id="rId5564" Type="http://schemas.openxmlformats.org/officeDocument/2006/relationships/hyperlink" Target="https://ref.ly/Exod31:17" TargetMode="External"/><Relationship Id="rId5565" Type="http://schemas.openxmlformats.org/officeDocument/2006/relationships/hyperlink" Target="https://ref.ly/Exod35:3" TargetMode="External"/><Relationship Id="rId5566" Type="http://schemas.openxmlformats.org/officeDocument/2006/relationships/hyperlink" Target="https://ref.ly/Num15:32-Num15:33" TargetMode="External"/><Relationship Id="rId5567" Type="http://schemas.openxmlformats.org/officeDocument/2006/relationships/hyperlink" Target="https://ref.ly/Num28:9-Num28:10" TargetMode="External"/><Relationship Id="rId5568" Type="http://schemas.openxmlformats.org/officeDocument/2006/relationships/hyperlink" Target="https://ref.ly/Lev24:5-Lev24:8" TargetMode="External"/><Relationship Id="rId5569" Type="http://schemas.openxmlformats.org/officeDocument/2006/relationships/hyperlink" Target="https://ref.ly/Isa58:13-Isa58:14" TargetMode="External"/><Relationship Id="rId5570" Type="http://schemas.openxmlformats.org/officeDocument/2006/relationships/hyperlink" Target="https://ref.ly/Num10:10" TargetMode="External"/><Relationship Id="rId5571" Type="http://schemas.openxmlformats.org/officeDocument/2006/relationships/hyperlink" Target="https://ref.ly/1Chr23:29-1Chr23:31" TargetMode="External"/><Relationship Id="rId5572" Type="http://schemas.openxmlformats.org/officeDocument/2006/relationships/hyperlink" Target="https://ref.ly/2Kgs4:23" TargetMode="External"/><Relationship Id="rId5573" Type="http://schemas.openxmlformats.org/officeDocument/2006/relationships/hyperlink" Target="https://ref.ly/Amos8:5" TargetMode="External"/><Relationship Id="rId5574" Type="http://schemas.openxmlformats.org/officeDocument/2006/relationships/hyperlink" Target="https://ref.ly/Hos2:11" TargetMode="External"/><Relationship Id="rId5575" Type="http://schemas.openxmlformats.org/officeDocument/2006/relationships/hyperlink" Target="https://ref.ly/Neh10:33" TargetMode="External"/><Relationship Id="rId5576" Type="http://schemas.openxmlformats.org/officeDocument/2006/relationships/hyperlink" Target="https://ref.ly/Isa66:22-Isa66:23" TargetMode="External"/><Relationship Id="rId5577" Type="http://schemas.openxmlformats.org/officeDocument/2006/relationships/hyperlink" Target="https://ref.ly/Ezek45:17" TargetMode="External"/><Relationship Id="rId5578" Type="http://schemas.openxmlformats.org/officeDocument/2006/relationships/hyperlink" Target="https://ref.ly/Ps104:19" TargetMode="External"/><Relationship Id="rId5579" Type="http://schemas.openxmlformats.org/officeDocument/2006/relationships/hyperlink" Target="https://ref.ly/Lev23:24" TargetMode="External"/><Relationship Id="rId5580" Type="http://schemas.openxmlformats.org/officeDocument/2006/relationships/hyperlink" Target="https://ref.ly/Num29:2-Num29:6" TargetMode="External"/><Relationship Id="rId5581" Type="http://schemas.openxmlformats.org/officeDocument/2006/relationships/hyperlink" Target="https://ref.ly/Num28:11" TargetMode="External"/><Relationship Id="rId5582" Type="http://schemas.openxmlformats.org/officeDocument/2006/relationships/hyperlink" Target="https://ref.ly/Lev23:34" TargetMode="External"/><Relationship Id="rId5583" Type="http://schemas.openxmlformats.org/officeDocument/2006/relationships/hyperlink" Target="https://ref.ly/Lev25:6" TargetMode="External"/><Relationship Id="rId5584" Type="http://schemas.openxmlformats.org/officeDocument/2006/relationships/hyperlink" Target="https://ref.ly/Deut8:7-Deut8:10" TargetMode="External"/><Relationship Id="rId5585" Type="http://schemas.openxmlformats.org/officeDocument/2006/relationships/hyperlink" Target="https://ref.ly/Exod16:5" TargetMode="External"/><Relationship Id="rId5586" Type="http://schemas.openxmlformats.org/officeDocument/2006/relationships/hyperlink" Target="https://ref.ly/Exod21:2-Exod21:6" TargetMode="External"/><Relationship Id="rId5587" Type="http://schemas.openxmlformats.org/officeDocument/2006/relationships/hyperlink" Target="https://ref.ly/Deut15:1-Deut15:6" TargetMode="External"/><Relationship Id="rId5588" Type="http://schemas.openxmlformats.org/officeDocument/2006/relationships/hyperlink" Target="https://ref.ly/Jer34:8-Jer34:22" TargetMode="External"/><Relationship Id="rId5589" Type="http://schemas.openxmlformats.org/officeDocument/2006/relationships/hyperlink" Target="https://ref.ly/Neh10:31" TargetMode="External"/><Relationship Id="rId5590" Type="http://schemas.openxmlformats.org/officeDocument/2006/relationships/hyperlink" Target="https://ref.ly/Neh8:13-Neh8:18" TargetMode="External"/><Relationship Id="rId5591" Type="http://schemas.openxmlformats.org/officeDocument/2006/relationships/hyperlink" Target="https://ref.ly/Lev25:8-Lev25:55" TargetMode="External"/><Relationship Id="rId5592" Type="http://schemas.openxmlformats.org/officeDocument/2006/relationships/hyperlink" Target="https://ref.ly/Lev27:17-Lev27:24" TargetMode="External"/><Relationship Id="rId5593" Type="http://schemas.openxmlformats.org/officeDocument/2006/relationships/hyperlink" Target="https://ref.ly/Lev25:14-Lev25:17" TargetMode="External"/><Relationship Id="rId5594" Type="http://schemas.openxmlformats.org/officeDocument/2006/relationships/hyperlink" Target="https://ref.ly/Exod23:14-Exod23:17" TargetMode="External"/><Relationship Id="rId5595" Type="http://schemas.openxmlformats.org/officeDocument/2006/relationships/hyperlink" Target="https://ref.ly/Deut16:16" TargetMode="External"/><Relationship Id="rId5596" Type="http://schemas.openxmlformats.org/officeDocument/2006/relationships/hyperlink" Target="https://ref.ly/Exod12:14" TargetMode="External"/><Relationship Id="rId5597" Type="http://schemas.openxmlformats.org/officeDocument/2006/relationships/hyperlink" Target="https://ref.ly/Exod12:11-Exod12:30" TargetMode="External"/><Relationship Id="rId5598" Type="http://schemas.openxmlformats.org/officeDocument/2006/relationships/hyperlink" Target="https://ref.ly/Num9:1-Num9:5" TargetMode="External"/><Relationship Id="rId5599" Type="http://schemas.openxmlformats.org/officeDocument/2006/relationships/hyperlink" Target="https://ref.ly/Deut16:1" TargetMode="External"/><Relationship Id="rId5600" Type="http://schemas.openxmlformats.org/officeDocument/2006/relationships/hyperlink" Target="https://ref.ly/Lev23:5" TargetMode="External"/><Relationship Id="rId5601" Type="http://schemas.openxmlformats.org/officeDocument/2006/relationships/hyperlink" Target="https://ref.ly/Exod12:16" TargetMode="External"/><Relationship Id="rId5602" Type="http://schemas.openxmlformats.org/officeDocument/2006/relationships/hyperlink" Target="https://ref.ly/Deut16:9" TargetMode="External"/><Relationship Id="rId5603" Type="http://schemas.openxmlformats.org/officeDocument/2006/relationships/hyperlink" Target="https://ref.ly/Luke22:1" TargetMode="External"/><Relationship Id="rId5604" Type="http://schemas.openxmlformats.org/officeDocument/2006/relationships/hyperlink" Target="https://ref.ly/Deut16:12" TargetMode="External"/><Relationship Id="rId5605" Type="http://schemas.openxmlformats.org/officeDocument/2006/relationships/hyperlink" Target="https://ref.ly/2Kgs23:21-2Kgs23:23" TargetMode="External"/><Relationship Id="rId5606" Type="http://schemas.openxmlformats.org/officeDocument/2006/relationships/hyperlink" Target="https://ref.ly/2Chr35:1-2Chr35:19" TargetMode="External"/><Relationship Id="rId5607" Type="http://schemas.openxmlformats.org/officeDocument/2006/relationships/hyperlink" Target="https://ref.ly/Exod23:16" TargetMode="External"/><Relationship Id="rId5608" Type="http://schemas.openxmlformats.org/officeDocument/2006/relationships/hyperlink" Target="https://ref.ly/Num28:26" TargetMode="External"/><Relationship Id="rId5609" Type="http://schemas.openxmlformats.org/officeDocument/2006/relationships/hyperlink" Target="https://ref.ly/Lev23:15-Lev23:20" TargetMode="External"/><Relationship Id="rId5610" Type="http://schemas.openxmlformats.org/officeDocument/2006/relationships/hyperlink" Target="https://ref.ly/Deut16:10-Deut16:11" TargetMode="External"/><Relationship Id="rId5611" Type="http://schemas.openxmlformats.org/officeDocument/2006/relationships/hyperlink" Target="https://ref.ly/Deut16:13" TargetMode="External"/><Relationship Id="rId5612" Type="http://schemas.openxmlformats.org/officeDocument/2006/relationships/hyperlink" Target="https://ref.ly/Lev23:39-Lev23:43" TargetMode="External"/><Relationship Id="rId5613" Type="http://schemas.openxmlformats.org/officeDocument/2006/relationships/hyperlink" Target="https://ref.ly/Judg21:19" TargetMode="External"/><Relationship Id="rId5614" Type="http://schemas.openxmlformats.org/officeDocument/2006/relationships/hyperlink" Target="https://ref.ly/Zech14:16-Zech14:19" TargetMode="External"/><Relationship Id="rId5615" Type="http://schemas.openxmlformats.org/officeDocument/2006/relationships/hyperlink" Target="https://ref.ly/Esth9:21,Esth9:24-Esth9:28" TargetMode="External"/><Relationship Id="rId5616" Type="http://schemas.openxmlformats.org/officeDocument/2006/relationships/hyperlink" Target="https://ref.ly/Esth9:24-Esth9:26" TargetMode="External"/><Relationship Id="rId5617" Type="http://schemas.openxmlformats.org/officeDocument/2006/relationships/hyperlink" Target="https://ref.ly/1Macc4:52-1Macc4:59" TargetMode="External"/><Relationship Id="rId5618" Type="http://schemas.openxmlformats.org/officeDocument/2006/relationships/hyperlink" Target="https://ref.ly/2Macc10:6-2Macc10:8" TargetMode="External"/><Relationship Id="rId5619" Type="http://schemas.openxmlformats.org/officeDocument/2006/relationships/hyperlink" Target="https://ref.ly/Luke4:16" TargetMode="External"/><Relationship Id="rId5620" Type="http://schemas.openxmlformats.org/officeDocument/2006/relationships/hyperlink" Target="https://ref.ly/Acts13:14" TargetMode="External"/><Relationship Id="rId5621" Type="http://schemas.openxmlformats.org/officeDocument/2006/relationships/hyperlink" Target="https://ref.ly/Matt12:1-Matt12:4" TargetMode="External"/><Relationship Id="rId5622" Type="http://schemas.openxmlformats.org/officeDocument/2006/relationships/hyperlink" Target="https://ref.ly/Mark3:1-Mark3:5" TargetMode="External"/><Relationship Id="rId5623" Type="http://schemas.openxmlformats.org/officeDocument/2006/relationships/hyperlink" Target="https://ref.ly/Luke13:10-Luke13:17" TargetMode="External"/><Relationship Id="rId5624" Type="http://schemas.openxmlformats.org/officeDocument/2006/relationships/hyperlink" Target="https://ref.ly/1Cor16:8" TargetMode="External"/><Relationship Id="rId5625" Type="http://schemas.openxmlformats.org/officeDocument/2006/relationships/hyperlink" Target="https://ref.ly/Acts2:1-Acts2:4" TargetMode="External"/><Relationship Id="rId5626" Type="http://schemas.openxmlformats.org/officeDocument/2006/relationships/hyperlink" Target="https://ref.ly/Joel2:28-Joel2:32" TargetMode="External"/><Relationship Id="rId5627" Type="http://schemas.openxmlformats.org/officeDocument/2006/relationships/hyperlink" Target="https://ref.ly/John4:45" TargetMode="External"/><Relationship Id="rId5628" Type="http://schemas.openxmlformats.org/officeDocument/2006/relationships/hyperlink" Target="https://ref.ly/John12:1-John12:26" TargetMode="External"/><Relationship Id="rId5629" Type="http://schemas.openxmlformats.org/officeDocument/2006/relationships/hyperlink" Target="https://ref.ly/John12:20" TargetMode="External"/><Relationship Id="rId5630" Type="http://schemas.openxmlformats.org/officeDocument/2006/relationships/hyperlink" Target="https://ref.ly/Matt27:15" TargetMode="External"/><Relationship Id="rId5631" Type="http://schemas.openxmlformats.org/officeDocument/2006/relationships/hyperlink" Target="https://ref.ly/Mark15:6" TargetMode="External"/><Relationship Id="rId5632" Type="http://schemas.openxmlformats.org/officeDocument/2006/relationships/hyperlink" Target="https://ref.ly/Luke2:42" TargetMode="External"/><Relationship Id="rId5633" Type="http://schemas.openxmlformats.org/officeDocument/2006/relationships/hyperlink" Target="https://ref.ly/Luke22:4-Luke22:6" TargetMode="External"/><Relationship Id="rId5634" Type="http://schemas.openxmlformats.org/officeDocument/2006/relationships/hyperlink" Target="https://ref.ly/1Cor11:24-1Cor11:26" TargetMode="External"/><Relationship Id="rId5635" Type="http://schemas.openxmlformats.org/officeDocument/2006/relationships/hyperlink" Target="https://ref.ly/John1:29" TargetMode="External"/><Relationship Id="rId5636" Type="http://schemas.openxmlformats.org/officeDocument/2006/relationships/hyperlink" Target="https://ref.ly/John7:10" TargetMode="External"/><Relationship Id="rId5637" Type="http://schemas.openxmlformats.org/officeDocument/2006/relationships/hyperlink" Target="https://ref.ly/John10:22" TargetMode="External"/><Relationship Id="rId5638" Type="http://schemas.openxmlformats.org/officeDocument/2006/relationships/hyperlink" Target="https://ref.ly/Luke5:29" TargetMode="External"/><Relationship Id="rId5639" Type="http://schemas.openxmlformats.org/officeDocument/2006/relationships/hyperlink" Target="https://ref.ly/John2:8-John2:10" TargetMode="External"/><Relationship Id="rId5640" Type="http://schemas.openxmlformats.org/officeDocument/2006/relationships/hyperlink" Target="https://ref.ly/Matt23:6" TargetMode="External"/><Relationship Id="rId5641" Type="http://schemas.openxmlformats.org/officeDocument/2006/relationships/hyperlink" Target="https://ref.ly/Mark12:39" TargetMode="External"/><Relationship Id="rId5642" Type="http://schemas.openxmlformats.org/officeDocument/2006/relationships/hyperlink" Target="https://ref.ly/Luke20:46" TargetMode="External"/><Relationship Id="rId5643" Type="http://schemas.openxmlformats.org/officeDocument/2006/relationships/hyperlink" Target="https://ref.ly/Luke14:13" TargetMode="External"/><Relationship Id="rId5644" Type="http://schemas.openxmlformats.org/officeDocument/2006/relationships/hyperlink" Target="https://ref.ly/Rom11:16" TargetMode="External"/><Relationship Id="rId5645" Type="http://schemas.openxmlformats.org/officeDocument/2006/relationships/hyperlink" Target="https://ref.ly/Jas1:18" TargetMode="External"/><Relationship Id="rId5646" Type="http://schemas.openxmlformats.org/officeDocument/2006/relationships/hyperlink" Target="https://ref.ly/1Cor15:20,1Cor15:23" TargetMode="External"/><Relationship Id="rId5647" Type="http://schemas.openxmlformats.org/officeDocument/2006/relationships/hyperlink" Target="https://ref.ly/Col2:16-Col2:17" TargetMode="External"/><Relationship Id="rId5648" Type="http://schemas.openxmlformats.org/officeDocument/2006/relationships/hyperlink" Target="https://ref.ly/1Cor5:7-1Cor5:8" TargetMode="External"/><Relationship Id="rId5649" Type="http://schemas.openxmlformats.org/officeDocument/2006/relationships/hyperlink" Target="https://ref.ly/2Cor7:4" TargetMode="External"/><Relationship Id="rId5650" Type="http://schemas.openxmlformats.org/officeDocument/2006/relationships/hyperlink" Target="https://ref.ly/2Cor12:5,2Cor12:9" TargetMode="External"/><Relationship Id="rId5651" Type="http://schemas.openxmlformats.org/officeDocument/2006/relationships/hyperlink" Target="https://ref.ly/1Cor5:2" TargetMode="External"/><Relationship Id="rId5652" Type="http://schemas.openxmlformats.org/officeDocument/2006/relationships/hyperlink" Target="https://ref.ly/1Cor13:4" TargetMode="External"/><Relationship Id="rId5653" Type="http://schemas.openxmlformats.org/officeDocument/2006/relationships/hyperlink" Target="https://ref.ly/Prov21:4" TargetMode="External"/><Relationship Id="rId5654" Type="http://schemas.openxmlformats.org/officeDocument/2006/relationships/hyperlink" Target="https://ref.ly/Eccl7:8" TargetMode="External"/><Relationship Id="rId5655" Type="http://schemas.openxmlformats.org/officeDocument/2006/relationships/hyperlink" Target="https://ref.ly/Ps131:1" TargetMode="External"/><Relationship Id="rId5656" Type="http://schemas.openxmlformats.org/officeDocument/2006/relationships/hyperlink" Target="https://ref.ly/Rom1:30" TargetMode="External"/><Relationship Id="rId5657" Type="http://schemas.openxmlformats.org/officeDocument/2006/relationships/hyperlink" Target="https://ref.ly/2Tim3:2-2Tim3:4" TargetMode="External"/><Relationship Id="rId5658" Type="http://schemas.openxmlformats.org/officeDocument/2006/relationships/hyperlink" Target="https://ref.ly/Mal3:13" TargetMode="External"/><Relationship Id="rId5659" Type="http://schemas.openxmlformats.org/officeDocument/2006/relationships/hyperlink" Target="https://ref.ly/Prov6:17" TargetMode="External"/><Relationship Id="rId5660" Type="http://schemas.openxmlformats.org/officeDocument/2006/relationships/hyperlink" Target="https://ref.ly/Ps101:5" TargetMode="External"/><Relationship Id="rId5661" Type="http://schemas.openxmlformats.org/officeDocument/2006/relationships/hyperlink" Target="https://ref.ly/Prov30:13" TargetMode="External"/><Relationship Id="rId5662" Type="http://schemas.openxmlformats.org/officeDocument/2006/relationships/hyperlink" Target="https://ref.ly/Prov21:24" TargetMode="External"/><Relationship Id="rId5663" Type="http://schemas.openxmlformats.org/officeDocument/2006/relationships/hyperlink" Target="https://ref.ly/Matt23:5-Matt23:12" TargetMode="External"/><Relationship Id="rId5664" Type="http://schemas.openxmlformats.org/officeDocument/2006/relationships/hyperlink" Target="https://ref.ly/John9:34" TargetMode="External"/><Relationship Id="rId5665" Type="http://schemas.openxmlformats.org/officeDocument/2006/relationships/hyperlink" Target="https://ref.ly/2Chr26:16" TargetMode="External"/><Relationship Id="rId5666" Type="http://schemas.openxmlformats.org/officeDocument/2006/relationships/hyperlink" Target="https://ref.ly/2Chr32:25-2Chr32:26" TargetMode="External"/><Relationship Id="rId5667" Type="http://schemas.openxmlformats.org/officeDocument/2006/relationships/hyperlink" Target="https://ref.ly/Luke18:9-Luke18:14" TargetMode="External"/><Relationship Id="rId5668" Type="http://schemas.openxmlformats.org/officeDocument/2006/relationships/hyperlink" Target="https://ref.ly/Isa3:16" TargetMode="External"/><Relationship Id="rId5669" Type="http://schemas.openxmlformats.org/officeDocument/2006/relationships/hyperlink" Target="https://ref.ly/Isa5:15" TargetMode="External"/><Relationship Id="rId5670" Type="http://schemas.openxmlformats.org/officeDocument/2006/relationships/hyperlink" Target="https://ref.ly/Ezek16:50" TargetMode="External"/><Relationship Id="rId5671" Type="http://schemas.openxmlformats.org/officeDocument/2006/relationships/hyperlink" Target="https://ref.ly/Hos13:6" TargetMode="External"/><Relationship Id="rId5672" Type="http://schemas.openxmlformats.org/officeDocument/2006/relationships/hyperlink" Target="https://ref.ly/Zeph3:11" TargetMode="External"/><Relationship Id="rId5673" Type="http://schemas.openxmlformats.org/officeDocument/2006/relationships/hyperlink" Target="https://ref.ly/Isa10:12" TargetMode="External"/><Relationship Id="rId5674" Type="http://schemas.openxmlformats.org/officeDocument/2006/relationships/hyperlink" Target="https://ref.ly/Jer48:29" TargetMode="External"/><Relationship Id="rId5675" Type="http://schemas.openxmlformats.org/officeDocument/2006/relationships/hyperlink" Target="https://ref.ly/Deut8:14" TargetMode="External"/><Relationship Id="rId5676" Type="http://schemas.openxmlformats.org/officeDocument/2006/relationships/hyperlink" Target="https://ref.ly/Jas4:6" TargetMode="External"/><Relationship Id="rId5677" Type="http://schemas.openxmlformats.org/officeDocument/2006/relationships/hyperlink" Target="https://ref.ly/1Pet5:5" TargetMode="External"/><Relationship Id="rId5678" Type="http://schemas.openxmlformats.org/officeDocument/2006/relationships/hyperlink" Target="https://ref.ly/Prov3:34" TargetMode="External"/><Relationship Id="rId5679" Type="http://schemas.openxmlformats.org/officeDocument/2006/relationships/hyperlink" Target="https://ref.ly/Prov18:12" TargetMode="External"/><Relationship Id="rId5680" Type="http://schemas.openxmlformats.org/officeDocument/2006/relationships/hyperlink" Target="https://ref.ly/Luke1:51-Luke1:52" TargetMode="External"/><Relationship Id="rId5681" Type="http://schemas.openxmlformats.org/officeDocument/2006/relationships/hyperlink" Target="https://ref.ly/Exod2:5-Exod2:10" TargetMode="External"/><Relationship Id="rId5682" Type="http://schemas.openxmlformats.org/officeDocument/2006/relationships/hyperlink" Target="https://ref.ly/Acts7:21" TargetMode="External"/><Relationship Id="rId5683" Type="http://schemas.openxmlformats.org/officeDocument/2006/relationships/hyperlink" Target="https://ref.ly/Heb11:24" TargetMode="External"/><Relationship Id="rId5684" Type="http://schemas.openxmlformats.org/officeDocument/2006/relationships/hyperlink" Target="https://ref.ly/1Kgs3:1" TargetMode="External"/><Relationship Id="rId5685" Type="http://schemas.openxmlformats.org/officeDocument/2006/relationships/hyperlink" Target="https://ref.ly/1Kgs11:1" TargetMode="External"/><Relationship Id="rId5686" Type="http://schemas.openxmlformats.org/officeDocument/2006/relationships/hyperlink" Target="https://ref.ly/1Kgs7:8" TargetMode="External"/><Relationship Id="rId5687" Type="http://schemas.openxmlformats.org/officeDocument/2006/relationships/hyperlink" Target="https://ref.ly/1Kgs9:24" TargetMode="External"/><Relationship Id="rId5688" Type="http://schemas.openxmlformats.org/officeDocument/2006/relationships/hyperlink" Target="https://ref.ly/2Chr8:11" TargetMode="External"/><Relationship Id="rId5689" Type="http://schemas.openxmlformats.org/officeDocument/2006/relationships/hyperlink" Target="https://ref.ly/Ezek2:1" TargetMode="External"/><Relationship Id="rId5690" Type="http://schemas.openxmlformats.org/officeDocument/2006/relationships/hyperlink" Target="https://ref.ly/Ezek22:1-Ezek22:31" TargetMode="External"/><Relationship Id="rId5691" Type="http://schemas.openxmlformats.org/officeDocument/2006/relationships/hyperlink" Target="https://ref.ly/Matt23:1-Matt24:51" TargetMode="External"/><Relationship Id="rId5692" Type="http://schemas.openxmlformats.org/officeDocument/2006/relationships/hyperlink" Target="https://ref.ly/Acts1:6-Acts1:8" TargetMode="External"/><Relationship Id="rId5693" Type="http://schemas.openxmlformats.org/officeDocument/2006/relationships/hyperlink" Target="https://ref.ly/Dan7:13-Dan7:14" TargetMode="External"/><Relationship Id="rId5694" Type="http://schemas.openxmlformats.org/officeDocument/2006/relationships/hyperlink" Target="https://ref.ly/Matt16:27" TargetMode="External"/><Relationship Id="rId5695" Type="http://schemas.openxmlformats.org/officeDocument/2006/relationships/hyperlink" Target="https://ref.ly/Matt19:28" TargetMode="External"/><Relationship Id="rId5696" Type="http://schemas.openxmlformats.org/officeDocument/2006/relationships/hyperlink" Target="https://ref.ly/Matt25:31" TargetMode="External"/><Relationship Id="rId5697" Type="http://schemas.openxmlformats.org/officeDocument/2006/relationships/hyperlink" Target="https://ref.ly/Matt26:64" TargetMode="External"/><Relationship Id="rId5698" Type="http://schemas.openxmlformats.org/officeDocument/2006/relationships/hyperlink" Target="https://ref.ly/John12:34" TargetMode="External"/><Relationship Id="rId5699" Type="http://schemas.openxmlformats.org/officeDocument/2006/relationships/hyperlink" Target="https://ref.ly/Matt16:13,Matt16:15" TargetMode="External"/><Relationship Id="rId5700" Type="http://schemas.openxmlformats.org/officeDocument/2006/relationships/hyperlink" Target="https://ref.ly/Acts7:56" TargetMode="External"/><Relationship Id="rId5701" Type="http://schemas.openxmlformats.org/officeDocument/2006/relationships/hyperlink" Target="https://ref.ly/Heb2:6" TargetMode="External"/><Relationship Id="rId5702" Type="http://schemas.openxmlformats.org/officeDocument/2006/relationships/hyperlink" Target="https://ref.ly/Rev1:13" TargetMode="External"/><Relationship Id="rId5703" Type="http://schemas.openxmlformats.org/officeDocument/2006/relationships/hyperlink" Target="https://ref.ly/Matt8:20" TargetMode="External"/><Relationship Id="rId5704" Type="http://schemas.openxmlformats.org/officeDocument/2006/relationships/hyperlink" Target="https://ref.ly/Phil2:5-Phil2:11" TargetMode="External"/><Relationship Id="rId5705" Type="http://schemas.openxmlformats.org/officeDocument/2006/relationships/hyperlink" Target="https://ref.ly/Matt12:8" TargetMode="External"/><Relationship Id="rId5706" Type="http://schemas.openxmlformats.org/officeDocument/2006/relationships/hyperlink" Target="https://ref.ly/Mark2:28" TargetMode="External"/><Relationship Id="rId5707" Type="http://schemas.openxmlformats.org/officeDocument/2006/relationships/hyperlink" Target="https://ref.ly/Luke6:5" TargetMode="External"/><Relationship Id="rId5708" Type="http://schemas.openxmlformats.org/officeDocument/2006/relationships/hyperlink" Target="https://ref.ly/Gen2:2" TargetMode="External"/><Relationship Id="rId5709" Type="http://schemas.openxmlformats.org/officeDocument/2006/relationships/hyperlink" Target="https://ref.ly/Matt9:6" TargetMode="External"/><Relationship Id="rId5710" Type="http://schemas.openxmlformats.org/officeDocument/2006/relationships/hyperlink" Target="https://ref.ly/Mark2:10" TargetMode="External"/><Relationship Id="rId5711" Type="http://schemas.openxmlformats.org/officeDocument/2006/relationships/hyperlink" Target="https://ref.ly/Luke5:24" TargetMode="External"/><Relationship Id="rId5712" Type="http://schemas.openxmlformats.org/officeDocument/2006/relationships/hyperlink" Target="https://ref.ly/Mark8:31-Mark8:32" TargetMode="External"/><Relationship Id="rId5713" Type="http://schemas.openxmlformats.org/officeDocument/2006/relationships/hyperlink" Target="https://ref.ly/Matt17:12" TargetMode="External"/><Relationship Id="rId5714" Type="http://schemas.openxmlformats.org/officeDocument/2006/relationships/hyperlink" Target="https://ref.ly/Matt20:18" TargetMode="External"/><Relationship Id="rId5715" Type="http://schemas.openxmlformats.org/officeDocument/2006/relationships/hyperlink" Target="https://ref.ly/Mark8:31" TargetMode="External"/><Relationship Id="rId5716" Type="http://schemas.openxmlformats.org/officeDocument/2006/relationships/hyperlink" Target="https://ref.ly/Luke9:22" TargetMode="External"/><Relationship Id="rId5717" Type="http://schemas.openxmlformats.org/officeDocument/2006/relationships/hyperlink" Target="https://ref.ly/Matt17:22" TargetMode="External"/><Relationship Id="rId5718" Type="http://schemas.openxmlformats.org/officeDocument/2006/relationships/hyperlink" Target="https://ref.ly/Matt26:24-Matt26:25" TargetMode="External"/><Relationship Id="rId5719" Type="http://schemas.openxmlformats.org/officeDocument/2006/relationships/hyperlink" Target="https://ref.ly/Mark14:21,Mark14:41" TargetMode="External"/><Relationship Id="rId5720" Type="http://schemas.openxmlformats.org/officeDocument/2006/relationships/hyperlink" Target="https://ref.ly/Matt20:19" TargetMode="External"/><Relationship Id="rId5721" Type="http://schemas.openxmlformats.org/officeDocument/2006/relationships/hyperlink" Target="https://ref.ly/Mark9:12,Mark9:31" TargetMode="External"/><Relationship Id="rId5722" Type="http://schemas.openxmlformats.org/officeDocument/2006/relationships/hyperlink" Target="https://ref.ly/Mark10:33" TargetMode="External"/><Relationship Id="rId5723" Type="http://schemas.openxmlformats.org/officeDocument/2006/relationships/hyperlink" Target="https://ref.ly/Luke11:30" TargetMode="External"/><Relationship Id="rId5724" Type="http://schemas.openxmlformats.org/officeDocument/2006/relationships/hyperlink" Target="https://ref.ly/Isa53:1-Isa53:12" TargetMode="External"/><Relationship Id="rId5725" Type="http://schemas.openxmlformats.org/officeDocument/2006/relationships/hyperlink" Target="https://ref.ly/Luke9:26" TargetMode="External"/><Relationship Id="rId5726" Type="http://schemas.openxmlformats.org/officeDocument/2006/relationships/hyperlink" Target="https://ref.ly/Luke22:69" TargetMode="External"/><Relationship Id="rId5727" Type="http://schemas.openxmlformats.org/officeDocument/2006/relationships/hyperlink" Target="https://ref.ly/Luke12:40" TargetMode="External"/><Relationship Id="rId5728" Type="http://schemas.openxmlformats.org/officeDocument/2006/relationships/hyperlink" Target="https://ref.ly/Matt24:37" TargetMode="External"/><Relationship Id="rId5729" Type="http://schemas.openxmlformats.org/officeDocument/2006/relationships/hyperlink" Target="https://ref.ly/Luke17:24" TargetMode="External"/><Relationship Id="rId5730" Type="http://schemas.openxmlformats.org/officeDocument/2006/relationships/hyperlink" Target="https://ref.ly/Matt24:27" TargetMode="External"/><Relationship Id="rId5731" Type="http://schemas.openxmlformats.org/officeDocument/2006/relationships/hyperlink" Target="https://ref.ly/Matt25:46" TargetMode="External"/><Relationship Id="rId5732" Type="http://schemas.openxmlformats.org/officeDocument/2006/relationships/hyperlink" Target="https://ref.ly/John1:51" TargetMode="External"/><Relationship Id="rId5733" Type="http://schemas.openxmlformats.org/officeDocument/2006/relationships/hyperlink" Target="https://ref.ly/John3:16" TargetMode="External"/><Relationship Id="rId5734" Type="http://schemas.openxmlformats.org/officeDocument/2006/relationships/hyperlink" Target="https://ref.ly/John1:18" TargetMode="External"/><Relationship Id="rId5735" Type="http://schemas.openxmlformats.org/officeDocument/2006/relationships/hyperlink" Target="https://ref.ly/John3:18" TargetMode="External"/><Relationship Id="rId5736" Type="http://schemas.openxmlformats.org/officeDocument/2006/relationships/hyperlink" Target="https://ref.ly/John5:25-John5:27" TargetMode="External"/><Relationship Id="rId5737" Type="http://schemas.openxmlformats.org/officeDocument/2006/relationships/hyperlink" Target="https://ref.ly/Prov8:1-Prov8:36" TargetMode="External"/><Relationship Id="rId5738" Type="http://schemas.openxmlformats.org/officeDocument/2006/relationships/hyperlink" Target="https://ref.ly/Eph1:5,Eph1:9" TargetMode="External"/><Relationship Id="rId5739" Type="http://schemas.openxmlformats.org/officeDocument/2006/relationships/hyperlink" Target="https://ref.ly/Eph1:11" TargetMode="External"/><Relationship Id="rId5740" Type="http://schemas.openxmlformats.org/officeDocument/2006/relationships/hyperlink" Target="https://ref.ly/Eph1:9" TargetMode="External"/><Relationship Id="rId5741" Type="http://schemas.openxmlformats.org/officeDocument/2006/relationships/hyperlink" Target="https://ref.ly/Rom8:26-Rom8:28" TargetMode="External"/><Relationship Id="rId5742" Type="http://schemas.openxmlformats.org/officeDocument/2006/relationships/hyperlink" Target="https://ref.ly/Eph1:4-Eph1:5" TargetMode="External"/><Relationship Id="rId5743" Type="http://schemas.openxmlformats.org/officeDocument/2006/relationships/hyperlink" Target="https://ref.ly/Eph1:1-Eph1:23" TargetMode="External"/><Relationship Id="rId5744" Type="http://schemas.openxmlformats.org/officeDocument/2006/relationships/hyperlink" Target="https://ref.ly/Eph1:6" TargetMode="External"/><Relationship Id="rId5745" Type="http://schemas.openxmlformats.org/officeDocument/2006/relationships/hyperlink" Target="https://ref.ly/John1:12" TargetMode="External"/><Relationship Id="rId5746" Type="http://schemas.openxmlformats.org/officeDocument/2006/relationships/hyperlink" Target="https://ref.ly/Gen1:6-Gen1:8" TargetMode="External"/><Relationship Id="rId5747" Type="http://schemas.openxmlformats.org/officeDocument/2006/relationships/hyperlink" Target="https://ref.ly/Ezek1:22-Ezek1:26" TargetMode="External"/><Relationship Id="rId5748" Type="http://schemas.openxmlformats.org/officeDocument/2006/relationships/hyperlink" Target="https://ref.ly/Dan12:3" TargetMode="External"/><Relationship Id="rId5749" Type="http://schemas.openxmlformats.org/officeDocument/2006/relationships/hyperlink" Target="https://ref.ly/Isa44:12" TargetMode="External"/><Relationship Id="rId5750" Type="http://schemas.openxmlformats.org/officeDocument/2006/relationships/hyperlink" Target="https://ref.ly/Josh6:19,Josh6:24" TargetMode="External"/><Relationship Id="rId5751" Type="http://schemas.openxmlformats.org/officeDocument/2006/relationships/hyperlink" Target="https://ref.ly/Josh17:16" TargetMode="External"/><Relationship Id="rId5752" Type="http://schemas.openxmlformats.org/officeDocument/2006/relationships/hyperlink" Target="https://ref.ly/Judg1:19" TargetMode="External"/><Relationship Id="rId5753" Type="http://schemas.openxmlformats.org/officeDocument/2006/relationships/hyperlink" Target="https://ref.ly/Judg4:3,Judg4:13" TargetMode="External"/><Relationship Id="rId5754" Type="http://schemas.openxmlformats.org/officeDocument/2006/relationships/hyperlink" Target="https://ref.ly/Judg17:4" TargetMode="External"/><Relationship Id="rId5755" Type="http://schemas.openxmlformats.org/officeDocument/2006/relationships/hyperlink" Target="https://ref.ly/Acts19:24" TargetMode="External"/><Relationship Id="rId5756" Type="http://schemas.openxmlformats.org/officeDocument/2006/relationships/hyperlink" Target="https://ref.ly/1Sam13:19" TargetMode="External"/><Relationship Id="rId5757" Type="http://schemas.openxmlformats.org/officeDocument/2006/relationships/hyperlink" Target="https://ref.ly/2Kgs24:14-2Kgs24:16" TargetMode="External"/><Relationship Id="rId5758" Type="http://schemas.openxmlformats.org/officeDocument/2006/relationships/hyperlink" Target="https://ref.ly/Jer24:1" TargetMode="External"/><Relationship Id="rId5759" Type="http://schemas.openxmlformats.org/officeDocument/2006/relationships/hyperlink" Target="https://ref.ly/Jer29:2" TargetMode="External"/><Relationship Id="rId5760" Type="http://schemas.openxmlformats.org/officeDocument/2006/relationships/hyperlink" Target="https://ref.ly/Prov25:4" TargetMode="External"/><Relationship Id="rId5761" Type="http://schemas.openxmlformats.org/officeDocument/2006/relationships/hyperlink" Target="https://ref.ly/Isa54:16" TargetMode="External"/><Relationship Id="rId5762" Type="http://schemas.openxmlformats.org/officeDocument/2006/relationships/hyperlink" Target="https://ref.ly/Zech1:20" TargetMode="External"/><Relationship Id="rId5763" Type="http://schemas.openxmlformats.org/officeDocument/2006/relationships/hyperlink" Target="https://ref.ly/Gen19:28" TargetMode="External"/><Relationship Id="rId5764" Type="http://schemas.openxmlformats.org/officeDocument/2006/relationships/hyperlink" Target="https://ref.ly/Exod9:8" TargetMode="External"/><Relationship Id="rId5765" Type="http://schemas.openxmlformats.org/officeDocument/2006/relationships/hyperlink" Target="https://ref.ly/Deut4:20" TargetMode="External"/><Relationship Id="rId5766" Type="http://schemas.openxmlformats.org/officeDocument/2006/relationships/hyperlink" Target="https://ref.ly/1Kgs8:51" TargetMode="External"/><Relationship Id="rId5767" Type="http://schemas.openxmlformats.org/officeDocument/2006/relationships/hyperlink" Target="https://ref.ly/Prov17:3" TargetMode="External"/><Relationship Id="rId5768" Type="http://schemas.openxmlformats.org/officeDocument/2006/relationships/hyperlink" Target="https://ref.ly/Prov27:21" TargetMode="External"/><Relationship Id="rId5769" Type="http://schemas.openxmlformats.org/officeDocument/2006/relationships/hyperlink" Target="https://ref.ly/Isa48:10" TargetMode="External"/><Relationship Id="rId5770" Type="http://schemas.openxmlformats.org/officeDocument/2006/relationships/hyperlink" Target="https://ref.ly/Jer11:4" TargetMode="External"/><Relationship Id="rId5771" Type="http://schemas.openxmlformats.org/officeDocument/2006/relationships/hyperlink" Target="https://ref.ly/Ezek22:18-Ezek22:22" TargetMode="External"/><Relationship Id="rId5772" Type="http://schemas.openxmlformats.org/officeDocument/2006/relationships/hyperlink" Target="https://ref.ly/Dan3:1-Dan3:30" TargetMode="External"/><Relationship Id="rId5773" Type="http://schemas.openxmlformats.org/officeDocument/2006/relationships/hyperlink" Target="https://ref.ly/Jer6:27-Jer6:30" TargetMode="External"/><Relationship Id="rId5774" Type="http://schemas.openxmlformats.org/officeDocument/2006/relationships/hyperlink" Target="https://ref.ly/Matt13:42" TargetMode="External"/><Relationship Id="rId5775" Type="http://schemas.openxmlformats.org/officeDocument/2006/relationships/hyperlink" Target="https://ref.ly/1Pet1:7" TargetMode="External"/><Relationship Id="rId5776" Type="http://schemas.openxmlformats.org/officeDocument/2006/relationships/hyperlink" Target="https://ref.ly/Rev1:15" TargetMode="External"/><Relationship Id="rId5777" Type="http://schemas.openxmlformats.org/officeDocument/2006/relationships/hyperlink" Target="https://ref.ly/Gen35:24" TargetMode="External"/><Relationship Id="rId5778" Type="http://schemas.openxmlformats.org/officeDocument/2006/relationships/hyperlink" Target="https://ref.ly/Gen42:6" TargetMode="External"/><Relationship Id="rId5779" Type="http://schemas.openxmlformats.org/officeDocument/2006/relationships/hyperlink" Target="https://ref.ly/Gen4:8" TargetMode="External"/><Relationship Id="rId5780" Type="http://schemas.openxmlformats.org/officeDocument/2006/relationships/hyperlink" Target="https://ref.ly/Deut13:6-Deut13:7" TargetMode="External"/><Relationship Id="rId5781" Type="http://schemas.openxmlformats.org/officeDocument/2006/relationships/hyperlink" Target="https://ref.ly/Prov17:17" TargetMode="External"/><Relationship Id="rId5782" Type="http://schemas.openxmlformats.org/officeDocument/2006/relationships/hyperlink" Target="https://ref.ly/Deut25:5" TargetMode="External"/><Relationship Id="rId5783" Type="http://schemas.openxmlformats.org/officeDocument/2006/relationships/hyperlink" Target="https://ref.ly/2Sam1:26" TargetMode="External"/><Relationship Id="rId5784" Type="http://schemas.openxmlformats.org/officeDocument/2006/relationships/hyperlink" Target="https://ref.ly/Lev25:35-Lev25:43" TargetMode="External"/><Relationship Id="rId5785" Type="http://schemas.openxmlformats.org/officeDocument/2006/relationships/hyperlink" Target="https://ref.ly/John7:5" TargetMode="External"/><Relationship Id="rId5786" Type="http://schemas.openxmlformats.org/officeDocument/2006/relationships/hyperlink" Target="https://ref.ly/Matt23:8-Matt23:9" TargetMode="External"/><Relationship Id="rId5787" Type="http://schemas.openxmlformats.org/officeDocument/2006/relationships/hyperlink" Target="https://ref.ly/Acts9:17" TargetMode="External"/><Relationship Id="rId5788" Type="http://schemas.openxmlformats.org/officeDocument/2006/relationships/hyperlink" Target="https://ref.ly/1Pet5:9" TargetMode="External"/><Relationship Id="rId5789" Type="http://schemas.openxmlformats.org/officeDocument/2006/relationships/hyperlink" Target="https://ref.ly/1Thess4:6" TargetMode="External"/><Relationship Id="rId5790" Type="http://schemas.openxmlformats.org/officeDocument/2006/relationships/hyperlink" Target="https://ref.ly/Jas2:15-Jas2:16" TargetMode="External"/><Relationship Id="rId5791" Type="http://schemas.openxmlformats.org/officeDocument/2006/relationships/hyperlink" Target="https://ref.ly/Rom14:13" TargetMode="External"/><Relationship Id="rId5792" Type="http://schemas.openxmlformats.org/officeDocument/2006/relationships/hyperlink" Target="https://ref.ly/1Cor6:5-1Cor6:6" TargetMode="External"/><Relationship Id="rId5793" Type="http://schemas.openxmlformats.org/officeDocument/2006/relationships/hyperlink" Target="https://ref.ly/Matt18:15-Matt18:17" TargetMode="External"/><Relationship Id="rId5794" Type="http://schemas.openxmlformats.org/officeDocument/2006/relationships/hyperlink" Target="https://ref.ly/Acts2:29,Acts2:37" TargetMode="External"/><Relationship Id="rId5795" Type="http://schemas.openxmlformats.org/officeDocument/2006/relationships/hyperlink" Target="https://ref.ly/Acts7:2" TargetMode="External"/><Relationship Id="rId5796" Type="http://schemas.openxmlformats.org/officeDocument/2006/relationships/hyperlink" Target="https://ref.ly/Acts22:5" TargetMode="External"/><Relationship Id="rId5797" Type="http://schemas.openxmlformats.org/officeDocument/2006/relationships/hyperlink" Target="https://ref.ly/Acts28:21" TargetMode="External"/><Relationship Id="rId5798" Type="http://schemas.openxmlformats.org/officeDocument/2006/relationships/hyperlink" Target="https://ref.ly/Acts1:15-Acts1:16" TargetMode="External"/><Relationship Id="rId5799" Type="http://schemas.openxmlformats.org/officeDocument/2006/relationships/hyperlink" Target="https://ref.ly/Acts11:1" TargetMode="External"/><Relationship Id="rId5800" Type="http://schemas.openxmlformats.org/officeDocument/2006/relationships/hyperlink" Target="https://ref.ly/Acts17:14" TargetMode="External"/><Relationship Id="rId5801" Type="http://schemas.openxmlformats.org/officeDocument/2006/relationships/hyperlink" Target="https://ref.ly/Rom1:13" TargetMode="External"/><Relationship Id="rId5802" Type="http://schemas.openxmlformats.org/officeDocument/2006/relationships/hyperlink" Target="https://ref.ly/1Cor1:1,1Cor1:10" TargetMode="External"/><Relationship Id="rId5803" Type="http://schemas.openxmlformats.org/officeDocument/2006/relationships/hyperlink" Target="https://ref.ly/Mark10:23-Mark10:31" TargetMode="External"/><Relationship Id="rId5804" Type="http://schemas.openxmlformats.org/officeDocument/2006/relationships/hyperlink" Target="https://ref.ly/Jas2:15" TargetMode="External"/><Relationship Id="rId5805" Type="http://schemas.openxmlformats.org/officeDocument/2006/relationships/hyperlink" Target="https://ref.ly/1John3:10-1John3:18" TargetMode="External"/><Relationship Id="rId5806" Type="http://schemas.openxmlformats.org/officeDocument/2006/relationships/hyperlink" Target="https://ref.ly/1John4:20-1John4:21" TargetMode="External"/><Relationship Id="rId5807" Type="http://schemas.openxmlformats.org/officeDocument/2006/relationships/hyperlink" Target="https://ref.ly/Matt12:47-Matt12:50" TargetMode="External"/><Relationship Id="rId5808" Type="http://schemas.openxmlformats.org/officeDocument/2006/relationships/hyperlink" Target="https://ref.ly/Mark3:34-Mark3:35" TargetMode="External"/><Relationship Id="rId5809" Type="http://schemas.openxmlformats.org/officeDocument/2006/relationships/hyperlink" Target="https://ref.ly/Luke8:19-Luke8:21" TargetMode="External"/><Relationship Id="rId5810" Type="http://schemas.openxmlformats.org/officeDocument/2006/relationships/hyperlink" Target="https://ref.ly/John2:12" TargetMode="External"/><Relationship Id="rId5811" Type="http://schemas.openxmlformats.org/officeDocument/2006/relationships/hyperlink" Target="https://ref.ly/John7:4" TargetMode="External"/><Relationship Id="rId5812" Type="http://schemas.openxmlformats.org/officeDocument/2006/relationships/hyperlink" Target="https://ref.ly/Matt13:57" TargetMode="External"/><Relationship Id="rId5813" Type="http://schemas.openxmlformats.org/officeDocument/2006/relationships/hyperlink" Target="https://ref.ly/Mark3:21" TargetMode="External"/><Relationship Id="rId5814" Type="http://schemas.openxmlformats.org/officeDocument/2006/relationships/hyperlink" Target="https://ref.ly/Gal1:19" TargetMode="External"/><Relationship Id="rId5815" Type="http://schemas.openxmlformats.org/officeDocument/2006/relationships/hyperlink" Target="https://ref.ly/Acts12:17" TargetMode="External"/><Relationship Id="rId5816" Type="http://schemas.openxmlformats.org/officeDocument/2006/relationships/hyperlink" Target="https://ref.ly/Acts21:18" TargetMode="External"/><Relationship Id="rId5817" Type="http://schemas.openxmlformats.org/officeDocument/2006/relationships/hyperlink" Target="https://ref.ly/1Cor9:5" TargetMode="External"/><Relationship Id="rId5818" Type="http://schemas.openxmlformats.org/officeDocument/2006/relationships/hyperlink" Target="https://ref.ly/Acts1:13-Acts1:14" TargetMode="External"/><Relationship Id="rId5819" Type="http://schemas.openxmlformats.org/officeDocument/2006/relationships/hyperlink" Target="https://ref.ly/Gen35:26" TargetMode="External"/><Relationship Id="rId5820" Type="http://schemas.openxmlformats.org/officeDocument/2006/relationships/hyperlink" Target="https://ref.ly/1Chr2:2" TargetMode="External"/><Relationship Id="rId5821" Type="http://schemas.openxmlformats.org/officeDocument/2006/relationships/hyperlink" Target="https://ref.ly/Gen30:11" TargetMode="External"/><Relationship Id="rId5822" Type="http://schemas.openxmlformats.org/officeDocument/2006/relationships/hyperlink" Target="https://ref.ly/Gen49:19" TargetMode="External"/><Relationship Id="rId5823" Type="http://schemas.openxmlformats.org/officeDocument/2006/relationships/hyperlink" Target="https://ref.ly/Deut3:12,Deut3:16" TargetMode="External"/><Relationship Id="rId5824" Type="http://schemas.openxmlformats.org/officeDocument/2006/relationships/hyperlink" Target="https://ref.ly/Num2:14" TargetMode="External"/><Relationship Id="rId5825" Type="http://schemas.openxmlformats.org/officeDocument/2006/relationships/hyperlink" Target="https://ref.ly/1Sam22:5" TargetMode="External"/><Relationship Id="rId5826" Type="http://schemas.openxmlformats.org/officeDocument/2006/relationships/hyperlink" Target="https://ref.ly/2Sam24:11-2Sam24:14,2Sam24:18-2Sam24:19" TargetMode="External"/><Relationship Id="rId5827" Type="http://schemas.openxmlformats.org/officeDocument/2006/relationships/hyperlink" Target="https://ref.ly/1Chr21:9-1Chr21:19" TargetMode="External"/><Relationship Id="rId5828" Type="http://schemas.openxmlformats.org/officeDocument/2006/relationships/hyperlink" Target="https://ref.ly/2Chr29:25" TargetMode="External"/><Relationship Id="rId5829" Type="http://schemas.openxmlformats.org/officeDocument/2006/relationships/hyperlink" Target="https://ref.ly/1Chr29:29" TargetMode="External"/><Relationship Id="rId5830" Type="http://schemas.openxmlformats.org/officeDocument/2006/relationships/hyperlink" Target="https://ref.ly/Num1:24-Num1:25" TargetMode="External"/><Relationship Id="rId5831" Type="http://schemas.openxmlformats.org/officeDocument/2006/relationships/hyperlink" Target="https://ref.ly/Deut33:20" TargetMode="External"/><Relationship Id="rId5832" Type="http://schemas.openxmlformats.org/officeDocument/2006/relationships/hyperlink" Target="https://ref.ly/Num1:14" TargetMode="External"/><Relationship Id="rId5833" Type="http://schemas.openxmlformats.org/officeDocument/2006/relationships/hyperlink" Target="https://ref.ly/Num7:42" TargetMode="External"/><Relationship Id="rId5834" Type="http://schemas.openxmlformats.org/officeDocument/2006/relationships/hyperlink" Target="https://ref.ly/Num10:20" TargetMode="External"/><Relationship Id="rId5835" Type="http://schemas.openxmlformats.org/officeDocument/2006/relationships/hyperlink" Target="https://ref.ly/Num2:14-Num2:15" TargetMode="External"/><Relationship Id="rId5836" Type="http://schemas.openxmlformats.org/officeDocument/2006/relationships/hyperlink" Target="https://ref.ly/Num7:42-Num7:47" TargetMode="External"/><Relationship Id="rId5837" Type="http://schemas.openxmlformats.org/officeDocument/2006/relationships/hyperlink" Target="https://ref.ly/Num26:15" TargetMode="External"/><Relationship Id="rId5838" Type="http://schemas.openxmlformats.org/officeDocument/2006/relationships/hyperlink" Target="https://ref.ly/Num13:15" TargetMode="External"/><Relationship Id="rId5839" Type="http://schemas.openxmlformats.org/officeDocument/2006/relationships/hyperlink" Target="https://ref.ly/Num32:1-Num32:2" TargetMode="External"/><Relationship Id="rId5840" Type="http://schemas.openxmlformats.org/officeDocument/2006/relationships/hyperlink" Target="https://ref.ly/Num32:20-Num32:22" TargetMode="External"/><Relationship Id="rId5841" Type="http://schemas.openxmlformats.org/officeDocument/2006/relationships/hyperlink" Target="https://ref.ly/Josh1:12-Josh1:18" TargetMode="External"/><Relationship Id="rId5842" Type="http://schemas.openxmlformats.org/officeDocument/2006/relationships/hyperlink" Target="https://ref.ly/Josh4:12" TargetMode="External"/><Relationship Id="rId5843" Type="http://schemas.openxmlformats.org/officeDocument/2006/relationships/hyperlink" Target="https://ref.ly/Num34:13-Num34:14" TargetMode="External"/><Relationship Id="rId5844" Type="http://schemas.openxmlformats.org/officeDocument/2006/relationships/hyperlink" Target="https://ref.ly/Josh12:6" TargetMode="External"/><Relationship Id="rId5845" Type="http://schemas.openxmlformats.org/officeDocument/2006/relationships/hyperlink" Target="https://ref.ly/Josh13:8" TargetMode="External"/><Relationship Id="rId5846" Type="http://schemas.openxmlformats.org/officeDocument/2006/relationships/hyperlink" Target="https://ref.ly/Deut3:12-Deut3:13" TargetMode="External"/><Relationship Id="rId5847" Type="http://schemas.openxmlformats.org/officeDocument/2006/relationships/hyperlink" Target="https://ref.ly/Josh12:1-Josh12:6" TargetMode="External"/><Relationship Id="rId5848" Type="http://schemas.openxmlformats.org/officeDocument/2006/relationships/hyperlink" Target="https://ref.ly/Josh13:24-Josh13:28" TargetMode="External"/><Relationship Id="rId5849" Type="http://schemas.openxmlformats.org/officeDocument/2006/relationships/hyperlink" Target="https://ref.ly/1Chr12:14" TargetMode="External"/><Relationship Id="rId5850" Type="http://schemas.openxmlformats.org/officeDocument/2006/relationships/hyperlink" Target="https://ref.ly/1Chr26:30-1Chr26:32" TargetMode="External"/><Relationship Id="rId5851" Type="http://schemas.openxmlformats.org/officeDocument/2006/relationships/hyperlink" Target="https://ref.ly/1Chr5:26-1Chr5:27" TargetMode="External"/><Relationship Id="rId5852" Type="http://schemas.openxmlformats.org/officeDocument/2006/relationships/hyperlink" Target="https://ref.ly/Jer49:1" TargetMode="External"/><Relationship Id="rId5853" Type="http://schemas.openxmlformats.org/officeDocument/2006/relationships/hyperlink" Target="https://ref.ly/Ezek48:1" TargetMode="External"/><Relationship Id="rId5854" Type="http://schemas.openxmlformats.org/officeDocument/2006/relationships/hyperlink" Target="https://ref.ly/Rev7:5" TargetMode="External"/><Relationship Id="rId5855" Type="http://schemas.openxmlformats.org/officeDocument/2006/relationships/hyperlink" Target="https://ref.ly/Gen36:11,Gen36:16" TargetMode="External"/><Relationship Id="rId5856" Type="http://schemas.openxmlformats.org/officeDocument/2006/relationships/hyperlink" Target="https://ref.ly/3John1:1" TargetMode="External"/><Relationship Id="rId5857" Type="http://schemas.openxmlformats.org/officeDocument/2006/relationships/hyperlink" Target="https://ref.ly/Judg20:1" TargetMode="External"/><Relationship Id="rId5858" Type="http://schemas.openxmlformats.org/officeDocument/2006/relationships/hyperlink" Target="https://ref.ly/Jer50:19" TargetMode="External"/><Relationship Id="rId5859" Type="http://schemas.openxmlformats.org/officeDocument/2006/relationships/hyperlink" Target="https://ref.ly/Zech10:10" TargetMode="External"/><Relationship Id="rId5860" Type="http://schemas.openxmlformats.org/officeDocument/2006/relationships/hyperlink" Target="https://ref.ly/Jer8:22" TargetMode="External"/><Relationship Id="rId5861" Type="http://schemas.openxmlformats.org/officeDocument/2006/relationships/hyperlink" Target="https://ref.ly/Jer46:11" TargetMode="External"/><Relationship Id="rId5862" Type="http://schemas.openxmlformats.org/officeDocument/2006/relationships/hyperlink" Target="https://ref.ly/Hos2:8" TargetMode="External"/><Relationship Id="rId5863" Type="http://schemas.openxmlformats.org/officeDocument/2006/relationships/hyperlink" Target="https://ref.ly/Jer22:6" TargetMode="External"/><Relationship Id="rId5864" Type="http://schemas.openxmlformats.org/officeDocument/2006/relationships/hyperlink" Target="https://ref.ly/Gen31:21" TargetMode="External"/><Relationship Id="rId5865" Type="http://schemas.openxmlformats.org/officeDocument/2006/relationships/hyperlink" Target="https://ref.ly/1Sam13:7" TargetMode="External"/><Relationship Id="rId5866" Type="http://schemas.openxmlformats.org/officeDocument/2006/relationships/hyperlink" Target="https://ref.ly/Judg6:1-Judg7:25" TargetMode="External"/><Relationship Id="rId5867" Type="http://schemas.openxmlformats.org/officeDocument/2006/relationships/hyperlink" Target="https://ref.ly/Judg10:1-Judg11:40" TargetMode="External"/><Relationship Id="rId5868" Type="http://schemas.openxmlformats.org/officeDocument/2006/relationships/hyperlink" Target="https://ref.ly/1Sam31:8-1Sam31:13" TargetMode="External"/><Relationship Id="rId5869" Type="http://schemas.openxmlformats.org/officeDocument/2006/relationships/hyperlink" Target="https://ref.ly/2Sam2:1-2Sam2:7" TargetMode="External"/><Relationship Id="rId5870" Type="http://schemas.openxmlformats.org/officeDocument/2006/relationships/hyperlink" Target="https://ref.ly/2Sam2:8-2Sam2:9" TargetMode="External"/><Relationship Id="rId5871" Type="http://schemas.openxmlformats.org/officeDocument/2006/relationships/hyperlink" Target="https://ref.ly/2Sam10:1-2Sam10:19" TargetMode="External"/><Relationship Id="rId5872" Type="http://schemas.openxmlformats.org/officeDocument/2006/relationships/hyperlink" Target="https://ref.ly/2Sam15:1-2Sam17:29" TargetMode="External"/><Relationship Id="rId5873" Type="http://schemas.openxmlformats.org/officeDocument/2006/relationships/hyperlink" Target="https://ref.ly/2Sam18:1-2Sam19:43" TargetMode="External"/><Relationship Id="rId5874" Type="http://schemas.openxmlformats.org/officeDocument/2006/relationships/hyperlink" Target="https://ref.ly/1Kgs20:23-1Kgs20:43" TargetMode="External"/><Relationship Id="rId5875" Type="http://schemas.openxmlformats.org/officeDocument/2006/relationships/hyperlink" Target="https://ref.ly/1Kgs22:1-1Kgs22:4,1Kgs22:29-1Kgs22:40" TargetMode="External"/><Relationship Id="rId5876" Type="http://schemas.openxmlformats.org/officeDocument/2006/relationships/hyperlink" Target="https://ref.ly/2Kgs13:22" TargetMode="External"/><Relationship Id="rId5877" Type="http://schemas.openxmlformats.org/officeDocument/2006/relationships/hyperlink" Target="https://ref.ly/2Kgs15:27-2Kgs15:31" TargetMode="External"/><Relationship Id="rId5878" Type="http://schemas.openxmlformats.org/officeDocument/2006/relationships/hyperlink" Target="https://ref.ly/Hos6:8" TargetMode="External"/><Relationship Id="rId5879" Type="http://schemas.openxmlformats.org/officeDocument/2006/relationships/hyperlink" Target="https://ref.ly/Judg10:17-Judg10:18" TargetMode="External"/><Relationship Id="rId5880" Type="http://schemas.openxmlformats.org/officeDocument/2006/relationships/hyperlink" Target="https://ref.ly/Gen37:25" TargetMode="External"/><Relationship Id="rId5881" Type="http://schemas.openxmlformats.org/officeDocument/2006/relationships/hyperlink" Target="https://ref.ly/Acts16:6" TargetMode="External"/><Relationship Id="rId5882" Type="http://schemas.openxmlformats.org/officeDocument/2006/relationships/hyperlink" Target="https://ref.ly/1Cor16:1" TargetMode="External"/><Relationship Id="rId5883" Type="http://schemas.openxmlformats.org/officeDocument/2006/relationships/hyperlink" Target="https://ref.ly/2Tim4:10" TargetMode="External"/><Relationship Id="rId5884" Type="http://schemas.openxmlformats.org/officeDocument/2006/relationships/hyperlink" Target="https://ref.ly/Gen31:47-Gen31:48" TargetMode="External"/><Relationship Id="rId5885" Type="http://schemas.openxmlformats.org/officeDocument/2006/relationships/hyperlink" Target="https://ref.ly/Num10:23" TargetMode="External"/><Relationship Id="rId5886" Type="http://schemas.openxmlformats.org/officeDocument/2006/relationships/hyperlink" Target="https://ref.ly/Num1:10" TargetMode="External"/><Relationship Id="rId5887" Type="http://schemas.openxmlformats.org/officeDocument/2006/relationships/hyperlink" Target="https://ref.ly/Num2:20" TargetMode="External"/><Relationship Id="rId5888" Type="http://schemas.openxmlformats.org/officeDocument/2006/relationships/hyperlink" Target="https://ref.ly/Num7:54,Num7:59" TargetMode="External"/><Relationship Id="rId5889" Type="http://schemas.openxmlformats.org/officeDocument/2006/relationships/hyperlink" Target="https://ref.ly/Acts5:27-Acts5:40" TargetMode="External"/><Relationship Id="rId5890" Type="http://schemas.openxmlformats.org/officeDocument/2006/relationships/hyperlink" Target="https://ref.ly/Acts5:34-Acts5:40" TargetMode="External"/><Relationship Id="rId5891" Type="http://schemas.openxmlformats.org/officeDocument/2006/relationships/hyperlink" Target="https://ref.ly/Deut4:41,Deut4:43" TargetMode="External"/><Relationship Id="rId5892" Type="http://schemas.openxmlformats.org/officeDocument/2006/relationships/hyperlink" Target="https://ref.ly/Josh20:8" TargetMode="External"/><Relationship Id="rId5893" Type="http://schemas.openxmlformats.org/officeDocument/2006/relationships/hyperlink" Target="https://ref.ly/Josh21:27" TargetMode="External"/><Relationship Id="rId5894" Type="http://schemas.openxmlformats.org/officeDocument/2006/relationships/hyperlink" Target="https://ref.ly/Mark6:45" TargetMode="External"/><Relationship Id="rId5895" Type="http://schemas.openxmlformats.org/officeDocument/2006/relationships/hyperlink" Target="https://ref.ly/Mark8:22" TargetMode="External"/><Relationship Id="rId5896" Type="http://schemas.openxmlformats.org/officeDocument/2006/relationships/hyperlink" Target="https://ref.ly/Jer47:1,Jer47:5" TargetMode="External"/><Relationship Id="rId5897" Type="http://schemas.openxmlformats.org/officeDocument/2006/relationships/hyperlink" Target="https://ref.ly/Josh10:41" TargetMode="External"/><Relationship Id="rId5898" Type="http://schemas.openxmlformats.org/officeDocument/2006/relationships/hyperlink" Target="https://ref.ly/Josh11:22" TargetMode="External"/><Relationship Id="rId5899" Type="http://schemas.openxmlformats.org/officeDocument/2006/relationships/hyperlink" Target="https://ref.ly/Josh15:47" TargetMode="External"/><Relationship Id="rId5900" Type="http://schemas.openxmlformats.org/officeDocument/2006/relationships/hyperlink" Target="https://ref.ly/Judg1:18-Judg1:19" TargetMode="External"/><Relationship Id="rId5901" Type="http://schemas.openxmlformats.org/officeDocument/2006/relationships/hyperlink" Target="https://ref.ly/Judg6:4" TargetMode="External"/><Relationship Id="rId5902" Type="http://schemas.openxmlformats.org/officeDocument/2006/relationships/hyperlink" Target="https://ref.ly/Judg16:1" TargetMode="External"/><Relationship Id="rId5903" Type="http://schemas.openxmlformats.org/officeDocument/2006/relationships/hyperlink" Target="https://ref.ly/2Kgs18:8" TargetMode="External"/><Relationship Id="rId5904" Type="http://schemas.openxmlformats.org/officeDocument/2006/relationships/hyperlink" Target="https://ref.ly/Jer47:1-Jer47:7" TargetMode="External"/><Relationship Id="rId5905" Type="http://schemas.openxmlformats.org/officeDocument/2006/relationships/hyperlink" Target="https://ref.ly/Jer47:1" TargetMode="External"/><Relationship Id="rId5906" Type="http://schemas.openxmlformats.org/officeDocument/2006/relationships/hyperlink" Target="https://ref.ly/Amos1:6-Amos1:7" TargetMode="External"/><Relationship Id="rId5907" Type="http://schemas.openxmlformats.org/officeDocument/2006/relationships/hyperlink" Target="https://ref.ly/Zech9:1-Zech9:17" TargetMode="External"/><Relationship Id="rId5908" Type="http://schemas.openxmlformats.org/officeDocument/2006/relationships/hyperlink" Target="https://ref.ly/Job16:14" TargetMode="External"/><Relationship Id="rId5909" Type="http://schemas.openxmlformats.org/officeDocument/2006/relationships/hyperlink" Target="https://ref.ly/Gen6:4" TargetMode="External"/><Relationship Id="rId5910" Type="http://schemas.openxmlformats.org/officeDocument/2006/relationships/hyperlink" Target="https://ref.ly/Num13:33" TargetMode="External"/><Relationship Id="rId5911" Type="http://schemas.openxmlformats.org/officeDocument/2006/relationships/hyperlink" Target="https://ref.ly/Deut2:20" TargetMode="External"/><Relationship Id="rId5912" Type="http://schemas.openxmlformats.org/officeDocument/2006/relationships/hyperlink" Target="https://ref.ly/Deut2:11" TargetMode="External"/><Relationship Id="rId5913" Type="http://schemas.openxmlformats.org/officeDocument/2006/relationships/hyperlink" Target="https://ref.ly/Deut2:10" TargetMode="External"/><Relationship Id="rId5914" Type="http://schemas.openxmlformats.org/officeDocument/2006/relationships/hyperlink" Target="https://ref.ly/Josh13:12" TargetMode="External"/><Relationship Id="rId5915" Type="http://schemas.openxmlformats.org/officeDocument/2006/relationships/hyperlink" Target="https://ref.ly/Josh15:8" TargetMode="External"/><Relationship Id="rId5916" Type="http://schemas.openxmlformats.org/officeDocument/2006/relationships/hyperlink" Target="https://ref.ly/Josh17:15" TargetMode="External"/><Relationship Id="rId5917" Type="http://schemas.openxmlformats.org/officeDocument/2006/relationships/hyperlink" Target="https://ref.ly/Josh18:16" TargetMode="External"/><Relationship Id="rId5918" Type="http://schemas.openxmlformats.org/officeDocument/2006/relationships/hyperlink" Target="https://ref.ly/2Sam21:16-2Sam21:22" TargetMode="External"/><Relationship Id="rId5919" Type="http://schemas.openxmlformats.org/officeDocument/2006/relationships/hyperlink" Target="https://ref.ly/1Chr20:4-1Chr20:8" TargetMode="External"/><Relationship Id="rId5920" Type="http://schemas.openxmlformats.org/officeDocument/2006/relationships/hyperlink" Target="https://ref.ly/1Sam17:1-1Sam17:58" TargetMode="External"/><Relationship Id="rId5921" Type="http://schemas.openxmlformats.org/officeDocument/2006/relationships/hyperlink" Target="https://ref.ly/1Sam18:5-1Sam18:7" TargetMode="External"/><Relationship Id="rId5922" Type="http://schemas.openxmlformats.org/officeDocument/2006/relationships/hyperlink" Target="https://ref.ly/2Kgs16:3" TargetMode="External"/><Relationship Id="rId5923" Type="http://schemas.openxmlformats.org/officeDocument/2006/relationships/hyperlink" Target="https://ref.ly/Jer19:6" TargetMode="External"/><Relationship Id="rId5924" Type="http://schemas.openxmlformats.org/officeDocument/2006/relationships/hyperlink" Target="https://ref.ly/2Kgs23:10" TargetMode="External"/><Relationship Id="rId5925" Type="http://schemas.openxmlformats.org/officeDocument/2006/relationships/hyperlink" Target="https://ref.ly/Jer2:23" TargetMode="External"/><Relationship Id="rId5926" Type="http://schemas.openxmlformats.org/officeDocument/2006/relationships/hyperlink" Target="https://ref.ly/Jer7:30-Jer7:32" TargetMode="External"/><Relationship Id="rId5927" Type="http://schemas.openxmlformats.org/officeDocument/2006/relationships/hyperlink" Target="https://ref.ly/Jer19:5-Jer19:6" TargetMode="External"/><Relationship Id="rId5928" Type="http://schemas.openxmlformats.org/officeDocument/2006/relationships/hyperlink" Target="https://ref.ly/Matt5:22" TargetMode="External"/><Relationship Id="rId5929" Type="http://schemas.openxmlformats.org/officeDocument/2006/relationships/hyperlink" Target="https://ref.ly/Rev20:14-Rev20:15" TargetMode="External"/><Relationship Id="rId5930" Type="http://schemas.openxmlformats.org/officeDocument/2006/relationships/hyperlink" Target="https://ref.ly/Rev20:10" TargetMode="External"/><Relationship Id="rId5931" Type="http://schemas.openxmlformats.org/officeDocument/2006/relationships/hyperlink" Target="https://ref.ly/Ps49:14-Ps49:15" TargetMode="External"/><Relationship Id="rId5932" Type="http://schemas.openxmlformats.org/officeDocument/2006/relationships/hyperlink" Target="https://ref.ly/Gen14:14" TargetMode="External"/><Relationship Id="rId5933" Type="http://schemas.openxmlformats.org/officeDocument/2006/relationships/hyperlink" Target="https://ref.ly/Jer25:26" TargetMode="External"/><Relationship Id="rId5934" Type="http://schemas.openxmlformats.org/officeDocument/2006/relationships/hyperlink" Target="https://ref.ly/Jer51:41" TargetMode="External"/><Relationship Id="rId5935" Type="http://schemas.openxmlformats.org/officeDocument/2006/relationships/hyperlink" Target="https://ref.ly/Rev13:18" TargetMode="External"/><Relationship Id="rId5936" Type="http://schemas.openxmlformats.org/officeDocument/2006/relationships/hyperlink" Target="https://ref.ly/Matt1:1-Matt1:17" TargetMode="External"/><Relationship Id="rId5937" Type="http://schemas.openxmlformats.org/officeDocument/2006/relationships/hyperlink" Target="https://ref.ly/Luke3:23-Luke3:38" TargetMode="External"/><Relationship Id="rId5938" Type="http://schemas.openxmlformats.org/officeDocument/2006/relationships/hyperlink" Target="https://ref.ly/Matt1:16" TargetMode="External"/><Relationship Id="rId5939" Type="http://schemas.openxmlformats.org/officeDocument/2006/relationships/hyperlink" Target="https://ref.ly/Matt1:17" TargetMode="External"/><Relationship Id="rId5940" Type="http://schemas.openxmlformats.org/officeDocument/2006/relationships/hyperlink" Target="https://ref.ly/Matt1:8" TargetMode="External"/><Relationship Id="rId5941" Type="http://schemas.openxmlformats.org/officeDocument/2006/relationships/hyperlink" Target="https://ref.ly/Matt1:11" TargetMode="External"/><Relationship Id="rId5942" Type="http://schemas.openxmlformats.org/officeDocument/2006/relationships/hyperlink" Target="https://ref.ly/Matt1:6" TargetMode="External"/><Relationship Id="rId5943" Type="http://schemas.openxmlformats.org/officeDocument/2006/relationships/hyperlink" Target="https://ref.ly/Matt1:18-Matt1:25" TargetMode="External"/><Relationship Id="rId5944" Type="http://schemas.openxmlformats.org/officeDocument/2006/relationships/hyperlink" Target="https://ref.ly/Matt1:2" TargetMode="External"/><Relationship Id="rId5945" Type="http://schemas.openxmlformats.org/officeDocument/2006/relationships/hyperlink" Target="https://ref.ly/1Chr1:27-1Chr2:15" TargetMode="External"/><Relationship Id="rId5946" Type="http://schemas.openxmlformats.org/officeDocument/2006/relationships/hyperlink" Target="https://ref.ly/Jer22:30" TargetMode="External"/><Relationship Id="rId5947" Type="http://schemas.openxmlformats.org/officeDocument/2006/relationships/hyperlink" Target="https://ref.ly/1Chr1:1-1Chr3:24" TargetMode="External"/><Relationship Id="rId5948" Type="http://schemas.openxmlformats.org/officeDocument/2006/relationships/hyperlink" Target="https://ref.ly/Luke1:27,Luke1:32,Luke1:69" TargetMode="External"/><Relationship Id="rId5949" Type="http://schemas.openxmlformats.org/officeDocument/2006/relationships/hyperlink" Target="https://ref.ly/Luke2:4,Luke2:11" TargetMode="External"/><Relationship Id="rId5950" Type="http://schemas.openxmlformats.org/officeDocument/2006/relationships/hyperlink" Target="https://ref.ly/Num27:1-Num27:11" TargetMode="External"/><Relationship Id="rId5951" Type="http://schemas.openxmlformats.org/officeDocument/2006/relationships/hyperlink" Target="https://ref.ly/Num36:1-Num36:12" TargetMode="External"/><Relationship Id="rId5952" Type="http://schemas.openxmlformats.org/officeDocument/2006/relationships/hyperlink" Target="https://ref.ly/Luke1:27" TargetMode="External"/><Relationship Id="rId5953" Type="http://schemas.openxmlformats.org/officeDocument/2006/relationships/hyperlink" Target="https://ref.ly/Matt1:15" TargetMode="External"/><Relationship Id="rId5954" Type="http://schemas.openxmlformats.org/officeDocument/2006/relationships/hyperlink" Target="https://ref.ly/Luke3:24" TargetMode="External"/><Relationship Id="rId5955" Type="http://schemas.openxmlformats.org/officeDocument/2006/relationships/hyperlink" Target="https://ref.ly/Matt14:34" TargetMode="External"/><Relationship Id="rId5956" Type="http://schemas.openxmlformats.org/officeDocument/2006/relationships/hyperlink" Target="https://ref.ly/Mark6:53" TargetMode="External"/><Relationship Id="rId5957" Type="http://schemas.openxmlformats.org/officeDocument/2006/relationships/hyperlink" Target="https://ref.ly/Luke5:1" TargetMode="External"/><Relationship Id="rId5958" Type="http://schemas.openxmlformats.org/officeDocument/2006/relationships/hyperlink" Target="https://ref.ly/Josh11:2" TargetMode="External"/><Relationship Id="rId5959" Type="http://schemas.openxmlformats.org/officeDocument/2006/relationships/hyperlink" Target="https://ref.ly/Exod34:27" TargetMode="External"/><Relationship Id="rId5960" Type="http://schemas.openxmlformats.org/officeDocument/2006/relationships/hyperlink" Target="https://ref.ly/Num33:2" TargetMode="External"/><Relationship Id="rId5961" Type="http://schemas.openxmlformats.org/officeDocument/2006/relationships/hyperlink" Target="https://ref.ly/Deut31:9" TargetMode="External"/><Relationship Id="rId5962" Type="http://schemas.openxmlformats.org/officeDocument/2006/relationships/hyperlink" Target="https://ref.ly/1Kgs2:3" TargetMode="External"/><Relationship Id="rId5963" Type="http://schemas.openxmlformats.org/officeDocument/2006/relationships/hyperlink" Target="https://ref.ly/2Chr34:14" TargetMode="External"/><Relationship Id="rId5964" Type="http://schemas.openxmlformats.org/officeDocument/2006/relationships/hyperlink" Target="https://ref.ly/Neh8:1" TargetMode="External"/><Relationship Id="rId5965" Type="http://schemas.openxmlformats.org/officeDocument/2006/relationships/hyperlink" Target="https://ref.ly/Matt8:4" TargetMode="External"/><Relationship Id="rId5966" Type="http://schemas.openxmlformats.org/officeDocument/2006/relationships/hyperlink" Target="https://ref.ly/Luke16:31" TargetMode="External"/><Relationship Id="rId5967" Type="http://schemas.openxmlformats.org/officeDocument/2006/relationships/hyperlink" Target="https://ref.ly/2Pet1:21" TargetMode="External"/><Relationship Id="rId5968" Type="http://schemas.openxmlformats.org/officeDocument/2006/relationships/hyperlink" Target="https://ref.ly/Gen5:1" TargetMode="External"/><Relationship Id="rId5969" Type="http://schemas.openxmlformats.org/officeDocument/2006/relationships/hyperlink" Target="https://ref.ly/Gen11:10,Gen11:27" TargetMode="External"/><Relationship Id="rId5970" Type="http://schemas.openxmlformats.org/officeDocument/2006/relationships/hyperlink" Target="https://ref.ly/Gen25:12,Gen25:19" TargetMode="External"/><Relationship Id="rId5971" Type="http://schemas.openxmlformats.org/officeDocument/2006/relationships/hyperlink" Target="https://ref.ly/Gen36:1" TargetMode="External"/><Relationship Id="rId5972" Type="http://schemas.openxmlformats.org/officeDocument/2006/relationships/hyperlink" Target="https://ref.ly/Gen37:2" TargetMode="External"/><Relationship Id="rId5973" Type="http://schemas.openxmlformats.org/officeDocument/2006/relationships/hyperlink" Target="https://ref.ly/Gen1:1-Gen2:25" TargetMode="External"/><Relationship Id="rId5974" Type="http://schemas.openxmlformats.org/officeDocument/2006/relationships/hyperlink" Target="https://ref.ly/Gen1:3,Gen1:6,Gen1:9,Gen1:11,Gen1:14,Gen1:20" TargetMode="External"/><Relationship Id="rId5975" Type="http://schemas.openxmlformats.org/officeDocument/2006/relationships/hyperlink" Target="https://ref.ly/Ps33:6,Ps33:9" TargetMode="External"/><Relationship Id="rId5976" Type="http://schemas.openxmlformats.org/officeDocument/2006/relationships/hyperlink" Target="https://ref.ly/2Pet3:3-2Pet3:7" TargetMode="External"/><Relationship Id="rId5977" Type="http://schemas.openxmlformats.org/officeDocument/2006/relationships/hyperlink" Target="https://ref.ly/Gen1:2-Gen2:3" TargetMode="External"/><Relationship Id="rId5978" Type="http://schemas.openxmlformats.org/officeDocument/2006/relationships/hyperlink" Target="https://ref.ly/Gen1:4,Gen1:10,Gen1:12,Gen1:18,Gen1:21" TargetMode="External"/><Relationship Id="rId5979" Type="http://schemas.openxmlformats.org/officeDocument/2006/relationships/hyperlink" Target="https://ref.ly/Gen1:31" TargetMode="External"/><Relationship Id="rId5980" Type="http://schemas.openxmlformats.org/officeDocument/2006/relationships/hyperlink" Target="https://ref.ly/Gen2:1-Gen2:3" TargetMode="External"/><Relationship Id="rId5981" Type="http://schemas.openxmlformats.org/officeDocument/2006/relationships/hyperlink" Target="https://ref.ly/Gen2:4-Gen2:25" TargetMode="External"/><Relationship Id="rId5982" Type="http://schemas.openxmlformats.org/officeDocument/2006/relationships/hyperlink" Target="https://ref.ly/Gen1:1-Gen2:3" TargetMode="External"/><Relationship Id="rId5983" Type="http://schemas.openxmlformats.org/officeDocument/2006/relationships/hyperlink" Target="https://ref.ly/Gen2:21-Gen2:22" TargetMode="External"/><Relationship Id="rId5984" Type="http://schemas.openxmlformats.org/officeDocument/2006/relationships/hyperlink" Target="https://ref.ly/Gen2:18-Gen2:20" TargetMode="External"/><Relationship Id="rId5985" Type="http://schemas.openxmlformats.org/officeDocument/2006/relationships/hyperlink" Target="https://ref.ly/Gen2:19" TargetMode="External"/><Relationship Id="rId5986" Type="http://schemas.openxmlformats.org/officeDocument/2006/relationships/hyperlink" Target="https://ref.ly/Gen2:10-Gen2:14" TargetMode="External"/><Relationship Id="rId5987" Type="http://schemas.openxmlformats.org/officeDocument/2006/relationships/hyperlink" Target="https://ref.ly/Gen3:1-Gen11:26" TargetMode="External"/><Relationship Id="rId5988" Type="http://schemas.openxmlformats.org/officeDocument/2006/relationships/hyperlink" Target="https://ref.ly/Gen3:4" TargetMode="External"/><Relationship Id="rId5989" Type="http://schemas.openxmlformats.org/officeDocument/2006/relationships/hyperlink" Target="https://ref.ly/1John2:16" TargetMode="External"/><Relationship Id="rId5990" Type="http://schemas.openxmlformats.org/officeDocument/2006/relationships/hyperlink" Target="https://ref.ly/Gen3:6" TargetMode="External"/><Relationship Id="rId5991" Type="http://schemas.openxmlformats.org/officeDocument/2006/relationships/hyperlink" Target="https://ref.ly/Rom8:21-Rom8:22" TargetMode="External"/><Relationship Id="rId5992" Type="http://schemas.openxmlformats.org/officeDocument/2006/relationships/hyperlink" Target="https://ref.ly/Gen4:1-Gen4:16" TargetMode="External"/><Relationship Id="rId5993" Type="http://schemas.openxmlformats.org/officeDocument/2006/relationships/hyperlink" Target="https://ref.ly/Gen5:24" TargetMode="External"/><Relationship Id="rId5994" Type="http://schemas.openxmlformats.org/officeDocument/2006/relationships/hyperlink" Target="https://ref.ly/Gen6:1-Gen6:7" TargetMode="External"/><Relationship Id="rId5995" Type="http://schemas.openxmlformats.org/officeDocument/2006/relationships/hyperlink" Target="https://ref.ly/Gen6:1-Gen6:5" TargetMode="External"/><Relationship Id="rId5996" Type="http://schemas.openxmlformats.org/officeDocument/2006/relationships/hyperlink" Target="https://ref.ly/Gen6:8-Gen6:9" TargetMode="External"/><Relationship Id="rId5997" Type="http://schemas.openxmlformats.org/officeDocument/2006/relationships/hyperlink" Target="https://ref.ly/Gen8:1" TargetMode="External"/><Relationship Id="rId5998" Type="http://schemas.openxmlformats.org/officeDocument/2006/relationships/hyperlink" Target="https://ref.ly/2Pet3:6" TargetMode="External"/><Relationship Id="rId5999" Type="http://schemas.openxmlformats.org/officeDocument/2006/relationships/hyperlink" Target="https://ref.ly/Gen9:20" TargetMode="External"/><Relationship Id="rId6000" Type="http://schemas.openxmlformats.org/officeDocument/2006/relationships/hyperlink" Target="https://ref.ly/Gen10:2-Gen10:5" TargetMode="External"/><Relationship Id="rId6001" Type="http://schemas.openxmlformats.org/officeDocument/2006/relationships/hyperlink" Target="https://ref.ly/Gen10:6-Gen10:20" TargetMode="External"/><Relationship Id="rId6002" Type="http://schemas.openxmlformats.org/officeDocument/2006/relationships/hyperlink" Target="https://ref.ly/Gen10:21-Gen10:31" TargetMode="External"/><Relationship Id="rId6003" Type="http://schemas.openxmlformats.org/officeDocument/2006/relationships/hyperlink" Target="https://ref.ly/Gen11:10-Gen11:25" TargetMode="External"/><Relationship Id="rId6004" Type="http://schemas.openxmlformats.org/officeDocument/2006/relationships/hyperlink" Target="https://ref.ly/Gen11:27-Gen25:10" TargetMode="External"/><Relationship Id="rId6005" Type="http://schemas.openxmlformats.org/officeDocument/2006/relationships/hyperlink" Target="https://ref.ly/Gen21:1-Gen28:5" TargetMode="External"/><Relationship Id="rId6006" Type="http://schemas.openxmlformats.org/officeDocument/2006/relationships/hyperlink" Target="https://ref.ly/Gen12:1" TargetMode="External"/><Relationship Id="rId6007" Type="http://schemas.openxmlformats.org/officeDocument/2006/relationships/hyperlink" Target="https://ref.ly/Acts7:2-Acts7:3" TargetMode="External"/><Relationship Id="rId6008" Type="http://schemas.openxmlformats.org/officeDocument/2006/relationships/hyperlink" Target="https://ref.ly/Gen13:1-Gen13:18" TargetMode="External"/><Relationship Id="rId6009" Type="http://schemas.openxmlformats.org/officeDocument/2006/relationships/hyperlink" Target="https://ref.ly/Gen14:1-Gen14:24" TargetMode="External"/><Relationship Id="rId6010" Type="http://schemas.openxmlformats.org/officeDocument/2006/relationships/hyperlink" Target="https://ref.ly/Gen18:22-Gen18:33" TargetMode="External"/><Relationship Id="rId6011" Type="http://schemas.openxmlformats.org/officeDocument/2006/relationships/hyperlink" Target="https://ref.ly/Gen19:24-Gen19:25" TargetMode="External"/><Relationship Id="rId6012" Type="http://schemas.openxmlformats.org/officeDocument/2006/relationships/hyperlink" Target="https://ref.ly/Gen21:1-Gen21:3" TargetMode="External"/><Relationship Id="rId6013" Type="http://schemas.openxmlformats.org/officeDocument/2006/relationships/hyperlink" Target="https://ref.ly/Gen21:25-Gen21:34" TargetMode="External"/><Relationship Id="rId6014" Type="http://schemas.openxmlformats.org/officeDocument/2006/relationships/hyperlink" Target="https://ref.ly/2Sam24:16-2Sam24:25" TargetMode="External"/><Relationship Id="rId6015" Type="http://schemas.openxmlformats.org/officeDocument/2006/relationships/hyperlink" Target="https://ref.ly/Gen24:1-Gen24:67" TargetMode="External"/><Relationship Id="rId6016" Type="http://schemas.openxmlformats.org/officeDocument/2006/relationships/hyperlink" Target="https://ref.ly/Gen25:1-Gen25:34" TargetMode="External"/><Relationship Id="rId6017" Type="http://schemas.openxmlformats.org/officeDocument/2006/relationships/hyperlink" Target="https://ref.ly/Gen25:19-Gen37:1" TargetMode="External"/><Relationship Id="rId6018" Type="http://schemas.openxmlformats.org/officeDocument/2006/relationships/hyperlink" Target="https://ref.ly/Gen25:27-Gen25:34" TargetMode="External"/><Relationship Id="rId6019" Type="http://schemas.openxmlformats.org/officeDocument/2006/relationships/hyperlink" Target="https://ref.ly/Gen26:17-Gen26:33" TargetMode="External"/><Relationship Id="rId6020" Type="http://schemas.openxmlformats.org/officeDocument/2006/relationships/hyperlink" Target="https://ref.ly/Gen31:3" TargetMode="External"/><Relationship Id="rId6021" Type="http://schemas.openxmlformats.org/officeDocument/2006/relationships/hyperlink" Target="https://ref.ly/Gen32:1-Gen32:32" TargetMode="External"/><Relationship Id="rId6022" Type="http://schemas.openxmlformats.org/officeDocument/2006/relationships/hyperlink" Target="https://ref.ly/Gen33:1-Gen33:20" TargetMode="External"/><Relationship Id="rId6023" Type="http://schemas.openxmlformats.org/officeDocument/2006/relationships/hyperlink" Target="https://ref.ly/Gen34:1-Gen34:31" TargetMode="External"/><Relationship Id="rId6024" Type="http://schemas.openxmlformats.org/officeDocument/2006/relationships/hyperlink" Target="https://ref.ly/Gen35:1-Gen35:4" TargetMode="External"/><Relationship Id="rId6025" Type="http://schemas.openxmlformats.org/officeDocument/2006/relationships/hyperlink" Target="https://ref.ly/Gen35:9-Gen35:15" TargetMode="External"/><Relationship Id="rId6026" Type="http://schemas.openxmlformats.org/officeDocument/2006/relationships/hyperlink" Target="https://ref.ly/Gen37:2-Gen50:26" TargetMode="External"/><Relationship Id="rId6027" Type="http://schemas.openxmlformats.org/officeDocument/2006/relationships/hyperlink" Target="https://ref.ly/Gen38:1-Gen38:30" TargetMode="External"/><Relationship Id="rId6028" Type="http://schemas.openxmlformats.org/officeDocument/2006/relationships/hyperlink" Target="https://ref.ly/Luke3:33" TargetMode="External"/><Relationship Id="rId6029" Type="http://schemas.openxmlformats.org/officeDocument/2006/relationships/hyperlink" Target="https://ref.ly/Gen39:1-Gen39:23" TargetMode="External"/><Relationship Id="rId6030" Type="http://schemas.openxmlformats.org/officeDocument/2006/relationships/hyperlink" Target="https://ref.ly/Gen41:37-Gen41:44" TargetMode="External"/><Relationship Id="rId6031" Type="http://schemas.openxmlformats.org/officeDocument/2006/relationships/hyperlink" Target="https://ref.ly/Gen42:9" TargetMode="External"/><Relationship Id="rId6032" Type="http://schemas.openxmlformats.org/officeDocument/2006/relationships/hyperlink" Target="https://ref.ly/Gen42:19" TargetMode="External"/><Relationship Id="rId6033" Type="http://schemas.openxmlformats.org/officeDocument/2006/relationships/hyperlink" Target="https://ref.ly/Gen42:20" TargetMode="External"/><Relationship Id="rId6034" Type="http://schemas.openxmlformats.org/officeDocument/2006/relationships/hyperlink" Target="https://ref.ly/Gen43:3" TargetMode="External"/><Relationship Id="rId6035" Type="http://schemas.openxmlformats.org/officeDocument/2006/relationships/hyperlink" Target="https://ref.ly/Gen43:1" TargetMode="External"/><Relationship Id="rId6036" Type="http://schemas.openxmlformats.org/officeDocument/2006/relationships/hyperlink" Target="https://ref.ly/Gen44:1-Gen44:34" TargetMode="External"/><Relationship Id="rId6037" Type="http://schemas.openxmlformats.org/officeDocument/2006/relationships/hyperlink" Target="https://ref.ly/Gen45:4-Gen45:15" TargetMode="External"/><Relationship Id="rId6038" Type="http://schemas.openxmlformats.org/officeDocument/2006/relationships/hyperlink" Target="https://ref.ly/Gen45:7-Gen45:8" TargetMode="External"/><Relationship Id="rId6039" Type="http://schemas.openxmlformats.org/officeDocument/2006/relationships/hyperlink" Target="https://ref.ly/Gen46:28-Gen46:29" TargetMode="External"/><Relationship Id="rId6040" Type="http://schemas.openxmlformats.org/officeDocument/2006/relationships/hyperlink" Target="https://ref.ly/Gen47:27" TargetMode="External"/><Relationship Id="rId6041" Type="http://schemas.openxmlformats.org/officeDocument/2006/relationships/hyperlink" Target="https://ref.ly/Gen48:13-Gen48:20" TargetMode="External"/><Relationship Id="rId6042" Type="http://schemas.openxmlformats.org/officeDocument/2006/relationships/hyperlink" Target="https://ref.ly/Gen50:20" TargetMode="External"/><Relationship Id="rId6043" Type="http://schemas.openxmlformats.org/officeDocument/2006/relationships/hyperlink" Target="https://ref.ly/Gen50:25" TargetMode="External"/><Relationship Id="rId6044" Type="http://schemas.openxmlformats.org/officeDocument/2006/relationships/hyperlink" Target="https://ref.ly/Exod13:19" TargetMode="External"/><Relationship Id="rId6045" Type="http://schemas.openxmlformats.org/officeDocument/2006/relationships/hyperlink" Target="https://ref.ly/Gen23:7" TargetMode="External"/><Relationship Id="rId6046" Type="http://schemas.openxmlformats.org/officeDocument/2006/relationships/hyperlink" Target="https://ref.ly/Exod5:5" TargetMode="External"/><Relationship Id="rId6047" Type="http://schemas.openxmlformats.org/officeDocument/2006/relationships/hyperlink" Target="https://ref.ly/Num13:28" TargetMode="External"/><Relationship Id="rId6048" Type="http://schemas.openxmlformats.org/officeDocument/2006/relationships/hyperlink" Target="https://ref.ly/Neh9:24" TargetMode="External"/><Relationship Id="rId6049" Type="http://schemas.openxmlformats.org/officeDocument/2006/relationships/hyperlink" Target="https://ref.ly/Num21:34" TargetMode="External"/><Relationship Id="rId6050" Type="http://schemas.openxmlformats.org/officeDocument/2006/relationships/hyperlink" Target="https://ref.ly/2Kgs11:14-2Kgs11:20" TargetMode="External"/><Relationship Id="rId6051" Type="http://schemas.openxmlformats.org/officeDocument/2006/relationships/hyperlink" Target="https://ref.ly/2Kgs25:3" TargetMode="External"/><Relationship Id="rId6052" Type="http://schemas.openxmlformats.org/officeDocument/2006/relationships/hyperlink" Target="https://ref.ly/2Chr33:25" TargetMode="External"/><Relationship Id="rId6053" Type="http://schemas.openxmlformats.org/officeDocument/2006/relationships/hyperlink" Target="https://ref.ly/Jer52:25" TargetMode="External"/><Relationship Id="rId6054" Type="http://schemas.openxmlformats.org/officeDocument/2006/relationships/hyperlink" Target="https://ref.ly/Ezra4:4" TargetMode="External"/><Relationship Id="rId6055" Type="http://schemas.openxmlformats.org/officeDocument/2006/relationships/hyperlink" Target="https://ref.ly/Ezra10:2,Ezra10:11" TargetMode="External"/><Relationship Id="rId6056" Type="http://schemas.openxmlformats.org/officeDocument/2006/relationships/hyperlink" Target="https://ref.ly/Neh10:28-Neh10:31" TargetMode="External"/><Relationship Id="rId6057" Type="http://schemas.openxmlformats.org/officeDocument/2006/relationships/hyperlink" Target="https://ref.ly/1Chr1:14" TargetMode="External"/><Relationship Id="rId6058" Type="http://schemas.openxmlformats.org/officeDocument/2006/relationships/hyperlink" Target="https://ref.ly/Gen15:21" TargetMode="External"/><Relationship Id="rId6059" Type="http://schemas.openxmlformats.org/officeDocument/2006/relationships/hyperlink" Target="https://ref.ly/Deut7:1" TargetMode="External"/><Relationship Id="rId6060" Type="http://schemas.openxmlformats.org/officeDocument/2006/relationships/hyperlink" Target="https://ref.ly/Josh3:10" TargetMode="External"/><Relationship Id="rId6061" Type="http://schemas.openxmlformats.org/officeDocument/2006/relationships/hyperlink" Target="https://ref.ly/Josh24:11" TargetMode="External"/><Relationship Id="rId6062" Type="http://schemas.openxmlformats.org/officeDocument/2006/relationships/hyperlink" Target="https://ref.ly/Matt8:28" TargetMode="External"/><Relationship Id="rId6063" Type="http://schemas.openxmlformats.org/officeDocument/2006/relationships/hyperlink" Target="https://ref.ly/Mark5:1" TargetMode="External"/><Relationship Id="rId6064" Type="http://schemas.openxmlformats.org/officeDocument/2006/relationships/hyperlink" Target="https://ref.ly/Luke8:26" TargetMode="External"/><Relationship Id="rId6065" Type="http://schemas.openxmlformats.org/officeDocument/2006/relationships/hyperlink" Target="https://ref.ly/Gen14:3" TargetMode="External"/><Relationship Id="rId6066" Type="http://schemas.openxmlformats.org/officeDocument/2006/relationships/hyperlink" Target="https://ref.ly/Gen14:12" TargetMode="External"/><Relationship Id="rId6067" Type="http://schemas.openxmlformats.org/officeDocument/2006/relationships/hyperlink" Target="https://ref.ly/Gen14:13-Gen14:16" TargetMode="External"/><Relationship Id="rId6068" Type="http://schemas.openxmlformats.org/officeDocument/2006/relationships/hyperlink" Target="https://ref.ly/Josh12:23" TargetMode="External"/><Relationship Id="rId6069" Type="http://schemas.openxmlformats.org/officeDocument/2006/relationships/hyperlink" Target="https://ref.ly/Gen10:2" TargetMode="External"/><Relationship Id="rId6070" Type="http://schemas.openxmlformats.org/officeDocument/2006/relationships/hyperlink" Target="https://ref.ly/1Chr1:5" TargetMode="External"/><Relationship Id="rId6071" Type="http://schemas.openxmlformats.org/officeDocument/2006/relationships/hyperlink" Target="https://ref.ly/Gen10:3" TargetMode="External"/><Relationship Id="rId6072" Type="http://schemas.openxmlformats.org/officeDocument/2006/relationships/hyperlink" Target="https://ref.ly/Ezek38:6" TargetMode="External"/><Relationship Id="rId6073" Type="http://schemas.openxmlformats.org/officeDocument/2006/relationships/hyperlink" Target="https://ref.ly/Gen43:11" TargetMode="External"/><Relationship Id="rId6074" Type="http://schemas.openxmlformats.org/officeDocument/2006/relationships/hyperlink" Target="https://ref.ly/1Macc15:19" TargetMode="External"/><Relationship Id="rId6075" Type="http://schemas.openxmlformats.org/officeDocument/2006/relationships/hyperlink" Target="https://ref.ly/Gen46:1-Gen47:31" TargetMode="External"/><Relationship Id="rId6076" Type="http://schemas.openxmlformats.org/officeDocument/2006/relationships/hyperlink" Target="https://ref.ly/Gen47:6,Gen47:11" TargetMode="External"/><Relationship Id="rId6077" Type="http://schemas.openxmlformats.org/officeDocument/2006/relationships/hyperlink" Target="https://ref.ly/Gen45:10" TargetMode="External"/><Relationship Id="rId6078" Type="http://schemas.openxmlformats.org/officeDocument/2006/relationships/hyperlink" Target="https://ref.ly/Gen46:34" TargetMode="External"/><Relationship Id="rId6079" Type="http://schemas.openxmlformats.org/officeDocument/2006/relationships/hyperlink" Target="https://ref.ly/Josh11:16" TargetMode="External"/><Relationship Id="rId6080" Type="http://schemas.openxmlformats.org/officeDocument/2006/relationships/hyperlink" Target="https://ref.ly/Josh15:51" TargetMode="External"/><Relationship Id="rId6081" Type="http://schemas.openxmlformats.org/officeDocument/2006/relationships/hyperlink" Target="https://ref.ly/Jer40:5" TargetMode="External"/><Relationship Id="rId6082" Type="http://schemas.openxmlformats.org/officeDocument/2006/relationships/hyperlink" Target="https://ref.ly/Dan2:48" TargetMode="External"/><Relationship Id="rId6083" Type="http://schemas.openxmlformats.org/officeDocument/2006/relationships/hyperlink" Target="https://ref.ly/Josh12:2" TargetMode="External"/><Relationship Id="rId6084" Type="http://schemas.openxmlformats.org/officeDocument/2006/relationships/hyperlink" Target="https://ref.ly/2Kgs18:24" TargetMode="External"/><Relationship Id="rId6085" Type="http://schemas.openxmlformats.org/officeDocument/2006/relationships/hyperlink" Target="https://ref.ly/Jer51:23" TargetMode="External"/><Relationship Id="rId6086" Type="http://schemas.openxmlformats.org/officeDocument/2006/relationships/hyperlink" Target="https://ref.ly/1Kgs22:26" TargetMode="External"/><Relationship Id="rId6087" Type="http://schemas.openxmlformats.org/officeDocument/2006/relationships/hyperlink" Target="https://ref.ly/2Chr34:8" TargetMode="External"/><Relationship Id="rId6088" Type="http://schemas.openxmlformats.org/officeDocument/2006/relationships/hyperlink" Target="https://ref.ly/Ps22:28" TargetMode="External"/><Relationship Id="rId6089" Type="http://schemas.openxmlformats.org/officeDocument/2006/relationships/hyperlink" Target="https://ref.ly/Ezra2:63" TargetMode="External"/><Relationship Id="rId6090" Type="http://schemas.openxmlformats.org/officeDocument/2006/relationships/hyperlink" Target="https://ref.ly/Neh7:65" TargetMode="External"/><Relationship Id="rId6091" Type="http://schemas.openxmlformats.org/officeDocument/2006/relationships/hyperlink" Target="https://ref.ly/1Macc14:47" TargetMode="External"/><Relationship Id="rId6092" Type="http://schemas.openxmlformats.org/officeDocument/2006/relationships/hyperlink" Target="https://ref.ly/Matt10:18" TargetMode="External"/><Relationship Id="rId6093" Type="http://schemas.openxmlformats.org/officeDocument/2006/relationships/hyperlink" Target="https://ref.ly/Acts23:24" TargetMode="External"/><Relationship Id="rId6094" Type="http://schemas.openxmlformats.org/officeDocument/2006/relationships/hyperlink" Target="https://ref.ly/1Pet2:14" TargetMode="External"/><Relationship Id="rId6095" Type="http://schemas.openxmlformats.org/officeDocument/2006/relationships/hyperlink" Target="https://ref.ly/1Chr1:5,1Chr1:7" TargetMode="External"/><Relationship Id="rId6096" Type="http://schemas.openxmlformats.org/officeDocument/2006/relationships/hyperlink" Target="https://ref.ly/Isa66:19" TargetMode="External"/><Relationship Id="rId6097" Type="http://schemas.openxmlformats.org/officeDocument/2006/relationships/hyperlink" Target="https://ref.ly/Ezek27:13" TargetMode="External"/><Relationship Id="rId6098" Type="http://schemas.openxmlformats.org/officeDocument/2006/relationships/hyperlink" Target="https://ref.ly/Dan8:21" TargetMode="External"/><Relationship Id="rId6099" Type="http://schemas.openxmlformats.org/officeDocument/2006/relationships/hyperlink" Target="https://ref.ly/Dan10:20" TargetMode="External"/><Relationship Id="rId6100" Type="http://schemas.openxmlformats.org/officeDocument/2006/relationships/hyperlink" Target="https://ref.ly/Dan11:2" TargetMode="External"/><Relationship Id="rId6101" Type="http://schemas.openxmlformats.org/officeDocument/2006/relationships/hyperlink" Target="https://ref.ly/Zech9:13" TargetMode="External"/><Relationship Id="rId6102" Type="http://schemas.openxmlformats.org/officeDocument/2006/relationships/hyperlink" Target="https://ref.ly/Joel3:6" TargetMode="External"/><Relationship Id="rId6103" Type="http://schemas.openxmlformats.org/officeDocument/2006/relationships/hyperlink" Target="https://ref.ly/Acts6:1" TargetMode="External"/><Relationship Id="rId6104" Type="http://schemas.openxmlformats.org/officeDocument/2006/relationships/hyperlink" Target="https://ref.ly/Acts9:29" TargetMode="External"/><Relationship Id="rId6105" Type="http://schemas.openxmlformats.org/officeDocument/2006/relationships/hyperlink" Target="https://ref.ly/Acts14:1" TargetMode="External"/><Relationship Id="rId6106" Type="http://schemas.openxmlformats.org/officeDocument/2006/relationships/hyperlink" Target="https://ref.ly/Acts16:1-Acts16:3" TargetMode="External"/><Relationship Id="rId6107" Type="http://schemas.openxmlformats.org/officeDocument/2006/relationships/hyperlink" Target="https://ref.ly/Rom10:12" TargetMode="External"/><Relationship Id="rId6108" Type="http://schemas.openxmlformats.org/officeDocument/2006/relationships/hyperlink" Target="https://ref.ly/1Cor1:22,1Cor1:24" TargetMode="External"/><Relationship Id="rId6109" Type="http://schemas.openxmlformats.org/officeDocument/2006/relationships/hyperlink" Target="https://ref.ly/Gal2:3" TargetMode="External"/><Relationship Id="rId6110" Type="http://schemas.openxmlformats.org/officeDocument/2006/relationships/hyperlink" Target="https://ref.ly/John19:20" TargetMode="External"/><Relationship Id="rId6111" Type="http://schemas.openxmlformats.org/officeDocument/2006/relationships/hyperlink" Target="https://ref.ly/Acts21:37" TargetMode="External"/><Relationship Id="rId6112" Type="http://schemas.openxmlformats.org/officeDocument/2006/relationships/hyperlink" Target="https://ref.ly/Mark7:26" TargetMode="External"/><Relationship Id="rId6113" Type="http://schemas.openxmlformats.org/officeDocument/2006/relationships/hyperlink" Target="https://ref.ly/Acts17:4" TargetMode="External"/><Relationship Id="rId6114" Type="http://schemas.openxmlformats.org/officeDocument/2006/relationships/hyperlink" Target="https://ref.ly/Num26:38-Num26:41" TargetMode="External"/><Relationship Id="rId6115" Type="http://schemas.openxmlformats.org/officeDocument/2006/relationships/hyperlink" Target="https://ref.ly/2Sam16:5" TargetMode="External"/><Relationship Id="rId6116" Type="http://schemas.openxmlformats.org/officeDocument/2006/relationships/hyperlink" Target="https://ref.ly/2Sam19:16-2Sam19:18" TargetMode="External"/><Relationship Id="rId6117" Type="http://schemas.openxmlformats.org/officeDocument/2006/relationships/hyperlink" Target="https://ref.ly/1Kgs2:8" TargetMode="External"/><Relationship Id="rId6118" Type="http://schemas.openxmlformats.org/officeDocument/2006/relationships/hyperlink" Target="https://ref.ly/1Chr8:3,1Chr8:5" TargetMode="External"/><Relationship Id="rId6119" Type="http://schemas.openxmlformats.org/officeDocument/2006/relationships/hyperlink" Target="https://ref.ly/1Chr8:7" TargetMode="External"/><Relationship Id="rId6120" Type="http://schemas.openxmlformats.org/officeDocument/2006/relationships/hyperlink" Target="https://ref.ly/Gen20:1-Gen20:2" TargetMode="External"/><Relationship Id="rId6121" Type="http://schemas.openxmlformats.org/officeDocument/2006/relationships/hyperlink" Target="https://ref.ly/Gen26:1-Gen26:26" TargetMode="External"/><Relationship Id="rId6122" Type="http://schemas.openxmlformats.org/officeDocument/2006/relationships/hyperlink" Target="https://ref.ly/Gen20:2" TargetMode="External"/><Relationship Id="rId6123" Type="http://schemas.openxmlformats.org/officeDocument/2006/relationships/hyperlink" Target="https://ref.ly/Gen26:8" TargetMode="External"/><Relationship Id="rId6124" Type="http://schemas.openxmlformats.org/officeDocument/2006/relationships/hyperlink" Target="https://ref.ly/Josh13:2-Josh13:3" TargetMode="External"/><Relationship Id="rId6125" Type="http://schemas.openxmlformats.org/officeDocument/2006/relationships/hyperlink" Target="https://ref.ly/Josh15:21-Josh15:22" TargetMode="External"/><Relationship Id="rId6126" Type="http://schemas.openxmlformats.org/officeDocument/2006/relationships/hyperlink" Target="https://ref.ly/2Chr14:13-2Chr14:14" TargetMode="External"/><Relationship Id="rId6127" Type="http://schemas.openxmlformats.org/officeDocument/2006/relationships/hyperlink" Target="https://ref.ly/1Chr4:39" TargetMode="External"/><Relationship Id="rId6128" Type="http://schemas.openxmlformats.org/officeDocument/2006/relationships/hyperlink" Target="https://ref.ly/Gen26:17" TargetMode="External"/><Relationship Id="rId6129" Type="http://schemas.openxmlformats.org/officeDocument/2006/relationships/hyperlink" Target="https://ref.ly/Gen46:11" TargetMode="External"/><Relationship Id="rId6130" Type="http://schemas.openxmlformats.org/officeDocument/2006/relationships/hyperlink" Target="https://ref.ly/Num3:17" TargetMode="External"/><Relationship Id="rId6131" Type="http://schemas.openxmlformats.org/officeDocument/2006/relationships/hyperlink" Target="https://ref.ly/1Chr6:1" TargetMode="External"/><Relationship Id="rId6132" Type="http://schemas.openxmlformats.org/officeDocument/2006/relationships/hyperlink" Target="https://ref.ly/Exod6:16-Exod6:17" TargetMode="External"/><Relationship Id="rId6133" Type="http://schemas.openxmlformats.org/officeDocument/2006/relationships/hyperlink" Target="https://ref.ly/Num3:18,Num3:21" TargetMode="External"/><Relationship Id="rId6134" Type="http://schemas.openxmlformats.org/officeDocument/2006/relationships/hyperlink" Target="https://ref.ly/Josh21:1-Josh21:7" TargetMode="External"/><Relationship Id="rId6135" Type="http://schemas.openxmlformats.org/officeDocument/2006/relationships/hyperlink" Target="https://ref.ly/Exod6:16" TargetMode="External"/><Relationship Id="rId6136" Type="http://schemas.openxmlformats.org/officeDocument/2006/relationships/hyperlink" Target="https://ref.ly/Num26:57" TargetMode="External"/><Relationship Id="rId6137" Type="http://schemas.openxmlformats.org/officeDocument/2006/relationships/hyperlink" Target="https://ref.ly/1Chr6:1,1Chr6:16" TargetMode="External"/><Relationship Id="rId6138" Type="http://schemas.openxmlformats.org/officeDocument/2006/relationships/hyperlink" Target="https://ref.ly/1Chr23:6" TargetMode="External"/><Relationship Id="rId6139" Type="http://schemas.openxmlformats.org/officeDocument/2006/relationships/hyperlink" Target="https://ref.ly/Num3:23" TargetMode="External"/><Relationship Id="rId6140" Type="http://schemas.openxmlformats.org/officeDocument/2006/relationships/hyperlink" Target="https://ref.ly/Num3:22" TargetMode="External"/><Relationship Id="rId6141" Type="http://schemas.openxmlformats.org/officeDocument/2006/relationships/hyperlink" Target="https://ref.ly/Num4:39-Num4:40" TargetMode="External"/><Relationship Id="rId6142" Type="http://schemas.openxmlformats.org/officeDocument/2006/relationships/hyperlink" Target="https://ref.ly/Num3:25-Num3:26" TargetMode="External"/><Relationship Id="rId6143" Type="http://schemas.openxmlformats.org/officeDocument/2006/relationships/hyperlink" Target="https://ref.ly/Num4:24,Num4:27-Num4:28" TargetMode="External"/><Relationship Id="rId6144" Type="http://schemas.openxmlformats.org/officeDocument/2006/relationships/hyperlink" Target="https://ref.ly/Num4:27" TargetMode="External"/><Relationship Id="rId6145" Type="http://schemas.openxmlformats.org/officeDocument/2006/relationships/hyperlink" Target="https://ref.ly/Josh21:6" TargetMode="External"/><Relationship Id="rId6146" Type="http://schemas.openxmlformats.org/officeDocument/2006/relationships/hyperlink" Target="https://ref.ly/1Chr23:6-1Chr23:11" TargetMode="External"/><Relationship Id="rId6147" Type="http://schemas.openxmlformats.org/officeDocument/2006/relationships/hyperlink" Target="https://ref.ly/1Chr26:20-1Chr26:22" TargetMode="External"/><Relationship Id="rId6148" Type="http://schemas.openxmlformats.org/officeDocument/2006/relationships/hyperlink" Target="https://ref.ly/1Chr25:1-1Chr25:2" TargetMode="External"/><Relationship Id="rId6149" Type="http://schemas.openxmlformats.org/officeDocument/2006/relationships/hyperlink" Target="https://ref.ly/2Chr29:1-2Chr29:6,2Chr29:12" TargetMode="External"/><Relationship Id="rId6150" Type="http://schemas.openxmlformats.org/officeDocument/2006/relationships/hyperlink" Target="https://ref.ly/Ezra3:10" TargetMode="External"/><Relationship Id="rId6151" Type="http://schemas.openxmlformats.org/officeDocument/2006/relationships/hyperlink" Target="https://ref.ly/Neh12:31-Neh12:36" TargetMode="External"/><Relationship Id="rId6152" Type="http://schemas.openxmlformats.org/officeDocument/2006/relationships/hyperlink" Target="https://ref.ly/Gen32:10" TargetMode="External"/><Relationship Id="rId6153" Type="http://schemas.openxmlformats.org/officeDocument/2006/relationships/hyperlink" Target="https://ref.ly/Judg8:4" TargetMode="External"/><Relationship Id="rId6154" Type="http://schemas.openxmlformats.org/officeDocument/2006/relationships/hyperlink" Target="https://ref.ly/2Sam10:17" TargetMode="External"/><Relationship Id="rId6155" Type="http://schemas.openxmlformats.org/officeDocument/2006/relationships/hyperlink" Target="https://ref.ly/2Sam17:22" TargetMode="External"/><Relationship Id="rId6156" Type="http://schemas.openxmlformats.org/officeDocument/2006/relationships/hyperlink" Target="https://ref.ly/2Sam17:24" TargetMode="External"/><Relationship Id="rId6157" Type="http://schemas.openxmlformats.org/officeDocument/2006/relationships/hyperlink" Target="https://ref.ly/2Sam2:29" TargetMode="External"/><Relationship Id="rId6158" Type="http://schemas.openxmlformats.org/officeDocument/2006/relationships/hyperlink" Target="https://ref.ly/Josh3:15-Josh3:16" TargetMode="External"/><Relationship Id="rId6159" Type="http://schemas.openxmlformats.org/officeDocument/2006/relationships/hyperlink" Target="https://ref.ly/Josh2:7" TargetMode="External"/><Relationship Id="rId6160" Type="http://schemas.openxmlformats.org/officeDocument/2006/relationships/hyperlink" Target="https://ref.ly/Judg3:28" TargetMode="External"/><Relationship Id="rId6161" Type="http://schemas.openxmlformats.org/officeDocument/2006/relationships/hyperlink" Target="https://ref.ly/2Sam19:15" TargetMode="External"/><Relationship Id="rId6162" Type="http://schemas.openxmlformats.org/officeDocument/2006/relationships/hyperlink" Target="https://ref.ly/Josh3:15" TargetMode="External"/><Relationship Id="rId6163" Type="http://schemas.openxmlformats.org/officeDocument/2006/relationships/hyperlink" Target="https://ref.ly/Gen10:23" TargetMode="External"/><Relationship Id="rId6164" Type="http://schemas.openxmlformats.org/officeDocument/2006/relationships/hyperlink" Target="https://ref.ly/Gen46:24" TargetMode="External"/><Relationship Id="rId6165" Type="http://schemas.openxmlformats.org/officeDocument/2006/relationships/hyperlink" Target="https://ref.ly/1Chr7:13" TargetMode="External"/><Relationship Id="rId6166" Type="http://schemas.openxmlformats.org/officeDocument/2006/relationships/hyperlink" Target="https://ref.ly/1Chr5:15" TargetMode="External"/><Relationship Id="rId6167" Type="http://schemas.openxmlformats.org/officeDocument/2006/relationships/hyperlink" Target="https://ref.ly/Gen25:15" TargetMode="External"/><Relationship Id="rId6168" Type="http://schemas.openxmlformats.org/officeDocument/2006/relationships/hyperlink" Target="https://ref.ly/Gen36:35-Gen36:36" TargetMode="External"/><Relationship Id="rId6169" Type="http://schemas.openxmlformats.org/officeDocument/2006/relationships/hyperlink" Target="https://ref.ly/1Chr1:46-1Chr1:47" TargetMode="External"/><Relationship Id="rId6170" Type="http://schemas.openxmlformats.org/officeDocument/2006/relationships/hyperlink" Target="https://ref.ly/Gen36:39" TargetMode="External"/><Relationship Id="rId6171" Type="http://schemas.openxmlformats.org/officeDocument/2006/relationships/hyperlink" Target="https://ref.ly/1Chr1:50-1Chr1:51" TargetMode="External"/><Relationship Id="rId6172" Type="http://schemas.openxmlformats.org/officeDocument/2006/relationships/hyperlink" Target="https://ref.ly/1Kgs11:14-1Kgs11:25" TargetMode="External"/><Relationship Id="rId6173" Type="http://schemas.openxmlformats.org/officeDocument/2006/relationships/hyperlink" Target="https://ref.ly/Esth2:7" TargetMode="External"/><Relationship Id="rId6174" Type="http://schemas.openxmlformats.org/officeDocument/2006/relationships/hyperlink" Target="https://ref.ly/1Chr18:10" TargetMode="External"/><Relationship Id="rId6175" Type="http://schemas.openxmlformats.org/officeDocument/2006/relationships/hyperlink" Target="https://ref.ly/2Chr10:18" TargetMode="External"/><Relationship Id="rId6176" Type="http://schemas.openxmlformats.org/officeDocument/2006/relationships/hyperlink" Target="https://ref.ly/Ps113:1-Ps118:29" TargetMode="External"/><Relationship Id="rId6177" Type="http://schemas.openxmlformats.org/officeDocument/2006/relationships/hyperlink" Target="https://ref.ly/Ps113:1-Ps114:8" TargetMode="External"/><Relationship Id="rId6178" Type="http://schemas.openxmlformats.org/officeDocument/2006/relationships/hyperlink" Target="https://ref.ly/Ps115:1-Ps118:29" TargetMode="External"/><Relationship Id="rId6179" Type="http://schemas.openxmlformats.org/officeDocument/2006/relationships/hyperlink" Target="https://ref.ly/Matt26:30" TargetMode="External"/><Relationship Id="rId6180" Type="http://schemas.openxmlformats.org/officeDocument/2006/relationships/hyperlink" Target="https://ref.ly/Mark14:26" TargetMode="External"/><Relationship Id="rId6181" Type="http://schemas.openxmlformats.org/officeDocument/2006/relationships/hyperlink" Target="https://ref.ly/Ps120:1-Ps136:26" TargetMode="External"/><Relationship Id="rId6182" Type="http://schemas.openxmlformats.org/officeDocument/2006/relationships/hyperlink" Target="https://ref.ly/Ps146:1-Ps148:14" TargetMode="External"/><Relationship Id="rId6183" Type="http://schemas.openxmlformats.org/officeDocument/2006/relationships/hyperlink" Target="https://ref.ly/Esth3:8" TargetMode="External"/><Relationship Id="rId6184" Type="http://schemas.openxmlformats.org/officeDocument/2006/relationships/hyperlink" Target="https://ref.ly/Num34:7-Num34:8" TargetMode="External"/><Relationship Id="rId6185" Type="http://schemas.openxmlformats.org/officeDocument/2006/relationships/hyperlink" Target="https://ref.ly/Josh13:5" TargetMode="External"/><Relationship Id="rId6186" Type="http://schemas.openxmlformats.org/officeDocument/2006/relationships/hyperlink" Target="https://ref.ly/2Sam8:9-2Sam8:10" TargetMode="External"/><Relationship Id="rId6187" Type="http://schemas.openxmlformats.org/officeDocument/2006/relationships/hyperlink" Target="https://ref.ly/2Chr8:4" TargetMode="External"/><Relationship Id="rId6188" Type="http://schemas.openxmlformats.org/officeDocument/2006/relationships/hyperlink" Target="https://ref.ly/2Kgs18:34" TargetMode="External"/><Relationship Id="rId6189" Type="http://schemas.openxmlformats.org/officeDocument/2006/relationships/hyperlink" Target="https://ref.ly/2Kgs19:13" TargetMode="External"/><Relationship Id="rId6190" Type="http://schemas.openxmlformats.org/officeDocument/2006/relationships/hyperlink" Target="https://ref.ly/Isa36:19" TargetMode="External"/><Relationship Id="rId6191" Type="http://schemas.openxmlformats.org/officeDocument/2006/relationships/hyperlink" Target="https://ref.ly/Isa37:13" TargetMode="External"/><Relationship Id="rId6192" Type="http://schemas.openxmlformats.org/officeDocument/2006/relationships/hyperlink" Target="https://ref.ly/Jer49:23" TargetMode="External"/><Relationship Id="rId6193" Type="http://schemas.openxmlformats.org/officeDocument/2006/relationships/hyperlink" Target="https://ref.ly/Ezek47:16-Ezek47:17" TargetMode="External"/><Relationship Id="rId6194" Type="http://schemas.openxmlformats.org/officeDocument/2006/relationships/hyperlink" Target="https://ref.ly/Zech9:2" TargetMode="External"/><Relationship Id="rId6195" Type="http://schemas.openxmlformats.org/officeDocument/2006/relationships/hyperlink" Target="https://ref.ly/1Macc12:25" TargetMode="External"/><Relationship Id="rId6196" Type="http://schemas.openxmlformats.org/officeDocument/2006/relationships/hyperlink" Target="https://ref.ly/2Chr8:3" TargetMode="External"/><Relationship Id="rId6197" Type="http://schemas.openxmlformats.org/officeDocument/2006/relationships/hyperlink" Target="https://ref.ly/Esth3:1,Esth3:10" TargetMode="External"/><Relationship Id="rId6198" Type="http://schemas.openxmlformats.org/officeDocument/2006/relationships/hyperlink" Target="https://ref.ly/Esth8:5" TargetMode="External"/><Relationship Id="rId6199" Type="http://schemas.openxmlformats.org/officeDocument/2006/relationships/hyperlink" Target="https://ref.ly/Esth9:10,Esth9:24" TargetMode="External"/><Relationship Id="rId6200" Type="http://schemas.openxmlformats.org/officeDocument/2006/relationships/hyperlink" Target="https://ref.ly/Gen34:2" TargetMode="External"/><Relationship Id="rId6201" Type="http://schemas.openxmlformats.org/officeDocument/2006/relationships/hyperlink" Target="https://ref.ly/Gen49:14" TargetMode="External"/><Relationship Id="rId6202" Type="http://schemas.openxmlformats.org/officeDocument/2006/relationships/hyperlink" Target="https://ref.ly/Gen42:26" TargetMode="External"/><Relationship Id="rId6203" Type="http://schemas.openxmlformats.org/officeDocument/2006/relationships/hyperlink" Target="https://ref.ly/Judg15:15" TargetMode="External"/><Relationship Id="rId6204" Type="http://schemas.openxmlformats.org/officeDocument/2006/relationships/hyperlink" Target="https://ref.ly/Isa1:3" TargetMode="External"/><Relationship Id="rId6205" Type="http://schemas.openxmlformats.org/officeDocument/2006/relationships/hyperlink" Target="https://ref.ly/Zech9:9" TargetMode="External"/><Relationship Id="rId6206" Type="http://schemas.openxmlformats.org/officeDocument/2006/relationships/hyperlink" Target="https://ref.ly/1Chr2:5" TargetMode="External"/><Relationship Id="rId6207" Type="http://schemas.openxmlformats.org/officeDocument/2006/relationships/hyperlink" Target="https://ref.ly/Num26:21" TargetMode="External"/><Relationship Id="rId6208" Type="http://schemas.openxmlformats.org/officeDocument/2006/relationships/hyperlink" Target="https://ref.ly/Gen11:26-Gen11:31" TargetMode="External"/><Relationship Id="rId6209" Type="http://schemas.openxmlformats.org/officeDocument/2006/relationships/hyperlink" Target="https://ref.ly/1Chr23:9" TargetMode="External"/><Relationship Id="rId6210" Type="http://schemas.openxmlformats.org/officeDocument/2006/relationships/hyperlink" Target="https://ref.ly/Esth4:5-Esth4:10" TargetMode="External"/><Relationship Id="rId6211" Type="http://schemas.openxmlformats.org/officeDocument/2006/relationships/hyperlink" Target="https://ref.ly/Gen10:30" TargetMode="External"/><Relationship Id="rId6212" Type="http://schemas.openxmlformats.org/officeDocument/2006/relationships/hyperlink" Target="https://ref.ly/1Kgs9:18" TargetMode="External"/><Relationship Id="rId6213" Type="http://schemas.openxmlformats.org/officeDocument/2006/relationships/hyperlink" Target="https://ref.ly/Ezek47:18-Ezek47:19" TargetMode="External"/><Relationship Id="rId6214" Type="http://schemas.openxmlformats.org/officeDocument/2006/relationships/hyperlink" Target="https://ref.ly/Ezek48:28" TargetMode="External"/><Relationship Id="rId6215" Type="http://schemas.openxmlformats.org/officeDocument/2006/relationships/hyperlink" Target="https://ref.ly/Gen2:11-Gen2:12" TargetMode="External"/><Relationship Id="rId6216" Type="http://schemas.openxmlformats.org/officeDocument/2006/relationships/hyperlink" Target="https://ref.ly/1Sam15:7" TargetMode="External"/><Relationship Id="rId6217" Type="http://schemas.openxmlformats.org/officeDocument/2006/relationships/hyperlink" Target="https://ref.ly/Gen10:29" TargetMode="External"/><Relationship Id="rId6218" Type="http://schemas.openxmlformats.org/officeDocument/2006/relationships/hyperlink" Target="https://ref.ly/1Chr1:23" TargetMode="External"/><Relationship Id="rId6219" Type="http://schemas.openxmlformats.org/officeDocument/2006/relationships/hyperlink" Target="https://ref.ly/Gen22:22" TargetMode="External"/><Relationship Id="rId6220" Type="http://schemas.openxmlformats.org/officeDocument/2006/relationships/hyperlink" Target="https://ref.ly/Num26:45" TargetMode="External"/><Relationship Id="rId6221" Type="http://schemas.openxmlformats.org/officeDocument/2006/relationships/hyperlink" Target="https://ref.ly/1Chr7:31-1Chr7:32" TargetMode="External"/><Relationship Id="rId6222" Type="http://schemas.openxmlformats.org/officeDocument/2006/relationships/hyperlink" Target="https://ref.ly/Judg4:11-Judg4:21" TargetMode="External"/><Relationship Id="rId6223" Type="http://schemas.openxmlformats.org/officeDocument/2006/relationships/hyperlink" Target="https://ref.ly/Judg5:24" TargetMode="External"/><Relationship Id="rId6224" Type="http://schemas.openxmlformats.org/officeDocument/2006/relationships/hyperlink" Target="https://ref.ly/1Chr4:18" TargetMode="External"/><Relationship Id="rId6225" Type="http://schemas.openxmlformats.org/officeDocument/2006/relationships/hyperlink" Target="https://ref.ly/1Chr8:17" TargetMode="External"/><Relationship Id="rId6226" Type="http://schemas.openxmlformats.org/officeDocument/2006/relationships/hyperlink" Target="https://ref.ly/Gen10:21-Gen10:25" TargetMode="External"/><Relationship Id="rId6227" Type="http://schemas.openxmlformats.org/officeDocument/2006/relationships/hyperlink" Target="https://ref.ly/Gen11:14-Gen11:17" TargetMode="External"/><Relationship Id="rId6228" Type="http://schemas.openxmlformats.org/officeDocument/2006/relationships/hyperlink" Target="https://ref.ly/1Chr1:18-1Chr1:25" TargetMode="External"/><Relationship Id="rId6229" Type="http://schemas.openxmlformats.org/officeDocument/2006/relationships/hyperlink" Target="https://ref.ly/Luke3:35" TargetMode="External"/><Relationship Id="rId6230" Type="http://schemas.openxmlformats.org/officeDocument/2006/relationships/hyperlink" Target="https://ref.ly/Gen23:10" TargetMode="External"/><Relationship Id="rId6231" Type="http://schemas.openxmlformats.org/officeDocument/2006/relationships/hyperlink" Target="https://ref.ly/1Chr5:13" TargetMode="External"/><Relationship Id="rId6232" Type="http://schemas.openxmlformats.org/officeDocument/2006/relationships/hyperlink" Target="https://ref.ly/1Chr8:12" TargetMode="External"/><Relationship Id="rId6233" Type="http://schemas.openxmlformats.org/officeDocument/2006/relationships/hyperlink" Target="https://ref.ly/1Chr8:22" TargetMode="External"/><Relationship Id="rId6234" Type="http://schemas.openxmlformats.org/officeDocument/2006/relationships/hyperlink" Target="https://ref.ly/Neh12:20" TargetMode="External"/><Relationship Id="rId6235" Type="http://schemas.openxmlformats.org/officeDocument/2006/relationships/hyperlink" Target="https://ref.ly/Isa19:18" TargetMode="External"/><Relationship Id="rId6236" Type="http://schemas.openxmlformats.org/officeDocument/2006/relationships/hyperlink" Target="https://ref.ly/Judg12:4-Judg12:6" TargetMode="External"/><Relationship Id="rId6237" Type="http://schemas.openxmlformats.org/officeDocument/2006/relationships/hyperlink" Target="https://ref.ly/Ps12:2" TargetMode="External"/><Relationship Id="rId6238" Type="http://schemas.openxmlformats.org/officeDocument/2006/relationships/hyperlink" Target="https://ref.ly/2Kgs11:1" TargetMode="External"/><Relationship Id="rId6239" Type="http://schemas.openxmlformats.org/officeDocument/2006/relationships/hyperlink" Target="https://ref.ly/Eccl7:24" TargetMode="External"/><Relationship Id="rId6240" Type="http://schemas.openxmlformats.org/officeDocument/2006/relationships/hyperlink" Target="https://ref.ly/Isa6:3" TargetMode="External"/><Relationship Id="rId6241" Type="http://schemas.openxmlformats.org/officeDocument/2006/relationships/hyperlink" Target="https://ref.ly/Isa5:13" TargetMode="External"/><Relationship Id="rId6242" Type="http://schemas.openxmlformats.org/officeDocument/2006/relationships/hyperlink" Target="https://ref.ly/Isa63:15" TargetMode="External"/><Relationship Id="rId6243" Type="http://schemas.openxmlformats.org/officeDocument/2006/relationships/hyperlink" Target="https://ref.ly/Gen1:2-Gen3:1" TargetMode="External"/><Relationship Id="rId6244" Type="http://schemas.openxmlformats.org/officeDocument/2006/relationships/hyperlink" Target="https://ref.ly/Gen1:3" TargetMode="External"/><Relationship Id="rId6245" Type="http://schemas.openxmlformats.org/officeDocument/2006/relationships/hyperlink" Target="https://ref.ly/Gen2:6" TargetMode="External"/><Relationship Id="rId6246" Type="http://schemas.openxmlformats.org/officeDocument/2006/relationships/hyperlink" Target="https://ref.ly/Deut32:10" TargetMode="External"/><Relationship Id="rId6247" Type="http://schemas.openxmlformats.org/officeDocument/2006/relationships/hyperlink" Target="https://ref.ly/Ps17:8" TargetMode="External"/><Relationship Id="rId6248" Type="http://schemas.openxmlformats.org/officeDocument/2006/relationships/hyperlink" Target="https://ref.ly/Prov7:2" TargetMode="External"/><Relationship Id="rId6249" Type="http://schemas.openxmlformats.org/officeDocument/2006/relationships/hyperlink" Target="https://ref.ly/Zech2:8" TargetMode="External"/><Relationship Id="rId6250" Type="http://schemas.openxmlformats.org/officeDocument/2006/relationships/hyperlink" Target="https://ref.ly/Job19:20" TargetMode="External"/><Relationship Id="rId6251" Type="http://schemas.openxmlformats.org/officeDocument/2006/relationships/hyperlink" Target="https://ref.ly/Heb13:22" TargetMode="External"/><Relationship Id="rId6252" Type="http://schemas.openxmlformats.org/officeDocument/2006/relationships/hyperlink" Target="https://ref.ly/Heb13:22-Heb13:25" TargetMode="External"/><Relationship Id="rId6253" Type="http://schemas.openxmlformats.org/officeDocument/2006/relationships/hyperlink" Target="https://ref.ly/Heb2:1" TargetMode="External"/><Relationship Id="rId6254" Type="http://schemas.openxmlformats.org/officeDocument/2006/relationships/hyperlink" Target="https://ref.ly/Heb4:1" TargetMode="External"/><Relationship Id="rId6255" Type="http://schemas.openxmlformats.org/officeDocument/2006/relationships/hyperlink" Target="https://ref.ly/1Pet5:12-1Pet5:13" TargetMode="External"/><Relationship Id="rId6256" Type="http://schemas.openxmlformats.org/officeDocument/2006/relationships/hyperlink" Target="https://ref.ly/Heb10:32-Heb10:36" TargetMode="External"/><Relationship Id="rId6257" Type="http://schemas.openxmlformats.org/officeDocument/2006/relationships/hyperlink" Target="https://ref.ly/Heb12:4" TargetMode="External"/><Relationship Id="rId6258" Type="http://schemas.openxmlformats.org/officeDocument/2006/relationships/hyperlink" Target="https://ref.ly/Heb6:10" TargetMode="External"/><Relationship Id="rId6259" Type="http://schemas.openxmlformats.org/officeDocument/2006/relationships/hyperlink" Target="https://ref.ly/Heb10:34" TargetMode="External"/><Relationship Id="rId6260" Type="http://schemas.openxmlformats.org/officeDocument/2006/relationships/hyperlink" Target="https://ref.ly/Heb5:11-Heb5:13" TargetMode="External"/><Relationship Id="rId6261" Type="http://schemas.openxmlformats.org/officeDocument/2006/relationships/hyperlink" Target="https://ref.ly/Heb10:25" TargetMode="External"/><Relationship Id="rId6262" Type="http://schemas.openxmlformats.org/officeDocument/2006/relationships/hyperlink" Target="https://ref.ly/Heb13:17" TargetMode="External"/><Relationship Id="rId6263" Type="http://schemas.openxmlformats.org/officeDocument/2006/relationships/hyperlink" Target="https://ref.ly/Heb6:4-Heb6:6" TargetMode="External"/><Relationship Id="rId6264" Type="http://schemas.openxmlformats.org/officeDocument/2006/relationships/hyperlink" Target="https://ref.ly/Heb10:26-Heb10:31" TargetMode="External"/><Relationship Id="rId6265" Type="http://schemas.openxmlformats.org/officeDocument/2006/relationships/hyperlink" Target="https://ref.ly/Heb13:12-Heb13:19" TargetMode="External"/><Relationship Id="rId6266" Type="http://schemas.openxmlformats.org/officeDocument/2006/relationships/hyperlink" Target="https://ref.ly/Heb13:23" TargetMode="External"/><Relationship Id="rId6267" Type="http://schemas.openxmlformats.org/officeDocument/2006/relationships/hyperlink" Target="https://ref.ly/Heb9:6-Heb9:10" TargetMode="External"/><Relationship Id="rId6268" Type="http://schemas.openxmlformats.org/officeDocument/2006/relationships/hyperlink" Target="https://ref.ly/Heb10:1-Heb10:4,Heb10:11-Heb10:14" TargetMode="External"/><Relationship Id="rId6269" Type="http://schemas.openxmlformats.org/officeDocument/2006/relationships/hyperlink" Target="https://ref.ly/Heb13:24" TargetMode="External"/><Relationship Id="rId6270" Type="http://schemas.openxmlformats.org/officeDocument/2006/relationships/hyperlink" Target="https://ref.ly/Heb13:16" TargetMode="External"/><Relationship Id="rId6271" Type="http://schemas.openxmlformats.org/officeDocument/2006/relationships/hyperlink" Target="https://ref.ly/Rom11:13,Rom11:18" TargetMode="External"/><Relationship Id="rId6272" Type="http://schemas.openxmlformats.org/officeDocument/2006/relationships/hyperlink" Target="https://ref.ly/Heb10:32-Heb10:33" TargetMode="External"/><Relationship Id="rId6273" Type="http://schemas.openxmlformats.org/officeDocument/2006/relationships/hyperlink" Target="https://ref.ly/Heb13:7,Heb13:24" TargetMode="External"/><Relationship Id="rId6274" Type="http://schemas.openxmlformats.org/officeDocument/2006/relationships/hyperlink" Target="https://ref.ly/Rom16:5,Rom16:14-Rom16:15" TargetMode="External"/><Relationship Id="rId6275" Type="http://schemas.openxmlformats.org/officeDocument/2006/relationships/hyperlink" Target="https://ref.ly/Heb12:12" TargetMode="External"/><Relationship Id="rId6276" Type="http://schemas.openxmlformats.org/officeDocument/2006/relationships/hyperlink" Target="https://ref.ly/Heb12:28" TargetMode="External"/><Relationship Id="rId6277" Type="http://schemas.openxmlformats.org/officeDocument/2006/relationships/hyperlink" Target="https://ref.ly/Heb12:29" TargetMode="External"/><Relationship Id="rId6278" Type="http://schemas.openxmlformats.org/officeDocument/2006/relationships/hyperlink" Target="https://ref.ly/Heb1:1-Heb1:4" TargetMode="External"/><Relationship Id="rId6279" Type="http://schemas.openxmlformats.org/officeDocument/2006/relationships/hyperlink" Target="https://ref.ly/Heb9:26" TargetMode="External"/><Relationship Id="rId6280" Type="http://schemas.openxmlformats.org/officeDocument/2006/relationships/hyperlink" Target="https://ref.ly/Heb1:2" TargetMode="External"/><Relationship Id="rId6281" Type="http://schemas.openxmlformats.org/officeDocument/2006/relationships/hyperlink" Target="https://ref.ly/Heb8:1" TargetMode="External"/><Relationship Id="rId6282" Type="http://schemas.openxmlformats.org/officeDocument/2006/relationships/hyperlink" Target="https://ref.ly/Heb1:4" TargetMode="External"/><Relationship Id="rId6283" Type="http://schemas.openxmlformats.org/officeDocument/2006/relationships/hyperlink" Target="https://ref.ly/Heb1:5-Heb2:18" TargetMode="External"/><Relationship Id="rId6284" Type="http://schemas.openxmlformats.org/officeDocument/2006/relationships/hyperlink" Target="https://ref.ly/Heb1:5" TargetMode="External"/><Relationship Id="rId6285" Type="http://schemas.openxmlformats.org/officeDocument/2006/relationships/hyperlink" Target="https://ref.ly/Heb1:6" TargetMode="External"/><Relationship Id="rId6286" Type="http://schemas.openxmlformats.org/officeDocument/2006/relationships/hyperlink" Target="https://ref.ly/Heb1:8,Heb1:11-Heb1:12" TargetMode="External"/><Relationship Id="rId6287" Type="http://schemas.openxmlformats.org/officeDocument/2006/relationships/hyperlink" Target="https://ref.ly/Heb1:14" TargetMode="External"/><Relationship Id="rId6288" Type="http://schemas.openxmlformats.org/officeDocument/2006/relationships/hyperlink" Target="https://ref.ly/Heb2:1-Heb2:4" TargetMode="External"/><Relationship Id="rId6289" Type="http://schemas.openxmlformats.org/officeDocument/2006/relationships/hyperlink" Target="https://ref.ly/Heb2:5-Heb2:18" TargetMode="External"/><Relationship Id="rId6290" Type="http://schemas.openxmlformats.org/officeDocument/2006/relationships/hyperlink" Target="https://ref.ly/Heb2:7" TargetMode="External"/><Relationship Id="rId6291" Type="http://schemas.openxmlformats.org/officeDocument/2006/relationships/hyperlink" Target="https://ref.ly/Heb2:9" TargetMode="External"/><Relationship Id="rId6292" Type="http://schemas.openxmlformats.org/officeDocument/2006/relationships/hyperlink" Target="https://ref.ly/Heb2:10" TargetMode="External"/><Relationship Id="rId6293" Type="http://schemas.openxmlformats.org/officeDocument/2006/relationships/hyperlink" Target="https://ref.ly/Heb2:15" TargetMode="External"/><Relationship Id="rId6294" Type="http://schemas.openxmlformats.org/officeDocument/2006/relationships/hyperlink" Target="https://ref.ly/Heb2:18" TargetMode="External"/><Relationship Id="rId6295" Type="http://schemas.openxmlformats.org/officeDocument/2006/relationships/hyperlink" Target="https://ref.ly/Heb3:1-Heb4:13" TargetMode="External"/><Relationship Id="rId6296" Type="http://schemas.openxmlformats.org/officeDocument/2006/relationships/hyperlink" Target="https://ref.ly/Ps95:7-Ps95:11" TargetMode="External"/><Relationship Id="rId6297" Type="http://schemas.openxmlformats.org/officeDocument/2006/relationships/hyperlink" Target="https://ref.ly/Heb3:7-Heb3:19" TargetMode="External"/><Relationship Id="rId6298" Type="http://schemas.openxmlformats.org/officeDocument/2006/relationships/hyperlink" Target="https://ref.ly/Heb3:10-Heb3:11,Heb3:18" TargetMode="External"/><Relationship Id="rId6299" Type="http://schemas.openxmlformats.org/officeDocument/2006/relationships/hyperlink" Target="https://ref.ly/Heb10:14" TargetMode="External"/><Relationship Id="rId6300" Type="http://schemas.openxmlformats.org/officeDocument/2006/relationships/hyperlink" Target="https://ref.ly/Heb4:3-Heb4:4" TargetMode="External"/><Relationship Id="rId6301" Type="http://schemas.openxmlformats.org/officeDocument/2006/relationships/hyperlink" Target="https://ref.ly/Heb4:10" TargetMode="External"/><Relationship Id="rId6302" Type="http://schemas.openxmlformats.org/officeDocument/2006/relationships/hyperlink" Target="https://ref.ly/Heb4:9" TargetMode="External"/><Relationship Id="rId6303" Type="http://schemas.openxmlformats.org/officeDocument/2006/relationships/hyperlink" Target="https://ref.ly/Heb4:14-Heb7:28" TargetMode="External"/><Relationship Id="rId6304" Type="http://schemas.openxmlformats.org/officeDocument/2006/relationships/hyperlink" Target="https://ref.ly/Heb5:6" TargetMode="External"/><Relationship Id="rId6305" Type="http://schemas.openxmlformats.org/officeDocument/2006/relationships/hyperlink" Target="https://ref.ly/Heb7:11" TargetMode="External"/><Relationship Id="rId6306" Type="http://schemas.openxmlformats.org/officeDocument/2006/relationships/hyperlink" Target="https://ref.ly/Heb4:15" TargetMode="External"/><Relationship Id="rId6307" Type="http://schemas.openxmlformats.org/officeDocument/2006/relationships/hyperlink" Target="https://ref.ly/Heb7:27" TargetMode="External"/><Relationship Id="rId6308" Type="http://schemas.openxmlformats.org/officeDocument/2006/relationships/hyperlink" Target="https://ref.ly/Heb7:26" TargetMode="External"/><Relationship Id="rId6309" Type="http://schemas.openxmlformats.org/officeDocument/2006/relationships/hyperlink" Target="https://ref.ly/Heb4:16" TargetMode="External"/><Relationship Id="rId6310" Type="http://schemas.openxmlformats.org/officeDocument/2006/relationships/hyperlink" Target="https://ref.ly/Heb5:1-Heb5:2" TargetMode="External"/><Relationship Id="rId6311" Type="http://schemas.openxmlformats.org/officeDocument/2006/relationships/hyperlink" Target="https://ref.ly/Heb5:4" TargetMode="External"/><Relationship Id="rId6312" Type="http://schemas.openxmlformats.org/officeDocument/2006/relationships/hyperlink" Target="https://ref.ly/Ps110:4" TargetMode="External"/><Relationship Id="rId6313" Type="http://schemas.openxmlformats.org/officeDocument/2006/relationships/hyperlink" Target="https://ref.ly/Heb5:5-Heb5:6" TargetMode="External"/><Relationship Id="rId6314" Type="http://schemas.openxmlformats.org/officeDocument/2006/relationships/hyperlink" Target="https://ref.ly/Heb5:8" TargetMode="External"/><Relationship Id="rId6315" Type="http://schemas.openxmlformats.org/officeDocument/2006/relationships/hyperlink" Target="https://ref.ly/Heb5:7" TargetMode="External"/><Relationship Id="rId6316" Type="http://schemas.openxmlformats.org/officeDocument/2006/relationships/hyperlink" Target="https://ref.ly/Heb5:10" TargetMode="External"/><Relationship Id="rId6317" Type="http://schemas.openxmlformats.org/officeDocument/2006/relationships/hyperlink" Target="https://ref.ly/Heb6:4-Heb6:8" TargetMode="External"/><Relationship Id="rId6318" Type="http://schemas.openxmlformats.org/officeDocument/2006/relationships/hyperlink" Target="https://ref.ly/Acts8:9-Acts8:24" TargetMode="External"/><Relationship Id="rId6319" Type="http://schemas.openxmlformats.org/officeDocument/2006/relationships/hyperlink" Target="https://ref.ly/Heb6:9" TargetMode="External"/><Relationship Id="rId6320" Type="http://schemas.openxmlformats.org/officeDocument/2006/relationships/hyperlink" Target="https://ref.ly/Heb10:31" TargetMode="External"/><Relationship Id="rId6321" Type="http://schemas.openxmlformats.org/officeDocument/2006/relationships/hyperlink" Target="https://ref.ly/Heb6:13-Heb6:18" TargetMode="External"/><Relationship Id="rId6322" Type="http://schemas.openxmlformats.org/officeDocument/2006/relationships/hyperlink" Target="https://ref.ly/Gen14:18-Gen14:20" TargetMode="External"/><Relationship Id="rId6323" Type="http://schemas.openxmlformats.org/officeDocument/2006/relationships/hyperlink" Target="https://ref.ly/Heb7:2" TargetMode="External"/><Relationship Id="rId6324" Type="http://schemas.openxmlformats.org/officeDocument/2006/relationships/hyperlink" Target="https://ref.ly/Heb7:3" TargetMode="External"/><Relationship Id="rId6325" Type="http://schemas.openxmlformats.org/officeDocument/2006/relationships/hyperlink" Target="https://ref.ly/Heb7:1,Heb7:7" TargetMode="External"/><Relationship Id="rId6326" Type="http://schemas.openxmlformats.org/officeDocument/2006/relationships/hyperlink" Target="https://ref.ly/Heb7:2-Heb7:6" TargetMode="External"/><Relationship Id="rId6327" Type="http://schemas.openxmlformats.org/officeDocument/2006/relationships/hyperlink" Target="https://ref.ly/Heb7:8" TargetMode="External"/><Relationship Id="rId6328" Type="http://schemas.openxmlformats.org/officeDocument/2006/relationships/hyperlink" Target="https://ref.ly/Heb7:10" TargetMode="External"/><Relationship Id="rId6329" Type="http://schemas.openxmlformats.org/officeDocument/2006/relationships/hyperlink" Target="https://ref.ly/Heb7:15" TargetMode="External"/><Relationship Id="rId6330" Type="http://schemas.openxmlformats.org/officeDocument/2006/relationships/hyperlink" Target="https://ref.ly/Heb7:18" TargetMode="External"/><Relationship Id="rId6331" Type="http://schemas.openxmlformats.org/officeDocument/2006/relationships/hyperlink" Target="https://ref.ly/Heb7:16,Heb7:21,Heb7:24-Heb7:27" TargetMode="External"/><Relationship Id="rId6332" Type="http://schemas.openxmlformats.org/officeDocument/2006/relationships/hyperlink" Target="https://ref.ly/Heb8:1-Heb10:39" TargetMode="External"/><Relationship Id="rId6333" Type="http://schemas.openxmlformats.org/officeDocument/2006/relationships/hyperlink" Target="https://ref.ly/Heb8:2,Heb8:5" TargetMode="External"/><Relationship Id="rId6334" Type="http://schemas.openxmlformats.org/officeDocument/2006/relationships/hyperlink" Target="https://ref.ly/Heb8:1,Heb8:6" TargetMode="External"/><Relationship Id="rId6335" Type="http://schemas.openxmlformats.org/officeDocument/2006/relationships/hyperlink" Target="https://ref.ly/Heb8:3" TargetMode="External"/><Relationship Id="rId6336" Type="http://schemas.openxmlformats.org/officeDocument/2006/relationships/hyperlink" Target="https://ref.ly/Heb8:6-Heb8:13" TargetMode="External"/><Relationship Id="rId6337" Type="http://schemas.openxmlformats.org/officeDocument/2006/relationships/hyperlink" Target="https://ref.ly/Heb8:13" TargetMode="External"/><Relationship Id="rId6338" Type="http://schemas.openxmlformats.org/officeDocument/2006/relationships/hyperlink" Target="https://ref.ly/Heb8:11" TargetMode="External"/><Relationship Id="rId6339" Type="http://schemas.openxmlformats.org/officeDocument/2006/relationships/hyperlink" Target="https://ref.ly/Heb8:12" TargetMode="External"/><Relationship Id="rId6340" Type="http://schemas.openxmlformats.org/officeDocument/2006/relationships/hyperlink" Target="https://ref.ly/Heb9:1-Heb9:28" TargetMode="External"/><Relationship Id="rId6341" Type="http://schemas.openxmlformats.org/officeDocument/2006/relationships/hyperlink" Target="https://ref.ly/Heb9:1-Heb9:5" TargetMode="External"/><Relationship Id="rId6342" Type="http://schemas.openxmlformats.org/officeDocument/2006/relationships/hyperlink" Target="https://ref.ly/Heb9:6" TargetMode="External"/><Relationship Id="rId6343" Type="http://schemas.openxmlformats.org/officeDocument/2006/relationships/hyperlink" Target="https://ref.ly/Heb9:7" TargetMode="External"/><Relationship Id="rId6344" Type="http://schemas.openxmlformats.org/officeDocument/2006/relationships/hyperlink" Target="https://ref.ly/Heb9:9-Heb9:10" TargetMode="External"/><Relationship Id="rId6345" Type="http://schemas.openxmlformats.org/officeDocument/2006/relationships/hyperlink" Target="https://ref.ly/Heb9:10" TargetMode="External"/><Relationship Id="rId6346" Type="http://schemas.openxmlformats.org/officeDocument/2006/relationships/hyperlink" Target="https://ref.ly/Heb9:11-Heb9:14" TargetMode="External"/><Relationship Id="rId6347" Type="http://schemas.openxmlformats.org/officeDocument/2006/relationships/hyperlink" Target="https://ref.ly/Heb9:14" TargetMode="External"/><Relationship Id="rId6348" Type="http://schemas.openxmlformats.org/officeDocument/2006/relationships/hyperlink" Target="https://ref.ly/Heb9:15-Heb9:23" TargetMode="External"/><Relationship Id="rId6349" Type="http://schemas.openxmlformats.org/officeDocument/2006/relationships/hyperlink" Target="https://ref.ly/Heb9:22" TargetMode="External"/><Relationship Id="rId6350" Type="http://schemas.openxmlformats.org/officeDocument/2006/relationships/hyperlink" Target="https://ref.ly/Heb9:24-Heb9:28" TargetMode="External"/><Relationship Id="rId6351" Type="http://schemas.openxmlformats.org/officeDocument/2006/relationships/hyperlink" Target="https://ref.ly/Heb10:1-Heb10:39" TargetMode="External"/><Relationship Id="rId6352" Type="http://schemas.openxmlformats.org/officeDocument/2006/relationships/hyperlink" Target="https://ref.ly/Heb9:6-Heb9:14" TargetMode="External"/><Relationship Id="rId6353" Type="http://schemas.openxmlformats.org/officeDocument/2006/relationships/hyperlink" Target="https://ref.ly/Heb10:1-Heb10:4" TargetMode="External"/><Relationship Id="rId6354" Type="http://schemas.openxmlformats.org/officeDocument/2006/relationships/hyperlink" Target="https://ref.ly/Heb10:1" TargetMode="External"/><Relationship Id="rId6355" Type="http://schemas.openxmlformats.org/officeDocument/2006/relationships/hyperlink" Target="https://ref.ly/Heb10:3" TargetMode="External"/><Relationship Id="rId6356" Type="http://schemas.openxmlformats.org/officeDocument/2006/relationships/hyperlink" Target="https://ref.ly/Ps40:6-Ps40:8" TargetMode="External"/><Relationship Id="rId6357" Type="http://schemas.openxmlformats.org/officeDocument/2006/relationships/hyperlink" Target="https://ref.ly/Heb10:5-Heb10:10" TargetMode="External"/><Relationship Id="rId6358" Type="http://schemas.openxmlformats.org/officeDocument/2006/relationships/hyperlink" Target="https://ref.ly/Heb10:10" TargetMode="External"/><Relationship Id="rId6359" Type="http://schemas.openxmlformats.org/officeDocument/2006/relationships/hyperlink" Target="https://ref.ly/Heb10:11" TargetMode="External"/><Relationship Id="rId6360" Type="http://schemas.openxmlformats.org/officeDocument/2006/relationships/hyperlink" Target="https://ref.ly/Heb10:18" TargetMode="External"/><Relationship Id="rId6361" Type="http://schemas.openxmlformats.org/officeDocument/2006/relationships/hyperlink" Target="https://ref.ly/Heb10:19-Heb10:39" TargetMode="External"/><Relationship Id="rId6362" Type="http://schemas.openxmlformats.org/officeDocument/2006/relationships/hyperlink" Target="https://ref.ly/Heb10:19-Heb10:20" TargetMode="External"/><Relationship Id="rId6363" Type="http://schemas.openxmlformats.org/officeDocument/2006/relationships/hyperlink" Target="https://ref.ly/Heb10:23-Heb10:24" TargetMode="External"/><Relationship Id="rId6364" Type="http://schemas.openxmlformats.org/officeDocument/2006/relationships/hyperlink" Target="https://ref.ly/Heb11:1-Heb12:29" TargetMode="External"/><Relationship Id="rId6365" Type="http://schemas.openxmlformats.org/officeDocument/2006/relationships/hyperlink" Target="https://ref.ly/Heb10:36-Heb10:38" TargetMode="External"/><Relationship Id="rId6366" Type="http://schemas.openxmlformats.org/officeDocument/2006/relationships/hyperlink" Target="https://ref.ly/Heb11:39-Heb11:40" TargetMode="External"/><Relationship Id="rId6367" Type="http://schemas.openxmlformats.org/officeDocument/2006/relationships/hyperlink" Target="https://ref.ly/Heb11:40" TargetMode="External"/><Relationship Id="rId6368" Type="http://schemas.openxmlformats.org/officeDocument/2006/relationships/hyperlink" Target="https://ref.ly/Heb12:5-Heb12:10" TargetMode="External"/><Relationship Id="rId6369" Type="http://schemas.openxmlformats.org/officeDocument/2006/relationships/hyperlink" Target="https://ref.ly/Heb12:15" TargetMode="External"/><Relationship Id="rId6370" Type="http://schemas.openxmlformats.org/officeDocument/2006/relationships/hyperlink" Target="https://ref.ly/Heb13:1-Heb13:25" TargetMode="External"/><Relationship Id="rId6371" Type="http://schemas.openxmlformats.org/officeDocument/2006/relationships/hyperlink" Target="https://ref.ly/Heb13:1-Heb13:7" TargetMode="External"/><Relationship Id="rId6372" Type="http://schemas.openxmlformats.org/officeDocument/2006/relationships/hyperlink" Target="https://ref.ly/Heb13:8" TargetMode="External"/><Relationship Id="rId6373" Type="http://schemas.openxmlformats.org/officeDocument/2006/relationships/hyperlink" Target="https://ref.ly/Heb13:12" TargetMode="External"/><Relationship Id="rId6374" Type="http://schemas.openxmlformats.org/officeDocument/2006/relationships/hyperlink" Target="https://ref.ly/Heb13:13" TargetMode="External"/><Relationship Id="rId6375" Type="http://schemas.openxmlformats.org/officeDocument/2006/relationships/hyperlink" Target="https://ref.ly/Heb13:14" TargetMode="External"/><Relationship Id="rId6376" Type="http://schemas.openxmlformats.org/officeDocument/2006/relationships/hyperlink" Target="https://ref.ly/Heb13:21" TargetMode="External"/><Relationship Id="rId6377" Type="http://schemas.openxmlformats.org/officeDocument/2006/relationships/hyperlink" Target="https://ref.ly/Gen23:2" TargetMode="External"/><Relationship Id="rId6378" Type="http://schemas.openxmlformats.org/officeDocument/2006/relationships/hyperlink" Target="https://ref.ly/Gen14:12-Gen14:16" TargetMode="External"/><Relationship Id="rId6379" Type="http://schemas.openxmlformats.org/officeDocument/2006/relationships/hyperlink" Target="https://ref.ly/Gen23:8-Gen23:9,Gen23:17" TargetMode="External"/><Relationship Id="rId6380" Type="http://schemas.openxmlformats.org/officeDocument/2006/relationships/hyperlink" Target="https://ref.ly/Gen25:9-Gen25:10" TargetMode="External"/><Relationship Id="rId6381" Type="http://schemas.openxmlformats.org/officeDocument/2006/relationships/hyperlink" Target="https://ref.ly/Gen49:29-Gen49:32" TargetMode="External"/><Relationship Id="rId6382" Type="http://schemas.openxmlformats.org/officeDocument/2006/relationships/hyperlink" Target="https://ref.ly/Gen50:12-Gen50:13" TargetMode="External"/><Relationship Id="rId6383" Type="http://schemas.openxmlformats.org/officeDocument/2006/relationships/hyperlink" Target="https://ref.ly/Num13:17-Num13:21" TargetMode="External"/><Relationship Id="rId6384" Type="http://schemas.openxmlformats.org/officeDocument/2006/relationships/hyperlink" Target="https://ref.ly/Num13:23-Num13:24" TargetMode="External"/><Relationship Id="rId6385" Type="http://schemas.openxmlformats.org/officeDocument/2006/relationships/hyperlink" Target="https://ref.ly/Josh14:9,Josh14:13" TargetMode="External"/><Relationship Id="rId6386" Type="http://schemas.openxmlformats.org/officeDocument/2006/relationships/hyperlink" Target="https://ref.ly/Num14:36-Num14:37" TargetMode="External"/><Relationship Id="rId6387" Type="http://schemas.openxmlformats.org/officeDocument/2006/relationships/hyperlink" Target="https://ref.ly/2Sam2:1" TargetMode="External"/><Relationship Id="rId6388" Type="http://schemas.openxmlformats.org/officeDocument/2006/relationships/hyperlink" Target="https://ref.ly/2Sam15:7-2Sam15:12" TargetMode="External"/><Relationship Id="rId6389" Type="http://schemas.openxmlformats.org/officeDocument/2006/relationships/hyperlink" Target="https://ref.ly/2Chr11:1-2Chr11:12" TargetMode="External"/><Relationship Id="rId6390" Type="http://schemas.openxmlformats.org/officeDocument/2006/relationships/hyperlink" Target="https://ref.ly/Josh19:28" TargetMode="External"/><Relationship Id="rId6391" Type="http://schemas.openxmlformats.org/officeDocument/2006/relationships/hyperlink" Target="https://ref.ly/Gen41:45,Gen41:50" TargetMode="External"/><Relationship Id="rId6392" Type="http://schemas.openxmlformats.org/officeDocument/2006/relationships/hyperlink" Target="https://ref.ly/Ezek30:17" TargetMode="External"/><Relationship Id="rId6393" Type="http://schemas.openxmlformats.org/officeDocument/2006/relationships/hyperlink" Target="https://ref.ly/Amos1:5" TargetMode="External"/><Relationship Id="rId6394" Type="http://schemas.openxmlformats.org/officeDocument/2006/relationships/hyperlink" Target="https://ref.ly/Jer43:13" TargetMode="External"/><Relationship Id="rId6395" Type="http://schemas.openxmlformats.org/officeDocument/2006/relationships/hyperlink" Target="https://ref.ly/Acts6:1-Acts7:60" TargetMode="External"/><Relationship Id="rId6396" Type="http://schemas.openxmlformats.org/officeDocument/2006/relationships/hyperlink" Target="https://ref.ly/Col1:15-Col1:22" TargetMode="External"/><Relationship Id="rId6397" Type="http://schemas.openxmlformats.org/officeDocument/2006/relationships/hyperlink" Target="https://ref.ly/Acts6:1,Acts6:9" TargetMode="External"/><Relationship Id="rId6398" Type="http://schemas.openxmlformats.org/officeDocument/2006/relationships/hyperlink" Target="https://ref.ly/Acts6:1-Acts6:6" TargetMode="External"/><Relationship Id="rId6399" Type="http://schemas.openxmlformats.org/officeDocument/2006/relationships/hyperlink" Target="https://ref.ly/Gen36:22" TargetMode="External"/><Relationship Id="rId6400" Type="http://schemas.openxmlformats.org/officeDocument/2006/relationships/hyperlink" Target="https://ref.ly/1Chr1:39" TargetMode="External"/><Relationship Id="rId6401" Type="http://schemas.openxmlformats.org/officeDocument/2006/relationships/hyperlink" Target="https://ref.ly/1Chr2:6" TargetMode="External"/><Relationship Id="rId6402" Type="http://schemas.openxmlformats.org/officeDocument/2006/relationships/hyperlink" Target="https://ref.ly/Ps88:1-Ps88:18" TargetMode="External"/><Relationship Id="rId6403" Type="http://schemas.openxmlformats.org/officeDocument/2006/relationships/hyperlink" Target="https://ref.ly/1Chr6:33" TargetMode="External"/><Relationship Id="rId6404" Type="http://schemas.openxmlformats.org/officeDocument/2006/relationships/hyperlink" Target="https://ref.ly/1Chr15:17" TargetMode="External"/><Relationship Id="rId6405" Type="http://schemas.openxmlformats.org/officeDocument/2006/relationships/hyperlink" Target="https://ref.ly/1Chr16:41" TargetMode="External"/><Relationship Id="rId6406" Type="http://schemas.openxmlformats.org/officeDocument/2006/relationships/hyperlink" Target="https://ref.ly/1Chr15:19" TargetMode="External"/><Relationship Id="rId6407" Type="http://schemas.openxmlformats.org/officeDocument/2006/relationships/hyperlink" Target="https://ref.ly/2Chr5:12" TargetMode="External"/><Relationship Id="rId6408" Type="http://schemas.openxmlformats.org/officeDocument/2006/relationships/hyperlink" Target="https://ref.ly/1Chr25:1-1Chr25:6" TargetMode="External"/><Relationship Id="rId6409" Type="http://schemas.openxmlformats.org/officeDocument/2006/relationships/hyperlink" Target="https://ref.ly/2Chr29:14" TargetMode="External"/><Relationship Id="rId6410" Type="http://schemas.openxmlformats.org/officeDocument/2006/relationships/hyperlink" Target="https://ref.ly/2Chr35:15" TargetMode="External"/><Relationship Id="rId6411" Type="http://schemas.openxmlformats.org/officeDocument/2006/relationships/hyperlink" Target="https://ref.ly/Acts7:16" TargetMode="External"/><Relationship Id="rId6412" Type="http://schemas.openxmlformats.org/officeDocument/2006/relationships/hyperlink" Target="https://ref.ly/Num26:5" TargetMode="External"/><Relationship Id="rId6413" Type="http://schemas.openxmlformats.org/officeDocument/2006/relationships/hyperlink" Target="https://ref.ly/Gen4:17,Gen4:19" TargetMode="External"/><Relationship Id="rId6414" Type="http://schemas.openxmlformats.org/officeDocument/2006/relationships/hyperlink" Target="https://ref.ly/Gen5:18-Gen5:24" TargetMode="External"/><Relationship Id="rId6415" Type="http://schemas.openxmlformats.org/officeDocument/2006/relationships/hyperlink" Target="https://ref.ly/1Chr1:3" TargetMode="External"/><Relationship Id="rId6416" Type="http://schemas.openxmlformats.org/officeDocument/2006/relationships/hyperlink" Target="https://ref.ly/Acts24:5" TargetMode="External"/><Relationship Id="rId6417" Type="http://schemas.openxmlformats.org/officeDocument/2006/relationships/hyperlink" Target="https://ref.ly/1Cor11:19" TargetMode="External"/><Relationship Id="rId6418" Type="http://schemas.openxmlformats.org/officeDocument/2006/relationships/hyperlink" Target="https://ref.ly/2Pet2:1" TargetMode="External"/><Relationship Id="rId6419" Type="http://schemas.openxmlformats.org/officeDocument/2006/relationships/hyperlink" Target="https://ref.ly/Acts14:11-Acts14:12" TargetMode="External"/><Relationship Id="rId6420" Type="http://schemas.openxmlformats.org/officeDocument/2006/relationships/hyperlink" Target="https://ref.ly/Rom16:14" TargetMode="External"/><Relationship Id="rId6421" Type="http://schemas.openxmlformats.org/officeDocument/2006/relationships/hyperlink" Target="https://ref.ly/Acts26:1-Acts26:32" TargetMode="External"/><Relationship Id="rId6422" Type="http://schemas.openxmlformats.org/officeDocument/2006/relationships/hyperlink" Target="https://ref.ly/Matt2:22" TargetMode="External"/><Relationship Id="rId6423" Type="http://schemas.openxmlformats.org/officeDocument/2006/relationships/hyperlink" Target="https://ref.ly/Matt14:3-Matt14:12" TargetMode="External"/><Relationship Id="rId6424" Type="http://schemas.openxmlformats.org/officeDocument/2006/relationships/hyperlink" Target="https://ref.ly/Mark6:17-Mark6:29" TargetMode="External"/><Relationship Id="rId6425" Type="http://schemas.openxmlformats.org/officeDocument/2006/relationships/hyperlink" Target="https://ref.ly/Luke3:19-Luke3:20" TargetMode="External"/><Relationship Id="rId6426" Type="http://schemas.openxmlformats.org/officeDocument/2006/relationships/hyperlink" Target="https://ref.ly/Lev18:16" TargetMode="External"/><Relationship Id="rId6427" Type="http://schemas.openxmlformats.org/officeDocument/2006/relationships/hyperlink" Target="https://ref.ly/Lev20:21" TargetMode="External"/><Relationship Id="rId6428" Type="http://schemas.openxmlformats.org/officeDocument/2006/relationships/hyperlink" Target="https://ref.ly/Mark12:19" TargetMode="External"/><Relationship Id="rId6429" Type="http://schemas.openxmlformats.org/officeDocument/2006/relationships/hyperlink" Target="https://ref.ly/Matt14:1-Matt14:2" TargetMode="External"/><Relationship Id="rId6430" Type="http://schemas.openxmlformats.org/officeDocument/2006/relationships/hyperlink" Target="https://ref.ly/Mark6:14-Mark6:16" TargetMode="External"/><Relationship Id="rId6431" Type="http://schemas.openxmlformats.org/officeDocument/2006/relationships/hyperlink" Target="https://ref.ly/Luke9:7-Luke9:9" TargetMode="External"/><Relationship Id="rId6432" Type="http://schemas.openxmlformats.org/officeDocument/2006/relationships/hyperlink" Target="https://ref.ly/Luke13:31-Luke13:33" TargetMode="External"/><Relationship Id="rId6433" Type="http://schemas.openxmlformats.org/officeDocument/2006/relationships/hyperlink" Target="https://ref.ly/Luke23:6-Luke23:12" TargetMode="External"/><Relationship Id="rId6434" Type="http://schemas.openxmlformats.org/officeDocument/2006/relationships/hyperlink" Target="https://ref.ly/Luke13:1" TargetMode="External"/><Relationship Id="rId6435" Type="http://schemas.openxmlformats.org/officeDocument/2006/relationships/hyperlink" Target="https://ref.ly/Matt16:13-Matt16:20" TargetMode="External"/><Relationship Id="rId6436" Type="http://schemas.openxmlformats.org/officeDocument/2006/relationships/hyperlink" Target="https://ref.ly/Mark8:27-Mark8:30" TargetMode="External"/><Relationship Id="rId6437" Type="http://schemas.openxmlformats.org/officeDocument/2006/relationships/hyperlink" Target="https://ref.ly/Acts12:1-Acts12:19" TargetMode="External"/><Relationship Id="rId6438" Type="http://schemas.openxmlformats.org/officeDocument/2006/relationships/hyperlink" Target="https://ref.ly/Mark3:6" TargetMode="External"/><Relationship Id="rId6439" Type="http://schemas.openxmlformats.org/officeDocument/2006/relationships/hyperlink" Target="https://ref.ly/Matt22:16" TargetMode="External"/><Relationship Id="rId6440" Type="http://schemas.openxmlformats.org/officeDocument/2006/relationships/hyperlink" Target="https://ref.ly/Mark12:13" TargetMode="External"/><Relationship Id="rId6441" Type="http://schemas.openxmlformats.org/officeDocument/2006/relationships/hyperlink" Target="https://ref.ly/Mark8:15" TargetMode="External"/><Relationship Id="rId6442" Type="http://schemas.openxmlformats.org/officeDocument/2006/relationships/hyperlink" Target="https://ref.ly/Matt16:6" TargetMode="External"/><Relationship Id="rId6443" Type="http://schemas.openxmlformats.org/officeDocument/2006/relationships/hyperlink" Target="https://ref.ly/Matt16:12" TargetMode="External"/><Relationship Id="rId6444" Type="http://schemas.openxmlformats.org/officeDocument/2006/relationships/hyperlink" Target="https://ref.ly/Gen10:15" TargetMode="External"/><Relationship Id="rId6445" Type="http://schemas.openxmlformats.org/officeDocument/2006/relationships/hyperlink" Target="https://ref.ly/1Chr1:13" TargetMode="External"/><Relationship Id="rId6446" Type="http://schemas.openxmlformats.org/officeDocument/2006/relationships/hyperlink" Target="https://ref.ly/Gen27:46" TargetMode="External"/><Relationship Id="rId6447" Type="http://schemas.openxmlformats.org/officeDocument/2006/relationships/hyperlink" Target="https://ref.ly/Deut20:17" TargetMode="External"/><Relationship Id="rId6448" Type="http://schemas.openxmlformats.org/officeDocument/2006/relationships/hyperlink" Target="https://ref.ly/Josh11:3" TargetMode="External"/><Relationship Id="rId6449" Type="http://schemas.openxmlformats.org/officeDocument/2006/relationships/hyperlink" Target="https://ref.ly/Josh12:8" TargetMode="External"/><Relationship Id="rId6450" Type="http://schemas.openxmlformats.org/officeDocument/2006/relationships/hyperlink" Target="https://ref.ly/1Sam26:6" TargetMode="External"/><Relationship Id="rId6451" Type="http://schemas.openxmlformats.org/officeDocument/2006/relationships/hyperlink" Target="https://ref.ly/2Sam11:1-2Sam12:31" TargetMode="External"/><Relationship Id="rId6452" Type="http://schemas.openxmlformats.org/officeDocument/2006/relationships/hyperlink" Target="https://ref.ly/1Kgs9:20" TargetMode="External"/><Relationship Id="rId6453" Type="http://schemas.openxmlformats.org/officeDocument/2006/relationships/hyperlink" Target="https://ref.ly/1Kgs10:29" TargetMode="External"/><Relationship Id="rId6454" Type="http://schemas.openxmlformats.org/officeDocument/2006/relationships/hyperlink" Target="https://ref.ly/Ezra9:1" TargetMode="External"/><Relationship Id="rId6455" Type="http://schemas.openxmlformats.org/officeDocument/2006/relationships/hyperlink" Target="https://ref.ly/Ezek16:3,Ezek16:45" TargetMode="External"/><Relationship Id="rId6456" Type="http://schemas.openxmlformats.org/officeDocument/2006/relationships/hyperlink" Target="https://ref.ly/Num26:6" TargetMode="External"/><Relationship Id="rId6457" Type="http://schemas.openxmlformats.org/officeDocument/2006/relationships/hyperlink" Target="https://ref.ly/Ruth4:18-Ruth4:19" TargetMode="External"/><Relationship Id="rId6458" Type="http://schemas.openxmlformats.org/officeDocument/2006/relationships/hyperlink" Target="https://ref.ly/1Chr2:5-1Chr2:25" TargetMode="External"/><Relationship Id="rId6459" Type="http://schemas.openxmlformats.org/officeDocument/2006/relationships/hyperlink" Target="https://ref.ly/Matt1:3" TargetMode="External"/><Relationship Id="rId6460" Type="http://schemas.openxmlformats.org/officeDocument/2006/relationships/hyperlink" Target="https://ref.ly/Judg3:3" TargetMode="External"/><Relationship Id="rId6461" Type="http://schemas.openxmlformats.org/officeDocument/2006/relationships/hyperlink" Target="https://ref.ly/2Sam24:7" TargetMode="External"/><Relationship Id="rId6462" Type="http://schemas.openxmlformats.org/officeDocument/2006/relationships/hyperlink" Target="https://ref.ly/Gen36:20" TargetMode="External"/><Relationship Id="rId6463" Type="http://schemas.openxmlformats.org/officeDocument/2006/relationships/hyperlink" Target="https://ref.ly/Gen36:29" TargetMode="External"/><Relationship Id="rId6464" Type="http://schemas.openxmlformats.org/officeDocument/2006/relationships/hyperlink" Target="https://ref.ly/Josh9:7" TargetMode="External"/><Relationship Id="rId6465" Type="http://schemas.openxmlformats.org/officeDocument/2006/relationships/hyperlink" Target="https://ref.ly/Gen37:27-Gen37:28,Gen37:36" TargetMode="External"/><Relationship Id="rId6466" Type="http://schemas.openxmlformats.org/officeDocument/2006/relationships/hyperlink" Target="https://ref.ly/Judg3:3-Judg3:8" TargetMode="External"/><Relationship Id="rId6467" Type="http://schemas.openxmlformats.org/officeDocument/2006/relationships/hyperlink" Target="https://ref.ly/1Kgs9:20-1Kgs9:21" TargetMode="External"/><Relationship Id="rId6468" Type="http://schemas.openxmlformats.org/officeDocument/2006/relationships/hyperlink" Target="https://ref.ly/2Chr8:7" TargetMode="External"/><Relationship Id="rId6469" Type="http://schemas.openxmlformats.org/officeDocument/2006/relationships/hyperlink" Target="https://ref.ly/Dan10:4" TargetMode="External"/><Relationship Id="rId6470" Type="http://schemas.openxmlformats.org/officeDocument/2006/relationships/hyperlink" Target="https://ref.ly/Gen38:1" TargetMode="External"/><Relationship Id="rId6471" Type="http://schemas.openxmlformats.org/officeDocument/2006/relationships/hyperlink" Target="https://ref.ly/Gen38:12" TargetMode="External"/><Relationship Id="rId6472" Type="http://schemas.openxmlformats.org/officeDocument/2006/relationships/hyperlink" Target="https://ref.ly/Gen38:20" TargetMode="External"/><Relationship Id="rId6473" Type="http://schemas.openxmlformats.org/officeDocument/2006/relationships/hyperlink" Target="https://ref.ly/Jas3:15" TargetMode="External"/><Relationship Id="rId6474" Type="http://schemas.openxmlformats.org/officeDocument/2006/relationships/hyperlink" Target="https://ref.ly/Jude1:19" TargetMode="External"/><Relationship Id="rId6475" Type="http://schemas.openxmlformats.org/officeDocument/2006/relationships/hyperlink" Target="https://ref.ly/Rom7:14" TargetMode="External"/><Relationship Id="rId6476" Type="http://schemas.openxmlformats.org/officeDocument/2006/relationships/hyperlink" Target="https://ref.ly/1Cor12:1" TargetMode="External"/><Relationship Id="rId6477" Type="http://schemas.openxmlformats.org/officeDocument/2006/relationships/hyperlink" Target="https://ref.ly/1Pet2:5" TargetMode="External"/><Relationship Id="rId6478" Type="http://schemas.openxmlformats.org/officeDocument/2006/relationships/hyperlink" Target="https://ref.ly/1Cor2:15" TargetMode="External"/><Relationship Id="rId6479" Type="http://schemas.openxmlformats.org/officeDocument/2006/relationships/hyperlink" Target="https://ref.ly/1Cor2:14-1Cor2:15" TargetMode="External"/><Relationship Id="rId6480" Type="http://schemas.openxmlformats.org/officeDocument/2006/relationships/hyperlink" Target="https://ref.ly/1Cor1:21" TargetMode="External"/><Relationship Id="rId6481" Type="http://schemas.openxmlformats.org/officeDocument/2006/relationships/hyperlink" Target="https://ref.ly/1Cor15:44-1Cor15:46" TargetMode="External"/><Relationship Id="rId6482" Type="http://schemas.openxmlformats.org/officeDocument/2006/relationships/hyperlink" Target="https://ref.ly/Rom8:11" TargetMode="External"/><Relationship Id="rId6483" Type="http://schemas.openxmlformats.org/officeDocument/2006/relationships/hyperlink" Target="https://ref.ly/Rom8:19-Rom8:22" TargetMode="External"/><Relationship Id="rId6484" Type="http://schemas.openxmlformats.org/officeDocument/2006/relationships/hyperlink" Target="https://ref.ly/Num20:23" TargetMode="External"/><Relationship Id="rId6485" Type="http://schemas.openxmlformats.org/officeDocument/2006/relationships/hyperlink" Target="https://ref.ly/Num20:22" TargetMode="External"/><Relationship Id="rId6486" Type="http://schemas.openxmlformats.org/officeDocument/2006/relationships/hyperlink" Target="https://ref.ly/Deut2:14" TargetMode="External"/><Relationship Id="rId6487" Type="http://schemas.openxmlformats.org/officeDocument/2006/relationships/hyperlink" Target="https://ref.ly/Num20:7-Num20:13,Num20:24" TargetMode="External"/><Relationship Id="rId6488" Type="http://schemas.openxmlformats.org/officeDocument/2006/relationships/hyperlink" Target="https://ref.ly/Num20:25-Num20:29" TargetMode="External"/><Relationship Id="rId6489" Type="http://schemas.openxmlformats.org/officeDocument/2006/relationships/hyperlink" Target="https://ref.ly/Deut32:49-Deut32:51" TargetMode="External"/><Relationship Id="rId6490" Type="http://schemas.openxmlformats.org/officeDocument/2006/relationships/hyperlink" Target="https://ref.ly/Deut10:6" TargetMode="External"/><Relationship Id="rId6491" Type="http://schemas.openxmlformats.org/officeDocument/2006/relationships/hyperlink" Target="https://ref.ly/Num33:30-Num33:31" TargetMode="External"/><Relationship Id="rId6492" Type="http://schemas.openxmlformats.org/officeDocument/2006/relationships/hyperlink" Target="https://ref.ly/Gen49:26" TargetMode="External"/><Relationship Id="rId6493" Type="http://schemas.openxmlformats.org/officeDocument/2006/relationships/hyperlink" Target="https://ref.ly/Num13:5" TargetMode="External"/><Relationship Id="rId6494" Type="http://schemas.openxmlformats.org/officeDocument/2006/relationships/hyperlink" Target="https://ref.ly/Gen36:29-Gen36:30" TargetMode="External"/><Relationship Id="rId6495" Type="http://schemas.openxmlformats.org/officeDocument/2006/relationships/hyperlink" Target="https://ref.ly/Deut2:12,Deut2:22" TargetMode="External"/><Relationship Id="rId6496" Type="http://schemas.openxmlformats.org/officeDocument/2006/relationships/hyperlink" Target="https://ref.ly/Gen36:20-Gen36:30" TargetMode="External"/><Relationship Id="rId6497" Type="http://schemas.openxmlformats.org/officeDocument/2006/relationships/hyperlink" Target="https://ref.ly/Isa17:9" TargetMode="External"/><Relationship Id="rId6498" Type="http://schemas.openxmlformats.org/officeDocument/2006/relationships/hyperlink" Target="https://ref.ly/Ps118:25" TargetMode="External"/><Relationship Id="rId6499" Type="http://schemas.openxmlformats.org/officeDocument/2006/relationships/hyperlink" Target="https://ref.ly/Ps118:1-Ps118:29" TargetMode="External"/><Relationship Id="rId6500" Type="http://schemas.openxmlformats.org/officeDocument/2006/relationships/hyperlink" Target="https://ref.ly/2Macc10:6-2Macc10:7" TargetMode="External"/><Relationship Id="rId6501" Type="http://schemas.openxmlformats.org/officeDocument/2006/relationships/hyperlink" Target="https://ref.ly/Matt21:9" TargetMode="External"/><Relationship Id="rId6502" Type="http://schemas.openxmlformats.org/officeDocument/2006/relationships/hyperlink" Target="https://ref.ly/Mark11:9-Mark11:10" TargetMode="External"/><Relationship Id="rId6503" Type="http://schemas.openxmlformats.org/officeDocument/2006/relationships/hyperlink" Target="https://ref.ly/John12:13" TargetMode="External"/><Relationship Id="rId6504" Type="http://schemas.openxmlformats.org/officeDocument/2006/relationships/hyperlink" Target="https://ref.ly/Ps118:26" TargetMode="External"/><Relationship Id="rId6505" Type="http://schemas.openxmlformats.org/officeDocument/2006/relationships/hyperlink" Target="https://ref.ly/2Kgs18:17" TargetMode="External"/><Relationship Id="rId6506" Type="http://schemas.openxmlformats.org/officeDocument/2006/relationships/hyperlink" Target="https://ref.ly/Deut4:19" TargetMode="External"/><Relationship Id="rId6507" Type="http://schemas.openxmlformats.org/officeDocument/2006/relationships/hyperlink" Target="https://ref.ly/Judg5:20" TargetMode="External"/><Relationship Id="rId6508" Type="http://schemas.openxmlformats.org/officeDocument/2006/relationships/hyperlink" Target="https://ref.ly/Jer19:13" TargetMode="External"/><Relationship Id="rId6509" Type="http://schemas.openxmlformats.org/officeDocument/2006/relationships/hyperlink" Target="https://ref.ly/Acts7:42" TargetMode="External"/><Relationship Id="rId6510" Type="http://schemas.openxmlformats.org/officeDocument/2006/relationships/hyperlink" Target="https://ref.ly/Deut17:3" TargetMode="External"/><Relationship Id="rId6511" Type="http://schemas.openxmlformats.org/officeDocument/2006/relationships/hyperlink" Target="https://ref.ly/2Kgs17:16" TargetMode="External"/><Relationship Id="rId6512" Type="http://schemas.openxmlformats.org/officeDocument/2006/relationships/hyperlink" Target="https://ref.ly/2Kgs21:3-2Kgs21:5" TargetMode="External"/><Relationship Id="rId6513" Type="http://schemas.openxmlformats.org/officeDocument/2006/relationships/hyperlink" Target="https://ref.ly/2Chr33:3-2Chr33:5" TargetMode="External"/><Relationship Id="rId6514" Type="http://schemas.openxmlformats.org/officeDocument/2006/relationships/hyperlink" Target="https://ref.ly/Jer8:2" TargetMode="External"/><Relationship Id="rId6515" Type="http://schemas.openxmlformats.org/officeDocument/2006/relationships/hyperlink" Target="https://ref.ly/Zeph1:5" TargetMode="External"/><Relationship Id="rId6516" Type="http://schemas.openxmlformats.org/officeDocument/2006/relationships/hyperlink" Target="https://ref.ly/Neh9:6" TargetMode="External"/><Relationship Id="rId6517" Type="http://schemas.openxmlformats.org/officeDocument/2006/relationships/hyperlink" Target="https://ref.ly/Ps103:21" TargetMode="External"/><Relationship Id="rId6518" Type="http://schemas.openxmlformats.org/officeDocument/2006/relationships/hyperlink" Target="https://ref.ly/Isa45:12" TargetMode="External"/><Relationship Id="rId6519" Type="http://schemas.openxmlformats.org/officeDocument/2006/relationships/hyperlink" Target="https://ref.ly/Jer5:14" TargetMode="External"/><Relationship Id="rId6520" Type="http://schemas.openxmlformats.org/officeDocument/2006/relationships/hyperlink" Target="https://ref.ly/Jer38:17" TargetMode="External"/><Relationship Id="rId6521" Type="http://schemas.openxmlformats.org/officeDocument/2006/relationships/hyperlink" Target="https://ref.ly/Jer44:7" TargetMode="External"/><Relationship Id="rId6522" Type="http://schemas.openxmlformats.org/officeDocument/2006/relationships/hyperlink" Target="https://ref.ly/Hos12:5" TargetMode="External"/><Relationship Id="rId6523" Type="http://schemas.openxmlformats.org/officeDocument/2006/relationships/hyperlink" Target="https://ref.ly/Job1:6" TargetMode="External"/><Relationship Id="rId6524" Type="http://schemas.openxmlformats.org/officeDocument/2006/relationships/hyperlink" Target="https://ref.ly/Ps82:1-Ps82:8" TargetMode="External"/><Relationship Id="rId6525" Type="http://schemas.openxmlformats.org/officeDocument/2006/relationships/hyperlink" Target="https://ref.ly/Gen28:12-Gen28:15" TargetMode="External"/><Relationship Id="rId6526" Type="http://schemas.openxmlformats.org/officeDocument/2006/relationships/hyperlink" Target="https://ref.ly/Luke2:13" TargetMode="External"/><Relationship Id="rId6527" Type="http://schemas.openxmlformats.org/officeDocument/2006/relationships/hyperlink" Target="https://ref.ly/Dan8:10-Dan8:11" TargetMode="External"/><Relationship Id="rId6528" Type="http://schemas.openxmlformats.org/officeDocument/2006/relationships/hyperlink" Target="https://ref.ly/Rom9:29" TargetMode="External"/><Relationship Id="rId6529" Type="http://schemas.openxmlformats.org/officeDocument/2006/relationships/hyperlink" Target="https://ref.ly/Jas5:4" TargetMode="External"/><Relationship Id="rId6530" Type="http://schemas.openxmlformats.org/officeDocument/2006/relationships/hyperlink" Target="https://ref.ly/Esth2:12" TargetMode="External"/><Relationship Id="rId6531" Type="http://schemas.openxmlformats.org/officeDocument/2006/relationships/hyperlink" Target="https://ref.ly/1Kgs17:12-1Kgs17:16" TargetMode="External"/><Relationship Id="rId6532" Type="http://schemas.openxmlformats.org/officeDocument/2006/relationships/hyperlink" Target="https://ref.ly/Jas5:14" TargetMode="External"/><Relationship Id="rId6533" Type="http://schemas.openxmlformats.org/officeDocument/2006/relationships/hyperlink" Target="https://ref.ly/Isa1:6" TargetMode="External"/><Relationship Id="rId6534" Type="http://schemas.openxmlformats.org/officeDocument/2006/relationships/hyperlink" Target="https://ref.ly/Mark6:13" TargetMode="External"/><Relationship Id="rId6535" Type="http://schemas.openxmlformats.org/officeDocument/2006/relationships/hyperlink" Target="https://ref.ly/Luke10:34" TargetMode="External"/><Relationship Id="rId6536" Type="http://schemas.openxmlformats.org/officeDocument/2006/relationships/hyperlink" Target="https://ref.ly/Isa42:3" TargetMode="External"/><Relationship Id="rId6537" Type="http://schemas.openxmlformats.org/officeDocument/2006/relationships/hyperlink" Target="https://ref.ly/Matt25:1-Matt25:13" TargetMode="External"/><Relationship Id="rId6538" Type="http://schemas.openxmlformats.org/officeDocument/2006/relationships/hyperlink" Target="https://ref.ly/Exod29:7" TargetMode="External"/><Relationship Id="rId6539" Type="http://schemas.openxmlformats.org/officeDocument/2006/relationships/hyperlink" Target="https://ref.ly/1Kgs1:39" TargetMode="External"/><Relationship Id="rId6540" Type="http://schemas.openxmlformats.org/officeDocument/2006/relationships/hyperlink" Target="https://ref.ly/Exod22:29" TargetMode="External"/><Relationship Id="rId6541" Type="http://schemas.openxmlformats.org/officeDocument/2006/relationships/hyperlink" Target="https://ref.ly/Deut12:17" TargetMode="External"/><Relationship Id="rId6542" Type="http://schemas.openxmlformats.org/officeDocument/2006/relationships/hyperlink" Target="https://ref.ly/Lev8:26" TargetMode="External"/><Relationship Id="rId6543" Type="http://schemas.openxmlformats.org/officeDocument/2006/relationships/hyperlink" Target="https://ref.ly/Num7:19" TargetMode="External"/><Relationship Id="rId6544" Type="http://schemas.openxmlformats.org/officeDocument/2006/relationships/hyperlink" Target="https://ref.ly/Lev24:2" TargetMode="External"/><Relationship Id="rId6545" Type="http://schemas.openxmlformats.org/officeDocument/2006/relationships/hyperlink" Target="https://ref.ly/Exod29:40" TargetMode="External"/><Relationship Id="rId6546" Type="http://schemas.openxmlformats.org/officeDocument/2006/relationships/hyperlink" Target="https://ref.ly/Lev5:11" TargetMode="External"/><Relationship Id="rId6547" Type="http://schemas.openxmlformats.org/officeDocument/2006/relationships/hyperlink" Target="https://ref.ly/Num5:15" TargetMode="External"/><Relationship Id="rId6548" Type="http://schemas.openxmlformats.org/officeDocument/2006/relationships/hyperlink" Target="https://ref.ly/Exod27:20" TargetMode="External"/><Relationship Id="rId6549" Type="http://schemas.openxmlformats.org/officeDocument/2006/relationships/hyperlink" Target="https://ref.ly/Joel1:10" TargetMode="External"/><Relationship Id="rId6550" Type="http://schemas.openxmlformats.org/officeDocument/2006/relationships/hyperlink" Target="https://ref.ly/Gen2:15-Gen2:17" TargetMode="External"/><Relationship Id="rId6551" Type="http://schemas.openxmlformats.org/officeDocument/2006/relationships/hyperlink" Target="https://ref.ly/Gen3:1-Gen3:7" TargetMode="External"/><Relationship Id="rId6552" Type="http://schemas.openxmlformats.org/officeDocument/2006/relationships/hyperlink" Target="https://ref.ly/Eph2:1-Eph2:3" TargetMode="External"/><Relationship Id="rId6553" Type="http://schemas.openxmlformats.org/officeDocument/2006/relationships/hyperlink" Target="https://ref.ly/Ezek18:31" TargetMode="External"/><Relationship Id="rId6554" Type="http://schemas.openxmlformats.org/officeDocument/2006/relationships/hyperlink" Target="https://ref.ly/Ezek36:26" TargetMode="External"/><Relationship Id="rId6555" Type="http://schemas.openxmlformats.org/officeDocument/2006/relationships/hyperlink" Target="https://ref.ly/Rom6:5-Rom6:11" TargetMode="External"/><Relationship Id="rId6556" Type="http://schemas.openxmlformats.org/officeDocument/2006/relationships/hyperlink" Target="https://ref.ly/Eph4:22-Eph4:24" TargetMode="External"/><Relationship Id="rId6557" Type="http://schemas.openxmlformats.org/officeDocument/2006/relationships/hyperlink" Target="https://ref.ly/John3:6" TargetMode="External"/><Relationship Id="rId6558" Type="http://schemas.openxmlformats.org/officeDocument/2006/relationships/hyperlink" Target="https://ref.ly/Eph2:8" TargetMode="External"/><Relationship Id="rId6559" Type="http://schemas.openxmlformats.org/officeDocument/2006/relationships/hyperlink" Target="https://ref.ly/1Cor15:42-1Cor15:45" TargetMode="External"/><Relationship Id="rId6560" Type="http://schemas.openxmlformats.org/officeDocument/2006/relationships/hyperlink" Target="https://ref.ly/Rev21:5" TargetMode="External"/><Relationship Id="rId6561" Type="http://schemas.openxmlformats.org/officeDocument/2006/relationships/hyperlink" Target="https://ref.ly/1Sam2:7" TargetMode="External"/><Relationship Id="rId6562" Type="http://schemas.openxmlformats.org/officeDocument/2006/relationships/hyperlink" Target="https://ref.ly/2Sam22:28" TargetMode="External"/><Relationship Id="rId6563" Type="http://schemas.openxmlformats.org/officeDocument/2006/relationships/hyperlink" Target="https://ref.ly/Deut7:7-Deut7:8" TargetMode="External"/><Relationship Id="rId6564" Type="http://schemas.openxmlformats.org/officeDocument/2006/relationships/hyperlink" Target="https://ref.ly/Jer9:23-Jer9:24" TargetMode="External"/><Relationship Id="rId6565" Type="http://schemas.openxmlformats.org/officeDocument/2006/relationships/hyperlink" Target="https://ref.ly/Exod23:6,Exod23:11" TargetMode="External"/><Relationship Id="rId6566" Type="http://schemas.openxmlformats.org/officeDocument/2006/relationships/hyperlink" Target="https://ref.ly/Deut15:4,Deut15:7" TargetMode="External"/><Relationship Id="rId6567" Type="http://schemas.openxmlformats.org/officeDocument/2006/relationships/hyperlink" Target="https://ref.ly/Ps22:26" TargetMode="External"/><Relationship Id="rId6568" Type="http://schemas.openxmlformats.org/officeDocument/2006/relationships/hyperlink" Target="https://ref.ly/Ps25:9" TargetMode="External"/><Relationship Id="rId6569" Type="http://schemas.openxmlformats.org/officeDocument/2006/relationships/hyperlink" Target="https://ref.ly/Ps147:6" TargetMode="External"/><Relationship Id="rId6570" Type="http://schemas.openxmlformats.org/officeDocument/2006/relationships/hyperlink" Target="https://ref.ly/Isa6:5" TargetMode="External"/><Relationship Id="rId6571" Type="http://schemas.openxmlformats.org/officeDocument/2006/relationships/hyperlink" Target="https://ref.ly/Matt21:4-Matt21:5" TargetMode="External"/><Relationship Id="rId6572" Type="http://schemas.openxmlformats.org/officeDocument/2006/relationships/hyperlink" Target="https://ref.ly/Phil2:5-Phil2:8" TargetMode="External"/><Relationship Id="rId6573" Type="http://schemas.openxmlformats.org/officeDocument/2006/relationships/hyperlink" Target="https://ref.ly/Luke14:11" TargetMode="External"/><Relationship Id="rId6574" Type="http://schemas.openxmlformats.org/officeDocument/2006/relationships/hyperlink" Target="https://ref.ly/Matt23:12" TargetMode="External"/><Relationship Id="rId6575" Type="http://schemas.openxmlformats.org/officeDocument/2006/relationships/hyperlink" Target="https://ref.ly/Luke22:27" TargetMode="External"/><Relationship Id="rId6576" Type="http://schemas.openxmlformats.org/officeDocument/2006/relationships/hyperlink" Target="https://ref.ly/John5:19" TargetMode="External"/><Relationship Id="rId6577" Type="http://schemas.openxmlformats.org/officeDocument/2006/relationships/hyperlink" Target="https://ref.ly/John6:38" TargetMode="External"/><Relationship Id="rId6578" Type="http://schemas.openxmlformats.org/officeDocument/2006/relationships/hyperlink" Target="https://ref.ly/John7:15" TargetMode="External"/><Relationship Id="rId6579" Type="http://schemas.openxmlformats.org/officeDocument/2006/relationships/hyperlink" Target="https://ref.ly/John8:28,John8:50" TargetMode="External"/><Relationship Id="rId6580" Type="http://schemas.openxmlformats.org/officeDocument/2006/relationships/hyperlink" Target="https://ref.ly/John14:10,John14:24" TargetMode="External"/><Relationship Id="rId6581" Type="http://schemas.openxmlformats.org/officeDocument/2006/relationships/hyperlink" Target="https://ref.ly/John13:1-John13:20" TargetMode="External"/><Relationship Id="rId6582" Type="http://schemas.openxmlformats.org/officeDocument/2006/relationships/hyperlink" Target="https://ref.ly/Rom12:10" TargetMode="External"/><Relationship Id="rId6583" Type="http://schemas.openxmlformats.org/officeDocument/2006/relationships/hyperlink" Target="https://ref.ly/Rom13:8-Rom13:10" TargetMode="External"/><Relationship Id="rId6584" Type="http://schemas.openxmlformats.org/officeDocument/2006/relationships/hyperlink" Target="https://ref.ly/Num26:39" TargetMode="External"/><Relationship Id="rId6585" Type="http://schemas.openxmlformats.org/officeDocument/2006/relationships/hyperlink" Target="https://ref.ly/1Chr7:12,1Chr7:15" TargetMode="External"/><Relationship Id="rId6586" Type="http://schemas.openxmlformats.org/officeDocument/2006/relationships/hyperlink" Target="https://ref.ly/1Chr8:5" TargetMode="External"/><Relationship Id="rId6587" Type="http://schemas.openxmlformats.org/officeDocument/2006/relationships/hyperlink" Target="https://ref.ly/Gen36:34-Gen36:35" TargetMode="External"/><Relationship Id="rId6588" Type="http://schemas.openxmlformats.org/officeDocument/2006/relationships/hyperlink" Target="https://ref.ly/1Chr1:45-1Chr1:46" TargetMode="External"/><Relationship Id="rId6589" Type="http://schemas.openxmlformats.org/officeDocument/2006/relationships/hyperlink" Target="https://ref.ly/Num26:42" TargetMode="External"/><Relationship Id="rId6590" Type="http://schemas.openxmlformats.org/officeDocument/2006/relationships/hyperlink" Target="https://ref.ly/1Chr8:8-1Chr8:11" TargetMode="External"/><Relationship Id="rId6591" Type="http://schemas.openxmlformats.org/officeDocument/2006/relationships/hyperlink" Target="https://ref.ly/Matt23:28" TargetMode="External"/><Relationship Id="rId6592" Type="http://schemas.openxmlformats.org/officeDocument/2006/relationships/hyperlink" Target="https://ref.ly/Mark12:15" TargetMode="External"/><Relationship Id="rId6593" Type="http://schemas.openxmlformats.org/officeDocument/2006/relationships/hyperlink" Target="https://ref.ly/Luke12:1" TargetMode="External"/><Relationship Id="rId6594" Type="http://schemas.openxmlformats.org/officeDocument/2006/relationships/hyperlink" Target="https://ref.ly/Matt7:5" TargetMode="External"/><Relationship Id="rId6595" Type="http://schemas.openxmlformats.org/officeDocument/2006/relationships/hyperlink" Target="https://ref.ly/Matt24:51" TargetMode="External"/><Relationship Id="rId6596" Type="http://schemas.openxmlformats.org/officeDocument/2006/relationships/hyperlink" Target="https://ref.ly/Luke6:42" TargetMode="External"/><Relationship Id="rId6597" Type="http://schemas.openxmlformats.org/officeDocument/2006/relationships/hyperlink" Target="https://ref.ly/Luke13:15" TargetMode="External"/><Relationship Id="rId6598" Type="http://schemas.openxmlformats.org/officeDocument/2006/relationships/hyperlink" Target="https://ref.ly/Luke11:38,Luke11:42" TargetMode="External"/><Relationship Id="rId6599" Type="http://schemas.openxmlformats.org/officeDocument/2006/relationships/hyperlink" Target="https://ref.ly/Mark7:1-Mark7:13" TargetMode="External"/><Relationship Id="rId6600" Type="http://schemas.openxmlformats.org/officeDocument/2006/relationships/hyperlink" Target="https://ref.ly/Luke11:39" TargetMode="External"/><Relationship Id="rId6601" Type="http://schemas.openxmlformats.org/officeDocument/2006/relationships/hyperlink" Target="https://ref.ly/Matt23:2-Matt23:7" TargetMode="External"/><Relationship Id="rId6602" Type="http://schemas.openxmlformats.org/officeDocument/2006/relationships/hyperlink" Target="https://ref.ly/Luke16:15" TargetMode="External"/><Relationship Id="rId6603" Type="http://schemas.openxmlformats.org/officeDocument/2006/relationships/hyperlink" Target="https://ref.ly/Luke11:52" TargetMode="External"/><Relationship Id="rId6604" Type="http://schemas.openxmlformats.org/officeDocument/2006/relationships/hyperlink" Target="https://ref.ly/Matt23:13" TargetMode="External"/><Relationship Id="rId6605" Type="http://schemas.openxmlformats.org/officeDocument/2006/relationships/hyperlink" Target="https://ref.ly/Acts13:51" TargetMode="External"/><Relationship Id="rId6606" Type="http://schemas.openxmlformats.org/officeDocument/2006/relationships/hyperlink" Target="https://ref.ly/Acts14:1-Acts14:7" TargetMode="External"/><Relationship Id="rId6607" Type="http://schemas.openxmlformats.org/officeDocument/2006/relationships/hyperlink" Target="https://ref.ly/2Tim3:11" TargetMode="External"/><Relationship Id="rId6608" Type="http://schemas.openxmlformats.org/officeDocument/2006/relationships/hyperlink" Target="https://ref.ly/Acts14:20-Acts14:23" TargetMode="External"/><Relationship Id="rId6609" Type="http://schemas.openxmlformats.org/officeDocument/2006/relationships/hyperlink" Target="https://ref.ly/Acts16:1-Acts16:2" TargetMode="External"/><Relationship Id="rId6610" Type="http://schemas.openxmlformats.org/officeDocument/2006/relationships/hyperlink" Target="https://ref.ly/1Kgs18:26-1Kgs18:29" TargetMode="External"/><Relationship Id="rId6611" Type="http://schemas.openxmlformats.org/officeDocument/2006/relationships/hyperlink" Target="https://ref.ly/Josh24:2" TargetMode="External"/><Relationship Id="rId6612" Type="http://schemas.openxmlformats.org/officeDocument/2006/relationships/hyperlink" Target="https://ref.ly/Exod32:1-Exod32:6" TargetMode="External"/><Relationship Id="rId6613" Type="http://schemas.openxmlformats.org/officeDocument/2006/relationships/hyperlink" Target="https://ref.ly/1Kgs11:40" TargetMode="External"/><Relationship Id="rId6614" Type="http://schemas.openxmlformats.org/officeDocument/2006/relationships/hyperlink" Target="https://ref.ly/1Kgs12:26-1Kgs12:33" TargetMode="External"/><Relationship Id="rId6615" Type="http://schemas.openxmlformats.org/officeDocument/2006/relationships/hyperlink" Target="https://ref.ly/2Kgs3:3" TargetMode="External"/><Relationship Id="rId6616" Type="http://schemas.openxmlformats.org/officeDocument/2006/relationships/hyperlink" Target="https://ref.ly/Gen31:34" TargetMode="External"/><Relationship Id="rId6617" Type="http://schemas.openxmlformats.org/officeDocument/2006/relationships/hyperlink" Target="https://ref.ly/1Sam19:11-1Sam19:16" TargetMode="External"/><Relationship Id="rId6618" Type="http://schemas.openxmlformats.org/officeDocument/2006/relationships/hyperlink" Target="https://ref.ly/Exod34:17" TargetMode="External"/><Relationship Id="rId6619" Type="http://schemas.openxmlformats.org/officeDocument/2006/relationships/hyperlink" Target="https://ref.ly/Lev26:1" TargetMode="External"/><Relationship Id="rId6620" Type="http://schemas.openxmlformats.org/officeDocument/2006/relationships/hyperlink" Target="https://ref.ly/Deut4:15-Deut4:19" TargetMode="External"/><Relationship Id="rId6621" Type="http://schemas.openxmlformats.org/officeDocument/2006/relationships/hyperlink" Target="https://ref.ly/Deut27:1-Deut27:5" TargetMode="External"/><Relationship Id="rId6622" Type="http://schemas.openxmlformats.org/officeDocument/2006/relationships/hyperlink" Target="https://ref.ly/Exod34:16" TargetMode="External"/><Relationship Id="rId6623" Type="http://schemas.openxmlformats.org/officeDocument/2006/relationships/hyperlink" Target="https://ref.ly/1Cor15:33" TargetMode="External"/><Relationship Id="rId6624" Type="http://schemas.openxmlformats.org/officeDocument/2006/relationships/hyperlink" Target="https://ref.ly/2Cor6:14" TargetMode="External"/><Relationship Id="rId6625" Type="http://schemas.openxmlformats.org/officeDocument/2006/relationships/hyperlink" Target="https://ref.ly/1Kgs11:1-1Kgs11:8" TargetMode="External"/><Relationship Id="rId6626" Type="http://schemas.openxmlformats.org/officeDocument/2006/relationships/hyperlink" Target="https://ref.ly/1Kgs11:4" TargetMode="External"/><Relationship Id="rId6627" Type="http://schemas.openxmlformats.org/officeDocument/2006/relationships/hyperlink" Target="https://ref.ly/Judg17:1-Judg18:31" TargetMode="External"/><Relationship Id="rId6628" Type="http://schemas.openxmlformats.org/officeDocument/2006/relationships/hyperlink" Target="https://ref.ly/Judg18:30-Judg18:31" TargetMode="External"/><Relationship Id="rId6629" Type="http://schemas.openxmlformats.org/officeDocument/2006/relationships/hyperlink" Target="https://ref.ly/1Kgs15:12" TargetMode="External"/><Relationship Id="rId6630" Type="http://schemas.openxmlformats.org/officeDocument/2006/relationships/hyperlink" Target="https://ref.ly/1Kgs15:13" TargetMode="External"/><Relationship Id="rId6631" Type="http://schemas.openxmlformats.org/officeDocument/2006/relationships/hyperlink" Target="https://ref.ly/1Kgs21:26" TargetMode="External"/><Relationship Id="rId6632" Type="http://schemas.openxmlformats.org/officeDocument/2006/relationships/hyperlink" Target="https://ref.ly/2Kgs18:4" TargetMode="External"/><Relationship Id="rId6633" Type="http://schemas.openxmlformats.org/officeDocument/2006/relationships/hyperlink" Target="https://ref.ly/2Chr31:1" TargetMode="External"/><Relationship Id="rId6634" Type="http://schemas.openxmlformats.org/officeDocument/2006/relationships/hyperlink" Target="https://ref.ly/Num21:9" TargetMode="External"/><Relationship Id="rId6635" Type="http://schemas.openxmlformats.org/officeDocument/2006/relationships/hyperlink" Target="https://ref.ly/Isa40:19-Isa40:20" TargetMode="External"/><Relationship Id="rId6636" Type="http://schemas.openxmlformats.org/officeDocument/2006/relationships/hyperlink" Target="https://ref.ly/Isa44:9-Isa44:17" TargetMode="External"/><Relationship Id="rId6637" Type="http://schemas.openxmlformats.org/officeDocument/2006/relationships/hyperlink" Target="https://ref.ly/Isa40:19" TargetMode="External"/><Relationship Id="rId6638" Type="http://schemas.openxmlformats.org/officeDocument/2006/relationships/hyperlink" Target="https://ref.ly/Isa44:10" TargetMode="External"/><Relationship Id="rId6639" Type="http://schemas.openxmlformats.org/officeDocument/2006/relationships/hyperlink" Target="https://ref.ly/Isa44:13-Isa44:17" TargetMode="External"/><Relationship Id="rId6640" Type="http://schemas.openxmlformats.org/officeDocument/2006/relationships/hyperlink" Target="https://ref.ly/Ps96:5" TargetMode="External"/><Relationship Id="rId6641" Type="http://schemas.openxmlformats.org/officeDocument/2006/relationships/hyperlink" Target="https://ref.ly/Ps97:7" TargetMode="External"/><Relationship Id="rId6642" Type="http://schemas.openxmlformats.org/officeDocument/2006/relationships/hyperlink" Target="https://ref.ly/Ps106:34-Ps106:39" TargetMode="External"/><Relationship Id="rId6643" Type="http://schemas.openxmlformats.org/officeDocument/2006/relationships/hyperlink" Target="https://ref.ly/Ps115:4-Ps115:8" TargetMode="External"/><Relationship Id="rId6644" Type="http://schemas.openxmlformats.org/officeDocument/2006/relationships/hyperlink" Target="https://ref.ly/Ps135:15-Ps135:18" TargetMode="External"/><Relationship Id="rId6645" Type="http://schemas.openxmlformats.org/officeDocument/2006/relationships/hyperlink" Target="https://ref.ly/1Cor5:10-1Cor5:11,1Cor5:6,1Cor5:10" TargetMode="External"/><Relationship Id="rId6646" Type="http://schemas.openxmlformats.org/officeDocument/2006/relationships/hyperlink" Target="https://ref.ly/1Cor10:14" TargetMode="External"/><Relationship Id="rId6647" Type="http://schemas.openxmlformats.org/officeDocument/2006/relationships/hyperlink" Target="https://ref.ly/1Cor10:19" TargetMode="External"/><Relationship Id="rId6648" Type="http://schemas.openxmlformats.org/officeDocument/2006/relationships/hyperlink" Target="https://ref.ly/1Cor12:2" TargetMode="External"/><Relationship Id="rId6649" Type="http://schemas.openxmlformats.org/officeDocument/2006/relationships/hyperlink" Target="https://ref.ly/1Cor8:1,1Cor8:4,1Cor8:7" TargetMode="External"/><Relationship Id="rId6650" Type="http://schemas.openxmlformats.org/officeDocument/2006/relationships/hyperlink" Target="https://ref.ly/1Thess1:9" TargetMode="External"/><Relationship Id="rId6651" Type="http://schemas.openxmlformats.org/officeDocument/2006/relationships/hyperlink" Target="https://ref.ly/1Cor10:20" TargetMode="External"/><Relationship Id="rId6652" Type="http://schemas.openxmlformats.org/officeDocument/2006/relationships/hyperlink" Target="https://ref.ly/1Cor10:19-1Cor10:21" TargetMode="External"/><Relationship Id="rId6653" Type="http://schemas.openxmlformats.org/officeDocument/2006/relationships/hyperlink" Target="https://ref.ly/1Cor10:25-1Cor10:29" TargetMode="External"/><Relationship Id="rId6654" Type="http://schemas.openxmlformats.org/officeDocument/2006/relationships/hyperlink" Target="https://ref.ly/Exod32:6" TargetMode="External"/><Relationship Id="rId6655" Type="http://schemas.openxmlformats.org/officeDocument/2006/relationships/hyperlink" Target="https://ref.ly/1Cor10:1-1Cor10:33" TargetMode="External"/><Relationship Id="rId6656" Type="http://schemas.openxmlformats.org/officeDocument/2006/relationships/hyperlink" Target="https://ref.ly/Gal5:19-Gal5:20" TargetMode="External"/><Relationship Id="rId6657" Type="http://schemas.openxmlformats.org/officeDocument/2006/relationships/hyperlink" Target="https://ref.ly/Eph5:5" TargetMode="External"/><Relationship Id="rId6658" Type="http://schemas.openxmlformats.org/officeDocument/2006/relationships/hyperlink" Target="https://ref.ly/1Macc4:15,1Macc4:22,1Macc4:61" TargetMode="External"/><Relationship Id="rId6659" Type="http://schemas.openxmlformats.org/officeDocument/2006/relationships/hyperlink" Target="https://ref.ly/1Macc5:65" TargetMode="External"/><Relationship Id="rId6660" Type="http://schemas.openxmlformats.org/officeDocument/2006/relationships/hyperlink" Target="https://ref.ly/Gen27:1-Gen27:45" TargetMode="External"/><Relationship Id="rId6661" Type="http://schemas.openxmlformats.org/officeDocument/2006/relationships/hyperlink" Target="https://ref.ly/Rom15:19" TargetMode="External"/><Relationship Id="rId6662" Type="http://schemas.openxmlformats.org/officeDocument/2006/relationships/hyperlink" Target="https://ref.ly/Acts20:1-Acts20:2" TargetMode="External"/><Relationship Id="rId6663" Type="http://schemas.openxmlformats.org/officeDocument/2006/relationships/hyperlink" Target="https://ref.ly/Rom15:28" TargetMode="External"/><Relationship Id="rId6664" Type="http://schemas.openxmlformats.org/officeDocument/2006/relationships/hyperlink" Target="https://ref.ly/Gen9:6" TargetMode="External"/><Relationship Id="rId6665" Type="http://schemas.openxmlformats.org/officeDocument/2006/relationships/hyperlink" Target="https://ref.ly/1Cor11:7" TargetMode="External"/><Relationship Id="rId6666" Type="http://schemas.openxmlformats.org/officeDocument/2006/relationships/hyperlink" Target="https://ref.ly/Jas3:9" TargetMode="External"/><Relationship Id="rId6667" Type="http://schemas.openxmlformats.org/officeDocument/2006/relationships/hyperlink" Target="https://ref.ly/Col3:10" TargetMode="External"/><Relationship Id="rId6668" Type="http://schemas.openxmlformats.org/officeDocument/2006/relationships/hyperlink" Target="https://ref.ly/Acts17:28-Acts17:29" TargetMode="External"/><Relationship Id="rId6669" Type="http://schemas.openxmlformats.org/officeDocument/2006/relationships/hyperlink" Target="https://ref.ly/2Cor4:4" TargetMode="External"/><Relationship Id="rId6670" Type="http://schemas.openxmlformats.org/officeDocument/2006/relationships/hyperlink" Target="https://ref.ly/Col1:15" TargetMode="External"/><Relationship Id="rId6671" Type="http://schemas.openxmlformats.org/officeDocument/2006/relationships/hyperlink" Target="https://ref.ly/John14:9" TargetMode="External"/><Relationship Id="rId6672" Type="http://schemas.openxmlformats.org/officeDocument/2006/relationships/hyperlink" Target="https://ref.ly/Gal3:27" TargetMode="External"/><Relationship Id="rId6673" Type="http://schemas.openxmlformats.org/officeDocument/2006/relationships/hyperlink" Target="https://ref.ly/Gal4:19" TargetMode="External"/><Relationship Id="rId6674" Type="http://schemas.openxmlformats.org/officeDocument/2006/relationships/hyperlink" Target="https://ref.ly/Phil3:21" TargetMode="External"/><Relationship Id="rId6675" Type="http://schemas.openxmlformats.org/officeDocument/2006/relationships/hyperlink" Target="https://ref.ly/Gen49:15" TargetMode="External"/><Relationship Id="rId6676" Type="http://schemas.openxmlformats.org/officeDocument/2006/relationships/hyperlink" Target="https://ref.ly/Num31:28" TargetMode="External"/><Relationship Id="rId6677" Type="http://schemas.openxmlformats.org/officeDocument/2006/relationships/hyperlink" Target="https://ref.ly/Deut16:10" TargetMode="External"/><Relationship Id="rId6678" Type="http://schemas.openxmlformats.org/officeDocument/2006/relationships/hyperlink" Target="https://ref.ly/Gen41:25-Gen42:5" TargetMode="External"/><Relationship Id="rId6679" Type="http://schemas.openxmlformats.org/officeDocument/2006/relationships/hyperlink" Target="https://ref.ly/2Sam8:6-2Sam8:14" TargetMode="External"/><Relationship Id="rId6680" Type="http://schemas.openxmlformats.org/officeDocument/2006/relationships/hyperlink" Target="https://ref.ly/2Sam20:24" TargetMode="External"/><Relationship Id="rId6681" Type="http://schemas.openxmlformats.org/officeDocument/2006/relationships/hyperlink" Target="https://ref.ly/1Kgs4:7" TargetMode="External"/><Relationship Id="rId6682" Type="http://schemas.openxmlformats.org/officeDocument/2006/relationships/hyperlink" Target="https://ref.ly/1Kgs5:13" TargetMode="External"/><Relationship Id="rId6683" Type="http://schemas.openxmlformats.org/officeDocument/2006/relationships/hyperlink" Target="https://ref.ly/2Chr8:7-2Chr8:8" TargetMode="External"/><Relationship Id="rId6684" Type="http://schemas.openxmlformats.org/officeDocument/2006/relationships/hyperlink" Target="https://ref.ly/2Chr17:5" TargetMode="External"/><Relationship Id="rId6685" Type="http://schemas.openxmlformats.org/officeDocument/2006/relationships/hyperlink" Target="https://ref.ly/2Chr17:11-2Chr17:12" TargetMode="External"/><Relationship Id="rId6686" Type="http://schemas.openxmlformats.org/officeDocument/2006/relationships/hyperlink" Target="https://ref.ly/2Kgs18:14-2Kgs18:16" TargetMode="External"/><Relationship Id="rId6687" Type="http://schemas.openxmlformats.org/officeDocument/2006/relationships/hyperlink" Target="https://ref.ly/2Kgs23:33" TargetMode="External"/><Relationship Id="rId6688" Type="http://schemas.openxmlformats.org/officeDocument/2006/relationships/hyperlink" Target="https://ref.ly/2Kgs24:13-2Kgs24:16" TargetMode="External"/><Relationship Id="rId6689" Type="http://schemas.openxmlformats.org/officeDocument/2006/relationships/hyperlink" Target="https://ref.ly/Esth10:1" TargetMode="External"/><Relationship Id="rId6690" Type="http://schemas.openxmlformats.org/officeDocument/2006/relationships/hyperlink" Target="https://ref.ly/Ezra7:24" TargetMode="External"/><Relationship Id="rId6691" Type="http://schemas.openxmlformats.org/officeDocument/2006/relationships/hyperlink" Target="https://ref.ly/Neh5:14-Neh5:15" TargetMode="External"/><Relationship Id="rId6692" Type="http://schemas.openxmlformats.org/officeDocument/2006/relationships/hyperlink" Target="https://ref.ly/Ezra6:7-Ezra6:10" TargetMode="External"/><Relationship Id="rId6693" Type="http://schemas.openxmlformats.org/officeDocument/2006/relationships/hyperlink" Target="https://ref.ly/Matt17:25" TargetMode="External"/><Relationship Id="rId6694" Type="http://schemas.openxmlformats.org/officeDocument/2006/relationships/hyperlink" Target="https://ref.ly/Matt22:17" TargetMode="External"/><Relationship Id="rId6695" Type="http://schemas.openxmlformats.org/officeDocument/2006/relationships/hyperlink" Target="https://ref.ly/Mark12:14-Mark12:15" TargetMode="External"/><Relationship Id="rId6696" Type="http://schemas.openxmlformats.org/officeDocument/2006/relationships/hyperlink" Target="https://ref.ly/Luke20:22" TargetMode="External"/><Relationship Id="rId6697" Type="http://schemas.openxmlformats.org/officeDocument/2006/relationships/hyperlink" Target="https://ref.ly/Matt22:21" TargetMode="External"/><Relationship Id="rId6698" Type="http://schemas.openxmlformats.org/officeDocument/2006/relationships/hyperlink" Target="https://ref.ly/Mark12:17" TargetMode="External"/><Relationship Id="rId6699" Type="http://schemas.openxmlformats.org/officeDocument/2006/relationships/hyperlink" Target="https://ref.ly/Luke20:25" TargetMode="External"/><Relationship Id="rId6700" Type="http://schemas.openxmlformats.org/officeDocument/2006/relationships/hyperlink" Target="https://ref.ly/Luke23:2" TargetMode="External"/><Relationship Id="rId6701" Type="http://schemas.openxmlformats.org/officeDocument/2006/relationships/hyperlink" Target="https://ref.ly/Rom13:5-Rom13:7" TargetMode="External"/><Relationship Id="rId6702" Type="http://schemas.openxmlformats.org/officeDocument/2006/relationships/hyperlink" Target="https://ref.ly/1Cor5:1" TargetMode="External"/><Relationship Id="rId6703" Type="http://schemas.openxmlformats.org/officeDocument/2006/relationships/hyperlink" Target="https://ref.ly/1Cor6:13,1Cor6:18" TargetMode="External"/><Relationship Id="rId6704" Type="http://schemas.openxmlformats.org/officeDocument/2006/relationships/hyperlink" Target="https://ref.ly/1Cor7:2" TargetMode="External"/><Relationship Id="rId6705" Type="http://schemas.openxmlformats.org/officeDocument/2006/relationships/hyperlink" Target="https://ref.ly/Matt15:19" TargetMode="External"/><Relationship Id="rId6706" Type="http://schemas.openxmlformats.org/officeDocument/2006/relationships/hyperlink" Target="https://ref.ly/Mark7:21" TargetMode="External"/><Relationship Id="rId6707" Type="http://schemas.openxmlformats.org/officeDocument/2006/relationships/hyperlink" Target="https://ref.ly/Jer2:1-Jer2:37" TargetMode="External"/><Relationship Id="rId6708" Type="http://schemas.openxmlformats.org/officeDocument/2006/relationships/hyperlink" Target="https://ref.ly/Rev14:8" TargetMode="External"/><Relationship Id="rId6709" Type="http://schemas.openxmlformats.org/officeDocument/2006/relationships/hyperlink" Target="https://ref.ly/Rev17:2-Rev17:4" TargetMode="External"/><Relationship Id="rId6710" Type="http://schemas.openxmlformats.org/officeDocument/2006/relationships/hyperlink" Target="https://ref.ly/Rev18:3" TargetMode="External"/><Relationship Id="rId6711" Type="http://schemas.openxmlformats.org/officeDocument/2006/relationships/hyperlink" Target="https://ref.ly/Rev19:2" TargetMode="External"/><Relationship Id="rId6712" Type="http://schemas.openxmlformats.org/officeDocument/2006/relationships/hyperlink" Target="https://ref.ly/Phlm1:18" TargetMode="External"/><Relationship Id="rId6713" Type="http://schemas.openxmlformats.org/officeDocument/2006/relationships/hyperlink" Target="https://ref.ly/Ps32:2" TargetMode="External"/><Relationship Id="rId6714" Type="http://schemas.openxmlformats.org/officeDocument/2006/relationships/hyperlink" Target="https://ref.ly/1Sam22:15" TargetMode="External"/><Relationship Id="rId6715" Type="http://schemas.openxmlformats.org/officeDocument/2006/relationships/hyperlink" Target="https://ref.ly/Ps106:30-Ps106:31" TargetMode="External"/><Relationship Id="rId6716" Type="http://schemas.openxmlformats.org/officeDocument/2006/relationships/hyperlink" Target="https://ref.ly/Lev17:3-Lev17:4" TargetMode="External"/><Relationship Id="rId6717" Type="http://schemas.openxmlformats.org/officeDocument/2006/relationships/hyperlink" Target="https://ref.ly/2Cor5:21" TargetMode="External"/><Relationship Id="rId6718" Type="http://schemas.openxmlformats.org/officeDocument/2006/relationships/hyperlink" Target="https://ref.ly/1Pet2:24" TargetMode="External"/><Relationship Id="rId6719" Type="http://schemas.openxmlformats.org/officeDocument/2006/relationships/hyperlink" Target="https://ref.ly/Matt27:46" TargetMode="External"/><Relationship Id="rId6720" Type="http://schemas.openxmlformats.org/officeDocument/2006/relationships/hyperlink" Target="https://ref.ly/Ps130:3" TargetMode="External"/><Relationship Id="rId6721" Type="http://schemas.openxmlformats.org/officeDocument/2006/relationships/hyperlink" Target="https://ref.ly/Isa64:6" TargetMode="External"/><Relationship Id="rId6722" Type="http://schemas.openxmlformats.org/officeDocument/2006/relationships/hyperlink" Target="https://ref.ly/Rom3:10" TargetMode="External"/><Relationship Id="rId6723" Type="http://schemas.openxmlformats.org/officeDocument/2006/relationships/hyperlink" Target="https://ref.ly/Isa45:24" TargetMode="External"/><Relationship Id="rId6724" Type="http://schemas.openxmlformats.org/officeDocument/2006/relationships/hyperlink" Target="https://ref.ly/Isa54:17" TargetMode="External"/><Relationship Id="rId6725" Type="http://schemas.openxmlformats.org/officeDocument/2006/relationships/hyperlink" Target="https://ref.ly/Hos10:12" TargetMode="External"/><Relationship Id="rId6726" Type="http://schemas.openxmlformats.org/officeDocument/2006/relationships/hyperlink" Target="https://ref.ly/Rom4:6" TargetMode="External"/><Relationship Id="rId6727" Type="http://schemas.openxmlformats.org/officeDocument/2006/relationships/hyperlink" Target="https://ref.ly/Lev20:1-Lev20:27" TargetMode="External"/><Relationship Id="rId6728" Type="http://schemas.openxmlformats.org/officeDocument/2006/relationships/hyperlink" Target="https://ref.ly/Gen19:30-Gen19:38" TargetMode="External"/><Relationship Id="rId6729" Type="http://schemas.openxmlformats.org/officeDocument/2006/relationships/hyperlink" Target="https://ref.ly/2Sam13:1-2Sam13:22" TargetMode="External"/><Relationship Id="rId6730" Type="http://schemas.openxmlformats.org/officeDocument/2006/relationships/hyperlink" Target="https://ref.ly/1Cor5:1-1Cor5:5" TargetMode="External"/><Relationship Id="rId6731" Type="http://schemas.openxmlformats.org/officeDocument/2006/relationships/hyperlink" Target="https://ref.ly/Deut25:5-Deut25:10" TargetMode="External"/><Relationship Id="rId6732" Type="http://schemas.openxmlformats.org/officeDocument/2006/relationships/hyperlink" Target="https://ref.ly/Exod12:48" TargetMode="External"/><Relationship Id="rId6733" Type="http://schemas.openxmlformats.org/officeDocument/2006/relationships/hyperlink" Target="https://ref.ly/Lev12:3" TargetMode="External"/><Relationship Id="rId6734" Type="http://schemas.openxmlformats.org/officeDocument/2006/relationships/hyperlink" Target="https://ref.ly/Rom2:25-Rom2:27" TargetMode="External"/><Relationship Id="rId6735" Type="http://schemas.openxmlformats.org/officeDocument/2006/relationships/hyperlink" Target="https://ref.ly/Rom3:30" TargetMode="External"/><Relationship Id="rId6736" Type="http://schemas.openxmlformats.org/officeDocument/2006/relationships/hyperlink" Target="https://ref.ly/Rom4:9-Rom4:12" TargetMode="External"/><Relationship Id="rId6737" Type="http://schemas.openxmlformats.org/officeDocument/2006/relationships/hyperlink" Target="https://ref.ly/Eph2:11-Eph2:12" TargetMode="External"/><Relationship Id="rId6738" Type="http://schemas.openxmlformats.org/officeDocument/2006/relationships/hyperlink" Target="https://ref.ly/Gal2:7" TargetMode="External"/><Relationship Id="rId6739" Type="http://schemas.openxmlformats.org/officeDocument/2006/relationships/hyperlink" Target="https://ref.ly/Gal5:6" TargetMode="External"/><Relationship Id="rId6740" Type="http://schemas.openxmlformats.org/officeDocument/2006/relationships/hyperlink" Target="https://ref.ly/Col2:8-Col2:15" TargetMode="External"/><Relationship Id="rId6741" Type="http://schemas.openxmlformats.org/officeDocument/2006/relationships/hyperlink" Target="https://ref.ly/Gen2:11" TargetMode="External"/><Relationship Id="rId6742" Type="http://schemas.openxmlformats.org/officeDocument/2006/relationships/hyperlink" Target="https://ref.ly/1Kgs10:11" TargetMode="External"/><Relationship Id="rId6743" Type="http://schemas.openxmlformats.org/officeDocument/2006/relationships/hyperlink" Target="https://ref.ly/2Chr2:8" TargetMode="External"/><Relationship Id="rId6744" Type="http://schemas.openxmlformats.org/officeDocument/2006/relationships/hyperlink" Target="https://ref.ly/Ezek27:15" TargetMode="External"/><Relationship Id="rId6745" Type="http://schemas.openxmlformats.org/officeDocument/2006/relationships/hyperlink" Target="https://ref.ly/1Macc6:37" TargetMode="External"/><Relationship Id="rId6746" Type="http://schemas.openxmlformats.org/officeDocument/2006/relationships/hyperlink" Target="https://ref.ly/1Macc8:8" TargetMode="External"/><Relationship Id="rId6747" Type="http://schemas.openxmlformats.org/officeDocument/2006/relationships/hyperlink" Target="https://ref.ly/1Pet2:22" TargetMode="External"/><Relationship Id="rId6748" Type="http://schemas.openxmlformats.org/officeDocument/2006/relationships/hyperlink" Target="https://ref.ly/Jas5:6" TargetMode="External"/><Relationship Id="rId6749" Type="http://schemas.openxmlformats.org/officeDocument/2006/relationships/hyperlink" Target="https://ref.ly/1John3:5" TargetMode="External"/><Relationship Id="rId6750" Type="http://schemas.openxmlformats.org/officeDocument/2006/relationships/hyperlink" Target="https://ref.ly/John8:46" TargetMode="External"/><Relationship Id="rId6751" Type="http://schemas.openxmlformats.org/officeDocument/2006/relationships/hyperlink" Target="https://ref.ly/Rom10:4" TargetMode="External"/><Relationship Id="rId6752" Type="http://schemas.openxmlformats.org/officeDocument/2006/relationships/hyperlink" Target="https://ref.ly/Matt27:19,Matt27:24" TargetMode="External"/><Relationship Id="rId6753" Type="http://schemas.openxmlformats.org/officeDocument/2006/relationships/hyperlink" Target="https://ref.ly/Matt27:4" TargetMode="External"/><Relationship Id="rId6754" Type="http://schemas.openxmlformats.org/officeDocument/2006/relationships/hyperlink" Target="https://ref.ly/Luke22:28,Luke22:39-Luke22:46" TargetMode="External"/><Relationship Id="rId6755" Type="http://schemas.openxmlformats.org/officeDocument/2006/relationships/hyperlink" Target="https://ref.ly/Heb4:15-Heb4:16" TargetMode="External"/><Relationship Id="rId6756" Type="http://schemas.openxmlformats.org/officeDocument/2006/relationships/hyperlink" Target="https://ref.ly/Exod31:18" TargetMode="External"/><Relationship Id="rId6757" Type="http://schemas.openxmlformats.org/officeDocument/2006/relationships/hyperlink" Target="https://ref.ly/Josh8:32" TargetMode="External"/><Relationship Id="rId6758" Type="http://schemas.openxmlformats.org/officeDocument/2006/relationships/hyperlink" Target="https://ref.ly/Dan5:5,Dan5:24" TargetMode="External"/><Relationship Id="rId6759" Type="http://schemas.openxmlformats.org/officeDocument/2006/relationships/hyperlink" Target="https://ref.ly/Acts17:23" TargetMode="External"/><Relationship Id="rId6760" Type="http://schemas.openxmlformats.org/officeDocument/2006/relationships/hyperlink" Target="https://ref.ly/Rev21:12" TargetMode="External"/><Relationship Id="rId6761" Type="http://schemas.openxmlformats.org/officeDocument/2006/relationships/hyperlink" Target="https://ref.ly/1Kgs16:16-1Kgs16:30" TargetMode="External"/><Relationship Id="rId6762" Type="http://schemas.openxmlformats.org/officeDocument/2006/relationships/hyperlink" Target="https://ref.ly/2Kgs18:1-2Kgs18:37" TargetMode="External"/><Relationship Id="rId6763" Type="http://schemas.openxmlformats.org/officeDocument/2006/relationships/hyperlink" Target="https://ref.ly/Isa36:1-Isa39:8" TargetMode="External"/><Relationship Id="rId6764" Type="http://schemas.openxmlformats.org/officeDocument/2006/relationships/hyperlink" Target="https://ref.ly/Ezra1:2-Ezra1:4" TargetMode="External"/><Relationship Id="rId6765" Type="http://schemas.openxmlformats.org/officeDocument/2006/relationships/hyperlink" Target="https://ref.ly/2Chr12:2-2Chr12:10" TargetMode="External"/><Relationship Id="rId6766" Type="http://schemas.openxmlformats.org/officeDocument/2006/relationships/hyperlink" Target="https://ref.ly/Acts17:6" TargetMode="External"/><Relationship Id="rId6767" Type="http://schemas.openxmlformats.org/officeDocument/2006/relationships/hyperlink" Target="https://ref.ly/Ps150:4" TargetMode="External"/><Relationship Id="rId6768" Type="http://schemas.openxmlformats.org/officeDocument/2006/relationships/hyperlink" Target="https://ref.ly/Ps33:2" TargetMode="External"/><Relationship Id="rId6769" Type="http://schemas.openxmlformats.org/officeDocument/2006/relationships/hyperlink" Target="https://ref.ly/Ps92:3" TargetMode="External"/><Relationship Id="rId6770" Type="http://schemas.openxmlformats.org/officeDocument/2006/relationships/hyperlink" Target="https://ref.ly/Ps144:9" TargetMode="External"/><Relationship Id="rId6771" Type="http://schemas.openxmlformats.org/officeDocument/2006/relationships/hyperlink" Target="https://ref.ly/Dan3:5" TargetMode="External"/><Relationship Id="rId6772" Type="http://schemas.openxmlformats.org/officeDocument/2006/relationships/hyperlink" Target="https://ref.ly/1Sam16:23" TargetMode="External"/><Relationship Id="rId6773" Type="http://schemas.openxmlformats.org/officeDocument/2006/relationships/hyperlink" Target="https://ref.ly/Ps81:2" TargetMode="External"/><Relationship Id="rId6774" Type="http://schemas.openxmlformats.org/officeDocument/2006/relationships/hyperlink" Target="https://ref.ly/1Sam10:5" TargetMode="External"/><Relationship Id="rId6775" Type="http://schemas.openxmlformats.org/officeDocument/2006/relationships/hyperlink" Target="https://ref.ly/Isa5:12" TargetMode="External"/><Relationship Id="rId6776" Type="http://schemas.openxmlformats.org/officeDocument/2006/relationships/hyperlink" Target="https://ref.ly/1Sam16:16" TargetMode="External"/><Relationship Id="rId6777" Type="http://schemas.openxmlformats.org/officeDocument/2006/relationships/hyperlink" Target="https://ref.ly/1Kgs10:12" TargetMode="External"/><Relationship Id="rId6778" Type="http://schemas.openxmlformats.org/officeDocument/2006/relationships/hyperlink" Target="https://ref.ly/Neh12:27" TargetMode="External"/><Relationship Id="rId6779" Type="http://schemas.openxmlformats.org/officeDocument/2006/relationships/hyperlink" Target="https://ref.ly/Ps57:8" TargetMode="External"/><Relationship Id="rId6780" Type="http://schemas.openxmlformats.org/officeDocument/2006/relationships/hyperlink" Target="https://ref.ly/Amos5:23" TargetMode="External"/><Relationship Id="rId6781" Type="http://schemas.openxmlformats.org/officeDocument/2006/relationships/hyperlink" Target="https://ref.ly/Dan3:5-Dan3:15" TargetMode="External"/><Relationship Id="rId6782" Type="http://schemas.openxmlformats.org/officeDocument/2006/relationships/hyperlink" Target="https://ref.ly/Matt9:23" TargetMode="External"/><Relationship Id="rId6783" Type="http://schemas.openxmlformats.org/officeDocument/2006/relationships/hyperlink" Target="https://ref.ly/1Cor14:7" TargetMode="External"/><Relationship Id="rId6784" Type="http://schemas.openxmlformats.org/officeDocument/2006/relationships/hyperlink" Target="https://ref.ly/Rev18:22" TargetMode="External"/><Relationship Id="rId6785" Type="http://schemas.openxmlformats.org/officeDocument/2006/relationships/hyperlink" Target="https://ref.ly/Jer48:36" TargetMode="External"/><Relationship Id="rId6786" Type="http://schemas.openxmlformats.org/officeDocument/2006/relationships/hyperlink" Target="https://ref.ly/Num10:2" TargetMode="External"/><Relationship Id="rId6787" Type="http://schemas.openxmlformats.org/officeDocument/2006/relationships/hyperlink" Target="https://ref.ly/1Chr15:28" TargetMode="External"/><Relationship Id="rId6788" Type="http://schemas.openxmlformats.org/officeDocument/2006/relationships/hyperlink" Target="https://ref.ly/2Chr15:14" TargetMode="External"/><Relationship Id="rId6789" Type="http://schemas.openxmlformats.org/officeDocument/2006/relationships/hyperlink" Target="https://ref.ly/Ps98:6" TargetMode="External"/><Relationship Id="rId6790" Type="http://schemas.openxmlformats.org/officeDocument/2006/relationships/hyperlink" Target="https://ref.ly/Hos5:8" TargetMode="External"/><Relationship Id="rId6791" Type="http://schemas.openxmlformats.org/officeDocument/2006/relationships/hyperlink" Target="https://ref.ly/2Sam6:15" TargetMode="External"/><Relationship Id="rId6792" Type="http://schemas.openxmlformats.org/officeDocument/2006/relationships/hyperlink" Target="https://ref.ly/Ps150:3" TargetMode="External"/><Relationship Id="rId6793" Type="http://schemas.openxmlformats.org/officeDocument/2006/relationships/hyperlink" Target="https://ref.ly/2Sam15:10" TargetMode="External"/><Relationship Id="rId6794" Type="http://schemas.openxmlformats.org/officeDocument/2006/relationships/hyperlink" Target="https://ref.ly/1Kgs1:34" TargetMode="External"/><Relationship Id="rId6795" Type="http://schemas.openxmlformats.org/officeDocument/2006/relationships/hyperlink" Target="https://ref.ly/2Kgs9:13" TargetMode="External"/><Relationship Id="rId6796" Type="http://schemas.openxmlformats.org/officeDocument/2006/relationships/hyperlink" Target="https://ref.ly/Luke15:25" TargetMode="External"/><Relationship Id="rId6797" Type="http://schemas.openxmlformats.org/officeDocument/2006/relationships/hyperlink" Target="https://ref.ly/Gen4:21" TargetMode="External"/><Relationship Id="rId6798" Type="http://schemas.openxmlformats.org/officeDocument/2006/relationships/hyperlink" Target="https://ref.ly/Job21:12" TargetMode="External"/><Relationship Id="rId6799" Type="http://schemas.openxmlformats.org/officeDocument/2006/relationships/hyperlink" Target="https://ref.ly/Job30:31" TargetMode="External"/><Relationship Id="rId6800" Type="http://schemas.openxmlformats.org/officeDocument/2006/relationships/hyperlink" Target="https://ref.ly/Ps150:1-Ps150:6" TargetMode="External"/><Relationship Id="rId6801" Type="http://schemas.openxmlformats.org/officeDocument/2006/relationships/hyperlink" Target="https://ref.ly/Exod28:33-Exod28:34" TargetMode="External"/><Relationship Id="rId6802" Type="http://schemas.openxmlformats.org/officeDocument/2006/relationships/hyperlink" Target="https://ref.ly/Exod39:25-Exod39:26" TargetMode="External"/><Relationship Id="rId6803" Type="http://schemas.openxmlformats.org/officeDocument/2006/relationships/hyperlink" Target="https://ref.ly/1Sam18:6" TargetMode="External"/><Relationship Id="rId6804" Type="http://schemas.openxmlformats.org/officeDocument/2006/relationships/hyperlink" Target="https://ref.ly/1Chr13:8" TargetMode="External"/><Relationship Id="rId6805" Type="http://schemas.openxmlformats.org/officeDocument/2006/relationships/hyperlink" Target="https://ref.ly/Gen42:23" TargetMode="External"/><Relationship Id="rId6806" Type="http://schemas.openxmlformats.org/officeDocument/2006/relationships/hyperlink" Target="https://ref.ly/Gen40:8" TargetMode="External"/><Relationship Id="rId6807" Type="http://schemas.openxmlformats.org/officeDocument/2006/relationships/hyperlink" Target="https://ref.ly/Gen41:15-Gen41:16" TargetMode="External"/><Relationship Id="rId6808" Type="http://schemas.openxmlformats.org/officeDocument/2006/relationships/hyperlink" Target="https://ref.ly/Dan2:1-Dan2:49" TargetMode="External"/><Relationship Id="rId6809" Type="http://schemas.openxmlformats.org/officeDocument/2006/relationships/hyperlink" Target="https://ref.ly/Dan4:6-Dan4:9,Dan4:18-Dan4:24" TargetMode="External"/><Relationship Id="rId6810" Type="http://schemas.openxmlformats.org/officeDocument/2006/relationships/hyperlink" Target="https://ref.ly/Dan4:6-Dan4:9" TargetMode="External"/><Relationship Id="rId6811" Type="http://schemas.openxmlformats.org/officeDocument/2006/relationships/hyperlink" Target="https://ref.ly/Dan5:7-Dan5:8,Dan5:12-Dan5:17" TargetMode="External"/><Relationship Id="rId6812" Type="http://schemas.openxmlformats.org/officeDocument/2006/relationships/hyperlink" Target="https://ref.ly/Dan5:7-Dan5:8" TargetMode="External"/><Relationship Id="rId6813" Type="http://schemas.openxmlformats.org/officeDocument/2006/relationships/hyperlink" Target="https://ref.ly/Dan7:16" TargetMode="External"/><Relationship Id="rId6814" Type="http://schemas.openxmlformats.org/officeDocument/2006/relationships/hyperlink" Target="https://ref.ly/Job33:23" TargetMode="External"/><Relationship Id="rId6815" Type="http://schemas.openxmlformats.org/officeDocument/2006/relationships/hyperlink" Target="https://ref.ly/Neh8:8-Neh8:9" TargetMode="External"/><Relationship Id="rId6816" Type="http://schemas.openxmlformats.org/officeDocument/2006/relationships/hyperlink" Target="https://ref.ly/1Cor14:28" TargetMode="External"/><Relationship Id="rId6817" Type="http://schemas.openxmlformats.org/officeDocument/2006/relationships/hyperlink" Target="https://ref.ly/Acts2:6" TargetMode="External"/><Relationship Id="rId6818" Type="http://schemas.openxmlformats.org/officeDocument/2006/relationships/hyperlink" Target="https://ref.ly/Gen4:18" TargetMode="External"/><Relationship Id="rId6819" Type="http://schemas.openxmlformats.org/officeDocument/2006/relationships/hyperlink" Target="https://ref.ly/Gen36:43" TargetMode="External"/><Relationship Id="rId6820" Type="http://schemas.openxmlformats.org/officeDocument/2006/relationships/hyperlink" Target="https://ref.ly/1Chr1:54" TargetMode="External"/><Relationship Id="rId6821" Type="http://schemas.openxmlformats.org/officeDocument/2006/relationships/hyperlink" Target="https://ref.ly/Gen18:12" TargetMode="External"/><Relationship Id="rId6822" Type="http://schemas.openxmlformats.org/officeDocument/2006/relationships/hyperlink" Target="https://ref.ly/Gen20:12" TargetMode="External"/><Relationship Id="rId6823" Type="http://schemas.openxmlformats.org/officeDocument/2006/relationships/hyperlink" Target="https://ref.ly/Gen25:6" TargetMode="External"/><Relationship Id="rId6824" Type="http://schemas.openxmlformats.org/officeDocument/2006/relationships/hyperlink" Target="https://ref.ly/Gen17:10-Gen17:14" TargetMode="External"/><Relationship Id="rId6825" Type="http://schemas.openxmlformats.org/officeDocument/2006/relationships/hyperlink" Target="https://ref.ly/Gen21:8-Gen21:10" TargetMode="External"/><Relationship Id="rId6826" Type="http://schemas.openxmlformats.org/officeDocument/2006/relationships/hyperlink" Target="https://ref.ly/Gen21:34" TargetMode="External"/><Relationship Id="rId6827" Type="http://schemas.openxmlformats.org/officeDocument/2006/relationships/hyperlink" Target="https://ref.ly/Gen25:11" TargetMode="External"/><Relationship Id="rId6828" Type="http://schemas.openxmlformats.org/officeDocument/2006/relationships/hyperlink" Target="https://ref.ly/Rom4:1-Rom4:25" TargetMode="External"/><Relationship Id="rId6829" Type="http://schemas.openxmlformats.org/officeDocument/2006/relationships/hyperlink" Target="https://ref.ly/Gen25:8-Gen25:9" TargetMode="External"/><Relationship Id="rId6830" Type="http://schemas.openxmlformats.org/officeDocument/2006/relationships/hyperlink" Target="https://ref.ly/Deut21:17" TargetMode="External"/><Relationship Id="rId6831" Type="http://schemas.openxmlformats.org/officeDocument/2006/relationships/hyperlink" Target="https://ref.ly/Gen26:2" TargetMode="External"/><Relationship Id="rId6832" Type="http://schemas.openxmlformats.org/officeDocument/2006/relationships/hyperlink" Target="https://ref.ly/Gen35:27-Gen35:29" TargetMode="External"/><Relationship Id="rId6833" Type="http://schemas.openxmlformats.org/officeDocument/2006/relationships/hyperlink" Target="https://ref.ly/Acts7:8" TargetMode="External"/><Relationship Id="rId6834" Type="http://schemas.openxmlformats.org/officeDocument/2006/relationships/hyperlink" Target="https://ref.ly/Rom9:7" TargetMode="External"/><Relationship Id="rId6835" Type="http://schemas.openxmlformats.org/officeDocument/2006/relationships/hyperlink" Target="https://ref.ly/Gal4:21-Gal4:31" TargetMode="External"/><Relationship Id="rId6836" Type="http://schemas.openxmlformats.org/officeDocument/2006/relationships/hyperlink" Target="https://ref.ly/Heb11:9-Heb11:20" TargetMode="External"/><Relationship Id="rId6837" Type="http://schemas.openxmlformats.org/officeDocument/2006/relationships/hyperlink" Target="https://ref.ly/Isa11:1,Isa11:10" TargetMode="External"/><Relationship Id="rId6838" Type="http://schemas.openxmlformats.org/officeDocument/2006/relationships/hyperlink" Target="https://ref.ly/Matt1:5-Matt1:6" TargetMode="External"/><Relationship Id="rId6839" Type="http://schemas.openxmlformats.org/officeDocument/2006/relationships/hyperlink" Target="https://ref.ly/Luke3:32" TargetMode="External"/><Relationship Id="rId6840" Type="http://schemas.openxmlformats.org/officeDocument/2006/relationships/hyperlink" Target="https://ref.ly/Acts13:22-Acts13:23" TargetMode="External"/><Relationship Id="rId6841" Type="http://schemas.openxmlformats.org/officeDocument/2006/relationships/hyperlink" Target="https://ref.ly/Isa10:33-Isa10:34" TargetMode="External"/><Relationship Id="rId6842" Type="http://schemas.openxmlformats.org/officeDocument/2006/relationships/hyperlink" Target="https://ref.ly/Isa6:13" TargetMode="External"/><Relationship Id="rId6843" Type="http://schemas.openxmlformats.org/officeDocument/2006/relationships/hyperlink" Target="https://ref.ly/Isa53:2" TargetMode="External"/><Relationship Id="rId6844" Type="http://schemas.openxmlformats.org/officeDocument/2006/relationships/hyperlink" Target="https://ref.ly/Jer23:5" TargetMode="External"/><Relationship Id="rId6845" Type="http://schemas.openxmlformats.org/officeDocument/2006/relationships/hyperlink" Target="https://ref.ly/Ezek17:22-Ezek17:23" TargetMode="External"/><Relationship Id="rId6846" Type="http://schemas.openxmlformats.org/officeDocument/2006/relationships/hyperlink" Target="https://ref.ly/Zech3:8" TargetMode="External"/><Relationship Id="rId6847" Type="http://schemas.openxmlformats.org/officeDocument/2006/relationships/hyperlink" Target="https://ref.ly/Zech6:12" TargetMode="External"/><Relationship Id="rId6848" Type="http://schemas.openxmlformats.org/officeDocument/2006/relationships/hyperlink" Target="https://ref.ly/Rom15:12" TargetMode="External"/><Relationship Id="rId6849" Type="http://schemas.openxmlformats.org/officeDocument/2006/relationships/hyperlink" Target="https://ref.ly/Isa11:1" TargetMode="External"/><Relationship Id="rId6850" Type="http://schemas.openxmlformats.org/officeDocument/2006/relationships/hyperlink" Target="https://ref.ly/Matt22:42-Matt22:45" TargetMode="External"/><Relationship Id="rId6851" Type="http://schemas.openxmlformats.org/officeDocument/2006/relationships/hyperlink" Target="https://ref.ly/Gen16:1-Gen16:2" TargetMode="External"/><Relationship Id="rId6852" Type="http://schemas.openxmlformats.org/officeDocument/2006/relationships/hyperlink" Target="https://ref.ly/Gen16:9-Gen16:11" TargetMode="External"/><Relationship Id="rId6853" Type="http://schemas.openxmlformats.org/officeDocument/2006/relationships/hyperlink" Target="https://ref.ly/Gen16:16" TargetMode="External"/><Relationship Id="rId6854" Type="http://schemas.openxmlformats.org/officeDocument/2006/relationships/hyperlink" Target="https://ref.ly/Gen17:18" TargetMode="External"/><Relationship Id="rId6855" Type="http://schemas.openxmlformats.org/officeDocument/2006/relationships/hyperlink" Target="https://ref.ly/Gen17:9-Gen17:14,Gen17:22-Gen17:27" TargetMode="External"/><Relationship Id="rId6856" Type="http://schemas.openxmlformats.org/officeDocument/2006/relationships/hyperlink" Target="https://ref.ly/Gen17:20-Gen17:21" TargetMode="External"/><Relationship Id="rId6857" Type="http://schemas.openxmlformats.org/officeDocument/2006/relationships/hyperlink" Target="https://ref.ly/Gen21:20-Gen21:21" TargetMode="External"/><Relationship Id="rId6858" Type="http://schemas.openxmlformats.org/officeDocument/2006/relationships/hyperlink" Target="https://ref.ly/Gen25:17" TargetMode="External"/><Relationship Id="rId6859" Type="http://schemas.openxmlformats.org/officeDocument/2006/relationships/hyperlink" Target="https://ref.ly/Gen25:13-Gen25:16" TargetMode="External"/><Relationship Id="rId6860" Type="http://schemas.openxmlformats.org/officeDocument/2006/relationships/hyperlink" Target="https://ref.ly/Judg8:22-Judg8:24" TargetMode="External"/><Relationship Id="rId6861" Type="http://schemas.openxmlformats.org/officeDocument/2006/relationships/hyperlink" Target="https://ref.ly/Gal4:22" TargetMode="External"/><Relationship Id="rId6862" Type="http://schemas.openxmlformats.org/officeDocument/2006/relationships/hyperlink" Target="https://ref.ly/Gal4:30" TargetMode="External"/><Relationship Id="rId6863" Type="http://schemas.openxmlformats.org/officeDocument/2006/relationships/hyperlink" Target="https://ref.ly/2Kgs25:25" TargetMode="External"/><Relationship Id="rId6864" Type="http://schemas.openxmlformats.org/officeDocument/2006/relationships/hyperlink" Target="https://ref.ly/Jer40:14-Jer40:16" TargetMode="External"/><Relationship Id="rId6865" Type="http://schemas.openxmlformats.org/officeDocument/2006/relationships/hyperlink" Target="https://ref.ly/Jer41:1-Jer41:18" TargetMode="External"/><Relationship Id="rId6866" Type="http://schemas.openxmlformats.org/officeDocument/2006/relationships/hyperlink" Target="https://ref.ly/1Chr8:38" TargetMode="External"/><Relationship Id="rId6867" Type="http://schemas.openxmlformats.org/officeDocument/2006/relationships/hyperlink" Target="https://ref.ly/1Chr9:44" TargetMode="External"/><Relationship Id="rId6868" Type="http://schemas.openxmlformats.org/officeDocument/2006/relationships/hyperlink" Target="https://ref.ly/2Chr19:11" TargetMode="External"/><Relationship Id="rId6869" Type="http://schemas.openxmlformats.org/officeDocument/2006/relationships/hyperlink" Target="https://ref.ly/2Chr23:1" TargetMode="External"/><Relationship Id="rId6870" Type="http://schemas.openxmlformats.org/officeDocument/2006/relationships/hyperlink" Target="https://ref.ly/Ezra10:22" TargetMode="External"/><Relationship Id="rId6871" Type="http://schemas.openxmlformats.org/officeDocument/2006/relationships/hyperlink" Target="https://ref.ly/Gen35:9-Gen35:12" TargetMode="External"/><Relationship Id="rId6872" Type="http://schemas.openxmlformats.org/officeDocument/2006/relationships/hyperlink" Target="https://ref.ly/Deut6:1-Deut6:4" TargetMode="External"/><Relationship Id="rId6873" Type="http://schemas.openxmlformats.org/officeDocument/2006/relationships/hyperlink" Target="https://ref.ly/Gen12:4-Gen12:8" TargetMode="External"/><Relationship Id="rId6874" Type="http://schemas.openxmlformats.org/officeDocument/2006/relationships/hyperlink" Target="https://ref.ly/Gen17:6-Gen17:8" TargetMode="External"/><Relationship Id="rId6875" Type="http://schemas.openxmlformats.org/officeDocument/2006/relationships/hyperlink" Target="https://ref.ly/Gen28:1-Gen28:22" TargetMode="External"/><Relationship Id="rId6876" Type="http://schemas.openxmlformats.org/officeDocument/2006/relationships/hyperlink" Target="https://ref.ly/Exod1:12" TargetMode="External"/><Relationship Id="rId6877" Type="http://schemas.openxmlformats.org/officeDocument/2006/relationships/hyperlink" Target="https://ref.ly/Exod3:1-Exod4:31" TargetMode="External"/><Relationship Id="rId6878" Type="http://schemas.openxmlformats.org/officeDocument/2006/relationships/hyperlink" Target="https://ref.ly/Exod7:1-Exod12:51" TargetMode="External"/><Relationship Id="rId6879" Type="http://schemas.openxmlformats.org/officeDocument/2006/relationships/hyperlink" Target="https://ref.ly/Exod12:12" TargetMode="External"/><Relationship Id="rId6880" Type="http://schemas.openxmlformats.org/officeDocument/2006/relationships/hyperlink" Target="https://ref.ly/Exod19:2-Exod24:18" TargetMode="External"/><Relationship Id="rId6881" Type="http://schemas.openxmlformats.org/officeDocument/2006/relationships/hyperlink" Target="https://ref.ly/Exod25:1-Exod27:21" TargetMode="External"/><Relationship Id="rId6882" Type="http://schemas.openxmlformats.org/officeDocument/2006/relationships/hyperlink" Target="https://ref.ly/Exod30:1-Exod31:18" TargetMode="External"/><Relationship Id="rId6883" Type="http://schemas.openxmlformats.org/officeDocument/2006/relationships/hyperlink" Target="https://ref.ly/Exod35:1-Exod40:38" TargetMode="External"/><Relationship Id="rId6884" Type="http://schemas.openxmlformats.org/officeDocument/2006/relationships/hyperlink" Target="https://ref.ly/Exod28:1-Exod29:46" TargetMode="External"/><Relationship Id="rId6885" Type="http://schemas.openxmlformats.org/officeDocument/2006/relationships/hyperlink" Target="https://ref.ly/Exod32:1-Exod34:35" TargetMode="External"/><Relationship Id="rId6886" Type="http://schemas.openxmlformats.org/officeDocument/2006/relationships/hyperlink" Target="https://ref.ly/Exod32:9-Exod32:14" TargetMode="External"/><Relationship Id="rId6887" Type="http://schemas.openxmlformats.org/officeDocument/2006/relationships/hyperlink" Target="https://ref.ly/Num10:11-Num10:12" TargetMode="External"/><Relationship Id="rId6888" Type="http://schemas.openxmlformats.org/officeDocument/2006/relationships/hyperlink" Target="https://ref.ly/Num14:26-Num14:30" TargetMode="External"/><Relationship Id="rId6889" Type="http://schemas.openxmlformats.org/officeDocument/2006/relationships/hyperlink" Target="https://ref.ly/Josh14:7-Josh14:10" TargetMode="External"/><Relationship Id="rId6890" Type="http://schemas.openxmlformats.org/officeDocument/2006/relationships/hyperlink" Target="https://ref.ly/Josh10:7-Josh10:11" TargetMode="External"/><Relationship Id="rId6891" Type="http://schemas.openxmlformats.org/officeDocument/2006/relationships/hyperlink" Target="https://ref.ly/1Sam4:18" TargetMode="External"/><Relationship Id="rId6892" Type="http://schemas.openxmlformats.org/officeDocument/2006/relationships/hyperlink" Target="https://ref.ly/1Sam8:9-1Sam8:21" TargetMode="External"/><Relationship Id="rId6893" Type="http://schemas.openxmlformats.org/officeDocument/2006/relationships/hyperlink" Target="https://ref.ly/Gen49:10" TargetMode="External"/><Relationship Id="rId6894" Type="http://schemas.openxmlformats.org/officeDocument/2006/relationships/hyperlink" Target="https://ref.ly/Num24:17" TargetMode="External"/><Relationship Id="rId6895" Type="http://schemas.openxmlformats.org/officeDocument/2006/relationships/hyperlink" Target="https://ref.ly/Deut17:14-Deut17:20" TargetMode="External"/><Relationship Id="rId6896" Type="http://schemas.openxmlformats.org/officeDocument/2006/relationships/hyperlink" Target="https://ref.ly/2Sam5:5" TargetMode="External"/><Relationship Id="rId6897" Type="http://schemas.openxmlformats.org/officeDocument/2006/relationships/hyperlink" Target="https://ref.ly/1Sam13:8-1Sam13:14" TargetMode="External"/><Relationship Id="rId6898" Type="http://schemas.openxmlformats.org/officeDocument/2006/relationships/hyperlink" Target="https://ref.ly/1Sam31:1-1Sam31:7" TargetMode="External"/><Relationship Id="rId6899" Type="http://schemas.openxmlformats.org/officeDocument/2006/relationships/hyperlink" Target="https://ref.ly/2Sam2:2-2Sam2:11" TargetMode="External"/><Relationship Id="rId6900" Type="http://schemas.openxmlformats.org/officeDocument/2006/relationships/hyperlink" Target="https://ref.ly/2Sam8:10" TargetMode="External"/><Relationship Id="rId6901" Type="http://schemas.openxmlformats.org/officeDocument/2006/relationships/hyperlink" Target="https://ref.ly/1Chr18:1-1Chr19:19" TargetMode="External"/><Relationship Id="rId6902" Type="http://schemas.openxmlformats.org/officeDocument/2006/relationships/hyperlink" Target="https://ref.ly/Luke1:31-Luke1:33" TargetMode="External"/><Relationship Id="rId6903" Type="http://schemas.openxmlformats.org/officeDocument/2006/relationships/hyperlink" Target="https://ref.ly/Acts2:29-Acts2:36" TargetMode="External"/><Relationship Id="rId6904" Type="http://schemas.openxmlformats.org/officeDocument/2006/relationships/hyperlink" Target="https://ref.ly/Acts13:32-Acts13:39" TargetMode="External"/><Relationship Id="rId6905" Type="http://schemas.openxmlformats.org/officeDocument/2006/relationships/hyperlink" Target="https://ref.ly/Acts15:14-Acts15:17" TargetMode="External"/><Relationship Id="rId6906" Type="http://schemas.openxmlformats.org/officeDocument/2006/relationships/hyperlink" Target="https://ref.ly/1Kgs11:9-1Kgs11:13" TargetMode="External"/><Relationship Id="rId6907" Type="http://schemas.openxmlformats.org/officeDocument/2006/relationships/hyperlink" Target="https://ref.ly/2Kgs21:9" TargetMode="External"/><Relationship Id="rId6908" Type="http://schemas.openxmlformats.org/officeDocument/2006/relationships/hyperlink" Target="https://ref.ly/Dan1:1" TargetMode="External"/><Relationship Id="rId6909" Type="http://schemas.openxmlformats.org/officeDocument/2006/relationships/hyperlink" Target="https://ref.ly/Isa44:28" TargetMode="External"/><Relationship Id="rId6910" Type="http://schemas.openxmlformats.org/officeDocument/2006/relationships/hyperlink" Target="https://ref.ly/Ezra1:1-Ezra1:11" TargetMode="External"/><Relationship Id="rId6911" Type="http://schemas.openxmlformats.org/officeDocument/2006/relationships/hyperlink" Target="https://ref.ly/Ezra2:64-Ezra2:65" TargetMode="External"/><Relationship Id="rId6912" Type="http://schemas.openxmlformats.org/officeDocument/2006/relationships/hyperlink" Target="https://ref.ly/Ezra5:1" TargetMode="External"/><Relationship Id="rId6913" Type="http://schemas.openxmlformats.org/officeDocument/2006/relationships/hyperlink" Target="https://ref.ly/Zech1:1" TargetMode="External"/><Relationship Id="rId6914" Type="http://schemas.openxmlformats.org/officeDocument/2006/relationships/hyperlink" Target="https://ref.ly/Ezra7:7" TargetMode="External"/><Relationship Id="rId6915" Type="http://schemas.openxmlformats.org/officeDocument/2006/relationships/hyperlink" Target="https://ref.ly/John4:1-John4:54" TargetMode="External"/><Relationship Id="rId6916" Type="http://schemas.openxmlformats.org/officeDocument/2006/relationships/hyperlink" Target="https://ref.ly/1Macc4:36-1Macc4:59" TargetMode="External"/><Relationship Id="rId6917" Type="http://schemas.openxmlformats.org/officeDocument/2006/relationships/hyperlink" Target="https://ref.ly/Acts23:23-Acts24:27" TargetMode="External"/><Relationship Id="rId6918" Type="http://schemas.openxmlformats.org/officeDocument/2006/relationships/hyperlink" Target="https://ref.ly/Acts25:1-Acts25:27" TargetMode="External"/><Relationship Id="rId6919" Type="http://schemas.openxmlformats.org/officeDocument/2006/relationships/hyperlink" Target="https://ref.ly/Gen30:17-Gen30:18" TargetMode="External"/><Relationship Id="rId6920" Type="http://schemas.openxmlformats.org/officeDocument/2006/relationships/hyperlink" Target="https://ref.ly/Gen46:13" TargetMode="External"/><Relationship Id="rId6921" Type="http://schemas.openxmlformats.org/officeDocument/2006/relationships/hyperlink" Target="https://ref.ly/1Chr7:1-1Chr7:5" TargetMode="External"/><Relationship Id="rId6922" Type="http://schemas.openxmlformats.org/officeDocument/2006/relationships/hyperlink" Target="https://ref.ly/Num1:29" TargetMode="External"/><Relationship Id="rId6923" Type="http://schemas.openxmlformats.org/officeDocument/2006/relationships/hyperlink" Target="https://ref.ly/Num26:25" TargetMode="External"/><Relationship Id="rId6924" Type="http://schemas.openxmlformats.org/officeDocument/2006/relationships/hyperlink" Target="https://ref.ly/1Chr7:5" TargetMode="External"/><Relationship Id="rId6925" Type="http://schemas.openxmlformats.org/officeDocument/2006/relationships/hyperlink" Target="https://ref.ly/Judg5:15" TargetMode="External"/><Relationship Id="rId6926" Type="http://schemas.openxmlformats.org/officeDocument/2006/relationships/hyperlink" Target="https://ref.ly/1Chr12:32" TargetMode="External"/><Relationship Id="rId6927" Type="http://schemas.openxmlformats.org/officeDocument/2006/relationships/hyperlink" Target="https://ref.ly/Josh19:17" TargetMode="External"/><Relationship Id="rId6928" Type="http://schemas.openxmlformats.org/officeDocument/2006/relationships/hyperlink" Target="https://ref.ly/1Chr26:5" TargetMode="External"/><Relationship Id="rId6929" Type="http://schemas.openxmlformats.org/officeDocument/2006/relationships/hyperlink" Target="https://ref.ly/Acts27:1,Acts27:6" TargetMode="External"/><Relationship Id="rId6930" Type="http://schemas.openxmlformats.org/officeDocument/2006/relationships/hyperlink" Target="https://ref.ly/1Chr5:19-1Chr5:20" TargetMode="External"/><Relationship Id="rId6931" Type="http://schemas.openxmlformats.org/officeDocument/2006/relationships/hyperlink" Target="https://ref.ly/Gen25:23" TargetMode="External"/><Relationship Id="rId6932" Type="http://schemas.openxmlformats.org/officeDocument/2006/relationships/hyperlink" Target="https://ref.ly/Hos12:3" TargetMode="External"/><Relationship Id="rId6933" Type="http://schemas.openxmlformats.org/officeDocument/2006/relationships/hyperlink" Target="https://ref.ly/Heb12:16" TargetMode="External"/><Relationship Id="rId6934" Type="http://schemas.openxmlformats.org/officeDocument/2006/relationships/hyperlink" Target="https://ref.ly/Gen27:6-Gen27:7" TargetMode="External"/><Relationship Id="rId6935" Type="http://schemas.openxmlformats.org/officeDocument/2006/relationships/hyperlink" Target="https://ref.ly/Gen25:28" TargetMode="External"/><Relationship Id="rId6936" Type="http://schemas.openxmlformats.org/officeDocument/2006/relationships/hyperlink" Target="https://ref.ly/Gen27:16" TargetMode="External"/><Relationship Id="rId6937" Type="http://schemas.openxmlformats.org/officeDocument/2006/relationships/hyperlink" Target="https://ref.ly/Gen27:33" TargetMode="External"/><Relationship Id="rId6938" Type="http://schemas.openxmlformats.org/officeDocument/2006/relationships/hyperlink" Target="https://ref.ly/Heb12:17" TargetMode="External"/><Relationship Id="rId6939" Type="http://schemas.openxmlformats.org/officeDocument/2006/relationships/hyperlink" Target="https://ref.ly/Gen27:39-Gen27:40" TargetMode="External"/><Relationship Id="rId6940" Type="http://schemas.openxmlformats.org/officeDocument/2006/relationships/hyperlink" Target="https://ref.ly/Gen27:42-Gen27:45" TargetMode="External"/><Relationship Id="rId6941" Type="http://schemas.openxmlformats.org/officeDocument/2006/relationships/hyperlink" Target="https://ref.ly/Gen27:46-Gen28:4" TargetMode="External"/><Relationship Id="rId6942" Type="http://schemas.openxmlformats.org/officeDocument/2006/relationships/hyperlink" Target="https://ref.ly/Gen29:1-Gen29:10" TargetMode="External"/><Relationship Id="rId6943" Type="http://schemas.openxmlformats.org/officeDocument/2006/relationships/hyperlink" Target="https://ref.ly/Gen29:15-Gen29:20" TargetMode="External"/><Relationship Id="rId6944" Type="http://schemas.openxmlformats.org/officeDocument/2006/relationships/hyperlink" Target="https://ref.ly/Gen29:21-Gen29:30" TargetMode="External"/><Relationship Id="rId6945" Type="http://schemas.openxmlformats.org/officeDocument/2006/relationships/hyperlink" Target="https://ref.ly/Gen30:1-Gen30:43" TargetMode="External"/><Relationship Id="rId6946" Type="http://schemas.openxmlformats.org/officeDocument/2006/relationships/hyperlink" Target="https://ref.ly/Gen30:1-Gen30:8" TargetMode="External"/><Relationship Id="rId6947" Type="http://schemas.openxmlformats.org/officeDocument/2006/relationships/hyperlink" Target="https://ref.ly/Gen30:14-Gen30:21" TargetMode="External"/><Relationship Id="rId6948" Type="http://schemas.openxmlformats.org/officeDocument/2006/relationships/hyperlink" Target="https://ref.ly/Gen30:27" TargetMode="External"/><Relationship Id="rId6949" Type="http://schemas.openxmlformats.org/officeDocument/2006/relationships/hyperlink" Target="https://ref.ly/Gen30:32-Gen30:33" TargetMode="External"/><Relationship Id="rId6950" Type="http://schemas.openxmlformats.org/officeDocument/2006/relationships/hyperlink" Target="https://ref.ly/Gen30:35-Gen30:36" TargetMode="External"/><Relationship Id="rId6951" Type="http://schemas.openxmlformats.org/officeDocument/2006/relationships/hyperlink" Target="https://ref.ly/Gen30:37-Gen30:43" TargetMode="External"/><Relationship Id="rId6952" Type="http://schemas.openxmlformats.org/officeDocument/2006/relationships/hyperlink" Target="https://ref.ly/Gen31:3-Gen31:16" TargetMode="External"/><Relationship Id="rId6953" Type="http://schemas.openxmlformats.org/officeDocument/2006/relationships/hyperlink" Target="https://ref.ly/Gen32:2" TargetMode="External"/><Relationship Id="rId6954" Type="http://schemas.openxmlformats.org/officeDocument/2006/relationships/hyperlink" Target="https://ref.ly/Gen32:30" TargetMode="External"/><Relationship Id="rId6955" Type="http://schemas.openxmlformats.org/officeDocument/2006/relationships/hyperlink" Target="https://ref.ly/Gen35:16-Gen35:20" TargetMode="External"/><Relationship Id="rId6956" Type="http://schemas.openxmlformats.org/officeDocument/2006/relationships/hyperlink" Target="https://ref.ly/Gen37:1-Gen50:26" TargetMode="External"/><Relationship Id="rId6957" Type="http://schemas.openxmlformats.org/officeDocument/2006/relationships/hyperlink" Target="https://ref.ly/Gen37:9-Gen37:28" TargetMode="External"/><Relationship Id="rId6958" Type="http://schemas.openxmlformats.org/officeDocument/2006/relationships/hyperlink" Target="https://ref.ly/Gen42:1-Gen42:5" TargetMode="External"/><Relationship Id="rId6959" Type="http://schemas.openxmlformats.org/officeDocument/2006/relationships/hyperlink" Target="https://ref.ly/Gen43:11-Gen43:14" TargetMode="External"/><Relationship Id="rId6960" Type="http://schemas.openxmlformats.org/officeDocument/2006/relationships/hyperlink" Target="https://ref.ly/Gen45:21-Gen45:28" TargetMode="External"/><Relationship Id="rId6961" Type="http://schemas.openxmlformats.org/officeDocument/2006/relationships/hyperlink" Target="https://ref.ly/Gen46:28-Gen46:30" TargetMode="External"/><Relationship Id="rId6962" Type="http://schemas.openxmlformats.org/officeDocument/2006/relationships/hyperlink" Target="https://ref.ly/Gen47:1" TargetMode="External"/><Relationship Id="rId6963" Type="http://schemas.openxmlformats.org/officeDocument/2006/relationships/hyperlink" Target="https://ref.ly/Gen49:8-Gen49:12" TargetMode="External"/><Relationship Id="rId6964" Type="http://schemas.openxmlformats.org/officeDocument/2006/relationships/hyperlink" Target="https://ref.ly/Gen50:1-Gen50:3" TargetMode="External"/><Relationship Id="rId6965" Type="http://schemas.openxmlformats.org/officeDocument/2006/relationships/hyperlink" Target="https://ref.ly/Gen50:15-Gen50:21" TargetMode="External"/><Relationship Id="rId6966" Type="http://schemas.openxmlformats.org/officeDocument/2006/relationships/hyperlink" Target="https://ref.ly/Num24:5,Num24:19" TargetMode="External"/><Relationship Id="rId6967" Type="http://schemas.openxmlformats.org/officeDocument/2006/relationships/hyperlink" Target="https://ref.ly/Deut32:9" TargetMode="External"/><Relationship Id="rId6968" Type="http://schemas.openxmlformats.org/officeDocument/2006/relationships/hyperlink" Target="https://ref.ly/Ps59:13" TargetMode="External"/><Relationship Id="rId6969" Type="http://schemas.openxmlformats.org/officeDocument/2006/relationships/hyperlink" Target="https://ref.ly/Num23:7" TargetMode="External"/><Relationship Id="rId6970" Type="http://schemas.openxmlformats.org/officeDocument/2006/relationships/hyperlink" Target="https://ref.ly/Isa14:1" TargetMode="External"/><Relationship Id="rId6971" Type="http://schemas.openxmlformats.org/officeDocument/2006/relationships/hyperlink" Target="https://ref.ly/Amos7:2,Amos7:5" TargetMode="External"/><Relationship Id="rId6972" Type="http://schemas.openxmlformats.org/officeDocument/2006/relationships/hyperlink" Target="https://ref.ly/Isa41:21" TargetMode="External"/><Relationship Id="rId6973" Type="http://schemas.openxmlformats.org/officeDocument/2006/relationships/hyperlink" Target="https://ref.ly/Matt12:48-Matt12:50" TargetMode="External"/><Relationship Id="rId6974" Type="http://schemas.openxmlformats.org/officeDocument/2006/relationships/hyperlink" Target="https://ref.ly/Mark3:33-Mark3:35" TargetMode="External"/><Relationship Id="rId6975" Type="http://schemas.openxmlformats.org/officeDocument/2006/relationships/hyperlink" Target="https://ref.ly/Luke8:21" TargetMode="External"/><Relationship Id="rId6976" Type="http://schemas.openxmlformats.org/officeDocument/2006/relationships/hyperlink" Target="https://ref.ly/1Cor15:5,1Cor15:7" TargetMode="External"/><Relationship Id="rId6977" Type="http://schemas.openxmlformats.org/officeDocument/2006/relationships/hyperlink" Target="https://ref.ly/Acts15:19-Acts15:20" TargetMode="External"/><Relationship Id="rId6978" Type="http://schemas.openxmlformats.org/officeDocument/2006/relationships/hyperlink" Target="https://ref.ly/Acts21:18-Acts21:25" TargetMode="External"/><Relationship Id="rId6979" Type="http://schemas.openxmlformats.org/officeDocument/2006/relationships/hyperlink" Target="https://ref.ly/Mark1:19-Mark1:20" TargetMode="External"/><Relationship Id="rId6980" Type="http://schemas.openxmlformats.org/officeDocument/2006/relationships/hyperlink" Target="https://ref.ly/Matt4:21" TargetMode="External"/><Relationship Id="rId6981" Type="http://schemas.openxmlformats.org/officeDocument/2006/relationships/hyperlink" Target="https://ref.ly/Matt10:2" TargetMode="External"/><Relationship Id="rId6982" Type="http://schemas.openxmlformats.org/officeDocument/2006/relationships/hyperlink" Target="https://ref.ly/Matt17:1" TargetMode="External"/><Relationship Id="rId6983" Type="http://schemas.openxmlformats.org/officeDocument/2006/relationships/hyperlink" Target="https://ref.ly/Mark5:37" TargetMode="External"/><Relationship Id="rId6984" Type="http://schemas.openxmlformats.org/officeDocument/2006/relationships/hyperlink" Target="https://ref.ly/Luke8:51" TargetMode="External"/><Relationship Id="rId6985" Type="http://schemas.openxmlformats.org/officeDocument/2006/relationships/hyperlink" Target="https://ref.ly/Mark9:2" TargetMode="External"/><Relationship Id="rId6986" Type="http://schemas.openxmlformats.org/officeDocument/2006/relationships/hyperlink" Target="https://ref.ly/Luke9:28" TargetMode="External"/><Relationship Id="rId6987" Type="http://schemas.openxmlformats.org/officeDocument/2006/relationships/hyperlink" Target="https://ref.ly/Mark13:3" TargetMode="External"/><Relationship Id="rId6988" Type="http://schemas.openxmlformats.org/officeDocument/2006/relationships/hyperlink" Target="https://ref.ly/Matt26:37" TargetMode="External"/><Relationship Id="rId6989" Type="http://schemas.openxmlformats.org/officeDocument/2006/relationships/hyperlink" Target="https://ref.ly/Mark14:33" TargetMode="External"/><Relationship Id="rId6990" Type="http://schemas.openxmlformats.org/officeDocument/2006/relationships/hyperlink" Target="https://ref.ly/Mark1:29" TargetMode="External"/><Relationship Id="rId6991" Type="http://schemas.openxmlformats.org/officeDocument/2006/relationships/hyperlink" Target="https://ref.ly/Mark9:38" TargetMode="External"/><Relationship Id="rId6992" Type="http://schemas.openxmlformats.org/officeDocument/2006/relationships/hyperlink" Target="https://ref.ly/Luke9:49" TargetMode="External"/><Relationship Id="rId6993" Type="http://schemas.openxmlformats.org/officeDocument/2006/relationships/hyperlink" Target="https://ref.ly/Mark10:35-Mark10:40" TargetMode="External"/><Relationship Id="rId6994" Type="http://schemas.openxmlformats.org/officeDocument/2006/relationships/hyperlink" Target="https://ref.ly/Matt20:20-Matt20:23" TargetMode="External"/><Relationship Id="rId6995" Type="http://schemas.openxmlformats.org/officeDocument/2006/relationships/hyperlink" Target="https://ref.ly/John21:1" TargetMode="External"/><Relationship Id="rId6996" Type="http://schemas.openxmlformats.org/officeDocument/2006/relationships/hyperlink" Target="https://ref.ly/Acts12:1-Acts12:2" TargetMode="External"/><Relationship Id="rId6997" Type="http://schemas.openxmlformats.org/officeDocument/2006/relationships/hyperlink" Target="https://ref.ly/Acts15:13,Acts15:19" TargetMode="External"/><Relationship Id="rId6998" Type="http://schemas.openxmlformats.org/officeDocument/2006/relationships/hyperlink" Target="https://ref.ly/Acts21:17-Acts21:25" TargetMode="External"/><Relationship Id="rId6999" Type="http://schemas.openxmlformats.org/officeDocument/2006/relationships/hyperlink" Target="https://ref.ly/Gal2:12" TargetMode="External"/><Relationship Id="rId7000" Type="http://schemas.openxmlformats.org/officeDocument/2006/relationships/hyperlink" Target="https://ref.ly/Matt7:12" TargetMode="External"/><Relationship Id="rId7001" Type="http://schemas.openxmlformats.org/officeDocument/2006/relationships/hyperlink" Target="https://ref.ly/Jas2:8" TargetMode="External"/><Relationship Id="rId7002" Type="http://schemas.openxmlformats.org/officeDocument/2006/relationships/hyperlink" Target="https://ref.ly/Jas1:2" TargetMode="External"/><Relationship Id="rId7003" Type="http://schemas.openxmlformats.org/officeDocument/2006/relationships/hyperlink" Target="https://ref.ly/Jas1:4" TargetMode="External"/><Relationship Id="rId7004" Type="http://schemas.openxmlformats.org/officeDocument/2006/relationships/hyperlink" Target="https://ref.ly/Matt5:48" TargetMode="External"/><Relationship Id="rId7005" Type="http://schemas.openxmlformats.org/officeDocument/2006/relationships/hyperlink" Target="https://ref.ly/Jas1:5" TargetMode="External"/><Relationship Id="rId7006" Type="http://schemas.openxmlformats.org/officeDocument/2006/relationships/hyperlink" Target="https://ref.ly/Jas5:14-Jas5:15" TargetMode="External"/><Relationship Id="rId7007" Type="http://schemas.openxmlformats.org/officeDocument/2006/relationships/hyperlink" Target="https://ref.ly/Matt7:7-Matt7:11" TargetMode="External"/><Relationship Id="rId7008" Type="http://schemas.openxmlformats.org/officeDocument/2006/relationships/hyperlink" Target="https://ref.ly/Jas2:13" TargetMode="External"/><Relationship Id="rId7009" Type="http://schemas.openxmlformats.org/officeDocument/2006/relationships/hyperlink" Target="https://ref.ly/Matt5:7" TargetMode="External"/><Relationship Id="rId7010" Type="http://schemas.openxmlformats.org/officeDocument/2006/relationships/hyperlink" Target="https://ref.ly/Matt6:14-Matt6:15" TargetMode="External"/><Relationship Id="rId7011" Type="http://schemas.openxmlformats.org/officeDocument/2006/relationships/hyperlink" Target="https://ref.ly/Jas2:10" TargetMode="External"/><Relationship Id="rId7012" Type="http://schemas.openxmlformats.org/officeDocument/2006/relationships/hyperlink" Target="https://ref.ly/Matt5:19" TargetMode="External"/><Relationship Id="rId7013" Type="http://schemas.openxmlformats.org/officeDocument/2006/relationships/hyperlink" Target="https://ref.ly/Matt6:24" TargetMode="External"/><Relationship Id="rId7014" Type="http://schemas.openxmlformats.org/officeDocument/2006/relationships/hyperlink" Target="https://ref.ly/Jas4:11" TargetMode="External"/><Relationship Id="rId7015" Type="http://schemas.openxmlformats.org/officeDocument/2006/relationships/hyperlink" Target="https://ref.ly/Matt7:1-Matt7:2" TargetMode="External"/><Relationship Id="rId7016" Type="http://schemas.openxmlformats.org/officeDocument/2006/relationships/hyperlink" Target="https://ref.ly/Jas5:2" TargetMode="External"/><Relationship Id="rId7017" Type="http://schemas.openxmlformats.org/officeDocument/2006/relationships/hyperlink" Target="https://ref.ly/Matt6:19" TargetMode="External"/><Relationship Id="rId7018" Type="http://schemas.openxmlformats.org/officeDocument/2006/relationships/hyperlink" Target="https://ref.ly/Jas1:20" TargetMode="External"/><Relationship Id="rId7019" Type="http://schemas.openxmlformats.org/officeDocument/2006/relationships/hyperlink" Target="https://ref.ly/Jas3:18" TargetMode="External"/><Relationship Id="rId7020" Type="http://schemas.openxmlformats.org/officeDocument/2006/relationships/hyperlink" Target="https://ref.ly/Matt5:20" TargetMode="External"/><Relationship Id="rId7021" Type="http://schemas.openxmlformats.org/officeDocument/2006/relationships/hyperlink" Target="https://ref.ly/Acts21:18-Acts21:24" TargetMode="External"/><Relationship Id="rId7022" Type="http://schemas.openxmlformats.org/officeDocument/2006/relationships/hyperlink" Target="https://ref.ly/Matt5:44,Matt5:48" TargetMode="External"/><Relationship Id="rId7023" Type="http://schemas.openxmlformats.org/officeDocument/2006/relationships/hyperlink" Target="https://ref.ly/Jas2:2" TargetMode="External"/><Relationship Id="rId7024" Type="http://schemas.openxmlformats.org/officeDocument/2006/relationships/hyperlink" Target="https://ref.ly/Jas5:1-Jas5:20" TargetMode="External"/><Relationship Id="rId7025" Type="http://schemas.openxmlformats.org/officeDocument/2006/relationships/hyperlink" Target="https://ref.ly/Prov2:6" TargetMode="External"/><Relationship Id="rId7026" Type="http://schemas.openxmlformats.org/officeDocument/2006/relationships/hyperlink" Target="https://ref.ly/Jas1:19" TargetMode="External"/><Relationship Id="rId7027" Type="http://schemas.openxmlformats.org/officeDocument/2006/relationships/hyperlink" Target="https://ref.ly/Prov29:20" TargetMode="External"/><Relationship Id="rId7028" Type="http://schemas.openxmlformats.org/officeDocument/2006/relationships/hyperlink" Target="https://ref.ly/Jas4:13-Jas4:16" TargetMode="External"/><Relationship Id="rId7029" Type="http://schemas.openxmlformats.org/officeDocument/2006/relationships/hyperlink" Target="https://ref.ly/Prov27:1" TargetMode="External"/><Relationship Id="rId7030" Type="http://schemas.openxmlformats.org/officeDocument/2006/relationships/hyperlink" Target="https://ref.ly/Prov10:12" TargetMode="External"/><Relationship Id="rId7031" Type="http://schemas.openxmlformats.org/officeDocument/2006/relationships/hyperlink" Target="https://ref.ly/Acts12:1" TargetMode="External"/><Relationship Id="rId7032" Type="http://schemas.openxmlformats.org/officeDocument/2006/relationships/hyperlink" Target="https://ref.ly/Jas3:11" TargetMode="External"/><Relationship Id="rId7033" Type="http://schemas.openxmlformats.org/officeDocument/2006/relationships/hyperlink" Target="https://ref.ly/Jas3:12" TargetMode="External"/><Relationship Id="rId7034" Type="http://schemas.openxmlformats.org/officeDocument/2006/relationships/hyperlink" Target="https://ref.ly/Jas1:11" TargetMode="External"/><Relationship Id="rId7035" Type="http://schemas.openxmlformats.org/officeDocument/2006/relationships/hyperlink" Target="https://ref.ly/Jas2:1" TargetMode="External"/><Relationship Id="rId7036" Type="http://schemas.openxmlformats.org/officeDocument/2006/relationships/hyperlink" Target="https://ref.ly/Jas2:1-Jas2:12" TargetMode="External"/><Relationship Id="rId7037" Type="http://schemas.openxmlformats.org/officeDocument/2006/relationships/hyperlink" Target="https://ref.ly/Jas5:1-Jas5:11" TargetMode="External"/><Relationship Id="rId7038" Type="http://schemas.openxmlformats.org/officeDocument/2006/relationships/hyperlink" Target="https://ref.ly/Jas4:13-Jas4:17" TargetMode="External"/><Relationship Id="rId7039" Type="http://schemas.openxmlformats.org/officeDocument/2006/relationships/hyperlink" Target="https://ref.ly/Jas1:2-Jas1:4,Jas1:13-Jas1:15" TargetMode="External"/><Relationship Id="rId7040" Type="http://schemas.openxmlformats.org/officeDocument/2006/relationships/hyperlink" Target="https://ref.ly/Jas5:7-Jas5:11" TargetMode="External"/><Relationship Id="rId7041" Type="http://schemas.openxmlformats.org/officeDocument/2006/relationships/hyperlink" Target="https://ref.ly/Jas2:14-Jas2:26" TargetMode="External"/><Relationship Id="rId7042" Type="http://schemas.openxmlformats.org/officeDocument/2006/relationships/hyperlink" Target="https://ref.ly/Jas1:2-Jas1:4" TargetMode="External"/><Relationship Id="rId7043" Type="http://schemas.openxmlformats.org/officeDocument/2006/relationships/hyperlink" Target="https://ref.ly/Jas1:13-Jas1:15" TargetMode="External"/><Relationship Id="rId7044" Type="http://schemas.openxmlformats.org/officeDocument/2006/relationships/hyperlink" Target="https://ref.ly/Jas1:13-Jas1:14" TargetMode="External"/><Relationship Id="rId7045" Type="http://schemas.openxmlformats.org/officeDocument/2006/relationships/hyperlink" Target="https://ref.ly/Jas1:25" TargetMode="External"/><Relationship Id="rId7046" Type="http://schemas.openxmlformats.org/officeDocument/2006/relationships/hyperlink" Target="https://ref.ly/Jas2:8-Jas2:13" TargetMode="External"/><Relationship Id="rId7047" Type="http://schemas.openxmlformats.org/officeDocument/2006/relationships/hyperlink" Target="https://ref.ly/Jas1:3" TargetMode="External"/><Relationship Id="rId7048" Type="http://schemas.openxmlformats.org/officeDocument/2006/relationships/hyperlink" Target="https://ref.ly/Jas2:5" TargetMode="External"/><Relationship Id="rId7049" Type="http://schemas.openxmlformats.org/officeDocument/2006/relationships/hyperlink" Target="https://ref.ly/Jas1:6" TargetMode="External"/><Relationship Id="rId7050" Type="http://schemas.openxmlformats.org/officeDocument/2006/relationships/hyperlink" Target="https://ref.ly/Jas5:15-Jas5:16" TargetMode="External"/><Relationship Id="rId7051" Type="http://schemas.openxmlformats.org/officeDocument/2006/relationships/hyperlink" Target="https://ref.ly/Matt21:22" TargetMode="External"/><Relationship Id="rId7052" Type="http://schemas.openxmlformats.org/officeDocument/2006/relationships/hyperlink" Target="https://ref.ly/Mark5:34" TargetMode="External"/><Relationship Id="rId7053" Type="http://schemas.openxmlformats.org/officeDocument/2006/relationships/hyperlink" Target="https://ref.ly/Mark11:24" TargetMode="External"/><Relationship Id="rId7054" Type="http://schemas.openxmlformats.org/officeDocument/2006/relationships/hyperlink" Target="https://ref.ly/Wis7:7" TargetMode="External"/><Relationship Id="rId7055" Type="http://schemas.openxmlformats.org/officeDocument/2006/relationships/hyperlink" Target="https://ref.ly/Sir1:1" TargetMode="External"/><Relationship Id="rId7056" Type="http://schemas.openxmlformats.org/officeDocument/2006/relationships/hyperlink" Target="https://ref.ly/Jas3:13" TargetMode="External"/><Relationship Id="rId7057" Type="http://schemas.openxmlformats.org/officeDocument/2006/relationships/hyperlink" Target="https://ref.ly/Jas3:15-Jas3:16" TargetMode="External"/><Relationship Id="rId7058" Type="http://schemas.openxmlformats.org/officeDocument/2006/relationships/hyperlink" Target="https://ref.ly/Jas2:1-Jas2:26" TargetMode="External"/><Relationship Id="rId7059" Type="http://schemas.openxmlformats.org/officeDocument/2006/relationships/hyperlink" Target="https://ref.ly/Luke6:20" TargetMode="External"/><Relationship Id="rId7060" Type="http://schemas.openxmlformats.org/officeDocument/2006/relationships/hyperlink" Target="https://ref.ly/Jas2:12" TargetMode="External"/><Relationship Id="rId7061" Type="http://schemas.openxmlformats.org/officeDocument/2006/relationships/hyperlink" Target="https://ref.ly/Jas3:1" TargetMode="External"/><Relationship Id="rId7062" Type="http://schemas.openxmlformats.org/officeDocument/2006/relationships/hyperlink" Target="https://ref.ly/Jas5:1-Jas5:6" TargetMode="External"/><Relationship Id="rId7063" Type="http://schemas.openxmlformats.org/officeDocument/2006/relationships/hyperlink" Target="https://ref.ly/Jas5:5" TargetMode="External"/><Relationship Id="rId7064" Type="http://schemas.openxmlformats.org/officeDocument/2006/relationships/hyperlink" Target="https://ref.ly/Jas5:9" TargetMode="External"/><Relationship Id="rId7065" Type="http://schemas.openxmlformats.org/officeDocument/2006/relationships/hyperlink" Target="https://ref.ly/Jas5:8" TargetMode="External"/><Relationship Id="rId7066" Type="http://schemas.openxmlformats.org/officeDocument/2006/relationships/hyperlink" Target="https://ref.ly/Jas1:5-Jas1:8" TargetMode="External"/><Relationship Id="rId7067" Type="http://schemas.openxmlformats.org/officeDocument/2006/relationships/hyperlink" Target="https://ref.ly/Jas1:9-Jas1:11" TargetMode="External"/><Relationship Id="rId7068" Type="http://schemas.openxmlformats.org/officeDocument/2006/relationships/hyperlink" Target="https://ref.ly/Jas1:12-Jas1:15" TargetMode="External"/><Relationship Id="rId7069" Type="http://schemas.openxmlformats.org/officeDocument/2006/relationships/hyperlink" Target="https://ref.ly/Jas1:16-Jas1:18" TargetMode="External"/><Relationship Id="rId7070" Type="http://schemas.openxmlformats.org/officeDocument/2006/relationships/hyperlink" Target="https://ref.ly/Jas1:19-Jas1:21" TargetMode="External"/><Relationship Id="rId7071" Type="http://schemas.openxmlformats.org/officeDocument/2006/relationships/hyperlink" Target="https://ref.ly/Jas1:22-Jas1:25" TargetMode="External"/><Relationship Id="rId7072" Type="http://schemas.openxmlformats.org/officeDocument/2006/relationships/hyperlink" Target="https://ref.ly/Jas1:26-Jas1:27" TargetMode="External"/><Relationship Id="rId7073" Type="http://schemas.openxmlformats.org/officeDocument/2006/relationships/hyperlink" Target="https://ref.ly/Jas2:1-Jas2:7" TargetMode="External"/><Relationship Id="rId7074" Type="http://schemas.openxmlformats.org/officeDocument/2006/relationships/hyperlink" Target="https://ref.ly/Jas3:1-Jas3:12" TargetMode="External"/><Relationship Id="rId7075" Type="http://schemas.openxmlformats.org/officeDocument/2006/relationships/hyperlink" Target="https://ref.ly/Jas3:13-Jas3:18" TargetMode="External"/><Relationship Id="rId7076" Type="http://schemas.openxmlformats.org/officeDocument/2006/relationships/hyperlink" Target="https://ref.ly/Jas4:1-Jas4:10" TargetMode="External"/><Relationship Id="rId7077" Type="http://schemas.openxmlformats.org/officeDocument/2006/relationships/hyperlink" Target="https://ref.ly/Jas4:11-Jas4:12" TargetMode="External"/><Relationship Id="rId7078" Type="http://schemas.openxmlformats.org/officeDocument/2006/relationships/hyperlink" Target="https://ref.ly/Jas5:7-Jas5:12" TargetMode="External"/><Relationship Id="rId7079" Type="http://schemas.openxmlformats.org/officeDocument/2006/relationships/hyperlink" Target="https://ref.ly/Jas5:13-Jas5:18" TargetMode="External"/><Relationship Id="rId7080" Type="http://schemas.openxmlformats.org/officeDocument/2006/relationships/hyperlink" Target="https://ref.ly/Jas5:19-Jas5:20" TargetMode="External"/><Relationship Id="rId7081" Type="http://schemas.openxmlformats.org/officeDocument/2006/relationships/hyperlink" Target="https://ref.ly/Gen36:5,Gen36:14,Gen36:18" TargetMode="External"/><Relationship Id="rId7082" Type="http://schemas.openxmlformats.org/officeDocument/2006/relationships/hyperlink" Target="https://ref.ly/1Chr1:35" TargetMode="External"/><Relationship Id="rId7083" Type="http://schemas.openxmlformats.org/officeDocument/2006/relationships/hyperlink" Target="https://ref.ly/Num26:48" TargetMode="External"/><Relationship Id="rId7084" Type="http://schemas.openxmlformats.org/officeDocument/2006/relationships/hyperlink" Target="https://ref.ly/Num32:41" TargetMode="External"/><Relationship Id="rId7085" Type="http://schemas.openxmlformats.org/officeDocument/2006/relationships/hyperlink" Target="https://ref.ly/Deut3:14" TargetMode="External"/><Relationship Id="rId7086" Type="http://schemas.openxmlformats.org/officeDocument/2006/relationships/hyperlink" Target="https://ref.ly/Josh13:30" TargetMode="External"/><Relationship Id="rId7087" Type="http://schemas.openxmlformats.org/officeDocument/2006/relationships/hyperlink" Target="https://ref.ly/1Chr2:23" TargetMode="External"/><Relationship Id="rId7088" Type="http://schemas.openxmlformats.org/officeDocument/2006/relationships/hyperlink" Target="https://ref.ly/Judg10:3-Judg10:5" TargetMode="External"/><Relationship Id="rId7089" Type="http://schemas.openxmlformats.org/officeDocument/2006/relationships/hyperlink" Target="https://ref.ly/1Chr20:5" TargetMode="External"/><Relationship Id="rId7090" Type="http://schemas.openxmlformats.org/officeDocument/2006/relationships/hyperlink" Target="https://ref.ly/2Sam21:19" TargetMode="External"/><Relationship Id="rId7091" Type="http://schemas.openxmlformats.org/officeDocument/2006/relationships/hyperlink" Target="https://ref.ly/Gen46:10" TargetMode="External"/><Relationship Id="rId7092" Type="http://schemas.openxmlformats.org/officeDocument/2006/relationships/hyperlink" Target="https://ref.ly/Exod6:15" TargetMode="External"/><Relationship Id="rId7093" Type="http://schemas.openxmlformats.org/officeDocument/2006/relationships/hyperlink" Target="https://ref.ly/Num26:12" TargetMode="External"/><Relationship Id="rId7094" Type="http://schemas.openxmlformats.org/officeDocument/2006/relationships/hyperlink" Target="https://ref.ly/1Chr4:24" TargetMode="External"/><Relationship Id="rId7095" Type="http://schemas.openxmlformats.org/officeDocument/2006/relationships/hyperlink" Target="https://ref.ly/1Chr9:10" TargetMode="External"/><Relationship Id="rId7096" Type="http://schemas.openxmlformats.org/officeDocument/2006/relationships/hyperlink" Target="https://ref.ly/Neh11:10" TargetMode="External"/><Relationship Id="rId7097" Type="http://schemas.openxmlformats.org/officeDocument/2006/relationships/hyperlink" Target="https://ref.ly/1Chr24:17" TargetMode="External"/><Relationship Id="rId7098" Type="http://schemas.openxmlformats.org/officeDocument/2006/relationships/hyperlink" Target="https://ref.ly/1Chr2:27" TargetMode="External"/><Relationship Id="rId7099" Type="http://schemas.openxmlformats.org/officeDocument/2006/relationships/hyperlink" Target="https://ref.ly/Neh8:7" TargetMode="External"/><Relationship Id="rId7100" Type="http://schemas.openxmlformats.org/officeDocument/2006/relationships/hyperlink" Target="https://ref.ly/Gen9:18,Gen9:23,Gen9:27" TargetMode="External"/><Relationship Id="rId7101" Type="http://schemas.openxmlformats.org/officeDocument/2006/relationships/hyperlink" Target="https://ref.ly/Gen10:1-Gen10:5" TargetMode="External"/><Relationship Id="rId7102" Type="http://schemas.openxmlformats.org/officeDocument/2006/relationships/hyperlink" Target="https://ref.ly/1Chr1:4-1Chr1:5" TargetMode="External"/><Relationship Id="rId7103" Type="http://schemas.openxmlformats.org/officeDocument/2006/relationships/hyperlink" Target="https://ref.ly/Gen9:20-Gen9:23" TargetMode="External"/><Relationship Id="rId7104" Type="http://schemas.openxmlformats.org/officeDocument/2006/relationships/hyperlink" Target="https://ref.ly/Gen9:26-Gen9:27" TargetMode="External"/><Relationship Id="rId7105" Type="http://schemas.openxmlformats.org/officeDocument/2006/relationships/hyperlink" Target="https://ref.ly/Gen2:8" TargetMode="External"/><Relationship Id="rId7106" Type="http://schemas.openxmlformats.org/officeDocument/2006/relationships/hyperlink" Target="https://ref.ly/Gen2:8-Gen2:10" TargetMode="External"/><Relationship Id="rId7107" Type="http://schemas.openxmlformats.org/officeDocument/2006/relationships/hyperlink" Target="https://ref.ly/1Chr7:1" TargetMode="External"/><Relationship Id="rId7108" Type="http://schemas.openxmlformats.org/officeDocument/2006/relationships/hyperlink" Target="https://ref.ly/Num26:24" TargetMode="External"/><Relationship Id="rId7109" Type="http://schemas.openxmlformats.org/officeDocument/2006/relationships/hyperlink" Target="https://ref.ly/Ezra10:29" TargetMode="External"/><Relationship Id="rId7110" Type="http://schemas.openxmlformats.org/officeDocument/2006/relationships/hyperlink" Target="https://ref.ly/2Macc4:9-2Macc4:50" TargetMode="External"/><Relationship Id="rId7111" Type="http://schemas.openxmlformats.org/officeDocument/2006/relationships/hyperlink" Target="https://ref.ly/2Macc5:10" TargetMode="External"/><Relationship Id="rId7112" Type="http://schemas.openxmlformats.org/officeDocument/2006/relationships/hyperlink" Target="https://ref.ly/Acts17:1,Acts17:5-Acts17:9" TargetMode="External"/><Relationship Id="rId7113" Type="http://schemas.openxmlformats.org/officeDocument/2006/relationships/hyperlink" Target="https://ref.ly/Rom16:21" TargetMode="External"/><Relationship Id="rId7114" Type="http://schemas.openxmlformats.org/officeDocument/2006/relationships/hyperlink" Target="https://ref.ly/Ezek27:19" TargetMode="External"/><Relationship Id="rId7115" Type="http://schemas.openxmlformats.org/officeDocument/2006/relationships/hyperlink" Target="https://ref.ly/Dan10:13,Dan10:20" TargetMode="External"/><Relationship Id="rId7116" Type="http://schemas.openxmlformats.org/officeDocument/2006/relationships/hyperlink" Target="https://ref.ly/Gen10:2-Gen10:4" TargetMode="External"/><Relationship Id="rId7117" Type="http://schemas.openxmlformats.org/officeDocument/2006/relationships/hyperlink" Target="https://ref.ly/1Chr1:5-1Chr1:7" TargetMode="External"/><Relationship Id="rId7118" Type="http://schemas.openxmlformats.org/officeDocument/2006/relationships/hyperlink" Target="https://ref.ly/John1:40-John1:42" TargetMode="External"/><Relationship Id="rId7119" Type="http://schemas.openxmlformats.org/officeDocument/2006/relationships/hyperlink" Target="https://ref.ly/John21:15-John21:17" TargetMode="External"/><Relationship Id="rId7120" Type="http://schemas.openxmlformats.org/officeDocument/2006/relationships/hyperlink" Target="https://ref.ly/2John1:1" TargetMode="External"/><Relationship Id="rId7121" Type="http://schemas.openxmlformats.org/officeDocument/2006/relationships/hyperlink" Target="https://ref.ly/Acts12:12" TargetMode="External"/><Relationship Id="rId7122" Type="http://schemas.openxmlformats.org/officeDocument/2006/relationships/hyperlink" Target="https://ref.ly/Acts12:12-Acts12:13" TargetMode="External"/><Relationship Id="rId7123" Type="http://schemas.openxmlformats.org/officeDocument/2006/relationships/hyperlink" Target="https://ref.ly/1Pet5:13" TargetMode="External"/><Relationship Id="rId7124" Type="http://schemas.openxmlformats.org/officeDocument/2006/relationships/hyperlink" Target="https://ref.ly/Acts13:5" TargetMode="External"/><Relationship Id="rId7125" Type="http://schemas.openxmlformats.org/officeDocument/2006/relationships/hyperlink" Target="https://ref.ly/Acts15:12,Acts15:25" TargetMode="External"/><Relationship Id="rId7126" Type="http://schemas.openxmlformats.org/officeDocument/2006/relationships/hyperlink" Target="https://ref.ly/Acts9:27" TargetMode="External"/><Relationship Id="rId7127" Type="http://schemas.openxmlformats.org/officeDocument/2006/relationships/hyperlink" Target="https://ref.ly/Gal2:13" TargetMode="External"/><Relationship Id="rId7128" Type="http://schemas.openxmlformats.org/officeDocument/2006/relationships/hyperlink" Target="https://ref.ly/Acts15:39-Acts15:41" TargetMode="External"/><Relationship Id="rId7129" Type="http://schemas.openxmlformats.org/officeDocument/2006/relationships/hyperlink" Target="https://ref.ly/Phlm1:19" TargetMode="External"/><Relationship Id="rId7130" Type="http://schemas.openxmlformats.org/officeDocument/2006/relationships/hyperlink" Target="https://ref.ly/Col4:11" TargetMode="External"/><Relationship Id="rId7131" Type="http://schemas.openxmlformats.org/officeDocument/2006/relationships/hyperlink" Target="https://ref.ly/2Tim4:9,2Tim4:11" TargetMode="External"/><Relationship Id="rId7132" Type="http://schemas.openxmlformats.org/officeDocument/2006/relationships/hyperlink" Target="https://ref.ly/2Tim4:16" TargetMode="External"/><Relationship Id="rId7133" Type="http://schemas.openxmlformats.org/officeDocument/2006/relationships/hyperlink" Target="https://ref.ly/Gen10:15-Gen10:16" TargetMode="External"/><Relationship Id="rId7134" Type="http://schemas.openxmlformats.org/officeDocument/2006/relationships/hyperlink" Target="https://ref.ly/Exod34:11" TargetMode="External"/><Relationship Id="rId7135" Type="http://schemas.openxmlformats.org/officeDocument/2006/relationships/hyperlink" Target="https://ref.ly/Josh18:28" TargetMode="External"/><Relationship Id="rId7136" Type="http://schemas.openxmlformats.org/officeDocument/2006/relationships/hyperlink" Target="https://ref.ly/2Sam5:6" TargetMode="External"/><Relationship Id="rId7137" Type="http://schemas.openxmlformats.org/officeDocument/2006/relationships/hyperlink" Target="https://ref.ly/1Chr11:5" TargetMode="External"/><Relationship Id="rId7138" Type="http://schemas.openxmlformats.org/officeDocument/2006/relationships/hyperlink" Target="https://ref.ly/2Sam5:8" TargetMode="External"/><Relationship Id="rId7139" Type="http://schemas.openxmlformats.org/officeDocument/2006/relationships/hyperlink" Target="https://ref.ly/1Chr7:6,1Chr7:10-1Chr7:11" TargetMode="External"/><Relationship Id="rId7140" Type="http://schemas.openxmlformats.org/officeDocument/2006/relationships/hyperlink" Target="https://ref.ly/1Chr11:45" TargetMode="External"/><Relationship Id="rId7141" Type="http://schemas.openxmlformats.org/officeDocument/2006/relationships/hyperlink" Target="https://ref.ly/1Chr12:20" TargetMode="External"/><Relationship Id="rId7142" Type="http://schemas.openxmlformats.org/officeDocument/2006/relationships/hyperlink" Target="https://ref.ly/1Chr26:2" TargetMode="External"/><Relationship Id="rId7143" Type="http://schemas.openxmlformats.org/officeDocument/2006/relationships/hyperlink" Target="https://ref.ly/Gen10:25-Gen10:26" TargetMode="External"/><Relationship Id="rId7144" Type="http://schemas.openxmlformats.org/officeDocument/2006/relationships/hyperlink" Target="https://ref.ly/Gen5:15-Gen5:20" TargetMode="External"/><Relationship Id="rId7145" Type="http://schemas.openxmlformats.org/officeDocument/2006/relationships/hyperlink" Target="https://ref.ly/1Chr1:2" TargetMode="External"/><Relationship Id="rId7146" Type="http://schemas.openxmlformats.org/officeDocument/2006/relationships/hyperlink" Target="https://ref.ly/Luke3:37" TargetMode="External"/><Relationship Id="rId7147" Type="http://schemas.openxmlformats.org/officeDocument/2006/relationships/hyperlink" Target="https://ref.ly/Deut34:3" TargetMode="External"/><Relationship Id="rId7148" Type="http://schemas.openxmlformats.org/officeDocument/2006/relationships/hyperlink" Target="https://ref.ly/2Chr28:15" TargetMode="External"/><Relationship Id="rId7149" Type="http://schemas.openxmlformats.org/officeDocument/2006/relationships/hyperlink" Target="https://ref.ly/Luke10:30" TargetMode="External"/><Relationship Id="rId7150" Type="http://schemas.openxmlformats.org/officeDocument/2006/relationships/hyperlink" Target="https://ref.ly/2Kgs2:18-2Kgs2:22" TargetMode="External"/><Relationship Id="rId7151" Type="http://schemas.openxmlformats.org/officeDocument/2006/relationships/hyperlink" Target="https://ref.ly/Num22:1" TargetMode="External"/><Relationship Id="rId7152" Type="http://schemas.openxmlformats.org/officeDocument/2006/relationships/hyperlink" Target="https://ref.ly/Num26:3,Num26:63" TargetMode="External"/><Relationship Id="rId7153" Type="http://schemas.openxmlformats.org/officeDocument/2006/relationships/hyperlink" Target="https://ref.ly/Josh2:1-Josh2:24" TargetMode="External"/><Relationship Id="rId7154" Type="http://schemas.openxmlformats.org/officeDocument/2006/relationships/hyperlink" Target="https://ref.ly/Josh6:1-Josh6:27" TargetMode="External"/><Relationship Id="rId7155" Type="http://schemas.openxmlformats.org/officeDocument/2006/relationships/hyperlink" Target="https://ref.ly/Josh6:26" TargetMode="External"/><Relationship Id="rId7156" Type="http://schemas.openxmlformats.org/officeDocument/2006/relationships/hyperlink" Target="https://ref.ly/Josh16:1,Josh16:7" TargetMode="External"/><Relationship Id="rId7157" Type="http://schemas.openxmlformats.org/officeDocument/2006/relationships/hyperlink" Target="https://ref.ly/Josh18:12,Josh18:21" TargetMode="External"/><Relationship Id="rId7158" Type="http://schemas.openxmlformats.org/officeDocument/2006/relationships/hyperlink" Target="https://ref.ly/2Sam10:5" TargetMode="External"/><Relationship Id="rId7159" Type="http://schemas.openxmlformats.org/officeDocument/2006/relationships/hyperlink" Target="https://ref.ly/1Chr19:5" TargetMode="External"/><Relationship Id="rId7160" Type="http://schemas.openxmlformats.org/officeDocument/2006/relationships/hyperlink" Target="https://ref.ly/2Kgs2:5" TargetMode="External"/><Relationship Id="rId7161" Type="http://schemas.openxmlformats.org/officeDocument/2006/relationships/hyperlink" Target="https://ref.ly/2Kgs25:5" TargetMode="External"/><Relationship Id="rId7162" Type="http://schemas.openxmlformats.org/officeDocument/2006/relationships/hyperlink" Target="https://ref.ly/Jer39:5" TargetMode="External"/><Relationship Id="rId7163" Type="http://schemas.openxmlformats.org/officeDocument/2006/relationships/hyperlink" Target="https://ref.ly/Jer52:8" TargetMode="External"/><Relationship Id="rId7164" Type="http://schemas.openxmlformats.org/officeDocument/2006/relationships/hyperlink" Target="https://ref.ly/Ezra2:34" TargetMode="External"/><Relationship Id="rId7165" Type="http://schemas.openxmlformats.org/officeDocument/2006/relationships/hyperlink" Target="https://ref.ly/Neh7:36" TargetMode="External"/><Relationship Id="rId7166" Type="http://schemas.openxmlformats.org/officeDocument/2006/relationships/hyperlink" Target="https://ref.ly/Neh3:2" TargetMode="External"/><Relationship Id="rId7167" Type="http://schemas.openxmlformats.org/officeDocument/2006/relationships/hyperlink" Target="https://ref.ly/Matt20:29" TargetMode="External"/><Relationship Id="rId7168" Type="http://schemas.openxmlformats.org/officeDocument/2006/relationships/hyperlink" Target="https://ref.ly/Mark10:46" TargetMode="External"/><Relationship Id="rId7169" Type="http://schemas.openxmlformats.org/officeDocument/2006/relationships/hyperlink" Target="https://ref.ly/Luke18:35" TargetMode="External"/><Relationship Id="rId7170" Type="http://schemas.openxmlformats.org/officeDocument/2006/relationships/hyperlink" Target="https://ref.ly/Luke19:1" TargetMode="External"/><Relationship Id="rId7171" Type="http://schemas.openxmlformats.org/officeDocument/2006/relationships/hyperlink" Target="https://ref.ly/Luke10:30-Luke10:37" TargetMode="External"/><Relationship Id="rId7172" Type="http://schemas.openxmlformats.org/officeDocument/2006/relationships/hyperlink" Target="https://ref.ly/1Kgs11:26" TargetMode="External"/><Relationship Id="rId7173" Type="http://schemas.openxmlformats.org/officeDocument/2006/relationships/hyperlink" Target="https://ref.ly/1Kgs11:27-1Kgs11:28" TargetMode="External"/><Relationship Id="rId7174" Type="http://schemas.openxmlformats.org/officeDocument/2006/relationships/hyperlink" Target="https://ref.ly/1Kgs11:29-1Kgs11:30" TargetMode="External"/><Relationship Id="rId7175" Type="http://schemas.openxmlformats.org/officeDocument/2006/relationships/hyperlink" Target="https://ref.ly/1Kgs11:31-1Kgs11:39" TargetMode="External"/><Relationship Id="rId7176" Type="http://schemas.openxmlformats.org/officeDocument/2006/relationships/hyperlink" Target="https://ref.ly/1Kgs11:33" TargetMode="External"/><Relationship Id="rId7177" Type="http://schemas.openxmlformats.org/officeDocument/2006/relationships/hyperlink" Target="https://ref.ly/1Kgs11:7" TargetMode="External"/><Relationship Id="rId7178" Type="http://schemas.openxmlformats.org/officeDocument/2006/relationships/hyperlink" Target="https://ref.ly/1Kgs12:1-1Kgs12:4" TargetMode="External"/><Relationship Id="rId7179" Type="http://schemas.openxmlformats.org/officeDocument/2006/relationships/hyperlink" Target="https://ref.ly/1Kgs12:5-1Kgs12:11" TargetMode="External"/><Relationship Id="rId7180" Type="http://schemas.openxmlformats.org/officeDocument/2006/relationships/hyperlink" Target="https://ref.ly/1Kgs12:12-1Kgs12:14" TargetMode="External"/><Relationship Id="rId7181" Type="http://schemas.openxmlformats.org/officeDocument/2006/relationships/hyperlink" Target="https://ref.ly/1Kgs12:20" TargetMode="External"/><Relationship Id="rId7182" Type="http://schemas.openxmlformats.org/officeDocument/2006/relationships/hyperlink" Target="https://ref.ly/Gen12:6-Gen12:8" TargetMode="External"/><Relationship Id="rId7183" Type="http://schemas.openxmlformats.org/officeDocument/2006/relationships/hyperlink" Target="https://ref.ly/Judg8:17" TargetMode="External"/><Relationship Id="rId7184" Type="http://schemas.openxmlformats.org/officeDocument/2006/relationships/hyperlink" Target="https://ref.ly/1Kgs12:25" TargetMode="External"/><Relationship Id="rId7185" Type="http://schemas.openxmlformats.org/officeDocument/2006/relationships/hyperlink" Target="https://ref.ly/1Kgs12:29" TargetMode="External"/><Relationship Id="rId7186" Type="http://schemas.openxmlformats.org/officeDocument/2006/relationships/hyperlink" Target="https://ref.ly/Gen31:13" TargetMode="External"/><Relationship Id="rId7187" Type="http://schemas.openxmlformats.org/officeDocument/2006/relationships/hyperlink" Target="https://ref.ly/Gen35:1-Gen35:7" TargetMode="External"/><Relationship Id="rId7188" Type="http://schemas.openxmlformats.org/officeDocument/2006/relationships/hyperlink" Target="https://ref.ly/Judg18:1-Judg18:31" TargetMode="External"/><Relationship Id="rId7189" Type="http://schemas.openxmlformats.org/officeDocument/2006/relationships/hyperlink" Target="https://ref.ly/1Kgs12:28" TargetMode="External"/><Relationship Id="rId7190" Type="http://schemas.openxmlformats.org/officeDocument/2006/relationships/hyperlink" Target="https://ref.ly/Exod32:4-Exod32:5" TargetMode="External"/><Relationship Id="rId7191" Type="http://schemas.openxmlformats.org/officeDocument/2006/relationships/hyperlink" Target="https://ref.ly/1Kgs13:33-1Kgs13:34" TargetMode="External"/><Relationship Id="rId7192" Type="http://schemas.openxmlformats.org/officeDocument/2006/relationships/hyperlink" Target="https://ref.ly/1Kgs14:1-1Kgs14:18" TargetMode="External"/><Relationship Id="rId7193" Type="http://schemas.openxmlformats.org/officeDocument/2006/relationships/hyperlink" Target="https://ref.ly/1Kgs14:7-1Kgs14:16" TargetMode="External"/><Relationship Id="rId7194" Type="http://schemas.openxmlformats.org/officeDocument/2006/relationships/hyperlink" Target="https://ref.ly/2Chr13:1-2Chr13:20" TargetMode="External"/><Relationship Id="rId7195" Type="http://schemas.openxmlformats.org/officeDocument/2006/relationships/hyperlink" Target="https://ref.ly/1Kgs14:19-1Kgs14:20" TargetMode="External"/><Relationship Id="rId7196" Type="http://schemas.openxmlformats.org/officeDocument/2006/relationships/hyperlink" Target="https://ref.ly/1Kgs14:20" TargetMode="External"/><Relationship Id="rId7197" Type="http://schemas.openxmlformats.org/officeDocument/2006/relationships/hyperlink" Target="https://ref.ly/1Kgs15:25-1Kgs15:31" TargetMode="External"/><Relationship Id="rId7198" Type="http://schemas.openxmlformats.org/officeDocument/2006/relationships/hyperlink" Target="https://ref.ly/1Kgs15:34" TargetMode="External"/><Relationship Id="rId7199" Type="http://schemas.openxmlformats.org/officeDocument/2006/relationships/hyperlink" Target="https://ref.ly/2Kgs14:23-2Kgs14:24" TargetMode="External"/><Relationship Id="rId7200" Type="http://schemas.openxmlformats.org/officeDocument/2006/relationships/hyperlink" Target="https://ref.ly/2Kgs14:8-2Kgs14:14" TargetMode="External"/><Relationship Id="rId7201" Type="http://schemas.openxmlformats.org/officeDocument/2006/relationships/hyperlink" Target="https://ref.ly/2Chr25:5-2Chr25:24" TargetMode="External"/><Relationship Id="rId7202" Type="http://schemas.openxmlformats.org/officeDocument/2006/relationships/hyperlink" Target="https://ref.ly/2Kgs14:23" TargetMode="External"/><Relationship Id="rId7203" Type="http://schemas.openxmlformats.org/officeDocument/2006/relationships/hyperlink" Target="https://ref.ly/2Kgs14:25" TargetMode="External"/><Relationship Id="rId7204" Type="http://schemas.openxmlformats.org/officeDocument/2006/relationships/hyperlink" Target="https://ref.ly/2Kgs14:26-2Kgs14:28" TargetMode="External"/><Relationship Id="rId7205" Type="http://schemas.openxmlformats.org/officeDocument/2006/relationships/hyperlink" Target="https://ref.ly/Amos7:8-Amos7:17" TargetMode="External"/><Relationship Id="rId7206" Type="http://schemas.openxmlformats.org/officeDocument/2006/relationships/hyperlink" Target="https://ref.ly/2Kgs14:29" TargetMode="External"/><Relationship Id="rId7207" Type="http://schemas.openxmlformats.org/officeDocument/2006/relationships/hyperlink" Target="https://ref.ly/2Kgs15:8-2Kgs15:12" TargetMode="External"/><Relationship Id="rId7208" Type="http://schemas.openxmlformats.org/officeDocument/2006/relationships/hyperlink" Target="https://ref.ly/2Kgs10:12-2Kgs10:31" TargetMode="External"/><Relationship Id="rId7209" Type="http://schemas.openxmlformats.org/officeDocument/2006/relationships/hyperlink" Target="https://ref.ly/2Kgs17:5-2Kgs17:41" TargetMode="External"/><Relationship Id="rId7210" Type="http://schemas.openxmlformats.org/officeDocument/2006/relationships/hyperlink" Target="https://ref.ly/Ezek16:3" TargetMode="External"/><Relationship Id="rId7211" Type="http://schemas.openxmlformats.org/officeDocument/2006/relationships/hyperlink" Target="https://ref.ly/Job38:6" TargetMode="External"/><Relationship Id="rId7212" Type="http://schemas.openxmlformats.org/officeDocument/2006/relationships/hyperlink" Target="https://ref.ly/Ezra10:9" TargetMode="External"/><Relationship Id="rId7213" Type="http://schemas.openxmlformats.org/officeDocument/2006/relationships/hyperlink" Target="https://ref.ly/Gen14:17-Gen14:20" TargetMode="External"/><Relationship Id="rId7214" Type="http://schemas.openxmlformats.org/officeDocument/2006/relationships/hyperlink" Target="https://ref.ly/Josh10:16-Josh10:27" TargetMode="External"/><Relationship Id="rId7215" Type="http://schemas.openxmlformats.org/officeDocument/2006/relationships/hyperlink" Target="https://ref.ly/Judg1:8" TargetMode="External"/><Relationship Id="rId7216" Type="http://schemas.openxmlformats.org/officeDocument/2006/relationships/hyperlink" Target="https://ref.ly/Josh15:63" TargetMode="External"/><Relationship Id="rId7217" Type="http://schemas.openxmlformats.org/officeDocument/2006/relationships/hyperlink" Target="https://ref.ly/1Chr11:4-1Chr11:5" TargetMode="External"/><Relationship Id="rId7218" Type="http://schemas.openxmlformats.org/officeDocument/2006/relationships/hyperlink" Target="https://ref.ly/2Sam3:1" TargetMode="External"/><Relationship Id="rId7219" Type="http://schemas.openxmlformats.org/officeDocument/2006/relationships/hyperlink" Target="https://ref.ly/Neh12:37" TargetMode="External"/><Relationship Id="rId7220" Type="http://schemas.openxmlformats.org/officeDocument/2006/relationships/hyperlink" Target="https://ref.ly/2Sam6:16-2Sam6:23" TargetMode="External"/><Relationship Id="rId7221" Type="http://schemas.openxmlformats.org/officeDocument/2006/relationships/hyperlink" Target="https://ref.ly/2Sam11:2-2Sam11:5" TargetMode="External"/><Relationship Id="rId7222" Type="http://schemas.openxmlformats.org/officeDocument/2006/relationships/hyperlink" Target="https://ref.ly/2Sam11:14-2Sam11:25" TargetMode="External"/><Relationship Id="rId7223" Type="http://schemas.openxmlformats.org/officeDocument/2006/relationships/hyperlink" Target="https://ref.ly/2Sam6:1-2Sam6:15" TargetMode="External"/><Relationship Id="rId7224" Type="http://schemas.openxmlformats.org/officeDocument/2006/relationships/hyperlink" Target="https://ref.ly/2Sam5:7" TargetMode="External"/><Relationship Id="rId7225" Type="http://schemas.openxmlformats.org/officeDocument/2006/relationships/hyperlink" Target="https://ref.ly/Ps46:4" TargetMode="External"/><Relationship Id="rId7226" Type="http://schemas.openxmlformats.org/officeDocument/2006/relationships/hyperlink" Target="https://ref.ly/1Kgs10:1-1Kgs10:29" TargetMode="External"/><Relationship Id="rId7227" Type="http://schemas.openxmlformats.org/officeDocument/2006/relationships/hyperlink" Target="https://ref.ly/1Kgs10:27" TargetMode="External"/><Relationship Id="rId7228" Type="http://schemas.openxmlformats.org/officeDocument/2006/relationships/hyperlink" Target="https://ref.ly/1Kgs4:7-1Kgs4:19" TargetMode="External"/><Relationship Id="rId7229" Type="http://schemas.openxmlformats.org/officeDocument/2006/relationships/hyperlink" Target="https://ref.ly/1Kgs9:20-1Kgs9:23" TargetMode="External"/><Relationship Id="rId7230" Type="http://schemas.openxmlformats.org/officeDocument/2006/relationships/hyperlink" Target="https://ref.ly/Jer25:11" TargetMode="External"/><Relationship Id="rId7231" Type="http://schemas.openxmlformats.org/officeDocument/2006/relationships/hyperlink" Target="https://ref.ly/Jer29:10" TargetMode="External"/><Relationship Id="rId7232" Type="http://schemas.openxmlformats.org/officeDocument/2006/relationships/hyperlink" Target="https://ref.ly/2Chr36:21" TargetMode="External"/><Relationship Id="rId7233" Type="http://schemas.openxmlformats.org/officeDocument/2006/relationships/hyperlink" Target="https://ref.ly/Dan9:2" TargetMode="External"/><Relationship Id="rId7234" Type="http://schemas.openxmlformats.org/officeDocument/2006/relationships/hyperlink" Target="https://ref.ly/2Chr36:22-2Chr36:23" TargetMode="External"/><Relationship Id="rId7235" Type="http://schemas.openxmlformats.org/officeDocument/2006/relationships/hyperlink" Target="https://ref.ly/Ezra1:8-Ezra1:11" TargetMode="External"/><Relationship Id="rId7236" Type="http://schemas.openxmlformats.org/officeDocument/2006/relationships/hyperlink" Target="https://ref.ly/Ezra2:2" TargetMode="External"/><Relationship Id="rId7237" Type="http://schemas.openxmlformats.org/officeDocument/2006/relationships/hyperlink" Target="https://ref.ly/Ezra6:15-Ezra6:18" TargetMode="External"/><Relationship Id="rId7238" Type="http://schemas.openxmlformats.org/officeDocument/2006/relationships/hyperlink" Target="https://ref.ly/Neh1:3-Neh1:4" TargetMode="External"/><Relationship Id="rId7239" Type="http://schemas.openxmlformats.org/officeDocument/2006/relationships/hyperlink" Target="https://ref.ly/Neh2:11-Neh2:16" TargetMode="External"/><Relationship Id="rId7240" Type="http://schemas.openxmlformats.org/officeDocument/2006/relationships/hyperlink" Target="https://ref.ly/John2:20" TargetMode="External"/><Relationship Id="rId7241" Type="http://schemas.openxmlformats.org/officeDocument/2006/relationships/hyperlink" Target="https://ref.ly/Acts7:45" TargetMode="External"/><Relationship Id="rId7242" Type="http://schemas.openxmlformats.org/officeDocument/2006/relationships/hyperlink" Target="https://ref.ly/Heb4:8" TargetMode="External"/><Relationship Id="rId7243" Type="http://schemas.openxmlformats.org/officeDocument/2006/relationships/hyperlink" Target="https://ref.ly/Exod2:21" TargetMode="External"/><Relationship Id="rId7244" Type="http://schemas.openxmlformats.org/officeDocument/2006/relationships/hyperlink" Target="https://ref.ly/Exod4:20" TargetMode="External"/><Relationship Id="rId7245" Type="http://schemas.openxmlformats.org/officeDocument/2006/relationships/hyperlink" Target="https://ref.ly/Exod18:1-Exod18:7" TargetMode="External"/><Relationship Id="rId7246" Type="http://schemas.openxmlformats.org/officeDocument/2006/relationships/hyperlink" Target="https://ref.ly/Gen25:2" TargetMode="External"/><Relationship Id="rId7247" Type="http://schemas.openxmlformats.org/officeDocument/2006/relationships/hyperlink" Target="https://ref.ly/Exod18:13-Exod18:27" TargetMode="External"/><Relationship Id="rId7248" Type="http://schemas.openxmlformats.org/officeDocument/2006/relationships/hyperlink" Target="https://ref.ly/Num10:29-Num10:33" TargetMode="External"/><Relationship Id="rId7249" Type="http://schemas.openxmlformats.org/officeDocument/2006/relationships/hyperlink" Target="https://ref.ly/Judg4:11" TargetMode="External"/><Relationship Id="rId7250" Type="http://schemas.openxmlformats.org/officeDocument/2006/relationships/hyperlink" Target="https://ref.ly/Exod2:16-Exod2:18" TargetMode="External"/><Relationship Id="rId7251" Type="http://schemas.openxmlformats.org/officeDocument/2006/relationships/hyperlink" Target="https://ref.ly/Num10:29" TargetMode="External"/><Relationship Id="rId7252" Type="http://schemas.openxmlformats.org/officeDocument/2006/relationships/hyperlink" Target="https://ref.ly/Exod2:18" TargetMode="External"/><Relationship Id="rId7253" Type="http://schemas.openxmlformats.org/officeDocument/2006/relationships/hyperlink" Target="https://ref.ly/1Chr1:31" TargetMode="External"/><Relationship Id="rId7254" Type="http://schemas.openxmlformats.org/officeDocument/2006/relationships/hyperlink" Target="https://ref.ly/1Chr5:19" TargetMode="External"/><Relationship Id="rId7255" Type="http://schemas.openxmlformats.org/officeDocument/2006/relationships/hyperlink" Target="https://ref.ly/Num26:49" TargetMode="External"/><Relationship Id="rId7256" Type="http://schemas.openxmlformats.org/officeDocument/2006/relationships/hyperlink" Target="https://ref.ly/Judg20:26" TargetMode="External"/><Relationship Id="rId7257" Type="http://schemas.openxmlformats.org/officeDocument/2006/relationships/hyperlink" Target="https://ref.ly/1Sam7:6" TargetMode="External"/><Relationship Id="rId7258" Type="http://schemas.openxmlformats.org/officeDocument/2006/relationships/hyperlink" Target="https://ref.ly/1Kgs21:9" TargetMode="External"/><Relationship Id="rId7259" Type="http://schemas.openxmlformats.org/officeDocument/2006/relationships/hyperlink" Target="https://ref.ly/2Chr20:3" TargetMode="External"/><Relationship Id="rId7260" Type="http://schemas.openxmlformats.org/officeDocument/2006/relationships/hyperlink" Target="https://ref.ly/Jer36:6,Jer36:9" TargetMode="External"/><Relationship Id="rId7261" Type="http://schemas.openxmlformats.org/officeDocument/2006/relationships/hyperlink" Target="https://ref.ly/2Sam12:16-2Sam12:20" TargetMode="External"/><Relationship Id="rId7262" Type="http://schemas.openxmlformats.org/officeDocument/2006/relationships/hyperlink" Target="https://ref.ly/1Kgs21:27" TargetMode="External"/><Relationship Id="rId7263" Type="http://schemas.openxmlformats.org/officeDocument/2006/relationships/hyperlink" Target="https://ref.ly/Ps35:13" TargetMode="External"/><Relationship Id="rId7264" Type="http://schemas.openxmlformats.org/officeDocument/2006/relationships/hyperlink" Target="https://ref.ly/Ps69:10" TargetMode="External"/><Relationship Id="rId7265" Type="http://schemas.openxmlformats.org/officeDocument/2006/relationships/hyperlink" Target="https://ref.ly/Ezra8:21" TargetMode="External"/><Relationship Id="rId7266" Type="http://schemas.openxmlformats.org/officeDocument/2006/relationships/hyperlink" Target="https://ref.ly/Neh1:4" TargetMode="External"/><Relationship Id="rId7267" Type="http://schemas.openxmlformats.org/officeDocument/2006/relationships/hyperlink" Target="https://ref.ly/Jer14:12" TargetMode="External"/><Relationship Id="rId7268" Type="http://schemas.openxmlformats.org/officeDocument/2006/relationships/hyperlink" Target="https://ref.ly/1Sam14:24" TargetMode="External"/><Relationship Id="rId7269" Type="http://schemas.openxmlformats.org/officeDocument/2006/relationships/hyperlink" Target="https://ref.ly/Esth4:16" TargetMode="External"/><Relationship Id="rId7270" Type="http://schemas.openxmlformats.org/officeDocument/2006/relationships/hyperlink" Target="https://ref.ly/2Sam3:35" TargetMode="External"/><Relationship Id="rId7271" Type="http://schemas.openxmlformats.org/officeDocument/2006/relationships/hyperlink" Target="https://ref.ly/Exod34:28" TargetMode="External"/><Relationship Id="rId7272" Type="http://schemas.openxmlformats.org/officeDocument/2006/relationships/hyperlink" Target="https://ref.ly/Dan10:3,Dan10:12" TargetMode="External"/><Relationship Id="rId7273" Type="http://schemas.openxmlformats.org/officeDocument/2006/relationships/hyperlink" Target="https://ref.ly/Isa58:1-Isa58:10" TargetMode="External"/><Relationship Id="rId7274" Type="http://schemas.openxmlformats.org/officeDocument/2006/relationships/hyperlink" Target="https://ref.ly/Tob7:12" TargetMode="External"/><Relationship Id="rId7275" Type="http://schemas.openxmlformats.org/officeDocument/2006/relationships/hyperlink" Target="https://ref.ly/2Esd10:4" TargetMode="External"/><Relationship Id="rId7276" Type="http://schemas.openxmlformats.org/officeDocument/2006/relationships/hyperlink" Target="https://ref.ly/1Macc3:47" TargetMode="External"/><Relationship Id="rId7277" Type="http://schemas.openxmlformats.org/officeDocument/2006/relationships/hyperlink" Target="https://ref.ly/2Macc13:12" TargetMode="External"/><Relationship Id="rId7278" Type="http://schemas.openxmlformats.org/officeDocument/2006/relationships/hyperlink" Target="https://ref.ly/2Esd5:13" TargetMode="External"/><Relationship Id="rId7279" Type="http://schemas.openxmlformats.org/officeDocument/2006/relationships/hyperlink" Target="https://ref.ly/Matt4:2" TargetMode="External"/><Relationship Id="rId7280" Type="http://schemas.openxmlformats.org/officeDocument/2006/relationships/hyperlink" Target="https://ref.ly/Luke4:2" TargetMode="External"/><Relationship Id="rId7281" Type="http://schemas.openxmlformats.org/officeDocument/2006/relationships/hyperlink" Target="https://ref.ly/Matt6:16-Matt6:18" TargetMode="External"/><Relationship Id="rId7282" Type="http://schemas.openxmlformats.org/officeDocument/2006/relationships/hyperlink" Target="https://ref.ly/Gen36:5-Gen36:18" TargetMode="External"/><Relationship Id="rId7283" Type="http://schemas.openxmlformats.org/officeDocument/2006/relationships/hyperlink" Target="https://ref.ly/1Chr8:39" TargetMode="External"/><Relationship Id="rId7284" Type="http://schemas.openxmlformats.org/officeDocument/2006/relationships/hyperlink" Target="https://ref.ly/2Chr11:19" TargetMode="External"/><Relationship Id="rId7285" Type="http://schemas.openxmlformats.org/officeDocument/2006/relationships/hyperlink" Target="https://ref.ly/2Chr31:14" TargetMode="External"/><Relationship Id="rId7286" Type="http://schemas.openxmlformats.org/officeDocument/2006/relationships/hyperlink" Target="https://ref.ly/Gen11:29" TargetMode="External"/><Relationship Id="rId7287" Type="http://schemas.openxmlformats.org/officeDocument/2006/relationships/hyperlink" Target="https://ref.ly/1Sam14:49" TargetMode="External"/><Relationship Id="rId7288" Type="http://schemas.openxmlformats.org/officeDocument/2006/relationships/hyperlink" Target="https://ref.ly/1Chr7:37" TargetMode="External"/><Relationship Id="rId7289" Type="http://schemas.openxmlformats.org/officeDocument/2006/relationships/hyperlink" Target="https://ref.ly/1Chr7:38" TargetMode="External"/><Relationship Id="rId7290" Type="http://schemas.openxmlformats.org/officeDocument/2006/relationships/hyperlink" Target="https://ref.ly/Ezek14:14,Ezek14:20" TargetMode="External"/><Relationship Id="rId7291" Type="http://schemas.openxmlformats.org/officeDocument/2006/relationships/hyperlink" Target="https://ref.ly/Gen36:33-Gen36:34" TargetMode="External"/><Relationship Id="rId7292" Type="http://schemas.openxmlformats.org/officeDocument/2006/relationships/hyperlink" Target="https://ref.ly/1Chr1:44-1Chr1:45" TargetMode="External"/><Relationship Id="rId7293" Type="http://schemas.openxmlformats.org/officeDocument/2006/relationships/hyperlink" Target="https://ref.ly/Josh11:1" TargetMode="External"/><Relationship Id="rId7294" Type="http://schemas.openxmlformats.org/officeDocument/2006/relationships/hyperlink" Target="https://ref.ly/Josh12:19" TargetMode="External"/><Relationship Id="rId7295" Type="http://schemas.openxmlformats.org/officeDocument/2006/relationships/hyperlink" Target="https://ref.ly/1Chr8:9" TargetMode="External"/><Relationship Id="rId7296" Type="http://schemas.openxmlformats.org/officeDocument/2006/relationships/hyperlink" Target="https://ref.ly/1Chr8:18" TargetMode="External"/><Relationship Id="rId7297" Type="http://schemas.openxmlformats.org/officeDocument/2006/relationships/hyperlink" Target="https://ref.ly/1Chr6:36" TargetMode="External"/><Relationship Id="rId7298" Type="http://schemas.openxmlformats.org/officeDocument/2006/relationships/hyperlink" Target="https://ref.ly/1Sam8:2-1Sam8:5" TargetMode="External"/><Relationship Id="rId7299" Type="http://schemas.openxmlformats.org/officeDocument/2006/relationships/hyperlink" Target="https://ref.ly/1Chr15:7" TargetMode="External"/><Relationship Id="rId7300" Type="http://schemas.openxmlformats.org/officeDocument/2006/relationships/hyperlink" Target="https://ref.ly/1Chr4:35" TargetMode="External"/><Relationship Id="rId7301" Type="http://schemas.openxmlformats.org/officeDocument/2006/relationships/hyperlink" Target="https://ref.ly/1Chr5:4,1Chr5:8" TargetMode="External"/><Relationship Id="rId7302" Type="http://schemas.openxmlformats.org/officeDocument/2006/relationships/hyperlink" Target="https://ref.ly/1Chr5:12" TargetMode="External"/><Relationship Id="rId7303" Type="http://schemas.openxmlformats.org/officeDocument/2006/relationships/hyperlink" Target="https://ref.ly/1Chr7:3" TargetMode="External"/><Relationship Id="rId7304" Type="http://schemas.openxmlformats.org/officeDocument/2006/relationships/hyperlink" Target="https://ref.ly/1Chr11:38" TargetMode="External"/><Relationship Id="rId7305" Type="http://schemas.openxmlformats.org/officeDocument/2006/relationships/hyperlink" Target="https://ref.ly/2Sam23:36" TargetMode="External"/><Relationship Id="rId7306" Type="http://schemas.openxmlformats.org/officeDocument/2006/relationships/hyperlink" Target="https://ref.ly/1Chr15:7-1Chr15:11" TargetMode="External"/><Relationship Id="rId7307" Type="http://schemas.openxmlformats.org/officeDocument/2006/relationships/hyperlink" Target="https://ref.ly/1Chr26:22" TargetMode="External"/><Relationship Id="rId7308" Type="http://schemas.openxmlformats.org/officeDocument/2006/relationships/hyperlink" Target="https://ref.ly/1Chr27:20" TargetMode="External"/><Relationship Id="rId7309" Type="http://schemas.openxmlformats.org/officeDocument/2006/relationships/hyperlink" Target="https://ref.ly/2Chr29:12" TargetMode="External"/><Relationship Id="rId7310" Type="http://schemas.openxmlformats.org/officeDocument/2006/relationships/hyperlink" Target="https://ref.ly/Ezra10:43" TargetMode="External"/><Relationship Id="rId7311" Type="http://schemas.openxmlformats.org/officeDocument/2006/relationships/hyperlink" Target="https://ref.ly/Neh11:9" TargetMode="External"/><Relationship Id="rId7312" Type="http://schemas.openxmlformats.org/officeDocument/2006/relationships/hyperlink" Target="https://ref.ly/Joel1:1" TargetMode="External"/><Relationship Id="rId7313" Type="http://schemas.openxmlformats.org/officeDocument/2006/relationships/hyperlink" Target="https://ref.ly/Acts2:16" TargetMode="External"/><Relationship Id="rId7314" Type="http://schemas.openxmlformats.org/officeDocument/2006/relationships/hyperlink" Target="https://ref.ly/Joel3:2" TargetMode="External"/><Relationship Id="rId7315" Type="http://schemas.openxmlformats.org/officeDocument/2006/relationships/hyperlink" Target="https://ref.ly/Joel2:9" TargetMode="External"/><Relationship Id="rId7316" Type="http://schemas.openxmlformats.org/officeDocument/2006/relationships/hyperlink" Target="https://ref.ly/Joel1:13" TargetMode="External"/><Relationship Id="rId7317" Type="http://schemas.openxmlformats.org/officeDocument/2006/relationships/hyperlink" Target="https://ref.ly/Joel2:16-Joel2:17" TargetMode="External"/><Relationship Id="rId7318" Type="http://schemas.openxmlformats.org/officeDocument/2006/relationships/hyperlink" Target="https://ref.ly/Joel2:27" TargetMode="External"/><Relationship Id="rId7319" Type="http://schemas.openxmlformats.org/officeDocument/2006/relationships/hyperlink" Target="https://ref.ly/Joel3:16" TargetMode="External"/><Relationship Id="rId7320" Type="http://schemas.openxmlformats.org/officeDocument/2006/relationships/hyperlink" Target="https://ref.ly/Joel2:12" TargetMode="External"/><Relationship Id="rId7321" Type="http://schemas.openxmlformats.org/officeDocument/2006/relationships/hyperlink" Target="https://ref.ly/Joel1:1-Joel1:12" TargetMode="External"/><Relationship Id="rId7322" Type="http://schemas.openxmlformats.org/officeDocument/2006/relationships/hyperlink" Target="https://ref.ly/Joel1:2-Joel1:4" TargetMode="External"/><Relationship Id="rId7323" Type="http://schemas.openxmlformats.org/officeDocument/2006/relationships/hyperlink" Target="https://ref.ly/Joel1:5-Joel1:7" TargetMode="External"/><Relationship Id="rId7324" Type="http://schemas.openxmlformats.org/officeDocument/2006/relationships/hyperlink" Target="https://ref.ly/Joel1:8-Joel1:10" TargetMode="External"/><Relationship Id="rId7325" Type="http://schemas.openxmlformats.org/officeDocument/2006/relationships/hyperlink" Target="https://ref.ly/Joel1:11-Joel1:12" TargetMode="External"/><Relationship Id="rId7326" Type="http://schemas.openxmlformats.org/officeDocument/2006/relationships/hyperlink" Target="https://ref.ly/Joel1:13-Joel1:20" TargetMode="External"/><Relationship Id="rId7327" Type="http://schemas.openxmlformats.org/officeDocument/2006/relationships/hyperlink" Target="https://ref.ly/Joel1:14" TargetMode="External"/><Relationship Id="rId7328" Type="http://schemas.openxmlformats.org/officeDocument/2006/relationships/hyperlink" Target="https://ref.ly/Joel1:15-Joel1:18" TargetMode="External"/><Relationship Id="rId7329" Type="http://schemas.openxmlformats.org/officeDocument/2006/relationships/hyperlink" Target="https://ref.ly/Joel1:19-Joel1:20" TargetMode="External"/><Relationship Id="rId7330" Type="http://schemas.openxmlformats.org/officeDocument/2006/relationships/hyperlink" Target="https://ref.ly/Joel2:1-Joel2:11" TargetMode="External"/><Relationship Id="rId7331" Type="http://schemas.openxmlformats.org/officeDocument/2006/relationships/hyperlink" Target="https://ref.ly/Joel2:1-Joel2:2" TargetMode="External"/><Relationship Id="rId7332" Type="http://schemas.openxmlformats.org/officeDocument/2006/relationships/hyperlink" Target="https://ref.ly/Joel2:3" TargetMode="External"/><Relationship Id="rId7333" Type="http://schemas.openxmlformats.org/officeDocument/2006/relationships/hyperlink" Target="https://ref.ly/Joel2:4-Joel2:9" TargetMode="External"/><Relationship Id="rId7334" Type="http://schemas.openxmlformats.org/officeDocument/2006/relationships/hyperlink" Target="https://ref.ly/Joel2:10-Joel2:11" TargetMode="External"/><Relationship Id="rId7335" Type="http://schemas.openxmlformats.org/officeDocument/2006/relationships/hyperlink" Target="https://ref.ly/Joel2:12-Joel2:17" TargetMode="External"/><Relationship Id="rId7336" Type="http://schemas.openxmlformats.org/officeDocument/2006/relationships/hyperlink" Target="https://ref.ly/Joel2:14" TargetMode="External"/><Relationship Id="rId7337" Type="http://schemas.openxmlformats.org/officeDocument/2006/relationships/hyperlink" Target="https://ref.ly/Joel2:14-Joel2:17" TargetMode="External"/><Relationship Id="rId7338" Type="http://schemas.openxmlformats.org/officeDocument/2006/relationships/hyperlink" Target="https://ref.ly/Joel2:18-Joel2:27" TargetMode="External"/><Relationship Id="rId7339" Type="http://schemas.openxmlformats.org/officeDocument/2006/relationships/hyperlink" Target="https://ref.ly/Joel2:18-Joel2:19" TargetMode="External"/><Relationship Id="rId7340" Type="http://schemas.openxmlformats.org/officeDocument/2006/relationships/hyperlink" Target="https://ref.ly/Joel2:20-Joel2:22" TargetMode="External"/><Relationship Id="rId7341" Type="http://schemas.openxmlformats.org/officeDocument/2006/relationships/hyperlink" Target="https://ref.ly/Joel2:23-Joel2:25" TargetMode="External"/><Relationship Id="rId7342" Type="http://schemas.openxmlformats.org/officeDocument/2006/relationships/hyperlink" Target="https://ref.ly/Joel2:26-Joel2:27" TargetMode="External"/><Relationship Id="rId7343" Type="http://schemas.openxmlformats.org/officeDocument/2006/relationships/hyperlink" Target="https://ref.ly/Joel2:30-Joel2:31" TargetMode="External"/><Relationship Id="rId7344" Type="http://schemas.openxmlformats.org/officeDocument/2006/relationships/hyperlink" Target="https://ref.ly/Joel2:32" TargetMode="External"/><Relationship Id="rId7345" Type="http://schemas.openxmlformats.org/officeDocument/2006/relationships/hyperlink" Target="https://ref.ly/Joel3:1-Joel3:15" TargetMode="External"/><Relationship Id="rId7346" Type="http://schemas.openxmlformats.org/officeDocument/2006/relationships/hyperlink" Target="https://ref.ly/Joel3:1-Joel3:3" TargetMode="External"/><Relationship Id="rId7347" Type="http://schemas.openxmlformats.org/officeDocument/2006/relationships/hyperlink" Target="https://ref.ly/Joel3:9-Joel3:11" TargetMode="External"/><Relationship Id="rId7348" Type="http://schemas.openxmlformats.org/officeDocument/2006/relationships/hyperlink" Target="https://ref.ly/Joel3:12-Joel3:15" TargetMode="External"/><Relationship Id="rId7349" Type="http://schemas.openxmlformats.org/officeDocument/2006/relationships/hyperlink" Target="https://ref.ly/Joel3:16-Joel3:21" TargetMode="External"/><Relationship Id="rId7350" Type="http://schemas.openxmlformats.org/officeDocument/2006/relationships/hyperlink" Target="https://ref.ly/Joel3:17" TargetMode="External"/><Relationship Id="rId7351" Type="http://schemas.openxmlformats.org/officeDocument/2006/relationships/hyperlink" Target="https://ref.ly/Joel3:18" TargetMode="External"/><Relationship Id="rId7352" Type="http://schemas.openxmlformats.org/officeDocument/2006/relationships/hyperlink" Target="https://ref.ly/Joel3:20-Joel3:21" TargetMode="External"/><Relationship Id="rId7353" Type="http://schemas.openxmlformats.org/officeDocument/2006/relationships/hyperlink" Target="https://ref.ly/Joel2:1-Joel2:32" TargetMode="External"/><Relationship Id="rId7354" Type="http://schemas.openxmlformats.org/officeDocument/2006/relationships/hyperlink" Target="https://ref.ly/Luke13:5" TargetMode="External"/><Relationship Id="rId7355" Type="http://schemas.openxmlformats.org/officeDocument/2006/relationships/hyperlink" Target="https://ref.ly/Acts2:16-Acts2:21" TargetMode="External"/><Relationship Id="rId7356" Type="http://schemas.openxmlformats.org/officeDocument/2006/relationships/hyperlink" Target="https://ref.ly/Matt18:13" TargetMode="External"/><Relationship Id="rId7357" Type="http://schemas.openxmlformats.org/officeDocument/2006/relationships/hyperlink" Target="https://ref.ly/Luke13:17" TargetMode="External"/><Relationship Id="rId7358" Type="http://schemas.openxmlformats.org/officeDocument/2006/relationships/hyperlink" Target="https://ref.ly/Luke24:52" TargetMode="External"/><Relationship Id="rId7359" Type="http://schemas.openxmlformats.org/officeDocument/2006/relationships/hyperlink" Target="https://ref.ly/Rom16:19" TargetMode="External"/><Relationship Id="rId7360" Type="http://schemas.openxmlformats.org/officeDocument/2006/relationships/hyperlink" Target="https://ref.ly/1Cor13:6" TargetMode="External"/><Relationship Id="rId7361" Type="http://schemas.openxmlformats.org/officeDocument/2006/relationships/hyperlink" Target="https://ref.ly/1Sam2:1" TargetMode="External"/><Relationship Id="rId7362" Type="http://schemas.openxmlformats.org/officeDocument/2006/relationships/hyperlink" Target="https://ref.ly/1Sam11:9" TargetMode="External"/><Relationship Id="rId7363" Type="http://schemas.openxmlformats.org/officeDocument/2006/relationships/hyperlink" Target="https://ref.ly/2Sam6:12" TargetMode="External"/><Relationship Id="rId7364" Type="http://schemas.openxmlformats.org/officeDocument/2006/relationships/hyperlink" Target="https://ref.ly/1Kgs1:40" TargetMode="External"/><Relationship Id="rId7365" Type="http://schemas.openxmlformats.org/officeDocument/2006/relationships/hyperlink" Target="https://ref.ly/Esth9:17-Esth9:22" TargetMode="External"/><Relationship Id="rId7366" Type="http://schemas.openxmlformats.org/officeDocument/2006/relationships/hyperlink" Target="https://ref.ly/Ps137:1-Ps137:6" TargetMode="External"/><Relationship Id="rId7367" Type="http://schemas.openxmlformats.org/officeDocument/2006/relationships/hyperlink" Target="https://ref.ly/Prov5:18" TargetMode="External"/><Relationship Id="rId7368" Type="http://schemas.openxmlformats.org/officeDocument/2006/relationships/hyperlink" Target="https://ref.ly/Matt5:11-Matt5:12" TargetMode="External"/><Relationship Id="rId7369" Type="http://schemas.openxmlformats.org/officeDocument/2006/relationships/hyperlink" Target="https://ref.ly/Phil4:4" TargetMode="External"/><Relationship Id="rId7370" Type="http://schemas.openxmlformats.org/officeDocument/2006/relationships/hyperlink" Target="https://ref.ly/1Thess5:16" TargetMode="External"/><Relationship Id="rId7371" Type="http://schemas.openxmlformats.org/officeDocument/2006/relationships/hyperlink" Target="https://ref.ly/Gal5:22" TargetMode="External"/><Relationship Id="rId7372" Type="http://schemas.openxmlformats.org/officeDocument/2006/relationships/hyperlink" Target="https://ref.ly/Jer22:24" TargetMode="External"/><Relationship Id="rId7373" Type="http://schemas.openxmlformats.org/officeDocument/2006/relationships/hyperlink" Target="https://ref.ly/Jer27:20" TargetMode="External"/><Relationship Id="rId7374" Type="http://schemas.openxmlformats.org/officeDocument/2006/relationships/hyperlink" Target="https://ref.ly/Jer28:4" TargetMode="External"/><Relationship Id="rId7375" Type="http://schemas.openxmlformats.org/officeDocument/2006/relationships/hyperlink" Target="https://ref.ly/Jer37:1" TargetMode="External"/><Relationship Id="rId7376" Type="http://schemas.openxmlformats.org/officeDocument/2006/relationships/hyperlink" Target="https://ref.ly/Esth2:6" TargetMode="External"/><Relationship Id="rId7377" Type="http://schemas.openxmlformats.org/officeDocument/2006/relationships/hyperlink" Target="https://ref.ly/1Chr3:16-1Chr3:17" TargetMode="External"/><Relationship Id="rId7378" Type="http://schemas.openxmlformats.org/officeDocument/2006/relationships/hyperlink" Target="https://ref.ly/Matt1:11-Matt1:12" TargetMode="External"/><Relationship Id="rId7379" Type="http://schemas.openxmlformats.org/officeDocument/2006/relationships/hyperlink" Target="https://ref.ly/2Kgs24:8" TargetMode="External"/><Relationship Id="rId7380" Type="http://schemas.openxmlformats.org/officeDocument/2006/relationships/hyperlink" Target="https://ref.ly/2Chr36:9" TargetMode="External"/><Relationship Id="rId7381" Type="http://schemas.openxmlformats.org/officeDocument/2006/relationships/hyperlink" Target="https://ref.ly/2Kgs24:12-2Kgs24:17" TargetMode="External"/><Relationship Id="rId7382" Type="http://schemas.openxmlformats.org/officeDocument/2006/relationships/hyperlink" Target="https://ref.ly/Jer37:1-Jer38:28" TargetMode="External"/><Relationship Id="rId7383" Type="http://schemas.openxmlformats.org/officeDocument/2006/relationships/hyperlink" Target="https://ref.ly/Jer22:24-Jer22:30" TargetMode="External"/><Relationship Id="rId7384" Type="http://schemas.openxmlformats.org/officeDocument/2006/relationships/hyperlink" Target="https://ref.ly/Jer28:3-Jer28:4" TargetMode="External"/><Relationship Id="rId7385" Type="http://schemas.openxmlformats.org/officeDocument/2006/relationships/hyperlink" Target="https://ref.ly/Jer28:12-Jer28:17" TargetMode="External"/><Relationship Id="rId7386" Type="http://schemas.openxmlformats.org/officeDocument/2006/relationships/hyperlink" Target="https://ref.ly/Ezek1:2" TargetMode="External"/><Relationship Id="rId7387" Type="http://schemas.openxmlformats.org/officeDocument/2006/relationships/hyperlink" Target="https://ref.ly/Ezek20:1" TargetMode="External"/><Relationship Id="rId7388" Type="http://schemas.openxmlformats.org/officeDocument/2006/relationships/hyperlink" Target="https://ref.ly/2Kgs25:27-2Kgs25:30" TargetMode="External"/><Relationship Id="rId7389" Type="http://schemas.openxmlformats.org/officeDocument/2006/relationships/hyperlink" Target="https://ref.ly/Jer52:31-Jer52:34" TargetMode="External"/><Relationship Id="rId7390" Type="http://schemas.openxmlformats.org/officeDocument/2006/relationships/hyperlink" Target="https://ref.ly/Hag2:20-Hag2:23" TargetMode="External"/><Relationship Id="rId7391" Type="http://schemas.openxmlformats.org/officeDocument/2006/relationships/hyperlink" Target="https://ref.ly/Gen25:2-Gen25:3" TargetMode="External"/><Relationship Id="rId7392" Type="http://schemas.openxmlformats.org/officeDocument/2006/relationships/hyperlink" Target="https://ref.ly/Gen10:25-Gen10:29" TargetMode="External"/><Relationship Id="rId7393" Type="http://schemas.openxmlformats.org/officeDocument/2006/relationships/hyperlink" Target="https://ref.ly/1Chr1:19-1Chr1:23" TargetMode="External"/><Relationship Id="rId7394" Type="http://schemas.openxmlformats.org/officeDocument/2006/relationships/hyperlink" Target="https://ref.ly/Josh19:46" TargetMode="External"/><Relationship Id="rId7395" Type="http://schemas.openxmlformats.org/officeDocument/2006/relationships/hyperlink" Target="https://ref.ly/2Chr2:16" TargetMode="External"/><Relationship Id="rId7396" Type="http://schemas.openxmlformats.org/officeDocument/2006/relationships/hyperlink" Target="https://ref.ly/Jonah1:3" TargetMode="External"/><Relationship Id="rId7397" Type="http://schemas.openxmlformats.org/officeDocument/2006/relationships/hyperlink" Target="https://ref.ly/2Macc12:3-2Macc12:9" TargetMode="External"/><Relationship Id="rId7398" Type="http://schemas.openxmlformats.org/officeDocument/2006/relationships/hyperlink" Target="https://ref.ly/1Macc10:74-1Macc10:86" TargetMode="External"/><Relationship Id="rId7399" Type="http://schemas.openxmlformats.org/officeDocument/2006/relationships/hyperlink" Target="https://ref.ly/Acts9:43" TargetMode="External"/><Relationship Id="rId7400" Type="http://schemas.openxmlformats.org/officeDocument/2006/relationships/hyperlink" Target="https://ref.ly/Gen30:24" TargetMode="External"/><Relationship Id="rId7401" Type="http://schemas.openxmlformats.org/officeDocument/2006/relationships/hyperlink" Target="https://ref.ly/Gen37:3-Gen37:4" TargetMode="External"/><Relationship Id="rId7402" Type="http://schemas.openxmlformats.org/officeDocument/2006/relationships/hyperlink" Target="https://ref.ly/Gen37:5-Gen37:11" TargetMode="External"/><Relationship Id="rId7403" Type="http://schemas.openxmlformats.org/officeDocument/2006/relationships/hyperlink" Target="https://ref.ly/Gen37:31-Gen37:33" TargetMode="External"/><Relationship Id="rId7404" Type="http://schemas.openxmlformats.org/officeDocument/2006/relationships/hyperlink" Target="https://ref.ly/Gen37:34-Gen37:35" TargetMode="External"/><Relationship Id="rId7405" Type="http://schemas.openxmlformats.org/officeDocument/2006/relationships/hyperlink" Target="https://ref.ly/Gen39:6-Gen39:10" TargetMode="External"/><Relationship Id="rId7406" Type="http://schemas.openxmlformats.org/officeDocument/2006/relationships/hyperlink" Target="https://ref.ly/Gen39:9" TargetMode="External"/><Relationship Id="rId7407" Type="http://schemas.openxmlformats.org/officeDocument/2006/relationships/hyperlink" Target="https://ref.ly/Gen39:20" TargetMode="External"/><Relationship Id="rId7408" Type="http://schemas.openxmlformats.org/officeDocument/2006/relationships/hyperlink" Target="https://ref.ly/Gen41:25-Gen41:36" TargetMode="External"/><Relationship Id="rId7409" Type="http://schemas.openxmlformats.org/officeDocument/2006/relationships/hyperlink" Target="https://ref.ly/Gen41:39-Gen41:44" TargetMode="External"/><Relationship Id="rId7410" Type="http://schemas.openxmlformats.org/officeDocument/2006/relationships/hyperlink" Target="https://ref.ly/Gen41:45" TargetMode="External"/><Relationship Id="rId7411" Type="http://schemas.openxmlformats.org/officeDocument/2006/relationships/hyperlink" Target="https://ref.ly/Gen41:53-Gen41:56" TargetMode="External"/><Relationship Id="rId7412" Type="http://schemas.openxmlformats.org/officeDocument/2006/relationships/hyperlink" Target="https://ref.ly/Gen42:8-Gen42:9" TargetMode="External"/><Relationship Id="rId7413" Type="http://schemas.openxmlformats.org/officeDocument/2006/relationships/hyperlink" Target="https://ref.ly/Gen42:9-Gen42:14" TargetMode="External"/><Relationship Id="rId7414" Type="http://schemas.openxmlformats.org/officeDocument/2006/relationships/hyperlink" Target="https://ref.ly/Gen42:19-Gen42:20" TargetMode="External"/><Relationship Id="rId7415" Type="http://schemas.openxmlformats.org/officeDocument/2006/relationships/hyperlink" Target="https://ref.ly/Gen42:24" TargetMode="External"/><Relationship Id="rId7416" Type="http://schemas.openxmlformats.org/officeDocument/2006/relationships/hyperlink" Target="https://ref.ly/Gen43:1-Gen43:2" TargetMode="External"/><Relationship Id="rId7417" Type="http://schemas.openxmlformats.org/officeDocument/2006/relationships/hyperlink" Target="https://ref.ly/Gen43:11-Gen43:13" TargetMode="External"/><Relationship Id="rId7418" Type="http://schemas.openxmlformats.org/officeDocument/2006/relationships/hyperlink" Target="https://ref.ly/Gen43:23" TargetMode="External"/><Relationship Id="rId7419" Type="http://schemas.openxmlformats.org/officeDocument/2006/relationships/hyperlink" Target="https://ref.ly/Gen43:33" TargetMode="External"/><Relationship Id="rId7420" Type="http://schemas.openxmlformats.org/officeDocument/2006/relationships/hyperlink" Target="https://ref.ly/Gen45:4-Gen45:8" TargetMode="External"/><Relationship Id="rId7421" Type="http://schemas.openxmlformats.org/officeDocument/2006/relationships/hyperlink" Target="https://ref.ly/Gen45:21" TargetMode="External"/><Relationship Id="rId7422" Type="http://schemas.openxmlformats.org/officeDocument/2006/relationships/hyperlink" Target="https://ref.ly/Gen47:6" TargetMode="External"/><Relationship Id="rId7423" Type="http://schemas.openxmlformats.org/officeDocument/2006/relationships/hyperlink" Target="https://ref.ly/Gen48:14-Gen48:20" TargetMode="External"/><Relationship Id="rId7424" Type="http://schemas.openxmlformats.org/officeDocument/2006/relationships/hyperlink" Target="https://ref.ly/Gen50:1-Gen50:12" TargetMode="External"/><Relationship Id="rId7425" Type="http://schemas.openxmlformats.org/officeDocument/2006/relationships/hyperlink" Target="https://ref.ly/Gen33:18-Gen33:20" TargetMode="External"/><Relationship Id="rId7426" Type="http://schemas.openxmlformats.org/officeDocument/2006/relationships/hyperlink" Target="https://ref.ly/Num13:7" TargetMode="External"/><Relationship Id="rId7427" Type="http://schemas.openxmlformats.org/officeDocument/2006/relationships/hyperlink" Target="https://ref.ly/1Chr25:2,1Chr25:9" TargetMode="External"/><Relationship Id="rId7428" Type="http://schemas.openxmlformats.org/officeDocument/2006/relationships/hyperlink" Target="https://ref.ly/Ezra10:42" TargetMode="External"/><Relationship Id="rId7429" Type="http://schemas.openxmlformats.org/officeDocument/2006/relationships/hyperlink" Target="https://ref.ly/Neh12:14" TargetMode="External"/><Relationship Id="rId7430" Type="http://schemas.openxmlformats.org/officeDocument/2006/relationships/hyperlink" Target="https://ref.ly/Luke1:31" TargetMode="External"/><Relationship Id="rId7431" Type="http://schemas.openxmlformats.org/officeDocument/2006/relationships/hyperlink" Target="https://ref.ly/Matt1:18,Matt1:25" TargetMode="External"/><Relationship Id="rId7432" Type="http://schemas.openxmlformats.org/officeDocument/2006/relationships/hyperlink" Target="https://ref.ly/Luke1:34-Luke1:37" TargetMode="External"/><Relationship Id="rId7433" Type="http://schemas.openxmlformats.org/officeDocument/2006/relationships/hyperlink" Target="https://ref.ly/Luke2:1-Luke2:6" TargetMode="External"/><Relationship Id="rId7434" Type="http://schemas.openxmlformats.org/officeDocument/2006/relationships/hyperlink" Target="https://ref.ly/Luke2:22,Luke2:33" TargetMode="External"/><Relationship Id="rId7435" Type="http://schemas.openxmlformats.org/officeDocument/2006/relationships/hyperlink" Target="https://ref.ly/Luke2:41-Luke2:51" TargetMode="External"/><Relationship Id="rId7436" Type="http://schemas.openxmlformats.org/officeDocument/2006/relationships/hyperlink" Target="https://ref.ly/Luke4:22" TargetMode="External"/><Relationship Id="rId7437" Type="http://schemas.openxmlformats.org/officeDocument/2006/relationships/hyperlink" Target="https://ref.ly/John6:42" TargetMode="External"/><Relationship Id="rId7438" Type="http://schemas.openxmlformats.org/officeDocument/2006/relationships/hyperlink" Target="https://ref.ly/Matt12:46-Matt12:50" TargetMode="External"/><Relationship Id="rId7439" Type="http://schemas.openxmlformats.org/officeDocument/2006/relationships/hyperlink" Target="https://ref.ly/Mark3:31-Mark3:35" TargetMode="External"/><Relationship Id="rId7440" Type="http://schemas.openxmlformats.org/officeDocument/2006/relationships/hyperlink" Target="https://ref.ly/Luke23:50-Luke23:51" TargetMode="External"/><Relationship Id="rId7441" Type="http://schemas.openxmlformats.org/officeDocument/2006/relationships/hyperlink" Target="https://ref.ly/Luke3:25" TargetMode="External"/><Relationship Id="rId7442" Type="http://schemas.openxmlformats.org/officeDocument/2006/relationships/hyperlink" Target="https://ref.ly/Luke3:26" TargetMode="External"/><Relationship Id="rId7443" Type="http://schemas.openxmlformats.org/officeDocument/2006/relationships/hyperlink" Target="https://ref.ly/Luke3:30" TargetMode="External"/><Relationship Id="rId7444" Type="http://schemas.openxmlformats.org/officeDocument/2006/relationships/hyperlink" Target="https://ref.ly/Josh1:1-Josh1:9" TargetMode="External"/><Relationship Id="rId7445" Type="http://schemas.openxmlformats.org/officeDocument/2006/relationships/hyperlink" Target="https://ref.ly/Josh24:29-Josh24:33" TargetMode="External"/><Relationship Id="rId7446" Type="http://schemas.openxmlformats.org/officeDocument/2006/relationships/hyperlink" Target="https://ref.ly/Josh24:26" TargetMode="External"/><Relationship Id="rId7447" Type="http://schemas.openxmlformats.org/officeDocument/2006/relationships/hyperlink" Target="https://ref.ly/Josh24:1-Josh24:33" TargetMode="External"/><Relationship Id="rId7448" Type="http://schemas.openxmlformats.org/officeDocument/2006/relationships/hyperlink" Target="https://ref.ly/Josh19:47" TargetMode="External"/><Relationship Id="rId7449" Type="http://schemas.openxmlformats.org/officeDocument/2006/relationships/hyperlink" Target="https://ref.ly/Judg18:27-Judg18:31" TargetMode="External"/><Relationship Id="rId7450" Type="http://schemas.openxmlformats.org/officeDocument/2006/relationships/hyperlink" Target="https://ref.ly/Josh15:8,Josh15:63" TargetMode="External"/><Relationship Id="rId7451" Type="http://schemas.openxmlformats.org/officeDocument/2006/relationships/hyperlink" Target="https://ref.ly/Josh18:16,Josh18:28" TargetMode="External"/><Relationship Id="rId7452" Type="http://schemas.openxmlformats.org/officeDocument/2006/relationships/hyperlink" Target="https://ref.ly/Josh11:8" TargetMode="External"/><Relationship Id="rId7453" Type="http://schemas.openxmlformats.org/officeDocument/2006/relationships/hyperlink" Target="https://ref.ly/Josh13:4-Josh13:6" TargetMode="External"/><Relationship Id="rId7454" Type="http://schemas.openxmlformats.org/officeDocument/2006/relationships/hyperlink" Target="https://ref.ly/Josh5:1,Josh5:6" TargetMode="External"/><Relationship Id="rId7455" Type="http://schemas.openxmlformats.org/officeDocument/2006/relationships/hyperlink" Target="https://ref.ly/Deut7:16" TargetMode="External"/><Relationship Id="rId7456" Type="http://schemas.openxmlformats.org/officeDocument/2006/relationships/hyperlink" Target="https://ref.ly/Deut20:16-Deut20:18" TargetMode="External"/><Relationship Id="rId7457" Type="http://schemas.openxmlformats.org/officeDocument/2006/relationships/hyperlink" Target="https://ref.ly/Josh6:21" TargetMode="External"/><Relationship Id="rId7458" Type="http://schemas.openxmlformats.org/officeDocument/2006/relationships/hyperlink" Target="https://ref.ly/Josh8:24-Josh8:26" TargetMode="External"/><Relationship Id="rId7459" Type="http://schemas.openxmlformats.org/officeDocument/2006/relationships/hyperlink" Target="https://ref.ly/Josh10:10,Josh10:28-Josh10:30,Josh10:35-Josh10:42" TargetMode="External"/><Relationship Id="rId7460" Type="http://schemas.openxmlformats.org/officeDocument/2006/relationships/hyperlink" Target="https://ref.ly/Josh11:11" TargetMode="External"/><Relationship Id="rId7461" Type="http://schemas.openxmlformats.org/officeDocument/2006/relationships/hyperlink" Target="https://ref.ly/Deut7:2-Deut7:5,Deut7:25-Deut7:26" TargetMode="External"/><Relationship Id="rId7462" Type="http://schemas.openxmlformats.org/officeDocument/2006/relationships/hyperlink" Target="https://ref.ly/Deut12:30-Deut12:31" TargetMode="External"/><Relationship Id="rId7463" Type="http://schemas.openxmlformats.org/officeDocument/2006/relationships/hyperlink" Target="https://ref.ly/Judg2:11" TargetMode="External"/><Relationship Id="rId7464" Type="http://schemas.openxmlformats.org/officeDocument/2006/relationships/hyperlink" Target="https://ref.ly/Num21:21-Num21:35" TargetMode="External"/><Relationship Id="rId7465" Type="http://schemas.openxmlformats.org/officeDocument/2006/relationships/hyperlink" Target="https://ref.ly/Josh7:4-Josh7:5" TargetMode="External"/><Relationship Id="rId7466" Type="http://schemas.openxmlformats.org/officeDocument/2006/relationships/hyperlink" Target="https://ref.ly/Josh8:5,Josh8:16-Josh8:17" TargetMode="External"/><Relationship Id="rId7467" Type="http://schemas.openxmlformats.org/officeDocument/2006/relationships/hyperlink" Target="https://ref.ly/Josh10:1-Josh10:6" TargetMode="External"/><Relationship Id="rId7468" Type="http://schemas.openxmlformats.org/officeDocument/2006/relationships/hyperlink" Target="https://ref.ly/Num21:21-Num21:22" TargetMode="External"/><Relationship Id="rId7469" Type="http://schemas.openxmlformats.org/officeDocument/2006/relationships/hyperlink" Target="https://ref.ly/Deut20:10-Deut20:11" TargetMode="External"/><Relationship Id="rId7470" Type="http://schemas.openxmlformats.org/officeDocument/2006/relationships/hyperlink" Target="https://ref.ly/Josh10:40" TargetMode="External"/><Relationship Id="rId7471" Type="http://schemas.openxmlformats.org/officeDocument/2006/relationships/hyperlink" Target="https://ref.ly/Josh11:1-Josh11:3,Josh11:16-Josh11:19" TargetMode="External"/><Relationship Id="rId7472" Type="http://schemas.openxmlformats.org/officeDocument/2006/relationships/hyperlink" Target="https://ref.ly/Josh13:1-Josh13:7" TargetMode="External"/><Relationship Id="rId7473" Type="http://schemas.openxmlformats.org/officeDocument/2006/relationships/hyperlink" Target="https://ref.ly/Josh13:13" TargetMode="External"/><Relationship Id="rId7474" Type="http://schemas.openxmlformats.org/officeDocument/2006/relationships/hyperlink" Target="https://ref.ly/Josh16:10" TargetMode="External"/><Relationship Id="rId7475" Type="http://schemas.openxmlformats.org/officeDocument/2006/relationships/hyperlink" Target="https://ref.ly/Josh17:12-Josh17:18" TargetMode="External"/><Relationship Id="rId7476" Type="http://schemas.openxmlformats.org/officeDocument/2006/relationships/hyperlink" Target="https://ref.ly/Josh23:5" TargetMode="External"/><Relationship Id="rId7477" Type="http://schemas.openxmlformats.org/officeDocument/2006/relationships/hyperlink" Target="https://ref.ly/Exod23:29-Exod23:30" TargetMode="External"/><Relationship Id="rId7478" Type="http://schemas.openxmlformats.org/officeDocument/2006/relationships/hyperlink" Target="https://ref.ly/Deut7:22" TargetMode="External"/><Relationship Id="rId7479" Type="http://schemas.openxmlformats.org/officeDocument/2006/relationships/hyperlink" Target="https://ref.ly/Josh1:1" TargetMode="External"/><Relationship Id="rId7480" Type="http://schemas.openxmlformats.org/officeDocument/2006/relationships/hyperlink" Target="https://ref.ly/Deut34:9" TargetMode="External"/><Relationship Id="rId7481" Type="http://schemas.openxmlformats.org/officeDocument/2006/relationships/hyperlink" Target="https://ref.ly/Josh1:2-Josh1:3" TargetMode="External"/><Relationship Id="rId7482" Type="http://schemas.openxmlformats.org/officeDocument/2006/relationships/hyperlink" Target="https://ref.ly/Josh1:5,Josh1:9" TargetMode="External"/><Relationship Id="rId7483" Type="http://schemas.openxmlformats.org/officeDocument/2006/relationships/hyperlink" Target="https://ref.ly/Deut31:9,Deut31:24-Deut31:26" TargetMode="External"/><Relationship Id="rId7484" Type="http://schemas.openxmlformats.org/officeDocument/2006/relationships/hyperlink" Target="https://ref.ly/Josh23:6" TargetMode="External"/><Relationship Id="rId7485" Type="http://schemas.openxmlformats.org/officeDocument/2006/relationships/hyperlink" Target="https://ref.ly/Josh1:7-Josh1:8" TargetMode="External"/><Relationship Id="rId7486" Type="http://schemas.openxmlformats.org/officeDocument/2006/relationships/hyperlink" Target="https://ref.ly/Josh1:10-Josh5:12" TargetMode="External"/><Relationship Id="rId7487" Type="http://schemas.openxmlformats.org/officeDocument/2006/relationships/hyperlink" Target="https://ref.ly/Josh1:13-Josh1:15" TargetMode="External"/><Relationship Id="rId7488" Type="http://schemas.openxmlformats.org/officeDocument/2006/relationships/hyperlink" Target="https://ref.ly/Num32:20-Num32:27" TargetMode="External"/><Relationship Id="rId7489" Type="http://schemas.openxmlformats.org/officeDocument/2006/relationships/hyperlink" Target="https://ref.ly/Josh1:16-Josh1:18" TargetMode="External"/><Relationship Id="rId7490" Type="http://schemas.openxmlformats.org/officeDocument/2006/relationships/hyperlink" Target="https://ref.ly/Josh3:6" TargetMode="External"/><Relationship Id="rId7491" Type="http://schemas.openxmlformats.org/officeDocument/2006/relationships/hyperlink" Target="https://ref.ly/Josh4:10" TargetMode="External"/><Relationship Id="rId7492" Type="http://schemas.openxmlformats.org/officeDocument/2006/relationships/hyperlink" Target="https://ref.ly/Josh3:5-Josh3:9" TargetMode="External"/><Relationship Id="rId7493" Type="http://schemas.openxmlformats.org/officeDocument/2006/relationships/hyperlink" Target="https://ref.ly/Josh4:14" TargetMode="External"/><Relationship Id="rId7494" Type="http://schemas.openxmlformats.org/officeDocument/2006/relationships/hyperlink" Target="https://ref.ly/Josh2:10-Josh2:11" TargetMode="External"/><Relationship Id="rId7495" Type="http://schemas.openxmlformats.org/officeDocument/2006/relationships/hyperlink" Target="https://ref.ly/Exod15:15" TargetMode="External"/><Relationship Id="rId7496" Type="http://schemas.openxmlformats.org/officeDocument/2006/relationships/hyperlink" Target="https://ref.ly/Exod23:27-Exod23:28" TargetMode="External"/><Relationship Id="rId7497" Type="http://schemas.openxmlformats.org/officeDocument/2006/relationships/hyperlink" Target="https://ref.ly/Deut2:25" TargetMode="External"/><Relationship Id="rId7498" Type="http://schemas.openxmlformats.org/officeDocument/2006/relationships/hyperlink" Target="https://ref.ly/Deut7:23" TargetMode="External"/><Relationship Id="rId7499" Type="http://schemas.openxmlformats.org/officeDocument/2006/relationships/hyperlink" Target="https://ref.ly/Deut11:25" TargetMode="External"/><Relationship Id="rId7500" Type="http://schemas.openxmlformats.org/officeDocument/2006/relationships/hyperlink" Target="https://ref.ly/Deut32:30" TargetMode="External"/><Relationship Id="rId7501" Type="http://schemas.openxmlformats.org/officeDocument/2006/relationships/hyperlink" Target="https://ref.ly/Josh2:11" TargetMode="External"/><Relationship Id="rId7502" Type="http://schemas.openxmlformats.org/officeDocument/2006/relationships/hyperlink" Target="https://ref.ly/Matt1:5" TargetMode="External"/><Relationship Id="rId7503" Type="http://schemas.openxmlformats.org/officeDocument/2006/relationships/hyperlink" Target="https://ref.ly/Josh2:24" TargetMode="External"/><Relationship Id="rId7504" Type="http://schemas.openxmlformats.org/officeDocument/2006/relationships/hyperlink" Target="https://ref.ly/Josh3:5" TargetMode="External"/><Relationship Id="rId7505" Type="http://schemas.openxmlformats.org/officeDocument/2006/relationships/hyperlink" Target="https://ref.ly/Josh3:13" TargetMode="External"/><Relationship Id="rId7506" Type="http://schemas.openxmlformats.org/officeDocument/2006/relationships/hyperlink" Target="https://ref.ly/Josh4:1" TargetMode="External"/><Relationship Id="rId7507" Type="http://schemas.openxmlformats.org/officeDocument/2006/relationships/hyperlink" Target="https://ref.ly/Josh4:1-Josh4:9,Josh4:20" TargetMode="External"/><Relationship Id="rId7508" Type="http://schemas.openxmlformats.org/officeDocument/2006/relationships/hyperlink" Target="https://ref.ly/Josh4:21-Josh4:24" TargetMode="External"/><Relationship Id="rId7509" Type="http://schemas.openxmlformats.org/officeDocument/2006/relationships/hyperlink" Target="https://ref.ly/Josh4:24" TargetMode="External"/><Relationship Id="rId7510" Type="http://schemas.openxmlformats.org/officeDocument/2006/relationships/hyperlink" Target="https://ref.ly/Josh5:1-Josh5:9" TargetMode="External"/><Relationship Id="rId7511" Type="http://schemas.openxmlformats.org/officeDocument/2006/relationships/hyperlink" Target="https://ref.ly/Josh5:10-Josh5:12" TargetMode="External"/><Relationship Id="rId7512" Type="http://schemas.openxmlformats.org/officeDocument/2006/relationships/hyperlink" Target="https://ref.ly/Deut4:4-Deut4:14" TargetMode="External"/><Relationship Id="rId7513" Type="http://schemas.openxmlformats.org/officeDocument/2006/relationships/hyperlink" Target="https://ref.ly/Deut6:1-Deut6:5" TargetMode="External"/><Relationship Id="rId7514" Type="http://schemas.openxmlformats.org/officeDocument/2006/relationships/hyperlink" Target="https://ref.ly/Josh24:31" TargetMode="External"/><Relationship Id="rId7515" Type="http://schemas.openxmlformats.org/officeDocument/2006/relationships/hyperlink" Target="https://ref.ly/Josh5:5" TargetMode="External"/><Relationship Id="rId7516" Type="http://schemas.openxmlformats.org/officeDocument/2006/relationships/hyperlink" Target="https://ref.ly/Josh5:9" TargetMode="External"/><Relationship Id="rId7517" Type="http://schemas.openxmlformats.org/officeDocument/2006/relationships/hyperlink" Target="https://ref.ly/Josh5:11-Josh5:12" TargetMode="External"/><Relationship Id="rId7518" Type="http://schemas.openxmlformats.org/officeDocument/2006/relationships/hyperlink" Target="https://ref.ly/Josh5:13-Josh6:27" TargetMode="External"/><Relationship Id="rId7519" Type="http://schemas.openxmlformats.org/officeDocument/2006/relationships/hyperlink" Target="https://ref.ly/Exod3:2-Exod4:17" TargetMode="External"/><Relationship Id="rId7520" Type="http://schemas.openxmlformats.org/officeDocument/2006/relationships/hyperlink" Target="https://ref.ly/Josh6:2" TargetMode="External"/><Relationship Id="rId7521" Type="http://schemas.openxmlformats.org/officeDocument/2006/relationships/hyperlink" Target="https://ref.ly/Josh6:17,Josh6:25" TargetMode="External"/><Relationship Id="rId7522" Type="http://schemas.openxmlformats.org/officeDocument/2006/relationships/hyperlink" Target="https://ref.ly/Josh6:23" TargetMode="External"/><Relationship Id="rId7523" Type="http://schemas.openxmlformats.org/officeDocument/2006/relationships/hyperlink" Target="https://ref.ly/Josh6:24" TargetMode="External"/><Relationship Id="rId7524" Type="http://schemas.openxmlformats.org/officeDocument/2006/relationships/hyperlink" Target="https://ref.ly/Josh6:18" TargetMode="External"/><Relationship Id="rId7525" Type="http://schemas.openxmlformats.org/officeDocument/2006/relationships/hyperlink" Target="https://ref.ly/Josh6:27" TargetMode="External"/><Relationship Id="rId7526" Type="http://schemas.openxmlformats.org/officeDocument/2006/relationships/hyperlink" Target="https://ref.ly/Josh7:1" TargetMode="External"/><Relationship Id="rId7527" Type="http://schemas.openxmlformats.org/officeDocument/2006/relationships/hyperlink" Target="https://ref.ly/Josh7:2-Josh7:5" TargetMode="External"/><Relationship Id="rId7528" Type="http://schemas.openxmlformats.org/officeDocument/2006/relationships/hyperlink" Target="https://ref.ly/Josh7:6-Josh7:9" TargetMode="External"/><Relationship Id="rId7529" Type="http://schemas.openxmlformats.org/officeDocument/2006/relationships/hyperlink" Target="https://ref.ly/Josh7:13" TargetMode="External"/><Relationship Id="rId7530" Type="http://schemas.openxmlformats.org/officeDocument/2006/relationships/hyperlink" Target="https://ref.ly/Josh7:25-Josh7:26" TargetMode="External"/><Relationship Id="rId7531" Type="http://schemas.openxmlformats.org/officeDocument/2006/relationships/hyperlink" Target="https://ref.ly/Josh8:1-Josh8:2" TargetMode="External"/><Relationship Id="rId7532" Type="http://schemas.openxmlformats.org/officeDocument/2006/relationships/hyperlink" Target="https://ref.ly/Josh8:3-Josh8:19" TargetMode="External"/><Relationship Id="rId7533" Type="http://schemas.openxmlformats.org/officeDocument/2006/relationships/hyperlink" Target="https://ref.ly/Josh8:20-Josh8:26" TargetMode="External"/><Relationship Id="rId7534" Type="http://schemas.openxmlformats.org/officeDocument/2006/relationships/hyperlink" Target="https://ref.ly/Josh8:27" TargetMode="External"/><Relationship Id="rId7535" Type="http://schemas.openxmlformats.org/officeDocument/2006/relationships/hyperlink" Target="https://ref.ly/Josh8:28-Josh8:29" TargetMode="External"/><Relationship Id="rId7536" Type="http://schemas.openxmlformats.org/officeDocument/2006/relationships/hyperlink" Target="https://ref.ly/Deut11:29" TargetMode="External"/><Relationship Id="rId7537" Type="http://schemas.openxmlformats.org/officeDocument/2006/relationships/hyperlink" Target="https://ref.ly/Exod20:25" TargetMode="External"/><Relationship Id="rId7538" Type="http://schemas.openxmlformats.org/officeDocument/2006/relationships/hyperlink" Target="https://ref.ly/Deut17:18" TargetMode="External"/><Relationship Id="rId7539" Type="http://schemas.openxmlformats.org/officeDocument/2006/relationships/hyperlink" Target="https://ref.ly/Josh8:33-Josh8:35" TargetMode="External"/><Relationship Id="rId7540" Type="http://schemas.openxmlformats.org/officeDocument/2006/relationships/hyperlink" Target="https://ref.ly/Deut27:9-Deut27:26" TargetMode="External"/><Relationship Id="rId7541" Type="http://schemas.openxmlformats.org/officeDocument/2006/relationships/hyperlink" Target="https://ref.ly/Josh2:8-Josh2:11,Josh2:24" TargetMode="External"/><Relationship Id="rId7542" Type="http://schemas.openxmlformats.org/officeDocument/2006/relationships/hyperlink" Target="https://ref.ly/Josh9:7,Josh9:17" TargetMode="External"/><Relationship Id="rId7543" Type="http://schemas.openxmlformats.org/officeDocument/2006/relationships/hyperlink" Target="https://ref.ly/Josh9:15,Josh9:24" TargetMode="External"/><Relationship Id="rId7544" Type="http://schemas.openxmlformats.org/officeDocument/2006/relationships/hyperlink" Target="https://ref.ly/Josh9:11-Josh9:14" TargetMode="External"/><Relationship Id="rId7545" Type="http://schemas.openxmlformats.org/officeDocument/2006/relationships/hyperlink" Target="https://ref.ly/Josh9:9-Josh9:10" TargetMode="External"/><Relationship Id="rId7546" Type="http://schemas.openxmlformats.org/officeDocument/2006/relationships/hyperlink" Target="https://ref.ly/Deut20:11" TargetMode="External"/><Relationship Id="rId7547" Type="http://schemas.openxmlformats.org/officeDocument/2006/relationships/hyperlink" Target="https://ref.ly/Judg1:28-Judg1:35" TargetMode="External"/><Relationship Id="rId7548" Type="http://schemas.openxmlformats.org/officeDocument/2006/relationships/hyperlink" Target="https://ref.ly/1Kgs9:15-1Kgs9:21" TargetMode="External"/><Relationship Id="rId7549" Type="http://schemas.openxmlformats.org/officeDocument/2006/relationships/hyperlink" Target="https://ref.ly/Josh10:1-Josh10:5" TargetMode="External"/><Relationship Id="rId7550" Type="http://schemas.openxmlformats.org/officeDocument/2006/relationships/hyperlink" Target="https://ref.ly/Josh10:6" TargetMode="External"/><Relationship Id="rId7551" Type="http://schemas.openxmlformats.org/officeDocument/2006/relationships/hyperlink" Target="https://ref.ly/Josh10:7-Josh10:9" TargetMode="External"/><Relationship Id="rId7552" Type="http://schemas.openxmlformats.org/officeDocument/2006/relationships/hyperlink" Target="https://ref.ly/Josh10:10" TargetMode="External"/><Relationship Id="rId7553" Type="http://schemas.openxmlformats.org/officeDocument/2006/relationships/hyperlink" Target="https://ref.ly/Josh10:12-Josh10:14" TargetMode="External"/><Relationship Id="rId7554" Type="http://schemas.openxmlformats.org/officeDocument/2006/relationships/hyperlink" Target="https://ref.ly/2Sam1:18" TargetMode="External"/><Relationship Id="rId7555" Type="http://schemas.openxmlformats.org/officeDocument/2006/relationships/hyperlink" Target="https://ref.ly/Josh10:14" TargetMode="External"/><Relationship Id="rId7556" Type="http://schemas.openxmlformats.org/officeDocument/2006/relationships/hyperlink" Target="https://ref.ly/Josh10:29-Josh10:43" TargetMode="External"/><Relationship Id="rId7557" Type="http://schemas.openxmlformats.org/officeDocument/2006/relationships/hyperlink" Target="https://ref.ly/Josh10:42" TargetMode="External"/><Relationship Id="rId7558" Type="http://schemas.openxmlformats.org/officeDocument/2006/relationships/hyperlink" Target="https://ref.ly/Josh11:1-Josh11:15" TargetMode="External"/><Relationship Id="rId7559" Type="http://schemas.openxmlformats.org/officeDocument/2006/relationships/hyperlink" Target="https://ref.ly/Josh11:9" TargetMode="External"/><Relationship Id="rId7560" Type="http://schemas.openxmlformats.org/officeDocument/2006/relationships/hyperlink" Target="https://ref.ly/Josh11:6" TargetMode="External"/><Relationship Id="rId7561" Type="http://schemas.openxmlformats.org/officeDocument/2006/relationships/hyperlink" Target="https://ref.ly/Ps20:7" TargetMode="External"/><Relationship Id="rId7562" Type="http://schemas.openxmlformats.org/officeDocument/2006/relationships/hyperlink" Target="https://ref.ly/Josh11:10-Josh11:13" TargetMode="External"/><Relationship Id="rId7563" Type="http://schemas.openxmlformats.org/officeDocument/2006/relationships/hyperlink" Target="https://ref.ly/Deut6:10-Deut6:11" TargetMode="External"/><Relationship Id="rId7564" Type="http://schemas.openxmlformats.org/officeDocument/2006/relationships/hyperlink" Target="https://ref.ly/Josh24:13" TargetMode="External"/><Relationship Id="rId7565" Type="http://schemas.openxmlformats.org/officeDocument/2006/relationships/hyperlink" Target="https://ref.ly/Josh11:9-Josh11:15" TargetMode="External"/><Relationship Id="rId7566" Type="http://schemas.openxmlformats.org/officeDocument/2006/relationships/hyperlink" Target="https://ref.ly/Josh11:16-Josh12:24" TargetMode="External"/><Relationship Id="rId7567" Type="http://schemas.openxmlformats.org/officeDocument/2006/relationships/hyperlink" Target="https://ref.ly/Josh11:19-Josh11:20" TargetMode="External"/><Relationship Id="rId7568" Type="http://schemas.openxmlformats.org/officeDocument/2006/relationships/hyperlink" Target="https://ref.ly/Deut2:10,Deut2:21" TargetMode="External"/><Relationship Id="rId7569" Type="http://schemas.openxmlformats.org/officeDocument/2006/relationships/hyperlink" Target="https://ref.ly/Josh11:21" TargetMode="External"/><Relationship Id="rId7570" Type="http://schemas.openxmlformats.org/officeDocument/2006/relationships/hyperlink" Target="https://ref.ly/Josh12:2-Josh12:5" TargetMode="External"/><Relationship Id="rId7571" Type="http://schemas.openxmlformats.org/officeDocument/2006/relationships/hyperlink" Target="https://ref.ly/Josh12:7-Josh12:8" TargetMode="External"/><Relationship Id="rId7572" Type="http://schemas.openxmlformats.org/officeDocument/2006/relationships/hyperlink" Target="https://ref.ly/Josh13:1-Josh22:34" TargetMode="External"/><Relationship Id="rId7573" Type="http://schemas.openxmlformats.org/officeDocument/2006/relationships/hyperlink" Target="https://ref.ly/Josh13:2-Josh13:7" TargetMode="External"/><Relationship Id="rId7574" Type="http://schemas.openxmlformats.org/officeDocument/2006/relationships/hyperlink" Target="https://ref.ly/Judg1:1-Judg1:36" TargetMode="External"/><Relationship Id="rId7575" Type="http://schemas.openxmlformats.org/officeDocument/2006/relationships/hyperlink" Target="https://ref.ly/Josh13:6" TargetMode="External"/><Relationship Id="rId7576" Type="http://schemas.openxmlformats.org/officeDocument/2006/relationships/hyperlink" Target="https://ref.ly/Josh13:8-Josh13:33" TargetMode="External"/><Relationship Id="rId7577" Type="http://schemas.openxmlformats.org/officeDocument/2006/relationships/hyperlink" Target="https://ref.ly/Josh13:8,Josh13:32-Josh13:33" TargetMode="External"/><Relationship Id="rId7578" Type="http://schemas.openxmlformats.org/officeDocument/2006/relationships/hyperlink" Target="https://ref.ly/Deut3:12-Deut3:17" TargetMode="External"/><Relationship Id="rId7579" Type="http://schemas.openxmlformats.org/officeDocument/2006/relationships/hyperlink" Target="https://ref.ly/Josh13:15-Josh13:23" TargetMode="External"/><Relationship Id="rId7580" Type="http://schemas.openxmlformats.org/officeDocument/2006/relationships/hyperlink" Target="https://ref.ly/Josh13:29-Josh13:31" TargetMode="External"/><Relationship Id="rId7581" Type="http://schemas.openxmlformats.org/officeDocument/2006/relationships/hyperlink" Target="https://ref.ly/Josh13:14" TargetMode="External"/><Relationship Id="rId7582" Type="http://schemas.openxmlformats.org/officeDocument/2006/relationships/hyperlink" Target="https://ref.ly/Num18:20-Num18:24" TargetMode="External"/><Relationship Id="rId7583" Type="http://schemas.openxmlformats.org/officeDocument/2006/relationships/hyperlink" Target="https://ref.ly/Num35:1-Num35:8" TargetMode="External"/><Relationship Id="rId7584" Type="http://schemas.openxmlformats.org/officeDocument/2006/relationships/hyperlink" Target="https://ref.ly/Josh14:1-Josh19:51" TargetMode="External"/><Relationship Id="rId7585" Type="http://schemas.openxmlformats.org/officeDocument/2006/relationships/hyperlink" Target="https://ref.ly/Josh14:4" TargetMode="External"/><Relationship Id="rId7586" Type="http://schemas.openxmlformats.org/officeDocument/2006/relationships/hyperlink" Target="https://ref.ly/Josh20:1-Josh21:45" TargetMode="External"/><Relationship Id="rId7587" Type="http://schemas.openxmlformats.org/officeDocument/2006/relationships/hyperlink" Target="https://ref.ly/Josh14:6-Josh14:15" TargetMode="External"/><Relationship Id="rId7588" Type="http://schemas.openxmlformats.org/officeDocument/2006/relationships/hyperlink" Target="https://ref.ly/Josh19:49-Josh19:50" TargetMode="External"/><Relationship Id="rId7589" Type="http://schemas.openxmlformats.org/officeDocument/2006/relationships/hyperlink" Target="https://ref.ly/Num14:24,Num14:30" TargetMode="External"/><Relationship Id="rId7590" Type="http://schemas.openxmlformats.org/officeDocument/2006/relationships/hyperlink" Target="https://ref.ly/Deut1:36-Deut1:38" TargetMode="External"/><Relationship Id="rId7591" Type="http://schemas.openxmlformats.org/officeDocument/2006/relationships/hyperlink" Target="https://ref.ly/Josh15:1-Josh15:63" TargetMode="External"/><Relationship Id="rId7592" Type="http://schemas.openxmlformats.org/officeDocument/2006/relationships/hyperlink" Target="https://ref.ly/Judg1:10-Judg1:15,Judg1:20" TargetMode="External"/><Relationship Id="rId7593" Type="http://schemas.openxmlformats.org/officeDocument/2006/relationships/hyperlink" Target="https://ref.ly/Josh15:2-Josh15:12" TargetMode="External"/><Relationship Id="rId7594" Type="http://schemas.openxmlformats.org/officeDocument/2006/relationships/hyperlink" Target="https://ref.ly/Josh15:21-Josh15:32" TargetMode="External"/><Relationship Id="rId7595" Type="http://schemas.openxmlformats.org/officeDocument/2006/relationships/hyperlink" Target="https://ref.ly/Josh15:33-Josh15:47" TargetMode="External"/><Relationship Id="rId7596" Type="http://schemas.openxmlformats.org/officeDocument/2006/relationships/hyperlink" Target="https://ref.ly/Josh15:48-Josh15:60" TargetMode="External"/><Relationship Id="rId7597" Type="http://schemas.openxmlformats.org/officeDocument/2006/relationships/hyperlink" Target="https://ref.ly/Josh15:61-Josh15:62" TargetMode="External"/><Relationship Id="rId7598" Type="http://schemas.openxmlformats.org/officeDocument/2006/relationships/hyperlink" Target="https://ref.ly/2Sam5:6-2Sam5:16" TargetMode="External"/><Relationship Id="rId7599" Type="http://schemas.openxmlformats.org/officeDocument/2006/relationships/hyperlink" Target="https://ref.ly/Josh16:1-Josh17:18" TargetMode="External"/><Relationship Id="rId7600" Type="http://schemas.openxmlformats.org/officeDocument/2006/relationships/hyperlink" Target="https://ref.ly/Gen48:1-Gen48:22" TargetMode="External"/><Relationship Id="rId7601" Type="http://schemas.openxmlformats.org/officeDocument/2006/relationships/hyperlink" Target="https://ref.ly/Deut33:13-Deut33:17" TargetMode="External"/><Relationship Id="rId7602" Type="http://schemas.openxmlformats.org/officeDocument/2006/relationships/hyperlink" Target="https://ref.ly/Josh16:1" TargetMode="External"/><Relationship Id="rId7603" Type="http://schemas.openxmlformats.org/officeDocument/2006/relationships/hyperlink" Target="https://ref.ly/Josh16:1-Josh16:3" TargetMode="External"/><Relationship Id="rId7604" Type="http://schemas.openxmlformats.org/officeDocument/2006/relationships/hyperlink" Target="https://ref.ly/Josh17:3-Josh17:6" TargetMode="External"/><Relationship Id="rId7605" Type="http://schemas.openxmlformats.org/officeDocument/2006/relationships/hyperlink" Target="https://ref.ly/Josh17:7-Josh17:11" TargetMode="External"/><Relationship Id="rId7606" Type="http://schemas.openxmlformats.org/officeDocument/2006/relationships/hyperlink" Target="https://ref.ly/Josh17:12-Josh17:13" TargetMode="External"/><Relationship Id="rId7607" Type="http://schemas.openxmlformats.org/officeDocument/2006/relationships/hyperlink" Target="https://ref.ly/Josh17:14" TargetMode="External"/><Relationship Id="rId7608" Type="http://schemas.openxmlformats.org/officeDocument/2006/relationships/hyperlink" Target="https://ref.ly/Josh17:15-Josh17:18" TargetMode="External"/><Relationship Id="rId7609" Type="http://schemas.openxmlformats.org/officeDocument/2006/relationships/hyperlink" Target="https://ref.ly/Josh18:1-Josh19:51" TargetMode="External"/><Relationship Id="rId7610" Type="http://schemas.openxmlformats.org/officeDocument/2006/relationships/hyperlink" Target="https://ref.ly/1Sam1:1-1Sam1:28" TargetMode="External"/><Relationship Id="rId7611" Type="http://schemas.openxmlformats.org/officeDocument/2006/relationships/hyperlink" Target="https://ref.ly/Josh18:3-Josh18:10" TargetMode="External"/><Relationship Id="rId7612" Type="http://schemas.openxmlformats.org/officeDocument/2006/relationships/hyperlink" Target="https://ref.ly/Josh18:11-Josh18:28" TargetMode="External"/><Relationship Id="rId7613" Type="http://schemas.openxmlformats.org/officeDocument/2006/relationships/hyperlink" Target="https://ref.ly/Josh19:1-Josh19:9" TargetMode="External"/><Relationship Id="rId7614" Type="http://schemas.openxmlformats.org/officeDocument/2006/relationships/hyperlink" Target="https://ref.ly/Gen49:7" TargetMode="External"/><Relationship Id="rId7615" Type="http://schemas.openxmlformats.org/officeDocument/2006/relationships/hyperlink" Target="https://ref.ly/Josh19:10-Josh19:16" TargetMode="External"/><Relationship Id="rId7616" Type="http://schemas.openxmlformats.org/officeDocument/2006/relationships/hyperlink" Target="https://ref.ly/Josh19:17-Josh19:23" TargetMode="External"/><Relationship Id="rId7617" Type="http://schemas.openxmlformats.org/officeDocument/2006/relationships/hyperlink" Target="https://ref.ly/Josh19:24-Josh19:31" TargetMode="External"/><Relationship Id="rId7618" Type="http://schemas.openxmlformats.org/officeDocument/2006/relationships/hyperlink" Target="https://ref.ly/Josh19:32-Josh19:39" TargetMode="External"/><Relationship Id="rId7619" Type="http://schemas.openxmlformats.org/officeDocument/2006/relationships/hyperlink" Target="https://ref.ly/Josh19:40-Josh19:48" TargetMode="External"/><Relationship Id="rId7620" Type="http://schemas.openxmlformats.org/officeDocument/2006/relationships/hyperlink" Target="https://ref.ly/Josh19:49-Josh19:51" TargetMode="External"/><Relationship Id="rId7621" Type="http://schemas.openxmlformats.org/officeDocument/2006/relationships/hyperlink" Target="https://ref.ly/Josh14:1-Josh14:14" TargetMode="External"/><Relationship Id="rId7622" Type="http://schemas.openxmlformats.org/officeDocument/2006/relationships/hyperlink" Target="https://ref.ly/Josh19:51" TargetMode="External"/><Relationship Id="rId7623" Type="http://schemas.openxmlformats.org/officeDocument/2006/relationships/hyperlink" Target="https://ref.ly/Josh14:1" TargetMode="External"/><Relationship Id="rId7624" Type="http://schemas.openxmlformats.org/officeDocument/2006/relationships/hyperlink" Target="https://ref.ly/Num35:9-Num35:34" TargetMode="External"/><Relationship Id="rId7625" Type="http://schemas.openxmlformats.org/officeDocument/2006/relationships/hyperlink" Target="https://ref.ly/Deut4:41-Deut4:43" TargetMode="External"/><Relationship Id="rId7626" Type="http://schemas.openxmlformats.org/officeDocument/2006/relationships/hyperlink" Target="https://ref.ly/Deut19:1-Deut19:10" TargetMode="External"/><Relationship Id="rId7627" Type="http://schemas.openxmlformats.org/officeDocument/2006/relationships/hyperlink" Target="https://ref.ly/Josh20:1-Josh20:9" TargetMode="External"/><Relationship Id="rId7628" Type="http://schemas.openxmlformats.org/officeDocument/2006/relationships/hyperlink" Target="https://ref.ly/Josh21:1-Josh21:42" TargetMode="External"/><Relationship Id="rId7629" Type="http://schemas.openxmlformats.org/officeDocument/2006/relationships/hyperlink" Target="https://ref.ly/Num18:21-Num18:24" TargetMode="External"/><Relationship Id="rId7630" Type="http://schemas.openxmlformats.org/officeDocument/2006/relationships/hyperlink" Target="https://ref.ly/Josh21:9-Josh21:19" TargetMode="External"/><Relationship Id="rId7631" Type="http://schemas.openxmlformats.org/officeDocument/2006/relationships/hyperlink" Target="https://ref.ly/Ps95:11" TargetMode="External"/><Relationship Id="rId7632" Type="http://schemas.openxmlformats.org/officeDocument/2006/relationships/hyperlink" Target="https://ref.ly/Heb3:7-Heb3:11" TargetMode="External"/><Relationship Id="rId7633" Type="http://schemas.openxmlformats.org/officeDocument/2006/relationships/hyperlink" Target="https://ref.ly/Josh22:1-Josh22:34" TargetMode="External"/><Relationship Id="rId7634" Type="http://schemas.openxmlformats.org/officeDocument/2006/relationships/hyperlink" Target="https://ref.ly/Josh22:1-Josh22:4" TargetMode="External"/><Relationship Id="rId7635" Type="http://schemas.openxmlformats.org/officeDocument/2006/relationships/hyperlink" Target="https://ref.ly/Josh22:5-Josh22:8" TargetMode="External"/><Relationship Id="rId7636" Type="http://schemas.openxmlformats.org/officeDocument/2006/relationships/hyperlink" Target="https://ref.ly/Josh22:12" TargetMode="External"/><Relationship Id="rId7637" Type="http://schemas.openxmlformats.org/officeDocument/2006/relationships/hyperlink" Target="https://ref.ly/Josh22:15-Josh22:20" TargetMode="External"/><Relationship Id="rId7638" Type="http://schemas.openxmlformats.org/officeDocument/2006/relationships/hyperlink" Target="https://ref.ly/Josh7:1-Josh7:26" TargetMode="External"/><Relationship Id="rId7639" Type="http://schemas.openxmlformats.org/officeDocument/2006/relationships/hyperlink" Target="https://ref.ly/Josh22:21-Josh22:30" TargetMode="External"/><Relationship Id="rId7640" Type="http://schemas.openxmlformats.org/officeDocument/2006/relationships/hyperlink" Target="https://ref.ly/Josh22:30-Josh22:31" TargetMode="External"/><Relationship Id="rId7641" Type="http://schemas.openxmlformats.org/officeDocument/2006/relationships/hyperlink" Target="https://ref.ly/Josh22:34" TargetMode="External"/><Relationship Id="rId7642" Type="http://schemas.openxmlformats.org/officeDocument/2006/relationships/hyperlink" Target="https://ref.ly/Josh23:1-Josh24:33" TargetMode="External"/><Relationship Id="rId7643" Type="http://schemas.openxmlformats.org/officeDocument/2006/relationships/hyperlink" Target="https://ref.ly/Josh23:1-Josh23:16" TargetMode="External"/><Relationship Id="rId7644" Type="http://schemas.openxmlformats.org/officeDocument/2006/relationships/hyperlink" Target="https://ref.ly/Josh24:1,Josh24:25-Josh24:28" TargetMode="External"/><Relationship Id="rId7645" Type="http://schemas.openxmlformats.org/officeDocument/2006/relationships/hyperlink" Target="https://ref.ly/Josh24:2-Josh24:4" TargetMode="External"/><Relationship Id="rId7646" Type="http://schemas.openxmlformats.org/officeDocument/2006/relationships/hyperlink" Target="https://ref.ly/Josh24:5-Josh24:7" TargetMode="External"/><Relationship Id="rId7647" Type="http://schemas.openxmlformats.org/officeDocument/2006/relationships/hyperlink" Target="https://ref.ly/Josh24:8-Josh24:13" TargetMode="External"/><Relationship Id="rId7648" Type="http://schemas.openxmlformats.org/officeDocument/2006/relationships/hyperlink" Target="https://ref.ly/Josh24:14-Josh24:15" TargetMode="External"/><Relationship Id="rId7649" Type="http://schemas.openxmlformats.org/officeDocument/2006/relationships/hyperlink" Target="https://ref.ly/Josh24:16-Josh24:18" TargetMode="External"/><Relationship Id="rId7650" Type="http://schemas.openxmlformats.org/officeDocument/2006/relationships/hyperlink" Target="https://ref.ly/Josh24:19-Josh24:20" TargetMode="External"/><Relationship Id="rId7651" Type="http://schemas.openxmlformats.org/officeDocument/2006/relationships/hyperlink" Target="https://ref.ly/Josh24:25-Josh24:27" TargetMode="External"/><Relationship Id="rId7652" Type="http://schemas.openxmlformats.org/officeDocument/2006/relationships/hyperlink" Target="https://ref.ly/Josh1:1-Josh1:2" TargetMode="External"/><Relationship Id="rId7653" Type="http://schemas.openxmlformats.org/officeDocument/2006/relationships/hyperlink" Target="https://ref.ly/Josh24:29-Josh24:30" TargetMode="External"/><Relationship Id="rId7654" Type="http://schemas.openxmlformats.org/officeDocument/2006/relationships/hyperlink" Target="https://ref.ly/Josh24:33" TargetMode="External"/><Relationship Id="rId7655" Type="http://schemas.openxmlformats.org/officeDocument/2006/relationships/hyperlink" Target="https://ref.ly/Gen1:14,Gen1:19" TargetMode="External"/><Relationship Id="rId7656" Type="http://schemas.openxmlformats.org/officeDocument/2006/relationships/hyperlink" Target="https://ref.ly/Ps55:17" TargetMode="External"/><Relationship Id="rId7657" Type="http://schemas.openxmlformats.org/officeDocument/2006/relationships/hyperlink" Target="https://ref.ly/Job3:9" TargetMode="External"/><Relationship Id="rId7658" Type="http://schemas.openxmlformats.org/officeDocument/2006/relationships/hyperlink" Target="https://ref.ly/1Sam11:11" TargetMode="External"/><Relationship Id="rId7659" Type="http://schemas.openxmlformats.org/officeDocument/2006/relationships/hyperlink" Target="https://ref.ly/Gen43:16" TargetMode="External"/><Relationship Id="rId7660" Type="http://schemas.openxmlformats.org/officeDocument/2006/relationships/hyperlink" Target="https://ref.ly/Exod12:6" TargetMode="External"/><Relationship Id="rId7661" Type="http://schemas.openxmlformats.org/officeDocument/2006/relationships/hyperlink" Target="https://ref.ly/Exod16:12" TargetMode="External"/><Relationship Id="rId7662" Type="http://schemas.openxmlformats.org/officeDocument/2006/relationships/hyperlink" Target="https://ref.ly/Neh9:3" TargetMode="External"/><Relationship Id="rId7663" Type="http://schemas.openxmlformats.org/officeDocument/2006/relationships/hyperlink" Target="https://ref.ly/Ps20:1" TargetMode="External"/><Relationship Id="rId7664" Type="http://schemas.openxmlformats.org/officeDocument/2006/relationships/hyperlink" Target="https://ref.ly/Job20:28" TargetMode="External"/><Relationship Id="rId7665" Type="http://schemas.openxmlformats.org/officeDocument/2006/relationships/hyperlink" Target="https://ref.ly/1Kgs10:21" TargetMode="External"/><Relationship Id="rId7666" Type="http://schemas.openxmlformats.org/officeDocument/2006/relationships/hyperlink" Target="https://ref.ly/1Kgs3:14" TargetMode="External"/><Relationship Id="rId7667" Type="http://schemas.openxmlformats.org/officeDocument/2006/relationships/hyperlink" Target="https://ref.ly/Dan7:9,Dan7:13" TargetMode="External"/><Relationship Id="rId7668" Type="http://schemas.openxmlformats.org/officeDocument/2006/relationships/hyperlink" Target="https://ref.ly/Lev16:29-Lev16:31" TargetMode="External"/><Relationship Id="rId7669" Type="http://schemas.openxmlformats.org/officeDocument/2006/relationships/hyperlink" Target="https://ref.ly/John11:9" TargetMode="External"/><Relationship Id="rId7670" Type="http://schemas.openxmlformats.org/officeDocument/2006/relationships/hyperlink" Target="https://ref.ly/2Cor6:2" TargetMode="External"/><Relationship Id="rId7671" Type="http://schemas.openxmlformats.org/officeDocument/2006/relationships/hyperlink" Target="https://ref.ly/Phil1:6" TargetMode="External"/><Relationship Id="rId7672" Type="http://schemas.openxmlformats.org/officeDocument/2006/relationships/hyperlink" Target="https://ref.ly/Luke1:23" TargetMode="External"/><Relationship Id="rId7673" Type="http://schemas.openxmlformats.org/officeDocument/2006/relationships/hyperlink" Target="https://ref.ly/John9:4" TargetMode="External"/><Relationship Id="rId7674" Type="http://schemas.openxmlformats.org/officeDocument/2006/relationships/hyperlink" Target="https://ref.ly/1Thess5:5" TargetMode="External"/><Relationship Id="rId7675" Type="http://schemas.openxmlformats.org/officeDocument/2006/relationships/hyperlink" Target="https://ref.ly/Eph5:16" TargetMode="External"/><Relationship Id="rId7676" Type="http://schemas.openxmlformats.org/officeDocument/2006/relationships/hyperlink" Target="https://ref.ly/Eph6:13" TargetMode="External"/><Relationship Id="rId7677" Type="http://schemas.openxmlformats.org/officeDocument/2006/relationships/hyperlink" Target="https://ref.ly/Luke17:30" TargetMode="External"/><Relationship Id="rId7678" Type="http://schemas.openxmlformats.org/officeDocument/2006/relationships/hyperlink" Target="https://ref.ly/1Cor5:5" TargetMode="External"/><Relationship Id="rId7679" Type="http://schemas.openxmlformats.org/officeDocument/2006/relationships/hyperlink" Target="https://ref.ly/2Pet2:9" TargetMode="External"/><Relationship Id="rId7680" Type="http://schemas.openxmlformats.org/officeDocument/2006/relationships/hyperlink" Target="https://ref.ly/2Pet3:7,2Pet3:12" TargetMode="External"/><Relationship Id="rId7681" Type="http://schemas.openxmlformats.org/officeDocument/2006/relationships/hyperlink" Target="https://ref.ly/Rev16:14" TargetMode="External"/><Relationship Id="rId7682" Type="http://schemas.openxmlformats.org/officeDocument/2006/relationships/hyperlink" Target="https://ref.ly/2Pet3:18" TargetMode="External"/><Relationship Id="rId7683" Type="http://schemas.openxmlformats.org/officeDocument/2006/relationships/hyperlink" Target="https://ref.ly/Rev21:25" TargetMode="External"/><Relationship Id="rId7684" Type="http://schemas.openxmlformats.org/officeDocument/2006/relationships/hyperlink" Target="https://ref.ly/Zeph2:2" TargetMode="External"/><Relationship Id="rId7685" Type="http://schemas.openxmlformats.org/officeDocument/2006/relationships/hyperlink" Target="https://ref.ly/Lam2:22" TargetMode="External"/><Relationship Id="rId7686" Type="http://schemas.openxmlformats.org/officeDocument/2006/relationships/hyperlink" Target="https://ref.ly/Joel3:14-Joel3:21" TargetMode="External"/><Relationship Id="rId7687" Type="http://schemas.openxmlformats.org/officeDocument/2006/relationships/hyperlink" Target="https://ref.ly/Mal4:5" TargetMode="External"/><Relationship Id="rId7688" Type="http://schemas.openxmlformats.org/officeDocument/2006/relationships/hyperlink" Target="https://ref.ly/Isa13:5-Isa13:10" TargetMode="External"/><Relationship Id="rId7689" Type="http://schemas.openxmlformats.org/officeDocument/2006/relationships/hyperlink" Target="https://ref.ly/Mark13:24-Mark13:37" TargetMode="External"/><Relationship Id="rId7690" Type="http://schemas.openxmlformats.org/officeDocument/2006/relationships/hyperlink" Target="https://ref.ly/Joel1:15-Joel2:11" TargetMode="External"/><Relationship Id="rId7691" Type="http://schemas.openxmlformats.org/officeDocument/2006/relationships/hyperlink" Target="https://ref.ly/Joel2:14-Joel2:17,Joel2:31" TargetMode="External"/><Relationship Id="rId7692" Type="http://schemas.openxmlformats.org/officeDocument/2006/relationships/hyperlink" Target="https://ref.ly/Rev6:12-Rev6:13" TargetMode="External"/><Relationship Id="rId7693" Type="http://schemas.openxmlformats.org/officeDocument/2006/relationships/hyperlink" Target="https://ref.ly/Isa13:10" TargetMode="External"/><Relationship Id="rId7694" Type="http://schemas.openxmlformats.org/officeDocument/2006/relationships/hyperlink" Target="https://ref.ly/Joel3:15" TargetMode="External"/><Relationship Id="rId7695" Type="http://schemas.openxmlformats.org/officeDocument/2006/relationships/hyperlink" Target="https://ref.ly/Joel3:18-Joel3:21" TargetMode="External"/><Relationship Id="rId7696" Type="http://schemas.openxmlformats.org/officeDocument/2006/relationships/hyperlink" Target="https://ref.ly/1Cor1:8" TargetMode="External"/><Relationship Id="rId7697" Type="http://schemas.openxmlformats.org/officeDocument/2006/relationships/hyperlink" Target="https://ref.ly/2Cor1:14" TargetMode="External"/><Relationship Id="rId7698" Type="http://schemas.openxmlformats.org/officeDocument/2006/relationships/hyperlink" Target="https://ref.ly/Phil1:10" TargetMode="External"/><Relationship Id="rId7699" Type="http://schemas.openxmlformats.org/officeDocument/2006/relationships/hyperlink" Target="https://ref.ly/Phil2:16" TargetMode="External"/><Relationship Id="rId7700" Type="http://schemas.openxmlformats.org/officeDocument/2006/relationships/hyperlink" Target="https://ref.ly/1Thess5:9" TargetMode="External"/><Relationship Id="rId7701" Type="http://schemas.openxmlformats.org/officeDocument/2006/relationships/hyperlink" Target="https://ref.ly/2Pet3:10-2Pet3:13" TargetMode="External"/><Relationship Id="rId7702" Type="http://schemas.openxmlformats.org/officeDocument/2006/relationships/hyperlink" Target="https://ref.ly/Rev21:1" TargetMode="External"/><Relationship Id="rId7703" Type="http://schemas.openxmlformats.org/officeDocument/2006/relationships/hyperlink" Target="https://ref.ly/Acts27:9" TargetMode="External"/><Relationship Id="rId7704" Type="http://schemas.openxmlformats.org/officeDocument/2006/relationships/hyperlink" Target="https://ref.ly/Exod30:10" TargetMode="External"/><Relationship Id="rId7705" Type="http://schemas.openxmlformats.org/officeDocument/2006/relationships/hyperlink" Target="https://ref.ly/Lev23:26-Lev23:32" TargetMode="External"/><Relationship Id="rId7706" Type="http://schemas.openxmlformats.org/officeDocument/2006/relationships/hyperlink" Target="https://ref.ly/Lev25:9-Lev25:16" TargetMode="External"/><Relationship Id="rId7707" Type="http://schemas.openxmlformats.org/officeDocument/2006/relationships/hyperlink" Target="https://ref.ly/Num29:7-Num29:11" TargetMode="External"/><Relationship Id="rId7708" Type="http://schemas.openxmlformats.org/officeDocument/2006/relationships/hyperlink" Target="https://ref.ly/Lev23:27-Lev23:32" TargetMode="External"/><Relationship Id="rId7709" Type="http://schemas.openxmlformats.org/officeDocument/2006/relationships/hyperlink" Target="https://ref.ly/Isa58:3-Isa58:5,Isa58:10" TargetMode="External"/><Relationship Id="rId7710" Type="http://schemas.openxmlformats.org/officeDocument/2006/relationships/hyperlink" Target="https://ref.ly/Isa58:3-Isa58:5" TargetMode="External"/><Relationship Id="rId7711" Type="http://schemas.openxmlformats.org/officeDocument/2006/relationships/hyperlink" Target="https://ref.ly/Lev16:31" TargetMode="External"/><Relationship Id="rId7712" Type="http://schemas.openxmlformats.org/officeDocument/2006/relationships/hyperlink" Target="https://ref.ly/Lev23:32" TargetMode="External"/><Relationship Id="rId7713" Type="http://schemas.openxmlformats.org/officeDocument/2006/relationships/hyperlink" Target="https://ref.ly/Lev16:33" TargetMode="External"/><Relationship Id="rId7714" Type="http://schemas.openxmlformats.org/officeDocument/2006/relationships/hyperlink" Target="https://ref.ly/Rev1:10" TargetMode="External"/><Relationship Id="rId7715" Type="http://schemas.openxmlformats.org/officeDocument/2006/relationships/hyperlink" Target="https://ref.ly/1Cor5:4" TargetMode="External"/><Relationship Id="rId7716" Type="http://schemas.openxmlformats.org/officeDocument/2006/relationships/hyperlink" Target="https://ref.ly/1Cor11:18-1Cor11:20" TargetMode="External"/><Relationship Id="rId7717" Type="http://schemas.openxmlformats.org/officeDocument/2006/relationships/hyperlink" Target="https://ref.ly/1Cor9:7-1Cor9:14" TargetMode="External"/><Relationship Id="rId7718" Type="http://schemas.openxmlformats.org/officeDocument/2006/relationships/hyperlink" Target="https://ref.ly/Acts20:6-Acts20:12" TargetMode="External"/><Relationship Id="rId7719" Type="http://schemas.openxmlformats.org/officeDocument/2006/relationships/hyperlink" Target="https://ref.ly/Acts20:7" TargetMode="External"/><Relationship Id="rId7720" Type="http://schemas.openxmlformats.org/officeDocument/2006/relationships/hyperlink" Target="https://ref.ly/Acts19:8" TargetMode="External"/><Relationship Id="rId7721" Type="http://schemas.openxmlformats.org/officeDocument/2006/relationships/hyperlink" Target="https://ref.ly/Rev1:8" TargetMode="External"/><Relationship Id="rId7722" Type="http://schemas.openxmlformats.org/officeDocument/2006/relationships/hyperlink" Target="https://ref.ly/Rev1:18" TargetMode="External"/><Relationship Id="rId7723" Type="http://schemas.openxmlformats.org/officeDocument/2006/relationships/hyperlink" Target="https://ref.ly/John20:25-John20:28" TargetMode="External"/><Relationship Id="rId7724" Type="http://schemas.openxmlformats.org/officeDocument/2006/relationships/hyperlink" Target="https://ref.ly/Exod3:18" TargetMode="External"/><Relationship Id="rId7725" Type="http://schemas.openxmlformats.org/officeDocument/2006/relationships/hyperlink" Target="https://ref.ly/Num11:31" TargetMode="External"/><Relationship Id="rId7726" Type="http://schemas.openxmlformats.org/officeDocument/2006/relationships/hyperlink" Target="https://ref.ly/1Kgs19:4" TargetMode="External"/><Relationship Id="rId7727" Type="http://schemas.openxmlformats.org/officeDocument/2006/relationships/hyperlink" Target="https://ref.ly/Luke2:44" TargetMode="External"/><Relationship Id="rId7728" Type="http://schemas.openxmlformats.org/officeDocument/2006/relationships/hyperlink" Target="https://ref.ly/Gen4:19-Gen4:21" TargetMode="External"/><Relationship Id="rId7729" Type="http://schemas.openxmlformats.org/officeDocument/2006/relationships/hyperlink" Target="https://ref.ly/Gen35:23" TargetMode="External"/><Relationship Id="rId7730" Type="http://schemas.openxmlformats.org/officeDocument/2006/relationships/hyperlink" Target="https://ref.ly/1Chr2:1" TargetMode="External"/><Relationship Id="rId7731" Type="http://schemas.openxmlformats.org/officeDocument/2006/relationships/hyperlink" Target="https://ref.ly/Gen29:35" TargetMode="External"/><Relationship Id="rId7732" Type="http://schemas.openxmlformats.org/officeDocument/2006/relationships/hyperlink" Target="https://ref.ly/Gen38:3-Gen38:5" TargetMode="External"/><Relationship Id="rId7733" Type="http://schemas.openxmlformats.org/officeDocument/2006/relationships/hyperlink" Target="https://ref.ly/Gen38:29-Gen38:30" TargetMode="External"/><Relationship Id="rId7734" Type="http://schemas.openxmlformats.org/officeDocument/2006/relationships/hyperlink" Target="https://ref.ly/1Chr2:4" TargetMode="External"/><Relationship Id="rId7735" Type="http://schemas.openxmlformats.org/officeDocument/2006/relationships/hyperlink" Target="https://ref.ly/Exod1:2" TargetMode="External"/><Relationship Id="rId7736" Type="http://schemas.openxmlformats.org/officeDocument/2006/relationships/hyperlink" Target="https://ref.ly/Num1:26-Num1:27" TargetMode="External"/><Relationship Id="rId7737" Type="http://schemas.openxmlformats.org/officeDocument/2006/relationships/hyperlink" Target="https://ref.ly/Gen38:6-Gen38:30" TargetMode="External"/><Relationship Id="rId7738" Type="http://schemas.openxmlformats.org/officeDocument/2006/relationships/hyperlink" Target="https://ref.ly/Gen44:14-Gen44:18" TargetMode="External"/><Relationship Id="rId7739" Type="http://schemas.openxmlformats.org/officeDocument/2006/relationships/hyperlink" Target="https://ref.ly/Ruth4:12" TargetMode="External"/><Relationship Id="rId7740" Type="http://schemas.openxmlformats.org/officeDocument/2006/relationships/hyperlink" Target="https://ref.ly/1Chr2:1-1Chr2:15" TargetMode="External"/><Relationship Id="rId7741" Type="http://schemas.openxmlformats.org/officeDocument/2006/relationships/hyperlink" Target="https://ref.ly/1Chr3:1-1Chr3:24" TargetMode="External"/><Relationship Id="rId7742" Type="http://schemas.openxmlformats.org/officeDocument/2006/relationships/hyperlink" Target="https://ref.ly/Matt1:2-Matt1:3" TargetMode="External"/><Relationship Id="rId7743" Type="http://schemas.openxmlformats.org/officeDocument/2006/relationships/hyperlink" Target="https://ref.ly/Ezra3:9" TargetMode="External"/><Relationship Id="rId7744" Type="http://schemas.openxmlformats.org/officeDocument/2006/relationships/hyperlink" Target="https://ref.ly/Ezra2:40" TargetMode="External"/><Relationship Id="rId7745" Type="http://schemas.openxmlformats.org/officeDocument/2006/relationships/hyperlink" Target="https://ref.ly/Neh7:43" TargetMode="External"/><Relationship Id="rId7746" Type="http://schemas.openxmlformats.org/officeDocument/2006/relationships/hyperlink" Target="https://ref.ly/Ezra10:23" TargetMode="External"/><Relationship Id="rId7747" Type="http://schemas.openxmlformats.org/officeDocument/2006/relationships/hyperlink" Target="https://ref.ly/Neh12:8" TargetMode="External"/><Relationship Id="rId7748" Type="http://schemas.openxmlformats.org/officeDocument/2006/relationships/hyperlink" Target="https://ref.ly/Neh12:36" TargetMode="External"/><Relationship Id="rId7749" Type="http://schemas.openxmlformats.org/officeDocument/2006/relationships/hyperlink" Target="https://ref.ly/2Kgs23:8" TargetMode="External"/><Relationship Id="rId7750" Type="http://schemas.openxmlformats.org/officeDocument/2006/relationships/hyperlink" Target="https://ref.ly/Josh10:9" TargetMode="External"/><Relationship Id="rId7751" Type="http://schemas.openxmlformats.org/officeDocument/2006/relationships/hyperlink" Target="https://ref.ly/Num13:27" TargetMode="External"/><Relationship Id="rId7752" Type="http://schemas.openxmlformats.org/officeDocument/2006/relationships/hyperlink" Target="https://ref.ly/Judg6:38" TargetMode="External"/><Relationship Id="rId7753" Type="http://schemas.openxmlformats.org/officeDocument/2006/relationships/hyperlink" Target="https://ref.ly/Jer2:13" TargetMode="External"/><Relationship Id="rId7754" Type="http://schemas.openxmlformats.org/officeDocument/2006/relationships/hyperlink" Target="https://ref.ly/Deut33:7" TargetMode="External"/><Relationship Id="rId7755" Type="http://schemas.openxmlformats.org/officeDocument/2006/relationships/hyperlink" Target="https://ref.ly/Num2:3" TargetMode="External"/><Relationship Id="rId7756" Type="http://schemas.openxmlformats.org/officeDocument/2006/relationships/hyperlink" Target="https://ref.ly/Num13:6" TargetMode="External"/><Relationship Id="rId7757" Type="http://schemas.openxmlformats.org/officeDocument/2006/relationships/hyperlink" Target="https://ref.ly/Josh8:1-Josh8:35" TargetMode="External"/><Relationship Id="rId7758" Type="http://schemas.openxmlformats.org/officeDocument/2006/relationships/hyperlink" Target="https://ref.ly/Judg3:1-Judg3:31" TargetMode="External"/><Relationship Id="rId7759" Type="http://schemas.openxmlformats.org/officeDocument/2006/relationships/hyperlink" Target="https://ref.ly/1Sam7:1" TargetMode="External"/><Relationship Id="rId7760" Type="http://schemas.openxmlformats.org/officeDocument/2006/relationships/hyperlink" Target="https://ref.ly/2Sam2:1-2Sam2:4" TargetMode="External"/><Relationship Id="rId7761" Type="http://schemas.openxmlformats.org/officeDocument/2006/relationships/hyperlink" Target="https://ref.ly/2Sam5:6-2Sam5:10" TargetMode="External"/><Relationship Id="rId7762" Type="http://schemas.openxmlformats.org/officeDocument/2006/relationships/hyperlink" Target="https://ref.ly/2Sam7:13" TargetMode="External"/><Relationship Id="rId7763" Type="http://schemas.openxmlformats.org/officeDocument/2006/relationships/hyperlink" Target="https://ref.ly/2Sam20:1" TargetMode="External"/><Relationship Id="rId7764" Type="http://schemas.openxmlformats.org/officeDocument/2006/relationships/hyperlink" Target="https://ref.ly/1Kgs12:16" TargetMode="External"/><Relationship Id="rId7765" Type="http://schemas.openxmlformats.org/officeDocument/2006/relationships/hyperlink" Target="https://ref.ly/1Kgs11:35" TargetMode="External"/><Relationship Id="rId7766" Type="http://schemas.openxmlformats.org/officeDocument/2006/relationships/hyperlink" Target="https://ref.ly/2Chr11:14" TargetMode="External"/><Relationship Id="rId7767" Type="http://schemas.openxmlformats.org/officeDocument/2006/relationships/hyperlink" Target="https://ref.ly/Neh1:2-Neh1:3" TargetMode="External"/><Relationship Id="rId7768" Type="http://schemas.openxmlformats.org/officeDocument/2006/relationships/hyperlink" Target="https://ref.ly/Gal2:14" TargetMode="External"/><Relationship Id="rId7769" Type="http://schemas.openxmlformats.org/officeDocument/2006/relationships/hyperlink" Target="https://ref.ly/Acts3:1" TargetMode="External"/><Relationship Id="rId7770" Type="http://schemas.openxmlformats.org/officeDocument/2006/relationships/hyperlink" Target="https://ref.ly/Acts21:26" TargetMode="External"/><Relationship Id="rId7771" Type="http://schemas.openxmlformats.org/officeDocument/2006/relationships/hyperlink" Target="https://ref.ly/Acts11:19-Acts11:24" TargetMode="External"/><Relationship Id="rId7772" Type="http://schemas.openxmlformats.org/officeDocument/2006/relationships/hyperlink" Target="https://ref.ly/Acts8:4-Acts8:25" TargetMode="External"/><Relationship Id="rId7773" Type="http://schemas.openxmlformats.org/officeDocument/2006/relationships/hyperlink" Target="https://ref.ly/Acts2:5-Acts2:11" TargetMode="External"/><Relationship Id="rId7774" Type="http://schemas.openxmlformats.org/officeDocument/2006/relationships/hyperlink" Target="https://ref.ly/Acts11:2" TargetMode="External"/><Relationship Id="rId7775" Type="http://schemas.openxmlformats.org/officeDocument/2006/relationships/hyperlink" Target="https://ref.ly/Acts14:27" TargetMode="External"/><Relationship Id="rId7776" Type="http://schemas.openxmlformats.org/officeDocument/2006/relationships/hyperlink" Target="https://ref.ly/Acts15:1" TargetMode="External"/><Relationship Id="rId7777" Type="http://schemas.openxmlformats.org/officeDocument/2006/relationships/hyperlink" Target="https://ref.ly/Acts15:4-Acts15:12" TargetMode="External"/><Relationship Id="rId7778" Type="http://schemas.openxmlformats.org/officeDocument/2006/relationships/hyperlink" Target="https://ref.ly/Acts15:23-Acts15:29" TargetMode="External"/><Relationship Id="rId7779" Type="http://schemas.openxmlformats.org/officeDocument/2006/relationships/hyperlink" Target="https://ref.ly/Gal5:12" TargetMode="External"/><Relationship Id="rId7780" Type="http://schemas.openxmlformats.org/officeDocument/2006/relationships/hyperlink" Target="https://ref.ly/Gal6:13" TargetMode="External"/><Relationship Id="rId7781" Type="http://schemas.openxmlformats.org/officeDocument/2006/relationships/hyperlink" Target="https://ref.ly/2Cor11:12-2Cor11:15,2Cor11:22" TargetMode="External"/><Relationship Id="rId7782" Type="http://schemas.openxmlformats.org/officeDocument/2006/relationships/hyperlink" Target="https://ref.ly/Phil3:2-Phil3:3" TargetMode="External"/><Relationship Id="rId7783" Type="http://schemas.openxmlformats.org/officeDocument/2006/relationships/hyperlink" Target="https://ref.ly/Acts9:1-Acts9:9" TargetMode="External"/><Relationship Id="rId7784" Type="http://schemas.openxmlformats.org/officeDocument/2006/relationships/hyperlink" Target="https://ref.ly/Acts26:12-Acts26:23" TargetMode="External"/><Relationship Id="rId7785" Type="http://schemas.openxmlformats.org/officeDocument/2006/relationships/hyperlink" Target="https://ref.ly/Gal1:11-Gal1:17" TargetMode="External"/><Relationship Id="rId7786" Type="http://schemas.openxmlformats.org/officeDocument/2006/relationships/hyperlink" Target="https://ref.ly/Phil3:2-Phil3:11" TargetMode="External"/><Relationship Id="rId7787" Type="http://schemas.openxmlformats.org/officeDocument/2006/relationships/hyperlink" Target="https://ref.ly/1Kgs12:1-1Kgs12:33" TargetMode="External"/><Relationship Id="rId7788" Type="http://schemas.openxmlformats.org/officeDocument/2006/relationships/hyperlink" Target="https://ref.ly/Hag2:1-Hag2:2" TargetMode="External"/><Relationship Id="rId7789" Type="http://schemas.openxmlformats.org/officeDocument/2006/relationships/hyperlink" Target="https://ref.ly/1Chr3:10-1Chr3:19" TargetMode="External"/><Relationship Id="rId7790" Type="http://schemas.openxmlformats.org/officeDocument/2006/relationships/hyperlink" Target="https://ref.ly/Luke4:16-Luke4:30" TargetMode="External"/><Relationship Id="rId7791" Type="http://schemas.openxmlformats.org/officeDocument/2006/relationships/hyperlink" Target="https://ref.ly/Acts13:13-Acts13:42" TargetMode="External"/><Relationship Id="rId7792" Type="http://schemas.openxmlformats.org/officeDocument/2006/relationships/hyperlink" Target="https://ref.ly/Deut11:13-Deut11:21" TargetMode="External"/><Relationship Id="rId7793" Type="http://schemas.openxmlformats.org/officeDocument/2006/relationships/hyperlink" Target="https://ref.ly/Num15:37-Num15:41" TargetMode="External"/><Relationship Id="rId7794" Type="http://schemas.openxmlformats.org/officeDocument/2006/relationships/hyperlink" Target="https://ref.ly/Num15:38-Num15:39" TargetMode="External"/><Relationship Id="rId7795" Type="http://schemas.openxmlformats.org/officeDocument/2006/relationships/hyperlink" Target="https://ref.ly/Matt23:5" TargetMode="External"/><Relationship Id="rId7796" Type="http://schemas.openxmlformats.org/officeDocument/2006/relationships/hyperlink" Target="https://ref.ly/Deut6:8" TargetMode="External"/><Relationship Id="rId7797" Type="http://schemas.openxmlformats.org/officeDocument/2006/relationships/hyperlink" Target="https://ref.ly/1Macc7:13" TargetMode="External"/><Relationship Id="rId7798" Type="http://schemas.openxmlformats.org/officeDocument/2006/relationships/hyperlink" Target="https://ref.ly/Acts23:8" TargetMode="External"/><Relationship Id="rId7799" Type="http://schemas.openxmlformats.org/officeDocument/2006/relationships/hyperlink" Target="https://ref.ly/Acts23:6" TargetMode="External"/><Relationship Id="rId7800" Type="http://schemas.openxmlformats.org/officeDocument/2006/relationships/hyperlink" Target="https://ref.ly/John7:49" TargetMode="External"/><Relationship Id="rId7801" Type="http://schemas.openxmlformats.org/officeDocument/2006/relationships/hyperlink" Target="https://ref.ly/Luke15:11-Luke15:32" TargetMode="External"/><Relationship Id="rId7802" Type="http://schemas.openxmlformats.org/officeDocument/2006/relationships/hyperlink" Target="https://ref.ly/Mark2:15-Mark2:17" TargetMode="External"/><Relationship Id="rId7803" Type="http://schemas.openxmlformats.org/officeDocument/2006/relationships/hyperlink" Target="https://ref.ly/John1:46" TargetMode="External"/><Relationship Id="rId7804" Type="http://schemas.openxmlformats.org/officeDocument/2006/relationships/hyperlink" Target="https://ref.ly/Mark15:26" TargetMode="External"/><Relationship Id="rId7805" Type="http://schemas.openxmlformats.org/officeDocument/2006/relationships/hyperlink" Target="https://ref.ly/Amos2:2" TargetMode="External"/><Relationship Id="rId7806" Type="http://schemas.openxmlformats.org/officeDocument/2006/relationships/hyperlink" Target="https://ref.ly/Josh15:25" TargetMode="External"/><Relationship Id="rId7807" Type="http://schemas.openxmlformats.org/officeDocument/2006/relationships/hyperlink" Target="https://ref.ly/Matt10:4" TargetMode="External"/><Relationship Id="rId7808" Type="http://schemas.openxmlformats.org/officeDocument/2006/relationships/hyperlink" Target="https://ref.ly/Mark3:19" TargetMode="External"/><Relationship Id="rId7809" Type="http://schemas.openxmlformats.org/officeDocument/2006/relationships/hyperlink" Target="https://ref.ly/Luke6:16" TargetMode="External"/><Relationship Id="rId7810" Type="http://schemas.openxmlformats.org/officeDocument/2006/relationships/hyperlink" Target="https://ref.ly/Matt26:14-Matt26:47" TargetMode="External"/><Relationship Id="rId7811" Type="http://schemas.openxmlformats.org/officeDocument/2006/relationships/hyperlink" Target="https://ref.ly/Mark14:10-Mark14:46" TargetMode="External"/><Relationship Id="rId7812" Type="http://schemas.openxmlformats.org/officeDocument/2006/relationships/hyperlink" Target="https://ref.ly/Luke22:3-Luke22:48" TargetMode="External"/><Relationship Id="rId7813" Type="http://schemas.openxmlformats.org/officeDocument/2006/relationships/hyperlink" Target="https://ref.ly/John18:2-John18:5" TargetMode="External"/><Relationship Id="rId7814" Type="http://schemas.openxmlformats.org/officeDocument/2006/relationships/hyperlink" Target="https://ref.ly/Matt27:3-Matt27:10" TargetMode="External"/><Relationship Id="rId7815" Type="http://schemas.openxmlformats.org/officeDocument/2006/relationships/hyperlink" Target="https://ref.ly/Acts1:18" TargetMode="External"/><Relationship Id="rId7816" Type="http://schemas.openxmlformats.org/officeDocument/2006/relationships/hyperlink" Target="https://ref.ly/John14:22" TargetMode="External"/><Relationship Id="rId7817" Type="http://schemas.openxmlformats.org/officeDocument/2006/relationships/hyperlink" Target="https://ref.ly/Acts15:22-Acts15:32" TargetMode="External"/><Relationship Id="rId7818" Type="http://schemas.openxmlformats.org/officeDocument/2006/relationships/hyperlink" Target="https://ref.ly/Ezra5:8" TargetMode="External"/><Relationship Id="rId7819" Type="http://schemas.openxmlformats.org/officeDocument/2006/relationships/hyperlink" Target="https://ref.ly/1Macc5:45" TargetMode="External"/><Relationship Id="rId7820" Type="http://schemas.openxmlformats.org/officeDocument/2006/relationships/hyperlink" Target="https://ref.ly/1Macc7:10" TargetMode="External"/><Relationship Id="rId7821" Type="http://schemas.openxmlformats.org/officeDocument/2006/relationships/hyperlink" Target="https://ref.ly/Luke23:5" TargetMode="External"/><Relationship Id="rId7822" Type="http://schemas.openxmlformats.org/officeDocument/2006/relationships/hyperlink" Target="https://ref.ly/Acts10:37" TargetMode="External"/><Relationship Id="rId7823" Type="http://schemas.openxmlformats.org/officeDocument/2006/relationships/hyperlink" Target="https://ref.ly/Acts26:20" TargetMode="External"/><Relationship Id="rId7824" Type="http://schemas.openxmlformats.org/officeDocument/2006/relationships/hyperlink" Target="https://ref.ly/Rom2:12" TargetMode="External"/><Relationship Id="rId7825" Type="http://schemas.openxmlformats.org/officeDocument/2006/relationships/hyperlink" Target="https://ref.ly/Rom3:22" TargetMode="External"/><Relationship Id="rId7826" Type="http://schemas.openxmlformats.org/officeDocument/2006/relationships/hyperlink" Target="https://ref.ly/John5:24" TargetMode="External"/><Relationship Id="rId7827" Type="http://schemas.openxmlformats.org/officeDocument/2006/relationships/hyperlink" Target="https://ref.ly/Rom2:6" TargetMode="External"/><Relationship Id="rId7828" Type="http://schemas.openxmlformats.org/officeDocument/2006/relationships/hyperlink" Target="https://ref.ly/Rom2:15" TargetMode="External"/><Relationship Id="rId7829" Type="http://schemas.openxmlformats.org/officeDocument/2006/relationships/hyperlink" Target="https://ref.ly/Rom13:1-Rom13:2" TargetMode="External"/><Relationship Id="rId7830" Type="http://schemas.openxmlformats.org/officeDocument/2006/relationships/hyperlink" Target="https://ref.ly/1Pet4:12-1Pet4:13" TargetMode="External"/><Relationship Id="rId7831" Type="http://schemas.openxmlformats.org/officeDocument/2006/relationships/hyperlink" Target="https://ref.ly/Gen3:17" TargetMode="External"/><Relationship Id="rId7832" Type="http://schemas.openxmlformats.org/officeDocument/2006/relationships/hyperlink" Target="https://ref.ly/Rom8:20" TargetMode="External"/><Relationship Id="rId7833" Type="http://schemas.openxmlformats.org/officeDocument/2006/relationships/hyperlink" Target="https://ref.ly/Rom8:28" TargetMode="External"/><Relationship Id="rId7834" Type="http://schemas.openxmlformats.org/officeDocument/2006/relationships/hyperlink" Target="https://ref.ly/Exod10:20" TargetMode="External"/><Relationship Id="rId7835" Type="http://schemas.openxmlformats.org/officeDocument/2006/relationships/hyperlink" Target="https://ref.ly/Matt12:22-Matt12:32" TargetMode="External"/><Relationship Id="rId7836" Type="http://schemas.openxmlformats.org/officeDocument/2006/relationships/hyperlink" Target="https://ref.ly/Jude1:7" TargetMode="External"/><Relationship Id="rId7837" Type="http://schemas.openxmlformats.org/officeDocument/2006/relationships/hyperlink" Target="https://ref.ly/Matt25:31-Matt25:32" TargetMode="External"/><Relationship Id="rId7838" Type="http://schemas.openxmlformats.org/officeDocument/2006/relationships/hyperlink" Target="https://ref.ly/Matt25:31-Matt25:46" TargetMode="External"/><Relationship Id="rId7839" Type="http://schemas.openxmlformats.org/officeDocument/2006/relationships/hyperlink" Target="https://ref.ly/Matt25:34" TargetMode="External"/><Relationship Id="rId7840" Type="http://schemas.openxmlformats.org/officeDocument/2006/relationships/hyperlink" Target="https://ref.ly/2Pet3:9" TargetMode="External"/><Relationship Id="rId7841" Type="http://schemas.openxmlformats.org/officeDocument/2006/relationships/hyperlink" Target="https://ref.ly/Judg9:8-Judg9:15" TargetMode="External"/><Relationship Id="rId7842" Type="http://schemas.openxmlformats.org/officeDocument/2006/relationships/hyperlink" Target="https://ref.ly/Judg1:1-Judg2:5" TargetMode="External"/><Relationship Id="rId7843" Type="http://schemas.openxmlformats.org/officeDocument/2006/relationships/hyperlink" Target="https://ref.ly/Judg2:6-Judg3:6" TargetMode="External"/><Relationship Id="rId7844" Type="http://schemas.openxmlformats.org/officeDocument/2006/relationships/hyperlink" Target="https://ref.ly/Judg3:7-Judg16:31" TargetMode="External"/><Relationship Id="rId7845" Type="http://schemas.openxmlformats.org/officeDocument/2006/relationships/hyperlink" Target="https://ref.ly/Judg17:1-Judg21:25" TargetMode="External"/><Relationship Id="rId7846" Type="http://schemas.openxmlformats.org/officeDocument/2006/relationships/hyperlink" Target="https://ref.ly/Judg1:1-Judg3:6" TargetMode="External"/><Relationship Id="rId7847" Type="http://schemas.openxmlformats.org/officeDocument/2006/relationships/hyperlink" Target="https://ref.ly/Judg17:6" TargetMode="External"/><Relationship Id="rId7848" Type="http://schemas.openxmlformats.org/officeDocument/2006/relationships/hyperlink" Target="https://ref.ly/Judg18:1" TargetMode="External"/><Relationship Id="rId7849" Type="http://schemas.openxmlformats.org/officeDocument/2006/relationships/hyperlink" Target="https://ref.ly/Judg19:1" TargetMode="External"/><Relationship Id="rId7850" Type="http://schemas.openxmlformats.org/officeDocument/2006/relationships/hyperlink" Target="https://ref.ly/Judg21:25" TargetMode="External"/><Relationship Id="rId7851" Type="http://schemas.openxmlformats.org/officeDocument/2006/relationships/hyperlink" Target="https://ref.ly/Josh13:1-Josh21:45" TargetMode="External"/><Relationship Id="rId7852" Type="http://schemas.openxmlformats.org/officeDocument/2006/relationships/hyperlink" Target="https://ref.ly/Josh13:2-Josh13:6,Josh13:13" TargetMode="External"/><Relationship Id="rId7853" Type="http://schemas.openxmlformats.org/officeDocument/2006/relationships/hyperlink" Target="https://ref.ly/Judg1:1" TargetMode="External"/><Relationship Id="rId7854" Type="http://schemas.openxmlformats.org/officeDocument/2006/relationships/hyperlink" Target="https://ref.ly/Judg2:8-Judg2:9" TargetMode="External"/><Relationship Id="rId7855" Type="http://schemas.openxmlformats.org/officeDocument/2006/relationships/hyperlink" Target="https://ref.ly/Josh24:14-Josh24:27" TargetMode="External"/><Relationship Id="rId7856" Type="http://schemas.openxmlformats.org/officeDocument/2006/relationships/hyperlink" Target="https://ref.ly/Josh23:5,Josh23:10" TargetMode="External"/><Relationship Id="rId7857" Type="http://schemas.openxmlformats.org/officeDocument/2006/relationships/hyperlink" Target="https://ref.ly/Judg1:2-Judg1:20" TargetMode="External"/><Relationship Id="rId7858" Type="http://schemas.openxmlformats.org/officeDocument/2006/relationships/hyperlink" Target="https://ref.ly/Josh14:6-Josh15:63" TargetMode="External"/><Relationship Id="rId7859" Type="http://schemas.openxmlformats.org/officeDocument/2006/relationships/hyperlink" Target="https://ref.ly/Judg1:22-Judg1:29" TargetMode="External"/><Relationship Id="rId7860" Type="http://schemas.openxmlformats.org/officeDocument/2006/relationships/hyperlink" Target="https://ref.ly/Josh1:8" TargetMode="External"/><Relationship Id="rId7861" Type="http://schemas.openxmlformats.org/officeDocument/2006/relationships/hyperlink" Target="https://ref.ly/Josh1:21" TargetMode="External"/><Relationship Id="rId7862" Type="http://schemas.openxmlformats.org/officeDocument/2006/relationships/hyperlink" Target="https://ref.ly/2Sam5:6-2Sam5:9" TargetMode="External"/><Relationship Id="rId7863" Type="http://schemas.openxmlformats.org/officeDocument/2006/relationships/hyperlink" Target="https://ref.ly/Josh10:36" TargetMode="External"/><Relationship Id="rId7864" Type="http://schemas.openxmlformats.org/officeDocument/2006/relationships/hyperlink" Target="https://ref.ly/Judg1:20" TargetMode="External"/><Relationship Id="rId7865" Type="http://schemas.openxmlformats.org/officeDocument/2006/relationships/hyperlink" Target="https://ref.ly/Josh15:13" TargetMode="External"/><Relationship Id="rId7866" Type="http://schemas.openxmlformats.org/officeDocument/2006/relationships/hyperlink" Target="https://ref.ly/Judg1:11-Judg1:15" TargetMode="External"/><Relationship Id="rId7867" Type="http://schemas.openxmlformats.org/officeDocument/2006/relationships/hyperlink" Target="https://ref.ly/Josh15:14-Josh15:19" TargetMode="External"/><Relationship Id="rId7868" Type="http://schemas.openxmlformats.org/officeDocument/2006/relationships/hyperlink" Target="https://ref.ly/Judg1:17" TargetMode="External"/><Relationship Id="rId7869" Type="http://schemas.openxmlformats.org/officeDocument/2006/relationships/hyperlink" Target="https://ref.ly/Num14:45" TargetMode="External"/><Relationship Id="rId7870" Type="http://schemas.openxmlformats.org/officeDocument/2006/relationships/hyperlink" Target="https://ref.ly/Num21:3" TargetMode="External"/><Relationship Id="rId7871" Type="http://schemas.openxmlformats.org/officeDocument/2006/relationships/hyperlink" Target="https://ref.ly/Deut1:44" TargetMode="External"/><Relationship Id="rId7872" Type="http://schemas.openxmlformats.org/officeDocument/2006/relationships/hyperlink" Target="https://ref.ly/Gen13:3-Gen13:4" TargetMode="External"/><Relationship Id="rId7873" Type="http://schemas.openxmlformats.org/officeDocument/2006/relationships/hyperlink" Target="https://ref.ly/Gen35:1-Gen35:15" TargetMode="External"/><Relationship Id="rId7874" Type="http://schemas.openxmlformats.org/officeDocument/2006/relationships/hyperlink" Target="https://ref.ly/Judg1:30-Judg1:36" TargetMode="External"/><Relationship Id="rId7875" Type="http://schemas.openxmlformats.org/officeDocument/2006/relationships/hyperlink" Target="https://ref.ly/Judg2:1-Judg2:5" TargetMode="External"/><Relationship Id="rId7876" Type="http://schemas.openxmlformats.org/officeDocument/2006/relationships/hyperlink" Target="https://ref.ly/Exod23:33" TargetMode="External"/><Relationship Id="rId7877" Type="http://schemas.openxmlformats.org/officeDocument/2006/relationships/hyperlink" Target="https://ref.ly/Exod34:12-Exod34:16" TargetMode="External"/><Relationship Id="rId7878" Type="http://schemas.openxmlformats.org/officeDocument/2006/relationships/hyperlink" Target="https://ref.ly/Deut7:2-Deut7:5,Deut7:16" TargetMode="External"/><Relationship Id="rId7879" Type="http://schemas.openxmlformats.org/officeDocument/2006/relationships/hyperlink" Target="https://ref.ly/Josh23:7,Josh23:12" TargetMode="External"/><Relationship Id="rId7880" Type="http://schemas.openxmlformats.org/officeDocument/2006/relationships/hyperlink" Target="https://ref.ly/Judg6:8" TargetMode="External"/><Relationship Id="rId7881" Type="http://schemas.openxmlformats.org/officeDocument/2006/relationships/hyperlink" Target="https://ref.ly/Judg2:3" TargetMode="External"/><Relationship Id="rId7882" Type="http://schemas.openxmlformats.org/officeDocument/2006/relationships/hyperlink" Target="https://ref.ly/Judg2:4-Judg2:5" TargetMode="External"/><Relationship Id="rId7883" Type="http://schemas.openxmlformats.org/officeDocument/2006/relationships/hyperlink" Target="https://ref.ly/Mal2:13" TargetMode="External"/><Relationship Id="rId7884" Type="http://schemas.openxmlformats.org/officeDocument/2006/relationships/hyperlink" Target="https://ref.ly/Josh24:28-Josh24:31" TargetMode="External"/><Relationship Id="rId7885" Type="http://schemas.openxmlformats.org/officeDocument/2006/relationships/hyperlink" Target="https://ref.ly/Judg2:10" TargetMode="External"/><Relationship Id="rId7886" Type="http://schemas.openxmlformats.org/officeDocument/2006/relationships/hyperlink" Target="https://ref.ly/Judg2:11-Judg2:13" TargetMode="External"/><Relationship Id="rId7887" Type="http://schemas.openxmlformats.org/officeDocument/2006/relationships/hyperlink" Target="https://ref.ly/Judg2:12-Judg2:14" TargetMode="External"/><Relationship Id="rId7888" Type="http://schemas.openxmlformats.org/officeDocument/2006/relationships/hyperlink" Target="https://ref.ly/Deut28:25,Deut28:33" TargetMode="External"/><Relationship Id="rId7889" Type="http://schemas.openxmlformats.org/officeDocument/2006/relationships/hyperlink" Target="https://ref.ly/Josh23:13,Josh23:16" TargetMode="External"/><Relationship Id="rId7890" Type="http://schemas.openxmlformats.org/officeDocument/2006/relationships/hyperlink" Target="https://ref.ly/Judg3:1-Judg3:4" TargetMode="External"/><Relationship Id="rId7891" Type="http://schemas.openxmlformats.org/officeDocument/2006/relationships/hyperlink" Target="https://ref.ly/Judg3:7-Judg3:11" TargetMode="External"/><Relationship Id="rId7892" Type="http://schemas.openxmlformats.org/officeDocument/2006/relationships/hyperlink" Target="https://ref.ly/Judg1:13" TargetMode="External"/><Relationship Id="rId7893" Type="http://schemas.openxmlformats.org/officeDocument/2006/relationships/hyperlink" Target="https://ref.ly/Judg3:12-Judg3:30" TargetMode="External"/><Relationship Id="rId7894" Type="http://schemas.openxmlformats.org/officeDocument/2006/relationships/hyperlink" Target="https://ref.ly/Judg3:31" TargetMode="External"/><Relationship Id="rId7895" Type="http://schemas.openxmlformats.org/officeDocument/2006/relationships/hyperlink" Target="https://ref.ly/Judg5:6" TargetMode="External"/><Relationship Id="rId7896" Type="http://schemas.openxmlformats.org/officeDocument/2006/relationships/hyperlink" Target="https://ref.ly/Judg4:1-Judg4:3" TargetMode="External"/><Relationship Id="rId7897" Type="http://schemas.openxmlformats.org/officeDocument/2006/relationships/hyperlink" Target="https://ref.ly/Josh11:13" TargetMode="External"/><Relationship Id="rId7898" Type="http://schemas.openxmlformats.org/officeDocument/2006/relationships/hyperlink" Target="https://ref.ly/Judg4:3" TargetMode="External"/><Relationship Id="rId7899" Type="http://schemas.openxmlformats.org/officeDocument/2006/relationships/hyperlink" Target="https://ref.ly/Judg4:6-Judg4:7" TargetMode="External"/><Relationship Id="rId7900" Type="http://schemas.openxmlformats.org/officeDocument/2006/relationships/hyperlink" Target="https://ref.ly/Judg4:8-Judg4:10" TargetMode="External"/><Relationship Id="rId7901" Type="http://schemas.openxmlformats.org/officeDocument/2006/relationships/hyperlink" Target="https://ref.ly/Judg5:20-Judg5:22" TargetMode="External"/><Relationship Id="rId7902" Type="http://schemas.openxmlformats.org/officeDocument/2006/relationships/hyperlink" Target="https://ref.ly/Judg4:17-Judg4:18" TargetMode="External"/><Relationship Id="rId7903" Type="http://schemas.openxmlformats.org/officeDocument/2006/relationships/hyperlink" Target="https://ref.ly/Judg4:18-Judg4:21" TargetMode="External"/><Relationship Id="rId7904" Type="http://schemas.openxmlformats.org/officeDocument/2006/relationships/hyperlink" Target="https://ref.ly/Judg5:26-Judg5:27" TargetMode="External"/><Relationship Id="rId7905" Type="http://schemas.openxmlformats.org/officeDocument/2006/relationships/hyperlink" Target="https://ref.ly/Judg4:24" TargetMode="External"/><Relationship Id="rId7906" Type="http://schemas.openxmlformats.org/officeDocument/2006/relationships/hyperlink" Target="https://ref.ly/Judg5:2-Judg5:3" TargetMode="External"/><Relationship Id="rId7907" Type="http://schemas.openxmlformats.org/officeDocument/2006/relationships/hyperlink" Target="https://ref.ly/Judg5:4-Judg5:5" TargetMode="External"/><Relationship Id="rId7908" Type="http://schemas.openxmlformats.org/officeDocument/2006/relationships/hyperlink" Target="https://ref.ly/Deut33:2" TargetMode="External"/><Relationship Id="rId7909" Type="http://schemas.openxmlformats.org/officeDocument/2006/relationships/hyperlink" Target="https://ref.ly/Ps68:7-Ps68:8" TargetMode="External"/><Relationship Id="rId7910" Type="http://schemas.openxmlformats.org/officeDocument/2006/relationships/hyperlink" Target="https://ref.ly/Hab3:3-Hab3:4" TargetMode="External"/><Relationship Id="rId7911" Type="http://schemas.openxmlformats.org/officeDocument/2006/relationships/hyperlink" Target="https://ref.ly/Judg5:6-Judg5:8" TargetMode="External"/><Relationship Id="rId7912" Type="http://schemas.openxmlformats.org/officeDocument/2006/relationships/hyperlink" Target="https://ref.ly/Judg5:9-Judg5:13" TargetMode="External"/><Relationship Id="rId7913" Type="http://schemas.openxmlformats.org/officeDocument/2006/relationships/hyperlink" Target="https://ref.ly/Judg5:14-Judg5:15,Judg5:18" TargetMode="External"/><Relationship Id="rId7914" Type="http://schemas.openxmlformats.org/officeDocument/2006/relationships/hyperlink" Target="https://ref.ly/Judg5:15-Judg5:17" TargetMode="External"/><Relationship Id="rId7915" Type="http://schemas.openxmlformats.org/officeDocument/2006/relationships/hyperlink" Target="https://ref.ly/Judg5:19-Judg5:23" TargetMode="External"/><Relationship Id="rId7916" Type="http://schemas.openxmlformats.org/officeDocument/2006/relationships/hyperlink" Target="https://ref.ly/Judg5:24-Judg5:27" TargetMode="External"/><Relationship Id="rId7917" Type="http://schemas.openxmlformats.org/officeDocument/2006/relationships/hyperlink" Target="https://ref.ly/Judg5:28-Judg5:30" TargetMode="External"/><Relationship Id="rId7918" Type="http://schemas.openxmlformats.org/officeDocument/2006/relationships/hyperlink" Target="https://ref.ly/Judg5:31" TargetMode="External"/><Relationship Id="rId7919" Type="http://schemas.openxmlformats.org/officeDocument/2006/relationships/hyperlink" Target="https://ref.ly/Ps68:1-Ps68:3" TargetMode="External"/><Relationship Id="rId7920" Type="http://schemas.openxmlformats.org/officeDocument/2006/relationships/hyperlink" Target="https://ref.ly/Judg6:1-Judg8:35" TargetMode="External"/><Relationship Id="rId7921" Type="http://schemas.openxmlformats.org/officeDocument/2006/relationships/hyperlink" Target="https://ref.ly/Judg6:1-Judg6:3" TargetMode="External"/><Relationship Id="rId7922" Type="http://schemas.openxmlformats.org/officeDocument/2006/relationships/hyperlink" Target="https://ref.ly/Judg6:4-Judg6:6" TargetMode="External"/><Relationship Id="rId7923" Type="http://schemas.openxmlformats.org/officeDocument/2006/relationships/hyperlink" Target="https://ref.ly/Judg6:11-Judg6:14" TargetMode="External"/><Relationship Id="rId7924" Type="http://schemas.openxmlformats.org/officeDocument/2006/relationships/hyperlink" Target="https://ref.ly/Judg6:16" TargetMode="External"/><Relationship Id="rId7925" Type="http://schemas.openxmlformats.org/officeDocument/2006/relationships/hyperlink" Target="https://ref.ly/Judg6:17-Judg6:22" TargetMode="External"/><Relationship Id="rId7926" Type="http://schemas.openxmlformats.org/officeDocument/2006/relationships/hyperlink" Target="https://ref.ly/Judg6:25-Judg6:28" TargetMode="External"/><Relationship Id="rId7927" Type="http://schemas.openxmlformats.org/officeDocument/2006/relationships/hyperlink" Target="https://ref.ly/Judg6:28" TargetMode="External"/><Relationship Id="rId7928" Type="http://schemas.openxmlformats.org/officeDocument/2006/relationships/hyperlink" Target="https://ref.ly/Judg6:29-Judg6:32" TargetMode="External"/><Relationship Id="rId7929" Type="http://schemas.openxmlformats.org/officeDocument/2006/relationships/hyperlink" Target="https://ref.ly/Judg6:31" TargetMode="External"/><Relationship Id="rId7930" Type="http://schemas.openxmlformats.org/officeDocument/2006/relationships/hyperlink" Target="https://ref.ly/Judg6:32" TargetMode="External"/><Relationship Id="rId7931" Type="http://schemas.openxmlformats.org/officeDocument/2006/relationships/hyperlink" Target="https://ref.ly/Judg6:35" TargetMode="External"/><Relationship Id="rId7932" Type="http://schemas.openxmlformats.org/officeDocument/2006/relationships/hyperlink" Target="https://ref.ly/Judg7:3" TargetMode="External"/><Relationship Id="rId7933" Type="http://schemas.openxmlformats.org/officeDocument/2006/relationships/hyperlink" Target="https://ref.ly/Judg6:36-Judg6:40" TargetMode="External"/><Relationship Id="rId7934" Type="http://schemas.openxmlformats.org/officeDocument/2006/relationships/hyperlink" Target="https://ref.ly/Judg6:13" TargetMode="External"/><Relationship Id="rId7935" Type="http://schemas.openxmlformats.org/officeDocument/2006/relationships/hyperlink" Target="https://ref.ly/Judg7:2-Judg7:3" TargetMode="External"/><Relationship Id="rId7936" Type="http://schemas.openxmlformats.org/officeDocument/2006/relationships/hyperlink" Target="https://ref.ly/Deut20:8" TargetMode="External"/><Relationship Id="rId7937" Type="http://schemas.openxmlformats.org/officeDocument/2006/relationships/hyperlink" Target="https://ref.ly/Judg7:4-Judg7:8" TargetMode="External"/><Relationship Id="rId7938" Type="http://schemas.openxmlformats.org/officeDocument/2006/relationships/hyperlink" Target="https://ref.ly/Judg7:9-Judg7:15" TargetMode="External"/><Relationship Id="rId7939" Type="http://schemas.openxmlformats.org/officeDocument/2006/relationships/hyperlink" Target="https://ref.ly/Judg7:16-Judg8:21" TargetMode="External"/><Relationship Id="rId7940" Type="http://schemas.openxmlformats.org/officeDocument/2006/relationships/hyperlink" Target="https://ref.ly/Judg8:1-Judg8:3" TargetMode="External"/><Relationship Id="rId7941" Type="http://schemas.openxmlformats.org/officeDocument/2006/relationships/hyperlink" Target="https://ref.ly/Judg8:4-Judg8:9,Judg8:13-Judg8:16" TargetMode="External"/><Relationship Id="rId7942" Type="http://schemas.openxmlformats.org/officeDocument/2006/relationships/hyperlink" Target="https://ref.ly/Judg8:22" TargetMode="External"/><Relationship Id="rId7943" Type="http://schemas.openxmlformats.org/officeDocument/2006/relationships/hyperlink" Target="https://ref.ly/Judg8:23-Judg8:27" TargetMode="External"/><Relationship Id="rId7944" Type="http://schemas.openxmlformats.org/officeDocument/2006/relationships/hyperlink" Target="https://ref.ly/Judg17:5" TargetMode="External"/><Relationship Id="rId7945" Type="http://schemas.openxmlformats.org/officeDocument/2006/relationships/hyperlink" Target="https://ref.ly/Judg8:33-Judg8:35" TargetMode="External"/><Relationship Id="rId7946" Type="http://schemas.openxmlformats.org/officeDocument/2006/relationships/hyperlink" Target="https://ref.ly/Judg9:1-Judg9:6" TargetMode="External"/><Relationship Id="rId7947" Type="http://schemas.openxmlformats.org/officeDocument/2006/relationships/hyperlink" Target="https://ref.ly/Judg9:4-Judg9:5" TargetMode="External"/><Relationship Id="rId7948" Type="http://schemas.openxmlformats.org/officeDocument/2006/relationships/hyperlink" Target="https://ref.ly/Judg9:7-Judg9:20" TargetMode="External"/><Relationship Id="rId7949" Type="http://schemas.openxmlformats.org/officeDocument/2006/relationships/hyperlink" Target="https://ref.ly/Judg10:1-Judg10:2" TargetMode="External"/><Relationship Id="rId7950" Type="http://schemas.openxmlformats.org/officeDocument/2006/relationships/hyperlink" Target="https://ref.ly/Judg10:6-Judg12:7" TargetMode="External"/><Relationship Id="rId7951" Type="http://schemas.openxmlformats.org/officeDocument/2006/relationships/hyperlink" Target="https://ref.ly/Judg10:6-Judg10:16" TargetMode="External"/><Relationship Id="rId7952" Type="http://schemas.openxmlformats.org/officeDocument/2006/relationships/hyperlink" Target="https://ref.ly/Judg10:17-Judg11:8" TargetMode="External"/><Relationship Id="rId7953" Type="http://schemas.openxmlformats.org/officeDocument/2006/relationships/hyperlink" Target="https://ref.ly/Judg11:9-Judg11:10" TargetMode="External"/><Relationship Id="rId7954" Type="http://schemas.openxmlformats.org/officeDocument/2006/relationships/hyperlink" Target="https://ref.ly/Judg11:11" TargetMode="External"/><Relationship Id="rId7955" Type="http://schemas.openxmlformats.org/officeDocument/2006/relationships/hyperlink" Target="https://ref.ly/Judg11:12-Judg11:27" TargetMode="External"/><Relationship Id="rId7956" Type="http://schemas.openxmlformats.org/officeDocument/2006/relationships/hyperlink" Target="https://ref.ly/Judg11:27" TargetMode="External"/><Relationship Id="rId7957" Type="http://schemas.openxmlformats.org/officeDocument/2006/relationships/hyperlink" Target="https://ref.ly/Judg12:1-Judg12:4" TargetMode="External"/><Relationship Id="rId7958" Type="http://schemas.openxmlformats.org/officeDocument/2006/relationships/hyperlink" Target="https://ref.ly/Judg12:11" TargetMode="External"/><Relationship Id="rId7959" Type="http://schemas.openxmlformats.org/officeDocument/2006/relationships/hyperlink" Target="https://ref.ly/Judg12:13-Judg12:15" TargetMode="External"/><Relationship Id="rId7960" Type="http://schemas.openxmlformats.org/officeDocument/2006/relationships/hyperlink" Target="https://ref.ly/Judg13:1-Judg16:31" TargetMode="External"/><Relationship Id="rId7961" Type="http://schemas.openxmlformats.org/officeDocument/2006/relationships/hyperlink" Target="https://ref.ly/Judg13:1-Judg13:24" TargetMode="External"/><Relationship Id="rId7962" Type="http://schemas.openxmlformats.org/officeDocument/2006/relationships/hyperlink" Target="https://ref.ly/Judg13:7" TargetMode="External"/><Relationship Id="rId7963" Type="http://schemas.openxmlformats.org/officeDocument/2006/relationships/hyperlink" Target="https://ref.ly/Num6:1-Num6:21" TargetMode="External"/><Relationship Id="rId7964" Type="http://schemas.openxmlformats.org/officeDocument/2006/relationships/hyperlink" Target="https://ref.ly/Judg13:25" TargetMode="External"/><Relationship Id="rId7965" Type="http://schemas.openxmlformats.org/officeDocument/2006/relationships/hyperlink" Target="https://ref.ly/Judg14:6,Judg14:19" TargetMode="External"/><Relationship Id="rId7966" Type="http://schemas.openxmlformats.org/officeDocument/2006/relationships/hyperlink" Target="https://ref.ly/Judg15:14" TargetMode="External"/><Relationship Id="rId7967" Type="http://schemas.openxmlformats.org/officeDocument/2006/relationships/hyperlink" Target="https://ref.ly/Judg14:19" TargetMode="External"/><Relationship Id="rId7968" Type="http://schemas.openxmlformats.org/officeDocument/2006/relationships/hyperlink" Target="https://ref.ly/Judg15:1-Judg15:6" TargetMode="External"/><Relationship Id="rId7969" Type="http://schemas.openxmlformats.org/officeDocument/2006/relationships/hyperlink" Target="https://ref.ly/Judg15:7-Judg15:17" TargetMode="External"/><Relationship Id="rId7970" Type="http://schemas.openxmlformats.org/officeDocument/2006/relationships/hyperlink" Target="https://ref.ly/Judg16:1-Judg16:3,Judg16:23-Judg16:30" TargetMode="External"/><Relationship Id="rId7971" Type="http://schemas.openxmlformats.org/officeDocument/2006/relationships/hyperlink" Target="https://ref.ly/Judg15:18-Judg15:19" TargetMode="External"/><Relationship Id="rId7972" Type="http://schemas.openxmlformats.org/officeDocument/2006/relationships/hyperlink" Target="https://ref.ly/Judg16:28-Judg16:30" TargetMode="External"/><Relationship Id="rId7973" Type="http://schemas.openxmlformats.org/officeDocument/2006/relationships/hyperlink" Target="https://ref.ly/Judg14:1-Judg14:20" TargetMode="External"/><Relationship Id="rId7974" Type="http://schemas.openxmlformats.org/officeDocument/2006/relationships/hyperlink" Target="https://ref.ly/Judg16:1-Judg16:31" TargetMode="External"/><Relationship Id="rId7975" Type="http://schemas.openxmlformats.org/officeDocument/2006/relationships/hyperlink" Target="https://ref.ly/Judg16:31" TargetMode="External"/><Relationship Id="rId7976" Type="http://schemas.openxmlformats.org/officeDocument/2006/relationships/hyperlink" Target="https://ref.ly/Judg19:1-Judg21:25" TargetMode="External"/><Relationship Id="rId7977" Type="http://schemas.openxmlformats.org/officeDocument/2006/relationships/hyperlink" Target="https://ref.ly/Judg17:1-Judg17:13" TargetMode="External"/><Relationship Id="rId7978" Type="http://schemas.openxmlformats.org/officeDocument/2006/relationships/hyperlink" Target="https://ref.ly/Judg18:31" TargetMode="External"/><Relationship Id="rId7979" Type="http://schemas.openxmlformats.org/officeDocument/2006/relationships/hyperlink" Target="https://ref.ly/Judg19:29-Judg20:19" TargetMode="External"/><Relationship Id="rId7980" Type="http://schemas.openxmlformats.org/officeDocument/2006/relationships/hyperlink" Target="https://ref.ly/Judg20:20-Judg20:48" TargetMode="External"/><Relationship Id="rId7981" Type="http://schemas.openxmlformats.org/officeDocument/2006/relationships/hyperlink" Target="https://ref.ly/Judg21:6-Judg21:15" TargetMode="External"/><Relationship Id="rId7982" Type="http://schemas.openxmlformats.org/officeDocument/2006/relationships/hyperlink" Target="https://ref.ly/Jer32:12" TargetMode="External"/><Relationship Id="rId7983" Type="http://schemas.openxmlformats.org/officeDocument/2006/relationships/hyperlink" Target="https://ref.ly/Jer34:9" TargetMode="External"/><Relationship Id="rId7984" Type="http://schemas.openxmlformats.org/officeDocument/2006/relationships/hyperlink" Target="https://ref.ly/Jer52:28" TargetMode="External"/><Relationship Id="rId7985" Type="http://schemas.openxmlformats.org/officeDocument/2006/relationships/hyperlink" Target="https://ref.ly/Dan3:8-Dan3:12" TargetMode="External"/><Relationship Id="rId7986" Type="http://schemas.openxmlformats.org/officeDocument/2006/relationships/hyperlink" Target="https://ref.ly/Esth8:17" TargetMode="External"/><Relationship Id="rId7987" Type="http://schemas.openxmlformats.org/officeDocument/2006/relationships/hyperlink" Target="https://ref.ly/Zech8:23" TargetMode="External"/><Relationship Id="rId7988" Type="http://schemas.openxmlformats.org/officeDocument/2006/relationships/hyperlink" Target="https://ref.ly/Ezra4:12" TargetMode="External"/><Relationship Id="rId7989" Type="http://schemas.openxmlformats.org/officeDocument/2006/relationships/hyperlink" Target="https://ref.ly/Neh1:2" TargetMode="External"/><Relationship Id="rId7990" Type="http://schemas.openxmlformats.org/officeDocument/2006/relationships/hyperlink" Target="https://ref.ly/Neh4:2" TargetMode="External"/><Relationship Id="rId7991" Type="http://schemas.openxmlformats.org/officeDocument/2006/relationships/hyperlink" Target="https://ref.ly/Neh13:23-Neh13:27" TargetMode="External"/><Relationship Id="rId7992" Type="http://schemas.openxmlformats.org/officeDocument/2006/relationships/hyperlink" Target="https://ref.ly/Mark7:3" TargetMode="External"/><Relationship Id="rId7993" Type="http://schemas.openxmlformats.org/officeDocument/2006/relationships/hyperlink" Target="https://ref.ly/John19:40" TargetMode="External"/><Relationship Id="rId7994" Type="http://schemas.openxmlformats.org/officeDocument/2006/relationships/hyperlink" Target="https://ref.ly/John4:9" TargetMode="External"/><Relationship Id="rId7995" Type="http://schemas.openxmlformats.org/officeDocument/2006/relationships/hyperlink" Target="https://ref.ly/Rom2:17-Rom2:29" TargetMode="External"/><Relationship Id="rId7996" Type="http://schemas.openxmlformats.org/officeDocument/2006/relationships/hyperlink" Target="https://ref.ly/Phil3:3-Phil3:6" TargetMode="External"/><Relationship Id="rId7997" Type="http://schemas.openxmlformats.org/officeDocument/2006/relationships/hyperlink" Target="https://ref.ly/Rev2:9" TargetMode="External"/><Relationship Id="rId7998" Type="http://schemas.openxmlformats.org/officeDocument/2006/relationships/hyperlink" Target="https://ref.ly/Rev3:9" TargetMode="External"/><Relationship Id="rId7999" Type="http://schemas.openxmlformats.org/officeDocument/2006/relationships/hyperlink" Target="https://ref.ly/Rom9:3-Rom9:5" TargetMode="External"/><Relationship Id="rId8000" Type="http://schemas.openxmlformats.org/officeDocument/2006/relationships/hyperlink" Target="https://ref.ly/Rom10:1-Rom10:4" TargetMode="External"/><Relationship Id="rId8001" Type="http://schemas.openxmlformats.org/officeDocument/2006/relationships/hyperlink" Target="https://ref.ly/Acts26:4-Acts26:7" TargetMode="External"/><Relationship Id="rId8002" Type="http://schemas.openxmlformats.org/officeDocument/2006/relationships/hyperlink" Target="https://ref.ly/Acts21:11" TargetMode="External"/><Relationship Id="rId8003" Type="http://schemas.openxmlformats.org/officeDocument/2006/relationships/hyperlink" Target="https://ref.ly/Acts23:12" TargetMode="External"/><Relationship Id="rId8004" Type="http://schemas.openxmlformats.org/officeDocument/2006/relationships/hyperlink" Target="https://ref.ly/John5:18" TargetMode="External"/><Relationship Id="rId8005" Type="http://schemas.openxmlformats.org/officeDocument/2006/relationships/hyperlink" Target="https://ref.ly/John9:18" TargetMode="External"/><Relationship Id="rId8006" Type="http://schemas.openxmlformats.org/officeDocument/2006/relationships/hyperlink" Target="https://ref.ly/John11:8" TargetMode="External"/><Relationship Id="rId8007" Type="http://schemas.openxmlformats.org/officeDocument/2006/relationships/hyperlink" Target="https://ref.ly/John18:36" TargetMode="External"/><Relationship Id="rId8008" Type="http://schemas.openxmlformats.org/officeDocument/2006/relationships/hyperlink" Target="https://ref.ly/John9:22" TargetMode="External"/><Relationship Id="rId8009" Type="http://schemas.openxmlformats.org/officeDocument/2006/relationships/hyperlink" Target="https://ref.ly/John18:14" TargetMode="External"/><Relationship Id="rId8010" Type="http://schemas.openxmlformats.org/officeDocument/2006/relationships/hyperlink" Target="https://ref.ly/John8:31" TargetMode="External"/><Relationship Id="rId8011" Type="http://schemas.openxmlformats.org/officeDocument/2006/relationships/hyperlink" Target="https://ref.ly/John11:45" TargetMode="External"/><Relationship Id="rId8012" Type="http://schemas.openxmlformats.org/officeDocument/2006/relationships/hyperlink" Target="https://ref.ly/John12:11" TargetMode="External"/><Relationship Id="rId8013" Type="http://schemas.openxmlformats.org/officeDocument/2006/relationships/hyperlink" Target="https://ref.ly/John1:47" TargetMode="External"/><Relationship Id="rId8014" Type="http://schemas.openxmlformats.org/officeDocument/2006/relationships/hyperlink" Target="https://ref.ly/Acts27:3" TargetMode="External"/><Relationship Id="rId8015" Type="http://schemas.openxmlformats.org/officeDocument/2006/relationships/hyperlink" Target="https://ref.ly/Acts27:9-Acts27:12" TargetMode="External"/><Relationship Id="rId8016" Type="http://schemas.openxmlformats.org/officeDocument/2006/relationships/hyperlink" Target="https://ref.ly/Acts27:42-Acts27:44" TargetMode="External"/><Relationship Id="rId8017" Type="http://schemas.openxmlformats.org/officeDocument/2006/relationships/hyperlink" Target="https://ref.ly/Acts28:16" TargetMode="External"/><Relationship Id="rId8018" Type="http://schemas.openxmlformats.org/officeDocument/2006/relationships/hyperlink" Target="https://ref.ly/Gen38:26" TargetMode="External"/><Relationship Id="rId8019" Type="http://schemas.openxmlformats.org/officeDocument/2006/relationships/hyperlink" Target="https://ref.ly/Gen18:25" TargetMode="External"/><Relationship Id="rId8020" Type="http://schemas.openxmlformats.org/officeDocument/2006/relationships/hyperlink" Target="https://ref.ly/Ps19:9" TargetMode="External"/><Relationship Id="rId8021" Type="http://schemas.openxmlformats.org/officeDocument/2006/relationships/hyperlink" Target="https://ref.ly/Ps143:2" TargetMode="External"/><Relationship Id="rId8022" Type="http://schemas.openxmlformats.org/officeDocument/2006/relationships/hyperlink" Target="https://ref.ly/Isa63:7" TargetMode="External"/><Relationship Id="rId8023" Type="http://schemas.openxmlformats.org/officeDocument/2006/relationships/hyperlink" Target="https://ref.ly/Gal1:6-Gal1:9" TargetMode="External"/><Relationship Id="rId8024" Type="http://schemas.openxmlformats.org/officeDocument/2006/relationships/hyperlink" Target="https://ref.ly/Rom3:21" TargetMode="External"/><Relationship Id="rId8025" Type="http://schemas.openxmlformats.org/officeDocument/2006/relationships/hyperlink" Target="https://ref.ly/Gal3:15-Gal3:25" TargetMode="External"/><Relationship Id="rId8026" Type="http://schemas.openxmlformats.org/officeDocument/2006/relationships/hyperlink" Target="https://ref.ly/Gal3:21" TargetMode="External"/><Relationship Id="rId8027" Type="http://schemas.openxmlformats.org/officeDocument/2006/relationships/hyperlink" Target="https://ref.ly/Acts13:39" TargetMode="External"/><Relationship Id="rId8028" Type="http://schemas.openxmlformats.org/officeDocument/2006/relationships/hyperlink" Target="https://ref.ly/Rom8:3" TargetMode="External"/><Relationship Id="rId8029" Type="http://schemas.openxmlformats.org/officeDocument/2006/relationships/hyperlink" Target="https://ref.ly/Rom8:1" TargetMode="External"/><Relationship Id="rId8030" Type="http://schemas.openxmlformats.org/officeDocument/2006/relationships/hyperlink" Target="https://ref.ly/Rom3:21-Rom3:26" TargetMode="External"/><Relationship Id="rId8031" Type="http://schemas.openxmlformats.org/officeDocument/2006/relationships/hyperlink" Target="https://ref.ly/1Thess5:10" TargetMode="External"/><Relationship Id="rId8032" Type="http://schemas.openxmlformats.org/officeDocument/2006/relationships/hyperlink" Target="https://ref.ly/Luke18:14" TargetMode="External"/><Relationship Id="rId8033" Type="http://schemas.openxmlformats.org/officeDocument/2006/relationships/hyperlink" Target="https://ref.ly/Luke7:36-Luke7:50" TargetMode="External"/><Relationship Id="rId8034" Type="http://schemas.openxmlformats.org/officeDocument/2006/relationships/hyperlink" Target="https://ref.ly/Matt18:4" TargetMode="External"/><Relationship Id="rId8035" Type="http://schemas.openxmlformats.org/officeDocument/2006/relationships/hyperlink" Target="https://ref.ly/Luke5:32" TargetMode="External"/><Relationship Id="rId8036" Type="http://schemas.openxmlformats.org/officeDocument/2006/relationships/hyperlink" Target="https://ref.ly/Luke15:7" TargetMode="External"/><Relationship Id="rId8037" Type="http://schemas.openxmlformats.org/officeDocument/2006/relationships/hyperlink" Target="https://ref.ly/Luke19:7" TargetMode="External"/><Relationship Id="rId8038" Type="http://schemas.openxmlformats.org/officeDocument/2006/relationships/hyperlink" Target="https://ref.ly/Matt8:8" TargetMode="External"/><Relationship Id="rId8039" Type="http://schemas.openxmlformats.org/officeDocument/2006/relationships/hyperlink" Target="https://ref.ly/Heb10:38" TargetMode="External"/><Relationship Id="rId8040" Type="http://schemas.openxmlformats.org/officeDocument/2006/relationships/hyperlink" Target="https://ref.ly/Acts18:7" TargetMode="External"/><Relationship Id="rId8041" Type="http://schemas.openxmlformats.org/officeDocument/2006/relationships/hyperlink" Target="https://ref.ly/Deut1:46" TargetMode="External"/><Relationship Id="rId8042" Type="http://schemas.openxmlformats.org/officeDocument/2006/relationships/hyperlink" Target="https://ref.ly/Num20:1" TargetMode="External"/><Relationship Id="rId8043" Type="http://schemas.openxmlformats.org/officeDocument/2006/relationships/hyperlink" Target="https://ref.ly/Num20:2-Num20:24" TargetMode="External"/><Relationship Id="rId8044" Type="http://schemas.openxmlformats.org/officeDocument/2006/relationships/hyperlink" Target="https://ref.ly/Deut32:51" TargetMode="External"/><Relationship Id="rId8045" Type="http://schemas.openxmlformats.org/officeDocument/2006/relationships/hyperlink" Target="https://ref.ly/Ezek47:19" TargetMode="External"/><Relationship Id="rId8046" Type="http://schemas.openxmlformats.org/officeDocument/2006/relationships/hyperlink" Target="https://ref.ly/Num16:1-Num17:13" TargetMode="External"/><Relationship Id="rId8047" Type="http://schemas.openxmlformats.org/officeDocument/2006/relationships/hyperlink" Target="https://ref.ly/Ps95:8-Ps95:11" TargetMode="External"/><Relationship Id="rId8048" Type="http://schemas.openxmlformats.org/officeDocument/2006/relationships/hyperlink" Target="https://ref.ly/Gen15:19" TargetMode="External"/><Relationship Id="rId8049" Type="http://schemas.openxmlformats.org/officeDocument/2006/relationships/hyperlink" Target="https://ref.ly/Judg8:10" TargetMode="External"/><Relationship Id="rId8050" Type="http://schemas.openxmlformats.org/officeDocument/2006/relationships/hyperlink" Target="https://ref.ly/1Kgs4:30" TargetMode="External"/><Relationship Id="rId8051" Type="http://schemas.openxmlformats.org/officeDocument/2006/relationships/hyperlink" Target="https://ref.ly/Job1:3" TargetMode="External"/><Relationship Id="rId8052" Type="http://schemas.openxmlformats.org/officeDocument/2006/relationships/hyperlink" Target="https://ref.ly/Gen5:9-Gen5:14" TargetMode="External"/><Relationship Id="rId8053" Type="http://schemas.openxmlformats.org/officeDocument/2006/relationships/hyperlink" Target="https://ref.ly/Gen25:13" TargetMode="External"/><Relationship Id="rId8054" Type="http://schemas.openxmlformats.org/officeDocument/2006/relationships/hyperlink" Target="https://ref.ly/Isa21:16" TargetMode="External"/><Relationship Id="rId8055" Type="http://schemas.openxmlformats.org/officeDocument/2006/relationships/hyperlink" Target="https://ref.ly/Ezek27:21" TargetMode="External"/><Relationship Id="rId8056" Type="http://schemas.openxmlformats.org/officeDocument/2006/relationships/hyperlink" Target="https://ref.ly/Jer49:28" TargetMode="External"/><Relationship Id="rId8057" Type="http://schemas.openxmlformats.org/officeDocument/2006/relationships/hyperlink" Target="https://ref.ly/Neh6:1-Neh6:6" TargetMode="External"/><Relationship Id="rId8058" Type="http://schemas.openxmlformats.org/officeDocument/2006/relationships/hyperlink" Target="https://ref.ly/Isa42:11" TargetMode="External"/><Relationship Id="rId8059" Type="http://schemas.openxmlformats.org/officeDocument/2006/relationships/hyperlink" Target="https://ref.ly/Ps120:5" TargetMode="External"/><Relationship Id="rId8060" Type="http://schemas.openxmlformats.org/officeDocument/2006/relationships/hyperlink" Target="https://ref.ly/Song1:5" TargetMode="External"/><Relationship Id="rId8061" Type="http://schemas.openxmlformats.org/officeDocument/2006/relationships/hyperlink" Target="https://ref.ly/Exod6:18" TargetMode="External"/><Relationship Id="rId8062" Type="http://schemas.openxmlformats.org/officeDocument/2006/relationships/hyperlink" Target="https://ref.ly/Num3:19,Num3:27" TargetMode="External"/><Relationship Id="rId8063" Type="http://schemas.openxmlformats.org/officeDocument/2006/relationships/hyperlink" Target="https://ref.ly/1Chr6:2" TargetMode="External"/><Relationship Id="rId8064" Type="http://schemas.openxmlformats.org/officeDocument/2006/relationships/hyperlink" Target="https://ref.ly/Num3:31-Num3:32" TargetMode="External"/><Relationship Id="rId8065" Type="http://schemas.openxmlformats.org/officeDocument/2006/relationships/hyperlink" Target="https://ref.ly/Exod6:18-Exod6:20" TargetMode="External"/><Relationship Id="rId8066" Type="http://schemas.openxmlformats.org/officeDocument/2006/relationships/hyperlink" Target="https://ref.ly/Num26:59" TargetMode="External"/><Relationship Id="rId8067" Type="http://schemas.openxmlformats.org/officeDocument/2006/relationships/hyperlink" Target="https://ref.ly/1Chr6:3" TargetMode="External"/><Relationship Id="rId8068" Type="http://schemas.openxmlformats.org/officeDocument/2006/relationships/hyperlink" Target="https://ref.ly/1Chr23:13-1Chr23:17" TargetMode="External"/><Relationship Id="rId8069" Type="http://schemas.openxmlformats.org/officeDocument/2006/relationships/hyperlink" Target="https://ref.ly/Josh21:1-Josh21:45" TargetMode="External"/><Relationship Id="rId8070" Type="http://schemas.openxmlformats.org/officeDocument/2006/relationships/hyperlink" Target="https://ref.ly/1Chr6:16" TargetMode="External"/><Relationship Id="rId8071" Type="http://schemas.openxmlformats.org/officeDocument/2006/relationships/hyperlink" Target="https://ref.ly/Num3:19,Num3:27-Num3:30" TargetMode="External"/><Relationship Id="rId8072" Type="http://schemas.openxmlformats.org/officeDocument/2006/relationships/hyperlink" Target="https://ref.ly/Num4:2-Num4:4,Num4:15,Num4:18,Num4:34,Num4:37" TargetMode="External"/><Relationship Id="rId8073" Type="http://schemas.openxmlformats.org/officeDocument/2006/relationships/hyperlink" Target="https://ref.ly/Num7:9" TargetMode="External"/><Relationship Id="rId8074" Type="http://schemas.openxmlformats.org/officeDocument/2006/relationships/hyperlink" Target="https://ref.ly/Num10:21" TargetMode="External"/><Relationship Id="rId8075" Type="http://schemas.openxmlformats.org/officeDocument/2006/relationships/hyperlink" Target="https://ref.ly/Josh21:4-Josh21:5,Josh21:10,Josh21:20,Josh21:26" TargetMode="External"/><Relationship Id="rId8076" Type="http://schemas.openxmlformats.org/officeDocument/2006/relationships/hyperlink" Target="https://ref.ly/1Chr6:2,1Chr6:18,1Chr6:22,1Chr6:33,1Chr6:54,1Chr6:61,1Chr6:66,1Chr6:70" TargetMode="External"/><Relationship Id="rId8077" Type="http://schemas.openxmlformats.org/officeDocument/2006/relationships/hyperlink" Target="https://ref.ly/1Chr15:5" TargetMode="External"/><Relationship Id="rId8078" Type="http://schemas.openxmlformats.org/officeDocument/2006/relationships/hyperlink" Target="https://ref.ly/1Chr23:12" TargetMode="External"/><Relationship Id="rId8079" Type="http://schemas.openxmlformats.org/officeDocument/2006/relationships/hyperlink" Target="https://ref.ly/2Chr20:19" TargetMode="External"/><Relationship Id="rId8080" Type="http://schemas.openxmlformats.org/officeDocument/2006/relationships/hyperlink" Target="https://ref.ly/2Chr34:12" TargetMode="External"/><Relationship Id="rId8081" Type="http://schemas.openxmlformats.org/officeDocument/2006/relationships/hyperlink" Target="https://ref.ly/Num3:29" TargetMode="External"/><Relationship Id="rId8082" Type="http://schemas.openxmlformats.org/officeDocument/2006/relationships/hyperlink" Target="https://ref.ly/Num3:27-Num3:28" TargetMode="External"/><Relationship Id="rId8083" Type="http://schemas.openxmlformats.org/officeDocument/2006/relationships/hyperlink" Target="https://ref.ly/Num4:1-Num4:4,Num4:34-Num4:37" TargetMode="External"/><Relationship Id="rId8084" Type="http://schemas.openxmlformats.org/officeDocument/2006/relationships/hyperlink" Target="https://ref.ly/Josh21:4-Josh21:5,Josh21:20-Josh21:26" TargetMode="External"/><Relationship Id="rId8085" Type="http://schemas.openxmlformats.org/officeDocument/2006/relationships/hyperlink" Target="https://ref.ly/1Chr6:66-1Chr6:70" TargetMode="External"/><Relationship Id="rId8086" Type="http://schemas.openxmlformats.org/officeDocument/2006/relationships/hyperlink" Target="https://ref.ly/1Chr6:31" TargetMode="External"/><Relationship Id="rId8087" Type="http://schemas.openxmlformats.org/officeDocument/2006/relationships/hyperlink" Target="https://ref.ly/1Chr9:32" TargetMode="External"/><Relationship Id="rId8088" Type="http://schemas.openxmlformats.org/officeDocument/2006/relationships/hyperlink" Target="https://ref.ly/1Chr15:3-1Chr15:5" TargetMode="External"/><Relationship Id="rId8089" Type="http://schemas.openxmlformats.org/officeDocument/2006/relationships/hyperlink" Target="https://ref.ly/2Chr20:19-2Chr20:22" TargetMode="External"/><Relationship Id="rId8090" Type="http://schemas.openxmlformats.org/officeDocument/2006/relationships/hyperlink" Target="https://ref.ly/2Chr29:1-2Chr30:27" TargetMode="External"/><Relationship Id="rId8091" Type="http://schemas.openxmlformats.org/officeDocument/2006/relationships/hyperlink" Target="https://ref.ly/2Kgs22:1-2Kgs23:37" TargetMode="External"/><Relationship Id="rId8092" Type="http://schemas.openxmlformats.org/officeDocument/2006/relationships/hyperlink" Target="https://ref.ly/2Chr34:1-2Chr34:33" TargetMode="External"/><Relationship Id="rId8093" Type="http://schemas.openxmlformats.org/officeDocument/2006/relationships/hyperlink" Target="https://ref.ly/2Chr29:12-2Chr29:16" TargetMode="External"/><Relationship Id="rId8094" Type="http://schemas.openxmlformats.org/officeDocument/2006/relationships/hyperlink" Target="https://ref.ly/1Chr9:19,1Chr9:31-1Chr9:32" TargetMode="External"/><Relationship Id="rId8095" Type="http://schemas.openxmlformats.org/officeDocument/2006/relationships/hyperlink" Target="https://ref.ly/Ezra2:42" TargetMode="External"/><Relationship Id="rId8096" Type="http://schemas.openxmlformats.org/officeDocument/2006/relationships/hyperlink" Target="https://ref.ly/Neh12:25" TargetMode="External"/><Relationship Id="rId8097" Type="http://schemas.openxmlformats.org/officeDocument/2006/relationships/hyperlink" Target="https://ref.ly/Num34:24" TargetMode="External"/><Relationship Id="rId8098" Type="http://schemas.openxmlformats.org/officeDocument/2006/relationships/hyperlink" Target="https://ref.ly/1Chr27:17" TargetMode="External"/><Relationship Id="rId8099" Type="http://schemas.openxmlformats.org/officeDocument/2006/relationships/hyperlink" Target="https://ref.ly/Gen36:11,Gen36:15,Gen36:42" TargetMode="External"/><Relationship Id="rId8100" Type="http://schemas.openxmlformats.org/officeDocument/2006/relationships/hyperlink" Target="https://ref.ly/1Chr1:36,1Chr1:53" TargetMode="External"/><Relationship Id="rId8101" Type="http://schemas.openxmlformats.org/officeDocument/2006/relationships/hyperlink" Target="https://ref.ly/Josh15:17" TargetMode="External"/><Relationship Id="rId8102" Type="http://schemas.openxmlformats.org/officeDocument/2006/relationships/hyperlink" Target="https://ref.ly/Judg3:9-Judg3:11" TargetMode="External"/><Relationship Id="rId8103" Type="http://schemas.openxmlformats.org/officeDocument/2006/relationships/hyperlink" Target="https://ref.ly/1Chr4:13" TargetMode="External"/><Relationship Id="rId8104" Type="http://schemas.openxmlformats.org/officeDocument/2006/relationships/hyperlink" Target="https://ref.ly/1Sam15:6" TargetMode="External"/><Relationship Id="rId8105" Type="http://schemas.openxmlformats.org/officeDocument/2006/relationships/hyperlink" Target="https://ref.ly/Num10:29-Num10:31" TargetMode="External"/><Relationship Id="rId8106" Type="http://schemas.openxmlformats.org/officeDocument/2006/relationships/hyperlink" Target="https://ref.ly/Num21:4-Num21:9" TargetMode="External"/><Relationship Id="rId8107" Type="http://schemas.openxmlformats.org/officeDocument/2006/relationships/hyperlink" Target="https://ref.ly/1Chr2:55" TargetMode="External"/><Relationship Id="rId8108" Type="http://schemas.openxmlformats.org/officeDocument/2006/relationships/hyperlink" Target="https://ref.ly/1Sam27:10" TargetMode="External"/><Relationship Id="rId8109" Type="http://schemas.openxmlformats.org/officeDocument/2006/relationships/hyperlink" Target="https://ref.ly/Jer35:1-Jer35:19" TargetMode="External"/><Relationship Id="rId8110" Type="http://schemas.openxmlformats.org/officeDocument/2006/relationships/hyperlink" Target="https://ref.ly/Gen36:11,Gen36:15" TargetMode="External"/><Relationship Id="rId8111" Type="http://schemas.openxmlformats.org/officeDocument/2006/relationships/hyperlink" Target="https://ref.ly/Gen15:19-Gen15:21" TargetMode="External"/><Relationship Id="rId8112" Type="http://schemas.openxmlformats.org/officeDocument/2006/relationships/hyperlink" Target="https://ref.ly/Num32:12" TargetMode="External"/><Relationship Id="rId8113" Type="http://schemas.openxmlformats.org/officeDocument/2006/relationships/hyperlink" Target="https://ref.ly/Josh14:6,Josh14:14" TargetMode="External"/><Relationship Id="rId8114" Type="http://schemas.openxmlformats.org/officeDocument/2006/relationships/hyperlink" Target="https://ref.ly/Judg1:11-Judg1:13" TargetMode="External"/><Relationship Id="rId8115" Type="http://schemas.openxmlformats.org/officeDocument/2006/relationships/hyperlink" Target="https://ref.ly/Gen25:1" TargetMode="External"/><Relationship Id="rId8116" Type="http://schemas.openxmlformats.org/officeDocument/2006/relationships/hyperlink" Target="https://ref.ly/Num32:37" TargetMode="External"/><Relationship Id="rId8117" Type="http://schemas.openxmlformats.org/officeDocument/2006/relationships/hyperlink" Target="https://ref.ly/Josh13:19" TargetMode="External"/><Relationship Id="rId8118" Type="http://schemas.openxmlformats.org/officeDocument/2006/relationships/hyperlink" Target="https://ref.ly/Jer48:1,Jer48:23" TargetMode="External"/><Relationship Id="rId8119" Type="http://schemas.openxmlformats.org/officeDocument/2006/relationships/hyperlink" Target="https://ref.ly/Ezek25:9" TargetMode="External"/><Relationship Id="rId8120" Type="http://schemas.openxmlformats.org/officeDocument/2006/relationships/hyperlink" Target="https://ref.ly/1Chr6:76" TargetMode="External"/><Relationship Id="rId8121" Type="http://schemas.openxmlformats.org/officeDocument/2006/relationships/hyperlink" Target="https://ref.ly/Josh21:32" TargetMode="External"/><Relationship Id="rId8122" Type="http://schemas.openxmlformats.org/officeDocument/2006/relationships/hyperlink" Target="https://ref.ly/Judg1:10" TargetMode="External"/><Relationship Id="rId8123" Type="http://schemas.openxmlformats.org/officeDocument/2006/relationships/hyperlink" Target="https://ref.ly/1Sam9:1" TargetMode="External"/><Relationship Id="rId8124" Type="http://schemas.openxmlformats.org/officeDocument/2006/relationships/hyperlink" Target="https://ref.ly/1Chr8:30" TargetMode="External"/><Relationship Id="rId8125" Type="http://schemas.openxmlformats.org/officeDocument/2006/relationships/hyperlink" Target="https://ref.ly/1Chr8:33" TargetMode="External"/><Relationship Id="rId8126" Type="http://schemas.openxmlformats.org/officeDocument/2006/relationships/hyperlink" Target="https://ref.ly/1Chr9:39" TargetMode="External"/><Relationship Id="rId8127" Type="http://schemas.openxmlformats.org/officeDocument/2006/relationships/hyperlink" Target="https://ref.ly/1Sam14:51" TargetMode="External"/><Relationship Id="rId8128" Type="http://schemas.openxmlformats.org/officeDocument/2006/relationships/hyperlink" Target="https://ref.ly/2Sam21:14" TargetMode="External"/><Relationship Id="rId8129" Type="http://schemas.openxmlformats.org/officeDocument/2006/relationships/hyperlink" Target="https://ref.ly/1Chr23:21-1Chr23:22" TargetMode="External"/><Relationship Id="rId8130" Type="http://schemas.openxmlformats.org/officeDocument/2006/relationships/hyperlink" Target="https://ref.ly/1Chr24:29" TargetMode="External"/><Relationship Id="rId8131" Type="http://schemas.openxmlformats.org/officeDocument/2006/relationships/hyperlink" Target="https://ref.ly/Gen36:16" TargetMode="External"/><Relationship Id="rId8132" Type="http://schemas.openxmlformats.org/officeDocument/2006/relationships/hyperlink" Target="https://ref.ly/Exod6:21,Exod6:24" TargetMode="External"/><Relationship Id="rId8133" Type="http://schemas.openxmlformats.org/officeDocument/2006/relationships/hyperlink" Target="https://ref.ly/Num16:1-Num16:3" TargetMode="External"/><Relationship Id="rId8134" Type="http://schemas.openxmlformats.org/officeDocument/2006/relationships/hyperlink" Target="https://ref.ly/Num16:1" TargetMode="External"/><Relationship Id="rId8135" Type="http://schemas.openxmlformats.org/officeDocument/2006/relationships/hyperlink" Target="https://ref.ly/Num16:12-Num16:14" TargetMode="External"/><Relationship Id="rId8136" Type="http://schemas.openxmlformats.org/officeDocument/2006/relationships/hyperlink" Target="https://ref.ly/Num16:4-Num16:10,Num16:15-Num16:17" TargetMode="External"/><Relationship Id="rId8137" Type="http://schemas.openxmlformats.org/officeDocument/2006/relationships/hyperlink" Target="https://ref.ly/Num16:11" TargetMode="External"/><Relationship Id="rId8138" Type="http://schemas.openxmlformats.org/officeDocument/2006/relationships/hyperlink" Target="https://ref.ly/Num16:19-Num16:24" TargetMode="External"/><Relationship Id="rId8139" Type="http://schemas.openxmlformats.org/officeDocument/2006/relationships/hyperlink" Target="https://ref.ly/Num16:31-Num16:35" TargetMode="External"/><Relationship Id="rId8140" Type="http://schemas.openxmlformats.org/officeDocument/2006/relationships/hyperlink" Target="https://ref.ly/Num26:11" TargetMode="External"/><Relationship Id="rId8141" Type="http://schemas.openxmlformats.org/officeDocument/2006/relationships/hyperlink" Target="https://ref.ly/Num16:36-Num16:40" TargetMode="External"/><Relationship Id="rId8142" Type="http://schemas.openxmlformats.org/officeDocument/2006/relationships/hyperlink" Target="https://ref.ly/Num16:41-Num16:50" TargetMode="External"/><Relationship Id="rId8143" Type="http://schemas.openxmlformats.org/officeDocument/2006/relationships/hyperlink" Target="https://ref.ly/1Chr2:43" TargetMode="External"/><Relationship Id="rId8144" Type="http://schemas.openxmlformats.org/officeDocument/2006/relationships/hyperlink" Target="https://ref.ly/1Chr6:22" TargetMode="External"/><Relationship Id="rId8145" Type="http://schemas.openxmlformats.org/officeDocument/2006/relationships/hyperlink" Target="https://ref.ly/1Sam11:15" TargetMode="External"/><Relationship Id="rId8146" Type="http://schemas.openxmlformats.org/officeDocument/2006/relationships/hyperlink" Target="https://ref.ly/Acts22:2-Acts22:3" TargetMode="External"/><Relationship Id="rId8147" Type="http://schemas.openxmlformats.org/officeDocument/2006/relationships/hyperlink" Target="https://ref.ly/Gal1:14" TargetMode="External"/><Relationship Id="rId8148" Type="http://schemas.openxmlformats.org/officeDocument/2006/relationships/hyperlink" Target="https://ref.ly/Phil3:5-Phil3:6" TargetMode="External"/><Relationship Id="rId8149" Type="http://schemas.openxmlformats.org/officeDocument/2006/relationships/hyperlink" Target="https://ref.ly/Acts22:25-Acts22:29" TargetMode="External"/><Relationship Id="rId8150" Type="http://schemas.openxmlformats.org/officeDocument/2006/relationships/hyperlink" Target="https://ref.ly/Acts23:27" TargetMode="External"/><Relationship Id="rId8151" Type="http://schemas.openxmlformats.org/officeDocument/2006/relationships/hyperlink" Target="https://ref.ly/Acts23:16" TargetMode="External"/><Relationship Id="rId8152" Type="http://schemas.openxmlformats.org/officeDocument/2006/relationships/hyperlink" Target="https://ref.ly/Acts20:34" TargetMode="External"/><Relationship Id="rId8153" Type="http://schemas.openxmlformats.org/officeDocument/2006/relationships/hyperlink" Target="https://ref.ly/2Cor11:9" TargetMode="External"/><Relationship Id="rId8154" Type="http://schemas.openxmlformats.org/officeDocument/2006/relationships/hyperlink" Target="https://ref.ly/Acts5:33-Acts5:40" TargetMode="External"/><Relationship Id="rId8155" Type="http://schemas.openxmlformats.org/officeDocument/2006/relationships/hyperlink" Target="https://ref.ly/Rom7:1-Rom7:25" TargetMode="External"/><Relationship Id="rId8156" Type="http://schemas.openxmlformats.org/officeDocument/2006/relationships/hyperlink" Target="https://ref.ly/Acts6:10" TargetMode="External"/><Relationship Id="rId8157" Type="http://schemas.openxmlformats.org/officeDocument/2006/relationships/hyperlink" Target="https://ref.ly/Acts6:5,Acts6:8" TargetMode="External"/><Relationship Id="rId8158" Type="http://schemas.openxmlformats.org/officeDocument/2006/relationships/hyperlink" Target="https://ref.ly/Acts6:11-Acts6:15" TargetMode="External"/><Relationship Id="rId8159" Type="http://schemas.openxmlformats.org/officeDocument/2006/relationships/hyperlink" Target="https://ref.ly/Acts7:58" TargetMode="External"/><Relationship Id="rId8160" Type="http://schemas.openxmlformats.org/officeDocument/2006/relationships/hyperlink" Target="https://ref.ly/Acts13:16-Acts13:41" TargetMode="External"/><Relationship Id="rId8161" Type="http://schemas.openxmlformats.org/officeDocument/2006/relationships/hyperlink" Target="https://ref.ly/Acts6:15" TargetMode="External"/><Relationship Id="rId8162" Type="http://schemas.openxmlformats.org/officeDocument/2006/relationships/hyperlink" Target="https://ref.ly/Acts9:1" TargetMode="External"/><Relationship Id="rId8163" Type="http://schemas.openxmlformats.org/officeDocument/2006/relationships/hyperlink" Target="https://ref.ly/Gal1:13" TargetMode="External"/><Relationship Id="rId8164" Type="http://schemas.openxmlformats.org/officeDocument/2006/relationships/hyperlink" Target="https://ref.ly/Acts22:4" TargetMode="External"/><Relationship Id="rId8165" Type="http://schemas.openxmlformats.org/officeDocument/2006/relationships/hyperlink" Target="https://ref.ly/Acts9:1-Acts9:2" TargetMode="External"/><Relationship Id="rId8166" Type="http://schemas.openxmlformats.org/officeDocument/2006/relationships/hyperlink" Target="https://ref.ly/1Cor3:10" TargetMode="External"/><Relationship Id="rId8167" Type="http://schemas.openxmlformats.org/officeDocument/2006/relationships/hyperlink" Target="https://ref.ly/1Tim1:13" TargetMode="External"/><Relationship Id="rId8168" Type="http://schemas.openxmlformats.org/officeDocument/2006/relationships/hyperlink" Target="https://ref.ly/Acts22:1-Acts22:21" TargetMode="External"/><Relationship Id="rId8169" Type="http://schemas.openxmlformats.org/officeDocument/2006/relationships/hyperlink" Target="https://ref.ly/Acts26:1-Acts26:23" TargetMode="External"/><Relationship Id="rId8170" Type="http://schemas.openxmlformats.org/officeDocument/2006/relationships/hyperlink" Target="https://ref.ly/Eph3:3" TargetMode="External"/><Relationship Id="rId8171" Type="http://schemas.openxmlformats.org/officeDocument/2006/relationships/hyperlink" Target="https://ref.ly/Phil3:12" TargetMode="External"/><Relationship Id="rId8172" Type="http://schemas.openxmlformats.org/officeDocument/2006/relationships/hyperlink" Target="https://ref.ly/Acts26:13-Acts26:14" TargetMode="External"/><Relationship Id="rId8173" Type="http://schemas.openxmlformats.org/officeDocument/2006/relationships/hyperlink" Target="https://ref.ly/Acts26:14-Acts26:18" TargetMode="External"/><Relationship Id="rId8174" Type="http://schemas.openxmlformats.org/officeDocument/2006/relationships/hyperlink" Target="https://ref.ly/Acts9:8" TargetMode="External"/><Relationship Id="rId8175" Type="http://schemas.openxmlformats.org/officeDocument/2006/relationships/hyperlink" Target="https://ref.ly/Acts9:10-Acts9:22" TargetMode="External"/><Relationship Id="rId8176" Type="http://schemas.openxmlformats.org/officeDocument/2006/relationships/hyperlink" Target="https://ref.ly/Acts9:20-Acts9:22" TargetMode="External"/><Relationship Id="rId8177" Type="http://schemas.openxmlformats.org/officeDocument/2006/relationships/hyperlink" Target="https://ref.ly/Gal1:17-Gal1:18" TargetMode="External"/><Relationship Id="rId8178" Type="http://schemas.openxmlformats.org/officeDocument/2006/relationships/hyperlink" Target="https://ref.ly/Acts9:26" TargetMode="External"/><Relationship Id="rId8179" Type="http://schemas.openxmlformats.org/officeDocument/2006/relationships/hyperlink" Target="https://ref.ly/Acts9:27-Acts9:28" TargetMode="External"/><Relationship Id="rId8180" Type="http://schemas.openxmlformats.org/officeDocument/2006/relationships/hyperlink" Target="https://ref.ly/1Cor11:23-1Cor11:25" TargetMode="External"/><Relationship Id="rId8181" Type="http://schemas.openxmlformats.org/officeDocument/2006/relationships/hyperlink" Target="https://ref.ly/Acts20:35" TargetMode="External"/><Relationship Id="rId8182" Type="http://schemas.openxmlformats.org/officeDocument/2006/relationships/hyperlink" Target="https://ref.ly/1Cor7:10" TargetMode="External"/><Relationship Id="rId8183" Type="http://schemas.openxmlformats.org/officeDocument/2006/relationships/hyperlink" Target="https://ref.ly/1Cor9:14" TargetMode="External"/><Relationship Id="rId8184" Type="http://schemas.openxmlformats.org/officeDocument/2006/relationships/hyperlink" Target="https://ref.ly/Acts9:29-Acts9:30" TargetMode="External"/><Relationship Id="rId8185" Type="http://schemas.openxmlformats.org/officeDocument/2006/relationships/hyperlink" Target="https://ref.ly/Acts9:20" TargetMode="External"/><Relationship Id="rId8186" Type="http://schemas.openxmlformats.org/officeDocument/2006/relationships/hyperlink" Target="https://ref.ly/2Cor11:24-2Cor11:26" TargetMode="External"/><Relationship Id="rId8187" Type="http://schemas.openxmlformats.org/officeDocument/2006/relationships/hyperlink" Target="https://ref.ly/2Cor12:1-2Cor12:9" TargetMode="External"/><Relationship Id="rId8188" Type="http://schemas.openxmlformats.org/officeDocument/2006/relationships/hyperlink" Target="https://ref.ly/Acts11:21" TargetMode="External"/><Relationship Id="rId8189" Type="http://schemas.openxmlformats.org/officeDocument/2006/relationships/hyperlink" Target="https://ref.ly/Acts22:21" TargetMode="External"/><Relationship Id="rId8190" Type="http://schemas.openxmlformats.org/officeDocument/2006/relationships/hyperlink" Target="https://ref.ly/Rom11:13" TargetMode="External"/><Relationship Id="rId8191" Type="http://schemas.openxmlformats.org/officeDocument/2006/relationships/hyperlink" Target="https://ref.ly/Gal1:22" TargetMode="External"/><Relationship Id="rId8192" Type="http://schemas.openxmlformats.org/officeDocument/2006/relationships/hyperlink" Target="https://ref.ly/Acts26:17-Acts26:18" TargetMode="External"/><Relationship Id="rId8193" Type="http://schemas.openxmlformats.org/officeDocument/2006/relationships/hyperlink" Target="https://ref.ly/Acts5:12,Acts5:42" TargetMode="External"/><Relationship Id="rId8194" Type="http://schemas.openxmlformats.org/officeDocument/2006/relationships/hyperlink" Target="https://ref.ly/Acts8:26-Acts8:29" TargetMode="External"/><Relationship Id="rId8195" Type="http://schemas.openxmlformats.org/officeDocument/2006/relationships/hyperlink" Target="https://ref.ly/Acts10:22" TargetMode="External"/><Relationship Id="rId8196" Type="http://schemas.openxmlformats.org/officeDocument/2006/relationships/hyperlink" Target="https://ref.ly/Acts13:4" TargetMode="External"/><Relationship Id="rId8197" Type="http://schemas.openxmlformats.org/officeDocument/2006/relationships/hyperlink" Target="https://ref.ly/Acts13:5-Acts13:6" TargetMode="External"/><Relationship Id="rId8198" Type="http://schemas.openxmlformats.org/officeDocument/2006/relationships/hyperlink" Target="https://ref.ly/Acts13:7" TargetMode="External"/><Relationship Id="rId8199" Type="http://schemas.openxmlformats.org/officeDocument/2006/relationships/hyperlink" Target="https://ref.ly/Acts13:8-Acts13:11" TargetMode="External"/><Relationship Id="rId8200" Type="http://schemas.openxmlformats.org/officeDocument/2006/relationships/hyperlink" Target="https://ref.ly/2Cor12:12" TargetMode="External"/><Relationship Id="rId8201" Type="http://schemas.openxmlformats.org/officeDocument/2006/relationships/hyperlink" Target="https://ref.ly/2Cor11:26" TargetMode="External"/><Relationship Id="rId8202" Type="http://schemas.openxmlformats.org/officeDocument/2006/relationships/hyperlink" Target="https://ref.ly/Gal4:13-Gal4:15" TargetMode="External"/><Relationship Id="rId8203" Type="http://schemas.openxmlformats.org/officeDocument/2006/relationships/hyperlink" Target="https://ref.ly/Acts13:48-Acts13:49" TargetMode="External"/><Relationship Id="rId8204" Type="http://schemas.openxmlformats.org/officeDocument/2006/relationships/hyperlink" Target="https://ref.ly/Acts13:44" TargetMode="External"/><Relationship Id="rId8205" Type="http://schemas.openxmlformats.org/officeDocument/2006/relationships/hyperlink" Target="https://ref.ly/Acts13:46-Acts13:47" TargetMode="External"/><Relationship Id="rId8206" Type="http://schemas.openxmlformats.org/officeDocument/2006/relationships/hyperlink" Target="https://ref.ly/Acts13:48-Acts13:51" TargetMode="External"/><Relationship Id="rId8207" Type="http://schemas.openxmlformats.org/officeDocument/2006/relationships/hyperlink" Target="https://ref.ly/Acts14:5-Acts14:6" TargetMode="External"/><Relationship Id="rId8208" Type="http://schemas.openxmlformats.org/officeDocument/2006/relationships/hyperlink" Target="https://ref.ly/Acts14:8-Acts14:10" TargetMode="External"/><Relationship Id="rId8209" Type="http://schemas.openxmlformats.org/officeDocument/2006/relationships/hyperlink" Target="https://ref.ly/Acts14:11-Acts14:13" TargetMode="External"/><Relationship Id="rId8210" Type="http://schemas.openxmlformats.org/officeDocument/2006/relationships/hyperlink" Target="https://ref.ly/Acts14:14-Acts14:18" TargetMode="External"/><Relationship Id="rId8211" Type="http://schemas.openxmlformats.org/officeDocument/2006/relationships/hyperlink" Target="https://ref.ly/1Tim1:2" TargetMode="External"/><Relationship Id="rId8212" Type="http://schemas.openxmlformats.org/officeDocument/2006/relationships/hyperlink" Target="https://ref.ly/2Tim3:10-2Tim3:11" TargetMode="External"/><Relationship Id="rId8213" Type="http://schemas.openxmlformats.org/officeDocument/2006/relationships/hyperlink" Target="https://ref.ly/Acts14:21-Acts14:23" TargetMode="External"/><Relationship Id="rId8214" Type="http://schemas.openxmlformats.org/officeDocument/2006/relationships/hyperlink" Target="https://ref.ly/Acts14:25-Acts14:27" TargetMode="External"/><Relationship Id="rId8215" Type="http://schemas.openxmlformats.org/officeDocument/2006/relationships/hyperlink" Target="https://ref.ly/Gal3:1" TargetMode="External"/><Relationship Id="rId8216" Type="http://schemas.openxmlformats.org/officeDocument/2006/relationships/hyperlink" Target="https://ref.ly/Acts15:3" TargetMode="External"/><Relationship Id="rId8217" Type="http://schemas.openxmlformats.org/officeDocument/2006/relationships/hyperlink" Target="https://ref.ly/Acts15:11" TargetMode="External"/><Relationship Id="rId8218" Type="http://schemas.openxmlformats.org/officeDocument/2006/relationships/hyperlink" Target="https://ref.ly/Acts15:19" TargetMode="External"/><Relationship Id="rId8219" Type="http://schemas.openxmlformats.org/officeDocument/2006/relationships/hyperlink" Target="https://ref.ly/Acts15:30-Acts15:35" TargetMode="External"/><Relationship Id="rId8220" Type="http://schemas.openxmlformats.org/officeDocument/2006/relationships/hyperlink" Target="https://ref.ly/Acts10:28" TargetMode="External"/><Relationship Id="rId8221" Type="http://schemas.openxmlformats.org/officeDocument/2006/relationships/hyperlink" Target="https://ref.ly/Gal2:12-Gal2:13" TargetMode="External"/><Relationship Id="rId8222" Type="http://schemas.openxmlformats.org/officeDocument/2006/relationships/hyperlink" Target="https://ref.ly/Gal2:15-Gal2:21" TargetMode="External"/><Relationship Id="rId8223" Type="http://schemas.openxmlformats.org/officeDocument/2006/relationships/hyperlink" Target="https://ref.ly/Gal2:5" TargetMode="External"/><Relationship Id="rId8224" Type="http://schemas.openxmlformats.org/officeDocument/2006/relationships/hyperlink" Target="https://ref.ly/Acts15:36" TargetMode="External"/><Relationship Id="rId8225" Type="http://schemas.openxmlformats.org/officeDocument/2006/relationships/hyperlink" Target="https://ref.ly/Acts15:37-Acts15:39" TargetMode="External"/><Relationship Id="rId8226" Type="http://schemas.openxmlformats.org/officeDocument/2006/relationships/hyperlink" Target="https://ref.ly/Acts16:4-Acts16:5" TargetMode="External"/><Relationship Id="rId8227" Type="http://schemas.openxmlformats.org/officeDocument/2006/relationships/hyperlink" Target="https://ref.ly/Acts16:10" TargetMode="External"/><Relationship Id="rId8228" Type="http://schemas.openxmlformats.org/officeDocument/2006/relationships/hyperlink" Target="https://ref.ly/Acts16:8-Acts16:9" TargetMode="External"/><Relationship Id="rId8229" Type="http://schemas.openxmlformats.org/officeDocument/2006/relationships/hyperlink" Target="https://ref.ly/Acts16:11" TargetMode="External"/><Relationship Id="rId8230" Type="http://schemas.openxmlformats.org/officeDocument/2006/relationships/hyperlink" Target="https://ref.ly/Acts16:12-Acts16:15" TargetMode="External"/><Relationship Id="rId8231" Type="http://schemas.openxmlformats.org/officeDocument/2006/relationships/hyperlink" Target="https://ref.ly/Acts16:16-Acts16:24" TargetMode="External"/><Relationship Id="rId8232" Type="http://schemas.openxmlformats.org/officeDocument/2006/relationships/hyperlink" Target="https://ref.ly/Acts16:25-Acts16:34" TargetMode="External"/><Relationship Id="rId8233" Type="http://schemas.openxmlformats.org/officeDocument/2006/relationships/hyperlink" Target="https://ref.ly/Acts16:40" TargetMode="External"/><Relationship Id="rId8234" Type="http://schemas.openxmlformats.org/officeDocument/2006/relationships/hyperlink" Target="https://ref.ly/Acts16:35-Acts16:39" TargetMode="External"/><Relationship Id="rId8235" Type="http://schemas.openxmlformats.org/officeDocument/2006/relationships/hyperlink" Target="https://ref.ly/Acts17:5-Acts17:7" TargetMode="External"/><Relationship Id="rId8236" Type="http://schemas.openxmlformats.org/officeDocument/2006/relationships/hyperlink" Target="https://ref.ly/Acts17:10-Acts17:12" TargetMode="External"/><Relationship Id="rId8237" Type="http://schemas.openxmlformats.org/officeDocument/2006/relationships/hyperlink" Target="https://ref.ly/Acts17:13-Acts17:15" TargetMode="External"/><Relationship Id="rId8238" Type="http://schemas.openxmlformats.org/officeDocument/2006/relationships/hyperlink" Target="https://ref.ly/Acts17:27" TargetMode="External"/><Relationship Id="rId8239" Type="http://schemas.openxmlformats.org/officeDocument/2006/relationships/hyperlink" Target="https://ref.ly/Acts17:25,Acts17:29" TargetMode="External"/><Relationship Id="rId8240" Type="http://schemas.openxmlformats.org/officeDocument/2006/relationships/hyperlink" Target="https://ref.ly/Acts17:24" TargetMode="External"/><Relationship Id="rId8241" Type="http://schemas.openxmlformats.org/officeDocument/2006/relationships/hyperlink" Target="https://ref.ly/Acts17:32" TargetMode="External"/><Relationship Id="rId8242" Type="http://schemas.openxmlformats.org/officeDocument/2006/relationships/hyperlink" Target="https://ref.ly/1Cor2:1-1Cor2:5" TargetMode="External"/><Relationship Id="rId8243" Type="http://schemas.openxmlformats.org/officeDocument/2006/relationships/hyperlink" Target="https://ref.ly/Acts18:2-Acts18:3" TargetMode="External"/><Relationship Id="rId8244" Type="http://schemas.openxmlformats.org/officeDocument/2006/relationships/hyperlink" Target="https://ref.ly/Acts18:9-Acts18:10" TargetMode="External"/><Relationship Id="rId8245" Type="http://schemas.openxmlformats.org/officeDocument/2006/relationships/hyperlink" Target="https://ref.ly/2Thess3:7-2Thess3:12" TargetMode="External"/><Relationship Id="rId8246" Type="http://schemas.openxmlformats.org/officeDocument/2006/relationships/hyperlink" Target="https://ref.ly/1Thess4:15-1Thess4:18" TargetMode="External"/><Relationship Id="rId8247" Type="http://schemas.openxmlformats.org/officeDocument/2006/relationships/hyperlink" Target="https://ref.ly/2Thess2:1-2Thess2:17" TargetMode="External"/><Relationship Id="rId8248" Type="http://schemas.openxmlformats.org/officeDocument/2006/relationships/hyperlink" Target="https://ref.ly/Acts18:18-Acts18:22" TargetMode="External"/><Relationship Id="rId8249" Type="http://schemas.openxmlformats.org/officeDocument/2006/relationships/hyperlink" Target="https://ref.ly/Acts19:1" TargetMode="External"/><Relationship Id="rId8250" Type="http://schemas.openxmlformats.org/officeDocument/2006/relationships/hyperlink" Target="https://ref.ly/1Cor3:3-1Cor3:9" TargetMode="External"/><Relationship Id="rId8251" Type="http://schemas.openxmlformats.org/officeDocument/2006/relationships/hyperlink" Target="https://ref.ly/Acts18:19-Acts18:20" TargetMode="External"/><Relationship Id="rId8252" Type="http://schemas.openxmlformats.org/officeDocument/2006/relationships/hyperlink" Target="https://ref.ly/Acts19:1-Acts19:7" TargetMode="External"/><Relationship Id="rId8253" Type="http://schemas.openxmlformats.org/officeDocument/2006/relationships/hyperlink" Target="https://ref.ly/Acts19:9" TargetMode="External"/><Relationship Id="rId8254" Type="http://schemas.openxmlformats.org/officeDocument/2006/relationships/hyperlink" Target="https://ref.ly/Acts19:8-Acts19:9" TargetMode="External"/><Relationship Id="rId8255" Type="http://schemas.openxmlformats.org/officeDocument/2006/relationships/hyperlink" Target="https://ref.ly/Acts19:10,Acts19:20,Acts19:26" TargetMode="External"/><Relationship Id="rId8256" Type="http://schemas.openxmlformats.org/officeDocument/2006/relationships/hyperlink" Target="https://ref.ly/1Cor16:9" TargetMode="External"/><Relationship Id="rId8257" Type="http://schemas.openxmlformats.org/officeDocument/2006/relationships/hyperlink" Target="https://ref.ly/Acts19:11-Acts19:17" TargetMode="External"/><Relationship Id="rId8258" Type="http://schemas.openxmlformats.org/officeDocument/2006/relationships/hyperlink" Target="https://ref.ly/Acts19:18-Acts19:19" TargetMode="External"/><Relationship Id="rId8259" Type="http://schemas.openxmlformats.org/officeDocument/2006/relationships/hyperlink" Target="https://ref.ly/Acts20:1" TargetMode="External"/><Relationship Id="rId8260" Type="http://schemas.openxmlformats.org/officeDocument/2006/relationships/hyperlink" Target="https://ref.ly/1Cor1:10-1Cor1:13" TargetMode="External"/><Relationship Id="rId8261" Type="http://schemas.openxmlformats.org/officeDocument/2006/relationships/hyperlink" Target="https://ref.ly/1Cor16:10" TargetMode="External"/><Relationship Id="rId8262" Type="http://schemas.openxmlformats.org/officeDocument/2006/relationships/hyperlink" Target="https://ref.ly/2Cor7:5-2Cor7:7" TargetMode="External"/><Relationship Id="rId8263" Type="http://schemas.openxmlformats.org/officeDocument/2006/relationships/hyperlink" Target="https://ref.ly/2Cor7:8-2Cor7:16" TargetMode="External"/><Relationship Id="rId8264" Type="http://schemas.openxmlformats.org/officeDocument/2006/relationships/hyperlink" Target="https://ref.ly/Acts19:21" TargetMode="External"/><Relationship Id="rId8265" Type="http://schemas.openxmlformats.org/officeDocument/2006/relationships/hyperlink" Target="https://ref.ly/Acts20:1-Acts20:3" TargetMode="External"/><Relationship Id="rId8266" Type="http://schemas.openxmlformats.org/officeDocument/2006/relationships/hyperlink" Target="https://ref.ly/2Cor13:1" TargetMode="External"/><Relationship Id="rId8267" Type="http://schemas.openxmlformats.org/officeDocument/2006/relationships/hyperlink" Target="https://ref.ly/Rom16:1-Rom16:27" TargetMode="External"/><Relationship Id="rId8268" Type="http://schemas.openxmlformats.org/officeDocument/2006/relationships/hyperlink" Target="https://ref.ly/Rom1:10-Rom1:15" TargetMode="External"/><Relationship Id="rId8269" Type="http://schemas.openxmlformats.org/officeDocument/2006/relationships/hyperlink" Target="https://ref.ly/Rom15:25-Rom15:26" TargetMode="External"/><Relationship Id="rId8270" Type="http://schemas.openxmlformats.org/officeDocument/2006/relationships/hyperlink" Target="https://ref.ly/Rom15:23-Rom15:24" TargetMode="External"/><Relationship Id="rId8271" Type="http://schemas.openxmlformats.org/officeDocument/2006/relationships/hyperlink" Target="https://ref.ly/Acts20:22-Acts20:24,Acts20:38" TargetMode="External"/><Relationship Id="rId8272" Type="http://schemas.openxmlformats.org/officeDocument/2006/relationships/hyperlink" Target="https://ref.ly/Acts21:4,Acts21:10-Acts21:15" TargetMode="External"/><Relationship Id="rId8273" Type="http://schemas.openxmlformats.org/officeDocument/2006/relationships/hyperlink" Target="https://ref.ly/Rom15:30-Rom15:32" TargetMode="External"/><Relationship Id="rId8274" Type="http://schemas.openxmlformats.org/officeDocument/2006/relationships/hyperlink" Target="https://ref.ly/Acts20:6" TargetMode="External"/><Relationship Id="rId8275" Type="http://schemas.openxmlformats.org/officeDocument/2006/relationships/hyperlink" Target="https://ref.ly/Acts20:13-Acts20:16" TargetMode="External"/><Relationship Id="rId8276" Type="http://schemas.openxmlformats.org/officeDocument/2006/relationships/hyperlink" Target="https://ref.ly/Acts20:17-Acts20:38" TargetMode="External"/><Relationship Id="rId8277" Type="http://schemas.openxmlformats.org/officeDocument/2006/relationships/hyperlink" Target="https://ref.ly/Acts21:1-Acts21:2" TargetMode="External"/><Relationship Id="rId8278" Type="http://schemas.openxmlformats.org/officeDocument/2006/relationships/hyperlink" Target="https://ref.ly/Acts21:4" TargetMode="External"/><Relationship Id="rId8279" Type="http://schemas.openxmlformats.org/officeDocument/2006/relationships/hyperlink" Target="https://ref.ly/Acts21:10-Acts21:14" TargetMode="External"/><Relationship Id="rId8280" Type="http://schemas.openxmlformats.org/officeDocument/2006/relationships/hyperlink" Target="https://ref.ly/Acts21:15-Acts21:17" TargetMode="External"/><Relationship Id="rId8281" Type="http://schemas.openxmlformats.org/officeDocument/2006/relationships/hyperlink" Target="https://ref.ly/Acts21:18-Acts21:20" TargetMode="External"/><Relationship Id="rId8282" Type="http://schemas.openxmlformats.org/officeDocument/2006/relationships/hyperlink" Target="https://ref.ly/Acts24:17" TargetMode="External"/><Relationship Id="rId8283" Type="http://schemas.openxmlformats.org/officeDocument/2006/relationships/hyperlink" Target="https://ref.ly/Acts21:21-Acts21:24" TargetMode="External"/><Relationship Id="rId8284" Type="http://schemas.openxmlformats.org/officeDocument/2006/relationships/hyperlink" Target="https://ref.ly/Acts21:27-Acts21:29" TargetMode="External"/><Relationship Id="rId8285" Type="http://schemas.openxmlformats.org/officeDocument/2006/relationships/hyperlink" Target="https://ref.ly/Acts21:30-Acts21:36" TargetMode="External"/><Relationship Id="rId8286" Type="http://schemas.openxmlformats.org/officeDocument/2006/relationships/hyperlink" Target="https://ref.ly/Acts21:37-Acts21:38" TargetMode="External"/><Relationship Id="rId8287" Type="http://schemas.openxmlformats.org/officeDocument/2006/relationships/hyperlink" Target="https://ref.ly/Acts21:39-Acts21:40" TargetMode="External"/><Relationship Id="rId8288" Type="http://schemas.openxmlformats.org/officeDocument/2006/relationships/hyperlink" Target="https://ref.ly/Acts22:1-Acts22:24" TargetMode="External"/><Relationship Id="rId8289" Type="http://schemas.openxmlformats.org/officeDocument/2006/relationships/hyperlink" Target="https://ref.ly/Acts22:25-Acts22:30" TargetMode="External"/><Relationship Id="rId8290" Type="http://schemas.openxmlformats.org/officeDocument/2006/relationships/hyperlink" Target="https://ref.ly/Acts23:1-Acts23:9" TargetMode="External"/><Relationship Id="rId8291" Type="http://schemas.openxmlformats.org/officeDocument/2006/relationships/hyperlink" Target="https://ref.ly/Acts23:10-Acts23:11" TargetMode="External"/><Relationship Id="rId8292" Type="http://schemas.openxmlformats.org/officeDocument/2006/relationships/hyperlink" Target="https://ref.ly/Acts23:12-Acts23:15" TargetMode="External"/><Relationship Id="rId8293" Type="http://schemas.openxmlformats.org/officeDocument/2006/relationships/hyperlink" Target="https://ref.ly/Acts25:23-Acts26:32" TargetMode="External"/><Relationship Id="rId8294" Type="http://schemas.openxmlformats.org/officeDocument/2006/relationships/hyperlink" Target="https://ref.ly/Acts25:9-Acts25:12" TargetMode="External"/><Relationship Id="rId8295" Type="http://schemas.openxmlformats.org/officeDocument/2006/relationships/hyperlink" Target="https://ref.ly/Acts27:23-Acts27:26" TargetMode="External"/><Relationship Id="rId8296" Type="http://schemas.openxmlformats.org/officeDocument/2006/relationships/hyperlink" Target="https://ref.ly/Acts27:37" TargetMode="External"/><Relationship Id="rId8297" Type="http://schemas.openxmlformats.org/officeDocument/2006/relationships/hyperlink" Target="https://ref.ly/Acts28:13-Acts28:16" TargetMode="External"/><Relationship Id="rId8298" Type="http://schemas.openxmlformats.org/officeDocument/2006/relationships/hyperlink" Target="https://ref.ly/Acts28:17-Acts28:28" TargetMode="External"/><Relationship Id="rId8299" Type="http://schemas.openxmlformats.org/officeDocument/2006/relationships/hyperlink" Target="https://ref.ly/2Cor11:28" TargetMode="External"/><Relationship Id="rId8300" Type="http://schemas.openxmlformats.org/officeDocument/2006/relationships/hyperlink" Target="https://ref.ly/Titus1:5" TargetMode="External"/><Relationship Id="rId8301" Type="http://schemas.openxmlformats.org/officeDocument/2006/relationships/hyperlink" Target="https://ref.ly/2Tim4:13" TargetMode="External"/><Relationship Id="rId8302" Type="http://schemas.openxmlformats.org/officeDocument/2006/relationships/hyperlink" Target="https://ref.ly/Titus3:12" TargetMode="External"/><Relationship Id="rId8303" Type="http://schemas.openxmlformats.org/officeDocument/2006/relationships/hyperlink" Target="https://ref.ly/Titus3:13" TargetMode="External"/><Relationship Id="rId8304" Type="http://schemas.openxmlformats.org/officeDocument/2006/relationships/hyperlink" Target="https://ref.ly/2Tim4:13,2Tim4:21" TargetMode="External"/><Relationship Id="rId8305" Type="http://schemas.openxmlformats.org/officeDocument/2006/relationships/hyperlink" Target="https://ref.ly/2Tim1:16" TargetMode="External"/><Relationship Id="rId8306" Type="http://schemas.openxmlformats.org/officeDocument/2006/relationships/hyperlink" Target="https://ref.ly/2Tim4:19,2Tim4:21" TargetMode="External"/><Relationship Id="rId8307" Type="http://schemas.openxmlformats.org/officeDocument/2006/relationships/hyperlink" Target="https://ref.ly/2Tim4:17" TargetMode="External"/><Relationship Id="rId8308" Type="http://schemas.openxmlformats.org/officeDocument/2006/relationships/hyperlink" Target="https://ref.ly/2Tim4:22" TargetMode="External"/><Relationship Id="rId8309" Type="http://schemas.openxmlformats.org/officeDocument/2006/relationships/hyperlink" Target="https://ref.ly/1Cor15:12-1Cor15:28" TargetMode="External"/><Relationship Id="rId8310" Type="http://schemas.openxmlformats.org/officeDocument/2006/relationships/hyperlink" Target="https://ref.ly/1Cor15:19" TargetMode="External"/><Relationship Id="rId8311" Type="http://schemas.openxmlformats.org/officeDocument/2006/relationships/hyperlink" Target="https://ref.ly/Isa40:2" TargetMode="External"/><Relationship Id="rId8312" Type="http://schemas.openxmlformats.org/officeDocument/2006/relationships/hyperlink" Target="https://ref.ly/Isa42:25" TargetMode="External"/><Relationship Id="rId8313" Type="http://schemas.openxmlformats.org/officeDocument/2006/relationships/hyperlink" Target="https://ref.ly/Isa46:12-Isa46:13" TargetMode="External"/><Relationship Id="rId8314" Type="http://schemas.openxmlformats.org/officeDocument/2006/relationships/hyperlink" Target="https://ref.ly/Isa48:1" TargetMode="External"/><Relationship Id="rId8315" Type="http://schemas.openxmlformats.org/officeDocument/2006/relationships/hyperlink" Target="https://ref.ly/Isa55:1-Isa55:7" TargetMode="External"/><Relationship Id="rId8316" Type="http://schemas.openxmlformats.org/officeDocument/2006/relationships/hyperlink" Target="https://ref.ly/Isa41:10" TargetMode="External"/><Relationship Id="rId8317" Type="http://schemas.openxmlformats.org/officeDocument/2006/relationships/hyperlink" Target="https://ref.ly/Isa46:13" TargetMode="External"/><Relationship Id="rId8318" Type="http://schemas.openxmlformats.org/officeDocument/2006/relationships/hyperlink" Target="https://ref.ly/Isa51:5-Isa51:6" TargetMode="External"/><Relationship Id="rId8319" Type="http://schemas.openxmlformats.org/officeDocument/2006/relationships/hyperlink" Target="https://ref.ly/Isa45:8" TargetMode="External"/><Relationship Id="rId8320" Type="http://schemas.openxmlformats.org/officeDocument/2006/relationships/hyperlink" Target="https://ref.ly/Isa61:3,Isa61:10-Isa61:11" TargetMode="External"/><Relationship Id="rId8321" Type="http://schemas.openxmlformats.org/officeDocument/2006/relationships/hyperlink" Target="https://ref.ly/Isa53:4-Isa53:12" TargetMode="External"/><Relationship Id="rId8322" Type="http://schemas.openxmlformats.org/officeDocument/2006/relationships/hyperlink" Target="https://ref.ly/Isa53:11" TargetMode="External"/><Relationship Id="rId8323" Type="http://schemas.openxmlformats.org/officeDocument/2006/relationships/hyperlink" Target="https://ref.ly/Isa61:1-Isa61:11" TargetMode="External"/><Relationship Id="rId8324" Type="http://schemas.openxmlformats.org/officeDocument/2006/relationships/hyperlink" Target="https://ref.ly/Isa61:2" TargetMode="External"/><Relationship Id="rId8325" Type="http://schemas.openxmlformats.org/officeDocument/2006/relationships/hyperlink" Target="https://ref.ly/Isa61:3" TargetMode="External"/><Relationship Id="rId8326" Type="http://schemas.openxmlformats.org/officeDocument/2006/relationships/hyperlink" Target="https://ref.ly/Gal3:8" TargetMode="External"/><Relationship Id="rId8327" Type="http://schemas.openxmlformats.org/officeDocument/2006/relationships/hyperlink" Target="https://ref.ly/Heb4:2,Heb4:6" TargetMode="External"/><Relationship Id="rId8328" Type="http://schemas.openxmlformats.org/officeDocument/2006/relationships/hyperlink" Target="https://ref.ly/Mark1:1-Mark1:4" TargetMode="External"/><Relationship Id="rId8329" Type="http://schemas.openxmlformats.org/officeDocument/2006/relationships/hyperlink" Target="https://ref.ly/Rom1:1-Rom1:5" TargetMode="External"/><Relationship Id="rId8330" Type="http://schemas.openxmlformats.org/officeDocument/2006/relationships/hyperlink" Target="https://ref.ly/Acts13:32-Acts13:33" TargetMode="External"/><Relationship Id="rId8331" Type="http://schemas.openxmlformats.org/officeDocument/2006/relationships/hyperlink" Target="https://ref.ly/Luke1:19" TargetMode="External"/><Relationship Id="rId8332" Type="http://schemas.openxmlformats.org/officeDocument/2006/relationships/hyperlink" Target="https://ref.ly/Luke1:7,Luke1:24-Luke1:25" TargetMode="External"/><Relationship Id="rId8333" Type="http://schemas.openxmlformats.org/officeDocument/2006/relationships/hyperlink" Target="https://ref.ly/Luke1:14-Luke1:17,Luke1:67-Luke1:79" TargetMode="External"/><Relationship Id="rId8334" Type="http://schemas.openxmlformats.org/officeDocument/2006/relationships/hyperlink" Target="https://ref.ly/Luke3:18" TargetMode="External"/><Relationship Id="rId8335" Type="http://schemas.openxmlformats.org/officeDocument/2006/relationships/hyperlink" Target="https://ref.ly/Luke3:3-Luke3:17" TargetMode="External"/><Relationship Id="rId8336" Type="http://schemas.openxmlformats.org/officeDocument/2006/relationships/hyperlink" Target="https://ref.ly/Luke3:7-Luke3:9" TargetMode="External"/><Relationship Id="rId8337" Type="http://schemas.openxmlformats.org/officeDocument/2006/relationships/hyperlink" Target="https://ref.ly/Luke3:3" TargetMode="External"/><Relationship Id="rId8338" Type="http://schemas.openxmlformats.org/officeDocument/2006/relationships/hyperlink" Target="https://ref.ly/Luke3:17" TargetMode="External"/><Relationship Id="rId8339" Type="http://schemas.openxmlformats.org/officeDocument/2006/relationships/hyperlink" Target="https://ref.ly/Luke2:10-Luke2:11" TargetMode="External"/><Relationship Id="rId8340" Type="http://schemas.openxmlformats.org/officeDocument/2006/relationships/hyperlink" Target="https://ref.ly/Mark1:14" TargetMode="External"/><Relationship Id="rId8341" Type="http://schemas.openxmlformats.org/officeDocument/2006/relationships/hyperlink" Target="https://ref.ly/Mark1:15" TargetMode="External"/><Relationship Id="rId8342" Type="http://schemas.openxmlformats.org/officeDocument/2006/relationships/hyperlink" Target="https://ref.ly/Matt4:23" TargetMode="External"/><Relationship Id="rId8343" Type="http://schemas.openxmlformats.org/officeDocument/2006/relationships/hyperlink" Target="https://ref.ly/Matt9:35" TargetMode="External"/><Relationship Id="rId8344" Type="http://schemas.openxmlformats.org/officeDocument/2006/relationships/hyperlink" Target="https://ref.ly/Matt24:14" TargetMode="External"/><Relationship Id="rId8345" Type="http://schemas.openxmlformats.org/officeDocument/2006/relationships/hyperlink" Target="https://ref.ly/Matt26:13" TargetMode="External"/><Relationship Id="rId8346" Type="http://schemas.openxmlformats.org/officeDocument/2006/relationships/hyperlink" Target="https://ref.ly/Mark8:35" TargetMode="External"/><Relationship Id="rId8347" Type="http://schemas.openxmlformats.org/officeDocument/2006/relationships/hyperlink" Target="https://ref.ly/Mark10:29" TargetMode="External"/><Relationship Id="rId8348" Type="http://schemas.openxmlformats.org/officeDocument/2006/relationships/hyperlink" Target="https://ref.ly/Mark13:10" TargetMode="External"/><Relationship Id="rId8349" Type="http://schemas.openxmlformats.org/officeDocument/2006/relationships/hyperlink" Target="https://ref.ly/Mark14:9" TargetMode="External"/><Relationship Id="rId8350" Type="http://schemas.openxmlformats.org/officeDocument/2006/relationships/hyperlink" Target="https://ref.ly/Luke4:43" TargetMode="External"/><Relationship Id="rId8351" Type="http://schemas.openxmlformats.org/officeDocument/2006/relationships/hyperlink" Target="https://ref.ly/Luke8:1" TargetMode="External"/><Relationship Id="rId8352" Type="http://schemas.openxmlformats.org/officeDocument/2006/relationships/hyperlink" Target="https://ref.ly/Luke16:16" TargetMode="External"/><Relationship Id="rId8353" Type="http://schemas.openxmlformats.org/officeDocument/2006/relationships/hyperlink" Target="https://ref.ly/Luke4:18-Luke4:19" TargetMode="External"/><Relationship Id="rId8354" Type="http://schemas.openxmlformats.org/officeDocument/2006/relationships/hyperlink" Target="https://ref.ly/Luke4:21" TargetMode="External"/><Relationship Id="rId8355" Type="http://schemas.openxmlformats.org/officeDocument/2006/relationships/hyperlink" Target="https://ref.ly/Luke4:27" TargetMode="External"/><Relationship Id="rId8356" Type="http://schemas.openxmlformats.org/officeDocument/2006/relationships/hyperlink" Target="https://ref.ly/Luke4:23,Luke4:33-Luke4:41" TargetMode="External"/><Relationship Id="rId8357" Type="http://schemas.openxmlformats.org/officeDocument/2006/relationships/hyperlink" Target="https://ref.ly/Luke7:21-Luke7:22" TargetMode="External"/><Relationship Id="rId8358" Type="http://schemas.openxmlformats.org/officeDocument/2006/relationships/hyperlink" Target="https://ref.ly/Luke9:6" TargetMode="External"/><Relationship Id="rId8359" Type="http://schemas.openxmlformats.org/officeDocument/2006/relationships/hyperlink" Target="https://ref.ly/Matt12:22-Matt12:29" TargetMode="External"/><Relationship Id="rId8360" Type="http://schemas.openxmlformats.org/officeDocument/2006/relationships/hyperlink" Target="https://ref.ly/Luke13:11-Luke13:16" TargetMode="External"/><Relationship Id="rId8361" Type="http://schemas.openxmlformats.org/officeDocument/2006/relationships/hyperlink" Target="https://ref.ly/Luke4:25-Luke4:26" TargetMode="External"/><Relationship Id="rId8362" Type="http://schemas.openxmlformats.org/officeDocument/2006/relationships/hyperlink" Target="https://ref.ly/Luke6:20-Luke6:21" TargetMode="External"/><Relationship Id="rId8363" Type="http://schemas.openxmlformats.org/officeDocument/2006/relationships/hyperlink" Target="https://ref.ly/Matt5:3" TargetMode="External"/><Relationship Id="rId8364" Type="http://schemas.openxmlformats.org/officeDocument/2006/relationships/hyperlink" Target="https://ref.ly/Matt5:3-Matt5:10" TargetMode="External"/><Relationship Id="rId8365" Type="http://schemas.openxmlformats.org/officeDocument/2006/relationships/hyperlink" Target="https://ref.ly/Mark2:5,Mark2:10,Mark2:17" TargetMode="External"/><Relationship Id="rId8366" Type="http://schemas.openxmlformats.org/officeDocument/2006/relationships/hyperlink" Target="https://ref.ly/Luke4:18-Luke4:21" TargetMode="External"/><Relationship Id="rId8367" Type="http://schemas.openxmlformats.org/officeDocument/2006/relationships/hyperlink" Target="https://ref.ly/Luke7:48-Luke7:49" TargetMode="External"/><Relationship Id="rId8368" Type="http://schemas.openxmlformats.org/officeDocument/2006/relationships/hyperlink" Target="https://ref.ly/Luke15:1-Luke15:32" TargetMode="External"/><Relationship Id="rId8369" Type="http://schemas.openxmlformats.org/officeDocument/2006/relationships/hyperlink" Target="https://ref.ly/Luke19:10" TargetMode="External"/><Relationship Id="rId8370" Type="http://schemas.openxmlformats.org/officeDocument/2006/relationships/hyperlink" Target="https://ref.ly/Luke12:32" TargetMode="External"/><Relationship Id="rId8371" Type="http://schemas.openxmlformats.org/officeDocument/2006/relationships/hyperlink" Target="https://ref.ly/Matt20:1-Matt20:16" TargetMode="External"/><Relationship Id="rId8372" Type="http://schemas.openxmlformats.org/officeDocument/2006/relationships/hyperlink" Target="https://ref.ly/Matt18:23-Matt18:35" TargetMode="External"/><Relationship Id="rId8373" Type="http://schemas.openxmlformats.org/officeDocument/2006/relationships/hyperlink" Target="https://ref.ly/Luke18:13-Luke18:14" TargetMode="External"/><Relationship Id="rId8374" Type="http://schemas.openxmlformats.org/officeDocument/2006/relationships/hyperlink" Target="https://ref.ly/Matt5:7-Matt5:10" TargetMode="External"/><Relationship Id="rId8375" Type="http://schemas.openxmlformats.org/officeDocument/2006/relationships/hyperlink" Target="https://ref.ly/Luke17:7-Luke17:10" TargetMode="External"/><Relationship Id="rId8376" Type="http://schemas.openxmlformats.org/officeDocument/2006/relationships/hyperlink" Target="https://ref.ly/Matt11:28-Matt11:30" TargetMode="External"/><Relationship Id="rId8377" Type="http://schemas.openxmlformats.org/officeDocument/2006/relationships/hyperlink" Target="https://ref.ly/Luke14:12-Luke14:14" TargetMode="External"/><Relationship Id="rId8378" Type="http://schemas.openxmlformats.org/officeDocument/2006/relationships/hyperlink" Target="https://ref.ly/Luke1:77" TargetMode="External"/><Relationship Id="rId8379" Type="http://schemas.openxmlformats.org/officeDocument/2006/relationships/hyperlink" Target="https://ref.ly/Matt15:24" TargetMode="External"/><Relationship Id="rId8380" Type="http://schemas.openxmlformats.org/officeDocument/2006/relationships/hyperlink" Target="https://ref.ly/Luke20:1" TargetMode="External"/><Relationship Id="rId8381" Type="http://schemas.openxmlformats.org/officeDocument/2006/relationships/hyperlink" Target="https://ref.ly/Luke14:16-Luke14:24" TargetMode="External"/><Relationship Id="rId8382" Type="http://schemas.openxmlformats.org/officeDocument/2006/relationships/hyperlink" Target="https://ref.ly/Mark10:15" TargetMode="External"/><Relationship Id="rId8383" Type="http://schemas.openxmlformats.org/officeDocument/2006/relationships/hyperlink" Target="https://ref.ly/Matt13:44-Matt13:46" TargetMode="External"/><Relationship Id="rId8384" Type="http://schemas.openxmlformats.org/officeDocument/2006/relationships/hyperlink" Target="https://ref.ly/Mark8:34-Mark8:39" TargetMode="External"/><Relationship Id="rId8385" Type="http://schemas.openxmlformats.org/officeDocument/2006/relationships/hyperlink" Target="https://ref.ly/Luke14:24,Luke14:33" TargetMode="External"/><Relationship Id="rId8386" Type="http://schemas.openxmlformats.org/officeDocument/2006/relationships/hyperlink" Target="https://ref.ly/Luke6:24-Luke6:26" TargetMode="External"/><Relationship Id="rId8387" Type="http://schemas.openxmlformats.org/officeDocument/2006/relationships/hyperlink" Target="https://ref.ly/Matt11:6" TargetMode="External"/><Relationship Id="rId8388" Type="http://schemas.openxmlformats.org/officeDocument/2006/relationships/hyperlink" Target="https://ref.ly/Matt7:21-Matt7:27" TargetMode="External"/><Relationship Id="rId8389" Type="http://schemas.openxmlformats.org/officeDocument/2006/relationships/hyperlink" Target="https://ref.ly/Matt10:5-Matt10:6" TargetMode="External"/><Relationship Id="rId8390" Type="http://schemas.openxmlformats.org/officeDocument/2006/relationships/hyperlink" Target="https://ref.ly/Mark16:15" TargetMode="External"/><Relationship Id="rId8391" Type="http://schemas.openxmlformats.org/officeDocument/2006/relationships/hyperlink" Target="https://ref.ly/Mark14:1-Mark14:72" TargetMode="External"/><Relationship Id="rId8392" Type="http://schemas.openxmlformats.org/officeDocument/2006/relationships/hyperlink" Target="https://ref.ly/Mark14:3" TargetMode="External"/><Relationship Id="rId8393" Type="http://schemas.openxmlformats.org/officeDocument/2006/relationships/hyperlink" Target="https://ref.ly/Mark14:8" TargetMode="External"/><Relationship Id="rId8394" Type="http://schemas.openxmlformats.org/officeDocument/2006/relationships/hyperlink" Target="https://ref.ly/Mark14:22-Mark14:24" TargetMode="External"/><Relationship Id="rId8395" Type="http://schemas.openxmlformats.org/officeDocument/2006/relationships/hyperlink" Target="https://ref.ly/Matt28:18-Matt28:20" TargetMode="External"/><Relationship Id="rId8396" Type="http://schemas.openxmlformats.org/officeDocument/2006/relationships/hyperlink" Target="https://ref.ly/Eph2:16-Eph2:17" TargetMode="External"/><Relationship Id="rId8397" Type="http://schemas.openxmlformats.org/officeDocument/2006/relationships/hyperlink" Target="https://ref.ly/Rom15:16-Rom15:18" TargetMode="External"/><Relationship Id="rId8398" Type="http://schemas.openxmlformats.org/officeDocument/2006/relationships/hyperlink" Target="https://ref.ly/1Cor9:12-1Cor9:18" TargetMode="External"/><Relationship Id="rId8399" Type="http://schemas.openxmlformats.org/officeDocument/2006/relationships/hyperlink" Target="https://ref.ly/Gal4:13-Gal4:14" TargetMode="External"/><Relationship Id="rId8400" Type="http://schemas.openxmlformats.org/officeDocument/2006/relationships/hyperlink" Target="https://ref.ly/2Tim1:9-2Tim1:11" TargetMode="External"/><Relationship Id="rId8401" Type="http://schemas.openxmlformats.org/officeDocument/2006/relationships/hyperlink" Target="https://ref.ly/Acts5:42" TargetMode="External"/><Relationship Id="rId8402" Type="http://schemas.openxmlformats.org/officeDocument/2006/relationships/hyperlink" Target="https://ref.ly/Acts8:4-Acts8:5,Acts8:35" TargetMode="External"/><Relationship Id="rId8403" Type="http://schemas.openxmlformats.org/officeDocument/2006/relationships/hyperlink" Target="https://ref.ly/Rom1:1-Rom1:4" TargetMode="External"/><Relationship Id="rId8404" Type="http://schemas.openxmlformats.org/officeDocument/2006/relationships/hyperlink" Target="https://ref.ly/Rom10:8-Rom10:17" TargetMode="External"/><Relationship Id="rId8405" Type="http://schemas.openxmlformats.org/officeDocument/2006/relationships/hyperlink" Target="https://ref.ly/Rom15:19-Rom15:20" TargetMode="External"/><Relationship Id="rId8406" Type="http://schemas.openxmlformats.org/officeDocument/2006/relationships/hyperlink" Target="https://ref.ly/2Cor11:4" TargetMode="External"/><Relationship Id="rId8407" Type="http://schemas.openxmlformats.org/officeDocument/2006/relationships/hyperlink" Target="https://ref.ly/Gal1:16" TargetMode="External"/><Relationship Id="rId8408" Type="http://schemas.openxmlformats.org/officeDocument/2006/relationships/hyperlink" Target="https://ref.ly/Phil1:15-Phil1:18" TargetMode="External"/><Relationship Id="rId8409" Type="http://schemas.openxmlformats.org/officeDocument/2006/relationships/hyperlink" Target="https://ref.ly/2Tim2:8" TargetMode="External"/><Relationship Id="rId8410" Type="http://schemas.openxmlformats.org/officeDocument/2006/relationships/hyperlink" Target="https://ref.ly/Rom1:1-Rom1:17" TargetMode="External"/><Relationship Id="rId8411" Type="http://schemas.openxmlformats.org/officeDocument/2006/relationships/hyperlink" Target="https://ref.ly/2Thess2:13-2Thess2:14" TargetMode="External"/><Relationship Id="rId8412" Type="http://schemas.openxmlformats.org/officeDocument/2006/relationships/hyperlink" Target="https://ref.ly/Gal2:7-Gal2:9" TargetMode="External"/><Relationship Id="rId8413" Type="http://schemas.openxmlformats.org/officeDocument/2006/relationships/hyperlink" Target="https://ref.ly/Gal1:7" TargetMode="External"/><Relationship Id="rId8414" Type="http://schemas.openxmlformats.org/officeDocument/2006/relationships/hyperlink" Target="https://ref.ly/Phil1:15-Phil1:18,Phil1:27" TargetMode="External"/><Relationship Id="rId8415" Type="http://schemas.openxmlformats.org/officeDocument/2006/relationships/hyperlink" Target="https://ref.ly/Acts11:20-Acts11:21" TargetMode="External"/><Relationship Id="rId8416" Type="http://schemas.openxmlformats.org/officeDocument/2006/relationships/hyperlink" Target="https://ref.ly/Gal2:14-Gal2:16" TargetMode="External"/><Relationship Id="rId8417" Type="http://schemas.openxmlformats.org/officeDocument/2006/relationships/hyperlink" Target="https://ref.ly/Acts10:36-Acts10:38" TargetMode="External"/><Relationship Id="rId8418" Type="http://schemas.openxmlformats.org/officeDocument/2006/relationships/hyperlink" Target="https://ref.ly/Col1:5,Col1:23" TargetMode="External"/><Relationship Id="rId8419" Type="http://schemas.openxmlformats.org/officeDocument/2006/relationships/hyperlink" Target="https://ref.ly/1Thess1:5-1Thess1:10" TargetMode="External"/><Relationship Id="rId8420" Type="http://schemas.openxmlformats.org/officeDocument/2006/relationships/hyperlink" Target="https://ref.ly/Rom2:16" TargetMode="External"/><Relationship Id="rId8421" Type="http://schemas.openxmlformats.org/officeDocument/2006/relationships/hyperlink" Target="https://ref.ly/Mark15:1-Mark16:20" TargetMode="External"/><Relationship Id="rId8422" Type="http://schemas.openxmlformats.org/officeDocument/2006/relationships/hyperlink" Target="https://ref.ly/Mark9:31" TargetMode="External"/><Relationship Id="rId8423" Type="http://schemas.openxmlformats.org/officeDocument/2006/relationships/hyperlink" Target="https://ref.ly/Mark10:33-Mark10:34" TargetMode="External"/><Relationship Id="rId8424" Type="http://schemas.openxmlformats.org/officeDocument/2006/relationships/hyperlink" Target="https://ref.ly/Mark12:6-Mark12:8" TargetMode="External"/><Relationship Id="rId8425" Type="http://schemas.openxmlformats.org/officeDocument/2006/relationships/hyperlink" Target="https://ref.ly/Mark14:3-Mark14:9,Mark14:22-Mark14:24" TargetMode="External"/><Relationship Id="rId8426" Type="http://schemas.openxmlformats.org/officeDocument/2006/relationships/hyperlink" Target="https://ref.ly/1Cor15:1-1Cor15:4" TargetMode="External"/><Relationship Id="rId8427" Type="http://schemas.openxmlformats.org/officeDocument/2006/relationships/hyperlink" Target="https://ref.ly/1Cor1:17-1Cor2:5" TargetMode="External"/><Relationship Id="rId8428" Type="http://schemas.openxmlformats.org/officeDocument/2006/relationships/hyperlink" Target="https://ref.ly/1Cor15:14,1Cor15:17" TargetMode="External"/><Relationship Id="rId8429" Type="http://schemas.openxmlformats.org/officeDocument/2006/relationships/hyperlink" Target="https://ref.ly/Rom6:3-Rom6:11" TargetMode="External"/><Relationship Id="rId8430" Type="http://schemas.openxmlformats.org/officeDocument/2006/relationships/hyperlink" Target="https://ref.ly/Rom5:6-Rom5:11" TargetMode="External"/><Relationship Id="rId8431" Type="http://schemas.openxmlformats.org/officeDocument/2006/relationships/hyperlink" Target="https://ref.ly/2Cor5:14-2Cor5:21" TargetMode="External"/><Relationship Id="rId8432" Type="http://schemas.openxmlformats.org/officeDocument/2006/relationships/hyperlink" Target="https://ref.ly/Eph1:7" TargetMode="External"/><Relationship Id="rId8433" Type="http://schemas.openxmlformats.org/officeDocument/2006/relationships/hyperlink" Target="https://ref.ly/Acts8:25" TargetMode="External"/><Relationship Id="rId8434" Type="http://schemas.openxmlformats.org/officeDocument/2006/relationships/hyperlink" Target="https://ref.ly/Acts20:24,Acts20:28" TargetMode="External"/><Relationship Id="rId8435" Type="http://schemas.openxmlformats.org/officeDocument/2006/relationships/hyperlink" Target="https://ref.ly/Acts10:36-Acts10:43" TargetMode="External"/><Relationship Id="rId8436" Type="http://schemas.openxmlformats.org/officeDocument/2006/relationships/hyperlink" Target="https://ref.ly/Acts17:18,Acts17:31" TargetMode="External"/><Relationship Id="rId8437" Type="http://schemas.openxmlformats.org/officeDocument/2006/relationships/hyperlink" Target="https://ref.ly/1Pet1:18-1Pet1:19" TargetMode="External"/><Relationship Id="rId8438" Type="http://schemas.openxmlformats.org/officeDocument/2006/relationships/hyperlink" Target="https://ref.ly/1Pet2:21-1Pet2:24" TargetMode="External"/><Relationship Id="rId8439" Type="http://schemas.openxmlformats.org/officeDocument/2006/relationships/hyperlink" Target="https://ref.ly/1Pet3:18-1Pet3:22" TargetMode="External"/><Relationship Id="rId8440" Type="http://schemas.openxmlformats.org/officeDocument/2006/relationships/hyperlink" Target="https://ref.ly/1Cor1:17-1Cor1:18" TargetMode="External"/><Relationship Id="rId8441" Type="http://schemas.openxmlformats.org/officeDocument/2006/relationships/hyperlink" Target="https://ref.ly/2Tim2:8-2Tim2:9" TargetMode="External"/><Relationship Id="rId8442" Type="http://schemas.openxmlformats.org/officeDocument/2006/relationships/hyperlink" Target="https://ref.ly/1Thess1:5" TargetMode="External"/><Relationship Id="rId8443" Type="http://schemas.openxmlformats.org/officeDocument/2006/relationships/hyperlink" Target="https://ref.ly/Rom15:18-Rom15:19" TargetMode="External"/><Relationship Id="rId8444" Type="http://schemas.openxmlformats.org/officeDocument/2006/relationships/hyperlink" Target="https://ref.ly/1Thess1:6" TargetMode="External"/><Relationship Id="rId8445" Type="http://schemas.openxmlformats.org/officeDocument/2006/relationships/hyperlink" Target="https://ref.ly/1Cor15:1-1Cor15:2" TargetMode="External"/><Relationship Id="rId8446" Type="http://schemas.openxmlformats.org/officeDocument/2006/relationships/hyperlink" Target="https://ref.ly/Eph1:13" TargetMode="External"/><Relationship Id="rId8447" Type="http://schemas.openxmlformats.org/officeDocument/2006/relationships/hyperlink" Target="https://ref.ly/2Tim1:8-2Tim1:11" TargetMode="External"/><Relationship Id="rId8448" Type="http://schemas.openxmlformats.org/officeDocument/2006/relationships/hyperlink" Target="https://ref.ly/1Pet1:23-1Pet1:25" TargetMode="External"/><Relationship Id="rId8449" Type="http://schemas.openxmlformats.org/officeDocument/2006/relationships/hyperlink" Target="https://ref.ly/Acts10:36-Acts10:44" TargetMode="External"/><Relationship Id="rId8450" Type="http://schemas.openxmlformats.org/officeDocument/2006/relationships/hyperlink" Target="https://ref.ly/Acts15:7-Acts15:8" TargetMode="External"/><Relationship Id="rId8451" Type="http://schemas.openxmlformats.org/officeDocument/2006/relationships/hyperlink" Target="https://ref.ly/Gal3:1-Gal3:2" TargetMode="External"/><Relationship Id="rId8452" Type="http://schemas.openxmlformats.org/officeDocument/2006/relationships/hyperlink" Target="https://ref.ly/Acts20:24" TargetMode="External"/><Relationship Id="rId8453" Type="http://schemas.openxmlformats.org/officeDocument/2006/relationships/hyperlink" Target="https://ref.ly/Rom3:26" TargetMode="External"/><Relationship Id="rId8454" Type="http://schemas.openxmlformats.org/officeDocument/2006/relationships/hyperlink" Target="https://ref.ly/Rom3:25" TargetMode="External"/><Relationship Id="rId8455" Type="http://schemas.openxmlformats.org/officeDocument/2006/relationships/hyperlink" Target="https://ref.ly/Rom1:18" TargetMode="External"/><Relationship Id="rId8456" Type="http://schemas.openxmlformats.org/officeDocument/2006/relationships/hyperlink" Target="https://ref.ly/Rom5:6,Rom5:11" TargetMode="External"/><Relationship Id="rId8457" Type="http://schemas.openxmlformats.org/officeDocument/2006/relationships/hyperlink" Target="https://ref.ly/Rom3:24" TargetMode="External"/><Relationship Id="rId8458" Type="http://schemas.openxmlformats.org/officeDocument/2006/relationships/hyperlink" Target="https://ref.ly/2Cor8:9" TargetMode="External"/><Relationship Id="rId8459" Type="http://schemas.openxmlformats.org/officeDocument/2006/relationships/hyperlink" Target="https://ref.ly/Rom4:5" TargetMode="External"/><Relationship Id="rId8460" Type="http://schemas.openxmlformats.org/officeDocument/2006/relationships/hyperlink" Target="https://ref.ly/1Cor1:30" TargetMode="External"/><Relationship Id="rId8461" Type="http://schemas.openxmlformats.org/officeDocument/2006/relationships/hyperlink" Target="https://ref.ly/Phil3:9" TargetMode="External"/><Relationship Id="rId8462" Type="http://schemas.openxmlformats.org/officeDocument/2006/relationships/hyperlink" Target="https://ref.ly/Rom1:16-Rom1:17" TargetMode="External"/><Relationship Id="rId8463" Type="http://schemas.openxmlformats.org/officeDocument/2006/relationships/hyperlink" Target="https://ref.ly/Rom3:28" TargetMode="External"/><Relationship Id="rId8464" Type="http://schemas.openxmlformats.org/officeDocument/2006/relationships/hyperlink" Target="https://ref.ly/Gal2:16" TargetMode="External"/><Relationship Id="rId8465" Type="http://schemas.openxmlformats.org/officeDocument/2006/relationships/hyperlink" Target="https://ref.ly/Rom4:24" TargetMode="External"/><Relationship Id="rId8466" Type="http://schemas.openxmlformats.org/officeDocument/2006/relationships/hyperlink" Target="https://ref.ly/1Thess1:8-1Thess1:9" TargetMode="External"/><Relationship Id="rId8467" Type="http://schemas.openxmlformats.org/officeDocument/2006/relationships/hyperlink" Target="https://ref.ly/Rom3:22,Rom3:26" TargetMode="External"/><Relationship Id="rId8468" Type="http://schemas.openxmlformats.org/officeDocument/2006/relationships/hyperlink" Target="https://ref.ly/Gal2:16,Gal2:20" TargetMode="External"/><Relationship Id="rId8469" Type="http://schemas.openxmlformats.org/officeDocument/2006/relationships/hyperlink" Target="https://ref.ly/Acts8:12" TargetMode="External"/><Relationship Id="rId8470" Type="http://schemas.openxmlformats.org/officeDocument/2006/relationships/hyperlink" Target="https://ref.ly/Acts15:7" TargetMode="External"/><Relationship Id="rId8471" Type="http://schemas.openxmlformats.org/officeDocument/2006/relationships/hyperlink" Target="https://ref.ly/1Cor1:17-1Cor1:24" TargetMode="External"/><Relationship Id="rId8472" Type="http://schemas.openxmlformats.org/officeDocument/2006/relationships/hyperlink" Target="https://ref.ly/Heb4:2" TargetMode="External"/><Relationship Id="rId8473" Type="http://schemas.openxmlformats.org/officeDocument/2006/relationships/hyperlink" Target="https://ref.ly/Acts14:15" TargetMode="External"/><Relationship Id="rId8474" Type="http://schemas.openxmlformats.org/officeDocument/2006/relationships/hyperlink" Target="https://ref.ly/Acts20:21,Acts20:24" TargetMode="External"/><Relationship Id="rId8475" Type="http://schemas.openxmlformats.org/officeDocument/2006/relationships/hyperlink" Target="https://ref.ly/Rom1:5" TargetMode="External"/><Relationship Id="rId8476" Type="http://schemas.openxmlformats.org/officeDocument/2006/relationships/hyperlink" Target="https://ref.ly/Heb4:6" TargetMode="External"/><Relationship Id="rId8477" Type="http://schemas.openxmlformats.org/officeDocument/2006/relationships/hyperlink" Target="https://ref.ly/2Thess1:5-2Thess1:10" TargetMode="External"/><Relationship Id="rId8478" Type="http://schemas.openxmlformats.org/officeDocument/2006/relationships/hyperlink" Target="https://ref.ly/1Pet4:17" TargetMode="External"/><Relationship Id="rId8479" Type="http://schemas.openxmlformats.org/officeDocument/2006/relationships/hyperlink" Target="https://ref.ly/Rom1:15" TargetMode="External"/><Relationship Id="rId8480" Type="http://schemas.openxmlformats.org/officeDocument/2006/relationships/hyperlink" Target="https://ref.ly/Col1:23" TargetMode="External"/><Relationship Id="rId8481" Type="http://schemas.openxmlformats.org/officeDocument/2006/relationships/hyperlink" Target="https://ref.ly/2Thess2:14-2Thess2:16" TargetMode="External"/><Relationship Id="rId8482" Type="http://schemas.openxmlformats.org/officeDocument/2006/relationships/hyperlink" Target="https://ref.ly/1Thess1:10" TargetMode="External"/><Relationship Id="rId8483" Type="http://schemas.openxmlformats.org/officeDocument/2006/relationships/hyperlink" Target="https://ref.ly/Gal5:5" TargetMode="External"/><Relationship Id="rId8484" Type="http://schemas.openxmlformats.org/officeDocument/2006/relationships/hyperlink" Target="https://ref.ly/1Pet4:5-1Pet4:6" TargetMode="External"/><Relationship Id="rId8485" Type="http://schemas.openxmlformats.org/officeDocument/2006/relationships/hyperlink" Target="https://ref.ly/1Tim3:2-1Tim3:7" TargetMode="External"/><Relationship Id="rId8486" Type="http://schemas.openxmlformats.org/officeDocument/2006/relationships/hyperlink" Target="https://ref.ly/Titus1:6-Titus1:9" TargetMode="External"/><Relationship Id="rId8487" Type="http://schemas.openxmlformats.org/officeDocument/2006/relationships/hyperlink" Target="https://ref.ly/Titus1:5,Titus1:7" TargetMode="External"/><Relationship Id="rId8488" Type="http://schemas.openxmlformats.org/officeDocument/2006/relationships/hyperlink" Target="https://ref.ly/Acts20:17,Acts20:28" TargetMode="External"/><Relationship Id="rId8489" Type="http://schemas.openxmlformats.org/officeDocument/2006/relationships/hyperlink" Target="https://ref.ly/Phil1:1" TargetMode="External"/><Relationship Id="rId8490" Type="http://schemas.openxmlformats.org/officeDocument/2006/relationships/hyperlink" Target="https://ref.ly/Titus1:9" TargetMode="External"/><Relationship Id="rId8491" Type="http://schemas.openxmlformats.org/officeDocument/2006/relationships/hyperlink" Target="https://ref.ly/1Tim3:2" TargetMode="External"/><Relationship Id="rId8492" Type="http://schemas.openxmlformats.org/officeDocument/2006/relationships/hyperlink" Target="https://ref.ly/Gen17:1-Gen17:14" TargetMode="External"/><Relationship Id="rId8493" Type="http://schemas.openxmlformats.org/officeDocument/2006/relationships/hyperlink" Target="https://ref.ly/Gen17:20" TargetMode="External"/><Relationship Id="rId8494" Type="http://schemas.openxmlformats.org/officeDocument/2006/relationships/hyperlink" Target="https://ref.ly/Gen17:25" TargetMode="External"/><Relationship Id="rId8495" Type="http://schemas.openxmlformats.org/officeDocument/2006/relationships/hyperlink" Target="https://ref.ly/Jer9:25-Jer9:26" TargetMode="External"/><Relationship Id="rId8496" Type="http://schemas.openxmlformats.org/officeDocument/2006/relationships/hyperlink" Target="https://ref.ly/Judg14:3" TargetMode="External"/><Relationship Id="rId8497" Type="http://schemas.openxmlformats.org/officeDocument/2006/relationships/hyperlink" Target="https://ref.ly/Judg15:18" TargetMode="External"/><Relationship Id="rId8498" Type="http://schemas.openxmlformats.org/officeDocument/2006/relationships/hyperlink" Target="https://ref.ly/1Sam14:6" TargetMode="External"/><Relationship Id="rId8499" Type="http://schemas.openxmlformats.org/officeDocument/2006/relationships/hyperlink" Target="https://ref.ly/1Sam17:26,1Sam17:36" TargetMode="External"/><Relationship Id="rId8500" Type="http://schemas.openxmlformats.org/officeDocument/2006/relationships/hyperlink" Target="https://ref.ly/1Sam18:25,1Sam18:27" TargetMode="External"/><Relationship Id="rId8501" Type="http://schemas.openxmlformats.org/officeDocument/2006/relationships/hyperlink" Target="https://ref.ly/1Sam31:4" TargetMode="External"/><Relationship Id="rId8502" Type="http://schemas.openxmlformats.org/officeDocument/2006/relationships/hyperlink" Target="https://ref.ly/2Sam1:20" TargetMode="External"/><Relationship Id="rId8503" Type="http://schemas.openxmlformats.org/officeDocument/2006/relationships/hyperlink" Target="https://ref.ly/2Sam3:14" TargetMode="External"/><Relationship Id="rId8504" Type="http://schemas.openxmlformats.org/officeDocument/2006/relationships/hyperlink" Target="https://ref.ly/1Chr10:4" TargetMode="External"/><Relationship Id="rId8505" Type="http://schemas.openxmlformats.org/officeDocument/2006/relationships/hyperlink" Target="https://ref.ly/Gen17:9-Gen17:13" TargetMode="External"/><Relationship Id="rId8506" Type="http://schemas.openxmlformats.org/officeDocument/2006/relationships/hyperlink" Target="https://ref.ly/Gen15:9-Gen15:17" TargetMode="External"/><Relationship Id="rId8507" Type="http://schemas.openxmlformats.org/officeDocument/2006/relationships/hyperlink" Target="https://ref.ly/Gen17:11" TargetMode="External"/><Relationship Id="rId8508" Type="http://schemas.openxmlformats.org/officeDocument/2006/relationships/hyperlink" Target="https://ref.ly/Gen17:10" TargetMode="External"/><Relationship Id="rId8509" Type="http://schemas.openxmlformats.org/officeDocument/2006/relationships/hyperlink" Target="https://ref.ly/Lev12:1-Lev12:3" TargetMode="External"/><Relationship Id="rId8510" Type="http://schemas.openxmlformats.org/officeDocument/2006/relationships/hyperlink" Target="https://ref.ly/Gen21:4" TargetMode="External"/><Relationship Id="rId8511" Type="http://schemas.openxmlformats.org/officeDocument/2006/relationships/hyperlink" Target="https://ref.ly/Luke1:59" TargetMode="External"/><Relationship Id="rId8512" Type="http://schemas.openxmlformats.org/officeDocument/2006/relationships/hyperlink" Target="https://ref.ly/Luke2:21" TargetMode="External"/><Relationship Id="rId8513" Type="http://schemas.openxmlformats.org/officeDocument/2006/relationships/hyperlink" Target="https://ref.ly/Gen17:23" TargetMode="External"/><Relationship Id="rId8514" Type="http://schemas.openxmlformats.org/officeDocument/2006/relationships/hyperlink" Target="https://ref.ly/Exod4:25" TargetMode="External"/><Relationship Id="rId8515" Type="http://schemas.openxmlformats.org/officeDocument/2006/relationships/hyperlink" Target="https://ref.ly/Josh5:2-Josh5:3" TargetMode="External"/><Relationship Id="rId8516" Type="http://schemas.openxmlformats.org/officeDocument/2006/relationships/hyperlink" Target="https://ref.ly/Gen17:9-Gen17:12" TargetMode="External"/><Relationship Id="rId8517" Type="http://schemas.openxmlformats.org/officeDocument/2006/relationships/hyperlink" Target="https://ref.ly/Gen17:12-Gen17:13" TargetMode="External"/><Relationship Id="rId8518" Type="http://schemas.openxmlformats.org/officeDocument/2006/relationships/hyperlink" Target="https://ref.ly/Exod12:43-Exod12:49" TargetMode="External"/><Relationship Id="rId8519" Type="http://schemas.openxmlformats.org/officeDocument/2006/relationships/hyperlink" Target="https://ref.ly/John7:22-John7:23" TargetMode="External"/><Relationship Id="rId8520" Type="http://schemas.openxmlformats.org/officeDocument/2006/relationships/hyperlink" Target="https://ref.ly/Acts7:8,Acts7:51" TargetMode="External"/><Relationship Id="rId8521" Type="http://schemas.openxmlformats.org/officeDocument/2006/relationships/hyperlink" Target="https://ref.ly/Acts5:21,Acts5:42" TargetMode="External"/><Relationship Id="rId8522" Type="http://schemas.openxmlformats.org/officeDocument/2006/relationships/hyperlink" Target="https://ref.ly/Phil3:4-Phil3:6" TargetMode="External"/><Relationship Id="rId8523" Type="http://schemas.openxmlformats.org/officeDocument/2006/relationships/hyperlink" Target="https://ref.ly/John7:22" TargetMode="External"/><Relationship Id="rId8524" Type="http://schemas.openxmlformats.org/officeDocument/2006/relationships/hyperlink" Target="https://ref.ly/Rom15:8" TargetMode="External"/><Relationship Id="rId8525" Type="http://schemas.openxmlformats.org/officeDocument/2006/relationships/hyperlink" Target="https://ref.ly/Eph2:11" TargetMode="External"/><Relationship Id="rId8526" Type="http://schemas.openxmlformats.org/officeDocument/2006/relationships/hyperlink" Target="https://ref.ly/Titus1:10" TargetMode="External"/><Relationship Id="rId8527" Type="http://schemas.openxmlformats.org/officeDocument/2006/relationships/hyperlink" Target="https://ref.ly/Ezek28:10" TargetMode="External"/><Relationship Id="rId8528" Type="http://schemas.openxmlformats.org/officeDocument/2006/relationships/hyperlink" Target="https://ref.ly/Ezek31:18" TargetMode="External"/><Relationship Id="rId8529" Type="http://schemas.openxmlformats.org/officeDocument/2006/relationships/hyperlink" Target="https://ref.ly/Ezek32:19-Ezek32:32" TargetMode="External"/><Relationship Id="rId8530" Type="http://schemas.openxmlformats.org/officeDocument/2006/relationships/hyperlink" Target="https://ref.ly/Acts10:44-Acts10:48" TargetMode="External"/><Relationship Id="rId8531" Type="http://schemas.openxmlformats.org/officeDocument/2006/relationships/hyperlink" Target="https://ref.ly/Deut30:6" TargetMode="External"/><Relationship Id="rId8532" Type="http://schemas.openxmlformats.org/officeDocument/2006/relationships/hyperlink" Target="https://ref.ly/Acts2:17" TargetMode="External"/><Relationship Id="rId8533" Type="http://schemas.openxmlformats.org/officeDocument/2006/relationships/hyperlink" Target="https://ref.ly/Acts11:1-Acts11:3,Acts11:15" TargetMode="External"/><Relationship Id="rId8534" Type="http://schemas.openxmlformats.org/officeDocument/2006/relationships/hyperlink" Target="https://ref.ly/Acts15:8-Acts15:9" TargetMode="External"/><Relationship Id="rId8535" Type="http://schemas.openxmlformats.org/officeDocument/2006/relationships/hyperlink" Target="https://ref.ly/Gal6:12-Gal6:13" TargetMode="External"/><Relationship Id="rId8536" Type="http://schemas.openxmlformats.org/officeDocument/2006/relationships/hyperlink" Target="https://ref.ly/Gal5:11" TargetMode="External"/><Relationship Id="rId8537" Type="http://schemas.openxmlformats.org/officeDocument/2006/relationships/hyperlink" Target="https://ref.ly/Gal5:2-Gal5:3" TargetMode="External"/><Relationship Id="rId8538" Type="http://schemas.openxmlformats.org/officeDocument/2006/relationships/hyperlink" Target="https://ref.ly/Gal5:2-Gal5:4" TargetMode="External"/><Relationship Id="rId8539" Type="http://schemas.openxmlformats.org/officeDocument/2006/relationships/hyperlink" Target="https://ref.ly/Gal1:6-Gal1:7" TargetMode="External"/><Relationship Id="rId8540" Type="http://schemas.openxmlformats.org/officeDocument/2006/relationships/hyperlink" Target="https://ref.ly/Rom3:1-Rom3:3" TargetMode="External"/><Relationship Id="rId8541" Type="http://schemas.openxmlformats.org/officeDocument/2006/relationships/hyperlink" Target="https://ref.ly/Col2:13" TargetMode="External"/><Relationship Id="rId8542" Type="http://schemas.openxmlformats.org/officeDocument/2006/relationships/hyperlink" Target="https://ref.ly/Rom2:25" TargetMode="External"/><Relationship Id="rId8543" Type="http://schemas.openxmlformats.org/officeDocument/2006/relationships/hyperlink" Target="https://ref.ly/Rom3:28-Rom3:30" TargetMode="External"/><Relationship Id="rId8544" Type="http://schemas.openxmlformats.org/officeDocument/2006/relationships/hyperlink" Target="https://ref.ly/Rom4:3" TargetMode="External"/><Relationship Id="rId8545" Type="http://schemas.openxmlformats.org/officeDocument/2006/relationships/hyperlink" Target="https://ref.ly/Gal3:6-Gal3:9" TargetMode="External"/><Relationship Id="rId8546" Type="http://schemas.openxmlformats.org/officeDocument/2006/relationships/hyperlink" Target="https://ref.ly/Acts27:12" TargetMode="External"/><Relationship Id="rId8547" Type="http://schemas.openxmlformats.org/officeDocument/2006/relationships/hyperlink" Target="https://ref.ly/Titus1:12" TargetMode="External"/><Relationship Id="rId8548" Type="http://schemas.openxmlformats.org/officeDocument/2006/relationships/hyperlink" Target="https://ref.ly/Col2:7" TargetMode="External"/><Relationship Id="rId8549" Type="http://schemas.openxmlformats.org/officeDocument/2006/relationships/hyperlink" Target="https://ref.ly/2Tim4:7" TargetMode="External"/><Relationship Id="rId8550" Type="http://schemas.openxmlformats.org/officeDocument/2006/relationships/hyperlink" Target="https://ref.ly/Exod24:6-Exod24:7" TargetMode="External"/><Relationship Id="rId8551" Type="http://schemas.openxmlformats.org/officeDocument/2006/relationships/hyperlink" Target="https://ref.ly/Matt17:20" TargetMode="External"/><Relationship Id="rId8552" Type="http://schemas.openxmlformats.org/officeDocument/2006/relationships/hyperlink" Target="https://ref.ly/Mark2:5" TargetMode="External"/><Relationship Id="rId8553" Type="http://schemas.openxmlformats.org/officeDocument/2006/relationships/hyperlink" Target="https://ref.ly/Luke7:50" TargetMode="External"/><Relationship Id="rId8554" Type="http://schemas.openxmlformats.org/officeDocument/2006/relationships/hyperlink" Target="https://ref.ly/Matt12:38-Matt12:39" TargetMode="External"/><Relationship Id="rId8555" Type="http://schemas.openxmlformats.org/officeDocument/2006/relationships/hyperlink" Target="https://ref.ly/Mark9:24" TargetMode="External"/><Relationship Id="rId8556" Type="http://schemas.openxmlformats.org/officeDocument/2006/relationships/hyperlink" Target="https://ref.ly/Matt11:2-Matt11:15" TargetMode="External"/><Relationship Id="rId8557" Type="http://schemas.openxmlformats.org/officeDocument/2006/relationships/hyperlink" Target="https://ref.ly/John14:11" TargetMode="External"/><Relationship Id="rId8558" Type="http://schemas.openxmlformats.org/officeDocument/2006/relationships/hyperlink" Target="https://ref.ly/John5:46" TargetMode="External"/><Relationship Id="rId8559" Type="http://schemas.openxmlformats.org/officeDocument/2006/relationships/hyperlink" Target="https://ref.ly/John6:35" TargetMode="External"/><Relationship Id="rId8560" Type="http://schemas.openxmlformats.org/officeDocument/2006/relationships/hyperlink" Target="https://ref.ly/John11:15" TargetMode="External"/><Relationship Id="rId8561" Type="http://schemas.openxmlformats.org/officeDocument/2006/relationships/hyperlink" Target="https://ref.ly/John1:7" TargetMode="External"/><Relationship Id="rId8562" Type="http://schemas.openxmlformats.org/officeDocument/2006/relationships/hyperlink" Target="https://ref.ly/John17:3" TargetMode="External"/><Relationship Id="rId8563" Type="http://schemas.openxmlformats.org/officeDocument/2006/relationships/hyperlink" Target="https://ref.ly/John17:4" TargetMode="External"/><Relationship Id="rId8564" Type="http://schemas.openxmlformats.org/officeDocument/2006/relationships/hyperlink" Target="https://ref.ly/Rom1:1-Rom4:25" TargetMode="External"/><Relationship Id="rId8565" Type="http://schemas.openxmlformats.org/officeDocument/2006/relationships/hyperlink" Target="https://ref.ly/Gal1:1-Gal4:31" TargetMode="External"/><Relationship Id="rId8566" Type="http://schemas.openxmlformats.org/officeDocument/2006/relationships/hyperlink" Target="https://ref.ly/Gal3:6" TargetMode="External"/><Relationship Id="rId8567" Type="http://schemas.openxmlformats.org/officeDocument/2006/relationships/hyperlink" Target="https://ref.ly/2Cor5:18" TargetMode="External"/><Relationship Id="rId8568" Type="http://schemas.openxmlformats.org/officeDocument/2006/relationships/hyperlink" Target="https://ref.ly/Eph2:5" TargetMode="External"/><Relationship Id="rId8569" Type="http://schemas.openxmlformats.org/officeDocument/2006/relationships/hyperlink" Target="https://ref.ly/Rom8:15-Rom8:16" TargetMode="External"/><Relationship Id="rId8570" Type="http://schemas.openxmlformats.org/officeDocument/2006/relationships/hyperlink" Target="https://ref.ly/Gal5:1" TargetMode="External"/><Relationship Id="rId8571" Type="http://schemas.openxmlformats.org/officeDocument/2006/relationships/hyperlink" Target="https://ref.ly/1Cor13:2" TargetMode="External"/><Relationship Id="rId8572" Type="http://schemas.openxmlformats.org/officeDocument/2006/relationships/hyperlink" Target="https://ref.ly/Jas2:22" TargetMode="External"/><Relationship Id="rId8573" Type="http://schemas.openxmlformats.org/officeDocument/2006/relationships/hyperlink" Target="https://ref.ly/Jas2:20" TargetMode="External"/><Relationship Id="rId8574" Type="http://schemas.openxmlformats.org/officeDocument/2006/relationships/hyperlink" Target="https://ref.ly/Heb11:1" TargetMode="External"/><Relationship Id="rId8575" Type="http://schemas.openxmlformats.org/officeDocument/2006/relationships/hyperlink" Target="https://ref.ly/Heb12:1" TargetMode="External"/><Relationship Id="rId8576" Type="http://schemas.openxmlformats.org/officeDocument/2006/relationships/hyperlink" Target="https://ref.ly/Rom3:23" TargetMode="External"/><Relationship Id="rId8577" Type="http://schemas.openxmlformats.org/officeDocument/2006/relationships/hyperlink" Target="https://ref.ly/Neh9:5" TargetMode="External"/><Relationship Id="rId8578" Type="http://schemas.openxmlformats.org/officeDocument/2006/relationships/hyperlink" Target="https://ref.ly/Eph1:17" TargetMode="External"/><Relationship Id="rId8579" Type="http://schemas.openxmlformats.org/officeDocument/2006/relationships/hyperlink" Target="https://ref.ly/Ps24:1-Ps24:10" TargetMode="External"/><Relationship Id="rId8580" Type="http://schemas.openxmlformats.org/officeDocument/2006/relationships/hyperlink" Target="https://ref.ly/Ps57:5,Ps57:11" TargetMode="External"/><Relationship Id="rId8581" Type="http://schemas.openxmlformats.org/officeDocument/2006/relationships/hyperlink" Target="https://ref.ly/Ps108:5" TargetMode="External"/><Relationship Id="rId8582" Type="http://schemas.openxmlformats.org/officeDocument/2006/relationships/hyperlink" Target="https://ref.ly/Ps113:4" TargetMode="External"/><Relationship Id="rId8583" Type="http://schemas.openxmlformats.org/officeDocument/2006/relationships/hyperlink" Target="https://ref.ly/Isa42:8" TargetMode="External"/><Relationship Id="rId8584" Type="http://schemas.openxmlformats.org/officeDocument/2006/relationships/hyperlink" Target="https://ref.ly/Ps79:9" TargetMode="External"/><Relationship Id="rId8585" Type="http://schemas.openxmlformats.org/officeDocument/2006/relationships/hyperlink" Target="https://ref.ly/Isa48:11" TargetMode="External"/><Relationship Id="rId8586" Type="http://schemas.openxmlformats.org/officeDocument/2006/relationships/hyperlink" Target="https://ref.ly/Ps97:6" TargetMode="External"/><Relationship Id="rId8587" Type="http://schemas.openxmlformats.org/officeDocument/2006/relationships/hyperlink" Target="https://ref.ly/1Chr16:24" TargetMode="External"/><Relationship Id="rId8588" Type="http://schemas.openxmlformats.org/officeDocument/2006/relationships/hyperlink" Target="https://ref.ly/Ps72:18-Ps72:19" TargetMode="External"/><Relationship Id="rId8589" Type="http://schemas.openxmlformats.org/officeDocument/2006/relationships/hyperlink" Target="https://ref.ly/Ps96:3" TargetMode="External"/><Relationship Id="rId8590" Type="http://schemas.openxmlformats.org/officeDocument/2006/relationships/hyperlink" Target="https://ref.ly/Ps145:10-Ps145:12" TargetMode="External"/><Relationship Id="rId8591" Type="http://schemas.openxmlformats.org/officeDocument/2006/relationships/hyperlink" Target="https://ref.ly/John11:4,John11:40" TargetMode="External"/><Relationship Id="rId8592" Type="http://schemas.openxmlformats.org/officeDocument/2006/relationships/hyperlink" Target="https://ref.ly/1Chr16:24-1Chr16:29" TargetMode="External"/><Relationship Id="rId8593" Type="http://schemas.openxmlformats.org/officeDocument/2006/relationships/hyperlink" Target="https://ref.ly/Ps29:1-Ps29:2,Ps29:9" TargetMode="External"/><Relationship Id="rId8594" Type="http://schemas.openxmlformats.org/officeDocument/2006/relationships/hyperlink" Target="https://ref.ly/Ps66:1-Ps66:2" TargetMode="External"/><Relationship Id="rId8595" Type="http://schemas.openxmlformats.org/officeDocument/2006/relationships/hyperlink" Target="https://ref.ly/Ps96:7-Ps96:8" TargetMode="External"/><Relationship Id="rId8596" Type="http://schemas.openxmlformats.org/officeDocument/2006/relationships/hyperlink" Target="https://ref.ly/Ps115:1" TargetMode="External"/><Relationship Id="rId8597" Type="http://schemas.openxmlformats.org/officeDocument/2006/relationships/hyperlink" Target="https://ref.ly/Isa42:12" TargetMode="External"/><Relationship Id="rId8598" Type="http://schemas.openxmlformats.org/officeDocument/2006/relationships/hyperlink" Target="https://ref.ly/Rom4:20" TargetMode="External"/><Relationship Id="rId8599" Type="http://schemas.openxmlformats.org/officeDocument/2006/relationships/hyperlink" Target="https://ref.ly/Neh9:11-Neh9:12,Neh9:19" TargetMode="External"/><Relationship Id="rId8600" Type="http://schemas.openxmlformats.org/officeDocument/2006/relationships/hyperlink" Target="https://ref.ly/Exod19:9,Exod19:16-Exod19:18" TargetMode="External"/><Relationship Id="rId8601" Type="http://schemas.openxmlformats.org/officeDocument/2006/relationships/hyperlink" Target="https://ref.ly/Exod24:15-Exod24:18" TargetMode="External"/><Relationship Id="rId8602" Type="http://schemas.openxmlformats.org/officeDocument/2006/relationships/hyperlink" Target="https://ref.ly/Deut5:5,Deut5:22-Deut5:24" TargetMode="External"/><Relationship Id="rId8603" Type="http://schemas.openxmlformats.org/officeDocument/2006/relationships/hyperlink" Target="https://ref.ly/Exod33:18-Exod33:23" TargetMode="External"/><Relationship Id="rId8604" Type="http://schemas.openxmlformats.org/officeDocument/2006/relationships/hyperlink" Target="https://ref.ly/2Cor3:7-2Cor3:18" TargetMode="External"/><Relationship Id="rId8605" Type="http://schemas.openxmlformats.org/officeDocument/2006/relationships/hyperlink" Target="https://ref.ly/Num1:50-Num2:2" TargetMode="External"/><Relationship Id="rId8606" Type="http://schemas.openxmlformats.org/officeDocument/2006/relationships/hyperlink" Target="https://ref.ly/2Chr5:13-2Chr6:1" TargetMode="External"/><Relationship Id="rId8607" Type="http://schemas.openxmlformats.org/officeDocument/2006/relationships/hyperlink" Target="https://ref.ly/2Chr7:1-2Chr7:3" TargetMode="External"/><Relationship Id="rId8608" Type="http://schemas.openxmlformats.org/officeDocument/2006/relationships/hyperlink" Target="https://ref.ly/Ps26:8" TargetMode="External"/><Relationship Id="rId8609" Type="http://schemas.openxmlformats.org/officeDocument/2006/relationships/hyperlink" Target="https://ref.ly/Ps63:2" TargetMode="External"/><Relationship Id="rId8610" Type="http://schemas.openxmlformats.org/officeDocument/2006/relationships/hyperlink" Target="https://ref.ly/Ps85:9" TargetMode="External"/><Relationship Id="rId8611" Type="http://schemas.openxmlformats.org/officeDocument/2006/relationships/hyperlink" Target="https://ref.ly/Isa3:8" TargetMode="External"/><Relationship Id="rId8612" Type="http://schemas.openxmlformats.org/officeDocument/2006/relationships/hyperlink" Target="https://ref.ly/Ps106:20" TargetMode="External"/><Relationship Id="rId8613" Type="http://schemas.openxmlformats.org/officeDocument/2006/relationships/hyperlink" Target="https://ref.ly/Jer2:10-Jer2:11" TargetMode="External"/><Relationship Id="rId8614" Type="http://schemas.openxmlformats.org/officeDocument/2006/relationships/hyperlink" Target="https://ref.ly/Rom1:23" TargetMode="External"/><Relationship Id="rId8615" Type="http://schemas.openxmlformats.org/officeDocument/2006/relationships/hyperlink" Target="https://ref.ly/Hos1:9" TargetMode="External"/><Relationship Id="rId8616" Type="http://schemas.openxmlformats.org/officeDocument/2006/relationships/hyperlink" Target="https://ref.ly/Ezek10:4,Ezek10:18-Ezek10:19" TargetMode="External"/><Relationship Id="rId8617" Type="http://schemas.openxmlformats.org/officeDocument/2006/relationships/hyperlink" Target="https://ref.ly/Ezek11:22" TargetMode="External"/><Relationship Id="rId8618" Type="http://schemas.openxmlformats.org/officeDocument/2006/relationships/hyperlink" Target="https://ref.ly/Ezek12:1-Ezek12:15" TargetMode="External"/><Relationship Id="rId8619" Type="http://schemas.openxmlformats.org/officeDocument/2006/relationships/hyperlink" Target="https://ref.ly/Ezek43:2-Ezek43:9" TargetMode="External"/><Relationship Id="rId8620" Type="http://schemas.openxmlformats.org/officeDocument/2006/relationships/hyperlink" Target="https://ref.ly/Hag2:3-Hag2:9" TargetMode="External"/><Relationship Id="rId8621" Type="http://schemas.openxmlformats.org/officeDocument/2006/relationships/hyperlink" Target="https://ref.ly/Zech2:5,Zech2:10-Zech2:11" TargetMode="External"/><Relationship Id="rId8622" Type="http://schemas.openxmlformats.org/officeDocument/2006/relationships/hyperlink" Target="https://ref.ly/Luke2:30-Luke2:32" TargetMode="External"/><Relationship Id="rId8623" Type="http://schemas.openxmlformats.org/officeDocument/2006/relationships/hyperlink" Target="https://ref.ly/Matt17:1-Matt17:8" TargetMode="External"/><Relationship Id="rId8624" Type="http://schemas.openxmlformats.org/officeDocument/2006/relationships/hyperlink" Target="https://ref.ly/2Pet1:16-2Pet1:17" TargetMode="External"/><Relationship Id="rId8625" Type="http://schemas.openxmlformats.org/officeDocument/2006/relationships/hyperlink" Target="https://ref.ly/1Cor15:39-1Cor15:43" TargetMode="External"/><Relationship Id="rId8626" Type="http://schemas.openxmlformats.org/officeDocument/2006/relationships/hyperlink" Target="https://ref.ly/Acts7:55" TargetMode="External"/><Relationship Id="rId8627" Type="http://schemas.openxmlformats.org/officeDocument/2006/relationships/hyperlink" Target="https://ref.ly/Acts9:3" TargetMode="External"/><Relationship Id="rId8628" Type="http://schemas.openxmlformats.org/officeDocument/2006/relationships/hyperlink" Target="https://ref.ly/2Thess2:9-2Thess2:10" TargetMode="External"/><Relationship Id="rId8629" Type="http://schemas.openxmlformats.org/officeDocument/2006/relationships/hyperlink" Target="https://ref.ly/Ps72:19" TargetMode="External"/><Relationship Id="rId8630" Type="http://schemas.openxmlformats.org/officeDocument/2006/relationships/hyperlink" Target="https://ref.ly/Hab2:14" TargetMode="External"/><Relationship Id="rId8631" Type="http://schemas.openxmlformats.org/officeDocument/2006/relationships/hyperlink" Target="https://ref.ly/Rev21:10-Rev21:11" TargetMode="External"/><Relationship Id="rId8632" Type="http://schemas.openxmlformats.org/officeDocument/2006/relationships/hyperlink" Target="https://ref.ly/John16:7-John16:14" TargetMode="External"/><Relationship Id="rId8633" Type="http://schemas.openxmlformats.org/officeDocument/2006/relationships/hyperlink" Target="https://ref.ly/1Pet4:14" TargetMode="External"/><Relationship Id="rId8634" Type="http://schemas.openxmlformats.org/officeDocument/2006/relationships/hyperlink" Target="https://ref.ly/Rom8:16-Rom8:17" TargetMode="External"/><Relationship Id="rId8635" Type="http://schemas.openxmlformats.org/officeDocument/2006/relationships/hyperlink" Target="https://ref.ly/Rom5:2" TargetMode="External"/><Relationship Id="rId8636" Type="http://schemas.openxmlformats.org/officeDocument/2006/relationships/hyperlink" Target="https://ref.ly/Col1:27" TargetMode="External"/><Relationship Id="rId8637" Type="http://schemas.openxmlformats.org/officeDocument/2006/relationships/hyperlink" Target="https://ref.ly/Jude1:24-Jude1:25" TargetMode="External"/><Relationship Id="rId8638" Type="http://schemas.openxmlformats.org/officeDocument/2006/relationships/hyperlink" Target="https://ref.ly/Rom9:23" TargetMode="External"/><Relationship Id="rId8639" Type="http://schemas.openxmlformats.org/officeDocument/2006/relationships/hyperlink" Target="https://ref.ly/Col3:4" TargetMode="External"/><Relationship Id="rId8640" Type="http://schemas.openxmlformats.org/officeDocument/2006/relationships/hyperlink" Target="https://ref.ly/2Thess2:14" TargetMode="External"/><Relationship Id="rId8641" Type="http://schemas.openxmlformats.org/officeDocument/2006/relationships/hyperlink" Target="https://ref.ly/2Tim2:10" TargetMode="External"/><Relationship Id="rId8642" Type="http://schemas.openxmlformats.org/officeDocument/2006/relationships/hyperlink" Target="https://ref.ly/2Cor4:17" TargetMode="External"/><Relationship Id="rId8643" Type="http://schemas.openxmlformats.org/officeDocument/2006/relationships/hyperlink" Target="https://ref.ly/Rom8:21" TargetMode="External"/><Relationship Id="rId8644" Type="http://schemas.openxmlformats.org/officeDocument/2006/relationships/hyperlink" Target="https://ref.ly/Rom5:10" TargetMode="External"/><Relationship Id="rId8645" Type="http://schemas.openxmlformats.org/officeDocument/2006/relationships/hyperlink" Target="https://ref.ly/1John3:3" TargetMode="External"/><Relationship Id="rId8646" Type="http://schemas.openxmlformats.org/officeDocument/2006/relationships/hyperlink" Target="https://ref.ly/Exod34:6" TargetMode="External"/><Relationship Id="rId8647" Type="http://schemas.openxmlformats.org/officeDocument/2006/relationships/hyperlink" Target="https://ref.ly/Exod34:9" TargetMode="External"/><Relationship Id="rId8648" Type="http://schemas.openxmlformats.org/officeDocument/2006/relationships/hyperlink" Target="https://ref.ly/Gen12:2-Gen12:3" TargetMode="External"/><Relationship Id="rId8649" Type="http://schemas.openxmlformats.org/officeDocument/2006/relationships/hyperlink" Target="https://ref.ly/Gen17:4,Gen17:7" TargetMode="External"/><Relationship Id="rId8650" Type="http://schemas.openxmlformats.org/officeDocument/2006/relationships/hyperlink" Target="https://ref.ly/Rom4:16" TargetMode="External"/><Relationship Id="rId8651" Type="http://schemas.openxmlformats.org/officeDocument/2006/relationships/hyperlink" Target="https://ref.ly/1Pet1:10-1Pet1:12" TargetMode="External"/><Relationship Id="rId8652" Type="http://schemas.openxmlformats.org/officeDocument/2006/relationships/hyperlink" Target="https://ref.ly/Heb8:6-Heb8:7" TargetMode="External"/><Relationship Id="rId8653" Type="http://schemas.openxmlformats.org/officeDocument/2006/relationships/hyperlink" Target="https://ref.ly/Gal3:23-Gal3:29" TargetMode="External"/><Relationship Id="rId8654" Type="http://schemas.openxmlformats.org/officeDocument/2006/relationships/hyperlink" Target="https://ref.ly/John1:14,John1:17" TargetMode="External"/><Relationship Id="rId8655" Type="http://schemas.openxmlformats.org/officeDocument/2006/relationships/hyperlink" Target="https://ref.ly/Titus3:7" TargetMode="External"/><Relationship Id="rId8656" Type="http://schemas.openxmlformats.org/officeDocument/2006/relationships/hyperlink" Target="https://ref.ly/Gal4:4-Gal4:6" TargetMode="External"/><Relationship Id="rId8657" Type="http://schemas.openxmlformats.org/officeDocument/2006/relationships/hyperlink" Target="https://ref.ly/Rom12:6-Rom12:8" TargetMode="External"/><Relationship Id="rId8658" Type="http://schemas.openxmlformats.org/officeDocument/2006/relationships/hyperlink" Target="https://ref.ly/Rom15:15-Rom15:16" TargetMode="External"/><Relationship Id="rId8659" Type="http://schemas.openxmlformats.org/officeDocument/2006/relationships/hyperlink" Target="https://ref.ly/Eph2:20" TargetMode="External"/><Relationship Id="rId8660" Type="http://schemas.openxmlformats.org/officeDocument/2006/relationships/hyperlink" Target="https://ref.ly/Eph1:7-Eph1:8" TargetMode="External"/><Relationship Id="rId8661" Type="http://schemas.openxmlformats.org/officeDocument/2006/relationships/hyperlink" Target="https://ref.ly/Phil2:3-Phil2:4" TargetMode="External"/><Relationship Id="rId8662" Type="http://schemas.openxmlformats.org/officeDocument/2006/relationships/hyperlink" Target="https://ref.ly/Col4:6" TargetMode="External"/><Relationship Id="rId8663" Type="http://schemas.openxmlformats.org/officeDocument/2006/relationships/hyperlink" Target="https://ref.ly/Titus2:11-Titus2:12" TargetMode="External"/><Relationship Id="rId8664" Type="http://schemas.openxmlformats.org/officeDocument/2006/relationships/hyperlink" Target="https://ref.ly/2Thess3:18" TargetMode="External"/><Relationship Id="rId8665" Type="http://schemas.openxmlformats.org/officeDocument/2006/relationships/hyperlink" Target="https://ref.ly/Ezek39:7" TargetMode="External"/><Relationship Id="rId8666" Type="http://schemas.openxmlformats.org/officeDocument/2006/relationships/hyperlink" Target="https://ref.ly/Job6:10" TargetMode="External"/><Relationship Id="rId8667" Type="http://schemas.openxmlformats.org/officeDocument/2006/relationships/hyperlink" Target="https://ref.ly/Isa43:15" TargetMode="External"/><Relationship Id="rId8668" Type="http://schemas.openxmlformats.org/officeDocument/2006/relationships/hyperlink" Target="https://ref.ly/Ps89:18" TargetMode="External"/><Relationship Id="rId8669" Type="http://schemas.openxmlformats.org/officeDocument/2006/relationships/hyperlink" Target="https://ref.ly/Isa60:14" TargetMode="External"/><Relationship Id="rId8670" Type="http://schemas.openxmlformats.org/officeDocument/2006/relationships/hyperlink" Target="https://ref.ly/Jer50:29" TargetMode="External"/><Relationship Id="rId8671" Type="http://schemas.openxmlformats.org/officeDocument/2006/relationships/hyperlink" Target="https://ref.ly/Job34:10" TargetMode="External"/><Relationship Id="rId8672" Type="http://schemas.openxmlformats.org/officeDocument/2006/relationships/hyperlink" Target="https://ref.ly/Isa5:16" TargetMode="External"/><Relationship Id="rId8673" Type="http://schemas.openxmlformats.org/officeDocument/2006/relationships/hyperlink" Target="https://ref.ly/Ps99:1-Ps99:9" TargetMode="External"/><Relationship Id="rId8674" Type="http://schemas.openxmlformats.org/officeDocument/2006/relationships/hyperlink" Target="https://ref.ly/Ps99:1-Ps99:3" TargetMode="External"/><Relationship Id="rId8675" Type="http://schemas.openxmlformats.org/officeDocument/2006/relationships/hyperlink" Target="https://ref.ly/Ps99:4" TargetMode="External"/><Relationship Id="rId8676" Type="http://schemas.openxmlformats.org/officeDocument/2006/relationships/hyperlink" Target="https://ref.ly/Ps99:5" TargetMode="External"/><Relationship Id="rId8677" Type="http://schemas.openxmlformats.org/officeDocument/2006/relationships/hyperlink" Target="https://ref.ly/Lev19:2" TargetMode="External"/><Relationship Id="rId8678" Type="http://schemas.openxmlformats.org/officeDocument/2006/relationships/hyperlink" Target="https://ref.ly/Exod29:1-Exod29:46" TargetMode="External"/><Relationship Id="rId8679" Type="http://schemas.openxmlformats.org/officeDocument/2006/relationships/hyperlink" Target="https://ref.ly/2Kgs4:9" TargetMode="External"/><Relationship Id="rId8680" Type="http://schemas.openxmlformats.org/officeDocument/2006/relationships/hyperlink" Target="https://ref.ly/Jer1:5" TargetMode="External"/><Relationship Id="rId8681" Type="http://schemas.openxmlformats.org/officeDocument/2006/relationships/hyperlink" Target="https://ref.ly/Num15:40" TargetMode="External"/><Relationship Id="rId8682" Type="http://schemas.openxmlformats.org/officeDocument/2006/relationships/hyperlink" Target="https://ref.ly/Mark7:1-Mark7:5" TargetMode="External"/><Relationship Id="rId8683" Type="http://schemas.openxmlformats.org/officeDocument/2006/relationships/hyperlink" Target="https://ref.ly/Mark7:6-Mark7:12" TargetMode="External"/><Relationship Id="rId8684" Type="http://schemas.openxmlformats.org/officeDocument/2006/relationships/hyperlink" Target="https://ref.ly/Rev4:8" TargetMode="External"/><Relationship Id="rId8685" Type="http://schemas.openxmlformats.org/officeDocument/2006/relationships/hyperlink" Target="https://ref.ly/Luke1:49" TargetMode="External"/><Relationship Id="rId8686" Type="http://schemas.openxmlformats.org/officeDocument/2006/relationships/hyperlink" Target="https://ref.ly/Luke4:34" TargetMode="External"/><Relationship Id="rId8687" Type="http://schemas.openxmlformats.org/officeDocument/2006/relationships/hyperlink" Target="https://ref.ly/Acts4:27-Acts4:30" TargetMode="External"/><Relationship Id="rId8688" Type="http://schemas.openxmlformats.org/officeDocument/2006/relationships/hyperlink" Target="https://ref.ly/Matt1:18" TargetMode="External"/><Relationship Id="rId8689" Type="http://schemas.openxmlformats.org/officeDocument/2006/relationships/hyperlink" Target="https://ref.ly/Matt3:16" TargetMode="External"/><Relationship Id="rId8690" Type="http://schemas.openxmlformats.org/officeDocument/2006/relationships/hyperlink" Target="https://ref.ly/Luke4:14" TargetMode="External"/><Relationship Id="rId8691" Type="http://schemas.openxmlformats.org/officeDocument/2006/relationships/hyperlink" Target="https://ref.ly/John3:5-John3:8" TargetMode="External"/><Relationship Id="rId8692" Type="http://schemas.openxmlformats.org/officeDocument/2006/relationships/hyperlink" Target="https://ref.ly/John14:16-John14:17,John14:26" TargetMode="External"/><Relationship Id="rId8693" Type="http://schemas.openxmlformats.org/officeDocument/2006/relationships/hyperlink" Target="https://ref.ly/Eph5:26" TargetMode="External"/><Relationship Id="rId8694" Type="http://schemas.openxmlformats.org/officeDocument/2006/relationships/hyperlink" Target="https://ref.ly/2Pet1:4" TargetMode="External"/><Relationship Id="rId8695" Type="http://schemas.openxmlformats.org/officeDocument/2006/relationships/hyperlink" Target="https://ref.ly/Mark10:17" TargetMode="External"/><Relationship Id="rId8696" Type="http://schemas.openxmlformats.org/officeDocument/2006/relationships/hyperlink" Target="https://ref.ly/Mark10:30" TargetMode="External"/><Relationship Id="rId8697" Type="http://schemas.openxmlformats.org/officeDocument/2006/relationships/hyperlink" Target="https://ref.ly/Mark10:23-Mark10:25" TargetMode="External"/><Relationship Id="rId8698" Type="http://schemas.openxmlformats.org/officeDocument/2006/relationships/hyperlink" Target="https://ref.ly/Matt13:1-Matt13:58" TargetMode="External"/><Relationship Id="rId8699" Type="http://schemas.openxmlformats.org/officeDocument/2006/relationships/hyperlink" Target="https://ref.ly/Matt5:3-Matt5:12" TargetMode="External"/><Relationship Id="rId8700" Type="http://schemas.openxmlformats.org/officeDocument/2006/relationships/hyperlink" Target="https://ref.ly/John3:15" TargetMode="External"/><Relationship Id="rId8701" Type="http://schemas.openxmlformats.org/officeDocument/2006/relationships/hyperlink" Target="https://ref.ly/John3:36" TargetMode="External"/><Relationship Id="rId8702" Type="http://schemas.openxmlformats.org/officeDocument/2006/relationships/hyperlink" Target="https://ref.ly/John5:29,John5:39" TargetMode="External"/><Relationship Id="rId8703" Type="http://schemas.openxmlformats.org/officeDocument/2006/relationships/hyperlink" Target="https://ref.ly/John6:27" TargetMode="External"/><Relationship Id="rId8704" Type="http://schemas.openxmlformats.org/officeDocument/2006/relationships/hyperlink" Target="https://ref.ly/John12:25" TargetMode="External"/><Relationship Id="rId8705" Type="http://schemas.openxmlformats.org/officeDocument/2006/relationships/hyperlink" Target="https://ref.ly/John11:24" TargetMode="External"/><Relationship Id="rId8706" Type="http://schemas.openxmlformats.org/officeDocument/2006/relationships/hyperlink" Target="https://ref.ly/John11:25-John11:26" TargetMode="External"/><Relationship Id="rId8707" Type="http://schemas.openxmlformats.org/officeDocument/2006/relationships/hyperlink" Target="https://ref.ly/John4:10-John4:14" TargetMode="External"/><Relationship Id="rId8708" Type="http://schemas.openxmlformats.org/officeDocument/2006/relationships/hyperlink" Target="https://ref.ly/John6:35-John6:40" TargetMode="External"/><Relationship Id="rId8709" Type="http://schemas.openxmlformats.org/officeDocument/2006/relationships/hyperlink" Target="https://ref.ly/John10:10" TargetMode="External"/><Relationship Id="rId8710" Type="http://schemas.openxmlformats.org/officeDocument/2006/relationships/hyperlink" Target="https://ref.ly/John15:5" TargetMode="External"/><Relationship Id="rId8711" Type="http://schemas.openxmlformats.org/officeDocument/2006/relationships/hyperlink" Target="https://ref.ly/John5:26-John5:29" TargetMode="External"/><Relationship Id="rId8712" Type="http://schemas.openxmlformats.org/officeDocument/2006/relationships/hyperlink" Target="https://ref.ly/Gen4:1" TargetMode="External"/><Relationship Id="rId8713" Type="http://schemas.openxmlformats.org/officeDocument/2006/relationships/hyperlink" Target="https://ref.ly/John10:14-John10:15" TargetMode="External"/><Relationship Id="rId8714" Type="http://schemas.openxmlformats.org/officeDocument/2006/relationships/hyperlink" Target="https://ref.ly/John14:7" TargetMode="External"/><Relationship Id="rId8715" Type="http://schemas.openxmlformats.org/officeDocument/2006/relationships/hyperlink" Target="https://ref.ly/Acts9:2" TargetMode="External"/><Relationship Id="rId8716" Type="http://schemas.openxmlformats.org/officeDocument/2006/relationships/hyperlink" Target="https://ref.ly/Acts19:9,Acts19:23" TargetMode="External"/><Relationship Id="rId8717" Type="http://schemas.openxmlformats.org/officeDocument/2006/relationships/hyperlink" Target="https://ref.ly/Acts24:14,Acts24:22" TargetMode="External"/><Relationship Id="rId8718" Type="http://schemas.openxmlformats.org/officeDocument/2006/relationships/hyperlink" Target="https://ref.ly/Gen24:24,Gen24:29" TargetMode="External"/><Relationship Id="rId8719" Type="http://schemas.openxmlformats.org/officeDocument/2006/relationships/hyperlink" Target="https://ref.ly/Gen24:15,Gen24:29" TargetMode="External"/><Relationship Id="rId8720" Type="http://schemas.openxmlformats.org/officeDocument/2006/relationships/hyperlink" Target="https://ref.ly/Gen29:16" TargetMode="External"/><Relationship Id="rId8721" Type="http://schemas.openxmlformats.org/officeDocument/2006/relationships/hyperlink" Target="https://ref.ly/Gen24:29-Gen24:33,Gen24:54" TargetMode="External"/><Relationship Id="rId8722" Type="http://schemas.openxmlformats.org/officeDocument/2006/relationships/hyperlink" Target="https://ref.ly/Gen24:50-Gen24:51" TargetMode="External"/><Relationship Id="rId8723" Type="http://schemas.openxmlformats.org/officeDocument/2006/relationships/hyperlink" Target="https://ref.ly/Gen24:53" TargetMode="External"/><Relationship Id="rId8724" Type="http://schemas.openxmlformats.org/officeDocument/2006/relationships/hyperlink" Target="https://ref.ly/Gen29:13" TargetMode="External"/><Relationship Id="rId8725" Type="http://schemas.openxmlformats.org/officeDocument/2006/relationships/hyperlink" Target="https://ref.ly/Gen31:7,Gen31:41" TargetMode="External"/><Relationship Id="rId8726" Type="http://schemas.openxmlformats.org/officeDocument/2006/relationships/hyperlink" Target="https://ref.ly/Gen31:46-Gen31:50" TargetMode="External"/><Relationship Id="rId8727" Type="http://schemas.openxmlformats.org/officeDocument/2006/relationships/hyperlink" Target="https://ref.ly/Gen16:7-Gen16:14" TargetMode="External"/><Relationship Id="rId8728" Type="http://schemas.openxmlformats.org/officeDocument/2006/relationships/hyperlink" Target="https://ref.ly/Gen24:62" TargetMode="External"/><Relationship Id="rId8729" Type="http://schemas.openxmlformats.org/officeDocument/2006/relationships/hyperlink" Target="https://ref.ly/Acts2:3" TargetMode="External"/><Relationship Id="rId8730" Type="http://schemas.openxmlformats.org/officeDocument/2006/relationships/hyperlink" Target="https://ref.ly/Acts2:8-Acts2:11" TargetMode="External"/><Relationship Id="rId8731" Type="http://schemas.openxmlformats.org/officeDocument/2006/relationships/hyperlink" Target="https://ref.ly/Acts10:46" TargetMode="External"/><Relationship Id="rId8732" Type="http://schemas.openxmlformats.org/officeDocument/2006/relationships/hyperlink" Target="https://ref.ly/Acts19:6" TargetMode="External"/><Relationship Id="rId8733" Type="http://schemas.openxmlformats.org/officeDocument/2006/relationships/hyperlink" Target="https://ref.ly/Acts8:15-Acts8:17" TargetMode="External"/><Relationship Id="rId8734" Type="http://schemas.openxmlformats.org/officeDocument/2006/relationships/hyperlink" Target="https://ref.ly/1Cor12:13" TargetMode="External"/><Relationship Id="rId8735" Type="http://schemas.openxmlformats.org/officeDocument/2006/relationships/hyperlink" Target="https://ref.ly/1Cor12:10" TargetMode="External"/><Relationship Id="rId8736" Type="http://schemas.openxmlformats.org/officeDocument/2006/relationships/hyperlink" Target="https://ref.ly/1Cor14:13" TargetMode="External"/><Relationship Id="rId8737" Type="http://schemas.openxmlformats.org/officeDocument/2006/relationships/hyperlink" Target="https://ref.ly/1Cor12:31" TargetMode="External"/><Relationship Id="rId8738" Type="http://schemas.openxmlformats.org/officeDocument/2006/relationships/hyperlink" Target="https://ref.ly/1Cor14:1,1Cor14:5" TargetMode="External"/><Relationship Id="rId8739" Type="http://schemas.openxmlformats.org/officeDocument/2006/relationships/hyperlink" Target="https://ref.ly/Lev24:10-Lev24:16" TargetMode="External"/><Relationship Id="rId8740" Type="http://schemas.openxmlformats.org/officeDocument/2006/relationships/hyperlink" Target="https://ref.ly/Isa66:3" TargetMode="External"/><Relationship Id="rId8741" Type="http://schemas.openxmlformats.org/officeDocument/2006/relationships/hyperlink" Target="https://ref.ly/2Kgs19:4-2Kgs19:6,2Kgs19:22" TargetMode="External"/><Relationship Id="rId8742" Type="http://schemas.openxmlformats.org/officeDocument/2006/relationships/hyperlink" Target="https://ref.ly/Isa52:5" TargetMode="External"/><Relationship Id="rId8743" Type="http://schemas.openxmlformats.org/officeDocument/2006/relationships/hyperlink" Target="https://ref.ly/Ezek35:12" TargetMode="External"/><Relationship Id="rId8744" Type="http://schemas.openxmlformats.org/officeDocument/2006/relationships/hyperlink" Target="https://ref.ly/Ps74:18" TargetMode="External"/><Relationship Id="rId8745" Type="http://schemas.openxmlformats.org/officeDocument/2006/relationships/hyperlink" Target="https://ref.ly/1Macc2:6" TargetMode="External"/><Relationship Id="rId8746" Type="http://schemas.openxmlformats.org/officeDocument/2006/relationships/hyperlink" Target="https://ref.ly/Rom3:8" TargetMode="External"/><Relationship Id="rId8747" Type="http://schemas.openxmlformats.org/officeDocument/2006/relationships/hyperlink" Target="https://ref.ly/1Cor10:30" TargetMode="External"/><Relationship Id="rId8748" Type="http://schemas.openxmlformats.org/officeDocument/2006/relationships/hyperlink" Target="https://ref.ly/Eph4:31" TargetMode="External"/><Relationship Id="rId8749" Type="http://schemas.openxmlformats.org/officeDocument/2006/relationships/hyperlink" Target="https://ref.ly/Titus3:2" TargetMode="External"/><Relationship Id="rId8750" Type="http://schemas.openxmlformats.org/officeDocument/2006/relationships/hyperlink" Target="https://ref.ly/2Pet2:10-2Pet2:12" TargetMode="External"/><Relationship Id="rId8751" Type="http://schemas.openxmlformats.org/officeDocument/2006/relationships/hyperlink" Target="https://ref.ly/Jude1:8-Jude1:10" TargetMode="External"/><Relationship Id="rId8752" Type="http://schemas.openxmlformats.org/officeDocument/2006/relationships/hyperlink" Target="https://ref.ly/Rev13:6" TargetMode="External"/><Relationship Id="rId8753" Type="http://schemas.openxmlformats.org/officeDocument/2006/relationships/hyperlink" Target="https://ref.ly/Rev16:9" TargetMode="External"/><Relationship Id="rId8754" Type="http://schemas.openxmlformats.org/officeDocument/2006/relationships/hyperlink" Target="https://ref.ly/Titus2:5" TargetMode="External"/><Relationship Id="rId8755" Type="http://schemas.openxmlformats.org/officeDocument/2006/relationships/hyperlink" Target="https://ref.ly/Acts6:11" TargetMode="External"/><Relationship Id="rId8756" Type="http://schemas.openxmlformats.org/officeDocument/2006/relationships/hyperlink" Target="https://ref.ly/Mark2:7" TargetMode="External"/><Relationship Id="rId8757" Type="http://schemas.openxmlformats.org/officeDocument/2006/relationships/hyperlink" Target="https://ref.ly/John10:33-John10:36" TargetMode="External"/><Relationship Id="rId8758" Type="http://schemas.openxmlformats.org/officeDocument/2006/relationships/hyperlink" Target="https://ref.ly/John10:33" TargetMode="External"/><Relationship Id="rId8759" Type="http://schemas.openxmlformats.org/officeDocument/2006/relationships/hyperlink" Target="https://ref.ly/Mark14:64" TargetMode="External"/><Relationship Id="rId8760" Type="http://schemas.openxmlformats.org/officeDocument/2006/relationships/hyperlink" Target="https://ref.ly/Mark3:28-Mark3:29" TargetMode="External"/><Relationship Id="rId8761" Type="http://schemas.openxmlformats.org/officeDocument/2006/relationships/hyperlink" Target="https://ref.ly/John2:5,John2:9" TargetMode="External"/><Relationship Id="rId8762" Type="http://schemas.openxmlformats.org/officeDocument/2006/relationships/hyperlink" Target="https://ref.ly/2Cor6:4" TargetMode="External"/><Relationship Id="rId8763" Type="http://schemas.openxmlformats.org/officeDocument/2006/relationships/hyperlink" Target="https://ref.ly/Col1:24-Col1:25" TargetMode="External"/><Relationship Id="rId8764" Type="http://schemas.openxmlformats.org/officeDocument/2006/relationships/hyperlink" Target="https://ref.ly/Rom13:4" TargetMode="External"/><Relationship Id="rId8765" Type="http://schemas.openxmlformats.org/officeDocument/2006/relationships/hyperlink" Target="https://ref.ly/Matt20:26-Matt20:28" TargetMode="External"/><Relationship Id="rId8766" Type="http://schemas.openxmlformats.org/officeDocument/2006/relationships/hyperlink" Target="https://ref.ly/Luke22:26-Luke22:27" TargetMode="External"/><Relationship Id="rId8767" Type="http://schemas.openxmlformats.org/officeDocument/2006/relationships/hyperlink" Target="https://ref.ly/Matt25:45" TargetMode="External"/><Relationship Id="rId8768" Type="http://schemas.openxmlformats.org/officeDocument/2006/relationships/hyperlink" Target="https://ref.ly/Luke4:20" TargetMode="External"/><Relationship Id="rId8769" Type="http://schemas.openxmlformats.org/officeDocument/2006/relationships/hyperlink" Target="https://ref.ly/1Tim3:8-1Tim3:13" TargetMode="External"/><Relationship Id="rId8770" Type="http://schemas.openxmlformats.org/officeDocument/2006/relationships/hyperlink" Target="https://ref.ly/Acts6:3" TargetMode="External"/><Relationship Id="rId8771" Type="http://schemas.openxmlformats.org/officeDocument/2006/relationships/hyperlink" Target="https://ref.ly/Acts6:2" TargetMode="External"/><Relationship Id="rId8772" Type="http://schemas.openxmlformats.org/officeDocument/2006/relationships/hyperlink" Target="https://ref.ly/Acts6:4" TargetMode="External"/><Relationship Id="rId8773" Type="http://schemas.openxmlformats.org/officeDocument/2006/relationships/hyperlink" Target="https://ref.ly/Acts8:38" TargetMode="External"/><Relationship Id="rId8774" Type="http://schemas.openxmlformats.org/officeDocument/2006/relationships/hyperlink" Target="https://ref.ly/Phil4:14-Phil4:18" TargetMode="External"/><Relationship Id="rId8775" Type="http://schemas.openxmlformats.org/officeDocument/2006/relationships/hyperlink" Target="https://ref.ly/1Tim3:11" TargetMode="External"/><Relationship Id="rId8776" Type="http://schemas.openxmlformats.org/officeDocument/2006/relationships/hyperlink" Target="https://ref.ly/1Tim3:13" TargetMode="External"/><Relationship Id="rId8777" Type="http://schemas.openxmlformats.org/officeDocument/2006/relationships/hyperlink" Target="https://ref.ly/Num11:16-Num11:17" TargetMode="External"/><Relationship Id="rId8778" Type="http://schemas.openxmlformats.org/officeDocument/2006/relationships/hyperlink" Target="https://ref.ly/Deut29:10" TargetMode="External"/><Relationship Id="rId8779" Type="http://schemas.openxmlformats.org/officeDocument/2006/relationships/hyperlink" Target="https://ref.ly/Rom16:2" TargetMode="External"/><Relationship Id="rId8780" Type="http://schemas.openxmlformats.org/officeDocument/2006/relationships/hyperlink" Target="https://ref.ly/1Tim3:4-1Tim3:5" TargetMode="External"/><Relationship Id="rId8781" Type="http://schemas.openxmlformats.org/officeDocument/2006/relationships/hyperlink" Target="https://ref.ly/Deut22:27" TargetMode="External"/><Relationship Id="rId8782" Type="http://schemas.openxmlformats.org/officeDocument/2006/relationships/hyperlink" Target="https://ref.ly/Judg3:9,Judg3:15" TargetMode="External"/><Relationship Id="rId8783" Type="http://schemas.openxmlformats.org/officeDocument/2006/relationships/hyperlink" Target="https://ref.ly/Neh9:27" TargetMode="External"/><Relationship Id="rId8784" Type="http://schemas.openxmlformats.org/officeDocument/2006/relationships/hyperlink" Target="https://ref.ly/2Kgs13:5" TargetMode="External"/><Relationship Id="rId8785" Type="http://schemas.openxmlformats.org/officeDocument/2006/relationships/hyperlink" Target="https://ref.ly/Ps17:7" TargetMode="External"/><Relationship Id="rId8786" Type="http://schemas.openxmlformats.org/officeDocument/2006/relationships/hyperlink" Target="https://ref.ly/Ps106:1-Ps106:12" TargetMode="External"/><Relationship Id="rId8787" Type="http://schemas.openxmlformats.org/officeDocument/2006/relationships/hyperlink" Target="https://ref.ly/Jer14:8" TargetMode="External"/><Relationship Id="rId8788" Type="http://schemas.openxmlformats.org/officeDocument/2006/relationships/hyperlink" Target="https://ref.ly/2Sam22:3" TargetMode="External"/><Relationship Id="rId8789" Type="http://schemas.openxmlformats.org/officeDocument/2006/relationships/hyperlink" Target="https://ref.ly/Ps27:9" TargetMode="External"/><Relationship Id="rId8790" Type="http://schemas.openxmlformats.org/officeDocument/2006/relationships/hyperlink" Target="https://ref.ly/Ps38:22" TargetMode="External"/><Relationship Id="rId8791" Type="http://schemas.openxmlformats.org/officeDocument/2006/relationships/hyperlink" Target="https://ref.ly/Ps42:5,Ps42:11" TargetMode="External"/><Relationship Id="rId8792" Type="http://schemas.openxmlformats.org/officeDocument/2006/relationships/hyperlink" Target="https://ref.ly/Ps65:5" TargetMode="External"/><Relationship Id="rId8793" Type="http://schemas.openxmlformats.org/officeDocument/2006/relationships/hyperlink" Target="https://ref.ly/Ps68:19" TargetMode="External"/><Relationship Id="rId8794" Type="http://schemas.openxmlformats.org/officeDocument/2006/relationships/hyperlink" Target="https://ref.ly/Ps85:4" TargetMode="External"/><Relationship Id="rId8795" Type="http://schemas.openxmlformats.org/officeDocument/2006/relationships/hyperlink" Target="https://ref.ly/Ps106:21" TargetMode="External"/><Relationship Id="rId8796" Type="http://schemas.openxmlformats.org/officeDocument/2006/relationships/hyperlink" Target="https://ref.ly/Isa63:11" TargetMode="External"/><Relationship Id="rId8797" Type="http://schemas.openxmlformats.org/officeDocument/2006/relationships/hyperlink" Target="https://ref.ly/Hos13:4-Hos13:6" TargetMode="External"/><Relationship Id="rId8798" Type="http://schemas.openxmlformats.org/officeDocument/2006/relationships/hyperlink" Target="https://ref.ly/Isa43:11-Isa43:12" TargetMode="External"/><Relationship Id="rId8799" Type="http://schemas.openxmlformats.org/officeDocument/2006/relationships/hyperlink" Target="https://ref.ly/Isa60:16" TargetMode="External"/><Relationship Id="rId8800" Type="http://schemas.openxmlformats.org/officeDocument/2006/relationships/hyperlink" Target="https://ref.ly/Bar4:22" TargetMode="External"/><Relationship Id="rId8801" Type="http://schemas.openxmlformats.org/officeDocument/2006/relationships/hyperlink" Target="https://ref.ly/3Macc7:16" TargetMode="External"/><Relationship Id="rId8802" Type="http://schemas.openxmlformats.org/officeDocument/2006/relationships/hyperlink" Target="https://ref.ly/Luke1:47" TargetMode="External"/><Relationship Id="rId8803" Type="http://schemas.openxmlformats.org/officeDocument/2006/relationships/hyperlink" Target="https://ref.ly/Acts13:23" TargetMode="External"/><Relationship Id="rId8804" Type="http://schemas.openxmlformats.org/officeDocument/2006/relationships/hyperlink" Target="https://ref.ly/Titus3:4" TargetMode="External"/><Relationship Id="rId8805" Type="http://schemas.openxmlformats.org/officeDocument/2006/relationships/hyperlink" Target="https://ref.ly/Titus2:13-Titus2:14" TargetMode="External"/><Relationship Id="rId8806" Type="http://schemas.openxmlformats.org/officeDocument/2006/relationships/hyperlink" Target="https://ref.ly/2Tim1:10" TargetMode="External"/><Relationship Id="rId8807" Type="http://schemas.openxmlformats.org/officeDocument/2006/relationships/hyperlink" Target="https://ref.ly/Luke2:11" TargetMode="External"/><Relationship Id="rId8808" Type="http://schemas.openxmlformats.org/officeDocument/2006/relationships/hyperlink" Target="https://ref.ly/John4:42" TargetMode="External"/><Relationship Id="rId8809" Type="http://schemas.openxmlformats.org/officeDocument/2006/relationships/hyperlink" Target="https://ref.ly/Acts5:31" TargetMode="External"/><Relationship Id="rId8810" Type="http://schemas.openxmlformats.org/officeDocument/2006/relationships/hyperlink" Target="https://ref.ly/Phil3:20" TargetMode="External"/><Relationship Id="rId8811" Type="http://schemas.openxmlformats.org/officeDocument/2006/relationships/hyperlink" Target="https://ref.ly/1Tim2:3" TargetMode="External"/><Relationship Id="rId8812" Type="http://schemas.openxmlformats.org/officeDocument/2006/relationships/hyperlink" Target="https://ref.ly/1Tim4:10" TargetMode="External"/><Relationship Id="rId8813" Type="http://schemas.openxmlformats.org/officeDocument/2006/relationships/hyperlink" Target="https://ref.ly/Titus3:6" TargetMode="External"/><Relationship Id="rId8814" Type="http://schemas.openxmlformats.org/officeDocument/2006/relationships/hyperlink" Target="https://ref.ly/Titus2:13" TargetMode="External"/><Relationship Id="rId8815" Type="http://schemas.openxmlformats.org/officeDocument/2006/relationships/hyperlink" Target="https://ref.ly/Titus3:4-Titus3:6" TargetMode="External"/><Relationship Id="rId8816" Type="http://schemas.openxmlformats.org/officeDocument/2006/relationships/hyperlink" Target="https://ref.ly/2Pet2:20" TargetMode="External"/><Relationship Id="rId8817" Type="http://schemas.openxmlformats.org/officeDocument/2006/relationships/hyperlink" Target="https://ref.ly/1John4:14" TargetMode="External"/><Relationship Id="rId8818" Type="http://schemas.openxmlformats.org/officeDocument/2006/relationships/hyperlink" Target="https://ref.ly/Gen27:5-Gen27:40" TargetMode="External"/><Relationship Id="rId8819" Type="http://schemas.openxmlformats.org/officeDocument/2006/relationships/hyperlink" Target="https://ref.ly/Gen27:46-Gen28:2" TargetMode="External"/><Relationship Id="rId8820" Type="http://schemas.openxmlformats.org/officeDocument/2006/relationships/hyperlink" Target="https://ref.ly/Gen28:2" TargetMode="External"/><Relationship Id="rId8821" Type="http://schemas.openxmlformats.org/officeDocument/2006/relationships/hyperlink" Target="https://ref.ly/Gen29:17-Gen29:18" TargetMode="External"/><Relationship Id="rId8822" Type="http://schemas.openxmlformats.org/officeDocument/2006/relationships/hyperlink" Target="https://ref.ly/Gen29:21-Gen29:25" TargetMode="External"/><Relationship Id="rId8823" Type="http://schemas.openxmlformats.org/officeDocument/2006/relationships/hyperlink" Target="https://ref.ly/Gen29:26" TargetMode="External"/><Relationship Id="rId8824" Type="http://schemas.openxmlformats.org/officeDocument/2006/relationships/hyperlink" Target="https://ref.ly/Gen29:17" TargetMode="External"/><Relationship Id="rId8825" Type="http://schemas.openxmlformats.org/officeDocument/2006/relationships/hyperlink" Target="https://ref.ly/Gen29:20" TargetMode="External"/><Relationship Id="rId8826" Type="http://schemas.openxmlformats.org/officeDocument/2006/relationships/hyperlink" Target="https://ref.ly/Gen29:31-Gen30:22" TargetMode="External"/><Relationship Id="rId8827" Type="http://schemas.openxmlformats.org/officeDocument/2006/relationships/hyperlink" Target="https://ref.ly/Gen30:14-Gen30:17" TargetMode="External"/><Relationship Id="rId8828" Type="http://schemas.openxmlformats.org/officeDocument/2006/relationships/hyperlink" Target="https://ref.ly/2Sam7:16" TargetMode="External"/><Relationship Id="rId8829" Type="http://schemas.openxmlformats.org/officeDocument/2006/relationships/hyperlink" Target="https://ref.ly/Acts21:38" TargetMode="External"/><Relationship Id="rId8830" Type="http://schemas.openxmlformats.org/officeDocument/2006/relationships/hyperlink" Target="https://ref.ly/Dan11:43" TargetMode="External"/><Relationship Id="rId8831" Type="http://schemas.openxmlformats.org/officeDocument/2006/relationships/hyperlink" Target="https://ref.ly/Nah3:9" TargetMode="External"/><Relationship Id="rId8832" Type="http://schemas.openxmlformats.org/officeDocument/2006/relationships/hyperlink" Target="https://ref.ly/2Chr12:3" TargetMode="External"/><Relationship Id="rId8833" Type="http://schemas.openxmlformats.org/officeDocument/2006/relationships/hyperlink" Target="https://ref.ly/2Chr16:8" TargetMode="External"/><Relationship Id="rId8834" Type="http://schemas.openxmlformats.org/officeDocument/2006/relationships/hyperlink" Target="https://ref.ly/Gen4:23-Gen4:24" TargetMode="External"/><Relationship Id="rId8835" Type="http://schemas.openxmlformats.org/officeDocument/2006/relationships/hyperlink" Target="https://ref.ly/Gen4:8-Gen4:12" TargetMode="External"/><Relationship Id="rId8836" Type="http://schemas.openxmlformats.org/officeDocument/2006/relationships/hyperlink" Target="https://ref.ly/Matt18:22" TargetMode="External"/><Relationship Id="rId8837" Type="http://schemas.openxmlformats.org/officeDocument/2006/relationships/hyperlink" Target="https://ref.ly/Gen5:25-Gen5:31" TargetMode="External"/><Relationship Id="rId8838" Type="http://schemas.openxmlformats.org/officeDocument/2006/relationships/hyperlink" Target="https://ref.ly/2Chr26:11" TargetMode="External"/><Relationship Id="rId8839" Type="http://schemas.openxmlformats.org/officeDocument/2006/relationships/hyperlink" Target="https://ref.ly/Jer36:18" TargetMode="External"/><Relationship Id="rId8840" Type="http://schemas.openxmlformats.org/officeDocument/2006/relationships/hyperlink" Target="https://ref.ly/1Kgs4:3" TargetMode="External"/><Relationship Id="rId8841" Type="http://schemas.openxmlformats.org/officeDocument/2006/relationships/hyperlink" Target="https://ref.ly/2Chr24:11" TargetMode="External"/><Relationship Id="rId8842" Type="http://schemas.openxmlformats.org/officeDocument/2006/relationships/hyperlink" Target="https://ref.ly/2Sam8:16-2Sam8:17" TargetMode="External"/><Relationship Id="rId8843" Type="http://schemas.openxmlformats.org/officeDocument/2006/relationships/hyperlink" Target="https://ref.ly/2Kgs18:18" TargetMode="External"/><Relationship Id="rId8844" Type="http://schemas.openxmlformats.org/officeDocument/2006/relationships/hyperlink" Target="https://ref.ly/2Kgs22:12" TargetMode="External"/><Relationship Id="rId8845" Type="http://schemas.openxmlformats.org/officeDocument/2006/relationships/hyperlink" Target="https://ref.ly/1Chr27:32" TargetMode="External"/><Relationship Id="rId8846" Type="http://schemas.openxmlformats.org/officeDocument/2006/relationships/hyperlink" Target="https://ref.ly/Isa36:3" TargetMode="External"/><Relationship Id="rId8847" Type="http://schemas.openxmlformats.org/officeDocument/2006/relationships/hyperlink" Target="https://ref.ly/2Kgs22:3-2Kgs22:4" TargetMode="External"/><Relationship Id="rId8848" Type="http://schemas.openxmlformats.org/officeDocument/2006/relationships/hyperlink" Target="https://ref.ly/2Chr34:13-2Chr34:15" TargetMode="External"/><Relationship Id="rId8849" Type="http://schemas.openxmlformats.org/officeDocument/2006/relationships/hyperlink" Target="https://ref.ly/Sir38:24-Sir38:34" TargetMode="External"/><Relationship Id="rId8850" Type="http://schemas.openxmlformats.org/officeDocument/2006/relationships/hyperlink" Target="https://ref.ly/Sir39:1" TargetMode="External"/><Relationship Id="rId8851" Type="http://schemas.openxmlformats.org/officeDocument/2006/relationships/hyperlink" Target="https://ref.ly/Sir39:2-Sir39:3" TargetMode="External"/><Relationship Id="rId8852" Type="http://schemas.openxmlformats.org/officeDocument/2006/relationships/hyperlink" Target="https://ref.ly/Sir38:33" TargetMode="External"/><Relationship Id="rId8853" Type="http://schemas.openxmlformats.org/officeDocument/2006/relationships/hyperlink" Target="https://ref.ly/Sir39:4-Sir39:8" TargetMode="External"/><Relationship Id="rId8854" Type="http://schemas.openxmlformats.org/officeDocument/2006/relationships/hyperlink" Target="https://ref.ly/Sir39:9" TargetMode="External"/><Relationship Id="rId8855" Type="http://schemas.openxmlformats.org/officeDocument/2006/relationships/hyperlink" Target="https://ref.ly/Matt12:38" TargetMode="External"/><Relationship Id="rId8856" Type="http://schemas.openxmlformats.org/officeDocument/2006/relationships/hyperlink" Target="https://ref.ly/Matt15:1" TargetMode="External"/><Relationship Id="rId8857" Type="http://schemas.openxmlformats.org/officeDocument/2006/relationships/hyperlink" Target="https://ref.ly/Mark7:5" TargetMode="External"/><Relationship Id="rId8858" Type="http://schemas.openxmlformats.org/officeDocument/2006/relationships/hyperlink" Target="https://ref.ly/Luke6:7" TargetMode="External"/><Relationship Id="rId8859" Type="http://schemas.openxmlformats.org/officeDocument/2006/relationships/hyperlink" Target="https://ref.ly/Mark7:6-Mark7:13" TargetMode="External"/><Relationship Id="rId8860" Type="http://schemas.openxmlformats.org/officeDocument/2006/relationships/hyperlink" Target="https://ref.ly/Matt26:57" TargetMode="External"/><Relationship Id="rId8861" Type="http://schemas.openxmlformats.org/officeDocument/2006/relationships/hyperlink" Target="https://ref.ly/Mark14:43,Mark14:53" TargetMode="External"/><Relationship Id="rId8862" Type="http://schemas.openxmlformats.org/officeDocument/2006/relationships/hyperlink" Target="https://ref.ly/Luke22:66" TargetMode="External"/><Relationship Id="rId8863" Type="http://schemas.openxmlformats.org/officeDocument/2006/relationships/hyperlink" Target="https://ref.ly/Acts23:9" TargetMode="External"/><Relationship Id="rId8864" Type="http://schemas.openxmlformats.org/officeDocument/2006/relationships/hyperlink" Target="https://ref.ly/Luke2:46" TargetMode="External"/><Relationship Id="rId8865" Type="http://schemas.openxmlformats.org/officeDocument/2006/relationships/hyperlink" Target="https://ref.ly/Mark12:38" TargetMode="External"/><Relationship Id="rId8866" Type="http://schemas.openxmlformats.org/officeDocument/2006/relationships/hyperlink" Target="https://ref.ly/Matt23:7" TargetMode="External"/><Relationship Id="rId8867" Type="http://schemas.openxmlformats.org/officeDocument/2006/relationships/hyperlink" Target="https://ref.ly/Matt23:2" TargetMode="External"/><Relationship Id="rId8868" Type="http://schemas.openxmlformats.org/officeDocument/2006/relationships/hyperlink" Target="https://ref.ly/Matt9:1-Matt9:3" TargetMode="External"/><Relationship Id="rId8869" Type="http://schemas.openxmlformats.org/officeDocument/2006/relationships/hyperlink" Target="https://ref.ly/Luke5:17-Luke5:26" TargetMode="External"/><Relationship Id="rId8870" Type="http://schemas.openxmlformats.org/officeDocument/2006/relationships/hyperlink" Target="https://ref.ly/Luke6:1-Luke6:2" TargetMode="External"/><Relationship Id="rId8871" Type="http://schemas.openxmlformats.org/officeDocument/2006/relationships/hyperlink" Target="https://ref.ly/Luke6:6-Luke6:11" TargetMode="External"/><Relationship Id="rId8872" Type="http://schemas.openxmlformats.org/officeDocument/2006/relationships/hyperlink" Target="https://ref.ly/Mark7:2-Mark7:5" TargetMode="External"/><Relationship Id="rId8873" Type="http://schemas.openxmlformats.org/officeDocument/2006/relationships/hyperlink" Target="https://ref.ly/Luke5:33-Luke5:39" TargetMode="External"/><Relationship Id="rId8874" Type="http://schemas.openxmlformats.org/officeDocument/2006/relationships/hyperlink" Target="https://ref.ly/Mark2:16-Mark2:17" TargetMode="External"/><Relationship Id="rId8875" Type="http://schemas.openxmlformats.org/officeDocument/2006/relationships/hyperlink" Target="https://ref.ly/Luke15:1-Luke15:2" TargetMode="External"/><Relationship Id="rId8876" Type="http://schemas.openxmlformats.org/officeDocument/2006/relationships/hyperlink" Target="https://ref.ly/Mark12:28,Mark12:35" TargetMode="External"/><Relationship Id="rId8877" Type="http://schemas.openxmlformats.org/officeDocument/2006/relationships/hyperlink" Target="https://ref.ly/Luke11:53" TargetMode="External"/><Relationship Id="rId8878" Type="http://schemas.openxmlformats.org/officeDocument/2006/relationships/hyperlink" Target="https://ref.ly/John8:3-John8:4" TargetMode="External"/><Relationship Id="rId8879" Type="http://schemas.openxmlformats.org/officeDocument/2006/relationships/hyperlink" Target="https://ref.ly/Mark3:22" TargetMode="External"/><Relationship Id="rId8880" Type="http://schemas.openxmlformats.org/officeDocument/2006/relationships/hyperlink" Target="https://ref.ly/Luke20:1-Luke20:4" TargetMode="External"/><Relationship Id="rId8881" Type="http://schemas.openxmlformats.org/officeDocument/2006/relationships/hyperlink" Target="https://ref.ly/Matt8:19" TargetMode="External"/><Relationship Id="rId8882" Type="http://schemas.openxmlformats.org/officeDocument/2006/relationships/hyperlink" Target="https://ref.ly/Matt13:52" TargetMode="External"/><Relationship Id="rId8883" Type="http://schemas.openxmlformats.org/officeDocument/2006/relationships/hyperlink" Target="https://ref.ly/John3:1-John3:2" TargetMode="External"/><Relationship Id="rId8884" Type="http://schemas.openxmlformats.org/officeDocument/2006/relationships/hyperlink" Target="https://ref.ly/Matt7:29" TargetMode="External"/><Relationship Id="rId8885" Type="http://schemas.openxmlformats.org/officeDocument/2006/relationships/hyperlink" Target="https://ref.ly/Matt21:15" TargetMode="External"/><Relationship Id="rId8886" Type="http://schemas.openxmlformats.org/officeDocument/2006/relationships/hyperlink" Target="https://ref.ly/Mark11:18" TargetMode="External"/><Relationship Id="rId8887" Type="http://schemas.openxmlformats.org/officeDocument/2006/relationships/hyperlink" Target="https://ref.ly/Matt23:5-Matt23:7" TargetMode="External"/><Relationship Id="rId8888" Type="http://schemas.openxmlformats.org/officeDocument/2006/relationships/hyperlink" Target="https://ref.ly/Mark12:38-Mark12:39" TargetMode="External"/><Relationship Id="rId8889" Type="http://schemas.openxmlformats.org/officeDocument/2006/relationships/hyperlink" Target="https://ref.ly/Luke11:43" TargetMode="External"/><Relationship Id="rId8890" Type="http://schemas.openxmlformats.org/officeDocument/2006/relationships/hyperlink" Target="https://ref.ly/Matt23:25-Matt23:28" TargetMode="External"/><Relationship Id="rId8891" Type="http://schemas.openxmlformats.org/officeDocument/2006/relationships/hyperlink" Target="https://ref.ly/Luke11:39-Luke11:41" TargetMode="External"/><Relationship Id="rId8892" Type="http://schemas.openxmlformats.org/officeDocument/2006/relationships/hyperlink" Target="https://ref.ly/Matt23:2-Matt23:4,Matt23:13-Matt23:22" TargetMode="External"/><Relationship Id="rId8893" Type="http://schemas.openxmlformats.org/officeDocument/2006/relationships/hyperlink" Target="https://ref.ly/Luke11:46" TargetMode="External"/><Relationship Id="rId8894" Type="http://schemas.openxmlformats.org/officeDocument/2006/relationships/hyperlink" Target="https://ref.ly/Matt23:23-Matt23:24" TargetMode="External"/><Relationship Id="rId8895" Type="http://schemas.openxmlformats.org/officeDocument/2006/relationships/hyperlink" Target="https://ref.ly/Mark12:40" TargetMode="External"/><Relationship Id="rId8896" Type="http://schemas.openxmlformats.org/officeDocument/2006/relationships/hyperlink" Target="https://ref.ly/Matt23:29-Matt23:36" TargetMode="External"/><Relationship Id="rId8897" Type="http://schemas.openxmlformats.org/officeDocument/2006/relationships/hyperlink" Target="https://ref.ly/Luke20:9-Luke20:19" TargetMode="External"/><Relationship Id="rId8898" Type="http://schemas.openxmlformats.org/officeDocument/2006/relationships/hyperlink" Target="https://ref.ly/Mark14:1" TargetMode="External"/><Relationship Id="rId8899" Type="http://schemas.openxmlformats.org/officeDocument/2006/relationships/hyperlink" Target="https://ref.ly/Mark14:43" TargetMode="External"/><Relationship Id="rId8900" Type="http://schemas.openxmlformats.org/officeDocument/2006/relationships/hyperlink" Target="https://ref.ly/Matt26:57-Matt26:66" TargetMode="External"/><Relationship Id="rId8901" Type="http://schemas.openxmlformats.org/officeDocument/2006/relationships/hyperlink" Target="https://ref.ly/Luke23:10" TargetMode="External"/><Relationship Id="rId8902" Type="http://schemas.openxmlformats.org/officeDocument/2006/relationships/hyperlink" Target="https://ref.ly/Matt27:41-Matt27:43" TargetMode="External"/><Relationship Id="rId8903" Type="http://schemas.openxmlformats.org/officeDocument/2006/relationships/hyperlink" Target="https://ref.ly/Acts6:12-Acts6:14" TargetMode="External"/><Relationship Id="rId8904" Type="http://schemas.openxmlformats.org/officeDocument/2006/relationships/hyperlink" Target="https://ref.ly/Gal1:15" TargetMode="External"/><Relationship Id="rId8905" Type="http://schemas.openxmlformats.org/officeDocument/2006/relationships/hyperlink" Target="https://ref.ly/2Cor8:1" TargetMode="External"/><Relationship Id="rId8906" Type="http://schemas.openxmlformats.org/officeDocument/2006/relationships/hyperlink" Target="https://ref.ly/2Cor9:2" TargetMode="External"/><Relationship Id="rId8907" Type="http://schemas.openxmlformats.org/officeDocument/2006/relationships/hyperlink" Target="https://ref.ly/1Thess4:10" TargetMode="External"/><Relationship Id="rId8908" Type="http://schemas.openxmlformats.org/officeDocument/2006/relationships/hyperlink" Target="https://ref.ly/1Cor16:15" TargetMode="External"/><Relationship Id="rId8909" Type="http://schemas.openxmlformats.org/officeDocument/2006/relationships/hyperlink" Target="https://ref.ly/1Thess1:7" TargetMode="External"/><Relationship Id="rId8910" Type="http://schemas.openxmlformats.org/officeDocument/2006/relationships/hyperlink" Target="https://ref.ly/Gal4:13" TargetMode="External"/><Relationship Id="rId8911" Type="http://schemas.openxmlformats.org/officeDocument/2006/relationships/hyperlink" Target="https://ref.ly/Gal1:1-Gal2:21" TargetMode="External"/><Relationship Id="rId8912" Type="http://schemas.openxmlformats.org/officeDocument/2006/relationships/hyperlink" Target="https://ref.ly/Acts11:29-Acts11:30" TargetMode="External"/><Relationship Id="rId8913" Type="http://schemas.openxmlformats.org/officeDocument/2006/relationships/hyperlink" Target="https://ref.ly/Acts15:20" TargetMode="External"/><Relationship Id="rId8914" Type="http://schemas.openxmlformats.org/officeDocument/2006/relationships/hyperlink" Target="https://ref.ly/Gal2:11-Gal2:14" TargetMode="External"/><Relationship Id="rId8915" Type="http://schemas.openxmlformats.org/officeDocument/2006/relationships/hyperlink" Target="https://ref.ly/Acts2:2" TargetMode="External"/><Relationship Id="rId8916" Type="http://schemas.openxmlformats.org/officeDocument/2006/relationships/hyperlink" Target="https://ref.ly/Gal5:13" TargetMode="External"/><Relationship Id="rId8917" Type="http://schemas.openxmlformats.org/officeDocument/2006/relationships/hyperlink" Target="https://ref.ly/Gal1:1-Gal1:5" TargetMode="External"/><Relationship Id="rId8918" Type="http://schemas.openxmlformats.org/officeDocument/2006/relationships/hyperlink" Target="https://ref.ly/Gal1:6-Gal1:10" TargetMode="External"/><Relationship Id="rId8919" Type="http://schemas.openxmlformats.org/officeDocument/2006/relationships/hyperlink" Target="https://ref.ly/Gal1:11-Gal2:14" TargetMode="External"/><Relationship Id="rId8920" Type="http://schemas.openxmlformats.org/officeDocument/2006/relationships/hyperlink" Target="https://ref.ly/Gal1:11-Gal1:12" TargetMode="External"/><Relationship Id="rId8921" Type="http://schemas.openxmlformats.org/officeDocument/2006/relationships/hyperlink" Target="https://ref.ly/Gal1:13-Gal1:17" TargetMode="External"/><Relationship Id="rId8922" Type="http://schemas.openxmlformats.org/officeDocument/2006/relationships/hyperlink" Target="https://ref.ly/Gal1:18-Gal2:10" TargetMode="External"/><Relationship Id="rId8923" Type="http://schemas.openxmlformats.org/officeDocument/2006/relationships/hyperlink" Target="https://ref.ly/Gal2:15-Gal4:31" TargetMode="External"/><Relationship Id="rId8924" Type="http://schemas.openxmlformats.org/officeDocument/2006/relationships/hyperlink" Target="https://ref.ly/Gal3:1-Gal3:5" TargetMode="External"/><Relationship Id="rId8925" Type="http://schemas.openxmlformats.org/officeDocument/2006/relationships/hyperlink" Target="https://ref.ly/Gal3:10-Gal3:14" TargetMode="External"/><Relationship Id="rId8926" Type="http://schemas.openxmlformats.org/officeDocument/2006/relationships/hyperlink" Target="https://ref.ly/Gal3:19-Gal3:29" TargetMode="External"/><Relationship Id="rId8927" Type="http://schemas.openxmlformats.org/officeDocument/2006/relationships/hyperlink" Target="https://ref.ly/Gal4:1-Gal4:7" TargetMode="External"/><Relationship Id="rId8928" Type="http://schemas.openxmlformats.org/officeDocument/2006/relationships/hyperlink" Target="https://ref.ly/Gal4:8-Gal4:20" TargetMode="External"/><Relationship Id="rId8929" Type="http://schemas.openxmlformats.org/officeDocument/2006/relationships/hyperlink" Target="https://ref.ly/Gal5:1-Gal6:10" TargetMode="External"/><Relationship Id="rId8930" Type="http://schemas.openxmlformats.org/officeDocument/2006/relationships/hyperlink" Target="https://ref.ly/Gal5:1-Gal5:6" TargetMode="External"/><Relationship Id="rId8931" Type="http://schemas.openxmlformats.org/officeDocument/2006/relationships/hyperlink" Target="https://ref.ly/Gal5:7-Gal5:12" TargetMode="External"/><Relationship Id="rId8932" Type="http://schemas.openxmlformats.org/officeDocument/2006/relationships/hyperlink" Target="https://ref.ly/Gal5:13-Gal5:26" TargetMode="External"/><Relationship Id="rId8933" Type="http://schemas.openxmlformats.org/officeDocument/2006/relationships/hyperlink" Target="https://ref.ly/Gal6:1-Gal6:10" TargetMode="External"/><Relationship Id="rId8934" Type="http://schemas.openxmlformats.org/officeDocument/2006/relationships/hyperlink" Target="https://ref.ly/Gal6:11-Gal6:18" TargetMode="External"/><Relationship Id="rId8935" Type="http://schemas.openxmlformats.org/officeDocument/2006/relationships/hyperlink" Target="https://ref.ly/Rom1:5,Rom1:10" TargetMode="External"/><Relationship Id="rId8936" Type="http://schemas.openxmlformats.org/officeDocument/2006/relationships/hyperlink" Target="https://ref.ly/Rom16:22" TargetMode="External"/><Relationship Id="rId8937" Type="http://schemas.openxmlformats.org/officeDocument/2006/relationships/hyperlink" Target="https://ref.ly/Rom1:7" TargetMode="External"/><Relationship Id="rId8938" Type="http://schemas.openxmlformats.org/officeDocument/2006/relationships/hyperlink" Target="https://ref.ly/Rom15:23-Rom15:28" TargetMode="External"/><Relationship Id="rId8939" Type="http://schemas.openxmlformats.org/officeDocument/2006/relationships/hyperlink" Target="https://ref.ly/Acts20:2,Acts20:23" TargetMode="External"/><Relationship Id="rId8940" Type="http://schemas.openxmlformats.org/officeDocument/2006/relationships/hyperlink" Target="https://ref.ly/Rom16:21,Rom16:23" TargetMode="External"/><Relationship Id="rId8941" Type="http://schemas.openxmlformats.org/officeDocument/2006/relationships/hyperlink" Target="https://ref.ly/Acts18:1,Acts18:11" TargetMode="External"/><Relationship Id="rId8942" Type="http://schemas.openxmlformats.org/officeDocument/2006/relationships/hyperlink" Target="https://ref.ly/Rom15:25-Rom15:29" TargetMode="External"/><Relationship Id="rId8943" Type="http://schemas.openxmlformats.org/officeDocument/2006/relationships/hyperlink" Target="https://ref.ly/2Cor9:5" TargetMode="External"/><Relationship Id="rId8944" Type="http://schemas.openxmlformats.org/officeDocument/2006/relationships/hyperlink" Target="https://ref.ly/Acts20:3" TargetMode="External"/><Relationship Id="rId8945" Type="http://schemas.openxmlformats.org/officeDocument/2006/relationships/hyperlink" Target="https://ref.ly/Rom15:24,Rom15:28" TargetMode="External"/><Relationship Id="rId8946" Type="http://schemas.openxmlformats.org/officeDocument/2006/relationships/hyperlink" Target="https://ref.ly/Rom1:13,Rom1:15" TargetMode="External"/><Relationship Id="rId8947" Type="http://schemas.openxmlformats.org/officeDocument/2006/relationships/hyperlink" Target="https://ref.ly/Rom3:21-Rom3:31" TargetMode="External"/><Relationship Id="rId8948" Type="http://schemas.openxmlformats.org/officeDocument/2006/relationships/hyperlink" Target="https://ref.ly/Rom3:29" TargetMode="External"/><Relationship Id="rId8949" Type="http://schemas.openxmlformats.org/officeDocument/2006/relationships/hyperlink" Target="https://ref.ly/Rom1:1-Rom3:31" TargetMode="External"/><Relationship Id="rId8950" Type="http://schemas.openxmlformats.org/officeDocument/2006/relationships/hyperlink" Target="https://ref.ly/Rom4:1-Rom8:39" TargetMode="External"/><Relationship Id="rId8951" Type="http://schemas.openxmlformats.org/officeDocument/2006/relationships/hyperlink" Target="https://ref.ly/Rom9:1-Rom11:36" TargetMode="External"/><Relationship Id="rId8952" Type="http://schemas.openxmlformats.org/officeDocument/2006/relationships/hyperlink" Target="https://ref.ly/Rom12:1-Rom15:33" TargetMode="External"/><Relationship Id="rId8953" Type="http://schemas.openxmlformats.org/officeDocument/2006/relationships/hyperlink" Target="https://ref.ly/Eph3:5-Eph3:6" TargetMode="External"/><Relationship Id="rId8954" Type="http://schemas.openxmlformats.org/officeDocument/2006/relationships/hyperlink" Target="https://ref.ly/Eph3:6" TargetMode="External"/><Relationship Id="rId8955" Type="http://schemas.openxmlformats.org/officeDocument/2006/relationships/hyperlink" Target="https://ref.ly/Rom3:21-Rom3:22" TargetMode="External"/><Relationship Id="rId8956" Type="http://schemas.openxmlformats.org/officeDocument/2006/relationships/hyperlink" Target="https://ref.ly/Rom5:1-Rom8:39" TargetMode="External"/><Relationship Id="rId8957" Type="http://schemas.openxmlformats.org/officeDocument/2006/relationships/hyperlink" Target="https://ref.ly/Rom6:1-Rom6:23" TargetMode="External"/><Relationship Id="rId8958" Type="http://schemas.openxmlformats.org/officeDocument/2006/relationships/hyperlink" Target="https://ref.ly/Rom11:1-Rom11:2" TargetMode="External"/><Relationship Id="rId8959" Type="http://schemas.openxmlformats.org/officeDocument/2006/relationships/hyperlink" Target="https://ref.ly/Rom11:23" TargetMode="External"/><Relationship Id="rId8960" Type="http://schemas.openxmlformats.org/officeDocument/2006/relationships/hyperlink" Target="https://ref.ly/Rom12:1-Rom16:27" TargetMode="External"/><Relationship Id="rId8961" Type="http://schemas.openxmlformats.org/officeDocument/2006/relationships/hyperlink" Target="https://ref.ly/Rom15:1-Rom15:33" TargetMode="External"/><Relationship Id="rId8962" Type="http://schemas.openxmlformats.org/officeDocument/2006/relationships/hyperlink" Target="https://ref.ly/Rom1:20-Rom1:23" TargetMode="External"/><Relationship Id="rId8963" Type="http://schemas.openxmlformats.org/officeDocument/2006/relationships/hyperlink" Target="https://ref.ly/Rom1:26" TargetMode="External"/><Relationship Id="rId8964" Type="http://schemas.openxmlformats.org/officeDocument/2006/relationships/hyperlink" Target="https://ref.ly/Rom1:28" TargetMode="External"/><Relationship Id="rId8965" Type="http://schemas.openxmlformats.org/officeDocument/2006/relationships/hyperlink" Target="https://ref.ly/Rom2:14,Rom2:27" TargetMode="External"/><Relationship Id="rId8966" Type="http://schemas.openxmlformats.org/officeDocument/2006/relationships/hyperlink" Target="https://ref.ly/Rom3:3" TargetMode="External"/><Relationship Id="rId8967" Type="http://schemas.openxmlformats.org/officeDocument/2006/relationships/hyperlink" Target="https://ref.ly/Rom3:1,Rom3:9" TargetMode="External"/><Relationship Id="rId8968" Type="http://schemas.openxmlformats.org/officeDocument/2006/relationships/hyperlink" Target="https://ref.ly/Rom7:12" TargetMode="External"/><Relationship Id="rId8969" Type="http://schemas.openxmlformats.org/officeDocument/2006/relationships/hyperlink" Target="https://ref.ly/Rom3:3,Rom3:22" TargetMode="External"/><Relationship Id="rId8970" Type="http://schemas.openxmlformats.org/officeDocument/2006/relationships/hyperlink" Target="https://ref.ly/Rom4:11-Rom4:12" TargetMode="External"/><Relationship Id="rId8971" Type="http://schemas.openxmlformats.org/officeDocument/2006/relationships/hyperlink" Target="https://ref.ly/Rom4:16-Rom4:18" TargetMode="External"/><Relationship Id="rId8972" Type="http://schemas.openxmlformats.org/officeDocument/2006/relationships/hyperlink" Target="https://ref.ly/Rom4:11" TargetMode="External"/><Relationship Id="rId8973" Type="http://schemas.openxmlformats.org/officeDocument/2006/relationships/hyperlink" Target="https://ref.ly/Rom5:1,Rom5:9" TargetMode="External"/><Relationship Id="rId8974" Type="http://schemas.openxmlformats.org/officeDocument/2006/relationships/hyperlink" Target="https://ref.ly/Rom5:16-Rom5:18" TargetMode="External"/><Relationship Id="rId8975" Type="http://schemas.openxmlformats.org/officeDocument/2006/relationships/hyperlink" Target="https://ref.ly/Rom5:20" TargetMode="External"/><Relationship Id="rId8976" Type="http://schemas.openxmlformats.org/officeDocument/2006/relationships/hyperlink" Target="https://ref.ly/Rom7:11" TargetMode="External"/><Relationship Id="rId8977" Type="http://schemas.openxmlformats.org/officeDocument/2006/relationships/hyperlink" Target="https://ref.ly/Rom6:1" TargetMode="External"/><Relationship Id="rId8978" Type="http://schemas.openxmlformats.org/officeDocument/2006/relationships/hyperlink" Target="https://ref.ly/Rom6:2,Rom6:6" TargetMode="External"/><Relationship Id="rId8979" Type="http://schemas.openxmlformats.org/officeDocument/2006/relationships/hyperlink" Target="https://ref.ly/Rom6:9,Rom6:14" TargetMode="External"/><Relationship Id="rId8980" Type="http://schemas.openxmlformats.org/officeDocument/2006/relationships/hyperlink" Target="https://ref.ly/Rom6:17,Rom6:20" TargetMode="External"/><Relationship Id="rId8981" Type="http://schemas.openxmlformats.org/officeDocument/2006/relationships/hyperlink" Target="https://ref.ly/Rom8:2,Rom8:11" TargetMode="External"/><Relationship Id="rId8982" Type="http://schemas.openxmlformats.org/officeDocument/2006/relationships/hyperlink" Target="https://ref.ly/Rom8:6-Rom8:13" TargetMode="External"/><Relationship Id="rId8983" Type="http://schemas.openxmlformats.org/officeDocument/2006/relationships/hyperlink" Target="https://ref.ly/Rom8:14,Rom8:26,Rom8:34" TargetMode="External"/><Relationship Id="rId8984" Type="http://schemas.openxmlformats.org/officeDocument/2006/relationships/hyperlink" Target="https://ref.ly/Rom12:1-Rom12:21" TargetMode="External"/><Relationship Id="rId8985" Type="http://schemas.openxmlformats.org/officeDocument/2006/relationships/hyperlink" Target="https://ref.ly/Rom9:1-Rom9:5" TargetMode="External"/><Relationship Id="rId8986" Type="http://schemas.openxmlformats.org/officeDocument/2006/relationships/hyperlink" Target="https://ref.ly/Rom9:6-Rom9:26" TargetMode="External"/><Relationship Id="rId8987" Type="http://schemas.openxmlformats.org/officeDocument/2006/relationships/hyperlink" Target="https://ref.ly/Heb11:1-Heb11:40" TargetMode="External"/><Relationship Id="rId8988" Type="http://schemas.openxmlformats.org/officeDocument/2006/relationships/hyperlink" Target="https://ref.ly/Rom9:30-Rom10:21" TargetMode="External"/><Relationship Id="rId8989" Type="http://schemas.openxmlformats.org/officeDocument/2006/relationships/hyperlink" Target="https://ref.ly/Rom9:30-Rom9:33" TargetMode="External"/><Relationship Id="rId8990" Type="http://schemas.openxmlformats.org/officeDocument/2006/relationships/hyperlink" Target="https://ref.ly/Rom11:1-Rom11:16,Rom11:26" TargetMode="External"/><Relationship Id="rId8991" Type="http://schemas.openxmlformats.org/officeDocument/2006/relationships/hyperlink" Target="https://ref.ly/Rom11:17-Rom11:36" TargetMode="External"/><Relationship Id="rId8992" Type="http://schemas.openxmlformats.org/officeDocument/2006/relationships/hyperlink" Target="https://ref.ly/Rom11:17-Rom11:19" TargetMode="External"/><Relationship Id="rId8993" Type="http://schemas.openxmlformats.org/officeDocument/2006/relationships/hyperlink" Target="https://ref.ly/Rom11:11" TargetMode="External"/><Relationship Id="rId8994" Type="http://schemas.openxmlformats.org/officeDocument/2006/relationships/hyperlink" Target="https://ref.ly/Rom12:1" TargetMode="External"/><Relationship Id="rId8995" Type="http://schemas.openxmlformats.org/officeDocument/2006/relationships/hyperlink" Target="https://ref.ly/Rom13:1-Rom13:14" TargetMode="External"/><Relationship Id="rId8996" Type="http://schemas.openxmlformats.org/officeDocument/2006/relationships/hyperlink" Target="https://ref.ly/Rom14:1-Rom14:23" TargetMode="External"/><Relationship Id="rId8997" Type="http://schemas.openxmlformats.org/officeDocument/2006/relationships/hyperlink" Target="https://ref.ly/2Sam11:14-2Sam11:15" TargetMode="External"/><Relationship Id="rId8998" Type="http://schemas.openxmlformats.org/officeDocument/2006/relationships/hyperlink" Target="https://ref.ly/1Kgs21:8-1Kgs21:9" TargetMode="External"/><Relationship Id="rId8999" Type="http://schemas.openxmlformats.org/officeDocument/2006/relationships/hyperlink" Target="https://ref.ly/2Kgs5:5-2Kgs5:7" TargetMode="External"/><Relationship Id="rId9000" Type="http://schemas.openxmlformats.org/officeDocument/2006/relationships/hyperlink" Target="https://ref.ly/Ezra4:11-Ezra4:23" TargetMode="External"/><Relationship Id="rId9001" Type="http://schemas.openxmlformats.org/officeDocument/2006/relationships/hyperlink" Target="https://ref.ly/Ezra5:7-Ezra5:17" TargetMode="External"/><Relationship Id="rId9002" Type="http://schemas.openxmlformats.org/officeDocument/2006/relationships/hyperlink" Target="https://ref.ly/Ezra7:11-Ezra7:26" TargetMode="External"/><Relationship Id="rId9003" Type="http://schemas.openxmlformats.org/officeDocument/2006/relationships/hyperlink" Target="https://ref.ly/Neh6:5-Neh6:7" TargetMode="External"/><Relationship Id="rId9004" Type="http://schemas.openxmlformats.org/officeDocument/2006/relationships/hyperlink" Target="https://ref.ly/Neh2:8" TargetMode="External"/><Relationship Id="rId9005" Type="http://schemas.openxmlformats.org/officeDocument/2006/relationships/hyperlink" Target="https://ref.ly/Esth9:20-Esth9:31" TargetMode="External"/><Relationship Id="rId9006" Type="http://schemas.openxmlformats.org/officeDocument/2006/relationships/hyperlink" Target="https://ref.ly/Rev2:1-Rev2:29" TargetMode="External"/><Relationship Id="rId9007" Type="http://schemas.openxmlformats.org/officeDocument/2006/relationships/hyperlink" Target="https://ref.ly/Rev3:1-Rev3:22" TargetMode="External"/><Relationship Id="rId9008" Type="http://schemas.openxmlformats.org/officeDocument/2006/relationships/hyperlink" Target="https://ref.ly/Hos7:4" TargetMode="External"/><Relationship Id="rId9009" Type="http://schemas.openxmlformats.org/officeDocument/2006/relationships/hyperlink" Target="https://ref.ly/Exod13:7" TargetMode="External"/><Relationship Id="rId9010" Type="http://schemas.openxmlformats.org/officeDocument/2006/relationships/hyperlink" Target="https://ref.ly/Exod12:34-Exod12:39" TargetMode="External"/><Relationship Id="rId9011" Type="http://schemas.openxmlformats.org/officeDocument/2006/relationships/hyperlink" Target="https://ref.ly/Deut16:3" TargetMode="External"/><Relationship Id="rId9012" Type="http://schemas.openxmlformats.org/officeDocument/2006/relationships/hyperlink" Target="https://ref.ly/Exod23:18" TargetMode="External"/><Relationship Id="rId9013" Type="http://schemas.openxmlformats.org/officeDocument/2006/relationships/hyperlink" Target="https://ref.ly/Exod34:25" TargetMode="External"/><Relationship Id="rId9014" Type="http://schemas.openxmlformats.org/officeDocument/2006/relationships/hyperlink" Target="https://ref.ly/Lev2:11" TargetMode="External"/><Relationship Id="rId9015" Type="http://schemas.openxmlformats.org/officeDocument/2006/relationships/hyperlink" Target="https://ref.ly/Lev6:17" TargetMode="External"/><Relationship Id="rId9016" Type="http://schemas.openxmlformats.org/officeDocument/2006/relationships/hyperlink" Target="https://ref.ly/Lev7:13" TargetMode="External"/><Relationship Id="rId9017" Type="http://schemas.openxmlformats.org/officeDocument/2006/relationships/hyperlink" Target="https://ref.ly/Lev23:17" TargetMode="External"/><Relationship Id="rId9018" Type="http://schemas.openxmlformats.org/officeDocument/2006/relationships/hyperlink" Target="https://ref.ly/1Cor5:6" TargetMode="External"/><Relationship Id="rId9019" Type="http://schemas.openxmlformats.org/officeDocument/2006/relationships/hyperlink" Target="https://ref.ly/Gal5:9" TargetMode="External"/><Relationship Id="rId9020" Type="http://schemas.openxmlformats.org/officeDocument/2006/relationships/hyperlink" Target="https://ref.ly/Matt16:6,Matt16:11-Matt16:12" TargetMode="External"/><Relationship Id="rId9021" Type="http://schemas.openxmlformats.org/officeDocument/2006/relationships/hyperlink" Target="https://ref.ly/Matt13:33" TargetMode="External"/><Relationship Id="rId9022" Type="http://schemas.openxmlformats.org/officeDocument/2006/relationships/hyperlink" Target="https://ref.ly/Luke13:20-Luke13:21" TargetMode="External"/><Relationship Id="rId9023" Type="http://schemas.openxmlformats.org/officeDocument/2006/relationships/hyperlink" Target="https://ref.ly/Gen29:34" TargetMode="External"/><Relationship Id="rId9024" Type="http://schemas.openxmlformats.org/officeDocument/2006/relationships/hyperlink" Target="https://ref.ly/Exod32:1-Exod32:35" TargetMode="External"/><Relationship Id="rId9025" Type="http://schemas.openxmlformats.org/officeDocument/2006/relationships/hyperlink" Target="https://ref.ly/Luke5:27" TargetMode="External"/><Relationship Id="rId9026" Type="http://schemas.openxmlformats.org/officeDocument/2006/relationships/hyperlink" Target="https://ref.ly/Jer18:14" TargetMode="External"/><Relationship Id="rId9027" Type="http://schemas.openxmlformats.org/officeDocument/2006/relationships/hyperlink" Target="https://ref.ly/Josh11:17" TargetMode="External"/><Relationship Id="rId9028" Type="http://schemas.openxmlformats.org/officeDocument/2006/relationships/hyperlink" Target="https://ref.ly/Num34:8" TargetMode="External"/><Relationship Id="rId9029" Type="http://schemas.openxmlformats.org/officeDocument/2006/relationships/hyperlink" Target="https://ref.ly/Deut3:9" TargetMode="External"/><Relationship Id="rId9030" Type="http://schemas.openxmlformats.org/officeDocument/2006/relationships/hyperlink" Target="https://ref.ly/Exod26:1-Exod26:37" TargetMode="External"/><Relationship Id="rId9031" Type="http://schemas.openxmlformats.org/officeDocument/2006/relationships/hyperlink" Target="https://ref.ly/Exod28:4-Exod28:6" TargetMode="External"/><Relationship Id="rId9032" Type="http://schemas.openxmlformats.org/officeDocument/2006/relationships/hyperlink" Target="https://ref.ly/Exod39:1,Exod39:28-Exod39:29" TargetMode="External"/><Relationship Id="rId9033" Type="http://schemas.openxmlformats.org/officeDocument/2006/relationships/hyperlink" Target="https://ref.ly/1Kgs5:6,1Kgs5:9,1Kgs5:14" TargetMode="External"/><Relationship Id="rId9034" Type="http://schemas.openxmlformats.org/officeDocument/2006/relationships/hyperlink" Target="https://ref.ly/1Kgs7:2" TargetMode="External"/><Relationship Id="rId9035" Type="http://schemas.openxmlformats.org/officeDocument/2006/relationships/hyperlink" Target="https://ref.ly/1Kgs10:17,1Kgs10:21" TargetMode="External"/><Relationship Id="rId9036" Type="http://schemas.openxmlformats.org/officeDocument/2006/relationships/hyperlink" Target="https://ref.ly/2Chr2:8,2Chr2:16" TargetMode="External"/><Relationship Id="rId9037" Type="http://schemas.openxmlformats.org/officeDocument/2006/relationships/hyperlink" Target="https://ref.ly/Ezek27:5" TargetMode="External"/><Relationship Id="rId9038" Type="http://schemas.openxmlformats.org/officeDocument/2006/relationships/hyperlink" Target="https://ref.ly/Isa14:8" TargetMode="External"/><Relationship Id="rId9039" Type="http://schemas.openxmlformats.org/officeDocument/2006/relationships/hyperlink" Target="https://ref.ly/Hab2:17" TargetMode="External"/><Relationship Id="rId9040" Type="http://schemas.openxmlformats.org/officeDocument/2006/relationships/hyperlink" Target="https://ref.ly/Matt15:21" TargetMode="External"/><Relationship Id="rId9041" Type="http://schemas.openxmlformats.org/officeDocument/2006/relationships/hyperlink" Target="https://ref.ly/Mark3:8" TargetMode="External"/><Relationship Id="rId9042" Type="http://schemas.openxmlformats.org/officeDocument/2006/relationships/hyperlink" Target="https://ref.ly/Mark7:24,Mark7:31" TargetMode="External"/><Relationship Id="rId9043" Type="http://schemas.openxmlformats.org/officeDocument/2006/relationships/hyperlink" Target="https://ref.ly/Luke6:17" TargetMode="External"/><Relationship Id="rId9044" Type="http://schemas.openxmlformats.org/officeDocument/2006/relationships/hyperlink" Target="https://ref.ly/Luke10:13-Luke10:14" TargetMode="External"/><Relationship Id="rId9045" Type="http://schemas.openxmlformats.org/officeDocument/2006/relationships/hyperlink" Target="https://ref.ly/Acts21:3,Acts21:7" TargetMode="External"/><Relationship Id="rId9046" Type="http://schemas.openxmlformats.org/officeDocument/2006/relationships/hyperlink" Target="https://ref.ly/Judg9:15" TargetMode="External"/><Relationship Id="rId9047" Type="http://schemas.openxmlformats.org/officeDocument/2006/relationships/hyperlink" Target="https://ref.ly/2Kgs14:9" TargetMode="External"/><Relationship Id="rId9048" Type="http://schemas.openxmlformats.org/officeDocument/2006/relationships/hyperlink" Target="https://ref.ly/Ps92:12" TargetMode="External"/><Relationship Id="rId9049" Type="http://schemas.openxmlformats.org/officeDocument/2006/relationships/hyperlink" Target="https://ref.ly/Ps104:16" TargetMode="External"/><Relationship Id="rId9050" Type="http://schemas.openxmlformats.org/officeDocument/2006/relationships/hyperlink" Target="https://ref.ly/Isa35:2" TargetMode="External"/><Relationship Id="rId9051" Type="http://schemas.openxmlformats.org/officeDocument/2006/relationships/hyperlink" Target="https://ref.ly/Isa60:13" TargetMode="External"/><Relationship Id="rId9052" Type="http://schemas.openxmlformats.org/officeDocument/2006/relationships/hyperlink" Target="https://ref.ly/Ps29:5" TargetMode="External"/><Relationship Id="rId9053" Type="http://schemas.openxmlformats.org/officeDocument/2006/relationships/hyperlink" Target="https://ref.ly/Isa2:13" TargetMode="External"/><Relationship Id="rId9054" Type="http://schemas.openxmlformats.org/officeDocument/2006/relationships/hyperlink" Target="https://ref.ly/Isa10:34" TargetMode="External"/><Relationship Id="rId9055" Type="http://schemas.openxmlformats.org/officeDocument/2006/relationships/hyperlink" Target="https://ref.ly/Ezek31:3" TargetMode="External"/><Relationship Id="rId9056" Type="http://schemas.openxmlformats.org/officeDocument/2006/relationships/hyperlink" Target="https://ref.ly/Jer34:1-Jer34:22" TargetMode="External"/><Relationship Id="rId9057" Type="http://schemas.openxmlformats.org/officeDocument/2006/relationships/hyperlink" Target="https://ref.ly/Lev25:8-Lev25:24" TargetMode="External"/><Relationship Id="rId9058" Type="http://schemas.openxmlformats.org/officeDocument/2006/relationships/hyperlink" Target="https://ref.ly/Ezek46:17" TargetMode="External"/><Relationship Id="rId9059" Type="http://schemas.openxmlformats.org/officeDocument/2006/relationships/hyperlink" Target="https://ref.ly/Job3:19" TargetMode="External"/><Relationship Id="rId9060" Type="http://schemas.openxmlformats.org/officeDocument/2006/relationships/hyperlink" Target="https://ref.ly/Job39:5" TargetMode="External"/><Relationship Id="rId9061" Type="http://schemas.openxmlformats.org/officeDocument/2006/relationships/hyperlink" Target="https://ref.ly/Acts3:13" TargetMode="External"/><Relationship Id="rId9062" Type="http://schemas.openxmlformats.org/officeDocument/2006/relationships/hyperlink" Target="https://ref.ly/Acts16:35" TargetMode="External"/><Relationship Id="rId9063" Type="http://schemas.openxmlformats.org/officeDocument/2006/relationships/hyperlink" Target="https://ref.ly/1Cor7:21" TargetMode="External"/><Relationship Id="rId9064" Type="http://schemas.openxmlformats.org/officeDocument/2006/relationships/hyperlink" Target="https://ref.ly/Phlm1:1-Phlm1:25" TargetMode="External"/><Relationship Id="rId9065" Type="http://schemas.openxmlformats.org/officeDocument/2006/relationships/hyperlink" Target="https://ref.ly/John8:36" TargetMode="External"/><Relationship Id="rId9066" Type="http://schemas.openxmlformats.org/officeDocument/2006/relationships/hyperlink" Target="https://ref.ly/Rom7:24-Rom7:25" TargetMode="External"/><Relationship Id="rId9067" Type="http://schemas.openxmlformats.org/officeDocument/2006/relationships/hyperlink" Target="https://ref.ly/John8:32" TargetMode="External"/><Relationship Id="rId9068" Type="http://schemas.openxmlformats.org/officeDocument/2006/relationships/hyperlink" Target="https://ref.ly/Rom7:21-Rom7:23" TargetMode="External"/><Relationship Id="rId9069" Type="http://schemas.openxmlformats.org/officeDocument/2006/relationships/hyperlink" Target="https://ref.ly/Gal3:1-Gal3:29" TargetMode="External"/><Relationship Id="rId9070" Type="http://schemas.openxmlformats.org/officeDocument/2006/relationships/hyperlink" Target="https://ref.ly/Gal2:4" TargetMode="External"/><Relationship Id="rId9071" Type="http://schemas.openxmlformats.org/officeDocument/2006/relationships/hyperlink" Target="https://ref.ly/1Pet2:16" TargetMode="External"/><Relationship Id="rId9072" Type="http://schemas.openxmlformats.org/officeDocument/2006/relationships/hyperlink" Target="https://ref.ly/Ezek30:5" TargetMode="External"/><Relationship Id="rId9073" Type="http://schemas.openxmlformats.org/officeDocument/2006/relationships/hyperlink" Target="https://ref.ly/Luke23:26" TargetMode="External"/><Relationship Id="rId9074" Type="http://schemas.openxmlformats.org/officeDocument/2006/relationships/hyperlink" Target="https://ref.ly/Gen49:9-Gen49:10" TargetMode="External"/><Relationship Id="rId9075" Type="http://schemas.openxmlformats.org/officeDocument/2006/relationships/hyperlink" Target="https://ref.ly/2Esd11:37" TargetMode="External"/><Relationship Id="rId9076" Type="http://schemas.openxmlformats.org/officeDocument/2006/relationships/hyperlink" Target="https://ref.ly/2Esd12:31" TargetMode="External"/><Relationship Id="rId9077" Type="http://schemas.openxmlformats.org/officeDocument/2006/relationships/hyperlink" Target="https://ref.ly/Job10:16" TargetMode="External"/><Relationship Id="rId9078" Type="http://schemas.openxmlformats.org/officeDocument/2006/relationships/hyperlink" Target="https://ref.ly/Ps10:9" TargetMode="External"/><Relationship Id="rId9079" Type="http://schemas.openxmlformats.org/officeDocument/2006/relationships/hyperlink" Target="https://ref.ly/Dan7:1-Dan7:4" TargetMode="External"/><Relationship Id="rId9080" Type="http://schemas.openxmlformats.org/officeDocument/2006/relationships/hyperlink" Target="https://ref.ly/2Kgs22:8" TargetMode="External"/><Relationship Id="rId9081" Type="http://schemas.openxmlformats.org/officeDocument/2006/relationships/hyperlink" Target="https://ref.ly/2Kgs22:8-2Kgs22:13" TargetMode="External"/><Relationship Id="rId9082" Type="http://schemas.openxmlformats.org/officeDocument/2006/relationships/hyperlink" Target="https://ref.ly/Num21:14" TargetMode="External"/><Relationship Id="rId9083" Type="http://schemas.openxmlformats.org/officeDocument/2006/relationships/hyperlink" Target="https://ref.ly/Josh10:13" TargetMode="External"/><Relationship Id="rId9084" Type="http://schemas.openxmlformats.org/officeDocument/2006/relationships/hyperlink" Target="https://ref.ly/1Kgs11:41" TargetMode="External"/><Relationship Id="rId9085" Type="http://schemas.openxmlformats.org/officeDocument/2006/relationships/hyperlink" Target="https://ref.ly/1Kgs14:29" TargetMode="External"/><Relationship Id="rId9086" Type="http://schemas.openxmlformats.org/officeDocument/2006/relationships/hyperlink" Target="https://ref.ly/2Chr9:29" TargetMode="External"/><Relationship Id="rId9087" Type="http://schemas.openxmlformats.org/officeDocument/2006/relationships/hyperlink" Target="https://ref.ly/Esth9:20" TargetMode="External"/><Relationship Id="rId9088" Type="http://schemas.openxmlformats.org/officeDocument/2006/relationships/hyperlink" Target="https://ref.ly/2Macc15:36" TargetMode="External"/><Relationship Id="rId9089" Type="http://schemas.openxmlformats.org/officeDocument/2006/relationships/hyperlink" Target="https://ref.ly/Esth9:16-Esth9:28" TargetMode="External"/><Relationship Id="rId9090" Type="http://schemas.openxmlformats.org/officeDocument/2006/relationships/hyperlink" Target="https://ref.ly/Esth9:13-Esth9:14" TargetMode="External"/><Relationship Id="rId9091" Type="http://schemas.openxmlformats.org/officeDocument/2006/relationships/hyperlink" Target="https://ref.ly/Rev7:1-Rev7:17" TargetMode="External"/><Relationship Id="rId9092" Type="http://schemas.openxmlformats.org/officeDocument/2006/relationships/hyperlink" Target="https://ref.ly/Rev14:1-Rev14:20" TargetMode="External"/><Relationship Id="rId9093" Type="http://schemas.openxmlformats.org/officeDocument/2006/relationships/hyperlink" Target="https://ref.ly/Esth2:5-Esth2:6" TargetMode="External"/><Relationship Id="rId9094" Type="http://schemas.openxmlformats.org/officeDocument/2006/relationships/hyperlink" Target="https://ref.ly/Esth1:4" TargetMode="External"/><Relationship Id="rId9095" Type="http://schemas.openxmlformats.org/officeDocument/2006/relationships/hyperlink" Target="https://ref.ly/Esth9:16" TargetMode="External"/><Relationship Id="rId9096" Type="http://schemas.openxmlformats.org/officeDocument/2006/relationships/hyperlink" Target="https://ref.ly/Esth1:1-Esth1:9" TargetMode="External"/><Relationship Id="rId9097" Type="http://schemas.openxmlformats.org/officeDocument/2006/relationships/hyperlink" Target="https://ref.ly/Esth1:10-Esth1:22" TargetMode="External"/><Relationship Id="rId9098" Type="http://schemas.openxmlformats.org/officeDocument/2006/relationships/hyperlink" Target="https://ref.ly/Esth2:1-Esth2:18" TargetMode="External"/><Relationship Id="rId9099" Type="http://schemas.openxmlformats.org/officeDocument/2006/relationships/hyperlink" Target="https://ref.ly/Esth2:19-Esth2:23" TargetMode="External"/><Relationship Id="rId9100" Type="http://schemas.openxmlformats.org/officeDocument/2006/relationships/hyperlink" Target="https://ref.ly/Esth3:1-Esth3:15" TargetMode="External"/><Relationship Id="rId9101" Type="http://schemas.openxmlformats.org/officeDocument/2006/relationships/hyperlink" Target="https://ref.ly/Esth4:1-Esth4:17" TargetMode="External"/><Relationship Id="rId9102" Type="http://schemas.openxmlformats.org/officeDocument/2006/relationships/hyperlink" Target="https://ref.ly/Esth5:1-Esth6:1" TargetMode="External"/><Relationship Id="rId9103" Type="http://schemas.openxmlformats.org/officeDocument/2006/relationships/hyperlink" Target="https://ref.ly/Esth6:1-Esth6:14" TargetMode="External"/><Relationship Id="rId9104" Type="http://schemas.openxmlformats.org/officeDocument/2006/relationships/hyperlink" Target="https://ref.ly/Esth7:1-Esth7:10" TargetMode="External"/><Relationship Id="rId9105" Type="http://schemas.openxmlformats.org/officeDocument/2006/relationships/hyperlink" Target="https://ref.ly/Esth8:1-Esth8:17" TargetMode="External"/><Relationship Id="rId9106" Type="http://schemas.openxmlformats.org/officeDocument/2006/relationships/hyperlink" Target="https://ref.ly/Esth9:1-Esth9:16" TargetMode="External"/><Relationship Id="rId9107" Type="http://schemas.openxmlformats.org/officeDocument/2006/relationships/hyperlink" Target="https://ref.ly/Esth9:17-Esth10:3" TargetMode="External"/><Relationship Id="rId9108" Type="http://schemas.openxmlformats.org/officeDocument/2006/relationships/hyperlink" Target="https://ref.ly/Ezra2:33" TargetMode="External"/><Relationship Id="rId9109" Type="http://schemas.openxmlformats.org/officeDocument/2006/relationships/hyperlink" Target="https://ref.ly/Neh7:37" TargetMode="External"/><Relationship Id="rId9110" Type="http://schemas.openxmlformats.org/officeDocument/2006/relationships/hyperlink" Target="https://ref.ly/Neh11:35" TargetMode="External"/><Relationship Id="rId9111" Type="http://schemas.openxmlformats.org/officeDocument/2006/relationships/hyperlink" Target="https://ref.ly/Acts9:32-Acts9:35" TargetMode="External"/><Relationship Id="rId9112" Type="http://schemas.openxmlformats.org/officeDocument/2006/relationships/hyperlink" Target="https://ref.ly/Lev20:26" TargetMode="External"/><Relationship Id="rId9113" Type="http://schemas.openxmlformats.org/officeDocument/2006/relationships/hyperlink" Target="https://ref.ly/Lev11:44" TargetMode="External"/><Relationship Id="rId9114" Type="http://schemas.openxmlformats.org/officeDocument/2006/relationships/hyperlink" Target="https://ref.ly/Gen1:29" TargetMode="External"/><Relationship Id="rId9115" Type="http://schemas.openxmlformats.org/officeDocument/2006/relationships/hyperlink" Target="https://ref.ly/Gen7:2" TargetMode="External"/><Relationship Id="rId9116" Type="http://schemas.openxmlformats.org/officeDocument/2006/relationships/hyperlink" Target="https://ref.ly/Gen9:4" TargetMode="External"/><Relationship Id="rId9117" Type="http://schemas.openxmlformats.org/officeDocument/2006/relationships/hyperlink" Target="https://ref.ly/Gen32:32" TargetMode="External"/><Relationship Id="rId9118" Type="http://schemas.openxmlformats.org/officeDocument/2006/relationships/hyperlink" Target="https://ref.ly/Lev11:1-Lev11:47" TargetMode="External"/><Relationship Id="rId9119" Type="http://schemas.openxmlformats.org/officeDocument/2006/relationships/hyperlink" Target="https://ref.ly/Deut14:3-Deut14:21" TargetMode="External"/><Relationship Id="rId9120" Type="http://schemas.openxmlformats.org/officeDocument/2006/relationships/hyperlink" Target="https://ref.ly/Lev10:9" TargetMode="External"/><Relationship Id="rId9121" Type="http://schemas.openxmlformats.org/officeDocument/2006/relationships/hyperlink" Target="https://ref.ly/Num6:3-Num6:4" TargetMode="External"/><Relationship Id="rId9122" Type="http://schemas.openxmlformats.org/officeDocument/2006/relationships/hyperlink" Target="https://ref.ly/Judg13:14" TargetMode="External"/><Relationship Id="rId9123" Type="http://schemas.openxmlformats.org/officeDocument/2006/relationships/hyperlink" Target="https://ref.ly/Jer35:6" TargetMode="External"/><Relationship Id="rId9124" Type="http://schemas.openxmlformats.org/officeDocument/2006/relationships/hyperlink" Target="https://ref.ly/Lev11:2-Lev11:8" TargetMode="External"/><Relationship Id="rId9125" Type="http://schemas.openxmlformats.org/officeDocument/2006/relationships/hyperlink" Target="https://ref.ly/Lev11:9-Lev11:12" TargetMode="External"/><Relationship Id="rId9126" Type="http://schemas.openxmlformats.org/officeDocument/2006/relationships/hyperlink" Target="https://ref.ly/Lev11:13-Lev11:19" TargetMode="External"/><Relationship Id="rId9127" Type="http://schemas.openxmlformats.org/officeDocument/2006/relationships/hyperlink" Target="https://ref.ly/Lev11:22-Lev11:23" TargetMode="External"/><Relationship Id="rId9128" Type="http://schemas.openxmlformats.org/officeDocument/2006/relationships/hyperlink" Target="https://ref.ly/Lev11:29-Lev11:31" TargetMode="External"/><Relationship Id="rId9129" Type="http://schemas.openxmlformats.org/officeDocument/2006/relationships/hyperlink" Target="https://ref.ly/Lev17:15" TargetMode="External"/><Relationship Id="rId9130" Type="http://schemas.openxmlformats.org/officeDocument/2006/relationships/hyperlink" Target="https://ref.ly/Lev11:32-Lev11:34" TargetMode="External"/><Relationship Id="rId9131" Type="http://schemas.openxmlformats.org/officeDocument/2006/relationships/hyperlink" Target="https://ref.ly/Exod23:19" TargetMode="External"/><Relationship Id="rId9132" Type="http://schemas.openxmlformats.org/officeDocument/2006/relationships/hyperlink" Target="https://ref.ly/Exod34:26" TargetMode="External"/><Relationship Id="rId9133" Type="http://schemas.openxmlformats.org/officeDocument/2006/relationships/hyperlink" Target="https://ref.ly/Lev17:14" TargetMode="External"/><Relationship Id="rId9134" Type="http://schemas.openxmlformats.org/officeDocument/2006/relationships/hyperlink" Target="https://ref.ly/Lev3:16" TargetMode="External"/><Relationship Id="rId9135" Type="http://schemas.openxmlformats.org/officeDocument/2006/relationships/hyperlink" Target="https://ref.ly/Lev7:23" TargetMode="External"/><Relationship Id="rId9136" Type="http://schemas.openxmlformats.org/officeDocument/2006/relationships/hyperlink" Target="https://ref.ly/Exod29:22" TargetMode="External"/><Relationship Id="rId9137" Type="http://schemas.openxmlformats.org/officeDocument/2006/relationships/hyperlink" Target="https://ref.ly/Lev3:9" TargetMode="External"/><Relationship Id="rId9138" Type="http://schemas.openxmlformats.org/officeDocument/2006/relationships/hyperlink" Target="https://ref.ly/Lev19:26" TargetMode="External"/><Relationship Id="rId9139" Type="http://schemas.openxmlformats.org/officeDocument/2006/relationships/hyperlink" Target="https://ref.ly/Deut12:16" TargetMode="External"/><Relationship Id="rId9140" Type="http://schemas.openxmlformats.org/officeDocument/2006/relationships/hyperlink" Target="https://ref.ly/Deut15:23" TargetMode="External"/><Relationship Id="rId9141" Type="http://schemas.openxmlformats.org/officeDocument/2006/relationships/hyperlink" Target="https://ref.ly/Deut18:9" TargetMode="External"/><Relationship Id="rId9142" Type="http://schemas.openxmlformats.org/officeDocument/2006/relationships/hyperlink" Target="https://ref.ly/Judg13:4" TargetMode="External"/><Relationship Id="rId9143" Type="http://schemas.openxmlformats.org/officeDocument/2006/relationships/hyperlink" Target="https://ref.ly/1Sam14:32-1Sam14:34" TargetMode="External"/><Relationship Id="rId9144" Type="http://schemas.openxmlformats.org/officeDocument/2006/relationships/hyperlink" Target="https://ref.ly/Ezek4:12-Ezek4:14" TargetMode="External"/><Relationship Id="rId9145" Type="http://schemas.openxmlformats.org/officeDocument/2006/relationships/hyperlink" Target="https://ref.ly/Dan1:8" TargetMode="External"/><Relationship Id="rId9146" Type="http://schemas.openxmlformats.org/officeDocument/2006/relationships/hyperlink" Target="https://ref.ly/Isa65:4" TargetMode="External"/><Relationship Id="rId9147" Type="http://schemas.openxmlformats.org/officeDocument/2006/relationships/hyperlink" Target="https://ref.ly/Isa66:3,Isa66:17" TargetMode="External"/><Relationship Id="rId9148" Type="http://schemas.openxmlformats.org/officeDocument/2006/relationships/hyperlink" Target="https://ref.ly/1Macc1:54,1Macc1:62-1Macc1:63" TargetMode="External"/><Relationship Id="rId9149" Type="http://schemas.openxmlformats.org/officeDocument/2006/relationships/hyperlink" Target="https://ref.ly/2Macc6:5" TargetMode="External"/><Relationship Id="rId9150" Type="http://schemas.openxmlformats.org/officeDocument/2006/relationships/hyperlink" Target="https://ref.ly/2Macc7:1" TargetMode="External"/><Relationship Id="rId9151" Type="http://schemas.openxmlformats.org/officeDocument/2006/relationships/hyperlink" Target="https://ref.ly/Deut12:23" TargetMode="External"/><Relationship Id="rId9152" Type="http://schemas.openxmlformats.org/officeDocument/2006/relationships/hyperlink" Target="https://ref.ly/Lev17:11-Lev17:12" TargetMode="External"/><Relationship Id="rId9153" Type="http://schemas.openxmlformats.org/officeDocument/2006/relationships/hyperlink" Target="https://ref.ly/Heb10:1,Heb10:4,Heb10:12" TargetMode="External"/><Relationship Id="rId9154" Type="http://schemas.openxmlformats.org/officeDocument/2006/relationships/hyperlink" Target="https://ref.ly/Deut22:6-Deut22:7" TargetMode="External"/><Relationship Id="rId9155" Type="http://schemas.openxmlformats.org/officeDocument/2006/relationships/hyperlink" Target="https://ref.ly/Acts10:9-Acts10:16" TargetMode="External"/><Relationship Id="rId9156" Type="http://schemas.openxmlformats.org/officeDocument/2006/relationships/hyperlink" Target="https://ref.ly/Acts11:1-Acts11:10" TargetMode="External"/><Relationship Id="rId9157" Type="http://schemas.openxmlformats.org/officeDocument/2006/relationships/hyperlink" Target="https://ref.ly/Rom14:20,Rom14:23" TargetMode="External"/><Relationship Id="rId9158" Type="http://schemas.openxmlformats.org/officeDocument/2006/relationships/hyperlink" Target="https://ref.ly/Gen11:27-Gen11:32" TargetMode="External"/><Relationship Id="rId9159" Type="http://schemas.openxmlformats.org/officeDocument/2006/relationships/hyperlink" Target="https://ref.ly/Gen13:10" TargetMode="External"/><Relationship Id="rId9160" Type="http://schemas.openxmlformats.org/officeDocument/2006/relationships/hyperlink" Target="https://ref.ly/2Pet2:7-2Pet2:9" TargetMode="External"/><Relationship Id="rId9161" Type="http://schemas.openxmlformats.org/officeDocument/2006/relationships/hyperlink" Target="https://ref.ly/Luke17:28-Luke17:29" TargetMode="External"/><Relationship Id="rId9162" Type="http://schemas.openxmlformats.org/officeDocument/2006/relationships/hyperlink" Target="https://ref.ly/Gen36:22,Gen36:29" TargetMode="External"/><Relationship Id="rId9163" Type="http://schemas.openxmlformats.org/officeDocument/2006/relationships/hyperlink" Target="https://ref.ly/1Chr1:38-1Chr1:39" TargetMode="External"/><Relationship Id="rId9164" Type="http://schemas.openxmlformats.org/officeDocument/2006/relationships/hyperlink" Target="https://ref.ly/Prov31:28-Prov31:31" TargetMode="External"/><Relationship Id="rId9165" Type="http://schemas.openxmlformats.org/officeDocument/2006/relationships/hyperlink" Target="https://ref.ly/Matt6:1-Matt6:6" TargetMode="External"/><Relationship Id="rId9166" Type="http://schemas.openxmlformats.org/officeDocument/2006/relationships/hyperlink" Target="https://ref.ly/John12:43" TargetMode="External"/><Relationship Id="rId9167" Type="http://schemas.openxmlformats.org/officeDocument/2006/relationships/hyperlink" Target="https://ref.ly/Matt5:16" TargetMode="External"/><Relationship Id="rId9168" Type="http://schemas.openxmlformats.org/officeDocument/2006/relationships/hyperlink" Target="https://ref.ly/Ps149:3" TargetMode="External"/><Relationship Id="rId9169" Type="http://schemas.openxmlformats.org/officeDocument/2006/relationships/hyperlink" Target="https://ref.ly/Luke2:13-Luke2:14" TargetMode="External"/><Relationship Id="rId9170" Type="http://schemas.openxmlformats.org/officeDocument/2006/relationships/hyperlink" Target="https://ref.ly/Rev7:11-Rev7:12" TargetMode="External"/><Relationship Id="rId9171" Type="http://schemas.openxmlformats.org/officeDocument/2006/relationships/hyperlink" Target="https://ref.ly/Ps148:1-Ps148:14" TargetMode="External"/><Relationship Id="rId9172" Type="http://schemas.openxmlformats.org/officeDocument/2006/relationships/hyperlink" Target="https://ref.ly/Ps89:5" TargetMode="External"/><Relationship Id="rId9173" Type="http://schemas.openxmlformats.org/officeDocument/2006/relationships/hyperlink" Target="https://ref.ly/Ps96:11" TargetMode="External"/><Relationship Id="rId9174" Type="http://schemas.openxmlformats.org/officeDocument/2006/relationships/hyperlink" Target="https://ref.ly/Ps98:4" TargetMode="External"/><Relationship Id="rId9175" Type="http://schemas.openxmlformats.org/officeDocument/2006/relationships/hyperlink" Target="https://ref.ly/Ps150:6" TargetMode="External"/><Relationship Id="rId9176" Type="http://schemas.openxmlformats.org/officeDocument/2006/relationships/hyperlink" Target="https://ref.ly/Ps135:19-Ps135:20" TargetMode="External"/><Relationship Id="rId9177" Type="http://schemas.openxmlformats.org/officeDocument/2006/relationships/hyperlink" Target="https://ref.ly/2Chr20:21" TargetMode="External"/><Relationship Id="rId9178" Type="http://schemas.openxmlformats.org/officeDocument/2006/relationships/hyperlink" Target="https://ref.ly/2Sam6:14" TargetMode="External"/><Relationship Id="rId9179" Type="http://schemas.openxmlformats.org/officeDocument/2006/relationships/hyperlink" Target="https://ref.ly/Ps67:2-Ps67:3" TargetMode="External"/><Relationship Id="rId9180" Type="http://schemas.openxmlformats.org/officeDocument/2006/relationships/hyperlink" Target="https://ref.ly/Rom15:7-Rom15:12" TargetMode="External"/><Relationship Id="rId9181" Type="http://schemas.openxmlformats.org/officeDocument/2006/relationships/hyperlink" Target="https://ref.ly/Phil1:11" TargetMode="External"/><Relationship Id="rId9182" Type="http://schemas.openxmlformats.org/officeDocument/2006/relationships/hyperlink" Target="https://ref.ly/Rev4:1-Rev5:14" TargetMode="External"/><Relationship Id="rId9183" Type="http://schemas.openxmlformats.org/officeDocument/2006/relationships/hyperlink" Target="https://ref.ly/Ps119:164" TargetMode="External"/><Relationship Id="rId9184" Type="http://schemas.openxmlformats.org/officeDocument/2006/relationships/hyperlink" Target="https://ref.ly/Ps113:3" TargetMode="External"/><Relationship Id="rId9185" Type="http://schemas.openxmlformats.org/officeDocument/2006/relationships/hyperlink" Target="https://ref.ly/Ps145:1" TargetMode="External"/><Relationship Id="rId9186" Type="http://schemas.openxmlformats.org/officeDocument/2006/relationships/hyperlink" Target="https://ref.ly/Ps146:2" TargetMode="External"/><Relationship Id="rId9187" Type="http://schemas.openxmlformats.org/officeDocument/2006/relationships/hyperlink" Target="https://ref.ly/Ps102:21" TargetMode="External"/><Relationship Id="rId9188" Type="http://schemas.openxmlformats.org/officeDocument/2006/relationships/hyperlink" Target="https://ref.ly/Ps107:32" TargetMode="External"/><Relationship Id="rId9189" Type="http://schemas.openxmlformats.org/officeDocument/2006/relationships/hyperlink" Target="https://ref.ly/Ps149:5" TargetMode="External"/><Relationship Id="rId9190" Type="http://schemas.openxmlformats.org/officeDocument/2006/relationships/hyperlink" Target="https://ref.ly/Acts16:25" TargetMode="External"/><Relationship Id="rId9191" Type="http://schemas.openxmlformats.org/officeDocument/2006/relationships/hyperlink" Target="https://ref.ly/Ps47:7" TargetMode="External"/><Relationship Id="rId9192" Type="http://schemas.openxmlformats.org/officeDocument/2006/relationships/hyperlink" Target="https://ref.ly/Ps150:3-Ps150:5" TargetMode="External"/><Relationship Id="rId9193" Type="http://schemas.openxmlformats.org/officeDocument/2006/relationships/hyperlink" Target="https://ref.ly/Col3:16" TargetMode="External"/><Relationship Id="rId9194" Type="http://schemas.openxmlformats.org/officeDocument/2006/relationships/hyperlink" Target="https://ref.ly/Eph5:19" TargetMode="External"/><Relationship Id="rId9195" Type="http://schemas.openxmlformats.org/officeDocument/2006/relationships/hyperlink" Target="https://ref.ly/Eph5:14" TargetMode="External"/><Relationship Id="rId9196" Type="http://schemas.openxmlformats.org/officeDocument/2006/relationships/hyperlink" Target="https://ref.ly/1Tim1:17" TargetMode="External"/><Relationship Id="rId9197" Type="http://schemas.openxmlformats.org/officeDocument/2006/relationships/hyperlink" Target="https://ref.ly/2Tim2:11-2Tim2:13" TargetMode="External"/><Relationship Id="rId9198" Type="http://schemas.openxmlformats.org/officeDocument/2006/relationships/hyperlink" Target="https://ref.ly/Ps8:3" TargetMode="External"/><Relationship Id="rId9199" Type="http://schemas.openxmlformats.org/officeDocument/2006/relationships/hyperlink" Target="https://ref.ly/Ps21:4" TargetMode="External"/><Relationship Id="rId9200" Type="http://schemas.openxmlformats.org/officeDocument/2006/relationships/hyperlink" Target="https://ref.ly/Ps116:1" TargetMode="External"/><Relationship Id="rId9201" Type="http://schemas.openxmlformats.org/officeDocument/2006/relationships/hyperlink" Target="https://ref.ly/Exod15:1-Exod15:2" TargetMode="External"/><Relationship Id="rId9202" Type="http://schemas.openxmlformats.org/officeDocument/2006/relationships/hyperlink" Target="https://ref.ly/Ps107:1-Ps107:43" TargetMode="External"/><Relationship Id="rId9203" Type="http://schemas.openxmlformats.org/officeDocument/2006/relationships/hyperlink" Target="https://ref.ly/Rev19:6" TargetMode="External"/><Relationship Id="rId9204" Type="http://schemas.openxmlformats.org/officeDocument/2006/relationships/hyperlink" Target="https://ref.ly/Luke2:14" TargetMode="External"/><Relationship Id="rId9205" Type="http://schemas.openxmlformats.org/officeDocument/2006/relationships/hyperlink" Target="https://ref.ly/Luke24:47" TargetMode="External"/><Relationship Id="rId9206" Type="http://schemas.openxmlformats.org/officeDocument/2006/relationships/hyperlink" Target="https://ref.ly/Acts16:10-Acts16:17" TargetMode="External"/><Relationship Id="rId9207" Type="http://schemas.openxmlformats.org/officeDocument/2006/relationships/hyperlink" Target="https://ref.ly/Acts20:5-Acts20:15" TargetMode="External"/><Relationship Id="rId9208" Type="http://schemas.openxmlformats.org/officeDocument/2006/relationships/hyperlink" Target="https://ref.ly/Acts21:1-Acts21:18" TargetMode="External"/><Relationship Id="rId9209" Type="http://schemas.openxmlformats.org/officeDocument/2006/relationships/hyperlink" Target="https://ref.ly/Luke4:38" TargetMode="External"/><Relationship Id="rId9210" Type="http://schemas.openxmlformats.org/officeDocument/2006/relationships/hyperlink" Target="https://ref.ly/Luke5:12" TargetMode="External"/><Relationship Id="rId9211" Type="http://schemas.openxmlformats.org/officeDocument/2006/relationships/hyperlink" Target="https://ref.ly/Luke8:43" TargetMode="External"/><Relationship Id="rId9212" Type="http://schemas.openxmlformats.org/officeDocument/2006/relationships/hyperlink" Target="https://ref.ly/Luke21:20" TargetMode="External"/><Relationship Id="rId9213" Type="http://schemas.openxmlformats.org/officeDocument/2006/relationships/hyperlink" Target="https://ref.ly/Luke1:3" TargetMode="External"/><Relationship Id="rId9214" Type="http://schemas.openxmlformats.org/officeDocument/2006/relationships/hyperlink" Target="https://ref.ly/Luke19:38" TargetMode="External"/><Relationship Id="rId9215" Type="http://schemas.openxmlformats.org/officeDocument/2006/relationships/hyperlink" Target="https://ref.ly/Luke1:5-Luke2:52" TargetMode="External"/><Relationship Id="rId9216" Type="http://schemas.openxmlformats.org/officeDocument/2006/relationships/hyperlink" Target="https://ref.ly/Num6:1-Num6:4" TargetMode="External"/><Relationship Id="rId9217" Type="http://schemas.openxmlformats.org/officeDocument/2006/relationships/hyperlink" Target="https://ref.ly/Luke1:41" TargetMode="External"/><Relationship Id="rId9218" Type="http://schemas.openxmlformats.org/officeDocument/2006/relationships/hyperlink" Target="https://ref.ly/Luke2:21-Luke2:40" TargetMode="External"/><Relationship Id="rId9219" Type="http://schemas.openxmlformats.org/officeDocument/2006/relationships/hyperlink" Target="https://ref.ly/Luke2:52" TargetMode="External"/><Relationship Id="rId9220" Type="http://schemas.openxmlformats.org/officeDocument/2006/relationships/hyperlink" Target="https://ref.ly/Luke3:1-Luke4:30" TargetMode="External"/><Relationship Id="rId9221" Type="http://schemas.openxmlformats.org/officeDocument/2006/relationships/hyperlink" Target="https://ref.ly/Luke4:3,Luke4:9" TargetMode="External"/><Relationship Id="rId9222" Type="http://schemas.openxmlformats.org/officeDocument/2006/relationships/hyperlink" Target="https://ref.ly/Luke4:24" TargetMode="External"/><Relationship Id="rId9223" Type="http://schemas.openxmlformats.org/officeDocument/2006/relationships/hyperlink" Target="https://ref.ly/Luke4:31-Luke9:50" TargetMode="External"/><Relationship Id="rId9224" Type="http://schemas.openxmlformats.org/officeDocument/2006/relationships/hyperlink" Target="https://ref.ly/Luke6:1-Luke6:11" TargetMode="External"/><Relationship Id="rId9225" Type="http://schemas.openxmlformats.org/officeDocument/2006/relationships/hyperlink" Target="https://ref.ly/Luke6:12-Luke6:49" TargetMode="External"/><Relationship Id="rId9226" Type="http://schemas.openxmlformats.org/officeDocument/2006/relationships/hyperlink" Target="https://ref.ly/Luke8:1-Luke8:18" TargetMode="External"/><Relationship Id="rId9227" Type="http://schemas.openxmlformats.org/officeDocument/2006/relationships/hyperlink" Target="https://ref.ly/Luke5:1-Luke5:11,Luke5:27-Luke5:32" TargetMode="External"/><Relationship Id="rId9228" Type="http://schemas.openxmlformats.org/officeDocument/2006/relationships/hyperlink" Target="https://ref.ly/Luke9:1-Luke9:11" TargetMode="External"/><Relationship Id="rId9229" Type="http://schemas.openxmlformats.org/officeDocument/2006/relationships/hyperlink" Target="https://ref.ly/Luke8:3" TargetMode="External"/><Relationship Id="rId9230" Type="http://schemas.openxmlformats.org/officeDocument/2006/relationships/hyperlink" Target="https://ref.ly/Luke9:10-Luke9:36" TargetMode="External"/><Relationship Id="rId9231" Type="http://schemas.openxmlformats.org/officeDocument/2006/relationships/hyperlink" Target="https://ref.ly/Luke9:51-Luke19:27" TargetMode="External"/><Relationship Id="rId9232" Type="http://schemas.openxmlformats.org/officeDocument/2006/relationships/hyperlink" Target="https://ref.ly/Luke10:25-Luke10:37" TargetMode="External"/><Relationship Id="rId9233" Type="http://schemas.openxmlformats.org/officeDocument/2006/relationships/hyperlink" Target="https://ref.ly/Luke17:11-Luke17:19" TargetMode="External"/><Relationship Id="rId9234" Type="http://schemas.openxmlformats.org/officeDocument/2006/relationships/hyperlink" Target="https://ref.ly/Luke11:31" TargetMode="External"/><Relationship Id="rId9235" Type="http://schemas.openxmlformats.org/officeDocument/2006/relationships/hyperlink" Target="https://ref.ly/Luke13:32-Luke13:33" TargetMode="External"/><Relationship Id="rId9236" Type="http://schemas.openxmlformats.org/officeDocument/2006/relationships/hyperlink" Target="https://ref.ly/Luke13:18-Luke13:30" TargetMode="External"/><Relationship Id="rId9237" Type="http://schemas.openxmlformats.org/officeDocument/2006/relationships/hyperlink" Target="https://ref.ly/Luke19:11-Luke19:27" TargetMode="External"/><Relationship Id="rId9238" Type="http://schemas.openxmlformats.org/officeDocument/2006/relationships/hyperlink" Target="https://ref.ly/Luke18:15-Luke18:17" TargetMode="External"/><Relationship Id="rId9239" Type="http://schemas.openxmlformats.org/officeDocument/2006/relationships/hyperlink" Target="https://ref.ly/Luke18:18-Luke18:30" TargetMode="External"/><Relationship Id="rId9240" Type="http://schemas.openxmlformats.org/officeDocument/2006/relationships/hyperlink" Target="https://ref.ly/Luke19:1-Luke19:10" TargetMode="External"/><Relationship Id="rId9241" Type="http://schemas.openxmlformats.org/officeDocument/2006/relationships/hyperlink" Target="https://ref.ly/Luke19:28-Luke24:53" TargetMode="External"/><Relationship Id="rId9242" Type="http://schemas.openxmlformats.org/officeDocument/2006/relationships/hyperlink" Target="https://ref.ly/Luke19:28-Luke19:44" TargetMode="External"/><Relationship Id="rId9243" Type="http://schemas.openxmlformats.org/officeDocument/2006/relationships/hyperlink" Target="https://ref.ly/Luke20:1-Luke21:38" TargetMode="External"/><Relationship Id="rId9244" Type="http://schemas.openxmlformats.org/officeDocument/2006/relationships/hyperlink" Target="https://ref.ly/Luke22:1-Luke22:6" TargetMode="External"/><Relationship Id="rId9245" Type="http://schemas.openxmlformats.org/officeDocument/2006/relationships/hyperlink" Target="https://ref.ly/Luke22:7-Luke22:46" TargetMode="External"/><Relationship Id="rId9246" Type="http://schemas.openxmlformats.org/officeDocument/2006/relationships/hyperlink" Target="https://ref.ly/Luke23:27" TargetMode="External"/><Relationship Id="rId9247" Type="http://schemas.openxmlformats.org/officeDocument/2006/relationships/hyperlink" Target="https://ref.ly/Luke24:6" TargetMode="External"/><Relationship Id="rId9248" Type="http://schemas.openxmlformats.org/officeDocument/2006/relationships/hyperlink" Target="https://ref.ly/Luke24:39" TargetMode="External"/><Relationship Id="rId9249" Type="http://schemas.openxmlformats.org/officeDocument/2006/relationships/hyperlink" Target="https://ref.ly/Luke24:46-Luke24:49" TargetMode="External"/><Relationship Id="rId9250" Type="http://schemas.openxmlformats.org/officeDocument/2006/relationships/hyperlink" Target="https://ref.ly/Luke24:50-Luke24:53" TargetMode="External"/><Relationship Id="rId9251" Type="http://schemas.openxmlformats.org/officeDocument/2006/relationships/hyperlink" Target="https://ref.ly/Acts11:19-Acts11:21" TargetMode="External"/><Relationship Id="rId9252" Type="http://schemas.openxmlformats.org/officeDocument/2006/relationships/hyperlink" Target="https://ref.ly/Col4:12-Col4:14" TargetMode="External"/><Relationship Id="rId9253" Type="http://schemas.openxmlformats.org/officeDocument/2006/relationships/hyperlink" Target="https://ref.ly/Jer46:9" TargetMode="External"/><Relationship Id="rId9254" Type="http://schemas.openxmlformats.org/officeDocument/2006/relationships/hyperlink" Target="https://ref.ly/Ezek27:10" TargetMode="External"/><Relationship Id="rId9255" Type="http://schemas.openxmlformats.org/officeDocument/2006/relationships/hyperlink" Target="https://ref.ly/Gen1:16" TargetMode="External"/><Relationship Id="rId9256" Type="http://schemas.openxmlformats.org/officeDocument/2006/relationships/hyperlink" Target="https://ref.ly/Job38:19" TargetMode="External"/><Relationship Id="rId9257" Type="http://schemas.openxmlformats.org/officeDocument/2006/relationships/hyperlink" Target="https://ref.ly/Job38:24" TargetMode="External"/><Relationship Id="rId9258" Type="http://schemas.openxmlformats.org/officeDocument/2006/relationships/hyperlink" Target="https://ref.ly/Exod25:37" TargetMode="External"/><Relationship Id="rId9259" Type="http://schemas.openxmlformats.org/officeDocument/2006/relationships/hyperlink" Target="https://ref.ly/Eccl11:7" TargetMode="External"/><Relationship Id="rId9260" Type="http://schemas.openxmlformats.org/officeDocument/2006/relationships/hyperlink" Target="https://ref.ly/Exod10:23" TargetMode="External"/><Relationship Id="rId9261" Type="http://schemas.openxmlformats.org/officeDocument/2006/relationships/hyperlink" Target="https://ref.ly/Exod14:20" TargetMode="External"/><Relationship Id="rId9262" Type="http://schemas.openxmlformats.org/officeDocument/2006/relationships/hyperlink" Target="https://ref.ly/Neh9:19" TargetMode="External"/><Relationship Id="rId9263" Type="http://schemas.openxmlformats.org/officeDocument/2006/relationships/hyperlink" Target="https://ref.ly/Neh9:12" TargetMode="External"/><Relationship Id="rId9264" Type="http://schemas.openxmlformats.org/officeDocument/2006/relationships/hyperlink" Target="https://ref.ly/Job12:22" TargetMode="External"/><Relationship Id="rId9265" Type="http://schemas.openxmlformats.org/officeDocument/2006/relationships/hyperlink" Target="https://ref.ly/Job29:2-Job29:3" TargetMode="External"/><Relationship Id="rId9266" Type="http://schemas.openxmlformats.org/officeDocument/2006/relationships/hyperlink" Target="https://ref.ly/Job22:28" TargetMode="External"/><Relationship Id="rId9267" Type="http://schemas.openxmlformats.org/officeDocument/2006/relationships/hyperlink" Target="https://ref.ly/Ps18:28" TargetMode="External"/><Relationship Id="rId9268" Type="http://schemas.openxmlformats.org/officeDocument/2006/relationships/hyperlink" Target="https://ref.ly/Ps118:27" TargetMode="External"/><Relationship Id="rId9269" Type="http://schemas.openxmlformats.org/officeDocument/2006/relationships/hyperlink" Target="https://ref.ly/Ps112:4" TargetMode="External"/><Relationship Id="rId9270" Type="http://schemas.openxmlformats.org/officeDocument/2006/relationships/hyperlink" Target="https://ref.ly/Isa60:19-Isa60:20" TargetMode="External"/><Relationship Id="rId9271" Type="http://schemas.openxmlformats.org/officeDocument/2006/relationships/hyperlink" Target="https://ref.ly/Ps27:1" TargetMode="External"/><Relationship Id="rId9272" Type="http://schemas.openxmlformats.org/officeDocument/2006/relationships/hyperlink" Target="https://ref.ly/Ps104:2" TargetMode="External"/><Relationship Id="rId9273" Type="http://schemas.openxmlformats.org/officeDocument/2006/relationships/hyperlink" Target="https://ref.ly/Dan2:22" TargetMode="External"/><Relationship Id="rId9274" Type="http://schemas.openxmlformats.org/officeDocument/2006/relationships/hyperlink" Target="https://ref.ly/Ps139:12" TargetMode="External"/><Relationship Id="rId9275" Type="http://schemas.openxmlformats.org/officeDocument/2006/relationships/hyperlink" Target="https://ref.ly/Mic7:8-Mic7:9" TargetMode="External"/><Relationship Id="rId9276" Type="http://schemas.openxmlformats.org/officeDocument/2006/relationships/hyperlink" Target="https://ref.ly/Ps4:6" TargetMode="External"/><Relationship Id="rId9277" Type="http://schemas.openxmlformats.org/officeDocument/2006/relationships/hyperlink" Target="https://ref.ly/Ps44:3" TargetMode="External"/><Relationship Id="rId9278" Type="http://schemas.openxmlformats.org/officeDocument/2006/relationships/hyperlink" Target="https://ref.ly/Ps89:15" TargetMode="External"/><Relationship Id="rId9279" Type="http://schemas.openxmlformats.org/officeDocument/2006/relationships/hyperlink" Target="https://ref.ly/Ps90:8" TargetMode="External"/><Relationship Id="rId9280" Type="http://schemas.openxmlformats.org/officeDocument/2006/relationships/hyperlink" Target="https://ref.ly/Job29:24" TargetMode="External"/><Relationship Id="rId9281" Type="http://schemas.openxmlformats.org/officeDocument/2006/relationships/hyperlink" Target="https://ref.ly/Isa42:6" TargetMode="External"/><Relationship Id="rId9282" Type="http://schemas.openxmlformats.org/officeDocument/2006/relationships/hyperlink" Target="https://ref.ly/Isa51:4" TargetMode="External"/><Relationship Id="rId9283" Type="http://schemas.openxmlformats.org/officeDocument/2006/relationships/hyperlink" Target="https://ref.ly/Prov4:18" TargetMode="External"/><Relationship Id="rId9284" Type="http://schemas.openxmlformats.org/officeDocument/2006/relationships/hyperlink" Target="https://ref.ly/Job12:25" TargetMode="External"/><Relationship Id="rId9285" Type="http://schemas.openxmlformats.org/officeDocument/2006/relationships/hyperlink" Target="https://ref.ly/Job18:5-Job18:17" TargetMode="External"/><Relationship Id="rId9286" Type="http://schemas.openxmlformats.org/officeDocument/2006/relationships/hyperlink" Target="https://ref.ly/Lam3:2" TargetMode="External"/><Relationship Id="rId9287" Type="http://schemas.openxmlformats.org/officeDocument/2006/relationships/hyperlink" Target="https://ref.ly/Acts26:13" TargetMode="External"/><Relationship Id="rId9288" Type="http://schemas.openxmlformats.org/officeDocument/2006/relationships/hyperlink" Target="https://ref.ly/Acts12:7" TargetMode="External"/><Relationship Id="rId9289" Type="http://schemas.openxmlformats.org/officeDocument/2006/relationships/hyperlink" Target="https://ref.ly/Rev22:5" TargetMode="External"/><Relationship Id="rId9290" Type="http://schemas.openxmlformats.org/officeDocument/2006/relationships/hyperlink" Target="https://ref.ly/Rev21:11" TargetMode="External"/><Relationship Id="rId9291" Type="http://schemas.openxmlformats.org/officeDocument/2006/relationships/hyperlink" Target="https://ref.ly/1John1:5" TargetMode="External"/><Relationship Id="rId9292" Type="http://schemas.openxmlformats.org/officeDocument/2006/relationships/hyperlink" Target="https://ref.ly/Jas1:17" TargetMode="External"/><Relationship Id="rId9293" Type="http://schemas.openxmlformats.org/officeDocument/2006/relationships/hyperlink" Target="https://ref.ly/John9:5" TargetMode="External"/><Relationship Id="rId9294" Type="http://schemas.openxmlformats.org/officeDocument/2006/relationships/hyperlink" Target="https://ref.ly/John12:46" TargetMode="External"/><Relationship Id="rId9295" Type="http://schemas.openxmlformats.org/officeDocument/2006/relationships/hyperlink" Target="https://ref.ly/John1:1-John1:10" TargetMode="External"/><Relationship Id="rId9296" Type="http://schemas.openxmlformats.org/officeDocument/2006/relationships/hyperlink" Target="https://ref.ly/John1:7-John1:8" TargetMode="External"/><Relationship Id="rId9297" Type="http://schemas.openxmlformats.org/officeDocument/2006/relationships/hyperlink" Target="https://ref.ly/John1:9-John1:12" TargetMode="External"/><Relationship Id="rId9298" Type="http://schemas.openxmlformats.org/officeDocument/2006/relationships/hyperlink" Target="https://ref.ly/Matt4:16" TargetMode="External"/><Relationship Id="rId9299" Type="http://schemas.openxmlformats.org/officeDocument/2006/relationships/hyperlink" Target="https://ref.ly/Luke2:32" TargetMode="External"/><Relationship Id="rId9300" Type="http://schemas.openxmlformats.org/officeDocument/2006/relationships/hyperlink" Target="https://ref.ly/Acts13:47" TargetMode="External"/><Relationship Id="rId9301" Type="http://schemas.openxmlformats.org/officeDocument/2006/relationships/hyperlink" Target="https://ref.ly/Acts26:18" TargetMode="External"/><Relationship Id="rId9302" Type="http://schemas.openxmlformats.org/officeDocument/2006/relationships/hyperlink" Target="https://ref.ly/John1:5" TargetMode="External"/><Relationship Id="rId9303" Type="http://schemas.openxmlformats.org/officeDocument/2006/relationships/hyperlink" Target="https://ref.ly/1John2:8" TargetMode="External"/><Relationship Id="rId9304" Type="http://schemas.openxmlformats.org/officeDocument/2006/relationships/hyperlink" Target="https://ref.ly/John3:19" TargetMode="External"/><Relationship Id="rId9305" Type="http://schemas.openxmlformats.org/officeDocument/2006/relationships/hyperlink" Target="https://ref.ly/John3:20-John3:21" TargetMode="External"/><Relationship Id="rId9306" Type="http://schemas.openxmlformats.org/officeDocument/2006/relationships/hyperlink" Target="https://ref.ly/John11:10" TargetMode="External"/><Relationship Id="rId9307" Type="http://schemas.openxmlformats.org/officeDocument/2006/relationships/hyperlink" Target="https://ref.ly/John12:36" TargetMode="External"/><Relationship Id="rId9308" Type="http://schemas.openxmlformats.org/officeDocument/2006/relationships/hyperlink" Target="https://ref.ly/Luke16:8" TargetMode="External"/><Relationship Id="rId9309" Type="http://schemas.openxmlformats.org/officeDocument/2006/relationships/hyperlink" Target="https://ref.ly/Matt5:14" TargetMode="External"/><Relationship Id="rId9310" Type="http://schemas.openxmlformats.org/officeDocument/2006/relationships/hyperlink" Target="https://ref.ly/Matt6:23" TargetMode="External"/><Relationship Id="rId9311" Type="http://schemas.openxmlformats.org/officeDocument/2006/relationships/hyperlink" Target="https://ref.ly/Luke11:35" TargetMode="External"/><Relationship Id="rId9312" Type="http://schemas.openxmlformats.org/officeDocument/2006/relationships/hyperlink" Target="https://ref.ly/Gen35:6" TargetMode="External"/><Relationship Id="rId9313" Type="http://schemas.openxmlformats.org/officeDocument/2006/relationships/hyperlink" Target="https://ref.ly/Judg1:22-Judg1:25" TargetMode="External"/><Relationship Id="rId9314" Type="http://schemas.openxmlformats.org/officeDocument/2006/relationships/hyperlink" Target="https://ref.ly/Acts14:11" TargetMode="External"/><Relationship Id="rId9315" Type="http://schemas.openxmlformats.org/officeDocument/2006/relationships/hyperlink" Target="https://ref.ly/Acts14:21-Acts14:22" TargetMode="External"/><Relationship Id="rId9316" Type="http://schemas.openxmlformats.org/officeDocument/2006/relationships/hyperlink" Target="https://ref.ly/Acts14:11-Acts14:18" TargetMode="External"/><Relationship Id="rId9317" Type="http://schemas.openxmlformats.org/officeDocument/2006/relationships/hyperlink" Target="https://ref.ly/Acts16:1-Acts16:5" TargetMode="External"/><Relationship Id="rId9318" Type="http://schemas.openxmlformats.org/officeDocument/2006/relationships/hyperlink" Target="https://ref.ly/Acts27:5-Acts27:7" TargetMode="External"/><Relationship Id="rId9319" Type="http://schemas.openxmlformats.org/officeDocument/2006/relationships/hyperlink" Target="https://ref.ly/Acts9:32-Acts9:38" TargetMode="External"/><Relationship Id="rId9320" Type="http://schemas.openxmlformats.org/officeDocument/2006/relationships/hyperlink" Target="https://ref.ly/Acts16:14,Acts16:40" TargetMode="External"/><Relationship Id="rId9321" Type="http://schemas.openxmlformats.org/officeDocument/2006/relationships/hyperlink" Target="https://ref.ly/1Macc3:31-1Macc3:37" TargetMode="External"/><Relationship Id="rId9322" Type="http://schemas.openxmlformats.org/officeDocument/2006/relationships/hyperlink" Target="https://ref.ly/Acts14:8" TargetMode="External"/><Relationship Id="rId9323" Type="http://schemas.openxmlformats.org/officeDocument/2006/relationships/hyperlink" Target="https://ref.ly/Acts14:9-Acts14:21" TargetMode="External"/><Relationship Id="rId9324" Type="http://schemas.openxmlformats.org/officeDocument/2006/relationships/hyperlink" Target="https://ref.ly/Acts14:13" TargetMode="External"/><Relationship Id="rId9325" Type="http://schemas.openxmlformats.org/officeDocument/2006/relationships/hyperlink" Target="https://ref.ly/Josh13:11" TargetMode="External"/><Relationship Id="rId9326" Type="http://schemas.openxmlformats.org/officeDocument/2006/relationships/hyperlink" Target="https://ref.ly/Josh12:4-Josh12:5" TargetMode="External"/><Relationship Id="rId9327" Type="http://schemas.openxmlformats.org/officeDocument/2006/relationships/hyperlink" Target="https://ref.ly/2Sam3:3" TargetMode="External"/><Relationship Id="rId9328" Type="http://schemas.openxmlformats.org/officeDocument/2006/relationships/hyperlink" Target="https://ref.ly/1Chr3:2" TargetMode="External"/><Relationship Id="rId9329" Type="http://schemas.openxmlformats.org/officeDocument/2006/relationships/hyperlink" Target="https://ref.ly/1Kgs2:39" TargetMode="External"/><Relationship Id="rId9330" Type="http://schemas.openxmlformats.org/officeDocument/2006/relationships/hyperlink" Target="https://ref.ly/1Sam27:2" TargetMode="External"/><Relationship Id="rId9331" Type="http://schemas.openxmlformats.org/officeDocument/2006/relationships/hyperlink" Target="https://ref.ly/1Kgs15:2,1Kgs15:10" TargetMode="External"/><Relationship Id="rId9332" Type="http://schemas.openxmlformats.org/officeDocument/2006/relationships/hyperlink" Target="https://ref.ly/1Kgs15:10" TargetMode="External"/><Relationship Id="rId9333" Type="http://schemas.openxmlformats.org/officeDocument/2006/relationships/hyperlink" Target="https://ref.ly/2Chr11:20-2Chr11:22" TargetMode="External"/><Relationship Id="rId9334" Type="http://schemas.openxmlformats.org/officeDocument/2006/relationships/hyperlink" Target="https://ref.ly/1Kgs15:10-1Kgs15:13" TargetMode="External"/><Relationship Id="rId9335" Type="http://schemas.openxmlformats.org/officeDocument/2006/relationships/hyperlink" Target="https://ref.ly/2Chr15:16" TargetMode="External"/><Relationship Id="rId9336" Type="http://schemas.openxmlformats.org/officeDocument/2006/relationships/hyperlink" Target="https://ref.ly/2Chr13:2" TargetMode="External"/><Relationship Id="rId9337" Type="http://schemas.openxmlformats.org/officeDocument/2006/relationships/hyperlink" Target="https://ref.ly/1Chr2:48" TargetMode="External"/><Relationship Id="rId9338" Type="http://schemas.openxmlformats.org/officeDocument/2006/relationships/hyperlink" Target="https://ref.ly/1Chr7:15-1Chr7:16" TargetMode="External"/><Relationship Id="rId9339" Type="http://schemas.openxmlformats.org/officeDocument/2006/relationships/hyperlink" Target="https://ref.ly/1Chr8:29" TargetMode="External"/><Relationship Id="rId9340" Type="http://schemas.openxmlformats.org/officeDocument/2006/relationships/hyperlink" Target="https://ref.ly/1Chr9:35" TargetMode="External"/><Relationship Id="rId9341" Type="http://schemas.openxmlformats.org/officeDocument/2006/relationships/hyperlink" Target="https://ref.ly/1Chr11:43" TargetMode="External"/><Relationship Id="rId9342" Type="http://schemas.openxmlformats.org/officeDocument/2006/relationships/hyperlink" Target="https://ref.ly/Acts16:12" TargetMode="External"/><Relationship Id="rId9343" Type="http://schemas.openxmlformats.org/officeDocument/2006/relationships/hyperlink" Target="https://ref.ly/Acts16:11-Acts16:12" TargetMode="External"/><Relationship Id="rId9344" Type="http://schemas.openxmlformats.org/officeDocument/2006/relationships/hyperlink" Target="https://ref.ly/Acts16:9-Acts16:12" TargetMode="External"/><Relationship Id="rId9345" Type="http://schemas.openxmlformats.org/officeDocument/2006/relationships/hyperlink" Target="https://ref.ly/Acts16:11-Acts17:15" TargetMode="External"/><Relationship Id="rId9346" Type="http://schemas.openxmlformats.org/officeDocument/2006/relationships/hyperlink" Target="https://ref.ly/Acts19:21-Acts19:22" TargetMode="External"/><Relationship Id="rId9347" Type="http://schemas.openxmlformats.org/officeDocument/2006/relationships/hyperlink" Target="https://ref.ly/1Cor16:5" TargetMode="External"/><Relationship Id="rId9348" Type="http://schemas.openxmlformats.org/officeDocument/2006/relationships/hyperlink" Target="https://ref.ly/2Cor1:16" TargetMode="External"/><Relationship Id="rId9349" Type="http://schemas.openxmlformats.org/officeDocument/2006/relationships/hyperlink" Target="https://ref.ly/2Cor9:2-2Cor9:4" TargetMode="External"/><Relationship Id="rId9350" Type="http://schemas.openxmlformats.org/officeDocument/2006/relationships/hyperlink" Target="https://ref.ly/2Cor8:1-2Cor8:2" TargetMode="External"/><Relationship Id="rId9351" Type="http://schemas.openxmlformats.org/officeDocument/2006/relationships/hyperlink" Target="https://ref.ly/2Cor7:5" TargetMode="External"/><Relationship Id="rId9352" Type="http://schemas.openxmlformats.org/officeDocument/2006/relationships/hyperlink" Target="https://ref.ly/Matt11:2-Matt11:3" TargetMode="External"/><Relationship Id="rId9353" Type="http://schemas.openxmlformats.org/officeDocument/2006/relationships/hyperlink" Target="https://ref.ly/Luke7:18-Luke7:20" TargetMode="External"/><Relationship Id="rId9354" Type="http://schemas.openxmlformats.org/officeDocument/2006/relationships/hyperlink" Target="https://ref.ly/Matt14:1-Matt14:12" TargetMode="External"/><Relationship Id="rId9355" Type="http://schemas.openxmlformats.org/officeDocument/2006/relationships/hyperlink" Target="https://ref.ly/Gen23:8-Gen23:19" TargetMode="External"/><Relationship Id="rId9356" Type="http://schemas.openxmlformats.org/officeDocument/2006/relationships/hyperlink" Target="https://ref.ly/Gen49:30-Gen49:31" TargetMode="External"/><Relationship Id="rId9357" Type="http://schemas.openxmlformats.org/officeDocument/2006/relationships/hyperlink" Target="https://ref.ly/Gen25:1-Gen25:6" TargetMode="External"/><Relationship Id="rId9358" Type="http://schemas.openxmlformats.org/officeDocument/2006/relationships/hyperlink" Target="https://ref.ly/Exod2:15-Exod3:1" TargetMode="External"/><Relationship Id="rId9359" Type="http://schemas.openxmlformats.org/officeDocument/2006/relationships/hyperlink" Target="https://ref.ly/Num22:1-Num22:6" TargetMode="External"/><Relationship Id="rId9360" Type="http://schemas.openxmlformats.org/officeDocument/2006/relationships/hyperlink" Target="https://ref.ly/Num31:1-Num31:20" TargetMode="External"/><Relationship Id="rId9361" Type="http://schemas.openxmlformats.org/officeDocument/2006/relationships/hyperlink" Target="https://ref.ly/Judg6:1-Judg8:28" TargetMode="External"/><Relationship Id="rId9362" Type="http://schemas.openxmlformats.org/officeDocument/2006/relationships/hyperlink" Target="https://ref.ly/Gen23:1-Gen23:2" TargetMode="External"/><Relationship Id="rId9363" Type="http://schemas.openxmlformats.org/officeDocument/2006/relationships/hyperlink" Target="https://ref.ly/Gen24:67" TargetMode="External"/><Relationship Id="rId9364" Type="http://schemas.openxmlformats.org/officeDocument/2006/relationships/hyperlink" Target="https://ref.ly/1Chr1:32-1Chr1:33" TargetMode="External"/><Relationship Id="rId9365" Type="http://schemas.openxmlformats.org/officeDocument/2006/relationships/hyperlink" Target="https://ref.ly/Gen17:15-Gen17:21" TargetMode="External"/><Relationship Id="rId9366" Type="http://schemas.openxmlformats.org/officeDocument/2006/relationships/hyperlink" Target="https://ref.ly/Gen37:17,Gen37:25-Gen37:28,Gen37:36" TargetMode="External"/><Relationship Id="rId9367" Type="http://schemas.openxmlformats.org/officeDocument/2006/relationships/hyperlink" Target="https://ref.ly/Exod2:15-Exod2:22" TargetMode="External"/><Relationship Id="rId9368" Type="http://schemas.openxmlformats.org/officeDocument/2006/relationships/hyperlink" Target="https://ref.ly/Deut1:19" TargetMode="External"/><Relationship Id="rId9369" Type="http://schemas.openxmlformats.org/officeDocument/2006/relationships/hyperlink" Target="https://ref.ly/Num10:11-Num10:12,Num10:29-Num10:31" TargetMode="External"/><Relationship Id="rId9370" Type="http://schemas.openxmlformats.org/officeDocument/2006/relationships/hyperlink" Target="https://ref.ly/Num21:26-Num21:30" TargetMode="External"/><Relationship Id="rId9371" Type="http://schemas.openxmlformats.org/officeDocument/2006/relationships/hyperlink" Target="https://ref.ly/Jer48:45" TargetMode="External"/><Relationship Id="rId9372" Type="http://schemas.openxmlformats.org/officeDocument/2006/relationships/hyperlink" Target="https://ref.ly/Num22:2-Num22:7" TargetMode="External"/><Relationship Id="rId9373" Type="http://schemas.openxmlformats.org/officeDocument/2006/relationships/hyperlink" Target="https://ref.ly/Num25:1" TargetMode="External"/><Relationship Id="rId9374" Type="http://schemas.openxmlformats.org/officeDocument/2006/relationships/hyperlink" Target="https://ref.ly/Josh13:21" TargetMode="External"/><Relationship Id="rId9375" Type="http://schemas.openxmlformats.org/officeDocument/2006/relationships/hyperlink" Target="https://ref.ly/Deut18:9-Deut18:14" TargetMode="External"/><Relationship Id="rId9376" Type="http://schemas.openxmlformats.org/officeDocument/2006/relationships/hyperlink" Target="https://ref.ly/Exod7:1-Exod8:32" TargetMode="External"/><Relationship Id="rId9377" Type="http://schemas.openxmlformats.org/officeDocument/2006/relationships/hyperlink" Target="https://ref.ly/Exod8:1-Exod8:32" TargetMode="External"/><Relationship Id="rId9378" Type="http://schemas.openxmlformats.org/officeDocument/2006/relationships/hyperlink" Target="https://ref.ly/Exod9:1-Exod9:35" TargetMode="External"/><Relationship Id="rId9379" Type="http://schemas.openxmlformats.org/officeDocument/2006/relationships/hyperlink" Target="https://ref.ly/Acts8:11" TargetMode="External"/><Relationship Id="rId9380" Type="http://schemas.openxmlformats.org/officeDocument/2006/relationships/hyperlink" Target="https://ref.ly/Acts19:11-Acts19:20" TargetMode="External"/><Relationship Id="rId9381" Type="http://schemas.openxmlformats.org/officeDocument/2006/relationships/hyperlink" Target="https://ref.ly/Ezra7:25" TargetMode="External"/><Relationship Id="rId9382" Type="http://schemas.openxmlformats.org/officeDocument/2006/relationships/hyperlink" Target="https://ref.ly/Dan3:2-Dan3:3" TargetMode="External"/><Relationship Id="rId9383" Type="http://schemas.openxmlformats.org/officeDocument/2006/relationships/hyperlink" Target="https://ref.ly/Luke12:58" TargetMode="External"/><Relationship Id="rId9384" Type="http://schemas.openxmlformats.org/officeDocument/2006/relationships/hyperlink" Target="https://ref.ly/Acts16:20-Acts16:38" TargetMode="External"/><Relationship Id="rId9385" Type="http://schemas.openxmlformats.org/officeDocument/2006/relationships/hyperlink" Target="https://ref.ly/Ezek38:1-Ezek39:29" TargetMode="External"/><Relationship Id="rId9386" Type="http://schemas.openxmlformats.org/officeDocument/2006/relationships/hyperlink" Target="https://ref.ly/Ezek38:2" TargetMode="External"/><Relationship Id="rId9387" Type="http://schemas.openxmlformats.org/officeDocument/2006/relationships/hyperlink" Target="https://ref.ly/Ezek39:6" TargetMode="External"/><Relationship Id="rId9388" Type="http://schemas.openxmlformats.org/officeDocument/2006/relationships/hyperlink" Target="https://ref.ly/Ezek38:1-Ezek38:23" TargetMode="External"/><Relationship Id="rId9389" Type="http://schemas.openxmlformats.org/officeDocument/2006/relationships/hyperlink" Target="https://ref.ly/Ezek39:1-Ezek39:29" TargetMode="External"/><Relationship Id="rId9390" Type="http://schemas.openxmlformats.org/officeDocument/2006/relationships/hyperlink" Target="https://ref.ly/Ezek38:8-Ezek38:16" TargetMode="External"/><Relationship Id="rId9391" Type="http://schemas.openxmlformats.org/officeDocument/2006/relationships/hyperlink" Target="https://ref.ly/Ezek38:5-Ezek38:6" TargetMode="External"/><Relationship Id="rId9392" Type="http://schemas.openxmlformats.org/officeDocument/2006/relationships/hyperlink" Target="https://ref.ly/Rev20:8" TargetMode="External"/><Relationship Id="rId9393" Type="http://schemas.openxmlformats.org/officeDocument/2006/relationships/hyperlink" Target="https://ref.ly/Gen5:12-Gen5:17" TargetMode="External"/><Relationship Id="rId9394" Type="http://schemas.openxmlformats.org/officeDocument/2006/relationships/hyperlink" Target="https://ref.ly/Neh11:4" TargetMode="External"/><Relationship Id="rId9395" Type="http://schemas.openxmlformats.org/officeDocument/2006/relationships/hyperlink" Target="https://ref.ly/Gen36:3-Gen36:17" TargetMode="External"/><Relationship Id="rId9396" Type="http://schemas.openxmlformats.org/officeDocument/2006/relationships/hyperlink" Target="https://ref.ly/Gen32:1-Gen32:11" TargetMode="External"/><Relationship Id="rId9397" Type="http://schemas.openxmlformats.org/officeDocument/2006/relationships/hyperlink" Target="https://ref.ly/Josh13:26,Josh13:30" TargetMode="External"/><Relationship Id="rId9398" Type="http://schemas.openxmlformats.org/officeDocument/2006/relationships/hyperlink" Target="https://ref.ly/Josh21:38" TargetMode="External"/><Relationship Id="rId9399" Type="http://schemas.openxmlformats.org/officeDocument/2006/relationships/hyperlink" Target="https://ref.ly/1Chr6:80" TargetMode="External"/><Relationship Id="rId9400" Type="http://schemas.openxmlformats.org/officeDocument/2006/relationships/hyperlink" Target="https://ref.ly/2Sam2:8,2Sam2:12,2Sam2:29" TargetMode="External"/><Relationship Id="rId9401" Type="http://schemas.openxmlformats.org/officeDocument/2006/relationships/hyperlink" Target="https://ref.ly/2Sam4:5-2Sam4:7" TargetMode="External"/><Relationship Id="rId9402" Type="http://schemas.openxmlformats.org/officeDocument/2006/relationships/hyperlink" Target="https://ref.ly/2Sam17:24-2Sam17:27" TargetMode="External"/><Relationship Id="rId9403" Type="http://schemas.openxmlformats.org/officeDocument/2006/relationships/hyperlink" Target="https://ref.ly/1Kgs4:14" TargetMode="External"/><Relationship Id="rId9404" Type="http://schemas.openxmlformats.org/officeDocument/2006/relationships/hyperlink" Target="https://ref.ly/Deut2:15" TargetMode="External"/><Relationship Id="rId9405" Type="http://schemas.openxmlformats.org/officeDocument/2006/relationships/hyperlink" Target="https://ref.ly/Ps31:5" TargetMode="External"/><Relationship Id="rId9406" Type="http://schemas.openxmlformats.org/officeDocument/2006/relationships/hyperlink" Target="https://ref.ly/Josh8:20" TargetMode="External"/><Relationship Id="rId9407" Type="http://schemas.openxmlformats.org/officeDocument/2006/relationships/hyperlink" Target="https://ref.ly/Ps76:5" TargetMode="External"/><Relationship Id="rId9408" Type="http://schemas.openxmlformats.org/officeDocument/2006/relationships/hyperlink" Target="https://ref.ly/Isa35:3" TargetMode="External"/><Relationship Id="rId9409" Type="http://schemas.openxmlformats.org/officeDocument/2006/relationships/hyperlink" Target="https://ref.ly/2Kgs10:15" TargetMode="External"/><Relationship Id="rId9410" Type="http://schemas.openxmlformats.org/officeDocument/2006/relationships/hyperlink" Target="https://ref.ly/Ps16:11" TargetMode="External"/><Relationship Id="rId9411" Type="http://schemas.openxmlformats.org/officeDocument/2006/relationships/hyperlink" Target="https://ref.ly/Ps77:10" TargetMode="External"/><Relationship Id="rId9412" Type="http://schemas.openxmlformats.org/officeDocument/2006/relationships/hyperlink" Target="https://ref.ly/Ps26:6" TargetMode="External"/><Relationship Id="rId9413" Type="http://schemas.openxmlformats.org/officeDocument/2006/relationships/hyperlink" Target="https://ref.ly/Prov6:1" TargetMode="External"/><Relationship Id="rId9414" Type="http://schemas.openxmlformats.org/officeDocument/2006/relationships/hyperlink" Target="https://ref.ly/Exod17:11" TargetMode="External"/><Relationship Id="rId9415" Type="http://schemas.openxmlformats.org/officeDocument/2006/relationships/hyperlink" Target="https://ref.ly/Lev9:22" TargetMode="External"/><Relationship Id="rId9416" Type="http://schemas.openxmlformats.org/officeDocument/2006/relationships/hyperlink" Target="https://ref.ly/Isa1:15" TargetMode="External"/><Relationship Id="rId9417" Type="http://schemas.openxmlformats.org/officeDocument/2006/relationships/hyperlink" Target="https://ref.ly/1Tim2:8" TargetMode="External"/><Relationship Id="rId9418" Type="http://schemas.openxmlformats.org/officeDocument/2006/relationships/hyperlink" Target="https://ref.ly/Gen14:22" TargetMode="External"/><Relationship Id="rId9419" Type="http://schemas.openxmlformats.org/officeDocument/2006/relationships/hyperlink" Target="https://ref.ly/Gen24:2" TargetMode="External"/><Relationship Id="rId9420" Type="http://schemas.openxmlformats.org/officeDocument/2006/relationships/hyperlink" Target="https://ref.ly/Judg12:3" TargetMode="External"/><Relationship Id="rId9421" Type="http://schemas.openxmlformats.org/officeDocument/2006/relationships/hyperlink" Target="https://ref.ly/2Kgs11:12" TargetMode="External"/><Relationship Id="rId9422" Type="http://schemas.openxmlformats.org/officeDocument/2006/relationships/hyperlink" Target="https://ref.ly/Deut15:11" TargetMode="External"/><Relationship Id="rId9423" Type="http://schemas.openxmlformats.org/officeDocument/2006/relationships/hyperlink" Target="https://ref.ly/Prov30:32" TargetMode="External"/><Relationship Id="rId9424" Type="http://schemas.openxmlformats.org/officeDocument/2006/relationships/hyperlink" Target="https://ref.ly/Luke9:62" TargetMode="External"/><Relationship Id="rId9425" Type="http://schemas.openxmlformats.org/officeDocument/2006/relationships/hyperlink" Target="https://ref.ly/Matt27:24" TargetMode="External"/><Relationship Id="rId9426" Type="http://schemas.openxmlformats.org/officeDocument/2006/relationships/hyperlink" Target="https://ref.ly/Exod14:8" TargetMode="External"/><Relationship Id="rId9427" Type="http://schemas.openxmlformats.org/officeDocument/2006/relationships/hyperlink" Target="https://ref.ly/Eph4:28" TargetMode="External"/><Relationship Id="rId9428" Type="http://schemas.openxmlformats.org/officeDocument/2006/relationships/hyperlink" Target="https://ref.ly/1Thess4:11" TargetMode="External"/><Relationship Id="rId9429" Type="http://schemas.openxmlformats.org/officeDocument/2006/relationships/hyperlink" Target="https://ref.ly/1Cor4:12" TargetMode="External"/><Relationship Id="rId9430" Type="http://schemas.openxmlformats.org/officeDocument/2006/relationships/hyperlink" Target="https://ref.ly/Exod40:30-Exod40:32" TargetMode="External"/><Relationship Id="rId9431" Type="http://schemas.openxmlformats.org/officeDocument/2006/relationships/hyperlink" Target="https://ref.ly/Matt15:1-Matt15:20" TargetMode="External"/><Relationship Id="rId9432" Type="http://schemas.openxmlformats.org/officeDocument/2006/relationships/hyperlink" Target="https://ref.ly/Luke11:38" TargetMode="External"/><Relationship Id="rId9433" Type="http://schemas.openxmlformats.org/officeDocument/2006/relationships/hyperlink" Target="https://ref.ly/Ezra7:6" TargetMode="External"/><Relationship Id="rId9434" Type="http://schemas.openxmlformats.org/officeDocument/2006/relationships/hyperlink" Target="https://ref.ly/John10:28-John10:29" TargetMode="External"/><Relationship Id="rId9435" Type="http://schemas.openxmlformats.org/officeDocument/2006/relationships/hyperlink" Target="https://ref.ly/Lev1:4" TargetMode="External"/><Relationship Id="rId9436" Type="http://schemas.openxmlformats.org/officeDocument/2006/relationships/hyperlink" Target="https://ref.ly/Num27:12-Num27:23" TargetMode="External"/><Relationship Id="rId9437" Type="http://schemas.openxmlformats.org/officeDocument/2006/relationships/hyperlink" Target="https://ref.ly/Acts6:5-Acts6:6" TargetMode="External"/><Relationship Id="rId9438" Type="http://schemas.openxmlformats.org/officeDocument/2006/relationships/hyperlink" Target="https://ref.ly/Acts13:3" TargetMode="External"/><Relationship Id="rId9439" Type="http://schemas.openxmlformats.org/officeDocument/2006/relationships/hyperlink" Target="https://ref.ly/1Tim4:14" TargetMode="External"/><Relationship Id="rId9440" Type="http://schemas.openxmlformats.org/officeDocument/2006/relationships/hyperlink" Target="https://ref.ly/2Tim1:6" TargetMode="External"/><Relationship Id="rId9441" Type="http://schemas.openxmlformats.org/officeDocument/2006/relationships/hyperlink" Target="https://ref.ly/Mark6:5" TargetMode="External"/><Relationship Id="rId9442" Type="http://schemas.openxmlformats.org/officeDocument/2006/relationships/hyperlink" Target="https://ref.ly/Luke4:40" TargetMode="External"/><Relationship Id="rId9443" Type="http://schemas.openxmlformats.org/officeDocument/2006/relationships/hyperlink" Target="https://ref.ly/Luke13:11-Luke13:13" TargetMode="External"/><Relationship Id="rId9444" Type="http://schemas.openxmlformats.org/officeDocument/2006/relationships/hyperlink" Target="https://ref.ly/Mark16:18" TargetMode="External"/><Relationship Id="rId9445" Type="http://schemas.openxmlformats.org/officeDocument/2006/relationships/hyperlink" Target="https://ref.ly/Acts9:12,Acts9:17" TargetMode="External"/><Relationship Id="rId9446" Type="http://schemas.openxmlformats.org/officeDocument/2006/relationships/hyperlink" Target="https://ref.ly/Ps17:7,Ps17:98" TargetMode="External"/><Relationship Id="rId9447" Type="http://schemas.openxmlformats.org/officeDocument/2006/relationships/hyperlink" Target="https://ref.ly/Hab2:16" TargetMode="External"/><Relationship Id="rId9448" Type="http://schemas.openxmlformats.org/officeDocument/2006/relationships/hyperlink" Target="https://ref.ly/Ps139:10" TargetMode="External"/><Relationship Id="rId9449" Type="http://schemas.openxmlformats.org/officeDocument/2006/relationships/hyperlink" Target="https://ref.ly/Job40:14" TargetMode="External"/><Relationship Id="rId9450" Type="http://schemas.openxmlformats.org/officeDocument/2006/relationships/hyperlink" Target="https://ref.ly/Isa41:13" TargetMode="External"/><Relationship Id="rId9451" Type="http://schemas.openxmlformats.org/officeDocument/2006/relationships/hyperlink" Target="https://ref.ly/Rom8:34" TargetMode="External"/><Relationship Id="rId9452" Type="http://schemas.openxmlformats.org/officeDocument/2006/relationships/hyperlink" Target="https://ref.ly/Prov3:16" TargetMode="External"/><Relationship Id="rId9453" Type="http://schemas.openxmlformats.org/officeDocument/2006/relationships/hyperlink" Target="https://ref.ly/Eccl10:2" TargetMode="External"/><Relationship Id="rId9454" Type="http://schemas.openxmlformats.org/officeDocument/2006/relationships/hyperlink" Target="https://ref.ly/Phil4:22" TargetMode="External"/><Relationship Id="rId9455" Type="http://schemas.openxmlformats.org/officeDocument/2006/relationships/hyperlink" Target="https://ref.ly/Acts28:17,Acts28:31" TargetMode="External"/><Relationship Id="rId9456" Type="http://schemas.openxmlformats.org/officeDocument/2006/relationships/hyperlink" Target="https://ref.ly/Acts28:23-Acts28:24" TargetMode="External"/><Relationship Id="rId9457" Type="http://schemas.openxmlformats.org/officeDocument/2006/relationships/hyperlink" Target="https://ref.ly/Phil1:13" TargetMode="External"/><Relationship Id="rId9458" Type="http://schemas.openxmlformats.org/officeDocument/2006/relationships/hyperlink" Target="https://ref.ly/Deut23:18" TargetMode="External"/><Relationship Id="rId9459" Type="http://schemas.openxmlformats.org/officeDocument/2006/relationships/hyperlink" Target="https://ref.ly/1Chr6:31-1Chr6:32" TargetMode="External"/><Relationship Id="rId9460" Type="http://schemas.openxmlformats.org/officeDocument/2006/relationships/hyperlink" Target="https://ref.ly/1Kgs8:11-1Kgs8:20" TargetMode="External"/><Relationship Id="rId9461" Type="http://schemas.openxmlformats.org/officeDocument/2006/relationships/hyperlink" Target="https://ref.ly/1Kgs12:27" TargetMode="External"/><Relationship Id="rId9462" Type="http://schemas.openxmlformats.org/officeDocument/2006/relationships/hyperlink" Target="https://ref.ly/Jer20:1" TargetMode="External"/><Relationship Id="rId9463" Type="http://schemas.openxmlformats.org/officeDocument/2006/relationships/hyperlink" Target="https://ref.ly/Judg9:4" TargetMode="External"/><Relationship Id="rId9464" Type="http://schemas.openxmlformats.org/officeDocument/2006/relationships/hyperlink" Target="https://ref.ly/2Kgs10:21" TargetMode="External"/><Relationship Id="rId9465" Type="http://schemas.openxmlformats.org/officeDocument/2006/relationships/hyperlink" Target="https://ref.ly/Matt12:4" TargetMode="External"/><Relationship Id="rId9466" Type="http://schemas.openxmlformats.org/officeDocument/2006/relationships/hyperlink" Target="https://ref.ly/Mark11:17" TargetMode="External"/><Relationship Id="rId9467" Type="http://schemas.openxmlformats.org/officeDocument/2006/relationships/hyperlink" Target="https://ref.ly/Luke6:4" TargetMode="External"/><Relationship Id="rId9468" Type="http://schemas.openxmlformats.org/officeDocument/2006/relationships/hyperlink" Target="https://ref.ly/John2:16-John2:17" TargetMode="External"/><Relationship Id="rId9469" Type="http://schemas.openxmlformats.org/officeDocument/2006/relationships/hyperlink" Target="https://ref.ly/1Cor3:9" TargetMode="External"/><Relationship Id="rId9470" Type="http://schemas.openxmlformats.org/officeDocument/2006/relationships/hyperlink" Target="https://ref.ly/Gen46:26" TargetMode="External"/><Relationship Id="rId9471" Type="http://schemas.openxmlformats.org/officeDocument/2006/relationships/hyperlink" Target="https://ref.ly/2Sam3:27" TargetMode="External"/><Relationship Id="rId9472" Type="http://schemas.openxmlformats.org/officeDocument/2006/relationships/hyperlink" Target="https://ref.ly/Acts11:14" TargetMode="External"/><Relationship Id="rId9473" Type="http://schemas.openxmlformats.org/officeDocument/2006/relationships/hyperlink" Target="https://ref.ly/1Sam25:1" TargetMode="External"/><Relationship Id="rId9474" Type="http://schemas.openxmlformats.org/officeDocument/2006/relationships/hyperlink" Target="https://ref.ly/1Kgs2:34" TargetMode="External"/><Relationship Id="rId9475" Type="http://schemas.openxmlformats.org/officeDocument/2006/relationships/hyperlink" Target="https://ref.ly/Matt7:25" TargetMode="External"/><Relationship Id="rId9476" Type="http://schemas.openxmlformats.org/officeDocument/2006/relationships/hyperlink" Target="https://ref.ly/Mark2:4" TargetMode="External"/><Relationship Id="rId9477" Type="http://schemas.openxmlformats.org/officeDocument/2006/relationships/hyperlink" Target="https://ref.ly/Matt10:27" TargetMode="External"/><Relationship Id="rId9478" Type="http://schemas.openxmlformats.org/officeDocument/2006/relationships/hyperlink" Target="https://ref.ly/Luke12:3" TargetMode="External"/><Relationship Id="rId9479" Type="http://schemas.openxmlformats.org/officeDocument/2006/relationships/hyperlink" Target="https://ref.ly/Luke15:8" TargetMode="External"/><Relationship Id="rId9480" Type="http://schemas.openxmlformats.org/officeDocument/2006/relationships/hyperlink" Target="https://ref.ly/Mark8:3" TargetMode="External"/><Relationship Id="rId9481" Type="http://schemas.openxmlformats.org/officeDocument/2006/relationships/hyperlink" Target="https://ref.ly/Luke10:5" TargetMode="External"/><Relationship Id="rId9482" Type="http://schemas.openxmlformats.org/officeDocument/2006/relationships/hyperlink" Target="https://ref.ly/Luke16:4" TargetMode="External"/><Relationship Id="rId9483" Type="http://schemas.openxmlformats.org/officeDocument/2006/relationships/hyperlink" Target="https://ref.ly/Luke19:9" TargetMode="External"/><Relationship Id="rId9484" Type="http://schemas.openxmlformats.org/officeDocument/2006/relationships/hyperlink" Target="https://ref.ly/John11:20" TargetMode="External"/><Relationship Id="rId9485" Type="http://schemas.openxmlformats.org/officeDocument/2006/relationships/hyperlink" Target="https://ref.ly/Acts4:34" TargetMode="External"/><Relationship Id="rId9486" Type="http://schemas.openxmlformats.org/officeDocument/2006/relationships/hyperlink" Target="https://ref.ly/Acts10:32" TargetMode="External"/><Relationship Id="rId9487" Type="http://schemas.openxmlformats.org/officeDocument/2006/relationships/hyperlink" Target="https://ref.ly/Mark14:12-Mark14:15" TargetMode="External"/><Relationship Id="rId9488" Type="http://schemas.openxmlformats.org/officeDocument/2006/relationships/hyperlink" Target="https://ref.ly/Acts10:7" TargetMode="External"/><Relationship Id="rId9489" Type="http://schemas.openxmlformats.org/officeDocument/2006/relationships/hyperlink" Target="https://ref.ly/John1:38" TargetMode="External"/><Relationship Id="rId9490" Type="http://schemas.openxmlformats.org/officeDocument/2006/relationships/hyperlink" Target="https://ref.ly/Mark13:35" TargetMode="External"/><Relationship Id="rId9491" Type="http://schemas.openxmlformats.org/officeDocument/2006/relationships/hyperlink" Target="https://ref.ly/1Kgs17:17-1Kgs17:24" TargetMode="External"/><Relationship Id="rId9492" Type="http://schemas.openxmlformats.org/officeDocument/2006/relationships/hyperlink" Target="https://ref.ly/Gen16:9" TargetMode="External"/><Relationship Id="rId9493" Type="http://schemas.openxmlformats.org/officeDocument/2006/relationships/hyperlink" Target="https://ref.ly/Gen39:3" TargetMode="External"/><Relationship Id="rId9494" Type="http://schemas.openxmlformats.org/officeDocument/2006/relationships/hyperlink" Target="https://ref.ly/Luke16:3" TargetMode="External"/><Relationship Id="rId9495" Type="http://schemas.openxmlformats.org/officeDocument/2006/relationships/hyperlink" Target="https://ref.ly/John12:20-John12:22" TargetMode="External"/><Relationship Id="rId9496" Type="http://schemas.openxmlformats.org/officeDocument/2006/relationships/hyperlink" Target="https://ref.ly/Gen41:1-Gen41:57" TargetMode="External"/><Relationship Id="rId9497" Type="http://schemas.openxmlformats.org/officeDocument/2006/relationships/hyperlink" Target="https://ref.ly/Gen50:23" TargetMode="External"/><Relationship Id="rId9498" Type="http://schemas.openxmlformats.org/officeDocument/2006/relationships/hyperlink" Target="https://ref.ly/1Chr7:14" TargetMode="External"/><Relationship Id="rId9499" Type="http://schemas.openxmlformats.org/officeDocument/2006/relationships/hyperlink" Target="https://ref.ly/Num26:29" TargetMode="External"/><Relationship Id="rId9500" Type="http://schemas.openxmlformats.org/officeDocument/2006/relationships/hyperlink" Target="https://ref.ly/Num32:39" TargetMode="External"/><Relationship Id="rId9501" Type="http://schemas.openxmlformats.org/officeDocument/2006/relationships/hyperlink" Target="https://ref.ly/Deut3:15" TargetMode="External"/><Relationship Id="rId9502" Type="http://schemas.openxmlformats.org/officeDocument/2006/relationships/hyperlink" Target="https://ref.ly/Josh17:1-Josh17:3" TargetMode="External"/><Relationship Id="rId9503" Type="http://schemas.openxmlformats.org/officeDocument/2006/relationships/hyperlink" Target="https://ref.ly/2Sam9:4-2Sam9:5" TargetMode="External"/><Relationship Id="rId9504" Type="http://schemas.openxmlformats.org/officeDocument/2006/relationships/hyperlink" Target="https://ref.ly/John18:10" TargetMode="External"/><Relationship Id="rId9505" Type="http://schemas.openxmlformats.org/officeDocument/2006/relationships/hyperlink" Target="https://ref.ly/Matt26:51" TargetMode="External"/><Relationship Id="rId9506" Type="http://schemas.openxmlformats.org/officeDocument/2006/relationships/hyperlink" Target="https://ref.ly/Mark14:47" TargetMode="External"/><Relationship Id="rId9507" Type="http://schemas.openxmlformats.org/officeDocument/2006/relationships/hyperlink" Target="https://ref.ly/Luke22:50-Luke22:51" TargetMode="External"/><Relationship Id="rId9508" Type="http://schemas.openxmlformats.org/officeDocument/2006/relationships/hyperlink" Target="https://ref.ly/Acts28:1" TargetMode="External"/><Relationship Id="rId9509" Type="http://schemas.openxmlformats.org/officeDocument/2006/relationships/hyperlink" Target="https://ref.ly/Acts27:7-Acts27:8" TargetMode="External"/><Relationship Id="rId9510" Type="http://schemas.openxmlformats.org/officeDocument/2006/relationships/hyperlink" Target="https://ref.ly/Acts28:6" TargetMode="External"/><Relationship Id="rId9511" Type="http://schemas.openxmlformats.org/officeDocument/2006/relationships/hyperlink" Target="https://ref.ly/Gen35:27" TargetMode="External"/><Relationship Id="rId9512" Type="http://schemas.openxmlformats.org/officeDocument/2006/relationships/hyperlink" Target="https://ref.ly/Gen41:50-Gen41:51" TargetMode="External"/><Relationship Id="rId9513" Type="http://schemas.openxmlformats.org/officeDocument/2006/relationships/hyperlink" Target="https://ref.ly/Gen48:5-Gen48:6" TargetMode="External"/><Relationship Id="rId9514" Type="http://schemas.openxmlformats.org/officeDocument/2006/relationships/hyperlink" Target="https://ref.ly/Rev7:6" TargetMode="External"/><Relationship Id="rId9515" Type="http://schemas.openxmlformats.org/officeDocument/2006/relationships/hyperlink" Target="https://ref.ly/Deut4:43" TargetMode="External"/><Relationship Id="rId9516" Type="http://schemas.openxmlformats.org/officeDocument/2006/relationships/hyperlink" Target="https://ref.ly/Judg18:30" TargetMode="External"/><Relationship Id="rId9517" Type="http://schemas.openxmlformats.org/officeDocument/2006/relationships/hyperlink" Target="https://ref.ly/Matt1:10" TargetMode="External"/><Relationship Id="rId9518" Type="http://schemas.openxmlformats.org/officeDocument/2006/relationships/hyperlink" Target="https://ref.ly/2Kgs21:1-2Kgs21:26" TargetMode="External"/><Relationship Id="rId9519" Type="http://schemas.openxmlformats.org/officeDocument/2006/relationships/hyperlink" Target="https://ref.ly/2Chr33:1-2Chr33:20" TargetMode="External"/><Relationship Id="rId9520" Type="http://schemas.openxmlformats.org/officeDocument/2006/relationships/hyperlink" Target="https://ref.ly/2Kgs21:16" TargetMode="External"/><Relationship Id="rId9521" Type="http://schemas.openxmlformats.org/officeDocument/2006/relationships/hyperlink" Target="https://ref.ly/2Kgs24:4" TargetMode="External"/><Relationship Id="rId9522" Type="http://schemas.openxmlformats.org/officeDocument/2006/relationships/hyperlink" Target="https://ref.ly/2Kgs21:2-2Kgs21:9" TargetMode="External"/><Relationship Id="rId9523" Type="http://schemas.openxmlformats.org/officeDocument/2006/relationships/hyperlink" Target="https://ref.ly/Jer7:31" TargetMode="External"/><Relationship Id="rId9524" Type="http://schemas.openxmlformats.org/officeDocument/2006/relationships/hyperlink" Target="https://ref.ly/2Chr33:11-2Chr33:16" TargetMode="External"/><Relationship Id="rId9525" Type="http://schemas.openxmlformats.org/officeDocument/2006/relationships/hyperlink" Target="https://ref.ly/2Kgs21:18" TargetMode="External"/><Relationship Id="rId9526" Type="http://schemas.openxmlformats.org/officeDocument/2006/relationships/hyperlink" Target="https://ref.ly/2Chr24:16" TargetMode="External"/><Relationship Id="rId9527" Type="http://schemas.openxmlformats.org/officeDocument/2006/relationships/hyperlink" Target="https://ref.ly/2Chr32:33" TargetMode="External"/><Relationship Id="rId9528" Type="http://schemas.openxmlformats.org/officeDocument/2006/relationships/hyperlink" Target="https://ref.ly/2Kgs23:4-2Kgs23:14" TargetMode="External"/><Relationship Id="rId9529" Type="http://schemas.openxmlformats.org/officeDocument/2006/relationships/hyperlink" Target="https://ref.ly/Ezra10:30" TargetMode="External"/><Relationship Id="rId9530" Type="http://schemas.openxmlformats.org/officeDocument/2006/relationships/hyperlink" Target="https://ref.ly/Ezra10:33" TargetMode="External"/><Relationship Id="rId9531" Type="http://schemas.openxmlformats.org/officeDocument/2006/relationships/hyperlink" Target="https://ref.ly/Num26:28-Num26:34" TargetMode="External"/><Relationship Id="rId9532" Type="http://schemas.openxmlformats.org/officeDocument/2006/relationships/hyperlink" Target="https://ref.ly/1Chr2:21-1Chr2:23" TargetMode="External"/><Relationship Id="rId9533" Type="http://schemas.openxmlformats.org/officeDocument/2006/relationships/hyperlink" Target="https://ref.ly/1Chr7:14-1Chr7:19" TargetMode="External"/><Relationship Id="rId9534" Type="http://schemas.openxmlformats.org/officeDocument/2006/relationships/hyperlink" Target="https://ref.ly/Num1:34-Num1:35" TargetMode="External"/><Relationship Id="rId9535" Type="http://schemas.openxmlformats.org/officeDocument/2006/relationships/hyperlink" Target="https://ref.ly/Num21:32-Num21:35" TargetMode="External"/><Relationship Id="rId9536" Type="http://schemas.openxmlformats.org/officeDocument/2006/relationships/hyperlink" Target="https://ref.ly/Num32:39-Num32:42" TargetMode="External"/><Relationship Id="rId9537" Type="http://schemas.openxmlformats.org/officeDocument/2006/relationships/hyperlink" Target="https://ref.ly/Deut3:1-Deut3:15" TargetMode="External"/><Relationship Id="rId9538" Type="http://schemas.openxmlformats.org/officeDocument/2006/relationships/hyperlink" Target="https://ref.ly/Num32:1-Num32:32" TargetMode="External"/><Relationship Id="rId9539" Type="http://schemas.openxmlformats.org/officeDocument/2006/relationships/hyperlink" Target="https://ref.ly/Josh16:1-Josh16:9" TargetMode="External"/><Relationship Id="rId9540" Type="http://schemas.openxmlformats.org/officeDocument/2006/relationships/hyperlink" Target="https://ref.ly/Josh17:1-Josh17:18" TargetMode="External"/><Relationship Id="rId9541" Type="http://schemas.openxmlformats.org/officeDocument/2006/relationships/hyperlink" Target="https://ref.ly/Josh22:1-Josh22:9" TargetMode="External"/><Relationship Id="rId9542" Type="http://schemas.openxmlformats.org/officeDocument/2006/relationships/hyperlink" Target="https://ref.ly/Deut3:12-Deut3:15" TargetMode="External"/><Relationship Id="rId9543" Type="http://schemas.openxmlformats.org/officeDocument/2006/relationships/hyperlink" Target="https://ref.ly/Josh13:8-Josh13:13" TargetMode="External"/><Relationship Id="rId9544" Type="http://schemas.openxmlformats.org/officeDocument/2006/relationships/hyperlink" Target="https://ref.ly/1Chr5:23" TargetMode="External"/><Relationship Id="rId9545" Type="http://schemas.openxmlformats.org/officeDocument/2006/relationships/hyperlink" Target="https://ref.ly/Judg11:6-Judg11:12" TargetMode="External"/><Relationship Id="rId9546" Type="http://schemas.openxmlformats.org/officeDocument/2006/relationships/hyperlink" Target="https://ref.ly/2Sam19:31-2Sam19:39" TargetMode="External"/><Relationship Id="rId9547" Type="http://schemas.openxmlformats.org/officeDocument/2006/relationships/hyperlink" Target="https://ref.ly/1Kgs4:13-1Kgs4:14" TargetMode="External"/><Relationship Id="rId9548" Type="http://schemas.openxmlformats.org/officeDocument/2006/relationships/hyperlink" Target="https://ref.ly/2Chr34:6-2Chr34:7" TargetMode="External"/><Relationship Id="rId9549" Type="http://schemas.openxmlformats.org/officeDocument/2006/relationships/hyperlink" Target="https://ref.ly/2Kgs17:24-2Kgs17:41" TargetMode="External"/><Relationship Id="rId9550" Type="http://schemas.openxmlformats.org/officeDocument/2006/relationships/hyperlink" Target="https://ref.ly/Song7:13" TargetMode="External"/><Relationship Id="rId9551" Type="http://schemas.openxmlformats.org/officeDocument/2006/relationships/hyperlink" Target="https://ref.ly/Gen30:14-Gen30:16" TargetMode="External"/><Relationship Id="rId9552" Type="http://schemas.openxmlformats.org/officeDocument/2006/relationships/hyperlink" Target="https://ref.ly/Gen23:16" TargetMode="External"/><Relationship Id="rId9553" Type="http://schemas.openxmlformats.org/officeDocument/2006/relationships/hyperlink" Target="https://ref.ly/1Kgs20:34" TargetMode="External"/><Relationship Id="rId9554" Type="http://schemas.openxmlformats.org/officeDocument/2006/relationships/hyperlink" Target="https://ref.ly/Ezek27:16-Ezek27:18" TargetMode="External"/><Relationship Id="rId9555" Type="http://schemas.openxmlformats.org/officeDocument/2006/relationships/hyperlink" Target="https://ref.ly/Isa23:2,Isa23:8" TargetMode="External"/><Relationship Id="rId9556" Type="http://schemas.openxmlformats.org/officeDocument/2006/relationships/hyperlink" Target="https://ref.ly/Nah3:16" TargetMode="External"/><Relationship Id="rId9557" Type="http://schemas.openxmlformats.org/officeDocument/2006/relationships/hyperlink" Target="https://ref.ly/Neh13:16-Neh13:20" TargetMode="External"/><Relationship Id="rId9558" Type="http://schemas.openxmlformats.org/officeDocument/2006/relationships/hyperlink" Target="https://ref.ly/Ezek27:15,Ezek27:20-Ezek27:23" TargetMode="External"/><Relationship Id="rId9559" Type="http://schemas.openxmlformats.org/officeDocument/2006/relationships/hyperlink" Target="https://ref.ly/Ezek38:13" TargetMode="External"/><Relationship Id="rId9560" Type="http://schemas.openxmlformats.org/officeDocument/2006/relationships/hyperlink" Target="https://ref.ly/Neh3:31" TargetMode="External"/><Relationship Id="rId9561" Type="http://schemas.openxmlformats.org/officeDocument/2006/relationships/hyperlink" Target="https://ref.ly/Neh13:19-Neh13:20" TargetMode="External"/><Relationship Id="rId9562" Type="http://schemas.openxmlformats.org/officeDocument/2006/relationships/hyperlink" Target="https://ref.ly/Gen41:49" TargetMode="External"/><Relationship Id="rId9563" Type="http://schemas.openxmlformats.org/officeDocument/2006/relationships/hyperlink" Target="https://ref.ly/1Kgs9:19" TargetMode="External"/><Relationship Id="rId9564" Type="http://schemas.openxmlformats.org/officeDocument/2006/relationships/hyperlink" Target="https://ref.ly/1Kgs9:26-1Kgs9:27" TargetMode="External"/><Relationship Id="rId9565" Type="http://schemas.openxmlformats.org/officeDocument/2006/relationships/hyperlink" Target="https://ref.ly/1Kgs10:28" TargetMode="External"/><Relationship Id="rId9566" Type="http://schemas.openxmlformats.org/officeDocument/2006/relationships/hyperlink" Target="https://ref.ly/Neh3:31-Neh3:32" TargetMode="External"/><Relationship Id="rId9567" Type="http://schemas.openxmlformats.org/officeDocument/2006/relationships/hyperlink" Target="https://ref.ly/2Chr9:18" TargetMode="External"/><Relationship Id="rId9568" Type="http://schemas.openxmlformats.org/officeDocument/2006/relationships/hyperlink" Target="https://ref.ly/1Chr28:2" TargetMode="External"/><Relationship Id="rId9569" Type="http://schemas.openxmlformats.org/officeDocument/2006/relationships/hyperlink" Target="https://ref.ly/Ps132:7" TargetMode="External"/><Relationship Id="rId9570" Type="http://schemas.openxmlformats.org/officeDocument/2006/relationships/hyperlink" Target="https://ref.ly/Lam2:1" TargetMode="External"/><Relationship Id="rId9571" Type="http://schemas.openxmlformats.org/officeDocument/2006/relationships/hyperlink" Target="https://ref.ly/Matt22:44" TargetMode="External"/><Relationship Id="rId9572" Type="http://schemas.openxmlformats.org/officeDocument/2006/relationships/hyperlink" Target="https://ref.ly/Mark12:36" TargetMode="External"/><Relationship Id="rId9573" Type="http://schemas.openxmlformats.org/officeDocument/2006/relationships/hyperlink" Target="https://ref.ly/Luke20:43" TargetMode="External"/><Relationship Id="rId9574" Type="http://schemas.openxmlformats.org/officeDocument/2006/relationships/hyperlink" Target="https://ref.ly/Acts2:35" TargetMode="External"/><Relationship Id="rId9575" Type="http://schemas.openxmlformats.org/officeDocument/2006/relationships/hyperlink" Target="https://ref.ly/Heb1:13" TargetMode="External"/><Relationship Id="rId9576" Type="http://schemas.openxmlformats.org/officeDocument/2006/relationships/hyperlink" Target="https://ref.ly/Heb10:13" TargetMode="External"/><Relationship Id="rId9577" Type="http://schemas.openxmlformats.org/officeDocument/2006/relationships/hyperlink" Target="https://ref.ly/Esth4:13-Esth4:14" TargetMode="External"/><Relationship Id="rId9578" Type="http://schemas.openxmlformats.org/officeDocument/2006/relationships/hyperlink" Target="https://ref.ly/Esth6:7-Esth6:9" TargetMode="External"/><Relationship Id="rId9579" Type="http://schemas.openxmlformats.org/officeDocument/2006/relationships/hyperlink" Target="https://ref.ly/Neh7:7" TargetMode="External"/><Relationship Id="rId9580" Type="http://schemas.openxmlformats.org/officeDocument/2006/relationships/hyperlink" Target="https://ref.ly/Gen24:58-Gen24:59" TargetMode="External"/><Relationship Id="rId9581" Type="http://schemas.openxmlformats.org/officeDocument/2006/relationships/hyperlink" Target="https://ref.ly/Deut21:13" TargetMode="External"/><Relationship Id="rId9582" Type="http://schemas.openxmlformats.org/officeDocument/2006/relationships/hyperlink" Target="https://ref.ly/Gen5:10" TargetMode="External"/><Relationship Id="rId9583" Type="http://schemas.openxmlformats.org/officeDocument/2006/relationships/hyperlink" Target="https://ref.ly/Gen36:9-Gen36:43" TargetMode="External"/><Relationship Id="rId9584" Type="http://schemas.openxmlformats.org/officeDocument/2006/relationships/hyperlink" Target="https://ref.ly/Num1:1-Num1:15" TargetMode="External"/><Relationship Id="rId9585" Type="http://schemas.openxmlformats.org/officeDocument/2006/relationships/hyperlink" Target="https://ref.ly/1Chr1:1-1Chr1:9" TargetMode="External"/><Relationship Id="rId9586" Type="http://schemas.openxmlformats.org/officeDocument/2006/relationships/hyperlink" Target="https://ref.ly/Gen4:1,Gen4:25-Gen4:26" TargetMode="External"/><Relationship Id="rId9587" Type="http://schemas.openxmlformats.org/officeDocument/2006/relationships/hyperlink" Target="https://ref.ly/1Sam1:20" TargetMode="External"/><Relationship Id="rId9588" Type="http://schemas.openxmlformats.org/officeDocument/2006/relationships/hyperlink" Target="https://ref.ly/1Sam4:21" TargetMode="External"/><Relationship Id="rId9589" Type="http://schemas.openxmlformats.org/officeDocument/2006/relationships/hyperlink" Target="https://ref.ly/Isa8:3" TargetMode="External"/><Relationship Id="rId9590" Type="http://schemas.openxmlformats.org/officeDocument/2006/relationships/hyperlink" Target="https://ref.ly/Hos1:4-Hos1:9" TargetMode="External"/><Relationship Id="rId9591" Type="http://schemas.openxmlformats.org/officeDocument/2006/relationships/hyperlink" Target="https://ref.ly/Exod21:7" TargetMode="External"/><Relationship Id="rId9592" Type="http://schemas.openxmlformats.org/officeDocument/2006/relationships/hyperlink" Target="https://ref.ly/Neh5:5" TargetMode="External"/><Relationship Id="rId9593" Type="http://schemas.openxmlformats.org/officeDocument/2006/relationships/hyperlink" Target="https://ref.ly/Deut22:13-Deut22:21" TargetMode="External"/><Relationship Id="rId9594" Type="http://schemas.openxmlformats.org/officeDocument/2006/relationships/hyperlink" Target="https://ref.ly/Deut25:1-Deut25:19" TargetMode="External"/><Relationship Id="rId9595" Type="http://schemas.openxmlformats.org/officeDocument/2006/relationships/hyperlink" Target="https://ref.ly/Ruth2:20-Ruth4:10" TargetMode="External"/><Relationship Id="rId9596" Type="http://schemas.openxmlformats.org/officeDocument/2006/relationships/hyperlink" Target="https://ref.ly/Exod21:5" TargetMode="External"/><Relationship Id="rId9597" Type="http://schemas.openxmlformats.org/officeDocument/2006/relationships/hyperlink" Target="https://ref.ly/Lev18:8,Lev18:16-Lev18:20" TargetMode="External"/><Relationship Id="rId9598" Type="http://schemas.openxmlformats.org/officeDocument/2006/relationships/hyperlink" Target="https://ref.ly/Num5:12" TargetMode="External"/><Relationship Id="rId9599" Type="http://schemas.openxmlformats.org/officeDocument/2006/relationships/hyperlink" Target="https://ref.ly/2Sam13:13" TargetMode="External"/><Relationship Id="rId9600" Type="http://schemas.openxmlformats.org/officeDocument/2006/relationships/hyperlink" Target="https://ref.ly/Lev20:17" TargetMode="External"/><Relationship Id="rId9601" Type="http://schemas.openxmlformats.org/officeDocument/2006/relationships/hyperlink" Target="https://ref.ly/Tob6:13" TargetMode="External"/><Relationship Id="rId9602" Type="http://schemas.openxmlformats.org/officeDocument/2006/relationships/hyperlink" Target="https://ref.ly/Tob7:11-Tob7:12" TargetMode="External"/><Relationship Id="rId9603" Type="http://schemas.openxmlformats.org/officeDocument/2006/relationships/hyperlink" Target="https://ref.ly/Exod6:20" TargetMode="External"/><Relationship Id="rId9604" Type="http://schemas.openxmlformats.org/officeDocument/2006/relationships/hyperlink" Target="https://ref.ly/Lev18:12-Lev18:13" TargetMode="External"/><Relationship Id="rId9605" Type="http://schemas.openxmlformats.org/officeDocument/2006/relationships/hyperlink" Target="https://ref.ly/Lev20:19" TargetMode="External"/><Relationship Id="rId9606" Type="http://schemas.openxmlformats.org/officeDocument/2006/relationships/hyperlink" Target="https://ref.ly/Judg3:6" TargetMode="External"/><Relationship Id="rId9607" Type="http://schemas.openxmlformats.org/officeDocument/2006/relationships/hyperlink" Target="https://ref.ly/Exod34:15-Exod34:16" TargetMode="External"/><Relationship Id="rId9608" Type="http://schemas.openxmlformats.org/officeDocument/2006/relationships/hyperlink" Target="https://ref.ly/Deut21:10-Deut21:14" TargetMode="External"/><Relationship Id="rId9609" Type="http://schemas.openxmlformats.org/officeDocument/2006/relationships/hyperlink" Target="https://ref.ly/Judg14:8-Judg15:2" TargetMode="External"/><Relationship Id="rId9610" Type="http://schemas.openxmlformats.org/officeDocument/2006/relationships/hyperlink" Target="https://ref.ly/Ezra9:2" TargetMode="External"/><Relationship Id="rId9611" Type="http://schemas.openxmlformats.org/officeDocument/2006/relationships/hyperlink" Target="https://ref.ly/Ezra10:3,Ezra10:16-Ezra10:17" TargetMode="External"/><Relationship Id="rId9612" Type="http://schemas.openxmlformats.org/officeDocument/2006/relationships/hyperlink" Target="https://ref.ly/2Cor6:14-2Cor6:15" TargetMode="External"/><Relationship Id="rId9613" Type="http://schemas.openxmlformats.org/officeDocument/2006/relationships/hyperlink" Target="https://ref.ly/Gen24:33-Gen24:53" TargetMode="External"/><Relationship Id="rId9614" Type="http://schemas.openxmlformats.org/officeDocument/2006/relationships/hyperlink" Target="https://ref.ly/Gen24:57-Gen24:58" TargetMode="External"/><Relationship Id="rId9615" Type="http://schemas.openxmlformats.org/officeDocument/2006/relationships/hyperlink" Target="https://ref.ly/Gen29:15-Gen29:30" TargetMode="External"/><Relationship Id="rId9616" Type="http://schemas.openxmlformats.org/officeDocument/2006/relationships/hyperlink" Target="https://ref.ly/1Sam18:25-1Sam18:27" TargetMode="External"/><Relationship Id="rId9617" Type="http://schemas.openxmlformats.org/officeDocument/2006/relationships/hyperlink" Target="https://ref.ly/1Kgs16:31" TargetMode="External"/><Relationship Id="rId9618" Type="http://schemas.openxmlformats.org/officeDocument/2006/relationships/hyperlink" Target="https://ref.ly/Gen34:12" TargetMode="External"/><Relationship Id="rId9619" Type="http://schemas.openxmlformats.org/officeDocument/2006/relationships/hyperlink" Target="https://ref.ly/Deut20:7" TargetMode="External"/><Relationship Id="rId9620" Type="http://schemas.openxmlformats.org/officeDocument/2006/relationships/hyperlink" Target="https://ref.ly/Deut28:30" TargetMode="External"/><Relationship Id="rId9621" Type="http://schemas.openxmlformats.org/officeDocument/2006/relationships/hyperlink" Target="https://ref.ly/Luke2:5" TargetMode="External"/><Relationship Id="rId9622" Type="http://schemas.openxmlformats.org/officeDocument/2006/relationships/hyperlink" Target="https://ref.ly/Gen19:14" TargetMode="External"/><Relationship Id="rId9623" Type="http://schemas.openxmlformats.org/officeDocument/2006/relationships/hyperlink" Target="https://ref.ly/Gen29:27" TargetMode="External"/><Relationship Id="rId9624" Type="http://schemas.openxmlformats.org/officeDocument/2006/relationships/hyperlink" Target="https://ref.ly/Judg14:12,Judg14:18" TargetMode="External"/><Relationship Id="rId9625" Type="http://schemas.openxmlformats.org/officeDocument/2006/relationships/hyperlink" Target="https://ref.ly/Judg14:20" TargetMode="External"/><Relationship Id="rId9626" Type="http://schemas.openxmlformats.org/officeDocument/2006/relationships/hyperlink" Target="https://ref.ly/Isa61:10" TargetMode="External"/><Relationship Id="rId9627" Type="http://schemas.openxmlformats.org/officeDocument/2006/relationships/hyperlink" Target="https://ref.ly/Ps45:14-Ps45:15" TargetMode="External"/><Relationship Id="rId9628" Type="http://schemas.openxmlformats.org/officeDocument/2006/relationships/hyperlink" Target="https://ref.ly/Song3:11" TargetMode="External"/><Relationship Id="rId9629" Type="http://schemas.openxmlformats.org/officeDocument/2006/relationships/hyperlink" Target="https://ref.ly/Gen24:65" TargetMode="External"/><Relationship Id="rId9630" Type="http://schemas.openxmlformats.org/officeDocument/2006/relationships/hyperlink" Target="https://ref.ly/Gen29:23-Gen29:25" TargetMode="External"/><Relationship Id="rId9631" Type="http://schemas.openxmlformats.org/officeDocument/2006/relationships/hyperlink" Target="https://ref.ly/Ruth3:9" TargetMode="External"/><Relationship Id="rId9632" Type="http://schemas.openxmlformats.org/officeDocument/2006/relationships/hyperlink" Target="https://ref.ly/Gen29:23" TargetMode="External"/><Relationship Id="rId9633" Type="http://schemas.openxmlformats.org/officeDocument/2006/relationships/hyperlink" Target="https://ref.ly/Tob8:1" TargetMode="External"/><Relationship Id="rId9634" Type="http://schemas.openxmlformats.org/officeDocument/2006/relationships/hyperlink" Target="https://ref.ly/Isa62:4-Isa62:5" TargetMode="External"/><Relationship Id="rId9635" Type="http://schemas.openxmlformats.org/officeDocument/2006/relationships/hyperlink" Target="https://ref.ly/Jer2:2" TargetMode="External"/><Relationship Id="rId9636" Type="http://schemas.openxmlformats.org/officeDocument/2006/relationships/hyperlink" Target="https://ref.ly/Jer7:34" TargetMode="External"/><Relationship Id="rId9637" Type="http://schemas.openxmlformats.org/officeDocument/2006/relationships/hyperlink" Target="https://ref.ly/Jer16:9" TargetMode="External"/><Relationship Id="rId9638" Type="http://schemas.openxmlformats.org/officeDocument/2006/relationships/hyperlink" Target="https://ref.ly/Jer25:10" TargetMode="External"/><Relationship Id="rId9639" Type="http://schemas.openxmlformats.org/officeDocument/2006/relationships/hyperlink" Target="https://ref.ly/Hos2:19-Hos2:20" TargetMode="External"/><Relationship Id="rId9640" Type="http://schemas.openxmlformats.org/officeDocument/2006/relationships/hyperlink" Target="https://ref.ly/John3:29" TargetMode="External"/><Relationship Id="rId9641" Type="http://schemas.openxmlformats.org/officeDocument/2006/relationships/hyperlink" Target="https://ref.ly/Matt25:1-Matt25:12" TargetMode="External"/><Relationship Id="rId9642" Type="http://schemas.openxmlformats.org/officeDocument/2006/relationships/hyperlink" Target="https://ref.ly/Mark10:11" TargetMode="External"/><Relationship Id="rId9643" Type="http://schemas.openxmlformats.org/officeDocument/2006/relationships/hyperlink" Target="https://ref.ly/1Cor7:11" TargetMode="External"/><Relationship Id="rId9644" Type="http://schemas.openxmlformats.org/officeDocument/2006/relationships/hyperlink" Target="https://ref.ly/Luke2:4-Luke2:5" TargetMode="External"/><Relationship Id="rId9645" Type="http://schemas.openxmlformats.org/officeDocument/2006/relationships/hyperlink" Target="https://ref.ly/Matt2:13-Matt2:14" TargetMode="External"/><Relationship Id="rId9646" Type="http://schemas.openxmlformats.org/officeDocument/2006/relationships/hyperlink" Target="https://ref.ly/Matt2:23" TargetMode="External"/><Relationship Id="rId9647" Type="http://schemas.openxmlformats.org/officeDocument/2006/relationships/hyperlink" Target="https://ref.ly/Luke2:39" TargetMode="External"/><Relationship Id="rId9648" Type="http://schemas.openxmlformats.org/officeDocument/2006/relationships/hyperlink" Target="https://ref.ly/Luke2:48" TargetMode="External"/><Relationship Id="rId9649" Type="http://schemas.openxmlformats.org/officeDocument/2006/relationships/hyperlink" Target="https://ref.ly/John2:1-John2:4" TargetMode="External"/><Relationship Id="rId9650" Type="http://schemas.openxmlformats.org/officeDocument/2006/relationships/hyperlink" Target="https://ref.ly/Luke1:46-Luke1:55" TargetMode="External"/><Relationship Id="rId9651" Type="http://schemas.openxmlformats.org/officeDocument/2006/relationships/hyperlink" Target="https://ref.ly/Luke1:42" TargetMode="External"/><Relationship Id="rId9652" Type="http://schemas.openxmlformats.org/officeDocument/2006/relationships/hyperlink" Target="https://ref.ly/Matt27:56,Matt27:61" TargetMode="External"/><Relationship Id="rId9653" Type="http://schemas.openxmlformats.org/officeDocument/2006/relationships/hyperlink" Target="https://ref.ly/Mark15:40,Mark15:47" TargetMode="External"/><Relationship Id="rId9654" Type="http://schemas.openxmlformats.org/officeDocument/2006/relationships/hyperlink" Target="https://ref.ly/Luke8:2" TargetMode="External"/><Relationship Id="rId9655" Type="http://schemas.openxmlformats.org/officeDocument/2006/relationships/hyperlink" Target="https://ref.ly/Mark15:47" TargetMode="External"/><Relationship Id="rId9656" Type="http://schemas.openxmlformats.org/officeDocument/2006/relationships/hyperlink" Target="https://ref.ly/Luke24:10" TargetMode="External"/><Relationship Id="rId9657" Type="http://schemas.openxmlformats.org/officeDocument/2006/relationships/hyperlink" Target="https://ref.ly/John20:1-John20:2,John20:11-John20:18" TargetMode="External"/><Relationship Id="rId9658" Type="http://schemas.openxmlformats.org/officeDocument/2006/relationships/hyperlink" Target="https://ref.ly/Luke10:38-Luke10:42" TargetMode="External"/><Relationship Id="rId9659" Type="http://schemas.openxmlformats.org/officeDocument/2006/relationships/hyperlink" Target="https://ref.ly/John11:20,John11:28-John11:33" TargetMode="External"/><Relationship Id="rId9660" Type="http://schemas.openxmlformats.org/officeDocument/2006/relationships/hyperlink" Target="https://ref.ly/John12:1-John12:8" TargetMode="External"/><Relationship Id="rId9661" Type="http://schemas.openxmlformats.org/officeDocument/2006/relationships/hyperlink" Target="https://ref.ly/Rom16:6" TargetMode="External"/><Relationship Id="rId9662" Type="http://schemas.openxmlformats.org/officeDocument/2006/relationships/hyperlink" Target="https://ref.ly/Gen36:36" TargetMode="External"/><Relationship Id="rId9663" Type="http://schemas.openxmlformats.org/officeDocument/2006/relationships/hyperlink" Target="https://ref.ly/1Chr1:47" TargetMode="External"/><Relationship Id="rId9664" Type="http://schemas.openxmlformats.org/officeDocument/2006/relationships/hyperlink" Target="https://ref.ly/Prov31:1" TargetMode="External"/><Relationship Id="rId9665" Type="http://schemas.openxmlformats.org/officeDocument/2006/relationships/hyperlink" Target="https://ref.ly/Isa13:1" TargetMode="External"/><Relationship Id="rId9666" Type="http://schemas.openxmlformats.org/officeDocument/2006/relationships/hyperlink" Target="https://ref.ly/Nah1:1" TargetMode="External"/><Relationship Id="rId9667" Type="http://schemas.openxmlformats.org/officeDocument/2006/relationships/hyperlink" Target="https://ref.ly/Hab1:1" TargetMode="External"/><Relationship Id="rId9668" Type="http://schemas.openxmlformats.org/officeDocument/2006/relationships/hyperlink" Target="https://ref.ly/1Chr1:50" TargetMode="External"/><Relationship Id="rId9669" Type="http://schemas.openxmlformats.org/officeDocument/2006/relationships/hyperlink" Target="https://ref.ly/Acts1:23-Acts1:26" TargetMode="External"/><Relationship Id="rId9670" Type="http://schemas.openxmlformats.org/officeDocument/2006/relationships/hyperlink" Target="https://ref.ly/Mark2:13-Mark2:14" TargetMode="External"/><Relationship Id="rId9671" Type="http://schemas.openxmlformats.org/officeDocument/2006/relationships/hyperlink" Target="https://ref.ly/Mark2:16" TargetMode="External"/><Relationship Id="rId9672" Type="http://schemas.openxmlformats.org/officeDocument/2006/relationships/hyperlink" Target="https://ref.ly/Luke15:1" TargetMode="External"/><Relationship Id="rId9673" Type="http://schemas.openxmlformats.org/officeDocument/2006/relationships/hyperlink" Target="https://ref.ly/Luke5:28" TargetMode="External"/><Relationship Id="rId9674" Type="http://schemas.openxmlformats.org/officeDocument/2006/relationships/hyperlink" Target="https://ref.ly/Luke5:27,Luke5:29" TargetMode="External"/><Relationship Id="rId9675" Type="http://schemas.openxmlformats.org/officeDocument/2006/relationships/hyperlink" Target="https://ref.ly/Matt9:9-Matt9:38" TargetMode="External"/><Relationship Id="rId9676" Type="http://schemas.openxmlformats.org/officeDocument/2006/relationships/hyperlink" Target="https://ref.ly/Matt17:27" TargetMode="External"/><Relationship Id="rId9677" Type="http://schemas.openxmlformats.org/officeDocument/2006/relationships/hyperlink" Target="https://ref.ly/Matt18:24" TargetMode="External"/><Relationship Id="rId9678" Type="http://schemas.openxmlformats.org/officeDocument/2006/relationships/hyperlink" Target="https://ref.ly/Matt25:15-Matt25:46" TargetMode="External"/><Relationship Id="rId9679" Type="http://schemas.openxmlformats.org/officeDocument/2006/relationships/hyperlink" Target="https://ref.ly/Matt24:15" TargetMode="External"/><Relationship Id="rId9680" Type="http://schemas.openxmlformats.org/officeDocument/2006/relationships/hyperlink" Target="https://ref.ly/Matt1:23" TargetMode="External"/><Relationship Id="rId9681" Type="http://schemas.openxmlformats.org/officeDocument/2006/relationships/hyperlink" Target="https://ref.ly/Matt1:22-Matt27:10" TargetMode="External"/><Relationship Id="rId9682" Type="http://schemas.openxmlformats.org/officeDocument/2006/relationships/hyperlink" Target="https://ref.ly/Matt21:33-Matt21:46" TargetMode="External"/><Relationship Id="rId9683" Type="http://schemas.openxmlformats.org/officeDocument/2006/relationships/hyperlink" Target="https://ref.ly/Matt15:1-Matt15:39" TargetMode="External"/><Relationship Id="rId9684" Type="http://schemas.openxmlformats.org/officeDocument/2006/relationships/hyperlink" Target="https://ref.ly/Matt5:1-Matt5:48" TargetMode="External"/><Relationship Id="rId9685" Type="http://schemas.openxmlformats.org/officeDocument/2006/relationships/hyperlink" Target="https://ref.ly/Matt16:18-Matt16:19" TargetMode="External"/><Relationship Id="rId9686" Type="http://schemas.openxmlformats.org/officeDocument/2006/relationships/hyperlink" Target="https://ref.ly/Matt23:8-Matt23:10" TargetMode="External"/><Relationship Id="rId9687" Type="http://schemas.openxmlformats.org/officeDocument/2006/relationships/hyperlink" Target="https://ref.ly/Matt5:1-Matt7:29" TargetMode="External"/><Relationship Id="rId9688" Type="http://schemas.openxmlformats.org/officeDocument/2006/relationships/hyperlink" Target="https://ref.ly/Matt18:1-Matt18:35" TargetMode="External"/><Relationship Id="rId9689" Type="http://schemas.openxmlformats.org/officeDocument/2006/relationships/hyperlink" Target="https://ref.ly/Matt10:1-Matt10:42" TargetMode="External"/><Relationship Id="rId9690" Type="http://schemas.openxmlformats.org/officeDocument/2006/relationships/hyperlink" Target="https://ref.ly/Matt1:1-Matt2:23" TargetMode="External"/><Relationship Id="rId9691" Type="http://schemas.openxmlformats.org/officeDocument/2006/relationships/hyperlink" Target="https://ref.ly/Matt4:17" TargetMode="External"/><Relationship Id="rId9692" Type="http://schemas.openxmlformats.org/officeDocument/2006/relationships/hyperlink" Target="https://ref.ly/Matt1:22-Matt1:23" TargetMode="External"/><Relationship Id="rId9693" Type="http://schemas.openxmlformats.org/officeDocument/2006/relationships/hyperlink" Target="https://ref.ly/Matt1:18-Matt1:20" TargetMode="External"/><Relationship Id="rId9694" Type="http://schemas.openxmlformats.org/officeDocument/2006/relationships/hyperlink" Target="https://ref.ly/Matt2:1-Matt2:6" TargetMode="External"/><Relationship Id="rId9695" Type="http://schemas.openxmlformats.org/officeDocument/2006/relationships/hyperlink" Target="https://ref.ly/Matt2:1-Matt2:12" TargetMode="External"/><Relationship Id="rId9696" Type="http://schemas.openxmlformats.org/officeDocument/2006/relationships/hyperlink" Target="https://ref.ly/Matt2:13-Matt2:20" TargetMode="External"/><Relationship Id="rId9697" Type="http://schemas.openxmlformats.org/officeDocument/2006/relationships/hyperlink" Target="https://ref.ly/Matt2:21-Matt2:23" TargetMode="External"/><Relationship Id="rId9698" Type="http://schemas.openxmlformats.org/officeDocument/2006/relationships/hyperlink" Target="https://ref.ly/Matt3:1-Matt4:25" TargetMode="External"/><Relationship Id="rId9699" Type="http://schemas.openxmlformats.org/officeDocument/2006/relationships/hyperlink" Target="https://ref.ly/Matt3:1-Matt3:12" TargetMode="External"/><Relationship Id="rId9700" Type="http://schemas.openxmlformats.org/officeDocument/2006/relationships/hyperlink" Target="https://ref.ly/Matt3:13-Matt3:17" TargetMode="External"/><Relationship Id="rId9701" Type="http://schemas.openxmlformats.org/officeDocument/2006/relationships/hyperlink" Target="https://ref.ly/Matt4:1" TargetMode="External"/><Relationship Id="rId9702" Type="http://schemas.openxmlformats.org/officeDocument/2006/relationships/hyperlink" Target="https://ref.ly/Matt4:1-Matt4:11" TargetMode="External"/><Relationship Id="rId9703" Type="http://schemas.openxmlformats.org/officeDocument/2006/relationships/hyperlink" Target="https://ref.ly/Matt4:12-Matt4:16" TargetMode="External"/><Relationship Id="rId9704" Type="http://schemas.openxmlformats.org/officeDocument/2006/relationships/hyperlink" Target="https://ref.ly/Matt4:17-Matt4:25" TargetMode="External"/><Relationship Id="rId9705" Type="http://schemas.openxmlformats.org/officeDocument/2006/relationships/hyperlink" Target="https://ref.ly/Matt5:1-Matt5:2" TargetMode="External"/><Relationship Id="rId9706" Type="http://schemas.openxmlformats.org/officeDocument/2006/relationships/hyperlink" Target="https://ref.ly/Matt5:13-Matt5:16" TargetMode="External"/><Relationship Id="rId9707" Type="http://schemas.openxmlformats.org/officeDocument/2006/relationships/hyperlink" Target="https://ref.ly/Matt5:17" TargetMode="External"/><Relationship Id="rId9708" Type="http://schemas.openxmlformats.org/officeDocument/2006/relationships/hyperlink" Target="https://ref.ly/Matt5:18-Matt5:20" TargetMode="External"/><Relationship Id="rId9709" Type="http://schemas.openxmlformats.org/officeDocument/2006/relationships/hyperlink" Target="https://ref.ly/Matt5:21-Matt5:48" TargetMode="External"/><Relationship Id="rId9710" Type="http://schemas.openxmlformats.org/officeDocument/2006/relationships/hyperlink" Target="https://ref.ly/Matt6:1-Matt6:18" TargetMode="External"/><Relationship Id="rId9711" Type="http://schemas.openxmlformats.org/officeDocument/2006/relationships/hyperlink" Target="https://ref.ly/Matt6:9-Matt6:13" TargetMode="External"/><Relationship Id="rId9712" Type="http://schemas.openxmlformats.org/officeDocument/2006/relationships/hyperlink" Target="https://ref.ly/Matt6:19-Matt6:24" TargetMode="External"/><Relationship Id="rId9713" Type="http://schemas.openxmlformats.org/officeDocument/2006/relationships/hyperlink" Target="https://ref.ly/Matt6:25-Matt6:34" TargetMode="External"/><Relationship Id="rId9714" Type="http://schemas.openxmlformats.org/officeDocument/2006/relationships/hyperlink" Target="https://ref.ly/Matt7:1-Matt7:6" TargetMode="External"/><Relationship Id="rId9715" Type="http://schemas.openxmlformats.org/officeDocument/2006/relationships/hyperlink" Target="https://ref.ly/Matt6:7-Matt6:12" TargetMode="External"/><Relationship Id="rId9716" Type="http://schemas.openxmlformats.org/officeDocument/2006/relationships/hyperlink" Target="https://ref.ly/Matt5:21-Matt7:12" TargetMode="External"/><Relationship Id="rId9717" Type="http://schemas.openxmlformats.org/officeDocument/2006/relationships/hyperlink" Target="https://ref.ly/Matt7:13-Matt7:14" TargetMode="External"/><Relationship Id="rId9718" Type="http://schemas.openxmlformats.org/officeDocument/2006/relationships/hyperlink" Target="https://ref.ly/Matt7:15-Matt7:20" TargetMode="External"/><Relationship Id="rId9719" Type="http://schemas.openxmlformats.org/officeDocument/2006/relationships/hyperlink" Target="https://ref.ly/Matt7:21-Matt7:23" TargetMode="External"/><Relationship Id="rId9720" Type="http://schemas.openxmlformats.org/officeDocument/2006/relationships/hyperlink" Target="https://ref.ly/Matt8:1-Matt9:38" TargetMode="External"/><Relationship Id="rId9721" Type="http://schemas.openxmlformats.org/officeDocument/2006/relationships/hyperlink" Target="https://ref.ly/Matt7:28-Matt7:29" TargetMode="External"/><Relationship Id="rId9722" Type="http://schemas.openxmlformats.org/officeDocument/2006/relationships/hyperlink" Target="https://ref.ly/Matt8:17" TargetMode="External"/><Relationship Id="rId9723" Type="http://schemas.openxmlformats.org/officeDocument/2006/relationships/hyperlink" Target="https://ref.ly/Matt8:1-Matt8:13" TargetMode="External"/><Relationship Id="rId9724" Type="http://schemas.openxmlformats.org/officeDocument/2006/relationships/hyperlink" Target="https://ref.ly/Matt9:20-Matt9:22" TargetMode="External"/><Relationship Id="rId9725" Type="http://schemas.openxmlformats.org/officeDocument/2006/relationships/hyperlink" Target="https://ref.ly/Matt8:14-Matt8:15" TargetMode="External"/><Relationship Id="rId9726" Type="http://schemas.openxmlformats.org/officeDocument/2006/relationships/hyperlink" Target="https://ref.ly/Matt9:23-Matt9:25" TargetMode="External"/><Relationship Id="rId9727" Type="http://schemas.openxmlformats.org/officeDocument/2006/relationships/hyperlink" Target="https://ref.ly/Matt9:27-Matt9:31" TargetMode="External"/><Relationship Id="rId9728" Type="http://schemas.openxmlformats.org/officeDocument/2006/relationships/hyperlink" Target="https://ref.ly/Matt8:23-Matt8:27" TargetMode="External"/><Relationship Id="rId9729" Type="http://schemas.openxmlformats.org/officeDocument/2006/relationships/hyperlink" Target="https://ref.ly/Matt8:28-Matt8:34" TargetMode="External"/><Relationship Id="rId9730" Type="http://schemas.openxmlformats.org/officeDocument/2006/relationships/hyperlink" Target="https://ref.ly/Matt9:32-Matt9:33" TargetMode="External"/><Relationship Id="rId9731" Type="http://schemas.openxmlformats.org/officeDocument/2006/relationships/hyperlink" Target="https://ref.ly/Matt9:1-Matt9:8" TargetMode="External"/><Relationship Id="rId9732" Type="http://schemas.openxmlformats.org/officeDocument/2006/relationships/hyperlink" Target="https://ref.ly/Matt9:9-Matt9:13" TargetMode="External"/><Relationship Id="rId9733" Type="http://schemas.openxmlformats.org/officeDocument/2006/relationships/hyperlink" Target="https://ref.ly/Matt9:14-Matt9:17" TargetMode="External"/><Relationship Id="rId9734" Type="http://schemas.openxmlformats.org/officeDocument/2006/relationships/hyperlink" Target="https://ref.ly/Matt9:35-Matt9:38" TargetMode="External"/><Relationship Id="rId9735" Type="http://schemas.openxmlformats.org/officeDocument/2006/relationships/hyperlink" Target="https://ref.ly/Matt4:23-Matt4:25" TargetMode="External"/><Relationship Id="rId9736" Type="http://schemas.openxmlformats.org/officeDocument/2006/relationships/hyperlink" Target="https://ref.ly/Matt9:37-Matt10:4" TargetMode="External"/><Relationship Id="rId9737" Type="http://schemas.openxmlformats.org/officeDocument/2006/relationships/hyperlink" Target="https://ref.ly/Matt10:5-Matt10:15" TargetMode="External"/><Relationship Id="rId9738" Type="http://schemas.openxmlformats.org/officeDocument/2006/relationships/hyperlink" Target="https://ref.ly/Matt10:16-Matt10:42" TargetMode="External"/><Relationship Id="rId9739" Type="http://schemas.openxmlformats.org/officeDocument/2006/relationships/hyperlink" Target="https://ref.ly/Matt10:6" TargetMode="External"/><Relationship Id="rId9740" Type="http://schemas.openxmlformats.org/officeDocument/2006/relationships/hyperlink" Target="https://ref.ly/Matt10:11-Matt10:15" TargetMode="External"/><Relationship Id="rId9741" Type="http://schemas.openxmlformats.org/officeDocument/2006/relationships/hyperlink" Target="https://ref.ly/Matt10:16-Matt10:19,Matt10:24-Matt10:25" TargetMode="External"/><Relationship Id="rId9742" Type="http://schemas.openxmlformats.org/officeDocument/2006/relationships/hyperlink" Target="https://ref.ly/Matt10:17-Matt10:23" TargetMode="External"/><Relationship Id="rId9743" Type="http://schemas.openxmlformats.org/officeDocument/2006/relationships/hyperlink" Target="https://ref.ly/Matt10:19-Matt10:23" TargetMode="External"/><Relationship Id="rId9744" Type="http://schemas.openxmlformats.org/officeDocument/2006/relationships/hyperlink" Target="https://ref.ly/Matt10:26-Matt10:39" TargetMode="External"/><Relationship Id="rId9745" Type="http://schemas.openxmlformats.org/officeDocument/2006/relationships/hyperlink" Target="https://ref.ly/Matt10:37-Matt10:42" TargetMode="External"/><Relationship Id="rId9746" Type="http://schemas.openxmlformats.org/officeDocument/2006/relationships/hyperlink" Target="https://ref.ly/Matt11:1-Matt12:50" TargetMode="External"/><Relationship Id="rId9747" Type="http://schemas.openxmlformats.org/officeDocument/2006/relationships/hyperlink" Target="https://ref.ly/Matt11:2-Matt11:6" TargetMode="External"/><Relationship Id="rId9748" Type="http://schemas.openxmlformats.org/officeDocument/2006/relationships/hyperlink" Target="https://ref.ly/Matt11:7-Matt11:19" TargetMode="External"/><Relationship Id="rId9749" Type="http://schemas.openxmlformats.org/officeDocument/2006/relationships/hyperlink" Target="https://ref.ly/Matt11:25-Matt11:30" TargetMode="External"/><Relationship Id="rId9750" Type="http://schemas.openxmlformats.org/officeDocument/2006/relationships/hyperlink" Target="https://ref.ly/Matt12:6" TargetMode="External"/><Relationship Id="rId9751" Type="http://schemas.openxmlformats.org/officeDocument/2006/relationships/hyperlink" Target="https://ref.ly/Matt12:1-Matt12:8" TargetMode="External"/><Relationship Id="rId9752" Type="http://schemas.openxmlformats.org/officeDocument/2006/relationships/hyperlink" Target="https://ref.ly/Matt12:22-Matt12:24" TargetMode="External"/><Relationship Id="rId9753" Type="http://schemas.openxmlformats.org/officeDocument/2006/relationships/hyperlink" Target="https://ref.ly/Matt12:25-Matt12:29" TargetMode="External"/><Relationship Id="rId9754" Type="http://schemas.openxmlformats.org/officeDocument/2006/relationships/hyperlink" Target="https://ref.ly/Matt12:30-Matt12:32" TargetMode="External"/><Relationship Id="rId9755" Type="http://schemas.openxmlformats.org/officeDocument/2006/relationships/hyperlink" Target="https://ref.ly/Matt13:3-Matt13:9,Matt13:18-Matt13:23" TargetMode="External"/><Relationship Id="rId9756" Type="http://schemas.openxmlformats.org/officeDocument/2006/relationships/hyperlink" Target="https://ref.ly/Matt13:10-Matt13:17,Matt13:34-Matt13:35" TargetMode="External"/><Relationship Id="rId9757" Type="http://schemas.openxmlformats.org/officeDocument/2006/relationships/hyperlink" Target="https://ref.ly/Matt13:24-Matt13:30,Matt13:36-Matt13:43" TargetMode="External"/><Relationship Id="rId9758" Type="http://schemas.openxmlformats.org/officeDocument/2006/relationships/hyperlink" Target="https://ref.ly/Matt13:47-Matt13:50" TargetMode="External"/><Relationship Id="rId9759" Type="http://schemas.openxmlformats.org/officeDocument/2006/relationships/hyperlink" Target="https://ref.ly/Matt7:1-Matt7:5" TargetMode="External"/><Relationship Id="rId9760" Type="http://schemas.openxmlformats.org/officeDocument/2006/relationships/hyperlink" Target="https://ref.ly/Matt13:31-Matt13:33" TargetMode="External"/><Relationship Id="rId9761" Type="http://schemas.openxmlformats.org/officeDocument/2006/relationships/hyperlink" Target="https://ref.ly/Matt13:51-Matt13:52" TargetMode="External"/><Relationship Id="rId9762" Type="http://schemas.openxmlformats.org/officeDocument/2006/relationships/hyperlink" Target="https://ref.ly/Matt13:53-Matt13:58" TargetMode="External"/><Relationship Id="rId9763" Type="http://schemas.openxmlformats.org/officeDocument/2006/relationships/hyperlink" Target="https://ref.ly/Matt14:1-Matt16:12" TargetMode="External"/><Relationship Id="rId9764" Type="http://schemas.openxmlformats.org/officeDocument/2006/relationships/hyperlink" Target="https://ref.ly/Matt14:13-Matt14:36" TargetMode="External"/><Relationship Id="rId9765" Type="http://schemas.openxmlformats.org/officeDocument/2006/relationships/hyperlink" Target="https://ref.ly/Ps89:9" TargetMode="External"/><Relationship Id="rId9766" Type="http://schemas.openxmlformats.org/officeDocument/2006/relationships/hyperlink" Target="https://ref.ly/Matt14:28-Matt14:31" TargetMode="External"/><Relationship Id="rId9767" Type="http://schemas.openxmlformats.org/officeDocument/2006/relationships/hyperlink" Target="https://ref.ly/Matt15:1-Matt15:9" TargetMode="External"/><Relationship Id="rId9768" Type="http://schemas.openxmlformats.org/officeDocument/2006/relationships/hyperlink" Target="https://ref.ly/Matt15:10-Matt15:20" TargetMode="External"/><Relationship Id="rId9769" Type="http://schemas.openxmlformats.org/officeDocument/2006/relationships/hyperlink" Target="https://ref.ly/Matt15:21-Matt15:28" TargetMode="External"/><Relationship Id="rId9770" Type="http://schemas.openxmlformats.org/officeDocument/2006/relationships/hyperlink" Target="https://ref.ly/Matt15:29-Matt15:39" TargetMode="External"/><Relationship Id="rId9771" Type="http://schemas.openxmlformats.org/officeDocument/2006/relationships/hyperlink" Target="https://ref.ly/Matt16:1-Matt16:12" TargetMode="External"/><Relationship Id="rId9772" Type="http://schemas.openxmlformats.org/officeDocument/2006/relationships/hyperlink" Target="https://ref.ly/Matt16:13-Matt17:27" TargetMode="External"/><Relationship Id="rId9773" Type="http://schemas.openxmlformats.org/officeDocument/2006/relationships/hyperlink" Target="https://ref.ly/Matt16:13-Matt16:17" TargetMode="External"/><Relationship Id="rId9774" Type="http://schemas.openxmlformats.org/officeDocument/2006/relationships/hyperlink" Target="https://ref.ly/Matt11:25-Matt11:26" TargetMode="External"/><Relationship Id="rId9775" Type="http://schemas.openxmlformats.org/officeDocument/2006/relationships/hyperlink" Target="https://ref.ly/Matt16:20,Matt16:23" TargetMode="External"/><Relationship Id="rId9776" Type="http://schemas.openxmlformats.org/officeDocument/2006/relationships/hyperlink" Target="https://ref.ly/Matt16:21-Matt16:28" TargetMode="External"/><Relationship Id="rId9777" Type="http://schemas.openxmlformats.org/officeDocument/2006/relationships/hyperlink" Target="https://ref.ly/Matt17:24-Matt17:27" TargetMode="External"/><Relationship Id="rId9778" Type="http://schemas.openxmlformats.org/officeDocument/2006/relationships/hyperlink" Target="https://ref.ly/Matt18:1-Matt18:5" TargetMode="External"/><Relationship Id="rId9779" Type="http://schemas.openxmlformats.org/officeDocument/2006/relationships/hyperlink" Target="https://ref.ly/Matt18:6-Matt18:9" TargetMode="External"/><Relationship Id="rId9780" Type="http://schemas.openxmlformats.org/officeDocument/2006/relationships/hyperlink" Target="https://ref.ly/Matt18:10-Matt18:20" TargetMode="External"/><Relationship Id="rId9781" Type="http://schemas.openxmlformats.org/officeDocument/2006/relationships/hyperlink" Target="https://ref.ly/Matt18:21-Matt18:35" TargetMode="External"/><Relationship Id="rId9782" Type="http://schemas.openxmlformats.org/officeDocument/2006/relationships/hyperlink" Target="https://ref.ly/Matt19:1-Matt20:34" TargetMode="External"/><Relationship Id="rId9783" Type="http://schemas.openxmlformats.org/officeDocument/2006/relationships/hyperlink" Target="https://ref.ly/Matt19:10-Matt19:12" TargetMode="External"/><Relationship Id="rId9784" Type="http://schemas.openxmlformats.org/officeDocument/2006/relationships/hyperlink" Target="https://ref.ly/Matt18:1-Matt18:4" TargetMode="External"/><Relationship Id="rId9785" Type="http://schemas.openxmlformats.org/officeDocument/2006/relationships/hyperlink" Target="https://ref.ly/Matt19:13-Matt19:15" TargetMode="External"/><Relationship Id="rId9786" Type="http://schemas.openxmlformats.org/officeDocument/2006/relationships/hyperlink" Target="https://ref.ly/Matt19:16-Matt19:22" TargetMode="External"/><Relationship Id="rId9787" Type="http://schemas.openxmlformats.org/officeDocument/2006/relationships/hyperlink" Target="https://ref.ly/Matt19:27-Matt19:30" TargetMode="External"/><Relationship Id="rId9788" Type="http://schemas.openxmlformats.org/officeDocument/2006/relationships/hyperlink" Target="https://ref.ly/Matt20:17-Matt20:19" TargetMode="External"/><Relationship Id="rId9789" Type="http://schemas.openxmlformats.org/officeDocument/2006/relationships/hyperlink" Target="https://ref.ly/Matt20:20-Matt20:34" TargetMode="External"/><Relationship Id="rId9790" Type="http://schemas.openxmlformats.org/officeDocument/2006/relationships/hyperlink" Target="https://ref.ly/Matt21:1-Matt22:46" TargetMode="External"/><Relationship Id="rId9791" Type="http://schemas.openxmlformats.org/officeDocument/2006/relationships/hyperlink" Target="https://ref.ly/Matt3:17" TargetMode="External"/><Relationship Id="rId9792" Type="http://schemas.openxmlformats.org/officeDocument/2006/relationships/hyperlink" Target="https://ref.ly/Matt16:16-Matt16:21" TargetMode="External"/><Relationship Id="rId9793" Type="http://schemas.openxmlformats.org/officeDocument/2006/relationships/hyperlink" Target="https://ref.ly/Matt21:1-Matt21:11" TargetMode="External"/><Relationship Id="rId9794" Type="http://schemas.openxmlformats.org/officeDocument/2006/relationships/hyperlink" Target="https://ref.ly/Matt21:12-Matt21:17" TargetMode="External"/><Relationship Id="rId9795" Type="http://schemas.openxmlformats.org/officeDocument/2006/relationships/hyperlink" Target="https://ref.ly/Matt21:23-Matt21:27" TargetMode="External"/><Relationship Id="rId9796" Type="http://schemas.openxmlformats.org/officeDocument/2006/relationships/hyperlink" Target="https://ref.ly/Matt21:18-Matt21:22" TargetMode="External"/><Relationship Id="rId9797" Type="http://schemas.openxmlformats.org/officeDocument/2006/relationships/hyperlink" Target="https://ref.ly/Matt21:28-Matt22:14" TargetMode="External"/><Relationship Id="rId9798" Type="http://schemas.openxmlformats.org/officeDocument/2006/relationships/hyperlink" Target="https://ref.ly/Matt22:23-Matt22:33" TargetMode="External"/><Relationship Id="rId9799" Type="http://schemas.openxmlformats.org/officeDocument/2006/relationships/hyperlink" Target="https://ref.ly/Matt22:34-Matt22:40" TargetMode="External"/><Relationship Id="rId9800" Type="http://schemas.openxmlformats.org/officeDocument/2006/relationships/hyperlink" Target="https://ref.ly/Matt22:41-Matt22:46" TargetMode="External"/><Relationship Id="rId9801" Type="http://schemas.openxmlformats.org/officeDocument/2006/relationships/hyperlink" Target="https://ref.ly/Matt23:1-Matt23:39" TargetMode="External"/><Relationship Id="rId9802" Type="http://schemas.openxmlformats.org/officeDocument/2006/relationships/hyperlink" Target="https://ref.ly/Matt23:1-Matt23:4" TargetMode="External"/><Relationship Id="rId9803" Type="http://schemas.openxmlformats.org/officeDocument/2006/relationships/hyperlink" Target="https://ref.ly/Matt23:13-Matt23:15" TargetMode="External"/><Relationship Id="rId9804" Type="http://schemas.openxmlformats.org/officeDocument/2006/relationships/hyperlink" Target="https://ref.ly/Matt23:16-Matt23:24" TargetMode="External"/><Relationship Id="rId9805" Type="http://schemas.openxmlformats.org/officeDocument/2006/relationships/hyperlink" Target="https://ref.ly/Matt23:33-Matt23:39" TargetMode="External"/><Relationship Id="rId9806" Type="http://schemas.openxmlformats.org/officeDocument/2006/relationships/hyperlink" Target="https://ref.ly/Matt24:1-Matt24:3" TargetMode="External"/><Relationship Id="rId9807" Type="http://schemas.openxmlformats.org/officeDocument/2006/relationships/hyperlink" Target="https://ref.ly/Matt24:4-Matt24:14" TargetMode="External"/><Relationship Id="rId9808" Type="http://schemas.openxmlformats.org/officeDocument/2006/relationships/hyperlink" Target="https://ref.ly/Matt22:7" TargetMode="External"/><Relationship Id="rId9809" Type="http://schemas.openxmlformats.org/officeDocument/2006/relationships/hyperlink" Target="https://ref.ly/Matt23:38" TargetMode="External"/><Relationship Id="rId9810" Type="http://schemas.openxmlformats.org/officeDocument/2006/relationships/hyperlink" Target="https://ref.ly/Matt24:15-Matt24:25" TargetMode="External"/><Relationship Id="rId9811" Type="http://schemas.openxmlformats.org/officeDocument/2006/relationships/hyperlink" Target="https://ref.ly/Matt24:26-Matt24:31" TargetMode="External"/><Relationship Id="rId9812" Type="http://schemas.openxmlformats.org/officeDocument/2006/relationships/hyperlink" Target="https://ref.ly/Matt24:32-Matt24:35" TargetMode="External"/><Relationship Id="rId9813" Type="http://schemas.openxmlformats.org/officeDocument/2006/relationships/hyperlink" Target="https://ref.ly/Matt24:36-Matt24:51" TargetMode="External"/><Relationship Id="rId9814" Type="http://schemas.openxmlformats.org/officeDocument/2006/relationships/hyperlink" Target="https://ref.ly/Matt25:14-Matt25:30" TargetMode="External"/><Relationship Id="rId9815" Type="http://schemas.openxmlformats.org/officeDocument/2006/relationships/hyperlink" Target="https://ref.ly/Matt10:40-Matt10:42" TargetMode="External"/><Relationship Id="rId9816" Type="http://schemas.openxmlformats.org/officeDocument/2006/relationships/hyperlink" Target="https://ref.ly/Matt26:1-Matt27:26" TargetMode="External"/><Relationship Id="rId9817" Type="http://schemas.openxmlformats.org/officeDocument/2006/relationships/hyperlink" Target="https://ref.ly/Matt26:1-Matt26:5" TargetMode="External"/><Relationship Id="rId9818" Type="http://schemas.openxmlformats.org/officeDocument/2006/relationships/hyperlink" Target="https://ref.ly/Matt26:14-Matt26:16" TargetMode="External"/><Relationship Id="rId9819" Type="http://schemas.openxmlformats.org/officeDocument/2006/relationships/hyperlink" Target="https://ref.ly/Matt26:17-Matt26:30" TargetMode="External"/><Relationship Id="rId9820" Type="http://schemas.openxmlformats.org/officeDocument/2006/relationships/hyperlink" Target="https://ref.ly/Matt2:15" TargetMode="External"/><Relationship Id="rId9821" Type="http://schemas.openxmlformats.org/officeDocument/2006/relationships/hyperlink" Target="https://ref.ly/Matt26:26-Matt26:28" TargetMode="External"/><Relationship Id="rId9822" Type="http://schemas.openxmlformats.org/officeDocument/2006/relationships/hyperlink" Target="https://ref.ly/Matt26:29" TargetMode="External"/><Relationship Id="rId9823" Type="http://schemas.openxmlformats.org/officeDocument/2006/relationships/hyperlink" Target="https://ref.ly/Matt26:36-Matt26:46" TargetMode="External"/><Relationship Id="rId9824" Type="http://schemas.openxmlformats.org/officeDocument/2006/relationships/hyperlink" Target="https://ref.ly/Matt26:54" TargetMode="External"/><Relationship Id="rId9825" Type="http://schemas.openxmlformats.org/officeDocument/2006/relationships/hyperlink" Target="https://ref.ly/Matt26:47-Matt26:56" TargetMode="External"/><Relationship Id="rId9826" Type="http://schemas.openxmlformats.org/officeDocument/2006/relationships/hyperlink" Target="https://ref.ly/Matt26:69-Matt26:75" TargetMode="External"/><Relationship Id="rId9827" Type="http://schemas.openxmlformats.org/officeDocument/2006/relationships/hyperlink" Target="https://ref.ly/Matt26:31-Matt26:35" TargetMode="External"/><Relationship Id="rId9828" Type="http://schemas.openxmlformats.org/officeDocument/2006/relationships/hyperlink" Target="https://ref.ly/Matt27:1-Matt27:2" TargetMode="External"/><Relationship Id="rId9829" Type="http://schemas.openxmlformats.org/officeDocument/2006/relationships/hyperlink" Target="https://ref.ly/Matt27:11-Matt27:25" TargetMode="External"/><Relationship Id="rId9830" Type="http://schemas.openxmlformats.org/officeDocument/2006/relationships/hyperlink" Target="https://ref.ly/Matt27:26" TargetMode="External"/><Relationship Id="rId9831" Type="http://schemas.openxmlformats.org/officeDocument/2006/relationships/hyperlink" Target="https://ref.ly/Matt27:27-Matt27:66" TargetMode="External"/><Relationship Id="rId9832" Type="http://schemas.openxmlformats.org/officeDocument/2006/relationships/hyperlink" Target="https://ref.ly/Matt27:27-Matt27:32" TargetMode="External"/><Relationship Id="rId9833" Type="http://schemas.openxmlformats.org/officeDocument/2006/relationships/hyperlink" Target="https://ref.ly/Matt27:34" TargetMode="External"/><Relationship Id="rId9834" Type="http://schemas.openxmlformats.org/officeDocument/2006/relationships/hyperlink" Target="https://ref.ly/Matt27:38" TargetMode="External"/><Relationship Id="rId9835" Type="http://schemas.openxmlformats.org/officeDocument/2006/relationships/hyperlink" Target="https://ref.ly/Matt27:37-Matt27:44" TargetMode="External"/><Relationship Id="rId9836" Type="http://schemas.openxmlformats.org/officeDocument/2006/relationships/hyperlink" Target="https://ref.ly/Matt27:45-Matt27:49" TargetMode="External"/><Relationship Id="rId9837" Type="http://schemas.openxmlformats.org/officeDocument/2006/relationships/hyperlink" Target="https://ref.ly/Matt27:50" TargetMode="External"/><Relationship Id="rId9838" Type="http://schemas.openxmlformats.org/officeDocument/2006/relationships/hyperlink" Target="https://ref.ly/Matt27:51-Matt27:53" TargetMode="External"/><Relationship Id="rId9839" Type="http://schemas.openxmlformats.org/officeDocument/2006/relationships/hyperlink" Target="https://ref.ly/Matt27:54" TargetMode="External"/><Relationship Id="rId9840" Type="http://schemas.openxmlformats.org/officeDocument/2006/relationships/hyperlink" Target="https://ref.ly/Matt26:63-Matt26:65" TargetMode="External"/><Relationship Id="rId9841" Type="http://schemas.openxmlformats.org/officeDocument/2006/relationships/hyperlink" Target="https://ref.ly/Matt27:57-Matt27:66" TargetMode="External"/><Relationship Id="rId9842" Type="http://schemas.openxmlformats.org/officeDocument/2006/relationships/hyperlink" Target="https://ref.ly/Matt28:1-Matt28:7" TargetMode="External"/><Relationship Id="rId9843" Type="http://schemas.openxmlformats.org/officeDocument/2006/relationships/hyperlink" Target="https://ref.ly/Matt28:8-Matt28:10" TargetMode="External"/><Relationship Id="rId9844" Type="http://schemas.openxmlformats.org/officeDocument/2006/relationships/hyperlink" Target="https://ref.ly/Matt27:61" TargetMode="External"/><Relationship Id="rId9845" Type="http://schemas.openxmlformats.org/officeDocument/2006/relationships/hyperlink" Target="https://ref.ly/Matt28:11-Matt28:15" TargetMode="External"/><Relationship Id="rId9846" Type="http://schemas.openxmlformats.org/officeDocument/2006/relationships/hyperlink" Target="https://ref.ly/2Chr16:12" TargetMode="External"/><Relationship Id="rId9847" Type="http://schemas.openxmlformats.org/officeDocument/2006/relationships/hyperlink" Target="https://ref.ly/Job13:4" TargetMode="External"/><Relationship Id="rId9848" Type="http://schemas.openxmlformats.org/officeDocument/2006/relationships/hyperlink" Target="https://ref.ly/Matt9:12" TargetMode="External"/><Relationship Id="rId9849" Type="http://schemas.openxmlformats.org/officeDocument/2006/relationships/hyperlink" Target="https://ref.ly/Mark2:17" TargetMode="External"/><Relationship Id="rId9850" Type="http://schemas.openxmlformats.org/officeDocument/2006/relationships/hyperlink" Target="https://ref.ly/Mark5:26" TargetMode="External"/><Relationship Id="rId9851" Type="http://schemas.openxmlformats.org/officeDocument/2006/relationships/hyperlink" Target="https://ref.ly/Luke4:23" TargetMode="External"/><Relationship Id="rId9852" Type="http://schemas.openxmlformats.org/officeDocument/2006/relationships/hyperlink" Target="https://ref.ly/Luke5:31" TargetMode="External"/><Relationship Id="rId9853" Type="http://schemas.openxmlformats.org/officeDocument/2006/relationships/hyperlink" Target="https://ref.ly/Ezek21:21" TargetMode="External"/><Relationship Id="rId9854" Type="http://schemas.openxmlformats.org/officeDocument/2006/relationships/hyperlink" Target="https://ref.ly/Gen50:2" TargetMode="External"/><Relationship Id="rId9855" Type="http://schemas.openxmlformats.org/officeDocument/2006/relationships/hyperlink" Target="https://ref.ly/Deut28:22,Deut28:35,Deut28:60-Deut28:61" TargetMode="External"/><Relationship Id="rId9856" Type="http://schemas.openxmlformats.org/officeDocument/2006/relationships/hyperlink" Target="https://ref.ly/John9:2" TargetMode="External"/><Relationship Id="rId9857" Type="http://schemas.openxmlformats.org/officeDocument/2006/relationships/hyperlink" Target="https://ref.ly/Lev11:1-Lev15:33" TargetMode="External"/><Relationship Id="rId9858" Type="http://schemas.openxmlformats.org/officeDocument/2006/relationships/hyperlink" Target="https://ref.ly/Ezek30:21" TargetMode="External"/><Relationship Id="rId9859" Type="http://schemas.openxmlformats.org/officeDocument/2006/relationships/hyperlink" Target="https://ref.ly/Gen35:17" TargetMode="External"/><Relationship Id="rId9860" Type="http://schemas.openxmlformats.org/officeDocument/2006/relationships/hyperlink" Target="https://ref.ly/Gen38:27-Gen38:30" TargetMode="External"/><Relationship Id="rId9861" Type="http://schemas.openxmlformats.org/officeDocument/2006/relationships/hyperlink" Target="https://ref.ly/Exod1:15-Exod1:21" TargetMode="External"/><Relationship Id="rId9862" Type="http://schemas.openxmlformats.org/officeDocument/2006/relationships/hyperlink" Target="https://ref.ly/Gen30:14" TargetMode="External"/><Relationship Id="rId9863" Type="http://schemas.openxmlformats.org/officeDocument/2006/relationships/hyperlink" Target="https://ref.ly/Job2:7-Job2:8" TargetMode="External"/><Relationship Id="rId9864" Type="http://schemas.openxmlformats.org/officeDocument/2006/relationships/hyperlink" Target="https://ref.ly/2Kgs20:7" TargetMode="External"/><Relationship Id="rId9865" Type="http://schemas.openxmlformats.org/officeDocument/2006/relationships/hyperlink" Target="https://ref.ly/Prov17:22" TargetMode="External"/><Relationship Id="rId9866" Type="http://schemas.openxmlformats.org/officeDocument/2006/relationships/hyperlink" Target="https://ref.ly/Prov31:6" TargetMode="External"/><Relationship Id="rId9867" Type="http://schemas.openxmlformats.org/officeDocument/2006/relationships/hyperlink" Target="https://ref.ly/John19:29" TargetMode="External"/><Relationship Id="rId9868" Type="http://schemas.openxmlformats.org/officeDocument/2006/relationships/hyperlink" Target="https://ref.ly/1Tim5:23" TargetMode="External"/><Relationship Id="rId9869" Type="http://schemas.openxmlformats.org/officeDocument/2006/relationships/hyperlink" Target="https://ref.ly/Rev3:18" TargetMode="External"/><Relationship Id="rId9870" Type="http://schemas.openxmlformats.org/officeDocument/2006/relationships/hyperlink" Target="https://ref.ly/2Kgs18:11" TargetMode="External"/><Relationship Id="rId9871" Type="http://schemas.openxmlformats.org/officeDocument/2006/relationships/hyperlink" Target="https://ref.ly/Dan6:8,Dan6:15" TargetMode="External"/><Relationship Id="rId9872" Type="http://schemas.openxmlformats.org/officeDocument/2006/relationships/hyperlink" Target="https://ref.ly/Dan8:20" TargetMode="External"/><Relationship Id="rId9873" Type="http://schemas.openxmlformats.org/officeDocument/2006/relationships/hyperlink" Target="https://ref.ly/Isa13:17" TargetMode="External"/><Relationship Id="rId9874" Type="http://schemas.openxmlformats.org/officeDocument/2006/relationships/hyperlink" Target="https://ref.ly/Jer51:11,Jer51:28" TargetMode="External"/><Relationship Id="rId9875" Type="http://schemas.openxmlformats.org/officeDocument/2006/relationships/hyperlink" Target="https://ref.ly/Dan5:28" TargetMode="External"/><Relationship Id="rId9876" Type="http://schemas.openxmlformats.org/officeDocument/2006/relationships/hyperlink" Target="https://ref.ly/Dan11:1" TargetMode="External"/><Relationship Id="rId9877" Type="http://schemas.openxmlformats.org/officeDocument/2006/relationships/hyperlink" Target="https://ref.ly/Esth1:3-Esth1:7" TargetMode="External"/><Relationship Id="rId9878" Type="http://schemas.openxmlformats.org/officeDocument/2006/relationships/hyperlink" Target="https://ref.ly/Job9:32-Job9:35" TargetMode="External"/><Relationship Id="rId9879" Type="http://schemas.openxmlformats.org/officeDocument/2006/relationships/hyperlink" Target="https://ref.ly/Exod20:18-Exod20:21" TargetMode="External"/><Relationship Id="rId9880" Type="http://schemas.openxmlformats.org/officeDocument/2006/relationships/hyperlink" Target="https://ref.ly/Acts7:53" TargetMode="External"/><Relationship Id="rId9881" Type="http://schemas.openxmlformats.org/officeDocument/2006/relationships/hyperlink" Target="https://ref.ly/Heb6:13-Heb6:17" TargetMode="External"/><Relationship Id="rId9882" Type="http://schemas.openxmlformats.org/officeDocument/2006/relationships/hyperlink" Target="https://ref.ly/Deut10:8" TargetMode="External"/><Relationship Id="rId9883" Type="http://schemas.openxmlformats.org/officeDocument/2006/relationships/hyperlink" Target="https://ref.ly/Deut33:8-Deut33:10" TargetMode="External"/><Relationship Id="rId9884" Type="http://schemas.openxmlformats.org/officeDocument/2006/relationships/hyperlink" Target="https://ref.ly/2Chr15:3" TargetMode="External"/><Relationship Id="rId9885" Type="http://schemas.openxmlformats.org/officeDocument/2006/relationships/hyperlink" Target="https://ref.ly/Jer23:10-Jer23:11,Jer23:18-Jer23:22,Jer23:31-Jer23:34" TargetMode="External"/><Relationship Id="rId9886" Type="http://schemas.openxmlformats.org/officeDocument/2006/relationships/hyperlink" Target="https://ref.ly/Mic3:11" TargetMode="External"/><Relationship Id="rId9887" Type="http://schemas.openxmlformats.org/officeDocument/2006/relationships/hyperlink" Target="https://ref.ly/Mal2:7" TargetMode="External"/><Relationship Id="rId9888" Type="http://schemas.openxmlformats.org/officeDocument/2006/relationships/hyperlink" Target="https://ref.ly/Exod24:4-Exod24:8" TargetMode="External"/><Relationship Id="rId9889" Type="http://schemas.openxmlformats.org/officeDocument/2006/relationships/hyperlink" Target="https://ref.ly/Exod28:1" TargetMode="External"/><Relationship Id="rId9890" Type="http://schemas.openxmlformats.org/officeDocument/2006/relationships/hyperlink" Target="https://ref.ly/Heb5:1-Heb5:4" TargetMode="External"/><Relationship Id="rId9891" Type="http://schemas.openxmlformats.org/officeDocument/2006/relationships/hyperlink" Target="https://ref.ly/Heb7:27-Heb10:11" TargetMode="External"/><Relationship Id="rId9892" Type="http://schemas.openxmlformats.org/officeDocument/2006/relationships/hyperlink" Target="https://ref.ly/Mark6:15" TargetMode="External"/><Relationship Id="rId9893" Type="http://schemas.openxmlformats.org/officeDocument/2006/relationships/hyperlink" Target="https://ref.ly/Mark8:28" TargetMode="External"/><Relationship Id="rId9894" Type="http://schemas.openxmlformats.org/officeDocument/2006/relationships/hyperlink" Target="https://ref.ly/Heb8:6" TargetMode="External"/><Relationship Id="rId9895" Type="http://schemas.openxmlformats.org/officeDocument/2006/relationships/hyperlink" Target="https://ref.ly/Heb9:15" TargetMode="External"/><Relationship Id="rId9896" Type="http://schemas.openxmlformats.org/officeDocument/2006/relationships/hyperlink" Target="https://ref.ly/Heb12:24" TargetMode="External"/><Relationship Id="rId9897" Type="http://schemas.openxmlformats.org/officeDocument/2006/relationships/hyperlink" Target="https://ref.ly/1Tim2:5" TargetMode="External"/><Relationship Id="rId9898" Type="http://schemas.openxmlformats.org/officeDocument/2006/relationships/hyperlink" Target="https://ref.ly/1John2:2" TargetMode="External"/><Relationship Id="rId9899" Type="http://schemas.openxmlformats.org/officeDocument/2006/relationships/hyperlink" Target="https://ref.ly/1John4:10" TargetMode="External"/><Relationship Id="rId9900" Type="http://schemas.openxmlformats.org/officeDocument/2006/relationships/hyperlink" Target="https://ref.ly/Col1:15,Col1:22" TargetMode="External"/><Relationship Id="rId9901" Type="http://schemas.openxmlformats.org/officeDocument/2006/relationships/hyperlink" Target="https://ref.ly/Heb7:19" TargetMode="External"/><Relationship Id="rId9902" Type="http://schemas.openxmlformats.org/officeDocument/2006/relationships/hyperlink" Target="https://ref.ly/Heb9:1,Heb9:11-Heb9:15" TargetMode="External"/><Relationship Id="rId9903" Type="http://schemas.openxmlformats.org/officeDocument/2006/relationships/hyperlink" Target="https://ref.ly/John17:1-John17:26" TargetMode="External"/><Relationship Id="rId9904" Type="http://schemas.openxmlformats.org/officeDocument/2006/relationships/hyperlink" Target="https://ref.ly/Neh6:10" TargetMode="External"/><Relationship Id="rId9905" Type="http://schemas.openxmlformats.org/officeDocument/2006/relationships/hyperlink" Target="https://ref.ly/Heb7:1-Heb7:17" TargetMode="External"/><Relationship Id="rId9906" Type="http://schemas.openxmlformats.org/officeDocument/2006/relationships/hyperlink" Target="https://ref.ly/Gen14:1-Gen14:12" TargetMode="External"/><Relationship Id="rId9907" Type="http://schemas.openxmlformats.org/officeDocument/2006/relationships/hyperlink" Target="https://ref.ly/Ps76:2" TargetMode="External"/><Relationship Id="rId9908" Type="http://schemas.openxmlformats.org/officeDocument/2006/relationships/hyperlink" Target="https://ref.ly/Ps7:17" TargetMode="External"/><Relationship Id="rId9909" Type="http://schemas.openxmlformats.org/officeDocument/2006/relationships/hyperlink" Target="https://ref.ly/Ps47:2" TargetMode="External"/><Relationship Id="rId9910" Type="http://schemas.openxmlformats.org/officeDocument/2006/relationships/hyperlink" Target="https://ref.ly/Heb5:6-Heb5:11" TargetMode="External"/><Relationship Id="rId9911" Type="http://schemas.openxmlformats.org/officeDocument/2006/relationships/hyperlink" Target="https://ref.ly/Heb6:20-Heb7:28" TargetMode="External"/><Relationship Id="rId9912" Type="http://schemas.openxmlformats.org/officeDocument/2006/relationships/hyperlink" Target="https://ref.ly/Heb7:1-Heb7:2" TargetMode="External"/><Relationship Id="rId9913" Type="http://schemas.openxmlformats.org/officeDocument/2006/relationships/hyperlink" Target="https://ref.ly/Heb7:4-Heb7:10" TargetMode="External"/><Relationship Id="rId9914" Type="http://schemas.openxmlformats.org/officeDocument/2006/relationships/hyperlink" Target="https://ref.ly/Heb7:11-Heb7:19" TargetMode="External"/><Relationship Id="rId9915" Type="http://schemas.openxmlformats.org/officeDocument/2006/relationships/hyperlink" Target="https://ref.ly/Heb7:20-Heb7:22" TargetMode="External"/><Relationship Id="rId9916" Type="http://schemas.openxmlformats.org/officeDocument/2006/relationships/hyperlink" Target="https://ref.ly/Heb7:23-Heb7:25" TargetMode="External"/><Relationship Id="rId9917" Type="http://schemas.openxmlformats.org/officeDocument/2006/relationships/hyperlink" Target="https://ref.ly/Esth1:14-Esth1:21" TargetMode="External"/><Relationship Id="rId9918" Type="http://schemas.openxmlformats.org/officeDocument/2006/relationships/hyperlink" Target="https://ref.ly/Esth1:16" TargetMode="External"/><Relationship Id="rId9919" Type="http://schemas.openxmlformats.org/officeDocument/2006/relationships/hyperlink" Target="https://ref.ly/Esth1:21" TargetMode="External"/><Relationship Id="rId9920" Type="http://schemas.openxmlformats.org/officeDocument/2006/relationships/hyperlink" Target="https://ref.ly/Exod16:16,Exod16:18,Exod16:22,Exod16:36" TargetMode="External"/><Relationship Id="rId9921" Type="http://schemas.openxmlformats.org/officeDocument/2006/relationships/hyperlink" Target="https://ref.ly/Deut15:1" TargetMode="External"/><Relationship Id="rId9922" Type="http://schemas.openxmlformats.org/officeDocument/2006/relationships/hyperlink" Target="https://ref.ly/Deut15:7-Deut15:11" TargetMode="External"/><Relationship Id="rId9923" Type="http://schemas.openxmlformats.org/officeDocument/2006/relationships/hyperlink" Target="https://ref.ly/Deut24:14-Deut24:15" TargetMode="External"/><Relationship Id="rId9924" Type="http://schemas.openxmlformats.org/officeDocument/2006/relationships/hyperlink" Target="https://ref.ly/Deut15:4" TargetMode="External"/><Relationship Id="rId9925" Type="http://schemas.openxmlformats.org/officeDocument/2006/relationships/hyperlink" Target="https://ref.ly/Isa5:8" TargetMode="External"/><Relationship Id="rId9926" Type="http://schemas.openxmlformats.org/officeDocument/2006/relationships/hyperlink" Target="https://ref.ly/Hos12:8" TargetMode="External"/><Relationship Id="rId9927" Type="http://schemas.openxmlformats.org/officeDocument/2006/relationships/hyperlink" Target="https://ref.ly/Amos8:4-Amos8:7" TargetMode="External"/><Relationship Id="rId9928" Type="http://schemas.openxmlformats.org/officeDocument/2006/relationships/hyperlink" Target="https://ref.ly/Amos2:6-Amos2:8" TargetMode="External"/><Relationship Id="rId9929" Type="http://schemas.openxmlformats.org/officeDocument/2006/relationships/hyperlink" Target="https://ref.ly/Amos8:6" TargetMode="External"/><Relationship Id="rId9930" Type="http://schemas.openxmlformats.org/officeDocument/2006/relationships/hyperlink" Target="https://ref.ly/John9:8-John9:9" TargetMode="External"/><Relationship Id="rId9931" Type="http://schemas.openxmlformats.org/officeDocument/2006/relationships/hyperlink" Target="https://ref.ly/Acts3:1-Acts3:11" TargetMode="External"/><Relationship Id="rId9932" Type="http://schemas.openxmlformats.org/officeDocument/2006/relationships/hyperlink" Target="https://ref.ly/Matt6:1-Matt6:4" TargetMode="External"/><Relationship Id="rId9933" Type="http://schemas.openxmlformats.org/officeDocument/2006/relationships/hyperlink" Target="https://ref.ly/Matt5:42-Matt5:48" TargetMode="External"/><Relationship Id="rId9934" Type="http://schemas.openxmlformats.org/officeDocument/2006/relationships/hyperlink" Target="https://ref.ly/John5:2-John5:9" TargetMode="External"/><Relationship Id="rId9935" Type="http://schemas.openxmlformats.org/officeDocument/2006/relationships/hyperlink" Target="https://ref.ly/Rom15:25-Rom15:27" TargetMode="External"/><Relationship Id="rId9936" Type="http://schemas.openxmlformats.org/officeDocument/2006/relationships/hyperlink" Target="https://ref.ly/Gen1:1-Gen1:2" TargetMode="External"/><Relationship Id="rId9937" Type="http://schemas.openxmlformats.org/officeDocument/2006/relationships/hyperlink" Target="https://ref.ly/Ps29:1-Ps29:11" TargetMode="External"/><Relationship Id="rId9938" Type="http://schemas.openxmlformats.org/officeDocument/2006/relationships/hyperlink" Target="https://ref.ly/Job38:8-Job38:11" TargetMode="External"/><Relationship Id="rId9939" Type="http://schemas.openxmlformats.org/officeDocument/2006/relationships/hyperlink" Target="https://ref.ly/Job9:8" TargetMode="External"/><Relationship Id="rId9940" Type="http://schemas.openxmlformats.org/officeDocument/2006/relationships/hyperlink" Target="https://ref.ly/Mark6:48" TargetMode="External"/><Relationship Id="rId9941" Type="http://schemas.openxmlformats.org/officeDocument/2006/relationships/hyperlink" Target="https://ref.ly/Mark4:41" TargetMode="External"/><Relationship Id="rId9942" Type="http://schemas.openxmlformats.org/officeDocument/2006/relationships/hyperlink" Target="https://ref.ly/Isa57:20" TargetMode="External"/><Relationship Id="rId9943" Type="http://schemas.openxmlformats.org/officeDocument/2006/relationships/hyperlink" Target="https://ref.ly/Isa17:13" TargetMode="External"/><Relationship Id="rId9944" Type="http://schemas.openxmlformats.org/officeDocument/2006/relationships/hyperlink" Target="https://ref.ly/Isa5:30" TargetMode="External"/><Relationship Id="rId9945" Type="http://schemas.openxmlformats.org/officeDocument/2006/relationships/hyperlink" Target="https://ref.ly/Dan7:3" TargetMode="External"/><Relationship Id="rId9946" Type="http://schemas.openxmlformats.org/officeDocument/2006/relationships/hyperlink" Target="https://ref.ly/Rev13:1" TargetMode="External"/><Relationship Id="rId9947" Type="http://schemas.openxmlformats.org/officeDocument/2006/relationships/hyperlink" Target="https://ref.ly/Ps18:16" TargetMode="External"/><Relationship Id="rId9948" Type="http://schemas.openxmlformats.org/officeDocument/2006/relationships/hyperlink" Target="https://ref.ly/Ps107:23-Ps107:31" TargetMode="External"/><Relationship Id="rId9949" Type="http://schemas.openxmlformats.org/officeDocument/2006/relationships/hyperlink" Target="https://ref.ly/Exod15:19" TargetMode="External"/><Relationship Id="rId9950" Type="http://schemas.openxmlformats.org/officeDocument/2006/relationships/hyperlink" Target="https://ref.ly/Ps74:13" TargetMode="External"/><Relationship Id="rId9951" Type="http://schemas.openxmlformats.org/officeDocument/2006/relationships/hyperlink" Target="https://ref.ly/Ps78:13" TargetMode="External"/><Relationship Id="rId9952" Type="http://schemas.openxmlformats.org/officeDocument/2006/relationships/hyperlink" Target="https://ref.ly/Ps106:9" TargetMode="External"/><Relationship Id="rId9953" Type="http://schemas.openxmlformats.org/officeDocument/2006/relationships/hyperlink" Target="https://ref.ly/Isa43:16-Isa43:17" TargetMode="External"/><Relationship Id="rId9954" Type="http://schemas.openxmlformats.org/officeDocument/2006/relationships/hyperlink" Target="https://ref.ly/Num34:3,Num34:12" TargetMode="External"/><Relationship Id="rId9955" Type="http://schemas.openxmlformats.org/officeDocument/2006/relationships/hyperlink" Target="https://ref.ly/Deut3:17" TargetMode="External"/><Relationship Id="rId9956" Type="http://schemas.openxmlformats.org/officeDocument/2006/relationships/hyperlink" Target="https://ref.ly/Josh3:16" TargetMode="External"/><Relationship Id="rId9957" Type="http://schemas.openxmlformats.org/officeDocument/2006/relationships/hyperlink" Target="https://ref.ly/Josh12:3" TargetMode="External"/><Relationship Id="rId9958" Type="http://schemas.openxmlformats.org/officeDocument/2006/relationships/hyperlink" Target="https://ref.ly/Josh15:2,Josh15:5" TargetMode="External"/><Relationship Id="rId9959" Type="http://schemas.openxmlformats.org/officeDocument/2006/relationships/hyperlink" Target="https://ref.ly/Josh18:19" TargetMode="External"/><Relationship Id="rId9960" Type="http://schemas.openxmlformats.org/officeDocument/2006/relationships/hyperlink" Target="https://ref.ly/Deut4:49" TargetMode="External"/><Relationship Id="rId9961" Type="http://schemas.openxmlformats.org/officeDocument/2006/relationships/hyperlink" Target="https://ref.ly/Ezek47:18" TargetMode="External"/><Relationship Id="rId9962" Type="http://schemas.openxmlformats.org/officeDocument/2006/relationships/hyperlink" Target="https://ref.ly/Joel2:20" TargetMode="External"/><Relationship Id="rId9963" Type="http://schemas.openxmlformats.org/officeDocument/2006/relationships/hyperlink" Target="https://ref.ly/Zech14:8" TargetMode="External"/><Relationship Id="rId9964" Type="http://schemas.openxmlformats.org/officeDocument/2006/relationships/hyperlink" Target="https://ref.ly/1Sam23:29-1Sam24:29" TargetMode="External"/><Relationship Id="rId9965" Type="http://schemas.openxmlformats.org/officeDocument/2006/relationships/hyperlink" Target="https://ref.ly/Ezek47:1-Ezek47:12" TargetMode="External"/><Relationship Id="rId9966" Type="http://schemas.openxmlformats.org/officeDocument/2006/relationships/hyperlink" Target="https://ref.ly/Exod14:10-Exod14:31" TargetMode="External"/><Relationship Id="rId9967" Type="http://schemas.openxmlformats.org/officeDocument/2006/relationships/hyperlink" Target="https://ref.ly/Josh4:23" TargetMode="External"/><Relationship Id="rId9968" Type="http://schemas.openxmlformats.org/officeDocument/2006/relationships/hyperlink" Target="https://ref.ly/Josh24:6-Josh24:7" TargetMode="External"/><Relationship Id="rId9969" Type="http://schemas.openxmlformats.org/officeDocument/2006/relationships/hyperlink" Target="https://ref.ly/Ps106:7-Ps106:9" TargetMode="External"/><Relationship Id="rId9970" Type="http://schemas.openxmlformats.org/officeDocument/2006/relationships/hyperlink" Target="https://ref.ly/Ps136:13-Ps136:15" TargetMode="External"/><Relationship Id="rId9971" Type="http://schemas.openxmlformats.org/officeDocument/2006/relationships/hyperlink" Target="https://ref.ly/Josh2:9-Josh2:10" TargetMode="External"/><Relationship Id="rId9972" Type="http://schemas.openxmlformats.org/officeDocument/2006/relationships/hyperlink" Target="https://ref.ly/Num33:9-Num33:11" TargetMode="External"/><Relationship Id="rId9973" Type="http://schemas.openxmlformats.org/officeDocument/2006/relationships/hyperlink" Target="https://ref.ly/Num33:35" TargetMode="External"/><Relationship Id="rId9974" Type="http://schemas.openxmlformats.org/officeDocument/2006/relationships/hyperlink" Target="https://ref.ly/Exod23:31" TargetMode="External"/><Relationship Id="rId9975" Type="http://schemas.openxmlformats.org/officeDocument/2006/relationships/hyperlink" Target="https://ref.ly/2Chr8:17-2Chr8:18" TargetMode="External"/><Relationship Id="rId9976" Type="http://schemas.openxmlformats.org/officeDocument/2006/relationships/hyperlink" Target="https://ref.ly/Exod6:16-Exod6:19" TargetMode="External"/><Relationship Id="rId9977" Type="http://schemas.openxmlformats.org/officeDocument/2006/relationships/hyperlink" Target="https://ref.ly/Num3:17-Num3:20,Num3:33" TargetMode="External"/><Relationship Id="rId9978" Type="http://schemas.openxmlformats.org/officeDocument/2006/relationships/hyperlink" Target="https://ref.ly/Exod6:19" TargetMode="External"/><Relationship Id="rId9979" Type="http://schemas.openxmlformats.org/officeDocument/2006/relationships/hyperlink" Target="https://ref.ly/Num3:20" TargetMode="External"/><Relationship Id="rId9980" Type="http://schemas.openxmlformats.org/officeDocument/2006/relationships/hyperlink" Target="https://ref.ly/Num3:36-Num3:37" TargetMode="External"/><Relationship Id="rId9981" Type="http://schemas.openxmlformats.org/officeDocument/2006/relationships/hyperlink" Target="https://ref.ly/Num4:31-Num4:33" TargetMode="External"/><Relationship Id="rId9982" Type="http://schemas.openxmlformats.org/officeDocument/2006/relationships/hyperlink" Target="https://ref.ly/Num7:8" TargetMode="External"/><Relationship Id="rId9983" Type="http://schemas.openxmlformats.org/officeDocument/2006/relationships/hyperlink" Target="https://ref.ly/Num10:17" TargetMode="External"/><Relationship Id="rId9984" Type="http://schemas.openxmlformats.org/officeDocument/2006/relationships/hyperlink" Target="https://ref.ly/Josh21:7,Josh21:34,Josh21:40" TargetMode="External"/><Relationship Id="rId9985" Type="http://schemas.openxmlformats.org/officeDocument/2006/relationships/hyperlink" Target="https://ref.ly/1Chr6:1-1Chr6:81" TargetMode="External"/><Relationship Id="rId9986" Type="http://schemas.openxmlformats.org/officeDocument/2006/relationships/hyperlink" Target="https://ref.ly/1Chr9:1-1Chr9:44" TargetMode="External"/><Relationship Id="rId9987" Type="http://schemas.openxmlformats.org/officeDocument/2006/relationships/hyperlink" Target="https://ref.ly/1Chr15:1-1Chr15:29" TargetMode="External"/><Relationship Id="rId9988" Type="http://schemas.openxmlformats.org/officeDocument/2006/relationships/hyperlink" Target="https://ref.ly/1Chr23:1-1Chr23:32" TargetMode="External"/><Relationship Id="rId9989" Type="http://schemas.openxmlformats.org/officeDocument/2006/relationships/hyperlink" Target="https://ref.ly/1Chr26:1-1Chr26:32" TargetMode="External"/><Relationship Id="rId9990" Type="http://schemas.openxmlformats.org/officeDocument/2006/relationships/hyperlink" Target="https://ref.ly/2Chr29:1-2Chr29:36" TargetMode="External"/><Relationship Id="rId9991" Type="http://schemas.openxmlformats.org/officeDocument/2006/relationships/hyperlink" Target="https://ref.ly/Ezek32:26" TargetMode="External"/><Relationship Id="rId9992" Type="http://schemas.openxmlformats.org/officeDocument/2006/relationships/hyperlink" Target="https://ref.ly/Ezek38:2-Ezek38:3" TargetMode="External"/><Relationship Id="rId9993" Type="http://schemas.openxmlformats.org/officeDocument/2006/relationships/hyperlink" Target="https://ref.ly/Ezek39:1" TargetMode="External"/><Relationship Id="rId9994" Type="http://schemas.openxmlformats.org/officeDocument/2006/relationships/hyperlink" Target="https://ref.ly/Gen5:21-Gen5:27" TargetMode="External"/><Relationship Id="rId9995" Type="http://schemas.openxmlformats.org/officeDocument/2006/relationships/hyperlink" Target="https://ref.ly/Gen48:2" TargetMode="External"/><Relationship Id="rId9996" Type="http://schemas.openxmlformats.org/officeDocument/2006/relationships/hyperlink" Target="https://ref.ly/Gen49:33" TargetMode="External"/><Relationship Id="rId9997" Type="http://schemas.openxmlformats.org/officeDocument/2006/relationships/hyperlink" Target="https://ref.ly/Exod8:3" TargetMode="External"/><Relationship Id="rId9998" Type="http://schemas.openxmlformats.org/officeDocument/2006/relationships/hyperlink" Target="https://ref.ly/1Sam19:11-1Sam19:17" TargetMode="External"/><Relationship Id="rId9999" Type="http://schemas.openxmlformats.org/officeDocument/2006/relationships/hyperlink" Target="https://ref.ly/2Sam4:7,2Sam4:11" TargetMode="External"/><Relationship Id="rId10000" Type="http://schemas.openxmlformats.org/officeDocument/2006/relationships/hyperlink" Target="https://ref.ly/1Kgs21:4" TargetMode="External"/><Relationship Id="rId10001" Type="http://schemas.openxmlformats.org/officeDocument/2006/relationships/hyperlink" Target="https://ref.ly/2Kgs1:4-2Kgs1:6,2Kgs1:16" TargetMode="External"/><Relationship Id="rId10002" Type="http://schemas.openxmlformats.org/officeDocument/2006/relationships/hyperlink" Target="https://ref.ly/Isa57:2" TargetMode="External"/><Relationship Id="rId10003" Type="http://schemas.openxmlformats.org/officeDocument/2006/relationships/hyperlink" Target="https://ref.ly/Isa57:7-Isa57:8" TargetMode="External"/><Relationship Id="rId10004" Type="http://schemas.openxmlformats.org/officeDocument/2006/relationships/hyperlink" Target="https://ref.ly/Ps6:6" TargetMode="External"/><Relationship Id="rId10005" Type="http://schemas.openxmlformats.org/officeDocument/2006/relationships/hyperlink" Target="https://ref.ly/Prov26:14" TargetMode="External"/><Relationship Id="rId10006" Type="http://schemas.openxmlformats.org/officeDocument/2006/relationships/hyperlink" Target="https://ref.ly/Judg1:7" TargetMode="External"/><Relationship Id="rId10007" Type="http://schemas.openxmlformats.org/officeDocument/2006/relationships/hyperlink" Target="https://ref.ly/2Sam9:7,2Sam9:10-2Sam9:13" TargetMode="External"/><Relationship Id="rId10008" Type="http://schemas.openxmlformats.org/officeDocument/2006/relationships/hyperlink" Target="https://ref.ly/2Sam19:28" TargetMode="External"/><Relationship Id="rId10009" Type="http://schemas.openxmlformats.org/officeDocument/2006/relationships/hyperlink" Target="https://ref.ly/1Kgs2:7" TargetMode="External"/><Relationship Id="rId10010" Type="http://schemas.openxmlformats.org/officeDocument/2006/relationships/hyperlink" Target="https://ref.ly/1Kgs4:27" TargetMode="External"/><Relationship Id="rId10011" Type="http://schemas.openxmlformats.org/officeDocument/2006/relationships/hyperlink" Target="https://ref.ly/Isa28:8" TargetMode="External"/><Relationship Id="rId10012" Type="http://schemas.openxmlformats.org/officeDocument/2006/relationships/hyperlink" Target="https://ref.ly/Ezek40:39-Ezek40:43" TargetMode="External"/><Relationship Id="rId10013" Type="http://schemas.openxmlformats.org/officeDocument/2006/relationships/hyperlink" Target="https://ref.ly/Gen41:40" TargetMode="External"/><Relationship Id="rId10014" Type="http://schemas.openxmlformats.org/officeDocument/2006/relationships/hyperlink" Target="https://ref.ly/Exod11:5" TargetMode="External"/><Relationship Id="rId10015" Type="http://schemas.openxmlformats.org/officeDocument/2006/relationships/hyperlink" Target="https://ref.ly/2Sam3:10" TargetMode="External"/><Relationship Id="rId10016" Type="http://schemas.openxmlformats.org/officeDocument/2006/relationships/hyperlink" Target="https://ref.ly/1Kgs10:18" TargetMode="External"/><Relationship Id="rId10017" Type="http://schemas.openxmlformats.org/officeDocument/2006/relationships/hyperlink" Target="https://ref.ly/1Kgs22:10" TargetMode="External"/><Relationship Id="rId10018" Type="http://schemas.openxmlformats.org/officeDocument/2006/relationships/hyperlink" Target="https://ref.ly/Ps9:4,Ps9:7" TargetMode="External"/><Relationship Id="rId10019" Type="http://schemas.openxmlformats.org/officeDocument/2006/relationships/hyperlink" Target="https://ref.ly/Ps93:2" TargetMode="External"/><Relationship Id="rId10020" Type="http://schemas.openxmlformats.org/officeDocument/2006/relationships/hyperlink" Target="https://ref.ly/Matt9:2,Matt9:6" TargetMode="External"/><Relationship Id="rId10021" Type="http://schemas.openxmlformats.org/officeDocument/2006/relationships/hyperlink" Target="https://ref.ly/Luke5:18" TargetMode="External"/><Relationship Id="rId10022" Type="http://schemas.openxmlformats.org/officeDocument/2006/relationships/hyperlink" Target="https://ref.ly/Acts5:15" TargetMode="External"/><Relationship Id="rId10023" Type="http://schemas.openxmlformats.org/officeDocument/2006/relationships/hyperlink" Target="https://ref.ly/Mark7:30" TargetMode="External"/><Relationship Id="rId10024" Type="http://schemas.openxmlformats.org/officeDocument/2006/relationships/hyperlink" Target="https://ref.ly/Luke8:16" TargetMode="External"/><Relationship Id="rId10025" Type="http://schemas.openxmlformats.org/officeDocument/2006/relationships/hyperlink" Target="https://ref.ly/Luke17:34" TargetMode="External"/><Relationship Id="rId10026" Type="http://schemas.openxmlformats.org/officeDocument/2006/relationships/hyperlink" Target="https://ref.ly/Luke11:7" TargetMode="External"/><Relationship Id="rId10027" Type="http://schemas.openxmlformats.org/officeDocument/2006/relationships/hyperlink" Target="https://ref.ly/Mark6:55" TargetMode="External"/><Relationship Id="rId10028" Type="http://schemas.openxmlformats.org/officeDocument/2006/relationships/hyperlink" Target="https://ref.ly/John5:8" TargetMode="External"/><Relationship Id="rId10029" Type="http://schemas.openxmlformats.org/officeDocument/2006/relationships/hyperlink" Target="https://ref.ly/John13:23" TargetMode="External"/><Relationship Id="rId10030" Type="http://schemas.openxmlformats.org/officeDocument/2006/relationships/hyperlink" Target="https://ref.ly/Matt15:27" TargetMode="External"/><Relationship Id="rId10031" Type="http://schemas.openxmlformats.org/officeDocument/2006/relationships/hyperlink" Target="https://ref.ly/Mark7:28" TargetMode="External"/><Relationship Id="rId10032" Type="http://schemas.openxmlformats.org/officeDocument/2006/relationships/hyperlink" Target="https://ref.ly/Luke16:21" TargetMode="External"/><Relationship Id="rId10033" Type="http://schemas.openxmlformats.org/officeDocument/2006/relationships/hyperlink" Target="https://ref.ly/Luke22:21" TargetMode="External"/><Relationship Id="rId10034" Type="http://schemas.openxmlformats.org/officeDocument/2006/relationships/hyperlink" Target="https://ref.ly/Matt25:1" TargetMode="External"/><Relationship Id="rId10035" Type="http://schemas.openxmlformats.org/officeDocument/2006/relationships/hyperlink" Target="https://ref.ly/1Chr4:25" TargetMode="External"/><Relationship Id="rId10036" Type="http://schemas.openxmlformats.org/officeDocument/2006/relationships/hyperlink" Target="https://ref.ly/Gen36:42" TargetMode="External"/><Relationship Id="rId10037" Type="http://schemas.openxmlformats.org/officeDocument/2006/relationships/hyperlink" Target="https://ref.ly/1Chr1:53" TargetMode="External"/><Relationship Id="rId10038" Type="http://schemas.openxmlformats.org/officeDocument/2006/relationships/hyperlink" Target="https://ref.ly/Gen22:20-Gen22:23" TargetMode="External"/><Relationship Id="rId10039" Type="http://schemas.openxmlformats.org/officeDocument/2006/relationships/hyperlink" Target="https://ref.ly/Gen24:15-Gen24:47" TargetMode="External"/><Relationship Id="rId10040" Type="http://schemas.openxmlformats.org/officeDocument/2006/relationships/hyperlink" Target="https://ref.ly/Num26:33" TargetMode="External"/><Relationship Id="rId10041" Type="http://schemas.openxmlformats.org/officeDocument/2006/relationships/hyperlink" Target="https://ref.ly/Num36:5-Num36:13" TargetMode="External"/><Relationship Id="rId10042" Type="http://schemas.openxmlformats.org/officeDocument/2006/relationships/hyperlink" Target="https://ref.ly/Josh17:3-Josh17:4" TargetMode="External"/><Relationship Id="rId10043" Type="http://schemas.openxmlformats.org/officeDocument/2006/relationships/hyperlink" Target="https://ref.ly/Acts20:15-Acts20:17" TargetMode="External"/><Relationship Id="rId10044" Type="http://schemas.openxmlformats.org/officeDocument/2006/relationships/hyperlink" Target="https://ref.ly/Acts20:28-Acts20:35" TargetMode="External"/><Relationship Id="rId10045" Type="http://schemas.openxmlformats.org/officeDocument/2006/relationships/hyperlink" Target="https://ref.ly/Rev20:1-Rev20:6" TargetMode="External"/><Relationship Id="rId10046" Type="http://schemas.openxmlformats.org/officeDocument/2006/relationships/hyperlink" Target="https://ref.ly/Acts3:19-Acts3:21" TargetMode="External"/><Relationship Id="rId10047" Type="http://schemas.openxmlformats.org/officeDocument/2006/relationships/hyperlink" Target="https://ref.ly/1Cor15:23-1Cor15:26" TargetMode="External"/><Relationship Id="rId10048" Type="http://schemas.openxmlformats.org/officeDocument/2006/relationships/hyperlink" Target="https://ref.ly/Rev20:5" TargetMode="External"/><Relationship Id="rId10049" Type="http://schemas.openxmlformats.org/officeDocument/2006/relationships/hyperlink" Target="https://ref.ly/Rev19:1-Rev19:21" TargetMode="External"/><Relationship Id="rId10050" Type="http://schemas.openxmlformats.org/officeDocument/2006/relationships/hyperlink" Target="https://ref.ly/Rev20:7-Rev20:10" TargetMode="External"/><Relationship Id="rId10051" Type="http://schemas.openxmlformats.org/officeDocument/2006/relationships/hyperlink" Target="https://ref.ly/Rev21:1-Rev21:27" TargetMode="External"/><Relationship Id="rId10052" Type="http://schemas.openxmlformats.org/officeDocument/2006/relationships/hyperlink" Target="https://ref.ly/2Sam8:13-2Sam8:14" TargetMode="External"/><Relationship Id="rId10053" Type="http://schemas.openxmlformats.org/officeDocument/2006/relationships/hyperlink" Target="https://ref.ly/1Kgs7:13-1Kgs7:14,1Kgs7:45-1Kgs7:46" TargetMode="External"/><Relationship Id="rId10054" Type="http://schemas.openxmlformats.org/officeDocument/2006/relationships/hyperlink" Target="https://ref.ly/Deut8:9" TargetMode="External"/><Relationship Id="rId10055" Type="http://schemas.openxmlformats.org/officeDocument/2006/relationships/hyperlink" Target="https://ref.ly/1Sam13:19-1Sam13:22" TargetMode="External"/><Relationship Id="rId10056" Type="http://schemas.openxmlformats.org/officeDocument/2006/relationships/hyperlink" Target="https://ref.ly/1Kgs7:13-1Kgs7:50" TargetMode="External"/><Relationship Id="rId10057" Type="http://schemas.openxmlformats.org/officeDocument/2006/relationships/hyperlink" Target="https://ref.ly/1Kgs10:2,1Kgs10:10-1Kgs10:11" TargetMode="External"/><Relationship Id="rId10058" Type="http://schemas.openxmlformats.org/officeDocument/2006/relationships/hyperlink" Target="https://ref.ly/1Sam13:19-1Sam13:20" TargetMode="External"/><Relationship Id="rId10059" Type="http://schemas.openxmlformats.org/officeDocument/2006/relationships/hyperlink" Target="https://ref.ly/Job28:1" TargetMode="External"/><Relationship Id="rId10060" Type="http://schemas.openxmlformats.org/officeDocument/2006/relationships/hyperlink" Target="https://ref.ly/Zech13:9" TargetMode="External"/><Relationship Id="rId10061" Type="http://schemas.openxmlformats.org/officeDocument/2006/relationships/hyperlink" Target="https://ref.ly/Mal3:3" TargetMode="External"/><Relationship Id="rId10062" Type="http://schemas.openxmlformats.org/officeDocument/2006/relationships/hyperlink" Target="https://ref.ly/Ezek22:20-Ezek22:22" TargetMode="External"/><Relationship Id="rId10063" Type="http://schemas.openxmlformats.org/officeDocument/2006/relationships/hyperlink" Target="https://ref.ly/1Chr29:4" TargetMode="External"/><Relationship Id="rId10064" Type="http://schemas.openxmlformats.org/officeDocument/2006/relationships/hyperlink" Target="https://ref.ly/Ps12:6" TargetMode="External"/><Relationship Id="rId10065" Type="http://schemas.openxmlformats.org/officeDocument/2006/relationships/hyperlink" Target="https://ref.ly/Prov10:20" TargetMode="External"/><Relationship Id="rId10066" Type="http://schemas.openxmlformats.org/officeDocument/2006/relationships/hyperlink" Target="https://ref.ly/Exod3:22" TargetMode="External"/><Relationship Id="rId10067" Type="http://schemas.openxmlformats.org/officeDocument/2006/relationships/hyperlink" Target="https://ref.ly/Exod12:35" TargetMode="External"/><Relationship Id="rId10068" Type="http://schemas.openxmlformats.org/officeDocument/2006/relationships/hyperlink" Target="https://ref.ly/Exod20:23" TargetMode="External"/><Relationship Id="rId10069" Type="http://schemas.openxmlformats.org/officeDocument/2006/relationships/hyperlink" Target="https://ref.ly/Exod32:2-Exod32:4" TargetMode="External"/><Relationship Id="rId10070" Type="http://schemas.openxmlformats.org/officeDocument/2006/relationships/hyperlink" Target="https://ref.ly/Ps115:4" TargetMode="External"/><Relationship Id="rId10071" Type="http://schemas.openxmlformats.org/officeDocument/2006/relationships/hyperlink" Target="https://ref.ly/Isa2:20" TargetMode="External"/><Relationship Id="rId10072" Type="http://schemas.openxmlformats.org/officeDocument/2006/relationships/hyperlink" Target="https://ref.ly/Isa30:22" TargetMode="External"/><Relationship Id="rId10073" Type="http://schemas.openxmlformats.org/officeDocument/2006/relationships/hyperlink" Target="https://ref.ly/Isa31:7" TargetMode="External"/><Relationship Id="rId10074" Type="http://schemas.openxmlformats.org/officeDocument/2006/relationships/hyperlink" Target="https://ref.ly/Hos8:4" TargetMode="External"/><Relationship Id="rId10075" Type="http://schemas.openxmlformats.org/officeDocument/2006/relationships/hyperlink" Target="https://ref.ly/Exod32:24" TargetMode="External"/><Relationship Id="rId10076" Type="http://schemas.openxmlformats.org/officeDocument/2006/relationships/hyperlink" Target="https://ref.ly/Exod25:11" TargetMode="External"/><Relationship Id="rId10077" Type="http://schemas.openxmlformats.org/officeDocument/2006/relationships/hyperlink" Target="https://ref.ly/1Kgs6:20-1Kgs6:22,1Kgs6:30" TargetMode="External"/><Relationship Id="rId10078" Type="http://schemas.openxmlformats.org/officeDocument/2006/relationships/hyperlink" Target="https://ref.ly/Exod25:18" TargetMode="External"/><Relationship Id="rId10079" Type="http://schemas.openxmlformats.org/officeDocument/2006/relationships/hyperlink" Target="https://ref.ly/Exod37:7" TargetMode="External"/><Relationship Id="rId10080" Type="http://schemas.openxmlformats.org/officeDocument/2006/relationships/hyperlink" Target="https://ref.ly/Exod37:6" TargetMode="External"/><Relationship Id="rId10081" Type="http://schemas.openxmlformats.org/officeDocument/2006/relationships/hyperlink" Target="https://ref.ly/Exod25:31" TargetMode="External"/><Relationship Id="rId10082" Type="http://schemas.openxmlformats.org/officeDocument/2006/relationships/hyperlink" Target="https://ref.ly/Zech4:2" TargetMode="External"/><Relationship Id="rId10083" Type="http://schemas.openxmlformats.org/officeDocument/2006/relationships/hyperlink" Target="https://ref.ly/Exod25:38" TargetMode="External"/><Relationship Id="rId10084" Type="http://schemas.openxmlformats.org/officeDocument/2006/relationships/hyperlink" Target="https://ref.ly/2Kgs24:13" TargetMode="External"/><Relationship Id="rId10085" Type="http://schemas.openxmlformats.org/officeDocument/2006/relationships/hyperlink" Target="https://ref.ly/Exod28:14" TargetMode="External"/><Relationship Id="rId10086" Type="http://schemas.openxmlformats.org/officeDocument/2006/relationships/hyperlink" Target="https://ref.ly/Exod39:2-Exod39:30" TargetMode="External"/><Relationship Id="rId10087" Type="http://schemas.openxmlformats.org/officeDocument/2006/relationships/hyperlink" Target="https://ref.ly/Num7:86" TargetMode="External"/><Relationship Id="rId10088" Type="http://schemas.openxmlformats.org/officeDocument/2006/relationships/hyperlink" Target="https://ref.ly/1Kgs6:20-1Kgs6:28" TargetMode="External"/><Relationship Id="rId10089" Type="http://schemas.openxmlformats.org/officeDocument/2006/relationships/hyperlink" Target="https://ref.ly/1Chr29:2-1Chr29:7" TargetMode="External"/><Relationship Id="rId10090" Type="http://schemas.openxmlformats.org/officeDocument/2006/relationships/hyperlink" Target="https://ref.ly/2Chr3:4-2Chr4:22" TargetMode="External"/><Relationship Id="rId10091" Type="http://schemas.openxmlformats.org/officeDocument/2006/relationships/hyperlink" Target="https://ref.ly/1Kgs14:26" TargetMode="External"/><Relationship Id="rId10092" Type="http://schemas.openxmlformats.org/officeDocument/2006/relationships/hyperlink" Target="https://ref.ly/2Kgs16:8" TargetMode="External"/><Relationship Id="rId10093" Type="http://schemas.openxmlformats.org/officeDocument/2006/relationships/hyperlink" Target="https://ref.ly/2Kgs18:14" TargetMode="External"/><Relationship Id="rId10094" Type="http://schemas.openxmlformats.org/officeDocument/2006/relationships/hyperlink" Target="https://ref.ly/2Kgs25:15" TargetMode="External"/><Relationship Id="rId10095" Type="http://schemas.openxmlformats.org/officeDocument/2006/relationships/hyperlink" Target="https://ref.ly/1Kgs10:14" TargetMode="External"/><Relationship Id="rId10096" Type="http://schemas.openxmlformats.org/officeDocument/2006/relationships/hyperlink" Target="https://ref.ly/1Kgs9:14" TargetMode="External"/><Relationship Id="rId10097" Type="http://schemas.openxmlformats.org/officeDocument/2006/relationships/hyperlink" Target="https://ref.ly/1Kgs10:16-1Kgs10:17" TargetMode="External"/><Relationship Id="rId10098" Type="http://schemas.openxmlformats.org/officeDocument/2006/relationships/hyperlink" Target="https://ref.ly/Job28:15-Job28:17" TargetMode="External"/><Relationship Id="rId10099" Type="http://schemas.openxmlformats.org/officeDocument/2006/relationships/hyperlink" Target="https://ref.ly/Prov3:14" TargetMode="External"/><Relationship Id="rId10100" Type="http://schemas.openxmlformats.org/officeDocument/2006/relationships/hyperlink" Target="https://ref.ly/Prov8:10,Prov8:19" TargetMode="External"/><Relationship Id="rId10101" Type="http://schemas.openxmlformats.org/officeDocument/2006/relationships/hyperlink" Target="https://ref.ly/Prov16:16" TargetMode="External"/><Relationship Id="rId10102" Type="http://schemas.openxmlformats.org/officeDocument/2006/relationships/hyperlink" Target="https://ref.ly/Ps19:10" TargetMode="External"/><Relationship Id="rId10103" Type="http://schemas.openxmlformats.org/officeDocument/2006/relationships/hyperlink" Target="https://ref.ly/Ps119:72,Ps119:127" TargetMode="External"/><Relationship Id="rId10104" Type="http://schemas.openxmlformats.org/officeDocument/2006/relationships/hyperlink" Target="https://ref.ly/Prov20:15" TargetMode="External"/><Relationship Id="rId10105" Type="http://schemas.openxmlformats.org/officeDocument/2006/relationships/hyperlink" Target="https://ref.ly/Job31:24" TargetMode="External"/><Relationship Id="rId10106" Type="http://schemas.openxmlformats.org/officeDocument/2006/relationships/hyperlink" Target="https://ref.ly/Zeph1:18" TargetMode="External"/><Relationship Id="rId10107" Type="http://schemas.openxmlformats.org/officeDocument/2006/relationships/hyperlink" Target="https://ref.ly/Jas5:3" TargetMode="External"/><Relationship Id="rId10108" Type="http://schemas.openxmlformats.org/officeDocument/2006/relationships/hyperlink" Target="https://ref.ly/1Pet1:18" TargetMode="External"/><Relationship Id="rId10109" Type="http://schemas.openxmlformats.org/officeDocument/2006/relationships/hyperlink" Target="https://ref.ly/Acts3:6" TargetMode="External"/><Relationship Id="rId10110" Type="http://schemas.openxmlformats.org/officeDocument/2006/relationships/hyperlink" Target="https://ref.ly/1Tim2:9" TargetMode="External"/><Relationship Id="rId10111" Type="http://schemas.openxmlformats.org/officeDocument/2006/relationships/hyperlink" Target="https://ref.ly/Matt2:11" TargetMode="External"/><Relationship Id="rId10112" Type="http://schemas.openxmlformats.org/officeDocument/2006/relationships/hyperlink" Target="https://ref.ly/Rev21:18" TargetMode="External"/><Relationship Id="rId10113" Type="http://schemas.openxmlformats.org/officeDocument/2006/relationships/hyperlink" Target="https://ref.ly/Gen45:22" TargetMode="External"/><Relationship Id="rId10114" Type="http://schemas.openxmlformats.org/officeDocument/2006/relationships/hyperlink" Target="https://ref.ly/Gen20:16" TargetMode="External"/><Relationship Id="rId10115" Type="http://schemas.openxmlformats.org/officeDocument/2006/relationships/hyperlink" Target="https://ref.ly/Exod21:32" TargetMode="External"/><Relationship Id="rId10116" Type="http://schemas.openxmlformats.org/officeDocument/2006/relationships/hyperlink" Target="https://ref.ly/Judg17:10" TargetMode="External"/><Relationship Id="rId10117" Type="http://schemas.openxmlformats.org/officeDocument/2006/relationships/hyperlink" Target="https://ref.ly/Neh7:72" TargetMode="External"/><Relationship Id="rId10118" Type="http://schemas.openxmlformats.org/officeDocument/2006/relationships/hyperlink" Target="https://ref.ly/Job28:15" TargetMode="External"/><Relationship Id="rId10119" Type="http://schemas.openxmlformats.org/officeDocument/2006/relationships/hyperlink" Target="https://ref.ly/Isa7:23" TargetMode="External"/><Relationship Id="rId10120" Type="http://schemas.openxmlformats.org/officeDocument/2006/relationships/hyperlink" Target="https://ref.ly/Gen24:35" TargetMode="External"/><Relationship Id="rId10121" Type="http://schemas.openxmlformats.org/officeDocument/2006/relationships/hyperlink" Target="https://ref.ly/Exod25:3" TargetMode="External"/><Relationship Id="rId10122" Type="http://schemas.openxmlformats.org/officeDocument/2006/relationships/hyperlink" Target="https://ref.ly/Deut7:25" TargetMode="External"/><Relationship Id="rId10123" Type="http://schemas.openxmlformats.org/officeDocument/2006/relationships/hyperlink" Target="https://ref.ly/Zech6:11" TargetMode="External"/><Relationship Id="rId10124" Type="http://schemas.openxmlformats.org/officeDocument/2006/relationships/hyperlink" Target="https://ref.ly/Josh6:19" TargetMode="External"/><Relationship Id="rId10125" Type="http://schemas.openxmlformats.org/officeDocument/2006/relationships/hyperlink" Target="https://ref.ly/1Kgs15:18" TargetMode="External"/><Relationship Id="rId10126" Type="http://schemas.openxmlformats.org/officeDocument/2006/relationships/hyperlink" Target="https://ref.ly/Gen44:2" TargetMode="External"/><Relationship Id="rId10127" Type="http://schemas.openxmlformats.org/officeDocument/2006/relationships/hyperlink" Target="https://ref.ly/Song1:11" TargetMode="External"/><Relationship Id="rId10128" Type="http://schemas.openxmlformats.org/officeDocument/2006/relationships/hyperlink" Target="https://ref.ly/Ps66:10" TargetMode="External"/><Relationship Id="rId10129" Type="http://schemas.openxmlformats.org/officeDocument/2006/relationships/hyperlink" Target="https://ref.ly/Isa1:22" TargetMode="External"/><Relationship Id="rId10130" Type="http://schemas.openxmlformats.org/officeDocument/2006/relationships/hyperlink" Target="https://ref.ly/Jer6:30" TargetMode="External"/><Relationship Id="rId10131" Type="http://schemas.openxmlformats.org/officeDocument/2006/relationships/hyperlink" Target="https://ref.ly/Prov8:19" TargetMode="External"/><Relationship Id="rId10132" Type="http://schemas.openxmlformats.org/officeDocument/2006/relationships/hyperlink" Target="https://ref.ly/Prov22:1" TargetMode="External"/><Relationship Id="rId10133" Type="http://schemas.openxmlformats.org/officeDocument/2006/relationships/hyperlink" Target="https://ref.ly/Prov25:11" TargetMode="External"/><Relationship Id="rId10134" Type="http://schemas.openxmlformats.org/officeDocument/2006/relationships/hyperlink" Target="https://ref.ly/Rev9:20" TargetMode="External"/><Relationship Id="rId10135" Type="http://schemas.openxmlformats.org/officeDocument/2006/relationships/hyperlink" Target="https://ref.ly/1Cor13:1" TargetMode="External"/><Relationship Id="rId10136" Type="http://schemas.openxmlformats.org/officeDocument/2006/relationships/hyperlink" Target="https://ref.ly/Rev2:18" TargetMode="External"/><Relationship Id="rId10137" Type="http://schemas.openxmlformats.org/officeDocument/2006/relationships/hyperlink" Target="https://ref.ly/Num31:22" TargetMode="External"/><Relationship Id="rId10138" Type="http://schemas.openxmlformats.org/officeDocument/2006/relationships/hyperlink" Target="https://ref.ly/Josh22:8" TargetMode="External"/><Relationship Id="rId10139" Type="http://schemas.openxmlformats.org/officeDocument/2006/relationships/hyperlink" Target="https://ref.ly/Josh17:16-Josh17:18" TargetMode="External"/><Relationship Id="rId10140" Type="http://schemas.openxmlformats.org/officeDocument/2006/relationships/hyperlink" Target="https://ref.ly/1Sam17:7" TargetMode="External"/><Relationship Id="rId10141" Type="http://schemas.openxmlformats.org/officeDocument/2006/relationships/hyperlink" Target="https://ref.ly/2Sam23:7" TargetMode="External"/><Relationship Id="rId10142" Type="http://schemas.openxmlformats.org/officeDocument/2006/relationships/hyperlink" Target="https://ref.ly/1Kgs6:7" TargetMode="External"/><Relationship Id="rId10143" Type="http://schemas.openxmlformats.org/officeDocument/2006/relationships/hyperlink" Target="https://ref.ly/1Kgs22:11" TargetMode="External"/><Relationship Id="rId10144" Type="http://schemas.openxmlformats.org/officeDocument/2006/relationships/hyperlink" Target="https://ref.ly/Jer1:18" TargetMode="External"/><Relationship Id="rId10145" Type="http://schemas.openxmlformats.org/officeDocument/2006/relationships/hyperlink" Target="https://ref.ly/Jer6:28" TargetMode="External"/><Relationship Id="rId10146" Type="http://schemas.openxmlformats.org/officeDocument/2006/relationships/hyperlink" Target="https://ref.ly/Jer15:12" TargetMode="External"/><Relationship Id="rId10147" Type="http://schemas.openxmlformats.org/officeDocument/2006/relationships/hyperlink" Target="https://ref.ly/Jer17:1" TargetMode="External"/><Relationship Id="rId10148" Type="http://schemas.openxmlformats.org/officeDocument/2006/relationships/hyperlink" Target="https://ref.ly/Jer28:13-Jer28:14" TargetMode="External"/><Relationship Id="rId10149" Type="http://schemas.openxmlformats.org/officeDocument/2006/relationships/hyperlink" Target="https://ref.ly/Ezek4:3" TargetMode="External"/><Relationship Id="rId10150" Type="http://schemas.openxmlformats.org/officeDocument/2006/relationships/hyperlink" Target="https://ref.ly/Ezek22:18,Ezek22:20" TargetMode="External"/><Relationship Id="rId10151" Type="http://schemas.openxmlformats.org/officeDocument/2006/relationships/hyperlink" Target="https://ref.ly/Ezek27:12,Ezek27:19" TargetMode="External"/><Relationship Id="rId10152" Type="http://schemas.openxmlformats.org/officeDocument/2006/relationships/hyperlink" Target="https://ref.ly/Mic4:13" TargetMode="External"/><Relationship Id="rId10153" Type="http://schemas.openxmlformats.org/officeDocument/2006/relationships/hyperlink" Target="https://ref.ly/Dan2:33-Dan2:35,Dan2:40-Dan2:45" TargetMode="External"/><Relationship Id="rId10154" Type="http://schemas.openxmlformats.org/officeDocument/2006/relationships/hyperlink" Target="https://ref.ly/Dan4:15,Dan4:23" TargetMode="External"/><Relationship Id="rId10155" Type="http://schemas.openxmlformats.org/officeDocument/2006/relationships/hyperlink" Target="https://ref.ly/Dan7:7,Dan7:19" TargetMode="External"/><Relationship Id="rId10156" Type="http://schemas.openxmlformats.org/officeDocument/2006/relationships/hyperlink" Target="https://ref.ly/Acts12:10" TargetMode="External"/><Relationship Id="rId10157" Type="http://schemas.openxmlformats.org/officeDocument/2006/relationships/hyperlink" Target="https://ref.ly/Rev2:27" TargetMode="External"/><Relationship Id="rId10158" Type="http://schemas.openxmlformats.org/officeDocument/2006/relationships/hyperlink" Target="https://ref.ly/Rev9:9" TargetMode="External"/><Relationship Id="rId10159" Type="http://schemas.openxmlformats.org/officeDocument/2006/relationships/hyperlink" Target="https://ref.ly/Rev12:5" TargetMode="External"/><Relationship Id="rId10160" Type="http://schemas.openxmlformats.org/officeDocument/2006/relationships/hyperlink" Target="https://ref.ly/Rev19:15" TargetMode="External"/><Relationship Id="rId10161" Type="http://schemas.openxmlformats.org/officeDocument/2006/relationships/hyperlink" Target="https://ref.ly/Ezek22:18" TargetMode="External"/><Relationship Id="rId10162" Type="http://schemas.openxmlformats.org/officeDocument/2006/relationships/hyperlink" Target="https://ref.ly/Ps2:9" TargetMode="External"/><Relationship Id="rId10163" Type="http://schemas.openxmlformats.org/officeDocument/2006/relationships/hyperlink" Target="https://ref.ly/1Chr4:25-1Chr4:26" TargetMode="External"/><Relationship Id="rId10164" Type="http://schemas.openxmlformats.org/officeDocument/2006/relationships/hyperlink" Target="https://ref.ly/1Chr4:38-1Chr4:43" TargetMode="External"/><Relationship Id="rId10165" Type="http://schemas.openxmlformats.org/officeDocument/2006/relationships/hyperlink" Target="https://ref.ly/Gen31:49" TargetMode="External"/><Relationship Id="rId10166" Type="http://schemas.openxmlformats.org/officeDocument/2006/relationships/hyperlink" Target="https://ref.ly/Josh15:38" TargetMode="External"/><Relationship Id="rId10167" Type="http://schemas.openxmlformats.org/officeDocument/2006/relationships/hyperlink" Target="https://ref.ly/Josh18:26" TargetMode="External"/><Relationship Id="rId10168" Type="http://schemas.openxmlformats.org/officeDocument/2006/relationships/hyperlink" Target="https://ref.ly/Judg21:1" TargetMode="External"/><Relationship Id="rId10169" Type="http://schemas.openxmlformats.org/officeDocument/2006/relationships/hyperlink" Target="https://ref.ly/1Sam7:5-1Sam7:8" TargetMode="External"/><Relationship Id="rId10170" Type="http://schemas.openxmlformats.org/officeDocument/2006/relationships/hyperlink" Target="https://ref.ly/1Sam10:17-1Sam10:25" TargetMode="External"/><Relationship Id="rId10171" Type="http://schemas.openxmlformats.org/officeDocument/2006/relationships/hyperlink" Target="https://ref.ly/1Kgs15:22" TargetMode="External"/><Relationship Id="rId10172" Type="http://schemas.openxmlformats.org/officeDocument/2006/relationships/hyperlink" Target="https://ref.ly/2Kgs25:23-2Kgs25:24" TargetMode="External"/><Relationship Id="rId10173" Type="http://schemas.openxmlformats.org/officeDocument/2006/relationships/hyperlink" Target="https://ref.ly/Jer40:10" TargetMode="External"/><Relationship Id="rId10174" Type="http://schemas.openxmlformats.org/officeDocument/2006/relationships/hyperlink" Target="https://ref.ly/Jer41:3" TargetMode="External"/><Relationship Id="rId10175" Type="http://schemas.openxmlformats.org/officeDocument/2006/relationships/hyperlink" Target="https://ref.ly/1Macc3:46" TargetMode="External"/><Relationship Id="rId10176" Type="http://schemas.openxmlformats.org/officeDocument/2006/relationships/hyperlink" Target="https://ref.ly/Josh13:26" TargetMode="External"/><Relationship Id="rId10177" Type="http://schemas.openxmlformats.org/officeDocument/2006/relationships/hyperlink" Target="https://ref.ly/1Sam22:3" TargetMode="External"/><Relationship Id="rId10178" Type="http://schemas.openxmlformats.org/officeDocument/2006/relationships/hyperlink" Target="https://ref.ly/Gen36:13,Gen36:17" TargetMode="External"/><Relationship Id="rId10179" Type="http://schemas.openxmlformats.org/officeDocument/2006/relationships/hyperlink" Target="https://ref.ly/1Chr1:37" TargetMode="External"/><Relationship Id="rId10180" Type="http://schemas.openxmlformats.org/officeDocument/2006/relationships/hyperlink" Target="https://ref.ly/Acts21:16" TargetMode="External"/><Relationship Id="rId10181" Type="http://schemas.openxmlformats.org/officeDocument/2006/relationships/hyperlink" Target="https://ref.ly/Judg11:17" TargetMode="External"/><Relationship Id="rId10182" Type="http://schemas.openxmlformats.org/officeDocument/2006/relationships/hyperlink" Target="https://ref.ly/Gen19:37" TargetMode="External"/><Relationship Id="rId10183" Type="http://schemas.openxmlformats.org/officeDocument/2006/relationships/hyperlink" Target="https://ref.ly/Num21:13,Num21:26" TargetMode="External"/><Relationship Id="rId10184" Type="http://schemas.openxmlformats.org/officeDocument/2006/relationships/hyperlink" Target="https://ref.ly/Num22:6" TargetMode="External"/><Relationship Id="rId10185" Type="http://schemas.openxmlformats.org/officeDocument/2006/relationships/hyperlink" Target="https://ref.ly/Josh24:9" TargetMode="External"/><Relationship Id="rId10186" Type="http://schemas.openxmlformats.org/officeDocument/2006/relationships/hyperlink" Target="https://ref.ly/2Sam8:2" TargetMode="External"/><Relationship Id="rId10187" Type="http://schemas.openxmlformats.org/officeDocument/2006/relationships/hyperlink" Target="https://ref.ly/1Kgs11:1,1Kgs11:7" TargetMode="External"/><Relationship Id="rId10188" Type="http://schemas.openxmlformats.org/officeDocument/2006/relationships/hyperlink" Target="https://ref.ly/Ezek25:8-Ezek25:11" TargetMode="External"/><Relationship Id="rId10189" Type="http://schemas.openxmlformats.org/officeDocument/2006/relationships/hyperlink" Target="https://ref.ly/2Kgs3:1-2Kgs3:27" TargetMode="External"/><Relationship Id="rId10190" Type="http://schemas.openxmlformats.org/officeDocument/2006/relationships/hyperlink" Target="https://ref.ly/2Kgs13:20" TargetMode="External"/><Relationship Id="rId10191" Type="http://schemas.openxmlformats.org/officeDocument/2006/relationships/hyperlink" Target="https://ref.ly/2Kgs24:2" TargetMode="External"/><Relationship Id="rId10192" Type="http://schemas.openxmlformats.org/officeDocument/2006/relationships/hyperlink" Target="https://ref.ly/Isa15:1-Isa16:14" TargetMode="External"/><Relationship Id="rId10193" Type="http://schemas.openxmlformats.org/officeDocument/2006/relationships/hyperlink" Target="https://ref.ly/Jer48:1-Jer48:47" TargetMode="External"/><Relationship Id="rId10194" Type="http://schemas.openxmlformats.org/officeDocument/2006/relationships/hyperlink" Target="https://ref.ly/Zeph2:8-Zeph2:11" TargetMode="External"/><Relationship Id="rId10195" Type="http://schemas.openxmlformats.org/officeDocument/2006/relationships/hyperlink" Target="https://ref.ly/Neh13:1,Neh13:23" TargetMode="External"/><Relationship Id="rId10196" Type="http://schemas.openxmlformats.org/officeDocument/2006/relationships/hyperlink" Target="https://ref.ly/Deut23:3-Deut23:6" TargetMode="External"/><Relationship Id="rId10197" Type="http://schemas.openxmlformats.org/officeDocument/2006/relationships/hyperlink" Target="https://ref.ly/Jer48:46" TargetMode="External"/><Relationship Id="rId10198" Type="http://schemas.openxmlformats.org/officeDocument/2006/relationships/hyperlink" Target="https://ref.ly/Jer48:7" TargetMode="External"/><Relationship Id="rId10199" Type="http://schemas.openxmlformats.org/officeDocument/2006/relationships/hyperlink" Target="https://ref.ly/Num22:40-Num23:30" TargetMode="External"/><Relationship Id="rId10200" Type="http://schemas.openxmlformats.org/officeDocument/2006/relationships/hyperlink" Target="https://ref.ly/Num25:1-Num25:5" TargetMode="External"/><Relationship Id="rId10201" Type="http://schemas.openxmlformats.org/officeDocument/2006/relationships/hyperlink" Target="https://ref.ly/2Kgs3:27" TargetMode="External"/><Relationship Id="rId10202" Type="http://schemas.openxmlformats.org/officeDocument/2006/relationships/hyperlink" Target="https://ref.ly/Jer48:35" TargetMode="External"/><Relationship Id="rId10203" Type="http://schemas.openxmlformats.org/officeDocument/2006/relationships/hyperlink" Target="https://ref.ly/Exod2:10" TargetMode="External"/><Relationship Id="rId10204" Type="http://schemas.openxmlformats.org/officeDocument/2006/relationships/hyperlink" Target="https://ref.ly/2Sam22:17" TargetMode="External"/><Relationship Id="rId10205" Type="http://schemas.openxmlformats.org/officeDocument/2006/relationships/hyperlink" Target="https://ref.ly/Acts7:23" TargetMode="External"/><Relationship Id="rId10206" Type="http://schemas.openxmlformats.org/officeDocument/2006/relationships/hyperlink" Target="https://ref.ly/Deut34:7" TargetMode="External"/><Relationship Id="rId10207" Type="http://schemas.openxmlformats.org/officeDocument/2006/relationships/hyperlink" Target="https://ref.ly/Exod1:7" TargetMode="External"/><Relationship Id="rId10208" Type="http://schemas.openxmlformats.org/officeDocument/2006/relationships/hyperlink" Target="https://ref.ly/Exod2:1" TargetMode="External"/><Relationship Id="rId10209" Type="http://schemas.openxmlformats.org/officeDocument/2006/relationships/hyperlink" Target="https://ref.ly/1Sam1:19-1Sam1:24" TargetMode="External"/><Relationship Id="rId10210" Type="http://schemas.openxmlformats.org/officeDocument/2006/relationships/hyperlink" Target="https://ref.ly/Exod2:14" TargetMode="External"/><Relationship Id="rId10211" Type="http://schemas.openxmlformats.org/officeDocument/2006/relationships/hyperlink" Target="https://ref.ly/Acts7:25" TargetMode="External"/><Relationship Id="rId10212" Type="http://schemas.openxmlformats.org/officeDocument/2006/relationships/hyperlink" Target="https://ref.ly/Exod3:4-Exod3:5" TargetMode="External"/><Relationship Id="rId10213" Type="http://schemas.openxmlformats.org/officeDocument/2006/relationships/hyperlink" Target="https://ref.ly/Exod3:11-Exod3:12" TargetMode="External"/><Relationship Id="rId10214" Type="http://schemas.openxmlformats.org/officeDocument/2006/relationships/hyperlink" Target="https://ref.ly/Exod3:13-Exod3:14" TargetMode="External"/><Relationship Id="rId10215" Type="http://schemas.openxmlformats.org/officeDocument/2006/relationships/hyperlink" Target="https://ref.ly/Exod4:1-Exod4:9" TargetMode="External"/><Relationship Id="rId10216" Type="http://schemas.openxmlformats.org/officeDocument/2006/relationships/hyperlink" Target="https://ref.ly/Exod4:10" TargetMode="External"/><Relationship Id="rId10217" Type="http://schemas.openxmlformats.org/officeDocument/2006/relationships/hyperlink" Target="https://ref.ly/Exod4:18" TargetMode="External"/><Relationship Id="rId10218" Type="http://schemas.openxmlformats.org/officeDocument/2006/relationships/hyperlink" Target="https://ref.ly/Exod4:30-Exod4:31" TargetMode="External"/><Relationship Id="rId10219" Type="http://schemas.openxmlformats.org/officeDocument/2006/relationships/hyperlink" Target="https://ref.ly/Exod5:1" TargetMode="External"/><Relationship Id="rId10220" Type="http://schemas.openxmlformats.org/officeDocument/2006/relationships/hyperlink" Target="https://ref.ly/Exod11:7" TargetMode="External"/><Relationship Id="rId10221" Type="http://schemas.openxmlformats.org/officeDocument/2006/relationships/hyperlink" Target="https://ref.ly/Exod11:2-Exod11:3" TargetMode="External"/><Relationship Id="rId10222" Type="http://schemas.openxmlformats.org/officeDocument/2006/relationships/hyperlink" Target="https://ref.ly/Exod12:31-Exod12:32" TargetMode="External"/><Relationship Id="rId10223" Type="http://schemas.openxmlformats.org/officeDocument/2006/relationships/hyperlink" Target="https://ref.ly/Exod14:14" TargetMode="External"/><Relationship Id="rId10224" Type="http://schemas.openxmlformats.org/officeDocument/2006/relationships/hyperlink" Target="https://ref.ly/Exod16:1-Exod16:21" TargetMode="External"/><Relationship Id="rId10225" Type="http://schemas.openxmlformats.org/officeDocument/2006/relationships/hyperlink" Target="https://ref.ly/Exod17:8-Exod17:13" TargetMode="External"/><Relationship Id="rId10226" Type="http://schemas.openxmlformats.org/officeDocument/2006/relationships/hyperlink" Target="https://ref.ly/Deut33:9-Deut33:10" TargetMode="External"/><Relationship Id="rId10227" Type="http://schemas.openxmlformats.org/officeDocument/2006/relationships/hyperlink" Target="https://ref.ly/Exod32:34" TargetMode="External"/><Relationship Id="rId10228" Type="http://schemas.openxmlformats.org/officeDocument/2006/relationships/hyperlink" Target="https://ref.ly/2Cor3:13" TargetMode="External"/><Relationship Id="rId10229" Type="http://schemas.openxmlformats.org/officeDocument/2006/relationships/hyperlink" Target="https://ref.ly/Exod25:3-Exod25:7" TargetMode="External"/><Relationship Id="rId10230" Type="http://schemas.openxmlformats.org/officeDocument/2006/relationships/hyperlink" Target="https://ref.ly/Exod31:1-Exod31:6" TargetMode="External"/><Relationship Id="rId10231" Type="http://schemas.openxmlformats.org/officeDocument/2006/relationships/hyperlink" Target="https://ref.ly/Lev1:1-Lev7:38" TargetMode="External"/><Relationship Id="rId10232" Type="http://schemas.openxmlformats.org/officeDocument/2006/relationships/hyperlink" Target="https://ref.ly/Lev8:1-Lev9:24" TargetMode="External"/><Relationship Id="rId10233" Type="http://schemas.openxmlformats.org/officeDocument/2006/relationships/hyperlink" Target="https://ref.ly/Lev10:1-Lev10:7" TargetMode="External"/><Relationship Id="rId10234" Type="http://schemas.openxmlformats.org/officeDocument/2006/relationships/hyperlink" Target="https://ref.ly/Num9:1" TargetMode="External"/><Relationship Id="rId10235" Type="http://schemas.openxmlformats.org/officeDocument/2006/relationships/hyperlink" Target="https://ref.ly/Num11:4-Num11:6" TargetMode="External"/><Relationship Id="rId10236" Type="http://schemas.openxmlformats.org/officeDocument/2006/relationships/hyperlink" Target="https://ref.ly/Num12:1-Num12:2" TargetMode="External"/><Relationship Id="rId10237" Type="http://schemas.openxmlformats.org/officeDocument/2006/relationships/hyperlink" Target="https://ref.ly/Num32:8" TargetMode="External"/><Relationship Id="rId10238" Type="http://schemas.openxmlformats.org/officeDocument/2006/relationships/hyperlink" Target="https://ref.ly/Num13:1-Num14:19" TargetMode="External"/><Relationship Id="rId10239" Type="http://schemas.openxmlformats.org/officeDocument/2006/relationships/hyperlink" Target="https://ref.ly/Num14:29-Num14:33" TargetMode="External"/><Relationship Id="rId10240" Type="http://schemas.openxmlformats.org/officeDocument/2006/relationships/hyperlink" Target="https://ref.ly/Num16:22-Num16:24" TargetMode="External"/><Relationship Id="rId10241" Type="http://schemas.openxmlformats.org/officeDocument/2006/relationships/hyperlink" Target="https://ref.ly/Num20:12" TargetMode="External"/><Relationship Id="rId10242" Type="http://schemas.openxmlformats.org/officeDocument/2006/relationships/hyperlink" Target="https://ref.ly/Num20:28" TargetMode="External"/><Relationship Id="rId10243" Type="http://schemas.openxmlformats.org/officeDocument/2006/relationships/hyperlink" Target="https://ref.ly/Num21:1-Num21:3" TargetMode="External"/><Relationship Id="rId10244" Type="http://schemas.openxmlformats.org/officeDocument/2006/relationships/hyperlink" Target="https://ref.ly/Num25:1-Num25:3" TargetMode="External"/><Relationship Id="rId10245" Type="http://schemas.openxmlformats.org/officeDocument/2006/relationships/hyperlink" Target="https://ref.ly/Num31:16" TargetMode="External"/><Relationship Id="rId10246" Type="http://schemas.openxmlformats.org/officeDocument/2006/relationships/hyperlink" Target="https://ref.ly/Rev2:14" TargetMode="External"/><Relationship Id="rId10247" Type="http://schemas.openxmlformats.org/officeDocument/2006/relationships/hyperlink" Target="https://ref.ly/Num25:9" TargetMode="External"/><Relationship Id="rId10248" Type="http://schemas.openxmlformats.org/officeDocument/2006/relationships/hyperlink" Target="https://ref.ly/Num28:1-Num30:16" TargetMode="External"/><Relationship Id="rId10249" Type="http://schemas.openxmlformats.org/officeDocument/2006/relationships/hyperlink" Target="https://ref.ly/Num34:1-Num34:29" TargetMode="External"/><Relationship Id="rId10250" Type="http://schemas.openxmlformats.org/officeDocument/2006/relationships/hyperlink" Target="https://ref.ly/Num35:1-Num35:34" TargetMode="External"/><Relationship Id="rId10251" Type="http://schemas.openxmlformats.org/officeDocument/2006/relationships/hyperlink" Target="https://ref.ly/Deut31:14-Deut31:23" TargetMode="External"/><Relationship Id="rId10252" Type="http://schemas.openxmlformats.org/officeDocument/2006/relationships/hyperlink" Target="https://ref.ly/Deut34:6" TargetMode="External"/><Relationship Id="rId10253" Type="http://schemas.openxmlformats.org/officeDocument/2006/relationships/hyperlink" Target="https://ref.ly/Deut34:10" TargetMode="External"/><Relationship Id="rId10254" Type="http://schemas.openxmlformats.org/officeDocument/2006/relationships/hyperlink" Target="https://ref.ly/Luke2:22" TargetMode="External"/><Relationship Id="rId10255" Type="http://schemas.openxmlformats.org/officeDocument/2006/relationships/hyperlink" Target="https://ref.ly/John1:17" TargetMode="External"/><Relationship Id="rId10256" Type="http://schemas.openxmlformats.org/officeDocument/2006/relationships/hyperlink" Target="https://ref.ly/Matt17:1-Matt17:3" TargetMode="External"/><Relationship Id="rId10257" Type="http://schemas.openxmlformats.org/officeDocument/2006/relationships/hyperlink" Target="https://ref.ly/Luke24:25-Luke24:27" TargetMode="External"/><Relationship Id="rId10258" Type="http://schemas.openxmlformats.org/officeDocument/2006/relationships/hyperlink" Target="https://ref.ly/Acts3:22" TargetMode="External"/><Relationship Id="rId10259" Type="http://schemas.openxmlformats.org/officeDocument/2006/relationships/hyperlink" Target="https://ref.ly/Matt2:13-Matt2:18" TargetMode="External"/><Relationship Id="rId10260" Type="http://schemas.openxmlformats.org/officeDocument/2006/relationships/hyperlink" Target="https://ref.ly/Heb3:5-Heb3:6" TargetMode="External"/><Relationship Id="rId10261" Type="http://schemas.openxmlformats.org/officeDocument/2006/relationships/hyperlink" Target="https://ref.ly/Heb9:11-Heb9:22" TargetMode="External"/><Relationship Id="rId10262" Type="http://schemas.openxmlformats.org/officeDocument/2006/relationships/hyperlink" Target="https://ref.ly/John6:30-John6:35" TargetMode="External"/><Relationship Id="rId10263" Type="http://schemas.openxmlformats.org/officeDocument/2006/relationships/hyperlink" Target="https://ref.ly/Acts7:20" TargetMode="External"/><Relationship Id="rId10264" Type="http://schemas.openxmlformats.org/officeDocument/2006/relationships/hyperlink" Target="https://ref.ly/Heb11:23" TargetMode="External"/><Relationship Id="rId10265" Type="http://schemas.openxmlformats.org/officeDocument/2006/relationships/hyperlink" Target="https://ref.ly/2Tim3:8" TargetMode="External"/><Relationship Id="rId10266" Type="http://schemas.openxmlformats.org/officeDocument/2006/relationships/hyperlink" Target="https://ref.ly/Heb11:28" TargetMode="External"/><Relationship Id="rId10267" Type="http://schemas.openxmlformats.org/officeDocument/2006/relationships/hyperlink" Target="https://ref.ly/Heb3:16" TargetMode="External"/><Relationship Id="rId10268" Type="http://schemas.openxmlformats.org/officeDocument/2006/relationships/hyperlink" Target="https://ref.ly/1Cor10:2" TargetMode="External"/><Relationship Id="rId10269" Type="http://schemas.openxmlformats.org/officeDocument/2006/relationships/hyperlink" Target="https://ref.ly/1Cor10:3" TargetMode="External"/><Relationship Id="rId10270" Type="http://schemas.openxmlformats.org/officeDocument/2006/relationships/hyperlink" Target="https://ref.ly/1Cor10:4" TargetMode="External"/><Relationship Id="rId10271" Type="http://schemas.openxmlformats.org/officeDocument/2006/relationships/hyperlink" Target="https://ref.ly/Rev15:3" TargetMode="External"/><Relationship Id="rId10272" Type="http://schemas.openxmlformats.org/officeDocument/2006/relationships/hyperlink" Target="https://ref.ly/Matt13:35" TargetMode="External"/><Relationship Id="rId10273" Type="http://schemas.openxmlformats.org/officeDocument/2006/relationships/hyperlink" Target="https://ref.ly/John17:24" TargetMode="External"/><Relationship Id="rId10274" Type="http://schemas.openxmlformats.org/officeDocument/2006/relationships/hyperlink" Target="https://ref.ly/John16:21" TargetMode="External"/><Relationship Id="rId10275" Type="http://schemas.openxmlformats.org/officeDocument/2006/relationships/hyperlink" Target="https://ref.ly/John6:14" TargetMode="External"/><Relationship Id="rId10276" Type="http://schemas.openxmlformats.org/officeDocument/2006/relationships/hyperlink" Target="https://ref.ly/1Cor4:13" TargetMode="External"/><Relationship Id="rId10277" Type="http://schemas.openxmlformats.org/officeDocument/2006/relationships/hyperlink" Target="https://ref.ly/Matt16:26" TargetMode="External"/><Relationship Id="rId10278" Type="http://schemas.openxmlformats.org/officeDocument/2006/relationships/hyperlink" Target="https://ref.ly/1Cor7:33" TargetMode="External"/><Relationship Id="rId10279" Type="http://schemas.openxmlformats.org/officeDocument/2006/relationships/hyperlink" Target="https://ref.ly/John8:23" TargetMode="External"/><Relationship Id="rId10280" Type="http://schemas.openxmlformats.org/officeDocument/2006/relationships/hyperlink" Target="https://ref.ly/1Cor3:19" TargetMode="External"/><Relationship Id="rId10281" Type="http://schemas.openxmlformats.org/officeDocument/2006/relationships/hyperlink" Target="https://ref.ly/John14:30" TargetMode="External"/><Relationship Id="rId10282" Type="http://schemas.openxmlformats.org/officeDocument/2006/relationships/hyperlink" Target="https://ref.ly/John16:11" TargetMode="External"/><Relationship Id="rId10283" Type="http://schemas.openxmlformats.org/officeDocument/2006/relationships/hyperlink" Target="https://ref.ly/1Cor5:10" TargetMode="External"/><Relationship Id="rId10284" Type="http://schemas.openxmlformats.org/officeDocument/2006/relationships/hyperlink" Target="https://ref.ly/1John5:19" TargetMode="External"/><Relationship Id="rId10285" Type="http://schemas.openxmlformats.org/officeDocument/2006/relationships/hyperlink" Target="https://ref.ly/John15:19" TargetMode="External"/><Relationship Id="rId10286" Type="http://schemas.openxmlformats.org/officeDocument/2006/relationships/hyperlink" Target="https://ref.ly/John17:16" TargetMode="External"/><Relationship Id="rId10287" Type="http://schemas.openxmlformats.org/officeDocument/2006/relationships/hyperlink" Target="https://ref.ly/John17:11" TargetMode="External"/><Relationship Id="rId10288" Type="http://schemas.openxmlformats.org/officeDocument/2006/relationships/hyperlink" Target="https://ref.ly/Gal6:14" TargetMode="External"/><Relationship Id="rId10289" Type="http://schemas.openxmlformats.org/officeDocument/2006/relationships/hyperlink" Target="https://ref.ly/Jas1:27" TargetMode="External"/><Relationship Id="rId10290" Type="http://schemas.openxmlformats.org/officeDocument/2006/relationships/hyperlink" Target="https://ref.ly/1John2:15" TargetMode="External"/><Relationship Id="rId10291" Type="http://schemas.openxmlformats.org/officeDocument/2006/relationships/hyperlink" Target="https://ref.ly/2Cor4:18" TargetMode="External"/><Relationship Id="rId10292" Type="http://schemas.openxmlformats.org/officeDocument/2006/relationships/hyperlink" Target="https://ref.ly/John14:17" TargetMode="External"/><Relationship Id="rId10293" Type="http://schemas.openxmlformats.org/officeDocument/2006/relationships/hyperlink" Target="https://ref.ly/John14:27" TargetMode="External"/><Relationship Id="rId10294" Type="http://schemas.openxmlformats.org/officeDocument/2006/relationships/hyperlink" Target="https://ref.ly/John15:19-John15:20" TargetMode="External"/><Relationship Id="rId10295" Type="http://schemas.openxmlformats.org/officeDocument/2006/relationships/hyperlink" Target="https://ref.ly/John15:18-John15:21" TargetMode="External"/><Relationship Id="rId10296" Type="http://schemas.openxmlformats.org/officeDocument/2006/relationships/hyperlink" Target="https://ref.ly/John16:33" TargetMode="External"/><Relationship Id="rId10297" Type="http://schemas.openxmlformats.org/officeDocument/2006/relationships/hyperlink" Target="https://ref.ly/Rom1:25" TargetMode="External"/><Relationship Id="rId10298" Type="http://schemas.openxmlformats.org/officeDocument/2006/relationships/hyperlink" Target="https://ref.ly/2Cor11:31" TargetMode="External"/><Relationship Id="rId10299" Type="http://schemas.openxmlformats.org/officeDocument/2006/relationships/hyperlink" Target="https://ref.ly/Phil4:20" TargetMode="External"/><Relationship Id="rId10300" Type="http://schemas.openxmlformats.org/officeDocument/2006/relationships/hyperlink" Target="https://ref.ly/Gen1:1-Gen3:24" TargetMode="External"/><Relationship Id="rId10301" Type="http://schemas.openxmlformats.org/officeDocument/2006/relationships/hyperlink" Target="https://ref.ly/Gen11:31-Gen12:9" TargetMode="External"/><Relationship Id="rId10302" Type="http://schemas.openxmlformats.org/officeDocument/2006/relationships/hyperlink" Target="https://ref.ly/Gen31:3-Gen31:35" TargetMode="External"/><Relationship Id="rId10303" Type="http://schemas.openxmlformats.org/officeDocument/2006/relationships/hyperlink" Target="https://ref.ly/Judg11:24" TargetMode="External"/><Relationship Id="rId10304" Type="http://schemas.openxmlformats.org/officeDocument/2006/relationships/hyperlink" Target="https://ref.ly/1Sam5:2-1Sam5:5" TargetMode="External"/><Relationship Id="rId10305" Type="http://schemas.openxmlformats.org/officeDocument/2006/relationships/hyperlink" Target="https://ref.ly/Gen35:2-Gen35:4" TargetMode="External"/><Relationship Id="rId10306" Type="http://schemas.openxmlformats.org/officeDocument/2006/relationships/hyperlink" Target="https://ref.ly/Exod3:6,Exod3:15-Exod3:16" TargetMode="External"/><Relationship Id="rId10307" Type="http://schemas.openxmlformats.org/officeDocument/2006/relationships/hyperlink" Target="https://ref.ly/1Kgs18:17-1Kgs18:18" TargetMode="External"/><Relationship Id="rId10308" Type="http://schemas.openxmlformats.org/officeDocument/2006/relationships/hyperlink" Target="https://ref.ly/1Sam26:19" TargetMode="External"/><Relationship Id="rId10309" Type="http://schemas.openxmlformats.org/officeDocument/2006/relationships/hyperlink" Target="https://ref.ly/1Kgs11:1-1Kgs11:7" TargetMode="External"/><Relationship Id="rId10310" Type="http://schemas.openxmlformats.org/officeDocument/2006/relationships/hyperlink" Target="https://ref.ly/1Kgs12:28-1Kgs12:32" TargetMode="External"/><Relationship Id="rId10311" Type="http://schemas.openxmlformats.org/officeDocument/2006/relationships/hyperlink" Target="https://ref.ly/1Kgs18:24" TargetMode="External"/><Relationship Id="rId10312" Type="http://schemas.openxmlformats.org/officeDocument/2006/relationships/hyperlink" Target="https://ref.ly/Ps115:1-Ps115:18" TargetMode="External"/><Relationship Id="rId10313" Type="http://schemas.openxmlformats.org/officeDocument/2006/relationships/hyperlink" Target="https://ref.ly/Isa46:1-Isa46:13" TargetMode="External"/><Relationship Id="rId10314" Type="http://schemas.openxmlformats.org/officeDocument/2006/relationships/hyperlink" Target="https://ref.ly/Zech14:4" TargetMode="External"/><Relationship Id="rId10315" Type="http://schemas.openxmlformats.org/officeDocument/2006/relationships/hyperlink" Target="https://ref.ly/Zech14:1-Zech14:5" TargetMode="External"/><Relationship Id="rId10316" Type="http://schemas.openxmlformats.org/officeDocument/2006/relationships/hyperlink" Target="https://ref.ly/John11:17-John11:44" TargetMode="External"/><Relationship Id="rId10317" Type="http://schemas.openxmlformats.org/officeDocument/2006/relationships/hyperlink" Target="https://ref.ly/Mark11:1-Mark11:10" TargetMode="External"/><Relationship Id="rId10318" Type="http://schemas.openxmlformats.org/officeDocument/2006/relationships/hyperlink" Target="https://ref.ly/Luke19:41-Luke19:44" TargetMode="External"/><Relationship Id="rId10319" Type="http://schemas.openxmlformats.org/officeDocument/2006/relationships/hyperlink" Target="https://ref.ly/Mark13:1-Mark13:37" TargetMode="External"/><Relationship Id="rId10320" Type="http://schemas.openxmlformats.org/officeDocument/2006/relationships/hyperlink" Target="https://ref.ly/Luke21:37" TargetMode="External"/><Relationship Id="rId10321" Type="http://schemas.openxmlformats.org/officeDocument/2006/relationships/hyperlink" Target="https://ref.ly/Mark14:32" TargetMode="External"/><Relationship Id="rId10322" Type="http://schemas.openxmlformats.org/officeDocument/2006/relationships/hyperlink" Target="https://ref.ly/Deut27:13" TargetMode="External"/><Relationship Id="rId10323" Type="http://schemas.openxmlformats.org/officeDocument/2006/relationships/hyperlink" Target="https://ref.ly/Deut27:1-Deut28:68" TargetMode="External"/><Relationship Id="rId10324" Type="http://schemas.openxmlformats.org/officeDocument/2006/relationships/hyperlink" Target="https://ref.ly/Deut27:12" TargetMode="External"/><Relationship Id="rId10325" Type="http://schemas.openxmlformats.org/officeDocument/2006/relationships/hyperlink" Target="https://ref.ly/Josh8:30" TargetMode="External"/><Relationship Id="rId10326" Type="http://schemas.openxmlformats.org/officeDocument/2006/relationships/hyperlink" Target="https://ref.ly/Deut27:4" TargetMode="External"/><Relationship Id="rId10327" Type="http://schemas.openxmlformats.org/officeDocument/2006/relationships/hyperlink" Target="https://ref.ly/Deut27:11-Deut28:68" TargetMode="External"/><Relationship Id="rId10328" Type="http://schemas.openxmlformats.org/officeDocument/2006/relationships/hyperlink" Target="https://ref.ly/John4:20-John4:23" TargetMode="External"/><Relationship Id="rId10329" Type="http://schemas.openxmlformats.org/officeDocument/2006/relationships/hyperlink" Target="https://ref.ly/Gen12:6-Gen12:7" TargetMode="External"/><Relationship Id="rId10330" Type="http://schemas.openxmlformats.org/officeDocument/2006/relationships/hyperlink" Target="https://ref.ly/Josh19:22" TargetMode="External"/><Relationship Id="rId10331" Type="http://schemas.openxmlformats.org/officeDocument/2006/relationships/hyperlink" Target="https://ref.ly/Ps89:12" TargetMode="External"/><Relationship Id="rId10332" Type="http://schemas.openxmlformats.org/officeDocument/2006/relationships/hyperlink" Target="https://ref.ly/Jer46:18" TargetMode="External"/><Relationship Id="rId10333" Type="http://schemas.openxmlformats.org/officeDocument/2006/relationships/hyperlink" Target="https://ref.ly/Judg8:18" TargetMode="External"/><Relationship Id="rId10334" Type="http://schemas.openxmlformats.org/officeDocument/2006/relationships/hyperlink" Target="https://ref.ly/Hos5:1" TargetMode="External"/><Relationship Id="rId10335" Type="http://schemas.openxmlformats.org/officeDocument/2006/relationships/hyperlink" Target="https://ref.ly/Mark9:2-Mark9:13" TargetMode="External"/><Relationship Id="rId10336" Type="http://schemas.openxmlformats.org/officeDocument/2006/relationships/hyperlink" Target="https://ref.ly/Gen12:6" TargetMode="External"/><Relationship Id="rId10337" Type="http://schemas.openxmlformats.org/officeDocument/2006/relationships/hyperlink" Target="https://ref.ly/Deut11:30" TargetMode="External"/><Relationship Id="rId10338" Type="http://schemas.openxmlformats.org/officeDocument/2006/relationships/hyperlink" Target="https://ref.ly/2Kgs20:1-2Kgs20:11" TargetMode="External"/><Relationship Id="rId10339" Type="http://schemas.openxmlformats.org/officeDocument/2006/relationships/hyperlink" Target="https://ref.ly/Eccl3:19-Eccl3:20" TargetMode="External"/><Relationship Id="rId10340" Type="http://schemas.openxmlformats.org/officeDocument/2006/relationships/hyperlink" Target="https://ref.ly/Ps73:23-Ps73:28" TargetMode="External"/><Relationship Id="rId10341" Type="http://schemas.openxmlformats.org/officeDocument/2006/relationships/hyperlink" Target="https://ref.ly/Ps139:8" TargetMode="External"/><Relationship Id="rId10342" Type="http://schemas.openxmlformats.org/officeDocument/2006/relationships/hyperlink" Target="https://ref.ly/Deut30:15-Deut30:20" TargetMode="External"/><Relationship Id="rId10343" Type="http://schemas.openxmlformats.org/officeDocument/2006/relationships/hyperlink" Target="https://ref.ly/Jer21:8" TargetMode="External"/><Relationship Id="rId10344" Type="http://schemas.openxmlformats.org/officeDocument/2006/relationships/hyperlink" Target="https://ref.ly/Ezek18:21-Ezek18:32" TargetMode="External"/><Relationship Id="rId10345" Type="http://schemas.openxmlformats.org/officeDocument/2006/relationships/hyperlink" Target="https://ref.ly/2Esd3:7" TargetMode="External"/><Relationship Id="rId10346" Type="http://schemas.openxmlformats.org/officeDocument/2006/relationships/hyperlink" Target="https://ref.ly/Sir25:24" TargetMode="External"/><Relationship Id="rId10347" Type="http://schemas.openxmlformats.org/officeDocument/2006/relationships/hyperlink" Target="https://ref.ly/Rom4:17" TargetMode="External"/><Relationship Id="rId10348" Type="http://schemas.openxmlformats.org/officeDocument/2006/relationships/hyperlink" Target="https://ref.ly/Rom5:12,Rom5:17-Rom5:18" TargetMode="External"/><Relationship Id="rId10349" Type="http://schemas.openxmlformats.org/officeDocument/2006/relationships/hyperlink" Target="https://ref.ly/1Cor15:22" TargetMode="External"/><Relationship Id="rId10350" Type="http://schemas.openxmlformats.org/officeDocument/2006/relationships/hyperlink" Target="https://ref.ly/Rom6:23" TargetMode="External"/><Relationship Id="rId10351" Type="http://schemas.openxmlformats.org/officeDocument/2006/relationships/hyperlink" Target="https://ref.ly/1John5:12" TargetMode="External"/><Relationship Id="rId10352" Type="http://schemas.openxmlformats.org/officeDocument/2006/relationships/hyperlink" Target="https://ref.ly/1Cor15:26-1Cor15:27" TargetMode="External"/><Relationship Id="rId10353" Type="http://schemas.openxmlformats.org/officeDocument/2006/relationships/hyperlink" Target="https://ref.ly/Rev6:8" TargetMode="External"/><Relationship Id="rId10354" Type="http://schemas.openxmlformats.org/officeDocument/2006/relationships/hyperlink" Target="https://ref.ly/Rev20:13-Rev20:14" TargetMode="External"/><Relationship Id="rId10355" Type="http://schemas.openxmlformats.org/officeDocument/2006/relationships/hyperlink" Target="https://ref.ly/1Cor15:3-1Cor15:4" TargetMode="External"/><Relationship Id="rId10356" Type="http://schemas.openxmlformats.org/officeDocument/2006/relationships/hyperlink" Target="https://ref.ly/Phil2:8" TargetMode="External"/><Relationship Id="rId10357" Type="http://schemas.openxmlformats.org/officeDocument/2006/relationships/hyperlink" Target="https://ref.ly/2Cor5:15" TargetMode="External"/><Relationship Id="rId10358" Type="http://schemas.openxmlformats.org/officeDocument/2006/relationships/hyperlink" Target="https://ref.ly/1Pet3:18-1Pet3:19" TargetMode="External"/><Relationship Id="rId10359" Type="http://schemas.openxmlformats.org/officeDocument/2006/relationships/hyperlink" Target="https://ref.ly/Heb2:14-Heb2:15" TargetMode="External"/><Relationship Id="rId10360" Type="http://schemas.openxmlformats.org/officeDocument/2006/relationships/hyperlink" Target="https://ref.ly/Rev1:17-Rev1:18" TargetMode="External"/><Relationship Id="rId10361" Type="http://schemas.openxmlformats.org/officeDocument/2006/relationships/hyperlink" Target="https://ref.ly/Rom5:6-Rom5:8" TargetMode="External"/><Relationship Id="rId10362" Type="http://schemas.openxmlformats.org/officeDocument/2006/relationships/hyperlink" Target="https://ref.ly/1Thess5:9-1Thess5:10" TargetMode="External"/><Relationship Id="rId10363" Type="http://schemas.openxmlformats.org/officeDocument/2006/relationships/hyperlink" Target="https://ref.ly/Rom7:24" TargetMode="External"/><Relationship Id="rId10364" Type="http://schemas.openxmlformats.org/officeDocument/2006/relationships/hyperlink" Target="https://ref.ly/Rom6:3-Rom6:4" TargetMode="External"/><Relationship Id="rId10365" Type="http://schemas.openxmlformats.org/officeDocument/2006/relationships/hyperlink" Target="https://ref.ly/Rom7:6" TargetMode="External"/><Relationship Id="rId10366" Type="http://schemas.openxmlformats.org/officeDocument/2006/relationships/hyperlink" Target="https://ref.ly/2Cor5:14-2Cor5:15" TargetMode="External"/><Relationship Id="rId10367" Type="http://schemas.openxmlformats.org/officeDocument/2006/relationships/hyperlink" Target="https://ref.ly/2Cor4:10" TargetMode="External"/><Relationship Id="rId10368" Type="http://schemas.openxmlformats.org/officeDocument/2006/relationships/hyperlink" Target="https://ref.ly/Col3:3" TargetMode="External"/><Relationship Id="rId10369" Type="http://schemas.openxmlformats.org/officeDocument/2006/relationships/hyperlink" Target="https://ref.ly/John8:51-John8:52" TargetMode="External"/><Relationship Id="rId10370" Type="http://schemas.openxmlformats.org/officeDocument/2006/relationships/hyperlink" Target="https://ref.ly/1Thess4:16" TargetMode="External"/><Relationship Id="rId10371" Type="http://schemas.openxmlformats.org/officeDocument/2006/relationships/hyperlink" Target="https://ref.ly/1Cor15:6,1Cor15:18,1Cor15:20,1Cor15:51" TargetMode="External"/><Relationship Id="rId10372" Type="http://schemas.openxmlformats.org/officeDocument/2006/relationships/hyperlink" Target="https://ref.ly/1Thess4:13-1Thess4:15" TargetMode="External"/><Relationship Id="rId10373" Type="http://schemas.openxmlformats.org/officeDocument/2006/relationships/hyperlink" Target="https://ref.ly/John11:11-John11:14" TargetMode="External"/><Relationship Id="rId10374" Type="http://schemas.openxmlformats.org/officeDocument/2006/relationships/hyperlink" Target="https://ref.ly/Phil1:20-Phil1:21" TargetMode="External"/><Relationship Id="rId10375" Type="http://schemas.openxmlformats.org/officeDocument/2006/relationships/hyperlink" Target="https://ref.ly/1Cor15:20" TargetMode="External"/><Relationship Id="rId10376" Type="http://schemas.openxmlformats.org/officeDocument/2006/relationships/hyperlink" Target="https://ref.ly/Rev20:14" TargetMode="External"/><Relationship Id="rId10377" Type="http://schemas.openxmlformats.org/officeDocument/2006/relationships/hyperlink" Target="https://ref.ly/1John3:14" TargetMode="External"/><Relationship Id="rId10378" Type="http://schemas.openxmlformats.org/officeDocument/2006/relationships/hyperlink" Target="https://ref.ly/Rev2:11" TargetMode="External"/><Relationship Id="rId10379" Type="http://schemas.openxmlformats.org/officeDocument/2006/relationships/hyperlink" Target="https://ref.ly/Rev20:6" TargetMode="External"/><Relationship Id="rId10380" Type="http://schemas.openxmlformats.org/officeDocument/2006/relationships/hyperlink" Target="https://ref.ly/Job41:24" TargetMode="External"/><Relationship Id="rId10381" Type="http://schemas.openxmlformats.org/officeDocument/2006/relationships/hyperlink" Target="https://ref.ly/Judg9:53" TargetMode="External"/><Relationship Id="rId10382" Type="http://schemas.openxmlformats.org/officeDocument/2006/relationships/hyperlink" Target="https://ref.ly/2Sam11:21" TargetMode="External"/><Relationship Id="rId10383" Type="http://schemas.openxmlformats.org/officeDocument/2006/relationships/hyperlink" Target="https://ref.ly/Gen18:6" TargetMode="External"/><Relationship Id="rId10384" Type="http://schemas.openxmlformats.org/officeDocument/2006/relationships/hyperlink" Target="https://ref.ly/Matt24:41" TargetMode="External"/><Relationship Id="rId10385" Type="http://schemas.openxmlformats.org/officeDocument/2006/relationships/hyperlink" Target="https://ref.ly/Deut24:6" TargetMode="External"/><Relationship Id="rId10386" Type="http://schemas.openxmlformats.org/officeDocument/2006/relationships/hyperlink" Target="https://ref.ly/Isa47:2" TargetMode="External"/><Relationship Id="rId10387" Type="http://schemas.openxmlformats.org/officeDocument/2006/relationships/hyperlink" Target="https://ref.ly/Luke1:18-Luke1:22" TargetMode="External"/><Relationship Id="rId10388" Type="http://schemas.openxmlformats.org/officeDocument/2006/relationships/hyperlink" Target="https://ref.ly/Luke1:62-Luke1:64" TargetMode="External"/><Relationship Id="rId10389" Type="http://schemas.openxmlformats.org/officeDocument/2006/relationships/hyperlink" Target="https://ref.ly/Matt12:22-Matt12:23" TargetMode="External"/><Relationship Id="rId10390" Type="http://schemas.openxmlformats.org/officeDocument/2006/relationships/hyperlink" Target="https://ref.ly/Matt15:30-Matt15:31" TargetMode="External"/><Relationship Id="rId10391" Type="http://schemas.openxmlformats.org/officeDocument/2006/relationships/hyperlink" Target="https://ref.ly/Mark7:32-Mark7:37" TargetMode="External"/><Relationship Id="rId10392" Type="http://schemas.openxmlformats.org/officeDocument/2006/relationships/hyperlink" Target="https://ref.ly/Luke11:14" TargetMode="External"/><Relationship Id="rId10393" Type="http://schemas.openxmlformats.org/officeDocument/2006/relationships/hyperlink" Target="https://ref.ly/Prov31:8" TargetMode="External"/><Relationship Id="rId10394" Type="http://schemas.openxmlformats.org/officeDocument/2006/relationships/hyperlink" Target="https://ref.ly/Isa35:6" TargetMode="External"/><Relationship Id="rId10395" Type="http://schemas.openxmlformats.org/officeDocument/2006/relationships/hyperlink" Target="https://ref.ly/Isa56:10" TargetMode="External"/><Relationship Id="rId10396" Type="http://schemas.openxmlformats.org/officeDocument/2006/relationships/hyperlink" Target="https://ref.ly/2Pet2:16" TargetMode="External"/><Relationship Id="rId10397" Type="http://schemas.openxmlformats.org/officeDocument/2006/relationships/hyperlink" Target="https://ref.ly/Hab2:18-Hab2:20" TargetMode="External"/><Relationship Id="rId10398" Type="http://schemas.openxmlformats.org/officeDocument/2006/relationships/hyperlink" Target="https://ref.ly/Exod15:21" TargetMode="External"/><Relationship Id="rId10399" Type="http://schemas.openxmlformats.org/officeDocument/2006/relationships/hyperlink" Target="https://ref.ly/1Chr16:9" TargetMode="External"/><Relationship Id="rId10400" Type="http://schemas.openxmlformats.org/officeDocument/2006/relationships/hyperlink" Target="https://ref.ly/Ps68:32" TargetMode="External"/><Relationship Id="rId10401" Type="http://schemas.openxmlformats.org/officeDocument/2006/relationships/hyperlink" Target="https://ref.ly/Ps96:1-Ps96:2" TargetMode="External"/><Relationship Id="rId10402" Type="http://schemas.openxmlformats.org/officeDocument/2006/relationships/hyperlink" Target="https://ref.ly/Isa42:10" TargetMode="External"/><Relationship Id="rId10403" Type="http://schemas.openxmlformats.org/officeDocument/2006/relationships/hyperlink" Target="https://ref.ly/Jer20:13" TargetMode="External"/><Relationship Id="rId10404" Type="http://schemas.openxmlformats.org/officeDocument/2006/relationships/hyperlink" Target="https://ref.ly/Gen31:27" TargetMode="External"/><Relationship Id="rId10405" Type="http://schemas.openxmlformats.org/officeDocument/2006/relationships/hyperlink" Target="https://ref.ly/Exod32:17-Exod32:18" TargetMode="External"/><Relationship Id="rId10406" Type="http://schemas.openxmlformats.org/officeDocument/2006/relationships/hyperlink" Target="https://ref.ly/Isa24:8-Isa24:9" TargetMode="External"/><Relationship Id="rId10407" Type="http://schemas.openxmlformats.org/officeDocument/2006/relationships/hyperlink" Target="https://ref.ly/2Chr20:27-2Chr20:28" TargetMode="External"/><Relationship Id="rId10408" Type="http://schemas.openxmlformats.org/officeDocument/2006/relationships/hyperlink" Target="https://ref.ly/Num21:17" TargetMode="External"/><Relationship Id="rId10409" Type="http://schemas.openxmlformats.org/officeDocument/2006/relationships/hyperlink" Target="https://ref.ly/Isa16:10" TargetMode="External"/><Relationship Id="rId10410" Type="http://schemas.openxmlformats.org/officeDocument/2006/relationships/hyperlink" Target="https://ref.ly/Jer48:33" TargetMode="External"/><Relationship Id="rId10411" Type="http://schemas.openxmlformats.org/officeDocument/2006/relationships/hyperlink" Target="https://ref.ly/Judg7:17-Judg7:20" TargetMode="External"/><Relationship Id="rId10412" Type="http://schemas.openxmlformats.org/officeDocument/2006/relationships/hyperlink" Target="https://ref.ly/Judg11:34" TargetMode="External"/><Relationship Id="rId10413" Type="http://schemas.openxmlformats.org/officeDocument/2006/relationships/hyperlink" Target="https://ref.ly/1Sam18:6-1Sam18:7" TargetMode="External"/><Relationship Id="rId10414" Type="http://schemas.openxmlformats.org/officeDocument/2006/relationships/hyperlink" Target="https://ref.ly/Neh7:67" TargetMode="External"/><Relationship Id="rId10415" Type="http://schemas.openxmlformats.org/officeDocument/2006/relationships/hyperlink" Target="https://ref.ly/Ps137:3" TargetMode="External"/><Relationship Id="rId10416" Type="http://schemas.openxmlformats.org/officeDocument/2006/relationships/hyperlink" Target="https://ref.ly/1Chr25:1,1Chr25:7" TargetMode="External"/><Relationship Id="rId10417" Type="http://schemas.openxmlformats.org/officeDocument/2006/relationships/hyperlink" Target="https://ref.ly/Neh12:29" TargetMode="External"/><Relationship Id="rId10418" Type="http://schemas.openxmlformats.org/officeDocument/2006/relationships/hyperlink" Target="https://ref.ly/1Chr9:33" TargetMode="External"/><Relationship Id="rId10419" Type="http://schemas.openxmlformats.org/officeDocument/2006/relationships/hyperlink" Target="https://ref.ly/Exod28:34-Exod28:35" TargetMode="External"/><Relationship Id="rId10420" Type="http://schemas.openxmlformats.org/officeDocument/2006/relationships/hyperlink" Target="https://ref.ly/Ezra2:41" TargetMode="External"/><Relationship Id="rId10421" Type="http://schemas.openxmlformats.org/officeDocument/2006/relationships/hyperlink" Target="https://ref.ly/Neh7:44" TargetMode="External"/><Relationship Id="rId10422" Type="http://schemas.openxmlformats.org/officeDocument/2006/relationships/hyperlink" Target="https://ref.ly/Neh11:22-Neh11:23" TargetMode="External"/><Relationship Id="rId10423" Type="http://schemas.openxmlformats.org/officeDocument/2006/relationships/hyperlink" Target="https://ref.ly/2Chr5:12-2Chr5:13" TargetMode="External"/><Relationship Id="rId10424" Type="http://schemas.openxmlformats.org/officeDocument/2006/relationships/hyperlink" Target="https://ref.ly/Ps30:1-Ps30:12" TargetMode="External"/><Relationship Id="rId10425" Type="http://schemas.openxmlformats.org/officeDocument/2006/relationships/hyperlink" Target="https://ref.ly/Ps137:1-Ps137:9" TargetMode="External"/><Relationship Id="rId10426" Type="http://schemas.openxmlformats.org/officeDocument/2006/relationships/hyperlink" Target="https://ref.ly/Ps48:1-Ps48:14" TargetMode="External"/><Relationship Id="rId10427" Type="http://schemas.openxmlformats.org/officeDocument/2006/relationships/hyperlink" Target="https://ref.ly/Ps94:1-Ps94:23" TargetMode="External"/><Relationship Id="rId10428" Type="http://schemas.openxmlformats.org/officeDocument/2006/relationships/hyperlink" Target="https://ref.ly/Ps81:1-Ps81:16" TargetMode="External"/><Relationship Id="rId10429" Type="http://schemas.openxmlformats.org/officeDocument/2006/relationships/hyperlink" Target="https://ref.ly/Ps93:1-Ps93:5" TargetMode="External"/><Relationship Id="rId10430" Type="http://schemas.openxmlformats.org/officeDocument/2006/relationships/hyperlink" Target="https://ref.ly/Ps92:1-Ps92:15" TargetMode="External"/><Relationship Id="rId10431" Type="http://schemas.openxmlformats.org/officeDocument/2006/relationships/hyperlink" Target="https://ref.ly/Ps105:1-Ps105:5" TargetMode="External"/><Relationship Id="rId10432" Type="http://schemas.openxmlformats.org/officeDocument/2006/relationships/hyperlink" Target="https://ref.ly/Ps96:1-Ps96:13" TargetMode="External"/><Relationship Id="rId10433" Type="http://schemas.openxmlformats.org/officeDocument/2006/relationships/hyperlink" Target="https://ref.ly/Ps3:1-Ps5:12" TargetMode="External"/><Relationship Id="rId10434" Type="http://schemas.openxmlformats.org/officeDocument/2006/relationships/hyperlink" Target="https://ref.ly/Ps46:1-Ps46:11" TargetMode="External"/><Relationship Id="rId10435" Type="http://schemas.openxmlformats.org/officeDocument/2006/relationships/hyperlink" Target="https://ref.ly/Ps67:1-Ps67:2" TargetMode="External"/><Relationship Id="rId10436" Type="http://schemas.openxmlformats.org/officeDocument/2006/relationships/hyperlink" Target="https://ref.ly/Ps67:1" TargetMode="External"/><Relationship Id="rId10437" Type="http://schemas.openxmlformats.org/officeDocument/2006/relationships/hyperlink" Target="https://ref.ly/Ps67:2" TargetMode="External"/><Relationship Id="rId10438" Type="http://schemas.openxmlformats.org/officeDocument/2006/relationships/hyperlink" Target="https://ref.ly/Ps103:20-Ps103:22" TargetMode="External"/><Relationship Id="rId10439" Type="http://schemas.openxmlformats.org/officeDocument/2006/relationships/hyperlink" Target="https://ref.ly/Ps80:1-Ps80:19" TargetMode="External"/><Relationship Id="rId10440" Type="http://schemas.openxmlformats.org/officeDocument/2006/relationships/hyperlink" Target="https://ref.ly/1Chr15:20" TargetMode="External"/><Relationship Id="rId10441" Type="http://schemas.openxmlformats.org/officeDocument/2006/relationships/hyperlink" Target="https://ref.ly/Ps45:1-Ps45:17" TargetMode="External"/><Relationship Id="rId10442" Type="http://schemas.openxmlformats.org/officeDocument/2006/relationships/hyperlink" Target="https://ref.ly/Ps45:10-Ps45:17" TargetMode="External"/><Relationship Id="rId10443" Type="http://schemas.openxmlformats.org/officeDocument/2006/relationships/hyperlink" Target="https://ref.ly/Ps84:1-Ps84:12" TargetMode="External"/><Relationship Id="rId10444" Type="http://schemas.openxmlformats.org/officeDocument/2006/relationships/hyperlink" Target="https://ref.ly/Ps53:1-Ps53:6" TargetMode="External"/><Relationship Id="rId10445" Type="http://schemas.openxmlformats.org/officeDocument/2006/relationships/hyperlink" Target="https://ref.ly/Ps42:1-Ps42:11" TargetMode="External"/><Relationship Id="rId10446" Type="http://schemas.openxmlformats.org/officeDocument/2006/relationships/hyperlink" Target="https://ref.ly/Ps44:1-Ps45:17" TargetMode="External"/><Relationship Id="rId10447" Type="http://schemas.openxmlformats.org/officeDocument/2006/relationships/hyperlink" Target="https://ref.ly/Ps52:1-Ps55:23" TargetMode="External"/><Relationship Id="rId10448" Type="http://schemas.openxmlformats.org/officeDocument/2006/relationships/hyperlink" Target="https://ref.ly/Ps74:1-Ps74:23" TargetMode="External"/><Relationship Id="rId10449" Type="http://schemas.openxmlformats.org/officeDocument/2006/relationships/hyperlink" Target="https://ref.ly/Ps78:1-Ps78:72" TargetMode="External"/><Relationship Id="rId10450" Type="http://schemas.openxmlformats.org/officeDocument/2006/relationships/hyperlink" Target="https://ref.ly/Ps88:1-Ps89:52" TargetMode="External"/><Relationship Id="rId10451" Type="http://schemas.openxmlformats.org/officeDocument/2006/relationships/hyperlink" Target="https://ref.ly/Ps1:1-Ps89:52" TargetMode="External"/><Relationship Id="rId10452" Type="http://schemas.openxmlformats.org/officeDocument/2006/relationships/hyperlink" Target="https://ref.ly/Ps107:1-Ps150:6" TargetMode="External"/><Relationship Id="rId10453" Type="http://schemas.openxmlformats.org/officeDocument/2006/relationships/hyperlink" Target="https://ref.ly/1Chr23:4" TargetMode="External"/><Relationship Id="rId10454" Type="http://schemas.openxmlformats.org/officeDocument/2006/relationships/hyperlink" Target="https://ref.ly/Ezra3:8-Ezra3:9" TargetMode="External"/><Relationship Id="rId10455" Type="http://schemas.openxmlformats.org/officeDocument/2006/relationships/hyperlink" Target="https://ref.ly/1Chr15:21" TargetMode="External"/><Relationship Id="rId10456" Type="http://schemas.openxmlformats.org/officeDocument/2006/relationships/hyperlink" Target="https://ref.ly/Ps5:1-Ps5:12" TargetMode="External"/><Relationship Id="rId10457" Type="http://schemas.openxmlformats.org/officeDocument/2006/relationships/hyperlink" Target="https://ref.ly/Ps56:1-Ps60:12" TargetMode="External"/><Relationship Id="rId10458" Type="http://schemas.openxmlformats.org/officeDocument/2006/relationships/hyperlink" Target="https://ref.ly/Ps4:1-Ps4:8" TargetMode="External"/><Relationship Id="rId10459" Type="http://schemas.openxmlformats.org/officeDocument/2006/relationships/hyperlink" Target="https://ref.ly/Ps6:1-Ps6:10" TargetMode="External"/><Relationship Id="rId10460" Type="http://schemas.openxmlformats.org/officeDocument/2006/relationships/hyperlink" Target="https://ref.ly/Ps54:1-Ps55:23" TargetMode="External"/><Relationship Id="rId10461" Type="http://schemas.openxmlformats.org/officeDocument/2006/relationships/hyperlink" Target="https://ref.ly/Ps61:1-Ps61:8" TargetMode="External"/><Relationship Id="rId10462" Type="http://schemas.openxmlformats.org/officeDocument/2006/relationships/hyperlink" Target="https://ref.ly/Ps67:1-Ps67:7" TargetMode="External"/><Relationship Id="rId10463" Type="http://schemas.openxmlformats.org/officeDocument/2006/relationships/hyperlink" Target="https://ref.ly/Ps76:1-Ps76:12" TargetMode="External"/><Relationship Id="rId10464" Type="http://schemas.openxmlformats.org/officeDocument/2006/relationships/hyperlink" Target="https://ref.ly/Ps77:7" TargetMode="External"/><Relationship Id="rId10465" Type="http://schemas.openxmlformats.org/officeDocument/2006/relationships/hyperlink" Target="https://ref.ly/Lam5:14" TargetMode="External"/><Relationship Id="rId10466" Type="http://schemas.openxmlformats.org/officeDocument/2006/relationships/hyperlink" Target="https://ref.ly/Isa38:20" TargetMode="External"/><Relationship Id="rId10467" Type="http://schemas.openxmlformats.org/officeDocument/2006/relationships/hyperlink" Target="https://ref.ly/Hab3:19" TargetMode="External"/><Relationship Id="rId10468" Type="http://schemas.openxmlformats.org/officeDocument/2006/relationships/hyperlink" Target="https://ref.ly/Ps12:1-Ps12:8" TargetMode="External"/><Relationship Id="rId10469" Type="http://schemas.openxmlformats.org/officeDocument/2006/relationships/hyperlink" Target="https://ref.ly/Ps38:1-Ps38:22" TargetMode="External"/><Relationship Id="rId10470" Type="http://schemas.openxmlformats.org/officeDocument/2006/relationships/hyperlink" Target="https://ref.ly/Ps70:1-Ps70:5" TargetMode="External"/><Relationship Id="rId10471" Type="http://schemas.openxmlformats.org/officeDocument/2006/relationships/hyperlink" Target="https://ref.ly/Ps60:1-Ps60:12" TargetMode="External"/><Relationship Id="rId10472" Type="http://schemas.openxmlformats.org/officeDocument/2006/relationships/hyperlink" Target="https://ref.ly/Hab3:1" TargetMode="External"/><Relationship Id="rId10473" Type="http://schemas.openxmlformats.org/officeDocument/2006/relationships/hyperlink" Target="https://ref.ly/Ps120:1-Ps134:3" TargetMode="External"/><Relationship Id="rId10474" Type="http://schemas.openxmlformats.org/officeDocument/2006/relationships/hyperlink" Target="https://ref.ly/Ps17:1-Ps17:15" TargetMode="External"/><Relationship Id="rId10475" Type="http://schemas.openxmlformats.org/officeDocument/2006/relationships/hyperlink" Target="https://ref.ly/Ps86:1-Ps86:17" TargetMode="External"/><Relationship Id="rId10476" Type="http://schemas.openxmlformats.org/officeDocument/2006/relationships/hyperlink" Target="https://ref.ly/Ps102:1-Ps102:28" TargetMode="External"/><Relationship Id="rId10477" Type="http://schemas.openxmlformats.org/officeDocument/2006/relationships/hyperlink" Target="https://ref.ly/Ps9:16" TargetMode="External"/><Relationship Id="rId10478" Type="http://schemas.openxmlformats.org/officeDocument/2006/relationships/hyperlink" Target="https://ref.ly/Ps22:1-Ps22:31" TargetMode="External"/><Relationship Id="rId10479" Type="http://schemas.openxmlformats.org/officeDocument/2006/relationships/hyperlink" Target="https://ref.ly/Ps57:1-Ps59:17" TargetMode="External"/><Relationship Id="rId10480" Type="http://schemas.openxmlformats.org/officeDocument/2006/relationships/hyperlink" Target="https://ref.ly/Ps75:1-Ps75:10" TargetMode="External"/><Relationship Id="rId10481" Type="http://schemas.openxmlformats.org/officeDocument/2006/relationships/hyperlink" Target="https://ref.ly/Ps56:1-Ps56:13" TargetMode="External"/><Relationship Id="rId10482" Type="http://schemas.openxmlformats.org/officeDocument/2006/relationships/hyperlink" Target="https://ref.ly/Ps9:1-Ps9:20" TargetMode="External"/><Relationship Id="rId10483" Type="http://schemas.openxmlformats.org/officeDocument/2006/relationships/hyperlink" Target="https://ref.ly/Ps69:1-Ps69:36" TargetMode="External"/><Relationship Id="rId10484" Type="http://schemas.openxmlformats.org/officeDocument/2006/relationships/hyperlink" Target="https://ref.ly/Acts2:46-Acts2:47" TargetMode="External"/><Relationship Id="rId10485" Type="http://schemas.openxmlformats.org/officeDocument/2006/relationships/hyperlink" Target="https://ref.ly/Matt6:2" TargetMode="External"/><Relationship Id="rId10486" Type="http://schemas.openxmlformats.org/officeDocument/2006/relationships/hyperlink" Target="https://ref.ly/Matt11:17" TargetMode="External"/><Relationship Id="rId10487" Type="http://schemas.openxmlformats.org/officeDocument/2006/relationships/hyperlink" Target="https://ref.ly/Luke7:32" TargetMode="External"/><Relationship Id="rId10488" Type="http://schemas.openxmlformats.org/officeDocument/2006/relationships/hyperlink" Target="https://ref.ly/1Cor14:7-1Cor14:8" TargetMode="External"/><Relationship Id="rId10489" Type="http://schemas.openxmlformats.org/officeDocument/2006/relationships/hyperlink" Target="https://ref.ly/Matt24:31" TargetMode="External"/><Relationship Id="rId10490" Type="http://schemas.openxmlformats.org/officeDocument/2006/relationships/hyperlink" Target="https://ref.ly/1Cor15:52" TargetMode="External"/><Relationship Id="rId10491" Type="http://schemas.openxmlformats.org/officeDocument/2006/relationships/hyperlink" Target="https://ref.ly/Heb12:19" TargetMode="External"/><Relationship Id="rId10492" Type="http://schemas.openxmlformats.org/officeDocument/2006/relationships/hyperlink" Target="https://ref.ly/Rev5:9-Rev5:10" TargetMode="External"/><Relationship Id="rId10493" Type="http://schemas.openxmlformats.org/officeDocument/2006/relationships/hyperlink" Target="https://ref.ly/Luke4:16-Luke4:20" TargetMode="External"/><Relationship Id="rId10494" Type="http://schemas.openxmlformats.org/officeDocument/2006/relationships/hyperlink" Target="https://ref.ly/1Cor14:15,1Cor14:26" TargetMode="External"/><Relationship Id="rId10495" Type="http://schemas.openxmlformats.org/officeDocument/2006/relationships/hyperlink" Target="https://ref.ly/Luke1:68-Luke1:79" TargetMode="External"/><Relationship Id="rId10496" Type="http://schemas.openxmlformats.org/officeDocument/2006/relationships/hyperlink" Target="https://ref.ly/Acts27:5-Acts27:6" TargetMode="External"/><Relationship Id="rId10497" Type="http://schemas.openxmlformats.org/officeDocument/2006/relationships/hyperlink" Target="https://ref.ly/Acts16:7-Acts16:8" TargetMode="External"/><Relationship Id="rId10498" Type="http://schemas.openxmlformats.org/officeDocument/2006/relationships/hyperlink" Target="https://ref.ly/Dan3:18-Dan3:28" TargetMode="External"/><Relationship Id="rId10499" Type="http://schemas.openxmlformats.org/officeDocument/2006/relationships/hyperlink" Target="https://ref.ly/Dan4:6" TargetMode="External"/><Relationship Id="rId10500" Type="http://schemas.openxmlformats.org/officeDocument/2006/relationships/hyperlink" Target="https://ref.ly/Mark4:11" TargetMode="External"/><Relationship Id="rId10501" Type="http://schemas.openxmlformats.org/officeDocument/2006/relationships/hyperlink" Target="https://ref.ly/Luke8:10" TargetMode="External"/><Relationship Id="rId10502" Type="http://schemas.openxmlformats.org/officeDocument/2006/relationships/hyperlink" Target="https://ref.ly/Rom16:25" TargetMode="External"/><Relationship Id="rId10503" Type="http://schemas.openxmlformats.org/officeDocument/2006/relationships/hyperlink" Target="https://ref.ly/1Cor2:7" TargetMode="External"/><Relationship Id="rId10504" Type="http://schemas.openxmlformats.org/officeDocument/2006/relationships/hyperlink" Target="https://ref.ly/1Cor4:1" TargetMode="External"/><Relationship Id="rId10505" Type="http://schemas.openxmlformats.org/officeDocument/2006/relationships/hyperlink" Target="https://ref.ly/1Cor15:51" TargetMode="External"/><Relationship Id="rId10506" Type="http://schemas.openxmlformats.org/officeDocument/2006/relationships/hyperlink" Target="https://ref.ly/Eph3:3-Eph3:6,Eph3:9-Eph3:12" TargetMode="External"/><Relationship Id="rId10507" Type="http://schemas.openxmlformats.org/officeDocument/2006/relationships/hyperlink" Target="https://ref.ly/Col1:26-Col1:29" TargetMode="External"/><Relationship Id="rId10508" Type="http://schemas.openxmlformats.org/officeDocument/2006/relationships/hyperlink" Target="https://ref.ly/Col2:2" TargetMode="External"/><Relationship Id="rId10509" Type="http://schemas.openxmlformats.org/officeDocument/2006/relationships/hyperlink" Target="https://ref.ly/2Thess2:7" TargetMode="External"/><Relationship Id="rId10510" Type="http://schemas.openxmlformats.org/officeDocument/2006/relationships/hyperlink" Target="https://ref.ly/1Tim3:9,1Tim3:16" TargetMode="External"/><Relationship Id="rId10511" Type="http://schemas.openxmlformats.org/officeDocument/2006/relationships/hyperlink" Target="https://ref.ly/Rev1:20" TargetMode="External"/><Relationship Id="rId10512" Type="http://schemas.openxmlformats.org/officeDocument/2006/relationships/hyperlink" Target="https://ref.ly/Rev10:7" TargetMode="External"/><Relationship Id="rId10513" Type="http://schemas.openxmlformats.org/officeDocument/2006/relationships/hyperlink" Target="https://ref.ly/Rev17:5-Rev17:18" TargetMode="External"/><Relationship Id="rId10514" Type="http://schemas.openxmlformats.org/officeDocument/2006/relationships/hyperlink" Target="https://ref.ly/Dan2:28" TargetMode="External"/><Relationship Id="rId10515" Type="http://schemas.openxmlformats.org/officeDocument/2006/relationships/hyperlink" Target="https://ref.ly/Matt13:12-Matt13:15" TargetMode="External"/><Relationship Id="rId10516" Type="http://schemas.openxmlformats.org/officeDocument/2006/relationships/hyperlink" Target="https://ref.ly/Matt13:24-Matt13:30" TargetMode="External"/><Relationship Id="rId10517" Type="http://schemas.openxmlformats.org/officeDocument/2006/relationships/hyperlink" Target="https://ref.ly/1Cor1:18-1Cor1:25" TargetMode="External"/><Relationship Id="rId10518" Type="http://schemas.openxmlformats.org/officeDocument/2006/relationships/hyperlink" Target="https://ref.ly/1Cor2:6" TargetMode="External"/><Relationship Id="rId10519" Type="http://schemas.openxmlformats.org/officeDocument/2006/relationships/hyperlink" Target="https://ref.ly/1Cor2:10" TargetMode="External"/><Relationship Id="rId10520" Type="http://schemas.openxmlformats.org/officeDocument/2006/relationships/hyperlink" Target="https://ref.ly/1Cor3:18-1Cor3:23" TargetMode="External"/><Relationship Id="rId10521" Type="http://schemas.openxmlformats.org/officeDocument/2006/relationships/hyperlink" Target="https://ref.ly/1Cor2:9-1Cor2:16" TargetMode="External"/><Relationship Id="rId10522" Type="http://schemas.openxmlformats.org/officeDocument/2006/relationships/hyperlink" Target="https://ref.ly/1Cor15:51-1Cor15:52" TargetMode="External"/><Relationship Id="rId10523" Type="http://schemas.openxmlformats.org/officeDocument/2006/relationships/hyperlink" Target="https://ref.ly/1Cor14:2" TargetMode="External"/><Relationship Id="rId10524" Type="http://schemas.openxmlformats.org/officeDocument/2006/relationships/hyperlink" Target="https://ref.ly/Eph2:14-Eph2:18" TargetMode="External"/><Relationship Id="rId10525" Type="http://schemas.openxmlformats.org/officeDocument/2006/relationships/hyperlink" Target="https://ref.ly/Eph3:2-Eph3:5" TargetMode="External"/><Relationship Id="rId10526" Type="http://schemas.openxmlformats.org/officeDocument/2006/relationships/hyperlink" Target="https://ref.ly/1Cor4:1-1Cor4:5" TargetMode="External"/><Relationship Id="rId10527" Type="http://schemas.openxmlformats.org/officeDocument/2006/relationships/hyperlink" Target="https://ref.ly/Col1:25-Col1:29" TargetMode="External"/><Relationship Id="rId10528" Type="http://schemas.openxmlformats.org/officeDocument/2006/relationships/hyperlink" Target="https://ref.ly/Col1:26" TargetMode="External"/><Relationship Id="rId10529" Type="http://schemas.openxmlformats.org/officeDocument/2006/relationships/hyperlink" Target="https://ref.ly/Col1:28" TargetMode="External"/><Relationship Id="rId10530" Type="http://schemas.openxmlformats.org/officeDocument/2006/relationships/hyperlink" Target="https://ref.ly/Col4:3" TargetMode="External"/><Relationship Id="rId10531" Type="http://schemas.openxmlformats.org/officeDocument/2006/relationships/hyperlink" Target="https://ref.ly/Rev17:5" TargetMode="External"/><Relationship Id="rId10532" Type="http://schemas.openxmlformats.org/officeDocument/2006/relationships/hyperlink" Target="https://ref.ly/Acts20:14" TargetMode="External"/><Relationship Id="rId10533" Type="http://schemas.openxmlformats.org/officeDocument/2006/relationships/hyperlink" Target="https://ref.ly/1Kgs14:21,1Kgs14:31" TargetMode="External"/><Relationship Id="rId10534" Type="http://schemas.openxmlformats.org/officeDocument/2006/relationships/hyperlink" Target="https://ref.ly/1Kgs14:21-1Kgs14:24" TargetMode="External"/><Relationship Id="rId10535" Type="http://schemas.openxmlformats.org/officeDocument/2006/relationships/hyperlink" Target="https://ref.ly/Num26:38-Num26:40" TargetMode="External"/><Relationship Id="rId10536" Type="http://schemas.openxmlformats.org/officeDocument/2006/relationships/hyperlink" Target="https://ref.ly/1Chr8:4,1Chr8:7" TargetMode="External"/><Relationship Id="rId10537" Type="http://schemas.openxmlformats.org/officeDocument/2006/relationships/hyperlink" Target="https://ref.ly/Lev13:1-Lev14:57" TargetMode="External"/><Relationship Id="rId10538" Type="http://schemas.openxmlformats.org/officeDocument/2006/relationships/hyperlink" Target="https://ref.ly/Exod20:24" TargetMode="External"/><Relationship Id="rId10539" Type="http://schemas.openxmlformats.org/officeDocument/2006/relationships/hyperlink" Target="https://ref.ly/Gen11:22-Gen11:25" TargetMode="External"/><Relationship Id="rId10540" Type="http://schemas.openxmlformats.org/officeDocument/2006/relationships/hyperlink" Target="https://ref.ly/1Chr1:26" TargetMode="External"/><Relationship Id="rId10541" Type="http://schemas.openxmlformats.org/officeDocument/2006/relationships/hyperlink" Target="https://ref.ly/Luke3:34" TargetMode="External"/><Relationship Id="rId10542" Type="http://schemas.openxmlformats.org/officeDocument/2006/relationships/hyperlink" Target="https://ref.ly/Gen11:26-Gen11:29" TargetMode="External"/><Relationship Id="rId10543" Type="http://schemas.openxmlformats.org/officeDocument/2006/relationships/hyperlink" Target="https://ref.ly/Gen24:1-Gen24:51" TargetMode="External"/><Relationship Id="rId10544" Type="http://schemas.openxmlformats.org/officeDocument/2006/relationships/hyperlink" Target="https://ref.ly/Gen29:5" TargetMode="External"/><Relationship Id="rId10545" Type="http://schemas.openxmlformats.org/officeDocument/2006/relationships/hyperlink" Target="https://ref.ly/Gen31:53" TargetMode="External"/><Relationship Id="rId10546" Type="http://schemas.openxmlformats.org/officeDocument/2006/relationships/hyperlink" Target="https://ref.ly/1Chr6:26" TargetMode="External"/><Relationship Id="rId10547" Type="http://schemas.openxmlformats.org/officeDocument/2006/relationships/hyperlink" Target="https://ref.ly/2Chr31:13" TargetMode="External"/><Relationship Id="rId10548" Type="http://schemas.openxmlformats.org/officeDocument/2006/relationships/hyperlink" Target="https://ref.ly/John1:45-John1:46" TargetMode="External"/><Relationship Id="rId10549" Type="http://schemas.openxmlformats.org/officeDocument/2006/relationships/hyperlink" Target="https://ref.ly/John1:49" TargetMode="External"/><Relationship Id="rId10550" Type="http://schemas.openxmlformats.org/officeDocument/2006/relationships/hyperlink" Target="https://ref.ly/John7:15,John7:27,John7:41" TargetMode="External"/><Relationship Id="rId10551" Type="http://schemas.openxmlformats.org/officeDocument/2006/relationships/hyperlink" Target="https://ref.ly/John9:41" TargetMode="External"/><Relationship Id="rId10552" Type="http://schemas.openxmlformats.org/officeDocument/2006/relationships/hyperlink" Target="https://ref.ly/John1:48" TargetMode="External"/><Relationship Id="rId10553" Type="http://schemas.openxmlformats.org/officeDocument/2006/relationships/hyperlink" Target="https://ref.ly/Gen25:1-Gen32:32" TargetMode="External"/><Relationship Id="rId10554" Type="http://schemas.openxmlformats.org/officeDocument/2006/relationships/hyperlink" Target="https://ref.ly/Rom9:6" TargetMode="External"/><Relationship Id="rId10555" Type="http://schemas.openxmlformats.org/officeDocument/2006/relationships/hyperlink" Target="https://ref.ly/Gen10:5,Gen10:20,Gen10:31" TargetMode="External"/><Relationship Id="rId10556" Type="http://schemas.openxmlformats.org/officeDocument/2006/relationships/hyperlink" Target="https://ref.ly/Acts17:26" TargetMode="External"/><Relationship Id="rId10557" Type="http://schemas.openxmlformats.org/officeDocument/2006/relationships/hyperlink" Target="https://ref.ly/Zeph3:9" TargetMode="External"/><Relationship Id="rId10558" Type="http://schemas.openxmlformats.org/officeDocument/2006/relationships/hyperlink" Target="https://ref.ly/Rev21:22-Rev21:26" TargetMode="External"/><Relationship Id="rId10559" Type="http://schemas.openxmlformats.org/officeDocument/2006/relationships/hyperlink" Target="https://ref.ly/Deut26:5" TargetMode="External"/><Relationship Id="rId10560" Type="http://schemas.openxmlformats.org/officeDocument/2006/relationships/hyperlink" Target="https://ref.ly/Exod12:38" TargetMode="External"/><Relationship Id="rId10561" Type="http://schemas.openxmlformats.org/officeDocument/2006/relationships/hyperlink" Target="https://ref.ly/Num20:21" TargetMode="External"/><Relationship Id="rId10562" Type="http://schemas.openxmlformats.org/officeDocument/2006/relationships/hyperlink" Target="https://ref.ly/Gen15:16-Gen15:20" TargetMode="External"/><Relationship Id="rId10563" Type="http://schemas.openxmlformats.org/officeDocument/2006/relationships/hyperlink" Target="https://ref.ly/Lev20:6" TargetMode="External"/><Relationship Id="rId10564" Type="http://schemas.openxmlformats.org/officeDocument/2006/relationships/hyperlink" Target="https://ref.ly/Lev20:1-Lev20:5" TargetMode="External"/><Relationship Id="rId10565" Type="http://schemas.openxmlformats.org/officeDocument/2006/relationships/hyperlink" Target="https://ref.ly/2Kgs17:29-2Kgs17:34" TargetMode="External"/><Relationship Id="rId10566" Type="http://schemas.openxmlformats.org/officeDocument/2006/relationships/hyperlink" Target="https://ref.ly/Isa44:12-Isa44:20" TargetMode="External"/><Relationship Id="rId10567" Type="http://schemas.openxmlformats.org/officeDocument/2006/relationships/hyperlink" Target="https://ref.ly/Exod34:24" TargetMode="External"/><Relationship Id="rId10568" Type="http://schemas.openxmlformats.org/officeDocument/2006/relationships/hyperlink" Target="https://ref.ly/Deut12:29-Deut12:31" TargetMode="External"/><Relationship Id="rId10569" Type="http://schemas.openxmlformats.org/officeDocument/2006/relationships/hyperlink" Target="https://ref.ly/Jer46:1-Jer51:64" TargetMode="External"/><Relationship Id="rId10570" Type="http://schemas.openxmlformats.org/officeDocument/2006/relationships/hyperlink" Target="https://ref.ly/Ps66:1-Ps66:8" TargetMode="External"/><Relationship Id="rId10571" Type="http://schemas.openxmlformats.org/officeDocument/2006/relationships/hyperlink" Target="https://ref.ly/Ps67:7" TargetMode="External"/><Relationship Id="rId10572" Type="http://schemas.openxmlformats.org/officeDocument/2006/relationships/hyperlink" Target="https://ref.ly/Isa56:6-Isa56:8" TargetMode="External"/><Relationship Id="rId10573" Type="http://schemas.openxmlformats.org/officeDocument/2006/relationships/hyperlink" Target="https://ref.ly/Isa2:2-Isa2:4" TargetMode="External"/><Relationship Id="rId10574" Type="http://schemas.openxmlformats.org/officeDocument/2006/relationships/hyperlink" Target="https://ref.ly/Matt4:15-Matt4:16" TargetMode="External"/><Relationship Id="rId10575" Type="http://schemas.openxmlformats.org/officeDocument/2006/relationships/hyperlink" Target="https://ref.ly/Mark7:24" TargetMode="External"/><Relationship Id="rId10576" Type="http://schemas.openxmlformats.org/officeDocument/2006/relationships/hyperlink" Target="https://ref.ly/Luke7:1-Luke7:10" TargetMode="External"/><Relationship Id="rId10577" Type="http://schemas.openxmlformats.org/officeDocument/2006/relationships/hyperlink" Target="https://ref.ly/Luke7:11-Luke7:17" TargetMode="External"/><Relationship Id="rId10578" Type="http://schemas.openxmlformats.org/officeDocument/2006/relationships/hyperlink" Target="https://ref.ly/Acts4:27" TargetMode="External"/><Relationship Id="rId10579" Type="http://schemas.openxmlformats.org/officeDocument/2006/relationships/hyperlink" Target="https://ref.ly/Acts11:1-Acts11:8" TargetMode="External"/><Relationship Id="rId10580" Type="http://schemas.openxmlformats.org/officeDocument/2006/relationships/hyperlink" Target="https://ref.ly/Acts15:1-Acts15:29" TargetMode="External"/><Relationship Id="rId10581" Type="http://schemas.openxmlformats.org/officeDocument/2006/relationships/hyperlink" Target="https://ref.ly/Judg13:5" TargetMode="External"/><Relationship Id="rId10582" Type="http://schemas.openxmlformats.org/officeDocument/2006/relationships/hyperlink" Target="https://ref.ly/Judg16:17" TargetMode="External"/><Relationship Id="rId10583" Type="http://schemas.openxmlformats.org/officeDocument/2006/relationships/hyperlink" Target="https://ref.ly/1Sam1:11" TargetMode="External"/><Relationship Id="rId10584" Type="http://schemas.openxmlformats.org/officeDocument/2006/relationships/hyperlink" Target="https://ref.ly/Deut33:16" TargetMode="External"/><Relationship Id="rId10585" Type="http://schemas.openxmlformats.org/officeDocument/2006/relationships/hyperlink" Target="https://ref.ly/Num6:9-Num6:12" TargetMode="External"/><Relationship Id="rId10586" Type="http://schemas.openxmlformats.org/officeDocument/2006/relationships/hyperlink" Target="https://ref.ly/Num6:13-Num6:21" TargetMode="External"/><Relationship Id="rId10587" Type="http://schemas.openxmlformats.org/officeDocument/2006/relationships/hyperlink" Target="https://ref.ly/Acts21:23-Acts21:24" TargetMode="External"/><Relationship Id="rId10588" Type="http://schemas.openxmlformats.org/officeDocument/2006/relationships/hyperlink" Target="https://ref.ly/1Macc3:49-1Macc3:51" TargetMode="External"/><Relationship Id="rId10589" Type="http://schemas.openxmlformats.org/officeDocument/2006/relationships/hyperlink" Target="https://ref.ly/Gen12:9" TargetMode="External"/><Relationship Id="rId10590" Type="http://schemas.openxmlformats.org/officeDocument/2006/relationships/hyperlink" Target="https://ref.ly/Gen13:1-Gen13:2" TargetMode="External"/><Relationship Id="rId10591" Type="http://schemas.openxmlformats.org/officeDocument/2006/relationships/hyperlink" Target="https://ref.ly/Gen20:1" TargetMode="External"/><Relationship Id="rId10592" Type="http://schemas.openxmlformats.org/officeDocument/2006/relationships/hyperlink" Target="https://ref.ly/1Sam30:14" TargetMode="External"/><Relationship Id="rId10593" Type="http://schemas.openxmlformats.org/officeDocument/2006/relationships/hyperlink" Target="https://ref.ly/Num26:9" TargetMode="External"/><Relationship Id="rId10594" Type="http://schemas.openxmlformats.org/officeDocument/2006/relationships/hyperlink" Target="https://ref.ly/Deut2:21" TargetMode="External"/><Relationship Id="rId10595" Type="http://schemas.openxmlformats.org/officeDocument/2006/relationships/hyperlink" Target="https://ref.ly/Luke20:34-Luke20:35" TargetMode="External"/><Relationship Id="rId10596" Type="http://schemas.openxmlformats.org/officeDocument/2006/relationships/hyperlink" Target="https://ref.ly/Gen30:8" TargetMode="External"/><Relationship Id="rId10597" Type="http://schemas.openxmlformats.org/officeDocument/2006/relationships/hyperlink" Target="https://ref.ly/Num26:50" TargetMode="External"/><Relationship Id="rId10598" Type="http://schemas.openxmlformats.org/officeDocument/2006/relationships/hyperlink" Target="https://ref.ly/Num1:43" TargetMode="External"/><Relationship Id="rId10599" Type="http://schemas.openxmlformats.org/officeDocument/2006/relationships/hyperlink" Target="https://ref.ly/2Macc8:9" TargetMode="External"/><Relationship Id="rId10600" Type="http://schemas.openxmlformats.org/officeDocument/2006/relationships/hyperlink" Target="https://ref.ly/1Macc3:38-1Macc3:59" TargetMode="External"/><Relationship Id="rId10601" Type="http://schemas.openxmlformats.org/officeDocument/2006/relationships/hyperlink" Target="https://ref.ly/2Macc15:35" TargetMode="External"/><Relationship Id="rId10602" Type="http://schemas.openxmlformats.org/officeDocument/2006/relationships/hyperlink" Target="https://ref.ly/Rev2:6" TargetMode="External"/><Relationship Id="rId10603" Type="http://schemas.openxmlformats.org/officeDocument/2006/relationships/hyperlink" Target="https://ref.ly/Rev2:15" TargetMode="External"/><Relationship Id="rId10604" Type="http://schemas.openxmlformats.org/officeDocument/2006/relationships/hyperlink" Target="https://ref.ly/Rev2:20" TargetMode="External"/><Relationship Id="rId10605" Type="http://schemas.openxmlformats.org/officeDocument/2006/relationships/hyperlink" Target="https://ref.ly/Num25:1-Num25:2" TargetMode="External"/><Relationship Id="rId10606" Type="http://schemas.openxmlformats.org/officeDocument/2006/relationships/hyperlink" Target="https://ref.ly/Rev2:24" TargetMode="External"/><Relationship Id="rId10607" Type="http://schemas.openxmlformats.org/officeDocument/2006/relationships/hyperlink" Target="https://ref.ly/Rev2:14-Rev2:15" TargetMode="External"/><Relationship Id="rId10608" Type="http://schemas.openxmlformats.org/officeDocument/2006/relationships/hyperlink" Target="https://ref.ly/Acts6:1-Acts6:4" TargetMode="External"/><Relationship Id="rId10609" Type="http://schemas.openxmlformats.org/officeDocument/2006/relationships/hyperlink" Target="https://ref.ly/1Chr1:10" TargetMode="External"/><Relationship Id="rId10610" Type="http://schemas.openxmlformats.org/officeDocument/2006/relationships/hyperlink" Target="https://ref.ly/Gen10:8-Gen10:9" TargetMode="External"/><Relationship Id="rId10611" Type="http://schemas.openxmlformats.org/officeDocument/2006/relationships/hyperlink" Target="https://ref.ly/Mic5:6" TargetMode="External"/><Relationship Id="rId10612" Type="http://schemas.openxmlformats.org/officeDocument/2006/relationships/hyperlink" Target="https://ref.ly/2Kgs14:1-2Kgs16:20" TargetMode="External"/><Relationship Id="rId10613" Type="http://schemas.openxmlformats.org/officeDocument/2006/relationships/hyperlink" Target="https://ref.ly/2Kgs19:8" TargetMode="External"/><Relationship Id="rId10614" Type="http://schemas.openxmlformats.org/officeDocument/2006/relationships/hyperlink" Target="https://ref.ly/2Kgs19:36" TargetMode="External"/><Relationship Id="rId10615" Type="http://schemas.openxmlformats.org/officeDocument/2006/relationships/hyperlink" Target="https://ref.ly/2Chr32:21" TargetMode="External"/><Relationship Id="rId10616" Type="http://schemas.openxmlformats.org/officeDocument/2006/relationships/hyperlink" Target="https://ref.ly/Jonah1:2" TargetMode="External"/><Relationship Id="rId10617" Type="http://schemas.openxmlformats.org/officeDocument/2006/relationships/hyperlink" Target="https://ref.ly/Jonah3:2" TargetMode="External"/><Relationship Id="rId10618" Type="http://schemas.openxmlformats.org/officeDocument/2006/relationships/hyperlink" Target="https://ref.ly/Jonah3:3" TargetMode="External"/><Relationship Id="rId10619" Type="http://schemas.openxmlformats.org/officeDocument/2006/relationships/hyperlink" Target="https://ref.ly/Jonah4:11" TargetMode="External"/><Relationship Id="rId10620" Type="http://schemas.openxmlformats.org/officeDocument/2006/relationships/hyperlink" Target="https://ref.ly/Jonah3:6-Jonah3:10" TargetMode="External"/><Relationship Id="rId10621" Type="http://schemas.openxmlformats.org/officeDocument/2006/relationships/hyperlink" Target="https://ref.ly/Zeph2:13-Zeph2:15" TargetMode="External"/><Relationship Id="rId10622" Type="http://schemas.openxmlformats.org/officeDocument/2006/relationships/hyperlink" Target="https://ref.ly/Matt12:38-Matt12:40" TargetMode="External"/><Relationship Id="rId10623" Type="http://schemas.openxmlformats.org/officeDocument/2006/relationships/hyperlink" Target="https://ref.ly/Luke11:29-Luke11:31" TargetMode="External"/><Relationship Id="rId10624" Type="http://schemas.openxmlformats.org/officeDocument/2006/relationships/hyperlink" Target="https://ref.ly/Matt12:41" TargetMode="External"/><Relationship Id="rId10625" Type="http://schemas.openxmlformats.org/officeDocument/2006/relationships/hyperlink" Target="https://ref.ly/Luke11:32" TargetMode="External"/><Relationship Id="rId10626" Type="http://schemas.openxmlformats.org/officeDocument/2006/relationships/hyperlink" Target="https://ref.ly/1Sam22:13-1Sam22:20" TargetMode="External"/><Relationship Id="rId10627" Type="http://schemas.openxmlformats.org/officeDocument/2006/relationships/hyperlink" Target="https://ref.ly/Exod37:10-Exod37:16" TargetMode="External"/><Relationship Id="rId10628" Type="http://schemas.openxmlformats.org/officeDocument/2006/relationships/hyperlink" Target="https://ref.ly/1Sam21:2-1Sam21:7" TargetMode="External"/><Relationship Id="rId10629" Type="http://schemas.openxmlformats.org/officeDocument/2006/relationships/hyperlink" Target="https://ref.ly/Mark2:23-Mark2:28" TargetMode="External"/><Relationship Id="rId10630" Type="http://schemas.openxmlformats.org/officeDocument/2006/relationships/hyperlink" Target="https://ref.ly/2Sam15:32" TargetMode="External"/><Relationship Id="rId10631" Type="http://schemas.openxmlformats.org/officeDocument/2006/relationships/hyperlink" Target="https://ref.ly/Gen4:16" TargetMode="External"/><Relationship Id="rId10632" Type="http://schemas.openxmlformats.org/officeDocument/2006/relationships/hyperlink" Target="https://ref.ly/Gen25:13-Gen25:15" TargetMode="External"/><Relationship Id="rId10633" Type="http://schemas.openxmlformats.org/officeDocument/2006/relationships/hyperlink" Target="https://ref.ly/Gen5:3-Gen5:20" TargetMode="External"/><Relationship Id="rId10634" Type="http://schemas.openxmlformats.org/officeDocument/2006/relationships/hyperlink" Target="https://ref.ly/Matt24:37-Matt24:39" TargetMode="External"/><Relationship Id="rId10635" Type="http://schemas.openxmlformats.org/officeDocument/2006/relationships/hyperlink" Target="https://ref.ly/Luke17:26-Luke17:27" TargetMode="External"/><Relationship Id="rId10636" Type="http://schemas.openxmlformats.org/officeDocument/2006/relationships/hyperlink" Target="https://ref.ly/Gen6:3-Gen6:9" TargetMode="External"/><Relationship Id="rId10637" Type="http://schemas.openxmlformats.org/officeDocument/2006/relationships/hyperlink" Target="https://ref.ly/Gen6:14-Gen8:19" TargetMode="External"/><Relationship Id="rId10638" Type="http://schemas.openxmlformats.org/officeDocument/2006/relationships/hyperlink" Target="https://ref.ly/Gen8:20-Gen9:17" TargetMode="External"/><Relationship Id="rId10639" Type="http://schemas.openxmlformats.org/officeDocument/2006/relationships/hyperlink" Target="https://ref.ly/Gen9:20-Gen9:27" TargetMode="External"/><Relationship Id="rId10640" Type="http://schemas.openxmlformats.org/officeDocument/2006/relationships/hyperlink" Target="https://ref.ly/Ezek14:12-Ezek14:14,Ezek14:19-Ezek14:20" TargetMode="External"/><Relationship Id="rId10641" Type="http://schemas.openxmlformats.org/officeDocument/2006/relationships/hyperlink" Target="https://ref.ly/Ezek14:12-Ezek14:14" TargetMode="External"/><Relationship Id="rId10642" Type="http://schemas.openxmlformats.org/officeDocument/2006/relationships/hyperlink" Target="https://ref.ly/Num1:46" TargetMode="External"/><Relationship Id="rId10643" Type="http://schemas.openxmlformats.org/officeDocument/2006/relationships/hyperlink" Target="https://ref.ly/Gal3:17" TargetMode="External"/><Relationship Id="rId10644" Type="http://schemas.openxmlformats.org/officeDocument/2006/relationships/hyperlink" Target="https://ref.ly/Num14:33" TargetMode="External"/><Relationship Id="rId10645" Type="http://schemas.openxmlformats.org/officeDocument/2006/relationships/hyperlink" Target="https://ref.ly/Exod7:7" TargetMode="External"/><Relationship Id="rId10646" Type="http://schemas.openxmlformats.org/officeDocument/2006/relationships/hyperlink" Target="https://ref.ly/Gen41:2" TargetMode="External"/><Relationship Id="rId10647" Type="http://schemas.openxmlformats.org/officeDocument/2006/relationships/hyperlink" Target="https://ref.ly/Judg16:13" TargetMode="External"/><Relationship Id="rId10648" Type="http://schemas.openxmlformats.org/officeDocument/2006/relationships/hyperlink" Target="https://ref.ly/Matt12:45" TargetMode="External"/><Relationship Id="rId10649" Type="http://schemas.openxmlformats.org/officeDocument/2006/relationships/hyperlink" Target="https://ref.ly/Exod24:1" TargetMode="External"/><Relationship Id="rId10650" Type="http://schemas.openxmlformats.org/officeDocument/2006/relationships/hyperlink" Target="https://ref.ly/Jer25:12" TargetMode="External"/><Relationship Id="rId10651" Type="http://schemas.openxmlformats.org/officeDocument/2006/relationships/hyperlink" Target="https://ref.ly/2Kgs13:18" TargetMode="External"/><Relationship Id="rId10652" Type="http://schemas.openxmlformats.org/officeDocument/2006/relationships/hyperlink" Target="https://ref.ly/Hos6:2" TargetMode="External"/><Relationship Id="rId10653" Type="http://schemas.openxmlformats.org/officeDocument/2006/relationships/hyperlink" Target="https://ref.ly/2Sam24:13" TargetMode="External"/><Relationship Id="rId10654" Type="http://schemas.openxmlformats.org/officeDocument/2006/relationships/hyperlink" Target="https://ref.ly/2Cor13:13" TargetMode="External"/><Relationship Id="rId10655" Type="http://schemas.openxmlformats.org/officeDocument/2006/relationships/hyperlink" Target="https://ref.ly/Dan7:2" TargetMode="External"/><Relationship Id="rId10656" Type="http://schemas.openxmlformats.org/officeDocument/2006/relationships/hyperlink" Target="https://ref.ly/Rev6:1-Rev6:7" TargetMode="External"/><Relationship Id="rId10657" Type="http://schemas.openxmlformats.org/officeDocument/2006/relationships/hyperlink" Target="https://ref.ly/Rev4:6" TargetMode="External"/><Relationship Id="rId10658" Type="http://schemas.openxmlformats.org/officeDocument/2006/relationships/hyperlink" Target="https://ref.ly/Isa30:17" TargetMode="External"/><Relationship Id="rId10659" Type="http://schemas.openxmlformats.org/officeDocument/2006/relationships/hyperlink" Target="https://ref.ly/Exod7:1-Exod10:29" TargetMode="External"/><Relationship Id="rId10660" Type="http://schemas.openxmlformats.org/officeDocument/2006/relationships/hyperlink" Target="https://ref.ly/Gen31:7" TargetMode="External"/><Relationship Id="rId10661" Type="http://schemas.openxmlformats.org/officeDocument/2006/relationships/hyperlink" Target="https://ref.ly/Dan1:20" TargetMode="External"/><Relationship Id="rId10662" Type="http://schemas.openxmlformats.org/officeDocument/2006/relationships/hyperlink" Target="https://ref.ly/Neh4:12" TargetMode="External"/><Relationship Id="rId10663" Type="http://schemas.openxmlformats.org/officeDocument/2006/relationships/hyperlink" Target="https://ref.ly/Rev7:4-Rev7:8" TargetMode="External"/><Relationship Id="rId10664" Type="http://schemas.openxmlformats.org/officeDocument/2006/relationships/hyperlink" Target="https://ref.ly/Judg18:14-Judg18:20" TargetMode="External"/><Relationship Id="rId10665" Type="http://schemas.openxmlformats.org/officeDocument/2006/relationships/hyperlink" Target="https://ref.ly/Rev7:4" TargetMode="External"/><Relationship Id="rId10666" Type="http://schemas.openxmlformats.org/officeDocument/2006/relationships/hyperlink" Target="https://ref.ly/Josh7:5" TargetMode="External"/><Relationship Id="rId10667" Type="http://schemas.openxmlformats.org/officeDocument/2006/relationships/hyperlink" Target="https://ref.ly/John21:11" TargetMode="External"/><Relationship Id="rId10668" Type="http://schemas.openxmlformats.org/officeDocument/2006/relationships/hyperlink" Target="https://ref.ly/2Kgs14:18" TargetMode="External"/><Relationship Id="rId10669" Type="http://schemas.openxmlformats.org/officeDocument/2006/relationships/hyperlink" Target="https://ref.ly/Isa23:15" TargetMode="External"/><Relationship Id="rId10670" Type="http://schemas.openxmlformats.org/officeDocument/2006/relationships/hyperlink" Target="https://ref.ly/Ezek29:11-Ezek29:13" TargetMode="External"/><Relationship Id="rId10671" Type="http://schemas.openxmlformats.org/officeDocument/2006/relationships/hyperlink" Target="https://ref.ly/Dan9:24" TargetMode="External"/><Relationship Id="rId10672" Type="http://schemas.openxmlformats.org/officeDocument/2006/relationships/hyperlink" Target="https://ref.ly/Dan9:25" TargetMode="External"/><Relationship Id="rId10673" Type="http://schemas.openxmlformats.org/officeDocument/2006/relationships/hyperlink" Target="https://ref.ly/Dan9:26" TargetMode="External"/><Relationship Id="rId10674" Type="http://schemas.openxmlformats.org/officeDocument/2006/relationships/hyperlink" Target="https://ref.ly/Dan7:25" TargetMode="External"/><Relationship Id="rId10675" Type="http://schemas.openxmlformats.org/officeDocument/2006/relationships/hyperlink" Target="https://ref.ly/Rev11:2" TargetMode="External"/><Relationship Id="rId10676" Type="http://schemas.openxmlformats.org/officeDocument/2006/relationships/hyperlink" Target="https://ref.ly/Rev12:14" TargetMode="External"/><Relationship Id="rId10677" Type="http://schemas.openxmlformats.org/officeDocument/2006/relationships/hyperlink" Target="https://ref.ly/Dan8:14" TargetMode="External"/><Relationship Id="rId10678" Type="http://schemas.openxmlformats.org/officeDocument/2006/relationships/hyperlink" Target="https://ref.ly/Rev11:1-Rev11:19" TargetMode="External"/><Relationship Id="rId10679" Type="http://schemas.openxmlformats.org/officeDocument/2006/relationships/hyperlink" Target="https://ref.ly/Dan12:11" TargetMode="External"/><Relationship Id="rId10680" Type="http://schemas.openxmlformats.org/officeDocument/2006/relationships/hyperlink" Target="https://ref.ly/Rev11:3" TargetMode="External"/><Relationship Id="rId10681" Type="http://schemas.openxmlformats.org/officeDocument/2006/relationships/hyperlink" Target="https://ref.ly/Rev13:5" TargetMode="External"/><Relationship Id="rId10682" Type="http://schemas.openxmlformats.org/officeDocument/2006/relationships/hyperlink" Target="https://ref.ly/Deut7:9" TargetMode="External"/><Relationship Id="rId10683" Type="http://schemas.openxmlformats.org/officeDocument/2006/relationships/hyperlink" Target="https://ref.ly/Num1:1-Num1:54" TargetMode="External"/><Relationship Id="rId10684" Type="http://schemas.openxmlformats.org/officeDocument/2006/relationships/hyperlink" Target="https://ref.ly/Num2:1-Num2:34" TargetMode="External"/><Relationship Id="rId10685" Type="http://schemas.openxmlformats.org/officeDocument/2006/relationships/hyperlink" Target="https://ref.ly/Num3:1-Num3:51" TargetMode="External"/><Relationship Id="rId10686" Type="http://schemas.openxmlformats.org/officeDocument/2006/relationships/hyperlink" Target="https://ref.ly/Judg3:4" TargetMode="External"/><Relationship Id="rId10687" Type="http://schemas.openxmlformats.org/officeDocument/2006/relationships/hyperlink" Target="https://ref.ly/John5:46-John5:47" TargetMode="External"/><Relationship Id="rId10688" Type="http://schemas.openxmlformats.org/officeDocument/2006/relationships/hyperlink" Target="https://ref.ly/Acts28:23" TargetMode="External"/><Relationship Id="rId10689" Type="http://schemas.openxmlformats.org/officeDocument/2006/relationships/hyperlink" Target="https://ref.ly/Rom10:19" TargetMode="External"/><Relationship Id="rId10690" Type="http://schemas.openxmlformats.org/officeDocument/2006/relationships/hyperlink" Target="https://ref.ly/1Cor9:9" TargetMode="External"/><Relationship Id="rId10691" Type="http://schemas.openxmlformats.org/officeDocument/2006/relationships/hyperlink" Target="https://ref.ly/Num33:36" TargetMode="External"/><Relationship Id="rId10692" Type="http://schemas.openxmlformats.org/officeDocument/2006/relationships/hyperlink" Target="https://ref.ly/Num20:17" TargetMode="External"/><Relationship Id="rId10693" Type="http://schemas.openxmlformats.org/officeDocument/2006/relationships/hyperlink" Target="https://ref.ly/Num21:16-Num21:18" TargetMode="External"/><Relationship Id="rId10694" Type="http://schemas.openxmlformats.org/officeDocument/2006/relationships/hyperlink" Target="https://ref.ly/Num20:11" TargetMode="External"/><Relationship Id="rId10695" Type="http://schemas.openxmlformats.org/officeDocument/2006/relationships/hyperlink" Target="https://ref.ly/Num11:31-Num11:32" TargetMode="External"/><Relationship Id="rId10696" Type="http://schemas.openxmlformats.org/officeDocument/2006/relationships/hyperlink" Target="https://ref.ly/Num14:25,Num14:43-Num14:45" TargetMode="External"/><Relationship Id="rId10697" Type="http://schemas.openxmlformats.org/officeDocument/2006/relationships/hyperlink" Target="https://ref.ly/Gen36:12,Gen36:16" TargetMode="External"/><Relationship Id="rId10698" Type="http://schemas.openxmlformats.org/officeDocument/2006/relationships/hyperlink" Target="https://ref.ly/Num21:4,Num21:10-Num21:11" TargetMode="External"/><Relationship Id="rId10699" Type="http://schemas.openxmlformats.org/officeDocument/2006/relationships/hyperlink" Target="https://ref.ly/Num21:12" TargetMode="External"/><Relationship Id="rId10700" Type="http://schemas.openxmlformats.org/officeDocument/2006/relationships/hyperlink" Target="https://ref.ly/Num20:16" TargetMode="External"/><Relationship Id="rId10701" Type="http://schemas.openxmlformats.org/officeDocument/2006/relationships/hyperlink" Target="https://ref.ly/Num20:17-Num20:19" TargetMode="External"/><Relationship Id="rId10702" Type="http://schemas.openxmlformats.org/officeDocument/2006/relationships/hyperlink" Target="https://ref.ly/Num21:4,Num21:11" TargetMode="External"/><Relationship Id="rId10703" Type="http://schemas.openxmlformats.org/officeDocument/2006/relationships/hyperlink" Target="https://ref.ly/Deut2:2-Deut2:8" TargetMode="External"/><Relationship Id="rId10704" Type="http://schemas.openxmlformats.org/officeDocument/2006/relationships/hyperlink" Target="https://ref.ly/Deut23:7" TargetMode="External"/><Relationship Id="rId10705" Type="http://schemas.openxmlformats.org/officeDocument/2006/relationships/hyperlink" Target="https://ref.ly/Num21:11-Num21:15" TargetMode="External"/><Relationship Id="rId10706" Type="http://schemas.openxmlformats.org/officeDocument/2006/relationships/hyperlink" Target="https://ref.ly/Num21:20" TargetMode="External"/><Relationship Id="rId10707" Type="http://schemas.openxmlformats.org/officeDocument/2006/relationships/hyperlink" Target="https://ref.ly/Num13:21-Num13:24" TargetMode="External"/><Relationship Id="rId10708" Type="http://schemas.openxmlformats.org/officeDocument/2006/relationships/hyperlink" Target="https://ref.ly/Num31:1-Num31:18" TargetMode="External"/><Relationship Id="rId10709" Type="http://schemas.openxmlformats.org/officeDocument/2006/relationships/hyperlink" Target="https://ref.ly/Deut2:9-Deut2:13" TargetMode="External"/><Relationship Id="rId10710" Type="http://schemas.openxmlformats.org/officeDocument/2006/relationships/hyperlink" Target="https://ref.ly/2Sam8:2,2Sam8:13-2Sam8:14" TargetMode="External"/><Relationship Id="rId10711" Type="http://schemas.openxmlformats.org/officeDocument/2006/relationships/hyperlink" Target="https://ref.ly/2Sam21:21-2Sam21:35" TargetMode="External"/><Relationship Id="rId10712" Type="http://schemas.openxmlformats.org/officeDocument/2006/relationships/hyperlink" Target="https://ref.ly/Num21:25-Num21:30" TargetMode="External"/><Relationship Id="rId10713" Type="http://schemas.openxmlformats.org/officeDocument/2006/relationships/hyperlink" Target="https://ref.ly/Deut3:8" TargetMode="External"/><Relationship Id="rId10714" Type="http://schemas.openxmlformats.org/officeDocument/2006/relationships/hyperlink" Target="https://ref.ly/Deut3:1-Deut3:12" TargetMode="External"/><Relationship Id="rId10715" Type="http://schemas.openxmlformats.org/officeDocument/2006/relationships/hyperlink" Target="https://ref.ly/Num32:1-Num32:5" TargetMode="External"/><Relationship Id="rId10716" Type="http://schemas.openxmlformats.org/officeDocument/2006/relationships/hyperlink" Target="https://ref.ly/Num25:16-Num25:18" TargetMode="External"/><Relationship Id="rId10717" Type="http://schemas.openxmlformats.org/officeDocument/2006/relationships/hyperlink" Target="https://ref.ly/Num31:1-Num31:54" TargetMode="External"/><Relationship Id="rId10718" Type="http://schemas.openxmlformats.org/officeDocument/2006/relationships/hyperlink" Target="https://ref.ly/Num22:4-Num22:7" TargetMode="External"/><Relationship Id="rId10719" Type="http://schemas.openxmlformats.org/officeDocument/2006/relationships/hyperlink" Target="https://ref.ly/Num25:1-Num25:6,Num25:14-Num25:15" TargetMode="External"/><Relationship Id="rId10720" Type="http://schemas.openxmlformats.org/officeDocument/2006/relationships/hyperlink" Target="https://ref.ly/Num25:8" TargetMode="External"/><Relationship Id="rId10721" Type="http://schemas.openxmlformats.org/officeDocument/2006/relationships/hyperlink" Target="https://ref.ly/Rom15:4" TargetMode="External"/><Relationship Id="rId10722" Type="http://schemas.openxmlformats.org/officeDocument/2006/relationships/hyperlink" Target="https://ref.ly/Num1:18" TargetMode="External"/><Relationship Id="rId10723" Type="http://schemas.openxmlformats.org/officeDocument/2006/relationships/hyperlink" Target="https://ref.ly/Num1:2-Num1:3" TargetMode="External"/><Relationship Id="rId10724" Type="http://schemas.openxmlformats.org/officeDocument/2006/relationships/hyperlink" Target="https://ref.ly/Num1:47-Num1:54" TargetMode="External"/><Relationship Id="rId10725" Type="http://schemas.openxmlformats.org/officeDocument/2006/relationships/hyperlink" Target="https://ref.ly/Num2:9" TargetMode="External"/><Relationship Id="rId10726" Type="http://schemas.openxmlformats.org/officeDocument/2006/relationships/hyperlink" Target="https://ref.ly/Num2:16" TargetMode="External"/><Relationship Id="rId10727" Type="http://schemas.openxmlformats.org/officeDocument/2006/relationships/hyperlink" Target="https://ref.ly/Num2:24" TargetMode="External"/><Relationship Id="rId10728" Type="http://schemas.openxmlformats.org/officeDocument/2006/relationships/hyperlink" Target="https://ref.ly/Num2:31" TargetMode="External"/><Relationship Id="rId10729" Type="http://schemas.openxmlformats.org/officeDocument/2006/relationships/hyperlink" Target="https://ref.ly/Num2:17" TargetMode="External"/><Relationship Id="rId10730" Type="http://schemas.openxmlformats.org/officeDocument/2006/relationships/hyperlink" Target="https://ref.ly/Num3:2-Num3:3" TargetMode="External"/><Relationship Id="rId10731" Type="http://schemas.openxmlformats.org/officeDocument/2006/relationships/hyperlink" Target="https://ref.ly/Num3:5-Num3:10" TargetMode="External"/><Relationship Id="rId10732" Type="http://schemas.openxmlformats.org/officeDocument/2006/relationships/hyperlink" Target="https://ref.ly/Num3:28" TargetMode="External"/><Relationship Id="rId10733" Type="http://schemas.openxmlformats.org/officeDocument/2006/relationships/hyperlink" Target="https://ref.ly/Num3:34" TargetMode="External"/><Relationship Id="rId10734" Type="http://schemas.openxmlformats.org/officeDocument/2006/relationships/hyperlink" Target="https://ref.ly/Num3:38" TargetMode="External"/><Relationship Id="rId10735" Type="http://schemas.openxmlformats.org/officeDocument/2006/relationships/hyperlink" Target="https://ref.ly/Num3:40-Num3:46" TargetMode="External"/><Relationship Id="rId10736" Type="http://schemas.openxmlformats.org/officeDocument/2006/relationships/hyperlink" Target="https://ref.ly/Num3:46-Num3:51" TargetMode="External"/><Relationship Id="rId10737" Type="http://schemas.openxmlformats.org/officeDocument/2006/relationships/hyperlink" Target="https://ref.ly/Num4:36" TargetMode="External"/><Relationship Id="rId10738" Type="http://schemas.openxmlformats.org/officeDocument/2006/relationships/hyperlink" Target="https://ref.ly/Num4:40" TargetMode="External"/><Relationship Id="rId10739" Type="http://schemas.openxmlformats.org/officeDocument/2006/relationships/hyperlink" Target="https://ref.ly/Num4:44" TargetMode="External"/><Relationship Id="rId10740" Type="http://schemas.openxmlformats.org/officeDocument/2006/relationships/hyperlink" Target="https://ref.ly/Num4:48" TargetMode="External"/><Relationship Id="rId10741" Type="http://schemas.openxmlformats.org/officeDocument/2006/relationships/hyperlink" Target="https://ref.ly/Num4:20" TargetMode="External"/><Relationship Id="rId10742" Type="http://schemas.openxmlformats.org/officeDocument/2006/relationships/hyperlink" Target="https://ref.ly/Num4:15" TargetMode="External"/><Relationship Id="rId10743" Type="http://schemas.openxmlformats.org/officeDocument/2006/relationships/hyperlink" Target="https://ref.ly/Num4:15,Num4:20" TargetMode="External"/><Relationship Id="rId10744" Type="http://schemas.openxmlformats.org/officeDocument/2006/relationships/hyperlink" Target="https://ref.ly/Num5:1-Num5:4" TargetMode="External"/><Relationship Id="rId10745" Type="http://schemas.openxmlformats.org/officeDocument/2006/relationships/hyperlink" Target="https://ref.ly/Num5:5-Num5:10" TargetMode="External"/><Relationship Id="rId10746" Type="http://schemas.openxmlformats.org/officeDocument/2006/relationships/hyperlink" Target="https://ref.ly/Num6:1-Num6:27" TargetMode="External"/><Relationship Id="rId10747" Type="http://schemas.openxmlformats.org/officeDocument/2006/relationships/hyperlink" Target="https://ref.ly/Num6:3-Num6:6" TargetMode="External"/><Relationship Id="rId10748" Type="http://schemas.openxmlformats.org/officeDocument/2006/relationships/hyperlink" Target="https://ref.ly/Num7:1-Num7:89" TargetMode="External"/><Relationship Id="rId10749" Type="http://schemas.openxmlformats.org/officeDocument/2006/relationships/hyperlink" Target="https://ref.ly/Num7:3" TargetMode="External"/><Relationship Id="rId10750" Type="http://schemas.openxmlformats.org/officeDocument/2006/relationships/hyperlink" Target="https://ref.ly/Num7:7" TargetMode="External"/><Relationship Id="rId10751" Type="http://schemas.openxmlformats.org/officeDocument/2006/relationships/hyperlink" Target="https://ref.ly/Num7:10,Num7:88" TargetMode="External"/><Relationship Id="rId10752" Type="http://schemas.openxmlformats.org/officeDocument/2006/relationships/hyperlink" Target="https://ref.ly/Num8:1-Num8:26" TargetMode="External"/><Relationship Id="rId10753" Type="http://schemas.openxmlformats.org/officeDocument/2006/relationships/hyperlink" Target="https://ref.ly/Num8:1-Num8:4" TargetMode="External"/><Relationship Id="rId10754" Type="http://schemas.openxmlformats.org/officeDocument/2006/relationships/hyperlink" Target="https://ref.ly/Num8:5-Num8:22" TargetMode="External"/><Relationship Id="rId10755" Type="http://schemas.openxmlformats.org/officeDocument/2006/relationships/hyperlink" Target="https://ref.ly/Num9:1-Num10:10" TargetMode="External"/><Relationship Id="rId10756" Type="http://schemas.openxmlformats.org/officeDocument/2006/relationships/hyperlink" Target="https://ref.ly/Num9:6-Num9:12" TargetMode="External"/><Relationship Id="rId10757" Type="http://schemas.openxmlformats.org/officeDocument/2006/relationships/hyperlink" Target="https://ref.ly/Num27:1-Num27:23" TargetMode="External"/><Relationship Id="rId10758" Type="http://schemas.openxmlformats.org/officeDocument/2006/relationships/hyperlink" Target="https://ref.ly/Num9:15-Num9:23" TargetMode="External"/><Relationship Id="rId10759" Type="http://schemas.openxmlformats.org/officeDocument/2006/relationships/hyperlink" Target="https://ref.ly/Num10:1-Num10:10" TargetMode="External"/><Relationship Id="rId10760" Type="http://schemas.openxmlformats.org/officeDocument/2006/relationships/hyperlink" Target="https://ref.ly/Num10:11-Num14:45" TargetMode="External"/><Relationship Id="rId10761" Type="http://schemas.openxmlformats.org/officeDocument/2006/relationships/hyperlink" Target="https://ref.ly/Num10:11" TargetMode="External"/><Relationship Id="rId10762" Type="http://schemas.openxmlformats.org/officeDocument/2006/relationships/hyperlink" Target="https://ref.ly/Num13:20" TargetMode="External"/><Relationship Id="rId10763" Type="http://schemas.openxmlformats.org/officeDocument/2006/relationships/hyperlink" Target="https://ref.ly/Num11:1-Num11:3" TargetMode="External"/><Relationship Id="rId10764" Type="http://schemas.openxmlformats.org/officeDocument/2006/relationships/hyperlink" Target="https://ref.ly/Num11:4-Num11:35" TargetMode="External"/><Relationship Id="rId10765" Type="http://schemas.openxmlformats.org/officeDocument/2006/relationships/hyperlink" Target="https://ref.ly/Ps78:26-Ps78:31" TargetMode="External"/><Relationship Id="rId10766" Type="http://schemas.openxmlformats.org/officeDocument/2006/relationships/hyperlink" Target="https://ref.ly/Ps106:13-Ps106:15" TargetMode="External"/><Relationship Id="rId10767" Type="http://schemas.openxmlformats.org/officeDocument/2006/relationships/hyperlink" Target="https://ref.ly/Num12:6-Num12:8" TargetMode="External"/><Relationship Id="rId10768" Type="http://schemas.openxmlformats.org/officeDocument/2006/relationships/hyperlink" Target="https://ref.ly/Num13:1-Num13:33" TargetMode="External"/><Relationship Id="rId10769" Type="http://schemas.openxmlformats.org/officeDocument/2006/relationships/hyperlink" Target="https://ref.ly/Deut1:22" TargetMode="External"/><Relationship Id="rId10770" Type="http://schemas.openxmlformats.org/officeDocument/2006/relationships/hyperlink" Target="https://ref.ly/Num14:21" TargetMode="External"/><Relationship Id="rId10771" Type="http://schemas.openxmlformats.org/officeDocument/2006/relationships/hyperlink" Target="https://ref.ly/Heb3:7-Heb4:10" TargetMode="External"/><Relationship Id="rId10772" Type="http://schemas.openxmlformats.org/officeDocument/2006/relationships/hyperlink" Target="https://ref.ly/Num14:21-Num14:35" TargetMode="External"/><Relationship Id="rId10773" Type="http://schemas.openxmlformats.org/officeDocument/2006/relationships/hyperlink" Target="https://ref.ly/Num14:37" TargetMode="External"/><Relationship Id="rId10774" Type="http://schemas.openxmlformats.org/officeDocument/2006/relationships/hyperlink" Target="https://ref.ly/Deut1:42" TargetMode="External"/><Relationship Id="rId10775" Type="http://schemas.openxmlformats.org/officeDocument/2006/relationships/hyperlink" Target="https://ref.ly/Num15:1-Num21:20" TargetMode="External"/><Relationship Id="rId10776" Type="http://schemas.openxmlformats.org/officeDocument/2006/relationships/hyperlink" Target="https://ref.ly/Num15:1-Num15:41" TargetMode="External"/><Relationship Id="rId10777" Type="http://schemas.openxmlformats.org/officeDocument/2006/relationships/hyperlink" Target="https://ref.ly/Num15:1-Num15:21" TargetMode="External"/><Relationship Id="rId10778" Type="http://schemas.openxmlformats.org/officeDocument/2006/relationships/hyperlink" Target="https://ref.ly/Num15:22-Num15:31" TargetMode="External"/><Relationship Id="rId10779" Type="http://schemas.openxmlformats.org/officeDocument/2006/relationships/hyperlink" Target="https://ref.ly/Num16:1-Num16:50" TargetMode="External"/><Relationship Id="rId10780" Type="http://schemas.openxmlformats.org/officeDocument/2006/relationships/hyperlink" Target="https://ref.ly/Num16:1-Num16:14" TargetMode="External"/><Relationship Id="rId10781" Type="http://schemas.openxmlformats.org/officeDocument/2006/relationships/hyperlink" Target="https://ref.ly/Num16:32" TargetMode="External"/><Relationship Id="rId10782" Type="http://schemas.openxmlformats.org/officeDocument/2006/relationships/hyperlink" Target="https://ref.ly/Deut9:6" TargetMode="External"/><Relationship Id="rId10783" Type="http://schemas.openxmlformats.org/officeDocument/2006/relationships/hyperlink" Target="https://ref.ly/Ps106:16-Ps106:18" TargetMode="External"/><Relationship Id="rId10784" Type="http://schemas.openxmlformats.org/officeDocument/2006/relationships/hyperlink" Target="https://ref.ly/Ps42:1-Ps49:20" TargetMode="External"/><Relationship Id="rId10785" Type="http://schemas.openxmlformats.org/officeDocument/2006/relationships/hyperlink" Target="https://ref.ly/Ps84:1-Ps85:13" TargetMode="External"/><Relationship Id="rId10786" Type="http://schemas.openxmlformats.org/officeDocument/2006/relationships/hyperlink" Target="https://ref.ly/Ps87:1-Ps88:18" TargetMode="External"/><Relationship Id="rId10787" Type="http://schemas.openxmlformats.org/officeDocument/2006/relationships/hyperlink" Target="https://ref.ly/Num17:1-Num17:13" TargetMode="External"/><Relationship Id="rId10788" Type="http://schemas.openxmlformats.org/officeDocument/2006/relationships/hyperlink" Target="https://ref.ly/Num18:1-Num19:14" TargetMode="External"/><Relationship Id="rId10789" Type="http://schemas.openxmlformats.org/officeDocument/2006/relationships/hyperlink" Target="https://ref.ly/Num18:1-Num18:7" TargetMode="External"/><Relationship Id="rId10790" Type="http://schemas.openxmlformats.org/officeDocument/2006/relationships/hyperlink" Target="https://ref.ly/Num18:6" TargetMode="External"/><Relationship Id="rId10791" Type="http://schemas.openxmlformats.org/officeDocument/2006/relationships/hyperlink" Target="https://ref.ly/Num18:8-Num18:20" TargetMode="External"/><Relationship Id="rId10792" Type="http://schemas.openxmlformats.org/officeDocument/2006/relationships/hyperlink" Target="https://ref.ly/Num19:1-Num19:22" TargetMode="External"/><Relationship Id="rId10793" Type="http://schemas.openxmlformats.org/officeDocument/2006/relationships/hyperlink" Target="https://ref.ly/Num19:11-Num19:16" TargetMode="External"/><Relationship Id="rId10794" Type="http://schemas.openxmlformats.org/officeDocument/2006/relationships/hyperlink" Target="https://ref.ly/Num19:9,Num19:17" TargetMode="External"/><Relationship Id="rId10795" Type="http://schemas.openxmlformats.org/officeDocument/2006/relationships/hyperlink" Target="https://ref.ly/Num20:1-Num20:29" TargetMode="External"/><Relationship Id="rId10796" Type="http://schemas.openxmlformats.org/officeDocument/2006/relationships/hyperlink" Target="https://ref.ly/Num33:1-Num33:56" TargetMode="External"/><Relationship Id="rId10797" Type="http://schemas.openxmlformats.org/officeDocument/2006/relationships/hyperlink" Target="https://ref.ly/Num33:18-Num33:36" TargetMode="External"/><Relationship Id="rId10798" Type="http://schemas.openxmlformats.org/officeDocument/2006/relationships/hyperlink" Target="https://ref.ly/Num20:2" TargetMode="External"/><Relationship Id="rId10799" Type="http://schemas.openxmlformats.org/officeDocument/2006/relationships/hyperlink" Target="https://ref.ly/Num20:8-Num20:11" TargetMode="External"/><Relationship Id="rId10800" Type="http://schemas.openxmlformats.org/officeDocument/2006/relationships/hyperlink" Target="https://ref.ly/Num20:12,Num20:23-Num20:24" TargetMode="External"/><Relationship Id="rId10801" Type="http://schemas.openxmlformats.org/officeDocument/2006/relationships/hyperlink" Target="https://ref.ly/Num20:22-Num20:29" TargetMode="External"/><Relationship Id="rId10802" Type="http://schemas.openxmlformats.org/officeDocument/2006/relationships/hyperlink" Target="https://ref.ly/Num33:38" TargetMode="External"/><Relationship Id="rId10803" Type="http://schemas.openxmlformats.org/officeDocument/2006/relationships/hyperlink" Target="https://ref.ly/Num21:1-Num21:35" TargetMode="External"/><Relationship Id="rId10804" Type="http://schemas.openxmlformats.org/officeDocument/2006/relationships/hyperlink" Target="https://ref.ly/Num21:4-Num21:10" TargetMode="External"/><Relationship Id="rId10805" Type="http://schemas.openxmlformats.org/officeDocument/2006/relationships/hyperlink" Target="https://ref.ly/John3:14-John3:15" TargetMode="External"/><Relationship Id="rId10806" Type="http://schemas.openxmlformats.org/officeDocument/2006/relationships/hyperlink" Target="https://ref.ly/Num21:10-Num21:20" TargetMode="External"/><Relationship Id="rId10807" Type="http://schemas.openxmlformats.org/officeDocument/2006/relationships/hyperlink" Target="https://ref.ly/Num21:21-Num21:31" TargetMode="External"/><Relationship Id="rId10808" Type="http://schemas.openxmlformats.org/officeDocument/2006/relationships/hyperlink" Target="https://ref.ly/Josh1:1-Josh3:17" TargetMode="External"/><Relationship Id="rId10809" Type="http://schemas.openxmlformats.org/officeDocument/2006/relationships/hyperlink" Target="https://ref.ly/Amos5:25" TargetMode="External"/><Relationship Id="rId10810" Type="http://schemas.openxmlformats.org/officeDocument/2006/relationships/hyperlink" Target="https://ref.ly/Num23:7-Num23:10,Num23:18-Num23:24" TargetMode="External"/><Relationship Id="rId10811" Type="http://schemas.openxmlformats.org/officeDocument/2006/relationships/hyperlink" Target="https://ref.ly/Num24:3-Num24:9,Num24:15-Num24:19" TargetMode="External"/><Relationship Id="rId10812" Type="http://schemas.openxmlformats.org/officeDocument/2006/relationships/hyperlink" Target="https://ref.ly/Num24:21" TargetMode="External"/><Relationship Id="rId10813" Type="http://schemas.openxmlformats.org/officeDocument/2006/relationships/hyperlink" Target="https://ref.ly/Num25:4-Num25:14" TargetMode="External"/><Relationship Id="rId10814" Type="http://schemas.openxmlformats.org/officeDocument/2006/relationships/hyperlink" Target="https://ref.ly/Num26:57-Num26:62" TargetMode="External"/><Relationship Id="rId10815" Type="http://schemas.openxmlformats.org/officeDocument/2006/relationships/hyperlink" Target="https://ref.ly/Num30:2" TargetMode="External"/><Relationship Id="rId10816" Type="http://schemas.openxmlformats.org/officeDocument/2006/relationships/hyperlink" Target="https://ref.ly/Num31:1-Num31:8" TargetMode="External"/><Relationship Id="rId10817" Type="http://schemas.openxmlformats.org/officeDocument/2006/relationships/hyperlink" Target="https://ref.ly/Num31:9-Num31:18" TargetMode="External"/><Relationship Id="rId10818" Type="http://schemas.openxmlformats.org/officeDocument/2006/relationships/hyperlink" Target="https://ref.ly/Judg6:1-Judg6:40" TargetMode="External"/><Relationship Id="rId10819" Type="http://schemas.openxmlformats.org/officeDocument/2006/relationships/hyperlink" Target="https://ref.ly/Num31:19-Num31:24" TargetMode="External"/><Relationship Id="rId10820" Type="http://schemas.openxmlformats.org/officeDocument/2006/relationships/hyperlink" Target="https://ref.ly/Num31:25-Num31:31" TargetMode="External"/><Relationship Id="rId10821" Type="http://schemas.openxmlformats.org/officeDocument/2006/relationships/hyperlink" Target="https://ref.ly/Num31:32-Num31:47" TargetMode="External"/><Relationship Id="rId10822" Type="http://schemas.openxmlformats.org/officeDocument/2006/relationships/hyperlink" Target="https://ref.ly/Num31:49" TargetMode="External"/><Relationship Id="rId10823" Type="http://schemas.openxmlformats.org/officeDocument/2006/relationships/hyperlink" Target="https://ref.ly/Num31:48-Num31:54" TargetMode="External"/><Relationship Id="rId10824" Type="http://schemas.openxmlformats.org/officeDocument/2006/relationships/hyperlink" Target="https://ref.ly/Deut3:23-Deut3:27" TargetMode="External"/><Relationship Id="rId10825" Type="http://schemas.openxmlformats.org/officeDocument/2006/relationships/hyperlink" Target="https://ref.ly/Num33:1-Num34:29" TargetMode="External"/><Relationship Id="rId10826" Type="http://schemas.openxmlformats.org/officeDocument/2006/relationships/hyperlink" Target="https://ref.ly/Num34:3-Num34:5" TargetMode="External"/><Relationship Id="rId10827" Type="http://schemas.openxmlformats.org/officeDocument/2006/relationships/hyperlink" Target="https://ref.ly/Num34:6" TargetMode="External"/><Relationship Id="rId10828" Type="http://schemas.openxmlformats.org/officeDocument/2006/relationships/hyperlink" Target="https://ref.ly/2Sam8:3-2Sam8:12" TargetMode="External"/><Relationship Id="rId10829" Type="http://schemas.openxmlformats.org/officeDocument/2006/relationships/hyperlink" Target="https://ref.ly/Num34:7-Num34:9" TargetMode="External"/><Relationship Id="rId10830" Type="http://schemas.openxmlformats.org/officeDocument/2006/relationships/hyperlink" Target="https://ref.ly/Num34:10-Num34:12" TargetMode="External"/><Relationship Id="rId10831" Type="http://schemas.openxmlformats.org/officeDocument/2006/relationships/hyperlink" Target="https://ref.ly/Num34:13-Num34:15" TargetMode="External"/><Relationship Id="rId10832" Type="http://schemas.openxmlformats.org/officeDocument/2006/relationships/hyperlink" Target="https://ref.ly/Num34:16-Num34:29" TargetMode="External"/><Relationship Id="rId10833" Type="http://schemas.openxmlformats.org/officeDocument/2006/relationships/hyperlink" Target="https://ref.ly/Num35:8" TargetMode="External"/><Relationship Id="rId10834" Type="http://schemas.openxmlformats.org/officeDocument/2006/relationships/hyperlink" Target="https://ref.ly/Num35:6" TargetMode="External"/><Relationship Id="rId10835" Type="http://schemas.openxmlformats.org/officeDocument/2006/relationships/hyperlink" Target="https://ref.ly/Num35:16-Num35:21" TargetMode="External"/><Relationship Id="rId10836" Type="http://schemas.openxmlformats.org/officeDocument/2006/relationships/hyperlink" Target="https://ref.ly/Num35:22-Num35:34" TargetMode="External"/><Relationship Id="rId10837" Type="http://schemas.openxmlformats.org/officeDocument/2006/relationships/hyperlink" Target="https://ref.ly/Num36:1-Num36:13" TargetMode="External"/><Relationship Id="rId10838" Type="http://schemas.openxmlformats.org/officeDocument/2006/relationships/hyperlink" Target="https://ref.ly/Num26:1-Num36:12" TargetMode="External"/><Relationship Id="rId10839" Type="http://schemas.openxmlformats.org/officeDocument/2006/relationships/hyperlink" Target="https://ref.ly/Lev27:34" TargetMode="External"/><Relationship Id="rId10840" Type="http://schemas.openxmlformats.org/officeDocument/2006/relationships/hyperlink" Target="https://ref.ly/Num23:19" TargetMode="External"/><Relationship Id="rId10841" Type="http://schemas.openxmlformats.org/officeDocument/2006/relationships/hyperlink" Target="https://ref.ly/Num11:23" TargetMode="External"/><Relationship Id="rId10842" Type="http://schemas.openxmlformats.org/officeDocument/2006/relationships/hyperlink" Target="https://ref.ly/Acts7:37-Acts7:38" TargetMode="External"/><Relationship Id="rId10843" Type="http://schemas.openxmlformats.org/officeDocument/2006/relationships/hyperlink" Target="https://ref.ly/Num11:2" TargetMode="External"/><Relationship Id="rId10844" Type="http://schemas.openxmlformats.org/officeDocument/2006/relationships/hyperlink" Target="https://ref.ly/Num12:13" TargetMode="External"/><Relationship Id="rId10845" Type="http://schemas.openxmlformats.org/officeDocument/2006/relationships/hyperlink" Target="https://ref.ly/Num14:19" TargetMode="External"/><Relationship Id="rId10846" Type="http://schemas.openxmlformats.org/officeDocument/2006/relationships/hyperlink" Target="https://ref.ly/Num19:9" TargetMode="External"/><Relationship Id="rId10847" Type="http://schemas.openxmlformats.org/officeDocument/2006/relationships/hyperlink" Target="https://ref.ly/Num32:23" TargetMode="External"/><Relationship Id="rId10848" Type="http://schemas.openxmlformats.org/officeDocument/2006/relationships/hyperlink" Target="https://ref.ly/Gen21:7" TargetMode="External"/><Relationship Id="rId10849" Type="http://schemas.openxmlformats.org/officeDocument/2006/relationships/hyperlink" Target="https://ref.ly/1Sam1:23" TargetMode="External"/><Relationship Id="rId10850" Type="http://schemas.openxmlformats.org/officeDocument/2006/relationships/hyperlink" Target="https://ref.ly/Exod2:7" TargetMode="External"/><Relationship Id="rId10851" Type="http://schemas.openxmlformats.org/officeDocument/2006/relationships/hyperlink" Target="https://ref.ly/2Kgs11:2" TargetMode="External"/><Relationship Id="rId10852" Type="http://schemas.openxmlformats.org/officeDocument/2006/relationships/hyperlink" Target="https://ref.ly/1Sam1:23-1Sam1:24" TargetMode="External"/><Relationship Id="rId10853" Type="http://schemas.openxmlformats.org/officeDocument/2006/relationships/hyperlink" Target="https://ref.ly/2Sam4:4" TargetMode="External"/><Relationship Id="rId10854" Type="http://schemas.openxmlformats.org/officeDocument/2006/relationships/hyperlink" Target="https://ref.ly/Ruth4:16" TargetMode="External"/><Relationship Id="rId10855" Type="http://schemas.openxmlformats.org/officeDocument/2006/relationships/hyperlink" Target="https://ref.ly/2Kgs10:1" TargetMode="External"/><Relationship Id="rId10856" Type="http://schemas.openxmlformats.org/officeDocument/2006/relationships/hyperlink" Target="https://ref.ly/2Kgs10:5" TargetMode="External"/><Relationship Id="rId10857" Type="http://schemas.openxmlformats.org/officeDocument/2006/relationships/hyperlink" Target="https://ref.ly/Num11:12" TargetMode="External"/><Relationship Id="rId10858" Type="http://schemas.openxmlformats.org/officeDocument/2006/relationships/hyperlink" Target="https://ref.ly/1Thess2:7" TargetMode="External"/><Relationship Id="rId10859" Type="http://schemas.openxmlformats.org/officeDocument/2006/relationships/hyperlink" Target="https://ref.ly/Isa65:17" TargetMode="External"/><Relationship Id="rId10860" Type="http://schemas.openxmlformats.org/officeDocument/2006/relationships/hyperlink" Target="https://ref.ly/Isa66:22" TargetMode="External"/><Relationship Id="rId10861" Type="http://schemas.openxmlformats.org/officeDocument/2006/relationships/hyperlink" Target="https://ref.ly/Ps102:25" TargetMode="External"/><Relationship Id="rId10862" Type="http://schemas.openxmlformats.org/officeDocument/2006/relationships/hyperlink" Target="https://ref.ly/Ps102:26" TargetMode="External"/><Relationship Id="rId10863" Type="http://schemas.openxmlformats.org/officeDocument/2006/relationships/hyperlink" Target="https://ref.ly/Isa51:6" TargetMode="External"/><Relationship Id="rId10864" Type="http://schemas.openxmlformats.org/officeDocument/2006/relationships/hyperlink" Target="https://ref.ly/Isa34:4" TargetMode="External"/><Relationship Id="rId10865" Type="http://schemas.openxmlformats.org/officeDocument/2006/relationships/hyperlink" Target="https://ref.ly/Matt24:35" TargetMode="External"/><Relationship Id="rId10866" Type="http://schemas.openxmlformats.org/officeDocument/2006/relationships/hyperlink" Target="https://ref.ly/Heb1:11" TargetMode="External"/><Relationship Id="rId10867" Type="http://schemas.openxmlformats.org/officeDocument/2006/relationships/hyperlink" Target="https://ref.ly/2Pet3:10" TargetMode="External"/><Relationship Id="rId10868" Type="http://schemas.openxmlformats.org/officeDocument/2006/relationships/hyperlink" Target="https://ref.ly/2Pet3:12" TargetMode="External"/><Relationship Id="rId10869" Type="http://schemas.openxmlformats.org/officeDocument/2006/relationships/hyperlink" Target="https://ref.ly/Acts3:21" TargetMode="External"/><Relationship Id="rId10870" Type="http://schemas.openxmlformats.org/officeDocument/2006/relationships/hyperlink" Target="https://ref.ly/Rom8:19" TargetMode="External"/><Relationship Id="rId10871" Type="http://schemas.openxmlformats.org/officeDocument/2006/relationships/hyperlink" Target="https://ref.ly/Rev21:2,Rev21:10" TargetMode="External"/><Relationship Id="rId10872" Type="http://schemas.openxmlformats.org/officeDocument/2006/relationships/hyperlink" Target="https://ref.ly/Isa54:10" TargetMode="External"/><Relationship Id="rId10873" Type="http://schemas.openxmlformats.org/officeDocument/2006/relationships/hyperlink" Target="https://ref.ly/Ps33:6-Ps33:11" TargetMode="External"/><Relationship Id="rId10874" Type="http://schemas.openxmlformats.org/officeDocument/2006/relationships/hyperlink" Target="https://ref.ly/Ps104:1-Ps104:35" TargetMode="External"/><Relationship Id="rId10875" Type="http://schemas.openxmlformats.org/officeDocument/2006/relationships/hyperlink" Target="https://ref.ly/Matt6:25-Matt6:32" TargetMode="External"/><Relationship Id="rId10876" Type="http://schemas.openxmlformats.org/officeDocument/2006/relationships/hyperlink" Target="https://ref.ly/Gen3:17-Gen3:18" TargetMode="External"/><Relationship Id="rId10877" Type="http://schemas.openxmlformats.org/officeDocument/2006/relationships/hyperlink" Target="https://ref.ly/Rom8:20-Rom8:21" TargetMode="External"/><Relationship Id="rId10878" Type="http://schemas.openxmlformats.org/officeDocument/2006/relationships/hyperlink" Target="https://ref.ly/Isa40:1-Isa66:24" TargetMode="External"/><Relationship Id="rId10879" Type="http://schemas.openxmlformats.org/officeDocument/2006/relationships/hyperlink" Target="https://ref.ly/Isa40:12-Isa40:31" TargetMode="External"/><Relationship Id="rId10880" Type="http://schemas.openxmlformats.org/officeDocument/2006/relationships/hyperlink" Target="https://ref.ly/Isa44:24" TargetMode="External"/><Relationship Id="rId10881" Type="http://schemas.openxmlformats.org/officeDocument/2006/relationships/hyperlink" Target="https://ref.ly/Isa45:18" TargetMode="External"/><Relationship Id="rId10882" Type="http://schemas.openxmlformats.org/officeDocument/2006/relationships/hyperlink" Target="https://ref.ly/Isa48:13" TargetMode="External"/><Relationship Id="rId10883" Type="http://schemas.openxmlformats.org/officeDocument/2006/relationships/hyperlink" Target="https://ref.ly/Isa51:16" TargetMode="External"/><Relationship Id="rId10884" Type="http://schemas.openxmlformats.org/officeDocument/2006/relationships/hyperlink" Target="https://ref.ly/Isa48:12" TargetMode="External"/><Relationship Id="rId10885" Type="http://schemas.openxmlformats.org/officeDocument/2006/relationships/hyperlink" Target="https://ref.ly/Col1:15-Col1:18" TargetMode="External"/><Relationship Id="rId10886" Type="http://schemas.openxmlformats.org/officeDocument/2006/relationships/hyperlink" Target="https://ref.ly/Heb1:2-Heb1:3" TargetMode="External"/><Relationship Id="rId10887" Type="http://schemas.openxmlformats.org/officeDocument/2006/relationships/hyperlink" Target="https://ref.ly/Rev3:14" TargetMode="External"/><Relationship Id="rId10888" Type="http://schemas.openxmlformats.org/officeDocument/2006/relationships/hyperlink" Target="https://ref.ly/Gal4:4" TargetMode="External"/><Relationship Id="rId10889" Type="http://schemas.openxmlformats.org/officeDocument/2006/relationships/hyperlink" Target="https://ref.ly/1Cor15:45-1Cor15:47" TargetMode="External"/><Relationship Id="rId10890" Type="http://schemas.openxmlformats.org/officeDocument/2006/relationships/hyperlink" Target="https://ref.ly/Rom1:1-Rom1:32" TargetMode="External"/><Relationship Id="rId10891" Type="http://schemas.openxmlformats.org/officeDocument/2006/relationships/hyperlink" Target="https://ref.ly/1Cor15:42-1Cor15:49" TargetMode="External"/><Relationship Id="rId10892" Type="http://schemas.openxmlformats.org/officeDocument/2006/relationships/hyperlink" Target="https://ref.ly/1Cor15:12-1Cor15:20" TargetMode="External"/><Relationship Id="rId10893" Type="http://schemas.openxmlformats.org/officeDocument/2006/relationships/hyperlink" Target="https://ref.ly/1Cor7:31" TargetMode="External"/><Relationship Id="rId10894" Type="http://schemas.openxmlformats.org/officeDocument/2006/relationships/hyperlink" Target="https://ref.ly/Matt12:28" TargetMode="External"/><Relationship Id="rId10895" Type="http://schemas.openxmlformats.org/officeDocument/2006/relationships/hyperlink" Target="https://ref.ly/Matt8:11" TargetMode="External"/><Relationship Id="rId10896" Type="http://schemas.openxmlformats.org/officeDocument/2006/relationships/hyperlink" Target="https://ref.ly/Eph1:21" TargetMode="External"/><Relationship Id="rId10897" Type="http://schemas.openxmlformats.org/officeDocument/2006/relationships/hyperlink" Target="https://ref.ly/2Cor5:17-2Cor5:19" TargetMode="External"/><Relationship Id="rId10898" Type="http://schemas.openxmlformats.org/officeDocument/2006/relationships/hyperlink" Target="https://ref.ly/Eph2:5-Eph2:6" TargetMode="External"/><Relationship Id="rId10899" Type="http://schemas.openxmlformats.org/officeDocument/2006/relationships/hyperlink" Target="https://ref.ly/Eph2:10" TargetMode="External"/><Relationship Id="rId10900" Type="http://schemas.openxmlformats.org/officeDocument/2006/relationships/hyperlink" Target="https://ref.ly/2Cor4:16" TargetMode="External"/><Relationship Id="rId10901" Type="http://schemas.openxmlformats.org/officeDocument/2006/relationships/hyperlink" Target="https://ref.ly/2Cor5:7" TargetMode="External"/><Relationship Id="rId10902" Type="http://schemas.openxmlformats.org/officeDocument/2006/relationships/hyperlink" Target="https://ref.ly/Rev21:1-Rev21:4" TargetMode="External"/><Relationship Id="rId10903" Type="http://schemas.openxmlformats.org/officeDocument/2006/relationships/hyperlink" Target="https://ref.ly/2Pet3:10-2Pet3:12" TargetMode="External"/><Relationship Id="rId10904" Type="http://schemas.openxmlformats.org/officeDocument/2006/relationships/hyperlink" Target="https://ref.ly/Rev22:1-Rev22:21" TargetMode="External"/><Relationship Id="rId10905" Type="http://schemas.openxmlformats.org/officeDocument/2006/relationships/hyperlink" Target="https://ref.ly/Rev6:12-Rev6:14" TargetMode="External"/><Relationship Id="rId10906" Type="http://schemas.openxmlformats.org/officeDocument/2006/relationships/hyperlink" Target="https://ref.ly/Rom8:19-Rom8:23" TargetMode="External"/><Relationship Id="rId10907" Type="http://schemas.openxmlformats.org/officeDocument/2006/relationships/hyperlink" Target="https://ref.ly/Matt2:14" TargetMode="External"/><Relationship Id="rId10908" Type="http://schemas.openxmlformats.org/officeDocument/2006/relationships/hyperlink" Target="https://ref.ly/Luke2:8" TargetMode="External"/><Relationship Id="rId10909" Type="http://schemas.openxmlformats.org/officeDocument/2006/relationships/hyperlink" Target="https://ref.ly/John3:2" TargetMode="External"/><Relationship Id="rId10910" Type="http://schemas.openxmlformats.org/officeDocument/2006/relationships/hyperlink" Target="https://ref.ly/Gen1:5" TargetMode="External"/><Relationship Id="rId10911" Type="http://schemas.openxmlformats.org/officeDocument/2006/relationships/hyperlink" Target="https://ref.ly/Gen1:16-Gen1:18" TargetMode="External"/><Relationship Id="rId10912" Type="http://schemas.openxmlformats.org/officeDocument/2006/relationships/hyperlink" Target="https://ref.ly/Judg7:19" TargetMode="External"/><Relationship Id="rId10913" Type="http://schemas.openxmlformats.org/officeDocument/2006/relationships/hyperlink" Target="https://ref.ly/Matt14:25" TargetMode="External"/><Relationship Id="rId10914" Type="http://schemas.openxmlformats.org/officeDocument/2006/relationships/hyperlink" Target="https://ref.ly/Mark5:5" TargetMode="External"/><Relationship Id="rId10915" Type="http://schemas.openxmlformats.org/officeDocument/2006/relationships/hyperlink" Target="https://ref.ly/1Thess3:10" TargetMode="External"/><Relationship Id="rId10916" Type="http://schemas.openxmlformats.org/officeDocument/2006/relationships/hyperlink" Target="https://ref.ly/Rom13:12" TargetMode="External"/><Relationship Id="rId10917" Type="http://schemas.openxmlformats.org/officeDocument/2006/relationships/hyperlink" Target="https://ref.ly/Gen36:20-Gen36:21" TargetMode="External"/><Relationship Id="rId10918" Type="http://schemas.openxmlformats.org/officeDocument/2006/relationships/hyperlink" Target="https://ref.ly/Gen30:9-Gen30:13" TargetMode="External"/><Relationship Id="rId10919" Type="http://schemas.openxmlformats.org/officeDocument/2006/relationships/hyperlink" Target="https://ref.ly/Gen16:4-Gen16:6" TargetMode="External"/><Relationship Id="rId10920" Type="http://schemas.openxmlformats.org/officeDocument/2006/relationships/hyperlink" Target="https://ref.ly/Gen31:19" TargetMode="External"/><Relationship Id="rId10921" Type="http://schemas.openxmlformats.org/officeDocument/2006/relationships/hyperlink" Target="https://ref.ly/Gen31:30-Gen31:35" TargetMode="External"/><Relationship Id="rId10922" Type="http://schemas.openxmlformats.org/officeDocument/2006/relationships/hyperlink" Target="https://ref.ly/Gen31:50" TargetMode="External"/><Relationship Id="rId10923" Type="http://schemas.openxmlformats.org/officeDocument/2006/relationships/hyperlink" Target="https://ref.ly/Gen1:2,Gen1:4-Gen1:5,Gen1:18" TargetMode="External"/><Relationship Id="rId10924" Type="http://schemas.openxmlformats.org/officeDocument/2006/relationships/hyperlink" Target="https://ref.ly/Exod10:21-Exod10:23" TargetMode="External"/><Relationship Id="rId10925" Type="http://schemas.openxmlformats.org/officeDocument/2006/relationships/hyperlink" Target="https://ref.ly/Job24:16-Job24:17" TargetMode="External"/><Relationship Id="rId10926" Type="http://schemas.openxmlformats.org/officeDocument/2006/relationships/hyperlink" Target="https://ref.ly/Matt27:45" TargetMode="External"/><Relationship Id="rId10927" Type="http://schemas.openxmlformats.org/officeDocument/2006/relationships/hyperlink" Target="https://ref.ly/Mark15:33" TargetMode="External"/><Relationship Id="rId10928" Type="http://schemas.openxmlformats.org/officeDocument/2006/relationships/hyperlink" Target="https://ref.ly/Luke23:44" TargetMode="External"/><Relationship Id="rId10929" Type="http://schemas.openxmlformats.org/officeDocument/2006/relationships/hyperlink" Target="https://ref.ly/Exod20:21" TargetMode="External"/><Relationship Id="rId10930" Type="http://schemas.openxmlformats.org/officeDocument/2006/relationships/hyperlink" Target="https://ref.ly/Deut4:11" TargetMode="External"/><Relationship Id="rId10931" Type="http://schemas.openxmlformats.org/officeDocument/2006/relationships/hyperlink" Target="https://ref.ly/Deut5:23" TargetMode="External"/><Relationship Id="rId10932" Type="http://schemas.openxmlformats.org/officeDocument/2006/relationships/hyperlink" Target="https://ref.ly/2Sam22:12" TargetMode="External"/><Relationship Id="rId10933" Type="http://schemas.openxmlformats.org/officeDocument/2006/relationships/hyperlink" Target="https://ref.ly/Ps18:11" TargetMode="External"/><Relationship Id="rId10934" Type="http://schemas.openxmlformats.org/officeDocument/2006/relationships/hyperlink" Target="https://ref.ly/Ps97:2" TargetMode="External"/><Relationship Id="rId10935" Type="http://schemas.openxmlformats.org/officeDocument/2006/relationships/hyperlink" Target="https://ref.ly/Job26:10" TargetMode="External"/><Relationship Id="rId10936" Type="http://schemas.openxmlformats.org/officeDocument/2006/relationships/hyperlink" Target="https://ref.ly/Ps104:20" TargetMode="External"/><Relationship Id="rId10937" Type="http://schemas.openxmlformats.org/officeDocument/2006/relationships/hyperlink" Target="https://ref.ly/Ps105:28" TargetMode="External"/><Relationship Id="rId10938" Type="http://schemas.openxmlformats.org/officeDocument/2006/relationships/hyperlink" Target="https://ref.ly/Isa45:7" TargetMode="External"/><Relationship Id="rId10939" Type="http://schemas.openxmlformats.org/officeDocument/2006/relationships/hyperlink" Target="https://ref.ly/1Kgs8:12" TargetMode="External"/><Relationship Id="rId10940" Type="http://schemas.openxmlformats.org/officeDocument/2006/relationships/hyperlink" Target="https://ref.ly/2Chr6:1" TargetMode="External"/><Relationship Id="rId10941" Type="http://schemas.openxmlformats.org/officeDocument/2006/relationships/hyperlink" Target="https://ref.ly/2Sam22:10" TargetMode="External"/><Relationship Id="rId10942" Type="http://schemas.openxmlformats.org/officeDocument/2006/relationships/hyperlink" Target="https://ref.ly/Ps18:9" TargetMode="External"/><Relationship Id="rId10943" Type="http://schemas.openxmlformats.org/officeDocument/2006/relationships/hyperlink" Target="https://ref.ly/Job12:24-Job12:25" TargetMode="External"/><Relationship Id="rId10944" Type="http://schemas.openxmlformats.org/officeDocument/2006/relationships/hyperlink" Target="https://ref.ly/John12:35,John12:46" TargetMode="External"/><Relationship Id="rId10945" Type="http://schemas.openxmlformats.org/officeDocument/2006/relationships/hyperlink" Target="https://ref.ly/1John2:8-1John2:9,1John2:11" TargetMode="External"/><Relationship Id="rId10946" Type="http://schemas.openxmlformats.org/officeDocument/2006/relationships/hyperlink" Target="https://ref.ly/Job3:4-Job3:6" TargetMode="External"/><Relationship Id="rId10947" Type="http://schemas.openxmlformats.org/officeDocument/2006/relationships/hyperlink" Target="https://ref.ly/Job10:21-Job10:22" TargetMode="External"/><Relationship Id="rId10948" Type="http://schemas.openxmlformats.org/officeDocument/2006/relationships/hyperlink" Target="https://ref.ly/Job15:24" TargetMode="External"/><Relationship Id="rId10949" Type="http://schemas.openxmlformats.org/officeDocument/2006/relationships/hyperlink" Target="https://ref.ly/Job17:12-Job17:13" TargetMode="External"/><Relationship Id="rId10950" Type="http://schemas.openxmlformats.org/officeDocument/2006/relationships/hyperlink" Target="https://ref.ly/Job18:18" TargetMode="External"/><Relationship Id="rId10951" Type="http://schemas.openxmlformats.org/officeDocument/2006/relationships/hyperlink" Target="https://ref.ly/Eccl6:4" TargetMode="External"/><Relationship Id="rId10952" Type="http://schemas.openxmlformats.org/officeDocument/2006/relationships/hyperlink" Target="https://ref.ly/Eccl11:8" TargetMode="External"/><Relationship Id="rId10953" Type="http://schemas.openxmlformats.org/officeDocument/2006/relationships/hyperlink" Target="https://ref.ly/Gen15:12" TargetMode="External"/><Relationship Id="rId10954" Type="http://schemas.openxmlformats.org/officeDocument/2006/relationships/hyperlink" Target="https://ref.ly/Job5:14" TargetMode="External"/><Relationship Id="rId10955" Type="http://schemas.openxmlformats.org/officeDocument/2006/relationships/hyperlink" Target="https://ref.ly/Job15:22,Job15:30" TargetMode="External"/><Relationship Id="rId10956" Type="http://schemas.openxmlformats.org/officeDocument/2006/relationships/hyperlink" Target="https://ref.ly/Job19:8" TargetMode="External"/><Relationship Id="rId10957" Type="http://schemas.openxmlformats.org/officeDocument/2006/relationships/hyperlink" Target="https://ref.ly/Job22:11" TargetMode="External"/><Relationship Id="rId10958" Type="http://schemas.openxmlformats.org/officeDocument/2006/relationships/hyperlink" Target="https://ref.ly/Ps35:6" TargetMode="External"/><Relationship Id="rId10959" Type="http://schemas.openxmlformats.org/officeDocument/2006/relationships/hyperlink" Target="https://ref.ly/Ps107:10,Ps107:14" TargetMode="External"/><Relationship Id="rId10960" Type="http://schemas.openxmlformats.org/officeDocument/2006/relationships/hyperlink" Target="https://ref.ly/Eccl5:17" TargetMode="External"/><Relationship Id="rId10961" Type="http://schemas.openxmlformats.org/officeDocument/2006/relationships/hyperlink" Target="https://ref.ly/Prov2:13" TargetMode="External"/><Relationship Id="rId10962" Type="http://schemas.openxmlformats.org/officeDocument/2006/relationships/hyperlink" Target="https://ref.ly/Prov4:19" TargetMode="External"/><Relationship Id="rId10963" Type="http://schemas.openxmlformats.org/officeDocument/2006/relationships/hyperlink" Target="https://ref.ly/Isa5:20" TargetMode="External"/><Relationship Id="rId10964" Type="http://schemas.openxmlformats.org/officeDocument/2006/relationships/hyperlink" Target="https://ref.ly/Isa60:2" TargetMode="External"/><Relationship Id="rId10965" Type="http://schemas.openxmlformats.org/officeDocument/2006/relationships/hyperlink" Target="https://ref.ly/Luke1:79" TargetMode="External"/><Relationship Id="rId10966" Type="http://schemas.openxmlformats.org/officeDocument/2006/relationships/hyperlink" Target="https://ref.ly/Luke22:53" TargetMode="External"/><Relationship Id="rId10967" Type="http://schemas.openxmlformats.org/officeDocument/2006/relationships/hyperlink" Target="https://ref.ly/Rom2:19" TargetMode="External"/><Relationship Id="rId10968" Type="http://schemas.openxmlformats.org/officeDocument/2006/relationships/hyperlink" Target="https://ref.ly/Ezek32:8" TargetMode="External"/><Relationship Id="rId10969" Type="http://schemas.openxmlformats.org/officeDocument/2006/relationships/hyperlink" Target="https://ref.ly/Joel2:2,Joel2:31" TargetMode="External"/><Relationship Id="rId10970" Type="http://schemas.openxmlformats.org/officeDocument/2006/relationships/hyperlink" Target="https://ref.ly/Amos5:18,Amos5:20" TargetMode="External"/><Relationship Id="rId10971" Type="http://schemas.openxmlformats.org/officeDocument/2006/relationships/hyperlink" Target="https://ref.ly/Zeph1:15" TargetMode="External"/><Relationship Id="rId10972" Type="http://schemas.openxmlformats.org/officeDocument/2006/relationships/hyperlink" Target="https://ref.ly/2Pet2:17" TargetMode="External"/><Relationship Id="rId10973" Type="http://schemas.openxmlformats.org/officeDocument/2006/relationships/hyperlink" Target="https://ref.ly/Jude1:6,Jude1:13" TargetMode="External"/><Relationship Id="rId10974" Type="http://schemas.openxmlformats.org/officeDocument/2006/relationships/hyperlink" Target="https://ref.ly/Isa9:2" TargetMode="External"/><Relationship Id="rId10975" Type="http://schemas.openxmlformats.org/officeDocument/2006/relationships/hyperlink" Target="https://ref.ly/Isa29:18" TargetMode="External"/><Relationship Id="rId10976" Type="http://schemas.openxmlformats.org/officeDocument/2006/relationships/hyperlink" Target="https://ref.ly/Isa42:7" TargetMode="External"/><Relationship Id="rId10977" Type="http://schemas.openxmlformats.org/officeDocument/2006/relationships/hyperlink" Target="https://ref.ly/Job34:22" TargetMode="External"/><Relationship Id="rId10978" Type="http://schemas.openxmlformats.org/officeDocument/2006/relationships/hyperlink" Target="https://ref.ly/Ps139:11-Ps139:12" TargetMode="External"/><Relationship Id="rId10979" Type="http://schemas.openxmlformats.org/officeDocument/2006/relationships/hyperlink" Target="https://ref.ly/Isa29:15" TargetMode="External"/><Relationship Id="rId10980" Type="http://schemas.openxmlformats.org/officeDocument/2006/relationships/hyperlink" Target="https://ref.ly/Ezek25:12-Ezek25:13" TargetMode="External"/><Relationship Id="rId10981" Type="http://schemas.openxmlformats.org/officeDocument/2006/relationships/hyperlink" Target="https://ref.ly/Hos13:1" TargetMode="External"/><Relationship Id="rId10982" Type="http://schemas.openxmlformats.org/officeDocument/2006/relationships/hyperlink" Target="https://ref.ly/Deut22:26" TargetMode="External"/><Relationship Id="rId10983" Type="http://schemas.openxmlformats.org/officeDocument/2006/relationships/hyperlink" Target="https://ref.ly/Deut25:2" TargetMode="External"/><Relationship Id="rId10984" Type="http://schemas.openxmlformats.org/officeDocument/2006/relationships/hyperlink" Target="https://ref.ly/Jas3:2" TargetMode="External"/><Relationship Id="rId10985" Type="http://schemas.openxmlformats.org/officeDocument/2006/relationships/hyperlink" Target="https://ref.ly/Gen20:9" TargetMode="External"/><Relationship Id="rId10986" Type="http://schemas.openxmlformats.org/officeDocument/2006/relationships/hyperlink" Target="https://ref.ly/Gen40:1" TargetMode="External"/><Relationship Id="rId10987" Type="http://schemas.openxmlformats.org/officeDocument/2006/relationships/hyperlink" Target="https://ref.ly/Gen31:36" TargetMode="External"/><Relationship Id="rId10988" Type="http://schemas.openxmlformats.org/officeDocument/2006/relationships/hyperlink" Target="https://ref.ly/Jer37:18" TargetMode="External"/><Relationship Id="rId10989" Type="http://schemas.openxmlformats.org/officeDocument/2006/relationships/hyperlink" Target="https://ref.ly/Acts25:8" TargetMode="External"/><Relationship Id="rId10990" Type="http://schemas.openxmlformats.org/officeDocument/2006/relationships/hyperlink" Target="https://ref.ly/Hos5:15" TargetMode="External"/><Relationship Id="rId10991" Type="http://schemas.openxmlformats.org/officeDocument/2006/relationships/hyperlink" Target="https://ref.ly/Job34:31" TargetMode="External"/><Relationship Id="rId10992" Type="http://schemas.openxmlformats.org/officeDocument/2006/relationships/hyperlink" Target="https://ref.ly/Prov17:9" TargetMode="External"/><Relationship Id="rId10993" Type="http://schemas.openxmlformats.org/officeDocument/2006/relationships/hyperlink" Target="https://ref.ly/Prov19:11" TargetMode="External"/><Relationship Id="rId10994" Type="http://schemas.openxmlformats.org/officeDocument/2006/relationships/hyperlink" Target="https://ref.ly/Rom5:15-Rom5:21" TargetMode="External"/><Relationship Id="rId10995" Type="http://schemas.openxmlformats.org/officeDocument/2006/relationships/hyperlink" Target="https://ref.ly/Matt5:29-Matt5:30" TargetMode="External"/><Relationship Id="rId10996" Type="http://schemas.openxmlformats.org/officeDocument/2006/relationships/hyperlink" Target="https://ref.ly/Matt18:8-Matt18:9" TargetMode="External"/><Relationship Id="rId10997" Type="http://schemas.openxmlformats.org/officeDocument/2006/relationships/hyperlink" Target="https://ref.ly/Matt18:7" TargetMode="External"/><Relationship Id="rId10998" Type="http://schemas.openxmlformats.org/officeDocument/2006/relationships/hyperlink" Target="https://ref.ly/Rom14:20-Rom14:21" TargetMode="External"/><Relationship Id="rId10999" Type="http://schemas.openxmlformats.org/officeDocument/2006/relationships/hyperlink" Target="https://ref.ly/2Cor6:3" TargetMode="External"/><Relationship Id="rId11000" Type="http://schemas.openxmlformats.org/officeDocument/2006/relationships/hyperlink" Target="https://ref.ly/Isa8:14" TargetMode="External"/><Relationship Id="rId11001" Type="http://schemas.openxmlformats.org/officeDocument/2006/relationships/hyperlink" Target="https://ref.ly/Rom9:32-Rom9:33" TargetMode="External"/><Relationship Id="rId11002" Type="http://schemas.openxmlformats.org/officeDocument/2006/relationships/hyperlink" Target="https://ref.ly/1Pet2:8" TargetMode="External"/><Relationship Id="rId11003" Type="http://schemas.openxmlformats.org/officeDocument/2006/relationships/hyperlink" Target="https://ref.ly/Matt15:12" TargetMode="External"/><Relationship Id="rId11004" Type="http://schemas.openxmlformats.org/officeDocument/2006/relationships/hyperlink" Target="https://ref.ly/Matt13:21" TargetMode="External"/><Relationship Id="rId11005" Type="http://schemas.openxmlformats.org/officeDocument/2006/relationships/hyperlink" Target="https://ref.ly/John6:61" TargetMode="External"/><Relationship Id="rId11006" Type="http://schemas.openxmlformats.org/officeDocument/2006/relationships/hyperlink" Target="https://ref.ly/Matt26:31,Matt26:56" TargetMode="External"/><Relationship Id="rId11007" Type="http://schemas.openxmlformats.org/officeDocument/2006/relationships/hyperlink" Target="https://ref.ly/Lev1:1-Lev6:7" TargetMode="External"/><Relationship Id="rId11008" Type="http://schemas.openxmlformats.org/officeDocument/2006/relationships/hyperlink" Target="https://ref.ly/Lev1:1-Lev1:17" TargetMode="External"/><Relationship Id="rId11009" Type="http://schemas.openxmlformats.org/officeDocument/2006/relationships/hyperlink" Target="https://ref.ly/Lev2:1-Lev2:16" TargetMode="External"/><Relationship Id="rId11010" Type="http://schemas.openxmlformats.org/officeDocument/2006/relationships/hyperlink" Target="https://ref.ly/Lev3:1-Lev3:17" TargetMode="External"/><Relationship Id="rId11011" Type="http://schemas.openxmlformats.org/officeDocument/2006/relationships/hyperlink" Target="https://ref.ly/Lev4:1-Lev5:13" TargetMode="External"/><Relationship Id="rId11012" Type="http://schemas.openxmlformats.org/officeDocument/2006/relationships/hyperlink" Target="https://ref.ly/Lev5:14-Lev6:7" TargetMode="External"/><Relationship Id="rId11013" Type="http://schemas.openxmlformats.org/officeDocument/2006/relationships/hyperlink" Target="https://ref.ly/Num28:1-Num29:40" TargetMode="External"/><Relationship Id="rId11014" Type="http://schemas.openxmlformats.org/officeDocument/2006/relationships/hyperlink" Target="https://ref.ly/Lev7:12-Lev7:14" TargetMode="External"/><Relationship Id="rId11015" Type="http://schemas.openxmlformats.org/officeDocument/2006/relationships/hyperlink" Target="https://ref.ly/Num15:3-Num15:4" TargetMode="External"/><Relationship Id="rId11016" Type="http://schemas.openxmlformats.org/officeDocument/2006/relationships/hyperlink" Target="https://ref.ly/Lev1:9,Lev1:17" TargetMode="External"/><Relationship Id="rId11017" Type="http://schemas.openxmlformats.org/officeDocument/2006/relationships/hyperlink" Target="https://ref.ly/Lev2:2,Lev2:9,Lev2:12" TargetMode="External"/><Relationship Id="rId11018" Type="http://schemas.openxmlformats.org/officeDocument/2006/relationships/hyperlink" Target="https://ref.ly/Lev3:5,Lev3:11,Lev3:16" TargetMode="External"/><Relationship Id="rId11019" Type="http://schemas.openxmlformats.org/officeDocument/2006/relationships/hyperlink" Target="https://ref.ly/Gen8:21" TargetMode="External"/><Relationship Id="rId11020" Type="http://schemas.openxmlformats.org/officeDocument/2006/relationships/hyperlink" Target="https://ref.ly/Lev26:31" TargetMode="External"/><Relationship Id="rId11021" Type="http://schemas.openxmlformats.org/officeDocument/2006/relationships/hyperlink" Target="https://ref.ly/Amos5:21-Amos5:23" TargetMode="External"/><Relationship Id="rId11022" Type="http://schemas.openxmlformats.org/officeDocument/2006/relationships/hyperlink" Target="https://ref.ly/Lev4:1-Lev6:7" TargetMode="External"/><Relationship Id="rId11023" Type="http://schemas.openxmlformats.org/officeDocument/2006/relationships/hyperlink" Target="https://ref.ly/Lev6:8-Lev7:38" TargetMode="External"/><Relationship Id="rId11024" Type="http://schemas.openxmlformats.org/officeDocument/2006/relationships/hyperlink" Target="https://ref.ly/Lev2:3,Lev2:10" TargetMode="External"/><Relationship Id="rId11025" Type="http://schemas.openxmlformats.org/officeDocument/2006/relationships/hyperlink" Target="https://ref.ly/Lev10:12-Lev10:17" TargetMode="External"/><Relationship Id="rId11026" Type="http://schemas.openxmlformats.org/officeDocument/2006/relationships/hyperlink" Target="https://ref.ly/Lev14:13" TargetMode="External"/><Relationship Id="rId11027" Type="http://schemas.openxmlformats.org/officeDocument/2006/relationships/hyperlink" Target="https://ref.ly/Num18:9" TargetMode="External"/><Relationship Id="rId11028" Type="http://schemas.openxmlformats.org/officeDocument/2006/relationships/hyperlink" Target="https://ref.ly/Lev6:17,Lev6:26,Lev6:29" TargetMode="External"/><Relationship Id="rId11029" Type="http://schemas.openxmlformats.org/officeDocument/2006/relationships/hyperlink" Target="https://ref.ly/Lev7:1,Lev7:6" TargetMode="External"/><Relationship Id="rId11030" Type="http://schemas.openxmlformats.org/officeDocument/2006/relationships/hyperlink" Target="https://ref.ly/Num28:19" TargetMode="External"/><Relationship Id="rId11031" Type="http://schemas.openxmlformats.org/officeDocument/2006/relationships/hyperlink" Target="https://ref.ly/2Chr31:3" TargetMode="External"/><Relationship Id="rId11032" Type="http://schemas.openxmlformats.org/officeDocument/2006/relationships/hyperlink" Target="https://ref.ly/1Chr23:28-1Chr23:32" TargetMode="External"/><Relationship Id="rId11033" Type="http://schemas.openxmlformats.org/officeDocument/2006/relationships/hyperlink" Target="https://ref.ly/1Chr26:15,1Chr26:20-1Chr26:22" TargetMode="External"/><Relationship Id="rId11034" Type="http://schemas.openxmlformats.org/officeDocument/2006/relationships/hyperlink" Target="https://ref.ly/2Chr13:10-2Chr13:11" TargetMode="External"/><Relationship Id="rId11035" Type="http://schemas.openxmlformats.org/officeDocument/2006/relationships/hyperlink" Target="https://ref.ly/2Chr30:3-2Chr30:19" TargetMode="External"/><Relationship Id="rId11036" Type="http://schemas.openxmlformats.org/officeDocument/2006/relationships/hyperlink" Target="https://ref.ly/2Chr34:9-2Chr34:11" TargetMode="External"/><Relationship Id="rId11037" Type="http://schemas.openxmlformats.org/officeDocument/2006/relationships/hyperlink" Target="https://ref.ly/Lev7:7-Lev7:10" TargetMode="External"/><Relationship Id="rId11038" Type="http://schemas.openxmlformats.org/officeDocument/2006/relationships/hyperlink" Target="https://ref.ly/Lev7:11-Lev7:36" TargetMode="External"/><Relationship Id="rId11039" Type="http://schemas.openxmlformats.org/officeDocument/2006/relationships/hyperlink" Target="https://ref.ly/Lev23:19-Lev23:20" TargetMode="External"/><Relationship Id="rId11040" Type="http://schemas.openxmlformats.org/officeDocument/2006/relationships/hyperlink" Target="https://ref.ly/Num7:87-Num7:88" TargetMode="External"/><Relationship Id="rId11041" Type="http://schemas.openxmlformats.org/officeDocument/2006/relationships/hyperlink" Target="https://ref.ly/Num7:15-Num7:17" TargetMode="External"/><Relationship Id="rId11042" Type="http://schemas.openxmlformats.org/officeDocument/2006/relationships/hyperlink" Target="https://ref.ly/Num18:8-Num18:11" TargetMode="External"/><Relationship Id="rId11043" Type="http://schemas.openxmlformats.org/officeDocument/2006/relationships/hyperlink" Target="https://ref.ly/2Chr31:4-2Chr31:19" TargetMode="External"/><Relationship Id="rId11044" Type="http://schemas.openxmlformats.org/officeDocument/2006/relationships/hyperlink" Target="https://ref.ly/Num15:24" TargetMode="External"/><Relationship Id="rId11045" Type="http://schemas.openxmlformats.org/officeDocument/2006/relationships/hyperlink" Target="https://ref.ly/Num28:19-Num28:22" TargetMode="External"/><Relationship Id="rId11046" Type="http://schemas.openxmlformats.org/officeDocument/2006/relationships/hyperlink" Target="https://ref.ly/Lev23:18-Lev23:19" TargetMode="External"/><Relationship Id="rId11047" Type="http://schemas.openxmlformats.org/officeDocument/2006/relationships/hyperlink" Target="https://ref.ly/Num28:27-Num28:30" TargetMode="External"/><Relationship Id="rId11048" Type="http://schemas.openxmlformats.org/officeDocument/2006/relationships/hyperlink" Target="https://ref.ly/Num29:2-Num29:5" TargetMode="External"/><Relationship Id="rId11049" Type="http://schemas.openxmlformats.org/officeDocument/2006/relationships/hyperlink" Target="https://ref.ly/Num29:8-Num29:11" TargetMode="External"/><Relationship Id="rId11050" Type="http://schemas.openxmlformats.org/officeDocument/2006/relationships/hyperlink" Target="https://ref.ly/Num29:12-Num29:16" TargetMode="External"/><Relationship Id="rId11051" Type="http://schemas.openxmlformats.org/officeDocument/2006/relationships/hyperlink" Target="https://ref.ly/Lev12:6-Lev12:8" TargetMode="External"/><Relationship Id="rId11052" Type="http://schemas.openxmlformats.org/officeDocument/2006/relationships/hyperlink" Target="https://ref.ly/Num6:14-Num6:15" TargetMode="External"/><Relationship Id="rId11053" Type="http://schemas.openxmlformats.org/officeDocument/2006/relationships/hyperlink" Target="https://ref.ly/Num6:16-Num6:17" TargetMode="External"/><Relationship Id="rId11054" Type="http://schemas.openxmlformats.org/officeDocument/2006/relationships/hyperlink" Target="https://ref.ly/Num6:11" TargetMode="External"/><Relationship Id="rId11055" Type="http://schemas.openxmlformats.org/officeDocument/2006/relationships/hyperlink" Target="https://ref.ly/Num6:12" TargetMode="External"/><Relationship Id="rId11056" Type="http://schemas.openxmlformats.org/officeDocument/2006/relationships/hyperlink" Target="https://ref.ly/Ezek43:18-Ezek43:27" TargetMode="External"/><Relationship Id="rId11057" Type="http://schemas.openxmlformats.org/officeDocument/2006/relationships/hyperlink" Target="https://ref.ly/Lev14:19" TargetMode="External"/><Relationship Id="rId11058" Type="http://schemas.openxmlformats.org/officeDocument/2006/relationships/hyperlink" Target="https://ref.ly/Lev14:12-Lev14:20" TargetMode="External"/><Relationship Id="rId11059" Type="http://schemas.openxmlformats.org/officeDocument/2006/relationships/hyperlink" Target="https://ref.ly/Lev15:15" TargetMode="External"/><Relationship Id="rId11060" Type="http://schemas.openxmlformats.org/officeDocument/2006/relationships/hyperlink" Target="https://ref.ly/Lev15:30" TargetMode="External"/><Relationship Id="rId11061" Type="http://schemas.openxmlformats.org/officeDocument/2006/relationships/hyperlink" Target="https://ref.ly/Lev16:3-Lev16:6,Lev16:11,Lev16:15,Lev16:24" TargetMode="External"/><Relationship Id="rId11062" Type="http://schemas.openxmlformats.org/officeDocument/2006/relationships/hyperlink" Target="https://ref.ly/Exod29:10-Exod29:18" TargetMode="External"/><Relationship Id="rId11063" Type="http://schemas.openxmlformats.org/officeDocument/2006/relationships/hyperlink" Target="https://ref.ly/Lev8:14-Lev8:21" TargetMode="External"/><Relationship Id="rId11064" Type="http://schemas.openxmlformats.org/officeDocument/2006/relationships/hyperlink" Target="https://ref.ly/Exod29:19-Exod29:34" TargetMode="External"/><Relationship Id="rId11065" Type="http://schemas.openxmlformats.org/officeDocument/2006/relationships/hyperlink" Target="https://ref.ly/Lev8:22-Lev8:29" TargetMode="External"/><Relationship Id="rId11066" Type="http://schemas.openxmlformats.org/officeDocument/2006/relationships/hyperlink" Target="https://ref.ly/Lev9:1-Lev9:24" TargetMode="External"/><Relationship Id="rId11067" Type="http://schemas.openxmlformats.org/officeDocument/2006/relationships/hyperlink" Target="https://ref.ly/Lev9:7-Lev9:22" TargetMode="External"/><Relationship Id="rId11068" Type="http://schemas.openxmlformats.org/officeDocument/2006/relationships/hyperlink" Target="https://ref.ly/2Chr29:20-2Chr29:36" TargetMode="External"/><Relationship Id="rId11069" Type="http://schemas.openxmlformats.org/officeDocument/2006/relationships/hyperlink" Target="https://ref.ly/Deut12:17-Deut12:19" TargetMode="External"/><Relationship Id="rId11070" Type="http://schemas.openxmlformats.org/officeDocument/2006/relationships/hyperlink" Target="https://ref.ly/Lev6:24-Lev6:30" TargetMode="External"/><Relationship Id="rId11071" Type="http://schemas.openxmlformats.org/officeDocument/2006/relationships/hyperlink" Target="https://ref.ly/Lev4:14" TargetMode="External"/><Relationship Id="rId11072" Type="http://schemas.openxmlformats.org/officeDocument/2006/relationships/hyperlink" Target="https://ref.ly/Lev4:23" TargetMode="External"/><Relationship Id="rId11073" Type="http://schemas.openxmlformats.org/officeDocument/2006/relationships/hyperlink" Target="https://ref.ly/Lev4:28" TargetMode="External"/><Relationship Id="rId11074" Type="http://schemas.openxmlformats.org/officeDocument/2006/relationships/hyperlink" Target="https://ref.ly/Num15:27" TargetMode="External"/><Relationship Id="rId11075" Type="http://schemas.openxmlformats.org/officeDocument/2006/relationships/hyperlink" Target="https://ref.ly/Lev4:32" TargetMode="External"/><Relationship Id="rId11076" Type="http://schemas.openxmlformats.org/officeDocument/2006/relationships/hyperlink" Target="https://ref.ly/Lev5:7" TargetMode="External"/><Relationship Id="rId11077" Type="http://schemas.openxmlformats.org/officeDocument/2006/relationships/hyperlink" Target="https://ref.ly/Lev5:11-Lev5:13" TargetMode="External"/><Relationship Id="rId11078" Type="http://schemas.openxmlformats.org/officeDocument/2006/relationships/hyperlink" Target="https://ref.ly/Lev4:4" TargetMode="External"/><Relationship Id="rId11079" Type="http://schemas.openxmlformats.org/officeDocument/2006/relationships/hyperlink" Target="https://ref.ly/Lev16:21" TargetMode="External"/><Relationship Id="rId11080" Type="http://schemas.openxmlformats.org/officeDocument/2006/relationships/hyperlink" Target="https://ref.ly/Lev4:24,Lev4:29" TargetMode="External"/><Relationship Id="rId11081" Type="http://schemas.openxmlformats.org/officeDocument/2006/relationships/hyperlink" Target="https://ref.ly/Lev4:5-Lev4:7" TargetMode="External"/><Relationship Id="rId11082" Type="http://schemas.openxmlformats.org/officeDocument/2006/relationships/hyperlink" Target="https://ref.ly/Lev4:16-Lev4:18" TargetMode="External"/><Relationship Id="rId11083" Type="http://schemas.openxmlformats.org/officeDocument/2006/relationships/hyperlink" Target="https://ref.ly/Lev16:14-Lev16:15" TargetMode="External"/><Relationship Id="rId11084" Type="http://schemas.openxmlformats.org/officeDocument/2006/relationships/hyperlink" Target="https://ref.ly/Lev4:25,Lev4:30,Lev4:34" TargetMode="External"/><Relationship Id="rId11085" Type="http://schemas.openxmlformats.org/officeDocument/2006/relationships/hyperlink" Target="https://ref.ly/Lev5:9" TargetMode="External"/><Relationship Id="rId11086" Type="http://schemas.openxmlformats.org/officeDocument/2006/relationships/hyperlink" Target="https://ref.ly/Lev4:7" TargetMode="External"/><Relationship Id="rId11087" Type="http://schemas.openxmlformats.org/officeDocument/2006/relationships/hyperlink" Target="https://ref.ly/Lev4:8-Lev4:10" TargetMode="External"/><Relationship Id="rId11088" Type="http://schemas.openxmlformats.org/officeDocument/2006/relationships/hyperlink" Target="https://ref.ly/Exod29:10-Exod29:14" TargetMode="External"/><Relationship Id="rId11089" Type="http://schemas.openxmlformats.org/officeDocument/2006/relationships/hyperlink" Target="https://ref.ly/Lev8:14-Lev8:17" TargetMode="External"/><Relationship Id="rId11090" Type="http://schemas.openxmlformats.org/officeDocument/2006/relationships/hyperlink" Target="https://ref.ly/Lev6:25-Lev6:30" TargetMode="External"/><Relationship Id="rId11091" Type="http://schemas.openxmlformats.org/officeDocument/2006/relationships/hyperlink" Target="https://ref.ly/Lev10:16-Lev10:20" TargetMode="External"/><Relationship Id="rId11092" Type="http://schemas.openxmlformats.org/officeDocument/2006/relationships/hyperlink" Target="https://ref.ly/Num28:15" TargetMode="External"/><Relationship Id="rId11093" Type="http://schemas.openxmlformats.org/officeDocument/2006/relationships/hyperlink" Target="https://ref.ly/Num28:22-Num28:24" TargetMode="External"/><Relationship Id="rId11094" Type="http://schemas.openxmlformats.org/officeDocument/2006/relationships/hyperlink" Target="https://ref.ly/Num28:30" TargetMode="External"/><Relationship Id="rId11095" Type="http://schemas.openxmlformats.org/officeDocument/2006/relationships/hyperlink" Target="https://ref.ly/Num29:5" TargetMode="External"/><Relationship Id="rId11096" Type="http://schemas.openxmlformats.org/officeDocument/2006/relationships/hyperlink" Target="https://ref.ly/Num29:11" TargetMode="External"/><Relationship Id="rId11097" Type="http://schemas.openxmlformats.org/officeDocument/2006/relationships/hyperlink" Target="https://ref.ly/Num29:16,Num29:19" TargetMode="External"/><Relationship Id="rId11098" Type="http://schemas.openxmlformats.org/officeDocument/2006/relationships/hyperlink" Target="https://ref.ly/Lev14:12-Lev14:14,Lev14:19-Lev14:22" TargetMode="External"/><Relationship Id="rId11099" Type="http://schemas.openxmlformats.org/officeDocument/2006/relationships/hyperlink" Target="https://ref.ly/Lev15:14-Lev15:15,Lev15:29-Lev15:30" TargetMode="External"/><Relationship Id="rId11100" Type="http://schemas.openxmlformats.org/officeDocument/2006/relationships/hyperlink" Target="https://ref.ly/Num6:10-Num6:11" TargetMode="External"/><Relationship Id="rId11101" Type="http://schemas.openxmlformats.org/officeDocument/2006/relationships/hyperlink" Target="https://ref.ly/Lev7:1-Lev7:7" TargetMode="External"/><Relationship Id="rId11102" Type="http://schemas.openxmlformats.org/officeDocument/2006/relationships/hyperlink" Target="https://ref.ly/Lev5:16" TargetMode="External"/><Relationship Id="rId11103" Type="http://schemas.openxmlformats.org/officeDocument/2006/relationships/hyperlink" Target="https://ref.ly/Lev6:5" TargetMode="External"/><Relationship Id="rId11104" Type="http://schemas.openxmlformats.org/officeDocument/2006/relationships/hyperlink" Target="https://ref.ly/Lev5:15,Lev5:18" TargetMode="External"/><Relationship Id="rId11105" Type="http://schemas.openxmlformats.org/officeDocument/2006/relationships/hyperlink" Target="https://ref.ly/Lev6:6" TargetMode="External"/><Relationship Id="rId11106" Type="http://schemas.openxmlformats.org/officeDocument/2006/relationships/hyperlink" Target="https://ref.ly/Lev14:12,Lev14:21" TargetMode="External"/><Relationship Id="rId11107" Type="http://schemas.openxmlformats.org/officeDocument/2006/relationships/hyperlink" Target="https://ref.ly/Lev7:2" TargetMode="External"/><Relationship Id="rId11108" Type="http://schemas.openxmlformats.org/officeDocument/2006/relationships/hyperlink" Target="https://ref.ly/Lev7:3-Lev7:5" TargetMode="External"/><Relationship Id="rId11109" Type="http://schemas.openxmlformats.org/officeDocument/2006/relationships/hyperlink" Target="https://ref.ly/Lev14:14" TargetMode="External"/><Relationship Id="rId11110" Type="http://schemas.openxmlformats.org/officeDocument/2006/relationships/hyperlink" Target="https://ref.ly/Lev7:6-Lev7:7" TargetMode="External"/><Relationship Id="rId11111" Type="http://schemas.openxmlformats.org/officeDocument/2006/relationships/hyperlink" Target="https://ref.ly/Lev5:14-Lev5:19" TargetMode="External"/><Relationship Id="rId11112" Type="http://schemas.openxmlformats.org/officeDocument/2006/relationships/hyperlink" Target="https://ref.ly/Lev22:14" TargetMode="External"/><Relationship Id="rId11113" Type="http://schemas.openxmlformats.org/officeDocument/2006/relationships/hyperlink" Target="https://ref.ly/2Kgs12:16" TargetMode="External"/><Relationship Id="rId11114" Type="http://schemas.openxmlformats.org/officeDocument/2006/relationships/hyperlink" Target="https://ref.ly/Lev14:12-Lev14:18" TargetMode="External"/><Relationship Id="rId11115" Type="http://schemas.openxmlformats.org/officeDocument/2006/relationships/hyperlink" Target="https://ref.ly/Lev6:1-Lev6:5" TargetMode="External"/><Relationship Id="rId11116" Type="http://schemas.openxmlformats.org/officeDocument/2006/relationships/hyperlink" Target="https://ref.ly/Lev19:20-Lev19:22" TargetMode="External"/><Relationship Id="rId11117" Type="http://schemas.openxmlformats.org/officeDocument/2006/relationships/hyperlink" Target="https://ref.ly/Lev1:3-Lev1:17" TargetMode="External"/><Relationship Id="rId11118" Type="http://schemas.openxmlformats.org/officeDocument/2006/relationships/hyperlink" Target="https://ref.ly/Lev6:8-Lev6:13" TargetMode="External"/><Relationship Id="rId11119" Type="http://schemas.openxmlformats.org/officeDocument/2006/relationships/hyperlink" Target="https://ref.ly/Exod29:38-Exod29:42" TargetMode="External"/><Relationship Id="rId11120" Type="http://schemas.openxmlformats.org/officeDocument/2006/relationships/hyperlink" Target="https://ref.ly/Num28:1-Num28:8" TargetMode="External"/><Relationship Id="rId11121" Type="http://schemas.openxmlformats.org/officeDocument/2006/relationships/hyperlink" Target="https://ref.ly/Num28:11-Num28:14" TargetMode="External"/><Relationship Id="rId11122" Type="http://schemas.openxmlformats.org/officeDocument/2006/relationships/hyperlink" Target="https://ref.ly/Num28:19-Num28:24" TargetMode="External"/><Relationship Id="rId11123" Type="http://schemas.openxmlformats.org/officeDocument/2006/relationships/hyperlink" Target="https://ref.ly/Num28:6-Num28:29" TargetMode="External"/><Relationship Id="rId11124" Type="http://schemas.openxmlformats.org/officeDocument/2006/relationships/hyperlink" Target="https://ref.ly/Num29:2-Num29:4" TargetMode="External"/><Relationship Id="rId11125" Type="http://schemas.openxmlformats.org/officeDocument/2006/relationships/hyperlink" Target="https://ref.ly/Num29:17-Num29:25" TargetMode="External"/><Relationship Id="rId11126" Type="http://schemas.openxmlformats.org/officeDocument/2006/relationships/hyperlink" Target="https://ref.ly/Lev15:14-Lev15:15" TargetMode="External"/><Relationship Id="rId11127" Type="http://schemas.openxmlformats.org/officeDocument/2006/relationships/hyperlink" Target="https://ref.ly/Lev15:29-Lev15:30" TargetMode="External"/><Relationship Id="rId11128" Type="http://schemas.openxmlformats.org/officeDocument/2006/relationships/hyperlink" Target="https://ref.ly/Lev14:10,Lev14:19-Lev14:22,Lev14:31" TargetMode="External"/><Relationship Id="rId11129" Type="http://schemas.openxmlformats.org/officeDocument/2006/relationships/hyperlink" Target="https://ref.ly/Num6:14-Num6:16" TargetMode="External"/><Relationship Id="rId11130" Type="http://schemas.openxmlformats.org/officeDocument/2006/relationships/hyperlink" Target="https://ref.ly/Lev6:14-Lev6:23" TargetMode="External"/><Relationship Id="rId11131" Type="http://schemas.openxmlformats.org/officeDocument/2006/relationships/hyperlink" Target="https://ref.ly/Gen4:3-Gen4:5" TargetMode="External"/><Relationship Id="rId11132" Type="http://schemas.openxmlformats.org/officeDocument/2006/relationships/hyperlink" Target="https://ref.ly/Judg6:18" TargetMode="External"/><Relationship Id="rId11133" Type="http://schemas.openxmlformats.org/officeDocument/2006/relationships/hyperlink" Target="https://ref.ly/1Sam2:17" TargetMode="External"/><Relationship Id="rId11134" Type="http://schemas.openxmlformats.org/officeDocument/2006/relationships/hyperlink" Target="https://ref.ly/Lev2:14" TargetMode="External"/><Relationship Id="rId11135" Type="http://schemas.openxmlformats.org/officeDocument/2006/relationships/hyperlink" Target="https://ref.ly/Lev2:2" TargetMode="External"/><Relationship Id="rId11136" Type="http://schemas.openxmlformats.org/officeDocument/2006/relationships/hyperlink" Target="https://ref.ly/Lev6:16" TargetMode="External"/><Relationship Id="rId11137" Type="http://schemas.openxmlformats.org/officeDocument/2006/relationships/hyperlink" Target="https://ref.ly/Lev7:9" TargetMode="External"/><Relationship Id="rId11138" Type="http://schemas.openxmlformats.org/officeDocument/2006/relationships/hyperlink" Target="https://ref.ly/Lev6:22-Lev6:23" TargetMode="External"/><Relationship Id="rId11139" Type="http://schemas.openxmlformats.org/officeDocument/2006/relationships/hyperlink" Target="https://ref.ly/Num15:2-Num15:10" TargetMode="External"/><Relationship Id="rId11140" Type="http://schemas.openxmlformats.org/officeDocument/2006/relationships/hyperlink" Target="https://ref.ly/Lev14:10,Lev14:20-Lev14:21,Lev14:31" TargetMode="External"/><Relationship Id="rId11141" Type="http://schemas.openxmlformats.org/officeDocument/2006/relationships/hyperlink" Target="https://ref.ly/Num6:13-Num6:15" TargetMode="External"/><Relationship Id="rId11142" Type="http://schemas.openxmlformats.org/officeDocument/2006/relationships/hyperlink" Target="https://ref.ly/Num15:4" TargetMode="External"/><Relationship Id="rId11143" Type="http://schemas.openxmlformats.org/officeDocument/2006/relationships/hyperlink" Target="https://ref.ly/Num5:15,Num5:18,Num5:25-Num5:26" TargetMode="External"/><Relationship Id="rId11144" Type="http://schemas.openxmlformats.org/officeDocument/2006/relationships/hyperlink" Target="https://ref.ly/Num15:1-Num15:10" TargetMode="External"/><Relationship Id="rId11145" Type="http://schemas.openxmlformats.org/officeDocument/2006/relationships/hyperlink" Target="https://ref.ly/Num28:7" TargetMode="External"/><Relationship Id="rId11146" Type="http://schemas.openxmlformats.org/officeDocument/2006/relationships/hyperlink" Target="https://ref.ly/Ps16:4" TargetMode="External"/><Relationship Id="rId11147" Type="http://schemas.openxmlformats.org/officeDocument/2006/relationships/hyperlink" Target="https://ref.ly/Num15:7" TargetMode="External"/><Relationship Id="rId11148" Type="http://schemas.openxmlformats.org/officeDocument/2006/relationships/hyperlink" Target="https://ref.ly/Exod29:40-Exod29:41" TargetMode="External"/><Relationship Id="rId11149" Type="http://schemas.openxmlformats.org/officeDocument/2006/relationships/hyperlink" Target="https://ref.ly/Num28:9" TargetMode="External"/><Relationship Id="rId11150" Type="http://schemas.openxmlformats.org/officeDocument/2006/relationships/hyperlink" Target="https://ref.ly/Num29:18,Num29:21" TargetMode="External"/><Relationship Id="rId11151" Type="http://schemas.openxmlformats.org/officeDocument/2006/relationships/hyperlink" Target="https://ref.ly/Num28:16-Num29:11" TargetMode="External"/><Relationship Id="rId11152" Type="http://schemas.openxmlformats.org/officeDocument/2006/relationships/hyperlink" Target="https://ref.ly/Ezek45:11" TargetMode="External"/><Relationship Id="rId11153" Type="http://schemas.openxmlformats.org/officeDocument/2006/relationships/hyperlink" Target="https://ref.ly/Num6:17" TargetMode="External"/><Relationship Id="rId11154" Type="http://schemas.openxmlformats.org/officeDocument/2006/relationships/hyperlink" Target="https://ref.ly/Lev14:10-Lev14:20" TargetMode="External"/><Relationship Id="rId11155" Type="http://schemas.openxmlformats.org/officeDocument/2006/relationships/hyperlink" Target="https://ref.ly/Amos5:22" TargetMode="External"/><Relationship Id="rId11156" Type="http://schemas.openxmlformats.org/officeDocument/2006/relationships/hyperlink" Target="https://ref.ly/Lev3:1,Lev3:6,Lev3:12" TargetMode="External"/><Relationship Id="rId11157" Type="http://schemas.openxmlformats.org/officeDocument/2006/relationships/hyperlink" Target="https://ref.ly/Lev22:23" TargetMode="External"/><Relationship Id="rId11158" Type="http://schemas.openxmlformats.org/officeDocument/2006/relationships/hyperlink" Target="https://ref.ly/Lev7:12-Lev7:13" TargetMode="External"/><Relationship Id="rId11159" Type="http://schemas.openxmlformats.org/officeDocument/2006/relationships/hyperlink" Target="https://ref.ly/Num6:15-Num6:19" TargetMode="External"/><Relationship Id="rId11160" Type="http://schemas.openxmlformats.org/officeDocument/2006/relationships/hyperlink" Target="https://ref.ly/Lev3:1-Lev3:2,Lev3:7-Lev3:8,Lev3:12-Lev3:13" TargetMode="External"/><Relationship Id="rId11161" Type="http://schemas.openxmlformats.org/officeDocument/2006/relationships/hyperlink" Target="https://ref.ly/Lev7:29-Lev7:30" TargetMode="External"/><Relationship Id="rId11162" Type="http://schemas.openxmlformats.org/officeDocument/2006/relationships/hyperlink" Target="https://ref.ly/Lev3:2,Lev3:8,Lev3:13" TargetMode="External"/><Relationship Id="rId11163" Type="http://schemas.openxmlformats.org/officeDocument/2006/relationships/hyperlink" Target="https://ref.ly/Lev3:3-Lev3:5,Lev3:6-Lev3:11,Lev3:14-Lev3:16" TargetMode="External"/><Relationship Id="rId11164" Type="http://schemas.openxmlformats.org/officeDocument/2006/relationships/hyperlink" Target="https://ref.ly/Lev7:14,Lev7:30-Lev7:36" TargetMode="External"/><Relationship Id="rId11165" Type="http://schemas.openxmlformats.org/officeDocument/2006/relationships/hyperlink" Target="https://ref.ly/Num6:20" TargetMode="External"/><Relationship Id="rId11166" Type="http://schemas.openxmlformats.org/officeDocument/2006/relationships/hyperlink" Target="https://ref.ly/Num18:10-Num18:11" TargetMode="External"/><Relationship Id="rId11167" Type="http://schemas.openxmlformats.org/officeDocument/2006/relationships/hyperlink" Target="https://ref.ly/Deut12:12,Deut12:18-Deut12:19" TargetMode="External"/><Relationship Id="rId11168" Type="http://schemas.openxmlformats.org/officeDocument/2006/relationships/hyperlink" Target="https://ref.ly/Deut12:6-Deut12:7,Deut12:11-Deut12:12,Deut12:15-Deut12:19" TargetMode="External"/><Relationship Id="rId11169" Type="http://schemas.openxmlformats.org/officeDocument/2006/relationships/hyperlink" Target="https://ref.ly/1Sam1:3-1Sam1:4" TargetMode="External"/><Relationship Id="rId11170" Type="http://schemas.openxmlformats.org/officeDocument/2006/relationships/hyperlink" Target="https://ref.ly/Lev7:19-Lev7:21" TargetMode="External"/><Relationship Id="rId11171" Type="http://schemas.openxmlformats.org/officeDocument/2006/relationships/hyperlink" Target="https://ref.ly/Lev19:5-Lev19:8" TargetMode="External"/><Relationship Id="rId11172" Type="http://schemas.openxmlformats.org/officeDocument/2006/relationships/hyperlink" Target="https://ref.ly/Deut12:16,Deut12:20-Deut12:22" TargetMode="External"/><Relationship Id="rId11173" Type="http://schemas.openxmlformats.org/officeDocument/2006/relationships/hyperlink" Target="https://ref.ly/Lev7:15" TargetMode="External"/><Relationship Id="rId11174" Type="http://schemas.openxmlformats.org/officeDocument/2006/relationships/hyperlink" Target="https://ref.ly/Lev7:16-Lev7:18" TargetMode="External"/><Relationship Id="rId11175" Type="http://schemas.openxmlformats.org/officeDocument/2006/relationships/hyperlink" Target="https://ref.ly/Num6:17-Num6:20" TargetMode="External"/><Relationship Id="rId11176" Type="http://schemas.openxmlformats.org/officeDocument/2006/relationships/hyperlink" Target="https://ref.ly/Exod29:19-Exod29:22,Exod29:28" TargetMode="External"/><Relationship Id="rId11177" Type="http://schemas.openxmlformats.org/officeDocument/2006/relationships/hyperlink" Target="https://ref.ly/1Kgs8:63" TargetMode="External"/><Relationship Id="rId11178" Type="http://schemas.openxmlformats.org/officeDocument/2006/relationships/hyperlink" Target="https://ref.ly/2Chr7:5" TargetMode="External"/><Relationship Id="rId11179" Type="http://schemas.openxmlformats.org/officeDocument/2006/relationships/hyperlink" Target="https://ref.ly/1Kgs1:9,1Kgs1:19" TargetMode="External"/><Relationship Id="rId11180" Type="http://schemas.openxmlformats.org/officeDocument/2006/relationships/hyperlink" Target="https://ref.ly/2Chr29:31-2Chr29:36" TargetMode="External"/><Relationship Id="rId11181" Type="http://schemas.openxmlformats.org/officeDocument/2006/relationships/hyperlink" Target="https://ref.ly/1Sam20:6" TargetMode="External"/><Relationship Id="rId11182" Type="http://schemas.openxmlformats.org/officeDocument/2006/relationships/hyperlink" Target="https://ref.ly/Exod22:29-Exod22:31" TargetMode="External"/><Relationship Id="rId11183" Type="http://schemas.openxmlformats.org/officeDocument/2006/relationships/hyperlink" Target="https://ref.ly/1Sam9:11-1Sam9:14,1Sam9:22-1Sam9:24" TargetMode="External"/><Relationship Id="rId11184" Type="http://schemas.openxmlformats.org/officeDocument/2006/relationships/hyperlink" Target="https://ref.ly/1Sam16:4-1Sam16:5" TargetMode="External"/><Relationship Id="rId11185" Type="http://schemas.openxmlformats.org/officeDocument/2006/relationships/hyperlink" Target="https://ref.ly/Isa10:15" TargetMode="External"/><Relationship Id="rId11186" Type="http://schemas.openxmlformats.org/officeDocument/2006/relationships/hyperlink" Target="https://ref.ly/Exod38:29" TargetMode="External"/><Relationship Id="rId11187" Type="http://schemas.openxmlformats.org/officeDocument/2006/relationships/hyperlink" Target="https://ref.ly/Lev14:12" TargetMode="External"/><Relationship Id="rId11188" Type="http://schemas.openxmlformats.org/officeDocument/2006/relationships/hyperlink" Target="https://ref.ly/Exod34:20" TargetMode="External"/><Relationship Id="rId11189" Type="http://schemas.openxmlformats.org/officeDocument/2006/relationships/hyperlink" Target="https://ref.ly/Deut16:10,Deut16:16-Deut16:17" TargetMode="External"/><Relationship Id="rId11190" Type="http://schemas.openxmlformats.org/officeDocument/2006/relationships/hyperlink" Target="https://ref.ly/2Chr35:8" TargetMode="External"/><Relationship Id="rId11191" Type="http://schemas.openxmlformats.org/officeDocument/2006/relationships/hyperlink" Target="https://ref.ly/Ezra3:5" TargetMode="External"/><Relationship Id="rId11192" Type="http://schemas.openxmlformats.org/officeDocument/2006/relationships/hyperlink" Target="https://ref.ly/Lev7:16" TargetMode="External"/><Relationship Id="rId11193" Type="http://schemas.openxmlformats.org/officeDocument/2006/relationships/hyperlink" Target="https://ref.ly/Lev22:18,Lev22:21-Lev22:23" TargetMode="External"/><Relationship Id="rId11194" Type="http://schemas.openxmlformats.org/officeDocument/2006/relationships/hyperlink" Target="https://ref.ly/Lev23:28" TargetMode="External"/><Relationship Id="rId11195" Type="http://schemas.openxmlformats.org/officeDocument/2006/relationships/hyperlink" Target="https://ref.ly/Num15:3" TargetMode="External"/><Relationship Id="rId11196" Type="http://schemas.openxmlformats.org/officeDocument/2006/relationships/hyperlink" Target="https://ref.ly/Num29:39" TargetMode="External"/><Relationship Id="rId11197" Type="http://schemas.openxmlformats.org/officeDocument/2006/relationships/hyperlink" Target="https://ref.ly/Deut12:6,Deut12:17" TargetMode="External"/><Relationship Id="rId11198" Type="http://schemas.openxmlformats.org/officeDocument/2006/relationships/hyperlink" Target="https://ref.ly/Lev22:17-Lev22:24" TargetMode="External"/><Relationship Id="rId11199" Type="http://schemas.openxmlformats.org/officeDocument/2006/relationships/hyperlink" Target="https://ref.ly/Ezek46:12" TargetMode="External"/><Relationship Id="rId11200" Type="http://schemas.openxmlformats.org/officeDocument/2006/relationships/hyperlink" Target="https://ref.ly/Lev7:16-Lev7:17" TargetMode="External"/><Relationship Id="rId11201" Type="http://schemas.openxmlformats.org/officeDocument/2006/relationships/hyperlink" Target="https://ref.ly/Exod25:7" TargetMode="External"/><Relationship Id="rId11202" Type="http://schemas.openxmlformats.org/officeDocument/2006/relationships/hyperlink" Target="https://ref.ly/Exod35:9,Exod35:27" TargetMode="External"/><Relationship Id="rId11203" Type="http://schemas.openxmlformats.org/officeDocument/2006/relationships/hyperlink" Target="https://ref.ly/Exod28:41" TargetMode="External"/><Relationship Id="rId11204" Type="http://schemas.openxmlformats.org/officeDocument/2006/relationships/hyperlink" Target="https://ref.ly/Exod32:29" TargetMode="External"/><Relationship Id="rId11205" Type="http://schemas.openxmlformats.org/officeDocument/2006/relationships/hyperlink" Target="https://ref.ly/2Chr29:31" TargetMode="External"/><Relationship Id="rId11206" Type="http://schemas.openxmlformats.org/officeDocument/2006/relationships/hyperlink" Target="https://ref.ly/Lev8:22-Lev8:32" TargetMode="External"/><Relationship Id="rId11207" Type="http://schemas.openxmlformats.org/officeDocument/2006/relationships/hyperlink" Target="https://ref.ly/Gen28:18-Gen28:19" TargetMode="External"/><Relationship Id="rId11208" Type="http://schemas.openxmlformats.org/officeDocument/2006/relationships/hyperlink" Target="https://ref.ly/1Sam9:25-1Sam9:27" TargetMode="External"/><Relationship Id="rId11209" Type="http://schemas.openxmlformats.org/officeDocument/2006/relationships/hyperlink" Target="https://ref.ly/Exod30:22-Exod30:25" TargetMode="External"/><Relationship Id="rId11210" Type="http://schemas.openxmlformats.org/officeDocument/2006/relationships/hyperlink" Target="https://ref.ly/Exod30:26-Exod30:32" TargetMode="External"/><Relationship Id="rId11211" Type="http://schemas.openxmlformats.org/officeDocument/2006/relationships/hyperlink" Target="https://ref.ly/1Kgs19:16" TargetMode="External"/><Relationship Id="rId11212" Type="http://schemas.openxmlformats.org/officeDocument/2006/relationships/hyperlink" Target="https://ref.ly/1Chr16:22" TargetMode="External"/><Relationship Id="rId11213" Type="http://schemas.openxmlformats.org/officeDocument/2006/relationships/hyperlink" Target="https://ref.ly/Ps105:15" TargetMode="External"/><Relationship Id="rId11214" Type="http://schemas.openxmlformats.org/officeDocument/2006/relationships/hyperlink" Target="https://ref.ly/Exod40:12-Exod40:15" TargetMode="External"/><Relationship Id="rId11215" Type="http://schemas.openxmlformats.org/officeDocument/2006/relationships/hyperlink" Target="https://ref.ly/Num3:3" TargetMode="External"/><Relationship Id="rId11216" Type="http://schemas.openxmlformats.org/officeDocument/2006/relationships/hyperlink" Target="https://ref.ly/Exod29:29" TargetMode="External"/><Relationship Id="rId11217" Type="http://schemas.openxmlformats.org/officeDocument/2006/relationships/hyperlink" Target="https://ref.ly/Lev16:32" TargetMode="External"/><Relationship Id="rId11218" Type="http://schemas.openxmlformats.org/officeDocument/2006/relationships/hyperlink" Target="https://ref.ly/Judg9:8" TargetMode="External"/><Relationship Id="rId11219" Type="http://schemas.openxmlformats.org/officeDocument/2006/relationships/hyperlink" Target="https://ref.ly/2Kgs9:1-2Kgs9:6" TargetMode="External"/><Relationship Id="rId11220" Type="http://schemas.openxmlformats.org/officeDocument/2006/relationships/hyperlink" Target="https://ref.ly/1Sam16:1,1Sam16:13" TargetMode="External"/><Relationship Id="rId11221" Type="http://schemas.openxmlformats.org/officeDocument/2006/relationships/hyperlink" Target="https://ref.ly/2Sam2:4" TargetMode="External"/><Relationship Id="rId11222" Type="http://schemas.openxmlformats.org/officeDocument/2006/relationships/hyperlink" Target="https://ref.ly/2Sam5:1-2Sam5:4" TargetMode="External"/><Relationship Id="rId11223" Type="http://schemas.openxmlformats.org/officeDocument/2006/relationships/hyperlink" Target="https://ref.ly/1Sam12:3-1Sam12:5" TargetMode="External"/><Relationship Id="rId11224" Type="http://schemas.openxmlformats.org/officeDocument/2006/relationships/hyperlink" Target="https://ref.ly/2Sam1:14-2Sam1:16" TargetMode="External"/><Relationship Id="rId11225" Type="http://schemas.openxmlformats.org/officeDocument/2006/relationships/hyperlink" Target="https://ref.ly/Ps89:38,Ps89:51" TargetMode="External"/><Relationship Id="rId11226" Type="http://schemas.openxmlformats.org/officeDocument/2006/relationships/hyperlink" Target="https://ref.ly/Lam4:20" TargetMode="External"/><Relationship Id="rId11227" Type="http://schemas.openxmlformats.org/officeDocument/2006/relationships/hyperlink" Target="https://ref.ly/Mic6:15" TargetMode="External"/><Relationship Id="rId11228" Type="http://schemas.openxmlformats.org/officeDocument/2006/relationships/hyperlink" Target="https://ref.ly/Dan10:3" TargetMode="External"/><Relationship Id="rId11229" Type="http://schemas.openxmlformats.org/officeDocument/2006/relationships/hyperlink" Target="https://ref.ly/Matt6:17" TargetMode="External"/><Relationship Id="rId11230" Type="http://schemas.openxmlformats.org/officeDocument/2006/relationships/hyperlink" Target="https://ref.ly/Jas5:14-Jas5:16" TargetMode="External"/><Relationship Id="rId11231" Type="http://schemas.openxmlformats.org/officeDocument/2006/relationships/hyperlink" Target="https://ref.ly/Mark6:12-Mark6:13" TargetMode="External"/><Relationship Id="rId11232" Type="http://schemas.openxmlformats.org/officeDocument/2006/relationships/hyperlink" Target="https://ref.ly/Lev11:19" TargetMode="External"/><Relationship Id="rId11233" Type="http://schemas.openxmlformats.org/officeDocument/2006/relationships/hyperlink" Target="https://ref.ly/Deut14:18" TargetMode="External"/><Relationship Id="rId11234" Type="http://schemas.openxmlformats.org/officeDocument/2006/relationships/hyperlink" Target="https://ref.ly/Ps50:11" TargetMode="External"/><Relationship Id="rId11235" Type="http://schemas.openxmlformats.org/officeDocument/2006/relationships/hyperlink" Target="https://ref.ly/Matt10:29" TargetMode="External"/><Relationship Id="rId11236" Type="http://schemas.openxmlformats.org/officeDocument/2006/relationships/hyperlink" Target="https://ref.ly/Gen9:10" TargetMode="External"/><Relationship Id="rId11237" Type="http://schemas.openxmlformats.org/officeDocument/2006/relationships/hyperlink" Target="https://ref.ly/Acts10:12" TargetMode="External"/><Relationship Id="rId11238" Type="http://schemas.openxmlformats.org/officeDocument/2006/relationships/hyperlink" Target="https://ref.ly/Exod16:13" TargetMode="External"/><Relationship Id="rId11239" Type="http://schemas.openxmlformats.org/officeDocument/2006/relationships/hyperlink" Target="https://ref.ly/Luke2:24" TargetMode="External"/><Relationship Id="rId11240" Type="http://schemas.openxmlformats.org/officeDocument/2006/relationships/hyperlink" Target="https://ref.ly/Num6:10" TargetMode="External"/><Relationship Id="rId11241" Type="http://schemas.openxmlformats.org/officeDocument/2006/relationships/hyperlink" Target="https://ref.ly/Lev14:22" TargetMode="External"/><Relationship Id="rId11242" Type="http://schemas.openxmlformats.org/officeDocument/2006/relationships/hyperlink" Target="https://ref.ly/Lev12:8" TargetMode="External"/><Relationship Id="rId11243" Type="http://schemas.openxmlformats.org/officeDocument/2006/relationships/hyperlink" Target="https://ref.ly/Deut22:6" TargetMode="External"/><Relationship Id="rId11244" Type="http://schemas.openxmlformats.org/officeDocument/2006/relationships/hyperlink" Target="https://ref.ly/Dan4:33" TargetMode="External"/><Relationship Id="rId11245" Type="http://schemas.openxmlformats.org/officeDocument/2006/relationships/hyperlink" Target="https://ref.ly/Job28:21" TargetMode="External"/><Relationship Id="rId11246" Type="http://schemas.openxmlformats.org/officeDocument/2006/relationships/hyperlink" Target="https://ref.ly/Matt13:4" TargetMode="External"/><Relationship Id="rId11247" Type="http://schemas.openxmlformats.org/officeDocument/2006/relationships/hyperlink" Target="https://ref.ly/Ps102:7" TargetMode="External"/><Relationship Id="rId11248" Type="http://schemas.openxmlformats.org/officeDocument/2006/relationships/hyperlink" Target="https://ref.ly/Lam3:52" TargetMode="External"/><Relationship Id="rId11249" Type="http://schemas.openxmlformats.org/officeDocument/2006/relationships/hyperlink" Target="https://ref.ly/Jer9:10" TargetMode="External"/><Relationship Id="rId11250" Type="http://schemas.openxmlformats.org/officeDocument/2006/relationships/hyperlink" Target="https://ref.ly/Matt6:26" TargetMode="External"/><Relationship Id="rId11251" Type="http://schemas.openxmlformats.org/officeDocument/2006/relationships/hyperlink" Target="https://ref.ly/Ezek31:6" TargetMode="External"/><Relationship Id="rId11252" Type="http://schemas.openxmlformats.org/officeDocument/2006/relationships/hyperlink" Target="https://ref.ly/Dan2:38" TargetMode="External"/><Relationship Id="rId11253" Type="http://schemas.openxmlformats.org/officeDocument/2006/relationships/hyperlink" Target="https://ref.ly/Dan4:14" TargetMode="External"/><Relationship Id="rId11254" Type="http://schemas.openxmlformats.org/officeDocument/2006/relationships/hyperlink" Target="https://ref.ly/Matt13:32" TargetMode="External"/><Relationship Id="rId11255" Type="http://schemas.openxmlformats.org/officeDocument/2006/relationships/hyperlink" Target="https://ref.ly/Ps104:12" TargetMode="External"/><Relationship Id="rId11256" Type="http://schemas.openxmlformats.org/officeDocument/2006/relationships/hyperlink" Target="https://ref.ly/Prov1:17" TargetMode="External"/><Relationship Id="rId11257" Type="http://schemas.openxmlformats.org/officeDocument/2006/relationships/hyperlink" Target="https://ref.ly/Prov6:5" TargetMode="External"/><Relationship Id="rId11258" Type="http://schemas.openxmlformats.org/officeDocument/2006/relationships/hyperlink" Target="https://ref.ly/Prov7:23" TargetMode="External"/><Relationship Id="rId11259" Type="http://schemas.openxmlformats.org/officeDocument/2006/relationships/hyperlink" Target="https://ref.ly/Jas3:7" TargetMode="External"/><Relationship Id="rId11260" Type="http://schemas.openxmlformats.org/officeDocument/2006/relationships/hyperlink" Target="https://ref.ly/Prov26:2" TargetMode="External"/><Relationship Id="rId11261" Type="http://schemas.openxmlformats.org/officeDocument/2006/relationships/hyperlink" Target="https://ref.ly/Ps11:1" TargetMode="External"/><Relationship Id="rId11262" Type="http://schemas.openxmlformats.org/officeDocument/2006/relationships/hyperlink" Target="https://ref.ly/Song2:12" TargetMode="External"/><Relationship Id="rId11263" Type="http://schemas.openxmlformats.org/officeDocument/2006/relationships/hyperlink" Target="https://ref.ly/Hos11:11" TargetMode="External"/><Relationship Id="rId11264" Type="http://schemas.openxmlformats.org/officeDocument/2006/relationships/hyperlink" Target="https://ref.ly/Matt23:37" TargetMode="External"/><Relationship Id="rId11265" Type="http://schemas.openxmlformats.org/officeDocument/2006/relationships/hyperlink" Target="https://ref.ly/Gen40:17" TargetMode="External"/><Relationship Id="rId11266" Type="http://schemas.openxmlformats.org/officeDocument/2006/relationships/hyperlink" Target="https://ref.ly/Eccl10:20" TargetMode="External"/><Relationship Id="rId11267" Type="http://schemas.openxmlformats.org/officeDocument/2006/relationships/hyperlink" Target="https://ref.ly/Isa46:11" TargetMode="External"/><Relationship Id="rId11268" Type="http://schemas.openxmlformats.org/officeDocument/2006/relationships/hyperlink" Target="https://ref.ly/Jer7:33" TargetMode="External"/><Relationship Id="rId11269" Type="http://schemas.openxmlformats.org/officeDocument/2006/relationships/hyperlink" Target="https://ref.ly/Jer12:9" TargetMode="External"/><Relationship Id="rId11270" Type="http://schemas.openxmlformats.org/officeDocument/2006/relationships/hyperlink" Target="https://ref.ly/Ezek29:5" TargetMode="External"/><Relationship Id="rId11271" Type="http://schemas.openxmlformats.org/officeDocument/2006/relationships/hyperlink" Target="https://ref.ly/Ezek39:4" TargetMode="External"/><Relationship Id="rId11272" Type="http://schemas.openxmlformats.org/officeDocument/2006/relationships/hyperlink" Target="https://ref.ly/Rev19:17,Rev19:21" TargetMode="External"/><Relationship Id="rId11273" Type="http://schemas.openxmlformats.org/officeDocument/2006/relationships/hyperlink" Target="https://ref.ly/Matt24:28" TargetMode="External"/><Relationship Id="rId11274" Type="http://schemas.openxmlformats.org/officeDocument/2006/relationships/hyperlink" Target="https://ref.ly/2Sam1:23" TargetMode="External"/><Relationship Id="rId11275" Type="http://schemas.openxmlformats.org/officeDocument/2006/relationships/hyperlink" Target="https://ref.ly/Jer4:13" TargetMode="External"/><Relationship Id="rId11276" Type="http://schemas.openxmlformats.org/officeDocument/2006/relationships/hyperlink" Target="https://ref.ly/Jer49:22" TargetMode="External"/><Relationship Id="rId11277" Type="http://schemas.openxmlformats.org/officeDocument/2006/relationships/hyperlink" Target="https://ref.ly/Lam4:19" TargetMode="External"/><Relationship Id="rId11278" Type="http://schemas.openxmlformats.org/officeDocument/2006/relationships/hyperlink" Target="https://ref.ly/Hab1:8" TargetMode="External"/><Relationship Id="rId11279" Type="http://schemas.openxmlformats.org/officeDocument/2006/relationships/hyperlink" Target="https://ref.ly/Deut28:49" TargetMode="External"/><Relationship Id="rId11280" Type="http://schemas.openxmlformats.org/officeDocument/2006/relationships/hyperlink" Target="https://ref.ly/Prov23:4-Prov23:5" TargetMode="External"/><Relationship Id="rId11281" Type="http://schemas.openxmlformats.org/officeDocument/2006/relationships/hyperlink" Target="https://ref.ly/Jer49:16" TargetMode="External"/><Relationship Id="rId11282" Type="http://schemas.openxmlformats.org/officeDocument/2006/relationships/hyperlink" Target="https://ref.ly/Job39:27-Job39:28" TargetMode="External"/><Relationship Id="rId11283" Type="http://schemas.openxmlformats.org/officeDocument/2006/relationships/hyperlink" Target="https://ref.ly/Obad1:4" TargetMode="External"/><Relationship Id="rId11284" Type="http://schemas.openxmlformats.org/officeDocument/2006/relationships/hyperlink" Target="https://ref.ly/Exod19:4" TargetMode="External"/><Relationship Id="rId11285" Type="http://schemas.openxmlformats.org/officeDocument/2006/relationships/hyperlink" Target="https://ref.ly/Deut32:11" TargetMode="External"/><Relationship Id="rId11286" Type="http://schemas.openxmlformats.org/officeDocument/2006/relationships/hyperlink" Target="https://ref.ly/Ps103:5" TargetMode="External"/><Relationship Id="rId11287" Type="http://schemas.openxmlformats.org/officeDocument/2006/relationships/hyperlink" Target="https://ref.ly/Job39:27-Job39:30" TargetMode="External"/><Relationship Id="rId11288" Type="http://schemas.openxmlformats.org/officeDocument/2006/relationships/hyperlink" Target="https://ref.ly/Prov30:18-Prov30:19" TargetMode="External"/><Relationship Id="rId11289" Type="http://schemas.openxmlformats.org/officeDocument/2006/relationships/hyperlink" Target="https://ref.ly/Rev4:7" TargetMode="External"/><Relationship Id="rId11290" Type="http://schemas.openxmlformats.org/officeDocument/2006/relationships/hyperlink" Target="https://ref.ly/Lev11:16" TargetMode="External"/><Relationship Id="rId11291" Type="http://schemas.openxmlformats.org/officeDocument/2006/relationships/hyperlink" Target="https://ref.ly/Deut14:15" TargetMode="External"/><Relationship Id="rId11292" Type="http://schemas.openxmlformats.org/officeDocument/2006/relationships/hyperlink" Target="https://ref.ly/Job30:29" TargetMode="External"/><Relationship Id="rId11293" Type="http://schemas.openxmlformats.org/officeDocument/2006/relationships/hyperlink" Target="https://ref.ly/Isa13:21" TargetMode="External"/><Relationship Id="rId11294" Type="http://schemas.openxmlformats.org/officeDocument/2006/relationships/hyperlink" Target="https://ref.ly/Isa34:13" TargetMode="External"/><Relationship Id="rId11295" Type="http://schemas.openxmlformats.org/officeDocument/2006/relationships/hyperlink" Target="https://ref.ly/Isa43:20" TargetMode="External"/><Relationship Id="rId11296" Type="http://schemas.openxmlformats.org/officeDocument/2006/relationships/hyperlink" Target="https://ref.ly/Jer50:39" TargetMode="External"/><Relationship Id="rId11297" Type="http://schemas.openxmlformats.org/officeDocument/2006/relationships/hyperlink" Target="https://ref.ly/Job39:13-Job39:18" TargetMode="External"/><Relationship Id="rId11298" Type="http://schemas.openxmlformats.org/officeDocument/2006/relationships/hyperlink" Target="https://ref.ly/Lam4:3" TargetMode="External"/><Relationship Id="rId11299" Type="http://schemas.openxmlformats.org/officeDocument/2006/relationships/hyperlink" Target="https://ref.ly/Deut14:13" TargetMode="External"/><Relationship Id="rId11300" Type="http://schemas.openxmlformats.org/officeDocument/2006/relationships/hyperlink" Target="https://ref.ly/Job28:7" TargetMode="External"/><Relationship Id="rId11301" Type="http://schemas.openxmlformats.org/officeDocument/2006/relationships/hyperlink" Target="https://ref.ly/Isa14:23" TargetMode="External"/><Relationship Id="rId11302" Type="http://schemas.openxmlformats.org/officeDocument/2006/relationships/hyperlink" Target="https://ref.ly/Isa34:11" TargetMode="External"/><Relationship Id="rId11303" Type="http://schemas.openxmlformats.org/officeDocument/2006/relationships/hyperlink" Target="https://ref.ly/Zeph2:14" TargetMode="External"/><Relationship Id="rId11304" Type="http://schemas.openxmlformats.org/officeDocument/2006/relationships/hyperlink" Target="https://ref.ly/Ps105:40" TargetMode="External"/><Relationship Id="rId11305" Type="http://schemas.openxmlformats.org/officeDocument/2006/relationships/hyperlink" Target="https://ref.ly/Ps78:26-Ps78:28" TargetMode="External"/><Relationship Id="rId11306" Type="http://schemas.openxmlformats.org/officeDocument/2006/relationships/hyperlink" Target="https://ref.ly/Ps102:6" TargetMode="External"/><Relationship Id="rId11307" Type="http://schemas.openxmlformats.org/officeDocument/2006/relationships/hyperlink" Target="https://ref.ly/Lev11:17" TargetMode="External"/><Relationship Id="rId11308" Type="http://schemas.openxmlformats.org/officeDocument/2006/relationships/hyperlink" Target="https://ref.ly/Deut14:16" TargetMode="External"/><Relationship Id="rId11309" Type="http://schemas.openxmlformats.org/officeDocument/2006/relationships/hyperlink" Target="https://ref.ly/Ps104:17" TargetMode="External"/><Relationship Id="rId11310" Type="http://schemas.openxmlformats.org/officeDocument/2006/relationships/hyperlink" Target="https://ref.ly/Jer8:7" TargetMode="External"/><Relationship Id="rId11311" Type="http://schemas.openxmlformats.org/officeDocument/2006/relationships/hyperlink" Target="https://ref.ly/Zech5:9" TargetMode="External"/><Relationship Id="rId11312" Type="http://schemas.openxmlformats.org/officeDocument/2006/relationships/hyperlink" Target="https://ref.ly/Lev11:14" TargetMode="External"/><Relationship Id="rId11313" Type="http://schemas.openxmlformats.org/officeDocument/2006/relationships/hyperlink" Target="https://ref.ly/Gen8:7" TargetMode="External"/><Relationship Id="rId11314" Type="http://schemas.openxmlformats.org/officeDocument/2006/relationships/hyperlink" Target="https://ref.ly/Lev11:15" TargetMode="External"/><Relationship Id="rId11315" Type="http://schemas.openxmlformats.org/officeDocument/2006/relationships/hyperlink" Target="https://ref.ly/Deut14:14" TargetMode="External"/><Relationship Id="rId11316" Type="http://schemas.openxmlformats.org/officeDocument/2006/relationships/hyperlink" Target="https://ref.ly/1Kgs17:4-1Kgs17:6" TargetMode="External"/><Relationship Id="rId11317" Type="http://schemas.openxmlformats.org/officeDocument/2006/relationships/hyperlink" Target="https://ref.ly/Job38:41" TargetMode="External"/><Relationship Id="rId11318" Type="http://schemas.openxmlformats.org/officeDocument/2006/relationships/hyperlink" Target="https://ref.ly/Ps147:9" TargetMode="External"/><Relationship Id="rId11319" Type="http://schemas.openxmlformats.org/officeDocument/2006/relationships/hyperlink" Target="https://ref.ly/Luke12:24" TargetMode="External"/><Relationship Id="rId11320" Type="http://schemas.openxmlformats.org/officeDocument/2006/relationships/hyperlink" Target="https://ref.ly/Deut14:17" TargetMode="External"/><Relationship Id="rId11321" Type="http://schemas.openxmlformats.org/officeDocument/2006/relationships/hyperlink" Target="https://ref.ly/Lev11:18" TargetMode="External"/><Relationship Id="rId11322" Type="http://schemas.openxmlformats.org/officeDocument/2006/relationships/hyperlink" Target="https://ref.ly/Job39:26" TargetMode="External"/><Relationship Id="rId11323" Type="http://schemas.openxmlformats.org/officeDocument/2006/relationships/hyperlink" Target="https://ref.ly/Isa38:14" TargetMode="External"/><Relationship Id="rId11324" Type="http://schemas.openxmlformats.org/officeDocument/2006/relationships/hyperlink" Target="https://ref.ly/Lev11:13" TargetMode="External"/><Relationship Id="rId11325" Type="http://schemas.openxmlformats.org/officeDocument/2006/relationships/hyperlink" Target="https://ref.ly/Ps84:3" TargetMode="External"/><Relationship Id="rId11326" Type="http://schemas.openxmlformats.org/officeDocument/2006/relationships/hyperlink" Target="https://ref.ly/Luke12:6" TargetMode="External"/><Relationship Id="rId11327" Type="http://schemas.openxmlformats.org/officeDocument/2006/relationships/hyperlink" Target="https://ref.ly/1Kgs10:22" TargetMode="External"/><Relationship Id="rId11328" Type="http://schemas.openxmlformats.org/officeDocument/2006/relationships/hyperlink" Target="https://ref.ly/2Chr9:21" TargetMode="External"/><Relationship Id="rId11329" Type="http://schemas.openxmlformats.org/officeDocument/2006/relationships/hyperlink" Target="https://ref.ly/Jer17:11" TargetMode="External"/><Relationship Id="rId11330" Type="http://schemas.openxmlformats.org/officeDocument/2006/relationships/hyperlink" Target="https://ref.ly/Isa34:14" TargetMode="External"/><Relationship Id="rId11331" Type="http://schemas.openxmlformats.org/officeDocument/2006/relationships/hyperlink" Target="https://ref.ly/Ps68:13" TargetMode="External"/><Relationship Id="rId11332" Type="http://schemas.openxmlformats.org/officeDocument/2006/relationships/hyperlink" Target="https://ref.ly/Song2:14" TargetMode="External"/><Relationship Id="rId11333" Type="http://schemas.openxmlformats.org/officeDocument/2006/relationships/hyperlink" Target="https://ref.ly/Jer48:28" TargetMode="External"/><Relationship Id="rId11334" Type="http://schemas.openxmlformats.org/officeDocument/2006/relationships/hyperlink" Target="https://ref.ly/Song1:15" TargetMode="External"/><Relationship Id="rId11335" Type="http://schemas.openxmlformats.org/officeDocument/2006/relationships/hyperlink" Target="https://ref.ly/Song4:1" TargetMode="External"/><Relationship Id="rId11336" Type="http://schemas.openxmlformats.org/officeDocument/2006/relationships/hyperlink" Target="https://ref.ly/Song5:2" TargetMode="External"/><Relationship Id="rId11337" Type="http://schemas.openxmlformats.org/officeDocument/2006/relationships/hyperlink" Target="https://ref.ly/Gen8:8-Gen8:12" TargetMode="External"/><Relationship Id="rId11338" Type="http://schemas.openxmlformats.org/officeDocument/2006/relationships/hyperlink" Target="https://ref.ly/Isa60:8" TargetMode="External"/><Relationship Id="rId11339" Type="http://schemas.openxmlformats.org/officeDocument/2006/relationships/hyperlink" Target="https://ref.ly/Gen15:7-Gen15:10" TargetMode="External"/><Relationship Id="rId11340" Type="http://schemas.openxmlformats.org/officeDocument/2006/relationships/hyperlink" Target="https://ref.ly/Lev1:14" TargetMode="External"/><Relationship Id="rId11341" Type="http://schemas.openxmlformats.org/officeDocument/2006/relationships/hyperlink" Target="https://ref.ly/Lev12:6" TargetMode="External"/><Relationship Id="rId11342" Type="http://schemas.openxmlformats.org/officeDocument/2006/relationships/hyperlink" Target="https://ref.ly/Isa59:11" TargetMode="External"/><Relationship Id="rId11343" Type="http://schemas.openxmlformats.org/officeDocument/2006/relationships/hyperlink" Target="https://ref.ly/Ezek7:16" TargetMode="External"/><Relationship Id="rId11344" Type="http://schemas.openxmlformats.org/officeDocument/2006/relationships/hyperlink" Target="https://ref.ly/Nah2:7" TargetMode="External"/><Relationship Id="rId11345" Type="http://schemas.openxmlformats.org/officeDocument/2006/relationships/hyperlink" Target="https://ref.ly/Ps55:6" TargetMode="External"/><Relationship Id="rId11346" Type="http://schemas.openxmlformats.org/officeDocument/2006/relationships/hyperlink" Target="https://ref.ly/Song5:12" TargetMode="External"/><Relationship Id="rId11347" Type="http://schemas.openxmlformats.org/officeDocument/2006/relationships/hyperlink" Target="https://ref.ly/Song6:9" TargetMode="External"/><Relationship Id="rId11348" Type="http://schemas.openxmlformats.org/officeDocument/2006/relationships/hyperlink" Target="https://ref.ly/Ps74:19" TargetMode="External"/><Relationship Id="rId11349" Type="http://schemas.openxmlformats.org/officeDocument/2006/relationships/hyperlink" Target="https://ref.ly/Hos7:11" TargetMode="External"/><Relationship Id="rId11350" Type="http://schemas.openxmlformats.org/officeDocument/2006/relationships/hyperlink" Target="https://ref.ly/Deut14:12" TargetMode="External"/><Relationship Id="rId11351" Type="http://schemas.openxmlformats.org/officeDocument/2006/relationships/hyperlink" Target="https://ref.ly/Job9:26" TargetMode="External"/><Relationship Id="rId11352" Type="http://schemas.openxmlformats.org/officeDocument/2006/relationships/hyperlink" Target="https://ref.ly/Prov23:5" TargetMode="External"/><Relationship Id="rId11353" Type="http://schemas.openxmlformats.org/officeDocument/2006/relationships/hyperlink" Target="https://ref.ly/Prov30:19" TargetMode="External"/><Relationship Id="rId11354" Type="http://schemas.openxmlformats.org/officeDocument/2006/relationships/hyperlink" Target="https://ref.ly/Isa40:31" TargetMode="External"/><Relationship Id="rId11355" Type="http://schemas.openxmlformats.org/officeDocument/2006/relationships/hyperlink" Target="https://ref.ly/Lev11:13,Lev11:18" TargetMode="External"/><Relationship Id="rId11356" Type="http://schemas.openxmlformats.org/officeDocument/2006/relationships/hyperlink" Target="https://ref.ly/Deut14:12,Deut14:17" TargetMode="External"/><Relationship Id="rId11357" Type="http://schemas.openxmlformats.org/officeDocument/2006/relationships/hyperlink" Target="https://ref.ly/Ezek17:3,Ezek17:7" TargetMode="External"/><Relationship Id="rId11358" Type="http://schemas.openxmlformats.org/officeDocument/2006/relationships/hyperlink" Target="https://ref.ly/Isa34:15" TargetMode="External"/><Relationship Id="rId11359" Type="http://schemas.openxmlformats.org/officeDocument/2006/relationships/hyperlink" Target="https://ref.ly/Prov30:31" TargetMode="External"/><Relationship Id="rId11360" Type="http://schemas.openxmlformats.org/officeDocument/2006/relationships/hyperlink" Target="https://ref.ly/2Kgs25:23" TargetMode="External"/><Relationship Id="rId11361" Type="http://schemas.openxmlformats.org/officeDocument/2006/relationships/hyperlink" Target="https://ref.ly/Neh5:18" TargetMode="External"/><Relationship Id="rId11362" Type="http://schemas.openxmlformats.org/officeDocument/2006/relationships/hyperlink" Target="https://ref.ly/Luke13:34" TargetMode="External"/><Relationship Id="rId11363" Type="http://schemas.openxmlformats.org/officeDocument/2006/relationships/hyperlink" Target="https://ref.ly/Matt26:34,Matt26:74" TargetMode="External"/><Relationship Id="rId11364" Type="http://schemas.openxmlformats.org/officeDocument/2006/relationships/hyperlink" Target="https://ref.ly/Luke22:34,Luke22:60-Luke22:61" TargetMode="External"/><Relationship Id="rId11365" Type="http://schemas.openxmlformats.org/officeDocument/2006/relationships/hyperlink" Target="https://ref.ly/Luke24:9,Luke24:33" TargetMode="External"/><Relationship Id="rId11366" Type="http://schemas.openxmlformats.org/officeDocument/2006/relationships/hyperlink" Target="https://ref.ly/Acts2:14" TargetMode="External"/><Relationship Id="rId11367" Type="http://schemas.openxmlformats.org/officeDocument/2006/relationships/hyperlink" Target="https://ref.ly/1Kgs22:48-1Kgs22:49" TargetMode="External"/><Relationship Id="rId11368" Type="http://schemas.openxmlformats.org/officeDocument/2006/relationships/hyperlink" Target="https://ref.ly/Job22:24" TargetMode="External"/><Relationship Id="rId11369" Type="http://schemas.openxmlformats.org/officeDocument/2006/relationships/hyperlink" Target="https://ref.ly/Job28:16" TargetMode="External"/><Relationship Id="rId11370" Type="http://schemas.openxmlformats.org/officeDocument/2006/relationships/hyperlink" Target="https://ref.ly/Ps45:9" TargetMode="External"/><Relationship Id="rId11371" Type="http://schemas.openxmlformats.org/officeDocument/2006/relationships/hyperlink" Target="https://ref.ly/Num24:3-Num24:16" TargetMode="External"/><Relationship Id="rId11372" Type="http://schemas.openxmlformats.org/officeDocument/2006/relationships/hyperlink" Target="https://ref.ly/Rom3:2" TargetMode="External"/><Relationship Id="rId11373" Type="http://schemas.openxmlformats.org/officeDocument/2006/relationships/hyperlink" Target="https://ref.ly/2Kgs9:25" TargetMode="External"/><Relationship Id="rId11374" Type="http://schemas.openxmlformats.org/officeDocument/2006/relationships/hyperlink" Target="https://ref.ly/2Chr24:27" TargetMode="External"/><Relationship Id="rId11375" Type="http://schemas.openxmlformats.org/officeDocument/2006/relationships/hyperlink" Target="https://ref.ly/Isa21:1" TargetMode="External"/><Relationship Id="rId11376" Type="http://schemas.openxmlformats.org/officeDocument/2006/relationships/hyperlink" Target="https://ref.ly/Isa22:1" TargetMode="External"/><Relationship Id="rId11377" Type="http://schemas.openxmlformats.org/officeDocument/2006/relationships/hyperlink" Target="https://ref.ly/Isa15:1" TargetMode="External"/><Relationship Id="rId11378" Type="http://schemas.openxmlformats.org/officeDocument/2006/relationships/hyperlink" Target="https://ref.ly/Isa14:28" TargetMode="External"/><Relationship Id="rId11379" Type="http://schemas.openxmlformats.org/officeDocument/2006/relationships/hyperlink" Target="https://ref.ly/Isa23:1" TargetMode="External"/><Relationship Id="rId11380" Type="http://schemas.openxmlformats.org/officeDocument/2006/relationships/hyperlink" Target="https://ref.ly/Mal1:1" TargetMode="External"/><Relationship Id="rId11381" Type="http://schemas.openxmlformats.org/officeDocument/2006/relationships/hyperlink" Target="https://ref.ly/Lam2:14" TargetMode="External"/><Relationship Id="rId11382" Type="http://schemas.openxmlformats.org/officeDocument/2006/relationships/hyperlink" Target="https://ref.ly/Exod26:19-Exod26:25" TargetMode="External"/><Relationship Id="rId11383" Type="http://schemas.openxmlformats.org/officeDocument/2006/relationships/hyperlink" Target="https://ref.ly/Num7:13-Num7:85" TargetMode="External"/><Relationship Id="rId11384" Type="http://schemas.openxmlformats.org/officeDocument/2006/relationships/hyperlink" Target="https://ref.ly/2Tim2:20" TargetMode="External"/><Relationship Id="rId11385" Type="http://schemas.openxmlformats.org/officeDocument/2006/relationships/hyperlink" Target="https://ref.ly/1Sam31:11-1Sam31:13" TargetMode="External"/><Relationship Id="rId11386" Type="http://schemas.openxmlformats.org/officeDocument/2006/relationships/hyperlink" Target="https://ref.ly/2Kgs23:14-2Kgs23:18" TargetMode="External"/><Relationship Id="rId11387" Type="http://schemas.openxmlformats.org/officeDocument/2006/relationships/hyperlink" Target="https://ref.ly/Ezek39:14-Ezek39:16" TargetMode="External"/><Relationship Id="rId11388" Type="http://schemas.openxmlformats.org/officeDocument/2006/relationships/hyperlink" Target="https://ref.ly/Amos2:1" TargetMode="External"/><Relationship Id="rId11389" Type="http://schemas.openxmlformats.org/officeDocument/2006/relationships/hyperlink" Target="https://ref.ly/Ezek37:1-Ezek37:14" TargetMode="External"/><Relationship Id="rId11390" Type="http://schemas.openxmlformats.org/officeDocument/2006/relationships/hyperlink" Target="https://ref.ly/Exod12:46" TargetMode="External"/><Relationship Id="rId11391" Type="http://schemas.openxmlformats.org/officeDocument/2006/relationships/hyperlink" Target="https://ref.ly/Num9:11-Num9:12" TargetMode="External"/><Relationship Id="rId11392" Type="http://schemas.openxmlformats.org/officeDocument/2006/relationships/hyperlink" Target="https://ref.ly/Ps34:20" TargetMode="External"/><Relationship Id="rId11393" Type="http://schemas.openxmlformats.org/officeDocument/2006/relationships/hyperlink" Target="https://ref.ly/John1:36" TargetMode="External"/><Relationship Id="rId11394" Type="http://schemas.openxmlformats.org/officeDocument/2006/relationships/hyperlink" Target="https://ref.ly/John19:30-John19:37" TargetMode="External"/><Relationship Id="rId11395" Type="http://schemas.openxmlformats.org/officeDocument/2006/relationships/hyperlink" Target="https://ref.ly/Job2:5" TargetMode="External"/><Relationship Id="rId11396" Type="http://schemas.openxmlformats.org/officeDocument/2006/relationships/hyperlink" Target="https://ref.ly/Gen29:14" TargetMode="External"/><Relationship Id="rId11397" Type="http://schemas.openxmlformats.org/officeDocument/2006/relationships/hyperlink" Target="https://ref.ly/Hos1:1,Hos1:7,Hos1:11" TargetMode="External"/><Relationship Id="rId11398" Type="http://schemas.openxmlformats.org/officeDocument/2006/relationships/hyperlink" Target="https://ref.ly/Hos4:15" TargetMode="External"/><Relationship Id="rId11399" Type="http://schemas.openxmlformats.org/officeDocument/2006/relationships/hyperlink" Target="https://ref.ly/Hos5:5,Hos5:10-Hos5:14" TargetMode="External"/><Relationship Id="rId11400" Type="http://schemas.openxmlformats.org/officeDocument/2006/relationships/hyperlink" Target="https://ref.ly/Hos6:4,Hos6:11" TargetMode="External"/><Relationship Id="rId11401" Type="http://schemas.openxmlformats.org/officeDocument/2006/relationships/hyperlink" Target="https://ref.ly/Hos8:14" TargetMode="External"/><Relationship Id="rId11402" Type="http://schemas.openxmlformats.org/officeDocument/2006/relationships/hyperlink" Target="https://ref.ly/Hos11:12" TargetMode="External"/><Relationship Id="rId11403" Type="http://schemas.openxmlformats.org/officeDocument/2006/relationships/hyperlink" Target="https://ref.ly/Hos12:2" TargetMode="External"/><Relationship Id="rId11404" Type="http://schemas.openxmlformats.org/officeDocument/2006/relationships/hyperlink" Target="https://ref.ly/Hos11:8-Hos11:11" TargetMode="External"/><Relationship Id="rId11405" Type="http://schemas.openxmlformats.org/officeDocument/2006/relationships/hyperlink" Target="https://ref.ly/Hos14:2-Hos14:9" TargetMode="External"/><Relationship Id="rId11406" Type="http://schemas.openxmlformats.org/officeDocument/2006/relationships/hyperlink" Target="https://ref.ly/Hos4:1-Hos4:2" TargetMode="External"/><Relationship Id="rId11407" Type="http://schemas.openxmlformats.org/officeDocument/2006/relationships/hyperlink" Target="https://ref.ly/Hos7:1-Hos7:7" TargetMode="External"/><Relationship Id="rId11408" Type="http://schemas.openxmlformats.org/officeDocument/2006/relationships/hyperlink" Target="https://ref.ly/Hos8:3-Hos8:4" TargetMode="External"/><Relationship Id="rId11409" Type="http://schemas.openxmlformats.org/officeDocument/2006/relationships/hyperlink" Target="https://ref.ly/Hos9:15" TargetMode="External"/><Relationship Id="rId11410" Type="http://schemas.openxmlformats.org/officeDocument/2006/relationships/hyperlink" Target="https://ref.ly/Hos10:14" TargetMode="External"/><Relationship Id="rId11411" Type="http://schemas.openxmlformats.org/officeDocument/2006/relationships/hyperlink" Target="https://ref.ly/2Kgs17:3" TargetMode="External"/><Relationship Id="rId11412" Type="http://schemas.openxmlformats.org/officeDocument/2006/relationships/hyperlink" Target="https://ref.ly/Hos5:13" TargetMode="External"/><Relationship Id="rId11413" Type="http://schemas.openxmlformats.org/officeDocument/2006/relationships/hyperlink" Target="https://ref.ly/Hos10:6" TargetMode="External"/><Relationship Id="rId11414" Type="http://schemas.openxmlformats.org/officeDocument/2006/relationships/hyperlink" Target="https://ref.ly/Hos10:5-Hos10:6" TargetMode="External"/><Relationship Id="rId11415" Type="http://schemas.openxmlformats.org/officeDocument/2006/relationships/hyperlink" Target="https://ref.ly/Hos13:15-Hos13:16" TargetMode="External"/><Relationship Id="rId11416" Type="http://schemas.openxmlformats.org/officeDocument/2006/relationships/hyperlink" Target="https://ref.ly/Hos7:5" TargetMode="External"/><Relationship Id="rId11417" Type="http://schemas.openxmlformats.org/officeDocument/2006/relationships/hyperlink" Target="https://ref.ly/Hos12:11" TargetMode="External"/><Relationship Id="rId11418" Type="http://schemas.openxmlformats.org/officeDocument/2006/relationships/hyperlink" Target="https://ref.ly/Hos2:19" TargetMode="External"/><Relationship Id="rId11419" Type="http://schemas.openxmlformats.org/officeDocument/2006/relationships/hyperlink" Target="https://ref.ly/Hos1:2-Hos3:5" TargetMode="External"/><Relationship Id="rId11420" Type="http://schemas.openxmlformats.org/officeDocument/2006/relationships/hyperlink" Target="https://ref.ly/Hos1:1-Hos1:11" TargetMode="External"/><Relationship Id="rId11421" Type="http://schemas.openxmlformats.org/officeDocument/2006/relationships/hyperlink" Target="https://ref.ly/Hos1:2" TargetMode="External"/><Relationship Id="rId11422" Type="http://schemas.openxmlformats.org/officeDocument/2006/relationships/hyperlink" Target="https://ref.ly/Hos6:11" TargetMode="External"/><Relationship Id="rId11423" Type="http://schemas.openxmlformats.org/officeDocument/2006/relationships/hyperlink" Target="https://ref.ly/Hos1:4" TargetMode="External"/><Relationship Id="rId11424" Type="http://schemas.openxmlformats.org/officeDocument/2006/relationships/hyperlink" Target="https://ref.ly/2Kgs10:1-2Kgs10:11,2Kgs10:30" TargetMode="External"/><Relationship Id="rId11425" Type="http://schemas.openxmlformats.org/officeDocument/2006/relationships/hyperlink" Target="https://ref.ly/Hos1:6" TargetMode="External"/><Relationship Id="rId11426" Type="http://schemas.openxmlformats.org/officeDocument/2006/relationships/hyperlink" Target="https://ref.ly/Hos1:8-Hos1:9" TargetMode="External"/><Relationship Id="rId11427" Type="http://schemas.openxmlformats.org/officeDocument/2006/relationships/hyperlink" Target="https://ref.ly/Hos1:10-Hos2:1" TargetMode="External"/><Relationship Id="rId11428" Type="http://schemas.openxmlformats.org/officeDocument/2006/relationships/hyperlink" Target="https://ref.ly/Gen22:17" TargetMode="External"/><Relationship Id="rId11429" Type="http://schemas.openxmlformats.org/officeDocument/2006/relationships/hyperlink" Target="https://ref.ly/Exod19:1-Exod19:7" TargetMode="External"/><Relationship Id="rId11430" Type="http://schemas.openxmlformats.org/officeDocument/2006/relationships/hyperlink" Target="https://ref.ly/Hos2:8,Hos2:12" TargetMode="External"/><Relationship Id="rId11431" Type="http://schemas.openxmlformats.org/officeDocument/2006/relationships/hyperlink" Target="https://ref.ly/Jer3:1-Jer4:2" TargetMode="External"/><Relationship Id="rId11432" Type="http://schemas.openxmlformats.org/officeDocument/2006/relationships/hyperlink" Target="https://ref.ly/Hos2:2-Hos2:5" TargetMode="External"/><Relationship Id="rId11433" Type="http://schemas.openxmlformats.org/officeDocument/2006/relationships/hyperlink" Target="https://ref.ly/Hos3:2" TargetMode="External"/><Relationship Id="rId11434" Type="http://schemas.openxmlformats.org/officeDocument/2006/relationships/hyperlink" Target="https://ref.ly/Hos3:3" TargetMode="External"/><Relationship Id="rId11435" Type="http://schemas.openxmlformats.org/officeDocument/2006/relationships/hyperlink" Target="https://ref.ly/Deut30:2" TargetMode="External"/><Relationship Id="rId11436" Type="http://schemas.openxmlformats.org/officeDocument/2006/relationships/hyperlink" Target="https://ref.ly/Hos4:1-Hos7:16" TargetMode="External"/><Relationship Id="rId11437" Type="http://schemas.openxmlformats.org/officeDocument/2006/relationships/hyperlink" Target="https://ref.ly/Hos8:1-Hos10:15" TargetMode="External"/><Relationship Id="rId11438" Type="http://schemas.openxmlformats.org/officeDocument/2006/relationships/hyperlink" Target="https://ref.ly/Hos11:1-Hos14:9" TargetMode="External"/><Relationship Id="rId11439" Type="http://schemas.openxmlformats.org/officeDocument/2006/relationships/hyperlink" Target="https://ref.ly/Hos4:6-Hos4:9" TargetMode="External"/><Relationship Id="rId11440" Type="http://schemas.openxmlformats.org/officeDocument/2006/relationships/hyperlink" Target="https://ref.ly/Amos8:11-Amos8:12" TargetMode="External"/><Relationship Id="rId11441" Type="http://schemas.openxmlformats.org/officeDocument/2006/relationships/hyperlink" Target="https://ref.ly/Zeph1:6" TargetMode="External"/><Relationship Id="rId11442" Type="http://schemas.openxmlformats.org/officeDocument/2006/relationships/hyperlink" Target="https://ref.ly/Hos4:9" TargetMode="External"/><Relationship Id="rId11443" Type="http://schemas.openxmlformats.org/officeDocument/2006/relationships/hyperlink" Target="https://ref.ly/Hos4:12-Hos4:13" TargetMode="External"/><Relationship Id="rId11444" Type="http://schemas.openxmlformats.org/officeDocument/2006/relationships/hyperlink" Target="https://ref.ly/Hos4:6" TargetMode="External"/><Relationship Id="rId11445" Type="http://schemas.openxmlformats.org/officeDocument/2006/relationships/hyperlink" Target="https://ref.ly/Hos5:8-Hos5:14" TargetMode="External"/><Relationship Id="rId11446" Type="http://schemas.openxmlformats.org/officeDocument/2006/relationships/hyperlink" Target="https://ref.ly/Hos5:9-Hos5:12" TargetMode="External"/><Relationship Id="rId11447" Type="http://schemas.openxmlformats.org/officeDocument/2006/relationships/hyperlink" Target="https://ref.ly/Hos5:11" TargetMode="External"/><Relationship Id="rId11448" Type="http://schemas.openxmlformats.org/officeDocument/2006/relationships/hyperlink" Target="https://ref.ly/Hos5:14" TargetMode="External"/><Relationship Id="rId11449" Type="http://schemas.openxmlformats.org/officeDocument/2006/relationships/hyperlink" Target="https://ref.ly/Hos5:15-Hos6:3" TargetMode="External"/><Relationship Id="rId11450" Type="http://schemas.openxmlformats.org/officeDocument/2006/relationships/hyperlink" Target="https://ref.ly/Hos6:1" TargetMode="External"/><Relationship Id="rId11451" Type="http://schemas.openxmlformats.org/officeDocument/2006/relationships/hyperlink" Target="https://ref.ly/Deut32:39" TargetMode="External"/><Relationship Id="rId11452" Type="http://schemas.openxmlformats.org/officeDocument/2006/relationships/hyperlink" Target="https://ref.ly/Isa53:5" TargetMode="External"/><Relationship Id="rId11453" Type="http://schemas.openxmlformats.org/officeDocument/2006/relationships/hyperlink" Target="https://ref.ly/Hos6:4-Hos6:11" TargetMode="External"/><Relationship Id="rId11454" Type="http://schemas.openxmlformats.org/officeDocument/2006/relationships/hyperlink" Target="https://ref.ly/Hos6:9" TargetMode="External"/><Relationship Id="rId11455" Type="http://schemas.openxmlformats.org/officeDocument/2006/relationships/hyperlink" Target="https://ref.ly/1Sam2:12-1Sam2:17" TargetMode="External"/><Relationship Id="rId11456" Type="http://schemas.openxmlformats.org/officeDocument/2006/relationships/hyperlink" Target="https://ref.ly/Jer5:31" TargetMode="External"/><Relationship Id="rId11457" Type="http://schemas.openxmlformats.org/officeDocument/2006/relationships/hyperlink" Target="https://ref.ly/Hos6:10" TargetMode="External"/><Relationship Id="rId11458" Type="http://schemas.openxmlformats.org/officeDocument/2006/relationships/hyperlink" Target="https://ref.ly/Hos7:1-Hos7:16" TargetMode="External"/><Relationship Id="rId11459" Type="http://schemas.openxmlformats.org/officeDocument/2006/relationships/hyperlink" Target="https://ref.ly/Hos7:1" TargetMode="External"/><Relationship Id="rId11460" Type="http://schemas.openxmlformats.org/officeDocument/2006/relationships/hyperlink" Target="https://ref.ly/Hos7:2" TargetMode="External"/><Relationship Id="rId11461" Type="http://schemas.openxmlformats.org/officeDocument/2006/relationships/hyperlink" Target="https://ref.ly/Matt12:36-Matt12:37" TargetMode="External"/><Relationship Id="rId11462" Type="http://schemas.openxmlformats.org/officeDocument/2006/relationships/hyperlink" Target="https://ref.ly/Hos7:3" TargetMode="External"/><Relationship Id="rId11463" Type="http://schemas.openxmlformats.org/officeDocument/2006/relationships/hyperlink" Target="https://ref.ly/Hos7:8" TargetMode="External"/><Relationship Id="rId11464" Type="http://schemas.openxmlformats.org/officeDocument/2006/relationships/hyperlink" Target="https://ref.ly/Hos7:12" TargetMode="External"/><Relationship Id="rId11465" Type="http://schemas.openxmlformats.org/officeDocument/2006/relationships/hyperlink" Target="https://ref.ly/Heb12:5-Heb12:15" TargetMode="External"/><Relationship Id="rId11466" Type="http://schemas.openxmlformats.org/officeDocument/2006/relationships/hyperlink" Target="https://ref.ly/Hos8:1-Hos8:14" TargetMode="External"/><Relationship Id="rId11467" Type="http://schemas.openxmlformats.org/officeDocument/2006/relationships/hyperlink" Target="https://ref.ly/Hos8:7" TargetMode="External"/><Relationship Id="rId11468" Type="http://schemas.openxmlformats.org/officeDocument/2006/relationships/hyperlink" Target="https://ref.ly/Ezek17:2-Ezek17:21" TargetMode="External"/><Relationship Id="rId11469" Type="http://schemas.openxmlformats.org/officeDocument/2006/relationships/hyperlink" Target="https://ref.ly/Deut27:9-Deut29:29" TargetMode="External"/><Relationship Id="rId11470" Type="http://schemas.openxmlformats.org/officeDocument/2006/relationships/hyperlink" Target="https://ref.ly/Isa10:5" TargetMode="External"/><Relationship Id="rId11471" Type="http://schemas.openxmlformats.org/officeDocument/2006/relationships/hyperlink" Target="https://ref.ly/Hos8:2-Hos8:3" TargetMode="External"/><Relationship Id="rId11472" Type="http://schemas.openxmlformats.org/officeDocument/2006/relationships/hyperlink" Target="https://ref.ly/Hos4:1-Hos6:11" TargetMode="External"/><Relationship Id="rId11473" Type="http://schemas.openxmlformats.org/officeDocument/2006/relationships/hyperlink" Target="https://ref.ly/1Sam15:22" TargetMode="External"/><Relationship Id="rId11474" Type="http://schemas.openxmlformats.org/officeDocument/2006/relationships/hyperlink" Target="https://ref.ly/Isa1:11-Isa1:15" TargetMode="External"/><Relationship Id="rId11475" Type="http://schemas.openxmlformats.org/officeDocument/2006/relationships/hyperlink" Target="https://ref.ly/Hos8:13" TargetMode="External"/><Relationship Id="rId11476" Type="http://schemas.openxmlformats.org/officeDocument/2006/relationships/hyperlink" Target="https://ref.ly/Hos9:1-Hos9:17" TargetMode="External"/><Relationship Id="rId11477" Type="http://schemas.openxmlformats.org/officeDocument/2006/relationships/hyperlink" Target="https://ref.ly/Hos9:1" TargetMode="External"/><Relationship Id="rId11478" Type="http://schemas.openxmlformats.org/officeDocument/2006/relationships/hyperlink" Target="https://ref.ly/Hos9:2-Hos9:3" TargetMode="External"/><Relationship Id="rId11479" Type="http://schemas.openxmlformats.org/officeDocument/2006/relationships/hyperlink" Target="https://ref.ly/Hos9:4-Hos9:5" TargetMode="External"/><Relationship Id="rId11480" Type="http://schemas.openxmlformats.org/officeDocument/2006/relationships/hyperlink" Target="https://ref.ly/Hos9:6" TargetMode="External"/><Relationship Id="rId11481" Type="http://schemas.openxmlformats.org/officeDocument/2006/relationships/hyperlink" Target="https://ref.ly/Hos10:1-Hos10:15" TargetMode="External"/><Relationship Id="rId11482" Type="http://schemas.openxmlformats.org/officeDocument/2006/relationships/hyperlink" Target="https://ref.ly/Hos10:1" TargetMode="External"/><Relationship Id="rId11483" Type="http://schemas.openxmlformats.org/officeDocument/2006/relationships/hyperlink" Target="https://ref.ly/Hos10:2-Hos10:3" TargetMode="External"/><Relationship Id="rId11484" Type="http://schemas.openxmlformats.org/officeDocument/2006/relationships/hyperlink" Target="https://ref.ly/Hos9:9" TargetMode="External"/><Relationship Id="rId11485" Type="http://schemas.openxmlformats.org/officeDocument/2006/relationships/hyperlink" Target="https://ref.ly/Hos10:9" TargetMode="External"/><Relationship Id="rId11486" Type="http://schemas.openxmlformats.org/officeDocument/2006/relationships/hyperlink" Target="https://ref.ly/Hos10:10" TargetMode="External"/><Relationship Id="rId11487" Type="http://schemas.openxmlformats.org/officeDocument/2006/relationships/hyperlink" Target="https://ref.ly/Hos10:11" TargetMode="External"/><Relationship Id="rId11488" Type="http://schemas.openxmlformats.org/officeDocument/2006/relationships/hyperlink" Target="https://ref.ly/Hos11:1-Hos11:12" TargetMode="External"/><Relationship Id="rId11489" Type="http://schemas.openxmlformats.org/officeDocument/2006/relationships/hyperlink" Target="https://ref.ly/Hos11:1" TargetMode="External"/><Relationship Id="rId11490" Type="http://schemas.openxmlformats.org/officeDocument/2006/relationships/hyperlink" Target="https://ref.ly/Hos11:5" TargetMode="External"/><Relationship Id="rId11491" Type="http://schemas.openxmlformats.org/officeDocument/2006/relationships/hyperlink" Target="https://ref.ly/Hos11:5-Hos11:7" TargetMode="External"/><Relationship Id="rId11492" Type="http://schemas.openxmlformats.org/officeDocument/2006/relationships/hyperlink" Target="https://ref.ly/Hos12:1-Hos13:16" TargetMode="External"/><Relationship Id="rId11493" Type="http://schemas.openxmlformats.org/officeDocument/2006/relationships/hyperlink" Target="https://ref.ly/Hos12:1-Hos12:2" TargetMode="External"/><Relationship Id="rId11494" Type="http://schemas.openxmlformats.org/officeDocument/2006/relationships/hyperlink" Target="https://ref.ly/Hos13:9" TargetMode="External"/><Relationship Id="rId11495" Type="http://schemas.openxmlformats.org/officeDocument/2006/relationships/hyperlink" Target="https://ref.ly/Hos13:13" TargetMode="External"/><Relationship Id="rId11496" Type="http://schemas.openxmlformats.org/officeDocument/2006/relationships/hyperlink" Target="https://ref.ly/Dan12:1-Dan12:2,Dan12:13" TargetMode="External"/><Relationship Id="rId11497" Type="http://schemas.openxmlformats.org/officeDocument/2006/relationships/hyperlink" Target="https://ref.ly/Hos14:1-Hos14:9" TargetMode="External"/><Relationship Id="rId11498" Type="http://schemas.openxmlformats.org/officeDocument/2006/relationships/hyperlink" Target="https://ref.ly/Hos14:2" TargetMode="External"/><Relationship Id="rId11499" Type="http://schemas.openxmlformats.org/officeDocument/2006/relationships/hyperlink" Target="https://ref.ly/Exod24:5" TargetMode="External"/><Relationship Id="rId11500" Type="http://schemas.openxmlformats.org/officeDocument/2006/relationships/hyperlink" Target="https://ref.ly/Lev7:11-Lev7:15" TargetMode="External"/><Relationship Id="rId11501" Type="http://schemas.openxmlformats.org/officeDocument/2006/relationships/hyperlink" Target="https://ref.ly/Ps51:17-Ps51:19" TargetMode="External"/><Relationship Id="rId11502" Type="http://schemas.openxmlformats.org/officeDocument/2006/relationships/hyperlink" Target="https://ref.ly/Ps69:30-Ps69:31" TargetMode="External"/><Relationship Id="rId11503" Type="http://schemas.openxmlformats.org/officeDocument/2006/relationships/hyperlink" Target="https://ref.ly/Heb13:15-Heb13:16" TargetMode="External"/><Relationship Id="rId11504" Type="http://schemas.openxmlformats.org/officeDocument/2006/relationships/hyperlink" Target="https://ref.ly/Hos14:3" TargetMode="External"/><Relationship Id="rId11505" Type="http://schemas.openxmlformats.org/officeDocument/2006/relationships/hyperlink" Target="https://ref.ly/Hos14:4-Hos14:5" TargetMode="External"/><Relationship Id="rId11506" Type="http://schemas.openxmlformats.org/officeDocument/2006/relationships/hyperlink" Target="https://ref.ly/Hos14:4-Hos14:7" TargetMode="External"/><Relationship Id="rId11507" Type="http://schemas.openxmlformats.org/officeDocument/2006/relationships/hyperlink" Target="https://ref.ly/Hos14:9" TargetMode="External"/><Relationship Id="rId11508" Type="http://schemas.openxmlformats.org/officeDocument/2006/relationships/hyperlink" Target="https://ref.ly/Hos4:12-Hos4:19" TargetMode="External"/><Relationship Id="rId11509" Type="http://schemas.openxmlformats.org/officeDocument/2006/relationships/hyperlink" Target="https://ref.ly/Hos5:5" TargetMode="External"/><Relationship Id="rId11510" Type="http://schemas.openxmlformats.org/officeDocument/2006/relationships/hyperlink" Target="https://ref.ly/Hos6:6" TargetMode="External"/><Relationship Id="rId11511" Type="http://schemas.openxmlformats.org/officeDocument/2006/relationships/hyperlink" Target="https://ref.ly/Hos13:4,Hos13:9" TargetMode="External"/><Relationship Id="rId11512" Type="http://schemas.openxmlformats.org/officeDocument/2006/relationships/hyperlink" Target="https://ref.ly/Hos14:4" TargetMode="External"/><Relationship Id="rId11513" Type="http://schemas.openxmlformats.org/officeDocument/2006/relationships/hyperlink" Target="https://ref.ly/Hos12:12" TargetMode="External"/><Relationship Id="rId11514" Type="http://schemas.openxmlformats.org/officeDocument/2006/relationships/hyperlink" Target="https://ref.ly/Mark11:15-Mark11:18" TargetMode="External"/><Relationship Id="rId11515" Type="http://schemas.openxmlformats.org/officeDocument/2006/relationships/hyperlink" Target="https://ref.ly/Matt21:12-Matt21:13" TargetMode="External"/><Relationship Id="rId11516" Type="http://schemas.openxmlformats.org/officeDocument/2006/relationships/hyperlink" Target="https://ref.ly/John2:14-John2:16" TargetMode="External"/><Relationship Id="rId11517" Type="http://schemas.openxmlformats.org/officeDocument/2006/relationships/hyperlink" Target="https://ref.ly/Exod9:31-Exod9:32" TargetMode="External"/><Relationship Id="rId11518" Type="http://schemas.openxmlformats.org/officeDocument/2006/relationships/hyperlink" Target="https://ref.ly/Ruth1:22" TargetMode="External"/><Relationship Id="rId11519" Type="http://schemas.openxmlformats.org/officeDocument/2006/relationships/hyperlink" Target="https://ref.ly/Ruth2:17,Ruth2:23" TargetMode="External"/><Relationship Id="rId11520" Type="http://schemas.openxmlformats.org/officeDocument/2006/relationships/hyperlink" Target="https://ref.ly/Ruth3:2,Ruth3:15,Ruth3:17" TargetMode="External"/><Relationship Id="rId11521" Type="http://schemas.openxmlformats.org/officeDocument/2006/relationships/hyperlink" Target="https://ref.ly/2Kgs7:1,2Kgs7:16" TargetMode="External"/><Relationship Id="rId11522" Type="http://schemas.openxmlformats.org/officeDocument/2006/relationships/hyperlink" Target="https://ref.ly/1Kgs4:28" TargetMode="External"/><Relationship Id="rId11523" Type="http://schemas.openxmlformats.org/officeDocument/2006/relationships/hyperlink" Target="https://ref.ly/Exod9:32" TargetMode="External"/><Relationship Id="rId11524" Type="http://schemas.openxmlformats.org/officeDocument/2006/relationships/hyperlink" Target="https://ref.ly/Isa28:24-Isa28:28" TargetMode="External"/><Relationship Id="rId11525" Type="http://schemas.openxmlformats.org/officeDocument/2006/relationships/hyperlink" Target="https://ref.ly/Num11:8" TargetMode="External"/><Relationship Id="rId11526" Type="http://schemas.openxmlformats.org/officeDocument/2006/relationships/hyperlink" Target="https://ref.ly/Exod16:4-Exod16:32" TargetMode="External"/><Relationship Id="rId11527" Type="http://schemas.openxmlformats.org/officeDocument/2006/relationships/hyperlink" Target="https://ref.ly/Num21:5" TargetMode="External"/><Relationship Id="rId11528" Type="http://schemas.openxmlformats.org/officeDocument/2006/relationships/hyperlink" Target="https://ref.ly/Ps78:25" TargetMode="External"/><Relationship Id="rId11529" Type="http://schemas.openxmlformats.org/officeDocument/2006/relationships/hyperlink" Target="https://ref.ly/Exod12:34" TargetMode="External"/><Relationship Id="rId11530" Type="http://schemas.openxmlformats.org/officeDocument/2006/relationships/hyperlink" Target="https://ref.ly/Deut28:5,Deut28:17" TargetMode="External"/><Relationship Id="rId11531" Type="http://schemas.openxmlformats.org/officeDocument/2006/relationships/hyperlink" Target="https://ref.ly/Lev2:5" TargetMode="External"/><Relationship Id="rId11532" Type="http://schemas.openxmlformats.org/officeDocument/2006/relationships/hyperlink" Target="https://ref.ly/Lev6:21" TargetMode="External"/><Relationship Id="rId11533" Type="http://schemas.openxmlformats.org/officeDocument/2006/relationships/hyperlink" Target="https://ref.ly/1Chr9:31" TargetMode="External"/><Relationship Id="rId11534" Type="http://schemas.openxmlformats.org/officeDocument/2006/relationships/hyperlink" Target="https://ref.ly/1Chr23:29" TargetMode="External"/><Relationship Id="rId11535" Type="http://schemas.openxmlformats.org/officeDocument/2006/relationships/hyperlink" Target="https://ref.ly/2Chr35:13" TargetMode="External"/><Relationship Id="rId11536" Type="http://schemas.openxmlformats.org/officeDocument/2006/relationships/hyperlink" Target="https://ref.ly/Matt6:30" TargetMode="External"/><Relationship Id="rId11537" Type="http://schemas.openxmlformats.org/officeDocument/2006/relationships/hyperlink" Target="https://ref.ly/Ezek4:12,Ezek4:15" TargetMode="External"/><Relationship Id="rId11538" Type="http://schemas.openxmlformats.org/officeDocument/2006/relationships/hyperlink" Target="https://ref.ly/Lev11:35" TargetMode="External"/><Relationship Id="rId11539" Type="http://schemas.openxmlformats.org/officeDocument/2006/relationships/hyperlink" Target="https://ref.ly/Hos7:4-Hos7:7" TargetMode="External"/><Relationship Id="rId11540" Type="http://schemas.openxmlformats.org/officeDocument/2006/relationships/hyperlink" Target="https://ref.ly/Matt14:17" TargetMode="External"/><Relationship Id="rId11541" Type="http://schemas.openxmlformats.org/officeDocument/2006/relationships/hyperlink" Target="https://ref.ly/Mark6:38" TargetMode="External"/><Relationship Id="rId11542" Type="http://schemas.openxmlformats.org/officeDocument/2006/relationships/hyperlink" Target="https://ref.ly/Luke9:13" TargetMode="External"/><Relationship Id="rId11543" Type="http://schemas.openxmlformats.org/officeDocument/2006/relationships/hyperlink" Target="https://ref.ly/1Sam17:17" TargetMode="External"/><Relationship Id="rId11544" Type="http://schemas.openxmlformats.org/officeDocument/2006/relationships/hyperlink" Target="https://ref.ly/2Sam16:1" TargetMode="External"/><Relationship Id="rId11545" Type="http://schemas.openxmlformats.org/officeDocument/2006/relationships/hyperlink" Target="https://ref.ly/Exod25:30" TargetMode="External"/><Relationship Id="rId11546" Type="http://schemas.openxmlformats.org/officeDocument/2006/relationships/hyperlink" Target="https://ref.ly/Matt4:4" TargetMode="External"/><Relationship Id="rId11547" Type="http://schemas.openxmlformats.org/officeDocument/2006/relationships/hyperlink" Target="https://ref.ly/Matt14:13-Matt14:21" TargetMode="External"/><Relationship Id="rId11548" Type="http://schemas.openxmlformats.org/officeDocument/2006/relationships/hyperlink" Target="https://ref.ly/Mark6:30-Mark6:44" TargetMode="External"/><Relationship Id="rId11549" Type="http://schemas.openxmlformats.org/officeDocument/2006/relationships/hyperlink" Target="https://ref.ly/John6:1-John6:14" TargetMode="External"/><Relationship Id="rId11550" Type="http://schemas.openxmlformats.org/officeDocument/2006/relationships/hyperlink" Target="https://ref.ly/John6:28-John6:35" TargetMode="External"/><Relationship Id="rId11551" Type="http://schemas.openxmlformats.org/officeDocument/2006/relationships/hyperlink" Target="https://ref.ly/Matt26:26-Matt26:29" TargetMode="External"/><Relationship Id="rId11552" Type="http://schemas.openxmlformats.org/officeDocument/2006/relationships/hyperlink" Target="https://ref.ly/Exod25:23,Exod25:30" TargetMode="External"/><Relationship Id="rId11553" Type="http://schemas.openxmlformats.org/officeDocument/2006/relationships/hyperlink" Target="https://ref.ly/Exod35:13" TargetMode="External"/><Relationship Id="rId11554" Type="http://schemas.openxmlformats.org/officeDocument/2006/relationships/hyperlink" Target="https://ref.ly/Exod39:36" TargetMode="External"/><Relationship Id="rId11555" Type="http://schemas.openxmlformats.org/officeDocument/2006/relationships/hyperlink" Target="https://ref.ly/1Kgs7:48" TargetMode="External"/><Relationship Id="rId11556" Type="http://schemas.openxmlformats.org/officeDocument/2006/relationships/hyperlink" Target="https://ref.ly/2Chr4:19" TargetMode="External"/><Relationship Id="rId11557" Type="http://schemas.openxmlformats.org/officeDocument/2006/relationships/hyperlink" Target="https://ref.ly/1Chr28:16" TargetMode="External"/><Relationship Id="rId11558" Type="http://schemas.openxmlformats.org/officeDocument/2006/relationships/hyperlink" Target="https://ref.ly/2Chr2:4" TargetMode="External"/><Relationship Id="rId11559" Type="http://schemas.openxmlformats.org/officeDocument/2006/relationships/hyperlink" Target="https://ref.ly/2Chr13:11" TargetMode="External"/><Relationship Id="rId11560" Type="http://schemas.openxmlformats.org/officeDocument/2006/relationships/hyperlink" Target="https://ref.ly/Neh10:32-Neh10:33" TargetMode="External"/><Relationship Id="rId11561" Type="http://schemas.openxmlformats.org/officeDocument/2006/relationships/hyperlink" Target="https://ref.ly/Lev24:5-Lev24:9" TargetMode="External"/><Relationship Id="rId11562" Type="http://schemas.openxmlformats.org/officeDocument/2006/relationships/hyperlink" Target="https://ref.ly/1Sam21:1-1Sam21:6" TargetMode="External"/><Relationship Id="rId11563" Type="http://schemas.openxmlformats.org/officeDocument/2006/relationships/hyperlink" Target="https://ref.ly/Mark2:25-Mark2:26" TargetMode="External"/><Relationship Id="rId11564" Type="http://schemas.openxmlformats.org/officeDocument/2006/relationships/hyperlink" Target="https://ref.ly/Ps37:37" TargetMode="External"/><Relationship Id="rId11565" Type="http://schemas.openxmlformats.org/officeDocument/2006/relationships/hyperlink" Target="https://ref.ly/Prov3:2" TargetMode="External"/><Relationship Id="rId11566" Type="http://schemas.openxmlformats.org/officeDocument/2006/relationships/hyperlink" Target="https://ref.ly/Isa32:17" TargetMode="External"/><Relationship Id="rId11567" Type="http://schemas.openxmlformats.org/officeDocument/2006/relationships/hyperlink" Target="https://ref.ly/Gen34:21" TargetMode="External"/><Relationship Id="rId11568" Type="http://schemas.openxmlformats.org/officeDocument/2006/relationships/hyperlink" Target="https://ref.ly/Josh9:15" TargetMode="External"/><Relationship Id="rId11569" Type="http://schemas.openxmlformats.org/officeDocument/2006/relationships/hyperlink" Target="https://ref.ly/Deut2:26" TargetMode="External"/><Relationship Id="rId11570" Type="http://schemas.openxmlformats.org/officeDocument/2006/relationships/hyperlink" Target="https://ref.ly/Josh10:21" TargetMode="External"/><Relationship Id="rId11571" Type="http://schemas.openxmlformats.org/officeDocument/2006/relationships/hyperlink" Target="https://ref.ly/Ps122:6-Ps122:7" TargetMode="External"/><Relationship Id="rId11572" Type="http://schemas.openxmlformats.org/officeDocument/2006/relationships/hyperlink" Target="https://ref.ly/Ps85:8" TargetMode="External"/><Relationship Id="rId11573" Type="http://schemas.openxmlformats.org/officeDocument/2006/relationships/hyperlink" Target="https://ref.ly/Jer16:5" TargetMode="External"/><Relationship Id="rId11574" Type="http://schemas.openxmlformats.org/officeDocument/2006/relationships/hyperlink" Target="https://ref.ly/Lev26:6" TargetMode="External"/><Relationship Id="rId11575" Type="http://schemas.openxmlformats.org/officeDocument/2006/relationships/hyperlink" Target="https://ref.ly/1Kgs2:33" TargetMode="External"/><Relationship Id="rId11576" Type="http://schemas.openxmlformats.org/officeDocument/2006/relationships/hyperlink" Target="https://ref.ly/Job25:2" TargetMode="External"/><Relationship Id="rId11577" Type="http://schemas.openxmlformats.org/officeDocument/2006/relationships/hyperlink" Target="https://ref.ly/Ps29:11" TargetMode="External"/><Relationship Id="rId11578" Type="http://schemas.openxmlformats.org/officeDocument/2006/relationships/hyperlink" Target="https://ref.ly/Num6:26" TargetMode="External"/><Relationship Id="rId11579" Type="http://schemas.openxmlformats.org/officeDocument/2006/relationships/hyperlink" Target="https://ref.ly/Mal2:5" TargetMode="External"/><Relationship Id="rId11580" Type="http://schemas.openxmlformats.org/officeDocument/2006/relationships/hyperlink" Target="https://ref.ly/Num25:12" TargetMode="External"/><Relationship Id="rId11581" Type="http://schemas.openxmlformats.org/officeDocument/2006/relationships/hyperlink" Target="https://ref.ly/Jer16:5,Jer16:10-Jer16:13" TargetMode="External"/><Relationship Id="rId11582" Type="http://schemas.openxmlformats.org/officeDocument/2006/relationships/hyperlink" Target="https://ref.ly/Ps85:9-Ps85:11" TargetMode="External"/><Relationship Id="rId11583" Type="http://schemas.openxmlformats.org/officeDocument/2006/relationships/hyperlink" Target="https://ref.ly/Ps89:1-Ps89:52" TargetMode="External"/><Relationship Id="rId11584" Type="http://schemas.openxmlformats.org/officeDocument/2006/relationships/hyperlink" Target="https://ref.ly/Jer8:15" TargetMode="External"/><Relationship Id="rId11585" Type="http://schemas.openxmlformats.org/officeDocument/2006/relationships/hyperlink" Target="https://ref.ly/Ezek13:10,Ezek13:16" TargetMode="External"/><Relationship Id="rId11586" Type="http://schemas.openxmlformats.org/officeDocument/2006/relationships/hyperlink" Target="https://ref.ly/Mic3:5" TargetMode="External"/><Relationship Id="rId11587" Type="http://schemas.openxmlformats.org/officeDocument/2006/relationships/hyperlink" Target="https://ref.ly/Isa48:18" TargetMode="External"/><Relationship Id="rId11588" Type="http://schemas.openxmlformats.org/officeDocument/2006/relationships/hyperlink" Target="https://ref.ly/Jer14:13-Jer14:16" TargetMode="External"/><Relationship Id="rId11589" Type="http://schemas.openxmlformats.org/officeDocument/2006/relationships/hyperlink" Target="https://ref.ly/Jer28:1-Jer28:17" TargetMode="External"/><Relationship Id="rId11590" Type="http://schemas.openxmlformats.org/officeDocument/2006/relationships/hyperlink" Target="https://ref.ly/Mic3:4,Mic3:9-Mic3:12" TargetMode="External"/><Relationship Id="rId11591" Type="http://schemas.openxmlformats.org/officeDocument/2006/relationships/hyperlink" Target="https://ref.ly/Ezek34:25-Ezek34:26" TargetMode="External"/><Relationship Id="rId11592" Type="http://schemas.openxmlformats.org/officeDocument/2006/relationships/hyperlink" Target="https://ref.ly/Isa32:15-Isa32:20" TargetMode="External"/><Relationship Id="rId11593" Type="http://schemas.openxmlformats.org/officeDocument/2006/relationships/hyperlink" Target="https://ref.ly/Ezek34:28-Ezek34:31" TargetMode="External"/><Relationship Id="rId11594" Type="http://schemas.openxmlformats.org/officeDocument/2006/relationships/hyperlink" Target="https://ref.ly/Isa11:1-Isa11:5" TargetMode="External"/><Relationship Id="rId11595" Type="http://schemas.openxmlformats.org/officeDocument/2006/relationships/hyperlink" Target="https://ref.ly/Mic4:1-Mic4:4" TargetMode="External"/><Relationship Id="rId11596" Type="http://schemas.openxmlformats.org/officeDocument/2006/relationships/hyperlink" Target="https://ref.ly/Zech8:9-Zech8:13" TargetMode="External"/><Relationship Id="rId11597" Type="http://schemas.openxmlformats.org/officeDocument/2006/relationships/hyperlink" Target="https://ref.ly/Isa11:6-Isa11:9" TargetMode="External"/><Relationship Id="rId11598" Type="http://schemas.openxmlformats.org/officeDocument/2006/relationships/hyperlink" Target="https://ref.ly/Isa52:7" TargetMode="External"/><Relationship Id="rId11599" Type="http://schemas.openxmlformats.org/officeDocument/2006/relationships/hyperlink" Target="https://ref.ly/Ezek34:30-Ezek34:31" TargetMode="External"/><Relationship Id="rId11600" Type="http://schemas.openxmlformats.org/officeDocument/2006/relationships/hyperlink" Target="https://ref.ly/Ezek37:26-Ezek37:28" TargetMode="External"/><Relationship Id="rId11601" Type="http://schemas.openxmlformats.org/officeDocument/2006/relationships/hyperlink" Target="https://ref.ly/Zech9:9-Zech9:10" TargetMode="External"/><Relationship Id="rId11602" Type="http://schemas.openxmlformats.org/officeDocument/2006/relationships/hyperlink" Target="https://ref.ly/Gal6:16" TargetMode="External"/><Relationship Id="rId11603" Type="http://schemas.openxmlformats.org/officeDocument/2006/relationships/hyperlink" Target="https://ref.ly/Jas2:16" TargetMode="External"/><Relationship Id="rId11604" Type="http://schemas.openxmlformats.org/officeDocument/2006/relationships/hyperlink" Target="https://ref.ly/John20:19" TargetMode="External"/><Relationship Id="rId11605" Type="http://schemas.openxmlformats.org/officeDocument/2006/relationships/hyperlink" Target="https://ref.ly/Luke14:32" TargetMode="External"/><Relationship Id="rId11606" Type="http://schemas.openxmlformats.org/officeDocument/2006/relationships/hyperlink" Target="https://ref.ly/Rom14:19" TargetMode="External"/><Relationship Id="rId11607" Type="http://schemas.openxmlformats.org/officeDocument/2006/relationships/hyperlink" Target="https://ref.ly/Luke1:67-Luke1:79" TargetMode="External"/><Relationship Id="rId11608" Type="http://schemas.openxmlformats.org/officeDocument/2006/relationships/hyperlink" Target="https://ref.ly/John20:19-John20:22" TargetMode="External"/><Relationship Id="rId11609" Type="http://schemas.openxmlformats.org/officeDocument/2006/relationships/hyperlink" Target="https://ref.ly/Luke12:51-Luke12:53" TargetMode="External"/><Relationship Id="rId11610" Type="http://schemas.openxmlformats.org/officeDocument/2006/relationships/hyperlink" Target="https://ref.ly/John16:32-John16:33" TargetMode="External"/><Relationship Id="rId11611" Type="http://schemas.openxmlformats.org/officeDocument/2006/relationships/hyperlink" Target="https://ref.ly/Matt10:34-Matt10:37" TargetMode="External"/><Relationship Id="rId11612" Type="http://schemas.openxmlformats.org/officeDocument/2006/relationships/hyperlink" Target="https://ref.ly/Eph2:14-Eph2:22" TargetMode="External"/><Relationship Id="rId11613" Type="http://schemas.openxmlformats.org/officeDocument/2006/relationships/hyperlink" Target="https://ref.ly/Phil4:7-Phil4:9" TargetMode="External"/><Relationship Id="rId11614" Type="http://schemas.openxmlformats.org/officeDocument/2006/relationships/hyperlink" Target="https://ref.ly/1Cor1:3" TargetMode="External"/><Relationship Id="rId11615" Type="http://schemas.openxmlformats.org/officeDocument/2006/relationships/hyperlink" Target="https://ref.ly/2Cor1:2" TargetMode="External"/><Relationship Id="rId11616" Type="http://schemas.openxmlformats.org/officeDocument/2006/relationships/hyperlink" Target="https://ref.ly/Gal1:3" TargetMode="External"/><Relationship Id="rId11617" Type="http://schemas.openxmlformats.org/officeDocument/2006/relationships/hyperlink" Target="https://ref.ly/Eph1:2" TargetMode="External"/><Relationship Id="rId11618" Type="http://schemas.openxmlformats.org/officeDocument/2006/relationships/hyperlink" Target="https://ref.ly/1Pet1:2" TargetMode="External"/><Relationship Id="rId11619" Type="http://schemas.openxmlformats.org/officeDocument/2006/relationships/hyperlink" Target="https://ref.ly/2John1:3" TargetMode="External"/><Relationship Id="rId11620" Type="http://schemas.openxmlformats.org/officeDocument/2006/relationships/hyperlink" Target="https://ref.ly/Jude1:2" TargetMode="External"/><Relationship Id="rId11621" Type="http://schemas.openxmlformats.org/officeDocument/2006/relationships/hyperlink" Target="https://ref.ly/Eph2:14" TargetMode="External"/><Relationship Id="rId11622" Type="http://schemas.openxmlformats.org/officeDocument/2006/relationships/hyperlink" Target="https://ref.ly/Phil4:9" TargetMode="External"/><Relationship Id="rId11623" Type="http://schemas.openxmlformats.org/officeDocument/2006/relationships/hyperlink" Target="https://ref.ly/Col3:15" TargetMode="External"/><Relationship Id="rId11624" Type="http://schemas.openxmlformats.org/officeDocument/2006/relationships/hyperlink" Target="https://ref.ly/Rom12:18" TargetMode="External"/><Relationship Id="rId11625" Type="http://schemas.openxmlformats.org/officeDocument/2006/relationships/hyperlink" Target="https://ref.ly/Heb12:14" TargetMode="External"/><Relationship Id="rId11626" Type="http://schemas.openxmlformats.org/officeDocument/2006/relationships/hyperlink" Target="https://ref.ly/1Chr22:2" TargetMode="External"/><Relationship Id="rId11627" Type="http://schemas.openxmlformats.org/officeDocument/2006/relationships/hyperlink" Target="https://ref.ly/Num34:1-Num34:12" TargetMode="External"/><Relationship Id="rId11628" Type="http://schemas.openxmlformats.org/officeDocument/2006/relationships/hyperlink" Target="https://ref.ly/2Sam8:1-2Sam8:14" TargetMode="External"/><Relationship Id="rId11629" Type="http://schemas.openxmlformats.org/officeDocument/2006/relationships/hyperlink" Target="https://ref.ly/1Chr18:1-1Chr18:13" TargetMode="External"/><Relationship Id="rId11630" Type="http://schemas.openxmlformats.org/officeDocument/2006/relationships/hyperlink" Target="https://ref.ly/Jer5:24" TargetMode="External"/><Relationship Id="rId11631" Type="http://schemas.openxmlformats.org/officeDocument/2006/relationships/hyperlink" Target="https://ref.ly/Joel2:23" TargetMode="External"/><Relationship Id="rId11632" Type="http://schemas.openxmlformats.org/officeDocument/2006/relationships/hyperlink" Target="https://ref.ly/Song2:1" TargetMode="External"/><Relationship Id="rId11633" Type="http://schemas.openxmlformats.org/officeDocument/2006/relationships/hyperlink" Target="https://ref.ly/Isa65:10" TargetMode="External"/><Relationship Id="rId11634" Type="http://schemas.openxmlformats.org/officeDocument/2006/relationships/hyperlink" Target="https://ref.ly/Judg4:7" TargetMode="External"/><Relationship Id="rId11635" Type="http://schemas.openxmlformats.org/officeDocument/2006/relationships/hyperlink" Target="https://ref.ly/1Kgs18:40" TargetMode="External"/><Relationship Id="rId11636" Type="http://schemas.openxmlformats.org/officeDocument/2006/relationships/hyperlink" Target="https://ref.ly/Isa9:1" TargetMode="External"/><Relationship Id="rId11637" Type="http://schemas.openxmlformats.org/officeDocument/2006/relationships/hyperlink" Target="https://ref.ly/Gen37:17" TargetMode="External"/><Relationship Id="rId11638" Type="http://schemas.openxmlformats.org/officeDocument/2006/relationships/hyperlink" Target="https://ref.ly/Ps125:2" TargetMode="External"/><Relationship Id="rId11639" Type="http://schemas.openxmlformats.org/officeDocument/2006/relationships/hyperlink" Target="https://ref.ly/Num34:11" TargetMode="External"/><Relationship Id="rId11640" Type="http://schemas.openxmlformats.org/officeDocument/2006/relationships/hyperlink" Target="https://ref.ly/Josh13:27" TargetMode="External"/><Relationship Id="rId11641" Type="http://schemas.openxmlformats.org/officeDocument/2006/relationships/hyperlink" Target="https://ref.ly/John6:1" TargetMode="External"/><Relationship Id="rId11642" Type="http://schemas.openxmlformats.org/officeDocument/2006/relationships/hyperlink" Target="https://ref.ly/Gen32:22" TargetMode="External"/><Relationship Id="rId11643" Type="http://schemas.openxmlformats.org/officeDocument/2006/relationships/hyperlink" Target="https://ref.ly/Num34:12" TargetMode="External"/><Relationship Id="rId11644" Type="http://schemas.openxmlformats.org/officeDocument/2006/relationships/hyperlink" Target="https://ref.ly/Ps22:12" TargetMode="External"/><Relationship Id="rId11645" Type="http://schemas.openxmlformats.org/officeDocument/2006/relationships/hyperlink" Target="https://ref.ly/Zech11:2" TargetMode="External"/><Relationship Id="rId11646" Type="http://schemas.openxmlformats.org/officeDocument/2006/relationships/hyperlink" Target="https://ref.ly/Deut3:10-Deut3:16" TargetMode="External"/><Relationship Id="rId11647" Type="http://schemas.openxmlformats.org/officeDocument/2006/relationships/hyperlink" Target="https://ref.ly/Judg11:1-Judg11:40" TargetMode="External"/><Relationship Id="rId11648" Type="http://schemas.openxmlformats.org/officeDocument/2006/relationships/hyperlink" Target="https://ref.ly/2Sam18:8" TargetMode="External"/><Relationship Id="rId11649" Type="http://schemas.openxmlformats.org/officeDocument/2006/relationships/hyperlink" Target="https://ref.ly/Acts15:37-Acts15:41" TargetMode="External"/><Relationship Id="rId11650" Type="http://schemas.openxmlformats.org/officeDocument/2006/relationships/hyperlink" Target="https://ref.ly/Matt13:1-Matt13:52" TargetMode="External"/><Relationship Id="rId11651" Type="http://schemas.openxmlformats.org/officeDocument/2006/relationships/hyperlink" Target="https://ref.ly/Mark3:23" TargetMode="External"/><Relationship Id="rId11652" Type="http://schemas.openxmlformats.org/officeDocument/2006/relationships/hyperlink" Target="https://ref.ly/Mark13:28" TargetMode="External"/><Relationship Id="rId11653" Type="http://schemas.openxmlformats.org/officeDocument/2006/relationships/hyperlink" Target="https://ref.ly/Luke18:2-Luke18:5" TargetMode="External"/><Relationship Id="rId11654" Type="http://schemas.openxmlformats.org/officeDocument/2006/relationships/hyperlink" Target="https://ref.ly/Matt13:31-Matt13:32" TargetMode="External"/><Relationship Id="rId11655" Type="http://schemas.openxmlformats.org/officeDocument/2006/relationships/hyperlink" Target="https://ref.ly/Luke10:30-Luke10:35" TargetMode="External"/><Relationship Id="rId11656" Type="http://schemas.openxmlformats.org/officeDocument/2006/relationships/hyperlink" Target="https://ref.ly/Luke12:16-Luke12:20" TargetMode="External"/><Relationship Id="rId11657" Type="http://schemas.openxmlformats.org/officeDocument/2006/relationships/hyperlink" Target="https://ref.ly/Luke18:10-Luke18:13" TargetMode="External"/><Relationship Id="rId11658" Type="http://schemas.openxmlformats.org/officeDocument/2006/relationships/hyperlink" Target="https://ref.ly/Luke15:24,Luke15:32" TargetMode="External"/><Relationship Id="rId11659" Type="http://schemas.openxmlformats.org/officeDocument/2006/relationships/hyperlink" Target="https://ref.ly/Matt21:33-Matt21:41" TargetMode="External"/><Relationship Id="rId11660" Type="http://schemas.openxmlformats.org/officeDocument/2006/relationships/hyperlink" Target="https://ref.ly/Matt18:23-Matt18:34" TargetMode="External"/><Relationship Id="rId11661" Type="http://schemas.openxmlformats.org/officeDocument/2006/relationships/hyperlink" Target="https://ref.ly/2Sam12:1-2Sam12:7" TargetMode="External"/><Relationship Id="rId11662" Type="http://schemas.openxmlformats.org/officeDocument/2006/relationships/hyperlink" Target="https://ref.ly/Mark4:10-Mark4:12" TargetMode="External"/><Relationship Id="rId11663" Type="http://schemas.openxmlformats.org/officeDocument/2006/relationships/hyperlink" Target="https://ref.ly/Gen2:1-Gen3:24" TargetMode="External"/><Relationship Id="rId11664" Type="http://schemas.openxmlformats.org/officeDocument/2006/relationships/hyperlink" Target="https://ref.ly/Isa51:3" TargetMode="External"/><Relationship Id="rId11665" Type="http://schemas.openxmlformats.org/officeDocument/2006/relationships/hyperlink" Target="https://ref.ly/Eccl2:5" TargetMode="External"/><Relationship Id="rId11666" Type="http://schemas.openxmlformats.org/officeDocument/2006/relationships/hyperlink" Target="https://ref.ly/Song4:13" TargetMode="External"/><Relationship Id="rId11667" Type="http://schemas.openxmlformats.org/officeDocument/2006/relationships/hyperlink" Target="https://ref.ly/2Cor12:4" TargetMode="External"/><Relationship Id="rId11668" Type="http://schemas.openxmlformats.org/officeDocument/2006/relationships/hyperlink" Target="https://ref.ly/Luke23:43" TargetMode="External"/><Relationship Id="rId11669" Type="http://schemas.openxmlformats.org/officeDocument/2006/relationships/hyperlink" Target="https://ref.ly/John3:4" TargetMode="External"/><Relationship Id="rId11670" Type="http://schemas.openxmlformats.org/officeDocument/2006/relationships/hyperlink" Target="https://ref.ly/Matt10:39" TargetMode="External"/><Relationship Id="rId11671" Type="http://schemas.openxmlformats.org/officeDocument/2006/relationships/hyperlink" Target="https://ref.ly/Luke13:30" TargetMode="External"/><Relationship Id="rId11672" Type="http://schemas.openxmlformats.org/officeDocument/2006/relationships/hyperlink" Target="https://ref.ly/Mark10:43" TargetMode="External"/><Relationship Id="rId11673" Type="http://schemas.openxmlformats.org/officeDocument/2006/relationships/hyperlink" Target="https://ref.ly/Luke22:26" TargetMode="External"/><Relationship Id="rId11674" Type="http://schemas.openxmlformats.org/officeDocument/2006/relationships/hyperlink" Target="https://ref.ly/Matt4:24" TargetMode="External"/><Relationship Id="rId11675" Type="http://schemas.openxmlformats.org/officeDocument/2006/relationships/hyperlink" Target="https://ref.ly/John5:3" TargetMode="External"/><Relationship Id="rId11676" Type="http://schemas.openxmlformats.org/officeDocument/2006/relationships/hyperlink" Target="https://ref.ly/Acts8:7" TargetMode="External"/><Relationship Id="rId11677" Type="http://schemas.openxmlformats.org/officeDocument/2006/relationships/hyperlink" Target="https://ref.ly/Luke7:2" TargetMode="External"/><Relationship Id="rId11678" Type="http://schemas.openxmlformats.org/officeDocument/2006/relationships/hyperlink" Target="https://ref.ly/Mark2:3-Mark2:10" TargetMode="External"/><Relationship Id="rId11679" Type="http://schemas.openxmlformats.org/officeDocument/2006/relationships/hyperlink" Target="https://ref.ly/Luke5:18,Luke5:24" TargetMode="External"/><Relationship Id="rId11680" Type="http://schemas.openxmlformats.org/officeDocument/2006/relationships/hyperlink" Target="https://ref.ly/Acts9:33" TargetMode="External"/><Relationship Id="rId11681" Type="http://schemas.openxmlformats.org/officeDocument/2006/relationships/hyperlink" Target="https://ref.ly/Num10:12" TargetMode="External"/><Relationship Id="rId11682" Type="http://schemas.openxmlformats.org/officeDocument/2006/relationships/hyperlink" Target="https://ref.ly/Num12:16" TargetMode="External"/><Relationship Id="rId11683" Type="http://schemas.openxmlformats.org/officeDocument/2006/relationships/hyperlink" Target="https://ref.ly/Num13:3,Num13:26" TargetMode="External"/><Relationship Id="rId11684" Type="http://schemas.openxmlformats.org/officeDocument/2006/relationships/hyperlink" Target="https://ref.ly/Luke5:21" TargetMode="External"/><Relationship Id="rId11685" Type="http://schemas.openxmlformats.org/officeDocument/2006/relationships/hyperlink" Target="https://ref.ly/Lev4:20" TargetMode="External"/><Relationship Id="rId11686" Type="http://schemas.openxmlformats.org/officeDocument/2006/relationships/hyperlink" Target="https://ref.ly/1Kgs8:30,1Kgs8:34" TargetMode="External"/><Relationship Id="rId11687" Type="http://schemas.openxmlformats.org/officeDocument/2006/relationships/hyperlink" Target="https://ref.ly/Ps86:5" TargetMode="External"/><Relationship Id="rId11688" Type="http://schemas.openxmlformats.org/officeDocument/2006/relationships/hyperlink" Target="https://ref.ly/Exod29:36" TargetMode="External"/><Relationship Id="rId11689" Type="http://schemas.openxmlformats.org/officeDocument/2006/relationships/hyperlink" Target="https://ref.ly/Deut21:8" TargetMode="External"/><Relationship Id="rId11690" Type="http://schemas.openxmlformats.org/officeDocument/2006/relationships/hyperlink" Target="https://ref.ly/Jer18:23" TargetMode="External"/><Relationship Id="rId11691" Type="http://schemas.openxmlformats.org/officeDocument/2006/relationships/hyperlink" Target="https://ref.ly/Ezek43:20" TargetMode="External"/><Relationship Id="rId11692" Type="http://schemas.openxmlformats.org/officeDocument/2006/relationships/hyperlink" Target="https://ref.ly/Ezek45:20" TargetMode="External"/><Relationship Id="rId11693" Type="http://schemas.openxmlformats.org/officeDocument/2006/relationships/hyperlink" Target="https://ref.ly/Num30:5,Num30:8,Num30:12" TargetMode="External"/><Relationship Id="rId11694" Type="http://schemas.openxmlformats.org/officeDocument/2006/relationships/hyperlink" Target="https://ref.ly/Ps130:4" TargetMode="External"/><Relationship Id="rId11695" Type="http://schemas.openxmlformats.org/officeDocument/2006/relationships/hyperlink" Target="https://ref.ly/Dan9:9" TargetMode="External"/><Relationship Id="rId11696" Type="http://schemas.openxmlformats.org/officeDocument/2006/relationships/hyperlink" Target="https://ref.ly/Ps51:1,Ps51:7" TargetMode="External"/><Relationship Id="rId11697" Type="http://schemas.openxmlformats.org/officeDocument/2006/relationships/hyperlink" Target="https://ref.ly/Isa43:25" TargetMode="External"/><Relationship Id="rId11698" Type="http://schemas.openxmlformats.org/officeDocument/2006/relationships/hyperlink" Target="https://ref.ly/Isa44:22" TargetMode="External"/><Relationship Id="rId11699" Type="http://schemas.openxmlformats.org/officeDocument/2006/relationships/hyperlink" Target="https://ref.ly/Deut29:20" TargetMode="External"/><Relationship Id="rId11700" Type="http://schemas.openxmlformats.org/officeDocument/2006/relationships/hyperlink" Target="https://ref.ly/Mic7:19" TargetMode="External"/><Relationship Id="rId11701" Type="http://schemas.openxmlformats.org/officeDocument/2006/relationships/hyperlink" Target="https://ref.ly/Ps103:12" TargetMode="External"/><Relationship Id="rId11702" Type="http://schemas.openxmlformats.org/officeDocument/2006/relationships/hyperlink" Target="https://ref.ly/Isa38:17" TargetMode="External"/><Relationship Id="rId11703" Type="http://schemas.openxmlformats.org/officeDocument/2006/relationships/hyperlink" Target="https://ref.ly/Mark10:26-Mark10:27" TargetMode="External"/><Relationship Id="rId11704" Type="http://schemas.openxmlformats.org/officeDocument/2006/relationships/hyperlink" Target="https://ref.ly/Mark2:5-Mark2:10" TargetMode="External"/><Relationship Id="rId11705" Type="http://schemas.openxmlformats.org/officeDocument/2006/relationships/hyperlink" Target="https://ref.ly/Heb9:15,Heb9:22" TargetMode="External"/><Relationship Id="rId11706" Type="http://schemas.openxmlformats.org/officeDocument/2006/relationships/hyperlink" Target="https://ref.ly/Acts13:38" TargetMode="External"/><Relationship Id="rId11707" Type="http://schemas.openxmlformats.org/officeDocument/2006/relationships/hyperlink" Target="https://ref.ly/Col1:14" TargetMode="External"/><Relationship Id="rId11708" Type="http://schemas.openxmlformats.org/officeDocument/2006/relationships/hyperlink" Target="https://ref.ly/1John2:12" TargetMode="External"/><Relationship Id="rId11709" Type="http://schemas.openxmlformats.org/officeDocument/2006/relationships/hyperlink" Target="https://ref.ly/2Cor2:7" TargetMode="External"/><Relationship Id="rId11710" Type="http://schemas.openxmlformats.org/officeDocument/2006/relationships/hyperlink" Target="https://ref.ly/2Cor12:13" TargetMode="External"/><Relationship Id="rId11711" Type="http://schemas.openxmlformats.org/officeDocument/2006/relationships/hyperlink" Target="https://ref.ly/Eph4:32" TargetMode="External"/><Relationship Id="rId11712" Type="http://schemas.openxmlformats.org/officeDocument/2006/relationships/hyperlink" Target="https://ref.ly/Col3:13" TargetMode="External"/><Relationship Id="rId11713" Type="http://schemas.openxmlformats.org/officeDocument/2006/relationships/hyperlink" Target="https://ref.ly/Luke6:37" TargetMode="External"/><Relationship Id="rId11714" Type="http://schemas.openxmlformats.org/officeDocument/2006/relationships/hyperlink" Target="https://ref.ly/Acts14:16" TargetMode="External"/><Relationship Id="rId11715" Type="http://schemas.openxmlformats.org/officeDocument/2006/relationships/hyperlink" Target="https://ref.ly/Matt12:31-Matt12:32" TargetMode="External"/><Relationship Id="rId11716" Type="http://schemas.openxmlformats.org/officeDocument/2006/relationships/hyperlink" Target="https://ref.ly/Mark3:28-Mark3:30" TargetMode="External"/><Relationship Id="rId11717" Type="http://schemas.openxmlformats.org/officeDocument/2006/relationships/hyperlink" Target="https://ref.ly/Luke12:10" TargetMode="External"/><Relationship Id="rId11718" Type="http://schemas.openxmlformats.org/officeDocument/2006/relationships/hyperlink" Target="https://ref.ly/Heb6:1-Heb6:8" TargetMode="External"/><Relationship Id="rId11719" Type="http://schemas.openxmlformats.org/officeDocument/2006/relationships/hyperlink" Target="https://ref.ly/Heb10:26-Heb10:29" TargetMode="External"/><Relationship Id="rId11720" Type="http://schemas.openxmlformats.org/officeDocument/2006/relationships/hyperlink" Target="https://ref.ly/2Cor7:10" TargetMode="External"/><Relationship Id="rId11721" Type="http://schemas.openxmlformats.org/officeDocument/2006/relationships/hyperlink" Target="https://ref.ly/Matt18:21-Matt18:22" TargetMode="External"/><Relationship Id="rId11722" Type="http://schemas.openxmlformats.org/officeDocument/2006/relationships/hyperlink" Target="https://ref.ly/Esth9:9" TargetMode="External"/><Relationship Id="rId11723" Type="http://schemas.openxmlformats.org/officeDocument/2006/relationships/hyperlink" Target="https://ref.ly/Matt26:1-Matt27:66" TargetMode="External"/><Relationship Id="rId11724" Type="http://schemas.openxmlformats.org/officeDocument/2006/relationships/hyperlink" Target="https://ref.ly/Mark14:1-Mark15:47" TargetMode="External"/><Relationship Id="rId11725" Type="http://schemas.openxmlformats.org/officeDocument/2006/relationships/hyperlink" Target="https://ref.ly/Luke22:1-Luke23:56" TargetMode="External"/><Relationship Id="rId11726" Type="http://schemas.openxmlformats.org/officeDocument/2006/relationships/hyperlink" Target="https://ref.ly/John18:1-John19:42" TargetMode="External"/><Relationship Id="rId11727" Type="http://schemas.openxmlformats.org/officeDocument/2006/relationships/hyperlink" Target="https://ref.ly/Luke22:41-Luke22:44" TargetMode="External"/><Relationship Id="rId11728" Type="http://schemas.openxmlformats.org/officeDocument/2006/relationships/hyperlink" Target="https://ref.ly/John18:12" TargetMode="External"/><Relationship Id="rId11729" Type="http://schemas.openxmlformats.org/officeDocument/2006/relationships/hyperlink" Target="https://ref.ly/John18:19-John18:24" TargetMode="External"/><Relationship Id="rId11730" Type="http://schemas.openxmlformats.org/officeDocument/2006/relationships/hyperlink" Target="https://ref.ly/John18:24" TargetMode="External"/><Relationship Id="rId11731" Type="http://schemas.openxmlformats.org/officeDocument/2006/relationships/hyperlink" Target="https://ref.ly/Luke22:63-Luke22:65" TargetMode="External"/><Relationship Id="rId11732" Type="http://schemas.openxmlformats.org/officeDocument/2006/relationships/hyperlink" Target="https://ref.ly/Mark14:55-Mark14:64" TargetMode="External"/><Relationship Id="rId11733" Type="http://schemas.openxmlformats.org/officeDocument/2006/relationships/hyperlink" Target="https://ref.ly/Matt26:67-Matt26:68" TargetMode="External"/><Relationship Id="rId11734" Type="http://schemas.openxmlformats.org/officeDocument/2006/relationships/hyperlink" Target="https://ref.ly/Mark14:65" TargetMode="External"/><Relationship Id="rId11735" Type="http://schemas.openxmlformats.org/officeDocument/2006/relationships/hyperlink" Target="https://ref.ly/Luke23:1-Luke23:12" TargetMode="External"/><Relationship Id="rId11736" Type="http://schemas.openxmlformats.org/officeDocument/2006/relationships/hyperlink" Target="https://ref.ly/Luke23:11" TargetMode="External"/><Relationship Id="rId11737" Type="http://schemas.openxmlformats.org/officeDocument/2006/relationships/hyperlink" Target="https://ref.ly/Luke23:16" TargetMode="External"/><Relationship Id="rId11738" Type="http://schemas.openxmlformats.org/officeDocument/2006/relationships/hyperlink" Target="https://ref.ly/Mark15:15" TargetMode="External"/><Relationship Id="rId11739" Type="http://schemas.openxmlformats.org/officeDocument/2006/relationships/hyperlink" Target="https://ref.ly/Matt27:27-Matt27:31" TargetMode="External"/><Relationship Id="rId11740" Type="http://schemas.openxmlformats.org/officeDocument/2006/relationships/hyperlink" Target="https://ref.ly/Mark15:16-Mark15:20" TargetMode="External"/><Relationship Id="rId11741" Type="http://schemas.openxmlformats.org/officeDocument/2006/relationships/hyperlink" Target="https://ref.ly/John19:3" TargetMode="External"/><Relationship Id="rId11742" Type="http://schemas.openxmlformats.org/officeDocument/2006/relationships/hyperlink" Target="https://ref.ly/John19:1-John19:16" TargetMode="External"/><Relationship Id="rId11743" Type="http://schemas.openxmlformats.org/officeDocument/2006/relationships/hyperlink" Target="https://ref.ly/Matt27:11-Matt27:26" TargetMode="External"/><Relationship Id="rId11744" Type="http://schemas.openxmlformats.org/officeDocument/2006/relationships/hyperlink" Target="https://ref.ly/Mark15:1-Mark15:15" TargetMode="External"/><Relationship Id="rId11745" Type="http://schemas.openxmlformats.org/officeDocument/2006/relationships/hyperlink" Target="https://ref.ly/Acts3:12-Acts3:21" TargetMode="External"/><Relationship Id="rId11746" Type="http://schemas.openxmlformats.org/officeDocument/2006/relationships/hyperlink" Target="https://ref.ly/Rev1:5" TargetMode="External"/><Relationship Id="rId11747" Type="http://schemas.openxmlformats.org/officeDocument/2006/relationships/hyperlink" Target="https://ref.ly/Rev5:9" TargetMode="External"/><Relationship Id="rId11748" Type="http://schemas.openxmlformats.org/officeDocument/2006/relationships/hyperlink" Target="https://ref.ly/Heb2:9,Heb2:17" TargetMode="External"/><Relationship Id="rId11749" Type="http://schemas.openxmlformats.org/officeDocument/2006/relationships/hyperlink" Target="https://ref.ly/Gen1:1-Gen5:32" TargetMode="External"/><Relationship Id="rId11750" Type="http://schemas.openxmlformats.org/officeDocument/2006/relationships/hyperlink" Target="https://ref.ly/Gen10:1-Gen11:32" TargetMode="External"/><Relationship Id="rId11751" Type="http://schemas.openxmlformats.org/officeDocument/2006/relationships/hyperlink" Target="https://ref.ly/Gen12:1-Gen36:43" TargetMode="External"/><Relationship Id="rId11752" Type="http://schemas.openxmlformats.org/officeDocument/2006/relationships/hyperlink" Target="https://ref.ly/Gen13:12" TargetMode="External"/><Relationship Id="rId11753" Type="http://schemas.openxmlformats.org/officeDocument/2006/relationships/hyperlink" Target="https://ref.ly/Gen25:18" TargetMode="External"/><Relationship Id="rId11754" Type="http://schemas.openxmlformats.org/officeDocument/2006/relationships/hyperlink" Target="https://ref.ly/John8:56" TargetMode="External"/><Relationship Id="rId11755" Type="http://schemas.openxmlformats.org/officeDocument/2006/relationships/hyperlink" Target="https://ref.ly/Ps112:3" TargetMode="External"/><Relationship Id="rId11756" Type="http://schemas.openxmlformats.org/officeDocument/2006/relationships/hyperlink" Target="https://ref.ly/Lev19:9-Lev19:10" TargetMode="External"/><Relationship Id="rId11757" Type="http://schemas.openxmlformats.org/officeDocument/2006/relationships/hyperlink" Target="https://ref.ly/Deut15:1-Deut15:15" TargetMode="External"/><Relationship Id="rId11758" Type="http://schemas.openxmlformats.org/officeDocument/2006/relationships/hyperlink" Target="https://ref.ly/Deut24:10-Deut24:22" TargetMode="External"/><Relationship Id="rId11759" Type="http://schemas.openxmlformats.org/officeDocument/2006/relationships/hyperlink" Target="https://ref.ly/Acts11:29" TargetMode="External"/><Relationship Id="rId11760" Type="http://schemas.openxmlformats.org/officeDocument/2006/relationships/hyperlink" Target="https://ref.ly/1John3:17" TargetMode="External"/><Relationship Id="rId11761" Type="http://schemas.openxmlformats.org/officeDocument/2006/relationships/hyperlink" Target="https://ref.ly/Matt6:2-Matt6:4" TargetMode="External"/><Relationship Id="rId11762" Type="http://schemas.openxmlformats.org/officeDocument/2006/relationships/hyperlink" Target="https://ref.ly/Acts2:45" TargetMode="External"/><Relationship Id="rId11763" Type="http://schemas.openxmlformats.org/officeDocument/2006/relationships/hyperlink" Target="https://ref.ly/Acts4:35" TargetMode="External"/><Relationship Id="rId11764" Type="http://schemas.openxmlformats.org/officeDocument/2006/relationships/hyperlink" Target="https://ref.ly/Ps1:1-Ps1:6" TargetMode="External"/><Relationship Id="rId11765" Type="http://schemas.openxmlformats.org/officeDocument/2006/relationships/hyperlink" Target="https://ref.ly/Ps112:1-Ps112:10" TargetMode="External"/><Relationship Id="rId11766" Type="http://schemas.openxmlformats.org/officeDocument/2006/relationships/hyperlink" Target="https://ref.ly/Ps73:3" TargetMode="External"/><Relationship Id="rId11767" Type="http://schemas.openxmlformats.org/officeDocument/2006/relationships/hyperlink" Target="https://ref.ly/Job21:1-Job21:34" TargetMode="External"/><Relationship Id="rId11768" Type="http://schemas.openxmlformats.org/officeDocument/2006/relationships/hyperlink" Target="https://ref.ly/Ps37:1-Ps37:40" TargetMode="External"/><Relationship Id="rId11769" Type="http://schemas.openxmlformats.org/officeDocument/2006/relationships/hyperlink" Target="https://ref.ly/Ps49:1-Ps49:20" TargetMode="External"/><Relationship Id="rId11770" Type="http://schemas.openxmlformats.org/officeDocument/2006/relationships/hyperlink" Target="https://ref.ly/Ps73:1-Ps73:28" TargetMode="External"/><Relationship Id="rId11771" Type="http://schemas.openxmlformats.org/officeDocument/2006/relationships/hyperlink" Target="https://ref.ly/Prov30:8-Prov30:9" TargetMode="External"/><Relationship Id="rId11772" Type="http://schemas.openxmlformats.org/officeDocument/2006/relationships/hyperlink" Target="https://ref.ly/Ps9:18" TargetMode="External"/><Relationship Id="rId11773" Type="http://schemas.openxmlformats.org/officeDocument/2006/relationships/hyperlink" Target="https://ref.ly/Ps10:14" TargetMode="External"/><Relationship Id="rId11774" Type="http://schemas.openxmlformats.org/officeDocument/2006/relationships/hyperlink" Target="https://ref.ly/Ps12:5" TargetMode="External"/><Relationship Id="rId11775" Type="http://schemas.openxmlformats.org/officeDocument/2006/relationships/hyperlink" Target="https://ref.ly/Ps34:6" TargetMode="External"/><Relationship Id="rId11776" Type="http://schemas.openxmlformats.org/officeDocument/2006/relationships/hyperlink" Target="https://ref.ly/Ps35:10" TargetMode="External"/><Relationship Id="rId11777" Type="http://schemas.openxmlformats.org/officeDocument/2006/relationships/hyperlink" Target="https://ref.ly/Ps10:17" TargetMode="External"/><Relationship Id="rId11778" Type="http://schemas.openxmlformats.org/officeDocument/2006/relationships/hyperlink" Target="https://ref.ly/Ps14:5-Ps14:6" TargetMode="External"/><Relationship Id="rId11779" Type="http://schemas.openxmlformats.org/officeDocument/2006/relationships/hyperlink" Target="https://ref.ly/Ps37:11" TargetMode="External"/><Relationship Id="rId11780" Type="http://schemas.openxmlformats.org/officeDocument/2006/relationships/hyperlink" Target="https://ref.ly/Zeph3:12-Zeph3:13" TargetMode="External"/><Relationship Id="rId11781" Type="http://schemas.openxmlformats.org/officeDocument/2006/relationships/hyperlink" Target="https://ref.ly/Mark10:23" TargetMode="External"/><Relationship Id="rId11782" Type="http://schemas.openxmlformats.org/officeDocument/2006/relationships/hyperlink" Target="https://ref.ly/Luke12:13-Luke12:21" TargetMode="External"/><Relationship Id="rId11783" Type="http://schemas.openxmlformats.org/officeDocument/2006/relationships/hyperlink" Target="https://ref.ly/Ezek18:1-Ezek18:32" TargetMode="External"/><Relationship Id="rId11784" Type="http://schemas.openxmlformats.org/officeDocument/2006/relationships/hyperlink" Target="https://ref.ly/Jer31:29-Jer31:34" TargetMode="External"/><Relationship Id="rId11785" Type="http://schemas.openxmlformats.org/officeDocument/2006/relationships/hyperlink" Target="https://ref.ly/Ezek36:24-Ezek36:29" TargetMode="External"/><Relationship Id="rId11786" Type="http://schemas.openxmlformats.org/officeDocument/2006/relationships/hyperlink" Target="https://ref.ly/Ps103:8-Ps103:14" TargetMode="External"/><Relationship Id="rId11787" Type="http://schemas.openxmlformats.org/officeDocument/2006/relationships/hyperlink" Target="https://ref.ly/Isa55:6-Isa55:7" TargetMode="External"/><Relationship Id="rId11788" Type="http://schemas.openxmlformats.org/officeDocument/2006/relationships/hyperlink" Target="https://ref.ly/Matt9:1-Matt9:13" TargetMode="External"/><Relationship Id="rId11789" Type="http://schemas.openxmlformats.org/officeDocument/2006/relationships/hyperlink" Target="https://ref.ly/Matt6:22-Matt6:23" TargetMode="External"/><Relationship Id="rId11790" Type="http://schemas.openxmlformats.org/officeDocument/2006/relationships/hyperlink" Target="https://ref.ly/Matt7:17-Matt7:19" TargetMode="External"/><Relationship Id="rId11791" Type="http://schemas.openxmlformats.org/officeDocument/2006/relationships/hyperlink" Target="https://ref.ly/Mark7:20-Mark7:23" TargetMode="External"/><Relationship Id="rId11792" Type="http://schemas.openxmlformats.org/officeDocument/2006/relationships/hyperlink" Target="https://ref.ly/Matt25:41-Matt25:46" TargetMode="External"/><Relationship Id="rId11793" Type="http://schemas.openxmlformats.org/officeDocument/2006/relationships/hyperlink" Target="https://ref.ly/Luke12:16-Luke12:21" TargetMode="External"/><Relationship Id="rId11794" Type="http://schemas.openxmlformats.org/officeDocument/2006/relationships/hyperlink" Target="https://ref.ly/Matt23:16-Matt23:26" TargetMode="External"/><Relationship Id="rId11795" Type="http://schemas.openxmlformats.org/officeDocument/2006/relationships/hyperlink" Target="https://ref.ly/Mark3:22-Mark3:30" TargetMode="External"/><Relationship Id="rId11796" Type="http://schemas.openxmlformats.org/officeDocument/2006/relationships/hyperlink" Target="https://ref.ly/Luke12:20" TargetMode="External"/><Relationship Id="rId11797" Type="http://schemas.openxmlformats.org/officeDocument/2006/relationships/hyperlink" Target="https://ref.ly/John3:16-John3:21" TargetMode="External"/><Relationship Id="rId11798" Type="http://schemas.openxmlformats.org/officeDocument/2006/relationships/hyperlink" Target="https://ref.ly/1John3:3-1John3:10" TargetMode="External"/><Relationship Id="rId11799" Type="http://schemas.openxmlformats.org/officeDocument/2006/relationships/hyperlink" Target="https://ref.ly/1John1:7-1John2:2" TargetMode="External"/><Relationship Id="rId11800" Type="http://schemas.openxmlformats.org/officeDocument/2006/relationships/hyperlink" Target="https://ref.ly/Rom5:21" TargetMode="External"/><Relationship Id="rId11801" Type="http://schemas.openxmlformats.org/officeDocument/2006/relationships/hyperlink" Target="https://ref.ly/Rom7:23" TargetMode="External"/><Relationship Id="rId11802" Type="http://schemas.openxmlformats.org/officeDocument/2006/relationships/hyperlink" Target="https://ref.ly/1Cor15:56" TargetMode="External"/><Relationship Id="rId11803" Type="http://schemas.openxmlformats.org/officeDocument/2006/relationships/hyperlink" Target="https://ref.ly/Rom7:21-Rom7:24" TargetMode="External"/><Relationship Id="rId11804" Type="http://schemas.openxmlformats.org/officeDocument/2006/relationships/hyperlink" Target="https://ref.ly/Eph2:1-Eph2:5,Eph2:12" TargetMode="External"/><Relationship Id="rId11805" Type="http://schemas.openxmlformats.org/officeDocument/2006/relationships/hyperlink" Target="https://ref.ly/Col1:21" TargetMode="External"/><Relationship Id="rId11806" Type="http://schemas.openxmlformats.org/officeDocument/2006/relationships/hyperlink" Target="https://ref.ly/Rom5:6-Rom5:9" TargetMode="External"/><Relationship Id="rId11807" Type="http://schemas.openxmlformats.org/officeDocument/2006/relationships/hyperlink" Target="https://ref.ly/Rom8:1-Rom8:4,Rom8:28-Rom8:29" TargetMode="External"/><Relationship Id="rId11808" Type="http://schemas.openxmlformats.org/officeDocument/2006/relationships/hyperlink" Target="https://ref.ly/Matt9:34" TargetMode="External"/><Relationship Id="rId11809" Type="http://schemas.openxmlformats.org/officeDocument/2006/relationships/hyperlink" Target="https://ref.ly/Luke11:14-Luke11:20" TargetMode="External"/><Relationship Id="rId11810" Type="http://schemas.openxmlformats.org/officeDocument/2006/relationships/hyperlink" Target="https://ref.ly/John7:20" TargetMode="External"/><Relationship Id="rId11811" Type="http://schemas.openxmlformats.org/officeDocument/2006/relationships/hyperlink" Target="https://ref.ly/John8:48,John8:52" TargetMode="External"/><Relationship Id="rId11812" Type="http://schemas.openxmlformats.org/officeDocument/2006/relationships/hyperlink" Target="https://ref.ly/John10:20" TargetMode="External"/><Relationship Id="rId11813" Type="http://schemas.openxmlformats.org/officeDocument/2006/relationships/hyperlink" Target="https://ref.ly/1John5:16-1John5:17" TargetMode="External"/><Relationship Id="rId11814" Type="http://schemas.openxmlformats.org/officeDocument/2006/relationships/hyperlink" Target="https://ref.ly/1John5:16" TargetMode="External"/><Relationship Id="rId11815" Type="http://schemas.openxmlformats.org/officeDocument/2006/relationships/hyperlink" Target="https://ref.ly/John3:18,John3:36" TargetMode="External"/><Relationship Id="rId11816" Type="http://schemas.openxmlformats.org/officeDocument/2006/relationships/hyperlink" Target="https://ref.ly/Rev20:15" TargetMode="External"/><Relationship Id="rId11817" Type="http://schemas.openxmlformats.org/officeDocument/2006/relationships/hyperlink" Target="https://ref.ly/Gen10:25" TargetMode="External"/><Relationship Id="rId11818" Type="http://schemas.openxmlformats.org/officeDocument/2006/relationships/hyperlink" Target="https://ref.ly/Gen11:16-Gen11:19" TargetMode="External"/><Relationship Id="rId11819" Type="http://schemas.openxmlformats.org/officeDocument/2006/relationships/hyperlink" Target="https://ref.ly/1Chr1:19,1Chr1:25" TargetMode="External"/><Relationship Id="rId11820" Type="http://schemas.openxmlformats.org/officeDocument/2006/relationships/hyperlink" Target="https://ref.ly/Gen10:24-Gen10:29" TargetMode="External"/><Relationship Id="rId11821" Type="http://schemas.openxmlformats.org/officeDocument/2006/relationships/hyperlink" Target="https://ref.ly/Job29:6" TargetMode="External"/><Relationship Id="rId11822" Type="http://schemas.openxmlformats.org/officeDocument/2006/relationships/hyperlink" Target="https://ref.ly/Job38:25" TargetMode="External"/><Relationship Id="rId11823" Type="http://schemas.openxmlformats.org/officeDocument/2006/relationships/hyperlink" Target="https://ref.ly/Isa30:25" TargetMode="External"/><Relationship Id="rId11824" Type="http://schemas.openxmlformats.org/officeDocument/2006/relationships/hyperlink" Target="https://ref.ly/Isa32:2" TargetMode="External"/><Relationship Id="rId11825" Type="http://schemas.openxmlformats.org/officeDocument/2006/relationships/hyperlink" Target="https://ref.ly/1Sam2:35" TargetMode="External"/><Relationship Id="rId11826" Type="http://schemas.openxmlformats.org/officeDocument/2006/relationships/hyperlink" Target="https://ref.ly/Isa46:8" TargetMode="External"/><Relationship Id="rId11827" Type="http://schemas.openxmlformats.org/officeDocument/2006/relationships/hyperlink" Target="https://ref.ly/Jer3:16" TargetMode="External"/><Relationship Id="rId11828" Type="http://schemas.openxmlformats.org/officeDocument/2006/relationships/hyperlink" Target="https://ref.ly/Mark12:33" TargetMode="External"/><Relationship Id="rId11829" Type="http://schemas.openxmlformats.org/officeDocument/2006/relationships/hyperlink" Target="https://ref.ly/1Cor14:14-1Cor14:19" TargetMode="External"/><Relationship Id="rId11830" Type="http://schemas.openxmlformats.org/officeDocument/2006/relationships/hyperlink" Target="https://ref.ly/Eph4:23" TargetMode="External"/><Relationship Id="rId11831" Type="http://schemas.openxmlformats.org/officeDocument/2006/relationships/hyperlink" Target="https://ref.ly/Rom8:6-Rom8:7" TargetMode="External"/><Relationship Id="rId11832" Type="http://schemas.openxmlformats.org/officeDocument/2006/relationships/hyperlink" Target="https://ref.ly/2Cor3:14" TargetMode="External"/><Relationship Id="rId11833" Type="http://schemas.openxmlformats.org/officeDocument/2006/relationships/hyperlink" Target="https://ref.ly/Luke24:45" TargetMode="External"/><Relationship Id="rId11834" Type="http://schemas.openxmlformats.org/officeDocument/2006/relationships/hyperlink" Target="https://ref.ly/1Cor2:15-1Cor2:16" TargetMode="External"/><Relationship Id="rId11835" Type="http://schemas.openxmlformats.org/officeDocument/2006/relationships/hyperlink" Target="https://ref.ly/Lev23:9-Lev23:14" TargetMode="External"/><Relationship Id="rId11836" Type="http://schemas.openxmlformats.org/officeDocument/2006/relationships/hyperlink" Target="https://ref.ly/Lev23:11" TargetMode="External"/><Relationship Id="rId11837" Type="http://schemas.openxmlformats.org/officeDocument/2006/relationships/hyperlink" Target="https://ref.ly/Lev23:21" TargetMode="External"/><Relationship Id="rId11838" Type="http://schemas.openxmlformats.org/officeDocument/2006/relationships/hyperlink" Target="https://ref.ly/Deut16:11" TargetMode="External"/><Relationship Id="rId11839" Type="http://schemas.openxmlformats.org/officeDocument/2006/relationships/hyperlink" Target="https://ref.ly/2Chr8:13" TargetMode="External"/><Relationship Id="rId11840" Type="http://schemas.openxmlformats.org/officeDocument/2006/relationships/hyperlink" Target="https://ref.ly/Ezek45:1-Ezek46:24" TargetMode="External"/><Relationship Id="rId11841" Type="http://schemas.openxmlformats.org/officeDocument/2006/relationships/hyperlink" Target="https://ref.ly/Matt19:1" TargetMode="External"/><Relationship Id="rId11842" Type="http://schemas.openxmlformats.org/officeDocument/2006/relationships/hyperlink" Target="https://ref.ly/Mark10:1" TargetMode="External"/><Relationship Id="rId11843" Type="http://schemas.openxmlformats.org/officeDocument/2006/relationships/hyperlink" Target="https://ref.ly/Deut1:1,Deut1:5" TargetMode="External"/><Relationship Id="rId11844" Type="http://schemas.openxmlformats.org/officeDocument/2006/relationships/hyperlink" Target="https://ref.ly/Josh1:12-Josh1:14" TargetMode="External"/><Relationship Id="rId11845" Type="http://schemas.openxmlformats.org/officeDocument/2006/relationships/hyperlink" Target="https://ref.ly/Josh22:9" TargetMode="External"/><Relationship Id="rId11846" Type="http://schemas.openxmlformats.org/officeDocument/2006/relationships/hyperlink" Target="https://ref.ly/Judg5:17" TargetMode="External"/><Relationship Id="rId11847" Type="http://schemas.openxmlformats.org/officeDocument/2006/relationships/hyperlink" Target="https://ref.ly/John1:28-John1:29" TargetMode="External"/><Relationship Id="rId11848" Type="http://schemas.openxmlformats.org/officeDocument/2006/relationships/hyperlink" Target="https://ref.ly/John10:40" TargetMode="External"/><Relationship Id="rId11849" Type="http://schemas.openxmlformats.org/officeDocument/2006/relationships/hyperlink" Target="https://ref.ly/Acts13:13-Acts13:14" TargetMode="External"/><Relationship Id="rId11850" Type="http://schemas.openxmlformats.org/officeDocument/2006/relationships/hyperlink" Target="https://ref.ly/Acts14:25-Acts14:26" TargetMode="External"/><Relationship Id="rId11851" Type="http://schemas.openxmlformats.org/officeDocument/2006/relationships/hyperlink" Target="https://ref.ly/Gen4:3-Gen4:7" TargetMode="External"/><Relationship Id="rId11852" Type="http://schemas.openxmlformats.org/officeDocument/2006/relationships/hyperlink" Target="https://ref.ly/Wis2:12-Wis2:20" TargetMode="External"/><Relationship Id="rId11853" Type="http://schemas.openxmlformats.org/officeDocument/2006/relationships/hyperlink" Target="https://ref.ly/Gen19:9" TargetMode="External"/><Relationship Id="rId11854" Type="http://schemas.openxmlformats.org/officeDocument/2006/relationships/hyperlink" Target="https://ref.ly/2Pet2:7-2Pet2:8" TargetMode="External"/><Relationship Id="rId11855" Type="http://schemas.openxmlformats.org/officeDocument/2006/relationships/hyperlink" Target="https://ref.ly/1Kgs19:10" TargetMode="External"/><Relationship Id="rId11856" Type="http://schemas.openxmlformats.org/officeDocument/2006/relationships/hyperlink" Target="https://ref.ly/2Chr36:15-2Chr36:16" TargetMode="External"/><Relationship Id="rId11857" Type="http://schemas.openxmlformats.org/officeDocument/2006/relationships/hyperlink" Target="https://ref.ly/Matt23:29-Matt23:37" TargetMode="External"/><Relationship Id="rId11858" Type="http://schemas.openxmlformats.org/officeDocument/2006/relationships/hyperlink" Target="https://ref.ly/Acts7:52" TargetMode="External"/><Relationship Id="rId11859" Type="http://schemas.openxmlformats.org/officeDocument/2006/relationships/hyperlink" Target="https://ref.ly/Heb11:32-Heb11:38" TargetMode="External"/><Relationship Id="rId11860" Type="http://schemas.openxmlformats.org/officeDocument/2006/relationships/hyperlink" Target="https://ref.ly/1Macc1:11-1Macc1:15" TargetMode="External"/><Relationship Id="rId11861" Type="http://schemas.openxmlformats.org/officeDocument/2006/relationships/hyperlink" Target="https://ref.ly/1Macc2:42-1Macc2:48" TargetMode="External"/><Relationship Id="rId11862" Type="http://schemas.openxmlformats.org/officeDocument/2006/relationships/hyperlink" Target="https://ref.ly/Ps10:1-Ps10:18" TargetMode="External"/><Relationship Id="rId11863" Type="http://schemas.openxmlformats.org/officeDocument/2006/relationships/hyperlink" Target="https://ref.ly/Ps140:1-Ps140:13" TargetMode="External"/><Relationship Id="rId11864" Type="http://schemas.openxmlformats.org/officeDocument/2006/relationships/hyperlink" Target="https://ref.ly/Ps149:1-Ps149:9" TargetMode="External"/><Relationship Id="rId11865" Type="http://schemas.openxmlformats.org/officeDocument/2006/relationships/hyperlink" Target="https://ref.ly/2Macc6:1-2Macc7:42" TargetMode="External"/><Relationship Id="rId11866" Type="http://schemas.openxmlformats.org/officeDocument/2006/relationships/hyperlink" Target="https://ref.ly/Heb11:35-Heb11:38" TargetMode="External"/><Relationship Id="rId11867" Type="http://schemas.openxmlformats.org/officeDocument/2006/relationships/hyperlink" Target="https://ref.ly/John11:47-John11:50" TargetMode="External"/><Relationship Id="rId11868" Type="http://schemas.openxmlformats.org/officeDocument/2006/relationships/hyperlink" Target="https://ref.ly/Matt10:16-Matt10:23,Matt10:34-Matt10:36" TargetMode="External"/><Relationship Id="rId11869" Type="http://schemas.openxmlformats.org/officeDocument/2006/relationships/hyperlink" Target="https://ref.ly/Matt23:34" TargetMode="External"/><Relationship Id="rId11870" Type="http://schemas.openxmlformats.org/officeDocument/2006/relationships/hyperlink" Target="https://ref.ly/Luke6:26" TargetMode="External"/><Relationship Id="rId11871" Type="http://schemas.openxmlformats.org/officeDocument/2006/relationships/hyperlink" Target="https://ref.ly/Luke23:9" TargetMode="External"/><Relationship Id="rId11872" Type="http://schemas.openxmlformats.org/officeDocument/2006/relationships/hyperlink" Target="https://ref.ly/Matt16:21-Matt16:26" TargetMode="External"/><Relationship Id="rId11873" Type="http://schemas.openxmlformats.org/officeDocument/2006/relationships/hyperlink" Target="https://ref.ly/Matt20:17-Matt20:22" TargetMode="External"/><Relationship Id="rId11874" Type="http://schemas.openxmlformats.org/officeDocument/2006/relationships/hyperlink" Target="https://ref.ly/Mark10:29-Mark10:30" TargetMode="External"/><Relationship Id="rId11875" Type="http://schemas.openxmlformats.org/officeDocument/2006/relationships/hyperlink" Target="https://ref.ly/John15:18-John15:25" TargetMode="External"/><Relationship Id="rId11876" Type="http://schemas.openxmlformats.org/officeDocument/2006/relationships/hyperlink" Target="https://ref.ly/John16:1-John16:4" TargetMode="External"/><Relationship Id="rId11877" Type="http://schemas.openxmlformats.org/officeDocument/2006/relationships/hyperlink" Target="https://ref.ly/Acts5:17,Acts5:40" TargetMode="External"/><Relationship Id="rId11878" Type="http://schemas.openxmlformats.org/officeDocument/2006/relationships/hyperlink" Target="https://ref.ly/Acts12:1-Acts12:3,Acts12:20-Acts12:24" TargetMode="External"/><Relationship Id="rId11879" Type="http://schemas.openxmlformats.org/officeDocument/2006/relationships/hyperlink" Target="https://ref.ly/Acts13:44-Acts13:45,Acts13:50" TargetMode="External"/><Relationship Id="rId11880" Type="http://schemas.openxmlformats.org/officeDocument/2006/relationships/hyperlink" Target="https://ref.ly/Acts14:1-Acts14:6,Acts14:19" TargetMode="External"/><Relationship Id="rId11881" Type="http://schemas.openxmlformats.org/officeDocument/2006/relationships/hyperlink" Target="https://ref.ly/Acts17:1,Acts17:5,Acts17:13" TargetMode="External"/><Relationship Id="rId11882" Type="http://schemas.openxmlformats.org/officeDocument/2006/relationships/hyperlink" Target="https://ref.ly/Acts18:4-Acts18:6,Acts18:12" TargetMode="External"/><Relationship Id="rId11883" Type="http://schemas.openxmlformats.org/officeDocument/2006/relationships/hyperlink" Target="https://ref.ly/Acts16:19-Acts16:24" TargetMode="External"/><Relationship Id="rId11884" Type="http://schemas.openxmlformats.org/officeDocument/2006/relationships/hyperlink" Target="https://ref.ly/Acts21:4-Acts21:36" TargetMode="External"/><Relationship Id="rId11885" Type="http://schemas.openxmlformats.org/officeDocument/2006/relationships/hyperlink" Target="https://ref.ly/Acts26:9-Acts26:11" TargetMode="External"/><Relationship Id="rId11886" Type="http://schemas.openxmlformats.org/officeDocument/2006/relationships/hyperlink" Target="https://ref.ly/Gal1:22-Gal1:24" TargetMode="External"/><Relationship Id="rId11887" Type="http://schemas.openxmlformats.org/officeDocument/2006/relationships/hyperlink" Target="https://ref.ly/Acts20:22-Acts20:24" TargetMode="External"/><Relationship Id="rId11888" Type="http://schemas.openxmlformats.org/officeDocument/2006/relationships/hyperlink" Target="https://ref.ly/Acts21:13" TargetMode="External"/><Relationship Id="rId11889" Type="http://schemas.openxmlformats.org/officeDocument/2006/relationships/hyperlink" Target="https://ref.ly/Acts14:22" TargetMode="External"/><Relationship Id="rId11890" Type="http://schemas.openxmlformats.org/officeDocument/2006/relationships/hyperlink" Target="https://ref.ly/Rom5:3" TargetMode="External"/><Relationship Id="rId11891" Type="http://schemas.openxmlformats.org/officeDocument/2006/relationships/hyperlink" Target="https://ref.ly/Rom12:12" TargetMode="External"/><Relationship Id="rId11892" Type="http://schemas.openxmlformats.org/officeDocument/2006/relationships/hyperlink" Target="https://ref.ly/1Thess3:4" TargetMode="External"/><Relationship Id="rId11893" Type="http://schemas.openxmlformats.org/officeDocument/2006/relationships/hyperlink" Target="https://ref.ly/Rom8:35-Rom8:37" TargetMode="External"/><Relationship Id="rId11894" Type="http://schemas.openxmlformats.org/officeDocument/2006/relationships/hyperlink" Target="https://ref.ly/1Pet1:6" TargetMode="External"/><Relationship Id="rId11895" Type="http://schemas.openxmlformats.org/officeDocument/2006/relationships/hyperlink" Target="https://ref.ly/1Pet4:1" TargetMode="External"/><Relationship Id="rId11896" Type="http://schemas.openxmlformats.org/officeDocument/2006/relationships/hyperlink" Target="https://ref.ly/Acts17:6-Acts17:7" TargetMode="External"/><Relationship Id="rId11897" Type="http://schemas.openxmlformats.org/officeDocument/2006/relationships/hyperlink" Target="https://ref.ly/Rev2:13" TargetMode="External"/><Relationship Id="rId11898" Type="http://schemas.openxmlformats.org/officeDocument/2006/relationships/hyperlink" Target="https://ref.ly/Rev13:1-Rev13:18" TargetMode="External"/><Relationship Id="rId11899" Type="http://schemas.openxmlformats.org/officeDocument/2006/relationships/hyperlink" Target="https://ref.ly/Heb11:1,Heb11:13,Heb11:21-Heb11:22,Heb11:39" TargetMode="External"/><Relationship Id="rId11900" Type="http://schemas.openxmlformats.org/officeDocument/2006/relationships/hyperlink" Target="https://ref.ly/Heb3:16-Heb3:19" TargetMode="External"/><Relationship Id="rId11901" Type="http://schemas.openxmlformats.org/officeDocument/2006/relationships/hyperlink" Target="https://ref.ly/Jer32:1-Jer32:15" TargetMode="External"/><Relationship Id="rId11902" Type="http://schemas.openxmlformats.org/officeDocument/2006/relationships/hyperlink" Target="https://ref.ly/Hos3:4-Hos3:5" TargetMode="External"/><Relationship Id="rId11903" Type="http://schemas.openxmlformats.org/officeDocument/2006/relationships/hyperlink" Target="https://ref.ly/Hab2:1-Hab2:3" TargetMode="External"/><Relationship Id="rId11904" Type="http://schemas.openxmlformats.org/officeDocument/2006/relationships/hyperlink" Target="https://ref.ly/Dan12:11-Dan12:13" TargetMode="External"/><Relationship Id="rId11905" Type="http://schemas.openxmlformats.org/officeDocument/2006/relationships/hyperlink" Target="https://ref.ly/Mark3:9" TargetMode="External"/><Relationship Id="rId11906" Type="http://schemas.openxmlformats.org/officeDocument/2006/relationships/hyperlink" Target="https://ref.ly/Acts8:13" TargetMode="External"/><Relationship Id="rId11907" Type="http://schemas.openxmlformats.org/officeDocument/2006/relationships/hyperlink" Target="https://ref.ly/Rom13:6" TargetMode="External"/><Relationship Id="rId11908" Type="http://schemas.openxmlformats.org/officeDocument/2006/relationships/hyperlink" Target="https://ref.ly/Luke18:1-Luke18:8" TargetMode="External"/><Relationship Id="rId11909" Type="http://schemas.openxmlformats.org/officeDocument/2006/relationships/hyperlink" Target="https://ref.ly/Rom2:7" TargetMode="External"/><Relationship Id="rId11910" Type="http://schemas.openxmlformats.org/officeDocument/2006/relationships/hyperlink" Target="https://ref.ly/Gal6:9" TargetMode="External"/><Relationship Id="rId11911" Type="http://schemas.openxmlformats.org/officeDocument/2006/relationships/hyperlink" Target="https://ref.ly/Acts2:42" TargetMode="External"/><Relationship Id="rId11912" Type="http://schemas.openxmlformats.org/officeDocument/2006/relationships/hyperlink" Target="https://ref.ly/2Tim3:14" TargetMode="External"/><Relationship Id="rId11913" Type="http://schemas.openxmlformats.org/officeDocument/2006/relationships/hyperlink" Target="https://ref.ly/2Thess1:4" TargetMode="External"/><Relationship Id="rId11914" Type="http://schemas.openxmlformats.org/officeDocument/2006/relationships/hyperlink" Target="https://ref.ly/Acts13:43" TargetMode="External"/><Relationship Id="rId11915" Type="http://schemas.openxmlformats.org/officeDocument/2006/relationships/hyperlink" Target="https://ref.ly/2Cor6:1" TargetMode="External"/><Relationship Id="rId11916" Type="http://schemas.openxmlformats.org/officeDocument/2006/relationships/hyperlink" Target="https://ref.ly/John15:9" TargetMode="External"/><Relationship Id="rId11917" Type="http://schemas.openxmlformats.org/officeDocument/2006/relationships/hyperlink" Target="https://ref.ly/Jude1:21" TargetMode="External"/><Relationship Id="rId11918" Type="http://schemas.openxmlformats.org/officeDocument/2006/relationships/hyperlink" Target="https://ref.ly/1Cor16:13" TargetMode="External"/><Relationship Id="rId11919" Type="http://schemas.openxmlformats.org/officeDocument/2006/relationships/hyperlink" Target="https://ref.ly/2Thess2:15" TargetMode="External"/><Relationship Id="rId11920" Type="http://schemas.openxmlformats.org/officeDocument/2006/relationships/hyperlink" Target="https://ref.ly/John15:4-John15:10" TargetMode="External"/><Relationship Id="rId11921" Type="http://schemas.openxmlformats.org/officeDocument/2006/relationships/hyperlink" Target="https://ref.ly/Heb6:12" TargetMode="External"/><Relationship Id="rId11922" Type="http://schemas.openxmlformats.org/officeDocument/2006/relationships/hyperlink" Target="https://ref.ly/Heb3:12" TargetMode="External"/><Relationship Id="rId11923" Type="http://schemas.openxmlformats.org/officeDocument/2006/relationships/hyperlink" Target="https://ref.ly/Heb4:1-Heb4:10" TargetMode="External"/><Relationship Id="rId11924" Type="http://schemas.openxmlformats.org/officeDocument/2006/relationships/hyperlink" Target="https://ref.ly/2Pet1:10" TargetMode="External"/><Relationship Id="rId11925" Type="http://schemas.openxmlformats.org/officeDocument/2006/relationships/hyperlink" Target="https://ref.ly/John6:71" TargetMode="External"/><Relationship Id="rId11926" Type="http://schemas.openxmlformats.org/officeDocument/2006/relationships/hyperlink" Target="https://ref.ly/2Tim2:17" TargetMode="External"/><Relationship Id="rId11927" Type="http://schemas.openxmlformats.org/officeDocument/2006/relationships/hyperlink" Target="https://ref.ly/Matt10:22" TargetMode="External"/><Relationship Id="rId11928" Type="http://schemas.openxmlformats.org/officeDocument/2006/relationships/hyperlink" Target="https://ref.ly/Matt24:13" TargetMode="External"/><Relationship Id="rId11929" Type="http://schemas.openxmlformats.org/officeDocument/2006/relationships/hyperlink" Target="https://ref.ly/Luke21:19" TargetMode="External"/><Relationship Id="rId11930" Type="http://schemas.openxmlformats.org/officeDocument/2006/relationships/hyperlink" Target="https://ref.ly/Col1:11" TargetMode="External"/><Relationship Id="rId11931" Type="http://schemas.openxmlformats.org/officeDocument/2006/relationships/hyperlink" Target="https://ref.ly/Lev26:25" TargetMode="External"/><Relationship Id="rId11932" Type="http://schemas.openxmlformats.org/officeDocument/2006/relationships/hyperlink" Target="https://ref.ly/Deut28:21" TargetMode="External"/><Relationship Id="rId11933" Type="http://schemas.openxmlformats.org/officeDocument/2006/relationships/hyperlink" Target="https://ref.ly/Ps91:1-Ps91:3" TargetMode="External"/><Relationship Id="rId11934" Type="http://schemas.openxmlformats.org/officeDocument/2006/relationships/hyperlink" Target="https://ref.ly/Ps78:50" TargetMode="External"/><Relationship Id="rId11935" Type="http://schemas.openxmlformats.org/officeDocument/2006/relationships/hyperlink" Target="https://ref.ly/Ezek28:23" TargetMode="External"/><Relationship Id="rId11936" Type="http://schemas.openxmlformats.org/officeDocument/2006/relationships/hyperlink" Target="https://ref.ly/Ezek38:22" TargetMode="External"/><Relationship Id="rId11937" Type="http://schemas.openxmlformats.org/officeDocument/2006/relationships/hyperlink" Target="https://ref.ly/2Sam24:13-2Sam24:15" TargetMode="External"/><Relationship Id="rId11938" Type="http://schemas.openxmlformats.org/officeDocument/2006/relationships/hyperlink" Target="https://ref.ly/Luke21:11" TargetMode="External"/><Relationship Id="rId11939" Type="http://schemas.openxmlformats.org/officeDocument/2006/relationships/hyperlink" Target="https://ref.ly/Luke12:4-Luke12:5" TargetMode="External"/><Relationship Id="rId11940" Type="http://schemas.openxmlformats.org/officeDocument/2006/relationships/hyperlink" Target="https://ref.ly/Gen4:13-Gen4:14" TargetMode="External"/><Relationship Id="rId11941" Type="http://schemas.openxmlformats.org/officeDocument/2006/relationships/hyperlink" Target="https://ref.ly/Prov28:1" TargetMode="External"/><Relationship Id="rId11942" Type="http://schemas.openxmlformats.org/officeDocument/2006/relationships/hyperlink" Target="https://ref.ly/Isa33:14" TargetMode="External"/><Relationship Id="rId11943" Type="http://schemas.openxmlformats.org/officeDocument/2006/relationships/hyperlink" Target="https://ref.ly/Ps73:19" TargetMode="External"/><Relationship Id="rId11944" Type="http://schemas.openxmlformats.org/officeDocument/2006/relationships/hyperlink" Target="https://ref.ly/Job18:11" TargetMode="External"/><Relationship Id="rId11945" Type="http://schemas.openxmlformats.org/officeDocument/2006/relationships/hyperlink" Target="https://ref.ly/1Sam15:24" TargetMode="External"/><Relationship Id="rId11946" Type="http://schemas.openxmlformats.org/officeDocument/2006/relationships/hyperlink" Target="https://ref.ly/Matt25:25" TargetMode="External"/><Relationship Id="rId11947" Type="http://schemas.openxmlformats.org/officeDocument/2006/relationships/hyperlink" Target="https://ref.ly/1John4:18" TargetMode="External"/><Relationship Id="rId11948" Type="http://schemas.openxmlformats.org/officeDocument/2006/relationships/hyperlink" Target="https://ref.ly/Jer1:8" TargetMode="External"/><Relationship Id="rId11949" Type="http://schemas.openxmlformats.org/officeDocument/2006/relationships/hyperlink" Target="https://ref.ly/Jer1:17" TargetMode="External"/><Relationship Id="rId11950" Type="http://schemas.openxmlformats.org/officeDocument/2006/relationships/hyperlink" Target="https://ref.ly/Josh1:7-Josh1:9" TargetMode="External"/><Relationship Id="rId11951" Type="http://schemas.openxmlformats.org/officeDocument/2006/relationships/hyperlink" Target="https://ref.ly/Ezek2:6" TargetMode="External"/><Relationship Id="rId11952" Type="http://schemas.openxmlformats.org/officeDocument/2006/relationships/hyperlink" Target="https://ref.ly/Ps55:5" TargetMode="External"/><Relationship Id="rId11953" Type="http://schemas.openxmlformats.org/officeDocument/2006/relationships/hyperlink" Target="https://ref.ly/Isa8:12" TargetMode="External"/><Relationship Id="rId11954" Type="http://schemas.openxmlformats.org/officeDocument/2006/relationships/hyperlink" Target="https://ref.ly/John14:1" TargetMode="External"/><Relationship Id="rId11955" Type="http://schemas.openxmlformats.org/officeDocument/2006/relationships/hyperlink" Target="https://ref.ly/1Pet5:7" TargetMode="External"/><Relationship Id="rId11956" Type="http://schemas.openxmlformats.org/officeDocument/2006/relationships/hyperlink" Target="https://ref.ly/Isa26:3" TargetMode="External"/><Relationship Id="rId11957" Type="http://schemas.openxmlformats.org/officeDocument/2006/relationships/hyperlink" Target="https://ref.ly/Ps37:1" TargetMode="External"/><Relationship Id="rId11958" Type="http://schemas.openxmlformats.org/officeDocument/2006/relationships/hyperlink" Target="https://ref.ly/Ps46:2" TargetMode="External"/><Relationship Id="rId11959" Type="http://schemas.openxmlformats.org/officeDocument/2006/relationships/hyperlink" Target="https://ref.ly/Ps5:7" TargetMode="External"/><Relationship Id="rId11960" Type="http://schemas.openxmlformats.org/officeDocument/2006/relationships/hyperlink" Target="https://ref.ly/Ps89:7" TargetMode="External"/><Relationship Id="rId11961" Type="http://schemas.openxmlformats.org/officeDocument/2006/relationships/hyperlink" Target="https://ref.ly/Heb13:6" TargetMode="External"/><Relationship Id="rId11962" Type="http://schemas.openxmlformats.org/officeDocument/2006/relationships/hyperlink" Target="https://ref.ly/2Tim1:6-2Tim1:7" TargetMode="External"/><Relationship Id="rId11963" Type="http://schemas.openxmlformats.org/officeDocument/2006/relationships/hyperlink" Target="https://ref.ly/Ps111:10" TargetMode="External"/><Relationship Id="rId11964" Type="http://schemas.openxmlformats.org/officeDocument/2006/relationships/hyperlink" Target="https://ref.ly/Phil2:12" TargetMode="External"/><Relationship Id="rId11965" Type="http://schemas.openxmlformats.org/officeDocument/2006/relationships/hyperlink" Target="https://ref.ly/Prov2:3-Prov2:5" TargetMode="External"/><Relationship Id="rId11966" Type="http://schemas.openxmlformats.org/officeDocument/2006/relationships/hyperlink" Target="https://ref.ly/Deut6:2" TargetMode="External"/><Relationship Id="rId11967" Type="http://schemas.openxmlformats.org/officeDocument/2006/relationships/hyperlink" Target="https://ref.ly/2Cor7:1" TargetMode="External"/><Relationship Id="rId11968" Type="http://schemas.openxmlformats.org/officeDocument/2006/relationships/hyperlink" Target="https://ref.ly/Ps2:11" TargetMode="External"/><Relationship Id="rId11969" Type="http://schemas.openxmlformats.org/officeDocument/2006/relationships/hyperlink" Target="https://ref.ly/Prov15:16" TargetMode="External"/><Relationship Id="rId11970" Type="http://schemas.openxmlformats.org/officeDocument/2006/relationships/hyperlink" Target="https://ref.ly/Ps147:11" TargetMode="External"/><Relationship Id="rId11971" Type="http://schemas.openxmlformats.org/officeDocument/2006/relationships/hyperlink" Target="https://ref.ly/Gen12:15" TargetMode="External"/><Relationship Id="rId11972" Type="http://schemas.openxmlformats.org/officeDocument/2006/relationships/hyperlink" Target="https://ref.ly/Deut7:8" TargetMode="External"/><Relationship Id="rId11973" Type="http://schemas.openxmlformats.org/officeDocument/2006/relationships/hyperlink" Target="https://ref.ly/Exod2:23" TargetMode="External"/><Relationship Id="rId11974" Type="http://schemas.openxmlformats.org/officeDocument/2006/relationships/hyperlink" Target="https://ref.ly/1Kgs11:14-1Kgs11:22" TargetMode="External"/><Relationship Id="rId11975" Type="http://schemas.openxmlformats.org/officeDocument/2006/relationships/hyperlink" Target="https://ref.ly/1Kgs3:1-1Kgs3:2" TargetMode="External"/><Relationship Id="rId11976" Type="http://schemas.openxmlformats.org/officeDocument/2006/relationships/hyperlink" Target="https://ref.ly/Ezek29:3,Ezek29:15" TargetMode="External"/><Relationship Id="rId11977" Type="http://schemas.openxmlformats.org/officeDocument/2006/relationships/hyperlink" Target="https://ref.ly/Mark7:1-Mark7:4" TargetMode="External"/><Relationship Id="rId11978" Type="http://schemas.openxmlformats.org/officeDocument/2006/relationships/hyperlink" Target="https://ref.ly/Mark7:8" TargetMode="External"/><Relationship Id="rId11979" Type="http://schemas.openxmlformats.org/officeDocument/2006/relationships/hyperlink" Target="https://ref.ly/Mark7:13" TargetMode="External"/><Relationship Id="rId11980" Type="http://schemas.openxmlformats.org/officeDocument/2006/relationships/hyperlink" Target="https://ref.ly/Matt15:1-Matt15:6" TargetMode="External"/><Relationship Id="rId11981" Type="http://schemas.openxmlformats.org/officeDocument/2006/relationships/hyperlink" Target="https://ref.ly/Mark7:10-Mark7:12" TargetMode="External"/><Relationship Id="rId11982" Type="http://schemas.openxmlformats.org/officeDocument/2006/relationships/hyperlink" Target="https://ref.ly/Phil3:6" TargetMode="External"/><Relationship Id="rId11983" Type="http://schemas.openxmlformats.org/officeDocument/2006/relationships/hyperlink" Target="https://ref.ly/Isa23:3-Isa23:8" TargetMode="External"/><Relationship Id="rId11984" Type="http://schemas.openxmlformats.org/officeDocument/2006/relationships/hyperlink" Target="https://ref.ly/1Kgs11:5" TargetMode="External"/><Relationship Id="rId11985" Type="http://schemas.openxmlformats.org/officeDocument/2006/relationships/hyperlink" Target="https://ref.ly/1Kgs9:10-1Kgs9:28" TargetMode="External"/><Relationship Id="rId11986" Type="http://schemas.openxmlformats.org/officeDocument/2006/relationships/hyperlink" Target="https://ref.ly/Isa23:1-Isa23:18" TargetMode="External"/><Relationship Id="rId11987" Type="http://schemas.openxmlformats.org/officeDocument/2006/relationships/hyperlink" Target="https://ref.ly/Ezek26:2-Ezek26:19" TargetMode="External"/><Relationship Id="rId11988" Type="http://schemas.openxmlformats.org/officeDocument/2006/relationships/hyperlink" Target="https://ref.ly/Ezek28:1-Ezek28:23" TargetMode="External"/><Relationship Id="rId11989" Type="http://schemas.openxmlformats.org/officeDocument/2006/relationships/hyperlink" Target="https://ref.ly/Acts21:2-Acts21:7" TargetMode="External"/><Relationship Id="rId11990" Type="http://schemas.openxmlformats.org/officeDocument/2006/relationships/hyperlink" Target="https://ref.ly/Acts27:9-Acts27:17" TargetMode="External"/><Relationship Id="rId11991" Type="http://schemas.openxmlformats.org/officeDocument/2006/relationships/hyperlink" Target="https://ref.ly/Gen15:20" TargetMode="External"/><Relationship Id="rId11992" Type="http://schemas.openxmlformats.org/officeDocument/2006/relationships/hyperlink" Target="https://ref.ly/Josh9:1" TargetMode="External"/><Relationship Id="rId11993" Type="http://schemas.openxmlformats.org/officeDocument/2006/relationships/hyperlink" Target="https://ref.ly/Gen13:7" TargetMode="External"/><Relationship Id="rId11994" Type="http://schemas.openxmlformats.org/officeDocument/2006/relationships/hyperlink" Target="https://ref.ly/Gen34:30" TargetMode="External"/><Relationship Id="rId11995" Type="http://schemas.openxmlformats.org/officeDocument/2006/relationships/hyperlink" Target="https://ref.ly/Judg1:4-Judg1:5" TargetMode="External"/><Relationship Id="rId11996" Type="http://schemas.openxmlformats.org/officeDocument/2006/relationships/hyperlink" Target="https://ref.ly/Esth9:19" TargetMode="External"/><Relationship Id="rId11997" Type="http://schemas.openxmlformats.org/officeDocument/2006/relationships/hyperlink" Target="https://ref.ly/Ezek38:11" TargetMode="External"/><Relationship Id="rId11998" Type="http://schemas.openxmlformats.org/officeDocument/2006/relationships/hyperlink" Target="https://ref.ly/Zech2:4" TargetMode="External"/><Relationship Id="rId11999" Type="http://schemas.openxmlformats.org/officeDocument/2006/relationships/hyperlink" Target="https://ref.ly/Deut3:5" TargetMode="External"/><Relationship Id="rId12000" Type="http://schemas.openxmlformats.org/officeDocument/2006/relationships/hyperlink" Target="https://ref.ly/1Sam6:18" TargetMode="External"/><Relationship Id="rId12001" Type="http://schemas.openxmlformats.org/officeDocument/2006/relationships/hyperlink" Target="https://ref.ly/Col4:17" TargetMode="External"/><Relationship Id="rId12002" Type="http://schemas.openxmlformats.org/officeDocument/2006/relationships/hyperlink" Target="https://ref.ly/Phlm1:2" TargetMode="External"/><Relationship Id="rId12003" Type="http://schemas.openxmlformats.org/officeDocument/2006/relationships/hyperlink" Target="https://ref.ly/Col2:1" TargetMode="External"/><Relationship Id="rId12004" Type="http://schemas.openxmlformats.org/officeDocument/2006/relationships/hyperlink" Target="https://ref.ly/Phlm1:1" TargetMode="External"/><Relationship Id="rId12005" Type="http://schemas.openxmlformats.org/officeDocument/2006/relationships/hyperlink" Target="https://ref.ly/Acts19:8-Acts19:10" TargetMode="External"/><Relationship Id="rId12006" Type="http://schemas.openxmlformats.org/officeDocument/2006/relationships/hyperlink" Target="https://ref.ly/Luke6:14" TargetMode="External"/><Relationship Id="rId12007" Type="http://schemas.openxmlformats.org/officeDocument/2006/relationships/hyperlink" Target="https://ref.ly/John1:35-John1:51" TargetMode="External"/><Relationship Id="rId12008" Type="http://schemas.openxmlformats.org/officeDocument/2006/relationships/hyperlink" Target="https://ref.ly/John6:5-John6:7" TargetMode="External"/><Relationship Id="rId12009" Type="http://schemas.openxmlformats.org/officeDocument/2006/relationships/hyperlink" Target="https://ref.ly/Exod33:18" TargetMode="External"/><Relationship Id="rId12010" Type="http://schemas.openxmlformats.org/officeDocument/2006/relationships/hyperlink" Target="https://ref.ly/John14:8-John14:10" TargetMode="External"/><Relationship Id="rId12011" Type="http://schemas.openxmlformats.org/officeDocument/2006/relationships/hyperlink" Target="https://ref.ly/Acts6:1-Acts6:7" TargetMode="External"/><Relationship Id="rId12012" Type="http://schemas.openxmlformats.org/officeDocument/2006/relationships/hyperlink" Target="https://ref.ly/Acts8:25-Acts8:40" TargetMode="External"/><Relationship Id="rId12013" Type="http://schemas.openxmlformats.org/officeDocument/2006/relationships/hyperlink" Target="https://ref.ly/Acts21:8-Acts21:9" TargetMode="External"/><Relationship Id="rId12014" Type="http://schemas.openxmlformats.org/officeDocument/2006/relationships/hyperlink" Target="https://ref.ly/Acts23:31-Acts23:35" TargetMode="External"/><Relationship Id="rId12015" Type="http://schemas.openxmlformats.org/officeDocument/2006/relationships/hyperlink" Target="https://ref.ly/Acts24:23,Acts24:27" TargetMode="External"/><Relationship Id="rId12016" Type="http://schemas.openxmlformats.org/officeDocument/2006/relationships/hyperlink" Target="https://ref.ly/Acts16:21" TargetMode="External"/><Relationship Id="rId12017" Type="http://schemas.openxmlformats.org/officeDocument/2006/relationships/hyperlink" Target="https://ref.ly/Acts16:20-Acts16:22,Acts16:38" TargetMode="External"/><Relationship Id="rId12018" Type="http://schemas.openxmlformats.org/officeDocument/2006/relationships/hyperlink" Target="https://ref.ly/Acts16:14-Acts16:15,Acts16:40" TargetMode="External"/><Relationship Id="rId12019" Type="http://schemas.openxmlformats.org/officeDocument/2006/relationships/hyperlink" Target="https://ref.ly/Acts16:10,Acts16:40" TargetMode="External"/><Relationship Id="rId12020" Type="http://schemas.openxmlformats.org/officeDocument/2006/relationships/hyperlink" Target="https://ref.ly/Phil1:12-Phil1:13" TargetMode="External"/><Relationship Id="rId12021" Type="http://schemas.openxmlformats.org/officeDocument/2006/relationships/hyperlink" Target="https://ref.ly/Phil4:14" TargetMode="External"/><Relationship Id="rId12022" Type="http://schemas.openxmlformats.org/officeDocument/2006/relationships/hyperlink" Target="https://ref.ly/Phil2:25-Phil2:26" TargetMode="External"/><Relationship Id="rId12023" Type="http://schemas.openxmlformats.org/officeDocument/2006/relationships/hyperlink" Target="https://ref.ly/Acts23:33-Acts23:35" TargetMode="External"/><Relationship Id="rId12024" Type="http://schemas.openxmlformats.org/officeDocument/2006/relationships/hyperlink" Target="https://ref.ly/Acts19:30-Acts19:31" TargetMode="External"/><Relationship Id="rId12025" Type="http://schemas.openxmlformats.org/officeDocument/2006/relationships/hyperlink" Target="https://ref.ly/Phil4:12" TargetMode="External"/><Relationship Id="rId12026" Type="http://schemas.openxmlformats.org/officeDocument/2006/relationships/hyperlink" Target="https://ref.ly/Phil2:1-Phil2:30" TargetMode="External"/><Relationship Id="rId12027" Type="http://schemas.openxmlformats.org/officeDocument/2006/relationships/hyperlink" Target="https://ref.ly/Phil3:4-Phil3:16" TargetMode="External"/><Relationship Id="rId12028" Type="http://schemas.openxmlformats.org/officeDocument/2006/relationships/hyperlink" Target="https://ref.ly/Phil1:1-Phil1:11" TargetMode="External"/><Relationship Id="rId12029" Type="http://schemas.openxmlformats.org/officeDocument/2006/relationships/hyperlink" Target="https://ref.ly/Phil1:7-Phil1:8" TargetMode="External"/><Relationship Id="rId12030" Type="http://schemas.openxmlformats.org/officeDocument/2006/relationships/hyperlink" Target="https://ref.ly/Phil1:1-Phil1:2" TargetMode="External"/><Relationship Id="rId12031" Type="http://schemas.openxmlformats.org/officeDocument/2006/relationships/hyperlink" Target="https://ref.ly/Phil4:21-Phil4:23" TargetMode="External"/><Relationship Id="rId12032" Type="http://schemas.openxmlformats.org/officeDocument/2006/relationships/hyperlink" Target="https://ref.ly/Phil1:9" TargetMode="External"/><Relationship Id="rId12033" Type="http://schemas.openxmlformats.org/officeDocument/2006/relationships/hyperlink" Target="https://ref.ly/Phil1:7" TargetMode="External"/><Relationship Id="rId12034" Type="http://schemas.openxmlformats.org/officeDocument/2006/relationships/hyperlink" Target="https://ref.ly/Phil1:10-Phil1:11" TargetMode="External"/><Relationship Id="rId12035" Type="http://schemas.openxmlformats.org/officeDocument/2006/relationships/hyperlink" Target="https://ref.ly/Phil1:4" TargetMode="External"/><Relationship Id="rId12036" Type="http://schemas.openxmlformats.org/officeDocument/2006/relationships/hyperlink" Target="https://ref.ly/Phil1:12-Phil1:26" TargetMode="External"/><Relationship Id="rId12037" Type="http://schemas.openxmlformats.org/officeDocument/2006/relationships/hyperlink" Target="https://ref.ly/Phil1:21" TargetMode="External"/><Relationship Id="rId12038" Type="http://schemas.openxmlformats.org/officeDocument/2006/relationships/hyperlink" Target="https://ref.ly/Phil1:12-Phil1:18" TargetMode="External"/><Relationship Id="rId12039" Type="http://schemas.openxmlformats.org/officeDocument/2006/relationships/hyperlink" Target="https://ref.ly/Phil1:18" TargetMode="External"/><Relationship Id="rId12040" Type="http://schemas.openxmlformats.org/officeDocument/2006/relationships/hyperlink" Target="https://ref.ly/Phil1:14" TargetMode="External"/><Relationship Id="rId12041" Type="http://schemas.openxmlformats.org/officeDocument/2006/relationships/hyperlink" Target="https://ref.ly/Phil1:19-Phil1:26" TargetMode="External"/><Relationship Id="rId12042" Type="http://schemas.openxmlformats.org/officeDocument/2006/relationships/hyperlink" Target="https://ref.ly/Phil1:19-Phil1:21" TargetMode="External"/><Relationship Id="rId12043" Type="http://schemas.openxmlformats.org/officeDocument/2006/relationships/hyperlink" Target="https://ref.ly/Phil1:22" TargetMode="External"/><Relationship Id="rId12044" Type="http://schemas.openxmlformats.org/officeDocument/2006/relationships/hyperlink" Target="https://ref.ly/Phil1:25" TargetMode="External"/><Relationship Id="rId12045" Type="http://schemas.openxmlformats.org/officeDocument/2006/relationships/hyperlink" Target="https://ref.ly/Phil1:19-Phil1:20" TargetMode="External"/><Relationship Id="rId12046" Type="http://schemas.openxmlformats.org/officeDocument/2006/relationships/hyperlink" Target="https://ref.ly/Phil1:27-Phil2:18" TargetMode="External"/><Relationship Id="rId12047" Type="http://schemas.openxmlformats.org/officeDocument/2006/relationships/hyperlink" Target="https://ref.ly/Phil1:27-Phil1:30" TargetMode="External"/><Relationship Id="rId12048" Type="http://schemas.openxmlformats.org/officeDocument/2006/relationships/hyperlink" Target="https://ref.ly/Phil2:12-Phil2:18" TargetMode="External"/><Relationship Id="rId12049" Type="http://schemas.openxmlformats.org/officeDocument/2006/relationships/hyperlink" Target="https://ref.ly/Phil1:30" TargetMode="External"/><Relationship Id="rId12050" Type="http://schemas.openxmlformats.org/officeDocument/2006/relationships/hyperlink" Target="https://ref.ly/Phil1:29" TargetMode="External"/><Relationship Id="rId12051" Type="http://schemas.openxmlformats.org/officeDocument/2006/relationships/hyperlink" Target="https://ref.ly/Phil2:2" TargetMode="External"/><Relationship Id="rId12052" Type="http://schemas.openxmlformats.org/officeDocument/2006/relationships/hyperlink" Target="https://ref.ly/Phil2:1" TargetMode="External"/><Relationship Id="rId12053" Type="http://schemas.openxmlformats.org/officeDocument/2006/relationships/hyperlink" Target="https://ref.ly/Phil2:19-Phil2:30" TargetMode="External"/><Relationship Id="rId12054" Type="http://schemas.openxmlformats.org/officeDocument/2006/relationships/hyperlink" Target="https://ref.ly/Phil2:20" TargetMode="External"/><Relationship Id="rId12055" Type="http://schemas.openxmlformats.org/officeDocument/2006/relationships/hyperlink" Target="https://ref.ly/Phil2:21" TargetMode="External"/><Relationship Id="rId12056" Type="http://schemas.openxmlformats.org/officeDocument/2006/relationships/hyperlink" Target="https://ref.ly/Phil2:22" TargetMode="External"/><Relationship Id="rId12057" Type="http://schemas.openxmlformats.org/officeDocument/2006/relationships/hyperlink" Target="https://ref.ly/Phil2:27" TargetMode="External"/><Relationship Id="rId12058" Type="http://schemas.openxmlformats.org/officeDocument/2006/relationships/hyperlink" Target="https://ref.ly/Phil3:1-Phil4:1" TargetMode="External"/><Relationship Id="rId12059" Type="http://schemas.openxmlformats.org/officeDocument/2006/relationships/hyperlink" Target="https://ref.ly/Phil3:1" TargetMode="External"/><Relationship Id="rId12060" Type="http://schemas.openxmlformats.org/officeDocument/2006/relationships/hyperlink" Target="https://ref.ly/Phil4:1" TargetMode="External"/><Relationship Id="rId12061" Type="http://schemas.openxmlformats.org/officeDocument/2006/relationships/hyperlink" Target="https://ref.ly/Phil3:17" TargetMode="External"/><Relationship Id="rId12062" Type="http://schemas.openxmlformats.org/officeDocument/2006/relationships/hyperlink" Target="https://ref.ly/Phil3:2" TargetMode="External"/><Relationship Id="rId12063" Type="http://schemas.openxmlformats.org/officeDocument/2006/relationships/hyperlink" Target="https://ref.ly/Phil1:28" TargetMode="External"/><Relationship Id="rId12064" Type="http://schemas.openxmlformats.org/officeDocument/2006/relationships/hyperlink" Target="https://ref.ly/Acts17:5" TargetMode="External"/><Relationship Id="rId12065" Type="http://schemas.openxmlformats.org/officeDocument/2006/relationships/hyperlink" Target="https://ref.ly/Phil3:4" TargetMode="External"/><Relationship Id="rId12066" Type="http://schemas.openxmlformats.org/officeDocument/2006/relationships/hyperlink" Target="https://ref.ly/Phil3:8" TargetMode="External"/><Relationship Id="rId12067" Type="http://schemas.openxmlformats.org/officeDocument/2006/relationships/hyperlink" Target="https://ref.ly/Phil3:7" TargetMode="External"/><Relationship Id="rId12068" Type="http://schemas.openxmlformats.org/officeDocument/2006/relationships/hyperlink" Target="https://ref.ly/Phil3:10" TargetMode="External"/><Relationship Id="rId12069" Type="http://schemas.openxmlformats.org/officeDocument/2006/relationships/hyperlink" Target="https://ref.ly/Phil4:2-Phil4:23" TargetMode="External"/><Relationship Id="rId12070" Type="http://schemas.openxmlformats.org/officeDocument/2006/relationships/hyperlink" Target="https://ref.ly/Phil4:2" TargetMode="External"/><Relationship Id="rId12071" Type="http://schemas.openxmlformats.org/officeDocument/2006/relationships/hyperlink" Target="https://ref.ly/Phil4:10" TargetMode="External"/><Relationship Id="rId12072" Type="http://schemas.openxmlformats.org/officeDocument/2006/relationships/hyperlink" Target="https://ref.ly/Phil3:18" TargetMode="External"/><Relationship Id="rId12073" Type="http://schemas.openxmlformats.org/officeDocument/2006/relationships/hyperlink" Target="https://ref.ly/Phil4:3" TargetMode="External"/><Relationship Id="rId12074" Type="http://schemas.openxmlformats.org/officeDocument/2006/relationships/hyperlink" Target="https://ref.ly/Phil4:4-Phil4:9" TargetMode="External"/><Relationship Id="rId12075" Type="http://schemas.openxmlformats.org/officeDocument/2006/relationships/hyperlink" Target="https://ref.ly/Phil4:8" TargetMode="External"/><Relationship Id="rId12076" Type="http://schemas.openxmlformats.org/officeDocument/2006/relationships/hyperlink" Target="https://ref.ly/Phil4:17" TargetMode="External"/><Relationship Id="rId12077" Type="http://schemas.openxmlformats.org/officeDocument/2006/relationships/hyperlink" Target="https://ref.ly/Phil4:6" TargetMode="External"/><Relationship Id="rId12078" Type="http://schemas.openxmlformats.org/officeDocument/2006/relationships/hyperlink" Target="https://ref.ly/Phil4:19" TargetMode="External"/><Relationship Id="rId12079" Type="http://schemas.openxmlformats.org/officeDocument/2006/relationships/hyperlink" Target="https://ref.ly/Judg15:1-Judg15:5" TargetMode="External"/><Relationship Id="rId12080" Type="http://schemas.openxmlformats.org/officeDocument/2006/relationships/hyperlink" Target="https://ref.ly/1Sam31:10" TargetMode="External"/><Relationship Id="rId12081" Type="http://schemas.openxmlformats.org/officeDocument/2006/relationships/hyperlink" Target="https://ref.ly/2Sam15:19" TargetMode="External"/><Relationship Id="rId12082" Type="http://schemas.openxmlformats.org/officeDocument/2006/relationships/hyperlink" Target="https://ref.ly/2Sam20:7,2Sam20:23" TargetMode="External"/><Relationship Id="rId12083" Type="http://schemas.openxmlformats.org/officeDocument/2006/relationships/hyperlink" Target="https://ref.ly/1Chr18:17" TargetMode="External"/><Relationship Id="rId12084" Type="http://schemas.openxmlformats.org/officeDocument/2006/relationships/hyperlink" Target="https://ref.ly/1Sam5:11" TargetMode="External"/><Relationship Id="rId12085" Type="http://schemas.openxmlformats.org/officeDocument/2006/relationships/hyperlink" Target="https://ref.ly/1Sam6:12" TargetMode="External"/><Relationship Id="rId12086" Type="http://schemas.openxmlformats.org/officeDocument/2006/relationships/hyperlink" Target="https://ref.ly/1Sam29:2" TargetMode="External"/><Relationship Id="rId12087" Type="http://schemas.openxmlformats.org/officeDocument/2006/relationships/hyperlink" Target="https://ref.ly/1Sam6:17" TargetMode="External"/><Relationship Id="rId12088" Type="http://schemas.openxmlformats.org/officeDocument/2006/relationships/hyperlink" Target="https://ref.ly/1Sam5:6-1Sam5:12" TargetMode="External"/><Relationship Id="rId12089" Type="http://schemas.openxmlformats.org/officeDocument/2006/relationships/hyperlink" Target="https://ref.ly/1Sam29:1-1Sam29:11" TargetMode="External"/><Relationship Id="rId12090" Type="http://schemas.openxmlformats.org/officeDocument/2006/relationships/hyperlink" Target="https://ref.ly/Judg16:23-Judg16:30" TargetMode="External"/><Relationship Id="rId12091" Type="http://schemas.openxmlformats.org/officeDocument/2006/relationships/hyperlink" Target="https://ref.ly/1Sam5:1-1Sam5:5" TargetMode="External"/><Relationship Id="rId12092" Type="http://schemas.openxmlformats.org/officeDocument/2006/relationships/hyperlink" Target="https://ref.ly/Gen26:1-Gen26:35" TargetMode="External"/><Relationship Id="rId12093" Type="http://schemas.openxmlformats.org/officeDocument/2006/relationships/hyperlink" Target="https://ref.ly/Gen26:33" TargetMode="External"/><Relationship Id="rId12094" Type="http://schemas.openxmlformats.org/officeDocument/2006/relationships/hyperlink" Target="https://ref.ly/1Sam13:22" TargetMode="External"/><Relationship Id="rId12095" Type="http://schemas.openxmlformats.org/officeDocument/2006/relationships/hyperlink" Target="https://ref.ly/1Sam4:17" TargetMode="External"/><Relationship Id="rId12096" Type="http://schemas.openxmlformats.org/officeDocument/2006/relationships/hyperlink" Target="https://ref.ly/1Sam7:12" TargetMode="External"/><Relationship Id="rId12097" Type="http://schemas.openxmlformats.org/officeDocument/2006/relationships/hyperlink" Target="https://ref.ly/1Sam13:3" TargetMode="External"/><Relationship Id="rId12098" Type="http://schemas.openxmlformats.org/officeDocument/2006/relationships/hyperlink" Target="https://ref.ly/1Sam14:1-1Sam14:15" TargetMode="External"/><Relationship Id="rId12099" Type="http://schemas.openxmlformats.org/officeDocument/2006/relationships/hyperlink" Target="https://ref.ly/1Sam17:1-1Sam17:11" TargetMode="External"/><Relationship Id="rId12100" Type="http://schemas.openxmlformats.org/officeDocument/2006/relationships/hyperlink" Target="https://ref.ly/1Sam23:1-1Sam23:5" TargetMode="External"/><Relationship Id="rId12101" Type="http://schemas.openxmlformats.org/officeDocument/2006/relationships/hyperlink" Target="https://ref.ly/1Sam28:1-1Sam28:2" TargetMode="External"/><Relationship Id="rId12102" Type="http://schemas.openxmlformats.org/officeDocument/2006/relationships/hyperlink" Target="https://ref.ly/1Sam31:8-1Sam31:11" TargetMode="External"/><Relationship Id="rId12103" Type="http://schemas.openxmlformats.org/officeDocument/2006/relationships/hyperlink" Target="https://ref.ly/2Sam5:17-2Sam5:25" TargetMode="External"/><Relationship Id="rId12104" Type="http://schemas.openxmlformats.org/officeDocument/2006/relationships/hyperlink" Target="https://ref.ly/2Sam21:15-2Sam21:21" TargetMode="External"/><Relationship Id="rId12105" Type="http://schemas.openxmlformats.org/officeDocument/2006/relationships/hyperlink" Target="https://ref.ly/2Chr26:6-2Chr26:7" TargetMode="External"/><Relationship Id="rId12106" Type="http://schemas.openxmlformats.org/officeDocument/2006/relationships/hyperlink" Target="https://ref.ly/2Chr28:18" TargetMode="External"/><Relationship Id="rId12107" Type="http://schemas.openxmlformats.org/officeDocument/2006/relationships/hyperlink" Target="https://ref.ly/John1:1-John1:4" TargetMode="External"/><Relationship Id="rId12108" Type="http://schemas.openxmlformats.org/officeDocument/2006/relationships/hyperlink" Target="https://ref.ly/Col2:8-Col2:10" TargetMode="External"/><Relationship Id="rId12109" Type="http://schemas.openxmlformats.org/officeDocument/2006/relationships/hyperlink" Target="https://ref.ly/Acts17:21" TargetMode="External"/><Relationship Id="rId12110" Type="http://schemas.openxmlformats.org/officeDocument/2006/relationships/hyperlink" Target="https://ref.ly/Gen21:22,Gen21:32" TargetMode="External"/><Relationship Id="rId12111" Type="http://schemas.openxmlformats.org/officeDocument/2006/relationships/hyperlink" Target="https://ref.ly/Ezra2:68-Ezra2:69" TargetMode="External"/><Relationship Id="rId12112" Type="http://schemas.openxmlformats.org/officeDocument/2006/relationships/hyperlink" Target="https://ref.ly/John2:15" TargetMode="External"/><Relationship Id="rId12113" Type="http://schemas.openxmlformats.org/officeDocument/2006/relationships/hyperlink" Target="https://ref.ly/Mark12:44" TargetMode="External"/><Relationship Id="rId12114" Type="http://schemas.openxmlformats.org/officeDocument/2006/relationships/hyperlink" Target="https://ref.ly/Isa5:1-Isa5:30" TargetMode="External"/><Relationship Id="rId12115" Type="http://schemas.openxmlformats.org/officeDocument/2006/relationships/hyperlink" Target="https://ref.ly/Luke21:2" TargetMode="External"/><Relationship Id="rId12116" Type="http://schemas.openxmlformats.org/officeDocument/2006/relationships/hyperlink" Target="https://ref.ly/Matt5:26" TargetMode="External"/><Relationship Id="rId12117" Type="http://schemas.openxmlformats.org/officeDocument/2006/relationships/hyperlink" Target="https://ref.ly/Matt20:2" TargetMode="External"/><Relationship Id="rId12118" Type="http://schemas.openxmlformats.org/officeDocument/2006/relationships/hyperlink" Target="https://ref.ly/Luke10:35" TargetMode="External"/><Relationship Id="rId12119" Type="http://schemas.openxmlformats.org/officeDocument/2006/relationships/hyperlink" Target="https://ref.ly/John6:7" TargetMode="External"/><Relationship Id="rId12120" Type="http://schemas.openxmlformats.org/officeDocument/2006/relationships/hyperlink" Target="https://ref.ly/Matt22:19" TargetMode="External"/><Relationship Id="rId12121" Type="http://schemas.openxmlformats.org/officeDocument/2006/relationships/hyperlink" Target="https://ref.ly/Mark3:14-Mark3:19" TargetMode="External"/><Relationship Id="rId12122" Type="http://schemas.openxmlformats.org/officeDocument/2006/relationships/hyperlink" Target="https://ref.ly/Mark14:54" TargetMode="External"/><Relationship Id="rId12123" Type="http://schemas.openxmlformats.org/officeDocument/2006/relationships/hyperlink" Target="https://ref.ly/Mark14:66-Mark14:72" TargetMode="External"/><Relationship Id="rId12124" Type="http://schemas.openxmlformats.org/officeDocument/2006/relationships/hyperlink" Target="https://ref.ly/1Pet2:23" TargetMode="External"/><Relationship Id="rId12125" Type="http://schemas.openxmlformats.org/officeDocument/2006/relationships/hyperlink" Target="https://ref.ly/1Pet5:12" TargetMode="External"/><Relationship Id="rId12126" Type="http://schemas.openxmlformats.org/officeDocument/2006/relationships/hyperlink" Target="https://ref.ly/1Pet1:17" TargetMode="External"/><Relationship Id="rId12127" Type="http://schemas.openxmlformats.org/officeDocument/2006/relationships/hyperlink" Target="https://ref.ly/1Pet2:10" TargetMode="External"/><Relationship Id="rId12128" Type="http://schemas.openxmlformats.org/officeDocument/2006/relationships/hyperlink" Target="https://ref.ly/Hos2:23" TargetMode="External"/><Relationship Id="rId12129" Type="http://schemas.openxmlformats.org/officeDocument/2006/relationships/hyperlink" Target="https://ref.ly/Rom9:25" TargetMode="External"/><Relationship Id="rId12130" Type="http://schemas.openxmlformats.org/officeDocument/2006/relationships/hyperlink" Target="https://ref.ly/1Pet4:3" TargetMode="External"/><Relationship Id="rId12131" Type="http://schemas.openxmlformats.org/officeDocument/2006/relationships/hyperlink" Target="https://ref.ly/Rev18:2,Rev18:10,Rev18:21" TargetMode="External"/><Relationship Id="rId12132" Type="http://schemas.openxmlformats.org/officeDocument/2006/relationships/hyperlink" Target="https://ref.ly/1Pet1:3-1Pet1:7" TargetMode="External"/><Relationship Id="rId12133" Type="http://schemas.openxmlformats.org/officeDocument/2006/relationships/hyperlink" Target="https://ref.ly/1Pet2:12,1Pet2:20-1Pet2:23" TargetMode="External"/><Relationship Id="rId12134" Type="http://schemas.openxmlformats.org/officeDocument/2006/relationships/hyperlink" Target="https://ref.ly/1Pet3:13-1Pet3:17" TargetMode="External"/><Relationship Id="rId12135" Type="http://schemas.openxmlformats.org/officeDocument/2006/relationships/hyperlink" Target="https://ref.ly/1Pet4:12-1Pet4:19" TargetMode="External"/><Relationship Id="rId12136" Type="http://schemas.openxmlformats.org/officeDocument/2006/relationships/hyperlink" Target="https://ref.ly/1Pet5:9-1Pet5:10" TargetMode="External"/><Relationship Id="rId12137" Type="http://schemas.openxmlformats.org/officeDocument/2006/relationships/hyperlink" Target="https://ref.ly/1Pet2:18-1Pet2:20" TargetMode="External"/><Relationship Id="rId12138" Type="http://schemas.openxmlformats.org/officeDocument/2006/relationships/hyperlink" Target="https://ref.ly/1Pet3:1-1Pet3:6" TargetMode="External"/><Relationship Id="rId12139" Type="http://schemas.openxmlformats.org/officeDocument/2006/relationships/hyperlink" Target="https://ref.ly/1Pet2:12" TargetMode="External"/><Relationship Id="rId12140" Type="http://schemas.openxmlformats.org/officeDocument/2006/relationships/hyperlink" Target="https://ref.ly/1Pet3:9,1Pet3:16" TargetMode="External"/><Relationship Id="rId12141" Type="http://schemas.openxmlformats.org/officeDocument/2006/relationships/hyperlink" Target="https://ref.ly/1Pet4:15-1Pet4:16" TargetMode="External"/><Relationship Id="rId12142" Type="http://schemas.openxmlformats.org/officeDocument/2006/relationships/hyperlink" Target="https://ref.ly/1Pet3:13" TargetMode="External"/><Relationship Id="rId12143" Type="http://schemas.openxmlformats.org/officeDocument/2006/relationships/hyperlink" Target="https://ref.ly/1Pet3:8" TargetMode="External"/><Relationship Id="rId12144" Type="http://schemas.openxmlformats.org/officeDocument/2006/relationships/hyperlink" Target="https://ref.ly/1Pet5:1-1Pet5:7" TargetMode="External"/><Relationship Id="rId12145" Type="http://schemas.openxmlformats.org/officeDocument/2006/relationships/hyperlink" Target="https://ref.ly/1Pet3:1,1Pet3:15" TargetMode="External"/><Relationship Id="rId12146" Type="http://schemas.openxmlformats.org/officeDocument/2006/relationships/hyperlink" Target="https://ref.ly/1Pet1:6-1Pet1:7" TargetMode="External"/><Relationship Id="rId12147" Type="http://schemas.openxmlformats.org/officeDocument/2006/relationships/hyperlink" Target="https://ref.ly/1Pet2:12,1Pet2:18-1Pet2:25" TargetMode="External"/><Relationship Id="rId12148" Type="http://schemas.openxmlformats.org/officeDocument/2006/relationships/hyperlink" Target="https://ref.ly/1Pet3:9,1Pet3:14-1Pet3:17" TargetMode="External"/><Relationship Id="rId12149" Type="http://schemas.openxmlformats.org/officeDocument/2006/relationships/hyperlink" Target="https://ref.ly/1Pet4:1-1Pet4:5,1Pet4:12-1Pet4:19" TargetMode="External"/><Relationship Id="rId12150" Type="http://schemas.openxmlformats.org/officeDocument/2006/relationships/hyperlink" Target="https://ref.ly/1Pet5:8-1Pet5:10" TargetMode="External"/><Relationship Id="rId12151" Type="http://schemas.openxmlformats.org/officeDocument/2006/relationships/hyperlink" Target="https://ref.ly/1Pet5:10" TargetMode="External"/><Relationship Id="rId12152" Type="http://schemas.openxmlformats.org/officeDocument/2006/relationships/hyperlink" Target="https://ref.ly/1Pet4:10" TargetMode="External"/><Relationship Id="rId12153" Type="http://schemas.openxmlformats.org/officeDocument/2006/relationships/hyperlink" Target="https://ref.ly/1Pet1:13" TargetMode="External"/><Relationship Id="rId12154" Type="http://schemas.openxmlformats.org/officeDocument/2006/relationships/hyperlink" Target="https://ref.ly/1Pet1:2,1Pet1:20" TargetMode="External"/><Relationship Id="rId12155" Type="http://schemas.openxmlformats.org/officeDocument/2006/relationships/hyperlink" Target="https://ref.ly/1Pet2:9-1Pet2:10" TargetMode="External"/><Relationship Id="rId12156" Type="http://schemas.openxmlformats.org/officeDocument/2006/relationships/hyperlink" Target="https://ref.ly/1Pet1:20" TargetMode="External"/><Relationship Id="rId12157" Type="http://schemas.openxmlformats.org/officeDocument/2006/relationships/hyperlink" Target="https://ref.ly/1Pet2:4" TargetMode="External"/><Relationship Id="rId12158" Type="http://schemas.openxmlformats.org/officeDocument/2006/relationships/hyperlink" Target="https://ref.ly/1Pet2:7" TargetMode="External"/><Relationship Id="rId12159" Type="http://schemas.openxmlformats.org/officeDocument/2006/relationships/hyperlink" Target="https://ref.ly/1Pet4:1,1Pet4:13" TargetMode="External"/><Relationship Id="rId12160" Type="http://schemas.openxmlformats.org/officeDocument/2006/relationships/hyperlink" Target="https://ref.ly/1Pet2:21,1Pet2:24" TargetMode="External"/><Relationship Id="rId12161" Type="http://schemas.openxmlformats.org/officeDocument/2006/relationships/hyperlink" Target="https://ref.ly/1Pet1:21" TargetMode="External"/><Relationship Id="rId12162" Type="http://schemas.openxmlformats.org/officeDocument/2006/relationships/hyperlink" Target="https://ref.ly/1Pet1:23" TargetMode="External"/><Relationship Id="rId12163" Type="http://schemas.openxmlformats.org/officeDocument/2006/relationships/hyperlink" Target="https://ref.ly/1Pet4:11" TargetMode="External"/><Relationship Id="rId12164" Type="http://schemas.openxmlformats.org/officeDocument/2006/relationships/hyperlink" Target="https://ref.ly/1Pet1:15" TargetMode="External"/><Relationship Id="rId12165" Type="http://schemas.openxmlformats.org/officeDocument/2006/relationships/hyperlink" Target="https://ref.ly/1Pet1:3,1Pet1:23" TargetMode="External"/><Relationship Id="rId12166" Type="http://schemas.openxmlformats.org/officeDocument/2006/relationships/hyperlink" Target="https://ref.ly/1Pet1:3,1Pet1:13" TargetMode="External"/><Relationship Id="rId12167" Type="http://schemas.openxmlformats.org/officeDocument/2006/relationships/hyperlink" Target="https://ref.ly/1Pet1:13-1Pet1:15" TargetMode="External"/><Relationship Id="rId12168" Type="http://schemas.openxmlformats.org/officeDocument/2006/relationships/hyperlink" Target="https://ref.ly/1Pet2:20" TargetMode="External"/><Relationship Id="rId12169" Type="http://schemas.openxmlformats.org/officeDocument/2006/relationships/hyperlink" Target="https://ref.ly/1Pet3:9" TargetMode="External"/><Relationship Id="rId12170" Type="http://schemas.openxmlformats.org/officeDocument/2006/relationships/hyperlink" Target="https://ref.ly/1Pet2:12,1Pet2:15" TargetMode="External"/><Relationship Id="rId12171" Type="http://schemas.openxmlformats.org/officeDocument/2006/relationships/hyperlink" Target="https://ref.ly/1Pet3:11,1Pet3:16" TargetMode="External"/><Relationship Id="rId12172" Type="http://schemas.openxmlformats.org/officeDocument/2006/relationships/hyperlink" Target="https://ref.ly/1Pet2:13-1Pet2:17" TargetMode="External"/><Relationship Id="rId12173" Type="http://schemas.openxmlformats.org/officeDocument/2006/relationships/hyperlink" Target="https://ref.ly/1Pet2:18-1Pet2:25" TargetMode="External"/><Relationship Id="rId12174" Type="http://schemas.openxmlformats.org/officeDocument/2006/relationships/hyperlink" Target="https://ref.ly/1Pet1:1-1Pet1:2" TargetMode="External"/><Relationship Id="rId12175" Type="http://schemas.openxmlformats.org/officeDocument/2006/relationships/hyperlink" Target="https://ref.ly/Amos3:2" TargetMode="External"/><Relationship Id="rId12176" Type="http://schemas.openxmlformats.org/officeDocument/2006/relationships/hyperlink" Target="https://ref.ly/Acts2:23" TargetMode="External"/><Relationship Id="rId12177" Type="http://schemas.openxmlformats.org/officeDocument/2006/relationships/hyperlink" Target="https://ref.ly/Rom8:28-Rom8:30" TargetMode="External"/><Relationship Id="rId12178" Type="http://schemas.openxmlformats.org/officeDocument/2006/relationships/hyperlink" Target="https://ref.ly/Rom11:2" TargetMode="External"/><Relationship Id="rId12179" Type="http://schemas.openxmlformats.org/officeDocument/2006/relationships/hyperlink" Target="https://ref.ly/1Cor8:3" TargetMode="External"/><Relationship Id="rId12180" Type="http://schemas.openxmlformats.org/officeDocument/2006/relationships/hyperlink" Target="https://ref.ly/Gal4:9" TargetMode="External"/><Relationship Id="rId12181" Type="http://schemas.openxmlformats.org/officeDocument/2006/relationships/hyperlink" Target="https://ref.ly/Heb9:13-Heb9:14" TargetMode="External"/><Relationship Id="rId12182" Type="http://schemas.openxmlformats.org/officeDocument/2006/relationships/hyperlink" Target="https://ref.ly/1Pet1:14" TargetMode="External"/><Relationship Id="rId12183" Type="http://schemas.openxmlformats.org/officeDocument/2006/relationships/hyperlink" Target="https://ref.ly/1Pet1:3-1Pet1:12" TargetMode="External"/><Relationship Id="rId12184" Type="http://schemas.openxmlformats.org/officeDocument/2006/relationships/hyperlink" Target="https://ref.ly/1Pet1:6-1Pet1:8" TargetMode="External"/><Relationship Id="rId12185" Type="http://schemas.openxmlformats.org/officeDocument/2006/relationships/hyperlink" Target="https://ref.ly/1Pet1:5" TargetMode="External"/><Relationship Id="rId12186" Type="http://schemas.openxmlformats.org/officeDocument/2006/relationships/hyperlink" Target="https://ref.ly/1Pet1:8" TargetMode="External"/><Relationship Id="rId12187" Type="http://schemas.openxmlformats.org/officeDocument/2006/relationships/hyperlink" Target="https://ref.ly/1Pet3:15" TargetMode="External"/><Relationship Id="rId12188" Type="http://schemas.openxmlformats.org/officeDocument/2006/relationships/hyperlink" Target="https://ref.ly/1Pet1:13-1Pet1:25" TargetMode="External"/><Relationship Id="rId12189" Type="http://schemas.openxmlformats.org/officeDocument/2006/relationships/hyperlink" Target="https://ref.ly/1Pet1:14-1Pet1:15" TargetMode="External"/><Relationship Id="rId12190" Type="http://schemas.openxmlformats.org/officeDocument/2006/relationships/hyperlink" Target="https://ref.ly/1Pet1:15-1Pet1:16" TargetMode="External"/><Relationship Id="rId12191" Type="http://schemas.openxmlformats.org/officeDocument/2006/relationships/hyperlink" Target="https://ref.ly/1Pet1:22-1Pet1:25" TargetMode="External"/><Relationship Id="rId12192" Type="http://schemas.openxmlformats.org/officeDocument/2006/relationships/hyperlink" Target="https://ref.ly/1Pet1:25" TargetMode="External"/><Relationship Id="rId12193" Type="http://schemas.openxmlformats.org/officeDocument/2006/relationships/hyperlink" Target="https://ref.ly/Isa40:6-Isa40:8" TargetMode="External"/><Relationship Id="rId12194" Type="http://schemas.openxmlformats.org/officeDocument/2006/relationships/hyperlink" Target="https://ref.ly/1Pet2:1-1Pet2:10" TargetMode="External"/><Relationship Id="rId12195" Type="http://schemas.openxmlformats.org/officeDocument/2006/relationships/hyperlink" Target="https://ref.ly/1Pet1:1,1Pet1:17" TargetMode="External"/><Relationship Id="rId12196" Type="http://schemas.openxmlformats.org/officeDocument/2006/relationships/hyperlink" Target="https://ref.ly/1Pet2:6-1Pet2:8" TargetMode="External"/><Relationship Id="rId12197" Type="http://schemas.openxmlformats.org/officeDocument/2006/relationships/hyperlink" Target="https://ref.ly/1Pet2:1-1Pet2:3" TargetMode="External"/><Relationship Id="rId12198" Type="http://schemas.openxmlformats.org/officeDocument/2006/relationships/hyperlink" Target="https://ref.ly/1Pet2:4-1Pet2:5" TargetMode="External"/><Relationship Id="rId12199" Type="http://schemas.openxmlformats.org/officeDocument/2006/relationships/hyperlink" Target="https://ref.ly/1Cor3:16" TargetMode="External"/><Relationship Id="rId12200" Type="http://schemas.openxmlformats.org/officeDocument/2006/relationships/hyperlink" Target="https://ref.ly/Eph2:21-Eph2:22" TargetMode="External"/><Relationship Id="rId12201" Type="http://schemas.openxmlformats.org/officeDocument/2006/relationships/hyperlink" Target="https://ref.ly/Rom12:1-Rom12:2" TargetMode="External"/><Relationship Id="rId12202" Type="http://schemas.openxmlformats.org/officeDocument/2006/relationships/hyperlink" Target="https://ref.ly/1Pet2:11-1Pet2:12" TargetMode="External"/><Relationship Id="rId12203" Type="http://schemas.openxmlformats.org/officeDocument/2006/relationships/hyperlink" Target="https://ref.ly/1Pet2:13-1Pet2:14" TargetMode="External"/><Relationship Id="rId12204" Type="http://schemas.openxmlformats.org/officeDocument/2006/relationships/hyperlink" Target="https://ref.ly/Mark10:44" TargetMode="External"/><Relationship Id="rId12205" Type="http://schemas.openxmlformats.org/officeDocument/2006/relationships/hyperlink" Target="https://ref.ly/Phil2:3" TargetMode="External"/><Relationship Id="rId12206" Type="http://schemas.openxmlformats.org/officeDocument/2006/relationships/hyperlink" Target="https://ref.ly/1Pet2:21-1Pet2:23" TargetMode="External"/><Relationship Id="rId12207" Type="http://schemas.openxmlformats.org/officeDocument/2006/relationships/hyperlink" Target="https://ref.ly/1Pet2:24-1Pet2:25" TargetMode="External"/><Relationship Id="rId12208" Type="http://schemas.openxmlformats.org/officeDocument/2006/relationships/hyperlink" Target="https://ref.ly/Rom12:19-Rom12:20" TargetMode="External"/><Relationship Id="rId12209" Type="http://schemas.openxmlformats.org/officeDocument/2006/relationships/hyperlink" Target="https://ref.ly/1Pet3:1" TargetMode="External"/><Relationship Id="rId12210" Type="http://schemas.openxmlformats.org/officeDocument/2006/relationships/hyperlink" Target="https://ref.ly/1Pet3:2" TargetMode="External"/><Relationship Id="rId12211" Type="http://schemas.openxmlformats.org/officeDocument/2006/relationships/hyperlink" Target="https://ref.ly/1Pet3:5" TargetMode="External"/><Relationship Id="rId12212" Type="http://schemas.openxmlformats.org/officeDocument/2006/relationships/hyperlink" Target="https://ref.ly/1Pet3:7" TargetMode="External"/><Relationship Id="rId12213" Type="http://schemas.openxmlformats.org/officeDocument/2006/relationships/hyperlink" Target="https://ref.ly/1Pet3:8-1Pet3:12" TargetMode="External"/><Relationship Id="rId12214" Type="http://schemas.openxmlformats.org/officeDocument/2006/relationships/hyperlink" Target="https://ref.ly/1Pet2:13-1Pet3:12" TargetMode="External"/><Relationship Id="rId12215" Type="http://schemas.openxmlformats.org/officeDocument/2006/relationships/hyperlink" Target="https://ref.ly/1Pet3:9-1Pet3:12" TargetMode="External"/><Relationship Id="rId12216" Type="http://schemas.openxmlformats.org/officeDocument/2006/relationships/hyperlink" Target="https://ref.ly/Luke6:27-Luke6:36" TargetMode="External"/><Relationship Id="rId12217" Type="http://schemas.openxmlformats.org/officeDocument/2006/relationships/hyperlink" Target="https://ref.ly/1Pet2:19-1Pet2:20" TargetMode="External"/><Relationship Id="rId12218" Type="http://schemas.openxmlformats.org/officeDocument/2006/relationships/hyperlink" Target="https://ref.ly/1Pet3:1,1Pet3:9" TargetMode="External"/><Relationship Id="rId12219" Type="http://schemas.openxmlformats.org/officeDocument/2006/relationships/hyperlink" Target="https://ref.ly/Ps34:12-Ps34:16" TargetMode="External"/><Relationship Id="rId12220" Type="http://schemas.openxmlformats.org/officeDocument/2006/relationships/hyperlink" Target="https://ref.ly/1Pet1:4-1Pet1:5" TargetMode="External"/><Relationship Id="rId12221" Type="http://schemas.openxmlformats.org/officeDocument/2006/relationships/hyperlink" Target="https://ref.ly/1Pet3:17" TargetMode="External"/><Relationship Id="rId12222" Type="http://schemas.openxmlformats.org/officeDocument/2006/relationships/hyperlink" Target="https://ref.ly/1Pet3:14" TargetMode="External"/><Relationship Id="rId12223" Type="http://schemas.openxmlformats.org/officeDocument/2006/relationships/hyperlink" Target="https://ref.ly/Matt5:10-Matt5:12" TargetMode="External"/><Relationship Id="rId12224" Type="http://schemas.openxmlformats.org/officeDocument/2006/relationships/hyperlink" Target="https://ref.ly/1Pet3:14-1Pet3:15" TargetMode="External"/><Relationship Id="rId12225" Type="http://schemas.openxmlformats.org/officeDocument/2006/relationships/hyperlink" Target="https://ref.ly/Isa8:12-Isa8:13" TargetMode="External"/><Relationship Id="rId12226" Type="http://schemas.openxmlformats.org/officeDocument/2006/relationships/hyperlink" Target="https://ref.ly/1Pet3:16" TargetMode="External"/><Relationship Id="rId12227" Type="http://schemas.openxmlformats.org/officeDocument/2006/relationships/hyperlink" Target="https://ref.ly/1Pet2:21-1Pet2:25" TargetMode="External"/><Relationship Id="rId12228" Type="http://schemas.openxmlformats.org/officeDocument/2006/relationships/hyperlink" Target="https://ref.ly/1Pet1:18-1Pet1:21" TargetMode="External"/><Relationship Id="rId12229" Type="http://schemas.openxmlformats.org/officeDocument/2006/relationships/hyperlink" Target="https://ref.ly/1Pet3:1,1Pet3:20" TargetMode="External"/><Relationship Id="rId12230" Type="http://schemas.openxmlformats.org/officeDocument/2006/relationships/hyperlink" Target="https://ref.ly/1Pet3:18-1Pet3:21" TargetMode="External"/><Relationship Id="rId12231" Type="http://schemas.openxmlformats.org/officeDocument/2006/relationships/hyperlink" Target="https://ref.ly/1Pet3:21" TargetMode="External"/><Relationship Id="rId12232" Type="http://schemas.openxmlformats.org/officeDocument/2006/relationships/hyperlink" Target="https://ref.ly/1Pet4:1-1Pet4:6" TargetMode="External"/><Relationship Id="rId12233" Type="http://schemas.openxmlformats.org/officeDocument/2006/relationships/hyperlink" Target="https://ref.ly/1Pet2:1-1Pet2:2,1Pet2:11-1Pet2:12,1Pet2:15" TargetMode="External"/><Relationship Id="rId12234" Type="http://schemas.openxmlformats.org/officeDocument/2006/relationships/hyperlink" Target="https://ref.ly/1Pet4:4" TargetMode="External"/><Relationship Id="rId12235" Type="http://schemas.openxmlformats.org/officeDocument/2006/relationships/hyperlink" Target="https://ref.ly/1Pet4:5" TargetMode="External"/><Relationship Id="rId12236" Type="http://schemas.openxmlformats.org/officeDocument/2006/relationships/hyperlink" Target="https://ref.ly/Rom6:6,Rom6:10-Rom6:11" TargetMode="External"/><Relationship Id="rId12237" Type="http://schemas.openxmlformats.org/officeDocument/2006/relationships/hyperlink" Target="https://ref.ly/1Pet4:7-1Pet4:11" TargetMode="External"/><Relationship Id="rId12238" Type="http://schemas.openxmlformats.org/officeDocument/2006/relationships/hyperlink" Target="https://ref.ly/1Pet4:7,1Pet4:17" TargetMode="External"/><Relationship Id="rId12239" Type="http://schemas.openxmlformats.org/officeDocument/2006/relationships/hyperlink" Target="https://ref.ly/Eph4:1-Eph4:3" TargetMode="External"/><Relationship Id="rId12240" Type="http://schemas.openxmlformats.org/officeDocument/2006/relationships/hyperlink" Target="https://ref.ly/1Pet4:9" TargetMode="External"/><Relationship Id="rId12241" Type="http://schemas.openxmlformats.org/officeDocument/2006/relationships/hyperlink" Target="https://ref.ly/1Pet4:17-1Pet4:18" TargetMode="External"/><Relationship Id="rId12242" Type="http://schemas.openxmlformats.org/officeDocument/2006/relationships/hyperlink" Target="https://ref.ly/Prov11:31" TargetMode="External"/><Relationship Id="rId12243" Type="http://schemas.openxmlformats.org/officeDocument/2006/relationships/hyperlink" Target="https://ref.ly/1Thess3:3" TargetMode="External"/><Relationship Id="rId12244" Type="http://schemas.openxmlformats.org/officeDocument/2006/relationships/hyperlink" Target="https://ref.ly/Matt10:25" TargetMode="External"/><Relationship Id="rId12245" Type="http://schemas.openxmlformats.org/officeDocument/2006/relationships/hyperlink" Target="https://ref.ly/1Pet4:13" TargetMode="External"/><Relationship Id="rId12246" Type="http://schemas.openxmlformats.org/officeDocument/2006/relationships/hyperlink" Target="https://ref.ly/1Pet5:6" TargetMode="External"/><Relationship Id="rId12247" Type="http://schemas.openxmlformats.org/officeDocument/2006/relationships/hyperlink" Target="https://ref.ly/Jas4:10" TargetMode="External"/><Relationship Id="rId12248" Type="http://schemas.openxmlformats.org/officeDocument/2006/relationships/hyperlink" Target="https://ref.ly/Ps55:22" TargetMode="External"/><Relationship Id="rId12249" Type="http://schemas.openxmlformats.org/officeDocument/2006/relationships/hyperlink" Target="https://ref.ly/Matt6:25-Matt6:30" TargetMode="External"/><Relationship Id="rId12250" Type="http://schemas.openxmlformats.org/officeDocument/2006/relationships/hyperlink" Target="https://ref.ly/1Pet5:3" TargetMode="External"/><Relationship Id="rId12251" Type="http://schemas.openxmlformats.org/officeDocument/2006/relationships/hyperlink" Target="https://ref.ly/1Pet5:2" TargetMode="External"/><Relationship Id="rId12252" Type="http://schemas.openxmlformats.org/officeDocument/2006/relationships/hyperlink" Target="https://ref.ly/1Pet5:8-1Pet5:11" TargetMode="External"/><Relationship Id="rId12253" Type="http://schemas.openxmlformats.org/officeDocument/2006/relationships/hyperlink" Target="https://ref.ly/1Pet5:8" TargetMode="External"/><Relationship Id="rId12254" Type="http://schemas.openxmlformats.org/officeDocument/2006/relationships/hyperlink" Target="https://ref.ly/1Pet4:7" TargetMode="External"/><Relationship Id="rId12255" Type="http://schemas.openxmlformats.org/officeDocument/2006/relationships/hyperlink" Target="https://ref.ly/1Pet5:12-1Pet5:14" TargetMode="External"/><Relationship Id="rId12256" Type="http://schemas.openxmlformats.org/officeDocument/2006/relationships/hyperlink" Target="https://ref.ly/2Thess1:1" TargetMode="External"/><Relationship Id="rId12257" Type="http://schemas.openxmlformats.org/officeDocument/2006/relationships/hyperlink" Target="https://ref.ly/Acts15:37" TargetMode="External"/><Relationship Id="rId12258" Type="http://schemas.openxmlformats.org/officeDocument/2006/relationships/hyperlink" Target="https://ref.ly/Matt21:42" TargetMode="External"/><Relationship Id="rId12259" Type="http://schemas.openxmlformats.org/officeDocument/2006/relationships/hyperlink" Target="https://ref.ly/Mark12:10" TargetMode="External"/><Relationship Id="rId12260" Type="http://schemas.openxmlformats.org/officeDocument/2006/relationships/hyperlink" Target="https://ref.ly/Luke20:17" TargetMode="External"/><Relationship Id="rId12261" Type="http://schemas.openxmlformats.org/officeDocument/2006/relationships/hyperlink" Target="https://ref.ly/Ps118:22-Ps118:23" TargetMode="External"/><Relationship Id="rId12262" Type="http://schemas.openxmlformats.org/officeDocument/2006/relationships/hyperlink" Target="https://ref.ly/Isa28:16" TargetMode="External"/><Relationship Id="rId12263" Type="http://schemas.openxmlformats.org/officeDocument/2006/relationships/hyperlink" Target="https://ref.ly/Acts4:11" TargetMode="External"/><Relationship Id="rId12264" Type="http://schemas.openxmlformats.org/officeDocument/2006/relationships/hyperlink" Target="https://ref.ly/Ps118:22" TargetMode="External"/><Relationship Id="rId12265" Type="http://schemas.openxmlformats.org/officeDocument/2006/relationships/hyperlink" Target="https://ref.ly/1Pet2:6-1Pet2:7" TargetMode="External"/><Relationship Id="rId12266" Type="http://schemas.openxmlformats.org/officeDocument/2006/relationships/hyperlink" Target="https://ref.ly/1Pet2:6" TargetMode="External"/><Relationship Id="rId12267" Type="http://schemas.openxmlformats.org/officeDocument/2006/relationships/hyperlink" Target="https://ref.ly/1Pet2:7-1Pet2:8" TargetMode="External"/><Relationship Id="rId12268" Type="http://schemas.openxmlformats.org/officeDocument/2006/relationships/hyperlink" Target="https://ref.ly/2Pet1:1" TargetMode="External"/><Relationship Id="rId12269" Type="http://schemas.openxmlformats.org/officeDocument/2006/relationships/hyperlink" Target="https://ref.ly/2Pet2:1-2Pet2:22" TargetMode="External"/><Relationship Id="rId12270" Type="http://schemas.openxmlformats.org/officeDocument/2006/relationships/hyperlink" Target="https://ref.ly/2Pet3:1" TargetMode="External"/><Relationship Id="rId12271" Type="http://schemas.openxmlformats.org/officeDocument/2006/relationships/hyperlink" Target="https://ref.ly/2Pet3:15" TargetMode="External"/><Relationship Id="rId12272" Type="http://schemas.openxmlformats.org/officeDocument/2006/relationships/hyperlink" Target="https://ref.ly/Gal3:1-Gal5:26" TargetMode="External"/><Relationship Id="rId12273" Type="http://schemas.openxmlformats.org/officeDocument/2006/relationships/hyperlink" Target="https://ref.ly/2Pet1:12-2Pet1:15" TargetMode="External"/><Relationship Id="rId12274" Type="http://schemas.openxmlformats.org/officeDocument/2006/relationships/hyperlink" Target="https://ref.ly/2Pet1:1-2Pet1:2" TargetMode="External"/><Relationship Id="rId12275" Type="http://schemas.openxmlformats.org/officeDocument/2006/relationships/hyperlink" Target="https://ref.ly/2Pet1:3-2Pet1:21" TargetMode="External"/><Relationship Id="rId12276" Type="http://schemas.openxmlformats.org/officeDocument/2006/relationships/hyperlink" Target="https://ref.ly/2Pet1:3-2Pet1:11" TargetMode="External"/><Relationship Id="rId12277" Type="http://schemas.openxmlformats.org/officeDocument/2006/relationships/hyperlink" Target="https://ref.ly/John21:18-John21:19" TargetMode="External"/><Relationship Id="rId12278" Type="http://schemas.openxmlformats.org/officeDocument/2006/relationships/hyperlink" Target="https://ref.ly/2Pet1:12-2Pet1:21" TargetMode="External"/><Relationship Id="rId12279" Type="http://schemas.openxmlformats.org/officeDocument/2006/relationships/hyperlink" Target="https://ref.ly/1Cor1:1-1Cor3:23" TargetMode="External"/><Relationship Id="rId12280" Type="http://schemas.openxmlformats.org/officeDocument/2006/relationships/hyperlink" Target="https://ref.ly/2Pet2:10" TargetMode="External"/><Relationship Id="rId12281" Type="http://schemas.openxmlformats.org/officeDocument/2006/relationships/hyperlink" Target="https://ref.ly/2Pet2:13" TargetMode="External"/><Relationship Id="rId12282" Type="http://schemas.openxmlformats.org/officeDocument/2006/relationships/hyperlink" Target="https://ref.ly/Gen6:5-Gen6:22" TargetMode="External"/><Relationship Id="rId12283" Type="http://schemas.openxmlformats.org/officeDocument/2006/relationships/hyperlink" Target="https://ref.ly/Gen18:1-Gen19:38" TargetMode="External"/><Relationship Id="rId12284" Type="http://schemas.openxmlformats.org/officeDocument/2006/relationships/hyperlink" Target="https://ref.ly/2Pet2:4-2Pet2:10" TargetMode="External"/><Relationship Id="rId12285" Type="http://schemas.openxmlformats.org/officeDocument/2006/relationships/hyperlink" Target="https://ref.ly/Jude1:6-Jude1:7" TargetMode="External"/><Relationship Id="rId12286" Type="http://schemas.openxmlformats.org/officeDocument/2006/relationships/hyperlink" Target="https://ref.ly/Prov26:11" TargetMode="External"/><Relationship Id="rId12287" Type="http://schemas.openxmlformats.org/officeDocument/2006/relationships/hyperlink" Target="https://ref.ly/2Pet2:11-2Pet2:22" TargetMode="External"/><Relationship Id="rId12288" Type="http://schemas.openxmlformats.org/officeDocument/2006/relationships/hyperlink" Target="https://ref.ly/Jude1:8-Jude1:13" TargetMode="External"/><Relationship Id="rId12289" Type="http://schemas.openxmlformats.org/officeDocument/2006/relationships/hyperlink" Target="https://ref.ly/2Pet3:1-2Pet3:16" TargetMode="External"/><Relationship Id="rId12290" Type="http://schemas.openxmlformats.org/officeDocument/2006/relationships/hyperlink" Target="https://ref.ly/2Pet3:1-2Pet3:7" TargetMode="External"/><Relationship Id="rId12291" Type="http://schemas.openxmlformats.org/officeDocument/2006/relationships/hyperlink" Target="https://ref.ly/2Pet3:8-2Pet3:10" TargetMode="External"/><Relationship Id="rId12292" Type="http://schemas.openxmlformats.org/officeDocument/2006/relationships/hyperlink" Target="https://ref.ly/2Pet3:11-2Pet3:16" TargetMode="External"/><Relationship Id="rId12293" Type="http://schemas.openxmlformats.org/officeDocument/2006/relationships/hyperlink" Target="https://ref.ly/Jude1:20-Jude1:21" TargetMode="External"/><Relationship Id="rId12294" Type="http://schemas.openxmlformats.org/officeDocument/2006/relationships/hyperlink" Target="https://ref.ly/2Pet3:17-2Pet3:18" TargetMode="External"/><Relationship Id="rId12295" Type="http://schemas.openxmlformats.org/officeDocument/2006/relationships/hyperlink" Target="https://ref.ly/Luke23:12" TargetMode="External"/><Relationship Id="rId12296" Type="http://schemas.openxmlformats.org/officeDocument/2006/relationships/hyperlink" Target="https://ref.ly/Matt27:2" TargetMode="External"/><Relationship Id="rId12297" Type="http://schemas.openxmlformats.org/officeDocument/2006/relationships/hyperlink" Target="https://ref.ly/Mark15:1" TargetMode="External"/><Relationship Id="rId12298" Type="http://schemas.openxmlformats.org/officeDocument/2006/relationships/hyperlink" Target="https://ref.ly/Luke23:1" TargetMode="External"/><Relationship Id="rId12299" Type="http://schemas.openxmlformats.org/officeDocument/2006/relationships/hyperlink" Target="https://ref.ly/John18:29" TargetMode="External"/><Relationship Id="rId12300" Type="http://schemas.openxmlformats.org/officeDocument/2006/relationships/hyperlink" Target="https://ref.ly/1Tim6:13" TargetMode="External"/><Relationship Id="rId12301" Type="http://schemas.openxmlformats.org/officeDocument/2006/relationships/hyperlink" Target="https://ref.ly/Matt27:24-Matt27:25" TargetMode="External"/><Relationship Id="rId12302" Type="http://schemas.openxmlformats.org/officeDocument/2006/relationships/hyperlink" Target="https://ref.ly/John19:19-John19:22" TargetMode="External"/><Relationship Id="rId12303" Type="http://schemas.openxmlformats.org/officeDocument/2006/relationships/hyperlink" Target="https://ref.ly/Acts14:24" TargetMode="External"/><Relationship Id="rId12304" Type="http://schemas.openxmlformats.org/officeDocument/2006/relationships/hyperlink" Target="https://ref.ly/Acts13:46" TargetMode="External"/><Relationship Id="rId12305" Type="http://schemas.openxmlformats.org/officeDocument/2006/relationships/hyperlink" Target="https://ref.ly/Mark7:4" TargetMode="External"/><Relationship Id="rId12306" Type="http://schemas.openxmlformats.org/officeDocument/2006/relationships/hyperlink" Target="https://ref.ly/Matt11:16" TargetMode="External"/><Relationship Id="rId12307" Type="http://schemas.openxmlformats.org/officeDocument/2006/relationships/hyperlink" Target="https://ref.ly/Matt20:3" TargetMode="External"/><Relationship Id="rId12308" Type="http://schemas.openxmlformats.org/officeDocument/2006/relationships/hyperlink" Target="https://ref.ly/Mark6:56" TargetMode="External"/><Relationship Id="rId12309" Type="http://schemas.openxmlformats.org/officeDocument/2006/relationships/hyperlink" Target="https://ref.ly/Acts17:17" TargetMode="External"/><Relationship Id="rId12310" Type="http://schemas.openxmlformats.org/officeDocument/2006/relationships/hyperlink" Target="https://ref.ly/Judg5:25" TargetMode="External"/><Relationship Id="rId12311" Type="http://schemas.openxmlformats.org/officeDocument/2006/relationships/hyperlink" Target="https://ref.ly/Matt26:23" TargetMode="External"/><Relationship Id="rId12312" Type="http://schemas.openxmlformats.org/officeDocument/2006/relationships/hyperlink" Target="https://ref.ly/Mark14:20" TargetMode="External"/><Relationship Id="rId12313" Type="http://schemas.openxmlformats.org/officeDocument/2006/relationships/hyperlink" Target="https://ref.ly/2Kgs21:13" TargetMode="External"/><Relationship Id="rId12314" Type="http://schemas.openxmlformats.org/officeDocument/2006/relationships/hyperlink" Target="https://ref.ly/Matt23:25-Matt23:26" TargetMode="External"/><Relationship Id="rId12315" Type="http://schemas.openxmlformats.org/officeDocument/2006/relationships/hyperlink" Target="https://ref.ly/Num7:13" TargetMode="External"/><Relationship Id="rId12316" Type="http://schemas.openxmlformats.org/officeDocument/2006/relationships/hyperlink" Target="https://ref.ly/Exod25:29" TargetMode="External"/><Relationship Id="rId12317" Type="http://schemas.openxmlformats.org/officeDocument/2006/relationships/hyperlink" Target="https://ref.ly/Exod37:16" TargetMode="External"/><Relationship Id="rId12318" Type="http://schemas.openxmlformats.org/officeDocument/2006/relationships/hyperlink" Target="https://ref.ly/Num4:7" TargetMode="External"/><Relationship Id="rId12319" Type="http://schemas.openxmlformats.org/officeDocument/2006/relationships/hyperlink" Target="https://ref.ly/Matt9:16" TargetMode="External"/><Relationship Id="rId12320" Type="http://schemas.openxmlformats.org/officeDocument/2006/relationships/hyperlink" Target="https://ref.ly/Mark2:21" TargetMode="External"/><Relationship Id="rId12321" Type="http://schemas.openxmlformats.org/officeDocument/2006/relationships/hyperlink" Target="https://ref.ly/Mark6:43" TargetMode="External"/><Relationship Id="rId12322" Type="http://schemas.openxmlformats.org/officeDocument/2006/relationships/hyperlink" Target="https://ref.ly/Mark8:20" TargetMode="External"/><Relationship Id="rId12323" Type="http://schemas.openxmlformats.org/officeDocument/2006/relationships/hyperlink" Target="https://ref.ly/Ps24:1" TargetMode="External"/><Relationship Id="rId12324" Type="http://schemas.openxmlformats.org/officeDocument/2006/relationships/hyperlink" Target="https://ref.ly/Ps50:12" TargetMode="External"/><Relationship Id="rId12325" Type="http://schemas.openxmlformats.org/officeDocument/2006/relationships/hyperlink" Target="https://ref.ly/Ps89:11" TargetMode="External"/><Relationship Id="rId12326" Type="http://schemas.openxmlformats.org/officeDocument/2006/relationships/hyperlink" Target="https://ref.ly/1Cor10:26" TargetMode="External"/><Relationship Id="rId12327" Type="http://schemas.openxmlformats.org/officeDocument/2006/relationships/hyperlink" Target="https://ref.ly/1Chr16:32" TargetMode="External"/><Relationship Id="rId12328" Type="http://schemas.openxmlformats.org/officeDocument/2006/relationships/hyperlink" Target="https://ref.ly/Ps96:11-Ps96:12" TargetMode="External"/><Relationship Id="rId12329" Type="http://schemas.openxmlformats.org/officeDocument/2006/relationships/hyperlink" Target="https://ref.ly/Ps8:5-Ps8:6" TargetMode="External"/><Relationship Id="rId12330" Type="http://schemas.openxmlformats.org/officeDocument/2006/relationships/hyperlink" Target="https://ref.ly/Jer23:24" TargetMode="External"/><Relationship Id="rId12331" Type="http://schemas.openxmlformats.org/officeDocument/2006/relationships/hyperlink" Target="https://ref.ly/Jer8:16" TargetMode="External"/><Relationship Id="rId12332" Type="http://schemas.openxmlformats.org/officeDocument/2006/relationships/hyperlink" Target="https://ref.ly/Jer47:2" TargetMode="External"/><Relationship Id="rId12333" Type="http://schemas.openxmlformats.org/officeDocument/2006/relationships/hyperlink" Target="https://ref.ly/Ezek12:19" TargetMode="External"/><Relationship Id="rId12334" Type="http://schemas.openxmlformats.org/officeDocument/2006/relationships/hyperlink" Target="https://ref.ly/Ezek19:7" TargetMode="External"/><Relationship Id="rId12335" Type="http://schemas.openxmlformats.org/officeDocument/2006/relationships/hyperlink" Target="https://ref.ly/Ezek30:12" TargetMode="External"/><Relationship Id="rId12336" Type="http://schemas.openxmlformats.org/officeDocument/2006/relationships/hyperlink" Target="https://ref.ly/Rom13:10" TargetMode="External"/><Relationship Id="rId12337" Type="http://schemas.openxmlformats.org/officeDocument/2006/relationships/hyperlink" Target="https://ref.ly/Rom11:12" TargetMode="External"/><Relationship Id="rId12338" Type="http://schemas.openxmlformats.org/officeDocument/2006/relationships/hyperlink" Target="https://ref.ly/Rom15:29" TargetMode="External"/><Relationship Id="rId12339" Type="http://schemas.openxmlformats.org/officeDocument/2006/relationships/hyperlink" Target="https://ref.ly/Eph4:13" TargetMode="External"/><Relationship Id="rId12340" Type="http://schemas.openxmlformats.org/officeDocument/2006/relationships/hyperlink" Target="https://ref.ly/Eph3:19" TargetMode="External"/><Relationship Id="rId12341" Type="http://schemas.openxmlformats.org/officeDocument/2006/relationships/hyperlink" Target="https://ref.ly/John1:16" TargetMode="External"/><Relationship Id="rId12342" Type="http://schemas.openxmlformats.org/officeDocument/2006/relationships/hyperlink" Target="https://ref.ly/Eph1:23" TargetMode="External"/><Relationship Id="rId12343" Type="http://schemas.openxmlformats.org/officeDocument/2006/relationships/hyperlink" Target="https://ref.ly/Ps1:1" TargetMode="External"/><Relationship Id="rId12344" Type="http://schemas.openxmlformats.org/officeDocument/2006/relationships/hyperlink" Target="https://ref.ly/Ps5:11" TargetMode="External"/><Relationship Id="rId12345" Type="http://schemas.openxmlformats.org/officeDocument/2006/relationships/hyperlink" Target="https://ref.ly/Ps45:1-Ps45:2" TargetMode="External"/><Relationship Id="rId12346" Type="http://schemas.openxmlformats.org/officeDocument/2006/relationships/hyperlink" Target="https://ref.ly/Ps55:21" TargetMode="External"/><Relationship Id="rId12347" Type="http://schemas.openxmlformats.org/officeDocument/2006/relationships/hyperlink" Target="https://ref.ly/Prov27:15-Prov27:16" TargetMode="External"/><Relationship Id="rId12348" Type="http://schemas.openxmlformats.org/officeDocument/2006/relationships/hyperlink" Target="https://ref.ly/Ps6:6-Ps6:7" TargetMode="External"/><Relationship Id="rId12349" Type="http://schemas.openxmlformats.org/officeDocument/2006/relationships/hyperlink" Target="https://ref.ly/Prov24:23-Prov24:25" TargetMode="External"/><Relationship Id="rId12350" Type="http://schemas.openxmlformats.org/officeDocument/2006/relationships/hyperlink" Target="https://ref.ly/Prov30:21-Prov30:23" TargetMode="External"/><Relationship Id="rId12351" Type="http://schemas.openxmlformats.org/officeDocument/2006/relationships/hyperlink" Target="https://ref.ly/Jer9:18-Jer9:20" TargetMode="External"/><Relationship Id="rId12352" Type="http://schemas.openxmlformats.org/officeDocument/2006/relationships/hyperlink" Target="https://ref.ly/Lam1:1-Lam4:22" TargetMode="External"/><Relationship Id="rId12353" Type="http://schemas.openxmlformats.org/officeDocument/2006/relationships/hyperlink" Target="https://ref.ly/Ps2:4" TargetMode="External"/><Relationship Id="rId12354" Type="http://schemas.openxmlformats.org/officeDocument/2006/relationships/hyperlink" Target="https://ref.ly/Ps36:1-Ps36:2" TargetMode="External"/><Relationship Id="rId12355" Type="http://schemas.openxmlformats.org/officeDocument/2006/relationships/hyperlink" Target="https://ref.ly/Ps103:11-Ps103:12" TargetMode="External"/><Relationship Id="rId12356" Type="http://schemas.openxmlformats.org/officeDocument/2006/relationships/hyperlink" Target="https://ref.ly/Prov10:1-Prov10:4,Prov10:16-Prov10:18" TargetMode="External"/><Relationship Id="rId12357" Type="http://schemas.openxmlformats.org/officeDocument/2006/relationships/hyperlink" Target="https://ref.ly/Prov13:9" TargetMode="External"/><Relationship Id="rId12358" Type="http://schemas.openxmlformats.org/officeDocument/2006/relationships/hyperlink" Target="https://ref.ly/Ps3:5-Ps3:6" TargetMode="External"/><Relationship Id="rId12359" Type="http://schemas.openxmlformats.org/officeDocument/2006/relationships/hyperlink" Target="https://ref.ly/Ps18:8-Ps18:10" TargetMode="External"/><Relationship Id="rId12360" Type="http://schemas.openxmlformats.org/officeDocument/2006/relationships/hyperlink" Target="https://ref.ly/Ps25:1-Ps25:22" TargetMode="External"/><Relationship Id="rId12361" Type="http://schemas.openxmlformats.org/officeDocument/2006/relationships/hyperlink" Target="https://ref.ly/Ps119:1-Ps119:176" TargetMode="External"/><Relationship Id="rId12362" Type="http://schemas.openxmlformats.org/officeDocument/2006/relationships/hyperlink" Target="https://ref.ly/Ps111:1-Ps111:10" TargetMode="External"/><Relationship Id="rId12363" Type="http://schemas.openxmlformats.org/officeDocument/2006/relationships/hyperlink" Target="https://ref.ly/Ps145:1-Ps145:21" TargetMode="External"/><Relationship Id="rId12364" Type="http://schemas.openxmlformats.org/officeDocument/2006/relationships/hyperlink" Target="https://ref.ly/Lam3:1-Lam3:66" TargetMode="External"/><Relationship Id="rId12365" Type="http://schemas.openxmlformats.org/officeDocument/2006/relationships/hyperlink" Target="https://ref.ly/Prov31:10-Prov31:31" TargetMode="External"/><Relationship Id="rId12366" Type="http://schemas.openxmlformats.org/officeDocument/2006/relationships/hyperlink" Target="https://ref.ly/1Chr25:6" TargetMode="External"/><Relationship Id="rId12367" Type="http://schemas.openxmlformats.org/officeDocument/2006/relationships/hyperlink" Target="https://ref.ly/Isa23:16" TargetMode="External"/><Relationship Id="rId12368" Type="http://schemas.openxmlformats.org/officeDocument/2006/relationships/hyperlink" Target="https://ref.ly/Amos6:5" TargetMode="External"/><Relationship Id="rId12369" Type="http://schemas.openxmlformats.org/officeDocument/2006/relationships/hyperlink" Target="https://ref.ly/Exod15:1-Exod15:18" TargetMode="External"/><Relationship Id="rId12370" Type="http://schemas.openxmlformats.org/officeDocument/2006/relationships/hyperlink" Target="https://ref.ly/Num21:17-Num21:18" TargetMode="External"/><Relationship Id="rId12371" Type="http://schemas.openxmlformats.org/officeDocument/2006/relationships/hyperlink" Target="https://ref.ly/Gen49:1-Gen49:27" TargetMode="External"/><Relationship Id="rId12372" Type="http://schemas.openxmlformats.org/officeDocument/2006/relationships/hyperlink" Target="https://ref.ly/Deut33:2-Deut33:29" TargetMode="External"/><Relationship Id="rId12373" Type="http://schemas.openxmlformats.org/officeDocument/2006/relationships/hyperlink" Target="https://ref.ly/Num23:7-Num23:10" TargetMode="External"/><Relationship Id="rId12374" Type="http://schemas.openxmlformats.org/officeDocument/2006/relationships/hyperlink" Target="https://ref.ly/Num23:18-Num23:24" TargetMode="External"/><Relationship Id="rId12375" Type="http://schemas.openxmlformats.org/officeDocument/2006/relationships/hyperlink" Target="https://ref.ly/Num24:3-Num24:9" TargetMode="External"/><Relationship Id="rId12376" Type="http://schemas.openxmlformats.org/officeDocument/2006/relationships/hyperlink" Target="https://ref.ly/Num24:15-Num24:24" TargetMode="External"/><Relationship Id="rId12377" Type="http://schemas.openxmlformats.org/officeDocument/2006/relationships/hyperlink" Target="https://ref.ly/2Sam1:19-2Sam1:27" TargetMode="External"/><Relationship Id="rId12378" Type="http://schemas.openxmlformats.org/officeDocument/2006/relationships/hyperlink" Target="https://ref.ly/Prov6:6-Prov6:11" TargetMode="External"/><Relationship Id="rId12379" Type="http://schemas.openxmlformats.org/officeDocument/2006/relationships/hyperlink" Target="https://ref.ly/Prov23:29-Prov23:35" TargetMode="External"/><Relationship Id="rId12380" Type="http://schemas.openxmlformats.org/officeDocument/2006/relationships/hyperlink" Target="https://ref.ly/John1:1-John1:18" TargetMode="External"/><Relationship Id="rId12381" Type="http://schemas.openxmlformats.org/officeDocument/2006/relationships/hyperlink" Target="https://ref.ly/Rom16:25-Rom16:27" TargetMode="External"/><Relationship Id="rId12382" Type="http://schemas.openxmlformats.org/officeDocument/2006/relationships/hyperlink" Target="https://ref.ly/Heb1:1-Heb1:3" TargetMode="External"/><Relationship Id="rId12383" Type="http://schemas.openxmlformats.org/officeDocument/2006/relationships/hyperlink" Target="https://ref.ly/Rev5:9-Rev5:10,Rev5:12-Rev5:13" TargetMode="External"/><Relationship Id="rId12384" Type="http://schemas.openxmlformats.org/officeDocument/2006/relationships/hyperlink" Target="https://ref.ly/Rev7:12" TargetMode="External"/><Relationship Id="rId12385" Type="http://schemas.openxmlformats.org/officeDocument/2006/relationships/hyperlink" Target="https://ref.ly/Rev11:17-Rev11:18" TargetMode="External"/><Relationship Id="rId12386" Type="http://schemas.openxmlformats.org/officeDocument/2006/relationships/hyperlink" Target="https://ref.ly/Lev19:36" TargetMode="External"/><Relationship Id="rId12387" Type="http://schemas.openxmlformats.org/officeDocument/2006/relationships/hyperlink" Target="https://ref.ly/Prov16:11" TargetMode="External"/><Relationship Id="rId12388" Type="http://schemas.openxmlformats.org/officeDocument/2006/relationships/hyperlink" Target="https://ref.ly/Prov20:10,Prov20:23" TargetMode="External"/><Relationship Id="rId12389" Type="http://schemas.openxmlformats.org/officeDocument/2006/relationships/hyperlink" Target="https://ref.ly/Hos12:7" TargetMode="External"/><Relationship Id="rId12390" Type="http://schemas.openxmlformats.org/officeDocument/2006/relationships/hyperlink" Target="https://ref.ly/Job31:6" TargetMode="External"/><Relationship Id="rId12391" Type="http://schemas.openxmlformats.org/officeDocument/2006/relationships/hyperlink" Target="https://ref.ly/Ps62:9" TargetMode="External"/><Relationship Id="rId12392" Type="http://schemas.openxmlformats.org/officeDocument/2006/relationships/hyperlink" Target="https://ref.ly/Isa40:12" TargetMode="External"/><Relationship Id="rId12393" Type="http://schemas.openxmlformats.org/officeDocument/2006/relationships/hyperlink" Target="https://ref.ly/Ezek5:1" TargetMode="External"/><Relationship Id="rId12394" Type="http://schemas.openxmlformats.org/officeDocument/2006/relationships/hyperlink" Target="https://ref.ly/Dan5:27" TargetMode="External"/><Relationship Id="rId12395" Type="http://schemas.openxmlformats.org/officeDocument/2006/relationships/hyperlink" Target="https://ref.ly/Exod38:25-Exod38:26" TargetMode="External"/><Relationship Id="rId12396" Type="http://schemas.openxmlformats.org/officeDocument/2006/relationships/hyperlink" Target="https://ref.ly/Exod38:25" TargetMode="External"/><Relationship Id="rId12397" Type="http://schemas.openxmlformats.org/officeDocument/2006/relationships/hyperlink" Target="https://ref.ly/Exod38:26" TargetMode="External"/><Relationship Id="rId12398" Type="http://schemas.openxmlformats.org/officeDocument/2006/relationships/hyperlink" Target="https://ref.ly/1Chr22:14" TargetMode="External"/><Relationship Id="rId12399" Type="http://schemas.openxmlformats.org/officeDocument/2006/relationships/hyperlink" Target="https://ref.ly/Ezek45:12" TargetMode="External"/><Relationship Id="rId12400" Type="http://schemas.openxmlformats.org/officeDocument/2006/relationships/hyperlink" Target="https://ref.ly/2Sam14:26" TargetMode="External"/><Relationship Id="rId12401" Type="http://schemas.openxmlformats.org/officeDocument/2006/relationships/hyperlink" Target="https://ref.ly/1Sam17:5-1Sam17:7" TargetMode="External"/><Relationship Id="rId12402" Type="http://schemas.openxmlformats.org/officeDocument/2006/relationships/hyperlink" Target="https://ref.ly/1Sam13:21" TargetMode="External"/><Relationship Id="rId12403" Type="http://schemas.openxmlformats.org/officeDocument/2006/relationships/hyperlink" Target="https://ref.ly/Exod30:13" TargetMode="External"/><Relationship Id="rId12404" Type="http://schemas.openxmlformats.org/officeDocument/2006/relationships/hyperlink" Target="https://ref.ly/Lev27:25" TargetMode="External"/><Relationship Id="rId12405" Type="http://schemas.openxmlformats.org/officeDocument/2006/relationships/hyperlink" Target="https://ref.ly/Num3:47" TargetMode="External"/><Relationship Id="rId12406" Type="http://schemas.openxmlformats.org/officeDocument/2006/relationships/hyperlink" Target="https://ref.ly/Num18:16" TargetMode="External"/><Relationship Id="rId12407" Type="http://schemas.openxmlformats.org/officeDocument/2006/relationships/hyperlink" Target="https://ref.ly/John12:3" TargetMode="External"/><Relationship Id="rId12408" Type="http://schemas.openxmlformats.org/officeDocument/2006/relationships/hyperlink" Target="https://ref.ly/John19:39" TargetMode="External"/><Relationship Id="rId12409" Type="http://schemas.openxmlformats.org/officeDocument/2006/relationships/hyperlink" Target="https://ref.ly/2Sam6:13" TargetMode="External"/><Relationship Id="rId12410" Type="http://schemas.openxmlformats.org/officeDocument/2006/relationships/hyperlink" Target="https://ref.ly/Ezek40:5" TargetMode="External"/><Relationship Id="rId12411" Type="http://schemas.openxmlformats.org/officeDocument/2006/relationships/hyperlink" Target="https://ref.ly/Gen6:15" TargetMode="External"/><Relationship Id="rId12412" Type="http://schemas.openxmlformats.org/officeDocument/2006/relationships/hyperlink" Target="https://ref.ly/Exod28:15-Exod28:16" TargetMode="External"/><Relationship Id="rId12413" Type="http://schemas.openxmlformats.org/officeDocument/2006/relationships/hyperlink" Target="https://ref.ly/Exod39:8-Exod39:9" TargetMode="External"/><Relationship Id="rId12414" Type="http://schemas.openxmlformats.org/officeDocument/2006/relationships/hyperlink" Target="https://ref.ly/Exod25:25" TargetMode="External"/><Relationship Id="rId12415" Type="http://schemas.openxmlformats.org/officeDocument/2006/relationships/hyperlink" Target="https://ref.ly/1Kgs7:26" TargetMode="External"/><Relationship Id="rId12416" Type="http://schemas.openxmlformats.org/officeDocument/2006/relationships/hyperlink" Target="https://ref.ly/Rev21:16" TargetMode="External"/><Relationship Id="rId12417" Type="http://schemas.openxmlformats.org/officeDocument/2006/relationships/hyperlink" Target="https://ref.ly/Matt5:41" TargetMode="External"/><Relationship Id="rId12418" Type="http://schemas.openxmlformats.org/officeDocument/2006/relationships/hyperlink" Target="https://ref.ly/Ezek45:11-Ezek45:14" TargetMode="External"/><Relationship Id="rId12419" Type="http://schemas.openxmlformats.org/officeDocument/2006/relationships/hyperlink" Target="https://ref.ly/Isa5:10" TargetMode="External"/><Relationship Id="rId12420" Type="http://schemas.openxmlformats.org/officeDocument/2006/relationships/hyperlink" Target="https://ref.ly/Zech5:6-Zech5:10" TargetMode="External"/><Relationship Id="rId12421" Type="http://schemas.openxmlformats.org/officeDocument/2006/relationships/hyperlink" Target="https://ref.ly/1Sam25:18" TargetMode="External"/><Relationship Id="rId12422" Type="http://schemas.openxmlformats.org/officeDocument/2006/relationships/hyperlink" Target="https://ref.ly/Exod16:22" TargetMode="External"/><Relationship Id="rId12423" Type="http://schemas.openxmlformats.org/officeDocument/2006/relationships/hyperlink" Target="https://ref.ly/Exod16:36" TargetMode="External"/><Relationship Id="rId12424" Type="http://schemas.openxmlformats.org/officeDocument/2006/relationships/hyperlink" Target="https://ref.ly/2Kgs6:25" TargetMode="External"/><Relationship Id="rId12425" Type="http://schemas.openxmlformats.org/officeDocument/2006/relationships/hyperlink" Target="https://ref.ly/Rev6:6" TargetMode="External"/><Relationship Id="rId12426" Type="http://schemas.openxmlformats.org/officeDocument/2006/relationships/hyperlink" Target="https://ref.ly/Luke13:21" TargetMode="External"/><Relationship Id="rId12427" Type="http://schemas.openxmlformats.org/officeDocument/2006/relationships/hyperlink" Target="https://ref.ly/1Kgs7:23-1Kgs7:26" TargetMode="External"/><Relationship Id="rId12428" Type="http://schemas.openxmlformats.org/officeDocument/2006/relationships/hyperlink" Target="https://ref.ly/Ezek4:11" TargetMode="External"/><Relationship Id="rId12429" Type="http://schemas.openxmlformats.org/officeDocument/2006/relationships/hyperlink" Target="https://ref.ly/Lev14:10-Lev14:24" TargetMode="External"/><Relationship Id="rId12430" Type="http://schemas.openxmlformats.org/officeDocument/2006/relationships/hyperlink" Target="https://ref.ly/Luke16:6" TargetMode="External"/><Relationship Id="rId12431" Type="http://schemas.openxmlformats.org/officeDocument/2006/relationships/hyperlink" Target="https://ref.ly/John2:6" TargetMode="External"/><Relationship Id="rId12432" Type="http://schemas.openxmlformats.org/officeDocument/2006/relationships/hyperlink" Target="https://ref.ly/Acts22:25-Acts22:28" TargetMode="External"/><Relationship Id="rId12433" Type="http://schemas.openxmlformats.org/officeDocument/2006/relationships/hyperlink" Target="https://ref.ly/John10:23" TargetMode="External"/><Relationship Id="rId12434" Type="http://schemas.openxmlformats.org/officeDocument/2006/relationships/hyperlink" Target="https://ref.ly/Acts3:11" TargetMode="External"/><Relationship Id="rId12435" Type="http://schemas.openxmlformats.org/officeDocument/2006/relationships/hyperlink" Target="https://ref.ly/Acts5:12" TargetMode="External"/><Relationship Id="rId12436" Type="http://schemas.openxmlformats.org/officeDocument/2006/relationships/hyperlink" Target="https://ref.ly/1Kgs7:1-1Kgs7:51" TargetMode="External"/><Relationship Id="rId12437" Type="http://schemas.openxmlformats.org/officeDocument/2006/relationships/hyperlink" Target="https://ref.ly/Ezek40:1-Ezek40:49" TargetMode="External"/><Relationship Id="rId12438" Type="http://schemas.openxmlformats.org/officeDocument/2006/relationships/hyperlink" Target="https://ref.ly/Isa5:8-Isa5:10" TargetMode="External"/><Relationship Id="rId12439" Type="http://schemas.openxmlformats.org/officeDocument/2006/relationships/hyperlink" Target="https://ref.ly/1Sam25:2-1Sam25:3" TargetMode="External"/><Relationship Id="rId12440" Type="http://schemas.openxmlformats.org/officeDocument/2006/relationships/hyperlink" Target="https://ref.ly/1Sam8:11-1Sam8:18" TargetMode="External"/><Relationship Id="rId12441" Type="http://schemas.openxmlformats.org/officeDocument/2006/relationships/hyperlink" Target="https://ref.ly/Ps37:7,Ps37:16" TargetMode="External"/><Relationship Id="rId12442" Type="http://schemas.openxmlformats.org/officeDocument/2006/relationships/hyperlink" Target="https://ref.ly/Hab2:9-Hab2:11" TargetMode="External"/><Relationship Id="rId12443" Type="http://schemas.openxmlformats.org/officeDocument/2006/relationships/hyperlink" Target="https://ref.ly/Amos8:4-Amos8:6" TargetMode="External"/><Relationship Id="rId12444" Type="http://schemas.openxmlformats.org/officeDocument/2006/relationships/hyperlink" Target="https://ref.ly/Jer22:13" TargetMode="External"/><Relationship Id="rId12445" Type="http://schemas.openxmlformats.org/officeDocument/2006/relationships/hyperlink" Target="https://ref.ly/1Tim6:17" TargetMode="External"/><Relationship Id="rId12446" Type="http://schemas.openxmlformats.org/officeDocument/2006/relationships/hyperlink" Target="https://ref.ly/1Chr29:12" TargetMode="External"/><Relationship Id="rId12447" Type="http://schemas.openxmlformats.org/officeDocument/2006/relationships/hyperlink" Target="https://ref.ly/Luke19:11-Luke19:26" TargetMode="External"/><Relationship Id="rId12448" Type="http://schemas.openxmlformats.org/officeDocument/2006/relationships/hyperlink" Target="https://ref.ly/Matt6:24-Matt6:34" TargetMode="External"/><Relationship Id="rId12449" Type="http://schemas.openxmlformats.org/officeDocument/2006/relationships/hyperlink" Target="https://ref.ly/Mark10:17-Mark10:27" TargetMode="External"/><Relationship Id="rId12450" Type="http://schemas.openxmlformats.org/officeDocument/2006/relationships/hyperlink" Target="https://ref.ly/Matt19:29" TargetMode="External"/><Relationship Id="rId12451" Type="http://schemas.openxmlformats.org/officeDocument/2006/relationships/hyperlink" Target="https://ref.ly/Matt13:22" TargetMode="External"/><Relationship Id="rId12452" Type="http://schemas.openxmlformats.org/officeDocument/2006/relationships/hyperlink" Target="https://ref.ly/Luke16:19-Luke16:26" TargetMode="External"/><Relationship Id="rId12453" Type="http://schemas.openxmlformats.org/officeDocument/2006/relationships/hyperlink" Target="https://ref.ly/1Tim6:10" TargetMode="External"/><Relationship Id="rId12454" Type="http://schemas.openxmlformats.org/officeDocument/2006/relationships/hyperlink" Target="https://ref.ly/Deut8:17-Deut8:18" TargetMode="External"/><Relationship Id="rId12455" Type="http://schemas.openxmlformats.org/officeDocument/2006/relationships/hyperlink" Target="https://ref.ly/Matt4:8-Matt4:9" TargetMode="External"/><Relationship Id="rId12456" Type="http://schemas.openxmlformats.org/officeDocument/2006/relationships/hyperlink" Target="https://ref.ly/Mark10:17-Mark10:22" TargetMode="External"/><Relationship Id="rId12457" Type="http://schemas.openxmlformats.org/officeDocument/2006/relationships/hyperlink" Target="https://ref.ly/Luke12:42-Luke12:44" TargetMode="External"/><Relationship Id="rId12458" Type="http://schemas.openxmlformats.org/officeDocument/2006/relationships/hyperlink" Target="https://ref.ly/2Cor8:2" TargetMode="External"/><Relationship Id="rId12459" Type="http://schemas.openxmlformats.org/officeDocument/2006/relationships/hyperlink" Target="https://ref.ly/Luke12:29-Luke12:31" TargetMode="External"/><Relationship Id="rId12460" Type="http://schemas.openxmlformats.org/officeDocument/2006/relationships/hyperlink" Target="https://ref.ly/Rev3:17" TargetMode="External"/><Relationship Id="rId12461" Type="http://schemas.openxmlformats.org/officeDocument/2006/relationships/hyperlink" Target="https://ref.ly/1Tim6:18" TargetMode="External"/><Relationship Id="rId12462" Type="http://schemas.openxmlformats.org/officeDocument/2006/relationships/hyperlink" Target="https://ref.ly/2Kgs4:38-2Kgs4:41" TargetMode="External"/><Relationship Id="rId12463" Type="http://schemas.openxmlformats.org/officeDocument/2006/relationships/hyperlink" Target="https://ref.ly/Jer18:3-Jer18:4" TargetMode="External"/><Relationship Id="rId12464" Type="http://schemas.openxmlformats.org/officeDocument/2006/relationships/hyperlink" Target="https://ref.ly/Jer18:6" TargetMode="External"/><Relationship Id="rId12465" Type="http://schemas.openxmlformats.org/officeDocument/2006/relationships/hyperlink" Target="https://ref.ly/Rom9:20-Rom9:21" TargetMode="External"/><Relationship Id="rId12466" Type="http://schemas.openxmlformats.org/officeDocument/2006/relationships/hyperlink" Target="https://ref.ly/Isa45:9" TargetMode="External"/><Relationship Id="rId12467" Type="http://schemas.openxmlformats.org/officeDocument/2006/relationships/hyperlink" Target="https://ref.ly/Jer19:11" TargetMode="External"/><Relationship Id="rId12468" Type="http://schemas.openxmlformats.org/officeDocument/2006/relationships/hyperlink" Target="https://ref.ly/Lam4:2" TargetMode="External"/><Relationship Id="rId12469" Type="http://schemas.openxmlformats.org/officeDocument/2006/relationships/hyperlink" Target="https://ref.ly/Job2:8" TargetMode="External"/><Relationship Id="rId12470" Type="http://schemas.openxmlformats.org/officeDocument/2006/relationships/hyperlink" Target="https://ref.ly/Ps22:15" TargetMode="External"/><Relationship Id="rId12471" Type="http://schemas.openxmlformats.org/officeDocument/2006/relationships/hyperlink" Target="https://ref.ly/Acts28:13" TargetMode="External"/><Relationship Id="rId12472" Type="http://schemas.openxmlformats.org/officeDocument/2006/relationships/hyperlink" Target="https://ref.ly/Gen41:43" TargetMode="External"/><Relationship Id="rId12473" Type="http://schemas.openxmlformats.org/officeDocument/2006/relationships/hyperlink" Target="https://ref.ly/Wis12:8" TargetMode="External"/><Relationship Id="rId12474" Type="http://schemas.openxmlformats.org/officeDocument/2006/relationships/hyperlink" Target="https://ref.ly/Heb2:17-Heb3:2" TargetMode="External"/><Relationship Id="rId12475" Type="http://schemas.openxmlformats.org/officeDocument/2006/relationships/hyperlink" Target="https://ref.ly/Heb5:1-Heb5:9" TargetMode="External"/><Relationship Id="rId12476" Type="http://schemas.openxmlformats.org/officeDocument/2006/relationships/hyperlink" Target="https://ref.ly/Rom8:19-Rom8:21" TargetMode="External"/><Relationship Id="rId12477" Type="http://schemas.openxmlformats.org/officeDocument/2006/relationships/hyperlink" Target="https://ref.ly/Rev21:1-Rev21:5" TargetMode="External"/><Relationship Id="rId12478" Type="http://schemas.openxmlformats.org/officeDocument/2006/relationships/hyperlink" Target="https://ref.ly/Isa14:26-Isa14:27" TargetMode="External"/><Relationship Id="rId12479" Type="http://schemas.openxmlformats.org/officeDocument/2006/relationships/hyperlink" Target="https://ref.ly/Isa46:10" TargetMode="External"/><Relationship Id="rId12480" Type="http://schemas.openxmlformats.org/officeDocument/2006/relationships/hyperlink" Target="https://ref.ly/Ps119:89-Ps119:91" TargetMode="External"/><Relationship Id="rId12481" Type="http://schemas.openxmlformats.org/officeDocument/2006/relationships/hyperlink" Target="https://ref.ly/Dan4:35" TargetMode="External"/><Relationship Id="rId12482" Type="http://schemas.openxmlformats.org/officeDocument/2006/relationships/hyperlink" Target="https://ref.ly/Job14:5" TargetMode="External"/><Relationship Id="rId12483" Type="http://schemas.openxmlformats.org/officeDocument/2006/relationships/hyperlink" Target="https://ref.ly/Ps104:14-Ps104:30" TargetMode="External"/><Relationship Id="rId12484" Type="http://schemas.openxmlformats.org/officeDocument/2006/relationships/hyperlink" Target="https://ref.ly/Matt10:30" TargetMode="External"/><Relationship Id="rId12485" Type="http://schemas.openxmlformats.org/officeDocument/2006/relationships/hyperlink" Target="https://ref.ly/Luke22:22" TargetMode="External"/><Relationship Id="rId12486" Type="http://schemas.openxmlformats.org/officeDocument/2006/relationships/hyperlink" Target="https://ref.ly/Acts4:27-Acts4:28" TargetMode="External"/><Relationship Id="rId12487" Type="http://schemas.openxmlformats.org/officeDocument/2006/relationships/hyperlink" Target="https://ref.ly/Rom9:17" TargetMode="External"/><Relationship Id="rId12488" Type="http://schemas.openxmlformats.org/officeDocument/2006/relationships/hyperlink" Target="https://ref.ly/Rev17:17" TargetMode="External"/><Relationship Id="rId12489" Type="http://schemas.openxmlformats.org/officeDocument/2006/relationships/hyperlink" Target="https://ref.ly/Rom8:28-Rom8:39" TargetMode="External"/><Relationship Id="rId12490" Type="http://schemas.openxmlformats.org/officeDocument/2006/relationships/hyperlink" Target="https://ref.ly/Acts13:48" TargetMode="External"/><Relationship Id="rId12491" Type="http://schemas.openxmlformats.org/officeDocument/2006/relationships/hyperlink" Target="https://ref.ly/Phil2:12-Phil2:13" TargetMode="External"/><Relationship Id="rId12492" Type="http://schemas.openxmlformats.org/officeDocument/2006/relationships/hyperlink" Target="https://ref.ly/Eph1:3-Eph1:14" TargetMode="External"/><Relationship Id="rId12493" Type="http://schemas.openxmlformats.org/officeDocument/2006/relationships/hyperlink" Target="https://ref.ly/Rev11:15" TargetMode="External"/><Relationship Id="rId12494" Type="http://schemas.openxmlformats.org/officeDocument/2006/relationships/hyperlink" Target="https://ref.ly/Gen17:5,Gen17:15-Gen17:16" TargetMode="External"/><Relationship Id="rId12495" Type="http://schemas.openxmlformats.org/officeDocument/2006/relationships/hyperlink" Target="https://ref.ly/Exod4:22" TargetMode="External"/><Relationship Id="rId12496" Type="http://schemas.openxmlformats.org/officeDocument/2006/relationships/hyperlink" Target="https://ref.ly/Deut4:5-Deut4:8" TargetMode="External"/><Relationship Id="rId12497" Type="http://schemas.openxmlformats.org/officeDocument/2006/relationships/hyperlink" Target="https://ref.ly/Isa61:7" TargetMode="External"/><Relationship Id="rId12498" Type="http://schemas.openxmlformats.org/officeDocument/2006/relationships/hyperlink" Target="https://ref.ly/Isa14:30" TargetMode="External"/><Relationship Id="rId12499" Type="http://schemas.openxmlformats.org/officeDocument/2006/relationships/hyperlink" Target="https://ref.ly/Job18:13" TargetMode="External"/><Relationship Id="rId12500" Type="http://schemas.openxmlformats.org/officeDocument/2006/relationships/hyperlink" Target="https://ref.ly/Exod11:4-Exod11:7" TargetMode="External"/><Relationship Id="rId12501" Type="http://schemas.openxmlformats.org/officeDocument/2006/relationships/hyperlink" Target="https://ref.ly/Exod13:12" TargetMode="External"/><Relationship Id="rId12502" Type="http://schemas.openxmlformats.org/officeDocument/2006/relationships/hyperlink" Target="https://ref.ly/Gen49:3" TargetMode="External"/><Relationship Id="rId12503" Type="http://schemas.openxmlformats.org/officeDocument/2006/relationships/hyperlink" Target="https://ref.ly/Exod13:2,Exod13:15" TargetMode="External"/><Relationship Id="rId12504" Type="http://schemas.openxmlformats.org/officeDocument/2006/relationships/hyperlink" Target="https://ref.ly/Num18:15-Num18:16" TargetMode="External"/><Relationship Id="rId12505" Type="http://schemas.openxmlformats.org/officeDocument/2006/relationships/hyperlink" Target="https://ref.ly/Exod13:2-Exod13:8" TargetMode="External"/><Relationship Id="rId12506" Type="http://schemas.openxmlformats.org/officeDocument/2006/relationships/hyperlink" Target="https://ref.ly/Exod13:13" TargetMode="External"/><Relationship Id="rId12507" Type="http://schemas.openxmlformats.org/officeDocument/2006/relationships/hyperlink" Target="https://ref.ly/Exod22:30" TargetMode="External"/><Relationship Id="rId12508" Type="http://schemas.openxmlformats.org/officeDocument/2006/relationships/hyperlink" Target="https://ref.ly/Num18:17" TargetMode="External"/><Relationship Id="rId12509" Type="http://schemas.openxmlformats.org/officeDocument/2006/relationships/hyperlink" Target="https://ref.ly/Lev27:27" TargetMode="External"/><Relationship Id="rId12510" Type="http://schemas.openxmlformats.org/officeDocument/2006/relationships/hyperlink" Target="https://ref.ly/Gen27:19,Gen27:32" TargetMode="External"/><Relationship Id="rId12511" Type="http://schemas.openxmlformats.org/officeDocument/2006/relationships/hyperlink" Target="https://ref.ly/Num3:12-Num3:13" TargetMode="External"/><Relationship Id="rId12512" Type="http://schemas.openxmlformats.org/officeDocument/2006/relationships/hyperlink" Target="https://ref.ly/Num8:17" TargetMode="External"/><Relationship Id="rId12513" Type="http://schemas.openxmlformats.org/officeDocument/2006/relationships/hyperlink" Target="https://ref.ly/Col1:15,Col1:18" TargetMode="External"/><Relationship Id="rId12514" Type="http://schemas.openxmlformats.org/officeDocument/2006/relationships/hyperlink" Target="https://ref.ly/Eph1:20-Eph1:23" TargetMode="External"/><Relationship Id="rId12515" Type="http://schemas.openxmlformats.org/officeDocument/2006/relationships/hyperlink" Target="https://ref.ly/Heb2:10-Heb2:12" TargetMode="External"/><Relationship Id="rId12516" Type="http://schemas.openxmlformats.org/officeDocument/2006/relationships/hyperlink" Target="https://ref.ly/2Pet3:17" TargetMode="External"/><Relationship Id="rId12517" Type="http://schemas.openxmlformats.org/officeDocument/2006/relationships/hyperlink" Target="https://ref.ly/Acts26:4-Acts26:5" TargetMode="External"/><Relationship Id="rId12518" Type="http://schemas.openxmlformats.org/officeDocument/2006/relationships/hyperlink" Target="https://ref.ly/1Pet1:18-1Pet1:20" TargetMode="External"/><Relationship Id="rId12519" Type="http://schemas.openxmlformats.org/officeDocument/2006/relationships/hyperlink" Target="https://ref.ly/Ps147:5" TargetMode="External"/><Relationship Id="rId12520" Type="http://schemas.openxmlformats.org/officeDocument/2006/relationships/hyperlink" Target="https://ref.ly/1Chr28:9" TargetMode="External"/><Relationship Id="rId12521" Type="http://schemas.openxmlformats.org/officeDocument/2006/relationships/hyperlink" Target="https://ref.ly/Ps139:1-Ps139:24" TargetMode="External"/><Relationship Id="rId12522" Type="http://schemas.openxmlformats.org/officeDocument/2006/relationships/hyperlink" Target="https://ref.ly/Matt10:29-Matt10:30" TargetMode="External"/><Relationship Id="rId12523" Type="http://schemas.openxmlformats.org/officeDocument/2006/relationships/hyperlink" Target="https://ref.ly/Isa44:6-Isa44:8" TargetMode="External"/><Relationship Id="rId12524" Type="http://schemas.openxmlformats.org/officeDocument/2006/relationships/hyperlink" Target="https://ref.ly/Isa45:21" TargetMode="External"/><Relationship Id="rId12525" Type="http://schemas.openxmlformats.org/officeDocument/2006/relationships/hyperlink" Target="https://ref.ly/Exod3:19" TargetMode="External"/><Relationship Id="rId12526" Type="http://schemas.openxmlformats.org/officeDocument/2006/relationships/hyperlink" Target="https://ref.ly/Isa9:1-Isa9:7" TargetMode="External"/><Relationship Id="rId12527" Type="http://schemas.openxmlformats.org/officeDocument/2006/relationships/hyperlink" Target="https://ref.ly/Jer23:5-Jer23:6" TargetMode="External"/><Relationship Id="rId12528" Type="http://schemas.openxmlformats.org/officeDocument/2006/relationships/hyperlink" Target="https://ref.ly/Ezek34:20-Ezek34:31" TargetMode="External"/><Relationship Id="rId12529" Type="http://schemas.openxmlformats.org/officeDocument/2006/relationships/hyperlink" Target="https://ref.ly/Dan2:31-Dan2:45" TargetMode="External"/><Relationship Id="rId12530" Type="http://schemas.openxmlformats.org/officeDocument/2006/relationships/hyperlink" Target="https://ref.ly/Matt1:22" TargetMode="External"/><Relationship Id="rId12531" Type="http://schemas.openxmlformats.org/officeDocument/2006/relationships/hyperlink" Target="https://ref.ly/Matt4:14" TargetMode="External"/><Relationship Id="rId12532" Type="http://schemas.openxmlformats.org/officeDocument/2006/relationships/hyperlink" Target="https://ref.ly/John12:38-John12:41" TargetMode="External"/><Relationship Id="rId12533" Type="http://schemas.openxmlformats.org/officeDocument/2006/relationships/hyperlink" Target="https://ref.ly/Acts2:17-Acts2:21" TargetMode="External"/><Relationship Id="rId12534" Type="http://schemas.openxmlformats.org/officeDocument/2006/relationships/hyperlink" Target="https://ref.ly/Acts3:22-Acts3:25" TargetMode="External"/><Relationship Id="rId12535" Type="http://schemas.openxmlformats.org/officeDocument/2006/relationships/hyperlink" Target="https://ref.ly/1Kgs19:11-1Kgs19:13" TargetMode="External"/><Relationship Id="rId12536" Type="http://schemas.openxmlformats.org/officeDocument/2006/relationships/hyperlink" Target="https://ref.ly/Gen32:22-Gen32:32" TargetMode="External"/><Relationship Id="rId12537" Type="http://schemas.openxmlformats.org/officeDocument/2006/relationships/hyperlink" Target="https://ref.ly/Exod23:20" TargetMode="External"/><Relationship Id="rId12538" Type="http://schemas.openxmlformats.org/officeDocument/2006/relationships/hyperlink" Target="https://ref.ly/Gen31:11-Gen31:13" TargetMode="External"/><Relationship Id="rId12539" Type="http://schemas.openxmlformats.org/officeDocument/2006/relationships/hyperlink" Target="https://ref.ly/Gen21:18" TargetMode="External"/><Relationship Id="rId12540" Type="http://schemas.openxmlformats.org/officeDocument/2006/relationships/hyperlink" Target="https://ref.ly/Num22:35" TargetMode="External"/><Relationship Id="rId12541" Type="http://schemas.openxmlformats.org/officeDocument/2006/relationships/hyperlink" Target="https://ref.ly/Exod12:23" TargetMode="External"/><Relationship Id="rId12542" Type="http://schemas.openxmlformats.org/officeDocument/2006/relationships/hyperlink" Target="https://ref.ly/Gen48:15-Gen48:16" TargetMode="External"/><Relationship Id="rId12543" Type="http://schemas.openxmlformats.org/officeDocument/2006/relationships/hyperlink" Target="https://ref.ly/Ps136:5" TargetMode="External"/><Relationship Id="rId12544" Type="http://schemas.openxmlformats.org/officeDocument/2006/relationships/hyperlink" Target="https://ref.ly/Exod29:43" TargetMode="External"/><Relationship Id="rId12545" Type="http://schemas.openxmlformats.org/officeDocument/2006/relationships/hyperlink" Target="https://ref.ly/Ezek9:3-Ezek9:4" TargetMode="External"/><Relationship Id="rId12546" Type="http://schemas.openxmlformats.org/officeDocument/2006/relationships/hyperlink" Target="https://ref.ly/Isa63:9" TargetMode="External"/><Relationship Id="rId12547" Type="http://schemas.openxmlformats.org/officeDocument/2006/relationships/hyperlink" Target="https://ref.ly/Ps31:16" TargetMode="External"/><Relationship Id="rId12548" Type="http://schemas.openxmlformats.org/officeDocument/2006/relationships/hyperlink" Target="https://ref.ly/Exod33:14" TargetMode="External"/><Relationship Id="rId12549" Type="http://schemas.openxmlformats.org/officeDocument/2006/relationships/hyperlink" Target="https://ref.ly/Ps24:6" TargetMode="External"/><Relationship Id="rId12550" Type="http://schemas.openxmlformats.org/officeDocument/2006/relationships/hyperlink" Target="https://ref.ly/Ps63:1-Ps63:3" TargetMode="External"/><Relationship Id="rId12551" Type="http://schemas.openxmlformats.org/officeDocument/2006/relationships/hyperlink" Target="https://ref.ly/Ps100:2" TargetMode="External"/><Relationship Id="rId12552" Type="http://schemas.openxmlformats.org/officeDocument/2006/relationships/hyperlink" Target="https://ref.ly/Num6:25" TargetMode="External"/><Relationship Id="rId12553" Type="http://schemas.openxmlformats.org/officeDocument/2006/relationships/hyperlink" Target="https://ref.ly/Ps80:3,Ps80:7,Ps80:19" TargetMode="External"/><Relationship Id="rId12554" Type="http://schemas.openxmlformats.org/officeDocument/2006/relationships/hyperlink" Target="https://ref.ly/Ps44:5" TargetMode="External"/><Relationship Id="rId12555" Type="http://schemas.openxmlformats.org/officeDocument/2006/relationships/hyperlink" Target="https://ref.ly/Ps89:24" TargetMode="External"/><Relationship Id="rId12556" Type="http://schemas.openxmlformats.org/officeDocument/2006/relationships/hyperlink" Target="https://ref.ly/Isa30:27" TargetMode="External"/><Relationship Id="rId12557" Type="http://schemas.openxmlformats.org/officeDocument/2006/relationships/hyperlink" Target="https://ref.ly/Exod23:20-Exod23:21" TargetMode="External"/><Relationship Id="rId12558" Type="http://schemas.openxmlformats.org/officeDocument/2006/relationships/hyperlink" Target="https://ref.ly/1Kgs11:36" TargetMode="External"/><Relationship Id="rId12559" Type="http://schemas.openxmlformats.org/officeDocument/2006/relationships/hyperlink" Target="https://ref.ly/Isa63:11-Isa63:14" TargetMode="External"/><Relationship Id="rId12560" Type="http://schemas.openxmlformats.org/officeDocument/2006/relationships/hyperlink" Target="https://ref.ly/Zech7:12" TargetMode="External"/><Relationship Id="rId12561" Type="http://schemas.openxmlformats.org/officeDocument/2006/relationships/hyperlink" Target="https://ref.ly/2Chr20:14" TargetMode="External"/><Relationship Id="rId12562" Type="http://schemas.openxmlformats.org/officeDocument/2006/relationships/hyperlink" Target="https://ref.ly/2Chr24:20" TargetMode="External"/><Relationship Id="rId12563" Type="http://schemas.openxmlformats.org/officeDocument/2006/relationships/hyperlink" Target="https://ref.ly/Zech4:6" TargetMode="External"/><Relationship Id="rId12564" Type="http://schemas.openxmlformats.org/officeDocument/2006/relationships/hyperlink" Target="https://ref.ly/Zech6:1-Zech6:8" TargetMode="External"/><Relationship Id="rId12565" Type="http://schemas.openxmlformats.org/officeDocument/2006/relationships/hyperlink" Target="https://ref.ly/John1:14-John1:18" TargetMode="External"/><Relationship Id="rId12566" Type="http://schemas.openxmlformats.org/officeDocument/2006/relationships/hyperlink" Target="https://ref.ly/John17:6,John17:26" TargetMode="External"/><Relationship Id="rId12567" Type="http://schemas.openxmlformats.org/officeDocument/2006/relationships/hyperlink" Target="https://ref.ly/Eph2:22" TargetMode="External"/><Relationship Id="rId12568" Type="http://schemas.openxmlformats.org/officeDocument/2006/relationships/hyperlink" Target="https://ref.ly/1Cor3:16-1Cor3:17" TargetMode="External"/><Relationship Id="rId12569" Type="http://schemas.openxmlformats.org/officeDocument/2006/relationships/hyperlink" Target="https://ref.ly/2Cor6:16" TargetMode="External"/><Relationship Id="rId12570" Type="http://schemas.openxmlformats.org/officeDocument/2006/relationships/hyperlink" Target="https://ref.ly/Deut26:1-Deut26:15" TargetMode="External"/><Relationship Id="rId12571" Type="http://schemas.openxmlformats.org/officeDocument/2006/relationships/hyperlink" Target="https://ref.ly/Ps50:7-Ps50:15" TargetMode="External"/><Relationship Id="rId12572" Type="http://schemas.openxmlformats.org/officeDocument/2006/relationships/hyperlink" Target="https://ref.ly/Ps55:14" TargetMode="External"/><Relationship Id="rId12573" Type="http://schemas.openxmlformats.org/officeDocument/2006/relationships/hyperlink" Target="https://ref.ly/Isa6:5-Isa6:13" TargetMode="External"/><Relationship Id="rId12574" Type="http://schemas.openxmlformats.org/officeDocument/2006/relationships/hyperlink" Target="https://ref.ly/Isa37:1-Isa37:4" TargetMode="External"/><Relationship Id="rId12575" Type="http://schemas.openxmlformats.org/officeDocument/2006/relationships/hyperlink" Target="https://ref.ly/Jer11:20-Jer11:23" TargetMode="External"/><Relationship Id="rId12576" Type="http://schemas.openxmlformats.org/officeDocument/2006/relationships/hyperlink" Target="https://ref.ly/Jer18:19-Jer18:23" TargetMode="External"/><Relationship Id="rId12577" Type="http://schemas.openxmlformats.org/officeDocument/2006/relationships/hyperlink" Target="https://ref.ly/Jer20:7-Jer20:18" TargetMode="External"/><Relationship Id="rId12578" Type="http://schemas.openxmlformats.org/officeDocument/2006/relationships/hyperlink" Target="https://ref.ly/Jer10:23-Jer10:25" TargetMode="External"/><Relationship Id="rId12579" Type="http://schemas.openxmlformats.org/officeDocument/2006/relationships/hyperlink" Target="https://ref.ly/Jer12:1-Jer12:4" TargetMode="External"/><Relationship Id="rId12580" Type="http://schemas.openxmlformats.org/officeDocument/2006/relationships/hyperlink" Target="https://ref.ly/Jer14:7-Jer14:9" TargetMode="External"/><Relationship Id="rId12581" Type="http://schemas.openxmlformats.org/officeDocument/2006/relationships/hyperlink" Target="https://ref.ly/Jer15:15-Jer15:18" TargetMode="External"/><Relationship Id="rId12582" Type="http://schemas.openxmlformats.org/officeDocument/2006/relationships/hyperlink" Target="https://ref.ly/Neh2:4" TargetMode="External"/><Relationship Id="rId12583" Type="http://schemas.openxmlformats.org/officeDocument/2006/relationships/hyperlink" Target="https://ref.ly/Neh4:4,Neh4:9" TargetMode="External"/><Relationship Id="rId12584" Type="http://schemas.openxmlformats.org/officeDocument/2006/relationships/hyperlink" Target="https://ref.ly/Matt6:5-Matt6:15" TargetMode="External"/><Relationship Id="rId12585" Type="http://schemas.openxmlformats.org/officeDocument/2006/relationships/hyperlink" Target="https://ref.ly/Luke18:10-Luke18:14" TargetMode="External"/><Relationship Id="rId12586" Type="http://schemas.openxmlformats.org/officeDocument/2006/relationships/hyperlink" Target="https://ref.ly/Luke11:5-Luke11:8" TargetMode="External"/><Relationship Id="rId12587" Type="http://schemas.openxmlformats.org/officeDocument/2006/relationships/hyperlink" Target="https://ref.ly/John16:23-John16:25" TargetMode="External"/><Relationship Id="rId12588" Type="http://schemas.openxmlformats.org/officeDocument/2006/relationships/hyperlink" Target="https://ref.ly/Acts12:5,Acts12:12" TargetMode="External"/><Relationship Id="rId12589" Type="http://schemas.openxmlformats.org/officeDocument/2006/relationships/hyperlink" Target="https://ref.ly/Eph3:14-Eph3:19" TargetMode="External"/><Relationship Id="rId12590" Type="http://schemas.openxmlformats.org/officeDocument/2006/relationships/hyperlink" Target="https://ref.ly/Eph6:18-Eph6:19" TargetMode="External"/><Relationship Id="rId12591" Type="http://schemas.openxmlformats.org/officeDocument/2006/relationships/hyperlink" Target="https://ref.ly/Heb13:15" TargetMode="External"/><Relationship Id="rId12592" Type="http://schemas.openxmlformats.org/officeDocument/2006/relationships/hyperlink" Target="https://ref.ly/Heb10:19-Heb10:23" TargetMode="External"/><Relationship Id="rId12593" Type="http://schemas.openxmlformats.org/officeDocument/2006/relationships/hyperlink" Target="https://ref.ly/2Chr33:12-2Chr33:13" TargetMode="External"/><Relationship Id="rId12594" Type="http://schemas.openxmlformats.org/officeDocument/2006/relationships/hyperlink" Target="https://ref.ly/2Chr33:18-2Chr33:19" TargetMode="External"/><Relationship Id="rId12595" Type="http://schemas.openxmlformats.org/officeDocument/2006/relationships/hyperlink" Target="https://ref.ly/2Chr20:6" TargetMode="External"/><Relationship Id="rId12596" Type="http://schemas.openxmlformats.org/officeDocument/2006/relationships/hyperlink" Target="https://ref.ly/2Chr33:12" TargetMode="External"/><Relationship Id="rId12597" Type="http://schemas.openxmlformats.org/officeDocument/2006/relationships/hyperlink" Target="https://ref.ly/Exod20:11" TargetMode="External"/><Relationship Id="rId12598" Type="http://schemas.openxmlformats.org/officeDocument/2006/relationships/hyperlink" Target="https://ref.ly/Ps146:6" TargetMode="External"/><Relationship Id="rId12599" Type="http://schemas.openxmlformats.org/officeDocument/2006/relationships/hyperlink" Target="https://ref.ly/Rom2:4" TargetMode="External"/><Relationship Id="rId12600" Type="http://schemas.openxmlformats.org/officeDocument/2006/relationships/hyperlink" Target="https://ref.ly/Ps107:10" TargetMode="External"/><Relationship Id="rId12601" Type="http://schemas.openxmlformats.org/officeDocument/2006/relationships/hyperlink" Target="https://ref.ly/Matt9:13" TargetMode="External"/><Relationship Id="rId12602" Type="http://schemas.openxmlformats.org/officeDocument/2006/relationships/hyperlink" Target="https://ref.ly/Rom3:10-Rom3:12" TargetMode="External"/><Relationship Id="rId12603" Type="http://schemas.openxmlformats.org/officeDocument/2006/relationships/hyperlink" Target="https://ref.ly/Phil3:8-Phil3:9" TargetMode="External"/><Relationship Id="rId12604" Type="http://schemas.openxmlformats.org/officeDocument/2006/relationships/hyperlink" Target="https://ref.ly/Gen21:10" TargetMode="External"/><Relationship Id="rId12605" Type="http://schemas.openxmlformats.org/officeDocument/2006/relationships/hyperlink" Target="https://ref.ly/Gen36:15" TargetMode="External"/><Relationship Id="rId12606" Type="http://schemas.openxmlformats.org/officeDocument/2006/relationships/hyperlink" Target="https://ref.ly/Gen21:1-Gen21:14" TargetMode="External"/><Relationship Id="rId12607" Type="http://schemas.openxmlformats.org/officeDocument/2006/relationships/hyperlink" Target="https://ref.ly/Gen27:1-Gen27:29" TargetMode="External"/><Relationship Id="rId12608" Type="http://schemas.openxmlformats.org/officeDocument/2006/relationships/hyperlink" Target="https://ref.ly/Gen48:18" TargetMode="External"/><Relationship Id="rId12609" Type="http://schemas.openxmlformats.org/officeDocument/2006/relationships/hyperlink" Target="https://ref.ly/Acts18:1-Acts18:3" TargetMode="External"/><Relationship Id="rId12610" Type="http://schemas.openxmlformats.org/officeDocument/2006/relationships/hyperlink" Target="https://ref.ly/Acts18:18,Acts18:26" TargetMode="External"/><Relationship Id="rId12611" Type="http://schemas.openxmlformats.org/officeDocument/2006/relationships/hyperlink" Target="https://ref.ly/Rom16:3-Rom16:4" TargetMode="External"/><Relationship Id="rId12612" Type="http://schemas.openxmlformats.org/officeDocument/2006/relationships/hyperlink" Target="https://ref.ly/Lev6:1-Lev6:7" TargetMode="External"/><Relationship Id="rId12613" Type="http://schemas.openxmlformats.org/officeDocument/2006/relationships/hyperlink" Target="https://ref.ly/Lev19:1-Lev19:37" TargetMode="External"/><Relationship Id="rId12614" Type="http://schemas.openxmlformats.org/officeDocument/2006/relationships/hyperlink" Target="https://ref.ly/Deut15:2-Deut15:3" TargetMode="External"/><Relationship Id="rId12615" Type="http://schemas.openxmlformats.org/officeDocument/2006/relationships/hyperlink" Target="https://ref.ly/Exod22:5-Exod22:15" TargetMode="External"/><Relationship Id="rId12616" Type="http://schemas.openxmlformats.org/officeDocument/2006/relationships/hyperlink" Target="https://ref.ly/Exod20:16" TargetMode="External"/><Relationship Id="rId12617" Type="http://schemas.openxmlformats.org/officeDocument/2006/relationships/hyperlink" Target="https://ref.ly/Lev25:25" TargetMode="External"/><Relationship Id="rId12618" Type="http://schemas.openxmlformats.org/officeDocument/2006/relationships/hyperlink" Target="https://ref.ly/Deut22:1-Deut22:4" TargetMode="External"/><Relationship Id="rId12619" Type="http://schemas.openxmlformats.org/officeDocument/2006/relationships/hyperlink" Target="https://ref.ly/Lev24:19-Lev24:23" TargetMode="External"/><Relationship Id="rId12620" Type="http://schemas.openxmlformats.org/officeDocument/2006/relationships/hyperlink" Target="https://ref.ly/Deut19:11-Deut19:19" TargetMode="External"/><Relationship Id="rId12621" Type="http://schemas.openxmlformats.org/officeDocument/2006/relationships/hyperlink" Target="https://ref.ly/Lev25:17" TargetMode="External"/><Relationship Id="rId12622" Type="http://schemas.openxmlformats.org/officeDocument/2006/relationships/hyperlink" Target="https://ref.ly/Deut24:10-Deut24:13" TargetMode="External"/><Relationship Id="rId12623" Type="http://schemas.openxmlformats.org/officeDocument/2006/relationships/hyperlink" Target="https://ref.ly/Deut28:15-Deut28:68" TargetMode="External"/><Relationship Id="rId12624" Type="http://schemas.openxmlformats.org/officeDocument/2006/relationships/hyperlink" Target="https://ref.ly/Hos4:1-Hos4:3" TargetMode="External"/><Relationship Id="rId12625" Type="http://schemas.openxmlformats.org/officeDocument/2006/relationships/hyperlink" Target="https://ref.ly/Amos2:6-Amos2:7" TargetMode="External"/><Relationship Id="rId12626" Type="http://schemas.openxmlformats.org/officeDocument/2006/relationships/hyperlink" Target="https://ref.ly/Jer5:7-Jer5:9" TargetMode="External"/><Relationship Id="rId12627" Type="http://schemas.openxmlformats.org/officeDocument/2006/relationships/hyperlink" Target="https://ref.ly/Jer7:1-Jer7:15" TargetMode="External"/><Relationship Id="rId12628" Type="http://schemas.openxmlformats.org/officeDocument/2006/relationships/hyperlink" Target="https://ref.ly/Jer9:2-Jer9:9" TargetMode="External"/><Relationship Id="rId12629" Type="http://schemas.openxmlformats.org/officeDocument/2006/relationships/hyperlink" Target="https://ref.ly/Zech3:10" TargetMode="External"/><Relationship Id="rId12630" Type="http://schemas.openxmlformats.org/officeDocument/2006/relationships/hyperlink" Target="https://ref.ly/Zech8:14-Zech8:17" TargetMode="External"/><Relationship Id="rId12631" Type="http://schemas.openxmlformats.org/officeDocument/2006/relationships/hyperlink" Target="https://ref.ly/Matt5:43" TargetMode="External"/><Relationship Id="rId12632" Type="http://schemas.openxmlformats.org/officeDocument/2006/relationships/hyperlink" Target="https://ref.ly/Matt5:43-Matt5:48" TargetMode="External"/><Relationship Id="rId12633" Type="http://schemas.openxmlformats.org/officeDocument/2006/relationships/hyperlink" Target="https://ref.ly/Mark12:28-Mark12:31" TargetMode="External"/><Relationship Id="rId12634" Type="http://schemas.openxmlformats.org/officeDocument/2006/relationships/hyperlink" Target="https://ref.ly/Luke10:29" TargetMode="External"/><Relationship Id="rId12635" Type="http://schemas.openxmlformats.org/officeDocument/2006/relationships/hyperlink" Target="https://ref.ly/Luke10:36-Luke10:37" TargetMode="External"/><Relationship Id="rId12636" Type="http://schemas.openxmlformats.org/officeDocument/2006/relationships/hyperlink" Target="https://ref.ly/Gal5:14" TargetMode="External"/><Relationship Id="rId12637" Type="http://schemas.openxmlformats.org/officeDocument/2006/relationships/hyperlink" Target="https://ref.ly/Matt27:1-Matt27:66" TargetMode="External"/><Relationship Id="rId12638" Type="http://schemas.openxmlformats.org/officeDocument/2006/relationships/hyperlink" Target="https://ref.ly/Acts23:24-Acts25:14" TargetMode="External"/><Relationship Id="rId12639" Type="http://schemas.openxmlformats.org/officeDocument/2006/relationships/hyperlink" Target="https://ref.ly/Acts24:27-Acts26:32" TargetMode="External"/><Relationship Id="rId12640" Type="http://schemas.openxmlformats.org/officeDocument/2006/relationships/hyperlink" Target="https://ref.ly/Num22:17" TargetMode="External"/><Relationship Id="rId12641" Type="http://schemas.openxmlformats.org/officeDocument/2006/relationships/hyperlink" Target="https://ref.ly/Esth4:7" TargetMode="External"/><Relationship Id="rId12642" Type="http://schemas.openxmlformats.org/officeDocument/2006/relationships/hyperlink" Target="https://ref.ly/Neh5:12" TargetMode="External"/><Relationship Id="rId12643" Type="http://schemas.openxmlformats.org/officeDocument/2006/relationships/hyperlink" Target="https://ref.ly/Rom4:21" TargetMode="External"/><Relationship Id="rId12644" Type="http://schemas.openxmlformats.org/officeDocument/2006/relationships/hyperlink" Target="https://ref.ly/2Cor6:16-2Cor7:1" TargetMode="External"/><Relationship Id="rId12645" Type="http://schemas.openxmlformats.org/officeDocument/2006/relationships/hyperlink" Target="https://ref.ly/1John1:9" TargetMode="External"/><Relationship Id="rId12646" Type="http://schemas.openxmlformats.org/officeDocument/2006/relationships/hyperlink" Target="https://ref.ly/Luke11:9" TargetMode="External"/><Relationship Id="rId12647" Type="http://schemas.openxmlformats.org/officeDocument/2006/relationships/hyperlink" Target="https://ref.ly/2Cor12:9" TargetMode="External"/><Relationship Id="rId12648" Type="http://schemas.openxmlformats.org/officeDocument/2006/relationships/hyperlink" Target="https://ref.ly/Luke18:29-Luke18:30" TargetMode="External"/><Relationship Id="rId12649" Type="http://schemas.openxmlformats.org/officeDocument/2006/relationships/hyperlink" Target="https://ref.ly/Rom6:22-Rom6:23" TargetMode="External"/><Relationship Id="rId12650" Type="http://schemas.openxmlformats.org/officeDocument/2006/relationships/hyperlink" Target="https://ref.ly/2Thess1:8-2Thess1:9" TargetMode="External"/><Relationship Id="rId12651" Type="http://schemas.openxmlformats.org/officeDocument/2006/relationships/hyperlink" Target="https://ref.ly/Gen12:1-Gen12:20" TargetMode="External"/><Relationship Id="rId12652" Type="http://schemas.openxmlformats.org/officeDocument/2006/relationships/hyperlink" Target="https://ref.ly/Jer31:1-Jer31:40" TargetMode="External"/><Relationship Id="rId12653" Type="http://schemas.openxmlformats.org/officeDocument/2006/relationships/hyperlink" Target="https://ref.ly/Gen12:1-Gen12:7" TargetMode="External"/><Relationship Id="rId12654" Type="http://schemas.openxmlformats.org/officeDocument/2006/relationships/hyperlink" Target="https://ref.ly/Gen18:18" TargetMode="External"/><Relationship Id="rId12655" Type="http://schemas.openxmlformats.org/officeDocument/2006/relationships/hyperlink" Target="https://ref.ly/Gen22:18" TargetMode="External"/><Relationship Id="rId12656" Type="http://schemas.openxmlformats.org/officeDocument/2006/relationships/hyperlink" Target="https://ref.ly/Gen28:14" TargetMode="External"/><Relationship Id="rId12657" Type="http://schemas.openxmlformats.org/officeDocument/2006/relationships/hyperlink" Target="https://ref.ly/Ps89:34-Ps89:37" TargetMode="External"/><Relationship Id="rId12658" Type="http://schemas.openxmlformats.org/officeDocument/2006/relationships/hyperlink" Target="https://ref.ly/Ps89:3" TargetMode="External"/><Relationship Id="rId12659" Type="http://schemas.openxmlformats.org/officeDocument/2006/relationships/hyperlink" Target="https://ref.ly/Jer31:33-Jer31:34" TargetMode="External"/><Relationship Id="rId12660" Type="http://schemas.openxmlformats.org/officeDocument/2006/relationships/hyperlink" Target="https://ref.ly/Luke1:54-Luke1:55" TargetMode="External"/><Relationship Id="rId12661" Type="http://schemas.openxmlformats.org/officeDocument/2006/relationships/hyperlink" Target="https://ref.ly/Acts26:6-Acts26:7" TargetMode="External"/><Relationship Id="rId12662" Type="http://schemas.openxmlformats.org/officeDocument/2006/relationships/hyperlink" Target="https://ref.ly/2Cor1:20" TargetMode="External"/><Relationship Id="rId12663" Type="http://schemas.openxmlformats.org/officeDocument/2006/relationships/hyperlink" Target="https://ref.ly/Gal3:29" TargetMode="External"/><Relationship Id="rId12664" Type="http://schemas.openxmlformats.org/officeDocument/2006/relationships/hyperlink" Target="https://ref.ly/Gal3:14" TargetMode="External"/><Relationship Id="rId12665" Type="http://schemas.openxmlformats.org/officeDocument/2006/relationships/hyperlink" Target="https://ref.ly/Isa32:15" TargetMode="External"/><Relationship Id="rId12666" Type="http://schemas.openxmlformats.org/officeDocument/2006/relationships/hyperlink" Target="https://ref.ly/Ezek36:27" TargetMode="External"/><Relationship Id="rId12667" Type="http://schemas.openxmlformats.org/officeDocument/2006/relationships/hyperlink" Target="https://ref.ly/Luke24:49" TargetMode="External"/><Relationship Id="rId12668" Type="http://schemas.openxmlformats.org/officeDocument/2006/relationships/hyperlink" Target="https://ref.ly/John14:16" TargetMode="External"/><Relationship Id="rId12669" Type="http://schemas.openxmlformats.org/officeDocument/2006/relationships/hyperlink" Target="https://ref.ly/Acts1:4" TargetMode="External"/><Relationship Id="rId12670" Type="http://schemas.openxmlformats.org/officeDocument/2006/relationships/hyperlink" Target="https://ref.ly/John14:1-John14:3" TargetMode="External"/><Relationship Id="rId12671" Type="http://schemas.openxmlformats.org/officeDocument/2006/relationships/hyperlink" Target="https://ref.ly/2Pet3:4" TargetMode="External"/><Relationship Id="rId12672" Type="http://schemas.openxmlformats.org/officeDocument/2006/relationships/hyperlink" Target="https://ref.ly/Deut18:15-Deut18:19" TargetMode="External"/><Relationship Id="rId12673" Type="http://schemas.openxmlformats.org/officeDocument/2006/relationships/hyperlink" Target="https://ref.ly/1Sam9:9" TargetMode="External"/><Relationship Id="rId12674" Type="http://schemas.openxmlformats.org/officeDocument/2006/relationships/hyperlink" Target="https://ref.ly/2Sam24:11" TargetMode="External"/><Relationship Id="rId12675" Type="http://schemas.openxmlformats.org/officeDocument/2006/relationships/hyperlink" Target="https://ref.ly/Jer1:4-Jer1:5" TargetMode="External"/><Relationship Id="rId12676" Type="http://schemas.openxmlformats.org/officeDocument/2006/relationships/hyperlink" Target="https://ref.ly/Jer7:25" TargetMode="External"/><Relationship Id="rId12677" Type="http://schemas.openxmlformats.org/officeDocument/2006/relationships/hyperlink" Target="https://ref.ly/Amos7:14" TargetMode="External"/><Relationship Id="rId12678" Type="http://schemas.openxmlformats.org/officeDocument/2006/relationships/hyperlink" Target="https://ref.ly/Exod3:1-Exod4:17" TargetMode="External"/><Relationship Id="rId12679" Type="http://schemas.openxmlformats.org/officeDocument/2006/relationships/hyperlink" Target="https://ref.ly/Jer1:4-Jer1:19" TargetMode="External"/><Relationship Id="rId12680" Type="http://schemas.openxmlformats.org/officeDocument/2006/relationships/hyperlink" Target="https://ref.ly/Ezek1:1-Ezek3:27" TargetMode="External"/><Relationship Id="rId12681" Type="http://schemas.openxmlformats.org/officeDocument/2006/relationships/hyperlink" Target="https://ref.ly/Amos7:14-Amos7:15" TargetMode="External"/><Relationship Id="rId12682" Type="http://schemas.openxmlformats.org/officeDocument/2006/relationships/hyperlink" Target="https://ref.ly/Exod2:11-Exod2:13" TargetMode="External"/><Relationship Id="rId12683" Type="http://schemas.openxmlformats.org/officeDocument/2006/relationships/hyperlink" Target="https://ref.ly/Exod2:17" TargetMode="External"/><Relationship Id="rId12684" Type="http://schemas.openxmlformats.org/officeDocument/2006/relationships/hyperlink" Target="https://ref.ly/Deut18:16" TargetMode="External"/><Relationship Id="rId12685" Type="http://schemas.openxmlformats.org/officeDocument/2006/relationships/hyperlink" Target="https://ref.ly/2Kgs6:1" TargetMode="External"/><Relationship Id="rId12686" Type="http://schemas.openxmlformats.org/officeDocument/2006/relationships/hyperlink" Target="https://ref.ly/2Kgs2:3,2Kgs2:5" TargetMode="External"/><Relationship Id="rId12687" Type="http://schemas.openxmlformats.org/officeDocument/2006/relationships/hyperlink" Target="https://ref.ly/1Sam10:5-1Sam10:11" TargetMode="External"/><Relationship Id="rId12688" Type="http://schemas.openxmlformats.org/officeDocument/2006/relationships/hyperlink" Target="https://ref.ly/1Sam10:6,1Sam10:10" TargetMode="External"/><Relationship Id="rId12689" Type="http://schemas.openxmlformats.org/officeDocument/2006/relationships/hyperlink" Target="https://ref.ly/1Sam19:20,1Sam19:23" TargetMode="External"/><Relationship Id="rId12690" Type="http://schemas.openxmlformats.org/officeDocument/2006/relationships/hyperlink" Target="https://ref.ly/1Kgs22:24" TargetMode="External"/><Relationship Id="rId12691" Type="http://schemas.openxmlformats.org/officeDocument/2006/relationships/hyperlink" Target="https://ref.ly/Neh9:30" TargetMode="External"/><Relationship Id="rId12692" Type="http://schemas.openxmlformats.org/officeDocument/2006/relationships/hyperlink" Target="https://ref.ly/Hos9:7" TargetMode="External"/><Relationship Id="rId12693" Type="http://schemas.openxmlformats.org/officeDocument/2006/relationships/hyperlink" Target="https://ref.ly/Mic3:8" TargetMode="External"/><Relationship Id="rId12694" Type="http://schemas.openxmlformats.org/officeDocument/2006/relationships/hyperlink" Target="https://ref.ly/1Chr12:18" TargetMode="External"/><Relationship Id="rId12695" Type="http://schemas.openxmlformats.org/officeDocument/2006/relationships/hyperlink" Target="https://ref.ly/Jer1:9" TargetMode="External"/><Relationship Id="rId12696" Type="http://schemas.openxmlformats.org/officeDocument/2006/relationships/hyperlink" Target="https://ref.ly/Ezek2:7-Ezek4:4" TargetMode="External"/><Relationship Id="rId12697" Type="http://schemas.openxmlformats.org/officeDocument/2006/relationships/hyperlink" Target="https://ref.ly/Amos1:1,Amos1:3" TargetMode="External"/><Relationship Id="rId12698" Type="http://schemas.openxmlformats.org/officeDocument/2006/relationships/hyperlink" Target="https://ref.ly/Deut13:1-Deut13:18" TargetMode="External"/><Relationship Id="rId12699" Type="http://schemas.openxmlformats.org/officeDocument/2006/relationships/hyperlink" Target="https://ref.ly/Deut13:2,Deut13:5-Deut13:7,Deut13:10" TargetMode="External"/><Relationship Id="rId12700" Type="http://schemas.openxmlformats.org/officeDocument/2006/relationships/hyperlink" Target="https://ref.ly/Deut13:1-Deut13:2" TargetMode="External"/><Relationship Id="rId12701" Type="http://schemas.openxmlformats.org/officeDocument/2006/relationships/hyperlink" Target="https://ref.ly/Deut13:2,Deut13:6" TargetMode="External"/><Relationship Id="rId12702" Type="http://schemas.openxmlformats.org/officeDocument/2006/relationships/hyperlink" Target="https://ref.ly/Deut13:5,Deut13:10" TargetMode="External"/><Relationship Id="rId12703" Type="http://schemas.openxmlformats.org/officeDocument/2006/relationships/hyperlink" Target="https://ref.ly/Deut18:21-Deut18:22" TargetMode="External"/><Relationship Id="rId12704" Type="http://schemas.openxmlformats.org/officeDocument/2006/relationships/hyperlink" Target="https://ref.ly/Jer23:9-Jer23:40" TargetMode="External"/><Relationship Id="rId12705" Type="http://schemas.openxmlformats.org/officeDocument/2006/relationships/hyperlink" Target="https://ref.ly/Jer23:16-Jer23:22" TargetMode="External"/><Relationship Id="rId12706" Type="http://schemas.openxmlformats.org/officeDocument/2006/relationships/hyperlink" Target="https://ref.ly/Deut18:9-Deut18:15" TargetMode="External"/><Relationship Id="rId12707" Type="http://schemas.openxmlformats.org/officeDocument/2006/relationships/hyperlink" Target="https://ref.ly/Deut18:12" TargetMode="External"/><Relationship Id="rId12708" Type="http://schemas.openxmlformats.org/officeDocument/2006/relationships/hyperlink" Target="https://ref.ly/Deut18:13-Deut18:15" TargetMode="External"/><Relationship Id="rId12709" Type="http://schemas.openxmlformats.org/officeDocument/2006/relationships/hyperlink" Target="https://ref.ly/2Kgs4:27" TargetMode="External"/><Relationship Id="rId12710" Type="http://schemas.openxmlformats.org/officeDocument/2006/relationships/hyperlink" Target="https://ref.ly/Amos3:7" TargetMode="External"/><Relationship Id="rId12711" Type="http://schemas.openxmlformats.org/officeDocument/2006/relationships/hyperlink" Target="https://ref.ly/Isa39:1-Isa39:8" TargetMode="External"/><Relationship Id="rId12712" Type="http://schemas.openxmlformats.org/officeDocument/2006/relationships/hyperlink" Target="https://ref.ly/Isa31:6-Isa31:7" TargetMode="External"/><Relationship Id="rId12713" Type="http://schemas.openxmlformats.org/officeDocument/2006/relationships/hyperlink" Target="https://ref.ly/Amos5:6" TargetMode="External"/><Relationship Id="rId12714" Type="http://schemas.openxmlformats.org/officeDocument/2006/relationships/hyperlink" Target="https://ref.ly/Isa11:1-Isa11:16" TargetMode="External"/><Relationship Id="rId12715" Type="http://schemas.openxmlformats.org/officeDocument/2006/relationships/hyperlink" Target="https://ref.ly/Isa40:1-Isa40:3" TargetMode="External"/><Relationship Id="rId12716" Type="http://schemas.openxmlformats.org/officeDocument/2006/relationships/hyperlink" Target="https://ref.ly/Acts2:11,Acts2:17" TargetMode="External"/><Relationship Id="rId12717" Type="http://schemas.openxmlformats.org/officeDocument/2006/relationships/hyperlink" Target="https://ref.ly/Isa55:11" TargetMode="External"/><Relationship Id="rId12718" Type="http://schemas.openxmlformats.org/officeDocument/2006/relationships/hyperlink" Target="https://ref.ly/Jer13:1-Jer13:11" TargetMode="External"/><Relationship Id="rId12719" Type="http://schemas.openxmlformats.org/officeDocument/2006/relationships/hyperlink" Target="https://ref.ly/Jer19:1-Jer19:15" TargetMode="External"/><Relationship Id="rId12720" Type="http://schemas.openxmlformats.org/officeDocument/2006/relationships/hyperlink" Target="https://ref.ly/Ezek24:15-Ezek24:24" TargetMode="External"/><Relationship Id="rId12721" Type="http://schemas.openxmlformats.org/officeDocument/2006/relationships/hyperlink" Target="https://ref.ly/Isa7:3" TargetMode="External"/><Relationship Id="rId12722" Type="http://schemas.openxmlformats.org/officeDocument/2006/relationships/hyperlink" Target="https://ref.ly/Isa8:1-Isa8:4" TargetMode="External"/><Relationship Id="rId12723" Type="http://schemas.openxmlformats.org/officeDocument/2006/relationships/hyperlink" Target="https://ref.ly/2Kgs13:14-2Kgs13:19" TargetMode="External"/><Relationship Id="rId12724" Type="http://schemas.openxmlformats.org/officeDocument/2006/relationships/hyperlink" Target="https://ref.ly/Jer36:6,Jer36:17-Jer36:18" TargetMode="External"/><Relationship Id="rId12725" Type="http://schemas.openxmlformats.org/officeDocument/2006/relationships/hyperlink" Target="https://ref.ly/Isa56:1-Isa56:8" TargetMode="External"/><Relationship Id="rId12726" Type="http://schemas.openxmlformats.org/officeDocument/2006/relationships/hyperlink" Target="https://ref.ly/Mal1:11" TargetMode="External"/><Relationship Id="rId12727" Type="http://schemas.openxmlformats.org/officeDocument/2006/relationships/hyperlink" Target="https://ref.ly/Matt23:15" TargetMode="External"/><Relationship Id="rId12728" Type="http://schemas.openxmlformats.org/officeDocument/2006/relationships/hyperlink" Target="https://ref.ly/Prov1:1-Prov9:18" TargetMode="External"/><Relationship Id="rId12729" Type="http://schemas.openxmlformats.org/officeDocument/2006/relationships/hyperlink" Target="https://ref.ly/Prov5:1-Prov5:21,Prov5:6-Prov5:35,Prov5:7-Prov5:27" TargetMode="External"/><Relationship Id="rId12730" Type="http://schemas.openxmlformats.org/officeDocument/2006/relationships/hyperlink" Target="https://ref.ly/Prov1:2-Prov1:7" TargetMode="External"/><Relationship Id="rId12731" Type="http://schemas.openxmlformats.org/officeDocument/2006/relationships/hyperlink" Target="https://ref.ly/Prov1:8-Prov9:18" TargetMode="External"/><Relationship Id="rId12732" Type="http://schemas.openxmlformats.org/officeDocument/2006/relationships/hyperlink" Target="https://ref.ly/Prov10:1-Prov22:16" TargetMode="External"/><Relationship Id="rId12733" Type="http://schemas.openxmlformats.org/officeDocument/2006/relationships/hyperlink" Target="https://ref.ly/1Kgs3:5-1Kgs3:14" TargetMode="External"/><Relationship Id="rId12734" Type="http://schemas.openxmlformats.org/officeDocument/2006/relationships/hyperlink" Target="https://ref.ly/1Kgs3:16-1Kgs3:28" TargetMode="External"/><Relationship Id="rId12735" Type="http://schemas.openxmlformats.org/officeDocument/2006/relationships/hyperlink" Target="https://ref.ly/1Kgs4:29-1Kgs4:34" TargetMode="External"/><Relationship Id="rId12736" Type="http://schemas.openxmlformats.org/officeDocument/2006/relationships/hyperlink" Target="https://ref.ly/1Kgs10:1-1Kgs10:13" TargetMode="External"/><Relationship Id="rId12737" Type="http://schemas.openxmlformats.org/officeDocument/2006/relationships/hyperlink" Target="https://ref.ly/Prov22:17-Prov24:34" TargetMode="External"/><Relationship Id="rId12738" Type="http://schemas.openxmlformats.org/officeDocument/2006/relationships/hyperlink" Target="https://ref.ly/Prov22:17" TargetMode="External"/><Relationship Id="rId12739" Type="http://schemas.openxmlformats.org/officeDocument/2006/relationships/hyperlink" Target="https://ref.ly/Prov24:23" TargetMode="External"/><Relationship Id="rId12740" Type="http://schemas.openxmlformats.org/officeDocument/2006/relationships/hyperlink" Target="https://ref.ly/Prov22:17-Prov23:11" TargetMode="External"/><Relationship Id="rId12741" Type="http://schemas.openxmlformats.org/officeDocument/2006/relationships/hyperlink" Target="https://ref.ly/Prov25:1-Prov29:27" TargetMode="External"/><Relationship Id="rId12742" Type="http://schemas.openxmlformats.org/officeDocument/2006/relationships/hyperlink" Target="https://ref.ly/Prov25:1" TargetMode="External"/><Relationship Id="rId12743" Type="http://schemas.openxmlformats.org/officeDocument/2006/relationships/hyperlink" Target="https://ref.ly/Prov25:2-Prov25:7" TargetMode="External"/><Relationship Id="rId12744" Type="http://schemas.openxmlformats.org/officeDocument/2006/relationships/hyperlink" Target="https://ref.ly/Prov26:13-Prov26:16" TargetMode="External"/><Relationship Id="rId12745" Type="http://schemas.openxmlformats.org/officeDocument/2006/relationships/hyperlink" Target="https://ref.ly/Prov26:17-Prov26:27" TargetMode="External"/><Relationship Id="rId12746" Type="http://schemas.openxmlformats.org/officeDocument/2006/relationships/hyperlink" Target="https://ref.ly/2Chr30:26" TargetMode="External"/><Relationship Id="rId12747" Type="http://schemas.openxmlformats.org/officeDocument/2006/relationships/hyperlink" Target="https://ref.ly/Prov31:1-Prov31:9" TargetMode="External"/><Relationship Id="rId12748" Type="http://schemas.openxmlformats.org/officeDocument/2006/relationships/hyperlink" Target="https://ref.ly/Prov1:7" TargetMode="External"/><Relationship Id="rId12749" Type="http://schemas.openxmlformats.org/officeDocument/2006/relationships/hyperlink" Target="https://ref.ly/2Sam20:16" TargetMode="External"/><Relationship Id="rId12750" Type="http://schemas.openxmlformats.org/officeDocument/2006/relationships/hyperlink" Target="https://ref.ly/2Sam15:1-2Sam15:2,2Sam15:31" TargetMode="External"/><Relationship Id="rId12751" Type="http://schemas.openxmlformats.org/officeDocument/2006/relationships/hyperlink" Target="https://ref.ly/2Sam16:15-2Sam16:19" TargetMode="External"/><Relationship Id="rId12752" Type="http://schemas.openxmlformats.org/officeDocument/2006/relationships/hyperlink" Target="https://ref.ly/1Kgs4:32" TargetMode="External"/><Relationship Id="rId12753" Type="http://schemas.openxmlformats.org/officeDocument/2006/relationships/hyperlink" Target="https://ref.ly/Prov10:1-Prov15:33" TargetMode="External"/><Relationship Id="rId12754" Type="http://schemas.openxmlformats.org/officeDocument/2006/relationships/hyperlink" Target="https://ref.ly/Prov16:1-Prov22:29" TargetMode="External"/><Relationship Id="rId12755" Type="http://schemas.openxmlformats.org/officeDocument/2006/relationships/hyperlink" Target="https://ref.ly/Prov2:5" TargetMode="External"/><Relationship Id="rId12756" Type="http://schemas.openxmlformats.org/officeDocument/2006/relationships/hyperlink" Target="https://ref.ly/Prov3:7" TargetMode="External"/><Relationship Id="rId12757" Type="http://schemas.openxmlformats.org/officeDocument/2006/relationships/hyperlink" Target="https://ref.ly/Prov8:13" TargetMode="External"/><Relationship Id="rId12758" Type="http://schemas.openxmlformats.org/officeDocument/2006/relationships/hyperlink" Target="https://ref.ly/Jer9:24" TargetMode="External"/><Relationship Id="rId12759" Type="http://schemas.openxmlformats.org/officeDocument/2006/relationships/hyperlink" Target="https://ref.ly/Hos4:1" TargetMode="External"/><Relationship Id="rId12760" Type="http://schemas.openxmlformats.org/officeDocument/2006/relationships/hyperlink" Target="https://ref.ly/Prov9:10" TargetMode="External"/><Relationship Id="rId12761" Type="http://schemas.openxmlformats.org/officeDocument/2006/relationships/hyperlink" Target="https://ref.ly/Prov14:31" TargetMode="External"/><Relationship Id="rId12762" Type="http://schemas.openxmlformats.org/officeDocument/2006/relationships/hyperlink" Target="https://ref.ly/Prov15:8" TargetMode="External"/><Relationship Id="rId12763" Type="http://schemas.openxmlformats.org/officeDocument/2006/relationships/hyperlink" Target="https://ref.ly/Prov21:27" TargetMode="External"/><Relationship Id="rId12764" Type="http://schemas.openxmlformats.org/officeDocument/2006/relationships/hyperlink" Target="https://ref.ly/Prov2:22" TargetMode="External"/><Relationship Id="rId12765" Type="http://schemas.openxmlformats.org/officeDocument/2006/relationships/hyperlink" Target="https://ref.ly/Prov3:9-Prov3:10" TargetMode="External"/><Relationship Id="rId12766" Type="http://schemas.openxmlformats.org/officeDocument/2006/relationships/hyperlink" Target="https://ref.ly/Prov10:27-Prov10:30" TargetMode="External"/><Relationship Id="rId12767" Type="http://schemas.openxmlformats.org/officeDocument/2006/relationships/hyperlink" Target="https://ref.ly/Job21:7-Job21:34" TargetMode="External"/><Relationship Id="rId12768" Type="http://schemas.openxmlformats.org/officeDocument/2006/relationships/hyperlink" Target="https://ref.ly/Prov1:1-Prov1:7" TargetMode="External"/><Relationship Id="rId12769" Type="http://schemas.openxmlformats.org/officeDocument/2006/relationships/hyperlink" Target="https://ref.ly/Prov1:2" TargetMode="External"/><Relationship Id="rId12770" Type="http://schemas.openxmlformats.org/officeDocument/2006/relationships/hyperlink" Target="https://ref.ly/1Kgs3:7-1Kgs3:9" TargetMode="External"/><Relationship Id="rId12771" Type="http://schemas.openxmlformats.org/officeDocument/2006/relationships/hyperlink" Target="https://ref.ly/Prov1:1-Prov1:6" TargetMode="External"/><Relationship Id="rId12772" Type="http://schemas.openxmlformats.org/officeDocument/2006/relationships/hyperlink" Target="https://ref.ly/Prov8:1-Prov9:18" TargetMode="External"/><Relationship Id="rId12773" Type="http://schemas.openxmlformats.org/officeDocument/2006/relationships/hyperlink" Target="https://ref.ly/Prov1:8-Prov1:33" TargetMode="External"/><Relationship Id="rId12774" Type="http://schemas.openxmlformats.org/officeDocument/2006/relationships/hyperlink" Target="https://ref.ly/Prov1:10-Prov1:14" TargetMode="External"/><Relationship Id="rId12775" Type="http://schemas.openxmlformats.org/officeDocument/2006/relationships/hyperlink" Target="https://ref.ly/Prov1:15-Prov1:19" TargetMode="External"/><Relationship Id="rId12776" Type="http://schemas.openxmlformats.org/officeDocument/2006/relationships/hyperlink" Target="https://ref.ly/Prov1:8-Prov1:9" TargetMode="External"/><Relationship Id="rId12777" Type="http://schemas.openxmlformats.org/officeDocument/2006/relationships/hyperlink" Target="https://ref.ly/Prov1:20-Prov1:33" TargetMode="External"/><Relationship Id="rId12778" Type="http://schemas.openxmlformats.org/officeDocument/2006/relationships/hyperlink" Target="https://ref.ly/Prov1:23" TargetMode="External"/><Relationship Id="rId12779" Type="http://schemas.openxmlformats.org/officeDocument/2006/relationships/hyperlink" Target="https://ref.ly/Prov1:29-Prov1:33" TargetMode="External"/><Relationship Id="rId12780" Type="http://schemas.openxmlformats.org/officeDocument/2006/relationships/hyperlink" Target="https://ref.ly/Prov2:1-Prov2:22" TargetMode="External"/><Relationship Id="rId12781" Type="http://schemas.openxmlformats.org/officeDocument/2006/relationships/hyperlink" Target="https://ref.ly/Prov2:2-Prov2:4" TargetMode="External"/><Relationship Id="rId12782" Type="http://schemas.openxmlformats.org/officeDocument/2006/relationships/hyperlink" Target="https://ref.ly/Ps63:1" TargetMode="External"/><Relationship Id="rId12783" Type="http://schemas.openxmlformats.org/officeDocument/2006/relationships/hyperlink" Target="https://ref.ly/Prov2:7-Prov2:22" TargetMode="External"/><Relationship Id="rId12784" Type="http://schemas.openxmlformats.org/officeDocument/2006/relationships/hyperlink" Target="https://ref.ly/Prov2:16-Prov2:19" TargetMode="External"/><Relationship Id="rId12785" Type="http://schemas.openxmlformats.org/officeDocument/2006/relationships/hyperlink" Target="https://ref.ly/Prov3:1-Prov3:10" TargetMode="External"/><Relationship Id="rId12786" Type="http://schemas.openxmlformats.org/officeDocument/2006/relationships/hyperlink" Target="https://ref.ly/Prov3:1-Prov3:8" TargetMode="External"/><Relationship Id="rId12787" Type="http://schemas.openxmlformats.org/officeDocument/2006/relationships/hyperlink" Target="https://ref.ly/Prov3:6" TargetMode="External"/><Relationship Id="rId12788" Type="http://schemas.openxmlformats.org/officeDocument/2006/relationships/hyperlink" Target="https://ref.ly/Hag1:1-Hag1:11" TargetMode="External"/><Relationship Id="rId12789" Type="http://schemas.openxmlformats.org/officeDocument/2006/relationships/hyperlink" Target="https://ref.ly/Prov3:11-Prov3:20" TargetMode="External"/><Relationship Id="rId12790" Type="http://schemas.openxmlformats.org/officeDocument/2006/relationships/hyperlink" Target="https://ref.ly/Prov3:21-Prov3:35" TargetMode="External"/><Relationship Id="rId12791" Type="http://schemas.openxmlformats.org/officeDocument/2006/relationships/hyperlink" Target="https://ref.ly/Prov3:23-Prov3:26" TargetMode="External"/><Relationship Id="rId12792" Type="http://schemas.openxmlformats.org/officeDocument/2006/relationships/hyperlink" Target="https://ref.ly/Prov3:27-Prov3:32" TargetMode="External"/><Relationship Id="rId12793" Type="http://schemas.openxmlformats.org/officeDocument/2006/relationships/hyperlink" Target="https://ref.ly/Prov3:26" TargetMode="External"/><Relationship Id="rId12794" Type="http://schemas.openxmlformats.org/officeDocument/2006/relationships/hyperlink" Target="https://ref.ly/Prov4:1-Prov4:9" TargetMode="External"/><Relationship Id="rId12795" Type="http://schemas.openxmlformats.org/officeDocument/2006/relationships/hyperlink" Target="https://ref.ly/Prov4:1-Prov4:6" TargetMode="External"/><Relationship Id="rId12796" Type="http://schemas.openxmlformats.org/officeDocument/2006/relationships/hyperlink" Target="https://ref.ly/Prov4:5-Prov4:9" TargetMode="External"/><Relationship Id="rId12797" Type="http://schemas.openxmlformats.org/officeDocument/2006/relationships/hyperlink" Target="https://ref.ly/Prov4:10-Prov4:19" TargetMode="External"/><Relationship Id="rId12798" Type="http://schemas.openxmlformats.org/officeDocument/2006/relationships/hyperlink" Target="https://ref.ly/Prov4:14-Prov4:17" TargetMode="External"/><Relationship Id="rId12799" Type="http://schemas.openxmlformats.org/officeDocument/2006/relationships/hyperlink" Target="https://ref.ly/Prov4:18-Prov4:19" TargetMode="External"/><Relationship Id="rId12800" Type="http://schemas.openxmlformats.org/officeDocument/2006/relationships/hyperlink" Target="https://ref.ly/Prov4:20-Prov4:27" TargetMode="External"/><Relationship Id="rId12801" Type="http://schemas.openxmlformats.org/officeDocument/2006/relationships/hyperlink" Target="https://ref.ly/1Thess5:22" TargetMode="External"/><Relationship Id="rId12802" Type="http://schemas.openxmlformats.org/officeDocument/2006/relationships/hyperlink" Target="https://ref.ly/Prov4:20" TargetMode="External"/><Relationship Id="rId12803" Type="http://schemas.openxmlformats.org/officeDocument/2006/relationships/hyperlink" Target="https://ref.ly/Prov4:21" TargetMode="External"/><Relationship Id="rId12804" Type="http://schemas.openxmlformats.org/officeDocument/2006/relationships/hyperlink" Target="https://ref.ly/Prov4:21,Prov4:23" TargetMode="External"/><Relationship Id="rId12805" Type="http://schemas.openxmlformats.org/officeDocument/2006/relationships/hyperlink" Target="https://ref.ly/Prov4:25" TargetMode="External"/><Relationship Id="rId12806" Type="http://schemas.openxmlformats.org/officeDocument/2006/relationships/hyperlink" Target="https://ref.ly/Prov4:26-Prov4:27" TargetMode="External"/><Relationship Id="rId12807" Type="http://schemas.openxmlformats.org/officeDocument/2006/relationships/hyperlink" Target="https://ref.ly/Prov5:1-Prov5:23" TargetMode="External"/><Relationship Id="rId12808" Type="http://schemas.openxmlformats.org/officeDocument/2006/relationships/hyperlink" Target="https://ref.ly/Prov5:21" TargetMode="External"/><Relationship Id="rId12809" Type="http://schemas.openxmlformats.org/officeDocument/2006/relationships/hyperlink" Target="https://ref.ly/Prov6:1-Prov6:19" TargetMode="External"/><Relationship Id="rId12810" Type="http://schemas.openxmlformats.org/officeDocument/2006/relationships/hyperlink" Target="https://ref.ly/Prov6:1-Prov6:5" TargetMode="External"/><Relationship Id="rId12811" Type="http://schemas.openxmlformats.org/officeDocument/2006/relationships/hyperlink" Target="https://ref.ly/Prov22:13" TargetMode="External"/><Relationship Id="rId12812" Type="http://schemas.openxmlformats.org/officeDocument/2006/relationships/hyperlink" Target="https://ref.ly/Prov6:12-Prov6:19" TargetMode="External"/><Relationship Id="rId12813" Type="http://schemas.openxmlformats.org/officeDocument/2006/relationships/hyperlink" Target="https://ref.ly/Prov6:20-Prov6:35" TargetMode="External"/><Relationship Id="rId12814" Type="http://schemas.openxmlformats.org/officeDocument/2006/relationships/hyperlink" Target="https://ref.ly/Prov6:33-Prov6:35" TargetMode="External"/><Relationship Id="rId12815" Type="http://schemas.openxmlformats.org/officeDocument/2006/relationships/hyperlink" Target="https://ref.ly/Prov6:26-Prov6:32" TargetMode="External"/><Relationship Id="rId12816" Type="http://schemas.openxmlformats.org/officeDocument/2006/relationships/hyperlink" Target="https://ref.ly/Prov7:1-Prov7:27" TargetMode="External"/><Relationship Id="rId12817" Type="http://schemas.openxmlformats.org/officeDocument/2006/relationships/hyperlink" Target="https://ref.ly/Prov7:27" TargetMode="External"/><Relationship Id="rId12818" Type="http://schemas.openxmlformats.org/officeDocument/2006/relationships/hyperlink" Target="https://ref.ly/Prov9:13-Prov9:18" TargetMode="External"/><Relationship Id="rId12819" Type="http://schemas.openxmlformats.org/officeDocument/2006/relationships/hyperlink" Target="https://ref.ly/Prov8:1-Prov8:5" TargetMode="External"/><Relationship Id="rId12820" Type="http://schemas.openxmlformats.org/officeDocument/2006/relationships/hyperlink" Target="https://ref.ly/Prov8:6-Prov8:13" TargetMode="External"/><Relationship Id="rId12821" Type="http://schemas.openxmlformats.org/officeDocument/2006/relationships/hyperlink" Target="https://ref.ly/Prov8:14-Prov8:21" TargetMode="External"/><Relationship Id="rId12822" Type="http://schemas.openxmlformats.org/officeDocument/2006/relationships/hyperlink" Target="https://ref.ly/Prov8:22-Prov8:31" TargetMode="External"/><Relationship Id="rId12823" Type="http://schemas.openxmlformats.org/officeDocument/2006/relationships/hyperlink" Target="https://ref.ly/Prov8:33-Prov8:36" TargetMode="External"/><Relationship Id="rId12824" Type="http://schemas.openxmlformats.org/officeDocument/2006/relationships/hyperlink" Target="https://ref.ly/Prov9:1-Prov9:6" TargetMode="External"/><Relationship Id="rId12825" Type="http://schemas.openxmlformats.org/officeDocument/2006/relationships/hyperlink" Target="https://ref.ly/Prov9:7-Prov9:12" TargetMode="External"/><Relationship Id="rId12826" Type="http://schemas.openxmlformats.org/officeDocument/2006/relationships/hyperlink" Target="https://ref.ly/Prov14:12" TargetMode="External"/><Relationship Id="rId12827" Type="http://schemas.openxmlformats.org/officeDocument/2006/relationships/hyperlink" Target="https://ref.ly/Prov16:25" TargetMode="External"/><Relationship Id="rId12828" Type="http://schemas.openxmlformats.org/officeDocument/2006/relationships/hyperlink" Target="https://ref.ly/Prov10:27-Prov10:29" TargetMode="External"/><Relationship Id="rId12829" Type="http://schemas.openxmlformats.org/officeDocument/2006/relationships/hyperlink" Target="https://ref.ly/Prov15:16,Prov15:33" TargetMode="External"/><Relationship Id="rId12830" Type="http://schemas.openxmlformats.org/officeDocument/2006/relationships/hyperlink" Target="https://ref.ly/Prov18:10" TargetMode="External"/><Relationship Id="rId12831" Type="http://schemas.openxmlformats.org/officeDocument/2006/relationships/hyperlink" Target="https://ref.ly/Prov10:2,Prov10:7,Prov10:16,Prov10:27-Prov10:30" TargetMode="External"/><Relationship Id="rId12832" Type="http://schemas.openxmlformats.org/officeDocument/2006/relationships/hyperlink" Target="https://ref.ly/Prov11:3-Prov11:9" TargetMode="External"/><Relationship Id="rId12833" Type="http://schemas.openxmlformats.org/officeDocument/2006/relationships/hyperlink" Target="https://ref.ly/Prov10:4-Prov10:5" TargetMode="External"/><Relationship Id="rId12834" Type="http://schemas.openxmlformats.org/officeDocument/2006/relationships/hyperlink" Target="https://ref.ly/Prov12:18" TargetMode="External"/><Relationship Id="rId12835" Type="http://schemas.openxmlformats.org/officeDocument/2006/relationships/hyperlink" Target="https://ref.ly/Prov12:6,Prov12:13-Prov12:14,Prov12:17-Prov12:19,Prov12:22" TargetMode="External"/><Relationship Id="rId12836" Type="http://schemas.openxmlformats.org/officeDocument/2006/relationships/hyperlink" Target="https://ref.ly/Prov13:1-Prov13:25" TargetMode="External"/><Relationship Id="rId12837" Type="http://schemas.openxmlformats.org/officeDocument/2006/relationships/hyperlink" Target="https://ref.ly/Prov13:1" TargetMode="External"/><Relationship Id="rId12838" Type="http://schemas.openxmlformats.org/officeDocument/2006/relationships/hyperlink" Target="https://ref.ly/Prov13:13" TargetMode="External"/><Relationship Id="rId12839" Type="http://schemas.openxmlformats.org/officeDocument/2006/relationships/hyperlink" Target="https://ref.ly/Prov13:14" TargetMode="External"/><Relationship Id="rId12840" Type="http://schemas.openxmlformats.org/officeDocument/2006/relationships/hyperlink" Target="https://ref.ly/Prov13:20" TargetMode="External"/><Relationship Id="rId12841" Type="http://schemas.openxmlformats.org/officeDocument/2006/relationships/hyperlink" Target="https://ref.ly/Prov17:8,Prov17:23" TargetMode="External"/><Relationship Id="rId12842" Type="http://schemas.openxmlformats.org/officeDocument/2006/relationships/hyperlink" Target="https://ref.ly/Prov18:16" TargetMode="External"/><Relationship Id="rId12843" Type="http://schemas.openxmlformats.org/officeDocument/2006/relationships/hyperlink" Target="https://ref.ly/Prov19:5,Prov19:9,Prov19:28" TargetMode="External"/><Relationship Id="rId12844" Type="http://schemas.openxmlformats.org/officeDocument/2006/relationships/hyperlink" Target="https://ref.ly/Prov18:17" TargetMode="External"/><Relationship Id="rId12845" Type="http://schemas.openxmlformats.org/officeDocument/2006/relationships/hyperlink" Target="https://ref.ly/Prov19:4-Prov19:7" TargetMode="External"/><Relationship Id="rId12846" Type="http://schemas.openxmlformats.org/officeDocument/2006/relationships/hyperlink" Target="https://ref.ly/Prov18:24" TargetMode="External"/><Relationship Id="rId12847" Type="http://schemas.openxmlformats.org/officeDocument/2006/relationships/hyperlink" Target="https://ref.ly/Prov21:6" TargetMode="External"/><Relationship Id="rId12848" Type="http://schemas.openxmlformats.org/officeDocument/2006/relationships/hyperlink" Target="https://ref.ly/Prov22:1,Prov22:4" TargetMode="External"/><Relationship Id="rId12849" Type="http://schemas.openxmlformats.org/officeDocument/2006/relationships/hyperlink" Target="https://ref.ly/Prov21:13" TargetMode="External"/><Relationship Id="rId12850" Type="http://schemas.openxmlformats.org/officeDocument/2006/relationships/hyperlink" Target="https://ref.ly/Prov22:2" TargetMode="External"/><Relationship Id="rId12851" Type="http://schemas.openxmlformats.org/officeDocument/2006/relationships/hyperlink" Target="https://ref.ly/Prov12:4" TargetMode="External"/><Relationship Id="rId12852" Type="http://schemas.openxmlformats.org/officeDocument/2006/relationships/hyperlink" Target="https://ref.ly/Prov14:1" TargetMode="External"/><Relationship Id="rId12853" Type="http://schemas.openxmlformats.org/officeDocument/2006/relationships/hyperlink" Target="https://ref.ly/Prov19:14" TargetMode="External"/><Relationship Id="rId12854" Type="http://schemas.openxmlformats.org/officeDocument/2006/relationships/hyperlink" Target="https://ref.ly/Prov23:13-Prov23:14" TargetMode="External"/><Relationship Id="rId12855" Type="http://schemas.openxmlformats.org/officeDocument/2006/relationships/hyperlink" Target="https://ref.ly/Prov22:17-Prov31:31" TargetMode="External"/><Relationship Id="rId12856" Type="http://schemas.openxmlformats.org/officeDocument/2006/relationships/hyperlink" Target="https://ref.ly/Prov22:19" TargetMode="External"/><Relationship Id="rId12857" Type="http://schemas.openxmlformats.org/officeDocument/2006/relationships/hyperlink" Target="https://ref.ly/Prov25:8-Prov25:10" TargetMode="External"/><Relationship Id="rId12858" Type="http://schemas.openxmlformats.org/officeDocument/2006/relationships/hyperlink" Target="https://ref.ly/Prov26:1-Prov26:12" TargetMode="External"/><Relationship Id="rId12859" Type="http://schemas.openxmlformats.org/officeDocument/2006/relationships/hyperlink" Target="https://ref.ly/Prov30:1-Prov30:4" TargetMode="External"/><Relationship Id="rId12860" Type="http://schemas.openxmlformats.org/officeDocument/2006/relationships/hyperlink" Target="https://ref.ly/Job38:1-Job39:30" TargetMode="External"/><Relationship Id="rId12861" Type="http://schemas.openxmlformats.org/officeDocument/2006/relationships/hyperlink" Target="https://ref.ly/Prov31:30" TargetMode="External"/><Relationship Id="rId12862" Type="http://schemas.openxmlformats.org/officeDocument/2006/relationships/hyperlink" Target="https://ref.ly/Prov31:11" TargetMode="External"/><Relationship Id="rId12863" Type="http://schemas.openxmlformats.org/officeDocument/2006/relationships/hyperlink" Target="https://ref.ly/Prov31:13-Prov31:19,Prov31:24,Prov31:27" TargetMode="External"/><Relationship Id="rId12864" Type="http://schemas.openxmlformats.org/officeDocument/2006/relationships/hyperlink" Target="https://ref.ly/Prov31:19-Prov31:20" TargetMode="External"/><Relationship Id="rId12865" Type="http://schemas.openxmlformats.org/officeDocument/2006/relationships/hyperlink" Target="https://ref.ly/Prov31:21,Prov31:25" TargetMode="External"/><Relationship Id="rId12866" Type="http://schemas.openxmlformats.org/officeDocument/2006/relationships/hyperlink" Target="https://ref.ly/Prov31:26" TargetMode="External"/><Relationship Id="rId12867" Type="http://schemas.openxmlformats.org/officeDocument/2006/relationships/hyperlink" Target="https://ref.ly/Gen22:8" TargetMode="External"/><Relationship Id="rId12868" Type="http://schemas.openxmlformats.org/officeDocument/2006/relationships/hyperlink" Target="https://ref.ly/Gen22:13" TargetMode="External"/><Relationship Id="rId12869" Type="http://schemas.openxmlformats.org/officeDocument/2006/relationships/hyperlink" Target="https://ref.ly/Ps28:1-Ps28:9" TargetMode="External"/><Relationship Id="rId12870" Type="http://schemas.openxmlformats.org/officeDocument/2006/relationships/hyperlink" Target="https://ref.ly/Ps35:1-Ps35:28" TargetMode="External"/><Relationship Id="rId12871" Type="http://schemas.openxmlformats.org/officeDocument/2006/relationships/hyperlink" Target="https://ref.ly/Ps55:1-Ps55:23" TargetMode="External"/><Relationship Id="rId12872" Type="http://schemas.openxmlformats.org/officeDocument/2006/relationships/hyperlink" Target="https://ref.ly/Ps59:1-Ps59:17" TargetMode="External"/><Relationship Id="rId12873" Type="http://schemas.openxmlformats.org/officeDocument/2006/relationships/hyperlink" Target="https://ref.ly/Ps71:1-Ps71:24" TargetMode="External"/><Relationship Id="rId12874" Type="http://schemas.openxmlformats.org/officeDocument/2006/relationships/hyperlink" Target="https://ref.ly/Ps79:1-Ps79:13" TargetMode="External"/><Relationship Id="rId12875" Type="http://schemas.openxmlformats.org/officeDocument/2006/relationships/hyperlink" Target="https://ref.ly/Ps109:1-Ps109:31" TargetMode="External"/><Relationship Id="rId12876" Type="http://schemas.openxmlformats.org/officeDocument/2006/relationships/hyperlink" Target="https://ref.ly/Ps129:1-Ps129:8" TargetMode="External"/><Relationship Id="rId12877" Type="http://schemas.openxmlformats.org/officeDocument/2006/relationships/hyperlink" Target="https://ref.ly/Lev19:17-Lev19:18" TargetMode="External"/><Relationship Id="rId12878" Type="http://schemas.openxmlformats.org/officeDocument/2006/relationships/hyperlink" Target="https://ref.ly/Luke10:29-Luke10:37" TargetMode="External"/><Relationship Id="rId12879" Type="http://schemas.openxmlformats.org/officeDocument/2006/relationships/hyperlink" Target="https://ref.ly/Matt5:44" TargetMode="External"/><Relationship Id="rId12880" Type="http://schemas.openxmlformats.org/officeDocument/2006/relationships/hyperlink" Target="https://ref.ly/Matt5:38-Matt5:48" TargetMode="External"/><Relationship Id="rId12881" Type="http://schemas.openxmlformats.org/officeDocument/2006/relationships/hyperlink" Target="https://ref.ly/Prov25:21-Prov25:22" TargetMode="External"/><Relationship Id="rId12882" Type="http://schemas.openxmlformats.org/officeDocument/2006/relationships/hyperlink" Target="https://ref.ly/Rom12:20" TargetMode="External"/><Relationship Id="rId12883" Type="http://schemas.openxmlformats.org/officeDocument/2006/relationships/hyperlink" Target="https://ref.ly/Ps109:8" TargetMode="External"/><Relationship Id="rId12884" Type="http://schemas.openxmlformats.org/officeDocument/2006/relationships/hyperlink" Target="https://ref.ly/Acts1:20" TargetMode="External"/><Relationship Id="rId12885" Type="http://schemas.openxmlformats.org/officeDocument/2006/relationships/hyperlink" Target="https://ref.ly/Ps137:8-Ps137:9" TargetMode="External"/><Relationship Id="rId12886" Type="http://schemas.openxmlformats.org/officeDocument/2006/relationships/hyperlink" Target="https://ref.ly/Jer11:20" TargetMode="External"/><Relationship Id="rId12887" Type="http://schemas.openxmlformats.org/officeDocument/2006/relationships/hyperlink" Target="https://ref.ly/Jer11:21-Jer11:23" TargetMode="External"/><Relationship Id="rId12888" Type="http://schemas.openxmlformats.org/officeDocument/2006/relationships/hyperlink" Target="https://ref.ly/Ps43:1-Ps43:5" TargetMode="External"/><Relationship Id="rId12889" Type="http://schemas.openxmlformats.org/officeDocument/2006/relationships/hyperlink" Target="https://ref.ly/Ps72:1-Ps72:20" TargetMode="External"/><Relationship Id="rId12890" Type="http://schemas.openxmlformats.org/officeDocument/2006/relationships/hyperlink" Target="https://ref.ly/Ps127:1-Ps127:5" TargetMode="External"/><Relationship Id="rId12891" Type="http://schemas.openxmlformats.org/officeDocument/2006/relationships/hyperlink" Target="https://ref.ly/Ps3:1-Ps3:8" TargetMode="External"/><Relationship Id="rId12892" Type="http://schemas.openxmlformats.org/officeDocument/2006/relationships/hyperlink" Target="https://ref.ly/Gen21:32" TargetMode="External"/><Relationship Id="rId12893" Type="http://schemas.openxmlformats.org/officeDocument/2006/relationships/hyperlink" Target="https://ref.ly/2Sam23:1-2Sam23:7" TargetMode="External"/><Relationship Id="rId12894" Type="http://schemas.openxmlformats.org/officeDocument/2006/relationships/hyperlink" Target="https://ref.ly/1Sam16:16-1Sam16:18" TargetMode="External"/><Relationship Id="rId12895" Type="http://schemas.openxmlformats.org/officeDocument/2006/relationships/hyperlink" Target="https://ref.ly/1Chr16:7" TargetMode="External"/><Relationship Id="rId12896" Type="http://schemas.openxmlformats.org/officeDocument/2006/relationships/hyperlink" Target="https://ref.ly/2Sam11:2-2Sam12:25" TargetMode="External"/><Relationship Id="rId12897" Type="http://schemas.openxmlformats.org/officeDocument/2006/relationships/hyperlink" Target="https://ref.ly/Acts2:25,Acts2:34" TargetMode="External"/><Relationship Id="rId12898" Type="http://schemas.openxmlformats.org/officeDocument/2006/relationships/hyperlink" Target="https://ref.ly/Rom11:9" TargetMode="External"/><Relationship Id="rId12899" Type="http://schemas.openxmlformats.org/officeDocument/2006/relationships/hyperlink" Target="https://ref.ly/2Sam23:1" TargetMode="External"/><Relationship Id="rId12900" Type="http://schemas.openxmlformats.org/officeDocument/2006/relationships/hyperlink" Target="https://ref.ly/Ps95:1-Ps95:11" TargetMode="External"/><Relationship Id="rId12901" Type="http://schemas.openxmlformats.org/officeDocument/2006/relationships/hyperlink" Target="https://ref.ly/Ps107:2-Ps107:3" TargetMode="External"/><Relationship Id="rId12902" Type="http://schemas.openxmlformats.org/officeDocument/2006/relationships/hyperlink" Target="https://ref.ly/Ps126:1" TargetMode="External"/><Relationship Id="rId12903" Type="http://schemas.openxmlformats.org/officeDocument/2006/relationships/hyperlink" Target="https://ref.ly/Ps44:1-Ps44:26" TargetMode="External"/><Relationship Id="rId12904" Type="http://schemas.openxmlformats.org/officeDocument/2006/relationships/hyperlink" Target="https://ref.ly/Ps90:1-Ps150:6" TargetMode="External"/><Relationship Id="rId12905" Type="http://schemas.openxmlformats.org/officeDocument/2006/relationships/hyperlink" Target="https://ref.ly/Ps55:1" TargetMode="External"/><Relationship Id="rId12906" Type="http://schemas.openxmlformats.org/officeDocument/2006/relationships/hyperlink" Target="https://ref.ly/Ps5:1" TargetMode="External"/><Relationship Id="rId12907" Type="http://schemas.openxmlformats.org/officeDocument/2006/relationships/hyperlink" Target="https://ref.ly/Ps22:1" TargetMode="External"/><Relationship Id="rId12908" Type="http://schemas.openxmlformats.org/officeDocument/2006/relationships/hyperlink" Target="https://ref.ly/Ps56:1" TargetMode="External"/><Relationship Id="rId12909" Type="http://schemas.openxmlformats.org/officeDocument/2006/relationships/hyperlink" Target="https://ref.ly/Ps7:1" TargetMode="External"/><Relationship Id="rId12910" Type="http://schemas.openxmlformats.org/officeDocument/2006/relationships/hyperlink" Target="https://ref.ly/Ps46:1" TargetMode="External"/><Relationship Id="rId12911" Type="http://schemas.openxmlformats.org/officeDocument/2006/relationships/hyperlink" Target="https://ref.ly/Ps73:1-Ps89:52" TargetMode="External"/><Relationship Id="rId12912" Type="http://schemas.openxmlformats.org/officeDocument/2006/relationships/hyperlink" Target="https://ref.ly/Ps41:13" TargetMode="External"/><Relationship Id="rId12913" Type="http://schemas.openxmlformats.org/officeDocument/2006/relationships/hyperlink" Target="https://ref.ly/Ps89:52" TargetMode="External"/><Relationship Id="rId12914" Type="http://schemas.openxmlformats.org/officeDocument/2006/relationships/hyperlink" Target="https://ref.ly/Ps106:48" TargetMode="External"/><Relationship Id="rId12915" Type="http://schemas.openxmlformats.org/officeDocument/2006/relationships/hyperlink" Target="https://ref.ly/Ps72:20" TargetMode="External"/><Relationship Id="rId12916" Type="http://schemas.openxmlformats.org/officeDocument/2006/relationships/hyperlink" Target="https://ref.ly/Ps101:1-Ps101:8" TargetMode="External"/><Relationship Id="rId12917" Type="http://schemas.openxmlformats.org/officeDocument/2006/relationships/hyperlink" Target="https://ref.ly/Ps103:1-Ps103:22" TargetMode="External"/><Relationship Id="rId12918" Type="http://schemas.openxmlformats.org/officeDocument/2006/relationships/hyperlink" Target="https://ref.ly/Ps14:1-Ps14:7" TargetMode="External"/><Relationship Id="rId12919" Type="http://schemas.openxmlformats.org/officeDocument/2006/relationships/hyperlink" Target="https://ref.ly/Ps40:13-Ps40:17" TargetMode="External"/><Relationship Id="rId12920" Type="http://schemas.openxmlformats.org/officeDocument/2006/relationships/hyperlink" Target="https://ref.ly/Ps115:3-Ps115:8" TargetMode="External"/><Relationship Id="rId12921" Type="http://schemas.openxmlformats.org/officeDocument/2006/relationships/hyperlink" Target="https://ref.ly/Ps95:3-Ps95:5" TargetMode="External"/><Relationship Id="rId12922" Type="http://schemas.openxmlformats.org/officeDocument/2006/relationships/hyperlink" Target="https://ref.ly/Ps89:10" TargetMode="External"/><Relationship Id="rId12923" Type="http://schemas.openxmlformats.org/officeDocument/2006/relationships/hyperlink" Target="https://ref.ly/Ps18:7" TargetMode="External"/><Relationship Id="rId12924" Type="http://schemas.openxmlformats.org/officeDocument/2006/relationships/hyperlink" Target="https://ref.ly/Ps65:8-Ps65:13" TargetMode="External"/><Relationship Id="rId12925" Type="http://schemas.openxmlformats.org/officeDocument/2006/relationships/hyperlink" Target="https://ref.ly/Ps105:26-Ps105:42" TargetMode="External"/><Relationship Id="rId12926" Type="http://schemas.openxmlformats.org/officeDocument/2006/relationships/hyperlink" Target="https://ref.ly/Ps135:5-Ps135:7" TargetMode="External"/><Relationship Id="rId12927" Type="http://schemas.openxmlformats.org/officeDocument/2006/relationships/hyperlink" Target="https://ref.ly/Ps8:3-Ps8:4" TargetMode="External"/><Relationship Id="rId12928" Type="http://schemas.openxmlformats.org/officeDocument/2006/relationships/hyperlink" Target="https://ref.ly/Ps145:3-Ps145:4" TargetMode="External"/><Relationship Id="rId12929" Type="http://schemas.openxmlformats.org/officeDocument/2006/relationships/hyperlink" Target="https://ref.ly/Ps90:9-Ps90:10" TargetMode="External"/><Relationship Id="rId12930" Type="http://schemas.openxmlformats.org/officeDocument/2006/relationships/hyperlink" Target="https://ref.ly/Ps8:5-Ps8:8" TargetMode="External"/><Relationship Id="rId12931" Type="http://schemas.openxmlformats.org/officeDocument/2006/relationships/hyperlink" Target="https://ref.ly/Ps130:1-Ps130:8" TargetMode="External"/><Relationship Id="rId12932" Type="http://schemas.openxmlformats.org/officeDocument/2006/relationships/hyperlink" Target="https://ref.ly/Ps20:3" TargetMode="External"/><Relationship Id="rId12933" Type="http://schemas.openxmlformats.org/officeDocument/2006/relationships/hyperlink" Target="https://ref.ly/Ps50:8-Ps50:9" TargetMode="External"/><Relationship Id="rId12934" Type="http://schemas.openxmlformats.org/officeDocument/2006/relationships/hyperlink" Target="https://ref.ly/Ps15:1-Ps15:5" TargetMode="External"/><Relationship Id="rId12935" Type="http://schemas.openxmlformats.org/officeDocument/2006/relationships/hyperlink" Target="https://ref.ly/Ps24:3-Ps24:5" TargetMode="External"/><Relationship Id="rId12936" Type="http://schemas.openxmlformats.org/officeDocument/2006/relationships/hyperlink" Target="https://ref.ly/Ps19:7-Ps19:11" TargetMode="External"/><Relationship Id="rId12937" Type="http://schemas.openxmlformats.org/officeDocument/2006/relationships/hyperlink" Target="https://ref.ly/Ps88:10-Ps88:12" TargetMode="External"/><Relationship Id="rId12938" Type="http://schemas.openxmlformats.org/officeDocument/2006/relationships/hyperlink" Target="https://ref.ly/Ps16:9-Ps16:11" TargetMode="External"/><Relationship Id="rId12939" Type="http://schemas.openxmlformats.org/officeDocument/2006/relationships/hyperlink" Target="https://ref.ly/Ps73:23-Ps73:26" TargetMode="External"/><Relationship Id="rId12940" Type="http://schemas.openxmlformats.org/officeDocument/2006/relationships/hyperlink" Target="https://ref.ly/Ps9:11" TargetMode="External"/><Relationship Id="rId12941" Type="http://schemas.openxmlformats.org/officeDocument/2006/relationships/hyperlink" Target="https://ref.ly/Ps47:1-Ps47:2,Ps47:7-Ps47:9" TargetMode="External"/><Relationship Id="rId12942" Type="http://schemas.openxmlformats.org/officeDocument/2006/relationships/hyperlink" Target="https://ref.ly/Ps66:8" TargetMode="External"/><Relationship Id="rId12943" Type="http://schemas.openxmlformats.org/officeDocument/2006/relationships/hyperlink" Target="https://ref.ly/Ps117:1" TargetMode="External"/><Relationship Id="rId12944" Type="http://schemas.openxmlformats.org/officeDocument/2006/relationships/hyperlink" Target="https://ref.ly/Ps47:3-Ps47:4" TargetMode="External"/><Relationship Id="rId12945" Type="http://schemas.openxmlformats.org/officeDocument/2006/relationships/hyperlink" Target="https://ref.ly/Ps66:8-Ps66:9" TargetMode="External"/><Relationship Id="rId12946" Type="http://schemas.openxmlformats.org/officeDocument/2006/relationships/hyperlink" Target="https://ref.ly/Ps126:2" TargetMode="External"/><Relationship Id="rId12947" Type="http://schemas.openxmlformats.org/officeDocument/2006/relationships/hyperlink" Target="https://ref.ly/Ps116:1-Ps116:19" TargetMode="External"/><Relationship Id="rId12948" Type="http://schemas.openxmlformats.org/officeDocument/2006/relationships/hyperlink" Target="https://ref.ly/Ps138:1-Ps138:8" TargetMode="External"/><Relationship Id="rId12949" Type="http://schemas.openxmlformats.org/officeDocument/2006/relationships/hyperlink" Target="https://ref.ly/Ps22:22-Ps22:26" TargetMode="External"/><Relationship Id="rId12950" Type="http://schemas.openxmlformats.org/officeDocument/2006/relationships/hyperlink" Target="https://ref.ly/Ps66:13-Ps66:20" TargetMode="External"/><Relationship Id="rId12951" Type="http://schemas.openxmlformats.org/officeDocument/2006/relationships/hyperlink" Target="https://ref.ly/Ps116:17-Ps116:19" TargetMode="External"/><Relationship Id="rId12952" Type="http://schemas.openxmlformats.org/officeDocument/2006/relationships/hyperlink" Target="https://ref.ly/Ps103:1-Ps103:5,Ps103:22" TargetMode="External"/><Relationship Id="rId12953" Type="http://schemas.openxmlformats.org/officeDocument/2006/relationships/hyperlink" Target="https://ref.ly/Ps103:6-Ps103:14" TargetMode="External"/><Relationship Id="rId12954" Type="http://schemas.openxmlformats.org/officeDocument/2006/relationships/hyperlink" Target="https://ref.ly/Ps103:6-Ps103:7" TargetMode="External"/><Relationship Id="rId12955" Type="http://schemas.openxmlformats.org/officeDocument/2006/relationships/hyperlink" Target="https://ref.ly/Ps103:15-Ps103:18" TargetMode="External"/><Relationship Id="rId12956" Type="http://schemas.openxmlformats.org/officeDocument/2006/relationships/hyperlink" Target="https://ref.ly/Ps103:19" TargetMode="External"/><Relationship Id="rId12957" Type="http://schemas.openxmlformats.org/officeDocument/2006/relationships/hyperlink" Target="https://ref.ly/Ps103:19-Ps103:22" TargetMode="External"/><Relationship Id="rId12958" Type="http://schemas.openxmlformats.org/officeDocument/2006/relationships/hyperlink" Target="https://ref.ly/Ps113:1-Ps113:9" TargetMode="External"/><Relationship Id="rId12959" Type="http://schemas.openxmlformats.org/officeDocument/2006/relationships/hyperlink" Target="https://ref.ly/Ps124:1-Ps124:8" TargetMode="External"/><Relationship Id="rId12960" Type="http://schemas.openxmlformats.org/officeDocument/2006/relationships/hyperlink" Target="https://ref.ly/Ps66:8-Ps66:12" TargetMode="External"/><Relationship Id="rId12961" Type="http://schemas.openxmlformats.org/officeDocument/2006/relationships/hyperlink" Target="https://ref.ly/Ps46:1-Ps48:14" TargetMode="External"/><Relationship Id="rId12962" Type="http://schemas.openxmlformats.org/officeDocument/2006/relationships/hyperlink" Target="https://ref.ly/2Kgs18:17-2Kgs19:37" TargetMode="External"/><Relationship Id="rId12963" Type="http://schemas.openxmlformats.org/officeDocument/2006/relationships/hyperlink" Target="https://ref.ly/Ps29:9" TargetMode="External"/><Relationship Id="rId12964" Type="http://schemas.openxmlformats.org/officeDocument/2006/relationships/hyperlink" Target="https://ref.ly/Ps50:10-Ps50:12" TargetMode="External"/><Relationship Id="rId12965" Type="http://schemas.openxmlformats.org/officeDocument/2006/relationships/hyperlink" Target="https://ref.ly/Ps65:9-Ps65:13" TargetMode="External"/><Relationship Id="rId12966" Type="http://schemas.openxmlformats.org/officeDocument/2006/relationships/hyperlink" Target="https://ref.ly/Ps104:29-Ps104:30" TargetMode="External"/><Relationship Id="rId12967" Type="http://schemas.openxmlformats.org/officeDocument/2006/relationships/hyperlink" Target="https://ref.ly/Ps102:25-Ps102:27" TargetMode="External"/><Relationship Id="rId12968" Type="http://schemas.openxmlformats.org/officeDocument/2006/relationships/hyperlink" Target="https://ref.ly/Ps47:1-Ps47:9" TargetMode="External"/><Relationship Id="rId12969" Type="http://schemas.openxmlformats.org/officeDocument/2006/relationships/hyperlink" Target="https://ref.ly/Ps96:1-Ps99:9" TargetMode="External"/><Relationship Id="rId12970" Type="http://schemas.openxmlformats.org/officeDocument/2006/relationships/hyperlink" Target="https://ref.ly/Ps47:1-Ps47:5" TargetMode="External"/><Relationship Id="rId12971" Type="http://schemas.openxmlformats.org/officeDocument/2006/relationships/hyperlink" Target="https://ref.ly/Ps99:1-Ps99:2" TargetMode="External"/><Relationship Id="rId12972" Type="http://schemas.openxmlformats.org/officeDocument/2006/relationships/hyperlink" Target="https://ref.ly/Ps93:1" TargetMode="External"/><Relationship Id="rId12973" Type="http://schemas.openxmlformats.org/officeDocument/2006/relationships/hyperlink" Target="https://ref.ly/Ps97:1" TargetMode="External"/><Relationship Id="rId12974" Type="http://schemas.openxmlformats.org/officeDocument/2006/relationships/hyperlink" Target="https://ref.ly/Ps99:4-Ps99:5" TargetMode="External"/><Relationship Id="rId12975" Type="http://schemas.openxmlformats.org/officeDocument/2006/relationships/hyperlink" Target="https://ref.ly/Ps20:1-Ps20:9" TargetMode="External"/><Relationship Id="rId12976" Type="http://schemas.openxmlformats.org/officeDocument/2006/relationships/hyperlink" Target="https://ref.ly/Ps21:1-Ps21:13" TargetMode="External"/><Relationship Id="rId12977" Type="http://schemas.openxmlformats.org/officeDocument/2006/relationships/hyperlink" Target="https://ref.ly/Ps110:1-Ps110:7" TargetMode="External"/><Relationship Id="rId12978" Type="http://schemas.openxmlformats.org/officeDocument/2006/relationships/hyperlink" Target="https://ref.ly/Ps144:1-Ps144:15" TargetMode="External"/><Relationship Id="rId12979" Type="http://schemas.openxmlformats.org/officeDocument/2006/relationships/hyperlink" Target="https://ref.ly/Heb1:8-Heb1:9" TargetMode="External"/><Relationship Id="rId12980" Type="http://schemas.openxmlformats.org/officeDocument/2006/relationships/hyperlink" Target="https://ref.ly/Heb1:6,Heb1:10-Heb1:12" TargetMode="External"/><Relationship Id="rId12981" Type="http://schemas.openxmlformats.org/officeDocument/2006/relationships/hyperlink" Target="https://ref.ly/Matt22:43-Matt22:45" TargetMode="External"/><Relationship Id="rId12982" Type="http://schemas.openxmlformats.org/officeDocument/2006/relationships/hyperlink" Target="https://ref.ly/Acts2:34-Acts2:35" TargetMode="External"/><Relationship Id="rId12983" Type="http://schemas.openxmlformats.org/officeDocument/2006/relationships/hyperlink" Target="https://ref.ly/Heb5:5-Heb5:10" TargetMode="External"/><Relationship Id="rId12984" Type="http://schemas.openxmlformats.org/officeDocument/2006/relationships/hyperlink" Target="https://ref.ly/Heb7:21" TargetMode="External"/><Relationship Id="rId12985" Type="http://schemas.openxmlformats.org/officeDocument/2006/relationships/hyperlink" Target="https://ref.ly/1Cor15:27" TargetMode="External"/><Relationship Id="rId12986" Type="http://schemas.openxmlformats.org/officeDocument/2006/relationships/hyperlink" Target="https://ref.ly/Acts2:30" TargetMode="External"/><Relationship Id="rId12987" Type="http://schemas.openxmlformats.org/officeDocument/2006/relationships/hyperlink" Target="https://ref.ly/Isa42:1-Isa42:9" TargetMode="External"/><Relationship Id="rId12988" Type="http://schemas.openxmlformats.org/officeDocument/2006/relationships/hyperlink" Target="https://ref.ly/Isa52:13-Isa53:12" TargetMode="External"/><Relationship Id="rId12989" Type="http://schemas.openxmlformats.org/officeDocument/2006/relationships/hyperlink" Target="https://ref.ly/Ps22:6-Ps22:8,Ps22:14-Ps22:18" TargetMode="External"/><Relationship Id="rId12990" Type="http://schemas.openxmlformats.org/officeDocument/2006/relationships/hyperlink" Target="https://ref.ly/Luke23:34" TargetMode="External"/><Relationship Id="rId12991" Type="http://schemas.openxmlformats.org/officeDocument/2006/relationships/hyperlink" Target="https://ref.ly/Acts2:24-Acts2:31" TargetMode="External"/><Relationship Id="rId12992" Type="http://schemas.openxmlformats.org/officeDocument/2006/relationships/hyperlink" Target="https://ref.ly/Ps69:8-Ps69:9" TargetMode="External"/><Relationship Id="rId12993" Type="http://schemas.openxmlformats.org/officeDocument/2006/relationships/hyperlink" Target="https://ref.ly/Ps69:25-Ps69:26" TargetMode="External"/><Relationship Id="rId12994" Type="http://schemas.openxmlformats.org/officeDocument/2006/relationships/hyperlink" Target="https://ref.ly/Isa53:10" TargetMode="External"/><Relationship Id="rId12995" Type="http://schemas.openxmlformats.org/officeDocument/2006/relationships/hyperlink" Target="https://ref.ly/Ps78:68-Ps78:72" TargetMode="External"/><Relationship Id="rId12996" Type="http://schemas.openxmlformats.org/officeDocument/2006/relationships/hyperlink" Target="https://ref.ly/Ps132:11-Ps132:13" TargetMode="External"/><Relationship Id="rId12997" Type="http://schemas.openxmlformats.org/officeDocument/2006/relationships/hyperlink" Target="https://ref.ly/Ps48:11-Ps48:14" TargetMode="External"/><Relationship Id="rId12998" Type="http://schemas.openxmlformats.org/officeDocument/2006/relationships/hyperlink" Target="https://ref.ly/Ps87:1-Ps87:3" TargetMode="External"/><Relationship Id="rId12999" Type="http://schemas.openxmlformats.org/officeDocument/2006/relationships/hyperlink" Target="https://ref.ly/Ps87:1-Ps87:7" TargetMode="External"/><Relationship Id="rId13000" Type="http://schemas.openxmlformats.org/officeDocument/2006/relationships/hyperlink" Target="https://ref.ly/Ps122:1-Ps122:9" TargetMode="External"/><Relationship Id="rId13001" Type="http://schemas.openxmlformats.org/officeDocument/2006/relationships/hyperlink" Target="https://ref.ly/Ps102:16" TargetMode="External"/><Relationship Id="rId13002" Type="http://schemas.openxmlformats.org/officeDocument/2006/relationships/hyperlink" Target="https://ref.ly/Ps125:1" TargetMode="External"/><Relationship Id="rId13003" Type="http://schemas.openxmlformats.org/officeDocument/2006/relationships/hyperlink" Target="https://ref.ly/Ps126:1-Ps126:3" TargetMode="External"/><Relationship Id="rId13004" Type="http://schemas.openxmlformats.org/officeDocument/2006/relationships/hyperlink" Target="https://ref.ly/Ps133:3" TargetMode="External"/><Relationship Id="rId13005" Type="http://schemas.openxmlformats.org/officeDocument/2006/relationships/hyperlink" Target="https://ref.ly/Ps147:2" TargetMode="External"/><Relationship Id="rId13006" Type="http://schemas.openxmlformats.org/officeDocument/2006/relationships/hyperlink" Target="https://ref.ly/Judg20:23,Judg20:26" TargetMode="External"/><Relationship Id="rId13007" Type="http://schemas.openxmlformats.org/officeDocument/2006/relationships/hyperlink" Target="https://ref.ly/Jer14:1-Jer14:12" TargetMode="External"/><Relationship Id="rId13008" Type="http://schemas.openxmlformats.org/officeDocument/2006/relationships/hyperlink" Target="https://ref.ly/Jer36:9" TargetMode="External"/><Relationship Id="rId13009" Type="http://schemas.openxmlformats.org/officeDocument/2006/relationships/hyperlink" Target="https://ref.ly/Joel1:13-Joel1:14" TargetMode="External"/><Relationship Id="rId13010" Type="http://schemas.openxmlformats.org/officeDocument/2006/relationships/hyperlink" Target="https://ref.ly/Jonah3:5" TargetMode="External"/><Relationship Id="rId13011" Type="http://schemas.openxmlformats.org/officeDocument/2006/relationships/hyperlink" Target="https://ref.ly/Ps83:1-Ps83:18" TargetMode="External"/><Relationship Id="rId13012" Type="http://schemas.openxmlformats.org/officeDocument/2006/relationships/hyperlink" Target="https://ref.ly/Ps58:1-Ps58:11" TargetMode="External"/><Relationship Id="rId13013" Type="http://schemas.openxmlformats.org/officeDocument/2006/relationships/hyperlink" Target="https://ref.ly/Ps125:1-Ps125:5" TargetMode="External"/><Relationship Id="rId13014" Type="http://schemas.openxmlformats.org/officeDocument/2006/relationships/hyperlink" Target="https://ref.ly/Ps13:5-Ps13:6" TargetMode="External"/><Relationship Id="rId13015" Type="http://schemas.openxmlformats.org/officeDocument/2006/relationships/hyperlink" Target="https://ref.ly/Ps22:1-Ps22:21" TargetMode="External"/><Relationship Id="rId13016" Type="http://schemas.openxmlformats.org/officeDocument/2006/relationships/hyperlink" Target="https://ref.ly/Ps109:21" TargetMode="External"/><Relationship Id="rId13017" Type="http://schemas.openxmlformats.org/officeDocument/2006/relationships/hyperlink" Target="https://ref.ly/Ps74:10" TargetMode="External"/><Relationship Id="rId13018" Type="http://schemas.openxmlformats.org/officeDocument/2006/relationships/hyperlink" Target="https://ref.ly/Neh4:4-Neh4:5" TargetMode="External"/><Relationship Id="rId13019" Type="http://schemas.openxmlformats.org/officeDocument/2006/relationships/hyperlink" Target="https://ref.ly/Jer20:14-Jer20:18" TargetMode="External"/><Relationship Id="rId13020" Type="http://schemas.openxmlformats.org/officeDocument/2006/relationships/hyperlink" Target="https://ref.ly/Amos7:17" TargetMode="External"/><Relationship Id="rId13021" Type="http://schemas.openxmlformats.org/officeDocument/2006/relationships/hyperlink" Target="https://ref.ly/John13:34" TargetMode="External"/><Relationship Id="rId13022" Type="http://schemas.openxmlformats.org/officeDocument/2006/relationships/hyperlink" Target="https://ref.ly/John16:8-John16:11" TargetMode="External"/><Relationship Id="rId13023" Type="http://schemas.openxmlformats.org/officeDocument/2006/relationships/hyperlink" Target="https://ref.ly/Ps143:1-Ps143:12" TargetMode="External"/><Relationship Id="rId13024" Type="http://schemas.openxmlformats.org/officeDocument/2006/relationships/hyperlink" Target="https://ref.ly/Ps51:1,Ps51:16" TargetMode="External"/><Relationship Id="rId13025" Type="http://schemas.openxmlformats.org/officeDocument/2006/relationships/hyperlink" Target="https://ref.ly/Ps37:5,Ps37:8,Ps37:16,Ps37:21-Ps37:22" TargetMode="External"/><Relationship Id="rId13026" Type="http://schemas.openxmlformats.org/officeDocument/2006/relationships/hyperlink" Target="https://ref.ly/Ps133:1-Ps133:3" TargetMode="External"/><Relationship Id="rId13027" Type="http://schemas.openxmlformats.org/officeDocument/2006/relationships/hyperlink" Target="https://ref.ly/Ps78:1-Ps78:4" TargetMode="External"/><Relationship Id="rId13028" Type="http://schemas.openxmlformats.org/officeDocument/2006/relationships/hyperlink" Target="https://ref.ly/Ps27:1-Ps27:14" TargetMode="External"/><Relationship Id="rId13029" Type="http://schemas.openxmlformats.org/officeDocument/2006/relationships/hyperlink" Target="https://ref.ly/Ps11:1-Ps11:7" TargetMode="External"/><Relationship Id="rId13030" Type="http://schemas.openxmlformats.org/officeDocument/2006/relationships/hyperlink" Target="https://ref.ly/Ps62:1-Ps62:12" TargetMode="External"/><Relationship Id="rId13031" Type="http://schemas.openxmlformats.org/officeDocument/2006/relationships/hyperlink" Target="https://ref.ly/Ps131:1-Ps131:3" TargetMode="External"/><Relationship Id="rId13032" Type="http://schemas.openxmlformats.org/officeDocument/2006/relationships/hyperlink" Target="https://ref.ly/Acts28:7-Acts28:8" TargetMode="External"/><Relationship Id="rId13033" Type="http://schemas.openxmlformats.org/officeDocument/2006/relationships/hyperlink" Target="https://ref.ly/1Chr29:11-1Chr29:12" TargetMode="External"/><Relationship Id="rId13034" Type="http://schemas.openxmlformats.org/officeDocument/2006/relationships/hyperlink" Target="https://ref.ly/Ps44:2-Ps44:3" TargetMode="External"/><Relationship Id="rId13035" Type="http://schemas.openxmlformats.org/officeDocument/2006/relationships/hyperlink" Target="https://ref.ly/Ps65:6" TargetMode="External"/><Relationship Id="rId13036" Type="http://schemas.openxmlformats.org/officeDocument/2006/relationships/hyperlink" Target="https://ref.ly/Jer10:12" TargetMode="External"/><Relationship Id="rId13037" Type="http://schemas.openxmlformats.org/officeDocument/2006/relationships/hyperlink" Target="https://ref.ly/Jer27:5" TargetMode="External"/><Relationship Id="rId13038" Type="http://schemas.openxmlformats.org/officeDocument/2006/relationships/hyperlink" Target="https://ref.ly/Exod15:6" TargetMode="External"/><Relationship Id="rId13039" Type="http://schemas.openxmlformats.org/officeDocument/2006/relationships/hyperlink" Target="https://ref.ly/Deut26:8" TargetMode="External"/><Relationship Id="rId13040" Type="http://schemas.openxmlformats.org/officeDocument/2006/relationships/hyperlink" Target="https://ref.ly/Ps111:6" TargetMode="External"/><Relationship Id="rId13041" Type="http://schemas.openxmlformats.org/officeDocument/2006/relationships/hyperlink" Target="https://ref.ly/Eph1:19" TargetMode="External"/><Relationship Id="rId13042" Type="http://schemas.openxmlformats.org/officeDocument/2006/relationships/hyperlink" Target="https://ref.ly/Job39:11,Job39:19" TargetMode="External"/><Relationship Id="rId13043" Type="http://schemas.openxmlformats.org/officeDocument/2006/relationships/hyperlink" Target="https://ref.ly/Prov30:30" TargetMode="External"/><Relationship Id="rId13044" Type="http://schemas.openxmlformats.org/officeDocument/2006/relationships/hyperlink" Target="https://ref.ly/Judg16:5-Judg16:6" TargetMode="External"/><Relationship Id="rId13045" Type="http://schemas.openxmlformats.org/officeDocument/2006/relationships/hyperlink" Target="https://ref.ly/Judg6:12" TargetMode="External"/><Relationship Id="rId13046" Type="http://schemas.openxmlformats.org/officeDocument/2006/relationships/hyperlink" Target="https://ref.ly/Gen31:29" TargetMode="External"/><Relationship Id="rId13047" Type="http://schemas.openxmlformats.org/officeDocument/2006/relationships/hyperlink" Target="https://ref.ly/Prov3:27" TargetMode="External"/><Relationship Id="rId13048" Type="http://schemas.openxmlformats.org/officeDocument/2006/relationships/hyperlink" Target="https://ref.ly/Mic2:1" TargetMode="External"/><Relationship Id="rId13049" Type="http://schemas.openxmlformats.org/officeDocument/2006/relationships/hyperlink" Target="https://ref.ly/Job1:6-Job1:12" TargetMode="External"/><Relationship Id="rId13050" Type="http://schemas.openxmlformats.org/officeDocument/2006/relationships/hyperlink" Target="https://ref.ly/Job2:1-Job2:6" TargetMode="External"/><Relationship Id="rId13051" Type="http://schemas.openxmlformats.org/officeDocument/2006/relationships/hyperlink" Target="https://ref.ly/Rom3:9" TargetMode="External"/><Relationship Id="rId13052" Type="http://schemas.openxmlformats.org/officeDocument/2006/relationships/hyperlink" Target="https://ref.ly/Dan6:27" TargetMode="External"/><Relationship Id="rId13053" Type="http://schemas.openxmlformats.org/officeDocument/2006/relationships/hyperlink" Target="https://ref.ly/Luke10:19" TargetMode="External"/><Relationship Id="rId13054" Type="http://schemas.openxmlformats.org/officeDocument/2006/relationships/hyperlink" Target="https://ref.ly/John19:11" TargetMode="External"/><Relationship Id="rId13055" Type="http://schemas.openxmlformats.org/officeDocument/2006/relationships/hyperlink" Target="https://ref.ly/2Cor10:4" TargetMode="External"/><Relationship Id="rId13056" Type="http://schemas.openxmlformats.org/officeDocument/2006/relationships/hyperlink" Target="https://ref.ly/Eph6:10-Eph6:18" TargetMode="External"/><Relationship Id="rId13057" Type="http://schemas.openxmlformats.org/officeDocument/2006/relationships/hyperlink" Target="https://ref.ly/Matt11:20" TargetMode="External"/><Relationship Id="rId13058" Type="http://schemas.openxmlformats.org/officeDocument/2006/relationships/hyperlink" Target="https://ref.ly/Acts2:22" TargetMode="External"/><Relationship Id="rId13059" Type="http://schemas.openxmlformats.org/officeDocument/2006/relationships/hyperlink" Target="https://ref.ly/Luke4:36" TargetMode="External"/><Relationship Id="rId13060" Type="http://schemas.openxmlformats.org/officeDocument/2006/relationships/hyperlink" Target="https://ref.ly/Luke6:19" TargetMode="External"/><Relationship Id="rId13061" Type="http://schemas.openxmlformats.org/officeDocument/2006/relationships/hyperlink" Target="https://ref.ly/Acts10:38" TargetMode="External"/><Relationship Id="rId13062" Type="http://schemas.openxmlformats.org/officeDocument/2006/relationships/hyperlink" Target="https://ref.ly/John10:18" TargetMode="External"/><Relationship Id="rId13063" Type="http://schemas.openxmlformats.org/officeDocument/2006/relationships/hyperlink" Target="https://ref.ly/Isa40:29" TargetMode="External"/><Relationship Id="rId13064" Type="http://schemas.openxmlformats.org/officeDocument/2006/relationships/hyperlink" Target="https://ref.ly/Ps84:7" TargetMode="External"/><Relationship Id="rId13065" Type="http://schemas.openxmlformats.org/officeDocument/2006/relationships/hyperlink" Target="https://ref.ly/Ps68:35" TargetMode="External"/><Relationship Id="rId13066" Type="http://schemas.openxmlformats.org/officeDocument/2006/relationships/hyperlink" Target="https://ref.ly/Ps138:3" TargetMode="External"/><Relationship Id="rId13067" Type="http://schemas.openxmlformats.org/officeDocument/2006/relationships/hyperlink" Target="https://ref.ly/Ps21:1" TargetMode="External"/><Relationship Id="rId13068" Type="http://schemas.openxmlformats.org/officeDocument/2006/relationships/hyperlink" Target="https://ref.ly/Isa11:2" TargetMode="External"/><Relationship Id="rId13069" Type="http://schemas.openxmlformats.org/officeDocument/2006/relationships/hyperlink" Target="https://ref.ly/Mic5:4" TargetMode="External"/><Relationship Id="rId13070" Type="http://schemas.openxmlformats.org/officeDocument/2006/relationships/hyperlink" Target="https://ref.ly/Isa49:5" TargetMode="External"/><Relationship Id="rId13071" Type="http://schemas.openxmlformats.org/officeDocument/2006/relationships/hyperlink" Target="https://ref.ly/Eph3:16" TargetMode="External"/><Relationship Id="rId13072" Type="http://schemas.openxmlformats.org/officeDocument/2006/relationships/hyperlink" Target="https://ref.ly/2Tim1:8" TargetMode="External"/><Relationship Id="rId13073" Type="http://schemas.openxmlformats.org/officeDocument/2006/relationships/hyperlink" Target="https://ref.ly/Eph3:7" TargetMode="External"/><Relationship Id="rId13074" Type="http://schemas.openxmlformats.org/officeDocument/2006/relationships/hyperlink" Target="https://ref.ly/Jas5:16" TargetMode="External"/><Relationship Id="rId13075" Type="http://schemas.openxmlformats.org/officeDocument/2006/relationships/hyperlink" Target="https://ref.ly/Acts3:12" TargetMode="External"/><Relationship Id="rId13076" Type="http://schemas.openxmlformats.org/officeDocument/2006/relationships/hyperlink" Target="https://ref.ly/Prov25:26" TargetMode="External"/><Relationship Id="rId13077" Type="http://schemas.openxmlformats.org/officeDocument/2006/relationships/hyperlink" Target="https://ref.ly/Gen21:25-Gen21:30" TargetMode="External"/><Relationship Id="rId13078" Type="http://schemas.openxmlformats.org/officeDocument/2006/relationships/hyperlink" Target="https://ref.ly/Gen26:19-Gen26:22" TargetMode="External"/><Relationship Id="rId13079" Type="http://schemas.openxmlformats.org/officeDocument/2006/relationships/hyperlink" Target="https://ref.ly/2Kgs3:19" TargetMode="External"/><Relationship Id="rId13080" Type="http://schemas.openxmlformats.org/officeDocument/2006/relationships/hyperlink" Target="https://ref.ly/Gen29:2-Gen29:3" TargetMode="External"/><Relationship Id="rId13081" Type="http://schemas.openxmlformats.org/officeDocument/2006/relationships/hyperlink" Target="https://ref.ly/Gen21:19" TargetMode="External"/><Relationship Id="rId13082" Type="http://schemas.openxmlformats.org/officeDocument/2006/relationships/hyperlink" Target="https://ref.ly/Isa12:3" TargetMode="External"/><Relationship Id="rId13083" Type="http://schemas.openxmlformats.org/officeDocument/2006/relationships/hyperlink" Target="https://ref.ly/John4:10-John4:15" TargetMode="External"/><Relationship Id="rId13084" Type="http://schemas.openxmlformats.org/officeDocument/2006/relationships/hyperlink" Target="https://ref.ly/John4:5-John4:29" TargetMode="External"/><Relationship Id="rId13085" Type="http://schemas.openxmlformats.org/officeDocument/2006/relationships/hyperlink" Target="https://ref.ly/John4:5-John4:6" TargetMode="External"/><Relationship Id="rId13086" Type="http://schemas.openxmlformats.org/officeDocument/2006/relationships/hyperlink" Target="https://ref.ly/Deut27:12-Deut27:13" TargetMode="External"/><Relationship Id="rId13087" Type="http://schemas.openxmlformats.org/officeDocument/2006/relationships/hyperlink" Target="https://ref.ly/Josh8:30-Josh8:33" TargetMode="External"/><Relationship Id="rId13088" Type="http://schemas.openxmlformats.org/officeDocument/2006/relationships/hyperlink" Target="https://ref.ly/Esth9:26-Esth9:32" TargetMode="External"/><Relationship Id="rId13089" Type="http://schemas.openxmlformats.org/officeDocument/2006/relationships/hyperlink" Target="https://ref.ly/1Kgs14:25" TargetMode="External"/><Relationship Id="rId13090" Type="http://schemas.openxmlformats.org/officeDocument/2006/relationships/hyperlink" Target="https://ref.ly/2Chr12:2-2Chr12:9" TargetMode="External"/><Relationship Id="rId13091" Type="http://schemas.openxmlformats.org/officeDocument/2006/relationships/hyperlink" Target="https://ref.ly/John6:25" TargetMode="External"/><Relationship Id="rId13092" Type="http://schemas.openxmlformats.org/officeDocument/2006/relationships/hyperlink" Target="https://ref.ly/Mark10:51" TargetMode="External"/><Relationship Id="rId13093" Type="http://schemas.openxmlformats.org/officeDocument/2006/relationships/hyperlink" Target="https://ref.ly/Matt23:7-Matt23:8" TargetMode="External"/><Relationship Id="rId13094" Type="http://schemas.openxmlformats.org/officeDocument/2006/relationships/hyperlink" Target="https://ref.ly/Ezek27:22" TargetMode="External"/><Relationship Id="rId13095" Type="http://schemas.openxmlformats.org/officeDocument/2006/relationships/hyperlink" Target="https://ref.ly/Exod29:15" TargetMode="External"/><Relationship Id="rId13096" Type="http://schemas.openxmlformats.org/officeDocument/2006/relationships/hyperlink" Target="https://ref.ly/Josh6:4-Josh6:5" TargetMode="External"/><Relationship Id="rId13097" Type="http://schemas.openxmlformats.org/officeDocument/2006/relationships/hyperlink" Target="https://ref.ly/Gen24:1-Gen27:46" TargetMode="External"/><Relationship Id="rId13098" Type="http://schemas.openxmlformats.org/officeDocument/2006/relationships/hyperlink" Target="https://ref.ly/Rom9:10" TargetMode="External"/><Relationship Id="rId13099" Type="http://schemas.openxmlformats.org/officeDocument/2006/relationships/hyperlink" Target="https://ref.ly/Gen25:20-Gen25:27" TargetMode="External"/><Relationship Id="rId13100" Type="http://schemas.openxmlformats.org/officeDocument/2006/relationships/hyperlink" Target="https://ref.ly/Gen27:5-Gen27:17" TargetMode="External"/><Relationship Id="rId13101" Type="http://schemas.openxmlformats.org/officeDocument/2006/relationships/hyperlink" Target="https://ref.ly/Gen49:31" TargetMode="External"/><Relationship Id="rId13102" Type="http://schemas.openxmlformats.org/officeDocument/2006/relationships/hyperlink" Target="https://ref.ly/Exod21:8" TargetMode="External"/><Relationship Id="rId13103" Type="http://schemas.openxmlformats.org/officeDocument/2006/relationships/hyperlink" Target="https://ref.ly/Job6:23" TargetMode="External"/><Relationship Id="rId13104" Type="http://schemas.openxmlformats.org/officeDocument/2006/relationships/hyperlink" Target="https://ref.ly/Lev25:47-Lev25:49" TargetMode="External"/><Relationship Id="rId13105" Type="http://schemas.openxmlformats.org/officeDocument/2006/relationships/hyperlink" Target="https://ref.ly/Lev25:25-Lev25:28" TargetMode="External"/><Relationship Id="rId13106" Type="http://schemas.openxmlformats.org/officeDocument/2006/relationships/hyperlink" Target="https://ref.ly/Jer32:6-Jer32:9" TargetMode="External"/><Relationship Id="rId13107" Type="http://schemas.openxmlformats.org/officeDocument/2006/relationships/hyperlink" Target="https://ref.ly/Ruth3:13" TargetMode="External"/><Relationship Id="rId13108" Type="http://schemas.openxmlformats.org/officeDocument/2006/relationships/hyperlink" Target="https://ref.ly/Ruth4:1-Ruth4:6" TargetMode="External"/><Relationship Id="rId13109" Type="http://schemas.openxmlformats.org/officeDocument/2006/relationships/hyperlink" Target="https://ref.ly/Deut15:15" TargetMode="External"/><Relationship Id="rId13110" Type="http://schemas.openxmlformats.org/officeDocument/2006/relationships/hyperlink" Target="https://ref.ly/Isa29:22" TargetMode="External"/><Relationship Id="rId13111" Type="http://schemas.openxmlformats.org/officeDocument/2006/relationships/hyperlink" Target="https://ref.ly/Isa35:10" TargetMode="External"/><Relationship Id="rId13112" Type="http://schemas.openxmlformats.org/officeDocument/2006/relationships/hyperlink" Target="https://ref.ly/Isa43:1" TargetMode="External"/><Relationship Id="rId13113" Type="http://schemas.openxmlformats.org/officeDocument/2006/relationships/hyperlink" Target="https://ref.ly/Jer31:11" TargetMode="External"/><Relationship Id="rId13114" Type="http://schemas.openxmlformats.org/officeDocument/2006/relationships/hyperlink" Target="https://ref.ly/Isa52:3" TargetMode="External"/><Relationship Id="rId13115" Type="http://schemas.openxmlformats.org/officeDocument/2006/relationships/hyperlink" Target="https://ref.ly/Isa45:13" TargetMode="External"/><Relationship Id="rId13116" Type="http://schemas.openxmlformats.org/officeDocument/2006/relationships/hyperlink" Target="https://ref.ly/Isa9:1-Isa9:6" TargetMode="External"/><Relationship Id="rId13117" Type="http://schemas.openxmlformats.org/officeDocument/2006/relationships/hyperlink" Target="https://ref.ly/1Cor7:22-1Cor7:24" TargetMode="External"/><Relationship Id="rId13118" Type="http://schemas.openxmlformats.org/officeDocument/2006/relationships/hyperlink" Target="https://ref.ly/2Cor5:14-2Cor5:17" TargetMode="External"/><Relationship Id="rId13119" Type="http://schemas.openxmlformats.org/officeDocument/2006/relationships/hyperlink" Target="https://ref.ly/Gen26:22" TargetMode="External"/><Relationship Id="rId13120" Type="http://schemas.openxmlformats.org/officeDocument/2006/relationships/hyperlink" Target="https://ref.ly/Gen36:37" TargetMode="External"/><Relationship Id="rId13121" Type="http://schemas.openxmlformats.org/officeDocument/2006/relationships/hyperlink" Target="https://ref.ly/1Chr1:48" TargetMode="External"/><Relationship Id="rId13122" Type="http://schemas.openxmlformats.org/officeDocument/2006/relationships/hyperlink" Target="https://ref.ly/Gen11:18-Gen11:21" TargetMode="External"/><Relationship Id="rId13123" Type="http://schemas.openxmlformats.org/officeDocument/2006/relationships/hyperlink" Target="https://ref.ly/1Chr1:25" TargetMode="External"/><Relationship Id="rId13124" Type="http://schemas.openxmlformats.org/officeDocument/2006/relationships/hyperlink" Target="https://ref.ly/1Kgs10:1" TargetMode="External"/><Relationship Id="rId13125" Type="http://schemas.openxmlformats.org/officeDocument/2006/relationships/hyperlink" Target="https://ref.ly/Matt12:42" TargetMode="External"/><Relationship Id="rId13126" Type="http://schemas.openxmlformats.org/officeDocument/2006/relationships/hyperlink" Target="https://ref.ly/2Kgs11:3" TargetMode="External"/><Relationship Id="rId13127" Type="http://schemas.openxmlformats.org/officeDocument/2006/relationships/hyperlink" Target="https://ref.ly/1Kgs1:15-1Kgs1:31" TargetMode="External"/><Relationship Id="rId13128" Type="http://schemas.openxmlformats.org/officeDocument/2006/relationships/hyperlink" Target="https://ref.ly/1Kgs2:20" TargetMode="External"/><Relationship Id="rId13129" Type="http://schemas.openxmlformats.org/officeDocument/2006/relationships/hyperlink" Target="https://ref.ly/1Kgs15:2" TargetMode="External"/><Relationship Id="rId13130" Type="http://schemas.openxmlformats.org/officeDocument/2006/relationships/hyperlink" Target="https://ref.ly/Jer13:18" TargetMode="External"/><Relationship Id="rId13131" Type="http://schemas.openxmlformats.org/officeDocument/2006/relationships/hyperlink" Target="https://ref.ly/1Kgs8:19" TargetMode="External"/><Relationship Id="rId13132" Type="http://schemas.openxmlformats.org/officeDocument/2006/relationships/hyperlink" Target="https://ref.ly/Nah2:1" TargetMode="External"/><Relationship Id="rId13133" Type="http://schemas.openxmlformats.org/officeDocument/2006/relationships/hyperlink" Target="https://ref.ly/Exod12:11" TargetMode="External"/><Relationship Id="rId13134" Type="http://schemas.openxmlformats.org/officeDocument/2006/relationships/hyperlink" Target="https://ref.ly/1Kgs18:46" TargetMode="External"/><Relationship Id="rId13135" Type="http://schemas.openxmlformats.org/officeDocument/2006/relationships/hyperlink" Target="https://ref.ly/2Kgs9:1" TargetMode="External"/><Relationship Id="rId13136" Type="http://schemas.openxmlformats.org/officeDocument/2006/relationships/hyperlink" Target="https://ref.ly/Luke12:35" TargetMode="External"/><Relationship Id="rId13137" Type="http://schemas.openxmlformats.org/officeDocument/2006/relationships/hyperlink" Target="https://ref.ly/Eph6:14" TargetMode="External"/><Relationship Id="rId13138" Type="http://schemas.openxmlformats.org/officeDocument/2006/relationships/hyperlink" Target="https://ref.ly/Ruth2:14" TargetMode="External"/><Relationship Id="rId13139" Type="http://schemas.openxmlformats.org/officeDocument/2006/relationships/hyperlink" Target="https://ref.ly/John21:12" TargetMode="External"/><Relationship Id="rId13140" Type="http://schemas.openxmlformats.org/officeDocument/2006/relationships/hyperlink" Target="https://ref.ly/1Kgs13:20" TargetMode="External"/><Relationship Id="rId13141" Type="http://schemas.openxmlformats.org/officeDocument/2006/relationships/hyperlink" Target="https://ref.ly/1Sam9:22" TargetMode="External"/><Relationship Id="rId13142" Type="http://schemas.openxmlformats.org/officeDocument/2006/relationships/hyperlink" Target="https://ref.ly/Luke14:8" TargetMode="External"/><Relationship Id="rId13143" Type="http://schemas.openxmlformats.org/officeDocument/2006/relationships/hyperlink" Target="https://ref.ly/John2:1-John2:10" TargetMode="External"/><Relationship Id="rId13144" Type="http://schemas.openxmlformats.org/officeDocument/2006/relationships/hyperlink" Target="https://ref.ly/Luke19:6-Luke19:7" TargetMode="External"/><Relationship Id="rId13145" Type="http://schemas.openxmlformats.org/officeDocument/2006/relationships/hyperlink" Target="https://ref.ly/John12:2" TargetMode="External"/><Relationship Id="rId13146" Type="http://schemas.openxmlformats.org/officeDocument/2006/relationships/hyperlink" Target="https://ref.ly/Exod12:1-Exod12:51" TargetMode="External"/><Relationship Id="rId13147" Type="http://schemas.openxmlformats.org/officeDocument/2006/relationships/hyperlink" Target="https://ref.ly/Deut14:24-Deut14:26" TargetMode="External"/><Relationship Id="rId13148" Type="http://schemas.openxmlformats.org/officeDocument/2006/relationships/hyperlink" Target="https://ref.ly/Luke14:25" TargetMode="External"/><Relationship Id="rId13149" Type="http://schemas.openxmlformats.org/officeDocument/2006/relationships/hyperlink" Target="https://ref.ly/Rev19:9" TargetMode="External"/><Relationship Id="rId13150" Type="http://schemas.openxmlformats.org/officeDocument/2006/relationships/hyperlink" Target="https://ref.ly/Prov2:18" TargetMode="External"/><Relationship Id="rId13151" Type="http://schemas.openxmlformats.org/officeDocument/2006/relationships/hyperlink" Target="https://ref.ly/Prov21:16" TargetMode="External"/><Relationship Id="rId13152" Type="http://schemas.openxmlformats.org/officeDocument/2006/relationships/hyperlink" Target="https://ref.ly/Job26:5" TargetMode="External"/><Relationship Id="rId13153" Type="http://schemas.openxmlformats.org/officeDocument/2006/relationships/hyperlink" Target="https://ref.ly/Isa26:14" TargetMode="External"/><Relationship Id="rId13154" Type="http://schemas.openxmlformats.org/officeDocument/2006/relationships/hyperlink" Target="https://ref.ly/Isa14:9" TargetMode="External"/><Relationship Id="rId13155" Type="http://schemas.openxmlformats.org/officeDocument/2006/relationships/hyperlink" Target="https://ref.ly/Deut2:11,Deut2:20" TargetMode="External"/><Relationship Id="rId13156" Type="http://schemas.openxmlformats.org/officeDocument/2006/relationships/hyperlink" Target="https://ref.ly/2Sam21:1-2Sam21:22" TargetMode="External"/><Relationship Id="rId13157" Type="http://schemas.openxmlformats.org/officeDocument/2006/relationships/hyperlink" Target="https://ref.ly/1Chr20:1-1Chr20:8" TargetMode="External"/><Relationship Id="rId13158" Type="http://schemas.openxmlformats.org/officeDocument/2006/relationships/hyperlink" Target="https://ref.ly/Num14:26-Num14:35" TargetMode="External"/><Relationship Id="rId13159" Type="http://schemas.openxmlformats.org/officeDocument/2006/relationships/hyperlink" Target="https://ref.ly/Heb3:7-Heb3:8" TargetMode="External"/><Relationship Id="rId13160" Type="http://schemas.openxmlformats.org/officeDocument/2006/relationships/hyperlink" Target="https://ref.ly/Heb4:8-Heb4:9" TargetMode="External"/><Relationship Id="rId13161" Type="http://schemas.openxmlformats.org/officeDocument/2006/relationships/hyperlink" Target="https://ref.ly/Matt11:28" TargetMode="External"/><Relationship Id="rId13162" Type="http://schemas.openxmlformats.org/officeDocument/2006/relationships/hyperlink" Target="https://ref.ly/Rev14:13" TargetMode="External"/><Relationship Id="rId13163" Type="http://schemas.openxmlformats.org/officeDocument/2006/relationships/hyperlink" Target="https://ref.ly/2Cor5:1-2Cor5:21" TargetMode="External"/><Relationship Id="rId13164" Type="http://schemas.openxmlformats.org/officeDocument/2006/relationships/hyperlink" Target="https://ref.ly/Rev7:9-Rev7:17" TargetMode="External"/><Relationship Id="rId13165" Type="http://schemas.openxmlformats.org/officeDocument/2006/relationships/hyperlink" Target="https://ref.ly/Rev21:1-Rev21:7" TargetMode="External"/><Relationship Id="rId13166" Type="http://schemas.openxmlformats.org/officeDocument/2006/relationships/hyperlink" Target="https://ref.ly/John5:17" TargetMode="External"/><Relationship Id="rId13167" Type="http://schemas.openxmlformats.org/officeDocument/2006/relationships/hyperlink" Target="https://ref.ly/Rev4:8-Rev4:11" TargetMode="External"/><Relationship Id="rId13168" Type="http://schemas.openxmlformats.org/officeDocument/2006/relationships/hyperlink" Target="https://ref.ly/Rev5:8-Rev5:14" TargetMode="External"/><Relationship Id="rId13169" Type="http://schemas.openxmlformats.org/officeDocument/2006/relationships/hyperlink" Target="https://ref.ly/Rev7:9-Rev7:12" TargetMode="External"/><Relationship Id="rId13170" Type="http://schemas.openxmlformats.org/officeDocument/2006/relationships/hyperlink" Target="https://ref.ly/Heb4:11" TargetMode="External"/><Relationship Id="rId13171" Type="http://schemas.openxmlformats.org/officeDocument/2006/relationships/hyperlink" Target="https://ref.ly/Gen10:12" TargetMode="External"/><Relationship Id="rId13172" Type="http://schemas.openxmlformats.org/officeDocument/2006/relationships/hyperlink" Target="https://ref.ly/Gen3:15-Gen3:19" TargetMode="External"/><Relationship Id="rId13173" Type="http://schemas.openxmlformats.org/officeDocument/2006/relationships/hyperlink" Target="https://ref.ly/Gen3:16,Gen3:20" TargetMode="External"/><Relationship Id="rId13174" Type="http://schemas.openxmlformats.org/officeDocument/2006/relationships/hyperlink" Target="https://ref.ly/Gen7:23" TargetMode="External"/><Relationship Id="rId13175" Type="http://schemas.openxmlformats.org/officeDocument/2006/relationships/hyperlink" Target="https://ref.ly/Gen9:1" TargetMode="External"/><Relationship Id="rId13176" Type="http://schemas.openxmlformats.org/officeDocument/2006/relationships/hyperlink" Target="https://ref.ly/Gen18:16-Gen18:19" TargetMode="External"/><Relationship Id="rId13177" Type="http://schemas.openxmlformats.org/officeDocument/2006/relationships/hyperlink" Target="https://ref.ly/Gen19:29" TargetMode="External"/><Relationship Id="rId13178" Type="http://schemas.openxmlformats.org/officeDocument/2006/relationships/hyperlink" Target="https://ref.ly/2Pet2:8" TargetMode="External"/><Relationship Id="rId13179" Type="http://schemas.openxmlformats.org/officeDocument/2006/relationships/hyperlink" Target="https://ref.ly/Gen19:16,Gen19:29" TargetMode="External"/><Relationship Id="rId13180" Type="http://schemas.openxmlformats.org/officeDocument/2006/relationships/hyperlink" Target="https://ref.ly/Gen46:26-Gen46:27" TargetMode="External"/><Relationship Id="rId13181" Type="http://schemas.openxmlformats.org/officeDocument/2006/relationships/hyperlink" Target="https://ref.ly/Gen45:6-Gen45:7" TargetMode="External"/><Relationship Id="rId13182" Type="http://schemas.openxmlformats.org/officeDocument/2006/relationships/hyperlink" Target="https://ref.ly/Gen50:19-Gen50:20" TargetMode="External"/><Relationship Id="rId13183" Type="http://schemas.openxmlformats.org/officeDocument/2006/relationships/hyperlink" Target="https://ref.ly/Num13:1-Num14:45" TargetMode="External"/><Relationship Id="rId13184" Type="http://schemas.openxmlformats.org/officeDocument/2006/relationships/hyperlink" Target="https://ref.ly/Lev26:1-Lev26:39" TargetMode="External"/><Relationship Id="rId13185" Type="http://schemas.openxmlformats.org/officeDocument/2006/relationships/hyperlink" Target="https://ref.ly/1Kgs17:1" TargetMode="External"/><Relationship Id="rId13186" Type="http://schemas.openxmlformats.org/officeDocument/2006/relationships/hyperlink" Target="https://ref.ly/1Kgs18:1" TargetMode="External"/><Relationship Id="rId13187" Type="http://schemas.openxmlformats.org/officeDocument/2006/relationships/hyperlink" Target="https://ref.ly/1Kgs19:1-1Kgs19:21" TargetMode="External"/><Relationship Id="rId13188" Type="http://schemas.openxmlformats.org/officeDocument/2006/relationships/hyperlink" Target="https://ref.ly/Isa1:8-Isa1:9" TargetMode="External"/><Relationship Id="rId13189" Type="http://schemas.openxmlformats.org/officeDocument/2006/relationships/hyperlink" Target="https://ref.ly/Isa17:4-Isa17:6" TargetMode="External"/><Relationship Id="rId13190" Type="http://schemas.openxmlformats.org/officeDocument/2006/relationships/hyperlink" Target="https://ref.ly/Isa6:11-Isa6:13" TargetMode="External"/><Relationship Id="rId13191" Type="http://schemas.openxmlformats.org/officeDocument/2006/relationships/hyperlink" Target="https://ref.ly/Isa4:2-Isa4:3" TargetMode="External"/><Relationship Id="rId13192" Type="http://schemas.openxmlformats.org/officeDocument/2006/relationships/hyperlink" Target="https://ref.ly/Isa1:21-Isa1:26" TargetMode="External"/><Relationship Id="rId13193" Type="http://schemas.openxmlformats.org/officeDocument/2006/relationships/hyperlink" Target="https://ref.ly/Ezek9:1-Ezek9:11" TargetMode="External"/><Relationship Id="rId13194" Type="http://schemas.openxmlformats.org/officeDocument/2006/relationships/hyperlink" Target="https://ref.ly/Ezek11:13" TargetMode="External"/><Relationship Id="rId13195" Type="http://schemas.openxmlformats.org/officeDocument/2006/relationships/hyperlink" Target="https://ref.ly/Ezek14:11" TargetMode="External"/><Relationship Id="rId13196" Type="http://schemas.openxmlformats.org/officeDocument/2006/relationships/hyperlink" Target="https://ref.ly/Ezek16:60-Ezek16:62" TargetMode="External"/><Relationship Id="rId13197" Type="http://schemas.openxmlformats.org/officeDocument/2006/relationships/hyperlink" Target="https://ref.ly/Ezek20:35-Ezek20:38" TargetMode="External"/><Relationship Id="rId13198" Type="http://schemas.openxmlformats.org/officeDocument/2006/relationships/hyperlink" Target="https://ref.ly/Ezek34:20-Ezek34:24" TargetMode="External"/><Relationship Id="rId13199" Type="http://schemas.openxmlformats.org/officeDocument/2006/relationships/hyperlink" Target="https://ref.ly/Ezek36:24-Ezek36:27" TargetMode="External"/><Relationship Id="rId13200" Type="http://schemas.openxmlformats.org/officeDocument/2006/relationships/hyperlink" Target="https://ref.ly/Deut29:29" TargetMode="External"/><Relationship Id="rId13201" Type="http://schemas.openxmlformats.org/officeDocument/2006/relationships/hyperlink" Target="https://ref.ly/Ps10:11" TargetMode="External"/><Relationship Id="rId13202" Type="http://schemas.openxmlformats.org/officeDocument/2006/relationships/hyperlink" Target="https://ref.ly/Ps14:1,Ps14:19" TargetMode="External"/><Relationship Id="rId13203" Type="http://schemas.openxmlformats.org/officeDocument/2006/relationships/hyperlink" Target="https://ref.ly/Acts17:22-Acts17:29" TargetMode="External"/><Relationship Id="rId13204" Type="http://schemas.openxmlformats.org/officeDocument/2006/relationships/hyperlink" Target="https://ref.ly/Rom1:19-Rom1:21" TargetMode="External"/><Relationship Id="rId13205" Type="http://schemas.openxmlformats.org/officeDocument/2006/relationships/hyperlink" Target="https://ref.ly/2Pet1:16-2Pet1:21" TargetMode="External"/><Relationship Id="rId13206" Type="http://schemas.openxmlformats.org/officeDocument/2006/relationships/hyperlink" Target="https://ref.ly/Gal4:4-Gal4:5" TargetMode="External"/><Relationship Id="rId13207" Type="http://schemas.openxmlformats.org/officeDocument/2006/relationships/hyperlink" Target="https://ref.ly/John14:1-John14:31" TargetMode="External"/><Relationship Id="rId13208" Type="http://schemas.openxmlformats.org/officeDocument/2006/relationships/hyperlink" Target="https://ref.ly/John5:39" TargetMode="External"/><Relationship Id="rId13209" Type="http://schemas.openxmlformats.org/officeDocument/2006/relationships/hyperlink" Target="https://ref.ly/Acts10:43" TargetMode="External"/><Relationship Id="rId13210" Type="http://schemas.openxmlformats.org/officeDocument/2006/relationships/hyperlink" Target="https://ref.ly/Acts18:28" TargetMode="External"/><Relationship Id="rId13211" Type="http://schemas.openxmlformats.org/officeDocument/2006/relationships/hyperlink" Target="https://ref.ly/1Sam28:6,1Sam28:15" TargetMode="External"/><Relationship Id="rId13212" Type="http://schemas.openxmlformats.org/officeDocument/2006/relationships/hyperlink" Target="https://ref.ly/Gen41:7,Gen41:25,Gen41:28,Gen41:39" TargetMode="External"/><Relationship Id="rId13213" Type="http://schemas.openxmlformats.org/officeDocument/2006/relationships/hyperlink" Target="https://ref.ly/Dan2:27-Dan2:28" TargetMode="External"/><Relationship Id="rId13214" Type="http://schemas.openxmlformats.org/officeDocument/2006/relationships/hyperlink" Target="https://ref.ly/Job33:15" TargetMode="External"/><Relationship Id="rId13215" Type="http://schemas.openxmlformats.org/officeDocument/2006/relationships/hyperlink" Target="https://ref.ly/Job20:8" TargetMode="External"/><Relationship Id="rId13216" Type="http://schemas.openxmlformats.org/officeDocument/2006/relationships/hyperlink" Target="https://ref.ly/Ps73:20" TargetMode="External"/><Relationship Id="rId13217" Type="http://schemas.openxmlformats.org/officeDocument/2006/relationships/hyperlink" Target="https://ref.ly/Isa29:7-Isa29:8" TargetMode="External"/><Relationship Id="rId13218" Type="http://schemas.openxmlformats.org/officeDocument/2006/relationships/hyperlink" Target="https://ref.ly/Gen31:10-Gen31:13" TargetMode="External"/><Relationship Id="rId13219" Type="http://schemas.openxmlformats.org/officeDocument/2006/relationships/hyperlink" Target="https://ref.ly/Gen37:5-Gen37:20" TargetMode="External"/><Relationship Id="rId13220" Type="http://schemas.openxmlformats.org/officeDocument/2006/relationships/hyperlink" Target="https://ref.ly/Gen40:1-Gen41:57" TargetMode="External"/><Relationship Id="rId13221" Type="http://schemas.openxmlformats.org/officeDocument/2006/relationships/hyperlink" Target="https://ref.ly/Dan4:19-Dan4:27" TargetMode="External"/><Relationship Id="rId13222" Type="http://schemas.openxmlformats.org/officeDocument/2006/relationships/hyperlink" Target="https://ref.ly/Judg7:13-Judg7:15" TargetMode="External"/><Relationship Id="rId13223" Type="http://schemas.openxmlformats.org/officeDocument/2006/relationships/hyperlink" Target="https://ref.ly/1Kgs3:9,1Kgs3:15" TargetMode="External"/><Relationship Id="rId13224" Type="http://schemas.openxmlformats.org/officeDocument/2006/relationships/hyperlink" Target="https://ref.ly/Num12:6" TargetMode="External"/><Relationship Id="rId13225" Type="http://schemas.openxmlformats.org/officeDocument/2006/relationships/hyperlink" Target="https://ref.ly/Deut18:22" TargetMode="External"/><Relationship Id="rId13226" Type="http://schemas.openxmlformats.org/officeDocument/2006/relationships/hyperlink" Target="https://ref.ly/Deut13:1-Deut13:4" TargetMode="External"/><Relationship Id="rId13227" Type="http://schemas.openxmlformats.org/officeDocument/2006/relationships/hyperlink" Target="https://ref.ly/Deut13:5" TargetMode="External"/><Relationship Id="rId13228" Type="http://schemas.openxmlformats.org/officeDocument/2006/relationships/hyperlink" Target="https://ref.ly/Jer23:25-Jer23:32" TargetMode="External"/><Relationship Id="rId13229" Type="http://schemas.openxmlformats.org/officeDocument/2006/relationships/hyperlink" Target="https://ref.ly/Zech10:2" TargetMode="External"/><Relationship Id="rId13230" Type="http://schemas.openxmlformats.org/officeDocument/2006/relationships/hyperlink" Target="https://ref.ly/Jer23:32" TargetMode="External"/><Relationship Id="rId13231" Type="http://schemas.openxmlformats.org/officeDocument/2006/relationships/hyperlink" Target="https://ref.ly/Jer27:9-Jer27:10" TargetMode="External"/><Relationship Id="rId13232" Type="http://schemas.openxmlformats.org/officeDocument/2006/relationships/hyperlink" Target="https://ref.ly/Jer29:8-Jer29:9" TargetMode="External"/><Relationship Id="rId13233" Type="http://schemas.openxmlformats.org/officeDocument/2006/relationships/hyperlink" Target="https://ref.ly/Matt1:19-Matt1:23" TargetMode="External"/><Relationship Id="rId13234" Type="http://schemas.openxmlformats.org/officeDocument/2006/relationships/hyperlink" Target="https://ref.ly/Matt2:12" TargetMode="External"/><Relationship Id="rId13235" Type="http://schemas.openxmlformats.org/officeDocument/2006/relationships/hyperlink" Target="https://ref.ly/Matt2:20" TargetMode="External"/><Relationship Id="rId13236" Type="http://schemas.openxmlformats.org/officeDocument/2006/relationships/hyperlink" Target="https://ref.ly/Acts12:13-Acts12:15" TargetMode="External"/><Relationship Id="rId13237" Type="http://schemas.openxmlformats.org/officeDocument/2006/relationships/hyperlink" Target="https://ref.ly/Deut8:18" TargetMode="External"/><Relationship Id="rId13238" Type="http://schemas.openxmlformats.org/officeDocument/2006/relationships/hyperlink" Target="https://ref.ly/Job1:1-Job1:3" TargetMode="External"/><Relationship Id="rId13239" Type="http://schemas.openxmlformats.org/officeDocument/2006/relationships/hyperlink" Target="https://ref.ly/1Kgs3:10-1Kgs3:13" TargetMode="External"/><Relationship Id="rId13240" Type="http://schemas.openxmlformats.org/officeDocument/2006/relationships/hyperlink" Target="https://ref.ly/2Chr1:11-2Chr1:12" TargetMode="External"/><Relationship Id="rId13241" Type="http://schemas.openxmlformats.org/officeDocument/2006/relationships/hyperlink" Target="https://ref.ly/Luke6:24" TargetMode="External"/><Relationship Id="rId13242" Type="http://schemas.openxmlformats.org/officeDocument/2006/relationships/hyperlink" Target="https://ref.ly/Mark4:19" TargetMode="External"/><Relationship Id="rId13243" Type="http://schemas.openxmlformats.org/officeDocument/2006/relationships/hyperlink" Target="https://ref.ly/Luke8:14" TargetMode="External"/><Relationship Id="rId13244" Type="http://schemas.openxmlformats.org/officeDocument/2006/relationships/hyperlink" Target="https://ref.ly/Job8:21" TargetMode="External"/><Relationship Id="rId13245" Type="http://schemas.openxmlformats.org/officeDocument/2006/relationships/hyperlink" Target="https://ref.ly/Eccl3:4" TargetMode="External"/><Relationship Id="rId13246" Type="http://schemas.openxmlformats.org/officeDocument/2006/relationships/hyperlink" Target="https://ref.ly/Eccl2:2" TargetMode="External"/><Relationship Id="rId13247" Type="http://schemas.openxmlformats.org/officeDocument/2006/relationships/hyperlink" Target="https://ref.ly/Eccl7:3" TargetMode="External"/><Relationship Id="rId13248" Type="http://schemas.openxmlformats.org/officeDocument/2006/relationships/hyperlink" Target="https://ref.ly/Prov31:25" TargetMode="External"/><Relationship Id="rId13249" Type="http://schemas.openxmlformats.org/officeDocument/2006/relationships/hyperlink" Target="https://ref.ly/Job5:22" TargetMode="External"/><Relationship Id="rId13250" Type="http://schemas.openxmlformats.org/officeDocument/2006/relationships/hyperlink" Target="https://ref.ly/Hab1:9" TargetMode="External"/><Relationship Id="rId13251" Type="http://schemas.openxmlformats.org/officeDocument/2006/relationships/hyperlink" Target="https://ref.ly/Job12:4" TargetMode="External"/><Relationship Id="rId13252" Type="http://schemas.openxmlformats.org/officeDocument/2006/relationships/hyperlink" Target="https://ref.ly/Jer20:7" TargetMode="External"/><Relationship Id="rId13253" Type="http://schemas.openxmlformats.org/officeDocument/2006/relationships/hyperlink" Target="https://ref.ly/Ps80:6" TargetMode="External"/><Relationship Id="rId13254" Type="http://schemas.openxmlformats.org/officeDocument/2006/relationships/hyperlink" Target="https://ref.ly/2Chr30:10" TargetMode="External"/><Relationship Id="rId13255" Type="http://schemas.openxmlformats.org/officeDocument/2006/relationships/hyperlink" Target="https://ref.ly/Ps52:6" TargetMode="External"/><Relationship Id="rId13256" Type="http://schemas.openxmlformats.org/officeDocument/2006/relationships/hyperlink" Target="https://ref.ly/Prov1:26" TargetMode="External"/><Relationship Id="rId13257" Type="http://schemas.openxmlformats.org/officeDocument/2006/relationships/hyperlink" Target="https://ref.ly/Ps37:13" TargetMode="External"/><Relationship Id="rId13258" Type="http://schemas.openxmlformats.org/officeDocument/2006/relationships/hyperlink" Target="https://ref.ly/Ps59:8" TargetMode="External"/><Relationship Id="rId13259" Type="http://schemas.openxmlformats.org/officeDocument/2006/relationships/hyperlink" Target="https://ref.ly/Josh12:9-Josh12:24" TargetMode="External"/><Relationship Id="rId13260" Type="http://schemas.openxmlformats.org/officeDocument/2006/relationships/hyperlink" Target="https://ref.ly/1Sam16:13" TargetMode="External"/><Relationship Id="rId13261" Type="http://schemas.openxmlformats.org/officeDocument/2006/relationships/hyperlink" Target="https://ref.ly/1Tim6:15" TargetMode="External"/><Relationship Id="rId13262" Type="http://schemas.openxmlformats.org/officeDocument/2006/relationships/hyperlink" Target="https://ref.ly/Ezek26:7" TargetMode="External"/><Relationship Id="rId13263" Type="http://schemas.openxmlformats.org/officeDocument/2006/relationships/hyperlink" Target="https://ref.ly/2Kgs18:28" TargetMode="External"/><Relationship Id="rId13264" Type="http://schemas.openxmlformats.org/officeDocument/2006/relationships/hyperlink" Target="https://ref.ly/Gen17:6" TargetMode="External"/><Relationship Id="rId13265" Type="http://schemas.openxmlformats.org/officeDocument/2006/relationships/hyperlink" Target="https://ref.ly/Gen17:9" TargetMode="External"/><Relationship Id="rId13266" Type="http://schemas.openxmlformats.org/officeDocument/2006/relationships/hyperlink" Target="https://ref.ly/Exod18:19-Exod18:26" TargetMode="External"/><Relationship Id="rId13267" Type="http://schemas.openxmlformats.org/officeDocument/2006/relationships/hyperlink" Target="https://ref.ly/Num11:24-Num11:25" TargetMode="External"/><Relationship Id="rId13268" Type="http://schemas.openxmlformats.org/officeDocument/2006/relationships/hyperlink" Target="https://ref.ly/Deut1:15-Deut1:18" TargetMode="External"/><Relationship Id="rId13269" Type="http://schemas.openxmlformats.org/officeDocument/2006/relationships/hyperlink" Target="https://ref.ly/Josh3:7" TargetMode="External"/><Relationship Id="rId13270" Type="http://schemas.openxmlformats.org/officeDocument/2006/relationships/hyperlink" Target="https://ref.ly/1Sam3:20-1Sam3:21" TargetMode="External"/><Relationship Id="rId13271" Type="http://schemas.openxmlformats.org/officeDocument/2006/relationships/hyperlink" Target="https://ref.ly/1Sam7:15" TargetMode="External"/><Relationship Id="rId13272" Type="http://schemas.openxmlformats.org/officeDocument/2006/relationships/hyperlink" Target="https://ref.ly/1Sam8:5" TargetMode="External"/><Relationship Id="rId13273" Type="http://schemas.openxmlformats.org/officeDocument/2006/relationships/hyperlink" Target="https://ref.ly/1Sam8:20" TargetMode="External"/><Relationship Id="rId13274" Type="http://schemas.openxmlformats.org/officeDocument/2006/relationships/hyperlink" Target="https://ref.ly/2Sam12:1-2Sam12:31" TargetMode="External"/><Relationship Id="rId13275" Type="http://schemas.openxmlformats.org/officeDocument/2006/relationships/hyperlink" Target="https://ref.ly/1Kgs3:1-1Kgs3:28" TargetMode="External"/><Relationship Id="rId13276" Type="http://schemas.openxmlformats.org/officeDocument/2006/relationships/hyperlink" Target="https://ref.ly/2Sam7:14-2Sam7:16" TargetMode="External"/><Relationship Id="rId13277" Type="http://schemas.openxmlformats.org/officeDocument/2006/relationships/hyperlink" Target="https://ref.ly/Ps2:6-Ps2:7" TargetMode="External"/><Relationship Id="rId13278" Type="http://schemas.openxmlformats.org/officeDocument/2006/relationships/hyperlink" Target="https://ref.ly/Isa9:2-Isa9:7" TargetMode="External"/><Relationship Id="rId13279" Type="http://schemas.openxmlformats.org/officeDocument/2006/relationships/hyperlink" Target="https://ref.ly/Jer33:14-Jer33:16" TargetMode="External"/><Relationship Id="rId13280" Type="http://schemas.openxmlformats.org/officeDocument/2006/relationships/hyperlink" Target="https://ref.ly/Ezek34:22-Ezek34:31" TargetMode="External"/><Relationship Id="rId13281" Type="http://schemas.openxmlformats.org/officeDocument/2006/relationships/hyperlink" Target="https://ref.ly/Mic5:2-Mic5:5" TargetMode="External"/><Relationship Id="rId13282" Type="http://schemas.openxmlformats.org/officeDocument/2006/relationships/hyperlink" Target="https://ref.ly/Luke1:77-Luke1:79" TargetMode="External"/><Relationship Id="rId13283" Type="http://schemas.openxmlformats.org/officeDocument/2006/relationships/hyperlink" Target="https://ref.ly/Rom10:9-Rom10:15" TargetMode="External"/><Relationship Id="rId13284" Type="http://schemas.openxmlformats.org/officeDocument/2006/relationships/hyperlink" Target="https://ref.ly/Rev1:12-Rev1:16" TargetMode="External"/><Relationship Id="rId13285" Type="http://schemas.openxmlformats.org/officeDocument/2006/relationships/hyperlink" Target="https://ref.ly/Rev19:11-Rev19:21" TargetMode="External"/><Relationship Id="rId13286" Type="http://schemas.openxmlformats.org/officeDocument/2006/relationships/hyperlink" Target="https://ref.ly/John17:20-John17:26" TargetMode="External"/><Relationship Id="rId13287" Type="http://schemas.openxmlformats.org/officeDocument/2006/relationships/hyperlink" Target="https://ref.ly/Matt25:33-Matt25:40" TargetMode="External"/><Relationship Id="rId13288" Type="http://schemas.openxmlformats.org/officeDocument/2006/relationships/hyperlink" Target="https://ref.ly/1Tim6:13-1Tim6:16" TargetMode="External"/><Relationship Id="rId13289" Type="http://schemas.openxmlformats.org/officeDocument/2006/relationships/hyperlink" Target="https://ref.ly/Rev4:2,Rev4:9-Rev4:11" TargetMode="External"/><Relationship Id="rId13290" Type="http://schemas.openxmlformats.org/officeDocument/2006/relationships/hyperlink" Target="https://ref.ly/Rev5:1,Rev5:9-Rev5:13" TargetMode="External"/><Relationship Id="rId13291" Type="http://schemas.openxmlformats.org/officeDocument/2006/relationships/hyperlink" Target="https://ref.ly/1Cor15:25-1Cor15:28" TargetMode="External"/><Relationship Id="rId13292" Type="http://schemas.openxmlformats.org/officeDocument/2006/relationships/hyperlink" Target="https://ref.ly/1Cor15:24" TargetMode="External"/><Relationship Id="rId13293" Type="http://schemas.openxmlformats.org/officeDocument/2006/relationships/hyperlink" Target="https://ref.ly/Acts23:11" TargetMode="External"/><Relationship Id="rId13294" Type="http://schemas.openxmlformats.org/officeDocument/2006/relationships/hyperlink" Target="https://ref.ly/Acts28:14,Acts28:16" TargetMode="External"/><Relationship Id="rId13295" Type="http://schemas.openxmlformats.org/officeDocument/2006/relationships/hyperlink" Target="https://ref.ly/Rom1:7,Rom1:15" TargetMode="External"/><Relationship Id="rId13296" Type="http://schemas.openxmlformats.org/officeDocument/2006/relationships/hyperlink" Target="https://ref.ly/2Tim1:17" TargetMode="External"/><Relationship Id="rId13297" Type="http://schemas.openxmlformats.org/officeDocument/2006/relationships/hyperlink" Target="https://ref.ly/2Tim4:16-2Tim4:17" TargetMode="External"/><Relationship Id="rId13298" Type="http://schemas.openxmlformats.org/officeDocument/2006/relationships/hyperlink" Target="https://ref.ly/Mark15:16" TargetMode="External"/><Relationship Id="rId13299" Type="http://schemas.openxmlformats.org/officeDocument/2006/relationships/hyperlink" Target="https://ref.ly/Luke3:14" TargetMode="External"/><Relationship Id="rId13300" Type="http://schemas.openxmlformats.org/officeDocument/2006/relationships/hyperlink" Target="https://ref.ly/Luke7:1-Luke7:8" TargetMode="External"/><Relationship Id="rId13301" Type="http://schemas.openxmlformats.org/officeDocument/2006/relationships/hyperlink" Target="https://ref.ly/Acts21:31-Acts21:33" TargetMode="External"/><Relationship Id="rId13302" Type="http://schemas.openxmlformats.org/officeDocument/2006/relationships/hyperlink" Target="https://ref.ly/Acts23:23" TargetMode="External"/><Relationship Id="rId13303" Type="http://schemas.openxmlformats.org/officeDocument/2006/relationships/hyperlink" Target="https://ref.ly/Matt8:5" TargetMode="External"/><Relationship Id="rId13304" Type="http://schemas.openxmlformats.org/officeDocument/2006/relationships/hyperlink" Target="https://ref.ly/Mark15:39" TargetMode="External"/><Relationship Id="rId13305" Type="http://schemas.openxmlformats.org/officeDocument/2006/relationships/hyperlink" Target="https://ref.ly/Rom15:24" TargetMode="External"/><Relationship Id="rId13306" Type="http://schemas.openxmlformats.org/officeDocument/2006/relationships/hyperlink" Target="https://ref.ly/Rom16:5,Rom16:10,Rom16:11,Rom16:14,Rom16:15" TargetMode="External"/><Relationship Id="rId13307" Type="http://schemas.openxmlformats.org/officeDocument/2006/relationships/hyperlink" Target="https://ref.ly/Rev17:6" TargetMode="External"/><Relationship Id="rId13308" Type="http://schemas.openxmlformats.org/officeDocument/2006/relationships/hyperlink" Target="https://ref.ly/Hag1:10" TargetMode="External"/><Relationship Id="rId13309" Type="http://schemas.openxmlformats.org/officeDocument/2006/relationships/hyperlink" Target="https://ref.ly/Exod16:13-Exod16:21" TargetMode="External"/><Relationship Id="rId13310" Type="http://schemas.openxmlformats.org/officeDocument/2006/relationships/hyperlink" Target="https://ref.ly/Num11:9" TargetMode="External"/><Relationship Id="rId13311" Type="http://schemas.openxmlformats.org/officeDocument/2006/relationships/hyperlink" Target="https://ref.ly/Gen27:28" TargetMode="External"/><Relationship Id="rId13312" Type="http://schemas.openxmlformats.org/officeDocument/2006/relationships/hyperlink" Target="https://ref.ly/Mic5:7" TargetMode="External"/><Relationship Id="rId13313" Type="http://schemas.openxmlformats.org/officeDocument/2006/relationships/hyperlink" Target="https://ref.ly/Hos14:5" TargetMode="External"/><Relationship Id="rId13314" Type="http://schemas.openxmlformats.org/officeDocument/2006/relationships/hyperlink" Target="https://ref.ly/Prov19:12" TargetMode="External"/><Relationship Id="rId13315" Type="http://schemas.openxmlformats.org/officeDocument/2006/relationships/hyperlink" Target="https://ref.ly/2Sam17:12" TargetMode="External"/><Relationship Id="rId13316" Type="http://schemas.openxmlformats.org/officeDocument/2006/relationships/hyperlink" Target="https://ref.ly/Hos6:4" TargetMode="External"/><Relationship Id="rId13317" Type="http://schemas.openxmlformats.org/officeDocument/2006/relationships/hyperlink" Target="https://ref.ly/Ps110:3" TargetMode="External"/><Relationship Id="rId13318" Type="http://schemas.openxmlformats.org/officeDocument/2006/relationships/hyperlink" Target="https://ref.ly/Num20:19" TargetMode="External"/><Relationship Id="rId13319" Type="http://schemas.openxmlformats.org/officeDocument/2006/relationships/hyperlink" Target="https://ref.ly/Num21:33" TargetMode="External"/><Relationship Id="rId13320" Type="http://schemas.openxmlformats.org/officeDocument/2006/relationships/hyperlink" Target="https://ref.ly/Deut3:1" TargetMode="External"/><Relationship Id="rId13321" Type="http://schemas.openxmlformats.org/officeDocument/2006/relationships/hyperlink" Target="https://ref.ly/Rom16:13" TargetMode="External"/><Relationship Id="rId13322" Type="http://schemas.openxmlformats.org/officeDocument/2006/relationships/hyperlink" Target="https://ref.ly/1Sam22:3-1Sam22:5" TargetMode="External"/><Relationship Id="rId13323" Type="http://schemas.openxmlformats.org/officeDocument/2006/relationships/hyperlink" Target="https://ref.ly/Ruth1:1-Ruth1:5" TargetMode="External"/><Relationship Id="rId13324" Type="http://schemas.openxmlformats.org/officeDocument/2006/relationships/hyperlink" Target="https://ref.ly/Ruth1:6-Ruth1:22" TargetMode="External"/><Relationship Id="rId13325" Type="http://schemas.openxmlformats.org/officeDocument/2006/relationships/hyperlink" Target="https://ref.ly/Ruth1:14" TargetMode="External"/><Relationship Id="rId13326" Type="http://schemas.openxmlformats.org/officeDocument/2006/relationships/hyperlink" Target="https://ref.ly/Ruth1:16-Ruth1:17" TargetMode="External"/><Relationship Id="rId13327" Type="http://schemas.openxmlformats.org/officeDocument/2006/relationships/hyperlink" Target="https://ref.ly/Ruth2:1-Ruth2:23" TargetMode="External"/><Relationship Id="rId13328" Type="http://schemas.openxmlformats.org/officeDocument/2006/relationships/hyperlink" Target="https://ref.ly/Ruth2:12" TargetMode="External"/><Relationship Id="rId13329" Type="http://schemas.openxmlformats.org/officeDocument/2006/relationships/hyperlink" Target="https://ref.ly/Ruth3:1-Ruth3:18" TargetMode="External"/><Relationship Id="rId13330" Type="http://schemas.openxmlformats.org/officeDocument/2006/relationships/hyperlink" Target="https://ref.ly/Ruth3:12" TargetMode="External"/><Relationship Id="rId13331" Type="http://schemas.openxmlformats.org/officeDocument/2006/relationships/hyperlink" Target="https://ref.ly/Deut25:5-Deut25:19" TargetMode="External"/><Relationship Id="rId13332" Type="http://schemas.openxmlformats.org/officeDocument/2006/relationships/hyperlink" Target="https://ref.ly/Ruth4:1-Ruth4:22" TargetMode="External"/><Relationship Id="rId13333" Type="http://schemas.openxmlformats.org/officeDocument/2006/relationships/hyperlink" Target="https://ref.ly/Ruth4:5" TargetMode="External"/><Relationship Id="rId13334" Type="http://schemas.openxmlformats.org/officeDocument/2006/relationships/hyperlink" Target="https://ref.ly/Matt1:1-Matt1:25" TargetMode="External"/><Relationship Id="rId13335" Type="http://schemas.openxmlformats.org/officeDocument/2006/relationships/hyperlink" Target="https://ref.ly/Ruth4:15" TargetMode="External"/><Relationship Id="rId13336" Type="http://schemas.openxmlformats.org/officeDocument/2006/relationships/hyperlink" Target="https://ref.ly/Isa43:3" TargetMode="External"/><Relationship Id="rId13337" Type="http://schemas.openxmlformats.org/officeDocument/2006/relationships/hyperlink" Target="https://ref.ly/Num3:10" TargetMode="External"/><Relationship Id="rId13338" Type="http://schemas.openxmlformats.org/officeDocument/2006/relationships/hyperlink" Target="https://ref.ly/Lev13:1-Lev15:33" TargetMode="External"/><Relationship Id="rId13339" Type="http://schemas.openxmlformats.org/officeDocument/2006/relationships/hyperlink" Target="https://ref.ly/Acts4:1,Acts4:6" TargetMode="External"/><Relationship Id="rId13340" Type="http://schemas.openxmlformats.org/officeDocument/2006/relationships/hyperlink" Target="https://ref.ly/Heb5:4-Heb5:6" TargetMode="External"/><Relationship Id="rId13341" Type="http://schemas.openxmlformats.org/officeDocument/2006/relationships/hyperlink" Target="https://ref.ly/Heb10:10-Heb10:19" TargetMode="External"/><Relationship Id="rId13342" Type="http://schemas.openxmlformats.org/officeDocument/2006/relationships/hyperlink" Target="https://ref.ly/Heb7:17" TargetMode="External"/><Relationship Id="rId13343" Type="http://schemas.openxmlformats.org/officeDocument/2006/relationships/hyperlink" Target="https://ref.ly/Heb7:22" TargetMode="External"/><Relationship Id="rId13344" Type="http://schemas.openxmlformats.org/officeDocument/2006/relationships/hyperlink" Target="https://ref.ly/2Cor5:18-2Cor5:20" TargetMode="External"/><Relationship Id="rId13345" Type="http://schemas.openxmlformats.org/officeDocument/2006/relationships/hyperlink" Target="https://ref.ly/Rev1:6" TargetMode="External"/><Relationship Id="rId13346" Type="http://schemas.openxmlformats.org/officeDocument/2006/relationships/hyperlink" Target="https://ref.ly/Rev5:10" TargetMode="External"/><Relationship Id="rId13347" Type="http://schemas.openxmlformats.org/officeDocument/2006/relationships/hyperlink" Target="https://ref.ly/Deut18:1-Deut18:8" TargetMode="External"/><Relationship Id="rId13348" Type="http://schemas.openxmlformats.org/officeDocument/2006/relationships/hyperlink" Target="https://ref.ly/Lev16:1-Lev16:19" TargetMode="External"/><Relationship Id="rId13349" Type="http://schemas.openxmlformats.org/officeDocument/2006/relationships/hyperlink" Target="https://ref.ly/Exod28:15" TargetMode="External"/><Relationship Id="rId13350" Type="http://schemas.openxmlformats.org/officeDocument/2006/relationships/hyperlink" Target="https://ref.ly/Exod28:12" TargetMode="External"/><Relationship Id="rId13351" Type="http://schemas.openxmlformats.org/officeDocument/2006/relationships/hyperlink" Target="https://ref.ly/Lev21:7" TargetMode="External"/><Relationship Id="rId13352" Type="http://schemas.openxmlformats.org/officeDocument/2006/relationships/hyperlink" Target="https://ref.ly/Lev21:16-Lev21:23" TargetMode="External"/><Relationship Id="rId13353" Type="http://schemas.openxmlformats.org/officeDocument/2006/relationships/hyperlink" Target="https://ref.ly/Num4:16" TargetMode="External"/><Relationship Id="rId13354" Type="http://schemas.openxmlformats.org/officeDocument/2006/relationships/hyperlink" Target="https://ref.ly/Num26:1-Num26:2" TargetMode="External"/><Relationship Id="rId13355" Type="http://schemas.openxmlformats.org/officeDocument/2006/relationships/hyperlink" Target="https://ref.ly/Num32:2" TargetMode="External"/><Relationship Id="rId13356" Type="http://schemas.openxmlformats.org/officeDocument/2006/relationships/hyperlink" Target="https://ref.ly/Exod38:21" TargetMode="External"/><Relationship Id="rId13357" Type="http://schemas.openxmlformats.org/officeDocument/2006/relationships/hyperlink" Target="https://ref.ly/Num4:28-Num4:33" TargetMode="External"/><Relationship Id="rId13358" Type="http://schemas.openxmlformats.org/officeDocument/2006/relationships/hyperlink" Target="https://ref.ly/Lev10:8-Lev10:9" TargetMode="External"/><Relationship Id="rId13359" Type="http://schemas.openxmlformats.org/officeDocument/2006/relationships/hyperlink" Target="https://ref.ly/Num8:24-Num8:26" TargetMode="External"/><Relationship Id="rId13360" Type="http://schemas.openxmlformats.org/officeDocument/2006/relationships/hyperlink" Target="https://ref.ly/Num3:11-Num3:13" TargetMode="External"/><Relationship Id="rId13361" Type="http://schemas.openxmlformats.org/officeDocument/2006/relationships/hyperlink" Target="https://ref.ly/Num3:40-Num3:51" TargetMode="External"/><Relationship Id="rId13362" Type="http://schemas.openxmlformats.org/officeDocument/2006/relationships/hyperlink" Target="https://ref.ly/Deut17:8-Deut17:9" TargetMode="External"/><Relationship Id="rId13363" Type="http://schemas.openxmlformats.org/officeDocument/2006/relationships/hyperlink" Target="https://ref.ly/Deut24:8" TargetMode="External"/><Relationship Id="rId13364" Type="http://schemas.openxmlformats.org/officeDocument/2006/relationships/hyperlink" Target="https://ref.ly/Deut27:9" TargetMode="External"/><Relationship Id="rId13365" Type="http://schemas.openxmlformats.org/officeDocument/2006/relationships/hyperlink" Target="https://ref.ly/1Sam6:15" TargetMode="External"/><Relationship Id="rId13366" Type="http://schemas.openxmlformats.org/officeDocument/2006/relationships/hyperlink" Target="https://ref.ly/2Sam15:24" TargetMode="External"/><Relationship Id="rId13367" Type="http://schemas.openxmlformats.org/officeDocument/2006/relationships/hyperlink" Target="https://ref.ly/Judg18:5-Judg18:6" TargetMode="External"/><Relationship Id="rId13368" Type="http://schemas.openxmlformats.org/officeDocument/2006/relationships/hyperlink" Target="https://ref.ly/Ps99:6" TargetMode="External"/><Relationship Id="rId13369" Type="http://schemas.openxmlformats.org/officeDocument/2006/relationships/hyperlink" Target="https://ref.ly/1Sam7:9-1Sam7:10" TargetMode="External"/><Relationship Id="rId13370" Type="http://schemas.openxmlformats.org/officeDocument/2006/relationships/hyperlink" Target="https://ref.ly/1Sam2:1-1Sam2:36" TargetMode="External"/><Relationship Id="rId13371" Type="http://schemas.openxmlformats.org/officeDocument/2006/relationships/hyperlink" Target="https://ref.ly/1Chr6:23-1Chr6:30" TargetMode="External"/><Relationship Id="rId13372" Type="http://schemas.openxmlformats.org/officeDocument/2006/relationships/hyperlink" Target="https://ref.ly/1Sam1:28" TargetMode="External"/><Relationship Id="rId13373" Type="http://schemas.openxmlformats.org/officeDocument/2006/relationships/hyperlink" Target="https://ref.ly/1Kgs2:35" TargetMode="External"/><Relationship Id="rId13374" Type="http://schemas.openxmlformats.org/officeDocument/2006/relationships/hyperlink" Target="https://ref.ly/2Sam15:24-2Sam15:25" TargetMode="External"/><Relationship Id="rId13375" Type="http://schemas.openxmlformats.org/officeDocument/2006/relationships/hyperlink" Target="https://ref.ly/1Chr26:20-1Chr26:28" TargetMode="External"/><Relationship Id="rId13376" Type="http://schemas.openxmlformats.org/officeDocument/2006/relationships/hyperlink" Target="https://ref.ly/Jer2:8,Jer2:26" TargetMode="External"/><Relationship Id="rId13377" Type="http://schemas.openxmlformats.org/officeDocument/2006/relationships/hyperlink" Target="https://ref.ly/Lam2:20" TargetMode="External"/><Relationship Id="rId13378" Type="http://schemas.openxmlformats.org/officeDocument/2006/relationships/hyperlink" Target="https://ref.ly/2Kgs25:18-2Kgs25:21" TargetMode="External"/><Relationship Id="rId13379" Type="http://schemas.openxmlformats.org/officeDocument/2006/relationships/hyperlink" Target="https://ref.ly/Jer29:1" TargetMode="External"/><Relationship Id="rId13380" Type="http://schemas.openxmlformats.org/officeDocument/2006/relationships/hyperlink" Target="https://ref.ly/Ezek11:16" TargetMode="External"/><Relationship Id="rId13381" Type="http://schemas.openxmlformats.org/officeDocument/2006/relationships/hyperlink" Target="https://ref.ly/Ezra2:36-Ezra2:42" TargetMode="External"/><Relationship Id="rId13382" Type="http://schemas.openxmlformats.org/officeDocument/2006/relationships/hyperlink" Target="https://ref.ly/Ezra3:8-Ezra3:13" TargetMode="External"/><Relationship Id="rId13383" Type="http://schemas.openxmlformats.org/officeDocument/2006/relationships/hyperlink" Target="https://ref.ly/Ezra6:16-Ezra6:18" TargetMode="External"/><Relationship Id="rId13384" Type="http://schemas.openxmlformats.org/officeDocument/2006/relationships/hyperlink" Target="https://ref.ly/Neh11:3" TargetMode="External"/><Relationship Id="rId13385" Type="http://schemas.openxmlformats.org/officeDocument/2006/relationships/hyperlink" Target="https://ref.ly/Neh10:37-Neh10:39" TargetMode="External"/><Relationship Id="rId13386" Type="http://schemas.openxmlformats.org/officeDocument/2006/relationships/hyperlink" Target="https://ref.ly/Neh8:7-Neh8:9" TargetMode="External"/><Relationship Id="rId13387" Type="http://schemas.openxmlformats.org/officeDocument/2006/relationships/hyperlink" Target="https://ref.ly/Mal1:6-Mal2:9" TargetMode="External"/><Relationship Id="rId13388" Type="http://schemas.openxmlformats.org/officeDocument/2006/relationships/hyperlink" Target="https://ref.ly/1Macc14:41-1Macc14:47" TargetMode="External"/><Relationship Id="rId13389" Type="http://schemas.openxmlformats.org/officeDocument/2006/relationships/hyperlink" Target="https://ref.ly/John1:19" TargetMode="External"/><Relationship Id="rId13390" Type="http://schemas.openxmlformats.org/officeDocument/2006/relationships/hyperlink" Target="https://ref.ly/Luke10:31-Luke10:32" TargetMode="External"/><Relationship Id="rId13391" Type="http://schemas.openxmlformats.org/officeDocument/2006/relationships/hyperlink" Target="https://ref.ly/Acts6:7" TargetMode="External"/><Relationship Id="rId13392" Type="http://schemas.openxmlformats.org/officeDocument/2006/relationships/hyperlink" Target="https://ref.ly/2Sam15:24-2Sam15:29" TargetMode="External"/><Relationship Id="rId13393" Type="http://schemas.openxmlformats.org/officeDocument/2006/relationships/hyperlink" Target="https://ref.ly/1Kgs1:32-1Kgs1:39" TargetMode="External"/><Relationship Id="rId13394" Type="http://schemas.openxmlformats.org/officeDocument/2006/relationships/hyperlink" Target="https://ref.ly/Ezek44:15-Ezek44:16" TargetMode="External"/><Relationship Id="rId13395" Type="http://schemas.openxmlformats.org/officeDocument/2006/relationships/hyperlink" Target="https://ref.ly/Ezek48:11-Ezek48:12" TargetMode="External"/><Relationship Id="rId13396" Type="http://schemas.openxmlformats.org/officeDocument/2006/relationships/hyperlink" Target="https://ref.ly/1Chr6:8-1Chr6:15" TargetMode="External"/><Relationship Id="rId13397" Type="http://schemas.openxmlformats.org/officeDocument/2006/relationships/hyperlink" Target="https://ref.ly/Matt3:7-Matt3:10" TargetMode="External"/><Relationship Id="rId13398" Type="http://schemas.openxmlformats.org/officeDocument/2006/relationships/hyperlink" Target="https://ref.ly/Matt16:1" TargetMode="External"/><Relationship Id="rId13399" Type="http://schemas.openxmlformats.org/officeDocument/2006/relationships/hyperlink" Target="https://ref.ly/Mark12:18-Mark12:27" TargetMode="External"/><Relationship Id="rId13400" Type="http://schemas.openxmlformats.org/officeDocument/2006/relationships/hyperlink" Target="https://ref.ly/Acts4:1-Acts4:2" TargetMode="External"/><Relationship Id="rId13401" Type="http://schemas.openxmlformats.org/officeDocument/2006/relationships/hyperlink" Target="https://ref.ly/Acts23:6-Acts23:8" TargetMode="External"/><Relationship Id="rId13402" Type="http://schemas.openxmlformats.org/officeDocument/2006/relationships/hyperlink" Target="https://ref.ly/Prov3:19" TargetMode="External"/><Relationship Id="rId13403" Type="http://schemas.openxmlformats.org/officeDocument/2006/relationships/hyperlink" Target="https://ref.ly/Ps104:24" TargetMode="External"/><Relationship Id="rId13404" Type="http://schemas.openxmlformats.org/officeDocument/2006/relationships/hyperlink" Target="https://ref.ly/1Kgs2:1-1Kgs2:6" TargetMode="External"/><Relationship Id="rId13405" Type="http://schemas.openxmlformats.org/officeDocument/2006/relationships/hyperlink" Target="https://ref.ly/Exod35:33" TargetMode="External"/><Relationship Id="rId13406" Type="http://schemas.openxmlformats.org/officeDocument/2006/relationships/hyperlink" Target="https://ref.ly/Deut1:13" TargetMode="External"/><Relationship Id="rId13407" Type="http://schemas.openxmlformats.org/officeDocument/2006/relationships/hyperlink" Target="https://ref.ly/Job28:28" TargetMode="External"/><Relationship Id="rId13408" Type="http://schemas.openxmlformats.org/officeDocument/2006/relationships/hyperlink" Target="https://ref.ly/Prov15:33" TargetMode="External"/><Relationship Id="rId13409" Type="http://schemas.openxmlformats.org/officeDocument/2006/relationships/hyperlink" Target="https://ref.ly/1Cor1:19" TargetMode="External"/><Relationship Id="rId13410" Type="http://schemas.openxmlformats.org/officeDocument/2006/relationships/hyperlink" Target="https://ref.ly/Isa29:14" TargetMode="External"/><Relationship Id="rId13411" Type="http://schemas.openxmlformats.org/officeDocument/2006/relationships/hyperlink" Target="https://ref.ly/Jas3:17" TargetMode="External"/><Relationship Id="rId13412" Type="http://schemas.openxmlformats.org/officeDocument/2006/relationships/hyperlink" Target="https://ref.ly/Luke2:40,Luke2:52" TargetMode="External"/><Relationship Id="rId13413" Type="http://schemas.openxmlformats.org/officeDocument/2006/relationships/hyperlink" Target="https://ref.ly/Matt13:54" TargetMode="External"/><Relationship Id="rId13414" Type="http://schemas.openxmlformats.org/officeDocument/2006/relationships/hyperlink" Target="https://ref.ly/Col1:9" TargetMode="External"/><Relationship Id="rId13415" Type="http://schemas.openxmlformats.org/officeDocument/2006/relationships/hyperlink" Target="https://ref.ly/1Cor1:24" TargetMode="External"/><Relationship Id="rId13416" Type="http://schemas.openxmlformats.org/officeDocument/2006/relationships/hyperlink" Target="https://ref.ly/Mark14:23" TargetMode="External"/><Relationship Id="rId13417" Type="http://schemas.openxmlformats.org/officeDocument/2006/relationships/hyperlink" Target="https://ref.ly/1Cor11:24-1Cor11:25" TargetMode="External"/><Relationship Id="rId13418" Type="http://schemas.openxmlformats.org/officeDocument/2006/relationships/hyperlink" Target="https://ref.ly/Matt26:26-Matt26:30" TargetMode="External"/><Relationship Id="rId13419" Type="http://schemas.openxmlformats.org/officeDocument/2006/relationships/hyperlink" Target="https://ref.ly/Mark14:22-Mark14:26" TargetMode="External"/><Relationship Id="rId13420" Type="http://schemas.openxmlformats.org/officeDocument/2006/relationships/hyperlink" Target="https://ref.ly/John13:1-John13:38" TargetMode="External"/><Relationship Id="rId13421" Type="http://schemas.openxmlformats.org/officeDocument/2006/relationships/hyperlink" Target="https://ref.ly/1Cor11:23-1Cor11:26" TargetMode="External"/><Relationship Id="rId13422" Type="http://schemas.openxmlformats.org/officeDocument/2006/relationships/hyperlink" Target="https://ref.ly/Luke22:17-Luke22:18" TargetMode="External"/><Relationship Id="rId13423" Type="http://schemas.openxmlformats.org/officeDocument/2006/relationships/hyperlink" Target="https://ref.ly/Matt26:17-Matt26:20" TargetMode="External"/><Relationship Id="rId13424" Type="http://schemas.openxmlformats.org/officeDocument/2006/relationships/hyperlink" Target="https://ref.ly/Mark14:12-Mark14:17" TargetMode="External"/><Relationship Id="rId13425" Type="http://schemas.openxmlformats.org/officeDocument/2006/relationships/hyperlink" Target="https://ref.ly/Luke22:7-Luke22:14" TargetMode="External"/><Relationship Id="rId13426" Type="http://schemas.openxmlformats.org/officeDocument/2006/relationships/hyperlink" Target="https://ref.ly/John18:28" TargetMode="External"/><Relationship Id="rId13427" Type="http://schemas.openxmlformats.org/officeDocument/2006/relationships/hyperlink" Target="https://ref.ly/Matt26:26" TargetMode="External"/><Relationship Id="rId13428" Type="http://schemas.openxmlformats.org/officeDocument/2006/relationships/hyperlink" Target="https://ref.ly/Mark14:22" TargetMode="External"/><Relationship Id="rId13429" Type="http://schemas.openxmlformats.org/officeDocument/2006/relationships/hyperlink" Target="https://ref.ly/Luke22:19" TargetMode="External"/><Relationship Id="rId13430" Type="http://schemas.openxmlformats.org/officeDocument/2006/relationships/hyperlink" Target="https://ref.ly/1Cor11:23-1Cor11:24" TargetMode="External"/><Relationship Id="rId13431" Type="http://schemas.openxmlformats.org/officeDocument/2006/relationships/hyperlink" Target="https://ref.ly/Mark6:41" TargetMode="External"/><Relationship Id="rId13432" Type="http://schemas.openxmlformats.org/officeDocument/2006/relationships/hyperlink" Target="https://ref.ly/Mark8:6" TargetMode="External"/><Relationship Id="rId13433" Type="http://schemas.openxmlformats.org/officeDocument/2006/relationships/hyperlink" Target="https://ref.ly/1Cor11:24" TargetMode="External"/><Relationship Id="rId13434" Type="http://schemas.openxmlformats.org/officeDocument/2006/relationships/hyperlink" Target="https://ref.ly/Ps98:3" TargetMode="External"/><Relationship Id="rId13435" Type="http://schemas.openxmlformats.org/officeDocument/2006/relationships/hyperlink" Target="https://ref.ly/Ps106:45" TargetMode="External"/><Relationship Id="rId13436" Type="http://schemas.openxmlformats.org/officeDocument/2006/relationships/hyperlink" Target="https://ref.ly/Ps112:6" TargetMode="External"/><Relationship Id="rId13437" Type="http://schemas.openxmlformats.org/officeDocument/2006/relationships/hyperlink" Target="https://ref.ly/Eccl12:1" TargetMode="External"/><Relationship Id="rId13438" Type="http://schemas.openxmlformats.org/officeDocument/2006/relationships/hyperlink" Target="https://ref.ly/Isa57:11" TargetMode="External"/><Relationship Id="rId13439" Type="http://schemas.openxmlformats.org/officeDocument/2006/relationships/hyperlink" Target="https://ref.ly/Mark14:24" TargetMode="External"/><Relationship Id="rId13440" Type="http://schemas.openxmlformats.org/officeDocument/2006/relationships/hyperlink" Target="https://ref.ly/Exod24:1-Exod24:8" TargetMode="External"/><Relationship Id="rId13441" Type="http://schemas.openxmlformats.org/officeDocument/2006/relationships/hyperlink" Target="https://ref.ly/Heb8:1-Heb9:28" TargetMode="External"/><Relationship Id="rId13442" Type="http://schemas.openxmlformats.org/officeDocument/2006/relationships/hyperlink" Target="https://ref.ly/Luke22:37" TargetMode="External"/><Relationship Id="rId13443" Type="http://schemas.openxmlformats.org/officeDocument/2006/relationships/hyperlink" Target="https://ref.ly/Isa53:12" TargetMode="External"/><Relationship Id="rId13444" Type="http://schemas.openxmlformats.org/officeDocument/2006/relationships/hyperlink" Target="https://ref.ly/Mark14:25" TargetMode="External"/><Relationship Id="rId13445" Type="http://schemas.openxmlformats.org/officeDocument/2006/relationships/hyperlink" Target="https://ref.ly/Luke22:18" TargetMode="External"/><Relationship Id="rId13446" Type="http://schemas.openxmlformats.org/officeDocument/2006/relationships/hyperlink" Target="https://ref.ly/1Cor11:26" TargetMode="External"/><Relationship Id="rId13447" Type="http://schemas.openxmlformats.org/officeDocument/2006/relationships/hyperlink" Target="https://ref.ly/Jude1:12" TargetMode="External"/><Relationship Id="rId13448" Type="http://schemas.openxmlformats.org/officeDocument/2006/relationships/hyperlink" Target="https://ref.ly/1Cor10:1-1Cor11:34" TargetMode="External"/><Relationship Id="rId13449" Type="http://schemas.openxmlformats.org/officeDocument/2006/relationships/hyperlink" Target="https://ref.ly/Luke24:30-Luke24:35" TargetMode="External"/><Relationship Id="rId13450" Type="http://schemas.openxmlformats.org/officeDocument/2006/relationships/hyperlink" Target="https://ref.ly/1Cor10:3-1Cor10:4" TargetMode="External"/><Relationship Id="rId13451" Type="http://schemas.openxmlformats.org/officeDocument/2006/relationships/hyperlink" Target="https://ref.ly/John6:35,John6:55" TargetMode="External"/><Relationship Id="rId13452" Type="http://schemas.openxmlformats.org/officeDocument/2006/relationships/hyperlink" Target="https://ref.ly/Matt14:6" TargetMode="External"/><Relationship Id="rId13453" Type="http://schemas.openxmlformats.org/officeDocument/2006/relationships/hyperlink" Target="https://ref.ly/Mark6:22" TargetMode="External"/><Relationship Id="rId13454" Type="http://schemas.openxmlformats.org/officeDocument/2006/relationships/hyperlink" Target="https://ref.ly/2Kgs17:1-2Kgs17:41" TargetMode="External"/><Relationship Id="rId13455" Type="http://schemas.openxmlformats.org/officeDocument/2006/relationships/hyperlink" Target="https://ref.ly/John4:12" TargetMode="External"/><Relationship Id="rId13456" Type="http://schemas.openxmlformats.org/officeDocument/2006/relationships/hyperlink" Target="https://ref.ly/2Chr34:9" TargetMode="External"/><Relationship Id="rId13457" Type="http://schemas.openxmlformats.org/officeDocument/2006/relationships/hyperlink" Target="https://ref.ly/Ezra4:7-Ezra4:24" TargetMode="External"/><Relationship Id="rId13458" Type="http://schemas.openxmlformats.org/officeDocument/2006/relationships/hyperlink" Target="https://ref.ly/Neh4:1-Neh4:9" TargetMode="External"/><Relationship Id="rId13459" Type="http://schemas.openxmlformats.org/officeDocument/2006/relationships/hyperlink" Target="https://ref.ly/Sir50:25-Sir50:26" TargetMode="External"/><Relationship Id="rId13460" Type="http://schemas.openxmlformats.org/officeDocument/2006/relationships/hyperlink" Target="https://ref.ly/1Macc1:62-1Macc1:64" TargetMode="External"/><Relationship Id="rId13461" Type="http://schemas.openxmlformats.org/officeDocument/2006/relationships/hyperlink" Target="https://ref.ly/1Macc2:42-1Macc2:43" TargetMode="External"/><Relationship Id="rId13462" Type="http://schemas.openxmlformats.org/officeDocument/2006/relationships/hyperlink" Target="https://ref.ly/1Macc6:2" TargetMode="External"/><Relationship Id="rId13463" Type="http://schemas.openxmlformats.org/officeDocument/2006/relationships/hyperlink" Target="https://ref.ly/Luke9:51-Luke9:53" TargetMode="External"/><Relationship Id="rId13464" Type="http://schemas.openxmlformats.org/officeDocument/2006/relationships/hyperlink" Target="https://ref.ly/John8:48" TargetMode="External"/><Relationship Id="rId13465" Type="http://schemas.openxmlformats.org/officeDocument/2006/relationships/hyperlink" Target="https://ref.ly/Luke10:37" TargetMode="External"/><Relationship Id="rId13466" Type="http://schemas.openxmlformats.org/officeDocument/2006/relationships/hyperlink" Target="https://ref.ly/Luke9:51-Luke9:55" TargetMode="External"/><Relationship Id="rId13467" Type="http://schemas.openxmlformats.org/officeDocument/2006/relationships/hyperlink" Target="https://ref.ly/Gen4:4" TargetMode="External"/><Relationship Id="rId13468" Type="http://schemas.openxmlformats.org/officeDocument/2006/relationships/hyperlink" Target="https://ref.ly/Deut18:15-Deut18:18" TargetMode="External"/><Relationship Id="rId13469" Type="http://schemas.openxmlformats.org/officeDocument/2006/relationships/hyperlink" Target="https://ref.ly/Luke17:18" TargetMode="External"/><Relationship Id="rId13470" Type="http://schemas.openxmlformats.org/officeDocument/2006/relationships/hyperlink" Target="https://ref.ly/Matt10:5" TargetMode="External"/><Relationship Id="rId13471" Type="http://schemas.openxmlformats.org/officeDocument/2006/relationships/hyperlink" Target="https://ref.ly/Luke9:55" TargetMode="External"/><Relationship Id="rId13472" Type="http://schemas.openxmlformats.org/officeDocument/2006/relationships/hyperlink" Target="https://ref.ly/John4:4-John4:43" TargetMode="External"/><Relationship Id="rId13473" Type="http://schemas.openxmlformats.org/officeDocument/2006/relationships/hyperlink" Target="https://ref.ly/John4:7-John4:9" TargetMode="External"/><Relationship Id="rId13474" Type="http://schemas.openxmlformats.org/officeDocument/2006/relationships/hyperlink" Target="https://ref.ly/John4:10" TargetMode="External"/><Relationship Id="rId13475" Type="http://schemas.openxmlformats.org/officeDocument/2006/relationships/hyperlink" Target="https://ref.ly/John4:39-John4:41" TargetMode="External"/><Relationship Id="rId13476" Type="http://schemas.openxmlformats.org/officeDocument/2006/relationships/hyperlink" Target="https://ref.ly/John4:16-John4:18" TargetMode="External"/><Relationship Id="rId13477" Type="http://schemas.openxmlformats.org/officeDocument/2006/relationships/hyperlink" Target="https://ref.ly/John4:19,John4:25-John4:26" TargetMode="External"/><Relationship Id="rId13478" Type="http://schemas.openxmlformats.org/officeDocument/2006/relationships/hyperlink" Target="https://ref.ly/John4:26" TargetMode="External"/><Relationship Id="rId13479" Type="http://schemas.openxmlformats.org/officeDocument/2006/relationships/hyperlink" Target="https://ref.ly/Acts8:5" TargetMode="External"/><Relationship Id="rId13480" Type="http://schemas.openxmlformats.org/officeDocument/2006/relationships/hyperlink" Target="https://ref.ly/Acts20:15" TargetMode="External"/><Relationship Id="rId13481" Type="http://schemas.openxmlformats.org/officeDocument/2006/relationships/hyperlink" Target="https://ref.ly/1Sam1:6-1Sam1:11" TargetMode="External"/><Relationship Id="rId13482" Type="http://schemas.openxmlformats.org/officeDocument/2006/relationships/hyperlink" Target="https://ref.ly/1Sam2:19" TargetMode="External"/><Relationship Id="rId13483" Type="http://schemas.openxmlformats.org/officeDocument/2006/relationships/hyperlink" Target="https://ref.ly/1Sam4:1-1Sam6:21" TargetMode="External"/><Relationship Id="rId13484" Type="http://schemas.openxmlformats.org/officeDocument/2006/relationships/hyperlink" Target="https://ref.ly/1Sam7:2-1Sam7:3" TargetMode="External"/><Relationship Id="rId13485" Type="http://schemas.openxmlformats.org/officeDocument/2006/relationships/hyperlink" Target="https://ref.ly/Jer7:12-Jer7:14" TargetMode="External"/><Relationship Id="rId13486" Type="http://schemas.openxmlformats.org/officeDocument/2006/relationships/hyperlink" Target="https://ref.ly/Jer26:6,Jer26:9" TargetMode="External"/><Relationship Id="rId13487" Type="http://schemas.openxmlformats.org/officeDocument/2006/relationships/hyperlink" Target="https://ref.ly/Ps78:60" TargetMode="External"/><Relationship Id="rId13488" Type="http://schemas.openxmlformats.org/officeDocument/2006/relationships/hyperlink" Target="https://ref.ly/Deut16:18-Deut16:22" TargetMode="External"/><Relationship Id="rId13489" Type="http://schemas.openxmlformats.org/officeDocument/2006/relationships/hyperlink" Target="https://ref.ly/Deut17:8-Deut17:13" TargetMode="External"/><Relationship Id="rId13490" Type="http://schemas.openxmlformats.org/officeDocument/2006/relationships/hyperlink" Target="https://ref.ly/2Kgs2:3" TargetMode="External"/><Relationship Id="rId13491" Type="http://schemas.openxmlformats.org/officeDocument/2006/relationships/hyperlink" Target="https://ref.ly/2Kgs4:38" TargetMode="External"/><Relationship Id="rId13492" Type="http://schemas.openxmlformats.org/officeDocument/2006/relationships/hyperlink" Target="https://ref.ly/1Sam19:20" TargetMode="External"/><Relationship Id="rId13493" Type="http://schemas.openxmlformats.org/officeDocument/2006/relationships/hyperlink" Target="https://ref.ly/1Sam7:1-1Sam7:17" TargetMode="External"/><Relationship Id="rId13494" Type="http://schemas.openxmlformats.org/officeDocument/2006/relationships/hyperlink" Target="https://ref.ly/1Sam8:1-1Sam8:22" TargetMode="External"/><Relationship Id="rId13495" Type="http://schemas.openxmlformats.org/officeDocument/2006/relationships/hyperlink" Target="https://ref.ly/1Sam11:1-1Sam11:15" TargetMode="External"/><Relationship Id="rId13496" Type="http://schemas.openxmlformats.org/officeDocument/2006/relationships/hyperlink" Target="https://ref.ly/1Sam13:5-1Sam13:14" TargetMode="External"/><Relationship Id="rId13497" Type="http://schemas.openxmlformats.org/officeDocument/2006/relationships/hyperlink" Target="https://ref.ly/1Sam15:20-1Sam15:23" TargetMode="External"/><Relationship Id="rId13498" Type="http://schemas.openxmlformats.org/officeDocument/2006/relationships/hyperlink" Target="https://ref.ly/1Sam28:1-1Sam28:25" TargetMode="External"/><Relationship Id="rId13499" Type="http://schemas.openxmlformats.org/officeDocument/2006/relationships/hyperlink" Target="https://ref.ly/1Sam28:4-1Sam28:19" TargetMode="External"/><Relationship Id="rId13500" Type="http://schemas.openxmlformats.org/officeDocument/2006/relationships/hyperlink" Target="https://ref.ly/1Chr9:17-1Chr9:26" TargetMode="External"/><Relationship Id="rId13501" Type="http://schemas.openxmlformats.org/officeDocument/2006/relationships/hyperlink" Target="https://ref.ly/2Chr35:18" TargetMode="External"/><Relationship Id="rId13502" Type="http://schemas.openxmlformats.org/officeDocument/2006/relationships/hyperlink" Target="https://ref.ly/1Sam10:25" TargetMode="External"/><Relationship Id="rId13503" Type="http://schemas.openxmlformats.org/officeDocument/2006/relationships/hyperlink" Target="https://ref.ly/Heb11:32" TargetMode="External"/><Relationship Id="rId13504" Type="http://schemas.openxmlformats.org/officeDocument/2006/relationships/hyperlink" Target="https://ref.ly/1Sam7:6,1Sam7:15-1Sam7:17" TargetMode="External"/><Relationship Id="rId13505" Type="http://schemas.openxmlformats.org/officeDocument/2006/relationships/hyperlink" Target="https://ref.ly/1Sam3:20" TargetMode="External"/><Relationship Id="rId13506" Type="http://schemas.openxmlformats.org/officeDocument/2006/relationships/hyperlink" Target="https://ref.ly/Acts3:24" TargetMode="External"/><Relationship Id="rId13507" Type="http://schemas.openxmlformats.org/officeDocument/2006/relationships/hyperlink" Target="https://ref.ly/Acts2:20" TargetMode="External"/><Relationship Id="rId13508" Type="http://schemas.openxmlformats.org/officeDocument/2006/relationships/hyperlink" Target="https://ref.ly/Ps9:12" TargetMode="External"/><Relationship Id="rId13509" Type="http://schemas.openxmlformats.org/officeDocument/2006/relationships/hyperlink" Target="https://ref.ly/Gen37:26" TargetMode="External"/><Relationship Id="rId13510" Type="http://schemas.openxmlformats.org/officeDocument/2006/relationships/hyperlink" Target="https://ref.ly/Prov28:17" TargetMode="External"/><Relationship Id="rId13511" Type="http://schemas.openxmlformats.org/officeDocument/2006/relationships/hyperlink" Target="https://ref.ly/Lev17:11" TargetMode="External"/><Relationship Id="rId13512" Type="http://schemas.openxmlformats.org/officeDocument/2006/relationships/hyperlink" Target="https://ref.ly/Lev16:20-Lev16:22" TargetMode="External"/><Relationship Id="rId13513" Type="http://schemas.openxmlformats.org/officeDocument/2006/relationships/hyperlink" Target="https://ref.ly/Exod12:1-Exod12:13" TargetMode="External"/><Relationship Id="rId13514" Type="http://schemas.openxmlformats.org/officeDocument/2006/relationships/hyperlink" Target="https://ref.ly/Exod24:8" TargetMode="External"/><Relationship Id="rId13515" Type="http://schemas.openxmlformats.org/officeDocument/2006/relationships/hyperlink" Target="https://ref.ly/Matt9:20" TargetMode="External"/><Relationship Id="rId13516" Type="http://schemas.openxmlformats.org/officeDocument/2006/relationships/hyperlink" Target="https://ref.ly/Acts22:20" TargetMode="External"/><Relationship Id="rId13517" Type="http://schemas.openxmlformats.org/officeDocument/2006/relationships/hyperlink" Target="https://ref.ly/John6:53" TargetMode="External"/><Relationship Id="rId13518" Type="http://schemas.openxmlformats.org/officeDocument/2006/relationships/hyperlink" Target="https://ref.ly/Eph2:13" TargetMode="External"/><Relationship Id="rId13519" Type="http://schemas.openxmlformats.org/officeDocument/2006/relationships/hyperlink" Target="https://ref.ly/1Pet1:19" TargetMode="External"/><Relationship Id="rId13520" Type="http://schemas.openxmlformats.org/officeDocument/2006/relationships/hyperlink" Target="https://ref.ly/Heb9:7-Heb9:28" TargetMode="External"/><Relationship Id="rId13521" Type="http://schemas.openxmlformats.org/officeDocument/2006/relationships/hyperlink" Target="https://ref.ly/Heb13:11-Heb13:12" TargetMode="External"/><Relationship Id="rId13522" Type="http://schemas.openxmlformats.org/officeDocument/2006/relationships/hyperlink" Target="https://ref.ly/Heb10:20" TargetMode="External"/><Relationship Id="rId13523" Type="http://schemas.openxmlformats.org/officeDocument/2006/relationships/hyperlink" Target="https://ref.ly/Matt27:8" TargetMode="External"/><Relationship Id="rId13524" Type="http://schemas.openxmlformats.org/officeDocument/2006/relationships/hyperlink" Target="https://ref.ly/Exod22:2-Exod22:3" TargetMode="External"/><Relationship Id="rId13525" Type="http://schemas.openxmlformats.org/officeDocument/2006/relationships/hyperlink" Target="https://ref.ly/Lev17:4" TargetMode="External"/><Relationship Id="rId13526" Type="http://schemas.openxmlformats.org/officeDocument/2006/relationships/hyperlink" Target="https://ref.ly/1Sam25:26,1Sam25:33" TargetMode="External"/><Relationship Id="rId13527" Type="http://schemas.openxmlformats.org/officeDocument/2006/relationships/hyperlink" Target="https://ref.ly/Hos12:14" TargetMode="External"/><Relationship Id="rId13528" Type="http://schemas.openxmlformats.org/officeDocument/2006/relationships/hyperlink" Target="https://ref.ly/Ps51:14" TargetMode="External"/><Relationship Id="rId13529" Type="http://schemas.openxmlformats.org/officeDocument/2006/relationships/hyperlink" Target="https://ref.ly/Jonah1:14" TargetMode="External"/><Relationship Id="rId13530" Type="http://schemas.openxmlformats.org/officeDocument/2006/relationships/hyperlink" Target="https://ref.ly/Deut19:11-Deut19:13" TargetMode="External"/><Relationship Id="rId13531" Type="http://schemas.openxmlformats.org/officeDocument/2006/relationships/hyperlink" Target="https://ref.ly/Ezek33:6" TargetMode="External"/><Relationship Id="rId13532" Type="http://schemas.openxmlformats.org/officeDocument/2006/relationships/hyperlink" Target="https://ref.ly/Num35:31" TargetMode="External"/><Relationship Id="rId13533" Type="http://schemas.openxmlformats.org/officeDocument/2006/relationships/hyperlink" Target="https://ref.ly/Num35:9-Num35:28" TargetMode="External"/><Relationship Id="rId13534" Type="http://schemas.openxmlformats.org/officeDocument/2006/relationships/hyperlink" Target="https://ref.ly/Deut19:4-Deut19:10" TargetMode="External"/><Relationship Id="rId13535" Type="http://schemas.openxmlformats.org/officeDocument/2006/relationships/hyperlink" Target="https://ref.ly/Deut21:1-Deut21:9" TargetMode="External"/><Relationship Id="rId13536" Type="http://schemas.openxmlformats.org/officeDocument/2006/relationships/hyperlink" Target="https://ref.ly/Lev17:3-Lev17:4,Lev17:10-Lev17:11" TargetMode="External"/><Relationship Id="rId13537" Type="http://schemas.openxmlformats.org/officeDocument/2006/relationships/hyperlink" Target="https://ref.ly/Exod21:28-Exod21:29" TargetMode="External"/><Relationship Id="rId13538" Type="http://schemas.openxmlformats.org/officeDocument/2006/relationships/hyperlink" Target="https://ref.ly/Exod22:2" TargetMode="External"/><Relationship Id="rId13539" Type="http://schemas.openxmlformats.org/officeDocument/2006/relationships/hyperlink" Target="https://ref.ly/Lev20:9-Lev20:16" TargetMode="External"/><Relationship Id="rId13540" Type="http://schemas.openxmlformats.org/officeDocument/2006/relationships/hyperlink" Target="https://ref.ly/1Kgs2:5-1Kgs2:6" TargetMode="External"/><Relationship Id="rId13541" Type="http://schemas.openxmlformats.org/officeDocument/2006/relationships/hyperlink" Target="https://ref.ly/Ezek7:23" TargetMode="External"/><Relationship Id="rId13542" Type="http://schemas.openxmlformats.org/officeDocument/2006/relationships/hyperlink" Target="https://ref.ly/Ezek9:9" TargetMode="External"/><Relationship Id="rId13543" Type="http://schemas.openxmlformats.org/officeDocument/2006/relationships/hyperlink" Target="https://ref.ly/Hos4:2" TargetMode="External"/><Relationship Id="rId13544" Type="http://schemas.openxmlformats.org/officeDocument/2006/relationships/hyperlink" Target="https://ref.ly/Mic3:10" TargetMode="External"/><Relationship Id="rId13545" Type="http://schemas.openxmlformats.org/officeDocument/2006/relationships/hyperlink" Target="https://ref.ly/Hab2:8,Hab2:12,Hab2:17" TargetMode="External"/><Relationship Id="rId13546" Type="http://schemas.openxmlformats.org/officeDocument/2006/relationships/hyperlink" Target="https://ref.ly/Ezek18:10-Ezek18:13" TargetMode="External"/><Relationship Id="rId13547" Type="http://schemas.openxmlformats.org/officeDocument/2006/relationships/hyperlink" Target="https://ref.ly/Gen4:10-Gen4:12" TargetMode="External"/><Relationship Id="rId13548" Type="http://schemas.openxmlformats.org/officeDocument/2006/relationships/hyperlink" Target="https://ref.ly/Isa26:21" TargetMode="External"/><Relationship Id="rId13549" Type="http://schemas.openxmlformats.org/officeDocument/2006/relationships/hyperlink" Target="https://ref.ly/Ezek24:6-Ezek24:9" TargetMode="External"/><Relationship Id="rId13550" Type="http://schemas.openxmlformats.org/officeDocument/2006/relationships/hyperlink" Target="https://ref.ly/Lev15:1-Lev15:33" TargetMode="External"/><Relationship Id="rId13551" Type="http://schemas.openxmlformats.org/officeDocument/2006/relationships/hyperlink" Target="https://ref.ly/Lev15:19-Lev15:28" TargetMode="External"/><Relationship Id="rId13552" Type="http://schemas.openxmlformats.org/officeDocument/2006/relationships/hyperlink" Target="https://ref.ly/Mark5:25-Mark5:34" TargetMode="External"/><Relationship Id="rId13553" Type="http://schemas.openxmlformats.org/officeDocument/2006/relationships/hyperlink" Target="https://ref.ly/Luke8:43-Luke8:48" TargetMode="External"/><Relationship Id="rId13554" Type="http://schemas.openxmlformats.org/officeDocument/2006/relationships/hyperlink" Target="https://ref.ly/Num11:16" TargetMode="External"/><Relationship Id="rId13555" Type="http://schemas.openxmlformats.org/officeDocument/2006/relationships/hyperlink" Target="https://ref.ly/1Kgs8:1" TargetMode="External"/><Relationship Id="rId13556" Type="http://schemas.openxmlformats.org/officeDocument/2006/relationships/hyperlink" Target="https://ref.ly/2Kgs23:1" TargetMode="External"/><Relationship Id="rId13557" Type="http://schemas.openxmlformats.org/officeDocument/2006/relationships/hyperlink" Target="https://ref.ly/Neh2:16" TargetMode="External"/><Relationship Id="rId13558" Type="http://schemas.openxmlformats.org/officeDocument/2006/relationships/hyperlink" Target="https://ref.ly/Acts5:21" TargetMode="External"/><Relationship Id="rId13559" Type="http://schemas.openxmlformats.org/officeDocument/2006/relationships/hyperlink" Target="https://ref.ly/Acts5:24-Acts5:26" TargetMode="External"/><Relationship Id="rId13560" Type="http://schemas.openxmlformats.org/officeDocument/2006/relationships/hyperlink" Target="https://ref.ly/Matt26:3" TargetMode="External"/><Relationship Id="rId13561" Type="http://schemas.openxmlformats.org/officeDocument/2006/relationships/hyperlink" Target="https://ref.ly/Acts23:2" TargetMode="External"/><Relationship Id="rId13562" Type="http://schemas.openxmlformats.org/officeDocument/2006/relationships/hyperlink" Target="https://ref.ly/Matt26:65" TargetMode="External"/><Relationship Id="rId13563" Type="http://schemas.openxmlformats.org/officeDocument/2006/relationships/hyperlink" Target="https://ref.ly/Acts7:58-Acts7:60" TargetMode="External"/><Relationship Id="rId13564" Type="http://schemas.openxmlformats.org/officeDocument/2006/relationships/hyperlink" Target="https://ref.ly/John18:31" TargetMode="External"/><Relationship Id="rId13565" Type="http://schemas.openxmlformats.org/officeDocument/2006/relationships/hyperlink" Target="https://ref.ly/Acts5:1" TargetMode="External"/><Relationship Id="rId13566" Type="http://schemas.openxmlformats.org/officeDocument/2006/relationships/hyperlink" Target="https://ref.ly/Gen17:15-Gen17:16" TargetMode="External"/><Relationship Id="rId13567" Type="http://schemas.openxmlformats.org/officeDocument/2006/relationships/hyperlink" Target="https://ref.ly/Gen12:5" TargetMode="External"/><Relationship Id="rId13568" Type="http://schemas.openxmlformats.org/officeDocument/2006/relationships/hyperlink" Target="https://ref.ly/Gen16:3-Gen16:4" TargetMode="External"/><Relationship Id="rId13569" Type="http://schemas.openxmlformats.org/officeDocument/2006/relationships/hyperlink" Target="https://ref.ly/Gen21:2-Gen21:3" TargetMode="External"/><Relationship Id="rId13570" Type="http://schemas.openxmlformats.org/officeDocument/2006/relationships/hyperlink" Target="https://ref.ly/Gen12:11-Gen12:15" TargetMode="External"/><Relationship Id="rId13571" Type="http://schemas.openxmlformats.org/officeDocument/2006/relationships/hyperlink" Target="https://ref.ly/Gen21:1-Gen21:5" TargetMode="External"/><Relationship Id="rId13572" Type="http://schemas.openxmlformats.org/officeDocument/2006/relationships/hyperlink" Target="https://ref.ly/Gen17:21" TargetMode="External"/><Relationship Id="rId13573" Type="http://schemas.openxmlformats.org/officeDocument/2006/relationships/hyperlink" Target="https://ref.ly/Isa51:2" TargetMode="External"/><Relationship Id="rId13574" Type="http://schemas.openxmlformats.org/officeDocument/2006/relationships/hyperlink" Target="https://ref.ly/Rom9:9" TargetMode="External"/><Relationship Id="rId13575" Type="http://schemas.openxmlformats.org/officeDocument/2006/relationships/hyperlink" Target="https://ref.ly/Heb11:11" TargetMode="External"/><Relationship Id="rId13576" Type="http://schemas.openxmlformats.org/officeDocument/2006/relationships/hyperlink" Target="https://ref.ly/Tob6:9-Tob6:27" TargetMode="External"/><Relationship Id="rId13577" Type="http://schemas.openxmlformats.org/officeDocument/2006/relationships/hyperlink" Target="https://ref.ly/Tob8:2" TargetMode="External"/><Relationship Id="rId13578" Type="http://schemas.openxmlformats.org/officeDocument/2006/relationships/hyperlink" Target="https://ref.ly/Tob14:12-Tob14:45" TargetMode="External"/><Relationship Id="rId13579" Type="http://schemas.openxmlformats.org/officeDocument/2006/relationships/hyperlink" Target="https://ref.ly/Job2:1-Job2:7" TargetMode="External"/><Relationship Id="rId13580" Type="http://schemas.openxmlformats.org/officeDocument/2006/relationships/hyperlink" Target="https://ref.ly/Zech3:1-Zech3:2" TargetMode="External"/><Relationship Id="rId13581" Type="http://schemas.openxmlformats.org/officeDocument/2006/relationships/hyperlink" Target="https://ref.ly/2Sam24:1" TargetMode="External"/><Relationship Id="rId13582" Type="http://schemas.openxmlformats.org/officeDocument/2006/relationships/hyperlink" Target="https://ref.ly/Isa14:12" TargetMode="External"/><Relationship Id="rId13583" Type="http://schemas.openxmlformats.org/officeDocument/2006/relationships/hyperlink" Target="https://ref.ly/Wis2:24" TargetMode="External"/><Relationship Id="rId13584" Type="http://schemas.openxmlformats.org/officeDocument/2006/relationships/hyperlink" Target="https://ref.ly/Luke4:6" TargetMode="External"/><Relationship Id="rId13585" Type="http://schemas.openxmlformats.org/officeDocument/2006/relationships/hyperlink" Target="https://ref.ly/Mark4:15" TargetMode="External"/><Relationship Id="rId13586" Type="http://schemas.openxmlformats.org/officeDocument/2006/relationships/hyperlink" Target="https://ref.ly/Acts13:10" TargetMode="External"/><Relationship Id="rId13587" Type="http://schemas.openxmlformats.org/officeDocument/2006/relationships/hyperlink" Target="https://ref.ly/Luke8:33" TargetMode="External"/><Relationship Id="rId13588" Type="http://schemas.openxmlformats.org/officeDocument/2006/relationships/hyperlink" Target="https://ref.ly/2Cor2:11" TargetMode="External"/><Relationship Id="rId13589" Type="http://schemas.openxmlformats.org/officeDocument/2006/relationships/hyperlink" Target="https://ref.ly/Eph6:11" TargetMode="External"/><Relationship Id="rId13590" Type="http://schemas.openxmlformats.org/officeDocument/2006/relationships/hyperlink" Target="https://ref.ly/Jas4:7" TargetMode="External"/><Relationship Id="rId13591" Type="http://schemas.openxmlformats.org/officeDocument/2006/relationships/hyperlink" Target="https://ref.ly/John13:2" TargetMode="External"/><Relationship Id="rId13592" Type="http://schemas.openxmlformats.org/officeDocument/2006/relationships/hyperlink" Target="https://ref.ly/Acts5:3" TargetMode="External"/><Relationship Id="rId13593" Type="http://schemas.openxmlformats.org/officeDocument/2006/relationships/hyperlink" Target="https://ref.ly/1Thess2:18" TargetMode="External"/><Relationship Id="rId13594" Type="http://schemas.openxmlformats.org/officeDocument/2006/relationships/hyperlink" Target="https://ref.ly/Rev12:10" TargetMode="External"/><Relationship Id="rId13595" Type="http://schemas.openxmlformats.org/officeDocument/2006/relationships/hyperlink" Target="https://ref.ly/2Thess2:9" TargetMode="External"/><Relationship Id="rId13596" Type="http://schemas.openxmlformats.org/officeDocument/2006/relationships/hyperlink" Target="https://ref.ly/Rev2:9,Rev2:13" TargetMode="External"/><Relationship Id="rId13597" Type="http://schemas.openxmlformats.org/officeDocument/2006/relationships/hyperlink" Target="https://ref.ly/Rev13:2" TargetMode="External"/><Relationship Id="rId13598" Type="http://schemas.openxmlformats.org/officeDocument/2006/relationships/hyperlink" Target="https://ref.ly/1John3:8" TargetMode="External"/><Relationship Id="rId13599" Type="http://schemas.openxmlformats.org/officeDocument/2006/relationships/hyperlink" Target="https://ref.ly/Luke10:18" TargetMode="External"/><Relationship Id="rId13600" Type="http://schemas.openxmlformats.org/officeDocument/2006/relationships/hyperlink" Target="https://ref.ly/Rev12:1-Rev12:18" TargetMode="External"/><Relationship Id="rId13601" Type="http://schemas.openxmlformats.org/officeDocument/2006/relationships/hyperlink" Target="https://ref.ly/Ezra8:36" TargetMode="External"/><Relationship Id="rId13602" Type="http://schemas.openxmlformats.org/officeDocument/2006/relationships/hyperlink" Target="https://ref.ly/Esth3:12" TargetMode="External"/><Relationship Id="rId13603" Type="http://schemas.openxmlformats.org/officeDocument/2006/relationships/hyperlink" Target="https://ref.ly/Esth9:3" TargetMode="External"/><Relationship Id="rId13604" Type="http://schemas.openxmlformats.org/officeDocument/2006/relationships/hyperlink" Target="https://ref.ly/Dan6:1-Dan6:7" TargetMode="External"/><Relationship Id="rId13605" Type="http://schemas.openxmlformats.org/officeDocument/2006/relationships/hyperlink" Target="https://ref.ly/Gen36:37-Gen36:38" TargetMode="External"/><Relationship Id="rId13606" Type="http://schemas.openxmlformats.org/officeDocument/2006/relationships/hyperlink" Target="https://ref.ly/1Chr1:48-1Chr1:49" TargetMode="External"/><Relationship Id="rId13607" Type="http://schemas.openxmlformats.org/officeDocument/2006/relationships/hyperlink" Target="https://ref.ly/1Sam14:49-1Sam14:50" TargetMode="External"/><Relationship Id="rId13608" Type="http://schemas.openxmlformats.org/officeDocument/2006/relationships/hyperlink" Target="https://ref.ly/1Sam31:2" TargetMode="External"/><Relationship Id="rId13609" Type="http://schemas.openxmlformats.org/officeDocument/2006/relationships/hyperlink" Target="https://ref.ly/1Sam4:1-1Sam4:22" TargetMode="External"/><Relationship Id="rId13610" Type="http://schemas.openxmlformats.org/officeDocument/2006/relationships/hyperlink" Target="https://ref.ly/1Sam11:1" TargetMode="External"/><Relationship Id="rId13611" Type="http://schemas.openxmlformats.org/officeDocument/2006/relationships/hyperlink" Target="https://ref.ly/1Sam13:16-1Sam13:23" TargetMode="External"/><Relationship Id="rId13612" Type="http://schemas.openxmlformats.org/officeDocument/2006/relationships/hyperlink" Target="https://ref.ly/1Sam14:15-1Sam14:23" TargetMode="External"/><Relationship Id="rId13613" Type="http://schemas.openxmlformats.org/officeDocument/2006/relationships/hyperlink" Target="https://ref.ly/1Sam29:11" TargetMode="External"/><Relationship Id="rId13614" Type="http://schemas.openxmlformats.org/officeDocument/2006/relationships/hyperlink" Target="https://ref.ly/1Sam31:1" TargetMode="External"/><Relationship Id="rId13615" Type="http://schemas.openxmlformats.org/officeDocument/2006/relationships/hyperlink" Target="https://ref.ly/1Sam31:2-1Sam31:6" TargetMode="External"/><Relationship Id="rId13616" Type="http://schemas.openxmlformats.org/officeDocument/2006/relationships/hyperlink" Target="https://ref.ly/Exod15:18" TargetMode="External"/><Relationship Id="rId13617" Type="http://schemas.openxmlformats.org/officeDocument/2006/relationships/hyperlink" Target="https://ref.ly/Deut19:14-Deut19:20" TargetMode="External"/><Relationship Id="rId13618" Type="http://schemas.openxmlformats.org/officeDocument/2006/relationships/hyperlink" Target="https://ref.ly/1Sam8:6" TargetMode="External"/><Relationship Id="rId13619" Type="http://schemas.openxmlformats.org/officeDocument/2006/relationships/hyperlink" Target="https://ref.ly/1Sam13:8-1Sam13:15" TargetMode="External"/><Relationship Id="rId13620" Type="http://schemas.openxmlformats.org/officeDocument/2006/relationships/hyperlink" Target="https://ref.ly/1Sam9:1-1Sam9:2" TargetMode="External"/><Relationship Id="rId13621" Type="http://schemas.openxmlformats.org/officeDocument/2006/relationships/hyperlink" Target="https://ref.ly/1Sam11:12-1Sam11:13" TargetMode="External"/><Relationship Id="rId13622" Type="http://schemas.openxmlformats.org/officeDocument/2006/relationships/hyperlink" Target="https://ref.ly/1Sam16:14" TargetMode="External"/><Relationship Id="rId13623" Type="http://schemas.openxmlformats.org/officeDocument/2006/relationships/hyperlink" Target="https://ref.ly/Gen38:18" TargetMode="External"/><Relationship Id="rId13624" Type="http://schemas.openxmlformats.org/officeDocument/2006/relationships/hyperlink" Target="https://ref.ly/Song8:6" TargetMode="External"/><Relationship Id="rId13625" Type="http://schemas.openxmlformats.org/officeDocument/2006/relationships/hyperlink" Target="https://ref.ly/Dan6:17" TargetMode="External"/><Relationship Id="rId13626" Type="http://schemas.openxmlformats.org/officeDocument/2006/relationships/hyperlink" Target="https://ref.ly/Matt27:66" TargetMode="External"/><Relationship Id="rId13627" Type="http://schemas.openxmlformats.org/officeDocument/2006/relationships/hyperlink" Target="https://ref.ly/1Kgs21:8-1Kgs21:13" TargetMode="External"/><Relationship Id="rId13628" Type="http://schemas.openxmlformats.org/officeDocument/2006/relationships/hyperlink" Target="https://ref.ly/Jer32:10-Jer32:14" TargetMode="External"/><Relationship Id="rId13629" Type="http://schemas.openxmlformats.org/officeDocument/2006/relationships/hyperlink" Target="https://ref.ly/Job38:14" TargetMode="External"/><Relationship Id="rId13630" Type="http://schemas.openxmlformats.org/officeDocument/2006/relationships/hyperlink" Target="https://ref.ly/John3:33" TargetMode="External"/><Relationship Id="rId13631" Type="http://schemas.openxmlformats.org/officeDocument/2006/relationships/hyperlink" Target="https://ref.ly/Amos1:5,Amos1:8" TargetMode="External"/><Relationship Id="rId13632" Type="http://schemas.openxmlformats.org/officeDocument/2006/relationships/hyperlink" Target="https://ref.ly/Zech10:11" TargetMode="External"/><Relationship Id="rId13633" Type="http://schemas.openxmlformats.org/officeDocument/2006/relationships/hyperlink" Target="https://ref.ly/Esth4:11" TargetMode="External"/><Relationship Id="rId13634" Type="http://schemas.openxmlformats.org/officeDocument/2006/relationships/hyperlink" Target="https://ref.ly/Esth5:2" TargetMode="External"/><Relationship Id="rId13635" Type="http://schemas.openxmlformats.org/officeDocument/2006/relationships/hyperlink" Target="https://ref.ly/Esth8:4" TargetMode="External"/><Relationship Id="rId13636" Type="http://schemas.openxmlformats.org/officeDocument/2006/relationships/hyperlink" Target="https://ref.ly/Ezek19:11,Ezek19:14" TargetMode="External"/><Relationship Id="rId13637" Type="http://schemas.openxmlformats.org/officeDocument/2006/relationships/hyperlink" Target="https://ref.ly/Acts19:14" TargetMode="External"/><Relationship Id="rId13638" Type="http://schemas.openxmlformats.org/officeDocument/2006/relationships/hyperlink" Target="https://ref.ly/Gen14:17" TargetMode="External"/><Relationship Id="rId13639" Type="http://schemas.openxmlformats.org/officeDocument/2006/relationships/hyperlink" Target="https://ref.ly/Gen11:12-Gen11:15" TargetMode="External"/><Relationship Id="rId13640" Type="http://schemas.openxmlformats.org/officeDocument/2006/relationships/hyperlink" Target="https://ref.ly/1Chr1:18" TargetMode="External"/><Relationship Id="rId13641" Type="http://schemas.openxmlformats.org/officeDocument/2006/relationships/hyperlink" Target="https://ref.ly/Num26:20" TargetMode="External"/><Relationship Id="rId13642" Type="http://schemas.openxmlformats.org/officeDocument/2006/relationships/hyperlink" Target="https://ref.ly/Neh11:5" TargetMode="External"/><Relationship Id="rId13643" Type="http://schemas.openxmlformats.org/officeDocument/2006/relationships/hyperlink" Target="https://ref.ly/1Chr9:5" TargetMode="External"/><Relationship Id="rId13644" Type="http://schemas.openxmlformats.org/officeDocument/2006/relationships/hyperlink" Target="https://ref.ly/Exod6:17" TargetMode="External"/><Relationship Id="rId13645" Type="http://schemas.openxmlformats.org/officeDocument/2006/relationships/hyperlink" Target="https://ref.ly/Num3:18" TargetMode="External"/><Relationship Id="rId13646" Type="http://schemas.openxmlformats.org/officeDocument/2006/relationships/hyperlink" Target="https://ref.ly/1Chr6:17" TargetMode="External"/><Relationship Id="rId13647" Type="http://schemas.openxmlformats.org/officeDocument/2006/relationships/hyperlink" Target="https://ref.ly/Num3:21" TargetMode="External"/><Relationship Id="rId13648" Type="http://schemas.openxmlformats.org/officeDocument/2006/relationships/hyperlink" Target="https://ref.ly/1Chr23:7,1Chr23:10" TargetMode="External"/><Relationship Id="rId13649" Type="http://schemas.openxmlformats.org/officeDocument/2006/relationships/hyperlink" Target="https://ref.ly/Zech12:13" TargetMode="External"/><Relationship Id="rId13650" Type="http://schemas.openxmlformats.org/officeDocument/2006/relationships/hyperlink" Target="https://ref.ly/2Sam16:5-2Sam16:13" TargetMode="External"/><Relationship Id="rId13651" Type="http://schemas.openxmlformats.org/officeDocument/2006/relationships/hyperlink" Target="https://ref.ly/2Sam19:16-2Sam19:23" TargetMode="External"/><Relationship Id="rId13652" Type="http://schemas.openxmlformats.org/officeDocument/2006/relationships/hyperlink" Target="https://ref.ly/1Kgs2:8,1Kgs2:36-1Kgs2:44" TargetMode="External"/><Relationship Id="rId13653" Type="http://schemas.openxmlformats.org/officeDocument/2006/relationships/hyperlink" Target="https://ref.ly/2Sam21:21" TargetMode="External"/><Relationship Id="rId13654" Type="http://schemas.openxmlformats.org/officeDocument/2006/relationships/hyperlink" Target="https://ref.ly/1Sam16:9" TargetMode="External"/><Relationship Id="rId13655" Type="http://schemas.openxmlformats.org/officeDocument/2006/relationships/hyperlink" Target="https://ref.ly/1Kgs1:8" TargetMode="External"/><Relationship Id="rId13656" Type="http://schemas.openxmlformats.org/officeDocument/2006/relationships/hyperlink" Target="https://ref.ly/1Chr3:19" TargetMode="External"/><Relationship Id="rId13657" Type="http://schemas.openxmlformats.org/officeDocument/2006/relationships/hyperlink" Target="https://ref.ly/1Chr4:26-1Chr4:27" TargetMode="External"/><Relationship Id="rId13658" Type="http://schemas.openxmlformats.org/officeDocument/2006/relationships/hyperlink" Target="https://ref.ly/1Chr5:4" TargetMode="External"/><Relationship Id="rId13659" Type="http://schemas.openxmlformats.org/officeDocument/2006/relationships/hyperlink" Target="https://ref.ly/1Chr6:29" TargetMode="External"/><Relationship Id="rId13660" Type="http://schemas.openxmlformats.org/officeDocument/2006/relationships/hyperlink" Target="https://ref.ly/1Chr6:42" TargetMode="External"/><Relationship Id="rId13661" Type="http://schemas.openxmlformats.org/officeDocument/2006/relationships/hyperlink" Target="https://ref.ly/1Chr8:21" TargetMode="External"/><Relationship Id="rId13662" Type="http://schemas.openxmlformats.org/officeDocument/2006/relationships/hyperlink" Target="https://ref.ly/1Chr25:3,1Chr25:17" TargetMode="External"/><Relationship Id="rId13663" Type="http://schemas.openxmlformats.org/officeDocument/2006/relationships/hyperlink" Target="https://ref.ly/1Chr27:27" TargetMode="External"/><Relationship Id="rId13664" Type="http://schemas.openxmlformats.org/officeDocument/2006/relationships/hyperlink" Target="https://ref.ly/2Chr31:12-2Chr31:13" TargetMode="External"/><Relationship Id="rId13665" Type="http://schemas.openxmlformats.org/officeDocument/2006/relationships/hyperlink" Target="https://ref.ly/Ezra10:23,Ezra10:33,Ezra10:38" TargetMode="External"/><Relationship Id="rId13666" Type="http://schemas.openxmlformats.org/officeDocument/2006/relationships/hyperlink" Target="https://ref.ly/Dan1:2" TargetMode="External"/><Relationship Id="rId13667" Type="http://schemas.openxmlformats.org/officeDocument/2006/relationships/hyperlink" Target="https://ref.ly/Gen11:2" TargetMode="External"/><Relationship Id="rId13668" Type="http://schemas.openxmlformats.org/officeDocument/2006/relationships/hyperlink" Target="https://ref.ly/Gen9:1-Gen9:29" TargetMode="External"/><Relationship Id="rId13669" Type="http://schemas.openxmlformats.org/officeDocument/2006/relationships/hyperlink" Target="https://ref.ly/Zech5:11" TargetMode="External"/><Relationship Id="rId13670" Type="http://schemas.openxmlformats.org/officeDocument/2006/relationships/hyperlink" Target="https://ref.ly/Gen38:2-Gen38:5" TargetMode="External"/><Relationship Id="rId13671" Type="http://schemas.openxmlformats.org/officeDocument/2006/relationships/hyperlink" Target="https://ref.ly/1Chr3:5" TargetMode="External"/><Relationship Id="rId13672" Type="http://schemas.openxmlformats.org/officeDocument/2006/relationships/hyperlink" Target="https://ref.ly/1Kgs18:32" TargetMode="External"/><Relationship Id="rId13673" Type="http://schemas.openxmlformats.org/officeDocument/2006/relationships/hyperlink" Target="https://ref.ly/2Sam20:1-2Sam20:22" TargetMode="External"/><Relationship Id="rId13674" Type="http://schemas.openxmlformats.org/officeDocument/2006/relationships/hyperlink" Target="https://ref.ly/1Chr5:13,1Chr5:16-1Chr5:17" TargetMode="External"/><Relationship Id="rId13675" Type="http://schemas.openxmlformats.org/officeDocument/2006/relationships/hyperlink" Target="https://ref.ly/Gen14:4-Gen14:6" TargetMode="External"/><Relationship Id="rId13676" Type="http://schemas.openxmlformats.org/officeDocument/2006/relationships/hyperlink" Target="https://ref.ly/Josh24:4" TargetMode="External"/><Relationship Id="rId13677" Type="http://schemas.openxmlformats.org/officeDocument/2006/relationships/hyperlink" Target="https://ref.ly/Deut2:1-Deut2:8" TargetMode="External"/><Relationship Id="rId13678" Type="http://schemas.openxmlformats.org/officeDocument/2006/relationships/hyperlink" Target="https://ref.ly/1Chr4:42" TargetMode="External"/><Relationship Id="rId13679" Type="http://schemas.openxmlformats.org/officeDocument/2006/relationships/hyperlink" Target="https://ref.ly/2Chr20:10-2Chr20:23" TargetMode="External"/><Relationship Id="rId13680" Type="http://schemas.openxmlformats.org/officeDocument/2006/relationships/hyperlink" Target="https://ref.ly/2Chr25:11-2Chr25:14" TargetMode="External"/><Relationship Id="rId13681" Type="http://schemas.openxmlformats.org/officeDocument/2006/relationships/hyperlink" Target="https://ref.ly/Josh15:10" TargetMode="External"/><Relationship Id="rId13682" Type="http://schemas.openxmlformats.org/officeDocument/2006/relationships/hyperlink" Target="https://ref.ly/Num16:30,Num16:33" TargetMode="External"/><Relationship Id="rId13683" Type="http://schemas.openxmlformats.org/officeDocument/2006/relationships/hyperlink" Target="https://ref.ly/Prov15:24" TargetMode="External"/><Relationship Id="rId13684" Type="http://schemas.openxmlformats.org/officeDocument/2006/relationships/hyperlink" Target="https://ref.ly/Ezek26:20" TargetMode="External"/><Relationship Id="rId13685" Type="http://schemas.openxmlformats.org/officeDocument/2006/relationships/hyperlink" Target="https://ref.ly/Ps88:12" TargetMode="External"/><Relationship Id="rId13686" Type="http://schemas.openxmlformats.org/officeDocument/2006/relationships/hyperlink" Target="https://ref.ly/Ps30:9" TargetMode="External"/><Relationship Id="rId13687" Type="http://schemas.openxmlformats.org/officeDocument/2006/relationships/hyperlink" Target="https://ref.ly/Ps88:5,Ps88:11" TargetMode="External"/><Relationship Id="rId13688" Type="http://schemas.openxmlformats.org/officeDocument/2006/relationships/hyperlink" Target="https://ref.ly/2Kgs4:32-2Kgs4:37" TargetMode="External"/><Relationship Id="rId13689" Type="http://schemas.openxmlformats.org/officeDocument/2006/relationships/hyperlink" Target="https://ref.ly/1Sam28:7-1Sam28:25" TargetMode="External"/><Relationship Id="rId13690" Type="http://schemas.openxmlformats.org/officeDocument/2006/relationships/hyperlink" Target="https://ref.ly/Deut18:11" TargetMode="External"/><Relationship Id="rId13691" Type="http://schemas.openxmlformats.org/officeDocument/2006/relationships/hyperlink" Target="https://ref.ly/Gen25:8" TargetMode="External"/><Relationship Id="rId13692" Type="http://schemas.openxmlformats.org/officeDocument/2006/relationships/hyperlink" Target="https://ref.ly/Ezek32:17-Ezek32:30" TargetMode="External"/><Relationship Id="rId13693" Type="http://schemas.openxmlformats.org/officeDocument/2006/relationships/hyperlink" Target="https://ref.ly/Jonah2:2" TargetMode="External"/><Relationship Id="rId13694" Type="http://schemas.openxmlformats.org/officeDocument/2006/relationships/hyperlink" Target="https://ref.ly/Prov27:20" TargetMode="External"/><Relationship Id="rId13695" Type="http://schemas.openxmlformats.org/officeDocument/2006/relationships/hyperlink" Target="https://ref.ly/Prov30:16" TargetMode="External"/><Relationship Id="rId13696" Type="http://schemas.openxmlformats.org/officeDocument/2006/relationships/hyperlink" Target="https://ref.ly/Ps86:13" TargetMode="External"/><Relationship Id="rId13697" Type="http://schemas.openxmlformats.org/officeDocument/2006/relationships/hyperlink" Target="https://ref.ly/Job14:13-Job14:22" TargetMode="External"/><Relationship Id="rId13698" Type="http://schemas.openxmlformats.org/officeDocument/2006/relationships/hyperlink" Target="https://ref.ly/Dan12:1-Dan12:2" TargetMode="External"/><Relationship Id="rId13699" Type="http://schemas.openxmlformats.org/officeDocument/2006/relationships/hyperlink" Target="https://ref.ly/2Cor5:1-2Cor5:8" TargetMode="External"/><Relationship Id="rId13700" Type="http://schemas.openxmlformats.org/officeDocument/2006/relationships/hyperlink" Target="https://ref.ly/Phil1:21-Phil1:23" TargetMode="External"/><Relationship Id="rId13701" Type="http://schemas.openxmlformats.org/officeDocument/2006/relationships/hyperlink" Target="https://ref.ly/Sir14:12,Sir14:16" TargetMode="External"/><Relationship Id="rId13702" Type="http://schemas.openxmlformats.org/officeDocument/2006/relationships/hyperlink" Target="https://ref.ly/Sir17:27-Sir17:28" TargetMode="External"/><Relationship Id="rId13703" Type="http://schemas.openxmlformats.org/officeDocument/2006/relationships/hyperlink" Target="https://ref.ly/Mark9:48" TargetMode="External"/><Relationship Id="rId13704" Type="http://schemas.openxmlformats.org/officeDocument/2006/relationships/hyperlink" Target="https://ref.ly/John5:22,John5:27" TargetMode="External"/><Relationship Id="rId13705" Type="http://schemas.openxmlformats.org/officeDocument/2006/relationships/hyperlink" Target="https://ref.ly/2Tim4:1" TargetMode="External"/><Relationship Id="rId13706" Type="http://schemas.openxmlformats.org/officeDocument/2006/relationships/hyperlink" Target="https://ref.ly/Luke16:22" TargetMode="External"/><Relationship Id="rId13707" Type="http://schemas.openxmlformats.org/officeDocument/2006/relationships/hyperlink" Target="https://ref.ly/2Cor12:2-2Cor12:3" TargetMode="External"/><Relationship Id="rId13708" Type="http://schemas.openxmlformats.org/officeDocument/2006/relationships/hyperlink" Target="https://ref.ly/Rev21:1-Rev21:2" TargetMode="External"/><Relationship Id="rId13709" Type="http://schemas.openxmlformats.org/officeDocument/2006/relationships/hyperlink" Target="https://ref.ly/Rev22:1-Rev22:2" TargetMode="External"/><Relationship Id="rId13710" Type="http://schemas.openxmlformats.org/officeDocument/2006/relationships/hyperlink" Target="https://ref.ly/Eph4:9" TargetMode="External"/><Relationship Id="rId13711" Type="http://schemas.openxmlformats.org/officeDocument/2006/relationships/hyperlink" Target="https://ref.ly/1Thess4:13-1Thess4:17" TargetMode="External"/><Relationship Id="rId13712" Type="http://schemas.openxmlformats.org/officeDocument/2006/relationships/hyperlink" Target="https://ref.ly/2Cor5:8" TargetMode="External"/><Relationship Id="rId13713" Type="http://schemas.openxmlformats.org/officeDocument/2006/relationships/hyperlink" Target="https://ref.ly/2Cor12:2-2Cor12:4" TargetMode="External"/><Relationship Id="rId13714" Type="http://schemas.openxmlformats.org/officeDocument/2006/relationships/hyperlink" Target="https://ref.ly/Rev17:1-Rev17:18" TargetMode="External"/><Relationship Id="rId13715" Type="http://schemas.openxmlformats.org/officeDocument/2006/relationships/hyperlink" Target="https://ref.ly/Rev20:13" TargetMode="External"/><Relationship Id="rId13716" Type="http://schemas.openxmlformats.org/officeDocument/2006/relationships/hyperlink" Target="https://ref.ly/Rev20:1" TargetMode="External"/><Relationship Id="rId13717" Type="http://schemas.openxmlformats.org/officeDocument/2006/relationships/hyperlink" Target="https://ref.ly/Rev6:9-Rev6:11" TargetMode="External"/><Relationship Id="rId13718" Type="http://schemas.openxmlformats.org/officeDocument/2006/relationships/hyperlink" Target="https://ref.ly/Deut31:16" TargetMode="External"/><Relationship Id="rId13719" Type="http://schemas.openxmlformats.org/officeDocument/2006/relationships/hyperlink" Target="https://ref.ly/2Sam7:12" TargetMode="External"/><Relationship Id="rId13720" Type="http://schemas.openxmlformats.org/officeDocument/2006/relationships/hyperlink" Target="https://ref.ly/Matt9:24" TargetMode="External"/><Relationship Id="rId13721" Type="http://schemas.openxmlformats.org/officeDocument/2006/relationships/hyperlink" Target="https://ref.ly/John11:11" TargetMode="External"/><Relationship Id="rId13722" Type="http://schemas.openxmlformats.org/officeDocument/2006/relationships/hyperlink" Target="https://ref.ly/1Cor11:30" TargetMode="External"/><Relationship Id="rId13723" Type="http://schemas.openxmlformats.org/officeDocument/2006/relationships/hyperlink" Target="https://ref.ly/1Cor15:20,1Cor15:51" TargetMode="External"/><Relationship Id="rId13724" Type="http://schemas.openxmlformats.org/officeDocument/2006/relationships/hyperlink" Target="https://ref.ly/Prov5:5" TargetMode="External"/><Relationship Id="rId13725" Type="http://schemas.openxmlformats.org/officeDocument/2006/relationships/hyperlink" Target="https://ref.ly/Job38:17" TargetMode="External"/><Relationship Id="rId13726" Type="http://schemas.openxmlformats.org/officeDocument/2006/relationships/hyperlink" Target="https://ref.ly/Job26:5-Job26:6" TargetMode="External"/><Relationship Id="rId13727" Type="http://schemas.openxmlformats.org/officeDocument/2006/relationships/hyperlink" Target="https://ref.ly/Job17:16" TargetMode="External"/><Relationship Id="rId13728" Type="http://schemas.openxmlformats.org/officeDocument/2006/relationships/hyperlink" Target="https://ref.ly/Jonah2:2-Jonah2:3" TargetMode="External"/><Relationship Id="rId13729" Type="http://schemas.openxmlformats.org/officeDocument/2006/relationships/hyperlink" Target="https://ref.ly/Wis2:1" TargetMode="External"/><Relationship Id="rId13730" Type="http://schemas.openxmlformats.org/officeDocument/2006/relationships/hyperlink" Target="https://ref.ly/Wis3:1" TargetMode="External"/><Relationship Id="rId13731" Type="http://schemas.openxmlformats.org/officeDocument/2006/relationships/hyperlink" Target="https://ref.ly/Matt11:23" TargetMode="External"/><Relationship Id="rId13732" Type="http://schemas.openxmlformats.org/officeDocument/2006/relationships/hyperlink" Target="https://ref.ly/Luke10:15" TargetMode="External"/><Relationship Id="rId13733" Type="http://schemas.openxmlformats.org/officeDocument/2006/relationships/hyperlink" Target="https://ref.ly/Prov1:12" TargetMode="External"/><Relationship Id="rId13734" Type="http://schemas.openxmlformats.org/officeDocument/2006/relationships/hyperlink" Target="https://ref.ly/Isa5:14" TargetMode="External"/><Relationship Id="rId13735" Type="http://schemas.openxmlformats.org/officeDocument/2006/relationships/hyperlink" Target="https://ref.ly/Isa28:15,Isa28:18" TargetMode="External"/><Relationship Id="rId13736" Type="http://schemas.openxmlformats.org/officeDocument/2006/relationships/hyperlink" Target="https://ref.ly/Hab2:5" TargetMode="External"/><Relationship Id="rId13737" Type="http://schemas.openxmlformats.org/officeDocument/2006/relationships/hyperlink" Target="https://ref.ly/Acts2:27" TargetMode="External"/><Relationship Id="rId13738" Type="http://schemas.openxmlformats.org/officeDocument/2006/relationships/hyperlink" Target="https://ref.ly/Dan11:7-Dan11:9" TargetMode="External"/><Relationship Id="rId13739" Type="http://schemas.openxmlformats.org/officeDocument/2006/relationships/hyperlink" Target="https://ref.ly/1Macc11:8-1Macc11:19" TargetMode="External"/><Relationship Id="rId13740" Type="http://schemas.openxmlformats.org/officeDocument/2006/relationships/hyperlink" Target="https://ref.ly/Acts13:4-Acts13:5" TargetMode="External"/><Relationship Id="rId13741" Type="http://schemas.openxmlformats.org/officeDocument/2006/relationships/hyperlink" Target="https://ref.ly/Acts14:26" TargetMode="External"/><Relationship Id="rId13742" Type="http://schemas.openxmlformats.org/officeDocument/2006/relationships/hyperlink" Target="https://ref.ly/Gen9:18,Gen9:23,Gen9:26-Gen9:27" TargetMode="External"/><Relationship Id="rId13743" Type="http://schemas.openxmlformats.org/officeDocument/2006/relationships/hyperlink" Target="https://ref.ly/1Chr1:4,1Chr1:17-1Chr1:27" TargetMode="External"/><Relationship Id="rId13744" Type="http://schemas.openxmlformats.org/officeDocument/2006/relationships/hyperlink" Target="https://ref.ly/1Chr1:4" TargetMode="External"/><Relationship Id="rId13745" Type="http://schemas.openxmlformats.org/officeDocument/2006/relationships/hyperlink" Target="https://ref.ly/Gen10:1,Gen10:21-Gen10:31" TargetMode="External"/><Relationship Id="rId13746" Type="http://schemas.openxmlformats.org/officeDocument/2006/relationships/hyperlink" Target="https://ref.ly/Gen11:10-Gen11:11" TargetMode="External"/><Relationship Id="rId13747" Type="http://schemas.openxmlformats.org/officeDocument/2006/relationships/hyperlink" Target="https://ref.ly/Gen9:20-Gen9:29" TargetMode="External"/><Relationship Id="rId13748" Type="http://schemas.openxmlformats.org/officeDocument/2006/relationships/hyperlink" Target="https://ref.ly/Gen11:10-Gen11:27" TargetMode="External"/><Relationship Id="rId13749" Type="http://schemas.openxmlformats.org/officeDocument/2006/relationships/hyperlink" Target="https://ref.ly/Gen9:27" TargetMode="External"/><Relationship Id="rId13750" Type="http://schemas.openxmlformats.org/officeDocument/2006/relationships/hyperlink" Target="https://ref.ly/Gen11:16-Gen11:27" TargetMode="External"/><Relationship Id="rId13751" Type="http://schemas.openxmlformats.org/officeDocument/2006/relationships/hyperlink" Target="https://ref.ly/Luke19:41" TargetMode="External"/><Relationship Id="rId13752" Type="http://schemas.openxmlformats.org/officeDocument/2006/relationships/hyperlink" Target="https://ref.ly/Luke23:28" TargetMode="External"/><Relationship Id="rId13753" Type="http://schemas.openxmlformats.org/officeDocument/2006/relationships/hyperlink" Target="https://ref.ly/Luke6:27-Luke6:28" TargetMode="External"/><Relationship Id="rId13754" Type="http://schemas.openxmlformats.org/officeDocument/2006/relationships/hyperlink" Target="https://ref.ly/Acts7:60" TargetMode="External"/><Relationship Id="rId13755" Type="http://schemas.openxmlformats.org/officeDocument/2006/relationships/hyperlink" Target="https://ref.ly/Luke23:40" TargetMode="External"/><Relationship Id="rId13756" Type="http://schemas.openxmlformats.org/officeDocument/2006/relationships/hyperlink" Target="https://ref.ly/Luke23:40-Luke23:42" TargetMode="External"/><Relationship Id="rId13757" Type="http://schemas.openxmlformats.org/officeDocument/2006/relationships/hyperlink" Target="https://ref.ly/John19:26-John19:27" TargetMode="External"/><Relationship Id="rId13758" Type="http://schemas.openxmlformats.org/officeDocument/2006/relationships/hyperlink" Target="https://ref.ly/John19:28" TargetMode="External"/><Relationship Id="rId13759" Type="http://schemas.openxmlformats.org/officeDocument/2006/relationships/hyperlink" Target="https://ref.ly/Mark15:23" TargetMode="External"/><Relationship Id="rId13760" Type="http://schemas.openxmlformats.org/officeDocument/2006/relationships/hyperlink" Target="https://ref.ly/Ps69:21" TargetMode="External"/><Relationship Id="rId13761" Type="http://schemas.openxmlformats.org/officeDocument/2006/relationships/hyperlink" Target="https://ref.ly/John19:10-John19:11" TargetMode="External"/><Relationship Id="rId13762" Type="http://schemas.openxmlformats.org/officeDocument/2006/relationships/hyperlink" Target="https://ref.ly/Acts7:59" TargetMode="External"/><Relationship Id="rId13763" Type="http://schemas.openxmlformats.org/officeDocument/2006/relationships/hyperlink" Target="https://ref.ly/Gen21:22-Gen21:31" TargetMode="External"/><Relationship Id="rId13764" Type="http://schemas.openxmlformats.org/officeDocument/2006/relationships/hyperlink" Target="https://ref.ly/Num5:21" TargetMode="External"/><Relationship Id="rId13765" Type="http://schemas.openxmlformats.org/officeDocument/2006/relationships/hyperlink" Target="https://ref.ly/Neh10:29" TargetMode="External"/><Relationship Id="rId13766" Type="http://schemas.openxmlformats.org/officeDocument/2006/relationships/hyperlink" Target="https://ref.ly/Dan9:11" TargetMode="External"/><Relationship Id="rId13767" Type="http://schemas.openxmlformats.org/officeDocument/2006/relationships/hyperlink" Target="https://ref.ly/Deut29:14-Deut29:29" TargetMode="External"/><Relationship Id="rId13768" Type="http://schemas.openxmlformats.org/officeDocument/2006/relationships/hyperlink" Target="https://ref.ly/Exod20:7" TargetMode="External"/><Relationship Id="rId13769" Type="http://schemas.openxmlformats.org/officeDocument/2006/relationships/hyperlink" Target="https://ref.ly/Jer12:16" TargetMode="External"/><Relationship Id="rId13770" Type="http://schemas.openxmlformats.org/officeDocument/2006/relationships/hyperlink" Target="https://ref.ly/Amos8:14" TargetMode="External"/><Relationship Id="rId13771" Type="http://schemas.openxmlformats.org/officeDocument/2006/relationships/hyperlink" Target="https://ref.ly/Ezek17:16-Ezek17:17" TargetMode="External"/><Relationship Id="rId13772" Type="http://schemas.openxmlformats.org/officeDocument/2006/relationships/hyperlink" Target="https://ref.ly/Hos10:4" TargetMode="External"/><Relationship Id="rId13773" Type="http://schemas.openxmlformats.org/officeDocument/2006/relationships/hyperlink" Target="https://ref.ly/Exod22:10-Exod22:11" TargetMode="External"/><Relationship Id="rId13774" Type="http://schemas.openxmlformats.org/officeDocument/2006/relationships/hyperlink" Target="https://ref.ly/Lev5:1" TargetMode="External"/><Relationship Id="rId13775" Type="http://schemas.openxmlformats.org/officeDocument/2006/relationships/hyperlink" Target="https://ref.ly/Lev6:3" TargetMode="External"/><Relationship Id="rId13776" Type="http://schemas.openxmlformats.org/officeDocument/2006/relationships/hyperlink" Target="https://ref.ly/Num5:11-Num5:28" TargetMode="External"/><Relationship Id="rId13777" Type="http://schemas.openxmlformats.org/officeDocument/2006/relationships/hyperlink" Target="https://ref.ly/Matt5:33" TargetMode="External"/><Relationship Id="rId13778" Type="http://schemas.openxmlformats.org/officeDocument/2006/relationships/hyperlink" Target="https://ref.ly/Matt5:34-Matt5:37" TargetMode="External"/><Relationship Id="rId13779" Type="http://schemas.openxmlformats.org/officeDocument/2006/relationships/hyperlink" Target="https://ref.ly/Gal1:20" TargetMode="External"/><Relationship Id="rId13780" Type="http://schemas.openxmlformats.org/officeDocument/2006/relationships/hyperlink" Target="https://ref.ly/Gen50:24" TargetMode="External"/><Relationship Id="rId13781" Type="http://schemas.openxmlformats.org/officeDocument/2006/relationships/hyperlink" Target="https://ref.ly/Ps89:19-Ps89:37" TargetMode="External"/><Relationship Id="rId13782" Type="http://schemas.openxmlformats.org/officeDocument/2006/relationships/hyperlink" Target="https://ref.ly/Ps110:1-Ps110:4" TargetMode="External"/><Relationship Id="rId13783" Type="http://schemas.openxmlformats.org/officeDocument/2006/relationships/hyperlink" Target="https://ref.ly/Isa11:8" TargetMode="External"/><Relationship Id="rId13784" Type="http://schemas.openxmlformats.org/officeDocument/2006/relationships/hyperlink" Target="https://ref.ly/Acts28:3" TargetMode="External"/><Relationship Id="rId13785" Type="http://schemas.openxmlformats.org/officeDocument/2006/relationships/hyperlink" Target="https://ref.ly/Job26:13" TargetMode="External"/><Relationship Id="rId13786" Type="http://schemas.openxmlformats.org/officeDocument/2006/relationships/hyperlink" Target="https://ref.ly/Isa27:1" TargetMode="External"/><Relationship Id="rId13787" Type="http://schemas.openxmlformats.org/officeDocument/2006/relationships/hyperlink" Target="https://ref.ly/Amos9:3" TargetMode="External"/><Relationship Id="rId13788" Type="http://schemas.openxmlformats.org/officeDocument/2006/relationships/hyperlink" Target="https://ref.ly/Gen3:14" TargetMode="External"/><Relationship Id="rId13789" Type="http://schemas.openxmlformats.org/officeDocument/2006/relationships/hyperlink" Target="https://ref.ly/Rev12:14-Rev12:15" TargetMode="External"/><Relationship Id="rId13790" Type="http://schemas.openxmlformats.org/officeDocument/2006/relationships/hyperlink" Target="https://ref.ly/Rev20:2" TargetMode="External"/><Relationship Id="rId13791" Type="http://schemas.openxmlformats.org/officeDocument/2006/relationships/hyperlink" Target="https://ref.ly/Gen49:17" TargetMode="External"/><Relationship Id="rId13792" Type="http://schemas.openxmlformats.org/officeDocument/2006/relationships/hyperlink" Target="https://ref.ly/Eccl10:8,Eccl10:11" TargetMode="External"/><Relationship Id="rId13793" Type="http://schemas.openxmlformats.org/officeDocument/2006/relationships/hyperlink" Target="https://ref.ly/Isa14:29" TargetMode="External"/><Relationship Id="rId13794" Type="http://schemas.openxmlformats.org/officeDocument/2006/relationships/hyperlink" Target="https://ref.ly/Amos5:19" TargetMode="External"/><Relationship Id="rId13795" Type="http://schemas.openxmlformats.org/officeDocument/2006/relationships/hyperlink" Target="https://ref.ly/Rev9:19" TargetMode="External"/><Relationship Id="rId13796" Type="http://schemas.openxmlformats.org/officeDocument/2006/relationships/hyperlink" Target="https://ref.ly/Ps58:4-Ps58:5" TargetMode="External"/><Relationship Id="rId13797" Type="http://schemas.openxmlformats.org/officeDocument/2006/relationships/hyperlink" Target="https://ref.ly/Ps140:3" TargetMode="External"/><Relationship Id="rId13798" Type="http://schemas.openxmlformats.org/officeDocument/2006/relationships/hyperlink" Target="https://ref.ly/Prov23:32" TargetMode="External"/><Relationship Id="rId13799" Type="http://schemas.openxmlformats.org/officeDocument/2006/relationships/hyperlink" Target="https://ref.ly/Jer8:17" TargetMode="External"/><Relationship Id="rId13800" Type="http://schemas.openxmlformats.org/officeDocument/2006/relationships/hyperlink" Target="https://ref.ly/Matt23:33" TargetMode="External"/><Relationship Id="rId13801" Type="http://schemas.openxmlformats.org/officeDocument/2006/relationships/hyperlink" Target="https://ref.ly/Matt3:7" TargetMode="External"/><Relationship Id="rId13802" Type="http://schemas.openxmlformats.org/officeDocument/2006/relationships/hyperlink" Target="https://ref.ly/Gen11:20-Gen11:23" TargetMode="External"/><Relationship Id="rId13803" Type="http://schemas.openxmlformats.org/officeDocument/2006/relationships/hyperlink" Target="https://ref.ly/Deut15:12-Deut15:15" TargetMode="External"/><Relationship Id="rId13804" Type="http://schemas.openxmlformats.org/officeDocument/2006/relationships/hyperlink" Target="https://ref.ly/Gen30:3" TargetMode="External"/><Relationship Id="rId13805" Type="http://schemas.openxmlformats.org/officeDocument/2006/relationships/hyperlink" Target="https://ref.ly/Exod33:11" TargetMode="External"/><Relationship Id="rId13806" Type="http://schemas.openxmlformats.org/officeDocument/2006/relationships/hyperlink" Target="https://ref.ly/2Kgs4:12" TargetMode="External"/><Relationship Id="rId13807" Type="http://schemas.openxmlformats.org/officeDocument/2006/relationships/hyperlink" Target="https://ref.ly/Ezra8:17" TargetMode="External"/><Relationship Id="rId13808" Type="http://schemas.openxmlformats.org/officeDocument/2006/relationships/hyperlink" Target="https://ref.ly/Isa61:6" TargetMode="External"/><Relationship Id="rId13809" Type="http://schemas.openxmlformats.org/officeDocument/2006/relationships/hyperlink" Target="https://ref.ly/Ezek44:11" TargetMode="External"/><Relationship Id="rId13810" Type="http://schemas.openxmlformats.org/officeDocument/2006/relationships/hyperlink" Target="https://ref.ly/Exod28:35" TargetMode="External"/><Relationship Id="rId13811" Type="http://schemas.openxmlformats.org/officeDocument/2006/relationships/hyperlink" Target="https://ref.ly/Joel1:9" TargetMode="External"/><Relationship Id="rId13812" Type="http://schemas.openxmlformats.org/officeDocument/2006/relationships/hyperlink" Target="https://ref.ly/Joel2:17" TargetMode="External"/><Relationship Id="rId13813" Type="http://schemas.openxmlformats.org/officeDocument/2006/relationships/hyperlink" Target="https://ref.ly/1Chr27:1" TargetMode="External"/><Relationship Id="rId13814" Type="http://schemas.openxmlformats.org/officeDocument/2006/relationships/hyperlink" Target="https://ref.ly/Prov29:12" TargetMode="External"/><Relationship Id="rId13815" Type="http://schemas.openxmlformats.org/officeDocument/2006/relationships/hyperlink" Target="https://ref.ly/Ps104:4" TargetMode="External"/><Relationship Id="rId13816" Type="http://schemas.openxmlformats.org/officeDocument/2006/relationships/hyperlink" Target="https://ref.ly/Exod12:45" TargetMode="External"/><Relationship Id="rId13817" Type="http://schemas.openxmlformats.org/officeDocument/2006/relationships/hyperlink" Target="https://ref.ly/Job7:1" TargetMode="External"/><Relationship Id="rId13818" Type="http://schemas.openxmlformats.org/officeDocument/2006/relationships/hyperlink" Target="https://ref.ly/Gen9:25" TargetMode="External"/><Relationship Id="rId13819" Type="http://schemas.openxmlformats.org/officeDocument/2006/relationships/hyperlink" Target="https://ref.ly/Gen12:16" TargetMode="External"/><Relationship Id="rId13820" Type="http://schemas.openxmlformats.org/officeDocument/2006/relationships/hyperlink" Target="https://ref.ly/Deut5:15" TargetMode="External"/><Relationship Id="rId13821" Type="http://schemas.openxmlformats.org/officeDocument/2006/relationships/hyperlink" Target="https://ref.ly/Deut15:17" TargetMode="External"/><Relationship Id="rId13822" Type="http://schemas.openxmlformats.org/officeDocument/2006/relationships/hyperlink" Target="https://ref.ly/Neh2:10" TargetMode="External"/><Relationship Id="rId13823" Type="http://schemas.openxmlformats.org/officeDocument/2006/relationships/hyperlink" Target="https://ref.ly/Gen24:14" TargetMode="External"/><Relationship Id="rId13824" Type="http://schemas.openxmlformats.org/officeDocument/2006/relationships/hyperlink" Target="https://ref.ly/Num12:7" TargetMode="External"/><Relationship Id="rId13825" Type="http://schemas.openxmlformats.org/officeDocument/2006/relationships/hyperlink" Target="https://ref.ly/Josh1:7" TargetMode="External"/><Relationship Id="rId13826" Type="http://schemas.openxmlformats.org/officeDocument/2006/relationships/hyperlink" Target="https://ref.ly/2Kgs21:8" TargetMode="External"/><Relationship Id="rId13827" Type="http://schemas.openxmlformats.org/officeDocument/2006/relationships/hyperlink" Target="https://ref.ly/Deut34:5" TargetMode="External"/><Relationship Id="rId13828" Type="http://schemas.openxmlformats.org/officeDocument/2006/relationships/hyperlink" Target="https://ref.ly/Josh1:13" TargetMode="External"/><Relationship Id="rId13829" Type="http://schemas.openxmlformats.org/officeDocument/2006/relationships/hyperlink" Target="https://ref.ly/Josh8:31-Josh8:33" TargetMode="External"/><Relationship Id="rId13830" Type="http://schemas.openxmlformats.org/officeDocument/2006/relationships/hyperlink" Target="https://ref.ly/Isa50:4-Isa50:9" TargetMode="External"/><Relationship Id="rId13831" Type="http://schemas.openxmlformats.org/officeDocument/2006/relationships/hyperlink" Target="https://ref.ly/Mark1:20" TargetMode="External"/><Relationship Id="rId13832" Type="http://schemas.openxmlformats.org/officeDocument/2006/relationships/hyperlink" Target="https://ref.ly/Luke15:17-Luke15:19" TargetMode="External"/><Relationship Id="rId13833" Type="http://schemas.openxmlformats.org/officeDocument/2006/relationships/hyperlink" Target="https://ref.ly/John10:12-John10:14" TargetMode="External"/><Relationship Id="rId13834" Type="http://schemas.openxmlformats.org/officeDocument/2006/relationships/hyperlink" Target="https://ref.ly/Matt8:9" TargetMode="External"/><Relationship Id="rId13835" Type="http://schemas.openxmlformats.org/officeDocument/2006/relationships/hyperlink" Target="https://ref.ly/Matt10:24-Matt10:25" TargetMode="External"/><Relationship Id="rId13836" Type="http://schemas.openxmlformats.org/officeDocument/2006/relationships/hyperlink" Target="https://ref.ly/Matt13:27-Matt13:28" TargetMode="External"/><Relationship Id="rId13837" Type="http://schemas.openxmlformats.org/officeDocument/2006/relationships/hyperlink" Target="https://ref.ly/Mark12:2-Mark12:4" TargetMode="External"/><Relationship Id="rId13838" Type="http://schemas.openxmlformats.org/officeDocument/2006/relationships/hyperlink" Target="https://ref.ly/Luke7:2-Luke7:3,Luke7:8-Luke7:10" TargetMode="External"/><Relationship Id="rId13839" Type="http://schemas.openxmlformats.org/officeDocument/2006/relationships/hyperlink" Target="https://ref.ly/John4:51" TargetMode="External"/><Relationship Id="rId13840" Type="http://schemas.openxmlformats.org/officeDocument/2006/relationships/hyperlink" Target="https://ref.ly/John8:34" TargetMode="External"/><Relationship Id="rId13841" Type="http://schemas.openxmlformats.org/officeDocument/2006/relationships/hyperlink" Target="https://ref.ly/John13:16" TargetMode="External"/><Relationship Id="rId13842" Type="http://schemas.openxmlformats.org/officeDocument/2006/relationships/hyperlink" Target="https://ref.ly/Luke16:13" TargetMode="External"/><Relationship Id="rId13843" Type="http://schemas.openxmlformats.org/officeDocument/2006/relationships/hyperlink" Target="https://ref.ly/Exod14:31" TargetMode="External"/><Relationship Id="rId13844" Type="http://schemas.openxmlformats.org/officeDocument/2006/relationships/hyperlink" Target="https://ref.ly/Isa41:8-Isa41:9" TargetMode="External"/><Relationship Id="rId13845" Type="http://schemas.openxmlformats.org/officeDocument/2006/relationships/hyperlink" Target="https://ref.ly/Gen26:24" TargetMode="External"/><Relationship Id="rId13846" Type="http://schemas.openxmlformats.org/officeDocument/2006/relationships/hyperlink" Target="https://ref.ly/Ezek28:25" TargetMode="External"/><Relationship Id="rId13847" Type="http://schemas.openxmlformats.org/officeDocument/2006/relationships/hyperlink" Target="https://ref.ly/1Kgs8:53,1Kgs8:56" TargetMode="External"/><Relationship Id="rId13848" Type="http://schemas.openxmlformats.org/officeDocument/2006/relationships/hyperlink" Target="https://ref.ly/2Sam7:26-2Sam7:29" TargetMode="External"/><Relationship Id="rId13849" Type="http://schemas.openxmlformats.org/officeDocument/2006/relationships/hyperlink" Target="https://ref.ly/Jer33:21-Jer33:26" TargetMode="External"/><Relationship Id="rId13850" Type="http://schemas.openxmlformats.org/officeDocument/2006/relationships/hyperlink" Target="https://ref.ly/Ezek37:24" TargetMode="External"/><Relationship Id="rId13851" Type="http://schemas.openxmlformats.org/officeDocument/2006/relationships/hyperlink" Target="https://ref.ly/2Kgs10:10" TargetMode="External"/><Relationship Id="rId13852" Type="http://schemas.openxmlformats.org/officeDocument/2006/relationships/hyperlink" Target="https://ref.ly/Num14:24" TargetMode="External"/><Relationship Id="rId13853" Type="http://schemas.openxmlformats.org/officeDocument/2006/relationships/hyperlink" Target="https://ref.ly/Josh24:29" TargetMode="External"/><Relationship Id="rId13854" Type="http://schemas.openxmlformats.org/officeDocument/2006/relationships/hyperlink" Target="https://ref.ly/Judg2:8" TargetMode="External"/><Relationship Id="rId13855" Type="http://schemas.openxmlformats.org/officeDocument/2006/relationships/hyperlink" Target="https://ref.ly/Isa42:1-Isa42:7" TargetMode="External"/><Relationship Id="rId13856" Type="http://schemas.openxmlformats.org/officeDocument/2006/relationships/hyperlink" Target="https://ref.ly/Isa52:13" TargetMode="External"/><Relationship Id="rId13857" Type="http://schemas.openxmlformats.org/officeDocument/2006/relationships/hyperlink" Target="https://ref.ly/Acts3:13,Acts3:26" TargetMode="External"/><Relationship Id="rId13858" Type="http://schemas.openxmlformats.org/officeDocument/2006/relationships/hyperlink" Target="https://ref.ly/Acts4:27,Acts4:30" TargetMode="External"/><Relationship Id="rId13859" Type="http://schemas.openxmlformats.org/officeDocument/2006/relationships/hyperlink" Target="https://ref.ly/Mark10:45,Mark10:14" TargetMode="External"/><Relationship Id="rId13860" Type="http://schemas.openxmlformats.org/officeDocument/2006/relationships/hyperlink" Target="https://ref.ly/Mark9:12" TargetMode="External"/><Relationship Id="rId13861" Type="http://schemas.openxmlformats.org/officeDocument/2006/relationships/hyperlink" Target="https://ref.ly/Rom5:19" TargetMode="External"/><Relationship Id="rId13862" Type="http://schemas.openxmlformats.org/officeDocument/2006/relationships/hyperlink" Target="https://ref.ly/Isa53:7" TargetMode="External"/><Relationship Id="rId13863" Type="http://schemas.openxmlformats.org/officeDocument/2006/relationships/hyperlink" Target="https://ref.ly/Gen5:3-Gen5:8" TargetMode="External"/><Relationship Id="rId13864" Type="http://schemas.openxmlformats.org/officeDocument/2006/relationships/hyperlink" Target="https://ref.ly/Gen2:25" TargetMode="External"/><Relationship Id="rId13865" Type="http://schemas.openxmlformats.org/officeDocument/2006/relationships/hyperlink" Target="https://ref.ly/Prov5:18-Prov5:19" TargetMode="External"/><Relationship Id="rId13866" Type="http://schemas.openxmlformats.org/officeDocument/2006/relationships/hyperlink" Target="https://ref.ly/Eccl9:9" TargetMode="External"/><Relationship Id="rId13867" Type="http://schemas.openxmlformats.org/officeDocument/2006/relationships/hyperlink" Target="https://ref.ly/1Tim4:3-1Tim4:5" TargetMode="External"/><Relationship Id="rId13868" Type="http://schemas.openxmlformats.org/officeDocument/2006/relationships/hyperlink" Target="https://ref.ly/Gen2:18-Gen2:24" TargetMode="External"/><Relationship Id="rId13869" Type="http://schemas.openxmlformats.org/officeDocument/2006/relationships/hyperlink" Target="https://ref.ly/Gen3:7-Gen3:10" TargetMode="External"/><Relationship Id="rId13870" Type="http://schemas.openxmlformats.org/officeDocument/2006/relationships/hyperlink" Target="https://ref.ly/1Cor6:18" TargetMode="External"/><Relationship Id="rId13871" Type="http://schemas.openxmlformats.org/officeDocument/2006/relationships/hyperlink" Target="https://ref.ly/1Thess4:3" TargetMode="External"/><Relationship Id="rId13872" Type="http://schemas.openxmlformats.org/officeDocument/2006/relationships/hyperlink" Target="https://ref.ly/Lev18:22" TargetMode="External"/><Relationship Id="rId13873" Type="http://schemas.openxmlformats.org/officeDocument/2006/relationships/hyperlink" Target="https://ref.ly/Rom1:26-Rom1:27" TargetMode="External"/><Relationship Id="rId13874" Type="http://schemas.openxmlformats.org/officeDocument/2006/relationships/hyperlink" Target="https://ref.ly/1Cor6:9-1Cor6:10" TargetMode="External"/><Relationship Id="rId13875" Type="http://schemas.openxmlformats.org/officeDocument/2006/relationships/hyperlink" Target="https://ref.ly/1Tim1:9-1Tim1:10" TargetMode="External"/><Relationship Id="rId13876" Type="http://schemas.openxmlformats.org/officeDocument/2006/relationships/hyperlink" Target="https://ref.ly/Rom1:24-Rom1:27" TargetMode="External"/><Relationship Id="rId13877" Type="http://schemas.openxmlformats.org/officeDocument/2006/relationships/hyperlink" Target="https://ref.ly/Gen39:12" TargetMode="External"/><Relationship Id="rId13878" Type="http://schemas.openxmlformats.org/officeDocument/2006/relationships/hyperlink" Target="https://ref.ly/2Tim2:22" TargetMode="External"/><Relationship Id="rId13879" Type="http://schemas.openxmlformats.org/officeDocument/2006/relationships/hyperlink" Target="https://ref.ly/Exod29:45-Exod29:46" TargetMode="External"/><Relationship Id="rId13880" Type="http://schemas.openxmlformats.org/officeDocument/2006/relationships/hyperlink" Target="https://ref.ly/Num5:3" TargetMode="External"/><Relationship Id="rId13881" Type="http://schemas.openxmlformats.org/officeDocument/2006/relationships/hyperlink" Target="https://ref.ly/1Kgs6:13" TargetMode="External"/><Relationship Id="rId13882" Type="http://schemas.openxmlformats.org/officeDocument/2006/relationships/hyperlink" Target="https://ref.ly/Ps68:16-Ps68:18" TargetMode="External"/><Relationship Id="rId13883" Type="http://schemas.openxmlformats.org/officeDocument/2006/relationships/hyperlink" Target="https://ref.ly/Ps74:2" TargetMode="External"/><Relationship Id="rId13884" Type="http://schemas.openxmlformats.org/officeDocument/2006/relationships/hyperlink" Target="https://ref.ly/Isa8:18" TargetMode="External"/><Relationship Id="rId13885" Type="http://schemas.openxmlformats.org/officeDocument/2006/relationships/hyperlink" Target="https://ref.ly/Ezek43:7-Ezek43:9" TargetMode="External"/><Relationship Id="rId13886" Type="http://schemas.openxmlformats.org/officeDocument/2006/relationships/hyperlink" Target="https://ref.ly/Joel3:17,Joel3:21" TargetMode="External"/><Relationship Id="rId13887" Type="http://schemas.openxmlformats.org/officeDocument/2006/relationships/hyperlink" Target="https://ref.ly/Zech2:10-Zech2:11" TargetMode="External"/><Relationship Id="rId13888" Type="http://schemas.openxmlformats.org/officeDocument/2006/relationships/hyperlink" Target="https://ref.ly/Exod19:16-Exod19:18" TargetMode="External"/><Relationship Id="rId13889" Type="http://schemas.openxmlformats.org/officeDocument/2006/relationships/hyperlink" Target="https://ref.ly/1Kgs8:10-1Kgs8:13" TargetMode="External"/><Relationship Id="rId13890" Type="http://schemas.openxmlformats.org/officeDocument/2006/relationships/hyperlink" Target="https://ref.ly/2Chr6:1-2Chr6:2" TargetMode="External"/><Relationship Id="rId13891" Type="http://schemas.openxmlformats.org/officeDocument/2006/relationships/hyperlink" Target="https://ref.ly/Luke2:9" TargetMode="External"/><Relationship Id="rId13892" Type="http://schemas.openxmlformats.org/officeDocument/2006/relationships/hyperlink" Target="https://ref.ly/Luke9:29" TargetMode="External"/><Relationship Id="rId13893" Type="http://schemas.openxmlformats.org/officeDocument/2006/relationships/hyperlink" Target="https://ref.ly/Acts9:3-Acts9:6" TargetMode="External"/><Relationship Id="rId13894" Type="http://schemas.openxmlformats.org/officeDocument/2006/relationships/hyperlink" Target="https://ref.ly/Acts26:12-Acts26:16" TargetMode="External"/><Relationship Id="rId13895" Type="http://schemas.openxmlformats.org/officeDocument/2006/relationships/hyperlink" Target="https://ref.ly/John1:32" TargetMode="External"/><Relationship Id="rId13896" Type="http://schemas.openxmlformats.org/officeDocument/2006/relationships/hyperlink" Target="https://ref.ly/1John2:6,1John2:14,1John2:24,1John2:27-1John2:28" TargetMode="External"/><Relationship Id="rId13897" Type="http://schemas.openxmlformats.org/officeDocument/2006/relationships/hyperlink" Target="https://ref.ly/1John3:6,1John3:14-1John3:15,1John3:24" TargetMode="External"/><Relationship Id="rId13898" Type="http://schemas.openxmlformats.org/officeDocument/2006/relationships/hyperlink" Target="https://ref.ly/2John1:9" TargetMode="External"/><Relationship Id="rId13899" Type="http://schemas.openxmlformats.org/officeDocument/2006/relationships/hyperlink" Target="https://ref.ly/Col1:15-Col1:23" TargetMode="External"/><Relationship Id="rId13900" Type="http://schemas.openxmlformats.org/officeDocument/2006/relationships/hyperlink" Target="https://ref.ly/Prov15:11" TargetMode="External"/><Relationship Id="rId13901" Type="http://schemas.openxmlformats.org/officeDocument/2006/relationships/hyperlink" Target="https://ref.ly/Num16:30-Num16:33" TargetMode="External"/><Relationship Id="rId13902" Type="http://schemas.openxmlformats.org/officeDocument/2006/relationships/hyperlink" Target="https://ref.ly/Ps39:12-Ps39:13" TargetMode="External"/><Relationship Id="rId13903" Type="http://schemas.openxmlformats.org/officeDocument/2006/relationships/hyperlink" Target="https://ref.ly/Isa38:10" TargetMode="External"/><Relationship Id="rId13904" Type="http://schemas.openxmlformats.org/officeDocument/2006/relationships/hyperlink" Target="https://ref.ly/Gen25:8,Gen25:17" TargetMode="External"/><Relationship Id="rId13905" Type="http://schemas.openxmlformats.org/officeDocument/2006/relationships/hyperlink" Target="https://ref.ly/Gen35:29" TargetMode="External"/><Relationship Id="rId13906" Type="http://schemas.openxmlformats.org/officeDocument/2006/relationships/hyperlink" Target="https://ref.ly/Gen49:29" TargetMode="External"/><Relationship Id="rId13907" Type="http://schemas.openxmlformats.org/officeDocument/2006/relationships/hyperlink" Target="https://ref.ly/1Sam28:11" TargetMode="External"/><Relationship Id="rId13908" Type="http://schemas.openxmlformats.org/officeDocument/2006/relationships/hyperlink" Target="https://ref.ly/Deut18:9-Deut18:11" TargetMode="External"/><Relationship Id="rId13909" Type="http://schemas.openxmlformats.org/officeDocument/2006/relationships/hyperlink" Target="https://ref.ly/1Sam28:3,1Sam28:9" TargetMode="External"/><Relationship Id="rId13910" Type="http://schemas.openxmlformats.org/officeDocument/2006/relationships/hyperlink" Target="https://ref.ly/Gen34:20,Gen34:24" TargetMode="External"/><Relationship Id="rId13911" Type="http://schemas.openxmlformats.org/officeDocument/2006/relationships/hyperlink" Target="https://ref.ly/Gen37:12-Gen37:14" TargetMode="External"/><Relationship Id="rId13912" Type="http://schemas.openxmlformats.org/officeDocument/2006/relationships/hyperlink" Target="https://ref.ly/Josh20:7" TargetMode="External"/><Relationship Id="rId13913" Type="http://schemas.openxmlformats.org/officeDocument/2006/relationships/hyperlink" Target="https://ref.ly/Josh21:21" TargetMode="External"/><Relationship Id="rId13914" Type="http://schemas.openxmlformats.org/officeDocument/2006/relationships/hyperlink" Target="https://ref.ly/Josh24:1,Josh24:25" TargetMode="External"/><Relationship Id="rId13915" Type="http://schemas.openxmlformats.org/officeDocument/2006/relationships/hyperlink" Target="https://ref.ly/Judg9:1-Judg9:7,Judg9:23-Judg9:57" TargetMode="External"/><Relationship Id="rId13916" Type="http://schemas.openxmlformats.org/officeDocument/2006/relationships/hyperlink" Target="https://ref.ly/1Kgs12:1" TargetMode="External"/><Relationship Id="rId13917" Type="http://schemas.openxmlformats.org/officeDocument/2006/relationships/hyperlink" Target="https://ref.ly/Judg9:3-Judg9:4,Judg9:46" TargetMode="External"/><Relationship Id="rId13918" Type="http://schemas.openxmlformats.org/officeDocument/2006/relationships/hyperlink" Target="https://ref.ly/Isa23:1-Isa23:2" TargetMode="External"/><Relationship Id="rId13919" Type="http://schemas.openxmlformats.org/officeDocument/2006/relationships/hyperlink" Target="https://ref.ly/2Sam24:6-2Sam24:7" TargetMode="External"/><Relationship Id="rId13920" Type="http://schemas.openxmlformats.org/officeDocument/2006/relationships/hyperlink" Target="https://ref.ly/1Kgs17:9" TargetMode="External"/><Relationship Id="rId13921" Type="http://schemas.openxmlformats.org/officeDocument/2006/relationships/hyperlink" Target="https://ref.ly/Isa23:2,Isa23:4,Isa23:12" TargetMode="External"/><Relationship Id="rId13922" Type="http://schemas.openxmlformats.org/officeDocument/2006/relationships/hyperlink" Target="https://ref.ly/Jer25:22" TargetMode="External"/><Relationship Id="rId13923" Type="http://schemas.openxmlformats.org/officeDocument/2006/relationships/hyperlink" Target="https://ref.ly/Jer27:3" TargetMode="External"/><Relationship Id="rId13924" Type="http://schemas.openxmlformats.org/officeDocument/2006/relationships/hyperlink" Target="https://ref.ly/Ezek27:8" TargetMode="External"/><Relationship Id="rId13925" Type="http://schemas.openxmlformats.org/officeDocument/2006/relationships/hyperlink" Target="https://ref.ly/Joel3:4" TargetMode="External"/><Relationship Id="rId13926" Type="http://schemas.openxmlformats.org/officeDocument/2006/relationships/hyperlink" Target="https://ref.ly/Gen10:15,Gen10:19" TargetMode="External"/><Relationship Id="rId13927" Type="http://schemas.openxmlformats.org/officeDocument/2006/relationships/hyperlink" Target="https://ref.ly/Eph3:11" TargetMode="External"/><Relationship Id="rId13928" Type="http://schemas.openxmlformats.org/officeDocument/2006/relationships/hyperlink" Target="https://ref.ly/Matt13:39-Matt13:49" TargetMode="External"/><Relationship Id="rId13929" Type="http://schemas.openxmlformats.org/officeDocument/2006/relationships/hyperlink" Target="https://ref.ly/Eph3:21" TargetMode="External"/><Relationship Id="rId13930" Type="http://schemas.openxmlformats.org/officeDocument/2006/relationships/hyperlink" Target="https://ref.ly/Eph2:2" TargetMode="External"/><Relationship Id="rId13931" Type="http://schemas.openxmlformats.org/officeDocument/2006/relationships/hyperlink" Target="https://ref.ly/Jer10:2" TargetMode="External"/><Relationship Id="rId13932" Type="http://schemas.openxmlformats.org/officeDocument/2006/relationships/hyperlink" Target="https://ref.ly/Deut4:34" TargetMode="External"/><Relationship Id="rId13933" Type="http://schemas.openxmlformats.org/officeDocument/2006/relationships/hyperlink" Target="https://ref.ly/Deut6:22" TargetMode="External"/><Relationship Id="rId13934" Type="http://schemas.openxmlformats.org/officeDocument/2006/relationships/hyperlink" Target="https://ref.ly/Neh9:10" TargetMode="External"/><Relationship Id="rId13935" Type="http://schemas.openxmlformats.org/officeDocument/2006/relationships/hyperlink" Target="https://ref.ly/Ps105:27" TargetMode="External"/><Relationship Id="rId13936" Type="http://schemas.openxmlformats.org/officeDocument/2006/relationships/hyperlink" Target="https://ref.ly/Jer32:20" TargetMode="External"/><Relationship Id="rId13937" Type="http://schemas.openxmlformats.org/officeDocument/2006/relationships/hyperlink" Target="https://ref.ly/Deut11:18" TargetMode="External"/><Relationship Id="rId13938" Type="http://schemas.openxmlformats.org/officeDocument/2006/relationships/hyperlink" Target="https://ref.ly/Ezek20:12,Ezek20:20" TargetMode="External"/><Relationship Id="rId13939" Type="http://schemas.openxmlformats.org/officeDocument/2006/relationships/hyperlink" Target="https://ref.ly/Exod4:1-Exod4:8" TargetMode="External"/><Relationship Id="rId13940" Type="http://schemas.openxmlformats.org/officeDocument/2006/relationships/hyperlink" Target="https://ref.ly/Deut13:1-Deut13:5" TargetMode="External"/><Relationship Id="rId13941" Type="http://schemas.openxmlformats.org/officeDocument/2006/relationships/hyperlink" Target="https://ref.ly/2Kgs20:8-2Kgs20:9" TargetMode="External"/><Relationship Id="rId13942" Type="http://schemas.openxmlformats.org/officeDocument/2006/relationships/hyperlink" Target="https://ref.ly/Isa38:21-Isa38:22" TargetMode="External"/><Relationship Id="rId13943" Type="http://schemas.openxmlformats.org/officeDocument/2006/relationships/hyperlink" Target="https://ref.ly/1Sam2:34" TargetMode="External"/><Relationship Id="rId13944" Type="http://schemas.openxmlformats.org/officeDocument/2006/relationships/hyperlink" Target="https://ref.ly/1Sam14:10" TargetMode="External"/><Relationship Id="rId13945" Type="http://schemas.openxmlformats.org/officeDocument/2006/relationships/hyperlink" Target="https://ref.ly/2Kgs19:29" TargetMode="External"/><Relationship Id="rId13946" Type="http://schemas.openxmlformats.org/officeDocument/2006/relationships/hyperlink" Target="https://ref.ly/Isa37:30" TargetMode="External"/><Relationship Id="rId13947" Type="http://schemas.openxmlformats.org/officeDocument/2006/relationships/hyperlink" Target="https://ref.ly/1Sam10:7-1Sam10:9" TargetMode="External"/><Relationship Id="rId13948" Type="http://schemas.openxmlformats.org/officeDocument/2006/relationships/hyperlink" Target="https://ref.ly/Matt24:3,Matt24:30" TargetMode="External"/><Relationship Id="rId13949" Type="http://schemas.openxmlformats.org/officeDocument/2006/relationships/hyperlink" Target="https://ref.ly/Mark13:4,Mark13:22" TargetMode="External"/><Relationship Id="rId13950" Type="http://schemas.openxmlformats.org/officeDocument/2006/relationships/hyperlink" Target="https://ref.ly/Luke21:11,Luke21:25-Luke21:26" TargetMode="External"/><Relationship Id="rId13951" Type="http://schemas.openxmlformats.org/officeDocument/2006/relationships/hyperlink" Target="https://ref.ly/Acts4:30" TargetMode="External"/><Relationship Id="rId13952" Type="http://schemas.openxmlformats.org/officeDocument/2006/relationships/hyperlink" Target="https://ref.ly/Acts14:3" TargetMode="External"/><Relationship Id="rId13953" Type="http://schemas.openxmlformats.org/officeDocument/2006/relationships/hyperlink" Target="https://ref.ly/Heb2:4" TargetMode="External"/><Relationship Id="rId13954" Type="http://schemas.openxmlformats.org/officeDocument/2006/relationships/hyperlink" Target="https://ref.ly/Mark8:11-Mark8:12" TargetMode="External"/><Relationship Id="rId13955" Type="http://schemas.openxmlformats.org/officeDocument/2006/relationships/hyperlink" Target="https://ref.ly/Luke11:19,Luke11:30" TargetMode="External"/><Relationship Id="rId13956" Type="http://schemas.openxmlformats.org/officeDocument/2006/relationships/hyperlink" Target="https://ref.ly/John2:23" TargetMode="External"/><Relationship Id="rId13957" Type="http://schemas.openxmlformats.org/officeDocument/2006/relationships/hyperlink" Target="https://ref.ly/John4:48" TargetMode="External"/><Relationship Id="rId13958" Type="http://schemas.openxmlformats.org/officeDocument/2006/relationships/hyperlink" Target="https://ref.ly/John20:30" TargetMode="External"/><Relationship Id="rId13959" Type="http://schemas.openxmlformats.org/officeDocument/2006/relationships/hyperlink" Target="https://ref.ly/Gen27:36" TargetMode="External"/><Relationship Id="rId13960" Type="http://schemas.openxmlformats.org/officeDocument/2006/relationships/hyperlink" Target="https://ref.ly/1Sam7:5-1Sam7:9" TargetMode="External"/><Relationship Id="rId13961" Type="http://schemas.openxmlformats.org/officeDocument/2006/relationships/hyperlink" Target="https://ref.ly/1Sam12:19-1Sam12:23" TargetMode="External"/><Relationship Id="rId13962" Type="http://schemas.openxmlformats.org/officeDocument/2006/relationships/hyperlink" Target="https://ref.ly/Gen21:3-Gen21:6" TargetMode="External"/><Relationship Id="rId13963" Type="http://schemas.openxmlformats.org/officeDocument/2006/relationships/hyperlink" Target="https://ref.ly/1Sam25:25" TargetMode="External"/><Relationship Id="rId13964" Type="http://schemas.openxmlformats.org/officeDocument/2006/relationships/hyperlink" Target="https://ref.ly/Judg8:22-Judg8:23" TargetMode="External"/><Relationship Id="rId13965" Type="http://schemas.openxmlformats.org/officeDocument/2006/relationships/hyperlink" Target="https://ref.ly/2Sam3:4" TargetMode="External"/><Relationship Id="rId13966" Type="http://schemas.openxmlformats.org/officeDocument/2006/relationships/hyperlink" Target="https://ref.ly/Exod33:12" TargetMode="External"/><Relationship Id="rId13967" Type="http://schemas.openxmlformats.org/officeDocument/2006/relationships/hyperlink" Target="https://ref.ly/2Kgs23:34" TargetMode="External"/><Relationship Id="rId13968" Type="http://schemas.openxmlformats.org/officeDocument/2006/relationships/hyperlink" Target="https://ref.ly/Dan1:6-Dan1:7" TargetMode="External"/><Relationship Id="rId13969" Type="http://schemas.openxmlformats.org/officeDocument/2006/relationships/hyperlink" Target="https://ref.ly/Gen32:27" TargetMode="External"/><Relationship Id="rId13970" Type="http://schemas.openxmlformats.org/officeDocument/2006/relationships/hyperlink" Target="https://ref.ly/Hos12:3-Hos12:4" TargetMode="External"/><Relationship Id="rId13971" Type="http://schemas.openxmlformats.org/officeDocument/2006/relationships/hyperlink" Target="https://ref.ly/John1:42" TargetMode="External"/><Relationship Id="rId13972" Type="http://schemas.openxmlformats.org/officeDocument/2006/relationships/hyperlink" Target="https://ref.ly/2Cor1:19" TargetMode="External"/><Relationship Id="rId13973" Type="http://schemas.openxmlformats.org/officeDocument/2006/relationships/hyperlink" Target="https://ref.ly/Acts15:34" TargetMode="External"/><Relationship Id="rId13974" Type="http://schemas.openxmlformats.org/officeDocument/2006/relationships/hyperlink" Target="https://ref.ly/Acts15:40" TargetMode="External"/><Relationship Id="rId13975" Type="http://schemas.openxmlformats.org/officeDocument/2006/relationships/hyperlink" Target="https://ref.ly/Acts16:19,Acts16:25,Acts16:29" TargetMode="External"/><Relationship Id="rId13976" Type="http://schemas.openxmlformats.org/officeDocument/2006/relationships/hyperlink" Target="https://ref.ly/Acts17:4,Acts17:10,Acts17:14-Acts17:15" TargetMode="External"/><Relationship Id="rId13977" Type="http://schemas.openxmlformats.org/officeDocument/2006/relationships/hyperlink" Target="https://ref.ly/Acts18:5" TargetMode="External"/><Relationship Id="rId13978" Type="http://schemas.openxmlformats.org/officeDocument/2006/relationships/hyperlink" Target="https://ref.ly/Gen29:33" TargetMode="External"/><Relationship Id="rId13979" Type="http://schemas.openxmlformats.org/officeDocument/2006/relationships/hyperlink" Target="https://ref.ly/Num26:12-Num26:14" TargetMode="External"/><Relationship Id="rId13980" Type="http://schemas.openxmlformats.org/officeDocument/2006/relationships/hyperlink" Target="https://ref.ly/Num1:23" TargetMode="External"/><Relationship Id="rId13981" Type="http://schemas.openxmlformats.org/officeDocument/2006/relationships/hyperlink" Target="https://ref.ly/Gen34:25" TargetMode="External"/><Relationship Id="rId13982" Type="http://schemas.openxmlformats.org/officeDocument/2006/relationships/hyperlink" Target="https://ref.ly/Luke2:25-Luke2:35" TargetMode="External"/><Relationship Id="rId13983" Type="http://schemas.openxmlformats.org/officeDocument/2006/relationships/hyperlink" Target="https://ref.ly/Acts15:14" TargetMode="External"/><Relationship Id="rId13984" Type="http://schemas.openxmlformats.org/officeDocument/2006/relationships/hyperlink" Target="https://ref.ly/Josh19:1,Josh19:9" TargetMode="External"/><Relationship Id="rId13985" Type="http://schemas.openxmlformats.org/officeDocument/2006/relationships/hyperlink" Target="https://ref.ly/Judg1:3" TargetMode="External"/><Relationship Id="rId13986" Type="http://schemas.openxmlformats.org/officeDocument/2006/relationships/hyperlink" Target="https://ref.ly/Josh21:9-Josh21:16" TargetMode="External"/><Relationship Id="rId13987" Type="http://schemas.openxmlformats.org/officeDocument/2006/relationships/hyperlink" Target="https://ref.ly/1Chr4:24-1Chr4:42" TargetMode="External"/><Relationship Id="rId13988" Type="http://schemas.openxmlformats.org/officeDocument/2006/relationships/hyperlink" Target="https://ref.ly/1Chr4:24-1Chr4:43" TargetMode="External"/><Relationship Id="rId13989" Type="http://schemas.openxmlformats.org/officeDocument/2006/relationships/hyperlink" Target="https://ref.ly/2Chr15:9" TargetMode="External"/><Relationship Id="rId13990" Type="http://schemas.openxmlformats.org/officeDocument/2006/relationships/hyperlink" Target="https://ref.ly/1Chr4:28-1Chr4:33" TargetMode="External"/><Relationship Id="rId13991" Type="http://schemas.openxmlformats.org/officeDocument/2006/relationships/hyperlink" Target="https://ref.ly/Gen25:13-Gen25:14" TargetMode="External"/><Relationship Id="rId13992" Type="http://schemas.openxmlformats.org/officeDocument/2006/relationships/hyperlink" Target="https://ref.ly/1Chr1:29-1Chr1:30" TargetMode="External"/><Relationship Id="rId13993" Type="http://schemas.openxmlformats.org/officeDocument/2006/relationships/hyperlink" Target="https://ref.ly/Rev7:7" TargetMode="External"/><Relationship Id="rId13994" Type="http://schemas.openxmlformats.org/officeDocument/2006/relationships/hyperlink" Target="https://ref.ly/Lev7:38" TargetMode="External"/><Relationship Id="rId13995" Type="http://schemas.openxmlformats.org/officeDocument/2006/relationships/hyperlink" Target="https://ref.ly/Exod16:1" TargetMode="External"/><Relationship Id="rId13996" Type="http://schemas.openxmlformats.org/officeDocument/2006/relationships/hyperlink" Target="https://ref.ly/Exod17:1" TargetMode="External"/><Relationship Id="rId13997" Type="http://schemas.openxmlformats.org/officeDocument/2006/relationships/hyperlink" Target="https://ref.ly/Num33:11-Num33:12" TargetMode="External"/><Relationship Id="rId13998" Type="http://schemas.openxmlformats.org/officeDocument/2006/relationships/hyperlink" Target="https://ref.ly/1Kgs8:9" TargetMode="External"/><Relationship Id="rId13999" Type="http://schemas.openxmlformats.org/officeDocument/2006/relationships/hyperlink" Target="https://ref.ly/1Kgs19:8" TargetMode="External"/><Relationship Id="rId14000" Type="http://schemas.openxmlformats.org/officeDocument/2006/relationships/hyperlink" Target="https://ref.ly/2Chr5:10" TargetMode="External"/><Relationship Id="rId14001" Type="http://schemas.openxmlformats.org/officeDocument/2006/relationships/hyperlink" Target="https://ref.ly/Ps106:19" TargetMode="External"/><Relationship Id="rId14002" Type="http://schemas.openxmlformats.org/officeDocument/2006/relationships/hyperlink" Target="https://ref.ly/Exod34:1-Exod34:35" TargetMode="External"/><Relationship Id="rId14003" Type="http://schemas.openxmlformats.org/officeDocument/2006/relationships/hyperlink" Target="https://ref.ly/Judg5:5" TargetMode="External"/><Relationship Id="rId14004" Type="http://schemas.openxmlformats.org/officeDocument/2006/relationships/hyperlink" Target="https://ref.ly/Ps68:8,Ps68:17" TargetMode="External"/><Relationship Id="rId14005" Type="http://schemas.openxmlformats.org/officeDocument/2006/relationships/hyperlink" Target="https://ref.ly/Neh9:13" TargetMode="External"/><Relationship Id="rId14006" Type="http://schemas.openxmlformats.org/officeDocument/2006/relationships/hyperlink" Target="https://ref.ly/Acts7:30,Acts7:38" TargetMode="External"/><Relationship Id="rId14007" Type="http://schemas.openxmlformats.org/officeDocument/2006/relationships/hyperlink" Target="https://ref.ly/Gal4:21-Gal4:26" TargetMode="External"/><Relationship Id="rId14008" Type="http://schemas.openxmlformats.org/officeDocument/2006/relationships/hyperlink" Target="https://ref.ly/Isa1:9-Isa1:10" TargetMode="External"/><Relationship Id="rId14009" Type="http://schemas.openxmlformats.org/officeDocument/2006/relationships/hyperlink" Target="https://ref.ly/Jer23:14" TargetMode="External"/><Relationship Id="rId14010" Type="http://schemas.openxmlformats.org/officeDocument/2006/relationships/hyperlink" Target="https://ref.ly/Jer49:18" TargetMode="External"/><Relationship Id="rId14011" Type="http://schemas.openxmlformats.org/officeDocument/2006/relationships/hyperlink" Target="https://ref.ly/Lam4:6" TargetMode="External"/><Relationship Id="rId14012" Type="http://schemas.openxmlformats.org/officeDocument/2006/relationships/hyperlink" Target="https://ref.ly/Amos4:11" TargetMode="External"/><Relationship Id="rId14013" Type="http://schemas.openxmlformats.org/officeDocument/2006/relationships/hyperlink" Target="https://ref.ly/Zeph2:9" TargetMode="External"/><Relationship Id="rId14014" Type="http://schemas.openxmlformats.org/officeDocument/2006/relationships/hyperlink" Target="https://ref.ly/Matt10:15" TargetMode="External"/><Relationship Id="rId14015" Type="http://schemas.openxmlformats.org/officeDocument/2006/relationships/hyperlink" Target="https://ref.ly/Luke10:12" TargetMode="External"/><Relationship Id="rId14016" Type="http://schemas.openxmlformats.org/officeDocument/2006/relationships/hyperlink" Target="https://ref.ly/Luke17:29" TargetMode="External"/><Relationship Id="rId14017" Type="http://schemas.openxmlformats.org/officeDocument/2006/relationships/hyperlink" Target="https://ref.ly/Rev11:8" TargetMode="External"/><Relationship Id="rId14018" Type="http://schemas.openxmlformats.org/officeDocument/2006/relationships/hyperlink" Target="https://ref.ly/Gen14:1-Gen14:5" TargetMode="External"/><Relationship Id="rId14019" Type="http://schemas.openxmlformats.org/officeDocument/2006/relationships/hyperlink" Target="https://ref.ly/Gen18:20-Gen18:33" TargetMode="External"/><Relationship Id="rId14020" Type="http://schemas.openxmlformats.org/officeDocument/2006/relationships/hyperlink" Target="https://ref.ly/Gen1:14-Gen1:15" TargetMode="External"/><Relationship Id="rId14021" Type="http://schemas.openxmlformats.org/officeDocument/2006/relationships/hyperlink" Target="https://ref.ly/Exod29:39" TargetMode="External"/><Relationship Id="rId14022" Type="http://schemas.openxmlformats.org/officeDocument/2006/relationships/hyperlink" Target="https://ref.ly/Num28:4" TargetMode="External"/><Relationship Id="rId14023" Type="http://schemas.openxmlformats.org/officeDocument/2006/relationships/hyperlink" Target="https://ref.ly/Gen8:22" TargetMode="External"/><Relationship Id="rId14024" Type="http://schemas.openxmlformats.org/officeDocument/2006/relationships/hyperlink" Target="https://ref.ly/Song2:11" TargetMode="External"/><Relationship Id="rId14025" Type="http://schemas.openxmlformats.org/officeDocument/2006/relationships/hyperlink" Target="https://ref.ly/Hab3:11" TargetMode="External"/><Relationship Id="rId14026" Type="http://schemas.openxmlformats.org/officeDocument/2006/relationships/hyperlink" Target="https://ref.ly/Ps19:4-Ps19:5" TargetMode="External"/><Relationship Id="rId14027" Type="http://schemas.openxmlformats.org/officeDocument/2006/relationships/hyperlink" Target="https://ref.ly/Ps72:5" TargetMode="External"/><Relationship Id="rId14028" Type="http://schemas.openxmlformats.org/officeDocument/2006/relationships/hyperlink" Target="https://ref.ly/Ps19:7" TargetMode="External"/><Relationship Id="rId14029" Type="http://schemas.openxmlformats.org/officeDocument/2006/relationships/hyperlink" Target="https://ref.ly/Ps84:11" TargetMode="External"/><Relationship Id="rId14030" Type="http://schemas.openxmlformats.org/officeDocument/2006/relationships/hyperlink" Target="https://ref.ly/Song6:10" TargetMode="External"/><Relationship Id="rId14031" Type="http://schemas.openxmlformats.org/officeDocument/2006/relationships/hyperlink" Target="https://ref.ly/Eccl1:3" TargetMode="External"/><Relationship Id="rId14032" Type="http://schemas.openxmlformats.org/officeDocument/2006/relationships/hyperlink" Target="https://ref.ly/Eccl2:11" TargetMode="External"/><Relationship Id="rId14033" Type="http://schemas.openxmlformats.org/officeDocument/2006/relationships/hyperlink" Target="https://ref.ly/Ezek32:7" TargetMode="External"/><Relationship Id="rId14034" Type="http://schemas.openxmlformats.org/officeDocument/2006/relationships/hyperlink" Target="https://ref.ly/Joel2:10" TargetMode="External"/><Relationship Id="rId14035" Type="http://schemas.openxmlformats.org/officeDocument/2006/relationships/hyperlink" Target="https://ref.ly/Rev8:12" TargetMode="External"/><Relationship Id="rId14036" Type="http://schemas.openxmlformats.org/officeDocument/2006/relationships/hyperlink" Target="https://ref.ly/Matt27:48" TargetMode="External"/><Relationship Id="rId14037" Type="http://schemas.openxmlformats.org/officeDocument/2006/relationships/hyperlink" Target="https://ref.ly/Mark15:36" TargetMode="External"/><Relationship Id="rId14038" Type="http://schemas.openxmlformats.org/officeDocument/2006/relationships/hyperlink" Target="https://ref.ly/Mark12:42" TargetMode="External"/><Relationship Id="rId14039" Type="http://schemas.openxmlformats.org/officeDocument/2006/relationships/hyperlink" Target="https://ref.ly/Gen3:16-Gen3:19" TargetMode="External"/><Relationship Id="rId14040" Type="http://schemas.openxmlformats.org/officeDocument/2006/relationships/hyperlink" Target="https://ref.ly/Rom8:18-Rom8:21" TargetMode="External"/><Relationship Id="rId14041" Type="http://schemas.openxmlformats.org/officeDocument/2006/relationships/hyperlink" Target="https://ref.ly/Job14:1-Job14:6" TargetMode="External"/><Relationship Id="rId14042" Type="http://schemas.openxmlformats.org/officeDocument/2006/relationships/hyperlink" Target="https://ref.ly/2Chr20:9" TargetMode="External"/><Relationship Id="rId14043" Type="http://schemas.openxmlformats.org/officeDocument/2006/relationships/hyperlink" Target="https://ref.ly/Exod4:31" TargetMode="External"/><Relationship Id="rId14044" Type="http://schemas.openxmlformats.org/officeDocument/2006/relationships/hyperlink" Target="https://ref.ly/Neh9:26-Neh9:27" TargetMode="External"/><Relationship Id="rId14045" Type="http://schemas.openxmlformats.org/officeDocument/2006/relationships/hyperlink" Target="https://ref.ly/Isa26:16" TargetMode="External"/><Relationship Id="rId14046" Type="http://schemas.openxmlformats.org/officeDocument/2006/relationships/hyperlink" Target="https://ref.ly/Jer10:18" TargetMode="External"/><Relationship Id="rId14047" Type="http://schemas.openxmlformats.org/officeDocument/2006/relationships/hyperlink" Target="https://ref.ly/Ps34:19" TargetMode="External"/><Relationship Id="rId14048" Type="http://schemas.openxmlformats.org/officeDocument/2006/relationships/hyperlink" Target="https://ref.ly/Ps37:39" TargetMode="External"/><Relationship Id="rId14049" Type="http://schemas.openxmlformats.org/officeDocument/2006/relationships/hyperlink" Target="https://ref.ly/Ps138:7" TargetMode="External"/><Relationship Id="rId14050" Type="http://schemas.openxmlformats.org/officeDocument/2006/relationships/hyperlink" Target="https://ref.ly/Isa53:2-Isa53:12" TargetMode="External"/><Relationship Id="rId14051" Type="http://schemas.openxmlformats.org/officeDocument/2006/relationships/hyperlink" Target="https://ref.ly/Jer15:15" TargetMode="External"/><Relationship Id="rId14052" Type="http://schemas.openxmlformats.org/officeDocument/2006/relationships/hyperlink" Target="https://ref.ly/Isa53:4-Isa53:5" TargetMode="External"/><Relationship Id="rId14053" Type="http://schemas.openxmlformats.org/officeDocument/2006/relationships/hyperlink" Target="https://ref.ly/Col1:24" TargetMode="External"/><Relationship Id="rId14054" Type="http://schemas.openxmlformats.org/officeDocument/2006/relationships/hyperlink" Target="https://ref.ly/Matt24:9-Matt24:14" TargetMode="External"/><Relationship Id="rId14055" Type="http://schemas.openxmlformats.org/officeDocument/2006/relationships/hyperlink" Target="https://ref.ly/2Tim3:13" TargetMode="External"/><Relationship Id="rId14056" Type="http://schemas.openxmlformats.org/officeDocument/2006/relationships/hyperlink" Target="https://ref.ly/Matt24:24" TargetMode="External"/><Relationship Id="rId14057" Type="http://schemas.openxmlformats.org/officeDocument/2006/relationships/hyperlink" Target="https://ref.ly/2Thess2:9-2Thess2:12" TargetMode="External"/><Relationship Id="rId14058" Type="http://schemas.openxmlformats.org/officeDocument/2006/relationships/hyperlink" Target="https://ref.ly/Rev20:7-Rev20:9" TargetMode="External"/><Relationship Id="rId14059" Type="http://schemas.openxmlformats.org/officeDocument/2006/relationships/hyperlink" Target="https://ref.ly/2Thess2:7-2Thess2:8" TargetMode="External"/><Relationship Id="rId14060" Type="http://schemas.openxmlformats.org/officeDocument/2006/relationships/hyperlink" Target="https://ref.ly/Job18:15" TargetMode="External"/><Relationship Id="rId14061" Type="http://schemas.openxmlformats.org/officeDocument/2006/relationships/hyperlink" Target="https://ref.ly/Rev9:17-Rev9:18" TargetMode="External"/><Relationship Id="rId14062" Type="http://schemas.openxmlformats.org/officeDocument/2006/relationships/hyperlink" Target="https://ref.ly/Isa42:18" TargetMode="External"/><Relationship Id="rId14063" Type="http://schemas.openxmlformats.org/officeDocument/2006/relationships/hyperlink" Target="https://ref.ly/Isa43:8" TargetMode="External"/><Relationship Id="rId14064" Type="http://schemas.openxmlformats.org/officeDocument/2006/relationships/hyperlink" Target="https://ref.ly/Isa35:5" TargetMode="External"/><Relationship Id="rId14065" Type="http://schemas.openxmlformats.org/officeDocument/2006/relationships/hyperlink" Target="https://ref.ly/Mic7:16" TargetMode="External"/><Relationship Id="rId14066" Type="http://schemas.openxmlformats.org/officeDocument/2006/relationships/hyperlink" Target="https://ref.ly/Luke7:22" TargetMode="External"/><Relationship Id="rId14067" Type="http://schemas.openxmlformats.org/officeDocument/2006/relationships/hyperlink" Target="https://ref.ly/Mark9:25" TargetMode="External"/><Relationship Id="rId14068" Type="http://schemas.openxmlformats.org/officeDocument/2006/relationships/hyperlink" Target="https://ref.ly/Gen30:22" TargetMode="External"/><Relationship Id="rId14069" Type="http://schemas.openxmlformats.org/officeDocument/2006/relationships/hyperlink" Target="https://ref.ly/Ps77:11" TargetMode="External"/><Relationship Id="rId14070" Type="http://schemas.openxmlformats.org/officeDocument/2006/relationships/hyperlink" Target="https://ref.ly/Ps78:7" TargetMode="External"/><Relationship Id="rId14071" Type="http://schemas.openxmlformats.org/officeDocument/2006/relationships/hyperlink" Target="https://ref.ly/Ps105:5" TargetMode="External"/><Relationship Id="rId14072" Type="http://schemas.openxmlformats.org/officeDocument/2006/relationships/hyperlink" Target="https://ref.ly/Ps78:11,Ps78:42" TargetMode="External"/><Relationship Id="rId14073" Type="http://schemas.openxmlformats.org/officeDocument/2006/relationships/hyperlink" Target="https://ref.ly/Ps106:7,Ps106:13,Ps106:21-Ps106:22" TargetMode="External"/><Relationship Id="rId14074" Type="http://schemas.openxmlformats.org/officeDocument/2006/relationships/hyperlink" Target="https://ref.ly/Josh4:7" TargetMode="External"/><Relationship Id="rId14075" Type="http://schemas.openxmlformats.org/officeDocument/2006/relationships/hyperlink" Target="https://ref.ly/Exod28:12,Exod28:29" TargetMode="External"/><Relationship Id="rId14076" Type="http://schemas.openxmlformats.org/officeDocument/2006/relationships/hyperlink" Target="https://ref.ly/Exod39:7" TargetMode="External"/><Relationship Id="rId14077" Type="http://schemas.openxmlformats.org/officeDocument/2006/relationships/hyperlink" Target="https://ref.ly/Lev2:2,Lev2:16" TargetMode="External"/><Relationship Id="rId14078" Type="http://schemas.openxmlformats.org/officeDocument/2006/relationships/hyperlink" Target="https://ref.ly/Jer29:6" TargetMode="External"/><Relationship Id="rId14079" Type="http://schemas.openxmlformats.org/officeDocument/2006/relationships/hyperlink" Target="https://ref.ly/Gen16:4" TargetMode="External"/><Relationship Id="rId14080" Type="http://schemas.openxmlformats.org/officeDocument/2006/relationships/hyperlink" Target="https://ref.ly/Gen30:1" TargetMode="External"/><Relationship Id="rId14081" Type="http://schemas.openxmlformats.org/officeDocument/2006/relationships/hyperlink" Target="https://ref.ly/Gen38:8" TargetMode="External"/><Relationship Id="rId14082" Type="http://schemas.openxmlformats.org/officeDocument/2006/relationships/hyperlink" Target="https://ref.ly/Hos9:11" TargetMode="External"/><Relationship Id="rId14083" Type="http://schemas.openxmlformats.org/officeDocument/2006/relationships/hyperlink" Target="https://ref.ly/Gen20:17-Gen20:18" TargetMode="External"/><Relationship Id="rId14084" Type="http://schemas.openxmlformats.org/officeDocument/2006/relationships/hyperlink" Target="https://ref.ly/Gen25:21" TargetMode="External"/><Relationship Id="rId14085" Type="http://schemas.openxmlformats.org/officeDocument/2006/relationships/hyperlink" Target="https://ref.ly/1Sam1:16,1Sam1:20" TargetMode="External"/><Relationship Id="rId14086" Type="http://schemas.openxmlformats.org/officeDocument/2006/relationships/hyperlink" Target="https://ref.ly/2Kgs4:16" TargetMode="External"/><Relationship Id="rId14087" Type="http://schemas.openxmlformats.org/officeDocument/2006/relationships/hyperlink" Target="https://ref.ly/Gen18:14" TargetMode="External"/><Relationship Id="rId14088" Type="http://schemas.openxmlformats.org/officeDocument/2006/relationships/hyperlink" Target="https://ref.ly/Deut7:14" TargetMode="External"/><Relationship Id="rId14089" Type="http://schemas.openxmlformats.org/officeDocument/2006/relationships/hyperlink" Target="https://ref.ly/Luke23:29" TargetMode="External"/><Relationship Id="rId14090" Type="http://schemas.openxmlformats.org/officeDocument/2006/relationships/hyperlink" Target="https://ref.ly/Neh1:1,Neh1:11" TargetMode="External"/><Relationship Id="rId14091" Type="http://schemas.openxmlformats.org/officeDocument/2006/relationships/hyperlink" Target="https://ref.ly/Esth1:2" TargetMode="External"/><Relationship Id="rId14092" Type="http://schemas.openxmlformats.org/officeDocument/2006/relationships/hyperlink" Target="https://ref.ly/Esth2:8" TargetMode="External"/><Relationship Id="rId14093" Type="http://schemas.openxmlformats.org/officeDocument/2006/relationships/hyperlink" Target="https://ref.ly/Esth3:15" TargetMode="External"/><Relationship Id="rId14094" Type="http://schemas.openxmlformats.org/officeDocument/2006/relationships/hyperlink" Target="https://ref.ly/Esth8:14-Esth8:15" TargetMode="External"/><Relationship Id="rId14095" Type="http://schemas.openxmlformats.org/officeDocument/2006/relationships/hyperlink" Target="https://ref.ly/Esth9:6-Esth9:18" TargetMode="External"/><Relationship Id="rId14096" Type="http://schemas.openxmlformats.org/officeDocument/2006/relationships/hyperlink" Target="https://ref.ly/Dan8:1" TargetMode="External"/><Relationship Id="rId14097" Type="http://schemas.openxmlformats.org/officeDocument/2006/relationships/hyperlink" Target="https://ref.ly/Dan7:1" TargetMode="External"/><Relationship Id="rId14098" Type="http://schemas.openxmlformats.org/officeDocument/2006/relationships/hyperlink" Target="https://ref.ly/John4:5" TargetMode="External"/><Relationship Id="rId14099" Type="http://schemas.openxmlformats.org/officeDocument/2006/relationships/hyperlink" Target="https://ref.ly/John4:4" TargetMode="External"/><Relationship Id="rId14100" Type="http://schemas.openxmlformats.org/officeDocument/2006/relationships/hyperlink" Target="https://ref.ly/John4:27" TargetMode="External"/><Relationship Id="rId14101" Type="http://schemas.openxmlformats.org/officeDocument/2006/relationships/hyperlink" Target="https://ref.ly/John4:6" TargetMode="External"/><Relationship Id="rId14102" Type="http://schemas.openxmlformats.org/officeDocument/2006/relationships/hyperlink" Target="https://ref.ly/John4:28-John4:30" TargetMode="External"/><Relationship Id="rId14103" Type="http://schemas.openxmlformats.org/officeDocument/2006/relationships/hyperlink" Target="https://ref.ly/Ezek14:1" TargetMode="External"/><Relationship Id="rId14104" Type="http://schemas.openxmlformats.org/officeDocument/2006/relationships/hyperlink" Target="https://ref.ly/Neh8:1-Neh8:8" TargetMode="External"/><Relationship Id="rId14105" Type="http://schemas.openxmlformats.org/officeDocument/2006/relationships/hyperlink" Target="https://ref.ly/John18:20" TargetMode="External"/><Relationship Id="rId14106" Type="http://schemas.openxmlformats.org/officeDocument/2006/relationships/hyperlink" Target="https://ref.ly/Acts17:1,Acts17:10,Acts17:17" TargetMode="External"/><Relationship Id="rId14107" Type="http://schemas.openxmlformats.org/officeDocument/2006/relationships/hyperlink" Target="https://ref.ly/Acts15:21" TargetMode="External"/><Relationship Id="rId14108" Type="http://schemas.openxmlformats.org/officeDocument/2006/relationships/hyperlink" Target="https://ref.ly/John9:22,John9:34-John9:35" TargetMode="External"/><Relationship Id="rId14109" Type="http://schemas.openxmlformats.org/officeDocument/2006/relationships/hyperlink" Target="https://ref.ly/John12:42" TargetMode="External"/><Relationship Id="rId14110" Type="http://schemas.openxmlformats.org/officeDocument/2006/relationships/hyperlink" Target="https://ref.ly/John16:2" TargetMode="External"/><Relationship Id="rId14111" Type="http://schemas.openxmlformats.org/officeDocument/2006/relationships/hyperlink" Target="https://ref.ly/Acts22:19" TargetMode="External"/><Relationship Id="rId14112" Type="http://schemas.openxmlformats.org/officeDocument/2006/relationships/hyperlink" Target="https://ref.ly/Mark5:22" TargetMode="External"/><Relationship Id="rId14113" Type="http://schemas.openxmlformats.org/officeDocument/2006/relationships/hyperlink" Target="https://ref.ly/Acts28:12" TargetMode="External"/><Relationship Id="rId14114" Type="http://schemas.openxmlformats.org/officeDocument/2006/relationships/hyperlink" Target="https://ref.ly/Acts28:1-Acts28:31" TargetMode="External"/><Relationship Id="rId14115" Type="http://schemas.openxmlformats.org/officeDocument/2006/relationships/hyperlink" Target="https://ref.ly/Gen22:20-Gen22:21" TargetMode="External"/><Relationship Id="rId14116" Type="http://schemas.openxmlformats.org/officeDocument/2006/relationships/hyperlink" Target="https://ref.ly/Isa22:6" TargetMode="External"/><Relationship Id="rId14117" Type="http://schemas.openxmlformats.org/officeDocument/2006/relationships/hyperlink" Target="https://ref.ly/Gen28:1-Gen28:7" TargetMode="External"/><Relationship Id="rId14118" Type="http://schemas.openxmlformats.org/officeDocument/2006/relationships/hyperlink" Target="https://ref.ly/2Sam8:3-2Sam8:4" TargetMode="External"/><Relationship Id="rId14119" Type="http://schemas.openxmlformats.org/officeDocument/2006/relationships/hyperlink" Target="https://ref.ly/2Sam10:17-2Sam10:19" TargetMode="External"/><Relationship Id="rId14120" Type="http://schemas.openxmlformats.org/officeDocument/2006/relationships/hyperlink" Target="https://ref.ly/1Kgs20:1" TargetMode="External"/><Relationship Id="rId14121" Type="http://schemas.openxmlformats.org/officeDocument/2006/relationships/hyperlink" Target="https://ref.ly/1Kgs20:26" TargetMode="External"/><Relationship Id="rId14122" Type="http://schemas.openxmlformats.org/officeDocument/2006/relationships/hyperlink" Target="https://ref.ly/1Kgs22:29-1Kgs22:37" TargetMode="External"/><Relationship Id="rId14123" Type="http://schemas.openxmlformats.org/officeDocument/2006/relationships/hyperlink" Target="https://ref.ly/Acts15:23,Acts15:41" TargetMode="External"/><Relationship Id="rId14124" Type="http://schemas.openxmlformats.org/officeDocument/2006/relationships/hyperlink" Target="https://ref.ly/Mark5:41" TargetMode="External"/><Relationship Id="rId14125" Type="http://schemas.openxmlformats.org/officeDocument/2006/relationships/hyperlink" Target="https://ref.ly/1Cor16:22" TargetMode="External"/><Relationship Id="rId14126" Type="http://schemas.openxmlformats.org/officeDocument/2006/relationships/hyperlink" Target="https://ref.ly/2Kgs16:10-2Kgs16:13" TargetMode="External"/><Relationship Id="rId14127" Type="http://schemas.openxmlformats.org/officeDocument/2006/relationships/hyperlink" Target="https://ref.ly/2Kgs17:24-2Kgs17:34" TargetMode="External"/><Relationship Id="rId14128" Type="http://schemas.openxmlformats.org/officeDocument/2006/relationships/hyperlink" Target="https://ref.ly/Matt15:22" TargetMode="External"/><Relationship Id="rId14129" Type="http://schemas.openxmlformats.org/officeDocument/2006/relationships/hyperlink" Target="https://ref.ly/Acts27:17" TargetMode="External"/><Relationship Id="rId14130" Type="http://schemas.openxmlformats.org/officeDocument/2006/relationships/hyperlink" Target="https://ref.ly/Deut12:10-Deut12:11" TargetMode="External"/><Relationship Id="rId14131" Type="http://schemas.openxmlformats.org/officeDocument/2006/relationships/hyperlink" Target="https://ref.ly/2Sam7:10-2Sam7:13" TargetMode="External"/><Relationship Id="rId14132" Type="http://schemas.openxmlformats.org/officeDocument/2006/relationships/hyperlink" Target="https://ref.ly/1Kgs5:1-1Kgs5:5" TargetMode="External"/><Relationship Id="rId14133" Type="http://schemas.openxmlformats.org/officeDocument/2006/relationships/hyperlink" Target="https://ref.ly/Lev10:17-Lev10:18" TargetMode="External"/><Relationship Id="rId14134" Type="http://schemas.openxmlformats.org/officeDocument/2006/relationships/hyperlink" Target="https://ref.ly/Num9:15" TargetMode="External"/><Relationship Id="rId14135" Type="http://schemas.openxmlformats.org/officeDocument/2006/relationships/hyperlink" Target="https://ref.ly/1Kgs2:28-1Kgs2:30" TargetMode="External"/><Relationship Id="rId14136" Type="http://schemas.openxmlformats.org/officeDocument/2006/relationships/hyperlink" Target="https://ref.ly/1Chr9:23" TargetMode="External"/><Relationship Id="rId14137" Type="http://schemas.openxmlformats.org/officeDocument/2006/relationships/hyperlink" Target="https://ref.ly/Exod25:9" TargetMode="External"/><Relationship Id="rId14138" Type="http://schemas.openxmlformats.org/officeDocument/2006/relationships/hyperlink" Target="https://ref.ly/Exod38:24-Exod38:31" TargetMode="External"/><Relationship Id="rId14139" Type="http://schemas.openxmlformats.org/officeDocument/2006/relationships/hyperlink" Target="https://ref.ly/Exod25:9-Exod27:19" TargetMode="External"/><Relationship Id="rId14140" Type="http://schemas.openxmlformats.org/officeDocument/2006/relationships/hyperlink" Target="https://ref.ly/Exod36:8-Exod37:28" TargetMode="External"/><Relationship Id="rId14141" Type="http://schemas.openxmlformats.org/officeDocument/2006/relationships/hyperlink" Target="https://ref.ly/Exod25:13-Exod25:15" TargetMode="External"/><Relationship Id="rId14142" Type="http://schemas.openxmlformats.org/officeDocument/2006/relationships/hyperlink" Target="https://ref.ly/Lev16:14" TargetMode="External"/><Relationship Id="rId14143" Type="http://schemas.openxmlformats.org/officeDocument/2006/relationships/hyperlink" Target="https://ref.ly/Exod25:21" TargetMode="External"/><Relationship Id="rId14144" Type="http://schemas.openxmlformats.org/officeDocument/2006/relationships/hyperlink" Target="https://ref.ly/Exod25:31-Exod25:39" TargetMode="External"/><Relationship Id="rId14145" Type="http://schemas.openxmlformats.org/officeDocument/2006/relationships/hyperlink" Target="https://ref.ly/Exod37:17-Exod37:24" TargetMode="External"/><Relationship Id="rId14146" Type="http://schemas.openxmlformats.org/officeDocument/2006/relationships/hyperlink" Target="https://ref.ly/Exod40:24" TargetMode="External"/><Relationship Id="rId14147" Type="http://schemas.openxmlformats.org/officeDocument/2006/relationships/hyperlink" Target="https://ref.ly/1Sam3:3" TargetMode="External"/><Relationship Id="rId14148" Type="http://schemas.openxmlformats.org/officeDocument/2006/relationships/hyperlink" Target="https://ref.ly/Lev24:4" TargetMode="External"/><Relationship Id="rId14149" Type="http://schemas.openxmlformats.org/officeDocument/2006/relationships/hyperlink" Target="https://ref.ly/Zech4:1-Zech4:7" TargetMode="External"/><Relationship Id="rId14150" Type="http://schemas.openxmlformats.org/officeDocument/2006/relationships/hyperlink" Target="https://ref.ly/Rev2:1" TargetMode="External"/><Relationship Id="rId14151" Type="http://schemas.openxmlformats.org/officeDocument/2006/relationships/hyperlink" Target="https://ref.ly/Exod30:7-Exod30:10" TargetMode="External"/><Relationship Id="rId14152" Type="http://schemas.openxmlformats.org/officeDocument/2006/relationships/hyperlink" Target="https://ref.ly/Ps141:2" TargetMode="External"/><Relationship Id="rId14153" Type="http://schemas.openxmlformats.org/officeDocument/2006/relationships/hyperlink" Target="https://ref.ly/Lev16:13" TargetMode="External"/><Relationship Id="rId14154" Type="http://schemas.openxmlformats.org/officeDocument/2006/relationships/hyperlink" Target="https://ref.ly/Exod36:8-Exod36:38" TargetMode="External"/><Relationship Id="rId14155" Type="http://schemas.openxmlformats.org/officeDocument/2006/relationships/hyperlink" Target="https://ref.ly/Exod40:16-Exod40:19" TargetMode="External"/><Relationship Id="rId14156" Type="http://schemas.openxmlformats.org/officeDocument/2006/relationships/hyperlink" Target="https://ref.ly/Exod26:15-Exod26:25" TargetMode="External"/><Relationship Id="rId14157" Type="http://schemas.openxmlformats.org/officeDocument/2006/relationships/hyperlink" Target="https://ref.ly/Exod26:23-Exod26:25" TargetMode="External"/><Relationship Id="rId14158" Type="http://schemas.openxmlformats.org/officeDocument/2006/relationships/hyperlink" Target="https://ref.ly/Exod26:26-Exod26:29" TargetMode="External"/><Relationship Id="rId14159" Type="http://schemas.openxmlformats.org/officeDocument/2006/relationships/hyperlink" Target="https://ref.ly/Exod26:1-Exod26:6" TargetMode="External"/><Relationship Id="rId14160" Type="http://schemas.openxmlformats.org/officeDocument/2006/relationships/hyperlink" Target="https://ref.ly/Exod36:8-Exod36:13" TargetMode="External"/><Relationship Id="rId14161" Type="http://schemas.openxmlformats.org/officeDocument/2006/relationships/hyperlink" Target="https://ref.ly/Exod26:7-Exod26:9,Exod26:12-Exod26:13" TargetMode="External"/><Relationship Id="rId14162" Type="http://schemas.openxmlformats.org/officeDocument/2006/relationships/hyperlink" Target="https://ref.ly/Exod27:9-Exod27:18" TargetMode="External"/><Relationship Id="rId14163" Type="http://schemas.openxmlformats.org/officeDocument/2006/relationships/hyperlink" Target="https://ref.ly/Exod38:9-Exod38:19" TargetMode="External"/><Relationship Id="rId14164" Type="http://schemas.openxmlformats.org/officeDocument/2006/relationships/hyperlink" Target="https://ref.ly/Exod38:17" TargetMode="External"/><Relationship Id="rId14165" Type="http://schemas.openxmlformats.org/officeDocument/2006/relationships/hyperlink" Target="https://ref.ly/Exod40:29" TargetMode="External"/><Relationship Id="rId14166" Type="http://schemas.openxmlformats.org/officeDocument/2006/relationships/hyperlink" Target="https://ref.ly/2Chr4:1" TargetMode="External"/><Relationship Id="rId14167" Type="http://schemas.openxmlformats.org/officeDocument/2006/relationships/hyperlink" Target="https://ref.ly/Exod27:4-Exod27:5" TargetMode="External"/><Relationship Id="rId14168" Type="http://schemas.openxmlformats.org/officeDocument/2006/relationships/hyperlink" Target="https://ref.ly/1Kgs1:50" TargetMode="External"/><Relationship Id="rId14169" Type="http://schemas.openxmlformats.org/officeDocument/2006/relationships/hyperlink" Target="https://ref.ly/Exod27:3" TargetMode="External"/><Relationship Id="rId14170" Type="http://schemas.openxmlformats.org/officeDocument/2006/relationships/hyperlink" Target="https://ref.ly/Exod30:17-Exod30:20" TargetMode="External"/><Relationship Id="rId14171" Type="http://schemas.openxmlformats.org/officeDocument/2006/relationships/hyperlink" Target="https://ref.ly/Exod38:8" TargetMode="External"/><Relationship Id="rId14172" Type="http://schemas.openxmlformats.org/officeDocument/2006/relationships/hyperlink" Target="https://ref.ly/Exod30:1-Exod30:11" TargetMode="External"/><Relationship Id="rId14173" Type="http://schemas.openxmlformats.org/officeDocument/2006/relationships/hyperlink" Target="https://ref.ly/Exod35:20-Exod35:24" TargetMode="External"/><Relationship Id="rId14174" Type="http://schemas.openxmlformats.org/officeDocument/2006/relationships/hyperlink" Target="https://ref.ly/Exod36:4-Exod36:7" TargetMode="External"/><Relationship Id="rId14175" Type="http://schemas.openxmlformats.org/officeDocument/2006/relationships/hyperlink" Target="https://ref.ly/Exod35:25-Exod35:29" TargetMode="External"/><Relationship Id="rId14176" Type="http://schemas.openxmlformats.org/officeDocument/2006/relationships/hyperlink" Target="https://ref.ly/Exod40:1-Exod40:33" TargetMode="External"/><Relationship Id="rId14177" Type="http://schemas.openxmlformats.org/officeDocument/2006/relationships/hyperlink" Target="https://ref.ly/Exod30:22-Exod30:33" TargetMode="External"/><Relationship Id="rId14178" Type="http://schemas.openxmlformats.org/officeDocument/2006/relationships/hyperlink" Target="https://ref.ly/Exod40:9-Exod40:11" TargetMode="External"/><Relationship Id="rId14179" Type="http://schemas.openxmlformats.org/officeDocument/2006/relationships/hyperlink" Target="https://ref.ly/Exod40:34" TargetMode="External"/><Relationship Id="rId14180" Type="http://schemas.openxmlformats.org/officeDocument/2006/relationships/hyperlink" Target="https://ref.ly/Num1:53" TargetMode="External"/><Relationship Id="rId14181" Type="http://schemas.openxmlformats.org/officeDocument/2006/relationships/hyperlink" Target="https://ref.ly/Num3:14-Num3:38" TargetMode="External"/><Relationship Id="rId14182" Type="http://schemas.openxmlformats.org/officeDocument/2006/relationships/hyperlink" Target="https://ref.ly/Num4:5-Num4:15" TargetMode="External"/><Relationship Id="rId14183" Type="http://schemas.openxmlformats.org/officeDocument/2006/relationships/hyperlink" Target="https://ref.ly/Acts9:36,Acts9:40" TargetMode="External"/><Relationship Id="rId14184" Type="http://schemas.openxmlformats.org/officeDocument/2006/relationships/hyperlink" Target="https://ref.ly/Gen19:24-Gen19:29" TargetMode="External"/><Relationship Id="rId14185" Type="http://schemas.openxmlformats.org/officeDocument/2006/relationships/hyperlink" Target="https://ref.ly/Gen11:1-Gen35:29" TargetMode="External"/><Relationship Id="rId14186" Type="http://schemas.openxmlformats.org/officeDocument/2006/relationships/hyperlink" Target="https://ref.ly/Mark7:11,Mark7:34" TargetMode="External"/><Relationship Id="rId14187" Type="http://schemas.openxmlformats.org/officeDocument/2006/relationships/hyperlink" Target="https://ref.ly/Mark15:22,Mark15:34" TargetMode="External"/><Relationship Id="rId14188" Type="http://schemas.openxmlformats.org/officeDocument/2006/relationships/hyperlink" Target="https://ref.ly/Matt27:33,Matt27:46" TargetMode="External"/><Relationship Id="rId14189" Type="http://schemas.openxmlformats.org/officeDocument/2006/relationships/hyperlink" Target="https://ref.ly/Mark7:9-Mark7:13" TargetMode="External"/><Relationship Id="rId14190" Type="http://schemas.openxmlformats.org/officeDocument/2006/relationships/hyperlink" Target="https://ref.ly/Neh8:7-Neh8:8" TargetMode="External"/><Relationship Id="rId14191" Type="http://schemas.openxmlformats.org/officeDocument/2006/relationships/hyperlink" Target="https://ref.ly/1Sam22:6" TargetMode="External"/><Relationship Id="rId14192" Type="http://schemas.openxmlformats.org/officeDocument/2006/relationships/hyperlink" Target="https://ref.ly/Exod16:1-Exod16:36" TargetMode="External"/><Relationship Id="rId14193" Type="http://schemas.openxmlformats.org/officeDocument/2006/relationships/hyperlink" Target="https://ref.ly/Exod26:14" TargetMode="External"/><Relationship Id="rId14194" Type="http://schemas.openxmlformats.org/officeDocument/2006/relationships/hyperlink" Target="https://ref.ly/Exod35:7,Exod35:23" TargetMode="External"/><Relationship Id="rId14195" Type="http://schemas.openxmlformats.org/officeDocument/2006/relationships/hyperlink" Target="https://ref.ly/Exod36:19" TargetMode="External"/><Relationship Id="rId14196" Type="http://schemas.openxmlformats.org/officeDocument/2006/relationships/hyperlink" Target="https://ref.ly/Exod39:34" TargetMode="External"/><Relationship Id="rId14197" Type="http://schemas.openxmlformats.org/officeDocument/2006/relationships/hyperlink" Target="https://ref.ly/Acts10:6,Acts10:32" TargetMode="External"/><Relationship Id="rId14198" Type="http://schemas.openxmlformats.org/officeDocument/2006/relationships/hyperlink" Target="https://ref.ly/Matt18:16" TargetMode="External"/><Relationship Id="rId14199" Type="http://schemas.openxmlformats.org/officeDocument/2006/relationships/hyperlink" Target="https://ref.ly/Deut5:20" TargetMode="External"/><Relationship Id="rId14200" Type="http://schemas.openxmlformats.org/officeDocument/2006/relationships/hyperlink" Target="https://ref.ly/Mark10:19" TargetMode="External"/><Relationship Id="rId14201" Type="http://schemas.openxmlformats.org/officeDocument/2006/relationships/hyperlink" Target="https://ref.ly/Luke18:20" TargetMode="External"/><Relationship Id="rId14202" Type="http://schemas.openxmlformats.org/officeDocument/2006/relationships/hyperlink" Target="https://ref.ly/Prov6:19" TargetMode="External"/><Relationship Id="rId14203" Type="http://schemas.openxmlformats.org/officeDocument/2006/relationships/hyperlink" Target="https://ref.ly/Prov14:5" TargetMode="External"/><Relationship Id="rId14204" Type="http://schemas.openxmlformats.org/officeDocument/2006/relationships/hyperlink" Target="https://ref.ly/Prov25:18" TargetMode="External"/><Relationship Id="rId14205" Type="http://schemas.openxmlformats.org/officeDocument/2006/relationships/hyperlink" Target="https://ref.ly/Ps27:12" TargetMode="External"/><Relationship Id="rId14206" Type="http://schemas.openxmlformats.org/officeDocument/2006/relationships/hyperlink" Target="https://ref.ly/Ps35:11" TargetMode="External"/><Relationship Id="rId14207" Type="http://schemas.openxmlformats.org/officeDocument/2006/relationships/hyperlink" Target="https://ref.ly/Deut19:16-Deut19:21" TargetMode="External"/><Relationship Id="rId14208" Type="http://schemas.openxmlformats.org/officeDocument/2006/relationships/hyperlink" Target="https://ref.ly/Prov19:5,Prov19:9" TargetMode="External"/><Relationship Id="rId14209" Type="http://schemas.openxmlformats.org/officeDocument/2006/relationships/hyperlink" Target="https://ref.ly/Prov21:28" TargetMode="External"/><Relationship Id="rId14210" Type="http://schemas.openxmlformats.org/officeDocument/2006/relationships/hyperlink" Target="https://ref.ly/Ruth4:7-Ruth4:12" TargetMode="External"/><Relationship Id="rId14211" Type="http://schemas.openxmlformats.org/officeDocument/2006/relationships/hyperlink" Target="https://ref.ly/Isa8:1-Isa8:2" TargetMode="External"/><Relationship Id="rId14212" Type="http://schemas.openxmlformats.org/officeDocument/2006/relationships/hyperlink" Target="https://ref.ly/Jer32:6-Jer32:15" TargetMode="External"/><Relationship Id="rId14213" Type="http://schemas.openxmlformats.org/officeDocument/2006/relationships/hyperlink" Target="https://ref.ly/Josh24:22-Josh24:27" TargetMode="External"/><Relationship Id="rId14214" Type="http://schemas.openxmlformats.org/officeDocument/2006/relationships/hyperlink" Target="https://ref.ly/Isa43:10" TargetMode="External"/><Relationship Id="rId14215" Type="http://schemas.openxmlformats.org/officeDocument/2006/relationships/hyperlink" Target="https://ref.ly/Isa44:8-Isa44:9" TargetMode="External"/><Relationship Id="rId14216" Type="http://schemas.openxmlformats.org/officeDocument/2006/relationships/hyperlink" Target="https://ref.ly/John1:7-John1:8,John1:19-John1:36" TargetMode="External"/><Relationship Id="rId14217" Type="http://schemas.openxmlformats.org/officeDocument/2006/relationships/hyperlink" Target="https://ref.ly/Matt17:1-Matt17:2" TargetMode="External"/><Relationship Id="rId14218" Type="http://schemas.openxmlformats.org/officeDocument/2006/relationships/hyperlink" Target="https://ref.ly/2Pet1:17-2Pet1:18" TargetMode="External"/><Relationship Id="rId14219" Type="http://schemas.openxmlformats.org/officeDocument/2006/relationships/hyperlink" Target="https://ref.ly/Luke24:48" TargetMode="External"/><Relationship Id="rId14220" Type="http://schemas.openxmlformats.org/officeDocument/2006/relationships/hyperlink" Target="https://ref.ly/1Cor15:4-1Cor15:8" TargetMode="External"/><Relationship Id="rId14221" Type="http://schemas.openxmlformats.org/officeDocument/2006/relationships/hyperlink" Target="https://ref.ly/Ps78:67-Ps78:72" TargetMode="External"/><Relationship Id="rId14222" Type="http://schemas.openxmlformats.org/officeDocument/2006/relationships/hyperlink" Target="https://ref.ly/2Sam7:1-2Sam7:3" TargetMode="External"/><Relationship Id="rId14223" Type="http://schemas.openxmlformats.org/officeDocument/2006/relationships/hyperlink" Target="https://ref.ly/1Kgs5:3" TargetMode="External"/><Relationship Id="rId14224" Type="http://schemas.openxmlformats.org/officeDocument/2006/relationships/hyperlink" Target="https://ref.ly/1Chr22:7-1Chr22:8" TargetMode="External"/><Relationship Id="rId14225" Type="http://schemas.openxmlformats.org/officeDocument/2006/relationships/hyperlink" Target="https://ref.ly/1Chr28:3" TargetMode="External"/><Relationship Id="rId14226" Type="http://schemas.openxmlformats.org/officeDocument/2006/relationships/hyperlink" Target="https://ref.ly/1Chr22:3-1Chr22:5,1Chr22:14" TargetMode="External"/><Relationship Id="rId14227" Type="http://schemas.openxmlformats.org/officeDocument/2006/relationships/hyperlink" Target="https://ref.ly/1Chr28:2,1Chr28:11-1Chr28:19" TargetMode="External"/><Relationship Id="rId14228" Type="http://schemas.openxmlformats.org/officeDocument/2006/relationships/hyperlink" Target="https://ref.ly/1Chr21:25" TargetMode="External"/><Relationship Id="rId14229" Type="http://schemas.openxmlformats.org/officeDocument/2006/relationships/hyperlink" Target="https://ref.ly/1Kgs6:1,1Kgs6:38" TargetMode="External"/><Relationship Id="rId14230" Type="http://schemas.openxmlformats.org/officeDocument/2006/relationships/hyperlink" Target="https://ref.ly/1Chr28:21" TargetMode="External"/><Relationship Id="rId14231" Type="http://schemas.openxmlformats.org/officeDocument/2006/relationships/hyperlink" Target="https://ref.ly/1Kgs7:1" TargetMode="External"/><Relationship Id="rId14232" Type="http://schemas.openxmlformats.org/officeDocument/2006/relationships/hyperlink" Target="https://ref.ly/1Kgs7:13-1Kgs7:14" TargetMode="External"/><Relationship Id="rId14233" Type="http://schemas.openxmlformats.org/officeDocument/2006/relationships/hyperlink" Target="https://ref.ly/1Kgs5:5-1Kgs5:9" TargetMode="External"/><Relationship Id="rId14234" Type="http://schemas.openxmlformats.org/officeDocument/2006/relationships/hyperlink" Target="https://ref.ly/1Kgs5:15-1Kgs5:17" TargetMode="External"/><Relationship Id="rId14235" Type="http://schemas.openxmlformats.org/officeDocument/2006/relationships/hyperlink" Target="https://ref.ly/2Chr2:17-2Chr2:18" TargetMode="External"/><Relationship Id="rId14236" Type="http://schemas.openxmlformats.org/officeDocument/2006/relationships/hyperlink" Target="https://ref.ly/1Kgs6:5,1Kgs6:10" TargetMode="External"/><Relationship Id="rId14237" Type="http://schemas.openxmlformats.org/officeDocument/2006/relationships/hyperlink" Target="https://ref.ly/Ezek41:8-Ezek41:9" TargetMode="External"/><Relationship Id="rId14238" Type="http://schemas.openxmlformats.org/officeDocument/2006/relationships/hyperlink" Target="https://ref.ly/1Kgs6:8" TargetMode="External"/><Relationship Id="rId14239" Type="http://schemas.openxmlformats.org/officeDocument/2006/relationships/hyperlink" Target="https://ref.ly/Ezek40:17,Ezek40:28" TargetMode="External"/><Relationship Id="rId14240" Type="http://schemas.openxmlformats.org/officeDocument/2006/relationships/hyperlink" Target="https://ref.ly/1Kgs6:36" TargetMode="External"/><Relationship Id="rId14241" Type="http://schemas.openxmlformats.org/officeDocument/2006/relationships/hyperlink" Target="https://ref.ly/1Kgs7:12" TargetMode="External"/><Relationship Id="rId14242" Type="http://schemas.openxmlformats.org/officeDocument/2006/relationships/hyperlink" Target="https://ref.ly/2Chr4:9" TargetMode="External"/><Relationship Id="rId14243" Type="http://schemas.openxmlformats.org/officeDocument/2006/relationships/hyperlink" Target="https://ref.ly/Jer36:10" TargetMode="External"/><Relationship Id="rId14244" Type="http://schemas.openxmlformats.org/officeDocument/2006/relationships/hyperlink" Target="https://ref.ly/2Chr4:9,2Chr4:12" TargetMode="External"/><Relationship Id="rId14245" Type="http://schemas.openxmlformats.org/officeDocument/2006/relationships/hyperlink" Target="https://ref.ly/2Kgs16:18" TargetMode="External"/><Relationship Id="rId14246" Type="http://schemas.openxmlformats.org/officeDocument/2006/relationships/hyperlink" Target="https://ref.ly/1Kgs6:2" TargetMode="External"/><Relationship Id="rId14247" Type="http://schemas.openxmlformats.org/officeDocument/2006/relationships/hyperlink" Target="https://ref.ly/Ezek43:1" TargetMode="External"/><Relationship Id="rId14248" Type="http://schemas.openxmlformats.org/officeDocument/2006/relationships/hyperlink" Target="https://ref.ly/Ezek44:1" TargetMode="External"/><Relationship Id="rId14249" Type="http://schemas.openxmlformats.org/officeDocument/2006/relationships/hyperlink" Target="https://ref.ly/1Kgs6:17" TargetMode="External"/><Relationship Id="rId14250" Type="http://schemas.openxmlformats.org/officeDocument/2006/relationships/hyperlink" Target="https://ref.ly/1Kgs6:15" TargetMode="External"/><Relationship Id="rId14251" Type="http://schemas.openxmlformats.org/officeDocument/2006/relationships/hyperlink" Target="https://ref.ly/1Kgs6:4" TargetMode="External"/><Relationship Id="rId14252" Type="http://schemas.openxmlformats.org/officeDocument/2006/relationships/hyperlink" Target="https://ref.ly/1Kgs6:34-1Kgs6:35" TargetMode="External"/><Relationship Id="rId14253" Type="http://schemas.openxmlformats.org/officeDocument/2006/relationships/hyperlink" Target="https://ref.ly/1Kgs7:48-1Kgs7:50" TargetMode="External"/><Relationship Id="rId14254" Type="http://schemas.openxmlformats.org/officeDocument/2006/relationships/hyperlink" Target="https://ref.ly/2Chr4:8" TargetMode="External"/><Relationship Id="rId14255" Type="http://schemas.openxmlformats.org/officeDocument/2006/relationships/hyperlink" Target="https://ref.ly/1Kgs6:23-1Kgs6:28" TargetMode="External"/><Relationship Id="rId14256" Type="http://schemas.openxmlformats.org/officeDocument/2006/relationships/hyperlink" Target="https://ref.ly/Exod25:17-Exod25:22" TargetMode="External"/><Relationship Id="rId14257" Type="http://schemas.openxmlformats.org/officeDocument/2006/relationships/hyperlink" Target="https://ref.ly/1Kgs7:15-1Kgs7:20" TargetMode="External"/><Relationship Id="rId14258" Type="http://schemas.openxmlformats.org/officeDocument/2006/relationships/hyperlink" Target="https://ref.ly/2Chr3:15-2Chr3:17" TargetMode="External"/><Relationship Id="rId14259" Type="http://schemas.openxmlformats.org/officeDocument/2006/relationships/hyperlink" Target="https://ref.ly/Jer52:17,Jer52:21-Jer52:23" TargetMode="External"/><Relationship Id="rId14260" Type="http://schemas.openxmlformats.org/officeDocument/2006/relationships/hyperlink" Target="https://ref.ly/1Kgs8:22,1Kgs8:54,1Kgs8:64" TargetMode="External"/><Relationship Id="rId14261" Type="http://schemas.openxmlformats.org/officeDocument/2006/relationships/hyperlink" Target="https://ref.ly/1Kgs9:25" TargetMode="External"/><Relationship Id="rId14262" Type="http://schemas.openxmlformats.org/officeDocument/2006/relationships/hyperlink" Target="https://ref.ly/2Chr4:17-2Chr4:18" TargetMode="External"/><Relationship Id="rId14263" Type="http://schemas.openxmlformats.org/officeDocument/2006/relationships/hyperlink" Target="https://ref.ly/2Chr4:2-2Chr4:5" TargetMode="External"/><Relationship Id="rId14264" Type="http://schemas.openxmlformats.org/officeDocument/2006/relationships/hyperlink" Target="https://ref.ly/2Chr4:6" TargetMode="External"/><Relationship Id="rId14265" Type="http://schemas.openxmlformats.org/officeDocument/2006/relationships/hyperlink" Target="https://ref.ly/1Kgs7:27-1Kgs7:39" TargetMode="External"/><Relationship Id="rId14266" Type="http://schemas.openxmlformats.org/officeDocument/2006/relationships/hyperlink" Target="https://ref.ly/1Kgs7:40,1Kgs7:45" TargetMode="External"/><Relationship Id="rId14267" Type="http://schemas.openxmlformats.org/officeDocument/2006/relationships/hyperlink" Target="https://ref.ly/Lev23:23-Lev23:36" TargetMode="External"/><Relationship Id="rId14268" Type="http://schemas.openxmlformats.org/officeDocument/2006/relationships/hyperlink" Target="https://ref.ly/1Kgs8:3-1Kgs8:4" TargetMode="External"/><Relationship Id="rId14269" Type="http://schemas.openxmlformats.org/officeDocument/2006/relationships/hyperlink" Target="https://ref.ly/1Kgs8:62-1Kgs8:64" TargetMode="External"/><Relationship Id="rId14270" Type="http://schemas.openxmlformats.org/officeDocument/2006/relationships/hyperlink" Target="https://ref.ly/2Chr7:7" TargetMode="External"/><Relationship Id="rId14271" Type="http://schemas.openxmlformats.org/officeDocument/2006/relationships/hyperlink" Target="https://ref.ly/1Kgs14:25-1Kgs14:38" TargetMode="External"/><Relationship Id="rId14272" Type="http://schemas.openxmlformats.org/officeDocument/2006/relationships/hyperlink" Target="https://ref.ly/1Kgs15:16-1Kgs15:19" TargetMode="External"/><Relationship Id="rId14273" Type="http://schemas.openxmlformats.org/officeDocument/2006/relationships/hyperlink" Target="https://ref.ly/2Kgs11:1-2Kgs11:21" TargetMode="External"/><Relationship Id="rId14274" Type="http://schemas.openxmlformats.org/officeDocument/2006/relationships/hyperlink" Target="https://ref.ly/2Kgs12:4-2Kgs12:16" TargetMode="External"/><Relationship Id="rId14275" Type="http://schemas.openxmlformats.org/officeDocument/2006/relationships/hyperlink" Target="https://ref.ly/2Chr24:15-2Chr24:19" TargetMode="External"/><Relationship Id="rId14276" Type="http://schemas.openxmlformats.org/officeDocument/2006/relationships/hyperlink" Target="https://ref.ly/2Chr29:1-2Chr29:19" TargetMode="External"/><Relationship Id="rId14277" Type="http://schemas.openxmlformats.org/officeDocument/2006/relationships/hyperlink" Target="https://ref.ly/2Chr31:9-2Chr31:21" TargetMode="External"/><Relationship Id="rId14278" Type="http://schemas.openxmlformats.org/officeDocument/2006/relationships/hyperlink" Target="https://ref.ly/2Kgs21:3-2Kgs21:7" TargetMode="External"/><Relationship Id="rId14279" Type="http://schemas.openxmlformats.org/officeDocument/2006/relationships/hyperlink" Target="https://ref.ly/2Chr33:12-2Chr33:19" TargetMode="External"/><Relationship Id="rId14280" Type="http://schemas.openxmlformats.org/officeDocument/2006/relationships/hyperlink" Target="https://ref.ly/2Kgs21:10-2Kgs21:16" TargetMode="External"/><Relationship Id="rId14281" Type="http://schemas.openxmlformats.org/officeDocument/2006/relationships/hyperlink" Target="https://ref.ly/2Kgs22:3-2Kgs22:13" TargetMode="External"/><Relationship Id="rId14282" Type="http://schemas.openxmlformats.org/officeDocument/2006/relationships/hyperlink" Target="https://ref.ly/2Kgs22:14-2Kgs23:3" TargetMode="External"/><Relationship Id="rId14283" Type="http://schemas.openxmlformats.org/officeDocument/2006/relationships/hyperlink" Target="https://ref.ly/2Kgs23:4-2Kgs23:12" TargetMode="External"/><Relationship Id="rId14284" Type="http://schemas.openxmlformats.org/officeDocument/2006/relationships/hyperlink" Target="https://ref.ly/Jer7:1-Jer8:3" TargetMode="External"/><Relationship Id="rId14285" Type="http://schemas.openxmlformats.org/officeDocument/2006/relationships/hyperlink" Target="https://ref.ly/Jer26:1-Jer26:19" TargetMode="External"/><Relationship Id="rId14286" Type="http://schemas.openxmlformats.org/officeDocument/2006/relationships/hyperlink" Target="https://ref.ly/2Kgs24:1-2Kgs24:4" TargetMode="External"/><Relationship Id="rId14287" Type="http://schemas.openxmlformats.org/officeDocument/2006/relationships/hyperlink" Target="https://ref.ly/2Chr36:7" TargetMode="External"/><Relationship Id="rId14288" Type="http://schemas.openxmlformats.org/officeDocument/2006/relationships/hyperlink" Target="https://ref.ly/2Kgs25:8-2Kgs25:10" TargetMode="External"/><Relationship Id="rId14289" Type="http://schemas.openxmlformats.org/officeDocument/2006/relationships/hyperlink" Target="https://ref.ly/Jer41:4-Jer41:5" TargetMode="External"/><Relationship Id="rId14290" Type="http://schemas.openxmlformats.org/officeDocument/2006/relationships/hyperlink" Target="https://ref.ly/Ezra6:1-Ezra6:5" TargetMode="External"/><Relationship Id="rId14291" Type="http://schemas.openxmlformats.org/officeDocument/2006/relationships/hyperlink" Target="https://ref.ly/Ezra5:14-Ezra5:16" TargetMode="External"/><Relationship Id="rId14292" Type="http://schemas.openxmlformats.org/officeDocument/2006/relationships/hyperlink" Target="https://ref.ly/Ezra3:2,Ezra3:8" TargetMode="External"/><Relationship Id="rId14293" Type="http://schemas.openxmlformats.org/officeDocument/2006/relationships/hyperlink" Target="https://ref.ly/Ezra4:2" TargetMode="External"/><Relationship Id="rId14294" Type="http://schemas.openxmlformats.org/officeDocument/2006/relationships/hyperlink" Target="https://ref.ly/Ezra3:1-Ezra3:6" TargetMode="External"/><Relationship Id="rId14295" Type="http://schemas.openxmlformats.org/officeDocument/2006/relationships/hyperlink" Target="https://ref.ly/Ezra3:7-Ezra3:13" TargetMode="External"/><Relationship Id="rId14296" Type="http://schemas.openxmlformats.org/officeDocument/2006/relationships/hyperlink" Target="https://ref.ly/Ezra4:1-Ezra4:4,Ezra4:24" TargetMode="External"/><Relationship Id="rId14297" Type="http://schemas.openxmlformats.org/officeDocument/2006/relationships/hyperlink" Target="https://ref.ly/Hag1:2-Hag1:11" TargetMode="External"/><Relationship Id="rId14298" Type="http://schemas.openxmlformats.org/officeDocument/2006/relationships/hyperlink" Target="https://ref.ly/Ezra5:1-Ezra6:22" TargetMode="External"/><Relationship Id="rId14299" Type="http://schemas.openxmlformats.org/officeDocument/2006/relationships/hyperlink" Target="https://ref.ly/Ezra6:3" TargetMode="External"/><Relationship Id="rId14300" Type="http://schemas.openxmlformats.org/officeDocument/2006/relationships/hyperlink" Target="https://ref.ly/Ezra6:4" TargetMode="External"/><Relationship Id="rId14301" Type="http://schemas.openxmlformats.org/officeDocument/2006/relationships/hyperlink" Target="https://ref.ly/Ezra8:29" TargetMode="External"/><Relationship Id="rId14302" Type="http://schemas.openxmlformats.org/officeDocument/2006/relationships/hyperlink" Target="https://ref.ly/Neh12:44" TargetMode="External"/><Relationship Id="rId14303" Type="http://schemas.openxmlformats.org/officeDocument/2006/relationships/hyperlink" Target="https://ref.ly/Neh13:4-Neh13:5" TargetMode="External"/><Relationship Id="rId14304" Type="http://schemas.openxmlformats.org/officeDocument/2006/relationships/hyperlink" Target="https://ref.ly/Ezra6:8-Ezra6:12" TargetMode="External"/><Relationship Id="rId14305" Type="http://schemas.openxmlformats.org/officeDocument/2006/relationships/hyperlink" Target="https://ref.ly/2Macc5:15-2Macc5:16" TargetMode="External"/><Relationship Id="rId14306" Type="http://schemas.openxmlformats.org/officeDocument/2006/relationships/hyperlink" Target="https://ref.ly/2Macc6:2-2Macc6:4" TargetMode="External"/><Relationship Id="rId14307" Type="http://schemas.openxmlformats.org/officeDocument/2006/relationships/hyperlink" Target="https://ref.ly/1Macc4:36-1Macc4:61" TargetMode="External"/><Relationship Id="rId14308" Type="http://schemas.openxmlformats.org/officeDocument/2006/relationships/hyperlink" Target="https://ref.ly/2Macc10:1-2Macc10:9" TargetMode="External"/><Relationship Id="rId14309" Type="http://schemas.openxmlformats.org/officeDocument/2006/relationships/hyperlink" Target="https://ref.ly/Mark12:41-Mark12:44" TargetMode="External"/><Relationship Id="rId14310" Type="http://schemas.openxmlformats.org/officeDocument/2006/relationships/hyperlink" Target="https://ref.ly/Mark11:27" TargetMode="External"/><Relationship Id="rId14311" Type="http://schemas.openxmlformats.org/officeDocument/2006/relationships/hyperlink" Target="https://ref.ly/Luke19:47" TargetMode="External"/><Relationship Id="rId14312" Type="http://schemas.openxmlformats.org/officeDocument/2006/relationships/hyperlink" Target="https://ref.ly/Acts21:31-Acts21:40" TargetMode="External"/><Relationship Id="rId14313" Type="http://schemas.openxmlformats.org/officeDocument/2006/relationships/hyperlink" Target="https://ref.ly/Matt4:5" TargetMode="External"/><Relationship Id="rId14314" Type="http://schemas.openxmlformats.org/officeDocument/2006/relationships/hyperlink" Target="https://ref.ly/Luke4:9" TargetMode="External"/><Relationship Id="rId14315" Type="http://schemas.openxmlformats.org/officeDocument/2006/relationships/hyperlink" Target="https://ref.ly/1Kgs12:26-1Kgs12:30" TargetMode="External"/><Relationship Id="rId14316" Type="http://schemas.openxmlformats.org/officeDocument/2006/relationships/hyperlink" Target="https://ref.ly/2Chr30:1-2Chr30:12" TargetMode="External"/><Relationship Id="rId14317" Type="http://schemas.openxmlformats.org/officeDocument/2006/relationships/hyperlink" Target="https://ref.ly/Exod33:9-Exod33:11" TargetMode="External"/><Relationship Id="rId14318" Type="http://schemas.openxmlformats.org/officeDocument/2006/relationships/hyperlink" Target="https://ref.ly/1Kgs8:13,1Kgs8:27" TargetMode="External"/><Relationship Id="rId14319" Type="http://schemas.openxmlformats.org/officeDocument/2006/relationships/hyperlink" Target="https://ref.ly/Ps68:15-Ps68:18" TargetMode="External"/><Relationship Id="rId14320" Type="http://schemas.openxmlformats.org/officeDocument/2006/relationships/hyperlink" Target="https://ref.ly/Ps27:4" TargetMode="External"/><Relationship Id="rId14321" Type="http://schemas.openxmlformats.org/officeDocument/2006/relationships/hyperlink" Target="https://ref.ly/Ps42:4" TargetMode="External"/><Relationship Id="rId14322" Type="http://schemas.openxmlformats.org/officeDocument/2006/relationships/hyperlink" Target="https://ref.ly/Ps84:1-Ps84:4" TargetMode="External"/><Relationship Id="rId14323" Type="http://schemas.openxmlformats.org/officeDocument/2006/relationships/hyperlink" Target="https://ref.ly/Ezek9:3" TargetMode="External"/><Relationship Id="rId14324" Type="http://schemas.openxmlformats.org/officeDocument/2006/relationships/hyperlink" Target="https://ref.ly/Ezek11:22-Ezek11:23" TargetMode="External"/><Relationship Id="rId14325" Type="http://schemas.openxmlformats.org/officeDocument/2006/relationships/hyperlink" Target="https://ref.ly/Ezek43:1-Ezek43:5" TargetMode="External"/><Relationship Id="rId14326" Type="http://schemas.openxmlformats.org/officeDocument/2006/relationships/hyperlink" Target="https://ref.ly/Ezek36:24-Ezek36:28" TargetMode="External"/><Relationship Id="rId14327" Type="http://schemas.openxmlformats.org/officeDocument/2006/relationships/hyperlink" Target="https://ref.ly/Luke2:41-Luke2:50" TargetMode="External"/><Relationship Id="rId14328" Type="http://schemas.openxmlformats.org/officeDocument/2006/relationships/hyperlink" Target="https://ref.ly/Matt23:21" TargetMode="External"/><Relationship Id="rId14329" Type="http://schemas.openxmlformats.org/officeDocument/2006/relationships/hyperlink" Target="https://ref.ly/John2:13-John2:16" TargetMode="External"/><Relationship Id="rId14330" Type="http://schemas.openxmlformats.org/officeDocument/2006/relationships/hyperlink" Target="https://ref.ly/Matt21:9-Matt21:15" TargetMode="External"/><Relationship Id="rId14331" Type="http://schemas.openxmlformats.org/officeDocument/2006/relationships/hyperlink" Target="https://ref.ly/Matt24:1-Matt24:2" TargetMode="External"/><Relationship Id="rId14332" Type="http://schemas.openxmlformats.org/officeDocument/2006/relationships/hyperlink" Target="https://ref.ly/Acts5:12,Acts5:21,Acts5:42" TargetMode="External"/><Relationship Id="rId14333" Type="http://schemas.openxmlformats.org/officeDocument/2006/relationships/hyperlink" Target="https://ref.ly/Eph2:21" TargetMode="External"/><Relationship Id="rId14334" Type="http://schemas.openxmlformats.org/officeDocument/2006/relationships/hyperlink" Target="https://ref.ly/2Thess2:4" TargetMode="External"/><Relationship Id="rId14335" Type="http://schemas.openxmlformats.org/officeDocument/2006/relationships/hyperlink" Target="https://ref.ly/Exod27:1-Exod29:46" TargetMode="External"/><Relationship Id="rId14336" Type="http://schemas.openxmlformats.org/officeDocument/2006/relationships/hyperlink" Target="https://ref.ly/Exod40:1-Exod40:38" TargetMode="External"/><Relationship Id="rId14337" Type="http://schemas.openxmlformats.org/officeDocument/2006/relationships/hyperlink" Target="https://ref.ly/Rev3:12" TargetMode="External"/><Relationship Id="rId14338" Type="http://schemas.openxmlformats.org/officeDocument/2006/relationships/hyperlink" Target="https://ref.ly/Rev14:1" TargetMode="External"/><Relationship Id="rId14339" Type="http://schemas.openxmlformats.org/officeDocument/2006/relationships/hyperlink" Target="https://ref.ly/Rev21:2,Rev21:10,Rev21:22" TargetMode="External"/><Relationship Id="rId14340" Type="http://schemas.openxmlformats.org/officeDocument/2006/relationships/hyperlink" Target="https://ref.ly/Rev6:11" TargetMode="External"/><Relationship Id="rId14341" Type="http://schemas.openxmlformats.org/officeDocument/2006/relationships/hyperlink" Target="https://ref.ly/Rev11:19" TargetMode="External"/><Relationship Id="rId14342" Type="http://schemas.openxmlformats.org/officeDocument/2006/relationships/hyperlink" Target="https://ref.ly/Rev14:15" TargetMode="External"/><Relationship Id="rId14343" Type="http://schemas.openxmlformats.org/officeDocument/2006/relationships/hyperlink" Target="https://ref.ly/Rev15:5-Rev16:1" TargetMode="External"/><Relationship Id="rId14344" Type="http://schemas.openxmlformats.org/officeDocument/2006/relationships/hyperlink" Target="https://ref.ly/Acts7:4" TargetMode="External"/><Relationship Id="rId14345" Type="http://schemas.openxmlformats.org/officeDocument/2006/relationships/hyperlink" Target="https://ref.ly/Gen11:32" TargetMode="External"/><Relationship Id="rId14346" Type="http://schemas.openxmlformats.org/officeDocument/2006/relationships/hyperlink" Target="https://ref.ly/Gen21:21" TargetMode="External"/><Relationship Id="rId14347" Type="http://schemas.openxmlformats.org/officeDocument/2006/relationships/hyperlink" Target="https://ref.ly/Luke21:26" TargetMode="External"/><Relationship Id="rId14348" Type="http://schemas.openxmlformats.org/officeDocument/2006/relationships/hyperlink" Target="https://ref.ly/Gen1:10-Gen1:11" TargetMode="External"/><Relationship Id="rId14349" Type="http://schemas.openxmlformats.org/officeDocument/2006/relationships/hyperlink" Target="https://ref.ly/Job1:7" TargetMode="External"/><Relationship Id="rId14350" Type="http://schemas.openxmlformats.org/officeDocument/2006/relationships/hyperlink" Target="https://ref.ly/Job26:7" TargetMode="External"/><Relationship Id="rId14351" Type="http://schemas.openxmlformats.org/officeDocument/2006/relationships/hyperlink" Target="https://ref.ly/Ezek7:2" TargetMode="External"/><Relationship Id="rId14352" Type="http://schemas.openxmlformats.org/officeDocument/2006/relationships/hyperlink" Target="https://ref.ly/Isa40:22" TargetMode="External"/><Relationship Id="rId14353" Type="http://schemas.openxmlformats.org/officeDocument/2006/relationships/hyperlink" Target="https://ref.ly/Job38:13" TargetMode="External"/><Relationship Id="rId14354" Type="http://schemas.openxmlformats.org/officeDocument/2006/relationships/hyperlink" Target="https://ref.ly/Job9:6" TargetMode="External"/><Relationship Id="rId14355" Type="http://schemas.openxmlformats.org/officeDocument/2006/relationships/hyperlink" Target="https://ref.ly/Ps75:3" TargetMode="External"/><Relationship Id="rId14356" Type="http://schemas.openxmlformats.org/officeDocument/2006/relationships/hyperlink" Target="https://ref.ly/Ps104:5" TargetMode="External"/><Relationship Id="rId14357" Type="http://schemas.openxmlformats.org/officeDocument/2006/relationships/hyperlink" Target="https://ref.ly/Prov8:29" TargetMode="External"/><Relationship Id="rId14358" Type="http://schemas.openxmlformats.org/officeDocument/2006/relationships/hyperlink" Target="https://ref.ly/Isa24:18" TargetMode="External"/><Relationship Id="rId14359" Type="http://schemas.openxmlformats.org/officeDocument/2006/relationships/hyperlink" Target="https://ref.ly/Jer31:37" TargetMode="External"/><Relationship Id="rId14360" Type="http://schemas.openxmlformats.org/officeDocument/2006/relationships/hyperlink" Target="https://ref.ly/2Kgs5:17" TargetMode="External"/><Relationship Id="rId14361" Type="http://schemas.openxmlformats.org/officeDocument/2006/relationships/hyperlink" Target="https://ref.ly/Exod23:10-Exod23:12" TargetMode="External"/><Relationship Id="rId14362" Type="http://schemas.openxmlformats.org/officeDocument/2006/relationships/hyperlink" Target="https://ref.ly/Lev25:4-Lev25:5" TargetMode="External"/><Relationship Id="rId14363" Type="http://schemas.openxmlformats.org/officeDocument/2006/relationships/hyperlink" Target="https://ref.ly/Lev25:10-Lev25:17" TargetMode="External"/><Relationship Id="rId14364" Type="http://schemas.openxmlformats.org/officeDocument/2006/relationships/hyperlink" Target="https://ref.ly/Lev26:37" TargetMode="External"/><Relationship Id="rId14365" Type="http://schemas.openxmlformats.org/officeDocument/2006/relationships/hyperlink" Target="https://ref.ly/Deut28:64" TargetMode="External"/><Relationship Id="rId14366" Type="http://schemas.openxmlformats.org/officeDocument/2006/relationships/hyperlink" Target="https://ref.ly/Isa62:4" TargetMode="External"/><Relationship Id="rId14367" Type="http://schemas.openxmlformats.org/officeDocument/2006/relationships/hyperlink" Target="https://ref.ly/Zech14:6-Zech14:9" TargetMode="External"/><Relationship Id="rId14368" Type="http://schemas.openxmlformats.org/officeDocument/2006/relationships/hyperlink" Target="https://ref.ly/Ezek47:1-Ezek47:23" TargetMode="External"/><Relationship Id="rId14369" Type="http://schemas.openxmlformats.org/officeDocument/2006/relationships/hyperlink" Target="https://ref.ly/Gen4:12" TargetMode="External"/><Relationship Id="rId14370" Type="http://schemas.openxmlformats.org/officeDocument/2006/relationships/hyperlink" Target="https://ref.ly/Gen12:1-Gen12:2" TargetMode="External"/><Relationship Id="rId14371" Type="http://schemas.openxmlformats.org/officeDocument/2006/relationships/hyperlink" Target="https://ref.ly/Gen13:14-Gen13:18" TargetMode="External"/><Relationship Id="rId14372" Type="http://schemas.openxmlformats.org/officeDocument/2006/relationships/hyperlink" Target="https://ref.ly/Gen15:7-Gen15:21" TargetMode="External"/><Relationship Id="rId14373" Type="http://schemas.openxmlformats.org/officeDocument/2006/relationships/hyperlink" Target="https://ref.ly/Gen28:15" TargetMode="External"/><Relationship Id="rId14374" Type="http://schemas.openxmlformats.org/officeDocument/2006/relationships/hyperlink" Target="https://ref.ly/Gen35:11-Gen35:12" TargetMode="External"/><Relationship Id="rId14375" Type="http://schemas.openxmlformats.org/officeDocument/2006/relationships/hyperlink" Target="https://ref.ly/Gen46:3-Gen46:4" TargetMode="External"/><Relationship Id="rId14376" Type="http://schemas.openxmlformats.org/officeDocument/2006/relationships/hyperlink" Target="https://ref.ly/Exod6:5-Exod6:8" TargetMode="External"/><Relationship Id="rId14377" Type="http://schemas.openxmlformats.org/officeDocument/2006/relationships/hyperlink" Target="https://ref.ly/Lev26:32-Lev26:33" TargetMode="External"/><Relationship Id="rId14378" Type="http://schemas.openxmlformats.org/officeDocument/2006/relationships/hyperlink" Target="https://ref.ly/Lev26:42" TargetMode="External"/><Relationship Id="rId14379" Type="http://schemas.openxmlformats.org/officeDocument/2006/relationships/hyperlink" Target="https://ref.ly/Josh13:1-Josh13:6" TargetMode="External"/><Relationship Id="rId14380" Type="http://schemas.openxmlformats.org/officeDocument/2006/relationships/hyperlink" Target="https://ref.ly/2Sam8:1-2Sam8:18" TargetMode="External"/><Relationship Id="rId14381" Type="http://schemas.openxmlformats.org/officeDocument/2006/relationships/hyperlink" Target="https://ref.ly/1Kgs4:21,1Kgs4:24" TargetMode="External"/><Relationship Id="rId14382" Type="http://schemas.openxmlformats.org/officeDocument/2006/relationships/hyperlink" Target="https://ref.ly/1Kgs9:4-1Kgs9:9" TargetMode="External"/><Relationship Id="rId14383" Type="http://schemas.openxmlformats.org/officeDocument/2006/relationships/hyperlink" Target="https://ref.ly/Isa6:11-Isa6:12" TargetMode="External"/><Relationship Id="rId14384" Type="http://schemas.openxmlformats.org/officeDocument/2006/relationships/hyperlink" Target="https://ref.ly/Hos9:17" TargetMode="External"/><Relationship Id="rId14385" Type="http://schemas.openxmlformats.org/officeDocument/2006/relationships/hyperlink" Target="https://ref.ly/Jer21:2" TargetMode="External"/><Relationship Id="rId14386" Type="http://schemas.openxmlformats.org/officeDocument/2006/relationships/hyperlink" Target="https://ref.ly/Jer22:25" TargetMode="External"/><Relationship Id="rId14387" Type="http://schemas.openxmlformats.org/officeDocument/2006/relationships/hyperlink" Target="https://ref.ly/Jer25:8-Jer25:9" TargetMode="External"/><Relationship Id="rId14388" Type="http://schemas.openxmlformats.org/officeDocument/2006/relationships/hyperlink" Target="https://ref.ly/Jer27:6" TargetMode="External"/><Relationship Id="rId14389" Type="http://schemas.openxmlformats.org/officeDocument/2006/relationships/hyperlink" Target="https://ref.ly/Jer28:14" TargetMode="External"/><Relationship Id="rId14390" Type="http://schemas.openxmlformats.org/officeDocument/2006/relationships/hyperlink" Target="https://ref.ly/Jer29:21" TargetMode="External"/><Relationship Id="rId14391" Type="http://schemas.openxmlformats.org/officeDocument/2006/relationships/hyperlink" Target="https://ref.ly/Jer32:6-Jer32:25" TargetMode="External"/><Relationship Id="rId14392" Type="http://schemas.openxmlformats.org/officeDocument/2006/relationships/hyperlink" Target="https://ref.ly/Amos9:14-Amos9:15" TargetMode="External"/><Relationship Id="rId14393" Type="http://schemas.openxmlformats.org/officeDocument/2006/relationships/hyperlink" Target="https://ref.ly/Heb11:10" TargetMode="External"/><Relationship Id="rId14394" Type="http://schemas.openxmlformats.org/officeDocument/2006/relationships/hyperlink" Target="https://ref.ly/Heb11:16" TargetMode="External"/><Relationship Id="rId14395" Type="http://schemas.openxmlformats.org/officeDocument/2006/relationships/hyperlink" Target="https://ref.ly/Heb3:1-Heb4:16" TargetMode="External"/><Relationship Id="rId14396" Type="http://schemas.openxmlformats.org/officeDocument/2006/relationships/hyperlink" Target="https://ref.ly/Heb11:13-Heb11:16" TargetMode="External"/><Relationship Id="rId14397" Type="http://schemas.openxmlformats.org/officeDocument/2006/relationships/hyperlink" Target="https://ref.ly/Isa2:1-Isa2:5" TargetMode="External"/><Relationship Id="rId14398" Type="http://schemas.openxmlformats.org/officeDocument/2006/relationships/hyperlink" Target="https://ref.ly/Isa11:6-Isa11:11" TargetMode="External"/><Relationship Id="rId14399" Type="http://schemas.openxmlformats.org/officeDocument/2006/relationships/hyperlink" Target="https://ref.ly/Deut30:1-Deut30:16" TargetMode="External"/><Relationship Id="rId14400" Type="http://schemas.openxmlformats.org/officeDocument/2006/relationships/hyperlink" Target="https://ref.ly/Acts24:1-Acts24:2" TargetMode="External"/><Relationship Id="rId14401" Type="http://schemas.openxmlformats.org/officeDocument/2006/relationships/hyperlink" Target="https://ref.ly/Acts24:6-Acts24:7" TargetMode="External"/><Relationship Id="rId14402" Type="http://schemas.openxmlformats.org/officeDocument/2006/relationships/hyperlink" Target="https://ref.ly/Acts24:2-Acts24:8" TargetMode="External"/><Relationship Id="rId14403" Type="http://schemas.openxmlformats.org/officeDocument/2006/relationships/hyperlink" Target="https://ref.ly/Ps27:6" TargetMode="External"/><Relationship Id="rId14404" Type="http://schemas.openxmlformats.org/officeDocument/2006/relationships/hyperlink" Target="https://ref.ly/Judg8:28" TargetMode="External"/><Relationship Id="rId14405" Type="http://schemas.openxmlformats.org/officeDocument/2006/relationships/hyperlink" Target="https://ref.ly/Ps83:2" TargetMode="External"/><Relationship Id="rId14406" Type="http://schemas.openxmlformats.org/officeDocument/2006/relationships/hyperlink" Target="https://ref.ly/Lam2:10" TargetMode="External"/><Relationship Id="rId14407" Type="http://schemas.openxmlformats.org/officeDocument/2006/relationships/hyperlink" Target="https://ref.ly/Ps3:3" TargetMode="External"/><Relationship Id="rId14408" Type="http://schemas.openxmlformats.org/officeDocument/2006/relationships/hyperlink" Target="https://ref.ly/Gen8:5" TargetMode="External"/><Relationship Id="rId14409" Type="http://schemas.openxmlformats.org/officeDocument/2006/relationships/hyperlink" Target="https://ref.ly/Gen11:4" TargetMode="External"/><Relationship Id="rId14410" Type="http://schemas.openxmlformats.org/officeDocument/2006/relationships/hyperlink" Target="https://ref.ly/2Sam5:24" TargetMode="External"/><Relationship Id="rId14411" Type="http://schemas.openxmlformats.org/officeDocument/2006/relationships/hyperlink" Target="https://ref.ly/Gen2:10" TargetMode="External"/><Relationship Id="rId14412" Type="http://schemas.openxmlformats.org/officeDocument/2006/relationships/hyperlink" Target="https://ref.ly/Judg10:18" TargetMode="External"/><Relationship Id="rId14413" Type="http://schemas.openxmlformats.org/officeDocument/2006/relationships/hyperlink" Target="https://ref.ly/1Sam15:17" TargetMode="External"/><Relationship Id="rId14414" Type="http://schemas.openxmlformats.org/officeDocument/2006/relationships/hyperlink" Target="https://ref.ly/Ps18:43" TargetMode="External"/><Relationship Id="rId14415" Type="http://schemas.openxmlformats.org/officeDocument/2006/relationships/hyperlink" Target="https://ref.ly/Isa7:8-Isa7:9" TargetMode="External"/><Relationship Id="rId14416" Type="http://schemas.openxmlformats.org/officeDocument/2006/relationships/hyperlink" Target="https://ref.ly/Jer31:7" TargetMode="External"/><Relationship Id="rId14417" Type="http://schemas.openxmlformats.org/officeDocument/2006/relationships/hyperlink" Target="https://ref.ly/Ps68:21" TargetMode="External"/><Relationship Id="rId14418" Type="http://schemas.openxmlformats.org/officeDocument/2006/relationships/hyperlink" Target="https://ref.ly/Matt14:8" TargetMode="External"/><Relationship Id="rId14419" Type="http://schemas.openxmlformats.org/officeDocument/2006/relationships/hyperlink" Target="https://ref.ly/Matt26:7" TargetMode="External"/><Relationship Id="rId14420" Type="http://schemas.openxmlformats.org/officeDocument/2006/relationships/hyperlink" Target="https://ref.ly/Mark6:27" TargetMode="External"/><Relationship Id="rId14421" Type="http://schemas.openxmlformats.org/officeDocument/2006/relationships/hyperlink" Target="https://ref.ly/Luke7:46" TargetMode="External"/><Relationship Id="rId14422" Type="http://schemas.openxmlformats.org/officeDocument/2006/relationships/hyperlink" Target="https://ref.ly/John13:9" TargetMode="External"/><Relationship Id="rId14423" Type="http://schemas.openxmlformats.org/officeDocument/2006/relationships/hyperlink" Target="https://ref.ly/John20:7" TargetMode="External"/><Relationship Id="rId14424" Type="http://schemas.openxmlformats.org/officeDocument/2006/relationships/hyperlink" Target="https://ref.ly/Rev12:1" TargetMode="External"/><Relationship Id="rId14425" Type="http://schemas.openxmlformats.org/officeDocument/2006/relationships/hyperlink" Target="https://ref.ly/Rev9:7,Rev9:17,Rev9:19" TargetMode="External"/><Relationship Id="rId14426" Type="http://schemas.openxmlformats.org/officeDocument/2006/relationships/hyperlink" Target="https://ref.ly/Acts21:24" TargetMode="External"/><Relationship Id="rId14427" Type="http://schemas.openxmlformats.org/officeDocument/2006/relationships/hyperlink" Target="https://ref.ly/1Cor11:3-1Cor11:16" TargetMode="External"/><Relationship Id="rId14428" Type="http://schemas.openxmlformats.org/officeDocument/2006/relationships/hyperlink" Target="https://ref.ly/Eph1:21-Eph1:22" TargetMode="External"/><Relationship Id="rId14429" Type="http://schemas.openxmlformats.org/officeDocument/2006/relationships/hyperlink" Target="https://ref.ly/Matt14:1" TargetMode="External"/><Relationship Id="rId14430" Type="http://schemas.openxmlformats.org/officeDocument/2006/relationships/hyperlink" Target="https://ref.ly/Luke3:19" TargetMode="External"/><Relationship Id="rId14431" Type="http://schemas.openxmlformats.org/officeDocument/2006/relationships/hyperlink" Target="https://ref.ly/Luke9:7" TargetMode="External"/><Relationship Id="rId14432" Type="http://schemas.openxmlformats.org/officeDocument/2006/relationships/hyperlink" Target="https://ref.ly/Matt14:9" TargetMode="External"/><Relationship Id="rId14433" Type="http://schemas.openxmlformats.org/officeDocument/2006/relationships/hyperlink" Target="https://ref.ly/Mark6:14" TargetMode="External"/><Relationship Id="rId14434" Type="http://schemas.openxmlformats.org/officeDocument/2006/relationships/hyperlink" Target="https://ref.ly/Acts19:29-Acts19:41" TargetMode="External"/><Relationship Id="rId14435" Type="http://schemas.openxmlformats.org/officeDocument/2006/relationships/hyperlink" Target="https://ref.ly/Job6:19" TargetMode="External"/><Relationship Id="rId14436" Type="http://schemas.openxmlformats.org/officeDocument/2006/relationships/hyperlink" Target="https://ref.ly/Acts1:1" TargetMode="External"/><Relationship Id="rId14437" Type="http://schemas.openxmlformats.org/officeDocument/2006/relationships/hyperlink" Target="https://ref.ly/Acts24:2-Acts24:3" TargetMode="External"/><Relationship Id="rId14438" Type="http://schemas.openxmlformats.org/officeDocument/2006/relationships/hyperlink" Target="https://ref.ly/1Thess3:5" TargetMode="External"/><Relationship Id="rId14439" Type="http://schemas.openxmlformats.org/officeDocument/2006/relationships/hyperlink" Target="https://ref.ly/Acts17:1-Acts17:9" TargetMode="External"/><Relationship Id="rId14440" Type="http://schemas.openxmlformats.org/officeDocument/2006/relationships/hyperlink" Target="https://ref.ly/Phil4:16" TargetMode="External"/><Relationship Id="rId14441" Type="http://schemas.openxmlformats.org/officeDocument/2006/relationships/hyperlink" Target="https://ref.ly/1Thess5:1" TargetMode="External"/><Relationship Id="rId14442" Type="http://schemas.openxmlformats.org/officeDocument/2006/relationships/hyperlink" Target="https://ref.ly/1Thess1:7-1Thess1:10" TargetMode="External"/><Relationship Id="rId14443" Type="http://schemas.openxmlformats.org/officeDocument/2006/relationships/hyperlink" Target="https://ref.ly/1Thess2:13-1Thess2:16" TargetMode="External"/><Relationship Id="rId14444" Type="http://schemas.openxmlformats.org/officeDocument/2006/relationships/hyperlink" Target="https://ref.ly/1Thess3:1-1Thess3:10" TargetMode="External"/><Relationship Id="rId14445" Type="http://schemas.openxmlformats.org/officeDocument/2006/relationships/hyperlink" Target="https://ref.ly/1Thess2:1-1Thess2:12" TargetMode="External"/><Relationship Id="rId14446" Type="http://schemas.openxmlformats.org/officeDocument/2006/relationships/hyperlink" Target="https://ref.ly/1Thess2:17-1Thess2:18" TargetMode="External"/><Relationship Id="rId14447" Type="http://schemas.openxmlformats.org/officeDocument/2006/relationships/hyperlink" Target="https://ref.ly/1Thess4:1-1Thess4:8" TargetMode="External"/><Relationship Id="rId14448" Type="http://schemas.openxmlformats.org/officeDocument/2006/relationships/hyperlink" Target="https://ref.ly/1Thess4:9-1Thess4:12" TargetMode="External"/><Relationship Id="rId14449" Type="http://schemas.openxmlformats.org/officeDocument/2006/relationships/hyperlink" Target="https://ref.ly/1Thess5:12-1Thess5:22" TargetMode="External"/><Relationship Id="rId14450" Type="http://schemas.openxmlformats.org/officeDocument/2006/relationships/hyperlink" Target="https://ref.ly/1Thess4:13-1Thess4:18" TargetMode="External"/><Relationship Id="rId14451" Type="http://schemas.openxmlformats.org/officeDocument/2006/relationships/hyperlink" Target="https://ref.ly/1Thess5:1-1Thess5:11" TargetMode="External"/><Relationship Id="rId14452" Type="http://schemas.openxmlformats.org/officeDocument/2006/relationships/hyperlink" Target="https://ref.ly/1Thess5:19-1Thess5:21" TargetMode="External"/><Relationship Id="rId14453" Type="http://schemas.openxmlformats.org/officeDocument/2006/relationships/hyperlink" Target="https://ref.ly/1Thess5:12" TargetMode="External"/><Relationship Id="rId14454" Type="http://schemas.openxmlformats.org/officeDocument/2006/relationships/hyperlink" Target="https://ref.ly/1Thess1:2-1Thess1:10" TargetMode="External"/><Relationship Id="rId14455" Type="http://schemas.openxmlformats.org/officeDocument/2006/relationships/hyperlink" Target="https://ref.ly/1Thess2:17-1Thess2:20" TargetMode="External"/><Relationship Id="rId14456" Type="http://schemas.openxmlformats.org/officeDocument/2006/relationships/hyperlink" Target="https://ref.ly/Acts17:9" TargetMode="External"/><Relationship Id="rId14457" Type="http://schemas.openxmlformats.org/officeDocument/2006/relationships/hyperlink" Target="https://ref.ly/1Thess3:1-1Thess3:5" TargetMode="External"/><Relationship Id="rId14458" Type="http://schemas.openxmlformats.org/officeDocument/2006/relationships/hyperlink" Target="https://ref.ly/1Thess3:6-1Thess3:10" TargetMode="External"/><Relationship Id="rId14459" Type="http://schemas.openxmlformats.org/officeDocument/2006/relationships/hyperlink" Target="https://ref.ly/1Thess3:11-1Thess3:13" TargetMode="External"/><Relationship Id="rId14460" Type="http://schemas.openxmlformats.org/officeDocument/2006/relationships/hyperlink" Target="https://ref.ly/1Thess5:23-1Thess5:28" TargetMode="External"/><Relationship Id="rId14461" Type="http://schemas.openxmlformats.org/officeDocument/2006/relationships/hyperlink" Target="https://ref.ly/Acts17:6-Acts17:8" TargetMode="External"/><Relationship Id="rId14462" Type="http://schemas.openxmlformats.org/officeDocument/2006/relationships/hyperlink" Target="https://ref.ly/Acts17:1-Acts17:4" TargetMode="External"/><Relationship Id="rId14463" Type="http://schemas.openxmlformats.org/officeDocument/2006/relationships/hyperlink" Target="https://ref.ly/Acts17:5-Acts17:10" TargetMode="External"/><Relationship Id="rId14464" Type="http://schemas.openxmlformats.org/officeDocument/2006/relationships/hyperlink" Target="https://ref.ly/Acts17:13" TargetMode="External"/><Relationship Id="rId14465" Type="http://schemas.openxmlformats.org/officeDocument/2006/relationships/hyperlink" Target="https://ref.ly/Acts5:36" TargetMode="External"/><Relationship Id="rId14466" Type="http://schemas.openxmlformats.org/officeDocument/2006/relationships/hyperlink" Target="https://ref.ly/John11:16" TargetMode="External"/><Relationship Id="rId14467" Type="http://schemas.openxmlformats.org/officeDocument/2006/relationships/hyperlink" Target="https://ref.ly/John20:24" TargetMode="External"/><Relationship Id="rId14468" Type="http://schemas.openxmlformats.org/officeDocument/2006/relationships/hyperlink" Target="https://ref.ly/John14:5" TargetMode="External"/><Relationship Id="rId14469" Type="http://schemas.openxmlformats.org/officeDocument/2006/relationships/hyperlink" Target="https://ref.ly/John20:26-John20:28" TargetMode="External"/><Relationship Id="rId14470" Type="http://schemas.openxmlformats.org/officeDocument/2006/relationships/hyperlink" Target="https://ref.ly/Rev2:19" TargetMode="External"/><Relationship Id="rId14471" Type="http://schemas.openxmlformats.org/officeDocument/2006/relationships/hyperlink" Target="https://ref.ly/Rev2:25" TargetMode="External"/><Relationship Id="rId14472" Type="http://schemas.openxmlformats.org/officeDocument/2006/relationships/hyperlink" Target="https://ref.ly/Gen14:1-Gen14:9" TargetMode="External"/><Relationship Id="rId14473" Type="http://schemas.openxmlformats.org/officeDocument/2006/relationships/hyperlink" Target="https://ref.ly/Nah2:6" TargetMode="External"/><Relationship Id="rId14474" Type="http://schemas.openxmlformats.org/officeDocument/2006/relationships/hyperlink" Target="https://ref.ly/Acts16:2" TargetMode="External"/><Relationship Id="rId14475" Type="http://schemas.openxmlformats.org/officeDocument/2006/relationships/hyperlink" Target="https://ref.ly/Phil2:19-Phil2:23" TargetMode="External"/><Relationship Id="rId14476" Type="http://schemas.openxmlformats.org/officeDocument/2006/relationships/hyperlink" Target="https://ref.ly/1Thess3:2-1Thess3:6" TargetMode="External"/><Relationship Id="rId14477" Type="http://schemas.openxmlformats.org/officeDocument/2006/relationships/hyperlink" Target="https://ref.ly/2Tim1:15-2Tim1:18" TargetMode="External"/><Relationship Id="rId14478" Type="http://schemas.openxmlformats.org/officeDocument/2006/relationships/hyperlink" Target="https://ref.ly/2Tim1:1-2Tim1:2" TargetMode="External"/><Relationship Id="rId14479" Type="http://schemas.openxmlformats.org/officeDocument/2006/relationships/hyperlink" Target="https://ref.ly/2Tim1:3-2Tim2:13" TargetMode="External"/><Relationship Id="rId14480" Type="http://schemas.openxmlformats.org/officeDocument/2006/relationships/hyperlink" Target="https://ref.ly/2Tim2:1" TargetMode="External"/><Relationship Id="rId14481" Type="http://schemas.openxmlformats.org/officeDocument/2006/relationships/hyperlink" Target="https://ref.ly/2Tim2:8-2Tim2:10" TargetMode="External"/><Relationship Id="rId14482" Type="http://schemas.openxmlformats.org/officeDocument/2006/relationships/hyperlink" Target="https://ref.ly/2Tim2:14-2Tim4:5" TargetMode="External"/><Relationship Id="rId14483" Type="http://schemas.openxmlformats.org/officeDocument/2006/relationships/hyperlink" Target="https://ref.ly/2Tim2:18" TargetMode="External"/><Relationship Id="rId14484" Type="http://schemas.openxmlformats.org/officeDocument/2006/relationships/hyperlink" Target="https://ref.ly/2Tim3:1-2Tim3:9" TargetMode="External"/><Relationship Id="rId14485" Type="http://schemas.openxmlformats.org/officeDocument/2006/relationships/hyperlink" Target="https://ref.ly/Exod7:1-Exod7:25" TargetMode="External"/><Relationship Id="rId14486" Type="http://schemas.openxmlformats.org/officeDocument/2006/relationships/hyperlink" Target="https://ref.ly/2Tim3:16-2Tim3:17" TargetMode="External"/><Relationship Id="rId14487" Type="http://schemas.openxmlformats.org/officeDocument/2006/relationships/hyperlink" Target="https://ref.ly/2Tim4:6-2Tim4:18" TargetMode="External"/><Relationship Id="rId14488" Type="http://schemas.openxmlformats.org/officeDocument/2006/relationships/hyperlink" Target="https://ref.ly/2Tim4:19-2Tim4:22" TargetMode="External"/><Relationship Id="rId14489" Type="http://schemas.openxmlformats.org/officeDocument/2006/relationships/hyperlink" Target="https://ref.ly/Lev16:8-Lev16:10" TargetMode="External"/><Relationship Id="rId14490" Type="http://schemas.openxmlformats.org/officeDocument/2006/relationships/hyperlink" Target="https://ref.ly/Num26:55-Num26:56" TargetMode="External"/><Relationship Id="rId14491" Type="http://schemas.openxmlformats.org/officeDocument/2006/relationships/hyperlink" Target="https://ref.ly/Josh14:2" TargetMode="External"/><Relationship Id="rId14492" Type="http://schemas.openxmlformats.org/officeDocument/2006/relationships/hyperlink" Target="https://ref.ly/Judg20:9" TargetMode="External"/><Relationship Id="rId14493" Type="http://schemas.openxmlformats.org/officeDocument/2006/relationships/hyperlink" Target="https://ref.ly/Neh11:1" TargetMode="External"/><Relationship Id="rId14494" Type="http://schemas.openxmlformats.org/officeDocument/2006/relationships/hyperlink" Target="https://ref.ly/1Chr24:5-1Chr24:19" TargetMode="External"/><Relationship Id="rId14495" Type="http://schemas.openxmlformats.org/officeDocument/2006/relationships/hyperlink" Target="https://ref.ly/Neh10:34" TargetMode="External"/><Relationship Id="rId14496" Type="http://schemas.openxmlformats.org/officeDocument/2006/relationships/hyperlink" Target="https://ref.ly/Josh7:14-Josh7:18" TargetMode="External"/><Relationship Id="rId14497" Type="http://schemas.openxmlformats.org/officeDocument/2006/relationships/hyperlink" Target="https://ref.ly/Prov18:18" TargetMode="External"/><Relationship Id="rId14498" Type="http://schemas.openxmlformats.org/officeDocument/2006/relationships/hyperlink" Target="https://ref.ly/Prov16:33" TargetMode="External"/><Relationship Id="rId14499" Type="http://schemas.openxmlformats.org/officeDocument/2006/relationships/hyperlink" Target="https://ref.ly/Lev16:8" TargetMode="External"/><Relationship Id="rId14500" Type="http://schemas.openxmlformats.org/officeDocument/2006/relationships/hyperlink" Target="https://ref.ly/Isa34:17" TargetMode="External"/><Relationship Id="rId14501" Type="http://schemas.openxmlformats.org/officeDocument/2006/relationships/hyperlink" Target="https://ref.ly/Matt27:35" TargetMode="External"/><Relationship Id="rId14502" Type="http://schemas.openxmlformats.org/officeDocument/2006/relationships/hyperlink" Target="https://ref.ly/Exod9:31" TargetMode="External"/><Relationship Id="rId14503" Type="http://schemas.openxmlformats.org/officeDocument/2006/relationships/hyperlink" Target="https://ref.ly/Prov31:13" TargetMode="External"/><Relationship Id="rId14504" Type="http://schemas.openxmlformats.org/officeDocument/2006/relationships/hyperlink" Target="https://ref.ly/Exod28:40" TargetMode="External"/><Relationship Id="rId14505" Type="http://schemas.openxmlformats.org/officeDocument/2006/relationships/hyperlink" Target="https://ref.ly/Exod35:6" TargetMode="External"/><Relationship Id="rId14506" Type="http://schemas.openxmlformats.org/officeDocument/2006/relationships/hyperlink" Target="https://ref.ly/2Chr2:14" TargetMode="External"/><Relationship Id="rId14507" Type="http://schemas.openxmlformats.org/officeDocument/2006/relationships/hyperlink" Target="https://ref.ly/Exod35:25" TargetMode="External"/><Relationship Id="rId14508" Type="http://schemas.openxmlformats.org/officeDocument/2006/relationships/hyperlink" Target="https://ref.ly/Exod35:23,Exod35:26" TargetMode="External"/><Relationship Id="rId14509" Type="http://schemas.openxmlformats.org/officeDocument/2006/relationships/hyperlink" Target="https://ref.ly/Matt11:21" TargetMode="External"/><Relationship Id="rId14510" Type="http://schemas.openxmlformats.org/officeDocument/2006/relationships/hyperlink" Target="https://ref.ly/Exod39:3" TargetMode="External"/><Relationship Id="rId14511" Type="http://schemas.openxmlformats.org/officeDocument/2006/relationships/hyperlink" Target="https://ref.ly/Judg16:13-Judg16:14" TargetMode="External"/><Relationship Id="rId14512" Type="http://schemas.openxmlformats.org/officeDocument/2006/relationships/hyperlink" Target="https://ref.ly/Exod26:36" TargetMode="External"/><Relationship Id="rId14513" Type="http://schemas.openxmlformats.org/officeDocument/2006/relationships/hyperlink" Target="https://ref.ly/Ezek27:1-Ezek27:3" TargetMode="External"/><Relationship Id="rId14514" Type="http://schemas.openxmlformats.org/officeDocument/2006/relationships/hyperlink" Target="https://ref.ly/Titus1:4" TargetMode="External"/><Relationship Id="rId14515" Type="http://schemas.openxmlformats.org/officeDocument/2006/relationships/hyperlink" Target="https://ref.ly/Titus1:4-Titus1:5" TargetMode="External"/><Relationship Id="rId14516" Type="http://schemas.openxmlformats.org/officeDocument/2006/relationships/hyperlink" Target="https://ref.ly/2Cor7:6-2Cor7:7" TargetMode="External"/><Relationship Id="rId14517" Type="http://schemas.openxmlformats.org/officeDocument/2006/relationships/hyperlink" Target="https://ref.ly/2Cor8:6,2Cor8:16" TargetMode="External"/><Relationship Id="rId14518" Type="http://schemas.openxmlformats.org/officeDocument/2006/relationships/hyperlink" Target="https://ref.ly/Titus1:10-Titus1:16" TargetMode="External"/><Relationship Id="rId14519" Type="http://schemas.openxmlformats.org/officeDocument/2006/relationships/hyperlink" Target="https://ref.ly/Ezek27:14" TargetMode="External"/><Relationship Id="rId14520" Type="http://schemas.openxmlformats.org/officeDocument/2006/relationships/hyperlink" Target="https://ref.ly/Jer7:31-Jer7:32" TargetMode="External"/><Relationship Id="rId14521" Type="http://schemas.openxmlformats.org/officeDocument/2006/relationships/hyperlink" Target="https://ref.ly/Jer19:12" TargetMode="External"/><Relationship Id="rId14522" Type="http://schemas.openxmlformats.org/officeDocument/2006/relationships/hyperlink" Target="https://ref.ly/Mark9:43-Mark9:47" TargetMode="External"/><Relationship Id="rId14523" Type="http://schemas.openxmlformats.org/officeDocument/2006/relationships/hyperlink" Target="https://ref.ly/Rom9:31" TargetMode="External"/><Relationship Id="rId14524" Type="http://schemas.openxmlformats.org/officeDocument/2006/relationships/hyperlink" Target="https://ref.ly/Matt22:31-Matt22:32" TargetMode="External"/><Relationship Id="rId14525" Type="http://schemas.openxmlformats.org/officeDocument/2006/relationships/hyperlink" Target="https://ref.ly/Lev18:5" TargetMode="External"/><Relationship Id="rId14526" Type="http://schemas.openxmlformats.org/officeDocument/2006/relationships/hyperlink" Target="https://ref.ly/Gal3:24" TargetMode="External"/><Relationship Id="rId14527" Type="http://schemas.openxmlformats.org/officeDocument/2006/relationships/hyperlink" Target="https://ref.ly/Rom7:7" TargetMode="External"/><Relationship Id="rId14528" Type="http://schemas.openxmlformats.org/officeDocument/2006/relationships/hyperlink" Target="https://ref.ly/Num34:5" TargetMode="External"/><Relationship Id="rId14529" Type="http://schemas.openxmlformats.org/officeDocument/2006/relationships/hyperlink" Target="https://ref.ly/Josh15:4,Josh15:47" TargetMode="External"/><Relationship Id="rId14530" Type="http://schemas.openxmlformats.org/officeDocument/2006/relationships/hyperlink" Target="https://ref.ly/2Chr7:8" TargetMode="External"/><Relationship Id="rId14531" Type="http://schemas.openxmlformats.org/officeDocument/2006/relationships/hyperlink" Target="https://ref.ly/Isa27:12" TargetMode="External"/><Relationship Id="rId14532" Type="http://schemas.openxmlformats.org/officeDocument/2006/relationships/hyperlink" Target="https://ref.ly/Matt21:33" TargetMode="External"/><Relationship Id="rId14533" Type="http://schemas.openxmlformats.org/officeDocument/2006/relationships/hyperlink" Target="https://ref.ly/Mark12:1" TargetMode="External"/><Relationship Id="rId14534" Type="http://schemas.openxmlformats.org/officeDocument/2006/relationships/hyperlink" Target="https://ref.ly/2Chr20:24" TargetMode="External"/><Relationship Id="rId14535" Type="http://schemas.openxmlformats.org/officeDocument/2006/relationships/hyperlink" Target="https://ref.ly/Isa32:14" TargetMode="External"/><Relationship Id="rId14536" Type="http://schemas.openxmlformats.org/officeDocument/2006/relationships/hyperlink" Target="https://ref.ly/Matt15:2" TargetMode="External"/><Relationship Id="rId14537" Type="http://schemas.openxmlformats.org/officeDocument/2006/relationships/hyperlink" Target="https://ref.ly/Ps139:13-Ps139:16" TargetMode="External"/><Relationship Id="rId14538" Type="http://schemas.openxmlformats.org/officeDocument/2006/relationships/hyperlink" Target="https://ref.ly/Gen2:2-Gen2:3" TargetMode="External"/><Relationship Id="rId14539" Type="http://schemas.openxmlformats.org/officeDocument/2006/relationships/hyperlink" Target="https://ref.ly/John4:34" TargetMode="External"/><Relationship Id="rId14540" Type="http://schemas.openxmlformats.org/officeDocument/2006/relationships/hyperlink" Target="https://ref.ly/Ps104:19-Ps104:23" TargetMode="External"/><Relationship Id="rId14541" Type="http://schemas.openxmlformats.org/officeDocument/2006/relationships/hyperlink" Target="https://ref.ly/Prov6:6" TargetMode="External"/><Relationship Id="rId14542" Type="http://schemas.openxmlformats.org/officeDocument/2006/relationships/hyperlink" Target="https://ref.ly/2Thess3:10" TargetMode="External"/><Relationship Id="rId14543" Type="http://schemas.openxmlformats.org/officeDocument/2006/relationships/hyperlink" Target="https://ref.ly/Acts20:33-Acts20:35" TargetMode="External"/><Relationship Id="rId14544" Type="http://schemas.openxmlformats.org/officeDocument/2006/relationships/hyperlink" Target="https://ref.ly/1Thess4:11-1Thess4:12" TargetMode="External"/><Relationship Id="rId14545" Type="http://schemas.openxmlformats.org/officeDocument/2006/relationships/hyperlink" Target="https://ref.ly/Sir7:15" TargetMode="External"/><Relationship Id="rId14546" Type="http://schemas.openxmlformats.org/officeDocument/2006/relationships/hyperlink" Target="https://ref.ly/Exod31:1-Exod31:11" TargetMode="External"/><Relationship Id="rId14547" Type="http://schemas.openxmlformats.org/officeDocument/2006/relationships/hyperlink" Target="https://ref.ly/Isa6:8-Isa6:9" TargetMode="External"/><Relationship Id="rId14548" Type="http://schemas.openxmlformats.org/officeDocument/2006/relationships/hyperlink" Target="https://ref.ly/Isa1:17" TargetMode="External"/><Relationship Id="rId14549" Type="http://schemas.openxmlformats.org/officeDocument/2006/relationships/hyperlink" Target="https://ref.ly/Isa58:6" TargetMode="External"/><Relationship Id="rId14550" Type="http://schemas.openxmlformats.org/officeDocument/2006/relationships/hyperlink" Target="https://ref.ly/Matt9:37-Matt9:38" TargetMode="External"/><Relationship Id="rId14551" Type="http://schemas.openxmlformats.org/officeDocument/2006/relationships/hyperlink" Target="https://ref.ly/1Cor3:6-1Cor3:15" TargetMode="External"/><Relationship Id="rId14552" Type="http://schemas.openxmlformats.org/officeDocument/2006/relationships/hyperlink" Target="https://ref.ly/Num16:31-Num16:33" TargetMode="External"/><Relationship Id="rId14553" Type="http://schemas.openxmlformats.org/officeDocument/2006/relationships/hyperlink" Target="https://ref.ly/1Sam14:15" TargetMode="External"/><Relationship Id="rId14554" Type="http://schemas.openxmlformats.org/officeDocument/2006/relationships/hyperlink" Target="https://ref.ly/1Kgs19:7-1Kgs19:9" TargetMode="External"/><Relationship Id="rId14555" Type="http://schemas.openxmlformats.org/officeDocument/2006/relationships/hyperlink" Target="https://ref.ly/Matt27:51-Matt27:54" TargetMode="External"/><Relationship Id="rId14556" Type="http://schemas.openxmlformats.org/officeDocument/2006/relationships/hyperlink" Target="https://ref.ly/Matt28:2" TargetMode="External"/><Relationship Id="rId14557" Type="http://schemas.openxmlformats.org/officeDocument/2006/relationships/hyperlink" Target="https://ref.ly/Acts16:26" TargetMode="External"/><Relationship Id="rId14558" Type="http://schemas.openxmlformats.org/officeDocument/2006/relationships/hyperlink" Target="https://ref.ly/Zech14:4-Zech14:5" TargetMode="External"/><Relationship Id="rId14559" Type="http://schemas.openxmlformats.org/officeDocument/2006/relationships/hyperlink" Target="https://ref.ly/Rev6:12-Rev6:24" TargetMode="External"/><Relationship Id="rId14560" Type="http://schemas.openxmlformats.org/officeDocument/2006/relationships/hyperlink" Target="https://ref.ly/Rev16:18" TargetMode="External"/><Relationship Id="rId14561" Type="http://schemas.openxmlformats.org/officeDocument/2006/relationships/hyperlink" Target="https://ref.ly/Ps21:7" TargetMode="External"/><Relationship Id="rId14562" Type="http://schemas.openxmlformats.org/officeDocument/2006/relationships/hyperlink" Target="https://ref.ly/Acts7:48" TargetMode="External"/><Relationship Id="rId14563" Type="http://schemas.openxmlformats.org/officeDocument/2006/relationships/hyperlink" Target="https://ref.ly/1Chr27:25" TargetMode="External"/><Relationship Id="rId14564" Type="http://schemas.openxmlformats.org/officeDocument/2006/relationships/hyperlink" Target="https://ref.ly/1Chr26:20" TargetMode="External"/><Relationship Id="rId14565" Type="http://schemas.openxmlformats.org/officeDocument/2006/relationships/hyperlink" Target="https://ref.ly/1Chr29:7-1Chr29:8" TargetMode="External"/><Relationship Id="rId14566" Type="http://schemas.openxmlformats.org/officeDocument/2006/relationships/hyperlink" Target="https://ref.ly/Isa22:15" TargetMode="External"/><Relationship Id="rId14567" Type="http://schemas.openxmlformats.org/officeDocument/2006/relationships/hyperlink" Target="https://ref.ly/Ezra1:8" TargetMode="External"/><Relationship Id="rId14568" Type="http://schemas.openxmlformats.org/officeDocument/2006/relationships/hyperlink" Target="https://ref.ly/Ezra7:21-Ezra7:22" TargetMode="External"/><Relationship Id="rId14569" Type="http://schemas.openxmlformats.org/officeDocument/2006/relationships/hyperlink" Target="https://ref.ly/Neh13:13" TargetMode="External"/><Relationship Id="rId14570" Type="http://schemas.openxmlformats.org/officeDocument/2006/relationships/hyperlink" Target="https://ref.ly/Num18:2" TargetMode="External"/><Relationship Id="rId14571" Type="http://schemas.openxmlformats.org/officeDocument/2006/relationships/hyperlink" Target="https://ref.ly/Gen34:25-Gen34:29" TargetMode="External"/><Relationship Id="rId14572" Type="http://schemas.openxmlformats.org/officeDocument/2006/relationships/hyperlink" Target="https://ref.ly/Exod32:25-Exod32:29" TargetMode="External"/><Relationship Id="rId14573" Type="http://schemas.openxmlformats.org/officeDocument/2006/relationships/hyperlink" Target="https://ref.ly/Num18:19" TargetMode="External"/><Relationship Id="rId14574" Type="http://schemas.openxmlformats.org/officeDocument/2006/relationships/hyperlink" Target="https://ref.ly/Num18:20" TargetMode="External"/><Relationship Id="rId14575" Type="http://schemas.openxmlformats.org/officeDocument/2006/relationships/hyperlink" Target="https://ref.ly/Num18:21" TargetMode="External"/><Relationship Id="rId14576" Type="http://schemas.openxmlformats.org/officeDocument/2006/relationships/hyperlink" Target="https://ref.ly/Num1:49" TargetMode="External"/><Relationship Id="rId14577" Type="http://schemas.openxmlformats.org/officeDocument/2006/relationships/hyperlink" Target="https://ref.ly/Num1:50-Num1:53" TargetMode="External"/><Relationship Id="rId14578" Type="http://schemas.openxmlformats.org/officeDocument/2006/relationships/hyperlink" Target="https://ref.ly/1Chr23:25-1Chr23:32" TargetMode="External"/><Relationship Id="rId14579" Type="http://schemas.openxmlformats.org/officeDocument/2006/relationships/hyperlink" Target="https://ref.ly/Num1:50-Num1:51" TargetMode="External"/><Relationship Id="rId14580" Type="http://schemas.openxmlformats.org/officeDocument/2006/relationships/hyperlink" Target="https://ref.ly/1Chr16:42" TargetMode="External"/><Relationship Id="rId14581" Type="http://schemas.openxmlformats.org/officeDocument/2006/relationships/hyperlink" Target="https://ref.ly/Deut33:8-Deut33:11" TargetMode="External"/><Relationship Id="rId14582" Type="http://schemas.openxmlformats.org/officeDocument/2006/relationships/hyperlink" Target="https://ref.ly/2Chr17:7-2Chr17:9" TargetMode="External"/><Relationship Id="rId14583" Type="http://schemas.openxmlformats.org/officeDocument/2006/relationships/hyperlink" Target="https://ref.ly/Judg17:13" TargetMode="External"/><Relationship Id="rId14584" Type="http://schemas.openxmlformats.org/officeDocument/2006/relationships/hyperlink" Target="https://ref.ly/Jer33:20-Jer33:26" TargetMode="External"/><Relationship Id="rId14585" Type="http://schemas.openxmlformats.org/officeDocument/2006/relationships/hyperlink" Target="https://ref.ly/Mal3:3-Mal3:4" TargetMode="External"/><Relationship Id="rId14586" Type="http://schemas.openxmlformats.org/officeDocument/2006/relationships/hyperlink" Target="https://ref.ly/Acts21:31" TargetMode="External"/><Relationship Id="rId14587" Type="http://schemas.openxmlformats.org/officeDocument/2006/relationships/hyperlink" Target="https://ref.ly/Acts23:10" TargetMode="External"/><Relationship Id="rId14588" Type="http://schemas.openxmlformats.org/officeDocument/2006/relationships/hyperlink" Target="https://ref.ly/Acts24:22" TargetMode="External"/><Relationship Id="rId14589" Type="http://schemas.openxmlformats.org/officeDocument/2006/relationships/hyperlink" Target="https://ref.ly/Lev24:10-Lev24:23" TargetMode="External"/><Relationship Id="rId14590" Type="http://schemas.openxmlformats.org/officeDocument/2006/relationships/hyperlink" Target="https://ref.ly/Deut16:18" TargetMode="External"/><Relationship Id="rId14591" Type="http://schemas.openxmlformats.org/officeDocument/2006/relationships/hyperlink" Target="https://ref.ly/Deut19:12" TargetMode="External"/><Relationship Id="rId14592" Type="http://schemas.openxmlformats.org/officeDocument/2006/relationships/hyperlink" Target="https://ref.ly/Deut17:8-Deut17:12" TargetMode="External"/><Relationship Id="rId14593" Type="http://schemas.openxmlformats.org/officeDocument/2006/relationships/hyperlink" Target="https://ref.ly/1Sam7:15-1Sam7:17" TargetMode="External"/><Relationship Id="rId14594" Type="http://schemas.openxmlformats.org/officeDocument/2006/relationships/hyperlink" Target="https://ref.ly/Deut17:2-Deut17:7" TargetMode="External"/><Relationship Id="rId14595" Type="http://schemas.openxmlformats.org/officeDocument/2006/relationships/hyperlink" Target="https://ref.ly/Num35:10-Num35:34" TargetMode="External"/><Relationship Id="rId14596" Type="http://schemas.openxmlformats.org/officeDocument/2006/relationships/hyperlink" Target="https://ref.ly/Deut19:1-Deut19:13" TargetMode="External"/><Relationship Id="rId14597" Type="http://schemas.openxmlformats.org/officeDocument/2006/relationships/hyperlink" Target="https://ref.ly/Deut21:19" TargetMode="External"/><Relationship Id="rId14598" Type="http://schemas.openxmlformats.org/officeDocument/2006/relationships/hyperlink" Target="https://ref.ly/Exod22:8-Exod22:13" TargetMode="External"/><Relationship Id="rId14599" Type="http://schemas.openxmlformats.org/officeDocument/2006/relationships/hyperlink" Target="https://ref.ly/Num5:6-Num5:31" TargetMode="External"/><Relationship Id="rId14600" Type="http://schemas.openxmlformats.org/officeDocument/2006/relationships/hyperlink" Target="https://ref.ly/Deut17:7" TargetMode="External"/><Relationship Id="rId14601" Type="http://schemas.openxmlformats.org/officeDocument/2006/relationships/hyperlink" Target="https://ref.ly/Ps72:12" TargetMode="External"/><Relationship Id="rId14602" Type="http://schemas.openxmlformats.org/officeDocument/2006/relationships/hyperlink" Target="https://ref.ly/2Sam15:1-2Sam15:6" TargetMode="External"/><Relationship Id="rId14603" Type="http://schemas.openxmlformats.org/officeDocument/2006/relationships/hyperlink" Target="https://ref.ly/1Kgs21:10" TargetMode="External"/><Relationship Id="rId14604" Type="http://schemas.openxmlformats.org/officeDocument/2006/relationships/hyperlink" Target="https://ref.ly/1Kgs21:11-1Kgs21:13" TargetMode="External"/><Relationship Id="rId14605" Type="http://schemas.openxmlformats.org/officeDocument/2006/relationships/hyperlink" Target="https://ref.ly/Jer26:1-Jer26:24" TargetMode="External"/><Relationship Id="rId14606" Type="http://schemas.openxmlformats.org/officeDocument/2006/relationships/hyperlink" Target="https://ref.ly/Jer37:11-Jer38:28" TargetMode="External"/><Relationship Id="rId14607" Type="http://schemas.openxmlformats.org/officeDocument/2006/relationships/hyperlink" Target="https://ref.ly/Isa1:2-Isa1:26" TargetMode="External"/><Relationship Id="rId14608" Type="http://schemas.openxmlformats.org/officeDocument/2006/relationships/hyperlink" Target="https://ref.ly/Isa43:1-Isa43:28" TargetMode="External"/><Relationship Id="rId14609" Type="http://schemas.openxmlformats.org/officeDocument/2006/relationships/hyperlink" Target="https://ref.ly/Jer2:4-Jer2:37" TargetMode="External"/><Relationship Id="rId14610" Type="http://schemas.openxmlformats.org/officeDocument/2006/relationships/hyperlink" Target="https://ref.ly/Mic6:1-Mic6:16" TargetMode="External"/><Relationship Id="rId14611" Type="http://schemas.openxmlformats.org/officeDocument/2006/relationships/hyperlink" Target="https://ref.ly/Job13:23" TargetMode="External"/><Relationship Id="rId14612" Type="http://schemas.openxmlformats.org/officeDocument/2006/relationships/hyperlink" Target="https://ref.ly/Job42:1-Job42:6" TargetMode="External"/><Relationship Id="rId14613" Type="http://schemas.openxmlformats.org/officeDocument/2006/relationships/hyperlink" Target="https://ref.ly/Acts6:12-Acts7:60" TargetMode="External"/><Relationship Id="rId14614" Type="http://schemas.openxmlformats.org/officeDocument/2006/relationships/hyperlink" Target="https://ref.ly/Acts23:1-Acts23:35" TargetMode="External"/><Relationship Id="rId14615" Type="http://schemas.openxmlformats.org/officeDocument/2006/relationships/hyperlink" Target="https://ref.ly/Acts25:1-Acts25:20" TargetMode="External"/><Relationship Id="rId14616" Type="http://schemas.openxmlformats.org/officeDocument/2006/relationships/hyperlink" Target="https://ref.ly/Acts16:9" TargetMode="External"/><Relationship Id="rId14617" Type="http://schemas.openxmlformats.org/officeDocument/2006/relationships/hyperlink" Target="https://ref.ly/2Cor2:12" TargetMode="External"/><Relationship Id="rId14618" Type="http://schemas.openxmlformats.org/officeDocument/2006/relationships/hyperlink" Target="https://ref.ly/1Kgs1:46" TargetMode="External"/><Relationship Id="rId14619" Type="http://schemas.openxmlformats.org/officeDocument/2006/relationships/hyperlink" Target="https://ref.ly/1Kgs10:18-1Kgs10:20" TargetMode="External"/><Relationship Id="rId14620" Type="http://schemas.openxmlformats.org/officeDocument/2006/relationships/hyperlink" Target="https://ref.ly/2Chr9:17-2Chr9:19" TargetMode="External"/><Relationship Id="rId14621" Type="http://schemas.openxmlformats.org/officeDocument/2006/relationships/hyperlink" Target="https://ref.ly/Isa66:1" TargetMode="External"/><Relationship Id="rId14622" Type="http://schemas.openxmlformats.org/officeDocument/2006/relationships/hyperlink" Target="https://ref.ly/Ps94:20" TargetMode="External"/><Relationship Id="rId14623" Type="http://schemas.openxmlformats.org/officeDocument/2006/relationships/hyperlink" Target="https://ref.ly/Jer1:15" TargetMode="External"/><Relationship Id="rId14624" Type="http://schemas.openxmlformats.org/officeDocument/2006/relationships/hyperlink" Target="https://ref.ly/2Kgs4:10" TargetMode="External"/><Relationship Id="rId14625" Type="http://schemas.openxmlformats.org/officeDocument/2006/relationships/hyperlink" Target="https://ref.ly/Jer43:10" TargetMode="External"/><Relationship Id="rId14626" Type="http://schemas.openxmlformats.org/officeDocument/2006/relationships/hyperlink" Target="https://ref.ly/Isa6:1-Isa6:3" TargetMode="External"/><Relationship Id="rId14627" Type="http://schemas.openxmlformats.org/officeDocument/2006/relationships/hyperlink" Target="https://ref.ly/Ezek1:4-Ezek1:28" TargetMode="External"/><Relationship Id="rId14628" Type="http://schemas.openxmlformats.org/officeDocument/2006/relationships/hyperlink" Target="https://ref.ly/Dan7:9-Dan7:10" TargetMode="External"/><Relationship Id="rId14629" Type="http://schemas.openxmlformats.org/officeDocument/2006/relationships/hyperlink" Target="https://ref.ly/Rev4:1-Rev4:11" TargetMode="External"/><Relationship Id="rId14630" Type="http://schemas.openxmlformats.org/officeDocument/2006/relationships/hyperlink" Target="https://ref.ly/Matt5:34" TargetMode="External"/><Relationship Id="rId14631" Type="http://schemas.openxmlformats.org/officeDocument/2006/relationships/hyperlink" Target="https://ref.ly/Jer3:17" TargetMode="External"/><Relationship Id="rId14632" Type="http://schemas.openxmlformats.org/officeDocument/2006/relationships/hyperlink" Target="https://ref.ly/Ezek43:6-Ezek43:7" TargetMode="External"/><Relationship Id="rId14633" Type="http://schemas.openxmlformats.org/officeDocument/2006/relationships/hyperlink" Target="https://ref.ly/Jer14:21" TargetMode="External"/><Relationship Id="rId14634" Type="http://schemas.openxmlformats.org/officeDocument/2006/relationships/hyperlink" Target="https://ref.ly/Jer17:25" TargetMode="External"/><Relationship Id="rId14635" Type="http://schemas.openxmlformats.org/officeDocument/2006/relationships/hyperlink" Target="https://ref.ly/Ps9:4" TargetMode="External"/><Relationship Id="rId14636" Type="http://schemas.openxmlformats.org/officeDocument/2006/relationships/hyperlink" Target="https://ref.ly/Ps9:7-Ps9:8" TargetMode="External"/><Relationship Id="rId14637" Type="http://schemas.openxmlformats.org/officeDocument/2006/relationships/hyperlink" Target="https://ref.ly/Isa2:4" TargetMode="External"/><Relationship Id="rId14638" Type="http://schemas.openxmlformats.org/officeDocument/2006/relationships/hyperlink" Target="https://ref.ly/Joel3:12" TargetMode="External"/><Relationship Id="rId14639" Type="http://schemas.openxmlformats.org/officeDocument/2006/relationships/hyperlink" Target="https://ref.ly/Acts21:29" TargetMode="External"/><Relationship Id="rId14640" Type="http://schemas.openxmlformats.org/officeDocument/2006/relationships/hyperlink" Target="https://ref.ly/Hos11:8" TargetMode="External"/><Relationship Id="rId14641" Type="http://schemas.openxmlformats.org/officeDocument/2006/relationships/hyperlink" Target="https://ref.ly/1Sam13:18" TargetMode="External"/><Relationship Id="rId14642" Type="http://schemas.openxmlformats.org/officeDocument/2006/relationships/hyperlink" Target="https://ref.ly/Neh11:34" TargetMode="External"/><Relationship Id="rId14643" Type="http://schemas.openxmlformats.org/officeDocument/2006/relationships/hyperlink" Target="https://ref.ly/1Chr1:1-1Chr1:54" TargetMode="External"/><Relationship Id="rId14644" Type="http://schemas.openxmlformats.org/officeDocument/2006/relationships/hyperlink" Target="https://ref.ly/Gen4:19-Gen4:23" TargetMode="External"/><Relationship Id="rId14645" Type="http://schemas.openxmlformats.org/officeDocument/2006/relationships/hyperlink" Target="https://ref.ly/Num33:11" TargetMode="External"/><Relationship Id="rId14646" Type="http://schemas.openxmlformats.org/officeDocument/2006/relationships/hyperlink" Target="https://ref.ly/Num34:4" TargetMode="External"/><Relationship Id="rId14647" Type="http://schemas.openxmlformats.org/officeDocument/2006/relationships/hyperlink" Target="https://ref.ly/Num13:1-Num13:26" TargetMode="External"/><Relationship Id="rId14648" Type="http://schemas.openxmlformats.org/officeDocument/2006/relationships/hyperlink" Target="https://ref.ly/Num14:22-Num14:23" TargetMode="External"/><Relationship Id="rId14649" Type="http://schemas.openxmlformats.org/officeDocument/2006/relationships/hyperlink" Target="https://ref.ly/Num20:1-Num20:13" TargetMode="External"/><Relationship Id="rId14650" Type="http://schemas.openxmlformats.org/officeDocument/2006/relationships/hyperlink" Target="https://ref.ly/Num27:14" TargetMode="External"/><Relationship Id="rId14651" Type="http://schemas.openxmlformats.org/officeDocument/2006/relationships/hyperlink" Target="https://ref.ly/Deut8:15" TargetMode="External"/><Relationship Id="rId14652" Type="http://schemas.openxmlformats.org/officeDocument/2006/relationships/hyperlink" Target="https://ref.ly/Gen19:22-Gen19:23,Gen19:30" TargetMode="External"/><Relationship Id="rId14653" Type="http://schemas.openxmlformats.org/officeDocument/2006/relationships/hyperlink" Target="https://ref.ly/Gen19:22" TargetMode="External"/><Relationship Id="rId14654" Type="http://schemas.openxmlformats.org/officeDocument/2006/relationships/hyperlink" Target="https://ref.ly/Isa15:5" TargetMode="External"/><Relationship Id="rId14655" Type="http://schemas.openxmlformats.org/officeDocument/2006/relationships/hyperlink" Target="https://ref.ly/Jer48:4,Jer48:34" TargetMode="External"/><Relationship Id="rId14656" Type="http://schemas.openxmlformats.org/officeDocument/2006/relationships/hyperlink" Target="https://ref.ly/Gen23:7-Gen23:9" TargetMode="External"/><Relationship Id="rId14657" Type="http://schemas.openxmlformats.org/officeDocument/2006/relationships/hyperlink" Target="https://ref.ly/1Chr4:7" TargetMode="External"/><Relationship Id="rId14658" Type="http://schemas.openxmlformats.org/officeDocument/2006/relationships/hyperlink" Target="https://ref.ly/1Kgs5:1-1Kgs5:11" TargetMode="External"/><Relationship Id="rId14659" Type="http://schemas.openxmlformats.org/officeDocument/2006/relationships/hyperlink" Target="https://ref.ly/2Chr2:3-2Chr2:16" TargetMode="External"/><Relationship Id="rId14660" Type="http://schemas.openxmlformats.org/officeDocument/2006/relationships/hyperlink" Target="https://ref.ly/Jer27:1-Jer27:11" TargetMode="External"/><Relationship Id="rId14661" Type="http://schemas.openxmlformats.org/officeDocument/2006/relationships/hyperlink" Target="https://ref.ly/Ezek26:1-Ezek26:19" TargetMode="External"/><Relationship Id="rId14662" Type="http://schemas.openxmlformats.org/officeDocument/2006/relationships/hyperlink" Target="https://ref.ly/Amos1:9-Amos1:10" TargetMode="External"/><Relationship Id="rId14663" Type="http://schemas.openxmlformats.org/officeDocument/2006/relationships/hyperlink" Target="https://ref.ly/Ezek26:1-Ezek26:28" TargetMode="External"/><Relationship Id="rId14664" Type="http://schemas.openxmlformats.org/officeDocument/2006/relationships/hyperlink" Target="https://ref.ly/Ezek29:18-Ezek29:20" TargetMode="External"/><Relationship Id="rId14665" Type="http://schemas.openxmlformats.org/officeDocument/2006/relationships/hyperlink" Target="https://ref.ly/Ezek28:2" TargetMode="External"/><Relationship Id="rId14666" Type="http://schemas.openxmlformats.org/officeDocument/2006/relationships/hyperlink" Target="https://ref.ly/Mark7:24-Mark7:31" TargetMode="External"/><Relationship Id="rId14667" Type="http://schemas.openxmlformats.org/officeDocument/2006/relationships/hyperlink" Target="https://ref.ly/Exod12:21-Exod12:22" TargetMode="External"/><Relationship Id="rId14668" Type="http://schemas.openxmlformats.org/officeDocument/2006/relationships/hyperlink" Target="https://ref.ly/Exod18:12" TargetMode="External"/><Relationship Id="rId14669" Type="http://schemas.openxmlformats.org/officeDocument/2006/relationships/hyperlink" Target="https://ref.ly/Exod18:13-Exod18:23" TargetMode="External"/><Relationship Id="rId14670" Type="http://schemas.openxmlformats.org/officeDocument/2006/relationships/hyperlink" Target="https://ref.ly/Gen23:10,Gen23:18" TargetMode="External"/><Relationship Id="rId14671" Type="http://schemas.openxmlformats.org/officeDocument/2006/relationships/hyperlink" Target="https://ref.ly/Job29:7" TargetMode="External"/><Relationship Id="rId14672" Type="http://schemas.openxmlformats.org/officeDocument/2006/relationships/hyperlink" Target="https://ref.ly/Prov24:7" TargetMode="External"/><Relationship Id="rId14673" Type="http://schemas.openxmlformats.org/officeDocument/2006/relationships/hyperlink" Target="https://ref.ly/Prov31:23" TargetMode="External"/><Relationship Id="rId14674" Type="http://schemas.openxmlformats.org/officeDocument/2006/relationships/hyperlink" Target="https://ref.ly/Deut22:15" TargetMode="External"/><Relationship Id="rId14675" Type="http://schemas.openxmlformats.org/officeDocument/2006/relationships/hyperlink" Target="https://ref.ly/Deut25:7-Deut25:10" TargetMode="External"/><Relationship Id="rId14676" Type="http://schemas.openxmlformats.org/officeDocument/2006/relationships/hyperlink" Target="https://ref.ly/Ruth4:1-Ruth4:12" TargetMode="External"/><Relationship Id="rId14677" Type="http://schemas.openxmlformats.org/officeDocument/2006/relationships/hyperlink" Target="https://ref.ly/1Sam30:26" TargetMode="External"/><Relationship Id="rId14678" Type="http://schemas.openxmlformats.org/officeDocument/2006/relationships/hyperlink" Target="https://ref.ly/1Kgs21:8-1Kgs21:11" TargetMode="External"/><Relationship Id="rId14679" Type="http://schemas.openxmlformats.org/officeDocument/2006/relationships/hyperlink" Target="https://ref.ly/Exod24:1,Exod24:9" TargetMode="External"/><Relationship Id="rId14680" Type="http://schemas.openxmlformats.org/officeDocument/2006/relationships/hyperlink" Target="https://ref.ly/Lev4:14-Lev4:15" TargetMode="External"/><Relationship Id="rId14681" Type="http://schemas.openxmlformats.org/officeDocument/2006/relationships/hyperlink" Target="https://ref.ly/Ezek20:1-Ezek20:3" TargetMode="External"/><Relationship Id="rId14682" Type="http://schemas.openxmlformats.org/officeDocument/2006/relationships/hyperlink" Target="https://ref.ly/Ezra10:16" TargetMode="External"/><Relationship Id="rId14683" Type="http://schemas.openxmlformats.org/officeDocument/2006/relationships/hyperlink" Target="https://ref.ly/Matt21:23" TargetMode="External"/><Relationship Id="rId14684" Type="http://schemas.openxmlformats.org/officeDocument/2006/relationships/hyperlink" Target="https://ref.ly/Matt26:3,Matt26:47" TargetMode="External"/><Relationship Id="rId14685" Type="http://schemas.openxmlformats.org/officeDocument/2006/relationships/hyperlink" Target="https://ref.ly/Matt27:41" TargetMode="External"/><Relationship Id="rId14686" Type="http://schemas.openxmlformats.org/officeDocument/2006/relationships/hyperlink" Target="https://ref.ly/Matt27:1,Matt27:3,Matt27:12,Matt27:20" TargetMode="External"/><Relationship Id="rId14687" Type="http://schemas.openxmlformats.org/officeDocument/2006/relationships/hyperlink" Target="https://ref.ly/Acts4:8" TargetMode="External"/><Relationship Id="rId14688" Type="http://schemas.openxmlformats.org/officeDocument/2006/relationships/hyperlink" Target="https://ref.ly/Matt21:43" TargetMode="External"/><Relationship Id="rId14689" Type="http://schemas.openxmlformats.org/officeDocument/2006/relationships/hyperlink" Target="https://ref.ly/Acts14:23" TargetMode="External"/><Relationship Id="rId14690" Type="http://schemas.openxmlformats.org/officeDocument/2006/relationships/hyperlink" Target="https://ref.ly/Acts15:4" TargetMode="External"/><Relationship Id="rId14691" Type="http://schemas.openxmlformats.org/officeDocument/2006/relationships/hyperlink" Target="https://ref.ly/Acts15:6-Acts15:23" TargetMode="External"/><Relationship Id="rId14692" Type="http://schemas.openxmlformats.org/officeDocument/2006/relationships/hyperlink" Target="https://ref.ly/Acts15:2-Acts15:6,Acts15:22-Acts15:23" TargetMode="External"/><Relationship Id="rId14693" Type="http://schemas.openxmlformats.org/officeDocument/2006/relationships/hyperlink" Target="https://ref.ly/1Tim5:17,1Tim5:19" TargetMode="External"/><Relationship Id="rId14694" Type="http://schemas.openxmlformats.org/officeDocument/2006/relationships/hyperlink" Target="https://ref.ly/Acts20:17" TargetMode="External"/><Relationship Id="rId14695" Type="http://schemas.openxmlformats.org/officeDocument/2006/relationships/hyperlink" Target="https://ref.ly/1Thess5:12-1Thess5:13" TargetMode="External"/><Relationship Id="rId14696" Type="http://schemas.openxmlformats.org/officeDocument/2006/relationships/hyperlink" Target="https://ref.ly/1Tim5:17" TargetMode="External"/><Relationship Id="rId14697" Type="http://schemas.openxmlformats.org/officeDocument/2006/relationships/hyperlink" Target="https://ref.ly/1Pet5:1-1Pet5:5" TargetMode="External"/><Relationship Id="rId14698" Type="http://schemas.openxmlformats.org/officeDocument/2006/relationships/hyperlink" Target="https://ref.ly/Acts20:1-Acts20:38" TargetMode="External"/><Relationship Id="rId14699" Type="http://schemas.openxmlformats.org/officeDocument/2006/relationships/hyperlink" Target="https://ref.ly/Titus1:5-Titus1:7" TargetMode="External"/><Relationship Id="rId14700" Type="http://schemas.openxmlformats.org/officeDocument/2006/relationships/hyperlink" Target="https://ref.ly/Titus1:7" TargetMode="External"/><Relationship Id="rId14701" Type="http://schemas.openxmlformats.org/officeDocument/2006/relationships/hyperlink" Target="https://ref.ly/Gen11:28,Gen11:31" TargetMode="External"/><Relationship Id="rId14702" Type="http://schemas.openxmlformats.org/officeDocument/2006/relationships/hyperlink" Target="https://ref.ly/Gen15:7" TargetMode="External"/><Relationship Id="rId14703" Type="http://schemas.openxmlformats.org/officeDocument/2006/relationships/hyperlink" Target="https://ref.ly/Neh9:7" TargetMode="External"/><Relationship Id="rId14704" Type="http://schemas.openxmlformats.org/officeDocument/2006/relationships/hyperlink" Target="https://ref.ly/Job1:1" TargetMode="External"/><Relationship Id="rId14705" Type="http://schemas.openxmlformats.org/officeDocument/2006/relationships/hyperlink" Target="https://ref.ly/Lam4:21" TargetMode="External"/><Relationship Id="rId14706" Type="http://schemas.openxmlformats.org/officeDocument/2006/relationships/hyperlink" Target="https://ref.ly/Job1:15" TargetMode="External"/><Relationship Id="rId14707" Type="http://schemas.openxmlformats.org/officeDocument/2006/relationships/hyperlink" Target="https://ref.ly/Deut1:1" TargetMode="External"/><Relationship Id="rId14708" Type="http://schemas.openxmlformats.org/officeDocument/2006/relationships/hyperlink" Target="https://ref.ly/2Sam4:7" TargetMode="External"/><Relationship Id="rId14709" Type="http://schemas.openxmlformats.org/officeDocument/2006/relationships/hyperlink" Target="https://ref.ly/2Kgs25:4" TargetMode="External"/><Relationship Id="rId14710" Type="http://schemas.openxmlformats.org/officeDocument/2006/relationships/hyperlink" Target="https://ref.ly/Jer39:4" TargetMode="External"/><Relationship Id="rId14711" Type="http://schemas.openxmlformats.org/officeDocument/2006/relationships/hyperlink" Target="https://ref.ly/Num32:1-Num36:13" TargetMode="External"/><Relationship Id="rId14712" Type="http://schemas.openxmlformats.org/officeDocument/2006/relationships/hyperlink" Target="https://ref.ly/Deut34:1-Deut34:6" TargetMode="External"/><Relationship Id="rId14713" Type="http://schemas.openxmlformats.org/officeDocument/2006/relationships/hyperlink" Target="https://ref.ly/Gen14:3,Gen14:8-Gen14:10" TargetMode="External"/><Relationship Id="rId14714" Type="http://schemas.openxmlformats.org/officeDocument/2006/relationships/hyperlink" Target="https://ref.ly/Gen14:2-Gen14:9" TargetMode="External"/><Relationship Id="rId14715" Type="http://schemas.openxmlformats.org/officeDocument/2006/relationships/hyperlink" Target="https://ref.ly/Esth1:9-Esth1:19" TargetMode="External"/><Relationship Id="rId14716" Type="http://schemas.openxmlformats.org/officeDocument/2006/relationships/hyperlink" Target="https://ref.ly/Exod32:1-Exod32:4" TargetMode="External"/><Relationship Id="rId14717" Type="http://schemas.openxmlformats.org/officeDocument/2006/relationships/hyperlink" Target="https://ref.ly/Exod32:15-Exod32:20" TargetMode="External"/><Relationship Id="rId14718" Type="http://schemas.openxmlformats.org/officeDocument/2006/relationships/hyperlink" Target="https://ref.ly/Exod32:33-Exod32:35" TargetMode="External"/><Relationship Id="rId14719" Type="http://schemas.openxmlformats.org/officeDocument/2006/relationships/hyperlink" Target="https://ref.ly/Deut9:16,Deut9:21" TargetMode="External"/><Relationship Id="rId14720" Type="http://schemas.openxmlformats.org/officeDocument/2006/relationships/hyperlink" Target="https://ref.ly/Neh9:18" TargetMode="External"/><Relationship Id="rId14721" Type="http://schemas.openxmlformats.org/officeDocument/2006/relationships/hyperlink" Target="https://ref.ly/Ps106:19-Ps106:20" TargetMode="External"/><Relationship Id="rId14722" Type="http://schemas.openxmlformats.org/officeDocument/2006/relationships/hyperlink" Target="https://ref.ly/Acts7:39-Acts7:41" TargetMode="External"/><Relationship Id="rId14723" Type="http://schemas.openxmlformats.org/officeDocument/2006/relationships/hyperlink" Target="https://ref.ly/2Chr11:13-2Chr11:15" TargetMode="External"/><Relationship Id="rId14724" Type="http://schemas.openxmlformats.org/officeDocument/2006/relationships/hyperlink" Target="https://ref.ly/Hos8:5-Hos8:6" TargetMode="External"/><Relationship Id="rId14725" Type="http://schemas.openxmlformats.org/officeDocument/2006/relationships/hyperlink" Target="https://ref.ly/Lam2:19" TargetMode="External"/><Relationship Id="rId14726" Type="http://schemas.openxmlformats.org/officeDocument/2006/relationships/hyperlink" Target="https://ref.ly/Num35:11" TargetMode="External"/><Relationship Id="rId14727" Type="http://schemas.openxmlformats.org/officeDocument/2006/relationships/hyperlink" Target="https://ref.ly/Judg8:18-Judg8:21" TargetMode="External"/><Relationship Id="rId14728" Type="http://schemas.openxmlformats.org/officeDocument/2006/relationships/hyperlink" Target="https://ref.ly/2Sam3:27,2Sam3:30" TargetMode="External"/><Relationship Id="rId14729" Type="http://schemas.openxmlformats.org/officeDocument/2006/relationships/hyperlink" Target="https://ref.ly/2Kgs14:5-2Kgs14:6" TargetMode="External"/><Relationship Id="rId14730" Type="http://schemas.openxmlformats.org/officeDocument/2006/relationships/hyperlink" Target="https://ref.ly/2Sam14:8-2Sam14:11" TargetMode="External"/><Relationship Id="rId14731" Type="http://schemas.openxmlformats.org/officeDocument/2006/relationships/hyperlink" Target="https://ref.ly/Gen41:6" TargetMode="External"/><Relationship Id="rId14732" Type="http://schemas.openxmlformats.org/officeDocument/2006/relationships/hyperlink" Target="https://ref.ly/Ezek17:10" TargetMode="External"/><Relationship Id="rId14733" Type="http://schemas.openxmlformats.org/officeDocument/2006/relationships/hyperlink" Target="https://ref.ly/Jonah4:8" TargetMode="External"/><Relationship Id="rId14734" Type="http://schemas.openxmlformats.org/officeDocument/2006/relationships/hyperlink" Target="https://ref.ly/Ps103:15-Ps103:16" TargetMode="External"/><Relationship Id="rId14735" Type="http://schemas.openxmlformats.org/officeDocument/2006/relationships/hyperlink" Target="https://ref.ly/Hos13:15" TargetMode="External"/><Relationship Id="rId14736" Type="http://schemas.openxmlformats.org/officeDocument/2006/relationships/hyperlink" Target="https://ref.ly/Exod14:21" TargetMode="External"/><Relationship Id="rId14737" Type="http://schemas.openxmlformats.org/officeDocument/2006/relationships/hyperlink" Target="https://ref.ly/Isa27:8" TargetMode="External"/><Relationship Id="rId14738" Type="http://schemas.openxmlformats.org/officeDocument/2006/relationships/hyperlink" Target="https://ref.ly/Jer4:11" TargetMode="External"/><Relationship Id="rId14739" Type="http://schemas.openxmlformats.org/officeDocument/2006/relationships/hyperlink" Target="https://ref.ly/Jer18:17" TargetMode="External"/><Relationship Id="rId14740" Type="http://schemas.openxmlformats.org/officeDocument/2006/relationships/hyperlink" Target="https://ref.ly/Gen24:16" TargetMode="External"/><Relationship Id="rId14741" Type="http://schemas.openxmlformats.org/officeDocument/2006/relationships/hyperlink" Target="https://ref.ly/Lev21:7,Lev21:13-Lev21:14" TargetMode="External"/><Relationship Id="rId14742" Type="http://schemas.openxmlformats.org/officeDocument/2006/relationships/hyperlink" Target="https://ref.ly/Rev14:4" TargetMode="External"/><Relationship Id="rId14743" Type="http://schemas.openxmlformats.org/officeDocument/2006/relationships/hyperlink" Target="https://ref.ly/2Cor11:2" TargetMode="External"/><Relationship Id="rId14744" Type="http://schemas.openxmlformats.org/officeDocument/2006/relationships/hyperlink" Target="https://ref.ly/Exod22:16-Exod22:17" TargetMode="External"/><Relationship Id="rId14745" Type="http://schemas.openxmlformats.org/officeDocument/2006/relationships/hyperlink" Target="https://ref.ly/Deut22:20-Deut22:21" TargetMode="External"/><Relationship Id="rId14746" Type="http://schemas.openxmlformats.org/officeDocument/2006/relationships/hyperlink" Target="https://ref.ly/Jer16:2" TargetMode="External"/><Relationship Id="rId14747" Type="http://schemas.openxmlformats.org/officeDocument/2006/relationships/hyperlink" Target="https://ref.ly/Judg11:37" TargetMode="External"/><Relationship Id="rId14748" Type="http://schemas.openxmlformats.org/officeDocument/2006/relationships/hyperlink" Target="https://ref.ly/1Cor7:7,1Cor7:25-1Cor7:38" TargetMode="External"/><Relationship Id="rId14749" Type="http://schemas.openxmlformats.org/officeDocument/2006/relationships/hyperlink" Target="https://ref.ly/1Cor7:7" TargetMode="External"/><Relationship Id="rId14750" Type="http://schemas.openxmlformats.org/officeDocument/2006/relationships/hyperlink" Target="https://ref.ly/Deut6:11" TargetMode="External"/><Relationship Id="rId14751" Type="http://schemas.openxmlformats.org/officeDocument/2006/relationships/hyperlink" Target="https://ref.ly/Num13:20,Num13:24" TargetMode="External"/><Relationship Id="rId14752" Type="http://schemas.openxmlformats.org/officeDocument/2006/relationships/hyperlink" Target="https://ref.ly/Judg14:5" TargetMode="External"/><Relationship Id="rId14753" Type="http://schemas.openxmlformats.org/officeDocument/2006/relationships/hyperlink" Target="https://ref.ly/Judg15:5" TargetMode="External"/><Relationship Id="rId14754" Type="http://schemas.openxmlformats.org/officeDocument/2006/relationships/hyperlink" Target="https://ref.ly/1Kgs4:25" TargetMode="External"/><Relationship Id="rId14755" Type="http://schemas.openxmlformats.org/officeDocument/2006/relationships/hyperlink" Target="https://ref.ly/Job24:18" TargetMode="External"/><Relationship Id="rId14756" Type="http://schemas.openxmlformats.org/officeDocument/2006/relationships/hyperlink" Target="https://ref.ly/Lev25:3" TargetMode="External"/><Relationship Id="rId14757" Type="http://schemas.openxmlformats.org/officeDocument/2006/relationships/hyperlink" Target="https://ref.ly/Isa61:5" TargetMode="External"/><Relationship Id="rId14758" Type="http://schemas.openxmlformats.org/officeDocument/2006/relationships/hyperlink" Target="https://ref.ly/Joel3:10" TargetMode="External"/><Relationship Id="rId14759" Type="http://schemas.openxmlformats.org/officeDocument/2006/relationships/hyperlink" Target="https://ref.ly/John15:2" TargetMode="External"/><Relationship Id="rId14760" Type="http://schemas.openxmlformats.org/officeDocument/2006/relationships/hyperlink" Target="https://ref.ly/Hos9:2" TargetMode="External"/><Relationship Id="rId14761" Type="http://schemas.openxmlformats.org/officeDocument/2006/relationships/hyperlink" Target="https://ref.ly/Jer25:30" TargetMode="External"/><Relationship Id="rId14762" Type="http://schemas.openxmlformats.org/officeDocument/2006/relationships/hyperlink" Target="https://ref.ly/Matt9:17" TargetMode="External"/><Relationship Id="rId14763" Type="http://schemas.openxmlformats.org/officeDocument/2006/relationships/hyperlink" Target="https://ref.ly/Ezek15:4" TargetMode="External"/><Relationship Id="rId14764" Type="http://schemas.openxmlformats.org/officeDocument/2006/relationships/hyperlink" Target="https://ref.ly/Matt21:28-Matt21:43" TargetMode="External"/><Relationship Id="rId14765" Type="http://schemas.openxmlformats.org/officeDocument/2006/relationships/hyperlink" Target="https://ref.ly/Mark12:1-Mark12:11" TargetMode="External"/><Relationship Id="rId14766" Type="http://schemas.openxmlformats.org/officeDocument/2006/relationships/hyperlink" Target="https://ref.ly/Luke13:6-Luke13:9" TargetMode="External"/><Relationship Id="rId14767" Type="http://schemas.openxmlformats.org/officeDocument/2006/relationships/hyperlink" Target="https://ref.ly/Luke20:9-Luke20:18" TargetMode="External"/><Relationship Id="rId14768" Type="http://schemas.openxmlformats.org/officeDocument/2006/relationships/hyperlink" Target="https://ref.ly/John15:1-John15:11" TargetMode="External"/><Relationship Id="rId14769" Type="http://schemas.openxmlformats.org/officeDocument/2006/relationships/hyperlink" Target="https://ref.ly/Lev25:29-Lev25:31" TargetMode="External"/><Relationship Id="rId14770" Type="http://schemas.openxmlformats.org/officeDocument/2006/relationships/hyperlink" Target="https://ref.ly/Josh19:35" TargetMode="External"/><Relationship Id="rId14771" Type="http://schemas.openxmlformats.org/officeDocument/2006/relationships/hyperlink" Target="https://ref.ly/Gen29:1-Gen29:12" TargetMode="External"/><Relationship Id="rId14772" Type="http://schemas.openxmlformats.org/officeDocument/2006/relationships/hyperlink" Target="https://ref.ly/1Kgs1:38-1Kgs1:39" TargetMode="External"/><Relationship Id="rId14773" Type="http://schemas.openxmlformats.org/officeDocument/2006/relationships/hyperlink" Target="https://ref.ly/2Chr32:30" TargetMode="External"/><Relationship Id="rId14774" Type="http://schemas.openxmlformats.org/officeDocument/2006/relationships/hyperlink" Target="https://ref.ly/Gen13:10-Gen13:12" TargetMode="External"/><Relationship Id="rId14775" Type="http://schemas.openxmlformats.org/officeDocument/2006/relationships/hyperlink" Target="https://ref.ly/Isa3:9" TargetMode="External"/><Relationship Id="rId14776" Type="http://schemas.openxmlformats.org/officeDocument/2006/relationships/hyperlink" Target="https://ref.ly/Jer50:40" TargetMode="External"/><Relationship Id="rId14777" Type="http://schemas.openxmlformats.org/officeDocument/2006/relationships/hyperlink" Target="https://ref.ly/Ezek16:46-Ezek16:56" TargetMode="External"/><Relationship Id="rId14778" Type="http://schemas.openxmlformats.org/officeDocument/2006/relationships/hyperlink" Target="https://ref.ly/Ps50:14" TargetMode="External"/><Relationship Id="rId14779" Type="http://schemas.openxmlformats.org/officeDocument/2006/relationships/hyperlink" Target="https://ref.ly/Num6:1-Num6:8" TargetMode="External"/><Relationship Id="rId14780" Type="http://schemas.openxmlformats.org/officeDocument/2006/relationships/hyperlink" Target="https://ref.ly/Gen28:20-Gen28:22" TargetMode="External"/><Relationship Id="rId14781" Type="http://schemas.openxmlformats.org/officeDocument/2006/relationships/hyperlink" Target="https://ref.ly/1Sam1:11,1Sam1:27-1Sam1:28" TargetMode="External"/><Relationship Id="rId14782" Type="http://schemas.openxmlformats.org/officeDocument/2006/relationships/hyperlink" Target="https://ref.ly/Ps22:24-Ps22:25" TargetMode="External"/><Relationship Id="rId14783" Type="http://schemas.openxmlformats.org/officeDocument/2006/relationships/hyperlink" Target="https://ref.ly/Ps56:12-Ps56:13" TargetMode="External"/><Relationship Id="rId14784" Type="http://schemas.openxmlformats.org/officeDocument/2006/relationships/hyperlink" Target="https://ref.ly/Deut23:22" TargetMode="External"/><Relationship Id="rId14785" Type="http://schemas.openxmlformats.org/officeDocument/2006/relationships/hyperlink" Target="https://ref.ly/Deut23:21-Deut23:23" TargetMode="External"/><Relationship Id="rId14786" Type="http://schemas.openxmlformats.org/officeDocument/2006/relationships/hyperlink" Target="https://ref.ly/Eccl5:4-Eccl5:6" TargetMode="External"/><Relationship Id="rId14787" Type="http://schemas.openxmlformats.org/officeDocument/2006/relationships/hyperlink" Target="https://ref.ly/Mark7:11-Mark7:13" TargetMode="External"/><Relationship Id="rId14788" Type="http://schemas.openxmlformats.org/officeDocument/2006/relationships/hyperlink" Target="https://ref.ly/Matt15:5-Matt15:6" TargetMode="External"/><Relationship Id="rId14789" Type="http://schemas.openxmlformats.org/officeDocument/2006/relationships/hyperlink" Target="https://ref.ly/Acts28:13-Acts28:15" TargetMode="External"/><Relationship Id="rId14790" Type="http://schemas.openxmlformats.org/officeDocument/2006/relationships/hyperlink" Target="https://ref.ly/Esth5:10,Esth5:14" TargetMode="External"/><Relationship Id="rId14791" Type="http://schemas.openxmlformats.org/officeDocument/2006/relationships/hyperlink" Target="https://ref.ly/Acts14:8-Acts14:18" TargetMode="External"/><Relationship Id="rId14792" Type="http://schemas.openxmlformats.org/officeDocument/2006/relationships/hyperlink" Target="https://ref.ly/Jer25: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